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8FA" w:rsidRDefault="008918FA" w:rsidP="008918FA">
      <w:pPr>
        <w:rPr>
          <w:rFonts w:ascii="Times New Roman" w:eastAsia="Times New Roman" w:hAnsi="Times New Roman" w:cs="Times New Roman"/>
          <w:sz w:val="20"/>
          <w:szCs w:val="20"/>
        </w:rPr>
      </w:pPr>
      <w:bookmarkStart w:id="0" w:name="_GoBack"/>
      <w:bookmarkEnd w:id="0"/>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Pr="002A65CD" w:rsidRDefault="008918FA" w:rsidP="008918FA">
      <w:pPr>
        <w:pStyle w:val="BodyText"/>
        <w:spacing w:before="72"/>
        <w:ind w:left="3119" w:firstLine="0"/>
        <w:rPr>
          <w:rFonts w:ascii="Times New Roman" w:eastAsia="Times New Roman" w:hAnsi="Times New Roman" w:cs="Times New Roman"/>
          <w:caps/>
          <w:sz w:val="28"/>
          <w:szCs w:val="28"/>
        </w:rPr>
      </w:pPr>
      <w:r w:rsidRPr="002A65CD">
        <w:rPr>
          <w:rFonts w:ascii="Times New Roman"/>
          <w:caps/>
          <w:spacing w:val="-1"/>
          <w:sz w:val="28"/>
          <w:szCs w:val="28"/>
        </w:rPr>
        <w:t>Crown Commercial Service</w:t>
      </w:r>
    </w:p>
    <w:p w:rsidR="008918FA" w:rsidRPr="002A65CD" w:rsidRDefault="008918FA" w:rsidP="008918FA">
      <w:pPr>
        <w:rPr>
          <w:rFonts w:ascii="Times New Roman" w:eastAsia="Times New Roman" w:hAnsi="Times New Roman" w:cs="Times New Roman"/>
          <w:caps/>
          <w:sz w:val="20"/>
          <w:szCs w:val="20"/>
        </w:rPr>
      </w:pPr>
    </w:p>
    <w:p w:rsidR="008918FA" w:rsidRPr="002A65CD" w:rsidRDefault="008918FA" w:rsidP="008918FA">
      <w:pPr>
        <w:spacing w:before="11"/>
        <w:rPr>
          <w:rFonts w:ascii="Times New Roman" w:eastAsia="Times New Roman" w:hAnsi="Times New Roman" w:cs="Times New Roman"/>
          <w:caps/>
          <w:sz w:val="20"/>
          <w:szCs w:val="20"/>
        </w:rPr>
      </w:pPr>
    </w:p>
    <w:p w:rsidR="008918FA" w:rsidRPr="002A65CD" w:rsidRDefault="008918FA" w:rsidP="008918FA">
      <w:pPr>
        <w:spacing w:line="20" w:lineRule="atLeast"/>
        <w:ind w:left="512"/>
        <w:rPr>
          <w:rFonts w:ascii="Times New Roman" w:eastAsia="Times New Roman" w:hAnsi="Times New Roman" w:cs="Times New Roman"/>
          <w:caps/>
          <w:sz w:val="2"/>
          <w:szCs w:val="2"/>
        </w:rPr>
      </w:pPr>
      <w:r w:rsidRPr="002A65CD">
        <w:rPr>
          <w:rFonts w:ascii="Times New Roman" w:eastAsia="Times New Roman" w:hAnsi="Times New Roman" w:cs="Times New Roman"/>
          <w:caps/>
          <w:noProof/>
          <w:sz w:val="2"/>
          <w:szCs w:val="2"/>
          <w:lang w:eastAsia="en-GB"/>
        </w:rPr>
        <mc:AlternateContent>
          <mc:Choice Requires="wpg">
            <w:drawing>
              <wp:inline distT="0" distB="0" distL="0" distR="0" wp14:anchorId="6262F4E0" wp14:editId="09591B82">
                <wp:extent cx="5294630" cy="12700"/>
                <wp:effectExtent l="4445" t="5080" r="6350" b="1270"/>
                <wp:docPr id="7818" name="Group 7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2700"/>
                          <a:chOff x="0" y="0"/>
                          <a:chExt cx="8338" cy="20"/>
                        </a:xfrm>
                      </wpg:grpSpPr>
                      <wpg:grpSp>
                        <wpg:cNvPr id="7819" name="Group 7811"/>
                        <wpg:cNvGrpSpPr>
                          <a:grpSpLocks/>
                        </wpg:cNvGrpSpPr>
                        <wpg:grpSpPr bwMode="auto">
                          <a:xfrm>
                            <a:off x="10" y="10"/>
                            <a:ext cx="8318" cy="2"/>
                            <a:chOff x="10" y="10"/>
                            <a:chExt cx="8318" cy="2"/>
                          </a:xfrm>
                        </wpg:grpSpPr>
                        <wps:wsp>
                          <wps:cNvPr id="7820" name="Freeform 7812"/>
                          <wps:cNvSpPr>
                            <a:spLocks/>
                          </wps:cNvSpPr>
                          <wps:spPr bwMode="auto">
                            <a:xfrm>
                              <a:off x="10" y="10"/>
                              <a:ext cx="8318" cy="2"/>
                            </a:xfrm>
                            <a:custGeom>
                              <a:avLst/>
                              <a:gdLst>
                                <a:gd name="T0" fmla="+- 0 10 10"/>
                                <a:gd name="T1" fmla="*/ T0 w 8318"/>
                                <a:gd name="T2" fmla="+- 0 8328 10"/>
                                <a:gd name="T3" fmla="*/ T2 w 8318"/>
                              </a:gdLst>
                              <a:ahLst/>
                              <a:cxnLst>
                                <a:cxn ang="0">
                                  <a:pos x="T1" y="0"/>
                                </a:cxn>
                                <a:cxn ang="0">
                                  <a:pos x="T3" y="0"/>
                                </a:cxn>
                              </a:cxnLst>
                              <a:rect l="0" t="0" r="r" b="b"/>
                              <a:pathLst>
                                <a:path w="8318">
                                  <a:moveTo>
                                    <a:pt x="0" y="0"/>
                                  </a:moveTo>
                                  <a:lnTo>
                                    <a:pt x="8318"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3A11BC" id="Group 7810" o:spid="_x0000_s1026" style="width:416.9pt;height:1pt;mso-position-horizontal-relative:char;mso-position-vertical-relative:line" coordsize="8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">
                <v:group id="Group 7811" o:spid="_x0000_s1027" style="position:absolute;left:10;top:10;width:8318;height:2" coordorigin="10,10" coordsize="8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P1MscAAADdAAAADwAAAGRycy9kb3ducmV2LnhtbESPQWvCQBSE74L/YXlC&#10;b3UTi62NWUVEpQcpVAvF2yP7TEKyb0N2TeK/7xYKHoeZ+YZJ14OpRUetKy0riKcRCOLM6pJzBd/n&#10;/fMChPPIGmvLpOBODtar8SjFRNuev6g7+VwECLsEFRTeN4mULivIoJvahjh4V9sa9EG2udQt9gFu&#10;ajmLoldpsOSwUGBD24Ky6nQzCg499puXeNcdq+v2fjnPP3+OMSn1NBk2SxCeBv8I/7c/tIK3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P1MscAAADd&#10;AAAADwAAAAAAAAAAAAAAAACqAgAAZHJzL2Rvd25yZXYueG1sUEsFBgAAAAAEAAQA+gAAAJ4DAAAA&#10;AA==&#10;">
                  <v:shape id="Freeform 7812" o:spid="_x0000_s1028" style="position:absolute;left:10;top:10;width:8318;height:2;visibility:visible;mso-wrap-style:square;v-text-anchor:top" coordsize="8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fZMIA&#10;AADdAAAADwAAAGRycy9kb3ducmV2LnhtbERPu27CMBTdK/EP1kViK04yAEoxqCAqdSK8pK638W3i&#10;El9HsSHh7+uhEuPReS/Xg23EnTpvHCtIpwkI4tJpw5WCy/njdQHCB2SNjWNS8CAP69XoZYm5dj0f&#10;6X4KlYgh7HNUUIfQ5lL6siaLfupa4sj9uM5iiLCrpO6wj+G2kVmSzKRFw7Ghxpa2NZXX080qMN7t&#10;DnveHPzXeXYzaVv8fl8KpSbj4f0NRKAhPMX/7k+tYL7I4v74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t9kwgAAAN0AAAAPAAAAAAAAAAAAAAAAAJgCAABkcnMvZG93&#10;bnJldi54bWxQSwUGAAAAAAQABAD1AAAAhwMAAAAA&#10;" path="m,l8318,e" filled="f" strokeweight=".34664mm">
                    <v:path arrowok="t" o:connecttype="custom" o:connectlocs="0,0;8318,0" o:connectangles="0,0"/>
                  </v:shape>
                </v:group>
                <w10:anchorlock/>
              </v:group>
            </w:pict>
          </mc:Fallback>
        </mc:AlternateContent>
      </w:r>
    </w:p>
    <w:p w:rsidR="008918FA" w:rsidRPr="002A65CD" w:rsidRDefault="008918FA" w:rsidP="008918FA">
      <w:pPr>
        <w:rPr>
          <w:rFonts w:ascii="Times New Roman" w:eastAsia="Times New Roman" w:hAnsi="Times New Roman" w:cs="Times New Roman"/>
          <w:caps/>
          <w:sz w:val="14"/>
          <w:szCs w:val="14"/>
        </w:rPr>
      </w:pPr>
    </w:p>
    <w:p w:rsidR="008918FA" w:rsidRPr="002A65CD" w:rsidRDefault="008918FA" w:rsidP="008918FA">
      <w:pPr>
        <w:pStyle w:val="BodyText"/>
        <w:spacing w:before="72" w:line="243" w:lineRule="auto"/>
        <w:ind w:left="4470" w:right="1531" w:hanging="4196"/>
        <w:jc w:val="center"/>
        <w:rPr>
          <w:rFonts w:ascii="Times New Roman"/>
          <w:caps/>
          <w:spacing w:val="11"/>
        </w:rPr>
      </w:pPr>
      <w:r w:rsidRPr="002A65CD">
        <w:rPr>
          <w:rFonts w:ascii="Times New Roman"/>
          <w:caps/>
          <w:spacing w:val="13"/>
        </w:rPr>
        <w:t>Template</w:t>
      </w:r>
      <w:r w:rsidRPr="002A65CD">
        <w:rPr>
          <w:rFonts w:ascii="Times New Roman"/>
          <w:caps/>
          <w:spacing w:val="31"/>
        </w:rPr>
        <w:t xml:space="preserve"> </w:t>
      </w:r>
      <w:r w:rsidRPr="002A65CD">
        <w:rPr>
          <w:rFonts w:ascii="Times New Roman"/>
          <w:caps/>
          <w:spacing w:val="8"/>
        </w:rPr>
        <w:t>Call</w:t>
      </w:r>
      <w:r w:rsidRPr="002A65CD">
        <w:rPr>
          <w:rFonts w:ascii="Times New Roman"/>
          <w:caps/>
          <w:spacing w:val="6"/>
        </w:rPr>
        <w:t xml:space="preserve"> </w:t>
      </w:r>
      <w:r w:rsidRPr="002A65CD">
        <w:rPr>
          <w:rFonts w:ascii="Times New Roman"/>
          <w:caps/>
          <w:spacing w:val="3"/>
        </w:rPr>
        <w:t>Off</w:t>
      </w:r>
      <w:r w:rsidRPr="002A65CD">
        <w:rPr>
          <w:rFonts w:ascii="Times New Roman"/>
          <w:caps/>
          <w:spacing w:val="5"/>
        </w:rPr>
        <w:t xml:space="preserve"> </w:t>
      </w:r>
      <w:r w:rsidRPr="002A65CD">
        <w:rPr>
          <w:rFonts w:ascii="Times New Roman"/>
          <w:caps/>
          <w:spacing w:val="11"/>
        </w:rPr>
        <w:t>Form</w:t>
      </w:r>
      <w:r w:rsidRPr="002A65CD">
        <w:rPr>
          <w:rFonts w:ascii="Times New Roman"/>
          <w:caps/>
          <w:spacing w:val="30"/>
        </w:rPr>
        <w:t xml:space="preserve"> </w:t>
      </w:r>
      <w:r w:rsidRPr="002A65CD">
        <w:rPr>
          <w:rFonts w:ascii="Times New Roman"/>
          <w:caps/>
          <w:spacing w:val="16"/>
        </w:rPr>
        <w:t>and</w:t>
      </w:r>
      <w:r w:rsidRPr="002A65CD">
        <w:rPr>
          <w:rFonts w:ascii="Times New Roman"/>
          <w:caps/>
          <w:spacing w:val="31"/>
        </w:rPr>
        <w:t xml:space="preserve"> </w:t>
      </w:r>
      <w:r w:rsidRPr="002A65CD">
        <w:rPr>
          <w:rFonts w:ascii="Times New Roman"/>
          <w:caps/>
          <w:spacing w:val="-2"/>
        </w:rPr>
        <w:t>Te</w:t>
      </w:r>
      <w:r w:rsidRPr="002A65CD">
        <w:rPr>
          <w:rFonts w:ascii="Times New Roman"/>
          <w:caps/>
          <w:spacing w:val="-31"/>
        </w:rPr>
        <w:t xml:space="preserve"> </w:t>
      </w:r>
      <w:r w:rsidRPr="002A65CD">
        <w:rPr>
          <w:rFonts w:ascii="Times New Roman"/>
          <w:caps/>
          <w:spacing w:val="13"/>
        </w:rPr>
        <w:t>mplate</w:t>
      </w:r>
      <w:r w:rsidRPr="002A65CD">
        <w:rPr>
          <w:rFonts w:ascii="Times New Roman"/>
          <w:caps/>
          <w:spacing w:val="31"/>
        </w:rPr>
        <w:t xml:space="preserve"> </w:t>
      </w:r>
      <w:r w:rsidRPr="002A65CD">
        <w:rPr>
          <w:rFonts w:ascii="Times New Roman"/>
          <w:caps/>
          <w:spacing w:val="8"/>
        </w:rPr>
        <w:t>Call</w:t>
      </w:r>
      <w:r w:rsidRPr="002A65CD">
        <w:rPr>
          <w:rFonts w:ascii="Times New Roman"/>
          <w:caps/>
          <w:spacing w:val="6"/>
        </w:rPr>
        <w:t xml:space="preserve"> </w:t>
      </w:r>
      <w:r w:rsidRPr="002A65CD">
        <w:rPr>
          <w:rFonts w:ascii="Times New Roman"/>
          <w:caps/>
          <w:spacing w:val="3"/>
        </w:rPr>
        <w:t xml:space="preserve">Off </w:t>
      </w:r>
      <w:r w:rsidRPr="002A65CD">
        <w:rPr>
          <w:rFonts w:ascii="Times New Roman"/>
          <w:caps/>
          <w:spacing w:val="11"/>
        </w:rPr>
        <w:t>Terms</w:t>
      </w:r>
    </w:p>
    <w:p w:rsidR="008918FA" w:rsidRPr="002A65CD" w:rsidRDefault="008918FA" w:rsidP="008918FA">
      <w:pPr>
        <w:pStyle w:val="BodyText"/>
        <w:spacing w:before="72" w:line="243" w:lineRule="auto"/>
        <w:ind w:left="4470" w:right="1531" w:hanging="4196"/>
        <w:jc w:val="center"/>
        <w:rPr>
          <w:rFonts w:ascii="Times New Roman" w:eastAsia="Times New Roman" w:hAnsi="Times New Roman" w:cs="Times New Roman"/>
          <w:caps/>
        </w:rPr>
      </w:pPr>
      <w:r w:rsidRPr="002A65CD">
        <w:rPr>
          <w:rFonts w:ascii="Times New Roman"/>
          <w:caps/>
          <w:spacing w:val="43"/>
        </w:rPr>
        <w:t xml:space="preserve"> </w:t>
      </w:r>
      <w:r w:rsidRPr="002A65CD">
        <w:rPr>
          <w:rFonts w:ascii="Times New Roman"/>
          <w:caps/>
          <w:spacing w:val="8"/>
        </w:rPr>
        <w:t>for</w:t>
      </w:r>
      <w:r w:rsidRPr="002A65CD">
        <w:rPr>
          <w:rFonts w:ascii="Times New Roman"/>
          <w:caps/>
          <w:spacing w:val="17"/>
        </w:rPr>
        <w:t xml:space="preserve"> Goods</w:t>
      </w:r>
      <w:r w:rsidRPr="002A65CD">
        <w:rPr>
          <w:rFonts w:ascii="Times New Roman"/>
          <w:caps/>
          <w:spacing w:val="41"/>
        </w:rPr>
        <w:t xml:space="preserve"> </w:t>
      </w:r>
      <w:r w:rsidRPr="002A65CD">
        <w:rPr>
          <w:rFonts w:ascii="Times New Roman"/>
          <w:caps/>
          <w:spacing w:val="15"/>
        </w:rPr>
        <w:t>and/or</w:t>
      </w:r>
      <w:r w:rsidRPr="002A65CD">
        <w:rPr>
          <w:rFonts w:ascii="Times New Roman"/>
          <w:caps/>
          <w:spacing w:val="20"/>
        </w:rPr>
        <w:t xml:space="preserve"> </w:t>
      </w:r>
      <w:r w:rsidRPr="002A65CD">
        <w:rPr>
          <w:rFonts w:ascii="Times New Roman"/>
          <w:caps/>
          <w:spacing w:val="14"/>
        </w:rPr>
        <w:t xml:space="preserve">Services </w:t>
      </w:r>
      <w:r w:rsidRPr="002A65CD">
        <w:rPr>
          <w:rFonts w:ascii="Times New Roman"/>
          <w:caps/>
          <w:spacing w:val="12"/>
        </w:rPr>
        <w:t>(non</w:t>
      </w:r>
      <w:r w:rsidRPr="002A65CD">
        <w:rPr>
          <w:rFonts w:ascii="Times New Roman"/>
          <w:caps/>
          <w:spacing w:val="27"/>
        </w:rPr>
        <w:t xml:space="preserve"> </w:t>
      </w:r>
      <w:r w:rsidRPr="002A65CD">
        <w:rPr>
          <w:rFonts w:ascii="Times New Roman"/>
          <w:caps/>
          <w:spacing w:val="-2"/>
        </w:rPr>
        <w:t>ICT)</w:t>
      </w:r>
    </w:p>
    <w:p w:rsidR="008918FA" w:rsidRPr="002A65CD" w:rsidRDefault="008918FA" w:rsidP="008918FA">
      <w:pPr>
        <w:spacing w:line="30" w:lineRule="atLeast"/>
        <w:ind w:left="115"/>
        <w:rPr>
          <w:rFonts w:ascii="Times New Roman" w:eastAsia="Times New Roman" w:hAnsi="Times New Roman" w:cs="Times New Roman"/>
          <w:caps/>
          <w:sz w:val="3"/>
          <w:szCs w:val="3"/>
        </w:rPr>
      </w:pPr>
      <w:r w:rsidRPr="002A65CD">
        <w:rPr>
          <w:rFonts w:ascii="Times New Roman" w:eastAsia="Times New Roman" w:hAnsi="Times New Roman" w:cs="Times New Roman"/>
          <w:caps/>
          <w:noProof/>
          <w:sz w:val="3"/>
          <w:szCs w:val="3"/>
          <w:lang w:eastAsia="en-GB"/>
        </w:rPr>
        <mc:AlternateContent>
          <mc:Choice Requires="wpg">
            <w:drawing>
              <wp:inline distT="0" distB="0" distL="0" distR="0" wp14:anchorId="3A80ED72" wp14:editId="7F21F01F">
                <wp:extent cx="5803265" cy="19685"/>
                <wp:effectExtent l="9525" t="2540" r="6985" b="6350"/>
                <wp:docPr id="7815" name="Group 7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9685"/>
                          <a:chOff x="0" y="0"/>
                          <a:chExt cx="9139" cy="31"/>
                        </a:xfrm>
                      </wpg:grpSpPr>
                      <wpg:grpSp>
                        <wpg:cNvPr id="7816" name="Group 7808"/>
                        <wpg:cNvGrpSpPr>
                          <a:grpSpLocks/>
                        </wpg:cNvGrpSpPr>
                        <wpg:grpSpPr bwMode="auto">
                          <a:xfrm>
                            <a:off x="15" y="15"/>
                            <a:ext cx="9108" cy="2"/>
                            <a:chOff x="15" y="15"/>
                            <a:chExt cx="9108" cy="2"/>
                          </a:xfrm>
                        </wpg:grpSpPr>
                        <wps:wsp>
                          <wps:cNvPr id="7817" name="Freeform 7809"/>
                          <wps:cNvSpPr>
                            <a:spLocks/>
                          </wps:cNvSpPr>
                          <wps:spPr bwMode="auto">
                            <a:xfrm>
                              <a:off x="15" y="15"/>
                              <a:ext cx="9108" cy="2"/>
                            </a:xfrm>
                            <a:custGeom>
                              <a:avLst/>
                              <a:gdLst>
                                <a:gd name="T0" fmla="+- 0 15 15"/>
                                <a:gd name="T1" fmla="*/ T0 w 9108"/>
                                <a:gd name="T2" fmla="+- 0 9123 15"/>
                                <a:gd name="T3" fmla="*/ T2 w 9108"/>
                              </a:gdLst>
                              <a:ahLst/>
                              <a:cxnLst>
                                <a:cxn ang="0">
                                  <a:pos x="T1" y="0"/>
                                </a:cxn>
                                <a:cxn ang="0">
                                  <a:pos x="T3" y="0"/>
                                </a:cxn>
                              </a:cxnLst>
                              <a:rect l="0" t="0" r="r" b="b"/>
                              <a:pathLst>
                                <a:path w="9108">
                                  <a:moveTo>
                                    <a:pt x="0" y="0"/>
                                  </a:moveTo>
                                  <a:lnTo>
                                    <a:pt x="910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3939C5" id="Group 7807" o:spid="_x0000_s1026" style="width:456.95pt;height:1.55pt;mso-position-horizontal-relative:char;mso-position-vertical-relative:line" coordsize="9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">
                <v:group id="Group 7808" o:spid="_x0000_s1027" style="position:absolute;left:15;top:15;width:9108;height:2" coordorigin="15,15" coordsize="9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xhQMcAAADdAAAADwAAAGRycy9kb3ducmV2LnhtbESPQWvCQBSE7wX/w/KE&#10;3uomlqaSuoYgWnoIhaogvT2yzySYfRuyaxL/fbdQ6HGYmW+YdTaZVgzUu8aygngRgSAurW64UnA6&#10;7p9WIJxH1thaJgV3cpBtZg9rTLUd+YuGg69EgLBLUUHtfZdK6cqaDLqF7YiDd7G9QR9kX0nd4xjg&#10;ppXLKEqkwYbDQo0dbWsqr4ebUfA+4pg/x7uhuF629+/jy+e5iEmpx/mUv4HwNPn/8F/7Qyt4XcU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xhQMcAAADd&#10;AAAADwAAAAAAAAAAAAAAAACqAgAAZHJzL2Rvd25yZXYueG1sUEsFBgAAAAAEAAQA+gAAAJ4DAAAA&#10;AA==&#10;">
                  <v:shape id="Freeform 7809" o:spid="_x0000_s1028" style="position:absolute;left:15;top:15;width:9108;height:2;visibility:visible;mso-wrap-style:square;v-text-anchor:top" coordsize="9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55MUA&#10;AADdAAAADwAAAGRycy9kb3ducmV2LnhtbESPQWvCQBSE7wX/w/IEb3WjQmNTV4mCIORQanvp7ZF9&#10;ZkOzb8PuauK/dwuFHoeZ+YbZ7EbbiRv50DpWsJhnIIhrp1tuFHx9Hp/XIEJE1tg5JgV3CrDbTp42&#10;WGg38AfdzrERCcKhQAUmxr6QMtSGLIa564mTd3HeYkzSN1J7HBLcdnKZZS/SYstpwWBPB0P1z/lq&#10;FQy+Mpe8LV/L6v3bVOPKD/vKKzWbjuUbiEhj/A//tU9aQb5e5PD7Jj0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LnkxQAAAN0AAAAPAAAAAAAAAAAAAAAAAJgCAABkcnMv&#10;ZG93bnJldi54bWxQSwUGAAAAAAQABAD1AAAAigMAAAAA&#10;" path="m,l9108,e" filled="f" strokeweight="1.54pt">
                    <v:path arrowok="t" o:connecttype="custom" o:connectlocs="0,0;9108,0" o:connectangles="0,0"/>
                  </v:shape>
                </v:group>
                <w10:anchorlock/>
              </v:group>
            </w:pict>
          </mc:Fallback>
        </mc:AlternateContent>
      </w:r>
    </w:p>
    <w:p w:rsidR="008918FA" w:rsidRPr="002A65CD" w:rsidRDefault="008918FA" w:rsidP="008918FA">
      <w:pPr>
        <w:rPr>
          <w:rFonts w:ascii="Times New Roman" w:eastAsia="Times New Roman" w:hAnsi="Times New Roman" w:cs="Times New Roman"/>
          <w:caps/>
          <w:sz w:val="20"/>
          <w:szCs w:val="20"/>
        </w:rPr>
      </w:pPr>
    </w:p>
    <w:p w:rsidR="008918FA" w:rsidRPr="002A65CD" w:rsidRDefault="008918FA" w:rsidP="008918FA">
      <w:pPr>
        <w:rPr>
          <w:rFonts w:ascii="Times New Roman" w:eastAsia="Times New Roman" w:hAnsi="Times New Roman" w:cs="Times New Roman"/>
          <w:caps/>
          <w:sz w:val="20"/>
          <w:szCs w:val="20"/>
        </w:rPr>
      </w:pPr>
    </w:p>
    <w:p w:rsidR="008918FA" w:rsidRPr="002A65CD" w:rsidRDefault="008918FA" w:rsidP="008918FA">
      <w:pPr>
        <w:spacing w:before="6"/>
        <w:rPr>
          <w:rFonts w:ascii="Times New Roman" w:eastAsia="Times New Roman" w:hAnsi="Times New Roman" w:cs="Times New Roman"/>
          <w:caps/>
          <w:sz w:val="17"/>
          <w:szCs w:val="17"/>
        </w:rPr>
      </w:pPr>
    </w:p>
    <w:p w:rsidR="008918FA" w:rsidRPr="002A65CD" w:rsidRDefault="008918FA" w:rsidP="008918FA">
      <w:pPr>
        <w:pStyle w:val="Heading1"/>
        <w:spacing w:before="72"/>
        <w:ind w:left="3217" w:firstLine="0"/>
        <w:rPr>
          <w:b w:val="0"/>
          <w:bCs w:val="0"/>
          <w:caps/>
        </w:rPr>
      </w:pPr>
      <w:r w:rsidRPr="002A65CD">
        <w:rPr>
          <w:caps/>
          <w:spacing w:val="-1"/>
        </w:rPr>
        <w:t>FRAMEWORK</w:t>
      </w:r>
      <w:r w:rsidRPr="002A65CD">
        <w:rPr>
          <w:caps/>
        </w:rPr>
        <w:t xml:space="preserve"> </w:t>
      </w:r>
      <w:r w:rsidRPr="002A65CD">
        <w:rPr>
          <w:caps/>
          <w:spacing w:val="-1"/>
        </w:rPr>
        <w:t>SCHEDULE</w:t>
      </w:r>
      <w:r w:rsidRPr="002A65CD">
        <w:rPr>
          <w:caps/>
        </w:rPr>
        <w:t xml:space="preserve"> 4</w:t>
      </w:r>
    </w:p>
    <w:p w:rsidR="008918FA" w:rsidRPr="002A65CD" w:rsidRDefault="008918FA" w:rsidP="008918FA">
      <w:pPr>
        <w:spacing w:before="8"/>
        <w:rPr>
          <w:rFonts w:ascii="Arial" w:eastAsia="Arial" w:hAnsi="Arial" w:cs="Arial"/>
          <w:b/>
          <w:bCs/>
          <w:caps/>
          <w:sz w:val="14"/>
          <w:szCs w:val="14"/>
        </w:rPr>
      </w:pPr>
    </w:p>
    <w:p w:rsidR="008918FA" w:rsidRPr="002A65CD" w:rsidRDefault="008918FA" w:rsidP="008918FA">
      <w:pPr>
        <w:spacing w:before="72"/>
        <w:ind w:left="1352"/>
        <w:rPr>
          <w:rFonts w:ascii="Arial" w:eastAsia="Arial" w:hAnsi="Arial" w:cs="Arial"/>
          <w:caps/>
        </w:rPr>
      </w:pPr>
      <w:r w:rsidRPr="002A65CD">
        <w:rPr>
          <w:rFonts w:ascii="Arial"/>
          <w:b/>
          <w:caps/>
          <w:spacing w:val="-2"/>
          <w:highlight w:val="yellow"/>
        </w:rPr>
        <w:t>[TEMPLATE]</w:t>
      </w:r>
      <w:r w:rsidRPr="002A65CD">
        <w:rPr>
          <w:rFonts w:ascii="Arial"/>
          <w:b/>
          <w:caps/>
          <w:spacing w:val="2"/>
          <w:highlight w:val="yellow"/>
        </w:rPr>
        <w:t xml:space="preserve"> </w:t>
      </w:r>
      <w:r w:rsidRPr="002A65CD">
        <w:rPr>
          <w:rFonts w:ascii="Arial"/>
          <w:b/>
          <w:caps/>
          <w:spacing w:val="-1"/>
        </w:rPr>
        <w:t>ORDER</w:t>
      </w:r>
      <w:r w:rsidRPr="002A65CD">
        <w:rPr>
          <w:rFonts w:ascii="Arial"/>
          <w:b/>
          <w:caps/>
        </w:rPr>
        <w:t xml:space="preserve"> </w:t>
      </w:r>
      <w:r w:rsidRPr="002A65CD">
        <w:rPr>
          <w:rFonts w:ascii="Arial"/>
          <w:b/>
          <w:caps/>
          <w:spacing w:val="-1"/>
        </w:rPr>
        <w:t>FORM</w:t>
      </w:r>
      <w:r w:rsidRPr="002A65CD">
        <w:rPr>
          <w:rFonts w:ascii="Arial"/>
          <w:b/>
          <w:caps/>
          <w:spacing w:val="2"/>
        </w:rPr>
        <w:t xml:space="preserve"> </w:t>
      </w:r>
      <w:r w:rsidRPr="002A65CD">
        <w:rPr>
          <w:rFonts w:ascii="Arial"/>
          <w:b/>
          <w:caps/>
          <w:spacing w:val="-3"/>
        </w:rPr>
        <w:t>AND</w:t>
      </w:r>
      <w:r w:rsidRPr="002A65CD">
        <w:rPr>
          <w:rFonts w:ascii="Arial"/>
          <w:b/>
          <w:caps/>
        </w:rPr>
        <w:t xml:space="preserve"> </w:t>
      </w:r>
      <w:r w:rsidRPr="002A65CD">
        <w:rPr>
          <w:rFonts w:ascii="Arial"/>
          <w:b/>
          <w:caps/>
          <w:spacing w:val="-1"/>
          <w:highlight w:val="yellow"/>
        </w:rPr>
        <w:t>[TEMPLATE]</w:t>
      </w:r>
      <w:r w:rsidRPr="002A65CD">
        <w:rPr>
          <w:rFonts w:ascii="Arial"/>
          <w:b/>
          <w:caps/>
          <w:spacing w:val="3"/>
          <w:highlight w:val="yellow"/>
        </w:rPr>
        <w:t xml:space="preserve"> </w:t>
      </w:r>
      <w:r w:rsidRPr="002A65CD">
        <w:rPr>
          <w:rFonts w:ascii="Arial"/>
          <w:b/>
          <w:caps/>
          <w:spacing w:val="-2"/>
        </w:rPr>
        <w:t>CALL</w:t>
      </w:r>
      <w:r w:rsidRPr="002A65CD">
        <w:rPr>
          <w:rFonts w:ascii="Arial"/>
          <w:b/>
          <w:caps/>
        </w:rPr>
        <w:t xml:space="preserve"> OFF </w:t>
      </w:r>
      <w:r w:rsidRPr="002A65CD">
        <w:rPr>
          <w:rFonts w:ascii="Arial"/>
          <w:b/>
          <w:caps/>
          <w:spacing w:val="-2"/>
        </w:rPr>
        <w:t>TERMS</w:t>
      </w:r>
    </w:p>
    <w:p w:rsidR="008918FA" w:rsidRPr="002A65CD" w:rsidRDefault="008918FA" w:rsidP="008918FA">
      <w:pPr>
        <w:spacing w:before="8"/>
        <w:rPr>
          <w:rFonts w:ascii="Arial" w:eastAsia="Arial" w:hAnsi="Arial" w:cs="Arial"/>
          <w:b/>
          <w:bCs/>
          <w:caps/>
          <w:sz w:val="14"/>
          <w:szCs w:val="14"/>
        </w:rPr>
      </w:pPr>
    </w:p>
    <w:p w:rsidR="008918FA" w:rsidRPr="002A65CD" w:rsidRDefault="008918FA" w:rsidP="008918FA">
      <w:pPr>
        <w:pStyle w:val="Heading2"/>
        <w:ind w:left="726"/>
        <w:rPr>
          <w:b w:val="0"/>
          <w:bCs w:val="0"/>
          <w:i w:val="0"/>
          <w:caps/>
        </w:rPr>
      </w:pPr>
      <w:r w:rsidRPr="002A65CD">
        <w:rPr>
          <w:caps/>
          <w:spacing w:val="-2"/>
          <w:highlight w:val="green"/>
        </w:rPr>
        <w:t>[GUIDANCE</w:t>
      </w:r>
      <w:r w:rsidRPr="002A65CD">
        <w:rPr>
          <w:caps/>
          <w:spacing w:val="1"/>
          <w:highlight w:val="green"/>
        </w:rPr>
        <w:t xml:space="preserve"> </w:t>
      </w:r>
      <w:r w:rsidRPr="002A65CD">
        <w:rPr>
          <w:caps/>
          <w:spacing w:val="-1"/>
          <w:highlight w:val="green"/>
        </w:rPr>
        <w:t>NOTE:</w:t>
      </w:r>
    </w:p>
    <w:p w:rsidR="008918FA" w:rsidRPr="002A65CD" w:rsidRDefault="008918FA" w:rsidP="008918FA">
      <w:pPr>
        <w:spacing w:before="9"/>
        <w:rPr>
          <w:rFonts w:ascii="Arial" w:eastAsia="Arial" w:hAnsi="Arial" w:cs="Arial"/>
          <w:b/>
          <w:bCs/>
          <w:i/>
          <w:caps/>
          <w:sz w:val="10"/>
          <w:szCs w:val="10"/>
        </w:rPr>
      </w:pPr>
    </w:p>
    <w:p w:rsidR="005D2B81" w:rsidRPr="005D2B81" w:rsidRDefault="005D2B81" w:rsidP="005D2B81">
      <w:pPr>
        <w:spacing w:before="2" w:line="252" w:lineRule="exact"/>
        <w:jc w:val="both"/>
        <w:rPr>
          <w:rFonts w:ascii="Arial"/>
          <w:b/>
          <w:i/>
          <w:spacing w:val="-2"/>
          <w:highlight w:val="green"/>
        </w:rPr>
      </w:pPr>
      <w:r w:rsidRPr="005D2B81">
        <w:rPr>
          <w:rFonts w:ascii="Arial"/>
          <w:b/>
          <w:i/>
          <w:spacing w:val="-1"/>
          <w:highlight w:val="green"/>
        </w:rPr>
        <w:t>The</w:t>
      </w:r>
      <w:r w:rsidRPr="005D2B81">
        <w:rPr>
          <w:rFonts w:ascii="Arial"/>
          <w:b/>
          <w:i/>
          <w:spacing w:val="51"/>
          <w:highlight w:val="green"/>
        </w:rPr>
        <w:t xml:space="preserve"> </w:t>
      </w:r>
      <w:r w:rsidRPr="005D2B81">
        <w:rPr>
          <w:rFonts w:ascii="Arial"/>
          <w:b/>
          <w:i/>
          <w:spacing w:val="-1"/>
          <w:highlight w:val="green"/>
        </w:rPr>
        <w:t>parties'</w:t>
      </w:r>
      <w:r w:rsidRPr="005D2B81">
        <w:rPr>
          <w:rFonts w:ascii="Arial"/>
          <w:b/>
          <w:i/>
          <w:spacing w:val="49"/>
          <w:highlight w:val="green"/>
        </w:rPr>
        <w:t xml:space="preserve"> </w:t>
      </w:r>
      <w:r w:rsidRPr="005D2B81">
        <w:rPr>
          <w:rFonts w:ascii="Arial"/>
          <w:b/>
          <w:i/>
          <w:spacing w:val="-1"/>
          <w:highlight w:val="green"/>
        </w:rPr>
        <w:t>attention</w:t>
      </w:r>
      <w:r w:rsidRPr="005D2B81">
        <w:rPr>
          <w:rFonts w:ascii="Arial"/>
          <w:b/>
          <w:i/>
          <w:spacing w:val="48"/>
          <w:highlight w:val="green"/>
        </w:rPr>
        <w:t xml:space="preserve"> </w:t>
      </w:r>
      <w:r w:rsidRPr="005D2B81">
        <w:rPr>
          <w:rFonts w:ascii="Arial"/>
          <w:b/>
          <w:i/>
          <w:highlight w:val="green"/>
        </w:rPr>
        <w:t>is</w:t>
      </w:r>
      <w:r w:rsidRPr="005D2B81">
        <w:rPr>
          <w:rFonts w:ascii="Arial"/>
          <w:b/>
          <w:i/>
          <w:spacing w:val="51"/>
          <w:highlight w:val="green"/>
        </w:rPr>
        <w:t xml:space="preserve"> </w:t>
      </w:r>
      <w:r w:rsidRPr="005D2B81">
        <w:rPr>
          <w:rFonts w:ascii="Arial"/>
          <w:b/>
          <w:i/>
          <w:spacing w:val="-1"/>
          <w:highlight w:val="green"/>
        </w:rPr>
        <w:t>drawn</w:t>
      </w:r>
      <w:r w:rsidRPr="005D2B81">
        <w:rPr>
          <w:rFonts w:ascii="Arial"/>
          <w:b/>
          <w:i/>
          <w:spacing w:val="51"/>
          <w:highlight w:val="green"/>
        </w:rPr>
        <w:t xml:space="preserve"> </w:t>
      </w:r>
      <w:r w:rsidRPr="005D2B81">
        <w:rPr>
          <w:rFonts w:ascii="Arial"/>
          <w:b/>
          <w:i/>
          <w:highlight w:val="green"/>
        </w:rPr>
        <w:t>to</w:t>
      </w:r>
      <w:r w:rsidRPr="005D2B81">
        <w:rPr>
          <w:rFonts w:ascii="Arial"/>
          <w:b/>
          <w:i/>
          <w:spacing w:val="48"/>
          <w:highlight w:val="green"/>
        </w:rPr>
        <w:t xml:space="preserve"> </w:t>
      </w:r>
      <w:r w:rsidRPr="005D2B81">
        <w:rPr>
          <w:rFonts w:ascii="Arial"/>
          <w:b/>
          <w:i/>
          <w:spacing w:val="-1"/>
          <w:highlight w:val="green"/>
        </w:rPr>
        <w:t>the</w:t>
      </w:r>
      <w:r w:rsidRPr="005D2B81">
        <w:rPr>
          <w:rFonts w:ascii="Arial"/>
          <w:b/>
          <w:i/>
          <w:spacing w:val="52"/>
          <w:highlight w:val="green"/>
        </w:rPr>
        <w:t xml:space="preserve"> </w:t>
      </w:r>
      <w:r w:rsidRPr="005D2B81">
        <w:rPr>
          <w:rFonts w:ascii="Arial"/>
          <w:b/>
          <w:i/>
          <w:spacing w:val="-1"/>
          <w:highlight w:val="green"/>
        </w:rPr>
        <w:t>various</w:t>
      </w:r>
      <w:r w:rsidRPr="005D2B81">
        <w:rPr>
          <w:rFonts w:ascii="Arial"/>
          <w:b/>
          <w:i/>
          <w:spacing w:val="51"/>
          <w:highlight w:val="green"/>
        </w:rPr>
        <w:t xml:space="preserve"> </w:t>
      </w:r>
      <w:r w:rsidRPr="005D2B81">
        <w:rPr>
          <w:rFonts w:ascii="Arial"/>
          <w:b/>
          <w:i/>
          <w:spacing w:val="-1"/>
          <w:highlight w:val="green"/>
        </w:rPr>
        <w:t>customer</w:t>
      </w:r>
      <w:r w:rsidRPr="005D2B81">
        <w:rPr>
          <w:rFonts w:ascii="Arial"/>
          <w:b/>
          <w:i/>
          <w:spacing w:val="51"/>
          <w:highlight w:val="green"/>
        </w:rPr>
        <w:t xml:space="preserve"> </w:t>
      </w:r>
      <w:r w:rsidRPr="005D2B81">
        <w:rPr>
          <w:rFonts w:ascii="Arial"/>
          <w:b/>
          <w:i/>
          <w:spacing w:val="-1"/>
          <w:highlight w:val="green"/>
        </w:rPr>
        <w:t>guidance</w:t>
      </w:r>
      <w:r w:rsidRPr="005D2B81">
        <w:rPr>
          <w:rFonts w:ascii="Arial"/>
          <w:b/>
          <w:i/>
          <w:spacing w:val="48"/>
          <w:highlight w:val="green"/>
        </w:rPr>
        <w:t xml:space="preserve"> </w:t>
      </w:r>
      <w:r w:rsidRPr="005D2B81">
        <w:rPr>
          <w:rFonts w:ascii="Arial"/>
          <w:b/>
          <w:i/>
          <w:spacing w:val="-1"/>
          <w:highlight w:val="green"/>
        </w:rPr>
        <w:t>notes</w:t>
      </w:r>
      <w:r w:rsidRPr="005D2B81">
        <w:rPr>
          <w:rFonts w:ascii="Arial"/>
          <w:b/>
          <w:i/>
          <w:spacing w:val="40"/>
          <w:highlight w:val="green"/>
        </w:rPr>
        <w:t xml:space="preserve"> </w:t>
      </w:r>
      <w:r w:rsidRPr="005D2B81">
        <w:rPr>
          <w:rFonts w:ascii="Arial"/>
          <w:b/>
          <w:i/>
          <w:spacing w:val="-1"/>
          <w:highlight w:val="green"/>
        </w:rPr>
        <w:t>highlighted</w:t>
      </w:r>
      <w:r w:rsidRPr="005D2B81">
        <w:rPr>
          <w:rFonts w:ascii="Arial"/>
          <w:b/>
          <w:i/>
          <w:spacing w:val="27"/>
          <w:highlight w:val="green"/>
        </w:rPr>
        <w:t xml:space="preserve"> </w:t>
      </w:r>
      <w:r w:rsidRPr="005D2B81">
        <w:rPr>
          <w:rFonts w:ascii="Arial"/>
          <w:b/>
          <w:i/>
          <w:highlight w:val="green"/>
        </w:rPr>
        <w:t>in</w:t>
      </w:r>
      <w:r w:rsidRPr="005D2B81">
        <w:rPr>
          <w:rFonts w:ascii="Arial"/>
          <w:b/>
          <w:i/>
          <w:spacing w:val="29"/>
          <w:highlight w:val="green"/>
        </w:rPr>
        <w:t xml:space="preserve"> </w:t>
      </w:r>
      <w:r w:rsidRPr="005D2B81">
        <w:rPr>
          <w:rFonts w:ascii="Arial"/>
          <w:b/>
          <w:i/>
          <w:spacing w:val="-1"/>
          <w:highlight w:val="green"/>
        </w:rPr>
        <w:t>GREEN</w:t>
      </w:r>
      <w:r w:rsidRPr="005D2B81">
        <w:rPr>
          <w:rFonts w:ascii="Arial"/>
          <w:b/>
          <w:i/>
          <w:spacing w:val="26"/>
          <w:highlight w:val="green"/>
        </w:rPr>
        <w:t xml:space="preserve"> </w:t>
      </w:r>
      <w:r w:rsidRPr="005D2B81">
        <w:rPr>
          <w:rFonts w:ascii="Arial"/>
          <w:b/>
          <w:i/>
          <w:spacing w:val="-1"/>
          <w:highlight w:val="green"/>
        </w:rPr>
        <w:t>and</w:t>
      </w:r>
      <w:r w:rsidRPr="005D2B81">
        <w:rPr>
          <w:rFonts w:ascii="Arial"/>
          <w:b/>
          <w:i/>
          <w:spacing w:val="29"/>
          <w:highlight w:val="green"/>
        </w:rPr>
        <w:t xml:space="preserve"> </w:t>
      </w:r>
      <w:r w:rsidRPr="005D2B81">
        <w:rPr>
          <w:rFonts w:ascii="Arial"/>
          <w:b/>
          <w:i/>
          <w:spacing w:val="-1"/>
          <w:highlight w:val="green"/>
        </w:rPr>
        <w:t>information/schedules</w:t>
      </w:r>
      <w:r w:rsidRPr="005D2B81">
        <w:rPr>
          <w:rFonts w:ascii="Arial"/>
          <w:b/>
          <w:i/>
          <w:spacing w:val="29"/>
          <w:highlight w:val="green"/>
        </w:rPr>
        <w:t xml:space="preserve"> </w:t>
      </w:r>
      <w:r w:rsidRPr="005D2B81">
        <w:rPr>
          <w:rFonts w:ascii="Arial"/>
          <w:b/>
          <w:i/>
          <w:highlight w:val="green"/>
        </w:rPr>
        <w:t>to</w:t>
      </w:r>
      <w:r w:rsidRPr="005D2B81">
        <w:rPr>
          <w:rFonts w:ascii="Arial"/>
          <w:b/>
          <w:i/>
          <w:spacing w:val="29"/>
          <w:highlight w:val="green"/>
        </w:rPr>
        <w:t xml:space="preserve"> </w:t>
      </w:r>
      <w:r w:rsidRPr="005D2B81">
        <w:rPr>
          <w:rFonts w:ascii="Arial"/>
          <w:b/>
          <w:i/>
          <w:spacing w:val="-1"/>
          <w:highlight w:val="green"/>
        </w:rPr>
        <w:t>complete</w:t>
      </w:r>
      <w:r w:rsidRPr="005D2B81">
        <w:rPr>
          <w:rFonts w:ascii="Arial"/>
          <w:b/>
          <w:i/>
          <w:spacing w:val="29"/>
          <w:highlight w:val="green"/>
        </w:rPr>
        <w:t xml:space="preserve"> </w:t>
      </w:r>
      <w:r w:rsidRPr="005D2B81">
        <w:rPr>
          <w:rFonts w:ascii="Arial"/>
          <w:b/>
          <w:i/>
          <w:spacing w:val="-1"/>
          <w:highlight w:val="green"/>
        </w:rPr>
        <w:t>and</w:t>
      </w:r>
      <w:r w:rsidRPr="005D2B81">
        <w:rPr>
          <w:rFonts w:ascii="Arial"/>
          <w:b/>
          <w:i/>
          <w:spacing w:val="27"/>
          <w:highlight w:val="green"/>
        </w:rPr>
        <w:t xml:space="preserve"> </w:t>
      </w:r>
      <w:r w:rsidRPr="005D2B81">
        <w:rPr>
          <w:rFonts w:ascii="Arial"/>
          <w:b/>
          <w:i/>
          <w:spacing w:val="-1"/>
          <w:highlight w:val="green"/>
        </w:rPr>
        <w:t>square</w:t>
      </w:r>
      <w:r w:rsidRPr="005D2B81">
        <w:rPr>
          <w:rFonts w:ascii="Arial"/>
          <w:b/>
          <w:i/>
          <w:spacing w:val="41"/>
          <w:highlight w:val="green"/>
        </w:rPr>
        <w:t xml:space="preserve"> </w:t>
      </w:r>
      <w:r w:rsidRPr="005D2B81">
        <w:rPr>
          <w:rFonts w:ascii="Arial"/>
          <w:b/>
          <w:i/>
          <w:spacing w:val="-1"/>
          <w:highlight w:val="green"/>
        </w:rPr>
        <w:t>brackets</w:t>
      </w:r>
      <w:r w:rsidRPr="005D2B81">
        <w:rPr>
          <w:rFonts w:ascii="Arial"/>
          <w:b/>
          <w:i/>
          <w:highlight w:val="green"/>
        </w:rPr>
        <w:t xml:space="preserve"> </w:t>
      </w:r>
      <w:r w:rsidRPr="005D2B81">
        <w:rPr>
          <w:rFonts w:ascii="Arial"/>
          <w:b/>
          <w:i/>
          <w:spacing w:val="-1"/>
          <w:highlight w:val="green"/>
        </w:rPr>
        <w:t>highlighted</w:t>
      </w:r>
      <w:r w:rsidRPr="005D2B81">
        <w:rPr>
          <w:rFonts w:ascii="Arial"/>
          <w:b/>
          <w:i/>
          <w:spacing w:val="-4"/>
          <w:highlight w:val="green"/>
        </w:rPr>
        <w:t xml:space="preserve"> </w:t>
      </w:r>
      <w:r w:rsidRPr="005D2B81">
        <w:rPr>
          <w:rFonts w:ascii="Arial"/>
          <w:b/>
          <w:i/>
          <w:highlight w:val="green"/>
        </w:rPr>
        <w:t>in</w:t>
      </w:r>
      <w:r w:rsidRPr="005D2B81">
        <w:rPr>
          <w:rFonts w:ascii="Arial"/>
          <w:b/>
          <w:i/>
          <w:spacing w:val="-2"/>
          <w:highlight w:val="green"/>
        </w:rPr>
        <w:t xml:space="preserve"> </w:t>
      </w:r>
      <w:r w:rsidRPr="005D2B81">
        <w:rPr>
          <w:rFonts w:ascii="Arial"/>
          <w:b/>
          <w:i/>
          <w:spacing w:val="-1"/>
          <w:highlight w:val="green"/>
        </w:rPr>
        <w:t xml:space="preserve">YELLOW </w:t>
      </w:r>
      <w:r w:rsidRPr="005D2B81">
        <w:rPr>
          <w:rFonts w:ascii="Arial"/>
          <w:b/>
          <w:i/>
          <w:highlight w:val="green"/>
        </w:rPr>
        <w:t>in</w:t>
      </w:r>
      <w:r w:rsidRPr="005D2B81">
        <w:rPr>
          <w:rFonts w:ascii="Arial"/>
          <w:b/>
          <w:i/>
          <w:spacing w:val="-2"/>
          <w:highlight w:val="green"/>
        </w:rPr>
        <w:t xml:space="preserve"> </w:t>
      </w:r>
      <w:r w:rsidRPr="005D2B81">
        <w:rPr>
          <w:rFonts w:ascii="Arial"/>
          <w:b/>
          <w:i/>
          <w:spacing w:val="-1"/>
          <w:highlight w:val="green"/>
        </w:rPr>
        <w:t>this</w:t>
      </w:r>
      <w:r w:rsidRPr="005D2B81">
        <w:rPr>
          <w:rFonts w:ascii="Arial"/>
          <w:b/>
          <w:i/>
          <w:spacing w:val="-2"/>
          <w:highlight w:val="green"/>
        </w:rPr>
        <w:t xml:space="preserve"> document.</w:t>
      </w:r>
    </w:p>
    <w:p w:rsidR="005D2B81" w:rsidRPr="005D2B81" w:rsidRDefault="005D2B81" w:rsidP="005D2B81">
      <w:pPr>
        <w:spacing w:before="2" w:line="252" w:lineRule="exact"/>
        <w:jc w:val="both"/>
        <w:rPr>
          <w:rFonts w:ascii="Arial" w:eastAsia="Arial" w:hAnsi="Arial" w:cs="Arial"/>
          <w:highlight w:val="green"/>
        </w:rPr>
      </w:pPr>
    </w:p>
    <w:p w:rsidR="005D2B81" w:rsidRPr="005D2B81" w:rsidRDefault="005D2B81" w:rsidP="005D2B81">
      <w:pPr>
        <w:jc w:val="both"/>
        <w:rPr>
          <w:rFonts w:ascii="Arial" w:eastAsia="Arial" w:hAnsi="Arial" w:cs="Arial"/>
          <w:b/>
          <w:bCs/>
          <w:i/>
          <w:spacing w:val="-1"/>
          <w:highlight w:val="green"/>
        </w:rPr>
      </w:pPr>
      <w:r w:rsidRPr="005D2B81">
        <w:rPr>
          <w:rFonts w:ascii="Arial" w:eastAsia="Arial" w:hAnsi="Arial" w:cs="Arial"/>
          <w:b/>
          <w:bCs/>
          <w:i/>
          <w:spacing w:val="-1"/>
          <w:highlight w:val="green"/>
        </w:rPr>
        <w:t>Customers</w:t>
      </w:r>
      <w:r w:rsidRPr="005D2B81">
        <w:rPr>
          <w:rFonts w:ascii="Arial" w:eastAsia="Arial" w:hAnsi="Arial" w:cs="Arial"/>
          <w:b/>
          <w:bCs/>
          <w:i/>
          <w:spacing w:val="3"/>
          <w:highlight w:val="green"/>
        </w:rPr>
        <w:t xml:space="preserve"> </w:t>
      </w:r>
      <w:r w:rsidRPr="005D2B81">
        <w:rPr>
          <w:rFonts w:ascii="Arial" w:eastAsia="Arial" w:hAnsi="Arial" w:cs="Arial"/>
          <w:b/>
          <w:bCs/>
          <w:i/>
          <w:spacing w:val="-1"/>
          <w:highlight w:val="green"/>
        </w:rPr>
        <w:t>awarding</w:t>
      </w:r>
      <w:r w:rsidRPr="005D2B81">
        <w:rPr>
          <w:rFonts w:ascii="Arial" w:eastAsia="Arial" w:hAnsi="Arial" w:cs="Arial"/>
          <w:b/>
          <w:bCs/>
          <w:i/>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3"/>
          <w:highlight w:val="green"/>
        </w:rPr>
        <w:t xml:space="preserve"> </w:t>
      </w:r>
      <w:r w:rsidRPr="005D2B81">
        <w:rPr>
          <w:rFonts w:ascii="Arial" w:eastAsia="Arial" w:hAnsi="Arial" w:cs="Arial"/>
          <w:b/>
          <w:bCs/>
          <w:i/>
          <w:spacing w:val="-2"/>
          <w:highlight w:val="green"/>
        </w:rPr>
        <w:t>Call</w:t>
      </w:r>
      <w:r w:rsidRPr="005D2B81">
        <w:rPr>
          <w:rFonts w:ascii="Arial" w:eastAsia="Arial" w:hAnsi="Arial" w:cs="Arial"/>
          <w:b/>
          <w:bCs/>
          <w:i/>
          <w:spacing w:val="2"/>
          <w:highlight w:val="green"/>
        </w:rPr>
        <w:t xml:space="preserve"> </w:t>
      </w:r>
      <w:r w:rsidRPr="005D2B81">
        <w:rPr>
          <w:rFonts w:ascii="Arial" w:eastAsia="Arial" w:hAnsi="Arial" w:cs="Arial"/>
          <w:b/>
          <w:bCs/>
          <w:i/>
          <w:spacing w:val="-1"/>
          <w:highlight w:val="green"/>
        </w:rPr>
        <w:t>Off</w:t>
      </w:r>
      <w:r w:rsidRPr="005D2B81">
        <w:rPr>
          <w:rFonts w:ascii="Arial" w:eastAsia="Arial" w:hAnsi="Arial" w:cs="Arial"/>
          <w:b/>
          <w:bCs/>
          <w:i/>
          <w:spacing w:val="4"/>
          <w:highlight w:val="green"/>
        </w:rPr>
        <w:t xml:space="preserve"> </w:t>
      </w:r>
      <w:r w:rsidRPr="005D2B81">
        <w:rPr>
          <w:rFonts w:ascii="Arial" w:eastAsia="Arial" w:hAnsi="Arial" w:cs="Arial"/>
          <w:b/>
          <w:bCs/>
          <w:i/>
          <w:spacing w:val="-2"/>
          <w:highlight w:val="green"/>
        </w:rPr>
        <w:t>Contract</w:t>
      </w:r>
      <w:r w:rsidRPr="005D2B81">
        <w:rPr>
          <w:rFonts w:ascii="Arial" w:eastAsia="Arial" w:hAnsi="Arial" w:cs="Arial"/>
          <w:b/>
          <w:bCs/>
          <w:i/>
          <w:spacing w:val="4"/>
          <w:highlight w:val="green"/>
        </w:rPr>
        <w:t xml:space="preserve"> </w:t>
      </w:r>
      <w:r w:rsidRPr="005D2B81">
        <w:rPr>
          <w:rFonts w:ascii="Arial" w:eastAsia="Arial" w:hAnsi="Arial" w:cs="Arial"/>
          <w:b/>
          <w:bCs/>
          <w:i/>
          <w:spacing w:val="-1"/>
          <w:highlight w:val="green"/>
        </w:rPr>
        <w:t>by</w:t>
      </w:r>
      <w:r w:rsidRPr="005D2B81">
        <w:rPr>
          <w:rFonts w:ascii="Arial" w:eastAsia="Arial" w:hAnsi="Arial" w:cs="Arial"/>
          <w:b/>
          <w:bCs/>
          <w:i/>
          <w:spacing w:val="61"/>
          <w:highlight w:val="green"/>
        </w:rPr>
        <w:t xml:space="preserve"> </w:t>
      </w:r>
      <w:r w:rsidRPr="005D2B81">
        <w:rPr>
          <w:rFonts w:ascii="Arial" w:eastAsia="Arial" w:hAnsi="Arial" w:cs="Arial"/>
          <w:b/>
          <w:bCs/>
          <w:i/>
          <w:highlight w:val="green"/>
        </w:rPr>
        <w:t>way</w:t>
      </w:r>
      <w:r w:rsidRPr="005D2B81">
        <w:rPr>
          <w:rFonts w:ascii="Arial" w:eastAsia="Arial" w:hAnsi="Arial" w:cs="Arial"/>
          <w:b/>
          <w:bCs/>
          <w:i/>
          <w:spacing w:val="3"/>
          <w:highlight w:val="green"/>
        </w:rPr>
        <w:t xml:space="preserve"> </w:t>
      </w:r>
      <w:r w:rsidRPr="005D2B81">
        <w:rPr>
          <w:rFonts w:ascii="Arial" w:eastAsia="Arial" w:hAnsi="Arial" w:cs="Arial"/>
          <w:b/>
          <w:bCs/>
          <w:i/>
          <w:spacing w:val="-2"/>
          <w:highlight w:val="green"/>
        </w:rPr>
        <w:t>of</w:t>
      </w:r>
      <w:r w:rsidRPr="005D2B81">
        <w:rPr>
          <w:rFonts w:ascii="Arial" w:eastAsia="Arial" w:hAnsi="Arial" w:cs="Arial"/>
          <w:b/>
          <w:bCs/>
          <w:i/>
          <w:spacing w:val="4"/>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highlight w:val="green"/>
        </w:rPr>
        <w:t xml:space="preserve"> </w:t>
      </w:r>
      <w:r w:rsidRPr="005D2B81">
        <w:rPr>
          <w:rFonts w:ascii="Arial" w:eastAsia="Arial" w:hAnsi="Arial" w:cs="Arial"/>
          <w:b/>
          <w:bCs/>
          <w:i/>
          <w:spacing w:val="-1"/>
          <w:highlight w:val="green"/>
        </w:rPr>
        <w:t>Further</w:t>
      </w:r>
      <w:r w:rsidRPr="005D2B81">
        <w:rPr>
          <w:rFonts w:ascii="Arial" w:eastAsia="Arial" w:hAnsi="Arial" w:cs="Arial"/>
          <w:b/>
          <w:bCs/>
          <w:i/>
          <w:spacing w:val="48"/>
          <w:highlight w:val="green"/>
        </w:rPr>
        <w:t xml:space="preserve"> </w:t>
      </w:r>
      <w:r w:rsidRPr="005D2B81">
        <w:rPr>
          <w:rFonts w:ascii="Arial" w:eastAsia="Arial" w:hAnsi="Arial" w:cs="Arial"/>
          <w:b/>
          <w:bCs/>
          <w:i/>
          <w:spacing w:val="-1"/>
          <w:highlight w:val="green"/>
        </w:rPr>
        <w:t>Competition</w:t>
      </w:r>
      <w:r w:rsidRPr="005D2B81">
        <w:rPr>
          <w:rFonts w:ascii="Arial" w:eastAsia="Arial" w:hAnsi="Arial" w:cs="Arial"/>
          <w:b/>
          <w:bCs/>
          <w:i/>
          <w:spacing w:val="20"/>
          <w:highlight w:val="green"/>
        </w:rPr>
        <w:t xml:space="preserve"> </w:t>
      </w:r>
      <w:r w:rsidRPr="005D2B81">
        <w:rPr>
          <w:rFonts w:ascii="Arial" w:eastAsia="Arial" w:hAnsi="Arial" w:cs="Arial"/>
          <w:b/>
          <w:bCs/>
          <w:i/>
          <w:spacing w:val="-1"/>
          <w:highlight w:val="green"/>
        </w:rPr>
        <w:t>Procedure</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should</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note</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that</w:t>
      </w:r>
      <w:r w:rsidRPr="005D2B81">
        <w:rPr>
          <w:rFonts w:ascii="Arial" w:eastAsia="Arial" w:hAnsi="Arial" w:cs="Arial"/>
          <w:b/>
          <w:bCs/>
          <w:i/>
          <w:spacing w:val="21"/>
          <w:highlight w:val="green"/>
        </w:rPr>
        <w:t xml:space="preserve"> </w:t>
      </w:r>
      <w:r w:rsidRPr="005D2B81">
        <w:rPr>
          <w:rFonts w:ascii="Arial" w:eastAsia="Arial" w:hAnsi="Arial" w:cs="Arial"/>
          <w:b/>
          <w:bCs/>
          <w:i/>
          <w:spacing w:val="-1"/>
          <w:highlight w:val="green"/>
        </w:rPr>
        <w:t>they</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are</w:t>
      </w:r>
      <w:r w:rsidRPr="005D2B81">
        <w:rPr>
          <w:rFonts w:ascii="Arial" w:eastAsia="Arial" w:hAnsi="Arial" w:cs="Arial"/>
          <w:b/>
          <w:bCs/>
          <w:i/>
          <w:spacing w:val="20"/>
          <w:highlight w:val="green"/>
        </w:rPr>
        <w:t xml:space="preserve"> </w:t>
      </w:r>
      <w:r w:rsidRPr="005D2B81">
        <w:rPr>
          <w:rFonts w:ascii="Arial" w:eastAsia="Arial" w:hAnsi="Arial" w:cs="Arial"/>
          <w:b/>
          <w:bCs/>
          <w:i/>
          <w:spacing w:val="-1"/>
          <w:highlight w:val="green"/>
        </w:rPr>
        <w:t>responsible</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for</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identifying</w:t>
      </w:r>
      <w:r w:rsidRPr="005D2B81">
        <w:rPr>
          <w:rFonts w:ascii="Arial" w:eastAsia="Arial" w:hAnsi="Arial" w:cs="Arial"/>
          <w:b/>
          <w:bCs/>
          <w:i/>
          <w:spacing w:val="7"/>
          <w:highlight w:val="green"/>
        </w:rPr>
        <w:t xml:space="preserve"> </w:t>
      </w:r>
      <w:r w:rsidRPr="005D2B81">
        <w:rPr>
          <w:rFonts w:ascii="Arial" w:eastAsia="Arial" w:hAnsi="Arial" w:cs="Arial"/>
          <w:b/>
          <w:bCs/>
          <w:i/>
          <w:spacing w:val="-1"/>
          <w:highlight w:val="green"/>
        </w:rPr>
        <w:t>any</w:t>
      </w:r>
      <w:r w:rsidRPr="005D2B81">
        <w:rPr>
          <w:rFonts w:ascii="Arial" w:eastAsia="Arial" w:hAnsi="Arial" w:cs="Arial"/>
          <w:b/>
          <w:bCs/>
          <w:i/>
          <w:spacing w:val="7"/>
          <w:highlight w:val="green"/>
        </w:rPr>
        <w:t xml:space="preserve"> </w:t>
      </w:r>
      <w:r w:rsidRPr="005D2B81">
        <w:rPr>
          <w:rFonts w:ascii="Arial" w:eastAsia="Arial" w:hAnsi="Arial" w:cs="Arial"/>
          <w:b/>
          <w:bCs/>
          <w:i/>
          <w:spacing w:val="-1"/>
          <w:highlight w:val="green"/>
        </w:rPr>
        <w:t>parts</w:t>
      </w:r>
      <w:r w:rsidRPr="005D2B81">
        <w:rPr>
          <w:rFonts w:ascii="Arial" w:eastAsia="Arial" w:hAnsi="Arial" w:cs="Arial"/>
          <w:b/>
          <w:bCs/>
          <w:i/>
          <w:spacing w:val="7"/>
          <w:highlight w:val="green"/>
        </w:rPr>
        <w:t xml:space="preserve"> </w:t>
      </w:r>
      <w:r w:rsidRPr="005D2B81">
        <w:rPr>
          <w:rFonts w:ascii="Arial" w:eastAsia="Arial" w:hAnsi="Arial" w:cs="Arial"/>
          <w:b/>
          <w:bCs/>
          <w:i/>
          <w:spacing w:val="-1"/>
          <w:highlight w:val="green"/>
        </w:rPr>
        <w:t>of</w:t>
      </w:r>
      <w:r w:rsidRPr="005D2B81">
        <w:rPr>
          <w:rFonts w:ascii="Arial" w:eastAsia="Arial" w:hAnsi="Arial" w:cs="Arial"/>
          <w:b/>
          <w:bCs/>
          <w:i/>
          <w:spacing w:val="6"/>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7"/>
          <w:highlight w:val="green"/>
        </w:rPr>
        <w:t xml:space="preserve"> </w:t>
      </w:r>
      <w:r w:rsidRPr="005D2B81">
        <w:rPr>
          <w:rFonts w:ascii="Arial" w:eastAsia="Arial" w:hAnsi="Arial" w:cs="Arial"/>
          <w:b/>
          <w:bCs/>
          <w:i/>
          <w:spacing w:val="-1"/>
          <w:highlight w:val="green"/>
        </w:rPr>
        <w:t>Supplier’s</w:t>
      </w:r>
      <w:r w:rsidRPr="005D2B81">
        <w:rPr>
          <w:rFonts w:ascii="Arial" w:eastAsia="Arial" w:hAnsi="Arial" w:cs="Arial"/>
          <w:b/>
          <w:bCs/>
          <w:i/>
          <w:spacing w:val="7"/>
          <w:highlight w:val="green"/>
        </w:rPr>
        <w:t xml:space="preserve"> </w:t>
      </w:r>
      <w:r w:rsidRPr="005D2B81">
        <w:rPr>
          <w:rFonts w:ascii="Arial" w:eastAsia="Arial" w:hAnsi="Arial" w:cs="Arial"/>
          <w:b/>
          <w:bCs/>
          <w:i/>
          <w:spacing w:val="-1"/>
          <w:highlight w:val="green"/>
        </w:rPr>
        <w:t>responses</w:t>
      </w:r>
      <w:r w:rsidRPr="005D2B81">
        <w:rPr>
          <w:rFonts w:ascii="Arial" w:eastAsia="Arial" w:hAnsi="Arial" w:cs="Arial"/>
          <w:b/>
          <w:bCs/>
          <w:i/>
          <w:spacing w:val="7"/>
          <w:highlight w:val="green"/>
        </w:rPr>
        <w:t xml:space="preserve"> </w:t>
      </w:r>
      <w:r w:rsidRPr="005D2B81">
        <w:rPr>
          <w:rFonts w:ascii="Arial" w:eastAsia="Arial" w:hAnsi="Arial" w:cs="Arial"/>
          <w:b/>
          <w:bCs/>
          <w:i/>
          <w:highlight w:val="green"/>
        </w:rPr>
        <w:t>to</w:t>
      </w:r>
      <w:r w:rsidRPr="005D2B81">
        <w:rPr>
          <w:rFonts w:ascii="Arial" w:eastAsia="Arial" w:hAnsi="Arial" w:cs="Arial"/>
          <w:b/>
          <w:bCs/>
          <w:i/>
          <w:spacing w:val="7"/>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5"/>
          <w:highlight w:val="green"/>
        </w:rPr>
        <w:t xml:space="preserve"> </w:t>
      </w:r>
      <w:r w:rsidRPr="005D2B81">
        <w:rPr>
          <w:rFonts w:ascii="Arial" w:eastAsia="Arial" w:hAnsi="Arial" w:cs="Arial"/>
          <w:b/>
          <w:bCs/>
          <w:i/>
          <w:spacing w:val="-1"/>
          <w:highlight w:val="green"/>
        </w:rPr>
        <w:t>further</w:t>
      </w:r>
      <w:r w:rsidRPr="005D2B81">
        <w:rPr>
          <w:rFonts w:ascii="Arial" w:eastAsia="Arial" w:hAnsi="Arial" w:cs="Arial"/>
          <w:b/>
          <w:bCs/>
          <w:i/>
          <w:spacing w:val="8"/>
          <w:highlight w:val="green"/>
        </w:rPr>
        <w:t xml:space="preserve"> </w:t>
      </w:r>
      <w:r w:rsidRPr="005D2B81">
        <w:rPr>
          <w:rFonts w:ascii="Arial" w:eastAsia="Arial" w:hAnsi="Arial" w:cs="Arial"/>
          <w:b/>
          <w:bCs/>
          <w:i/>
          <w:spacing w:val="-1"/>
          <w:highlight w:val="green"/>
        </w:rPr>
        <w:t>competition</w:t>
      </w:r>
      <w:r w:rsidRPr="005D2B81">
        <w:rPr>
          <w:rFonts w:ascii="Arial" w:eastAsia="Arial" w:hAnsi="Arial" w:cs="Arial"/>
          <w:b/>
          <w:bCs/>
          <w:i/>
          <w:spacing w:val="34"/>
          <w:highlight w:val="green"/>
        </w:rPr>
        <w:t xml:space="preserve"> </w:t>
      </w:r>
      <w:r w:rsidRPr="005D2B81">
        <w:rPr>
          <w:rFonts w:ascii="Arial" w:eastAsia="Arial" w:hAnsi="Arial" w:cs="Arial"/>
          <w:b/>
          <w:bCs/>
          <w:i/>
          <w:spacing w:val="-1"/>
          <w:highlight w:val="green"/>
        </w:rPr>
        <w:t>documentation</w:t>
      </w:r>
      <w:r w:rsidRPr="005D2B81">
        <w:rPr>
          <w:rFonts w:ascii="Arial" w:eastAsia="Arial" w:hAnsi="Arial" w:cs="Arial"/>
          <w:b/>
          <w:bCs/>
          <w:i/>
          <w:spacing w:val="34"/>
          <w:highlight w:val="green"/>
        </w:rPr>
        <w:t xml:space="preserve"> </w:t>
      </w:r>
      <w:r w:rsidRPr="005D2B81">
        <w:rPr>
          <w:rFonts w:ascii="Arial" w:eastAsia="Arial" w:hAnsi="Arial" w:cs="Arial"/>
          <w:b/>
          <w:bCs/>
          <w:i/>
          <w:highlight w:val="green"/>
        </w:rPr>
        <w:t>which</w:t>
      </w:r>
      <w:r w:rsidRPr="005D2B81">
        <w:rPr>
          <w:rFonts w:ascii="Arial" w:eastAsia="Arial" w:hAnsi="Arial" w:cs="Arial"/>
          <w:b/>
          <w:bCs/>
          <w:i/>
          <w:spacing w:val="34"/>
          <w:highlight w:val="green"/>
        </w:rPr>
        <w:t xml:space="preserve"> </w:t>
      </w:r>
      <w:r w:rsidRPr="005D2B81">
        <w:rPr>
          <w:rFonts w:ascii="Arial" w:eastAsia="Arial" w:hAnsi="Arial" w:cs="Arial"/>
          <w:b/>
          <w:bCs/>
          <w:i/>
          <w:spacing w:val="-1"/>
          <w:highlight w:val="green"/>
        </w:rPr>
        <w:t>are</w:t>
      </w:r>
      <w:r w:rsidRPr="005D2B81">
        <w:rPr>
          <w:rFonts w:ascii="Arial" w:eastAsia="Arial" w:hAnsi="Arial" w:cs="Arial"/>
          <w:b/>
          <w:bCs/>
          <w:i/>
          <w:spacing w:val="36"/>
          <w:highlight w:val="green"/>
        </w:rPr>
        <w:t xml:space="preserve"> </w:t>
      </w:r>
      <w:r w:rsidRPr="005D2B81">
        <w:rPr>
          <w:rFonts w:ascii="Arial" w:eastAsia="Arial" w:hAnsi="Arial" w:cs="Arial"/>
          <w:b/>
          <w:bCs/>
          <w:i/>
          <w:spacing w:val="-1"/>
          <w:highlight w:val="green"/>
        </w:rPr>
        <w:t>relevant</w:t>
      </w:r>
      <w:r w:rsidRPr="005D2B81">
        <w:rPr>
          <w:rFonts w:ascii="Arial" w:eastAsia="Arial" w:hAnsi="Arial" w:cs="Arial"/>
          <w:b/>
          <w:bCs/>
          <w:i/>
          <w:spacing w:val="38"/>
          <w:highlight w:val="green"/>
        </w:rPr>
        <w:t xml:space="preserve"> </w:t>
      </w:r>
      <w:r w:rsidRPr="005D2B81">
        <w:rPr>
          <w:rFonts w:ascii="Arial" w:eastAsia="Arial" w:hAnsi="Arial" w:cs="Arial"/>
          <w:b/>
          <w:bCs/>
          <w:i/>
          <w:highlight w:val="green"/>
        </w:rPr>
        <w:t>to</w:t>
      </w:r>
      <w:r w:rsidRPr="005D2B81">
        <w:rPr>
          <w:rFonts w:ascii="Arial" w:eastAsia="Arial" w:hAnsi="Arial" w:cs="Arial"/>
          <w:b/>
          <w:bCs/>
          <w:i/>
          <w:spacing w:val="34"/>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36"/>
          <w:highlight w:val="green"/>
        </w:rPr>
        <w:t xml:space="preserve"> </w:t>
      </w:r>
      <w:r w:rsidRPr="005D2B81">
        <w:rPr>
          <w:rFonts w:ascii="Arial" w:eastAsia="Arial" w:hAnsi="Arial" w:cs="Arial"/>
          <w:b/>
          <w:bCs/>
          <w:i/>
          <w:spacing w:val="-1"/>
          <w:highlight w:val="green"/>
        </w:rPr>
        <w:t>Call</w:t>
      </w:r>
      <w:r w:rsidRPr="005D2B81">
        <w:rPr>
          <w:rFonts w:ascii="Arial" w:eastAsia="Arial" w:hAnsi="Arial" w:cs="Arial"/>
          <w:b/>
          <w:bCs/>
          <w:i/>
          <w:spacing w:val="36"/>
          <w:highlight w:val="green"/>
        </w:rPr>
        <w:t xml:space="preserve"> </w:t>
      </w:r>
      <w:r w:rsidRPr="005D2B81">
        <w:rPr>
          <w:rFonts w:ascii="Arial" w:eastAsia="Arial" w:hAnsi="Arial" w:cs="Arial"/>
          <w:b/>
          <w:bCs/>
          <w:i/>
          <w:highlight w:val="green"/>
        </w:rPr>
        <w:t>Off</w:t>
      </w:r>
      <w:r w:rsidRPr="005D2B81">
        <w:rPr>
          <w:rFonts w:ascii="Arial" w:eastAsia="Arial" w:hAnsi="Arial" w:cs="Arial"/>
          <w:b/>
          <w:bCs/>
          <w:i/>
          <w:spacing w:val="38"/>
          <w:highlight w:val="green"/>
        </w:rPr>
        <w:t xml:space="preserve"> </w:t>
      </w:r>
      <w:r w:rsidRPr="005D2B81">
        <w:rPr>
          <w:rFonts w:ascii="Arial" w:eastAsia="Arial" w:hAnsi="Arial" w:cs="Arial"/>
          <w:b/>
          <w:bCs/>
          <w:i/>
          <w:spacing w:val="-2"/>
          <w:highlight w:val="green"/>
        </w:rPr>
        <w:t>Contract</w:t>
      </w:r>
      <w:r w:rsidRPr="005D2B81">
        <w:rPr>
          <w:rFonts w:ascii="Arial" w:eastAsia="Arial" w:hAnsi="Arial" w:cs="Arial"/>
          <w:b/>
          <w:bCs/>
          <w:i/>
          <w:spacing w:val="38"/>
          <w:highlight w:val="green"/>
        </w:rPr>
        <w:t xml:space="preserve"> </w:t>
      </w:r>
      <w:r w:rsidRPr="005D2B81">
        <w:rPr>
          <w:rFonts w:ascii="Arial" w:eastAsia="Arial" w:hAnsi="Arial" w:cs="Arial"/>
          <w:b/>
          <w:bCs/>
          <w:i/>
          <w:spacing w:val="-1"/>
          <w:highlight w:val="green"/>
        </w:rPr>
        <w:t>and</w:t>
      </w:r>
      <w:r w:rsidRPr="005D2B81">
        <w:rPr>
          <w:rFonts w:ascii="Arial" w:eastAsia="Arial" w:hAnsi="Arial" w:cs="Arial"/>
          <w:b/>
          <w:bCs/>
          <w:i/>
          <w:spacing w:val="34"/>
          <w:highlight w:val="green"/>
        </w:rPr>
        <w:t xml:space="preserve"> </w:t>
      </w:r>
      <w:r w:rsidRPr="005D2B81">
        <w:rPr>
          <w:rFonts w:ascii="Arial" w:eastAsia="Arial" w:hAnsi="Arial" w:cs="Arial"/>
          <w:b/>
          <w:bCs/>
          <w:i/>
          <w:spacing w:val="-1"/>
          <w:highlight w:val="green"/>
        </w:rPr>
        <w:t>incorporating</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them</w:t>
      </w:r>
      <w:r w:rsidRPr="005D2B81">
        <w:rPr>
          <w:rFonts w:ascii="Arial" w:eastAsia="Arial" w:hAnsi="Arial" w:cs="Arial"/>
          <w:b/>
          <w:bCs/>
          <w:i/>
          <w:spacing w:val="30"/>
          <w:highlight w:val="green"/>
        </w:rPr>
        <w:t xml:space="preserve"> </w:t>
      </w:r>
      <w:r w:rsidRPr="005D2B81">
        <w:rPr>
          <w:rFonts w:ascii="Arial" w:eastAsia="Arial" w:hAnsi="Arial" w:cs="Arial"/>
          <w:b/>
          <w:bCs/>
          <w:i/>
          <w:spacing w:val="-1"/>
          <w:highlight w:val="green"/>
        </w:rPr>
        <w:t>within</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before</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signature.</w:t>
      </w:r>
      <w:r w:rsidRPr="005D2B81">
        <w:rPr>
          <w:rFonts w:ascii="Arial" w:eastAsia="Arial" w:hAnsi="Arial" w:cs="Arial"/>
          <w:b/>
          <w:bCs/>
          <w:i/>
          <w:spacing w:val="28"/>
          <w:highlight w:val="green"/>
        </w:rPr>
        <w:t xml:space="preserve"> </w:t>
      </w:r>
      <w:r w:rsidRPr="005D2B81">
        <w:rPr>
          <w:rFonts w:ascii="Arial" w:eastAsia="Arial" w:hAnsi="Arial" w:cs="Arial"/>
          <w:b/>
          <w:bCs/>
          <w:i/>
          <w:spacing w:val="-1"/>
          <w:highlight w:val="green"/>
        </w:rPr>
        <w:t>For</w:t>
      </w:r>
      <w:r w:rsidRPr="005D2B81">
        <w:rPr>
          <w:rFonts w:ascii="Arial" w:eastAsia="Arial" w:hAnsi="Arial" w:cs="Arial"/>
          <w:b/>
          <w:bCs/>
          <w:i/>
          <w:spacing w:val="30"/>
          <w:highlight w:val="green"/>
        </w:rPr>
        <w:t xml:space="preserve"> </w:t>
      </w:r>
      <w:r w:rsidRPr="005D2B81">
        <w:rPr>
          <w:rFonts w:ascii="Arial" w:eastAsia="Arial" w:hAnsi="Arial" w:cs="Arial"/>
          <w:b/>
          <w:bCs/>
          <w:i/>
          <w:spacing w:val="-1"/>
          <w:highlight w:val="green"/>
        </w:rPr>
        <w:t>example,</w:t>
      </w:r>
      <w:r w:rsidRPr="005D2B81">
        <w:rPr>
          <w:rFonts w:ascii="Arial" w:eastAsia="Arial" w:hAnsi="Arial" w:cs="Arial"/>
          <w:b/>
          <w:bCs/>
          <w:i/>
          <w:spacing w:val="30"/>
          <w:highlight w:val="green"/>
        </w:rPr>
        <w:t xml:space="preserve"> </w:t>
      </w:r>
      <w:r w:rsidRPr="005D2B81">
        <w:rPr>
          <w:rFonts w:ascii="Arial" w:eastAsia="Arial" w:hAnsi="Arial" w:cs="Arial"/>
          <w:b/>
          <w:bCs/>
          <w:i/>
          <w:highlight w:val="green"/>
        </w:rPr>
        <w:t>if</w:t>
      </w:r>
      <w:r w:rsidRPr="005D2B81">
        <w:rPr>
          <w:rFonts w:ascii="Arial" w:eastAsia="Arial" w:hAnsi="Arial" w:cs="Arial"/>
          <w:b/>
          <w:bCs/>
          <w:i/>
          <w:spacing w:val="28"/>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Customer</w:t>
      </w:r>
      <w:r w:rsidRPr="005D2B81">
        <w:rPr>
          <w:rFonts w:ascii="Arial" w:eastAsia="Arial" w:hAnsi="Arial" w:cs="Arial"/>
          <w:b/>
          <w:bCs/>
          <w:i/>
          <w:spacing w:val="40"/>
          <w:highlight w:val="green"/>
        </w:rPr>
        <w:t xml:space="preserve"> </w:t>
      </w:r>
      <w:r w:rsidRPr="005D2B81">
        <w:rPr>
          <w:rFonts w:ascii="Arial" w:eastAsia="Arial" w:hAnsi="Arial" w:cs="Arial"/>
          <w:b/>
          <w:bCs/>
          <w:i/>
          <w:spacing w:val="-1"/>
          <w:highlight w:val="green"/>
        </w:rPr>
        <w:t>has</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asked</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award</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questions</w:t>
      </w:r>
      <w:r w:rsidRPr="005D2B81">
        <w:rPr>
          <w:rFonts w:ascii="Arial" w:eastAsia="Arial" w:hAnsi="Arial" w:cs="Arial"/>
          <w:b/>
          <w:bCs/>
          <w:i/>
          <w:spacing w:val="22"/>
          <w:highlight w:val="green"/>
        </w:rPr>
        <w:t xml:space="preserve"> </w:t>
      </w:r>
      <w:r w:rsidRPr="005D2B81">
        <w:rPr>
          <w:rFonts w:ascii="Arial" w:eastAsia="Arial" w:hAnsi="Arial" w:cs="Arial"/>
          <w:b/>
          <w:bCs/>
          <w:i/>
          <w:spacing w:val="-2"/>
          <w:highlight w:val="green"/>
        </w:rPr>
        <w:t>about</w:t>
      </w:r>
      <w:r w:rsidRPr="005D2B81">
        <w:rPr>
          <w:rFonts w:ascii="Arial" w:eastAsia="Arial" w:hAnsi="Arial" w:cs="Arial"/>
          <w:b/>
          <w:bCs/>
          <w:i/>
          <w:spacing w:val="23"/>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22"/>
          <w:highlight w:val="green"/>
        </w:rPr>
        <w:t xml:space="preserve"> </w:t>
      </w:r>
      <w:r w:rsidRPr="005D2B81">
        <w:rPr>
          <w:rFonts w:ascii="Arial" w:eastAsia="Arial" w:hAnsi="Arial" w:cs="Arial"/>
          <w:b/>
          <w:bCs/>
          <w:i/>
          <w:spacing w:val="-2"/>
          <w:highlight w:val="green"/>
        </w:rPr>
        <w:t>provision</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of</w:t>
      </w:r>
      <w:r w:rsidRPr="005D2B81">
        <w:rPr>
          <w:rFonts w:ascii="Arial" w:eastAsia="Arial" w:hAnsi="Arial" w:cs="Arial"/>
          <w:b/>
          <w:bCs/>
          <w:i/>
          <w:spacing w:val="23"/>
          <w:highlight w:val="green"/>
        </w:rPr>
        <w:t xml:space="preserve"> </w:t>
      </w:r>
      <w:r w:rsidRPr="005D2B81">
        <w:rPr>
          <w:rFonts w:ascii="Arial" w:eastAsia="Arial" w:hAnsi="Arial" w:cs="Arial"/>
          <w:b/>
          <w:bCs/>
          <w:i/>
          <w:spacing w:val="-1"/>
          <w:highlight w:val="green"/>
        </w:rPr>
        <w:t>Goods</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and/or</w:t>
      </w:r>
      <w:r w:rsidRPr="005D2B81">
        <w:rPr>
          <w:rFonts w:ascii="Arial" w:eastAsia="Arial" w:hAnsi="Arial" w:cs="Arial"/>
          <w:b/>
          <w:bCs/>
          <w:i/>
          <w:spacing w:val="23"/>
          <w:highlight w:val="green"/>
        </w:rPr>
        <w:t xml:space="preserve"> </w:t>
      </w:r>
      <w:r w:rsidRPr="005D2B81">
        <w:rPr>
          <w:rFonts w:ascii="Arial" w:eastAsia="Arial" w:hAnsi="Arial" w:cs="Arial"/>
          <w:b/>
          <w:bCs/>
          <w:i/>
          <w:spacing w:val="-1"/>
          <w:highlight w:val="green"/>
        </w:rPr>
        <w:t>Services</w:t>
      </w:r>
      <w:r w:rsidRPr="005D2B81">
        <w:rPr>
          <w:rFonts w:ascii="Arial" w:eastAsia="Arial" w:hAnsi="Arial" w:cs="Arial"/>
          <w:b/>
          <w:bCs/>
          <w:i/>
          <w:spacing w:val="56"/>
          <w:highlight w:val="green"/>
        </w:rPr>
        <w:t xml:space="preserve"> </w:t>
      </w:r>
      <w:r w:rsidRPr="005D2B81">
        <w:rPr>
          <w:rFonts w:ascii="Arial" w:eastAsia="Arial" w:hAnsi="Arial" w:cs="Arial"/>
          <w:b/>
          <w:bCs/>
          <w:i/>
          <w:spacing w:val="-1"/>
          <w:highlight w:val="green"/>
        </w:rPr>
        <w:t>and</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wishes</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responses</w:t>
      </w:r>
      <w:r w:rsidRPr="005D2B81">
        <w:rPr>
          <w:rFonts w:ascii="Arial" w:eastAsia="Arial" w:hAnsi="Arial" w:cs="Arial"/>
          <w:b/>
          <w:bCs/>
          <w:i/>
          <w:spacing w:val="7"/>
          <w:highlight w:val="green"/>
        </w:rPr>
        <w:t xml:space="preserve"> </w:t>
      </w:r>
      <w:r w:rsidRPr="005D2B81">
        <w:rPr>
          <w:rFonts w:ascii="Arial" w:eastAsia="Arial" w:hAnsi="Arial" w:cs="Arial"/>
          <w:b/>
          <w:bCs/>
          <w:i/>
          <w:highlight w:val="green"/>
        </w:rPr>
        <w:t>to</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be</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binding</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upon</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7"/>
          <w:highlight w:val="green"/>
        </w:rPr>
        <w:t xml:space="preserve"> </w:t>
      </w:r>
      <w:r w:rsidRPr="005D2B81">
        <w:rPr>
          <w:rFonts w:ascii="Arial" w:eastAsia="Arial" w:hAnsi="Arial" w:cs="Arial"/>
          <w:b/>
          <w:bCs/>
          <w:i/>
          <w:spacing w:val="-1"/>
          <w:highlight w:val="green"/>
        </w:rPr>
        <w:t>Supplier,</w:t>
      </w:r>
      <w:r w:rsidRPr="005D2B81">
        <w:rPr>
          <w:rFonts w:ascii="Arial" w:eastAsia="Arial" w:hAnsi="Arial" w:cs="Arial"/>
          <w:b/>
          <w:bCs/>
          <w:i/>
          <w:spacing w:val="11"/>
          <w:highlight w:val="green"/>
        </w:rPr>
        <w:t xml:space="preserve"> </w:t>
      </w:r>
      <w:r w:rsidRPr="005D2B81">
        <w:rPr>
          <w:rFonts w:ascii="Arial" w:eastAsia="Arial" w:hAnsi="Arial" w:cs="Arial"/>
          <w:b/>
          <w:bCs/>
          <w:i/>
          <w:spacing w:val="-1"/>
          <w:highlight w:val="green"/>
        </w:rPr>
        <w:t>then</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Customer</w:t>
      </w:r>
      <w:r w:rsidRPr="005D2B81">
        <w:rPr>
          <w:rFonts w:ascii="Arial" w:eastAsia="Arial" w:hAnsi="Arial" w:cs="Arial"/>
          <w:b/>
          <w:bCs/>
          <w:i/>
          <w:spacing w:val="52"/>
          <w:highlight w:val="green"/>
        </w:rPr>
        <w:t xml:space="preserve"> </w:t>
      </w:r>
      <w:r w:rsidRPr="005D2B81">
        <w:rPr>
          <w:rFonts w:ascii="Arial" w:eastAsia="Arial" w:hAnsi="Arial" w:cs="Arial"/>
          <w:b/>
          <w:bCs/>
          <w:i/>
          <w:spacing w:val="-1"/>
          <w:highlight w:val="green"/>
        </w:rPr>
        <w:t>must</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supplement</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its</w:t>
      </w:r>
      <w:r w:rsidRPr="005D2B81">
        <w:rPr>
          <w:rFonts w:ascii="Arial" w:eastAsia="Arial" w:hAnsi="Arial" w:cs="Arial"/>
          <w:b/>
          <w:bCs/>
          <w:i/>
          <w:spacing w:val="11"/>
          <w:highlight w:val="green"/>
        </w:rPr>
        <w:t xml:space="preserve"> </w:t>
      </w:r>
      <w:r w:rsidRPr="005D2B81">
        <w:rPr>
          <w:rFonts w:ascii="Arial" w:eastAsia="Arial" w:hAnsi="Arial" w:cs="Arial"/>
          <w:b/>
          <w:bCs/>
          <w:i/>
          <w:spacing w:val="-1"/>
          <w:highlight w:val="green"/>
        </w:rPr>
        <w:t>already</w:t>
      </w:r>
      <w:r w:rsidRPr="005D2B81">
        <w:rPr>
          <w:rFonts w:ascii="Arial" w:eastAsia="Arial" w:hAnsi="Arial" w:cs="Arial"/>
          <w:b/>
          <w:bCs/>
          <w:i/>
          <w:spacing w:val="13"/>
          <w:highlight w:val="green"/>
        </w:rPr>
        <w:t xml:space="preserve"> </w:t>
      </w:r>
      <w:r w:rsidRPr="005D2B81">
        <w:rPr>
          <w:rFonts w:ascii="Arial" w:eastAsia="Arial" w:hAnsi="Arial" w:cs="Arial"/>
          <w:b/>
          <w:bCs/>
          <w:i/>
          <w:spacing w:val="-1"/>
          <w:highlight w:val="green"/>
        </w:rPr>
        <w:t>defined</w:t>
      </w:r>
      <w:r w:rsidRPr="005D2B81">
        <w:rPr>
          <w:rFonts w:ascii="Arial" w:eastAsia="Arial" w:hAnsi="Arial" w:cs="Arial"/>
          <w:b/>
          <w:bCs/>
          <w:i/>
          <w:spacing w:val="14"/>
          <w:highlight w:val="green"/>
        </w:rPr>
        <w:t xml:space="preserve"> </w:t>
      </w:r>
      <w:r w:rsidRPr="005D2B81">
        <w:rPr>
          <w:rFonts w:ascii="Arial" w:eastAsia="Arial" w:hAnsi="Arial" w:cs="Arial"/>
          <w:b/>
          <w:bCs/>
          <w:i/>
          <w:spacing w:val="-1"/>
          <w:highlight w:val="green"/>
        </w:rPr>
        <w:t>Call</w:t>
      </w:r>
      <w:r w:rsidRPr="005D2B81">
        <w:rPr>
          <w:rFonts w:ascii="Arial" w:eastAsia="Arial" w:hAnsi="Arial" w:cs="Arial"/>
          <w:b/>
          <w:bCs/>
          <w:i/>
          <w:spacing w:val="13"/>
          <w:highlight w:val="green"/>
        </w:rPr>
        <w:t xml:space="preserve"> </w:t>
      </w:r>
      <w:r w:rsidRPr="005D2B81">
        <w:rPr>
          <w:rFonts w:ascii="Arial" w:eastAsia="Arial" w:hAnsi="Arial" w:cs="Arial"/>
          <w:b/>
          <w:bCs/>
          <w:i/>
          <w:spacing w:val="-1"/>
          <w:highlight w:val="green"/>
        </w:rPr>
        <w:t>Off</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Schedule</w:t>
      </w:r>
      <w:r w:rsidRPr="005D2B81">
        <w:rPr>
          <w:rFonts w:ascii="Arial" w:eastAsia="Arial" w:hAnsi="Arial" w:cs="Arial"/>
          <w:b/>
          <w:bCs/>
          <w:i/>
          <w:spacing w:val="13"/>
          <w:highlight w:val="green"/>
        </w:rPr>
        <w:t xml:space="preserve"> </w:t>
      </w:r>
      <w:r w:rsidRPr="005D2B81">
        <w:rPr>
          <w:rFonts w:ascii="Arial" w:eastAsia="Arial" w:hAnsi="Arial" w:cs="Arial"/>
          <w:b/>
          <w:bCs/>
          <w:i/>
          <w:highlight w:val="green"/>
        </w:rPr>
        <w:t>2</w:t>
      </w:r>
      <w:r w:rsidRPr="005D2B81">
        <w:rPr>
          <w:rFonts w:ascii="Arial" w:eastAsia="Arial" w:hAnsi="Arial" w:cs="Arial"/>
          <w:b/>
          <w:bCs/>
          <w:i/>
          <w:spacing w:val="11"/>
          <w:highlight w:val="green"/>
        </w:rPr>
        <w:t xml:space="preserve"> </w:t>
      </w:r>
      <w:r w:rsidRPr="005D2B81">
        <w:rPr>
          <w:rFonts w:ascii="Arial" w:eastAsia="Arial" w:hAnsi="Arial" w:cs="Arial"/>
          <w:b/>
          <w:bCs/>
          <w:i/>
          <w:spacing w:val="-1"/>
          <w:highlight w:val="green"/>
        </w:rPr>
        <w:t>(Goods</w:t>
      </w:r>
      <w:r w:rsidRPr="005D2B81">
        <w:rPr>
          <w:rFonts w:ascii="Arial" w:eastAsia="Arial" w:hAnsi="Arial" w:cs="Arial"/>
          <w:b/>
          <w:bCs/>
          <w:i/>
          <w:spacing w:val="14"/>
          <w:highlight w:val="green"/>
        </w:rPr>
        <w:t xml:space="preserve"> </w:t>
      </w:r>
      <w:r w:rsidRPr="005D2B81">
        <w:rPr>
          <w:rFonts w:ascii="Arial" w:eastAsia="Arial" w:hAnsi="Arial" w:cs="Arial"/>
          <w:b/>
          <w:bCs/>
          <w:i/>
          <w:spacing w:val="-1"/>
          <w:highlight w:val="green"/>
        </w:rPr>
        <w:t>and</w:t>
      </w:r>
      <w:r w:rsidRPr="005D2B81">
        <w:rPr>
          <w:rFonts w:ascii="Arial" w:eastAsia="Arial" w:hAnsi="Arial" w:cs="Arial"/>
          <w:b/>
          <w:bCs/>
          <w:i/>
          <w:spacing w:val="28"/>
          <w:highlight w:val="green"/>
        </w:rPr>
        <w:t xml:space="preserve"> </w:t>
      </w:r>
      <w:r w:rsidRPr="005D2B81">
        <w:rPr>
          <w:rFonts w:ascii="Arial" w:eastAsia="Arial" w:hAnsi="Arial" w:cs="Arial"/>
          <w:b/>
          <w:bCs/>
          <w:i/>
          <w:spacing w:val="-1"/>
          <w:highlight w:val="green"/>
        </w:rPr>
        <w:t>Services)</w:t>
      </w:r>
      <w:r w:rsidRPr="005D2B81">
        <w:rPr>
          <w:rFonts w:ascii="Arial" w:eastAsia="Arial" w:hAnsi="Arial" w:cs="Arial"/>
          <w:b/>
          <w:bCs/>
          <w:i/>
          <w:spacing w:val="21"/>
          <w:highlight w:val="green"/>
        </w:rPr>
        <w:t xml:space="preserve"> </w:t>
      </w:r>
      <w:r w:rsidRPr="005D2B81">
        <w:rPr>
          <w:rFonts w:ascii="Arial" w:eastAsia="Arial" w:hAnsi="Arial" w:cs="Arial"/>
          <w:b/>
          <w:bCs/>
          <w:i/>
          <w:spacing w:val="-1"/>
          <w:highlight w:val="green"/>
        </w:rPr>
        <w:t>with</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such</w:t>
      </w:r>
      <w:r w:rsidRPr="005D2B81">
        <w:rPr>
          <w:rFonts w:ascii="Arial" w:eastAsia="Arial" w:hAnsi="Arial" w:cs="Arial"/>
          <w:b/>
          <w:bCs/>
          <w:i/>
          <w:spacing w:val="20"/>
          <w:highlight w:val="green"/>
        </w:rPr>
        <w:t xml:space="preserve"> </w:t>
      </w:r>
      <w:r w:rsidRPr="005D2B81">
        <w:rPr>
          <w:rFonts w:ascii="Arial" w:eastAsia="Arial" w:hAnsi="Arial" w:cs="Arial"/>
          <w:b/>
          <w:bCs/>
          <w:i/>
          <w:spacing w:val="-1"/>
          <w:highlight w:val="green"/>
        </w:rPr>
        <w:t>responses.</w:t>
      </w:r>
      <w:r w:rsidRPr="005D2B81">
        <w:rPr>
          <w:rFonts w:ascii="Arial" w:eastAsia="Arial" w:hAnsi="Arial" w:cs="Arial"/>
          <w:b/>
          <w:bCs/>
          <w:i/>
          <w:spacing w:val="23"/>
          <w:highlight w:val="green"/>
        </w:rPr>
        <w:t xml:space="preserve"> </w:t>
      </w:r>
      <w:r w:rsidRPr="005D2B81">
        <w:rPr>
          <w:rFonts w:ascii="Arial" w:eastAsia="Arial" w:hAnsi="Arial" w:cs="Arial"/>
          <w:b/>
          <w:bCs/>
          <w:i/>
          <w:spacing w:val="-1"/>
          <w:highlight w:val="green"/>
        </w:rPr>
        <w:t>Or,</w:t>
      </w:r>
      <w:r w:rsidRPr="005D2B81">
        <w:rPr>
          <w:rFonts w:ascii="Arial" w:eastAsia="Arial" w:hAnsi="Arial" w:cs="Arial"/>
          <w:b/>
          <w:bCs/>
          <w:i/>
          <w:spacing w:val="21"/>
          <w:highlight w:val="green"/>
        </w:rPr>
        <w:t xml:space="preserve"> </w:t>
      </w:r>
      <w:r w:rsidRPr="005D2B81">
        <w:rPr>
          <w:rFonts w:ascii="Arial" w:eastAsia="Arial" w:hAnsi="Arial" w:cs="Arial"/>
          <w:b/>
          <w:bCs/>
          <w:i/>
          <w:highlight w:val="green"/>
        </w:rPr>
        <w:t>if</w:t>
      </w:r>
      <w:r w:rsidRPr="005D2B81">
        <w:rPr>
          <w:rFonts w:ascii="Arial" w:eastAsia="Arial" w:hAnsi="Arial" w:cs="Arial"/>
          <w:b/>
          <w:bCs/>
          <w:i/>
          <w:spacing w:val="21"/>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Customer</w:t>
      </w:r>
      <w:r w:rsidRPr="005D2B81">
        <w:rPr>
          <w:rFonts w:ascii="Arial" w:eastAsia="Arial" w:hAnsi="Arial" w:cs="Arial"/>
          <w:b/>
          <w:bCs/>
          <w:i/>
          <w:spacing w:val="23"/>
          <w:highlight w:val="green"/>
        </w:rPr>
        <w:t xml:space="preserve"> </w:t>
      </w:r>
      <w:r w:rsidRPr="005D2B81">
        <w:rPr>
          <w:rFonts w:ascii="Arial" w:eastAsia="Arial" w:hAnsi="Arial" w:cs="Arial"/>
          <w:b/>
          <w:bCs/>
          <w:i/>
          <w:spacing w:val="-1"/>
          <w:highlight w:val="green"/>
        </w:rPr>
        <w:t>has</w:t>
      </w:r>
      <w:r w:rsidRPr="005D2B81">
        <w:rPr>
          <w:rFonts w:ascii="Arial" w:eastAsia="Arial" w:hAnsi="Arial" w:cs="Arial"/>
          <w:b/>
          <w:bCs/>
          <w:i/>
          <w:spacing w:val="20"/>
          <w:highlight w:val="green"/>
        </w:rPr>
        <w:t xml:space="preserve"> </w:t>
      </w:r>
      <w:r w:rsidRPr="005D2B81">
        <w:rPr>
          <w:rFonts w:ascii="Arial" w:eastAsia="Arial" w:hAnsi="Arial" w:cs="Arial"/>
          <w:b/>
          <w:bCs/>
          <w:i/>
          <w:spacing w:val="-1"/>
          <w:highlight w:val="green"/>
        </w:rPr>
        <w:t>assessed</w:t>
      </w:r>
      <w:r w:rsidRPr="005D2B81">
        <w:rPr>
          <w:rFonts w:ascii="Arial" w:eastAsia="Arial" w:hAnsi="Arial" w:cs="Arial"/>
          <w:b/>
          <w:bCs/>
          <w:i/>
          <w:spacing w:val="19"/>
          <w:highlight w:val="green"/>
        </w:rPr>
        <w:t xml:space="preserve"> </w:t>
      </w:r>
      <w:r w:rsidRPr="005D2B81">
        <w:rPr>
          <w:rFonts w:ascii="Arial" w:eastAsia="Arial" w:hAnsi="Arial" w:cs="Arial"/>
          <w:b/>
          <w:bCs/>
          <w:i/>
          <w:spacing w:val="-1"/>
          <w:highlight w:val="green"/>
        </w:rPr>
        <w:t>price</w:t>
      </w:r>
      <w:r w:rsidRPr="005D2B81">
        <w:rPr>
          <w:rFonts w:ascii="Arial" w:eastAsia="Arial" w:hAnsi="Arial" w:cs="Arial"/>
          <w:b/>
          <w:bCs/>
          <w:i/>
          <w:spacing w:val="22"/>
          <w:highlight w:val="green"/>
        </w:rPr>
        <w:t xml:space="preserve"> </w:t>
      </w:r>
      <w:r w:rsidRPr="005D2B81">
        <w:rPr>
          <w:rFonts w:ascii="Arial" w:eastAsia="Arial" w:hAnsi="Arial" w:cs="Arial"/>
          <w:b/>
          <w:bCs/>
          <w:i/>
          <w:spacing w:val="-1"/>
          <w:highlight w:val="green"/>
        </w:rPr>
        <w:t>at</w:t>
      </w:r>
      <w:r w:rsidRPr="005D2B81">
        <w:rPr>
          <w:rFonts w:ascii="Arial" w:eastAsia="Arial" w:hAnsi="Arial" w:cs="Arial"/>
          <w:b/>
          <w:bCs/>
          <w:i/>
          <w:spacing w:val="34"/>
          <w:highlight w:val="green"/>
        </w:rPr>
        <w:t xml:space="preserve"> </w:t>
      </w:r>
      <w:r w:rsidRPr="005D2B81">
        <w:rPr>
          <w:rFonts w:ascii="Arial" w:eastAsia="Arial" w:hAnsi="Arial" w:cs="Arial"/>
          <w:b/>
          <w:bCs/>
          <w:i/>
          <w:spacing w:val="-1"/>
          <w:highlight w:val="green"/>
        </w:rPr>
        <w:t>Further</w:t>
      </w:r>
      <w:r w:rsidRPr="005D2B81">
        <w:rPr>
          <w:rFonts w:ascii="Arial" w:eastAsia="Arial" w:hAnsi="Arial" w:cs="Arial"/>
          <w:b/>
          <w:bCs/>
          <w:i/>
          <w:spacing w:val="18"/>
          <w:highlight w:val="green"/>
        </w:rPr>
        <w:t xml:space="preserve"> </w:t>
      </w:r>
      <w:r w:rsidRPr="005D2B81">
        <w:rPr>
          <w:rFonts w:ascii="Arial" w:eastAsia="Arial" w:hAnsi="Arial" w:cs="Arial"/>
          <w:b/>
          <w:bCs/>
          <w:i/>
          <w:spacing w:val="-1"/>
          <w:highlight w:val="green"/>
        </w:rPr>
        <w:t>Competition,</w:t>
      </w:r>
      <w:r w:rsidRPr="005D2B81">
        <w:rPr>
          <w:rFonts w:ascii="Arial" w:eastAsia="Arial" w:hAnsi="Arial" w:cs="Arial"/>
          <w:b/>
          <w:bCs/>
          <w:i/>
          <w:spacing w:val="19"/>
          <w:highlight w:val="green"/>
        </w:rPr>
        <w:t xml:space="preserve"> </w:t>
      </w:r>
      <w:r w:rsidRPr="005D2B81">
        <w:rPr>
          <w:rFonts w:ascii="Arial" w:eastAsia="Arial" w:hAnsi="Arial" w:cs="Arial"/>
          <w:b/>
          <w:bCs/>
          <w:i/>
          <w:spacing w:val="-1"/>
          <w:highlight w:val="green"/>
        </w:rPr>
        <w:t>then</w:t>
      </w:r>
      <w:r w:rsidRPr="005D2B81">
        <w:rPr>
          <w:rFonts w:ascii="Arial" w:eastAsia="Arial" w:hAnsi="Arial" w:cs="Arial"/>
          <w:b/>
          <w:bCs/>
          <w:i/>
          <w:spacing w:val="17"/>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17"/>
          <w:highlight w:val="green"/>
        </w:rPr>
        <w:t xml:space="preserve"> </w:t>
      </w:r>
      <w:r w:rsidRPr="005D2B81">
        <w:rPr>
          <w:rFonts w:ascii="Arial" w:eastAsia="Arial" w:hAnsi="Arial" w:cs="Arial"/>
          <w:b/>
          <w:bCs/>
          <w:i/>
          <w:spacing w:val="-1"/>
          <w:highlight w:val="green"/>
        </w:rPr>
        <w:t>Customer</w:t>
      </w:r>
      <w:r w:rsidRPr="005D2B81">
        <w:rPr>
          <w:rFonts w:ascii="Arial" w:eastAsia="Arial" w:hAnsi="Arial" w:cs="Arial"/>
          <w:b/>
          <w:bCs/>
          <w:i/>
          <w:spacing w:val="16"/>
          <w:highlight w:val="green"/>
        </w:rPr>
        <w:t xml:space="preserve"> </w:t>
      </w:r>
      <w:r w:rsidRPr="005D2B81">
        <w:rPr>
          <w:rFonts w:ascii="Arial" w:eastAsia="Arial" w:hAnsi="Arial" w:cs="Arial"/>
          <w:b/>
          <w:bCs/>
          <w:i/>
          <w:spacing w:val="-1"/>
          <w:highlight w:val="green"/>
        </w:rPr>
        <w:t>must</w:t>
      </w:r>
      <w:r w:rsidRPr="005D2B81">
        <w:rPr>
          <w:rFonts w:ascii="Arial" w:eastAsia="Arial" w:hAnsi="Arial" w:cs="Arial"/>
          <w:b/>
          <w:bCs/>
          <w:i/>
          <w:spacing w:val="19"/>
          <w:highlight w:val="green"/>
        </w:rPr>
        <w:t xml:space="preserve"> </w:t>
      </w:r>
      <w:r w:rsidRPr="005D2B81">
        <w:rPr>
          <w:rFonts w:ascii="Arial" w:eastAsia="Arial" w:hAnsi="Arial" w:cs="Arial"/>
          <w:b/>
          <w:bCs/>
          <w:i/>
          <w:spacing w:val="-1"/>
          <w:highlight w:val="green"/>
        </w:rPr>
        <w:t>insert</w:t>
      </w:r>
      <w:r w:rsidRPr="005D2B81">
        <w:rPr>
          <w:rFonts w:ascii="Arial" w:eastAsia="Arial" w:hAnsi="Arial" w:cs="Arial"/>
          <w:b/>
          <w:bCs/>
          <w:i/>
          <w:spacing w:val="19"/>
          <w:highlight w:val="green"/>
        </w:rPr>
        <w:t xml:space="preserve"> </w:t>
      </w:r>
      <w:r w:rsidRPr="005D2B81">
        <w:rPr>
          <w:rFonts w:ascii="Arial" w:eastAsia="Arial" w:hAnsi="Arial" w:cs="Arial"/>
          <w:b/>
          <w:bCs/>
          <w:i/>
          <w:spacing w:val="-1"/>
          <w:highlight w:val="green"/>
        </w:rPr>
        <w:t>such</w:t>
      </w:r>
      <w:r w:rsidRPr="005D2B81">
        <w:rPr>
          <w:rFonts w:ascii="Arial" w:eastAsia="Arial" w:hAnsi="Arial" w:cs="Arial"/>
          <w:b/>
          <w:bCs/>
          <w:i/>
          <w:spacing w:val="17"/>
          <w:highlight w:val="green"/>
        </w:rPr>
        <w:t xml:space="preserve"> </w:t>
      </w:r>
      <w:r w:rsidRPr="005D2B81">
        <w:rPr>
          <w:rFonts w:ascii="Arial" w:eastAsia="Arial" w:hAnsi="Arial" w:cs="Arial"/>
          <w:b/>
          <w:bCs/>
          <w:i/>
          <w:spacing w:val="-1"/>
          <w:highlight w:val="green"/>
        </w:rPr>
        <w:t>price</w:t>
      </w:r>
      <w:r w:rsidRPr="005D2B81">
        <w:rPr>
          <w:rFonts w:ascii="Arial" w:eastAsia="Arial" w:hAnsi="Arial" w:cs="Arial"/>
          <w:b/>
          <w:bCs/>
          <w:i/>
          <w:spacing w:val="17"/>
          <w:highlight w:val="green"/>
        </w:rPr>
        <w:t xml:space="preserve"> </w:t>
      </w:r>
      <w:r w:rsidRPr="005D2B81">
        <w:rPr>
          <w:rFonts w:ascii="Arial" w:eastAsia="Arial" w:hAnsi="Arial" w:cs="Arial"/>
          <w:b/>
          <w:bCs/>
          <w:i/>
          <w:spacing w:val="-2"/>
          <w:highlight w:val="green"/>
        </w:rPr>
        <w:t>responses</w:t>
      </w:r>
      <w:r w:rsidRPr="005D2B81">
        <w:rPr>
          <w:rFonts w:ascii="Arial" w:eastAsia="Arial" w:hAnsi="Arial" w:cs="Arial"/>
          <w:b/>
          <w:bCs/>
          <w:i/>
          <w:spacing w:val="40"/>
          <w:highlight w:val="green"/>
        </w:rPr>
        <w:t xml:space="preserve"> </w:t>
      </w:r>
      <w:r w:rsidRPr="005D2B81">
        <w:rPr>
          <w:rFonts w:ascii="Arial" w:eastAsia="Arial" w:hAnsi="Arial" w:cs="Arial"/>
          <w:b/>
          <w:bCs/>
          <w:i/>
          <w:highlight w:val="green"/>
        </w:rPr>
        <w:t>into</w:t>
      </w:r>
      <w:r w:rsidRPr="005D2B81">
        <w:rPr>
          <w:rFonts w:ascii="Arial" w:eastAsia="Arial" w:hAnsi="Arial" w:cs="Arial"/>
          <w:b/>
          <w:bCs/>
          <w:i/>
          <w:spacing w:val="31"/>
          <w:highlight w:val="green"/>
        </w:rPr>
        <w:t xml:space="preserve"> </w:t>
      </w:r>
      <w:r w:rsidRPr="005D2B81">
        <w:rPr>
          <w:rFonts w:ascii="Arial" w:eastAsia="Arial" w:hAnsi="Arial" w:cs="Arial"/>
          <w:b/>
          <w:bCs/>
          <w:i/>
          <w:spacing w:val="-1"/>
          <w:highlight w:val="green"/>
        </w:rPr>
        <w:t>Annex</w:t>
      </w:r>
      <w:r w:rsidRPr="005D2B81">
        <w:rPr>
          <w:rFonts w:ascii="Arial" w:eastAsia="Arial" w:hAnsi="Arial" w:cs="Arial"/>
          <w:b/>
          <w:bCs/>
          <w:i/>
          <w:spacing w:val="31"/>
          <w:highlight w:val="green"/>
        </w:rPr>
        <w:t xml:space="preserve"> </w:t>
      </w:r>
      <w:r w:rsidRPr="005D2B81">
        <w:rPr>
          <w:rFonts w:ascii="Arial" w:eastAsia="Arial" w:hAnsi="Arial" w:cs="Arial"/>
          <w:b/>
          <w:bCs/>
          <w:i/>
          <w:highlight w:val="green"/>
        </w:rPr>
        <w:t>1</w:t>
      </w:r>
      <w:r w:rsidRPr="005D2B81">
        <w:rPr>
          <w:rFonts w:ascii="Arial" w:eastAsia="Arial" w:hAnsi="Arial" w:cs="Arial"/>
          <w:b/>
          <w:bCs/>
          <w:i/>
          <w:spacing w:val="31"/>
          <w:highlight w:val="green"/>
        </w:rPr>
        <w:t xml:space="preserve"> </w:t>
      </w:r>
      <w:r w:rsidRPr="005D2B81">
        <w:rPr>
          <w:rFonts w:ascii="Arial" w:eastAsia="Arial" w:hAnsi="Arial" w:cs="Arial"/>
          <w:b/>
          <w:bCs/>
          <w:i/>
          <w:spacing w:val="-1"/>
          <w:highlight w:val="green"/>
        </w:rPr>
        <w:t>of</w:t>
      </w:r>
      <w:r w:rsidRPr="005D2B81">
        <w:rPr>
          <w:rFonts w:ascii="Arial" w:eastAsia="Arial" w:hAnsi="Arial" w:cs="Arial"/>
          <w:b/>
          <w:bCs/>
          <w:i/>
          <w:spacing w:val="33"/>
          <w:highlight w:val="green"/>
        </w:rPr>
        <w:t xml:space="preserve"> </w:t>
      </w:r>
      <w:r w:rsidRPr="005D2B81">
        <w:rPr>
          <w:rFonts w:ascii="Arial" w:eastAsia="Arial" w:hAnsi="Arial" w:cs="Arial"/>
          <w:b/>
          <w:bCs/>
          <w:i/>
          <w:spacing w:val="-1"/>
          <w:highlight w:val="green"/>
        </w:rPr>
        <w:t>Call</w:t>
      </w:r>
      <w:r w:rsidRPr="005D2B81">
        <w:rPr>
          <w:rFonts w:ascii="Arial" w:eastAsia="Arial" w:hAnsi="Arial" w:cs="Arial"/>
          <w:b/>
          <w:bCs/>
          <w:i/>
          <w:spacing w:val="33"/>
          <w:highlight w:val="green"/>
        </w:rPr>
        <w:t xml:space="preserve"> </w:t>
      </w:r>
      <w:r w:rsidRPr="005D2B81">
        <w:rPr>
          <w:rFonts w:ascii="Arial" w:eastAsia="Arial" w:hAnsi="Arial" w:cs="Arial"/>
          <w:b/>
          <w:bCs/>
          <w:i/>
          <w:spacing w:val="-1"/>
          <w:highlight w:val="green"/>
        </w:rPr>
        <w:t>Off</w:t>
      </w:r>
      <w:r w:rsidRPr="005D2B81">
        <w:rPr>
          <w:rFonts w:ascii="Arial" w:eastAsia="Arial" w:hAnsi="Arial" w:cs="Arial"/>
          <w:b/>
          <w:bCs/>
          <w:i/>
          <w:spacing w:val="33"/>
          <w:highlight w:val="green"/>
        </w:rPr>
        <w:t xml:space="preserve"> </w:t>
      </w:r>
      <w:r w:rsidRPr="005D2B81">
        <w:rPr>
          <w:rFonts w:ascii="Arial" w:eastAsia="Arial" w:hAnsi="Arial" w:cs="Arial"/>
          <w:b/>
          <w:bCs/>
          <w:i/>
          <w:spacing w:val="-1"/>
          <w:highlight w:val="green"/>
        </w:rPr>
        <w:t>Schedule</w:t>
      </w:r>
      <w:r w:rsidRPr="005D2B81">
        <w:rPr>
          <w:rFonts w:ascii="Arial" w:eastAsia="Arial" w:hAnsi="Arial" w:cs="Arial"/>
          <w:b/>
          <w:bCs/>
          <w:i/>
          <w:spacing w:val="32"/>
          <w:highlight w:val="green"/>
        </w:rPr>
        <w:t xml:space="preserve"> </w:t>
      </w:r>
      <w:r w:rsidRPr="005D2B81">
        <w:rPr>
          <w:rFonts w:ascii="Arial" w:eastAsia="Arial" w:hAnsi="Arial" w:cs="Arial"/>
          <w:b/>
          <w:bCs/>
          <w:i/>
          <w:highlight w:val="green"/>
        </w:rPr>
        <w:t>3</w:t>
      </w:r>
      <w:r w:rsidRPr="005D2B81">
        <w:rPr>
          <w:rFonts w:ascii="Arial" w:eastAsia="Arial" w:hAnsi="Arial" w:cs="Arial"/>
          <w:b/>
          <w:bCs/>
          <w:i/>
          <w:spacing w:val="31"/>
          <w:highlight w:val="green"/>
        </w:rPr>
        <w:t xml:space="preserve"> </w:t>
      </w:r>
      <w:r w:rsidRPr="005D2B81">
        <w:rPr>
          <w:rFonts w:ascii="Arial" w:eastAsia="Arial" w:hAnsi="Arial" w:cs="Arial"/>
          <w:b/>
          <w:bCs/>
          <w:i/>
          <w:spacing w:val="-1"/>
          <w:highlight w:val="green"/>
        </w:rPr>
        <w:t>(Call</w:t>
      </w:r>
      <w:r w:rsidRPr="005D2B81">
        <w:rPr>
          <w:rFonts w:ascii="Arial" w:eastAsia="Arial" w:hAnsi="Arial" w:cs="Arial"/>
          <w:b/>
          <w:bCs/>
          <w:i/>
          <w:spacing w:val="33"/>
          <w:highlight w:val="green"/>
        </w:rPr>
        <w:t xml:space="preserve"> </w:t>
      </w:r>
      <w:r w:rsidRPr="005D2B81">
        <w:rPr>
          <w:rFonts w:ascii="Arial" w:eastAsia="Arial" w:hAnsi="Arial" w:cs="Arial"/>
          <w:b/>
          <w:bCs/>
          <w:i/>
          <w:spacing w:val="-1"/>
          <w:highlight w:val="green"/>
        </w:rPr>
        <w:t>Off</w:t>
      </w:r>
      <w:r w:rsidRPr="005D2B81">
        <w:rPr>
          <w:rFonts w:ascii="Arial" w:eastAsia="Arial" w:hAnsi="Arial" w:cs="Arial"/>
          <w:b/>
          <w:bCs/>
          <w:i/>
          <w:spacing w:val="30"/>
          <w:highlight w:val="green"/>
        </w:rPr>
        <w:t xml:space="preserve"> </w:t>
      </w:r>
      <w:r w:rsidRPr="005D2B81">
        <w:rPr>
          <w:rFonts w:ascii="Arial" w:eastAsia="Arial" w:hAnsi="Arial" w:cs="Arial"/>
          <w:b/>
          <w:bCs/>
          <w:i/>
          <w:spacing w:val="-1"/>
          <w:highlight w:val="green"/>
        </w:rPr>
        <w:t>Contract</w:t>
      </w:r>
      <w:r w:rsidRPr="005D2B81">
        <w:rPr>
          <w:rFonts w:ascii="Arial" w:eastAsia="Arial" w:hAnsi="Arial" w:cs="Arial"/>
          <w:b/>
          <w:bCs/>
          <w:i/>
          <w:spacing w:val="33"/>
          <w:highlight w:val="green"/>
        </w:rPr>
        <w:t xml:space="preserve"> </w:t>
      </w:r>
      <w:r w:rsidRPr="005D2B81">
        <w:rPr>
          <w:rFonts w:ascii="Arial" w:eastAsia="Arial" w:hAnsi="Arial" w:cs="Arial"/>
          <w:b/>
          <w:bCs/>
          <w:i/>
          <w:spacing w:val="-1"/>
          <w:highlight w:val="green"/>
        </w:rPr>
        <w:t>Charges,</w:t>
      </w:r>
      <w:r w:rsidRPr="005D2B81">
        <w:rPr>
          <w:rFonts w:ascii="Arial" w:eastAsia="Arial" w:hAnsi="Arial" w:cs="Arial"/>
          <w:b/>
          <w:bCs/>
          <w:i/>
          <w:spacing w:val="33"/>
          <w:highlight w:val="green"/>
        </w:rPr>
        <w:t xml:space="preserve"> </w:t>
      </w:r>
      <w:r w:rsidRPr="005D2B81">
        <w:rPr>
          <w:rFonts w:ascii="Arial" w:eastAsia="Arial" w:hAnsi="Arial" w:cs="Arial"/>
          <w:b/>
          <w:bCs/>
          <w:i/>
          <w:spacing w:val="-2"/>
          <w:highlight w:val="green"/>
        </w:rPr>
        <w:t>Payment</w:t>
      </w:r>
      <w:r w:rsidRPr="005D2B81">
        <w:rPr>
          <w:rFonts w:ascii="Arial" w:eastAsia="Arial" w:hAnsi="Arial" w:cs="Arial"/>
          <w:b/>
          <w:bCs/>
          <w:i/>
          <w:spacing w:val="34"/>
          <w:highlight w:val="green"/>
        </w:rPr>
        <w:t xml:space="preserve"> </w:t>
      </w:r>
      <w:r w:rsidRPr="005D2B81">
        <w:rPr>
          <w:rFonts w:ascii="Arial" w:eastAsia="Arial" w:hAnsi="Arial" w:cs="Arial"/>
          <w:b/>
          <w:bCs/>
          <w:i/>
          <w:spacing w:val="-1"/>
          <w:highlight w:val="green"/>
        </w:rPr>
        <w:t>and</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Invoicing).</w:t>
      </w:r>
      <w:r w:rsidRPr="005D2B81">
        <w:rPr>
          <w:rFonts w:ascii="Arial" w:eastAsia="Arial" w:hAnsi="Arial" w:cs="Arial"/>
          <w:b/>
          <w:bCs/>
          <w:i/>
          <w:spacing w:val="16"/>
          <w:highlight w:val="green"/>
        </w:rPr>
        <w:t xml:space="preserve"> </w:t>
      </w:r>
      <w:r w:rsidRPr="005D2B81">
        <w:rPr>
          <w:rFonts w:ascii="Arial" w:eastAsia="Arial" w:hAnsi="Arial" w:cs="Arial"/>
          <w:b/>
          <w:bCs/>
          <w:i/>
          <w:spacing w:val="-1"/>
          <w:highlight w:val="green"/>
        </w:rPr>
        <w:t>Customer</w:t>
      </w:r>
      <w:r w:rsidRPr="005D2B81">
        <w:rPr>
          <w:rFonts w:ascii="Arial" w:eastAsia="Arial" w:hAnsi="Arial" w:cs="Arial"/>
          <w:b/>
          <w:bCs/>
          <w:i/>
          <w:spacing w:val="16"/>
          <w:highlight w:val="green"/>
        </w:rPr>
        <w:t xml:space="preserve"> </w:t>
      </w:r>
      <w:r w:rsidRPr="005D2B81">
        <w:rPr>
          <w:rFonts w:ascii="Arial" w:eastAsia="Arial" w:hAnsi="Arial" w:cs="Arial"/>
          <w:b/>
          <w:bCs/>
          <w:i/>
          <w:spacing w:val="-1"/>
          <w:highlight w:val="green"/>
        </w:rPr>
        <w:t>may</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as</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an</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alternative</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insert</w:t>
      </w:r>
      <w:r w:rsidRPr="005D2B81">
        <w:rPr>
          <w:rFonts w:ascii="Arial" w:eastAsia="Arial" w:hAnsi="Arial" w:cs="Arial"/>
          <w:b/>
          <w:bCs/>
          <w:i/>
          <w:spacing w:val="14"/>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Supplier’s</w:t>
      </w:r>
      <w:r w:rsidRPr="005D2B81">
        <w:rPr>
          <w:rFonts w:ascii="Arial" w:eastAsia="Arial" w:hAnsi="Arial" w:cs="Arial"/>
          <w:b/>
          <w:bCs/>
          <w:i/>
          <w:spacing w:val="15"/>
          <w:highlight w:val="green"/>
        </w:rPr>
        <w:t xml:space="preserve"> </w:t>
      </w:r>
      <w:r w:rsidRPr="005D2B81">
        <w:rPr>
          <w:rFonts w:ascii="Arial" w:eastAsia="Arial" w:hAnsi="Arial" w:cs="Arial"/>
          <w:b/>
          <w:bCs/>
          <w:i/>
          <w:spacing w:val="-1"/>
          <w:highlight w:val="green"/>
        </w:rPr>
        <w:t>entire</w:t>
      </w:r>
      <w:r w:rsidRPr="005D2B81">
        <w:rPr>
          <w:rFonts w:ascii="Arial" w:eastAsia="Arial" w:hAnsi="Arial" w:cs="Arial"/>
          <w:b/>
          <w:bCs/>
          <w:i/>
          <w:spacing w:val="31"/>
          <w:highlight w:val="green"/>
        </w:rPr>
        <w:t xml:space="preserve"> </w:t>
      </w:r>
      <w:r w:rsidRPr="005D2B81">
        <w:rPr>
          <w:rFonts w:ascii="Arial" w:eastAsia="Arial" w:hAnsi="Arial" w:cs="Arial"/>
          <w:b/>
          <w:bCs/>
          <w:i/>
          <w:spacing w:val="-1"/>
          <w:highlight w:val="green"/>
        </w:rPr>
        <w:t>response</w:t>
      </w:r>
      <w:r w:rsidRPr="005D2B81">
        <w:rPr>
          <w:rFonts w:ascii="Arial" w:eastAsia="Arial" w:hAnsi="Arial" w:cs="Arial"/>
          <w:b/>
          <w:bCs/>
          <w:i/>
          <w:spacing w:val="12"/>
          <w:highlight w:val="green"/>
        </w:rPr>
        <w:t xml:space="preserve"> </w:t>
      </w:r>
      <w:r w:rsidRPr="005D2B81">
        <w:rPr>
          <w:rFonts w:ascii="Arial" w:eastAsia="Arial" w:hAnsi="Arial" w:cs="Arial"/>
          <w:b/>
          <w:bCs/>
          <w:i/>
          <w:highlight w:val="green"/>
        </w:rPr>
        <w:t>to</w:t>
      </w:r>
      <w:r w:rsidRPr="005D2B81">
        <w:rPr>
          <w:rFonts w:ascii="Arial" w:eastAsia="Arial" w:hAnsi="Arial" w:cs="Arial"/>
          <w:b/>
          <w:bCs/>
          <w:i/>
          <w:spacing w:val="10"/>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12"/>
          <w:highlight w:val="green"/>
        </w:rPr>
        <w:t xml:space="preserve"> </w:t>
      </w:r>
      <w:r w:rsidRPr="005D2B81">
        <w:rPr>
          <w:rFonts w:ascii="Arial" w:eastAsia="Arial" w:hAnsi="Arial" w:cs="Arial"/>
          <w:b/>
          <w:bCs/>
          <w:i/>
          <w:spacing w:val="-1"/>
          <w:highlight w:val="green"/>
        </w:rPr>
        <w:t>further</w:t>
      </w:r>
      <w:r w:rsidRPr="005D2B81">
        <w:rPr>
          <w:rFonts w:ascii="Arial" w:eastAsia="Arial" w:hAnsi="Arial" w:cs="Arial"/>
          <w:b/>
          <w:bCs/>
          <w:i/>
          <w:spacing w:val="11"/>
          <w:highlight w:val="green"/>
        </w:rPr>
        <w:t xml:space="preserve"> </w:t>
      </w:r>
      <w:r w:rsidRPr="005D2B81">
        <w:rPr>
          <w:rFonts w:ascii="Arial" w:eastAsia="Arial" w:hAnsi="Arial" w:cs="Arial"/>
          <w:b/>
          <w:bCs/>
          <w:i/>
          <w:spacing w:val="-1"/>
          <w:highlight w:val="green"/>
        </w:rPr>
        <w:t>competition</w:t>
      </w:r>
      <w:r w:rsidRPr="005D2B81">
        <w:rPr>
          <w:rFonts w:ascii="Arial" w:eastAsia="Arial" w:hAnsi="Arial" w:cs="Arial"/>
          <w:b/>
          <w:bCs/>
          <w:i/>
          <w:spacing w:val="12"/>
          <w:highlight w:val="green"/>
        </w:rPr>
        <w:t xml:space="preserve"> </w:t>
      </w:r>
      <w:r w:rsidRPr="005D2B81">
        <w:rPr>
          <w:rFonts w:ascii="Arial" w:eastAsia="Arial" w:hAnsi="Arial" w:cs="Arial"/>
          <w:b/>
          <w:bCs/>
          <w:i/>
          <w:spacing w:val="-1"/>
          <w:highlight w:val="green"/>
        </w:rPr>
        <w:t>documentation</w:t>
      </w:r>
      <w:r w:rsidRPr="005D2B81">
        <w:rPr>
          <w:rFonts w:ascii="Arial" w:eastAsia="Arial" w:hAnsi="Arial" w:cs="Arial"/>
          <w:b/>
          <w:bCs/>
          <w:i/>
          <w:spacing w:val="12"/>
          <w:highlight w:val="green"/>
        </w:rPr>
        <w:t xml:space="preserve"> </w:t>
      </w:r>
      <w:r w:rsidRPr="005D2B81">
        <w:rPr>
          <w:rFonts w:ascii="Arial" w:eastAsia="Arial" w:hAnsi="Arial" w:cs="Arial"/>
          <w:b/>
          <w:bCs/>
          <w:i/>
          <w:spacing w:val="-1"/>
          <w:highlight w:val="green"/>
        </w:rPr>
        <w:t>as</w:t>
      </w:r>
      <w:r w:rsidRPr="005D2B81">
        <w:rPr>
          <w:rFonts w:ascii="Arial" w:eastAsia="Arial" w:hAnsi="Arial" w:cs="Arial"/>
          <w:b/>
          <w:bCs/>
          <w:i/>
          <w:spacing w:val="12"/>
          <w:highlight w:val="green"/>
        </w:rPr>
        <w:t xml:space="preserve"> </w:t>
      </w:r>
      <w:r w:rsidRPr="005D2B81">
        <w:rPr>
          <w:rFonts w:ascii="Arial" w:eastAsia="Arial" w:hAnsi="Arial" w:cs="Arial"/>
          <w:b/>
          <w:bCs/>
          <w:i/>
          <w:highlight w:val="green"/>
        </w:rPr>
        <w:t>a</w:t>
      </w:r>
      <w:r w:rsidRPr="005D2B81">
        <w:rPr>
          <w:rFonts w:ascii="Arial" w:eastAsia="Arial" w:hAnsi="Arial" w:cs="Arial"/>
          <w:b/>
          <w:bCs/>
          <w:i/>
          <w:spacing w:val="12"/>
          <w:highlight w:val="green"/>
        </w:rPr>
        <w:t xml:space="preserve"> </w:t>
      </w:r>
      <w:r w:rsidRPr="005D2B81">
        <w:rPr>
          <w:rFonts w:ascii="Arial" w:eastAsia="Arial" w:hAnsi="Arial" w:cs="Arial"/>
          <w:b/>
          <w:bCs/>
          <w:i/>
          <w:spacing w:val="-1"/>
          <w:highlight w:val="green"/>
        </w:rPr>
        <w:t>Call</w:t>
      </w:r>
      <w:r w:rsidRPr="005D2B81">
        <w:rPr>
          <w:rFonts w:ascii="Arial" w:eastAsia="Arial" w:hAnsi="Arial" w:cs="Arial"/>
          <w:b/>
          <w:bCs/>
          <w:i/>
          <w:spacing w:val="11"/>
          <w:highlight w:val="green"/>
        </w:rPr>
        <w:t xml:space="preserve"> </w:t>
      </w:r>
      <w:r w:rsidRPr="005D2B81">
        <w:rPr>
          <w:rFonts w:ascii="Arial" w:eastAsia="Arial" w:hAnsi="Arial" w:cs="Arial"/>
          <w:b/>
          <w:bCs/>
          <w:i/>
          <w:spacing w:val="-1"/>
          <w:highlight w:val="green"/>
        </w:rPr>
        <w:t>Off</w:t>
      </w:r>
      <w:r w:rsidRPr="005D2B81">
        <w:rPr>
          <w:rFonts w:ascii="Arial" w:eastAsia="Arial" w:hAnsi="Arial" w:cs="Arial"/>
          <w:b/>
          <w:bCs/>
          <w:i/>
          <w:spacing w:val="14"/>
          <w:highlight w:val="green"/>
        </w:rPr>
        <w:t xml:space="preserve"> </w:t>
      </w:r>
      <w:r w:rsidRPr="005D2B81">
        <w:rPr>
          <w:rFonts w:ascii="Arial" w:eastAsia="Arial" w:hAnsi="Arial" w:cs="Arial"/>
          <w:b/>
          <w:bCs/>
          <w:i/>
          <w:spacing w:val="-1"/>
          <w:highlight w:val="green"/>
        </w:rPr>
        <w:t>Schedule,</w:t>
      </w:r>
      <w:r w:rsidRPr="005D2B81">
        <w:rPr>
          <w:rFonts w:ascii="Arial" w:eastAsia="Arial" w:hAnsi="Arial" w:cs="Arial"/>
          <w:b/>
          <w:bCs/>
          <w:i/>
          <w:spacing w:val="28"/>
          <w:highlight w:val="green"/>
        </w:rPr>
        <w:t xml:space="preserve"> </w:t>
      </w:r>
      <w:r w:rsidRPr="005D2B81">
        <w:rPr>
          <w:rFonts w:ascii="Arial" w:eastAsia="Arial" w:hAnsi="Arial" w:cs="Arial"/>
          <w:b/>
          <w:bCs/>
          <w:i/>
          <w:spacing w:val="-1"/>
          <w:highlight w:val="green"/>
        </w:rPr>
        <w:t>however</w:t>
      </w:r>
      <w:r w:rsidRPr="005D2B81">
        <w:rPr>
          <w:rFonts w:ascii="Arial" w:eastAsia="Arial" w:hAnsi="Arial" w:cs="Arial"/>
          <w:b/>
          <w:bCs/>
          <w:i/>
          <w:spacing w:val="30"/>
          <w:highlight w:val="green"/>
        </w:rPr>
        <w:t xml:space="preserve"> </w:t>
      </w:r>
      <w:r w:rsidRPr="005D2B81">
        <w:rPr>
          <w:rFonts w:ascii="Arial" w:eastAsia="Arial" w:hAnsi="Arial" w:cs="Arial"/>
          <w:b/>
          <w:bCs/>
          <w:i/>
          <w:spacing w:val="-1"/>
          <w:highlight w:val="green"/>
        </w:rPr>
        <w:t>as</w:t>
      </w:r>
      <w:r w:rsidRPr="005D2B81">
        <w:rPr>
          <w:rFonts w:ascii="Arial" w:eastAsia="Arial" w:hAnsi="Arial" w:cs="Arial"/>
          <w:b/>
          <w:bCs/>
          <w:i/>
          <w:spacing w:val="29"/>
          <w:highlight w:val="green"/>
        </w:rPr>
        <w:t xml:space="preserve"> </w:t>
      </w:r>
      <w:r w:rsidRPr="005D2B81">
        <w:rPr>
          <w:rFonts w:ascii="Arial" w:eastAsia="Arial" w:hAnsi="Arial" w:cs="Arial"/>
          <w:b/>
          <w:bCs/>
          <w:i/>
          <w:highlight w:val="green"/>
        </w:rPr>
        <w:t>a</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matter</w:t>
      </w:r>
      <w:r w:rsidRPr="005D2B81">
        <w:rPr>
          <w:rFonts w:ascii="Arial" w:eastAsia="Arial" w:hAnsi="Arial" w:cs="Arial"/>
          <w:b/>
          <w:bCs/>
          <w:i/>
          <w:spacing w:val="30"/>
          <w:highlight w:val="green"/>
        </w:rPr>
        <w:t xml:space="preserve"> </w:t>
      </w:r>
      <w:r w:rsidRPr="005D2B81">
        <w:rPr>
          <w:rFonts w:ascii="Arial" w:eastAsia="Arial" w:hAnsi="Arial" w:cs="Arial"/>
          <w:b/>
          <w:bCs/>
          <w:i/>
          <w:spacing w:val="-2"/>
          <w:highlight w:val="green"/>
        </w:rPr>
        <w:t>of</w:t>
      </w:r>
      <w:r w:rsidRPr="005D2B81">
        <w:rPr>
          <w:rFonts w:ascii="Arial" w:eastAsia="Arial" w:hAnsi="Arial" w:cs="Arial"/>
          <w:b/>
          <w:bCs/>
          <w:i/>
          <w:spacing w:val="30"/>
          <w:highlight w:val="green"/>
        </w:rPr>
        <w:t xml:space="preserve"> </w:t>
      </w:r>
      <w:r w:rsidRPr="005D2B81">
        <w:rPr>
          <w:rFonts w:ascii="Arial" w:eastAsia="Arial" w:hAnsi="Arial" w:cs="Arial"/>
          <w:b/>
          <w:bCs/>
          <w:i/>
          <w:spacing w:val="-1"/>
          <w:highlight w:val="green"/>
        </w:rPr>
        <w:t>best</w:t>
      </w:r>
      <w:r w:rsidRPr="005D2B81">
        <w:rPr>
          <w:rFonts w:ascii="Arial" w:eastAsia="Arial" w:hAnsi="Arial" w:cs="Arial"/>
          <w:b/>
          <w:bCs/>
          <w:i/>
          <w:spacing w:val="30"/>
          <w:highlight w:val="green"/>
        </w:rPr>
        <w:t xml:space="preserve"> </w:t>
      </w:r>
      <w:r w:rsidRPr="005D2B81">
        <w:rPr>
          <w:rFonts w:ascii="Arial" w:eastAsia="Arial" w:hAnsi="Arial" w:cs="Arial"/>
          <w:b/>
          <w:bCs/>
          <w:i/>
          <w:spacing w:val="-1"/>
          <w:highlight w:val="green"/>
        </w:rPr>
        <w:t>practice,</w:t>
      </w:r>
      <w:r w:rsidRPr="005D2B81">
        <w:rPr>
          <w:rFonts w:ascii="Arial" w:eastAsia="Arial" w:hAnsi="Arial" w:cs="Arial"/>
          <w:b/>
          <w:bCs/>
          <w:i/>
          <w:spacing w:val="28"/>
          <w:highlight w:val="green"/>
        </w:rPr>
        <w:t xml:space="preserve"> </w:t>
      </w:r>
      <w:r w:rsidRPr="005D2B81">
        <w:rPr>
          <w:rFonts w:ascii="Arial" w:eastAsia="Arial" w:hAnsi="Arial" w:cs="Arial"/>
          <w:b/>
          <w:bCs/>
          <w:i/>
          <w:spacing w:val="-1"/>
          <w:highlight w:val="green"/>
        </w:rPr>
        <w:t>the</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Authority</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does</w:t>
      </w:r>
      <w:r w:rsidRPr="005D2B81">
        <w:rPr>
          <w:rFonts w:ascii="Arial" w:eastAsia="Arial" w:hAnsi="Arial" w:cs="Arial"/>
          <w:b/>
          <w:bCs/>
          <w:i/>
          <w:spacing w:val="29"/>
          <w:highlight w:val="green"/>
        </w:rPr>
        <w:t xml:space="preserve"> </w:t>
      </w:r>
      <w:r w:rsidRPr="005D2B81">
        <w:rPr>
          <w:rFonts w:ascii="Arial" w:eastAsia="Arial" w:hAnsi="Arial" w:cs="Arial"/>
          <w:b/>
          <w:bCs/>
          <w:i/>
          <w:spacing w:val="-1"/>
          <w:highlight w:val="green"/>
        </w:rPr>
        <w:t>not</w:t>
      </w:r>
      <w:r w:rsidRPr="005D2B81">
        <w:rPr>
          <w:rFonts w:ascii="Arial" w:eastAsia="Arial" w:hAnsi="Arial" w:cs="Arial"/>
          <w:b/>
          <w:bCs/>
          <w:i/>
          <w:spacing w:val="30"/>
          <w:highlight w:val="green"/>
        </w:rPr>
        <w:t xml:space="preserve"> </w:t>
      </w:r>
      <w:r w:rsidRPr="005D2B81">
        <w:rPr>
          <w:rFonts w:ascii="Arial" w:eastAsia="Arial" w:hAnsi="Arial" w:cs="Arial"/>
          <w:b/>
          <w:bCs/>
          <w:i/>
          <w:spacing w:val="-1"/>
          <w:highlight w:val="green"/>
        </w:rPr>
        <w:t>recommend</w:t>
      </w:r>
      <w:r w:rsidRPr="005D2B81">
        <w:rPr>
          <w:rFonts w:ascii="Arial" w:eastAsia="Arial" w:hAnsi="Arial" w:cs="Arial"/>
          <w:b/>
          <w:bCs/>
          <w:i/>
          <w:spacing w:val="36"/>
          <w:highlight w:val="green"/>
        </w:rPr>
        <w:t xml:space="preserve"> </w:t>
      </w:r>
      <w:r w:rsidRPr="005D2B81">
        <w:rPr>
          <w:rFonts w:ascii="Arial" w:eastAsia="Arial" w:hAnsi="Arial" w:cs="Arial"/>
          <w:b/>
          <w:bCs/>
          <w:i/>
          <w:highlight w:val="green"/>
        </w:rPr>
        <w:t>this</w:t>
      </w:r>
      <w:r w:rsidRPr="005D2B81">
        <w:rPr>
          <w:rFonts w:ascii="Arial" w:eastAsia="Arial" w:hAnsi="Arial" w:cs="Arial"/>
          <w:b/>
          <w:bCs/>
          <w:i/>
          <w:spacing w:val="-2"/>
          <w:highlight w:val="green"/>
        </w:rPr>
        <w:t xml:space="preserve"> </w:t>
      </w:r>
      <w:r w:rsidRPr="005D2B81">
        <w:rPr>
          <w:rFonts w:ascii="Arial" w:eastAsia="Arial" w:hAnsi="Arial" w:cs="Arial"/>
          <w:b/>
          <w:bCs/>
          <w:i/>
          <w:spacing w:val="-1"/>
          <w:highlight w:val="green"/>
        </w:rPr>
        <w:t>approach</w:t>
      </w:r>
      <w:r w:rsidRPr="005D2B81">
        <w:rPr>
          <w:rFonts w:ascii="Arial" w:eastAsia="Arial" w:hAnsi="Arial" w:cs="Arial"/>
          <w:b/>
          <w:bCs/>
          <w:i/>
          <w:spacing w:val="-2"/>
          <w:highlight w:val="green"/>
        </w:rPr>
        <w:t xml:space="preserve"> </w:t>
      </w:r>
      <w:r w:rsidRPr="005D2B81">
        <w:rPr>
          <w:rFonts w:ascii="Arial" w:eastAsia="Arial" w:hAnsi="Arial" w:cs="Arial"/>
          <w:b/>
          <w:bCs/>
          <w:i/>
          <w:spacing w:val="-1"/>
          <w:highlight w:val="green"/>
        </w:rPr>
        <w:t>for this</w:t>
      </w:r>
      <w:r w:rsidRPr="005D2B81">
        <w:rPr>
          <w:rFonts w:ascii="Arial" w:eastAsia="Arial" w:hAnsi="Arial" w:cs="Arial"/>
          <w:b/>
          <w:bCs/>
          <w:i/>
          <w:spacing w:val="-2"/>
          <w:highlight w:val="green"/>
        </w:rPr>
        <w:t xml:space="preserve"> </w:t>
      </w:r>
      <w:r w:rsidRPr="005D2B81">
        <w:rPr>
          <w:rFonts w:ascii="Arial" w:eastAsia="Arial" w:hAnsi="Arial" w:cs="Arial"/>
          <w:b/>
          <w:bCs/>
          <w:i/>
          <w:spacing w:val="-1"/>
          <w:highlight w:val="green"/>
        </w:rPr>
        <w:t>type</w:t>
      </w:r>
      <w:r w:rsidRPr="005D2B81">
        <w:rPr>
          <w:rFonts w:ascii="Arial" w:eastAsia="Arial" w:hAnsi="Arial" w:cs="Arial"/>
          <w:b/>
          <w:bCs/>
          <w:i/>
          <w:highlight w:val="green"/>
        </w:rPr>
        <w:t xml:space="preserve"> </w:t>
      </w:r>
      <w:r w:rsidRPr="005D2B81">
        <w:rPr>
          <w:rFonts w:ascii="Arial" w:eastAsia="Arial" w:hAnsi="Arial" w:cs="Arial"/>
          <w:b/>
          <w:bCs/>
          <w:i/>
          <w:spacing w:val="-1"/>
          <w:highlight w:val="green"/>
        </w:rPr>
        <w:t>of procurement.</w:t>
      </w:r>
    </w:p>
    <w:p w:rsidR="005D2B81" w:rsidRPr="005D2B81" w:rsidRDefault="005D2B81" w:rsidP="005D2B81">
      <w:pPr>
        <w:jc w:val="both"/>
        <w:rPr>
          <w:rFonts w:ascii="Arial" w:eastAsia="Arial" w:hAnsi="Arial" w:cs="Arial"/>
          <w:b/>
          <w:bCs/>
          <w:i/>
          <w:spacing w:val="-1"/>
          <w:highlight w:val="green"/>
        </w:rPr>
      </w:pPr>
    </w:p>
    <w:p w:rsidR="005D2B81" w:rsidRPr="005D2B81" w:rsidRDefault="005D2B81" w:rsidP="005D2B81">
      <w:pPr>
        <w:jc w:val="both"/>
        <w:rPr>
          <w:rFonts w:ascii="Arial" w:eastAsia="Arial" w:hAnsi="Arial" w:cs="Arial"/>
          <w:b/>
          <w:bCs/>
          <w:i/>
          <w:spacing w:val="-1"/>
          <w:highlight w:val="green"/>
        </w:rPr>
      </w:pPr>
      <w:r w:rsidRPr="005D2B81">
        <w:rPr>
          <w:rFonts w:ascii="Arial" w:eastAsia="Arial" w:hAnsi="Arial" w:cs="Arial"/>
          <w:b/>
          <w:bCs/>
          <w:i/>
          <w:spacing w:val="-1"/>
          <w:highlight w:val="green"/>
        </w:rPr>
        <w:t>Before any Call Off Contract is entered, the Customer should ensure that they have read the customer guidance notes, taken any actions necessary and then delete the guidance notes from this document and the square brackets or both the square brackets and the text included in them.</w:t>
      </w:r>
    </w:p>
    <w:p w:rsidR="005D2B81" w:rsidRPr="005D2B81" w:rsidRDefault="005D2B81" w:rsidP="005D2B81">
      <w:pPr>
        <w:jc w:val="both"/>
        <w:rPr>
          <w:rFonts w:ascii="Arial" w:eastAsia="Arial" w:hAnsi="Arial" w:cs="Arial"/>
          <w:b/>
          <w:bCs/>
          <w:i/>
          <w:spacing w:val="-1"/>
          <w:highlight w:val="green"/>
        </w:rPr>
      </w:pPr>
    </w:p>
    <w:p w:rsidR="005D2B81" w:rsidRPr="005D2B81" w:rsidRDefault="005D2B81" w:rsidP="005D2B81">
      <w:pPr>
        <w:spacing w:before="2" w:line="252" w:lineRule="exact"/>
        <w:rPr>
          <w:rFonts w:ascii="Arial" w:eastAsia="Arial" w:hAnsi="Arial" w:cs="Arial"/>
          <w:highlight w:val="green"/>
        </w:rPr>
      </w:pPr>
      <w:r w:rsidRPr="005D2B81">
        <w:rPr>
          <w:rFonts w:ascii="Arial"/>
          <w:b/>
          <w:i/>
          <w:spacing w:val="-1"/>
          <w:highlight w:val="green"/>
        </w:rPr>
        <w:t>The</w:t>
      </w:r>
      <w:r w:rsidRPr="005D2B81">
        <w:rPr>
          <w:rFonts w:ascii="Arial"/>
          <w:b/>
          <w:i/>
          <w:highlight w:val="green"/>
        </w:rPr>
        <w:t xml:space="preserve"> </w:t>
      </w:r>
      <w:r w:rsidRPr="005D2B81">
        <w:rPr>
          <w:rFonts w:ascii="Arial"/>
          <w:b/>
          <w:i/>
          <w:spacing w:val="18"/>
          <w:highlight w:val="green"/>
        </w:rPr>
        <w:t xml:space="preserve"> </w:t>
      </w:r>
      <w:r w:rsidRPr="005D2B81">
        <w:rPr>
          <w:rFonts w:ascii="Arial"/>
          <w:b/>
          <w:i/>
          <w:spacing w:val="-1"/>
          <w:highlight w:val="green"/>
        </w:rPr>
        <w:t>guidance</w:t>
      </w:r>
      <w:r w:rsidRPr="005D2B81">
        <w:rPr>
          <w:rFonts w:ascii="Arial"/>
          <w:b/>
          <w:i/>
          <w:highlight w:val="green"/>
        </w:rPr>
        <w:t xml:space="preserve"> </w:t>
      </w:r>
      <w:r w:rsidRPr="005D2B81">
        <w:rPr>
          <w:rFonts w:ascii="Arial"/>
          <w:b/>
          <w:i/>
          <w:spacing w:val="16"/>
          <w:highlight w:val="green"/>
        </w:rPr>
        <w:t xml:space="preserve"> </w:t>
      </w:r>
      <w:r w:rsidRPr="005D2B81">
        <w:rPr>
          <w:rFonts w:ascii="Arial"/>
          <w:b/>
          <w:i/>
          <w:highlight w:val="green"/>
        </w:rPr>
        <w:t xml:space="preserve">is </w:t>
      </w:r>
      <w:r w:rsidRPr="005D2B81">
        <w:rPr>
          <w:rFonts w:ascii="Arial"/>
          <w:b/>
          <w:i/>
          <w:spacing w:val="18"/>
          <w:highlight w:val="green"/>
        </w:rPr>
        <w:t xml:space="preserve"> </w:t>
      </w:r>
      <w:r w:rsidRPr="005D2B81">
        <w:rPr>
          <w:rFonts w:ascii="Arial"/>
          <w:b/>
          <w:i/>
          <w:spacing w:val="-2"/>
          <w:highlight w:val="green"/>
        </w:rPr>
        <w:t>not</w:t>
      </w:r>
      <w:r w:rsidRPr="005D2B81">
        <w:rPr>
          <w:rFonts w:ascii="Arial"/>
          <w:b/>
          <w:i/>
          <w:highlight w:val="green"/>
        </w:rPr>
        <w:t xml:space="preserve"> </w:t>
      </w:r>
      <w:r w:rsidRPr="005D2B81">
        <w:rPr>
          <w:rFonts w:ascii="Arial"/>
          <w:b/>
          <w:i/>
          <w:spacing w:val="17"/>
          <w:highlight w:val="green"/>
        </w:rPr>
        <w:t xml:space="preserve"> </w:t>
      </w:r>
      <w:r w:rsidRPr="005D2B81">
        <w:rPr>
          <w:rFonts w:ascii="Arial"/>
          <w:b/>
          <w:i/>
          <w:spacing w:val="-1"/>
          <w:highlight w:val="green"/>
        </w:rPr>
        <w:t>exhaustive</w:t>
      </w:r>
      <w:r w:rsidRPr="005D2B81">
        <w:rPr>
          <w:rFonts w:ascii="Arial"/>
          <w:b/>
          <w:i/>
          <w:highlight w:val="green"/>
        </w:rPr>
        <w:t xml:space="preserve"> </w:t>
      </w:r>
      <w:r w:rsidRPr="005D2B81">
        <w:rPr>
          <w:rFonts w:ascii="Arial"/>
          <w:b/>
          <w:i/>
          <w:spacing w:val="16"/>
          <w:highlight w:val="green"/>
        </w:rPr>
        <w:t xml:space="preserve"> </w:t>
      </w:r>
      <w:r w:rsidRPr="005D2B81">
        <w:rPr>
          <w:rFonts w:ascii="Arial"/>
          <w:b/>
          <w:i/>
          <w:spacing w:val="-1"/>
          <w:highlight w:val="green"/>
        </w:rPr>
        <w:t>and</w:t>
      </w:r>
      <w:r w:rsidRPr="005D2B81">
        <w:rPr>
          <w:rFonts w:ascii="Arial"/>
          <w:b/>
          <w:i/>
          <w:highlight w:val="green"/>
        </w:rPr>
        <w:t xml:space="preserve"> </w:t>
      </w:r>
      <w:r w:rsidRPr="005D2B81">
        <w:rPr>
          <w:rFonts w:ascii="Arial"/>
          <w:b/>
          <w:i/>
          <w:spacing w:val="18"/>
          <w:highlight w:val="green"/>
        </w:rPr>
        <w:t xml:space="preserve"> </w:t>
      </w:r>
      <w:r w:rsidRPr="005D2B81">
        <w:rPr>
          <w:rFonts w:ascii="Arial"/>
          <w:b/>
          <w:i/>
          <w:spacing w:val="-1"/>
          <w:highlight w:val="green"/>
        </w:rPr>
        <w:t>has</w:t>
      </w:r>
      <w:r w:rsidRPr="005D2B81">
        <w:rPr>
          <w:rFonts w:ascii="Arial"/>
          <w:b/>
          <w:i/>
          <w:highlight w:val="green"/>
        </w:rPr>
        <w:t xml:space="preserve"> </w:t>
      </w:r>
      <w:r w:rsidRPr="005D2B81">
        <w:rPr>
          <w:rFonts w:ascii="Arial"/>
          <w:b/>
          <w:i/>
          <w:spacing w:val="16"/>
          <w:highlight w:val="green"/>
        </w:rPr>
        <w:t xml:space="preserve"> </w:t>
      </w:r>
      <w:r w:rsidRPr="005D2B81">
        <w:rPr>
          <w:rFonts w:ascii="Arial"/>
          <w:b/>
          <w:i/>
          <w:spacing w:val="-1"/>
          <w:highlight w:val="green"/>
        </w:rPr>
        <w:t>been</w:t>
      </w:r>
      <w:r w:rsidRPr="005D2B81">
        <w:rPr>
          <w:rFonts w:ascii="Arial"/>
          <w:b/>
          <w:i/>
          <w:highlight w:val="green"/>
        </w:rPr>
        <w:t xml:space="preserve"> </w:t>
      </w:r>
      <w:r w:rsidRPr="005D2B81">
        <w:rPr>
          <w:rFonts w:ascii="Arial"/>
          <w:b/>
          <w:i/>
          <w:spacing w:val="18"/>
          <w:highlight w:val="green"/>
        </w:rPr>
        <w:t xml:space="preserve"> </w:t>
      </w:r>
      <w:r w:rsidRPr="005D2B81">
        <w:rPr>
          <w:rFonts w:ascii="Arial"/>
          <w:b/>
          <w:i/>
          <w:spacing w:val="-1"/>
          <w:highlight w:val="green"/>
        </w:rPr>
        <w:t>included</w:t>
      </w:r>
      <w:r w:rsidRPr="005D2B81">
        <w:rPr>
          <w:rFonts w:ascii="Arial"/>
          <w:b/>
          <w:i/>
          <w:highlight w:val="green"/>
        </w:rPr>
        <w:t xml:space="preserve"> </w:t>
      </w:r>
      <w:r w:rsidRPr="005D2B81">
        <w:rPr>
          <w:rFonts w:ascii="Arial"/>
          <w:b/>
          <w:i/>
          <w:spacing w:val="18"/>
          <w:highlight w:val="green"/>
        </w:rPr>
        <w:t xml:space="preserve"> </w:t>
      </w:r>
      <w:r w:rsidRPr="005D2B81">
        <w:rPr>
          <w:rFonts w:ascii="Arial"/>
          <w:b/>
          <w:i/>
          <w:highlight w:val="green"/>
        </w:rPr>
        <w:t xml:space="preserve">to </w:t>
      </w:r>
      <w:r w:rsidRPr="005D2B81">
        <w:rPr>
          <w:rFonts w:ascii="Arial"/>
          <w:b/>
          <w:i/>
          <w:spacing w:val="16"/>
          <w:highlight w:val="green"/>
        </w:rPr>
        <w:t xml:space="preserve"> </w:t>
      </w:r>
      <w:r w:rsidRPr="005D2B81">
        <w:rPr>
          <w:rFonts w:ascii="Arial"/>
          <w:b/>
          <w:i/>
          <w:spacing w:val="-1"/>
          <w:highlight w:val="green"/>
        </w:rPr>
        <w:t>assist</w:t>
      </w:r>
      <w:r w:rsidRPr="005D2B81">
        <w:rPr>
          <w:rFonts w:ascii="Arial"/>
          <w:b/>
          <w:i/>
          <w:highlight w:val="green"/>
        </w:rPr>
        <w:t xml:space="preserve"> </w:t>
      </w:r>
      <w:r w:rsidRPr="005D2B81">
        <w:rPr>
          <w:rFonts w:ascii="Arial"/>
          <w:b/>
          <w:i/>
          <w:spacing w:val="17"/>
          <w:highlight w:val="green"/>
        </w:rPr>
        <w:t xml:space="preserve"> </w:t>
      </w:r>
      <w:r w:rsidRPr="005D2B81">
        <w:rPr>
          <w:rFonts w:ascii="Arial"/>
          <w:b/>
          <w:i/>
          <w:spacing w:val="-1"/>
          <w:highlight w:val="green"/>
        </w:rPr>
        <w:t>the</w:t>
      </w:r>
      <w:r w:rsidRPr="005D2B81">
        <w:rPr>
          <w:rFonts w:ascii="Arial"/>
          <w:b/>
          <w:i/>
          <w:spacing w:val="38"/>
          <w:highlight w:val="green"/>
        </w:rPr>
        <w:t xml:space="preserve"> </w:t>
      </w:r>
      <w:r w:rsidRPr="005D2B81">
        <w:rPr>
          <w:rFonts w:ascii="Arial"/>
          <w:b/>
          <w:i/>
          <w:spacing w:val="-1"/>
          <w:highlight w:val="green"/>
        </w:rPr>
        <w:t xml:space="preserve">Customer </w:t>
      </w:r>
      <w:r w:rsidRPr="005D2B81">
        <w:rPr>
          <w:rFonts w:ascii="Arial"/>
          <w:b/>
          <w:i/>
          <w:highlight w:val="green"/>
        </w:rPr>
        <w:t>in</w:t>
      </w:r>
      <w:r w:rsidRPr="005D2B81">
        <w:rPr>
          <w:rFonts w:ascii="Arial"/>
          <w:b/>
          <w:i/>
          <w:spacing w:val="-2"/>
          <w:highlight w:val="green"/>
        </w:rPr>
        <w:t xml:space="preserve"> </w:t>
      </w:r>
      <w:r w:rsidRPr="005D2B81">
        <w:rPr>
          <w:rFonts w:ascii="Arial"/>
          <w:b/>
          <w:i/>
          <w:spacing w:val="-1"/>
          <w:highlight w:val="green"/>
        </w:rPr>
        <w:t>completing</w:t>
      </w:r>
      <w:r w:rsidRPr="005D2B81">
        <w:rPr>
          <w:rFonts w:ascii="Arial"/>
          <w:b/>
          <w:i/>
          <w:highlight w:val="green"/>
        </w:rPr>
        <w:t xml:space="preserve"> </w:t>
      </w:r>
      <w:r w:rsidRPr="005D2B81">
        <w:rPr>
          <w:rFonts w:ascii="Arial"/>
          <w:b/>
          <w:i/>
          <w:spacing w:val="-1"/>
          <w:highlight w:val="green"/>
        </w:rPr>
        <w:t>the</w:t>
      </w:r>
      <w:r w:rsidRPr="005D2B81">
        <w:rPr>
          <w:rFonts w:ascii="Arial"/>
          <w:b/>
          <w:i/>
          <w:spacing w:val="-2"/>
          <w:highlight w:val="green"/>
        </w:rPr>
        <w:t xml:space="preserve"> </w:t>
      </w:r>
      <w:r w:rsidRPr="005D2B81">
        <w:rPr>
          <w:rFonts w:ascii="Arial"/>
          <w:b/>
          <w:i/>
          <w:spacing w:val="-1"/>
          <w:highlight w:val="green"/>
        </w:rPr>
        <w:t>required</w:t>
      </w:r>
      <w:r w:rsidRPr="005D2B81">
        <w:rPr>
          <w:rFonts w:ascii="Arial"/>
          <w:b/>
          <w:i/>
          <w:spacing w:val="-2"/>
          <w:highlight w:val="green"/>
        </w:rPr>
        <w:t xml:space="preserve"> </w:t>
      </w:r>
      <w:r w:rsidRPr="005D2B81">
        <w:rPr>
          <w:rFonts w:ascii="Arial"/>
          <w:b/>
          <w:i/>
          <w:spacing w:val="-1"/>
          <w:highlight w:val="green"/>
        </w:rPr>
        <w:t>information</w:t>
      </w:r>
      <w:r w:rsidRPr="005D2B81">
        <w:rPr>
          <w:rFonts w:ascii="Arial"/>
          <w:b/>
          <w:i/>
          <w:spacing w:val="-2"/>
          <w:highlight w:val="green"/>
        </w:rPr>
        <w:t xml:space="preserve"> </w:t>
      </w:r>
      <w:r w:rsidRPr="005D2B81">
        <w:rPr>
          <w:rFonts w:ascii="Arial"/>
          <w:b/>
          <w:i/>
          <w:spacing w:val="-1"/>
          <w:highlight w:val="green"/>
        </w:rPr>
        <w:t>with</w:t>
      </w:r>
      <w:r w:rsidRPr="005D2B81">
        <w:rPr>
          <w:rFonts w:ascii="Arial"/>
          <w:b/>
          <w:i/>
          <w:highlight w:val="green"/>
        </w:rPr>
        <w:t xml:space="preserve"> </w:t>
      </w:r>
      <w:r w:rsidRPr="005D2B81">
        <w:rPr>
          <w:rFonts w:ascii="Arial"/>
          <w:b/>
          <w:i/>
          <w:spacing w:val="-1"/>
          <w:highlight w:val="green"/>
        </w:rPr>
        <w:t>sufficient</w:t>
      </w:r>
      <w:r w:rsidRPr="005D2B81">
        <w:rPr>
          <w:rFonts w:ascii="Arial"/>
          <w:b/>
          <w:i/>
          <w:spacing w:val="2"/>
          <w:highlight w:val="green"/>
        </w:rPr>
        <w:t xml:space="preserve"> </w:t>
      </w:r>
      <w:r w:rsidRPr="005D2B81">
        <w:rPr>
          <w:rFonts w:ascii="Arial"/>
          <w:b/>
          <w:i/>
          <w:spacing w:val="-1"/>
          <w:highlight w:val="green"/>
        </w:rPr>
        <w:t>detail.</w:t>
      </w:r>
    </w:p>
    <w:p w:rsidR="005D2B81" w:rsidRPr="005D2B81" w:rsidRDefault="005D2B81" w:rsidP="005D2B81">
      <w:pPr>
        <w:jc w:val="both"/>
        <w:rPr>
          <w:rFonts w:ascii="Arial" w:eastAsia="Arial" w:hAnsi="Arial" w:cs="Arial"/>
          <w:highlight w:val="green"/>
        </w:rPr>
      </w:pPr>
    </w:p>
    <w:p w:rsidR="005D2B81" w:rsidRDefault="005D2B81" w:rsidP="005D2B81">
      <w:pPr>
        <w:jc w:val="both"/>
        <w:rPr>
          <w:rFonts w:ascii="Arial" w:eastAsia="Arial" w:hAnsi="Arial" w:cs="Arial"/>
        </w:rPr>
      </w:pPr>
      <w:r w:rsidRPr="005D2B81">
        <w:rPr>
          <w:rFonts w:ascii="Arial"/>
          <w:b/>
          <w:i/>
          <w:highlight w:val="green"/>
        </w:rPr>
        <w:t>If</w:t>
      </w:r>
      <w:r w:rsidRPr="005D2B81">
        <w:rPr>
          <w:rFonts w:ascii="Arial"/>
          <w:b/>
          <w:i/>
          <w:spacing w:val="47"/>
          <w:highlight w:val="green"/>
        </w:rPr>
        <w:t xml:space="preserve"> </w:t>
      </w:r>
      <w:r w:rsidRPr="005D2B81">
        <w:rPr>
          <w:rFonts w:ascii="Arial"/>
          <w:b/>
          <w:i/>
          <w:spacing w:val="-1"/>
          <w:highlight w:val="green"/>
        </w:rPr>
        <w:t>the</w:t>
      </w:r>
      <w:r w:rsidRPr="005D2B81">
        <w:rPr>
          <w:rFonts w:ascii="Arial"/>
          <w:b/>
          <w:i/>
          <w:spacing w:val="46"/>
          <w:highlight w:val="green"/>
        </w:rPr>
        <w:t xml:space="preserve"> </w:t>
      </w:r>
      <w:r w:rsidRPr="005D2B81">
        <w:rPr>
          <w:rFonts w:ascii="Arial"/>
          <w:b/>
          <w:i/>
          <w:spacing w:val="-1"/>
          <w:highlight w:val="green"/>
        </w:rPr>
        <w:t>Customer</w:t>
      </w:r>
      <w:r w:rsidRPr="005D2B81">
        <w:rPr>
          <w:rFonts w:ascii="Arial"/>
          <w:b/>
          <w:i/>
          <w:spacing w:val="47"/>
          <w:highlight w:val="green"/>
        </w:rPr>
        <w:t xml:space="preserve"> </w:t>
      </w:r>
      <w:r w:rsidRPr="005D2B81">
        <w:rPr>
          <w:rFonts w:ascii="Arial"/>
          <w:b/>
          <w:i/>
          <w:spacing w:val="-1"/>
          <w:highlight w:val="green"/>
        </w:rPr>
        <w:t>requires</w:t>
      </w:r>
      <w:r w:rsidRPr="005D2B81">
        <w:rPr>
          <w:rFonts w:ascii="Arial"/>
          <w:b/>
          <w:i/>
          <w:spacing w:val="46"/>
          <w:highlight w:val="green"/>
        </w:rPr>
        <w:t xml:space="preserve"> </w:t>
      </w:r>
      <w:r w:rsidRPr="005D2B81">
        <w:rPr>
          <w:rFonts w:ascii="Arial"/>
          <w:b/>
          <w:i/>
          <w:spacing w:val="-1"/>
          <w:highlight w:val="green"/>
        </w:rPr>
        <w:t>the</w:t>
      </w:r>
      <w:r w:rsidRPr="005D2B81">
        <w:rPr>
          <w:rFonts w:ascii="Arial"/>
          <w:b/>
          <w:i/>
          <w:spacing w:val="46"/>
          <w:highlight w:val="green"/>
        </w:rPr>
        <w:t xml:space="preserve"> </w:t>
      </w:r>
      <w:r w:rsidRPr="005D2B81">
        <w:rPr>
          <w:rFonts w:ascii="Arial"/>
          <w:b/>
          <w:i/>
          <w:spacing w:val="-1"/>
          <w:highlight w:val="green"/>
        </w:rPr>
        <w:t>assistance</w:t>
      </w:r>
      <w:r w:rsidRPr="005D2B81">
        <w:rPr>
          <w:rFonts w:ascii="Arial"/>
          <w:b/>
          <w:i/>
          <w:spacing w:val="46"/>
          <w:highlight w:val="green"/>
        </w:rPr>
        <w:t xml:space="preserve"> </w:t>
      </w:r>
      <w:r w:rsidRPr="005D2B81">
        <w:rPr>
          <w:rFonts w:ascii="Arial"/>
          <w:b/>
          <w:i/>
          <w:spacing w:val="-1"/>
          <w:highlight w:val="green"/>
        </w:rPr>
        <w:t>of</w:t>
      </w:r>
      <w:r w:rsidRPr="005D2B81">
        <w:rPr>
          <w:rFonts w:ascii="Arial"/>
          <w:b/>
          <w:i/>
          <w:spacing w:val="46"/>
          <w:highlight w:val="green"/>
        </w:rPr>
        <w:t xml:space="preserve"> </w:t>
      </w:r>
      <w:r w:rsidRPr="005D2B81">
        <w:rPr>
          <w:rFonts w:ascii="Arial"/>
          <w:b/>
          <w:i/>
          <w:spacing w:val="-1"/>
          <w:highlight w:val="green"/>
        </w:rPr>
        <w:t>the</w:t>
      </w:r>
      <w:r w:rsidRPr="005D2B81">
        <w:rPr>
          <w:rFonts w:ascii="Arial"/>
          <w:b/>
          <w:i/>
          <w:spacing w:val="46"/>
          <w:highlight w:val="green"/>
        </w:rPr>
        <w:t xml:space="preserve"> </w:t>
      </w:r>
      <w:r w:rsidRPr="005D2B81">
        <w:rPr>
          <w:rFonts w:ascii="Arial"/>
          <w:b/>
          <w:i/>
          <w:spacing w:val="-1"/>
          <w:highlight w:val="green"/>
        </w:rPr>
        <w:t>Supplier</w:t>
      </w:r>
      <w:r w:rsidRPr="005D2B81">
        <w:rPr>
          <w:rFonts w:ascii="Arial"/>
          <w:b/>
          <w:i/>
          <w:spacing w:val="47"/>
          <w:highlight w:val="green"/>
        </w:rPr>
        <w:t xml:space="preserve"> </w:t>
      </w:r>
      <w:r w:rsidRPr="005D2B81">
        <w:rPr>
          <w:rFonts w:ascii="Arial"/>
          <w:b/>
          <w:i/>
          <w:highlight w:val="green"/>
        </w:rPr>
        <w:t>to</w:t>
      </w:r>
      <w:r w:rsidRPr="005D2B81">
        <w:rPr>
          <w:rFonts w:ascii="Arial"/>
          <w:b/>
          <w:i/>
          <w:spacing w:val="43"/>
          <w:highlight w:val="green"/>
        </w:rPr>
        <w:t xml:space="preserve"> </w:t>
      </w:r>
      <w:r w:rsidRPr="005D2B81">
        <w:rPr>
          <w:rFonts w:ascii="Arial"/>
          <w:b/>
          <w:i/>
          <w:spacing w:val="-1"/>
          <w:highlight w:val="green"/>
        </w:rPr>
        <w:t>fill</w:t>
      </w:r>
      <w:r w:rsidRPr="005D2B81">
        <w:rPr>
          <w:rFonts w:ascii="Arial"/>
          <w:b/>
          <w:i/>
          <w:spacing w:val="47"/>
          <w:highlight w:val="green"/>
        </w:rPr>
        <w:t xml:space="preserve"> </w:t>
      </w:r>
      <w:r w:rsidRPr="005D2B81">
        <w:rPr>
          <w:rFonts w:ascii="Arial"/>
          <w:b/>
          <w:i/>
          <w:highlight w:val="green"/>
        </w:rPr>
        <w:t>in</w:t>
      </w:r>
      <w:r w:rsidRPr="005D2B81">
        <w:rPr>
          <w:rFonts w:ascii="Arial"/>
          <w:b/>
          <w:i/>
          <w:spacing w:val="43"/>
          <w:highlight w:val="green"/>
        </w:rPr>
        <w:t xml:space="preserve"> </w:t>
      </w:r>
      <w:r w:rsidRPr="005D2B81">
        <w:rPr>
          <w:rFonts w:ascii="Arial"/>
          <w:b/>
          <w:i/>
          <w:spacing w:val="-1"/>
          <w:highlight w:val="green"/>
        </w:rPr>
        <w:t>certain</w:t>
      </w:r>
      <w:r w:rsidRPr="005D2B81">
        <w:rPr>
          <w:rFonts w:ascii="Arial"/>
          <w:b/>
          <w:i/>
          <w:spacing w:val="51"/>
          <w:highlight w:val="green"/>
        </w:rPr>
        <w:t xml:space="preserve"> </w:t>
      </w:r>
      <w:r w:rsidRPr="005D2B81">
        <w:rPr>
          <w:rFonts w:ascii="Arial"/>
          <w:b/>
          <w:i/>
          <w:spacing w:val="-1"/>
          <w:highlight w:val="green"/>
        </w:rPr>
        <w:t>sections</w:t>
      </w:r>
      <w:r w:rsidRPr="005D2B81">
        <w:rPr>
          <w:rFonts w:ascii="Arial"/>
          <w:b/>
          <w:i/>
          <w:spacing w:val="6"/>
          <w:highlight w:val="green"/>
        </w:rPr>
        <w:t xml:space="preserve"> </w:t>
      </w:r>
      <w:r w:rsidRPr="005D2B81">
        <w:rPr>
          <w:rFonts w:ascii="Arial"/>
          <w:b/>
          <w:i/>
          <w:spacing w:val="-1"/>
          <w:highlight w:val="green"/>
        </w:rPr>
        <w:t>of</w:t>
      </w:r>
      <w:r w:rsidRPr="005D2B81">
        <w:rPr>
          <w:rFonts w:ascii="Arial"/>
          <w:b/>
          <w:i/>
          <w:spacing w:val="8"/>
          <w:highlight w:val="green"/>
        </w:rPr>
        <w:t xml:space="preserve"> </w:t>
      </w:r>
      <w:r w:rsidRPr="005D2B81">
        <w:rPr>
          <w:rFonts w:ascii="Arial"/>
          <w:b/>
          <w:i/>
          <w:spacing w:val="-1"/>
          <w:highlight w:val="green"/>
        </w:rPr>
        <w:t>the</w:t>
      </w:r>
      <w:r w:rsidRPr="005D2B81">
        <w:rPr>
          <w:rFonts w:ascii="Arial"/>
          <w:b/>
          <w:i/>
          <w:spacing w:val="6"/>
          <w:highlight w:val="green"/>
        </w:rPr>
        <w:t xml:space="preserve"> </w:t>
      </w:r>
      <w:r w:rsidRPr="005D2B81">
        <w:rPr>
          <w:rFonts w:ascii="Arial"/>
          <w:b/>
          <w:i/>
          <w:spacing w:val="-1"/>
          <w:highlight w:val="green"/>
        </w:rPr>
        <w:t>Template</w:t>
      </w:r>
      <w:r w:rsidRPr="005D2B81">
        <w:rPr>
          <w:rFonts w:ascii="Arial"/>
          <w:b/>
          <w:i/>
          <w:spacing w:val="6"/>
          <w:highlight w:val="green"/>
        </w:rPr>
        <w:t xml:space="preserve"> </w:t>
      </w:r>
      <w:r w:rsidRPr="005D2B81">
        <w:rPr>
          <w:rFonts w:ascii="Arial"/>
          <w:b/>
          <w:i/>
          <w:spacing w:val="-1"/>
          <w:highlight w:val="green"/>
        </w:rPr>
        <w:t>Order</w:t>
      </w:r>
      <w:r w:rsidRPr="005D2B81">
        <w:rPr>
          <w:rFonts w:ascii="Arial"/>
          <w:b/>
          <w:i/>
          <w:spacing w:val="7"/>
          <w:highlight w:val="green"/>
        </w:rPr>
        <w:t xml:space="preserve"> </w:t>
      </w:r>
      <w:r w:rsidRPr="005D2B81">
        <w:rPr>
          <w:rFonts w:ascii="Arial"/>
          <w:b/>
          <w:i/>
          <w:spacing w:val="-1"/>
          <w:highlight w:val="green"/>
        </w:rPr>
        <w:t>Form</w:t>
      </w:r>
      <w:r w:rsidRPr="005D2B81">
        <w:rPr>
          <w:rFonts w:ascii="Arial"/>
          <w:b/>
          <w:i/>
          <w:spacing w:val="7"/>
          <w:highlight w:val="green"/>
        </w:rPr>
        <w:t xml:space="preserve"> </w:t>
      </w:r>
      <w:r w:rsidRPr="005D2B81">
        <w:rPr>
          <w:rFonts w:ascii="Arial"/>
          <w:b/>
          <w:i/>
          <w:spacing w:val="-1"/>
          <w:highlight w:val="green"/>
        </w:rPr>
        <w:t>this</w:t>
      </w:r>
      <w:r w:rsidRPr="005D2B81">
        <w:rPr>
          <w:rFonts w:ascii="Arial"/>
          <w:b/>
          <w:i/>
          <w:spacing w:val="4"/>
          <w:highlight w:val="green"/>
        </w:rPr>
        <w:t xml:space="preserve"> </w:t>
      </w:r>
      <w:r w:rsidRPr="005D2B81">
        <w:rPr>
          <w:rFonts w:ascii="Arial"/>
          <w:b/>
          <w:i/>
          <w:highlight w:val="green"/>
        </w:rPr>
        <w:t>will</w:t>
      </w:r>
      <w:r w:rsidRPr="005D2B81">
        <w:rPr>
          <w:rFonts w:ascii="Arial"/>
          <w:b/>
          <w:i/>
          <w:spacing w:val="8"/>
          <w:highlight w:val="green"/>
        </w:rPr>
        <w:t xml:space="preserve"> </w:t>
      </w:r>
      <w:r w:rsidRPr="005D2B81">
        <w:rPr>
          <w:rFonts w:ascii="Arial"/>
          <w:b/>
          <w:i/>
          <w:spacing w:val="-1"/>
          <w:highlight w:val="green"/>
        </w:rPr>
        <w:t>be</w:t>
      </w:r>
      <w:r w:rsidRPr="005D2B81">
        <w:rPr>
          <w:rFonts w:ascii="Arial"/>
          <w:b/>
          <w:i/>
          <w:spacing w:val="6"/>
          <w:highlight w:val="green"/>
        </w:rPr>
        <w:t xml:space="preserve"> </w:t>
      </w:r>
      <w:r w:rsidRPr="005D2B81">
        <w:rPr>
          <w:rFonts w:ascii="Arial"/>
          <w:b/>
          <w:i/>
          <w:spacing w:val="-1"/>
          <w:highlight w:val="green"/>
        </w:rPr>
        <w:t>agreed</w:t>
      </w:r>
      <w:r w:rsidRPr="005D2B81">
        <w:rPr>
          <w:rFonts w:ascii="Arial"/>
          <w:b/>
          <w:i/>
          <w:spacing w:val="6"/>
          <w:highlight w:val="green"/>
        </w:rPr>
        <w:t xml:space="preserve"> </w:t>
      </w:r>
      <w:r w:rsidRPr="005D2B81">
        <w:rPr>
          <w:rFonts w:ascii="Arial"/>
          <w:b/>
          <w:i/>
          <w:spacing w:val="-1"/>
          <w:highlight w:val="green"/>
        </w:rPr>
        <w:t>between</w:t>
      </w:r>
      <w:r w:rsidRPr="005D2B81">
        <w:rPr>
          <w:rFonts w:ascii="Arial"/>
          <w:b/>
          <w:i/>
          <w:spacing w:val="6"/>
          <w:highlight w:val="green"/>
        </w:rPr>
        <w:t xml:space="preserve"> </w:t>
      </w:r>
      <w:r w:rsidRPr="005D2B81">
        <w:rPr>
          <w:rFonts w:ascii="Arial"/>
          <w:b/>
          <w:i/>
          <w:spacing w:val="-1"/>
          <w:highlight w:val="green"/>
        </w:rPr>
        <w:t>the</w:t>
      </w:r>
      <w:r w:rsidRPr="005D2B81">
        <w:rPr>
          <w:rFonts w:ascii="Arial"/>
          <w:b/>
          <w:i/>
          <w:spacing w:val="38"/>
          <w:highlight w:val="green"/>
        </w:rPr>
        <w:t xml:space="preserve"> </w:t>
      </w:r>
      <w:r w:rsidRPr="005D2B81">
        <w:rPr>
          <w:rFonts w:ascii="Arial"/>
          <w:b/>
          <w:i/>
          <w:spacing w:val="-1"/>
          <w:highlight w:val="green"/>
        </w:rPr>
        <w:t>parties.</w:t>
      </w:r>
    </w:p>
    <w:p w:rsidR="005D2B81" w:rsidRDefault="005D2B81" w:rsidP="005D2B81">
      <w:pPr>
        <w:jc w:val="both"/>
        <w:rPr>
          <w:rFonts w:ascii="Arial" w:eastAsia="Arial" w:hAnsi="Arial" w:cs="Arial"/>
        </w:rPr>
      </w:pPr>
    </w:p>
    <w:p w:rsidR="008918FA" w:rsidRPr="002A65CD" w:rsidRDefault="008918FA" w:rsidP="008918FA">
      <w:pPr>
        <w:spacing w:line="200" w:lineRule="atLeast"/>
        <w:ind w:left="1292"/>
        <w:rPr>
          <w:rFonts w:ascii="Arial" w:eastAsia="Arial" w:hAnsi="Arial" w:cs="Arial"/>
          <w:caps/>
          <w:sz w:val="20"/>
          <w:szCs w:val="20"/>
        </w:rPr>
      </w:pPr>
    </w:p>
    <w:p w:rsidR="008918FA" w:rsidRPr="002A65CD" w:rsidRDefault="008918FA" w:rsidP="008918FA">
      <w:pPr>
        <w:spacing w:before="5"/>
        <w:rPr>
          <w:rFonts w:ascii="Arial" w:eastAsia="Arial" w:hAnsi="Arial" w:cs="Arial"/>
          <w:b/>
          <w:bCs/>
          <w:i/>
          <w:caps/>
          <w:sz w:val="10"/>
          <w:szCs w:val="10"/>
        </w:rPr>
      </w:pPr>
    </w:p>
    <w:p w:rsidR="008918FA" w:rsidRPr="002A65CD" w:rsidRDefault="008918FA" w:rsidP="008918FA">
      <w:pPr>
        <w:spacing w:line="200" w:lineRule="atLeast"/>
        <w:ind w:left="1292"/>
        <w:rPr>
          <w:rFonts w:ascii="Arial" w:eastAsia="Arial" w:hAnsi="Arial" w:cs="Arial"/>
          <w:caps/>
          <w:sz w:val="20"/>
          <w:szCs w:val="20"/>
        </w:rPr>
      </w:pPr>
    </w:p>
    <w:p w:rsidR="008918FA" w:rsidRPr="002A65CD" w:rsidRDefault="008918FA" w:rsidP="008918FA">
      <w:pPr>
        <w:spacing w:before="5"/>
        <w:rPr>
          <w:rFonts w:ascii="Arial" w:eastAsia="Arial" w:hAnsi="Arial" w:cs="Arial"/>
          <w:b/>
          <w:bCs/>
          <w:i/>
          <w:caps/>
          <w:sz w:val="10"/>
          <w:szCs w:val="10"/>
        </w:rPr>
      </w:pPr>
    </w:p>
    <w:p w:rsidR="008918FA" w:rsidRDefault="008918FA" w:rsidP="008918FA">
      <w:pPr>
        <w:spacing w:line="200" w:lineRule="atLeast"/>
        <w:ind w:left="1292"/>
        <w:rPr>
          <w:rFonts w:ascii="Arial" w:eastAsia="Arial" w:hAnsi="Arial" w:cs="Arial"/>
          <w:caps/>
          <w:sz w:val="20"/>
          <w:szCs w:val="20"/>
        </w:rPr>
      </w:pPr>
    </w:p>
    <w:p w:rsidR="005D2B81" w:rsidRPr="002A65CD" w:rsidRDefault="005D2B81" w:rsidP="008918FA">
      <w:pPr>
        <w:spacing w:line="200" w:lineRule="atLeast"/>
        <w:ind w:left="1292"/>
        <w:rPr>
          <w:rFonts w:ascii="Arial" w:eastAsia="Arial" w:hAnsi="Arial" w:cs="Arial"/>
          <w:caps/>
          <w:sz w:val="20"/>
          <w:szCs w:val="20"/>
        </w:rPr>
      </w:pPr>
    </w:p>
    <w:p w:rsidR="008918FA" w:rsidRPr="002A65CD" w:rsidRDefault="008918FA" w:rsidP="008918FA">
      <w:pPr>
        <w:spacing w:before="117"/>
        <w:ind w:left="1292"/>
        <w:rPr>
          <w:rFonts w:ascii="Arial" w:eastAsia="Arial" w:hAnsi="Arial" w:cs="Arial"/>
          <w:caps/>
        </w:rPr>
      </w:pPr>
      <w:r w:rsidRPr="002A65CD">
        <w:rPr>
          <w:rFonts w:ascii="Arial"/>
          <w:b/>
          <w:i/>
          <w:caps/>
          <w:spacing w:val="-1"/>
          <w:highlight w:val="green"/>
        </w:rPr>
        <w:t>Delete</w:t>
      </w:r>
      <w:r w:rsidRPr="002A65CD">
        <w:rPr>
          <w:rFonts w:ascii="Arial"/>
          <w:b/>
          <w:i/>
          <w:caps/>
          <w:spacing w:val="-2"/>
          <w:highlight w:val="green"/>
        </w:rPr>
        <w:t xml:space="preserve"> </w:t>
      </w:r>
      <w:r w:rsidRPr="002A65CD">
        <w:rPr>
          <w:rFonts w:ascii="Arial"/>
          <w:b/>
          <w:i/>
          <w:caps/>
          <w:highlight w:val="green"/>
        </w:rPr>
        <w:t>this</w:t>
      </w:r>
      <w:r w:rsidRPr="002A65CD">
        <w:rPr>
          <w:rFonts w:ascii="Arial"/>
          <w:b/>
          <w:i/>
          <w:caps/>
          <w:spacing w:val="-2"/>
          <w:highlight w:val="green"/>
        </w:rPr>
        <w:t xml:space="preserve"> </w:t>
      </w:r>
      <w:r w:rsidRPr="002A65CD">
        <w:rPr>
          <w:rFonts w:ascii="Arial"/>
          <w:b/>
          <w:i/>
          <w:caps/>
          <w:spacing w:val="-1"/>
          <w:highlight w:val="green"/>
        </w:rPr>
        <w:t>page</w:t>
      </w:r>
      <w:r w:rsidRPr="002A65CD">
        <w:rPr>
          <w:rFonts w:ascii="Arial"/>
          <w:b/>
          <w:i/>
          <w:caps/>
          <w:spacing w:val="1"/>
          <w:highlight w:val="green"/>
        </w:rPr>
        <w:t xml:space="preserve"> </w:t>
      </w:r>
      <w:r w:rsidRPr="002A65CD">
        <w:rPr>
          <w:rFonts w:ascii="Arial"/>
          <w:b/>
          <w:i/>
          <w:caps/>
          <w:spacing w:val="-1"/>
          <w:highlight w:val="green"/>
        </w:rPr>
        <w:t>before</w:t>
      </w:r>
      <w:r w:rsidRPr="002A65CD">
        <w:rPr>
          <w:rFonts w:ascii="Arial"/>
          <w:b/>
          <w:i/>
          <w:caps/>
          <w:spacing w:val="-2"/>
          <w:highlight w:val="green"/>
        </w:rPr>
        <w:t xml:space="preserve"> </w:t>
      </w:r>
      <w:r w:rsidRPr="002A65CD">
        <w:rPr>
          <w:rFonts w:ascii="Arial"/>
          <w:b/>
          <w:i/>
          <w:caps/>
          <w:spacing w:val="-1"/>
          <w:highlight w:val="green"/>
        </w:rPr>
        <w:t>signature]</w:t>
      </w:r>
    </w:p>
    <w:p w:rsidR="008918FA" w:rsidRPr="002A65CD" w:rsidRDefault="008918FA" w:rsidP="008918FA">
      <w:pPr>
        <w:spacing w:before="3"/>
        <w:rPr>
          <w:rFonts w:ascii="Arial" w:eastAsia="Arial" w:hAnsi="Arial" w:cs="Arial"/>
          <w:b/>
          <w:bCs/>
          <w:i/>
          <w:caps/>
          <w:sz w:val="17"/>
          <w:szCs w:val="17"/>
        </w:rPr>
      </w:pPr>
    </w:p>
    <w:p w:rsidR="008918FA" w:rsidRPr="002A65CD" w:rsidRDefault="008918FA" w:rsidP="008918FA">
      <w:pPr>
        <w:pStyle w:val="BodyText"/>
        <w:spacing w:before="58"/>
        <w:ind w:left="2683" w:firstLine="0"/>
        <w:rPr>
          <w:rFonts w:ascii="Times New Roman" w:eastAsia="Times New Roman" w:hAnsi="Times New Roman" w:cs="Times New Roman"/>
          <w:caps/>
        </w:rPr>
      </w:pPr>
      <w:r w:rsidRPr="002A65CD">
        <w:rPr>
          <w:rFonts w:ascii="Times New Roman" w:eastAsia="Times New Roman" w:hAnsi="Times New Roman" w:cs="Times New Roman"/>
          <w:caps/>
        </w:rPr>
        <w:lastRenderedPageBreak/>
        <w:t>P</w:t>
      </w:r>
      <w:r w:rsidRPr="002A65CD">
        <w:rPr>
          <w:rFonts w:ascii="Times New Roman" w:eastAsia="Times New Roman" w:hAnsi="Times New Roman" w:cs="Times New Roman"/>
          <w:caps/>
          <w:spacing w:val="-29"/>
        </w:rPr>
        <w:t xml:space="preserve"> </w:t>
      </w:r>
      <w:r w:rsidRPr="002A65CD">
        <w:rPr>
          <w:rFonts w:ascii="Times New Roman" w:eastAsia="Times New Roman" w:hAnsi="Times New Roman" w:cs="Times New Roman"/>
          <w:caps/>
          <w:spacing w:val="2"/>
        </w:rPr>
        <w:t>ART</w:t>
      </w:r>
      <w:r w:rsidRPr="002A65CD">
        <w:rPr>
          <w:rFonts w:ascii="Times New Roman" w:eastAsia="Times New Roman" w:hAnsi="Times New Roman" w:cs="Times New Roman"/>
          <w:caps/>
          <w:spacing w:val="4"/>
        </w:rPr>
        <w:t xml:space="preserve"> </w:t>
      </w:r>
      <w:r w:rsidRPr="002A65CD">
        <w:rPr>
          <w:rFonts w:ascii="Times New Roman" w:eastAsia="Times New Roman" w:hAnsi="Times New Roman" w:cs="Times New Roman"/>
          <w:caps/>
        </w:rPr>
        <w:t>1</w:t>
      </w:r>
      <w:r w:rsidRPr="002A65CD">
        <w:rPr>
          <w:rFonts w:ascii="Times New Roman" w:eastAsia="Times New Roman" w:hAnsi="Times New Roman" w:cs="Times New Roman"/>
          <w:caps/>
          <w:spacing w:val="19"/>
        </w:rPr>
        <w:t xml:space="preserve"> </w:t>
      </w:r>
      <w:r w:rsidRPr="002A65CD">
        <w:rPr>
          <w:rFonts w:ascii="Times New Roman" w:eastAsia="Times New Roman" w:hAnsi="Times New Roman" w:cs="Times New Roman"/>
          <w:caps/>
        </w:rPr>
        <w:t>–</w:t>
      </w:r>
      <w:r w:rsidRPr="002A65CD">
        <w:rPr>
          <w:rFonts w:ascii="Times New Roman" w:eastAsia="Times New Roman" w:hAnsi="Times New Roman" w:cs="Times New Roman"/>
          <w:caps/>
          <w:spacing w:val="19"/>
        </w:rPr>
        <w:t xml:space="preserve"> </w:t>
      </w:r>
      <w:r w:rsidRPr="002A65CD">
        <w:rPr>
          <w:rFonts w:ascii="Times New Roman" w:eastAsia="Times New Roman" w:hAnsi="Times New Roman" w:cs="Times New Roman"/>
          <w:caps/>
          <w:spacing w:val="-1"/>
          <w:highlight w:val="yellow"/>
        </w:rPr>
        <w:t>[TEMP</w:t>
      </w:r>
      <w:r w:rsidRPr="002A65CD">
        <w:rPr>
          <w:rFonts w:ascii="Times New Roman" w:eastAsia="Times New Roman" w:hAnsi="Times New Roman" w:cs="Times New Roman"/>
          <w:caps/>
          <w:spacing w:val="-32"/>
          <w:highlight w:val="yellow"/>
        </w:rPr>
        <w:t xml:space="preserve"> </w:t>
      </w:r>
      <w:r w:rsidRPr="002A65CD">
        <w:rPr>
          <w:rFonts w:ascii="Times New Roman" w:eastAsia="Times New Roman" w:hAnsi="Times New Roman" w:cs="Times New Roman"/>
          <w:caps/>
          <w:spacing w:val="1"/>
          <w:highlight w:val="yellow"/>
        </w:rPr>
        <w:t>LATE]</w:t>
      </w:r>
      <w:r w:rsidRPr="002A65CD">
        <w:rPr>
          <w:rFonts w:ascii="Times New Roman" w:eastAsia="Times New Roman" w:hAnsi="Times New Roman" w:cs="Times New Roman"/>
          <w:caps/>
          <w:spacing w:val="-4"/>
          <w:highlight w:val="yellow"/>
        </w:rPr>
        <w:t xml:space="preserve"> </w:t>
      </w:r>
      <w:r w:rsidRPr="002A65CD">
        <w:rPr>
          <w:rFonts w:ascii="Times New Roman" w:eastAsia="Times New Roman" w:hAnsi="Times New Roman" w:cs="Times New Roman"/>
          <w:caps/>
          <w:spacing w:val="6"/>
        </w:rPr>
        <w:t>ORDER</w:t>
      </w:r>
      <w:r w:rsidRPr="002A65CD">
        <w:rPr>
          <w:rFonts w:ascii="Times New Roman" w:eastAsia="Times New Roman" w:hAnsi="Times New Roman" w:cs="Times New Roman"/>
          <w:caps/>
          <w:spacing w:val="18"/>
        </w:rPr>
        <w:t xml:space="preserve"> </w:t>
      </w:r>
      <w:r w:rsidRPr="002A65CD">
        <w:rPr>
          <w:rFonts w:ascii="Times New Roman" w:eastAsia="Times New Roman" w:hAnsi="Times New Roman" w:cs="Times New Roman"/>
          <w:caps/>
          <w:spacing w:val="8"/>
        </w:rPr>
        <w:t>FORM</w:t>
      </w:r>
    </w:p>
    <w:p w:rsidR="008918FA" w:rsidRPr="002A65CD" w:rsidRDefault="008918FA" w:rsidP="008918FA">
      <w:pPr>
        <w:spacing w:before="10"/>
        <w:rPr>
          <w:rFonts w:ascii="Times New Roman" w:eastAsia="Times New Roman" w:hAnsi="Times New Roman" w:cs="Times New Roman"/>
          <w:caps/>
          <w:sz w:val="24"/>
          <w:szCs w:val="24"/>
        </w:rPr>
      </w:pPr>
    </w:p>
    <w:p w:rsidR="008918FA" w:rsidRPr="002A65CD" w:rsidRDefault="008918FA" w:rsidP="008918FA">
      <w:pPr>
        <w:pStyle w:val="Heading1"/>
        <w:spacing w:before="72"/>
        <w:ind w:left="120" w:firstLine="0"/>
        <w:jc w:val="both"/>
        <w:rPr>
          <w:b w:val="0"/>
          <w:bCs w:val="0"/>
          <w:caps/>
        </w:rPr>
      </w:pPr>
      <w:r w:rsidRPr="002A65CD">
        <w:rPr>
          <w:caps/>
          <w:color w:val="C00000"/>
          <w:spacing w:val="-1"/>
        </w:rPr>
        <w:t>SECTION</w:t>
      </w:r>
      <w:r w:rsidRPr="002A65CD">
        <w:rPr>
          <w:caps/>
          <w:color w:val="C00000"/>
          <w:spacing w:val="2"/>
        </w:rPr>
        <w:t xml:space="preserve"> </w:t>
      </w:r>
      <w:r w:rsidRPr="002A65CD">
        <w:rPr>
          <w:caps/>
          <w:color w:val="C00000"/>
        </w:rPr>
        <w:t>A</w:t>
      </w:r>
    </w:p>
    <w:p w:rsidR="008918FA" w:rsidRPr="002A65CD" w:rsidRDefault="008918FA" w:rsidP="008918FA">
      <w:pPr>
        <w:spacing w:before="3"/>
        <w:rPr>
          <w:rFonts w:ascii="Arial" w:eastAsia="Arial" w:hAnsi="Arial" w:cs="Arial"/>
          <w:b/>
          <w:bCs/>
          <w:caps/>
          <w:sz w:val="32"/>
          <w:szCs w:val="32"/>
        </w:rPr>
      </w:pPr>
    </w:p>
    <w:p w:rsidR="008918FA" w:rsidRPr="002A65CD" w:rsidRDefault="00853DF0" w:rsidP="008918FA">
      <w:pPr>
        <w:pStyle w:val="BodyText"/>
        <w:spacing w:before="0" w:line="231" w:lineRule="auto"/>
        <w:ind w:left="119" w:right="114" w:firstLine="0"/>
        <w:jc w:val="both"/>
        <w:rPr>
          <w:caps/>
        </w:rPr>
      </w:pPr>
      <w:r>
        <w:rPr>
          <w:spacing w:val="-1"/>
        </w:rPr>
        <w:t>This</w:t>
      </w:r>
      <w:r>
        <w:rPr>
          <w:spacing w:val="22"/>
        </w:rPr>
        <w:t xml:space="preserve"> </w:t>
      </w:r>
      <w:r>
        <w:rPr>
          <w:spacing w:val="-1"/>
        </w:rPr>
        <w:t>Order</w:t>
      </w:r>
      <w:r>
        <w:rPr>
          <w:spacing w:val="23"/>
        </w:rPr>
        <w:t xml:space="preserve"> </w:t>
      </w:r>
      <w:r>
        <w:rPr>
          <w:spacing w:val="-1"/>
        </w:rPr>
        <w:t>Form</w:t>
      </w:r>
      <w:r>
        <w:rPr>
          <w:spacing w:val="23"/>
        </w:rPr>
        <w:t xml:space="preserve"> </w:t>
      </w:r>
      <w:r>
        <w:rPr>
          <w:spacing w:val="-1"/>
        </w:rPr>
        <w:t>is</w:t>
      </w:r>
      <w:r>
        <w:rPr>
          <w:spacing w:val="22"/>
        </w:rPr>
        <w:t xml:space="preserve"> </w:t>
      </w:r>
      <w:r>
        <w:rPr>
          <w:spacing w:val="-1"/>
        </w:rPr>
        <w:t>issued</w:t>
      </w:r>
      <w:r>
        <w:rPr>
          <w:spacing w:val="22"/>
        </w:rPr>
        <w:t xml:space="preserve"> </w:t>
      </w:r>
      <w:r>
        <w:rPr>
          <w:spacing w:val="-1"/>
        </w:rPr>
        <w:t>in</w:t>
      </w:r>
      <w:r>
        <w:rPr>
          <w:spacing w:val="22"/>
        </w:rPr>
        <w:t xml:space="preserve"> </w:t>
      </w:r>
      <w:r>
        <w:rPr>
          <w:spacing w:val="-1"/>
        </w:rPr>
        <w:t>accordance</w:t>
      </w:r>
      <w:r>
        <w:rPr>
          <w:spacing w:val="22"/>
        </w:rPr>
        <w:t xml:space="preserve"> </w:t>
      </w:r>
      <w:r>
        <w:rPr>
          <w:spacing w:val="-1"/>
        </w:rPr>
        <w:t>with</w:t>
      </w:r>
      <w:r>
        <w:rPr>
          <w:spacing w:val="22"/>
        </w:rPr>
        <w:t xml:space="preserve"> </w:t>
      </w:r>
      <w:r>
        <w:t>the</w:t>
      </w:r>
      <w:r>
        <w:rPr>
          <w:spacing w:val="24"/>
        </w:rPr>
        <w:t xml:space="preserve"> </w:t>
      </w:r>
      <w:r>
        <w:rPr>
          <w:spacing w:val="-2"/>
        </w:rPr>
        <w:t>provisions</w:t>
      </w:r>
      <w:r>
        <w:rPr>
          <w:spacing w:val="22"/>
        </w:rPr>
        <w:t xml:space="preserve"> </w:t>
      </w:r>
      <w:r>
        <w:rPr>
          <w:spacing w:val="-1"/>
        </w:rPr>
        <w:t>of</w:t>
      </w:r>
      <w:r>
        <w:rPr>
          <w:spacing w:val="26"/>
        </w:rPr>
        <w:t xml:space="preserve"> </w:t>
      </w:r>
      <w:r>
        <w:t>the</w:t>
      </w:r>
      <w:r>
        <w:rPr>
          <w:spacing w:val="22"/>
        </w:rPr>
        <w:t xml:space="preserve"> </w:t>
      </w:r>
      <w:r>
        <w:rPr>
          <w:spacing w:val="-2"/>
        </w:rPr>
        <w:t>Framework</w:t>
      </w:r>
      <w:r>
        <w:rPr>
          <w:spacing w:val="25"/>
        </w:rPr>
        <w:t xml:space="preserve"> </w:t>
      </w:r>
      <w:r>
        <w:rPr>
          <w:spacing w:val="-1"/>
        </w:rPr>
        <w:t>Agreement</w:t>
      </w:r>
      <w:r>
        <w:rPr>
          <w:spacing w:val="54"/>
        </w:rPr>
        <w:t xml:space="preserve"> </w:t>
      </w:r>
      <w:r w:rsidR="008918FA" w:rsidRPr="007929F1">
        <w:rPr>
          <w:caps/>
          <w:highlight w:val="yellow"/>
        </w:rPr>
        <w:t>[</w:t>
      </w:r>
      <w:r>
        <w:rPr>
          <w:caps/>
          <w:highlight w:val="yellow"/>
        </w:rPr>
        <w:t>RM3763</w:t>
      </w:r>
      <w:r w:rsidR="008918FA" w:rsidRPr="007929F1">
        <w:rPr>
          <w:caps/>
          <w:highlight w:val="yellow"/>
        </w:rPr>
        <w:t>]</w:t>
      </w:r>
      <w:hyperlink w:anchor="_bookmark0" w:history="1">
        <w:r w:rsidR="008918FA" w:rsidRPr="002A65CD">
          <w:rPr>
            <w:b/>
            <w:caps/>
            <w:position w:val="10"/>
            <w:sz w:val="14"/>
          </w:rPr>
          <w:t>1</w:t>
        </w:r>
      </w:hyperlink>
      <w:r w:rsidR="008918FA" w:rsidRPr="002A65CD">
        <w:rPr>
          <w:caps/>
        </w:rPr>
        <w:t>.</w:t>
      </w:r>
      <w:r w:rsidR="008918FA" w:rsidRPr="002A65CD">
        <w:rPr>
          <w:caps/>
          <w:spacing w:val="20"/>
        </w:rPr>
        <w:t xml:space="preserve"> </w:t>
      </w:r>
      <w:r>
        <w:t>The</w:t>
      </w:r>
      <w:r>
        <w:rPr>
          <w:spacing w:val="20"/>
        </w:rPr>
        <w:t xml:space="preserve"> </w:t>
      </w:r>
      <w:r>
        <w:rPr>
          <w:spacing w:val="-2"/>
        </w:rPr>
        <w:t>Supplier</w:t>
      </w:r>
      <w:r>
        <w:rPr>
          <w:spacing w:val="21"/>
        </w:rPr>
        <w:t xml:space="preserve"> </w:t>
      </w:r>
      <w:r>
        <w:rPr>
          <w:spacing w:val="-1"/>
        </w:rPr>
        <w:t>agrees</w:t>
      </w:r>
      <w:r>
        <w:rPr>
          <w:spacing w:val="20"/>
        </w:rPr>
        <w:t xml:space="preserve"> </w:t>
      </w:r>
      <w:r>
        <w:t>to</w:t>
      </w:r>
      <w:r>
        <w:rPr>
          <w:spacing w:val="20"/>
        </w:rPr>
        <w:t xml:space="preserve"> </w:t>
      </w:r>
      <w:r>
        <w:rPr>
          <w:spacing w:val="-1"/>
        </w:rPr>
        <w:t>supply</w:t>
      </w:r>
      <w:r>
        <w:rPr>
          <w:spacing w:val="17"/>
        </w:rPr>
        <w:t xml:space="preserve"> </w:t>
      </w:r>
      <w:r>
        <w:t>the</w:t>
      </w:r>
      <w:r>
        <w:rPr>
          <w:spacing w:val="20"/>
        </w:rPr>
        <w:t xml:space="preserve"> </w:t>
      </w:r>
      <w:r>
        <w:rPr>
          <w:spacing w:val="-1"/>
        </w:rPr>
        <w:t>Goods</w:t>
      </w:r>
      <w:r>
        <w:rPr>
          <w:spacing w:val="20"/>
        </w:rPr>
        <w:t xml:space="preserve"> </w:t>
      </w:r>
      <w:r>
        <w:rPr>
          <w:spacing w:val="-1"/>
        </w:rPr>
        <w:t>and/or</w:t>
      </w:r>
      <w:r>
        <w:rPr>
          <w:spacing w:val="21"/>
        </w:rPr>
        <w:t xml:space="preserve"> </w:t>
      </w:r>
      <w:r>
        <w:rPr>
          <w:spacing w:val="-1"/>
        </w:rPr>
        <w:t>Services</w:t>
      </w:r>
      <w:r>
        <w:rPr>
          <w:spacing w:val="20"/>
        </w:rPr>
        <w:t xml:space="preserve"> </w:t>
      </w:r>
      <w:r>
        <w:rPr>
          <w:spacing w:val="-1"/>
        </w:rPr>
        <w:t>specified</w:t>
      </w:r>
      <w:r>
        <w:rPr>
          <w:spacing w:val="22"/>
        </w:rPr>
        <w:t xml:space="preserve"> </w:t>
      </w:r>
      <w:r>
        <w:rPr>
          <w:spacing w:val="-1"/>
        </w:rPr>
        <w:t>below</w:t>
      </w:r>
      <w:r>
        <w:rPr>
          <w:spacing w:val="17"/>
        </w:rPr>
        <w:t xml:space="preserve"> </w:t>
      </w:r>
      <w:r>
        <w:rPr>
          <w:spacing w:val="-1"/>
        </w:rPr>
        <w:t>on</w:t>
      </w:r>
      <w:r>
        <w:rPr>
          <w:spacing w:val="22"/>
        </w:rPr>
        <w:t xml:space="preserve"> </w:t>
      </w:r>
      <w:r>
        <w:t>and</w:t>
      </w:r>
      <w:r>
        <w:rPr>
          <w:spacing w:val="57"/>
        </w:rPr>
        <w:t xml:space="preserve"> </w:t>
      </w:r>
      <w:r>
        <w:rPr>
          <w:spacing w:val="-1"/>
        </w:rPr>
        <w:t>subject</w:t>
      </w:r>
      <w:r>
        <w:rPr>
          <w:spacing w:val="33"/>
        </w:rPr>
        <w:t xml:space="preserve"> </w:t>
      </w:r>
      <w:r>
        <w:t>to</w:t>
      </w:r>
      <w:r>
        <w:rPr>
          <w:spacing w:val="31"/>
        </w:rPr>
        <w:t xml:space="preserve"> </w:t>
      </w:r>
      <w:r>
        <w:t>the</w:t>
      </w:r>
      <w:r>
        <w:rPr>
          <w:spacing w:val="31"/>
        </w:rPr>
        <w:t xml:space="preserve"> </w:t>
      </w:r>
      <w:r>
        <w:rPr>
          <w:spacing w:val="-1"/>
        </w:rPr>
        <w:t>terms</w:t>
      </w:r>
      <w:r>
        <w:rPr>
          <w:spacing w:val="32"/>
        </w:rPr>
        <w:t xml:space="preserve"> </w:t>
      </w:r>
      <w:r>
        <w:rPr>
          <w:spacing w:val="-2"/>
        </w:rPr>
        <w:t>of</w:t>
      </w:r>
      <w:r>
        <w:rPr>
          <w:spacing w:val="35"/>
        </w:rPr>
        <w:t xml:space="preserve"> </w:t>
      </w:r>
      <w:r>
        <w:rPr>
          <w:spacing w:val="-2"/>
        </w:rPr>
        <w:t>this</w:t>
      </w:r>
      <w:r>
        <w:rPr>
          <w:spacing w:val="32"/>
        </w:rPr>
        <w:t xml:space="preserve"> </w:t>
      </w:r>
      <w:r>
        <w:rPr>
          <w:spacing w:val="-2"/>
        </w:rPr>
        <w:t>Call</w:t>
      </w:r>
      <w:r>
        <w:rPr>
          <w:spacing w:val="34"/>
        </w:rPr>
        <w:t xml:space="preserve"> </w:t>
      </w:r>
      <w:r>
        <w:rPr>
          <w:spacing w:val="-1"/>
        </w:rPr>
        <w:t>Off</w:t>
      </w:r>
      <w:r>
        <w:rPr>
          <w:spacing w:val="35"/>
        </w:rPr>
        <w:t xml:space="preserve"> </w:t>
      </w:r>
      <w:r>
        <w:rPr>
          <w:spacing w:val="-1"/>
        </w:rPr>
        <w:t>Contract</w:t>
      </w:r>
      <w:r>
        <w:rPr>
          <w:spacing w:val="33"/>
        </w:rPr>
        <w:t xml:space="preserve"> </w:t>
      </w:r>
      <w:r>
        <w:rPr>
          <w:spacing w:val="-2"/>
        </w:rPr>
        <w:t>and</w:t>
      </w:r>
      <w:r>
        <w:rPr>
          <w:spacing w:val="31"/>
        </w:rPr>
        <w:t xml:space="preserve"> </w:t>
      </w:r>
      <w:r>
        <w:t>for</w:t>
      </w:r>
      <w:r>
        <w:rPr>
          <w:spacing w:val="33"/>
        </w:rPr>
        <w:t xml:space="preserve"> </w:t>
      </w:r>
      <w:r>
        <w:t>the</w:t>
      </w:r>
      <w:r>
        <w:rPr>
          <w:spacing w:val="31"/>
        </w:rPr>
        <w:t xml:space="preserve"> </w:t>
      </w:r>
      <w:r>
        <w:rPr>
          <w:spacing w:val="-2"/>
        </w:rPr>
        <w:t>avoidance</w:t>
      </w:r>
      <w:r>
        <w:rPr>
          <w:spacing w:val="33"/>
        </w:rPr>
        <w:t xml:space="preserve"> </w:t>
      </w:r>
      <w:r>
        <w:rPr>
          <w:spacing w:val="-1"/>
        </w:rPr>
        <w:t>of</w:t>
      </w:r>
      <w:r>
        <w:rPr>
          <w:spacing w:val="33"/>
        </w:rPr>
        <w:t xml:space="preserve"> </w:t>
      </w:r>
      <w:r>
        <w:rPr>
          <w:spacing w:val="-1"/>
        </w:rPr>
        <w:t>doubt</w:t>
      </w:r>
      <w:r>
        <w:rPr>
          <w:spacing w:val="33"/>
        </w:rPr>
        <w:t xml:space="preserve"> </w:t>
      </w:r>
      <w:r>
        <w:rPr>
          <w:spacing w:val="-1"/>
        </w:rPr>
        <w:t>this</w:t>
      </w:r>
      <w:r>
        <w:rPr>
          <w:spacing w:val="32"/>
        </w:rPr>
        <w:t xml:space="preserve"> </w:t>
      </w:r>
      <w:r>
        <w:rPr>
          <w:spacing w:val="-2"/>
        </w:rPr>
        <w:t>Call</w:t>
      </w:r>
      <w:r>
        <w:rPr>
          <w:spacing w:val="31"/>
        </w:rPr>
        <w:t xml:space="preserve"> </w:t>
      </w:r>
      <w:r>
        <w:rPr>
          <w:spacing w:val="-1"/>
        </w:rPr>
        <w:t>Off</w:t>
      </w:r>
      <w:r>
        <w:rPr>
          <w:spacing w:val="63"/>
        </w:rPr>
        <w:t xml:space="preserve"> </w:t>
      </w:r>
      <w:r>
        <w:rPr>
          <w:spacing w:val="-1"/>
        </w:rPr>
        <w:t>Contract</w:t>
      </w:r>
      <w:r>
        <w:rPr>
          <w:spacing w:val="2"/>
        </w:rPr>
        <w:t xml:space="preserve"> </w:t>
      </w:r>
      <w:r>
        <w:rPr>
          <w:spacing w:val="-1"/>
        </w:rPr>
        <w:t>consists</w:t>
      </w:r>
      <w:r>
        <w:rPr>
          <w:spacing w:val="1"/>
        </w:rPr>
        <w:t xml:space="preserve"> </w:t>
      </w:r>
      <w:r>
        <w:rPr>
          <w:spacing w:val="-2"/>
        </w:rPr>
        <w:t>of</w:t>
      </w:r>
      <w:r>
        <w:t xml:space="preserve"> the</w:t>
      </w:r>
      <w:r>
        <w:rPr>
          <w:spacing w:val="-2"/>
        </w:rPr>
        <w:t xml:space="preserve"> </w:t>
      </w:r>
      <w:r>
        <w:rPr>
          <w:spacing w:val="-1"/>
        </w:rPr>
        <w:t>terms</w:t>
      </w:r>
      <w:r>
        <w:rPr>
          <w:spacing w:val="-2"/>
        </w:rPr>
        <w:t xml:space="preserve"> set</w:t>
      </w:r>
      <w:r>
        <w:rPr>
          <w:spacing w:val="2"/>
        </w:rPr>
        <w:t xml:space="preserve"> </w:t>
      </w:r>
      <w:r>
        <w:rPr>
          <w:spacing w:val="-2"/>
        </w:rPr>
        <w:t>out</w:t>
      </w:r>
      <w:r>
        <w:rPr>
          <w:spacing w:val="2"/>
        </w:rPr>
        <w:t xml:space="preserve"> </w:t>
      </w:r>
      <w:r>
        <w:rPr>
          <w:spacing w:val="-1"/>
        </w:rPr>
        <w:t>in</w:t>
      </w:r>
      <w:r>
        <w:rPr>
          <w:spacing w:val="-2"/>
        </w:rPr>
        <w:t xml:space="preserve"> </w:t>
      </w:r>
      <w:r>
        <w:rPr>
          <w:spacing w:val="-1"/>
        </w:rPr>
        <w:t>this</w:t>
      </w:r>
      <w:r>
        <w:rPr>
          <w:spacing w:val="-2"/>
        </w:rPr>
        <w:t xml:space="preserve"> </w:t>
      </w:r>
      <w:r>
        <w:rPr>
          <w:spacing w:val="-1"/>
        </w:rPr>
        <w:t>Order</w:t>
      </w:r>
      <w:r>
        <w:rPr>
          <w:spacing w:val="2"/>
        </w:rPr>
        <w:t xml:space="preserve"> </w:t>
      </w:r>
      <w:r>
        <w:rPr>
          <w:spacing w:val="-1"/>
        </w:rPr>
        <w:t>Form and</w:t>
      </w:r>
      <w:r>
        <w:rPr>
          <w:spacing w:val="-2"/>
        </w:rPr>
        <w:t xml:space="preserve"> </w:t>
      </w:r>
      <w:r>
        <w:t xml:space="preserve">the </w:t>
      </w:r>
      <w:r>
        <w:rPr>
          <w:spacing w:val="-2"/>
        </w:rPr>
        <w:t>Call</w:t>
      </w:r>
      <w:r>
        <w:rPr>
          <w:spacing w:val="-3"/>
        </w:rPr>
        <w:t xml:space="preserve"> </w:t>
      </w:r>
      <w:r>
        <w:rPr>
          <w:spacing w:val="-1"/>
        </w:rPr>
        <w:t>Off</w:t>
      </w:r>
      <w:r>
        <w:t xml:space="preserve"> </w:t>
      </w:r>
      <w:r>
        <w:rPr>
          <w:spacing w:val="-1"/>
        </w:rPr>
        <w:t>Terms.</w:t>
      </w:r>
      <w:r w:rsidR="008918FA" w:rsidRPr="002A65CD">
        <w:rPr>
          <w:caps/>
          <w:spacing w:val="-1"/>
        </w:rPr>
        <w:t>.</w:t>
      </w:r>
    </w:p>
    <w:p w:rsidR="008918FA" w:rsidRPr="002A65CD" w:rsidRDefault="008918FA" w:rsidP="008918FA">
      <w:pPr>
        <w:spacing w:before="5"/>
        <w:rPr>
          <w:rFonts w:ascii="Arial" w:eastAsia="Arial" w:hAnsi="Arial" w:cs="Arial"/>
          <w:caps/>
          <w:sz w:val="14"/>
          <w:szCs w:val="14"/>
        </w:rPr>
      </w:pPr>
    </w:p>
    <w:p w:rsidR="008918FA" w:rsidRPr="002A65CD" w:rsidRDefault="008918FA" w:rsidP="008918FA">
      <w:pPr>
        <w:tabs>
          <w:tab w:val="left" w:pos="2279"/>
        </w:tabs>
        <w:spacing w:before="72"/>
        <w:ind w:left="120"/>
        <w:rPr>
          <w:rFonts w:ascii="Arial" w:eastAsia="Arial" w:hAnsi="Arial" w:cs="Arial"/>
          <w:caps/>
        </w:rPr>
      </w:pPr>
      <w:r w:rsidRPr="002A65CD">
        <w:rPr>
          <w:rFonts w:ascii="Arial"/>
          <w:b/>
          <w:caps/>
          <w:spacing w:val="-2"/>
        </w:rPr>
        <w:t>DATE</w:t>
      </w:r>
      <w:r w:rsidRPr="002A65CD">
        <w:rPr>
          <w:rFonts w:ascii="Arial"/>
          <w:b/>
          <w:caps/>
          <w:spacing w:val="-2"/>
        </w:rPr>
        <w:tab/>
      </w:r>
      <w:r w:rsidRPr="002A65CD">
        <w:rPr>
          <w:rFonts w:ascii="Arial"/>
          <w:b/>
          <w:caps/>
          <w:spacing w:val="-1"/>
          <w:highlight w:val="yellow"/>
        </w:rPr>
        <w:t>[</w:t>
      </w:r>
      <w:r w:rsidR="00853DF0">
        <w:rPr>
          <w:rFonts w:ascii="Arial"/>
          <w:caps/>
          <w:spacing w:val="-1"/>
          <w:highlight w:val="yellow"/>
        </w:rPr>
        <w:t>dd/mm/yyyy</w:t>
      </w:r>
      <w:r w:rsidRPr="002A65CD">
        <w:rPr>
          <w:rFonts w:ascii="Arial"/>
          <w:b/>
          <w:caps/>
          <w:spacing w:val="-1"/>
          <w:highlight w:val="yellow"/>
        </w:rPr>
        <w:t>]</w:t>
      </w:r>
    </w:p>
    <w:p w:rsidR="008918FA" w:rsidRPr="002A65CD" w:rsidRDefault="008918FA" w:rsidP="008918FA">
      <w:pPr>
        <w:spacing w:before="8"/>
        <w:rPr>
          <w:rFonts w:ascii="Arial" w:eastAsia="Arial" w:hAnsi="Arial" w:cs="Arial"/>
          <w:b/>
          <w:bCs/>
          <w:caps/>
          <w:sz w:val="14"/>
          <w:szCs w:val="14"/>
        </w:rPr>
      </w:pPr>
    </w:p>
    <w:p w:rsidR="008918FA" w:rsidRPr="002A65CD" w:rsidRDefault="008918FA" w:rsidP="008918FA">
      <w:pPr>
        <w:pStyle w:val="Heading1"/>
        <w:tabs>
          <w:tab w:val="left" w:pos="2279"/>
          <w:tab w:val="left" w:pos="4439"/>
        </w:tabs>
        <w:spacing w:before="72"/>
        <w:ind w:left="120" w:firstLine="0"/>
        <w:rPr>
          <w:b w:val="0"/>
          <w:bCs w:val="0"/>
          <w:caps/>
        </w:rPr>
      </w:pPr>
      <w:r w:rsidRPr="002A65CD">
        <w:rPr>
          <w:caps/>
          <w:spacing w:val="-1"/>
        </w:rPr>
        <w:t>ORDER</w:t>
      </w:r>
      <w:r w:rsidRPr="002A65CD">
        <w:rPr>
          <w:caps/>
        </w:rPr>
        <w:t xml:space="preserve"> </w:t>
      </w:r>
      <w:r w:rsidRPr="002A65CD">
        <w:rPr>
          <w:caps/>
          <w:spacing w:val="-2"/>
        </w:rPr>
        <w:t>NUMBER</w:t>
      </w:r>
      <w:r w:rsidRPr="002A65CD">
        <w:rPr>
          <w:caps/>
          <w:spacing w:val="-2"/>
        </w:rPr>
        <w:tab/>
      </w:r>
      <w:r w:rsidRPr="002A65CD">
        <w:rPr>
          <w:caps/>
          <w:w w:val="95"/>
          <w:highlight w:val="yellow"/>
        </w:rPr>
        <w:t>[</w:t>
      </w:r>
      <w:r w:rsidRPr="002A65CD">
        <w:rPr>
          <w:caps/>
          <w:w w:val="95"/>
          <w:highlight w:val="yellow"/>
        </w:rPr>
        <w:tab/>
      </w:r>
      <w:r w:rsidRPr="002A65CD">
        <w:rPr>
          <w:caps/>
          <w:highlight w:val="yellow"/>
        </w:rPr>
        <w:t>]</w:t>
      </w:r>
    </w:p>
    <w:p w:rsidR="008918FA" w:rsidRPr="002A65CD" w:rsidRDefault="008918FA" w:rsidP="008918FA">
      <w:pPr>
        <w:spacing w:before="7"/>
        <w:rPr>
          <w:rFonts w:ascii="Arial" w:eastAsia="Arial" w:hAnsi="Arial" w:cs="Arial"/>
          <w:b/>
          <w:bCs/>
          <w:caps/>
          <w:sz w:val="18"/>
          <w:szCs w:val="18"/>
        </w:rPr>
      </w:pPr>
    </w:p>
    <w:p w:rsidR="008918FA" w:rsidRPr="002A65CD" w:rsidRDefault="008918FA" w:rsidP="008918FA">
      <w:pPr>
        <w:tabs>
          <w:tab w:val="left" w:pos="2280"/>
          <w:tab w:val="left" w:pos="4440"/>
        </w:tabs>
        <w:ind w:left="120"/>
        <w:rPr>
          <w:rFonts w:ascii="Arial" w:eastAsia="Arial" w:hAnsi="Arial" w:cs="Arial"/>
          <w:caps/>
          <w:sz w:val="14"/>
          <w:szCs w:val="14"/>
        </w:rPr>
      </w:pPr>
      <w:r w:rsidRPr="002A65CD">
        <w:rPr>
          <w:rFonts w:ascii="Arial"/>
          <w:b/>
          <w:caps/>
          <w:spacing w:val="-1"/>
        </w:rPr>
        <w:t>FROM</w:t>
      </w:r>
      <w:r w:rsidRPr="002A65CD">
        <w:rPr>
          <w:rFonts w:ascii="Arial"/>
          <w:b/>
          <w:caps/>
          <w:spacing w:val="-1"/>
        </w:rPr>
        <w:tab/>
      </w:r>
      <w:r w:rsidRPr="002A65CD">
        <w:rPr>
          <w:rFonts w:ascii="Arial"/>
          <w:b/>
          <w:caps/>
          <w:w w:val="95"/>
          <w:highlight w:val="yellow"/>
        </w:rPr>
        <w:t>[</w:t>
      </w:r>
      <w:r w:rsidRPr="002A65CD">
        <w:rPr>
          <w:rFonts w:ascii="Arial"/>
          <w:b/>
          <w:caps/>
          <w:w w:val="95"/>
          <w:highlight w:val="yellow"/>
        </w:rPr>
        <w:tab/>
      </w:r>
      <w:r w:rsidRPr="002A65CD">
        <w:rPr>
          <w:rFonts w:ascii="Arial"/>
          <w:b/>
          <w:caps/>
          <w:highlight w:val="yellow"/>
        </w:rPr>
        <w:t>]</w:t>
      </w:r>
      <w:r w:rsidRPr="002A65CD">
        <w:rPr>
          <w:rFonts w:ascii="Arial"/>
          <w:b/>
          <w:caps/>
          <w:spacing w:val="-2"/>
          <w:highlight w:val="yellow"/>
        </w:rPr>
        <w:t xml:space="preserve"> </w:t>
      </w:r>
      <w:r w:rsidRPr="002A65CD">
        <w:rPr>
          <w:rFonts w:ascii="Arial"/>
          <w:b/>
          <w:caps/>
          <w:spacing w:val="-1"/>
        </w:rPr>
        <w:t>"CUSTOMER"</w:t>
      </w:r>
      <w:r w:rsidRPr="002A65CD">
        <w:rPr>
          <w:rFonts w:ascii="Arial"/>
          <w:b/>
          <w:caps/>
          <w:spacing w:val="9"/>
        </w:rPr>
        <w:t xml:space="preserve"> </w:t>
      </w:r>
      <w:hyperlink w:anchor="_bookmark1" w:history="1">
        <w:r w:rsidRPr="002A65CD">
          <w:rPr>
            <w:rFonts w:ascii="Arial"/>
            <w:b/>
            <w:caps/>
            <w:position w:val="10"/>
            <w:sz w:val="14"/>
          </w:rPr>
          <w:t>2</w:t>
        </w:r>
      </w:hyperlink>
    </w:p>
    <w:p w:rsidR="008918FA" w:rsidRPr="002A65CD" w:rsidRDefault="008918FA" w:rsidP="008918FA">
      <w:pPr>
        <w:tabs>
          <w:tab w:val="left" w:pos="2279"/>
          <w:tab w:val="left" w:pos="4439"/>
        </w:tabs>
        <w:spacing w:before="216"/>
        <w:ind w:left="120"/>
        <w:rPr>
          <w:rFonts w:ascii="Arial" w:eastAsia="Arial" w:hAnsi="Arial" w:cs="Arial"/>
          <w:caps/>
          <w:sz w:val="14"/>
          <w:szCs w:val="14"/>
        </w:rPr>
      </w:pPr>
      <w:r w:rsidRPr="002A65CD">
        <w:rPr>
          <w:rFonts w:ascii="Arial"/>
          <w:b/>
          <w:caps/>
          <w:spacing w:val="-2"/>
        </w:rPr>
        <w:t>TO</w:t>
      </w:r>
      <w:r w:rsidRPr="002A65CD">
        <w:rPr>
          <w:rFonts w:ascii="Arial"/>
          <w:b/>
          <w:caps/>
          <w:spacing w:val="-2"/>
        </w:rPr>
        <w:tab/>
      </w:r>
      <w:r w:rsidRPr="00853DF0">
        <w:rPr>
          <w:rFonts w:ascii="Arial"/>
          <w:b/>
          <w:caps/>
          <w:w w:val="95"/>
          <w:highlight w:val="yellow"/>
        </w:rPr>
        <w:t>[</w:t>
      </w:r>
      <w:r w:rsidRPr="00853DF0">
        <w:rPr>
          <w:rFonts w:ascii="Arial"/>
          <w:b/>
          <w:caps/>
          <w:w w:val="95"/>
          <w:highlight w:val="yellow"/>
        </w:rPr>
        <w:tab/>
      </w:r>
      <w:r w:rsidRPr="00853DF0">
        <w:rPr>
          <w:rFonts w:ascii="Arial"/>
          <w:b/>
          <w:caps/>
          <w:highlight w:val="yellow"/>
        </w:rPr>
        <w:t>]</w:t>
      </w:r>
      <w:r w:rsidRPr="002A65CD">
        <w:rPr>
          <w:rFonts w:ascii="Arial"/>
          <w:b/>
          <w:caps/>
          <w:spacing w:val="-2"/>
        </w:rPr>
        <w:t xml:space="preserve"> </w:t>
      </w:r>
      <w:r w:rsidRPr="002A65CD">
        <w:rPr>
          <w:rFonts w:ascii="Arial"/>
          <w:b/>
          <w:caps/>
          <w:spacing w:val="-1"/>
        </w:rPr>
        <w:t>"SUPPLIER"</w:t>
      </w:r>
      <w:r w:rsidRPr="002A65CD">
        <w:rPr>
          <w:rFonts w:ascii="Arial"/>
          <w:b/>
          <w:caps/>
          <w:spacing w:val="9"/>
        </w:rPr>
        <w:t xml:space="preserve"> </w:t>
      </w:r>
      <w:hyperlink w:anchor="_bookmark2" w:history="1">
        <w:r w:rsidRPr="002A65CD">
          <w:rPr>
            <w:rFonts w:ascii="Arial"/>
            <w:b/>
            <w:caps/>
            <w:position w:val="10"/>
            <w:sz w:val="14"/>
          </w:rPr>
          <w:t>3</w:t>
        </w:r>
      </w:hyperlink>
    </w:p>
    <w:p w:rsidR="008918FA" w:rsidRPr="002A65CD" w:rsidRDefault="008918FA" w:rsidP="008918FA">
      <w:pPr>
        <w:spacing w:before="3"/>
        <w:rPr>
          <w:rFonts w:ascii="Arial" w:eastAsia="Arial" w:hAnsi="Arial" w:cs="Arial"/>
          <w:b/>
          <w:bCs/>
          <w:caps/>
          <w:sz w:val="31"/>
          <w:szCs w:val="31"/>
        </w:rPr>
      </w:pPr>
    </w:p>
    <w:p w:rsidR="008918FA" w:rsidRPr="002A65CD" w:rsidRDefault="008918FA" w:rsidP="008918FA">
      <w:pPr>
        <w:ind w:left="120"/>
        <w:rPr>
          <w:rFonts w:ascii="Arial" w:eastAsia="Arial" w:hAnsi="Arial" w:cs="Arial"/>
          <w:caps/>
        </w:rPr>
      </w:pPr>
      <w:r w:rsidRPr="002A65CD">
        <w:rPr>
          <w:rFonts w:ascii="Arial"/>
          <w:b/>
          <w:caps/>
          <w:color w:val="C00000"/>
          <w:spacing w:val="-1"/>
        </w:rPr>
        <w:t>SECTION</w:t>
      </w:r>
      <w:r w:rsidRPr="002A65CD">
        <w:rPr>
          <w:rFonts w:ascii="Arial"/>
          <w:b/>
          <w:caps/>
          <w:color w:val="C00000"/>
        </w:rPr>
        <w:t xml:space="preserve"> B</w:t>
      </w:r>
    </w:p>
    <w:p w:rsidR="008918FA" w:rsidRPr="002A65CD" w:rsidRDefault="008918FA" w:rsidP="008918FA">
      <w:pPr>
        <w:spacing w:before="2"/>
        <w:rPr>
          <w:rFonts w:ascii="Arial" w:eastAsia="Arial" w:hAnsi="Arial" w:cs="Arial"/>
          <w:b/>
          <w:bCs/>
          <w:caps/>
          <w:sz w:val="31"/>
          <w:szCs w:val="31"/>
        </w:rPr>
      </w:pPr>
    </w:p>
    <w:p w:rsidR="008918FA" w:rsidRPr="002A65CD" w:rsidRDefault="008918FA" w:rsidP="008918FA">
      <w:pPr>
        <w:numPr>
          <w:ilvl w:val="0"/>
          <w:numId w:val="74"/>
        </w:numPr>
        <w:tabs>
          <w:tab w:val="left" w:pos="548"/>
        </w:tabs>
        <w:ind w:hanging="427"/>
        <w:jc w:val="left"/>
        <w:rPr>
          <w:rFonts w:ascii="Arial" w:eastAsia="Arial" w:hAnsi="Arial" w:cs="Arial"/>
          <w:caps/>
        </w:rPr>
      </w:pPr>
      <w:r w:rsidRPr="002A65CD">
        <w:rPr>
          <w:rFonts w:ascii="Arial"/>
          <w:b/>
          <w:caps/>
          <w:spacing w:val="-2"/>
        </w:rPr>
        <w:t>CALL</w:t>
      </w:r>
      <w:r w:rsidRPr="002A65CD">
        <w:rPr>
          <w:rFonts w:ascii="Arial"/>
          <w:b/>
          <w:caps/>
        </w:rPr>
        <w:t xml:space="preserve"> OFF </w:t>
      </w:r>
      <w:r w:rsidRPr="002A65CD">
        <w:rPr>
          <w:rFonts w:ascii="Arial"/>
          <w:b/>
          <w:caps/>
          <w:spacing w:val="-1"/>
        </w:rPr>
        <w:t>CONTRACT</w:t>
      </w:r>
      <w:r w:rsidRPr="002A65CD">
        <w:rPr>
          <w:rFonts w:ascii="Arial"/>
          <w:b/>
          <w:caps/>
          <w:spacing w:val="-2"/>
        </w:rPr>
        <w:t xml:space="preserve"> </w:t>
      </w:r>
      <w:r w:rsidRPr="002A65CD">
        <w:rPr>
          <w:rFonts w:ascii="Arial"/>
          <w:b/>
          <w:caps/>
          <w:spacing w:val="-1"/>
        </w:rPr>
        <w:t>PERIOD</w:t>
      </w:r>
    </w:p>
    <w:p w:rsidR="008918FA" w:rsidRPr="002A65CD" w:rsidRDefault="008918FA" w:rsidP="008918FA">
      <w:pPr>
        <w:spacing w:before="11"/>
        <w:rPr>
          <w:rFonts w:ascii="Arial" w:eastAsia="Arial" w:hAnsi="Arial" w:cs="Arial"/>
          <w:b/>
          <w:bCs/>
          <w:caps/>
          <w:sz w:val="20"/>
          <w:szCs w:val="20"/>
        </w:rPr>
      </w:pPr>
    </w:p>
    <w:p w:rsidR="008918FA" w:rsidRPr="002A65CD" w:rsidRDefault="008918FA" w:rsidP="008918FA">
      <w:pPr>
        <w:numPr>
          <w:ilvl w:val="1"/>
          <w:numId w:val="74"/>
        </w:numPr>
        <w:tabs>
          <w:tab w:val="left" w:pos="1114"/>
        </w:tabs>
        <w:ind w:hanging="566"/>
        <w:rPr>
          <w:rFonts w:ascii="Arial" w:eastAsia="Arial" w:hAnsi="Arial" w:cs="Arial"/>
          <w:caps/>
        </w:rPr>
      </w:pPr>
      <w:r w:rsidRPr="002A65CD">
        <w:rPr>
          <w:rFonts w:ascii="Arial"/>
          <w:b/>
          <w:caps/>
          <w:spacing w:val="-1"/>
        </w:rPr>
        <w:t>Call</w:t>
      </w:r>
      <w:r w:rsidRPr="002A65CD">
        <w:rPr>
          <w:rFonts w:ascii="Arial"/>
          <w:b/>
          <w:caps/>
        </w:rPr>
        <w:t xml:space="preserve"> </w:t>
      </w:r>
      <w:r w:rsidRPr="002A65CD">
        <w:rPr>
          <w:rFonts w:ascii="Arial"/>
          <w:b/>
          <w:caps/>
          <w:spacing w:val="-1"/>
        </w:rPr>
        <w:t xml:space="preserve">Off </w:t>
      </w:r>
      <w:r w:rsidRPr="002A65CD">
        <w:rPr>
          <w:rFonts w:ascii="Arial"/>
          <w:b/>
          <w:caps/>
          <w:spacing w:val="-2"/>
        </w:rPr>
        <w:t>Commencement</w:t>
      </w:r>
      <w:r w:rsidRPr="002A65CD">
        <w:rPr>
          <w:rFonts w:ascii="Arial"/>
          <w:b/>
          <w:caps/>
          <w:spacing w:val="2"/>
        </w:rPr>
        <w:t xml:space="preserve"> </w:t>
      </w:r>
      <w:r w:rsidRPr="002A65CD">
        <w:rPr>
          <w:rFonts w:ascii="Arial"/>
          <w:b/>
          <w:caps/>
          <w:spacing w:val="-2"/>
        </w:rPr>
        <w:t>Date:</w:t>
      </w:r>
    </w:p>
    <w:p w:rsidR="008918FA" w:rsidRPr="002A65CD" w:rsidRDefault="008918FA" w:rsidP="008918FA">
      <w:pPr>
        <w:spacing w:before="9"/>
        <w:rPr>
          <w:rFonts w:ascii="Arial" w:eastAsia="Arial" w:hAnsi="Arial" w:cs="Arial"/>
          <w:b/>
          <w:bCs/>
          <w:caps/>
          <w:sz w:val="10"/>
          <w:szCs w:val="10"/>
        </w:rPr>
      </w:pPr>
    </w:p>
    <w:p w:rsidR="00B35CB9" w:rsidRDefault="00B35CB9" w:rsidP="00B35CB9">
      <w:pPr>
        <w:spacing w:line="248" w:lineRule="exact"/>
        <w:ind w:left="393" w:right="-1" w:firstLine="720"/>
        <w:rPr>
          <w:rFonts w:ascii="Arial" w:eastAsia="Arial" w:hAnsi="Arial" w:cs="Arial"/>
          <w:sz w:val="14"/>
          <w:szCs w:val="14"/>
        </w:rPr>
      </w:pPr>
      <w:r w:rsidRPr="00B35CB9">
        <w:rPr>
          <w:rFonts w:ascii="Arial"/>
          <w:spacing w:val="-2"/>
          <w:highlight w:val="yellow"/>
        </w:rPr>
        <w:t>[dd/mm/yyyy]</w:t>
      </w:r>
      <w:r w:rsidRPr="00B35CB9">
        <w:rPr>
          <w:rFonts w:ascii="Arial"/>
          <w:spacing w:val="13"/>
          <w:highlight w:val="yellow"/>
        </w:rPr>
        <w:t xml:space="preserve"> </w:t>
      </w:r>
      <w:hyperlink w:anchor="_bookmark3" w:history="1">
        <w:r w:rsidRPr="00B35CB9">
          <w:rPr>
            <w:rFonts w:ascii="Arial"/>
            <w:b/>
            <w:position w:val="10"/>
            <w:sz w:val="14"/>
            <w:highlight w:val="yellow"/>
          </w:rPr>
          <w:t>4</w:t>
        </w:r>
      </w:hyperlink>
    </w:p>
    <w:p w:rsidR="008918FA" w:rsidRPr="002A65CD" w:rsidRDefault="008918FA" w:rsidP="008918FA">
      <w:pPr>
        <w:spacing w:line="200" w:lineRule="atLeast"/>
        <w:ind w:left="1113"/>
        <w:rPr>
          <w:rFonts w:ascii="Arial" w:eastAsia="Arial" w:hAnsi="Arial" w:cs="Arial"/>
          <w:caps/>
          <w:sz w:val="20"/>
          <w:szCs w:val="20"/>
        </w:rPr>
      </w:pPr>
    </w:p>
    <w:p w:rsidR="008918FA" w:rsidRPr="002A65CD" w:rsidRDefault="008918FA" w:rsidP="008918FA">
      <w:pPr>
        <w:numPr>
          <w:ilvl w:val="1"/>
          <w:numId w:val="74"/>
        </w:numPr>
        <w:tabs>
          <w:tab w:val="left" w:pos="1114"/>
        </w:tabs>
        <w:spacing w:before="115"/>
        <w:ind w:hanging="566"/>
        <w:rPr>
          <w:rFonts w:ascii="Arial" w:eastAsia="Arial" w:hAnsi="Arial" w:cs="Arial"/>
          <w:caps/>
        </w:rPr>
      </w:pPr>
      <w:r w:rsidRPr="002A65CD">
        <w:rPr>
          <w:rFonts w:ascii="Arial"/>
          <w:b/>
          <w:caps/>
          <w:spacing w:val="-1"/>
        </w:rPr>
        <w:t>Call</w:t>
      </w:r>
      <w:r w:rsidRPr="002A65CD">
        <w:rPr>
          <w:rFonts w:ascii="Arial"/>
          <w:b/>
          <w:caps/>
        </w:rPr>
        <w:t xml:space="preserve"> </w:t>
      </w:r>
      <w:r w:rsidRPr="002A65CD">
        <w:rPr>
          <w:rFonts w:ascii="Arial"/>
          <w:b/>
          <w:caps/>
          <w:spacing w:val="-1"/>
        </w:rPr>
        <w:t>Off Expiry</w:t>
      </w:r>
      <w:r w:rsidRPr="002A65CD">
        <w:rPr>
          <w:rFonts w:ascii="Arial"/>
          <w:b/>
          <w:caps/>
          <w:spacing w:val="-4"/>
        </w:rPr>
        <w:t xml:space="preserve"> </w:t>
      </w:r>
      <w:r w:rsidRPr="002A65CD">
        <w:rPr>
          <w:rFonts w:ascii="Arial"/>
          <w:b/>
          <w:caps/>
          <w:spacing w:val="-1"/>
        </w:rPr>
        <w:t>Date:</w:t>
      </w:r>
    </w:p>
    <w:p w:rsidR="008918FA" w:rsidRPr="002A65CD" w:rsidRDefault="008918FA" w:rsidP="008918FA">
      <w:pPr>
        <w:pStyle w:val="BodyText"/>
        <w:spacing w:before="121"/>
        <w:ind w:left="1113" w:firstLine="0"/>
        <w:rPr>
          <w:caps/>
        </w:rPr>
      </w:pPr>
      <w:r w:rsidRPr="002A65CD">
        <w:rPr>
          <w:caps/>
          <w:spacing w:val="-1"/>
        </w:rPr>
        <w:t>End</w:t>
      </w:r>
      <w:r w:rsidRPr="002A65CD">
        <w:rPr>
          <w:caps/>
        </w:rPr>
        <w:t xml:space="preserve"> </w:t>
      </w:r>
      <w:r w:rsidRPr="002A65CD">
        <w:rPr>
          <w:caps/>
          <w:spacing w:val="-1"/>
        </w:rPr>
        <w:t>date</w:t>
      </w:r>
      <w:r w:rsidRPr="002A65CD">
        <w:rPr>
          <w:caps/>
          <w:spacing w:val="-2"/>
        </w:rPr>
        <w:t xml:space="preserve"> of</w:t>
      </w:r>
      <w:r w:rsidRPr="002A65CD">
        <w:rPr>
          <w:caps/>
          <w:spacing w:val="2"/>
        </w:rPr>
        <w:t xml:space="preserve"> </w:t>
      </w:r>
      <w:r w:rsidRPr="002A65CD">
        <w:rPr>
          <w:caps/>
          <w:spacing w:val="-2"/>
        </w:rPr>
        <w:t>Call</w:t>
      </w:r>
      <w:r w:rsidRPr="002A65CD">
        <w:rPr>
          <w:caps/>
        </w:rPr>
        <w:t xml:space="preserve"> </w:t>
      </w:r>
      <w:r w:rsidRPr="002A65CD">
        <w:rPr>
          <w:caps/>
          <w:spacing w:val="-1"/>
        </w:rPr>
        <w:t>Off</w:t>
      </w:r>
      <w:r w:rsidRPr="002A65CD">
        <w:rPr>
          <w:caps/>
        </w:rPr>
        <w:t xml:space="preserve"> </w:t>
      </w:r>
      <w:r w:rsidRPr="002A65CD">
        <w:rPr>
          <w:caps/>
          <w:spacing w:val="-1"/>
        </w:rPr>
        <w:t>Initial</w:t>
      </w:r>
      <w:r w:rsidRPr="002A65CD">
        <w:rPr>
          <w:caps/>
        </w:rPr>
        <w:t xml:space="preserve"> </w:t>
      </w:r>
      <w:r w:rsidRPr="002A65CD">
        <w:rPr>
          <w:caps/>
          <w:spacing w:val="-1"/>
        </w:rPr>
        <w:t>Period</w:t>
      </w:r>
    </w:p>
    <w:p w:rsidR="008918FA" w:rsidRPr="002A65CD" w:rsidRDefault="008918FA" w:rsidP="008918FA">
      <w:pPr>
        <w:spacing w:before="9"/>
        <w:rPr>
          <w:rFonts w:ascii="Arial" w:eastAsia="Arial" w:hAnsi="Arial" w:cs="Arial"/>
          <w:caps/>
          <w:sz w:val="10"/>
          <w:szCs w:val="10"/>
        </w:rPr>
      </w:pPr>
    </w:p>
    <w:p w:rsidR="00B35CB9" w:rsidRDefault="00B35CB9" w:rsidP="00B35CB9">
      <w:pPr>
        <w:spacing w:line="248" w:lineRule="exact"/>
        <w:ind w:left="393" w:right="-1" w:firstLine="720"/>
        <w:rPr>
          <w:rFonts w:ascii="Arial" w:eastAsia="Arial" w:hAnsi="Arial" w:cs="Arial"/>
          <w:sz w:val="14"/>
          <w:szCs w:val="14"/>
        </w:rPr>
      </w:pPr>
      <w:r w:rsidRPr="00B35CB9">
        <w:rPr>
          <w:rFonts w:ascii="Arial"/>
          <w:spacing w:val="-2"/>
          <w:highlight w:val="yellow"/>
        </w:rPr>
        <w:t>[dd/mm/yyyy]</w:t>
      </w:r>
      <w:r w:rsidRPr="00B35CB9">
        <w:rPr>
          <w:rFonts w:ascii="Arial"/>
          <w:spacing w:val="13"/>
          <w:highlight w:val="yellow"/>
        </w:rPr>
        <w:t xml:space="preserve"> </w:t>
      </w:r>
      <w:hyperlink w:anchor="_bookmark4" w:history="1">
        <w:r w:rsidRPr="00B35CB9">
          <w:rPr>
            <w:rFonts w:ascii="Arial"/>
            <w:b/>
            <w:position w:val="10"/>
            <w:sz w:val="14"/>
            <w:highlight w:val="yellow"/>
          </w:rPr>
          <w:t>5</w:t>
        </w:r>
      </w:hyperlink>
    </w:p>
    <w:p w:rsidR="008918FA" w:rsidRPr="002A65CD" w:rsidRDefault="008918FA" w:rsidP="008918FA">
      <w:pPr>
        <w:spacing w:line="200" w:lineRule="atLeast"/>
        <w:ind w:left="1113"/>
        <w:rPr>
          <w:rFonts w:ascii="Arial" w:eastAsia="Arial" w:hAnsi="Arial" w:cs="Arial"/>
          <w:caps/>
          <w:sz w:val="20"/>
          <w:szCs w:val="20"/>
        </w:rPr>
      </w:pPr>
    </w:p>
    <w:p w:rsidR="008918FA" w:rsidRPr="002A65CD" w:rsidRDefault="008918FA" w:rsidP="008918FA">
      <w:pPr>
        <w:pStyle w:val="BodyText"/>
        <w:spacing w:before="117"/>
        <w:ind w:left="1113" w:firstLine="0"/>
        <w:rPr>
          <w:caps/>
        </w:rPr>
      </w:pPr>
      <w:r w:rsidRPr="002A65CD">
        <w:rPr>
          <w:caps/>
          <w:spacing w:val="-1"/>
        </w:rPr>
        <w:t>End</w:t>
      </w:r>
      <w:r w:rsidRPr="002A65CD">
        <w:rPr>
          <w:caps/>
        </w:rPr>
        <w:t xml:space="preserve"> </w:t>
      </w:r>
      <w:r w:rsidRPr="002A65CD">
        <w:rPr>
          <w:caps/>
          <w:spacing w:val="-1"/>
        </w:rPr>
        <w:t>date</w:t>
      </w:r>
      <w:r w:rsidRPr="002A65CD">
        <w:rPr>
          <w:caps/>
          <w:spacing w:val="-2"/>
        </w:rPr>
        <w:t xml:space="preserve"> of</w:t>
      </w:r>
      <w:r w:rsidRPr="002A65CD">
        <w:rPr>
          <w:caps/>
          <w:spacing w:val="2"/>
        </w:rPr>
        <w:t xml:space="preserve"> </w:t>
      </w:r>
      <w:r w:rsidRPr="002A65CD">
        <w:rPr>
          <w:caps/>
          <w:spacing w:val="-2"/>
        </w:rPr>
        <w:t>Call</w:t>
      </w:r>
      <w:r w:rsidRPr="002A65CD">
        <w:rPr>
          <w:caps/>
        </w:rPr>
        <w:t xml:space="preserve"> </w:t>
      </w:r>
      <w:r w:rsidRPr="002A65CD">
        <w:rPr>
          <w:caps/>
          <w:spacing w:val="-1"/>
        </w:rPr>
        <w:t>Off</w:t>
      </w:r>
      <w:r w:rsidRPr="002A65CD">
        <w:rPr>
          <w:caps/>
          <w:spacing w:val="2"/>
        </w:rPr>
        <w:t xml:space="preserve"> </w:t>
      </w:r>
      <w:r w:rsidRPr="002A65CD">
        <w:rPr>
          <w:caps/>
          <w:spacing w:val="-2"/>
        </w:rPr>
        <w:t>Extension</w:t>
      </w:r>
      <w:r w:rsidRPr="002A65CD">
        <w:rPr>
          <w:caps/>
        </w:rPr>
        <w:t xml:space="preserve"> </w:t>
      </w:r>
      <w:r w:rsidRPr="002A65CD">
        <w:rPr>
          <w:caps/>
          <w:spacing w:val="-1"/>
        </w:rPr>
        <w:t>Period</w:t>
      </w:r>
    </w:p>
    <w:p w:rsidR="008918FA" w:rsidRPr="002A65CD" w:rsidRDefault="008918FA" w:rsidP="008918FA">
      <w:pPr>
        <w:spacing w:before="6"/>
        <w:rPr>
          <w:rFonts w:ascii="Arial" w:eastAsia="Arial" w:hAnsi="Arial" w:cs="Arial"/>
          <w:caps/>
          <w:sz w:val="10"/>
          <w:szCs w:val="10"/>
        </w:rPr>
      </w:pPr>
    </w:p>
    <w:p w:rsidR="00B35CB9" w:rsidRDefault="00B35CB9" w:rsidP="00B35CB9">
      <w:pPr>
        <w:spacing w:line="248" w:lineRule="exact"/>
        <w:ind w:left="393" w:right="-1" w:firstLine="720"/>
        <w:rPr>
          <w:rFonts w:ascii="Arial" w:eastAsia="Arial" w:hAnsi="Arial" w:cs="Arial"/>
          <w:sz w:val="14"/>
          <w:szCs w:val="14"/>
        </w:rPr>
      </w:pPr>
      <w:r w:rsidRPr="00B35CB9">
        <w:rPr>
          <w:rFonts w:ascii="Arial"/>
          <w:spacing w:val="-2"/>
          <w:highlight w:val="yellow"/>
        </w:rPr>
        <w:t>[dd/mm/yyyy]</w:t>
      </w:r>
      <w:r w:rsidRPr="00B35CB9">
        <w:rPr>
          <w:rFonts w:ascii="Arial"/>
          <w:spacing w:val="13"/>
          <w:highlight w:val="yellow"/>
        </w:rPr>
        <w:t xml:space="preserve"> </w:t>
      </w:r>
      <w:hyperlink w:anchor="_bookmark5" w:history="1">
        <w:r w:rsidRPr="00B35CB9">
          <w:rPr>
            <w:rFonts w:ascii="Arial"/>
            <w:b/>
            <w:position w:val="10"/>
            <w:sz w:val="14"/>
            <w:highlight w:val="yellow"/>
          </w:rPr>
          <w:t>6</w:t>
        </w:r>
      </w:hyperlink>
    </w:p>
    <w:p w:rsidR="008918FA" w:rsidRPr="002A65CD" w:rsidRDefault="008918FA" w:rsidP="008918FA">
      <w:pPr>
        <w:spacing w:line="200" w:lineRule="atLeast"/>
        <w:ind w:left="1113"/>
        <w:rPr>
          <w:rFonts w:ascii="Arial" w:eastAsia="Arial" w:hAnsi="Arial" w:cs="Arial"/>
          <w:caps/>
          <w:sz w:val="20"/>
          <w:szCs w:val="20"/>
        </w:rPr>
      </w:pPr>
    </w:p>
    <w:p w:rsidR="008918FA" w:rsidRPr="002A65CD" w:rsidRDefault="008918FA" w:rsidP="008918FA">
      <w:pPr>
        <w:rPr>
          <w:rFonts w:ascii="Arial" w:eastAsia="Arial" w:hAnsi="Arial" w:cs="Arial"/>
          <w:caps/>
          <w:sz w:val="20"/>
          <w:szCs w:val="20"/>
        </w:rPr>
      </w:pPr>
    </w:p>
    <w:p w:rsidR="008918FA" w:rsidRPr="002A65CD" w:rsidRDefault="008918FA" w:rsidP="008918FA">
      <w:pPr>
        <w:rPr>
          <w:rFonts w:ascii="Arial" w:eastAsia="Arial" w:hAnsi="Arial" w:cs="Arial"/>
          <w:caps/>
          <w:sz w:val="20"/>
          <w:szCs w:val="20"/>
        </w:rPr>
      </w:pPr>
    </w:p>
    <w:p w:rsidR="008918FA" w:rsidRPr="002A65CD" w:rsidRDefault="008918FA" w:rsidP="008918FA">
      <w:pPr>
        <w:spacing w:before="8"/>
        <w:rPr>
          <w:rFonts w:ascii="Arial" w:eastAsia="Arial" w:hAnsi="Arial" w:cs="Arial"/>
          <w:caps/>
          <w:sz w:val="28"/>
          <w:szCs w:val="28"/>
        </w:rPr>
      </w:pPr>
    </w:p>
    <w:p w:rsidR="007F77FD" w:rsidRPr="007F77FD" w:rsidRDefault="007F77FD" w:rsidP="007F77FD">
      <w:pPr>
        <w:spacing w:before="86"/>
        <w:ind w:left="261" w:right="111"/>
        <w:jc w:val="both"/>
        <w:rPr>
          <w:rFonts w:ascii="Arial" w:eastAsia="Arial" w:hAnsi="Arial" w:cs="Arial"/>
          <w:sz w:val="18"/>
          <w:szCs w:val="18"/>
          <w:highlight w:val="green"/>
        </w:rPr>
      </w:pPr>
      <w:bookmarkStart w:id="1" w:name="_bookmark0"/>
      <w:bookmarkEnd w:id="1"/>
      <w:r w:rsidRPr="007F77FD">
        <w:rPr>
          <w:rFonts w:ascii="Arial"/>
          <w:position w:val="9"/>
          <w:sz w:val="12"/>
          <w:highlight w:val="green"/>
        </w:rPr>
        <w:t>1</w:t>
      </w:r>
      <w:r w:rsidRPr="007F77FD">
        <w:rPr>
          <w:rFonts w:ascii="Arial"/>
          <w:spacing w:val="3"/>
          <w:position w:val="9"/>
          <w:sz w:val="12"/>
          <w:highlight w:val="green"/>
        </w:rPr>
        <w:t xml:space="preserve"> </w:t>
      </w:r>
      <w:r w:rsidRPr="007F77FD">
        <w:rPr>
          <w:rFonts w:ascii="Arial"/>
          <w:spacing w:val="-1"/>
          <w:sz w:val="18"/>
          <w:highlight w:val="green"/>
        </w:rPr>
        <w:t>[Guidance</w:t>
      </w:r>
      <w:r w:rsidRPr="007F77FD">
        <w:rPr>
          <w:rFonts w:ascii="Arial"/>
          <w:spacing w:val="37"/>
          <w:sz w:val="18"/>
          <w:highlight w:val="green"/>
        </w:rPr>
        <w:t xml:space="preserve"> </w:t>
      </w:r>
      <w:r w:rsidRPr="007F77FD">
        <w:rPr>
          <w:rFonts w:ascii="Arial"/>
          <w:spacing w:val="-1"/>
          <w:sz w:val="18"/>
          <w:highlight w:val="green"/>
        </w:rPr>
        <w:t>Note:</w:t>
      </w:r>
      <w:r w:rsidRPr="007F77FD">
        <w:rPr>
          <w:rFonts w:ascii="Arial"/>
          <w:spacing w:val="34"/>
          <w:sz w:val="18"/>
          <w:highlight w:val="green"/>
        </w:rPr>
        <w:t xml:space="preserve"> </w:t>
      </w:r>
      <w:r w:rsidRPr="007F77FD">
        <w:rPr>
          <w:rFonts w:ascii="Arial"/>
          <w:spacing w:val="-1"/>
          <w:sz w:val="18"/>
          <w:highlight w:val="green"/>
        </w:rPr>
        <w:t>specify</w:t>
      </w:r>
      <w:r w:rsidRPr="007F77FD">
        <w:rPr>
          <w:rFonts w:ascii="Arial"/>
          <w:spacing w:val="34"/>
          <w:sz w:val="18"/>
          <w:highlight w:val="green"/>
        </w:rPr>
        <w:t xml:space="preserve"> </w:t>
      </w:r>
      <w:r w:rsidRPr="007F77FD">
        <w:rPr>
          <w:rFonts w:ascii="Arial"/>
          <w:sz w:val="18"/>
          <w:highlight w:val="green"/>
        </w:rPr>
        <w:t>the</w:t>
      </w:r>
      <w:r w:rsidRPr="007F77FD">
        <w:rPr>
          <w:rFonts w:ascii="Arial"/>
          <w:spacing w:val="34"/>
          <w:sz w:val="18"/>
          <w:highlight w:val="green"/>
        </w:rPr>
        <w:t xml:space="preserve"> </w:t>
      </w:r>
      <w:r w:rsidRPr="007F77FD">
        <w:rPr>
          <w:rFonts w:ascii="Arial"/>
          <w:spacing w:val="-1"/>
          <w:sz w:val="18"/>
          <w:highlight w:val="green"/>
        </w:rPr>
        <w:t>name</w:t>
      </w:r>
      <w:r w:rsidRPr="007F77FD">
        <w:rPr>
          <w:rFonts w:ascii="Arial"/>
          <w:spacing w:val="37"/>
          <w:sz w:val="18"/>
          <w:highlight w:val="green"/>
        </w:rPr>
        <w:t xml:space="preserve"> </w:t>
      </w:r>
      <w:r w:rsidRPr="007F77FD">
        <w:rPr>
          <w:rFonts w:ascii="Arial"/>
          <w:spacing w:val="-1"/>
          <w:sz w:val="18"/>
          <w:highlight w:val="green"/>
        </w:rPr>
        <w:t>and</w:t>
      </w:r>
      <w:r w:rsidRPr="007F77FD">
        <w:rPr>
          <w:rFonts w:ascii="Arial"/>
          <w:spacing w:val="37"/>
          <w:sz w:val="18"/>
          <w:highlight w:val="green"/>
        </w:rPr>
        <w:t xml:space="preserve"> </w:t>
      </w:r>
      <w:r w:rsidRPr="007F77FD">
        <w:rPr>
          <w:rFonts w:ascii="Arial"/>
          <w:spacing w:val="-1"/>
          <w:sz w:val="18"/>
          <w:highlight w:val="green"/>
        </w:rPr>
        <w:t>date</w:t>
      </w:r>
      <w:r w:rsidRPr="007F77FD">
        <w:rPr>
          <w:rFonts w:ascii="Arial"/>
          <w:spacing w:val="37"/>
          <w:sz w:val="18"/>
          <w:highlight w:val="green"/>
        </w:rPr>
        <w:t xml:space="preserve"> </w:t>
      </w:r>
      <w:r w:rsidRPr="007F77FD">
        <w:rPr>
          <w:rFonts w:ascii="Arial"/>
          <w:spacing w:val="-1"/>
          <w:sz w:val="18"/>
          <w:highlight w:val="green"/>
        </w:rPr>
        <w:t>of</w:t>
      </w:r>
      <w:r w:rsidRPr="007F77FD">
        <w:rPr>
          <w:rFonts w:ascii="Arial"/>
          <w:spacing w:val="36"/>
          <w:sz w:val="18"/>
          <w:highlight w:val="green"/>
        </w:rPr>
        <w:t xml:space="preserve"> </w:t>
      </w:r>
      <w:r w:rsidRPr="007F77FD">
        <w:rPr>
          <w:rFonts w:ascii="Arial"/>
          <w:spacing w:val="-1"/>
          <w:sz w:val="18"/>
          <w:highlight w:val="green"/>
        </w:rPr>
        <w:t>the</w:t>
      </w:r>
      <w:r w:rsidRPr="007F77FD">
        <w:rPr>
          <w:rFonts w:ascii="Arial"/>
          <w:spacing w:val="37"/>
          <w:sz w:val="18"/>
          <w:highlight w:val="green"/>
        </w:rPr>
        <w:t xml:space="preserve"> </w:t>
      </w:r>
      <w:r w:rsidRPr="007F77FD">
        <w:rPr>
          <w:rFonts w:ascii="Arial"/>
          <w:spacing w:val="-1"/>
          <w:sz w:val="18"/>
          <w:highlight w:val="green"/>
        </w:rPr>
        <w:t>Framework</w:t>
      </w:r>
      <w:r w:rsidRPr="007F77FD">
        <w:rPr>
          <w:rFonts w:ascii="Arial"/>
          <w:spacing w:val="37"/>
          <w:sz w:val="18"/>
          <w:highlight w:val="green"/>
        </w:rPr>
        <w:t xml:space="preserve"> </w:t>
      </w:r>
      <w:r w:rsidRPr="007F77FD">
        <w:rPr>
          <w:rFonts w:ascii="Arial"/>
          <w:spacing w:val="-1"/>
          <w:sz w:val="18"/>
          <w:highlight w:val="green"/>
        </w:rPr>
        <w:t>Agreement</w:t>
      </w:r>
      <w:r w:rsidRPr="007F77FD">
        <w:rPr>
          <w:rFonts w:ascii="Arial"/>
          <w:spacing w:val="34"/>
          <w:sz w:val="18"/>
          <w:highlight w:val="green"/>
        </w:rPr>
        <w:t xml:space="preserve"> </w:t>
      </w:r>
      <w:r w:rsidRPr="007F77FD">
        <w:rPr>
          <w:rFonts w:ascii="Arial"/>
          <w:spacing w:val="-1"/>
          <w:sz w:val="18"/>
          <w:highlight w:val="green"/>
        </w:rPr>
        <w:t>between</w:t>
      </w:r>
      <w:r w:rsidRPr="007F77FD">
        <w:rPr>
          <w:rFonts w:ascii="Arial"/>
          <w:spacing w:val="37"/>
          <w:sz w:val="18"/>
          <w:highlight w:val="green"/>
        </w:rPr>
        <w:t xml:space="preserve"> </w:t>
      </w:r>
      <w:r w:rsidRPr="007F77FD">
        <w:rPr>
          <w:rFonts w:ascii="Arial"/>
          <w:spacing w:val="-2"/>
          <w:sz w:val="18"/>
          <w:highlight w:val="green"/>
        </w:rPr>
        <w:t>the</w:t>
      </w:r>
      <w:r w:rsidRPr="007F77FD">
        <w:rPr>
          <w:rFonts w:ascii="Arial"/>
          <w:spacing w:val="37"/>
          <w:sz w:val="18"/>
          <w:highlight w:val="green"/>
        </w:rPr>
        <w:t xml:space="preserve"> </w:t>
      </w:r>
      <w:r w:rsidRPr="007F77FD">
        <w:rPr>
          <w:rFonts w:ascii="Arial"/>
          <w:spacing w:val="-1"/>
          <w:sz w:val="18"/>
          <w:highlight w:val="green"/>
        </w:rPr>
        <w:t>Supplier</w:t>
      </w:r>
      <w:r w:rsidRPr="007F77FD">
        <w:rPr>
          <w:rFonts w:ascii="Arial"/>
          <w:spacing w:val="33"/>
          <w:sz w:val="18"/>
          <w:highlight w:val="green"/>
        </w:rPr>
        <w:t xml:space="preserve"> </w:t>
      </w:r>
      <w:r w:rsidRPr="007F77FD">
        <w:rPr>
          <w:rFonts w:ascii="Arial"/>
          <w:sz w:val="18"/>
          <w:highlight w:val="green"/>
        </w:rPr>
        <w:t>and</w:t>
      </w:r>
      <w:r w:rsidRPr="007F77FD">
        <w:rPr>
          <w:rFonts w:ascii="Arial"/>
          <w:spacing w:val="34"/>
          <w:sz w:val="18"/>
          <w:highlight w:val="green"/>
        </w:rPr>
        <w:t xml:space="preserve"> </w:t>
      </w:r>
      <w:r w:rsidRPr="007F77FD">
        <w:rPr>
          <w:rFonts w:ascii="Arial"/>
          <w:sz w:val="18"/>
          <w:highlight w:val="green"/>
        </w:rPr>
        <w:t>the</w:t>
      </w:r>
      <w:r w:rsidRPr="007F77FD">
        <w:rPr>
          <w:rFonts w:ascii="Arial"/>
          <w:spacing w:val="85"/>
          <w:sz w:val="18"/>
          <w:highlight w:val="green"/>
        </w:rPr>
        <w:t xml:space="preserve"> </w:t>
      </w:r>
      <w:r w:rsidRPr="007F77FD">
        <w:rPr>
          <w:rFonts w:ascii="Arial"/>
          <w:spacing w:val="-1"/>
          <w:sz w:val="18"/>
          <w:highlight w:val="green"/>
        </w:rPr>
        <w:t>Authority pursuant</w:t>
      </w:r>
      <w:r w:rsidRPr="007F77FD">
        <w:rPr>
          <w:rFonts w:ascii="Arial"/>
          <w:spacing w:val="-2"/>
          <w:sz w:val="18"/>
          <w:highlight w:val="green"/>
        </w:rPr>
        <w:t xml:space="preserve"> </w:t>
      </w:r>
      <w:r w:rsidRPr="007F77FD">
        <w:rPr>
          <w:rFonts w:ascii="Arial"/>
          <w:sz w:val="18"/>
          <w:highlight w:val="green"/>
        </w:rPr>
        <w:t>to</w:t>
      </w:r>
      <w:r w:rsidRPr="007F77FD">
        <w:rPr>
          <w:rFonts w:ascii="Arial"/>
          <w:spacing w:val="1"/>
          <w:sz w:val="18"/>
          <w:highlight w:val="green"/>
        </w:rPr>
        <w:t xml:space="preserve"> </w:t>
      </w:r>
      <w:r w:rsidRPr="007F77FD">
        <w:rPr>
          <w:rFonts w:ascii="Arial"/>
          <w:spacing w:val="-1"/>
          <w:sz w:val="18"/>
          <w:highlight w:val="green"/>
        </w:rPr>
        <w:t>which</w:t>
      </w:r>
      <w:r w:rsidRPr="007F77FD">
        <w:rPr>
          <w:rFonts w:ascii="Arial"/>
          <w:spacing w:val="-2"/>
          <w:sz w:val="18"/>
          <w:highlight w:val="green"/>
        </w:rPr>
        <w:t xml:space="preserve"> </w:t>
      </w:r>
      <w:r w:rsidRPr="007F77FD">
        <w:rPr>
          <w:rFonts w:ascii="Arial"/>
          <w:spacing w:val="-1"/>
          <w:sz w:val="18"/>
          <w:highlight w:val="green"/>
        </w:rPr>
        <w:t>the</w:t>
      </w:r>
      <w:r w:rsidRPr="007F77FD">
        <w:rPr>
          <w:rFonts w:ascii="Arial"/>
          <w:spacing w:val="1"/>
          <w:sz w:val="18"/>
          <w:highlight w:val="green"/>
        </w:rPr>
        <w:t xml:space="preserve"> </w:t>
      </w:r>
      <w:r w:rsidRPr="007F77FD">
        <w:rPr>
          <w:rFonts w:ascii="Arial"/>
          <w:spacing w:val="-1"/>
          <w:sz w:val="18"/>
          <w:highlight w:val="green"/>
        </w:rPr>
        <w:t>Call</w:t>
      </w:r>
      <w:r w:rsidRPr="007F77FD">
        <w:rPr>
          <w:rFonts w:ascii="Arial"/>
          <w:spacing w:val="1"/>
          <w:sz w:val="18"/>
          <w:highlight w:val="green"/>
        </w:rPr>
        <w:t xml:space="preserve"> </w:t>
      </w:r>
      <w:r w:rsidRPr="007F77FD">
        <w:rPr>
          <w:rFonts w:ascii="Arial"/>
          <w:spacing w:val="-1"/>
          <w:sz w:val="18"/>
          <w:highlight w:val="green"/>
        </w:rPr>
        <w:t>Off</w:t>
      </w:r>
      <w:r w:rsidRPr="007F77FD">
        <w:rPr>
          <w:rFonts w:ascii="Arial"/>
          <w:spacing w:val="-2"/>
          <w:sz w:val="18"/>
          <w:highlight w:val="green"/>
        </w:rPr>
        <w:t xml:space="preserve"> </w:t>
      </w:r>
      <w:r w:rsidRPr="007F77FD">
        <w:rPr>
          <w:rFonts w:ascii="Arial"/>
          <w:spacing w:val="-1"/>
          <w:sz w:val="18"/>
          <w:highlight w:val="green"/>
        </w:rPr>
        <w:t>Contract</w:t>
      </w:r>
      <w:r w:rsidRPr="007F77FD">
        <w:rPr>
          <w:rFonts w:ascii="Arial"/>
          <w:spacing w:val="-2"/>
          <w:sz w:val="18"/>
          <w:highlight w:val="green"/>
        </w:rPr>
        <w:t xml:space="preserve"> </w:t>
      </w:r>
      <w:r w:rsidRPr="007F77FD">
        <w:rPr>
          <w:rFonts w:ascii="Arial"/>
          <w:sz w:val="18"/>
          <w:highlight w:val="green"/>
        </w:rPr>
        <w:t>is</w:t>
      </w:r>
      <w:r w:rsidRPr="007F77FD">
        <w:rPr>
          <w:rFonts w:ascii="Arial"/>
          <w:spacing w:val="-1"/>
          <w:sz w:val="18"/>
          <w:highlight w:val="green"/>
        </w:rPr>
        <w:t xml:space="preserve"> entered]</w:t>
      </w:r>
    </w:p>
    <w:p w:rsidR="007F77FD" w:rsidRPr="007F77FD" w:rsidRDefault="007F77FD" w:rsidP="007F77FD">
      <w:pPr>
        <w:spacing w:before="85"/>
        <w:ind w:left="261" w:right="112"/>
        <w:jc w:val="both"/>
        <w:rPr>
          <w:rFonts w:ascii="Arial" w:eastAsia="Arial" w:hAnsi="Arial" w:cs="Arial"/>
          <w:sz w:val="18"/>
          <w:szCs w:val="18"/>
          <w:highlight w:val="green"/>
        </w:rPr>
      </w:pPr>
      <w:r w:rsidRPr="007F77FD">
        <w:rPr>
          <w:rFonts w:ascii="Arial"/>
          <w:position w:val="9"/>
          <w:sz w:val="12"/>
          <w:highlight w:val="green"/>
        </w:rPr>
        <w:t>2</w:t>
      </w:r>
      <w:r w:rsidRPr="007F77FD">
        <w:rPr>
          <w:rFonts w:ascii="Arial"/>
          <w:spacing w:val="26"/>
          <w:position w:val="9"/>
          <w:sz w:val="12"/>
          <w:highlight w:val="green"/>
        </w:rPr>
        <w:t xml:space="preserve"> </w:t>
      </w:r>
      <w:bookmarkStart w:id="2" w:name="_bookmark1"/>
      <w:bookmarkEnd w:id="2"/>
      <w:r w:rsidRPr="007F77FD">
        <w:rPr>
          <w:rFonts w:ascii="Arial"/>
          <w:spacing w:val="-1"/>
          <w:sz w:val="18"/>
          <w:highlight w:val="green"/>
        </w:rPr>
        <w:t>[Guidance</w:t>
      </w:r>
      <w:r w:rsidRPr="007F77FD">
        <w:rPr>
          <w:rFonts w:ascii="Arial"/>
          <w:spacing w:val="10"/>
          <w:sz w:val="18"/>
          <w:highlight w:val="green"/>
        </w:rPr>
        <w:t xml:space="preserve"> </w:t>
      </w:r>
      <w:r w:rsidRPr="007F77FD">
        <w:rPr>
          <w:rFonts w:ascii="Arial"/>
          <w:spacing w:val="-1"/>
          <w:sz w:val="18"/>
          <w:highlight w:val="green"/>
        </w:rPr>
        <w:t>Note:</w:t>
      </w:r>
      <w:r w:rsidRPr="007F77FD">
        <w:rPr>
          <w:rFonts w:ascii="Arial"/>
          <w:spacing w:val="10"/>
          <w:sz w:val="18"/>
          <w:highlight w:val="green"/>
        </w:rPr>
        <w:t xml:space="preserve"> </w:t>
      </w:r>
      <w:r w:rsidRPr="007F77FD">
        <w:rPr>
          <w:rFonts w:ascii="Arial"/>
          <w:spacing w:val="-1"/>
          <w:sz w:val="18"/>
          <w:highlight w:val="green"/>
        </w:rPr>
        <w:t>Include</w:t>
      </w:r>
      <w:r w:rsidRPr="007F77FD">
        <w:rPr>
          <w:rFonts w:ascii="Arial"/>
          <w:spacing w:val="10"/>
          <w:sz w:val="18"/>
          <w:highlight w:val="green"/>
        </w:rPr>
        <w:t xml:space="preserve"> </w:t>
      </w:r>
      <w:r w:rsidRPr="007F77FD">
        <w:rPr>
          <w:rFonts w:ascii="Arial"/>
          <w:spacing w:val="-1"/>
          <w:sz w:val="18"/>
          <w:highlight w:val="green"/>
        </w:rPr>
        <w:t>Customer</w:t>
      </w:r>
      <w:r w:rsidRPr="007F77FD">
        <w:rPr>
          <w:rFonts w:ascii="Arial"/>
          <w:spacing w:val="7"/>
          <w:sz w:val="18"/>
          <w:highlight w:val="green"/>
        </w:rPr>
        <w:t xml:space="preserve"> </w:t>
      </w:r>
      <w:r w:rsidRPr="007F77FD">
        <w:rPr>
          <w:rFonts w:ascii="Arial"/>
          <w:spacing w:val="-1"/>
          <w:sz w:val="18"/>
          <w:highlight w:val="green"/>
        </w:rPr>
        <w:t>contract</w:t>
      </w:r>
      <w:r w:rsidRPr="007F77FD">
        <w:rPr>
          <w:rFonts w:ascii="Arial"/>
          <w:spacing w:val="7"/>
          <w:sz w:val="18"/>
          <w:highlight w:val="green"/>
        </w:rPr>
        <w:t xml:space="preserve"> </w:t>
      </w:r>
      <w:r w:rsidRPr="007F77FD">
        <w:rPr>
          <w:rFonts w:ascii="Arial"/>
          <w:spacing w:val="-1"/>
          <w:sz w:val="18"/>
          <w:highlight w:val="green"/>
        </w:rPr>
        <w:t>reference</w:t>
      </w:r>
      <w:r w:rsidRPr="007F77FD">
        <w:rPr>
          <w:rFonts w:ascii="Arial"/>
          <w:spacing w:val="10"/>
          <w:sz w:val="18"/>
          <w:highlight w:val="green"/>
        </w:rPr>
        <w:t xml:space="preserve"> </w:t>
      </w:r>
      <w:r w:rsidRPr="007F77FD">
        <w:rPr>
          <w:rFonts w:ascii="Arial"/>
          <w:spacing w:val="-1"/>
          <w:sz w:val="18"/>
          <w:highlight w:val="green"/>
        </w:rPr>
        <w:t>number</w:t>
      </w:r>
      <w:r w:rsidRPr="007F77FD">
        <w:rPr>
          <w:rFonts w:ascii="Arial"/>
          <w:spacing w:val="9"/>
          <w:sz w:val="18"/>
          <w:highlight w:val="green"/>
        </w:rPr>
        <w:t xml:space="preserve"> </w:t>
      </w:r>
      <w:r w:rsidRPr="007F77FD">
        <w:rPr>
          <w:rFonts w:ascii="Arial"/>
          <w:sz w:val="18"/>
          <w:highlight w:val="green"/>
        </w:rPr>
        <w:t>and</w:t>
      </w:r>
      <w:r w:rsidRPr="007F77FD">
        <w:rPr>
          <w:rFonts w:ascii="Arial"/>
          <w:spacing w:val="8"/>
          <w:sz w:val="18"/>
          <w:highlight w:val="green"/>
        </w:rPr>
        <w:t xml:space="preserve"> </w:t>
      </w:r>
      <w:r w:rsidRPr="007F77FD">
        <w:rPr>
          <w:rFonts w:ascii="Arial"/>
          <w:spacing w:val="-1"/>
          <w:sz w:val="18"/>
          <w:highlight w:val="green"/>
        </w:rPr>
        <w:t>contact</w:t>
      </w:r>
      <w:r w:rsidRPr="007F77FD">
        <w:rPr>
          <w:rFonts w:ascii="Arial"/>
          <w:spacing w:val="10"/>
          <w:sz w:val="18"/>
          <w:highlight w:val="green"/>
        </w:rPr>
        <w:t xml:space="preserve"> </w:t>
      </w:r>
      <w:r w:rsidRPr="007F77FD">
        <w:rPr>
          <w:rFonts w:ascii="Arial"/>
          <w:spacing w:val="-1"/>
          <w:sz w:val="18"/>
          <w:highlight w:val="green"/>
        </w:rPr>
        <w:t>details</w:t>
      </w:r>
      <w:r w:rsidRPr="007F77FD">
        <w:rPr>
          <w:rFonts w:ascii="Arial"/>
          <w:spacing w:val="11"/>
          <w:sz w:val="18"/>
          <w:highlight w:val="green"/>
        </w:rPr>
        <w:t xml:space="preserve"> </w:t>
      </w:r>
      <w:r w:rsidRPr="007F77FD">
        <w:rPr>
          <w:rFonts w:ascii="Arial"/>
          <w:spacing w:val="-1"/>
          <w:sz w:val="18"/>
          <w:highlight w:val="green"/>
        </w:rPr>
        <w:t>(including</w:t>
      </w:r>
      <w:r w:rsidRPr="007F77FD">
        <w:rPr>
          <w:rFonts w:ascii="Arial"/>
          <w:spacing w:val="10"/>
          <w:sz w:val="18"/>
          <w:highlight w:val="green"/>
        </w:rPr>
        <w:t xml:space="preserve"> </w:t>
      </w:r>
      <w:r w:rsidRPr="007F77FD">
        <w:rPr>
          <w:rFonts w:ascii="Arial"/>
          <w:spacing w:val="-1"/>
          <w:sz w:val="18"/>
          <w:highlight w:val="green"/>
        </w:rPr>
        <w:t>postal</w:t>
      </w:r>
      <w:r w:rsidRPr="007F77FD">
        <w:rPr>
          <w:rFonts w:ascii="Arial"/>
          <w:spacing w:val="10"/>
          <w:sz w:val="18"/>
          <w:highlight w:val="green"/>
        </w:rPr>
        <w:t xml:space="preserve"> </w:t>
      </w:r>
      <w:r w:rsidRPr="007F77FD">
        <w:rPr>
          <w:rFonts w:ascii="Arial"/>
          <w:sz w:val="18"/>
          <w:highlight w:val="green"/>
        </w:rPr>
        <w:t>and</w:t>
      </w:r>
      <w:r w:rsidRPr="007F77FD">
        <w:rPr>
          <w:rFonts w:ascii="Arial"/>
          <w:spacing w:val="8"/>
          <w:sz w:val="18"/>
          <w:highlight w:val="green"/>
        </w:rPr>
        <w:t xml:space="preserve"> </w:t>
      </w:r>
      <w:r w:rsidRPr="007F77FD">
        <w:rPr>
          <w:rFonts w:ascii="Arial"/>
          <w:spacing w:val="-2"/>
          <w:sz w:val="18"/>
          <w:highlight w:val="green"/>
        </w:rPr>
        <w:t>email</w:t>
      </w:r>
      <w:r w:rsidRPr="007F77FD">
        <w:rPr>
          <w:rFonts w:ascii="Arial"/>
          <w:spacing w:val="101"/>
          <w:sz w:val="18"/>
          <w:highlight w:val="green"/>
        </w:rPr>
        <w:t xml:space="preserve"> </w:t>
      </w:r>
      <w:r w:rsidRPr="007F77FD">
        <w:rPr>
          <w:rFonts w:ascii="Arial"/>
          <w:spacing w:val="-1"/>
          <w:sz w:val="18"/>
          <w:highlight w:val="green"/>
        </w:rPr>
        <w:t>addresses-</w:t>
      </w:r>
      <w:r w:rsidRPr="007F77FD">
        <w:rPr>
          <w:rFonts w:ascii="Arial"/>
          <w:spacing w:val="10"/>
          <w:sz w:val="18"/>
          <w:highlight w:val="green"/>
        </w:rPr>
        <w:t xml:space="preserve"> </w:t>
      </w:r>
      <w:r w:rsidRPr="007F77FD">
        <w:rPr>
          <w:rFonts w:ascii="Arial"/>
          <w:sz w:val="18"/>
          <w:highlight w:val="green"/>
        </w:rPr>
        <w:t>see</w:t>
      </w:r>
      <w:r w:rsidRPr="007F77FD">
        <w:rPr>
          <w:rFonts w:ascii="Arial"/>
          <w:spacing w:val="10"/>
          <w:sz w:val="18"/>
          <w:highlight w:val="green"/>
        </w:rPr>
        <w:t xml:space="preserve"> </w:t>
      </w:r>
      <w:r w:rsidRPr="007F77FD">
        <w:rPr>
          <w:rFonts w:ascii="Arial"/>
          <w:spacing w:val="-1"/>
          <w:sz w:val="18"/>
          <w:highlight w:val="green"/>
        </w:rPr>
        <w:t>Clause</w:t>
      </w:r>
      <w:r w:rsidRPr="007F77FD">
        <w:rPr>
          <w:rFonts w:ascii="Arial"/>
          <w:spacing w:val="10"/>
          <w:sz w:val="18"/>
          <w:highlight w:val="green"/>
        </w:rPr>
        <w:t xml:space="preserve"> </w:t>
      </w:r>
      <w:hyperlink w:anchor="_bookmark278" w:history="1">
        <w:r w:rsidRPr="007F77FD">
          <w:rPr>
            <w:rFonts w:ascii="Arial"/>
            <w:spacing w:val="-1"/>
            <w:sz w:val="18"/>
            <w:highlight w:val="green"/>
          </w:rPr>
          <w:t>55.6</w:t>
        </w:r>
      </w:hyperlink>
      <w:r w:rsidRPr="007F77FD">
        <w:rPr>
          <w:rFonts w:ascii="Arial"/>
          <w:spacing w:val="13"/>
          <w:sz w:val="18"/>
          <w:highlight w:val="green"/>
        </w:rPr>
        <w:t xml:space="preserve"> </w:t>
      </w:r>
      <w:r w:rsidRPr="007F77FD">
        <w:rPr>
          <w:rFonts w:ascii="Arial"/>
          <w:spacing w:val="-1"/>
          <w:sz w:val="18"/>
          <w:highlight w:val="green"/>
        </w:rPr>
        <w:t>of</w:t>
      </w:r>
      <w:r w:rsidRPr="007F77FD">
        <w:rPr>
          <w:rFonts w:ascii="Arial"/>
          <w:spacing w:val="12"/>
          <w:sz w:val="18"/>
          <w:highlight w:val="green"/>
        </w:rPr>
        <w:t xml:space="preserve"> </w:t>
      </w:r>
      <w:r w:rsidRPr="007F77FD">
        <w:rPr>
          <w:rFonts w:ascii="Arial"/>
          <w:sz w:val="18"/>
          <w:highlight w:val="green"/>
        </w:rPr>
        <w:t>the</w:t>
      </w:r>
      <w:r w:rsidRPr="007F77FD">
        <w:rPr>
          <w:rFonts w:ascii="Arial"/>
          <w:spacing w:val="10"/>
          <w:sz w:val="18"/>
          <w:highlight w:val="green"/>
        </w:rPr>
        <w:t xml:space="preserve"> </w:t>
      </w:r>
      <w:r w:rsidRPr="007F77FD">
        <w:rPr>
          <w:rFonts w:ascii="Arial"/>
          <w:spacing w:val="-1"/>
          <w:sz w:val="18"/>
          <w:highlight w:val="green"/>
        </w:rPr>
        <w:t>Template</w:t>
      </w:r>
      <w:r w:rsidRPr="007F77FD">
        <w:rPr>
          <w:rFonts w:ascii="Arial"/>
          <w:spacing w:val="13"/>
          <w:sz w:val="18"/>
          <w:highlight w:val="green"/>
        </w:rPr>
        <w:t xml:space="preserve"> </w:t>
      </w:r>
      <w:r w:rsidRPr="007F77FD">
        <w:rPr>
          <w:rFonts w:ascii="Arial"/>
          <w:spacing w:val="-1"/>
          <w:sz w:val="18"/>
          <w:highlight w:val="green"/>
        </w:rPr>
        <w:t>Call</w:t>
      </w:r>
      <w:r w:rsidRPr="007F77FD">
        <w:rPr>
          <w:rFonts w:ascii="Arial"/>
          <w:spacing w:val="13"/>
          <w:sz w:val="18"/>
          <w:highlight w:val="green"/>
        </w:rPr>
        <w:t xml:space="preserve"> </w:t>
      </w:r>
      <w:r w:rsidRPr="007F77FD">
        <w:rPr>
          <w:rFonts w:ascii="Arial"/>
          <w:spacing w:val="-1"/>
          <w:sz w:val="18"/>
          <w:highlight w:val="green"/>
        </w:rPr>
        <w:t>Off</w:t>
      </w:r>
      <w:r w:rsidRPr="007F77FD">
        <w:rPr>
          <w:rFonts w:ascii="Arial"/>
          <w:spacing w:val="10"/>
          <w:sz w:val="18"/>
          <w:highlight w:val="green"/>
        </w:rPr>
        <w:t xml:space="preserve"> </w:t>
      </w:r>
      <w:r w:rsidRPr="007F77FD">
        <w:rPr>
          <w:rFonts w:ascii="Arial"/>
          <w:spacing w:val="-1"/>
          <w:sz w:val="18"/>
          <w:highlight w:val="green"/>
        </w:rPr>
        <w:t>Terms),</w:t>
      </w:r>
      <w:r w:rsidRPr="007F77FD">
        <w:rPr>
          <w:rFonts w:ascii="Arial"/>
          <w:spacing w:val="12"/>
          <w:sz w:val="18"/>
          <w:highlight w:val="green"/>
        </w:rPr>
        <w:t xml:space="preserve"> </w:t>
      </w:r>
      <w:r w:rsidRPr="007F77FD">
        <w:rPr>
          <w:rFonts w:ascii="Arial"/>
          <w:spacing w:val="-1"/>
          <w:sz w:val="18"/>
          <w:highlight w:val="green"/>
        </w:rPr>
        <w:t>details</w:t>
      </w:r>
      <w:r w:rsidRPr="007F77FD">
        <w:rPr>
          <w:rFonts w:ascii="Arial"/>
          <w:spacing w:val="13"/>
          <w:sz w:val="18"/>
          <w:highlight w:val="green"/>
        </w:rPr>
        <w:t xml:space="preserve"> </w:t>
      </w:r>
      <w:r w:rsidRPr="007F77FD">
        <w:rPr>
          <w:rFonts w:ascii="Arial"/>
          <w:sz w:val="18"/>
          <w:highlight w:val="green"/>
        </w:rPr>
        <w:t>of</w:t>
      </w:r>
      <w:r w:rsidRPr="007F77FD">
        <w:rPr>
          <w:rFonts w:ascii="Arial"/>
          <w:spacing w:val="10"/>
          <w:sz w:val="18"/>
          <w:highlight w:val="green"/>
        </w:rPr>
        <w:t xml:space="preserve"> </w:t>
      </w:r>
      <w:r w:rsidRPr="007F77FD">
        <w:rPr>
          <w:rFonts w:ascii="Arial"/>
          <w:spacing w:val="-1"/>
          <w:sz w:val="18"/>
          <w:highlight w:val="green"/>
        </w:rPr>
        <w:t>Customer</w:t>
      </w:r>
      <w:r w:rsidRPr="007F77FD">
        <w:rPr>
          <w:rFonts w:ascii="Arial"/>
          <w:spacing w:val="12"/>
          <w:sz w:val="18"/>
          <w:highlight w:val="green"/>
        </w:rPr>
        <w:t xml:space="preserve"> </w:t>
      </w:r>
      <w:r w:rsidRPr="007F77FD">
        <w:rPr>
          <w:rFonts w:ascii="Arial"/>
          <w:spacing w:val="-1"/>
          <w:sz w:val="18"/>
          <w:highlight w:val="green"/>
        </w:rPr>
        <w:t>Representative</w:t>
      </w:r>
      <w:r w:rsidRPr="007F77FD">
        <w:rPr>
          <w:rFonts w:ascii="Arial"/>
          <w:spacing w:val="12"/>
          <w:sz w:val="18"/>
          <w:highlight w:val="green"/>
        </w:rPr>
        <w:t xml:space="preserve"> </w:t>
      </w:r>
      <w:r w:rsidRPr="007F77FD">
        <w:rPr>
          <w:rFonts w:ascii="Arial"/>
          <w:spacing w:val="-1"/>
          <w:sz w:val="18"/>
          <w:highlight w:val="green"/>
        </w:rPr>
        <w:t>(see</w:t>
      </w:r>
      <w:r w:rsidRPr="007F77FD">
        <w:rPr>
          <w:rFonts w:ascii="Arial"/>
          <w:spacing w:val="13"/>
          <w:sz w:val="18"/>
          <w:highlight w:val="green"/>
        </w:rPr>
        <w:t xml:space="preserve"> </w:t>
      </w:r>
      <w:r w:rsidRPr="007F77FD">
        <w:rPr>
          <w:rFonts w:ascii="Arial"/>
          <w:spacing w:val="-1"/>
          <w:sz w:val="18"/>
          <w:highlight w:val="green"/>
        </w:rPr>
        <w:t>Clause</w:t>
      </w:r>
    </w:p>
    <w:p w:rsidR="007F77FD" w:rsidRPr="007F77FD" w:rsidRDefault="00E32C6B" w:rsidP="007F77FD">
      <w:pPr>
        <w:spacing w:before="2"/>
        <w:ind w:left="261"/>
        <w:jc w:val="both"/>
        <w:rPr>
          <w:rFonts w:ascii="Arial" w:eastAsia="Arial" w:hAnsi="Arial" w:cs="Arial"/>
          <w:sz w:val="18"/>
          <w:szCs w:val="18"/>
          <w:highlight w:val="green"/>
        </w:rPr>
      </w:pPr>
      <w:hyperlink w:anchor="_bookmark114" w:history="1">
        <w:r w:rsidR="007F77FD" w:rsidRPr="007F77FD">
          <w:rPr>
            <w:rFonts w:ascii="Arial"/>
            <w:sz w:val="18"/>
            <w:highlight w:val="green"/>
          </w:rPr>
          <w:t>20.3</w:t>
        </w:r>
      </w:hyperlink>
      <w:r w:rsidR="007F77FD" w:rsidRPr="007F77FD">
        <w:rPr>
          <w:rFonts w:ascii="Arial"/>
          <w:spacing w:val="1"/>
          <w:sz w:val="18"/>
          <w:highlight w:val="green"/>
        </w:rPr>
        <w:t xml:space="preserve"> </w:t>
      </w:r>
      <w:r w:rsidR="007F77FD" w:rsidRPr="007F77FD">
        <w:rPr>
          <w:rFonts w:ascii="Arial"/>
          <w:spacing w:val="-1"/>
          <w:sz w:val="18"/>
          <w:highlight w:val="green"/>
        </w:rPr>
        <w:t>of</w:t>
      </w:r>
      <w:r w:rsidR="007F77FD" w:rsidRPr="007F77FD">
        <w:rPr>
          <w:rFonts w:ascii="Arial"/>
          <w:sz w:val="18"/>
          <w:highlight w:val="green"/>
        </w:rPr>
        <w:t xml:space="preserve"> </w:t>
      </w:r>
      <w:r w:rsidR="007F77FD" w:rsidRPr="007F77FD">
        <w:rPr>
          <w:rFonts w:ascii="Arial"/>
          <w:spacing w:val="-1"/>
          <w:sz w:val="18"/>
          <w:highlight w:val="green"/>
        </w:rPr>
        <w:t>the</w:t>
      </w:r>
      <w:r w:rsidR="007F77FD" w:rsidRPr="007F77FD">
        <w:rPr>
          <w:rFonts w:ascii="Arial"/>
          <w:spacing w:val="1"/>
          <w:sz w:val="18"/>
          <w:highlight w:val="green"/>
        </w:rPr>
        <w:t xml:space="preserve"> </w:t>
      </w:r>
      <w:r w:rsidR="007F77FD" w:rsidRPr="007F77FD">
        <w:rPr>
          <w:rFonts w:ascii="Arial"/>
          <w:spacing w:val="-1"/>
          <w:sz w:val="18"/>
          <w:highlight w:val="green"/>
        </w:rPr>
        <w:t>Template</w:t>
      </w:r>
      <w:r w:rsidR="007F77FD" w:rsidRPr="007F77FD">
        <w:rPr>
          <w:rFonts w:ascii="Arial"/>
          <w:spacing w:val="1"/>
          <w:sz w:val="18"/>
          <w:highlight w:val="green"/>
        </w:rPr>
        <w:t xml:space="preserve"> </w:t>
      </w:r>
      <w:r w:rsidR="007F77FD" w:rsidRPr="007F77FD">
        <w:rPr>
          <w:rFonts w:ascii="Arial"/>
          <w:spacing w:val="-1"/>
          <w:sz w:val="18"/>
          <w:highlight w:val="green"/>
        </w:rPr>
        <w:t>Call</w:t>
      </w:r>
      <w:r w:rsidR="007F77FD" w:rsidRPr="007F77FD">
        <w:rPr>
          <w:rFonts w:ascii="Arial"/>
          <w:spacing w:val="1"/>
          <w:sz w:val="18"/>
          <w:highlight w:val="green"/>
        </w:rPr>
        <w:t xml:space="preserve"> </w:t>
      </w:r>
      <w:r w:rsidR="007F77FD" w:rsidRPr="007F77FD">
        <w:rPr>
          <w:rFonts w:ascii="Arial"/>
          <w:spacing w:val="-1"/>
          <w:sz w:val="18"/>
          <w:highlight w:val="green"/>
        </w:rPr>
        <w:t>Off</w:t>
      </w:r>
      <w:r w:rsidR="007F77FD" w:rsidRPr="007F77FD">
        <w:rPr>
          <w:rFonts w:ascii="Arial"/>
          <w:spacing w:val="-2"/>
          <w:sz w:val="18"/>
          <w:highlight w:val="green"/>
        </w:rPr>
        <w:t xml:space="preserve"> </w:t>
      </w:r>
      <w:r w:rsidR="007F77FD" w:rsidRPr="007F77FD">
        <w:rPr>
          <w:rFonts w:ascii="Arial"/>
          <w:sz w:val="18"/>
          <w:highlight w:val="green"/>
        </w:rPr>
        <w:t xml:space="preserve">Terms), </w:t>
      </w:r>
      <w:r w:rsidR="007F77FD" w:rsidRPr="007F77FD">
        <w:rPr>
          <w:rFonts w:ascii="Arial"/>
          <w:spacing w:val="-1"/>
          <w:sz w:val="18"/>
          <w:highlight w:val="green"/>
        </w:rPr>
        <w:t>and/or</w:t>
      </w:r>
      <w:r w:rsidR="007F77FD" w:rsidRPr="007F77FD">
        <w:rPr>
          <w:rFonts w:ascii="Arial"/>
          <w:spacing w:val="-2"/>
          <w:sz w:val="18"/>
          <w:highlight w:val="green"/>
        </w:rPr>
        <w:t xml:space="preserve"> </w:t>
      </w:r>
      <w:r w:rsidR="007F77FD" w:rsidRPr="007F77FD">
        <w:rPr>
          <w:rFonts w:ascii="Arial"/>
          <w:sz w:val="18"/>
          <w:highlight w:val="green"/>
        </w:rPr>
        <w:t>other</w:t>
      </w:r>
      <w:r w:rsidR="007F77FD" w:rsidRPr="007F77FD">
        <w:rPr>
          <w:rFonts w:ascii="Arial"/>
          <w:spacing w:val="-2"/>
          <w:sz w:val="18"/>
          <w:highlight w:val="green"/>
        </w:rPr>
        <w:t xml:space="preserve"> </w:t>
      </w:r>
      <w:r w:rsidR="007F77FD" w:rsidRPr="007F77FD">
        <w:rPr>
          <w:rFonts w:ascii="Arial"/>
          <w:spacing w:val="-1"/>
          <w:sz w:val="18"/>
          <w:highlight w:val="green"/>
        </w:rPr>
        <w:t>Customer</w:t>
      </w:r>
      <w:r w:rsidR="007F77FD" w:rsidRPr="007F77FD">
        <w:rPr>
          <w:rFonts w:ascii="Arial"/>
          <w:sz w:val="18"/>
          <w:highlight w:val="green"/>
        </w:rPr>
        <w:t xml:space="preserve"> </w:t>
      </w:r>
      <w:r w:rsidR="007F77FD" w:rsidRPr="007F77FD">
        <w:rPr>
          <w:rFonts w:ascii="Arial"/>
          <w:spacing w:val="-1"/>
          <w:sz w:val="18"/>
          <w:highlight w:val="green"/>
        </w:rPr>
        <w:t>profile</w:t>
      </w:r>
      <w:r w:rsidR="007F77FD" w:rsidRPr="007F77FD">
        <w:rPr>
          <w:rFonts w:ascii="Arial"/>
          <w:spacing w:val="1"/>
          <w:sz w:val="18"/>
          <w:highlight w:val="green"/>
        </w:rPr>
        <w:t xml:space="preserve"> </w:t>
      </w:r>
      <w:r w:rsidR="007F77FD" w:rsidRPr="007F77FD">
        <w:rPr>
          <w:rFonts w:ascii="Arial"/>
          <w:spacing w:val="-1"/>
          <w:sz w:val="18"/>
          <w:highlight w:val="green"/>
        </w:rPr>
        <w:t>information</w:t>
      </w:r>
      <w:r w:rsidR="007F77FD" w:rsidRPr="007F77FD">
        <w:rPr>
          <w:rFonts w:ascii="Arial"/>
          <w:spacing w:val="1"/>
          <w:sz w:val="18"/>
          <w:highlight w:val="green"/>
        </w:rPr>
        <w:t xml:space="preserve"> </w:t>
      </w:r>
      <w:r w:rsidR="007F77FD" w:rsidRPr="007F77FD">
        <w:rPr>
          <w:rFonts w:ascii="Arial"/>
          <w:spacing w:val="-1"/>
          <w:sz w:val="18"/>
          <w:highlight w:val="green"/>
        </w:rPr>
        <w:t>as</w:t>
      </w:r>
      <w:r w:rsidR="007F77FD" w:rsidRPr="007F77FD">
        <w:rPr>
          <w:rFonts w:ascii="Arial"/>
          <w:spacing w:val="1"/>
          <w:sz w:val="18"/>
          <w:highlight w:val="green"/>
        </w:rPr>
        <w:t xml:space="preserve"> </w:t>
      </w:r>
      <w:r w:rsidR="007F77FD" w:rsidRPr="007F77FD">
        <w:rPr>
          <w:rFonts w:ascii="Arial"/>
          <w:spacing w:val="-1"/>
          <w:sz w:val="18"/>
          <w:highlight w:val="green"/>
        </w:rPr>
        <w:t>appropriate.]</w:t>
      </w:r>
    </w:p>
    <w:p w:rsidR="007F77FD" w:rsidRDefault="007F77FD" w:rsidP="007F77FD">
      <w:pPr>
        <w:spacing w:before="85"/>
        <w:ind w:left="261" w:right="111"/>
        <w:jc w:val="both"/>
        <w:rPr>
          <w:rFonts w:ascii="Arial" w:eastAsia="Arial" w:hAnsi="Arial" w:cs="Arial"/>
          <w:sz w:val="18"/>
          <w:szCs w:val="18"/>
        </w:rPr>
      </w:pPr>
      <w:r w:rsidRPr="007F77FD">
        <w:rPr>
          <w:rFonts w:ascii="Arial" w:eastAsia="Arial" w:hAnsi="Arial" w:cs="Arial"/>
          <w:position w:val="9"/>
          <w:sz w:val="12"/>
          <w:szCs w:val="12"/>
          <w:highlight w:val="green"/>
        </w:rPr>
        <w:t>3</w:t>
      </w:r>
      <w:r w:rsidRPr="007F77FD">
        <w:rPr>
          <w:rFonts w:ascii="Arial" w:eastAsia="Arial" w:hAnsi="Arial" w:cs="Arial"/>
          <w:spacing w:val="22"/>
          <w:position w:val="9"/>
          <w:sz w:val="12"/>
          <w:szCs w:val="12"/>
          <w:highlight w:val="green"/>
        </w:rPr>
        <w:t xml:space="preserve"> </w:t>
      </w:r>
      <w:bookmarkStart w:id="3" w:name="_bookmark2"/>
      <w:bookmarkEnd w:id="3"/>
      <w:r w:rsidRPr="007F77FD">
        <w:rPr>
          <w:rFonts w:ascii="Arial" w:eastAsia="Arial" w:hAnsi="Arial" w:cs="Arial"/>
          <w:spacing w:val="-1"/>
          <w:sz w:val="18"/>
          <w:szCs w:val="18"/>
          <w:highlight w:val="green"/>
        </w:rPr>
        <w:t>[Guidance</w:t>
      </w:r>
      <w:r w:rsidRPr="007F77FD">
        <w:rPr>
          <w:rFonts w:ascii="Arial" w:eastAsia="Arial" w:hAnsi="Arial" w:cs="Arial"/>
          <w:spacing w:val="5"/>
          <w:sz w:val="18"/>
          <w:szCs w:val="18"/>
          <w:highlight w:val="green"/>
        </w:rPr>
        <w:t xml:space="preserve"> </w:t>
      </w:r>
      <w:r w:rsidRPr="007F77FD">
        <w:rPr>
          <w:rFonts w:ascii="Arial" w:eastAsia="Arial" w:hAnsi="Arial" w:cs="Arial"/>
          <w:spacing w:val="-1"/>
          <w:sz w:val="18"/>
          <w:szCs w:val="18"/>
          <w:highlight w:val="green"/>
        </w:rPr>
        <w:t>Note:</w:t>
      </w:r>
      <w:r w:rsidRPr="007F77FD">
        <w:rPr>
          <w:rFonts w:ascii="Arial" w:eastAsia="Arial" w:hAnsi="Arial" w:cs="Arial"/>
          <w:spacing w:val="5"/>
          <w:sz w:val="18"/>
          <w:szCs w:val="18"/>
          <w:highlight w:val="green"/>
        </w:rPr>
        <w:t xml:space="preserve"> </w:t>
      </w:r>
      <w:r w:rsidRPr="007F77FD">
        <w:rPr>
          <w:rFonts w:ascii="Arial" w:eastAsia="Arial" w:hAnsi="Arial" w:cs="Arial"/>
          <w:spacing w:val="-1"/>
          <w:sz w:val="18"/>
          <w:szCs w:val="18"/>
          <w:highlight w:val="green"/>
        </w:rPr>
        <w:t>Include</w:t>
      </w:r>
      <w:r w:rsidRPr="007F77FD">
        <w:rPr>
          <w:rFonts w:ascii="Arial" w:eastAsia="Arial" w:hAnsi="Arial" w:cs="Arial"/>
          <w:spacing w:val="5"/>
          <w:sz w:val="18"/>
          <w:szCs w:val="18"/>
          <w:highlight w:val="green"/>
        </w:rPr>
        <w:t xml:space="preserve"> </w:t>
      </w:r>
      <w:r w:rsidRPr="007F77FD">
        <w:rPr>
          <w:rFonts w:ascii="Arial" w:eastAsia="Arial" w:hAnsi="Arial" w:cs="Arial"/>
          <w:spacing w:val="-1"/>
          <w:sz w:val="18"/>
          <w:szCs w:val="18"/>
          <w:highlight w:val="green"/>
        </w:rPr>
        <w:t>Supplier’s</w:t>
      </w:r>
      <w:r w:rsidRPr="007F77FD">
        <w:rPr>
          <w:rFonts w:ascii="Arial" w:eastAsia="Arial" w:hAnsi="Arial" w:cs="Arial"/>
          <w:spacing w:val="6"/>
          <w:sz w:val="18"/>
          <w:szCs w:val="18"/>
          <w:highlight w:val="green"/>
        </w:rPr>
        <w:t xml:space="preserve"> </w:t>
      </w:r>
      <w:r w:rsidRPr="007F77FD">
        <w:rPr>
          <w:rFonts w:ascii="Arial" w:eastAsia="Arial" w:hAnsi="Arial" w:cs="Arial"/>
          <w:spacing w:val="-1"/>
          <w:sz w:val="18"/>
          <w:szCs w:val="18"/>
          <w:highlight w:val="green"/>
        </w:rPr>
        <w:t>contact</w:t>
      </w:r>
      <w:r w:rsidRPr="007F77FD">
        <w:rPr>
          <w:rFonts w:ascii="Arial" w:eastAsia="Arial" w:hAnsi="Arial" w:cs="Arial"/>
          <w:spacing w:val="5"/>
          <w:sz w:val="18"/>
          <w:szCs w:val="18"/>
          <w:highlight w:val="green"/>
        </w:rPr>
        <w:t xml:space="preserve"> </w:t>
      </w:r>
      <w:r w:rsidRPr="007F77FD">
        <w:rPr>
          <w:rFonts w:ascii="Arial" w:eastAsia="Arial" w:hAnsi="Arial" w:cs="Arial"/>
          <w:spacing w:val="-1"/>
          <w:sz w:val="18"/>
          <w:szCs w:val="18"/>
          <w:highlight w:val="green"/>
        </w:rPr>
        <w:t>details</w:t>
      </w:r>
      <w:r w:rsidRPr="007F77FD">
        <w:rPr>
          <w:rFonts w:ascii="Arial" w:eastAsia="Arial" w:hAnsi="Arial" w:cs="Arial"/>
          <w:spacing w:val="6"/>
          <w:sz w:val="18"/>
          <w:szCs w:val="18"/>
          <w:highlight w:val="green"/>
        </w:rPr>
        <w:t xml:space="preserve"> </w:t>
      </w:r>
      <w:r w:rsidRPr="007F77FD">
        <w:rPr>
          <w:rFonts w:ascii="Arial" w:eastAsia="Arial" w:hAnsi="Arial" w:cs="Arial"/>
          <w:spacing w:val="-1"/>
          <w:sz w:val="18"/>
          <w:szCs w:val="18"/>
          <w:highlight w:val="green"/>
        </w:rPr>
        <w:t>(including</w:t>
      </w:r>
      <w:r w:rsidRPr="007F77FD">
        <w:rPr>
          <w:rFonts w:ascii="Arial" w:eastAsia="Arial" w:hAnsi="Arial" w:cs="Arial"/>
          <w:spacing w:val="5"/>
          <w:sz w:val="18"/>
          <w:szCs w:val="18"/>
          <w:highlight w:val="green"/>
        </w:rPr>
        <w:t xml:space="preserve"> </w:t>
      </w:r>
      <w:r w:rsidRPr="007F77FD">
        <w:rPr>
          <w:rFonts w:ascii="Arial" w:eastAsia="Arial" w:hAnsi="Arial" w:cs="Arial"/>
          <w:spacing w:val="-1"/>
          <w:sz w:val="18"/>
          <w:szCs w:val="18"/>
          <w:highlight w:val="green"/>
        </w:rPr>
        <w:t>postal</w:t>
      </w:r>
      <w:r w:rsidRPr="007F77FD">
        <w:rPr>
          <w:rFonts w:ascii="Arial" w:eastAsia="Arial" w:hAnsi="Arial" w:cs="Arial"/>
          <w:spacing w:val="6"/>
          <w:sz w:val="18"/>
          <w:szCs w:val="18"/>
          <w:highlight w:val="green"/>
        </w:rPr>
        <w:t xml:space="preserve"> </w:t>
      </w:r>
      <w:r w:rsidRPr="007F77FD">
        <w:rPr>
          <w:rFonts w:ascii="Arial" w:eastAsia="Arial" w:hAnsi="Arial" w:cs="Arial"/>
          <w:sz w:val="18"/>
          <w:szCs w:val="18"/>
          <w:highlight w:val="green"/>
        </w:rPr>
        <w:t>and</w:t>
      </w:r>
      <w:r w:rsidRPr="007F77FD">
        <w:rPr>
          <w:rFonts w:ascii="Arial" w:eastAsia="Arial" w:hAnsi="Arial" w:cs="Arial"/>
          <w:spacing w:val="5"/>
          <w:sz w:val="18"/>
          <w:szCs w:val="18"/>
          <w:highlight w:val="green"/>
        </w:rPr>
        <w:t xml:space="preserve"> </w:t>
      </w:r>
      <w:r w:rsidRPr="007F77FD">
        <w:rPr>
          <w:rFonts w:ascii="Arial" w:eastAsia="Arial" w:hAnsi="Arial" w:cs="Arial"/>
          <w:spacing w:val="-1"/>
          <w:sz w:val="18"/>
          <w:szCs w:val="18"/>
          <w:highlight w:val="green"/>
        </w:rPr>
        <w:t>email</w:t>
      </w:r>
      <w:r w:rsidRPr="007F77FD">
        <w:rPr>
          <w:rFonts w:ascii="Arial" w:eastAsia="Arial" w:hAnsi="Arial" w:cs="Arial"/>
          <w:spacing w:val="6"/>
          <w:sz w:val="18"/>
          <w:szCs w:val="18"/>
          <w:highlight w:val="green"/>
        </w:rPr>
        <w:t xml:space="preserve"> </w:t>
      </w:r>
      <w:r w:rsidRPr="007F77FD">
        <w:rPr>
          <w:rFonts w:ascii="Arial" w:eastAsia="Arial" w:hAnsi="Arial" w:cs="Arial"/>
          <w:spacing w:val="-1"/>
          <w:sz w:val="18"/>
          <w:szCs w:val="18"/>
          <w:highlight w:val="green"/>
        </w:rPr>
        <w:t>addresses</w:t>
      </w:r>
      <w:r w:rsidRPr="007F77FD">
        <w:rPr>
          <w:rFonts w:ascii="Arial" w:eastAsia="Arial" w:hAnsi="Arial" w:cs="Arial"/>
          <w:spacing w:val="3"/>
          <w:sz w:val="18"/>
          <w:szCs w:val="18"/>
          <w:highlight w:val="green"/>
        </w:rPr>
        <w:t xml:space="preserve"> </w:t>
      </w:r>
      <w:r w:rsidRPr="007F77FD">
        <w:rPr>
          <w:rFonts w:ascii="Arial" w:eastAsia="Arial" w:hAnsi="Arial" w:cs="Arial"/>
          <w:sz w:val="18"/>
          <w:szCs w:val="18"/>
          <w:highlight w:val="green"/>
        </w:rPr>
        <w:t>-</w:t>
      </w:r>
      <w:r w:rsidRPr="007F77FD">
        <w:rPr>
          <w:rFonts w:ascii="Arial" w:eastAsia="Arial" w:hAnsi="Arial" w:cs="Arial"/>
          <w:spacing w:val="5"/>
          <w:sz w:val="18"/>
          <w:szCs w:val="18"/>
          <w:highlight w:val="green"/>
        </w:rPr>
        <w:t xml:space="preserve"> </w:t>
      </w:r>
      <w:r w:rsidRPr="007F77FD">
        <w:rPr>
          <w:rFonts w:ascii="Arial" w:eastAsia="Arial" w:hAnsi="Arial" w:cs="Arial"/>
          <w:sz w:val="18"/>
          <w:szCs w:val="18"/>
          <w:highlight w:val="green"/>
        </w:rPr>
        <w:t>see</w:t>
      </w:r>
      <w:r w:rsidRPr="007F77FD">
        <w:rPr>
          <w:rFonts w:ascii="Arial" w:eastAsia="Arial" w:hAnsi="Arial" w:cs="Arial"/>
          <w:spacing w:val="5"/>
          <w:sz w:val="18"/>
          <w:szCs w:val="18"/>
          <w:highlight w:val="green"/>
        </w:rPr>
        <w:t xml:space="preserve"> </w:t>
      </w:r>
      <w:r w:rsidRPr="007F77FD">
        <w:rPr>
          <w:rFonts w:ascii="Arial" w:eastAsia="Arial" w:hAnsi="Arial" w:cs="Arial"/>
          <w:spacing w:val="-1"/>
          <w:sz w:val="18"/>
          <w:szCs w:val="18"/>
          <w:highlight w:val="green"/>
        </w:rPr>
        <w:t>Clause</w:t>
      </w:r>
      <w:r w:rsidRPr="007F77FD">
        <w:rPr>
          <w:rFonts w:ascii="Arial" w:eastAsia="Arial" w:hAnsi="Arial" w:cs="Arial"/>
          <w:spacing w:val="5"/>
          <w:sz w:val="18"/>
          <w:szCs w:val="18"/>
          <w:highlight w:val="green"/>
        </w:rPr>
        <w:t xml:space="preserve"> </w:t>
      </w:r>
      <w:hyperlink w:anchor="_bookmark278" w:history="1">
        <w:r w:rsidRPr="007F77FD">
          <w:rPr>
            <w:rFonts w:ascii="Arial" w:eastAsia="Arial" w:hAnsi="Arial" w:cs="Arial"/>
            <w:spacing w:val="-1"/>
            <w:sz w:val="18"/>
            <w:szCs w:val="18"/>
            <w:highlight w:val="green"/>
          </w:rPr>
          <w:t>55.6</w:t>
        </w:r>
      </w:hyperlink>
      <w:r w:rsidRPr="007F77FD">
        <w:rPr>
          <w:rFonts w:ascii="Arial" w:eastAsia="Arial" w:hAnsi="Arial" w:cs="Arial"/>
          <w:spacing w:val="5"/>
          <w:sz w:val="18"/>
          <w:szCs w:val="18"/>
          <w:highlight w:val="green"/>
        </w:rPr>
        <w:t xml:space="preserve"> </w:t>
      </w:r>
      <w:r w:rsidRPr="007F77FD">
        <w:rPr>
          <w:rFonts w:ascii="Arial" w:eastAsia="Arial" w:hAnsi="Arial" w:cs="Arial"/>
          <w:sz w:val="18"/>
          <w:szCs w:val="18"/>
          <w:highlight w:val="green"/>
        </w:rPr>
        <w:t>of</w:t>
      </w:r>
      <w:r w:rsidRPr="007F77FD">
        <w:rPr>
          <w:rFonts w:ascii="Arial" w:eastAsia="Arial" w:hAnsi="Arial" w:cs="Arial"/>
          <w:spacing w:val="97"/>
          <w:sz w:val="18"/>
          <w:szCs w:val="18"/>
          <w:highlight w:val="green"/>
        </w:rPr>
        <w:t xml:space="preserve"> </w:t>
      </w:r>
      <w:r w:rsidRPr="007F77FD">
        <w:rPr>
          <w:rFonts w:ascii="Arial" w:eastAsia="Arial" w:hAnsi="Arial" w:cs="Arial"/>
          <w:sz w:val="18"/>
          <w:szCs w:val="18"/>
          <w:highlight w:val="green"/>
        </w:rPr>
        <w:t>the</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Template</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Call</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Off</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Terms),</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details</w:t>
      </w:r>
      <w:r w:rsidRPr="007F77FD">
        <w:rPr>
          <w:rFonts w:ascii="Arial" w:eastAsia="Arial" w:hAnsi="Arial" w:cs="Arial"/>
          <w:spacing w:val="28"/>
          <w:sz w:val="18"/>
          <w:szCs w:val="18"/>
          <w:highlight w:val="green"/>
        </w:rPr>
        <w:t xml:space="preserve"> </w:t>
      </w:r>
      <w:r w:rsidRPr="007F77FD">
        <w:rPr>
          <w:rFonts w:ascii="Arial" w:eastAsia="Arial" w:hAnsi="Arial" w:cs="Arial"/>
          <w:sz w:val="18"/>
          <w:szCs w:val="18"/>
          <w:highlight w:val="green"/>
        </w:rPr>
        <w:t>of</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Supplier</w:t>
      </w:r>
      <w:r w:rsidRPr="007F77FD">
        <w:rPr>
          <w:rFonts w:ascii="Arial" w:eastAsia="Arial" w:hAnsi="Arial" w:cs="Arial"/>
          <w:spacing w:val="26"/>
          <w:sz w:val="18"/>
          <w:szCs w:val="18"/>
          <w:highlight w:val="green"/>
        </w:rPr>
        <w:t xml:space="preserve"> </w:t>
      </w:r>
      <w:r w:rsidRPr="007F77FD">
        <w:rPr>
          <w:rFonts w:ascii="Arial" w:eastAsia="Arial" w:hAnsi="Arial" w:cs="Arial"/>
          <w:spacing w:val="-1"/>
          <w:sz w:val="18"/>
          <w:szCs w:val="18"/>
          <w:highlight w:val="green"/>
        </w:rPr>
        <w:t>Representative</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(see</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Clause</w:t>
      </w:r>
      <w:r w:rsidRPr="007F77FD">
        <w:rPr>
          <w:rFonts w:ascii="Arial" w:eastAsia="Arial" w:hAnsi="Arial" w:cs="Arial"/>
          <w:spacing w:val="27"/>
          <w:sz w:val="18"/>
          <w:szCs w:val="18"/>
          <w:highlight w:val="green"/>
        </w:rPr>
        <w:t xml:space="preserve"> </w:t>
      </w:r>
      <w:hyperlink w:anchor="_bookmark113" w:history="1">
        <w:r w:rsidRPr="007F77FD">
          <w:rPr>
            <w:rFonts w:ascii="Arial" w:eastAsia="Arial" w:hAnsi="Arial" w:cs="Arial"/>
            <w:spacing w:val="-1"/>
            <w:sz w:val="18"/>
            <w:szCs w:val="18"/>
            <w:highlight w:val="green"/>
          </w:rPr>
          <w:t>20.2</w:t>
        </w:r>
      </w:hyperlink>
      <w:r w:rsidRPr="007F77FD">
        <w:rPr>
          <w:rFonts w:ascii="Arial" w:eastAsia="Arial" w:hAnsi="Arial" w:cs="Arial"/>
          <w:spacing w:val="27"/>
          <w:sz w:val="18"/>
          <w:szCs w:val="18"/>
          <w:highlight w:val="green"/>
        </w:rPr>
        <w:t xml:space="preserve"> </w:t>
      </w:r>
      <w:r w:rsidRPr="007F77FD">
        <w:rPr>
          <w:rFonts w:ascii="Arial" w:eastAsia="Arial" w:hAnsi="Arial" w:cs="Arial"/>
          <w:sz w:val="18"/>
          <w:szCs w:val="18"/>
          <w:highlight w:val="green"/>
        </w:rPr>
        <w:t>of</w:t>
      </w:r>
      <w:r w:rsidRPr="007F77FD">
        <w:rPr>
          <w:rFonts w:ascii="Arial" w:eastAsia="Arial" w:hAnsi="Arial" w:cs="Arial"/>
          <w:spacing w:val="24"/>
          <w:sz w:val="18"/>
          <w:szCs w:val="18"/>
          <w:highlight w:val="green"/>
        </w:rPr>
        <w:t xml:space="preserve"> </w:t>
      </w:r>
      <w:r w:rsidRPr="007F77FD">
        <w:rPr>
          <w:rFonts w:ascii="Arial" w:eastAsia="Arial" w:hAnsi="Arial" w:cs="Arial"/>
          <w:spacing w:val="-1"/>
          <w:sz w:val="18"/>
          <w:szCs w:val="18"/>
          <w:highlight w:val="green"/>
        </w:rPr>
        <w:t>the</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Template</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Call</w:t>
      </w:r>
      <w:r w:rsidRPr="007F77FD">
        <w:rPr>
          <w:rFonts w:ascii="Arial" w:eastAsia="Arial" w:hAnsi="Arial" w:cs="Arial"/>
          <w:spacing w:val="27"/>
          <w:sz w:val="18"/>
          <w:szCs w:val="18"/>
          <w:highlight w:val="green"/>
        </w:rPr>
        <w:t xml:space="preserve"> </w:t>
      </w:r>
      <w:r w:rsidRPr="007F77FD">
        <w:rPr>
          <w:rFonts w:ascii="Arial" w:eastAsia="Arial" w:hAnsi="Arial" w:cs="Arial"/>
          <w:spacing w:val="-1"/>
          <w:sz w:val="18"/>
          <w:szCs w:val="18"/>
          <w:highlight w:val="green"/>
        </w:rPr>
        <w:t>Off</w:t>
      </w:r>
      <w:r w:rsidRPr="007F77FD">
        <w:rPr>
          <w:rFonts w:ascii="Arial" w:eastAsia="Arial" w:hAnsi="Arial" w:cs="Arial"/>
          <w:spacing w:val="85"/>
          <w:sz w:val="18"/>
          <w:szCs w:val="18"/>
          <w:highlight w:val="green"/>
        </w:rPr>
        <w:t xml:space="preserve"> </w:t>
      </w:r>
      <w:r w:rsidRPr="007F77FD">
        <w:rPr>
          <w:rFonts w:ascii="Arial" w:eastAsia="Arial" w:hAnsi="Arial" w:cs="Arial"/>
          <w:sz w:val="18"/>
          <w:szCs w:val="18"/>
          <w:highlight w:val="green"/>
        </w:rPr>
        <w:t xml:space="preserve">Terms), </w:t>
      </w:r>
      <w:r w:rsidRPr="007F77FD">
        <w:rPr>
          <w:rFonts w:ascii="Arial" w:eastAsia="Arial" w:hAnsi="Arial" w:cs="Arial"/>
          <w:spacing w:val="-1"/>
          <w:sz w:val="18"/>
          <w:szCs w:val="18"/>
          <w:highlight w:val="green"/>
        </w:rPr>
        <w:t>Supplier’s account</w:t>
      </w:r>
      <w:r w:rsidRPr="007F77FD">
        <w:rPr>
          <w:rFonts w:ascii="Arial" w:eastAsia="Arial" w:hAnsi="Arial" w:cs="Arial"/>
          <w:spacing w:val="-2"/>
          <w:sz w:val="18"/>
          <w:szCs w:val="18"/>
          <w:highlight w:val="green"/>
        </w:rPr>
        <w:t xml:space="preserve"> </w:t>
      </w:r>
      <w:r w:rsidRPr="007F77FD">
        <w:rPr>
          <w:rFonts w:ascii="Arial" w:eastAsia="Arial" w:hAnsi="Arial" w:cs="Arial"/>
          <w:spacing w:val="-1"/>
          <w:sz w:val="18"/>
          <w:szCs w:val="18"/>
          <w:highlight w:val="green"/>
        </w:rPr>
        <w:t>manager</w:t>
      </w:r>
      <w:r w:rsidRPr="007F77FD">
        <w:rPr>
          <w:rFonts w:ascii="Arial" w:eastAsia="Arial" w:hAnsi="Arial" w:cs="Arial"/>
          <w:spacing w:val="-2"/>
          <w:sz w:val="18"/>
          <w:szCs w:val="18"/>
          <w:highlight w:val="green"/>
        </w:rPr>
        <w:t xml:space="preserve"> </w:t>
      </w:r>
      <w:r w:rsidRPr="007F77FD">
        <w:rPr>
          <w:rFonts w:ascii="Arial" w:eastAsia="Arial" w:hAnsi="Arial" w:cs="Arial"/>
          <w:spacing w:val="-1"/>
          <w:sz w:val="18"/>
          <w:szCs w:val="18"/>
          <w:highlight w:val="green"/>
        </w:rPr>
        <w:t>and/or</w:t>
      </w:r>
      <w:r w:rsidRPr="007F77FD">
        <w:rPr>
          <w:rFonts w:ascii="Arial" w:eastAsia="Arial" w:hAnsi="Arial" w:cs="Arial"/>
          <w:sz w:val="18"/>
          <w:szCs w:val="18"/>
          <w:highlight w:val="green"/>
        </w:rPr>
        <w:t xml:space="preserve"> </w:t>
      </w:r>
      <w:r w:rsidRPr="007F77FD">
        <w:rPr>
          <w:rFonts w:ascii="Arial" w:eastAsia="Arial" w:hAnsi="Arial" w:cs="Arial"/>
          <w:spacing w:val="-1"/>
          <w:sz w:val="18"/>
          <w:szCs w:val="18"/>
          <w:highlight w:val="green"/>
        </w:rPr>
        <w:t>other</w:t>
      </w:r>
      <w:r w:rsidRPr="007F77FD">
        <w:rPr>
          <w:rFonts w:ascii="Arial" w:eastAsia="Arial" w:hAnsi="Arial" w:cs="Arial"/>
          <w:sz w:val="18"/>
          <w:szCs w:val="18"/>
          <w:highlight w:val="green"/>
        </w:rPr>
        <w:t xml:space="preserve"> </w:t>
      </w:r>
      <w:r w:rsidRPr="007F77FD">
        <w:rPr>
          <w:rFonts w:ascii="Arial" w:eastAsia="Arial" w:hAnsi="Arial" w:cs="Arial"/>
          <w:spacing w:val="-1"/>
          <w:sz w:val="18"/>
          <w:szCs w:val="18"/>
          <w:highlight w:val="green"/>
        </w:rPr>
        <w:t>Supplier</w:t>
      </w:r>
      <w:r w:rsidRPr="007F77FD">
        <w:rPr>
          <w:rFonts w:ascii="Arial" w:eastAsia="Arial" w:hAnsi="Arial" w:cs="Arial"/>
          <w:sz w:val="18"/>
          <w:szCs w:val="18"/>
          <w:highlight w:val="green"/>
        </w:rPr>
        <w:t xml:space="preserve"> </w:t>
      </w:r>
      <w:r w:rsidRPr="007F77FD">
        <w:rPr>
          <w:rFonts w:ascii="Arial" w:eastAsia="Arial" w:hAnsi="Arial" w:cs="Arial"/>
          <w:spacing w:val="-1"/>
          <w:sz w:val="18"/>
          <w:szCs w:val="18"/>
          <w:highlight w:val="green"/>
        </w:rPr>
        <w:t>profile</w:t>
      </w:r>
      <w:r w:rsidRPr="007F77FD">
        <w:rPr>
          <w:rFonts w:ascii="Arial" w:eastAsia="Arial" w:hAnsi="Arial" w:cs="Arial"/>
          <w:spacing w:val="-2"/>
          <w:sz w:val="18"/>
          <w:szCs w:val="18"/>
          <w:highlight w:val="green"/>
        </w:rPr>
        <w:t xml:space="preserve"> </w:t>
      </w:r>
      <w:r w:rsidRPr="007F77FD">
        <w:rPr>
          <w:rFonts w:ascii="Arial" w:eastAsia="Arial" w:hAnsi="Arial" w:cs="Arial"/>
          <w:spacing w:val="-1"/>
          <w:sz w:val="18"/>
          <w:szCs w:val="18"/>
          <w:highlight w:val="green"/>
        </w:rPr>
        <w:t>information</w:t>
      </w:r>
      <w:r w:rsidRPr="007F77FD">
        <w:rPr>
          <w:rFonts w:ascii="Arial" w:eastAsia="Arial" w:hAnsi="Arial" w:cs="Arial"/>
          <w:spacing w:val="1"/>
          <w:sz w:val="18"/>
          <w:szCs w:val="18"/>
          <w:highlight w:val="green"/>
        </w:rPr>
        <w:t xml:space="preserve"> </w:t>
      </w:r>
      <w:r w:rsidRPr="007F77FD">
        <w:rPr>
          <w:rFonts w:ascii="Arial" w:eastAsia="Arial" w:hAnsi="Arial" w:cs="Arial"/>
          <w:sz w:val="18"/>
          <w:szCs w:val="18"/>
          <w:highlight w:val="green"/>
        </w:rPr>
        <w:t>as</w:t>
      </w:r>
      <w:r w:rsidRPr="007F77FD">
        <w:rPr>
          <w:rFonts w:ascii="Arial" w:eastAsia="Arial" w:hAnsi="Arial" w:cs="Arial"/>
          <w:spacing w:val="-1"/>
          <w:sz w:val="18"/>
          <w:szCs w:val="18"/>
          <w:highlight w:val="green"/>
        </w:rPr>
        <w:t xml:space="preserve"> appropriate]</w:t>
      </w:r>
    </w:p>
    <w:p w:rsidR="00B35CB9" w:rsidRPr="00B35CB9" w:rsidRDefault="00B35CB9" w:rsidP="007929F1">
      <w:pPr>
        <w:spacing w:before="23" w:line="206" w:lineRule="exact"/>
        <w:ind w:left="261"/>
        <w:jc w:val="both"/>
        <w:rPr>
          <w:rFonts w:ascii="Arial" w:eastAsia="Arial" w:hAnsi="Arial" w:cs="Arial"/>
          <w:sz w:val="18"/>
          <w:szCs w:val="18"/>
          <w:highlight w:val="green"/>
        </w:rPr>
      </w:pPr>
      <w:r w:rsidRPr="00B35CB9">
        <w:rPr>
          <w:rFonts w:ascii="Arial"/>
          <w:position w:val="9"/>
          <w:sz w:val="12"/>
          <w:highlight w:val="green"/>
        </w:rPr>
        <w:t>4</w:t>
      </w:r>
      <w:r w:rsidRPr="00B35CB9">
        <w:rPr>
          <w:rFonts w:ascii="Arial"/>
          <w:spacing w:val="22"/>
          <w:position w:val="9"/>
          <w:sz w:val="12"/>
          <w:highlight w:val="green"/>
        </w:rPr>
        <w:t xml:space="preserve"> </w:t>
      </w:r>
      <w:r w:rsidRPr="00B35CB9">
        <w:rPr>
          <w:rFonts w:ascii="Arial"/>
          <w:spacing w:val="-1"/>
          <w:sz w:val="18"/>
          <w:highlight w:val="green"/>
        </w:rPr>
        <w:t>[Guidance</w:t>
      </w:r>
      <w:r w:rsidRPr="00B35CB9">
        <w:rPr>
          <w:rFonts w:ascii="Arial"/>
          <w:spacing w:val="5"/>
          <w:sz w:val="18"/>
          <w:highlight w:val="green"/>
        </w:rPr>
        <w:t xml:space="preserve"> </w:t>
      </w:r>
      <w:r w:rsidRPr="00B35CB9">
        <w:rPr>
          <w:rFonts w:ascii="Arial"/>
          <w:spacing w:val="-1"/>
          <w:sz w:val="18"/>
          <w:highlight w:val="green"/>
        </w:rPr>
        <w:t>Note:</w:t>
      </w:r>
      <w:r w:rsidRPr="00B35CB9">
        <w:rPr>
          <w:rFonts w:ascii="Arial"/>
          <w:spacing w:val="5"/>
          <w:sz w:val="18"/>
          <w:highlight w:val="green"/>
        </w:rPr>
        <w:t xml:space="preserve"> </w:t>
      </w:r>
      <w:r w:rsidRPr="00B35CB9">
        <w:rPr>
          <w:rFonts w:ascii="Arial"/>
          <w:spacing w:val="-1"/>
          <w:sz w:val="18"/>
          <w:highlight w:val="green"/>
        </w:rPr>
        <w:t>Insert</w:t>
      </w:r>
      <w:r w:rsidRPr="00B35CB9">
        <w:rPr>
          <w:rFonts w:ascii="Arial"/>
          <w:spacing w:val="5"/>
          <w:sz w:val="18"/>
          <w:highlight w:val="green"/>
        </w:rPr>
        <w:t xml:space="preserve"> </w:t>
      </w:r>
      <w:r w:rsidRPr="00B35CB9">
        <w:rPr>
          <w:rFonts w:ascii="Arial"/>
          <w:spacing w:val="-1"/>
          <w:sz w:val="18"/>
          <w:highlight w:val="green"/>
        </w:rPr>
        <w:t>the</w:t>
      </w:r>
      <w:r w:rsidRPr="00B35CB9">
        <w:rPr>
          <w:rFonts w:ascii="Arial"/>
          <w:spacing w:val="5"/>
          <w:sz w:val="18"/>
          <w:highlight w:val="green"/>
        </w:rPr>
        <w:t xml:space="preserve"> </w:t>
      </w:r>
      <w:r w:rsidRPr="00B35CB9">
        <w:rPr>
          <w:rFonts w:ascii="Arial"/>
          <w:spacing w:val="-1"/>
          <w:sz w:val="18"/>
          <w:highlight w:val="green"/>
        </w:rPr>
        <w:t>commencement</w:t>
      </w:r>
      <w:r w:rsidRPr="00B35CB9">
        <w:rPr>
          <w:rFonts w:ascii="Arial"/>
          <w:spacing w:val="5"/>
          <w:sz w:val="18"/>
          <w:highlight w:val="green"/>
        </w:rPr>
        <w:t xml:space="preserve"> </w:t>
      </w:r>
      <w:r w:rsidRPr="00B35CB9">
        <w:rPr>
          <w:rFonts w:ascii="Arial"/>
          <w:sz w:val="18"/>
          <w:highlight w:val="green"/>
        </w:rPr>
        <w:t>date</w:t>
      </w:r>
      <w:r w:rsidRPr="00B35CB9">
        <w:rPr>
          <w:rFonts w:ascii="Arial"/>
          <w:spacing w:val="5"/>
          <w:sz w:val="18"/>
          <w:highlight w:val="green"/>
        </w:rPr>
        <w:t xml:space="preserve"> </w:t>
      </w:r>
      <w:r w:rsidRPr="00B35CB9">
        <w:rPr>
          <w:rFonts w:ascii="Arial"/>
          <w:sz w:val="18"/>
          <w:highlight w:val="green"/>
        </w:rPr>
        <w:t>for</w:t>
      </w:r>
      <w:r w:rsidRPr="00B35CB9">
        <w:rPr>
          <w:rFonts w:ascii="Arial"/>
          <w:spacing w:val="5"/>
          <w:sz w:val="18"/>
          <w:highlight w:val="green"/>
        </w:rPr>
        <w:t xml:space="preserve"> </w:t>
      </w:r>
      <w:r w:rsidRPr="00B35CB9">
        <w:rPr>
          <w:rFonts w:ascii="Arial"/>
          <w:spacing w:val="-1"/>
          <w:sz w:val="18"/>
          <w:highlight w:val="green"/>
        </w:rPr>
        <w:t>this</w:t>
      </w:r>
      <w:r w:rsidRPr="00B35CB9">
        <w:rPr>
          <w:rFonts w:ascii="Arial"/>
          <w:spacing w:val="6"/>
          <w:sz w:val="18"/>
          <w:highlight w:val="green"/>
        </w:rPr>
        <w:t xml:space="preserve"> </w:t>
      </w:r>
      <w:r w:rsidRPr="00B35CB9">
        <w:rPr>
          <w:rFonts w:ascii="Arial"/>
          <w:spacing w:val="-2"/>
          <w:sz w:val="18"/>
          <w:highlight w:val="green"/>
        </w:rPr>
        <w:t>Call</w:t>
      </w:r>
      <w:r w:rsidRPr="00B35CB9">
        <w:rPr>
          <w:rFonts w:ascii="Arial"/>
          <w:spacing w:val="6"/>
          <w:sz w:val="18"/>
          <w:highlight w:val="green"/>
        </w:rPr>
        <w:t xml:space="preserve"> </w:t>
      </w:r>
      <w:r w:rsidRPr="00B35CB9">
        <w:rPr>
          <w:rFonts w:ascii="Arial"/>
          <w:spacing w:val="-1"/>
          <w:sz w:val="18"/>
          <w:highlight w:val="green"/>
        </w:rPr>
        <w:t>Off</w:t>
      </w:r>
      <w:r w:rsidRPr="00B35CB9">
        <w:rPr>
          <w:rFonts w:ascii="Arial"/>
          <w:spacing w:val="5"/>
          <w:sz w:val="18"/>
          <w:highlight w:val="green"/>
        </w:rPr>
        <w:t xml:space="preserve"> </w:t>
      </w:r>
      <w:r w:rsidRPr="00B35CB9">
        <w:rPr>
          <w:rFonts w:ascii="Arial"/>
          <w:sz w:val="18"/>
          <w:highlight w:val="green"/>
        </w:rPr>
        <w:t>Contract.</w:t>
      </w:r>
      <w:r w:rsidRPr="00B35CB9">
        <w:rPr>
          <w:rFonts w:ascii="Arial"/>
          <w:spacing w:val="5"/>
          <w:sz w:val="18"/>
          <w:highlight w:val="green"/>
        </w:rPr>
        <w:t xml:space="preserve"> </w:t>
      </w:r>
      <w:r w:rsidRPr="00B35CB9">
        <w:rPr>
          <w:rFonts w:ascii="Arial"/>
          <w:sz w:val="18"/>
          <w:highlight w:val="green"/>
        </w:rPr>
        <w:t>It</w:t>
      </w:r>
      <w:r w:rsidRPr="00B35CB9">
        <w:rPr>
          <w:rFonts w:ascii="Arial"/>
          <w:spacing w:val="5"/>
          <w:sz w:val="18"/>
          <w:highlight w:val="green"/>
        </w:rPr>
        <w:t xml:space="preserve"> </w:t>
      </w:r>
      <w:r w:rsidRPr="00B35CB9">
        <w:rPr>
          <w:rFonts w:ascii="Arial"/>
          <w:spacing w:val="-1"/>
          <w:sz w:val="18"/>
          <w:highlight w:val="green"/>
        </w:rPr>
        <w:t>is</w:t>
      </w:r>
      <w:r w:rsidRPr="00B35CB9">
        <w:rPr>
          <w:rFonts w:ascii="Arial"/>
          <w:spacing w:val="6"/>
          <w:sz w:val="18"/>
          <w:highlight w:val="green"/>
        </w:rPr>
        <w:t xml:space="preserve"> </w:t>
      </w:r>
      <w:r w:rsidRPr="00B35CB9">
        <w:rPr>
          <w:rFonts w:ascii="Arial"/>
          <w:spacing w:val="-1"/>
          <w:sz w:val="18"/>
          <w:highlight w:val="green"/>
        </w:rPr>
        <w:t>strongly</w:t>
      </w:r>
      <w:r w:rsidRPr="00B35CB9">
        <w:rPr>
          <w:rFonts w:ascii="Arial"/>
          <w:spacing w:val="3"/>
          <w:sz w:val="18"/>
          <w:highlight w:val="green"/>
        </w:rPr>
        <w:t xml:space="preserve"> </w:t>
      </w:r>
      <w:r w:rsidRPr="00B35CB9">
        <w:rPr>
          <w:rFonts w:ascii="Arial"/>
          <w:spacing w:val="-1"/>
          <w:sz w:val="18"/>
          <w:highlight w:val="green"/>
        </w:rPr>
        <w:t>advisable</w:t>
      </w:r>
      <w:r w:rsidRPr="00B35CB9">
        <w:rPr>
          <w:rFonts w:ascii="Arial"/>
          <w:spacing w:val="5"/>
          <w:sz w:val="18"/>
          <w:highlight w:val="green"/>
        </w:rPr>
        <w:t xml:space="preserve"> </w:t>
      </w:r>
      <w:r w:rsidRPr="00B35CB9">
        <w:rPr>
          <w:rFonts w:ascii="Arial"/>
          <w:sz w:val="18"/>
          <w:highlight w:val="green"/>
        </w:rPr>
        <w:t>that</w:t>
      </w:r>
      <w:r w:rsidRPr="00B35CB9">
        <w:rPr>
          <w:rFonts w:ascii="Arial"/>
          <w:spacing w:val="5"/>
          <w:sz w:val="18"/>
          <w:highlight w:val="green"/>
        </w:rPr>
        <w:t xml:space="preserve"> </w:t>
      </w:r>
      <w:r w:rsidRPr="00B35CB9">
        <w:rPr>
          <w:rFonts w:ascii="Arial"/>
          <w:spacing w:val="-1"/>
          <w:sz w:val="18"/>
          <w:highlight w:val="green"/>
        </w:rPr>
        <w:t>the</w:t>
      </w:r>
      <w:r w:rsidRPr="00B35CB9">
        <w:rPr>
          <w:rFonts w:ascii="Arial"/>
          <w:spacing w:val="5"/>
          <w:sz w:val="18"/>
          <w:highlight w:val="green"/>
        </w:rPr>
        <w:t xml:space="preserve"> </w:t>
      </w:r>
      <w:r w:rsidRPr="00B35CB9">
        <w:rPr>
          <w:rFonts w:ascii="Arial"/>
          <w:spacing w:val="-1"/>
          <w:sz w:val="18"/>
          <w:highlight w:val="green"/>
        </w:rPr>
        <w:t>Call</w:t>
      </w:r>
      <w:r w:rsidRPr="00B35CB9">
        <w:rPr>
          <w:rFonts w:ascii="Arial"/>
          <w:spacing w:val="93"/>
          <w:sz w:val="18"/>
          <w:highlight w:val="green"/>
        </w:rPr>
        <w:t xml:space="preserve"> </w:t>
      </w:r>
      <w:r w:rsidRPr="00B35CB9">
        <w:rPr>
          <w:rFonts w:ascii="Arial"/>
          <w:spacing w:val="-1"/>
          <w:sz w:val="18"/>
          <w:highlight w:val="green"/>
        </w:rPr>
        <w:t>Off</w:t>
      </w:r>
      <w:r w:rsidRPr="00B35CB9">
        <w:rPr>
          <w:rFonts w:ascii="Arial"/>
          <w:spacing w:val="5"/>
          <w:sz w:val="18"/>
          <w:highlight w:val="green"/>
        </w:rPr>
        <w:t xml:space="preserve"> </w:t>
      </w:r>
      <w:r w:rsidRPr="00B35CB9">
        <w:rPr>
          <w:rFonts w:ascii="Arial"/>
          <w:spacing w:val="-1"/>
          <w:sz w:val="18"/>
          <w:highlight w:val="green"/>
        </w:rPr>
        <w:t>Commencement</w:t>
      </w:r>
      <w:r w:rsidRPr="00B35CB9">
        <w:rPr>
          <w:rFonts w:ascii="Arial"/>
          <w:spacing w:val="3"/>
          <w:sz w:val="18"/>
          <w:highlight w:val="green"/>
        </w:rPr>
        <w:t xml:space="preserve"> </w:t>
      </w:r>
      <w:r w:rsidRPr="00B35CB9">
        <w:rPr>
          <w:rFonts w:ascii="Arial"/>
          <w:spacing w:val="-1"/>
          <w:sz w:val="18"/>
          <w:highlight w:val="green"/>
        </w:rPr>
        <w:t>Date</w:t>
      </w:r>
      <w:r w:rsidRPr="00B35CB9">
        <w:rPr>
          <w:rFonts w:ascii="Arial"/>
          <w:spacing w:val="3"/>
          <w:sz w:val="18"/>
          <w:highlight w:val="green"/>
        </w:rPr>
        <w:t xml:space="preserve"> </w:t>
      </w:r>
      <w:r w:rsidRPr="00B35CB9">
        <w:rPr>
          <w:rFonts w:ascii="Arial"/>
          <w:spacing w:val="-1"/>
          <w:sz w:val="18"/>
          <w:highlight w:val="green"/>
        </w:rPr>
        <w:t>should</w:t>
      </w:r>
      <w:r w:rsidRPr="00B35CB9">
        <w:rPr>
          <w:rFonts w:ascii="Arial"/>
          <w:spacing w:val="3"/>
          <w:sz w:val="18"/>
          <w:highlight w:val="green"/>
        </w:rPr>
        <w:t xml:space="preserve"> </w:t>
      </w:r>
      <w:r w:rsidRPr="00B35CB9">
        <w:rPr>
          <w:rFonts w:ascii="Arial"/>
          <w:spacing w:val="-1"/>
          <w:sz w:val="18"/>
          <w:highlight w:val="green"/>
        </w:rPr>
        <w:t>coincide</w:t>
      </w:r>
      <w:r w:rsidRPr="00B35CB9">
        <w:rPr>
          <w:rFonts w:ascii="Arial"/>
          <w:spacing w:val="3"/>
          <w:sz w:val="18"/>
          <w:highlight w:val="green"/>
        </w:rPr>
        <w:t xml:space="preserve"> </w:t>
      </w:r>
      <w:r w:rsidRPr="00B35CB9">
        <w:rPr>
          <w:rFonts w:ascii="Arial"/>
          <w:spacing w:val="-1"/>
          <w:sz w:val="18"/>
          <w:highlight w:val="green"/>
        </w:rPr>
        <w:t>with</w:t>
      </w:r>
      <w:r w:rsidRPr="00B35CB9">
        <w:rPr>
          <w:rFonts w:ascii="Arial"/>
          <w:spacing w:val="5"/>
          <w:sz w:val="18"/>
          <w:highlight w:val="green"/>
        </w:rPr>
        <w:t xml:space="preserve"> </w:t>
      </w:r>
      <w:r w:rsidRPr="00B35CB9">
        <w:rPr>
          <w:rFonts w:ascii="Arial"/>
          <w:spacing w:val="-1"/>
          <w:sz w:val="18"/>
          <w:highlight w:val="green"/>
        </w:rPr>
        <w:t>the</w:t>
      </w:r>
      <w:r w:rsidRPr="00B35CB9">
        <w:rPr>
          <w:rFonts w:ascii="Arial"/>
          <w:spacing w:val="5"/>
          <w:sz w:val="18"/>
          <w:highlight w:val="green"/>
        </w:rPr>
        <w:t xml:space="preserve"> </w:t>
      </w:r>
      <w:r w:rsidRPr="00B35CB9">
        <w:rPr>
          <w:rFonts w:ascii="Arial"/>
          <w:spacing w:val="-1"/>
          <w:sz w:val="18"/>
          <w:highlight w:val="green"/>
        </w:rPr>
        <w:t>formation</w:t>
      </w:r>
      <w:r w:rsidRPr="00B35CB9">
        <w:rPr>
          <w:rFonts w:ascii="Arial"/>
          <w:spacing w:val="3"/>
          <w:sz w:val="18"/>
          <w:highlight w:val="green"/>
        </w:rPr>
        <w:t xml:space="preserve"> </w:t>
      </w:r>
      <w:r w:rsidRPr="00B35CB9">
        <w:rPr>
          <w:rFonts w:ascii="Arial"/>
          <w:sz w:val="18"/>
          <w:highlight w:val="green"/>
        </w:rPr>
        <w:t>of</w:t>
      </w:r>
      <w:r w:rsidRPr="00B35CB9">
        <w:rPr>
          <w:rFonts w:ascii="Arial"/>
          <w:spacing w:val="3"/>
          <w:sz w:val="18"/>
          <w:highlight w:val="green"/>
        </w:rPr>
        <w:t xml:space="preserve"> </w:t>
      </w:r>
      <w:r w:rsidRPr="00B35CB9">
        <w:rPr>
          <w:rFonts w:ascii="Arial"/>
          <w:sz w:val="18"/>
          <w:highlight w:val="green"/>
        </w:rPr>
        <w:t>the</w:t>
      </w:r>
      <w:r w:rsidRPr="00B35CB9">
        <w:rPr>
          <w:rFonts w:ascii="Arial"/>
          <w:spacing w:val="3"/>
          <w:sz w:val="18"/>
          <w:highlight w:val="green"/>
        </w:rPr>
        <w:t xml:space="preserve"> </w:t>
      </w:r>
      <w:r w:rsidRPr="00B35CB9">
        <w:rPr>
          <w:rFonts w:ascii="Arial"/>
          <w:spacing w:val="-1"/>
          <w:sz w:val="18"/>
          <w:highlight w:val="green"/>
        </w:rPr>
        <w:t>Call</w:t>
      </w:r>
      <w:r w:rsidRPr="00B35CB9">
        <w:rPr>
          <w:rFonts w:ascii="Arial"/>
          <w:spacing w:val="3"/>
          <w:sz w:val="18"/>
          <w:highlight w:val="green"/>
        </w:rPr>
        <w:t xml:space="preserve"> </w:t>
      </w:r>
      <w:r w:rsidRPr="00B35CB9">
        <w:rPr>
          <w:rFonts w:ascii="Arial"/>
          <w:spacing w:val="-1"/>
          <w:sz w:val="18"/>
          <w:highlight w:val="green"/>
        </w:rPr>
        <w:t>Off</w:t>
      </w:r>
      <w:r w:rsidRPr="00B35CB9">
        <w:rPr>
          <w:rFonts w:ascii="Arial"/>
          <w:spacing w:val="5"/>
          <w:sz w:val="18"/>
          <w:highlight w:val="green"/>
        </w:rPr>
        <w:t xml:space="preserve"> </w:t>
      </w:r>
      <w:r w:rsidRPr="00B35CB9">
        <w:rPr>
          <w:rFonts w:ascii="Arial"/>
          <w:spacing w:val="-1"/>
          <w:sz w:val="18"/>
          <w:highlight w:val="green"/>
        </w:rPr>
        <w:t>Contract</w:t>
      </w:r>
      <w:r w:rsidRPr="00B35CB9">
        <w:rPr>
          <w:rFonts w:ascii="Arial"/>
          <w:spacing w:val="3"/>
          <w:sz w:val="18"/>
          <w:highlight w:val="green"/>
        </w:rPr>
        <w:t xml:space="preserve"> </w:t>
      </w:r>
      <w:r w:rsidRPr="00B35CB9">
        <w:rPr>
          <w:rFonts w:ascii="Arial"/>
          <w:sz w:val="18"/>
          <w:highlight w:val="green"/>
        </w:rPr>
        <w:t>in</w:t>
      </w:r>
      <w:r w:rsidRPr="00B35CB9">
        <w:rPr>
          <w:rFonts w:ascii="Arial"/>
          <w:spacing w:val="3"/>
          <w:sz w:val="18"/>
          <w:highlight w:val="green"/>
        </w:rPr>
        <w:t xml:space="preserve"> </w:t>
      </w:r>
      <w:r w:rsidRPr="00B35CB9">
        <w:rPr>
          <w:rFonts w:ascii="Arial"/>
          <w:spacing w:val="-1"/>
          <w:sz w:val="18"/>
          <w:highlight w:val="green"/>
        </w:rPr>
        <w:t>accordance</w:t>
      </w:r>
      <w:r w:rsidRPr="00B35CB9">
        <w:rPr>
          <w:rFonts w:ascii="Arial"/>
          <w:spacing w:val="5"/>
          <w:sz w:val="18"/>
          <w:highlight w:val="green"/>
        </w:rPr>
        <w:t xml:space="preserve"> </w:t>
      </w:r>
      <w:r w:rsidRPr="00B35CB9">
        <w:rPr>
          <w:rFonts w:ascii="Arial"/>
          <w:spacing w:val="-2"/>
          <w:sz w:val="18"/>
          <w:highlight w:val="green"/>
        </w:rPr>
        <w:t>with</w:t>
      </w:r>
      <w:r w:rsidRPr="00B35CB9">
        <w:rPr>
          <w:rFonts w:ascii="Arial"/>
          <w:spacing w:val="3"/>
          <w:sz w:val="18"/>
          <w:highlight w:val="green"/>
        </w:rPr>
        <w:t xml:space="preserve"> </w:t>
      </w:r>
      <w:r w:rsidRPr="00B35CB9">
        <w:rPr>
          <w:rFonts w:ascii="Arial"/>
          <w:spacing w:val="-1"/>
          <w:sz w:val="18"/>
          <w:highlight w:val="green"/>
        </w:rPr>
        <w:t>section</w:t>
      </w:r>
      <w:r w:rsidRPr="00B35CB9">
        <w:rPr>
          <w:rFonts w:ascii="Arial"/>
          <w:spacing w:val="101"/>
          <w:sz w:val="18"/>
          <w:highlight w:val="green"/>
        </w:rPr>
        <w:t xml:space="preserve"> </w:t>
      </w:r>
      <w:r w:rsidRPr="00B35CB9">
        <w:rPr>
          <w:rFonts w:ascii="Arial"/>
          <w:sz w:val="18"/>
          <w:highlight w:val="green"/>
        </w:rPr>
        <w:t>8</w:t>
      </w:r>
      <w:r w:rsidRPr="00B35CB9">
        <w:rPr>
          <w:rFonts w:ascii="Arial"/>
          <w:spacing w:val="32"/>
          <w:sz w:val="18"/>
          <w:highlight w:val="green"/>
        </w:rPr>
        <w:t xml:space="preserve"> </w:t>
      </w:r>
      <w:r w:rsidRPr="00B35CB9">
        <w:rPr>
          <w:rFonts w:ascii="Arial"/>
          <w:sz w:val="18"/>
          <w:highlight w:val="green"/>
        </w:rPr>
        <w:t>of</w:t>
      </w:r>
      <w:r w:rsidRPr="00B35CB9">
        <w:rPr>
          <w:rFonts w:ascii="Arial"/>
          <w:spacing w:val="29"/>
          <w:sz w:val="18"/>
          <w:highlight w:val="green"/>
        </w:rPr>
        <w:t xml:space="preserve"> </w:t>
      </w:r>
      <w:r w:rsidRPr="00B35CB9">
        <w:rPr>
          <w:rFonts w:ascii="Arial"/>
          <w:sz w:val="18"/>
          <w:highlight w:val="green"/>
        </w:rPr>
        <w:t>the</w:t>
      </w:r>
      <w:r w:rsidRPr="00B35CB9">
        <w:rPr>
          <w:rFonts w:ascii="Arial"/>
          <w:spacing w:val="32"/>
          <w:sz w:val="18"/>
          <w:highlight w:val="green"/>
        </w:rPr>
        <w:t xml:space="preserve"> </w:t>
      </w:r>
      <w:r w:rsidRPr="00B35CB9">
        <w:rPr>
          <w:rFonts w:ascii="Arial"/>
          <w:spacing w:val="-1"/>
          <w:sz w:val="18"/>
          <w:highlight w:val="green"/>
        </w:rPr>
        <w:t>Order</w:t>
      </w:r>
      <w:r w:rsidRPr="00B35CB9">
        <w:rPr>
          <w:rFonts w:ascii="Arial"/>
          <w:spacing w:val="31"/>
          <w:sz w:val="18"/>
          <w:highlight w:val="green"/>
        </w:rPr>
        <w:t xml:space="preserve"> </w:t>
      </w:r>
      <w:r w:rsidRPr="00B35CB9">
        <w:rPr>
          <w:rFonts w:ascii="Arial"/>
          <w:spacing w:val="-1"/>
          <w:sz w:val="18"/>
          <w:highlight w:val="green"/>
        </w:rPr>
        <w:t>Form.</w:t>
      </w:r>
      <w:r w:rsidRPr="00B35CB9">
        <w:rPr>
          <w:rFonts w:ascii="Arial"/>
          <w:spacing w:val="29"/>
          <w:sz w:val="18"/>
          <w:highlight w:val="green"/>
        </w:rPr>
        <w:t xml:space="preserve"> </w:t>
      </w:r>
      <w:r w:rsidRPr="00B35CB9">
        <w:rPr>
          <w:rFonts w:ascii="Arial"/>
          <w:sz w:val="18"/>
          <w:highlight w:val="green"/>
        </w:rPr>
        <w:t>For</w:t>
      </w:r>
      <w:r w:rsidRPr="00B35CB9">
        <w:rPr>
          <w:rFonts w:ascii="Arial"/>
          <w:spacing w:val="31"/>
          <w:sz w:val="18"/>
          <w:highlight w:val="green"/>
        </w:rPr>
        <w:t xml:space="preserve"> </w:t>
      </w:r>
      <w:r w:rsidRPr="00B35CB9">
        <w:rPr>
          <w:rFonts w:ascii="Arial"/>
          <w:spacing w:val="-1"/>
          <w:sz w:val="18"/>
          <w:highlight w:val="green"/>
        </w:rPr>
        <w:t>the</w:t>
      </w:r>
      <w:r w:rsidRPr="00B35CB9">
        <w:rPr>
          <w:rFonts w:ascii="Arial"/>
          <w:spacing w:val="29"/>
          <w:sz w:val="18"/>
          <w:highlight w:val="green"/>
        </w:rPr>
        <w:t xml:space="preserve"> </w:t>
      </w:r>
      <w:r w:rsidRPr="00B35CB9">
        <w:rPr>
          <w:rFonts w:ascii="Arial"/>
          <w:spacing w:val="-1"/>
          <w:sz w:val="18"/>
          <w:highlight w:val="green"/>
        </w:rPr>
        <w:t>avoidance</w:t>
      </w:r>
      <w:r w:rsidRPr="00B35CB9">
        <w:rPr>
          <w:rFonts w:ascii="Arial"/>
          <w:spacing w:val="29"/>
          <w:sz w:val="18"/>
          <w:highlight w:val="green"/>
        </w:rPr>
        <w:t xml:space="preserve"> </w:t>
      </w:r>
      <w:r w:rsidRPr="00B35CB9">
        <w:rPr>
          <w:rFonts w:ascii="Arial"/>
          <w:sz w:val="18"/>
          <w:highlight w:val="green"/>
        </w:rPr>
        <w:t>of</w:t>
      </w:r>
      <w:r w:rsidRPr="00B35CB9">
        <w:rPr>
          <w:rFonts w:ascii="Arial"/>
          <w:spacing w:val="29"/>
          <w:sz w:val="18"/>
          <w:highlight w:val="green"/>
        </w:rPr>
        <w:t xml:space="preserve"> </w:t>
      </w:r>
      <w:r w:rsidRPr="00B35CB9">
        <w:rPr>
          <w:rFonts w:ascii="Arial"/>
          <w:spacing w:val="-1"/>
          <w:sz w:val="18"/>
          <w:highlight w:val="green"/>
        </w:rPr>
        <w:t>doubt,</w:t>
      </w:r>
      <w:r w:rsidRPr="00B35CB9">
        <w:rPr>
          <w:rFonts w:ascii="Arial"/>
          <w:spacing w:val="31"/>
          <w:sz w:val="18"/>
          <w:highlight w:val="green"/>
        </w:rPr>
        <w:t xml:space="preserve"> </w:t>
      </w:r>
      <w:r w:rsidRPr="00B35CB9">
        <w:rPr>
          <w:rFonts w:ascii="Arial"/>
          <w:spacing w:val="-1"/>
          <w:sz w:val="18"/>
          <w:highlight w:val="green"/>
        </w:rPr>
        <w:t>the</w:t>
      </w:r>
      <w:r w:rsidRPr="00B35CB9">
        <w:rPr>
          <w:rFonts w:ascii="Arial"/>
          <w:spacing w:val="32"/>
          <w:sz w:val="18"/>
          <w:highlight w:val="green"/>
        </w:rPr>
        <w:t xml:space="preserve"> </w:t>
      </w:r>
      <w:r w:rsidRPr="00B35CB9">
        <w:rPr>
          <w:rFonts w:ascii="Arial"/>
          <w:spacing w:val="-1"/>
          <w:sz w:val="18"/>
          <w:highlight w:val="green"/>
        </w:rPr>
        <w:t>Customer</w:t>
      </w:r>
      <w:r w:rsidRPr="00B35CB9">
        <w:rPr>
          <w:rFonts w:ascii="Arial"/>
          <w:spacing w:val="29"/>
          <w:sz w:val="18"/>
          <w:highlight w:val="green"/>
        </w:rPr>
        <w:t xml:space="preserve"> </w:t>
      </w:r>
      <w:r w:rsidRPr="00B35CB9">
        <w:rPr>
          <w:rFonts w:ascii="Arial"/>
          <w:spacing w:val="-1"/>
          <w:sz w:val="18"/>
          <w:highlight w:val="green"/>
        </w:rPr>
        <w:t>can</w:t>
      </w:r>
      <w:r w:rsidRPr="00B35CB9">
        <w:rPr>
          <w:rFonts w:ascii="Arial"/>
          <w:spacing w:val="32"/>
          <w:sz w:val="18"/>
          <w:highlight w:val="green"/>
        </w:rPr>
        <w:t xml:space="preserve"> </w:t>
      </w:r>
      <w:r w:rsidRPr="00B35CB9">
        <w:rPr>
          <w:rFonts w:ascii="Arial"/>
          <w:spacing w:val="-1"/>
          <w:sz w:val="18"/>
          <w:highlight w:val="green"/>
        </w:rPr>
        <w:t>request</w:t>
      </w:r>
      <w:r w:rsidRPr="00B35CB9">
        <w:rPr>
          <w:rFonts w:ascii="Arial"/>
          <w:spacing w:val="31"/>
          <w:sz w:val="18"/>
          <w:highlight w:val="green"/>
        </w:rPr>
        <w:t xml:space="preserve"> </w:t>
      </w:r>
      <w:r w:rsidRPr="00B35CB9">
        <w:rPr>
          <w:rFonts w:ascii="Arial"/>
          <w:spacing w:val="-1"/>
          <w:sz w:val="18"/>
          <w:highlight w:val="green"/>
        </w:rPr>
        <w:t>that</w:t>
      </w:r>
      <w:r w:rsidRPr="00B35CB9">
        <w:rPr>
          <w:rFonts w:ascii="Arial"/>
          <w:spacing w:val="29"/>
          <w:sz w:val="18"/>
          <w:highlight w:val="green"/>
        </w:rPr>
        <w:t xml:space="preserve"> </w:t>
      </w:r>
      <w:r w:rsidRPr="00B35CB9">
        <w:rPr>
          <w:rFonts w:ascii="Arial"/>
          <w:spacing w:val="-1"/>
          <w:sz w:val="18"/>
          <w:highlight w:val="green"/>
        </w:rPr>
        <w:t>certain</w:t>
      </w:r>
      <w:r w:rsidRPr="00B35CB9">
        <w:rPr>
          <w:rFonts w:ascii="Arial"/>
          <w:spacing w:val="32"/>
          <w:sz w:val="18"/>
          <w:highlight w:val="green"/>
        </w:rPr>
        <w:t xml:space="preserve"> </w:t>
      </w:r>
      <w:r w:rsidRPr="00B35CB9">
        <w:rPr>
          <w:rFonts w:ascii="Arial"/>
          <w:spacing w:val="-1"/>
          <w:sz w:val="18"/>
          <w:highlight w:val="green"/>
        </w:rPr>
        <w:t>Deliverables</w:t>
      </w:r>
      <w:r w:rsidRPr="00B35CB9">
        <w:rPr>
          <w:rFonts w:ascii="Arial"/>
          <w:spacing w:val="32"/>
          <w:sz w:val="18"/>
          <w:highlight w:val="green"/>
        </w:rPr>
        <w:t xml:space="preserve"> </w:t>
      </w:r>
      <w:r w:rsidRPr="00B35CB9">
        <w:rPr>
          <w:rFonts w:ascii="Arial"/>
          <w:spacing w:val="-1"/>
          <w:sz w:val="18"/>
          <w:highlight w:val="green"/>
        </w:rPr>
        <w:t>(e.g.</w:t>
      </w:r>
      <w:r w:rsidRPr="00B35CB9">
        <w:rPr>
          <w:rFonts w:ascii="Arial"/>
          <w:spacing w:val="83"/>
          <w:sz w:val="18"/>
          <w:highlight w:val="green"/>
        </w:rPr>
        <w:t xml:space="preserve"> </w:t>
      </w:r>
      <w:r w:rsidRPr="00B35CB9">
        <w:rPr>
          <w:rFonts w:ascii="Arial"/>
          <w:spacing w:val="-1"/>
          <w:sz w:val="18"/>
          <w:highlight w:val="green"/>
        </w:rPr>
        <w:t>delivery</w:t>
      </w:r>
      <w:r w:rsidRPr="00B35CB9">
        <w:rPr>
          <w:rFonts w:ascii="Arial"/>
          <w:spacing w:val="11"/>
          <w:sz w:val="18"/>
          <w:highlight w:val="green"/>
        </w:rPr>
        <w:t xml:space="preserve"> </w:t>
      </w:r>
      <w:r w:rsidRPr="00B35CB9">
        <w:rPr>
          <w:rFonts w:ascii="Arial"/>
          <w:spacing w:val="-1"/>
          <w:sz w:val="18"/>
          <w:highlight w:val="green"/>
        </w:rPr>
        <w:t>times</w:t>
      </w:r>
      <w:r w:rsidRPr="00B35CB9">
        <w:rPr>
          <w:rFonts w:ascii="Arial"/>
          <w:spacing w:val="13"/>
          <w:sz w:val="18"/>
          <w:highlight w:val="green"/>
        </w:rPr>
        <w:t xml:space="preserve"> </w:t>
      </w:r>
      <w:r w:rsidRPr="00B35CB9">
        <w:rPr>
          <w:rFonts w:ascii="Arial"/>
          <w:sz w:val="18"/>
          <w:highlight w:val="green"/>
        </w:rPr>
        <w:t>of</w:t>
      </w:r>
      <w:r w:rsidRPr="00B35CB9">
        <w:rPr>
          <w:rFonts w:ascii="Arial"/>
          <w:spacing w:val="12"/>
          <w:sz w:val="18"/>
          <w:highlight w:val="green"/>
        </w:rPr>
        <w:t xml:space="preserve"> </w:t>
      </w:r>
      <w:r w:rsidRPr="00B35CB9">
        <w:rPr>
          <w:rFonts w:ascii="Arial"/>
          <w:spacing w:val="-1"/>
          <w:sz w:val="18"/>
          <w:highlight w:val="green"/>
        </w:rPr>
        <w:t>Goods</w:t>
      </w:r>
      <w:r w:rsidRPr="00B35CB9">
        <w:rPr>
          <w:rFonts w:ascii="Arial"/>
          <w:spacing w:val="11"/>
          <w:sz w:val="18"/>
          <w:highlight w:val="green"/>
        </w:rPr>
        <w:t xml:space="preserve"> </w:t>
      </w:r>
      <w:r w:rsidRPr="00B35CB9">
        <w:rPr>
          <w:rFonts w:ascii="Arial"/>
          <w:spacing w:val="-1"/>
          <w:sz w:val="18"/>
          <w:highlight w:val="green"/>
        </w:rPr>
        <w:t>and/or</w:t>
      </w:r>
      <w:r w:rsidRPr="00B35CB9">
        <w:rPr>
          <w:rFonts w:ascii="Arial"/>
          <w:spacing w:val="12"/>
          <w:sz w:val="18"/>
          <w:highlight w:val="green"/>
        </w:rPr>
        <w:t xml:space="preserve"> </w:t>
      </w:r>
      <w:r w:rsidRPr="00B35CB9">
        <w:rPr>
          <w:rFonts w:ascii="Arial"/>
          <w:spacing w:val="-1"/>
          <w:sz w:val="18"/>
          <w:highlight w:val="green"/>
        </w:rPr>
        <w:t>Services)</w:t>
      </w:r>
      <w:r w:rsidRPr="00B35CB9">
        <w:rPr>
          <w:rFonts w:ascii="Arial"/>
          <w:spacing w:val="12"/>
          <w:sz w:val="18"/>
          <w:highlight w:val="green"/>
        </w:rPr>
        <w:t xml:space="preserve"> </w:t>
      </w:r>
      <w:r w:rsidRPr="00B35CB9">
        <w:rPr>
          <w:rFonts w:ascii="Arial"/>
          <w:spacing w:val="-1"/>
          <w:sz w:val="18"/>
          <w:highlight w:val="green"/>
        </w:rPr>
        <w:t>take</w:t>
      </w:r>
      <w:r w:rsidRPr="00B35CB9">
        <w:rPr>
          <w:rFonts w:ascii="Arial"/>
          <w:spacing w:val="13"/>
          <w:sz w:val="18"/>
          <w:highlight w:val="green"/>
        </w:rPr>
        <w:t xml:space="preserve"> </w:t>
      </w:r>
      <w:r w:rsidRPr="00B35CB9">
        <w:rPr>
          <w:rFonts w:ascii="Arial"/>
          <w:spacing w:val="-1"/>
          <w:sz w:val="18"/>
          <w:highlight w:val="green"/>
        </w:rPr>
        <w:t>place</w:t>
      </w:r>
      <w:r w:rsidRPr="00B35CB9">
        <w:rPr>
          <w:rFonts w:ascii="Arial"/>
          <w:spacing w:val="13"/>
          <w:sz w:val="18"/>
          <w:highlight w:val="green"/>
        </w:rPr>
        <w:t xml:space="preserve"> </w:t>
      </w:r>
      <w:r w:rsidRPr="00B35CB9">
        <w:rPr>
          <w:rFonts w:ascii="Arial"/>
          <w:spacing w:val="-1"/>
          <w:sz w:val="18"/>
          <w:highlight w:val="green"/>
        </w:rPr>
        <w:t>on</w:t>
      </w:r>
      <w:r w:rsidRPr="00B35CB9">
        <w:rPr>
          <w:rFonts w:ascii="Arial"/>
          <w:spacing w:val="13"/>
          <w:sz w:val="18"/>
          <w:highlight w:val="green"/>
        </w:rPr>
        <w:t xml:space="preserve"> </w:t>
      </w:r>
      <w:r w:rsidRPr="00B35CB9">
        <w:rPr>
          <w:rFonts w:ascii="Arial"/>
          <w:spacing w:val="-1"/>
          <w:sz w:val="18"/>
          <w:highlight w:val="green"/>
        </w:rPr>
        <w:t>dates</w:t>
      </w:r>
      <w:r w:rsidRPr="00B35CB9">
        <w:rPr>
          <w:rFonts w:ascii="Arial"/>
          <w:spacing w:val="13"/>
          <w:sz w:val="18"/>
          <w:highlight w:val="green"/>
        </w:rPr>
        <w:t xml:space="preserve"> </w:t>
      </w:r>
      <w:r w:rsidRPr="00B35CB9">
        <w:rPr>
          <w:rFonts w:ascii="Arial"/>
          <w:spacing w:val="-1"/>
          <w:sz w:val="18"/>
          <w:highlight w:val="green"/>
        </w:rPr>
        <w:t>after</w:t>
      </w:r>
      <w:r w:rsidRPr="00B35CB9">
        <w:rPr>
          <w:rFonts w:ascii="Arial"/>
          <w:spacing w:val="12"/>
          <w:sz w:val="18"/>
          <w:highlight w:val="green"/>
        </w:rPr>
        <w:t xml:space="preserve"> </w:t>
      </w:r>
      <w:r w:rsidRPr="00B35CB9">
        <w:rPr>
          <w:rFonts w:ascii="Arial"/>
          <w:sz w:val="18"/>
          <w:highlight w:val="green"/>
        </w:rPr>
        <w:t>the</w:t>
      </w:r>
      <w:r w:rsidRPr="00B35CB9">
        <w:rPr>
          <w:rFonts w:ascii="Arial"/>
          <w:spacing w:val="10"/>
          <w:sz w:val="18"/>
          <w:highlight w:val="green"/>
        </w:rPr>
        <w:t xml:space="preserve"> </w:t>
      </w:r>
      <w:r w:rsidRPr="00B35CB9">
        <w:rPr>
          <w:rFonts w:ascii="Arial"/>
          <w:spacing w:val="-1"/>
          <w:sz w:val="18"/>
          <w:highlight w:val="green"/>
        </w:rPr>
        <w:t>Call</w:t>
      </w:r>
      <w:r w:rsidRPr="00B35CB9">
        <w:rPr>
          <w:rFonts w:ascii="Arial"/>
          <w:spacing w:val="10"/>
          <w:sz w:val="18"/>
          <w:highlight w:val="green"/>
        </w:rPr>
        <w:t xml:space="preserve"> </w:t>
      </w:r>
      <w:r w:rsidRPr="00B35CB9">
        <w:rPr>
          <w:rFonts w:ascii="Arial"/>
          <w:spacing w:val="-1"/>
          <w:sz w:val="18"/>
          <w:highlight w:val="green"/>
        </w:rPr>
        <w:t>Off</w:t>
      </w:r>
      <w:r w:rsidRPr="00B35CB9">
        <w:rPr>
          <w:rFonts w:ascii="Arial"/>
          <w:spacing w:val="12"/>
          <w:sz w:val="18"/>
          <w:highlight w:val="green"/>
        </w:rPr>
        <w:t xml:space="preserve"> </w:t>
      </w:r>
      <w:r w:rsidRPr="00B35CB9">
        <w:rPr>
          <w:rFonts w:ascii="Arial"/>
          <w:spacing w:val="-1"/>
          <w:sz w:val="18"/>
          <w:highlight w:val="green"/>
        </w:rPr>
        <w:t>Commencement</w:t>
      </w:r>
      <w:r w:rsidRPr="00B35CB9">
        <w:rPr>
          <w:rFonts w:ascii="Arial"/>
          <w:spacing w:val="12"/>
          <w:sz w:val="18"/>
          <w:highlight w:val="green"/>
        </w:rPr>
        <w:t xml:space="preserve"> </w:t>
      </w:r>
      <w:r w:rsidRPr="00B35CB9">
        <w:rPr>
          <w:rFonts w:ascii="Arial"/>
          <w:spacing w:val="-1"/>
          <w:sz w:val="18"/>
          <w:highlight w:val="green"/>
        </w:rPr>
        <w:t>Date</w:t>
      </w:r>
      <w:r w:rsidRPr="00B35CB9">
        <w:rPr>
          <w:rFonts w:ascii="Arial"/>
          <w:spacing w:val="10"/>
          <w:sz w:val="18"/>
          <w:highlight w:val="green"/>
        </w:rPr>
        <w:t xml:space="preserve"> </w:t>
      </w:r>
      <w:r w:rsidRPr="00B35CB9">
        <w:rPr>
          <w:rFonts w:ascii="Arial"/>
          <w:sz w:val="18"/>
          <w:highlight w:val="green"/>
        </w:rPr>
        <w:t>e.g.</w:t>
      </w:r>
      <w:r w:rsidRPr="00B35CB9">
        <w:rPr>
          <w:rFonts w:ascii="Arial"/>
          <w:spacing w:val="10"/>
          <w:sz w:val="18"/>
          <w:highlight w:val="green"/>
        </w:rPr>
        <w:t xml:space="preserve"> </w:t>
      </w:r>
      <w:r w:rsidRPr="00B35CB9">
        <w:rPr>
          <w:rFonts w:ascii="Arial"/>
          <w:spacing w:val="-1"/>
          <w:sz w:val="18"/>
          <w:highlight w:val="green"/>
        </w:rPr>
        <w:t>see</w:t>
      </w:r>
    </w:p>
    <w:p w:rsidR="00B35CB9" w:rsidRPr="00B35CB9" w:rsidRDefault="00B35CB9" w:rsidP="007929F1">
      <w:pPr>
        <w:spacing w:line="206" w:lineRule="exact"/>
        <w:ind w:firstLine="261"/>
        <w:jc w:val="both"/>
        <w:rPr>
          <w:rFonts w:ascii="Arial" w:eastAsia="Arial" w:hAnsi="Arial" w:cs="Arial"/>
          <w:sz w:val="18"/>
          <w:szCs w:val="18"/>
          <w:highlight w:val="green"/>
        </w:rPr>
      </w:pPr>
      <w:r w:rsidRPr="00B35CB9">
        <w:rPr>
          <w:rFonts w:ascii="Arial"/>
          <w:spacing w:val="-1"/>
          <w:sz w:val="18"/>
          <w:highlight w:val="green"/>
        </w:rPr>
        <w:t>Clause</w:t>
      </w:r>
      <w:r w:rsidRPr="00B35CB9">
        <w:rPr>
          <w:rFonts w:ascii="Arial"/>
          <w:spacing w:val="1"/>
          <w:sz w:val="18"/>
          <w:highlight w:val="green"/>
        </w:rPr>
        <w:t xml:space="preserve"> </w:t>
      </w:r>
      <w:r w:rsidRPr="00B35CB9">
        <w:rPr>
          <w:rFonts w:ascii="Arial"/>
          <w:sz w:val="18"/>
          <w:highlight w:val="green"/>
        </w:rPr>
        <w:t>8.2</w:t>
      </w:r>
      <w:r w:rsidRPr="00B35CB9">
        <w:rPr>
          <w:rFonts w:ascii="Arial"/>
          <w:spacing w:val="-2"/>
          <w:sz w:val="18"/>
          <w:highlight w:val="green"/>
        </w:rPr>
        <w:t xml:space="preserve"> </w:t>
      </w:r>
      <w:r w:rsidRPr="00B35CB9">
        <w:rPr>
          <w:rFonts w:ascii="Arial"/>
          <w:sz w:val="18"/>
          <w:highlight w:val="green"/>
        </w:rPr>
        <w:t xml:space="preserve">of </w:t>
      </w:r>
      <w:r w:rsidRPr="00B35CB9">
        <w:rPr>
          <w:rFonts w:ascii="Arial"/>
          <w:spacing w:val="-1"/>
          <w:sz w:val="18"/>
          <w:highlight w:val="green"/>
        </w:rPr>
        <w:t>the</w:t>
      </w:r>
      <w:r w:rsidRPr="00B35CB9">
        <w:rPr>
          <w:rFonts w:ascii="Arial"/>
          <w:spacing w:val="1"/>
          <w:sz w:val="18"/>
          <w:highlight w:val="green"/>
        </w:rPr>
        <w:t xml:space="preserve"> </w:t>
      </w:r>
      <w:r w:rsidRPr="00B35CB9">
        <w:rPr>
          <w:rFonts w:ascii="Arial"/>
          <w:spacing w:val="-1"/>
          <w:sz w:val="18"/>
          <w:highlight w:val="green"/>
        </w:rPr>
        <w:t>Template</w:t>
      </w:r>
      <w:r w:rsidRPr="00B35CB9">
        <w:rPr>
          <w:rFonts w:ascii="Arial"/>
          <w:spacing w:val="-2"/>
          <w:sz w:val="18"/>
          <w:highlight w:val="green"/>
        </w:rPr>
        <w:t xml:space="preserve"> </w:t>
      </w:r>
      <w:r w:rsidRPr="00B35CB9">
        <w:rPr>
          <w:rFonts w:ascii="Arial"/>
          <w:spacing w:val="-1"/>
          <w:sz w:val="18"/>
          <w:highlight w:val="green"/>
        </w:rPr>
        <w:t>Call</w:t>
      </w:r>
      <w:r w:rsidRPr="00B35CB9">
        <w:rPr>
          <w:rFonts w:ascii="Arial"/>
          <w:sz w:val="18"/>
          <w:highlight w:val="green"/>
        </w:rPr>
        <w:t xml:space="preserve"> </w:t>
      </w:r>
      <w:r w:rsidRPr="00B35CB9">
        <w:rPr>
          <w:rFonts w:ascii="Arial"/>
          <w:spacing w:val="-1"/>
          <w:sz w:val="18"/>
          <w:highlight w:val="green"/>
        </w:rPr>
        <w:t>Off</w:t>
      </w:r>
      <w:r w:rsidRPr="00B35CB9">
        <w:rPr>
          <w:rFonts w:ascii="Arial"/>
          <w:sz w:val="18"/>
          <w:highlight w:val="green"/>
        </w:rPr>
        <w:t xml:space="preserve"> </w:t>
      </w:r>
      <w:r w:rsidRPr="00B35CB9">
        <w:rPr>
          <w:rFonts w:ascii="Arial"/>
          <w:spacing w:val="-1"/>
          <w:sz w:val="18"/>
          <w:highlight w:val="green"/>
        </w:rPr>
        <w:t>Terms]</w:t>
      </w:r>
    </w:p>
    <w:p w:rsidR="00B35CB9" w:rsidRPr="00B35CB9" w:rsidRDefault="00B35CB9" w:rsidP="007F77FD">
      <w:pPr>
        <w:spacing w:before="23" w:line="206" w:lineRule="exact"/>
        <w:ind w:left="261"/>
        <w:jc w:val="both"/>
        <w:rPr>
          <w:rFonts w:ascii="Arial" w:eastAsia="Arial" w:hAnsi="Arial" w:cs="Arial"/>
          <w:sz w:val="18"/>
          <w:szCs w:val="18"/>
          <w:highlight w:val="green"/>
        </w:rPr>
      </w:pPr>
      <w:r w:rsidRPr="00B35CB9">
        <w:rPr>
          <w:rFonts w:ascii="Arial"/>
          <w:position w:val="9"/>
          <w:sz w:val="12"/>
          <w:highlight w:val="green"/>
        </w:rPr>
        <w:t>5</w:t>
      </w:r>
      <w:r w:rsidRPr="00B35CB9">
        <w:rPr>
          <w:rFonts w:ascii="Arial"/>
          <w:spacing w:val="15"/>
          <w:position w:val="9"/>
          <w:sz w:val="12"/>
          <w:highlight w:val="green"/>
        </w:rPr>
        <w:t xml:space="preserve"> </w:t>
      </w:r>
      <w:r w:rsidRPr="00B35CB9">
        <w:rPr>
          <w:rFonts w:ascii="Arial"/>
          <w:spacing w:val="-1"/>
          <w:sz w:val="18"/>
          <w:highlight w:val="green"/>
        </w:rPr>
        <w:t>[Guidance</w:t>
      </w:r>
      <w:r w:rsidRPr="00B35CB9">
        <w:rPr>
          <w:rFonts w:ascii="Arial"/>
          <w:spacing w:val="15"/>
          <w:sz w:val="18"/>
          <w:highlight w:val="green"/>
        </w:rPr>
        <w:t xml:space="preserve"> </w:t>
      </w:r>
      <w:r w:rsidRPr="00B35CB9">
        <w:rPr>
          <w:rFonts w:ascii="Arial"/>
          <w:spacing w:val="-1"/>
          <w:sz w:val="18"/>
          <w:highlight w:val="green"/>
        </w:rPr>
        <w:t>Note:</w:t>
      </w:r>
      <w:r w:rsidRPr="00B35CB9">
        <w:rPr>
          <w:rFonts w:ascii="Arial"/>
          <w:spacing w:val="15"/>
          <w:sz w:val="18"/>
          <w:highlight w:val="green"/>
        </w:rPr>
        <w:t xml:space="preserve"> </w:t>
      </w:r>
      <w:r w:rsidRPr="00B35CB9">
        <w:rPr>
          <w:rFonts w:ascii="Arial"/>
          <w:spacing w:val="-1"/>
          <w:sz w:val="18"/>
          <w:highlight w:val="green"/>
        </w:rPr>
        <w:t>Insert</w:t>
      </w:r>
      <w:r w:rsidRPr="00B35CB9">
        <w:rPr>
          <w:rFonts w:ascii="Arial"/>
          <w:spacing w:val="15"/>
          <w:sz w:val="18"/>
          <w:highlight w:val="green"/>
        </w:rPr>
        <w:t xml:space="preserve"> </w:t>
      </w:r>
      <w:r w:rsidRPr="00B35CB9">
        <w:rPr>
          <w:rFonts w:ascii="Arial"/>
          <w:spacing w:val="-1"/>
          <w:sz w:val="18"/>
          <w:highlight w:val="green"/>
        </w:rPr>
        <w:t>the</w:t>
      </w:r>
      <w:r w:rsidRPr="00B35CB9">
        <w:rPr>
          <w:rFonts w:ascii="Arial"/>
          <w:spacing w:val="15"/>
          <w:sz w:val="18"/>
          <w:highlight w:val="green"/>
        </w:rPr>
        <w:t xml:space="preserve"> </w:t>
      </w:r>
      <w:r w:rsidRPr="00B35CB9">
        <w:rPr>
          <w:rFonts w:ascii="Arial"/>
          <w:spacing w:val="-1"/>
          <w:sz w:val="18"/>
          <w:highlight w:val="green"/>
        </w:rPr>
        <w:t>date</w:t>
      </w:r>
      <w:r w:rsidRPr="00B35CB9">
        <w:rPr>
          <w:rFonts w:ascii="Arial"/>
          <w:spacing w:val="15"/>
          <w:sz w:val="18"/>
          <w:highlight w:val="green"/>
        </w:rPr>
        <w:t xml:space="preserve"> </w:t>
      </w:r>
      <w:r w:rsidRPr="00B35CB9">
        <w:rPr>
          <w:rFonts w:ascii="Arial"/>
          <w:sz w:val="18"/>
          <w:highlight w:val="green"/>
        </w:rPr>
        <w:t>on</w:t>
      </w:r>
      <w:r w:rsidRPr="00B35CB9">
        <w:rPr>
          <w:rFonts w:ascii="Arial"/>
          <w:spacing w:val="13"/>
          <w:sz w:val="18"/>
          <w:highlight w:val="green"/>
        </w:rPr>
        <w:t xml:space="preserve"> </w:t>
      </w:r>
      <w:r w:rsidRPr="00B35CB9">
        <w:rPr>
          <w:rFonts w:ascii="Arial"/>
          <w:spacing w:val="-1"/>
          <w:sz w:val="18"/>
          <w:highlight w:val="green"/>
        </w:rPr>
        <w:t>which</w:t>
      </w:r>
      <w:r w:rsidRPr="00B35CB9">
        <w:rPr>
          <w:rFonts w:ascii="Arial"/>
          <w:spacing w:val="15"/>
          <w:sz w:val="18"/>
          <w:highlight w:val="green"/>
        </w:rPr>
        <w:t xml:space="preserve"> </w:t>
      </w:r>
      <w:r w:rsidRPr="00B35CB9">
        <w:rPr>
          <w:rFonts w:ascii="Arial"/>
          <w:spacing w:val="-1"/>
          <w:sz w:val="18"/>
          <w:highlight w:val="green"/>
        </w:rPr>
        <w:t>the</w:t>
      </w:r>
      <w:r w:rsidRPr="00B35CB9">
        <w:rPr>
          <w:rFonts w:ascii="Arial"/>
          <w:spacing w:val="14"/>
          <w:sz w:val="18"/>
          <w:highlight w:val="green"/>
        </w:rPr>
        <w:t xml:space="preserve"> </w:t>
      </w:r>
      <w:r w:rsidRPr="00B35CB9">
        <w:rPr>
          <w:rFonts w:ascii="Arial"/>
          <w:spacing w:val="-1"/>
          <w:sz w:val="18"/>
          <w:highlight w:val="green"/>
        </w:rPr>
        <w:t>Call</w:t>
      </w:r>
      <w:r w:rsidRPr="00B35CB9">
        <w:rPr>
          <w:rFonts w:ascii="Arial"/>
          <w:spacing w:val="15"/>
          <w:sz w:val="18"/>
          <w:highlight w:val="green"/>
        </w:rPr>
        <w:t xml:space="preserve"> </w:t>
      </w:r>
      <w:r w:rsidRPr="00B35CB9">
        <w:rPr>
          <w:rFonts w:ascii="Arial"/>
          <w:spacing w:val="-1"/>
          <w:sz w:val="18"/>
          <w:highlight w:val="green"/>
        </w:rPr>
        <w:t>Off</w:t>
      </w:r>
      <w:r w:rsidRPr="00B35CB9">
        <w:rPr>
          <w:rFonts w:ascii="Arial"/>
          <w:spacing w:val="15"/>
          <w:sz w:val="18"/>
          <w:highlight w:val="green"/>
        </w:rPr>
        <w:t xml:space="preserve"> </w:t>
      </w:r>
      <w:r w:rsidRPr="00B35CB9">
        <w:rPr>
          <w:rFonts w:ascii="Arial"/>
          <w:spacing w:val="-1"/>
          <w:sz w:val="18"/>
          <w:highlight w:val="green"/>
        </w:rPr>
        <w:t>Initial</w:t>
      </w:r>
      <w:r w:rsidRPr="00B35CB9">
        <w:rPr>
          <w:rFonts w:ascii="Arial"/>
          <w:spacing w:val="15"/>
          <w:sz w:val="18"/>
          <w:highlight w:val="green"/>
        </w:rPr>
        <w:t xml:space="preserve"> </w:t>
      </w:r>
      <w:r w:rsidRPr="00B35CB9">
        <w:rPr>
          <w:rFonts w:ascii="Arial"/>
          <w:spacing w:val="-1"/>
          <w:sz w:val="18"/>
          <w:highlight w:val="green"/>
        </w:rPr>
        <w:t>Period</w:t>
      </w:r>
      <w:r w:rsidRPr="00B35CB9">
        <w:rPr>
          <w:rFonts w:ascii="Arial"/>
          <w:spacing w:val="15"/>
          <w:sz w:val="18"/>
          <w:highlight w:val="green"/>
        </w:rPr>
        <w:t xml:space="preserve"> </w:t>
      </w:r>
      <w:r w:rsidRPr="00B35CB9">
        <w:rPr>
          <w:rFonts w:ascii="Arial"/>
          <w:spacing w:val="-1"/>
          <w:sz w:val="18"/>
          <w:highlight w:val="green"/>
        </w:rPr>
        <w:t>is</w:t>
      </w:r>
      <w:r w:rsidRPr="00B35CB9">
        <w:rPr>
          <w:rFonts w:ascii="Arial"/>
          <w:spacing w:val="16"/>
          <w:sz w:val="18"/>
          <w:highlight w:val="green"/>
        </w:rPr>
        <w:t xml:space="preserve"> </w:t>
      </w:r>
      <w:r w:rsidRPr="00B35CB9">
        <w:rPr>
          <w:rFonts w:ascii="Arial"/>
          <w:spacing w:val="-1"/>
          <w:sz w:val="18"/>
          <w:highlight w:val="green"/>
        </w:rPr>
        <w:t>to</w:t>
      </w:r>
      <w:r w:rsidRPr="00B35CB9">
        <w:rPr>
          <w:rFonts w:ascii="Arial"/>
          <w:spacing w:val="15"/>
          <w:sz w:val="18"/>
          <w:highlight w:val="green"/>
        </w:rPr>
        <w:t xml:space="preserve"> </w:t>
      </w:r>
      <w:r w:rsidRPr="00B35CB9">
        <w:rPr>
          <w:rFonts w:ascii="Arial"/>
          <w:spacing w:val="-1"/>
          <w:sz w:val="18"/>
          <w:highlight w:val="green"/>
        </w:rPr>
        <w:t>expire.</w:t>
      </w:r>
      <w:r w:rsidRPr="00B35CB9">
        <w:rPr>
          <w:rFonts w:ascii="Arial"/>
          <w:spacing w:val="15"/>
          <w:sz w:val="18"/>
          <w:highlight w:val="green"/>
        </w:rPr>
        <w:t xml:space="preserve"> </w:t>
      </w:r>
      <w:r w:rsidRPr="00B35CB9">
        <w:rPr>
          <w:rFonts w:ascii="Arial"/>
          <w:spacing w:val="-1"/>
          <w:sz w:val="18"/>
          <w:highlight w:val="green"/>
        </w:rPr>
        <w:t>Note</w:t>
      </w:r>
      <w:r w:rsidRPr="00B35CB9">
        <w:rPr>
          <w:rFonts w:ascii="Arial"/>
          <w:spacing w:val="13"/>
          <w:sz w:val="18"/>
          <w:highlight w:val="green"/>
        </w:rPr>
        <w:t xml:space="preserve"> </w:t>
      </w:r>
      <w:r w:rsidRPr="00B35CB9">
        <w:rPr>
          <w:rFonts w:ascii="Arial"/>
          <w:spacing w:val="-1"/>
          <w:sz w:val="18"/>
          <w:highlight w:val="green"/>
        </w:rPr>
        <w:t>the</w:t>
      </w:r>
      <w:r w:rsidRPr="00B35CB9">
        <w:rPr>
          <w:rFonts w:ascii="Arial"/>
          <w:spacing w:val="15"/>
          <w:sz w:val="18"/>
          <w:highlight w:val="green"/>
        </w:rPr>
        <w:t xml:space="preserve"> </w:t>
      </w:r>
      <w:r w:rsidRPr="00B35CB9">
        <w:rPr>
          <w:rFonts w:ascii="Arial"/>
          <w:spacing w:val="-1"/>
          <w:sz w:val="18"/>
          <w:highlight w:val="green"/>
        </w:rPr>
        <w:t>Crown</w:t>
      </w:r>
      <w:r w:rsidRPr="00B35CB9">
        <w:rPr>
          <w:rFonts w:ascii="Arial"/>
          <w:spacing w:val="15"/>
          <w:sz w:val="18"/>
          <w:highlight w:val="green"/>
        </w:rPr>
        <w:t xml:space="preserve"> </w:t>
      </w:r>
      <w:r w:rsidRPr="00B35CB9">
        <w:rPr>
          <w:rFonts w:ascii="Arial"/>
          <w:spacing w:val="-1"/>
          <w:sz w:val="18"/>
          <w:highlight w:val="green"/>
        </w:rPr>
        <w:t>Commercial</w:t>
      </w:r>
      <w:r w:rsidRPr="00B35CB9">
        <w:rPr>
          <w:rFonts w:ascii="Arial"/>
          <w:spacing w:val="87"/>
          <w:sz w:val="18"/>
          <w:highlight w:val="green"/>
        </w:rPr>
        <w:t xml:space="preserve"> </w:t>
      </w:r>
      <w:r w:rsidRPr="00B35CB9">
        <w:rPr>
          <w:rFonts w:ascii="Arial"/>
          <w:spacing w:val="-1"/>
          <w:sz w:val="18"/>
          <w:highlight w:val="green"/>
        </w:rPr>
        <w:t>Service</w:t>
      </w:r>
      <w:r w:rsidRPr="00B35CB9">
        <w:rPr>
          <w:rFonts w:ascii="Arial"/>
          <w:spacing w:val="5"/>
          <w:sz w:val="18"/>
          <w:highlight w:val="green"/>
        </w:rPr>
        <w:t xml:space="preserve"> </w:t>
      </w:r>
      <w:r w:rsidRPr="00B35CB9">
        <w:rPr>
          <w:rFonts w:ascii="Arial"/>
          <w:spacing w:val="-1"/>
          <w:sz w:val="18"/>
          <w:highlight w:val="green"/>
        </w:rPr>
        <w:t>recommends</w:t>
      </w:r>
      <w:r w:rsidRPr="00B35CB9">
        <w:rPr>
          <w:rFonts w:ascii="Arial"/>
          <w:spacing w:val="3"/>
          <w:sz w:val="18"/>
          <w:highlight w:val="green"/>
        </w:rPr>
        <w:t xml:space="preserve"> </w:t>
      </w:r>
      <w:r w:rsidRPr="00B35CB9">
        <w:rPr>
          <w:rFonts w:ascii="Arial"/>
          <w:sz w:val="18"/>
          <w:highlight w:val="green"/>
        </w:rPr>
        <w:t>that</w:t>
      </w:r>
      <w:r w:rsidRPr="00B35CB9">
        <w:rPr>
          <w:rFonts w:ascii="Arial"/>
          <w:spacing w:val="3"/>
          <w:sz w:val="18"/>
          <w:highlight w:val="green"/>
        </w:rPr>
        <w:t xml:space="preserve"> </w:t>
      </w:r>
      <w:r w:rsidRPr="00B35CB9">
        <w:rPr>
          <w:rFonts w:ascii="Arial"/>
          <w:sz w:val="18"/>
          <w:highlight w:val="green"/>
        </w:rPr>
        <w:t>the</w:t>
      </w:r>
      <w:r w:rsidRPr="00B35CB9">
        <w:rPr>
          <w:rFonts w:ascii="Arial"/>
          <w:spacing w:val="3"/>
          <w:sz w:val="18"/>
          <w:highlight w:val="green"/>
        </w:rPr>
        <w:t xml:space="preserve"> </w:t>
      </w:r>
      <w:r w:rsidRPr="00B35CB9">
        <w:rPr>
          <w:rFonts w:ascii="Arial"/>
          <w:spacing w:val="-1"/>
          <w:sz w:val="18"/>
          <w:highlight w:val="green"/>
        </w:rPr>
        <w:t>duration</w:t>
      </w:r>
      <w:r w:rsidRPr="00B35CB9">
        <w:rPr>
          <w:rFonts w:ascii="Arial"/>
          <w:spacing w:val="5"/>
          <w:sz w:val="18"/>
          <w:highlight w:val="green"/>
        </w:rPr>
        <w:t xml:space="preserve"> </w:t>
      </w:r>
      <w:r w:rsidRPr="00B35CB9">
        <w:rPr>
          <w:rFonts w:ascii="Arial"/>
          <w:spacing w:val="-1"/>
          <w:sz w:val="18"/>
          <w:highlight w:val="green"/>
        </w:rPr>
        <w:t>of</w:t>
      </w:r>
      <w:r w:rsidRPr="00B35CB9">
        <w:rPr>
          <w:rFonts w:ascii="Arial"/>
          <w:spacing w:val="5"/>
          <w:sz w:val="18"/>
          <w:highlight w:val="green"/>
        </w:rPr>
        <w:t xml:space="preserve"> </w:t>
      </w:r>
      <w:r w:rsidRPr="00B35CB9">
        <w:rPr>
          <w:rFonts w:ascii="Arial"/>
          <w:sz w:val="18"/>
          <w:highlight w:val="green"/>
        </w:rPr>
        <w:t>the</w:t>
      </w:r>
      <w:r w:rsidRPr="00B35CB9">
        <w:rPr>
          <w:rFonts w:ascii="Arial"/>
          <w:spacing w:val="5"/>
          <w:sz w:val="18"/>
          <w:highlight w:val="green"/>
        </w:rPr>
        <w:t xml:space="preserve"> </w:t>
      </w:r>
      <w:r w:rsidRPr="00B35CB9">
        <w:rPr>
          <w:rFonts w:ascii="Arial"/>
          <w:spacing w:val="-1"/>
          <w:sz w:val="18"/>
          <w:highlight w:val="green"/>
        </w:rPr>
        <w:t>Call</w:t>
      </w:r>
      <w:r w:rsidRPr="00B35CB9">
        <w:rPr>
          <w:rFonts w:ascii="Arial"/>
          <w:spacing w:val="6"/>
          <w:sz w:val="18"/>
          <w:highlight w:val="green"/>
        </w:rPr>
        <w:t xml:space="preserve"> </w:t>
      </w:r>
      <w:r w:rsidRPr="00B35CB9">
        <w:rPr>
          <w:rFonts w:ascii="Arial"/>
          <w:spacing w:val="-1"/>
          <w:sz w:val="18"/>
          <w:highlight w:val="green"/>
        </w:rPr>
        <w:t>Off</w:t>
      </w:r>
      <w:r w:rsidRPr="00B35CB9">
        <w:rPr>
          <w:rFonts w:ascii="Arial"/>
          <w:spacing w:val="5"/>
          <w:sz w:val="18"/>
          <w:highlight w:val="green"/>
        </w:rPr>
        <w:t xml:space="preserve"> </w:t>
      </w:r>
      <w:r w:rsidRPr="00B35CB9">
        <w:rPr>
          <w:rFonts w:ascii="Arial"/>
          <w:spacing w:val="-1"/>
          <w:sz w:val="18"/>
          <w:highlight w:val="green"/>
        </w:rPr>
        <w:t>Contract</w:t>
      </w:r>
      <w:r w:rsidRPr="00B35CB9">
        <w:rPr>
          <w:rFonts w:ascii="Arial"/>
          <w:spacing w:val="5"/>
          <w:sz w:val="18"/>
          <w:highlight w:val="green"/>
        </w:rPr>
        <w:t xml:space="preserve"> </w:t>
      </w:r>
      <w:r w:rsidRPr="00B35CB9">
        <w:rPr>
          <w:rFonts w:ascii="Arial"/>
          <w:spacing w:val="-1"/>
          <w:sz w:val="18"/>
          <w:highlight w:val="green"/>
        </w:rPr>
        <w:t>Period</w:t>
      </w:r>
      <w:r w:rsidRPr="00B35CB9">
        <w:rPr>
          <w:rFonts w:ascii="Arial"/>
          <w:spacing w:val="8"/>
          <w:sz w:val="18"/>
          <w:highlight w:val="green"/>
        </w:rPr>
        <w:t xml:space="preserve"> </w:t>
      </w:r>
      <w:r w:rsidRPr="00B35CB9">
        <w:rPr>
          <w:rFonts w:ascii="Arial"/>
          <w:spacing w:val="-1"/>
          <w:sz w:val="18"/>
          <w:highlight w:val="green"/>
        </w:rPr>
        <w:t>should</w:t>
      </w:r>
      <w:r w:rsidRPr="00B35CB9">
        <w:rPr>
          <w:rFonts w:ascii="Arial"/>
          <w:spacing w:val="3"/>
          <w:sz w:val="18"/>
          <w:highlight w:val="green"/>
        </w:rPr>
        <w:t xml:space="preserve"> </w:t>
      </w:r>
      <w:r w:rsidRPr="00B35CB9">
        <w:rPr>
          <w:rFonts w:ascii="Arial"/>
          <w:spacing w:val="-1"/>
          <w:sz w:val="18"/>
          <w:highlight w:val="green"/>
        </w:rPr>
        <w:t>usually</w:t>
      </w:r>
      <w:r w:rsidRPr="00B35CB9">
        <w:rPr>
          <w:rFonts w:ascii="Arial"/>
          <w:spacing w:val="3"/>
          <w:sz w:val="18"/>
          <w:highlight w:val="green"/>
        </w:rPr>
        <w:t xml:space="preserve"> </w:t>
      </w:r>
      <w:r w:rsidRPr="00B35CB9">
        <w:rPr>
          <w:rFonts w:ascii="Arial"/>
          <w:sz w:val="18"/>
          <w:highlight w:val="green"/>
        </w:rPr>
        <w:t>be</w:t>
      </w:r>
      <w:r w:rsidRPr="00B35CB9">
        <w:rPr>
          <w:rFonts w:ascii="Arial"/>
          <w:spacing w:val="3"/>
          <w:sz w:val="18"/>
          <w:highlight w:val="green"/>
        </w:rPr>
        <w:t xml:space="preserve"> </w:t>
      </w:r>
      <w:r w:rsidRPr="00B35CB9">
        <w:rPr>
          <w:rFonts w:ascii="Arial"/>
          <w:spacing w:val="-1"/>
          <w:sz w:val="18"/>
          <w:highlight w:val="green"/>
        </w:rPr>
        <w:t>no</w:t>
      </w:r>
      <w:r w:rsidRPr="00B35CB9">
        <w:rPr>
          <w:rFonts w:ascii="Arial"/>
          <w:spacing w:val="5"/>
          <w:sz w:val="18"/>
          <w:highlight w:val="green"/>
        </w:rPr>
        <w:t xml:space="preserve"> </w:t>
      </w:r>
      <w:r w:rsidRPr="00B35CB9">
        <w:rPr>
          <w:rFonts w:ascii="Arial"/>
          <w:spacing w:val="-1"/>
          <w:sz w:val="18"/>
          <w:highlight w:val="green"/>
        </w:rPr>
        <w:t>longer</w:t>
      </w:r>
      <w:r w:rsidRPr="00B35CB9">
        <w:rPr>
          <w:rFonts w:ascii="Arial"/>
          <w:spacing w:val="5"/>
          <w:sz w:val="18"/>
          <w:highlight w:val="green"/>
        </w:rPr>
        <w:t xml:space="preserve"> </w:t>
      </w:r>
      <w:r w:rsidRPr="00B35CB9">
        <w:rPr>
          <w:rFonts w:ascii="Arial"/>
          <w:spacing w:val="-1"/>
          <w:sz w:val="18"/>
          <w:highlight w:val="green"/>
        </w:rPr>
        <w:t>than</w:t>
      </w:r>
      <w:r w:rsidRPr="00B35CB9">
        <w:rPr>
          <w:rFonts w:ascii="Arial"/>
          <w:spacing w:val="5"/>
          <w:sz w:val="18"/>
          <w:highlight w:val="green"/>
        </w:rPr>
        <w:t xml:space="preserve"> </w:t>
      </w:r>
      <w:r w:rsidRPr="00B35CB9">
        <w:rPr>
          <w:rFonts w:ascii="Arial"/>
          <w:spacing w:val="-1"/>
          <w:sz w:val="18"/>
          <w:highlight w:val="green"/>
        </w:rPr>
        <w:t>four</w:t>
      </w:r>
      <w:r w:rsidRPr="00B35CB9">
        <w:rPr>
          <w:rFonts w:ascii="Arial"/>
          <w:spacing w:val="5"/>
          <w:sz w:val="18"/>
          <w:highlight w:val="green"/>
        </w:rPr>
        <w:t xml:space="preserve"> </w:t>
      </w:r>
      <w:r w:rsidRPr="00B35CB9">
        <w:rPr>
          <w:rFonts w:ascii="Arial"/>
          <w:spacing w:val="-1"/>
          <w:sz w:val="18"/>
          <w:highlight w:val="green"/>
        </w:rPr>
        <w:t>(4)</w:t>
      </w:r>
      <w:r w:rsidRPr="00B35CB9">
        <w:rPr>
          <w:rFonts w:ascii="Arial"/>
          <w:spacing w:val="101"/>
          <w:sz w:val="18"/>
          <w:highlight w:val="green"/>
        </w:rPr>
        <w:t xml:space="preserve"> </w:t>
      </w:r>
      <w:r w:rsidRPr="00B35CB9">
        <w:rPr>
          <w:rFonts w:ascii="Arial"/>
          <w:spacing w:val="-1"/>
          <w:sz w:val="18"/>
          <w:highlight w:val="green"/>
        </w:rPr>
        <w:t>years.</w:t>
      </w:r>
      <w:r w:rsidRPr="00B35CB9">
        <w:rPr>
          <w:rFonts w:ascii="Arial"/>
          <w:spacing w:val="29"/>
          <w:sz w:val="18"/>
          <w:highlight w:val="green"/>
        </w:rPr>
        <w:t xml:space="preserve"> </w:t>
      </w:r>
      <w:r w:rsidRPr="00B35CB9">
        <w:rPr>
          <w:rFonts w:ascii="Arial"/>
          <w:sz w:val="18"/>
          <w:highlight w:val="green"/>
        </w:rPr>
        <w:t>If</w:t>
      </w:r>
      <w:r w:rsidRPr="00B35CB9">
        <w:rPr>
          <w:rFonts w:ascii="Arial"/>
          <w:spacing w:val="27"/>
          <w:sz w:val="18"/>
          <w:highlight w:val="green"/>
        </w:rPr>
        <w:t xml:space="preserve"> </w:t>
      </w:r>
      <w:r w:rsidRPr="00B35CB9">
        <w:rPr>
          <w:rFonts w:ascii="Arial"/>
          <w:spacing w:val="-1"/>
          <w:sz w:val="18"/>
          <w:highlight w:val="green"/>
        </w:rPr>
        <w:t>you</w:t>
      </w:r>
      <w:r w:rsidRPr="00B35CB9">
        <w:rPr>
          <w:rFonts w:ascii="Arial"/>
          <w:spacing w:val="29"/>
          <w:sz w:val="18"/>
          <w:highlight w:val="green"/>
        </w:rPr>
        <w:t xml:space="preserve"> </w:t>
      </w:r>
      <w:r w:rsidRPr="00B35CB9">
        <w:rPr>
          <w:rFonts w:ascii="Arial"/>
          <w:spacing w:val="-1"/>
          <w:sz w:val="18"/>
          <w:highlight w:val="green"/>
        </w:rPr>
        <w:t>consider</w:t>
      </w:r>
      <w:r w:rsidRPr="00B35CB9">
        <w:rPr>
          <w:rFonts w:ascii="Arial"/>
          <w:spacing w:val="26"/>
          <w:sz w:val="18"/>
          <w:highlight w:val="green"/>
        </w:rPr>
        <w:t xml:space="preserve"> </w:t>
      </w:r>
      <w:r w:rsidRPr="00B35CB9">
        <w:rPr>
          <w:rFonts w:ascii="Arial"/>
          <w:spacing w:val="-1"/>
          <w:sz w:val="18"/>
          <w:highlight w:val="green"/>
        </w:rPr>
        <w:t>that</w:t>
      </w:r>
      <w:r w:rsidRPr="00B35CB9">
        <w:rPr>
          <w:rFonts w:ascii="Arial"/>
          <w:spacing w:val="29"/>
          <w:sz w:val="18"/>
          <w:highlight w:val="green"/>
        </w:rPr>
        <w:t xml:space="preserve"> </w:t>
      </w:r>
      <w:r w:rsidRPr="00B35CB9">
        <w:rPr>
          <w:rFonts w:ascii="Arial"/>
          <w:spacing w:val="-1"/>
          <w:sz w:val="18"/>
          <w:highlight w:val="green"/>
        </w:rPr>
        <w:t>the</w:t>
      </w:r>
      <w:r w:rsidRPr="00B35CB9">
        <w:rPr>
          <w:rFonts w:ascii="Arial"/>
          <w:spacing w:val="29"/>
          <w:sz w:val="18"/>
          <w:highlight w:val="green"/>
        </w:rPr>
        <w:t xml:space="preserve"> </w:t>
      </w:r>
      <w:r w:rsidRPr="00B35CB9">
        <w:rPr>
          <w:rFonts w:ascii="Arial"/>
          <w:spacing w:val="-1"/>
          <w:sz w:val="18"/>
          <w:highlight w:val="green"/>
        </w:rPr>
        <w:t>Call</w:t>
      </w:r>
      <w:r w:rsidRPr="00B35CB9">
        <w:rPr>
          <w:rFonts w:ascii="Arial"/>
          <w:spacing w:val="27"/>
          <w:sz w:val="18"/>
          <w:highlight w:val="green"/>
        </w:rPr>
        <w:t xml:space="preserve"> </w:t>
      </w:r>
      <w:r w:rsidRPr="00B35CB9">
        <w:rPr>
          <w:rFonts w:ascii="Arial"/>
          <w:spacing w:val="-1"/>
          <w:sz w:val="18"/>
          <w:highlight w:val="green"/>
        </w:rPr>
        <w:t>Off</w:t>
      </w:r>
      <w:r w:rsidRPr="00B35CB9">
        <w:rPr>
          <w:rFonts w:ascii="Arial"/>
          <w:spacing w:val="29"/>
          <w:sz w:val="18"/>
          <w:highlight w:val="green"/>
        </w:rPr>
        <w:t xml:space="preserve"> </w:t>
      </w:r>
      <w:r w:rsidRPr="00B35CB9">
        <w:rPr>
          <w:rFonts w:ascii="Arial"/>
          <w:spacing w:val="-1"/>
          <w:sz w:val="18"/>
          <w:highlight w:val="green"/>
        </w:rPr>
        <w:t>Contract</w:t>
      </w:r>
      <w:r w:rsidRPr="00B35CB9">
        <w:rPr>
          <w:rFonts w:ascii="Arial"/>
          <w:spacing w:val="27"/>
          <w:sz w:val="18"/>
          <w:highlight w:val="green"/>
        </w:rPr>
        <w:t xml:space="preserve"> </w:t>
      </w:r>
      <w:r w:rsidRPr="00B35CB9">
        <w:rPr>
          <w:rFonts w:ascii="Arial"/>
          <w:spacing w:val="-1"/>
          <w:sz w:val="18"/>
          <w:highlight w:val="green"/>
        </w:rPr>
        <w:t>Period</w:t>
      </w:r>
      <w:r w:rsidRPr="00B35CB9">
        <w:rPr>
          <w:rFonts w:ascii="Arial"/>
          <w:spacing w:val="27"/>
          <w:sz w:val="18"/>
          <w:highlight w:val="green"/>
        </w:rPr>
        <w:t xml:space="preserve"> </w:t>
      </w:r>
      <w:r w:rsidRPr="00B35CB9">
        <w:rPr>
          <w:rFonts w:ascii="Arial"/>
          <w:spacing w:val="-1"/>
          <w:sz w:val="18"/>
          <w:highlight w:val="green"/>
        </w:rPr>
        <w:t>should</w:t>
      </w:r>
      <w:r w:rsidRPr="00B35CB9">
        <w:rPr>
          <w:rFonts w:ascii="Arial"/>
          <w:spacing w:val="27"/>
          <w:sz w:val="18"/>
          <w:highlight w:val="green"/>
        </w:rPr>
        <w:t xml:space="preserve"> </w:t>
      </w:r>
      <w:r w:rsidRPr="00B35CB9">
        <w:rPr>
          <w:rFonts w:ascii="Arial"/>
          <w:sz w:val="18"/>
          <w:highlight w:val="green"/>
        </w:rPr>
        <w:t>be</w:t>
      </w:r>
      <w:r w:rsidRPr="00B35CB9">
        <w:rPr>
          <w:rFonts w:ascii="Arial"/>
          <w:spacing w:val="27"/>
          <w:sz w:val="18"/>
          <w:highlight w:val="green"/>
        </w:rPr>
        <w:t xml:space="preserve"> </w:t>
      </w:r>
      <w:r w:rsidRPr="00B35CB9">
        <w:rPr>
          <w:rFonts w:ascii="Arial"/>
          <w:spacing w:val="-1"/>
          <w:sz w:val="18"/>
          <w:highlight w:val="green"/>
        </w:rPr>
        <w:t>longer</w:t>
      </w:r>
      <w:r w:rsidRPr="00B35CB9">
        <w:rPr>
          <w:rFonts w:ascii="Arial"/>
          <w:spacing w:val="29"/>
          <w:sz w:val="18"/>
          <w:highlight w:val="green"/>
        </w:rPr>
        <w:t xml:space="preserve"> </w:t>
      </w:r>
      <w:r w:rsidRPr="00B35CB9">
        <w:rPr>
          <w:rFonts w:ascii="Arial"/>
          <w:spacing w:val="-1"/>
          <w:sz w:val="18"/>
          <w:highlight w:val="green"/>
        </w:rPr>
        <w:t>please</w:t>
      </w:r>
      <w:r w:rsidRPr="00B35CB9">
        <w:rPr>
          <w:rFonts w:ascii="Arial"/>
          <w:spacing w:val="27"/>
          <w:sz w:val="18"/>
          <w:highlight w:val="green"/>
        </w:rPr>
        <w:t xml:space="preserve"> </w:t>
      </w:r>
      <w:r w:rsidRPr="00B35CB9">
        <w:rPr>
          <w:rFonts w:ascii="Arial"/>
          <w:spacing w:val="-1"/>
          <w:sz w:val="18"/>
          <w:highlight w:val="green"/>
        </w:rPr>
        <w:t>speak</w:t>
      </w:r>
      <w:r w:rsidRPr="00B35CB9">
        <w:rPr>
          <w:rFonts w:ascii="Arial"/>
          <w:spacing w:val="28"/>
          <w:sz w:val="18"/>
          <w:highlight w:val="green"/>
        </w:rPr>
        <w:t xml:space="preserve"> </w:t>
      </w:r>
      <w:r w:rsidRPr="00B35CB9">
        <w:rPr>
          <w:rFonts w:ascii="Arial"/>
          <w:sz w:val="18"/>
          <w:highlight w:val="green"/>
        </w:rPr>
        <w:t>to</w:t>
      </w:r>
      <w:r w:rsidRPr="00B35CB9">
        <w:rPr>
          <w:rFonts w:ascii="Arial"/>
          <w:spacing w:val="29"/>
          <w:sz w:val="18"/>
          <w:highlight w:val="green"/>
        </w:rPr>
        <w:t xml:space="preserve"> </w:t>
      </w:r>
      <w:r w:rsidRPr="00B35CB9">
        <w:rPr>
          <w:rFonts w:ascii="Arial"/>
          <w:spacing w:val="-1"/>
          <w:sz w:val="18"/>
          <w:highlight w:val="green"/>
        </w:rPr>
        <w:t>your</w:t>
      </w:r>
      <w:r w:rsidRPr="00B35CB9">
        <w:rPr>
          <w:rFonts w:ascii="Arial"/>
          <w:spacing w:val="29"/>
          <w:sz w:val="18"/>
          <w:highlight w:val="green"/>
        </w:rPr>
        <w:t xml:space="preserve"> </w:t>
      </w:r>
      <w:r w:rsidRPr="00B35CB9">
        <w:rPr>
          <w:rFonts w:ascii="Arial"/>
          <w:spacing w:val="-1"/>
          <w:sz w:val="18"/>
          <w:highlight w:val="green"/>
        </w:rPr>
        <w:t>legal</w:t>
      </w:r>
      <w:r w:rsidRPr="00B35CB9">
        <w:rPr>
          <w:rFonts w:ascii="Arial"/>
          <w:spacing w:val="30"/>
          <w:sz w:val="18"/>
          <w:highlight w:val="green"/>
        </w:rPr>
        <w:t xml:space="preserve"> </w:t>
      </w:r>
      <w:r w:rsidRPr="00B35CB9">
        <w:rPr>
          <w:rFonts w:ascii="Arial"/>
          <w:spacing w:val="-1"/>
          <w:sz w:val="18"/>
          <w:highlight w:val="green"/>
        </w:rPr>
        <w:t>and/or</w:t>
      </w:r>
    </w:p>
    <w:p w:rsidR="00B35CB9" w:rsidRPr="00B35CB9" w:rsidRDefault="00B35CB9" w:rsidP="007F77FD">
      <w:pPr>
        <w:spacing w:line="206" w:lineRule="exact"/>
        <w:ind w:firstLine="261"/>
        <w:jc w:val="both"/>
        <w:rPr>
          <w:rFonts w:ascii="Arial"/>
          <w:sz w:val="18"/>
          <w:highlight w:val="green"/>
        </w:rPr>
      </w:pPr>
      <w:r w:rsidRPr="00B35CB9">
        <w:rPr>
          <w:rFonts w:ascii="Arial"/>
          <w:spacing w:val="-1"/>
          <w:sz w:val="18"/>
          <w:highlight w:val="green"/>
        </w:rPr>
        <w:t>procurement</w:t>
      </w:r>
      <w:r w:rsidRPr="00B35CB9">
        <w:rPr>
          <w:rFonts w:ascii="Arial"/>
          <w:sz w:val="18"/>
          <w:highlight w:val="green"/>
        </w:rPr>
        <w:t xml:space="preserve"> </w:t>
      </w:r>
      <w:r w:rsidRPr="00B35CB9">
        <w:rPr>
          <w:rFonts w:ascii="Arial"/>
          <w:spacing w:val="-1"/>
          <w:sz w:val="18"/>
          <w:highlight w:val="green"/>
        </w:rPr>
        <w:t>team.</w:t>
      </w:r>
      <w:r w:rsidRPr="00B35CB9">
        <w:rPr>
          <w:rFonts w:ascii="Arial"/>
          <w:sz w:val="18"/>
          <w:highlight w:val="green"/>
        </w:rPr>
        <w:t xml:space="preserve"> See</w:t>
      </w:r>
      <w:r w:rsidRPr="00B35CB9">
        <w:rPr>
          <w:rFonts w:ascii="Arial"/>
          <w:spacing w:val="-2"/>
          <w:sz w:val="18"/>
          <w:highlight w:val="green"/>
        </w:rPr>
        <w:t xml:space="preserve"> </w:t>
      </w:r>
      <w:r w:rsidRPr="00B35CB9">
        <w:rPr>
          <w:rFonts w:ascii="Arial"/>
          <w:spacing w:val="-1"/>
          <w:sz w:val="18"/>
          <w:highlight w:val="green"/>
        </w:rPr>
        <w:t>also</w:t>
      </w:r>
      <w:r w:rsidRPr="00B35CB9">
        <w:rPr>
          <w:rFonts w:ascii="Arial"/>
          <w:spacing w:val="1"/>
          <w:sz w:val="18"/>
          <w:highlight w:val="green"/>
        </w:rPr>
        <w:t xml:space="preserve"> </w:t>
      </w:r>
      <w:r w:rsidRPr="00B35CB9">
        <w:rPr>
          <w:rFonts w:ascii="Arial"/>
          <w:spacing w:val="-1"/>
          <w:sz w:val="18"/>
          <w:highlight w:val="green"/>
        </w:rPr>
        <w:t>Claus</w:t>
      </w:r>
      <w:hyperlink w:anchor="_bookmark55" w:history="1">
        <w:r w:rsidRPr="00B35CB9">
          <w:rPr>
            <w:rFonts w:ascii="Arial"/>
            <w:spacing w:val="-1"/>
            <w:sz w:val="18"/>
            <w:highlight w:val="green"/>
          </w:rPr>
          <w:t>e</w:t>
        </w:r>
        <w:r w:rsidRPr="00B35CB9">
          <w:rPr>
            <w:rFonts w:ascii="Arial"/>
            <w:sz w:val="18"/>
            <w:highlight w:val="green"/>
          </w:rPr>
          <w:t xml:space="preserve"> 5</w:t>
        </w:r>
      </w:hyperlink>
      <w:r w:rsidRPr="00B35CB9">
        <w:rPr>
          <w:rFonts w:ascii="Arial"/>
          <w:spacing w:val="1"/>
          <w:sz w:val="18"/>
          <w:highlight w:val="green"/>
        </w:rPr>
        <w:t xml:space="preserve"> </w:t>
      </w:r>
      <w:r w:rsidRPr="00B35CB9">
        <w:rPr>
          <w:rFonts w:ascii="Arial"/>
          <w:spacing w:val="-1"/>
          <w:sz w:val="18"/>
          <w:highlight w:val="green"/>
        </w:rPr>
        <w:t>(Call</w:t>
      </w:r>
      <w:r w:rsidRPr="00B35CB9">
        <w:rPr>
          <w:rFonts w:ascii="Arial"/>
          <w:spacing w:val="1"/>
          <w:sz w:val="18"/>
          <w:highlight w:val="green"/>
        </w:rPr>
        <w:t xml:space="preserve"> </w:t>
      </w:r>
      <w:r w:rsidRPr="00B35CB9">
        <w:rPr>
          <w:rFonts w:ascii="Arial"/>
          <w:spacing w:val="-1"/>
          <w:sz w:val="18"/>
          <w:highlight w:val="green"/>
        </w:rPr>
        <w:t>Off</w:t>
      </w:r>
      <w:r w:rsidRPr="00B35CB9">
        <w:rPr>
          <w:rFonts w:ascii="Arial"/>
          <w:sz w:val="18"/>
          <w:highlight w:val="green"/>
        </w:rPr>
        <w:t xml:space="preserve"> </w:t>
      </w:r>
      <w:r w:rsidRPr="00B35CB9">
        <w:rPr>
          <w:rFonts w:ascii="Arial"/>
          <w:spacing w:val="-1"/>
          <w:sz w:val="18"/>
          <w:highlight w:val="green"/>
        </w:rPr>
        <w:t>Contract</w:t>
      </w:r>
      <w:r w:rsidRPr="00B35CB9">
        <w:rPr>
          <w:rFonts w:ascii="Arial"/>
          <w:sz w:val="18"/>
          <w:highlight w:val="green"/>
        </w:rPr>
        <w:t xml:space="preserve"> </w:t>
      </w:r>
      <w:r w:rsidRPr="00B35CB9">
        <w:rPr>
          <w:rFonts w:ascii="Arial"/>
          <w:spacing w:val="-1"/>
          <w:sz w:val="18"/>
          <w:highlight w:val="green"/>
        </w:rPr>
        <w:t>Period)</w:t>
      </w:r>
      <w:r w:rsidRPr="00B35CB9">
        <w:rPr>
          <w:rFonts w:ascii="Arial"/>
          <w:sz w:val="18"/>
          <w:highlight w:val="green"/>
        </w:rPr>
        <w:t xml:space="preserve"> of</w:t>
      </w:r>
      <w:r w:rsidRPr="00B35CB9">
        <w:rPr>
          <w:rFonts w:ascii="Arial"/>
          <w:spacing w:val="-2"/>
          <w:sz w:val="18"/>
          <w:highlight w:val="green"/>
        </w:rPr>
        <w:t xml:space="preserve"> </w:t>
      </w:r>
      <w:r w:rsidRPr="00B35CB9">
        <w:rPr>
          <w:rFonts w:ascii="Arial"/>
          <w:sz w:val="18"/>
          <w:highlight w:val="green"/>
        </w:rPr>
        <w:t>the</w:t>
      </w:r>
      <w:r w:rsidRPr="00B35CB9">
        <w:rPr>
          <w:rFonts w:ascii="Arial"/>
          <w:spacing w:val="1"/>
          <w:sz w:val="18"/>
          <w:highlight w:val="green"/>
        </w:rPr>
        <w:t xml:space="preserve"> </w:t>
      </w:r>
      <w:r w:rsidRPr="00B35CB9">
        <w:rPr>
          <w:rFonts w:ascii="Arial"/>
          <w:spacing w:val="-1"/>
          <w:sz w:val="18"/>
          <w:highlight w:val="green"/>
        </w:rPr>
        <w:t>Template</w:t>
      </w:r>
      <w:r w:rsidRPr="00B35CB9">
        <w:rPr>
          <w:rFonts w:ascii="Arial"/>
          <w:spacing w:val="1"/>
          <w:sz w:val="18"/>
          <w:highlight w:val="green"/>
        </w:rPr>
        <w:t xml:space="preserve"> </w:t>
      </w:r>
      <w:r w:rsidRPr="00B35CB9">
        <w:rPr>
          <w:rFonts w:ascii="Arial"/>
          <w:spacing w:val="-1"/>
          <w:sz w:val="18"/>
          <w:highlight w:val="green"/>
        </w:rPr>
        <w:t>Call</w:t>
      </w:r>
      <w:r w:rsidRPr="00B35CB9">
        <w:rPr>
          <w:rFonts w:ascii="Arial"/>
          <w:spacing w:val="1"/>
          <w:sz w:val="18"/>
          <w:highlight w:val="green"/>
        </w:rPr>
        <w:t xml:space="preserve"> </w:t>
      </w:r>
      <w:r w:rsidRPr="00B35CB9">
        <w:rPr>
          <w:rFonts w:ascii="Arial"/>
          <w:spacing w:val="-1"/>
          <w:sz w:val="18"/>
          <w:highlight w:val="green"/>
        </w:rPr>
        <w:t>Off</w:t>
      </w:r>
      <w:r w:rsidRPr="00B35CB9">
        <w:rPr>
          <w:rFonts w:ascii="Arial"/>
          <w:sz w:val="18"/>
          <w:highlight w:val="green"/>
        </w:rPr>
        <w:t xml:space="preserve"> Terms]</w:t>
      </w:r>
    </w:p>
    <w:p w:rsidR="00B35CB9" w:rsidRPr="00B35CB9" w:rsidRDefault="00B35CB9" w:rsidP="00B35CB9">
      <w:pPr>
        <w:spacing w:line="206" w:lineRule="exact"/>
        <w:jc w:val="both"/>
        <w:rPr>
          <w:rFonts w:ascii="Arial" w:eastAsia="Arial" w:hAnsi="Arial" w:cs="Arial"/>
          <w:sz w:val="18"/>
          <w:szCs w:val="18"/>
          <w:highlight w:val="green"/>
        </w:rPr>
      </w:pPr>
    </w:p>
    <w:p w:rsidR="00B35CB9" w:rsidRDefault="00B35CB9" w:rsidP="007F77FD">
      <w:pPr>
        <w:spacing w:line="180" w:lineRule="exact"/>
        <w:ind w:left="261"/>
        <w:rPr>
          <w:rFonts w:ascii="Arial" w:eastAsia="Arial" w:hAnsi="Arial" w:cs="Arial"/>
          <w:sz w:val="18"/>
          <w:szCs w:val="18"/>
        </w:rPr>
      </w:pPr>
      <w:r w:rsidRPr="00B35CB9">
        <w:rPr>
          <w:rFonts w:ascii="Arial"/>
          <w:sz w:val="12"/>
          <w:highlight w:val="green"/>
        </w:rPr>
        <w:t xml:space="preserve">6 </w:t>
      </w:r>
      <w:r w:rsidRPr="00B35CB9">
        <w:rPr>
          <w:rFonts w:ascii="Arial"/>
          <w:sz w:val="18"/>
          <w:szCs w:val="18"/>
          <w:highlight w:val="green"/>
        </w:rPr>
        <w:t>[</w:t>
      </w:r>
      <w:r w:rsidRPr="00B35CB9">
        <w:rPr>
          <w:rFonts w:ascii="Arial"/>
          <w:spacing w:val="-1"/>
          <w:sz w:val="18"/>
          <w:highlight w:val="green"/>
        </w:rPr>
        <w:t>Guidance</w:t>
      </w:r>
      <w:r w:rsidRPr="00B35CB9">
        <w:rPr>
          <w:rFonts w:ascii="Arial"/>
          <w:spacing w:val="46"/>
          <w:sz w:val="18"/>
          <w:highlight w:val="green"/>
        </w:rPr>
        <w:t xml:space="preserve"> </w:t>
      </w:r>
      <w:r w:rsidRPr="00B35CB9">
        <w:rPr>
          <w:rFonts w:ascii="Arial"/>
          <w:spacing w:val="-1"/>
          <w:sz w:val="18"/>
          <w:highlight w:val="green"/>
        </w:rPr>
        <w:t>Note:</w:t>
      </w:r>
      <w:r w:rsidRPr="00B35CB9">
        <w:rPr>
          <w:rFonts w:ascii="Arial"/>
          <w:spacing w:val="46"/>
          <w:sz w:val="18"/>
          <w:highlight w:val="green"/>
        </w:rPr>
        <w:t xml:space="preserve"> </w:t>
      </w:r>
      <w:r w:rsidRPr="00B35CB9">
        <w:rPr>
          <w:rFonts w:ascii="Arial"/>
          <w:spacing w:val="-1"/>
          <w:sz w:val="18"/>
          <w:highlight w:val="green"/>
        </w:rPr>
        <w:t>Insert</w:t>
      </w:r>
      <w:r w:rsidRPr="00B35CB9">
        <w:rPr>
          <w:rFonts w:ascii="Arial"/>
          <w:spacing w:val="46"/>
          <w:sz w:val="18"/>
          <w:highlight w:val="green"/>
        </w:rPr>
        <w:t xml:space="preserve"> </w:t>
      </w:r>
      <w:r w:rsidRPr="00B35CB9">
        <w:rPr>
          <w:rFonts w:ascii="Arial"/>
          <w:spacing w:val="-1"/>
          <w:sz w:val="18"/>
          <w:highlight w:val="green"/>
        </w:rPr>
        <w:t>the</w:t>
      </w:r>
      <w:r w:rsidRPr="00B35CB9">
        <w:rPr>
          <w:rFonts w:ascii="Arial"/>
          <w:spacing w:val="44"/>
          <w:sz w:val="18"/>
          <w:highlight w:val="green"/>
        </w:rPr>
        <w:t xml:space="preserve"> </w:t>
      </w:r>
      <w:r w:rsidRPr="00B35CB9">
        <w:rPr>
          <w:rFonts w:ascii="Arial"/>
          <w:sz w:val="18"/>
          <w:highlight w:val="green"/>
        </w:rPr>
        <w:t>date</w:t>
      </w:r>
      <w:r w:rsidRPr="00B35CB9">
        <w:rPr>
          <w:rFonts w:ascii="Arial"/>
          <w:spacing w:val="46"/>
          <w:sz w:val="18"/>
          <w:highlight w:val="green"/>
        </w:rPr>
        <w:t xml:space="preserve"> </w:t>
      </w:r>
      <w:r w:rsidRPr="00B35CB9">
        <w:rPr>
          <w:rFonts w:ascii="Arial"/>
          <w:sz w:val="18"/>
          <w:highlight w:val="green"/>
        </w:rPr>
        <w:t>on</w:t>
      </w:r>
      <w:r w:rsidRPr="00B35CB9">
        <w:rPr>
          <w:rFonts w:ascii="Arial"/>
          <w:spacing w:val="46"/>
          <w:sz w:val="18"/>
          <w:highlight w:val="green"/>
        </w:rPr>
        <w:t xml:space="preserve"> </w:t>
      </w:r>
      <w:r w:rsidRPr="00B35CB9">
        <w:rPr>
          <w:rFonts w:ascii="Arial"/>
          <w:spacing w:val="-1"/>
          <w:sz w:val="18"/>
          <w:highlight w:val="green"/>
        </w:rPr>
        <w:t>which</w:t>
      </w:r>
      <w:r w:rsidRPr="00B35CB9">
        <w:rPr>
          <w:rFonts w:ascii="Arial"/>
          <w:spacing w:val="46"/>
          <w:sz w:val="18"/>
          <w:highlight w:val="green"/>
        </w:rPr>
        <w:t xml:space="preserve"> </w:t>
      </w:r>
      <w:r w:rsidRPr="00B35CB9">
        <w:rPr>
          <w:rFonts w:ascii="Arial"/>
          <w:spacing w:val="-1"/>
          <w:sz w:val="18"/>
          <w:highlight w:val="green"/>
        </w:rPr>
        <w:t>any</w:t>
      </w:r>
      <w:r w:rsidRPr="00B35CB9">
        <w:rPr>
          <w:rFonts w:ascii="Arial"/>
          <w:spacing w:val="44"/>
          <w:sz w:val="18"/>
          <w:highlight w:val="green"/>
        </w:rPr>
        <w:t xml:space="preserve"> </w:t>
      </w:r>
      <w:r w:rsidRPr="00B35CB9">
        <w:rPr>
          <w:rFonts w:ascii="Arial"/>
          <w:spacing w:val="-1"/>
          <w:sz w:val="18"/>
          <w:highlight w:val="green"/>
        </w:rPr>
        <w:t>Call</w:t>
      </w:r>
      <w:r w:rsidRPr="00B35CB9">
        <w:rPr>
          <w:rFonts w:ascii="Arial"/>
          <w:spacing w:val="46"/>
          <w:sz w:val="18"/>
          <w:highlight w:val="green"/>
        </w:rPr>
        <w:t xml:space="preserve"> </w:t>
      </w:r>
      <w:r w:rsidRPr="00B35CB9">
        <w:rPr>
          <w:rFonts w:ascii="Arial"/>
          <w:spacing w:val="-1"/>
          <w:sz w:val="18"/>
          <w:highlight w:val="green"/>
        </w:rPr>
        <w:t>Off</w:t>
      </w:r>
      <w:r w:rsidRPr="00B35CB9">
        <w:rPr>
          <w:rFonts w:ascii="Arial"/>
          <w:spacing w:val="46"/>
          <w:sz w:val="18"/>
          <w:highlight w:val="green"/>
        </w:rPr>
        <w:t xml:space="preserve"> </w:t>
      </w:r>
      <w:r w:rsidRPr="00B35CB9">
        <w:rPr>
          <w:rFonts w:ascii="Arial"/>
          <w:spacing w:val="-1"/>
          <w:sz w:val="18"/>
          <w:highlight w:val="green"/>
        </w:rPr>
        <w:t>Extension</w:t>
      </w:r>
      <w:r w:rsidRPr="00B35CB9">
        <w:rPr>
          <w:rFonts w:ascii="Arial"/>
          <w:spacing w:val="46"/>
          <w:sz w:val="18"/>
          <w:highlight w:val="green"/>
        </w:rPr>
        <w:t xml:space="preserve"> </w:t>
      </w:r>
      <w:r w:rsidRPr="00B35CB9">
        <w:rPr>
          <w:rFonts w:ascii="Arial"/>
          <w:sz w:val="18"/>
          <w:highlight w:val="green"/>
        </w:rPr>
        <w:t>Period</w:t>
      </w:r>
      <w:r w:rsidRPr="00B35CB9">
        <w:rPr>
          <w:rFonts w:ascii="Arial"/>
          <w:spacing w:val="44"/>
          <w:sz w:val="18"/>
          <w:highlight w:val="green"/>
        </w:rPr>
        <w:t xml:space="preserve"> </w:t>
      </w:r>
      <w:r w:rsidRPr="00B35CB9">
        <w:rPr>
          <w:rFonts w:ascii="Arial"/>
          <w:sz w:val="18"/>
          <w:highlight w:val="green"/>
        </w:rPr>
        <w:t>is</w:t>
      </w:r>
      <w:r w:rsidRPr="00B35CB9">
        <w:rPr>
          <w:rFonts w:ascii="Arial"/>
          <w:spacing w:val="47"/>
          <w:sz w:val="18"/>
          <w:highlight w:val="green"/>
        </w:rPr>
        <w:t xml:space="preserve"> </w:t>
      </w:r>
      <w:r w:rsidRPr="00B35CB9">
        <w:rPr>
          <w:rFonts w:ascii="Arial"/>
          <w:sz w:val="18"/>
          <w:highlight w:val="green"/>
        </w:rPr>
        <w:t>to</w:t>
      </w:r>
      <w:r w:rsidRPr="00B35CB9">
        <w:rPr>
          <w:rFonts w:ascii="Arial"/>
          <w:spacing w:val="46"/>
          <w:sz w:val="18"/>
          <w:highlight w:val="green"/>
        </w:rPr>
        <w:t xml:space="preserve"> </w:t>
      </w:r>
      <w:r w:rsidRPr="00B35CB9">
        <w:rPr>
          <w:rFonts w:ascii="Arial"/>
          <w:spacing w:val="-1"/>
          <w:sz w:val="18"/>
          <w:highlight w:val="green"/>
        </w:rPr>
        <w:t>expire.</w:t>
      </w:r>
      <w:r w:rsidRPr="00B35CB9">
        <w:rPr>
          <w:rFonts w:ascii="Arial"/>
          <w:spacing w:val="46"/>
          <w:sz w:val="18"/>
          <w:highlight w:val="green"/>
        </w:rPr>
        <w:t xml:space="preserve"> </w:t>
      </w:r>
      <w:r w:rsidRPr="00B35CB9">
        <w:rPr>
          <w:rFonts w:ascii="Arial"/>
          <w:spacing w:val="-1"/>
          <w:sz w:val="18"/>
          <w:highlight w:val="green"/>
        </w:rPr>
        <w:t>Note</w:t>
      </w:r>
      <w:r w:rsidRPr="00B35CB9">
        <w:rPr>
          <w:rFonts w:ascii="Arial"/>
          <w:spacing w:val="46"/>
          <w:sz w:val="18"/>
          <w:highlight w:val="green"/>
        </w:rPr>
        <w:t xml:space="preserve"> </w:t>
      </w:r>
      <w:r w:rsidRPr="00B35CB9">
        <w:rPr>
          <w:rFonts w:ascii="Arial"/>
          <w:sz w:val="18"/>
          <w:highlight w:val="green"/>
        </w:rPr>
        <w:t>the</w:t>
      </w:r>
      <w:r w:rsidRPr="00B35CB9">
        <w:rPr>
          <w:rFonts w:ascii="Arial"/>
          <w:spacing w:val="46"/>
          <w:sz w:val="18"/>
          <w:highlight w:val="green"/>
        </w:rPr>
        <w:t xml:space="preserve"> </w:t>
      </w:r>
      <w:r w:rsidRPr="00B35CB9">
        <w:rPr>
          <w:rFonts w:ascii="Arial"/>
          <w:spacing w:val="-1"/>
          <w:sz w:val="18"/>
          <w:highlight w:val="green"/>
        </w:rPr>
        <w:t>Crown Commercial</w:t>
      </w:r>
      <w:r w:rsidRPr="00B35CB9">
        <w:rPr>
          <w:rFonts w:ascii="Arial"/>
          <w:spacing w:val="8"/>
          <w:sz w:val="18"/>
          <w:highlight w:val="green"/>
        </w:rPr>
        <w:t xml:space="preserve"> </w:t>
      </w:r>
      <w:r w:rsidRPr="00B35CB9">
        <w:rPr>
          <w:rFonts w:ascii="Arial"/>
          <w:spacing w:val="-1"/>
          <w:sz w:val="18"/>
          <w:highlight w:val="green"/>
        </w:rPr>
        <w:t>Service</w:t>
      </w:r>
      <w:r w:rsidRPr="00B35CB9">
        <w:rPr>
          <w:rFonts w:ascii="Arial"/>
          <w:spacing w:val="5"/>
          <w:sz w:val="18"/>
          <w:highlight w:val="green"/>
        </w:rPr>
        <w:t xml:space="preserve"> </w:t>
      </w:r>
      <w:r w:rsidRPr="00B35CB9">
        <w:rPr>
          <w:rFonts w:ascii="Arial"/>
          <w:spacing w:val="-1"/>
          <w:sz w:val="18"/>
          <w:highlight w:val="green"/>
        </w:rPr>
        <w:t>recommends</w:t>
      </w:r>
      <w:r w:rsidRPr="00B35CB9">
        <w:rPr>
          <w:rFonts w:ascii="Arial"/>
          <w:spacing w:val="6"/>
          <w:sz w:val="18"/>
          <w:highlight w:val="green"/>
        </w:rPr>
        <w:t xml:space="preserve"> </w:t>
      </w:r>
      <w:r w:rsidRPr="00B35CB9">
        <w:rPr>
          <w:rFonts w:ascii="Arial"/>
          <w:sz w:val="18"/>
          <w:highlight w:val="green"/>
        </w:rPr>
        <w:t>that</w:t>
      </w:r>
      <w:r w:rsidRPr="00B35CB9">
        <w:rPr>
          <w:rFonts w:ascii="Arial"/>
          <w:spacing w:val="5"/>
          <w:sz w:val="18"/>
          <w:highlight w:val="green"/>
        </w:rPr>
        <w:t xml:space="preserve"> </w:t>
      </w:r>
      <w:r w:rsidRPr="00B35CB9">
        <w:rPr>
          <w:rFonts w:ascii="Arial"/>
          <w:sz w:val="18"/>
          <w:highlight w:val="green"/>
        </w:rPr>
        <w:t>the</w:t>
      </w:r>
      <w:r w:rsidRPr="00B35CB9">
        <w:rPr>
          <w:rFonts w:ascii="Arial"/>
          <w:spacing w:val="5"/>
          <w:sz w:val="18"/>
          <w:highlight w:val="green"/>
        </w:rPr>
        <w:t xml:space="preserve"> </w:t>
      </w:r>
      <w:r w:rsidRPr="00B35CB9">
        <w:rPr>
          <w:rFonts w:ascii="Arial"/>
          <w:spacing w:val="-1"/>
          <w:sz w:val="18"/>
          <w:highlight w:val="green"/>
        </w:rPr>
        <w:t>duration</w:t>
      </w:r>
      <w:r w:rsidRPr="00B35CB9">
        <w:rPr>
          <w:rFonts w:ascii="Arial"/>
          <w:spacing w:val="8"/>
          <w:sz w:val="18"/>
          <w:highlight w:val="green"/>
        </w:rPr>
        <w:t xml:space="preserve"> </w:t>
      </w:r>
      <w:r w:rsidRPr="00B35CB9">
        <w:rPr>
          <w:rFonts w:ascii="Arial"/>
          <w:spacing w:val="-1"/>
          <w:sz w:val="18"/>
          <w:highlight w:val="green"/>
        </w:rPr>
        <w:t>of</w:t>
      </w:r>
      <w:r w:rsidRPr="00B35CB9">
        <w:rPr>
          <w:rFonts w:ascii="Arial"/>
          <w:spacing w:val="7"/>
          <w:sz w:val="18"/>
          <w:highlight w:val="green"/>
        </w:rPr>
        <w:t xml:space="preserve"> </w:t>
      </w:r>
      <w:r w:rsidRPr="00B35CB9">
        <w:rPr>
          <w:rFonts w:ascii="Arial"/>
          <w:spacing w:val="-1"/>
          <w:sz w:val="18"/>
          <w:highlight w:val="green"/>
        </w:rPr>
        <w:t>the</w:t>
      </w:r>
      <w:r w:rsidRPr="00B35CB9">
        <w:rPr>
          <w:rFonts w:ascii="Arial"/>
          <w:spacing w:val="8"/>
          <w:sz w:val="18"/>
          <w:highlight w:val="green"/>
        </w:rPr>
        <w:t xml:space="preserve"> </w:t>
      </w:r>
      <w:r w:rsidRPr="00B35CB9">
        <w:rPr>
          <w:rFonts w:ascii="Arial"/>
          <w:spacing w:val="-1"/>
          <w:sz w:val="18"/>
          <w:highlight w:val="green"/>
        </w:rPr>
        <w:t>Call</w:t>
      </w:r>
      <w:r w:rsidRPr="00B35CB9">
        <w:rPr>
          <w:rFonts w:ascii="Arial"/>
          <w:spacing w:val="8"/>
          <w:sz w:val="18"/>
          <w:highlight w:val="green"/>
        </w:rPr>
        <w:t xml:space="preserve"> </w:t>
      </w:r>
      <w:r w:rsidRPr="00B35CB9">
        <w:rPr>
          <w:rFonts w:ascii="Arial"/>
          <w:spacing w:val="-1"/>
          <w:sz w:val="18"/>
          <w:highlight w:val="green"/>
        </w:rPr>
        <w:t>Off</w:t>
      </w:r>
      <w:r w:rsidRPr="00B35CB9">
        <w:rPr>
          <w:rFonts w:ascii="Arial"/>
          <w:spacing w:val="5"/>
          <w:sz w:val="18"/>
          <w:highlight w:val="green"/>
        </w:rPr>
        <w:t xml:space="preserve"> </w:t>
      </w:r>
      <w:r w:rsidRPr="00B35CB9">
        <w:rPr>
          <w:rFonts w:ascii="Arial"/>
          <w:spacing w:val="-1"/>
          <w:sz w:val="18"/>
          <w:highlight w:val="green"/>
        </w:rPr>
        <w:t>Contract</w:t>
      </w:r>
      <w:r w:rsidRPr="00B35CB9">
        <w:rPr>
          <w:rFonts w:ascii="Arial"/>
          <w:spacing w:val="5"/>
          <w:sz w:val="18"/>
          <w:highlight w:val="green"/>
        </w:rPr>
        <w:t xml:space="preserve"> </w:t>
      </w:r>
      <w:r w:rsidR="007F77FD" w:rsidRPr="00B35CB9">
        <w:rPr>
          <w:rFonts w:ascii="Arial"/>
          <w:spacing w:val="-1"/>
          <w:sz w:val="18"/>
          <w:highlight w:val="green"/>
        </w:rPr>
        <w:t>Period</w:t>
      </w:r>
      <w:r w:rsidR="007F77FD" w:rsidRPr="00B35CB9">
        <w:rPr>
          <w:rFonts w:ascii="Arial"/>
          <w:sz w:val="18"/>
          <w:highlight w:val="green"/>
        </w:rPr>
        <w:t xml:space="preserve"> </w:t>
      </w:r>
      <w:r w:rsidR="007F77FD" w:rsidRPr="00B35CB9">
        <w:rPr>
          <w:rFonts w:ascii="Arial"/>
          <w:spacing w:val="13"/>
          <w:sz w:val="18"/>
          <w:highlight w:val="green"/>
        </w:rPr>
        <w:t>should</w:t>
      </w:r>
      <w:r w:rsidRPr="00B35CB9">
        <w:rPr>
          <w:rFonts w:ascii="Arial"/>
          <w:spacing w:val="5"/>
          <w:sz w:val="18"/>
          <w:highlight w:val="green"/>
        </w:rPr>
        <w:t xml:space="preserve"> </w:t>
      </w:r>
      <w:r w:rsidRPr="00B35CB9">
        <w:rPr>
          <w:rFonts w:ascii="Arial"/>
          <w:spacing w:val="-1"/>
          <w:sz w:val="18"/>
          <w:highlight w:val="green"/>
        </w:rPr>
        <w:t>usually</w:t>
      </w:r>
      <w:r w:rsidRPr="00B35CB9">
        <w:rPr>
          <w:rFonts w:ascii="Arial"/>
          <w:spacing w:val="3"/>
          <w:sz w:val="18"/>
          <w:highlight w:val="green"/>
        </w:rPr>
        <w:t xml:space="preserve"> </w:t>
      </w:r>
      <w:r w:rsidRPr="00B35CB9">
        <w:rPr>
          <w:rFonts w:ascii="Arial"/>
          <w:sz w:val="18"/>
          <w:highlight w:val="green"/>
        </w:rPr>
        <w:t>be</w:t>
      </w:r>
      <w:r w:rsidRPr="00B35CB9">
        <w:rPr>
          <w:rFonts w:ascii="Arial"/>
          <w:spacing w:val="5"/>
          <w:sz w:val="18"/>
          <w:highlight w:val="green"/>
        </w:rPr>
        <w:t xml:space="preserve"> </w:t>
      </w:r>
      <w:r w:rsidRPr="00B35CB9">
        <w:rPr>
          <w:rFonts w:ascii="Arial"/>
          <w:sz w:val="18"/>
          <w:highlight w:val="green"/>
        </w:rPr>
        <w:t>no</w:t>
      </w:r>
      <w:r w:rsidRPr="00B35CB9">
        <w:rPr>
          <w:rFonts w:ascii="Arial"/>
          <w:spacing w:val="5"/>
          <w:sz w:val="18"/>
          <w:highlight w:val="green"/>
        </w:rPr>
        <w:t xml:space="preserve"> </w:t>
      </w:r>
      <w:r w:rsidRPr="00B35CB9">
        <w:rPr>
          <w:rFonts w:ascii="Arial"/>
          <w:spacing w:val="-1"/>
          <w:sz w:val="18"/>
          <w:highlight w:val="green"/>
        </w:rPr>
        <w:t>longer</w:t>
      </w:r>
      <w:r>
        <w:rPr>
          <w:rFonts w:ascii="Arial"/>
          <w:spacing w:val="-1"/>
          <w:sz w:val="18"/>
        </w:rPr>
        <w:t>]</w:t>
      </w:r>
    </w:p>
    <w:p w:rsidR="008918FA" w:rsidRDefault="008918FA" w:rsidP="008918FA">
      <w:pPr>
        <w:pStyle w:val="Heading1"/>
        <w:numPr>
          <w:ilvl w:val="0"/>
          <w:numId w:val="74"/>
        </w:numPr>
        <w:tabs>
          <w:tab w:val="left" w:pos="728"/>
        </w:tabs>
        <w:spacing w:before="57"/>
        <w:ind w:left="727" w:hanging="427"/>
        <w:jc w:val="left"/>
        <w:rPr>
          <w:b w:val="0"/>
          <w:bCs w:val="0"/>
        </w:rPr>
      </w:pPr>
      <w:r>
        <w:rPr>
          <w:spacing w:val="-1"/>
        </w:rPr>
        <w:lastRenderedPageBreak/>
        <w:t>CUSTOMER</w:t>
      </w:r>
      <w:r>
        <w:t xml:space="preserve"> </w:t>
      </w:r>
      <w:r>
        <w:rPr>
          <w:spacing w:val="-1"/>
        </w:rPr>
        <w:t>CORE</w:t>
      </w:r>
      <w:r>
        <w:rPr>
          <w:spacing w:val="-2"/>
        </w:rPr>
        <w:t xml:space="preserve"> </w:t>
      </w:r>
      <w:r>
        <w:rPr>
          <w:spacing w:val="-1"/>
        </w:rPr>
        <w:t>GOODS</w:t>
      </w:r>
      <w:r>
        <w:rPr>
          <w:spacing w:val="2"/>
        </w:rPr>
        <w:t xml:space="preserve"> </w:t>
      </w:r>
      <w:r>
        <w:rPr>
          <w:spacing w:val="-2"/>
        </w:rPr>
        <w:t>AND/OR</w:t>
      </w:r>
      <w:r>
        <w:t xml:space="preserve"> </w:t>
      </w:r>
      <w:r>
        <w:rPr>
          <w:spacing w:val="-1"/>
        </w:rPr>
        <w:t>SERVICES</w:t>
      </w:r>
      <w:r>
        <w:t xml:space="preserve"> </w:t>
      </w:r>
      <w:r>
        <w:rPr>
          <w:spacing w:val="-1"/>
        </w:rPr>
        <w:t>REQUIREMENTS</w:t>
      </w:r>
    </w:p>
    <w:p w:rsidR="008918FA" w:rsidRDefault="008918FA" w:rsidP="008918FA">
      <w:pPr>
        <w:spacing w:before="7"/>
        <w:rPr>
          <w:rFonts w:ascii="Arial" w:eastAsia="Arial" w:hAnsi="Arial" w:cs="Arial"/>
          <w:b/>
          <w:bCs/>
          <w:sz w:val="18"/>
          <w:szCs w:val="18"/>
        </w:rPr>
      </w:pPr>
    </w:p>
    <w:p w:rsidR="008918FA" w:rsidRDefault="008918FA" w:rsidP="008918FA">
      <w:pPr>
        <w:numPr>
          <w:ilvl w:val="1"/>
          <w:numId w:val="74"/>
        </w:numPr>
        <w:tabs>
          <w:tab w:val="left" w:pos="1294"/>
        </w:tabs>
        <w:ind w:left="1293" w:hanging="566"/>
        <w:rPr>
          <w:rFonts w:ascii="Arial" w:eastAsia="Arial" w:hAnsi="Arial" w:cs="Arial"/>
          <w:sz w:val="14"/>
          <w:szCs w:val="14"/>
        </w:rPr>
      </w:pPr>
      <w:r>
        <w:rPr>
          <w:rFonts w:ascii="Arial"/>
          <w:b/>
          <w:spacing w:val="-1"/>
        </w:rPr>
        <w:t>Goods and/or Services</w:t>
      </w:r>
      <w:r>
        <w:rPr>
          <w:rFonts w:ascii="Arial"/>
          <w:b/>
          <w:spacing w:val="1"/>
        </w:rPr>
        <w:t xml:space="preserve"> </w:t>
      </w:r>
      <w:r>
        <w:rPr>
          <w:rFonts w:ascii="Arial"/>
          <w:b/>
          <w:spacing w:val="-1"/>
        </w:rPr>
        <w:t>require</w:t>
      </w:r>
      <w:r w:rsidRPr="007F77FD">
        <w:rPr>
          <w:rFonts w:ascii="Arial"/>
          <w:b/>
          <w:spacing w:val="-1"/>
        </w:rPr>
        <w:t>d</w:t>
      </w:r>
      <w:hyperlink w:anchor="_bookmark6" w:history="1">
        <w:r>
          <w:rPr>
            <w:rFonts w:ascii="Arial"/>
            <w:b/>
            <w:position w:val="10"/>
            <w:sz w:val="14"/>
          </w:rPr>
          <w:t>7</w:t>
        </w:r>
      </w:hyperlink>
    </w:p>
    <w:p w:rsidR="008918FA" w:rsidRDefault="008918FA" w:rsidP="008918FA">
      <w:pPr>
        <w:pStyle w:val="BodyText"/>
        <w:spacing w:before="124"/>
        <w:ind w:left="1293" w:firstLine="0"/>
      </w:pPr>
      <w:r>
        <w:rPr>
          <w:spacing w:val="1"/>
          <w:highlight w:val="yellow"/>
        </w:rPr>
        <w:t>[In</w:t>
      </w:r>
      <w:r>
        <w:rPr>
          <w:spacing w:val="-3"/>
          <w:highlight w:val="yellow"/>
        </w:rPr>
        <w:t xml:space="preserve"> </w:t>
      </w:r>
      <w:r>
        <w:rPr>
          <w:spacing w:val="-2"/>
          <w:highlight w:val="yellow"/>
        </w:rPr>
        <w:t>Call</w:t>
      </w:r>
      <w:r>
        <w:rPr>
          <w:highlight w:val="yellow"/>
        </w:rPr>
        <w:t xml:space="preserve"> </w:t>
      </w:r>
      <w:r>
        <w:rPr>
          <w:spacing w:val="-1"/>
          <w:highlight w:val="yellow"/>
        </w:rPr>
        <w:t>Off</w:t>
      </w:r>
      <w:r>
        <w:rPr>
          <w:spacing w:val="2"/>
          <w:highlight w:val="yellow"/>
        </w:rPr>
        <w:t xml:space="preserve"> </w:t>
      </w:r>
      <w:r>
        <w:rPr>
          <w:spacing w:val="-2"/>
          <w:highlight w:val="yellow"/>
        </w:rPr>
        <w:t>Schedule</w:t>
      </w:r>
      <w:r>
        <w:rPr>
          <w:highlight w:val="yellow"/>
        </w:rPr>
        <w:t xml:space="preserve"> 2</w:t>
      </w:r>
      <w:r>
        <w:rPr>
          <w:spacing w:val="-2"/>
          <w:highlight w:val="yellow"/>
        </w:rPr>
        <w:t xml:space="preserve"> </w:t>
      </w:r>
      <w:r>
        <w:rPr>
          <w:spacing w:val="-1"/>
          <w:highlight w:val="yellow"/>
        </w:rPr>
        <w:t>(Goods</w:t>
      </w:r>
      <w:r>
        <w:rPr>
          <w:spacing w:val="1"/>
          <w:highlight w:val="yellow"/>
        </w:rPr>
        <w:t xml:space="preserve"> </w:t>
      </w:r>
      <w:r>
        <w:rPr>
          <w:spacing w:val="-1"/>
          <w:highlight w:val="yellow"/>
        </w:rPr>
        <w:t>and</w:t>
      </w:r>
      <w:r>
        <w:rPr>
          <w:spacing w:val="-2"/>
          <w:highlight w:val="yellow"/>
        </w:rPr>
        <w:t xml:space="preserve"> </w:t>
      </w:r>
      <w:r>
        <w:rPr>
          <w:spacing w:val="-1"/>
          <w:highlight w:val="yellow"/>
        </w:rPr>
        <w:t>Services)]</w:t>
      </w:r>
    </w:p>
    <w:p w:rsidR="008918FA" w:rsidRPr="00B35CB9" w:rsidRDefault="008918FA" w:rsidP="008918FA">
      <w:pPr>
        <w:pStyle w:val="Heading1"/>
        <w:numPr>
          <w:ilvl w:val="1"/>
          <w:numId w:val="74"/>
        </w:numPr>
        <w:tabs>
          <w:tab w:val="left" w:pos="1294"/>
        </w:tabs>
        <w:ind w:left="1293" w:hanging="566"/>
        <w:rPr>
          <w:b w:val="0"/>
          <w:bCs w:val="0"/>
        </w:rPr>
      </w:pPr>
      <w:r>
        <w:rPr>
          <w:spacing w:val="-1"/>
        </w:rPr>
        <w:t>[Installation</w:t>
      </w:r>
      <w:r>
        <w:rPr>
          <w:spacing w:val="-2"/>
        </w:rPr>
        <w:t xml:space="preserve"> </w:t>
      </w:r>
      <w:r>
        <w:rPr>
          <w:spacing w:val="-1"/>
        </w:rPr>
        <w:t>Works</w:t>
      </w:r>
      <w:r>
        <w:rPr>
          <w:spacing w:val="-2"/>
        </w:rPr>
        <w:t xml:space="preserve"> </w:t>
      </w:r>
      <w:r>
        <w:rPr>
          <w:spacing w:val="-1"/>
        </w:rPr>
        <w:t>(Goods</w:t>
      </w:r>
      <w:r>
        <w:t xml:space="preserve"> </w:t>
      </w:r>
      <w:r>
        <w:rPr>
          <w:spacing w:val="-2"/>
        </w:rPr>
        <w:t>only)]</w:t>
      </w:r>
    </w:p>
    <w:p w:rsidR="008918FA" w:rsidRPr="00B35CB9" w:rsidRDefault="00B35CB9" w:rsidP="00B35CB9">
      <w:pPr>
        <w:pStyle w:val="Heading1"/>
        <w:tabs>
          <w:tab w:val="left" w:pos="1294"/>
        </w:tabs>
        <w:ind w:left="1293" w:firstLine="0"/>
        <w:rPr>
          <w:b w:val="0"/>
          <w:bCs w:val="0"/>
        </w:rPr>
      </w:pPr>
      <w:r w:rsidRPr="00B35CB9">
        <w:rPr>
          <w:spacing w:val="-2"/>
          <w:highlight w:val="yellow"/>
        </w:rPr>
        <w:t xml:space="preserve">[                               ] </w:t>
      </w:r>
      <w:hyperlink w:anchor="_bookmark7" w:history="1">
        <w:r w:rsidRPr="00B35CB9">
          <w:rPr>
            <w:b w:val="0"/>
            <w:sz w:val="14"/>
            <w:highlight w:val="yellow"/>
          </w:rPr>
          <w:t>8</w:t>
        </w:r>
      </w:hyperlink>
    </w:p>
    <w:p w:rsidR="008918FA" w:rsidRDefault="008918FA" w:rsidP="008918FA">
      <w:pPr>
        <w:numPr>
          <w:ilvl w:val="1"/>
          <w:numId w:val="74"/>
        </w:numPr>
        <w:tabs>
          <w:tab w:val="left" w:pos="1294"/>
        </w:tabs>
        <w:spacing w:before="115"/>
        <w:ind w:left="1293" w:hanging="566"/>
        <w:rPr>
          <w:rFonts w:ascii="Arial" w:eastAsia="Arial" w:hAnsi="Arial" w:cs="Arial"/>
        </w:rPr>
      </w:pPr>
      <w:r>
        <w:rPr>
          <w:rFonts w:ascii="Arial"/>
          <w:b/>
          <w:spacing w:val="-1"/>
        </w:rPr>
        <w:t>[Packing/Packaging</w:t>
      </w:r>
      <w:r>
        <w:rPr>
          <w:rFonts w:ascii="Arial"/>
          <w:b/>
          <w:spacing w:val="-2"/>
        </w:rPr>
        <w:t xml:space="preserve"> (Goods</w:t>
      </w:r>
      <w:r>
        <w:rPr>
          <w:rFonts w:ascii="Arial"/>
          <w:b/>
        </w:rPr>
        <w:t xml:space="preserve"> </w:t>
      </w:r>
      <w:r>
        <w:rPr>
          <w:rFonts w:ascii="Arial"/>
          <w:b/>
          <w:spacing w:val="-2"/>
        </w:rPr>
        <w:t>only)]</w:t>
      </w:r>
    </w:p>
    <w:p w:rsidR="008918FA" w:rsidRDefault="008918FA" w:rsidP="008918FA">
      <w:pPr>
        <w:spacing w:before="8"/>
        <w:rPr>
          <w:rFonts w:ascii="Arial" w:eastAsia="Arial" w:hAnsi="Arial" w:cs="Arial"/>
          <w:b/>
          <w:bCs/>
          <w:sz w:val="9"/>
          <w:szCs w:val="9"/>
        </w:rPr>
      </w:pPr>
    </w:p>
    <w:p w:rsidR="008918FA" w:rsidRPr="00B35CB9" w:rsidRDefault="00B35CB9" w:rsidP="00B35CB9">
      <w:pPr>
        <w:pStyle w:val="Heading1"/>
        <w:tabs>
          <w:tab w:val="left" w:pos="1294"/>
        </w:tabs>
        <w:ind w:left="1293" w:firstLine="0"/>
        <w:rPr>
          <w:b w:val="0"/>
          <w:bCs w:val="0"/>
        </w:rPr>
      </w:pPr>
      <w:r w:rsidRPr="00B35CB9">
        <w:rPr>
          <w:spacing w:val="-2"/>
          <w:highlight w:val="yellow"/>
        </w:rPr>
        <w:t xml:space="preserve">[                               ] </w:t>
      </w:r>
      <w:hyperlink w:anchor="_bookmark7" w:history="1">
        <w:r>
          <w:rPr>
            <w:b w:val="0"/>
            <w:sz w:val="14"/>
            <w:highlight w:val="yellow"/>
          </w:rPr>
          <w:t>9</w:t>
        </w:r>
      </w:hyperlink>
    </w:p>
    <w:p w:rsidR="008918FA" w:rsidRDefault="008918FA" w:rsidP="008918FA">
      <w:pPr>
        <w:numPr>
          <w:ilvl w:val="1"/>
          <w:numId w:val="74"/>
        </w:numPr>
        <w:tabs>
          <w:tab w:val="left" w:pos="1294"/>
        </w:tabs>
        <w:spacing w:before="115"/>
        <w:ind w:left="1293" w:hanging="566"/>
        <w:rPr>
          <w:rFonts w:ascii="Arial" w:eastAsia="Arial" w:hAnsi="Arial" w:cs="Arial"/>
        </w:rPr>
      </w:pPr>
      <w:r>
        <w:rPr>
          <w:rFonts w:ascii="Arial"/>
          <w:b/>
          <w:spacing w:val="-1"/>
        </w:rPr>
        <w:t>[Warranty</w:t>
      </w:r>
      <w:r>
        <w:rPr>
          <w:rFonts w:ascii="Arial"/>
          <w:b/>
          <w:spacing w:val="-4"/>
        </w:rPr>
        <w:t xml:space="preserve"> </w:t>
      </w:r>
      <w:r>
        <w:rPr>
          <w:rFonts w:ascii="Arial"/>
          <w:b/>
          <w:spacing w:val="-1"/>
        </w:rPr>
        <w:t>Period</w:t>
      </w:r>
      <w:r>
        <w:rPr>
          <w:rFonts w:ascii="Arial"/>
          <w:b/>
        </w:rPr>
        <w:t xml:space="preserve"> </w:t>
      </w:r>
      <w:r>
        <w:rPr>
          <w:rFonts w:ascii="Arial"/>
          <w:b/>
          <w:spacing w:val="-1"/>
        </w:rPr>
        <w:t>(Goods</w:t>
      </w:r>
      <w:r>
        <w:rPr>
          <w:rFonts w:ascii="Arial"/>
          <w:b/>
        </w:rPr>
        <w:t xml:space="preserve"> </w:t>
      </w:r>
      <w:r>
        <w:rPr>
          <w:rFonts w:ascii="Arial"/>
          <w:b/>
          <w:spacing w:val="-2"/>
        </w:rPr>
        <w:t>only)]</w:t>
      </w:r>
    </w:p>
    <w:p w:rsidR="008918FA" w:rsidRDefault="008918FA" w:rsidP="008918FA">
      <w:pPr>
        <w:spacing w:before="8"/>
        <w:rPr>
          <w:rFonts w:ascii="Arial" w:eastAsia="Arial" w:hAnsi="Arial" w:cs="Arial"/>
          <w:b/>
          <w:bCs/>
          <w:sz w:val="9"/>
          <w:szCs w:val="9"/>
        </w:rPr>
      </w:pPr>
    </w:p>
    <w:p w:rsidR="00B35CB9" w:rsidRPr="00B35CB9" w:rsidRDefault="00B35CB9" w:rsidP="00B35CB9">
      <w:pPr>
        <w:pStyle w:val="Heading1"/>
        <w:tabs>
          <w:tab w:val="left" w:pos="1294"/>
        </w:tabs>
        <w:ind w:left="1293" w:firstLine="0"/>
        <w:rPr>
          <w:b w:val="0"/>
          <w:bCs w:val="0"/>
        </w:rPr>
      </w:pPr>
      <w:r w:rsidRPr="00B35CB9">
        <w:rPr>
          <w:spacing w:val="-2"/>
          <w:highlight w:val="yellow"/>
        </w:rPr>
        <w:t xml:space="preserve">[                               ] </w:t>
      </w:r>
      <w:hyperlink w:anchor="_bookmark7" w:history="1">
        <w:r>
          <w:rPr>
            <w:b w:val="0"/>
            <w:sz w:val="14"/>
            <w:highlight w:val="yellow"/>
          </w:rPr>
          <w:t>10</w:t>
        </w:r>
      </w:hyperlink>
    </w:p>
    <w:p w:rsidR="008918FA" w:rsidRDefault="008918FA" w:rsidP="008918FA">
      <w:pPr>
        <w:pStyle w:val="Heading1"/>
        <w:numPr>
          <w:ilvl w:val="1"/>
          <w:numId w:val="74"/>
        </w:numPr>
        <w:tabs>
          <w:tab w:val="left" w:pos="1294"/>
        </w:tabs>
        <w:spacing w:before="126"/>
        <w:ind w:left="1293" w:hanging="566"/>
        <w:rPr>
          <w:b w:val="0"/>
          <w:bCs w:val="0"/>
        </w:rPr>
      </w:pPr>
      <w:r>
        <w:rPr>
          <w:spacing w:val="-1"/>
        </w:rPr>
        <w:t>Location/Sites</w:t>
      </w:r>
      <w:r>
        <w:rPr>
          <w:spacing w:val="-2"/>
        </w:rPr>
        <w:t xml:space="preserve"> </w:t>
      </w:r>
      <w:r>
        <w:rPr>
          <w:spacing w:val="-1"/>
        </w:rPr>
        <w:t>of Delivery</w:t>
      </w:r>
    </w:p>
    <w:p w:rsidR="008918FA" w:rsidRDefault="008918FA" w:rsidP="008918FA">
      <w:pPr>
        <w:spacing w:before="8"/>
        <w:rPr>
          <w:rFonts w:ascii="Arial" w:eastAsia="Arial" w:hAnsi="Arial" w:cs="Arial"/>
          <w:b/>
          <w:bCs/>
          <w:sz w:val="9"/>
          <w:szCs w:val="9"/>
        </w:rPr>
      </w:pPr>
    </w:p>
    <w:p w:rsidR="00B35CB9" w:rsidRPr="00B35CB9" w:rsidRDefault="00B35CB9" w:rsidP="00B35CB9">
      <w:pPr>
        <w:pStyle w:val="Heading1"/>
        <w:tabs>
          <w:tab w:val="left" w:pos="1294"/>
        </w:tabs>
        <w:ind w:left="1293" w:firstLine="0"/>
        <w:rPr>
          <w:b w:val="0"/>
          <w:bCs w:val="0"/>
        </w:rPr>
      </w:pPr>
      <w:r w:rsidRPr="00B35CB9">
        <w:rPr>
          <w:spacing w:val="-2"/>
          <w:highlight w:val="yellow"/>
        </w:rPr>
        <w:t xml:space="preserve">[                               ] </w:t>
      </w:r>
      <w:hyperlink w:anchor="_bookmark7" w:history="1">
        <w:r>
          <w:rPr>
            <w:b w:val="0"/>
            <w:sz w:val="14"/>
            <w:highlight w:val="yellow"/>
          </w:rPr>
          <w:t>1</w:t>
        </w:r>
      </w:hyperlink>
      <w:r>
        <w:rPr>
          <w:b w:val="0"/>
          <w:sz w:val="14"/>
        </w:rPr>
        <w:t>1</w:t>
      </w:r>
    </w:p>
    <w:p w:rsidR="008918FA" w:rsidRDefault="008918FA" w:rsidP="008918FA">
      <w:pPr>
        <w:pStyle w:val="Heading1"/>
        <w:numPr>
          <w:ilvl w:val="1"/>
          <w:numId w:val="74"/>
        </w:numPr>
        <w:tabs>
          <w:tab w:val="left" w:pos="1294"/>
        </w:tabs>
        <w:spacing w:before="123"/>
        <w:ind w:left="1293" w:hanging="566"/>
        <w:rPr>
          <w:b w:val="0"/>
          <w:bCs w:val="0"/>
        </w:rPr>
      </w:pPr>
      <w:r>
        <w:rPr>
          <w:spacing w:val="-1"/>
        </w:rPr>
        <w:t>Dates</w:t>
      </w:r>
      <w:r>
        <w:t xml:space="preserve"> </w:t>
      </w:r>
      <w:r>
        <w:rPr>
          <w:spacing w:val="-1"/>
        </w:rPr>
        <w:t>for</w:t>
      </w:r>
      <w:r>
        <w:rPr>
          <w:spacing w:val="1"/>
        </w:rPr>
        <w:t xml:space="preserve"> </w:t>
      </w:r>
      <w:r>
        <w:rPr>
          <w:spacing w:val="-1"/>
        </w:rPr>
        <w:t>Delivery</w:t>
      </w:r>
      <w:r>
        <w:rPr>
          <w:spacing w:val="-4"/>
        </w:rPr>
        <w:t xml:space="preserve"> </w:t>
      </w:r>
      <w:r>
        <w:rPr>
          <w:spacing w:val="-1"/>
        </w:rPr>
        <w:t>of</w:t>
      </w:r>
      <w:r>
        <w:rPr>
          <w:spacing w:val="2"/>
        </w:rPr>
        <w:t xml:space="preserve"> </w:t>
      </w:r>
      <w:r>
        <w:rPr>
          <w:spacing w:val="-1"/>
        </w:rPr>
        <w:t>the</w:t>
      </w:r>
      <w:r>
        <w:t xml:space="preserve"> </w:t>
      </w:r>
      <w:r>
        <w:rPr>
          <w:spacing w:val="-1"/>
        </w:rPr>
        <w:t>Goods</w:t>
      </w:r>
      <w:r>
        <w:rPr>
          <w:spacing w:val="-2"/>
        </w:rPr>
        <w:t xml:space="preserve"> </w:t>
      </w:r>
      <w:r>
        <w:rPr>
          <w:spacing w:val="-1"/>
        </w:rPr>
        <w:t>and/or the</w:t>
      </w:r>
      <w:r>
        <w:t xml:space="preserve"> </w:t>
      </w:r>
      <w:r>
        <w:rPr>
          <w:spacing w:val="-2"/>
        </w:rPr>
        <w:t>Services</w:t>
      </w:r>
    </w:p>
    <w:p w:rsidR="008918FA" w:rsidRDefault="008918FA" w:rsidP="008918FA">
      <w:pPr>
        <w:spacing w:before="11"/>
        <w:rPr>
          <w:rFonts w:ascii="Arial" w:eastAsia="Arial" w:hAnsi="Arial" w:cs="Arial"/>
          <w:b/>
          <w:bCs/>
          <w:sz w:val="9"/>
          <w:szCs w:val="9"/>
        </w:rPr>
      </w:pPr>
    </w:p>
    <w:p w:rsidR="00B35CB9" w:rsidRPr="00B35CB9" w:rsidRDefault="00B35CB9" w:rsidP="00B35CB9">
      <w:pPr>
        <w:pStyle w:val="Heading1"/>
        <w:tabs>
          <w:tab w:val="left" w:pos="1294"/>
        </w:tabs>
        <w:ind w:left="1293" w:firstLine="0"/>
        <w:rPr>
          <w:b w:val="0"/>
          <w:bCs w:val="0"/>
        </w:rPr>
      </w:pPr>
      <w:r w:rsidRPr="00B35CB9">
        <w:rPr>
          <w:spacing w:val="-2"/>
          <w:highlight w:val="yellow"/>
        </w:rPr>
        <w:t xml:space="preserve">[                               ] </w:t>
      </w:r>
      <w:hyperlink w:anchor="_bookmark7" w:history="1">
        <w:r>
          <w:rPr>
            <w:b w:val="0"/>
            <w:sz w:val="14"/>
            <w:highlight w:val="yellow"/>
          </w:rPr>
          <w:t>1</w:t>
        </w:r>
      </w:hyperlink>
      <w:r>
        <w:rPr>
          <w:b w:val="0"/>
          <w:sz w:val="14"/>
        </w:rPr>
        <w:t>2</w:t>
      </w:r>
    </w:p>
    <w:p w:rsidR="008918FA" w:rsidRDefault="008918FA" w:rsidP="008918FA">
      <w:pPr>
        <w:pStyle w:val="Heading1"/>
        <w:numPr>
          <w:ilvl w:val="1"/>
          <w:numId w:val="74"/>
        </w:numPr>
        <w:tabs>
          <w:tab w:val="left" w:pos="1294"/>
        </w:tabs>
        <w:spacing w:before="123"/>
        <w:ind w:left="1293" w:hanging="566"/>
        <w:rPr>
          <w:b w:val="0"/>
          <w:bCs w:val="0"/>
        </w:rPr>
      </w:pPr>
      <w:r>
        <w:rPr>
          <w:spacing w:val="-1"/>
        </w:rPr>
        <w:t>Implementation</w:t>
      </w:r>
      <w:r>
        <w:t xml:space="preserve"> </w:t>
      </w:r>
      <w:r>
        <w:rPr>
          <w:spacing w:val="-1"/>
        </w:rPr>
        <w:t>Plan</w:t>
      </w:r>
    </w:p>
    <w:p w:rsidR="008918FA" w:rsidRDefault="008918FA" w:rsidP="008918FA">
      <w:pPr>
        <w:pStyle w:val="BodyText"/>
        <w:spacing w:before="130" w:line="250" w:lineRule="exact"/>
        <w:ind w:left="1293" w:right="116" w:firstLine="0"/>
        <w:rPr>
          <w:rFonts w:cs="Arial"/>
          <w:sz w:val="14"/>
          <w:szCs w:val="14"/>
        </w:rPr>
      </w:pPr>
      <w:r w:rsidRPr="00B07633">
        <w:rPr>
          <w:highlight w:val="yellow"/>
        </w:rPr>
        <w:t>[In</w:t>
      </w:r>
      <w:r w:rsidRPr="00B07633">
        <w:rPr>
          <w:spacing w:val="10"/>
          <w:highlight w:val="yellow"/>
        </w:rPr>
        <w:t xml:space="preserve"> </w:t>
      </w:r>
      <w:r w:rsidRPr="00B07633">
        <w:rPr>
          <w:spacing w:val="-1"/>
          <w:highlight w:val="yellow"/>
        </w:rPr>
        <w:t>Part</w:t>
      </w:r>
      <w:r w:rsidRPr="00B07633">
        <w:rPr>
          <w:spacing w:val="11"/>
          <w:highlight w:val="yellow"/>
        </w:rPr>
        <w:t xml:space="preserve"> </w:t>
      </w:r>
      <w:r w:rsidRPr="00B07633">
        <w:rPr>
          <w:highlight w:val="yellow"/>
        </w:rPr>
        <w:t>A</w:t>
      </w:r>
      <w:r w:rsidRPr="00B07633">
        <w:rPr>
          <w:spacing w:val="12"/>
          <w:highlight w:val="yellow"/>
        </w:rPr>
        <w:t xml:space="preserve"> </w:t>
      </w:r>
      <w:r w:rsidRPr="00B07633">
        <w:rPr>
          <w:spacing w:val="-2"/>
          <w:highlight w:val="yellow"/>
        </w:rPr>
        <w:t>of</w:t>
      </w:r>
      <w:r w:rsidRPr="00B07633">
        <w:rPr>
          <w:spacing w:val="14"/>
          <w:highlight w:val="yellow"/>
        </w:rPr>
        <w:t xml:space="preserve"> </w:t>
      </w:r>
      <w:r w:rsidRPr="00B07633">
        <w:rPr>
          <w:spacing w:val="-2"/>
          <w:highlight w:val="yellow"/>
        </w:rPr>
        <w:t>Call</w:t>
      </w:r>
      <w:r w:rsidRPr="00B07633">
        <w:rPr>
          <w:spacing w:val="9"/>
          <w:highlight w:val="yellow"/>
        </w:rPr>
        <w:t xml:space="preserve"> </w:t>
      </w:r>
      <w:r w:rsidRPr="00B07633">
        <w:rPr>
          <w:spacing w:val="-1"/>
          <w:highlight w:val="yellow"/>
        </w:rPr>
        <w:t>Off</w:t>
      </w:r>
      <w:r w:rsidRPr="00B07633">
        <w:rPr>
          <w:spacing w:val="14"/>
          <w:highlight w:val="yellow"/>
        </w:rPr>
        <w:t xml:space="preserve"> </w:t>
      </w:r>
      <w:r w:rsidRPr="00B07633">
        <w:rPr>
          <w:spacing w:val="-2"/>
          <w:highlight w:val="yellow"/>
        </w:rPr>
        <w:t>Schedule</w:t>
      </w:r>
      <w:r w:rsidRPr="00B07633">
        <w:rPr>
          <w:spacing w:val="12"/>
          <w:highlight w:val="yellow"/>
        </w:rPr>
        <w:t xml:space="preserve"> </w:t>
      </w:r>
      <w:r w:rsidRPr="00B07633">
        <w:rPr>
          <w:highlight w:val="yellow"/>
        </w:rPr>
        <w:t>4</w:t>
      </w:r>
      <w:r w:rsidRPr="00B07633">
        <w:rPr>
          <w:spacing w:val="12"/>
          <w:highlight w:val="yellow"/>
        </w:rPr>
        <w:t xml:space="preserve"> </w:t>
      </w:r>
      <w:r w:rsidRPr="00B07633">
        <w:rPr>
          <w:spacing w:val="-1"/>
          <w:highlight w:val="yellow"/>
        </w:rPr>
        <w:t>(Implementation</w:t>
      </w:r>
      <w:r w:rsidRPr="00B07633">
        <w:rPr>
          <w:spacing w:val="12"/>
          <w:highlight w:val="yellow"/>
        </w:rPr>
        <w:t xml:space="preserve"> </w:t>
      </w:r>
      <w:r w:rsidRPr="00B07633">
        <w:rPr>
          <w:spacing w:val="-1"/>
          <w:highlight w:val="yellow"/>
        </w:rPr>
        <w:t>Plan,</w:t>
      </w:r>
      <w:r w:rsidRPr="00B07633">
        <w:rPr>
          <w:spacing w:val="14"/>
          <w:highlight w:val="yellow"/>
        </w:rPr>
        <w:t xml:space="preserve"> </w:t>
      </w:r>
      <w:r w:rsidRPr="00B07633">
        <w:rPr>
          <w:spacing w:val="-2"/>
          <w:highlight w:val="yellow"/>
        </w:rPr>
        <w:t>Customer</w:t>
      </w:r>
      <w:r w:rsidRPr="00B07633">
        <w:rPr>
          <w:spacing w:val="14"/>
          <w:highlight w:val="yellow"/>
        </w:rPr>
        <w:t xml:space="preserve"> </w:t>
      </w:r>
      <w:r w:rsidRPr="00B07633">
        <w:rPr>
          <w:spacing w:val="-2"/>
          <w:highlight w:val="yellow"/>
        </w:rPr>
        <w:t>Responsibilities</w:t>
      </w:r>
      <w:r w:rsidRPr="00B07633">
        <w:rPr>
          <w:spacing w:val="74"/>
          <w:highlight w:val="yellow"/>
        </w:rPr>
        <w:t xml:space="preserve"> </w:t>
      </w:r>
      <w:r w:rsidRPr="00B07633">
        <w:rPr>
          <w:spacing w:val="-1"/>
          <w:highlight w:val="yellow"/>
        </w:rPr>
        <w:t>and Key</w:t>
      </w:r>
      <w:r w:rsidRPr="00B07633">
        <w:rPr>
          <w:spacing w:val="-2"/>
          <w:highlight w:val="yellow"/>
        </w:rPr>
        <w:t xml:space="preserve"> </w:t>
      </w:r>
      <w:r w:rsidRPr="00B07633">
        <w:rPr>
          <w:spacing w:val="-1"/>
          <w:highlight w:val="yellow"/>
        </w:rPr>
        <w:t>Personnel)]</w:t>
      </w:r>
      <w:r w:rsidRPr="00B07633">
        <w:rPr>
          <w:spacing w:val="6"/>
          <w:highlight w:val="yellow"/>
        </w:rPr>
        <w:t xml:space="preserve"> </w:t>
      </w:r>
      <w:hyperlink w:anchor="_bookmark12" w:history="1">
        <w:r w:rsidRPr="00B07633">
          <w:rPr>
            <w:b/>
            <w:spacing w:val="-1"/>
            <w:position w:val="10"/>
            <w:sz w:val="14"/>
            <w:highlight w:val="yellow"/>
          </w:rPr>
          <w:t>13</w:t>
        </w:r>
      </w:hyperlink>
    </w:p>
    <w:p w:rsidR="008918FA" w:rsidRDefault="008918FA" w:rsidP="008918FA">
      <w:pPr>
        <w:pStyle w:val="Heading1"/>
        <w:numPr>
          <w:ilvl w:val="1"/>
          <w:numId w:val="74"/>
        </w:numPr>
        <w:tabs>
          <w:tab w:val="left" w:pos="1294"/>
        </w:tabs>
        <w:spacing w:before="118"/>
        <w:ind w:left="1293" w:hanging="566"/>
        <w:rPr>
          <w:b w:val="0"/>
          <w:bCs w:val="0"/>
        </w:rPr>
      </w:pPr>
      <w:r>
        <w:rPr>
          <w:spacing w:val="-1"/>
        </w:rPr>
        <w:t>Standards</w:t>
      </w: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spacing w:before="6"/>
        <w:rPr>
          <w:rFonts w:ascii="Arial" w:eastAsia="Arial" w:hAnsi="Arial" w:cs="Arial"/>
          <w:b/>
          <w:bCs/>
          <w:sz w:val="28"/>
          <w:szCs w:val="28"/>
        </w:rPr>
      </w:pPr>
    </w:p>
    <w:p w:rsidR="008918FA" w:rsidRDefault="008918FA" w:rsidP="008918FA">
      <w:pPr>
        <w:spacing w:before="77"/>
        <w:ind w:left="441" w:right="112"/>
        <w:jc w:val="both"/>
        <w:rPr>
          <w:rFonts w:ascii="Arial" w:eastAsia="Arial" w:hAnsi="Arial" w:cs="Arial"/>
          <w:sz w:val="18"/>
          <w:szCs w:val="18"/>
        </w:rPr>
      </w:pPr>
      <w:r>
        <w:rPr>
          <w:noProof/>
          <w:lang w:eastAsia="en-GB"/>
        </w:rPr>
        <mc:AlternateContent>
          <mc:Choice Requires="wpg">
            <w:drawing>
              <wp:anchor distT="0" distB="0" distL="114300" distR="114300" simplePos="0" relativeHeight="251659264" behindDoc="0" locked="0" layoutInCell="1" allowOverlap="1" wp14:anchorId="4FE8CE5B" wp14:editId="3141634F">
                <wp:simplePos x="0" y="0"/>
                <wp:positionH relativeFrom="page">
                  <wp:posOffset>804545</wp:posOffset>
                </wp:positionH>
                <wp:positionV relativeFrom="paragraph">
                  <wp:posOffset>182245</wp:posOffset>
                </wp:positionV>
                <wp:extent cx="1270" cy="207645"/>
                <wp:effectExtent l="13970" t="13970" r="13335" b="6985"/>
                <wp:wrapNone/>
                <wp:docPr id="7560" name="Group 7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7645"/>
                          <a:chOff x="1267" y="287"/>
                          <a:chExt cx="2" cy="327"/>
                        </a:xfrm>
                      </wpg:grpSpPr>
                      <wps:wsp>
                        <wps:cNvPr id="7561" name="Freeform 7553"/>
                        <wps:cNvSpPr>
                          <a:spLocks/>
                        </wps:cNvSpPr>
                        <wps:spPr bwMode="auto">
                          <a:xfrm>
                            <a:off x="1267" y="287"/>
                            <a:ext cx="2" cy="327"/>
                          </a:xfrm>
                          <a:custGeom>
                            <a:avLst/>
                            <a:gdLst>
                              <a:gd name="T0" fmla="+- 0 287 287"/>
                              <a:gd name="T1" fmla="*/ 287 h 327"/>
                              <a:gd name="T2" fmla="+- 0 613 287"/>
                              <a:gd name="T3" fmla="*/ 613 h 327"/>
                            </a:gdLst>
                            <a:ahLst/>
                            <a:cxnLst>
                              <a:cxn ang="0">
                                <a:pos x="0" y="T1"/>
                              </a:cxn>
                              <a:cxn ang="0">
                                <a:pos x="0" y="T3"/>
                              </a:cxn>
                            </a:cxnLst>
                            <a:rect l="0" t="0" r="r" b="b"/>
                            <a:pathLst>
                              <a:path h="327">
                                <a:moveTo>
                                  <a:pt x="0" y="0"/>
                                </a:moveTo>
                                <a:lnTo>
                                  <a:pt x="0" y="32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5F49E" id="Group 7552" o:spid="_x0000_s1026" style="position:absolute;margin-left:63.35pt;margin-top:14.35pt;width:.1pt;height:16.35pt;z-index:251659264;mso-position-horizontal-relative:page" coordorigin="1267,287" coordsize="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">
                <v:shape id="Freeform 7553" o:spid="_x0000_s1027" style="position:absolute;left:1267;top:287;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hmcQA&#10;AADdAAAADwAAAGRycy9kb3ducmV2LnhtbESPW4vCMBSE3wX/QzjCvmmqrBeqUcRV6KsXBN8OzbGt&#10;Nielydbsv98IC/s4zMw3zGoTTC06al1lWcF4lIAgzq2uuFBwOR+GCxDOI2usLZOCH3KwWfd7K0y1&#10;ffGRupMvRISwS1FB6X2TSunykgy6kW2Io3e3rUEfZVtI3eIrwk0tJ0kykwYrjgslNrQrKX+evo2C&#10;+9e1OgTay1s4Z/uufnw+jvNMqY9B2C5BeAr+P/zXzrSC+XQ2hv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IZnEAAAA3QAAAA8AAAAAAAAAAAAAAAAAmAIAAGRycy9k&#10;b3ducmV2LnhtbFBLBQYAAAAABAAEAPUAAACJAwAAAAA=&#10;" path="m,l,326e" filled="f" strokeweight=".82pt">
                  <v:path arrowok="t" o:connecttype="custom" o:connectlocs="0,287;0,613" o:connectangles="0,0"/>
                </v:shape>
                <w10:wrap anchorx="page"/>
              </v:group>
            </w:pict>
          </mc:Fallback>
        </mc:AlternateContent>
      </w:r>
      <w:r>
        <w:rPr>
          <w:rFonts w:ascii="Arial"/>
          <w:sz w:val="18"/>
        </w:rPr>
        <w:t>than</w:t>
      </w:r>
      <w:r>
        <w:rPr>
          <w:rFonts w:ascii="Arial"/>
          <w:spacing w:val="3"/>
          <w:sz w:val="18"/>
        </w:rPr>
        <w:t xml:space="preserve"> </w:t>
      </w:r>
      <w:r>
        <w:rPr>
          <w:rFonts w:ascii="Arial"/>
          <w:spacing w:val="-1"/>
          <w:sz w:val="18"/>
        </w:rPr>
        <w:t>four</w:t>
      </w:r>
      <w:r>
        <w:rPr>
          <w:rFonts w:ascii="Arial"/>
          <w:spacing w:val="2"/>
          <w:sz w:val="18"/>
        </w:rPr>
        <w:t xml:space="preserve"> </w:t>
      </w:r>
      <w:r>
        <w:rPr>
          <w:rFonts w:ascii="Arial"/>
          <w:spacing w:val="-1"/>
          <w:sz w:val="18"/>
        </w:rPr>
        <w:t>(4)</w:t>
      </w:r>
      <w:r>
        <w:rPr>
          <w:rFonts w:ascii="Arial"/>
          <w:spacing w:val="2"/>
          <w:sz w:val="18"/>
        </w:rPr>
        <w:t xml:space="preserve"> </w:t>
      </w:r>
      <w:r>
        <w:rPr>
          <w:rFonts w:ascii="Arial"/>
          <w:spacing w:val="-1"/>
          <w:sz w:val="18"/>
        </w:rPr>
        <w:t>years.</w:t>
      </w:r>
      <w:r>
        <w:rPr>
          <w:rFonts w:ascii="Arial"/>
          <w:spacing w:val="3"/>
          <w:sz w:val="18"/>
        </w:rPr>
        <w:t xml:space="preserve"> </w:t>
      </w:r>
      <w:r>
        <w:rPr>
          <w:rFonts w:ascii="Arial"/>
          <w:sz w:val="18"/>
        </w:rPr>
        <w:t>If</w:t>
      </w:r>
      <w:r>
        <w:rPr>
          <w:rFonts w:ascii="Arial"/>
          <w:spacing w:val="3"/>
          <w:sz w:val="18"/>
        </w:rPr>
        <w:t xml:space="preserve"> </w:t>
      </w:r>
      <w:r>
        <w:rPr>
          <w:rFonts w:ascii="Arial"/>
          <w:spacing w:val="-2"/>
          <w:sz w:val="18"/>
        </w:rPr>
        <w:t>you</w:t>
      </w:r>
      <w:r>
        <w:rPr>
          <w:rFonts w:ascii="Arial"/>
          <w:spacing w:val="3"/>
          <w:sz w:val="18"/>
        </w:rPr>
        <w:t xml:space="preserve"> </w:t>
      </w:r>
      <w:r>
        <w:rPr>
          <w:rFonts w:ascii="Arial"/>
          <w:spacing w:val="-1"/>
          <w:sz w:val="18"/>
        </w:rPr>
        <w:t>consider</w:t>
      </w:r>
      <w:r>
        <w:rPr>
          <w:rFonts w:ascii="Arial"/>
          <w:spacing w:val="2"/>
          <w:sz w:val="18"/>
        </w:rPr>
        <w:t xml:space="preserve"> </w:t>
      </w:r>
      <w:r>
        <w:rPr>
          <w:rFonts w:ascii="Arial"/>
          <w:spacing w:val="-1"/>
          <w:sz w:val="18"/>
        </w:rPr>
        <w:t>that</w:t>
      </w:r>
      <w:r>
        <w:rPr>
          <w:rFonts w:ascii="Arial"/>
          <w:sz w:val="18"/>
        </w:rPr>
        <w:t xml:space="preserve"> the</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z w:val="18"/>
        </w:rPr>
        <w:t xml:space="preserve"> </w:t>
      </w:r>
      <w:r>
        <w:rPr>
          <w:rFonts w:ascii="Arial"/>
          <w:spacing w:val="-1"/>
          <w:sz w:val="18"/>
        </w:rPr>
        <w:t>Contract</w:t>
      </w:r>
      <w:r>
        <w:rPr>
          <w:rFonts w:ascii="Arial"/>
          <w:sz w:val="18"/>
        </w:rPr>
        <w:t xml:space="preserve"> Period</w:t>
      </w:r>
      <w:r>
        <w:rPr>
          <w:rFonts w:ascii="Arial"/>
          <w:spacing w:val="1"/>
          <w:sz w:val="18"/>
        </w:rPr>
        <w:t xml:space="preserve"> </w:t>
      </w:r>
      <w:r>
        <w:rPr>
          <w:rFonts w:ascii="Arial"/>
          <w:spacing w:val="-1"/>
          <w:sz w:val="18"/>
        </w:rPr>
        <w:t>should</w:t>
      </w:r>
      <w:r>
        <w:rPr>
          <w:rFonts w:ascii="Arial"/>
          <w:spacing w:val="1"/>
          <w:sz w:val="18"/>
        </w:rPr>
        <w:t xml:space="preserve"> </w:t>
      </w:r>
      <w:r>
        <w:rPr>
          <w:rFonts w:ascii="Arial"/>
          <w:sz w:val="18"/>
        </w:rPr>
        <w:t>be</w:t>
      </w:r>
      <w:r>
        <w:rPr>
          <w:rFonts w:ascii="Arial"/>
          <w:spacing w:val="1"/>
          <w:sz w:val="18"/>
        </w:rPr>
        <w:t xml:space="preserve"> </w:t>
      </w:r>
      <w:r>
        <w:rPr>
          <w:rFonts w:ascii="Arial"/>
          <w:spacing w:val="-1"/>
          <w:sz w:val="18"/>
        </w:rPr>
        <w:t>longer</w:t>
      </w:r>
      <w:r>
        <w:rPr>
          <w:rFonts w:ascii="Arial"/>
          <w:sz w:val="18"/>
        </w:rPr>
        <w:t xml:space="preserve"> </w:t>
      </w:r>
      <w:r>
        <w:rPr>
          <w:rFonts w:ascii="Arial"/>
          <w:spacing w:val="-1"/>
          <w:sz w:val="18"/>
        </w:rPr>
        <w:t>please</w:t>
      </w:r>
      <w:r>
        <w:rPr>
          <w:rFonts w:ascii="Arial"/>
          <w:spacing w:val="3"/>
          <w:sz w:val="18"/>
        </w:rPr>
        <w:t xml:space="preserve"> </w:t>
      </w:r>
      <w:r>
        <w:rPr>
          <w:rFonts w:ascii="Arial"/>
          <w:spacing w:val="-1"/>
          <w:sz w:val="18"/>
        </w:rPr>
        <w:t>speak</w:t>
      </w:r>
      <w:r>
        <w:rPr>
          <w:rFonts w:ascii="Arial"/>
          <w:spacing w:val="1"/>
          <w:sz w:val="18"/>
        </w:rPr>
        <w:t xml:space="preserve"> </w:t>
      </w:r>
      <w:r>
        <w:rPr>
          <w:rFonts w:ascii="Arial"/>
          <w:sz w:val="18"/>
        </w:rPr>
        <w:t>to</w:t>
      </w:r>
      <w:r>
        <w:rPr>
          <w:rFonts w:ascii="Arial"/>
          <w:spacing w:val="3"/>
          <w:sz w:val="18"/>
        </w:rPr>
        <w:t xml:space="preserve"> </w:t>
      </w:r>
      <w:r>
        <w:rPr>
          <w:rFonts w:ascii="Arial"/>
          <w:spacing w:val="-1"/>
          <w:sz w:val="18"/>
        </w:rPr>
        <w:t>your</w:t>
      </w:r>
      <w:r>
        <w:rPr>
          <w:rFonts w:ascii="Arial"/>
          <w:sz w:val="18"/>
        </w:rPr>
        <w:t xml:space="preserve"> </w:t>
      </w:r>
      <w:r>
        <w:rPr>
          <w:rFonts w:ascii="Arial"/>
          <w:spacing w:val="-1"/>
          <w:sz w:val="18"/>
        </w:rPr>
        <w:t>legal</w:t>
      </w:r>
      <w:r>
        <w:rPr>
          <w:rFonts w:ascii="Arial"/>
          <w:spacing w:val="77"/>
          <w:sz w:val="18"/>
        </w:rPr>
        <w:t xml:space="preserve"> </w:t>
      </w:r>
      <w:r>
        <w:rPr>
          <w:rFonts w:ascii="Arial"/>
          <w:sz w:val="18"/>
        </w:rPr>
        <w:t>and/or</w:t>
      </w:r>
      <w:r>
        <w:rPr>
          <w:rFonts w:ascii="Arial"/>
          <w:spacing w:val="-2"/>
          <w:sz w:val="18"/>
        </w:rPr>
        <w:t xml:space="preserve"> </w:t>
      </w:r>
      <w:r>
        <w:rPr>
          <w:rFonts w:ascii="Arial"/>
          <w:spacing w:val="-1"/>
          <w:sz w:val="18"/>
        </w:rPr>
        <w:t>procurement</w:t>
      </w:r>
      <w:r>
        <w:rPr>
          <w:rFonts w:ascii="Arial"/>
          <w:spacing w:val="-2"/>
          <w:sz w:val="18"/>
        </w:rPr>
        <w:t xml:space="preserve"> </w:t>
      </w:r>
      <w:r>
        <w:rPr>
          <w:rFonts w:ascii="Arial"/>
          <w:spacing w:val="-1"/>
          <w:sz w:val="18"/>
        </w:rPr>
        <w:t>team</w:t>
      </w:r>
      <w:r>
        <w:rPr>
          <w:rFonts w:ascii="Arial"/>
          <w:spacing w:val="1"/>
          <w:sz w:val="18"/>
        </w:rPr>
        <w:t xml:space="preserve"> </w:t>
      </w:r>
      <w:r>
        <w:rPr>
          <w:rFonts w:ascii="Arial"/>
          <w:spacing w:val="-1"/>
          <w:sz w:val="18"/>
        </w:rPr>
        <w:t>See</w:t>
      </w:r>
      <w:r>
        <w:rPr>
          <w:rFonts w:ascii="Arial"/>
          <w:spacing w:val="-2"/>
          <w:sz w:val="18"/>
        </w:rPr>
        <w:t xml:space="preserve"> </w:t>
      </w:r>
      <w:r>
        <w:rPr>
          <w:rFonts w:ascii="Arial"/>
          <w:sz w:val="18"/>
        </w:rPr>
        <w:t>also</w:t>
      </w:r>
      <w:r>
        <w:rPr>
          <w:rFonts w:ascii="Arial"/>
          <w:spacing w:val="-2"/>
          <w:sz w:val="18"/>
        </w:rPr>
        <w:t xml:space="preserve"> </w:t>
      </w:r>
      <w:r>
        <w:rPr>
          <w:rFonts w:ascii="Arial"/>
          <w:spacing w:val="-1"/>
          <w:sz w:val="18"/>
        </w:rPr>
        <w:t>Clause</w:t>
      </w:r>
      <w:r>
        <w:rPr>
          <w:rFonts w:ascii="Arial"/>
          <w:spacing w:val="-3"/>
          <w:sz w:val="18"/>
        </w:rPr>
        <w:t xml:space="preserve"> </w:t>
      </w:r>
      <w:hyperlink w:anchor="_bookmark55" w:history="1">
        <w:r>
          <w:rPr>
            <w:rFonts w:ascii="Arial"/>
            <w:color w:val="0101FF"/>
            <w:sz w:val="18"/>
            <w:u w:val="single" w:color="0101FF"/>
          </w:rPr>
          <w:t>5</w:t>
        </w:r>
        <w:r>
          <w:rPr>
            <w:rFonts w:ascii="Arial"/>
            <w:color w:val="0101FF"/>
            <w:spacing w:val="1"/>
            <w:sz w:val="18"/>
            <w:u w:val="single" w:color="0101FF"/>
          </w:rPr>
          <w:t xml:space="preserve"> </w:t>
        </w:r>
      </w:hyperlink>
      <w:r>
        <w:rPr>
          <w:rFonts w:ascii="Arial"/>
          <w:spacing w:val="-1"/>
          <w:sz w:val="18"/>
        </w:rPr>
        <w:t>(Call</w:t>
      </w:r>
      <w:r>
        <w:rPr>
          <w:rFonts w:ascii="Arial"/>
          <w:spacing w:val="1"/>
          <w:sz w:val="18"/>
        </w:rPr>
        <w:t xml:space="preserve"> </w:t>
      </w:r>
      <w:r>
        <w:rPr>
          <w:rFonts w:ascii="Arial"/>
          <w:spacing w:val="-1"/>
          <w:sz w:val="18"/>
        </w:rPr>
        <w:t>Off</w:t>
      </w:r>
      <w:r>
        <w:rPr>
          <w:rFonts w:ascii="Arial"/>
          <w:sz w:val="18"/>
        </w:rPr>
        <w:t xml:space="preserve"> </w:t>
      </w:r>
      <w:r>
        <w:rPr>
          <w:rFonts w:ascii="Arial"/>
          <w:spacing w:val="-1"/>
          <w:sz w:val="18"/>
        </w:rPr>
        <w:t>Contract</w:t>
      </w:r>
      <w:r>
        <w:rPr>
          <w:rFonts w:ascii="Arial"/>
          <w:sz w:val="18"/>
        </w:rPr>
        <w:t xml:space="preserve"> </w:t>
      </w:r>
      <w:r>
        <w:rPr>
          <w:rFonts w:ascii="Arial"/>
          <w:spacing w:val="-1"/>
          <w:sz w:val="18"/>
        </w:rPr>
        <w:t>Period)</w:t>
      </w:r>
      <w:r>
        <w:rPr>
          <w:rFonts w:ascii="Arial"/>
          <w:sz w:val="18"/>
        </w:rPr>
        <w:t xml:space="preserve"> </w:t>
      </w:r>
      <w:r>
        <w:rPr>
          <w:rFonts w:ascii="Arial"/>
          <w:spacing w:val="-1"/>
          <w:sz w:val="18"/>
        </w:rPr>
        <w:t>of</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Template</w:t>
      </w:r>
      <w:r>
        <w:rPr>
          <w:rFonts w:ascii="Arial"/>
          <w:spacing w:val="1"/>
          <w:sz w:val="18"/>
        </w:rPr>
        <w:t xml:space="preserve"> </w:t>
      </w:r>
      <w:r>
        <w:rPr>
          <w:rFonts w:ascii="Arial"/>
          <w:spacing w:val="-1"/>
          <w:sz w:val="18"/>
        </w:rPr>
        <w:t>Call</w:t>
      </w:r>
      <w:r>
        <w:rPr>
          <w:rFonts w:ascii="Arial"/>
          <w:spacing w:val="-2"/>
          <w:sz w:val="18"/>
        </w:rPr>
        <w:t xml:space="preserve"> </w:t>
      </w:r>
      <w:r>
        <w:rPr>
          <w:rFonts w:ascii="Arial"/>
          <w:spacing w:val="-1"/>
          <w:sz w:val="18"/>
        </w:rPr>
        <w:t>Off</w:t>
      </w:r>
      <w:r>
        <w:rPr>
          <w:rFonts w:ascii="Arial"/>
          <w:sz w:val="18"/>
        </w:rPr>
        <w:t xml:space="preserve"> Terms]</w:t>
      </w:r>
    </w:p>
    <w:p w:rsidR="008918FA" w:rsidRPr="00CE5AA1" w:rsidRDefault="008918FA" w:rsidP="008918FA">
      <w:pPr>
        <w:spacing w:before="85"/>
        <w:ind w:left="441" w:right="109"/>
        <w:jc w:val="both"/>
        <w:rPr>
          <w:rFonts w:ascii="Arial" w:eastAsia="Arial" w:hAnsi="Arial" w:cs="Arial"/>
          <w:sz w:val="18"/>
          <w:szCs w:val="18"/>
          <w:highlight w:val="green"/>
        </w:rPr>
      </w:pPr>
      <w:r w:rsidRPr="00CE5AA1">
        <w:rPr>
          <w:rFonts w:ascii="Arial" w:eastAsia="Arial" w:hAnsi="Arial" w:cs="Arial"/>
          <w:position w:val="9"/>
          <w:sz w:val="12"/>
          <w:szCs w:val="12"/>
          <w:highlight w:val="green"/>
        </w:rPr>
        <w:t xml:space="preserve">7 </w:t>
      </w:r>
      <w:bookmarkStart w:id="4" w:name="_bookmark6"/>
      <w:bookmarkEnd w:id="4"/>
      <w:r w:rsidRPr="00CE5AA1">
        <w:rPr>
          <w:rFonts w:ascii="Arial" w:eastAsia="Arial" w:hAnsi="Arial" w:cs="Arial"/>
          <w:spacing w:val="-1"/>
          <w:sz w:val="18"/>
          <w:szCs w:val="18"/>
          <w:highlight w:val="green"/>
        </w:rPr>
        <w:t>[Guidance</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Note:</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Include</w:t>
      </w:r>
      <w:r w:rsidRPr="00CE5AA1">
        <w:rPr>
          <w:rFonts w:ascii="Arial" w:eastAsia="Arial" w:hAnsi="Arial" w:cs="Arial"/>
          <w:spacing w:val="15"/>
          <w:sz w:val="18"/>
          <w:szCs w:val="18"/>
          <w:highlight w:val="green"/>
        </w:rPr>
        <w:t xml:space="preserve"> </w:t>
      </w:r>
      <w:r w:rsidRPr="00CE5AA1">
        <w:rPr>
          <w:rFonts w:ascii="Arial" w:eastAsia="Arial" w:hAnsi="Arial" w:cs="Arial"/>
          <w:sz w:val="18"/>
          <w:szCs w:val="18"/>
          <w:highlight w:val="green"/>
        </w:rPr>
        <w:t>a</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description</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of</w:t>
      </w:r>
      <w:r w:rsidRPr="00CE5AA1">
        <w:rPr>
          <w:rFonts w:ascii="Arial" w:eastAsia="Arial" w:hAnsi="Arial" w:cs="Arial"/>
          <w:spacing w:val="17"/>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Goods</w:t>
      </w:r>
      <w:r w:rsidRPr="00CE5AA1">
        <w:rPr>
          <w:rFonts w:ascii="Arial" w:eastAsia="Arial" w:hAnsi="Arial" w:cs="Arial"/>
          <w:spacing w:val="18"/>
          <w:sz w:val="18"/>
          <w:szCs w:val="18"/>
          <w:highlight w:val="green"/>
        </w:rPr>
        <w:t xml:space="preserve"> </w:t>
      </w:r>
      <w:r w:rsidRPr="00CE5AA1">
        <w:rPr>
          <w:rFonts w:ascii="Arial" w:eastAsia="Arial" w:hAnsi="Arial" w:cs="Arial"/>
          <w:spacing w:val="-1"/>
          <w:sz w:val="18"/>
          <w:szCs w:val="18"/>
          <w:highlight w:val="green"/>
        </w:rPr>
        <w:t>and/or</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Services</w:t>
      </w:r>
      <w:r w:rsidRPr="00CE5AA1">
        <w:rPr>
          <w:rFonts w:ascii="Arial" w:eastAsia="Arial" w:hAnsi="Arial" w:cs="Arial"/>
          <w:spacing w:val="18"/>
          <w:sz w:val="18"/>
          <w:szCs w:val="18"/>
          <w:highlight w:val="green"/>
        </w:rPr>
        <w:t xml:space="preserve"> </w:t>
      </w:r>
      <w:r w:rsidRPr="00CE5AA1">
        <w:rPr>
          <w:rFonts w:ascii="Arial" w:eastAsia="Arial" w:hAnsi="Arial" w:cs="Arial"/>
          <w:spacing w:val="-1"/>
          <w:sz w:val="18"/>
          <w:szCs w:val="18"/>
          <w:highlight w:val="green"/>
        </w:rPr>
        <w:t>required</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under</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this</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18"/>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Contract</w:t>
      </w:r>
      <w:r w:rsidRPr="00CE5AA1">
        <w:rPr>
          <w:rFonts w:ascii="Arial" w:eastAsia="Arial" w:hAnsi="Arial" w:cs="Arial"/>
          <w:spacing w:val="17"/>
          <w:sz w:val="18"/>
          <w:szCs w:val="18"/>
          <w:highlight w:val="green"/>
        </w:rPr>
        <w:t xml:space="preserve"> </w:t>
      </w:r>
      <w:r w:rsidRPr="00CE5AA1">
        <w:rPr>
          <w:rFonts w:ascii="Arial" w:eastAsia="Arial" w:hAnsi="Arial" w:cs="Arial"/>
          <w:spacing w:val="-2"/>
          <w:sz w:val="18"/>
          <w:szCs w:val="18"/>
          <w:highlight w:val="green"/>
        </w:rPr>
        <w:t>in</w:t>
      </w:r>
      <w:r w:rsidRPr="00CE5AA1">
        <w:rPr>
          <w:rFonts w:ascii="Arial" w:eastAsia="Arial" w:hAnsi="Arial" w:cs="Arial"/>
          <w:spacing w:val="95"/>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12"/>
          <w:sz w:val="18"/>
          <w:szCs w:val="18"/>
          <w:highlight w:val="green"/>
        </w:rPr>
        <w:t xml:space="preserve"> </w:t>
      </w:r>
      <w:r w:rsidRPr="00CE5AA1">
        <w:rPr>
          <w:rFonts w:ascii="Arial" w:eastAsia="Arial" w:hAnsi="Arial" w:cs="Arial"/>
          <w:spacing w:val="-1"/>
          <w:sz w:val="18"/>
          <w:szCs w:val="18"/>
          <w:highlight w:val="green"/>
        </w:rPr>
        <w:t>Schedule</w:t>
      </w:r>
      <w:r w:rsidRPr="00CE5AA1">
        <w:rPr>
          <w:rFonts w:ascii="Arial" w:eastAsia="Arial" w:hAnsi="Arial" w:cs="Arial"/>
          <w:spacing w:val="13"/>
          <w:sz w:val="18"/>
          <w:szCs w:val="18"/>
          <w:highlight w:val="green"/>
        </w:rPr>
        <w:t xml:space="preserve"> </w:t>
      </w:r>
      <w:r w:rsidRPr="00CE5AA1">
        <w:rPr>
          <w:rFonts w:ascii="Arial" w:eastAsia="Arial" w:hAnsi="Arial" w:cs="Arial"/>
          <w:sz w:val="18"/>
          <w:szCs w:val="18"/>
          <w:highlight w:val="green"/>
        </w:rPr>
        <w:t>2</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(Goods</w:t>
      </w:r>
      <w:r w:rsidRPr="00CE5AA1">
        <w:rPr>
          <w:rFonts w:ascii="Arial" w:eastAsia="Arial" w:hAnsi="Arial" w:cs="Arial"/>
          <w:spacing w:val="13"/>
          <w:sz w:val="18"/>
          <w:szCs w:val="18"/>
          <w:highlight w:val="green"/>
        </w:rPr>
        <w:t xml:space="preserve"> </w:t>
      </w:r>
      <w:r w:rsidRPr="00CE5AA1">
        <w:rPr>
          <w:rFonts w:ascii="Arial" w:eastAsia="Arial" w:hAnsi="Arial" w:cs="Arial"/>
          <w:spacing w:val="-1"/>
          <w:sz w:val="18"/>
          <w:szCs w:val="18"/>
          <w:highlight w:val="green"/>
        </w:rPr>
        <w:t>and</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Services).</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Details</w:t>
      </w:r>
      <w:r w:rsidRPr="00CE5AA1">
        <w:rPr>
          <w:rFonts w:ascii="Arial" w:eastAsia="Arial" w:hAnsi="Arial" w:cs="Arial"/>
          <w:spacing w:val="13"/>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all</w:t>
      </w:r>
      <w:r w:rsidRPr="00CE5AA1">
        <w:rPr>
          <w:rFonts w:ascii="Arial" w:eastAsia="Arial" w:hAnsi="Arial" w:cs="Arial"/>
          <w:spacing w:val="13"/>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3"/>
          <w:sz w:val="18"/>
          <w:szCs w:val="18"/>
          <w:highlight w:val="green"/>
        </w:rPr>
        <w:t xml:space="preserve"> </w:t>
      </w:r>
      <w:r w:rsidRPr="00CE5AA1">
        <w:rPr>
          <w:rFonts w:ascii="Arial" w:eastAsia="Arial" w:hAnsi="Arial" w:cs="Arial"/>
          <w:spacing w:val="-1"/>
          <w:sz w:val="18"/>
          <w:szCs w:val="18"/>
          <w:highlight w:val="green"/>
        </w:rPr>
        <w:t>Goods</w:t>
      </w:r>
      <w:r w:rsidRPr="00CE5AA1">
        <w:rPr>
          <w:rFonts w:ascii="Arial" w:eastAsia="Arial" w:hAnsi="Arial" w:cs="Arial"/>
          <w:spacing w:val="13"/>
          <w:sz w:val="18"/>
          <w:szCs w:val="18"/>
          <w:highlight w:val="green"/>
        </w:rPr>
        <w:t xml:space="preserve"> </w:t>
      </w:r>
      <w:r w:rsidRPr="00CE5AA1">
        <w:rPr>
          <w:rFonts w:ascii="Arial" w:eastAsia="Arial" w:hAnsi="Arial" w:cs="Arial"/>
          <w:spacing w:val="-1"/>
          <w:sz w:val="18"/>
          <w:szCs w:val="18"/>
          <w:highlight w:val="green"/>
        </w:rPr>
        <w:t>and/or</w:t>
      </w:r>
      <w:r w:rsidRPr="00CE5AA1">
        <w:rPr>
          <w:rFonts w:ascii="Arial" w:eastAsia="Arial" w:hAnsi="Arial" w:cs="Arial"/>
          <w:spacing w:val="12"/>
          <w:sz w:val="18"/>
          <w:szCs w:val="18"/>
          <w:highlight w:val="green"/>
        </w:rPr>
        <w:t xml:space="preserve"> </w:t>
      </w:r>
      <w:r w:rsidRPr="00CE5AA1">
        <w:rPr>
          <w:rFonts w:ascii="Arial" w:eastAsia="Arial" w:hAnsi="Arial" w:cs="Arial"/>
          <w:spacing w:val="-1"/>
          <w:sz w:val="18"/>
          <w:szCs w:val="18"/>
          <w:highlight w:val="green"/>
        </w:rPr>
        <w:t>Services</w:t>
      </w:r>
      <w:r w:rsidRPr="00CE5AA1">
        <w:rPr>
          <w:rFonts w:ascii="Arial" w:eastAsia="Arial" w:hAnsi="Arial" w:cs="Arial"/>
          <w:spacing w:val="13"/>
          <w:sz w:val="18"/>
          <w:szCs w:val="18"/>
          <w:highlight w:val="green"/>
        </w:rPr>
        <w:t xml:space="preserve"> </w:t>
      </w:r>
      <w:r w:rsidRPr="00CE5AA1">
        <w:rPr>
          <w:rFonts w:ascii="Arial" w:eastAsia="Arial" w:hAnsi="Arial" w:cs="Arial"/>
          <w:spacing w:val="-1"/>
          <w:sz w:val="18"/>
          <w:szCs w:val="18"/>
          <w:highlight w:val="green"/>
        </w:rPr>
        <w:t>can</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be</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found</w:t>
      </w:r>
      <w:r w:rsidRPr="00CE5AA1">
        <w:rPr>
          <w:rFonts w:ascii="Arial" w:eastAsia="Arial" w:hAnsi="Arial" w:cs="Arial"/>
          <w:spacing w:val="13"/>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13"/>
          <w:sz w:val="18"/>
          <w:szCs w:val="18"/>
          <w:highlight w:val="green"/>
        </w:rPr>
        <w:t xml:space="preserve"> </w:t>
      </w:r>
      <w:r w:rsidRPr="00CE5AA1">
        <w:rPr>
          <w:rFonts w:ascii="Arial" w:eastAsia="Arial" w:hAnsi="Arial" w:cs="Arial"/>
          <w:sz w:val="18"/>
          <w:szCs w:val="18"/>
          <w:highlight w:val="green"/>
        </w:rPr>
        <w:t>Part</w:t>
      </w:r>
      <w:r w:rsidRPr="00CE5AA1">
        <w:rPr>
          <w:rFonts w:ascii="Arial" w:eastAsia="Arial" w:hAnsi="Arial" w:cs="Arial"/>
          <w:spacing w:val="12"/>
          <w:sz w:val="18"/>
          <w:szCs w:val="18"/>
          <w:highlight w:val="green"/>
        </w:rPr>
        <w:t xml:space="preserve"> </w:t>
      </w:r>
      <w:r w:rsidRPr="00CE5AA1">
        <w:rPr>
          <w:rFonts w:ascii="Arial" w:eastAsia="Arial" w:hAnsi="Arial" w:cs="Arial"/>
          <w:sz w:val="18"/>
          <w:szCs w:val="18"/>
          <w:highlight w:val="green"/>
        </w:rPr>
        <w:t>A</w:t>
      </w:r>
      <w:r w:rsidRPr="00CE5AA1">
        <w:rPr>
          <w:rFonts w:ascii="Arial" w:eastAsia="Arial" w:hAnsi="Arial" w:cs="Arial"/>
          <w:spacing w:val="14"/>
          <w:sz w:val="18"/>
          <w:szCs w:val="18"/>
          <w:highlight w:val="green"/>
        </w:rPr>
        <w:t xml:space="preserve"> </w:t>
      </w:r>
      <w:r w:rsidRPr="00CE5AA1">
        <w:rPr>
          <w:rFonts w:ascii="Arial" w:eastAsia="Arial" w:hAnsi="Arial" w:cs="Arial"/>
          <w:spacing w:val="-1"/>
          <w:sz w:val="18"/>
          <w:szCs w:val="18"/>
          <w:highlight w:val="green"/>
        </w:rPr>
        <w:t>of</w:t>
      </w:r>
      <w:r w:rsidRPr="00CE5AA1">
        <w:rPr>
          <w:rFonts w:ascii="Arial" w:eastAsia="Arial" w:hAnsi="Arial" w:cs="Arial"/>
          <w:spacing w:val="79"/>
          <w:sz w:val="18"/>
          <w:szCs w:val="18"/>
          <w:highlight w:val="green"/>
        </w:rPr>
        <w:t xml:space="preserve"> </w:t>
      </w:r>
      <w:r w:rsidRPr="00CE5AA1">
        <w:rPr>
          <w:rFonts w:ascii="Arial" w:eastAsia="Arial" w:hAnsi="Arial" w:cs="Arial"/>
          <w:spacing w:val="-1"/>
          <w:sz w:val="18"/>
          <w:szCs w:val="18"/>
          <w:highlight w:val="green"/>
        </w:rPr>
        <w:t>Framework</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Schedule</w:t>
      </w:r>
      <w:r w:rsidRPr="00CE5AA1">
        <w:rPr>
          <w:rFonts w:ascii="Arial" w:eastAsia="Arial" w:hAnsi="Arial" w:cs="Arial"/>
          <w:spacing w:val="8"/>
          <w:sz w:val="18"/>
          <w:szCs w:val="18"/>
          <w:highlight w:val="green"/>
        </w:rPr>
        <w:t xml:space="preserve"> </w:t>
      </w:r>
      <w:r w:rsidRPr="00CE5AA1">
        <w:rPr>
          <w:rFonts w:ascii="Arial" w:eastAsia="Arial" w:hAnsi="Arial" w:cs="Arial"/>
          <w:sz w:val="18"/>
          <w:szCs w:val="18"/>
          <w:highlight w:val="green"/>
        </w:rPr>
        <w:t>1</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(Goods</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and/or</w:t>
      </w:r>
      <w:r w:rsidRPr="00CE5AA1">
        <w:rPr>
          <w:rFonts w:ascii="Arial" w:eastAsia="Arial" w:hAnsi="Arial" w:cs="Arial"/>
          <w:spacing w:val="7"/>
          <w:sz w:val="18"/>
          <w:szCs w:val="18"/>
          <w:highlight w:val="green"/>
        </w:rPr>
        <w:t xml:space="preserve"> </w:t>
      </w:r>
      <w:r w:rsidRPr="00CE5AA1">
        <w:rPr>
          <w:rFonts w:ascii="Arial" w:eastAsia="Arial" w:hAnsi="Arial" w:cs="Arial"/>
          <w:spacing w:val="-1"/>
          <w:sz w:val="18"/>
          <w:szCs w:val="18"/>
          <w:highlight w:val="green"/>
        </w:rPr>
        <w:t>Services</w:t>
      </w:r>
      <w:r w:rsidRPr="00CE5AA1">
        <w:rPr>
          <w:rFonts w:ascii="Arial" w:eastAsia="Arial" w:hAnsi="Arial" w:cs="Arial"/>
          <w:spacing w:val="8"/>
          <w:sz w:val="18"/>
          <w:szCs w:val="18"/>
          <w:highlight w:val="green"/>
        </w:rPr>
        <w:t xml:space="preserve"> </w:t>
      </w:r>
      <w:r w:rsidRPr="00CE5AA1">
        <w:rPr>
          <w:rFonts w:ascii="Arial" w:eastAsia="Arial" w:hAnsi="Arial" w:cs="Arial"/>
          <w:sz w:val="18"/>
          <w:szCs w:val="18"/>
          <w:highlight w:val="green"/>
        </w:rPr>
        <w:t>and</w:t>
      </w:r>
      <w:r w:rsidRPr="00CE5AA1">
        <w:rPr>
          <w:rFonts w:ascii="Arial" w:eastAsia="Arial" w:hAnsi="Arial" w:cs="Arial"/>
          <w:spacing w:val="8"/>
          <w:sz w:val="18"/>
          <w:szCs w:val="18"/>
          <w:highlight w:val="green"/>
        </w:rPr>
        <w:t xml:space="preserve"> </w:t>
      </w:r>
      <w:r w:rsidRPr="00CE5AA1">
        <w:rPr>
          <w:rFonts w:ascii="Arial" w:eastAsia="Arial" w:hAnsi="Arial" w:cs="Arial"/>
          <w:sz w:val="18"/>
          <w:szCs w:val="18"/>
          <w:highlight w:val="green"/>
        </w:rPr>
        <w:t>Key</w:t>
      </w:r>
      <w:r w:rsidRPr="00CE5AA1">
        <w:rPr>
          <w:rFonts w:ascii="Arial" w:eastAsia="Arial" w:hAnsi="Arial" w:cs="Arial"/>
          <w:spacing w:val="6"/>
          <w:sz w:val="18"/>
          <w:szCs w:val="18"/>
          <w:highlight w:val="green"/>
        </w:rPr>
        <w:t xml:space="preserve"> </w:t>
      </w:r>
      <w:r w:rsidRPr="00CE5AA1">
        <w:rPr>
          <w:rFonts w:ascii="Arial" w:eastAsia="Arial" w:hAnsi="Arial" w:cs="Arial"/>
          <w:spacing w:val="-1"/>
          <w:sz w:val="18"/>
          <w:szCs w:val="18"/>
          <w:highlight w:val="green"/>
        </w:rPr>
        <w:t>Performance</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Indicators).</w:t>
      </w:r>
      <w:r w:rsidRPr="00CE5AA1">
        <w:rPr>
          <w:rFonts w:ascii="Arial" w:eastAsia="Arial" w:hAnsi="Arial" w:cs="Arial"/>
          <w:spacing w:val="3"/>
          <w:sz w:val="18"/>
          <w:szCs w:val="18"/>
          <w:highlight w:val="green"/>
        </w:rPr>
        <w:t xml:space="preserve"> </w:t>
      </w:r>
      <w:r w:rsidRPr="00CE5AA1">
        <w:rPr>
          <w:rFonts w:ascii="Arial" w:eastAsia="Arial" w:hAnsi="Arial" w:cs="Arial"/>
          <w:sz w:val="18"/>
          <w:szCs w:val="18"/>
          <w:highlight w:val="green"/>
        </w:rPr>
        <w:t>When</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awarding</w:t>
      </w:r>
      <w:r w:rsidRPr="00CE5AA1">
        <w:rPr>
          <w:rFonts w:ascii="Arial" w:eastAsia="Arial" w:hAnsi="Arial" w:cs="Arial"/>
          <w:spacing w:val="8"/>
          <w:sz w:val="18"/>
          <w:szCs w:val="18"/>
          <w:highlight w:val="green"/>
        </w:rPr>
        <w:t xml:space="preserve"> </w:t>
      </w:r>
      <w:r w:rsidRPr="00CE5AA1">
        <w:rPr>
          <w:rFonts w:ascii="Arial" w:eastAsia="Arial" w:hAnsi="Arial" w:cs="Arial"/>
          <w:sz w:val="18"/>
          <w:szCs w:val="18"/>
          <w:highlight w:val="green"/>
        </w:rPr>
        <w:t>by</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way</w:t>
      </w:r>
      <w:r w:rsidRPr="00CE5AA1">
        <w:rPr>
          <w:rFonts w:ascii="Arial" w:eastAsia="Arial" w:hAnsi="Arial" w:cs="Arial"/>
          <w:spacing w:val="6"/>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7"/>
          <w:sz w:val="18"/>
          <w:szCs w:val="18"/>
          <w:highlight w:val="green"/>
        </w:rPr>
        <w:t xml:space="preserve"> </w:t>
      </w:r>
      <w:r w:rsidRPr="00CE5AA1">
        <w:rPr>
          <w:rFonts w:ascii="Arial" w:eastAsia="Arial" w:hAnsi="Arial" w:cs="Arial"/>
          <w:sz w:val="18"/>
          <w:szCs w:val="18"/>
          <w:highlight w:val="green"/>
        </w:rPr>
        <w:t>a</w:t>
      </w:r>
      <w:r w:rsidRPr="00CE5AA1">
        <w:rPr>
          <w:rFonts w:ascii="Arial" w:eastAsia="Arial" w:hAnsi="Arial" w:cs="Arial"/>
          <w:spacing w:val="91"/>
          <w:sz w:val="18"/>
          <w:szCs w:val="18"/>
          <w:highlight w:val="green"/>
        </w:rPr>
        <w:t xml:space="preserve"> </w:t>
      </w:r>
      <w:r w:rsidRPr="00CE5AA1">
        <w:rPr>
          <w:rFonts w:ascii="Arial" w:eastAsia="Arial" w:hAnsi="Arial" w:cs="Arial"/>
          <w:sz w:val="18"/>
          <w:szCs w:val="18"/>
          <w:highlight w:val="green"/>
        </w:rPr>
        <w:t xml:space="preserve">Direct </w:t>
      </w:r>
      <w:r w:rsidRPr="00CE5AA1">
        <w:rPr>
          <w:rFonts w:ascii="Arial" w:eastAsia="Arial" w:hAnsi="Arial" w:cs="Arial"/>
          <w:spacing w:val="-1"/>
          <w:sz w:val="18"/>
          <w:szCs w:val="18"/>
          <w:highlight w:val="green"/>
        </w:rPr>
        <w:t>Award,</w:t>
      </w:r>
      <w:r w:rsidRPr="00CE5AA1">
        <w:rPr>
          <w:rFonts w:ascii="Arial" w:eastAsia="Arial" w:hAnsi="Arial" w:cs="Arial"/>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z w:val="18"/>
          <w:szCs w:val="18"/>
          <w:highlight w:val="green"/>
        </w:rPr>
        <w:t xml:space="preserve"> </w:t>
      </w:r>
      <w:r w:rsidRPr="00CE5AA1">
        <w:rPr>
          <w:rFonts w:ascii="Arial" w:eastAsia="Arial" w:hAnsi="Arial" w:cs="Arial"/>
          <w:spacing w:val="-1"/>
          <w:sz w:val="18"/>
          <w:szCs w:val="18"/>
          <w:highlight w:val="green"/>
        </w:rPr>
        <w:t>Schedule</w:t>
      </w:r>
      <w:r w:rsidRPr="00CE5AA1">
        <w:rPr>
          <w:rFonts w:ascii="Arial" w:eastAsia="Arial" w:hAnsi="Arial" w:cs="Arial"/>
          <w:spacing w:val="1"/>
          <w:sz w:val="18"/>
          <w:szCs w:val="18"/>
          <w:highlight w:val="green"/>
        </w:rPr>
        <w:t xml:space="preserve"> </w:t>
      </w:r>
      <w:r w:rsidRPr="00CE5AA1">
        <w:rPr>
          <w:rFonts w:ascii="Arial" w:eastAsia="Arial" w:hAnsi="Arial" w:cs="Arial"/>
          <w:sz w:val="18"/>
          <w:szCs w:val="18"/>
          <w:highlight w:val="green"/>
        </w:rPr>
        <w:t>2</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(Goods</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and</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Services)</w:t>
      </w:r>
      <w:r w:rsidRPr="00CE5AA1">
        <w:rPr>
          <w:rFonts w:ascii="Arial" w:eastAsia="Arial" w:hAnsi="Arial" w:cs="Arial"/>
          <w:spacing w:val="-2"/>
          <w:sz w:val="18"/>
          <w:szCs w:val="18"/>
          <w:highlight w:val="green"/>
        </w:rPr>
        <w:t xml:space="preserve"> </w:t>
      </w:r>
      <w:r w:rsidRPr="00CE5AA1">
        <w:rPr>
          <w:rFonts w:ascii="Arial" w:eastAsia="Arial" w:hAnsi="Arial" w:cs="Arial"/>
          <w:spacing w:val="-1"/>
          <w:sz w:val="18"/>
          <w:szCs w:val="18"/>
          <w:highlight w:val="green"/>
        </w:rPr>
        <w:t>should</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reflect</w:t>
      </w:r>
      <w:r w:rsidRPr="00CE5AA1">
        <w:rPr>
          <w:rFonts w:ascii="Arial" w:eastAsia="Arial" w:hAnsi="Arial" w:cs="Arial"/>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documentation</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issued</w:t>
      </w:r>
      <w:r w:rsidRPr="00CE5AA1">
        <w:rPr>
          <w:rFonts w:ascii="Arial" w:eastAsia="Arial" w:hAnsi="Arial" w:cs="Arial"/>
          <w:spacing w:val="1"/>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2"/>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Supplier</w:t>
      </w:r>
      <w:r w:rsidRPr="00CE5AA1">
        <w:rPr>
          <w:rFonts w:ascii="Arial" w:eastAsia="Arial" w:hAnsi="Arial" w:cs="Arial"/>
          <w:spacing w:val="83"/>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accordance</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with</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paragraph</w:t>
      </w:r>
      <w:r w:rsidRPr="00CE5AA1">
        <w:rPr>
          <w:rFonts w:ascii="Arial" w:eastAsia="Arial" w:hAnsi="Arial" w:cs="Arial"/>
          <w:spacing w:val="3"/>
          <w:sz w:val="18"/>
          <w:szCs w:val="18"/>
          <w:highlight w:val="green"/>
        </w:rPr>
        <w:t xml:space="preserve"> </w:t>
      </w:r>
      <w:r w:rsidRPr="00CE5AA1">
        <w:rPr>
          <w:rFonts w:ascii="Arial" w:eastAsia="Arial" w:hAnsi="Arial" w:cs="Arial"/>
          <w:sz w:val="18"/>
          <w:szCs w:val="18"/>
          <w:highlight w:val="green"/>
        </w:rPr>
        <w:t>2</w:t>
      </w:r>
      <w:r w:rsidRPr="00CE5AA1">
        <w:rPr>
          <w:rFonts w:ascii="Arial" w:eastAsia="Arial" w:hAnsi="Arial" w:cs="Arial"/>
          <w:spacing w:val="5"/>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Framework</w:t>
      </w:r>
      <w:r w:rsidRPr="00CE5AA1">
        <w:rPr>
          <w:rFonts w:ascii="Arial" w:eastAsia="Arial" w:hAnsi="Arial" w:cs="Arial"/>
          <w:spacing w:val="6"/>
          <w:sz w:val="18"/>
          <w:szCs w:val="18"/>
          <w:highlight w:val="green"/>
        </w:rPr>
        <w:t xml:space="preserve"> </w:t>
      </w:r>
      <w:r w:rsidRPr="00CE5AA1">
        <w:rPr>
          <w:rFonts w:ascii="Arial" w:eastAsia="Arial" w:hAnsi="Arial" w:cs="Arial"/>
          <w:spacing w:val="-1"/>
          <w:sz w:val="18"/>
          <w:szCs w:val="18"/>
          <w:highlight w:val="green"/>
        </w:rPr>
        <w:t>Schedule</w:t>
      </w:r>
      <w:r w:rsidRPr="00CE5AA1">
        <w:rPr>
          <w:rFonts w:ascii="Arial" w:eastAsia="Arial" w:hAnsi="Arial" w:cs="Arial"/>
          <w:spacing w:val="3"/>
          <w:sz w:val="18"/>
          <w:szCs w:val="18"/>
          <w:highlight w:val="green"/>
        </w:rPr>
        <w:t xml:space="preserve"> </w:t>
      </w:r>
      <w:r w:rsidRPr="00CE5AA1">
        <w:rPr>
          <w:rFonts w:ascii="Arial" w:eastAsia="Arial" w:hAnsi="Arial" w:cs="Arial"/>
          <w:sz w:val="18"/>
          <w:szCs w:val="18"/>
          <w:highlight w:val="green"/>
        </w:rPr>
        <w:t>5</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6"/>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Procedure).</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If</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awarding</w:t>
      </w:r>
      <w:r w:rsidRPr="00CE5AA1">
        <w:rPr>
          <w:rFonts w:ascii="Arial" w:eastAsia="Arial" w:hAnsi="Arial" w:cs="Arial"/>
          <w:spacing w:val="5"/>
          <w:sz w:val="18"/>
          <w:szCs w:val="18"/>
          <w:highlight w:val="green"/>
        </w:rPr>
        <w:t xml:space="preserve"> </w:t>
      </w:r>
      <w:r w:rsidRPr="00CE5AA1">
        <w:rPr>
          <w:rFonts w:ascii="Arial" w:eastAsia="Arial" w:hAnsi="Arial" w:cs="Arial"/>
          <w:sz w:val="18"/>
          <w:szCs w:val="18"/>
          <w:highlight w:val="green"/>
        </w:rPr>
        <w:t>by</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way</w:t>
      </w:r>
      <w:r w:rsidRPr="00CE5AA1">
        <w:rPr>
          <w:rFonts w:ascii="Arial" w:eastAsia="Arial" w:hAnsi="Arial" w:cs="Arial"/>
          <w:spacing w:val="3"/>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5"/>
          <w:sz w:val="18"/>
          <w:szCs w:val="18"/>
          <w:highlight w:val="green"/>
        </w:rPr>
        <w:t xml:space="preserve"> </w:t>
      </w:r>
      <w:r w:rsidRPr="00CE5AA1">
        <w:rPr>
          <w:rFonts w:ascii="Arial" w:eastAsia="Arial" w:hAnsi="Arial" w:cs="Arial"/>
          <w:sz w:val="18"/>
          <w:szCs w:val="18"/>
          <w:highlight w:val="green"/>
        </w:rPr>
        <w:t>a</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Further</w:t>
      </w:r>
      <w:r w:rsidRPr="00CE5AA1">
        <w:rPr>
          <w:rFonts w:ascii="Arial" w:eastAsia="Arial" w:hAnsi="Arial" w:cs="Arial"/>
          <w:spacing w:val="71"/>
          <w:sz w:val="18"/>
          <w:szCs w:val="18"/>
          <w:highlight w:val="green"/>
        </w:rPr>
        <w:t xml:space="preserve"> </w:t>
      </w:r>
      <w:r w:rsidRPr="00CE5AA1">
        <w:rPr>
          <w:rFonts w:ascii="Arial" w:eastAsia="Arial" w:hAnsi="Arial" w:cs="Arial"/>
          <w:spacing w:val="-1"/>
          <w:sz w:val="18"/>
          <w:szCs w:val="18"/>
          <w:highlight w:val="green"/>
        </w:rPr>
        <w:t>Competition</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Procedure,</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13"/>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Schedule</w:t>
      </w:r>
      <w:r w:rsidRPr="00CE5AA1">
        <w:rPr>
          <w:rFonts w:ascii="Arial" w:eastAsia="Arial" w:hAnsi="Arial" w:cs="Arial"/>
          <w:spacing w:val="13"/>
          <w:sz w:val="18"/>
          <w:szCs w:val="18"/>
          <w:highlight w:val="green"/>
        </w:rPr>
        <w:t xml:space="preserve"> </w:t>
      </w:r>
      <w:r w:rsidRPr="00CE5AA1">
        <w:rPr>
          <w:rFonts w:ascii="Arial" w:eastAsia="Arial" w:hAnsi="Arial" w:cs="Arial"/>
          <w:sz w:val="18"/>
          <w:szCs w:val="18"/>
          <w:highlight w:val="green"/>
        </w:rPr>
        <w:t>2</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(Goods</w:t>
      </w:r>
      <w:r w:rsidRPr="00CE5AA1">
        <w:rPr>
          <w:rFonts w:ascii="Arial" w:eastAsia="Arial" w:hAnsi="Arial" w:cs="Arial"/>
          <w:spacing w:val="16"/>
          <w:sz w:val="18"/>
          <w:szCs w:val="18"/>
          <w:highlight w:val="green"/>
        </w:rPr>
        <w:t xml:space="preserve"> </w:t>
      </w:r>
      <w:r w:rsidRPr="00CE5AA1">
        <w:rPr>
          <w:rFonts w:ascii="Arial" w:eastAsia="Arial" w:hAnsi="Arial" w:cs="Arial"/>
          <w:spacing w:val="-1"/>
          <w:sz w:val="18"/>
          <w:szCs w:val="18"/>
          <w:highlight w:val="green"/>
        </w:rPr>
        <w:t>and</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Services)</w:t>
      </w:r>
      <w:r w:rsidRPr="00CE5AA1">
        <w:rPr>
          <w:rFonts w:ascii="Arial" w:eastAsia="Arial" w:hAnsi="Arial" w:cs="Arial"/>
          <w:spacing w:val="12"/>
          <w:sz w:val="18"/>
          <w:szCs w:val="18"/>
          <w:highlight w:val="green"/>
        </w:rPr>
        <w:t xml:space="preserve"> </w:t>
      </w:r>
      <w:r w:rsidRPr="00CE5AA1">
        <w:rPr>
          <w:rFonts w:ascii="Arial" w:eastAsia="Arial" w:hAnsi="Arial" w:cs="Arial"/>
          <w:spacing w:val="-1"/>
          <w:sz w:val="18"/>
          <w:szCs w:val="18"/>
          <w:highlight w:val="green"/>
        </w:rPr>
        <w:t>should</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reflect</w:t>
      </w:r>
      <w:r w:rsidRPr="00CE5AA1">
        <w:rPr>
          <w:rFonts w:ascii="Arial" w:eastAsia="Arial" w:hAnsi="Arial" w:cs="Arial"/>
          <w:spacing w:val="12"/>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3"/>
          <w:sz w:val="18"/>
          <w:szCs w:val="18"/>
          <w:highlight w:val="green"/>
        </w:rPr>
        <w:t xml:space="preserve"> </w:t>
      </w:r>
      <w:r w:rsidRPr="00CE5AA1">
        <w:rPr>
          <w:rFonts w:ascii="Arial" w:eastAsia="Arial" w:hAnsi="Arial" w:cs="Arial"/>
          <w:spacing w:val="-1"/>
          <w:sz w:val="18"/>
          <w:szCs w:val="18"/>
          <w:highlight w:val="green"/>
        </w:rPr>
        <w:t>documentation</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issued</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to</w:t>
      </w:r>
      <w:r w:rsidRPr="00CE5AA1">
        <w:rPr>
          <w:rFonts w:ascii="Arial" w:eastAsia="Arial" w:hAnsi="Arial" w:cs="Arial"/>
          <w:spacing w:val="107"/>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Suppliers</w:t>
      </w:r>
      <w:r w:rsidRPr="00CE5AA1">
        <w:rPr>
          <w:rFonts w:ascii="Arial" w:eastAsia="Arial" w:hAnsi="Arial" w:cs="Arial"/>
          <w:spacing w:val="11"/>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accordance</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with</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paragraph</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3.1.3</w:t>
      </w:r>
      <w:r w:rsidRPr="00CE5AA1">
        <w:rPr>
          <w:rFonts w:ascii="Arial" w:eastAsia="Arial" w:hAnsi="Arial" w:cs="Arial"/>
          <w:spacing w:val="10"/>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Framework</w:t>
      </w:r>
      <w:r w:rsidRPr="00CE5AA1">
        <w:rPr>
          <w:rFonts w:ascii="Arial" w:eastAsia="Arial" w:hAnsi="Arial" w:cs="Arial"/>
          <w:spacing w:val="11"/>
          <w:sz w:val="18"/>
          <w:szCs w:val="18"/>
          <w:highlight w:val="green"/>
        </w:rPr>
        <w:t xml:space="preserve"> </w:t>
      </w:r>
      <w:r w:rsidRPr="00CE5AA1">
        <w:rPr>
          <w:rFonts w:ascii="Arial" w:eastAsia="Arial" w:hAnsi="Arial" w:cs="Arial"/>
          <w:spacing w:val="-1"/>
          <w:sz w:val="18"/>
          <w:szCs w:val="18"/>
          <w:highlight w:val="green"/>
        </w:rPr>
        <w:t>Schedule</w:t>
      </w:r>
      <w:r w:rsidRPr="00CE5AA1">
        <w:rPr>
          <w:rFonts w:ascii="Arial" w:eastAsia="Arial" w:hAnsi="Arial" w:cs="Arial"/>
          <w:spacing w:val="10"/>
          <w:sz w:val="18"/>
          <w:szCs w:val="18"/>
          <w:highlight w:val="green"/>
        </w:rPr>
        <w:t xml:space="preserve"> </w:t>
      </w:r>
      <w:r w:rsidRPr="00CE5AA1">
        <w:rPr>
          <w:rFonts w:ascii="Arial" w:eastAsia="Arial" w:hAnsi="Arial" w:cs="Arial"/>
          <w:sz w:val="18"/>
          <w:szCs w:val="18"/>
          <w:highlight w:val="green"/>
        </w:rPr>
        <w:t>5</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Procedure)</w:t>
      </w:r>
      <w:r w:rsidRPr="00CE5AA1">
        <w:rPr>
          <w:rFonts w:ascii="Arial" w:eastAsia="Arial" w:hAnsi="Arial" w:cs="Arial"/>
          <w:spacing w:val="9"/>
          <w:sz w:val="18"/>
          <w:szCs w:val="18"/>
          <w:highlight w:val="green"/>
        </w:rPr>
        <w:t xml:space="preserve"> </w:t>
      </w:r>
      <w:r w:rsidRPr="00CE5AA1">
        <w:rPr>
          <w:rFonts w:ascii="Arial" w:eastAsia="Arial" w:hAnsi="Arial" w:cs="Arial"/>
          <w:spacing w:val="-1"/>
          <w:sz w:val="18"/>
          <w:szCs w:val="18"/>
          <w:highlight w:val="green"/>
        </w:rPr>
        <w:t>as</w:t>
      </w:r>
      <w:r w:rsidRPr="00CE5AA1">
        <w:rPr>
          <w:rFonts w:ascii="Arial" w:eastAsia="Arial" w:hAnsi="Arial" w:cs="Arial"/>
          <w:spacing w:val="11"/>
          <w:sz w:val="18"/>
          <w:szCs w:val="18"/>
          <w:highlight w:val="green"/>
        </w:rPr>
        <w:t xml:space="preserve"> </w:t>
      </w:r>
      <w:r w:rsidRPr="00CE5AA1">
        <w:rPr>
          <w:rFonts w:ascii="Arial" w:eastAsia="Arial" w:hAnsi="Arial" w:cs="Arial"/>
          <w:spacing w:val="-1"/>
          <w:sz w:val="18"/>
          <w:szCs w:val="18"/>
          <w:highlight w:val="green"/>
        </w:rPr>
        <w:t>refined</w:t>
      </w:r>
      <w:r w:rsidRPr="00CE5AA1">
        <w:rPr>
          <w:rFonts w:ascii="Arial" w:eastAsia="Arial" w:hAnsi="Arial" w:cs="Arial"/>
          <w:spacing w:val="8"/>
          <w:sz w:val="18"/>
          <w:szCs w:val="18"/>
          <w:highlight w:val="green"/>
        </w:rPr>
        <w:t xml:space="preserve"> </w:t>
      </w:r>
      <w:r w:rsidRPr="00CE5AA1">
        <w:rPr>
          <w:rFonts w:ascii="Arial" w:eastAsia="Arial" w:hAnsi="Arial" w:cs="Arial"/>
          <w:sz w:val="18"/>
          <w:szCs w:val="18"/>
          <w:highlight w:val="green"/>
        </w:rPr>
        <w:t>by</w:t>
      </w:r>
      <w:r w:rsidRPr="00CE5AA1">
        <w:rPr>
          <w:rFonts w:ascii="Arial" w:eastAsia="Arial" w:hAnsi="Arial" w:cs="Arial"/>
          <w:spacing w:val="91"/>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Customer</w:t>
      </w:r>
      <w:r w:rsidRPr="00CE5AA1">
        <w:rPr>
          <w:rFonts w:ascii="Arial" w:eastAsia="Arial" w:hAnsi="Arial" w:cs="Arial"/>
          <w:spacing w:val="14"/>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reflect</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information</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(if</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any)</w:t>
      </w:r>
      <w:r w:rsidRPr="00CE5AA1">
        <w:rPr>
          <w:rFonts w:ascii="Arial" w:eastAsia="Arial" w:hAnsi="Arial" w:cs="Arial"/>
          <w:spacing w:val="14"/>
          <w:sz w:val="18"/>
          <w:szCs w:val="18"/>
          <w:highlight w:val="green"/>
        </w:rPr>
        <w:t xml:space="preserve"> </w:t>
      </w:r>
      <w:r w:rsidRPr="00CE5AA1">
        <w:rPr>
          <w:rFonts w:ascii="Arial" w:eastAsia="Arial" w:hAnsi="Arial" w:cs="Arial"/>
          <w:spacing w:val="-1"/>
          <w:sz w:val="18"/>
          <w:szCs w:val="18"/>
          <w:highlight w:val="green"/>
        </w:rPr>
        <w:t>submitted</w:t>
      </w:r>
      <w:r w:rsidRPr="00CE5AA1">
        <w:rPr>
          <w:rFonts w:ascii="Arial" w:eastAsia="Arial" w:hAnsi="Arial" w:cs="Arial"/>
          <w:spacing w:val="15"/>
          <w:sz w:val="18"/>
          <w:szCs w:val="18"/>
          <w:highlight w:val="green"/>
        </w:rPr>
        <w:t xml:space="preserve"> </w:t>
      </w:r>
      <w:r w:rsidRPr="00CE5AA1">
        <w:rPr>
          <w:rFonts w:ascii="Arial" w:eastAsia="Arial" w:hAnsi="Arial" w:cs="Arial"/>
          <w:sz w:val="18"/>
          <w:szCs w:val="18"/>
          <w:highlight w:val="green"/>
        </w:rPr>
        <w:t>by</w:t>
      </w:r>
      <w:r w:rsidRPr="00CE5AA1">
        <w:rPr>
          <w:rFonts w:ascii="Arial" w:eastAsia="Arial" w:hAnsi="Arial" w:cs="Arial"/>
          <w:spacing w:val="13"/>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3"/>
          <w:sz w:val="18"/>
          <w:szCs w:val="18"/>
          <w:highlight w:val="green"/>
        </w:rPr>
        <w:t xml:space="preserve"> </w:t>
      </w:r>
      <w:r w:rsidRPr="00CE5AA1">
        <w:rPr>
          <w:rFonts w:ascii="Arial" w:eastAsia="Arial" w:hAnsi="Arial" w:cs="Arial"/>
          <w:spacing w:val="-1"/>
          <w:sz w:val="18"/>
          <w:szCs w:val="18"/>
          <w:highlight w:val="green"/>
        </w:rPr>
        <w:t>successful</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Supplier</w:t>
      </w:r>
      <w:r w:rsidRPr="00CE5AA1">
        <w:rPr>
          <w:rFonts w:ascii="Arial" w:eastAsia="Arial" w:hAnsi="Arial" w:cs="Arial"/>
          <w:spacing w:val="14"/>
          <w:sz w:val="18"/>
          <w:szCs w:val="18"/>
          <w:highlight w:val="green"/>
        </w:rPr>
        <w:t xml:space="preserve"> </w:t>
      </w:r>
      <w:r w:rsidRPr="00CE5AA1">
        <w:rPr>
          <w:rFonts w:ascii="Arial" w:eastAsia="Arial" w:hAnsi="Arial" w:cs="Arial"/>
          <w:spacing w:val="-1"/>
          <w:sz w:val="18"/>
          <w:szCs w:val="18"/>
          <w:highlight w:val="green"/>
        </w:rPr>
        <w:t>during</w:t>
      </w:r>
      <w:r w:rsidRPr="00CE5AA1">
        <w:rPr>
          <w:rFonts w:ascii="Arial" w:eastAsia="Arial" w:hAnsi="Arial" w:cs="Arial"/>
          <w:spacing w:val="15"/>
          <w:sz w:val="18"/>
          <w:szCs w:val="18"/>
          <w:highlight w:val="green"/>
        </w:rPr>
        <w:t xml:space="preserve"> </w:t>
      </w:r>
      <w:r w:rsidRPr="00CE5AA1">
        <w:rPr>
          <w:rFonts w:ascii="Arial" w:eastAsia="Arial" w:hAnsi="Arial" w:cs="Arial"/>
          <w:sz w:val="18"/>
          <w:szCs w:val="18"/>
          <w:highlight w:val="green"/>
        </w:rPr>
        <w:t>a</w:t>
      </w:r>
      <w:r w:rsidRPr="00CE5AA1">
        <w:rPr>
          <w:rFonts w:ascii="Arial" w:eastAsia="Arial" w:hAnsi="Arial" w:cs="Arial"/>
          <w:spacing w:val="13"/>
          <w:sz w:val="18"/>
          <w:szCs w:val="18"/>
          <w:highlight w:val="green"/>
        </w:rPr>
        <w:t xml:space="preserve"> </w:t>
      </w:r>
      <w:r w:rsidRPr="00CE5AA1">
        <w:rPr>
          <w:rFonts w:ascii="Arial" w:eastAsia="Arial" w:hAnsi="Arial" w:cs="Arial"/>
          <w:sz w:val="18"/>
          <w:szCs w:val="18"/>
          <w:highlight w:val="green"/>
        </w:rPr>
        <w:t>Further</w:t>
      </w:r>
      <w:r w:rsidRPr="00CE5AA1">
        <w:rPr>
          <w:rFonts w:ascii="Arial" w:eastAsia="Arial" w:hAnsi="Arial" w:cs="Arial"/>
          <w:spacing w:val="14"/>
          <w:sz w:val="18"/>
          <w:szCs w:val="18"/>
          <w:highlight w:val="green"/>
        </w:rPr>
        <w:t xml:space="preserve"> </w:t>
      </w:r>
      <w:r w:rsidRPr="00CE5AA1">
        <w:rPr>
          <w:rFonts w:ascii="Arial" w:eastAsia="Arial" w:hAnsi="Arial" w:cs="Arial"/>
          <w:spacing w:val="-1"/>
          <w:sz w:val="18"/>
          <w:szCs w:val="18"/>
          <w:highlight w:val="green"/>
        </w:rPr>
        <w:t>Competition</w:t>
      </w:r>
      <w:r w:rsidRPr="00CE5AA1">
        <w:rPr>
          <w:rFonts w:ascii="Arial" w:eastAsia="Arial" w:hAnsi="Arial" w:cs="Arial"/>
          <w:spacing w:val="97"/>
          <w:sz w:val="18"/>
          <w:szCs w:val="18"/>
          <w:highlight w:val="green"/>
        </w:rPr>
        <w:t xml:space="preserve"> </w:t>
      </w:r>
      <w:r w:rsidRPr="00CE5AA1">
        <w:rPr>
          <w:rFonts w:ascii="Arial" w:eastAsia="Arial" w:hAnsi="Arial" w:cs="Arial"/>
          <w:spacing w:val="-1"/>
          <w:sz w:val="18"/>
          <w:szCs w:val="18"/>
          <w:highlight w:val="green"/>
        </w:rPr>
        <w:t>Procedure.</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For</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example,</w:t>
      </w:r>
      <w:r w:rsidRPr="00CE5AA1">
        <w:rPr>
          <w:rFonts w:ascii="Arial" w:eastAsia="Arial" w:hAnsi="Arial" w:cs="Arial"/>
          <w:spacing w:val="15"/>
          <w:sz w:val="18"/>
          <w:szCs w:val="18"/>
          <w:highlight w:val="green"/>
        </w:rPr>
        <w:t xml:space="preserve"> </w:t>
      </w:r>
      <w:r w:rsidRPr="00CE5AA1">
        <w:rPr>
          <w:rFonts w:ascii="Arial" w:eastAsia="Arial" w:hAnsi="Arial" w:cs="Arial"/>
          <w:sz w:val="18"/>
          <w:szCs w:val="18"/>
          <w:highlight w:val="green"/>
        </w:rPr>
        <w:t>if</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Customer</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wanted</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Suppliers</w:t>
      </w:r>
      <w:r w:rsidRPr="00CE5AA1">
        <w:rPr>
          <w:rFonts w:ascii="Arial" w:eastAsia="Arial" w:hAnsi="Arial" w:cs="Arial"/>
          <w:spacing w:val="15"/>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supplement</w:t>
      </w:r>
      <w:r w:rsidRPr="00CE5AA1">
        <w:rPr>
          <w:rFonts w:ascii="Arial" w:eastAsia="Arial" w:hAnsi="Arial" w:cs="Arial"/>
          <w:spacing w:val="17"/>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Customer’s</w:t>
      </w:r>
      <w:r w:rsidRPr="00CE5AA1">
        <w:rPr>
          <w:rFonts w:ascii="Arial" w:eastAsia="Arial" w:hAnsi="Arial" w:cs="Arial"/>
          <w:spacing w:val="18"/>
          <w:sz w:val="18"/>
          <w:szCs w:val="18"/>
          <w:highlight w:val="green"/>
        </w:rPr>
        <w:t xml:space="preserve"> </w:t>
      </w:r>
      <w:r w:rsidRPr="00CE5AA1">
        <w:rPr>
          <w:rFonts w:ascii="Arial" w:eastAsia="Arial" w:hAnsi="Arial" w:cs="Arial"/>
          <w:spacing w:val="-1"/>
          <w:sz w:val="18"/>
          <w:szCs w:val="18"/>
          <w:highlight w:val="green"/>
        </w:rPr>
        <w:t>initial</w:t>
      </w:r>
      <w:r w:rsidRPr="00CE5AA1">
        <w:rPr>
          <w:rFonts w:ascii="Arial" w:eastAsia="Arial" w:hAnsi="Arial" w:cs="Arial"/>
          <w:spacing w:val="18"/>
          <w:sz w:val="18"/>
          <w:szCs w:val="18"/>
          <w:highlight w:val="green"/>
        </w:rPr>
        <w:t xml:space="preserve"> </w:t>
      </w:r>
      <w:r w:rsidRPr="00CE5AA1">
        <w:rPr>
          <w:rFonts w:ascii="Arial" w:eastAsia="Arial" w:hAnsi="Arial" w:cs="Arial"/>
          <w:spacing w:val="-1"/>
          <w:sz w:val="18"/>
          <w:szCs w:val="18"/>
          <w:highlight w:val="green"/>
        </w:rPr>
        <w:t>requirements</w:t>
      </w:r>
      <w:r w:rsidRPr="00CE5AA1">
        <w:rPr>
          <w:rFonts w:ascii="Arial" w:eastAsia="Arial" w:hAnsi="Arial" w:cs="Arial"/>
          <w:spacing w:val="91"/>
          <w:sz w:val="18"/>
          <w:szCs w:val="18"/>
          <w:highlight w:val="green"/>
        </w:rPr>
        <w:t xml:space="preserve"> </w:t>
      </w:r>
      <w:r w:rsidRPr="00CE5AA1">
        <w:rPr>
          <w:rFonts w:ascii="Arial" w:eastAsia="Arial" w:hAnsi="Arial" w:cs="Arial"/>
          <w:sz w:val="18"/>
          <w:szCs w:val="18"/>
          <w:highlight w:val="green"/>
        </w:rPr>
        <w:t>by</w:t>
      </w:r>
      <w:r w:rsidRPr="00CE5AA1">
        <w:rPr>
          <w:rFonts w:ascii="Arial" w:eastAsia="Arial" w:hAnsi="Arial" w:cs="Arial"/>
          <w:spacing w:val="6"/>
          <w:sz w:val="18"/>
          <w:szCs w:val="18"/>
          <w:highlight w:val="green"/>
        </w:rPr>
        <w:t xml:space="preserve"> </w:t>
      </w:r>
      <w:r w:rsidRPr="00CE5AA1">
        <w:rPr>
          <w:rFonts w:ascii="Arial" w:eastAsia="Arial" w:hAnsi="Arial" w:cs="Arial"/>
          <w:spacing w:val="-1"/>
          <w:sz w:val="18"/>
          <w:szCs w:val="18"/>
          <w:highlight w:val="green"/>
        </w:rPr>
        <w:t>asking</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award</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questions</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about</w:t>
      </w:r>
      <w:r w:rsidRPr="00CE5AA1">
        <w:rPr>
          <w:rFonts w:ascii="Arial" w:eastAsia="Arial" w:hAnsi="Arial" w:cs="Arial"/>
          <w:spacing w:val="7"/>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way</w:t>
      </w:r>
      <w:r w:rsidRPr="00CE5AA1">
        <w:rPr>
          <w:rFonts w:ascii="Arial" w:eastAsia="Arial" w:hAnsi="Arial" w:cs="Arial"/>
          <w:spacing w:val="6"/>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which</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Supplier</w:t>
      </w:r>
      <w:r w:rsidRPr="00CE5AA1">
        <w:rPr>
          <w:rFonts w:ascii="Arial" w:eastAsia="Arial" w:hAnsi="Arial" w:cs="Arial"/>
          <w:spacing w:val="7"/>
          <w:sz w:val="18"/>
          <w:szCs w:val="18"/>
          <w:highlight w:val="green"/>
        </w:rPr>
        <w:t xml:space="preserve"> </w:t>
      </w:r>
      <w:r w:rsidRPr="00CE5AA1">
        <w:rPr>
          <w:rFonts w:ascii="Arial" w:eastAsia="Arial" w:hAnsi="Arial" w:cs="Arial"/>
          <w:spacing w:val="-1"/>
          <w:sz w:val="18"/>
          <w:szCs w:val="18"/>
          <w:highlight w:val="green"/>
        </w:rPr>
        <w:t>would</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provide</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Goods</w:t>
      </w:r>
      <w:r w:rsidRPr="00CE5AA1">
        <w:rPr>
          <w:rFonts w:ascii="Arial" w:eastAsia="Arial" w:hAnsi="Arial" w:cs="Arial"/>
          <w:spacing w:val="6"/>
          <w:sz w:val="18"/>
          <w:szCs w:val="18"/>
          <w:highlight w:val="green"/>
        </w:rPr>
        <w:t xml:space="preserve"> </w:t>
      </w:r>
      <w:r w:rsidRPr="00CE5AA1">
        <w:rPr>
          <w:rFonts w:ascii="Arial" w:eastAsia="Arial" w:hAnsi="Arial" w:cs="Arial"/>
          <w:spacing w:val="-1"/>
          <w:sz w:val="18"/>
          <w:szCs w:val="18"/>
          <w:highlight w:val="green"/>
        </w:rPr>
        <w:t>and/or</w:t>
      </w:r>
      <w:r w:rsidRPr="00CE5AA1">
        <w:rPr>
          <w:rFonts w:ascii="Arial" w:eastAsia="Arial" w:hAnsi="Arial" w:cs="Arial"/>
          <w:spacing w:val="7"/>
          <w:sz w:val="18"/>
          <w:szCs w:val="18"/>
          <w:highlight w:val="green"/>
        </w:rPr>
        <w:t xml:space="preserve"> </w:t>
      </w:r>
      <w:r w:rsidRPr="00CE5AA1">
        <w:rPr>
          <w:rFonts w:ascii="Arial" w:eastAsia="Arial" w:hAnsi="Arial" w:cs="Arial"/>
          <w:spacing w:val="-1"/>
          <w:sz w:val="18"/>
          <w:szCs w:val="18"/>
          <w:highlight w:val="green"/>
        </w:rPr>
        <w:t>Services,</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then</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73"/>
          <w:sz w:val="18"/>
          <w:szCs w:val="18"/>
          <w:highlight w:val="green"/>
        </w:rPr>
        <w:t xml:space="preserve"> </w:t>
      </w:r>
      <w:r w:rsidRPr="00CE5AA1">
        <w:rPr>
          <w:rFonts w:ascii="Arial" w:eastAsia="Arial" w:hAnsi="Arial" w:cs="Arial"/>
          <w:spacing w:val="-1"/>
          <w:sz w:val="18"/>
          <w:szCs w:val="18"/>
          <w:highlight w:val="green"/>
        </w:rPr>
        <w:t>Customer</w:t>
      </w:r>
      <w:r w:rsidRPr="00CE5AA1">
        <w:rPr>
          <w:rFonts w:ascii="Arial" w:eastAsia="Arial" w:hAnsi="Arial" w:cs="Arial"/>
          <w:spacing w:val="-2"/>
          <w:sz w:val="18"/>
          <w:szCs w:val="18"/>
          <w:highlight w:val="green"/>
        </w:rPr>
        <w:t xml:space="preserve"> </w:t>
      </w:r>
      <w:r w:rsidRPr="00CE5AA1">
        <w:rPr>
          <w:rFonts w:ascii="Arial" w:eastAsia="Arial" w:hAnsi="Arial" w:cs="Arial"/>
          <w:spacing w:val="-1"/>
          <w:sz w:val="18"/>
          <w:szCs w:val="18"/>
          <w:highlight w:val="green"/>
        </w:rPr>
        <w:t>should</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ensure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that</w:t>
      </w:r>
      <w:r w:rsidRPr="00CE5AA1">
        <w:rPr>
          <w:rFonts w:ascii="Arial" w:eastAsia="Arial" w:hAnsi="Arial" w:cs="Arial"/>
          <w:spacing w:val="-2"/>
          <w:sz w:val="18"/>
          <w:szCs w:val="18"/>
          <w:highlight w:val="green"/>
        </w:rPr>
        <w:t xml:space="preserve"> </w:t>
      </w:r>
      <w:r w:rsidRPr="00CE5AA1">
        <w:rPr>
          <w:rFonts w:ascii="Arial" w:eastAsia="Arial" w:hAnsi="Arial" w:cs="Arial"/>
          <w:spacing w:val="-1"/>
          <w:sz w:val="18"/>
          <w:szCs w:val="18"/>
          <w:highlight w:val="green"/>
        </w:rPr>
        <w:t>such</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 xml:space="preserve">responses </w:t>
      </w:r>
      <w:r w:rsidRPr="00CE5AA1">
        <w:rPr>
          <w:rFonts w:ascii="Arial" w:eastAsia="Arial" w:hAnsi="Arial" w:cs="Arial"/>
          <w:sz w:val="18"/>
          <w:szCs w:val="18"/>
          <w:highlight w:val="green"/>
        </w:rPr>
        <w:t>are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incorporated.]</w:t>
      </w:r>
    </w:p>
    <w:p w:rsidR="008918FA" w:rsidRPr="00CE5AA1" w:rsidRDefault="008918FA" w:rsidP="008918FA">
      <w:pPr>
        <w:spacing w:before="88"/>
        <w:ind w:left="441" w:right="114"/>
        <w:jc w:val="both"/>
        <w:rPr>
          <w:rFonts w:ascii="Arial" w:eastAsia="Arial" w:hAnsi="Arial" w:cs="Arial"/>
          <w:sz w:val="18"/>
          <w:szCs w:val="18"/>
          <w:highlight w:val="green"/>
        </w:rPr>
      </w:pPr>
      <w:r w:rsidRPr="00CE5AA1">
        <w:rPr>
          <w:rFonts w:ascii="Arial"/>
          <w:position w:val="9"/>
          <w:sz w:val="12"/>
          <w:highlight w:val="green"/>
        </w:rPr>
        <w:t>8</w:t>
      </w:r>
      <w:r w:rsidRPr="00CE5AA1">
        <w:rPr>
          <w:rFonts w:ascii="Arial"/>
          <w:spacing w:val="17"/>
          <w:position w:val="9"/>
          <w:sz w:val="12"/>
          <w:highlight w:val="green"/>
        </w:rPr>
        <w:t xml:space="preserve"> </w:t>
      </w:r>
      <w:bookmarkStart w:id="5" w:name="_bookmark7"/>
      <w:bookmarkEnd w:id="5"/>
      <w:r w:rsidRPr="00CE5AA1">
        <w:rPr>
          <w:rFonts w:ascii="Arial"/>
          <w:spacing w:val="-1"/>
          <w:sz w:val="18"/>
          <w:highlight w:val="green"/>
        </w:rPr>
        <w:t>[Guidance</w:t>
      </w:r>
      <w:r w:rsidRPr="00CE5AA1">
        <w:rPr>
          <w:rFonts w:ascii="Arial"/>
          <w:spacing w:val="1"/>
          <w:sz w:val="18"/>
          <w:highlight w:val="green"/>
        </w:rPr>
        <w:t xml:space="preserve"> </w:t>
      </w:r>
      <w:r w:rsidRPr="00CE5AA1">
        <w:rPr>
          <w:rFonts w:ascii="Arial"/>
          <w:spacing w:val="-1"/>
          <w:sz w:val="18"/>
          <w:highlight w:val="green"/>
        </w:rPr>
        <w:t>Note:</w:t>
      </w:r>
      <w:r w:rsidRPr="00CE5AA1">
        <w:rPr>
          <w:rFonts w:ascii="Arial"/>
          <w:sz w:val="18"/>
          <w:highlight w:val="green"/>
        </w:rPr>
        <w:t xml:space="preserve"> See</w:t>
      </w:r>
      <w:r w:rsidRPr="00CE5AA1">
        <w:rPr>
          <w:rFonts w:ascii="Arial"/>
          <w:spacing w:val="1"/>
          <w:sz w:val="18"/>
          <w:highlight w:val="green"/>
        </w:rPr>
        <w:t xml:space="preserve"> </w:t>
      </w:r>
      <w:r w:rsidRPr="00CE5AA1">
        <w:rPr>
          <w:rFonts w:ascii="Arial"/>
          <w:spacing w:val="-1"/>
          <w:sz w:val="18"/>
          <w:highlight w:val="green"/>
        </w:rPr>
        <w:t>Clause</w:t>
      </w:r>
      <w:r w:rsidRPr="00CE5AA1">
        <w:rPr>
          <w:rFonts w:ascii="Arial"/>
          <w:spacing w:val="-2"/>
          <w:sz w:val="18"/>
          <w:highlight w:val="green"/>
        </w:rPr>
        <w:t xml:space="preserve"> </w:t>
      </w:r>
      <w:hyperlink w:anchor="_bookmark90" w:history="1">
        <w:r w:rsidRPr="00CE5AA1">
          <w:rPr>
            <w:rFonts w:ascii="Arial"/>
            <w:sz w:val="18"/>
            <w:highlight w:val="green"/>
          </w:rPr>
          <w:t>10</w:t>
        </w:r>
      </w:hyperlink>
      <w:r w:rsidRPr="00CE5AA1">
        <w:rPr>
          <w:rFonts w:ascii="Arial"/>
          <w:spacing w:val="1"/>
          <w:sz w:val="18"/>
          <w:highlight w:val="green"/>
        </w:rPr>
        <w:t xml:space="preserve"> </w:t>
      </w:r>
      <w:r w:rsidRPr="00CE5AA1">
        <w:rPr>
          <w:rFonts w:ascii="Arial"/>
          <w:sz w:val="18"/>
          <w:highlight w:val="green"/>
        </w:rPr>
        <w:t>of the</w:t>
      </w:r>
      <w:r w:rsidRPr="00CE5AA1">
        <w:rPr>
          <w:rFonts w:ascii="Arial"/>
          <w:spacing w:val="1"/>
          <w:sz w:val="18"/>
          <w:highlight w:val="green"/>
        </w:rPr>
        <w:t xml:space="preserve"> </w:t>
      </w:r>
      <w:r w:rsidRPr="00CE5AA1">
        <w:rPr>
          <w:rFonts w:ascii="Arial"/>
          <w:spacing w:val="-1"/>
          <w:sz w:val="18"/>
          <w:highlight w:val="green"/>
        </w:rPr>
        <w:t>Template</w:t>
      </w:r>
      <w:r w:rsidRPr="00CE5AA1">
        <w:rPr>
          <w:rFonts w:ascii="Arial"/>
          <w:spacing w:val="1"/>
          <w:sz w:val="18"/>
          <w:highlight w:val="green"/>
        </w:rPr>
        <w:t xml:space="preserve"> </w:t>
      </w:r>
      <w:r w:rsidRPr="00CE5AA1">
        <w:rPr>
          <w:rFonts w:ascii="Arial"/>
          <w:spacing w:val="-1"/>
          <w:sz w:val="18"/>
          <w:highlight w:val="green"/>
        </w:rPr>
        <w:t>Call</w:t>
      </w:r>
      <w:r w:rsidRPr="00CE5AA1">
        <w:rPr>
          <w:rFonts w:ascii="Arial"/>
          <w:spacing w:val="1"/>
          <w:sz w:val="18"/>
          <w:highlight w:val="green"/>
        </w:rPr>
        <w:t xml:space="preserve"> </w:t>
      </w:r>
      <w:r w:rsidRPr="00CE5AA1">
        <w:rPr>
          <w:rFonts w:ascii="Arial"/>
          <w:spacing w:val="-1"/>
          <w:sz w:val="18"/>
          <w:highlight w:val="green"/>
        </w:rPr>
        <w:t>Off</w:t>
      </w:r>
      <w:r w:rsidRPr="00CE5AA1">
        <w:rPr>
          <w:rFonts w:ascii="Arial"/>
          <w:sz w:val="18"/>
          <w:highlight w:val="green"/>
        </w:rPr>
        <w:t xml:space="preserve"> Terms. </w:t>
      </w:r>
      <w:r w:rsidRPr="00CE5AA1">
        <w:rPr>
          <w:rFonts w:ascii="Arial"/>
          <w:spacing w:val="-1"/>
          <w:sz w:val="18"/>
          <w:highlight w:val="green"/>
        </w:rPr>
        <w:t>Insert</w:t>
      </w:r>
      <w:r w:rsidRPr="00CE5AA1">
        <w:rPr>
          <w:rFonts w:ascii="Arial"/>
          <w:sz w:val="18"/>
          <w:highlight w:val="green"/>
        </w:rPr>
        <w:t xml:space="preserve"> </w:t>
      </w:r>
      <w:r w:rsidRPr="00CE5AA1">
        <w:rPr>
          <w:rFonts w:ascii="Arial"/>
          <w:spacing w:val="-1"/>
          <w:sz w:val="18"/>
          <w:highlight w:val="green"/>
        </w:rPr>
        <w:t>details</w:t>
      </w:r>
      <w:r w:rsidRPr="00CE5AA1">
        <w:rPr>
          <w:rFonts w:ascii="Arial"/>
          <w:spacing w:val="1"/>
          <w:sz w:val="18"/>
          <w:highlight w:val="green"/>
        </w:rPr>
        <w:t xml:space="preserve"> </w:t>
      </w:r>
      <w:r w:rsidRPr="00CE5AA1">
        <w:rPr>
          <w:rFonts w:ascii="Arial"/>
          <w:sz w:val="18"/>
          <w:highlight w:val="green"/>
        </w:rPr>
        <w:t>of any</w:t>
      </w:r>
      <w:r w:rsidRPr="00CE5AA1">
        <w:rPr>
          <w:rFonts w:ascii="Arial"/>
          <w:spacing w:val="-1"/>
          <w:sz w:val="18"/>
          <w:highlight w:val="green"/>
        </w:rPr>
        <w:t xml:space="preserve"> Installation</w:t>
      </w:r>
      <w:r w:rsidRPr="00CE5AA1">
        <w:rPr>
          <w:rFonts w:ascii="Arial"/>
          <w:spacing w:val="-4"/>
          <w:sz w:val="18"/>
          <w:highlight w:val="green"/>
        </w:rPr>
        <w:t xml:space="preserve"> </w:t>
      </w:r>
      <w:r w:rsidRPr="00CE5AA1">
        <w:rPr>
          <w:rFonts w:ascii="Arial"/>
          <w:sz w:val="18"/>
          <w:highlight w:val="green"/>
        </w:rPr>
        <w:t xml:space="preserve">Works. </w:t>
      </w:r>
      <w:r w:rsidRPr="00CE5AA1">
        <w:rPr>
          <w:rFonts w:ascii="Arial"/>
          <w:spacing w:val="-1"/>
          <w:sz w:val="18"/>
          <w:highlight w:val="green"/>
        </w:rPr>
        <w:t>Leave</w:t>
      </w:r>
      <w:r w:rsidRPr="00CE5AA1">
        <w:rPr>
          <w:rFonts w:ascii="Arial"/>
          <w:spacing w:val="93"/>
          <w:sz w:val="18"/>
          <w:highlight w:val="green"/>
        </w:rPr>
        <w:t xml:space="preserve"> </w:t>
      </w:r>
      <w:r w:rsidRPr="00CE5AA1">
        <w:rPr>
          <w:rFonts w:ascii="Arial"/>
          <w:spacing w:val="-1"/>
          <w:sz w:val="18"/>
          <w:highlight w:val="green"/>
        </w:rPr>
        <w:t>blank</w:t>
      </w:r>
      <w:r w:rsidRPr="00CE5AA1">
        <w:rPr>
          <w:rFonts w:ascii="Arial"/>
          <w:spacing w:val="1"/>
          <w:sz w:val="18"/>
          <w:highlight w:val="green"/>
        </w:rPr>
        <w:t xml:space="preserve"> </w:t>
      </w:r>
      <w:r w:rsidRPr="00CE5AA1">
        <w:rPr>
          <w:rFonts w:ascii="Arial"/>
          <w:sz w:val="18"/>
          <w:highlight w:val="green"/>
        </w:rPr>
        <w:t>or</w:t>
      </w:r>
      <w:r w:rsidRPr="00CE5AA1">
        <w:rPr>
          <w:rFonts w:ascii="Arial"/>
          <w:spacing w:val="-2"/>
          <w:sz w:val="18"/>
          <w:highlight w:val="green"/>
        </w:rPr>
        <w:t xml:space="preserve"> </w:t>
      </w:r>
      <w:r w:rsidRPr="00CE5AA1">
        <w:rPr>
          <w:rFonts w:ascii="Arial"/>
          <w:spacing w:val="-1"/>
          <w:sz w:val="18"/>
          <w:highlight w:val="green"/>
        </w:rPr>
        <w:t>delete</w:t>
      </w:r>
      <w:r w:rsidRPr="00CE5AA1">
        <w:rPr>
          <w:rFonts w:ascii="Arial"/>
          <w:spacing w:val="1"/>
          <w:sz w:val="18"/>
          <w:highlight w:val="green"/>
        </w:rPr>
        <w:t xml:space="preserve"> </w:t>
      </w:r>
      <w:r w:rsidRPr="00CE5AA1">
        <w:rPr>
          <w:rFonts w:ascii="Arial"/>
          <w:spacing w:val="-1"/>
          <w:sz w:val="18"/>
          <w:highlight w:val="green"/>
        </w:rPr>
        <w:t>if</w:t>
      </w:r>
      <w:r w:rsidRPr="00CE5AA1">
        <w:rPr>
          <w:rFonts w:ascii="Arial"/>
          <w:sz w:val="18"/>
          <w:highlight w:val="green"/>
        </w:rPr>
        <w:t xml:space="preserve"> no</w:t>
      </w:r>
      <w:r w:rsidRPr="00CE5AA1">
        <w:rPr>
          <w:rFonts w:ascii="Arial"/>
          <w:spacing w:val="-2"/>
          <w:sz w:val="18"/>
          <w:highlight w:val="green"/>
        </w:rPr>
        <w:t xml:space="preserve"> </w:t>
      </w:r>
      <w:r w:rsidRPr="00CE5AA1">
        <w:rPr>
          <w:rFonts w:ascii="Arial"/>
          <w:spacing w:val="-1"/>
          <w:sz w:val="18"/>
          <w:highlight w:val="green"/>
        </w:rPr>
        <w:t>Goods</w:t>
      </w:r>
      <w:r w:rsidRPr="00CE5AA1">
        <w:rPr>
          <w:rFonts w:ascii="Arial"/>
          <w:spacing w:val="1"/>
          <w:sz w:val="18"/>
          <w:highlight w:val="green"/>
        </w:rPr>
        <w:t xml:space="preserve"> </w:t>
      </w:r>
      <w:r w:rsidRPr="00CE5AA1">
        <w:rPr>
          <w:rFonts w:ascii="Arial"/>
          <w:spacing w:val="-1"/>
          <w:sz w:val="18"/>
          <w:highlight w:val="green"/>
        </w:rPr>
        <w:t>are</w:t>
      </w:r>
      <w:r w:rsidRPr="00CE5AA1">
        <w:rPr>
          <w:rFonts w:ascii="Arial"/>
          <w:spacing w:val="1"/>
          <w:sz w:val="18"/>
          <w:highlight w:val="green"/>
        </w:rPr>
        <w:t xml:space="preserve"> </w:t>
      </w:r>
      <w:r w:rsidRPr="00CE5AA1">
        <w:rPr>
          <w:rFonts w:ascii="Arial"/>
          <w:spacing w:val="-1"/>
          <w:sz w:val="18"/>
          <w:highlight w:val="green"/>
        </w:rPr>
        <w:t>ordered]</w:t>
      </w:r>
    </w:p>
    <w:p w:rsidR="008918FA" w:rsidRDefault="008918FA" w:rsidP="008918FA">
      <w:pPr>
        <w:spacing w:before="85"/>
        <w:ind w:left="441" w:right="110"/>
        <w:jc w:val="both"/>
        <w:rPr>
          <w:rFonts w:ascii="Arial"/>
          <w:spacing w:val="-1"/>
          <w:sz w:val="18"/>
        </w:rPr>
      </w:pPr>
      <w:r w:rsidRPr="00CE5AA1">
        <w:rPr>
          <w:rFonts w:ascii="Arial"/>
          <w:position w:val="9"/>
          <w:sz w:val="12"/>
          <w:highlight w:val="green"/>
        </w:rPr>
        <w:t xml:space="preserve">9 </w:t>
      </w:r>
      <w:bookmarkStart w:id="6" w:name="_bookmark8"/>
      <w:bookmarkEnd w:id="6"/>
      <w:r w:rsidRPr="00CE5AA1">
        <w:rPr>
          <w:rFonts w:ascii="Arial"/>
          <w:spacing w:val="-1"/>
          <w:sz w:val="18"/>
          <w:highlight w:val="green"/>
        </w:rPr>
        <w:t>[Guidance</w:t>
      </w:r>
      <w:r w:rsidRPr="00CE5AA1">
        <w:rPr>
          <w:rFonts w:ascii="Arial"/>
          <w:spacing w:val="17"/>
          <w:sz w:val="18"/>
          <w:highlight w:val="green"/>
        </w:rPr>
        <w:t xml:space="preserve"> </w:t>
      </w:r>
      <w:r w:rsidRPr="00CE5AA1">
        <w:rPr>
          <w:rFonts w:ascii="Arial"/>
          <w:spacing w:val="-1"/>
          <w:sz w:val="18"/>
          <w:highlight w:val="green"/>
        </w:rPr>
        <w:t>Note:</w:t>
      </w:r>
      <w:r w:rsidRPr="00CE5AA1">
        <w:rPr>
          <w:rFonts w:ascii="Arial"/>
          <w:spacing w:val="17"/>
          <w:sz w:val="18"/>
          <w:highlight w:val="green"/>
        </w:rPr>
        <w:t xml:space="preserve"> </w:t>
      </w:r>
      <w:r w:rsidRPr="00CE5AA1">
        <w:rPr>
          <w:rFonts w:ascii="Arial"/>
          <w:spacing w:val="-1"/>
          <w:sz w:val="18"/>
          <w:highlight w:val="green"/>
        </w:rPr>
        <w:t>See</w:t>
      </w:r>
      <w:r w:rsidRPr="00CE5AA1">
        <w:rPr>
          <w:rFonts w:ascii="Arial"/>
          <w:spacing w:val="17"/>
          <w:sz w:val="18"/>
          <w:highlight w:val="green"/>
        </w:rPr>
        <w:t xml:space="preserve"> </w:t>
      </w:r>
      <w:r w:rsidRPr="00CE5AA1">
        <w:rPr>
          <w:rFonts w:ascii="Arial"/>
          <w:spacing w:val="-1"/>
          <w:sz w:val="18"/>
          <w:highlight w:val="green"/>
        </w:rPr>
        <w:t>Clause</w:t>
      </w:r>
      <w:r w:rsidRPr="00CE5AA1">
        <w:rPr>
          <w:rFonts w:ascii="Arial"/>
          <w:spacing w:val="15"/>
          <w:sz w:val="18"/>
          <w:highlight w:val="green"/>
        </w:rPr>
        <w:t xml:space="preserve"> </w:t>
      </w:r>
      <w:hyperlink w:anchor="_bookmark80" w:history="1">
        <w:r w:rsidRPr="00CE5AA1">
          <w:rPr>
            <w:rFonts w:ascii="Arial"/>
            <w:sz w:val="18"/>
            <w:highlight w:val="green"/>
          </w:rPr>
          <w:t>9.2.3</w:t>
        </w:r>
      </w:hyperlink>
      <w:r w:rsidRPr="00CE5AA1">
        <w:rPr>
          <w:rFonts w:ascii="Arial"/>
          <w:spacing w:val="15"/>
          <w:sz w:val="18"/>
          <w:highlight w:val="green"/>
        </w:rPr>
        <w:t xml:space="preserve"> </w:t>
      </w:r>
      <w:r w:rsidRPr="00CE5AA1">
        <w:rPr>
          <w:rFonts w:ascii="Arial"/>
          <w:sz w:val="18"/>
          <w:highlight w:val="green"/>
        </w:rPr>
        <w:t>of</w:t>
      </w:r>
      <w:r w:rsidRPr="00CE5AA1">
        <w:rPr>
          <w:rFonts w:ascii="Arial"/>
          <w:spacing w:val="17"/>
          <w:sz w:val="18"/>
          <w:highlight w:val="green"/>
        </w:rPr>
        <w:t xml:space="preserve"> </w:t>
      </w:r>
      <w:r w:rsidRPr="00CE5AA1">
        <w:rPr>
          <w:rFonts w:ascii="Arial"/>
          <w:spacing w:val="-1"/>
          <w:sz w:val="18"/>
          <w:highlight w:val="green"/>
        </w:rPr>
        <w:t>the</w:t>
      </w:r>
      <w:r w:rsidRPr="00CE5AA1">
        <w:rPr>
          <w:rFonts w:ascii="Arial"/>
          <w:spacing w:val="17"/>
          <w:sz w:val="18"/>
          <w:highlight w:val="green"/>
        </w:rPr>
        <w:t xml:space="preserve"> </w:t>
      </w:r>
      <w:r w:rsidRPr="00CE5AA1">
        <w:rPr>
          <w:rFonts w:ascii="Arial"/>
          <w:spacing w:val="-1"/>
          <w:sz w:val="18"/>
          <w:highlight w:val="green"/>
        </w:rPr>
        <w:t>Template</w:t>
      </w:r>
      <w:r w:rsidRPr="00CE5AA1">
        <w:rPr>
          <w:rFonts w:ascii="Arial"/>
          <w:spacing w:val="17"/>
          <w:sz w:val="18"/>
          <w:highlight w:val="green"/>
        </w:rPr>
        <w:t xml:space="preserve"> </w:t>
      </w:r>
      <w:r w:rsidRPr="00CE5AA1">
        <w:rPr>
          <w:rFonts w:ascii="Arial"/>
          <w:spacing w:val="-1"/>
          <w:sz w:val="18"/>
          <w:highlight w:val="green"/>
        </w:rPr>
        <w:t>Call</w:t>
      </w:r>
      <w:r w:rsidRPr="00CE5AA1">
        <w:rPr>
          <w:rFonts w:ascii="Arial"/>
          <w:spacing w:val="18"/>
          <w:sz w:val="18"/>
          <w:highlight w:val="green"/>
        </w:rPr>
        <w:t xml:space="preserve"> </w:t>
      </w:r>
      <w:r w:rsidRPr="00CE5AA1">
        <w:rPr>
          <w:rFonts w:ascii="Arial"/>
          <w:spacing w:val="-1"/>
          <w:sz w:val="18"/>
          <w:highlight w:val="green"/>
        </w:rPr>
        <w:t>Off</w:t>
      </w:r>
      <w:r w:rsidRPr="00CE5AA1">
        <w:rPr>
          <w:rFonts w:ascii="Arial"/>
          <w:spacing w:val="17"/>
          <w:sz w:val="18"/>
          <w:highlight w:val="green"/>
        </w:rPr>
        <w:t xml:space="preserve"> </w:t>
      </w:r>
      <w:r w:rsidRPr="00CE5AA1">
        <w:rPr>
          <w:rFonts w:ascii="Arial"/>
          <w:sz w:val="18"/>
          <w:highlight w:val="green"/>
        </w:rPr>
        <w:t>Terms.</w:t>
      </w:r>
      <w:r w:rsidRPr="00CE5AA1">
        <w:rPr>
          <w:rFonts w:ascii="Arial"/>
          <w:spacing w:val="17"/>
          <w:sz w:val="18"/>
          <w:highlight w:val="green"/>
        </w:rPr>
        <w:t xml:space="preserve"> </w:t>
      </w:r>
      <w:r w:rsidRPr="00CE5AA1">
        <w:rPr>
          <w:rFonts w:ascii="Arial"/>
          <w:spacing w:val="-1"/>
          <w:sz w:val="18"/>
          <w:highlight w:val="green"/>
        </w:rPr>
        <w:t>Include</w:t>
      </w:r>
      <w:r w:rsidRPr="00CE5AA1">
        <w:rPr>
          <w:rFonts w:ascii="Arial"/>
          <w:spacing w:val="15"/>
          <w:sz w:val="18"/>
          <w:highlight w:val="green"/>
        </w:rPr>
        <w:t xml:space="preserve"> </w:t>
      </w:r>
      <w:r w:rsidRPr="00CE5AA1">
        <w:rPr>
          <w:rFonts w:ascii="Arial"/>
          <w:sz w:val="18"/>
          <w:highlight w:val="green"/>
        </w:rPr>
        <w:t>any</w:t>
      </w:r>
      <w:r w:rsidRPr="00CE5AA1">
        <w:rPr>
          <w:rFonts w:ascii="Arial"/>
          <w:spacing w:val="15"/>
          <w:sz w:val="18"/>
          <w:highlight w:val="green"/>
        </w:rPr>
        <w:t xml:space="preserve"> </w:t>
      </w:r>
      <w:r w:rsidRPr="00CE5AA1">
        <w:rPr>
          <w:rFonts w:ascii="Arial"/>
          <w:spacing w:val="-1"/>
          <w:sz w:val="18"/>
          <w:highlight w:val="green"/>
        </w:rPr>
        <w:t>specific</w:t>
      </w:r>
      <w:r w:rsidRPr="00CE5AA1">
        <w:rPr>
          <w:rFonts w:ascii="Arial"/>
          <w:spacing w:val="15"/>
          <w:sz w:val="18"/>
          <w:highlight w:val="green"/>
        </w:rPr>
        <w:t xml:space="preserve"> </w:t>
      </w:r>
      <w:r w:rsidRPr="00CE5AA1">
        <w:rPr>
          <w:rFonts w:ascii="Arial"/>
          <w:spacing w:val="-1"/>
          <w:sz w:val="18"/>
          <w:highlight w:val="green"/>
        </w:rPr>
        <w:t>instructions</w:t>
      </w:r>
      <w:r w:rsidRPr="00CE5AA1">
        <w:rPr>
          <w:rFonts w:ascii="Arial"/>
          <w:spacing w:val="16"/>
          <w:sz w:val="18"/>
          <w:highlight w:val="green"/>
        </w:rPr>
        <w:t xml:space="preserve"> </w:t>
      </w:r>
      <w:r w:rsidRPr="00CE5AA1">
        <w:rPr>
          <w:rFonts w:ascii="Arial"/>
          <w:sz w:val="18"/>
          <w:highlight w:val="green"/>
        </w:rPr>
        <w:t>on</w:t>
      </w:r>
      <w:r w:rsidRPr="00CE5AA1">
        <w:rPr>
          <w:rFonts w:ascii="Arial"/>
          <w:spacing w:val="17"/>
          <w:sz w:val="18"/>
          <w:highlight w:val="green"/>
        </w:rPr>
        <w:t xml:space="preserve"> </w:t>
      </w:r>
      <w:r w:rsidRPr="00CE5AA1">
        <w:rPr>
          <w:rFonts w:ascii="Arial"/>
          <w:spacing w:val="-1"/>
          <w:sz w:val="18"/>
          <w:highlight w:val="green"/>
        </w:rPr>
        <w:t>how</w:t>
      </w:r>
      <w:r w:rsidRPr="00CE5AA1">
        <w:rPr>
          <w:rFonts w:ascii="Arial"/>
          <w:spacing w:val="81"/>
          <w:sz w:val="18"/>
          <w:highlight w:val="green"/>
        </w:rPr>
        <w:t xml:space="preserve"> </w:t>
      </w:r>
      <w:r w:rsidRPr="00CE5AA1">
        <w:rPr>
          <w:rFonts w:ascii="Arial"/>
          <w:sz w:val="18"/>
          <w:highlight w:val="green"/>
        </w:rPr>
        <w:t>the</w:t>
      </w:r>
      <w:r w:rsidRPr="00CE5AA1">
        <w:rPr>
          <w:rFonts w:ascii="Arial"/>
          <w:spacing w:val="1"/>
          <w:sz w:val="18"/>
          <w:highlight w:val="green"/>
        </w:rPr>
        <w:t xml:space="preserve"> </w:t>
      </w:r>
      <w:r w:rsidRPr="00CE5AA1">
        <w:rPr>
          <w:rFonts w:ascii="Arial"/>
          <w:spacing w:val="-1"/>
          <w:sz w:val="18"/>
          <w:highlight w:val="green"/>
        </w:rPr>
        <w:t>Goods should</w:t>
      </w:r>
      <w:r w:rsidRPr="00CE5AA1">
        <w:rPr>
          <w:rFonts w:ascii="Arial"/>
          <w:spacing w:val="1"/>
          <w:sz w:val="18"/>
          <w:highlight w:val="green"/>
        </w:rPr>
        <w:t xml:space="preserve"> </w:t>
      </w:r>
      <w:r w:rsidRPr="00CE5AA1">
        <w:rPr>
          <w:rFonts w:ascii="Arial"/>
          <w:spacing w:val="-1"/>
          <w:sz w:val="18"/>
          <w:highlight w:val="green"/>
        </w:rPr>
        <w:t>be</w:t>
      </w:r>
      <w:r w:rsidRPr="00CE5AA1">
        <w:rPr>
          <w:rFonts w:ascii="Arial"/>
          <w:spacing w:val="1"/>
          <w:sz w:val="18"/>
          <w:highlight w:val="green"/>
        </w:rPr>
        <w:t xml:space="preserve"> </w:t>
      </w:r>
      <w:r w:rsidRPr="00CE5AA1">
        <w:rPr>
          <w:rFonts w:ascii="Arial"/>
          <w:spacing w:val="-1"/>
          <w:sz w:val="18"/>
          <w:highlight w:val="green"/>
        </w:rPr>
        <w:t>packed/packaged,</w:t>
      </w:r>
      <w:r w:rsidRPr="00CE5AA1">
        <w:rPr>
          <w:rFonts w:ascii="Arial"/>
          <w:sz w:val="18"/>
          <w:highlight w:val="green"/>
        </w:rPr>
        <w:t xml:space="preserve"> </w:t>
      </w:r>
      <w:r w:rsidRPr="00CE5AA1">
        <w:rPr>
          <w:rFonts w:ascii="Arial"/>
          <w:spacing w:val="-1"/>
          <w:sz w:val="18"/>
          <w:highlight w:val="green"/>
        </w:rPr>
        <w:t>labelled</w:t>
      </w:r>
      <w:r w:rsidRPr="00CE5AA1">
        <w:rPr>
          <w:rFonts w:ascii="Arial"/>
          <w:spacing w:val="-2"/>
          <w:sz w:val="18"/>
          <w:highlight w:val="green"/>
        </w:rPr>
        <w:t xml:space="preserve"> </w:t>
      </w:r>
      <w:r w:rsidRPr="00CE5AA1">
        <w:rPr>
          <w:rFonts w:ascii="Arial"/>
          <w:sz w:val="18"/>
          <w:highlight w:val="green"/>
        </w:rPr>
        <w:t>etc.</w:t>
      </w:r>
      <w:r w:rsidRPr="00CE5AA1">
        <w:rPr>
          <w:rFonts w:ascii="Arial"/>
          <w:spacing w:val="-2"/>
          <w:sz w:val="18"/>
          <w:highlight w:val="green"/>
        </w:rPr>
        <w:t xml:space="preserve"> </w:t>
      </w:r>
      <w:r w:rsidRPr="00CE5AA1">
        <w:rPr>
          <w:rFonts w:ascii="Arial"/>
          <w:spacing w:val="-1"/>
          <w:sz w:val="18"/>
          <w:highlight w:val="green"/>
        </w:rPr>
        <w:t>Leave</w:t>
      </w:r>
      <w:r w:rsidRPr="00CE5AA1">
        <w:rPr>
          <w:rFonts w:ascii="Arial"/>
          <w:spacing w:val="-2"/>
          <w:sz w:val="18"/>
          <w:highlight w:val="green"/>
        </w:rPr>
        <w:t xml:space="preserve"> </w:t>
      </w:r>
      <w:r w:rsidRPr="00CE5AA1">
        <w:rPr>
          <w:rFonts w:ascii="Arial"/>
          <w:spacing w:val="-1"/>
          <w:sz w:val="18"/>
          <w:highlight w:val="green"/>
        </w:rPr>
        <w:t xml:space="preserve">blank </w:t>
      </w:r>
      <w:r w:rsidRPr="00CE5AA1">
        <w:rPr>
          <w:rFonts w:ascii="Arial"/>
          <w:sz w:val="18"/>
          <w:highlight w:val="green"/>
        </w:rPr>
        <w:t xml:space="preserve">or </w:t>
      </w:r>
      <w:r w:rsidRPr="00CE5AA1">
        <w:rPr>
          <w:rFonts w:ascii="Arial"/>
          <w:spacing w:val="-1"/>
          <w:sz w:val="18"/>
          <w:highlight w:val="green"/>
        </w:rPr>
        <w:t>delete</w:t>
      </w:r>
      <w:r w:rsidRPr="00CE5AA1">
        <w:rPr>
          <w:rFonts w:ascii="Arial"/>
          <w:spacing w:val="1"/>
          <w:sz w:val="18"/>
          <w:highlight w:val="green"/>
        </w:rPr>
        <w:t xml:space="preserve"> </w:t>
      </w:r>
      <w:r w:rsidRPr="00CE5AA1">
        <w:rPr>
          <w:rFonts w:ascii="Arial"/>
          <w:sz w:val="18"/>
          <w:highlight w:val="green"/>
        </w:rPr>
        <w:t>if</w:t>
      </w:r>
      <w:r w:rsidRPr="00CE5AA1">
        <w:rPr>
          <w:rFonts w:ascii="Arial"/>
          <w:spacing w:val="-2"/>
          <w:sz w:val="18"/>
          <w:highlight w:val="green"/>
        </w:rPr>
        <w:t xml:space="preserve"> </w:t>
      </w:r>
      <w:r w:rsidRPr="00CE5AA1">
        <w:rPr>
          <w:rFonts w:ascii="Arial"/>
          <w:sz w:val="18"/>
          <w:highlight w:val="green"/>
        </w:rPr>
        <w:t>no</w:t>
      </w:r>
      <w:r w:rsidRPr="00CE5AA1">
        <w:rPr>
          <w:rFonts w:ascii="Arial"/>
          <w:spacing w:val="1"/>
          <w:sz w:val="18"/>
          <w:highlight w:val="green"/>
        </w:rPr>
        <w:t xml:space="preserve"> </w:t>
      </w:r>
      <w:r w:rsidRPr="00CE5AA1">
        <w:rPr>
          <w:rFonts w:ascii="Arial"/>
          <w:spacing w:val="-1"/>
          <w:sz w:val="18"/>
          <w:highlight w:val="green"/>
        </w:rPr>
        <w:t xml:space="preserve">Goods </w:t>
      </w:r>
      <w:r w:rsidRPr="00CE5AA1">
        <w:rPr>
          <w:rFonts w:ascii="Arial"/>
          <w:sz w:val="18"/>
          <w:highlight w:val="green"/>
        </w:rPr>
        <w:t>are</w:t>
      </w:r>
      <w:r w:rsidRPr="00CE5AA1">
        <w:rPr>
          <w:rFonts w:ascii="Arial"/>
          <w:spacing w:val="-2"/>
          <w:sz w:val="18"/>
          <w:highlight w:val="green"/>
        </w:rPr>
        <w:t xml:space="preserve"> </w:t>
      </w:r>
      <w:r w:rsidRPr="00CE5AA1">
        <w:rPr>
          <w:rFonts w:ascii="Arial"/>
          <w:spacing w:val="-1"/>
          <w:sz w:val="18"/>
          <w:highlight w:val="green"/>
        </w:rPr>
        <w:t>ordered</w:t>
      </w:r>
      <w:r>
        <w:rPr>
          <w:rFonts w:ascii="Arial"/>
          <w:spacing w:val="-1"/>
          <w:sz w:val="18"/>
        </w:rPr>
        <w:t>]</w:t>
      </w:r>
    </w:p>
    <w:p w:rsidR="00B35CB9" w:rsidRPr="002F6432" w:rsidRDefault="00B35CB9" w:rsidP="007929F1">
      <w:pPr>
        <w:spacing w:before="23" w:line="206" w:lineRule="exact"/>
        <w:ind w:left="441"/>
        <w:rPr>
          <w:rFonts w:ascii="Arial" w:eastAsia="Arial" w:hAnsi="Arial" w:cs="Arial"/>
          <w:sz w:val="18"/>
          <w:szCs w:val="18"/>
          <w:highlight w:val="green"/>
        </w:rPr>
      </w:pPr>
      <w:r w:rsidRPr="002F6432">
        <w:rPr>
          <w:rFonts w:ascii="Arial"/>
          <w:position w:val="9"/>
          <w:sz w:val="12"/>
          <w:highlight w:val="green"/>
        </w:rPr>
        <w:t>10</w:t>
      </w:r>
      <w:r w:rsidRPr="002F6432">
        <w:rPr>
          <w:rFonts w:ascii="Arial"/>
          <w:spacing w:val="19"/>
          <w:position w:val="9"/>
          <w:sz w:val="12"/>
          <w:highlight w:val="green"/>
        </w:rPr>
        <w:t xml:space="preserve"> </w:t>
      </w:r>
      <w:r w:rsidRPr="002F6432">
        <w:rPr>
          <w:rFonts w:ascii="Arial"/>
          <w:spacing w:val="-1"/>
          <w:sz w:val="18"/>
          <w:highlight w:val="green"/>
        </w:rPr>
        <w:t>[Guidance</w:t>
      </w:r>
      <w:r w:rsidRPr="002F6432">
        <w:rPr>
          <w:rFonts w:ascii="Arial"/>
          <w:spacing w:val="3"/>
          <w:sz w:val="18"/>
          <w:highlight w:val="green"/>
        </w:rPr>
        <w:t xml:space="preserve"> </w:t>
      </w:r>
      <w:r w:rsidRPr="002F6432">
        <w:rPr>
          <w:rFonts w:ascii="Arial"/>
          <w:spacing w:val="-1"/>
          <w:sz w:val="18"/>
          <w:highlight w:val="green"/>
        </w:rPr>
        <w:t>Note:</w:t>
      </w:r>
      <w:r w:rsidRPr="002F6432">
        <w:rPr>
          <w:rFonts w:ascii="Arial"/>
          <w:spacing w:val="3"/>
          <w:sz w:val="18"/>
          <w:highlight w:val="green"/>
        </w:rPr>
        <w:t xml:space="preserve"> </w:t>
      </w:r>
      <w:r w:rsidRPr="002F6432">
        <w:rPr>
          <w:rFonts w:ascii="Arial"/>
          <w:spacing w:val="-1"/>
          <w:sz w:val="18"/>
          <w:highlight w:val="green"/>
        </w:rPr>
        <w:t>See</w:t>
      </w:r>
      <w:r w:rsidRPr="002F6432">
        <w:rPr>
          <w:rFonts w:ascii="Arial"/>
          <w:spacing w:val="3"/>
          <w:sz w:val="18"/>
          <w:highlight w:val="green"/>
        </w:rPr>
        <w:t xml:space="preserve"> </w:t>
      </w:r>
      <w:r w:rsidRPr="002F6432">
        <w:rPr>
          <w:rFonts w:ascii="Arial"/>
          <w:spacing w:val="-1"/>
          <w:sz w:val="18"/>
          <w:highlight w:val="green"/>
        </w:rPr>
        <w:t>Clause</w:t>
      </w:r>
      <w:r w:rsidRPr="002F6432">
        <w:rPr>
          <w:rFonts w:ascii="Arial"/>
          <w:spacing w:val="1"/>
          <w:sz w:val="18"/>
          <w:highlight w:val="green"/>
        </w:rPr>
        <w:t xml:space="preserve"> </w:t>
      </w:r>
      <w:hyperlink w:anchor="_bookmark88" w:history="1">
        <w:r w:rsidRPr="002F6432">
          <w:rPr>
            <w:rFonts w:ascii="Arial"/>
            <w:sz w:val="18"/>
            <w:highlight w:val="green"/>
          </w:rPr>
          <w:t>9.8</w:t>
        </w:r>
      </w:hyperlink>
      <w:r w:rsidRPr="002F6432">
        <w:rPr>
          <w:rFonts w:ascii="Arial"/>
          <w:spacing w:val="3"/>
          <w:sz w:val="18"/>
          <w:highlight w:val="green"/>
        </w:rPr>
        <w:t xml:space="preserve"> </w:t>
      </w:r>
      <w:r w:rsidRPr="002F6432">
        <w:rPr>
          <w:rFonts w:ascii="Arial"/>
          <w:sz w:val="18"/>
          <w:highlight w:val="green"/>
        </w:rPr>
        <w:t>of</w:t>
      </w:r>
      <w:r w:rsidRPr="002F6432">
        <w:rPr>
          <w:rFonts w:ascii="Arial"/>
          <w:spacing w:val="3"/>
          <w:sz w:val="18"/>
          <w:highlight w:val="green"/>
        </w:rPr>
        <w:t xml:space="preserve"> </w:t>
      </w:r>
      <w:r w:rsidRPr="002F6432">
        <w:rPr>
          <w:rFonts w:ascii="Arial"/>
          <w:spacing w:val="-1"/>
          <w:sz w:val="18"/>
          <w:highlight w:val="green"/>
        </w:rPr>
        <w:t>the</w:t>
      </w:r>
      <w:r w:rsidRPr="002F6432">
        <w:rPr>
          <w:rFonts w:ascii="Arial"/>
          <w:spacing w:val="3"/>
          <w:sz w:val="18"/>
          <w:highlight w:val="green"/>
        </w:rPr>
        <w:t xml:space="preserve"> </w:t>
      </w:r>
      <w:r w:rsidRPr="002F6432">
        <w:rPr>
          <w:rFonts w:ascii="Arial"/>
          <w:spacing w:val="-1"/>
          <w:sz w:val="18"/>
          <w:highlight w:val="green"/>
        </w:rPr>
        <w:t>Template</w:t>
      </w:r>
      <w:r w:rsidRPr="002F6432">
        <w:rPr>
          <w:rFonts w:ascii="Arial"/>
          <w:spacing w:val="3"/>
          <w:sz w:val="18"/>
          <w:highlight w:val="green"/>
        </w:rPr>
        <w:t xml:space="preserve"> </w:t>
      </w:r>
      <w:r w:rsidRPr="002F6432">
        <w:rPr>
          <w:rFonts w:ascii="Arial"/>
          <w:spacing w:val="-1"/>
          <w:sz w:val="18"/>
          <w:highlight w:val="green"/>
        </w:rPr>
        <w:t>Call</w:t>
      </w:r>
      <w:r w:rsidRPr="002F6432">
        <w:rPr>
          <w:rFonts w:ascii="Arial"/>
          <w:spacing w:val="3"/>
          <w:sz w:val="18"/>
          <w:highlight w:val="green"/>
        </w:rPr>
        <w:t xml:space="preserve"> </w:t>
      </w:r>
      <w:r w:rsidRPr="002F6432">
        <w:rPr>
          <w:rFonts w:ascii="Arial"/>
          <w:spacing w:val="-1"/>
          <w:sz w:val="18"/>
          <w:highlight w:val="green"/>
        </w:rPr>
        <w:t>Off</w:t>
      </w:r>
      <w:r w:rsidRPr="002F6432">
        <w:rPr>
          <w:rFonts w:ascii="Arial"/>
          <w:spacing w:val="3"/>
          <w:sz w:val="18"/>
          <w:highlight w:val="green"/>
        </w:rPr>
        <w:t xml:space="preserve"> </w:t>
      </w:r>
      <w:r w:rsidRPr="002F6432">
        <w:rPr>
          <w:rFonts w:ascii="Arial"/>
          <w:spacing w:val="-1"/>
          <w:sz w:val="18"/>
          <w:highlight w:val="green"/>
        </w:rPr>
        <w:t>Terms</w:t>
      </w:r>
      <w:r w:rsidRPr="002F6432">
        <w:rPr>
          <w:rFonts w:ascii="Arial"/>
          <w:spacing w:val="1"/>
          <w:sz w:val="18"/>
          <w:highlight w:val="green"/>
        </w:rPr>
        <w:t xml:space="preserve"> </w:t>
      </w:r>
      <w:r w:rsidRPr="002F6432">
        <w:rPr>
          <w:rFonts w:ascii="Arial"/>
          <w:sz w:val="18"/>
          <w:highlight w:val="green"/>
        </w:rPr>
        <w:t>and</w:t>
      </w:r>
      <w:r w:rsidRPr="002F6432">
        <w:rPr>
          <w:rFonts w:ascii="Arial"/>
          <w:spacing w:val="1"/>
          <w:sz w:val="18"/>
          <w:highlight w:val="green"/>
        </w:rPr>
        <w:t xml:space="preserve"> </w:t>
      </w:r>
      <w:r w:rsidRPr="002F6432">
        <w:rPr>
          <w:rFonts w:ascii="Arial"/>
          <w:spacing w:val="-1"/>
          <w:sz w:val="18"/>
          <w:highlight w:val="green"/>
        </w:rPr>
        <w:t>insert</w:t>
      </w:r>
      <w:r w:rsidRPr="002F6432">
        <w:rPr>
          <w:rFonts w:ascii="Arial"/>
          <w:spacing w:val="3"/>
          <w:sz w:val="18"/>
          <w:highlight w:val="green"/>
        </w:rPr>
        <w:t xml:space="preserve"> </w:t>
      </w:r>
      <w:r w:rsidRPr="002F6432">
        <w:rPr>
          <w:rFonts w:ascii="Arial"/>
          <w:spacing w:val="-1"/>
          <w:sz w:val="18"/>
          <w:highlight w:val="green"/>
        </w:rPr>
        <w:t>the</w:t>
      </w:r>
      <w:r w:rsidRPr="002F6432">
        <w:rPr>
          <w:rFonts w:ascii="Arial"/>
          <w:spacing w:val="3"/>
          <w:sz w:val="18"/>
          <w:highlight w:val="green"/>
        </w:rPr>
        <w:t xml:space="preserve"> </w:t>
      </w:r>
      <w:r w:rsidRPr="002F6432">
        <w:rPr>
          <w:rFonts w:ascii="Arial"/>
          <w:spacing w:val="-1"/>
          <w:sz w:val="18"/>
          <w:highlight w:val="green"/>
        </w:rPr>
        <w:t>length</w:t>
      </w:r>
      <w:r w:rsidRPr="002F6432">
        <w:rPr>
          <w:rFonts w:ascii="Arial"/>
          <w:spacing w:val="1"/>
          <w:sz w:val="18"/>
          <w:highlight w:val="green"/>
        </w:rPr>
        <w:t xml:space="preserve"> </w:t>
      </w:r>
      <w:r w:rsidRPr="002F6432">
        <w:rPr>
          <w:rFonts w:ascii="Arial"/>
          <w:sz w:val="18"/>
          <w:highlight w:val="green"/>
        </w:rPr>
        <w:t>of</w:t>
      </w:r>
      <w:r w:rsidRPr="002F6432">
        <w:rPr>
          <w:rFonts w:ascii="Arial"/>
          <w:spacing w:val="3"/>
          <w:sz w:val="18"/>
          <w:highlight w:val="green"/>
        </w:rPr>
        <w:t xml:space="preserve"> </w:t>
      </w:r>
      <w:r w:rsidRPr="002F6432">
        <w:rPr>
          <w:rFonts w:ascii="Arial"/>
          <w:spacing w:val="-1"/>
          <w:sz w:val="18"/>
          <w:highlight w:val="green"/>
        </w:rPr>
        <w:t>the</w:t>
      </w:r>
      <w:r w:rsidRPr="002F6432">
        <w:rPr>
          <w:rFonts w:ascii="Arial"/>
          <w:spacing w:val="-2"/>
          <w:sz w:val="18"/>
          <w:highlight w:val="green"/>
        </w:rPr>
        <w:t xml:space="preserve"> </w:t>
      </w:r>
      <w:r w:rsidRPr="002F6432">
        <w:rPr>
          <w:rFonts w:ascii="Arial"/>
          <w:sz w:val="18"/>
          <w:highlight w:val="green"/>
        </w:rPr>
        <w:t>Warranty</w:t>
      </w:r>
      <w:r w:rsidRPr="002F6432">
        <w:rPr>
          <w:rFonts w:ascii="Arial"/>
          <w:spacing w:val="1"/>
          <w:sz w:val="18"/>
          <w:highlight w:val="green"/>
        </w:rPr>
        <w:t xml:space="preserve"> </w:t>
      </w:r>
      <w:r w:rsidRPr="002F6432">
        <w:rPr>
          <w:rFonts w:ascii="Arial"/>
          <w:spacing w:val="-1"/>
          <w:sz w:val="18"/>
          <w:highlight w:val="green"/>
        </w:rPr>
        <w:t>Period.</w:t>
      </w:r>
      <w:r w:rsidRPr="002F6432">
        <w:rPr>
          <w:rFonts w:ascii="Arial"/>
          <w:spacing w:val="85"/>
          <w:sz w:val="18"/>
          <w:highlight w:val="green"/>
        </w:rPr>
        <w:t xml:space="preserve"> </w:t>
      </w:r>
      <w:r w:rsidRPr="002F6432">
        <w:rPr>
          <w:rFonts w:ascii="Arial"/>
          <w:spacing w:val="-1"/>
          <w:sz w:val="18"/>
          <w:highlight w:val="green"/>
        </w:rPr>
        <w:t>Leave</w:t>
      </w:r>
      <w:r w:rsidRPr="002F6432">
        <w:rPr>
          <w:rFonts w:ascii="Arial"/>
          <w:spacing w:val="1"/>
          <w:sz w:val="18"/>
          <w:highlight w:val="green"/>
        </w:rPr>
        <w:t xml:space="preserve"> </w:t>
      </w:r>
      <w:r w:rsidRPr="002F6432">
        <w:rPr>
          <w:rFonts w:ascii="Arial"/>
          <w:spacing w:val="-1"/>
          <w:sz w:val="18"/>
          <w:highlight w:val="green"/>
        </w:rPr>
        <w:t xml:space="preserve">blank </w:t>
      </w:r>
      <w:r w:rsidRPr="002F6432">
        <w:rPr>
          <w:rFonts w:ascii="Arial"/>
          <w:sz w:val="18"/>
          <w:highlight w:val="green"/>
        </w:rPr>
        <w:t xml:space="preserve">or </w:t>
      </w:r>
      <w:r w:rsidRPr="002F6432">
        <w:rPr>
          <w:rFonts w:ascii="Arial"/>
          <w:spacing w:val="-1"/>
          <w:sz w:val="18"/>
          <w:highlight w:val="green"/>
        </w:rPr>
        <w:t>delete</w:t>
      </w:r>
      <w:r w:rsidRPr="002F6432">
        <w:rPr>
          <w:rFonts w:ascii="Arial"/>
          <w:sz w:val="18"/>
          <w:highlight w:val="green"/>
        </w:rPr>
        <w:t xml:space="preserve"> if</w:t>
      </w:r>
      <w:r w:rsidRPr="002F6432">
        <w:rPr>
          <w:rFonts w:ascii="Arial"/>
          <w:spacing w:val="-2"/>
          <w:sz w:val="18"/>
          <w:highlight w:val="green"/>
        </w:rPr>
        <w:t xml:space="preserve"> </w:t>
      </w:r>
      <w:r w:rsidRPr="002F6432">
        <w:rPr>
          <w:rFonts w:ascii="Arial"/>
          <w:sz w:val="18"/>
          <w:highlight w:val="green"/>
        </w:rPr>
        <w:t>no</w:t>
      </w:r>
      <w:r w:rsidRPr="002F6432">
        <w:rPr>
          <w:rFonts w:ascii="Arial"/>
          <w:spacing w:val="1"/>
          <w:sz w:val="18"/>
          <w:highlight w:val="green"/>
        </w:rPr>
        <w:t xml:space="preserve"> </w:t>
      </w:r>
      <w:r w:rsidRPr="002F6432">
        <w:rPr>
          <w:rFonts w:ascii="Arial"/>
          <w:spacing w:val="-1"/>
          <w:sz w:val="18"/>
          <w:highlight w:val="green"/>
        </w:rPr>
        <w:t xml:space="preserve">Goods </w:t>
      </w:r>
      <w:r w:rsidRPr="002F6432">
        <w:rPr>
          <w:rFonts w:ascii="Arial"/>
          <w:sz w:val="18"/>
          <w:highlight w:val="green"/>
        </w:rPr>
        <w:t>are</w:t>
      </w:r>
      <w:r w:rsidRPr="002F6432">
        <w:rPr>
          <w:rFonts w:ascii="Arial"/>
          <w:spacing w:val="1"/>
          <w:sz w:val="18"/>
          <w:highlight w:val="green"/>
        </w:rPr>
        <w:t xml:space="preserve"> </w:t>
      </w:r>
      <w:r w:rsidRPr="002F6432">
        <w:rPr>
          <w:rFonts w:ascii="Arial"/>
          <w:spacing w:val="-1"/>
          <w:sz w:val="18"/>
          <w:highlight w:val="green"/>
        </w:rPr>
        <w:t>ordered]</w:t>
      </w:r>
    </w:p>
    <w:p w:rsidR="002F6432" w:rsidRPr="002F6432" w:rsidRDefault="002F6432" w:rsidP="007929F1">
      <w:pPr>
        <w:spacing w:before="23" w:line="206" w:lineRule="exact"/>
        <w:ind w:left="441"/>
        <w:rPr>
          <w:rFonts w:ascii="Arial" w:eastAsia="Arial" w:hAnsi="Arial" w:cs="Arial"/>
          <w:sz w:val="18"/>
          <w:szCs w:val="18"/>
          <w:highlight w:val="green"/>
        </w:rPr>
      </w:pPr>
      <w:r w:rsidRPr="002F6432">
        <w:rPr>
          <w:rFonts w:ascii="Arial"/>
          <w:position w:val="9"/>
          <w:sz w:val="12"/>
          <w:highlight w:val="green"/>
        </w:rPr>
        <w:t>11</w:t>
      </w:r>
      <w:r w:rsidRPr="002F6432">
        <w:rPr>
          <w:rFonts w:ascii="Arial"/>
          <w:spacing w:val="12"/>
          <w:position w:val="9"/>
          <w:sz w:val="12"/>
          <w:highlight w:val="green"/>
        </w:rPr>
        <w:t xml:space="preserve"> </w:t>
      </w:r>
      <w:r w:rsidRPr="002F6432">
        <w:rPr>
          <w:rFonts w:ascii="Arial"/>
          <w:spacing w:val="-1"/>
          <w:sz w:val="18"/>
          <w:highlight w:val="green"/>
        </w:rPr>
        <w:t>[Guidance</w:t>
      </w:r>
      <w:r w:rsidRPr="002F6432">
        <w:rPr>
          <w:rFonts w:ascii="Arial"/>
          <w:spacing w:val="13"/>
          <w:sz w:val="18"/>
          <w:highlight w:val="green"/>
        </w:rPr>
        <w:t xml:space="preserve"> </w:t>
      </w:r>
      <w:r w:rsidRPr="002F6432">
        <w:rPr>
          <w:rFonts w:ascii="Arial"/>
          <w:spacing w:val="-1"/>
          <w:sz w:val="18"/>
          <w:highlight w:val="green"/>
        </w:rPr>
        <w:t>Note:</w:t>
      </w:r>
      <w:r w:rsidRPr="002F6432">
        <w:rPr>
          <w:rFonts w:ascii="Arial"/>
          <w:spacing w:val="12"/>
          <w:sz w:val="18"/>
          <w:highlight w:val="green"/>
        </w:rPr>
        <w:t xml:space="preserve"> </w:t>
      </w:r>
      <w:r w:rsidRPr="002F6432">
        <w:rPr>
          <w:rFonts w:ascii="Arial"/>
          <w:spacing w:val="-1"/>
          <w:sz w:val="18"/>
          <w:highlight w:val="green"/>
        </w:rPr>
        <w:t>Include</w:t>
      </w:r>
      <w:r w:rsidRPr="002F6432">
        <w:rPr>
          <w:rFonts w:ascii="Arial"/>
          <w:spacing w:val="13"/>
          <w:sz w:val="18"/>
          <w:highlight w:val="green"/>
        </w:rPr>
        <w:t xml:space="preserve"> </w:t>
      </w:r>
      <w:r w:rsidRPr="002F6432">
        <w:rPr>
          <w:rFonts w:ascii="Arial"/>
          <w:spacing w:val="-1"/>
          <w:sz w:val="18"/>
          <w:highlight w:val="green"/>
        </w:rPr>
        <w:t>details</w:t>
      </w:r>
      <w:r w:rsidRPr="002F6432">
        <w:rPr>
          <w:rFonts w:ascii="Arial"/>
          <w:spacing w:val="13"/>
          <w:sz w:val="18"/>
          <w:highlight w:val="green"/>
        </w:rPr>
        <w:t xml:space="preserve"> </w:t>
      </w:r>
      <w:r w:rsidRPr="002F6432">
        <w:rPr>
          <w:rFonts w:ascii="Arial"/>
          <w:sz w:val="18"/>
          <w:highlight w:val="green"/>
        </w:rPr>
        <w:t>of</w:t>
      </w:r>
      <w:r w:rsidRPr="002F6432">
        <w:rPr>
          <w:rFonts w:ascii="Arial"/>
          <w:spacing w:val="12"/>
          <w:sz w:val="18"/>
          <w:highlight w:val="green"/>
        </w:rPr>
        <w:t xml:space="preserve"> </w:t>
      </w:r>
      <w:r w:rsidRPr="002F6432">
        <w:rPr>
          <w:rFonts w:ascii="Arial"/>
          <w:spacing w:val="-1"/>
          <w:sz w:val="18"/>
          <w:highlight w:val="green"/>
        </w:rPr>
        <w:t>where</w:t>
      </w:r>
      <w:r w:rsidRPr="002F6432">
        <w:rPr>
          <w:rFonts w:ascii="Arial"/>
          <w:spacing w:val="13"/>
          <w:sz w:val="18"/>
          <w:highlight w:val="green"/>
        </w:rPr>
        <w:t xml:space="preserve"> </w:t>
      </w:r>
      <w:r w:rsidRPr="002F6432">
        <w:rPr>
          <w:rFonts w:ascii="Arial"/>
          <w:sz w:val="18"/>
          <w:highlight w:val="green"/>
        </w:rPr>
        <w:t>the</w:t>
      </w:r>
      <w:r w:rsidRPr="002F6432">
        <w:rPr>
          <w:rFonts w:ascii="Arial"/>
          <w:spacing w:val="13"/>
          <w:sz w:val="18"/>
          <w:highlight w:val="green"/>
        </w:rPr>
        <w:t xml:space="preserve"> </w:t>
      </w:r>
      <w:r w:rsidRPr="002F6432">
        <w:rPr>
          <w:rFonts w:ascii="Arial"/>
          <w:spacing w:val="-1"/>
          <w:sz w:val="18"/>
          <w:highlight w:val="green"/>
        </w:rPr>
        <w:t>Goods</w:t>
      </w:r>
      <w:r w:rsidRPr="002F6432">
        <w:rPr>
          <w:rFonts w:ascii="Arial"/>
          <w:spacing w:val="13"/>
          <w:sz w:val="18"/>
          <w:highlight w:val="green"/>
        </w:rPr>
        <w:t xml:space="preserve"> </w:t>
      </w:r>
      <w:r w:rsidRPr="002F6432">
        <w:rPr>
          <w:rFonts w:ascii="Arial"/>
          <w:sz w:val="18"/>
          <w:highlight w:val="green"/>
        </w:rPr>
        <w:t>and/or</w:t>
      </w:r>
      <w:r w:rsidRPr="002F6432">
        <w:rPr>
          <w:rFonts w:ascii="Arial"/>
          <w:spacing w:val="10"/>
          <w:sz w:val="18"/>
          <w:highlight w:val="green"/>
        </w:rPr>
        <w:t xml:space="preserve"> </w:t>
      </w:r>
      <w:r w:rsidRPr="002F6432">
        <w:rPr>
          <w:rFonts w:ascii="Arial"/>
          <w:sz w:val="18"/>
          <w:highlight w:val="green"/>
        </w:rPr>
        <w:t>the</w:t>
      </w:r>
      <w:r w:rsidRPr="002F6432">
        <w:rPr>
          <w:rFonts w:ascii="Arial"/>
          <w:spacing w:val="13"/>
          <w:sz w:val="18"/>
          <w:highlight w:val="green"/>
        </w:rPr>
        <w:t xml:space="preserve"> </w:t>
      </w:r>
      <w:r w:rsidRPr="002F6432">
        <w:rPr>
          <w:rFonts w:ascii="Arial"/>
          <w:spacing w:val="-1"/>
          <w:sz w:val="18"/>
          <w:highlight w:val="green"/>
        </w:rPr>
        <w:t>Services</w:t>
      </w:r>
      <w:r w:rsidRPr="002F6432">
        <w:rPr>
          <w:rFonts w:ascii="Arial"/>
          <w:spacing w:val="13"/>
          <w:sz w:val="18"/>
          <w:highlight w:val="green"/>
        </w:rPr>
        <w:t xml:space="preserve"> </w:t>
      </w:r>
      <w:r w:rsidRPr="002F6432">
        <w:rPr>
          <w:rFonts w:ascii="Arial"/>
          <w:spacing w:val="-1"/>
          <w:sz w:val="18"/>
          <w:highlight w:val="green"/>
        </w:rPr>
        <w:t>must</w:t>
      </w:r>
      <w:r w:rsidRPr="002F6432">
        <w:rPr>
          <w:rFonts w:ascii="Arial"/>
          <w:spacing w:val="11"/>
          <w:sz w:val="18"/>
          <w:highlight w:val="green"/>
        </w:rPr>
        <w:t xml:space="preserve"> </w:t>
      </w:r>
      <w:r w:rsidRPr="002F6432">
        <w:rPr>
          <w:rFonts w:ascii="Arial"/>
          <w:spacing w:val="-1"/>
          <w:sz w:val="18"/>
          <w:highlight w:val="green"/>
        </w:rPr>
        <w:t>be</w:t>
      </w:r>
      <w:r w:rsidRPr="002F6432">
        <w:rPr>
          <w:rFonts w:ascii="Arial"/>
          <w:spacing w:val="13"/>
          <w:sz w:val="18"/>
          <w:highlight w:val="green"/>
        </w:rPr>
        <w:t xml:space="preserve"> </w:t>
      </w:r>
      <w:r w:rsidRPr="002F6432">
        <w:rPr>
          <w:rFonts w:ascii="Arial"/>
          <w:spacing w:val="-1"/>
          <w:sz w:val="18"/>
          <w:highlight w:val="green"/>
        </w:rPr>
        <w:t>Delivered</w:t>
      </w:r>
      <w:r w:rsidRPr="002F6432">
        <w:rPr>
          <w:rFonts w:ascii="Arial"/>
          <w:spacing w:val="13"/>
          <w:sz w:val="18"/>
          <w:highlight w:val="green"/>
        </w:rPr>
        <w:t xml:space="preserve"> </w:t>
      </w:r>
      <w:r w:rsidRPr="002F6432">
        <w:rPr>
          <w:rFonts w:ascii="Arial"/>
          <w:sz w:val="18"/>
          <w:highlight w:val="green"/>
        </w:rPr>
        <w:t>and</w:t>
      </w:r>
      <w:r w:rsidRPr="002F6432">
        <w:rPr>
          <w:rFonts w:ascii="Arial"/>
          <w:spacing w:val="13"/>
          <w:sz w:val="18"/>
          <w:highlight w:val="green"/>
        </w:rPr>
        <w:t xml:space="preserve"> </w:t>
      </w:r>
      <w:r w:rsidRPr="002F6432">
        <w:rPr>
          <w:rFonts w:ascii="Arial"/>
          <w:sz w:val="18"/>
          <w:highlight w:val="green"/>
        </w:rPr>
        <w:t>any</w:t>
      </w:r>
      <w:r w:rsidRPr="002F6432">
        <w:rPr>
          <w:rFonts w:ascii="Arial"/>
          <w:spacing w:val="11"/>
          <w:sz w:val="18"/>
          <w:highlight w:val="green"/>
        </w:rPr>
        <w:t xml:space="preserve"> </w:t>
      </w:r>
      <w:r w:rsidRPr="002F6432">
        <w:rPr>
          <w:rFonts w:ascii="Arial"/>
          <w:spacing w:val="-1"/>
          <w:sz w:val="18"/>
          <w:highlight w:val="green"/>
        </w:rPr>
        <w:t>related</w:t>
      </w:r>
      <w:r w:rsidRPr="002F6432">
        <w:rPr>
          <w:rFonts w:ascii="Arial"/>
          <w:spacing w:val="79"/>
          <w:sz w:val="18"/>
          <w:highlight w:val="green"/>
        </w:rPr>
        <w:t xml:space="preserve"> </w:t>
      </w:r>
      <w:r w:rsidRPr="002F6432">
        <w:rPr>
          <w:rFonts w:ascii="Arial"/>
          <w:spacing w:val="-1"/>
          <w:sz w:val="18"/>
          <w:highlight w:val="green"/>
        </w:rPr>
        <w:t>instructions]</w:t>
      </w:r>
    </w:p>
    <w:p w:rsidR="002F6432" w:rsidRPr="002F6432" w:rsidRDefault="002F6432" w:rsidP="007929F1">
      <w:pPr>
        <w:spacing w:before="23" w:line="206" w:lineRule="exact"/>
        <w:ind w:left="441"/>
        <w:jc w:val="both"/>
        <w:rPr>
          <w:rFonts w:ascii="Arial" w:eastAsia="Arial" w:hAnsi="Arial" w:cs="Arial"/>
          <w:sz w:val="18"/>
          <w:szCs w:val="18"/>
          <w:highlight w:val="green"/>
        </w:rPr>
      </w:pPr>
      <w:r w:rsidRPr="002F6432">
        <w:rPr>
          <w:rFonts w:ascii="Arial" w:eastAsia="Arial" w:hAnsi="Arial" w:cs="Arial"/>
          <w:position w:val="9"/>
          <w:sz w:val="12"/>
          <w:szCs w:val="12"/>
          <w:highlight w:val="green"/>
        </w:rPr>
        <w:t>12</w:t>
      </w:r>
      <w:r w:rsidRPr="002F6432">
        <w:rPr>
          <w:rFonts w:ascii="Arial" w:eastAsia="Arial" w:hAnsi="Arial" w:cs="Arial"/>
          <w:spacing w:val="19"/>
          <w:position w:val="9"/>
          <w:sz w:val="12"/>
          <w:szCs w:val="12"/>
          <w:highlight w:val="green"/>
        </w:rPr>
        <w:t xml:space="preserve"> </w:t>
      </w:r>
      <w:r w:rsidRPr="002F6432">
        <w:rPr>
          <w:rFonts w:ascii="Arial" w:eastAsia="Arial" w:hAnsi="Arial" w:cs="Arial"/>
          <w:spacing w:val="-1"/>
          <w:sz w:val="18"/>
          <w:szCs w:val="18"/>
          <w:highlight w:val="green"/>
        </w:rPr>
        <w:t>[Specify</w:t>
      </w:r>
      <w:r w:rsidRPr="002F6432">
        <w:rPr>
          <w:rFonts w:ascii="Arial" w:eastAsia="Arial" w:hAnsi="Arial" w:cs="Arial"/>
          <w:spacing w:val="1"/>
          <w:sz w:val="18"/>
          <w:szCs w:val="18"/>
          <w:highlight w:val="green"/>
        </w:rPr>
        <w:t xml:space="preserve"> </w:t>
      </w:r>
      <w:r w:rsidRPr="002F6432">
        <w:rPr>
          <w:rFonts w:ascii="Arial" w:eastAsia="Arial" w:hAnsi="Arial" w:cs="Arial"/>
          <w:sz w:val="18"/>
          <w:szCs w:val="18"/>
          <w:highlight w:val="green"/>
        </w:rPr>
        <w:t>the</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date(s)</w:t>
      </w:r>
      <w:r w:rsidRPr="002F6432">
        <w:rPr>
          <w:rFonts w:ascii="Arial" w:eastAsia="Arial" w:hAnsi="Arial" w:cs="Arial"/>
          <w:sz w:val="18"/>
          <w:szCs w:val="18"/>
          <w:highlight w:val="green"/>
        </w:rPr>
        <w:t xml:space="preserve"> and</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the</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time(s)</w:t>
      </w:r>
      <w:r w:rsidRPr="002F6432">
        <w:rPr>
          <w:rFonts w:ascii="Arial" w:eastAsia="Arial" w:hAnsi="Arial" w:cs="Arial"/>
          <w:sz w:val="18"/>
          <w:szCs w:val="18"/>
          <w:highlight w:val="green"/>
        </w:rPr>
        <w:t xml:space="preserve"> or</w:t>
      </w:r>
      <w:r w:rsidRPr="002F6432">
        <w:rPr>
          <w:rFonts w:ascii="Arial" w:eastAsia="Arial" w:hAnsi="Arial" w:cs="Arial"/>
          <w:spacing w:val="2"/>
          <w:sz w:val="18"/>
          <w:szCs w:val="18"/>
          <w:highlight w:val="green"/>
        </w:rPr>
        <w:t xml:space="preserve"> </w:t>
      </w:r>
      <w:r w:rsidRPr="002F6432">
        <w:rPr>
          <w:rFonts w:ascii="Arial" w:eastAsia="Arial" w:hAnsi="Arial" w:cs="Arial"/>
          <w:spacing w:val="-1"/>
          <w:sz w:val="18"/>
          <w:szCs w:val="18"/>
          <w:highlight w:val="green"/>
        </w:rPr>
        <w:t>time</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period(s)</w:t>
      </w:r>
      <w:r w:rsidRPr="002F6432">
        <w:rPr>
          <w:rFonts w:ascii="Arial" w:eastAsia="Arial" w:hAnsi="Arial" w:cs="Arial"/>
          <w:spacing w:val="2"/>
          <w:sz w:val="18"/>
          <w:szCs w:val="18"/>
          <w:highlight w:val="green"/>
        </w:rPr>
        <w:t xml:space="preserve"> </w:t>
      </w:r>
      <w:r w:rsidRPr="002F6432">
        <w:rPr>
          <w:rFonts w:ascii="Arial" w:eastAsia="Arial" w:hAnsi="Arial" w:cs="Arial"/>
          <w:spacing w:val="-1"/>
          <w:sz w:val="18"/>
          <w:szCs w:val="18"/>
          <w:highlight w:val="green"/>
        </w:rPr>
        <w:t>when</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the</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Goods</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and/or</w:t>
      </w:r>
      <w:r w:rsidRPr="002F6432">
        <w:rPr>
          <w:rFonts w:ascii="Arial" w:eastAsia="Arial" w:hAnsi="Arial" w:cs="Arial"/>
          <w:spacing w:val="2"/>
          <w:sz w:val="18"/>
          <w:szCs w:val="18"/>
          <w:highlight w:val="green"/>
        </w:rPr>
        <w:t xml:space="preserve"> </w:t>
      </w:r>
      <w:r w:rsidRPr="002F6432">
        <w:rPr>
          <w:rFonts w:ascii="Arial" w:eastAsia="Arial" w:hAnsi="Arial" w:cs="Arial"/>
          <w:spacing w:val="-1"/>
          <w:sz w:val="18"/>
          <w:szCs w:val="18"/>
          <w:highlight w:val="green"/>
        </w:rPr>
        <w:t>the</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Services</w:t>
      </w:r>
      <w:r w:rsidRPr="002F6432">
        <w:rPr>
          <w:rFonts w:ascii="Arial" w:eastAsia="Arial" w:hAnsi="Arial" w:cs="Arial"/>
          <w:spacing w:val="1"/>
          <w:sz w:val="18"/>
          <w:szCs w:val="18"/>
          <w:highlight w:val="green"/>
        </w:rPr>
        <w:t xml:space="preserve"> </w:t>
      </w:r>
      <w:r w:rsidRPr="002F6432">
        <w:rPr>
          <w:rFonts w:ascii="Arial" w:eastAsia="Arial" w:hAnsi="Arial" w:cs="Arial"/>
          <w:sz w:val="18"/>
          <w:szCs w:val="18"/>
          <w:highlight w:val="green"/>
        </w:rPr>
        <w:t>must be</w:t>
      </w:r>
      <w:r w:rsidRPr="002F6432">
        <w:rPr>
          <w:rFonts w:ascii="Arial" w:eastAsia="Arial" w:hAnsi="Arial" w:cs="Arial"/>
          <w:spacing w:val="3"/>
          <w:sz w:val="18"/>
          <w:szCs w:val="18"/>
          <w:highlight w:val="green"/>
        </w:rPr>
        <w:t xml:space="preserve"> </w:t>
      </w:r>
      <w:r w:rsidRPr="002F6432">
        <w:rPr>
          <w:rFonts w:ascii="Arial" w:eastAsia="Arial" w:hAnsi="Arial" w:cs="Arial"/>
          <w:spacing w:val="-1"/>
          <w:sz w:val="18"/>
          <w:szCs w:val="18"/>
          <w:highlight w:val="green"/>
        </w:rPr>
        <w:t>Delivered.</w:t>
      </w:r>
      <w:r w:rsidRPr="002F6432">
        <w:rPr>
          <w:rFonts w:ascii="Arial" w:eastAsia="Arial" w:hAnsi="Arial" w:cs="Arial"/>
          <w:spacing w:val="93"/>
          <w:sz w:val="18"/>
          <w:szCs w:val="18"/>
          <w:highlight w:val="green"/>
        </w:rPr>
        <w:t xml:space="preserve"> </w:t>
      </w:r>
      <w:r w:rsidRPr="002F6432">
        <w:rPr>
          <w:rFonts w:ascii="Arial" w:eastAsia="Arial" w:hAnsi="Arial" w:cs="Arial"/>
          <w:sz w:val="18"/>
          <w:szCs w:val="18"/>
          <w:highlight w:val="green"/>
        </w:rPr>
        <w:t>See</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also</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Clause</w:t>
      </w:r>
      <w:r w:rsidRPr="002F6432">
        <w:rPr>
          <w:rFonts w:ascii="Arial" w:eastAsia="Arial" w:hAnsi="Arial" w:cs="Arial"/>
          <w:spacing w:val="22"/>
          <w:sz w:val="18"/>
          <w:szCs w:val="18"/>
          <w:highlight w:val="green"/>
        </w:rPr>
        <w:t xml:space="preserve"> </w:t>
      </w:r>
      <w:hyperlink w:anchor="_bookmark59" w:history="1">
        <w:r w:rsidRPr="002F6432">
          <w:rPr>
            <w:rFonts w:ascii="Arial" w:eastAsia="Arial" w:hAnsi="Arial" w:cs="Arial"/>
            <w:spacing w:val="-1"/>
            <w:sz w:val="18"/>
            <w:szCs w:val="18"/>
            <w:highlight w:val="green"/>
          </w:rPr>
          <w:t>6.2.3</w:t>
        </w:r>
      </w:hyperlink>
      <w:r w:rsidRPr="002F6432">
        <w:rPr>
          <w:rFonts w:ascii="Arial" w:eastAsia="Arial" w:hAnsi="Arial" w:cs="Arial"/>
          <w:spacing w:val="22"/>
          <w:sz w:val="18"/>
          <w:szCs w:val="18"/>
          <w:highlight w:val="green"/>
        </w:rPr>
        <w:t xml:space="preserve"> </w:t>
      </w:r>
      <w:r w:rsidRPr="002F6432">
        <w:rPr>
          <w:rFonts w:ascii="Arial" w:eastAsia="Arial" w:hAnsi="Arial" w:cs="Arial"/>
          <w:sz w:val="18"/>
          <w:szCs w:val="18"/>
          <w:highlight w:val="green"/>
        </w:rPr>
        <w:t>of</w:t>
      </w:r>
      <w:r w:rsidRPr="002F6432">
        <w:rPr>
          <w:rFonts w:ascii="Arial" w:eastAsia="Arial" w:hAnsi="Arial" w:cs="Arial"/>
          <w:spacing w:val="22"/>
          <w:sz w:val="18"/>
          <w:szCs w:val="18"/>
          <w:highlight w:val="green"/>
        </w:rPr>
        <w:t xml:space="preserve"> </w:t>
      </w:r>
      <w:r w:rsidRPr="002F6432">
        <w:rPr>
          <w:rFonts w:ascii="Arial" w:eastAsia="Arial" w:hAnsi="Arial" w:cs="Arial"/>
          <w:sz w:val="18"/>
          <w:szCs w:val="18"/>
          <w:highlight w:val="green"/>
        </w:rPr>
        <w:t>the</w:t>
      </w:r>
      <w:r w:rsidRPr="002F6432">
        <w:rPr>
          <w:rFonts w:ascii="Arial" w:eastAsia="Arial" w:hAnsi="Arial" w:cs="Arial"/>
          <w:spacing w:val="20"/>
          <w:sz w:val="18"/>
          <w:szCs w:val="18"/>
          <w:highlight w:val="green"/>
        </w:rPr>
        <w:t xml:space="preserve"> </w:t>
      </w:r>
      <w:r w:rsidRPr="002F6432">
        <w:rPr>
          <w:rFonts w:ascii="Arial" w:eastAsia="Arial" w:hAnsi="Arial" w:cs="Arial"/>
          <w:spacing w:val="-1"/>
          <w:sz w:val="18"/>
          <w:szCs w:val="18"/>
          <w:highlight w:val="green"/>
        </w:rPr>
        <w:t>Template</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Call</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Off</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Terms</w:t>
      </w:r>
      <w:r w:rsidRPr="002F6432">
        <w:rPr>
          <w:rFonts w:ascii="Arial" w:eastAsia="Arial" w:hAnsi="Arial" w:cs="Arial"/>
          <w:spacing w:val="23"/>
          <w:sz w:val="18"/>
          <w:szCs w:val="18"/>
          <w:highlight w:val="green"/>
        </w:rPr>
        <w:t xml:space="preserve"> </w:t>
      </w:r>
      <w:r w:rsidRPr="002F6432">
        <w:rPr>
          <w:rFonts w:ascii="Arial" w:eastAsia="Arial" w:hAnsi="Arial" w:cs="Arial"/>
          <w:sz w:val="18"/>
          <w:szCs w:val="18"/>
          <w:highlight w:val="green"/>
        </w:rPr>
        <w:t>in</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relation</w:t>
      </w:r>
      <w:r w:rsidRPr="002F6432">
        <w:rPr>
          <w:rFonts w:ascii="Arial" w:eastAsia="Arial" w:hAnsi="Arial" w:cs="Arial"/>
          <w:spacing w:val="22"/>
          <w:sz w:val="18"/>
          <w:szCs w:val="18"/>
          <w:highlight w:val="green"/>
        </w:rPr>
        <w:t xml:space="preserve"> </w:t>
      </w:r>
      <w:r w:rsidRPr="002F6432">
        <w:rPr>
          <w:rFonts w:ascii="Arial" w:eastAsia="Arial" w:hAnsi="Arial" w:cs="Arial"/>
          <w:sz w:val="18"/>
          <w:szCs w:val="18"/>
          <w:highlight w:val="green"/>
        </w:rPr>
        <w:t>to</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time</w:t>
      </w:r>
      <w:r w:rsidRPr="002F6432">
        <w:rPr>
          <w:rFonts w:ascii="Arial" w:eastAsia="Arial" w:hAnsi="Arial" w:cs="Arial"/>
          <w:spacing w:val="22"/>
          <w:sz w:val="18"/>
          <w:szCs w:val="18"/>
          <w:highlight w:val="green"/>
        </w:rPr>
        <w:t xml:space="preserve"> </w:t>
      </w:r>
      <w:r w:rsidRPr="002F6432">
        <w:rPr>
          <w:rFonts w:ascii="Arial" w:eastAsia="Arial" w:hAnsi="Arial" w:cs="Arial"/>
          <w:sz w:val="18"/>
          <w:szCs w:val="18"/>
          <w:highlight w:val="green"/>
        </w:rPr>
        <w:t>of</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Delivery.</w:t>
      </w:r>
      <w:r w:rsidRPr="002F6432">
        <w:rPr>
          <w:rFonts w:ascii="Arial" w:eastAsia="Arial" w:hAnsi="Arial" w:cs="Arial"/>
          <w:spacing w:val="22"/>
          <w:sz w:val="18"/>
          <w:szCs w:val="18"/>
          <w:highlight w:val="green"/>
        </w:rPr>
        <w:t xml:space="preserve"> </w:t>
      </w:r>
      <w:r w:rsidRPr="002F6432">
        <w:rPr>
          <w:rFonts w:ascii="Arial" w:eastAsia="Arial" w:hAnsi="Arial" w:cs="Arial"/>
          <w:sz w:val="18"/>
          <w:szCs w:val="18"/>
          <w:highlight w:val="green"/>
        </w:rPr>
        <w:t>Consider</w:t>
      </w:r>
      <w:r w:rsidRPr="002F6432">
        <w:rPr>
          <w:rFonts w:ascii="Arial" w:eastAsia="Arial" w:hAnsi="Arial" w:cs="Arial"/>
          <w:spacing w:val="21"/>
          <w:sz w:val="18"/>
          <w:szCs w:val="18"/>
          <w:highlight w:val="green"/>
        </w:rPr>
        <w:t xml:space="preserve"> </w:t>
      </w:r>
      <w:r w:rsidRPr="002F6432">
        <w:rPr>
          <w:rFonts w:ascii="Arial" w:eastAsia="Arial" w:hAnsi="Arial" w:cs="Arial"/>
          <w:sz w:val="18"/>
          <w:szCs w:val="18"/>
          <w:highlight w:val="green"/>
        </w:rPr>
        <w:t>if</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you</w:t>
      </w:r>
      <w:r w:rsidRPr="002F6432">
        <w:rPr>
          <w:rFonts w:ascii="Arial" w:eastAsia="Arial" w:hAnsi="Arial" w:cs="Arial"/>
          <w:spacing w:val="22"/>
          <w:sz w:val="18"/>
          <w:szCs w:val="18"/>
          <w:highlight w:val="green"/>
        </w:rPr>
        <w:t xml:space="preserve"> </w:t>
      </w:r>
      <w:r w:rsidRPr="002F6432">
        <w:rPr>
          <w:rFonts w:ascii="Arial" w:eastAsia="Arial" w:hAnsi="Arial" w:cs="Arial"/>
          <w:spacing w:val="-1"/>
          <w:sz w:val="18"/>
          <w:szCs w:val="18"/>
          <w:highlight w:val="green"/>
        </w:rPr>
        <w:t>should</w:t>
      </w:r>
      <w:r w:rsidRPr="002F6432">
        <w:rPr>
          <w:rFonts w:ascii="Arial" w:eastAsia="Arial" w:hAnsi="Arial" w:cs="Arial"/>
          <w:spacing w:val="75"/>
          <w:sz w:val="18"/>
          <w:szCs w:val="18"/>
          <w:highlight w:val="green"/>
        </w:rPr>
        <w:t xml:space="preserve"> </w:t>
      </w:r>
      <w:r w:rsidRPr="002F6432">
        <w:rPr>
          <w:rFonts w:ascii="Arial" w:eastAsia="Arial" w:hAnsi="Arial" w:cs="Arial"/>
          <w:spacing w:val="-1"/>
          <w:sz w:val="18"/>
          <w:szCs w:val="18"/>
          <w:highlight w:val="green"/>
        </w:rPr>
        <w:t>make</w:t>
      </w:r>
      <w:r w:rsidRPr="002F6432">
        <w:rPr>
          <w:rFonts w:ascii="Arial" w:eastAsia="Arial" w:hAnsi="Arial" w:cs="Arial"/>
          <w:spacing w:val="1"/>
          <w:sz w:val="18"/>
          <w:szCs w:val="18"/>
          <w:highlight w:val="green"/>
        </w:rPr>
        <w:t xml:space="preserve"> </w:t>
      </w:r>
      <w:r w:rsidRPr="002F6432">
        <w:rPr>
          <w:rFonts w:ascii="Arial" w:eastAsia="Arial" w:hAnsi="Arial" w:cs="Arial"/>
          <w:spacing w:val="-1"/>
          <w:sz w:val="18"/>
          <w:szCs w:val="18"/>
          <w:highlight w:val="green"/>
        </w:rPr>
        <w:t>'time</w:t>
      </w:r>
      <w:r w:rsidRPr="002F6432">
        <w:rPr>
          <w:rFonts w:ascii="Arial" w:eastAsia="Arial" w:hAnsi="Arial" w:cs="Arial"/>
          <w:spacing w:val="1"/>
          <w:sz w:val="18"/>
          <w:szCs w:val="18"/>
          <w:highlight w:val="green"/>
        </w:rPr>
        <w:t xml:space="preserve"> </w:t>
      </w:r>
      <w:r w:rsidRPr="002F6432">
        <w:rPr>
          <w:rFonts w:ascii="Arial" w:eastAsia="Arial" w:hAnsi="Arial" w:cs="Arial"/>
          <w:sz w:val="18"/>
          <w:szCs w:val="18"/>
          <w:highlight w:val="green"/>
        </w:rPr>
        <w:t>of</w:t>
      </w:r>
      <w:r w:rsidRPr="002F6432">
        <w:rPr>
          <w:rFonts w:ascii="Arial" w:eastAsia="Arial" w:hAnsi="Arial" w:cs="Arial"/>
          <w:spacing w:val="-2"/>
          <w:sz w:val="18"/>
          <w:szCs w:val="18"/>
          <w:highlight w:val="green"/>
        </w:rPr>
        <w:t xml:space="preserve"> </w:t>
      </w:r>
      <w:r w:rsidRPr="002F6432">
        <w:rPr>
          <w:rFonts w:ascii="Arial" w:eastAsia="Arial" w:hAnsi="Arial" w:cs="Arial"/>
          <w:sz w:val="18"/>
          <w:szCs w:val="18"/>
          <w:highlight w:val="green"/>
        </w:rPr>
        <w:t>the</w:t>
      </w:r>
      <w:r w:rsidRPr="002F6432">
        <w:rPr>
          <w:rFonts w:ascii="Arial" w:eastAsia="Arial" w:hAnsi="Arial" w:cs="Arial"/>
          <w:spacing w:val="-2"/>
          <w:sz w:val="18"/>
          <w:szCs w:val="18"/>
          <w:highlight w:val="green"/>
        </w:rPr>
        <w:t xml:space="preserve"> </w:t>
      </w:r>
      <w:r w:rsidRPr="002F6432">
        <w:rPr>
          <w:rFonts w:ascii="Arial" w:eastAsia="Arial" w:hAnsi="Arial" w:cs="Arial"/>
          <w:spacing w:val="-1"/>
          <w:sz w:val="18"/>
          <w:szCs w:val="18"/>
          <w:highlight w:val="green"/>
        </w:rPr>
        <w:t>essence”</w:t>
      </w:r>
      <w:r w:rsidRPr="002F6432">
        <w:rPr>
          <w:rFonts w:ascii="Arial" w:eastAsia="Arial" w:hAnsi="Arial" w:cs="Arial"/>
          <w:spacing w:val="-2"/>
          <w:sz w:val="18"/>
          <w:szCs w:val="18"/>
          <w:highlight w:val="green"/>
        </w:rPr>
        <w:t xml:space="preserve"> </w:t>
      </w:r>
      <w:r w:rsidRPr="002F6432">
        <w:rPr>
          <w:rFonts w:ascii="Arial" w:eastAsia="Arial" w:hAnsi="Arial" w:cs="Arial"/>
          <w:sz w:val="18"/>
          <w:szCs w:val="18"/>
          <w:highlight w:val="green"/>
        </w:rPr>
        <w:t>in</w:t>
      </w:r>
      <w:r w:rsidRPr="002F6432">
        <w:rPr>
          <w:rFonts w:ascii="Arial" w:eastAsia="Arial" w:hAnsi="Arial" w:cs="Arial"/>
          <w:spacing w:val="1"/>
          <w:sz w:val="18"/>
          <w:szCs w:val="18"/>
          <w:highlight w:val="green"/>
        </w:rPr>
        <w:t xml:space="preserve"> </w:t>
      </w:r>
      <w:r w:rsidRPr="002F6432">
        <w:rPr>
          <w:rFonts w:ascii="Arial" w:eastAsia="Arial" w:hAnsi="Arial" w:cs="Arial"/>
          <w:spacing w:val="-1"/>
          <w:sz w:val="18"/>
          <w:szCs w:val="18"/>
          <w:highlight w:val="green"/>
        </w:rPr>
        <w:t>respect</w:t>
      </w:r>
      <w:r w:rsidRPr="002F6432">
        <w:rPr>
          <w:rFonts w:ascii="Arial" w:eastAsia="Arial" w:hAnsi="Arial" w:cs="Arial"/>
          <w:sz w:val="18"/>
          <w:szCs w:val="18"/>
          <w:highlight w:val="green"/>
        </w:rPr>
        <w:t xml:space="preserve"> </w:t>
      </w:r>
      <w:r w:rsidRPr="002F6432">
        <w:rPr>
          <w:rFonts w:ascii="Arial" w:eastAsia="Arial" w:hAnsi="Arial" w:cs="Arial"/>
          <w:spacing w:val="-1"/>
          <w:sz w:val="18"/>
          <w:szCs w:val="18"/>
          <w:highlight w:val="green"/>
        </w:rPr>
        <w:t>of</w:t>
      </w:r>
      <w:r w:rsidRPr="002F6432">
        <w:rPr>
          <w:rFonts w:ascii="Arial" w:eastAsia="Arial" w:hAnsi="Arial" w:cs="Arial"/>
          <w:sz w:val="18"/>
          <w:szCs w:val="18"/>
          <w:highlight w:val="green"/>
        </w:rPr>
        <w:t xml:space="preserve"> any</w:t>
      </w:r>
      <w:r w:rsidRPr="002F6432">
        <w:rPr>
          <w:rFonts w:ascii="Arial" w:eastAsia="Arial" w:hAnsi="Arial" w:cs="Arial"/>
          <w:spacing w:val="-1"/>
          <w:sz w:val="18"/>
          <w:szCs w:val="18"/>
          <w:highlight w:val="green"/>
        </w:rPr>
        <w:t xml:space="preserve"> delivery dates]</w:t>
      </w:r>
    </w:p>
    <w:p w:rsidR="00B35CB9" w:rsidRPr="002F6432" w:rsidRDefault="002F6432" w:rsidP="007929F1">
      <w:pPr>
        <w:spacing w:line="227" w:lineRule="exact"/>
        <w:ind w:left="441"/>
        <w:jc w:val="both"/>
        <w:rPr>
          <w:rFonts w:ascii="Arial" w:eastAsia="Arial" w:hAnsi="Arial" w:cs="Arial"/>
          <w:sz w:val="18"/>
          <w:szCs w:val="18"/>
          <w:highlight w:val="green"/>
        </w:rPr>
      </w:pPr>
      <w:r w:rsidRPr="002F6432">
        <w:rPr>
          <w:rFonts w:ascii="Arial"/>
          <w:position w:val="9"/>
          <w:sz w:val="12"/>
          <w:highlight w:val="green"/>
        </w:rPr>
        <w:t>13</w:t>
      </w:r>
      <w:r w:rsidRPr="002F6432">
        <w:rPr>
          <w:rFonts w:ascii="Arial"/>
          <w:spacing w:val="19"/>
          <w:position w:val="9"/>
          <w:sz w:val="12"/>
          <w:highlight w:val="green"/>
        </w:rPr>
        <w:t xml:space="preserve"> </w:t>
      </w:r>
      <w:r w:rsidRPr="002F6432">
        <w:rPr>
          <w:rFonts w:ascii="Arial"/>
          <w:spacing w:val="-1"/>
          <w:sz w:val="18"/>
          <w:highlight w:val="green"/>
        </w:rPr>
        <w:t>[Guidance</w:t>
      </w:r>
      <w:r w:rsidRPr="002F6432">
        <w:rPr>
          <w:rFonts w:ascii="Arial"/>
          <w:spacing w:val="3"/>
          <w:sz w:val="18"/>
          <w:highlight w:val="green"/>
        </w:rPr>
        <w:t xml:space="preserve"> </w:t>
      </w:r>
      <w:r w:rsidRPr="002F6432">
        <w:rPr>
          <w:rFonts w:ascii="Arial"/>
          <w:spacing w:val="-1"/>
          <w:sz w:val="18"/>
          <w:highlight w:val="green"/>
        </w:rPr>
        <w:t>Note:</w:t>
      </w:r>
      <w:r w:rsidRPr="002F6432">
        <w:rPr>
          <w:rFonts w:ascii="Arial"/>
          <w:spacing w:val="3"/>
          <w:sz w:val="18"/>
          <w:highlight w:val="green"/>
        </w:rPr>
        <w:t xml:space="preserve"> </w:t>
      </w:r>
      <w:r w:rsidRPr="002F6432">
        <w:rPr>
          <w:rFonts w:ascii="Arial"/>
          <w:sz w:val="18"/>
          <w:highlight w:val="green"/>
        </w:rPr>
        <w:t>See</w:t>
      </w:r>
      <w:r w:rsidRPr="002F6432">
        <w:rPr>
          <w:rFonts w:ascii="Arial"/>
          <w:spacing w:val="3"/>
          <w:sz w:val="18"/>
          <w:highlight w:val="green"/>
        </w:rPr>
        <w:t xml:space="preserve"> </w:t>
      </w:r>
      <w:r w:rsidRPr="002F6432">
        <w:rPr>
          <w:rFonts w:ascii="Arial"/>
          <w:sz w:val="18"/>
          <w:highlight w:val="green"/>
        </w:rPr>
        <w:t>Part</w:t>
      </w:r>
      <w:r w:rsidRPr="002F6432">
        <w:rPr>
          <w:rFonts w:ascii="Arial"/>
          <w:spacing w:val="3"/>
          <w:sz w:val="18"/>
          <w:highlight w:val="green"/>
        </w:rPr>
        <w:t xml:space="preserve"> </w:t>
      </w:r>
      <w:r w:rsidRPr="002F6432">
        <w:rPr>
          <w:rFonts w:ascii="Arial"/>
          <w:sz w:val="18"/>
          <w:highlight w:val="green"/>
        </w:rPr>
        <w:t>A</w:t>
      </w:r>
      <w:r w:rsidRPr="002F6432">
        <w:rPr>
          <w:rFonts w:ascii="Arial"/>
          <w:spacing w:val="2"/>
          <w:sz w:val="18"/>
          <w:highlight w:val="green"/>
        </w:rPr>
        <w:t xml:space="preserve"> </w:t>
      </w:r>
      <w:r w:rsidRPr="002F6432">
        <w:rPr>
          <w:rFonts w:ascii="Arial"/>
          <w:spacing w:val="-1"/>
          <w:sz w:val="18"/>
          <w:highlight w:val="green"/>
        </w:rPr>
        <w:t>of</w:t>
      </w:r>
      <w:r w:rsidRPr="002F6432">
        <w:rPr>
          <w:rFonts w:ascii="Arial"/>
          <w:spacing w:val="3"/>
          <w:sz w:val="18"/>
          <w:highlight w:val="green"/>
        </w:rPr>
        <w:t xml:space="preserve"> </w:t>
      </w:r>
      <w:r w:rsidRPr="002F6432">
        <w:rPr>
          <w:rFonts w:ascii="Arial"/>
          <w:spacing w:val="-1"/>
          <w:sz w:val="18"/>
          <w:highlight w:val="green"/>
        </w:rPr>
        <w:t>Call</w:t>
      </w:r>
      <w:r w:rsidRPr="002F6432">
        <w:rPr>
          <w:rFonts w:ascii="Arial"/>
          <w:spacing w:val="3"/>
          <w:sz w:val="18"/>
          <w:highlight w:val="green"/>
        </w:rPr>
        <w:t xml:space="preserve"> </w:t>
      </w:r>
      <w:r w:rsidRPr="002F6432">
        <w:rPr>
          <w:rFonts w:ascii="Arial"/>
          <w:spacing w:val="-1"/>
          <w:sz w:val="18"/>
          <w:highlight w:val="green"/>
        </w:rPr>
        <w:t>Off</w:t>
      </w:r>
      <w:r w:rsidRPr="002F6432">
        <w:rPr>
          <w:rFonts w:ascii="Arial"/>
          <w:spacing w:val="3"/>
          <w:sz w:val="18"/>
          <w:highlight w:val="green"/>
        </w:rPr>
        <w:t xml:space="preserve"> </w:t>
      </w:r>
      <w:r w:rsidRPr="002F6432">
        <w:rPr>
          <w:rFonts w:ascii="Arial"/>
          <w:spacing w:val="-1"/>
          <w:sz w:val="18"/>
          <w:highlight w:val="green"/>
        </w:rPr>
        <w:t>Schedule</w:t>
      </w:r>
      <w:r w:rsidRPr="002F6432">
        <w:rPr>
          <w:rFonts w:ascii="Arial"/>
          <w:spacing w:val="3"/>
          <w:sz w:val="18"/>
          <w:highlight w:val="green"/>
        </w:rPr>
        <w:t xml:space="preserve"> </w:t>
      </w:r>
      <w:r w:rsidRPr="002F6432">
        <w:rPr>
          <w:rFonts w:ascii="Arial"/>
          <w:sz w:val="18"/>
          <w:highlight w:val="green"/>
        </w:rPr>
        <w:t>4</w:t>
      </w:r>
      <w:r w:rsidRPr="002F6432">
        <w:rPr>
          <w:rFonts w:ascii="Arial"/>
          <w:spacing w:val="3"/>
          <w:sz w:val="18"/>
          <w:highlight w:val="green"/>
        </w:rPr>
        <w:t xml:space="preserve"> </w:t>
      </w:r>
      <w:r w:rsidRPr="002F6432">
        <w:rPr>
          <w:rFonts w:ascii="Arial"/>
          <w:spacing w:val="-1"/>
          <w:sz w:val="18"/>
          <w:highlight w:val="green"/>
        </w:rPr>
        <w:t>(Implementation</w:t>
      </w:r>
      <w:r w:rsidRPr="002F6432">
        <w:rPr>
          <w:rFonts w:ascii="Arial"/>
          <w:spacing w:val="3"/>
          <w:sz w:val="18"/>
          <w:highlight w:val="green"/>
        </w:rPr>
        <w:t xml:space="preserve"> </w:t>
      </w:r>
      <w:r w:rsidRPr="002F6432">
        <w:rPr>
          <w:rFonts w:ascii="Arial"/>
          <w:spacing w:val="-1"/>
          <w:sz w:val="18"/>
          <w:highlight w:val="green"/>
        </w:rPr>
        <w:t>Plan,</w:t>
      </w:r>
      <w:r w:rsidRPr="002F6432">
        <w:rPr>
          <w:rFonts w:ascii="Arial"/>
          <w:spacing w:val="3"/>
          <w:sz w:val="18"/>
          <w:highlight w:val="green"/>
        </w:rPr>
        <w:t xml:space="preserve"> </w:t>
      </w:r>
      <w:r w:rsidRPr="002F6432">
        <w:rPr>
          <w:rFonts w:ascii="Arial"/>
          <w:spacing w:val="-1"/>
          <w:sz w:val="18"/>
          <w:highlight w:val="green"/>
        </w:rPr>
        <w:t>Customer</w:t>
      </w:r>
      <w:r w:rsidRPr="002F6432">
        <w:rPr>
          <w:rFonts w:ascii="Arial"/>
          <w:spacing w:val="2"/>
          <w:sz w:val="18"/>
          <w:highlight w:val="green"/>
        </w:rPr>
        <w:t xml:space="preserve"> </w:t>
      </w:r>
      <w:r w:rsidRPr="002F6432">
        <w:rPr>
          <w:rFonts w:ascii="Arial"/>
          <w:spacing w:val="-1"/>
          <w:sz w:val="18"/>
          <w:highlight w:val="green"/>
        </w:rPr>
        <w:t>Responsibilities</w:t>
      </w:r>
      <w:r w:rsidRPr="002F6432">
        <w:rPr>
          <w:rFonts w:ascii="Arial"/>
          <w:spacing w:val="3"/>
          <w:sz w:val="18"/>
          <w:highlight w:val="green"/>
        </w:rPr>
        <w:t xml:space="preserve"> </w:t>
      </w:r>
      <w:r w:rsidRPr="002F6432">
        <w:rPr>
          <w:rFonts w:ascii="Arial"/>
          <w:sz w:val="18"/>
          <w:highlight w:val="green"/>
        </w:rPr>
        <w:t>and</w:t>
      </w:r>
      <w:r w:rsidRPr="002F6432">
        <w:rPr>
          <w:rFonts w:ascii="Arial"/>
          <w:spacing w:val="3"/>
          <w:sz w:val="18"/>
          <w:highlight w:val="green"/>
        </w:rPr>
        <w:t xml:space="preserve"> </w:t>
      </w:r>
      <w:r w:rsidRPr="002F6432">
        <w:rPr>
          <w:rFonts w:ascii="Arial"/>
          <w:sz w:val="18"/>
          <w:highlight w:val="green"/>
        </w:rPr>
        <w:t>Key</w:t>
      </w:r>
      <w:r>
        <w:rPr>
          <w:rFonts w:ascii="Arial" w:eastAsia="Arial" w:hAnsi="Arial" w:cs="Arial"/>
          <w:sz w:val="18"/>
          <w:szCs w:val="18"/>
          <w:highlight w:val="green"/>
        </w:rPr>
        <w:t xml:space="preserve"> </w:t>
      </w:r>
      <w:r w:rsidRPr="002F6432">
        <w:rPr>
          <w:rFonts w:ascii="Arial"/>
          <w:spacing w:val="-1"/>
          <w:sz w:val="18"/>
          <w:highlight w:val="green"/>
        </w:rPr>
        <w:t>Personnel)</w:t>
      </w:r>
      <w:r w:rsidRPr="002F6432">
        <w:rPr>
          <w:rFonts w:ascii="Arial"/>
          <w:spacing w:val="7"/>
          <w:sz w:val="18"/>
          <w:highlight w:val="green"/>
        </w:rPr>
        <w:t xml:space="preserve"> </w:t>
      </w:r>
      <w:r w:rsidRPr="002F6432">
        <w:rPr>
          <w:rFonts w:ascii="Arial"/>
          <w:spacing w:val="-1"/>
          <w:sz w:val="18"/>
          <w:highlight w:val="green"/>
        </w:rPr>
        <w:t>and</w:t>
      </w:r>
      <w:r w:rsidRPr="002F6432">
        <w:rPr>
          <w:rFonts w:ascii="Arial"/>
          <w:spacing w:val="8"/>
          <w:sz w:val="18"/>
          <w:highlight w:val="green"/>
        </w:rPr>
        <w:t xml:space="preserve"> </w:t>
      </w:r>
      <w:r w:rsidRPr="002F6432">
        <w:rPr>
          <w:rFonts w:ascii="Arial"/>
          <w:sz w:val="18"/>
          <w:highlight w:val="green"/>
        </w:rPr>
        <w:t>the</w:t>
      </w:r>
      <w:r w:rsidRPr="002F6432">
        <w:rPr>
          <w:rFonts w:ascii="Arial"/>
          <w:spacing w:val="8"/>
          <w:sz w:val="18"/>
          <w:highlight w:val="green"/>
        </w:rPr>
        <w:t xml:space="preserve"> </w:t>
      </w:r>
      <w:r w:rsidRPr="002F6432">
        <w:rPr>
          <w:rFonts w:ascii="Arial"/>
          <w:spacing w:val="-1"/>
          <w:sz w:val="18"/>
          <w:highlight w:val="green"/>
        </w:rPr>
        <w:t>guidance</w:t>
      </w:r>
      <w:r w:rsidRPr="002F6432">
        <w:rPr>
          <w:rFonts w:ascii="Arial"/>
          <w:spacing w:val="8"/>
          <w:sz w:val="18"/>
          <w:highlight w:val="green"/>
        </w:rPr>
        <w:t xml:space="preserve"> </w:t>
      </w:r>
      <w:r w:rsidRPr="002F6432">
        <w:rPr>
          <w:rFonts w:ascii="Arial"/>
          <w:sz w:val="18"/>
          <w:highlight w:val="green"/>
        </w:rPr>
        <w:t>set</w:t>
      </w:r>
      <w:r w:rsidRPr="002F6432">
        <w:rPr>
          <w:rFonts w:ascii="Arial"/>
          <w:spacing w:val="7"/>
          <w:sz w:val="18"/>
          <w:highlight w:val="green"/>
        </w:rPr>
        <w:t xml:space="preserve"> </w:t>
      </w:r>
      <w:r w:rsidRPr="002F6432">
        <w:rPr>
          <w:rFonts w:ascii="Arial"/>
          <w:sz w:val="18"/>
          <w:highlight w:val="green"/>
        </w:rPr>
        <w:t>out</w:t>
      </w:r>
      <w:r w:rsidRPr="002F6432">
        <w:rPr>
          <w:rFonts w:ascii="Arial"/>
          <w:spacing w:val="7"/>
          <w:sz w:val="18"/>
          <w:highlight w:val="green"/>
        </w:rPr>
        <w:t xml:space="preserve"> </w:t>
      </w:r>
      <w:r w:rsidRPr="002F6432">
        <w:rPr>
          <w:rFonts w:ascii="Arial"/>
          <w:spacing w:val="-1"/>
          <w:sz w:val="18"/>
          <w:highlight w:val="green"/>
        </w:rPr>
        <w:t>therein.</w:t>
      </w:r>
      <w:r w:rsidRPr="002F6432">
        <w:rPr>
          <w:rFonts w:ascii="Arial"/>
          <w:spacing w:val="7"/>
          <w:sz w:val="18"/>
          <w:highlight w:val="green"/>
        </w:rPr>
        <w:t xml:space="preserve"> </w:t>
      </w:r>
      <w:r w:rsidRPr="002F6432">
        <w:rPr>
          <w:rFonts w:ascii="Arial"/>
          <w:spacing w:val="-1"/>
          <w:sz w:val="18"/>
          <w:highlight w:val="green"/>
        </w:rPr>
        <w:t>Consider</w:t>
      </w:r>
      <w:r w:rsidRPr="002F6432">
        <w:rPr>
          <w:rFonts w:ascii="Arial"/>
          <w:spacing w:val="7"/>
          <w:sz w:val="18"/>
          <w:highlight w:val="green"/>
        </w:rPr>
        <w:t xml:space="preserve"> </w:t>
      </w:r>
      <w:r w:rsidRPr="002F6432">
        <w:rPr>
          <w:rFonts w:ascii="Arial"/>
          <w:sz w:val="18"/>
          <w:highlight w:val="green"/>
        </w:rPr>
        <w:t>if</w:t>
      </w:r>
      <w:r w:rsidRPr="002F6432">
        <w:rPr>
          <w:rFonts w:ascii="Arial"/>
          <w:spacing w:val="7"/>
          <w:sz w:val="18"/>
          <w:highlight w:val="green"/>
        </w:rPr>
        <w:t xml:space="preserve"> </w:t>
      </w:r>
      <w:r w:rsidRPr="002F6432">
        <w:rPr>
          <w:rFonts w:ascii="Arial"/>
          <w:spacing w:val="-1"/>
          <w:sz w:val="18"/>
          <w:highlight w:val="green"/>
        </w:rPr>
        <w:t>you</w:t>
      </w:r>
      <w:r w:rsidRPr="002F6432">
        <w:rPr>
          <w:rFonts w:ascii="Arial"/>
          <w:spacing w:val="8"/>
          <w:sz w:val="18"/>
          <w:highlight w:val="green"/>
        </w:rPr>
        <w:t xml:space="preserve"> </w:t>
      </w:r>
      <w:r w:rsidRPr="002F6432">
        <w:rPr>
          <w:rFonts w:ascii="Arial"/>
          <w:sz w:val="18"/>
          <w:highlight w:val="green"/>
        </w:rPr>
        <w:t>need</w:t>
      </w:r>
      <w:r w:rsidRPr="002F6432">
        <w:rPr>
          <w:rFonts w:ascii="Arial"/>
          <w:spacing w:val="8"/>
          <w:sz w:val="18"/>
          <w:highlight w:val="green"/>
        </w:rPr>
        <w:t xml:space="preserve"> </w:t>
      </w:r>
      <w:r w:rsidRPr="002F6432">
        <w:rPr>
          <w:rFonts w:ascii="Arial"/>
          <w:spacing w:val="-1"/>
          <w:sz w:val="18"/>
          <w:highlight w:val="green"/>
        </w:rPr>
        <w:t>an</w:t>
      </w:r>
      <w:r w:rsidRPr="002F6432">
        <w:rPr>
          <w:rFonts w:ascii="Arial"/>
          <w:spacing w:val="8"/>
          <w:sz w:val="18"/>
          <w:highlight w:val="green"/>
        </w:rPr>
        <w:t xml:space="preserve"> </w:t>
      </w:r>
      <w:r w:rsidRPr="002F6432">
        <w:rPr>
          <w:rFonts w:ascii="Arial"/>
          <w:spacing w:val="-1"/>
          <w:sz w:val="18"/>
          <w:highlight w:val="green"/>
        </w:rPr>
        <w:t>Implementation</w:t>
      </w:r>
      <w:r w:rsidRPr="002F6432">
        <w:rPr>
          <w:rFonts w:ascii="Arial"/>
          <w:spacing w:val="8"/>
          <w:sz w:val="18"/>
          <w:highlight w:val="green"/>
        </w:rPr>
        <w:t xml:space="preserve"> </w:t>
      </w:r>
      <w:r w:rsidRPr="002F6432">
        <w:rPr>
          <w:rFonts w:ascii="Arial"/>
          <w:spacing w:val="-1"/>
          <w:sz w:val="18"/>
          <w:highlight w:val="green"/>
        </w:rPr>
        <w:t>Plan.</w:t>
      </w:r>
      <w:r w:rsidRPr="002F6432">
        <w:rPr>
          <w:rFonts w:ascii="Arial"/>
          <w:spacing w:val="7"/>
          <w:sz w:val="18"/>
          <w:highlight w:val="green"/>
        </w:rPr>
        <w:t xml:space="preserve"> </w:t>
      </w:r>
      <w:r w:rsidRPr="002F6432">
        <w:rPr>
          <w:rFonts w:ascii="Arial"/>
          <w:sz w:val="18"/>
          <w:highlight w:val="green"/>
        </w:rPr>
        <w:t>An</w:t>
      </w:r>
      <w:r w:rsidRPr="002F6432">
        <w:rPr>
          <w:rFonts w:ascii="Arial"/>
          <w:spacing w:val="8"/>
          <w:sz w:val="18"/>
          <w:highlight w:val="green"/>
        </w:rPr>
        <w:t xml:space="preserve"> </w:t>
      </w:r>
      <w:r w:rsidRPr="002F6432">
        <w:rPr>
          <w:rFonts w:ascii="Arial"/>
          <w:spacing w:val="-1"/>
          <w:sz w:val="18"/>
          <w:highlight w:val="green"/>
        </w:rPr>
        <w:t>Implementation</w:t>
      </w:r>
      <w:r w:rsidRPr="002F6432">
        <w:rPr>
          <w:rFonts w:ascii="Arial"/>
          <w:spacing w:val="77"/>
          <w:sz w:val="18"/>
          <w:highlight w:val="green"/>
        </w:rPr>
        <w:t xml:space="preserve"> </w:t>
      </w:r>
      <w:r w:rsidRPr="002F6432">
        <w:rPr>
          <w:rFonts w:ascii="Arial"/>
          <w:sz w:val="18"/>
          <w:highlight w:val="green"/>
        </w:rPr>
        <w:t>Plan</w:t>
      </w:r>
      <w:r w:rsidRPr="002F6432">
        <w:rPr>
          <w:rFonts w:ascii="Arial"/>
          <w:spacing w:val="20"/>
          <w:sz w:val="18"/>
          <w:highlight w:val="green"/>
        </w:rPr>
        <w:t xml:space="preserve"> </w:t>
      </w:r>
      <w:r w:rsidRPr="002F6432">
        <w:rPr>
          <w:rFonts w:ascii="Arial"/>
          <w:spacing w:val="-1"/>
          <w:sz w:val="18"/>
          <w:highlight w:val="green"/>
        </w:rPr>
        <w:t>will</w:t>
      </w:r>
      <w:r w:rsidRPr="002F6432">
        <w:rPr>
          <w:rFonts w:ascii="Arial"/>
          <w:spacing w:val="18"/>
          <w:sz w:val="18"/>
          <w:highlight w:val="green"/>
        </w:rPr>
        <w:t xml:space="preserve"> </w:t>
      </w:r>
      <w:r w:rsidRPr="002F6432">
        <w:rPr>
          <w:rFonts w:ascii="Arial"/>
          <w:sz w:val="18"/>
          <w:highlight w:val="green"/>
        </w:rPr>
        <w:t>not</w:t>
      </w:r>
      <w:r w:rsidRPr="002F6432">
        <w:rPr>
          <w:rFonts w:ascii="Arial"/>
          <w:spacing w:val="17"/>
          <w:sz w:val="18"/>
          <w:highlight w:val="green"/>
        </w:rPr>
        <w:t xml:space="preserve"> </w:t>
      </w:r>
      <w:r w:rsidRPr="002F6432">
        <w:rPr>
          <w:rFonts w:ascii="Arial"/>
          <w:sz w:val="18"/>
          <w:highlight w:val="green"/>
        </w:rPr>
        <w:t>be</w:t>
      </w:r>
      <w:r w:rsidRPr="002F6432">
        <w:rPr>
          <w:rFonts w:ascii="Arial"/>
          <w:spacing w:val="18"/>
          <w:sz w:val="18"/>
          <w:highlight w:val="green"/>
        </w:rPr>
        <w:t xml:space="preserve"> </w:t>
      </w:r>
      <w:r w:rsidRPr="002F6432">
        <w:rPr>
          <w:rFonts w:ascii="Arial"/>
          <w:spacing w:val="-1"/>
          <w:sz w:val="18"/>
          <w:highlight w:val="green"/>
        </w:rPr>
        <w:t>required</w:t>
      </w:r>
      <w:r w:rsidRPr="002F6432">
        <w:rPr>
          <w:rFonts w:ascii="Arial"/>
          <w:spacing w:val="20"/>
          <w:sz w:val="18"/>
          <w:highlight w:val="green"/>
        </w:rPr>
        <w:t xml:space="preserve"> </w:t>
      </w:r>
      <w:r w:rsidRPr="002F6432">
        <w:rPr>
          <w:rFonts w:ascii="Arial"/>
          <w:sz w:val="18"/>
          <w:highlight w:val="green"/>
        </w:rPr>
        <w:t>for</w:t>
      </w:r>
      <w:r w:rsidRPr="002F6432">
        <w:rPr>
          <w:rFonts w:ascii="Arial"/>
          <w:spacing w:val="17"/>
          <w:sz w:val="18"/>
          <w:highlight w:val="green"/>
        </w:rPr>
        <w:t xml:space="preserve"> </w:t>
      </w:r>
      <w:r w:rsidRPr="002F6432">
        <w:rPr>
          <w:rFonts w:ascii="Arial"/>
          <w:spacing w:val="-1"/>
          <w:sz w:val="18"/>
          <w:highlight w:val="green"/>
        </w:rPr>
        <w:t>all</w:t>
      </w:r>
      <w:r w:rsidRPr="002F6432">
        <w:rPr>
          <w:rFonts w:ascii="Arial"/>
          <w:spacing w:val="18"/>
          <w:sz w:val="18"/>
          <w:highlight w:val="green"/>
        </w:rPr>
        <w:t xml:space="preserve"> </w:t>
      </w:r>
      <w:r w:rsidRPr="002F6432">
        <w:rPr>
          <w:rFonts w:ascii="Arial"/>
          <w:spacing w:val="-1"/>
          <w:sz w:val="18"/>
          <w:highlight w:val="green"/>
        </w:rPr>
        <w:t>contracts.</w:t>
      </w:r>
      <w:r w:rsidRPr="002F6432">
        <w:rPr>
          <w:rFonts w:ascii="Arial"/>
          <w:spacing w:val="19"/>
          <w:sz w:val="18"/>
          <w:highlight w:val="green"/>
        </w:rPr>
        <w:t xml:space="preserve"> </w:t>
      </w:r>
      <w:r w:rsidRPr="002F6432">
        <w:rPr>
          <w:rFonts w:ascii="Arial"/>
          <w:spacing w:val="-1"/>
          <w:sz w:val="18"/>
          <w:highlight w:val="green"/>
        </w:rPr>
        <w:t>The</w:t>
      </w:r>
      <w:r w:rsidRPr="002F6432">
        <w:rPr>
          <w:rFonts w:ascii="Arial"/>
          <w:spacing w:val="18"/>
          <w:sz w:val="18"/>
          <w:highlight w:val="green"/>
        </w:rPr>
        <w:t xml:space="preserve"> </w:t>
      </w:r>
      <w:r w:rsidRPr="002F6432">
        <w:rPr>
          <w:rFonts w:ascii="Arial"/>
          <w:spacing w:val="-1"/>
          <w:sz w:val="18"/>
          <w:highlight w:val="green"/>
        </w:rPr>
        <w:t>higher</w:t>
      </w:r>
      <w:r w:rsidRPr="002F6432">
        <w:rPr>
          <w:rFonts w:ascii="Arial"/>
          <w:spacing w:val="17"/>
          <w:sz w:val="18"/>
          <w:highlight w:val="green"/>
        </w:rPr>
        <w:t xml:space="preserve"> </w:t>
      </w:r>
      <w:r w:rsidRPr="002F6432">
        <w:rPr>
          <w:rFonts w:ascii="Arial"/>
          <w:sz w:val="18"/>
          <w:highlight w:val="green"/>
        </w:rPr>
        <w:t>the</w:t>
      </w:r>
      <w:r w:rsidRPr="002F6432">
        <w:rPr>
          <w:rFonts w:ascii="Arial"/>
          <w:spacing w:val="18"/>
          <w:sz w:val="18"/>
          <w:highlight w:val="green"/>
        </w:rPr>
        <w:t xml:space="preserve"> </w:t>
      </w:r>
      <w:r w:rsidRPr="002F6432">
        <w:rPr>
          <w:rFonts w:ascii="Arial"/>
          <w:spacing w:val="-1"/>
          <w:sz w:val="18"/>
          <w:highlight w:val="green"/>
        </w:rPr>
        <w:t>value,</w:t>
      </w:r>
      <w:r w:rsidRPr="002F6432">
        <w:rPr>
          <w:rFonts w:ascii="Arial"/>
          <w:spacing w:val="17"/>
          <w:sz w:val="18"/>
          <w:highlight w:val="green"/>
        </w:rPr>
        <w:t xml:space="preserve"> </w:t>
      </w:r>
      <w:r w:rsidRPr="002F6432">
        <w:rPr>
          <w:rFonts w:ascii="Arial"/>
          <w:spacing w:val="-1"/>
          <w:sz w:val="18"/>
          <w:highlight w:val="green"/>
        </w:rPr>
        <w:t>complexity</w:t>
      </w:r>
      <w:r w:rsidRPr="002F6432">
        <w:rPr>
          <w:rFonts w:ascii="Arial"/>
          <w:spacing w:val="18"/>
          <w:sz w:val="18"/>
          <w:highlight w:val="green"/>
        </w:rPr>
        <w:t xml:space="preserve"> </w:t>
      </w:r>
      <w:r w:rsidRPr="002F6432">
        <w:rPr>
          <w:rFonts w:ascii="Arial"/>
          <w:sz w:val="18"/>
          <w:highlight w:val="green"/>
        </w:rPr>
        <w:t>or</w:t>
      </w:r>
      <w:r w:rsidRPr="002F6432">
        <w:rPr>
          <w:rFonts w:ascii="Arial"/>
          <w:spacing w:val="19"/>
          <w:sz w:val="18"/>
          <w:highlight w:val="green"/>
        </w:rPr>
        <w:t xml:space="preserve"> </w:t>
      </w:r>
      <w:r w:rsidRPr="002F6432">
        <w:rPr>
          <w:rFonts w:ascii="Arial"/>
          <w:spacing w:val="-1"/>
          <w:sz w:val="18"/>
          <w:highlight w:val="green"/>
        </w:rPr>
        <w:t>importance</w:t>
      </w:r>
      <w:r w:rsidRPr="002F6432">
        <w:rPr>
          <w:rFonts w:ascii="Arial"/>
          <w:spacing w:val="18"/>
          <w:sz w:val="18"/>
          <w:highlight w:val="green"/>
        </w:rPr>
        <w:t xml:space="preserve"> </w:t>
      </w:r>
      <w:r w:rsidRPr="002F6432">
        <w:rPr>
          <w:rFonts w:ascii="Arial"/>
          <w:sz w:val="18"/>
          <w:highlight w:val="green"/>
        </w:rPr>
        <w:t>of</w:t>
      </w:r>
      <w:r w:rsidRPr="002F6432">
        <w:rPr>
          <w:rFonts w:ascii="Arial"/>
          <w:spacing w:val="20"/>
          <w:sz w:val="18"/>
          <w:highlight w:val="green"/>
        </w:rPr>
        <w:t xml:space="preserve"> </w:t>
      </w:r>
      <w:r w:rsidRPr="002F6432">
        <w:rPr>
          <w:rFonts w:ascii="Arial"/>
          <w:spacing w:val="-1"/>
          <w:sz w:val="18"/>
          <w:highlight w:val="green"/>
        </w:rPr>
        <w:t>the</w:t>
      </w:r>
      <w:r w:rsidRPr="002F6432">
        <w:rPr>
          <w:rFonts w:ascii="Arial"/>
          <w:spacing w:val="17"/>
          <w:sz w:val="18"/>
          <w:highlight w:val="green"/>
        </w:rPr>
        <w:t xml:space="preserve"> </w:t>
      </w:r>
      <w:r w:rsidRPr="002F6432">
        <w:rPr>
          <w:rFonts w:ascii="Arial"/>
          <w:spacing w:val="-1"/>
          <w:sz w:val="18"/>
          <w:highlight w:val="green"/>
        </w:rPr>
        <w:t>contract,</w:t>
      </w:r>
      <w:r w:rsidRPr="002F6432">
        <w:rPr>
          <w:rFonts w:ascii="Arial"/>
          <w:spacing w:val="20"/>
          <w:sz w:val="18"/>
          <w:highlight w:val="green"/>
        </w:rPr>
        <w:t xml:space="preserve"> </w:t>
      </w:r>
      <w:r w:rsidRPr="002F6432">
        <w:rPr>
          <w:rFonts w:ascii="Arial"/>
          <w:spacing w:val="-2"/>
          <w:sz w:val="18"/>
          <w:highlight w:val="green"/>
        </w:rPr>
        <w:t>the</w:t>
      </w:r>
      <w:r w:rsidRPr="002F6432">
        <w:rPr>
          <w:rFonts w:ascii="Arial"/>
          <w:spacing w:val="85"/>
          <w:sz w:val="18"/>
          <w:highlight w:val="green"/>
        </w:rPr>
        <w:t xml:space="preserve"> </w:t>
      </w:r>
      <w:r w:rsidRPr="002F6432">
        <w:rPr>
          <w:rFonts w:ascii="Arial"/>
          <w:sz w:val="18"/>
          <w:highlight w:val="green"/>
        </w:rPr>
        <w:t>more</w:t>
      </w:r>
      <w:r w:rsidRPr="002F6432">
        <w:rPr>
          <w:rFonts w:ascii="Arial"/>
          <w:spacing w:val="-2"/>
          <w:sz w:val="18"/>
          <w:highlight w:val="green"/>
        </w:rPr>
        <w:t xml:space="preserve"> </w:t>
      </w:r>
      <w:r w:rsidRPr="002F6432">
        <w:rPr>
          <w:rFonts w:ascii="Arial"/>
          <w:spacing w:val="-1"/>
          <w:sz w:val="18"/>
          <w:highlight w:val="green"/>
        </w:rPr>
        <w:t>likely that</w:t>
      </w:r>
      <w:r w:rsidRPr="002F6432">
        <w:rPr>
          <w:rFonts w:ascii="Arial"/>
          <w:sz w:val="18"/>
          <w:highlight w:val="green"/>
        </w:rPr>
        <w:t xml:space="preserve"> an</w:t>
      </w:r>
      <w:r w:rsidRPr="002F6432">
        <w:rPr>
          <w:rFonts w:ascii="Arial"/>
          <w:spacing w:val="-2"/>
          <w:sz w:val="18"/>
          <w:highlight w:val="green"/>
        </w:rPr>
        <w:t xml:space="preserve"> </w:t>
      </w:r>
      <w:r w:rsidRPr="002F6432">
        <w:rPr>
          <w:rFonts w:ascii="Arial"/>
          <w:spacing w:val="-1"/>
          <w:sz w:val="18"/>
          <w:highlight w:val="green"/>
        </w:rPr>
        <w:t>Implementation</w:t>
      </w:r>
      <w:r w:rsidRPr="002F6432">
        <w:rPr>
          <w:rFonts w:ascii="Arial"/>
          <w:spacing w:val="1"/>
          <w:sz w:val="18"/>
          <w:highlight w:val="green"/>
        </w:rPr>
        <w:t xml:space="preserve"> </w:t>
      </w:r>
      <w:r w:rsidRPr="002F6432">
        <w:rPr>
          <w:rFonts w:ascii="Arial"/>
          <w:spacing w:val="-1"/>
          <w:sz w:val="18"/>
          <w:highlight w:val="green"/>
        </w:rPr>
        <w:t>Plan</w:t>
      </w:r>
      <w:r w:rsidRPr="002F6432">
        <w:rPr>
          <w:rFonts w:ascii="Arial"/>
          <w:spacing w:val="-2"/>
          <w:sz w:val="18"/>
          <w:highlight w:val="green"/>
        </w:rPr>
        <w:t xml:space="preserve"> </w:t>
      </w:r>
      <w:r w:rsidRPr="002F6432">
        <w:rPr>
          <w:rFonts w:ascii="Arial"/>
          <w:spacing w:val="-1"/>
          <w:sz w:val="18"/>
          <w:highlight w:val="green"/>
        </w:rPr>
        <w:t>should</w:t>
      </w:r>
      <w:r w:rsidRPr="002F6432">
        <w:rPr>
          <w:rFonts w:ascii="Arial"/>
          <w:spacing w:val="-2"/>
          <w:sz w:val="18"/>
          <w:highlight w:val="green"/>
        </w:rPr>
        <w:t xml:space="preserve"> </w:t>
      </w:r>
      <w:r w:rsidRPr="002F6432">
        <w:rPr>
          <w:rFonts w:ascii="Arial"/>
          <w:sz w:val="18"/>
          <w:highlight w:val="green"/>
        </w:rPr>
        <w:t>be</w:t>
      </w:r>
      <w:r w:rsidRPr="002F6432">
        <w:rPr>
          <w:rFonts w:ascii="Arial"/>
          <w:spacing w:val="1"/>
          <w:sz w:val="18"/>
          <w:highlight w:val="green"/>
        </w:rPr>
        <w:t xml:space="preserve"> </w:t>
      </w:r>
      <w:r w:rsidRPr="002F6432">
        <w:rPr>
          <w:rFonts w:ascii="Arial"/>
          <w:spacing w:val="-1"/>
          <w:sz w:val="18"/>
          <w:highlight w:val="green"/>
        </w:rPr>
        <w:t>incorporated</w:t>
      </w:r>
      <w:r w:rsidRPr="002F6432">
        <w:rPr>
          <w:rFonts w:ascii="Arial"/>
          <w:sz w:val="18"/>
          <w:highlight w:val="green"/>
        </w:rPr>
        <w:t>]</w:t>
      </w:r>
    </w:p>
    <w:p w:rsidR="008918FA" w:rsidRDefault="008918FA" w:rsidP="008918FA">
      <w:pPr>
        <w:spacing w:before="10"/>
        <w:rPr>
          <w:rFonts w:ascii="Arial" w:eastAsia="Arial" w:hAnsi="Arial" w:cs="Arial"/>
          <w:sz w:val="8"/>
          <w:szCs w:val="8"/>
        </w:rPr>
      </w:pPr>
    </w:p>
    <w:p w:rsidR="00B07633" w:rsidRDefault="00B07633" w:rsidP="002F6432">
      <w:pPr>
        <w:spacing w:line="248" w:lineRule="exact"/>
        <w:ind w:left="233" w:right="-1" w:firstLine="720"/>
        <w:rPr>
          <w:rFonts w:ascii="Arial"/>
          <w:highlight w:val="yellow"/>
        </w:rPr>
      </w:pPr>
    </w:p>
    <w:p w:rsidR="002F6432" w:rsidRDefault="002F6432" w:rsidP="002F6432">
      <w:pPr>
        <w:spacing w:line="248" w:lineRule="exact"/>
        <w:ind w:left="233" w:right="-1" w:firstLine="720"/>
        <w:rPr>
          <w:rFonts w:ascii="Arial" w:eastAsia="Arial" w:hAnsi="Arial" w:cs="Arial"/>
          <w:sz w:val="14"/>
          <w:szCs w:val="14"/>
        </w:rPr>
      </w:pPr>
      <w:r w:rsidRPr="002F6432">
        <w:rPr>
          <w:rFonts w:ascii="Arial"/>
          <w:highlight w:val="yellow"/>
        </w:rPr>
        <w:lastRenderedPageBreak/>
        <w:t>[In</w:t>
      </w:r>
      <w:r w:rsidRPr="002F6432">
        <w:rPr>
          <w:rFonts w:ascii="Arial"/>
          <w:spacing w:val="-3"/>
          <w:highlight w:val="yellow"/>
        </w:rPr>
        <w:t xml:space="preserve"> </w:t>
      </w:r>
      <w:r w:rsidRPr="002F6432">
        <w:rPr>
          <w:rFonts w:ascii="Arial"/>
          <w:spacing w:val="-2"/>
          <w:highlight w:val="yellow"/>
        </w:rPr>
        <w:t>Call</w:t>
      </w:r>
      <w:r w:rsidRPr="002F6432">
        <w:rPr>
          <w:rFonts w:ascii="Arial"/>
          <w:highlight w:val="yellow"/>
        </w:rPr>
        <w:t xml:space="preserve"> </w:t>
      </w:r>
      <w:r w:rsidRPr="002F6432">
        <w:rPr>
          <w:rFonts w:ascii="Arial"/>
          <w:spacing w:val="-1"/>
          <w:highlight w:val="yellow"/>
        </w:rPr>
        <w:t>Off</w:t>
      </w:r>
      <w:r w:rsidRPr="002F6432">
        <w:rPr>
          <w:rFonts w:ascii="Arial"/>
          <w:spacing w:val="2"/>
          <w:highlight w:val="yellow"/>
        </w:rPr>
        <w:t xml:space="preserve"> </w:t>
      </w:r>
      <w:r w:rsidRPr="002F6432">
        <w:rPr>
          <w:rFonts w:ascii="Arial"/>
          <w:spacing w:val="-2"/>
          <w:highlight w:val="yellow"/>
        </w:rPr>
        <w:t>Schedule</w:t>
      </w:r>
      <w:r w:rsidRPr="002F6432">
        <w:rPr>
          <w:rFonts w:ascii="Arial"/>
          <w:highlight w:val="yellow"/>
        </w:rPr>
        <w:t xml:space="preserve"> 7</w:t>
      </w:r>
      <w:r w:rsidRPr="002F6432">
        <w:rPr>
          <w:rFonts w:ascii="Arial"/>
          <w:spacing w:val="-3"/>
          <w:highlight w:val="yellow"/>
        </w:rPr>
        <w:t xml:space="preserve"> </w:t>
      </w:r>
      <w:r w:rsidRPr="002F6432">
        <w:rPr>
          <w:rFonts w:ascii="Arial"/>
          <w:spacing w:val="-1"/>
          <w:highlight w:val="yellow"/>
        </w:rPr>
        <w:t>(Standards)]</w:t>
      </w:r>
      <w:r w:rsidRPr="002F6432">
        <w:rPr>
          <w:rFonts w:ascii="Arial"/>
          <w:spacing w:val="9"/>
          <w:highlight w:val="yellow"/>
        </w:rPr>
        <w:t xml:space="preserve"> </w:t>
      </w:r>
      <w:hyperlink w:anchor="_bookmark13" w:history="1">
        <w:r w:rsidRPr="002F6432">
          <w:rPr>
            <w:rFonts w:ascii="Arial"/>
            <w:b/>
            <w:spacing w:val="-1"/>
            <w:position w:val="10"/>
            <w:sz w:val="14"/>
            <w:highlight w:val="yellow"/>
          </w:rPr>
          <w:t>14</w:t>
        </w:r>
      </w:hyperlink>
    </w:p>
    <w:p w:rsidR="008918FA" w:rsidRDefault="008918FA" w:rsidP="008918FA">
      <w:pPr>
        <w:spacing w:before="1"/>
        <w:rPr>
          <w:rFonts w:ascii="Arial" w:eastAsia="Arial" w:hAnsi="Arial" w:cs="Arial"/>
          <w:sz w:val="7"/>
          <w:szCs w:val="7"/>
        </w:rPr>
      </w:pPr>
    </w:p>
    <w:p w:rsidR="008918FA" w:rsidRPr="002F6432" w:rsidRDefault="008918FA" w:rsidP="008918FA">
      <w:pPr>
        <w:pStyle w:val="Heading1"/>
        <w:numPr>
          <w:ilvl w:val="1"/>
          <w:numId w:val="74"/>
        </w:numPr>
        <w:tabs>
          <w:tab w:val="left" w:pos="954"/>
        </w:tabs>
        <w:spacing w:before="115"/>
        <w:ind w:left="953" w:hanging="566"/>
        <w:rPr>
          <w:b w:val="0"/>
          <w:bCs w:val="0"/>
        </w:rPr>
      </w:pPr>
      <w:r>
        <w:rPr>
          <w:spacing w:val="-1"/>
        </w:rPr>
        <w:t>Service</w:t>
      </w:r>
      <w:r>
        <w:t xml:space="preserve"> </w:t>
      </w:r>
      <w:r>
        <w:rPr>
          <w:spacing w:val="-1"/>
        </w:rPr>
        <w:t>Levels</w:t>
      </w:r>
      <w:r>
        <w:t xml:space="preserve"> </w:t>
      </w:r>
      <w:r>
        <w:rPr>
          <w:spacing w:val="-1"/>
        </w:rPr>
        <w:t>and</w:t>
      </w:r>
      <w:r>
        <w:t xml:space="preserve"> </w:t>
      </w:r>
      <w:r>
        <w:rPr>
          <w:spacing w:val="-1"/>
        </w:rPr>
        <w:t>Service</w:t>
      </w:r>
      <w:r>
        <w:t xml:space="preserve"> </w:t>
      </w:r>
      <w:r>
        <w:rPr>
          <w:spacing w:val="-1"/>
        </w:rPr>
        <w:t>Credits</w:t>
      </w:r>
    </w:p>
    <w:p w:rsidR="002F6432" w:rsidRPr="002F6432" w:rsidRDefault="002F6432" w:rsidP="002F6432">
      <w:pPr>
        <w:pStyle w:val="Heading1"/>
        <w:tabs>
          <w:tab w:val="left" w:pos="954"/>
        </w:tabs>
        <w:spacing w:before="115"/>
        <w:ind w:left="953" w:firstLine="0"/>
        <w:rPr>
          <w:b w:val="0"/>
          <w:bCs w:val="0"/>
        </w:rPr>
      </w:pPr>
      <w:r>
        <w:rPr>
          <w:spacing w:val="-1"/>
        </w:rPr>
        <w:tab/>
      </w:r>
      <w:r w:rsidRPr="002F6432">
        <w:rPr>
          <w:b w:val="0"/>
          <w:spacing w:val="-1"/>
          <w:highlight w:val="yellow"/>
        </w:rPr>
        <w:t>[In Part A of Call Off Schedule 6 (Service Levels, Service Credits and Performance Monitoring)]</w:t>
      </w:r>
      <w:r w:rsidRPr="002F6432">
        <w:rPr>
          <w:b w:val="0"/>
          <w:highlight w:val="yellow"/>
        </w:rPr>
        <w:t xml:space="preserve"> </w:t>
      </w:r>
      <w:hyperlink w:anchor="_bookmark13" w:history="1">
        <w:r w:rsidRPr="002F6432">
          <w:rPr>
            <w:b w:val="0"/>
            <w:spacing w:val="-1"/>
            <w:position w:val="10"/>
            <w:sz w:val="14"/>
            <w:highlight w:val="yellow"/>
          </w:rPr>
          <w:t>15</w:t>
        </w:r>
      </w:hyperlink>
    </w:p>
    <w:p w:rsidR="008918FA" w:rsidRDefault="008918FA" w:rsidP="008918FA">
      <w:pPr>
        <w:spacing w:before="11"/>
        <w:rPr>
          <w:rFonts w:ascii="Arial" w:eastAsia="Arial" w:hAnsi="Arial" w:cs="Arial"/>
          <w:b/>
          <w:bCs/>
          <w:sz w:val="10"/>
          <w:szCs w:val="10"/>
        </w:rPr>
      </w:pPr>
    </w:p>
    <w:p w:rsidR="008918FA" w:rsidRPr="002F6432" w:rsidRDefault="008918FA" w:rsidP="008918FA">
      <w:pPr>
        <w:numPr>
          <w:ilvl w:val="1"/>
          <w:numId w:val="74"/>
        </w:numPr>
        <w:tabs>
          <w:tab w:val="left" w:pos="954"/>
        </w:tabs>
        <w:spacing w:before="115"/>
        <w:ind w:left="953" w:hanging="566"/>
        <w:rPr>
          <w:rFonts w:ascii="Arial" w:eastAsia="Arial" w:hAnsi="Arial" w:cs="Arial"/>
        </w:rPr>
      </w:pPr>
      <w:r>
        <w:rPr>
          <w:rFonts w:ascii="Arial"/>
          <w:b/>
          <w:spacing w:val="-1"/>
        </w:rPr>
        <w:t>Critical</w:t>
      </w:r>
      <w:r>
        <w:rPr>
          <w:rFonts w:ascii="Arial"/>
          <w:b/>
        </w:rPr>
        <w:t xml:space="preserve"> </w:t>
      </w:r>
      <w:r>
        <w:rPr>
          <w:rFonts w:ascii="Arial"/>
          <w:b/>
          <w:spacing w:val="-1"/>
        </w:rPr>
        <w:t>Service</w:t>
      </w:r>
      <w:r>
        <w:rPr>
          <w:rFonts w:ascii="Arial"/>
          <w:b/>
        </w:rPr>
        <w:t xml:space="preserve"> </w:t>
      </w:r>
      <w:r>
        <w:rPr>
          <w:rFonts w:ascii="Arial"/>
          <w:b/>
          <w:spacing w:val="-2"/>
        </w:rPr>
        <w:t>Level</w:t>
      </w:r>
      <w:r>
        <w:rPr>
          <w:rFonts w:ascii="Arial"/>
          <w:b/>
          <w:spacing w:val="2"/>
        </w:rPr>
        <w:t xml:space="preserve"> </w:t>
      </w:r>
      <w:r>
        <w:rPr>
          <w:rFonts w:ascii="Arial"/>
          <w:b/>
          <w:spacing w:val="-1"/>
        </w:rPr>
        <w:t>Failure</w:t>
      </w:r>
    </w:p>
    <w:p w:rsidR="008918FA" w:rsidRPr="002F6432" w:rsidRDefault="002F6432" w:rsidP="002F6432">
      <w:pPr>
        <w:pStyle w:val="Heading1"/>
        <w:tabs>
          <w:tab w:val="left" w:pos="954"/>
        </w:tabs>
        <w:spacing w:before="115"/>
        <w:ind w:left="953" w:firstLine="0"/>
        <w:rPr>
          <w:b w:val="0"/>
          <w:bCs w:val="0"/>
        </w:rPr>
      </w:pPr>
      <w:r w:rsidRPr="007929F1">
        <w:rPr>
          <w:b w:val="0"/>
          <w:spacing w:val="-1"/>
          <w:highlight w:val="yellow"/>
        </w:rPr>
        <w:t>In Annex 2 to Part A of Call Off Schedule 6 (Service Levels, Service Credits and Performance Monitoring)]</w:t>
      </w:r>
      <w:r w:rsidRPr="007929F1">
        <w:rPr>
          <w:b w:val="0"/>
          <w:highlight w:val="yellow"/>
        </w:rPr>
        <w:t xml:space="preserve"> </w:t>
      </w:r>
      <w:hyperlink w:anchor="_bookmark13" w:history="1">
        <w:r w:rsidRPr="007929F1">
          <w:rPr>
            <w:b w:val="0"/>
            <w:spacing w:val="-1"/>
            <w:position w:val="10"/>
            <w:sz w:val="14"/>
            <w:highlight w:val="yellow"/>
          </w:rPr>
          <w:t>16</w:t>
        </w:r>
      </w:hyperlink>
    </w:p>
    <w:p w:rsidR="008918FA" w:rsidRPr="002F6432" w:rsidRDefault="008918FA" w:rsidP="008918FA">
      <w:pPr>
        <w:numPr>
          <w:ilvl w:val="1"/>
          <w:numId w:val="74"/>
        </w:numPr>
        <w:tabs>
          <w:tab w:val="left" w:pos="954"/>
        </w:tabs>
        <w:spacing w:before="115"/>
        <w:ind w:left="953" w:hanging="566"/>
        <w:rPr>
          <w:rFonts w:ascii="Arial" w:eastAsia="Arial" w:hAnsi="Arial" w:cs="Arial"/>
        </w:rPr>
      </w:pPr>
      <w:r>
        <w:rPr>
          <w:rFonts w:ascii="Arial"/>
          <w:b/>
          <w:spacing w:val="-1"/>
        </w:rPr>
        <w:t>Business</w:t>
      </w:r>
      <w:r>
        <w:rPr>
          <w:rFonts w:ascii="Arial"/>
          <w:b/>
        </w:rPr>
        <w:t xml:space="preserve"> </w:t>
      </w:r>
      <w:r>
        <w:rPr>
          <w:rFonts w:ascii="Arial"/>
          <w:b/>
          <w:spacing w:val="-1"/>
        </w:rPr>
        <w:t>Continuity</w:t>
      </w:r>
      <w:r>
        <w:rPr>
          <w:rFonts w:ascii="Arial"/>
          <w:b/>
          <w:spacing w:val="-4"/>
        </w:rPr>
        <w:t xml:space="preserve"> </w:t>
      </w:r>
      <w:r>
        <w:rPr>
          <w:rFonts w:ascii="Arial"/>
          <w:b/>
        </w:rPr>
        <w:t xml:space="preserve">and </w:t>
      </w:r>
      <w:r>
        <w:rPr>
          <w:rFonts w:ascii="Arial"/>
          <w:b/>
          <w:spacing w:val="-1"/>
        </w:rPr>
        <w:t>Disaster</w:t>
      </w:r>
      <w:r>
        <w:rPr>
          <w:rFonts w:ascii="Arial"/>
          <w:b/>
          <w:spacing w:val="1"/>
        </w:rPr>
        <w:t xml:space="preserve"> </w:t>
      </w:r>
      <w:r>
        <w:rPr>
          <w:rFonts w:ascii="Arial"/>
          <w:b/>
          <w:spacing w:val="-1"/>
        </w:rPr>
        <w:t>Recovery</w:t>
      </w:r>
    </w:p>
    <w:p w:rsidR="008918FA" w:rsidRPr="002F6432" w:rsidRDefault="002F6432" w:rsidP="002F6432">
      <w:pPr>
        <w:tabs>
          <w:tab w:val="left" w:pos="954"/>
        </w:tabs>
        <w:spacing w:before="115"/>
        <w:rPr>
          <w:rFonts w:ascii="Arial" w:eastAsia="Arial" w:hAnsi="Arial" w:cs="Arial"/>
        </w:rPr>
      </w:pPr>
      <w:r>
        <w:rPr>
          <w:rFonts w:ascii="Arial" w:eastAsia="Arial" w:hAnsi="Arial" w:cs="Arial"/>
        </w:rPr>
        <w:tab/>
      </w:r>
      <w:r w:rsidRPr="002F6432">
        <w:rPr>
          <w:rFonts w:ascii="Arial"/>
          <w:highlight w:val="yellow"/>
        </w:rPr>
        <w:t>In</w:t>
      </w:r>
      <w:r w:rsidRPr="002F6432">
        <w:rPr>
          <w:rFonts w:ascii="Arial"/>
          <w:spacing w:val="-3"/>
          <w:highlight w:val="yellow"/>
        </w:rPr>
        <w:t xml:space="preserve"> </w:t>
      </w:r>
      <w:r w:rsidRPr="002F6432">
        <w:rPr>
          <w:rFonts w:ascii="Arial"/>
          <w:spacing w:val="-2"/>
          <w:highlight w:val="yellow"/>
        </w:rPr>
        <w:t>Call</w:t>
      </w:r>
      <w:r w:rsidRPr="002F6432">
        <w:rPr>
          <w:rFonts w:ascii="Arial"/>
          <w:highlight w:val="yellow"/>
        </w:rPr>
        <w:t xml:space="preserve"> </w:t>
      </w:r>
      <w:r w:rsidRPr="002F6432">
        <w:rPr>
          <w:rFonts w:ascii="Arial"/>
          <w:spacing w:val="-1"/>
          <w:highlight w:val="yellow"/>
        </w:rPr>
        <w:t>Off</w:t>
      </w:r>
      <w:r w:rsidRPr="002F6432">
        <w:rPr>
          <w:rFonts w:ascii="Arial"/>
          <w:spacing w:val="2"/>
          <w:highlight w:val="yellow"/>
        </w:rPr>
        <w:t xml:space="preserve"> </w:t>
      </w:r>
      <w:r w:rsidRPr="002F6432">
        <w:rPr>
          <w:rFonts w:ascii="Arial"/>
          <w:spacing w:val="-2"/>
          <w:highlight w:val="yellow"/>
        </w:rPr>
        <w:t>Schedule</w:t>
      </w:r>
      <w:r w:rsidRPr="002F6432">
        <w:rPr>
          <w:rFonts w:ascii="Arial"/>
          <w:highlight w:val="yellow"/>
        </w:rPr>
        <w:t xml:space="preserve"> 9</w:t>
      </w:r>
      <w:r w:rsidRPr="002F6432">
        <w:rPr>
          <w:rFonts w:ascii="Arial"/>
          <w:spacing w:val="-2"/>
          <w:highlight w:val="yellow"/>
        </w:rPr>
        <w:t xml:space="preserve"> </w:t>
      </w:r>
      <w:r w:rsidRPr="002F6432">
        <w:rPr>
          <w:rFonts w:ascii="Arial"/>
          <w:spacing w:val="-1"/>
          <w:highlight w:val="yellow"/>
        </w:rPr>
        <w:t>(Business</w:t>
      </w:r>
      <w:r w:rsidRPr="002F6432">
        <w:rPr>
          <w:rFonts w:ascii="Arial"/>
          <w:spacing w:val="1"/>
          <w:highlight w:val="yellow"/>
        </w:rPr>
        <w:t xml:space="preserve"> </w:t>
      </w:r>
      <w:r w:rsidRPr="002F6432">
        <w:rPr>
          <w:rFonts w:ascii="Arial"/>
          <w:spacing w:val="-1"/>
          <w:highlight w:val="yellow"/>
        </w:rPr>
        <w:t>Continuity</w:t>
      </w:r>
      <w:r w:rsidRPr="002F6432">
        <w:rPr>
          <w:rFonts w:ascii="Arial"/>
          <w:spacing w:val="-3"/>
          <w:highlight w:val="yellow"/>
        </w:rPr>
        <w:t xml:space="preserve"> </w:t>
      </w:r>
      <w:r w:rsidRPr="002F6432">
        <w:rPr>
          <w:rFonts w:ascii="Arial"/>
          <w:spacing w:val="-1"/>
          <w:highlight w:val="yellow"/>
        </w:rPr>
        <w:t>and</w:t>
      </w:r>
      <w:r w:rsidRPr="002F6432">
        <w:rPr>
          <w:rFonts w:ascii="Arial"/>
          <w:spacing w:val="-2"/>
          <w:highlight w:val="yellow"/>
        </w:rPr>
        <w:t xml:space="preserve"> </w:t>
      </w:r>
      <w:r w:rsidRPr="002F6432">
        <w:rPr>
          <w:rFonts w:ascii="Arial"/>
          <w:spacing w:val="-1"/>
          <w:highlight w:val="yellow"/>
        </w:rPr>
        <w:t>Disaster</w:t>
      </w:r>
      <w:r w:rsidRPr="002F6432">
        <w:rPr>
          <w:rFonts w:ascii="Arial"/>
          <w:spacing w:val="2"/>
          <w:highlight w:val="yellow"/>
        </w:rPr>
        <w:t xml:space="preserve"> </w:t>
      </w:r>
      <w:r w:rsidRPr="002F6432">
        <w:rPr>
          <w:rFonts w:ascii="Arial"/>
          <w:spacing w:val="-2"/>
          <w:highlight w:val="yellow"/>
        </w:rPr>
        <w:t>Recovery)]</w:t>
      </w:r>
      <w:r w:rsidRPr="002F6432">
        <w:rPr>
          <w:rFonts w:ascii="Arial"/>
          <w:spacing w:val="10"/>
          <w:highlight w:val="yellow"/>
        </w:rPr>
        <w:t xml:space="preserve"> </w:t>
      </w:r>
      <w:hyperlink w:anchor="_bookmark16" w:history="1">
        <w:r w:rsidRPr="002F6432">
          <w:rPr>
            <w:rFonts w:ascii="Arial"/>
            <w:b/>
            <w:spacing w:val="-1"/>
            <w:position w:val="10"/>
            <w:sz w:val="14"/>
            <w:highlight w:val="yellow"/>
          </w:rPr>
          <w:t>17</w:t>
        </w:r>
      </w:hyperlink>
    </w:p>
    <w:p w:rsidR="008918FA" w:rsidRDefault="008918FA" w:rsidP="008918FA">
      <w:pPr>
        <w:spacing w:before="117"/>
        <w:ind w:left="953" w:right="113"/>
        <w:rPr>
          <w:rFonts w:ascii="Arial" w:eastAsia="Arial" w:hAnsi="Arial" w:cs="Arial"/>
        </w:rPr>
      </w:pPr>
      <w:r w:rsidRPr="00B07633">
        <w:rPr>
          <w:rFonts w:ascii="Arial" w:eastAsia="Arial" w:hAnsi="Arial" w:cs="Arial"/>
          <w:spacing w:val="-1"/>
          <w:highlight w:val="yellow"/>
        </w:rPr>
        <w:t>[For</w:t>
      </w:r>
      <w:r w:rsidRPr="00B07633">
        <w:rPr>
          <w:rFonts w:ascii="Arial" w:eastAsia="Arial" w:hAnsi="Arial" w:cs="Arial"/>
          <w:spacing w:val="6"/>
          <w:highlight w:val="yellow"/>
        </w:rPr>
        <w:t xml:space="preserve"> </w:t>
      </w:r>
      <w:r w:rsidRPr="00B07633">
        <w:rPr>
          <w:rFonts w:ascii="Arial" w:eastAsia="Arial" w:hAnsi="Arial" w:cs="Arial"/>
          <w:highlight w:val="yellow"/>
        </w:rPr>
        <w:t>the</w:t>
      </w:r>
      <w:r w:rsidRPr="00B07633">
        <w:rPr>
          <w:rFonts w:ascii="Arial" w:eastAsia="Arial" w:hAnsi="Arial" w:cs="Arial"/>
          <w:spacing w:val="7"/>
          <w:highlight w:val="yellow"/>
        </w:rPr>
        <w:t xml:space="preserve"> </w:t>
      </w:r>
      <w:r w:rsidRPr="00B07633">
        <w:rPr>
          <w:rFonts w:ascii="Arial" w:eastAsia="Arial" w:hAnsi="Arial" w:cs="Arial"/>
          <w:spacing w:val="-1"/>
          <w:highlight w:val="yellow"/>
        </w:rPr>
        <w:t>purposes</w:t>
      </w:r>
      <w:r w:rsidRPr="00B07633">
        <w:rPr>
          <w:rFonts w:ascii="Arial" w:eastAsia="Arial" w:hAnsi="Arial" w:cs="Arial"/>
          <w:spacing w:val="5"/>
          <w:highlight w:val="yellow"/>
        </w:rPr>
        <w:t xml:space="preserve"> </w:t>
      </w:r>
      <w:r w:rsidRPr="00B07633">
        <w:rPr>
          <w:rFonts w:ascii="Arial" w:eastAsia="Arial" w:hAnsi="Arial" w:cs="Arial"/>
          <w:spacing w:val="-2"/>
          <w:highlight w:val="yellow"/>
        </w:rPr>
        <w:t>of</w:t>
      </w:r>
      <w:r w:rsidRPr="00B07633">
        <w:rPr>
          <w:rFonts w:ascii="Arial" w:eastAsia="Arial" w:hAnsi="Arial" w:cs="Arial"/>
          <w:spacing w:val="9"/>
          <w:highlight w:val="yellow"/>
        </w:rPr>
        <w:t xml:space="preserve"> </w:t>
      </w:r>
      <w:r w:rsidRPr="00B07633">
        <w:rPr>
          <w:rFonts w:ascii="Arial" w:eastAsia="Arial" w:hAnsi="Arial" w:cs="Arial"/>
          <w:highlight w:val="yellow"/>
        </w:rPr>
        <w:t>the</w:t>
      </w:r>
      <w:r w:rsidRPr="00B07633">
        <w:rPr>
          <w:rFonts w:ascii="Arial" w:eastAsia="Arial" w:hAnsi="Arial" w:cs="Arial"/>
          <w:spacing w:val="3"/>
          <w:highlight w:val="yellow"/>
        </w:rPr>
        <w:t xml:space="preserve"> </w:t>
      </w:r>
      <w:r w:rsidRPr="00B07633">
        <w:rPr>
          <w:rFonts w:ascii="Arial" w:eastAsia="Arial" w:hAnsi="Arial" w:cs="Arial"/>
          <w:spacing w:val="-1"/>
          <w:highlight w:val="yellow"/>
        </w:rPr>
        <w:t>definition</w:t>
      </w:r>
      <w:r w:rsidRPr="00B07633">
        <w:rPr>
          <w:rFonts w:ascii="Arial" w:eastAsia="Arial" w:hAnsi="Arial" w:cs="Arial"/>
          <w:spacing w:val="7"/>
          <w:highlight w:val="yellow"/>
        </w:rPr>
        <w:t xml:space="preserve"> </w:t>
      </w:r>
      <w:r w:rsidRPr="00B07633">
        <w:rPr>
          <w:rFonts w:ascii="Arial" w:eastAsia="Arial" w:hAnsi="Arial" w:cs="Arial"/>
          <w:spacing w:val="-2"/>
          <w:highlight w:val="yellow"/>
        </w:rPr>
        <w:t>of</w:t>
      </w:r>
      <w:r w:rsidRPr="00B07633">
        <w:rPr>
          <w:rFonts w:ascii="Arial" w:eastAsia="Arial" w:hAnsi="Arial" w:cs="Arial"/>
          <w:spacing w:val="9"/>
          <w:highlight w:val="yellow"/>
        </w:rPr>
        <w:t xml:space="preserve"> </w:t>
      </w:r>
      <w:r w:rsidRPr="00B07633">
        <w:rPr>
          <w:rFonts w:ascii="Arial" w:eastAsia="Arial" w:hAnsi="Arial" w:cs="Arial"/>
          <w:spacing w:val="-1"/>
          <w:highlight w:val="yellow"/>
        </w:rPr>
        <w:t>“Disaster”</w:t>
      </w:r>
      <w:r w:rsidRPr="00B07633">
        <w:rPr>
          <w:rFonts w:ascii="Arial" w:eastAsia="Arial" w:hAnsi="Arial" w:cs="Arial"/>
          <w:spacing w:val="6"/>
          <w:highlight w:val="yellow"/>
        </w:rPr>
        <w:t xml:space="preserve"> </w:t>
      </w:r>
      <w:r w:rsidRPr="00B07633">
        <w:rPr>
          <w:rFonts w:ascii="Arial" w:eastAsia="Arial" w:hAnsi="Arial" w:cs="Arial"/>
          <w:spacing w:val="-1"/>
          <w:highlight w:val="yellow"/>
        </w:rPr>
        <w:t>in</w:t>
      </w:r>
      <w:r w:rsidRPr="00B07633">
        <w:rPr>
          <w:rFonts w:ascii="Arial" w:eastAsia="Arial" w:hAnsi="Arial" w:cs="Arial"/>
          <w:spacing w:val="7"/>
          <w:highlight w:val="yellow"/>
        </w:rPr>
        <w:t xml:space="preserve"> </w:t>
      </w:r>
      <w:r w:rsidRPr="00B07633">
        <w:rPr>
          <w:rFonts w:ascii="Arial" w:eastAsia="Arial" w:hAnsi="Arial" w:cs="Arial"/>
          <w:spacing w:val="-2"/>
          <w:highlight w:val="yellow"/>
        </w:rPr>
        <w:t>Call</w:t>
      </w:r>
      <w:r w:rsidRPr="00B07633">
        <w:rPr>
          <w:rFonts w:ascii="Arial" w:eastAsia="Arial" w:hAnsi="Arial" w:cs="Arial"/>
          <w:spacing w:val="7"/>
          <w:highlight w:val="yellow"/>
        </w:rPr>
        <w:t xml:space="preserve"> </w:t>
      </w:r>
      <w:r w:rsidRPr="00B07633">
        <w:rPr>
          <w:rFonts w:ascii="Arial" w:eastAsia="Arial" w:hAnsi="Arial" w:cs="Arial"/>
          <w:spacing w:val="-1"/>
          <w:highlight w:val="yellow"/>
        </w:rPr>
        <w:t>Off</w:t>
      </w:r>
      <w:r w:rsidRPr="00B07633">
        <w:rPr>
          <w:rFonts w:ascii="Arial" w:eastAsia="Arial" w:hAnsi="Arial" w:cs="Arial"/>
          <w:spacing w:val="9"/>
          <w:highlight w:val="yellow"/>
        </w:rPr>
        <w:t xml:space="preserve"> </w:t>
      </w:r>
      <w:r w:rsidRPr="00B07633">
        <w:rPr>
          <w:rFonts w:ascii="Arial" w:eastAsia="Arial" w:hAnsi="Arial" w:cs="Arial"/>
          <w:spacing w:val="-1"/>
          <w:highlight w:val="yellow"/>
        </w:rPr>
        <w:t>Schedule</w:t>
      </w:r>
      <w:r w:rsidRPr="00B07633">
        <w:rPr>
          <w:rFonts w:ascii="Arial" w:eastAsia="Arial" w:hAnsi="Arial" w:cs="Arial"/>
          <w:spacing w:val="7"/>
          <w:highlight w:val="yellow"/>
        </w:rPr>
        <w:t xml:space="preserve"> </w:t>
      </w:r>
      <w:r w:rsidRPr="00B07633">
        <w:rPr>
          <w:rFonts w:ascii="Arial" w:eastAsia="Arial" w:hAnsi="Arial" w:cs="Arial"/>
          <w:highlight w:val="yellow"/>
        </w:rPr>
        <w:t>1</w:t>
      </w:r>
      <w:r w:rsidRPr="00B07633">
        <w:rPr>
          <w:rFonts w:ascii="Arial" w:eastAsia="Arial" w:hAnsi="Arial" w:cs="Arial"/>
          <w:spacing w:val="5"/>
          <w:highlight w:val="yellow"/>
        </w:rPr>
        <w:t xml:space="preserve"> </w:t>
      </w:r>
      <w:r w:rsidRPr="00B07633">
        <w:rPr>
          <w:rFonts w:ascii="Arial" w:eastAsia="Arial" w:hAnsi="Arial" w:cs="Arial"/>
          <w:spacing w:val="-1"/>
          <w:highlight w:val="yellow"/>
        </w:rPr>
        <w:t>(Definitions)</w:t>
      </w:r>
      <w:r w:rsidRPr="00B07633">
        <w:rPr>
          <w:rFonts w:ascii="Arial" w:eastAsia="Arial" w:hAnsi="Arial" w:cs="Arial"/>
          <w:spacing w:val="33"/>
          <w:highlight w:val="yellow"/>
        </w:rPr>
        <w:t xml:space="preserve"> </w:t>
      </w:r>
      <w:r w:rsidRPr="00B07633">
        <w:rPr>
          <w:rFonts w:ascii="Arial" w:eastAsia="Arial" w:hAnsi="Arial" w:cs="Arial"/>
          <w:highlight w:val="yellow"/>
        </w:rPr>
        <w:t>the</w:t>
      </w:r>
      <w:r w:rsidRPr="00B07633">
        <w:rPr>
          <w:rFonts w:ascii="Arial" w:eastAsia="Arial" w:hAnsi="Arial" w:cs="Arial"/>
          <w:spacing w:val="-2"/>
          <w:highlight w:val="yellow"/>
        </w:rPr>
        <w:t xml:space="preserve"> </w:t>
      </w:r>
      <w:r w:rsidRPr="00B07633">
        <w:rPr>
          <w:rFonts w:ascii="Arial" w:eastAsia="Arial" w:hAnsi="Arial" w:cs="Arial"/>
          <w:spacing w:val="-1"/>
          <w:highlight w:val="yellow"/>
        </w:rPr>
        <w:t>“Disaster Period</w:t>
      </w:r>
      <w:r w:rsidRPr="00B07633">
        <w:rPr>
          <w:rFonts w:ascii="Arial" w:eastAsia="Arial" w:hAnsi="Arial" w:cs="Arial"/>
          <w:spacing w:val="-2"/>
          <w:highlight w:val="yellow"/>
        </w:rPr>
        <w:t xml:space="preserve"> </w:t>
      </w:r>
      <w:r w:rsidRPr="00B07633">
        <w:rPr>
          <w:rFonts w:ascii="Arial" w:eastAsia="Arial" w:hAnsi="Arial" w:cs="Arial"/>
          <w:spacing w:val="-1"/>
          <w:highlight w:val="yellow"/>
        </w:rPr>
        <w:t>shall</w:t>
      </w:r>
      <w:r w:rsidRPr="00B07633">
        <w:rPr>
          <w:rFonts w:ascii="Arial" w:eastAsia="Arial" w:hAnsi="Arial" w:cs="Arial"/>
          <w:highlight w:val="yellow"/>
        </w:rPr>
        <w:t xml:space="preserve"> </w:t>
      </w:r>
      <w:r w:rsidRPr="00B07633">
        <w:rPr>
          <w:rFonts w:ascii="Arial" w:eastAsia="Arial" w:hAnsi="Arial" w:cs="Arial"/>
          <w:spacing w:val="-1"/>
          <w:highlight w:val="yellow"/>
        </w:rPr>
        <w:t>be</w:t>
      </w:r>
      <w:r w:rsidRPr="00B07633">
        <w:rPr>
          <w:rFonts w:ascii="Arial" w:eastAsia="Arial" w:hAnsi="Arial" w:cs="Arial"/>
          <w:highlight w:val="yellow"/>
        </w:rPr>
        <w:t xml:space="preserve"> </w:t>
      </w:r>
      <w:r w:rsidRPr="00B07633">
        <w:rPr>
          <w:rFonts w:ascii="Arial" w:eastAsia="Arial" w:hAnsi="Arial" w:cs="Arial"/>
          <w:spacing w:val="-1"/>
          <w:highlight w:val="yellow"/>
        </w:rPr>
        <w:t>[</w:t>
      </w:r>
      <w:r w:rsidRPr="00B07633">
        <w:rPr>
          <w:rFonts w:ascii="Arial" w:eastAsia="Arial" w:hAnsi="Arial" w:cs="Arial"/>
          <w:i/>
          <w:spacing w:val="-1"/>
          <w:highlight w:val="yellow"/>
        </w:rPr>
        <w:t>insert</w:t>
      </w:r>
      <w:r w:rsidRPr="00B07633">
        <w:rPr>
          <w:rFonts w:ascii="Arial" w:eastAsia="Arial" w:hAnsi="Arial" w:cs="Arial"/>
          <w:i/>
          <w:highlight w:val="yellow"/>
        </w:rPr>
        <w:t xml:space="preserve"> </w:t>
      </w:r>
      <w:r w:rsidRPr="00B07633">
        <w:rPr>
          <w:rFonts w:ascii="Arial" w:eastAsia="Arial" w:hAnsi="Arial" w:cs="Arial"/>
          <w:i/>
          <w:spacing w:val="-1"/>
          <w:highlight w:val="yellow"/>
        </w:rPr>
        <w:t>an</w:t>
      </w:r>
      <w:r w:rsidRPr="00B07633">
        <w:rPr>
          <w:rFonts w:ascii="Arial" w:eastAsia="Arial" w:hAnsi="Arial" w:cs="Arial"/>
          <w:i/>
          <w:highlight w:val="yellow"/>
        </w:rPr>
        <w:t xml:space="preserve"> </w:t>
      </w:r>
      <w:r w:rsidRPr="00B07633">
        <w:rPr>
          <w:rFonts w:ascii="Arial" w:eastAsia="Arial" w:hAnsi="Arial" w:cs="Arial"/>
          <w:i/>
          <w:spacing w:val="-2"/>
          <w:highlight w:val="yellow"/>
        </w:rPr>
        <w:t>appropriate</w:t>
      </w:r>
      <w:r w:rsidRPr="00B07633">
        <w:rPr>
          <w:rFonts w:ascii="Arial" w:eastAsia="Arial" w:hAnsi="Arial" w:cs="Arial"/>
          <w:i/>
          <w:highlight w:val="yellow"/>
        </w:rPr>
        <w:t xml:space="preserve"> </w:t>
      </w:r>
      <w:r w:rsidRPr="00B07633">
        <w:rPr>
          <w:rFonts w:ascii="Arial" w:eastAsia="Arial" w:hAnsi="Arial" w:cs="Arial"/>
          <w:i/>
          <w:spacing w:val="-1"/>
          <w:highlight w:val="yellow"/>
        </w:rPr>
        <w:t>period</w:t>
      </w:r>
      <w:r w:rsidRPr="00B07633">
        <w:rPr>
          <w:rFonts w:ascii="Arial" w:eastAsia="Arial" w:hAnsi="Arial" w:cs="Arial"/>
          <w:i/>
          <w:highlight w:val="yellow"/>
        </w:rPr>
        <w:t xml:space="preserve"> </w:t>
      </w:r>
      <w:r w:rsidRPr="00B07633">
        <w:rPr>
          <w:rFonts w:ascii="Arial" w:eastAsia="Arial" w:hAnsi="Arial" w:cs="Arial"/>
          <w:i/>
          <w:spacing w:val="-2"/>
          <w:highlight w:val="yellow"/>
        </w:rPr>
        <w:t>of</w:t>
      </w:r>
      <w:r w:rsidRPr="00B07633">
        <w:rPr>
          <w:rFonts w:ascii="Arial" w:eastAsia="Arial" w:hAnsi="Arial" w:cs="Arial"/>
          <w:i/>
          <w:highlight w:val="yellow"/>
        </w:rPr>
        <w:t xml:space="preserve"> </w:t>
      </w:r>
      <w:r w:rsidRPr="00B07633">
        <w:rPr>
          <w:rFonts w:ascii="Arial" w:eastAsia="Arial" w:hAnsi="Arial" w:cs="Arial"/>
          <w:i/>
          <w:spacing w:val="-1"/>
          <w:highlight w:val="yellow"/>
        </w:rPr>
        <w:t>time]</w:t>
      </w:r>
      <w:r w:rsidRPr="00B07633">
        <w:rPr>
          <w:rFonts w:ascii="Arial" w:eastAsia="Arial" w:hAnsi="Arial" w:cs="Arial"/>
          <w:spacing w:val="-1"/>
          <w:highlight w:val="yellow"/>
        </w:rPr>
        <w:t>]</w:t>
      </w:r>
    </w:p>
    <w:p w:rsidR="008918FA" w:rsidRDefault="008918FA" w:rsidP="008918FA">
      <w:pPr>
        <w:pStyle w:val="Heading1"/>
        <w:numPr>
          <w:ilvl w:val="1"/>
          <w:numId w:val="74"/>
        </w:numPr>
        <w:tabs>
          <w:tab w:val="left" w:pos="954"/>
        </w:tabs>
        <w:ind w:left="953" w:hanging="566"/>
        <w:rPr>
          <w:b w:val="0"/>
          <w:bCs w:val="0"/>
        </w:rPr>
      </w:pPr>
      <w:r>
        <w:rPr>
          <w:spacing w:val="-1"/>
        </w:rPr>
        <w:t>Performance</w:t>
      </w:r>
      <w:r>
        <w:rPr>
          <w:spacing w:val="-2"/>
        </w:rPr>
        <w:t xml:space="preserve"> </w:t>
      </w:r>
      <w:r>
        <w:rPr>
          <w:spacing w:val="-1"/>
        </w:rPr>
        <w:t>Monitoring</w:t>
      </w:r>
    </w:p>
    <w:p w:rsidR="008918FA" w:rsidRDefault="008918FA" w:rsidP="008918FA">
      <w:pPr>
        <w:pStyle w:val="BodyText"/>
        <w:spacing w:before="130" w:line="250" w:lineRule="exact"/>
        <w:ind w:left="953" w:right="113" w:firstLine="0"/>
        <w:rPr>
          <w:rFonts w:cs="Arial"/>
          <w:sz w:val="14"/>
          <w:szCs w:val="14"/>
        </w:rPr>
      </w:pPr>
      <w:r w:rsidRPr="00B07633">
        <w:rPr>
          <w:highlight w:val="yellow"/>
        </w:rPr>
        <w:t>[In</w:t>
      </w:r>
      <w:r w:rsidRPr="00B07633">
        <w:rPr>
          <w:spacing w:val="29"/>
          <w:highlight w:val="yellow"/>
        </w:rPr>
        <w:t xml:space="preserve"> </w:t>
      </w:r>
      <w:r w:rsidRPr="00B07633">
        <w:rPr>
          <w:spacing w:val="-1"/>
          <w:highlight w:val="yellow"/>
        </w:rPr>
        <w:t>Annex</w:t>
      </w:r>
      <w:r w:rsidRPr="00B07633">
        <w:rPr>
          <w:spacing w:val="27"/>
          <w:highlight w:val="yellow"/>
        </w:rPr>
        <w:t xml:space="preserve"> </w:t>
      </w:r>
      <w:r w:rsidRPr="00B07633">
        <w:rPr>
          <w:highlight w:val="yellow"/>
        </w:rPr>
        <w:t>1</w:t>
      </w:r>
      <w:r w:rsidRPr="00B07633">
        <w:rPr>
          <w:spacing w:val="29"/>
          <w:highlight w:val="yellow"/>
        </w:rPr>
        <w:t xml:space="preserve"> </w:t>
      </w:r>
      <w:r w:rsidRPr="00B07633">
        <w:rPr>
          <w:highlight w:val="yellow"/>
        </w:rPr>
        <w:t>to</w:t>
      </w:r>
      <w:r w:rsidRPr="00B07633">
        <w:rPr>
          <w:spacing w:val="29"/>
          <w:highlight w:val="yellow"/>
        </w:rPr>
        <w:t xml:space="preserve"> </w:t>
      </w:r>
      <w:r w:rsidRPr="00B07633">
        <w:rPr>
          <w:spacing w:val="-1"/>
          <w:highlight w:val="yellow"/>
        </w:rPr>
        <w:t>Part</w:t>
      </w:r>
      <w:r w:rsidRPr="00B07633">
        <w:rPr>
          <w:spacing w:val="30"/>
          <w:highlight w:val="yellow"/>
        </w:rPr>
        <w:t xml:space="preserve"> </w:t>
      </w:r>
      <w:r w:rsidRPr="00B07633">
        <w:rPr>
          <w:highlight w:val="yellow"/>
        </w:rPr>
        <w:t>B</w:t>
      </w:r>
      <w:r w:rsidRPr="00B07633">
        <w:rPr>
          <w:spacing w:val="29"/>
          <w:highlight w:val="yellow"/>
        </w:rPr>
        <w:t xml:space="preserve"> </w:t>
      </w:r>
      <w:r w:rsidRPr="00B07633">
        <w:rPr>
          <w:spacing w:val="-1"/>
          <w:highlight w:val="yellow"/>
        </w:rPr>
        <w:t>(Additional</w:t>
      </w:r>
      <w:r w:rsidRPr="00B07633">
        <w:rPr>
          <w:spacing w:val="28"/>
          <w:highlight w:val="yellow"/>
        </w:rPr>
        <w:t xml:space="preserve"> </w:t>
      </w:r>
      <w:r w:rsidRPr="00B07633">
        <w:rPr>
          <w:spacing w:val="-1"/>
          <w:highlight w:val="yellow"/>
        </w:rPr>
        <w:t>Performance</w:t>
      </w:r>
      <w:r w:rsidRPr="00B07633">
        <w:rPr>
          <w:spacing w:val="27"/>
          <w:highlight w:val="yellow"/>
        </w:rPr>
        <w:t xml:space="preserve"> </w:t>
      </w:r>
      <w:r w:rsidRPr="00B07633">
        <w:rPr>
          <w:spacing w:val="-1"/>
          <w:highlight w:val="yellow"/>
        </w:rPr>
        <w:t>Monitoring</w:t>
      </w:r>
      <w:r w:rsidRPr="00B07633">
        <w:rPr>
          <w:spacing w:val="31"/>
          <w:highlight w:val="yellow"/>
        </w:rPr>
        <w:t xml:space="preserve"> </w:t>
      </w:r>
      <w:r w:rsidRPr="00B07633">
        <w:rPr>
          <w:spacing w:val="-2"/>
          <w:highlight w:val="yellow"/>
        </w:rPr>
        <w:t>Requirements)</w:t>
      </w:r>
      <w:r w:rsidRPr="00B07633">
        <w:rPr>
          <w:spacing w:val="31"/>
          <w:highlight w:val="yellow"/>
        </w:rPr>
        <w:t xml:space="preserve"> </w:t>
      </w:r>
      <w:r w:rsidRPr="00B07633">
        <w:rPr>
          <w:spacing w:val="-2"/>
          <w:highlight w:val="yellow"/>
        </w:rPr>
        <w:t>of</w:t>
      </w:r>
      <w:r w:rsidRPr="00B07633">
        <w:rPr>
          <w:spacing w:val="33"/>
          <w:highlight w:val="yellow"/>
        </w:rPr>
        <w:t xml:space="preserve"> </w:t>
      </w:r>
      <w:r w:rsidRPr="00B07633">
        <w:rPr>
          <w:spacing w:val="-2"/>
          <w:highlight w:val="yellow"/>
        </w:rPr>
        <w:t>Call</w:t>
      </w:r>
      <w:r w:rsidRPr="00B07633">
        <w:rPr>
          <w:spacing w:val="53"/>
          <w:highlight w:val="yellow"/>
        </w:rPr>
        <w:t xml:space="preserve"> </w:t>
      </w:r>
      <w:r w:rsidRPr="00B07633">
        <w:rPr>
          <w:spacing w:val="-1"/>
          <w:highlight w:val="yellow"/>
        </w:rPr>
        <w:t>Off</w:t>
      </w:r>
      <w:r w:rsidRPr="00B07633">
        <w:rPr>
          <w:spacing w:val="1"/>
          <w:highlight w:val="yellow"/>
        </w:rPr>
        <w:t xml:space="preserve"> </w:t>
      </w:r>
      <w:r w:rsidRPr="00B07633">
        <w:rPr>
          <w:spacing w:val="-1"/>
          <w:highlight w:val="yellow"/>
        </w:rPr>
        <w:t>Schedule</w:t>
      </w:r>
      <w:r w:rsidRPr="00B07633">
        <w:rPr>
          <w:spacing w:val="-2"/>
          <w:highlight w:val="yellow"/>
        </w:rPr>
        <w:t xml:space="preserve"> </w:t>
      </w:r>
      <w:r w:rsidRPr="00B07633">
        <w:rPr>
          <w:highlight w:val="yellow"/>
        </w:rPr>
        <w:t>6</w:t>
      </w:r>
      <w:r w:rsidRPr="00B07633">
        <w:rPr>
          <w:spacing w:val="-2"/>
          <w:highlight w:val="yellow"/>
        </w:rPr>
        <w:t xml:space="preserve"> </w:t>
      </w:r>
      <w:r w:rsidRPr="00B07633">
        <w:rPr>
          <w:spacing w:val="-1"/>
          <w:highlight w:val="yellow"/>
        </w:rPr>
        <w:t>(Service</w:t>
      </w:r>
      <w:r w:rsidRPr="00B07633">
        <w:rPr>
          <w:spacing w:val="1"/>
          <w:highlight w:val="yellow"/>
        </w:rPr>
        <w:t xml:space="preserve"> </w:t>
      </w:r>
      <w:r w:rsidRPr="00B07633">
        <w:rPr>
          <w:spacing w:val="-2"/>
          <w:highlight w:val="yellow"/>
        </w:rPr>
        <w:t>Levels,</w:t>
      </w:r>
      <w:r w:rsidRPr="00B07633">
        <w:rPr>
          <w:spacing w:val="2"/>
          <w:highlight w:val="yellow"/>
        </w:rPr>
        <w:t xml:space="preserve"> </w:t>
      </w:r>
      <w:r w:rsidRPr="00B07633">
        <w:rPr>
          <w:spacing w:val="-2"/>
          <w:highlight w:val="yellow"/>
        </w:rPr>
        <w:t>Service</w:t>
      </w:r>
      <w:r w:rsidRPr="00B07633">
        <w:rPr>
          <w:spacing w:val="1"/>
          <w:highlight w:val="yellow"/>
        </w:rPr>
        <w:t xml:space="preserve"> </w:t>
      </w:r>
      <w:r w:rsidRPr="00B07633">
        <w:rPr>
          <w:spacing w:val="-1"/>
          <w:highlight w:val="yellow"/>
        </w:rPr>
        <w:t>Credits</w:t>
      </w:r>
      <w:r w:rsidRPr="00B07633">
        <w:rPr>
          <w:highlight w:val="yellow"/>
        </w:rPr>
        <w:t xml:space="preserve"> </w:t>
      </w:r>
      <w:r w:rsidRPr="00B07633">
        <w:rPr>
          <w:spacing w:val="-2"/>
          <w:highlight w:val="yellow"/>
        </w:rPr>
        <w:t>and</w:t>
      </w:r>
      <w:r w:rsidRPr="00B07633">
        <w:rPr>
          <w:highlight w:val="yellow"/>
        </w:rPr>
        <w:t xml:space="preserve"> </w:t>
      </w:r>
      <w:r w:rsidRPr="00B07633">
        <w:rPr>
          <w:spacing w:val="-1"/>
          <w:highlight w:val="yellow"/>
        </w:rPr>
        <w:t>Performance</w:t>
      </w:r>
      <w:r w:rsidRPr="00B07633">
        <w:rPr>
          <w:spacing w:val="1"/>
          <w:highlight w:val="yellow"/>
        </w:rPr>
        <w:t xml:space="preserve"> </w:t>
      </w:r>
      <w:r w:rsidRPr="00B07633">
        <w:rPr>
          <w:spacing w:val="-1"/>
          <w:highlight w:val="yellow"/>
        </w:rPr>
        <w:t>Monitoring)]</w:t>
      </w:r>
      <w:r w:rsidRPr="00B07633">
        <w:rPr>
          <w:spacing w:val="11"/>
          <w:highlight w:val="yellow"/>
        </w:rPr>
        <w:t xml:space="preserve"> </w:t>
      </w:r>
      <w:hyperlink w:anchor="_bookmark17" w:history="1">
        <w:r w:rsidRPr="00B07633">
          <w:rPr>
            <w:b/>
            <w:spacing w:val="-1"/>
            <w:position w:val="10"/>
            <w:sz w:val="14"/>
            <w:highlight w:val="yellow"/>
          </w:rPr>
          <w:t>18</w:t>
        </w:r>
      </w:hyperlink>
    </w:p>
    <w:p w:rsidR="008918FA" w:rsidRPr="002F6432" w:rsidRDefault="008918FA" w:rsidP="008918FA">
      <w:pPr>
        <w:pStyle w:val="Heading1"/>
        <w:numPr>
          <w:ilvl w:val="1"/>
          <w:numId w:val="74"/>
        </w:numPr>
        <w:tabs>
          <w:tab w:val="left" w:pos="954"/>
        </w:tabs>
        <w:spacing w:before="118"/>
        <w:ind w:left="953" w:hanging="566"/>
        <w:rPr>
          <w:b w:val="0"/>
          <w:bCs w:val="0"/>
        </w:rPr>
      </w:pPr>
      <w:r>
        <w:rPr>
          <w:spacing w:val="-1"/>
        </w:rPr>
        <w:t>Security</w:t>
      </w:r>
    </w:p>
    <w:p w:rsidR="002F6432" w:rsidRDefault="002F6432" w:rsidP="002F6432">
      <w:pPr>
        <w:spacing w:line="248" w:lineRule="exact"/>
        <w:ind w:left="233" w:right="-1" w:firstLine="720"/>
        <w:rPr>
          <w:rFonts w:ascii="Arial" w:eastAsia="Arial" w:hAnsi="Arial" w:cs="Arial"/>
          <w:sz w:val="14"/>
          <w:szCs w:val="14"/>
        </w:rPr>
      </w:pPr>
      <w:r w:rsidRPr="002F6432">
        <w:rPr>
          <w:rFonts w:ascii="Arial"/>
          <w:highlight w:val="yellow"/>
        </w:rPr>
        <w:t>[In</w:t>
      </w:r>
      <w:r w:rsidRPr="002F6432">
        <w:rPr>
          <w:rFonts w:ascii="Arial"/>
          <w:spacing w:val="-3"/>
          <w:highlight w:val="yellow"/>
        </w:rPr>
        <w:t xml:space="preserve"> </w:t>
      </w:r>
      <w:r w:rsidRPr="002F6432">
        <w:rPr>
          <w:rFonts w:ascii="Arial"/>
          <w:spacing w:val="-2"/>
          <w:highlight w:val="yellow"/>
        </w:rPr>
        <w:t>Call</w:t>
      </w:r>
      <w:r w:rsidRPr="002F6432">
        <w:rPr>
          <w:rFonts w:ascii="Arial"/>
          <w:highlight w:val="yellow"/>
        </w:rPr>
        <w:t xml:space="preserve"> </w:t>
      </w:r>
      <w:r w:rsidRPr="002F6432">
        <w:rPr>
          <w:rFonts w:ascii="Arial"/>
          <w:spacing w:val="-1"/>
          <w:highlight w:val="yellow"/>
        </w:rPr>
        <w:t>Off</w:t>
      </w:r>
      <w:r w:rsidRPr="002F6432">
        <w:rPr>
          <w:rFonts w:ascii="Arial"/>
          <w:spacing w:val="2"/>
          <w:highlight w:val="yellow"/>
        </w:rPr>
        <w:t xml:space="preserve"> </w:t>
      </w:r>
      <w:r w:rsidRPr="002F6432">
        <w:rPr>
          <w:rFonts w:ascii="Arial"/>
          <w:spacing w:val="-2"/>
          <w:highlight w:val="yellow"/>
        </w:rPr>
        <w:t>Schedule</w:t>
      </w:r>
      <w:r w:rsidRPr="002F6432">
        <w:rPr>
          <w:rFonts w:ascii="Arial"/>
          <w:highlight w:val="yellow"/>
        </w:rPr>
        <w:t xml:space="preserve"> </w:t>
      </w:r>
      <w:r>
        <w:rPr>
          <w:rFonts w:ascii="Arial"/>
          <w:highlight w:val="yellow"/>
        </w:rPr>
        <w:t>8</w:t>
      </w:r>
      <w:r w:rsidRPr="002F6432">
        <w:rPr>
          <w:rFonts w:ascii="Arial"/>
          <w:spacing w:val="-3"/>
          <w:highlight w:val="yellow"/>
        </w:rPr>
        <w:t xml:space="preserve"> </w:t>
      </w:r>
      <w:r>
        <w:rPr>
          <w:rFonts w:ascii="Arial"/>
          <w:spacing w:val="-1"/>
          <w:highlight w:val="yellow"/>
        </w:rPr>
        <w:t>(Security</w:t>
      </w:r>
      <w:r w:rsidRPr="002F6432">
        <w:rPr>
          <w:rFonts w:ascii="Arial"/>
          <w:spacing w:val="-1"/>
          <w:highlight w:val="yellow"/>
        </w:rPr>
        <w:t>)]</w:t>
      </w:r>
      <w:r w:rsidRPr="002F6432">
        <w:rPr>
          <w:rFonts w:ascii="Arial"/>
          <w:spacing w:val="9"/>
          <w:highlight w:val="yellow"/>
        </w:rPr>
        <w:t xml:space="preserve"> </w:t>
      </w:r>
      <w:hyperlink w:anchor="_bookmark13" w:history="1">
        <w:r w:rsidRPr="002F6432">
          <w:rPr>
            <w:rFonts w:ascii="Arial"/>
            <w:b/>
            <w:spacing w:val="-1"/>
            <w:position w:val="10"/>
            <w:sz w:val="14"/>
            <w:highlight w:val="yellow"/>
          </w:rPr>
          <w:t>1</w:t>
        </w:r>
      </w:hyperlink>
      <w:r>
        <w:rPr>
          <w:rFonts w:ascii="Arial"/>
          <w:b/>
          <w:spacing w:val="-1"/>
          <w:position w:val="10"/>
          <w:sz w:val="14"/>
        </w:rPr>
        <w:t>9</w:t>
      </w:r>
    </w:p>
    <w:p w:rsidR="002F6432" w:rsidRDefault="002F6432" w:rsidP="002F6432">
      <w:pPr>
        <w:pStyle w:val="Heading1"/>
        <w:tabs>
          <w:tab w:val="left" w:pos="954"/>
        </w:tabs>
        <w:spacing w:before="118"/>
        <w:ind w:left="0" w:firstLine="0"/>
        <w:rPr>
          <w:b w:val="0"/>
          <w:bCs w:val="0"/>
        </w:rPr>
      </w:pPr>
    </w:p>
    <w:p w:rsidR="008918FA" w:rsidRDefault="008918FA" w:rsidP="008918FA">
      <w:pPr>
        <w:spacing w:before="9"/>
        <w:rPr>
          <w:rFonts w:ascii="Arial" w:eastAsia="Arial" w:hAnsi="Arial" w:cs="Arial"/>
          <w:b/>
          <w:bCs/>
          <w:sz w:val="10"/>
          <w:szCs w:val="10"/>
        </w:rPr>
      </w:pP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spacing w:before="7"/>
        <w:rPr>
          <w:rFonts w:ascii="Arial" w:eastAsia="Arial" w:hAnsi="Arial" w:cs="Arial"/>
          <w:b/>
          <w:bCs/>
        </w:rPr>
      </w:pPr>
    </w:p>
    <w:p w:rsidR="008918FA" w:rsidRDefault="008918FA" w:rsidP="008918FA">
      <w:pPr>
        <w:spacing w:before="86"/>
        <w:ind w:left="101" w:right="111"/>
        <w:jc w:val="both"/>
        <w:rPr>
          <w:rFonts w:ascii="Arial" w:eastAsia="Arial" w:hAnsi="Arial" w:cs="Arial"/>
          <w:sz w:val="18"/>
          <w:szCs w:val="18"/>
        </w:rPr>
      </w:pPr>
      <w:r>
        <w:rPr>
          <w:rFonts w:ascii="Arial"/>
          <w:position w:val="9"/>
          <w:sz w:val="12"/>
        </w:rPr>
        <w:t>14</w:t>
      </w:r>
      <w:r>
        <w:rPr>
          <w:rFonts w:ascii="Arial"/>
          <w:spacing w:val="26"/>
          <w:position w:val="9"/>
          <w:sz w:val="12"/>
        </w:rPr>
        <w:t xml:space="preserve"> </w:t>
      </w:r>
      <w:bookmarkStart w:id="7" w:name="_bookmark13"/>
      <w:bookmarkEnd w:id="7"/>
      <w:r w:rsidRPr="00B07633">
        <w:rPr>
          <w:rFonts w:ascii="Arial"/>
          <w:sz w:val="18"/>
          <w:highlight w:val="yellow"/>
        </w:rPr>
        <w:t>[See</w:t>
      </w:r>
      <w:r w:rsidRPr="00B07633">
        <w:rPr>
          <w:rFonts w:ascii="Arial"/>
          <w:spacing w:val="10"/>
          <w:sz w:val="18"/>
          <w:highlight w:val="yellow"/>
        </w:rPr>
        <w:t xml:space="preserve"> </w:t>
      </w:r>
      <w:r w:rsidRPr="00B07633">
        <w:rPr>
          <w:rFonts w:ascii="Arial"/>
          <w:spacing w:val="-1"/>
          <w:sz w:val="18"/>
          <w:highlight w:val="yellow"/>
        </w:rPr>
        <w:t>Clause</w:t>
      </w:r>
      <w:r w:rsidRPr="00B07633">
        <w:rPr>
          <w:rFonts w:ascii="Arial"/>
          <w:spacing w:val="10"/>
          <w:sz w:val="18"/>
          <w:highlight w:val="yellow"/>
        </w:rPr>
        <w:t xml:space="preserve"> </w:t>
      </w:r>
      <w:hyperlink w:anchor="_bookmark91" w:history="1">
        <w:r w:rsidRPr="00B07633">
          <w:rPr>
            <w:rFonts w:ascii="Arial"/>
            <w:sz w:val="18"/>
            <w:highlight w:val="yellow"/>
          </w:rPr>
          <w:t>11</w:t>
        </w:r>
      </w:hyperlink>
      <w:r w:rsidRPr="00B07633">
        <w:rPr>
          <w:rFonts w:ascii="Arial"/>
          <w:spacing w:val="10"/>
          <w:sz w:val="18"/>
          <w:highlight w:val="yellow"/>
        </w:rPr>
        <w:t xml:space="preserve"> </w:t>
      </w:r>
      <w:r w:rsidRPr="00B07633">
        <w:rPr>
          <w:rFonts w:ascii="Arial"/>
          <w:sz w:val="18"/>
          <w:highlight w:val="yellow"/>
        </w:rPr>
        <w:t>of</w:t>
      </w:r>
      <w:r w:rsidRPr="00B07633">
        <w:rPr>
          <w:rFonts w:ascii="Arial"/>
          <w:spacing w:val="10"/>
          <w:sz w:val="18"/>
          <w:highlight w:val="yellow"/>
        </w:rPr>
        <w:t xml:space="preserve"> </w:t>
      </w:r>
      <w:r w:rsidRPr="00B07633">
        <w:rPr>
          <w:rFonts w:ascii="Arial"/>
          <w:spacing w:val="-1"/>
          <w:sz w:val="18"/>
          <w:highlight w:val="yellow"/>
        </w:rPr>
        <w:t>the</w:t>
      </w:r>
      <w:r w:rsidRPr="00B07633">
        <w:rPr>
          <w:rFonts w:ascii="Arial"/>
          <w:spacing w:val="10"/>
          <w:sz w:val="18"/>
          <w:highlight w:val="yellow"/>
        </w:rPr>
        <w:t xml:space="preserve"> </w:t>
      </w:r>
      <w:r w:rsidRPr="00B07633">
        <w:rPr>
          <w:rFonts w:ascii="Arial"/>
          <w:spacing w:val="-1"/>
          <w:sz w:val="18"/>
          <w:highlight w:val="yellow"/>
        </w:rPr>
        <w:t>Template</w:t>
      </w:r>
      <w:r w:rsidRPr="00B07633">
        <w:rPr>
          <w:rFonts w:ascii="Arial"/>
          <w:spacing w:val="10"/>
          <w:sz w:val="18"/>
          <w:highlight w:val="yellow"/>
        </w:rPr>
        <w:t xml:space="preserve"> </w:t>
      </w:r>
      <w:r w:rsidRPr="00B07633">
        <w:rPr>
          <w:rFonts w:ascii="Arial"/>
          <w:spacing w:val="-1"/>
          <w:sz w:val="18"/>
          <w:highlight w:val="yellow"/>
        </w:rPr>
        <w:t>Call</w:t>
      </w:r>
      <w:r w:rsidRPr="00B07633">
        <w:rPr>
          <w:rFonts w:ascii="Arial"/>
          <w:spacing w:val="10"/>
          <w:sz w:val="18"/>
          <w:highlight w:val="yellow"/>
        </w:rPr>
        <w:t xml:space="preserve"> </w:t>
      </w:r>
      <w:r w:rsidRPr="00B07633">
        <w:rPr>
          <w:rFonts w:ascii="Arial"/>
          <w:spacing w:val="-1"/>
          <w:sz w:val="18"/>
          <w:highlight w:val="yellow"/>
        </w:rPr>
        <w:t>Off</w:t>
      </w:r>
      <w:r w:rsidRPr="00B07633">
        <w:rPr>
          <w:rFonts w:ascii="Arial"/>
          <w:spacing w:val="10"/>
          <w:sz w:val="18"/>
          <w:highlight w:val="yellow"/>
        </w:rPr>
        <w:t xml:space="preserve"> </w:t>
      </w:r>
      <w:r w:rsidRPr="00B07633">
        <w:rPr>
          <w:rFonts w:ascii="Arial"/>
          <w:spacing w:val="-1"/>
          <w:sz w:val="18"/>
          <w:highlight w:val="yellow"/>
        </w:rPr>
        <w:t>Terms</w:t>
      </w:r>
      <w:r w:rsidRPr="00B07633">
        <w:rPr>
          <w:rFonts w:ascii="Arial"/>
          <w:spacing w:val="11"/>
          <w:sz w:val="18"/>
          <w:highlight w:val="yellow"/>
        </w:rPr>
        <w:t xml:space="preserve"> </w:t>
      </w:r>
      <w:r w:rsidRPr="00B07633">
        <w:rPr>
          <w:rFonts w:ascii="Arial"/>
          <w:spacing w:val="-1"/>
          <w:sz w:val="18"/>
          <w:highlight w:val="yellow"/>
        </w:rPr>
        <w:t>and</w:t>
      </w:r>
      <w:r w:rsidRPr="00B07633">
        <w:rPr>
          <w:rFonts w:ascii="Arial"/>
          <w:spacing w:val="10"/>
          <w:sz w:val="18"/>
          <w:highlight w:val="yellow"/>
        </w:rPr>
        <w:t xml:space="preserve"> </w:t>
      </w:r>
      <w:r w:rsidRPr="00B07633">
        <w:rPr>
          <w:rFonts w:ascii="Arial"/>
          <w:sz w:val="18"/>
          <w:highlight w:val="yellow"/>
        </w:rPr>
        <w:t>the</w:t>
      </w:r>
      <w:r w:rsidRPr="00B07633">
        <w:rPr>
          <w:rFonts w:ascii="Arial"/>
          <w:spacing w:val="10"/>
          <w:sz w:val="18"/>
          <w:highlight w:val="yellow"/>
        </w:rPr>
        <w:t xml:space="preserve"> </w:t>
      </w:r>
      <w:r w:rsidRPr="00B07633">
        <w:rPr>
          <w:rFonts w:ascii="Arial"/>
          <w:spacing w:val="-1"/>
          <w:sz w:val="18"/>
          <w:highlight w:val="yellow"/>
        </w:rPr>
        <w:t>definition</w:t>
      </w:r>
      <w:r w:rsidRPr="00B07633">
        <w:rPr>
          <w:rFonts w:ascii="Arial"/>
          <w:spacing w:val="10"/>
          <w:sz w:val="18"/>
          <w:highlight w:val="yellow"/>
        </w:rPr>
        <w:t xml:space="preserve"> </w:t>
      </w:r>
      <w:r w:rsidRPr="00B07633">
        <w:rPr>
          <w:rFonts w:ascii="Arial"/>
          <w:sz w:val="18"/>
          <w:highlight w:val="yellow"/>
        </w:rPr>
        <w:t>of</w:t>
      </w:r>
      <w:r w:rsidRPr="00B07633">
        <w:rPr>
          <w:rFonts w:ascii="Arial"/>
          <w:spacing w:val="10"/>
          <w:sz w:val="18"/>
          <w:highlight w:val="yellow"/>
        </w:rPr>
        <w:t xml:space="preserve"> </w:t>
      </w:r>
      <w:r w:rsidRPr="00B07633">
        <w:rPr>
          <w:rFonts w:ascii="Arial"/>
          <w:spacing w:val="-1"/>
          <w:sz w:val="18"/>
          <w:highlight w:val="yellow"/>
        </w:rPr>
        <w:t>Standards.</w:t>
      </w:r>
      <w:r w:rsidRPr="00B07633">
        <w:rPr>
          <w:rFonts w:ascii="Arial"/>
          <w:spacing w:val="10"/>
          <w:sz w:val="18"/>
          <w:highlight w:val="yellow"/>
        </w:rPr>
        <w:t xml:space="preserve"> </w:t>
      </w:r>
      <w:r w:rsidRPr="00B07633">
        <w:rPr>
          <w:rFonts w:ascii="Arial"/>
          <w:spacing w:val="-1"/>
          <w:sz w:val="18"/>
          <w:highlight w:val="yellow"/>
        </w:rPr>
        <w:t>Consider</w:t>
      </w:r>
      <w:r w:rsidRPr="00B07633">
        <w:rPr>
          <w:rFonts w:ascii="Arial"/>
          <w:spacing w:val="7"/>
          <w:sz w:val="18"/>
          <w:highlight w:val="yellow"/>
        </w:rPr>
        <w:t xml:space="preserve"> </w:t>
      </w:r>
      <w:r w:rsidRPr="00B07633">
        <w:rPr>
          <w:rFonts w:ascii="Arial"/>
          <w:spacing w:val="-1"/>
          <w:sz w:val="18"/>
          <w:highlight w:val="yellow"/>
        </w:rPr>
        <w:t>whether</w:t>
      </w:r>
      <w:r w:rsidRPr="00B07633">
        <w:rPr>
          <w:rFonts w:ascii="Arial"/>
          <w:spacing w:val="9"/>
          <w:sz w:val="18"/>
          <w:highlight w:val="yellow"/>
        </w:rPr>
        <w:t xml:space="preserve"> </w:t>
      </w:r>
      <w:r w:rsidRPr="00B07633">
        <w:rPr>
          <w:rFonts w:ascii="Arial"/>
          <w:spacing w:val="-1"/>
          <w:sz w:val="18"/>
          <w:highlight w:val="yellow"/>
        </w:rPr>
        <w:t>you</w:t>
      </w:r>
      <w:r w:rsidRPr="00B07633">
        <w:rPr>
          <w:rFonts w:ascii="Arial"/>
          <w:spacing w:val="10"/>
          <w:sz w:val="18"/>
          <w:highlight w:val="yellow"/>
        </w:rPr>
        <w:t xml:space="preserve"> </w:t>
      </w:r>
      <w:r w:rsidRPr="00B07633">
        <w:rPr>
          <w:rFonts w:ascii="Arial"/>
          <w:sz w:val="18"/>
          <w:highlight w:val="yellow"/>
        </w:rPr>
        <w:t>need</w:t>
      </w:r>
      <w:r w:rsidRPr="00B07633">
        <w:rPr>
          <w:rFonts w:ascii="Arial"/>
          <w:spacing w:val="77"/>
          <w:sz w:val="18"/>
          <w:highlight w:val="yellow"/>
        </w:rPr>
        <w:t xml:space="preserve"> </w:t>
      </w:r>
      <w:r w:rsidRPr="00B07633">
        <w:rPr>
          <w:rFonts w:ascii="Arial"/>
          <w:sz w:val="18"/>
          <w:highlight w:val="yellow"/>
        </w:rPr>
        <w:t>any</w:t>
      </w:r>
      <w:r w:rsidRPr="00B07633">
        <w:rPr>
          <w:rFonts w:ascii="Arial"/>
          <w:spacing w:val="-1"/>
          <w:sz w:val="18"/>
          <w:highlight w:val="yellow"/>
        </w:rPr>
        <w:t xml:space="preserve"> additional</w:t>
      </w:r>
      <w:r w:rsidRPr="00B07633">
        <w:rPr>
          <w:rFonts w:ascii="Arial"/>
          <w:spacing w:val="-2"/>
          <w:sz w:val="18"/>
          <w:highlight w:val="yellow"/>
        </w:rPr>
        <w:t xml:space="preserve"> </w:t>
      </w:r>
      <w:r w:rsidRPr="00B07633">
        <w:rPr>
          <w:rFonts w:ascii="Arial"/>
          <w:spacing w:val="-1"/>
          <w:sz w:val="18"/>
          <w:highlight w:val="yellow"/>
        </w:rPr>
        <w:t>standards.</w:t>
      </w:r>
      <w:r w:rsidRPr="00B07633">
        <w:rPr>
          <w:rFonts w:ascii="Arial"/>
          <w:sz w:val="18"/>
          <w:highlight w:val="yellow"/>
        </w:rPr>
        <w:t xml:space="preserve"> </w:t>
      </w:r>
      <w:r w:rsidRPr="00B07633">
        <w:rPr>
          <w:rFonts w:ascii="Arial"/>
          <w:spacing w:val="-1"/>
          <w:sz w:val="18"/>
          <w:highlight w:val="yellow"/>
        </w:rPr>
        <w:t>If</w:t>
      </w:r>
      <w:r w:rsidRPr="00B07633">
        <w:rPr>
          <w:rFonts w:ascii="Arial"/>
          <w:sz w:val="18"/>
          <w:highlight w:val="yellow"/>
        </w:rPr>
        <w:t xml:space="preserve"> </w:t>
      </w:r>
      <w:r w:rsidRPr="00B07633">
        <w:rPr>
          <w:rFonts w:ascii="Arial"/>
          <w:spacing w:val="-1"/>
          <w:sz w:val="18"/>
          <w:highlight w:val="yellow"/>
        </w:rPr>
        <w:t>necessary,</w:t>
      </w:r>
      <w:r w:rsidRPr="00B07633">
        <w:rPr>
          <w:rFonts w:ascii="Arial"/>
          <w:sz w:val="18"/>
          <w:highlight w:val="yellow"/>
        </w:rPr>
        <w:t xml:space="preserve"> </w:t>
      </w:r>
      <w:r w:rsidRPr="00B07633">
        <w:rPr>
          <w:rFonts w:ascii="Arial"/>
          <w:spacing w:val="-1"/>
          <w:sz w:val="18"/>
          <w:highlight w:val="yellow"/>
        </w:rPr>
        <w:t>set</w:t>
      </w:r>
      <w:r w:rsidRPr="00B07633">
        <w:rPr>
          <w:rFonts w:ascii="Arial"/>
          <w:sz w:val="18"/>
          <w:highlight w:val="yellow"/>
        </w:rPr>
        <w:t xml:space="preserve"> </w:t>
      </w:r>
      <w:r w:rsidRPr="00B07633">
        <w:rPr>
          <w:rFonts w:ascii="Arial"/>
          <w:spacing w:val="-1"/>
          <w:sz w:val="18"/>
          <w:highlight w:val="yellow"/>
        </w:rPr>
        <w:t xml:space="preserve">them </w:t>
      </w:r>
      <w:r w:rsidRPr="00B07633">
        <w:rPr>
          <w:rFonts w:ascii="Arial"/>
          <w:sz w:val="18"/>
          <w:highlight w:val="yellow"/>
        </w:rPr>
        <w:t>out</w:t>
      </w:r>
      <w:r w:rsidRPr="00B07633">
        <w:rPr>
          <w:rFonts w:ascii="Arial"/>
          <w:spacing w:val="-2"/>
          <w:sz w:val="18"/>
          <w:highlight w:val="yellow"/>
        </w:rPr>
        <w:t xml:space="preserve"> </w:t>
      </w:r>
      <w:r w:rsidRPr="00B07633">
        <w:rPr>
          <w:rFonts w:ascii="Arial"/>
          <w:sz w:val="18"/>
          <w:highlight w:val="yellow"/>
        </w:rPr>
        <w:t>in</w:t>
      </w:r>
      <w:r w:rsidRPr="00B07633">
        <w:rPr>
          <w:rFonts w:ascii="Arial"/>
          <w:spacing w:val="1"/>
          <w:sz w:val="18"/>
          <w:highlight w:val="yellow"/>
        </w:rPr>
        <w:t xml:space="preserve"> </w:t>
      </w:r>
      <w:r w:rsidRPr="00B07633">
        <w:rPr>
          <w:rFonts w:ascii="Arial"/>
          <w:spacing w:val="-1"/>
          <w:sz w:val="18"/>
          <w:highlight w:val="yellow"/>
        </w:rPr>
        <w:t>Call</w:t>
      </w:r>
      <w:r w:rsidRPr="00B07633">
        <w:rPr>
          <w:rFonts w:ascii="Arial"/>
          <w:spacing w:val="1"/>
          <w:sz w:val="18"/>
          <w:highlight w:val="yellow"/>
        </w:rPr>
        <w:t xml:space="preserve"> </w:t>
      </w:r>
      <w:r w:rsidRPr="00B07633">
        <w:rPr>
          <w:rFonts w:ascii="Arial"/>
          <w:spacing w:val="-2"/>
          <w:sz w:val="18"/>
          <w:highlight w:val="yellow"/>
        </w:rPr>
        <w:t>Off</w:t>
      </w:r>
      <w:r w:rsidRPr="00B07633">
        <w:rPr>
          <w:rFonts w:ascii="Arial"/>
          <w:sz w:val="18"/>
          <w:highlight w:val="yellow"/>
        </w:rPr>
        <w:t xml:space="preserve"> </w:t>
      </w:r>
      <w:r w:rsidRPr="00B07633">
        <w:rPr>
          <w:rFonts w:ascii="Arial"/>
          <w:spacing w:val="-1"/>
          <w:sz w:val="18"/>
          <w:highlight w:val="yellow"/>
        </w:rPr>
        <w:t>Schedule</w:t>
      </w:r>
      <w:r w:rsidRPr="00B07633">
        <w:rPr>
          <w:rFonts w:ascii="Arial"/>
          <w:spacing w:val="1"/>
          <w:sz w:val="18"/>
          <w:highlight w:val="yellow"/>
        </w:rPr>
        <w:t xml:space="preserve"> </w:t>
      </w:r>
      <w:r w:rsidRPr="00B07633">
        <w:rPr>
          <w:rFonts w:ascii="Arial"/>
          <w:sz w:val="18"/>
          <w:highlight w:val="yellow"/>
        </w:rPr>
        <w:t>7</w:t>
      </w:r>
      <w:r w:rsidRPr="00B07633">
        <w:rPr>
          <w:rFonts w:ascii="Arial"/>
          <w:spacing w:val="1"/>
          <w:sz w:val="18"/>
          <w:highlight w:val="yellow"/>
        </w:rPr>
        <w:t xml:space="preserve"> </w:t>
      </w:r>
      <w:r w:rsidRPr="00B07633">
        <w:rPr>
          <w:rFonts w:ascii="Arial"/>
          <w:spacing w:val="-1"/>
          <w:sz w:val="18"/>
          <w:highlight w:val="yellow"/>
        </w:rPr>
        <w:t>(Standards).]</w:t>
      </w:r>
    </w:p>
    <w:p w:rsidR="008918FA" w:rsidRPr="00CE5AA1" w:rsidRDefault="008918FA" w:rsidP="008918FA">
      <w:pPr>
        <w:spacing w:before="88"/>
        <w:ind w:left="101" w:right="110"/>
        <w:jc w:val="both"/>
        <w:rPr>
          <w:rFonts w:ascii="Arial" w:eastAsia="Arial" w:hAnsi="Arial" w:cs="Arial"/>
          <w:sz w:val="18"/>
          <w:szCs w:val="18"/>
          <w:highlight w:val="green"/>
        </w:rPr>
      </w:pPr>
      <w:r w:rsidRPr="00CE5AA1">
        <w:rPr>
          <w:rFonts w:ascii="Arial"/>
          <w:position w:val="9"/>
          <w:sz w:val="12"/>
          <w:highlight w:val="green"/>
        </w:rPr>
        <w:t>15</w:t>
      </w:r>
      <w:r w:rsidRPr="00CE5AA1">
        <w:rPr>
          <w:rFonts w:ascii="Arial"/>
          <w:spacing w:val="5"/>
          <w:position w:val="9"/>
          <w:sz w:val="12"/>
          <w:highlight w:val="green"/>
        </w:rPr>
        <w:t xml:space="preserve"> </w:t>
      </w:r>
      <w:bookmarkStart w:id="8" w:name="_bookmark14"/>
      <w:bookmarkEnd w:id="8"/>
      <w:r w:rsidRPr="00CE5AA1">
        <w:rPr>
          <w:rFonts w:ascii="Arial"/>
          <w:spacing w:val="-1"/>
          <w:sz w:val="18"/>
          <w:highlight w:val="green"/>
        </w:rPr>
        <w:t>[Guidance</w:t>
      </w:r>
      <w:r w:rsidRPr="00CE5AA1">
        <w:rPr>
          <w:rFonts w:ascii="Arial"/>
          <w:spacing w:val="20"/>
          <w:sz w:val="18"/>
          <w:highlight w:val="green"/>
        </w:rPr>
        <w:t xml:space="preserve"> </w:t>
      </w:r>
      <w:r w:rsidRPr="00CE5AA1">
        <w:rPr>
          <w:rFonts w:ascii="Arial"/>
          <w:spacing w:val="-1"/>
          <w:sz w:val="18"/>
          <w:highlight w:val="green"/>
        </w:rPr>
        <w:t>Note:</w:t>
      </w:r>
      <w:r w:rsidRPr="00CE5AA1">
        <w:rPr>
          <w:rFonts w:ascii="Arial"/>
          <w:spacing w:val="22"/>
          <w:sz w:val="18"/>
          <w:highlight w:val="green"/>
        </w:rPr>
        <w:t xml:space="preserve"> </w:t>
      </w:r>
      <w:r w:rsidRPr="00CE5AA1">
        <w:rPr>
          <w:rFonts w:ascii="Arial"/>
          <w:spacing w:val="-1"/>
          <w:sz w:val="18"/>
          <w:highlight w:val="green"/>
        </w:rPr>
        <w:t>Key</w:t>
      </w:r>
      <w:r w:rsidRPr="00CE5AA1">
        <w:rPr>
          <w:rFonts w:ascii="Arial"/>
          <w:spacing w:val="20"/>
          <w:sz w:val="18"/>
          <w:highlight w:val="green"/>
        </w:rPr>
        <w:t xml:space="preserve"> </w:t>
      </w:r>
      <w:r w:rsidRPr="00CE5AA1">
        <w:rPr>
          <w:rFonts w:ascii="Arial"/>
          <w:spacing w:val="-1"/>
          <w:sz w:val="18"/>
          <w:highlight w:val="green"/>
        </w:rPr>
        <w:t>Performance</w:t>
      </w:r>
      <w:r w:rsidRPr="00CE5AA1">
        <w:rPr>
          <w:rFonts w:ascii="Arial"/>
          <w:spacing w:val="22"/>
          <w:sz w:val="18"/>
          <w:highlight w:val="green"/>
        </w:rPr>
        <w:t xml:space="preserve"> </w:t>
      </w:r>
      <w:r w:rsidRPr="00CE5AA1">
        <w:rPr>
          <w:rFonts w:ascii="Arial"/>
          <w:spacing w:val="-1"/>
          <w:sz w:val="18"/>
          <w:highlight w:val="green"/>
        </w:rPr>
        <w:t>Indicators</w:t>
      </w:r>
      <w:r w:rsidRPr="00CE5AA1">
        <w:rPr>
          <w:rFonts w:ascii="Arial"/>
          <w:spacing w:val="23"/>
          <w:sz w:val="18"/>
          <w:highlight w:val="green"/>
        </w:rPr>
        <w:t xml:space="preserve"> </w:t>
      </w:r>
      <w:r w:rsidRPr="00CE5AA1">
        <w:rPr>
          <w:rFonts w:ascii="Arial"/>
          <w:spacing w:val="-1"/>
          <w:sz w:val="18"/>
          <w:highlight w:val="green"/>
        </w:rPr>
        <w:t>are</w:t>
      </w:r>
      <w:r w:rsidRPr="00CE5AA1">
        <w:rPr>
          <w:rFonts w:ascii="Arial"/>
          <w:spacing w:val="22"/>
          <w:sz w:val="18"/>
          <w:highlight w:val="green"/>
        </w:rPr>
        <w:t xml:space="preserve"> </w:t>
      </w:r>
      <w:r w:rsidRPr="00CE5AA1">
        <w:rPr>
          <w:rFonts w:ascii="Arial"/>
          <w:spacing w:val="-1"/>
          <w:sz w:val="18"/>
          <w:highlight w:val="green"/>
        </w:rPr>
        <w:t>included</w:t>
      </w:r>
      <w:r w:rsidRPr="00CE5AA1">
        <w:rPr>
          <w:rFonts w:ascii="Arial"/>
          <w:spacing w:val="22"/>
          <w:sz w:val="18"/>
          <w:highlight w:val="green"/>
        </w:rPr>
        <w:t xml:space="preserve"> </w:t>
      </w:r>
      <w:r w:rsidRPr="00CE5AA1">
        <w:rPr>
          <w:rFonts w:ascii="Arial"/>
          <w:sz w:val="18"/>
          <w:highlight w:val="green"/>
        </w:rPr>
        <w:t>in</w:t>
      </w:r>
      <w:r w:rsidRPr="00CE5AA1">
        <w:rPr>
          <w:rFonts w:ascii="Arial"/>
          <w:spacing w:val="20"/>
          <w:sz w:val="18"/>
          <w:highlight w:val="green"/>
        </w:rPr>
        <w:t xml:space="preserve"> </w:t>
      </w:r>
      <w:r w:rsidRPr="00CE5AA1">
        <w:rPr>
          <w:rFonts w:ascii="Arial"/>
          <w:spacing w:val="-1"/>
          <w:sz w:val="18"/>
          <w:highlight w:val="green"/>
        </w:rPr>
        <w:t>Framework</w:t>
      </w:r>
      <w:r w:rsidRPr="00CE5AA1">
        <w:rPr>
          <w:rFonts w:ascii="Arial"/>
          <w:spacing w:val="23"/>
          <w:sz w:val="18"/>
          <w:highlight w:val="green"/>
        </w:rPr>
        <w:t xml:space="preserve"> </w:t>
      </w:r>
      <w:r w:rsidRPr="00CE5AA1">
        <w:rPr>
          <w:rFonts w:ascii="Arial"/>
          <w:spacing w:val="-1"/>
          <w:sz w:val="18"/>
          <w:highlight w:val="green"/>
        </w:rPr>
        <w:t>Schedule</w:t>
      </w:r>
      <w:r w:rsidRPr="00CE5AA1">
        <w:rPr>
          <w:rFonts w:ascii="Arial"/>
          <w:spacing w:val="22"/>
          <w:sz w:val="18"/>
          <w:highlight w:val="green"/>
        </w:rPr>
        <w:t xml:space="preserve"> </w:t>
      </w:r>
      <w:r w:rsidRPr="00CE5AA1">
        <w:rPr>
          <w:rFonts w:ascii="Arial"/>
          <w:sz w:val="18"/>
          <w:highlight w:val="green"/>
        </w:rPr>
        <w:t>1</w:t>
      </w:r>
      <w:r w:rsidRPr="00CE5AA1">
        <w:rPr>
          <w:rFonts w:ascii="Arial"/>
          <w:spacing w:val="22"/>
          <w:sz w:val="18"/>
          <w:highlight w:val="green"/>
        </w:rPr>
        <w:t xml:space="preserve"> </w:t>
      </w:r>
      <w:r w:rsidRPr="00CE5AA1">
        <w:rPr>
          <w:rFonts w:ascii="Arial"/>
          <w:spacing w:val="-1"/>
          <w:sz w:val="18"/>
          <w:highlight w:val="green"/>
        </w:rPr>
        <w:t>(Goods</w:t>
      </w:r>
      <w:r w:rsidRPr="00CE5AA1">
        <w:rPr>
          <w:rFonts w:ascii="Arial"/>
          <w:spacing w:val="20"/>
          <w:sz w:val="18"/>
          <w:highlight w:val="green"/>
        </w:rPr>
        <w:t xml:space="preserve"> </w:t>
      </w:r>
      <w:r w:rsidRPr="00CE5AA1">
        <w:rPr>
          <w:rFonts w:ascii="Arial"/>
          <w:sz w:val="18"/>
          <w:highlight w:val="green"/>
        </w:rPr>
        <w:t>and</w:t>
      </w:r>
      <w:r w:rsidRPr="00CE5AA1">
        <w:rPr>
          <w:rFonts w:ascii="Arial"/>
          <w:spacing w:val="22"/>
          <w:sz w:val="18"/>
          <w:highlight w:val="green"/>
        </w:rPr>
        <w:t xml:space="preserve"> </w:t>
      </w:r>
      <w:r w:rsidRPr="00CE5AA1">
        <w:rPr>
          <w:rFonts w:ascii="Arial"/>
          <w:spacing w:val="-2"/>
          <w:sz w:val="18"/>
          <w:highlight w:val="green"/>
        </w:rPr>
        <w:t>Services</w:t>
      </w:r>
      <w:r w:rsidRPr="00CE5AA1">
        <w:rPr>
          <w:rFonts w:ascii="Arial"/>
          <w:spacing w:val="87"/>
          <w:sz w:val="18"/>
          <w:highlight w:val="green"/>
        </w:rPr>
        <w:t xml:space="preserve"> </w:t>
      </w:r>
      <w:r w:rsidRPr="00CE5AA1">
        <w:rPr>
          <w:rFonts w:ascii="Arial"/>
          <w:sz w:val="18"/>
          <w:highlight w:val="green"/>
        </w:rPr>
        <w:t>and</w:t>
      </w:r>
      <w:r w:rsidRPr="00CE5AA1">
        <w:rPr>
          <w:rFonts w:ascii="Arial"/>
          <w:spacing w:val="18"/>
          <w:sz w:val="18"/>
          <w:highlight w:val="green"/>
        </w:rPr>
        <w:t xml:space="preserve"> </w:t>
      </w:r>
      <w:r w:rsidRPr="00CE5AA1">
        <w:rPr>
          <w:rFonts w:ascii="Arial"/>
          <w:sz w:val="18"/>
          <w:highlight w:val="green"/>
        </w:rPr>
        <w:t>Key</w:t>
      </w:r>
      <w:r w:rsidRPr="00CE5AA1">
        <w:rPr>
          <w:rFonts w:ascii="Arial"/>
          <w:spacing w:val="16"/>
          <w:sz w:val="18"/>
          <w:highlight w:val="green"/>
        </w:rPr>
        <w:t xml:space="preserve"> </w:t>
      </w:r>
      <w:r w:rsidRPr="00CE5AA1">
        <w:rPr>
          <w:rFonts w:ascii="Arial"/>
          <w:spacing w:val="-1"/>
          <w:sz w:val="18"/>
          <w:highlight w:val="green"/>
        </w:rPr>
        <w:t>Performance</w:t>
      </w:r>
      <w:r w:rsidRPr="00CE5AA1">
        <w:rPr>
          <w:rFonts w:ascii="Arial"/>
          <w:spacing w:val="18"/>
          <w:sz w:val="18"/>
          <w:highlight w:val="green"/>
        </w:rPr>
        <w:t xml:space="preserve"> </w:t>
      </w:r>
      <w:r w:rsidRPr="00CE5AA1">
        <w:rPr>
          <w:rFonts w:ascii="Arial"/>
          <w:spacing w:val="-1"/>
          <w:sz w:val="18"/>
          <w:highlight w:val="green"/>
        </w:rPr>
        <w:t>Indicators)</w:t>
      </w:r>
      <w:r w:rsidRPr="00CE5AA1">
        <w:rPr>
          <w:rFonts w:ascii="Arial"/>
          <w:spacing w:val="15"/>
          <w:sz w:val="18"/>
          <w:highlight w:val="green"/>
        </w:rPr>
        <w:t xml:space="preserve"> </w:t>
      </w:r>
      <w:r w:rsidRPr="00CE5AA1">
        <w:rPr>
          <w:rFonts w:ascii="Arial"/>
          <w:sz w:val="18"/>
          <w:highlight w:val="green"/>
        </w:rPr>
        <w:t>and</w:t>
      </w:r>
      <w:r w:rsidRPr="00CE5AA1">
        <w:rPr>
          <w:rFonts w:ascii="Arial"/>
          <w:spacing w:val="15"/>
          <w:sz w:val="18"/>
          <w:highlight w:val="green"/>
        </w:rPr>
        <w:t xml:space="preserve"> </w:t>
      </w:r>
      <w:r w:rsidRPr="00CE5AA1">
        <w:rPr>
          <w:rFonts w:ascii="Arial"/>
          <w:sz w:val="18"/>
          <w:highlight w:val="green"/>
        </w:rPr>
        <w:t>are</w:t>
      </w:r>
      <w:r w:rsidRPr="00CE5AA1">
        <w:rPr>
          <w:rFonts w:ascii="Arial"/>
          <w:spacing w:val="15"/>
          <w:sz w:val="18"/>
          <w:highlight w:val="green"/>
        </w:rPr>
        <w:t xml:space="preserve"> </w:t>
      </w:r>
      <w:r w:rsidRPr="00CE5AA1">
        <w:rPr>
          <w:rFonts w:ascii="Arial"/>
          <w:sz w:val="18"/>
          <w:highlight w:val="green"/>
        </w:rPr>
        <w:t>for</w:t>
      </w:r>
      <w:r w:rsidRPr="00CE5AA1">
        <w:rPr>
          <w:rFonts w:ascii="Arial"/>
          <w:spacing w:val="15"/>
          <w:sz w:val="18"/>
          <w:highlight w:val="green"/>
        </w:rPr>
        <w:t xml:space="preserve"> </w:t>
      </w:r>
      <w:r w:rsidRPr="00CE5AA1">
        <w:rPr>
          <w:rFonts w:ascii="Arial"/>
          <w:sz w:val="18"/>
          <w:highlight w:val="green"/>
        </w:rPr>
        <w:t>the</w:t>
      </w:r>
      <w:r w:rsidRPr="00CE5AA1">
        <w:rPr>
          <w:rFonts w:ascii="Arial"/>
          <w:spacing w:val="15"/>
          <w:sz w:val="18"/>
          <w:highlight w:val="green"/>
        </w:rPr>
        <w:t xml:space="preserve"> </w:t>
      </w:r>
      <w:r w:rsidRPr="00CE5AA1">
        <w:rPr>
          <w:rFonts w:ascii="Arial"/>
          <w:spacing w:val="-1"/>
          <w:sz w:val="18"/>
          <w:highlight w:val="green"/>
        </w:rPr>
        <w:t>Authority</w:t>
      </w:r>
      <w:r w:rsidRPr="00CE5AA1">
        <w:rPr>
          <w:rFonts w:ascii="Arial"/>
          <w:spacing w:val="16"/>
          <w:sz w:val="18"/>
          <w:highlight w:val="green"/>
        </w:rPr>
        <w:t xml:space="preserve"> </w:t>
      </w:r>
      <w:r w:rsidRPr="00CE5AA1">
        <w:rPr>
          <w:rFonts w:ascii="Arial"/>
          <w:sz w:val="18"/>
          <w:highlight w:val="green"/>
        </w:rPr>
        <w:t>to</w:t>
      </w:r>
      <w:r w:rsidRPr="00CE5AA1">
        <w:rPr>
          <w:rFonts w:ascii="Arial"/>
          <w:spacing w:val="15"/>
          <w:sz w:val="18"/>
          <w:highlight w:val="green"/>
        </w:rPr>
        <w:t xml:space="preserve"> </w:t>
      </w:r>
      <w:r w:rsidRPr="00CE5AA1">
        <w:rPr>
          <w:rFonts w:ascii="Arial"/>
          <w:spacing w:val="-1"/>
          <w:sz w:val="18"/>
          <w:highlight w:val="green"/>
        </w:rPr>
        <w:t>monitor</w:t>
      </w:r>
      <w:r w:rsidRPr="00CE5AA1">
        <w:rPr>
          <w:rFonts w:ascii="Arial"/>
          <w:spacing w:val="15"/>
          <w:sz w:val="18"/>
          <w:highlight w:val="green"/>
        </w:rPr>
        <w:t xml:space="preserve"> </w:t>
      </w:r>
      <w:r w:rsidRPr="00CE5AA1">
        <w:rPr>
          <w:rFonts w:ascii="Arial"/>
          <w:spacing w:val="-1"/>
          <w:sz w:val="18"/>
          <w:highlight w:val="green"/>
        </w:rPr>
        <w:t>performance</w:t>
      </w:r>
      <w:r w:rsidRPr="00CE5AA1">
        <w:rPr>
          <w:rFonts w:ascii="Arial"/>
          <w:spacing w:val="15"/>
          <w:sz w:val="18"/>
          <w:highlight w:val="green"/>
        </w:rPr>
        <w:t xml:space="preserve"> </w:t>
      </w:r>
      <w:r w:rsidRPr="00CE5AA1">
        <w:rPr>
          <w:rFonts w:ascii="Arial"/>
          <w:sz w:val="18"/>
          <w:highlight w:val="green"/>
        </w:rPr>
        <w:t>of</w:t>
      </w:r>
      <w:r w:rsidRPr="00CE5AA1">
        <w:rPr>
          <w:rFonts w:ascii="Arial"/>
          <w:spacing w:val="17"/>
          <w:sz w:val="18"/>
          <w:highlight w:val="green"/>
        </w:rPr>
        <w:t xml:space="preserve"> </w:t>
      </w:r>
      <w:r w:rsidRPr="00CE5AA1">
        <w:rPr>
          <w:rFonts w:ascii="Arial"/>
          <w:spacing w:val="-1"/>
          <w:sz w:val="18"/>
          <w:highlight w:val="green"/>
        </w:rPr>
        <w:t>the</w:t>
      </w:r>
      <w:r w:rsidRPr="00CE5AA1">
        <w:rPr>
          <w:rFonts w:ascii="Arial"/>
          <w:spacing w:val="18"/>
          <w:sz w:val="18"/>
          <w:highlight w:val="green"/>
        </w:rPr>
        <w:t xml:space="preserve"> </w:t>
      </w:r>
      <w:r w:rsidRPr="00CE5AA1">
        <w:rPr>
          <w:rFonts w:ascii="Arial"/>
          <w:spacing w:val="-1"/>
          <w:sz w:val="18"/>
          <w:highlight w:val="green"/>
        </w:rPr>
        <w:t>Framework</w:t>
      </w:r>
      <w:r w:rsidRPr="00CE5AA1">
        <w:rPr>
          <w:rFonts w:ascii="Arial"/>
          <w:spacing w:val="63"/>
          <w:sz w:val="18"/>
          <w:highlight w:val="green"/>
        </w:rPr>
        <w:t xml:space="preserve"> </w:t>
      </w:r>
      <w:r w:rsidRPr="00CE5AA1">
        <w:rPr>
          <w:rFonts w:ascii="Arial"/>
          <w:spacing w:val="-1"/>
          <w:sz w:val="18"/>
          <w:highlight w:val="green"/>
        </w:rPr>
        <w:t>Agreement.</w:t>
      </w:r>
      <w:r w:rsidRPr="00CE5AA1">
        <w:rPr>
          <w:rFonts w:ascii="Arial"/>
          <w:spacing w:val="5"/>
          <w:sz w:val="18"/>
          <w:highlight w:val="green"/>
        </w:rPr>
        <w:t xml:space="preserve"> </w:t>
      </w:r>
      <w:r w:rsidRPr="00CE5AA1">
        <w:rPr>
          <w:rFonts w:ascii="Arial"/>
          <w:spacing w:val="-1"/>
          <w:sz w:val="18"/>
          <w:highlight w:val="green"/>
        </w:rPr>
        <w:t>These</w:t>
      </w:r>
      <w:r w:rsidRPr="00CE5AA1">
        <w:rPr>
          <w:rFonts w:ascii="Arial"/>
          <w:spacing w:val="6"/>
          <w:sz w:val="18"/>
          <w:highlight w:val="green"/>
        </w:rPr>
        <w:t xml:space="preserve"> </w:t>
      </w:r>
      <w:r w:rsidRPr="00CE5AA1">
        <w:rPr>
          <w:rFonts w:ascii="Arial"/>
          <w:sz w:val="18"/>
          <w:highlight w:val="green"/>
        </w:rPr>
        <w:t>are</w:t>
      </w:r>
      <w:r w:rsidRPr="00CE5AA1">
        <w:rPr>
          <w:rFonts w:ascii="Arial"/>
          <w:spacing w:val="3"/>
          <w:sz w:val="18"/>
          <w:highlight w:val="green"/>
        </w:rPr>
        <w:t xml:space="preserve"> </w:t>
      </w:r>
      <w:r w:rsidRPr="00CE5AA1">
        <w:rPr>
          <w:rFonts w:ascii="Arial"/>
          <w:sz w:val="18"/>
          <w:highlight w:val="green"/>
        </w:rPr>
        <w:t>not</w:t>
      </w:r>
      <w:r w:rsidRPr="00CE5AA1">
        <w:rPr>
          <w:rFonts w:ascii="Arial"/>
          <w:spacing w:val="5"/>
          <w:sz w:val="18"/>
          <w:highlight w:val="green"/>
        </w:rPr>
        <w:t xml:space="preserve"> </w:t>
      </w:r>
      <w:r w:rsidRPr="00CE5AA1">
        <w:rPr>
          <w:rFonts w:ascii="Arial"/>
          <w:spacing w:val="-1"/>
          <w:sz w:val="18"/>
          <w:highlight w:val="green"/>
        </w:rPr>
        <w:t>the</w:t>
      </w:r>
      <w:r w:rsidRPr="00CE5AA1">
        <w:rPr>
          <w:rFonts w:ascii="Arial"/>
          <w:spacing w:val="6"/>
          <w:sz w:val="18"/>
          <w:highlight w:val="green"/>
        </w:rPr>
        <w:t xml:space="preserve"> </w:t>
      </w:r>
      <w:r w:rsidRPr="00CE5AA1">
        <w:rPr>
          <w:rFonts w:ascii="Arial"/>
          <w:sz w:val="18"/>
          <w:highlight w:val="green"/>
        </w:rPr>
        <w:t>same</w:t>
      </w:r>
      <w:r w:rsidRPr="00CE5AA1">
        <w:rPr>
          <w:rFonts w:ascii="Arial"/>
          <w:spacing w:val="6"/>
          <w:sz w:val="18"/>
          <w:highlight w:val="green"/>
        </w:rPr>
        <w:t xml:space="preserve"> </w:t>
      </w:r>
      <w:r w:rsidRPr="00CE5AA1">
        <w:rPr>
          <w:rFonts w:ascii="Arial"/>
          <w:spacing w:val="-1"/>
          <w:sz w:val="18"/>
          <w:highlight w:val="green"/>
        </w:rPr>
        <w:t>as</w:t>
      </w:r>
      <w:r w:rsidRPr="00CE5AA1">
        <w:rPr>
          <w:rFonts w:ascii="Arial"/>
          <w:spacing w:val="6"/>
          <w:sz w:val="18"/>
          <w:highlight w:val="green"/>
        </w:rPr>
        <w:t xml:space="preserve"> </w:t>
      </w:r>
      <w:r w:rsidRPr="00CE5AA1">
        <w:rPr>
          <w:rFonts w:ascii="Arial"/>
          <w:spacing w:val="-1"/>
          <w:sz w:val="18"/>
          <w:highlight w:val="green"/>
        </w:rPr>
        <w:t>Service</w:t>
      </w:r>
      <w:r w:rsidRPr="00CE5AA1">
        <w:rPr>
          <w:rFonts w:ascii="Arial"/>
          <w:spacing w:val="6"/>
          <w:sz w:val="18"/>
          <w:highlight w:val="green"/>
        </w:rPr>
        <w:t xml:space="preserve"> </w:t>
      </w:r>
      <w:r w:rsidRPr="00CE5AA1">
        <w:rPr>
          <w:rFonts w:ascii="Arial"/>
          <w:spacing w:val="-1"/>
          <w:sz w:val="18"/>
          <w:highlight w:val="green"/>
        </w:rPr>
        <w:t>Levels</w:t>
      </w:r>
      <w:r w:rsidRPr="00CE5AA1">
        <w:rPr>
          <w:rFonts w:ascii="Arial"/>
          <w:spacing w:val="4"/>
          <w:sz w:val="18"/>
          <w:highlight w:val="green"/>
        </w:rPr>
        <w:t xml:space="preserve"> </w:t>
      </w:r>
      <w:r w:rsidRPr="00CE5AA1">
        <w:rPr>
          <w:rFonts w:ascii="Arial"/>
          <w:spacing w:val="-1"/>
          <w:sz w:val="18"/>
          <w:highlight w:val="green"/>
        </w:rPr>
        <w:t>which</w:t>
      </w:r>
      <w:r w:rsidRPr="00CE5AA1">
        <w:rPr>
          <w:rFonts w:ascii="Arial"/>
          <w:spacing w:val="6"/>
          <w:sz w:val="18"/>
          <w:highlight w:val="green"/>
        </w:rPr>
        <w:t xml:space="preserve"> </w:t>
      </w:r>
      <w:r w:rsidRPr="00CE5AA1">
        <w:rPr>
          <w:rFonts w:ascii="Arial"/>
          <w:sz w:val="18"/>
          <w:highlight w:val="green"/>
        </w:rPr>
        <w:t>are</w:t>
      </w:r>
      <w:r w:rsidRPr="00CE5AA1">
        <w:rPr>
          <w:rFonts w:ascii="Arial"/>
          <w:spacing w:val="6"/>
          <w:sz w:val="18"/>
          <w:highlight w:val="green"/>
        </w:rPr>
        <w:t xml:space="preserve"> </w:t>
      </w:r>
      <w:r w:rsidRPr="00CE5AA1">
        <w:rPr>
          <w:rFonts w:ascii="Arial"/>
          <w:sz w:val="18"/>
          <w:highlight w:val="green"/>
        </w:rPr>
        <w:t>a</w:t>
      </w:r>
      <w:r w:rsidRPr="00CE5AA1">
        <w:rPr>
          <w:rFonts w:ascii="Arial"/>
          <w:spacing w:val="6"/>
          <w:sz w:val="18"/>
          <w:highlight w:val="green"/>
        </w:rPr>
        <w:t xml:space="preserve"> </w:t>
      </w:r>
      <w:r w:rsidRPr="00CE5AA1">
        <w:rPr>
          <w:rFonts w:ascii="Arial"/>
          <w:spacing w:val="-1"/>
          <w:sz w:val="18"/>
          <w:highlight w:val="green"/>
        </w:rPr>
        <w:t>performance</w:t>
      </w:r>
      <w:r w:rsidRPr="00CE5AA1">
        <w:rPr>
          <w:rFonts w:ascii="Arial"/>
          <w:spacing w:val="3"/>
          <w:sz w:val="18"/>
          <w:highlight w:val="green"/>
        </w:rPr>
        <w:t xml:space="preserve"> </w:t>
      </w:r>
      <w:r w:rsidRPr="00CE5AA1">
        <w:rPr>
          <w:rFonts w:ascii="Arial"/>
          <w:spacing w:val="-1"/>
          <w:sz w:val="18"/>
          <w:highlight w:val="green"/>
        </w:rPr>
        <w:t>management</w:t>
      </w:r>
      <w:r w:rsidRPr="00CE5AA1">
        <w:rPr>
          <w:rFonts w:ascii="Arial"/>
          <w:spacing w:val="5"/>
          <w:sz w:val="18"/>
          <w:highlight w:val="green"/>
        </w:rPr>
        <w:t xml:space="preserve"> </w:t>
      </w:r>
      <w:r w:rsidRPr="00CE5AA1">
        <w:rPr>
          <w:rFonts w:ascii="Arial"/>
          <w:spacing w:val="-1"/>
          <w:sz w:val="18"/>
          <w:highlight w:val="green"/>
        </w:rPr>
        <w:t>tool</w:t>
      </w:r>
      <w:r w:rsidRPr="00CE5AA1">
        <w:rPr>
          <w:rFonts w:ascii="Arial"/>
          <w:spacing w:val="6"/>
          <w:sz w:val="18"/>
          <w:highlight w:val="green"/>
        </w:rPr>
        <w:t xml:space="preserve"> </w:t>
      </w:r>
      <w:r w:rsidRPr="00CE5AA1">
        <w:rPr>
          <w:rFonts w:ascii="Arial"/>
          <w:spacing w:val="-1"/>
          <w:sz w:val="18"/>
          <w:highlight w:val="green"/>
        </w:rPr>
        <w:t>for</w:t>
      </w:r>
      <w:r w:rsidRPr="00CE5AA1">
        <w:rPr>
          <w:rFonts w:ascii="Arial"/>
          <w:spacing w:val="73"/>
          <w:sz w:val="18"/>
          <w:highlight w:val="green"/>
        </w:rPr>
        <w:t xml:space="preserve"> </w:t>
      </w:r>
      <w:r w:rsidRPr="00CE5AA1">
        <w:rPr>
          <w:rFonts w:ascii="Arial"/>
          <w:spacing w:val="-1"/>
          <w:sz w:val="18"/>
          <w:highlight w:val="green"/>
        </w:rPr>
        <w:t>Customers</w:t>
      </w:r>
      <w:r w:rsidRPr="00CE5AA1">
        <w:rPr>
          <w:rFonts w:ascii="Arial"/>
          <w:spacing w:val="1"/>
          <w:sz w:val="18"/>
          <w:highlight w:val="green"/>
        </w:rPr>
        <w:t xml:space="preserve"> </w:t>
      </w:r>
      <w:r w:rsidRPr="00CE5AA1">
        <w:rPr>
          <w:rFonts w:ascii="Arial"/>
          <w:spacing w:val="-1"/>
          <w:sz w:val="18"/>
          <w:highlight w:val="green"/>
        </w:rPr>
        <w:t>at</w:t>
      </w:r>
      <w:r w:rsidRPr="00CE5AA1">
        <w:rPr>
          <w:rFonts w:ascii="Arial"/>
          <w:sz w:val="18"/>
          <w:highlight w:val="green"/>
        </w:rPr>
        <w:t xml:space="preserve"> </w:t>
      </w:r>
      <w:r w:rsidRPr="00CE5AA1">
        <w:rPr>
          <w:rFonts w:ascii="Arial"/>
          <w:spacing w:val="-1"/>
          <w:sz w:val="18"/>
          <w:highlight w:val="green"/>
        </w:rPr>
        <w:t>call</w:t>
      </w:r>
      <w:r w:rsidRPr="00CE5AA1">
        <w:rPr>
          <w:rFonts w:ascii="Arial"/>
          <w:spacing w:val="1"/>
          <w:sz w:val="18"/>
          <w:highlight w:val="green"/>
        </w:rPr>
        <w:t xml:space="preserve"> </w:t>
      </w:r>
      <w:r w:rsidRPr="00CE5AA1">
        <w:rPr>
          <w:rFonts w:ascii="Arial"/>
          <w:sz w:val="18"/>
          <w:highlight w:val="green"/>
        </w:rPr>
        <w:t xml:space="preserve">off </w:t>
      </w:r>
      <w:r w:rsidRPr="00CE5AA1">
        <w:rPr>
          <w:rFonts w:ascii="Arial"/>
          <w:spacing w:val="-1"/>
          <w:sz w:val="18"/>
          <w:highlight w:val="green"/>
        </w:rPr>
        <w:t>stage</w:t>
      </w:r>
      <w:r w:rsidRPr="00CE5AA1">
        <w:rPr>
          <w:rFonts w:ascii="Arial"/>
          <w:spacing w:val="1"/>
          <w:sz w:val="18"/>
          <w:highlight w:val="green"/>
        </w:rPr>
        <w:t xml:space="preserve"> </w:t>
      </w:r>
      <w:r w:rsidRPr="00CE5AA1">
        <w:rPr>
          <w:rFonts w:ascii="Arial"/>
          <w:spacing w:val="-1"/>
          <w:sz w:val="18"/>
          <w:highlight w:val="green"/>
        </w:rPr>
        <w:t>and</w:t>
      </w:r>
      <w:r w:rsidRPr="00CE5AA1">
        <w:rPr>
          <w:rFonts w:ascii="Arial"/>
          <w:spacing w:val="1"/>
          <w:sz w:val="18"/>
          <w:highlight w:val="green"/>
        </w:rPr>
        <w:t xml:space="preserve"> </w:t>
      </w:r>
      <w:r w:rsidRPr="00CE5AA1">
        <w:rPr>
          <w:rFonts w:ascii="Arial"/>
          <w:sz w:val="18"/>
          <w:highlight w:val="green"/>
        </w:rPr>
        <w:t>are</w:t>
      </w:r>
      <w:r w:rsidRPr="00CE5AA1">
        <w:rPr>
          <w:rFonts w:ascii="Arial"/>
          <w:spacing w:val="1"/>
          <w:sz w:val="18"/>
          <w:highlight w:val="green"/>
        </w:rPr>
        <w:t xml:space="preserve"> </w:t>
      </w:r>
      <w:r w:rsidRPr="00CE5AA1">
        <w:rPr>
          <w:rFonts w:ascii="Arial"/>
          <w:spacing w:val="-1"/>
          <w:sz w:val="18"/>
          <w:highlight w:val="green"/>
        </w:rPr>
        <w:t>linked</w:t>
      </w:r>
      <w:r w:rsidRPr="00CE5AA1">
        <w:rPr>
          <w:rFonts w:ascii="Arial"/>
          <w:spacing w:val="1"/>
          <w:sz w:val="18"/>
          <w:highlight w:val="green"/>
        </w:rPr>
        <w:t xml:space="preserve"> </w:t>
      </w:r>
      <w:r w:rsidRPr="00CE5AA1">
        <w:rPr>
          <w:rFonts w:ascii="Arial"/>
          <w:sz w:val="18"/>
          <w:highlight w:val="green"/>
        </w:rPr>
        <w:t>to</w:t>
      </w:r>
      <w:r w:rsidRPr="00CE5AA1">
        <w:rPr>
          <w:rFonts w:ascii="Arial"/>
          <w:spacing w:val="1"/>
          <w:sz w:val="18"/>
          <w:highlight w:val="green"/>
        </w:rPr>
        <w:t xml:space="preserve"> </w:t>
      </w:r>
      <w:r w:rsidRPr="00CE5AA1">
        <w:rPr>
          <w:rFonts w:ascii="Arial"/>
          <w:spacing w:val="-1"/>
          <w:sz w:val="18"/>
          <w:highlight w:val="green"/>
        </w:rPr>
        <w:t>payment.</w:t>
      </w:r>
      <w:r w:rsidRPr="00CE5AA1">
        <w:rPr>
          <w:rFonts w:ascii="Arial"/>
          <w:sz w:val="18"/>
          <w:highlight w:val="green"/>
        </w:rPr>
        <w:t xml:space="preserve"> See</w:t>
      </w:r>
      <w:r w:rsidRPr="00CE5AA1">
        <w:rPr>
          <w:rFonts w:ascii="Arial"/>
          <w:spacing w:val="-2"/>
          <w:sz w:val="18"/>
          <w:highlight w:val="green"/>
        </w:rPr>
        <w:t xml:space="preserve"> </w:t>
      </w:r>
      <w:r w:rsidRPr="00CE5AA1">
        <w:rPr>
          <w:rFonts w:ascii="Arial"/>
          <w:spacing w:val="-1"/>
          <w:sz w:val="18"/>
          <w:highlight w:val="green"/>
        </w:rPr>
        <w:t>Clause</w:t>
      </w:r>
      <w:r w:rsidRPr="00CE5AA1">
        <w:rPr>
          <w:rFonts w:ascii="Arial"/>
          <w:spacing w:val="1"/>
          <w:sz w:val="18"/>
          <w:highlight w:val="green"/>
        </w:rPr>
        <w:t xml:space="preserve"> </w:t>
      </w:r>
      <w:hyperlink w:anchor="_bookmark94" w:history="1">
        <w:r w:rsidRPr="00CE5AA1">
          <w:rPr>
            <w:rFonts w:ascii="Arial"/>
            <w:sz w:val="18"/>
            <w:highlight w:val="green"/>
          </w:rPr>
          <w:t>13</w:t>
        </w:r>
      </w:hyperlink>
      <w:r w:rsidRPr="00CE5AA1">
        <w:rPr>
          <w:rFonts w:ascii="Arial"/>
          <w:spacing w:val="1"/>
          <w:sz w:val="18"/>
          <w:highlight w:val="green"/>
        </w:rPr>
        <w:t xml:space="preserve"> </w:t>
      </w:r>
      <w:r w:rsidRPr="00CE5AA1">
        <w:rPr>
          <w:rFonts w:ascii="Arial"/>
          <w:sz w:val="18"/>
          <w:highlight w:val="green"/>
        </w:rPr>
        <w:t>of the</w:t>
      </w:r>
      <w:r w:rsidRPr="00CE5AA1">
        <w:rPr>
          <w:rFonts w:ascii="Arial"/>
          <w:spacing w:val="1"/>
          <w:sz w:val="18"/>
          <w:highlight w:val="green"/>
        </w:rPr>
        <w:t xml:space="preserve"> </w:t>
      </w:r>
      <w:r w:rsidRPr="00CE5AA1">
        <w:rPr>
          <w:rFonts w:ascii="Arial"/>
          <w:spacing w:val="-1"/>
          <w:sz w:val="18"/>
          <w:highlight w:val="green"/>
        </w:rPr>
        <w:t>Template</w:t>
      </w:r>
      <w:r w:rsidRPr="00CE5AA1">
        <w:rPr>
          <w:rFonts w:ascii="Arial"/>
          <w:spacing w:val="1"/>
          <w:sz w:val="18"/>
          <w:highlight w:val="green"/>
        </w:rPr>
        <w:t xml:space="preserve"> </w:t>
      </w:r>
      <w:r w:rsidRPr="00CE5AA1">
        <w:rPr>
          <w:rFonts w:ascii="Arial"/>
          <w:spacing w:val="-2"/>
          <w:sz w:val="18"/>
          <w:highlight w:val="green"/>
        </w:rPr>
        <w:t>Call</w:t>
      </w:r>
      <w:r w:rsidRPr="00CE5AA1">
        <w:rPr>
          <w:rFonts w:ascii="Arial"/>
          <w:spacing w:val="1"/>
          <w:sz w:val="18"/>
          <w:highlight w:val="green"/>
        </w:rPr>
        <w:t xml:space="preserve"> </w:t>
      </w:r>
      <w:r w:rsidRPr="00CE5AA1">
        <w:rPr>
          <w:rFonts w:ascii="Arial"/>
          <w:spacing w:val="-1"/>
          <w:sz w:val="18"/>
          <w:highlight w:val="green"/>
        </w:rPr>
        <w:t>Off</w:t>
      </w:r>
      <w:r w:rsidRPr="00CE5AA1">
        <w:rPr>
          <w:rFonts w:ascii="Arial"/>
          <w:sz w:val="18"/>
          <w:highlight w:val="green"/>
        </w:rPr>
        <w:t xml:space="preserve"> terms</w:t>
      </w:r>
      <w:r w:rsidRPr="00CE5AA1">
        <w:rPr>
          <w:rFonts w:ascii="Arial"/>
          <w:spacing w:val="1"/>
          <w:sz w:val="18"/>
          <w:highlight w:val="green"/>
        </w:rPr>
        <w:t xml:space="preserve"> </w:t>
      </w:r>
      <w:r w:rsidRPr="00CE5AA1">
        <w:rPr>
          <w:rFonts w:ascii="Arial"/>
          <w:spacing w:val="-1"/>
          <w:sz w:val="18"/>
          <w:highlight w:val="green"/>
        </w:rPr>
        <w:t>and</w:t>
      </w:r>
      <w:r w:rsidRPr="00CE5AA1">
        <w:rPr>
          <w:rFonts w:ascii="Arial"/>
          <w:spacing w:val="1"/>
          <w:sz w:val="18"/>
          <w:highlight w:val="green"/>
        </w:rPr>
        <w:t xml:space="preserve"> </w:t>
      </w:r>
      <w:r w:rsidRPr="00CE5AA1">
        <w:rPr>
          <w:rFonts w:ascii="Arial"/>
          <w:sz w:val="18"/>
          <w:highlight w:val="green"/>
        </w:rPr>
        <w:t>Part A</w:t>
      </w:r>
      <w:r w:rsidR="001C1527">
        <w:rPr>
          <w:rFonts w:ascii="Arial"/>
          <w:spacing w:val="79"/>
          <w:sz w:val="18"/>
          <w:highlight w:val="green"/>
        </w:rPr>
        <w:t xml:space="preserve"> </w:t>
      </w:r>
      <w:r w:rsidRPr="00CE5AA1">
        <w:rPr>
          <w:rFonts w:ascii="Arial"/>
          <w:sz w:val="18"/>
          <w:highlight w:val="green"/>
        </w:rPr>
        <w:t>of</w:t>
      </w:r>
      <w:r w:rsidRPr="00CE5AA1">
        <w:rPr>
          <w:rFonts w:ascii="Arial"/>
          <w:spacing w:val="15"/>
          <w:sz w:val="18"/>
          <w:highlight w:val="green"/>
        </w:rPr>
        <w:t xml:space="preserve"> </w:t>
      </w:r>
      <w:r w:rsidRPr="00CE5AA1">
        <w:rPr>
          <w:rFonts w:ascii="Arial"/>
          <w:spacing w:val="-1"/>
          <w:sz w:val="18"/>
          <w:highlight w:val="green"/>
        </w:rPr>
        <w:t>Call</w:t>
      </w:r>
      <w:r w:rsidRPr="00CE5AA1">
        <w:rPr>
          <w:rFonts w:ascii="Arial"/>
          <w:spacing w:val="15"/>
          <w:sz w:val="18"/>
          <w:highlight w:val="green"/>
        </w:rPr>
        <w:t xml:space="preserve"> </w:t>
      </w:r>
      <w:r w:rsidRPr="00CE5AA1">
        <w:rPr>
          <w:rFonts w:ascii="Arial"/>
          <w:spacing w:val="-1"/>
          <w:sz w:val="18"/>
          <w:highlight w:val="green"/>
        </w:rPr>
        <w:t>Off</w:t>
      </w:r>
      <w:r w:rsidRPr="00CE5AA1">
        <w:rPr>
          <w:rFonts w:ascii="Arial"/>
          <w:spacing w:val="12"/>
          <w:sz w:val="18"/>
          <w:highlight w:val="green"/>
        </w:rPr>
        <w:t xml:space="preserve"> </w:t>
      </w:r>
      <w:r w:rsidRPr="00CE5AA1">
        <w:rPr>
          <w:rFonts w:ascii="Arial"/>
          <w:spacing w:val="-1"/>
          <w:sz w:val="18"/>
          <w:highlight w:val="green"/>
        </w:rPr>
        <w:t>Schedule</w:t>
      </w:r>
      <w:r w:rsidRPr="00CE5AA1">
        <w:rPr>
          <w:rFonts w:ascii="Arial"/>
          <w:spacing w:val="13"/>
          <w:sz w:val="18"/>
          <w:highlight w:val="green"/>
        </w:rPr>
        <w:t xml:space="preserve"> </w:t>
      </w:r>
      <w:r w:rsidRPr="00CE5AA1">
        <w:rPr>
          <w:rFonts w:ascii="Arial"/>
          <w:sz w:val="18"/>
          <w:highlight w:val="green"/>
        </w:rPr>
        <w:t>6</w:t>
      </w:r>
      <w:r w:rsidRPr="00CE5AA1">
        <w:rPr>
          <w:rFonts w:ascii="Arial"/>
          <w:spacing w:val="15"/>
          <w:sz w:val="18"/>
          <w:highlight w:val="green"/>
        </w:rPr>
        <w:t xml:space="preserve"> </w:t>
      </w:r>
      <w:r w:rsidRPr="00CE5AA1">
        <w:rPr>
          <w:rFonts w:ascii="Arial"/>
          <w:spacing w:val="-1"/>
          <w:sz w:val="18"/>
          <w:highlight w:val="green"/>
        </w:rPr>
        <w:t>(Service</w:t>
      </w:r>
      <w:r w:rsidRPr="00CE5AA1">
        <w:rPr>
          <w:rFonts w:ascii="Arial"/>
          <w:spacing w:val="15"/>
          <w:sz w:val="18"/>
          <w:highlight w:val="green"/>
        </w:rPr>
        <w:t xml:space="preserve"> </w:t>
      </w:r>
      <w:r w:rsidRPr="00CE5AA1">
        <w:rPr>
          <w:rFonts w:ascii="Arial"/>
          <w:spacing w:val="-1"/>
          <w:sz w:val="18"/>
          <w:highlight w:val="green"/>
        </w:rPr>
        <w:t>Levels,</w:t>
      </w:r>
      <w:r w:rsidRPr="00CE5AA1">
        <w:rPr>
          <w:rFonts w:ascii="Arial"/>
          <w:spacing w:val="12"/>
          <w:sz w:val="18"/>
          <w:highlight w:val="green"/>
        </w:rPr>
        <w:t xml:space="preserve"> </w:t>
      </w:r>
      <w:r w:rsidRPr="00CE5AA1">
        <w:rPr>
          <w:rFonts w:ascii="Arial"/>
          <w:spacing w:val="-1"/>
          <w:sz w:val="18"/>
          <w:highlight w:val="green"/>
        </w:rPr>
        <w:t>Service</w:t>
      </w:r>
      <w:r w:rsidRPr="00CE5AA1">
        <w:rPr>
          <w:rFonts w:ascii="Arial"/>
          <w:spacing w:val="15"/>
          <w:sz w:val="18"/>
          <w:highlight w:val="green"/>
        </w:rPr>
        <w:t xml:space="preserve"> </w:t>
      </w:r>
      <w:r w:rsidRPr="00CE5AA1">
        <w:rPr>
          <w:rFonts w:ascii="Arial"/>
          <w:spacing w:val="-1"/>
          <w:sz w:val="18"/>
          <w:highlight w:val="green"/>
        </w:rPr>
        <w:t>Credits</w:t>
      </w:r>
      <w:r w:rsidRPr="00CE5AA1">
        <w:rPr>
          <w:rFonts w:ascii="Arial"/>
          <w:spacing w:val="13"/>
          <w:sz w:val="18"/>
          <w:highlight w:val="green"/>
        </w:rPr>
        <w:t xml:space="preserve"> </w:t>
      </w:r>
      <w:r w:rsidRPr="00CE5AA1">
        <w:rPr>
          <w:rFonts w:ascii="Arial"/>
          <w:spacing w:val="-1"/>
          <w:sz w:val="18"/>
          <w:highlight w:val="green"/>
        </w:rPr>
        <w:t>and</w:t>
      </w:r>
      <w:r w:rsidRPr="00CE5AA1">
        <w:rPr>
          <w:rFonts w:ascii="Arial"/>
          <w:spacing w:val="13"/>
          <w:sz w:val="18"/>
          <w:highlight w:val="green"/>
        </w:rPr>
        <w:t xml:space="preserve"> </w:t>
      </w:r>
      <w:r w:rsidRPr="00CE5AA1">
        <w:rPr>
          <w:rFonts w:ascii="Arial"/>
          <w:spacing w:val="-1"/>
          <w:sz w:val="18"/>
          <w:highlight w:val="green"/>
        </w:rPr>
        <w:t>Performance</w:t>
      </w:r>
      <w:r w:rsidRPr="00CE5AA1">
        <w:rPr>
          <w:rFonts w:ascii="Arial"/>
          <w:spacing w:val="13"/>
          <w:sz w:val="18"/>
          <w:highlight w:val="green"/>
        </w:rPr>
        <w:t xml:space="preserve"> </w:t>
      </w:r>
      <w:r w:rsidRPr="00CE5AA1">
        <w:rPr>
          <w:rFonts w:ascii="Arial"/>
          <w:spacing w:val="-1"/>
          <w:sz w:val="18"/>
          <w:highlight w:val="green"/>
        </w:rPr>
        <w:t>Monitoring)</w:t>
      </w:r>
      <w:r w:rsidRPr="00CE5AA1">
        <w:rPr>
          <w:rFonts w:ascii="Arial"/>
          <w:spacing w:val="12"/>
          <w:sz w:val="18"/>
          <w:highlight w:val="green"/>
        </w:rPr>
        <w:t xml:space="preserve"> </w:t>
      </w:r>
      <w:r w:rsidRPr="00CE5AA1">
        <w:rPr>
          <w:rFonts w:ascii="Arial"/>
          <w:sz w:val="18"/>
          <w:highlight w:val="green"/>
        </w:rPr>
        <w:t>for</w:t>
      </w:r>
      <w:r w:rsidRPr="00CE5AA1">
        <w:rPr>
          <w:rFonts w:ascii="Arial"/>
          <w:spacing w:val="12"/>
          <w:sz w:val="18"/>
          <w:highlight w:val="green"/>
        </w:rPr>
        <w:t xml:space="preserve"> </w:t>
      </w:r>
      <w:r w:rsidRPr="00CE5AA1">
        <w:rPr>
          <w:rFonts w:ascii="Arial"/>
          <w:spacing w:val="-1"/>
          <w:sz w:val="18"/>
          <w:highlight w:val="green"/>
        </w:rPr>
        <w:t>further</w:t>
      </w:r>
      <w:r w:rsidRPr="00CE5AA1">
        <w:rPr>
          <w:rFonts w:ascii="Arial"/>
          <w:spacing w:val="12"/>
          <w:sz w:val="18"/>
          <w:highlight w:val="green"/>
        </w:rPr>
        <w:t xml:space="preserve"> </w:t>
      </w:r>
      <w:r w:rsidRPr="00CE5AA1">
        <w:rPr>
          <w:rFonts w:ascii="Arial"/>
          <w:spacing w:val="-1"/>
          <w:sz w:val="18"/>
          <w:highlight w:val="green"/>
        </w:rPr>
        <w:t>information.</w:t>
      </w:r>
      <w:r w:rsidRPr="00CE5AA1">
        <w:rPr>
          <w:rFonts w:ascii="Arial"/>
          <w:spacing w:val="15"/>
          <w:sz w:val="18"/>
          <w:highlight w:val="green"/>
        </w:rPr>
        <w:t xml:space="preserve"> </w:t>
      </w:r>
      <w:r w:rsidRPr="00CE5AA1">
        <w:rPr>
          <w:rFonts w:ascii="Arial"/>
          <w:sz w:val="18"/>
          <w:highlight w:val="green"/>
        </w:rPr>
        <w:t>If</w:t>
      </w:r>
      <w:r w:rsidRPr="00CE5AA1">
        <w:rPr>
          <w:rFonts w:ascii="Arial"/>
          <w:spacing w:val="99"/>
          <w:sz w:val="18"/>
          <w:highlight w:val="green"/>
        </w:rPr>
        <w:t xml:space="preserve"> </w:t>
      </w:r>
      <w:r w:rsidRPr="00CE5AA1">
        <w:rPr>
          <w:rFonts w:ascii="Arial"/>
          <w:spacing w:val="-1"/>
          <w:sz w:val="18"/>
          <w:highlight w:val="green"/>
        </w:rPr>
        <w:t>Service</w:t>
      </w:r>
      <w:r w:rsidRPr="00CE5AA1">
        <w:rPr>
          <w:rFonts w:ascii="Arial"/>
          <w:spacing w:val="20"/>
          <w:sz w:val="18"/>
          <w:highlight w:val="green"/>
        </w:rPr>
        <w:t xml:space="preserve"> </w:t>
      </w:r>
      <w:r w:rsidRPr="00CE5AA1">
        <w:rPr>
          <w:rFonts w:ascii="Arial"/>
          <w:spacing w:val="-1"/>
          <w:sz w:val="18"/>
          <w:highlight w:val="green"/>
        </w:rPr>
        <w:t>Credits</w:t>
      </w:r>
      <w:r w:rsidRPr="00CE5AA1">
        <w:rPr>
          <w:rFonts w:ascii="Arial"/>
          <w:spacing w:val="20"/>
          <w:sz w:val="18"/>
          <w:highlight w:val="green"/>
        </w:rPr>
        <w:t xml:space="preserve"> </w:t>
      </w:r>
      <w:r w:rsidRPr="00CE5AA1">
        <w:rPr>
          <w:rFonts w:ascii="Arial"/>
          <w:sz w:val="18"/>
          <w:highlight w:val="green"/>
        </w:rPr>
        <w:t>are</w:t>
      </w:r>
      <w:r w:rsidRPr="00CE5AA1">
        <w:rPr>
          <w:rFonts w:ascii="Arial"/>
          <w:spacing w:val="20"/>
          <w:sz w:val="18"/>
          <w:highlight w:val="green"/>
        </w:rPr>
        <w:t xml:space="preserve"> </w:t>
      </w:r>
      <w:r w:rsidRPr="00CE5AA1">
        <w:rPr>
          <w:rFonts w:ascii="Arial"/>
          <w:spacing w:val="-1"/>
          <w:sz w:val="18"/>
          <w:highlight w:val="green"/>
        </w:rPr>
        <w:t>required,</w:t>
      </w:r>
      <w:r w:rsidRPr="00CE5AA1">
        <w:rPr>
          <w:rFonts w:ascii="Arial"/>
          <w:spacing w:val="17"/>
          <w:sz w:val="18"/>
          <w:highlight w:val="green"/>
        </w:rPr>
        <w:t xml:space="preserve"> </w:t>
      </w:r>
      <w:r w:rsidRPr="00CE5AA1">
        <w:rPr>
          <w:rFonts w:ascii="Arial"/>
          <w:spacing w:val="-1"/>
          <w:sz w:val="18"/>
          <w:highlight w:val="green"/>
        </w:rPr>
        <w:t>populate</w:t>
      </w:r>
      <w:r w:rsidRPr="00CE5AA1">
        <w:rPr>
          <w:rFonts w:ascii="Arial"/>
          <w:spacing w:val="20"/>
          <w:sz w:val="18"/>
          <w:highlight w:val="green"/>
        </w:rPr>
        <w:t xml:space="preserve"> </w:t>
      </w:r>
      <w:r w:rsidRPr="00CE5AA1">
        <w:rPr>
          <w:rFonts w:ascii="Arial"/>
          <w:spacing w:val="-1"/>
          <w:sz w:val="18"/>
          <w:highlight w:val="green"/>
        </w:rPr>
        <w:t>the</w:t>
      </w:r>
      <w:r w:rsidRPr="00CE5AA1">
        <w:rPr>
          <w:rFonts w:ascii="Arial"/>
          <w:spacing w:val="20"/>
          <w:sz w:val="18"/>
          <w:highlight w:val="green"/>
        </w:rPr>
        <w:t xml:space="preserve"> </w:t>
      </w:r>
      <w:r w:rsidRPr="00CE5AA1">
        <w:rPr>
          <w:rFonts w:ascii="Arial"/>
          <w:spacing w:val="-1"/>
          <w:sz w:val="18"/>
          <w:highlight w:val="green"/>
        </w:rPr>
        <w:t>Service</w:t>
      </w:r>
      <w:r w:rsidRPr="00CE5AA1">
        <w:rPr>
          <w:rFonts w:ascii="Arial"/>
          <w:spacing w:val="20"/>
          <w:sz w:val="18"/>
          <w:highlight w:val="green"/>
        </w:rPr>
        <w:t xml:space="preserve"> </w:t>
      </w:r>
      <w:r w:rsidRPr="00CE5AA1">
        <w:rPr>
          <w:rFonts w:ascii="Arial"/>
          <w:spacing w:val="-1"/>
          <w:sz w:val="18"/>
          <w:highlight w:val="green"/>
        </w:rPr>
        <w:t>Levels/Service</w:t>
      </w:r>
      <w:r w:rsidRPr="00CE5AA1">
        <w:rPr>
          <w:rFonts w:ascii="Arial"/>
          <w:spacing w:val="20"/>
          <w:sz w:val="18"/>
          <w:highlight w:val="green"/>
        </w:rPr>
        <w:t xml:space="preserve"> </w:t>
      </w:r>
      <w:r w:rsidRPr="00CE5AA1">
        <w:rPr>
          <w:rFonts w:ascii="Arial"/>
          <w:spacing w:val="-1"/>
          <w:sz w:val="18"/>
          <w:highlight w:val="green"/>
        </w:rPr>
        <w:t>Credits</w:t>
      </w:r>
      <w:r w:rsidRPr="00CE5AA1">
        <w:rPr>
          <w:rFonts w:ascii="Arial"/>
          <w:spacing w:val="20"/>
          <w:sz w:val="18"/>
          <w:highlight w:val="green"/>
        </w:rPr>
        <w:t xml:space="preserve"> </w:t>
      </w:r>
      <w:r w:rsidRPr="00CE5AA1">
        <w:rPr>
          <w:rFonts w:ascii="Arial"/>
          <w:spacing w:val="-1"/>
          <w:sz w:val="18"/>
          <w:highlight w:val="green"/>
        </w:rPr>
        <w:t>and</w:t>
      </w:r>
      <w:r w:rsidRPr="00CE5AA1">
        <w:rPr>
          <w:rFonts w:ascii="Arial"/>
          <w:spacing w:val="20"/>
          <w:sz w:val="18"/>
          <w:highlight w:val="green"/>
        </w:rPr>
        <w:t xml:space="preserve"> </w:t>
      </w:r>
      <w:r w:rsidRPr="00CE5AA1">
        <w:rPr>
          <w:rFonts w:ascii="Arial"/>
          <w:sz w:val="18"/>
          <w:highlight w:val="green"/>
        </w:rPr>
        <w:t>the</w:t>
      </w:r>
      <w:r w:rsidRPr="00CE5AA1">
        <w:rPr>
          <w:rFonts w:ascii="Arial"/>
          <w:spacing w:val="20"/>
          <w:sz w:val="18"/>
          <w:highlight w:val="green"/>
        </w:rPr>
        <w:t xml:space="preserve"> </w:t>
      </w:r>
      <w:r w:rsidRPr="00CE5AA1">
        <w:rPr>
          <w:rFonts w:ascii="Arial"/>
          <w:spacing w:val="-1"/>
          <w:sz w:val="18"/>
          <w:highlight w:val="green"/>
        </w:rPr>
        <w:t>definition</w:t>
      </w:r>
      <w:r w:rsidRPr="00CE5AA1">
        <w:rPr>
          <w:rFonts w:ascii="Arial"/>
          <w:spacing w:val="20"/>
          <w:sz w:val="18"/>
          <w:highlight w:val="green"/>
        </w:rPr>
        <w:t xml:space="preserve"> </w:t>
      </w:r>
      <w:r w:rsidRPr="00CE5AA1">
        <w:rPr>
          <w:rFonts w:ascii="Arial"/>
          <w:sz w:val="18"/>
          <w:highlight w:val="green"/>
        </w:rPr>
        <w:t>of</w:t>
      </w:r>
      <w:r w:rsidRPr="00CE5AA1">
        <w:rPr>
          <w:rFonts w:ascii="Arial"/>
          <w:spacing w:val="20"/>
          <w:sz w:val="18"/>
          <w:highlight w:val="green"/>
        </w:rPr>
        <w:t xml:space="preserve"> </w:t>
      </w:r>
      <w:r w:rsidRPr="00CE5AA1">
        <w:rPr>
          <w:rFonts w:ascii="Arial"/>
          <w:spacing w:val="-1"/>
          <w:sz w:val="18"/>
          <w:highlight w:val="green"/>
        </w:rPr>
        <w:t>Service</w:t>
      </w:r>
      <w:r w:rsidRPr="00CE5AA1">
        <w:rPr>
          <w:rFonts w:ascii="Arial"/>
          <w:spacing w:val="20"/>
          <w:sz w:val="18"/>
          <w:highlight w:val="green"/>
        </w:rPr>
        <w:t xml:space="preserve"> </w:t>
      </w:r>
      <w:r w:rsidRPr="00CE5AA1">
        <w:rPr>
          <w:rFonts w:ascii="Arial"/>
          <w:spacing w:val="-1"/>
          <w:sz w:val="18"/>
          <w:highlight w:val="green"/>
        </w:rPr>
        <w:t>Credit</w:t>
      </w:r>
      <w:r w:rsidRPr="00CE5AA1">
        <w:rPr>
          <w:rFonts w:ascii="Arial"/>
          <w:spacing w:val="105"/>
          <w:sz w:val="18"/>
          <w:highlight w:val="green"/>
        </w:rPr>
        <w:t xml:space="preserve"> </w:t>
      </w:r>
      <w:r w:rsidRPr="00CE5AA1">
        <w:rPr>
          <w:rFonts w:ascii="Arial"/>
          <w:spacing w:val="-1"/>
          <w:sz w:val="18"/>
          <w:highlight w:val="green"/>
        </w:rPr>
        <w:t>Cap</w:t>
      </w:r>
      <w:r w:rsidRPr="00CE5AA1">
        <w:rPr>
          <w:rFonts w:ascii="Arial"/>
          <w:spacing w:val="15"/>
          <w:sz w:val="18"/>
          <w:highlight w:val="green"/>
        </w:rPr>
        <w:t xml:space="preserve"> </w:t>
      </w:r>
      <w:r w:rsidRPr="00CE5AA1">
        <w:rPr>
          <w:rFonts w:ascii="Arial"/>
          <w:sz w:val="18"/>
          <w:highlight w:val="green"/>
        </w:rPr>
        <w:t>in</w:t>
      </w:r>
      <w:r w:rsidRPr="00CE5AA1">
        <w:rPr>
          <w:rFonts w:ascii="Arial"/>
          <w:spacing w:val="15"/>
          <w:sz w:val="18"/>
          <w:highlight w:val="green"/>
        </w:rPr>
        <w:t xml:space="preserve"> </w:t>
      </w:r>
      <w:r w:rsidRPr="00CE5AA1">
        <w:rPr>
          <w:rFonts w:ascii="Arial"/>
          <w:spacing w:val="-1"/>
          <w:sz w:val="18"/>
          <w:highlight w:val="green"/>
        </w:rPr>
        <w:t>Paragraph</w:t>
      </w:r>
      <w:r w:rsidRPr="00CE5AA1">
        <w:rPr>
          <w:rFonts w:ascii="Arial"/>
          <w:spacing w:val="13"/>
          <w:sz w:val="18"/>
          <w:highlight w:val="green"/>
        </w:rPr>
        <w:t xml:space="preserve"> </w:t>
      </w:r>
      <w:hyperlink w:anchor="_bookmark313" w:history="1">
        <w:r w:rsidRPr="00CE5AA1">
          <w:rPr>
            <w:rFonts w:ascii="Arial"/>
            <w:sz w:val="18"/>
            <w:highlight w:val="green"/>
          </w:rPr>
          <w:t>7</w:t>
        </w:r>
      </w:hyperlink>
      <w:r w:rsidRPr="00CE5AA1">
        <w:rPr>
          <w:rFonts w:ascii="Arial"/>
          <w:spacing w:val="15"/>
          <w:sz w:val="18"/>
          <w:highlight w:val="green"/>
        </w:rPr>
        <w:t xml:space="preserve"> </w:t>
      </w:r>
      <w:r w:rsidRPr="00CE5AA1">
        <w:rPr>
          <w:rFonts w:ascii="Arial"/>
          <w:sz w:val="18"/>
          <w:highlight w:val="green"/>
        </w:rPr>
        <w:t>of</w:t>
      </w:r>
      <w:r w:rsidRPr="00CE5AA1">
        <w:rPr>
          <w:rFonts w:ascii="Arial"/>
          <w:spacing w:val="12"/>
          <w:sz w:val="18"/>
          <w:highlight w:val="green"/>
        </w:rPr>
        <w:t xml:space="preserve"> </w:t>
      </w:r>
      <w:r w:rsidRPr="00CE5AA1">
        <w:rPr>
          <w:rFonts w:ascii="Arial"/>
          <w:sz w:val="18"/>
          <w:highlight w:val="green"/>
        </w:rPr>
        <w:t>Annex</w:t>
      </w:r>
      <w:r w:rsidRPr="00CE5AA1">
        <w:rPr>
          <w:rFonts w:ascii="Arial"/>
          <w:spacing w:val="11"/>
          <w:sz w:val="18"/>
          <w:highlight w:val="green"/>
        </w:rPr>
        <w:t xml:space="preserve"> </w:t>
      </w:r>
      <w:r w:rsidRPr="00CE5AA1">
        <w:rPr>
          <w:rFonts w:ascii="Arial"/>
          <w:sz w:val="18"/>
          <w:highlight w:val="green"/>
        </w:rPr>
        <w:t>1</w:t>
      </w:r>
      <w:r w:rsidRPr="00CE5AA1">
        <w:rPr>
          <w:rFonts w:ascii="Arial"/>
          <w:spacing w:val="15"/>
          <w:sz w:val="18"/>
          <w:highlight w:val="green"/>
        </w:rPr>
        <w:t xml:space="preserve"> </w:t>
      </w:r>
      <w:r w:rsidRPr="00CE5AA1">
        <w:rPr>
          <w:rFonts w:ascii="Arial"/>
          <w:sz w:val="18"/>
          <w:highlight w:val="green"/>
        </w:rPr>
        <w:t>of</w:t>
      </w:r>
      <w:r w:rsidRPr="00CE5AA1">
        <w:rPr>
          <w:rFonts w:ascii="Arial"/>
          <w:spacing w:val="15"/>
          <w:sz w:val="18"/>
          <w:highlight w:val="green"/>
        </w:rPr>
        <w:t xml:space="preserve"> </w:t>
      </w:r>
      <w:r w:rsidRPr="00CE5AA1">
        <w:rPr>
          <w:rFonts w:ascii="Arial"/>
          <w:spacing w:val="-1"/>
          <w:sz w:val="18"/>
          <w:highlight w:val="green"/>
        </w:rPr>
        <w:t>Part</w:t>
      </w:r>
      <w:r w:rsidRPr="00CE5AA1">
        <w:rPr>
          <w:rFonts w:ascii="Arial"/>
          <w:spacing w:val="15"/>
          <w:sz w:val="18"/>
          <w:highlight w:val="green"/>
        </w:rPr>
        <w:t xml:space="preserve"> </w:t>
      </w:r>
      <w:r w:rsidRPr="00CE5AA1">
        <w:rPr>
          <w:rFonts w:ascii="Arial"/>
          <w:sz w:val="18"/>
          <w:highlight w:val="green"/>
        </w:rPr>
        <w:t>A</w:t>
      </w:r>
      <w:r w:rsidRPr="00CE5AA1">
        <w:rPr>
          <w:rFonts w:ascii="Arial"/>
          <w:spacing w:val="12"/>
          <w:sz w:val="18"/>
          <w:highlight w:val="green"/>
        </w:rPr>
        <w:t xml:space="preserve"> </w:t>
      </w:r>
      <w:r w:rsidRPr="00CE5AA1">
        <w:rPr>
          <w:rFonts w:ascii="Arial"/>
          <w:sz w:val="18"/>
          <w:highlight w:val="green"/>
        </w:rPr>
        <w:t>of</w:t>
      </w:r>
      <w:r w:rsidRPr="00CE5AA1">
        <w:rPr>
          <w:rFonts w:ascii="Arial"/>
          <w:spacing w:val="14"/>
          <w:sz w:val="18"/>
          <w:highlight w:val="green"/>
        </w:rPr>
        <w:t xml:space="preserve"> </w:t>
      </w:r>
      <w:r w:rsidRPr="00CE5AA1">
        <w:rPr>
          <w:rFonts w:ascii="Arial"/>
          <w:spacing w:val="-1"/>
          <w:sz w:val="18"/>
          <w:highlight w:val="green"/>
        </w:rPr>
        <w:t>that</w:t>
      </w:r>
      <w:r w:rsidRPr="00CE5AA1">
        <w:rPr>
          <w:rFonts w:ascii="Arial"/>
          <w:spacing w:val="15"/>
          <w:sz w:val="18"/>
          <w:highlight w:val="green"/>
        </w:rPr>
        <w:t xml:space="preserve"> </w:t>
      </w:r>
      <w:r w:rsidRPr="00CE5AA1">
        <w:rPr>
          <w:rFonts w:ascii="Arial"/>
          <w:spacing w:val="-1"/>
          <w:sz w:val="18"/>
          <w:highlight w:val="green"/>
        </w:rPr>
        <w:t>Call</w:t>
      </w:r>
      <w:r w:rsidRPr="00CE5AA1">
        <w:rPr>
          <w:rFonts w:ascii="Arial"/>
          <w:spacing w:val="15"/>
          <w:sz w:val="18"/>
          <w:highlight w:val="green"/>
        </w:rPr>
        <w:t xml:space="preserve"> </w:t>
      </w:r>
      <w:r w:rsidRPr="00CE5AA1">
        <w:rPr>
          <w:rFonts w:ascii="Arial"/>
          <w:spacing w:val="-1"/>
          <w:sz w:val="18"/>
          <w:highlight w:val="green"/>
        </w:rPr>
        <w:t>Off</w:t>
      </w:r>
      <w:r w:rsidRPr="00CE5AA1">
        <w:rPr>
          <w:rFonts w:ascii="Arial"/>
          <w:spacing w:val="15"/>
          <w:sz w:val="18"/>
          <w:highlight w:val="green"/>
        </w:rPr>
        <w:t xml:space="preserve"> </w:t>
      </w:r>
      <w:r w:rsidRPr="00CE5AA1">
        <w:rPr>
          <w:rFonts w:ascii="Arial"/>
          <w:spacing w:val="-1"/>
          <w:sz w:val="18"/>
          <w:highlight w:val="green"/>
        </w:rPr>
        <w:t>Schedule.</w:t>
      </w:r>
      <w:r w:rsidRPr="00CE5AA1">
        <w:rPr>
          <w:rFonts w:ascii="Arial"/>
          <w:spacing w:val="12"/>
          <w:sz w:val="18"/>
          <w:highlight w:val="green"/>
        </w:rPr>
        <w:t xml:space="preserve"> </w:t>
      </w:r>
      <w:r w:rsidRPr="00CE5AA1">
        <w:rPr>
          <w:rFonts w:ascii="Arial"/>
          <w:spacing w:val="-1"/>
          <w:sz w:val="18"/>
          <w:highlight w:val="green"/>
        </w:rPr>
        <w:t>Service</w:t>
      </w:r>
      <w:r w:rsidRPr="00CE5AA1">
        <w:rPr>
          <w:rFonts w:ascii="Arial"/>
          <w:spacing w:val="15"/>
          <w:sz w:val="18"/>
          <w:highlight w:val="green"/>
        </w:rPr>
        <w:t xml:space="preserve"> </w:t>
      </w:r>
      <w:r w:rsidRPr="00CE5AA1">
        <w:rPr>
          <w:rFonts w:ascii="Arial"/>
          <w:spacing w:val="-1"/>
          <w:sz w:val="18"/>
          <w:highlight w:val="green"/>
        </w:rPr>
        <w:t>Credits</w:t>
      </w:r>
      <w:r w:rsidRPr="00CE5AA1">
        <w:rPr>
          <w:rFonts w:ascii="Arial"/>
          <w:spacing w:val="16"/>
          <w:sz w:val="18"/>
          <w:highlight w:val="green"/>
        </w:rPr>
        <w:t xml:space="preserve"> </w:t>
      </w:r>
      <w:r w:rsidRPr="00CE5AA1">
        <w:rPr>
          <w:rFonts w:ascii="Arial"/>
          <w:spacing w:val="-1"/>
          <w:sz w:val="18"/>
          <w:highlight w:val="green"/>
        </w:rPr>
        <w:t>will</w:t>
      </w:r>
      <w:r w:rsidRPr="00CE5AA1">
        <w:rPr>
          <w:rFonts w:ascii="Arial"/>
          <w:spacing w:val="13"/>
          <w:sz w:val="18"/>
          <w:highlight w:val="green"/>
        </w:rPr>
        <w:t xml:space="preserve"> </w:t>
      </w:r>
      <w:r w:rsidRPr="00CE5AA1">
        <w:rPr>
          <w:rFonts w:ascii="Arial"/>
          <w:sz w:val="18"/>
          <w:highlight w:val="green"/>
        </w:rPr>
        <w:t>not</w:t>
      </w:r>
      <w:r w:rsidRPr="00CE5AA1">
        <w:rPr>
          <w:rFonts w:ascii="Arial"/>
          <w:spacing w:val="15"/>
          <w:sz w:val="18"/>
          <w:highlight w:val="green"/>
        </w:rPr>
        <w:t xml:space="preserve"> </w:t>
      </w:r>
      <w:r w:rsidRPr="00CE5AA1">
        <w:rPr>
          <w:rFonts w:ascii="Arial"/>
          <w:spacing w:val="-1"/>
          <w:sz w:val="18"/>
          <w:highlight w:val="green"/>
        </w:rPr>
        <w:t>be</w:t>
      </w:r>
      <w:r w:rsidRPr="00CE5AA1">
        <w:rPr>
          <w:rFonts w:ascii="Arial"/>
          <w:spacing w:val="15"/>
          <w:sz w:val="18"/>
          <w:highlight w:val="green"/>
        </w:rPr>
        <w:t xml:space="preserve"> </w:t>
      </w:r>
      <w:r w:rsidRPr="00CE5AA1">
        <w:rPr>
          <w:rFonts w:ascii="Arial"/>
          <w:spacing w:val="-1"/>
          <w:sz w:val="18"/>
          <w:highlight w:val="green"/>
        </w:rPr>
        <w:t>required</w:t>
      </w:r>
      <w:r w:rsidRPr="00CE5AA1">
        <w:rPr>
          <w:rFonts w:ascii="Arial"/>
          <w:spacing w:val="15"/>
          <w:sz w:val="18"/>
          <w:highlight w:val="green"/>
        </w:rPr>
        <w:t xml:space="preserve"> </w:t>
      </w:r>
      <w:r w:rsidRPr="00CE5AA1">
        <w:rPr>
          <w:rFonts w:ascii="Arial"/>
          <w:sz w:val="18"/>
          <w:highlight w:val="green"/>
        </w:rPr>
        <w:t>for</w:t>
      </w:r>
      <w:r w:rsidRPr="00CE5AA1">
        <w:rPr>
          <w:rFonts w:ascii="Arial"/>
          <w:spacing w:val="12"/>
          <w:sz w:val="18"/>
          <w:highlight w:val="green"/>
        </w:rPr>
        <w:t xml:space="preserve"> </w:t>
      </w:r>
      <w:r w:rsidRPr="00CE5AA1">
        <w:rPr>
          <w:rFonts w:ascii="Arial"/>
          <w:spacing w:val="-1"/>
          <w:sz w:val="18"/>
          <w:highlight w:val="green"/>
        </w:rPr>
        <w:t>all</w:t>
      </w:r>
      <w:r w:rsidRPr="00CE5AA1">
        <w:rPr>
          <w:rFonts w:ascii="Arial"/>
          <w:spacing w:val="59"/>
          <w:sz w:val="18"/>
          <w:highlight w:val="green"/>
        </w:rPr>
        <w:t xml:space="preserve"> </w:t>
      </w:r>
      <w:r w:rsidRPr="00CE5AA1">
        <w:rPr>
          <w:rFonts w:ascii="Arial"/>
          <w:spacing w:val="-1"/>
          <w:sz w:val="18"/>
          <w:highlight w:val="green"/>
        </w:rPr>
        <w:t>contracts.</w:t>
      </w:r>
      <w:r w:rsidRPr="00CE5AA1">
        <w:rPr>
          <w:rFonts w:ascii="Arial"/>
          <w:spacing w:val="17"/>
          <w:sz w:val="18"/>
          <w:highlight w:val="green"/>
        </w:rPr>
        <w:t xml:space="preserve"> </w:t>
      </w:r>
      <w:r w:rsidRPr="00CE5AA1">
        <w:rPr>
          <w:rFonts w:ascii="Arial"/>
          <w:spacing w:val="-1"/>
          <w:sz w:val="18"/>
          <w:highlight w:val="green"/>
        </w:rPr>
        <w:t>The</w:t>
      </w:r>
      <w:r w:rsidRPr="00CE5AA1">
        <w:rPr>
          <w:rFonts w:ascii="Arial"/>
          <w:spacing w:val="17"/>
          <w:sz w:val="18"/>
          <w:highlight w:val="green"/>
        </w:rPr>
        <w:t xml:space="preserve"> </w:t>
      </w:r>
      <w:r w:rsidRPr="00CE5AA1">
        <w:rPr>
          <w:rFonts w:ascii="Arial"/>
          <w:spacing w:val="-1"/>
          <w:sz w:val="18"/>
          <w:highlight w:val="green"/>
        </w:rPr>
        <w:t>higher</w:t>
      </w:r>
      <w:r w:rsidRPr="00CE5AA1">
        <w:rPr>
          <w:rFonts w:ascii="Arial"/>
          <w:spacing w:val="17"/>
          <w:sz w:val="18"/>
          <w:highlight w:val="green"/>
        </w:rPr>
        <w:t xml:space="preserve"> </w:t>
      </w:r>
      <w:r w:rsidRPr="00CE5AA1">
        <w:rPr>
          <w:rFonts w:ascii="Arial"/>
          <w:spacing w:val="-1"/>
          <w:sz w:val="18"/>
          <w:highlight w:val="green"/>
        </w:rPr>
        <w:t>the</w:t>
      </w:r>
      <w:r w:rsidRPr="00CE5AA1">
        <w:rPr>
          <w:rFonts w:ascii="Arial"/>
          <w:spacing w:val="17"/>
          <w:sz w:val="18"/>
          <w:highlight w:val="green"/>
        </w:rPr>
        <w:t xml:space="preserve"> </w:t>
      </w:r>
      <w:r w:rsidRPr="00CE5AA1">
        <w:rPr>
          <w:rFonts w:ascii="Arial"/>
          <w:spacing w:val="-1"/>
          <w:sz w:val="18"/>
          <w:highlight w:val="green"/>
        </w:rPr>
        <w:t>value,</w:t>
      </w:r>
      <w:r w:rsidRPr="00CE5AA1">
        <w:rPr>
          <w:rFonts w:ascii="Arial"/>
          <w:spacing w:val="17"/>
          <w:sz w:val="18"/>
          <w:highlight w:val="green"/>
        </w:rPr>
        <w:t xml:space="preserve"> </w:t>
      </w:r>
      <w:r w:rsidRPr="00CE5AA1">
        <w:rPr>
          <w:rFonts w:ascii="Arial"/>
          <w:spacing w:val="-1"/>
          <w:sz w:val="18"/>
          <w:highlight w:val="green"/>
        </w:rPr>
        <w:t>complexity</w:t>
      </w:r>
      <w:r w:rsidRPr="00CE5AA1">
        <w:rPr>
          <w:rFonts w:ascii="Arial"/>
          <w:spacing w:val="15"/>
          <w:sz w:val="18"/>
          <w:highlight w:val="green"/>
        </w:rPr>
        <w:t xml:space="preserve"> </w:t>
      </w:r>
      <w:r w:rsidRPr="00CE5AA1">
        <w:rPr>
          <w:rFonts w:ascii="Arial"/>
          <w:sz w:val="18"/>
          <w:highlight w:val="green"/>
        </w:rPr>
        <w:t>or</w:t>
      </w:r>
      <w:r w:rsidRPr="00CE5AA1">
        <w:rPr>
          <w:rFonts w:ascii="Arial"/>
          <w:spacing w:val="17"/>
          <w:sz w:val="18"/>
          <w:highlight w:val="green"/>
        </w:rPr>
        <w:t xml:space="preserve"> </w:t>
      </w:r>
      <w:r w:rsidRPr="00CE5AA1">
        <w:rPr>
          <w:rFonts w:ascii="Arial"/>
          <w:spacing w:val="-1"/>
          <w:sz w:val="18"/>
          <w:highlight w:val="green"/>
        </w:rPr>
        <w:t>importance</w:t>
      </w:r>
      <w:r w:rsidRPr="00CE5AA1">
        <w:rPr>
          <w:rFonts w:ascii="Arial"/>
          <w:spacing w:val="15"/>
          <w:sz w:val="18"/>
          <w:highlight w:val="green"/>
        </w:rPr>
        <w:t xml:space="preserve"> </w:t>
      </w:r>
      <w:r w:rsidRPr="00CE5AA1">
        <w:rPr>
          <w:rFonts w:ascii="Arial"/>
          <w:spacing w:val="-1"/>
          <w:sz w:val="18"/>
          <w:highlight w:val="green"/>
        </w:rPr>
        <w:t>of</w:t>
      </w:r>
      <w:r w:rsidRPr="00CE5AA1">
        <w:rPr>
          <w:rFonts w:ascii="Arial"/>
          <w:spacing w:val="17"/>
          <w:sz w:val="18"/>
          <w:highlight w:val="green"/>
        </w:rPr>
        <w:t xml:space="preserve"> </w:t>
      </w:r>
      <w:r w:rsidRPr="00CE5AA1">
        <w:rPr>
          <w:rFonts w:ascii="Arial"/>
          <w:sz w:val="18"/>
          <w:highlight w:val="green"/>
        </w:rPr>
        <w:t>the</w:t>
      </w:r>
      <w:r w:rsidRPr="00CE5AA1">
        <w:rPr>
          <w:rFonts w:ascii="Arial"/>
          <w:spacing w:val="15"/>
          <w:sz w:val="18"/>
          <w:highlight w:val="green"/>
        </w:rPr>
        <w:t xml:space="preserve"> </w:t>
      </w:r>
      <w:r w:rsidRPr="00CE5AA1">
        <w:rPr>
          <w:rFonts w:ascii="Arial"/>
          <w:spacing w:val="-1"/>
          <w:sz w:val="18"/>
          <w:highlight w:val="green"/>
        </w:rPr>
        <w:t>contract,</w:t>
      </w:r>
      <w:r w:rsidRPr="00CE5AA1">
        <w:rPr>
          <w:rFonts w:ascii="Arial"/>
          <w:spacing w:val="17"/>
          <w:sz w:val="18"/>
          <w:highlight w:val="green"/>
        </w:rPr>
        <w:t xml:space="preserve"> </w:t>
      </w:r>
      <w:r w:rsidRPr="00CE5AA1">
        <w:rPr>
          <w:rFonts w:ascii="Arial"/>
          <w:spacing w:val="-1"/>
          <w:sz w:val="18"/>
          <w:highlight w:val="green"/>
        </w:rPr>
        <w:t>the</w:t>
      </w:r>
      <w:r w:rsidRPr="00CE5AA1">
        <w:rPr>
          <w:rFonts w:ascii="Arial"/>
          <w:spacing w:val="15"/>
          <w:sz w:val="18"/>
          <w:highlight w:val="green"/>
        </w:rPr>
        <w:t xml:space="preserve"> </w:t>
      </w:r>
      <w:r w:rsidRPr="00CE5AA1">
        <w:rPr>
          <w:rFonts w:ascii="Arial"/>
          <w:sz w:val="18"/>
          <w:highlight w:val="green"/>
        </w:rPr>
        <w:t>more</w:t>
      </w:r>
      <w:r w:rsidRPr="00CE5AA1">
        <w:rPr>
          <w:rFonts w:ascii="Arial"/>
          <w:spacing w:val="15"/>
          <w:sz w:val="18"/>
          <w:highlight w:val="green"/>
        </w:rPr>
        <w:t xml:space="preserve"> </w:t>
      </w:r>
      <w:r w:rsidRPr="00CE5AA1">
        <w:rPr>
          <w:rFonts w:ascii="Arial"/>
          <w:spacing w:val="-1"/>
          <w:sz w:val="18"/>
          <w:highlight w:val="green"/>
        </w:rPr>
        <w:t>likely</w:t>
      </w:r>
      <w:r w:rsidRPr="00CE5AA1">
        <w:rPr>
          <w:rFonts w:ascii="Arial"/>
          <w:spacing w:val="13"/>
          <w:sz w:val="18"/>
          <w:highlight w:val="green"/>
        </w:rPr>
        <w:t xml:space="preserve"> </w:t>
      </w:r>
      <w:r w:rsidRPr="00CE5AA1">
        <w:rPr>
          <w:rFonts w:ascii="Arial"/>
          <w:sz w:val="18"/>
          <w:highlight w:val="green"/>
        </w:rPr>
        <w:t>that</w:t>
      </w:r>
      <w:r w:rsidRPr="00CE5AA1">
        <w:rPr>
          <w:rFonts w:ascii="Arial"/>
          <w:spacing w:val="17"/>
          <w:sz w:val="18"/>
          <w:highlight w:val="green"/>
        </w:rPr>
        <w:t xml:space="preserve"> </w:t>
      </w:r>
      <w:r w:rsidRPr="00CE5AA1">
        <w:rPr>
          <w:rFonts w:ascii="Arial"/>
          <w:spacing w:val="-1"/>
          <w:sz w:val="18"/>
          <w:highlight w:val="green"/>
        </w:rPr>
        <w:t>Service</w:t>
      </w:r>
      <w:r w:rsidRPr="00CE5AA1">
        <w:rPr>
          <w:rFonts w:ascii="Arial"/>
          <w:spacing w:val="17"/>
          <w:sz w:val="18"/>
          <w:highlight w:val="green"/>
        </w:rPr>
        <w:t xml:space="preserve"> </w:t>
      </w:r>
      <w:r w:rsidRPr="00CE5AA1">
        <w:rPr>
          <w:rFonts w:ascii="Arial"/>
          <w:spacing w:val="-1"/>
          <w:sz w:val="18"/>
          <w:highlight w:val="green"/>
        </w:rPr>
        <w:t>Credits</w:t>
      </w:r>
      <w:r w:rsidRPr="00CE5AA1">
        <w:rPr>
          <w:rFonts w:ascii="Arial"/>
          <w:spacing w:val="89"/>
          <w:sz w:val="18"/>
          <w:highlight w:val="green"/>
        </w:rPr>
        <w:t xml:space="preserve"> </w:t>
      </w:r>
      <w:r w:rsidRPr="00CE5AA1">
        <w:rPr>
          <w:rFonts w:ascii="Arial"/>
          <w:spacing w:val="-1"/>
          <w:sz w:val="18"/>
          <w:highlight w:val="green"/>
        </w:rPr>
        <w:t>will</w:t>
      </w:r>
      <w:r w:rsidRPr="00CE5AA1">
        <w:rPr>
          <w:rFonts w:ascii="Arial"/>
          <w:spacing w:val="27"/>
          <w:sz w:val="18"/>
          <w:highlight w:val="green"/>
        </w:rPr>
        <w:t xml:space="preserve"> </w:t>
      </w:r>
      <w:r w:rsidRPr="00CE5AA1">
        <w:rPr>
          <w:rFonts w:ascii="Arial"/>
          <w:spacing w:val="-1"/>
          <w:sz w:val="18"/>
          <w:highlight w:val="green"/>
        </w:rPr>
        <w:t>apply,</w:t>
      </w:r>
      <w:r w:rsidRPr="00CE5AA1">
        <w:rPr>
          <w:rFonts w:ascii="Arial"/>
          <w:spacing w:val="27"/>
          <w:sz w:val="18"/>
          <w:highlight w:val="green"/>
        </w:rPr>
        <w:t xml:space="preserve"> </w:t>
      </w:r>
      <w:r w:rsidRPr="00CE5AA1">
        <w:rPr>
          <w:rFonts w:ascii="Arial"/>
          <w:spacing w:val="-1"/>
          <w:sz w:val="18"/>
          <w:highlight w:val="green"/>
        </w:rPr>
        <w:t>Also</w:t>
      </w:r>
      <w:r w:rsidRPr="00CE5AA1">
        <w:rPr>
          <w:rFonts w:ascii="Arial"/>
          <w:spacing w:val="27"/>
          <w:sz w:val="18"/>
          <w:highlight w:val="green"/>
        </w:rPr>
        <w:t xml:space="preserve"> </w:t>
      </w:r>
      <w:r w:rsidRPr="00CE5AA1">
        <w:rPr>
          <w:rFonts w:ascii="Arial"/>
          <w:spacing w:val="-1"/>
          <w:sz w:val="18"/>
          <w:highlight w:val="green"/>
        </w:rPr>
        <w:t>settle</w:t>
      </w:r>
      <w:r w:rsidRPr="00CE5AA1">
        <w:rPr>
          <w:rFonts w:ascii="Arial"/>
          <w:spacing w:val="27"/>
          <w:sz w:val="18"/>
          <w:highlight w:val="green"/>
        </w:rPr>
        <w:t xml:space="preserve"> </w:t>
      </w:r>
      <w:r w:rsidRPr="00CE5AA1">
        <w:rPr>
          <w:rFonts w:ascii="Arial"/>
          <w:sz w:val="18"/>
          <w:highlight w:val="green"/>
        </w:rPr>
        <w:t>the</w:t>
      </w:r>
      <w:r w:rsidRPr="00CE5AA1">
        <w:rPr>
          <w:rFonts w:ascii="Arial"/>
          <w:spacing w:val="25"/>
          <w:sz w:val="18"/>
          <w:highlight w:val="green"/>
        </w:rPr>
        <w:t xml:space="preserve"> </w:t>
      </w:r>
      <w:r w:rsidRPr="00CE5AA1">
        <w:rPr>
          <w:rFonts w:ascii="Arial"/>
          <w:spacing w:val="-1"/>
          <w:sz w:val="18"/>
          <w:highlight w:val="green"/>
        </w:rPr>
        <w:t>threshold</w:t>
      </w:r>
      <w:r w:rsidRPr="00CE5AA1">
        <w:rPr>
          <w:rFonts w:ascii="Arial"/>
          <w:spacing w:val="27"/>
          <w:sz w:val="18"/>
          <w:highlight w:val="green"/>
        </w:rPr>
        <w:t xml:space="preserve"> </w:t>
      </w:r>
      <w:r w:rsidRPr="00CE5AA1">
        <w:rPr>
          <w:rFonts w:ascii="Arial"/>
          <w:sz w:val="18"/>
          <w:highlight w:val="green"/>
        </w:rPr>
        <w:t>for</w:t>
      </w:r>
      <w:r w:rsidRPr="00CE5AA1">
        <w:rPr>
          <w:rFonts w:ascii="Arial"/>
          <w:spacing w:val="26"/>
          <w:sz w:val="18"/>
          <w:highlight w:val="green"/>
        </w:rPr>
        <w:t xml:space="preserve"> </w:t>
      </w:r>
      <w:r w:rsidRPr="00CE5AA1">
        <w:rPr>
          <w:rFonts w:ascii="Arial"/>
          <w:spacing w:val="-1"/>
          <w:sz w:val="18"/>
          <w:highlight w:val="green"/>
        </w:rPr>
        <w:t>Customer</w:t>
      </w:r>
      <w:r w:rsidRPr="00CE5AA1">
        <w:rPr>
          <w:rFonts w:ascii="Arial"/>
          <w:spacing w:val="26"/>
          <w:sz w:val="18"/>
          <w:highlight w:val="green"/>
        </w:rPr>
        <w:t xml:space="preserve"> </w:t>
      </w:r>
      <w:r w:rsidRPr="00CE5AA1">
        <w:rPr>
          <w:rFonts w:ascii="Arial"/>
          <w:spacing w:val="-1"/>
          <w:sz w:val="18"/>
          <w:highlight w:val="green"/>
        </w:rPr>
        <w:t>periodic</w:t>
      </w:r>
      <w:r w:rsidRPr="00CE5AA1">
        <w:rPr>
          <w:rFonts w:ascii="Arial"/>
          <w:spacing w:val="25"/>
          <w:sz w:val="18"/>
          <w:highlight w:val="green"/>
        </w:rPr>
        <w:t xml:space="preserve"> </w:t>
      </w:r>
      <w:r w:rsidRPr="00CE5AA1">
        <w:rPr>
          <w:rFonts w:ascii="Arial"/>
          <w:spacing w:val="-2"/>
          <w:sz w:val="18"/>
          <w:highlight w:val="green"/>
        </w:rPr>
        <w:t>reviews</w:t>
      </w:r>
      <w:r w:rsidRPr="00CE5AA1">
        <w:rPr>
          <w:rFonts w:ascii="Arial"/>
          <w:spacing w:val="28"/>
          <w:sz w:val="18"/>
          <w:highlight w:val="green"/>
        </w:rPr>
        <w:t xml:space="preserve"> </w:t>
      </w:r>
      <w:r w:rsidRPr="00CE5AA1">
        <w:rPr>
          <w:rFonts w:ascii="Arial"/>
          <w:sz w:val="18"/>
          <w:highlight w:val="green"/>
        </w:rPr>
        <w:t>of</w:t>
      </w:r>
      <w:r w:rsidRPr="00CE5AA1">
        <w:rPr>
          <w:rFonts w:ascii="Arial"/>
          <w:spacing w:val="27"/>
          <w:sz w:val="18"/>
          <w:highlight w:val="green"/>
        </w:rPr>
        <w:t xml:space="preserve"> </w:t>
      </w:r>
      <w:r w:rsidRPr="00CE5AA1">
        <w:rPr>
          <w:rFonts w:ascii="Arial"/>
          <w:spacing w:val="-1"/>
          <w:sz w:val="18"/>
          <w:highlight w:val="green"/>
        </w:rPr>
        <w:t>Service</w:t>
      </w:r>
      <w:r w:rsidRPr="00CE5AA1">
        <w:rPr>
          <w:rFonts w:ascii="Arial"/>
          <w:spacing w:val="27"/>
          <w:sz w:val="18"/>
          <w:highlight w:val="green"/>
        </w:rPr>
        <w:t xml:space="preserve"> </w:t>
      </w:r>
      <w:r w:rsidRPr="00CE5AA1">
        <w:rPr>
          <w:rFonts w:ascii="Arial"/>
          <w:spacing w:val="-1"/>
          <w:sz w:val="18"/>
          <w:highlight w:val="green"/>
        </w:rPr>
        <w:t>Levels</w:t>
      </w:r>
      <w:r w:rsidRPr="00CE5AA1">
        <w:rPr>
          <w:rFonts w:ascii="Arial"/>
          <w:spacing w:val="24"/>
          <w:sz w:val="18"/>
          <w:highlight w:val="green"/>
        </w:rPr>
        <w:t xml:space="preserve"> </w:t>
      </w:r>
      <w:r w:rsidRPr="00CE5AA1">
        <w:rPr>
          <w:rFonts w:ascii="Arial"/>
          <w:sz w:val="18"/>
          <w:highlight w:val="green"/>
        </w:rPr>
        <w:t>in</w:t>
      </w:r>
      <w:r w:rsidRPr="00CE5AA1">
        <w:rPr>
          <w:rFonts w:ascii="Arial"/>
          <w:spacing w:val="25"/>
          <w:sz w:val="18"/>
          <w:highlight w:val="green"/>
        </w:rPr>
        <w:t xml:space="preserve"> </w:t>
      </w:r>
      <w:r w:rsidRPr="00CE5AA1">
        <w:rPr>
          <w:rFonts w:ascii="Arial"/>
          <w:spacing w:val="-1"/>
          <w:sz w:val="18"/>
          <w:highlight w:val="green"/>
        </w:rPr>
        <w:t>Clause</w:t>
      </w:r>
      <w:r w:rsidRPr="00CE5AA1">
        <w:rPr>
          <w:rFonts w:ascii="Arial"/>
          <w:spacing w:val="27"/>
          <w:sz w:val="18"/>
          <w:highlight w:val="green"/>
        </w:rPr>
        <w:t xml:space="preserve"> </w:t>
      </w:r>
      <w:hyperlink w:anchor="_bookmark98" w:history="1">
        <w:r w:rsidRPr="00CE5AA1">
          <w:rPr>
            <w:rFonts w:ascii="Arial"/>
            <w:spacing w:val="-1"/>
            <w:sz w:val="18"/>
            <w:highlight w:val="green"/>
          </w:rPr>
          <w:t>13.6.1</w:t>
        </w:r>
      </w:hyperlink>
      <w:r w:rsidRPr="00CE5AA1">
        <w:rPr>
          <w:rFonts w:ascii="Arial"/>
          <w:spacing w:val="27"/>
          <w:sz w:val="18"/>
          <w:highlight w:val="green"/>
        </w:rPr>
        <w:t xml:space="preserve"> </w:t>
      </w:r>
      <w:r w:rsidRPr="00CE5AA1">
        <w:rPr>
          <w:rFonts w:ascii="Arial"/>
          <w:spacing w:val="-1"/>
          <w:sz w:val="18"/>
          <w:highlight w:val="green"/>
        </w:rPr>
        <w:t>of</w:t>
      </w:r>
      <w:r w:rsidRPr="00CE5AA1">
        <w:rPr>
          <w:rFonts w:ascii="Arial"/>
          <w:spacing w:val="27"/>
          <w:sz w:val="18"/>
          <w:highlight w:val="green"/>
        </w:rPr>
        <w:t xml:space="preserve"> </w:t>
      </w:r>
      <w:r w:rsidRPr="00CE5AA1">
        <w:rPr>
          <w:rFonts w:ascii="Arial"/>
          <w:sz w:val="18"/>
          <w:highlight w:val="green"/>
        </w:rPr>
        <w:t>the</w:t>
      </w:r>
      <w:r w:rsidRPr="00CE5AA1">
        <w:rPr>
          <w:rFonts w:ascii="Arial"/>
          <w:spacing w:val="93"/>
          <w:sz w:val="18"/>
          <w:highlight w:val="green"/>
        </w:rPr>
        <w:t xml:space="preserve"> </w:t>
      </w:r>
      <w:r w:rsidRPr="00CE5AA1">
        <w:rPr>
          <w:rFonts w:ascii="Arial"/>
          <w:spacing w:val="-1"/>
          <w:sz w:val="18"/>
          <w:highlight w:val="green"/>
        </w:rPr>
        <w:t>Template</w:t>
      </w:r>
      <w:r w:rsidRPr="00CE5AA1">
        <w:rPr>
          <w:rFonts w:ascii="Arial"/>
          <w:spacing w:val="-2"/>
          <w:sz w:val="18"/>
          <w:highlight w:val="green"/>
        </w:rPr>
        <w:t xml:space="preserve"> </w:t>
      </w:r>
      <w:r w:rsidRPr="00CE5AA1">
        <w:rPr>
          <w:rFonts w:ascii="Arial"/>
          <w:spacing w:val="-1"/>
          <w:sz w:val="18"/>
          <w:highlight w:val="green"/>
        </w:rPr>
        <w:t>Call</w:t>
      </w:r>
      <w:r w:rsidRPr="00CE5AA1">
        <w:rPr>
          <w:rFonts w:ascii="Arial"/>
          <w:spacing w:val="1"/>
          <w:sz w:val="18"/>
          <w:highlight w:val="green"/>
        </w:rPr>
        <w:t xml:space="preserve"> </w:t>
      </w:r>
      <w:r w:rsidRPr="00CE5AA1">
        <w:rPr>
          <w:rFonts w:ascii="Arial"/>
          <w:spacing w:val="-1"/>
          <w:sz w:val="18"/>
          <w:highlight w:val="green"/>
        </w:rPr>
        <w:t>Off</w:t>
      </w:r>
      <w:r w:rsidRPr="00CE5AA1">
        <w:rPr>
          <w:rFonts w:ascii="Arial"/>
          <w:spacing w:val="-2"/>
          <w:sz w:val="18"/>
          <w:highlight w:val="green"/>
        </w:rPr>
        <w:t xml:space="preserve"> </w:t>
      </w:r>
      <w:r w:rsidRPr="00CE5AA1">
        <w:rPr>
          <w:rFonts w:ascii="Arial"/>
          <w:sz w:val="18"/>
          <w:highlight w:val="green"/>
        </w:rPr>
        <w:t>Terms]</w:t>
      </w:r>
    </w:p>
    <w:p w:rsidR="008918FA" w:rsidRDefault="008918FA" w:rsidP="008918FA">
      <w:pPr>
        <w:spacing w:before="85"/>
        <w:ind w:left="101" w:right="111"/>
        <w:jc w:val="both"/>
        <w:rPr>
          <w:rFonts w:ascii="Arial" w:eastAsia="Arial" w:hAnsi="Arial" w:cs="Arial"/>
          <w:sz w:val="18"/>
          <w:szCs w:val="18"/>
        </w:rPr>
      </w:pPr>
      <w:r w:rsidRPr="00CE5AA1">
        <w:rPr>
          <w:rFonts w:ascii="Arial" w:eastAsia="Arial" w:hAnsi="Arial" w:cs="Arial"/>
          <w:position w:val="9"/>
          <w:sz w:val="12"/>
          <w:szCs w:val="12"/>
          <w:highlight w:val="green"/>
        </w:rPr>
        <w:t>16</w:t>
      </w:r>
      <w:r w:rsidRPr="00CE5AA1">
        <w:rPr>
          <w:rFonts w:ascii="Arial" w:eastAsia="Arial" w:hAnsi="Arial" w:cs="Arial"/>
          <w:spacing w:val="15"/>
          <w:position w:val="9"/>
          <w:sz w:val="12"/>
          <w:szCs w:val="12"/>
          <w:highlight w:val="green"/>
        </w:rPr>
        <w:t xml:space="preserve"> </w:t>
      </w:r>
      <w:bookmarkStart w:id="9" w:name="_bookmark15"/>
      <w:bookmarkEnd w:id="9"/>
      <w:r w:rsidRPr="00CE5AA1">
        <w:rPr>
          <w:rFonts w:ascii="Arial" w:eastAsia="Arial" w:hAnsi="Arial" w:cs="Arial"/>
          <w:spacing w:val="-1"/>
          <w:sz w:val="18"/>
          <w:szCs w:val="18"/>
          <w:highlight w:val="green"/>
        </w:rPr>
        <w:t>[Guidance</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Note:</w:t>
      </w:r>
      <w:r w:rsidRPr="00CE5AA1">
        <w:rPr>
          <w:rFonts w:ascii="Arial" w:eastAsia="Arial" w:hAnsi="Arial" w:cs="Arial"/>
          <w:spacing w:val="31"/>
          <w:sz w:val="18"/>
          <w:szCs w:val="18"/>
          <w:highlight w:val="green"/>
        </w:rPr>
        <w:t xml:space="preserve"> </w:t>
      </w:r>
      <w:r w:rsidRPr="00CE5AA1">
        <w:rPr>
          <w:rFonts w:ascii="Arial" w:eastAsia="Arial" w:hAnsi="Arial" w:cs="Arial"/>
          <w:sz w:val="18"/>
          <w:szCs w:val="18"/>
          <w:highlight w:val="green"/>
        </w:rPr>
        <w:t>See</w:t>
      </w:r>
      <w:r w:rsidRPr="00CE5AA1">
        <w:rPr>
          <w:rFonts w:ascii="Arial" w:eastAsia="Arial" w:hAnsi="Arial" w:cs="Arial"/>
          <w:spacing w:val="32"/>
          <w:sz w:val="18"/>
          <w:szCs w:val="18"/>
          <w:highlight w:val="green"/>
        </w:rPr>
        <w:t xml:space="preserve"> </w:t>
      </w:r>
      <w:r w:rsidRPr="00CE5AA1">
        <w:rPr>
          <w:rFonts w:ascii="Arial" w:eastAsia="Arial" w:hAnsi="Arial" w:cs="Arial"/>
          <w:spacing w:val="-2"/>
          <w:sz w:val="18"/>
          <w:szCs w:val="18"/>
          <w:highlight w:val="green"/>
        </w:rPr>
        <w:t>Clause</w:t>
      </w:r>
      <w:r w:rsidRPr="00CE5AA1">
        <w:rPr>
          <w:rFonts w:ascii="Arial" w:eastAsia="Arial" w:hAnsi="Arial" w:cs="Arial"/>
          <w:spacing w:val="32"/>
          <w:sz w:val="18"/>
          <w:szCs w:val="18"/>
          <w:highlight w:val="green"/>
        </w:rPr>
        <w:t xml:space="preserve"> </w:t>
      </w:r>
      <w:hyperlink w:anchor="_bookmark99" w:history="1">
        <w:r w:rsidRPr="00CE5AA1">
          <w:rPr>
            <w:rFonts w:ascii="Arial" w:eastAsia="Arial" w:hAnsi="Arial" w:cs="Arial"/>
            <w:sz w:val="18"/>
            <w:szCs w:val="18"/>
            <w:highlight w:val="green"/>
          </w:rPr>
          <w:t>14</w:t>
        </w:r>
      </w:hyperlink>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and</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Annex</w:t>
      </w:r>
      <w:r w:rsidRPr="00CE5AA1">
        <w:rPr>
          <w:rFonts w:ascii="Arial" w:eastAsia="Arial" w:hAnsi="Arial" w:cs="Arial"/>
          <w:spacing w:val="27"/>
          <w:sz w:val="18"/>
          <w:szCs w:val="18"/>
          <w:highlight w:val="green"/>
        </w:rPr>
        <w:t xml:space="preserve"> </w:t>
      </w:r>
      <w:r w:rsidRPr="00CE5AA1">
        <w:rPr>
          <w:rFonts w:ascii="Arial" w:eastAsia="Arial" w:hAnsi="Arial" w:cs="Arial"/>
          <w:sz w:val="18"/>
          <w:szCs w:val="18"/>
          <w:highlight w:val="green"/>
        </w:rPr>
        <w:t>2</w:t>
      </w:r>
      <w:r w:rsidRPr="00CE5AA1">
        <w:rPr>
          <w:rFonts w:ascii="Arial" w:eastAsia="Arial" w:hAnsi="Arial" w:cs="Arial"/>
          <w:spacing w:val="32"/>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32"/>
          <w:sz w:val="18"/>
          <w:szCs w:val="18"/>
          <w:highlight w:val="green"/>
        </w:rPr>
        <w:t xml:space="preserve"> </w:t>
      </w:r>
      <w:r w:rsidRPr="00CE5AA1">
        <w:rPr>
          <w:rFonts w:ascii="Arial" w:eastAsia="Arial" w:hAnsi="Arial" w:cs="Arial"/>
          <w:sz w:val="18"/>
          <w:szCs w:val="18"/>
          <w:highlight w:val="green"/>
        </w:rPr>
        <w:t>Part</w:t>
      </w:r>
      <w:r w:rsidRPr="00CE5AA1">
        <w:rPr>
          <w:rFonts w:ascii="Arial" w:eastAsia="Arial" w:hAnsi="Arial" w:cs="Arial"/>
          <w:spacing w:val="31"/>
          <w:sz w:val="18"/>
          <w:szCs w:val="18"/>
          <w:highlight w:val="green"/>
        </w:rPr>
        <w:t xml:space="preserve"> </w:t>
      </w:r>
      <w:r w:rsidRPr="00CE5AA1">
        <w:rPr>
          <w:rFonts w:ascii="Arial" w:eastAsia="Arial" w:hAnsi="Arial" w:cs="Arial"/>
          <w:sz w:val="18"/>
          <w:szCs w:val="18"/>
          <w:highlight w:val="green"/>
        </w:rPr>
        <w:t>A</w:t>
      </w:r>
      <w:r w:rsidRPr="00CE5AA1">
        <w:rPr>
          <w:rFonts w:ascii="Arial" w:eastAsia="Arial" w:hAnsi="Arial" w:cs="Arial"/>
          <w:spacing w:val="31"/>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31"/>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31"/>
          <w:sz w:val="18"/>
          <w:szCs w:val="18"/>
          <w:highlight w:val="green"/>
        </w:rPr>
        <w:t xml:space="preserve"> </w:t>
      </w:r>
      <w:r w:rsidRPr="00CE5AA1">
        <w:rPr>
          <w:rFonts w:ascii="Arial" w:eastAsia="Arial" w:hAnsi="Arial" w:cs="Arial"/>
          <w:spacing w:val="-1"/>
          <w:sz w:val="18"/>
          <w:szCs w:val="18"/>
          <w:highlight w:val="green"/>
        </w:rPr>
        <w:t>Schedule</w:t>
      </w:r>
      <w:r w:rsidRPr="00CE5AA1">
        <w:rPr>
          <w:rFonts w:ascii="Arial" w:eastAsia="Arial" w:hAnsi="Arial" w:cs="Arial"/>
          <w:spacing w:val="29"/>
          <w:sz w:val="18"/>
          <w:szCs w:val="18"/>
          <w:highlight w:val="green"/>
        </w:rPr>
        <w:t xml:space="preserve"> </w:t>
      </w:r>
      <w:r w:rsidRPr="00CE5AA1">
        <w:rPr>
          <w:rFonts w:ascii="Arial" w:eastAsia="Arial" w:hAnsi="Arial" w:cs="Arial"/>
          <w:sz w:val="18"/>
          <w:szCs w:val="18"/>
          <w:highlight w:val="green"/>
        </w:rPr>
        <w:t>6</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(Service</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Levels,</w:t>
      </w:r>
      <w:r w:rsidRPr="00CE5AA1">
        <w:rPr>
          <w:rFonts w:ascii="Arial" w:eastAsia="Arial" w:hAnsi="Arial" w:cs="Arial"/>
          <w:spacing w:val="31"/>
          <w:sz w:val="18"/>
          <w:szCs w:val="18"/>
          <w:highlight w:val="green"/>
        </w:rPr>
        <w:t xml:space="preserve"> </w:t>
      </w:r>
      <w:r w:rsidRPr="00CE5AA1">
        <w:rPr>
          <w:rFonts w:ascii="Arial" w:eastAsia="Arial" w:hAnsi="Arial" w:cs="Arial"/>
          <w:spacing w:val="-1"/>
          <w:sz w:val="18"/>
          <w:szCs w:val="18"/>
          <w:highlight w:val="green"/>
        </w:rPr>
        <w:t>Service</w:t>
      </w:r>
      <w:r w:rsidRPr="00CE5AA1">
        <w:rPr>
          <w:rFonts w:ascii="Arial" w:eastAsia="Arial" w:hAnsi="Arial" w:cs="Arial"/>
          <w:spacing w:val="79"/>
          <w:sz w:val="18"/>
          <w:szCs w:val="18"/>
          <w:highlight w:val="green"/>
        </w:rPr>
        <w:t xml:space="preserve"> </w:t>
      </w:r>
      <w:r w:rsidRPr="00CE5AA1">
        <w:rPr>
          <w:rFonts w:ascii="Arial" w:eastAsia="Arial" w:hAnsi="Arial" w:cs="Arial"/>
          <w:spacing w:val="-1"/>
          <w:sz w:val="18"/>
          <w:szCs w:val="18"/>
          <w:highlight w:val="green"/>
        </w:rPr>
        <w:t>Credits</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and</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Performance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Monitoring)</w:t>
      </w:r>
      <w:r w:rsidRPr="00CE5AA1">
        <w:rPr>
          <w:rFonts w:ascii="Arial" w:eastAsia="Arial" w:hAnsi="Arial" w:cs="Arial"/>
          <w:sz w:val="18"/>
          <w:szCs w:val="18"/>
          <w:highlight w:val="green"/>
        </w:rPr>
        <w:t xml:space="preserve"> of the</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Template</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3"/>
          <w:sz w:val="18"/>
          <w:szCs w:val="18"/>
          <w:highlight w:val="green"/>
        </w:rPr>
        <w:t xml:space="preserve"> </w:t>
      </w:r>
      <w:r w:rsidRPr="00CE5AA1">
        <w:rPr>
          <w:rFonts w:ascii="Arial" w:eastAsia="Arial" w:hAnsi="Arial" w:cs="Arial"/>
          <w:sz w:val="18"/>
          <w:szCs w:val="18"/>
          <w:highlight w:val="green"/>
        </w:rPr>
        <w:t>Terms. If</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you</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require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specific</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instances</w:t>
      </w:r>
      <w:r w:rsidRPr="00CE5AA1">
        <w:rPr>
          <w:rFonts w:ascii="Arial" w:eastAsia="Arial" w:hAnsi="Arial" w:cs="Arial"/>
          <w:spacing w:val="1"/>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3"/>
          <w:sz w:val="18"/>
          <w:szCs w:val="18"/>
          <w:highlight w:val="green"/>
        </w:rPr>
        <w:t xml:space="preserve"> </w:t>
      </w:r>
      <w:r w:rsidRPr="00CE5AA1">
        <w:rPr>
          <w:rFonts w:ascii="Arial" w:eastAsia="Arial" w:hAnsi="Arial" w:cs="Arial"/>
          <w:spacing w:val="-1"/>
          <w:sz w:val="18"/>
          <w:szCs w:val="18"/>
          <w:highlight w:val="green"/>
        </w:rPr>
        <w:t>Critical</w:t>
      </w:r>
      <w:r w:rsidRPr="00CE5AA1">
        <w:rPr>
          <w:rFonts w:ascii="Arial" w:eastAsia="Arial" w:hAnsi="Arial" w:cs="Arial"/>
          <w:spacing w:val="89"/>
          <w:sz w:val="18"/>
          <w:szCs w:val="18"/>
          <w:highlight w:val="green"/>
        </w:rPr>
        <w:t xml:space="preserve"> </w:t>
      </w:r>
      <w:r w:rsidRPr="00CE5AA1">
        <w:rPr>
          <w:rFonts w:ascii="Arial" w:eastAsia="Arial" w:hAnsi="Arial" w:cs="Arial"/>
          <w:spacing w:val="-1"/>
          <w:sz w:val="18"/>
          <w:szCs w:val="18"/>
          <w:highlight w:val="green"/>
        </w:rPr>
        <w:t>Service</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Level</w:t>
      </w:r>
      <w:r w:rsidRPr="00CE5AA1">
        <w:rPr>
          <w:rFonts w:ascii="Arial" w:eastAsia="Arial" w:hAnsi="Arial" w:cs="Arial"/>
          <w:spacing w:val="42"/>
          <w:sz w:val="18"/>
          <w:szCs w:val="18"/>
          <w:highlight w:val="green"/>
        </w:rPr>
        <w:t xml:space="preserve"> </w:t>
      </w:r>
      <w:r w:rsidRPr="00CE5AA1">
        <w:rPr>
          <w:rFonts w:ascii="Arial" w:eastAsia="Arial" w:hAnsi="Arial" w:cs="Arial"/>
          <w:spacing w:val="-1"/>
          <w:sz w:val="18"/>
          <w:szCs w:val="18"/>
          <w:highlight w:val="green"/>
        </w:rPr>
        <w:t>Failures</w:t>
      </w:r>
      <w:r w:rsidRPr="00CE5AA1">
        <w:rPr>
          <w:rFonts w:ascii="Arial" w:eastAsia="Arial" w:hAnsi="Arial" w:cs="Arial"/>
          <w:spacing w:val="42"/>
          <w:sz w:val="18"/>
          <w:szCs w:val="18"/>
          <w:highlight w:val="green"/>
        </w:rPr>
        <w:t xml:space="preserve"> </w:t>
      </w:r>
      <w:r w:rsidRPr="00CE5AA1">
        <w:rPr>
          <w:rFonts w:ascii="Arial" w:eastAsia="Arial" w:hAnsi="Arial" w:cs="Arial"/>
          <w:spacing w:val="-1"/>
          <w:sz w:val="18"/>
          <w:szCs w:val="18"/>
          <w:highlight w:val="green"/>
        </w:rPr>
        <w:t>(i.e.</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limb</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“b”</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of</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39"/>
          <w:sz w:val="18"/>
          <w:szCs w:val="18"/>
          <w:highlight w:val="green"/>
        </w:rPr>
        <w:t xml:space="preserve"> </w:t>
      </w:r>
      <w:r w:rsidRPr="00CE5AA1">
        <w:rPr>
          <w:rFonts w:ascii="Arial" w:eastAsia="Arial" w:hAnsi="Arial" w:cs="Arial"/>
          <w:spacing w:val="-1"/>
          <w:sz w:val="18"/>
          <w:szCs w:val="18"/>
          <w:highlight w:val="green"/>
        </w:rPr>
        <w:t>definitions),</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define</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them</w:t>
      </w:r>
      <w:r w:rsidRPr="00CE5AA1">
        <w:rPr>
          <w:rFonts w:ascii="Arial" w:eastAsia="Arial" w:hAnsi="Arial" w:cs="Arial"/>
          <w:spacing w:val="39"/>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Annex</w:t>
      </w:r>
      <w:r w:rsidRPr="00CE5AA1">
        <w:rPr>
          <w:rFonts w:ascii="Arial" w:eastAsia="Arial" w:hAnsi="Arial" w:cs="Arial"/>
          <w:spacing w:val="37"/>
          <w:sz w:val="18"/>
          <w:szCs w:val="18"/>
          <w:highlight w:val="green"/>
        </w:rPr>
        <w:t xml:space="preserve"> </w:t>
      </w:r>
      <w:r w:rsidRPr="00CE5AA1">
        <w:rPr>
          <w:rFonts w:ascii="Arial" w:eastAsia="Arial" w:hAnsi="Arial" w:cs="Arial"/>
          <w:sz w:val="18"/>
          <w:szCs w:val="18"/>
          <w:highlight w:val="green"/>
        </w:rPr>
        <w:t>2</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Part</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A</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that</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42"/>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71"/>
          <w:sz w:val="18"/>
          <w:szCs w:val="18"/>
          <w:highlight w:val="green"/>
        </w:rPr>
        <w:t xml:space="preserve"> </w:t>
      </w:r>
      <w:r w:rsidRPr="00CE5AA1">
        <w:rPr>
          <w:rFonts w:ascii="Arial" w:eastAsia="Arial" w:hAnsi="Arial" w:cs="Arial"/>
          <w:spacing w:val="-1"/>
          <w:sz w:val="18"/>
          <w:szCs w:val="18"/>
          <w:highlight w:val="green"/>
        </w:rPr>
        <w:t>Schedule]</w:t>
      </w:r>
    </w:p>
    <w:p w:rsidR="008918FA" w:rsidRDefault="008918FA" w:rsidP="008918FA">
      <w:pPr>
        <w:spacing w:before="85"/>
        <w:ind w:left="101" w:right="111"/>
        <w:jc w:val="both"/>
        <w:rPr>
          <w:rFonts w:ascii="Arial" w:eastAsia="Arial" w:hAnsi="Arial" w:cs="Arial"/>
          <w:sz w:val="18"/>
          <w:szCs w:val="18"/>
          <w:highlight w:val="green"/>
        </w:rPr>
      </w:pPr>
      <w:bookmarkStart w:id="10" w:name="_bookmark16"/>
      <w:bookmarkEnd w:id="10"/>
      <w:r w:rsidRPr="001838DD">
        <w:rPr>
          <w:rFonts w:ascii="Arial" w:eastAsia="Arial" w:hAnsi="Arial" w:cs="Arial"/>
          <w:position w:val="9"/>
          <w:sz w:val="12"/>
          <w:szCs w:val="12"/>
          <w:highlight w:val="green"/>
        </w:rPr>
        <w:t>17</w:t>
      </w:r>
      <w:r w:rsidRPr="001838DD">
        <w:rPr>
          <w:rFonts w:ascii="Arial" w:eastAsia="Arial" w:hAnsi="Arial" w:cs="Arial"/>
          <w:spacing w:val="10"/>
          <w:position w:val="9"/>
          <w:sz w:val="12"/>
          <w:szCs w:val="12"/>
          <w:highlight w:val="green"/>
        </w:rPr>
        <w:t xml:space="preserve"> </w:t>
      </w:r>
      <w:r w:rsidRPr="001838DD">
        <w:rPr>
          <w:rFonts w:ascii="Arial" w:eastAsia="Arial" w:hAnsi="Arial" w:cs="Arial"/>
          <w:spacing w:val="-1"/>
          <w:sz w:val="18"/>
          <w:szCs w:val="18"/>
          <w:highlight w:val="green"/>
        </w:rPr>
        <w:t>[Guidance</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Note:</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See</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Clause</w:t>
      </w:r>
      <w:r w:rsidRPr="001838DD">
        <w:rPr>
          <w:rFonts w:ascii="Arial" w:eastAsia="Arial" w:hAnsi="Arial" w:cs="Arial"/>
          <w:spacing w:val="24"/>
          <w:sz w:val="18"/>
          <w:szCs w:val="18"/>
          <w:highlight w:val="green"/>
        </w:rPr>
        <w:t xml:space="preserve"> </w:t>
      </w:r>
      <w:hyperlink w:anchor="_bookmark102" w:history="1">
        <w:r w:rsidRPr="001838DD">
          <w:rPr>
            <w:rFonts w:ascii="Arial" w:eastAsia="Arial" w:hAnsi="Arial" w:cs="Arial"/>
            <w:sz w:val="18"/>
            <w:szCs w:val="18"/>
            <w:highlight w:val="green"/>
          </w:rPr>
          <w:t>15</w:t>
        </w:r>
      </w:hyperlink>
      <w:r w:rsidRPr="001838DD">
        <w:rPr>
          <w:rFonts w:ascii="Arial" w:eastAsia="Arial" w:hAnsi="Arial" w:cs="Arial"/>
          <w:spacing w:val="27"/>
          <w:sz w:val="18"/>
          <w:szCs w:val="18"/>
          <w:highlight w:val="green"/>
        </w:rPr>
        <w:t xml:space="preserve"> </w:t>
      </w:r>
      <w:r w:rsidRPr="001838DD">
        <w:rPr>
          <w:rFonts w:ascii="Arial" w:eastAsia="Arial" w:hAnsi="Arial" w:cs="Arial"/>
          <w:sz w:val="18"/>
          <w:szCs w:val="18"/>
          <w:highlight w:val="green"/>
        </w:rPr>
        <w:t>of</w:t>
      </w:r>
      <w:r w:rsidRPr="001838DD">
        <w:rPr>
          <w:rFonts w:ascii="Arial" w:eastAsia="Arial" w:hAnsi="Arial" w:cs="Arial"/>
          <w:spacing w:val="27"/>
          <w:sz w:val="18"/>
          <w:szCs w:val="18"/>
          <w:highlight w:val="green"/>
        </w:rPr>
        <w:t xml:space="preserve"> </w:t>
      </w:r>
      <w:r w:rsidRPr="001838DD">
        <w:rPr>
          <w:rFonts w:ascii="Arial" w:eastAsia="Arial" w:hAnsi="Arial" w:cs="Arial"/>
          <w:sz w:val="18"/>
          <w:szCs w:val="18"/>
          <w:highlight w:val="green"/>
        </w:rPr>
        <w:t>the</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Call</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Off</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Terms</w:t>
      </w:r>
      <w:r w:rsidRPr="001838DD">
        <w:rPr>
          <w:rFonts w:ascii="Arial" w:eastAsia="Arial" w:hAnsi="Arial" w:cs="Arial"/>
          <w:spacing w:val="28"/>
          <w:sz w:val="18"/>
          <w:szCs w:val="18"/>
          <w:highlight w:val="green"/>
        </w:rPr>
        <w:t xml:space="preserve"> </w:t>
      </w:r>
      <w:r w:rsidRPr="001838DD">
        <w:rPr>
          <w:rFonts w:ascii="Arial" w:eastAsia="Arial" w:hAnsi="Arial" w:cs="Arial"/>
          <w:spacing w:val="-1"/>
          <w:sz w:val="18"/>
          <w:szCs w:val="18"/>
          <w:highlight w:val="green"/>
        </w:rPr>
        <w:t>and</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Call</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Off</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Schedule</w:t>
      </w:r>
      <w:r w:rsidRPr="001838DD">
        <w:rPr>
          <w:rFonts w:ascii="Arial" w:eastAsia="Arial" w:hAnsi="Arial" w:cs="Arial"/>
          <w:spacing w:val="27"/>
          <w:sz w:val="18"/>
          <w:szCs w:val="18"/>
          <w:highlight w:val="green"/>
        </w:rPr>
        <w:t xml:space="preserve"> </w:t>
      </w:r>
      <w:r w:rsidRPr="001838DD">
        <w:rPr>
          <w:rFonts w:ascii="Arial" w:eastAsia="Arial" w:hAnsi="Arial" w:cs="Arial"/>
          <w:sz w:val="18"/>
          <w:szCs w:val="18"/>
          <w:highlight w:val="green"/>
        </w:rPr>
        <w:t>9</w:t>
      </w:r>
      <w:r w:rsidRPr="001838DD">
        <w:rPr>
          <w:rFonts w:ascii="Arial" w:eastAsia="Arial" w:hAnsi="Arial" w:cs="Arial"/>
          <w:spacing w:val="26"/>
          <w:sz w:val="18"/>
          <w:szCs w:val="18"/>
          <w:highlight w:val="green"/>
        </w:rPr>
        <w:t xml:space="preserve"> </w:t>
      </w:r>
      <w:r w:rsidRPr="001838DD">
        <w:rPr>
          <w:rFonts w:ascii="Arial" w:eastAsia="Arial" w:hAnsi="Arial" w:cs="Arial"/>
          <w:spacing w:val="-1"/>
          <w:sz w:val="18"/>
          <w:szCs w:val="18"/>
          <w:highlight w:val="green"/>
        </w:rPr>
        <w:t>(Business</w:t>
      </w:r>
      <w:r w:rsidRPr="001838DD">
        <w:rPr>
          <w:rFonts w:ascii="Arial" w:eastAsia="Arial" w:hAnsi="Arial" w:cs="Arial"/>
          <w:spacing w:val="28"/>
          <w:sz w:val="18"/>
          <w:szCs w:val="18"/>
          <w:highlight w:val="green"/>
        </w:rPr>
        <w:t xml:space="preserve"> </w:t>
      </w:r>
      <w:r w:rsidRPr="001838DD">
        <w:rPr>
          <w:rFonts w:ascii="Arial" w:eastAsia="Arial" w:hAnsi="Arial" w:cs="Arial"/>
          <w:spacing w:val="-1"/>
          <w:sz w:val="18"/>
          <w:szCs w:val="18"/>
          <w:highlight w:val="green"/>
        </w:rPr>
        <w:t>Continuity</w:t>
      </w:r>
      <w:r w:rsidRPr="001838DD">
        <w:rPr>
          <w:rFonts w:ascii="Arial" w:eastAsia="Arial" w:hAnsi="Arial" w:cs="Arial"/>
          <w:spacing w:val="25"/>
          <w:sz w:val="18"/>
          <w:szCs w:val="18"/>
          <w:highlight w:val="green"/>
        </w:rPr>
        <w:t xml:space="preserve"> </w:t>
      </w:r>
      <w:r w:rsidRPr="001838DD">
        <w:rPr>
          <w:rFonts w:ascii="Arial" w:eastAsia="Arial" w:hAnsi="Arial" w:cs="Arial"/>
          <w:spacing w:val="-2"/>
          <w:sz w:val="18"/>
          <w:szCs w:val="18"/>
          <w:highlight w:val="green"/>
        </w:rPr>
        <w:t>and</w:t>
      </w:r>
      <w:r w:rsidRPr="001838DD">
        <w:rPr>
          <w:rFonts w:ascii="Arial" w:eastAsia="Arial" w:hAnsi="Arial" w:cs="Arial"/>
          <w:spacing w:val="93"/>
          <w:sz w:val="18"/>
          <w:szCs w:val="18"/>
          <w:highlight w:val="green"/>
        </w:rPr>
        <w:t xml:space="preserve"> </w:t>
      </w:r>
      <w:r w:rsidRPr="001838DD">
        <w:rPr>
          <w:rFonts w:ascii="Arial" w:eastAsia="Arial" w:hAnsi="Arial" w:cs="Arial"/>
          <w:spacing w:val="-1"/>
          <w:sz w:val="18"/>
          <w:szCs w:val="18"/>
          <w:highlight w:val="green"/>
        </w:rPr>
        <w:t>Disaster</w:t>
      </w:r>
      <w:r w:rsidRPr="001838DD">
        <w:rPr>
          <w:rFonts w:ascii="Arial" w:eastAsia="Arial" w:hAnsi="Arial" w:cs="Arial"/>
          <w:spacing w:val="36"/>
          <w:sz w:val="18"/>
          <w:szCs w:val="18"/>
          <w:highlight w:val="green"/>
        </w:rPr>
        <w:t xml:space="preserve"> </w:t>
      </w:r>
      <w:r w:rsidRPr="001838DD">
        <w:rPr>
          <w:rFonts w:ascii="Arial" w:eastAsia="Arial" w:hAnsi="Arial" w:cs="Arial"/>
          <w:spacing w:val="-1"/>
          <w:sz w:val="18"/>
          <w:szCs w:val="18"/>
          <w:highlight w:val="green"/>
        </w:rPr>
        <w:t>Recovery.</w:t>
      </w:r>
      <w:r w:rsidRPr="001838DD">
        <w:rPr>
          <w:rFonts w:ascii="Arial" w:eastAsia="Arial" w:hAnsi="Arial" w:cs="Arial"/>
          <w:spacing w:val="37"/>
          <w:sz w:val="18"/>
          <w:szCs w:val="18"/>
          <w:highlight w:val="green"/>
        </w:rPr>
        <w:t xml:space="preserve"> </w:t>
      </w:r>
      <w:r w:rsidRPr="001838DD">
        <w:rPr>
          <w:rFonts w:ascii="Arial" w:eastAsia="Arial" w:hAnsi="Arial" w:cs="Arial"/>
          <w:spacing w:val="-1"/>
          <w:sz w:val="18"/>
          <w:szCs w:val="18"/>
          <w:highlight w:val="green"/>
        </w:rPr>
        <w:t>Consider</w:t>
      </w:r>
      <w:r w:rsidRPr="001838DD">
        <w:rPr>
          <w:rFonts w:ascii="Arial" w:eastAsia="Arial" w:hAnsi="Arial" w:cs="Arial"/>
          <w:spacing w:val="36"/>
          <w:sz w:val="18"/>
          <w:szCs w:val="18"/>
          <w:highlight w:val="green"/>
        </w:rPr>
        <w:t xml:space="preserve"> </w:t>
      </w:r>
      <w:r w:rsidRPr="001838DD">
        <w:rPr>
          <w:rFonts w:ascii="Arial" w:eastAsia="Arial" w:hAnsi="Arial" w:cs="Arial"/>
          <w:sz w:val="18"/>
          <w:szCs w:val="18"/>
          <w:highlight w:val="green"/>
        </w:rPr>
        <w:t>if</w:t>
      </w:r>
      <w:r w:rsidRPr="001838DD">
        <w:rPr>
          <w:rFonts w:ascii="Arial" w:eastAsia="Arial" w:hAnsi="Arial" w:cs="Arial"/>
          <w:spacing w:val="37"/>
          <w:sz w:val="18"/>
          <w:szCs w:val="18"/>
          <w:highlight w:val="green"/>
        </w:rPr>
        <w:t xml:space="preserve"> </w:t>
      </w:r>
      <w:r w:rsidRPr="001838DD">
        <w:rPr>
          <w:rFonts w:ascii="Arial" w:eastAsia="Arial" w:hAnsi="Arial" w:cs="Arial"/>
          <w:spacing w:val="-1"/>
          <w:sz w:val="18"/>
          <w:szCs w:val="18"/>
          <w:highlight w:val="green"/>
        </w:rPr>
        <w:t>you</w:t>
      </w:r>
      <w:r w:rsidRPr="001838DD">
        <w:rPr>
          <w:rFonts w:ascii="Arial" w:eastAsia="Arial" w:hAnsi="Arial" w:cs="Arial"/>
          <w:spacing w:val="37"/>
          <w:sz w:val="18"/>
          <w:szCs w:val="18"/>
          <w:highlight w:val="green"/>
        </w:rPr>
        <w:t xml:space="preserve"> </w:t>
      </w:r>
      <w:r w:rsidRPr="001838DD">
        <w:rPr>
          <w:rFonts w:ascii="Arial" w:eastAsia="Arial" w:hAnsi="Arial" w:cs="Arial"/>
          <w:spacing w:val="-1"/>
          <w:sz w:val="18"/>
          <w:szCs w:val="18"/>
          <w:highlight w:val="green"/>
        </w:rPr>
        <w:t>require</w:t>
      </w:r>
      <w:r w:rsidRPr="001838DD">
        <w:rPr>
          <w:rFonts w:ascii="Arial" w:eastAsia="Arial" w:hAnsi="Arial" w:cs="Arial"/>
          <w:spacing w:val="37"/>
          <w:sz w:val="18"/>
          <w:szCs w:val="18"/>
          <w:highlight w:val="green"/>
        </w:rPr>
        <w:t xml:space="preserve"> </w:t>
      </w:r>
      <w:r w:rsidRPr="001838DD">
        <w:rPr>
          <w:rFonts w:ascii="Arial" w:eastAsia="Arial" w:hAnsi="Arial" w:cs="Arial"/>
          <w:spacing w:val="-1"/>
          <w:sz w:val="18"/>
          <w:szCs w:val="18"/>
          <w:highlight w:val="green"/>
        </w:rPr>
        <w:t>any</w:t>
      </w:r>
      <w:r w:rsidRPr="001838DD">
        <w:rPr>
          <w:rFonts w:ascii="Arial" w:eastAsia="Arial" w:hAnsi="Arial" w:cs="Arial"/>
          <w:spacing w:val="35"/>
          <w:sz w:val="18"/>
          <w:szCs w:val="18"/>
          <w:highlight w:val="green"/>
        </w:rPr>
        <w:t xml:space="preserve"> </w:t>
      </w:r>
      <w:r w:rsidRPr="001838DD">
        <w:rPr>
          <w:rFonts w:ascii="Arial" w:eastAsia="Arial" w:hAnsi="Arial" w:cs="Arial"/>
          <w:spacing w:val="-1"/>
          <w:sz w:val="18"/>
          <w:szCs w:val="18"/>
          <w:highlight w:val="green"/>
        </w:rPr>
        <w:t>specific</w:t>
      </w:r>
      <w:r w:rsidRPr="001838DD">
        <w:rPr>
          <w:rFonts w:ascii="Arial" w:eastAsia="Arial" w:hAnsi="Arial" w:cs="Arial"/>
          <w:spacing w:val="37"/>
          <w:sz w:val="18"/>
          <w:szCs w:val="18"/>
          <w:highlight w:val="green"/>
        </w:rPr>
        <w:t xml:space="preserve"> </w:t>
      </w:r>
      <w:r w:rsidRPr="001838DD">
        <w:rPr>
          <w:rFonts w:ascii="Arial" w:eastAsia="Arial" w:hAnsi="Arial" w:cs="Arial"/>
          <w:spacing w:val="-1"/>
          <w:sz w:val="18"/>
          <w:szCs w:val="18"/>
          <w:highlight w:val="green"/>
        </w:rPr>
        <w:t>Business</w:t>
      </w:r>
      <w:r w:rsidRPr="001838DD">
        <w:rPr>
          <w:rFonts w:ascii="Arial" w:eastAsia="Arial" w:hAnsi="Arial" w:cs="Arial"/>
          <w:spacing w:val="37"/>
          <w:sz w:val="18"/>
          <w:szCs w:val="18"/>
          <w:highlight w:val="green"/>
        </w:rPr>
        <w:t xml:space="preserve"> </w:t>
      </w:r>
      <w:r w:rsidRPr="001838DD">
        <w:rPr>
          <w:rFonts w:ascii="Arial" w:eastAsia="Arial" w:hAnsi="Arial" w:cs="Arial"/>
          <w:spacing w:val="-1"/>
          <w:sz w:val="18"/>
          <w:szCs w:val="18"/>
          <w:highlight w:val="green"/>
        </w:rPr>
        <w:t>Continuity</w:t>
      </w:r>
      <w:r w:rsidRPr="001838DD">
        <w:rPr>
          <w:rFonts w:ascii="Arial" w:eastAsia="Arial" w:hAnsi="Arial" w:cs="Arial"/>
          <w:spacing w:val="35"/>
          <w:sz w:val="18"/>
          <w:szCs w:val="18"/>
          <w:highlight w:val="green"/>
        </w:rPr>
        <w:t xml:space="preserve"> </w:t>
      </w:r>
      <w:r w:rsidRPr="001838DD">
        <w:rPr>
          <w:rFonts w:ascii="Arial" w:eastAsia="Arial" w:hAnsi="Arial" w:cs="Arial"/>
          <w:spacing w:val="-1"/>
          <w:sz w:val="18"/>
          <w:szCs w:val="18"/>
          <w:highlight w:val="green"/>
        </w:rPr>
        <w:t>and</w:t>
      </w:r>
      <w:r w:rsidRPr="001838DD">
        <w:rPr>
          <w:rFonts w:ascii="Arial" w:eastAsia="Arial" w:hAnsi="Arial" w:cs="Arial"/>
          <w:spacing w:val="35"/>
          <w:sz w:val="18"/>
          <w:szCs w:val="18"/>
          <w:highlight w:val="green"/>
        </w:rPr>
        <w:t xml:space="preserve"> </w:t>
      </w:r>
      <w:r w:rsidRPr="001838DD">
        <w:rPr>
          <w:rFonts w:ascii="Arial" w:eastAsia="Arial" w:hAnsi="Arial" w:cs="Arial"/>
          <w:spacing w:val="-1"/>
          <w:sz w:val="18"/>
          <w:szCs w:val="18"/>
          <w:highlight w:val="green"/>
        </w:rPr>
        <w:t>Disaster</w:t>
      </w:r>
      <w:r w:rsidRPr="001838DD">
        <w:rPr>
          <w:rFonts w:ascii="Arial" w:eastAsia="Arial" w:hAnsi="Arial" w:cs="Arial"/>
          <w:spacing w:val="36"/>
          <w:sz w:val="18"/>
          <w:szCs w:val="18"/>
          <w:highlight w:val="green"/>
        </w:rPr>
        <w:t xml:space="preserve"> </w:t>
      </w:r>
      <w:r w:rsidRPr="001838DD">
        <w:rPr>
          <w:rFonts w:ascii="Arial" w:eastAsia="Arial" w:hAnsi="Arial" w:cs="Arial"/>
          <w:spacing w:val="-1"/>
          <w:sz w:val="18"/>
          <w:szCs w:val="18"/>
          <w:highlight w:val="green"/>
        </w:rPr>
        <w:t>Recovery</w:t>
      </w:r>
      <w:r w:rsidRPr="001838DD">
        <w:rPr>
          <w:rFonts w:ascii="Arial" w:eastAsia="Arial" w:hAnsi="Arial" w:cs="Arial"/>
          <w:spacing w:val="83"/>
          <w:sz w:val="18"/>
          <w:szCs w:val="18"/>
          <w:highlight w:val="green"/>
        </w:rPr>
        <w:t xml:space="preserve"> </w:t>
      </w:r>
      <w:r w:rsidRPr="001838DD">
        <w:rPr>
          <w:rFonts w:ascii="Arial" w:eastAsia="Arial" w:hAnsi="Arial" w:cs="Arial"/>
          <w:spacing w:val="-1"/>
          <w:sz w:val="18"/>
          <w:szCs w:val="18"/>
          <w:highlight w:val="green"/>
        </w:rPr>
        <w:t>requirements.</w:t>
      </w:r>
      <w:r w:rsidRPr="001838DD">
        <w:rPr>
          <w:rFonts w:ascii="Arial" w:eastAsia="Arial" w:hAnsi="Arial" w:cs="Arial"/>
          <w:spacing w:val="3"/>
          <w:sz w:val="18"/>
          <w:szCs w:val="18"/>
          <w:highlight w:val="green"/>
        </w:rPr>
        <w:t xml:space="preserve"> </w:t>
      </w:r>
      <w:r w:rsidRPr="001838DD">
        <w:rPr>
          <w:rFonts w:ascii="Arial" w:eastAsia="Arial" w:hAnsi="Arial" w:cs="Arial"/>
          <w:sz w:val="18"/>
          <w:szCs w:val="18"/>
          <w:highlight w:val="green"/>
        </w:rPr>
        <w:t>If</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so,</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remove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the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square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brackets</w:t>
      </w:r>
      <w:r w:rsidRPr="001838DD">
        <w:rPr>
          <w:rFonts w:ascii="Arial" w:eastAsia="Arial" w:hAnsi="Arial" w:cs="Arial"/>
          <w:spacing w:val="3"/>
          <w:sz w:val="18"/>
          <w:szCs w:val="18"/>
          <w:highlight w:val="green"/>
        </w:rPr>
        <w:t xml:space="preserve"> </w:t>
      </w:r>
      <w:r w:rsidRPr="001838DD">
        <w:rPr>
          <w:rFonts w:ascii="Arial" w:eastAsia="Arial" w:hAnsi="Arial" w:cs="Arial"/>
          <w:sz w:val="18"/>
          <w:szCs w:val="18"/>
          <w:highlight w:val="green"/>
        </w:rPr>
        <w:t>and</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yellow</w:t>
      </w:r>
      <w:r w:rsidRPr="001838DD">
        <w:rPr>
          <w:rFonts w:ascii="Arial" w:eastAsia="Arial" w:hAnsi="Arial" w:cs="Arial"/>
          <w:spacing w:val="2"/>
          <w:sz w:val="18"/>
          <w:szCs w:val="18"/>
          <w:highlight w:val="green"/>
        </w:rPr>
        <w:t xml:space="preserve"> </w:t>
      </w:r>
      <w:r w:rsidRPr="001838DD">
        <w:rPr>
          <w:rFonts w:ascii="Arial" w:eastAsia="Arial" w:hAnsi="Arial" w:cs="Arial"/>
          <w:spacing w:val="-1"/>
          <w:sz w:val="18"/>
          <w:szCs w:val="18"/>
          <w:highlight w:val="green"/>
        </w:rPr>
        <w:t>highlighting</w:t>
      </w:r>
      <w:r w:rsidRPr="001838DD">
        <w:rPr>
          <w:rFonts w:ascii="Arial" w:eastAsia="Arial" w:hAnsi="Arial" w:cs="Arial"/>
          <w:spacing w:val="5"/>
          <w:sz w:val="18"/>
          <w:szCs w:val="18"/>
          <w:highlight w:val="green"/>
        </w:rPr>
        <w:t xml:space="preserve"> </w:t>
      </w:r>
      <w:r w:rsidRPr="001838DD">
        <w:rPr>
          <w:rFonts w:ascii="Arial" w:eastAsia="Arial" w:hAnsi="Arial" w:cs="Arial"/>
          <w:sz w:val="18"/>
          <w:szCs w:val="18"/>
          <w:highlight w:val="green"/>
        </w:rPr>
        <w:t>here</w:t>
      </w:r>
      <w:r w:rsidRPr="001838DD">
        <w:rPr>
          <w:rFonts w:ascii="Arial" w:eastAsia="Arial" w:hAnsi="Arial" w:cs="Arial"/>
          <w:spacing w:val="3"/>
          <w:sz w:val="18"/>
          <w:szCs w:val="18"/>
          <w:highlight w:val="green"/>
        </w:rPr>
        <w:t xml:space="preserve"> </w:t>
      </w:r>
      <w:r w:rsidRPr="001838DD">
        <w:rPr>
          <w:rFonts w:ascii="Arial" w:eastAsia="Arial" w:hAnsi="Arial" w:cs="Arial"/>
          <w:sz w:val="18"/>
          <w:szCs w:val="18"/>
          <w:highlight w:val="green"/>
        </w:rPr>
        <w:t>and</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complete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Call</w:t>
      </w:r>
      <w:r w:rsidRPr="001838DD">
        <w:rPr>
          <w:rFonts w:ascii="Arial" w:eastAsia="Arial" w:hAnsi="Arial" w:cs="Arial"/>
          <w:spacing w:val="6"/>
          <w:sz w:val="18"/>
          <w:szCs w:val="18"/>
          <w:highlight w:val="green"/>
        </w:rPr>
        <w:t xml:space="preserve"> </w:t>
      </w:r>
      <w:r w:rsidRPr="001838DD">
        <w:rPr>
          <w:rFonts w:ascii="Arial" w:eastAsia="Arial" w:hAnsi="Arial" w:cs="Arial"/>
          <w:spacing w:val="-1"/>
          <w:sz w:val="18"/>
          <w:szCs w:val="18"/>
          <w:highlight w:val="green"/>
        </w:rPr>
        <w:t>Off</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Schedule</w:t>
      </w:r>
      <w:r w:rsidRPr="001838DD">
        <w:rPr>
          <w:rFonts w:ascii="Arial" w:eastAsia="Arial" w:hAnsi="Arial" w:cs="Arial"/>
          <w:spacing w:val="2"/>
          <w:sz w:val="18"/>
          <w:szCs w:val="18"/>
          <w:highlight w:val="green"/>
        </w:rPr>
        <w:t xml:space="preserve"> </w:t>
      </w:r>
      <w:r w:rsidRPr="001838DD">
        <w:rPr>
          <w:rFonts w:ascii="Arial" w:eastAsia="Arial" w:hAnsi="Arial" w:cs="Arial"/>
          <w:sz w:val="18"/>
          <w:szCs w:val="18"/>
          <w:highlight w:val="green"/>
        </w:rPr>
        <w:t>9</w:t>
      </w:r>
      <w:r w:rsidRPr="001838DD">
        <w:rPr>
          <w:rFonts w:ascii="Arial" w:eastAsia="Arial" w:hAnsi="Arial" w:cs="Arial"/>
          <w:spacing w:val="91"/>
          <w:sz w:val="18"/>
          <w:szCs w:val="18"/>
          <w:highlight w:val="green"/>
        </w:rPr>
        <w:t xml:space="preserve"> </w:t>
      </w:r>
      <w:r w:rsidRPr="001838DD">
        <w:rPr>
          <w:rFonts w:ascii="Arial" w:eastAsia="Arial" w:hAnsi="Arial" w:cs="Arial"/>
          <w:spacing w:val="-1"/>
          <w:sz w:val="18"/>
          <w:szCs w:val="18"/>
          <w:highlight w:val="green"/>
        </w:rPr>
        <w:t>(Business</w:t>
      </w:r>
      <w:r w:rsidRPr="001838DD">
        <w:rPr>
          <w:rFonts w:ascii="Arial" w:eastAsia="Arial" w:hAnsi="Arial" w:cs="Arial"/>
          <w:spacing w:val="32"/>
          <w:sz w:val="18"/>
          <w:szCs w:val="18"/>
          <w:highlight w:val="green"/>
        </w:rPr>
        <w:t xml:space="preserve"> </w:t>
      </w:r>
      <w:r w:rsidRPr="001838DD">
        <w:rPr>
          <w:rFonts w:ascii="Arial" w:eastAsia="Arial" w:hAnsi="Arial" w:cs="Arial"/>
          <w:spacing w:val="-1"/>
          <w:sz w:val="18"/>
          <w:szCs w:val="18"/>
          <w:highlight w:val="green"/>
        </w:rPr>
        <w:t>Continuity</w:t>
      </w:r>
      <w:r w:rsidRPr="001838DD">
        <w:rPr>
          <w:rFonts w:ascii="Arial" w:eastAsia="Arial" w:hAnsi="Arial" w:cs="Arial"/>
          <w:spacing w:val="30"/>
          <w:sz w:val="18"/>
          <w:szCs w:val="18"/>
          <w:highlight w:val="green"/>
        </w:rPr>
        <w:t xml:space="preserve"> </w:t>
      </w:r>
      <w:r w:rsidRPr="001838DD">
        <w:rPr>
          <w:rFonts w:ascii="Arial" w:eastAsia="Arial" w:hAnsi="Arial" w:cs="Arial"/>
          <w:spacing w:val="-1"/>
          <w:sz w:val="18"/>
          <w:szCs w:val="18"/>
          <w:highlight w:val="green"/>
        </w:rPr>
        <w:t>and</w:t>
      </w:r>
      <w:r w:rsidRPr="001838DD">
        <w:rPr>
          <w:rFonts w:ascii="Arial" w:eastAsia="Arial" w:hAnsi="Arial" w:cs="Arial"/>
          <w:spacing w:val="32"/>
          <w:sz w:val="18"/>
          <w:szCs w:val="18"/>
          <w:highlight w:val="green"/>
        </w:rPr>
        <w:t xml:space="preserve"> </w:t>
      </w:r>
      <w:r w:rsidRPr="001838DD">
        <w:rPr>
          <w:rFonts w:ascii="Arial" w:eastAsia="Arial" w:hAnsi="Arial" w:cs="Arial"/>
          <w:spacing w:val="-1"/>
          <w:sz w:val="18"/>
          <w:szCs w:val="18"/>
          <w:highlight w:val="green"/>
        </w:rPr>
        <w:t>Disaster</w:t>
      </w:r>
      <w:r w:rsidRPr="001838DD">
        <w:rPr>
          <w:rFonts w:ascii="Arial" w:eastAsia="Arial" w:hAnsi="Arial" w:cs="Arial"/>
          <w:spacing w:val="29"/>
          <w:sz w:val="18"/>
          <w:szCs w:val="18"/>
          <w:highlight w:val="green"/>
        </w:rPr>
        <w:t xml:space="preserve"> </w:t>
      </w:r>
      <w:r w:rsidRPr="001838DD">
        <w:rPr>
          <w:rFonts w:ascii="Arial" w:eastAsia="Arial" w:hAnsi="Arial" w:cs="Arial"/>
          <w:spacing w:val="-1"/>
          <w:sz w:val="18"/>
          <w:szCs w:val="18"/>
          <w:highlight w:val="green"/>
        </w:rPr>
        <w:t>Recovery.</w:t>
      </w:r>
      <w:r w:rsidRPr="001838DD">
        <w:rPr>
          <w:rFonts w:ascii="Arial" w:eastAsia="Arial" w:hAnsi="Arial" w:cs="Arial"/>
          <w:spacing w:val="31"/>
          <w:sz w:val="18"/>
          <w:szCs w:val="18"/>
          <w:highlight w:val="green"/>
        </w:rPr>
        <w:t xml:space="preserve"> </w:t>
      </w:r>
      <w:r w:rsidRPr="001838DD">
        <w:rPr>
          <w:rFonts w:ascii="Arial" w:eastAsia="Arial" w:hAnsi="Arial" w:cs="Arial"/>
          <w:spacing w:val="-1"/>
          <w:sz w:val="18"/>
          <w:szCs w:val="18"/>
          <w:highlight w:val="green"/>
        </w:rPr>
        <w:t>Further,</w:t>
      </w:r>
      <w:r w:rsidRPr="001838DD">
        <w:rPr>
          <w:rFonts w:ascii="Arial" w:eastAsia="Arial" w:hAnsi="Arial" w:cs="Arial"/>
          <w:spacing w:val="31"/>
          <w:sz w:val="18"/>
          <w:szCs w:val="18"/>
          <w:highlight w:val="green"/>
        </w:rPr>
        <w:t xml:space="preserve"> </w:t>
      </w:r>
      <w:r w:rsidRPr="001838DD">
        <w:rPr>
          <w:rFonts w:ascii="Arial" w:eastAsia="Arial" w:hAnsi="Arial" w:cs="Arial"/>
          <w:spacing w:val="-1"/>
          <w:sz w:val="18"/>
          <w:szCs w:val="18"/>
          <w:highlight w:val="green"/>
        </w:rPr>
        <w:t>the</w:t>
      </w:r>
      <w:r w:rsidRPr="001838DD">
        <w:rPr>
          <w:rFonts w:ascii="Arial" w:eastAsia="Arial" w:hAnsi="Arial" w:cs="Arial"/>
          <w:spacing w:val="29"/>
          <w:sz w:val="18"/>
          <w:szCs w:val="18"/>
          <w:highlight w:val="green"/>
        </w:rPr>
        <w:t xml:space="preserve"> </w:t>
      </w:r>
      <w:r w:rsidRPr="001838DD">
        <w:rPr>
          <w:rFonts w:ascii="Arial" w:eastAsia="Arial" w:hAnsi="Arial" w:cs="Arial"/>
          <w:spacing w:val="-1"/>
          <w:sz w:val="18"/>
          <w:szCs w:val="18"/>
          <w:highlight w:val="green"/>
        </w:rPr>
        <w:t>definition</w:t>
      </w:r>
      <w:r w:rsidRPr="001838DD">
        <w:rPr>
          <w:rFonts w:ascii="Arial" w:eastAsia="Arial" w:hAnsi="Arial" w:cs="Arial"/>
          <w:spacing w:val="32"/>
          <w:sz w:val="18"/>
          <w:szCs w:val="18"/>
          <w:highlight w:val="green"/>
        </w:rPr>
        <w:t xml:space="preserve"> </w:t>
      </w:r>
      <w:r w:rsidRPr="001838DD">
        <w:rPr>
          <w:rFonts w:ascii="Arial" w:eastAsia="Arial" w:hAnsi="Arial" w:cs="Arial"/>
          <w:sz w:val="18"/>
          <w:szCs w:val="18"/>
          <w:highlight w:val="green"/>
        </w:rPr>
        <w:t>of</w:t>
      </w:r>
      <w:r w:rsidRPr="001838DD">
        <w:rPr>
          <w:rFonts w:ascii="Arial" w:eastAsia="Arial" w:hAnsi="Arial" w:cs="Arial"/>
          <w:spacing w:val="29"/>
          <w:sz w:val="18"/>
          <w:szCs w:val="18"/>
          <w:highlight w:val="green"/>
        </w:rPr>
        <w:t xml:space="preserve"> </w:t>
      </w:r>
      <w:r w:rsidRPr="001838DD">
        <w:rPr>
          <w:rFonts w:ascii="Arial" w:eastAsia="Arial" w:hAnsi="Arial" w:cs="Arial"/>
          <w:spacing w:val="-1"/>
          <w:sz w:val="18"/>
          <w:szCs w:val="18"/>
          <w:highlight w:val="green"/>
        </w:rPr>
        <w:t>Disaster</w:t>
      </w:r>
      <w:r w:rsidRPr="001838DD">
        <w:rPr>
          <w:rFonts w:ascii="Arial" w:eastAsia="Arial" w:hAnsi="Arial" w:cs="Arial"/>
          <w:spacing w:val="31"/>
          <w:sz w:val="18"/>
          <w:szCs w:val="18"/>
          <w:highlight w:val="green"/>
        </w:rPr>
        <w:t xml:space="preserve"> </w:t>
      </w:r>
      <w:r w:rsidRPr="001838DD">
        <w:rPr>
          <w:rFonts w:ascii="Arial" w:eastAsia="Arial" w:hAnsi="Arial" w:cs="Arial"/>
          <w:spacing w:val="-1"/>
          <w:sz w:val="18"/>
          <w:szCs w:val="18"/>
          <w:highlight w:val="green"/>
        </w:rPr>
        <w:t>will</w:t>
      </w:r>
      <w:r w:rsidRPr="001838DD">
        <w:rPr>
          <w:rFonts w:ascii="Arial" w:eastAsia="Arial" w:hAnsi="Arial" w:cs="Arial"/>
          <w:spacing w:val="32"/>
          <w:sz w:val="18"/>
          <w:szCs w:val="18"/>
          <w:highlight w:val="green"/>
        </w:rPr>
        <w:t xml:space="preserve"> </w:t>
      </w:r>
      <w:r w:rsidRPr="001838DD">
        <w:rPr>
          <w:rFonts w:ascii="Arial" w:eastAsia="Arial" w:hAnsi="Arial" w:cs="Arial"/>
          <w:spacing w:val="-1"/>
          <w:sz w:val="18"/>
          <w:szCs w:val="18"/>
          <w:highlight w:val="green"/>
        </w:rPr>
        <w:t>not</w:t>
      </w:r>
      <w:r w:rsidRPr="001838DD">
        <w:rPr>
          <w:rFonts w:ascii="Arial" w:eastAsia="Arial" w:hAnsi="Arial" w:cs="Arial"/>
          <w:spacing w:val="29"/>
          <w:sz w:val="18"/>
          <w:szCs w:val="18"/>
          <w:highlight w:val="green"/>
        </w:rPr>
        <w:t xml:space="preserve"> </w:t>
      </w:r>
      <w:r w:rsidRPr="001838DD">
        <w:rPr>
          <w:rFonts w:ascii="Arial" w:eastAsia="Arial" w:hAnsi="Arial" w:cs="Arial"/>
          <w:sz w:val="18"/>
          <w:szCs w:val="18"/>
          <w:highlight w:val="green"/>
        </w:rPr>
        <w:t>be</w:t>
      </w:r>
      <w:r w:rsidRPr="001838DD">
        <w:rPr>
          <w:rFonts w:ascii="Arial" w:eastAsia="Arial" w:hAnsi="Arial" w:cs="Arial"/>
          <w:spacing w:val="32"/>
          <w:sz w:val="18"/>
          <w:szCs w:val="18"/>
          <w:highlight w:val="green"/>
        </w:rPr>
        <w:t xml:space="preserve"> </w:t>
      </w:r>
      <w:r w:rsidRPr="001838DD">
        <w:rPr>
          <w:rFonts w:ascii="Arial" w:eastAsia="Arial" w:hAnsi="Arial" w:cs="Arial"/>
          <w:spacing w:val="-1"/>
          <w:sz w:val="18"/>
          <w:szCs w:val="18"/>
          <w:highlight w:val="green"/>
        </w:rPr>
        <w:t>made</w:t>
      </w:r>
      <w:r w:rsidRPr="001838DD">
        <w:rPr>
          <w:rFonts w:ascii="Arial" w:eastAsia="Arial" w:hAnsi="Arial" w:cs="Arial"/>
          <w:spacing w:val="29"/>
          <w:sz w:val="18"/>
          <w:szCs w:val="18"/>
          <w:highlight w:val="green"/>
        </w:rPr>
        <w:t xml:space="preserve"> </w:t>
      </w:r>
      <w:r w:rsidRPr="001838DD">
        <w:rPr>
          <w:rFonts w:ascii="Arial" w:eastAsia="Arial" w:hAnsi="Arial" w:cs="Arial"/>
          <w:sz w:val="18"/>
          <w:szCs w:val="18"/>
          <w:highlight w:val="green"/>
        </w:rPr>
        <w:t>out</w:t>
      </w:r>
      <w:r w:rsidRPr="001838DD">
        <w:rPr>
          <w:rFonts w:ascii="Arial" w:eastAsia="Arial" w:hAnsi="Arial" w:cs="Arial"/>
          <w:spacing w:val="29"/>
          <w:sz w:val="18"/>
          <w:szCs w:val="18"/>
          <w:highlight w:val="green"/>
        </w:rPr>
        <w:t xml:space="preserve"> </w:t>
      </w:r>
      <w:r w:rsidRPr="001838DD">
        <w:rPr>
          <w:rFonts w:ascii="Arial" w:eastAsia="Arial" w:hAnsi="Arial" w:cs="Arial"/>
          <w:spacing w:val="-1"/>
          <w:sz w:val="18"/>
          <w:szCs w:val="18"/>
          <w:highlight w:val="green"/>
        </w:rPr>
        <w:t>unless</w:t>
      </w:r>
      <w:r w:rsidRPr="001838DD">
        <w:rPr>
          <w:rFonts w:ascii="Arial" w:eastAsia="Arial" w:hAnsi="Arial" w:cs="Arial"/>
          <w:spacing w:val="87"/>
          <w:sz w:val="18"/>
          <w:szCs w:val="18"/>
          <w:highlight w:val="green"/>
        </w:rPr>
        <w:t xml:space="preserve"> </w:t>
      </w:r>
      <w:r w:rsidRPr="001838DD">
        <w:rPr>
          <w:rFonts w:ascii="Arial" w:eastAsia="Arial" w:hAnsi="Arial" w:cs="Arial"/>
          <w:spacing w:val="-1"/>
          <w:sz w:val="18"/>
          <w:szCs w:val="18"/>
          <w:highlight w:val="green"/>
        </w:rPr>
        <w:t>Goods</w:t>
      </w:r>
      <w:r w:rsidRPr="001838DD">
        <w:rPr>
          <w:rFonts w:ascii="Arial" w:eastAsia="Arial" w:hAnsi="Arial" w:cs="Arial"/>
          <w:spacing w:val="13"/>
          <w:sz w:val="18"/>
          <w:szCs w:val="18"/>
          <w:highlight w:val="green"/>
        </w:rPr>
        <w:t xml:space="preserve"> </w:t>
      </w:r>
      <w:r w:rsidRPr="001838DD">
        <w:rPr>
          <w:rFonts w:ascii="Arial" w:eastAsia="Arial" w:hAnsi="Arial" w:cs="Arial"/>
          <w:spacing w:val="-1"/>
          <w:sz w:val="18"/>
          <w:szCs w:val="18"/>
          <w:highlight w:val="green"/>
        </w:rPr>
        <w:t>and/or</w:t>
      </w:r>
      <w:r w:rsidRPr="001838DD">
        <w:rPr>
          <w:rFonts w:ascii="Arial" w:eastAsia="Arial" w:hAnsi="Arial" w:cs="Arial"/>
          <w:spacing w:val="12"/>
          <w:sz w:val="18"/>
          <w:szCs w:val="18"/>
          <w:highlight w:val="green"/>
        </w:rPr>
        <w:t xml:space="preserve"> </w:t>
      </w:r>
      <w:r w:rsidRPr="001838DD">
        <w:rPr>
          <w:rFonts w:ascii="Arial" w:eastAsia="Arial" w:hAnsi="Arial" w:cs="Arial"/>
          <w:spacing w:val="-1"/>
          <w:sz w:val="18"/>
          <w:szCs w:val="18"/>
          <w:highlight w:val="green"/>
        </w:rPr>
        <w:t>Services</w:t>
      </w:r>
      <w:r w:rsidRPr="001838DD">
        <w:rPr>
          <w:rFonts w:ascii="Arial" w:eastAsia="Arial" w:hAnsi="Arial" w:cs="Arial"/>
          <w:spacing w:val="13"/>
          <w:sz w:val="18"/>
          <w:szCs w:val="18"/>
          <w:highlight w:val="green"/>
        </w:rPr>
        <w:t xml:space="preserve"> </w:t>
      </w:r>
      <w:r w:rsidRPr="001838DD">
        <w:rPr>
          <w:rFonts w:ascii="Arial" w:eastAsia="Arial" w:hAnsi="Arial" w:cs="Arial"/>
          <w:sz w:val="18"/>
          <w:szCs w:val="18"/>
          <w:highlight w:val="green"/>
        </w:rPr>
        <w:t>are</w:t>
      </w:r>
      <w:r w:rsidRPr="001838DD">
        <w:rPr>
          <w:rFonts w:ascii="Arial" w:eastAsia="Arial" w:hAnsi="Arial" w:cs="Arial"/>
          <w:spacing w:val="13"/>
          <w:sz w:val="18"/>
          <w:szCs w:val="18"/>
          <w:highlight w:val="green"/>
        </w:rPr>
        <w:t xml:space="preserve"> </w:t>
      </w:r>
      <w:r w:rsidRPr="001838DD">
        <w:rPr>
          <w:rFonts w:ascii="Arial" w:eastAsia="Arial" w:hAnsi="Arial" w:cs="Arial"/>
          <w:spacing w:val="-1"/>
          <w:sz w:val="18"/>
          <w:szCs w:val="18"/>
          <w:highlight w:val="green"/>
        </w:rPr>
        <w:t>(or</w:t>
      </w:r>
      <w:r w:rsidRPr="001838DD">
        <w:rPr>
          <w:rFonts w:ascii="Arial" w:eastAsia="Arial" w:hAnsi="Arial" w:cs="Arial"/>
          <w:spacing w:val="12"/>
          <w:sz w:val="18"/>
          <w:szCs w:val="18"/>
          <w:highlight w:val="green"/>
        </w:rPr>
        <w:t xml:space="preserve"> </w:t>
      </w:r>
      <w:r w:rsidRPr="001838DD">
        <w:rPr>
          <w:rFonts w:ascii="Arial" w:eastAsia="Arial" w:hAnsi="Arial" w:cs="Arial"/>
          <w:spacing w:val="-1"/>
          <w:sz w:val="18"/>
          <w:szCs w:val="18"/>
          <w:highlight w:val="green"/>
        </w:rPr>
        <w:t>reasonably</w:t>
      </w:r>
      <w:r w:rsidRPr="001838DD">
        <w:rPr>
          <w:rFonts w:ascii="Arial" w:eastAsia="Arial" w:hAnsi="Arial" w:cs="Arial"/>
          <w:spacing w:val="11"/>
          <w:sz w:val="18"/>
          <w:szCs w:val="18"/>
          <w:highlight w:val="green"/>
        </w:rPr>
        <w:t xml:space="preserve"> </w:t>
      </w:r>
      <w:r w:rsidRPr="001838DD">
        <w:rPr>
          <w:rFonts w:ascii="Arial" w:eastAsia="Arial" w:hAnsi="Arial" w:cs="Arial"/>
          <w:spacing w:val="-1"/>
          <w:sz w:val="18"/>
          <w:szCs w:val="18"/>
          <w:highlight w:val="green"/>
        </w:rPr>
        <w:t>anticipated</w:t>
      </w:r>
      <w:r w:rsidRPr="001838DD">
        <w:rPr>
          <w:rFonts w:ascii="Arial" w:eastAsia="Arial" w:hAnsi="Arial" w:cs="Arial"/>
          <w:spacing w:val="13"/>
          <w:sz w:val="18"/>
          <w:szCs w:val="18"/>
          <w:highlight w:val="green"/>
        </w:rPr>
        <w:t xml:space="preserve"> </w:t>
      </w:r>
      <w:r w:rsidRPr="001838DD">
        <w:rPr>
          <w:rFonts w:ascii="Arial" w:eastAsia="Arial" w:hAnsi="Arial" w:cs="Arial"/>
          <w:sz w:val="18"/>
          <w:szCs w:val="18"/>
          <w:highlight w:val="green"/>
        </w:rPr>
        <w:t>to</w:t>
      </w:r>
      <w:r w:rsidRPr="001838DD">
        <w:rPr>
          <w:rFonts w:ascii="Arial" w:eastAsia="Arial" w:hAnsi="Arial" w:cs="Arial"/>
          <w:spacing w:val="13"/>
          <w:sz w:val="18"/>
          <w:szCs w:val="18"/>
          <w:highlight w:val="green"/>
        </w:rPr>
        <w:t xml:space="preserve"> </w:t>
      </w:r>
      <w:r w:rsidRPr="001838DD">
        <w:rPr>
          <w:rFonts w:ascii="Arial" w:eastAsia="Arial" w:hAnsi="Arial" w:cs="Arial"/>
          <w:spacing w:val="-1"/>
          <w:sz w:val="18"/>
          <w:szCs w:val="18"/>
          <w:highlight w:val="green"/>
        </w:rPr>
        <w:t>be)</w:t>
      </w:r>
      <w:r w:rsidRPr="001838DD">
        <w:rPr>
          <w:rFonts w:ascii="Arial" w:eastAsia="Arial" w:hAnsi="Arial" w:cs="Arial"/>
          <w:spacing w:val="12"/>
          <w:sz w:val="18"/>
          <w:szCs w:val="18"/>
          <w:highlight w:val="green"/>
        </w:rPr>
        <w:t xml:space="preserve"> </w:t>
      </w:r>
      <w:r w:rsidRPr="001838DD">
        <w:rPr>
          <w:rFonts w:ascii="Arial" w:eastAsia="Arial" w:hAnsi="Arial" w:cs="Arial"/>
          <w:spacing w:val="-1"/>
          <w:sz w:val="18"/>
          <w:szCs w:val="18"/>
          <w:highlight w:val="green"/>
        </w:rPr>
        <w:t>unavailable</w:t>
      </w:r>
      <w:r w:rsidRPr="001838DD">
        <w:rPr>
          <w:rFonts w:ascii="Arial" w:eastAsia="Arial" w:hAnsi="Arial" w:cs="Arial"/>
          <w:spacing w:val="13"/>
          <w:sz w:val="18"/>
          <w:szCs w:val="18"/>
          <w:highlight w:val="green"/>
        </w:rPr>
        <w:t xml:space="preserve"> </w:t>
      </w:r>
      <w:r w:rsidRPr="001838DD">
        <w:rPr>
          <w:rFonts w:ascii="Arial" w:eastAsia="Arial" w:hAnsi="Arial" w:cs="Arial"/>
          <w:sz w:val="18"/>
          <w:szCs w:val="18"/>
          <w:highlight w:val="green"/>
        </w:rPr>
        <w:t>for</w:t>
      </w:r>
      <w:r w:rsidRPr="001838DD">
        <w:rPr>
          <w:rFonts w:ascii="Arial" w:eastAsia="Arial" w:hAnsi="Arial" w:cs="Arial"/>
          <w:spacing w:val="12"/>
          <w:sz w:val="18"/>
          <w:szCs w:val="18"/>
          <w:highlight w:val="green"/>
        </w:rPr>
        <w:t xml:space="preserve"> </w:t>
      </w:r>
      <w:r w:rsidRPr="001838DD">
        <w:rPr>
          <w:rFonts w:ascii="Arial" w:eastAsia="Arial" w:hAnsi="Arial" w:cs="Arial"/>
          <w:sz w:val="18"/>
          <w:szCs w:val="18"/>
          <w:highlight w:val="green"/>
        </w:rPr>
        <w:t>a</w:t>
      </w:r>
      <w:r w:rsidRPr="001838DD">
        <w:rPr>
          <w:rFonts w:ascii="Arial" w:eastAsia="Arial" w:hAnsi="Arial" w:cs="Arial"/>
          <w:spacing w:val="13"/>
          <w:sz w:val="18"/>
          <w:szCs w:val="18"/>
          <w:highlight w:val="green"/>
        </w:rPr>
        <w:t xml:space="preserve"> </w:t>
      </w:r>
      <w:r w:rsidRPr="001838DD">
        <w:rPr>
          <w:rFonts w:ascii="Arial" w:eastAsia="Arial" w:hAnsi="Arial" w:cs="Arial"/>
          <w:spacing w:val="-1"/>
          <w:sz w:val="18"/>
          <w:szCs w:val="18"/>
          <w:highlight w:val="green"/>
        </w:rPr>
        <w:t>specified</w:t>
      </w:r>
      <w:r w:rsidRPr="001838DD">
        <w:rPr>
          <w:rFonts w:ascii="Arial" w:eastAsia="Arial" w:hAnsi="Arial" w:cs="Arial"/>
          <w:spacing w:val="13"/>
          <w:sz w:val="18"/>
          <w:szCs w:val="18"/>
          <w:highlight w:val="green"/>
        </w:rPr>
        <w:t xml:space="preserve"> </w:t>
      </w:r>
      <w:r w:rsidRPr="001838DD">
        <w:rPr>
          <w:rFonts w:ascii="Arial" w:eastAsia="Arial" w:hAnsi="Arial" w:cs="Arial"/>
          <w:spacing w:val="-1"/>
          <w:sz w:val="18"/>
          <w:szCs w:val="18"/>
          <w:highlight w:val="green"/>
        </w:rPr>
        <w:t>period</w:t>
      </w:r>
      <w:r w:rsidRPr="001838DD">
        <w:rPr>
          <w:rFonts w:ascii="Arial" w:eastAsia="Arial" w:hAnsi="Arial" w:cs="Arial"/>
          <w:spacing w:val="13"/>
          <w:sz w:val="18"/>
          <w:szCs w:val="18"/>
          <w:highlight w:val="green"/>
        </w:rPr>
        <w:t xml:space="preserve"> </w:t>
      </w:r>
      <w:r w:rsidRPr="001838DD">
        <w:rPr>
          <w:rFonts w:ascii="Arial" w:eastAsia="Arial" w:hAnsi="Arial" w:cs="Arial"/>
          <w:sz w:val="18"/>
          <w:szCs w:val="18"/>
          <w:highlight w:val="green"/>
        </w:rPr>
        <w:t>of</w:t>
      </w:r>
      <w:r w:rsidRPr="001838DD">
        <w:rPr>
          <w:rFonts w:ascii="Arial" w:eastAsia="Arial" w:hAnsi="Arial" w:cs="Arial"/>
          <w:spacing w:val="12"/>
          <w:sz w:val="18"/>
          <w:szCs w:val="18"/>
          <w:highlight w:val="green"/>
        </w:rPr>
        <w:t xml:space="preserve"> </w:t>
      </w:r>
      <w:r w:rsidRPr="001838DD">
        <w:rPr>
          <w:rFonts w:ascii="Arial" w:eastAsia="Arial" w:hAnsi="Arial" w:cs="Arial"/>
          <w:spacing w:val="-1"/>
          <w:sz w:val="18"/>
          <w:szCs w:val="18"/>
          <w:highlight w:val="green"/>
        </w:rPr>
        <w:t>time.</w:t>
      </w:r>
      <w:r w:rsidRPr="001838DD">
        <w:rPr>
          <w:rFonts w:ascii="Arial" w:eastAsia="Arial" w:hAnsi="Arial" w:cs="Arial"/>
          <w:spacing w:val="12"/>
          <w:sz w:val="18"/>
          <w:szCs w:val="18"/>
          <w:highlight w:val="green"/>
        </w:rPr>
        <w:t xml:space="preserve"> </w:t>
      </w:r>
      <w:r w:rsidRPr="001838DD">
        <w:rPr>
          <w:rFonts w:ascii="Arial" w:eastAsia="Arial" w:hAnsi="Arial" w:cs="Arial"/>
          <w:spacing w:val="-1"/>
          <w:sz w:val="18"/>
          <w:szCs w:val="18"/>
          <w:highlight w:val="green"/>
        </w:rPr>
        <w:t>Please</w:t>
      </w:r>
      <w:r w:rsidRPr="001838DD">
        <w:rPr>
          <w:rFonts w:ascii="Arial" w:eastAsia="Arial" w:hAnsi="Arial" w:cs="Arial"/>
          <w:spacing w:val="101"/>
          <w:sz w:val="18"/>
          <w:szCs w:val="18"/>
          <w:highlight w:val="green"/>
        </w:rPr>
        <w:t xml:space="preserve"> </w:t>
      </w:r>
      <w:r w:rsidRPr="001838DD">
        <w:rPr>
          <w:rFonts w:ascii="Arial" w:eastAsia="Arial" w:hAnsi="Arial" w:cs="Arial"/>
          <w:spacing w:val="-1"/>
          <w:sz w:val="18"/>
          <w:szCs w:val="18"/>
          <w:highlight w:val="green"/>
        </w:rPr>
        <w:t>insert</w:t>
      </w:r>
      <w:r w:rsidRPr="001838DD">
        <w:rPr>
          <w:rFonts w:ascii="Arial" w:eastAsia="Arial" w:hAnsi="Arial" w:cs="Arial"/>
          <w:sz w:val="18"/>
          <w:szCs w:val="18"/>
          <w:highlight w:val="green"/>
        </w:rPr>
        <w:t xml:space="preserve"> the</w:t>
      </w:r>
      <w:r w:rsidRPr="001838DD">
        <w:rPr>
          <w:rFonts w:ascii="Arial" w:eastAsia="Arial" w:hAnsi="Arial" w:cs="Arial"/>
          <w:spacing w:val="-2"/>
          <w:sz w:val="18"/>
          <w:szCs w:val="18"/>
          <w:highlight w:val="green"/>
        </w:rPr>
        <w:t xml:space="preserve"> </w:t>
      </w:r>
      <w:r w:rsidRPr="001838DD">
        <w:rPr>
          <w:rFonts w:ascii="Arial" w:eastAsia="Arial" w:hAnsi="Arial" w:cs="Arial"/>
          <w:spacing w:val="-1"/>
          <w:sz w:val="18"/>
          <w:szCs w:val="18"/>
          <w:highlight w:val="green"/>
        </w:rPr>
        <w:t>“Disaster</w:t>
      </w:r>
      <w:r w:rsidRPr="001838DD">
        <w:rPr>
          <w:rFonts w:ascii="Arial" w:eastAsia="Arial" w:hAnsi="Arial" w:cs="Arial"/>
          <w:sz w:val="18"/>
          <w:szCs w:val="18"/>
          <w:highlight w:val="green"/>
        </w:rPr>
        <w:t xml:space="preserve"> </w:t>
      </w:r>
      <w:r w:rsidRPr="001838DD">
        <w:rPr>
          <w:rFonts w:ascii="Arial" w:eastAsia="Arial" w:hAnsi="Arial" w:cs="Arial"/>
          <w:spacing w:val="-1"/>
          <w:sz w:val="18"/>
          <w:szCs w:val="18"/>
          <w:highlight w:val="green"/>
        </w:rPr>
        <w:t>Period”</w:t>
      </w:r>
      <w:r w:rsidRPr="001838DD">
        <w:rPr>
          <w:rFonts w:ascii="Arial" w:eastAsia="Arial" w:hAnsi="Arial" w:cs="Arial"/>
          <w:sz w:val="18"/>
          <w:szCs w:val="18"/>
          <w:highlight w:val="green"/>
        </w:rPr>
        <w:t xml:space="preserve"> </w:t>
      </w:r>
      <w:r w:rsidRPr="001838DD">
        <w:rPr>
          <w:rFonts w:ascii="Arial" w:eastAsia="Arial" w:hAnsi="Arial" w:cs="Arial"/>
          <w:spacing w:val="-1"/>
          <w:sz w:val="18"/>
          <w:szCs w:val="18"/>
          <w:highlight w:val="green"/>
        </w:rPr>
        <w:t>where</w:t>
      </w:r>
      <w:r w:rsidRPr="001838DD">
        <w:rPr>
          <w:rFonts w:ascii="Arial" w:eastAsia="Arial" w:hAnsi="Arial" w:cs="Arial"/>
          <w:spacing w:val="1"/>
          <w:sz w:val="18"/>
          <w:szCs w:val="18"/>
          <w:highlight w:val="green"/>
        </w:rPr>
        <w:t xml:space="preserve"> </w:t>
      </w:r>
      <w:r w:rsidR="001C1527" w:rsidRPr="001838DD">
        <w:rPr>
          <w:rFonts w:ascii="Arial" w:eastAsia="Arial" w:hAnsi="Arial" w:cs="Arial"/>
          <w:spacing w:val="-1"/>
          <w:sz w:val="18"/>
          <w:szCs w:val="18"/>
          <w:highlight w:val="green"/>
        </w:rPr>
        <w:t>indicated</w:t>
      </w:r>
      <w:r w:rsidR="001C1527" w:rsidRPr="001838DD">
        <w:rPr>
          <w:rFonts w:ascii="Arial" w:eastAsia="Arial" w:hAnsi="Arial" w:cs="Arial"/>
          <w:spacing w:val="1"/>
          <w:sz w:val="18"/>
          <w:szCs w:val="18"/>
          <w:highlight w:val="green"/>
        </w:rPr>
        <w:t>]</w:t>
      </w:r>
    </w:p>
    <w:p w:rsidR="007929F1" w:rsidRPr="001838DD" w:rsidRDefault="007929F1" w:rsidP="008918FA">
      <w:pPr>
        <w:spacing w:before="85"/>
        <w:ind w:left="101" w:right="111"/>
        <w:jc w:val="both"/>
        <w:rPr>
          <w:rFonts w:ascii="Arial" w:eastAsia="Arial" w:hAnsi="Arial" w:cs="Arial"/>
          <w:sz w:val="18"/>
          <w:szCs w:val="18"/>
          <w:highlight w:val="green"/>
        </w:rPr>
      </w:pPr>
    </w:p>
    <w:p w:rsidR="008918FA" w:rsidRDefault="002F6432" w:rsidP="007929F1">
      <w:pPr>
        <w:spacing w:before="1"/>
        <w:ind w:left="101"/>
        <w:rPr>
          <w:rFonts w:ascii="Arial" w:eastAsia="Arial" w:hAnsi="Arial" w:cs="Arial"/>
          <w:spacing w:val="-1"/>
          <w:sz w:val="18"/>
          <w:szCs w:val="18"/>
          <w:highlight w:val="green"/>
        </w:rPr>
      </w:pPr>
      <w:r w:rsidRPr="001838DD">
        <w:rPr>
          <w:rFonts w:ascii="Arial" w:eastAsia="Arial" w:hAnsi="Arial" w:cs="Arial"/>
          <w:position w:val="9"/>
          <w:sz w:val="12"/>
          <w:szCs w:val="12"/>
          <w:highlight w:val="green"/>
        </w:rPr>
        <w:t>18</w:t>
      </w:r>
      <w:r w:rsidRPr="001838DD">
        <w:rPr>
          <w:rFonts w:ascii="Arial" w:eastAsia="Arial" w:hAnsi="Arial" w:cs="Arial"/>
          <w:spacing w:val="10"/>
          <w:position w:val="9"/>
          <w:sz w:val="12"/>
          <w:szCs w:val="12"/>
          <w:highlight w:val="green"/>
        </w:rPr>
        <w:t xml:space="preserve"> </w:t>
      </w:r>
      <w:r w:rsidRPr="001838DD">
        <w:rPr>
          <w:rFonts w:ascii="Arial" w:eastAsia="Arial" w:hAnsi="Arial" w:cs="Arial"/>
          <w:spacing w:val="-1"/>
          <w:sz w:val="18"/>
          <w:szCs w:val="18"/>
          <w:highlight w:val="green"/>
        </w:rPr>
        <w:t>[Guidance</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Note:</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See</w:t>
      </w:r>
      <w:r w:rsidRPr="001838DD">
        <w:rPr>
          <w:rFonts w:ascii="Arial" w:eastAsia="Arial" w:hAnsi="Arial" w:cs="Arial"/>
          <w:spacing w:val="27"/>
          <w:sz w:val="18"/>
          <w:szCs w:val="18"/>
          <w:highlight w:val="green"/>
        </w:rPr>
        <w:t xml:space="preserve"> </w:t>
      </w:r>
      <w:r w:rsidRPr="001838DD">
        <w:rPr>
          <w:rFonts w:ascii="Arial" w:eastAsia="Arial" w:hAnsi="Arial" w:cs="Arial"/>
          <w:spacing w:val="-1"/>
          <w:sz w:val="18"/>
          <w:szCs w:val="18"/>
          <w:highlight w:val="green"/>
        </w:rPr>
        <w:t xml:space="preserve">Clause 19.3 (Performance Monitoring) and Part B of Call Off Schedule 6 (Service Levels, Service Credits and Performance Monitoring).  If you have specified any additional or alternative monitoring requirements </w:t>
      </w:r>
      <w:r w:rsidR="001838DD" w:rsidRPr="001838DD">
        <w:rPr>
          <w:rFonts w:ascii="Arial" w:eastAsia="Arial" w:hAnsi="Arial" w:cs="Arial"/>
          <w:spacing w:val="-1"/>
          <w:sz w:val="18"/>
          <w:szCs w:val="18"/>
          <w:highlight w:val="green"/>
        </w:rPr>
        <w:t>during</w:t>
      </w:r>
      <w:r w:rsidRPr="001838DD">
        <w:rPr>
          <w:rFonts w:ascii="Arial" w:eastAsia="Arial" w:hAnsi="Arial" w:cs="Arial"/>
          <w:spacing w:val="-1"/>
          <w:sz w:val="18"/>
          <w:szCs w:val="18"/>
          <w:highlight w:val="green"/>
        </w:rPr>
        <w:t xml:space="preserve"> a Further Competition Procedure, include them in Annex 1 or Part B of that Call Off Schedule]</w:t>
      </w:r>
    </w:p>
    <w:p w:rsidR="007929F1" w:rsidRPr="001838DD" w:rsidRDefault="007929F1" w:rsidP="007929F1">
      <w:pPr>
        <w:spacing w:before="1"/>
        <w:ind w:left="101"/>
        <w:rPr>
          <w:rFonts w:ascii="Arial" w:eastAsia="Arial" w:hAnsi="Arial" w:cs="Arial"/>
          <w:spacing w:val="-1"/>
          <w:sz w:val="18"/>
          <w:szCs w:val="18"/>
          <w:highlight w:val="green"/>
        </w:rPr>
      </w:pPr>
    </w:p>
    <w:p w:rsidR="001838DD" w:rsidRPr="001838DD" w:rsidRDefault="001838DD" w:rsidP="007929F1">
      <w:pPr>
        <w:spacing w:line="248" w:lineRule="exact"/>
        <w:ind w:firstLine="101"/>
        <w:jc w:val="both"/>
        <w:rPr>
          <w:rFonts w:ascii="Arial" w:eastAsia="Arial" w:hAnsi="Arial" w:cs="Arial"/>
          <w:sz w:val="18"/>
          <w:szCs w:val="18"/>
          <w:highlight w:val="green"/>
        </w:rPr>
      </w:pPr>
      <w:r w:rsidRPr="001838DD">
        <w:rPr>
          <w:rFonts w:ascii="Arial"/>
          <w:position w:val="10"/>
          <w:sz w:val="13"/>
          <w:highlight w:val="green"/>
        </w:rPr>
        <w:t>19</w:t>
      </w:r>
      <w:r w:rsidRPr="001838DD">
        <w:rPr>
          <w:rFonts w:ascii="Arial"/>
          <w:spacing w:val="21"/>
          <w:position w:val="10"/>
          <w:sz w:val="13"/>
          <w:highlight w:val="green"/>
        </w:rPr>
        <w:t xml:space="preserve"> </w:t>
      </w:r>
      <w:r w:rsidRPr="001838DD">
        <w:rPr>
          <w:rFonts w:ascii="Arial"/>
          <w:spacing w:val="-1"/>
          <w:sz w:val="20"/>
          <w:highlight w:val="green"/>
        </w:rPr>
        <w:t>[</w:t>
      </w:r>
      <w:r w:rsidRPr="001838DD">
        <w:rPr>
          <w:rFonts w:ascii="Arial"/>
          <w:spacing w:val="-1"/>
          <w:sz w:val="18"/>
          <w:highlight w:val="green"/>
        </w:rPr>
        <w:t>Guidance</w:t>
      </w:r>
      <w:r w:rsidRPr="001838DD">
        <w:rPr>
          <w:rFonts w:ascii="Arial"/>
          <w:sz w:val="18"/>
          <w:highlight w:val="green"/>
        </w:rPr>
        <w:t xml:space="preserve"> </w:t>
      </w:r>
      <w:r w:rsidRPr="001838DD">
        <w:rPr>
          <w:rFonts w:ascii="Arial"/>
          <w:spacing w:val="-1"/>
          <w:sz w:val="18"/>
          <w:highlight w:val="green"/>
        </w:rPr>
        <w:t>Note:</w:t>
      </w:r>
      <w:r w:rsidRPr="001838DD">
        <w:rPr>
          <w:rFonts w:ascii="Arial"/>
          <w:sz w:val="18"/>
          <w:highlight w:val="green"/>
        </w:rPr>
        <w:t xml:space="preserve"> </w:t>
      </w:r>
      <w:r w:rsidRPr="001838DD">
        <w:rPr>
          <w:rFonts w:ascii="Arial"/>
          <w:spacing w:val="-1"/>
          <w:sz w:val="18"/>
          <w:highlight w:val="green"/>
        </w:rPr>
        <w:t>Consider</w:t>
      </w:r>
      <w:r w:rsidRPr="001838DD">
        <w:rPr>
          <w:rFonts w:ascii="Arial"/>
          <w:sz w:val="18"/>
          <w:highlight w:val="green"/>
        </w:rPr>
        <w:t xml:space="preserve"> </w:t>
      </w:r>
      <w:r w:rsidRPr="001838DD">
        <w:rPr>
          <w:rFonts w:ascii="Arial"/>
          <w:spacing w:val="-1"/>
          <w:sz w:val="18"/>
          <w:highlight w:val="green"/>
        </w:rPr>
        <w:t>short</w:t>
      </w:r>
      <w:r w:rsidRPr="001838DD">
        <w:rPr>
          <w:rFonts w:ascii="Arial"/>
          <w:sz w:val="18"/>
          <w:highlight w:val="green"/>
        </w:rPr>
        <w:t xml:space="preserve"> and</w:t>
      </w:r>
      <w:r w:rsidRPr="001838DD">
        <w:rPr>
          <w:rFonts w:ascii="Arial"/>
          <w:spacing w:val="1"/>
          <w:sz w:val="18"/>
          <w:highlight w:val="green"/>
        </w:rPr>
        <w:t xml:space="preserve"> </w:t>
      </w:r>
      <w:r w:rsidRPr="001838DD">
        <w:rPr>
          <w:rFonts w:ascii="Arial"/>
          <w:spacing w:val="-1"/>
          <w:sz w:val="18"/>
          <w:highlight w:val="green"/>
        </w:rPr>
        <w:t>long</w:t>
      </w:r>
      <w:r w:rsidRPr="001838DD">
        <w:rPr>
          <w:rFonts w:ascii="Arial"/>
          <w:spacing w:val="1"/>
          <w:sz w:val="18"/>
          <w:highlight w:val="green"/>
        </w:rPr>
        <w:t xml:space="preserve"> </w:t>
      </w:r>
      <w:r w:rsidRPr="001838DD">
        <w:rPr>
          <w:rFonts w:ascii="Arial"/>
          <w:spacing w:val="-1"/>
          <w:sz w:val="18"/>
          <w:highlight w:val="green"/>
        </w:rPr>
        <w:t>form</w:t>
      </w:r>
      <w:r w:rsidRPr="001838DD">
        <w:rPr>
          <w:rFonts w:ascii="Arial"/>
          <w:spacing w:val="1"/>
          <w:sz w:val="18"/>
          <w:highlight w:val="green"/>
        </w:rPr>
        <w:t xml:space="preserve"> </w:t>
      </w:r>
      <w:r w:rsidRPr="001838DD">
        <w:rPr>
          <w:rFonts w:ascii="Arial"/>
          <w:sz w:val="18"/>
          <w:highlight w:val="green"/>
        </w:rPr>
        <w:t>security</w:t>
      </w:r>
      <w:r w:rsidRPr="001838DD">
        <w:rPr>
          <w:rFonts w:ascii="Arial"/>
          <w:spacing w:val="-1"/>
          <w:sz w:val="18"/>
          <w:highlight w:val="green"/>
        </w:rPr>
        <w:t xml:space="preserve"> provisions</w:t>
      </w:r>
      <w:r w:rsidRPr="001838DD">
        <w:rPr>
          <w:rFonts w:ascii="Arial"/>
          <w:sz w:val="18"/>
          <w:highlight w:val="green"/>
        </w:rPr>
        <w:t xml:space="preserve"> </w:t>
      </w:r>
      <w:r w:rsidRPr="001838DD">
        <w:rPr>
          <w:rFonts w:ascii="Arial"/>
          <w:spacing w:val="-1"/>
          <w:sz w:val="18"/>
          <w:highlight w:val="green"/>
        </w:rPr>
        <w:t>in</w:t>
      </w:r>
      <w:r w:rsidRPr="001838DD">
        <w:rPr>
          <w:rFonts w:ascii="Arial"/>
          <w:spacing w:val="1"/>
          <w:sz w:val="18"/>
          <w:highlight w:val="green"/>
        </w:rPr>
        <w:t xml:space="preserve"> </w:t>
      </w:r>
      <w:r w:rsidRPr="001838DD">
        <w:rPr>
          <w:rFonts w:ascii="Arial"/>
          <w:spacing w:val="-1"/>
          <w:sz w:val="18"/>
          <w:highlight w:val="green"/>
        </w:rPr>
        <w:t>Call</w:t>
      </w:r>
      <w:r w:rsidRPr="001838DD">
        <w:rPr>
          <w:rFonts w:ascii="Arial"/>
          <w:spacing w:val="1"/>
          <w:sz w:val="18"/>
          <w:highlight w:val="green"/>
        </w:rPr>
        <w:t xml:space="preserve"> </w:t>
      </w:r>
      <w:r w:rsidRPr="001838DD">
        <w:rPr>
          <w:rFonts w:ascii="Arial"/>
          <w:spacing w:val="-1"/>
          <w:sz w:val="18"/>
          <w:highlight w:val="green"/>
        </w:rPr>
        <w:t>Off</w:t>
      </w:r>
      <w:r w:rsidRPr="001838DD">
        <w:rPr>
          <w:rFonts w:ascii="Arial"/>
          <w:sz w:val="18"/>
          <w:highlight w:val="green"/>
        </w:rPr>
        <w:t xml:space="preserve"> </w:t>
      </w:r>
      <w:r w:rsidRPr="001838DD">
        <w:rPr>
          <w:rFonts w:ascii="Arial"/>
          <w:spacing w:val="-1"/>
          <w:sz w:val="18"/>
          <w:highlight w:val="green"/>
        </w:rPr>
        <w:t>Schedule</w:t>
      </w:r>
      <w:r w:rsidRPr="001838DD">
        <w:rPr>
          <w:rFonts w:ascii="Arial"/>
          <w:spacing w:val="1"/>
          <w:sz w:val="18"/>
          <w:highlight w:val="green"/>
        </w:rPr>
        <w:t xml:space="preserve"> </w:t>
      </w:r>
      <w:r w:rsidRPr="001838DD">
        <w:rPr>
          <w:rFonts w:ascii="Arial"/>
          <w:sz w:val="18"/>
          <w:highlight w:val="green"/>
        </w:rPr>
        <w:t>8</w:t>
      </w:r>
      <w:r w:rsidRPr="001838DD">
        <w:rPr>
          <w:rFonts w:ascii="Arial"/>
          <w:spacing w:val="1"/>
          <w:sz w:val="18"/>
          <w:highlight w:val="green"/>
        </w:rPr>
        <w:t xml:space="preserve"> </w:t>
      </w:r>
      <w:r w:rsidRPr="001838DD">
        <w:rPr>
          <w:rFonts w:ascii="Arial"/>
          <w:spacing w:val="-1"/>
          <w:sz w:val="18"/>
          <w:highlight w:val="green"/>
        </w:rPr>
        <w:t>(Security)</w:t>
      </w:r>
      <w:r w:rsidRPr="001838DD">
        <w:rPr>
          <w:rFonts w:ascii="Arial"/>
          <w:sz w:val="18"/>
          <w:highlight w:val="green"/>
        </w:rPr>
        <w:t xml:space="preserve"> and</w:t>
      </w:r>
      <w:r w:rsidRPr="001838DD">
        <w:rPr>
          <w:rFonts w:ascii="Arial"/>
          <w:spacing w:val="1"/>
          <w:sz w:val="18"/>
          <w:highlight w:val="green"/>
        </w:rPr>
        <w:t xml:space="preserve"> </w:t>
      </w:r>
      <w:r w:rsidRPr="001838DD">
        <w:rPr>
          <w:rFonts w:ascii="Arial"/>
          <w:sz w:val="18"/>
          <w:highlight w:val="green"/>
        </w:rPr>
        <w:t>select</w:t>
      </w:r>
    </w:p>
    <w:p w:rsidR="001838DD" w:rsidRDefault="001838DD" w:rsidP="007929F1">
      <w:pPr>
        <w:spacing w:before="2"/>
        <w:ind w:left="101"/>
        <w:jc w:val="both"/>
        <w:rPr>
          <w:rFonts w:ascii="Arial" w:eastAsia="Arial" w:hAnsi="Arial" w:cs="Arial"/>
          <w:sz w:val="18"/>
          <w:szCs w:val="18"/>
        </w:rPr>
      </w:pPr>
      <w:r w:rsidRPr="001838DD">
        <w:rPr>
          <w:rFonts w:ascii="Arial" w:eastAsia="Arial" w:hAnsi="Arial" w:cs="Arial"/>
          <w:sz w:val="18"/>
          <w:szCs w:val="18"/>
          <w:highlight w:val="green"/>
        </w:rPr>
        <w:t>the</w:t>
      </w:r>
      <w:r w:rsidRPr="001838DD">
        <w:rPr>
          <w:rFonts w:ascii="Arial" w:eastAsia="Arial" w:hAnsi="Arial" w:cs="Arial"/>
          <w:spacing w:val="8"/>
          <w:sz w:val="18"/>
          <w:szCs w:val="18"/>
          <w:highlight w:val="green"/>
        </w:rPr>
        <w:t xml:space="preserve"> </w:t>
      </w:r>
      <w:r w:rsidRPr="001838DD">
        <w:rPr>
          <w:rFonts w:ascii="Arial" w:eastAsia="Arial" w:hAnsi="Arial" w:cs="Arial"/>
          <w:spacing w:val="-1"/>
          <w:sz w:val="18"/>
          <w:szCs w:val="18"/>
          <w:highlight w:val="green"/>
        </w:rPr>
        <w:t>form</w:t>
      </w:r>
      <w:r w:rsidRPr="001838DD">
        <w:rPr>
          <w:rFonts w:ascii="Arial" w:eastAsia="Arial" w:hAnsi="Arial" w:cs="Arial"/>
          <w:spacing w:val="6"/>
          <w:sz w:val="18"/>
          <w:szCs w:val="18"/>
          <w:highlight w:val="green"/>
        </w:rPr>
        <w:t xml:space="preserve"> </w:t>
      </w:r>
      <w:r w:rsidRPr="001838DD">
        <w:rPr>
          <w:rFonts w:ascii="Arial" w:eastAsia="Arial" w:hAnsi="Arial" w:cs="Arial"/>
          <w:spacing w:val="-1"/>
          <w:sz w:val="18"/>
          <w:szCs w:val="18"/>
          <w:highlight w:val="green"/>
        </w:rPr>
        <w:t>which</w:t>
      </w:r>
      <w:r w:rsidRPr="001838DD">
        <w:rPr>
          <w:rFonts w:ascii="Arial" w:eastAsia="Arial" w:hAnsi="Arial" w:cs="Arial"/>
          <w:spacing w:val="5"/>
          <w:sz w:val="18"/>
          <w:szCs w:val="18"/>
          <w:highlight w:val="green"/>
        </w:rPr>
        <w:t xml:space="preserve"> </w:t>
      </w:r>
      <w:r w:rsidRPr="001838DD">
        <w:rPr>
          <w:rFonts w:ascii="Arial" w:eastAsia="Arial" w:hAnsi="Arial" w:cs="Arial"/>
          <w:sz w:val="18"/>
          <w:szCs w:val="18"/>
          <w:highlight w:val="green"/>
        </w:rPr>
        <w:t>is</w:t>
      </w:r>
      <w:r w:rsidRPr="001838DD">
        <w:rPr>
          <w:rFonts w:ascii="Arial" w:eastAsia="Arial" w:hAnsi="Arial" w:cs="Arial"/>
          <w:spacing w:val="6"/>
          <w:sz w:val="18"/>
          <w:szCs w:val="18"/>
          <w:highlight w:val="green"/>
        </w:rPr>
        <w:t xml:space="preserve"> </w:t>
      </w:r>
      <w:r w:rsidRPr="001838DD">
        <w:rPr>
          <w:rFonts w:ascii="Arial" w:eastAsia="Arial" w:hAnsi="Arial" w:cs="Arial"/>
          <w:spacing w:val="-1"/>
          <w:sz w:val="18"/>
          <w:szCs w:val="18"/>
          <w:highlight w:val="green"/>
        </w:rPr>
        <w:t>appropriate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to</w:t>
      </w:r>
      <w:r w:rsidRPr="001838DD">
        <w:rPr>
          <w:rFonts w:ascii="Arial" w:eastAsia="Arial" w:hAnsi="Arial" w:cs="Arial"/>
          <w:spacing w:val="8"/>
          <w:sz w:val="18"/>
          <w:szCs w:val="18"/>
          <w:highlight w:val="green"/>
        </w:rPr>
        <w:t xml:space="preserve"> </w:t>
      </w:r>
      <w:r w:rsidRPr="001838DD">
        <w:rPr>
          <w:rFonts w:ascii="Arial" w:eastAsia="Arial" w:hAnsi="Arial" w:cs="Arial"/>
          <w:spacing w:val="-1"/>
          <w:sz w:val="18"/>
          <w:szCs w:val="18"/>
          <w:highlight w:val="green"/>
        </w:rPr>
        <w:t>your</w:t>
      </w:r>
      <w:r w:rsidRPr="001838DD">
        <w:rPr>
          <w:rFonts w:ascii="Arial" w:eastAsia="Arial" w:hAnsi="Arial" w:cs="Arial"/>
          <w:spacing w:val="7"/>
          <w:sz w:val="18"/>
          <w:szCs w:val="18"/>
          <w:highlight w:val="green"/>
        </w:rPr>
        <w:t xml:space="preserve"> </w:t>
      </w:r>
      <w:r w:rsidRPr="001838DD">
        <w:rPr>
          <w:rFonts w:ascii="Arial" w:eastAsia="Arial" w:hAnsi="Arial" w:cs="Arial"/>
          <w:spacing w:val="-1"/>
          <w:sz w:val="18"/>
          <w:szCs w:val="18"/>
          <w:highlight w:val="green"/>
        </w:rPr>
        <w:t>requirements.</w:t>
      </w:r>
      <w:r w:rsidRPr="001838DD">
        <w:rPr>
          <w:rFonts w:ascii="Arial" w:eastAsia="Arial" w:hAnsi="Arial" w:cs="Arial"/>
          <w:spacing w:val="7"/>
          <w:sz w:val="18"/>
          <w:szCs w:val="18"/>
          <w:highlight w:val="green"/>
        </w:rPr>
        <w:t xml:space="preserve"> </w:t>
      </w:r>
      <w:r w:rsidRPr="001838DD">
        <w:rPr>
          <w:rFonts w:ascii="Arial" w:eastAsia="Arial" w:hAnsi="Arial" w:cs="Arial"/>
          <w:spacing w:val="-1"/>
          <w:sz w:val="18"/>
          <w:szCs w:val="18"/>
          <w:highlight w:val="green"/>
        </w:rPr>
        <w:t>Include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the</w:t>
      </w:r>
      <w:r w:rsidRPr="001838DD">
        <w:rPr>
          <w:rFonts w:ascii="Arial" w:eastAsia="Arial" w:hAnsi="Arial" w:cs="Arial"/>
          <w:spacing w:val="8"/>
          <w:sz w:val="18"/>
          <w:szCs w:val="18"/>
          <w:highlight w:val="green"/>
        </w:rPr>
        <w:t xml:space="preserve"> </w:t>
      </w:r>
      <w:r w:rsidRPr="001838DD">
        <w:rPr>
          <w:rFonts w:ascii="Arial" w:eastAsia="Arial" w:hAnsi="Arial" w:cs="Arial"/>
          <w:spacing w:val="-1"/>
          <w:sz w:val="18"/>
          <w:szCs w:val="18"/>
          <w:highlight w:val="green"/>
        </w:rPr>
        <w:t>details</w:t>
      </w:r>
      <w:r w:rsidRPr="001838DD">
        <w:rPr>
          <w:rFonts w:ascii="Arial" w:eastAsia="Arial" w:hAnsi="Arial" w:cs="Arial"/>
          <w:spacing w:val="6"/>
          <w:sz w:val="18"/>
          <w:szCs w:val="18"/>
          <w:highlight w:val="green"/>
        </w:rPr>
        <w:t xml:space="preserve"> </w:t>
      </w:r>
      <w:r w:rsidRPr="001838DD">
        <w:rPr>
          <w:rFonts w:ascii="Arial" w:eastAsia="Arial" w:hAnsi="Arial" w:cs="Arial"/>
          <w:sz w:val="18"/>
          <w:szCs w:val="18"/>
          <w:highlight w:val="green"/>
        </w:rPr>
        <w:t>of</w:t>
      </w:r>
      <w:r w:rsidRPr="001838DD">
        <w:rPr>
          <w:rFonts w:ascii="Arial" w:eastAsia="Arial" w:hAnsi="Arial" w:cs="Arial"/>
          <w:spacing w:val="5"/>
          <w:sz w:val="18"/>
          <w:szCs w:val="18"/>
          <w:highlight w:val="green"/>
        </w:rPr>
        <w:t xml:space="preserve"> </w:t>
      </w:r>
      <w:r w:rsidRPr="001838DD">
        <w:rPr>
          <w:rFonts w:ascii="Arial" w:eastAsia="Arial" w:hAnsi="Arial" w:cs="Arial"/>
          <w:sz w:val="18"/>
          <w:szCs w:val="18"/>
          <w:highlight w:val="green"/>
        </w:rPr>
        <w:t>the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Parties’</w:t>
      </w:r>
      <w:r w:rsidRPr="001838DD">
        <w:rPr>
          <w:rFonts w:ascii="Arial" w:eastAsia="Arial" w:hAnsi="Arial" w:cs="Arial"/>
          <w:spacing w:val="6"/>
          <w:sz w:val="18"/>
          <w:szCs w:val="18"/>
          <w:highlight w:val="green"/>
        </w:rPr>
        <w:t xml:space="preserve"> </w:t>
      </w:r>
      <w:r w:rsidRPr="001838DD">
        <w:rPr>
          <w:rFonts w:ascii="Arial" w:eastAsia="Arial" w:hAnsi="Arial" w:cs="Arial"/>
          <w:spacing w:val="-1"/>
          <w:sz w:val="18"/>
          <w:szCs w:val="18"/>
          <w:highlight w:val="green"/>
        </w:rPr>
        <w:t>security</w:t>
      </w:r>
      <w:r w:rsidRPr="001838DD">
        <w:rPr>
          <w:rFonts w:ascii="Arial" w:eastAsia="Arial" w:hAnsi="Arial" w:cs="Arial"/>
          <w:spacing w:val="6"/>
          <w:sz w:val="18"/>
          <w:szCs w:val="18"/>
          <w:highlight w:val="green"/>
        </w:rPr>
        <w:t xml:space="preserve"> </w:t>
      </w:r>
      <w:r w:rsidRPr="001838DD">
        <w:rPr>
          <w:rFonts w:ascii="Arial" w:eastAsia="Arial" w:hAnsi="Arial" w:cs="Arial"/>
          <w:spacing w:val="-1"/>
          <w:sz w:val="18"/>
          <w:szCs w:val="18"/>
          <w:highlight w:val="green"/>
        </w:rPr>
        <w:t>representatives</w:t>
      </w:r>
      <w:r w:rsidRPr="001838DD">
        <w:rPr>
          <w:rFonts w:ascii="Arial" w:eastAsia="Arial" w:hAnsi="Arial" w:cs="Arial"/>
          <w:spacing w:val="8"/>
          <w:sz w:val="18"/>
          <w:szCs w:val="18"/>
          <w:highlight w:val="green"/>
        </w:rPr>
        <w:t xml:space="preserve"> </w:t>
      </w:r>
      <w:r w:rsidRPr="001838DD">
        <w:rPr>
          <w:rFonts w:ascii="Arial" w:eastAsia="Arial" w:hAnsi="Arial" w:cs="Arial"/>
          <w:spacing w:val="-1"/>
          <w:sz w:val="18"/>
          <w:szCs w:val="18"/>
          <w:highlight w:val="green"/>
        </w:rPr>
        <w:t>if</w:t>
      </w:r>
      <w:r w:rsidRPr="001838DD">
        <w:rPr>
          <w:rFonts w:ascii="Arial" w:eastAsia="Arial" w:hAnsi="Arial" w:cs="Arial"/>
          <w:spacing w:val="87"/>
          <w:sz w:val="18"/>
          <w:szCs w:val="18"/>
          <w:highlight w:val="green"/>
        </w:rPr>
        <w:t xml:space="preserve"> </w:t>
      </w:r>
      <w:r w:rsidRPr="001838DD">
        <w:rPr>
          <w:rFonts w:ascii="Arial" w:eastAsia="Arial" w:hAnsi="Arial" w:cs="Arial"/>
          <w:spacing w:val="-1"/>
          <w:sz w:val="18"/>
          <w:szCs w:val="18"/>
          <w:highlight w:val="green"/>
        </w:rPr>
        <w:t>you</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select</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the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long</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form.</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Include</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your</w:t>
      </w:r>
      <w:r w:rsidRPr="001838DD">
        <w:rPr>
          <w:rFonts w:ascii="Arial" w:eastAsia="Arial" w:hAnsi="Arial" w:cs="Arial"/>
          <w:spacing w:val="2"/>
          <w:sz w:val="18"/>
          <w:szCs w:val="18"/>
          <w:highlight w:val="green"/>
        </w:rPr>
        <w:t xml:space="preserve"> </w:t>
      </w:r>
      <w:r w:rsidRPr="001838DD">
        <w:rPr>
          <w:rFonts w:ascii="Arial" w:eastAsia="Arial" w:hAnsi="Arial" w:cs="Arial"/>
          <w:spacing w:val="-1"/>
          <w:sz w:val="18"/>
          <w:szCs w:val="18"/>
          <w:highlight w:val="green"/>
        </w:rPr>
        <w:t>Security</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Policy</w:t>
      </w:r>
      <w:r w:rsidRPr="001838DD">
        <w:rPr>
          <w:rFonts w:ascii="Arial" w:eastAsia="Arial" w:hAnsi="Arial" w:cs="Arial"/>
          <w:spacing w:val="1"/>
          <w:sz w:val="18"/>
          <w:szCs w:val="18"/>
          <w:highlight w:val="green"/>
        </w:rPr>
        <w:t xml:space="preserve"> </w:t>
      </w:r>
      <w:r w:rsidRPr="001838DD">
        <w:rPr>
          <w:rFonts w:ascii="Arial" w:eastAsia="Arial" w:hAnsi="Arial" w:cs="Arial"/>
          <w:sz w:val="18"/>
          <w:szCs w:val="18"/>
          <w:highlight w:val="green"/>
        </w:rPr>
        <w:t>in</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Annex</w:t>
      </w:r>
      <w:r w:rsidRPr="001838DD">
        <w:rPr>
          <w:rFonts w:ascii="Arial" w:eastAsia="Arial" w:hAnsi="Arial" w:cs="Arial"/>
          <w:spacing w:val="1"/>
          <w:sz w:val="18"/>
          <w:szCs w:val="18"/>
          <w:highlight w:val="green"/>
        </w:rPr>
        <w:t xml:space="preserve"> </w:t>
      </w:r>
      <w:r w:rsidRPr="001838DD">
        <w:rPr>
          <w:rFonts w:ascii="Arial" w:eastAsia="Arial" w:hAnsi="Arial" w:cs="Arial"/>
          <w:sz w:val="18"/>
          <w:szCs w:val="18"/>
          <w:highlight w:val="green"/>
        </w:rPr>
        <w:t>1</w:t>
      </w:r>
      <w:r w:rsidRPr="001838DD">
        <w:rPr>
          <w:rFonts w:ascii="Arial" w:eastAsia="Arial" w:hAnsi="Arial" w:cs="Arial"/>
          <w:spacing w:val="5"/>
          <w:sz w:val="18"/>
          <w:szCs w:val="18"/>
          <w:highlight w:val="green"/>
        </w:rPr>
        <w:t xml:space="preserve"> </w:t>
      </w:r>
      <w:r w:rsidRPr="001838DD">
        <w:rPr>
          <w:rFonts w:ascii="Arial" w:eastAsia="Arial" w:hAnsi="Arial" w:cs="Arial"/>
          <w:sz w:val="18"/>
          <w:szCs w:val="18"/>
          <w:highlight w:val="green"/>
        </w:rPr>
        <w:t>of</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Call</w:t>
      </w:r>
      <w:r w:rsidRPr="001838DD">
        <w:rPr>
          <w:rFonts w:ascii="Arial" w:eastAsia="Arial" w:hAnsi="Arial" w:cs="Arial"/>
          <w:spacing w:val="6"/>
          <w:sz w:val="18"/>
          <w:szCs w:val="18"/>
          <w:highlight w:val="green"/>
        </w:rPr>
        <w:t xml:space="preserve"> </w:t>
      </w:r>
      <w:r w:rsidRPr="001838DD">
        <w:rPr>
          <w:rFonts w:ascii="Arial" w:eastAsia="Arial" w:hAnsi="Arial" w:cs="Arial"/>
          <w:spacing w:val="-1"/>
          <w:sz w:val="18"/>
          <w:szCs w:val="18"/>
          <w:highlight w:val="green"/>
        </w:rPr>
        <w:t>Off</w:t>
      </w:r>
      <w:r w:rsidRPr="001838DD">
        <w:rPr>
          <w:rFonts w:ascii="Arial" w:eastAsia="Arial" w:hAnsi="Arial" w:cs="Arial"/>
          <w:spacing w:val="5"/>
          <w:sz w:val="18"/>
          <w:szCs w:val="18"/>
          <w:highlight w:val="green"/>
        </w:rPr>
        <w:t xml:space="preserve"> </w:t>
      </w:r>
      <w:r w:rsidRPr="001838DD">
        <w:rPr>
          <w:rFonts w:ascii="Arial" w:eastAsia="Arial" w:hAnsi="Arial" w:cs="Arial"/>
          <w:spacing w:val="-1"/>
          <w:sz w:val="18"/>
          <w:szCs w:val="18"/>
          <w:highlight w:val="green"/>
        </w:rPr>
        <w:t>Schedule</w:t>
      </w:r>
      <w:r w:rsidRPr="001838DD">
        <w:rPr>
          <w:rFonts w:ascii="Arial" w:eastAsia="Arial" w:hAnsi="Arial" w:cs="Arial"/>
          <w:spacing w:val="5"/>
          <w:sz w:val="18"/>
          <w:szCs w:val="18"/>
          <w:highlight w:val="green"/>
        </w:rPr>
        <w:t xml:space="preserve"> </w:t>
      </w:r>
      <w:r w:rsidRPr="001838DD">
        <w:rPr>
          <w:rFonts w:ascii="Arial" w:eastAsia="Arial" w:hAnsi="Arial" w:cs="Arial"/>
          <w:sz w:val="18"/>
          <w:szCs w:val="18"/>
          <w:highlight w:val="green"/>
        </w:rPr>
        <w:t>8</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and</w:t>
      </w:r>
      <w:r w:rsidRPr="001838DD">
        <w:rPr>
          <w:rFonts w:ascii="Arial" w:eastAsia="Arial" w:hAnsi="Arial" w:cs="Arial"/>
          <w:spacing w:val="5"/>
          <w:sz w:val="18"/>
          <w:szCs w:val="18"/>
          <w:highlight w:val="green"/>
        </w:rPr>
        <w:t xml:space="preserve"> </w:t>
      </w:r>
      <w:r w:rsidRPr="001838DD">
        <w:rPr>
          <w:rFonts w:ascii="Arial" w:eastAsia="Arial" w:hAnsi="Arial" w:cs="Arial"/>
          <w:sz w:val="18"/>
          <w:szCs w:val="18"/>
          <w:highlight w:val="green"/>
        </w:rPr>
        <w:t>the</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Supplier’s</w:t>
      </w:r>
      <w:r w:rsidRPr="001838DD">
        <w:rPr>
          <w:rFonts w:ascii="Arial" w:eastAsia="Arial" w:hAnsi="Arial" w:cs="Arial"/>
          <w:spacing w:val="6"/>
          <w:sz w:val="18"/>
          <w:szCs w:val="18"/>
          <w:highlight w:val="green"/>
        </w:rPr>
        <w:t xml:space="preserve"> </w:t>
      </w:r>
      <w:r w:rsidRPr="001838DD">
        <w:rPr>
          <w:rFonts w:ascii="Arial" w:eastAsia="Arial" w:hAnsi="Arial" w:cs="Arial"/>
          <w:spacing w:val="-1"/>
          <w:sz w:val="18"/>
          <w:szCs w:val="18"/>
          <w:highlight w:val="green"/>
        </w:rPr>
        <w:t>draft</w:t>
      </w:r>
      <w:r w:rsidRPr="001838DD">
        <w:rPr>
          <w:rFonts w:ascii="Arial" w:eastAsia="Arial" w:hAnsi="Arial" w:cs="Arial"/>
          <w:spacing w:val="73"/>
          <w:sz w:val="18"/>
          <w:szCs w:val="18"/>
          <w:highlight w:val="green"/>
        </w:rPr>
        <w:t xml:space="preserve"> </w:t>
      </w:r>
      <w:r w:rsidRPr="001838DD">
        <w:rPr>
          <w:rFonts w:ascii="Arial" w:eastAsia="Arial" w:hAnsi="Arial" w:cs="Arial"/>
          <w:spacing w:val="-1"/>
          <w:sz w:val="18"/>
          <w:szCs w:val="18"/>
          <w:highlight w:val="green"/>
        </w:rPr>
        <w:t>Security</w:t>
      </w:r>
      <w:r w:rsidRPr="001838DD">
        <w:rPr>
          <w:rFonts w:ascii="Arial" w:eastAsia="Arial" w:hAnsi="Arial" w:cs="Arial"/>
          <w:spacing w:val="1"/>
          <w:sz w:val="18"/>
          <w:szCs w:val="18"/>
          <w:highlight w:val="green"/>
        </w:rPr>
        <w:t xml:space="preserve"> </w:t>
      </w:r>
      <w:r w:rsidRPr="001838DD">
        <w:rPr>
          <w:rFonts w:ascii="Arial" w:eastAsia="Arial" w:hAnsi="Arial" w:cs="Arial"/>
          <w:spacing w:val="-1"/>
          <w:sz w:val="18"/>
          <w:szCs w:val="18"/>
          <w:highlight w:val="green"/>
        </w:rPr>
        <w:t>Management</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Plan</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(if</w:t>
      </w:r>
      <w:r w:rsidRPr="001838DD">
        <w:rPr>
          <w:rFonts w:ascii="Arial" w:eastAsia="Arial" w:hAnsi="Arial" w:cs="Arial"/>
          <w:sz w:val="18"/>
          <w:szCs w:val="18"/>
          <w:highlight w:val="green"/>
        </w:rPr>
        <w:t xml:space="preserve"> </w:t>
      </w:r>
      <w:r w:rsidRPr="001838DD">
        <w:rPr>
          <w:rFonts w:ascii="Arial" w:eastAsia="Arial" w:hAnsi="Arial" w:cs="Arial"/>
          <w:spacing w:val="-1"/>
          <w:sz w:val="18"/>
          <w:szCs w:val="18"/>
          <w:highlight w:val="green"/>
        </w:rPr>
        <w:t>you</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have</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requested</w:t>
      </w:r>
      <w:r w:rsidRPr="001838DD">
        <w:rPr>
          <w:rFonts w:ascii="Arial" w:eastAsia="Arial" w:hAnsi="Arial" w:cs="Arial"/>
          <w:spacing w:val="1"/>
          <w:sz w:val="18"/>
          <w:szCs w:val="18"/>
          <w:highlight w:val="green"/>
        </w:rPr>
        <w:t xml:space="preserve"> </w:t>
      </w:r>
      <w:r w:rsidRPr="001838DD">
        <w:rPr>
          <w:rFonts w:ascii="Arial" w:eastAsia="Arial" w:hAnsi="Arial" w:cs="Arial"/>
          <w:spacing w:val="-1"/>
          <w:sz w:val="18"/>
          <w:szCs w:val="18"/>
          <w:highlight w:val="green"/>
        </w:rPr>
        <w:t>one</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during</w:t>
      </w:r>
      <w:r w:rsidRPr="001838DD">
        <w:rPr>
          <w:rFonts w:ascii="Arial" w:eastAsia="Arial" w:hAnsi="Arial" w:cs="Arial"/>
          <w:spacing w:val="3"/>
          <w:sz w:val="18"/>
          <w:szCs w:val="18"/>
          <w:highlight w:val="green"/>
        </w:rPr>
        <w:t xml:space="preserve"> </w:t>
      </w:r>
      <w:r w:rsidRPr="001838DD">
        <w:rPr>
          <w:rFonts w:ascii="Arial" w:eastAsia="Arial" w:hAnsi="Arial" w:cs="Arial"/>
          <w:sz w:val="18"/>
          <w:szCs w:val="18"/>
          <w:highlight w:val="green"/>
        </w:rPr>
        <w:t>the</w:t>
      </w:r>
      <w:r w:rsidRPr="001838DD">
        <w:rPr>
          <w:rFonts w:ascii="Arial" w:eastAsia="Arial" w:hAnsi="Arial" w:cs="Arial"/>
          <w:spacing w:val="1"/>
          <w:sz w:val="18"/>
          <w:szCs w:val="18"/>
          <w:highlight w:val="green"/>
        </w:rPr>
        <w:t xml:space="preserve"> </w:t>
      </w:r>
      <w:r w:rsidRPr="001838DD">
        <w:rPr>
          <w:rFonts w:ascii="Arial" w:eastAsia="Arial" w:hAnsi="Arial" w:cs="Arial"/>
          <w:spacing w:val="-1"/>
          <w:sz w:val="18"/>
          <w:szCs w:val="18"/>
          <w:highlight w:val="green"/>
        </w:rPr>
        <w:t>Further</w:t>
      </w:r>
      <w:r w:rsidRPr="001838DD">
        <w:rPr>
          <w:rFonts w:ascii="Arial" w:eastAsia="Arial" w:hAnsi="Arial" w:cs="Arial"/>
          <w:spacing w:val="2"/>
          <w:sz w:val="18"/>
          <w:szCs w:val="18"/>
          <w:highlight w:val="green"/>
        </w:rPr>
        <w:t xml:space="preserve"> </w:t>
      </w:r>
      <w:r w:rsidRPr="001838DD">
        <w:rPr>
          <w:rFonts w:ascii="Arial" w:eastAsia="Arial" w:hAnsi="Arial" w:cs="Arial"/>
          <w:spacing w:val="-1"/>
          <w:sz w:val="18"/>
          <w:szCs w:val="18"/>
          <w:highlight w:val="green"/>
        </w:rPr>
        <w:t>Competition</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Procedure)</w:t>
      </w:r>
      <w:r w:rsidRPr="001838DD">
        <w:rPr>
          <w:rFonts w:ascii="Arial" w:eastAsia="Arial" w:hAnsi="Arial" w:cs="Arial"/>
          <w:spacing w:val="2"/>
          <w:sz w:val="18"/>
          <w:szCs w:val="18"/>
          <w:highlight w:val="green"/>
        </w:rPr>
        <w:t xml:space="preserve"> </w:t>
      </w:r>
      <w:r w:rsidRPr="001838DD">
        <w:rPr>
          <w:rFonts w:ascii="Arial" w:eastAsia="Arial" w:hAnsi="Arial" w:cs="Arial"/>
          <w:spacing w:val="-1"/>
          <w:sz w:val="18"/>
          <w:szCs w:val="18"/>
          <w:highlight w:val="green"/>
        </w:rPr>
        <w:t>in</w:t>
      </w:r>
      <w:r w:rsidRPr="001838DD">
        <w:rPr>
          <w:rFonts w:ascii="Arial" w:eastAsia="Arial" w:hAnsi="Arial" w:cs="Arial"/>
          <w:spacing w:val="3"/>
          <w:sz w:val="18"/>
          <w:szCs w:val="18"/>
          <w:highlight w:val="green"/>
        </w:rPr>
        <w:t xml:space="preserve"> </w:t>
      </w:r>
      <w:r w:rsidRPr="001838DD">
        <w:rPr>
          <w:rFonts w:ascii="Arial" w:eastAsia="Arial" w:hAnsi="Arial" w:cs="Arial"/>
          <w:spacing w:val="-1"/>
          <w:sz w:val="18"/>
          <w:szCs w:val="18"/>
          <w:highlight w:val="green"/>
        </w:rPr>
        <w:t xml:space="preserve">Annex </w:t>
      </w:r>
      <w:r w:rsidRPr="001838DD">
        <w:rPr>
          <w:rFonts w:ascii="Arial" w:eastAsia="Arial" w:hAnsi="Arial" w:cs="Arial"/>
          <w:sz w:val="18"/>
          <w:szCs w:val="18"/>
          <w:highlight w:val="green"/>
        </w:rPr>
        <w:t>2</w:t>
      </w:r>
      <w:r w:rsidRPr="001838DD">
        <w:rPr>
          <w:rFonts w:ascii="Arial" w:eastAsia="Arial" w:hAnsi="Arial" w:cs="Arial"/>
          <w:spacing w:val="3"/>
          <w:sz w:val="18"/>
          <w:szCs w:val="18"/>
          <w:highlight w:val="green"/>
        </w:rPr>
        <w:t xml:space="preserve"> </w:t>
      </w:r>
      <w:r w:rsidRPr="001838DD">
        <w:rPr>
          <w:rFonts w:ascii="Arial" w:eastAsia="Arial" w:hAnsi="Arial" w:cs="Arial"/>
          <w:sz w:val="18"/>
          <w:szCs w:val="18"/>
          <w:highlight w:val="green"/>
        </w:rPr>
        <w:t>of</w:t>
      </w:r>
      <w:r w:rsidRPr="001838DD">
        <w:rPr>
          <w:rFonts w:ascii="Arial" w:eastAsia="Arial" w:hAnsi="Arial" w:cs="Arial"/>
          <w:spacing w:val="85"/>
          <w:sz w:val="18"/>
          <w:szCs w:val="18"/>
          <w:highlight w:val="green"/>
        </w:rPr>
        <w:t xml:space="preserve"> </w:t>
      </w:r>
      <w:r w:rsidRPr="001838DD">
        <w:rPr>
          <w:rFonts w:ascii="Arial" w:eastAsia="Arial" w:hAnsi="Arial" w:cs="Arial"/>
          <w:spacing w:val="-1"/>
          <w:sz w:val="18"/>
          <w:szCs w:val="18"/>
          <w:highlight w:val="green"/>
        </w:rPr>
        <w:t>Call</w:t>
      </w:r>
      <w:r w:rsidRPr="001838DD">
        <w:rPr>
          <w:rFonts w:ascii="Arial" w:eastAsia="Arial" w:hAnsi="Arial" w:cs="Arial"/>
          <w:spacing w:val="1"/>
          <w:sz w:val="18"/>
          <w:szCs w:val="18"/>
          <w:highlight w:val="green"/>
        </w:rPr>
        <w:t xml:space="preserve"> </w:t>
      </w:r>
      <w:r w:rsidRPr="001838DD">
        <w:rPr>
          <w:rFonts w:ascii="Arial" w:eastAsia="Arial" w:hAnsi="Arial" w:cs="Arial"/>
          <w:spacing w:val="-1"/>
          <w:sz w:val="18"/>
          <w:szCs w:val="18"/>
          <w:highlight w:val="green"/>
        </w:rPr>
        <w:t>Off</w:t>
      </w:r>
      <w:r w:rsidRPr="001838DD">
        <w:rPr>
          <w:rFonts w:ascii="Arial" w:eastAsia="Arial" w:hAnsi="Arial" w:cs="Arial"/>
          <w:sz w:val="18"/>
          <w:szCs w:val="18"/>
          <w:highlight w:val="green"/>
        </w:rPr>
        <w:t xml:space="preserve"> </w:t>
      </w:r>
      <w:r w:rsidRPr="001838DD">
        <w:rPr>
          <w:rFonts w:ascii="Arial" w:eastAsia="Arial" w:hAnsi="Arial" w:cs="Arial"/>
          <w:spacing w:val="-1"/>
          <w:sz w:val="18"/>
          <w:szCs w:val="18"/>
          <w:highlight w:val="green"/>
        </w:rPr>
        <w:t>Schedule</w:t>
      </w:r>
      <w:r w:rsidRPr="001838DD">
        <w:rPr>
          <w:rFonts w:ascii="Arial" w:eastAsia="Arial" w:hAnsi="Arial" w:cs="Arial"/>
          <w:spacing w:val="-2"/>
          <w:sz w:val="18"/>
          <w:szCs w:val="18"/>
          <w:highlight w:val="green"/>
        </w:rPr>
        <w:t xml:space="preserve"> </w:t>
      </w:r>
      <w:r w:rsidRPr="001838DD">
        <w:rPr>
          <w:rFonts w:ascii="Arial" w:eastAsia="Arial" w:hAnsi="Arial" w:cs="Arial"/>
          <w:sz w:val="18"/>
          <w:szCs w:val="18"/>
          <w:highlight w:val="green"/>
        </w:rPr>
        <w:t>8]</w:t>
      </w:r>
    </w:p>
    <w:p w:rsidR="008918FA" w:rsidRDefault="008918FA" w:rsidP="008918FA">
      <w:pPr>
        <w:spacing w:before="7"/>
        <w:rPr>
          <w:rFonts w:ascii="Arial" w:eastAsia="Arial" w:hAnsi="Arial" w:cs="Arial"/>
          <w:sz w:val="8"/>
          <w:szCs w:val="8"/>
        </w:rPr>
      </w:pPr>
    </w:p>
    <w:p w:rsidR="008918FA" w:rsidRDefault="008918FA" w:rsidP="008918FA">
      <w:pPr>
        <w:pStyle w:val="Heading1"/>
        <w:numPr>
          <w:ilvl w:val="1"/>
          <w:numId w:val="74"/>
        </w:numPr>
        <w:tabs>
          <w:tab w:val="left" w:pos="1094"/>
        </w:tabs>
        <w:spacing w:before="57"/>
        <w:ind w:left="1093" w:hanging="566"/>
        <w:rPr>
          <w:b w:val="0"/>
          <w:bCs w:val="0"/>
        </w:rPr>
      </w:pPr>
      <w:r>
        <w:rPr>
          <w:spacing w:val="-1"/>
        </w:rPr>
        <w:t>Period</w:t>
      </w:r>
      <w:r>
        <w:rPr>
          <w:spacing w:val="-2"/>
        </w:rPr>
        <w:t xml:space="preserve"> </w:t>
      </w:r>
      <w:r>
        <w:rPr>
          <w:spacing w:val="-1"/>
        </w:rPr>
        <w:t>for providing</w:t>
      </w:r>
      <w:r>
        <w:rPr>
          <w:spacing w:val="-2"/>
        </w:rPr>
        <w:t xml:space="preserve"> </w:t>
      </w:r>
      <w:r>
        <w:rPr>
          <w:spacing w:val="-1"/>
        </w:rPr>
        <w:t>the</w:t>
      </w:r>
      <w:r>
        <w:t xml:space="preserve"> </w:t>
      </w:r>
      <w:r>
        <w:rPr>
          <w:spacing w:val="-1"/>
        </w:rPr>
        <w:t>Rectification</w:t>
      </w:r>
      <w:r>
        <w:rPr>
          <w:spacing w:val="-2"/>
        </w:rPr>
        <w:t xml:space="preserve"> </w:t>
      </w:r>
      <w:r>
        <w:rPr>
          <w:spacing w:val="-1"/>
        </w:rPr>
        <w:t>Plan</w:t>
      </w:r>
    </w:p>
    <w:p w:rsidR="008918FA" w:rsidRDefault="008918FA" w:rsidP="008918FA">
      <w:pPr>
        <w:spacing w:before="9"/>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3D7BC957" wp14:editId="50E7DF87">
                <wp:extent cx="2735580" cy="161925"/>
                <wp:effectExtent l="1905" t="0" r="0" b="3810"/>
                <wp:docPr id="7403" name="Text Box 7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8" w:lineRule="exact"/>
                              <w:ind w:right="-1"/>
                              <w:rPr>
                                <w:rFonts w:ascii="Arial" w:eastAsia="Arial" w:hAnsi="Arial" w:cs="Arial"/>
                                <w:sz w:val="14"/>
                                <w:szCs w:val="14"/>
                              </w:rPr>
                            </w:pPr>
                            <w:r>
                              <w:rPr>
                                <w:rFonts w:ascii="Arial"/>
                              </w:rPr>
                              <w:t>[In</w:t>
                            </w:r>
                            <w:r>
                              <w:rPr>
                                <w:rFonts w:ascii="Arial"/>
                                <w:spacing w:val="-3"/>
                              </w:rPr>
                              <w:t xml:space="preserve"> </w:t>
                            </w:r>
                            <w:r>
                              <w:rPr>
                                <w:rFonts w:ascii="Arial"/>
                                <w:spacing w:val="-2"/>
                              </w:rPr>
                              <w:t>Clause</w:t>
                            </w:r>
                            <w:r>
                              <w:rPr>
                                <w:rFonts w:ascii="Arial"/>
                                <w:spacing w:val="1"/>
                              </w:rPr>
                              <w:t xml:space="preserve"> </w:t>
                            </w:r>
                            <w:hyperlink w:anchor="_bookmark221" w:history="1">
                              <w:r>
                                <w:rPr>
                                  <w:rFonts w:ascii="Arial"/>
                                  <w:spacing w:val="-1"/>
                                </w:rPr>
                                <w:t>38.2.1(a)</w:t>
                              </w:r>
                            </w:hyperlink>
                            <w:r>
                              <w:rPr>
                                <w:rFonts w:ascii="Arial"/>
                                <w:spacing w:val="2"/>
                              </w:rPr>
                              <w:t xml:space="preserve"> </w:t>
                            </w:r>
                            <w:r>
                              <w:rPr>
                                <w:rFonts w:ascii="Arial"/>
                                <w:spacing w:val="-2"/>
                              </w:rPr>
                              <w:t>of</w:t>
                            </w:r>
                            <w:r>
                              <w:rPr>
                                <w:rFonts w:ascii="Arial"/>
                              </w:rPr>
                              <w:t xml:space="preserve"> </w:t>
                            </w:r>
                            <w:r>
                              <w:rPr>
                                <w:rFonts w:ascii="Arial"/>
                                <w:spacing w:val="-1"/>
                              </w:rPr>
                              <w:t>the</w:t>
                            </w:r>
                            <w:r>
                              <w:rPr>
                                <w:rFonts w:ascii="Arial"/>
                              </w:rPr>
                              <w:t xml:space="preserve"> </w:t>
                            </w:r>
                            <w:r>
                              <w:rPr>
                                <w:rFonts w:ascii="Arial"/>
                                <w:spacing w:val="-2"/>
                              </w:rPr>
                              <w:t>Call</w:t>
                            </w:r>
                            <w:r>
                              <w:rPr>
                                <w:rFonts w:ascii="Arial"/>
                                <w:spacing w:val="-1"/>
                              </w:rPr>
                              <w:t xml:space="preserve"> Off</w:t>
                            </w:r>
                            <w:r>
                              <w:rPr>
                                <w:rFonts w:ascii="Arial"/>
                              </w:rPr>
                              <w:t xml:space="preserve"> </w:t>
                            </w:r>
                            <w:r>
                              <w:rPr>
                                <w:rFonts w:ascii="Arial"/>
                                <w:spacing w:val="-1"/>
                              </w:rPr>
                              <w:t>Terms]</w:t>
                            </w:r>
                            <w:r>
                              <w:rPr>
                                <w:rFonts w:ascii="Arial"/>
                                <w:spacing w:val="6"/>
                              </w:rPr>
                              <w:t xml:space="preserve"> </w:t>
                            </w:r>
                            <w:hyperlink w:anchor="_bookmark19" w:history="1">
                              <w:r>
                                <w:rPr>
                                  <w:rFonts w:ascii="Arial"/>
                                  <w:b/>
                                  <w:spacing w:val="-1"/>
                                  <w:position w:val="10"/>
                                  <w:sz w:val="14"/>
                                </w:rPr>
                                <w:t>20</w:t>
                              </w:r>
                            </w:hyperlink>
                          </w:p>
                        </w:txbxContent>
                      </wps:txbx>
                      <wps:bodyPr rot="0" vert="horz" wrap="square" lIns="0" tIns="0" rIns="0" bIns="0" anchor="t" anchorCtr="0" upright="1">
                        <a:noAutofit/>
                      </wps:bodyPr>
                    </wps:wsp>
                  </a:graphicData>
                </a:graphic>
              </wp:inline>
            </w:drawing>
          </mc:Choice>
          <mc:Fallback>
            <w:pict>
              <v:shapetype w14:anchorId="3D7BC957" id="_x0000_t202" coordsize="21600,21600" o:spt="202" path="m,l,21600r21600,l21600,xe">
                <v:stroke joinstyle="miter"/>
                <v:path gradientshapeok="t" o:connecttype="rect"/>
              </v:shapetype>
              <v:shape id="Text Box 7395" o:spid="_x0000_s1026" type="#_x0000_t202" style="width:215.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" fillcolor="yellow" stroked="f">
                <v:textbox inset="0,0,0,0">
                  <w:txbxContent>
                    <w:p w:rsidR="005D2B81" w:rsidRDefault="005D2B81" w:rsidP="008918FA">
                      <w:pPr>
                        <w:spacing w:line="248" w:lineRule="exact"/>
                        <w:ind w:right="-1"/>
                        <w:rPr>
                          <w:rFonts w:ascii="Arial" w:eastAsia="Arial" w:hAnsi="Arial" w:cs="Arial"/>
                          <w:sz w:val="14"/>
                          <w:szCs w:val="14"/>
                        </w:rPr>
                      </w:pPr>
                      <w:r>
                        <w:rPr>
                          <w:rFonts w:ascii="Arial"/>
                        </w:rPr>
                        <w:t>[In</w:t>
                      </w:r>
                      <w:r>
                        <w:rPr>
                          <w:rFonts w:ascii="Arial"/>
                          <w:spacing w:val="-3"/>
                        </w:rPr>
                        <w:t xml:space="preserve"> </w:t>
                      </w:r>
                      <w:r>
                        <w:rPr>
                          <w:rFonts w:ascii="Arial"/>
                          <w:spacing w:val="-2"/>
                        </w:rPr>
                        <w:t>Clause</w:t>
                      </w:r>
                      <w:r>
                        <w:rPr>
                          <w:rFonts w:ascii="Arial"/>
                          <w:spacing w:val="1"/>
                        </w:rPr>
                        <w:t xml:space="preserve"> </w:t>
                      </w:r>
                      <w:hyperlink w:anchor="_bookmark221" w:history="1">
                        <w:r>
                          <w:rPr>
                            <w:rFonts w:ascii="Arial"/>
                            <w:spacing w:val="-1"/>
                          </w:rPr>
                          <w:t>38.2.1(a)</w:t>
                        </w:r>
                      </w:hyperlink>
                      <w:r>
                        <w:rPr>
                          <w:rFonts w:ascii="Arial"/>
                          <w:spacing w:val="2"/>
                        </w:rPr>
                        <w:t xml:space="preserve"> </w:t>
                      </w:r>
                      <w:r>
                        <w:rPr>
                          <w:rFonts w:ascii="Arial"/>
                          <w:spacing w:val="-2"/>
                        </w:rPr>
                        <w:t>of</w:t>
                      </w:r>
                      <w:r>
                        <w:rPr>
                          <w:rFonts w:ascii="Arial"/>
                        </w:rPr>
                        <w:t xml:space="preserve"> </w:t>
                      </w:r>
                      <w:r>
                        <w:rPr>
                          <w:rFonts w:ascii="Arial"/>
                          <w:spacing w:val="-1"/>
                        </w:rPr>
                        <w:t>the</w:t>
                      </w:r>
                      <w:r>
                        <w:rPr>
                          <w:rFonts w:ascii="Arial"/>
                        </w:rPr>
                        <w:t xml:space="preserve"> </w:t>
                      </w:r>
                      <w:r>
                        <w:rPr>
                          <w:rFonts w:ascii="Arial"/>
                          <w:spacing w:val="-2"/>
                        </w:rPr>
                        <w:t>Call</w:t>
                      </w:r>
                      <w:r>
                        <w:rPr>
                          <w:rFonts w:ascii="Arial"/>
                          <w:spacing w:val="-1"/>
                        </w:rPr>
                        <w:t xml:space="preserve"> Off</w:t>
                      </w:r>
                      <w:r>
                        <w:rPr>
                          <w:rFonts w:ascii="Arial"/>
                        </w:rPr>
                        <w:t xml:space="preserve"> </w:t>
                      </w:r>
                      <w:r>
                        <w:rPr>
                          <w:rFonts w:ascii="Arial"/>
                          <w:spacing w:val="-1"/>
                        </w:rPr>
                        <w:t>Terms]</w:t>
                      </w:r>
                      <w:r>
                        <w:rPr>
                          <w:rFonts w:ascii="Arial"/>
                          <w:spacing w:val="6"/>
                        </w:rPr>
                        <w:t xml:space="preserve"> </w:t>
                      </w:r>
                      <w:hyperlink w:anchor="_bookmark19" w:history="1">
                        <w:r>
                          <w:rPr>
                            <w:rFonts w:ascii="Arial"/>
                            <w:b/>
                            <w:spacing w:val="-1"/>
                            <w:position w:val="10"/>
                            <w:sz w:val="14"/>
                          </w:rPr>
                          <w:t>20</w:t>
                        </w:r>
                      </w:hyperlink>
                    </w:p>
                  </w:txbxContent>
                </v:textbox>
                <w10:anchorlock/>
              </v:shape>
            </w:pict>
          </mc:Fallback>
        </mc:AlternateContent>
      </w:r>
    </w:p>
    <w:p w:rsidR="008918FA" w:rsidRDefault="008918FA" w:rsidP="008918FA">
      <w:pPr>
        <w:numPr>
          <w:ilvl w:val="1"/>
          <w:numId w:val="74"/>
        </w:numPr>
        <w:tabs>
          <w:tab w:val="left" w:pos="1094"/>
        </w:tabs>
        <w:spacing w:before="115"/>
        <w:ind w:left="1093" w:hanging="566"/>
        <w:rPr>
          <w:rFonts w:ascii="Arial" w:eastAsia="Arial" w:hAnsi="Arial" w:cs="Arial"/>
        </w:rPr>
      </w:pPr>
      <w:r>
        <w:rPr>
          <w:rFonts w:ascii="Arial"/>
          <w:b/>
          <w:spacing w:val="-1"/>
        </w:rPr>
        <w:t>Exit Management</w:t>
      </w:r>
    </w:p>
    <w:p w:rsidR="008918FA" w:rsidRDefault="008918FA" w:rsidP="008918FA">
      <w:pPr>
        <w:spacing w:before="8"/>
        <w:rPr>
          <w:rFonts w:ascii="Arial" w:eastAsia="Arial" w:hAnsi="Arial" w:cs="Arial"/>
          <w:b/>
          <w:bCs/>
          <w:sz w:val="9"/>
          <w:szCs w:val="9"/>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6A771E79" wp14:editId="76D8FF64">
                <wp:extent cx="1379855" cy="169545"/>
                <wp:effectExtent l="1905" t="0" r="0" b="0"/>
                <wp:docPr id="7398" name="Group 7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169545"/>
                          <a:chOff x="0" y="0"/>
                          <a:chExt cx="2173" cy="267"/>
                        </a:xfrm>
                      </wpg:grpSpPr>
                      <wpg:grpSp>
                        <wpg:cNvPr id="7399" name="Group 7391"/>
                        <wpg:cNvGrpSpPr>
                          <a:grpSpLocks/>
                        </wpg:cNvGrpSpPr>
                        <wpg:grpSpPr bwMode="auto">
                          <a:xfrm>
                            <a:off x="0" y="12"/>
                            <a:ext cx="2172" cy="255"/>
                            <a:chOff x="0" y="12"/>
                            <a:chExt cx="2172" cy="255"/>
                          </a:xfrm>
                        </wpg:grpSpPr>
                        <wps:wsp>
                          <wps:cNvPr id="7400" name="Freeform 7394"/>
                          <wps:cNvSpPr>
                            <a:spLocks/>
                          </wps:cNvSpPr>
                          <wps:spPr bwMode="auto">
                            <a:xfrm>
                              <a:off x="0" y="12"/>
                              <a:ext cx="2172" cy="255"/>
                            </a:xfrm>
                            <a:custGeom>
                              <a:avLst/>
                              <a:gdLst>
                                <a:gd name="T0" fmla="*/ 0 w 2172"/>
                                <a:gd name="T1" fmla="+- 0 266 12"/>
                                <a:gd name="T2" fmla="*/ 266 h 255"/>
                                <a:gd name="T3" fmla="*/ 2172 w 2172"/>
                                <a:gd name="T4" fmla="+- 0 266 12"/>
                                <a:gd name="T5" fmla="*/ 266 h 255"/>
                                <a:gd name="T6" fmla="*/ 2172 w 2172"/>
                                <a:gd name="T7" fmla="+- 0 12 12"/>
                                <a:gd name="T8" fmla="*/ 12 h 255"/>
                                <a:gd name="T9" fmla="*/ 0 w 2172"/>
                                <a:gd name="T10" fmla="+- 0 12 12"/>
                                <a:gd name="T11" fmla="*/ 12 h 255"/>
                                <a:gd name="T12" fmla="*/ 0 w 2172"/>
                                <a:gd name="T13" fmla="+- 0 266 12"/>
                                <a:gd name="T14" fmla="*/ 266 h 255"/>
                              </a:gdLst>
                              <a:ahLst/>
                              <a:cxnLst>
                                <a:cxn ang="0">
                                  <a:pos x="T0" y="T2"/>
                                </a:cxn>
                                <a:cxn ang="0">
                                  <a:pos x="T3" y="T5"/>
                                </a:cxn>
                                <a:cxn ang="0">
                                  <a:pos x="T6" y="T8"/>
                                </a:cxn>
                                <a:cxn ang="0">
                                  <a:pos x="T9" y="T11"/>
                                </a:cxn>
                                <a:cxn ang="0">
                                  <a:pos x="T12" y="T14"/>
                                </a:cxn>
                              </a:cxnLst>
                              <a:rect l="0" t="0" r="r" b="b"/>
                              <a:pathLst>
                                <a:path w="2172" h="255">
                                  <a:moveTo>
                                    <a:pt x="0" y="254"/>
                                  </a:moveTo>
                                  <a:lnTo>
                                    <a:pt x="2172" y="254"/>
                                  </a:lnTo>
                                  <a:lnTo>
                                    <a:pt x="2172"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1" name="Text Box 7393"/>
                          <wps:cNvSpPr txBox="1">
                            <a:spLocks noChangeArrowheads="1"/>
                          </wps:cNvSpPr>
                          <wps:spPr bwMode="auto">
                            <a:xfrm>
                              <a:off x="0" y="35"/>
                              <a:ext cx="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1" w:lineRule="exact"/>
                                  <w:rPr>
                                    <w:rFonts w:ascii="Arial" w:eastAsia="Arial" w:hAnsi="Arial" w:cs="Arial"/>
                                  </w:rPr>
                                </w:pPr>
                                <w:r>
                                  <w:rPr>
                                    <w:rFonts w:ascii="Arial"/>
                                  </w:rPr>
                                  <w:t>[</w:t>
                                </w:r>
                              </w:p>
                            </w:txbxContent>
                          </wps:txbx>
                          <wps:bodyPr rot="0" vert="horz" wrap="square" lIns="0" tIns="0" rIns="0" bIns="0" anchor="t" anchorCtr="0" upright="1">
                            <a:noAutofit/>
                          </wps:bodyPr>
                        </wps:wsp>
                        <wps:wsp>
                          <wps:cNvPr id="7402" name="Text Box 7392"/>
                          <wps:cNvSpPr txBox="1">
                            <a:spLocks noChangeArrowheads="1"/>
                          </wps:cNvSpPr>
                          <wps:spPr bwMode="auto">
                            <a:xfrm>
                              <a:off x="1887" y="0"/>
                              <a:ext cx="2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5" w:lineRule="exact"/>
                                  <w:rPr>
                                    <w:rFonts w:ascii="Arial" w:eastAsia="Arial" w:hAnsi="Arial" w:cs="Arial"/>
                                    <w:sz w:val="14"/>
                                    <w:szCs w:val="14"/>
                                  </w:rPr>
                                </w:pPr>
                                <w:r>
                                  <w:rPr>
                                    <w:rFonts w:ascii="Arial"/>
                                    <w:position w:val="-9"/>
                                  </w:rPr>
                                  <w:t>]</w:t>
                                </w:r>
                                <w:r>
                                  <w:rPr>
                                    <w:rFonts w:ascii="Arial"/>
                                    <w:spacing w:val="7"/>
                                    <w:position w:val="-9"/>
                                  </w:rPr>
                                  <w:t xml:space="preserve"> </w:t>
                                </w:r>
                                <w:hyperlink w:anchor="_bookmark20" w:history="1">
                                  <w:r>
                                    <w:rPr>
                                      <w:rFonts w:ascii="Arial"/>
                                      <w:b/>
                                      <w:spacing w:val="-1"/>
                                      <w:sz w:val="14"/>
                                    </w:rPr>
                                    <w:t>21</w:t>
                                  </w:r>
                                </w:hyperlink>
                              </w:p>
                            </w:txbxContent>
                          </wps:txbx>
                          <wps:bodyPr rot="0" vert="horz" wrap="square" lIns="0" tIns="0" rIns="0" bIns="0" anchor="t" anchorCtr="0" upright="1">
                            <a:noAutofit/>
                          </wps:bodyPr>
                        </wps:wsp>
                      </wpg:grpSp>
                    </wpg:wgp>
                  </a:graphicData>
                </a:graphic>
              </wp:inline>
            </w:drawing>
          </mc:Choice>
          <mc:Fallback>
            <w:pict>
              <v:group w14:anchorId="6A771E79" id="Group 7390" o:spid="_x0000_s1027" style="width:108.65pt;height:13.35pt;mso-position-horizontal-relative:char;mso-position-vertical-relative:line" coordsize="217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">
                <v:group id="Group 7391" o:spid="_x0000_s1028" style="position:absolute;top:12;width:2172;height:255" coordorigin=",12" coordsize="217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vOJ8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vOJ8cAAADd&#10;AAAADwAAAAAAAAAAAAAAAACqAgAAZHJzL2Rvd25yZXYueG1sUEsFBgAAAAAEAAQA+gAAAJ4DAAAA&#10;AA==&#10;">
                  <v:shape id="Freeform 7394" o:spid="_x0000_s1029" style="position:absolute;top:12;width:2172;height:255;visibility:visible;mso-wrap-style:square;v-text-anchor:top" coordsize="217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vqMIA&#10;AADdAAAADwAAAGRycy9kb3ducmV2LnhtbERPz2vCMBS+D/wfwhO8zdQhq3bGopWywU5zHnZ8NG9N&#10;WfJSmszW/94cBjt+fL935eSsuNIQOs8KVssMBHHjdcetgstn/bgBESKyRuuZFNwoQLmfPeyw0H7k&#10;D7qeYytSCIcCFZgY+0LK0BhyGJa+J07ctx8cxgSHVuoBxxTurHzKsmfpsOPUYLCnylDzc/51Co5f&#10;Fb9vzEirV7K59vYk6+1JqcV8OryAiDTFf/Gf+00ryNdZ2p/epCc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G+owgAAAN0AAAAPAAAAAAAAAAAAAAAAAJgCAABkcnMvZG93&#10;bnJldi54bWxQSwUGAAAAAAQABAD1AAAAhwMAAAAA&#10;" path="m,254r2172,l2172,,,,,254xe" fillcolor="yellow" stroked="f">
                    <v:path arrowok="t" o:connecttype="custom" o:connectlocs="0,266;2172,266;2172,12;0,12;0,266" o:connectangles="0,0,0,0,0"/>
                  </v:shape>
                  <v:shape id="Text Box 7393" o:spid="_x0000_s1030" type="#_x0000_t202" style="position:absolute;top:35;width:6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GMYA&#10;AADdAAAADwAAAGRycy9kb3ducmV2LnhtbESPQWsCMRSE74X+h/AKvdXEUtRujSJFQRCk6/bQ4+vm&#10;uRvcvGw3Udd/bwqCx2FmvmGm89414kRdsJ41DAcKBHHpjeVKw3exepmACBHZYOOZNFwowHz2+DDF&#10;zPgz53TaxUokCIcMNdQxtpmUoazJYRj4ljh5e985jEl2lTQdnhPcNfJVqZF0aDkt1NjSZ03lYXd0&#10;GhY/nC/t3/b3K9/ntijeFW9GB62fn/rFB4hIfbyHb+210TB+U0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SGMYAAADdAAAADwAAAAAAAAAAAAAAAACYAgAAZHJz&#10;L2Rvd25yZXYueG1sUEsFBgAAAAAEAAQA9QAAAIsDAAAAAA==&#10;" filled="f" stroked="f">
                    <v:textbox inset="0,0,0,0">
                      <w:txbxContent>
                        <w:p w:rsidR="005D2B81" w:rsidRDefault="005D2B81" w:rsidP="008918FA">
                          <w:pPr>
                            <w:spacing w:line="221" w:lineRule="exact"/>
                            <w:rPr>
                              <w:rFonts w:ascii="Arial" w:eastAsia="Arial" w:hAnsi="Arial" w:cs="Arial"/>
                            </w:rPr>
                          </w:pPr>
                          <w:r>
                            <w:rPr>
                              <w:rFonts w:ascii="Arial"/>
                            </w:rPr>
                            <w:t>[</w:t>
                          </w:r>
                        </w:p>
                      </w:txbxContent>
                    </v:textbox>
                  </v:shape>
                  <v:shape id="Text Box 7392" o:spid="_x0000_s1031" type="#_x0000_t202" style="position:absolute;left:1887;width:28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Mb8YA&#10;AADdAAAADwAAAGRycy9kb3ducmV2LnhtbESPQWsCMRSE74X+h/AKvdWkUtRujSKiIAil6/bQ4+vm&#10;uRvcvKybqOu/bwqCx2FmvmGm89414kxdsJ41vA4UCOLSG8uVhu9i/TIBESKywcYzabhSgPns8WGK&#10;mfEXzum8i5VIEA4ZaqhjbDMpQ1mTwzDwLXHy9r5zGJPsKmk6vCS4a+RQqZF0aDkt1NjSsqbysDs5&#10;DYsfzlf2+Pn7le9zWxTvirejg9bPT/3iA0SkPt7Dt/bGaBi/qS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0Mb8YAAADdAAAADwAAAAAAAAAAAAAAAACYAgAAZHJz&#10;L2Rvd25yZXYueG1sUEsFBgAAAAAEAAQA9QAAAIsDAAAAAA==&#10;" filled="f" stroked="f">
                    <v:textbox inset="0,0,0,0">
                      <w:txbxContent>
                        <w:p w:rsidR="005D2B81" w:rsidRDefault="005D2B81" w:rsidP="008918FA">
                          <w:pPr>
                            <w:spacing w:line="255" w:lineRule="exact"/>
                            <w:rPr>
                              <w:rFonts w:ascii="Arial" w:eastAsia="Arial" w:hAnsi="Arial" w:cs="Arial"/>
                              <w:sz w:val="14"/>
                              <w:szCs w:val="14"/>
                            </w:rPr>
                          </w:pPr>
                          <w:r>
                            <w:rPr>
                              <w:rFonts w:ascii="Arial"/>
                              <w:position w:val="-9"/>
                            </w:rPr>
                            <w:t>]</w:t>
                          </w:r>
                          <w:r>
                            <w:rPr>
                              <w:rFonts w:ascii="Arial"/>
                              <w:spacing w:val="7"/>
                              <w:position w:val="-9"/>
                            </w:rPr>
                            <w:t xml:space="preserve"> </w:t>
                          </w:r>
                          <w:hyperlink w:anchor="_bookmark20" w:history="1">
                            <w:r>
                              <w:rPr>
                                <w:rFonts w:ascii="Arial"/>
                                <w:b/>
                                <w:spacing w:val="-1"/>
                                <w:sz w:val="14"/>
                              </w:rPr>
                              <w:t>21</w:t>
                            </w:r>
                          </w:hyperlink>
                        </w:p>
                      </w:txbxContent>
                    </v:textbox>
                  </v:shape>
                </v:group>
                <w10:anchorlock/>
              </v:group>
            </w:pict>
          </mc:Fallback>
        </mc:AlternateContent>
      </w:r>
    </w:p>
    <w:p w:rsidR="008918FA" w:rsidRDefault="008918FA" w:rsidP="008918FA">
      <w:pPr>
        <w:spacing w:before="2"/>
        <w:rPr>
          <w:rFonts w:ascii="Arial" w:eastAsia="Arial" w:hAnsi="Arial" w:cs="Arial"/>
          <w:b/>
          <w:bCs/>
          <w:sz w:val="14"/>
          <w:szCs w:val="14"/>
        </w:rPr>
      </w:pPr>
    </w:p>
    <w:p w:rsidR="008918FA" w:rsidRDefault="008918FA" w:rsidP="008918FA">
      <w:pPr>
        <w:numPr>
          <w:ilvl w:val="0"/>
          <w:numId w:val="74"/>
        </w:numPr>
        <w:tabs>
          <w:tab w:val="left" w:pos="528"/>
        </w:tabs>
        <w:spacing w:before="72"/>
        <w:ind w:left="527" w:hanging="427"/>
        <w:jc w:val="left"/>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INFORMATION</w:t>
      </w:r>
    </w:p>
    <w:p w:rsidR="008918FA" w:rsidRDefault="008918FA" w:rsidP="008918FA">
      <w:pPr>
        <w:spacing w:before="9"/>
        <w:rPr>
          <w:rFonts w:ascii="Arial" w:eastAsia="Arial" w:hAnsi="Arial" w:cs="Arial"/>
          <w:b/>
          <w:bCs/>
          <w:sz w:val="20"/>
          <w:szCs w:val="20"/>
        </w:rPr>
      </w:pPr>
    </w:p>
    <w:p w:rsidR="008918FA" w:rsidRDefault="008918FA" w:rsidP="008918FA">
      <w:pPr>
        <w:numPr>
          <w:ilvl w:val="1"/>
          <w:numId w:val="74"/>
        </w:numPr>
        <w:tabs>
          <w:tab w:val="left" w:pos="1094"/>
        </w:tabs>
        <w:ind w:left="1093" w:hanging="566"/>
        <w:rPr>
          <w:rFonts w:ascii="Arial" w:eastAsia="Arial" w:hAnsi="Arial" w:cs="Arial"/>
        </w:rPr>
      </w:pPr>
      <w:r>
        <w:rPr>
          <w:rFonts w:ascii="Arial"/>
          <w:b/>
          <w:spacing w:val="-1"/>
        </w:rPr>
        <w:t>Supplier's</w:t>
      </w:r>
      <w:r>
        <w:rPr>
          <w:rFonts w:ascii="Arial"/>
          <w:b/>
          <w:spacing w:val="-4"/>
        </w:rPr>
        <w:t xml:space="preserve"> </w:t>
      </w:r>
      <w:r>
        <w:rPr>
          <w:rFonts w:ascii="Arial"/>
          <w:b/>
          <w:spacing w:val="-1"/>
        </w:rPr>
        <w:t>inspection</w:t>
      </w:r>
      <w:r>
        <w:rPr>
          <w:rFonts w:ascii="Arial"/>
          <w:b/>
        </w:rPr>
        <w:t xml:space="preserve"> </w:t>
      </w:r>
      <w:r>
        <w:rPr>
          <w:rFonts w:ascii="Arial"/>
          <w:b/>
          <w:spacing w:val="-2"/>
        </w:rPr>
        <w:t>of</w:t>
      </w:r>
      <w:r>
        <w:rPr>
          <w:rFonts w:ascii="Arial"/>
          <w:b/>
          <w:spacing w:val="2"/>
        </w:rPr>
        <w:t xml:space="preserve"> </w:t>
      </w:r>
      <w:r>
        <w:rPr>
          <w:rFonts w:ascii="Arial"/>
          <w:b/>
          <w:spacing w:val="-1"/>
        </w:rPr>
        <w:t>Sites,</w:t>
      </w:r>
      <w:r>
        <w:rPr>
          <w:rFonts w:ascii="Arial"/>
          <w:b/>
        </w:rPr>
        <w:t xml:space="preserve"> </w:t>
      </w:r>
      <w:r>
        <w:rPr>
          <w:rFonts w:ascii="Arial"/>
          <w:b/>
          <w:spacing w:val="-1"/>
        </w:rPr>
        <w:t>Customer Property</w:t>
      </w:r>
      <w:r>
        <w:rPr>
          <w:rFonts w:ascii="Arial"/>
          <w:b/>
          <w:spacing w:val="-4"/>
        </w:rPr>
        <w:t xml:space="preserve"> </w:t>
      </w:r>
      <w:r>
        <w:rPr>
          <w:rFonts w:ascii="Arial"/>
          <w:b/>
          <w:spacing w:val="-1"/>
        </w:rPr>
        <w:t>and</w:t>
      </w:r>
      <w:r>
        <w:rPr>
          <w:rFonts w:ascii="Arial"/>
          <w:b/>
        </w:rPr>
        <w:t xml:space="preserve"> </w:t>
      </w:r>
      <w:r>
        <w:rPr>
          <w:rFonts w:ascii="Arial"/>
          <w:b/>
          <w:spacing w:val="-1"/>
        </w:rPr>
        <w:t>Customer</w:t>
      </w:r>
      <w:r>
        <w:rPr>
          <w:rFonts w:ascii="Arial"/>
          <w:b/>
          <w:spacing w:val="1"/>
        </w:rPr>
        <w:t xml:space="preserve"> </w:t>
      </w:r>
      <w:r>
        <w:rPr>
          <w:rFonts w:ascii="Arial"/>
          <w:b/>
          <w:spacing w:val="-1"/>
        </w:rPr>
        <w:t>Assets</w:t>
      </w:r>
    </w:p>
    <w:p w:rsidR="008918FA" w:rsidRDefault="008918FA" w:rsidP="008918FA">
      <w:pPr>
        <w:pStyle w:val="BodyText"/>
        <w:spacing w:before="126" w:line="252" w:lineRule="exact"/>
        <w:ind w:left="1093" w:right="117" w:firstLine="0"/>
        <w:rPr>
          <w:rFonts w:cs="Arial"/>
          <w:sz w:val="14"/>
          <w:szCs w:val="14"/>
        </w:rPr>
      </w:pPr>
      <w:r>
        <w:t xml:space="preserve">[In </w:t>
      </w:r>
      <w:r>
        <w:rPr>
          <w:spacing w:val="52"/>
        </w:rPr>
        <w:t xml:space="preserve"> </w:t>
      </w:r>
      <w:r>
        <w:rPr>
          <w:spacing w:val="-2"/>
        </w:rPr>
        <w:t>Clause</w:t>
      </w:r>
      <w:r>
        <w:t xml:space="preserve"> </w:t>
      </w:r>
      <w:r>
        <w:rPr>
          <w:spacing w:val="53"/>
        </w:rPr>
        <w:t xml:space="preserve"> </w:t>
      </w:r>
      <w:hyperlink w:anchor="_bookmark252" w:history="1">
        <w:r>
          <w:rPr>
            <w:spacing w:val="-1"/>
          </w:rPr>
          <w:t>45.5</w:t>
        </w:r>
      </w:hyperlink>
      <w:r>
        <w:t xml:space="preserve"> </w:t>
      </w:r>
      <w:r>
        <w:rPr>
          <w:spacing w:val="52"/>
        </w:rPr>
        <w:t xml:space="preserve"> </w:t>
      </w:r>
      <w:r>
        <w:rPr>
          <w:spacing w:val="-2"/>
        </w:rPr>
        <w:t>of</w:t>
      </w:r>
      <w:r>
        <w:t xml:space="preserve"> </w:t>
      </w:r>
      <w:r>
        <w:rPr>
          <w:spacing w:val="53"/>
        </w:rPr>
        <w:t xml:space="preserve"> </w:t>
      </w:r>
      <w:r>
        <w:rPr>
          <w:spacing w:val="-1"/>
        </w:rPr>
        <w:t>the</w:t>
      </w:r>
      <w:r>
        <w:t xml:space="preserve"> </w:t>
      </w:r>
      <w:r>
        <w:rPr>
          <w:spacing w:val="52"/>
        </w:rPr>
        <w:t xml:space="preserve"> </w:t>
      </w:r>
      <w:r>
        <w:rPr>
          <w:spacing w:val="-2"/>
        </w:rPr>
        <w:t>Call</w:t>
      </w:r>
      <w:r>
        <w:t xml:space="preserve"> </w:t>
      </w:r>
      <w:r>
        <w:rPr>
          <w:spacing w:val="51"/>
        </w:rPr>
        <w:t xml:space="preserve"> </w:t>
      </w:r>
      <w:r>
        <w:rPr>
          <w:spacing w:val="-1"/>
        </w:rPr>
        <w:t>Off</w:t>
      </w:r>
      <w:r>
        <w:t xml:space="preserve"> </w:t>
      </w:r>
      <w:r>
        <w:rPr>
          <w:spacing w:val="54"/>
        </w:rPr>
        <w:t xml:space="preserve"> </w:t>
      </w:r>
      <w:r>
        <w:rPr>
          <w:spacing w:val="-1"/>
        </w:rPr>
        <w:t>Terms</w:t>
      </w:r>
      <w:r>
        <w:t xml:space="preserve"> </w:t>
      </w:r>
      <w:r>
        <w:rPr>
          <w:spacing w:val="52"/>
        </w:rPr>
        <w:t xml:space="preserve"> </w:t>
      </w:r>
      <w:r>
        <w:rPr>
          <w:spacing w:val="-2"/>
        </w:rPr>
        <w:t>and</w:t>
      </w:r>
      <w:r>
        <w:t xml:space="preserve"> </w:t>
      </w:r>
      <w:r>
        <w:rPr>
          <w:spacing w:val="52"/>
        </w:rPr>
        <w:t xml:space="preserve"> </w:t>
      </w:r>
      <w:r>
        <w:rPr>
          <w:spacing w:val="-2"/>
        </w:rPr>
        <w:t>Call</w:t>
      </w:r>
      <w:r>
        <w:t xml:space="preserve"> </w:t>
      </w:r>
      <w:r>
        <w:rPr>
          <w:spacing w:val="51"/>
        </w:rPr>
        <w:t xml:space="preserve"> </w:t>
      </w:r>
      <w:r>
        <w:rPr>
          <w:spacing w:val="-1"/>
        </w:rPr>
        <w:t>Off</w:t>
      </w:r>
      <w:r>
        <w:t xml:space="preserve"> </w:t>
      </w:r>
      <w:r>
        <w:rPr>
          <w:spacing w:val="55"/>
        </w:rPr>
        <w:t xml:space="preserve"> </w:t>
      </w:r>
      <w:r>
        <w:rPr>
          <w:spacing w:val="-1"/>
        </w:rPr>
        <w:t>Schedule</w:t>
      </w:r>
      <w:r>
        <w:t xml:space="preserve"> </w:t>
      </w:r>
      <w:r>
        <w:rPr>
          <w:spacing w:val="49"/>
        </w:rPr>
        <w:t xml:space="preserve"> </w:t>
      </w:r>
      <w:r>
        <w:rPr>
          <w:spacing w:val="-1"/>
        </w:rPr>
        <w:t>10</w:t>
      </w:r>
      <w:r>
        <w:t xml:space="preserve"> </w:t>
      </w:r>
      <w:r>
        <w:rPr>
          <w:spacing w:val="55"/>
        </w:rPr>
        <w:t xml:space="preserve"> </w:t>
      </w:r>
      <w:r>
        <w:rPr>
          <w:spacing w:val="-2"/>
        </w:rPr>
        <w:t>(Exit</w:t>
      </w:r>
      <w:r>
        <w:rPr>
          <w:spacing w:val="59"/>
        </w:rPr>
        <w:t xml:space="preserve"> </w:t>
      </w:r>
      <w:r>
        <w:rPr>
          <w:spacing w:val="-1"/>
        </w:rPr>
        <w:t>Management)]</w:t>
      </w:r>
      <w:r>
        <w:rPr>
          <w:spacing w:val="7"/>
        </w:rPr>
        <w:t xml:space="preserve"> </w:t>
      </w:r>
      <w:hyperlink w:anchor="_bookmark21" w:history="1">
        <w:r>
          <w:rPr>
            <w:b/>
            <w:spacing w:val="-1"/>
            <w:position w:val="10"/>
            <w:sz w:val="14"/>
          </w:rPr>
          <w:t>22</w:t>
        </w:r>
      </w:hyperlink>
    </w:p>
    <w:p w:rsidR="008918FA" w:rsidRDefault="008918FA" w:rsidP="008918FA">
      <w:pPr>
        <w:pStyle w:val="Heading1"/>
        <w:numPr>
          <w:ilvl w:val="1"/>
          <w:numId w:val="74"/>
        </w:numPr>
        <w:tabs>
          <w:tab w:val="left" w:pos="1094"/>
        </w:tabs>
        <w:spacing w:before="115"/>
        <w:ind w:left="1093" w:hanging="566"/>
        <w:rPr>
          <w:b w:val="0"/>
          <w:bCs w:val="0"/>
        </w:rPr>
      </w:pPr>
      <w:r>
        <w:rPr>
          <w:spacing w:val="-1"/>
        </w:rPr>
        <w:t>Commercially</w:t>
      </w:r>
      <w:r>
        <w:rPr>
          <w:spacing w:val="-4"/>
        </w:rPr>
        <w:t xml:space="preserve"> </w:t>
      </w:r>
      <w:r>
        <w:rPr>
          <w:spacing w:val="-1"/>
        </w:rPr>
        <w:t>Sensitive</w:t>
      </w:r>
      <w:r>
        <w:t xml:space="preserve"> </w:t>
      </w:r>
      <w:r>
        <w:rPr>
          <w:spacing w:val="-1"/>
        </w:rPr>
        <w:t>Information</w:t>
      </w:r>
    </w:p>
    <w:p w:rsidR="008918FA" w:rsidRDefault="008918FA" w:rsidP="008918FA">
      <w:pPr>
        <w:spacing w:before="11"/>
        <w:rPr>
          <w:rFonts w:ascii="Arial" w:eastAsia="Arial" w:hAnsi="Arial" w:cs="Arial"/>
          <w:b/>
          <w:bCs/>
          <w:sz w:val="9"/>
          <w:szCs w:val="9"/>
        </w:rPr>
      </w:pPr>
    </w:p>
    <w:p w:rsidR="008918FA" w:rsidRDefault="008918FA" w:rsidP="008918FA">
      <w:pPr>
        <w:tabs>
          <w:tab w:val="left" w:pos="2980"/>
        </w:tabs>
        <w:spacing w:line="200" w:lineRule="atLeast"/>
        <w:ind w:left="1093"/>
        <w:rPr>
          <w:rFonts w:ascii="Arial" w:eastAsia="Arial" w:hAnsi="Arial" w:cs="Arial"/>
          <w:sz w:val="20"/>
          <w:szCs w:val="20"/>
        </w:rPr>
      </w:pPr>
      <w:r w:rsidRPr="00B07633">
        <w:rPr>
          <w:rFonts w:ascii="Arial"/>
          <w:noProof/>
          <w:sz w:val="20"/>
          <w:highlight w:val="yellow"/>
          <w:lang w:eastAsia="en-GB"/>
        </w:rPr>
        <mc:AlternateContent>
          <mc:Choice Requires="wps">
            <w:drawing>
              <wp:inline distT="0" distB="0" distL="0" distR="0" wp14:anchorId="7DCA8DB2" wp14:editId="5EAAD4EE">
                <wp:extent cx="39370" cy="140335"/>
                <wp:effectExtent l="1905" t="635" r="0" b="1905"/>
                <wp:docPr id="7328" name="Text Box 7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1" w:lineRule="exact"/>
                              <w:rPr>
                                <w:rFonts w:ascii="Arial" w:eastAsia="Arial" w:hAnsi="Arial" w:cs="Arial"/>
                              </w:rPr>
                            </w:pPr>
                            <w:r>
                              <w:rPr>
                                <w:rFonts w:ascii="Arial"/>
                              </w:rPr>
                              <w:t>[</w:t>
                            </w:r>
                          </w:p>
                        </w:txbxContent>
                      </wps:txbx>
                      <wps:bodyPr rot="0" vert="horz" wrap="square" lIns="0" tIns="0" rIns="0" bIns="0" anchor="t" anchorCtr="0" upright="1">
                        <a:noAutofit/>
                      </wps:bodyPr>
                    </wps:wsp>
                  </a:graphicData>
                </a:graphic>
              </wp:inline>
            </w:drawing>
          </mc:Choice>
          <mc:Fallback>
            <w:pict>
              <v:shape w14:anchorId="7DCA8DB2" id="Text Box 7320" o:spid="_x0000_s1032" type="#_x0000_t202" style="width:3.1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" filled="f" stroked="f">
                <v:textbox inset="0,0,0,0">
                  <w:txbxContent>
                    <w:p w:rsidR="005D2B81" w:rsidRDefault="005D2B81" w:rsidP="008918FA">
                      <w:pPr>
                        <w:spacing w:line="221" w:lineRule="exact"/>
                        <w:rPr>
                          <w:rFonts w:ascii="Arial" w:eastAsia="Arial" w:hAnsi="Arial" w:cs="Arial"/>
                        </w:rPr>
                      </w:pPr>
                      <w:r>
                        <w:rPr>
                          <w:rFonts w:ascii="Arial"/>
                        </w:rPr>
                        <w:t>[</w:t>
                      </w:r>
                    </w:p>
                  </w:txbxContent>
                </v:textbox>
                <w10:anchorlock/>
              </v:shape>
            </w:pict>
          </mc:Fallback>
        </mc:AlternateContent>
      </w:r>
      <w:r w:rsidRPr="00B07633">
        <w:rPr>
          <w:rFonts w:ascii="Arial"/>
          <w:sz w:val="20"/>
          <w:highlight w:val="yellow"/>
        </w:rPr>
        <w:tab/>
      </w:r>
      <w:r w:rsidRPr="00B07633">
        <w:rPr>
          <w:rFonts w:ascii="Arial"/>
          <w:noProof/>
          <w:sz w:val="20"/>
          <w:highlight w:val="yellow"/>
          <w:lang w:eastAsia="en-GB"/>
        </w:rPr>
        <mc:AlternateContent>
          <mc:Choice Requires="wps">
            <w:drawing>
              <wp:inline distT="0" distB="0" distL="0" distR="0" wp14:anchorId="5AB7A49F" wp14:editId="523352C2">
                <wp:extent cx="181610" cy="162560"/>
                <wp:effectExtent l="0" t="635" r="0" b="0"/>
                <wp:docPr id="7327" name="Text Box 7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5" w:lineRule="exact"/>
                              <w:rPr>
                                <w:rFonts w:ascii="Arial" w:eastAsia="Arial" w:hAnsi="Arial" w:cs="Arial"/>
                                <w:sz w:val="14"/>
                                <w:szCs w:val="14"/>
                              </w:rPr>
                            </w:pPr>
                            <w:r>
                              <w:rPr>
                                <w:rFonts w:ascii="Arial"/>
                                <w:position w:val="-9"/>
                              </w:rPr>
                              <w:t>]</w:t>
                            </w:r>
                            <w:r>
                              <w:rPr>
                                <w:rFonts w:ascii="Arial"/>
                                <w:spacing w:val="7"/>
                                <w:position w:val="-9"/>
                              </w:rPr>
                              <w:t xml:space="preserve"> </w:t>
                            </w:r>
                            <w:hyperlink w:anchor="_bookmark22" w:history="1">
                              <w:r>
                                <w:rPr>
                                  <w:rFonts w:ascii="Arial"/>
                                  <w:b/>
                                  <w:spacing w:val="-1"/>
                                  <w:sz w:val="14"/>
                                </w:rPr>
                                <w:t>23</w:t>
                              </w:r>
                            </w:hyperlink>
                          </w:p>
                        </w:txbxContent>
                      </wps:txbx>
                      <wps:bodyPr rot="0" vert="horz" wrap="square" lIns="0" tIns="0" rIns="0" bIns="0" anchor="t" anchorCtr="0" upright="1">
                        <a:noAutofit/>
                      </wps:bodyPr>
                    </wps:wsp>
                  </a:graphicData>
                </a:graphic>
              </wp:inline>
            </w:drawing>
          </mc:Choice>
          <mc:Fallback>
            <w:pict>
              <v:shape w14:anchorId="5AB7A49F" id="Text Box 7319" o:spid="_x0000_s1033" type="#_x0000_t202" style="width:14.3pt;height: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Iw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" filled="f" stroked="f">
                <v:textbox inset="0,0,0,0">
                  <w:txbxContent>
                    <w:p w:rsidR="005D2B81" w:rsidRDefault="005D2B81" w:rsidP="008918FA">
                      <w:pPr>
                        <w:spacing w:line="255" w:lineRule="exact"/>
                        <w:rPr>
                          <w:rFonts w:ascii="Arial" w:eastAsia="Arial" w:hAnsi="Arial" w:cs="Arial"/>
                          <w:sz w:val="14"/>
                          <w:szCs w:val="14"/>
                        </w:rPr>
                      </w:pPr>
                      <w:r>
                        <w:rPr>
                          <w:rFonts w:ascii="Arial"/>
                          <w:position w:val="-9"/>
                        </w:rPr>
                        <w:t>]</w:t>
                      </w:r>
                      <w:r>
                        <w:rPr>
                          <w:rFonts w:ascii="Arial"/>
                          <w:spacing w:val="7"/>
                          <w:position w:val="-9"/>
                        </w:rPr>
                        <w:t xml:space="preserve"> </w:t>
                      </w:r>
                      <w:hyperlink w:anchor="_bookmark22" w:history="1">
                        <w:r>
                          <w:rPr>
                            <w:rFonts w:ascii="Arial"/>
                            <w:b/>
                            <w:spacing w:val="-1"/>
                            <w:sz w:val="14"/>
                          </w:rPr>
                          <w:t>23</w:t>
                        </w:r>
                      </w:hyperlink>
                    </w:p>
                  </w:txbxContent>
                </v:textbox>
                <w10:anchorlock/>
              </v:shape>
            </w:pict>
          </mc:Fallback>
        </mc:AlternateContent>
      </w:r>
    </w:p>
    <w:p w:rsidR="008918FA" w:rsidRDefault="008918FA" w:rsidP="008918FA">
      <w:pPr>
        <w:spacing w:before="10"/>
        <w:rPr>
          <w:rFonts w:ascii="Arial" w:eastAsia="Arial" w:hAnsi="Arial" w:cs="Arial"/>
          <w:b/>
          <w:bCs/>
          <w:sz w:val="14"/>
          <w:szCs w:val="14"/>
        </w:rPr>
      </w:pPr>
    </w:p>
    <w:p w:rsidR="008918FA" w:rsidRDefault="008918FA" w:rsidP="008918FA">
      <w:pPr>
        <w:pStyle w:val="Heading1"/>
        <w:numPr>
          <w:ilvl w:val="0"/>
          <w:numId w:val="74"/>
        </w:numPr>
        <w:tabs>
          <w:tab w:val="left" w:pos="528"/>
        </w:tabs>
        <w:spacing w:before="72"/>
        <w:ind w:left="527" w:hanging="427"/>
        <w:jc w:val="left"/>
        <w:rPr>
          <w:b w:val="0"/>
          <w:bCs w:val="0"/>
        </w:rPr>
      </w:pPr>
      <w:r>
        <w:rPr>
          <w:spacing w:val="-1"/>
        </w:rPr>
        <w:t>CUSTOMER</w:t>
      </w:r>
      <w:r>
        <w:t xml:space="preserve"> </w:t>
      </w:r>
      <w:r>
        <w:rPr>
          <w:spacing w:val="-1"/>
        </w:rPr>
        <w:t>RESPONSIBILITIES</w:t>
      </w:r>
    </w:p>
    <w:p w:rsidR="008918FA" w:rsidRDefault="008918FA" w:rsidP="008918FA">
      <w:pPr>
        <w:spacing w:before="9"/>
        <w:rPr>
          <w:rFonts w:ascii="Arial" w:eastAsia="Arial" w:hAnsi="Arial" w:cs="Arial"/>
          <w:b/>
          <w:bCs/>
          <w:sz w:val="20"/>
          <w:szCs w:val="20"/>
        </w:rPr>
      </w:pPr>
    </w:p>
    <w:p w:rsidR="008918FA" w:rsidRDefault="008918FA" w:rsidP="008918FA">
      <w:pPr>
        <w:numPr>
          <w:ilvl w:val="1"/>
          <w:numId w:val="74"/>
        </w:numPr>
        <w:tabs>
          <w:tab w:val="left" w:pos="1094"/>
        </w:tabs>
        <w:ind w:left="1093" w:hanging="566"/>
        <w:rPr>
          <w:rFonts w:ascii="Arial" w:eastAsia="Arial" w:hAnsi="Arial" w:cs="Arial"/>
        </w:rPr>
      </w:pPr>
      <w:r>
        <w:rPr>
          <w:rFonts w:ascii="Arial"/>
          <w:b/>
          <w:spacing w:val="-1"/>
        </w:rPr>
        <w:t>Customer Responsibilities</w:t>
      </w:r>
    </w:p>
    <w:p w:rsidR="008918FA" w:rsidRDefault="008918FA" w:rsidP="008918FA">
      <w:pPr>
        <w:pStyle w:val="BodyText"/>
        <w:tabs>
          <w:tab w:val="left" w:pos="5140"/>
        </w:tabs>
        <w:spacing w:before="130" w:line="250" w:lineRule="exact"/>
        <w:ind w:left="1093" w:right="118" w:firstLine="0"/>
        <w:rPr>
          <w:rFonts w:cs="Arial"/>
          <w:sz w:val="14"/>
          <w:szCs w:val="14"/>
        </w:rPr>
      </w:pPr>
      <w:r w:rsidRPr="00B07633">
        <w:rPr>
          <w:highlight w:val="yellow"/>
        </w:rPr>
        <w:t>[In</w:t>
      </w:r>
      <w:r w:rsidRPr="00B07633">
        <w:rPr>
          <w:spacing w:val="10"/>
          <w:highlight w:val="yellow"/>
        </w:rPr>
        <w:t xml:space="preserve"> </w:t>
      </w:r>
      <w:r w:rsidRPr="00B07633">
        <w:rPr>
          <w:spacing w:val="-1"/>
          <w:highlight w:val="yellow"/>
        </w:rPr>
        <w:t>Part</w:t>
      </w:r>
      <w:r w:rsidRPr="00B07633">
        <w:rPr>
          <w:spacing w:val="11"/>
          <w:highlight w:val="yellow"/>
        </w:rPr>
        <w:t xml:space="preserve"> </w:t>
      </w:r>
      <w:r w:rsidRPr="00B07633">
        <w:rPr>
          <w:highlight w:val="yellow"/>
        </w:rPr>
        <w:t>B</w:t>
      </w:r>
      <w:r w:rsidRPr="00B07633">
        <w:rPr>
          <w:spacing w:val="12"/>
          <w:highlight w:val="yellow"/>
        </w:rPr>
        <w:t xml:space="preserve"> </w:t>
      </w:r>
      <w:r w:rsidRPr="00B07633">
        <w:rPr>
          <w:spacing w:val="-2"/>
          <w:highlight w:val="yellow"/>
        </w:rPr>
        <w:t>of</w:t>
      </w:r>
      <w:r w:rsidRPr="00B07633">
        <w:rPr>
          <w:spacing w:val="14"/>
          <w:highlight w:val="yellow"/>
        </w:rPr>
        <w:t xml:space="preserve"> </w:t>
      </w:r>
      <w:r w:rsidRPr="00B07633">
        <w:rPr>
          <w:spacing w:val="-2"/>
          <w:highlight w:val="yellow"/>
        </w:rPr>
        <w:t>Call</w:t>
      </w:r>
      <w:r w:rsidRPr="00B07633">
        <w:rPr>
          <w:spacing w:val="9"/>
          <w:highlight w:val="yellow"/>
        </w:rPr>
        <w:t xml:space="preserve"> </w:t>
      </w:r>
      <w:r w:rsidRPr="00B07633">
        <w:rPr>
          <w:spacing w:val="-1"/>
          <w:highlight w:val="yellow"/>
        </w:rPr>
        <w:t>Off</w:t>
      </w:r>
      <w:r w:rsidRPr="00B07633">
        <w:rPr>
          <w:spacing w:val="14"/>
          <w:highlight w:val="yellow"/>
        </w:rPr>
        <w:t xml:space="preserve"> </w:t>
      </w:r>
      <w:r w:rsidRPr="00B07633">
        <w:rPr>
          <w:spacing w:val="-2"/>
          <w:highlight w:val="yellow"/>
        </w:rPr>
        <w:t>Schedule</w:t>
      </w:r>
      <w:r w:rsidRPr="00B07633">
        <w:rPr>
          <w:spacing w:val="12"/>
          <w:highlight w:val="yellow"/>
        </w:rPr>
        <w:t xml:space="preserve"> </w:t>
      </w:r>
      <w:r w:rsidRPr="00B07633">
        <w:rPr>
          <w:highlight w:val="yellow"/>
        </w:rPr>
        <w:t>4</w:t>
      </w:r>
      <w:r w:rsidRPr="00B07633">
        <w:rPr>
          <w:spacing w:val="12"/>
          <w:highlight w:val="yellow"/>
        </w:rPr>
        <w:t xml:space="preserve"> </w:t>
      </w:r>
      <w:r w:rsidRPr="00B07633">
        <w:rPr>
          <w:spacing w:val="-1"/>
          <w:highlight w:val="yellow"/>
        </w:rPr>
        <w:t>(Implementation</w:t>
      </w:r>
      <w:r w:rsidRPr="00B07633">
        <w:rPr>
          <w:spacing w:val="12"/>
          <w:highlight w:val="yellow"/>
        </w:rPr>
        <w:t xml:space="preserve"> </w:t>
      </w:r>
      <w:r w:rsidRPr="00B07633">
        <w:rPr>
          <w:spacing w:val="-1"/>
          <w:highlight w:val="yellow"/>
        </w:rPr>
        <w:t>Plan,</w:t>
      </w:r>
      <w:r w:rsidRPr="00B07633">
        <w:rPr>
          <w:spacing w:val="14"/>
          <w:highlight w:val="yellow"/>
        </w:rPr>
        <w:t xml:space="preserve"> </w:t>
      </w:r>
      <w:r w:rsidRPr="00B07633">
        <w:rPr>
          <w:spacing w:val="-2"/>
          <w:highlight w:val="yellow"/>
        </w:rPr>
        <w:t>Customer</w:t>
      </w:r>
      <w:r w:rsidRPr="00B07633">
        <w:rPr>
          <w:spacing w:val="14"/>
          <w:highlight w:val="yellow"/>
        </w:rPr>
        <w:t xml:space="preserve"> </w:t>
      </w:r>
      <w:r w:rsidRPr="00B07633">
        <w:rPr>
          <w:spacing w:val="-2"/>
          <w:highlight w:val="yellow"/>
        </w:rPr>
        <w:t>Responsibilities</w:t>
      </w:r>
      <w:r w:rsidRPr="00B07633">
        <w:rPr>
          <w:spacing w:val="74"/>
          <w:highlight w:val="yellow"/>
        </w:rPr>
        <w:t xml:space="preserve"> </w:t>
      </w:r>
      <w:r w:rsidRPr="00B07633">
        <w:rPr>
          <w:spacing w:val="-1"/>
          <w:highlight w:val="yellow"/>
        </w:rPr>
        <w:t>and</w:t>
      </w:r>
      <w:r w:rsidRPr="00B07633">
        <w:rPr>
          <w:highlight w:val="yellow"/>
        </w:rPr>
        <w:t xml:space="preserve"> </w:t>
      </w:r>
      <w:r w:rsidRPr="00B07633">
        <w:rPr>
          <w:spacing w:val="-1"/>
          <w:highlight w:val="yellow"/>
        </w:rPr>
        <w:t>Key</w:t>
      </w:r>
      <w:r w:rsidRPr="00B07633">
        <w:rPr>
          <w:spacing w:val="-2"/>
          <w:highlight w:val="yellow"/>
        </w:rPr>
        <w:t xml:space="preserve"> </w:t>
      </w:r>
      <w:r w:rsidRPr="00B07633">
        <w:rPr>
          <w:spacing w:val="-1"/>
          <w:highlight w:val="yellow"/>
        </w:rPr>
        <w:t>Personnel]</w:t>
      </w:r>
      <w:r w:rsidRPr="00B07633">
        <w:rPr>
          <w:highlight w:val="yellow"/>
        </w:rPr>
        <w:t xml:space="preserve"> / [</w:t>
      </w:r>
      <w:r w:rsidRPr="00B07633">
        <w:rPr>
          <w:highlight w:val="yellow"/>
        </w:rPr>
        <w:tab/>
        <w:t>]</w:t>
      </w:r>
      <w:r w:rsidRPr="00B07633">
        <w:rPr>
          <w:spacing w:val="7"/>
          <w:highlight w:val="yellow"/>
        </w:rPr>
        <w:t xml:space="preserve"> </w:t>
      </w:r>
      <w:hyperlink w:anchor="_bookmark23" w:history="1">
        <w:r w:rsidRPr="00B07633">
          <w:rPr>
            <w:b/>
            <w:spacing w:val="-1"/>
            <w:position w:val="10"/>
            <w:sz w:val="14"/>
            <w:highlight w:val="yellow"/>
          </w:rPr>
          <w:t>24</w:t>
        </w:r>
      </w:hyperlink>
    </w:p>
    <w:p w:rsidR="008918FA" w:rsidRDefault="008918FA" w:rsidP="008918FA">
      <w:pPr>
        <w:spacing w:before="8"/>
        <w:rPr>
          <w:rFonts w:ascii="Arial" w:eastAsia="Arial" w:hAnsi="Arial" w:cs="Arial"/>
          <w:b/>
          <w:bCs/>
          <w:sz w:val="20"/>
          <w:szCs w:val="20"/>
        </w:rPr>
      </w:pPr>
    </w:p>
    <w:p w:rsidR="008918FA" w:rsidRDefault="008918FA" w:rsidP="008918FA">
      <w:pPr>
        <w:pStyle w:val="Heading1"/>
        <w:numPr>
          <w:ilvl w:val="0"/>
          <w:numId w:val="74"/>
        </w:numPr>
        <w:tabs>
          <w:tab w:val="left" w:pos="528"/>
        </w:tabs>
        <w:spacing w:before="0"/>
        <w:ind w:left="527" w:hanging="427"/>
        <w:jc w:val="left"/>
        <w:rPr>
          <w:b w:val="0"/>
          <w:bCs w:val="0"/>
        </w:rPr>
      </w:pPr>
      <w:r>
        <w:rPr>
          <w:spacing w:val="-2"/>
        </w:rPr>
        <w:t>CALL</w:t>
      </w:r>
      <w:r>
        <w:t xml:space="preserve"> OFF </w:t>
      </w:r>
      <w:r>
        <w:rPr>
          <w:spacing w:val="-1"/>
        </w:rPr>
        <w:t>CONTRACT</w:t>
      </w:r>
      <w:r>
        <w:rPr>
          <w:spacing w:val="-2"/>
        </w:rPr>
        <w:t xml:space="preserve"> </w:t>
      </w:r>
      <w:r>
        <w:rPr>
          <w:spacing w:val="-1"/>
        </w:rPr>
        <w:t>CHARGES</w:t>
      </w:r>
      <w:r>
        <w:rPr>
          <w:spacing w:val="2"/>
        </w:rPr>
        <w:t xml:space="preserve"> </w:t>
      </w:r>
      <w:r>
        <w:rPr>
          <w:spacing w:val="-3"/>
        </w:rPr>
        <w:t>AND</w:t>
      </w:r>
      <w:r>
        <w:t xml:space="preserve"> </w:t>
      </w:r>
      <w:r>
        <w:rPr>
          <w:spacing w:val="-1"/>
        </w:rPr>
        <w:t>PAYMENT</w:t>
      </w:r>
    </w:p>
    <w:p w:rsidR="008918FA" w:rsidRDefault="008918FA" w:rsidP="008918FA">
      <w:pPr>
        <w:spacing w:before="9"/>
        <w:rPr>
          <w:rFonts w:ascii="Arial" w:eastAsia="Arial" w:hAnsi="Arial" w:cs="Arial"/>
          <w:b/>
          <w:bCs/>
          <w:sz w:val="20"/>
          <w:szCs w:val="20"/>
        </w:rPr>
      </w:pPr>
    </w:p>
    <w:p w:rsidR="008918FA" w:rsidRDefault="008918FA" w:rsidP="008918FA">
      <w:pPr>
        <w:numPr>
          <w:ilvl w:val="1"/>
          <w:numId w:val="74"/>
        </w:numPr>
        <w:tabs>
          <w:tab w:val="left" w:pos="1094"/>
        </w:tabs>
        <w:ind w:left="1093" w:right="110" w:hanging="566"/>
        <w:jc w:val="both"/>
        <w:rPr>
          <w:rFonts w:ascii="Arial" w:eastAsia="Arial" w:hAnsi="Arial" w:cs="Arial"/>
        </w:rPr>
      </w:pPr>
      <w:r>
        <w:rPr>
          <w:rFonts w:ascii="Arial"/>
          <w:b/>
          <w:spacing w:val="-1"/>
        </w:rPr>
        <w:t>Call</w:t>
      </w:r>
      <w:r>
        <w:rPr>
          <w:rFonts w:ascii="Arial"/>
          <w:b/>
        </w:rPr>
        <w:t xml:space="preserve"> </w:t>
      </w:r>
      <w:r>
        <w:rPr>
          <w:rFonts w:ascii="Arial"/>
          <w:b/>
          <w:spacing w:val="-1"/>
        </w:rPr>
        <w:t>Off</w:t>
      </w:r>
      <w:r>
        <w:rPr>
          <w:rFonts w:ascii="Arial"/>
          <w:b/>
          <w:spacing w:val="2"/>
        </w:rPr>
        <w:t xml:space="preserve"> </w:t>
      </w:r>
      <w:r>
        <w:rPr>
          <w:rFonts w:ascii="Arial"/>
          <w:b/>
          <w:spacing w:val="-2"/>
        </w:rPr>
        <w:t>Contract</w:t>
      </w:r>
      <w:r>
        <w:rPr>
          <w:rFonts w:ascii="Arial"/>
          <w:b/>
          <w:spacing w:val="2"/>
        </w:rPr>
        <w:t xml:space="preserve"> </w:t>
      </w:r>
      <w:r>
        <w:rPr>
          <w:rFonts w:ascii="Arial"/>
          <w:b/>
          <w:spacing w:val="-2"/>
        </w:rPr>
        <w:t>Charges</w:t>
      </w:r>
      <w:r>
        <w:rPr>
          <w:rFonts w:ascii="Arial"/>
          <w:b/>
        </w:rPr>
        <w:t xml:space="preserve"> </w:t>
      </w:r>
      <w:r>
        <w:rPr>
          <w:rFonts w:ascii="Arial"/>
          <w:b/>
          <w:spacing w:val="-2"/>
        </w:rPr>
        <w:t>payable</w:t>
      </w:r>
      <w:r>
        <w:rPr>
          <w:rFonts w:ascii="Arial"/>
          <w:b/>
        </w:rPr>
        <w:t xml:space="preserve"> </w:t>
      </w:r>
      <w:r>
        <w:rPr>
          <w:rFonts w:ascii="Arial"/>
          <w:b/>
          <w:spacing w:val="1"/>
        </w:rPr>
        <w:t>by</w:t>
      </w:r>
      <w:r>
        <w:rPr>
          <w:rFonts w:ascii="Arial"/>
          <w:b/>
          <w:spacing w:val="-4"/>
        </w:rPr>
        <w:t xml:space="preserve"> </w:t>
      </w:r>
      <w:r>
        <w:rPr>
          <w:rFonts w:ascii="Arial"/>
          <w:b/>
          <w:spacing w:val="-1"/>
        </w:rPr>
        <w:t>the</w:t>
      </w:r>
      <w:r>
        <w:rPr>
          <w:rFonts w:ascii="Arial"/>
          <w:b/>
        </w:rPr>
        <w:t xml:space="preserve"> </w:t>
      </w:r>
      <w:r>
        <w:rPr>
          <w:rFonts w:ascii="Arial"/>
          <w:b/>
          <w:spacing w:val="-1"/>
        </w:rPr>
        <w:t>Customer (including</w:t>
      </w:r>
      <w:r>
        <w:rPr>
          <w:rFonts w:ascii="Arial"/>
          <w:b/>
          <w:spacing w:val="-2"/>
        </w:rPr>
        <w:t xml:space="preserve"> </w:t>
      </w:r>
      <w:r>
        <w:rPr>
          <w:rFonts w:ascii="Arial"/>
          <w:b/>
          <w:spacing w:val="-1"/>
        </w:rPr>
        <w:t>any</w:t>
      </w:r>
      <w:r>
        <w:rPr>
          <w:rFonts w:ascii="Arial"/>
          <w:b/>
          <w:spacing w:val="-4"/>
        </w:rPr>
        <w:t xml:space="preserve"> </w:t>
      </w:r>
      <w:r>
        <w:rPr>
          <w:rFonts w:ascii="Arial"/>
          <w:b/>
          <w:spacing w:val="-1"/>
        </w:rPr>
        <w:t>applicable</w:t>
      </w:r>
      <w:r>
        <w:rPr>
          <w:rFonts w:ascii="Arial"/>
          <w:b/>
          <w:spacing w:val="71"/>
        </w:rPr>
        <w:t xml:space="preserve"> </w:t>
      </w:r>
      <w:r>
        <w:rPr>
          <w:rFonts w:ascii="Arial"/>
          <w:b/>
          <w:spacing w:val="-1"/>
        </w:rPr>
        <w:t>Milestone</w:t>
      </w:r>
      <w:r>
        <w:rPr>
          <w:rFonts w:ascii="Arial"/>
          <w:b/>
          <w:spacing w:val="51"/>
        </w:rPr>
        <w:t xml:space="preserve"> </w:t>
      </w:r>
      <w:r>
        <w:rPr>
          <w:rFonts w:ascii="Arial"/>
          <w:b/>
          <w:spacing w:val="-2"/>
        </w:rPr>
        <w:t>Payments</w:t>
      </w:r>
      <w:r>
        <w:rPr>
          <w:rFonts w:ascii="Arial"/>
          <w:b/>
          <w:spacing w:val="51"/>
        </w:rPr>
        <w:t xml:space="preserve"> </w:t>
      </w:r>
      <w:r>
        <w:rPr>
          <w:rFonts w:ascii="Arial"/>
          <w:b/>
          <w:spacing w:val="-1"/>
        </w:rPr>
        <w:t>and/or</w:t>
      </w:r>
      <w:r>
        <w:rPr>
          <w:rFonts w:ascii="Arial"/>
          <w:b/>
          <w:spacing w:val="51"/>
        </w:rPr>
        <w:t xml:space="preserve"> </w:t>
      </w:r>
      <w:r>
        <w:rPr>
          <w:rFonts w:ascii="Arial"/>
          <w:b/>
          <w:spacing w:val="-1"/>
        </w:rPr>
        <w:t>discount(s),</w:t>
      </w:r>
      <w:r>
        <w:rPr>
          <w:rFonts w:ascii="Arial"/>
          <w:b/>
          <w:spacing w:val="52"/>
        </w:rPr>
        <w:t xml:space="preserve"> </w:t>
      </w:r>
      <w:r>
        <w:rPr>
          <w:rFonts w:ascii="Arial"/>
          <w:b/>
          <w:spacing w:val="-1"/>
        </w:rPr>
        <w:t>but</w:t>
      </w:r>
      <w:r>
        <w:rPr>
          <w:rFonts w:ascii="Arial"/>
          <w:b/>
          <w:spacing w:val="49"/>
        </w:rPr>
        <w:t xml:space="preserve"> </w:t>
      </w:r>
      <w:r>
        <w:rPr>
          <w:rFonts w:ascii="Arial"/>
          <w:b/>
          <w:spacing w:val="-1"/>
        </w:rPr>
        <w:t>excluding</w:t>
      </w:r>
      <w:r>
        <w:rPr>
          <w:rFonts w:ascii="Arial"/>
          <w:b/>
          <w:spacing w:val="51"/>
        </w:rPr>
        <w:t xml:space="preserve"> </w:t>
      </w:r>
      <w:r>
        <w:rPr>
          <w:rFonts w:ascii="Arial"/>
          <w:b/>
          <w:spacing w:val="-2"/>
        </w:rPr>
        <w:t>VAT)</w:t>
      </w:r>
      <w:r>
        <w:rPr>
          <w:rFonts w:ascii="Arial"/>
          <w:b/>
          <w:spacing w:val="53"/>
        </w:rPr>
        <w:t xml:space="preserve"> </w:t>
      </w:r>
      <w:r>
        <w:rPr>
          <w:rFonts w:ascii="Arial"/>
          <w:b/>
          <w:spacing w:val="-1"/>
        </w:rPr>
        <w:t>and</w:t>
      </w:r>
      <w:r>
        <w:rPr>
          <w:rFonts w:ascii="Arial"/>
          <w:b/>
          <w:spacing w:val="54"/>
        </w:rPr>
        <w:t xml:space="preserve"> </w:t>
      </w:r>
      <w:r>
        <w:rPr>
          <w:rFonts w:ascii="Arial"/>
          <w:b/>
          <w:spacing w:val="-2"/>
        </w:rPr>
        <w:t>payment</w:t>
      </w:r>
      <w:r>
        <w:rPr>
          <w:rFonts w:ascii="Arial"/>
          <w:b/>
          <w:spacing w:val="56"/>
        </w:rPr>
        <w:t xml:space="preserve"> </w:t>
      </w:r>
      <w:r>
        <w:rPr>
          <w:rFonts w:ascii="Arial"/>
          <w:b/>
          <w:spacing w:val="-1"/>
        </w:rPr>
        <w:t>terms/profile</w:t>
      </w:r>
      <w:r>
        <w:rPr>
          <w:rFonts w:ascii="Arial"/>
          <w:b/>
          <w:spacing w:val="41"/>
        </w:rPr>
        <w:t xml:space="preserve"> </w:t>
      </w:r>
      <w:r>
        <w:rPr>
          <w:rFonts w:ascii="Arial"/>
          <w:b/>
          <w:spacing w:val="-1"/>
        </w:rPr>
        <w:t>including</w:t>
      </w:r>
      <w:r>
        <w:rPr>
          <w:rFonts w:ascii="Arial"/>
          <w:b/>
          <w:spacing w:val="41"/>
        </w:rPr>
        <w:t xml:space="preserve"> </w:t>
      </w:r>
      <w:r>
        <w:rPr>
          <w:rFonts w:ascii="Arial"/>
          <w:b/>
          <w:spacing w:val="-1"/>
        </w:rPr>
        <w:t>method</w:t>
      </w:r>
      <w:r>
        <w:rPr>
          <w:rFonts w:ascii="Arial"/>
          <w:b/>
          <w:spacing w:val="43"/>
        </w:rPr>
        <w:t xml:space="preserve"> </w:t>
      </w:r>
      <w:r>
        <w:rPr>
          <w:rFonts w:ascii="Arial"/>
          <w:b/>
          <w:spacing w:val="-2"/>
        </w:rPr>
        <w:t>of</w:t>
      </w:r>
      <w:r>
        <w:rPr>
          <w:rFonts w:ascii="Arial"/>
          <w:b/>
          <w:spacing w:val="45"/>
        </w:rPr>
        <w:t xml:space="preserve"> </w:t>
      </w:r>
      <w:r>
        <w:rPr>
          <w:rFonts w:ascii="Arial"/>
          <w:b/>
          <w:spacing w:val="-2"/>
        </w:rPr>
        <w:t>payment</w:t>
      </w:r>
      <w:r>
        <w:rPr>
          <w:rFonts w:ascii="Arial"/>
          <w:b/>
          <w:spacing w:val="45"/>
        </w:rPr>
        <w:t xml:space="preserve"> </w:t>
      </w:r>
      <w:r>
        <w:rPr>
          <w:rFonts w:ascii="Arial"/>
          <w:b/>
          <w:spacing w:val="-1"/>
        </w:rPr>
        <w:t>(e.g.</w:t>
      </w:r>
      <w:r>
        <w:rPr>
          <w:rFonts w:ascii="Arial"/>
          <w:b/>
          <w:spacing w:val="42"/>
        </w:rPr>
        <w:t xml:space="preserve"> </w:t>
      </w:r>
      <w:r>
        <w:rPr>
          <w:rFonts w:ascii="Arial"/>
          <w:b/>
          <w:spacing w:val="-1"/>
        </w:rPr>
        <w:t>Government</w:t>
      </w:r>
      <w:r>
        <w:rPr>
          <w:rFonts w:ascii="Arial"/>
          <w:b/>
          <w:spacing w:val="43"/>
        </w:rPr>
        <w:t xml:space="preserve"> </w:t>
      </w:r>
      <w:r>
        <w:rPr>
          <w:rFonts w:ascii="Arial"/>
          <w:b/>
          <w:spacing w:val="-1"/>
        </w:rPr>
        <w:t>Procurement</w:t>
      </w:r>
      <w:r>
        <w:rPr>
          <w:rFonts w:ascii="Arial"/>
          <w:b/>
          <w:spacing w:val="48"/>
        </w:rPr>
        <w:t xml:space="preserve"> </w:t>
      </w:r>
      <w:r>
        <w:rPr>
          <w:rFonts w:ascii="Arial"/>
          <w:b/>
          <w:spacing w:val="-1"/>
        </w:rPr>
        <w:t>Card</w:t>
      </w:r>
      <w:r>
        <w:rPr>
          <w:rFonts w:ascii="Arial"/>
          <w:b/>
        </w:rPr>
        <w:t xml:space="preserve"> </w:t>
      </w:r>
      <w:r>
        <w:rPr>
          <w:rFonts w:ascii="Arial"/>
          <w:b/>
          <w:spacing w:val="-1"/>
        </w:rPr>
        <w:t>(GPC)</w:t>
      </w:r>
      <w:r>
        <w:rPr>
          <w:rFonts w:ascii="Arial"/>
          <w:b/>
          <w:spacing w:val="2"/>
        </w:rPr>
        <w:t xml:space="preserve"> </w:t>
      </w:r>
      <w:r>
        <w:rPr>
          <w:rFonts w:ascii="Arial"/>
          <w:b/>
          <w:spacing w:val="-2"/>
        </w:rPr>
        <w:t>or</w:t>
      </w:r>
      <w:r>
        <w:rPr>
          <w:rFonts w:ascii="Arial"/>
          <w:b/>
          <w:spacing w:val="1"/>
        </w:rPr>
        <w:t xml:space="preserve"> </w:t>
      </w:r>
      <w:r>
        <w:rPr>
          <w:rFonts w:ascii="Arial"/>
          <w:b/>
          <w:spacing w:val="-3"/>
        </w:rPr>
        <w:t>BACS)</w:t>
      </w:r>
    </w:p>
    <w:p w:rsidR="008918FA" w:rsidRDefault="008918FA" w:rsidP="008918FA">
      <w:pPr>
        <w:spacing w:before="11"/>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15FAC501" wp14:editId="506479C0">
                <wp:extent cx="4787265" cy="160020"/>
                <wp:effectExtent l="1905" t="0" r="1905" b="0"/>
                <wp:docPr id="7326" name="Text Box 7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265"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8" w:lineRule="exact"/>
                              <w:ind w:right="-1"/>
                              <w:rPr>
                                <w:rFonts w:ascii="Arial" w:eastAsia="Arial" w:hAnsi="Arial" w:cs="Arial"/>
                                <w:sz w:val="14"/>
                                <w:szCs w:val="14"/>
                              </w:rPr>
                            </w:pPr>
                            <w:r>
                              <w:rPr>
                                <w:rFonts w:ascii="Arial"/>
                              </w:rPr>
                              <w:t>[In</w:t>
                            </w:r>
                            <w:r>
                              <w:rPr>
                                <w:rFonts w:ascii="Arial"/>
                                <w:spacing w:val="-3"/>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2"/>
                              </w:rPr>
                              <w:t>Schedule</w:t>
                            </w:r>
                            <w:r>
                              <w:rPr>
                                <w:rFonts w:ascii="Arial"/>
                              </w:rPr>
                              <w:t xml:space="preserve"> 3</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Contract Charges,</w:t>
                            </w:r>
                            <w:r>
                              <w:rPr>
                                <w:rFonts w:ascii="Arial"/>
                                <w:spacing w:val="2"/>
                              </w:rPr>
                              <w:t xml:space="preserve"> </w:t>
                            </w:r>
                            <w:r>
                              <w:rPr>
                                <w:rFonts w:ascii="Arial"/>
                                <w:spacing w:val="-1"/>
                              </w:rPr>
                              <w:t>Payment</w:t>
                            </w:r>
                            <w:r>
                              <w:rPr>
                                <w:rFonts w:ascii="Arial"/>
                              </w:rPr>
                              <w:t xml:space="preserve"> </w:t>
                            </w:r>
                            <w:r>
                              <w:rPr>
                                <w:rFonts w:ascii="Arial"/>
                                <w:spacing w:val="-1"/>
                              </w:rPr>
                              <w:t>and</w:t>
                            </w:r>
                            <w:r>
                              <w:rPr>
                                <w:rFonts w:ascii="Arial"/>
                                <w:spacing w:val="-2"/>
                              </w:rPr>
                              <w:t xml:space="preserve"> </w:t>
                            </w:r>
                            <w:r>
                              <w:rPr>
                                <w:rFonts w:ascii="Arial"/>
                                <w:spacing w:val="-1"/>
                              </w:rPr>
                              <w:t>Invoicing)]</w:t>
                            </w:r>
                            <w:r>
                              <w:rPr>
                                <w:rFonts w:ascii="Arial"/>
                                <w:spacing w:val="-15"/>
                              </w:rPr>
                              <w:t xml:space="preserve"> </w:t>
                            </w:r>
                            <w:hyperlink w:anchor="_bookmark24" w:history="1">
                              <w:r>
                                <w:rPr>
                                  <w:rFonts w:ascii="Arial"/>
                                  <w:b/>
                                  <w:spacing w:val="-1"/>
                                  <w:position w:val="10"/>
                                  <w:sz w:val="14"/>
                                </w:rPr>
                                <w:t>25</w:t>
                              </w:r>
                            </w:hyperlink>
                          </w:p>
                        </w:txbxContent>
                      </wps:txbx>
                      <wps:bodyPr rot="0" vert="horz" wrap="square" lIns="0" tIns="0" rIns="0" bIns="0" anchor="t" anchorCtr="0" upright="1">
                        <a:noAutofit/>
                      </wps:bodyPr>
                    </wps:wsp>
                  </a:graphicData>
                </a:graphic>
              </wp:inline>
            </w:drawing>
          </mc:Choice>
          <mc:Fallback>
            <w:pict>
              <v:shape w14:anchorId="15FAC501" id="Text Box 7318" o:spid="_x0000_s1034" type="#_x0000_t202" style="width:376.9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" fillcolor="yellow" stroked="f">
                <v:textbox inset="0,0,0,0">
                  <w:txbxContent>
                    <w:p w:rsidR="005D2B81" w:rsidRDefault="005D2B81" w:rsidP="008918FA">
                      <w:pPr>
                        <w:spacing w:line="248" w:lineRule="exact"/>
                        <w:ind w:right="-1"/>
                        <w:rPr>
                          <w:rFonts w:ascii="Arial" w:eastAsia="Arial" w:hAnsi="Arial" w:cs="Arial"/>
                          <w:sz w:val="14"/>
                          <w:szCs w:val="14"/>
                        </w:rPr>
                      </w:pPr>
                      <w:r>
                        <w:rPr>
                          <w:rFonts w:ascii="Arial"/>
                        </w:rPr>
                        <w:t>[In</w:t>
                      </w:r>
                      <w:r>
                        <w:rPr>
                          <w:rFonts w:ascii="Arial"/>
                          <w:spacing w:val="-3"/>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2"/>
                        </w:rPr>
                        <w:t>Schedule</w:t>
                      </w:r>
                      <w:r>
                        <w:rPr>
                          <w:rFonts w:ascii="Arial"/>
                        </w:rPr>
                        <w:t xml:space="preserve"> 3</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Contract Charges,</w:t>
                      </w:r>
                      <w:r>
                        <w:rPr>
                          <w:rFonts w:ascii="Arial"/>
                          <w:spacing w:val="2"/>
                        </w:rPr>
                        <w:t xml:space="preserve"> </w:t>
                      </w:r>
                      <w:r>
                        <w:rPr>
                          <w:rFonts w:ascii="Arial"/>
                          <w:spacing w:val="-1"/>
                        </w:rPr>
                        <w:t>Payment</w:t>
                      </w:r>
                      <w:r>
                        <w:rPr>
                          <w:rFonts w:ascii="Arial"/>
                        </w:rPr>
                        <w:t xml:space="preserve"> </w:t>
                      </w:r>
                      <w:r>
                        <w:rPr>
                          <w:rFonts w:ascii="Arial"/>
                          <w:spacing w:val="-1"/>
                        </w:rPr>
                        <w:t>and</w:t>
                      </w:r>
                      <w:r>
                        <w:rPr>
                          <w:rFonts w:ascii="Arial"/>
                          <w:spacing w:val="-2"/>
                        </w:rPr>
                        <w:t xml:space="preserve"> </w:t>
                      </w:r>
                      <w:r>
                        <w:rPr>
                          <w:rFonts w:ascii="Arial"/>
                          <w:spacing w:val="-1"/>
                        </w:rPr>
                        <w:t>Invoicing)]</w:t>
                      </w:r>
                      <w:r>
                        <w:rPr>
                          <w:rFonts w:ascii="Arial"/>
                          <w:spacing w:val="-15"/>
                        </w:rPr>
                        <w:t xml:space="preserve"> </w:t>
                      </w:r>
                      <w:hyperlink w:anchor="_bookmark24" w:history="1">
                        <w:r>
                          <w:rPr>
                            <w:rFonts w:ascii="Arial"/>
                            <w:b/>
                            <w:spacing w:val="-1"/>
                            <w:position w:val="10"/>
                            <w:sz w:val="14"/>
                          </w:rPr>
                          <w:t>25</w:t>
                        </w:r>
                      </w:hyperlink>
                    </w:p>
                  </w:txbxContent>
                </v:textbox>
                <w10:anchorlock/>
              </v:shape>
            </w:pict>
          </mc:Fallback>
        </mc:AlternateContent>
      </w: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spacing w:before="9"/>
        <w:rPr>
          <w:rFonts w:ascii="Arial" w:eastAsia="Arial" w:hAnsi="Arial" w:cs="Arial"/>
          <w:b/>
          <w:bCs/>
          <w:sz w:val="27"/>
          <w:szCs w:val="27"/>
        </w:rPr>
      </w:pPr>
    </w:p>
    <w:p w:rsidR="008918FA" w:rsidRPr="00CE5AA1" w:rsidRDefault="008918FA" w:rsidP="008918FA">
      <w:pPr>
        <w:spacing w:before="86"/>
        <w:ind w:left="241" w:right="111"/>
        <w:jc w:val="both"/>
        <w:rPr>
          <w:rFonts w:ascii="Arial" w:eastAsia="Arial" w:hAnsi="Arial" w:cs="Arial"/>
          <w:sz w:val="18"/>
          <w:szCs w:val="18"/>
          <w:highlight w:val="green"/>
        </w:rPr>
      </w:pPr>
      <w:r w:rsidRPr="00CE5AA1">
        <w:rPr>
          <w:rFonts w:ascii="Arial"/>
          <w:position w:val="9"/>
          <w:sz w:val="12"/>
          <w:highlight w:val="green"/>
        </w:rPr>
        <w:t>20</w:t>
      </w:r>
      <w:r w:rsidRPr="00CE5AA1">
        <w:rPr>
          <w:rFonts w:ascii="Arial"/>
          <w:spacing w:val="26"/>
          <w:position w:val="9"/>
          <w:sz w:val="12"/>
          <w:highlight w:val="green"/>
        </w:rPr>
        <w:t xml:space="preserve"> </w:t>
      </w:r>
      <w:bookmarkStart w:id="11" w:name="_bookmark19"/>
      <w:bookmarkEnd w:id="11"/>
      <w:r w:rsidRPr="00CE5AA1">
        <w:rPr>
          <w:rFonts w:ascii="Arial"/>
          <w:spacing w:val="-1"/>
          <w:sz w:val="18"/>
          <w:highlight w:val="green"/>
        </w:rPr>
        <w:t>[Guidance</w:t>
      </w:r>
      <w:r w:rsidRPr="00CE5AA1">
        <w:rPr>
          <w:rFonts w:ascii="Arial"/>
          <w:spacing w:val="10"/>
          <w:sz w:val="18"/>
          <w:highlight w:val="green"/>
        </w:rPr>
        <w:t xml:space="preserve"> </w:t>
      </w:r>
      <w:r w:rsidRPr="00CE5AA1">
        <w:rPr>
          <w:rFonts w:ascii="Arial"/>
          <w:spacing w:val="-1"/>
          <w:sz w:val="18"/>
          <w:highlight w:val="green"/>
        </w:rPr>
        <w:t>Note:</w:t>
      </w:r>
      <w:r w:rsidRPr="00CE5AA1">
        <w:rPr>
          <w:rFonts w:ascii="Arial"/>
          <w:spacing w:val="10"/>
          <w:sz w:val="18"/>
          <w:highlight w:val="green"/>
        </w:rPr>
        <w:t xml:space="preserve"> </w:t>
      </w:r>
      <w:r w:rsidRPr="00CE5AA1">
        <w:rPr>
          <w:rFonts w:ascii="Arial"/>
          <w:spacing w:val="-1"/>
          <w:sz w:val="18"/>
          <w:highlight w:val="green"/>
        </w:rPr>
        <w:t>See</w:t>
      </w:r>
      <w:r w:rsidRPr="00CE5AA1">
        <w:rPr>
          <w:rFonts w:ascii="Arial"/>
          <w:spacing w:val="10"/>
          <w:sz w:val="18"/>
          <w:highlight w:val="green"/>
        </w:rPr>
        <w:t xml:space="preserve"> </w:t>
      </w:r>
      <w:r w:rsidRPr="00CE5AA1">
        <w:rPr>
          <w:rFonts w:ascii="Arial"/>
          <w:spacing w:val="-1"/>
          <w:sz w:val="18"/>
          <w:highlight w:val="green"/>
        </w:rPr>
        <w:t>Clause</w:t>
      </w:r>
      <w:r w:rsidRPr="00CE5AA1">
        <w:rPr>
          <w:rFonts w:ascii="Arial"/>
          <w:spacing w:val="8"/>
          <w:sz w:val="18"/>
          <w:highlight w:val="green"/>
        </w:rPr>
        <w:t xml:space="preserve"> </w:t>
      </w:r>
      <w:hyperlink w:anchor="_bookmark221" w:history="1">
        <w:r w:rsidRPr="00CE5AA1">
          <w:rPr>
            <w:rFonts w:ascii="Arial"/>
            <w:spacing w:val="-1"/>
            <w:sz w:val="18"/>
            <w:highlight w:val="green"/>
          </w:rPr>
          <w:t>38.2.1(a)</w:t>
        </w:r>
      </w:hyperlink>
      <w:r w:rsidRPr="00CE5AA1">
        <w:rPr>
          <w:rFonts w:ascii="Arial"/>
          <w:spacing w:val="7"/>
          <w:sz w:val="18"/>
          <w:highlight w:val="green"/>
        </w:rPr>
        <w:t xml:space="preserve"> </w:t>
      </w:r>
      <w:r w:rsidRPr="00CE5AA1">
        <w:rPr>
          <w:rFonts w:ascii="Arial"/>
          <w:sz w:val="18"/>
          <w:highlight w:val="green"/>
        </w:rPr>
        <w:t>of</w:t>
      </w:r>
      <w:r w:rsidRPr="00CE5AA1">
        <w:rPr>
          <w:rFonts w:ascii="Arial"/>
          <w:spacing w:val="10"/>
          <w:sz w:val="18"/>
          <w:highlight w:val="green"/>
        </w:rPr>
        <w:t xml:space="preserve"> </w:t>
      </w:r>
      <w:r w:rsidRPr="00CE5AA1">
        <w:rPr>
          <w:rFonts w:ascii="Arial"/>
          <w:spacing w:val="-1"/>
          <w:sz w:val="18"/>
          <w:highlight w:val="green"/>
        </w:rPr>
        <w:t>the</w:t>
      </w:r>
      <w:r w:rsidRPr="00CE5AA1">
        <w:rPr>
          <w:rFonts w:ascii="Arial"/>
          <w:spacing w:val="10"/>
          <w:sz w:val="18"/>
          <w:highlight w:val="green"/>
        </w:rPr>
        <w:t xml:space="preserve"> </w:t>
      </w:r>
      <w:r w:rsidRPr="00CE5AA1">
        <w:rPr>
          <w:rFonts w:ascii="Arial"/>
          <w:spacing w:val="-1"/>
          <w:sz w:val="18"/>
          <w:highlight w:val="green"/>
        </w:rPr>
        <w:t>Template</w:t>
      </w:r>
      <w:r w:rsidRPr="00CE5AA1">
        <w:rPr>
          <w:rFonts w:ascii="Arial"/>
          <w:spacing w:val="10"/>
          <w:sz w:val="18"/>
          <w:highlight w:val="green"/>
        </w:rPr>
        <w:t xml:space="preserve"> </w:t>
      </w:r>
      <w:r w:rsidRPr="00CE5AA1">
        <w:rPr>
          <w:rFonts w:ascii="Arial"/>
          <w:spacing w:val="-1"/>
          <w:sz w:val="18"/>
          <w:highlight w:val="green"/>
        </w:rPr>
        <w:t>Call</w:t>
      </w:r>
      <w:r w:rsidRPr="00CE5AA1">
        <w:rPr>
          <w:rFonts w:ascii="Arial"/>
          <w:spacing w:val="8"/>
          <w:sz w:val="18"/>
          <w:highlight w:val="green"/>
        </w:rPr>
        <w:t xml:space="preserve"> </w:t>
      </w:r>
      <w:r w:rsidRPr="00CE5AA1">
        <w:rPr>
          <w:rFonts w:ascii="Arial"/>
          <w:spacing w:val="-1"/>
          <w:sz w:val="18"/>
          <w:highlight w:val="green"/>
        </w:rPr>
        <w:t>Off</w:t>
      </w:r>
      <w:r w:rsidRPr="00CE5AA1">
        <w:rPr>
          <w:rFonts w:ascii="Arial"/>
          <w:spacing w:val="10"/>
          <w:sz w:val="18"/>
          <w:highlight w:val="green"/>
        </w:rPr>
        <w:t xml:space="preserve"> </w:t>
      </w:r>
      <w:r w:rsidRPr="00CE5AA1">
        <w:rPr>
          <w:rFonts w:ascii="Arial"/>
          <w:spacing w:val="-1"/>
          <w:sz w:val="18"/>
          <w:highlight w:val="green"/>
        </w:rPr>
        <w:t>Terms</w:t>
      </w:r>
      <w:r w:rsidRPr="00CE5AA1">
        <w:rPr>
          <w:rFonts w:ascii="Arial"/>
          <w:spacing w:val="8"/>
          <w:sz w:val="18"/>
          <w:highlight w:val="green"/>
        </w:rPr>
        <w:t xml:space="preserve"> </w:t>
      </w:r>
      <w:r w:rsidRPr="00CE5AA1">
        <w:rPr>
          <w:rFonts w:ascii="Arial"/>
          <w:spacing w:val="-1"/>
          <w:sz w:val="18"/>
          <w:highlight w:val="green"/>
        </w:rPr>
        <w:t>and</w:t>
      </w:r>
      <w:r w:rsidRPr="00CE5AA1">
        <w:rPr>
          <w:rFonts w:ascii="Arial"/>
          <w:spacing w:val="8"/>
          <w:sz w:val="18"/>
          <w:highlight w:val="green"/>
        </w:rPr>
        <w:t xml:space="preserve"> </w:t>
      </w:r>
      <w:r w:rsidRPr="00CE5AA1">
        <w:rPr>
          <w:rFonts w:ascii="Arial"/>
          <w:spacing w:val="-1"/>
          <w:sz w:val="18"/>
          <w:highlight w:val="green"/>
        </w:rPr>
        <w:t>settle</w:t>
      </w:r>
      <w:r w:rsidRPr="00CE5AA1">
        <w:rPr>
          <w:rFonts w:ascii="Arial"/>
          <w:spacing w:val="8"/>
          <w:sz w:val="18"/>
          <w:highlight w:val="green"/>
        </w:rPr>
        <w:t xml:space="preserve"> </w:t>
      </w:r>
      <w:r w:rsidRPr="00CE5AA1">
        <w:rPr>
          <w:rFonts w:ascii="Arial"/>
          <w:sz w:val="18"/>
          <w:highlight w:val="green"/>
        </w:rPr>
        <w:t>the</w:t>
      </w:r>
      <w:r w:rsidRPr="00CE5AA1">
        <w:rPr>
          <w:rFonts w:ascii="Arial"/>
          <w:spacing w:val="8"/>
          <w:sz w:val="18"/>
          <w:highlight w:val="green"/>
        </w:rPr>
        <w:t xml:space="preserve"> </w:t>
      </w:r>
      <w:r w:rsidRPr="00CE5AA1">
        <w:rPr>
          <w:rFonts w:ascii="Arial"/>
          <w:spacing w:val="-1"/>
          <w:sz w:val="18"/>
          <w:highlight w:val="green"/>
        </w:rPr>
        <w:t>period</w:t>
      </w:r>
      <w:r w:rsidRPr="00CE5AA1">
        <w:rPr>
          <w:rFonts w:ascii="Arial"/>
          <w:spacing w:val="10"/>
          <w:sz w:val="18"/>
          <w:highlight w:val="green"/>
        </w:rPr>
        <w:t xml:space="preserve"> </w:t>
      </w:r>
      <w:r w:rsidRPr="00CE5AA1">
        <w:rPr>
          <w:rFonts w:ascii="Arial"/>
          <w:spacing w:val="-1"/>
          <w:sz w:val="18"/>
          <w:highlight w:val="green"/>
        </w:rPr>
        <w:t>within</w:t>
      </w:r>
      <w:r w:rsidRPr="00CE5AA1">
        <w:rPr>
          <w:rFonts w:ascii="Arial"/>
          <w:spacing w:val="8"/>
          <w:sz w:val="18"/>
          <w:highlight w:val="green"/>
        </w:rPr>
        <w:t xml:space="preserve"> </w:t>
      </w:r>
      <w:r w:rsidRPr="00CE5AA1">
        <w:rPr>
          <w:rFonts w:ascii="Arial"/>
          <w:spacing w:val="-1"/>
          <w:sz w:val="18"/>
          <w:highlight w:val="green"/>
        </w:rPr>
        <w:t>which</w:t>
      </w:r>
      <w:r w:rsidRPr="00CE5AA1">
        <w:rPr>
          <w:rFonts w:ascii="Arial"/>
          <w:spacing w:val="8"/>
          <w:sz w:val="18"/>
          <w:highlight w:val="green"/>
        </w:rPr>
        <w:t xml:space="preserve"> </w:t>
      </w:r>
      <w:r w:rsidRPr="00CE5AA1">
        <w:rPr>
          <w:rFonts w:ascii="Arial"/>
          <w:spacing w:val="-1"/>
          <w:sz w:val="18"/>
          <w:highlight w:val="green"/>
        </w:rPr>
        <w:t>the</w:t>
      </w:r>
      <w:r w:rsidRPr="00CE5AA1">
        <w:rPr>
          <w:rFonts w:ascii="Arial"/>
          <w:spacing w:val="83"/>
          <w:sz w:val="18"/>
          <w:highlight w:val="green"/>
        </w:rPr>
        <w:t xml:space="preserve"> </w:t>
      </w:r>
      <w:r w:rsidRPr="00CE5AA1">
        <w:rPr>
          <w:rFonts w:ascii="Arial"/>
          <w:spacing w:val="-1"/>
          <w:sz w:val="18"/>
          <w:highlight w:val="green"/>
        </w:rPr>
        <w:t>Supplier</w:t>
      </w:r>
      <w:r w:rsidRPr="00CE5AA1">
        <w:rPr>
          <w:rFonts w:ascii="Arial"/>
          <w:sz w:val="18"/>
          <w:highlight w:val="green"/>
        </w:rPr>
        <w:t xml:space="preserve"> </w:t>
      </w:r>
      <w:r w:rsidRPr="00CE5AA1">
        <w:rPr>
          <w:rFonts w:ascii="Arial"/>
          <w:spacing w:val="-1"/>
          <w:sz w:val="18"/>
          <w:highlight w:val="green"/>
        </w:rPr>
        <w:t>should</w:t>
      </w:r>
      <w:r w:rsidRPr="00CE5AA1">
        <w:rPr>
          <w:rFonts w:ascii="Arial"/>
          <w:spacing w:val="1"/>
          <w:sz w:val="18"/>
          <w:highlight w:val="green"/>
        </w:rPr>
        <w:t xml:space="preserve"> </w:t>
      </w:r>
      <w:r w:rsidRPr="00CE5AA1">
        <w:rPr>
          <w:rFonts w:ascii="Arial"/>
          <w:spacing w:val="-1"/>
          <w:sz w:val="18"/>
          <w:highlight w:val="green"/>
        </w:rPr>
        <w:t>provide</w:t>
      </w:r>
      <w:r w:rsidRPr="00CE5AA1">
        <w:rPr>
          <w:rFonts w:ascii="Arial"/>
          <w:spacing w:val="-2"/>
          <w:sz w:val="18"/>
          <w:highlight w:val="green"/>
        </w:rPr>
        <w:t xml:space="preserve"> </w:t>
      </w:r>
      <w:r w:rsidRPr="00CE5AA1">
        <w:rPr>
          <w:rFonts w:ascii="Arial"/>
          <w:sz w:val="18"/>
          <w:highlight w:val="green"/>
        </w:rPr>
        <w:t>a</w:t>
      </w:r>
      <w:r w:rsidRPr="00CE5AA1">
        <w:rPr>
          <w:rFonts w:ascii="Arial"/>
          <w:spacing w:val="1"/>
          <w:sz w:val="18"/>
          <w:highlight w:val="green"/>
        </w:rPr>
        <w:t xml:space="preserve"> </w:t>
      </w:r>
      <w:r w:rsidRPr="00CE5AA1">
        <w:rPr>
          <w:rFonts w:ascii="Arial"/>
          <w:spacing w:val="-1"/>
          <w:sz w:val="18"/>
          <w:highlight w:val="green"/>
        </w:rPr>
        <w:t>Rectification</w:t>
      </w:r>
      <w:r w:rsidRPr="00CE5AA1">
        <w:rPr>
          <w:rFonts w:ascii="Arial"/>
          <w:spacing w:val="1"/>
          <w:sz w:val="18"/>
          <w:highlight w:val="green"/>
        </w:rPr>
        <w:t xml:space="preserve"> </w:t>
      </w:r>
      <w:r w:rsidRPr="00CE5AA1">
        <w:rPr>
          <w:rFonts w:ascii="Arial"/>
          <w:spacing w:val="-1"/>
          <w:sz w:val="18"/>
          <w:highlight w:val="green"/>
        </w:rPr>
        <w:t>Plan</w:t>
      </w:r>
      <w:r w:rsidRPr="00CE5AA1">
        <w:rPr>
          <w:rFonts w:ascii="Arial"/>
          <w:spacing w:val="1"/>
          <w:sz w:val="18"/>
          <w:highlight w:val="green"/>
        </w:rPr>
        <w:t xml:space="preserve"> </w:t>
      </w:r>
      <w:r w:rsidRPr="00CE5AA1">
        <w:rPr>
          <w:rFonts w:ascii="Arial"/>
          <w:spacing w:val="-1"/>
          <w:sz w:val="18"/>
          <w:highlight w:val="green"/>
        </w:rPr>
        <w:t>when</w:t>
      </w:r>
      <w:r w:rsidRPr="00CE5AA1">
        <w:rPr>
          <w:rFonts w:ascii="Arial"/>
          <w:spacing w:val="1"/>
          <w:sz w:val="18"/>
          <w:highlight w:val="green"/>
        </w:rPr>
        <w:t xml:space="preserve"> </w:t>
      </w:r>
      <w:r w:rsidRPr="00CE5AA1">
        <w:rPr>
          <w:rFonts w:ascii="Arial"/>
          <w:sz w:val="18"/>
          <w:highlight w:val="green"/>
        </w:rPr>
        <w:t>the</w:t>
      </w:r>
      <w:r w:rsidRPr="00CE5AA1">
        <w:rPr>
          <w:rFonts w:ascii="Arial"/>
          <w:spacing w:val="-2"/>
          <w:sz w:val="18"/>
          <w:highlight w:val="green"/>
        </w:rPr>
        <w:t xml:space="preserve"> </w:t>
      </w:r>
      <w:r w:rsidRPr="00CE5AA1">
        <w:rPr>
          <w:rFonts w:ascii="Arial"/>
          <w:spacing w:val="-1"/>
          <w:sz w:val="18"/>
          <w:highlight w:val="green"/>
        </w:rPr>
        <w:t>Customer</w:t>
      </w:r>
      <w:r w:rsidRPr="00CE5AA1">
        <w:rPr>
          <w:rFonts w:ascii="Arial"/>
          <w:sz w:val="18"/>
          <w:highlight w:val="green"/>
        </w:rPr>
        <w:t xml:space="preserve"> </w:t>
      </w:r>
      <w:r w:rsidRPr="00CE5AA1">
        <w:rPr>
          <w:rFonts w:ascii="Arial"/>
          <w:spacing w:val="-1"/>
          <w:sz w:val="18"/>
          <w:highlight w:val="green"/>
        </w:rPr>
        <w:t>elects</w:t>
      </w:r>
      <w:r w:rsidRPr="00CE5AA1">
        <w:rPr>
          <w:rFonts w:ascii="Arial"/>
          <w:spacing w:val="1"/>
          <w:sz w:val="18"/>
          <w:highlight w:val="green"/>
        </w:rPr>
        <w:t xml:space="preserve"> </w:t>
      </w:r>
      <w:r w:rsidRPr="00CE5AA1">
        <w:rPr>
          <w:rFonts w:ascii="Arial"/>
          <w:spacing w:val="-1"/>
          <w:sz w:val="18"/>
          <w:highlight w:val="green"/>
        </w:rPr>
        <w:t>to</w:t>
      </w:r>
      <w:r w:rsidRPr="00CE5AA1">
        <w:rPr>
          <w:rFonts w:ascii="Arial"/>
          <w:spacing w:val="1"/>
          <w:sz w:val="18"/>
          <w:highlight w:val="green"/>
        </w:rPr>
        <w:t xml:space="preserve"> </w:t>
      </w:r>
      <w:r w:rsidRPr="00CE5AA1">
        <w:rPr>
          <w:rFonts w:ascii="Arial"/>
          <w:spacing w:val="-1"/>
          <w:sz w:val="18"/>
          <w:highlight w:val="green"/>
        </w:rPr>
        <w:t>follow</w:t>
      </w:r>
      <w:r w:rsidRPr="00CE5AA1">
        <w:rPr>
          <w:rFonts w:ascii="Arial"/>
          <w:spacing w:val="-3"/>
          <w:sz w:val="18"/>
          <w:highlight w:val="green"/>
        </w:rPr>
        <w:t xml:space="preserve"> </w:t>
      </w:r>
      <w:r w:rsidRPr="00CE5AA1">
        <w:rPr>
          <w:rFonts w:ascii="Arial"/>
          <w:sz w:val="18"/>
          <w:highlight w:val="green"/>
        </w:rPr>
        <w:t>the</w:t>
      </w:r>
      <w:r w:rsidRPr="00CE5AA1">
        <w:rPr>
          <w:rFonts w:ascii="Arial"/>
          <w:spacing w:val="1"/>
          <w:sz w:val="18"/>
          <w:highlight w:val="green"/>
        </w:rPr>
        <w:t xml:space="preserve"> </w:t>
      </w:r>
      <w:r w:rsidRPr="00CE5AA1">
        <w:rPr>
          <w:rFonts w:ascii="Arial"/>
          <w:spacing w:val="-1"/>
          <w:sz w:val="18"/>
          <w:highlight w:val="green"/>
        </w:rPr>
        <w:t>Rectification</w:t>
      </w:r>
      <w:r w:rsidRPr="00CE5AA1">
        <w:rPr>
          <w:rFonts w:ascii="Arial"/>
          <w:spacing w:val="1"/>
          <w:sz w:val="18"/>
          <w:highlight w:val="green"/>
        </w:rPr>
        <w:t xml:space="preserve"> </w:t>
      </w:r>
      <w:r w:rsidRPr="00CE5AA1">
        <w:rPr>
          <w:rFonts w:ascii="Arial"/>
          <w:spacing w:val="-1"/>
          <w:sz w:val="18"/>
          <w:highlight w:val="green"/>
        </w:rPr>
        <w:t>Plan</w:t>
      </w:r>
      <w:r w:rsidRPr="00CE5AA1">
        <w:rPr>
          <w:rFonts w:ascii="Arial"/>
          <w:spacing w:val="1"/>
          <w:sz w:val="18"/>
          <w:highlight w:val="green"/>
        </w:rPr>
        <w:t xml:space="preserve"> </w:t>
      </w:r>
      <w:r w:rsidRPr="00CE5AA1">
        <w:rPr>
          <w:rFonts w:ascii="Arial"/>
          <w:spacing w:val="-1"/>
          <w:sz w:val="18"/>
          <w:highlight w:val="green"/>
        </w:rPr>
        <w:t>Process]</w:t>
      </w:r>
    </w:p>
    <w:p w:rsidR="008918FA" w:rsidRPr="00CE5AA1" w:rsidRDefault="008918FA" w:rsidP="008918FA">
      <w:pPr>
        <w:spacing w:before="85"/>
        <w:ind w:left="241" w:right="110"/>
        <w:jc w:val="both"/>
        <w:rPr>
          <w:rFonts w:ascii="Arial" w:eastAsia="Arial" w:hAnsi="Arial" w:cs="Arial"/>
          <w:sz w:val="18"/>
          <w:szCs w:val="18"/>
          <w:highlight w:val="green"/>
        </w:rPr>
      </w:pPr>
      <w:r w:rsidRPr="00CE5AA1">
        <w:rPr>
          <w:rFonts w:ascii="Arial"/>
          <w:position w:val="9"/>
          <w:sz w:val="12"/>
          <w:highlight w:val="green"/>
        </w:rPr>
        <w:t>21</w:t>
      </w:r>
      <w:r w:rsidRPr="00CE5AA1">
        <w:rPr>
          <w:rFonts w:ascii="Arial"/>
          <w:spacing w:val="13"/>
          <w:position w:val="9"/>
          <w:sz w:val="12"/>
          <w:highlight w:val="green"/>
        </w:rPr>
        <w:t xml:space="preserve"> </w:t>
      </w:r>
      <w:bookmarkStart w:id="12" w:name="_bookmark20"/>
      <w:bookmarkEnd w:id="12"/>
      <w:r w:rsidRPr="00CE5AA1">
        <w:rPr>
          <w:rFonts w:ascii="Arial"/>
          <w:spacing w:val="-1"/>
          <w:sz w:val="18"/>
          <w:highlight w:val="green"/>
        </w:rPr>
        <w:t>[Guidance</w:t>
      </w:r>
      <w:r w:rsidRPr="00CE5AA1">
        <w:rPr>
          <w:rFonts w:ascii="Arial"/>
          <w:spacing w:val="13"/>
          <w:sz w:val="18"/>
          <w:highlight w:val="green"/>
        </w:rPr>
        <w:t xml:space="preserve"> </w:t>
      </w:r>
      <w:r w:rsidRPr="00CE5AA1">
        <w:rPr>
          <w:rFonts w:ascii="Arial"/>
          <w:spacing w:val="-1"/>
          <w:sz w:val="18"/>
          <w:highlight w:val="green"/>
        </w:rPr>
        <w:t>Note:</w:t>
      </w:r>
      <w:r w:rsidRPr="00CE5AA1">
        <w:rPr>
          <w:rFonts w:ascii="Arial"/>
          <w:spacing w:val="13"/>
          <w:sz w:val="18"/>
          <w:highlight w:val="green"/>
        </w:rPr>
        <w:t xml:space="preserve"> </w:t>
      </w:r>
      <w:r w:rsidRPr="00CE5AA1">
        <w:rPr>
          <w:rFonts w:ascii="Arial"/>
          <w:sz w:val="18"/>
          <w:highlight w:val="green"/>
        </w:rPr>
        <w:t>See</w:t>
      </w:r>
      <w:r w:rsidRPr="00CE5AA1">
        <w:rPr>
          <w:rFonts w:ascii="Arial"/>
          <w:spacing w:val="13"/>
          <w:sz w:val="18"/>
          <w:highlight w:val="green"/>
        </w:rPr>
        <w:t xml:space="preserve"> </w:t>
      </w:r>
      <w:r w:rsidRPr="00CE5AA1">
        <w:rPr>
          <w:rFonts w:ascii="Arial"/>
          <w:spacing w:val="-1"/>
          <w:sz w:val="18"/>
          <w:highlight w:val="green"/>
        </w:rPr>
        <w:t>Clause</w:t>
      </w:r>
      <w:r w:rsidRPr="00CE5AA1">
        <w:rPr>
          <w:rFonts w:ascii="Arial"/>
          <w:spacing w:val="12"/>
          <w:sz w:val="18"/>
          <w:highlight w:val="green"/>
        </w:rPr>
        <w:t xml:space="preserve"> </w:t>
      </w:r>
      <w:hyperlink w:anchor="_bookmark252" w:history="1">
        <w:r w:rsidRPr="00CE5AA1">
          <w:rPr>
            <w:rFonts w:ascii="Arial"/>
            <w:spacing w:val="-1"/>
            <w:sz w:val="18"/>
            <w:highlight w:val="green"/>
          </w:rPr>
          <w:t>45.5</w:t>
        </w:r>
      </w:hyperlink>
      <w:r w:rsidRPr="00CE5AA1">
        <w:rPr>
          <w:rFonts w:ascii="Arial"/>
          <w:spacing w:val="13"/>
          <w:sz w:val="18"/>
          <w:highlight w:val="green"/>
        </w:rPr>
        <w:t xml:space="preserve"> </w:t>
      </w:r>
      <w:r w:rsidRPr="00CE5AA1">
        <w:rPr>
          <w:rFonts w:ascii="Arial"/>
          <w:sz w:val="18"/>
          <w:highlight w:val="green"/>
        </w:rPr>
        <w:t>of</w:t>
      </w:r>
      <w:r w:rsidRPr="00CE5AA1">
        <w:rPr>
          <w:rFonts w:ascii="Arial"/>
          <w:spacing w:val="13"/>
          <w:sz w:val="18"/>
          <w:highlight w:val="green"/>
        </w:rPr>
        <w:t xml:space="preserve"> </w:t>
      </w:r>
      <w:r w:rsidRPr="00CE5AA1">
        <w:rPr>
          <w:rFonts w:ascii="Arial"/>
          <w:spacing w:val="-1"/>
          <w:sz w:val="18"/>
          <w:highlight w:val="green"/>
        </w:rPr>
        <w:t>the</w:t>
      </w:r>
      <w:r w:rsidRPr="00CE5AA1">
        <w:rPr>
          <w:rFonts w:ascii="Arial"/>
          <w:spacing w:val="13"/>
          <w:sz w:val="18"/>
          <w:highlight w:val="green"/>
        </w:rPr>
        <w:t xml:space="preserve"> </w:t>
      </w:r>
      <w:r w:rsidRPr="00CE5AA1">
        <w:rPr>
          <w:rFonts w:ascii="Arial"/>
          <w:spacing w:val="-1"/>
          <w:sz w:val="18"/>
          <w:highlight w:val="green"/>
        </w:rPr>
        <w:t>Template</w:t>
      </w:r>
      <w:r w:rsidRPr="00CE5AA1">
        <w:rPr>
          <w:rFonts w:ascii="Arial"/>
          <w:spacing w:val="13"/>
          <w:sz w:val="18"/>
          <w:highlight w:val="green"/>
        </w:rPr>
        <w:t xml:space="preserve"> </w:t>
      </w:r>
      <w:r w:rsidRPr="00CE5AA1">
        <w:rPr>
          <w:rFonts w:ascii="Arial"/>
          <w:spacing w:val="-1"/>
          <w:sz w:val="18"/>
          <w:highlight w:val="green"/>
        </w:rPr>
        <w:t>Call</w:t>
      </w:r>
      <w:r w:rsidRPr="00CE5AA1">
        <w:rPr>
          <w:rFonts w:ascii="Arial"/>
          <w:spacing w:val="13"/>
          <w:sz w:val="18"/>
          <w:highlight w:val="green"/>
        </w:rPr>
        <w:t xml:space="preserve"> </w:t>
      </w:r>
      <w:r w:rsidRPr="00CE5AA1">
        <w:rPr>
          <w:rFonts w:ascii="Arial"/>
          <w:spacing w:val="-1"/>
          <w:sz w:val="18"/>
          <w:highlight w:val="green"/>
        </w:rPr>
        <w:t>Off</w:t>
      </w:r>
      <w:r w:rsidRPr="00CE5AA1">
        <w:rPr>
          <w:rFonts w:ascii="Arial"/>
          <w:spacing w:val="13"/>
          <w:sz w:val="18"/>
          <w:highlight w:val="green"/>
        </w:rPr>
        <w:t xml:space="preserve"> </w:t>
      </w:r>
      <w:r w:rsidRPr="00CE5AA1">
        <w:rPr>
          <w:rFonts w:ascii="Arial"/>
          <w:spacing w:val="-1"/>
          <w:sz w:val="18"/>
          <w:highlight w:val="green"/>
        </w:rPr>
        <w:t>Terms</w:t>
      </w:r>
      <w:r w:rsidRPr="00CE5AA1">
        <w:rPr>
          <w:rFonts w:ascii="Arial"/>
          <w:spacing w:val="13"/>
          <w:sz w:val="18"/>
          <w:highlight w:val="green"/>
        </w:rPr>
        <w:t xml:space="preserve"> </w:t>
      </w:r>
      <w:r w:rsidRPr="00CE5AA1">
        <w:rPr>
          <w:rFonts w:ascii="Arial"/>
          <w:spacing w:val="-1"/>
          <w:sz w:val="18"/>
          <w:highlight w:val="green"/>
        </w:rPr>
        <w:t>and</w:t>
      </w:r>
      <w:r w:rsidRPr="00CE5AA1">
        <w:rPr>
          <w:rFonts w:ascii="Arial"/>
          <w:spacing w:val="13"/>
          <w:sz w:val="18"/>
          <w:highlight w:val="green"/>
        </w:rPr>
        <w:t xml:space="preserve"> </w:t>
      </w:r>
      <w:r w:rsidRPr="00CE5AA1">
        <w:rPr>
          <w:rFonts w:ascii="Arial"/>
          <w:spacing w:val="-1"/>
          <w:sz w:val="18"/>
          <w:highlight w:val="green"/>
        </w:rPr>
        <w:t>Call</w:t>
      </w:r>
      <w:r w:rsidRPr="00CE5AA1">
        <w:rPr>
          <w:rFonts w:ascii="Arial"/>
          <w:spacing w:val="13"/>
          <w:sz w:val="18"/>
          <w:highlight w:val="green"/>
        </w:rPr>
        <w:t xml:space="preserve"> </w:t>
      </w:r>
      <w:r w:rsidRPr="00CE5AA1">
        <w:rPr>
          <w:rFonts w:ascii="Arial"/>
          <w:spacing w:val="-1"/>
          <w:sz w:val="18"/>
          <w:highlight w:val="green"/>
        </w:rPr>
        <w:t>Off</w:t>
      </w:r>
      <w:r w:rsidRPr="00CE5AA1">
        <w:rPr>
          <w:rFonts w:ascii="Arial"/>
          <w:spacing w:val="10"/>
          <w:sz w:val="18"/>
          <w:highlight w:val="green"/>
        </w:rPr>
        <w:t xml:space="preserve"> </w:t>
      </w:r>
      <w:r w:rsidRPr="00CE5AA1">
        <w:rPr>
          <w:rFonts w:ascii="Arial"/>
          <w:spacing w:val="-1"/>
          <w:sz w:val="18"/>
          <w:highlight w:val="green"/>
        </w:rPr>
        <w:t>Schedule</w:t>
      </w:r>
      <w:r w:rsidRPr="00CE5AA1">
        <w:rPr>
          <w:rFonts w:ascii="Arial"/>
          <w:spacing w:val="13"/>
          <w:sz w:val="18"/>
          <w:highlight w:val="green"/>
        </w:rPr>
        <w:t xml:space="preserve"> </w:t>
      </w:r>
      <w:r w:rsidRPr="00CE5AA1">
        <w:rPr>
          <w:rFonts w:ascii="Arial"/>
          <w:spacing w:val="-1"/>
          <w:sz w:val="18"/>
          <w:highlight w:val="green"/>
        </w:rPr>
        <w:t>10</w:t>
      </w:r>
      <w:r w:rsidRPr="00CE5AA1">
        <w:rPr>
          <w:rFonts w:ascii="Arial"/>
          <w:spacing w:val="13"/>
          <w:sz w:val="18"/>
          <w:highlight w:val="green"/>
        </w:rPr>
        <w:t xml:space="preserve"> </w:t>
      </w:r>
      <w:r w:rsidRPr="00CE5AA1">
        <w:rPr>
          <w:rFonts w:ascii="Arial"/>
          <w:spacing w:val="-1"/>
          <w:sz w:val="18"/>
          <w:highlight w:val="green"/>
        </w:rPr>
        <w:t>(Exit</w:t>
      </w:r>
      <w:r w:rsidRPr="00CE5AA1">
        <w:rPr>
          <w:rFonts w:ascii="Arial"/>
          <w:spacing w:val="77"/>
          <w:sz w:val="18"/>
          <w:highlight w:val="green"/>
        </w:rPr>
        <w:t xml:space="preserve"> </w:t>
      </w:r>
      <w:r w:rsidRPr="00CE5AA1">
        <w:rPr>
          <w:rFonts w:ascii="Arial"/>
          <w:spacing w:val="-1"/>
          <w:sz w:val="18"/>
          <w:highlight w:val="green"/>
        </w:rPr>
        <w:t>Management).</w:t>
      </w:r>
      <w:r w:rsidRPr="00CE5AA1">
        <w:rPr>
          <w:rFonts w:ascii="Arial"/>
          <w:spacing w:val="17"/>
          <w:sz w:val="18"/>
          <w:highlight w:val="green"/>
        </w:rPr>
        <w:t xml:space="preserve"> </w:t>
      </w:r>
      <w:r w:rsidRPr="00CE5AA1">
        <w:rPr>
          <w:rFonts w:ascii="Arial"/>
          <w:sz w:val="18"/>
          <w:highlight w:val="green"/>
        </w:rPr>
        <w:t>In</w:t>
      </w:r>
      <w:r w:rsidRPr="00CE5AA1">
        <w:rPr>
          <w:rFonts w:ascii="Arial"/>
          <w:spacing w:val="17"/>
          <w:sz w:val="18"/>
          <w:highlight w:val="green"/>
        </w:rPr>
        <w:t xml:space="preserve"> </w:t>
      </w:r>
      <w:r w:rsidRPr="00CE5AA1">
        <w:rPr>
          <w:rFonts w:ascii="Arial"/>
          <w:spacing w:val="-1"/>
          <w:sz w:val="18"/>
          <w:highlight w:val="green"/>
        </w:rPr>
        <w:t>accordance</w:t>
      </w:r>
      <w:r w:rsidRPr="00CE5AA1">
        <w:rPr>
          <w:rFonts w:ascii="Arial"/>
          <w:spacing w:val="17"/>
          <w:sz w:val="18"/>
          <w:highlight w:val="green"/>
        </w:rPr>
        <w:t xml:space="preserve"> </w:t>
      </w:r>
      <w:r w:rsidRPr="00CE5AA1">
        <w:rPr>
          <w:rFonts w:ascii="Arial"/>
          <w:spacing w:val="-1"/>
          <w:sz w:val="18"/>
          <w:highlight w:val="green"/>
        </w:rPr>
        <w:t>with</w:t>
      </w:r>
      <w:r w:rsidRPr="00CE5AA1">
        <w:rPr>
          <w:rFonts w:ascii="Arial"/>
          <w:spacing w:val="20"/>
          <w:sz w:val="18"/>
          <w:highlight w:val="green"/>
        </w:rPr>
        <w:t xml:space="preserve"> </w:t>
      </w:r>
      <w:r w:rsidRPr="00CE5AA1">
        <w:rPr>
          <w:rFonts w:ascii="Arial"/>
          <w:sz w:val="18"/>
          <w:highlight w:val="green"/>
        </w:rPr>
        <w:t>the</w:t>
      </w:r>
      <w:r w:rsidRPr="00CE5AA1">
        <w:rPr>
          <w:rFonts w:ascii="Arial"/>
          <w:spacing w:val="20"/>
          <w:sz w:val="18"/>
          <w:highlight w:val="green"/>
        </w:rPr>
        <w:t xml:space="preserve"> </w:t>
      </w:r>
      <w:r w:rsidRPr="00CE5AA1">
        <w:rPr>
          <w:rFonts w:ascii="Arial"/>
          <w:spacing w:val="-1"/>
          <w:sz w:val="18"/>
          <w:highlight w:val="green"/>
        </w:rPr>
        <w:t>guidance</w:t>
      </w:r>
      <w:r w:rsidRPr="00CE5AA1">
        <w:rPr>
          <w:rFonts w:ascii="Arial"/>
          <w:spacing w:val="18"/>
          <w:sz w:val="18"/>
          <w:highlight w:val="green"/>
        </w:rPr>
        <w:t xml:space="preserve"> </w:t>
      </w:r>
      <w:r w:rsidRPr="00CE5AA1">
        <w:rPr>
          <w:rFonts w:ascii="Arial"/>
          <w:spacing w:val="-1"/>
          <w:sz w:val="18"/>
          <w:highlight w:val="green"/>
        </w:rPr>
        <w:t>set</w:t>
      </w:r>
      <w:r w:rsidRPr="00CE5AA1">
        <w:rPr>
          <w:rFonts w:ascii="Arial"/>
          <w:spacing w:val="20"/>
          <w:sz w:val="18"/>
          <w:highlight w:val="green"/>
        </w:rPr>
        <w:t xml:space="preserve"> </w:t>
      </w:r>
      <w:r w:rsidRPr="00CE5AA1">
        <w:rPr>
          <w:rFonts w:ascii="Arial"/>
          <w:spacing w:val="-1"/>
          <w:sz w:val="18"/>
          <w:highlight w:val="green"/>
        </w:rPr>
        <w:t>out</w:t>
      </w:r>
      <w:r w:rsidRPr="00CE5AA1">
        <w:rPr>
          <w:rFonts w:ascii="Arial"/>
          <w:spacing w:val="20"/>
          <w:sz w:val="18"/>
          <w:highlight w:val="green"/>
        </w:rPr>
        <w:t xml:space="preserve"> </w:t>
      </w:r>
      <w:r w:rsidRPr="00CE5AA1">
        <w:rPr>
          <w:rFonts w:ascii="Arial"/>
          <w:spacing w:val="-1"/>
          <w:sz w:val="18"/>
          <w:highlight w:val="green"/>
        </w:rPr>
        <w:t>in</w:t>
      </w:r>
      <w:r w:rsidRPr="00CE5AA1">
        <w:rPr>
          <w:rFonts w:ascii="Arial"/>
          <w:spacing w:val="17"/>
          <w:sz w:val="18"/>
          <w:highlight w:val="green"/>
        </w:rPr>
        <w:t xml:space="preserve"> </w:t>
      </w:r>
      <w:r w:rsidRPr="00CE5AA1">
        <w:rPr>
          <w:rFonts w:ascii="Arial"/>
          <w:spacing w:val="-1"/>
          <w:sz w:val="18"/>
          <w:highlight w:val="green"/>
        </w:rPr>
        <w:t>Call</w:t>
      </w:r>
      <w:r w:rsidRPr="00CE5AA1">
        <w:rPr>
          <w:rFonts w:ascii="Arial"/>
          <w:spacing w:val="20"/>
          <w:sz w:val="18"/>
          <w:highlight w:val="green"/>
        </w:rPr>
        <w:t xml:space="preserve"> </w:t>
      </w:r>
      <w:r w:rsidRPr="00CE5AA1">
        <w:rPr>
          <w:rFonts w:ascii="Arial"/>
          <w:spacing w:val="-1"/>
          <w:sz w:val="18"/>
          <w:highlight w:val="green"/>
        </w:rPr>
        <w:t>Off</w:t>
      </w:r>
      <w:r w:rsidRPr="00CE5AA1">
        <w:rPr>
          <w:rFonts w:ascii="Arial"/>
          <w:spacing w:val="20"/>
          <w:sz w:val="18"/>
          <w:highlight w:val="green"/>
        </w:rPr>
        <w:t xml:space="preserve"> </w:t>
      </w:r>
      <w:r w:rsidRPr="00CE5AA1">
        <w:rPr>
          <w:rFonts w:ascii="Arial"/>
          <w:spacing w:val="-1"/>
          <w:sz w:val="18"/>
          <w:highlight w:val="green"/>
        </w:rPr>
        <w:t>Schedule</w:t>
      </w:r>
      <w:r w:rsidRPr="00CE5AA1">
        <w:rPr>
          <w:rFonts w:ascii="Arial"/>
          <w:spacing w:val="20"/>
          <w:sz w:val="18"/>
          <w:highlight w:val="green"/>
        </w:rPr>
        <w:t xml:space="preserve"> </w:t>
      </w:r>
      <w:r w:rsidRPr="00CE5AA1">
        <w:rPr>
          <w:rFonts w:ascii="Arial"/>
          <w:sz w:val="18"/>
          <w:highlight w:val="green"/>
        </w:rPr>
        <w:t>10</w:t>
      </w:r>
      <w:r w:rsidRPr="00CE5AA1">
        <w:rPr>
          <w:rFonts w:ascii="Arial"/>
          <w:spacing w:val="18"/>
          <w:sz w:val="18"/>
          <w:highlight w:val="green"/>
        </w:rPr>
        <w:t xml:space="preserve"> </w:t>
      </w:r>
      <w:r w:rsidRPr="00CE5AA1">
        <w:rPr>
          <w:rFonts w:ascii="Arial"/>
          <w:spacing w:val="-1"/>
          <w:sz w:val="18"/>
          <w:highlight w:val="green"/>
        </w:rPr>
        <w:t>(Exit</w:t>
      </w:r>
      <w:r w:rsidRPr="00CE5AA1">
        <w:rPr>
          <w:rFonts w:ascii="Arial"/>
          <w:spacing w:val="20"/>
          <w:sz w:val="18"/>
          <w:highlight w:val="green"/>
        </w:rPr>
        <w:t xml:space="preserve"> </w:t>
      </w:r>
      <w:r w:rsidRPr="00CE5AA1">
        <w:rPr>
          <w:rFonts w:ascii="Arial"/>
          <w:spacing w:val="-1"/>
          <w:sz w:val="18"/>
          <w:highlight w:val="green"/>
        </w:rPr>
        <w:t>Management),</w:t>
      </w:r>
      <w:r w:rsidRPr="00CE5AA1">
        <w:rPr>
          <w:rFonts w:ascii="Arial"/>
          <w:spacing w:val="20"/>
          <w:sz w:val="18"/>
          <w:highlight w:val="green"/>
        </w:rPr>
        <w:t xml:space="preserve"> </w:t>
      </w:r>
      <w:r w:rsidRPr="00CE5AA1">
        <w:rPr>
          <w:rFonts w:ascii="Arial"/>
          <w:spacing w:val="-1"/>
          <w:sz w:val="18"/>
          <w:highlight w:val="green"/>
        </w:rPr>
        <w:t>consider</w:t>
      </w:r>
      <w:r w:rsidRPr="00CE5AA1">
        <w:rPr>
          <w:rFonts w:ascii="Arial"/>
          <w:spacing w:val="83"/>
          <w:sz w:val="18"/>
          <w:highlight w:val="green"/>
        </w:rPr>
        <w:t xml:space="preserve"> </w:t>
      </w:r>
      <w:r w:rsidRPr="00CE5AA1">
        <w:rPr>
          <w:rFonts w:ascii="Arial"/>
          <w:spacing w:val="-1"/>
          <w:sz w:val="18"/>
          <w:highlight w:val="green"/>
        </w:rPr>
        <w:t>refining</w:t>
      </w:r>
      <w:r w:rsidRPr="00CE5AA1">
        <w:rPr>
          <w:rFonts w:ascii="Arial"/>
          <w:spacing w:val="1"/>
          <w:sz w:val="18"/>
          <w:highlight w:val="green"/>
        </w:rPr>
        <w:t xml:space="preserve"> </w:t>
      </w:r>
      <w:r w:rsidRPr="00CE5AA1">
        <w:rPr>
          <w:rFonts w:ascii="Arial"/>
          <w:spacing w:val="-1"/>
          <w:sz w:val="18"/>
          <w:highlight w:val="green"/>
        </w:rPr>
        <w:t>and/or</w:t>
      </w:r>
      <w:r w:rsidRPr="00CE5AA1">
        <w:rPr>
          <w:rFonts w:ascii="Arial"/>
          <w:spacing w:val="-2"/>
          <w:sz w:val="18"/>
          <w:highlight w:val="green"/>
        </w:rPr>
        <w:t xml:space="preserve"> </w:t>
      </w:r>
      <w:r w:rsidRPr="00CE5AA1">
        <w:rPr>
          <w:rFonts w:ascii="Arial"/>
          <w:spacing w:val="-1"/>
          <w:sz w:val="18"/>
          <w:highlight w:val="green"/>
        </w:rPr>
        <w:t>deleting</w:t>
      </w:r>
      <w:r w:rsidRPr="00CE5AA1">
        <w:rPr>
          <w:rFonts w:ascii="Arial"/>
          <w:spacing w:val="1"/>
          <w:sz w:val="18"/>
          <w:highlight w:val="green"/>
        </w:rPr>
        <w:t xml:space="preserve"> </w:t>
      </w:r>
      <w:r w:rsidRPr="00CE5AA1">
        <w:rPr>
          <w:rFonts w:ascii="Arial"/>
          <w:spacing w:val="-1"/>
          <w:sz w:val="18"/>
          <w:highlight w:val="green"/>
        </w:rPr>
        <w:t>the</w:t>
      </w:r>
      <w:r w:rsidRPr="00CE5AA1">
        <w:rPr>
          <w:rFonts w:ascii="Arial"/>
          <w:spacing w:val="1"/>
          <w:sz w:val="18"/>
          <w:highlight w:val="green"/>
        </w:rPr>
        <w:t xml:space="preserve"> </w:t>
      </w:r>
      <w:r w:rsidRPr="00CE5AA1">
        <w:rPr>
          <w:rFonts w:ascii="Arial"/>
          <w:spacing w:val="-1"/>
          <w:sz w:val="18"/>
          <w:highlight w:val="green"/>
        </w:rPr>
        <w:t>Call</w:t>
      </w:r>
      <w:r w:rsidRPr="00CE5AA1">
        <w:rPr>
          <w:rFonts w:ascii="Arial"/>
          <w:spacing w:val="1"/>
          <w:sz w:val="18"/>
          <w:highlight w:val="green"/>
        </w:rPr>
        <w:t xml:space="preserve"> </w:t>
      </w:r>
      <w:r w:rsidRPr="00CE5AA1">
        <w:rPr>
          <w:rFonts w:ascii="Arial"/>
          <w:spacing w:val="-1"/>
          <w:sz w:val="18"/>
          <w:highlight w:val="green"/>
        </w:rPr>
        <w:t>Off</w:t>
      </w:r>
      <w:r w:rsidRPr="00CE5AA1">
        <w:rPr>
          <w:rFonts w:ascii="Arial"/>
          <w:sz w:val="18"/>
          <w:highlight w:val="green"/>
        </w:rPr>
        <w:t xml:space="preserve"> </w:t>
      </w:r>
      <w:r w:rsidRPr="00CE5AA1">
        <w:rPr>
          <w:rFonts w:ascii="Arial"/>
          <w:spacing w:val="-1"/>
          <w:sz w:val="18"/>
          <w:highlight w:val="green"/>
        </w:rPr>
        <w:t>Schedule</w:t>
      </w:r>
      <w:r w:rsidRPr="00CE5AA1">
        <w:rPr>
          <w:rFonts w:ascii="Arial"/>
          <w:spacing w:val="1"/>
          <w:sz w:val="18"/>
          <w:highlight w:val="green"/>
        </w:rPr>
        <w:t xml:space="preserve"> </w:t>
      </w:r>
      <w:r w:rsidRPr="00CE5AA1">
        <w:rPr>
          <w:rFonts w:ascii="Arial"/>
          <w:spacing w:val="-1"/>
          <w:sz w:val="18"/>
          <w:highlight w:val="green"/>
        </w:rPr>
        <w:t>as</w:t>
      </w:r>
      <w:r w:rsidRPr="00CE5AA1">
        <w:rPr>
          <w:rFonts w:ascii="Arial"/>
          <w:spacing w:val="1"/>
          <w:sz w:val="18"/>
          <w:highlight w:val="green"/>
        </w:rPr>
        <w:t xml:space="preserve"> </w:t>
      </w:r>
      <w:r w:rsidRPr="00CE5AA1">
        <w:rPr>
          <w:rFonts w:ascii="Arial"/>
          <w:spacing w:val="-1"/>
          <w:sz w:val="18"/>
          <w:highlight w:val="green"/>
        </w:rPr>
        <w:t>per</w:t>
      </w:r>
      <w:r w:rsidRPr="00CE5AA1">
        <w:rPr>
          <w:rFonts w:ascii="Arial"/>
          <w:sz w:val="18"/>
          <w:highlight w:val="green"/>
        </w:rPr>
        <w:t xml:space="preserve"> </w:t>
      </w:r>
      <w:r w:rsidRPr="00CE5AA1">
        <w:rPr>
          <w:rFonts w:ascii="Arial"/>
          <w:spacing w:val="-1"/>
          <w:sz w:val="18"/>
          <w:highlight w:val="green"/>
        </w:rPr>
        <w:t>your</w:t>
      </w:r>
      <w:r w:rsidRPr="00CE5AA1">
        <w:rPr>
          <w:rFonts w:ascii="Arial"/>
          <w:sz w:val="18"/>
          <w:highlight w:val="green"/>
        </w:rPr>
        <w:t xml:space="preserve"> </w:t>
      </w:r>
      <w:r w:rsidRPr="00CE5AA1">
        <w:rPr>
          <w:rFonts w:ascii="Arial"/>
          <w:spacing w:val="-1"/>
          <w:sz w:val="18"/>
          <w:highlight w:val="green"/>
        </w:rPr>
        <w:t>requirements]</w:t>
      </w:r>
    </w:p>
    <w:p w:rsidR="008918FA" w:rsidRPr="00CE5AA1" w:rsidRDefault="008918FA" w:rsidP="008918FA">
      <w:pPr>
        <w:spacing w:before="85"/>
        <w:ind w:left="241" w:right="109"/>
        <w:jc w:val="both"/>
        <w:rPr>
          <w:rFonts w:ascii="Arial" w:eastAsia="Arial" w:hAnsi="Arial" w:cs="Arial"/>
          <w:sz w:val="18"/>
          <w:szCs w:val="18"/>
          <w:highlight w:val="green"/>
        </w:rPr>
      </w:pPr>
      <w:r w:rsidRPr="00CE5AA1">
        <w:rPr>
          <w:rFonts w:ascii="Arial"/>
          <w:position w:val="9"/>
          <w:sz w:val="12"/>
          <w:highlight w:val="green"/>
        </w:rPr>
        <w:t>22</w:t>
      </w:r>
      <w:r w:rsidRPr="00CE5AA1">
        <w:rPr>
          <w:rFonts w:ascii="Arial"/>
          <w:spacing w:val="17"/>
          <w:position w:val="9"/>
          <w:sz w:val="12"/>
          <w:highlight w:val="green"/>
        </w:rPr>
        <w:t xml:space="preserve"> </w:t>
      </w:r>
      <w:bookmarkStart w:id="13" w:name="_bookmark21"/>
      <w:bookmarkEnd w:id="13"/>
      <w:r w:rsidRPr="00CE5AA1">
        <w:rPr>
          <w:rFonts w:ascii="Arial"/>
          <w:spacing w:val="-1"/>
          <w:sz w:val="18"/>
          <w:highlight w:val="green"/>
        </w:rPr>
        <w:t>[Guidance</w:t>
      </w:r>
      <w:r w:rsidRPr="00CE5AA1">
        <w:rPr>
          <w:rFonts w:ascii="Arial"/>
          <w:spacing w:val="1"/>
          <w:sz w:val="18"/>
          <w:highlight w:val="green"/>
        </w:rPr>
        <w:t xml:space="preserve"> </w:t>
      </w:r>
      <w:r w:rsidRPr="00CE5AA1">
        <w:rPr>
          <w:rFonts w:ascii="Arial"/>
          <w:spacing w:val="-1"/>
          <w:sz w:val="18"/>
          <w:highlight w:val="green"/>
        </w:rPr>
        <w:t>Note:</w:t>
      </w:r>
      <w:r w:rsidRPr="00CE5AA1">
        <w:rPr>
          <w:rFonts w:ascii="Arial"/>
          <w:sz w:val="18"/>
          <w:highlight w:val="green"/>
        </w:rPr>
        <w:t xml:space="preserve"> </w:t>
      </w:r>
      <w:r w:rsidRPr="00CE5AA1">
        <w:rPr>
          <w:rFonts w:ascii="Arial"/>
          <w:spacing w:val="-1"/>
          <w:sz w:val="18"/>
          <w:highlight w:val="green"/>
        </w:rPr>
        <w:t>See</w:t>
      </w:r>
      <w:r w:rsidRPr="00CE5AA1">
        <w:rPr>
          <w:rFonts w:ascii="Arial"/>
          <w:spacing w:val="1"/>
          <w:sz w:val="18"/>
          <w:highlight w:val="green"/>
        </w:rPr>
        <w:t xml:space="preserve"> </w:t>
      </w:r>
      <w:r w:rsidRPr="00CE5AA1">
        <w:rPr>
          <w:rFonts w:ascii="Arial"/>
          <w:spacing w:val="-1"/>
          <w:sz w:val="18"/>
          <w:highlight w:val="green"/>
        </w:rPr>
        <w:t>Clauses</w:t>
      </w:r>
      <w:r w:rsidRPr="00CE5AA1">
        <w:rPr>
          <w:rFonts w:ascii="Arial"/>
          <w:spacing w:val="-2"/>
          <w:sz w:val="18"/>
          <w:highlight w:val="green"/>
        </w:rPr>
        <w:t xml:space="preserve"> </w:t>
      </w:r>
      <w:hyperlink w:anchor="_bookmark47" w:history="1">
        <w:r w:rsidRPr="00CE5AA1">
          <w:rPr>
            <w:rFonts w:ascii="Arial"/>
            <w:sz w:val="18"/>
            <w:highlight w:val="green"/>
          </w:rPr>
          <w:t>2,</w:t>
        </w:r>
      </w:hyperlink>
      <w:r w:rsidRPr="00CE5AA1">
        <w:rPr>
          <w:rFonts w:ascii="Arial"/>
          <w:sz w:val="18"/>
          <w:highlight w:val="green"/>
        </w:rPr>
        <w:t xml:space="preserve"> </w:t>
      </w:r>
      <w:hyperlink w:anchor="_bookmark154" w:history="1">
        <w:r w:rsidRPr="00CE5AA1">
          <w:rPr>
            <w:rFonts w:ascii="Arial"/>
            <w:sz w:val="18"/>
            <w:highlight w:val="green"/>
          </w:rPr>
          <w:t>30</w:t>
        </w:r>
      </w:hyperlink>
      <w:r w:rsidRPr="00CE5AA1">
        <w:rPr>
          <w:rFonts w:ascii="Arial"/>
          <w:spacing w:val="1"/>
          <w:sz w:val="18"/>
          <w:highlight w:val="green"/>
        </w:rPr>
        <w:t xml:space="preserve"> </w:t>
      </w:r>
      <w:r w:rsidRPr="00CE5AA1">
        <w:rPr>
          <w:rFonts w:ascii="Arial"/>
          <w:sz w:val="18"/>
          <w:highlight w:val="green"/>
        </w:rPr>
        <w:t>and</w:t>
      </w:r>
      <w:r w:rsidRPr="00CE5AA1">
        <w:rPr>
          <w:rFonts w:ascii="Arial"/>
          <w:spacing w:val="1"/>
          <w:sz w:val="18"/>
          <w:highlight w:val="green"/>
        </w:rPr>
        <w:t xml:space="preserve"> </w:t>
      </w:r>
      <w:hyperlink w:anchor="_bookmark156" w:history="1">
        <w:r w:rsidRPr="00CE5AA1">
          <w:rPr>
            <w:rFonts w:ascii="Arial"/>
            <w:sz w:val="18"/>
            <w:highlight w:val="green"/>
          </w:rPr>
          <w:t>31</w:t>
        </w:r>
      </w:hyperlink>
      <w:r w:rsidRPr="00CE5AA1">
        <w:rPr>
          <w:rFonts w:ascii="Arial"/>
          <w:spacing w:val="1"/>
          <w:sz w:val="18"/>
          <w:highlight w:val="green"/>
        </w:rPr>
        <w:t xml:space="preserve"> </w:t>
      </w:r>
      <w:r w:rsidRPr="00CE5AA1">
        <w:rPr>
          <w:rFonts w:ascii="Arial"/>
          <w:spacing w:val="-1"/>
          <w:sz w:val="18"/>
          <w:highlight w:val="green"/>
        </w:rPr>
        <w:t>of</w:t>
      </w:r>
      <w:r w:rsidRPr="00CE5AA1">
        <w:rPr>
          <w:rFonts w:ascii="Arial"/>
          <w:sz w:val="18"/>
          <w:highlight w:val="green"/>
        </w:rPr>
        <w:t xml:space="preserve"> the</w:t>
      </w:r>
      <w:r w:rsidRPr="00CE5AA1">
        <w:rPr>
          <w:rFonts w:ascii="Arial"/>
          <w:spacing w:val="1"/>
          <w:sz w:val="18"/>
          <w:highlight w:val="green"/>
        </w:rPr>
        <w:t xml:space="preserve"> </w:t>
      </w:r>
      <w:r w:rsidRPr="00CE5AA1">
        <w:rPr>
          <w:rFonts w:ascii="Arial"/>
          <w:spacing w:val="-1"/>
          <w:sz w:val="18"/>
          <w:highlight w:val="green"/>
        </w:rPr>
        <w:t>Template</w:t>
      </w:r>
      <w:r w:rsidRPr="00CE5AA1">
        <w:rPr>
          <w:rFonts w:ascii="Arial"/>
          <w:spacing w:val="-2"/>
          <w:sz w:val="18"/>
          <w:highlight w:val="green"/>
        </w:rPr>
        <w:t xml:space="preserve"> </w:t>
      </w:r>
      <w:r w:rsidRPr="00CE5AA1">
        <w:rPr>
          <w:rFonts w:ascii="Arial"/>
          <w:spacing w:val="-1"/>
          <w:sz w:val="18"/>
          <w:highlight w:val="green"/>
        </w:rPr>
        <w:t>Call</w:t>
      </w:r>
      <w:r w:rsidRPr="00CE5AA1">
        <w:rPr>
          <w:rFonts w:ascii="Arial"/>
          <w:spacing w:val="1"/>
          <w:sz w:val="18"/>
          <w:highlight w:val="green"/>
        </w:rPr>
        <w:t xml:space="preserve"> </w:t>
      </w:r>
      <w:r w:rsidRPr="00CE5AA1">
        <w:rPr>
          <w:rFonts w:ascii="Arial"/>
          <w:spacing w:val="-1"/>
          <w:sz w:val="18"/>
          <w:highlight w:val="green"/>
        </w:rPr>
        <w:t>Off</w:t>
      </w:r>
      <w:r w:rsidRPr="00CE5AA1">
        <w:rPr>
          <w:rFonts w:ascii="Arial"/>
          <w:sz w:val="18"/>
          <w:highlight w:val="green"/>
        </w:rPr>
        <w:t xml:space="preserve"> Terms. </w:t>
      </w:r>
      <w:r w:rsidRPr="00CE5AA1">
        <w:rPr>
          <w:rFonts w:ascii="Arial"/>
          <w:spacing w:val="-1"/>
          <w:sz w:val="18"/>
          <w:highlight w:val="green"/>
        </w:rPr>
        <w:t>Consider</w:t>
      </w:r>
      <w:r w:rsidRPr="00CE5AA1">
        <w:rPr>
          <w:rFonts w:ascii="Arial"/>
          <w:sz w:val="18"/>
          <w:highlight w:val="green"/>
        </w:rPr>
        <w:t xml:space="preserve"> if </w:t>
      </w:r>
      <w:r w:rsidRPr="00CE5AA1">
        <w:rPr>
          <w:rFonts w:ascii="Arial"/>
          <w:spacing w:val="-1"/>
          <w:sz w:val="18"/>
          <w:highlight w:val="green"/>
        </w:rPr>
        <w:t>inspection</w:t>
      </w:r>
      <w:r w:rsidRPr="00CE5AA1">
        <w:rPr>
          <w:rFonts w:ascii="Arial"/>
          <w:spacing w:val="1"/>
          <w:sz w:val="18"/>
          <w:highlight w:val="green"/>
        </w:rPr>
        <w:t xml:space="preserve"> </w:t>
      </w:r>
      <w:r w:rsidRPr="00CE5AA1">
        <w:rPr>
          <w:rFonts w:ascii="Arial"/>
          <w:sz w:val="18"/>
          <w:highlight w:val="green"/>
        </w:rPr>
        <w:t xml:space="preserve">of </w:t>
      </w:r>
      <w:r w:rsidRPr="00CE5AA1">
        <w:rPr>
          <w:rFonts w:ascii="Arial"/>
          <w:spacing w:val="-1"/>
          <w:sz w:val="18"/>
          <w:highlight w:val="green"/>
        </w:rPr>
        <w:t>the</w:t>
      </w:r>
      <w:r w:rsidRPr="00CE5AA1">
        <w:rPr>
          <w:rFonts w:ascii="Arial"/>
          <w:spacing w:val="1"/>
          <w:sz w:val="18"/>
          <w:highlight w:val="green"/>
        </w:rPr>
        <w:t xml:space="preserve"> </w:t>
      </w:r>
      <w:r w:rsidRPr="00CE5AA1">
        <w:rPr>
          <w:rFonts w:ascii="Arial"/>
          <w:spacing w:val="-1"/>
          <w:sz w:val="18"/>
          <w:highlight w:val="green"/>
        </w:rPr>
        <w:t>Sites</w:t>
      </w:r>
      <w:r w:rsidRPr="00CE5AA1">
        <w:rPr>
          <w:rFonts w:ascii="Arial"/>
          <w:spacing w:val="81"/>
          <w:sz w:val="18"/>
          <w:highlight w:val="green"/>
        </w:rPr>
        <w:t xml:space="preserve"> </w:t>
      </w:r>
      <w:r w:rsidRPr="00CE5AA1">
        <w:rPr>
          <w:rFonts w:ascii="Arial"/>
          <w:sz w:val="18"/>
          <w:highlight w:val="green"/>
        </w:rPr>
        <w:t>by</w:t>
      </w:r>
      <w:r w:rsidRPr="00CE5AA1">
        <w:rPr>
          <w:rFonts w:ascii="Arial"/>
          <w:spacing w:val="27"/>
          <w:sz w:val="18"/>
          <w:highlight w:val="green"/>
        </w:rPr>
        <w:t xml:space="preserve"> </w:t>
      </w:r>
      <w:r w:rsidRPr="00CE5AA1">
        <w:rPr>
          <w:rFonts w:ascii="Arial"/>
          <w:sz w:val="18"/>
          <w:highlight w:val="green"/>
        </w:rPr>
        <w:t>the</w:t>
      </w:r>
      <w:r w:rsidRPr="00CE5AA1">
        <w:rPr>
          <w:rFonts w:ascii="Arial"/>
          <w:spacing w:val="29"/>
          <w:sz w:val="18"/>
          <w:highlight w:val="green"/>
        </w:rPr>
        <w:t xml:space="preserve"> </w:t>
      </w:r>
      <w:r w:rsidRPr="00CE5AA1">
        <w:rPr>
          <w:rFonts w:ascii="Arial"/>
          <w:spacing w:val="-1"/>
          <w:sz w:val="18"/>
          <w:highlight w:val="green"/>
        </w:rPr>
        <w:t>Supplier</w:t>
      </w:r>
      <w:r w:rsidRPr="00CE5AA1">
        <w:rPr>
          <w:rFonts w:ascii="Arial"/>
          <w:spacing w:val="26"/>
          <w:sz w:val="18"/>
          <w:highlight w:val="green"/>
        </w:rPr>
        <w:t xml:space="preserve"> </w:t>
      </w:r>
      <w:r w:rsidRPr="00CE5AA1">
        <w:rPr>
          <w:rFonts w:ascii="Arial"/>
          <w:spacing w:val="-1"/>
          <w:sz w:val="18"/>
          <w:highlight w:val="green"/>
        </w:rPr>
        <w:t>is</w:t>
      </w:r>
      <w:r w:rsidRPr="00CE5AA1">
        <w:rPr>
          <w:rFonts w:ascii="Arial"/>
          <w:spacing w:val="30"/>
          <w:sz w:val="18"/>
          <w:highlight w:val="green"/>
        </w:rPr>
        <w:t xml:space="preserve"> </w:t>
      </w:r>
      <w:r w:rsidRPr="00CE5AA1">
        <w:rPr>
          <w:rFonts w:ascii="Arial"/>
          <w:spacing w:val="-1"/>
          <w:sz w:val="18"/>
          <w:highlight w:val="green"/>
        </w:rPr>
        <w:t>required.</w:t>
      </w:r>
      <w:r w:rsidRPr="00CE5AA1">
        <w:rPr>
          <w:rFonts w:ascii="Arial"/>
          <w:spacing w:val="27"/>
          <w:sz w:val="18"/>
          <w:highlight w:val="green"/>
        </w:rPr>
        <w:t xml:space="preserve"> </w:t>
      </w:r>
      <w:r w:rsidRPr="00CE5AA1">
        <w:rPr>
          <w:rFonts w:ascii="Arial"/>
          <w:spacing w:val="-1"/>
          <w:sz w:val="18"/>
          <w:highlight w:val="green"/>
        </w:rPr>
        <w:t>Insert</w:t>
      </w:r>
      <w:r w:rsidRPr="00CE5AA1">
        <w:rPr>
          <w:rFonts w:ascii="Arial"/>
          <w:spacing w:val="27"/>
          <w:sz w:val="18"/>
          <w:highlight w:val="green"/>
        </w:rPr>
        <w:t xml:space="preserve"> </w:t>
      </w:r>
      <w:r w:rsidRPr="00CE5AA1">
        <w:rPr>
          <w:rFonts w:ascii="Arial"/>
          <w:sz w:val="18"/>
          <w:highlight w:val="green"/>
        </w:rPr>
        <w:t>any</w:t>
      </w:r>
      <w:r w:rsidRPr="00CE5AA1">
        <w:rPr>
          <w:rFonts w:ascii="Arial"/>
          <w:spacing w:val="25"/>
          <w:sz w:val="18"/>
          <w:highlight w:val="green"/>
        </w:rPr>
        <w:t xml:space="preserve"> </w:t>
      </w:r>
      <w:r w:rsidRPr="00CE5AA1">
        <w:rPr>
          <w:rFonts w:ascii="Arial"/>
          <w:spacing w:val="-1"/>
          <w:sz w:val="18"/>
          <w:highlight w:val="green"/>
        </w:rPr>
        <w:t>issues</w:t>
      </w:r>
      <w:r w:rsidRPr="00CE5AA1">
        <w:rPr>
          <w:rFonts w:ascii="Arial"/>
          <w:spacing w:val="30"/>
          <w:sz w:val="18"/>
          <w:highlight w:val="green"/>
        </w:rPr>
        <w:t xml:space="preserve"> </w:t>
      </w:r>
      <w:r w:rsidRPr="00CE5AA1">
        <w:rPr>
          <w:rFonts w:ascii="Arial"/>
          <w:spacing w:val="-1"/>
          <w:sz w:val="18"/>
          <w:highlight w:val="green"/>
        </w:rPr>
        <w:t>raised</w:t>
      </w:r>
      <w:r w:rsidRPr="00CE5AA1">
        <w:rPr>
          <w:rFonts w:ascii="Arial"/>
          <w:spacing w:val="27"/>
          <w:sz w:val="18"/>
          <w:highlight w:val="green"/>
        </w:rPr>
        <w:t xml:space="preserve"> </w:t>
      </w:r>
      <w:r w:rsidRPr="00CE5AA1">
        <w:rPr>
          <w:rFonts w:ascii="Arial"/>
          <w:sz w:val="18"/>
          <w:highlight w:val="green"/>
        </w:rPr>
        <w:t>by</w:t>
      </w:r>
      <w:r w:rsidRPr="00CE5AA1">
        <w:rPr>
          <w:rFonts w:ascii="Arial"/>
          <w:spacing w:val="27"/>
          <w:sz w:val="18"/>
          <w:highlight w:val="green"/>
        </w:rPr>
        <w:t xml:space="preserve"> </w:t>
      </w:r>
      <w:r w:rsidRPr="00CE5AA1">
        <w:rPr>
          <w:rFonts w:ascii="Arial"/>
          <w:spacing w:val="-1"/>
          <w:sz w:val="18"/>
          <w:highlight w:val="green"/>
        </w:rPr>
        <w:t>the</w:t>
      </w:r>
      <w:r w:rsidRPr="00CE5AA1">
        <w:rPr>
          <w:rFonts w:ascii="Arial"/>
          <w:spacing w:val="29"/>
          <w:sz w:val="18"/>
          <w:highlight w:val="green"/>
        </w:rPr>
        <w:t xml:space="preserve"> </w:t>
      </w:r>
      <w:r w:rsidRPr="00CE5AA1">
        <w:rPr>
          <w:rFonts w:ascii="Arial"/>
          <w:spacing w:val="-1"/>
          <w:sz w:val="18"/>
          <w:highlight w:val="green"/>
        </w:rPr>
        <w:t>Supplier</w:t>
      </w:r>
      <w:r w:rsidRPr="00CE5AA1">
        <w:rPr>
          <w:rFonts w:ascii="Arial"/>
          <w:spacing w:val="29"/>
          <w:sz w:val="18"/>
          <w:highlight w:val="green"/>
        </w:rPr>
        <w:t xml:space="preserve"> </w:t>
      </w:r>
      <w:r w:rsidRPr="00CE5AA1">
        <w:rPr>
          <w:rFonts w:ascii="Arial"/>
          <w:spacing w:val="-1"/>
          <w:sz w:val="18"/>
          <w:highlight w:val="green"/>
        </w:rPr>
        <w:t>in</w:t>
      </w:r>
      <w:r w:rsidRPr="00CE5AA1">
        <w:rPr>
          <w:rFonts w:ascii="Arial"/>
          <w:spacing w:val="29"/>
          <w:sz w:val="18"/>
          <w:highlight w:val="green"/>
        </w:rPr>
        <w:t xml:space="preserve"> </w:t>
      </w:r>
      <w:r w:rsidRPr="00CE5AA1">
        <w:rPr>
          <w:rFonts w:ascii="Arial"/>
          <w:spacing w:val="-1"/>
          <w:sz w:val="18"/>
          <w:highlight w:val="green"/>
        </w:rPr>
        <w:t>respect</w:t>
      </w:r>
      <w:r w:rsidRPr="00CE5AA1">
        <w:rPr>
          <w:rFonts w:ascii="Arial"/>
          <w:spacing w:val="27"/>
          <w:sz w:val="18"/>
          <w:highlight w:val="green"/>
        </w:rPr>
        <w:t xml:space="preserve"> </w:t>
      </w:r>
      <w:r w:rsidRPr="00CE5AA1">
        <w:rPr>
          <w:rFonts w:ascii="Arial"/>
          <w:sz w:val="18"/>
          <w:highlight w:val="green"/>
        </w:rPr>
        <w:t>of</w:t>
      </w:r>
      <w:r w:rsidRPr="00CE5AA1">
        <w:rPr>
          <w:rFonts w:ascii="Arial"/>
          <w:spacing w:val="27"/>
          <w:sz w:val="18"/>
          <w:highlight w:val="green"/>
        </w:rPr>
        <w:t xml:space="preserve"> </w:t>
      </w:r>
      <w:r w:rsidRPr="00CE5AA1">
        <w:rPr>
          <w:rFonts w:ascii="Arial"/>
          <w:sz w:val="18"/>
          <w:highlight w:val="green"/>
        </w:rPr>
        <w:t>any</w:t>
      </w:r>
      <w:r w:rsidRPr="00CE5AA1">
        <w:rPr>
          <w:rFonts w:ascii="Arial"/>
          <w:spacing w:val="25"/>
          <w:sz w:val="18"/>
          <w:highlight w:val="green"/>
        </w:rPr>
        <w:t xml:space="preserve"> </w:t>
      </w:r>
      <w:r w:rsidRPr="00CE5AA1">
        <w:rPr>
          <w:rFonts w:ascii="Arial"/>
          <w:spacing w:val="-1"/>
          <w:sz w:val="18"/>
          <w:highlight w:val="green"/>
        </w:rPr>
        <w:t>aspects</w:t>
      </w:r>
      <w:r w:rsidRPr="00CE5AA1">
        <w:rPr>
          <w:rFonts w:ascii="Arial"/>
          <w:spacing w:val="30"/>
          <w:sz w:val="18"/>
          <w:highlight w:val="green"/>
        </w:rPr>
        <w:t xml:space="preserve"> </w:t>
      </w:r>
      <w:r w:rsidRPr="00CE5AA1">
        <w:rPr>
          <w:rFonts w:ascii="Arial"/>
          <w:sz w:val="18"/>
          <w:highlight w:val="green"/>
        </w:rPr>
        <w:t>of</w:t>
      </w:r>
      <w:r w:rsidRPr="00CE5AA1">
        <w:rPr>
          <w:rFonts w:ascii="Arial"/>
          <w:spacing w:val="27"/>
          <w:sz w:val="18"/>
          <w:highlight w:val="green"/>
        </w:rPr>
        <w:t xml:space="preserve"> </w:t>
      </w:r>
      <w:r w:rsidRPr="00CE5AA1">
        <w:rPr>
          <w:rFonts w:ascii="Arial"/>
          <w:spacing w:val="-1"/>
          <w:sz w:val="18"/>
          <w:highlight w:val="green"/>
        </w:rPr>
        <w:t>the</w:t>
      </w:r>
      <w:r w:rsidRPr="00CE5AA1">
        <w:rPr>
          <w:rFonts w:ascii="Arial"/>
          <w:spacing w:val="29"/>
          <w:sz w:val="18"/>
          <w:highlight w:val="green"/>
        </w:rPr>
        <w:t xml:space="preserve"> </w:t>
      </w:r>
      <w:r w:rsidRPr="00CE5AA1">
        <w:rPr>
          <w:rFonts w:ascii="Arial"/>
          <w:spacing w:val="-1"/>
          <w:sz w:val="18"/>
          <w:highlight w:val="green"/>
        </w:rPr>
        <w:t>Sites,</w:t>
      </w:r>
      <w:r w:rsidRPr="00CE5AA1">
        <w:rPr>
          <w:rFonts w:ascii="Arial"/>
          <w:spacing w:val="77"/>
          <w:sz w:val="18"/>
          <w:highlight w:val="green"/>
        </w:rPr>
        <w:t xml:space="preserve"> </w:t>
      </w:r>
      <w:r w:rsidRPr="00CE5AA1">
        <w:rPr>
          <w:rFonts w:ascii="Arial"/>
          <w:spacing w:val="-1"/>
          <w:sz w:val="18"/>
          <w:highlight w:val="green"/>
        </w:rPr>
        <w:t>Customer</w:t>
      </w:r>
      <w:r w:rsidRPr="00CE5AA1">
        <w:rPr>
          <w:rFonts w:ascii="Arial"/>
          <w:spacing w:val="9"/>
          <w:sz w:val="18"/>
          <w:highlight w:val="green"/>
        </w:rPr>
        <w:t xml:space="preserve"> </w:t>
      </w:r>
      <w:r w:rsidRPr="00CE5AA1">
        <w:rPr>
          <w:rFonts w:ascii="Arial"/>
          <w:spacing w:val="-1"/>
          <w:sz w:val="18"/>
          <w:highlight w:val="green"/>
        </w:rPr>
        <w:t>Assets,</w:t>
      </w:r>
      <w:r w:rsidRPr="00CE5AA1">
        <w:rPr>
          <w:rFonts w:ascii="Arial"/>
          <w:spacing w:val="10"/>
          <w:sz w:val="18"/>
          <w:highlight w:val="green"/>
        </w:rPr>
        <w:t xml:space="preserve"> </w:t>
      </w:r>
      <w:r w:rsidRPr="00CE5AA1">
        <w:rPr>
          <w:rFonts w:ascii="Arial"/>
          <w:spacing w:val="-1"/>
          <w:sz w:val="18"/>
          <w:highlight w:val="green"/>
        </w:rPr>
        <w:t>Customer</w:t>
      </w:r>
      <w:r w:rsidRPr="00CE5AA1">
        <w:rPr>
          <w:rFonts w:ascii="Arial"/>
          <w:spacing w:val="9"/>
          <w:sz w:val="18"/>
          <w:highlight w:val="green"/>
        </w:rPr>
        <w:t xml:space="preserve"> </w:t>
      </w:r>
      <w:r w:rsidRPr="00CE5AA1">
        <w:rPr>
          <w:rFonts w:ascii="Arial"/>
          <w:spacing w:val="-1"/>
          <w:sz w:val="18"/>
          <w:highlight w:val="green"/>
        </w:rPr>
        <w:t>Property</w:t>
      </w:r>
      <w:r w:rsidRPr="00CE5AA1">
        <w:rPr>
          <w:rFonts w:ascii="Arial"/>
          <w:spacing w:val="8"/>
          <w:sz w:val="18"/>
          <w:highlight w:val="green"/>
        </w:rPr>
        <w:t xml:space="preserve"> </w:t>
      </w:r>
      <w:r w:rsidRPr="00CE5AA1">
        <w:rPr>
          <w:rFonts w:ascii="Arial"/>
          <w:spacing w:val="-1"/>
          <w:sz w:val="18"/>
          <w:highlight w:val="green"/>
        </w:rPr>
        <w:t>being</w:t>
      </w:r>
      <w:r w:rsidRPr="00CE5AA1">
        <w:rPr>
          <w:rFonts w:ascii="Arial"/>
          <w:spacing w:val="10"/>
          <w:sz w:val="18"/>
          <w:highlight w:val="green"/>
        </w:rPr>
        <w:t xml:space="preserve"> </w:t>
      </w:r>
      <w:r w:rsidRPr="00CE5AA1">
        <w:rPr>
          <w:rFonts w:ascii="Arial"/>
          <w:spacing w:val="-1"/>
          <w:sz w:val="18"/>
          <w:highlight w:val="green"/>
        </w:rPr>
        <w:t>unsuitable</w:t>
      </w:r>
      <w:r w:rsidRPr="00CE5AA1">
        <w:rPr>
          <w:rFonts w:ascii="Arial"/>
          <w:spacing w:val="10"/>
          <w:sz w:val="18"/>
          <w:highlight w:val="green"/>
        </w:rPr>
        <w:t xml:space="preserve"> </w:t>
      </w:r>
      <w:r w:rsidRPr="00CE5AA1">
        <w:rPr>
          <w:rFonts w:ascii="Arial"/>
          <w:sz w:val="18"/>
          <w:highlight w:val="green"/>
        </w:rPr>
        <w:t>for</w:t>
      </w:r>
      <w:r w:rsidRPr="00CE5AA1">
        <w:rPr>
          <w:rFonts w:ascii="Arial"/>
          <w:spacing w:val="9"/>
          <w:sz w:val="18"/>
          <w:highlight w:val="green"/>
        </w:rPr>
        <w:t xml:space="preserve"> </w:t>
      </w:r>
      <w:r w:rsidRPr="00CE5AA1">
        <w:rPr>
          <w:rFonts w:ascii="Arial"/>
          <w:spacing w:val="-1"/>
          <w:sz w:val="18"/>
          <w:highlight w:val="green"/>
        </w:rPr>
        <w:t>the</w:t>
      </w:r>
      <w:r w:rsidRPr="00CE5AA1">
        <w:rPr>
          <w:rFonts w:ascii="Arial"/>
          <w:spacing w:val="10"/>
          <w:sz w:val="18"/>
          <w:highlight w:val="green"/>
        </w:rPr>
        <w:t xml:space="preserve"> </w:t>
      </w:r>
      <w:r w:rsidRPr="00CE5AA1">
        <w:rPr>
          <w:rFonts w:ascii="Arial"/>
          <w:spacing w:val="-1"/>
          <w:sz w:val="18"/>
          <w:highlight w:val="green"/>
        </w:rPr>
        <w:t>provision</w:t>
      </w:r>
      <w:r w:rsidRPr="00CE5AA1">
        <w:rPr>
          <w:rFonts w:ascii="Arial"/>
          <w:spacing w:val="10"/>
          <w:sz w:val="18"/>
          <w:highlight w:val="green"/>
        </w:rPr>
        <w:t xml:space="preserve"> </w:t>
      </w:r>
      <w:r w:rsidRPr="00CE5AA1">
        <w:rPr>
          <w:rFonts w:ascii="Arial"/>
          <w:sz w:val="18"/>
          <w:highlight w:val="green"/>
        </w:rPr>
        <w:t>of</w:t>
      </w:r>
      <w:r w:rsidRPr="00CE5AA1">
        <w:rPr>
          <w:rFonts w:ascii="Arial"/>
          <w:spacing w:val="10"/>
          <w:sz w:val="18"/>
          <w:highlight w:val="green"/>
        </w:rPr>
        <w:t xml:space="preserve"> </w:t>
      </w:r>
      <w:r w:rsidRPr="00CE5AA1">
        <w:rPr>
          <w:rFonts w:ascii="Arial"/>
          <w:sz w:val="18"/>
          <w:highlight w:val="green"/>
        </w:rPr>
        <w:t>the</w:t>
      </w:r>
      <w:r w:rsidRPr="00CE5AA1">
        <w:rPr>
          <w:rFonts w:ascii="Arial"/>
          <w:spacing w:val="10"/>
          <w:sz w:val="18"/>
          <w:highlight w:val="green"/>
        </w:rPr>
        <w:t xml:space="preserve"> </w:t>
      </w:r>
      <w:r w:rsidRPr="00CE5AA1">
        <w:rPr>
          <w:rFonts w:ascii="Arial"/>
          <w:spacing w:val="-1"/>
          <w:sz w:val="18"/>
          <w:highlight w:val="green"/>
        </w:rPr>
        <w:t>Goods</w:t>
      </w:r>
      <w:r w:rsidRPr="00CE5AA1">
        <w:rPr>
          <w:rFonts w:ascii="Arial"/>
          <w:spacing w:val="11"/>
          <w:sz w:val="18"/>
          <w:highlight w:val="green"/>
        </w:rPr>
        <w:t xml:space="preserve"> </w:t>
      </w:r>
      <w:r w:rsidRPr="00CE5AA1">
        <w:rPr>
          <w:rFonts w:ascii="Arial"/>
          <w:spacing w:val="-1"/>
          <w:sz w:val="18"/>
          <w:highlight w:val="green"/>
        </w:rPr>
        <w:t>and/or</w:t>
      </w:r>
      <w:r w:rsidRPr="00CE5AA1">
        <w:rPr>
          <w:rFonts w:ascii="Arial"/>
          <w:spacing w:val="9"/>
          <w:sz w:val="18"/>
          <w:highlight w:val="green"/>
        </w:rPr>
        <w:t xml:space="preserve"> </w:t>
      </w:r>
      <w:r w:rsidRPr="00CE5AA1">
        <w:rPr>
          <w:rFonts w:ascii="Arial"/>
          <w:spacing w:val="-1"/>
          <w:sz w:val="18"/>
          <w:highlight w:val="green"/>
        </w:rPr>
        <w:t>Services</w:t>
      </w:r>
      <w:r w:rsidRPr="00CE5AA1">
        <w:rPr>
          <w:rFonts w:ascii="Arial"/>
          <w:spacing w:val="11"/>
          <w:sz w:val="18"/>
          <w:highlight w:val="green"/>
        </w:rPr>
        <w:t xml:space="preserve"> </w:t>
      </w:r>
      <w:r w:rsidRPr="00CE5AA1">
        <w:rPr>
          <w:rFonts w:ascii="Arial"/>
          <w:spacing w:val="-1"/>
          <w:sz w:val="18"/>
          <w:highlight w:val="green"/>
        </w:rPr>
        <w:t>and</w:t>
      </w:r>
      <w:r w:rsidRPr="00CE5AA1">
        <w:rPr>
          <w:rFonts w:ascii="Arial"/>
          <w:spacing w:val="10"/>
          <w:sz w:val="18"/>
          <w:highlight w:val="green"/>
        </w:rPr>
        <w:t xml:space="preserve"> </w:t>
      </w:r>
      <w:r w:rsidRPr="00CE5AA1">
        <w:rPr>
          <w:rFonts w:ascii="Arial"/>
          <w:sz w:val="18"/>
          <w:highlight w:val="green"/>
        </w:rPr>
        <w:t>any</w:t>
      </w:r>
      <w:r w:rsidRPr="00CE5AA1">
        <w:rPr>
          <w:rFonts w:ascii="Arial"/>
          <w:spacing w:val="107"/>
          <w:sz w:val="18"/>
          <w:highlight w:val="green"/>
        </w:rPr>
        <w:t xml:space="preserve"> </w:t>
      </w:r>
      <w:r w:rsidRPr="00CE5AA1">
        <w:rPr>
          <w:rFonts w:ascii="Arial"/>
          <w:spacing w:val="-1"/>
          <w:sz w:val="18"/>
          <w:highlight w:val="green"/>
        </w:rPr>
        <w:t>action</w:t>
      </w:r>
      <w:r w:rsidRPr="00CE5AA1">
        <w:rPr>
          <w:rFonts w:ascii="Arial"/>
          <w:spacing w:val="1"/>
          <w:sz w:val="18"/>
          <w:highlight w:val="green"/>
        </w:rPr>
        <w:t xml:space="preserve"> </w:t>
      </w:r>
      <w:r w:rsidRPr="00CE5AA1">
        <w:rPr>
          <w:rFonts w:ascii="Arial"/>
          <w:spacing w:val="-1"/>
          <w:sz w:val="18"/>
          <w:highlight w:val="green"/>
        </w:rPr>
        <w:t>which</w:t>
      </w:r>
      <w:r w:rsidRPr="00CE5AA1">
        <w:rPr>
          <w:rFonts w:ascii="Arial"/>
          <w:spacing w:val="-2"/>
          <w:sz w:val="18"/>
          <w:highlight w:val="green"/>
        </w:rPr>
        <w:t xml:space="preserve"> </w:t>
      </w:r>
      <w:r w:rsidRPr="00CE5AA1">
        <w:rPr>
          <w:rFonts w:ascii="Arial"/>
          <w:sz w:val="18"/>
          <w:highlight w:val="green"/>
        </w:rPr>
        <w:t>is</w:t>
      </w:r>
      <w:r w:rsidRPr="00CE5AA1">
        <w:rPr>
          <w:rFonts w:ascii="Arial"/>
          <w:spacing w:val="-1"/>
          <w:sz w:val="18"/>
          <w:highlight w:val="green"/>
        </w:rPr>
        <w:t xml:space="preserve"> </w:t>
      </w:r>
      <w:r w:rsidRPr="00CE5AA1">
        <w:rPr>
          <w:rFonts w:ascii="Arial"/>
          <w:sz w:val="18"/>
          <w:highlight w:val="green"/>
        </w:rPr>
        <w:t>to</w:t>
      </w:r>
      <w:r w:rsidRPr="00CE5AA1">
        <w:rPr>
          <w:rFonts w:ascii="Arial"/>
          <w:spacing w:val="1"/>
          <w:sz w:val="18"/>
          <w:highlight w:val="green"/>
        </w:rPr>
        <w:t xml:space="preserve"> </w:t>
      </w:r>
      <w:r w:rsidRPr="00CE5AA1">
        <w:rPr>
          <w:rFonts w:ascii="Arial"/>
          <w:spacing w:val="-1"/>
          <w:sz w:val="18"/>
          <w:highlight w:val="green"/>
        </w:rPr>
        <w:t>be</w:t>
      </w:r>
      <w:r w:rsidRPr="00CE5AA1">
        <w:rPr>
          <w:rFonts w:ascii="Arial"/>
          <w:spacing w:val="1"/>
          <w:sz w:val="18"/>
          <w:highlight w:val="green"/>
        </w:rPr>
        <w:t xml:space="preserve"> </w:t>
      </w:r>
      <w:r w:rsidRPr="00CE5AA1">
        <w:rPr>
          <w:rFonts w:ascii="Arial"/>
          <w:spacing w:val="-1"/>
          <w:sz w:val="18"/>
          <w:highlight w:val="green"/>
        </w:rPr>
        <w:t>taken</w:t>
      </w:r>
      <w:r w:rsidRPr="00CE5AA1">
        <w:rPr>
          <w:rFonts w:ascii="Arial"/>
          <w:spacing w:val="-2"/>
          <w:sz w:val="18"/>
          <w:highlight w:val="green"/>
        </w:rPr>
        <w:t xml:space="preserve"> </w:t>
      </w:r>
      <w:r w:rsidRPr="00CE5AA1">
        <w:rPr>
          <w:rFonts w:ascii="Arial"/>
          <w:sz w:val="18"/>
          <w:highlight w:val="green"/>
        </w:rPr>
        <w:t>in</w:t>
      </w:r>
      <w:r w:rsidRPr="00CE5AA1">
        <w:rPr>
          <w:rFonts w:ascii="Arial"/>
          <w:spacing w:val="1"/>
          <w:sz w:val="18"/>
          <w:highlight w:val="green"/>
        </w:rPr>
        <w:t xml:space="preserve"> </w:t>
      </w:r>
      <w:r w:rsidRPr="00CE5AA1">
        <w:rPr>
          <w:rFonts w:ascii="Arial"/>
          <w:spacing w:val="-1"/>
          <w:sz w:val="18"/>
          <w:highlight w:val="green"/>
        </w:rPr>
        <w:t>respect</w:t>
      </w:r>
      <w:r w:rsidRPr="00CE5AA1">
        <w:rPr>
          <w:rFonts w:ascii="Arial"/>
          <w:sz w:val="18"/>
          <w:highlight w:val="green"/>
        </w:rPr>
        <w:t xml:space="preserve"> </w:t>
      </w:r>
      <w:r w:rsidRPr="00CE5AA1">
        <w:rPr>
          <w:rFonts w:ascii="Arial"/>
          <w:spacing w:val="-1"/>
          <w:sz w:val="18"/>
          <w:highlight w:val="green"/>
        </w:rPr>
        <w:t>thereof]</w:t>
      </w:r>
    </w:p>
    <w:p w:rsidR="008918FA" w:rsidRDefault="008918FA" w:rsidP="008918FA">
      <w:pPr>
        <w:spacing w:before="85"/>
        <w:ind w:left="241" w:right="110"/>
        <w:jc w:val="both"/>
        <w:rPr>
          <w:rFonts w:ascii="Arial" w:eastAsia="Arial" w:hAnsi="Arial" w:cs="Arial"/>
          <w:sz w:val="18"/>
          <w:szCs w:val="18"/>
        </w:rPr>
      </w:pPr>
      <w:r w:rsidRPr="00CE5AA1">
        <w:rPr>
          <w:rFonts w:ascii="Arial" w:eastAsia="Arial" w:hAnsi="Arial" w:cs="Arial"/>
          <w:position w:val="9"/>
          <w:sz w:val="12"/>
          <w:szCs w:val="12"/>
          <w:highlight w:val="green"/>
        </w:rPr>
        <w:t>23</w:t>
      </w:r>
      <w:r w:rsidRPr="00CE5AA1">
        <w:rPr>
          <w:rFonts w:ascii="Arial" w:eastAsia="Arial" w:hAnsi="Arial" w:cs="Arial"/>
          <w:spacing w:val="24"/>
          <w:position w:val="9"/>
          <w:sz w:val="12"/>
          <w:szCs w:val="12"/>
          <w:highlight w:val="green"/>
        </w:rPr>
        <w:t xml:space="preserve"> </w:t>
      </w:r>
      <w:bookmarkStart w:id="14" w:name="_bookmark22"/>
      <w:bookmarkEnd w:id="14"/>
      <w:r w:rsidRPr="00CE5AA1">
        <w:rPr>
          <w:rFonts w:ascii="Arial" w:eastAsia="Arial" w:hAnsi="Arial" w:cs="Arial"/>
          <w:spacing w:val="-1"/>
          <w:sz w:val="18"/>
          <w:szCs w:val="18"/>
          <w:highlight w:val="green"/>
        </w:rPr>
        <w:t>[Guidance</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Note:</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Include</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any</w:t>
      </w:r>
      <w:r w:rsidRPr="00CE5AA1">
        <w:rPr>
          <w:rFonts w:ascii="Arial" w:eastAsia="Arial" w:hAnsi="Arial" w:cs="Arial"/>
          <w:spacing w:val="6"/>
          <w:sz w:val="18"/>
          <w:szCs w:val="18"/>
          <w:highlight w:val="green"/>
        </w:rPr>
        <w:t xml:space="preserve"> </w:t>
      </w:r>
      <w:r w:rsidRPr="00CE5AA1">
        <w:rPr>
          <w:rFonts w:ascii="Arial" w:eastAsia="Arial" w:hAnsi="Arial" w:cs="Arial"/>
          <w:spacing w:val="-1"/>
          <w:sz w:val="18"/>
          <w:szCs w:val="18"/>
          <w:highlight w:val="green"/>
        </w:rPr>
        <w:t>Commercially</w:t>
      </w:r>
      <w:r w:rsidRPr="00CE5AA1">
        <w:rPr>
          <w:rFonts w:ascii="Arial" w:eastAsia="Arial" w:hAnsi="Arial" w:cs="Arial"/>
          <w:spacing w:val="6"/>
          <w:sz w:val="18"/>
          <w:szCs w:val="18"/>
          <w:highlight w:val="green"/>
        </w:rPr>
        <w:t xml:space="preserve"> </w:t>
      </w:r>
      <w:r w:rsidRPr="00CE5AA1">
        <w:rPr>
          <w:rFonts w:ascii="Arial" w:eastAsia="Arial" w:hAnsi="Arial" w:cs="Arial"/>
          <w:spacing w:val="-1"/>
          <w:sz w:val="18"/>
          <w:szCs w:val="18"/>
          <w:highlight w:val="green"/>
        </w:rPr>
        <w:t>Sensitive</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Information</w:t>
      </w:r>
      <w:r w:rsidRPr="00CE5AA1">
        <w:rPr>
          <w:rFonts w:ascii="Arial" w:eastAsia="Arial" w:hAnsi="Arial" w:cs="Arial"/>
          <w:spacing w:val="5"/>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5"/>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Supplier</w:t>
      </w:r>
      <w:r w:rsidRPr="00CE5AA1">
        <w:rPr>
          <w:rFonts w:ascii="Arial" w:eastAsia="Arial" w:hAnsi="Arial" w:cs="Arial"/>
          <w:spacing w:val="5"/>
          <w:sz w:val="18"/>
          <w:szCs w:val="18"/>
          <w:highlight w:val="green"/>
        </w:rPr>
        <w:t xml:space="preserve"> </w:t>
      </w:r>
      <w:r w:rsidRPr="00CE5AA1">
        <w:rPr>
          <w:rFonts w:ascii="Arial" w:eastAsia="Arial" w:hAnsi="Arial" w:cs="Arial"/>
          <w:sz w:val="18"/>
          <w:szCs w:val="18"/>
          <w:highlight w:val="green"/>
        </w:rPr>
        <w:t>and</w:t>
      </w:r>
      <w:r w:rsidRPr="00CE5AA1">
        <w:rPr>
          <w:rFonts w:ascii="Arial" w:eastAsia="Arial" w:hAnsi="Arial" w:cs="Arial"/>
          <w:spacing w:val="5"/>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duration</w:t>
      </w:r>
      <w:r w:rsidRPr="00CE5AA1">
        <w:rPr>
          <w:rFonts w:ascii="Arial" w:eastAsia="Arial" w:hAnsi="Arial" w:cs="Arial"/>
          <w:spacing w:val="8"/>
          <w:sz w:val="18"/>
          <w:szCs w:val="18"/>
          <w:highlight w:val="green"/>
        </w:rPr>
        <w:t xml:space="preserve"> </w:t>
      </w:r>
      <w:r w:rsidRPr="00CE5AA1">
        <w:rPr>
          <w:rFonts w:ascii="Arial" w:eastAsia="Arial" w:hAnsi="Arial" w:cs="Arial"/>
          <w:sz w:val="18"/>
          <w:szCs w:val="18"/>
          <w:highlight w:val="green"/>
        </w:rPr>
        <w:t>for</w:t>
      </w:r>
      <w:r w:rsidRPr="00CE5AA1">
        <w:rPr>
          <w:rFonts w:ascii="Arial" w:eastAsia="Arial" w:hAnsi="Arial" w:cs="Arial"/>
          <w:spacing w:val="5"/>
          <w:sz w:val="18"/>
          <w:szCs w:val="18"/>
          <w:highlight w:val="green"/>
        </w:rPr>
        <w:t xml:space="preserve"> </w:t>
      </w:r>
      <w:r w:rsidRPr="00CE5AA1">
        <w:rPr>
          <w:rFonts w:ascii="Arial" w:eastAsia="Arial" w:hAnsi="Arial" w:cs="Arial"/>
          <w:spacing w:val="-1"/>
          <w:sz w:val="18"/>
          <w:szCs w:val="18"/>
          <w:highlight w:val="green"/>
        </w:rPr>
        <w:t>which</w:t>
      </w:r>
      <w:r w:rsidRPr="00CE5AA1">
        <w:rPr>
          <w:rFonts w:ascii="Arial" w:eastAsia="Arial" w:hAnsi="Arial" w:cs="Arial"/>
          <w:spacing w:val="4"/>
          <w:sz w:val="18"/>
          <w:szCs w:val="18"/>
          <w:highlight w:val="green"/>
        </w:rPr>
        <w:t xml:space="preserve"> </w:t>
      </w:r>
      <w:r w:rsidRPr="00CE5AA1">
        <w:rPr>
          <w:rFonts w:ascii="Arial" w:eastAsia="Arial" w:hAnsi="Arial" w:cs="Arial"/>
          <w:spacing w:val="-1"/>
          <w:sz w:val="18"/>
          <w:szCs w:val="18"/>
          <w:highlight w:val="green"/>
        </w:rPr>
        <w:t>it</w:t>
      </w:r>
      <w:r w:rsidRPr="00CE5AA1">
        <w:rPr>
          <w:rFonts w:ascii="Arial" w:eastAsia="Arial" w:hAnsi="Arial" w:cs="Arial"/>
          <w:spacing w:val="93"/>
          <w:sz w:val="18"/>
          <w:szCs w:val="18"/>
          <w:highlight w:val="green"/>
        </w:rPr>
        <w:t xml:space="preserve"> </w:t>
      </w:r>
      <w:r w:rsidRPr="00CE5AA1">
        <w:rPr>
          <w:rFonts w:ascii="Arial" w:eastAsia="Arial" w:hAnsi="Arial" w:cs="Arial"/>
          <w:spacing w:val="-1"/>
          <w:sz w:val="18"/>
          <w:szCs w:val="18"/>
          <w:highlight w:val="green"/>
        </w:rPr>
        <w:t>should</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be</w:t>
      </w:r>
      <w:r w:rsidRPr="00CE5AA1">
        <w:rPr>
          <w:rFonts w:ascii="Arial" w:eastAsia="Arial" w:hAnsi="Arial" w:cs="Arial"/>
          <w:spacing w:val="39"/>
          <w:sz w:val="18"/>
          <w:szCs w:val="18"/>
          <w:highlight w:val="green"/>
        </w:rPr>
        <w:t xml:space="preserve"> </w:t>
      </w:r>
      <w:r w:rsidRPr="00CE5AA1">
        <w:rPr>
          <w:rFonts w:ascii="Arial" w:eastAsia="Arial" w:hAnsi="Arial" w:cs="Arial"/>
          <w:spacing w:val="-1"/>
          <w:sz w:val="18"/>
          <w:szCs w:val="18"/>
          <w:highlight w:val="green"/>
        </w:rPr>
        <w:t>confidential.</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This</w:t>
      </w:r>
      <w:r w:rsidRPr="00CE5AA1">
        <w:rPr>
          <w:rFonts w:ascii="Arial" w:eastAsia="Arial" w:hAnsi="Arial" w:cs="Arial"/>
          <w:spacing w:val="39"/>
          <w:sz w:val="18"/>
          <w:szCs w:val="18"/>
          <w:highlight w:val="green"/>
        </w:rPr>
        <w:t xml:space="preserve"> </w:t>
      </w:r>
      <w:r w:rsidRPr="00CE5AA1">
        <w:rPr>
          <w:rFonts w:ascii="Arial" w:eastAsia="Arial" w:hAnsi="Arial" w:cs="Arial"/>
          <w:sz w:val="18"/>
          <w:szCs w:val="18"/>
          <w:highlight w:val="green"/>
        </w:rPr>
        <w:t>may</w:t>
      </w:r>
      <w:r w:rsidRPr="00CE5AA1">
        <w:rPr>
          <w:rFonts w:ascii="Arial" w:eastAsia="Arial" w:hAnsi="Arial" w:cs="Arial"/>
          <w:spacing w:val="39"/>
          <w:sz w:val="18"/>
          <w:szCs w:val="18"/>
          <w:highlight w:val="green"/>
        </w:rPr>
        <w:t xml:space="preserve"> </w:t>
      </w:r>
      <w:r w:rsidRPr="00CE5AA1">
        <w:rPr>
          <w:rFonts w:ascii="Arial" w:eastAsia="Arial" w:hAnsi="Arial" w:cs="Arial"/>
          <w:spacing w:val="-1"/>
          <w:sz w:val="18"/>
          <w:szCs w:val="18"/>
          <w:highlight w:val="green"/>
        </w:rPr>
        <w:t>have</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been</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set</w:t>
      </w:r>
      <w:r w:rsidRPr="00CE5AA1">
        <w:rPr>
          <w:rFonts w:ascii="Arial" w:eastAsia="Arial" w:hAnsi="Arial" w:cs="Arial"/>
          <w:spacing w:val="41"/>
          <w:sz w:val="18"/>
          <w:szCs w:val="18"/>
          <w:highlight w:val="green"/>
        </w:rPr>
        <w:t xml:space="preserve"> </w:t>
      </w:r>
      <w:r w:rsidRPr="00CE5AA1">
        <w:rPr>
          <w:rFonts w:ascii="Arial" w:eastAsia="Arial" w:hAnsi="Arial" w:cs="Arial"/>
          <w:sz w:val="18"/>
          <w:szCs w:val="18"/>
          <w:highlight w:val="green"/>
        </w:rPr>
        <w:t>out</w:t>
      </w:r>
      <w:r w:rsidRPr="00CE5AA1">
        <w:rPr>
          <w:rFonts w:ascii="Arial" w:eastAsia="Arial" w:hAnsi="Arial" w:cs="Arial"/>
          <w:spacing w:val="39"/>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Supplier’s</w:t>
      </w:r>
      <w:r w:rsidRPr="00CE5AA1">
        <w:rPr>
          <w:rFonts w:ascii="Arial" w:eastAsia="Arial" w:hAnsi="Arial" w:cs="Arial"/>
          <w:spacing w:val="42"/>
          <w:sz w:val="18"/>
          <w:szCs w:val="18"/>
          <w:highlight w:val="green"/>
        </w:rPr>
        <w:t xml:space="preserve"> </w:t>
      </w:r>
      <w:r w:rsidRPr="00CE5AA1">
        <w:rPr>
          <w:rFonts w:ascii="Arial" w:eastAsia="Arial" w:hAnsi="Arial" w:cs="Arial"/>
          <w:spacing w:val="-1"/>
          <w:sz w:val="18"/>
          <w:szCs w:val="18"/>
          <w:highlight w:val="green"/>
        </w:rPr>
        <w:t>tender.</w:t>
      </w:r>
      <w:r w:rsidRPr="00CE5AA1">
        <w:rPr>
          <w:rFonts w:ascii="Arial" w:eastAsia="Arial" w:hAnsi="Arial" w:cs="Arial"/>
          <w:spacing w:val="40"/>
          <w:sz w:val="18"/>
          <w:szCs w:val="18"/>
          <w:highlight w:val="green"/>
        </w:rPr>
        <w:t xml:space="preserve"> </w:t>
      </w:r>
      <w:r w:rsidRPr="00CE5AA1">
        <w:rPr>
          <w:rFonts w:ascii="Arial" w:eastAsia="Arial" w:hAnsi="Arial" w:cs="Arial"/>
          <w:spacing w:val="-1"/>
          <w:sz w:val="18"/>
          <w:szCs w:val="18"/>
          <w:highlight w:val="green"/>
        </w:rPr>
        <w:t>This</w:t>
      </w:r>
      <w:r w:rsidRPr="00CE5AA1">
        <w:rPr>
          <w:rFonts w:ascii="Arial" w:eastAsia="Arial" w:hAnsi="Arial" w:cs="Arial"/>
          <w:spacing w:val="42"/>
          <w:sz w:val="18"/>
          <w:szCs w:val="18"/>
          <w:highlight w:val="green"/>
        </w:rPr>
        <w:t xml:space="preserve"> </w:t>
      </w:r>
      <w:r w:rsidRPr="00CE5AA1">
        <w:rPr>
          <w:rFonts w:ascii="Arial" w:eastAsia="Arial" w:hAnsi="Arial" w:cs="Arial"/>
          <w:spacing w:val="-1"/>
          <w:sz w:val="18"/>
          <w:szCs w:val="18"/>
          <w:highlight w:val="green"/>
        </w:rPr>
        <w:t>will</w:t>
      </w:r>
      <w:r w:rsidRPr="00CE5AA1">
        <w:rPr>
          <w:rFonts w:ascii="Arial" w:eastAsia="Arial" w:hAnsi="Arial" w:cs="Arial"/>
          <w:spacing w:val="42"/>
          <w:sz w:val="18"/>
          <w:szCs w:val="18"/>
          <w:highlight w:val="green"/>
        </w:rPr>
        <w:t xml:space="preserve"> </w:t>
      </w:r>
      <w:r w:rsidRPr="00CE5AA1">
        <w:rPr>
          <w:rFonts w:ascii="Arial" w:eastAsia="Arial" w:hAnsi="Arial" w:cs="Arial"/>
          <w:sz w:val="18"/>
          <w:szCs w:val="18"/>
          <w:highlight w:val="green"/>
        </w:rPr>
        <w:t>be</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relevant</w:t>
      </w:r>
      <w:r w:rsidRPr="00CE5AA1">
        <w:rPr>
          <w:rFonts w:ascii="Arial" w:eastAsia="Arial" w:hAnsi="Arial" w:cs="Arial"/>
          <w:spacing w:val="39"/>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41"/>
          <w:sz w:val="18"/>
          <w:szCs w:val="18"/>
          <w:highlight w:val="green"/>
        </w:rPr>
        <w:t xml:space="preserve"> </w:t>
      </w:r>
      <w:r w:rsidRPr="00CE5AA1">
        <w:rPr>
          <w:rFonts w:ascii="Arial" w:eastAsia="Arial" w:hAnsi="Arial" w:cs="Arial"/>
          <w:spacing w:val="-1"/>
          <w:sz w:val="18"/>
          <w:szCs w:val="18"/>
          <w:highlight w:val="green"/>
        </w:rPr>
        <w:t>e.g.</w:t>
      </w:r>
      <w:r w:rsidRPr="00CE5AA1">
        <w:rPr>
          <w:rFonts w:ascii="Arial" w:eastAsia="Arial" w:hAnsi="Arial" w:cs="Arial"/>
          <w:spacing w:val="79"/>
          <w:sz w:val="18"/>
          <w:szCs w:val="18"/>
          <w:highlight w:val="green"/>
        </w:rPr>
        <w:t xml:space="preserve"> </w:t>
      </w:r>
      <w:r w:rsidRPr="00CE5AA1">
        <w:rPr>
          <w:rFonts w:ascii="Arial" w:eastAsia="Arial" w:hAnsi="Arial" w:cs="Arial"/>
          <w:spacing w:val="-1"/>
          <w:sz w:val="18"/>
          <w:szCs w:val="18"/>
          <w:highlight w:val="green"/>
        </w:rPr>
        <w:t>assisting</w:t>
      </w:r>
      <w:r w:rsidRPr="00CE5AA1">
        <w:rPr>
          <w:rFonts w:ascii="Arial" w:eastAsia="Arial" w:hAnsi="Arial" w:cs="Arial"/>
          <w:spacing w:val="-2"/>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Customer</w:t>
      </w:r>
      <w:r w:rsidRPr="00CE5AA1">
        <w:rPr>
          <w:rFonts w:ascii="Arial" w:eastAsia="Arial" w:hAnsi="Arial" w:cs="Arial"/>
          <w:spacing w:val="-2"/>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respect</w:t>
      </w:r>
      <w:r w:rsidRPr="00CE5AA1">
        <w:rPr>
          <w:rFonts w:ascii="Arial" w:eastAsia="Arial" w:hAnsi="Arial" w:cs="Arial"/>
          <w:sz w:val="18"/>
          <w:szCs w:val="18"/>
          <w:highlight w:val="green"/>
        </w:rPr>
        <w:t xml:space="preserve"> </w:t>
      </w:r>
      <w:r w:rsidRPr="00CE5AA1">
        <w:rPr>
          <w:rFonts w:ascii="Arial" w:eastAsia="Arial" w:hAnsi="Arial" w:cs="Arial"/>
          <w:spacing w:val="-1"/>
          <w:sz w:val="18"/>
          <w:szCs w:val="18"/>
          <w:highlight w:val="green"/>
        </w:rPr>
        <w:t>of</w:t>
      </w:r>
      <w:r w:rsidRPr="00CE5AA1">
        <w:rPr>
          <w:rFonts w:ascii="Arial" w:eastAsia="Arial" w:hAnsi="Arial" w:cs="Arial"/>
          <w:sz w:val="18"/>
          <w:szCs w:val="18"/>
          <w:highlight w:val="green"/>
        </w:rPr>
        <w:t xml:space="preserve"> </w:t>
      </w:r>
      <w:r w:rsidRPr="00CE5AA1">
        <w:rPr>
          <w:rFonts w:ascii="Arial" w:eastAsia="Arial" w:hAnsi="Arial" w:cs="Arial"/>
          <w:spacing w:val="-1"/>
          <w:sz w:val="18"/>
          <w:szCs w:val="18"/>
          <w:highlight w:val="green"/>
        </w:rPr>
        <w:t>compliance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with</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FOIA]</w:t>
      </w:r>
    </w:p>
    <w:p w:rsidR="008918FA" w:rsidRDefault="008918FA" w:rsidP="008918FA">
      <w:pPr>
        <w:spacing w:before="10"/>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399F920B" wp14:editId="39B27AED">
                <wp:extent cx="5658485" cy="275590"/>
                <wp:effectExtent l="3810" t="0" r="0" b="4445"/>
                <wp:docPr id="7320" name="Group 7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275590"/>
                          <a:chOff x="0" y="0"/>
                          <a:chExt cx="8911" cy="434"/>
                        </a:xfrm>
                      </wpg:grpSpPr>
                      <wpg:grpSp>
                        <wpg:cNvPr id="7321" name="Group 7316"/>
                        <wpg:cNvGrpSpPr>
                          <a:grpSpLocks/>
                        </wpg:cNvGrpSpPr>
                        <wpg:grpSpPr bwMode="auto">
                          <a:xfrm>
                            <a:off x="187" y="20"/>
                            <a:ext cx="8722" cy="207"/>
                            <a:chOff x="187" y="20"/>
                            <a:chExt cx="8722" cy="207"/>
                          </a:xfrm>
                        </wpg:grpSpPr>
                        <wps:wsp>
                          <wps:cNvPr id="7322" name="Freeform 7317"/>
                          <wps:cNvSpPr>
                            <a:spLocks/>
                          </wps:cNvSpPr>
                          <wps:spPr bwMode="auto">
                            <a:xfrm>
                              <a:off x="187" y="20"/>
                              <a:ext cx="8722" cy="207"/>
                            </a:xfrm>
                            <a:custGeom>
                              <a:avLst/>
                              <a:gdLst>
                                <a:gd name="T0" fmla="+- 0 187 187"/>
                                <a:gd name="T1" fmla="*/ T0 w 8722"/>
                                <a:gd name="T2" fmla="+- 0 227 20"/>
                                <a:gd name="T3" fmla="*/ 227 h 207"/>
                                <a:gd name="T4" fmla="+- 0 8909 187"/>
                                <a:gd name="T5" fmla="*/ T4 w 8722"/>
                                <a:gd name="T6" fmla="+- 0 227 20"/>
                                <a:gd name="T7" fmla="*/ 227 h 207"/>
                                <a:gd name="T8" fmla="+- 0 8909 187"/>
                                <a:gd name="T9" fmla="*/ T8 w 8722"/>
                                <a:gd name="T10" fmla="+- 0 20 20"/>
                                <a:gd name="T11" fmla="*/ 20 h 207"/>
                                <a:gd name="T12" fmla="+- 0 187 187"/>
                                <a:gd name="T13" fmla="*/ T12 w 8722"/>
                                <a:gd name="T14" fmla="+- 0 20 20"/>
                                <a:gd name="T15" fmla="*/ 20 h 207"/>
                                <a:gd name="T16" fmla="+- 0 187 187"/>
                                <a:gd name="T17" fmla="*/ T16 w 8722"/>
                                <a:gd name="T18" fmla="+- 0 227 20"/>
                                <a:gd name="T19" fmla="*/ 227 h 207"/>
                              </a:gdLst>
                              <a:ahLst/>
                              <a:cxnLst>
                                <a:cxn ang="0">
                                  <a:pos x="T1" y="T3"/>
                                </a:cxn>
                                <a:cxn ang="0">
                                  <a:pos x="T5" y="T7"/>
                                </a:cxn>
                                <a:cxn ang="0">
                                  <a:pos x="T9" y="T11"/>
                                </a:cxn>
                                <a:cxn ang="0">
                                  <a:pos x="T13" y="T15"/>
                                </a:cxn>
                                <a:cxn ang="0">
                                  <a:pos x="T17" y="T19"/>
                                </a:cxn>
                              </a:cxnLst>
                              <a:rect l="0" t="0" r="r" b="b"/>
                              <a:pathLst>
                                <a:path w="8722" h="207">
                                  <a:moveTo>
                                    <a:pt x="0" y="207"/>
                                  </a:moveTo>
                                  <a:lnTo>
                                    <a:pt x="8722" y="207"/>
                                  </a:lnTo>
                                  <a:lnTo>
                                    <a:pt x="8722"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3" name="Group 7313"/>
                        <wpg:cNvGrpSpPr>
                          <a:grpSpLocks/>
                        </wpg:cNvGrpSpPr>
                        <wpg:grpSpPr bwMode="auto">
                          <a:xfrm>
                            <a:off x="0" y="227"/>
                            <a:ext cx="8556" cy="207"/>
                            <a:chOff x="0" y="227"/>
                            <a:chExt cx="8556" cy="207"/>
                          </a:xfrm>
                        </wpg:grpSpPr>
                        <wps:wsp>
                          <wps:cNvPr id="7324" name="Freeform 7315"/>
                          <wps:cNvSpPr>
                            <a:spLocks/>
                          </wps:cNvSpPr>
                          <wps:spPr bwMode="auto">
                            <a:xfrm>
                              <a:off x="0" y="227"/>
                              <a:ext cx="8556" cy="207"/>
                            </a:xfrm>
                            <a:custGeom>
                              <a:avLst/>
                              <a:gdLst>
                                <a:gd name="T0" fmla="*/ 0 w 8556"/>
                                <a:gd name="T1" fmla="+- 0 433 227"/>
                                <a:gd name="T2" fmla="*/ 433 h 207"/>
                                <a:gd name="T3" fmla="*/ 8556 w 8556"/>
                                <a:gd name="T4" fmla="+- 0 433 227"/>
                                <a:gd name="T5" fmla="*/ 433 h 207"/>
                                <a:gd name="T6" fmla="*/ 8556 w 8556"/>
                                <a:gd name="T7" fmla="+- 0 227 227"/>
                                <a:gd name="T8" fmla="*/ 227 h 207"/>
                                <a:gd name="T9" fmla="*/ 0 w 8556"/>
                                <a:gd name="T10" fmla="+- 0 227 227"/>
                                <a:gd name="T11" fmla="*/ 227 h 207"/>
                                <a:gd name="T12" fmla="*/ 0 w 8556"/>
                                <a:gd name="T13" fmla="+- 0 433 227"/>
                                <a:gd name="T14" fmla="*/ 433 h 207"/>
                              </a:gdLst>
                              <a:ahLst/>
                              <a:cxnLst>
                                <a:cxn ang="0">
                                  <a:pos x="T0" y="T2"/>
                                </a:cxn>
                                <a:cxn ang="0">
                                  <a:pos x="T3" y="T5"/>
                                </a:cxn>
                                <a:cxn ang="0">
                                  <a:pos x="T6" y="T8"/>
                                </a:cxn>
                                <a:cxn ang="0">
                                  <a:pos x="T9" y="T11"/>
                                </a:cxn>
                                <a:cxn ang="0">
                                  <a:pos x="T12" y="T14"/>
                                </a:cxn>
                              </a:cxnLst>
                              <a:rect l="0" t="0" r="r" b="b"/>
                              <a:pathLst>
                                <a:path w="8556" h="207">
                                  <a:moveTo>
                                    <a:pt x="0" y="206"/>
                                  </a:moveTo>
                                  <a:lnTo>
                                    <a:pt x="8556" y="206"/>
                                  </a:lnTo>
                                  <a:lnTo>
                                    <a:pt x="8556"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5" name="Text Box 7314"/>
                          <wps:cNvSpPr txBox="1">
                            <a:spLocks noChangeArrowheads="1"/>
                          </wps:cNvSpPr>
                          <wps:spPr bwMode="auto">
                            <a:xfrm>
                              <a:off x="0" y="0"/>
                              <a:ext cx="891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3" w:line="206" w:lineRule="exact"/>
                                  <w:rPr>
                                    <w:rFonts w:ascii="Arial" w:eastAsia="Arial" w:hAnsi="Arial" w:cs="Arial"/>
                                    <w:sz w:val="18"/>
                                    <w:szCs w:val="18"/>
                                  </w:rPr>
                                </w:pPr>
                                <w:r>
                                  <w:rPr>
                                    <w:rFonts w:ascii="Arial"/>
                                    <w:position w:val="9"/>
                                    <w:sz w:val="12"/>
                                  </w:rPr>
                                  <w:t>24</w:t>
                                </w:r>
                                <w:r>
                                  <w:rPr>
                                    <w:rFonts w:ascii="Arial"/>
                                    <w:spacing w:val="19"/>
                                    <w:position w:val="9"/>
                                    <w:sz w:val="12"/>
                                  </w:rPr>
                                  <w:t xml:space="preserve"> </w:t>
                                </w:r>
                                <w:bookmarkStart w:id="15" w:name="_bookmark23"/>
                                <w:bookmarkEnd w:id="15"/>
                                <w:r>
                                  <w:rPr>
                                    <w:rFonts w:ascii="Arial"/>
                                    <w:spacing w:val="-1"/>
                                    <w:sz w:val="18"/>
                                  </w:rPr>
                                  <w:t>[Guidance</w:t>
                                </w:r>
                                <w:r>
                                  <w:rPr>
                                    <w:rFonts w:ascii="Arial"/>
                                    <w:spacing w:val="3"/>
                                    <w:sz w:val="18"/>
                                  </w:rPr>
                                  <w:t xml:space="preserve"> </w:t>
                                </w:r>
                                <w:r>
                                  <w:rPr>
                                    <w:rFonts w:ascii="Arial"/>
                                    <w:spacing w:val="-1"/>
                                    <w:sz w:val="18"/>
                                  </w:rPr>
                                  <w:t>Note:</w:t>
                                </w:r>
                                <w:r>
                                  <w:rPr>
                                    <w:rFonts w:ascii="Arial"/>
                                    <w:spacing w:val="3"/>
                                    <w:sz w:val="18"/>
                                  </w:rPr>
                                  <w:t xml:space="preserve"> </w:t>
                                </w:r>
                                <w:r>
                                  <w:rPr>
                                    <w:rFonts w:ascii="Arial"/>
                                    <w:sz w:val="18"/>
                                  </w:rPr>
                                  <w:t>See</w:t>
                                </w:r>
                                <w:r>
                                  <w:rPr>
                                    <w:rFonts w:ascii="Arial"/>
                                    <w:spacing w:val="3"/>
                                    <w:sz w:val="18"/>
                                  </w:rPr>
                                  <w:t xml:space="preserve"> </w:t>
                                </w:r>
                                <w:r>
                                  <w:rPr>
                                    <w:rFonts w:ascii="Arial"/>
                                    <w:sz w:val="18"/>
                                  </w:rPr>
                                  <w:t>Part</w:t>
                                </w:r>
                                <w:r>
                                  <w:rPr>
                                    <w:rFonts w:ascii="Arial"/>
                                    <w:spacing w:val="3"/>
                                    <w:sz w:val="18"/>
                                  </w:rPr>
                                  <w:t xml:space="preserve"> </w:t>
                                </w:r>
                                <w:r>
                                  <w:rPr>
                                    <w:rFonts w:ascii="Arial"/>
                                    <w:sz w:val="18"/>
                                  </w:rPr>
                                  <w:t>B</w:t>
                                </w:r>
                                <w:r>
                                  <w:rPr>
                                    <w:rFonts w:ascii="Arial"/>
                                    <w:spacing w:val="2"/>
                                    <w:sz w:val="18"/>
                                  </w:rPr>
                                  <w:t xml:space="preserve"> </w:t>
                                </w:r>
                                <w:r>
                                  <w:rPr>
                                    <w:rFonts w:ascii="Arial"/>
                                    <w:spacing w:val="-1"/>
                                    <w:sz w:val="18"/>
                                  </w:rPr>
                                  <w:t>of</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pacing w:val="3"/>
                                    <w:sz w:val="18"/>
                                  </w:rPr>
                                  <w:t xml:space="preserve"> </w:t>
                                </w:r>
                                <w:r>
                                  <w:rPr>
                                    <w:rFonts w:ascii="Arial"/>
                                    <w:spacing w:val="-1"/>
                                    <w:sz w:val="18"/>
                                  </w:rPr>
                                  <w:t>Schedule</w:t>
                                </w:r>
                                <w:r>
                                  <w:rPr>
                                    <w:rFonts w:ascii="Arial"/>
                                    <w:spacing w:val="3"/>
                                    <w:sz w:val="18"/>
                                  </w:rPr>
                                  <w:t xml:space="preserve"> </w:t>
                                </w:r>
                                <w:r>
                                  <w:rPr>
                                    <w:rFonts w:ascii="Arial"/>
                                    <w:sz w:val="18"/>
                                  </w:rPr>
                                  <w:t>4</w:t>
                                </w:r>
                                <w:r>
                                  <w:rPr>
                                    <w:rFonts w:ascii="Arial"/>
                                    <w:spacing w:val="3"/>
                                    <w:sz w:val="18"/>
                                  </w:rPr>
                                  <w:t xml:space="preserve"> </w:t>
                                </w:r>
                                <w:r>
                                  <w:rPr>
                                    <w:rFonts w:ascii="Arial"/>
                                    <w:spacing w:val="-1"/>
                                    <w:sz w:val="18"/>
                                  </w:rPr>
                                  <w:t>(Implementation</w:t>
                                </w:r>
                                <w:r>
                                  <w:rPr>
                                    <w:rFonts w:ascii="Arial"/>
                                    <w:spacing w:val="3"/>
                                    <w:sz w:val="18"/>
                                  </w:rPr>
                                  <w:t xml:space="preserve"> </w:t>
                                </w:r>
                                <w:r>
                                  <w:rPr>
                                    <w:rFonts w:ascii="Arial"/>
                                    <w:spacing w:val="-1"/>
                                    <w:sz w:val="18"/>
                                  </w:rPr>
                                  <w:t>Plan,</w:t>
                                </w:r>
                                <w:r>
                                  <w:rPr>
                                    <w:rFonts w:ascii="Arial"/>
                                    <w:spacing w:val="3"/>
                                    <w:sz w:val="18"/>
                                  </w:rPr>
                                  <w:t xml:space="preserve"> </w:t>
                                </w:r>
                                <w:r>
                                  <w:rPr>
                                    <w:rFonts w:ascii="Arial"/>
                                    <w:spacing w:val="-1"/>
                                    <w:sz w:val="18"/>
                                  </w:rPr>
                                  <w:t>Customer</w:t>
                                </w:r>
                                <w:r>
                                  <w:rPr>
                                    <w:rFonts w:ascii="Arial"/>
                                    <w:spacing w:val="2"/>
                                    <w:sz w:val="18"/>
                                  </w:rPr>
                                  <w:t xml:space="preserve"> </w:t>
                                </w:r>
                                <w:r>
                                  <w:rPr>
                                    <w:rFonts w:ascii="Arial"/>
                                    <w:spacing w:val="-1"/>
                                    <w:sz w:val="18"/>
                                  </w:rPr>
                                  <w:t>Responsibilities</w:t>
                                </w:r>
                                <w:r>
                                  <w:rPr>
                                    <w:rFonts w:ascii="Arial"/>
                                    <w:spacing w:val="3"/>
                                    <w:sz w:val="18"/>
                                  </w:rPr>
                                  <w:t xml:space="preserve"> </w:t>
                                </w:r>
                                <w:r>
                                  <w:rPr>
                                    <w:rFonts w:ascii="Arial"/>
                                    <w:sz w:val="18"/>
                                  </w:rPr>
                                  <w:t>and</w:t>
                                </w:r>
                                <w:r>
                                  <w:rPr>
                                    <w:rFonts w:ascii="Arial"/>
                                    <w:spacing w:val="3"/>
                                    <w:sz w:val="18"/>
                                  </w:rPr>
                                  <w:t xml:space="preserve"> </w:t>
                                </w:r>
                                <w:r>
                                  <w:rPr>
                                    <w:rFonts w:ascii="Arial"/>
                                    <w:sz w:val="18"/>
                                  </w:rPr>
                                  <w:t>Key</w:t>
                                </w:r>
                                <w:r>
                                  <w:rPr>
                                    <w:rFonts w:ascii="Arial"/>
                                    <w:spacing w:val="93"/>
                                    <w:sz w:val="18"/>
                                  </w:rPr>
                                  <w:t xml:space="preserve"> </w:t>
                                </w:r>
                                <w:r>
                                  <w:rPr>
                                    <w:rFonts w:ascii="Arial"/>
                                    <w:spacing w:val="-1"/>
                                    <w:sz w:val="18"/>
                                  </w:rPr>
                                  <w:t>Personnel)</w:t>
                                </w:r>
                                <w:r>
                                  <w:rPr>
                                    <w:rFonts w:ascii="Arial"/>
                                    <w:spacing w:val="-2"/>
                                    <w:sz w:val="18"/>
                                  </w:rPr>
                                  <w:t xml:space="preserve"> </w:t>
                                </w:r>
                                <w:r>
                                  <w:rPr>
                                    <w:rFonts w:ascii="Arial"/>
                                    <w:sz w:val="18"/>
                                  </w:rPr>
                                  <w:t>and</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guidance</w:t>
                                </w:r>
                                <w:r>
                                  <w:rPr>
                                    <w:rFonts w:ascii="Arial"/>
                                    <w:spacing w:val="1"/>
                                    <w:sz w:val="18"/>
                                  </w:rPr>
                                  <w:t xml:space="preserve"> </w:t>
                                </w:r>
                                <w:r>
                                  <w:rPr>
                                    <w:rFonts w:ascii="Arial"/>
                                    <w:spacing w:val="-1"/>
                                    <w:sz w:val="18"/>
                                  </w:rPr>
                                  <w:t>therein.</w:t>
                                </w:r>
                                <w:r>
                                  <w:rPr>
                                    <w:rFonts w:ascii="Arial"/>
                                    <w:sz w:val="18"/>
                                  </w:rPr>
                                  <w:t xml:space="preserve"> Add</w:t>
                                </w:r>
                                <w:r>
                                  <w:rPr>
                                    <w:rFonts w:ascii="Arial"/>
                                    <w:spacing w:val="-2"/>
                                    <w:sz w:val="18"/>
                                  </w:rPr>
                                  <w:t xml:space="preserve"> </w:t>
                                </w:r>
                                <w:r>
                                  <w:rPr>
                                    <w:rFonts w:ascii="Arial"/>
                                    <w:sz w:val="18"/>
                                  </w:rPr>
                                  <w:t>any</w:t>
                                </w:r>
                                <w:r>
                                  <w:rPr>
                                    <w:rFonts w:ascii="Arial"/>
                                    <w:spacing w:val="-1"/>
                                    <w:sz w:val="18"/>
                                  </w:rPr>
                                  <w:t xml:space="preserve"> other</w:t>
                                </w:r>
                                <w:r>
                                  <w:rPr>
                                    <w:rFonts w:ascii="Arial"/>
                                    <w:sz w:val="18"/>
                                  </w:rPr>
                                  <w:t xml:space="preserve"> </w:t>
                                </w:r>
                                <w:r>
                                  <w:rPr>
                                    <w:rFonts w:ascii="Arial"/>
                                    <w:spacing w:val="-1"/>
                                    <w:sz w:val="18"/>
                                  </w:rPr>
                                  <w:t>Customer</w:t>
                                </w:r>
                                <w:r>
                                  <w:rPr>
                                    <w:rFonts w:ascii="Arial"/>
                                    <w:sz w:val="18"/>
                                  </w:rPr>
                                  <w:t xml:space="preserve"> </w:t>
                                </w:r>
                                <w:r>
                                  <w:rPr>
                                    <w:rFonts w:ascii="Arial"/>
                                    <w:spacing w:val="-1"/>
                                    <w:sz w:val="18"/>
                                  </w:rPr>
                                  <w:t>Responsibilities agreed</w:t>
                                </w:r>
                                <w:r>
                                  <w:rPr>
                                    <w:rFonts w:ascii="Arial"/>
                                    <w:spacing w:val="1"/>
                                    <w:sz w:val="18"/>
                                  </w:rPr>
                                  <w:t xml:space="preserve"> </w:t>
                                </w:r>
                                <w:r>
                                  <w:rPr>
                                    <w:rFonts w:ascii="Arial"/>
                                    <w:spacing w:val="-1"/>
                                    <w:sz w:val="18"/>
                                  </w:rPr>
                                  <w:t>between</w:t>
                                </w:r>
                                <w:r>
                                  <w:rPr>
                                    <w:rFonts w:ascii="Arial"/>
                                    <w:spacing w:val="1"/>
                                    <w:sz w:val="18"/>
                                  </w:rPr>
                                  <w:t xml:space="preserve"> </w:t>
                                </w:r>
                                <w:r>
                                  <w:rPr>
                                    <w:rFonts w:ascii="Arial"/>
                                    <w:sz w:val="18"/>
                                  </w:rPr>
                                  <w:t>the</w:t>
                                </w:r>
                                <w:r>
                                  <w:rPr>
                                    <w:rFonts w:ascii="Arial"/>
                                    <w:spacing w:val="1"/>
                                    <w:sz w:val="18"/>
                                  </w:rPr>
                                  <w:t xml:space="preserve"> </w:t>
                                </w:r>
                                <w:r>
                                  <w:rPr>
                                    <w:rFonts w:ascii="Arial"/>
                                    <w:spacing w:val="-1"/>
                                    <w:sz w:val="18"/>
                                  </w:rPr>
                                  <w:t>Parties]</w:t>
                                </w:r>
                              </w:p>
                            </w:txbxContent>
                          </wps:txbx>
                          <wps:bodyPr rot="0" vert="horz" wrap="square" lIns="0" tIns="0" rIns="0" bIns="0" anchor="t" anchorCtr="0" upright="1">
                            <a:noAutofit/>
                          </wps:bodyPr>
                        </wps:wsp>
                      </wpg:grpSp>
                    </wpg:wgp>
                  </a:graphicData>
                </a:graphic>
              </wp:inline>
            </w:drawing>
          </mc:Choice>
          <mc:Fallback>
            <w:pict>
              <v:group w14:anchorId="399F920B" id="Group 7312" o:spid="_x0000_s1035" style="width:445.55pt;height:21.7pt;mso-position-horizontal-relative:char;mso-position-vertical-relative:line" coordsize="89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">
                <v:group id="Group 7316" o:spid="_x0000_s1036" style="position:absolute;left:187;top:20;width:8722;height:207" coordorigin="187,20" coordsize="872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ILxsUAAADdAAAADwAAAGRycy9kb3ducmV2LnhtbESPQYvCMBSE78L+h/AE&#10;b5pWWV2qUURW2YMsqAvi7dE822LzUprY1n9vhAWPw8x8wyxWnSlFQ7UrLCuIRxEI4tTqgjMFf6ft&#10;8AuE88gaS8uk4EEOVsuP3gITbVs+UHP0mQgQdgkqyL2vEildmpNBN7IVcfCutjbog6wzqWtsA9yU&#10;chxFU2mw4LCQY0WbnNLb8W4U7Fps15P4u9nfrpvH5fT5e97HpNSg363nIDx1/h3+b/9oBbP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SC8bFAAAA3QAA&#10;AA8AAAAAAAAAAAAAAAAAqgIAAGRycy9kb3ducmV2LnhtbFBLBQYAAAAABAAEAPoAAACcAwAAAAA=&#10;">
                  <v:shape id="Freeform 7317" o:spid="_x0000_s1037" style="position:absolute;left:187;top:20;width:8722;height:207;visibility:visible;mso-wrap-style:square;v-text-anchor:top" coordsize="872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AjsQA&#10;AADdAAAADwAAAGRycy9kb3ducmV2LnhtbESP0WrCQBRE34X+w3ILvummUVJJXUUKSlBfavsBl+w1&#10;Cc3eDbtrjH/vCoKPw8ycYZbrwbSiJ+cbywo+pgkI4tLqhisFf7/byQKED8gaW8uk4EYe1qu30RJz&#10;ba/8Q/0pVCJC2OeooA6hy6X0ZU0G/dR2xNE7W2cwROkqqR1eI9y0Mk2STBpsOC7U2NF3TeX/6WIU&#10;6GxnD5vD4pjtz4xz3Rd75wqlxu/D5gtEoCG8ws92oRV8ztIUHm/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I7EAAAA3QAAAA8AAAAAAAAAAAAAAAAAmAIAAGRycy9k&#10;b3ducmV2LnhtbFBLBQYAAAAABAAEAPUAAACJAwAAAAA=&#10;" path="m,207r8722,l8722,,,,,207xe" fillcolor="lime" stroked="f">
                    <v:path arrowok="t" o:connecttype="custom" o:connectlocs="0,227;8722,227;8722,20;0,20;0,227" o:connectangles="0,0,0,0,0"/>
                  </v:shape>
                </v:group>
                <v:group id="Group 7313" o:spid="_x0000_s1038" style="position:absolute;top:227;width:8556;height:207" coordorigin=",227" coordsize="8556,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wKsYAAADdAAAADwAAAGRycy9kb3ducmV2LnhtbESPQWvCQBSE7wX/w/KE&#10;3uomhrYSXUVESw8iVAXx9sg+k2D2bciuSfz3riD0OMzMN8xs0ZtKtNS40rKCeBSBIM6sLjlXcDxs&#10;PiYgnEfWWFkmBXdysJgP3maYatvxH7V7n4sAYZeigsL7OpXSZQUZdCNbEwfvYhuDPsgml7rBLsBN&#10;JcdR9CUNlhwWCqxpVVB23d+Mgp8Ou2USr9vt9bK6nw+fu9M2JqXeh/1yCsJT7//Dr/avVvCd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DDAqxgAAAN0A&#10;AAAPAAAAAAAAAAAAAAAAAKoCAABkcnMvZG93bnJldi54bWxQSwUGAAAAAAQABAD6AAAAnQMAAAAA&#10;">
                  <v:shape id="Freeform 7315" o:spid="_x0000_s1039" style="position:absolute;top:227;width:8556;height:207;visibility:visible;mso-wrap-style:square;v-text-anchor:top" coordsize="855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mU8QA&#10;AADdAAAADwAAAGRycy9kb3ducmV2LnhtbESPwWrDMBBE74X8g9hALiWW45QmuFFCKAR6KsR17ou0&#10;tY2tlZHUxM3XV4VCj8PMvGF2h8kO4ko+dI4VrLIcBLF2puNGQf1xWm5BhIhscHBMCr4pwGE/e9hh&#10;adyNz3StYiMShEOJCtoYx1LKoFuyGDI3Eifv03mLMUnfSOPxluB2kEWeP0uLHaeFFkd6bUn31ZdV&#10;UNypmi767nw9nl2/7h/f5UBKLebT8QVEpCn+h//ab0bBZl08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JlPEAAAA3QAAAA8AAAAAAAAAAAAAAAAAmAIAAGRycy9k&#10;b3ducmV2LnhtbFBLBQYAAAAABAAEAPUAAACJAwAAAAA=&#10;" path="m,206r8556,l8556,,,,,206xe" fillcolor="lime" stroked="f">
                    <v:path arrowok="t" o:connecttype="custom" o:connectlocs="0,433;8556,433;8556,227;0,227;0,433" o:connectangles="0,0,0,0,0"/>
                  </v:shape>
                  <v:shape id="Text Box 7314" o:spid="_x0000_s1040" type="#_x0000_t202" style="position:absolute;width:891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FHscA&#10;AADdAAAADwAAAGRycy9kb3ducmV2LnhtbESPQWvCQBSE7wX/w/IKvdVNLdoaXUXEgiAUk/Tg8Zl9&#10;JovZtzG71fjvu4VCj8PMfMPMl71txJU6bxwreBkmIIhLpw1XCr6Kj+d3ED4ga2wck4I7eVguBg9z&#10;TLW7cUbXPFQiQtinqKAOoU2l9GVNFv3QtcTRO7nOYoiyq6Tu8BbhtpGjJJlIi4bjQo0trWsqz/m3&#10;VbA6cLYxl8/jPjtlpiimCe8mZ6WeHvvVDESgPvyH/9pbreDtdTS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rBR7HAAAA3QAAAA8AAAAAAAAAAAAAAAAAmAIAAGRy&#10;cy9kb3ducmV2LnhtbFBLBQYAAAAABAAEAPUAAACMAwAAAAA=&#10;" filled="f" stroked="f">
                    <v:textbox inset="0,0,0,0">
                      <w:txbxContent>
                        <w:p w:rsidR="005D2B81" w:rsidRDefault="005D2B81" w:rsidP="008918FA">
                          <w:pPr>
                            <w:spacing w:before="23" w:line="206" w:lineRule="exact"/>
                            <w:rPr>
                              <w:rFonts w:ascii="Arial" w:eastAsia="Arial" w:hAnsi="Arial" w:cs="Arial"/>
                              <w:sz w:val="18"/>
                              <w:szCs w:val="18"/>
                            </w:rPr>
                          </w:pPr>
                          <w:r>
                            <w:rPr>
                              <w:rFonts w:ascii="Arial"/>
                              <w:position w:val="9"/>
                              <w:sz w:val="12"/>
                            </w:rPr>
                            <w:t>24</w:t>
                          </w:r>
                          <w:r>
                            <w:rPr>
                              <w:rFonts w:ascii="Arial"/>
                              <w:spacing w:val="19"/>
                              <w:position w:val="9"/>
                              <w:sz w:val="12"/>
                            </w:rPr>
                            <w:t xml:space="preserve"> </w:t>
                          </w:r>
                          <w:bookmarkStart w:id="15" w:name="_bookmark23"/>
                          <w:bookmarkEnd w:id="15"/>
                          <w:r>
                            <w:rPr>
                              <w:rFonts w:ascii="Arial"/>
                              <w:spacing w:val="-1"/>
                              <w:sz w:val="18"/>
                            </w:rPr>
                            <w:t>[Guidance</w:t>
                          </w:r>
                          <w:r>
                            <w:rPr>
                              <w:rFonts w:ascii="Arial"/>
                              <w:spacing w:val="3"/>
                              <w:sz w:val="18"/>
                            </w:rPr>
                            <w:t xml:space="preserve"> </w:t>
                          </w:r>
                          <w:r>
                            <w:rPr>
                              <w:rFonts w:ascii="Arial"/>
                              <w:spacing w:val="-1"/>
                              <w:sz w:val="18"/>
                            </w:rPr>
                            <w:t>Note:</w:t>
                          </w:r>
                          <w:r>
                            <w:rPr>
                              <w:rFonts w:ascii="Arial"/>
                              <w:spacing w:val="3"/>
                              <w:sz w:val="18"/>
                            </w:rPr>
                            <w:t xml:space="preserve"> </w:t>
                          </w:r>
                          <w:r>
                            <w:rPr>
                              <w:rFonts w:ascii="Arial"/>
                              <w:sz w:val="18"/>
                            </w:rPr>
                            <w:t>See</w:t>
                          </w:r>
                          <w:r>
                            <w:rPr>
                              <w:rFonts w:ascii="Arial"/>
                              <w:spacing w:val="3"/>
                              <w:sz w:val="18"/>
                            </w:rPr>
                            <w:t xml:space="preserve"> </w:t>
                          </w:r>
                          <w:r>
                            <w:rPr>
                              <w:rFonts w:ascii="Arial"/>
                              <w:sz w:val="18"/>
                            </w:rPr>
                            <w:t>Part</w:t>
                          </w:r>
                          <w:r>
                            <w:rPr>
                              <w:rFonts w:ascii="Arial"/>
                              <w:spacing w:val="3"/>
                              <w:sz w:val="18"/>
                            </w:rPr>
                            <w:t xml:space="preserve"> </w:t>
                          </w:r>
                          <w:r>
                            <w:rPr>
                              <w:rFonts w:ascii="Arial"/>
                              <w:sz w:val="18"/>
                            </w:rPr>
                            <w:t>B</w:t>
                          </w:r>
                          <w:r>
                            <w:rPr>
                              <w:rFonts w:ascii="Arial"/>
                              <w:spacing w:val="2"/>
                              <w:sz w:val="18"/>
                            </w:rPr>
                            <w:t xml:space="preserve"> </w:t>
                          </w:r>
                          <w:r>
                            <w:rPr>
                              <w:rFonts w:ascii="Arial"/>
                              <w:spacing w:val="-1"/>
                              <w:sz w:val="18"/>
                            </w:rPr>
                            <w:t>of</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pacing w:val="3"/>
                              <w:sz w:val="18"/>
                            </w:rPr>
                            <w:t xml:space="preserve"> </w:t>
                          </w:r>
                          <w:r>
                            <w:rPr>
                              <w:rFonts w:ascii="Arial"/>
                              <w:spacing w:val="-1"/>
                              <w:sz w:val="18"/>
                            </w:rPr>
                            <w:t>Schedule</w:t>
                          </w:r>
                          <w:r>
                            <w:rPr>
                              <w:rFonts w:ascii="Arial"/>
                              <w:spacing w:val="3"/>
                              <w:sz w:val="18"/>
                            </w:rPr>
                            <w:t xml:space="preserve"> </w:t>
                          </w:r>
                          <w:r>
                            <w:rPr>
                              <w:rFonts w:ascii="Arial"/>
                              <w:sz w:val="18"/>
                            </w:rPr>
                            <w:t>4</w:t>
                          </w:r>
                          <w:r>
                            <w:rPr>
                              <w:rFonts w:ascii="Arial"/>
                              <w:spacing w:val="3"/>
                              <w:sz w:val="18"/>
                            </w:rPr>
                            <w:t xml:space="preserve"> </w:t>
                          </w:r>
                          <w:r>
                            <w:rPr>
                              <w:rFonts w:ascii="Arial"/>
                              <w:spacing w:val="-1"/>
                              <w:sz w:val="18"/>
                            </w:rPr>
                            <w:t>(Implementation</w:t>
                          </w:r>
                          <w:r>
                            <w:rPr>
                              <w:rFonts w:ascii="Arial"/>
                              <w:spacing w:val="3"/>
                              <w:sz w:val="18"/>
                            </w:rPr>
                            <w:t xml:space="preserve"> </w:t>
                          </w:r>
                          <w:r>
                            <w:rPr>
                              <w:rFonts w:ascii="Arial"/>
                              <w:spacing w:val="-1"/>
                              <w:sz w:val="18"/>
                            </w:rPr>
                            <w:t>Plan,</w:t>
                          </w:r>
                          <w:r>
                            <w:rPr>
                              <w:rFonts w:ascii="Arial"/>
                              <w:spacing w:val="3"/>
                              <w:sz w:val="18"/>
                            </w:rPr>
                            <w:t xml:space="preserve"> </w:t>
                          </w:r>
                          <w:r>
                            <w:rPr>
                              <w:rFonts w:ascii="Arial"/>
                              <w:spacing w:val="-1"/>
                              <w:sz w:val="18"/>
                            </w:rPr>
                            <w:t>Customer</w:t>
                          </w:r>
                          <w:r>
                            <w:rPr>
                              <w:rFonts w:ascii="Arial"/>
                              <w:spacing w:val="2"/>
                              <w:sz w:val="18"/>
                            </w:rPr>
                            <w:t xml:space="preserve"> </w:t>
                          </w:r>
                          <w:r>
                            <w:rPr>
                              <w:rFonts w:ascii="Arial"/>
                              <w:spacing w:val="-1"/>
                              <w:sz w:val="18"/>
                            </w:rPr>
                            <w:t>Responsibilities</w:t>
                          </w:r>
                          <w:r>
                            <w:rPr>
                              <w:rFonts w:ascii="Arial"/>
                              <w:spacing w:val="3"/>
                              <w:sz w:val="18"/>
                            </w:rPr>
                            <w:t xml:space="preserve"> </w:t>
                          </w:r>
                          <w:r>
                            <w:rPr>
                              <w:rFonts w:ascii="Arial"/>
                              <w:sz w:val="18"/>
                            </w:rPr>
                            <w:t>and</w:t>
                          </w:r>
                          <w:r>
                            <w:rPr>
                              <w:rFonts w:ascii="Arial"/>
                              <w:spacing w:val="3"/>
                              <w:sz w:val="18"/>
                            </w:rPr>
                            <w:t xml:space="preserve"> </w:t>
                          </w:r>
                          <w:r>
                            <w:rPr>
                              <w:rFonts w:ascii="Arial"/>
                              <w:sz w:val="18"/>
                            </w:rPr>
                            <w:t>Key</w:t>
                          </w:r>
                          <w:r>
                            <w:rPr>
                              <w:rFonts w:ascii="Arial"/>
                              <w:spacing w:val="93"/>
                              <w:sz w:val="18"/>
                            </w:rPr>
                            <w:t xml:space="preserve"> </w:t>
                          </w:r>
                          <w:r>
                            <w:rPr>
                              <w:rFonts w:ascii="Arial"/>
                              <w:spacing w:val="-1"/>
                              <w:sz w:val="18"/>
                            </w:rPr>
                            <w:t>Personnel)</w:t>
                          </w:r>
                          <w:r>
                            <w:rPr>
                              <w:rFonts w:ascii="Arial"/>
                              <w:spacing w:val="-2"/>
                              <w:sz w:val="18"/>
                            </w:rPr>
                            <w:t xml:space="preserve"> </w:t>
                          </w:r>
                          <w:r>
                            <w:rPr>
                              <w:rFonts w:ascii="Arial"/>
                              <w:sz w:val="18"/>
                            </w:rPr>
                            <w:t>and</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guidance</w:t>
                          </w:r>
                          <w:r>
                            <w:rPr>
                              <w:rFonts w:ascii="Arial"/>
                              <w:spacing w:val="1"/>
                              <w:sz w:val="18"/>
                            </w:rPr>
                            <w:t xml:space="preserve"> </w:t>
                          </w:r>
                          <w:r>
                            <w:rPr>
                              <w:rFonts w:ascii="Arial"/>
                              <w:spacing w:val="-1"/>
                              <w:sz w:val="18"/>
                            </w:rPr>
                            <w:t>therein.</w:t>
                          </w:r>
                          <w:r>
                            <w:rPr>
                              <w:rFonts w:ascii="Arial"/>
                              <w:sz w:val="18"/>
                            </w:rPr>
                            <w:t xml:space="preserve"> Add</w:t>
                          </w:r>
                          <w:r>
                            <w:rPr>
                              <w:rFonts w:ascii="Arial"/>
                              <w:spacing w:val="-2"/>
                              <w:sz w:val="18"/>
                            </w:rPr>
                            <w:t xml:space="preserve"> </w:t>
                          </w:r>
                          <w:r>
                            <w:rPr>
                              <w:rFonts w:ascii="Arial"/>
                              <w:sz w:val="18"/>
                            </w:rPr>
                            <w:t>any</w:t>
                          </w:r>
                          <w:r>
                            <w:rPr>
                              <w:rFonts w:ascii="Arial"/>
                              <w:spacing w:val="-1"/>
                              <w:sz w:val="18"/>
                            </w:rPr>
                            <w:t xml:space="preserve"> other</w:t>
                          </w:r>
                          <w:r>
                            <w:rPr>
                              <w:rFonts w:ascii="Arial"/>
                              <w:sz w:val="18"/>
                            </w:rPr>
                            <w:t xml:space="preserve"> </w:t>
                          </w:r>
                          <w:r>
                            <w:rPr>
                              <w:rFonts w:ascii="Arial"/>
                              <w:spacing w:val="-1"/>
                              <w:sz w:val="18"/>
                            </w:rPr>
                            <w:t>Customer</w:t>
                          </w:r>
                          <w:r>
                            <w:rPr>
                              <w:rFonts w:ascii="Arial"/>
                              <w:sz w:val="18"/>
                            </w:rPr>
                            <w:t xml:space="preserve"> </w:t>
                          </w:r>
                          <w:r>
                            <w:rPr>
                              <w:rFonts w:ascii="Arial"/>
                              <w:spacing w:val="-1"/>
                              <w:sz w:val="18"/>
                            </w:rPr>
                            <w:t>Responsibilities agreed</w:t>
                          </w:r>
                          <w:r>
                            <w:rPr>
                              <w:rFonts w:ascii="Arial"/>
                              <w:spacing w:val="1"/>
                              <w:sz w:val="18"/>
                            </w:rPr>
                            <w:t xml:space="preserve"> </w:t>
                          </w:r>
                          <w:r>
                            <w:rPr>
                              <w:rFonts w:ascii="Arial"/>
                              <w:spacing w:val="-1"/>
                              <w:sz w:val="18"/>
                            </w:rPr>
                            <w:t>between</w:t>
                          </w:r>
                          <w:r>
                            <w:rPr>
                              <w:rFonts w:ascii="Arial"/>
                              <w:spacing w:val="1"/>
                              <w:sz w:val="18"/>
                            </w:rPr>
                            <w:t xml:space="preserve"> </w:t>
                          </w:r>
                          <w:r>
                            <w:rPr>
                              <w:rFonts w:ascii="Arial"/>
                              <w:sz w:val="18"/>
                            </w:rPr>
                            <w:t>the</w:t>
                          </w:r>
                          <w:r>
                            <w:rPr>
                              <w:rFonts w:ascii="Arial"/>
                              <w:spacing w:val="1"/>
                              <w:sz w:val="18"/>
                            </w:rPr>
                            <w:t xml:space="preserve"> </w:t>
                          </w:r>
                          <w:r>
                            <w:rPr>
                              <w:rFonts w:ascii="Arial"/>
                              <w:spacing w:val="-1"/>
                              <w:sz w:val="18"/>
                            </w:rPr>
                            <w:t>Parties]</w:t>
                          </w:r>
                        </w:p>
                      </w:txbxContent>
                    </v:textbox>
                  </v:shape>
                </v:group>
                <w10:anchorlock/>
              </v:group>
            </w:pict>
          </mc:Fallback>
        </mc:AlternateContent>
      </w:r>
    </w:p>
    <w:p w:rsidR="008918FA" w:rsidRDefault="008918FA" w:rsidP="008918FA">
      <w:pPr>
        <w:spacing w:before="8"/>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0F22A227" wp14:editId="3EB373A8">
                <wp:extent cx="5659120" cy="1195705"/>
                <wp:effectExtent l="3810" t="2540" r="4445" b="1905"/>
                <wp:docPr id="7300" name="Group 7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1195705"/>
                          <a:chOff x="0" y="0"/>
                          <a:chExt cx="8912" cy="1883"/>
                        </a:xfrm>
                      </wpg:grpSpPr>
                      <wpg:grpSp>
                        <wpg:cNvPr id="7301" name="Group 7310"/>
                        <wpg:cNvGrpSpPr>
                          <a:grpSpLocks/>
                        </wpg:cNvGrpSpPr>
                        <wpg:grpSpPr bwMode="auto">
                          <a:xfrm>
                            <a:off x="194" y="20"/>
                            <a:ext cx="8715" cy="207"/>
                            <a:chOff x="194" y="20"/>
                            <a:chExt cx="8715" cy="207"/>
                          </a:xfrm>
                        </wpg:grpSpPr>
                        <wps:wsp>
                          <wps:cNvPr id="7302" name="Freeform 7311"/>
                          <wps:cNvSpPr>
                            <a:spLocks/>
                          </wps:cNvSpPr>
                          <wps:spPr bwMode="auto">
                            <a:xfrm>
                              <a:off x="194" y="20"/>
                              <a:ext cx="8715" cy="207"/>
                            </a:xfrm>
                            <a:custGeom>
                              <a:avLst/>
                              <a:gdLst>
                                <a:gd name="T0" fmla="+- 0 194 194"/>
                                <a:gd name="T1" fmla="*/ T0 w 8715"/>
                                <a:gd name="T2" fmla="+- 0 227 20"/>
                                <a:gd name="T3" fmla="*/ 227 h 207"/>
                                <a:gd name="T4" fmla="+- 0 8909 194"/>
                                <a:gd name="T5" fmla="*/ T4 w 8715"/>
                                <a:gd name="T6" fmla="+- 0 227 20"/>
                                <a:gd name="T7" fmla="*/ 227 h 207"/>
                                <a:gd name="T8" fmla="+- 0 8909 194"/>
                                <a:gd name="T9" fmla="*/ T8 w 8715"/>
                                <a:gd name="T10" fmla="+- 0 20 20"/>
                                <a:gd name="T11" fmla="*/ 20 h 207"/>
                                <a:gd name="T12" fmla="+- 0 194 194"/>
                                <a:gd name="T13" fmla="*/ T12 w 8715"/>
                                <a:gd name="T14" fmla="+- 0 20 20"/>
                                <a:gd name="T15" fmla="*/ 20 h 207"/>
                                <a:gd name="T16" fmla="+- 0 194 194"/>
                                <a:gd name="T17" fmla="*/ T16 w 8715"/>
                                <a:gd name="T18" fmla="+- 0 227 20"/>
                                <a:gd name="T19" fmla="*/ 227 h 207"/>
                              </a:gdLst>
                              <a:ahLst/>
                              <a:cxnLst>
                                <a:cxn ang="0">
                                  <a:pos x="T1" y="T3"/>
                                </a:cxn>
                                <a:cxn ang="0">
                                  <a:pos x="T5" y="T7"/>
                                </a:cxn>
                                <a:cxn ang="0">
                                  <a:pos x="T9" y="T11"/>
                                </a:cxn>
                                <a:cxn ang="0">
                                  <a:pos x="T13" y="T15"/>
                                </a:cxn>
                                <a:cxn ang="0">
                                  <a:pos x="T17" y="T19"/>
                                </a:cxn>
                              </a:cxnLst>
                              <a:rect l="0" t="0" r="r" b="b"/>
                              <a:pathLst>
                                <a:path w="8715" h="207">
                                  <a:moveTo>
                                    <a:pt x="0" y="207"/>
                                  </a:moveTo>
                                  <a:lnTo>
                                    <a:pt x="8715" y="207"/>
                                  </a:lnTo>
                                  <a:lnTo>
                                    <a:pt x="8715"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3" name="Group 7308"/>
                        <wpg:cNvGrpSpPr>
                          <a:grpSpLocks/>
                        </wpg:cNvGrpSpPr>
                        <wpg:grpSpPr bwMode="auto">
                          <a:xfrm>
                            <a:off x="0" y="227"/>
                            <a:ext cx="8909" cy="209"/>
                            <a:chOff x="0" y="227"/>
                            <a:chExt cx="8909" cy="209"/>
                          </a:xfrm>
                        </wpg:grpSpPr>
                        <wps:wsp>
                          <wps:cNvPr id="7304" name="Freeform 7309"/>
                          <wps:cNvSpPr>
                            <a:spLocks/>
                          </wps:cNvSpPr>
                          <wps:spPr bwMode="auto">
                            <a:xfrm>
                              <a:off x="0" y="227"/>
                              <a:ext cx="8909" cy="209"/>
                            </a:xfrm>
                            <a:custGeom>
                              <a:avLst/>
                              <a:gdLst>
                                <a:gd name="T0" fmla="*/ 0 w 8909"/>
                                <a:gd name="T1" fmla="+- 0 436 227"/>
                                <a:gd name="T2" fmla="*/ 436 h 209"/>
                                <a:gd name="T3" fmla="*/ 8909 w 8909"/>
                                <a:gd name="T4" fmla="+- 0 436 227"/>
                                <a:gd name="T5" fmla="*/ 436 h 209"/>
                                <a:gd name="T6" fmla="*/ 8909 w 8909"/>
                                <a:gd name="T7" fmla="+- 0 227 227"/>
                                <a:gd name="T8" fmla="*/ 227 h 209"/>
                                <a:gd name="T9" fmla="*/ 0 w 8909"/>
                                <a:gd name="T10" fmla="+- 0 227 227"/>
                                <a:gd name="T11" fmla="*/ 227 h 209"/>
                                <a:gd name="T12" fmla="*/ 0 w 8909"/>
                                <a:gd name="T13" fmla="+- 0 436 227"/>
                                <a:gd name="T14" fmla="*/ 436 h 209"/>
                              </a:gdLst>
                              <a:ahLst/>
                              <a:cxnLst>
                                <a:cxn ang="0">
                                  <a:pos x="T0" y="T2"/>
                                </a:cxn>
                                <a:cxn ang="0">
                                  <a:pos x="T3" y="T5"/>
                                </a:cxn>
                                <a:cxn ang="0">
                                  <a:pos x="T6" y="T8"/>
                                </a:cxn>
                                <a:cxn ang="0">
                                  <a:pos x="T9" y="T11"/>
                                </a:cxn>
                                <a:cxn ang="0">
                                  <a:pos x="T12" y="T14"/>
                                </a:cxn>
                              </a:cxnLst>
                              <a:rect l="0" t="0" r="r" b="b"/>
                              <a:pathLst>
                                <a:path w="8909" h="209">
                                  <a:moveTo>
                                    <a:pt x="0" y="209"/>
                                  </a:moveTo>
                                  <a:lnTo>
                                    <a:pt x="8909" y="209"/>
                                  </a:lnTo>
                                  <a:lnTo>
                                    <a:pt x="8909" y="0"/>
                                  </a:lnTo>
                                  <a:lnTo>
                                    <a:pt x="0" y="0"/>
                                  </a:lnTo>
                                  <a:lnTo>
                                    <a:pt x="0" y="20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5" name="Group 7306"/>
                        <wpg:cNvGrpSpPr>
                          <a:grpSpLocks/>
                        </wpg:cNvGrpSpPr>
                        <wpg:grpSpPr bwMode="auto">
                          <a:xfrm>
                            <a:off x="0" y="436"/>
                            <a:ext cx="8909" cy="207"/>
                            <a:chOff x="0" y="436"/>
                            <a:chExt cx="8909" cy="207"/>
                          </a:xfrm>
                        </wpg:grpSpPr>
                        <wps:wsp>
                          <wps:cNvPr id="7306" name="Freeform 7307"/>
                          <wps:cNvSpPr>
                            <a:spLocks/>
                          </wps:cNvSpPr>
                          <wps:spPr bwMode="auto">
                            <a:xfrm>
                              <a:off x="0" y="436"/>
                              <a:ext cx="8909" cy="207"/>
                            </a:xfrm>
                            <a:custGeom>
                              <a:avLst/>
                              <a:gdLst>
                                <a:gd name="T0" fmla="*/ 0 w 8909"/>
                                <a:gd name="T1" fmla="+- 0 642 436"/>
                                <a:gd name="T2" fmla="*/ 642 h 207"/>
                                <a:gd name="T3" fmla="*/ 8909 w 8909"/>
                                <a:gd name="T4" fmla="+- 0 642 436"/>
                                <a:gd name="T5" fmla="*/ 642 h 207"/>
                                <a:gd name="T6" fmla="*/ 8909 w 8909"/>
                                <a:gd name="T7" fmla="+- 0 436 436"/>
                                <a:gd name="T8" fmla="*/ 436 h 207"/>
                                <a:gd name="T9" fmla="*/ 0 w 8909"/>
                                <a:gd name="T10" fmla="+- 0 436 436"/>
                                <a:gd name="T11" fmla="*/ 436 h 207"/>
                                <a:gd name="T12" fmla="*/ 0 w 8909"/>
                                <a:gd name="T13" fmla="+- 0 642 436"/>
                                <a:gd name="T14" fmla="*/ 642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7" name="Group 7304"/>
                        <wpg:cNvGrpSpPr>
                          <a:grpSpLocks/>
                        </wpg:cNvGrpSpPr>
                        <wpg:grpSpPr bwMode="auto">
                          <a:xfrm>
                            <a:off x="0" y="642"/>
                            <a:ext cx="8909" cy="207"/>
                            <a:chOff x="0" y="642"/>
                            <a:chExt cx="8909" cy="207"/>
                          </a:xfrm>
                        </wpg:grpSpPr>
                        <wps:wsp>
                          <wps:cNvPr id="7308" name="Freeform 7305"/>
                          <wps:cNvSpPr>
                            <a:spLocks/>
                          </wps:cNvSpPr>
                          <wps:spPr bwMode="auto">
                            <a:xfrm>
                              <a:off x="0" y="642"/>
                              <a:ext cx="8909" cy="207"/>
                            </a:xfrm>
                            <a:custGeom>
                              <a:avLst/>
                              <a:gdLst>
                                <a:gd name="T0" fmla="*/ 0 w 8909"/>
                                <a:gd name="T1" fmla="+- 0 848 642"/>
                                <a:gd name="T2" fmla="*/ 848 h 207"/>
                                <a:gd name="T3" fmla="*/ 8909 w 8909"/>
                                <a:gd name="T4" fmla="+- 0 848 642"/>
                                <a:gd name="T5" fmla="*/ 848 h 207"/>
                                <a:gd name="T6" fmla="*/ 8909 w 8909"/>
                                <a:gd name="T7" fmla="+- 0 642 642"/>
                                <a:gd name="T8" fmla="*/ 642 h 207"/>
                                <a:gd name="T9" fmla="*/ 0 w 8909"/>
                                <a:gd name="T10" fmla="+- 0 642 642"/>
                                <a:gd name="T11" fmla="*/ 642 h 207"/>
                                <a:gd name="T12" fmla="*/ 0 w 8909"/>
                                <a:gd name="T13" fmla="+- 0 848 642"/>
                                <a:gd name="T14" fmla="*/ 848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9" name="Group 7302"/>
                        <wpg:cNvGrpSpPr>
                          <a:grpSpLocks/>
                        </wpg:cNvGrpSpPr>
                        <wpg:grpSpPr bwMode="auto">
                          <a:xfrm>
                            <a:off x="0" y="848"/>
                            <a:ext cx="8909" cy="207"/>
                            <a:chOff x="0" y="848"/>
                            <a:chExt cx="8909" cy="207"/>
                          </a:xfrm>
                        </wpg:grpSpPr>
                        <wps:wsp>
                          <wps:cNvPr id="7310" name="Freeform 7303"/>
                          <wps:cNvSpPr>
                            <a:spLocks/>
                          </wps:cNvSpPr>
                          <wps:spPr bwMode="auto">
                            <a:xfrm>
                              <a:off x="0" y="848"/>
                              <a:ext cx="8909" cy="207"/>
                            </a:xfrm>
                            <a:custGeom>
                              <a:avLst/>
                              <a:gdLst>
                                <a:gd name="T0" fmla="*/ 0 w 8909"/>
                                <a:gd name="T1" fmla="+- 0 1055 848"/>
                                <a:gd name="T2" fmla="*/ 1055 h 207"/>
                                <a:gd name="T3" fmla="*/ 8909 w 8909"/>
                                <a:gd name="T4" fmla="+- 0 1055 848"/>
                                <a:gd name="T5" fmla="*/ 1055 h 207"/>
                                <a:gd name="T6" fmla="*/ 8909 w 8909"/>
                                <a:gd name="T7" fmla="+- 0 848 848"/>
                                <a:gd name="T8" fmla="*/ 848 h 207"/>
                                <a:gd name="T9" fmla="*/ 0 w 8909"/>
                                <a:gd name="T10" fmla="+- 0 848 848"/>
                                <a:gd name="T11" fmla="*/ 848 h 207"/>
                                <a:gd name="T12" fmla="*/ 0 w 8909"/>
                                <a:gd name="T13" fmla="+- 0 1055 848"/>
                                <a:gd name="T14" fmla="*/ 1055 h 207"/>
                              </a:gdLst>
                              <a:ahLst/>
                              <a:cxnLst>
                                <a:cxn ang="0">
                                  <a:pos x="T0" y="T2"/>
                                </a:cxn>
                                <a:cxn ang="0">
                                  <a:pos x="T3" y="T5"/>
                                </a:cxn>
                                <a:cxn ang="0">
                                  <a:pos x="T6" y="T8"/>
                                </a:cxn>
                                <a:cxn ang="0">
                                  <a:pos x="T9" y="T11"/>
                                </a:cxn>
                                <a:cxn ang="0">
                                  <a:pos x="T12" y="T14"/>
                                </a:cxn>
                              </a:cxnLst>
                              <a:rect l="0" t="0" r="r" b="b"/>
                              <a:pathLst>
                                <a:path w="8909" h="207">
                                  <a:moveTo>
                                    <a:pt x="0" y="207"/>
                                  </a:moveTo>
                                  <a:lnTo>
                                    <a:pt x="8909" y="207"/>
                                  </a:lnTo>
                                  <a:lnTo>
                                    <a:pt x="8909"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1" name="Group 7300"/>
                        <wpg:cNvGrpSpPr>
                          <a:grpSpLocks/>
                        </wpg:cNvGrpSpPr>
                        <wpg:grpSpPr bwMode="auto">
                          <a:xfrm>
                            <a:off x="0" y="1055"/>
                            <a:ext cx="8909" cy="209"/>
                            <a:chOff x="0" y="1055"/>
                            <a:chExt cx="8909" cy="209"/>
                          </a:xfrm>
                        </wpg:grpSpPr>
                        <wps:wsp>
                          <wps:cNvPr id="7312" name="Freeform 7301"/>
                          <wps:cNvSpPr>
                            <a:spLocks/>
                          </wps:cNvSpPr>
                          <wps:spPr bwMode="auto">
                            <a:xfrm>
                              <a:off x="0" y="1055"/>
                              <a:ext cx="8909" cy="209"/>
                            </a:xfrm>
                            <a:custGeom>
                              <a:avLst/>
                              <a:gdLst>
                                <a:gd name="T0" fmla="*/ 0 w 8909"/>
                                <a:gd name="T1" fmla="+- 0 1264 1055"/>
                                <a:gd name="T2" fmla="*/ 1264 h 209"/>
                                <a:gd name="T3" fmla="*/ 8909 w 8909"/>
                                <a:gd name="T4" fmla="+- 0 1264 1055"/>
                                <a:gd name="T5" fmla="*/ 1264 h 209"/>
                                <a:gd name="T6" fmla="*/ 8909 w 8909"/>
                                <a:gd name="T7" fmla="+- 0 1055 1055"/>
                                <a:gd name="T8" fmla="*/ 1055 h 209"/>
                                <a:gd name="T9" fmla="*/ 0 w 8909"/>
                                <a:gd name="T10" fmla="+- 0 1055 1055"/>
                                <a:gd name="T11" fmla="*/ 1055 h 209"/>
                                <a:gd name="T12" fmla="*/ 0 w 8909"/>
                                <a:gd name="T13" fmla="+- 0 1264 1055"/>
                                <a:gd name="T14" fmla="*/ 1264 h 209"/>
                              </a:gdLst>
                              <a:ahLst/>
                              <a:cxnLst>
                                <a:cxn ang="0">
                                  <a:pos x="T0" y="T2"/>
                                </a:cxn>
                                <a:cxn ang="0">
                                  <a:pos x="T3" y="T5"/>
                                </a:cxn>
                                <a:cxn ang="0">
                                  <a:pos x="T6" y="T8"/>
                                </a:cxn>
                                <a:cxn ang="0">
                                  <a:pos x="T9" y="T11"/>
                                </a:cxn>
                                <a:cxn ang="0">
                                  <a:pos x="T12" y="T14"/>
                                </a:cxn>
                              </a:cxnLst>
                              <a:rect l="0" t="0" r="r" b="b"/>
                              <a:pathLst>
                                <a:path w="8909" h="209">
                                  <a:moveTo>
                                    <a:pt x="0" y="209"/>
                                  </a:moveTo>
                                  <a:lnTo>
                                    <a:pt x="8909" y="209"/>
                                  </a:lnTo>
                                  <a:lnTo>
                                    <a:pt x="8909" y="0"/>
                                  </a:lnTo>
                                  <a:lnTo>
                                    <a:pt x="0" y="0"/>
                                  </a:lnTo>
                                  <a:lnTo>
                                    <a:pt x="0" y="20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3" name="Group 7298"/>
                        <wpg:cNvGrpSpPr>
                          <a:grpSpLocks/>
                        </wpg:cNvGrpSpPr>
                        <wpg:grpSpPr bwMode="auto">
                          <a:xfrm>
                            <a:off x="0" y="1264"/>
                            <a:ext cx="8909" cy="207"/>
                            <a:chOff x="0" y="1264"/>
                            <a:chExt cx="8909" cy="207"/>
                          </a:xfrm>
                        </wpg:grpSpPr>
                        <wps:wsp>
                          <wps:cNvPr id="7314" name="Freeform 7299"/>
                          <wps:cNvSpPr>
                            <a:spLocks/>
                          </wps:cNvSpPr>
                          <wps:spPr bwMode="auto">
                            <a:xfrm>
                              <a:off x="0" y="1264"/>
                              <a:ext cx="8909" cy="207"/>
                            </a:xfrm>
                            <a:custGeom>
                              <a:avLst/>
                              <a:gdLst>
                                <a:gd name="T0" fmla="*/ 0 w 8909"/>
                                <a:gd name="T1" fmla="+- 0 1470 1264"/>
                                <a:gd name="T2" fmla="*/ 1470 h 207"/>
                                <a:gd name="T3" fmla="*/ 8909 w 8909"/>
                                <a:gd name="T4" fmla="+- 0 1470 1264"/>
                                <a:gd name="T5" fmla="*/ 1470 h 207"/>
                                <a:gd name="T6" fmla="*/ 8909 w 8909"/>
                                <a:gd name="T7" fmla="+- 0 1264 1264"/>
                                <a:gd name="T8" fmla="*/ 1264 h 207"/>
                                <a:gd name="T9" fmla="*/ 0 w 8909"/>
                                <a:gd name="T10" fmla="+- 0 1264 1264"/>
                                <a:gd name="T11" fmla="*/ 1264 h 207"/>
                                <a:gd name="T12" fmla="*/ 0 w 8909"/>
                                <a:gd name="T13" fmla="+- 0 1470 1264"/>
                                <a:gd name="T14" fmla="*/ 1470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5" name="Group 7296"/>
                        <wpg:cNvGrpSpPr>
                          <a:grpSpLocks/>
                        </wpg:cNvGrpSpPr>
                        <wpg:grpSpPr bwMode="auto">
                          <a:xfrm>
                            <a:off x="0" y="1470"/>
                            <a:ext cx="8909" cy="207"/>
                            <a:chOff x="0" y="1470"/>
                            <a:chExt cx="8909" cy="207"/>
                          </a:xfrm>
                        </wpg:grpSpPr>
                        <wps:wsp>
                          <wps:cNvPr id="7316" name="Freeform 7297"/>
                          <wps:cNvSpPr>
                            <a:spLocks/>
                          </wps:cNvSpPr>
                          <wps:spPr bwMode="auto">
                            <a:xfrm>
                              <a:off x="0" y="1470"/>
                              <a:ext cx="8909" cy="207"/>
                            </a:xfrm>
                            <a:custGeom>
                              <a:avLst/>
                              <a:gdLst>
                                <a:gd name="T0" fmla="*/ 0 w 8909"/>
                                <a:gd name="T1" fmla="+- 0 1676 1470"/>
                                <a:gd name="T2" fmla="*/ 1676 h 207"/>
                                <a:gd name="T3" fmla="*/ 8909 w 8909"/>
                                <a:gd name="T4" fmla="+- 0 1676 1470"/>
                                <a:gd name="T5" fmla="*/ 1676 h 207"/>
                                <a:gd name="T6" fmla="*/ 8909 w 8909"/>
                                <a:gd name="T7" fmla="+- 0 1470 1470"/>
                                <a:gd name="T8" fmla="*/ 1470 h 207"/>
                                <a:gd name="T9" fmla="*/ 0 w 8909"/>
                                <a:gd name="T10" fmla="+- 0 1470 1470"/>
                                <a:gd name="T11" fmla="*/ 1470 h 207"/>
                                <a:gd name="T12" fmla="*/ 0 w 8909"/>
                                <a:gd name="T13" fmla="+- 0 1676 1470"/>
                                <a:gd name="T14" fmla="*/ 1676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7" name="Group 7293"/>
                        <wpg:cNvGrpSpPr>
                          <a:grpSpLocks/>
                        </wpg:cNvGrpSpPr>
                        <wpg:grpSpPr bwMode="auto">
                          <a:xfrm>
                            <a:off x="0" y="1676"/>
                            <a:ext cx="3533" cy="207"/>
                            <a:chOff x="0" y="1676"/>
                            <a:chExt cx="3533" cy="207"/>
                          </a:xfrm>
                        </wpg:grpSpPr>
                        <wps:wsp>
                          <wps:cNvPr id="7318" name="Freeform 7295"/>
                          <wps:cNvSpPr>
                            <a:spLocks/>
                          </wps:cNvSpPr>
                          <wps:spPr bwMode="auto">
                            <a:xfrm>
                              <a:off x="0" y="1676"/>
                              <a:ext cx="3533" cy="207"/>
                            </a:xfrm>
                            <a:custGeom>
                              <a:avLst/>
                              <a:gdLst>
                                <a:gd name="T0" fmla="*/ 0 w 3533"/>
                                <a:gd name="T1" fmla="+- 0 1883 1676"/>
                                <a:gd name="T2" fmla="*/ 1883 h 207"/>
                                <a:gd name="T3" fmla="*/ 3533 w 3533"/>
                                <a:gd name="T4" fmla="+- 0 1883 1676"/>
                                <a:gd name="T5" fmla="*/ 1883 h 207"/>
                                <a:gd name="T6" fmla="*/ 3533 w 3533"/>
                                <a:gd name="T7" fmla="+- 0 1676 1676"/>
                                <a:gd name="T8" fmla="*/ 1676 h 207"/>
                                <a:gd name="T9" fmla="*/ 0 w 3533"/>
                                <a:gd name="T10" fmla="+- 0 1676 1676"/>
                                <a:gd name="T11" fmla="*/ 1676 h 207"/>
                                <a:gd name="T12" fmla="*/ 0 w 3533"/>
                                <a:gd name="T13" fmla="+- 0 1883 1676"/>
                                <a:gd name="T14" fmla="*/ 1883 h 207"/>
                              </a:gdLst>
                              <a:ahLst/>
                              <a:cxnLst>
                                <a:cxn ang="0">
                                  <a:pos x="T0" y="T2"/>
                                </a:cxn>
                                <a:cxn ang="0">
                                  <a:pos x="T3" y="T5"/>
                                </a:cxn>
                                <a:cxn ang="0">
                                  <a:pos x="T6" y="T8"/>
                                </a:cxn>
                                <a:cxn ang="0">
                                  <a:pos x="T9" y="T11"/>
                                </a:cxn>
                                <a:cxn ang="0">
                                  <a:pos x="T12" y="T14"/>
                                </a:cxn>
                              </a:cxnLst>
                              <a:rect l="0" t="0" r="r" b="b"/>
                              <a:pathLst>
                                <a:path w="3533" h="207">
                                  <a:moveTo>
                                    <a:pt x="0" y="207"/>
                                  </a:moveTo>
                                  <a:lnTo>
                                    <a:pt x="3533" y="207"/>
                                  </a:lnTo>
                                  <a:lnTo>
                                    <a:pt x="3533"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9" name="Text Box 7294"/>
                          <wps:cNvSpPr txBox="1">
                            <a:spLocks noChangeArrowheads="1"/>
                          </wps:cNvSpPr>
                          <wps:spPr bwMode="auto">
                            <a:xfrm>
                              <a:off x="0" y="0"/>
                              <a:ext cx="891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3" w:line="206" w:lineRule="exact"/>
                                  <w:ind w:right="1"/>
                                  <w:jc w:val="both"/>
                                  <w:rPr>
                                    <w:rFonts w:ascii="Arial" w:eastAsia="Arial" w:hAnsi="Arial" w:cs="Arial"/>
                                    <w:sz w:val="18"/>
                                    <w:szCs w:val="18"/>
                                  </w:rPr>
                                </w:pPr>
                                <w:r>
                                  <w:rPr>
                                    <w:rFonts w:ascii="Arial"/>
                                    <w:position w:val="9"/>
                                    <w:sz w:val="12"/>
                                  </w:rPr>
                                  <w:t>25</w:t>
                                </w:r>
                                <w:r>
                                  <w:rPr>
                                    <w:rFonts w:ascii="Arial"/>
                                    <w:spacing w:val="26"/>
                                    <w:position w:val="9"/>
                                    <w:sz w:val="12"/>
                                  </w:rPr>
                                  <w:t xml:space="preserve"> </w:t>
                                </w:r>
                                <w:bookmarkStart w:id="16" w:name="_bookmark24"/>
                                <w:bookmarkEnd w:id="16"/>
                                <w:r>
                                  <w:rPr>
                                    <w:rFonts w:ascii="Arial"/>
                                    <w:spacing w:val="-1"/>
                                    <w:sz w:val="18"/>
                                  </w:rPr>
                                  <w:t>[Guidance</w:t>
                                </w:r>
                                <w:r>
                                  <w:rPr>
                                    <w:rFonts w:ascii="Arial"/>
                                    <w:spacing w:val="10"/>
                                    <w:sz w:val="18"/>
                                  </w:rPr>
                                  <w:t xml:space="preserve"> </w:t>
                                </w:r>
                                <w:r>
                                  <w:rPr>
                                    <w:rFonts w:ascii="Arial"/>
                                    <w:spacing w:val="-1"/>
                                    <w:sz w:val="18"/>
                                  </w:rPr>
                                  <w:t>Note:</w:t>
                                </w:r>
                                <w:r>
                                  <w:rPr>
                                    <w:rFonts w:ascii="Arial"/>
                                    <w:spacing w:val="10"/>
                                    <w:sz w:val="18"/>
                                  </w:rPr>
                                  <w:t xml:space="preserve"> </w:t>
                                </w:r>
                                <w:r>
                                  <w:rPr>
                                    <w:rFonts w:ascii="Arial"/>
                                    <w:spacing w:val="-1"/>
                                    <w:sz w:val="18"/>
                                  </w:rPr>
                                  <w:t>Insert</w:t>
                                </w:r>
                                <w:r>
                                  <w:rPr>
                                    <w:rFonts w:ascii="Arial"/>
                                    <w:spacing w:val="10"/>
                                    <w:sz w:val="18"/>
                                  </w:rPr>
                                  <w:t xml:space="preserve"> </w:t>
                                </w:r>
                                <w:r>
                                  <w:rPr>
                                    <w:rFonts w:ascii="Arial"/>
                                    <w:spacing w:val="-1"/>
                                    <w:sz w:val="18"/>
                                  </w:rPr>
                                  <w:t>details</w:t>
                                </w:r>
                                <w:r>
                                  <w:rPr>
                                    <w:rFonts w:ascii="Arial"/>
                                    <w:spacing w:val="11"/>
                                    <w:sz w:val="18"/>
                                  </w:rPr>
                                  <w:t xml:space="preserve"> </w:t>
                                </w:r>
                                <w:r>
                                  <w:rPr>
                                    <w:rFonts w:ascii="Arial"/>
                                    <w:sz w:val="18"/>
                                  </w:rPr>
                                  <w:t>of</w:t>
                                </w:r>
                                <w:r>
                                  <w:rPr>
                                    <w:rFonts w:ascii="Arial"/>
                                    <w:spacing w:val="7"/>
                                    <w:sz w:val="18"/>
                                  </w:rPr>
                                  <w:t xml:space="preserve"> </w:t>
                                </w:r>
                                <w:r>
                                  <w:rPr>
                                    <w:rFonts w:ascii="Arial"/>
                                    <w:spacing w:val="-1"/>
                                    <w:sz w:val="18"/>
                                  </w:rPr>
                                  <w:t>the</w:t>
                                </w:r>
                                <w:r>
                                  <w:rPr>
                                    <w:rFonts w:ascii="Arial"/>
                                    <w:spacing w:val="10"/>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7"/>
                                    <w:sz w:val="18"/>
                                  </w:rPr>
                                  <w:t xml:space="preserve"> </w:t>
                                </w:r>
                                <w:r>
                                  <w:rPr>
                                    <w:rFonts w:ascii="Arial"/>
                                    <w:spacing w:val="-1"/>
                                    <w:sz w:val="18"/>
                                  </w:rPr>
                                  <w:t>Contract</w:t>
                                </w:r>
                                <w:r>
                                  <w:rPr>
                                    <w:rFonts w:ascii="Arial"/>
                                    <w:spacing w:val="7"/>
                                    <w:sz w:val="18"/>
                                  </w:rPr>
                                  <w:t xml:space="preserve"> </w:t>
                                </w:r>
                                <w:r>
                                  <w:rPr>
                                    <w:rFonts w:ascii="Arial"/>
                                    <w:spacing w:val="-1"/>
                                    <w:sz w:val="18"/>
                                  </w:rPr>
                                  <w:t>Charges</w:t>
                                </w:r>
                                <w:r>
                                  <w:rPr>
                                    <w:rFonts w:ascii="Arial"/>
                                    <w:spacing w:val="8"/>
                                    <w:sz w:val="18"/>
                                  </w:rPr>
                                  <w:t xml:space="preserve"> </w:t>
                                </w:r>
                                <w:r>
                                  <w:rPr>
                                    <w:rFonts w:ascii="Arial"/>
                                    <w:sz w:val="18"/>
                                  </w:rPr>
                                  <w:t>and</w:t>
                                </w:r>
                                <w:r>
                                  <w:rPr>
                                    <w:rFonts w:ascii="Arial"/>
                                    <w:spacing w:val="8"/>
                                    <w:sz w:val="18"/>
                                  </w:rPr>
                                  <w:t xml:space="preserve"> </w:t>
                                </w:r>
                                <w:r>
                                  <w:rPr>
                                    <w:rFonts w:ascii="Arial"/>
                                    <w:spacing w:val="-1"/>
                                    <w:sz w:val="18"/>
                                  </w:rPr>
                                  <w:t>payment</w:t>
                                </w:r>
                                <w:r>
                                  <w:rPr>
                                    <w:rFonts w:ascii="Arial"/>
                                    <w:spacing w:val="7"/>
                                    <w:sz w:val="18"/>
                                  </w:rPr>
                                  <w:t xml:space="preserve"> </w:t>
                                </w:r>
                                <w:r>
                                  <w:rPr>
                                    <w:rFonts w:ascii="Arial"/>
                                    <w:spacing w:val="-1"/>
                                    <w:sz w:val="18"/>
                                  </w:rPr>
                                  <w:t>terms/profile</w:t>
                                </w:r>
                                <w:r>
                                  <w:rPr>
                                    <w:rFonts w:ascii="Arial"/>
                                    <w:spacing w:val="10"/>
                                    <w:sz w:val="18"/>
                                  </w:rPr>
                                  <w:t xml:space="preserve"> </w:t>
                                </w:r>
                                <w:r>
                                  <w:rPr>
                                    <w:rFonts w:ascii="Arial"/>
                                    <w:sz w:val="18"/>
                                  </w:rPr>
                                  <w:t>in</w:t>
                                </w:r>
                                <w:r>
                                  <w:rPr>
                                    <w:rFonts w:ascii="Arial"/>
                                    <w:spacing w:val="8"/>
                                    <w:sz w:val="18"/>
                                  </w:rPr>
                                  <w:t xml:space="preserve"> </w:t>
                                </w:r>
                                <w:r>
                                  <w:rPr>
                                    <w:rFonts w:ascii="Arial"/>
                                    <w:spacing w:val="-1"/>
                                    <w:sz w:val="18"/>
                                  </w:rPr>
                                  <w:t>Annexes</w:t>
                                </w:r>
                                <w:r>
                                  <w:rPr>
                                    <w:rFonts w:ascii="Arial"/>
                                    <w:spacing w:val="11"/>
                                    <w:sz w:val="18"/>
                                  </w:rPr>
                                  <w:t xml:space="preserve"> </w:t>
                                </w:r>
                                <w:r>
                                  <w:rPr>
                                    <w:rFonts w:ascii="Arial"/>
                                    <w:sz w:val="18"/>
                                  </w:rPr>
                                  <w:t>A</w:t>
                                </w:r>
                                <w:r>
                                  <w:rPr>
                                    <w:rFonts w:ascii="Arial"/>
                                    <w:spacing w:val="9"/>
                                    <w:sz w:val="18"/>
                                  </w:rPr>
                                  <w:t xml:space="preserve"> </w:t>
                                </w:r>
                                <w:r>
                                  <w:rPr>
                                    <w:rFonts w:ascii="Arial"/>
                                    <w:spacing w:val="-1"/>
                                    <w:sz w:val="18"/>
                                  </w:rPr>
                                  <w:t>and</w:t>
                                </w:r>
                                <w:r>
                                  <w:rPr>
                                    <w:rFonts w:ascii="Arial"/>
                                    <w:spacing w:val="69"/>
                                    <w:sz w:val="18"/>
                                  </w:rPr>
                                  <w:t xml:space="preserve"> </w:t>
                                </w:r>
                                <w:r>
                                  <w:rPr>
                                    <w:rFonts w:ascii="Arial"/>
                                    <w:sz w:val="18"/>
                                  </w:rPr>
                                  <w:t>B</w:t>
                                </w:r>
                                <w:r>
                                  <w:rPr>
                                    <w:rFonts w:ascii="Arial"/>
                                    <w:spacing w:val="9"/>
                                    <w:sz w:val="18"/>
                                  </w:rPr>
                                  <w:t xml:space="preserve"> </w:t>
                                </w:r>
                                <w:r>
                                  <w:rPr>
                                    <w:rFonts w:ascii="Arial"/>
                                    <w:sz w:val="18"/>
                                  </w:rPr>
                                  <w:t>of</w:t>
                                </w:r>
                                <w:r>
                                  <w:rPr>
                                    <w:rFonts w:ascii="Arial"/>
                                    <w:spacing w:val="10"/>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10"/>
                                    <w:sz w:val="18"/>
                                  </w:rPr>
                                  <w:t xml:space="preserve"> </w:t>
                                </w:r>
                                <w:r>
                                  <w:rPr>
                                    <w:rFonts w:ascii="Arial"/>
                                    <w:spacing w:val="-1"/>
                                    <w:sz w:val="18"/>
                                  </w:rPr>
                                  <w:t>Schedule</w:t>
                                </w:r>
                                <w:r>
                                  <w:rPr>
                                    <w:rFonts w:ascii="Arial"/>
                                    <w:spacing w:val="10"/>
                                    <w:sz w:val="18"/>
                                  </w:rPr>
                                  <w:t xml:space="preserve"> </w:t>
                                </w:r>
                                <w:r>
                                  <w:rPr>
                                    <w:rFonts w:ascii="Arial"/>
                                    <w:sz w:val="18"/>
                                  </w:rPr>
                                  <w:t>3</w:t>
                                </w:r>
                                <w:r>
                                  <w:rPr>
                                    <w:rFonts w:ascii="Arial"/>
                                    <w:spacing w:val="10"/>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10"/>
                                    <w:sz w:val="18"/>
                                  </w:rPr>
                                  <w:t xml:space="preserve"> </w:t>
                                </w:r>
                                <w:r>
                                  <w:rPr>
                                    <w:rFonts w:ascii="Arial"/>
                                    <w:sz w:val="18"/>
                                  </w:rPr>
                                  <w:t>Contract</w:t>
                                </w:r>
                                <w:r>
                                  <w:rPr>
                                    <w:rFonts w:ascii="Arial"/>
                                    <w:spacing w:val="10"/>
                                    <w:sz w:val="18"/>
                                  </w:rPr>
                                  <w:t xml:space="preserve"> </w:t>
                                </w:r>
                                <w:r>
                                  <w:rPr>
                                    <w:rFonts w:ascii="Arial"/>
                                    <w:spacing w:val="-1"/>
                                    <w:sz w:val="18"/>
                                  </w:rPr>
                                  <w:t>Charges,</w:t>
                                </w:r>
                                <w:r>
                                  <w:rPr>
                                    <w:rFonts w:ascii="Arial"/>
                                    <w:spacing w:val="10"/>
                                    <w:sz w:val="18"/>
                                  </w:rPr>
                                  <w:t xml:space="preserve"> </w:t>
                                </w:r>
                                <w:r>
                                  <w:rPr>
                                    <w:rFonts w:ascii="Arial"/>
                                    <w:spacing w:val="-1"/>
                                    <w:sz w:val="18"/>
                                  </w:rPr>
                                  <w:t>Payment</w:t>
                                </w:r>
                                <w:r>
                                  <w:rPr>
                                    <w:rFonts w:ascii="Arial"/>
                                    <w:spacing w:val="10"/>
                                    <w:sz w:val="18"/>
                                  </w:rPr>
                                  <w:t xml:space="preserve"> </w:t>
                                </w:r>
                                <w:r>
                                  <w:rPr>
                                    <w:rFonts w:ascii="Arial"/>
                                    <w:sz w:val="18"/>
                                  </w:rPr>
                                  <w:t>and</w:t>
                                </w:r>
                                <w:r>
                                  <w:rPr>
                                    <w:rFonts w:ascii="Arial"/>
                                    <w:spacing w:val="10"/>
                                    <w:sz w:val="18"/>
                                  </w:rPr>
                                  <w:t xml:space="preserve"> </w:t>
                                </w:r>
                                <w:r>
                                  <w:rPr>
                                    <w:rFonts w:ascii="Arial"/>
                                    <w:spacing w:val="-1"/>
                                    <w:sz w:val="18"/>
                                  </w:rPr>
                                  <w:t>Invoicing)</w:t>
                                </w:r>
                                <w:r>
                                  <w:rPr>
                                    <w:rFonts w:ascii="Arial"/>
                                    <w:spacing w:val="10"/>
                                    <w:sz w:val="18"/>
                                  </w:rPr>
                                  <w:t xml:space="preserve"> </w:t>
                                </w:r>
                                <w:r>
                                  <w:rPr>
                                    <w:rFonts w:ascii="Arial"/>
                                    <w:spacing w:val="-1"/>
                                    <w:sz w:val="18"/>
                                  </w:rPr>
                                  <w:t>and</w:t>
                                </w:r>
                                <w:r>
                                  <w:rPr>
                                    <w:rFonts w:ascii="Arial"/>
                                    <w:spacing w:val="10"/>
                                    <w:sz w:val="18"/>
                                  </w:rPr>
                                  <w:t xml:space="preserve"> </w:t>
                                </w:r>
                                <w:r>
                                  <w:rPr>
                                    <w:rFonts w:ascii="Arial"/>
                                    <w:spacing w:val="-1"/>
                                    <w:sz w:val="18"/>
                                  </w:rPr>
                                  <w:t>settle</w:t>
                                </w:r>
                                <w:r>
                                  <w:rPr>
                                    <w:rFonts w:ascii="Arial"/>
                                    <w:spacing w:val="10"/>
                                    <w:sz w:val="18"/>
                                  </w:rPr>
                                  <w:t xml:space="preserve"> </w:t>
                                </w:r>
                                <w:r>
                                  <w:rPr>
                                    <w:rFonts w:ascii="Arial"/>
                                    <w:sz w:val="18"/>
                                  </w:rPr>
                                  <w:t>all</w:t>
                                </w:r>
                                <w:r>
                                  <w:rPr>
                                    <w:rFonts w:ascii="Arial"/>
                                    <w:spacing w:val="8"/>
                                    <w:sz w:val="18"/>
                                  </w:rPr>
                                  <w:t xml:space="preserve"> </w:t>
                                </w:r>
                                <w:r>
                                  <w:rPr>
                                    <w:rFonts w:ascii="Arial"/>
                                    <w:sz w:val="18"/>
                                  </w:rPr>
                                  <w:t>other</w:t>
                                </w:r>
                                <w:r>
                                  <w:rPr>
                                    <w:rFonts w:ascii="Arial"/>
                                    <w:spacing w:val="9"/>
                                    <w:sz w:val="18"/>
                                  </w:rPr>
                                  <w:t xml:space="preserve"> </w:t>
                                </w:r>
                                <w:r>
                                  <w:rPr>
                                    <w:rFonts w:ascii="Arial"/>
                                    <w:spacing w:val="-1"/>
                                    <w:sz w:val="18"/>
                                  </w:rPr>
                                  <w:t>information</w:t>
                                </w:r>
                                <w:r>
                                  <w:rPr>
                                    <w:rFonts w:ascii="Arial"/>
                                    <w:spacing w:val="10"/>
                                    <w:sz w:val="18"/>
                                  </w:rPr>
                                  <w:t xml:space="preserve"> </w:t>
                                </w:r>
                                <w:r>
                                  <w:rPr>
                                    <w:rFonts w:ascii="Arial"/>
                                    <w:spacing w:val="-1"/>
                                    <w:sz w:val="18"/>
                                  </w:rPr>
                                  <w:t>in</w:t>
                                </w:r>
                              </w:p>
                              <w:p w:rsidR="005D2B81" w:rsidRDefault="005D2B81" w:rsidP="008918FA">
                                <w:pPr>
                                  <w:jc w:val="both"/>
                                  <w:rPr>
                                    <w:rFonts w:ascii="Arial" w:eastAsia="Arial" w:hAnsi="Arial" w:cs="Arial"/>
                                    <w:sz w:val="18"/>
                                    <w:szCs w:val="18"/>
                                  </w:rPr>
                                </w:pPr>
                                <w:r>
                                  <w:rPr>
                                    <w:rFonts w:ascii="Arial"/>
                                    <w:spacing w:val="-1"/>
                                    <w:sz w:val="18"/>
                                  </w:rPr>
                                  <w:t>square</w:t>
                                </w:r>
                                <w:r>
                                  <w:rPr>
                                    <w:rFonts w:ascii="Arial"/>
                                    <w:spacing w:val="10"/>
                                    <w:sz w:val="18"/>
                                  </w:rPr>
                                  <w:t xml:space="preserve"> </w:t>
                                </w:r>
                                <w:r>
                                  <w:rPr>
                                    <w:rFonts w:ascii="Arial"/>
                                    <w:spacing w:val="-1"/>
                                    <w:sz w:val="18"/>
                                  </w:rPr>
                                  <w:t>brackets</w:t>
                                </w:r>
                                <w:r>
                                  <w:rPr>
                                    <w:rFonts w:ascii="Arial"/>
                                    <w:spacing w:val="11"/>
                                    <w:sz w:val="18"/>
                                  </w:rPr>
                                  <w:t xml:space="preserve"> </w:t>
                                </w:r>
                                <w:r>
                                  <w:rPr>
                                    <w:rFonts w:ascii="Arial"/>
                                    <w:spacing w:val="-1"/>
                                    <w:sz w:val="18"/>
                                  </w:rPr>
                                  <w:t>in</w:t>
                                </w:r>
                                <w:r>
                                  <w:rPr>
                                    <w:rFonts w:ascii="Arial"/>
                                    <w:spacing w:val="10"/>
                                    <w:sz w:val="18"/>
                                  </w:rPr>
                                  <w:t xml:space="preserve"> </w:t>
                                </w:r>
                                <w:r>
                                  <w:rPr>
                                    <w:rFonts w:ascii="Arial"/>
                                    <w:spacing w:val="-1"/>
                                    <w:sz w:val="18"/>
                                  </w:rPr>
                                  <w:t>that</w:t>
                                </w:r>
                                <w:r>
                                  <w:rPr>
                                    <w:rFonts w:ascii="Arial"/>
                                    <w:spacing w:val="10"/>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10"/>
                                    <w:sz w:val="18"/>
                                  </w:rPr>
                                  <w:t xml:space="preserve"> </w:t>
                                </w:r>
                                <w:r>
                                  <w:rPr>
                                    <w:rFonts w:ascii="Arial"/>
                                    <w:spacing w:val="-1"/>
                                    <w:sz w:val="18"/>
                                  </w:rPr>
                                  <w:t>Schedule.</w:t>
                                </w:r>
                                <w:r>
                                  <w:rPr>
                                    <w:rFonts w:ascii="Arial"/>
                                    <w:spacing w:val="7"/>
                                    <w:sz w:val="18"/>
                                  </w:rPr>
                                  <w:t xml:space="preserve"> </w:t>
                                </w:r>
                                <w:r>
                                  <w:rPr>
                                    <w:rFonts w:ascii="Arial"/>
                                    <w:spacing w:val="-1"/>
                                    <w:sz w:val="18"/>
                                  </w:rPr>
                                  <w:t>The</w:t>
                                </w:r>
                                <w:r>
                                  <w:rPr>
                                    <w:rFonts w:ascii="Arial"/>
                                    <w:spacing w:val="10"/>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10"/>
                                    <w:sz w:val="18"/>
                                  </w:rPr>
                                  <w:t xml:space="preserve"> </w:t>
                                </w:r>
                                <w:r>
                                  <w:rPr>
                                    <w:rFonts w:ascii="Arial"/>
                                    <w:spacing w:val="-1"/>
                                    <w:sz w:val="18"/>
                                  </w:rPr>
                                  <w:t>Contract</w:t>
                                </w:r>
                                <w:r>
                                  <w:rPr>
                                    <w:rFonts w:ascii="Arial"/>
                                    <w:spacing w:val="10"/>
                                    <w:sz w:val="18"/>
                                  </w:rPr>
                                  <w:t xml:space="preserve"> </w:t>
                                </w:r>
                                <w:r>
                                  <w:rPr>
                                    <w:rFonts w:ascii="Arial"/>
                                    <w:spacing w:val="-1"/>
                                    <w:sz w:val="18"/>
                                  </w:rPr>
                                  <w:t>Charges</w:t>
                                </w:r>
                                <w:r>
                                  <w:rPr>
                                    <w:rFonts w:ascii="Arial"/>
                                    <w:spacing w:val="8"/>
                                    <w:sz w:val="18"/>
                                  </w:rPr>
                                  <w:t xml:space="preserve"> </w:t>
                                </w:r>
                                <w:r>
                                  <w:rPr>
                                    <w:rFonts w:ascii="Arial"/>
                                    <w:spacing w:val="-1"/>
                                    <w:sz w:val="18"/>
                                  </w:rPr>
                                  <w:t>should</w:t>
                                </w:r>
                                <w:r>
                                  <w:rPr>
                                    <w:rFonts w:ascii="Arial"/>
                                    <w:spacing w:val="8"/>
                                    <w:sz w:val="18"/>
                                  </w:rPr>
                                  <w:t xml:space="preserve"> </w:t>
                                </w:r>
                                <w:r>
                                  <w:rPr>
                                    <w:rFonts w:ascii="Arial"/>
                                    <w:sz w:val="18"/>
                                  </w:rPr>
                                  <w:t>be</w:t>
                                </w:r>
                                <w:r>
                                  <w:rPr>
                                    <w:rFonts w:ascii="Arial"/>
                                    <w:spacing w:val="8"/>
                                    <w:sz w:val="18"/>
                                  </w:rPr>
                                  <w:t xml:space="preserve"> </w:t>
                                </w:r>
                                <w:r>
                                  <w:rPr>
                                    <w:rFonts w:ascii="Arial"/>
                                    <w:spacing w:val="-1"/>
                                    <w:sz w:val="18"/>
                                  </w:rPr>
                                  <w:t>compliant</w:t>
                                </w:r>
                                <w:r>
                                  <w:rPr>
                                    <w:rFonts w:ascii="Arial"/>
                                    <w:spacing w:val="10"/>
                                    <w:sz w:val="18"/>
                                  </w:rPr>
                                  <w:t xml:space="preserve"> </w:t>
                                </w:r>
                                <w:r>
                                  <w:rPr>
                                    <w:rFonts w:ascii="Arial"/>
                                    <w:spacing w:val="-1"/>
                                    <w:sz w:val="18"/>
                                  </w:rPr>
                                  <w:t>with</w:t>
                                </w:r>
                                <w:r>
                                  <w:rPr>
                                    <w:rFonts w:ascii="Arial"/>
                                    <w:spacing w:val="8"/>
                                    <w:sz w:val="18"/>
                                  </w:rPr>
                                  <w:t xml:space="preserve"> </w:t>
                                </w:r>
                                <w:r>
                                  <w:rPr>
                                    <w:rFonts w:ascii="Arial"/>
                                    <w:spacing w:val="-1"/>
                                    <w:sz w:val="18"/>
                                  </w:rPr>
                                  <w:t>Framework</w:t>
                                </w:r>
                                <w:r>
                                  <w:rPr>
                                    <w:rFonts w:ascii="Arial"/>
                                    <w:spacing w:val="91"/>
                                    <w:sz w:val="18"/>
                                  </w:rPr>
                                  <w:t xml:space="preserve"> </w:t>
                                </w:r>
                                <w:r>
                                  <w:rPr>
                                    <w:rFonts w:ascii="Arial"/>
                                    <w:spacing w:val="-1"/>
                                    <w:sz w:val="18"/>
                                  </w:rPr>
                                  <w:t>Schedule</w:t>
                                </w:r>
                                <w:r>
                                  <w:rPr>
                                    <w:rFonts w:ascii="Arial"/>
                                    <w:spacing w:val="10"/>
                                    <w:sz w:val="18"/>
                                  </w:rPr>
                                  <w:t xml:space="preserve"> </w:t>
                                </w:r>
                                <w:r>
                                  <w:rPr>
                                    <w:rFonts w:ascii="Arial"/>
                                    <w:sz w:val="18"/>
                                  </w:rPr>
                                  <w:t>3</w:t>
                                </w:r>
                                <w:r>
                                  <w:rPr>
                                    <w:rFonts w:ascii="Arial"/>
                                    <w:spacing w:val="13"/>
                                    <w:sz w:val="18"/>
                                  </w:rPr>
                                  <w:t xml:space="preserve"> </w:t>
                                </w:r>
                                <w:r>
                                  <w:rPr>
                                    <w:rFonts w:ascii="Arial"/>
                                    <w:spacing w:val="-1"/>
                                    <w:sz w:val="18"/>
                                  </w:rPr>
                                  <w:t>(Charging</w:t>
                                </w:r>
                                <w:r>
                                  <w:rPr>
                                    <w:rFonts w:ascii="Arial"/>
                                    <w:spacing w:val="11"/>
                                    <w:sz w:val="18"/>
                                  </w:rPr>
                                  <w:t xml:space="preserve"> </w:t>
                                </w:r>
                                <w:r>
                                  <w:rPr>
                                    <w:rFonts w:ascii="Arial"/>
                                    <w:spacing w:val="-1"/>
                                    <w:sz w:val="18"/>
                                  </w:rPr>
                                  <w:t>Structure)</w:t>
                                </w:r>
                                <w:r>
                                  <w:rPr>
                                    <w:rFonts w:ascii="Arial"/>
                                    <w:spacing w:val="12"/>
                                    <w:sz w:val="18"/>
                                  </w:rPr>
                                  <w:t xml:space="preserve"> </w:t>
                                </w:r>
                                <w:r>
                                  <w:rPr>
                                    <w:rFonts w:ascii="Arial"/>
                                    <w:spacing w:val="-1"/>
                                    <w:sz w:val="18"/>
                                  </w:rPr>
                                  <w:t>and</w:t>
                                </w:r>
                                <w:r>
                                  <w:rPr>
                                    <w:rFonts w:ascii="Arial"/>
                                    <w:spacing w:val="13"/>
                                    <w:sz w:val="18"/>
                                  </w:rPr>
                                  <w:t xml:space="preserve"> </w:t>
                                </w:r>
                                <w:r>
                                  <w:rPr>
                                    <w:rFonts w:ascii="Arial"/>
                                    <w:spacing w:val="-1"/>
                                    <w:sz w:val="18"/>
                                  </w:rPr>
                                  <w:t>Customers</w:t>
                                </w:r>
                                <w:r>
                                  <w:rPr>
                                    <w:rFonts w:ascii="Arial"/>
                                    <w:spacing w:val="11"/>
                                    <w:sz w:val="18"/>
                                  </w:rPr>
                                  <w:t xml:space="preserve"> </w:t>
                                </w:r>
                                <w:r>
                                  <w:rPr>
                                    <w:rFonts w:ascii="Arial"/>
                                    <w:sz w:val="18"/>
                                  </w:rPr>
                                  <w:t>are</w:t>
                                </w:r>
                                <w:r>
                                  <w:rPr>
                                    <w:rFonts w:ascii="Arial"/>
                                    <w:spacing w:val="13"/>
                                    <w:sz w:val="18"/>
                                  </w:rPr>
                                  <w:t xml:space="preserve"> </w:t>
                                </w:r>
                                <w:r>
                                  <w:rPr>
                                    <w:rFonts w:ascii="Arial"/>
                                    <w:spacing w:val="-1"/>
                                    <w:sz w:val="18"/>
                                  </w:rPr>
                                  <w:t>also</w:t>
                                </w:r>
                                <w:r>
                                  <w:rPr>
                                    <w:rFonts w:ascii="Arial"/>
                                    <w:spacing w:val="13"/>
                                    <w:sz w:val="18"/>
                                  </w:rPr>
                                  <w:t xml:space="preserve"> </w:t>
                                </w:r>
                                <w:r>
                                  <w:rPr>
                                    <w:rFonts w:ascii="Arial"/>
                                    <w:spacing w:val="-1"/>
                                    <w:sz w:val="18"/>
                                  </w:rPr>
                                  <w:t>referred</w:t>
                                </w:r>
                                <w:r>
                                  <w:rPr>
                                    <w:rFonts w:ascii="Arial"/>
                                    <w:spacing w:val="13"/>
                                    <w:sz w:val="18"/>
                                  </w:rPr>
                                  <w:t xml:space="preserve"> </w:t>
                                </w:r>
                                <w:r>
                                  <w:rPr>
                                    <w:rFonts w:ascii="Arial"/>
                                    <w:sz w:val="18"/>
                                  </w:rPr>
                                  <w:t>to</w:t>
                                </w:r>
                                <w:r>
                                  <w:rPr>
                                    <w:rFonts w:ascii="Arial"/>
                                    <w:spacing w:val="11"/>
                                    <w:sz w:val="18"/>
                                  </w:rPr>
                                  <w:t xml:space="preserve"> </w:t>
                                </w:r>
                                <w:r>
                                  <w:rPr>
                                    <w:rFonts w:ascii="Arial"/>
                                    <w:spacing w:val="-1"/>
                                    <w:sz w:val="18"/>
                                  </w:rPr>
                                  <w:t>Framework</w:t>
                                </w:r>
                                <w:r>
                                  <w:rPr>
                                    <w:rFonts w:ascii="Arial"/>
                                    <w:spacing w:val="14"/>
                                    <w:sz w:val="18"/>
                                  </w:rPr>
                                  <w:t xml:space="preserve"> </w:t>
                                </w:r>
                                <w:r>
                                  <w:rPr>
                                    <w:rFonts w:ascii="Arial"/>
                                    <w:spacing w:val="-1"/>
                                    <w:sz w:val="18"/>
                                  </w:rPr>
                                  <w:t>Schedule</w:t>
                                </w:r>
                                <w:r>
                                  <w:rPr>
                                    <w:rFonts w:ascii="Arial"/>
                                    <w:spacing w:val="13"/>
                                    <w:sz w:val="18"/>
                                  </w:rPr>
                                  <w:t xml:space="preserve"> </w:t>
                                </w:r>
                                <w:r>
                                  <w:rPr>
                                    <w:rFonts w:ascii="Arial"/>
                                    <w:sz w:val="18"/>
                                  </w:rPr>
                                  <w:t>5</w:t>
                                </w:r>
                                <w:r>
                                  <w:rPr>
                                    <w:rFonts w:ascii="Arial"/>
                                    <w:spacing w:val="13"/>
                                    <w:sz w:val="18"/>
                                  </w:rPr>
                                  <w:t xml:space="preserve"> </w:t>
                                </w:r>
                                <w:r>
                                  <w:rPr>
                                    <w:rFonts w:ascii="Arial"/>
                                    <w:spacing w:val="-1"/>
                                    <w:sz w:val="18"/>
                                  </w:rPr>
                                  <w:t>(Call</w:t>
                                </w:r>
                                <w:r>
                                  <w:rPr>
                                    <w:rFonts w:ascii="Arial"/>
                                    <w:spacing w:val="13"/>
                                    <w:sz w:val="18"/>
                                  </w:rPr>
                                  <w:t xml:space="preserve"> </w:t>
                                </w:r>
                                <w:r>
                                  <w:rPr>
                                    <w:rFonts w:ascii="Arial"/>
                                    <w:spacing w:val="-1"/>
                                    <w:sz w:val="18"/>
                                  </w:rPr>
                                  <w:t>Off</w:t>
                                </w:r>
                                <w:r>
                                  <w:rPr>
                                    <w:rFonts w:ascii="Arial"/>
                                    <w:spacing w:val="83"/>
                                    <w:sz w:val="18"/>
                                  </w:rPr>
                                  <w:t xml:space="preserve"> </w:t>
                                </w:r>
                                <w:r>
                                  <w:rPr>
                                    <w:rFonts w:ascii="Arial"/>
                                    <w:spacing w:val="-1"/>
                                    <w:sz w:val="18"/>
                                  </w:rPr>
                                  <w:t>Procedure).</w:t>
                                </w:r>
                                <w:r>
                                  <w:rPr>
                                    <w:rFonts w:ascii="Arial"/>
                                    <w:spacing w:val="29"/>
                                    <w:sz w:val="18"/>
                                  </w:rPr>
                                  <w:t xml:space="preserve"> </w:t>
                                </w:r>
                                <w:r>
                                  <w:rPr>
                                    <w:rFonts w:ascii="Arial"/>
                                    <w:sz w:val="18"/>
                                  </w:rPr>
                                  <w:t>If</w:t>
                                </w:r>
                                <w:r>
                                  <w:rPr>
                                    <w:rFonts w:ascii="Arial"/>
                                    <w:spacing w:val="31"/>
                                    <w:sz w:val="18"/>
                                  </w:rPr>
                                  <w:t xml:space="preserve"> </w:t>
                                </w:r>
                                <w:r>
                                  <w:rPr>
                                    <w:rFonts w:ascii="Arial"/>
                                    <w:sz w:val="18"/>
                                  </w:rPr>
                                  <w:t>an</w:t>
                                </w:r>
                                <w:r>
                                  <w:rPr>
                                    <w:rFonts w:ascii="Arial"/>
                                    <w:spacing w:val="29"/>
                                    <w:sz w:val="18"/>
                                  </w:rPr>
                                  <w:t xml:space="preserve"> </w:t>
                                </w:r>
                                <w:r>
                                  <w:rPr>
                                    <w:rFonts w:ascii="Arial"/>
                                    <w:spacing w:val="-1"/>
                                    <w:sz w:val="18"/>
                                  </w:rPr>
                                  <w:t>Implementation</w:t>
                                </w:r>
                                <w:r>
                                  <w:rPr>
                                    <w:rFonts w:ascii="Arial"/>
                                    <w:spacing w:val="32"/>
                                    <w:sz w:val="18"/>
                                  </w:rPr>
                                  <w:t xml:space="preserve"> </w:t>
                                </w:r>
                                <w:r>
                                  <w:rPr>
                                    <w:rFonts w:ascii="Arial"/>
                                    <w:spacing w:val="-1"/>
                                    <w:sz w:val="18"/>
                                  </w:rPr>
                                  <w:t>Plan</w:t>
                                </w:r>
                                <w:r>
                                  <w:rPr>
                                    <w:rFonts w:ascii="Arial"/>
                                    <w:spacing w:val="29"/>
                                    <w:sz w:val="18"/>
                                  </w:rPr>
                                  <w:t xml:space="preserve"> </w:t>
                                </w:r>
                                <w:r>
                                  <w:rPr>
                                    <w:rFonts w:ascii="Arial"/>
                                    <w:sz w:val="18"/>
                                  </w:rPr>
                                  <w:t>is</w:t>
                                </w:r>
                                <w:r>
                                  <w:rPr>
                                    <w:rFonts w:ascii="Arial"/>
                                    <w:spacing w:val="30"/>
                                    <w:sz w:val="18"/>
                                  </w:rPr>
                                  <w:t xml:space="preserve"> </w:t>
                                </w:r>
                                <w:r>
                                  <w:rPr>
                                    <w:rFonts w:ascii="Arial"/>
                                    <w:spacing w:val="-1"/>
                                    <w:sz w:val="18"/>
                                  </w:rPr>
                                  <w:t>included,</w:t>
                                </w:r>
                                <w:r>
                                  <w:rPr>
                                    <w:rFonts w:ascii="Arial"/>
                                    <w:spacing w:val="29"/>
                                    <w:sz w:val="18"/>
                                  </w:rPr>
                                  <w:t xml:space="preserve"> </w:t>
                                </w:r>
                                <w:r>
                                  <w:rPr>
                                    <w:rFonts w:ascii="Arial"/>
                                    <w:spacing w:val="-1"/>
                                    <w:sz w:val="18"/>
                                  </w:rPr>
                                  <w:t>consider</w:t>
                                </w:r>
                                <w:r>
                                  <w:rPr>
                                    <w:rFonts w:ascii="Arial"/>
                                    <w:spacing w:val="31"/>
                                    <w:sz w:val="18"/>
                                  </w:rPr>
                                  <w:t xml:space="preserve"> </w:t>
                                </w:r>
                                <w:r>
                                  <w:rPr>
                                    <w:rFonts w:ascii="Arial"/>
                                    <w:spacing w:val="-1"/>
                                    <w:sz w:val="18"/>
                                  </w:rPr>
                                  <w:t>whether</w:t>
                                </w:r>
                                <w:r>
                                  <w:rPr>
                                    <w:rFonts w:ascii="Arial"/>
                                    <w:spacing w:val="30"/>
                                    <w:sz w:val="18"/>
                                  </w:rPr>
                                  <w:t xml:space="preserve"> </w:t>
                                </w:r>
                                <w:r>
                                  <w:rPr>
                                    <w:rFonts w:ascii="Arial"/>
                                    <w:spacing w:val="-1"/>
                                    <w:sz w:val="18"/>
                                  </w:rPr>
                                  <w:t>Milestone</w:t>
                                </w:r>
                                <w:r>
                                  <w:rPr>
                                    <w:rFonts w:ascii="Arial"/>
                                    <w:spacing w:val="32"/>
                                    <w:sz w:val="18"/>
                                  </w:rPr>
                                  <w:t xml:space="preserve"> </w:t>
                                </w:r>
                                <w:r>
                                  <w:rPr>
                                    <w:rFonts w:ascii="Arial"/>
                                    <w:spacing w:val="-1"/>
                                    <w:sz w:val="18"/>
                                  </w:rPr>
                                  <w:t>Payments</w:t>
                                </w:r>
                                <w:r>
                                  <w:rPr>
                                    <w:rFonts w:ascii="Arial"/>
                                    <w:spacing w:val="32"/>
                                    <w:sz w:val="18"/>
                                  </w:rPr>
                                  <w:t xml:space="preserve"> </w:t>
                                </w:r>
                                <w:r>
                                  <w:rPr>
                                    <w:rFonts w:ascii="Arial"/>
                                    <w:spacing w:val="-1"/>
                                    <w:sz w:val="18"/>
                                  </w:rPr>
                                  <w:t>should</w:t>
                                </w:r>
                                <w:r>
                                  <w:rPr>
                                    <w:rFonts w:ascii="Arial"/>
                                    <w:spacing w:val="32"/>
                                    <w:sz w:val="18"/>
                                  </w:rPr>
                                  <w:t xml:space="preserve"> </w:t>
                                </w:r>
                                <w:r>
                                  <w:rPr>
                                    <w:rFonts w:ascii="Arial"/>
                                    <w:spacing w:val="-1"/>
                                    <w:sz w:val="18"/>
                                  </w:rPr>
                                  <w:t>be</w:t>
                                </w:r>
                                <w:r>
                                  <w:rPr>
                                    <w:rFonts w:ascii="Arial"/>
                                    <w:spacing w:val="32"/>
                                    <w:sz w:val="18"/>
                                  </w:rPr>
                                  <w:t xml:space="preserve"> </w:t>
                                </w:r>
                                <w:r>
                                  <w:rPr>
                                    <w:rFonts w:ascii="Arial"/>
                                    <w:spacing w:val="-1"/>
                                    <w:sz w:val="18"/>
                                  </w:rPr>
                                  <w:t>added,</w:t>
                                </w:r>
                                <w:r>
                                  <w:rPr>
                                    <w:rFonts w:ascii="Arial"/>
                                    <w:spacing w:val="91"/>
                                    <w:sz w:val="18"/>
                                  </w:rPr>
                                  <w:t xml:space="preserve"> </w:t>
                                </w:r>
                                <w:r>
                                  <w:rPr>
                                    <w:rFonts w:ascii="Arial"/>
                                    <w:spacing w:val="-1"/>
                                    <w:sz w:val="18"/>
                                  </w:rPr>
                                  <w:t>staged</w:t>
                                </w:r>
                                <w:r>
                                  <w:rPr>
                                    <w:rFonts w:ascii="Arial"/>
                                    <w:spacing w:val="8"/>
                                    <w:sz w:val="18"/>
                                  </w:rPr>
                                  <w:t xml:space="preserve"> </w:t>
                                </w:r>
                                <w:r>
                                  <w:rPr>
                                    <w:rFonts w:ascii="Arial"/>
                                    <w:spacing w:val="-1"/>
                                    <w:sz w:val="18"/>
                                  </w:rPr>
                                  <w:t>and</w:t>
                                </w:r>
                                <w:r>
                                  <w:rPr>
                                    <w:rFonts w:ascii="Arial"/>
                                    <w:spacing w:val="8"/>
                                    <w:sz w:val="18"/>
                                  </w:rPr>
                                  <w:t xml:space="preserve"> </w:t>
                                </w:r>
                                <w:r>
                                  <w:rPr>
                                    <w:rFonts w:ascii="Arial"/>
                                    <w:spacing w:val="-1"/>
                                    <w:sz w:val="18"/>
                                  </w:rPr>
                                  <w:t>linked</w:t>
                                </w:r>
                                <w:r>
                                  <w:rPr>
                                    <w:rFonts w:ascii="Arial"/>
                                    <w:spacing w:val="8"/>
                                    <w:sz w:val="18"/>
                                  </w:rPr>
                                  <w:t xml:space="preserve"> </w:t>
                                </w:r>
                                <w:r>
                                  <w:rPr>
                                    <w:rFonts w:ascii="Arial"/>
                                    <w:sz w:val="18"/>
                                  </w:rPr>
                                  <w:t>to</w:t>
                                </w:r>
                                <w:r>
                                  <w:rPr>
                                    <w:rFonts w:ascii="Arial"/>
                                    <w:spacing w:val="5"/>
                                    <w:sz w:val="18"/>
                                  </w:rPr>
                                  <w:t xml:space="preserve"> </w:t>
                                </w:r>
                                <w:r>
                                  <w:rPr>
                                    <w:rFonts w:ascii="Arial"/>
                                    <w:sz w:val="18"/>
                                  </w:rPr>
                                  <w:t>the</w:t>
                                </w:r>
                                <w:r>
                                  <w:rPr>
                                    <w:rFonts w:ascii="Arial"/>
                                    <w:spacing w:val="8"/>
                                    <w:sz w:val="18"/>
                                  </w:rPr>
                                  <w:t xml:space="preserve"> </w:t>
                                </w:r>
                                <w:r>
                                  <w:rPr>
                                    <w:rFonts w:ascii="Arial"/>
                                    <w:spacing w:val="-1"/>
                                    <w:sz w:val="18"/>
                                  </w:rPr>
                                  <w:t>Achievement</w:t>
                                </w:r>
                                <w:r>
                                  <w:rPr>
                                    <w:rFonts w:ascii="Arial"/>
                                    <w:spacing w:val="7"/>
                                    <w:sz w:val="18"/>
                                  </w:rPr>
                                  <w:t xml:space="preserve"> </w:t>
                                </w:r>
                                <w:r>
                                  <w:rPr>
                                    <w:rFonts w:ascii="Arial"/>
                                    <w:spacing w:val="-1"/>
                                    <w:sz w:val="18"/>
                                  </w:rPr>
                                  <w:t>of</w:t>
                                </w:r>
                                <w:r>
                                  <w:rPr>
                                    <w:rFonts w:ascii="Arial"/>
                                    <w:spacing w:val="7"/>
                                    <w:sz w:val="18"/>
                                  </w:rPr>
                                  <w:t xml:space="preserve"> </w:t>
                                </w:r>
                                <w:r>
                                  <w:rPr>
                                    <w:rFonts w:ascii="Arial"/>
                                    <w:spacing w:val="-1"/>
                                    <w:sz w:val="18"/>
                                  </w:rPr>
                                  <w:t>particular</w:t>
                                </w:r>
                                <w:r>
                                  <w:rPr>
                                    <w:rFonts w:ascii="Arial"/>
                                    <w:spacing w:val="7"/>
                                    <w:sz w:val="18"/>
                                  </w:rPr>
                                  <w:t xml:space="preserve"> </w:t>
                                </w:r>
                                <w:r>
                                  <w:rPr>
                                    <w:rFonts w:ascii="Arial"/>
                                    <w:spacing w:val="-1"/>
                                    <w:sz w:val="18"/>
                                  </w:rPr>
                                  <w:t>Milestones</w:t>
                                </w:r>
                                <w:r>
                                  <w:rPr>
                                    <w:rFonts w:ascii="Arial"/>
                                    <w:spacing w:val="8"/>
                                    <w:sz w:val="18"/>
                                  </w:rPr>
                                  <w:t xml:space="preserve"> </w:t>
                                </w:r>
                                <w:r>
                                  <w:rPr>
                                    <w:rFonts w:ascii="Arial"/>
                                    <w:spacing w:val="-1"/>
                                    <w:sz w:val="18"/>
                                  </w:rPr>
                                  <w:t>(see</w:t>
                                </w:r>
                                <w:r>
                                  <w:rPr>
                                    <w:rFonts w:ascii="Arial"/>
                                    <w:spacing w:val="8"/>
                                    <w:sz w:val="18"/>
                                  </w:rPr>
                                  <w:t xml:space="preserve"> </w:t>
                                </w:r>
                                <w:r>
                                  <w:rPr>
                                    <w:rFonts w:ascii="Arial"/>
                                    <w:sz w:val="18"/>
                                  </w:rPr>
                                  <w:t>the</w:t>
                                </w:r>
                                <w:r>
                                  <w:rPr>
                                    <w:rFonts w:ascii="Arial"/>
                                    <w:spacing w:val="5"/>
                                    <w:sz w:val="18"/>
                                  </w:rPr>
                                  <w:t xml:space="preserve"> </w:t>
                                </w:r>
                                <w:r>
                                  <w:rPr>
                                    <w:rFonts w:ascii="Arial"/>
                                    <w:spacing w:val="-1"/>
                                    <w:sz w:val="18"/>
                                  </w:rPr>
                                  <w:t>guidance</w:t>
                                </w:r>
                                <w:r>
                                  <w:rPr>
                                    <w:rFonts w:ascii="Arial"/>
                                    <w:spacing w:val="5"/>
                                    <w:sz w:val="18"/>
                                  </w:rPr>
                                  <w:t xml:space="preserve"> </w:t>
                                </w:r>
                                <w:r>
                                  <w:rPr>
                                    <w:rFonts w:ascii="Arial"/>
                                    <w:sz w:val="18"/>
                                  </w:rPr>
                                  <w:t>in</w:t>
                                </w:r>
                                <w:r>
                                  <w:rPr>
                                    <w:rFonts w:ascii="Arial"/>
                                    <w:spacing w:val="8"/>
                                    <w:sz w:val="18"/>
                                  </w:rPr>
                                  <w:t xml:space="preserve"> </w:t>
                                </w:r>
                                <w:r>
                                  <w:rPr>
                                    <w:rFonts w:ascii="Arial"/>
                                    <w:sz w:val="18"/>
                                  </w:rPr>
                                  <w:t>Part</w:t>
                                </w:r>
                                <w:r>
                                  <w:rPr>
                                    <w:rFonts w:ascii="Arial"/>
                                    <w:spacing w:val="7"/>
                                    <w:sz w:val="18"/>
                                  </w:rPr>
                                  <w:t xml:space="preserve"> </w:t>
                                </w:r>
                                <w:r>
                                  <w:rPr>
                                    <w:rFonts w:ascii="Arial"/>
                                    <w:sz w:val="18"/>
                                  </w:rPr>
                                  <w:t>A</w:t>
                                </w:r>
                                <w:r>
                                  <w:rPr>
                                    <w:rFonts w:ascii="Arial"/>
                                    <w:spacing w:val="4"/>
                                    <w:sz w:val="18"/>
                                  </w:rPr>
                                  <w:t xml:space="preserve"> </w:t>
                                </w:r>
                                <w:r>
                                  <w:rPr>
                                    <w:rFonts w:ascii="Arial"/>
                                    <w:sz w:val="18"/>
                                  </w:rPr>
                                  <w:t>of</w:t>
                                </w:r>
                                <w:r>
                                  <w:rPr>
                                    <w:rFonts w:ascii="Arial"/>
                                    <w:spacing w:val="7"/>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Schedule</w:t>
                                </w:r>
                                <w:r>
                                  <w:rPr>
                                    <w:rFonts w:ascii="Arial"/>
                                    <w:spacing w:val="73"/>
                                    <w:sz w:val="18"/>
                                  </w:rPr>
                                  <w:t xml:space="preserve"> </w:t>
                                </w:r>
                                <w:r>
                                  <w:rPr>
                                    <w:rFonts w:ascii="Arial"/>
                                    <w:sz w:val="18"/>
                                  </w:rPr>
                                  <w:t>4</w:t>
                                </w:r>
                                <w:r>
                                  <w:rPr>
                                    <w:rFonts w:ascii="Arial"/>
                                    <w:spacing w:val="15"/>
                                    <w:sz w:val="18"/>
                                  </w:rPr>
                                  <w:t xml:space="preserve"> </w:t>
                                </w:r>
                                <w:r>
                                  <w:rPr>
                                    <w:rFonts w:ascii="Arial"/>
                                    <w:spacing w:val="-1"/>
                                    <w:sz w:val="18"/>
                                  </w:rPr>
                                  <w:t>(Implementation</w:t>
                                </w:r>
                                <w:r>
                                  <w:rPr>
                                    <w:rFonts w:ascii="Arial"/>
                                    <w:spacing w:val="15"/>
                                    <w:sz w:val="18"/>
                                  </w:rPr>
                                  <w:t xml:space="preserve"> </w:t>
                                </w:r>
                                <w:r>
                                  <w:rPr>
                                    <w:rFonts w:ascii="Arial"/>
                                    <w:spacing w:val="-1"/>
                                    <w:sz w:val="18"/>
                                  </w:rPr>
                                  <w:t>Plan,</w:t>
                                </w:r>
                                <w:r>
                                  <w:rPr>
                                    <w:rFonts w:ascii="Arial"/>
                                    <w:spacing w:val="12"/>
                                    <w:sz w:val="18"/>
                                  </w:rPr>
                                  <w:t xml:space="preserve"> </w:t>
                                </w:r>
                                <w:r>
                                  <w:rPr>
                                    <w:rFonts w:ascii="Arial"/>
                                    <w:spacing w:val="-1"/>
                                    <w:sz w:val="18"/>
                                  </w:rPr>
                                  <w:t>Customer</w:t>
                                </w:r>
                                <w:r>
                                  <w:rPr>
                                    <w:rFonts w:ascii="Arial"/>
                                    <w:spacing w:val="12"/>
                                    <w:sz w:val="18"/>
                                  </w:rPr>
                                  <w:t xml:space="preserve"> </w:t>
                                </w:r>
                                <w:r>
                                  <w:rPr>
                                    <w:rFonts w:ascii="Arial"/>
                                    <w:spacing w:val="-1"/>
                                    <w:sz w:val="18"/>
                                  </w:rPr>
                                  <w:t>Responsibilities</w:t>
                                </w:r>
                                <w:r>
                                  <w:rPr>
                                    <w:rFonts w:ascii="Arial"/>
                                    <w:spacing w:val="13"/>
                                    <w:sz w:val="18"/>
                                  </w:rPr>
                                  <w:t xml:space="preserve"> </w:t>
                                </w:r>
                                <w:r>
                                  <w:rPr>
                                    <w:rFonts w:ascii="Arial"/>
                                    <w:spacing w:val="-1"/>
                                    <w:sz w:val="18"/>
                                  </w:rPr>
                                  <w:t>and</w:t>
                                </w:r>
                                <w:r>
                                  <w:rPr>
                                    <w:rFonts w:ascii="Arial"/>
                                    <w:spacing w:val="15"/>
                                    <w:sz w:val="18"/>
                                  </w:rPr>
                                  <w:t xml:space="preserve"> </w:t>
                                </w:r>
                                <w:r>
                                  <w:rPr>
                                    <w:rFonts w:ascii="Arial"/>
                                    <w:spacing w:val="-2"/>
                                    <w:sz w:val="18"/>
                                  </w:rPr>
                                  <w:t>Key</w:t>
                                </w:r>
                                <w:r>
                                  <w:rPr>
                                    <w:rFonts w:ascii="Arial"/>
                                    <w:spacing w:val="13"/>
                                    <w:sz w:val="18"/>
                                  </w:rPr>
                                  <w:t xml:space="preserve"> </w:t>
                                </w:r>
                                <w:r>
                                  <w:rPr>
                                    <w:rFonts w:ascii="Arial"/>
                                    <w:spacing w:val="-1"/>
                                    <w:sz w:val="18"/>
                                  </w:rPr>
                                  <w:t>Personnel)).</w:t>
                                </w:r>
                                <w:r>
                                  <w:rPr>
                                    <w:rFonts w:ascii="Arial"/>
                                    <w:spacing w:val="12"/>
                                    <w:sz w:val="18"/>
                                  </w:rPr>
                                  <w:t xml:space="preserve"> </w:t>
                                </w:r>
                                <w:r>
                                  <w:rPr>
                                    <w:rFonts w:ascii="Arial"/>
                                    <w:spacing w:val="-1"/>
                                    <w:sz w:val="18"/>
                                  </w:rPr>
                                  <w:t>Also</w:t>
                                </w:r>
                                <w:r>
                                  <w:rPr>
                                    <w:rFonts w:ascii="Arial"/>
                                    <w:spacing w:val="13"/>
                                    <w:sz w:val="18"/>
                                  </w:rPr>
                                  <w:t xml:space="preserve"> </w:t>
                                </w:r>
                                <w:r>
                                  <w:rPr>
                                    <w:rFonts w:ascii="Arial"/>
                                    <w:spacing w:val="-1"/>
                                    <w:sz w:val="18"/>
                                  </w:rPr>
                                  <w:t>consider</w:t>
                                </w:r>
                                <w:r>
                                  <w:rPr>
                                    <w:rFonts w:ascii="Arial"/>
                                    <w:spacing w:val="12"/>
                                    <w:sz w:val="18"/>
                                  </w:rPr>
                                  <w:t xml:space="preserve"> </w:t>
                                </w:r>
                                <w:r>
                                  <w:rPr>
                                    <w:rFonts w:ascii="Arial"/>
                                    <w:spacing w:val="-1"/>
                                    <w:sz w:val="18"/>
                                  </w:rPr>
                                  <w:t>with</w:t>
                                </w:r>
                                <w:r>
                                  <w:rPr>
                                    <w:rFonts w:ascii="Arial"/>
                                    <w:spacing w:val="15"/>
                                    <w:sz w:val="18"/>
                                  </w:rPr>
                                  <w:t xml:space="preserve"> </w:t>
                                </w:r>
                                <w:r>
                                  <w:rPr>
                                    <w:rFonts w:ascii="Arial"/>
                                    <w:spacing w:val="-1"/>
                                    <w:sz w:val="18"/>
                                  </w:rPr>
                                  <w:t>Clauses</w:t>
                                </w:r>
                                <w:r>
                                  <w:rPr>
                                    <w:rFonts w:ascii="Arial"/>
                                    <w:spacing w:val="13"/>
                                    <w:sz w:val="18"/>
                                  </w:rPr>
                                  <w:t xml:space="preserve"> </w:t>
                                </w:r>
                                <w:hyperlink w:anchor="_bookmark203" w:history="1">
                                  <w:r>
                                    <w:rPr>
                                      <w:rFonts w:ascii="Arial"/>
                                      <w:spacing w:val="-1"/>
                                      <w:sz w:val="18"/>
                                    </w:rPr>
                                    <w:t>36.2.1(a)</w:t>
                                  </w:r>
                                </w:hyperlink>
                                <w:r>
                                  <w:rPr>
                                    <w:rFonts w:ascii="Arial"/>
                                    <w:spacing w:val="113"/>
                                    <w:sz w:val="18"/>
                                  </w:rPr>
                                  <w:t xml:space="preserve"> </w:t>
                                </w:r>
                                <w:r>
                                  <w:rPr>
                                    <w:rFonts w:ascii="Arial"/>
                                    <w:sz w:val="18"/>
                                  </w:rPr>
                                  <w:t>and</w:t>
                                </w:r>
                                <w:r>
                                  <w:rPr>
                                    <w:rFonts w:ascii="Arial"/>
                                    <w:spacing w:val="3"/>
                                    <w:sz w:val="18"/>
                                  </w:rPr>
                                  <w:t xml:space="preserve"> </w:t>
                                </w:r>
                                <w:hyperlink w:anchor="_bookmark208" w:history="1">
                                  <w:r>
                                    <w:rPr>
                                      <w:rFonts w:ascii="Arial"/>
                                      <w:spacing w:val="-1"/>
                                      <w:sz w:val="18"/>
                                    </w:rPr>
                                    <w:t>36.2.2</w:t>
                                  </w:r>
                                </w:hyperlink>
                                <w:r>
                                  <w:rPr>
                                    <w:rFonts w:ascii="Arial"/>
                                    <w:spacing w:val="3"/>
                                    <w:sz w:val="18"/>
                                  </w:rPr>
                                  <w:t xml:space="preserve"> </w:t>
                                </w:r>
                                <w:r>
                                  <w:rPr>
                                    <w:rFonts w:ascii="Arial"/>
                                    <w:sz w:val="18"/>
                                  </w:rPr>
                                  <w:t>of the</w:t>
                                </w:r>
                                <w:r>
                                  <w:rPr>
                                    <w:rFonts w:ascii="Arial"/>
                                    <w:spacing w:val="3"/>
                                    <w:sz w:val="18"/>
                                  </w:rPr>
                                  <w:t xml:space="preserve"> </w:t>
                                </w:r>
                                <w:r>
                                  <w:rPr>
                                    <w:rFonts w:ascii="Arial"/>
                                    <w:spacing w:val="-1"/>
                                    <w:sz w:val="18"/>
                                  </w:rPr>
                                  <w:t>Template</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pacing w:val="3"/>
                                    <w:sz w:val="18"/>
                                  </w:rPr>
                                  <w:t xml:space="preserve"> </w:t>
                                </w:r>
                                <w:r>
                                  <w:rPr>
                                    <w:rFonts w:ascii="Arial"/>
                                    <w:spacing w:val="-1"/>
                                    <w:sz w:val="18"/>
                                  </w:rPr>
                                  <w:t>Terms</w:t>
                                </w:r>
                                <w:r>
                                  <w:rPr>
                                    <w:rFonts w:ascii="Arial"/>
                                    <w:spacing w:val="3"/>
                                    <w:sz w:val="18"/>
                                  </w:rPr>
                                  <w:t xml:space="preserve"> </w:t>
                                </w:r>
                                <w:r>
                                  <w:rPr>
                                    <w:rFonts w:ascii="Arial"/>
                                    <w:spacing w:val="-1"/>
                                    <w:sz w:val="18"/>
                                  </w:rPr>
                                  <w:t>and</w:t>
                                </w:r>
                                <w:r>
                                  <w:rPr>
                                    <w:rFonts w:ascii="Arial"/>
                                    <w:spacing w:val="3"/>
                                    <w:sz w:val="18"/>
                                  </w:rPr>
                                  <w:t xml:space="preserve"> </w:t>
                                </w:r>
                                <w:r>
                                  <w:rPr>
                                    <w:rFonts w:ascii="Arial"/>
                                    <w:spacing w:val="-1"/>
                                    <w:sz w:val="18"/>
                                  </w:rPr>
                                  <w:t>insert</w:t>
                                </w:r>
                                <w:r>
                                  <w:rPr>
                                    <w:rFonts w:ascii="Arial"/>
                                    <w:spacing w:val="3"/>
                                    <w:sz w:val="18"/>
                                  </w:rPr>
                                  <w:t xml:space="preserve"> </w:t>
                                </w:r>
                                <w:r>
                                  <w:rPr>
                                    <w:rFonts w:ascii="Arial"/>
                                    <w:spacing w:val="-1"/>
                                    <w:sz w:val="18"/>
                                  </w:rPr>
                                  <w:t>sum</w:t>
                                </w:r>
                                <w:r>
                                  <w:rPr>
                                    <w:rFonts w:ascii="Arial"/>
                                    <w:spacing w:val="1"/>
                                    <w:sz w:val="18"/>
                                  </w:rPr>
                                  <w:t xml:space="preserve"> </w:t>
                                </w:r>
                                <w:r>
                                  <w:rPr>
                                    <w:rFonts w:ascii="Arial"/>
                                    <w:sz w:val="18"/>
                                  </w:rPr>
                                  <w:t>in</w:t>
                                </w:r>
                                <w:r>
                                  <w:rPr>
                                    <w:rFonts w:ascii="Arial"/>
                                    <w:spacing w:val="1"/>
                                    <w:sz w:val="18"/>
                                  </w:rPr>
                                  <w:t xml:space="preserve"> </w:t>
                                </w:r>
                                <w:r>
                                  <w:rPr>
                                    <w:rFonts w:ascii="Arial"/>
                                    <w:sz w:val="18"/>
                                  </w:rPr>
                                  <w:t>the</w:t>
                                </w:r>
                                <w:r>
                                  <w:rPr>
                                    <w:rFonts w:ascii="Arial"/>
                                    <w:spacing w:val="3"/>
                                    <w:sz w:val="18"/>
                                  </w:rPr>
                                  <w:t xml:space="preserve"> </w:t>
                                </w:r>
                                <w:r>
                                  <w:rPr>
                                    <w:rFonts w:ascii="Arial"/>
                                    <w:spacing w:val="-1"/>
                                    <w:sz w:val="18"/>
                                  </w:rPr>
                                  <w:t>definition</w:t>
                                </w:r>
                                <w:r>
                                  <w:rPr>
                                    <w:rFonts w:ascii="Arial"/>
                                    <w:spacing w:val="3"/>
                                    <w:sz w:val="18"/>
                                  </w:rPr>
                                  <w:t xml:space="preserve"> </w:t>
                                </w:r>
                                <w:r>
                                  <w:rPr>
                                    <w:rFonts w:ascii="Arial"/>
                                    <w:sz w:val="18"/>
                                  </w:rPr>
                                  <w:t xml:space="preserve">of </w:t>
                                </w:r>
                                <w:r>
                                  <w:rPr>
                                    <w:rFonts w:ascii="Arial"/>
                                    <w:spacing w:val="-1"/>
                                    <w:sz w:val="18"/>
                                  </w:rPr>
                                  <w:t>Estimated</w:t>
                                </w:r>
                                <w:r>
                                  <w:rPr>
                                    <w:rFonts w:ascii="Arial"/>
                                    <w:spacing w:val="3"/>
                                    <w:sz w:val="18"/>
                                  </w:rPr>
                                  <w:t xml:space="preserve"> </w:t>
                                </w:r>
                                <w:r>
                                  <w:rPr>
                                    <w:rFonts w:ascii="Arial"/>
                                    <w:spacing w:val="-2"/>
                                    <w:sz w:val="18"/>
                                  </w:rPr>
                                  <w:t>Year</w:t>
                                </w:r>
                                <w:r>
                                  <w:rPr>
                                    <w:rFonts w:ascii="Arial"/>
                                    <w:spacing w:val="2"/>
                                    <w:sz w:val="18"/>
                                  </w:rPr>
                                  <w:t xml:space="preserve"> </w:t>
                                </w:r>
                                <w:r>
                                  <w:rPr>
                                    <w:rFonts w:ascii="Arial"/>
                                    <w:sz w:val="18"/>
                                  </w:rPr>
                                  <w:t>1</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pacing w:val="3"/>
                                    <w:sz w:val="18"/>
                                  </w:rPr>
                                  <w:t xml:space="preserve"> </w:t>
                                </w:r>
                                <w:r>
                                  <w:rPr>
                                    <w:rFonts w:ascii="Arial"/>
                                    <w:spacing w:val="-1"/>
                                    <w:sz w:val="18"/>
                                  </w:rPr>
                                  <w:t>Contract</w:t>
                                </w:r>
                                <w:r>
                                  <w:rPr>
                                    <w:rFonts w:ascii="Arial"/>
                                    <w:spacing w:val="65"/>
                                    <w:sz w:val="18"/>
                                  </w:rPr>
                                  <w:t xml:space="preserve"> </w:t>
                                </w:r>
                                <w:r>
                                  <w:rPr>
                                    <w:rFonts w:ascii="Arial"/>
                                    <w:spacing w:val="-1"/>
                                    <w:sz w:val="18"/>
                                  </w:rPr>
                                  <w:t xml:space="preserve">Charges </w:t>
                                </w:r>
                                <w:r>
                                  <w:rPr>
                                    <w:rFonts w:ascii="Arial"/>
                                    <w:sz w:val="18"/>
                                  </w:rPr>
                                  <w:t>in</w:t>
                                </w:r>
                                <w:r>
                                  <w:rPr>
                                    <w:rFonts w:ascii="Arial"/>
                                    <w:spacing w:val="1"/>
                                    <w:sz w:val="18"/>
                                  </w:rPr>
                                  <w:t xml:space="preserve"> </w:t>
                                </w:r>
                                <w:r>
                                  <w:rPr>
                                    <w:rFonts w:ascii="Arial"/>
                                    <w:spacing w:val="-1"/>
                                    <w:sz w:val="18"/>
                                  </w:rPr>
                                  <w:t>Call</w:t>
                                </w:r>
                                <w:r>
                                  <w:rPr>
                                    <w:rFonts w:ascii="Arial"/>
                                    <w:spacing w:val="1"/>
                                    <w:sz w:val="18"/>
                                  </w:rPr>
                                  <w:t xml:space="preserve"> </w:t>
                                </w:r>
                                <w:r>
                                  <w:rPr>
                                    <w:rFonts w:ascii="Arial"/>
                                    <w:spacing w:val="-1"/>
                                    <w:sz w:val="18"/>
                                  </w:rPr>
                                  <w:t>Off</w:t>
                                </w:r>
                                <w:r>
                                  <w:rPr>
                                    <w:rFonts w:ascii="Arial"/>
                                    <w:spacing w:val="-2"/>
                                    <w:sz w:val="18"/>
                                  </w:rPr>
                                  <w:t xml:space="preserve"> </w:t>
                                </w:r>
                                <w:r>
                                  <w:rPr>
                                    <w:rFonts w:ascii="Arial"/>
                                    <w:spacing w:val="-1"/>
                                    <w:sz w:val="18"/>
                                  </w:rPr>
                                  <w:t>Schedule</w:t>
                                </w:r>
                                <w:r>
                                  <w:rPr>
                                    <w:rFonts w:ascii="Arial"/>
                                    <w:spacing w:val="-2"/>
                                    <w:sz w:val="18"/>
                                  </w:rPr>
                                  <w:t xml:space="preserve"> </w:t>
                                </w:r>
                                <w:r>
                                  <w:rPr>
                                    <w:rFonts w:ascii="Arial"/>
                                    <w:sz w:val="18"/>
                                  </w:rPr>
                                  <w:t>1</w:t>
                                </w:r>
                                <w:r>
                                  <w:rPr>
                                    <w:rFonts w:ascii="Arial"/>
                                    <w:spacing w:val="1"/>
                                    <w:sz w:val="18"/>
                                  </w:rPr>
                                  <w:t xml:space="preserve"> </w:t>
                                </w:r>
                                <w:r>
                                  <w:rPr>
                                    <w:rFonts w:ascii="Arial"/>
                                    <w:spacing w:val="-1"/>
                                    <w:sz w:val="18"/>
                                  </w:rPr>
                                  <w:t>(Definitions)]</w:t>
                                </w:r>
                              </w:p>
                            </w:txbxContent>
                          </wps:txbx>
                          <wps:bodyPr rot="0" vert="horz" wrap="square" lIns="0" tIns="0" rIns="0" bIns="0" anchor="t" anchorCtr="0" upright="1">
                            <a:noAutofit/>
                          </wps:bodyPr>
                        </wps:wsp>
                      </wpg:grpSp>
                    </wpg:wgp>
                  </a:graphicData>
                </a:graphic>
              </wp:inline>
            </w:drawing>
          </mc:Choice>
          <mc:Fallback>
            <w:pict>
              <v:group w14:anchorId="0F22A227" id="Group 7292" o:spid="_x0000_s1041" style="width:445.6pt;height:94.15pt;mso-position-horizontal-relative:char;mso-position-vertical-relative:line" coordsize="8912,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">
                <v:group id="Group 7310" o:spid="_x0000_s1042" style="position:absolute;left:194;top:20;width:8715;height:207" coordorigin="194,20" coordsize="871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dXpscAAADdAAAADwAAAGRycy9kb3ducmV2LnhtbESPT2vCQBTE70K/w/IK&#10;vZlNGmpLmlVEaulBCmqh9PbIPpNg9m3Irvnz7V2h4HGYmd8w+Wo0jeipc7VlBUkUgyAurK65VPBz&#10;3M7fQDiPrLGxTAomcrBaPsxyzLQdeE/9wZciQNhlqKDyvs2kdEVFBl1kW+LgnWxn0AfZlVJ3OAS4&#10;aeRzHC+kwZrDQoUtbSoqzoeLUfA54LBOk49+dz5tpr/jy/fvLiGlnh7H9TsIT6O/h//bX1rBa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dXpscAAADd&#10;AAAADwAAAAAAAAAAAAAAAACqAgAAZHJzL2Rvd25yZXYueG1sUEsFBgAAAAAEAAQA+gAAAJ4DAAAA&#10;AA==&#10;">
                  <v:shape id="Freeform 7311" o:spid="_x0000_s1043" style="position:absolute;left:194;top:20;width:8715;height:207;visibility:visible;mso-wrap-style:square;v-text-anchor:top" coordsize="871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kR8YA&#10;AADdAAAADwAAAGRycy9kb3ducmV2LnhtbESPzWrDMBCE74G8g9hCL6GR6kJcnCghtBRyCiQp6XWx&#10;NraptTKS/NM+fVUo9DjMzDfMZjfZVgzkQ+NYw+NSgSAunWm40vB+eXt4BhEissHWMWn4ogC77Xy2&#10;wcK4kU80nGMlEoRDgRrqGLtCylDWZDEsXUecvJvzFmOSvpLG45jgtpWZUitpseG0UGNHLzWVn+fe&#10;auiPeX/6zq/X1WUcPl4P2dGzWmh9fzft1yAiTfE//Nc+GA35k8rg901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kR8YAAADdAAAADwAAAAAAAAAAAAAAAACYAgAAZHJz&#10;L2Rvd25yZXYueG1sUEsFBgAAAAAEAAQA9QAAAIsDAAAAAA==&#10;" path="m,207r8715,l8715,,,,,207xe" fillcolor="lime" stroked="f">
                    <v:path arrowok="t" o:connecttype="custom" o:connectlocs="0,227;8715,227;8715,20;0,20;0,227" o:connectangles="0,0,0,0,0"/>
                  </v:shape>
                </v:group>
                <v:group id="Group 7308" o:spid="_x0000_s1044" style="position:absolute;top:227;width:8909;height:209" coordorigin=",227" coordsize="8909,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SsYAAADdAAAADwAAAGRycy9kb3ducmV2LnhtbESPT2vCQBTE7wW/w/KE&#10;3uomhlaJriKipQcR/APi7ZF9JsHs25Bdk/jtuwWhx2FmfsPMl72pREuNKy0riEcRCOLM6pJzBefT&#10;9mMKwnlkjZVlUvAkB8vF4G2OqbYdH6g9+lwECLsUFRTe16mULivIoBvZmjh4N9sY9EE2udQNdgFu&#10;KjmOoi9psOSwUGBN64Ky+/FhFHx32K2SeNPu7rf183r63F92MSn1PuxXMxCeev8ffrV/tIJJ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uWxKxgAAAN0A&#10;AAAPAAAAAAAAAAAAAAAAAKoCAABkcnMvZG93bnJldi54bWxQSwUGAAAAAAQABAD6AAAAnQMAAAAA&#10;">
                  <v:shape id="Freeform 7309" o:spid="_x0000_s1045" style="position:absolute;top:227;width:8909;height:209;visibility:visible;mso-wrap-style:square;v-text-anchor:top" coordsize="89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EgccA&#10;AADdAAAADwAAAGRycy9kb3ducmV2LnhtbESPQWvCQBSE74X+h+UVvNVNtVZJXSUEAz2IoC30+sg+&#10;k2j2bcyuMe2vdwXB4zAz3zDzZW9q0VHrKssK3oYRCOLc6ooLBT/f2esMhPPIGmvLpOCPHCwXz09z&#10;jLW98Ja6nS9EgLCLUUHpfRNL6fKSDLqhbYiDt7etQR9kW0jd4iXATS1HUfQhDVYcFkpsKC0pP+7O&#10;RsHmkKbZ7/o8OST/pyl19TFLRiulBi998gnCU+8f4Xv7SyuYjqN3uL0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RIHHAAAA3QAAAA8AAAAAAAAAAAAAAAAAmAIAAGRy&#10;cy9kb3ducmV2LnhtbFBLBQYAAAAABAAEAPUAAACMAwAAAAA=&#10;" path="m,209r8909,l8909,,,,,209xe" fillcolor="lime" stroked="f">
                    <v:path arrowok="t" o:connecttype="custom" o:connectlocs="0,436;8909,436;8909,227;0,227;0,436" o:connectangles="0,0,0,0,0"/>
                  </v:shape>
                </v:group>
                <v:group id="Group 7306" o:spid="_x0000_s1046" style="position:absolute;top:436;width:8909;height:207" coordorigin=",436"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RpccAAADdAAAADwAAAGRycy9kb3ducmV2LnhtbESPQWvCQBSE7wX/w/IK&#10;3ppNlLSSZhWRKh5CoSqU3h7ZZxLMvg3ZbRL/fbdQ6HGYmW+YfDOZVgzUu8aygiSKQRCXVjdcKbic&#10;908rEM4ja2wtk4I7OdisZw85ZtqO/EHDyVciQNhlqKD2vsukdGVNBl1kO+LgXW1v0AfZV1L3OAa4&#10;aeUijp+lwYbDQo0d7Woqb6dvo+Aw4rhdJm9Dcbvu7l/n9P2zSEip+eO0fQXhafL/4b/2USt4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xRpccAAADd&#10;AAAADwAAAAAAAAAAAAAAAACqAgAAZHJzL2Rvd25yZXYueG1sUEsFBgAAAAAEAAQA+gAAAJ4DAAAA&#10;AA==&#10;">
                  <v:shape id="Freeform 7307" o:spid="_x0000_s1047" style="position:absolute;top:436;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9gMUA&#10;AADdAAAADwAAAGRycy9kb3ducmV2LnhtbESP0WrCQBRE34X+w3KFvunGlKpEVym1LSJSqPoB1+w1&#10;CWbvht2tiX/vCoKPw8ycYebLztTiQs5XlhWMhgkI4tzqigsFh/33YArCB2SNtWVScCUPy8VLb46Z&#10;ti3/0WUXChEh7DNUUIbQZFL6vCSDfmgb4uidrDMYonSF1A7bCDe1TJNkLA1WHBdKbOizpPy8+zcK&#10;3FcbtriZpNtuM/09vq9+1iudKvXa7z5mIAJ14Rl+tNdaweQtGcP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H2AxQAAAN0AAAAPAAAAAAAAAAAAAAAAAJgCAABkcnMv&#10;ZG93bnJldi54bWxQSwUGAAAAAAQABAD1AAAAigMAAAAA&#10;" path="m,206r8909,l8909,,,,,206xe" fillcolor="lime" stroked="f">
                    <v:path arrowok="t" o:connecttype="custom" o:connectlocs="0,642;8909,642;8909,436;0,436;0,642" o:connectangles="0,0,0,0,0"/>
                  </v:shape>
                </v:group>
                <v:group id="Group 7304" o:spid="_x0000_s1048" style="position:absolute;top:642;width:8909;height:207" coordorigin=",642"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JqSccAAADdAAAADwAAAGRycy9kb3ducmV2LnhtbESPQWvCQBSE7wX/w/IK&#10;3ppNlDa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JqSccAAADd&#10;AAAADwAAAAAAAAAAAAAAAACqAgAAZHJzL2Rvd25yZXYueG1sUEsFBgAAAAAEAAQA+gAAAJ4DAAAA&#10;AA==&#10;">
                  <v:shape id="Freeform 7305" o:spid="_x0000_s1049" style="position:absolute;top:642;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MacIA&#10;AADdAAAADwAAAGRycy9kb3ducmV2LnhtbERP3WrCMBS+F3yHcITdaWqHP3RGkTlFRAZze4Cz5tgW&#10;m5OSRFvf3lwIXn58/4tVZ2pxI+crywrGowQEcW51xYWCv9/tcA7CB2SNtWVScCcPq2W/t8BM25Z/&#10;6HYKhYgh7DNUUIbQZFL6vCSDfmQb4sidrTMYInSF1A7bGG5qmSbJVBqsODaU2NBnSfnldDUK3Fcb&#10;jniYpcfuMP/+n2x2+41OlXobdOsPEIG68BI/3XutYPaexLnx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0xpwgAAAN0AAAAPAAAAAAAAAAAAAAAAAJgCAABkcnMvZG93&#10;bnJldi54bWxQSwUGAAAAAAQABAD1AAAAhwMAAAAA&#10;" path="m,206r8909,l8909,,,,,206xe" fillcolor="lime" stroked="f">
                    <v:path arrowok="t" o:connecttype="custom" o:connectlocs="0,848;8909,848;8909,642;0,642;0,848" o:connectangles="0,0,0,0,0"/>
                  </v:shape>
                </v:group>
                <v:group id="Group 7302" o:spid="_x0000_s1050" style="position:absolute;top:848;width:8909;height:207" coordorigin=",848"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FboMYAAADdAAAADwAAAGRycy9kb3ducmV2LnhtbESPQWvCQBSE7wX/w/IE&#10;b7qJYrXRVURUPEihWii9PbLPJJh9G7JrEv+9WxB6HGbmG2a57kwpGqpdYVlBPIpAEKdWF5wp+L7s&#10;h3MQziNrLC2Tggc5WK96b0tMtG35i5qzz0SAsEtQQe59lUjp0pwMupGtiIN3tbVBH2SdSV1jG+Cm&#10;lOMoepcGCw4LOVa0zSm9ne9GwaHFdjOJd83pdt0+fi/Tz59TTEoN+t1mAcJT5//Dr/ZRK5hN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UVugxgAAAN0A&#10;AAAPAAAAAAAAAAAAAAAAAKoCAABkcnMvZG93bnJldi54bWxQSwUGAAAAAAQABAD6AAAAnQMAAAAA&#10;">
                  <v:shape id="Freeform 7303" o:spid="_x0000_s1051" style="position:absolute;top:848;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WssMA&#10;AADdAAAADwAAAGRycy9kb3ducmV2LnhtbERP3WrCMBS+H+wdwhl4N1MrW6UzLWPOISKCPw9wbM7a&#10;suakJNF2b79cDLz8+P6X5Wg6cSPnW8sKZtMEBHFldcu1gvNp/bwA4QOyxs4yKfglD2Xx+LDEXNuB&#10;D3Q7hlrEEPY5KmhC6HMpfdWQQT+1PXHkvq0zGCJ0tdQOhxhuOpkmyas02HJsaLCnj4aqn+PVKHCf&#10;Q9jhNkt343axv7ysvjYrnSo1eRrf30AEGsNd/O/eaAXZfBb3xz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WssMAAADdAAAADwAAAAAAAAAAAAAAAACYAgAAZHJzL2Rv&#10;d25yZXYueG1sUEsFBgAAAAAEAAQA9QAAAIgDAAAAAA==&#10;" path="m,207r8909,l8909,,,,,207xe" fillcolor="lime" stroked="f">
                    <v:path arrowok="t" o:connecttype="custom" o:connectlocs="0,1055;8909,1055;8909,848;0,848;0,1055" o:connectangles="0,0,0,0,0"/>
                  </v:shape>
                </v:group>
                <v:group id="Group 7300" o:spid="_x0000_s1052" style="position:absolute;top:1055;width:8909;height:209" coordorigin=",1055" coordsize="8909,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7Be8YAAADdAAAADwAAAGRycy9kb3ducmV2LnhtbESPT2vCQBTE74V+h+UV&#10;equbVVoluoqIlh6k4B8Qb4/sMwlm34bsmsRv7wqFHoeZ+Q0zW/S2Ei01vnSsQQ0SEMSZMyXnGo6H&#10;zccEhA/IBivHpOFOHhbz15cZpsZ1vKN2H3IRIexT1FCEUKdS+qwgi37gauLoXVxjMUTZ5NI02EW4&#10;reQwSb6kxZLjQoE1rQrKrvub1fDdYbccqXW7vV5W9/Ph8/e0VaT1+1u/nIII1If/8F/7x2gYj5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F7xgAAAN0A&#10;AAAPAAAAAAAAAAAAAAAAAKoCAABkcnMvZG93bnJldi54bWxQSwUGAAAAAAQABAD6AAAAnQMAAAAA&#10;">
                  <v:shape id="Freeform 7301" o:spid="_x0000_s1053" style="position:absolute;top:1055;width:8909;height:209;visibility:visible;mso-wrap-style:square;v-text-anchor:top" coordsize="89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vs8cA&#10;AADdAAAADwAAAGRycy9kb3ducmV2LnhtbESPQWvCQBSE74X+h+UVvNWNKWpJXSWEBjyIoC30+si+&#10;JtHs2zS7xuivdwWhx2FmvmEWq8E0oqfO1ZYVTMYRCOLC6ppLBd9f+es7COeRNTaWScGFHKyWz08L&#10;TLQ98476vS9FgLBLUEHlfZtI6YqKDLqxbYmD92s7gz7IrpS6w3OAm0bGUTSTBmsOCxW2lFVUHPcn&#10;o2B7yLL8Z3OaHtLr35z65pin8adSo5ch/QDhafD/4Ud7rRXM3yYx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l77PHAAAA3QAAAA8AAAAAAAAAAAAAAAAAmAIAAGRy&#10;cy9kb3ducmV2LnhtbFBLBQYAAAAABAAEAPUAAACMAwAAAAA=&#10;" path="m,209r8909,l8909,,,,,209xe" fillcolor="lime" stroked="f">
                    <v:path arrowok="t" o:connecttype="custom" o:connectlocs="0,1264;8909,1264;8909,1055;0,1055;0,1264" o:connectangles="0,0,0,0,0"/>
                  </v:shape>
                </v:group>
                <v:group id="Group 7298" o:spid="_x0000_s1054" style="position:absolute;top:1264;width:8909;height:207" coordorigin=",1264"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6l8YAAADdAAAADwAAAGRycy9kb3ducmV2LnhtbESPT2vCQBTE7wW/w/KE&#10;3uomhlaJriKipQcR/APi7ZF9JsHs25Bdk/jtuwWhx2FmfsPMl72pREuNKy0riEcRCOLM6pJzBefT&#10;9mMKwnlkjZVlUvAkB8vF4G2OqbYdH6g9+lwECLsUFRTe16mULivIoBvZmjh4N9sY9EE2udQNdgFu&#10;KjmOoi9psOSwUGBN64Ky+/FhFHx32K2SeNPu7rf183r63F92MSn1PuxXMxCeev8ffrV/tIJJ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PqXxgAAAN0A&#10;AAAPAAAAAAAAAAAAAAAAAKoCAABkcnMvZG93bnJldi54bWxQSwUGAAAAAAQABAD6AAAAnQMAAAAA&#10;">
                  <v:shape id="Freeform 7299" o:spid="_x0000_s1055" style="position:absolute;top:1264;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cYA&#10;AADdAAAADwAAAGRycy9kb3ducmV2LnhtbESP3WrCQBSE74W+w3IKvdONsf4QXaVoW0RE8OcBjtlj&#10;Epo9G3a3Jn17t1Do5TAz3zCLVWdqcSfnK8sKhoMEBHFudcWFgsv5oz8D4QOyxtoyKfghD6vlU2+B&#10;mbYtH+l+CoWIEPYZKihDaDIpfV6SQT+wDXH0btYZDFG6QmqHbYSbWqZJMpEGK44LJTa0Lin/On0b&#10;Be69DXvcTdN9t5sdruPN53ajU6Venru3OYhAXfgP/7W3WsF0NHyF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cYAAADdAAAADwAAAAAAAAAAAAAAAACYAgAAZHJz&#10;L2Rvd25yZXYueG1sUEsFBgAAAAAEAAQA9QAAAIsDAAAAAA==&#10;" path="m,206r8909,l8909,,,,,206xe" fillcolor="lime" stroked="f">
                    <v:path arrowok="t" o:connecttype="custom" o:connectlocs="0,1470;8909,1470;8909,1264;0,1264;0,1470" o:connectangles="0,0,0,0,0"/>
                  </v:shape>
                </v:group>
                <v:group id="Group 7296" o:spid="_x0000_s1056" style="position:absolute;top:1470;width:8909;height:207" coordorigin=",1470"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XHeMcAAADdAAAADwAAAGRycy9kb3ducmV2LnhtbESPQWvCQBSE7wX/w/IK&#10;3ppNlLSSZhWRKh5CoSqU3h7ZZxLMvg3ZbRL/fbdQ6HGYmW+YfDOZVgzUu8aygiSKQRCXVjdcKbic&#10;908rEM4ja2wtk4I7OdisZw85ZtqO/EHDyVciQNhlqKD2vsukdGVNBl1kO+LgXW1v0AfZV1L3OAa4&#10;aeUijp+lwYbDQo0d7Woqb6dvo+Aw4rhdJm9Dcbvu7l/n9P2zSEip+eO0fQXhafL/4b/2USt4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XHeMcAAADd&#10;AAAADwAAAAAAAAAAAAAAAACqAgAAZHJzL2Rvd25yZXYueG1sUEsFBgAAAAAEAAQA+gAAAJ4DAAAA&#10;AA==&#10;">
                  <v:shape id="Freeform 7297" o:spid="_x0000_s1057" style="position:absolute;top:1470;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rXcYA&#10;AADdAAAADwAAAGRycy9kb3ducmV2LnhtbESP3WrCQBSE74W+w3IKvdONKVWJrlL8KSJSqPUBjtlj&#10;Epo9G3ZXE9/eFYReDjPzDTNbdKYWV3K+sqxgOEhAEOdWV1woOP5u+hMQPiBrrC2Tght5WMxfejPM&#10;tG35h66HUIgIYZ+hgjKEJpPS5yUZ9APbEEfvbJ3BEKUrpHbYRripZZokI2mw4rhQYkPLkvK/w8Uo&#10;cOs27HE3TvfdbvJ9+lh9bVc6VerttfucggjUhf/ws73VCsbvwxE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HrXcYAAADdAAAADwAAAAAAAAAAAAAAAACYAgAAZHJz&#10;L2Rvd25yZXYueG1sUEsFBgAAAAAEAAQA9QAAAIsDAAAAAA==&#10;" path="m,206r8909,l8909,,,,,206xe" fillcolor="lime" stroked="f">
                    <v:path arrowok="t" o:connecttype="custom" o:connectlocs="0,1676;8909,1676;8909,1470;0,1470;0,1676" o:connectangles="0,0,0,0,0"/>
                  </v:shape>
                </v:group>
                <v:group id="Group 7293" o:spid="_x0000_s1058" style="position:absolute;top:1676;width:3533;height:207" coordorigin=",1676" coordsize="3533,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v8lMcAAADdAAAADwAAAGRycy9kb3ducmV2LnhtbESPQWvCQBSE7wX/w/IK&#10;3ppNlDa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v8lMcAAADd&#10;AAAADwAAAAAAAAAAAAAAAACqAgAAZHJzL2Rvd25yZXYueG1sUEsFBgAAAAAEAAQA+gAAAJ4DAAAA&#10;AA==&#10;">
                  <v:shape id="Freeform 7295" o:spid="_x0000_s1059" style="position:absolute;top:1676;width:3533;height:207;visibility:visible;mso-wrap-style:square;v-text-anchor:top" coordsize="353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VJMEA&#10;AADdAAAADwAAAGRycy9kb3ducmV2LnhtbERPTYvCMBC9L/gfwgjeNHUXVKpRdGVxDypYBa9jM7bF&#10;ZlKSqPXfbw7CHh/ve7ZoTS0e5HxlWcFwkIAgzq2uuFBwOv70JyB8QNZYWyYFL/KwmHc+Zphq++QD&#10;PbJQiBjCPkUFZQhNKqXPSzLoB7YhjtzVOoMhQldI7fAZw00tP5NkJA1WHBtKbOi7pPyW3Y0Ctwlb&#10;vc1eazvC9WWX4Hl13m+U6nXb5RREoDb8i9/uX61g/DWMc+Ob+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YlSTBAAAA3QAAAA8AAAAAAAAAAAAAAAAAmAIAAGRycy9kb3du&#10;cmV2LnhtbFBLBQYAAAAABAAEAPUAAACGAwAAAAA=&#10;" path="m,207r3533,l3533,,,,,207xe" fillcolor="lime" stroked="f">
                    <v:path arrowok="t" o:connecttype="custom" o:connectlocs="0,1883;3533,1883;3533,1676;0,1676;0,1883" o:connectangles="0,0,0,0,0"/>
                  </v:shape>
                  <v:shape id="Text Box 7294" o:spid="_x0000_s1060" type="#_x0000_t202" style="position:absolute;width:891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FpsYA&#10;AADdAAAADwAAAGRycy9kb3ducmV2LnhtbESPT2vCQBTE7wW/w/IEb3VjBf9EVxFRKBRKYzx4fGaf&#10;yWL2bZrdavrtuwXB4zAzv2GW687W4katN44VjIYJCOLCacOlgmO+f52B8AFZY+2YFPySh/Wq97LE&#10;VLs7Z3Q7hFJECPsUFVQhNKmUvqjIoh+6hjh6F9daDFG2pdQt3iPc1vItSSbSouG4UGFD24qK6+HH&#10;KticONuZ78/zV3bJTJ7PE/6YXJUa9LvNAkSgLjzDj/a7VjAdj+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rFpsYAAADdAAAADwAAAAAAAAAAAAAAAACYAgAAZHJz&#10;L2Rvd25yZXYueG1sUEsFBgAAAAAEAAQA9QAAAIsDAAAAAA==&#10;" filled="f" stroked="f">
                    <v:textbox inset="0,0,0,0">
                      <w:txbxContent>
                        <w:p w:rsidR="005D2B81" w:rsidRDefault="005D2B81" w:rsidP="008918FA">
                          <w:pPr>
                            <w:spacing w:before="23" w:line="206" w:lineRule="exact"/>
                            <w:ind w:right="1"/>
                            <w:jc w:val="both"/>
                            <w:rPr>
                              <w:rFonts w:ascii="Arial" w:eastAsia="Arial" w:hAnsi="Arial" w:cs="Arial"/>
                              <w:sz w:val="18"/>
                              <w:szCs w:val="18"/>
                            </w:rPr>
                          </w:pPr>
                          <w:r>
                            <w:rPr>
                              <w:rFonts w:ascii="Arial"/>
                              <w:position w:val="9"/>
                              <w:sz w:val="12"/>
                            </w:rPr>
                            <w:t>25</w:t>
                          </w:r>
                          <w:r>
                            <w:rPr>
                              <w:rFonts w:ascii="Arial"/>
                              <w:spacing w:val="26"/>
                              <w:position w:val="9"/>
                              <w:sz w:val="12"/>
                            </w:rPr>
                            <w:t xml:space="preserve"> </w:t>
                          </w:r>
                          <w:bookmarkStart w:id="17" w:name="_bookmark24"/>
                          <w:bookmarkEnd w:id="17"/>
                          <w:r>
                            <w:rPr>
                              <w:rFonts w:ascii="Arial"/>
                              <w:spacing w:val="-1"/>
                              <w:sz w:val="18"/>
                            </w:rPr>
                            <w:t>[Guidance</w:t>
                          </w:r>
                          <w:r>
                            <w:rPr>
                              <w:rFonts w:ascii="Arial"/>
                              <w:spacing w:val="10"/>
                              <w:sz w:val="18"/>
                            </w:rPr>
                            <w:t xml:space="preserve"> </w:t>
                          </w:r>
                          <w:r>
                            <w:rPr>
                              <w:rFonts w:ascii="Arial"/>
                              <w:spacing w:val="-1"/>
                              <w:sz w:val="18"/>
                            </w:rPr>
                            <w:t>Note:</w:t>
                          </w:r>
                          <w:r>
                            <w:rPr>
                              <w:rFonts w:ascii="Arial"/>
                              <w:spacing w:val="10"/>
                              <w:sz w:val="18"/>
                            </w:rPr>
                            <w:t xml:space="preserve"> </w:t>
                          </w:r>
                          <w:r>
                            <w:rPr>
                              <w:rFonts w:ascii="Arial"/>
                              <w:spacing w:val="-1"/>
                              <w:sz w:val="18"/>
                            </w:rPr>
                            <w:t>Insert</w:t>
                          </w:r>
                          <w:r>
                            <w:rPr>
                              <w:rFonts w:ascii="Arial"/>
                              <w:spacing w:val="10"/>
                              <w:sz w:val="18"/>
                            </w:rPr>
                            <w:t xml:space="preserve"> </w:t>
                          </w:r>
                          <w:r>
                            <w:rPr>
                              <w:rFonts w:ascii="Arial"/>
                              <w:spacing w:val="-1"/>
                              <w:sz w:val="18"/>
                            </w:rPr>
                            <w:t>details</w:t>
                          </w:r>
                          <w:r>
                            <w:rPr>
                              <w:rFonts w:ascii="Arial"/>
                              <w:spacing w:val="11"/>
                              <w:sz w:val="18"/>
                            </w:rPr>
                            <w:t xml:space="preserve"> </w:t>
                          </w:r>
                          <w:r>
                            <w:rPr>
                              <w:rFonts w:ascii="Arial"/>
                              <w:sz w:val="18"/>
                            </w:rPr>
                            <w:t>of</w:t>
                          </w:r>
                          <w:r>
                            <w:rPr>
                              <w:rFonts w:ascii="Arial"/>
                              <w:spacing w:val="7"/>
                              <w:sz w:val="18"/>
                            </w:rPr>
                            <w:t xml:space="preserve"> </w:t>
                          </w:r>
                          <w:r>
                            <w:rPr>
                              <w:rFonts w:ascii="Arial"/>
                              <w:spacing w:val="-1"/>
                              <w:sz w:val="18"/>
                            </w:rPr>
                            <w:t>the</w:t>
                          </w:r>
                          <w:r>
                            <w:rPr>
                              <w:rFonts w:ascii="Arial"/>
                              <w:spacing w:val="10"/>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7"/>
                              <w:sz w:val="18"/>
                            </w:rPr>
                            <w:t xml:space="preserve"> </w:t>
                          </w:r>
                          <w:r>
                            <w:rPr>
                              <w:rFonts w:ascii="Arial"/>
                              <w:spacing w:val="-1"/>
                              <w:sz w:val="18"/>
                            </w:rPr>
                            <w:t>Contract</w:t>
                          </w:r>
                          <w:r>
                            <w:rPr>
                              <w:rFonts w:ascii="Arial"/>
                              <w:spacing w:val="7"/>
                              <w:sz w:val="18"/>
                            </w:rPr>
                            <w:t xml:space="preserve"> </w:t>
                          </w:r>
                          <w:r>
                            <w:rPr>
                              <w:rFonts w:ascii="Arial"/>
                              <w:spacing w:val="-1"/>
                              <w:sz w:val="18"/>
                            </w:rPr>
                            <w:t>Charges</w:t>
                          </w:r>
                          <w:r>
                            <w:rPr>
                              <w:rFonts w:ascii="Arial"/>
                              <w:spacing w:val="8"/>
                              <w:sz w:val="18"/>
                            </w:rPr>
                            <w:t xml:space="preserve"> </w:t>
                          </w:r>
                          <w:r>
                            <w:rPr>
                              <w:rFonts w:ascii="Arial"/>
                              <w:sz w:val="18"/>
                            </w:rPr>
                            <w:t>and</w:t>
                          </w:r>
                          <w:r>
                            <w:rPr>
                              <w:rFonts w:ascii="Arial"/>
                              <w:spacing w:val="8"/>
                              <w:sz w:val="18"/>
                            </w:rPr>
                            <w:t xml:space="preserve"> </w:t>
                          </w:r>
                          <w:r>
                            <w:rPr>
                              <w:rFonts w:ascii="Arial"/>
                              <w:spacing w:val="-1"/>
                              <w:sz w:val="18"/>
                            </w:rPr>
                            <w:t>payment</w:t>
                          </w:r>
                          <w:r>
                            <w:rPr>
                              <w:rFonts w:ascii="Arial"/>
                              <w:spacing w:val="7"/>
                              <w:sz w:val="18"/>
                            </w:rPr>
                            <w:t xml:space="preserve"> </w:t>
                          </w:r>
                          <w:r>
                            <w:rPr>
                              <w:rFonts w:ascii="Arial"/>
                              <w:spacing w:val="-1"/>
                              <w:sz w:val="18"/>
                            </w:rPr>
                            <w:t>terms/profile</w:t>
                          </w:r>
                          <w:r>
                            <w:rPr>
                              <w:rFonts w:ascii="Arial"/>
                              <w:spacing w:val="10"/>
                              <w:sz w:val="18"/>
                            </w:rPr>
                            <w:t xml:space="preserve"> </w:t>
                          </w:r>
                          <w:r>
                            <w:rPr>
                              <w:rFonts w:ascii="Arial"/>
                              <w:sz w:val="18"/>
                            </w:rPr>
                            <w:t>in</w:t>
                          </w:r>
                          <w:r>
                            <w:rPr>
                              <w:rFonts w:ascii="Arial"/>
                              <w:spacing w:val="8"/>
                              <w:sz w:val="18"/>
                            </w:rPr>
                            <w:t xml:space="preserve"> </w:t>
                          </w:r>
                          <w:r>
                            <w:rPr>
                              <w:rFonts w:ascii="Arial"/>
                              <w:spacing w:val="-1"/>
                              <w:sz w:val="18"/>
                            </w:rPr>
                            <w:t>Annexes</w:t>
                          </w:r>
                          <w:r>
                            <w:rPr>
                              <w:rFonts w:ascii="Arial"/>
                              <w:spacing w:val="11"/>
                              <w:sz w:val="18"/>
                            </w:rPr>
                            <w:t xml:space="preserve"> </w:t>
                          </w:r>
                          <w:r>
                            <w:rPr>
                              <w:rFonts w:ascii="Arial"/>
                              <w:sz w:val="18"/>
                            </w:rPr>
                            <w:t>A</w:t>
                          </w:r>
                          <w:r>
                            <w:rPr>
                              <w:rFonts w:ascii="Arial"/>
                              <w:spacing w:val="9"/>
                              <w:sz w:val="18"/>
                            </w:rPr>
                            <w:t xml:space="preserve"> </w:t>
                          </w:r>
                          <w:r>
                            <w:rPr>
                              <w:rFonts w:ascii="Arial"/>
                              <w:spacing w:val="-1"/>
                              <w:sz w:val="18"/>
                            </w:rPr>
                            <w:t>and</w:t>
                          </w:r>
                          <w:r>
                            <w:rPr>
                              <w:rFonts w:ascii="Arial"/>
                              <w:spacing w:val="69"/>
                              <w:sz w:val="18"/>
                            </w:rPr>
                            <w:t xml:space="preserve"> </w:t>
                          </w:r>
                          <w:r>
                            <w:rPr>
                              <w:rFonts w:ascii="Arial"/>
                              <w:sz w:val="18"/>
                            </w:rPr>
                            <w:t>B</w:t>
                          </w:r>
                          <w:r>
                            <w:rPr>
                              <w:rFonts w:ascii="Arial"/>
                              <w:spacing w:val="9"/>
                              <w:sz w:val="18"/>
                            </w:rPr>
                            <w:t xml:space="preserve"> </w:t>
                          </w:r>
                          <w:r>
                            <w:rPr>
                              <w:rFonts w:ascii="Arial"/>
                              <w:sz w:val="18"/>
                            </w:rPr>
                            <w:t>of</w:t>
                          </w:r>
                          <w:r>
                            <w:rPr>
                              <w:rFonts w:ascii="Arial"/>
                              <w:spacing w:val="10"/>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10"/>
                              <w:sz w:val="18"/>
                            </w:rPr>
                            <w:t xml:space="preserve"> </w:t>
                          </w:r>
                          <w:r>
                            <w:rPr>
                              <w:rFonts w:ascii="Arial"/>
                              <w:spacing w:val="-1"/>
                              <w:sz w:val="18"/>
                            </w:rPr>
                            <w:t>Schedule</w:t>
                          </w:r>
                          <w:r>
                            <w:rPr>
                              <w:rFonts w:ascii="Arial"/>
                              <w:spacing w:val="10"/>
                              <w:sz w:val="18"/>
                            </w:rPr>
                            <w:t xml:space="preserve"> </w:t>
                          </w:r>
                          <w:r>
                            <w:rPr>
                              <w:rFonts w:ascii="Arial"/>
                              <w:sz w:val="18"/>
                            </w:rPr>
                            <w:t>3</w:t>
                          </w:r>
                          <w:r>
                            <w:rPr>
                              <w:rFonts w:ascii="Arial"/>
                              <w:spacing w:val="10"/>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10"/>
                              <w:sz w:val="18"/>
                            </w:rPr>
                            <w:t xml:space="preserve"> </w:t>
                          </w:r>
                          <w:r>
                            <w:rPr>
                              <w:rFonts w:ascii="Arial"/>
                              <w:sz w:val="18"/>
                            </w:rPr>
                            <w:t>Contract</w:t>
                          </w:r>
                          <w:r>
                            <w:rPr>
                              <w:rFonts w:ascii="Arial"/>
                              <w:spacing w:val="10"/>
                              <w:sz w:val="18"/>
                            </w:rPr>
                            <w:t xml:space="preserve"> </w:t>
                          </w:r>
                          <w:r>
                            <w:rPr>
                              <w:rFonts w:ascii="Arial"/>
                              <w:spacing w:val="-1"/>
                              <w:sz w:val="18"/>
                            </w:rPr>
                            <w:t>Charges,</w:t>
                          </w:r>
                          <w:r>
                            <w:rPr>
                              <w:rFonts w:ascii="Arial"/>
                              <w:spacing w:val="10"/>
                              <w:sz w:val="18"/>
                            </w:rPr>
                            <w:t xml:space="preserve"> </w:t>
                          </w:r>
                          <w:r>
                            <w:rPr>
                              <w:rFonts w:ascii="Arial"/>
                              <w:spacing w:val="-1"/>
                              <w:sz w:val="18"/>
                            </w:rPr>
                            <w:t>Payment</w:t>
                          </w:r>
                          <w:r>
                            <w:rPr>
                              <w:rFonts w:ascii="Arial"/>
                              <w:spacing w:val="10"/>
                              <w:sz w:val="18"/>
                            </w:rPr>
                            <w:t xml:space="preserve"> </w:t>
                          </w:r>
                          <w:r>
                            <w:rPr>
                              <w:rFonts w:ascii="Arial"/>
                              <w:sz w:val="18"/>
                            </w:rPr>
                            <w:t>and</w:t>
                          </w:r>
                          <w:r>
                            <w:rPr>
                              <w:rFonts w:ascii="Arial"/>
                              <w:spacing w:val="10"/>
                              <w:sz w:val="18"/>
                            </w:rPr>
                            <w:t xml:space="preserve"> </w:t>
                          </w:r>
                          <w:r>
                            <w:rPr>
                              <w:rFonts w:ascii="Arial"/>
                              <w:spacing w:val="-1"/>
                              <w:sz w:val="18"/>
                            </w:rPr>
                            <w:t>Invoicing)</w:t>
                          </w:r>
                          <w:r>
                            <w:rPr>
                              <w:rFonts w:ascii="Arial"/>
                              <w:spacing w:val="10"/>
                              <w:sz w:val="18"/>
                            </w:rPr>
                            <w:t xml:space="preserve"> </w:t>
                          </w:r>
                          <w:r>
                            <w:rPr>
                              <w:rFonts w:ascii="Arial"/>
                              <w:spacing w:val="-1"/>
                              <w:sz w:val="18"/>
                            </w:rPr>
                            <w:t>and</w:t>
                          </w:r>
                          <w:r>
                            <w:rPr>
                              <w:rFonts w:ascii="Arial"/>
                              <w:spacing w:val="10"/>
                              <w:sz w:val="18"/>
                            </w:rPr>
                            <w:t xml:space="preserve"> </w:t>
                          </w:r>
                          <w:r>
                            <w:rPr>
                              <w:rFonts w:ascii="Arial"/>
                              <w:spacing w:val="-1"/>
                              <w:sz w:val="18"/>
                            </w:rPr>
                            <w:t>settle</w:t>
                          </w:r>
                          <w:r>
                            <w:rPr>
                              <w:rFonts w:ascii="Arial"/>
                              <w:spacing w:val="10"/>
                              <w:sz w:val="18"/>
                            </w:rPr>
                            <w:t xml:space="preserve"> </w:t>
                          </w:r>
                          <w:r>
                            <w:rPr>
                              <w:rFonts w:ascii="Arial"/>
                              <w:sz w:val="18"/>
                            </w:rPr>
                            <w:t>all</w:t>
                          </w:r>
                          <w:r>
                            <w:rPr>
                              <w:rFonts w:ascii="Arial"/>
                              <w:spacing w:val="8"/>
                              <w:sz w:val="18"/>
                            </w:rPr>
                            <w:t xml:space="preserve"> </w:t>
                          </w:r>
                          <w:r>
                            <w:rPr>
                              <w:rFonts w:ascii="Arial"/>
                              <w:sz w:val="18"/>
                            </w:rPr>
                            <w:t>other</w:t>
                          </w:r>
                          <w:r>
                            <w:rPr>
                              <w:rFonts w:ascii="Arial"/>
                              <w:spacing w:val="9"/>
                              <w:sz w:val="18"/>
                            </w:rPr>
                            <w:t xml:space="preserve"> </w:t>
                          </w:r>
                          <w:r>
                            <w:rPr>
                              <w:rFonts w:ascii="Arial"/>
                              <w:spacing w:val="-1"/>
                              <w:sz w:val="18"/>
                            </w:rPr>
                            <w:t>information</w:t>
                          </w:r>
                          <w:r>
                            <w:rPr>
                              <w:rFonts w:ascii="Arial"/>
                              <w:spacing w:val="10"/>
                              <w:sz w:val="18"/>
                            </w:rPr>
                            <w:t xml:space="preserve"> </w:t>
                          </w:r>
                          <w:r>
                            <w:rPr>
                              <w:rFonts w:ascii="Arial"/>
                              <w:spacing w:val="-1"/>
                              <w:sz w:val="18"/>
                            </w:rPr>
                            <w:t>in</w:t>
                          </w:r>
                        </w:p>
                        <w:p w:rsidR="005D2B81" w:rsidRDefault="005D2B81" w:rsidP="008918FA">
                          <w:pPr>
                            <w:jc w:val="both"/>
                            <w:rPr>
                              <w:rFonts w:ascii="Arial" w:eastAsia="Arial" w:hAnsi="Arial" w:cs="Arial"/>
                              <w:sz w:val="18"/>
                              <w:szCs w:val="18"/>
                            </w:rPr>
                          </w:pPr>
                          <w:r>
                            <w:rPr>
                              <w:rFonts w:ascii="Arial"/>
                              <w:spacing w:val="-1"/>
                              <w:sz w:val="18"/>
                            </w:rPr>
                            <w:t>square</w:t>
                          </w:r>
                          <w:r>
                            <w:rPr>
                              <w:rFonts w:ascii="Arial"/>
                              <w:spacing w:val="10"/>
                              <w:sz w:val="18"/>
                            </w:rPr>
                            <w:t xml:space="preserve"> </w:t>
                          </w:r>
                          <w:r>
                            <w:rPr>
                              <w:rFonts w:ascii="Arial"/>
                              <w:spacing w:val="-1"/>
                              <w:sz w:val="18"/>
                            </w:rPr>
                            <w:t>brackets</w:t>
                          </w:r>
                          <w:r>
                            <w:rPr>
                              <w:rFonts w:ascii="Arial"/>
                              <w:spacing w:val="11"/>
                              <w:sz w:val="18"/>
                            </w:rPr>
                            <w:t xml:space="preserve"> </w:t>
                          </w:r>
                          <w:r>
                            <w:rPr>
                              <w:rFonts w:ascii="Arial"/>
                              <w:spacing w:val="-1"/>
                              <w:sz w:val="18"/>
                            </w:rPr>
                            <w:t>in</w:t>
                          </w:r>
                          <w:r>
                            <w:rPr>
                              <w:rFonts w:ascii="Arial"/>
                              <w:spacing w:val="10"/>
                              <w:sz w:val="18"/>
                            </w:rPr>
                            <w:t xml:space="preserve"> </w:t>
                          </w:r>
                          <w:r>
                            <w:rPr>
                              <w:rFonts w:ascii="Arial"/>
                              <w:spacing w:val="-1"/>
                              <w:sz w:val="18"/>
                            </w:rPr>
                            <w:t>that</w:t>
                          </w:r>
                          <w:r>
                            <w:rPr>
                              <w:rFonts w:ascii="Arial"/>
                              <w:spacing w:val="10"/>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10"/>
                              <w:sz w:val="18"/>
                            </w:rPr>
                            <w:t xml:space="preserve"> </w:t>
                          </w:r>
                          <w:r>
                            <w:rPr>
                              <w:rFonts w:ascii="Arial"/>
                              <w:spacing w:val="-1"/>
                              <w:sz w:val="18"/>
                            </w:rPr>
                            <w:t>Schedule.</w:t>
                          </w:r>
                          <w:r>
                            <w:rPr>
                              <w:rFonts w:ascii="Arial"/>
                              <w:spacing w:val="7"/>
                              <w:sz w:val="18"/>
                            </w:rPr>
                            <w:t xml:space="preserve"> </w:t>
                          </w:r>
                          <w:r>
                            <w:rPr>
                              <w:rFonts w:ascii="Arial"/>
                              <w:spacing w:val="-1"/>
                              <w:sz w:val="18"/>
                            </w:rPr>
                            <w:t>The</w:t>
                          </w:r>
                          <w:r>
                            <w:rPr>
                              <w:rFonts w:ascii="Arial"/>
                              <w:spacing w:val="10"/>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10"/>
                              <w:sz w:val="18"/>
                            </w:rPr>
                            <w:t xml:space="preserve"> </w:t>
                          </w:r>
                          <w:r>
                            <w:rPr>
                              <w:rFonts w:ascii="Arial"/>
                              <w:spacing w:val="-1"/>
                              <w:sz w:val="18"/>
                            </w:rPr>
                            <w:t>Contract</w:t>
                          </w:r>
                          <w:r>
                            <w:rPr>
                              <w:rFonts w:ascii="Arial"/>
                              <w:spacing w:val="10"/>
                              <w:sz w:val="18"/>
                            </w:rPr>
                            <w:t xml:space="preserve"> </w:t>
                          </w:r>
                          <w:r>
                            <w:rPr>
                              <w:rFonts w:ascii="Arial"/>
                              <w:spacing w:val="-1"/>
                              <w:sz w:val="18"/>
                            </w:rPr>
                            <w:t>Charges</w:t>
                          </w:r>
                          <w:r>
                            <w:rPr>
                              <w:rFonts w:ascii="Arial"/>
                              <w:spacing w:val="8"/>
                              <w:sz w:val="18"/>
                            </w:rPr>
                            <w:t xml:space="preserve"> </w:t>
                          </w:r>
                          <w:r>
                            <w:rPr>
                              <w:rFonts w:ascii="Arial"/>
                              <w:spacing w:val="-1"/>
                              <w:sz w:val="18"/>
                            </w:rPr>
                            <w:t>should</w:t>
                          </w:r>
                          <w:r>
                            <w:rPr>
                              <w:rFonts w:ascii="Arial"/>
                              <w:spacing w:val="8"/>
                              <w:sz w:val="18"/>
                            </w:rPr>
                            <w:t xml:space="preserve"> </w:t>
                          </w:r>
                          <w:r>
                            <w:rPr>
                              <w:rFonts w:ascii="Arial"/>
                              <w:sz w:val="18"/>
                            </w:rPr>
                            <w:t>be</w:t>
                          </w:r>
                          <w:r>
                            <w:rPr>
                              <w:rFonts w:ascii="Arial"/>
                              <w:spacing w:val="8"/>
                              <w:sz w:val="18"/>
                            </w:rPr>
                            <w:t xml:space="preserve"> </w:t>
                          </w:r>
                          <w:r>
                            <w:rPr>
                              <w:rFonts w:ascii="Arial"/>
                              <w:spacing w:val="-1"/>
                              <w:sz w:val="18"/>
                            </w:rPr>
                            <w:t>compliant</w:t>
                          </w:r>
                          <w:r>
                            <w:rPr>
                              <w:rFonts w:ascii="Arial"/>
                              <w:spacing w:val="10"/>
                              <w:sz w:val="18"/>
                            </w:rPr>
                            <w:t xml:space="preserve"> </w:t>
                          </w:r>
                          <w:r>
                            <w:rPr>
                              <w:rFonts w:ascii="Arial"/>
                              <w:spacing w:val="-1"/>
                              <w:sz w:val="18"/>
                            </w:rPr>
                            <w:t>with</w:t>
                          </w:r>
                          <w:r>
                            <w:rPr>
                              <w:rFonts w:ascii="Arial"/>
                              <w:spacing w:val="8"/>
                              <w:sz w:val="18"/>
                            </w:rPr>
                            <w:t xml:space="preserve"> </w:t>
                          </w:r>
                          <w:r>
                            <w:rPr>
                              <w:rFonts w:ascii="Arial"/>
                              <w:spacing w:val="-1"/>
                              <w:sz w:val="18"/>
                            </w:rPr>
                            <w:t>Framework</w:t>
                          </w:r>
                          <w:r>
                            <w:rPr>
                              <w:rFonts w:ascii="Arial"/>
                              <w:spacing w:val="91"/>
                              <w:sz w:val="18"/>
                            </w:rPr>
                            <w:t xml:space="preserve"> </w:t>
                          </w:r>
                          <w:r>
                            <w:rPr>
                              <w:rFonts w:ascii="Arial"/>
                              <w:spacing w:val="-1"/>
                              <w:sz w:val="18"/>
                            </w:rPr>
                            <w:t>Schedule</w:t>
                          </w:r>
                          <w:r>
                            <w:rPr>
                              <w:rFonts w:ascii="Arial"/>
                              <w:spacing w:val="10"/>
                              <w:sz w:val="18"/>
                            </w:rPr>
                            <w:t xml:space="preserve"> </w:t>
                          </w:r>
                          <w:r>
                            <w:rPr>
                              <w:rFonts w:ascii="Arial"/>
                              <w:sz w:val="18"/>
                            </w:rPr>
                            <w:t>3</w:t>
                          </w:r>
                          <w:r>
                            <w:rPr>
                              <w:rFonts w:ascii="Arial"/>
                              <w:spacing w:val="13"/>
                              <w:sz w:val="18"/>
                            </w:rPr>
                            <w:t xml:space="preserve"> </w:t>
                          </w:r>
                          <w:r>
                            <w:rPr>
                              <w:rFonts w:ascii="Arial"/>
                              <w:spacing w:val="-1"/>
                              <w:sz w:val="18"/>
                            </w:rPr>
                            <w:t>(Charging</w:t>
                          </w:r>
                          <w:r>
                            <w:rPr>
                              <w:rFonts w:ascii="Arial"/>
                              <w:spacing w:val="11"/>
                              <w:sz w:val="18"/>
                            </w:rPr>
                            <w:t xml:space="preserve"> </w:t>
                          </w:r>
                          <w:r>
                            <w:rPr>
                              <w:rFonts w:ascii="Arial"/>
                              <w:spacing w:val="-1"/>
                              <w:sz w:val="18"/>
                            </w:rPr>
                            <w:t>Structure)</w:t>
                          </w:r>
                          <w:r>
                            <w:rPr>
                              <w:rFonts w:ascii="Arial"/>
                              <w:spacing w:val="12"/>
                              <w:sz w:val="18"/>
                            </w:rPr>
                            <w:t xml:space="preserve"> </w:t>
                          </w:r>
                          <w:r>
                            <w:rPr>
                              <w:rFonts w:ascii="Arial"/>
                              <w:spacing w:val="-1"/>
                              <w:sz w:val="18"/>
                            </w:rPr>
                            <w:t>and</w:t>
                          </w:r>
                          <w:r>
                            <w:rPr>
                              <w:rFonts w:ascii="Arial"/>
                              <w:spacing w:val="13"/>
                              <w:sz w:val="18"/>
                            </w:rPr>
                            <w:t xml:space="preserve"> </w:t>
                          </w:r>
                          <w:r>
                            <w:rPr>
                              <w:rFonts w:ascii="Arial"/>
                              <w:spacing w:val="-1"/>
                              <w:sz w:val="18"/>
                            </w:rPr>
                            <w:t>Customers</w:t>
                          </w:r>
                          <w:r>
                            <w:rPr>
                              <w:rFonts w:ascii="Arial"/>
                              <w:spacing w:val="11"/>
                              <w:sz w:val="18"/>
                            </w:rPr>
                            <w:t xml:space="preserve"> </w:t>
                          </w:r>
                          <w:r>
                            <w:rPr>
                              <w:rFonts w:ascii="Arial"/>
                              <w:sz w:val="18"/>
                            </w:rPr>
                            <w:t>are</w:t>
                          </w:r>
                          <w:r>
                            <w:rPr>
                              <w:rFonts w:ascii="Arial"/>
                              <w:spacing w:val="13"/>
                              <w:sz w:val="18"/>
                            </w:rPr>
                            <w:t xml:space="preserve"> </w:t>
                          </w:r>
                          <w:r>
                            <w:rPr>
                              <w:rFonts w:ascii="Arial"/>
                              <w:spacing w:val="-1"/>
                              <w:sz w:val="18"/>
                            </w:rPr>
                            <w:t>also</w:t>
                          </w:r>
                          <w:r>
                            <w:rPr>
                              <w:rFonts w:ascii="Arial"/>
                              <w:spacing w:val="13"/>
                              <w:sz w:val="18"/>
                            </w:rPr>
                            <w:t xml:space="preserve"> </w:t>
                          </w:r>
                          <w:r>
                            <w:rPr>
                              <w:rFonts w:ascii="Arial"/>
                              <w:spacing w:val="-1"/>
                              <w:sz w:val="18"/>
                            </w:rPr>
                            <w:t>referred</w:t>
                          </w:r>
                          <w:r>
                            <w:rPr>
                              <w:rFonts w:ascii="Arial"/>
                              <w:spacing w:val="13"/>
                              <w:sz w:val="18"/>
                            </w:rPr>
                            <w:t xml:space="preserve"> </w:t>
                          </w:r>
                          <w:r>
                            <w:rPr>
                              <w:rFonts w:ascii="Arial"/>
                              <w:sz w:val="18"/>
                            </w:rPr>
                            <w:t>to</w:t>
                          </w:r>
                          <w:r>
                            <w:rPr>
                              <w:rFonts w:ascii="Arial"/>
                              <w:spacing w:val="11"/>
                              <w:sz w:val="18"/>
                            </w:rPr>
                            <w:t xml:space="preserve"> </w:t>
                          </w:r>
                          <w:r>
                            <w:rPr>
                              <w:rFonts w:ascii="Arial"/>
                              <w:spacing w:val="-1"/>
                              <w:sz w:val="18"/>
                            </w:rPr>
                            <w:t>Framework</w:t>
                          </w:r>
                          <w:r>
                            <w:rPr>
                              <w:rFonts w:ascii="Arial"/>
                              <w:spacing w:val="14"/>
                              <w:sz w:val="18"/>
                            </w:rPr>
                            <w:t xml:space="preserve"> </w:t>
                          </w:r>
                          <w:r>
                            <w:rPr>
                              <w:rFonts w:ascii="Arial"/>
                              <w:spacing w:val="-1"/>
                              <w:sz w:val="18"/>
                            </w:rPr>
                            <w:t>Schedule</w:t>
                          </w:r>
                          <w:r>
                            <w:rPr>
                              <w:rFonts w:ascii="Arial"/>
                              <w:spacing w:val="13"/>
                              <w:sz w:val="18"/>
                            </w:rPr>
                            <w:t xml:space="preserve"> </w:t>
                          </w:r>
                          <w:r>
                            <w:rPr>
                              <w:rFonts w:ascii="Arial"/>
                              <w:sz w:val="18"/>
                            </w:rPr>
                            <w:t>5</w:t>
                          </w:r>
                          <w:r>
                            <w:rPr>
                              <w:rFonts w:ascii="Arial"/>
                              <w:spacing w:val="13"/>
                              <w:sz w:val="18"/>
                            </w:rPr>
                            <w:t xml:space="preserve"> </w:t>
                          </w:r>
                          <w:r>
                            <w:rPr>
                              <w:rFonts w:ascii="Arial"/>
                              <w:spacing w:val="-1"/>
                              <w:sz w:val="18"/>
                            </w:rPr>
                            <w:t>(Call</w:t>
                          </w:r>
                          <w:r>
                            <w:rPr>
                              <w:rFonts w:ascii="Arial"/>
                              <w:spacing w:val="13"/>
                              <w:sz w:val="18"/>
                            </w:rPr>
                            <w:t xml:space="preserve"> </w:t>
                          </w:r>
                          <w:r>
                            <w:rPr>
                              <w:rFonts w:ascii="Arial"/>
                              <w:spacing w:val="-1"/>
                              <w:sz w:val="18"/>
                            </w:rPr>
                            <w:t>Off</w:t>
                          </w:r>
                          <w:r>
                            <w:rPr>
                              <w:rFonts w:ascii="Arial"/>
                              <w:spacing w:val="83"/>
                              <w:sz w:val="18"/>
                            </w:rPr>
                            <w:t xml:space="preserve"> </w:t>
                          </w:r>
                          <w:r>
                            <w:rPr>
                              <w:rFonts w:ascii="Arial"/>
                              <w:spacing w:val="-1"/>
                              <w:sz w:val="18"/>
                            </w:rPr>
                            <w:t>Procedure).</w:t>
                          </w:r>
                          <w:r>
                            <w:rPr>
                              <w:rFonts w:ascii="Arial"/>
                              <w:spacing w:val="29"/>
                              <w:sz w:val="18"/>
                            </w:rPr>
                            <w:t xml:space="preserve"> </w:t>
                          </w:r>
                          <w:r>
                            <w:rPr>
                              <w:rFonts w:ascii="Arial"/>
                              <w:sz w:val="18"/>
                            </w:rPr>
                            <w:t>If</w:t>
                          </w:r>
                          <w:r>
                            <w:rPr>
                              <w:rFonts w:ascii="Arial"/>
                              <w:spacing w:val="31"/>
                              <w:sz w:val="18"/>
                            </w:rPr>
                            <w:t xml:space="preserve"> </w:t>
                          </w:r>
                          <w:r>
                            <w:rPr>
                              <w:rFonts w:ascii="Arial"/>
                              <w:sz w:val="18"/>
                            </w:rPr>
                            <w:t>an</w:t>
                          </w:r>
                          <w:r>
                            <w:rPr>
                              <w:rFonts w:ascii="Arial"/>
                              <w:spacing w:val="29"/>
                              <w:sz w:val="18"/>
                            </w:rPr>
                            <w:t xml:space="preserve"> </w:t>
                          </w:r>
                          <w:r>
                            <w:rPr>
                              <w:rFonts w:ascii="Arial"/>
                              <w:spacing w:val="-1"/>
                              <w:sz w:val="18"/>
                            </w:rPr>
                            <w:t>Implementation</w:t>
                          </w:r>
                          <w:r>
                            <w:rPr>
                              <w:rFonts w:ascii="Arial"/>
                              <w:spacing w:val="32"/>
                              <w:sz w:val="18"/>
                            </w:rPr>
                            <w:t xml:space="preserve"> </w:t>
                          </w:r>
                          <w:r>
                            <w:rPr>
                              <w:rFonts w:ascii="Arial"/>
                              <w:spacing w:val="-1"/>
                              <w:sz w:val="18"/>
                            </w:rPr>
                            <w:t>Plan</w:t>
                          </w:r>
                          <w:r>
                            <w:rPr>
                              <w:rFonts w:ascii="Arial"/>
                              <w:spacing w:val="29"/>
                              <w:sz w:val="18"/>
                            </w:rPr>
                            <w:t xml:space="preserve"> </w:t>
                          </w:r>
                          <w:r>
                            <w:rPr>
                              <w:rFonts w:ascii="Arial"/>
                              <w:sz w:val="18"/>
                            </w:rPr>
                            <w:t>is</w:t>
                          </w:r>
                          <w:r>
                            <w:rPr>
                              <w:rFonts w:ascii="Arial"/>
                              <w:spacing w:val="30"/>
                              <w:sz w:val="18"/>
                            </w:rPr>
                            <w:t xml:space="preserve"> </w:t>
                          </w:r>
                          <w:r>
                            <w:rPr>
                              <w:rFonts w:ascii="Arial"/>
                              <w:spacing w:val="-1"/>
                              <w:sz w:val="18"/>
                            </w:rPr>
                            <w:t>included,</w:t>
                          </w:r>
                          <w:r>
                            <w:rPr>
                              <w:rFonts w:ascii="Arial"/>
                              <w:spacing w:val="29"/>
                              <w:sz w:val="18"/>
                            </w:rPr>
                            <w:t xml:space="preserve"> </w:t>
                          </w:r>
                          <w:r>
                            <w:rPr>
                              <w:rFonts w:ascii="Arial"/>
                              <w:spacing w:val="-1"/>
                              <w:sz w:val="18"/>
                            </w:rPr>
                            <w:t>consider</w:t>
                          </w:r>
                          <w:r>
                            <w:rPr>
                              <w:rFonts w:ascii="Arial"/>
                              <w:spacing w:val="31"/>
                              <w:sz w:val="18"/>
                            </w:rPr>
                            <w:t xml:space="preserve"> </w:t>
                          </w:r>
                          <w:r>
                            <w:rPr>
                              <w:rFonts w:ascii="Arial"/>
                              <w:spacing w:val="-1"/>
                              <w:sz w:val="18"/>
                            </w:rPr>
                            <w:t>whether</w:t>
                          </w:r>
                          <w:r>
                            <w:rPr>
                              <w:rFonts w:ascii="Arial"/>
                              <w:spacing w:val="30"/>
                              <w:sz w:val="18"/>
                            </w:rPr>
                            <w:t xml:space="preserve"> </w:t>
                          </w:r>
                          <w:r>
                            <w:rPr>
                              <w:rFonts w:ascii="Arial"/>
                              <w:spacing w:val="-1"/>
                              <w:sz w:val="18"/>
                            </w:rPr>
                            <w:t>Milestone</w:t>
                          </w:r>
                          <w:r>
                            <w:rPr>
                              <w:rFonts w:ascii="Arial"/>
                              <w:spacing w:val="32"/>
                              <w:sz w:val="18"/>
                            </w:rPr>
                            <w:t xml:space="preserve"> </w:t>
                          </w:r>
                          <w:r>
                            <w:rPr>
                              <w:rFonts w:ascii="Arial"/>
                              <w:spacing w:val="-1"/>
                              <w:sz w:val="18"/>
                            </w:rPr>
                            <w:t>Payments</w:t>
                          </w:r>
                          <w:r>
                            <w:rPr>
                              <w:rFonts w:ascii="Arial"/>
                              <w:spacing w:val="32"/>
                              <w:sz w:val="18"/>
                            </w:rPr>
                            <w:t xml:space="preserve"> </w:t>
                          </w:r>
                          <w:r>
                            <w:rPr>
                              <w:rFonts w:ascii="Arial"/>
                              <w:spacing w:val="-1"/>
                              <w:sz w:val="18"/>
                            </w:rPr>
                            <w:t>should</w:t>
                          </w:r>
                          <w:r>
                            <w:rPr>
                              <w:rFonts w:ascii="Arial"/>
                              <w:spacing w:val="32"/>
                              <w:sz w:val="18"/>
                            </w:rPr>
                            <w:t xml:space="preserve"> </w:t>
                          </w:r>
                          <w:r>
                            <w:rPr>
                              <w:rFonts w:ascii="Arial"/>
                              <w:spacing w:val="-1"/>
                              <w:sz w:val="18"/>
                            </w:rPr>
                            <w:t>be</w:t>
                          </w:r>
                          <w:r>
                            <w:rPr>
                              <w:rFonts w:ascii="Arial"/>
                              <w:spacing w:val="32"/>
                              <w:sz w:val="18"/>
                            </w:rPr>
                            <w:t xml:space="preserve"> </w:t>
                          </w:r>
                          <w:r>
                            <w:rPr>
                              <w:rFonts w:ascii="Arial"/>
                              <w:spacing w:val="-1"/>
                              <w:sz w:val="18"/>
                            </w:rPr>
                            <w:t>added,</w:t>
                          </w:r>
                          <w:r>
                            <w:rPr>
                              <w:rFonts w:ascii="Arial"/>
                              <w:spacing w:val="91"/>
                              <w:sz w:val="18"/>
                            </w:rPr>
                            <w:t xml:space="preserve"> </w:t>
                          </w:r>
                          <w:r>
                            <w:rPr>
                              <w:rFonts w:ascii="Arial"/>
                              <w:spacing w:val="-1"/>
                              <w:sz w:val="18"/>
                            </w:rPr>
                            <w:t>staged</w:t>
                          </w:r>
                          <w:r>
                            <w:rPr>
                              <w:rFonts w:ascii="Arial"/>
                              <w:spacing w:val="8"/>
                              <w:sz w:val="18"/>
                            </w:rPr>
                            <w:t xml:space="preserve"> </w:t>
                          </w:r>
                          <w:r>
                            <w:rPr>
                              <w:rFonts w:ascii="Arial"/>
                              <w:spacing w:val="-1"/>
                              <w:sz w:val="18"/>
                            </w:rPr>
                            <w:t>and</w:t>
                          </w:r>
                          <w:r>
                            <w:rPr>
                              <w:rFonts w:ascii="Arial"/>
                              <w:spacing w:val="8"/>
                              <w:sz w:val="18"/>
                            </w:rPr>
                            <w:t xml:space="preserve"> </w:t>
                          </w:r>
                          <w:r>
                            <w:rPr>
                              <w:rFonts w:ascii="Arial"/>
                              <w:spacing w:val="-1"/>
                              <w:sz w:val="18"/>
                            </w:rPr>
                            <w:t>linked</w:t>
                          </w:r>
                          <w:r>
                            <w:rPr>
                              <w:rFonts w:ascii="Arial"/>
                              <w:spacing w:val="8"/>
                              <w:sz w:val="18"/>
                            </w:rPr>
                            <w:t xml:space="preserve"> </w:t>
                          </w:r>
                          <w:r>
                            <w:rPr>
                              <w:rFonts w:ascii="Arial"/>
                              <w:sz w:val="18"/>
                            </w:rPr>
                            <w:t>to</w:t>
                          </w:r>
                          <w:r>
                            <w:rPr>
                              <w:rFonts w:ascii="Arial"/>
                              <w:spacing w:val="5"/>
                              <w:sz w:val="18"/>
                            </w:rPr>
                            <w:t xml:space="preserve"> </w:t>
                          </w:r>
                          <w:r>
                            <w:rPr>
                              <w:rFonts w:ascii="Arial"/>
                              <w:sz w:val="18"/>
                            </w:rPr>
                            <w:t>the</w:t>
                          </w:r>
                          <w:r>
                            <w:rPr>
                              <w:rFonts w:ascii="Arial"/>
                              <w:spacing w:val="8"/>
                              <w:sz w:val="18"/>
                            </w:rPr>
                            <w:t xml:space="preserve"> </w:t>
                          </w:r>
                          <w:r>
                            <w:rPr>
                              <w:rFonts w:ascii="Arial"/>
                              <w:spacing w:val="-1"/>
                              <w:sz w:val="18"/>
                            </w:rPr>
                            <w:t>Achievement</w:t>
                          </w:r>
                          <w:r>
                            <w:rPr>
                              <w:rFonts w:ascii="Arial"/>
                              <w:spacing w:val="7"/>
                              <w:sz w:val="18"/>
                            </w:rPr>
                            <w:t xml:space="preserve"> </w:t>
                          </w:r>
                          <w:r>
                            <w:rPr>
                              <w:rFonts w:ascii="Arial"/>
                              <w:spacing w:val="-1"/>
                              <w:sz w:val="18"/>
                            </w:rPr>
                            <w:t>of</w:t>
                          </w:r>
                          <w:r>
                            <w:rPr>
                              <w:rFonts w:ascii="Arial"/>
                              <w:spacing w:val="7"/>
                              <w:sz w:val="18"/>
                            </w:rPr>
                            <w:t xml:space="preserve"> </w:t>
                          </w:r>
                          <w:r>
                            <w:rPr>
                              <w:rFonts w:ascii="Arial"/>
                              <w:spacing w:val="-1"/>
                              <w:sz w:val="18"/>
                            </w:rPr>
                            <w:t>particular</w:t>
                          </w:r>
                          <w:r>
                            <w:rPr>
                              <w:rFonts w:ascii="Arial"/>
                              <w:spacing w:val="7"/>
                              <w:sz w:val="18"/>
                            </w:rPr>
                            <w:t xml:space="preserve"> </w:t>
                          </w:r>
                          <w:r>
                            <w:rPr>
                              <w:rFonts w:ascii="Arial"/>
                              <w:spacing w:val="-1"/>
                              <w:sz w:val="18"/>
                            </w:rPr>
                            <w:t>Milestones</w:t>
                          </w:r>
                          <w:r>
                            <w:rPr>
                              <w:rFonts w:ascii="Arial"/>
                              <w:spacing w:val="8"/>
                              <w:sz w:val="18"/>
                            </w:rPr>
                            <w:t xml:space="preserve"> </w:t>
                          </w:r>
                          <w:r>
                            <w:rPr>
                              <w:rFonts w:ascii="Arial"/>
                              <w:spacing w:val="-1"/>
                              <w:sz w:val="18"/>
                            </w:rPr>
                            <w:t>(see</w:t>
                          </w:r>
                          <w:r>
                            <w:rPr>
                              <w:rFonts w:ascii="Arial"/>
                              <w:spacing w:val="8"/>
                              <w:sz w:val="18"/>
                            </w:rPr>
                            <w:t xml:space="preserve"> </w:t>
                          </w:r>
                          <w:r>
                            <w:rPr>
                              <w:rFonts w:ascii="Arial"/>
                              <w:sz w:val="18"/>
                            </w:rPr>
                            <w:t>the</w:t>
                          </w:r>
                          <w:r>
                            <w:rPr>
                              <w:rFonts w:ascii="Arial"/>
                              <w:spacing w:val="5"/>
                              <w:sz w:val="18"/>
                            </w:rPr>
                            <w:t xml:space="preserve"> </w:t>
                          </w:r>
                          <w:r>
                            <w:rPr>
                              <w:rFonts w:ascii="Arial"/>
                              <w:spacing w:val="-1"/>
                              <w:sz w:val="18"/>
                            </w:rPr>
                            <w:t>guidance</w:t>
                          </w:r>
                          <w:r>
                            <w:rPr>
                              <w:rFonts w:ascii="Arial"/>
                              <w:spacing w:val="5"/>
                              <w:sz w:val="18"/>
                            </w:rPr>
                            <w:t xml:space="preserve"> </w:t>
                          </w:r>
                          <w:r>
                            <w:rPr>
                              <w:rFonts w:ascii="Arial"/>
                              <w:sz w:val="18"/>
                            </w:rPr>
                            <w:t>in</w:t>
                          </w:r>
                          <w:r>
                            <w:rPr>
                              <w:rFonts w:ascii="Arial"/>
                              <w:spacing w:val="8"/>
                              <w:sz w:val="18"/>
                            </w:rPr>
                            <w:t xml:space="preserve"> </w:t>
                          </w:r>
                          <w:r>
                            <w:rPr>
                              <w:rFonts w:ascii="Arial"/>
                              <w:sz w:val="18"/>
                            </w:rPr>
                            <w:t>Part</w:t>
                          </w:r>
                          <w:r>
                            <w:rPr>
                              <w:rFonts w:ascii="Arial"/>
                              <w:spacing w:val="7"/>
                              <w:sz w:val="18"/>
                            </w:rPr>
                            <w:t xml:space="preserve"> </w:t>
                          </w:r>
                          <w:r>
                            <w:rPr>
                              <w:rFonts w:ascii="Arial"/>
                              <w:sz w:val="18"/>
                            </w:rPr>
                            <w:t>A</w:t>
                          </w:r>
                          <w:r>
                            <w:rPr>
                              <w:rFonts w:ascii="Arial"/>
                              <w:spacing w:val="4"/>
                              <w:sz w:val="18"/>
                            </w:rPr>
                            <w:t xml:space="preserve"> </w:t>
                          </w:r>
                          <w:r>
                            <w:rPr>
                              <w:rFonts w:ascii="Arial"/>
                              <w:sz w:val="18"/>
                            </w:rPr>
                            <w:t>of</w:t>
                          </w:r>
                          <w:r>
                            <w:rPr>
                              <w:rFonts w:ascii="Arial"/>
                              <w:spacing w:val="7"/>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Schedule</w:t>
                          </w:r>
                          <w:r>
                            <w:rPr>
                              <w:rFonts w:ascii="Arial"/>
                              <w:spacing w:val="73"/>
                              <w:sz w:val="18"/>
                            </w:rPr>
                            <w:t xml:space="preserve"> </w:t>
                          </w:r>
                          <w:r>
                            <w:rPr>
                              <w:rFonts w:ascii="Arial"/>
                              <w:sz w:val="18"/>
                            </w:rPr>
                            <w:t>4</w:t>
                          </w:r>
                          <w:r>
                            <w:rPr>
                              <w:rFonts w:ascii="Arial"/>
                              <w:spacing w:val="15"/>
                              <w:sz w:val="18"/>
                            </w:rPr>
                            <w:t xml:space="preserve"> </w:t>
                          </w:r>
                          <w:r>
                            <w:rPr>
                              <w:rFonts w:ascii="Arial"/>
                              <w:spacing w:val="-1"/>
                              <w:sz w:val="18"/>
                            </w:rPr>
                            <w:t>(Implementation</w:t>
                          </w:r>
                          <w:r>
                            <w:rPr>
                              <w:rFonts w:ascii="Arial"/>
                              <w:spacing w:val="15"/>
                              <w:sz w:val="18"/>
                            </w:rPr>
                            <w:t xml:space="preserve"> </w:t>
                          </w:r>
                          <w:r>
                            <w:rPr>
                              <w:rFonts w:ascii="Arial"/>
                              <w:spacing w:val="-1"/>
                              <w:sz w:val="18"/>
                            </w:rPr>
                            <w:t>Plan,</w:t>
                          </w:r>
                          <w:r>
                            <w:rPr>
                              <w:rFonts w:ascii="Arial"/>
                              <w:spacing w:val="12"/>
                              <w:sz w:val="18"/>
                            </w:rPr>
                            <w:t xml:space="preserve"> </w:t>
                          </w:r>
                          <w:r>
                            <w:rPr>
                              <w:rFonts w:ascii="Arial"/>
                              <w:spacing w:val="-1"/>
                              <w:sz w:val="18"/>
                            </w:rPr>
                            <w:t>Customer</w:t>
                          </w:r>
                          <w:r>
                            <w:rPr>
                              <w:rFonts w:ascii="Arial"/>
                              <w:spacing w:val="12"/>
                              <w:sz w:val="18"/>
                            </w:rPr>
                            <w:t xml:space="preserve"> </w:t>
                          </w:r>
                          <w:r>
                            <w:rPr>
                              <w:rFonts w:ascii="Arial"/>
                              <w:spacing w:val="-1"/>
                              <w:sz w:val="18"/>
                            </w:rPr>
                            <w:t>Responsibilities</w:t>
                          </w:r>
                          <w:r>
                            <w:rPr>
                              <w:rFonts w:ascii="Arial"/>
                              <w:spacing w:val="13"/>
                              <w:sz w:val="18"/>
                            </w:rPr>
                            <w:t xml:space="preserve"> </w:t>
                          </w:r>
                          <w:r>
                            <w:rPr>
                              <w:rFonts w:ascii="Arial"/>
                              <w:spacing w:val="-1"/>
                              <w:sz w:val="18"/>
                            </w:rPr>
                            <w:t>and</w:t>
                          </w:r>
                          <w:r>
                            <w:rPr>
                              <w:rFonts w:ascii="Arial"/>
                              <w:spacing w:val="15"/>
                              <w:sz w:val="18"/>
                            </w:rPr>
                            <w:t xml:space="preserve"> </w:t>
                          </w:r>
                          <w:r>
                            <w:rPr>
                              <w:rFonts w:ascii="Arial"/>
                              <w:spacing w:val="-2"/>
                              <w:sz w:val="18"/>
                            </w:rPr>
                            <w:t>Key</w:t>
                          </w:r>
                          <w:r>
                            <w:rPr>
                              <w:rFonts w:ascii="Arial"/>
                              <w:spacing w:val="13"/>
                              <w:sz w:val="18"/>
                            </w:rPr>
                            <w:t xml:space="preserve"> </w:t>
                          </w:r>
                          <w:r>
                            <w:rPr>
                              <w:rFonts w:ascii="Arial"/>
                              <w:spacing w:val="-1"/>
                              <w:sz w:val="18"/>
                            </w:rPr>
                            <w:t>Personnel)).</w:t>
                          </w:r>
                          <w:r>
                            <w:rPr>
                              <w:rFonts w:ascii="Arial"/>
                              <w:spacing w:val="12"/>
                              <w:sz w:val="18"/>
                            </w:rPr>
                            <w:t xml:space="preserve"> </w:t>
                          </w:r>
                          <w:r>
                            <w:rPr>
                              <w:rFonts w:ascii="Arial"/>
                              <w:spacing w:val="-1"/>
                              <w:sz w:val="18"/>
                            </w:rPr>
                            <w:t>Also</w:t>
                          </w:r>
                          <w:r>
                            <w:rPr>
                              <w:rFonts w:ascii="Arial"/>
                              <w:spacing w:val="13"/>
                              <w:sz w:val="18"/>
                            </w:rPr>
                            <w:t xml:space="preserve"> </w:t>
                          </w:r>
                          <w:r>
                            <w:rPr>
                              <w:rFonts w:ascii="Arial"/>
                              <w:spacing w:val="-1"/>
                              <w:sz w:val="18"/>
                            </w:rPr>
                            <w:t>consider</w:t>
                          </w:r>
                          <w:r>
                            <w:rPr>
                              <w:rFonts w:ascii="Arial"/>
                              <w:spacing w:val="12"/>
                              <w:sz w:val="18"/>
                            </w:rPr>
                            <w:t xml:space="preserve"> </w:t>
                          </w:r>
                          <w:r>
                            <w:rPr>
                              <w:rFonts w:ascii="Arial"/>
                              <w:spacing w:val="-1"/>
                              <w:sz w:val="18"/>
                            </w:rPr>
                            <w:t>with</w:t>
                          </w:r>
                          <w:r>
                            <w:rPr>
                              <w:rFonts w:ascii="Arial"/>
                              <w:spacing w:val="15"/>
                              <w:sz w:val="18"/>
                            </w:rPr>
                            <w:t xml:space="preserve"> </w:t>
                          </w:r>
                          <w:r>
                            <w:rPr>
                              <w:rFonts w:ascii="Arial"/>
                              <w:spacing w:val="-1"/>
                              <w:sz w:val="18"/>
                            </w:rPr>
                            <w:t>Clauses</w:t>
                          </w:r>
                          <w:r>
                            <w:rPr>
                              <w:rFonts w:ascii="Arial"/>
                              <w:spacing w:val="13"/>
                              <w:sz w:val="18"/>
                            </w:rPr>
                            <w:t xml:space="preserve"> </w:t>
                          </w:r>
                          <w:hyperlink w:anchor="_bookmark203" w:history="1">
                            <w:r>
                              <w:rPr>
                                <w:rFonts w:ascii="Arial"/>
                                <w:spacing w:val="-1"/>
                                <w:sz w:val="18"/>
                              </w:rPr>
                              <w:t>36.2.1(a)</w:t>
                            </w:r>
                          </w:hyperlink>
                          <w:r>
                            <w:rPr>
                              <w:rFonts w:ascii="Arial"/>
                              <w:spacing w:val="113"/>
                              <w:sz w:val="18"/>
                            </w:rPr>
                            <w:t xml:space="preserve"> </w:t>
                          </w:r>
                          <w:r>
                            <w:rPr>
                              <w:rFonts w:ascii="Arial"/>
                              <w:sz w:val="18"/>
                            </w:rPr>
                            <w:t>and</w:t>
                          </w:r>
                          <w:r>
                            <w:rPr>
                              <w:rFonts w:ascii="Arial"/>
                              <w:spacing w:val="3"/>
                              <w:sz w:val="18"/>
                            </w:rPr>
                            <w:t xml:space="preserve"> </w:t>
                          </w:r>
                          <w:hyperlink w:anchor="_bookmark208" w:history="1">
                            <w:r>
                              <w:rPr>
                                <w:rFonts w:ascii="Arial"/>
                                <w:spacing w:val="-1"/>
                                <w:sz w:val="18"/>
                              </w:rPr>
                              <w:t>36.2.2</w:t>
                            </w:r>
                          </w:hyperlink>
                          <w:r>
                            <w:rPr>
                              <w:rFonts w:ascii="Arial"/>
                              <w:spacing w:val="3"/>
                              <w:sz w:val="18"/>
                            </w:rPr>
                            <w:t xml:space="preserve"> </w:t>
                          </w:r>
                          <w:r>
                            <w:rPr>
                              <w:rFonts w:ascii="Arial"/>
                              <w:sz w:val="18"/>
                            </w:rPr>
                            <w:t>of the</w:t>
                          </w:r>
                          <w:r>
                            <w:rPr>
                              <w:rFonts w:ascii="Arial"/>
                              <w:spacing w:val="3"/>
                              <w:sz w:val="18"/>
                            </w:rPr>
                            <w:t xml:space="preserve"> </w:t>
                          </w:r>
                          <w:r>
                            <w:rPr>
                              <w:rFonts w:ascii="Arial"/>
                              <w:spacing w:val="-1"/>
                              <w:sz w:val="18"/>
                            </w:rPr>
                            <w:t>Template</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pacing w:val="3"/>
                              <w:sz w:val="18"/>
                            </w:rPr>
                            <w:t xml:space="preserve"> </w:t>
                          </w:r>
                          <w:r>
                            <w:rPr>
                              <w:rFonts w:ascii="Arial"/>
                              <w:spacing w:val="-1"/>
                              <w:sz w:val="18"/>
                            </w:rPr>
                            <w:t>Terms</w:t>
                          </w:r>
                          <w:r>
                            <w:rPr>
                              <w:rFonts w:ascii="Arial"/>
                              <w:spacing w:val="3"/>
                              <w:sz w:val="18"/>
                            </w:rPr>
                            <w:t xml:space="preserve"> </w:t>
                          </w:r>
                          <w:r>
                            <w:rPr>
                              <w:rFonts w:ascii="Arial"/>
                              <w:spacing w:val="-1"/>
                              <w:sz w:val="18"/>
                            </w:rPr>
                            <w:t>and</w:t>
                          </w:r>
                          <w:r>
                            <w:rPr>
                              <w:rFonts w:ascii="Arial"/>
                              <w:spacing w:val="3"/>
                              <w:sz w:val="18"/>
                            </w:rPr>
                            <w:t xml:space="preserve"> </w:t>
                          </w:r>
                          <w:r>
                            <w:rPr>
                              <w:rFonts w:ascii="Arial"/>
                              <w:spacing w:val="-1"/>
                              <w:sz w:val="18"/>
                            </w:rPr>
                            <w:t>insert</w:t>
                          </w:r>
                          <w:r>
                            <w:rPr>
                              <w:rFonts w:ascii="Arial"/>
                              <w:spacing w:val="3"/>
                              <w:sz w:val="18"/>
                            </w:rPr>
                            <w:t xml:space="preserve"> </w:t>
                          </w:r>
                          <w:r>
                            <w:rPr>
                              <w:rFonts w:ascii="Arial"/>
                              <w:spacing w:val="-1"/>
                              <w:sz w:val="18"/>
                            </w:rPr>
                            <w:t>sum</w:t>
                          </w:r>
                          <w:r>
                            <w:rPr>
                              <w:rFonts w:ascii="Arial"/>
                              <w:spacing w:val="1"/>
                              <w:sz w:val="18"/>
                            </w:rPr>
                            <w:t xml:space="preserve"> </w:t>
                          </w:r>
                          <w:r>
                            <w:rPr>
                              <w:rFonts w:ascii="Arial"/>
                              <w:sz w:val="18"/>
                            </w:rPr>
                            <w:t>in</w:t>
                          </w:r>
                          <w:r>
                            <w:rPr>
                              <w:rFonts w:ascii="Arial"/>
                              <w:spacing w:val="1"/>
                              <w:sz w:val="18"/>
                            </w:rPr>
                            <w:t xml:space="preserve"> </w:t>
                          </w:r>
                          <w:r>
                            <w:rPr>
                              <w:rFonts w:ascii="Arial"/>
                              <w:sz w:val="18"/>
                            </w:rPr>
                            <w:t>the</w:t>
                          </w:r>
                          <w:r>
                            <w:rPr>
                              <w:rFonts w:ascii="Arial"/>
                              <w:spacing w:val="3"/>
                              <w:sz w:val="18"/>
                            </w:rPr>
                            <w:t xml:space="preserve"> </w:t>
                          </w:r>
                          <w:r>
                            <w:rPr>
                              <w:rFonts w:ascii="Arial"/>
                              <w:spacing w:val="-1"/>
                              <w:sz w:val="18"/>
                            </w:rPr>
                            <w:t>definition</w:t>
                          </w:r>
                          <w:r>
                            <w:rPr>
                              <w:rFonts w:ascii="Arial"/>
                              <w:spacing w:val="3"/>
                              <w:sz w:val="18"/>
                            </w:rPr>
                            <w:t xml:space="preserve"> </w:t>
                          </w:r>
                          <w:r>
                            <w:rPr>
                              <w:rFonts w:ascii="Arial"/>
                              <w:sz w:val="18"/>
                            </w:rPr>
                            <w:t xml:space="preserve">of </w:t>
                          </w:r>
                          <w:r>
                            <w:rPr>
                              <w:rFonts w:ascii="Arial"/>
                              <w:spacing w:val="-1"/>
                              <w:sz w:val="18"/>
                            </w:rPr>
                            <w:t>Estimated</w:t>
                          </w:r>
                          <w:r>
                            <w:rPr>
                              <w:rFonts w:ascii="Arial"/>
                              <w:spacing w:val="3"/>
                              <w:sz w:val="18"/>
                            </w:rPr>
                            <w:t xml:space="preserve"> </w:t>
                          </w:r>
                          <w:r>
                            <w:rPr>
                              <w:rFonts w:ascii="Arial"/>
                              <w:spacing w:val="-2"/>
                              <w:sz w:val="18"/>
                            </w:rPr>
                            <w:t>Year</w:t>
                          </w:r>
                          <w:r>
                            <w:rPr>
                              <w:rFonts w:ascii="Arial"/>
                              <w:spacing w:val="2"/>
                              <w:sz w:val="18"/>
                            </w:rPr>
                            <w:t xml:space="preserve"> </w:t>
                          </w:r>
                          <w:r>
                            <w:rPr>
                              <w:rFonts w:ascii="Arial"/>
                              <w:sz w:val="18"/>
                            </w:rPr>
                            <w:t>1</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pacing w:val="3"/>
                              <w:sz w:val="18"/>
                            </w:rPr>
                            <w:t xml:space="preserve"> </w:t>
                          </w:r>
                          <w:r>
                            <w:rPr>
                              <w:rFonts w:ascii="Arial"/>
                              <w:spacing w:val="-1"/>
                              <w:sz w:val="18"/>
                            </w:rPr>
                            <w:t>Contract</w:t>
                          </w:r>
                          <w:r>
                            <w:rPr>
                              <w:rFonts w:ascii="Arial"/>
                              <w:spacing w:val="65"/>
                              <w:sz w:val="18"/>
                            </w:rPr>
                            <w:t xml:space="preserve"> </w:t>
                          </w:r>
                          <w:r>
                            <w:rPr>
                              <w:rFonts w:ascii="Arial"/>
                              <w:spacing w:val="-1"/>
                              <w:sz w:val="18"/>
                            </w:rPr>
                            <w:t xml:space="preserve">Charges </w:t>
                          </w:r>
                          <w:r>
                            <w:rPr>
                              <w:rFonts w:ascii="Arial"/>
                              <w:sz w:val="18"/>
                            </w:rPr>
                            <w:t>in</w:t>
                          </w:r>
                          <w:r>
                            <w:rPr>
                              <w:rFonts w:ascii="Arial"/>
                              <w:spacing w:val="1"/>
                              <w:sz w:val="18"/>
                            </w:rPr>
                            <w:t xml:space="preserve"> </w:t>
                          </w:r>
                          <w:r>
                            <w:rPr>
                              <w:rFonts w:ascii="Arial"/>
                              <w:spacing w:val="-1"/>
                              <w:sz w:val="18"/>
                            </w:rPr>
                            <w:t>Call</w:t>
                          </w:r>
                          <w:r>
                            <w:rPr>
                              <w:rFonts w:ascii="Arial"/>
                              <w:spacing w:val="1"/>
                              <w:sz w:val="18"/>
                            </w:rPr>
                            <w:t xml:space="preserve"> </w:t>
                          </w:r>
                          <w:r>
                            <w:rPr>
                              <w:rFonts w:ascii="Arial"/>
                              <w:spacing w:val="-1"/>
                              <w:sz w:val="18"/>
                            </w:rPr>
                            <w:t>Off</w:t>
                          </w:r>
                          <w:r>
                            <w:rPr>
                              <w:rFonts w:ascii="Arial"/>
                              <w:spacing w:val="-2"/>
                              <w:sz w:val="18"/>
                            </w:rPr>
                            <w:t xml:space="preserve"> </w:t>
                          </w:r>
                          <w:r>
                            <w:rPr>
                              <w:rFonts w:ascii="Arial"/>
                              <w:spacing w:val="-1"/>
                              <w:sz w:val="18"/>
                            </w:rPr>
                            <w:t>Schedule</w:t>
                          </w:r>
                          <w:r>
                            <w:rPr>
                              <w:rFonts w:ascii="Arial"/>
                              <w:spacing w:val="-2"/>
                              <w:sz w:val="18"/>
                            </w:rPr>
                            <w:t xml:space="preserve"> </w:t>
                          </w:r>
                          <w:r>
                            <w:rPr>
                              <w:rFonts w:ascii="Arial"/>
                              <w:sz w:val="18"/>
                            </w:rPr>
                            <w:t>1</w:t>
                          </w:r>
                          <w:r>
                            <w:rPr>
                              <w:rFonts w:ascii="Arial"/>
                              <w:spacing w:val="1"/>
                              <w:sz w:val="18"/>
                            </w:rPr>
                            <w:t xml:space="preserve"> </w:t>
                          </w:r>
                          <w:r>
                            <w:rPr>
                              <w:rFonts w:ascii="Arial"/>
                              <w:spacing w:val="-1"/>
                              <w:sz w:val="18"/>
                            </w:rPr>
                            <w:t>(Definitions)]</w:t>
                          </w:r>
                        </w:p>
                      </w:txbxContent>
                    </v:textbox>
                  </v:shape>
                </v:group>
                <w10:anchorlock/>
              </v:group>
            </w:pict>
          </mc:Fallback>
        </mc:AlternateContent>
      </w:r>
    </w:p>
    <w:p w:rsidR="008918FA" w:rsidRDefault="008918FA" w:rsidP="008918FA">
      <w:pPr>
        <w:spacing w:line="200" w:lineRule="atLeast"/>
        <w:rPr>
          <w:rFonts w:ascii="Arial" w:eastAsia="Arial" w:hAnsi="Arial" w:cs="Arial"/>
          <w:sz w:val="20"/>
          <w:szCs w:val="20"/>
        </w:rPr>
        <w:sectPr w:rsidR="008918FA">
          <w:footerReference w:type="default" r:id="rId8"/>
          <w:pgSz w:w="11910" w:h="16840"/>
          <w:pgMar w:top="1480" w:right="1300" w:bottom="1180" w:left="1340" w:header="0" w:footer="987" w:gutter="0"/>
          <w:cols w:space="720"/>
        </w:sectPr>
      </w:pPr>
    </w:p>
    <w:p w:rsidR="008918FA" w:rsidRDefault="008918FA" w:rsidP="008918FA">
      <w:pPr>
        <w:pStyle w:val="Heading1"/>
        <w:numPr>
          <w:ilvl w:val="1"/>
          <w:numId w:val="74"/>
        </w:numPr>
        <w:tabs>
          <w:tab w:val="left" w:pos="1094"/>
        </w:tabs>
        <w:spacing w:before="57"/>
        <w:ind w:left="1093" w:hanging="566"/>
        <w:rPr>
          <w:b w:val="0"/>
          <w:bCs w:val="0"/>
        </w:rPr>
      </w:pPr>
      <w:r>
        <w:rPr>
          <w:spacing w:val="-1"/>
        </w:rPr>
        <w:lastRenderedPageBreak/>
        <w:t>Estimated</w:t>
      </w:r>
      <w:r>
        <w:t xml:space="preserve"> </w:t>
      </w:r>
      <w:r>
        <w:rPr>
          <w:spacing w:val="-2"/>
        </w:rPr>
        <w:t>Year</w:t>
      </w:r>
      <w:r>
        <w:rPr>
          <w:spacing w:val="1"/>
        </w:rPr>
        <w:t xml:space="preserve"> </w:t>
      </w:r>
      <w:r>
        <w:t>1</w:t>
      </w:r>
      <w:r>
        <w:rPr>
          <w:spacing w:val="-2"/>
        </w:rPr>
        <w:t xml:space="preserve"> Call</w:t>
      </w:r>
      <w:r>
        <w:t xml:space="preserve"> </w:t>
      </w:r>
      <w:r>
        <w:rPr>
          <w:spacing w:val="-1"/>
        </w:rPr>
        <w:t>Off</w:t>
      </w:r>
      <w:r>
        <w:rPr>
          <w:spacing w:val="2"/>
        </w:rPr>
        <w:t xml:space="preserve"> </w:t>
      </w:r>
      <w:r>
        <w:rPr>
          <w:spacing w:val="-1"/>
        </w:rPr>
        <w:t>Contract Charges</w:t>
      </w:r>
    </w:p>
    <w:p w:rsidR="008918FA" w:rsidRDefault="008918FA" w:rsidP="008918FA">
      <w:pPr>
        <w:spacing w:before="9"/>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0568C46F" wp14:editId="1F4485FB">
                <wp:extent cx="1946275" cy="161925"/>
                <wp:effectExtent l="1905" t="0" r="4445" b="3810"/>
                <wp:docPr id="7299" name="Text Box 7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8" w:lineRule="exact"/>
                              <w:ind w:right="-1"/>
                              <w:rPr>
                                <w:rFonts w:ascii="Arial" w:eastAsia="Arial" w:hAnsi="Arial" w:cs="Arial"/>
                                <w:sz w:val="14"/>
                                <w:szCs w:val="14"/>
                              </w:rPr>
                            </w:pPr>
                            <w:r>
                              <w:rPr>
                                <w:rFonts w:ascii="Arial" w:hAnsi="Arial"/>
                                <w:spacing w:val="-1"/>
                              </w:rPr>
                              <w:t>[Insert amount</w:t>
                            </w:r>
                            <w:r>
                              <w:rPr>
                                <w:rFonts w:ascii="Arial" w:hAnsi="Arial"/>
                              </w:rPr>
                              <w:t xml:space="preserve"> </w:t>
                            </w:r>
                            <w:r>
                              <w:rPr>
                                <w:rFonts w:ascii="Arial" w:hAnsi="Arial"/>
                                <w:spacing w:val="-1"/>
                              </w:rPr>
                              <w:t>in</w:t>
                            </w:r>
                            <w:r>
                              <w:rPr>
                                <w:rFonts w:ascii="Arial" w:hAnsi="Arial"/>
                              </w:rPr>
                              <w:t xml:space="preserve"> </w:t>
                            </w:r>
                            <w:r>
                              <w:rPr>
                                <w:rFonts w:ascii="Arial" w:hAnsi="Arial"/>
                                <w:spacing w:val="-1"/>
                              </w:rPr>
                              <w:t>words]</w:t>
                            </w:r>
                            <w:r>
                              <w:rPr>
                                <w:rFonts w:ascii="Arial" w:hAnsi="Arial"/>
                                <w:spacing w:val="-2"/>
                              </w:rPr>
                              <w:t xml:space="preserve"> </w:t>
                            </w:r>
                            <w:r>
                              <w:rPr>
                                <w:rFonts w:ascii="Arial" w:hAnsi="Arial"/>
                              </w:rPr>
                              <w:t>[£</w:t>
                            </w:r>
                            <w:r>
                              <w:rPr>
                                <w:rFonts w:ascii="Arial" w:hAnsi="Arial"/>
                                <w:spacing w:val="-2"/>
                              </w:rPr>
                              <w:t xml:space="preserve"> </w:t>
                            </w:r>
                            <w:r>
                              <w:rPr>
                                <w:rFonts w:ascii="Arial" w:hAnsi="Arial"/>
                              </w:rPr>
                              <w:t>X]</w:t>
                            </w:r>
                            <w:r>
                              <w:rPr>
                                <w:rFonts w:ascii="Arial" w:hAnsi="Arial"/>
                                <w:spacing w:val="-15"/>
                              </w:rPr>
                              <w:t xml:space="preserve"> </w:t>
                            </w:r>
                            <w:hyperlink w:anchor="_bookmark26" w:history="1">
                              <w:r>
                                <w:rPr>
                                  <w:rFonts w:ascii="Arial" w:hAnsi="Arial"/>
                                  <w:b/>
                                  <w:spacing w:val="-1"/>
                                  <w:position w:val="10"/>
                                  <w:sz w:val="14"/>
                                </w:rPr>
                                <w:t>26</w:t>
                              </w:r>
                            </w:hyperlink>
                          </w:p>
                        </w:txbxContent>
                      </wps:txbx>
                      <wps:bodyPr rot="0" vert="horz" wrap="square" lIns="0" tIns="0" rIns="0" bIns="0" anchor="t" anchorCtr="0" upright="1">
                        <a:noAutofit/>
                      </wps:bodyPr>
                    </wps:wsp>
                  </a:graphicData>
                </a:graphic>
              </wp:inline>
            </w:drawing>
          </mc:Choice>
          <mc:Fallback>
            <w:pict>
              <v:shape w14:anchorId="0568C46F" id="Text Box 7291" o:spid="_x0000_s1061" type="#_x0000_t202" style="width:153.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" fillcolor="yellow" stroked="f">
                <v:textbox inset="0,0,0,0">
                  <w:txbxContent>
                    <w:p w:rsidR="005D2B81" w:rsidRDefault="005D2B81" w:rsidP="008918FA">
                      <w:pPr>
                        <w:spacing w:line="248" w:lineRule="exact"/>
                        <w:ind w:right="-1"/>
                        <w:rPr>
                          <w:rFonts w:ascii="Arial" w:eastAsia="Arial" w:hAnsi="Arial" w:cs="Arial"/>
                          <w:sz w:val="14"/>
                          <w:szCs w:val="14"/>
                        </w:rPr>
                      </w:pPr>
                      <w:r>
                        <w:rPr>
                          <w:rFonts w:ascii="Arial" w:hAnsi="Arial"/>
                          <w:spacing w:val="-1"/>
                        </w:rPr>
                        <w:t>[Insert amount</w:t>
                      </w:r>
                      <w:r>
                        <w:rPr>
                          <w:rFonts w:ascii="Arial" w:hAnsi="Arial"/>
                        </w:rPr>
                        <w:t xml:space="preserve"> </w:t>
                      </w:r>
                      <w:r>
                        <w:rPr>
                          <w:rFonts w:ascii="Arial" w:hAnsi="Arial"/>
                          <w:spacing w:val="-1"/>
                        </w:rPr>
                        <w:t>in</w:t>
                      </w:r>
                      <w:r>
                        <w:rPr>
                          <w:rFonts w:ascii="Arial" w:hAnsi="Arial"/>
                        </w:rPr>
                        <w:t xml:space="preserve"> </w:t>
                      </w:r>
                      <w:r>
                        <w:rPr>
                          <w:rFonts w:ascii="Arial" w:hAnsi="Arial"/>
                          <w:spacing w:val="-1"/>
                        </w:rPr>
                        <w:t>words]</w:t>
                      </w:r>
                      <w:r>
                        <w:rPr>
                          <w:rFonts w:ascii="Arial" w:hAnsi="Arial"/>
                          <w:spacing w:val="-2"/>
                        </w:rPr>
                        <w:t xml:space="preserve"> </w:t>
                      </w:r>
                      <w:r>
                        <w:rPr>
                          <w:rFonts w:ascii="Arial" w:hAnsi="Arial"/>
                        </w:rPr>
                        <w:t>[£</w:t>
                      </w:r>
                      <w:r>
                        <w:rPr>
                          <w:rFonts w:ascii="Arial" w:hAnsi="Arial"/>
                          <w:spacing w:val="-2"/>
                        </w:rPr>
                        <w:t xml:space="preserve"> </w:t>
                      </w:r>
                      <w:r>
                        <w:rPr>
                          <w:rFonts w:ascii="Arial" w:hAnsi="Arial"/>
                        </w:rPr>
                        <w:t>X]</w:t>
                      </w:r>
                      <w:r>
                        <w:rPr>
                          <w:rFonts w:ascii="Arial" w:hAnsi="Arial"/>
                          <w:spacing w:val="-15"/>
                        </w:rPr>
                        <w:t xml:space="preserve"> </w:t>
                      </w:r>
                      <w:hyperlink w:anchor="_bookmark26" w:history="1">
                        <w:r>
                          <w:rPr>
                            <w:rFonts w:ascii="Arial" w:hAnsi="Arial"/>
                            <w:b/>
                            <w:spacing w:val="-1"/>
                            <w:position w:val="10"/>
                            <w:sz w:val="14"/>
                          </w:rPr>
                          <w:t>26</w:t>
                        </w:r>
                      </w:hyperlink>
                    </w:p>
                  </w:txbxContent>
                </v:textbox>
                <w10:anchorlock/>
              </v:shape>
            </w:pict>
          </mc:Fallback>
        </mc:AlternateContent>
      </w:r>
    </w:p>
    <w:p w:rsidR="008918FA" w:rsidRDefault="008918FA" w:rsidP="008918FA">
      <w:pPr>
        <w:rPr>
          <w:rFonts w:ascii="Arial" w:eastAsia="Arial" w:hAnsi="Arial" w:cs="Arial"/>
          <w:b/>
          <w:bCs/>
          <w:sz w:val="20"/>
          <w:szCs w:val="20"/>
        </w:rPr>
      </w:pPr>
    </w:p>
    <w:p w:rsidR="008918FA" w:rsidRDefault="008918FA" w:rsidP="008918FA">
      <w:pPr>
        <w:spacing w:before="1"/>
        <w:rPr>
          <w:rFonts w:ascii="Arial" w:eastAsia="Arial" w:hAnsi="Arial" w:cs="Arial"/>
          <w:b/>
          <w:bCs/>
          <w:sz w:val="16"/>
          <w:szCs w:val="16"/>
        </w:rPr>
      </w:pPr>
    </w:p>
    <w:p w:rsidR="008918FA" w:rsidRDefault="008918FA" w:rsidP="008918FA">
      <w:pPr>
        <w:numPr>
          <w:ilvl w:val="1"/>
          <w:numId w:val="74"/>
        </w:numPr>
        <w:tabs>
          <w:tab w:val="left" w:pos="1094"/>
        </w:tabs>
        <w:spacing w:before="72"/>
        <w:ind w:left="1093" w:hanging="566"/>
        <w:rPr>
          <w:rFonts w:ascii="Arial" w:eastAsia="Arial" w:hAnsi="Arial" w:cs="Arial"/>
        </w:rPr>
      </w:pPr>
      <w:r>
        <w:rPr>
          <w:rFonts w:ascii="Arial"/>
          <w:b/>
          <w:spacing w:val="-1"/>
        </w:rPr>
        <w:t>Undisputed</w:t>
      </w:r>
      <w:r>
        <w:rPr>
          <w:rFonts w:ascii="Arial"/>
          <w:b/>
        </w:rPr>
        <w:t xml:space="preserve"> </w:t>
      </w:r>
      <w:r>
        <w:rPr>
          <w:rFonts w:ascii="Arial"/>
          <w:b/>
          <w:spacing w:val="-1"/>
        </w:rPr>
        <w:t>Sums</w:t>
      </w:r>
      <w:r>
        <w:rPr>
          <w:rFonts w:ascii="Arial"/>
          <w:b/>
        </w:rPr>
        <w:t xml:space="preserve"> </w:t>
      </w:r>
      <w:r>
        <w:rPr>
          <w:rFonts w:ascii="Arial"/>
          <w:b/>
          <w:spacing w:val="-2"/>
        </w:rPr>
        <w:t>Limit</w:t>
      </w:r>
    </w:p>
    <w:p w:rsidR="008918FA" w:rsidRDefault="008918FA" w:rsidP="008918FA">
      <w:pPr>
        <w:spacing w:before="11"/>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22D4B5BE" wp14:editId="554CFF68">
                <wp:extent cx="5117465" cy="320040"/>
                <wp:effectExtent l="1905" t="3175" r="0" b="635"/>
                <wp:docPr id="7293" name="Group 7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320040"/>
                          <a:chOff x="0" y="0"/>
                          <a:chExt cx="8059" cy="504"/>
                        </a:xfrm>
                      </wpg:grpSpPr>
                      <wpg:grpSp>
                        <wpg:cNvPr id="7294" name="Group 7289"/>
                        <wpg:cNvGrpSpPr>
                          <a:grpSpLocks/>
                        </wpg:cNvGrpSpPr>
                        <wpg:grpSpPr bwMode="auto">
                          <a:xfrm>
                            <a:off x="0" y="0"/>
                            <a:ext cx="8057" cy="252"/>
                            <a:chOff x="0" y="0"/>
                            <a:chExt cx="8057" cy="252"/>
                          </a:xfrm>
                        </wpg:grpSpPr>
                        <wps:wsp>
                          <wps:cNvPr id="7295" name="Freeform 7290"/>
                          <wps:cNvSpPr>
                            <a:spLocks/>
                          </wps:cNvSpPr>
                          <wps:spPr bwMode="auto">
                            <a:xfrm>
                              <a:off x="0" y="0"/>
                              <a:ext cx="8057" cy="252"/>
                            </a:xfrm>
                            <a:custGeom>
                              <a:avLst/>
                              <a:gdLst>
                                <a:gd name="T0" fmla="*/ 0 w 8057"/>
                                <a:gd name="T1" fmla="*/ 252 h 252"/>
                                <a:gd name="T2" fmla="*/ 8057 w 8057"/>
                                <a:gd name="T3" fmla="*/ 252 h 252"/>
                                <a:gd name="T4" fmla="*/ 8057 w 8057"/>
                                <a:gd name="T5" fmla="*/ 0 h 252"/>
                                <a:gd name="T6" fmla="*/ 0 w 8057"/>
                                <a:gd name="T7" fmla="*/ 0 h 252"/>
                                <a:gd name="T8" fmla="*/ 0 w 8057"/>
                                <a:gd name="T9" fmla="*/ 252 h 252"/>
                              </a:gdLst>
                              <a:ahLst/>
                              <a:cxnLst>
                                <a:cxn ang="0">
                                  <a:pos x="T0" y="T1"/>
                                </a:cxn>
                                <a:cxn ang="0">
                                  <a:pos x="T2" y="T3"/>
                                </a:cxn>
                                <a:cxn ang="0">
                                  <a:pos x="T4" y="T5"/>
                                </a:cxn>
                                <a:cxn ang="0">
                                  <a:pos x="T6" y="T7"/>
                                </a:cxn>
                                <a:cxn ang="0">
                                  <a:pos x="T8" y="T9"/>
                                </a:cxn>
                              </a:cxnLst>
                              <a:rect l="0" t="0" r="r" b="b"/>
                              <a:pathLst>
                                <a:path w="8057" h="252">
                                  <a:moveTo>
                                    <a:pt x="0" y="252"/>
                                  </a:moveTo>
                                  <a:lnTo>
                                    <a:pt x="8057" y="252"/>
                                  </a:lnTo>
                                  <a:lnTo>
                                    <a:pt x="8057"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6" name="Group 7286"/>
                        <wpg:cNvGrpSpPr>
                          <a:grpSpLocks/>
                        </wpg:cNvGrpSpPr>
                        <wpg:grpSpPr bwMode="auto">
                          <a:xfrm>
                            <a:off x="0" y="252"/>
                            <a:ext cx="2393" cy="252"/>
                            <a:chOff x="0" y="252"/>
                            <a:chExt cx="2393" cy="252"/>
                          </a:xfrm>
                        </wpg:grpSpPr>
                        <wps:wsp>
                          <wps:cNvPr id="7297" name="Freeform 7288"/>
                          <wps:cNvSpPr>
                            <a:spLocks/>
                          </wps:cNvSpPr>
                          <wps:spPr bwMode="auto">
                            <a:xfrm>
                              <a:off x="0" y="252"/>
                              <a:ext cx="2393" cy="252"/>
                            </a:xfrm>
                            <a:custGeom>
                              <a:avLst/>
                              <a:gdLst>
                                <a:gd name="T0" fmla="*/ 0 w 2393"/>
                                <a:gd name="T1" fmla="+- 0 504 252"/>
                                <a:gd name="T2" fmla="*/ 504 h 252"/>
                                <a:gd name="T3" fmla="*/ 2393 w 2393"/>
                                <a:gd name="T4" fmla="+- 0 504 252"/>
                                <a:gd name="T5" fmla="*/ 504 h 252"/>
                                <a:gd name="T6" fmla="*/ 2393 w 2393"/>
                                <a:gd name="T7" fmla="+- 0 252 252"/>
                                <a:gd name="T8" fmla="*/ 252 h 252"/>
                                <a:gd name="T9" fmla="*/ 0 w 2393"/>
                                <a:gd name="T10" fmla="+- 0 252 252"/>
                                <a:gd name="T11" fmla="*/ 252 h 252"/>
                                <a:gd name="T12" fmla="*/ 0 w 2393"/>
                                <a:gd name="T13" fmla="+- 0 504 252"/>
                                <a:gd name="T14" fmla="*/ 504 h 252"/>
                              </a:gdLst>
                              <a:ahLst/>
                              <a:cxnLst>
                                <a:cxn ang="0">
                                  <a:pos x="T0" y="T2"/>
                                </a:cxn>
                                <a:cxn ang="0">
                                  <a:pos x="T3" y="T5"/>
                                </a:cxn>
                                <a:cxn ang="0">
                                  <a:pos x="T6" y="T8"/>
                                </a:cxn>
                                <a:cxn ang="0">
                                  <a:pos x="T9" y="T11"/>
                                </a:cxn>
                                <a:cxn ang="0">
                                  <a:pos x="T12" y="T14"/>
                                </a:cxn>
                              </a:cxnLst>
                              <a:rect l="0" t="0" r="r" b="b"/>
                              <a:pathLst>
                                <a:path w="2393" h="252">
                                  <a:moveTo>
                                    <a:pt x="0" y="252"/>
                                  </a:moveTo>
                                  <a:lnTo>
                                    <a:pt x="2393" y="252"/>
                                  </a:lnTo>
                                  <a:lnTo>
                                    <a:pt x="2393"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8" name="Text Box 7287"/>
                          <wps:cNvSpPr txBox="1">
                            <a:spLocks noChangeArrowheads="1"/>
                          </wps:cNvSpPr>
                          <wps:spPr bwMode="auto">
                            <a:xfrm>
                              <a:off x="0" y="0"/>
                              <a:ext cx="80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4" w:line="250" w:lineRule="exact"/>
                                  <w:rPr>
                                    <w:rFonts w:ascii="Arial" w:eastAsia="Arial" w:hAnsi="Arial" w:cs="Arial"/>
                                    <w:sz w:val="14"/>
                                    <w:szCs w:val="14"/>
                                  </w:rPr>
                                </w:pPr>
                                <w:r>
                                  <w:rPr>
                                    <w:rFonts w:ascii="Arial" w:hAnsi="Arial"/>
                                    <w:spacing w:val="-1"/>
                                  </w:rPr>
                                  <w:t>[For</w:t>
                                </w:r>
                                <w:r>
                                  <w:rPr>
                                    <w:rFonts w:ascii="Arial" w:hAnsi="Arial"/>
                                    <w:spacing w:val="40"/>
                                  </w:rPr>
                                  <w:t xml:space="preserve"> </w:t>
                                </w:r>
                                <w:r>
                                  <w:rPr>
                                    <w:rFonts w:ascii="Arial" w:hAnsi="Arial"/>
                                  </w:rPr>
                                  <w:t>the</w:t>
                                </w:r>
                                <w:r>
                                  <w:rPr>
                                    <w:rFonts w:ascii="Arial" w:hAnsi="Arial"/>
                                    <w:spacing w:val="39"/>
                                  </w:rPr>
                                  <w:t xml:space="preserve"> </w:t>
                                </w:r>
                                <w:r>
                                  <w:rPr>
                                    <w:rFonts w:ascii="Arial" w:hAnsi="Arial"/>
                                    <w:spacing w:val="-1"/>
                                  </w:rPr>
                                  <w:t>purposes</w:t>
                                </w:r>
                                <w:r>
                                  <w:rPr>
                                    <w:rFonts w:ascii="Arial" w:hAnsi="Arial"/>
                                    <w:spacing w:val="39"/>
                                  </w:rPr>
                                  <w:t xml:space="preserve"> </w:t>
                                </w:r>
                                <w:r>
                                  <w:rPr>
                                    <w:rFonts w:ascii="Arial" w:hAnsi="Arial"/>
                                    <w:spacing w:val="-2"/>
                                  </w:rPr>
                                  <w:t>of</w:t>
                                </w:r>
                                <w:r>
                                  <w:rPr>
                                    <w:rFonts w:ascii="Arial" w:hAnsi="Arial"/>
                                    <w:spacing w:val="42"/>
                                  </w:rPr>
                                  <w:t xml:space="preserve"> </w:t>
                                </w:r>
                                <w:r>
                                  <w:rPr>
                                    <w:rFonts w:ascii="Arial" w:hAnsi="Arial"/>
                                    <w:spacing w:val="-2"/>
                                  </w:rPr>
                                  <w:t>Clause</w:t>
                                </w:r>
                                <w:r>
                                  <w:rPr>
                                    <w:rFonts w:ascii="Arial" w:hAnsi="Arial"/>
                                    <w:spacing w:val="40"/>
                                  </w:rPr>
                                  <w:t xml:space="preserve"> </w:t>
                                </w:r>
                                <w:hyperlink w:anchor="_bookmark244" w:history="1">
                                  <w:r>
                                    <w:rPr>
                                      <w:rFonts w:ascii="Arial" w:hAnsi="Arial"/>
                                      <w:spacing w:val="-1"/>
                                    </w:rPr>
                                    <w:t>42.1.1</w:t>
                                  </w:r>
                                </w:hyperlink>
                                <w:r>
                                  <w:rPr>
                                    <w:rFonts w:ascii="Arial" w:hAnsi="Arial"/>
                                    <w:spacing w:val="39"/>
                                  </w:rPr>
                                  <w:t xml:space="preserve"> </w:t>
                                </w:r>
                                <w:r>
                                  <w:rPr>
                                    <w:rFonts w:ascii="Arial" w:hAnsi="Arial"/>
                                  </w:rPr>
                                  <w:t>the</w:t>
                                </w:r>
                                <w:r>
                                  <w:rPr>
                                    <w:rFonts w:ascii="Arial" w:hAnsi="Arial"/>
                                    <w:spacing w:val="39"/>
                                  </w:rPr>
                                  <w:t xml:space="preserve"> </w:t>
                                </w:r>
                                <w:r>
                                  <w:rPr>
                                    <w:rFonts w:ascii="Arial" w:hAnsi="Arial"/>
                                    <w:spacing w:val="-1"/>
                                  </w:rPr>
                                  <w:t>Undisputed</w:t>
                                </w:r>
                                <w:r>
                                  <w:rPr>
                                    <w:rFonts w:ascii="Arial" w:hAnsi="Arial"/>
                                    <w:spacing w:val="38"/>
                                  </w:rPr>
                                  <w:t xml:space="preserve"> </w:t>
                                </w:r>
                                <w:r>
                                  <w:rPr>
                                    <w:rFonts w:ascii="Arial" w:hAnsi="Arial"/>
                                    <w:spacing w:val="-1"/>
                                  </w:rPr>
                                  <w:t>Sums</w:t>
                                </w:r>
                                <w:r>
                                  <w:rPr>
                                    <w:rFonts w:ascii="Arial" w:hAnsi="Arial"/>
                                    <w:spacing w:val="39"/>
                                  </w:rPr>
                                  <w:t xml:space="preserve"> </w:t>
                                </w:r>
                                <w:r>
                                  <w:rPr>
                                    <w:rFonts w:ascii="Arial" w:hAnsi="Arial"/>
                                    <w:spacing w:val="-1"/>
                                  </w:rPr>
                                  <w:t>Limit</w:t>
                                </w:r>
                                <w:r>
                                  <w:rPr>
                                    <w:rFonts w:ascii="Arial" w:hAnsi="Arial"/>
                                    <w:spacing w:val="40"/>
                                  </w:rPr>
                                  <w:t xml:space="preserve"> </w:t>
                                </w:r>
                                <w:r>
                                  <w:rPr>
                                    <w:rFonts w:ascii="Arial" w:hAnsi="Arial"/>
                                    <w:spacing w:val="-1"/>
                                  </w:rPr>
                                  <w:t>shall</w:t>
                                </w:r>
                                <w:r>
                                  <w:rPr>
                                    <w:rFonts w:ascii="Arial" w:hAnsi="Arial"/>
                                    <w:spacing w:val="38"/>
                                  </w:rPr>
                                  <w:t xml:space="preserve"> </w:t>
                                </w:r>
                                <w:r>
                                  <w:rPr>
                                    <w:rFonts w:ascii="Arial" w:hAnsi="Arial"/>
                                    <w:spacing w:val="-1"/>
                                  </w:rPr>
                                  <w:t>be</w:t>
                                </w:r>
                                <w:r>
                                  <w:rPr>
                                    <w:rFonts w:ascii="Arial" w:hAnsi="Arial"/>
                                    <w:spacing w:val="38"/>
                                  </w:rPr>
                                  <w:t xml:space="preserve"> </w:t>
                                </w:r>
                                <w:r>
                                  <w:rPr>
                                    <w:rFonts w:ascii="Arial" w:hAnsi="Arial"/>
                                    <w:spacing w:val="-1"/>
                                  </w:rPr>
                                  <w:t>[</w:t>
                                </w:r>
                                <w:r>
                                  <w:rPr>
                                    <w:rFonts w:ascii="Arial" w:hAnsi="Arial"/>
                                    <w:i/>
                                    <w:spacing w:val="-1"/>
                                  </w:rPr>
                                  <w:t>Insert</w:t>
                                </w:r>
                                <w:r>
                                  <w:rPr>
                                    <w:rFonts w:ascii="Arial" w:hAnsi="Arial"/>
                                    <w:i/>
                                    <w:spacing w:val="55"/>
                                  </w:rPr>
                                  <w:t xml:space="preserve"> </w:t>
                                </w:r>
                                <w:r>
                                  <w:rPr>
                                    <w:rFonts w:ascii="Arial" w:hAnsi="Arial"/>
                                    <w:i/>
                                    <w:spacing w:val="-1"/>
                                  </w:rPr>
                                  <w:t>amount in</w:t>
                                </w:r>
                                <w:r>
                                  <w:rPr>
                                    <w:rFonts w:ascii="Arial" w:hAnsi="Arial"/>
                                    <w:i/>
                                    <w:spacing w:val="-2"/>
                                  </w:rPr>
                                  <w:t xml:space="preserve"> </w:t>
                                </w:r>
                                <w:r>
                                  <w:rPr>
                                    <w:rFonts w:ascii="Arial" w:hAnsi="Arial"/>
                                    <w:i/>
                                    <w:spacing w:val="-1"/>
                                  </w:rPr>
                                  <w:t>words</w:t>
                                </w:r>
                                <w:r>
                                  <w:rPr>
                                    <w:rFonts w:ascii="Arial" w:hAnsi="Arial"/>
                                    <w:spacing w:val="-1"/>
                                  </w:rPr>
                                  <w:t xml:space="preserve">] </w:t>
                                </w:r>
                                <w:r>
                                  <w:rPr>
                                    <w:rFonts w:ascii="Arial" w:hAnsi="Arial"/>
                                  </w:rPr>
                                  <w:t>[£</w:t>
                                </w:r>
                                <w:r>
                                  <w:rPr>
                                    <w:rFonts w:ascii="Arial" w:hAnsi="Arial"/>
                                    <w:spacing w:val="-3"/>
                                  </w:rPr>
                                  <w:t xml:space="preserve"> </w:t>
                                </w:r>
                                <w:r>
                                  <w:rPr>
                                    <w:rFonts w:ascii="Arial" w:hAnsi="Arial"/>
                                    <w:spacing w:val="-1"/>
                                  </w:rPr>
                                  <w:t>X]</w:t>
                                </w:r>
                                <w:r>
                                  <w:rPr>
                                    <w:rFonts w:ascii="Arial" w:hAnsi="Arial"/>
                                    <w:spacing w:val="-13"/>
                                  </w:rPr>
                                  <w:t xml:space="preserve"> </w:t>
                                </w:r>
                                <w:hyperlink w:anchor="_bookmark27" w:history="1">
                                  <w:r>
                                    <w:rPr>
                                      <w:rFonts w:ascii="Arial" w:hAnsi="Arial"/>
                                      <w:b/>
                                      <w:spacing w:val="-1"/>
                                      <w:position w:val="10"/>
                                      <w:sz w:val="14"/>
                                    </w:rPr>
                                    <w:t>27</w:t>
                                  </w:r>
                                </w:hyperlink>
                              </w:p>
                            </w:txbxContent>
                          </wps:txbx>
                          <wps:bodyPr rot="0" vert="horz" wrap="square" lIns="0" tIns="0" rIns="0" bIns="0" anchor="t" anchorCtr="0" upright="1">
                            <a:noAutofit/>
                          </wps:bodyPr>
                        </wps:wsp>
                      </wpg:grpSp>
                    </wpg:wgp>
                  </a:graphicData>
                </a:graphic>
              </wp:inline>
            </w:drawing>
          </mc:Choice>
          <mc:Fallback>
            <w:pict>
              <v:group w14:anchorId="22D4B5BE" id="Group 7285" o:spid="_x0000_s1062" style="width:402.95pt;height:25.2pt;mso-position-horizontal-relative:char;mso-position-vertical-relative:line" coordsize="805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">
                <v:group id="Group 7289" o:spid="_x0000_s1063" style="position:absolute;width:8057;height:252" coordsize="805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tuJMcAAADdAAAADwAAAGRycy9kb3ducmV2LnhtbESPQWvCQBSE7wX/w/IE&#10;b3UTba1GVxFpxYMIVaH09sg+k2D2bchuk/jvXUHocZiZb5jFqjOlaKh2hWUF8TACQZxaXXCm4Hz6&#10;ep2CcB5ZY2mZFNzIwWrZe1lgom3L39QcfSYChF2CCnLvq0RKl+Zk0A1tRRy8i60N+iDrTOoa2wA3&#10;pRxF0UQaLDgs5FjRJqf0evwzCrYttutx/Nnsr5fN7ff0fvjZx6TUoN+t5yA8df4//GzvtIKP0e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tuJMcAAADd&#10;AAAADwAAAAAAAAAAAAAAAACqAgAAZHJzL2Rvd25yZXYueG1sUEsFBgAAAAAEAAQA+gAAAJ4DAAAA&#10;AA==&#10;">
                  <v:shape id="Freeform 7290" o:spid="_x0000_s1064" style="position:absolute;width:8057;height:252;visibility:visible;mso-wrap-style:square;v-text-anchor:top" coordsize="805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RqccA&#10;AADdAAAADwAAAGRycy9kb3ducmV2LnhtbESPT2sCMRTE70K/Q3gFb5pV6L+tUUqhtSwFt6sevD02&#10;r5ulm5ewibp++6Yg9DjMzG+YxWqwnThRH1rHCmbTDARx7XTLjYLd9m3yCCJEZI2dY1JwoQCr5c1o&#10;gbl2Z/6iUxUbkSAcclRgYvS5lKE2ZDFMnSdO3rfrLcYk+0bqHs8Jbjs5z7J7abHltGDQ06uh+qc6&#10;WgXrw6xb67Io3jefRbkv/cWbTaXU+HZ4eQYRaYj/4Wv7Qyt4mD/dwd+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anHAAAA3QAAAA8AAAAAAAAAAAAAAAAAmAIAAGRy&#10;cy9kb3ducmV2LnhtbFBLBQYAAAAABAAEAPUAAACMAwAAAAA=&#10;" path="m,252r8057,l8057,,,,,252xe" fillcolor="yellow" stroked="f">
                    <v:path arrowok="t" o:connecttype="custom" o:connectlocs="0,252;8057,252;8057,0;0,0;0,252" o:connectangles="0,0,0,0,0"/>
                  </v:shape>
                </v:group>
                <v:group id="Group 7286" o:spid="_x0000_s1065" style="position:absolute;top:252;width:2393;height:252" coordorigin=",252" coordsize="239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VVyMYAAADdAAAADwAAAGRycy9kb3ducmV2LnhtbESPQWvCQBSE74X+h+UV&#10;vOkmSm2NriKi4kGEakG8PbLPJJh9G7JrEv99VxB6HGbmG2a26EwpGqpdYVlBPIhAEKdWF5wp+D1t&#10;+t8gnEfWWFomBQ9ysJi/v80w0bblH2qOPhMBwi5BBbn3VSKlS3My6Aa2Ig7e1dYGfZB1JnWNbYCb&#10;Ug6jaCwNFhwWcqxolVN6O96Ngm2L7XIUr5v97bp6XE6fh/M+JqV6H91yCsJT5//Dr/ZOK/ga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JVXIxgAAAN0A&#10;AAAPAAAAAAAAAAAAAAAAAKoCAABkcnMvZG93bnJldi54bWxQSwUGAAAAAAQABAD6AAAAnQMAAAAA&#10;">
                  <v:shape id="Freeform 7288" o:spid="_x0000_s1066" style="position:absolute;top:252;width:2393;height:252;visibility:visible;mso-wrap-style:square;v-text-anchor:top" coordsize="23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2vMYA&#10;AADdAAAADwAAAGRycy9kb3ducmV2LnhtbESPQWvCQBSE74X+h+UVeil1Uw9Go6uIpSKequbi7TX7&#10;TILZt0t2NfHfu4LQ4zAz3zCzRW8acaXW15YVfA0SEMSF1TWXCvLDz+cYhA/IGhvLpOBGHhbz15cZ&#10;Ztp2vKPrPpQiQthnqKAKwWVS+qIig35gHXH0TrY1GKJsS6lb7CLcNHKYJCNpsOa4UKGjVUXFeX8x&#10;CjZHd7ytpUvTw9+pyb+7j99tflHq/a1fTkEE6sN/+NneaAXpcJLC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02vMYAAADdAAAADwAAAAAAAAAAAAAAAACYAgAAZHJz&#10;L2Rvd25yZXYueG1sUEsFBgAAAAAEAAQA9QAAAIsDAAAAAA==&#10;" path="m,252r2393,l2393,,,,,252xe" fillcolor="yellow" stroked="f">
                    <v:path arrowok="t" o:connecttype="custom" o:connectlocs="0,504;2393,504;2393,252;0,252;0,504" o:connectangles="0,0,0,0,0"/>
                  </v:shape>
                  <v:shape id="Text Box 7287" o:spid="_x0000_s1067" type="#_x0000_t202" style="position:absolute;width:80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s+sQA&#10;AADdAAAADwAAAGRycy9kb3ducmV2LnhtbERPu2rDMBTdA/0HcQvdErke8nCjGFMSKBRKHWfoeGvd&#10;2MLWlWupifv30VDIeDjvbT7ZXlxo9MaxgudFAoK4dtpwo+BUHeZrED4ga+wdk4I/8pDvHmZbzLS7&#10;ckmXY2hEDGGfoYI2hCGT0tctWfQLNxBH7uxGiyHCsZF6xGsMt71Mk2QpLRqODS0O9NpS3R1/rYLi&#10;i8u9+fn4/izPpamqTcLvy06pp8epeAERaAp38b/7TStYpZs4N76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bPrEAAAA3QAAAA8AAAAAAAAAAAAAAAAAmAIAAGRycy9k&#10;b3ducmV2LnhtbFBLBQYAAAAABAAEAPUAAACJAwAAAAA=&#10;" filled="f" stroked="f">
                    <v:textbox inset="0,0,0,0">
                      <w:txbxContent>
                        <w:p w:rsidR="005D2B81" w:rsidRDefault="005D2B81" w:rsidP="008918FA">
                          <w:pPr>
                            <w:spacing w:before="4" w:line="250" w:lineRule="exact"/>
                            <w:rPr>
                              <w:rFonts w:ascii="Arial" w:eastAsia="Arial" w:hAnsi="Arial" w:cs="Arial"/>
                              <w:sz w:val="14"/>
                              <w:szCs w:val="14"/>
                            </w:rPr>
                          </w:pPr>
                          <w:r>
                            <w:rPr>
                              <w:rFonts w:ascii="Arial" w:hAnsi="Arial"/>
                              <w:spacing w:val="-1"/>
                            </w:rPr>
                            <w:t>[For</w:t>
                          </w:r>
                          <w:r>
                            <w:rPr>
                              <w:rFonts w:ascii="Arial" w:hAnsi="Arial"/>
                              <w:spacing w:val="40"/>
                            </w:rPr>
                            <w:t xml:space="preserve"> </w:t>
                          </w:r>
                          <w:r>
                            <w:rPr>
                              <w:rFonts w:ascii="Arial" w:hAnsi="Arial"/>
                            </w:rPr>
                            <w:t>the</w:t>
                          </w:r>
                          <w:r>
                            <w:rPr>
                              <w:rFonts w:ascii="Arial" w:hAnsi="Arial"/>
                              <w:spacing w:val="39"/>
                            </w:rPr>
                            <w:t xml:space="preserve"> </w:t>
                          </w:r>
                          <w:r>
                            <w:rPr>
                              <w:rFonts w:ascii="Arial" w:hAnsi="Arial"/>
                              <w:spacing w:val="-1"/>
                            </w:rPr>
                            <w:t>purposes</w:t>
                          </w:r>
                          <w:r>
                            <w:rPr>
                              <w:rFonts w:ascii="Arial" w:hAnsi="Arial"/>
                              <w:spacing w:val="39"/>
                            </w:rPr>
                            <w:t xml:space="preserve"> </w:t>
                          </w:r>
                          <w:r>
                            <w:rPr>
                              <w:rFonts w:ascii="Arial" w:hAnsi="Arial"/>
                              <w:spacing w:val="-2"/>
                            </w:rPr>
                            <w:t>of</w:t>
                          </w:r>
                          <w:r>
                            <w:rPr>
                              <w:rFonts w:ascii="Arial" w:hAnsi="Arial"/>
                              <w:spacing w:val="42"/>
                            </w:rPr>
                            <w:t xml:space="preserve"> </w:t>
                          </w:r>
                          <w:r>
                            <w:rPr>
                              <w:rFonts w:ascii="Arial" w:hAnsi="Arial"/>
                              <w:spacing w:val="-2"/>
                            </w:rPr>
                            <w:t>Clause</w:t>
                          </w:r>
                          <w:r>
                            <w:rPr>
                              <w:rFonts w:ascii="Arial" w:hAnsi="Arial"/>
                              <w:spacing w:val="40"/>
                            </w:rPr>
                            <w:t xml:space="preserve"> </w:t>
                          </w:r>
                          <w:hyperlink w:anchor="_bookmark244" w:history="1">
                            <w:r>
                              <w:rPr>
                                <w:rFonts w:ascii="Arial" w:hAnsi="Arial"/>
                                <w:spacing w:val="-1"/>
                              </w:rPr>
                              <w:t>42.1.1</w:t>
                            </w:r>
                          </w:hyperlink>
                          <w:r>
                            <w:rPr>
                              <w:rFonts w:ascii="Arial" w:hAnsi="Arial"/>
                              <w:spacing w:val="39"/>
                            </w:rPr>
                            <w:t xml:space="preserve"> </w:t>
                          </w:r>
                          <w:r>
                            <w:rPr>
                              <w:rFonts w:ascii="Arial" w:hAnsi="Arial"/>
                            </w:rPr>
                            <w:t>the</w:t>
                          </w:r>
                          <w:r>
                            <w:rPr>
                              <w:rFonts w:ascii="Arial" w:hAnsi="Arial"/>
                              <w:spacing w:val="39"/>
                            </w:rPr>
                            <w:t xml:space="preserve"> </w:t>
                          </w:r>
                          <w:r>
                            <w:rPr>
                              <w:rFonts w:ascii="Arial" w:hAnsi="Arial"/>
                              <w:spacing w:val="-1"/>
                            </w:rPr>
                            <w:t>Undisputed</w:t>
                          </w:r>
                          <w:r>
                            <w:rPr>
                              <w:rFonts w:ascii="Arial" w:hAnsi="Arial"/>
                              <w:spacing w:val="38"/>
                            </w:rPr>
                            <w:t xml:space="preserve"> </w:t>
                          </w:r>
                          <w:r>
                            <w:rPr>
                              <w:rFonts w:ascii="Arial" w:hAnsi="Arial"/>
                              <w:spacing w:val="-1"/>
                            </w:rPr>
                            <w:t>Sums</w:t>
                          </w:r>
                          <w:r>
                            <w:rPr>
                              <w:rFonts w:ascii="Arial" w:hAnsi="Arial"/>
                              <w:spacing w:val="39"/>
                            </w:rPr>
                            <w:t xml:space="preserve"> </w:t>
                          </w:r>
                          <w:r>
                            <w:rPr>
                              <w:rFonts w:ascii="Arial" w:hAnsi="Arial"/>
                              <w:spacing w:val="-1"/>
                            </w:rPr>
                            <w:t>Limit</w:t>
                          </w:r>
                          <w:r>
                            <w:rPr>
                              <w:rFonts w:ascii="Arial" w:hAnsi="Arial"/>
                              <w:spacing w:val="40"/>
                            </w:rPr>
                            <w:t xml:space="preserve"> </w:t>
                          </w:r>
                          <w:r>
                            <w:rPr>
                              <w:rFonts w:ascii="Arial" w:hAnsi="Arial"/>
                              <w:spacing w:val="-1"/>
                            </w:rPr>
                            <w:t>shall</w:t>
                          </w:r>
                          <w:r>
                            <w:rPr>
                              <w:rFonts w:ascii="Arial" w:hAnsi="Arial"/>
                              <w:spacing w:val="38"/>
                            </w:rPr>
                            <w:t xml:space="preserve"> </w:t>
                          </w:r>
                          <w:r>
                            <w:rPr>
                              <w:rFonts w:ascii="Arial" w:hAnsi="Arial"/>
                              <w:spacing w:val="-1"/>
                            </w:rPr>
                            <w:t>be</w:t>
                          </w:r>
                          <w:r>
                            <w:rPr>
                              <w:rFonts w:ascii="Arial" w:hAnsi="Arial"/>
                              <w:spacing w:val="38"/>
                            </w:rPr>
                            <w:t xml:space="preserve"> </w:t>
                          </w:r>
                          <w:r>
                            <w:rPr>
                              <w:rFonts w:ascii="Arial" w:hAnsi="Arial"/>
                              <w:spacing w:val="-1"/>
                            </w:rPr>
                            <w:t>[</w:t>
                          </w:r>
                          <w:r>
                            <w:rPr>
                              <w:rFonts w:ascii="Arial" w:hAnsi="Arial"/>
                              <w:i/>
                              <w:spacing w:val="-1"/>
                            </w:rPr>
                            <w:t>Insert</w:t>
                          </w:r>
                          <w:r>
                            <w:rPr>
                              <w:rFonts w:ascii="Arial" w:hAnsi="Arial"/>
                              <w:i/>
                              <w:spacing w:val="55"/>
                            </w:rPr>
                            <w:t xml:space="preserve"> </w:t>
                          </w:r>
                          <w:r>
                            <w:rPr>
                              <w:rFonts w:ascii="Arial" w:hAnsi="Arial"/>
                              <w:i/>
                              <w:spacing w:val="-1"/>
                            </w:rPr>
                            <w:t>amount in</w:t>
                          </w:r>
                          <w:r>
                            <w:rPr>
                              <w:rFonts w:ascii="Arial" w:hAnsi="Arial"/>
                              <w:i/>
                              <w:spacing w:val="-2"/>
                            </w:rPr>
                            <w:t xml:space="preserve"> </w:t>
                          </w:r>
                          <w:r>
                            <w:rPr>
                              <w:rFonts w:ascii="Arial" w:hAnsi="Arial"/>
                              <w:i/>
                              <w:spacing w:val="-1"/>
                            </w:rPr>
                            <w:t>words</w:t>
                          </w:r>
                          <w:r>
                            <w:rPr>
                              <w:rFonts w:ascii="Arial" w:hAnsi="Arial"/>
                              <w:spacing w:val="-1"/>
                            </w:rPr>
                            <w:t xml:space="preserve">] </w:t>
                          </w:r>
                          <w:r>
                            <w:rPr>
                              <w:rFonts w:ascii="Arial" w:hAnsi="Arial"/>
                            </w:rPr>
                            <w:t>[£</w:t>
                          </w:r>
                          <w:r>
                            <w:rPr>
                              <w:rFonts w:ascii="Arial" w:hAnsi="Arial"/>
                              <w:spacing w:val="-3"/>
                            </w:rPr>
                            <w:t xml:space="preserve"> </w:t>
                          </w:r>
                          <w:r>
                            <w:rPr>
                              <w:rFonts w:ascii="Arial" w:hAnsi="Arial"/>
                              <w:spacing w:val="-1"/>
                            </w:rPr>
                            <w:t>X]</w:t>
                          </w:r>
                          <w:r>
                            <w:rPr>
                              <w:rFonts w:ascii="Arial" w:hAnsi="Arial"/>
                              <w:spacing w:val="-13"/>
                            </w:rPr>
                            <w:t xml:space="preserve"> </w:t>
                          </w:r>
                          <w:hyperlink w:anchor="_bookmark27" w:history="1">
                            <w:r>
                              <w:rPr>
                                <w:rFonts w:ascii="Arial" w:hAnsi="Arial"/>
                                <w:b/>
                                <w:spacing w:val="-1"/>
                                <w:position w:val="10"/>
                                <w:sz w:val="14"/>
                              </w:rPr>
                              <w:t>27</w:t>
                            </w:r>
                          </w:hyperlink>
                        </w:p>
                      </w:txbxContent>
                    </v:textbox>
                  </v:shape>
                </v:group>
                <w10:anchorlock/>
              </v:group>
            </w:pict>
          </mc:Fallback>
        </mc:AlternateContent>
      </w:r>
    </w:p>
    <w:p w:rsidR="008918FA" w:rsidRDefault="008918FA" w:rsidP="008918FA">
      <w:pPr>
        <w:spacing w:before="7"/>
        <w:rPr>
          <w:rFonts w:ascii="Arial" w:eastAsia="Arial" w:hAnsi="Arial" w:cs="Arial"/>
          <w:b/>
          <w:bCs/>
          <w:sz w:val="24"/>
          <w:szCs w:val="24"/>
        </w:rPr>
      </w:pPr>
    </w:p>
    <w:p w:rsidR="008918FA" w:rsidRDefault="008918FA" w:rsidP="008918FA">
      <w:pPr>
        <w:spacing w:before="72"/>
        <w:ind w:left="100"/>
        <w:rPr>
          <w:rFonts w:ascii="Arial" w:eastAsia="Arial" w:hAnsi="Arial" w:cs="Arial"/>
        </w:rPr>
      </w:pPr>
      <w:r>
        <w:rPr>
          <w:rFonts w:ascii="Arial"/>
          <w:b/>
          <w:color w:val="C00000"/>
          <w:spacing w:val="-1"/>
        </w:rPr>
        <w:t>SECTION</w:t>
      </w:r>
      <w:r>
        <w:rPr>
          <w:rFonts w:ascii="Arial"/>
          <w:b/>
          <w:color w:val="C00000"/>
        </w:rPr>
        <w:t xml:space="preserve"> C</w:t>
      </w:r>
    </w:p>
    <w:p w:rsidR="008918FA" w:rsidRDefault="008918FA" w:rsidP="008918FA">
      <w:pPr>
        <w:spacing w:before="1"/>
        <w:rPr>
          <w:rFonts w:ascii="Arial" w:eastAsia="Arial" w:hAnsi="Arial" w:cs="Arial"/>
          <w:b/>
          <w:bCs/>
        </w:rPr>
      </w:pPr>
    </w:p>
    <w:p w:rsidR="008918FA" w:rsidRDefault="008918FA" w:rsidP="008918FA">
      <w:pPr>
        <w:numPr>
          <w:ilvl w:val="0"/>
          <w:numId w:val="74"/>
        </w:numPr>
        <w:tabs>
          <w:tab w:val="left" w:pos="528"/>
        </w:tabs>
        <w:spacing w:before="82"/>
        <w:ind w:left="527" w:hanging="427"/>
        <w:jc w:val="left"/>
        <w:rPr>
          <w:rFonts w:ascii="Arial" w:eastAsia="Arial" w:hAnsi="Arial" w:cs="Arial"/>
          <w:sz w:val="14"/>
          <w:szCs w:val="14"/>
        </w:rPr>
      </w:pPr>
      <w:bookmarkStart w:id="17" w:name="_bookmark25"/>
      <w:bookmarkEnd w:id="17"/>
      <w:r>
        <w:rPr>
          <w:rFonts w:ascii="Arial"/>
          <w:b/>
          <w:spacing w:val="-1"/>
        </w:rPr>
        <w:t>CUSTOMER</w:t>
      </w:r>
      <w:r>
        <w:rPr>
          <w:rFonts w:ascii="Arial"/>
          <w:b/>
          <w:spacing w:val="-4"/>
        </w:rPr>
        <w:t xml:space="preserve"> </w:t>
      </w:r>
      <w:r>
        <w:rPr>
          <w:rFonts w:ascii="Arial"/>
          <w:b/>
          <w:spacing w:val="-1"/>
        </w:rPr>
        <w:t>OTHER</w:t>
      </w:r>
      <w:r>
        <w:rPr>
          <w:rFonts w:ascii="Arial"/>
          <w:b/>
        </w:rPr>
        <w:t xml:space="preserve"> </w:t>
      </w:r>
      <w:r>
        <w:rPr>
          <w:rFonts w:ascii="Arial"/>
          <w:b/>
          <w:spacing w:val="-1"/>
        </w:rPr>
        <w:t>CONTRACTUAL REQUIREMENTS</w:t>
      </w:r>
      <w:r>
        <w:rPr>
          <w:rFonts w:ascii="Arial"/>
          <w:b/>
          <w:spacing w:val="12"/>
        </w:rPr>
        <w:t xml:space="preserve"> </w:t>
      </w:r>
      <w:hyperlink w:anchor="_bookmark28" w:history="1">
        <w:r>
          <w:rPr>
            <w:rFonts w:ascii="Arial"/>
            <w:b/>
            <w:spacing w:val="-1"/>
            <w:position w:val="10"/>
            <w:sz w:val="14"/>
          </w:rPr>
          <w:t>28</w:t>
        </w:r>
      </w:hyperlink>
    </w:p>
    <w:p w:rsidR="008918FA" w:rsidRDefault="008918FA" w:rsidP="008918FA">
      <w:pPr>
        <w:spacing w:before="9"/>
        <w:rPr>
          <w:rFonts w:ascii="Arial" w:eastAsia="Arial" w:hAnsi="Arial" w:cs="Arial"/>
          <w:b/>
          <w:bCs/>
          <w:sz w:val="20"/>
          <w:szCs w:val="20"/>
        </w:rPr>
      </w:pPr>
    </w:p>
    <w:p w:rsidR="008918FA" w:rsidRDefault="008918FA" w:rsidP="008918FA">
      <w:pPr>
        <w:numPr>
          <w:ilvl w:val="1"/>
          <w:numId w:val="74"/>
        </w:numPr>
        <w:tabs>
          <w:tab w:val="left" w:pos="1094"/>
        </w:tabs>
        <w:ind w:left="1093" w:hanging="566"/>
        <w:rPr>
          <w:rFonts w:ascii="Arial" w:eastAsia="Arial" w:hAnsi="Arial" w:cs="Arial"/>
        </w:rPr>
      </w:pPr>
      <w:r>
        <w:rPr>
          <w:rFonts w:ascii="Arial"/>
          <w:b/>
          <w:spacing w:val="-1"/>
        </w:rPr>
        <w:t>Call</w:t>
      </w:r>
      <w:r>
        <w:rPr>
          <w:rFonts w:ascii="Arial"/>
          <w:b/>
        </w:rPr>
        <w:t xml:space="preserve"> </w:t>
      </w:r>
      <w:r>
        <w:rPr>
          <w:rFonts w:ascii="Arial"/>
          <w:b/>
          <w:spacing w:val="-1"/>
        </w:rPr>
        <w:t>Off Guarantee</w:t>
      </w:r>
    </w:p>
    <w:p w:rsidR="008918FA" w:rsidRDefault="008918FA" w:rsidP="008918FA">
      <w:pPr>
        <w:spacing w:before="11"/>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05EF1A44" wp14:editId="40CF623E">
                <wp:extent cx="3901440" cy="160020"/>
                <wp:effectExtent l="1905" t="0" r="1905" b="1905"/>
                <wp:docPr id="7223" name="Text Box 7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1"/>
                              <w:rPr>
                                <w:rFonts w:ascii="Arial" w:eastAsia="Arial" w:hAnsi="Arial" w:cs="Arial"/>
                                <w:sz w:val="14"/>
                                <w:szCs w:val="14"/>
                              </w:rPr>
                            </w:pPr>
                            <w:r>
                              <w:rPr>
                                <w:rFonts w:ascii="Arial"/>
                                <w:spacing w:val="-1"/>
                              </w:rPr>
                              <w:t>[This</w:t>
                            </w:r>
                            <w:r>
                              <w:rPr>
                                <w:rFonts w:ascii="Arial"/>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Contract</w:t>
                            </w:r>
                            <w:r>
                              <w:rPr>
                                <w:rFonts w:ascii="Arial"/>
                              </w:rPr>
                              <w:t xml:space="preserve"> </w:t>
                            </w:r>
                            <w:r>
                              <w:rPr>
                                <w:rFonts w:ascii="Arial"/>
                                <w:spacing w:val="-2"/>
                              </w:rPr>
                              <w:t>will</w:t>
                            </w:r>
                            <w:r>
                              <w:rPr>
                                <w:rFonts w:ascii="Arial"/>
                              </w:rPr>
                              <w:t xml:space="preserve"> </w:t>
                            </w:r>
                            <w:r>
                              <w:rPr>
                                <w:rFonts w:ascii="Arial"/>
                                <w:spacing w:val="-1"/>
                              </w:rPr>
                              <w:t>be</w:t>
                            </w:r>
                            <w:r>
                              <w:rPr>
                                <w:rFonts w:ascii="Arial"/>
                              </w:rPr>
                              <w:t xml:space="preserve"> </w:t>
                            </w:r>
                            <w:r>
                              <w:rPr>
                                <w:rFonts w:ascii="Arial"/>
                                <w:spacing w:val="-1"/>
                              </w:rPr>
                              <w:t>subject</w:t>
                            </w:r>
                            <w:r>
                              <w:rPr>
                                <w:rFonts w:ascii="Arial"/>
                              </w:rPr>
                              <w:t xml:space="preserve"> to</w:t>
                            </w:r>
                            <w:r>
                              <w:rPr>
                                <w:rFonts w:ascii="Arial"/>
                                <w:spacing w:val="-3"/>
                              </w:rPr>
                              <w:t xml:space="preserve"> </w:t>
                            </w:r>
                            <w:r>
                              <w:rPr>
                                <w:rFonts w:ascii="Arial"/>
                              </w:rPr>
                              <w:t xml:space="preserve">a </w:t>
                            </w:r>
                            <w:r>
                              <w:rPr>
                                <w:rFonts w:ascii="Arial"/>
                                <w:spacing w:val="-2"/>
                              </w:rPr>
                              <w:t>Call</w:t>
                            </w:r>
                            <w:r>
                              <w:rPr>
                                <w:rFonts w:ascii="Arial"/>
                              </w:rPr>
                              <w:t xml:space="preserve"> </w:t>
                            </w:r>
                            <w:r>
                              <w:rPr>
                                <w:rFonts w:ascii="Arial"/>
                                <w:spacing w:val="-1"/>
                              </w:rPr>
                              <w:t>Off</w:t>
                            </w:r>
                            <w:r>
                              <w:rPr>
                                <w:rFonts w:ascii="Arial"/>
                                <w:spacing w:val="-3"/>
                              </w:rPr>
                              <w:t xml:space="preserve"> </w:t>
                            </w:r>
                            <w:r>
                              <w:rPr>
                                <w:rFonts w:ascii="Arial"/>
                              </w:rPr>
                              <w:t>Guarantee]</w:t>
                            </w:r>
                            <w:hyperlink w:anchor="_bookmark29" w:history="1">
                              <w:r>
                                <w:rPr>
                                  <w:rFonts w:ascii="Arial"/>
                                  <w:position w:val="10"/>
                                  <w:sz w:val="14"/>
                                </w:rPr>
                                <w:t>29</w:t>
                              </w:r>
                            </w:hyperlink>
                          </w:p>
                        </w:txbxContent>
                      </wps:txbx>
                      <wps:bodyPr rot="0" vert="horz" wrap="square" lIns="0" tIns="0" rIns="0" bIns="0" anchor="t" anchorCtr="0" upright="1">
                        <a:noAutofit/>
                      </wps:bodyPr>
                    </wps:wsp>
                  </a:graphicData>
                </a:graphic>
              </wp:inline>
            </w:drawing>
          </mc:Choice>
          <mc:Fallback>
            <w:pict>
              <v:shape w14:anchorId="05EF1A44" id="Text Box 7215" o:spid="_x0000_s1068" type="#_x0000_t202" style="width:307.2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" fillcolor="yellow" stroked="f">
                <v:textbox inset="0,0,0,0">
                  <w:txbxContent>
                    <w:p w:rsidR="005D2B81" w:rsidRDefault="005D2B81" w:rsidP="008918FA">
                      <w:pPr>
                        <w:spacing w:line="251" w:lineRule="exact"/>
                        <w:ind w:right="-1"/>
                        <w:rPr>
                          <w:rFonts w:ascii="Arial" w:eastAsia="Arial" w:hAnsi="Arial" w:cs="Arial"/>
                          <w:sz w:val="14"/>
                          <w:szCs w:val="14"/>
                        </w:rPr>
                      </w:pPr>
                      <w:r>
                        <w:rPr>
                          <w:rFonts w:ascii="Arial"/>
                          <w:spacing w:val="-1"/>
                        </w:rPr>
                        <w:t>[This</w:t>
                      </w:r>
                      <w:r>
                        <w:rPr>
                          <w:rFonts w:ascii="Arial"/>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Contract</w:t>
                      </w:r>
                      <w:r>
                        <w:rPr>
                          <w:rFonts w:ascii="Arial"/>
                        </w:rPr>
                        <w:t xml:space="preserve"> </w:t>
                      </w:r>
                      <w:r>
                        <w:rPr>
                          <w:rFonts w:ascii="Arial"/>
                          <w:spacing w:val="-2"/>
                        </w:rPr>
                        <w:t>will</w:t>
                      </w:r>
                      <w:r>
                        <w:rPr>
                          <w:rFonts w:ascii="Arial"/>
                        </w:rPr>
                        <w:t xml:space="preserve"> </w:t>
                      </w:r>
                      <w:r>
                        <w:rPr>
                          <w:rFonts w:ascii="Arial"/>
                          <w:spacing w:val="-1"/>
                        </w:rPr>
                        <w:t>be</w:t>
                      </w:r>
                      <w:r>
                        <w:rPr>
                          <w:rFonts w:ascii="Arial"/>
                        </w:rPr>
                        <w:t xml:space="preserve"> </w:t>
                      </w:r>
                      <w:r>
                        <w:rPr>
                          <w:rFonts w:ascii="Arial"/>
                          <w:spacing w:val="-1"/>
                        </w:rPr>
                        <w:t>subject</w:t>
                      </w:r>
                      <w:r>
                        <w:rPr>
                          <w:rFonts w:ascii="Arial"/>
                        </w:rPr>
                        <w:t xml:space="preserve"> to</w:t>
                      </w:r>
                      <w:r>
                        <w:rPr>
                          <w:rFonts w:ascii="Arial"/>
                          <w:spacing w:val="-3"/>
                        </w:rPr>
                        <w:t xml:space="preserve"> </w:t>
                      </w:r>
                      <w:r>
                        <w:rPr>
                          <w:rFonts w:ascii="Arial"/>
                        </w:rPr>
                        <w:t xml:space="preserve">a </w:t>
                      </w:r>
                      <w:r>
                        <w:rPr>
                          <w:rFonts w:ascii="Arial"/>
                          <w:spacing w:val="-2"/>
                        </w:rPr>
                        <w:t>Call</w:t>
                      </w:r>
                      <w:r>
                        <w:rPr>
                          <w:rFonts w:ascii="Arial"/>
                        </w:rPr>
                        <w:t xml:space="preserve"> </w:t>
                      </w:r>
                      <w:r>
                        <w:rPr>
                          <w:rFonts w:ascii="Arial"/>
                          <w:spacing w:val="-1"/>
                        </w:rPr>
                        <w:t>Off</w:t>
                      </w:r>
                      <w:r>
                        <w:rPr>
                          <w:rFonts w:ascii="Arial"/>
                          <w:spacing w:val="-3"/>
                        </w:rPr>
                        <w:t xml:space="preserve"> </w:t>
                      </w:r>
                      <w:r>
                        <w:rPr>
                          <w:rFonts w:ascii="Arial"/>
                        </w:rPr>
                        <w:t>Guarantee]</w:t>
                      </w:r>
                      <w:hyperlink w:anchor="_bookmark29" w:history="1">
                        <w:r>
                          <w:rPr>
                            <w:rFonts w:ascii="Arial"/>
                            <w:position w:val="10"/>
                            <w:sz w:val="14"/>
                          </w:rPr>
                          <w:t>29</w:t>
                        </w:r>
                      </w:hyperlink>
                    </w:p>
                  </w:txbxContent>
                </v:textbox>
                <w10:anchorlock/>
              </v:shape>
            </w:pict>
          </mc:Fallback>
        </mc:AlternateContent>
      </w:r>
    </w:p>
    <w:p w:rsidR="008918FA" w:rsidRDefault="008918FA" w:rsidP="008918FA">
      <w:pPr>
        <w:spacing w:before="5"/>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6EF8BF8F" wp14:editId="57D9C563">
                <wp:extent cx="2278380" cy="160020"/>
                <wp:effectExtent l="1905" t="0" r="0" b="1905"/>
                <wp:docPr id="7222" name="Text Box 7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1"/>
                              <w:rPr>
                                <w:rFonts w:ascii="Arial" w:eastAsia="Arial" w:hAnsi="Arial" w:cs="Arial"/>
                                <w:sz w:val="14"/>
                                <w:szCs w:val="14"/>
                              </w:rPr>
                            </w:pPr>
                            <w:r>
                              <w:rPr>
                                <w:rFonts w:ascii="Arial"/>
                                <w:spacing w:val="-1"/>
                              </w:rPr>
                              <w:t>[insert name</w:t>
                            </w:r>
                            <w:r>
                              <w:rPr>
                                <w:rFonts w:ascii="Arial"/>
                              </w:rPr>
                              <w:t xml:space="preserve"> </w:t>
                            </w:r>
                            <w:r>
                              <w:rPr>
                                <w:rFonts w:ascii="Arial"/>
                                <w:spacing w:val="-2"/>
                              </w:rPr>
                              <w:t>of</w:t>
                            </w:r>
                            <w:r>
                              <w:rPr>
                                <w:rFonts w:ascii="Arial"/>
                                <w:spacing w:val="2"/>
                              </w:rPr>
                              <w:t xml:space="preserve"> </w:t>
                            </w:r>
                            <w:r>
                              <w:rPr>
                                <w:rFonts w:ascii="Arial"/>
                                <w:spacing w:val="-2"/>
                              </w:rPr>
                              <w:t>Call</w:t>
                            </w:r>
                            <w:r>
                              <w:rPr>
                                <w:rFonts w:ascii="Arial"/>
                              </w:rPr>
                              <w:t xml:space="preserve"> </w:t>
                            </w:r>
                            <w:r>
                              <w:rPr>
                                <w:rFonts w:ascii="Arial"/>
                                <w:spacing w:val="-2"/>
                              </w:rPr>
                              <w:t>Off</w:t>
                            </w:r>
                            <w:r>
                              <w:rPr>
                                <w:rFonts w:ascii="Arial"/>
                                <w:spacing w:val="-1"/>
                              </w:rPr>
                              <w:t xml:space="preserve"> Guarantor]</w:t>
                            </w:r>
                            <w:r>
                              <w:rPr>
                                <w:rFonts w:ascii="Arial"/>
                                <w:spacing w:val="9"/>
                              </w:rPr>
                              <w:t xml:space="preserve"> </w:t>
                            </w:r>
                            <w:hyperlink w:anchor="_bookmark30" w:history="1">
                              <w:r>
                                <w:rPr>
                                  <w:rFonts w:ascii="Arial"/>
                                  <w:spacing w:val="-1"/>
                                  <w:position w:val="10"/>
                                  <w:sz w:val="14"/>
                                </w:rPr>
                                <w:t>30</w:t>
                              </w:r>
                            </w:hyperlink>
                          </w:p>
                        </w:txbxContent>
                      </wps:txbx>
                      <wps:bodyPr rot="0" vert="horz" wrap="square" lIns="0" tIns="0" rIns="0" bIns="0" anchor="t" anchorCtr="0" upright="1">
                        <a:noAutofit/>
                      </wps:bodyPr>
                    </wps:wsp>
                  </a:graphicData>
                </a:graphic>
              </wp:inline>
            </w:drawing>
          </mc:Choice>
          <mc:Fallback>
            <w:pict>
              <v:shape w14:anchorId="6EF8BF8F" id="Text Box 7214" o:spid="_x0000_s1069" type="#_x0000_t202" style="width:179.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" fillcolor="yellow" stroked="f">
                <v:textbox inset="0,0,0,0">
                  <w:txbxContent>
                    <w:p w:rsidR="005D2B81" w:rsidRDefault="005D2B81" w:rsidP="008918FA">
                      <w:pPr>
                        <w:spacing w:line="251" w:lineRule="exact"/>
                        <w:ind w:right="-1"/>
                        <w:rPr>
                          <w:rFonts w:ascii="Arial" w:eastAsia="Arial" w:hAnsi="Arial" w:cs="Arial"/>
                          <w:sz w:val="14"/>
                          <w:szCs w:val="14"/>
                        </w:rPr>
                      </w:pPr>
                      <w:r>
                        <w:rPr>
                          <w:rFonts w:ascii="Arial"/>
                          <w:spacing w:val="-1"/>
                        </w:rPr>
                        <w:t>[insert name</w:t>
                      </w:r>
                      <w:r>
                        <w:rPr>
                          <w:rFonts w:ascii="Arial"/>
                        </w:rPr>
                        <w:t xml:space="preserve"> </w:t>
                      </w:r>
                      <w:r>
                        <w:rPr>
                          <w:rFonts w:ascii="Arial"/>
                          <w:spacing w:val="-2"/>
                        </w:rPr>
                        <w:t>of</w:t>
                      </w:r>
                      <w:r>
                        <w:rPr>
                          <w:rFonts w:ascii="Arial"/>
                          <w:spacing w:val="2"/>
                        </w:rPr>
                        <w:t xml:space="preserve"> </w:t>
                      </w:r>
                      <w:r>
                        <w:rPr>
                          <w:rFonts w:ascii="Arial"/>
                          <w:spacing w:val="-2"/>
                        </w:rPr>
                        <w:t>Call</w:t>
                      </w:r>
                      <w:r>
                        <w:rPr>
                          <w:rFonts w:ascii="Arial"/>
                        </w:rPr>
                        <w:t xml:space="preserve"> </w:t>
                      </w:r>
                      <w:r>
                        <w:rPr>
                          <w:rFonts w:ascii="Arial"/>
                          <w:spacing w:val="-2"/>
                        </w:rPr>
                        <w:t>Off</w:t>
                      </w:r>
                      <w:r>
                        <w:rPr>
                          <w:rFonts w:ascii="Arial"/>
                          <w:spacing w:val="-1"/>
                        </w:rPr>
                        <w:t xml:space="preserve"> Guarantor]</w:t>
                      </w:r>
                      <w:r>
                        <w:rPr>
                          <w:rFonts w:ascii="Arial"/>
                          <w:spacing w:val="9"/>
                        </w:rPr>
                        <w:t xml:space="preserve"> </w:t>
                      </w:r>
                      <w:hyperlink w:anchor="_bookmark30" w:history="1">
                        <w:r>
                          <w:rPr>
                            <w:rFonts w:ascii="Arial"/>
                            <w:spacing w:val="-1"/>
                            <w:position w:val="10"/>
                            <w:sz w:val="14"/>
                          </w:rPr>
                          <w:t>30</w:t>
                        </w:r>
                      </w:hyperlink>
                    </w:p>
                  </w:txbxContent>
                </v:textbox>
                <w10:anchorlock/>
              </v:shape>
            </w:pict>
          </mc:Fallback>
        </mc:AlternateContent>
      </w:r>
    </w:p>
    <w:p w:rsidR="008918FA" w:rsidRDefault="008918FA" w:rsidP="008918FA">
      <w:pPr>
        <w:numPr>
          <w:ilvl w:val="1"/>
          <w:numId w:val="74"/>
        </w:numPr>
        <w:tabs>
          <w:tab w:val="left" w:pos="1094"/>
        </w:tabs>
        <w:spacing w:before="115"/>
        <w:ind w:left="1093" w:hanging="566"/>
        <w:rPr>
          <w:rFonts w:ascii="Arial" w:eastAsia="Arial" w:hAnsi="Arial" w:cs="Arial"/>
        </w:rPr>
      </w:pPr>
      <w:r>
        <w:rPr>
          <w:rFonts w:ascii="Arial"/>
          <w:b/>
        </w:rPr>
        <w:t>Key</w:t>
      </w:r>
      <w:r>
        <w:rPr>
          <w:rFonts w:ascii="Arial"/>
          <w:b/>
          <w:spacing w:val="-4"/>
        </w:rPr>
        <w:t xml:space="preserve"> </w:t>
      </w:r>
      <w:r>
        <w:rPr>
          <w:rFonts w:ascii="Arial"/>
          <w:b/>
          <w:spacing w:val="-1"/>
        </w:rPr>
        <w:t>Personnel</w:t>
      </w:r>
    </w:p>
    <w:p w:rsidR="008918FA" w:rsidRDefault="008918FA" w:rsidP="008918FA">
      <w:pPr>
        <w:pStyle w:val="BodyText"/>
        <w:spacing w:before="130" w:line="250" w:lineRule="exact"/>
        <w:ind w:left="1093" w:right="118" w:firstLine="0"/>
        <w:rPr>
          <w:rFonts w:cs="Arial"/>
          <w:sz w:val="14"/>
          <w:szCs w:val="14"/>
        </w:rPr>
      </w:pPr>
      <w:r w:rsidRPr="00B07633">
        <w:rPr>
          <w:highlight w:val="yellow"/>
        </w:rPr>
        <w:t>[In</w:t>
      </w:r>
      <w:r w:rsidRPr="00B07633">
        <w:rPr>
          <w:spacing w:val="10"/>
          <w:highlight w:val="yellow"/>
        </w:rPr>
        <w:t xml:space="preserve"> </w:t>
      </w:r>
      <w:r w:rsidRPr="00B07633">
        <w:rPr>
          <w:spacing w:val="-1"/>
          <w:highlight w:val="yellow"/>
        </w:rPr>
        <w:t>Part</w:t>
      </w:r>
      <w:r w:rsidRPr="00B07633">
        <w:rPr>
          <w:spacing w:val="11"/>
          <w:highlight w:val="yellow"/>
        </w:rPr>
        <w:t xml:space="preserve"> </w:t>
      </w:r>
      <w:r w:rsidRPr="00B07633">
        <w:rPr>
          <w:highlight w:val="yellow"/>
        </w:rPr>
        <w:t>C</w:t>
      </w:r>
      <w:r w:rsidRPr="00B07633">
        <w:rPr>
          <w:spacing w:val="9"/>
          <w:highlight w:val="yellow"/>
        </w:rPr>
        <w:t xml:space="preserve"> </w:t>
      </w:r>
      <w:r w:rsidRPr="00B07633">
        <w:rPr>
          <w:spacing w:val="-2"/>
          <w:highlight w:val="yellow"/>
        </w:rPr>
        <w:t>of</w:t>
      </w:r>
      <w:r w:rsidRPr="00B07633">
        <w:rPr>
          <w:spacing w:val="14"/>
          <w:highlight w:val="yellow"/>
        </w:rPr>
        <w:t xml:space="preserve"> </w:t>
      </w:r>
      <w:r w:rsidRPr="00B07633">
        <w:rPr>
          <w:spacing w:val="-2"/>
          <w:highlight w:val="yellow"/>
        </w:rPr>
        <w:t>Call</w:t>
      </w:r>
      <w:r w:rsidRPr="00B07633">
        <w:rPr>
          <w:spacing w:val="9"/>
          <w:highlight w:val="yellow"/>
        </w:rPr>
        <w:t xml:space="preserve"> </w:t>
      </w:r>
      <w:r w:rsidRPr="00B07633">
        <w:rPr>
          <w:spacing w:val="-1"/>
          <w:highlight w:val="yellow"/>
        </w:rPr>
        <w:t>Off</w:t>
      </w:r>
      <w:r w:rsidRPr="00B07633">
        <w:rPr>
          <w:spacing w:val="11"/>
          <w:highlight w:val="yellow"/>
        </w:rPr>
        <w:t xml:space="preserve"> </w:t>
      </w:r>
      <w:r w:rsidRPr="00B07633">
        <w:rPr>
          <w:spacing w:val="-2"/>
          <w:highlight w:val="yellow"/>
        </w:rPr>
        <w:t>Schedule</w:t>
      </w:r>
      <w:r w:rsidRPr="00B07633">
        <w:rPr>
          <w:spacing w:val="10"/>
          <w:highlight w:val="yellow"/>
        </w:rPr>
        <w:t xml:space="preserve"> </w:t>
      </w:r>
      <w:r w:rsidRPr="00B07633">
        <w:rPr>
          <w:highlight w:val="yellow"/>
        </w:rPr>
        <w:t>4</w:t>
      </w:r>
      <w:r w:rsidRPr="00B07633">
        <w:rPr>
          <w:spacing w:val="10"/>
          <w:highlight w:val="yellow"/>
        </w:rPr>
        <w:t xml:space="preserve"> </w:t>
      </w:r>
      <w:r w:rsidRPr="00B07633">
        <w:rPr>
          <w:spacing w:val="-1"/>
          <w:highlight w:val="yellow"/>
        </w:rPr>
        <w:t>(Implementation</w:t>
      </w:r>
      <w:r w:rsidRPr="00B07633">
        <w:rPr>
          <w:spacing w:val="10"/>
          <w:highlight w:val="yellow"/>
        </w:rPr>
        <w:t xml:space="preserve"> </w:t>
      </w:r>
      <w:r w:rsidRPr="00B07633">
        <w:rPr>
          <w:spacing w:val="-1"/>
          <w:highlight w:val="yellow"/>
        </w:rPr>
        <w:t>Plan,</w:t>
      </w:r>
      <w:r w:rsidRPr="00B07633">
        <w:rPr>
          <w:spacing w:val="11"/>
          <w:highlight w:val="yellow"/>
        </w:rPr>
        <w:t xml:space="preserve"> </w:t>
      </w:r>
      <w:r w:rsidRPr="00B07633">
        <w:rPr>
          <w:spacing w:val="-1"/>
          <w:highlight w:val="yellow"/>
        </w:rPr>
        <w:t>Customer</w:t>
      </w:r>
      <w:r w:rsidRPr="00B07633">
        <w:rPr>
          <w:spacing w:val="11"/>
          <w:highlight w:val="yellow"/>
        </w:rPr>
        <w:t xml:space="preserve"> </w:t>
      </w:r>
      <w:r w:rsidRPr="00B07633">
        <w:rPr>
          <w:spacing w:val="-2"/>
          <w:highlight w:val="yellow"/>
        </w:rPr>
        <w:t>Responsibilities</w:t>
      </w:r>
      <w:r w:rsidRPr="00B07633">
        <w:rPr>
          <w:spacing w:val="62"/>
          <w:highlight w:val="yellow"/>
        </w:rPr>
        <w:t xml:space="preserve"> </w:t>
      </w:r>
      <w:r w:rsidRPr="00B07633">
        <w:rPr>
          <w:spacing w:val="-1"/>
          <w:highlight w:val="yellow"/>
        </w:rPr>
        <w:t>and Key</w:t>
      </w:r>
      <w:r w:rsidRPr="00B07633">
        <w:rPr>
          <w:spacing w:val="-2"/>
          <w:highlight w:val="yellow"/>
        </w:rPr>
        <w:t xml:space="preserve"> </w:t>
      </w:r>
      <w:r w:rsidRPr="00B07633">
        <w:rPr>
          <w:spacing w:val="-1"/>
          <w:highlight w:val="yellow"/>
        </w:rPr>
        <w:t>Personnel)</w:t>
      </w:r>
      <w:r w:rsidRPr="00B07633">
        <w:rPr>
          <w:spacing w:val="2"/>
          <w:highlight w:val="yellow"/>
        </w:rPr>
        <w:t xml:space="preserve"> </w:t>
      </w:r>
      <w:r w:rsidRPr="00B07633">
        <w:rPr>
          <w:spacing w:val="-1"/>
          <w:highlight w:val="yellow"/>
        </w:rPr>
        <w:t>and</w:t>
      </w:r>
      <w:r w:rsidRPr="00B07633">
        <w:rPr>
          <w:spacing w:val="-4"/>
          <w:highlight w:val="yellow"/>
        </w:rPr>
        <w:t xml:space="preserve"> </w:t>
      </w:r>
      <w:r w:rsidRPr="00B07633">
        <w:rPr>
          <w:spacing w:val="-2"/>
          <w:highlight w:val="yellow"/>
        </w:rPr>
        <w:t>Clause</w:t>
      </w:r>
      <w:r w:rsidRPr="00B07633">
        <w:rPr>
          <w:spacing w:val="1"/>
          <w:highlight w:val="yellow"/>
        </w:rPr>
        <w:t xml:space="preserve"> </w:t>
      </w:r>
      <w:r w:rsidRPr="00B07633">
        <w:rPr>
          <w:spacing w:val="-1"/>
          <w:highlight w:val="yellow"/>
        </w:rPr>
        <w:t>26</w:t>
      </w:r>
      <w:r w:rsidRPr="00B07633">
        <w:rPr>
          <w:highlight w:val="yellow"/>
        </w:rPr>
        <w:t xml:space="preserve"> </w:t>
      </w:r>
      <w:r w:rsidRPr="00B07633">
        <w:rPr>
          <w:spacing w:val="-2"/>
          <w:highlight w:val="yellow"/>
        </w:rPr>
        <w:t>of</w:t>
      </w:r>
      <w:r w:rsidRPr="00B07633">
        <w:rPr>
          <w:spacing w:val="2"/>
          <w:highlight w:val="yellow"/>
        </w:rPr>
        <w:t xml:space="preserve"> </w:t>
      </w:r>
      <w:r w:rsidRPr="00B07633">
        <w:rPr>
          <w:highlight w:val="yellow"/>
        </w:rPr>
        <w:t>the</w:t>
      </w:r>
      <w:r w:rsidRPr="00B07633">
        <w:rPr>
          <w:spacing w:val="-2"/>
          <w:highlight w:val="yellow"/>
        </w:rPr>
        <w:t xml:space="preserve"> Call</w:t>
      </w:r>
      <w:r w:rsidRPr="00B07633">
        <w:rPr>
          <w:spacing w:val="-1"/>
          <w:highlight w:val="yellow"/>
        </w:rPr>
        <w:t xml:space="preserve"> Off</w:t>
      </w:r>
      <w:r w:rsidRPr="00B07633">
        <w:rPr>
          <w:spacing w:val="-3"/>
          <w:highlight w:val="yellow"/>
        </w:rPr>
        <w:t xml:space="preserve"> </w:t>
      </w:r>
      <w:r w:rsidRPr="00B07633">
        <w:rPr>
          <w:spacing w:val="-1"/>
          <w:highlight w:val="yellow"/>
        </w:rPr>
        <w:t>Terms</w:t>
      </w:r>
      <w:r w:rsidRPr="00B07633">
        <w:rPr>
          <w:spacing w:val="-2"/>
          <w:highlight w:val="yellow"/>
        </w:rPr>
        <w:t xml:space="preserve"> </w:t>
      </w:r>
      <w:r w:rsidRPr="00B07633">
        <w:rPr>
          <w:spacing w:val="-1"/>
          <w:highlight w:val="yellow"/>
        </w:rPr>
        <w:t>shall</w:t>
      </w:r>
      <w:r w:rsidRPr="00B07633">
        <w:rPr>
          <w:highlight w:val="yellow"/>
        </w:rPr>
        <w:t xml:space="preserve"> </w:t>
      </w:r>
      <w:r w:rsidRPr="00B07633">
        <w:rPr>
          <w:spacing w:val="-2"/>
          <w:highlight w:val="yellow"/>
        </w:rPr>
        <w:t>apply]</w:t>
      </w:r>
      <w:r w:rsidRPr="00B07633">
        <w:rPr>
          <w:spacing w:val="6"/>
          <w:highlight w:val="yellow"/>
        </w:rPr>
        <w:t xml:space="preserve"> </w:t>
      </w:r>
      <w:hyperlink w:anchor="_bookmark31" w:history="1">
        <w:r w:rsidRPr="00B07633">
          <w:rPr>
            <w:b/>
            <w:spacing w:val="-1"/>
            <w:position w:val="10"/>
            <w:sz w:val="14"/>
            <w:highlight w:val="yellow"/>
          </w:rPr>
          <w:t>31</w:t>
        </w:r>
      </w:hyperlink>
    </w:p>
    <w:p w:rsidR="008918FA" w:rsidRDefault="008918FA" w:rsidP="008918FA">
      <w:pPr>
        <w:pStyle w:val="Heading1"/>
        <w:numPr>
          <w:ilvl w:val="1"/>
          <w:numId w:val="74"/>
        </w:numPr>
        <w:tabs>
          <w:tab w:val="left" w:pos="1094"/>
        </w:tabs>
        <w:spacing w:before="118"/>
        <w:ind w:left="1093" w:hanging="566"/>
        <w:rPr>
          <w:b w:val="0"/>
          <w:bCs w:val="0"/>
        </w:rPr>
      </w:pPr>
      <w:r>
        <w:rPr>
          <w:spacing w:val="-1"/>
        </w:rPr>
        <w:t>Relevant</w:t>
      </w:r>
      <w:r>
        <w:rPr>
          <w:spacing w:val="2"/>
        </w:rPr>
        <w:t xml:space="preserve"> </w:t>
      </w:r>
      <w:r>
        <w:rPr>
          <w:spacing w:val="-1"/>
        </w:rPr>
        <w:t>Convictions</w:t>
      </w:r>
    </w:p>
    <w:p w:rsidR="008918FA" w:rsidRDefault="008918FA" w:rsidP="008918FA">
      <w:pPr>
        <w:spacing w:before="9"/>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58764B4B" wp14:editId="4D335E67">
                <wp:extent cx="1778635" cy="161925"/>
                <wp:effectExtent l="1905" t="0" r="635" b="4445"/>
                <wp:docPr id="7221" name="Text Box 7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8" w:lineRule="exact"/>
                              <w:ind w:right="-1"/>
                              <w:rPr>
                                <w:rFonts w:ascii="Arial" w:eastAsia="Arial" w:hAnsi="Arial" w:cs="Arial"/>
                                <w:sz w:val="14"/>
                                <w:szCs w:val="14"/>
                              </w:rPr>
                            </w:pPr>
                            <w:r>
                              <w:rPr>
                                <w:rFonts w:ascii="Arial"/>
                                <w:spacing w:val="-1"/>
                              </w:rPr>
                              <w:t>[Clause</w:t>
                            </w:r>
                            <w:r>
                              <w:rPr>
                                <w:rFonts w:ascii="Arial"/>
                              </w:rPr>
                              <w:t xml:space="preserve"> </w:t>
                            </w:r>
                            <w:hyperlink w:anchor="_bookmark141" w:history="1">
                              <w:r>
                                <w:rPr>
                                  <w:rFonts w:ascii="Arial"/>
                                  <w:spacing w:val="-1"/>
                                </w:rPr>
                                <w:t>27.2.1</w:t>
                              </w:r>
                            </w:hyperlink>
                            <w:r>
                              <w:rPr>
                                <w:rFonts w:ascii="Arial"/>
                                <w:spacing w:val="-2"/>
                              </w:rPr>
                              <w:t xml:space="preserve"> </w:t>
                            </w:r>
                            <w:r>
                              <w:rPr>
                                <w:rFonts w:ascii="Arial"/>
                                <w:spacing w:val="-1"/>
                              </w:rPr>
                              <w:t xml:space="preserve">shall </w:t>
                            </w:r>
                            <w:r>
                              <w:rPr>
                                <w:rFonts w:ascii="Arial"/>
                                <w:spacing w:val="-2"/>
                              </w:rPr>
                              <w:t>apply]</w:t>
                            </w:r>
                            <w:r>
                              <w:rPr>
                                <w:rFonts w:ascii="Arial"/>
                                <w:spacing w:val="7"/>
                              </w:rPr>
                              <w:t xml:space="preserve"> </w:t>
                            </w:r>
                            <w:hyperlink w:anchor="_bookmark32" w:history="1">
                              <w:r>
                                <w:rPr>
                                  <w:rFonts w:ascii="Arial"/>
                                  <w:b/>
                                  <w:spacing w:val="-1"/>
                                  <w:position w:val="10"/>
                                  <w:sz w:val="14"/>
                                </w:rPr>
                                <w:t>32</w:t>
                              </w:r>
                            </w:hyperlink>
                          </w:p>
                        </w:txbxContent>
                      </wps:txbx>
                      <wps:bodyPr rot="0" vert="horz" wrap="square" lIns="0" tIns="0" rIns="0" bIns="0" anchor="t" anchorCtr="0" upright="1">
                        <a:noAutofit/>
                      </wps:bodyPr>
                    </wps:wsp>
                  </a:graphicData>
                </a:graphic>
              </wp:inline>
            </w:drawing>
          </mc:Choice>
          <mc:Fallback>
            <w:pict>
              <v:shape w14:anchorId="58764B4B" id="Text Box 7213" o:spid="_x0000_s1070" type="#_x0000_t202" style="width:140.0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" fillcolor="yellow" stroked="f">
                <v:textbox inset="0,0,0,0">
                  <w:txbxContent>
                    <w:p w:rsidR="005D2B81" w:rsidRDefault="005D2B81" w:rsidP="008918FA">
                      <w:pPr>
                        <w:spacing w:line="248" w:lineRule="exact"/>
                        <w:ind w:right="-1"/>
                        <w:rPr>
                          <w:rFonts w:ascii="Arial" w:eastAsia="Arial" w:hAnsi="Arial" w:cs="Arial"/>
                          <w:sz w:val="14"/>
                          <w:szCs w:val="14"/>
                        </w:rPr>
                      </w:pPr>
                      <w:r>
                        <w:rPr>
                          <w:rFonts w:ascii="Arial"/>
                          <w:spacing w:val="-1"/>
                        </w:rPr>
                        <w:t>[Clause</w:t>
                      </w:r>
                      <w:r>
                        <w:rPr>
                          <w:rFonts w:ascii="Arial"/>
                        </w:rPr>
                        <w:t xml:space="preserve"> </w:t>
                      </w:r>
                      <w:hyperlink w:anchor="_bookmark141" w:history="1">
                        <w:r>
                          <w:rPr>
                            <w:rFonts w:ascii="Arial"/>
                            <w:spacing w:val="-1"/>
                          </w:rPr>
                          <w:t>27.2.1</w:t>
                        </w:r>
                      </w:hyperlink>
                      <w:r>
                        <w:rPr>
                          <w:rFonts w:ascii="Arial"/>
                          <w:spacing w:val="-2"/>
                        </w:rPr>
                        <w:t xml:space="preserve"> </w:t>
                      </w:r>
                      <w:r>
                        <w:rPr>
                          <w:rFonts w:ascii="Arial"/>
                          <w:spacing w:val="-1"/>
                        </w:rPr>
                        <w:t xml:space="preserve">shall </w:t>
                      </w:r>
                      <w:r>
                        <w:rPr>
                          <w:rFonts w:ascii="Arial"/>
                          <w:spacing w:val="-2"/>
                        </w:rPr>
                        <w:t>apply]</w:t>
                      </w:r>
                      <w:r>
                        <w:rPr>
                          <w:rFonts w:ascii="Arial"/>
                          <w:spacing w:val="7"/>
                        </w:rPr>
                        <w:t xml:space="preserve"> </w:t>
                      </w:r>
                      <w:hyperlink w:anchor="_bookmark32" w:history="1">
                        <w:r>
                          <w:rPr>
                            <w:rFonts w:ascii="Arial"/>
                            <w:b/>
                            <w:spacing w:val="-1"/>
                            <w:position w:val="10"/>
                            <w:sz w:val="14"/>
                          </w:rPr>
                          <w:t>32</w:t>
                        </w:r>
                      </w:hyperlink>
                    </w:p>
                  </w:txbxContent>
                </v:textbox>
                <w10:anchorlock/>
              </v:shape>
            </w:pict>
          </mc:Fallback>
        </mc:AlternateContent>
      </w:r>
    </w:p>
    <w:p w:rsidR="008918FA" w:rsidRDefault="008918FA" w:rsidP="008918FA">
      <w:pPr>
        <w:numPr>
          <w:ilvl w:val="1"/>
          <w:numId w:val="74"/>
        </w:numPr>
        <w:tabs>
          <w:tab w:val="left" w:pos="1094"/>
        </w:tabs>
        <w:spacing w:before="115"/>
        <w:ind w:left="1093" w:hanging="566"/>
        <w:rPr>
          <w:rFonts w:ascii="Arial" w:eastAsia="Arial" w:hAnsi="Arial" w:cs="Arial"/>
        </w:rPr>
      </w:pPr>
      <w:r>
        <w:rPr>
          <w:rFonts w:ascii="Arial"/>
          <w:b/>
          <w:spacing w:val="-1"/>
        </w:rPr>
        <w:t>Staff Transfer</w:t>
      </w:r>
    </w:p>
    <w:p w:rsidR="008918FA" w:rsidRDefault="008918FA" w:rsidP="008918FA">
      <w:pPr>
        <w:spacing w:before="9"/>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46B96D4F" wp14:editId="52A34C03">
                <wp:extent cx="4902835" cy="160020"/>
                <wp:effectExtent l="1905" t="3175" r="635" b="0"/>
                <wp:docPr id="7220" name="Text Box 7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835"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8" w:lineRule="exact"/>
                              <w:ind w:right="-1"/>
                              <w:rPr>
                                <w:rFonts w:ascii="Arial" w:eastAsia="Arial" w:hAnsi="Arial" w:cs="Arial"/>
                                <w:sz w:val="14"/>
                                <w:szCs w:val="14"/>
                              </w:rPr>
                            </w:pPr>
                            <w:r>
                              <w:rPr>
                                <w:rFonts w:ascii="Arial"/>
                              </w:rPr>
                              <w:t>[In</w:t>
                            </w:r>
                            <w:r>
                              <w:rPr>
                                <w:rFonts w:ascii="Arial"/>
                                <w:spacing w:val="-3"/>
                              </w:rPr>
                              <w:t xml:space="preserve"> </w:t>
                            </w:r>
                            <w:r>
                              <w:rPr>
                                <w:rFonts w:ascii="Arial"/>
                                <w:spacing w:val="-2"/>
                              </w:rPr>
                              <w:t>Clause</w:t>
                            </w:r>
                            <w:r>
                              <w:rPr>
                                <w:rFonts w:ascii="Arial"/>
                                <w:spacing w:val="1"/>
                              </w:rPr>
                              <w:t xml:space="preserve"> </w:t>
                            </w:r>
                            <w:hyperlink w:anchor="_bookmark142" w:history="1">
                              <w:r>
                                <w:rPr>
                                  <w:rFonts w:ascii="Arial"/>
                                  <w:spacing w:val="-1"/>
                                </w:rPr>
                                <w:t>28</w:t>
                              </w:r>
                            </w:hyperlink>
                            <w:r>
                              <w:rPr>
                                <w:rFonts w:ascii="Arial"/>
                              </w:rPr>
                              <w:t xml:space="preserve"> </w:t>
                            </w:r>
                            <w:r>
                              <w:rPr>
                                <w:rFonts w:ascii="Arial"/>
                                <w:spacing w:val="-2"/>
                              </w:rPr>
                              <w:t>of</w:t>
                            </w:r>
                            <w:r>
                              <w:rPr>
                                <w:rFonts w:ascii="Arial"/>
                              </w:rPr>
                              <w:t xml:space="preserve"> the</w:t>
                            </w:r>
                            <w:r>
                              <w:rPr>
                                <w:rFonts w:ascii="Arial"/>
                                <w:spacing w:val="-2"/>
                              </w:rPr>
                              <w:t xml:space="preserve"> Call</w:t>
                            </w:r>
                            <w:r>
                              <w:rPr>
                                <w:rFonts w:ascii="Arial"/>
                              </w:rPr>
                              <w:t xml:space="preserve"> </w:t>
                            </w:r>
                            <w:r>
                              <w:rPr>
                                <w:rFonts w:ascii="Arial"/>
                                <w:spacing w:val="-1"/>
                              </w:rPr>
                              <w:t>Off</w:t>
                            </w:r>
                            <w:r>
                              <w:rPr>
                                <w:rFonts w:ascii="Arial"/>
                              </w:rPr>
                              <w:t xml:space="preserve"> </w:t>
                            </w:r>
                            <w:r>
                              <w:rPr>
                                <w:rFonts w:ascii="Arial"/>
                                <w:spacing w:val="-1"/>
                              </w:rPr>
                              <w:t>Terms</w:t>
                            </w:r>
                            <w:r>
                              <w:rPr>
                                <w:rFonts w:ascii="Arial"/>
                                <w:spacing w:val="1"/>
                              </w:rPr>
                              <w:t xml:space="preserve"> </w:t>
                            </w:r>
                            <w:r>
                              <w:rPr>
                                <w:rFonts w:ascii="Arial"/>
                                <w:spacing w:val="-1"/>
                              </w:rPr>
                              <w:t>and</w:t>
                            </w:r>
                            <w:r>
                              <w:rPr>
                                <w:rFonts w:ascii="Arial"/>
                                <w:spacing w:val="-2"/>
                              </w:rPr>
                              <w:t xml:space="preserve"> Call</w:t>
                            </w:r>
                            <w:r>
                              <w:rPr>
                                <w:rFonts w:ascii="Arial"/>
                                <w:spacing w:val="-1"/>
                              </w:rPr>
                              <w:t xml:space="preserve"> Off</w:t>
                            </w:r>
                            <w:r>
                              <w:rPr>
                                <w:rFonts w:ascii="Arial"/>
                                <w:spacing w:val="2"/>
                              </w:rPr>
                              <w:t xml:space="preserve"> </w:t>
                            </w:r>
                            <w:r>
                              <w:rPr>
                                <w:rFonts w:ascii="Arial"/>
                                <w:spacing w:val="-2"/>
                              </w:rPr>
                              <w:t>Schedule</w:t>
                            </w:r>
                            <w:r>
                              <w:rPr>
                                <w:rFonts w:ascii="Arial"/>
                              </w:rPr>
                              <w:t xml:space="preserve"> </w:t>
                            </w:r>
                            <w:r>
                              <w:rPr>
                                <w:rFonts w:ascii="Arial"/>
                                <w:spacing w:val="-1"/>
                              </w:rPr>
                              <w:t>11</w:t>
                            </w:r>
                            <w:r>
                              <w:rPr>
                                <w:rFonts w:ascii="Arial"/>
                                <w:spacing w:val="1"/>
                              </w:rPr>
                              <w:t xml:space="preserve"> </w:t>
                            </w:r>
                            <w:r>
                              <w:rPr>
                                <w:rFonts w:ascii="Arial"/>
                                <w:spacing w:val="-1"/>
                              </w:rPr>
                              <w:t>(Staff</w:t>
                            </w:r>
                            <w:r>
                              <w:rPr>
                                <w:rFonts w:ascii="Arial"/>
                              </w:rPr>
                              <w:t xml:space="preserve"> </w:t>
                            </w:r>
                            <w:r>
                              <w:rPr>
                                <w:rFonts w:ascii="Arial"/>
                                <w:spacing w:val="-1"/>
                              </w:rPr>
                              <w:t>Transfer)]</w:t>
                            </w:r>
                            <w:r>
                              <w:rPr>
                                <w:rFonts w:ascii="Arial"/>
                                <w:spacing w:val="6"/>
                              </w:rPr>
                              <w:t xml:space="preserve"> </w:t>
                            </w:r>
                            <w:hyperlink w:anchor="_bookmark33" w:history="1">
                              <w:r>
                                <w:rPr>
                                  <w:rFonts w:ascii="Arial"/>
                                  <w:b/>
                                  <w:spacing w:val="-1"/>
                                  <w:position w:val="10"/>
                                  <w:sz w:val="14"/>
                                </w:rPr>
                                <w:t>33</w:t>
                              </w:r>
                            </w:hyperlink>
                          </w:p>
                        </w:txbxContent>
                      </wps:txbx>
                      <wps:bodyPr rot="0" vert="horz" wrap="square" lIns="0" tIns="0" rIns="0" bIns="0" anchor="t" anchorCtr="0" upright="1">
                        <a:noAutofit/>
                      </wps:bodyPr>
                    </wps:wsp>
                  </a:graphicData>
                </a:graphic>
              </wp:inline>
            </w:drawing>
          </mc:Choice>
          <mc:Fallback>
            <w:pict>
              <v:shape w14:anchorId="46B96D4F" id="Text Box 7212" o:spid="_x0000_s1071" type="#_x0000_t202" style="width:386.0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" fillcolor="yellow" stroked="f">
                <v:textbox inset="0,0,0,0">
                  <w:txbxContent>
                    <w:p w:rsidR="005D2B81" w:rsidRDefault="005D2B81" w:rsidP="008918FA">
                      <w:pPr>
                        <w:spacing w:line="248" w:lineRule="exact"/>
                        <w:ind w:right="-1"/>
                        <w:rPr>
                          <w:rFonts w:ascii="Arial" w:eastAsia="Arial" w:hAnsi="Arial" w:cs="Arial"/>
                          <w:sz w:val="14"/>
                          <w:szCs w:val="14"/>
                        </w:rPr>
                      </w:pPr>
                      <w:r>
                        <w:rPr>
                          <w:rFonts w:ascii="Arial"/>
                        </w:rPr>
                        <w:t>[In</w:t>
                      </w:r>
                      <w:r>
                        <w:rPr>
                          <w:rFonts w:ascii="Arial"/>
                          <w:spacing w:val="-3"/>
                        </w:rPr>
                        <w:t xml:space="preserve"> </w:t>
                      </w:r>
                      <w:r>
                        <w:rPr>
                          <w:rFonts w:ascii="Arial"/>
                          <w:spacing w:val="-2"/>
                        </w:rPr>
                        <w:t>Clause</w:t>
                      </w:r>
                      <w:r>
                        <w:rPr>
                          <w:rFonts w:ascii="Arial"/>
                          <w:spacing w:val="1"/>
                        </w:rPr>
                        <w:t xml:space="preserve"> </w:t>
                      </w:r>
                      <w:hyperlink w:anchor="_bookmark142" w:history="1">
                        <w:r>
                          <w:rPr>
                            <w:rFonts w:ascii="Arial"/>
                            <w:spacing w:val="-1"/>
                          </w:rPr>
                          <w:t>28</w:t>
                        </w:r>
                      </w:hyperlink>
                      <w:r>
                        <w:rPr>
                          <w:rFonts w:ascii="Arial"/>
                        </w:rPr>
                        <w:t xml:space="preserve"> </w:t>
                      </w:r>
                      <w:r>
                        <w:rPr>
                          <w:rFonts w:ascii="Arial"/>
                          <w:spacing w:val="-2"/>
                        </w:rPr>
                        <w:t>of</w:t>
                      </w:r>
                      <w:r>
                        <w:rPr>
                          <w:rFonts w:ascii="Arial"/>
                        </w:rPr>
                        <w:t xml:space="preserve"> the</w:t>
                      </w:r>
                      <w:r>
                        <w:rPr>
                          <w:rFonts w:ascii="Arial"/>
                          <w:spacing w:val="-2"/>
                        </w:rPr>
                        <w:t xml:space="preserve"> Call</w:t>
                      </w:r>
                      <w:r>
                        <w:rPr>
                          <w:rFonts w:ascii="Arial"/>
                        </w:rPr>
                        <w:t xml:space="preserve"> </w:t>
                      </w:r>
                      <w:r>
                        <w:rPr>
                          <w:rFonts w:ascii="Arial"/>
                          <w:spacing w:val="-1"/>
                        </w:rPr>
                        <w:t>Off</w:t>
                      </w:r>
                      <w:r>
                        <w:rPr>
                          <w:rFonts w:ascii="Arial"/>
                        </w:rPr>
                        <w:t xml:space="preserve"> </w:t>
                      </w:r>
                      <w:r>
                        <w:rPr>
                          <w:rFonts w:ascii="Arial"/>
                          <w:spacing w:val="-1"/>
                        </w:rPr>
                        <w:t>Terms</w:t>
                      </w:r>
                      <w:r>
                        <w:rPr>
                          <w:rFonts w:ascii="Arial"/>
                          <w:spacing w:val="1"/>
                        </w:rPr>
                        <w:t xml:space="preserve"> </w:t>
                      </w:r>
                      <w:r>
                        <w:rPr>
                          <w:rFonts w:ascii="Arial"/>
                          <w:spacing w:val="-1"/>
                        </w:rPr>
                        <w:t>and</w:t>
                      </w:r>
                      <w:r>
                        <w:rPr>
                          <w:rFonts w:ascii="Arial"/>
                          <w:spacing w:val="-2"/>
                        </w:rPr>
                        <w:t xml:space="preserve"> Call</w:t>
                      </w:r>
                      <w:r>
                        <w:rPr>
                          <w:rFonts w:ascii="Arial"/>
                          <w:spacing w:val="-1"/>
                        </w:rPr>
                        <w:t xml:space="preserve"> Off</w:t>
                      </w:r>
                      <w:r>
                        <w:rPr>
                          <w:rFonts w:ascii="Arial"/>
                          <w:spacing w:val="2"/>
                        </w:rPr>
                        <w:t xml:space="preserve"> </w:t>
                      </w:r>
                      <w:r>
                        <w:rPr>
                          <w:rFonts w:ascii="Arial"/>
                          <w:spacing w:val="-2"/>
                        </w:rPr>
                        <w:t>Schedule</w:t>
                      </w:r>
                      <w:r>
                        <w:rPr>
                          <w:rFonts w:ascii="Arial"/>
                        </w:rPr>
                        <w:t xml:space="preserve"> </w:t>
                      </w:r>
                      <w:r>
                        <w:rPr>
                          <w:rFonts w:ascii="Arial"/>
                          <w:spacing w:val="-1"/>
                        </w:rPr>
                        <w:t>11</w:t>
                      </w:r>
                      <w:r>
                        <w:rPr>
                          <w:rFonts w:ascii="Arial"/>
                          <w:spacing w:val="1"/>
                        </w:rPr>
                        <w:t xml:space="preserve"> </w:t>
                      </w:r>
                      <w:r>
                        <w:rPr>
                          <w:rFonts w:ascii="Arial"/>
                          <w:spacing w:val="-1"/>
                        </w:rPr>
                        <w:t>(Staff</w:t>
                      </w:r>
                      <w:r>
                        <w:rPr>
                          <w:rFonts w:ascii="Arial"/>
                        </w:rPr>
                        <w:t xml:space="preserve"> </w:t>
                      </w:r>
                      <w:r>
                        <w:rPr>
                          <w:rFonts w:ascii="Arial"/>
                          <w:spacing w:val="-1"/>
                        </w:rPr>
                        <w:t>Transfer)]</w:t>
                      </w:r>
                      <w:r>
                        <w:rPr>
                          <w:rFonts w:ascii="Arial"/>
                          <w:spacing w:val="6"/>
                        </w:rPr>
                        <w:t xml:space="preserve"> </w:t>
                      </w:r>
                      <w:hyperlink w:anchor="_bookmark33" w:history="1">
                        <w:r>
                          <w:rPr>
                            <w:rFonts w:ascii="Arial"/>
                            <w:b/>
                            <w:spacing w:val="-1"/>
                            <w:position w:val="10"/>
                            <w:sz w:val="14"/>
                          </w:rPr>
                          <w:t>33</w:t>
                        </w:r>
                      </w:hyperlink>
                    </w:p>
                  </w:txbxContent>
                </v:textbox>
                <w10:anchorlock/>
              </v:shape>
            </w:pict>
          </mc:Fallback>
        </mc:AlternateContent>
      </w: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spacing w:before="4"/>
        <w:rPr>
          <w:rFonts w:ascii="Arial" w:eastAsia="Arial" w:hAnsi="Arial" w:cs="Arial"/>
          <w:b/>
          <w:bCs/>
        </w:rPr>
      </w:pPr>
    </w:p>
    <w:p w:rsidR="008918FA" w:rsidRPr="00CE5AA1" w:rsidRDefault="008918FA" w:rsidP="008918FA">
      <w:pPr>
        <w:ind w:left="241" w:right="110"/>
        <w:jc w:val="both"/>
        <w:rPr>
          <w:rFonts w:ascii="Arial" w:eastAsia="Arial" w:hAnsi="Arial" w:cs="Arial"/>
          <w:sz w:val="18"/>
          <w:szCs w:val="18"/>
          <w:highlight w:val="green"/>
        </w:rPr>
      </w:pPr>
      <w:r w:rsidRPr="00CE5AA1">
        <w:rPr>
          <w:rFonts w:ascii="Arial"/>
          <w:position w:val="9"/>
          <w:sz w:val="12"/>
          <w:highlight w:val="green"/>
        </w:rPr>
        <w:t>26</w:t>
      </w:r>
      <w:r w:rsidRPr="00CE5AA1">
        <w:rPr>
          <w:rFonts w:ascii="Arial"/>
          <w:spacing w:val="24"/>
          <w:position w:val="9"/>
          <w:sz w:val="12"/>
          <w:highlight w:val="green"/>
        </w:rPr>
        <w:t xml:space="preserve"> </w:t>
      </w:r>
      <w:bookmarkStart w:id="18" w:name="_bookmark26"/>
      <w:bookmarkEnd w:id="18"/>
      <w:r w:rsidRPr="00CE5AA1">
        <w:rPr>
          <w:rFonts w:ascii="Arial"/>
          <w:spacing w:val="-1"/>
          <w:sz w:val="18"/>
          <w:highlight w:val="green"/>
        </w:rPr>
        <w:t>[Guidance</w:t>
      </w:r>
      <w:r w:rsidRPr="00CE5AA1">
        <w:rPr>
          <w:rFonts w:ascii="Arial"/>
          <w:spacing w:val="39"/>
          <w:sz w:val="18"/>
          <w:highlight w:val="green"/>
        </w:rPr>
        <w:t xml:space="preserve"> </w:t>
      </w:r>
      <w:r w:rsidRPr="00CE5AA1">
        <w:rPr>
          <w:rFonts w:ascii="Arial"/>
          <w:spacing w:val="-1"/>
          <w:sz w:val="18"/>
          <w:highlight w:val="green"/>
        </w:rPr>
        <w:t>Note:</w:t>
      </w:r>
      <w:r w:rsidRPr="00CE5AA1">
        <w:rPr>
          <w:rFonts w:ascii="Arial"/>
          <w:spacing w:val="38"/>
          <w:sz w:val="18"/>
          <w:highlight w:val="green"/>
        </w:rPr>
        <w:t xml:space="preserve"> </w:t>
      </w:r>
      <w:r w:rsidRPr="00CE5AA1">
        <w:rPr>
          <w:rFonts w:ascii="Arial"/>
          <w:spacing w:val="-1"/>
          <w:sz w:val="18"/>
          <w:highlight w:val="green"/>
        </w:rPr>
        <w:t>Some</w:t>
      </w:r>
      <w:r w:rsidRPr="00CE5AA1">
        <w:rPr>
          <w:rFonts w:ascii="Arial"/>
          <w:spacing w:val="41"/>
          <w:sz w:val="18"/>
          <w:highlight w:val="green"/>
        </w:rPr>
        <w:t xml:space="preserve"> </w:t>
      </w:r>
      <w:r w:rsidRPr="00CE5AA1">
        <w:rPr>
          <w:rFonts w:ascii="Arial"/>
          <w:spacing w:val="-1"/>
          <w:sz w:val="18"/>
          <w:highlight w:val="green"/>
        </w:rPr>
        <w:t>clauses</w:t>
      </w:r>
      <w:r w:rsidRPr="00CE5AA1">
        <w:rPr>
          <w:rFonts w:ascii="Arial"/>
          <w:spacing w:val="39"/>
          <w:sz w:val="18"/>
          <w:highlight w:val="green"/>
        </w:rPr>
        <w:t xml:space="preserve"> </w:t>
      </w:r>
      <w:r w:rsidRPr="00CE5AA1">
        <w:rPr>
          <w:rFonts w:ascii="Arial"/>
          <w:sz w:val="18"/>
          <w:highlight w:val="green"/>
        </w:rPr>
        <w:t>in</w:t>
      </w:r>
      <w:r w:rsidRPr="00CE5AA1">
        <w:rPr>
          <w:rFonts w:ascii="Arial"/>
          <w:spacing w:val="39"/>
          <w:sz w:val="18"/>
          <w:highlight w:val="green"/>
        </w:rPr>
        <w:t xml:space="preserve"> </w:t>
      </w:r>
      <w:r w:rsidRPr="00CE5AA1">
        <w:rPr>
          <w:rFonts w:ascii="Arial"/>
          <w:sz w:val="18"/>
          <w:highlight w:val="green"/>
        </w:rPr>
        <w:t>the</w:t>
      </w:r>
      <w:r w:rsidRPr="00CE5AA1">
        <w:rPr>
          <w:rFonts w:ascii="Arial"/>
          <w:spacing w:val="41"/>
          <w:sz w:val="18"/>
          <w:highlight w:val="green"/>
        </w:rPr>
        <w:t xml:space="preserve"> </w:t>
      </w:r>
      <w:r w:rsidRPr="00CE5AA1">
        <w:rPr>
          <w:rFonts w:ascii="Arial"/>
          <w:spacing w:val="-1"/>
          <w:sz w:val="18"/>
          <w:highlight w:val="green"/>
        </w:rPr>
        <w:t>Call</w:t>
      </w:r>
      <w:r w:rsidRPr="00CE5AA1">
        <w:rPr>
          <w:rFonts w:ascii="Arial"/>
          <w:spacing w:val="42"/>
          <w:sz w:val="18"/>
          <w:highlight w:val="green"/>
        </w:rPr>
        <w:t xml:space="preserve"> </w:t>
      </w:r>
      <w:r w:rsidRPr="00CE5AA1">
        <w:rPr>
          <w:rFonts w:ascii="Arial"/>
          <w:spacing w:val="-1"/>
          <w:sz w:val="18"/>
          <w:highlight w:val="green"/>
        </w:rPr>
        <w:t>Off</w:t>
      </w:r>
      <w:r w:rsidRPr="00CE5AA1">
        <w:rPr>
          <w:rFonts w:ascii="Arial"/>
          <w:spacing w:val="39"/>
          <w:sz w:val="18"/>
          <w:highlight w:val="green"/>
        </w:rPr>
        <w:t xml:space="preserve"> </w:t>
      </w:r>
      <w:r w:rsidRPr="00CE5AA1">
        <w:rPr>
          <w:rFonts w:ascii="Arial"/>
          <w:spacing w:val="-1"/>
          <w:sz w:val="18"/>
          <w:highlight w:val="green"/>
        </w:rPr>
        <w:t>Contract</w:t>
      </w:r>
      <w:r w:rsidRPr="00CE5AA1">
        <w:rPr>
          <w:rFonts w:ascii="Arial"/>
          <w:spacing w:val="39"/>
          <w:sz w:val="18"/>
          <w:highlight w:val="green"/>
        </w:rPr>
        <w:t xml:space="preserve"> </w:t>
      </w:r>
      <w:r w:rsidRPr="00CE5AA1">
        <w:rPr>
          <w:rFonts w:ascii="Arial"/>
          <w:spacing w:val="-1"/>
          <w:sz w:val="18"/>
          <w:highlight w:val="green"/>
        </w:rPr>
        <w:t>will</w:t>
      </w:r>
      <w:r w:rsidRPr="00CE5AA1">
        <w:rPr>
          <w:rFonts w:ascii="Arial"/>
          <w:spacing w:val="42"/>
          <w:sz w:val="18"/>
          <w:highlight w:val="green"/>
        </w:rPr>
        <w:t xml:space="preserve"> </w:t>
      </w:r>
      <w:r w:rsidRPr="00CE5AA1">
        <w:rPr>
          <w:rFonts w:ascii="Arial"/>
          <w:sz w:val="18"/>
          <w:highlight w:val="green"/>
        </w:rPr>
        <w:t>be</w:t>
      </w:r>
      <w:r w:rsidRPr="00CE5AA1">
        <w:rPr>
          <w:rFonts w:ascii="Arial"/>
          <w:spacing w:val="41"/>
          <w:sz w:val="18"/>
          <w:highlight w:val="green"/>
        </w:rPr>
        <w:t xml:space="preserve"> </w:t>
      </w:r>
      <w:r w:rsidRPr="00CE5AA1">
        <w:rPr>
          <w:rFonts w:ascii="Arial"/>
          <w:spacing w:val="-1"/>
          <w:sz w:val="18"/>
          <w:highlight w:val="green"/>
        </w:rPr>
        <w:t>dependent</w:t>
      </w:r>
      <w:r w:rsidRPr="00CE5AA1">
        <w:rPr>
          <w:rFonts w:ascii="Arial"/>
          <w:spacing w:val="39"/>
          <w:sz w:val="18"/>
          <w:highlight w:val="green"/>
        </w:rPr>
        <w:t xml:space="preserve"> </w:t>
      </w:r>
      <w:r w:rsidRPr="00CE5AA1">
        <w:rPr>
          <w:rFonts w:ascii="Arial"/>
          <w:sz w:val="18"/>
          <w:highlight w:val="green"/>
        </w:rPr>
        <w:t>on</w:t>
      </w:r>
      <w:r w:rsidRPr="00CE5AA1">
        <w:rPr>
          <w:rFonts w:ascii="Arial"/>
          <w:spacing w:val="39"/>
          <w:sz w:val="18"/>
          <w:highlight w:val="green"/>
        </w:rPr>
        <w:t xml:space="preserve"> </w:t>
      </w:r>
      <w:r w:rsidRPr="00CE5AA1">
        <w:rPr>
          <w:rFonts w:ascii="Arial"/>
          <w:sz w:val="18"/>
          <w:highlight w:val="green"/>
        </w:rPr>
        <w:t>the</w:t>
      </w:r>
      <w:r w:rsidRPr="00CE5AA1">
        <w:rPr>
          <w:rFonts w:ascii="Arial"/>
          <w:spacing w:val="39"/>
          <w:sz w:val="18"/>
          <w:highlight w:val="green"/>
        </w:rPr>
        <w:t xml:space="preserve"> </w:t>
      </w:r>
      <w:r w:rsidRPr="00CE5AA1">
        <w:rPr>
          <w:rFonts w:ascii="Arial"/>
          <w:spacing w:val="-1"/>
          <w:sz w:val="18"/>
          <w:highlight w:val="green"/>
        </w:rPr>
        <w:t>amount</w:t>
      </w:r>
      <w:r w:rsidRPr="00CE5AA1">
        <w:rPr>
          <w:rFonts w:ascii="Arial"/>
          <w:spacing w:val="41"/>
          <w:sz w:val="18"/>
          <w:highlight w:val="green"/>
        </w:rPr>
        <w:t xml:space="preserve"> </w:t>
      </w:r>
      <w:r w:rsidRPr="00CE5AA1">
        <w:rPr>
          <w:rFonts w:ascii="Arial"/>
          <w:spacing w:val="-1"/>
          <w:sz w:val="18"/>
          <w:highlight w:val="green"/>
        </w:rPr>
        <w:t>which</w:t>
      </w:r>
      <w:r w:rsidRPr="00CE5AA1">
        <w:rPr>
          <w:rFonts w:ascii="Arial"/>
          <w:spacing w:val="42"/>
          <w:sz w:val="18"/>
          <w:highlight w:val="green"/>
        </w:rPr>
        <w:t xml:space="preserve"> </w:t>
      </w:r>
      <w:r w:rsidRPr="00CE5AA1">
        <w:rPr>
          <w:rFonts w:ascii="Arial"/>
          <w:spacing w:val="-1"/>
          <w:sz w:val="18"/>
          <w:highlight w:val="green"/>
        </w:rPr>
        <w:t>is</w:t>
      </w:r>
      <w:r w:rsidRPr="00CE5AA1">
        <w:rPr>
          <w:rFonts w:ascii="Arial"/>
          <w:spacing w:val="42"/>
          <w:sz w:val="18"/>
          <w:highlight w:val="green"/>
        </w:rPr>
        <w:t xml:space="preserve"> </w:t>
      </w:r>
      <w:r w:rsidRPr="00CE5AA1">
        <w:rPr>
          <w:rFonts w:ascii="Arial"/>
          <w:spacing w:val="-2"/>
          <w:sz w:val="18"/>
          <w:highlight w:val="green"/>
        </w:rPr>
        <w:t>the</w:t>
      </w:r>
      <w:r w:rsidRPr="00CE5AA1">
        <w:rPr>
          <w:rFonts w:ascii="Arial"/>
          <w:spacing w:val="75"/>
          <w:sz w:val="18"/>
          <w:highlight w:val="green"/>
        </w:rPr>
        <w:t xml:space="preserve"> </w:t>
      </w:r>
      <w:r w:rsidRPr="00CE5AA1">
        <w:rPr>
          <w:rFonts w:ascii="Arial"/>
          <w:spacing w:val="-1"/>
          <w:sz w:val="18"/>
          <w:highlight w:val="green"/>
        </w:rPr>
        <w:t>Estimated</w:t>
      </w:r>
      <w:r w:rsidRPr="00CE5AA1">
        <w:rPr>
          <w:rFonts w:ascii="Arial"/>
          <w:spacing w:val="22"/>
          <w:sz w:val="18"/>
          <w:highlight w:val="green"/>
        </w:rPr>
        <w:t xml:space="preserve"> </w:t>
      </w:r>
      <w:r w:rsidRPr="00CE5AA1">
        <w:rPr>
          <w:rFonts w:ascii="Arial"/>
          <w:spacing w:val="-1"/>
          <w:sz w:val="18"/>
          <w:highlight w:val="green"/>
        </w:rPr>
        <w:t>Year</w:t>
      </w:r>
      <w:r w:rsidRPr="00CE5AA1">
        <w:rPr>
          <w:rFonts w:ascii="Arial"/>
          <w:spacing w:val="21"/>
          <w:sz w:val="18"/>
          <w:highlight w:val="green"/>
        </w:rPr>
        <w:t xml:space="preserve"> </w:t>
      </w:r>
      <w:r w:rsidRPr="00CE5AA1">
        <w:rPr>
          <w:rFonts w:ascii="Arial"/>
          <w:sz w:val="18"/>
          <w:highlight w:val="green"/>
        </w:rPr>
        <w:t>1</w:t>
      </w:r>
      <w:r w:rsidRPr="00CE5AA1">
        <w:rPr>
          <w:rFonts w:ascii="Arial"/>
          <w:spacing w:val="44"/>
          <w:sz w:val="18"/>
          <w:highlight w:val="green"/>
        </w:rPr>
        <w:t xml:space="preserve"> </w:t>
      </w:r>
      <w:r w:rsidRPr="00CE5AA1">
        <w:rPr>
          <w:rFonts w:ascii="Arial"/>
          <w:spacing w:val="-1"/>
          <w:sz w:val="18"/>
          <w:highlight w:val="green"/>
        </w:rPr>
        <w:t>Call</w:t>
      </w:r>
      <w:r w:rsidRPr="00CE5AA1">
        <w:rPr>
          <w:rFonts w:ascii="Arial"/>
          <w:spacing w:val="22"/>
          <w:sz w:val="18"/>
          <w:highlight w:val="green"/>
        </w:rPr>
        <w:t xml:space="preserve"> </w:t>
      </w:r>
      <w:r w:rsidRPr="00CE5AA1">
        <w:rPr>
          <w:rFonts w:ascii="Arial"/>
          <w:spacing w:val="-1"/>
          <w:sz w:val="18"/>
          <w:highlight w:val="green"/>
        </w:rPr>
        <w:t>Off</w:t>
      </w:r>
      <w:r w:rsidRPr="00CE5AA1">
        <w:rPr>
          <w:rFonts w:ascii="Arial"/>
          <w:spacing w:val="22"/>
          <w:sz w:val="18"/>
          <w:highlight w:val="green"/>
        </w:rPr>
        <w:t xml:space="preserve"> </w:t>
      </w:r>
      <w:r w:rsidRPr="00CE5AA1">
        <w:rPr>
          <w:rFonts w:ascii="Arial"/>
          <w:spacing w:val="-1"/>
          <w:sz w:val="18"/>
          <w:highlight w:val="green"/>
        </w:rPr>
        <w:t>Contract</w:t>
      </w:r>
      <w:r w:rsidRPr="00CE5AA1">
        <w:rPr>
          <w:rFonts w:ascii="Arial"/>
          <w:spacing w:val="22"/>
          <w:sz w:val="18"/>
          <w:highlight w:val="green"/>
        </w:rPr>
        <w:t xml:space="preserve"> </w:t>
      </w:r>
      <w:r w:rsidRPr="00CE5AA1">
        <w:rPr>
          <w:rFonts w:ascii="Arial"/>
          <w:spacing w:val="-1"/>
          <w:sz w:val="18"/>
          <w:highlight w:val="green"/>
        </w:rPr>
        <w:t>Charges,</w:t>
      </w:r>
      <w:r w:rsidRPr="00CE5AA1">
        <w:rPr>
          <w:rFonts w:ascii="Arial"/>
          <w:spacing w:val="22"/>
          <w:sz w:val="18"/>
          <w:highlight w:val="green"/>
        </w:rPr>
        <w:t xml:space="preserve"> </w:t>
      </w:r>
      <w:r w:rsidRPr="00CE5AA1">
        <w:rPr>
          <w:rFonts w:ascii="Arial"/>
          <w:spacing w:val="-1"/>
          <w:sz w:val="18"/>
          <w:highlight w:val="green"/>
        </w:rPr>
        <w:t>namely,</w:t>
      </w:r>
      <w:r w:rsidRPr="00CE5AA1">
        <w:rPr>
          <w:rFonts w:ascii="Arial"/>
          <w:spacing w:val="22"/>
          <w:sz w:val="18"/>
          <w:highlight w:val="green"/>
        </w:rPr>
        <w:t xml:space="preserve"> </w:t>
      </w:r>
      <w:r w:rsidRPr="00CE5AA1">
        <w:rPr>
          <w:rFonts w:ascii="Arial"/>
          <w:spacing w:val="-1"/>
          <w:sz w:val="18"/>
          <w:highlight w:val="green"/>
        </w:rPr>
        <w:t>Clauses</w:t>
      </w:r>
      <w:r w:rsidRPr="00CE5AA1">
        <w:rPr>
          <w:rFonts w:ascii="Arial"/>
          <w:spacing w:val="22"/>
          <w:sz w:val="18"/>
          <w:highlight w:val="green"/>
        </w:rPr>
        <w:t xml:space="preserve"> </w:t>
      </w:r>
      <w:hyperlink w:anchor="_bookmark205" w:history="1">
        <w:r w:rsidRPr="00CE5AA1">
          <w:rPr>
            <w:rFonts w:ascii="Arial"/>
            <w:spacing w:val="-1"/>
            <w:sz w:val="18"/>
            <w:highlight w:val="green"/>
          </w:rPr>
          <w:t>36.2.1(b)(i)</w:t>
        </w:r>
      </w:hyperlink>
      <w:r w:rsidRPr="00CE5AA1">
        <w:rPr>
          <w:rFonts w:ascii="Arial"/>
          <w:spacing w:val="21"/>
          <w:sz w:val="18"/>
          <w:highlight w:val="green"/>
        </w:rPr>
        <w:t xml:space="preserve"> </w:t>
      </w:r>
      <w:r w:rsidRPr="00CE5AA1">
        <w:rPr>
          <w:rFonts w:ascii="Arial"/>
          <w:sz w:val="18"/>
          <w:highlight w:val="green"/>
        </w:rPr>
        <w:t>to</w:t>
      </w:r>
      <w:r w:rsidRPr="00CE5AA1">
        <w:rPr>
          <w:rFonts w:ascii="Arial"/>
          <w:spacing w:val="20"/>
          <w:sz w:val="18"/>
          <w:highlight w:val="green"/>
        </w:rPr>
        <w:t xml:space="preserve"> </w:t>
      </w:r>
      <w:hyperlink w:anchor="_bookmark207" w:history="1">
        <w:r w:rsidRPr="00CE5AA1">
          <w:rPr>
            <w:rFonts w:ascii="Arial"/>
            <w:spacing w:val="-1"/>
            <w:sz w:val="18"/>
            <w:highlight w:val="green"/>
          </w:rPr>
          <w:t>36.2.1(b)(iii),</w:t>
        </w:r>
      </w:hyperlink>
      <w:r w:rsidRPr="00CE5AA1">
        <w:rPr>
          <w:rFonts w:ascii="Arial"/>
          <w:spacing w:val="22"/>
          <w:sz w:val="18"/>
          <w:highlight w:val="green"/>
        </w:rPr>
        <w:t xml:space="preserve"> </w:t>
      </w:r>
      <w:hyperlink w:anchor="_bookmark209" w:history="1">
        <w:r w:rsidRPr="00CE5AA1">
          <w:rPr>
            <w:rFonts w:ascii="Arial"/>
            <w:spacing w:val="-1"/>
            <w:sz w:val="18"/>
            <w:highlight w:val="green"/>
          </w:rPr>
          <w:t>36.2.2(a)</w:t>
        </w:r>
      </w:hyperlink>
      <w:r w:rsidRPr="00CE5AA1">
        <w:rPr>
          <w:rFonts w:ascii="Arial"/>
          <w:spacing w:val="22"/>
          <w:sz w:val="18"/>
          <w:highlight w:val="green"/>
        </w:rPr>
        <w:t xml:space="preserve"> </w:t>
      </w:r>
      <w:r w:rsidRPr="00CE5AA1">
        <w:rPr>
          <w:rFonts w:ascii="Arial"/>
          <w:spacing w:val="-1"/>
          <w:sz w:val="18"/>
          <w:highlight w:val="green"/>
        </w:rPr>
        <w:t>and</w:t>
      </w:r>
      <w:r w:rsidRPr="00CE5AA1">
        <w:rPr>
          <w:rFonts w:ascii="Arial"/>
          <w:spacing w:val="22"/>
          <w:sz w:val="18"/>
          <w:highlight w:val="green"/>
        </w:rPr>
        <w:t xml:space="preserve"> </w:t>
      </w:r>
      <w:r w:rsidRPr="00CE5AA1">
        <w:rPr>
          <w:rFonts w:ascii="Arial"/>
          <w:spacing w:val="-1"/>
          <w:sz w:val="18"/>
          <w:highlight w:val="green"/>
        </w:rPr>
        <w:t>the</w:t>
      </w:r>
      <w:r w:rsidRPr="00CE5AA1">
        <w:rPr>
          <w:rFonts w:ascii="Arial"/>
          <w:spacing w:val="87"/>
          <w:sz w:val="18"/>
          <w:highlight w:val="green"/>
        </w:rPr>
        <w:t xml:space="preserve"> </w:t>
      </w:r>
      <w:r w:rsidRPr="00CE5AA1">
        <w:rPr>
          <w:rFonts w:ascii="Arial"/>
          <w:spacing w:val="-1"/>
          <w:sz w:val="18"/>
          <w:highlight w:val="green"/>
        </w:rPr>
        <w:t>Definition</w:t>
      </w:r>
      <w:r w:rsidRPr="00CE5AA1">
        <w:rPr>
          <w:rFonts w:ascii="Arial"/>
          <w:spacing w:val="1"/>
          <w:sz w:val="18"/>
          <w:highlight w:val="green"/>
        </w:rPr>
        <w:t xml:space="preserve"> </w:t>
      </w:r>
      <w:r w:rsidRPr="00CE5AA1">
        <w:rPr>
          <w:rFonts w:ascii="Arial"/>
          <w:sz w:val="18"/>
          <w:highlight w:val="green"/>
        </w:rPr>
        <w:t>of</w:t>
      </w:r>
      <w:r w:rsidRPr="00CE5AA1">
        <w:rPr>
          <w:rFonts w:ascii="Arial"/>
          <w:spacing w:val="3"/>
          <w:sz w:val="18"/>
          <w:highlight w:val="green"/>
        </w:rPr>
        <w:t xml:space="preserve"> </w:t>
      </w:r>
      <w:r w:rsidRPr="00CE5AA1">
        <w:rPr>
          <w:rFonts w:ascii="Arial"/>
          <w:spacing w:val="-1"/>
          <w:sz w:val="18"/>
          <w:highlight w:val="green"/>
        </w:rPr>
        <w:t>Service</w:t>
      </w:r>
      <w:r w:rsidRPr="00CE5AA1">
        <w:rPr>
          <w:rFonts w:ascii="Arial"/>
          <w:spacing w:val="3"/>
          <w:sz w:val="18"/>
          <w:highlight w:val="green"/>
        </w:rPr>
        <w:t xml:space="preserve"> </w:t>
      </w:r>
      <w:r w:rsidRPr="00CE5AA1">
        <w:rPr>
          <w:rFonts w:ascii="Arial"/>
          <w:spacing w:val="-1"/>
          <w:sz w:val="18"/>
          <w:highlight w:val="green"/>
        </w:rPr>
        <w:t>Credit</w:t>
      </w:r>
      <w:r w:rsidRPr="00CE5AA1">
        <w:rPr>
          <w:rFonts w:ascii="Arial"/>
          <w:spacing w:val="3"/>
          <w:sz w:val="18"/>
          <w:highlight w:val="green"/>
        </w:rPr>
        <w:t xml:space="preserve"> </w:t>
      </w:r>
      <w:r w:rsidRPr="00CE5AA1">
        <w:rPr>
          <w:rFonts w:ascii="Arial"/>
          <w:spacing w:val="-1"/>
          <w:sz w:val="18"/>
          <w:highlight w:val="green"/>
        </w:rPr>
        <w:t>Cap.</w:t>
      </w:r>
      <w:r w:rsidRPr="00CE5AA1">
        <w:rPr>
          <w:rFonts w:ascii="Arial"/>
          <w:spacing w:val="3"/>
          <w:sz w:val="18"/>
          <w:highlight w:val="green"/>
        </w:rPr>
        <w:t xml:space="preserve"> </w:t>
      </w:r>
      <w:r w:rsidRPr="00CE5AA1">
        <w:rPr>
          <w:rFonts w:ascii="Arial"/>
          <w:spacing w:val="-1"/>
          <w:sz w:val="18"/>
          <w:highlight w:val="green"/>
        </w:rPr>
        <w:t>Please</w:t>
      </w:r>
      <w:r w:rsidRPr="00CE5AA1">
        <w:rPr>
          <w:rFonts w:ascii="Arial"/>
          <w:spacing w:val="1"/>
          <w:sz w:val="18"/>
          <w:highlight w:val="green"/>
        </w:rPr>
        <w:t xml:space="preserve"> </w:t>
      </w:r>
      <w:r w:rsidRPr="00CE5AA1">
        <w:rPr>
          <w:rFonts w:ascii="Arial"/>
          <w:spacing w:val="-1"/>
          <w:sz w:val="18"/>
          <w:highlight w:val="green"/>
        </w:rPr>
        <w:t>insert</w:t>
      </w:r>
      <w:r w:rsidRPr="00CE5AA1">
        <w:rPr>
          <w:rFonts w:ascii="Arial"/>
          <w:spacing w:val="3"/>
          <w:sz w:val="18"/>
          <w:highlight w:val="green"/>
        </w:rPr>
        <w:t xml:space="preserve"> </w:t>
      </w:r>
      <w:r w:rsidRPr="00CE5AA1">
        <w:rPr>
          <w:rFonts w:ascii="Arial"/>
          <w:spacing w:val="-1"/>
          <w:sz w:val="18"/>
          <w:highlight w:val="green"/>
        </w:rPr>
        <w:t>the</w:t>
      </w:r>
      <w:r w:rsidRPr="00CE5AA1">
        <w:rPr>
          <w:rFonts w:ascii="Arial"/>
          <w:spacing w:val="3"/>
          <w:sz w:val="18"/>
          <w:highlight w:val="green"/>
        </w:rPr>
        <w:t xml:space="preserve"> </w:t>
      </w:r>
      <w:r w:rsidRPr="00CE5AA1">
        <w:rPr>
          <w:rFonts w:ascii="Arial"/>
          <w:spacing w:val="-1"/>
          <w:sz w:val="18"/>
          <w:highlight w:val="green"/>
        </w:rPr>
        <w:t>estimated</w:t>
      </w:r>
      <w:r w:rsidRPr="00CE5AA1">
        <w:rPr>
          <w:rFonts w:ascii="Arial"/>
          <w:spacing w:val="1"/>
          <w:sz w:val="18"/>
          <w:highlight w:val="green"/>
        </w:rPr>
        <w:t xml:space="preserve"> </w:t>
      </w:r>
      <w:r w:rsidRPr="00CE5AA1">
        <w:rPr>
          <w:rFonts w:ascii="Arial"/>
          <w:spacing w:val="-1"/>
          <w:sz w:val="18"/>
          <w:highlight w:val="green"/>
        </w:rPr>
        <w:t>amount</w:t>
      </w:r>
      <w:r w:rsidRPr="00CE5AA1">
        <w:rPr>
          <w:rFonts w:ascii="Arial"/>
          <w:spacing w:val="3"/>
          <w:sz w:val="18"/>
          <w:highlight w:val="green"/>
        </w:rPr>
        <w:t xml:space="preserve"> </w:t>
      </w:r>
      <w:r w:rsidRPr="00CE5AA1">
        <w:rPr>
          <w:rFonts w:ascii="Arial"/>
          <w:sz w:val="18"/>
          <w:highlight w:val="green"/>
        </w:rPr>
        <w:t xml:space="preserve">for </w:t>
      </w:r>
      <w:r w:rsidRPr="00CE5AA1">
        <w:rPr>
          <w:rFonts w:ascii="Arial"/>
          <w:spacing w:val="-1"/>
          <w:sz w:val="18"/>
          <w:highlight w:val="green"/>
        </w:rPr>
        <w:t>Year</w:t>
      </w:r>
      <w:r w:rsidRPr="00CE5AA1">
        <w:rPr>
          <w:rFonts w:ascii="Arial"/>
          <w:spacing w:val="2"/>
          <w:sz w:val="18"/>
          <w:highlight w:val="green"/>
        </w:rPr>
        <w:t xml:space="preserve"> </w:t>
      </w:r>
      <w:r w:rsidRPr="00CE5AA1">
        <w:rPr>
          <w:rFonts w:ascii="Arial"/>
          <w:sz w:val="18"/>
          <w:highlight w:val="green"/>
        </w:rPr>
        <w:t>1</w:t>
      </w:r>
      <w:r w:rsidRPr="00CE5AA1">
        <w:rPr>
          <w:rFonts w:ascii="Arial"/>
          <w:spacing w:val="3"/>
          <w:sz w:val="18"/>
          <w:highlight w:val="green"/>
        </w:rPr>
        <w:t xml:space="preserve"> </w:t>
      </w:r>
      <w:r w:rsidRPr="00CE5AA1">
        <w:rPr>
          <w:rFonts w:ascii="Arial"/>
          <w:spacing w:val="-1"/>
          <w:sz w:val="18"/>
          <w:highlight w:val="green"/>
        </w:rPr>
        <w:t>Call</w:t>
      </w:r>
      <w:r w:rsidRPr="00CE5AA1">
        <w:rPr>
          <w:rFonts w:ascii="Arial"/>
          <w:spacing w:val="3"/>
          <w:sz w:val="18"/>
          <w:highlight w:val="green"/>
        </w:rPr>
        <w:t xml:space="preserve"> </w:t>
      </w:r>
      <w:r w:rsidRPr="00CE5AA1">
        <w:rPr>
          <w:rFonts w:ascii="Arial"/>
          <w:spacing w:val="-1"/>
          <w:sz w:val="18"/>
          <w:highlight w:val="green"/>
        </w:rPr>
        <w:t>Off</w:t>
      </w:r>
      <w:r w:rsidRPr="00CE5AA1">
        <w:rPr>
          <w:rFonts w:ascii="Arial"/>
          <w:spacing w:val="3"/>
          <w:sz w:val="18"/>
          <w:highlight w:val="green"/>
        </w:rPr>
        <w:t xml:space="preserve"> </w:t>
      </w:r>
      <w:r w:rsidRPr="00CE5AA1">
        <w:rPr>
          <w:rFonts w:ascii="Arial"/>
          <w:spacing w:val="-1"/>
          <w:sz w:val="18"/>
          <w:highlight w:val="green"/>
        </w:rPr>
        <w:t>Contract</w:t>
      </w:r>
      <w:r w:rsidRPr="00CE5AA1">
        <w:rPr>
          <w:rFonts w:ascii="Arial"/>
          <w:sz w:val="18"/>
          <w:highlight w:val="green"/>
        </w:rPr>
        <w:t xml:space="preserve"> </w:t>
      </w:r>
      <w:r w:rsidRPr="00CE5AA1">
        <w:rPr>
          <w:rFonts w:ascii="Arial"/>
          <w:spacing w:val="-1"/>
          <w:sz w:val="18"/>
          <w:highlight w:val="green"/>
        </w:rPr>
        <w:t>charges</w:t>
      </w:r>
      <w:r w:rsidRPr="00CE5AA1">
        <w:rPr>
          <w:rFonts w:ascii="Arial"/>
          <w:spacing w:val="3"/>
          <w:sz w:val="18"/>
          <w:highlight w:val="green"/>
        </w:rPr>
        <w:t xml:space="preserve"> </w:t>
      </w:r>
      <w:r w:rsidRPr="00CE5AA1">
        <w:rPr>
          <w:rFonts w:ascii="Arial"/>
          <w:sz w:val="18"/>
          <w:highlight w:val="green"/>
        </w:rPr>
        <w:t>in</w:t>
      </w:r>
      <w:r w:rsidRPr="00CE5AA1">
        <w:rPr>
          <w:rFonts w:ascii="Arial"/>
          <w:spacing w:val="1"/>
          <w:sz w:val="18"/>
          <w:highlight w:val="green"/>
        </w:rPr>
        <w:t xml:space="preserve"> </w:t>
      </w:r>
      <w:r w:rsidRPr="00CE5AA1">
        <w:rPr>
          <w:rFonts w:ascii="Arial"/>
          <w:spacing w:val="-1"/>
          <w:sz w:val="18"/>
          <w:highlight w:val="green"/>
        </w:rPr>
        <w:t>this</w:t>
      </w:r>
      <w:r w:rsidRPr="00CE5AA1">
        <w:rPr>
          <w:rFonts w:ascii="Arial"/>
          <w:spacing w:val="105"/>
          <w:sz w:val="18"/>
          <w:highlight w:val="green"/>
        </w:rPr>
        <w:t xml:space="preserve"> </w:t>
      </w:r>
      <w:r w:rsidRPr="00CE5AA1">
        <w:rPr>
          <w:rFonts w:ascii="Arial"/>
          <w:sz w:val="18"/>
          <w:highlight w:val="green"/>
        </w:rPr>
        <w:t>section</w:t>
      </w:r>
      <w:r w:rsidRPr="00CE5AA1">
        <w:rPr>
          <w:rFonts w:ascii="Arial"/>
          <w:spacing w:val="-2"/>
          <w:sz w:val="18"/>
          <w:highlight w:val="green"/>
        </w:rPr>
        <w:t xml:space="preserve"> </w:t>
      </w:r>
      <w:r w:rsidRPr="00CE5AA1">
        <w:rPr>
          <w:rFonts w:ascii="Arial"/>
          <w:sz w:val="18"/>
          <w:highlight w:val="green"/>
        </w:rPr>
        <w:t xml:space="preserve">of </w:t>
      </w:r>
      <w:r w:rsidRPr="00CE5AA1">
        <w:rPr>
          <w:rFonts w:ascii="Arial"/>
          <w:spacing w:val="-1"/>
          <w:sz w:val="18"/>
          <w:highlight w:val="green"/>
        </w:rPr>
        <w:t>the</w:t>
      </w:r>
      <w:r w:rsidRPr="00CE5AA1">
        <w:rPr>
          <w:rFonts w:ascii="Arial"/>
          <w:spacing w:val="1"/>
          <w:sz w:val="18"/>
          <w:highlight w:val="green"/>
        </w:rPr>
        <w:t xml:space="preserve"> </w:t>
      </w:r>
      <w:r w:rsidRPr="00CE5AA1">
        <w:rPr>
          <w:rFonts w:ascii="Arial"/>
          <w:spacing w:val="-1"/>
          <w:sz w:val="18"/>
          <w:highlight w:val="green"/>
        </w:rPr>
        <w:t>Template</w:t>
      </w:r>
      <w:r w:rsidRPr="00CE5AA1">
        <w:rPr>
          <w:rFonts w:ascii="Arial"/>
          <w:spacing w:val="-2"/>
          <w:sz w:val="18"/>
          <w:highlight w:val="green"/>
        </w:rPr>
        <w:t xml:space="preserve"> </w:t>
      </w:r>
      <w:r w:rsidRPr="00CE5AA1">
        <w:rPr>
          <w:rFonts w:ascii="Arial"/>
          <w:spacing w:val="-1"/>
          <w:sz w:val="18"/>
          <w:highlight w:val="green"/>
        </w:rPr>
        <w:t>Order</w:t>
      </w:r>
      <w:r w:rsidRPr="00CE5AA1">
        <w:rPr>
          <w:rFonts w:ascii="Arial"/>
          <w:spacing w:val="-2"/>
          <w:sz w:val="18"/>
          <w:highlight w:val="green"/>
        </w:rPr>
        <w:t xml:space="preserve"> </w:t>
      </w:r>
      <w:r w:rsidRPr="00CE5AA1">
        <w:rPr>
          <w:rFonts w:ascii="Arial"/>
          <w:sz w:val="18"/>
          <w:highlight w:val="green"/>
        </w:rPr>
        <w:t>Form. ]</w:t>
      </w:r>
    </w:p>
    <w:p w:rsidR="008918FA" w:rsidRPr="00CE5AA1" w:rsidRDefault="008918FA" w:rsidP="008918FA">
      <w:pPr>
        <w:spacing w:before="85"/>
        <w:ind w:left="241" w:right="112"/>
        <w:jc w:val="both"/>
        <w:rPr>
          <w:rFonts w:ascii="Arial" w:eastAsia="Arial" w:hAnsi="Arial" w:cs="Arial"/>
          <w:sz w:val="18"/>
          <w:szCs w:val="18"/>
          <w:highlight w:val="green"/>
        </w:rPr>
      </w:pPr>
      <w:r w:rsidRPr="00CE5AA1">
        <w:rPr>
          <w:rFonts w:ascii="Arial" w:eastAsia="Arial" w:hAnsi="Arial" w:cs="Arial"/>
          <w:position w:val="9"/>
          <w:sz w:val="12"/>
          <w:szCs w:val="12"/>
          <w:highlight w:val="green"/>
        </w:rPr>
        <w:t>27</w:t>
      </w:r>
      <w:r w:rsidRPr="00CE5AA1">
        <w:rPr>
          <w:rFonts w:ascii="Arial" w:eastAsia="Arial" w:hAnsi="Arial" w:cs="Arial"/>
          <w:spacing w:val="15"/>
          <w:position w:val="9"/>
          <w:sz w:val="12"/>
          <w:szCs w:val="12"/>
          <w:highlight w:val="green"/>
        </w:rPr>
        <w:t xml:space="preserve"> </w:t>
      </w:r>
      <w:bookmarkStart w:id="19" w:name="_bookmark27"/>
      <w:bookmarkEnd w:id="19"/>
      <w:r w:rsidRPr="00CE5AA1">
        <w:rPr>
          <w:rFonts w:ascii="Arial" w:eastAsia="Arial" w:hAnsi="Arial" w:cs="Arial"/>
          <w:spacing w:val="-1"/>
          <w:sz w:val="18"/>
          <w:szCs w:val="18"/>
          <w:highlight w:val="green"/>
        </w:rPr>
        <w:t>[Guidance</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Note:</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Under</w:t>
      </w:r>
      <w:r w:rsidRPr="00CE5AA1">
        <w:rPr>
          <w:rFonts w:ascii="Arial" w:eastAsia="Arial" w:hAnsi="Arial" w:cs="Arial"/>
          <w:spacing w:val="31"/>
          <w:sz w:val="18"/>
          <w:szCs w:val="18"/>
          <w:highlight w:val="green"/>
        </w:rPr>
        <w:t xml:space="preserve"> </w:t>
      </w:r>
      <w:r w:rsidRPr="00CE5AA1">
        <w:rPr>
          <w:rFonts w:ascii="Arial" w:eastAsia="Arial" w:hAnsi="Arial" w:cs="Arial"/>
          <w:spacing w:val="-1"/>
          <w:sz w:val="18"/>
          <w:szCs w:val="18"/>
          <w:highlight w:val="green"/>
        </w:rPr>
        <w:t>Clause</w:t>
      </w:r>
      <w:r w:rsidRPr="00CE5AA1">
        <w:rPr>
          <w:rFonts w:ascii="Arial" w:eastAsia="Arial" w:hAnsi="Arial" w:cs="Arial"/>
          <w:spacing w:val="32"/>
          <w:sz w:val="18"/>
          <w:szCs w:val="18"/>
          <w:highlight w:val="green"/>
        </w:rPr>
        <w:t xml:space="preserve"> </w:t>
      </w:r>
      <w:hyperlink w:anchor="_bookmark244" w:history="1">
        <w:r w:rsidRPr="00CE5AA1">
          <w:rPr>
            <w:rFonts w:ascii="Arial" w:eastAsia="Arial" w:hAnsi="Arial" w:cs="Arial"/>
            <w:spacing w:val="-1"/>
            <w:sz w:val="18"/>
            <w:szCs w:val="18"/>
            <w:highlight w:val="green"/>
          </w:rPr>
          <w:t>42.1.1,</w:t>
        </w:r>
      </w:hyperlink>
      <w:r w:rsidRPr="00CE5AA1">
        <w:rPr>
          <w:rFonts w:ascii="Arial" w:eastAsia="Arial" w:hAnsi="Arial" w:cs="Arial"/>
          <w:spacing w:val="31"/>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Supplier</w:t>
      </w:r>
      <w:r w:rsidRPr="00CE5AA1">
        <w:rPr>
          <w:rFonts w:ascii="Arial" w:eastAsia="Arial" w:hAnsi="Arial" w:cs="Arial"/>
          <w:spacing w:val="31"/>
          <w:sz w:val="18"/>
          <w:szCs w:val="18"/>
          <w:highlight w:val="green"/>
        </w:rPr>
        <w:t xml:space="preserve"> </w:t>
      </w:r>
      <w:r w:rsidRPr="00CE5AA1">
        <w:rPr>
          <w:rFonts w:ascii="Arial" w:eastAsia="Arial" w:hAnsi="Arial" w:cs="Arial"/>
          <w:sz w:val="18"/>
          <w:szCs w:val="18"/>
          <w:highlight w:val="green"/>
        </w:rPr>
        <w:t>can,</w:t>
      </w:r>
      <w:r w:rsidRPr="00CE5AA1">
        <w:rPr>
          <w:rFonts w:ascii="Arial" w:eastAsia="Arial" w:hAnsi="Arial" w:cs="Arial"/>
          <w:spacing w:val="31"/>
          <w:sz w:val="18"/>
          <w:szCs w:val="18"/>
          <w:highlight w:val="green"/>
        </w:rPr>
        <w:t xml:space="preserve"> </w:t>
      </w:r>
      <w:r w:rsidRPr="00CE5AA1">
        <w:rPr>
          <w:rFonts w:ascii="Arial" w:eastAsia="Arial" w:hAnsi="Arial" w:cs="Arial"/>
          <w:spacing w:val="-1"/>
          <w:sz w:val="18"/>
          <w:szCs w:val="18"/>
          <w:highlight w:val="green"/>
        </w:rPr>
        <w:t>in</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certain</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circumstances,</w:t>
      </w:r>
      <w:r w:rsidRPr="00CE5AA1">
        <w:rPr>
          <w:rFonts w:ascii="Arial" w:eastAsia="Arial" w:hAnsi="Arial" w:cs="Arial"/>
          <w:spacing w:val="31"/>
          <w:sz w:val="18"/>
          <w:szCs w:val="18"/>
          <w:highlight w:val="green"/>
        </w:rPr>
        <w:t xml:space="preserve"> </w:t>
      </w:r>
      <w:r w:rsidRPr="00CE5AA1">
        <w:rPr>
          <w:rFonts w:ascii="Arial" w:eastAsia="Arial" w:hAnsi="Arial" w:cs="Arial"/>
          <w:spacing w:val="-1"/>
          <w:sz w:val="18"/>
          <w:szCs w:val="18"/>
          <w:highlight w:val="green"/>
        </w:rPr>
        <w:t>terminate</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32"/>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109"/>
          <w:sz w:val="18"/>
          <w:szCs w:val="18"/>
          <w:highlight w:val="green"/>
        </w:rPr>
        <w:t xml:space="preserve"> </w:t>
      </w:r>
      <w:r w:rsidRPr="00CE5AA1">
        <w:rPr>
          <w:rFonts w:ascii="Arial" w:eastAsia="Arial" w:hAnsi="Arial" w:cs="Arial"/>
          <w:spacing w:val="-1"/>
          <w:sz w:val="18"/>
          <w:szCs w:val="18"/>
          <w:highlight w:val="green"/>
        </w:rPr>
        <w:t>Contract</w:t>
      </w:r>
      <w:r w:rsidRPr="00CE5AA1">
        <w:rPr>
          <w:rFonts w:ascii="Arial" w:eastAsia="Arial" w:hAnsi="Arial" w:cs="Arial"/>
          <w:spacing w:val="19"/>
          <w:sz w:val="18"/>
          <w:szCs w:val="18"/>
          <w:highlight w:val="green"/>
        </w:rPr>
        <w:t xml:space="preserve"> </w:t>
      </w:r>
      <w:r w:rsidRPr="00CE5AA1">
        <w:rPr>
          <w:rFonts w:ascii="Arial" w:eastAsia="Arial" w:hAnsi="Arial" w:cs="Arial"/>
          <w:spacing w:val="-1"/>
          <w:sz w:val="18"/>
          <w:szCs w:val="18"/>
          <w:highlight w:val="green"/>
        </w:rPr>
        <w:t>where</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undisputed</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sums</w:t>
      </w:r>
      <w:r w:rsidRPr="00CE5AA1">
        <w:rPr>
          <w:rFonts w:ascii="Arial" w:eastAsia="Arial" w:hAnsi="Arial" w:cs="Arial"/>
          <w:spacing w:val="18"/>
          <w:sz w:val="18"/>
          <w:szCs w:val="18"/>
          <w:highlight w:val="green"/>
        </w:rPr>
        <w:t xml:space="preserve"> </w:t>
      </w:r>
      <w:r w:rsidRPr="00CE5AA1">
        <w:rPr>
          <w:rFonts w:ascii="Arial" w:eastAsia="Arial" w:hAnsi="Arial" w:cs="Arial"/>
          <w:sz w:val="18"/>
          <w:szCs w:val="18"/>
          <w:highlight w:val="green"/>
        </w:rPr>
        <w:t>due</w:t>
      </w:r>
      <w:r w:rsidRPr="00CE5AA1">
        <w:rPr>
          <w:rFonts w:ascii="Arial" w:eastAsia="Arial" w:hAnsi="Arial" w:cs="Arial"/>
          <w:spacing w:val="17"/>
          <w:sz w:val="18"/>
          <w:szCs w:val="18"/>
          <w:highlight w:val="green"/>
        </w:rPr>
        <w:t xml:space="preserve"> </w:t>
      </w:r>
      <w:r w:rsidRPr="00CE5AA1">
        <w:rPr>
          <w:rFonts w:ascii="Arial" w:eastAsia="Arial" w:hAnsi="Arial" w:cs="Arial"/>
          <w:sz w:val="18"/>
          <w:szCs w:val="18"/>
          <w:highlight w:val="green"/>
        </w:rPr>
        <w:t>are</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not</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paid</w:t>
      </w:r>
      <w:r w:rsidRPr="00CE5AA1">
        <w:rPr>
          <w:rFonts w:ascii="Arial" w:eastAsia="Arial" w:hAnsi="Arial" w:cs="Arial"/>
          <w:spacing w:val="17"/>
          <w:sz w:val="18"/>
          <w:szCs w:val="18"/>
          <w:highlight w:val="green"/>
        </w:rPr>
        <w:t xml:space="preserve"> </w:t>
      </w:r>
      <w:r w:rsidRPr="00CE5AA1">
        <w:rPr>
          <w:rFonts w:ascii="Arial" w:eastAsia="Arial" w:hAnsi="Arial" w:cs="Arial"/>
          <w:sz w:val="18"/>
          <w:szCs w:val="18"/>
          <w:highlight w:val="green"/>
        </w:rPr>
        <w:t>by</w:t>
      </w:r>
      <w:r w:rsidRPr="00CE5AA1">
        <w:rPr>
          <w:rFonts w:ascii="Arial" w:eastAsia="Arial" w:hAnsi="Arial" w:cs="Arial"/>
          <w:spacing w:val="18"/>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Customer.</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Customer</w:t>
      </w:r>
      <w:r w:rsidRPr="00CE5AA1">
        <w:rPr>
          <w:rFonts w:ascii="Arial" w:eastAsia="Arial" w:hAnsi="Arial" w:cs="Arial"/>
          <w:spacing w:val="19"/>
          <w:sz w:val="18"/>
          <w:szCs w:val="18"/>
          <w:highlight w:val="green"/>
        </w:rPr>
        <w:t xml:space="preserve"> </w:t>
      </w:r>
      <w:r w:rsidRPr="00CE5AA1">
        <w:rPr>
          <w:rFonts w:ascii="Arial" w:eastAsia="Arial" w:hAnsi="Arial" w:cs="Arial"/>
          <w:spacing w:val="-1"/>
          <w:sz w:val="18"/>
          <w:szCs w:val="18"/>
          <w:highlight w:val="green"/>
        </w:rPr>
        <w:t>will</w:t>
      </w:r>
      <w:r w:rsidRPr="00CE5AA1">
        <w:rPr>
          <w:rFonts w:ascii="Arial" w:eastAsia="Arial" w:hAnsi="Arial" w:cs="Arial"/>
          <w:spacing w:val="18"/>
          <w:sz w:val="18"/>
          <w:szCs w:val="18"/>
          <w:highlight w:val="green"/>
        </w:rPr>
        <w:t xml:space="preserve"> </w:t>
      </w:r>
      <w:r w:rsidRPr="00CE5AA1">
        <w:rPr>
          <w:rFonts w:ascii="Arial" w:eastAsia="Arial" w:hAnsi="Arial" w:cs="Arial"/>
          <w:spacing w:val="-1"/>
          <w:sz w:val="18"/>
          <w:szCs w:val="18"/>
          <w:highlight w:val="green"/>
        </w:rPr>
        <w:t>not</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have</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this</w:t>
      </w:r>
      <w:r w:rsidRPr="00CE5AA1">
        <w:rPr>
          <w:rFonts w:ascii="Arial" w:eastAsia="Arial" w:hAnsi="Arial" w:cs="Arial"/>
          <w:spacing w:val="18"/>
          <w:sz w:val="18"/>
          <w:szCs w:val="18"/>
          <w:highlight w:val="green"/>
        </w:rPr>
        <w:t xml:space="preserve"> </w:t>
      </w:r>
      <w:r w:rsidRPr="00CE5AA1">
        <w:rPr>
          <w:rFonts w:ascii="Arial" w:eastAsia="Arial" w:hAnsi="Arial" w:cs="Arial"/>
          <w:spacing w:val="-1"/>
          <w:sz w:val="18"/>
          <w:szCs w:val="18"/>
          <w:highlight w:val="green"/>
        </w:rPr>
        <w:t>right</w:t>
      </w:r>
      <w:r w:rsidRPr="00CE5AA1">
        <w:rPr>
          <w:rFonts w:ascii="Arial" w:eastAsia="Arial" w:hAnsi="Arial" w:cs="Arial"/>
          <w:spacing w:val="20"/>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73"/>
          <w:sz w:val="18"/>
          <w:szCs w:val="18"/>
          <w:highlight w:val="green"/>
        </w:rPr>
        <w:t xml:space="preserve"> </w:t>
      </w:r>
      <w:r w:rsidRPr="00CE5AA1">
        <w:rPr>
          <w:rFonts w:ascii="Arial" w:eastAsia="Arial" w:hAnsi="Arial" w:cs="Arial"/>
          <w:spacing w:val="-1"/>
          <w:sz w:val="18"/>
          <w:szCs w:val="18"/>
          <w:highlight w:val="green"/>
        </w:rPr>
        <w:t>terminate</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unless</w:t>
      </w:r>
      <w:r w:rsidRPr="00CE5AA1">
        <w:rPr>
          <w:rFonts w:ascii="Arial" w:eastAsia="Arial" w:hAnsi="Arial" w:cs="Arial"/>
          <w:spacing w:val="16"/>
          <w:sz w:val="18"/>
          <w:szCs w:val="18"/>
          <w:highlight w:val="green"/>
        </w:rPr>
        <w:t xml:space="preserve"> </w:t>
      </w:r>
      <w:r w:rsidRPr="00CE5AA1">
        <w:rPr>
          <w:rFonts w:ascii="Arial" w:eastAsia="Arial" w:hAnsi="Arial" w:cs="Arial"/>
          <w:spacing w:val="-1"/>
          <w:sz w:val="18"/>
          <w:szCs w:val="18"/>
          <w:highlight w:val="green"/>
        </w:rPr>
        <w:t>certain</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conditions</w:t>
      </w:r>
      <w:r w:rsidRPr="00CE5AA1">
        <w:rPr>
          <w:rFonts w:ascii="Arial" w:eastAsia="Arial" w:hAnsi="Arial" w:cs="Arial"/>
          <w:spacing w:val="18"/>
          <w:sz w:val="18"/>
          <w:szCs w:val="18"/>
          <w:highlight w:val="green"/>
        </w:rPr>
        <w:t xml:space="preserve"> </w:t>
      </w:r>
      <w:r w:rsidRPr="00CE5AA1">
        <w:rPr>
          <w:rFonts w:ascii="Arial" w:eastAsia="Arial" w:hAnsi="Arial" w:cs="Arial"/>
          <w:sz w:val="18"/>
          <w:szCs w:val="18"/>
          <w:highlight w:val="green"/>
        </w:rPr>
        <w:t>are</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met.</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One</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such</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condition</w:t>
      </w:r>
      <w:r w:rsidRPr="00CE5AA1">
        <w:rPr>
          <w:rFonts w:ascii="Arial" w:eastAsia="Arial" w:hAnsi="Arial" w:cs="Arial"/>
          <w:spacing w:val="15"/>
          <w:sz w:val="18"/>
          <w:szCs w:val="18"/>
          <w:highlight w:val="green"/>
        </w:rPr>
        <w:t xml:space="preserve"> </w:t>
      </w:r>
      <w:r w:rsidRPr="00CE5AA1">
        <w:rPr>
          <w:rFonts w:ascii="Arial" w:eastAsia="Arial" w:hAnsi="Arial" w:cs="Arial"/>
          <w:sz w:val="18"/>
          <w:szCs w:val="18"/>
          <w:highlight w:val="green"/>
        </w:rPr>
        <w:t>is</w:t>
      </w:r>
      <w:r w:rsidRPr="00CE5AA1">
        <w:rPr>
          <w:rFonts w:ascii="Arial" w:eastAsia="Arial" w:hAnsi="Arial" w:cs="Arial"/>
          <w:spacing w:val="18"/>
          <w:sz w:val="18"/>
          <w:szCs w:val="18"/>
          <w:highlight w:val="green"/>
        </w:rPr>
        <w:t xml:space="preserve"> </w:t>
      </w:r>
      <w:r w:rsidRPr="00CE5AA1">
        <w:rPr>
          <w:rFonts w:ascii="Arial" w:eastAsia="Arial" w:hAnsi="Arial" w:cs="Arial"/>
          <w:spacing w:val="-1"/>
          <w:sz w:val="18"/>
          <w:szCs w:val="18"/>
          <w:highlight w:val="green"/>
        </w:rPr>
        <w:t>that</w:t>
      </w:r>
      <w:r w:rsidRPr="00CE5AA1">
        <w:rPr>
          <w:rFonts w:ascii="Arial" w:eastAsia="Arial" w:hAnsi="Arial" w:cs="Arial"/>
          <w:spacing w:val="17"/>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15"/>
          <w:sz w:val="18"/>
          <w:szCs w:val="18"/>
          <w:highlight w:val="green"/>
        </w:rPr>
        <w:t xml:space="preserve"> </w:t>
      </w:r>
      <w:r w:rsidRPr="00CE5AA1">
        <w:rPr>
          <w:rFonts w:ascii="Arial" w:eastAsia="Arial" w:hAnsi="Arial" w:cs="Arial"/>
          <w:spacing w:val="-1"/>
          <w:sz w:val="18"/>
          <w:szCs w:val="18"/>
          <w:highlight w:val="green"/>
        </w:rPr>
        <w:t>aggregated</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amount</w:t>
      </w:r>
      <w:r w:rsidRPr="00CE5AA1">
        <w:rPr>
          <w:rFonts w:ascii="Arial" w:eastAsia="Arial" w:hAnsi="Arial" w:cs="Arial"/>
          <w:spacing w:val="17"/>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undisputed</w:t>
      </w:r>
      <w:r w:rsidRPr="00CE5AA1">
        <w:rPr>
          <w:rFonts w:ascii="Arial" w:eastAsia="Arial" w:hAnsi="Arial" w:cs="Arial"/>
          <w:spacing w:val="89"/>
          <w:sz w:val="18"/>
          <w:szCs w:val="18"/>
          <w:highlight w:val="green"/>
        </w:rPr>
        <w:t xml:space="preserve"> </w:t>
      </w:r>
      <w:r w:rsidRPr="00CE5AA1">
        <w:rPr>
          <w:rFonts w:ascii="Arial" w:eastAsia="Arial" w:hAnsi="Arial" w:cs="Arial"/>
          <w:spacing w:val="-1"/>
          <w:sz w:val="18"/>
          <w:szCs w:val="18"/>
          <w:highlight w:val="green"/>
        </w:rPr>
        <w:t>sums</w:t>
      </w:r>
      <w:r w:rsidRPr="00CE5AA1">
        <w:rPr>
          <w:rFonts w:ascii="Arial" w:eastAsia="Arial" w:hAnsi="Arial" w:cs="Arial"/>
          <w:spacing w:val="11"/>
          <w:sz w:val="18"/>
          <w:szCs w:val="18"/>
          <w:highlight w:val="green"/>
        </w:rPr>
        <w:t xml:space="preserve"> </w:t>
      </w:r>
      <w:r w:rsidRPr="00CE5AA1">
        <w:rPr>
          <w:rFonts w:ascii="Arial" w:eastAsia="Arial" w:hAnsi="Arial" w:cs="Arial"/>
          <w:spacing w:val="-1"/>
          <w:sz w:val="18"/>
          <w:szCs w:val="18"/>
          <w:highlight w:val="green"/>
        </w:rPr>
        <w:t>exceeds</w:t>
      </w:r>
      <w:r w:rsidRPr="00CE5AA1">
        <w:rPr>
          <w:rFonts w:ascii="Arial" w:eastAsia="Arial" w:hAnsi="Arial" w:cs="Arial"/>
          <w:spacing w:val="11"/>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“Undisputed</w:t>
      </w:r>
      <w:r w:rsidRPr="00CE5AA1">
        <w:rPr>
          <w:rFonts w:ascii="Arial" w:eastAsia="Arial" w:hAnsi="Arial" w:cs="Arial"/>
          <w:spacing w:val="10"/>
          <w:sz w:val="18"/>
          <w:szCs w:val="18"/>
          <w:highlight w:val="green"/>
        </w:rPr>
        <w:t xml:space="preserve"> </w:t>
      </w:r>
      <w:r w:rsidRPr="00CE5AA1">
        <w:rPr>
          <w:rFonts w:ascii="Arial" w:eastAsia="Arial" w:hAnsi="Arial" w:cs="Arial"/>
          <w:sz w:val="18"/>
          <w:szCs w:val="18"/>
          <w:highlight w:val="green"/>
        </w:rPr>
        <w:t>Sums</w:t>
      </w:r>
      <w:r w:rsidRPr="00CE5AA1">
        <w:rPr>
          <w:rFonts w:ascii="Arial" w:eastAsia="Arial" w:hAnsi="Arial" w:cs="Arial"/>
          <w:spacing w:val="8"/>
          <w:sz w:val="18"/>
          <w:szCs w:val="18"/>
          <w:highlight w:val="green"/>
        </w:rPr>
        <w:t xml:space="preserve"> </w:t>
      </w:r>
      <w:r w:rsidRPr="00CE5AA1">
        <w:rPr>
          <w:rFonts w:ascii="Arial" w:eastAsia="Arial" w:hAnsi="Arial" w:cs="Arial"/>
          <w:spacing w:val="-1"/>
          <w:sz w:val="18"/>
          <w:szCs w:val="18"/>
          <w:highlight w:val="green"/>
        </w:rPr>
        <w:t>Limit”.</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Please</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insert</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an</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appropriate</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amount</w:t>
      </w:r>
      <w:r w:rsidRPr="00CE5AA1">
        <w:rPr>
          <w:rFonts w:ascii="Arial" w:eastAsia="Arial" w:hAnsi="Arial" w:cs="Arial"/>
          <w:spacing w:val="7"/>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10"/>
          <w:sz w:val="18"/>
          <w:szCs w:val="18"/>
          <w:highlight w:val="green"/>
        </w:rPr>
        <w:t xml:space="preserve"> </w:t>
      </w:r>
      <w:r w:rsidRPr="00CE5AA1">
        <w:rPr>
          <w:rFonts w:ascii="Arial" w:eastAsia="Arial" w:hAnsi="Arial" w:cs="Arial"/>
          <w:sz w:val="18"/>
          <w:szCs w:val="18"/>
          <w:highlight w:val="green"/>
        </w:rPr>
        <w:t>be</w:t>
      </w:r>
      <w:r w:rsidRPr="00CE5AA1">
        <w:rPr>
          <w:rFonts w:ascii="Arial" w:eastAsia="Arial" w:hAnsi="Arial" w:cs="Arial"/>
          <w:spacing w:val="10"/>
          <w:sz w:val="18"/>
          <w:szCs w:val="18"/>
          <w:highlight w:val="green"/>
        </w:rPr>
        <w:t xml:space="preserve"> </w:t>
      </w:r>
      <w:r w:rsidRPr="00CE5AA1">
        <w:rPr>
          <w:rFonts w:ascii="Arial" w:eastAsia="Arial" w:hAnsi="Arial" w:cs="Arial"/>
          <w:spacing w:val="-2"/>
          <w:sz w:val="18"/>
          <w:szCs w:val="18"/>
          <w:highlight w:val="green"/>
        </w:rPr>
        <w:t>the</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“Undisputed</w:t>
      </w:r>
      <w:r w:rsidRPr="00CE5AA1">
        <w:rPr>
          <w:rFonts w:ascii="Arial" w:eastAsia="Arial" w:hAnsi="Arial" w:cs="Arial"/>
          <w:spacing w:val="10"/>
          <w:sz w:val="18"/>
          <w:szCs w:val="18"/>
          <w:highlight w:val="green"/>
        </w:rPr>
        <w:t xml:space="preserve"> </w:t>
      </w:r>
      <w:r w:rsidRPr="00CE5AA1">
        <w:rPr>
          <w:rFonts w:ascii="Arial" w:eastAsia="Arial" w:hAnsi="Arial" w:cs="Arial"/>
          <w:spacing w:val="-1"/>
          <w:sz w:val="18"/>
          <w:szCs w:val="18"/>
          <w:highlight w:val="green"/>
        </w:rPr>
        <w:t>Sums</w:t>
      </w:r>
      <w:r w:rsidRPr="00CE5AA1">
        <w:rPr>
          <w:rFonts w:ascii="Arial" w:eastAsia="Arial" w:hAnsi="Arial" w:cs="Arial"/>
          <w:spacing w:val="95"/>
          <w:sz w:val="18"/>
          <w:szCs w:val="18"/>
          <w:highlight w:val="green"/>
        </w:rPr>
        <w:t xml:space="preserve"> </w:t>
      </w:r>
      <w:r w:rsidRPr="00CE5AA1">
        <w:rPr>
          <w:rFonts w:ascii="Arial" w:eastAsia="Arial" w:hAnsi="Arial" w:cs="Arial"/>
          <w:spacing w:val="-1"/>
          <w:sz w:val="18"/>
          <w:szCs w:val="18"/>
          <w:highlight w:val="green"/>
        </w:rPr>
        <w:t>Limit”.</w:t>
      </w:r>
      <w:r w:rsidRPr="00CE5AA1">
        <w:rPr>
          <w:rFonts w:ascii="Arial" w:eastAsia="Arial" w:hAnsi="Arial" w:cs="Arial"/>
          <w:spacing w:val="19"/>
          <w:sz w:val="18"/>
          <w:szCs w:val="18"/>
          <w:highlight w:val="green"/>
        </w:rPr>
        <w:t xml:space="preserve"> </w:t>
      </w:r>
      <w:r w:rsidRPr="00CE5AA1">
        <w:rPr>
          <w:rFonts w:ascii="Arial" w:eastAsia="Arial" w:hAnsi="Arial" w:cs="Arial"/>
          <w:sz w:val="18"/>
          <w:szCs w:val="18"/>
          <w:highlight w:val="green"/>
        </w:rPr>
        <w:t>It</w:t>
      </w:r>
      <w:r w:rsidRPr="00CE5AA1">
        <w:rPr>
          <w:rFonts w:ascii="Arial" w:eastAsia="Arial" w:hAnsi="Arial" w:cs="Arial"/>
          <w:spacing w:val="20"/>
          <w:sz w:val="18"/>
          <w:szCs w:val="18"/>
          <w:highlight w:val="green"/>
        </w:rPr>
        <w:t xml:space="preserve"> </w:t>
      </w:r>
      <w:r w:rsidRPr="00CE5AA1">
        <w:rPr>
          <w:rFonts w:ascii="Arial" w:eastAsia="Arial" w:hAnsi="Arial" w:cs="Arial"/>
          <w:sz w:val="18"/>
          <w:szCs w:val="18"/>
          <w:highlight w:val="green"/>
        </w:rPr>
        <w:t>is</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suggest</w:t>
      </w:r>
      <w:r w:rsidRPr="00CE5AA1">
        <w:rPr>
          <w:rFonts w:ascii="Arial" w:eastAsia="Arial" w:hAnsi="Arial" w:cs="Arial"/>
          <w:spacing w:val="19"/>
          <w:sz w:val="18"/>
          <w:szCs w:val="18"/>
          <w:highlight w:val="green"/>
        </w:rPr>
        <w:t xml:space="preserve"> </w:t>
      </w:r>
      <w:r w:rsidRPr="00CE5AA1">
        <w:rPr>
          <w:rFonts w:ascii="Arial" w:eastAsia="Arial" w:hAnsi="Arial" w:cs="Arial"/>
          <w:sz w:val="18"/>
          <w:szCs w:val="18"/>
          <w:highlight w:val="green"/>
        </w:rPr>
        <w:t>that</w:t>
      </w:r>
      <w:r w:rsidRPr="00CE5AA1">
        <w:rPr>
          <w:rFonts w:ascii="Arial" w:eastAsia="Arial" w:hAnsi="Arial" w:cs="Arial"/>
          <w:spacing w:val="19"/>
          <w:sz w:val="18"/>
          <w:szCs w:val="18"/>
          <w:highlight w:val="green"/>
        </w:rPr>
        <w:t xml:space="preserve"> </w:t>
      </w:r>
      <w:r w:rsidRPr="00CE5AA1">
        <w:rPr>
          <w:rFonts w:ascii="Arial" w:eastAsia="Arial" w:hAnsi="Arial" w:cs="Arial"/>
          <w:spacing w:val="-1"/>
          <w:sz w:val="18"/>
          <w:szCs w:val="18"/>
          <w:highlight w:val="green"/>
        </w:rPr>
        <w:t>this</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be</w:t>
      </w:r>
      <w:r w:rsidRPr="00CE5AA1">
        <w:rPr>
          <w:rFonts w:ascii="Arial" w:eastAsia="Arial" w:hAnsi="Arial" w:cs="Arial"/>
          <w:spacing w:val="19"/>
          <w:sz w:val="18"/>
          <w:szCs w:val="18"/>
          <w:highlight w:val="green"/>
        </w:rPr>
        <w:t xml:space="preserve"> </w:t>
      </w:r>
      <w:r w:rsidRPr="00CE5AA1">
        <w:rPr>
          <w:rFonts w:ascii="Arial" w:eastAsia="Arial" w:hAnsi="Arial" w:cs="Arial"/>
          <w:spacing w:val="-1"/>
          <w:sz w:val="18"/>
          <w:szCs w:val="18"/>
          <w:highlight w:val="green"/>
        </w:rPr>
        <w:t>equivalent</w:t>
      </w:r>
      <w:r w:rsidRPr="00CE5AA1">
        <w:rPr>
          <w:rFonts w:ascii="Arial" w:eastAsia="Arial" w:hAnsi="Arial" w:cs="Arial"/>
          <w:spacing w:val="20"/>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20"/>
          <w:sz w:val="18"/>
          <w:szCs w:val="18"/>
          <w:highlight w:val="green"/>
        </w:rPr>
        <w:t xml:space="preserve"> </w:t>
      </w:r>
      <w:r w:rsidRPr="00CE5AA1">
        <w:rPr>
          <w:rFonts w:ascii="Arial" w:eastAsia="Arial" w:hAnsi="Arial" w:cs="Arial"/>
          <w:sz w:val="18"/>
          <w:szCs w:val="18"/>
          <w:highlight w:val="green"/>
        </w:rPr>
        <w:t>one</w:t>
      </w:r>
      <w:r w:rsidRPr="00CE5AA1">
        <w:rPr>
          <w:rFonts w:ascii="Arial" w:eastAsia="Arial" w:hAnsi="Arial" w:cs="Arial"/>
          <w:spacing w:val="20"/>
          <w:sz w:val="18"/>
          <w:szCs w:val="18"/>
          <w:highlight w:val="green"/>
        </w:rPr>
        <w:t xml:space="preserve"> </w:t>
      </w:r>
      <w:r w:rsidRPr="00CE5AA1">
        <w:rPr>
          <w:rFonts w:ascii="Arial" w:eastAsia="Arial" w:hAnsi="Arial" w:cs="Arial"/>
          <w:sz w:val="18"/>
          <w:szCs w:val="18"/>
          <w:highlight w:val="green"/>
        </w:rPr>
        <w:t>(1)</w:t>
      </w:r>
      <w:r w:rsidRPr="00CE5AA1">
        <w:rPr>
          <w:rFonts w:ascii="Arial" w:eastAsia="Arial" w:hAnsi="Arial" w:cs="Arial"/>
          <w:spacing w:val="19"/>
          <w:sz w:val="18"/>
          <w:szCs w:val="18"/>
          <w:highlight w:val="green"/>
        </w:rPr>
        <w:t xml:space="preserve"> </w:t>
      </w:r>
      <w:r w:rsidRPr="00CE5AA1">
        <w:rPr>
          <w:rFonts w:ascii="Arial" w:eastAsia="Arial" w:hAnsi="Arial" w:cs="Arial"/>
          <w:spacing w:val="-1"/>
          <w:sz w:val="18"/>
          <w:szCs w:val="18"/>
          <w:highlight w:val="green"/>
        </w:rPr>
        <w:t>month’s</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average</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20"/>
          <w:sz w:val="18"/>
          <w:szCs w:val="18"/>
          <w:highlight w:val="green"/>
        </w:rPr>
        <w:t xml:space="preserve"> </w:t>
      </w:r>
      <w:r w:rsidRPr="00CE5AA1">
        <w:rPr>
          <w:rFonts w:ascii="Arial" w:eastAsia="Arial" w:hAnsi="Arial" w:cs="Arial"/>
          <w:sz w:val="18"/>
          <w:szCs w:val="18"/>
          <w:highlight w:val="green"/>
        </w:rPr>
        <w:t>Contract</w:t>
      </w:r>
      <w:r w:rsidRPr="00CE5AA1">
        <w:rPr>
          <w:rFonts w:ascii="Arial" w:eastAsia="Arial" w:hAnsi="Arial" w:cs="Arial"/>
          <w:spacing w:val="17"/>
          <w:sz w:val="18"/>
          <w:szCs w:val="18"/>
          <w:highlight w:val="green"/>
        </w:rPr>
        <w:t xml:space="preserve"> </w:t>
      </w:r>
      <w:r w:rsidRPr="00CE5AA1">
        <w:rPr>
          <w:rFonts w:ascii="Arial" w:eastAsia="Arial" w:hAnsi="Arial" w:cs="Arial"/>
          <w:spacing w:val="-1"/>
          <w:sz w:val="18"/>
          <w:szCs w:val="18"/>
          <w:highlight w:val="green"/>
        </w:rPr>
        <w:t>Charges,</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unless</w:t>
      </w:r>
      <w:r w:rsidRPr="00CE5AA1">
        <w:rPr>
          <w:rFonts w:ascii="Arial" w:eastAsia="Arial" w:hAnsi="Arial" w:cs="Arial"/>
          <w:spacing w:val="20"/>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85"/>
          <w:sz w:val="18"/>
          <w:szCs w:val="18"/>
          <w:highlight w:val="green"/>
        </w:rPr>
        <w:t xml:space="preserve"> </w:t>
      </w:r>
      <w:r w:rsidRPr="00CE5AA1">
        <w:rPr>
          <w:rFonts w:ascii="Arial" w:eastAsia="Arial" w:hAnsi="Arial" w:cs="Arial"/>
          <w:spacing w:val="-1"/>
          <w:sz w:val="18"/>
          <w:szCs w:val="18"/>
          <w:highlight w:val="green"/>
        </w:rPr>
        <w:t>Customer</w:t>
      </w:r>
      <w:r w:rsidRPr="00CE5AA1">
        <w:rPr>
          <w:rFonts w:ascii="Arial" w:eastAsia="Arial" w:hAnsi="Arial" w:cs="Arial"/>
          <w:sz w:val="18"/>
          <w:szCs w:val="18"/>
          <w:highlight w:val="green"/>
        </w:rPr>
        <w:t xml:space="preserve"> </w:t>
      </w:r>
      <w:r w:rsidRPr="00CE5AA1">
        <w:rPr>
          <w:rFonts w:ascii="Arial" w:eastAsia="Arial" w:hAnsi="Arial" w:cs="Arial"/>
          <w:spacing w:val="-1"/>
          <w:sz w:val="18"/>
          <w:szCs w:val="18"/>
          <w:highlight w:val="green"/>
        </w:rPr>
        <w:t>believes</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there</w:t>
      </w:r>
      <w:r w:rsidRPr="00CE5AA1">
        <w:rPr>
          <w:rFonts w:ascii="Arial" w:eastAsia="Arial" w:hAnsi="Arial" w:cs="Arial"/>
          <w:spacing w:val="-2"/>
          <w:sz w:val="18"/>
          <w:szCs w:val="18"/>
          <w:highlight w:val="green"/>
        </w:rPr>
        <w:t xml:space="preserve"> </w:t>
      </w:r>
      <w:r w:rsidRPr="00CE5AA1">
        <w:rPr>
          <w:rFonts w:ascii="Arial" w:eastAsia="Arial" w:hAnsi="Arial" w:cs="Arial"/>
          <w:sz w:val="18"/>
          <w:szCs w:val="18"/>
          <w:highlight w:val="green"/>
        </w:rPr>
        <w:t>are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good</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reasons</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 xml:space="preserve">why </w:t>
      </w:r>
      <w:r w:rsidRPr="00CE5AA1">
        <w:rPr>
          <w:rFonts w:ascii="Arial" w:eastAsia="Arial" w:hAnsi="Arial" w:cs="Arial"/>
          <w:sz w:val="18"/>
          <w:szCs w:val="18"/>
          <w:highlight w:val="green"/>
        </w:rPr>
        <w:t>this</w:t>
      </w:r>
      <w:r w:rsidRPr="00CE5AA1">
        <w:rPr>
          <w:rFonts w:ascii="Arial" w:eastAsia="Arial" w:hAnsi="Arial" w:cs="Arial"/>
          <w:spacing w:val="-1"/>
          <w:sz w:val="18"/>
          <w:szCs w:val="18"/>
          <w:highlight w:val="green"/>
        </w:rPr>
        <w:t xml:space="preserve"> should</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be</w:t>
      </w:r>
      <w:r w:rsidRPr="00CE5AA1">
        <w:rPr>
          <w:rFonts w:ascii="Arial" w:eastAsia="Arial" w:hAnsi="Arial" w:cs="Arial"/>
          <w:spacing w:val="1"/>
          <w:sz w:val="18"/>
          <w:szCs w:val="18"/>
          <w:highlight w:val="green"/>
        </w:rPr>
        <w:t xml:space="preserve"> </w:t>
      </w:r>
      <w:r w:rsidRPr="00CE5AA1">
        <w:rPr>
          <w:rFonts w:ascii="Arial" w:eastAsia="Arial" w:hAnsi="Arial" w:cs="Arial"/>
          <w:sz w:val="18"/>
          <w:szCs w:val="18"/>
          <w:highlight w:val="green"/>
        </w:rPr>
        <w:t>some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other</w:t>
      </w:r>
      <w:r w:rsidRPr="00CE5AA1">
        <w:rPr>
          <w:rFonts w:ascii="Arial" w:eastAsia="Arial" w:hAnsi="Arial" w:cs="Arial"/>
          <w:spacing w:val="-2"/>
          <w:sz w:val="18"/>
          <w:szCs w:val="18"/>
          <w:highlight w:val="green"/>
        </w:rPr>
        <w:t xml:space="preserve"> </w:t>
      </w:r>
      <w:r w:rsidRPr="00CE5AA1">
        <w:rPr>
          <w:rFonts w:ascii="Arial" w:eastAsia="Arial" w:hAnsi="Arial" w:cs="Arial"/>
          <w:spacing w:val="-1"/>
          <w:sz w:val="18"/>
          <w:szCs w:val="18"/>
          <w:highlight w:val="green"/>
        </w:rPr>
        <w:t>figure]</w:t>
      </w:r>
    </w:p>
    <w:p w:rsidR="008918FA" w:rsidRDefault="008918FA" w:rsidP="008918FA">
      <w:pPr>
        <w:spacing w:before="88"/>
        <w:ind w:left="241" w:right="110"/>
        <w:jc w:val="both"/>
        <w:rPr>
          <w:rFonts w:ascii="Arial" w:eastAsia="Arial" w:hAnsi="Arial" w:cs="Arial"/>
          <w:sz w:val="18"/>
          <w:szCs w:val="18"/>
        </w:rPr>
      </w:pPr>
      <w:r w:rsidRPr="00CE5AA1">
        <w:rPr>
          <w:rFonts w:ascii="Arial"/>
          <w:position w:val="9"/>
          <w:sz w:val="12"/>
          <w:highlight w:val="green"/>
        </w:rPr>
        <w:t>28</w:t>
      </w:r>
      <w:r w:rsidRPr="00CE5AA1">
        <w:rPr>
          <w:rFonts w:ascii="Arial"/>
          <w:spacing w:val="19"/>
          <w:position w:val="9"/>
          <w:sz w:val="12"/>
          <w:highlight w:val="green"/>
        </w:rPr>
        <w:t xml:space="preserve"> </w:t>
      </w:r>
      <w:bookmarkStart w:id="20" w:name="_bookmark28"/>
      <w:bookmarkEnd w:id="20"/>
      <w:r w:rsidRPr="00CE5AA1">
        <w:rPr>
          <w:rFonts w:ascii="Arial"/>
          <w:spacing w:val="-1"/>
          <w:sz w:val="18"/>
          <w:highlight w:val="green"/>
        </w:rPr>
        <w:t>[Guidance</w:t>
      </w:r>
      <w:r w:rsidRPr="00CE5AA1">
        <w:rPr>
          <w:rFonts w:ascii="Arial"/>
          <w:spacing w:val="3"/>
          <w:sz w:val="18"/>
          <w:highlight w:val="green"/>
        </w:rPr>
        <w:t xml:space="preserve"> </w:t>
      </w:r>
      <w:r w:rsidRPr="00CE5AA1">
        <w:rPr>
          <w:rFonts w:ascii="Arial"/>
          <w:spacing w:val="-1"/>
          <w:sz w:val="18"/>
          <w:highlight w:val="green"/>
        </w:rPr>
        <w:t>Note:</w:t>
      </w:r>
      <w:r w:rsidRPr="00CE5AA1">
        <w:rPr>
          <w:rFonts w:ascii="Arial"/>
          <w:spacing w:val="3"/>
          <w:sz w:val="18"/>
          <w:highlight w:val="green"/>
        </w:rPr>
        <w:t xml:space="preserve"> </w:t>
      </w:r>
      <w:r w:rsidRPr="00CE5AA1">
        <w:rPr>
          <w:rFonts w:ascii="Arial"/>
          <w:spacing w:val="-1"/>
          <w:sz w:val="18"/>
          <w:highlight w:val="green"/>
        </w:rPr>
        <w:t>Consider</w:t>
      </w:r>
      <w:r w:rsidRPr="00CE5AA1">
        <w:rPr>
          <w:rFonts w:ascii="Arial"/>
          <w:sz w:val="18"/>
          <w:highlight w:val="green"/>
        </w:rPr>
        <w:t xml:space="preserve"> the</w:t>
      </w:r>
      <w:r w:rsidRPr="00CE5AA1">
        <w:rPr>
          <w:rFonts w:ascii="Arial"/>
          <w:spacing w:val="1"/>
          <w:sz w:val="18"/>
          <w:highlight w:val="green"/>
        </w:rPr>
        <w:t xml:space="preserve"> </w:t>
      </w:r>
      <w:r w:rsidRPr="00CE5AA1">
        <w:rPr>
          <w:rFonts w:ascii="Arial"/>
          <w:sz w:val="18"/>
          <w:highlight w:val="green"/>
        </w:rPr>
        <w:t>list</w:t>
      </w:r>
      <w:r w:rsidRPr="00CE5AA1">
        <w:rPr>
          <w:rFonts w:ascii="Arial"/>
          <w:spacing w:val="3"/>
          <w:sz w:val="18"/>
          <w:highlight w:val="green"/>
        </w:rPr>
        <w:t xml:space="preserve"> </w:t>
      </w:r>
      <w:r w:rsidRPr="00CE5AA1">
        <w:rPr>
          <w:rFonts w:ascii="Arial"/>
          <w:spacing w:val="-1"/>
          <w:sz w:val="18"/>
          <w:highlight w:val="green"/>
        </w:rPr>
        <w:t>of</w:t>
      </w:r>
      <w:r w:rsidRPr="00CE5AA1">
        <w:rPr>
          <w:rFonts w:ascii="Arial"/>
          <w:spacing w:val="2"/>
          <w:sz w:val="18"/>
          <w:highlight w:val="green"/>
        </w:rPr>
        <w:t xml:space="preserve"> </w:t>
      </w:r>
      <w:r w:rsidRPr="00CE5AA1">
        <w:rPr>
          <w:rFonts w:ascii="Arial"/>
          <w:spacing w:val="-1"/>
          <w:sz w:val="18"/>
          <w:highlight w:val="green"/>
        </w:rPr>
        <w:t>further</w:t>
      </w:r>
      <w:r w:rsidRPr="00CE5AA1">
        <w:rPr>
          <w:rFonts w:ascii="Arial"/>
          <w:spacing w:val="2"/>
          <w:sz w:val="18"/>
          <w:highlight w:val="green"/>
        </w:rPr>
        <w:t xml:space="preserve"> </w:t>
      </w:r>
      <w:r w:rsidRPr="00CE5AA1">
        <w:rPr>
          <w:rFonts w:ascii="Arial"/>
          <w:spacing w:val="-1"/>
          <w:sz w:val="18"/>
          <w:highlight w:val="green"/>
        </w:rPr>
        <w:t>contractual</w:t>
      </w:r>
      <w:r w:rsidRPr="00CE5AA1">
        <w:rPr>
          <w:rFonts w:ascii="Arial"/>
          <w:spacing w:val="3"/>
          <w:sz w:val="18"/>
          <w:highlight w:val="green"/>
        </w:rPr>
        <w:t xml:space="preserve"> </w:t>
      </w:r>
      <w:r w:rsidRPr="00CE5AA1">
        <w:rPr>
          <w:rFonts w:ascii="Arial"/>
          <w:spacing w:val="-1"/>
          <w:sz w:val="18"/>
          <w:highlight w:val="green"/>
        </w:rPr>
        <w:t>requirements</w:t>
      </w:r>
      <w:r w:rsidRPr="00CE5AA1">
        <w:rPr>
          <w:rFonts w:ascii="Arial"/>
          <w:spacing w:val="3"/>
          <w:sz w:val="18"/>
          <w:highlight w:val="green"/>
        </w:rPr>
        <w:t xml:space="preserve"> </w:t>
      </w:r>
      <w:r w:rsidRPr="00CE5AA1">
        <w:rPr>
          <w:rFonts w:ascii="Arial"/>
          <w:spacing w:val="-1"/>
          <w:sz w:val="18"/>
          <w:highlight w:val="green"/>
        </w:rPr>
        <w:t>set</w:t>
      </w:r>
      <w:r w:rsidRPr="00CE5AA1">
        <w:rPr>
          <w:rFonts w:ascii="Arial"/>
          <w:spacing w:val="3"/>
          <w:sz w:val="18"/>
          <w:highlight w:val="green"/>
        </w:rPr>
        <w:t xml:space="preserve"> </w:t>
      </w:r>
      <w:r w:rsidRPr="00CE5AA1">
        <w:rPr>
          <w:rFonts w:ascii="Arial"/>
          <w:spacing w:val="-1"/>
          <w:sz w:val="18"/>
          <w:highlight w:val="green"/>
        </w:rPr>
        <w:t>out</w:t>
      </w:r>
      <w:r w:rsidRPr="00CE5AA1">
        <w:rPr>
          <w:rFonts w:ascii="Arial"/>
          <w:spacing w:val="3"/>
          <w:sz w:val="18"/>
          <w:highlight w:val="green"/>
        </w:rPr>
        <w:t xml:space="preserve"> </w:t>
      </w:r>
      <w:r w:rsidRPr="00CE5AA1">
        <w:rPr>
          <w:rFonts w:ascii="Arial"/>
          <w:sz w:val="18"/>
          <w:highlight w:val="green"/>
        </w:rPr>
        <w:t>in</w:t>
      </w:r>
      <w:r w:rsidRPr="00CE5AA1">
        <w:rPr>
          <w:rFonts w:ascii="Arial"/>
          <w:spacing w:val="3"/>
          <w:sz w:val="18"/>
          <w:highlight w:val="green"/>
        </w:rPr>
        <w:t xml:space="preserve"> </w:t>
      </w:r>
      <w:r w:rsidRPr="00CE5AA1">
        <w:rPr>
          <w:rFonts w:ascii="Arial"/>
          <w:spacing w:val="-1"/>
          <w:sz w:val="18"/>
          <w:highlight w:val="green"/>
        </w:rPr>
        <w:t>this</w:t>
      </w:r>
      <w:r w:rsidRPr="00CE5AA1">
        <w:rPr>
          <w:rFonts w:ascii="Arial"/>
          <w:spacing w:val="1"/>
          <w:sz w:val="18"/>
          <w:highlight w:val="green"/>
        </w:rPr>
        <w:t xml:space="preserve"> </w:t>
      </w:r>
      <w:r w:rsidRPr="00CE5AA1">
        <w:rPr>
          <w:rFonts w:ascii="Arial"/>
          <w:spacing w:val="-1"/>
          <w:sz w:val="18"/>
          <w:highlight w:val="green"/>
        </w:rPr>
        <w:t>paragraph,</w:t>
      </w:r>
      <w:r w:rsidRPr="00CE5AA1">
        <w:rPr>
          <w:rFonts w:ascii="Arial"/>
          <w:spacing w:val="3"/>
          <w:sz w:val="18"/>
          <w:highlight w:val="green"/>
        </w:rPr>
        <w:t xml:space="preserve"> </w:t>
      </w:r>
      <w:r w:rsidRPr="00CE5AA1">
        <w:rPr>
          <w:rFonts w:ascii="Arial"/>
          <w:sz w:val="18"/>
          <w:highlight w:val="green"/>
        </w:rPr>
        <w:t>as</w:t>
      </w:r>
      <w:r w:rsidRPr="00CE5AA1">
        <w:rPr>
          <w:rFonts w:ascii="Arial"/>
          <w:spacing w:val="1"/>
          <w:sz w:val="18"/>
          <w:highlight w:val="green"/>
        </w:rPr>
        <w:t xml:space="preserve"> </w:t>
      </w:r>
      <w:r w:rsidRPr="00CE5AA1">
        <w:rPr>
          <w:rFonts w:ascii="Arial"/>
          <w:spacing w:val="-1"/>
          <w:sz w:val="18"/>
          <w:highlight w:val="green"/>
        </w:rPr>
        <w:t>indicated</w:t>
      </w:r>
      <w:r w:rsidRPr="00CE5AA1">
        <w:rPr>
          <w:rFonts w:ascii="Arial"/>
          <w:spacing w:val="3"/>
          <w:sz w:val="18"/>
          <w:highlight w:val="green"/>
        </w:rPr>
        <w:t xml:space="preserve"> </w:t>
      </w:r>
      <w:r w:rsidRPr="00CE5AA1">
        <w:rPr>
          <w:rFonts w:ascii="Arial"/>
          <w:spacing w:val="-2"/>
          <w:sz w:val="18"/>
          <w:highlight w:val="green"/>
        </w:rPr>
        <w:t>in</w:t>
      </w:r>
      <w:r w:rsidRPr="00CE5AA1">
        <w:rPr>
          <w:rFonts w:ascii="Arial"/>
          <w:spacing w:val="99"/>
          <w:sz w:val="18"/>
          <w:highlight w:val="green"/>
        </w:rPr>
        <w:t xml:space="preserve"> </w:t>
      </w:r>
      <w:r w:rsidRPr="00CE5AA1">
        <w:rPr>
          <w:rFonts w:ascii="Arial"/>
          <w:sz w:val="18"/>
          <w:highlight w:val="green"/>
        </w:rPr>
        <w:t>each</w:t>
      </w:r>
      <w:r w:rsidRPr="00CE5AA1">
        <w:rPr>
          <w:rFonts w:ascii="Arial"/>
          <w:spacing w:val="10"/>
          <w:sz w:val="18"/>
          <w:highlight w:val="green"/>
        </w:rPr>
        <w:t xml:space="preserve"> </w:t>
      </w:r>
      <w:r w:rsidRPr="00CE5AA1">
        <w:rPr>
          <w:rFonts w:ascii="Arial"/>
          <w:spacing w:val="-1"/>
          <w:sz w:val="18"/>
          <w:highlight w:val="green"/>
        </w:rPr>
        <w:t>sub-paragraph</w:t>
      </w:r>
      <w:r w:rsidRPr="00CE5AA1">
        <w:rPr>
          <w:rFonts w:ascii="Arial"/>
          <w:spacing w:val="13"/>
          <w:sz w:val="18"/>
          <w:highlight w:val="green"/>
        </w:rPr>
        <w:t xml:space="preserve"> </w:t>
      </w:r>
      <w:r w:rsidRPr="00CE5AA1">
        <w:rPr>
          <w:rFonts w:ascii="Arial"/>
          <w:spacing w:val="-1"/>
          <w:sz w:val="18"/>
          <w:highlight w:val="green"/>
        </w:rPr>
        <w:t>and</w:t>
      </w:r>
      <w:r w:rsidRPr="00CE5AA1">
        <w:rPr>
          <w:rFonts w:ascii="Arial"/>
          <w:spacing w:val="13"/>
          <w:sz w:val="18"/>
          <w:highlight w:val="green"/>
        </w:rPr>
        <w:t xml:space="preserve"> </w:t>
      </w:r>
      <w:r w:rsidRPr="00CE5AA1">
        <w:rPr>
          <w:rFonts w:ascii="Arial"/>
          <w:sz w:val="18"/>
          <w:highlight w:val="green"/>
        </w:rPr>
        <w:t>the</w:t>
      </w:r>
      <w:r w:rsidRPr="00CE5AA1">
        <w:rPr>
          <w:rFonts w:ascii="Arial"/>
          <w:spacing w:val="10"/>
          <w:sz w:val="18"/>
          <w:highlight w:val="green"/>
        </w:rPr>
        <w:t xml:space="preserve"> </w:t>
      </w:r>
      <w:r w:rsidRPr="00CE5AA1">
        <w:rPr>
          <w:rFonts w:ascii="Arial"/>
          <w:spacing w:val="-1"/>
          <w:sz w:val="18"/>
          <w:highlight w:val="green"/>
        </w:rPr>
        <w:t>footnotes</w:t>
      </w:r>
      <w:r w:rsidRPr="00CE5AA1">
        <w:rPr>
          <w:rFonts w:ascii="Arial"/>
          <w:spacing w:val="11"/>
          <w:sz w:val="18"/>
          <w:highlight w:val="green"/>
        </w:rPr>
        <w:t xml:space="preserve"> </w:t>
      </w:r>
      <w:r w:rsidRPr="00CE5AA1">
        <w:rPr>
          <w:rFonts w:ascii="Arial"/>
          <w:spacing w:val="-1"/>
          <w:sz w:val="18"/>
          <w:highlight w:val="green"/>
        </w:rPr>
        <w:t>therein.</w:t>
      </w:r>
      <w:r w:rsidRPr="00CE5AA1">
        <w:rPr>
          <w:rFonts w:ascii="Arial"/>
          <w:spacing w:val="12"/>
          <w:sz w:val="18"/>
          <w:highlight w:val="green"/>
        </w:rPr>
        <w:t xml:space="preserve"> </w:t>
      </w:r>
      <w:r w:rsidRPr="00CE5AA1">
        <w:rPr>
          <w:rFonts w:ascii="Arial"/>
          <w:spacing w:val="-1"/>
          <w:sz w:val="18"/>
          <w:highlight w:val="green"/>
        </w:rPr>
        <w:t>Then</w:t>
      </w:r>
      <w:r w:rsidRPr="00CE5AA1">
        <w:rPr>
          <w:rFonts w:ascii="Arial"/>
          <w:spacing w:val="10"/>
          <w:sz w:val="18"/>
          <w:highlight w:val="green"/>
        </w:rPr>
        <w:t xml:space="preserve"> </w:t>
      </w:r>
      <w:r w:rsidRPr="00CE5AA1">
        <w:rPr>
          <w:rFonts w:ascii="Arial"/>
          <w:spacing w:val="-1"/>
          <w:sz w:val="18"/>
          <w:highlight w:val="green"/>
        </w:rPr>
        <w:t>populate</w:t>
      </w:r>
      <w:r w:rsidRPr="00CE5AA1">
        <w:rPr>
          <w:rFonts w:ascii="Arial"/>
          <w:spacing w:val="13"/>
          <w:sz w:val="18"/>
          <w:highlight w:val="green"/>
        </w:rPr>
        <w:t xml:space="preserve"> </w:t>
      </w:r>
      <w:r w:rsidRPr="00CE5AA1">
        <w:rPr>
          <w:rFonts w:ascii="Arial"/>
          <w:spacing w:val="-1"/>
          <w:sz w:val="18"/>
          <w:highlight w:val="green"/>
        </w:rPr>
        <w:t>and/or</w:t>
      </w:r>
      <w:r w:rsidRPr="00CE5AA1">
        <w:rPr>
          <w:rFonts w:ascii="Arial"/>
          <w:spacing w:val="12"/>
          <w:sz w:val="18"/>
          <w:highlight w:val="green"/>
        </w:rPr>
        <w:t xml:space="preserve"> </w:t>
      </w:r>
      <w:r w:rsidRPr="00CE5AA1">
        <w:rPr>
          <w:rFonts w:ascii="Arial"/>
          <w:spacing w:val="-1"/>
          <w:sz w:val="18"/>
          <w:highlight w:val="green"/>
        </w:rPr>
        <w:t>settle</w:t>
      </w:r>
      <w:r w:rsidRPr="00CE5AA1">
        <w:rPr>
          <w:rFonts w:ascii="Arial"/>
          <w:spacing w:val="13"/>
          <w:sz w:val="18"/>
          <w:highlight w:val="green"/>
        </w:rPr>
        <w:t xml:space="preserve"> </w:t>
      </w:r>
      <w:r w:rsidRPr="00CE5AA1">
        <w:rPr>
          <w:rFonts w:ascii="Arial"/>
          <w:spacing w:val="-1"/>
          <w:sz w:val="18"/>
          <w:highlight w:val="green"/>
        </w:rPr>
        <w:t>this</w:t>
      </w:r>
      <w:r w:rsidRPr="00CE5AA1">
        <w:rPr>
          <w:rFonts w:ascii="Arial"/>
          <w:spacing w:val="13"/>
          <w:sz w:val="18"/>
          <w:highlight w:val="green"/>
        </w:rPr>
        <w:t xml:space="preserve"> </w:t>
      </w:r>
      <w:r w:rsidRPr="00CE5AA1">
        <w:rPr>
          <w:rFonts w:ascii="Arial"/>
          <w:spacing w:val="-1"/>
          <w:sz w:val="18"/>
          <w:highlight w:val="green"/>
        </w:rPr>
        <w:t>paragraph</w:t>
      </w:r>
      <w:r w:rsidRPr="00CE5AA1">
        <w:rPr>
          <w:rFonts w:ascii="Arial"/>
          <w:spacing w:val="9"/>
          <w:sz w:val="18"/>
          <w:highlight w:val="green"/>
        </w:rPr>
        <w:t xml:space="preserve"> </w:t>
      </w:r>
      <w:hyperlink w:anchor="_bookmark25" w:history="1">
        <w:r w:rsidRPr="00CE5AA1">
          <w:rPr>
            <w:rFonts w:ascii="Arial"/>
            <w:sz w:val="18"/>
            <w:highlight w:val="green"/>
          </w:rPr>
          <w:t>6</w:t>
        </w:r>
      </w:hyperlink>
      <w:r w:rsidRPr="00CE5AA1">
        <w:rPr>
          <w:rFonts w:ascii="Arial"/>
          <w:spacing w:val="13"/>
          <w:sz w:val="18"/>
          <w:highlight w:val="green"/>
        </w:rPr>
        <w:t xml:space="preserve"> </w:t>
      </w:r>
      <w:r w:rsidRPr="00CE5AA1">
        <w:rPr>
          <w:rFonts w:ascii="Arial"/>
          <w:spacing w:val="-1"/>
          <w:sz w:val="18"/>
          <w:highlight w:val="green"/>
        </w:rPr>
        <w:t>according</w:t>
      </w:r>
      <w:r w:rsidRPr="00CE5AA1">
        <w:rPr>
          <w:rFonts w:ascii="Arial"/>
          <w:spacing w:val="10"/>
          <w:sz w:val="18"/>
          <w:highlight w:val="green"/>
        </w:rPr>
        <w:t xml:space="preserve"> </w:t>
      </w:r>
      <w:r w:rsidRPr="00CE5AA1">
        <w:rPr>
          <w:rFonts w:ascii="Arial"/>
          <w:sz w:val="18"/>
          <w:highlight w:val="green"/>
        </w:rPr>
        <w:t>to</w:t>
      </w:r>
      <w:r w:rsidRPr="00CE5AA1">
        <w:rPr>
          <w:rFonts w:ascii="Arial"/>
          <w:spacing w:val="13"/>
          <w:sz w:val="18"/>
          <w:highlight w:val="green"/>
        </w:rPr>
        <w:t xml:space="preserve"> </w:t>
      </w:r>
      <w:r w:rsidRPr="00CE5AA1">
        <w:rPr>
          <w:rFonts w:ascii="Arial"/>
          <w:spacing w:val="-1"/>
          <w:sz w:val="18"/>
          <w:highlight w:val="green"/>
        </w:rPr>
        <w:t>your</w:t>
      </w:r>
      <w:r w:rsidRPr="00CE5AA1">
        <w:rPr>
          <w:rFonts w:ascii="Arial"/>
          <w:spacing w:val="95"/>
          <w:sz w:val="18"/>
          <w:highlight w:val="green"/>
        </w:rPr>
        <w:t xml:space="preserve"> </w:t>
      </w:r>
      <w:r w:rsidRPr="00CE5AA1">
        <w:rPr>
          <w:rFonts w:ascii="Arial"/>
          <w:spacing w:val="-1"/>
          <w:sz w:val="18"/>
          <w:highlight w:val="green"/>
        </w:rPr>
        <w:t>requirements.</w:t>
      </w:r>
      <w:r w:rsidRPr="00CE5AA1">
        <w:rPr>
          <w:rFonts w:ascii="Arial"/>
          <w:sz w:val="18"/>
          <w:highlight w:val="green"/>
        </w:rPr>
        <w:t xml:space="preserve"> </w:t>
      </w:r>
      <w:r w:rsidRPr="00CE5AA1">
        <w:rPr>
          <w:rFonts w:ascii="Arial"/>
          <w:spacing w:val="-1"/>
          <w:sz w:val="18"/>
          <w:highlight w:val="green"/>
        </w:rPr>
        <w:t>Customers</w:t>
      </w:r>
      <w:r w:rsidRPr="00CE5AA1">
        <w:rPr>
          <w:rFonts w:ascii="Arial"/>
          <w:spacing w:val="1"/>
          <w:sz w:val="18"/>
          <w:highlight w:val="green"/>
        </w:rPr>
        <w:t xml:space="preserve"> </w:t>
      </w:r>
      <w:r w:rsidRPr="00CE5AA1">
        <w:rPr>
          <w:rFonts w:ascii="Arial"/>
          <w:spacing w:val="-1"/>
          <w:sz w:val="18"/>
          <w:highlight w:val="green"/>
        </w:rPr>
        <w:t>placing</w:t>
      </w:r>
      <w:r w:rsidRPr="00CE5AA1">
        <w:rPr>
          <w:rFonts w:ascii="Arial"/>
          <w:spacing w:val="1"/>
          <w:sz w:val="18"/>
          <w:highlight w:val="green"/>
        </w:rPr>
        <w:t xml:space="preserve"> </w:t>
      </w:r>
      <w:r w:rsidRPr="00CE5AA1">
        <w:rPr>
          <w:rFonts w:ascii="Arial"/>
          <w:spacing w:val="-1"/>
          <w:sz w:val="18"/>
          <w:highlight w:val="green"/>
        </w:rPr>
        <w:t>multiple</w:t>
      </w:r>
      <w:r w:rsidRPr="00CE5AA1">
        <w:rPr>
          <w:rFonts w:ascii="Arial"/>
          <w:spacing w:val="3"/>
          <w:sz w:val="18"/>
          <w:highlight w:val="green"/>
        </w:rPr>
        <w:t xml:space="preserve"> </w:t>
      </w:r>
      <w:r w:rsidRPr="00CE5AA1">
        <w:rPr>
          <w:rFonts w:ascii="Arial"/>
          <w:spacing w:val="-1"/>
          <w:sz w:val="18"/>
          <w:highlight w:val="green"/>
        </w:rPr>
        <w:t>Orders</w:t>
      </w:r>
      <w:r w:rsidRPr="00CE5AA1">
        <w:rPr>
          <w:rFonts w:ascii="Arial"/>
          <w:spacing w:val="1"/>
          <w:sz w:val="18"/>
          <w:highlight w:val="green"/>
        </w:rPr>
        <w:t xml:space="preserve"> </w:t>
      </w:r>
      <w:r w:rsidRPr="00CE5AA1">
        <w:rPr>
          <w:rFonts w:ascii="Arial"/>
          <w:sz w:val="18"/>
          <w:highlight w:val="green"/>
        </w:rPr>
        <w:t>of</w:t>
      </w:r>
      <w:r w:rsidRPr="00CE5AA1">
        <w:rPr>
          <w:rFonts w:ascii="Arial"/>
          <w:spacing w:val="3"/>
          <w:sz w:val="18"/>
          <w:highlight w:val="green"/>
        </w:rPr>
        <w:t xml:space="preserve"> </w:t>
      </w:r>
      <w:r w:rsidRPr="00CE5AA1">
        <w:rPr>
          <w:rFonts w:ascii="Arial"/>
          <w:spacing w:val="-1"/>
          <w:sz w:val="18"/>
          <w:highlight w:val="green"/>
        </w:rPr>
        <w:t>the</w:t>
      </w:r>
      <w:r w:rsidRPr="00CE5AA1">
        <w:rPr>
          <w:rFonts w:ascii="Arial"/>
          <w:spacing w:val="1"/>
          <w:sz w:val="18"/>
          <w:highlight w:val="green"/>
        </w:rPr>
        <w:t xml:space="preserve"> </w:t>
      </w:r>
      <w:r w:rsidRPr="00CE5AA1">
        <w:rPr>
          <w:rFonts w:ascii="Arial"/>
          <w:spacing w:val="-1"/>
          <w:sz w:val="18"/>
          <w:highlight w:val="green"/>
        </w:rPr>
        <w:t>same</w:t>
      </w:r>
      <w:r w:rsidRPr="00CE5AA1">
        <w:rPr>
          <w:rFonts w:ascii="Arial"/>
          <w:spacing w:val="3"/>
          <w:sz w:val="18"/>
          <w:highlight w:val="green"/>
        </w:rPr>
        <w:t xml:space="preserve"> </w:t>
      </w:r>
      <w:r w:rsidRPr="00CE5AA1">
        <w:rPr>
          <w:rFonts w:ascii="Arial"/>
          <w:spacing w:val="-1"/>
          <w:sz w:val="18"/>
          <w:highlight w:val="green"/>
        </w:rPr>
        <w:t>nature</w:t>
      </w:r>
      <w:r w:rsidRPr="00CE5AA1">
        <w:rPr>
          <w:rFonts w:ascii="Arial"/>
          <w:spacing w:val="1"/>
          <w:sz w:val="18"/>
          <w:highlight w:val="green"/>
        </w:rPr>
        <w:t xml:space="preserve"> </w:t>
      </w:r>
      <w:r w:rsidRPr="00CE5AA1">
        <w:rPr>
          <w:rFonts w:ascii="Arial"/>
          <w:spacing w:val="-1"/>
          <w:sz w:val="18"/>
          <w:highlight w:val="green"/>
        </w:rPr>
        <w:t>which</w:t>
      </w:r>
      <w:r w:rsidRPr="00CE5AA1">
        <w:rPr>
          <w:rFonts w:ascii="Arial"/>
          <w:sz w:val="18"/>
          <w:highlight w:val="green"/>
        </w:rPr>
        <w:t xml:space="preserve"> </w:t>
      </w:r>
      <w:r w:rsidRPr="00CE5AA1">
        <w:rPr>
          <w:rFonts w:ascii="Arial"/>
          <w:spacing w:val="-1"/>
          <w:sz w:val="18"/>
          <w:highlight w:val="green"/>
        </w:rPr>
        <w:t>contain</w:t>
      </w:r>
      <w:r w:rsidRPr="00CE5AA1">
        <w:rPr>
          <w:rFonts w:ascii="Arial"/>
          <w:spacing w:val="1"/>
          <w:sz w:val="18"/>
          <w:highlight w:val="green"/>
        </w:rPr>
        <w:t xml:space="preserve"> </w:t>
      </w:r>
      <w:r w:rsidRPr="00CE5AA1">
        <w:rPr>
          <w:rFonts w:ascii="Arial"/>
          <w:spacing w:val="-1"/>
          <w:sz w:val="18"/>
          <w:highlight w:val="green"/>
        </w:rPr>
        <w:t>the</w:t>
      </w:r>
      <w:r w:rsidRPr="00CE5AA1">
        <w:rPr>
          <w:rFonts w:ascii="Arial"/>
          <w:spacing w:val="3"/>
          <w:sz w:val="18"/>
          <w:highlight w:val="green"/>
        </w:rPr>
        <w:t xml:space="preserve"> </w:t>
      </w:r>
      <w:r w:rsidRPr="00CE5AA1">
        <w:rPr>
          <w:rFonts w:ascii="Arial"/>
          <w:spacing w:val="-1"/>
          <w:sz w:val="18"/>
          <w:highlight w:val="green"/>
        </w:rPr>
        <w:t>same</w:t>
      </w:r>
      <w:r w:rsidRPr="00CE5AA1">
        <w:rPr>
          <w:rFonts w:ascii="Arial"/>
          <w:spacing w:val="3"/>
          <w:sz w:val="18"/>
          <w:highlight w:val="green"/>
        </w:rPr>
        <w:t xml:space="preserve"> </w:t>
      </w:r>
      <w:r w:rsidRPr="00CE5AA1">
        <w:rPr>
          <w:rFonts w:ascii="Arial"/>
          <w:spacing w:val="-1"/>
          <w:sz w:val="18"/>
          <w:highlight w:val="green"/>
        </w:rPr>
        <w:t>requirements</w:t>
      </w:r>
      <w:r w:rsidRPr="00CE5AA1">
        <w:rPr>
          <w:rFonts w:ascii="Arial"/>
          <w:spacing w:val="3"/>
          <w:sz w:val="18"/>
          <w:highlight w:val="green"/>
        </w:rPr>
        <w:t xml:space="preserve"> </w:t>
      </w:r>
      <w:r w:rsidRPr="00CE5AA1">
        <w:rPr>
          <w:rFonts w:ascii="Arial"/>
          <w:spacing w:val="-1"/>
          <w:sz w:val="18"/>
          <w:highlight w:val="green"/>
        </w:rPr>
        <w:t>may</w:t>
      </w:r>
      <w:r w:rsidRPr="00CE5AA1">
        <w:rPr>
          <w:rFonts w:ascii="Arial"/>
          <w:spacing w:val="91"/>
          <w:sz w:val="18"/>
          <w:highlight w:val="green"/>
        </w:rPr>
        <w:t xml:space="preserve"> </w:t>
      </w:r>
      <w:r w:rsidRPr="00CE5AA1">
        <w:rPr>
          <w:rFonts w:ascii="Arial"/>
          <w:spacing w:val="-1"/>
          <w:sz w:val="18"/>
          <w:highlight w:val="green"/>
        </w:rPr>
        <w:t>decide</w:t>
      </w:r>
      <w:r w:rsidRPr="00CE5AA1">
        <w:rPr>
          <w:rFonts w:ascii="Arial"/>
          <w:spacing w:val="1"/>
          <w:sz w:val="18"/>
          <w:highlight w:val="green"/>
        </w:rPr>
        <w:t xml:space="preserve"> </w:t>
      </w:r>
      <w:r w:rsidRPr="00CE5AA1">
        <w:rPr>
          <w:rFonts w:ascii="Arial"/>
          <w:spacing w:val="-1"/>
          <w:sz w:val="18"/>
          <w:highlight w:val="green"/>
        </w:rPr>
        <w:t>to</w:t>
      </w:r>
      <w:r w:rsidRPr="00CE5AA1">
        <w:rPr>
          <w:rFonts w:ascii="Arial"/>
          <w:spacing w:val="1"/>
          <w:sz w:val="18"/>
          <w:highlight w:val="green"/>
        </w:rPr>
        <w:t xml:space="preserve"> </w:t>
      </w:r>
      <w:r w:rsidRPr="00CE5AA1">
        <w:rPr>
          <w:rFonts w:ascii="Arial"/>
          <w:spacing w:val="-1"/>
          <w:sz w:val="18"/>
          <w:highlight w:val="green"/>
        </w:rPr>
        <w:t>populate/settle</w:t>
      </w:r>
      <w:r w:rsidRPr="00CE5AA1">
        <w:rPr>
          <w:rFonts w:ascii="Arial"/>
          <w:spacing w:val="1"/>
          <w:sz w:val="18"/>
          <w:highlight w:val="green"/>
        </w:rPr>
        <w:t xml:space="preserve"> </w:t>
      </w:r>
      <w:r w:rsidRPr="00CE5AA1">
        <w:rPr>
          <w:rFonts w:ascii="Arial"/>
          <w:spacing w:val="-1"/>
          <w:sz w:val="18"/>
          <w:highlight w:val="green"/>
        </w:rPr>
        <w:t>this information</w:t>
      </w:r>
      <w:r w:rsidRPr="00CE5AA1">
        <w:rPr>
          <w:rFonts w:ascii="Arial"/>
          <w:spacing w:val="1"/>
          <w:sz w:val="18"/>
          <w:highlight w:val="green"/>
        </w:rPr>
        <w:t xml:space="preserve"> </w:t>
      </w:r>
      <w:r w:rsidRPr="00CE5AA1">
        <w:rPr>
          <w:rFonts w:ascii="Arial"/>
          <w:spacing w:val="-1"/>
          <w:sz w:val="18"/>
          <w:highlight w:val="green"/>
        </w:rPr>
        <w:t>once</w:t>
      </w:r>
      <w:r w:rsidRPr="00CE5AA1">
        <w:rPr>
          <w:rFonts w:ascii="Arial"/>
          <w:spacing w:val="-2"/>
          <w:sz w:val="18"/>
          <w:highlight w:val="green"/>
        </w:rPr>
        <w:t xml:space="preserve"> </w:t>
      </w:r>
      <w:r w:rsidRPr="00CE5AA1">
        <w:rPr>
          <w:rFonts w:ascii="Arial"/>
          <w:sz w:val="18"/>
          <w:highlight w:val="green"/>
        </w:rPr>
        <w:t>and</w:t>
      </w:r>
      <w:r w:rsidRPr="00CE5AA1">
        <w:rPr>
          <w:rFonts w:ascii="Arial"/>
          <w:spacing w:val="1"/>
          <w:sz w:val="18"/>
          <w:highlight w:val="green"/>
        </w:rPr>
        <w:t xml:space="preserve"> </w:t>
      </w:r>
      <w:r w:rsidRPr="00CE5AA1">
        <w:rPr>
          <w:rFonts w:ascii="Arial"/>
          <w:spacing w:val="-1"/>
          <w:sz w:val="18"/>
          <w:highlight w:val="green"/>
        </w:rPr>
        <w:t>repeat</w:t>
      </w:r>
      <w:r w:rsidRPr="00CE5AA1">
        <w:rPr>
          <w:rFonts w:ascii="Arial"/>
          <w:sz w:val="18"/>
          <w:highlight w:val="green"/>
        </w:rPr>
        <w:t xml:space="preserve"> it</w:t>
      </w:r>
      <w:r w:rsidRPr="00CE5AA1">
        <w:rPr>
          <w:rFonts w:ascii="Arial"/>
          <w:spacing w:val="-2"/>
          <w:sz w:val="18"/>
          <w:highlight w:val="green"/>
        </w:rPr>
        <w:t xml:space="preserve"> </w:t>
      </w:r>
      <w:r w:rsidRPr="00CE5AA1">
        <w:rPr>
          <w:rFonts w:ascii="Arial"/>
          <w:spacing w:val="-1"/>
          <w:sz w:val="18"/>
          <w:highlight w:val="green"/>
        </w:rPr>
        <w:t>in</w:t>
      </w:r>
      <w:r w:rsidRPr="00CE5AA1">
        <w:rPr>
          <w:rFonts w:ascii="Arial"/>
          <w:spacing w:val="1"/>
          <w:sz w:val="18"/>
          <w:highlight w:val="green"/>
        </w:rPr>
        <w:t xml:space="preserve"> </w:t>
      </w:r>
      <w:r w:rsidRPr="00CE5AA1">
        <w:rPr>
          <w:rFonts w:ascii="Arial"/>
          <w:spacing w:val="-1"/>
          <w:sz w:val="18"/>
          <w:highlight w:val="green"/>
        </w:rPr>
        <w:t>respect</w:t>
      </w:r>
      <w:r w:rsidRPr="00CE5AA1">
        <w:rPr>
          <w:rFonts w:ascii="Arial"/>
          <w:spacing w:val="-2"/>
          <w:sz w:val="18"/>
          <w:highlight w:val="green"/>
        </w:rPr>
        <w:t xml:space="preserve"> </w:t>
      </w:r>
      <w:r w:rsidRPr="00CE5AA1">
        <w:rPr>
          <w:rFonts w:ascii="Arial"/>
          <w:sz w:val="18"/>
          <w:highlight w:val="green"/>
        </w:rPr>
        <w:t xml:space="preserve">of </w:t>
      </w:r>
      <w:r w:rsidRPr="00CE5AA1">
        <w:rPr>
          <w:rFonts w:ascii="Arial"/>
          <w:spacing w:val="-1"/>
          <w:sz w:val="18"/>
          <w:highlight w:val="green"/>
        </w:rPr>
        <w:t>future</w:t>
      </w:r>
      <w:r w:rsidRPr="00CE5AA1">
        <w:rPr>
          <w:rFonts w:ascii="Arial"/>
          <w:spacing w:val="-2"/>
          <w:sz w:val="18"/>
          <w:highlight w:val="green"/>
        </w:rPr>
        <w:t xml:space="preserve"> </w:t>
      </w:r>
      <w:r w:rsidRPr="00CE5AA1">
        <w:rPr>
          <w:rFonts w:ascii="Arial"/>
          <w:spacing w:val="-1"/>
          <w:sz w:val="18"/>
          <w:highlight w:val="green"/>
        </w:rPr>
        <w:t>Orders]</w:t>
      </w:r>
    </w:p>
    <w:p w:rsidR="008918FA" w:rsidRDefault="008918FA" w:rsidP="008918FA">
      <w:pPr>
        <w:spacing w:before="10"/>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5DA7E089" wp14:editId="0C5DD29F">
                <wp:extent cx="5659120" cy="406400"/>
                <wp:effectExtent l="3810" t="3175" r="4445" b="0"/>
                <wp:docPr id="7212" name="Group 7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406400"/>
                          <a:chOff x="0" y="0"/>
                          <a:chExt cx="8912" cy="640"/>
                        </a:xfrm>
                      </wpg:grpSpPr>
                      <wpg:grpSp>
                        <wpg:cNvPr id="7213" name="Group 7210"/>
                        <wpg:cNvGrpSpPr>
                          <a:grpSpLocks/>
                        </wpg:cNvGrpSpPr>
                        <wpg:grpSpPr bwMode="auto">
                          <a:xfrm>
                            <a:off x="194" y="20"/>
                            <a:ext cx="8715" cy="207"/>
                            <a:chOff x="194" y="20"/>
                            <a:chExt cx="8715" cy="207"/>
                          </a:xfrm>
                        </wpg:grpSpPr>
                        <wps:wsp>
                          <wps:cNvPr id="7214" name="Freeform 7211"/>
                          <wps:cNvSpPr>
                            <a:spLocks/>
                          </wps:cNvSpPr>
                          <wps:spPr bwMode="auto">
                            <a:xfrm>
                              <a:off x="194" y="20"/>
                              <a:ext cx="8715" cy="207"/>
                            </a:xfrm>
                            <a:custGeom>
                              <a:avLst/>
                              <a:gdLst>
                                <a:gd name="T0" fmla="+- 0 194 194"/>
                                <a:gd name="T1" fmla="*/ T0 w 8715"/>
                                <a:gd name="T2" fmla="+- 0 227 20"/>
                                <a:gd name="T3" fmla="*/ 227 h 207"/>
                                <a:gd name="T4" fmla="+- 0 8909 194"/>
                                <a:gd name="T5" fmla="*/ T4 w 8715"/>
                                <a:gd name="T6" fmla="+- 0 227 20"/>
                                <a:gd name="T7" fmla="*/ 227 h 207"/>
                                <a:gd name="T8" fmla="+- 0 8909 194"/>
                                <a:gd name="T9" fmla="*/ T8 w 8715"/>
                                <a:gd name="T10" fmla="+- 0 20 20"/>
                                <a:gd name="T11" fmla="*/ 20 h 207"/>
                                <a:gd name="T12" fmla="+- 0 194 194"/>
                                <a:gd name="T13" fmla="*/ T12 w 8715"/>
                                <a:gd name="T14" fmla="+- 0 20 20"/>
                                <a:gd name="T15" fmla="*/ 20 h 207"/>
                                <a:gd name="T16" fmla="+- 0 194 194"/>
                                <a:gd name="T17" fmla="*/ T16 w 8715"/>
                                <a:gd name="T18" fmla="+- 0 227 20"/>
                                <a:gd name="T19" fmla="*/ 227 h 207"/>
                              </a:gdLst>
                              <a:ahLst/>
                              <a:cxnLst>
                                <a:cxn ang="0">
                                  <a:pos x="T1" y="T3"/>
                                </a:cxn>
                                <a:cxn ang="0">
                                  <a:pos x="T5" y="T7"/>
                                </a:cxn>
                                <a:cxn ang="0">
                                  <a:pos x="T9" y="T11"/>
                                </a:cxn>
                                <a:cxn ang="0">
                                  <a:pos x="T13" y="T15"/>
                                </a:cxn>
                                <a:cxn ang="0">
                                  <a:pos x="T17" y="T19"/>
                                </a:cxn>
                              </a:cxnLst>
                              <a:rect l="0" t="0" r="r" b="b"/>
                              <a:pathLst>
                                <a:path w="8715" h="207">
                                  <a:moveTo>
                                    <a:pt x="0" y="207"/>
                                  </a:moveTo>
                                  <a:lnTo>
                                    <a:pt x="8715" y="207"/>
                                  </a:lnTo>
                                  <a:lnTo>
                                    <a:pt x="8715"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5" name="Group 7208"/>
                        <wpg:cNvGrpSpPr>
                          <a:grpSpLocks/>
                        </wpg:cNvGrpSpPr>
                        <wpg:grpSpPr bwMode="auto">
                          <a:xfrm>
                            <a:off x="0" y="227"/>
                            <a:ext cx="8909" cy="207"/>
                            <a:chOff x="0" y="227"/>
                            <a:chExt cx="8909" cy="207"/>
                          </a:xfrm>
                        </wpg:grpSpPr>
                        <wps:wsp>
                          <wps:cNvPr id="7216" name="Freeform 7209"/>
                          <wps:cNvSpPr>
                            <a:spLocks/>
                          </wps:cNvSpPr>
                          <wps:spPr bwMode="auto">
                            <a:xfrm>
                              <a:off x="0" y="227"/>
                              <a:ext cx="8909" cy="207"/>
                            </a:xfrm>
                            <a:custGeom>
                              <a:avLst/>
                              <a:gdLst>
                                <a:gd name="T0" fmla="*/ 0 w 8909"/>
                                <a:gd name="T1" fmla="+- 0 433 227"/>
                                <a:gd name="T2" fmla="*/ 433 h 207"/>
                                <a:gd name="T3" fmla="*/ 8909 w 8909"/>
                                <a:gd name="T4" fmla="+- 0 433 227"/>
                                <a:gd name="T5" fmla="*/ 433 h 207"/>
                                <a:gd name="T6" fmla="*/ 8909 w 8909"/>
                                <a:gd name="T7" fmla="+- 0 227 227"/>
                                <a:gd name="T8" fmla="*/ 227 h 207"/>
                                <a:gd name="T9" fmla="*/ 0 w 8909"/>
                                <a:gd name="T10" fmla="+- 0 227 227"/>
                                <a:gd name="T11" fmla="*/ 227 h 207"/>
                                <a:gd name="T12" fmla="*/ 0 w 8909"/>
                                <a:gd name="T13" fmla="+- 0 433 227"/>
                                <a:gd name="T14" fmla="*/ 433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7" name="Group 7205"/>
                        <wpg:cNvGrpSpPr>
                          <a:grpSpLocks/>
                        </wpg:cNvGrpSpPr>
                        <wpg:grpSpPr bwMode="auto">
                          <a:xfrm>
                            <a:off x="0" y="433"/>
                            <a:ext cx="5194" cy="207"/>
                            <a:chOff x="0" y="433"/>
                            <a:chExt cx="5194" cy="207"/>
                          </a:xfrm>
                        </wpg:grpSpPr>
                        <wps:wsp>
                          <wps:cNvPr id="7218" name="Freeform 7207"/>
                          <wps:cNvSpPr>
                            <a:spLocks/>
                          </wps:cNvSpPr>
                          <wps:spPr bwMode="auto">
                            <a:xfrm>
                              <a:off x="0" y="433"/>
                              <a:ext cx="5194" cy="207"/>
                            </a:xfrm>
                            <a:custGeom>
                              <a:avLst/>
                              <a:gdLst>
                                <a:gd name="T0" fmla="*/ 0 w 5194"/>
                                <a:gd name="T1" fmla="+- 0 640 433"/>
                                <a:gd name="T2" fmla="*/ 640 h 207"/>
                                <a:gd name="T3" fmla="*/ 5194 w 5194"/>
                                <a:gd name="T4" fmla="+- 0 640 433"/>
                                <a:gd name="T5" fmla="*/ 640 h 207"/>
                                <a:gd name="T6" fmla="*/ 5194 w 5194"/>
                                <a:gd name="T7" fmla="+- 0 433 433"/>
                                <a:gd name="T8" fmla="*/ 433 h 207"/>
                                <a:gd name="T9" fmla="*/ 0 w 5194"/>
                                <a:gd name="T10" fmla="+- 0 433 433"/>
                                <a:gd name="T11" fmla="*/ 433 h 207"/>
                                <a:gd name="T12" fmla="*/ 0 w 5194"/>
                                <a:gd name="T13" fmla="+- 0 640 433"/>
                                <a:gd name="T14" fmla="*/ 640 h 207"/>
                              </a:gdLst>
                              <a:ahLst/>
                              <a:cxnLst>
                                <a:cxn ang="0">
                                  <a:pos x="T0" y="T2"/>
                                </a:cxn>
                                <a:cxn ang="0">
                                  <a:pos x="T3" y="T5"/>
                                </a:cxn>
                                <a:cxn ang="0">
                                  <a:pos x="T6" y="T8"/>
                                </a:cxn>
                                <a:cxn ang="0">
                                  <a:pos x="T9" y="T11"/>
                                </a:cxn>
                                <a:cxn ang="0">
                                  <a:pos x="T12" y="T14"/>
                                </a:cxn>
                              </a:cxnLst>
                              <a:rect l="0" t="0" r="r" b="b"/>
                              <a:pathLst>
                                <a:path w="5194" h="207">
                                  <a:moveTo>
                                    <a:pt x="0" y="207"/>
                                  </a:moveTo>
                                  <a:lnTo>
                                    <a:pt x="5194" y="207"/>
                                  </a:lnTo>
                                  <a:lnTo>
                                    <a:pt x="5194"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9" name="Text Box 7206"/>
                          <wps:cNvSpPr txBox="1">
                            <a:spLocks noChangeArrowheads="1"/>
                          </wps:cNvSpPr>
                          <wps:spPr bwMode="auto">
                            <a:xfrm>
                              <a:off x="0" y="0"/>
                              <a:ext cx="891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3" w:line="206" w:lineRule="exact"/>
                                  <w:jc w:val="both"/>
                                  <w:rPr>
                                    <w:rFonts w:ascii="Arial" w:eastAsia="Arial" w:hAnsi="Arial" w:cs="Arial"/>
                                    <w:sz w:val="18"/>
                                    <w:szCs w:val="18"/>
                                  </w:rPr>
                                </w:pPr>
                                <w:bookmarkStart w:id="21" w:name="_bookmark29"/>
                                <w:bookmarkEnd w:id="21"/>
                                <w:r>
                                  <w:rPr>
                                    <w:rFonts w:ascii="Arial"/>
                                    <w:position w:val="9"/>
                                    <w:sz w:val="12"/>
                                  </w:rPr>
                                  <w:t>29</w:t>
                                </w:r>
                                <w:r>
                                  <w:rPr>
                                    <w:rFonts w:ascii="Arial"/>
                                    <w:spacing w:val="26"/>
                                    <w:position w:val="9"/>
                                    <w:sz w:val="12"/>
                                  </w:rPr>
                                  <w:t xml:space="preserve"> </w:t>
                                </w:r>
                                <w:r>
                                  <w:rPr>
                                    <w:rFonts w:ascii="Arial"/>
                                    <w:spacing w:val="-1"/>
                                    <w:sz w:val="18"/>
                                  </w:rPr>
                                  <w:t>[Guidance</w:t>
                                </w:r>
                                <w:r>
                                  <w:rPr>
                                    <w:rFonts w:ascii="Arial"/>
                                    <w:spacing w:val="10"/>
                                    <w:sz w:val="18"/>
                                  </w:rPr>
                                  <w:t xml:space="preserve"> </w:t>
                                </w:r>
                                <w:r>
                                  <w:rPr>
                                    <w:rFonts w:ascii="Arial"/>
                                    <w:spacing w:val="-1"/>
                                    <w:sz w:val="18"/>
                                  </w:rPr>
                                  <w:t>Note:</w:t>
                                </w:r>
                                <w:r>
                                  <w:rPr>
                                    <w:rFonts w:ascii="Arial"/>
                                    <w:spacing w:val="10"/>
                                    <w:sz w:val="18"/>
                                  </w:rPr>
                                  <w:t xml:space="preserve"> </w:t>
                                </w:r>
                                <w:r>
                                  <w:rPr>
                                    <w:rFonts w:ascii="Arial"/>
                                    <w:spacing w:val="-1"/>
                                    <w:sz w:val="18"/>
                                  </w:rPr>
                                  <w:t>See</w:t>
                                </w:r>
                                <w:r>
                                  <w:rPr>
                                    <w:rFonts w:ascii="Arial"/>
                                    <w:spacing w:val="10"/>
                                    <w:sz w:val="18"/>
                                  </w:rPr>
                                  <w:t xml:space="preserve"> </w:t>
                                </w:r>
                                <w:r>
                                  <w:rPr>
                                    <w:rFonts w:ascii="Arial"/>
                                    <w:spacing w:val="-1"/>
                                    <w:sz w:val="18"/>
                                  </w:rPr>
                                  <w:t>Clause</w:t>
                                </w:r>
                                <w:r>
                                  <w:rPr>
                                    <w:rFonts w:ascii="Arial"/>
                                    <w:spacing w:val="8"/>
                                    <w:sz w:val="18"/>
                                  </w:rPr>
                                  <w:t xml:space="preserve"> </w:t>
                                </w:r>
                                <w:hyperlink w:anchor="_bookmark52" w:history="1">
                                  <w:r>
                                    <w:rPr>
                                      <w:rFonts w:ascii="Arial"/>
                                      <w:sz w:val="18"/>
                                    </w:rPr>
                                    <w:t>4,</w:t>
                                  </w:r>
                                </w:hyperlink>
                                <w:r>
                                  <w:rPr>
                                    <w:rFonts w:ascii="Arial"/>
                                    <w:spacing w:val="10"/>
                                    <w:sz w:val="18"/>
                                  </w:rPr>
                                  <w:t xml:space="preserve"> </w:t>
                                </w:r>
                                <w:r>
                                  <w:rPr>
                                    <w:rFonts w:ascii="Arial"/>
                                    <w:spacing w:val="-1"/>
                                    <w:sz w:val="18"/>
                                  </w:rPr>
                                  <w:t>Clause</w:t>
                                </w:r>
                                <w:r>
                                  <w:rPr>
                                    <w:rFonts w:ascii="Arial"/>
                                    <w:spacing w:val="8"/>
                                    <w:sz w:val="18"/>
                                  </w:rPr>
                                  <w:t xml:space="preserve"> </w:t>
                                </w:r>
                                <w:hyperlink w:anchor="_bookmark232" w:history="1">
                                  <w:r>
                                    <w:rPr>
                                      <w:rFonts w:ascii="Arial"/>
                                      <w:spacing w:val="-1"/>
                                      <w:sz w:val="18"/>
                                    </w:rPr>
                                    <w:t>41.1</w:t>
                                  </w:r>
                                </w:hyperlink>
                                <w:r>
                                  <w:rPr>
                                    <w:rFonts w:ascii="Arial"/>
                                    <w:spacing w:val="8"/>
                                    <w:sz w:val="18"/>
                                  </w:rPr>
                                  <w:t xml:space="preserve"> </w:t>
                                </w:r>
                                <w:r>
                                  <w:rPr>
                                    <w:rFonts w:ascii="Arial"/>
                                    <w:sz w:val="18"/>
                                  </w:rPr>
                                  <w:t>and</w:t>
                                </w:r>
                                <w:r>
                                  <w:rPr>
                                    <w:rFonts w:ascii="Arial"/>
                                    <w:spacing w:val="8"/>
                                    <w:sz w:val="18"/>
                                  </w:rPr>
                                  <w:t xml:space="preserve"> </w:t>
                                </w:r>
                                <w:hyperlink w:anchor="_bookmark250" w:history="1">
                                  <w:r>
                                    <w:rPr>
                                      <w:rFonts w:ascii="Arial"/>
                                      <w:spacing w:val="-1"/>
                                      <w:sz w:val="18"/>
                                    </w:rPr>
                                    <w:t>45.1</w:t>
                                  </w:r>
                                </w:hyperlink>
                                <w:r>
                                  <w:rPr>
                                    <w:rFonts w:ascii="Arial"/>
                                    <w:spacing w:val="10"/>
                                    <w:sz w:val="18"/>
                                  </w:rPr>
                                  <w:t xml:space="preserve"> </w:t>
                                </w:r>
                                <w:r>
                                  <w:rPr>
                                    <w:rFonts w:ascii="Arial"/>
                                    <w:spacing w:val="-1"/>
                                    <w:sz w:val="18"/>
                                  </w:rPr>
                                  <w:t>of</w:t>
                                </w:r>
                                <w:r>
                                  <w:rPr>
                                    <w:rFonts w:ascii="Arial"/>
                                    <w:spacing w:val="10"/>
                                    <w:sz w:val="18"/>
                                  </w:rPr>
                                  <w:t xml:space="preserve"> </w:t>
                                </w:r>
                                <w:r>
                                  <w:rPr>
                                    <w:rFonts w:ascii="Arial"/>
                                    <w:spacing w:val="-2"/>
                                    <w:sz w:val="18"/>
                                  </w:rPr>
                                  <w:t>the</w:t>
                                </w:r>
                                <w:r>
                                  <w:rPr>
                                    <w:rFonts w:ascii="Arial"/>
                                    <w:spacing w:val="10"/>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10"/>
                                    <w:sz w:val="18"/>
                                  </w:rPr>
                                  <w:t xml:space="preserve"> </w:t>
                                </w:r>
                                <w:r>
                                  <w:rPr>
                                    <w:rFonts w:ascii="Arial"/>
                                    <w:spacing w:val="-1"/>
                                    <w:sz w:val="18"/>
                                  </w:rPr>
                                  <w:t>Terms.</w:t>
                                </w:r>
                                <w:r>
                                  <w:rPr>
                                    <w:rFonts w:ascii="Arial"/>
                                    <w:spacing w:val="10"/>
                                    <w:sz w:val="18"/>
                                  </w:rPr>
                                  <w:t xml:space="preserve"> </w:t>
                                </w:r>
                                <w:r>
                                  <w:rPr>
                                    <w:rFonts w:ascii="Arial"/>
                                    <w:spacing w:val="-1"/>
                                    <w:sz w:val="18"/>
                                  </w:rPr>
                                  <w:t>Consider</w:t>
                                </w:r>
                                <w:r>
                                  <w:rPr>
                                    <w:rFonts w:ascii="Arial"/>
                                    <w:spacing w:val="9"/>
                                    <w:sz w:val="18"/>
                                  </w:rPr>
                                  <w:t xml:space="preserve"> </w:t>
                                </w:r>
                                <w:r>
                                  <w:rPr>
                                    <w:rFonts w:ascii="Arial"/>
                                    <w:spacing w:val="-1"/>
                                    <w:sz w:val="18"/>
                                  </w:rPr>
                                  <w:t>whether</w:t>
                                </w:r>
                                <w:r>
                                  <w:rPr>
                                    <w:rFonts w:ascii="Arial"/>
                                    <w:spacing w:val="9"/>
                                    <w:sz w:val="18"/>
                                  </w:rPr>
                                  <w:t xml:space="preserve"> </w:t>
                                </w:r>
                                <w:r>
                                  <w:rPr>
                                    <w:rFonts w:ascii="Arial"/>
                                    <w:spacing w:val="-1"/>
                                    <w:sz w:val="18"/>
                                  </w:rPr>
                                  <w:t>the</w:t>
                                </w:r>
                                <w:r>
                                  <w:rPr>
                                    <w:rFonts w:ascii="Arial"/>
                                    <w:spacing w:val="77"/>
                                    <w:sz w:val="18"/>
                                  </w:rPr>
                                  <w:t xml:space="preserve"> </w:t>
                                </w:r>
                                <w:r>
                                  <w:rPr>
                                    <w:rFonts w:ascii="Arial"/>
                                    <w:spacing w:val="-1"/>
                                    <w:sz w:val="18"/>
                                  </w:rPr>
                                  <w:t>Supplier</w:t>
                                </w:r>
                                <w:r>
                                  <w:rPr>
                                    <w:rFonts w:ascii="Arial"/>
                                    <w:spacing w:val="19"/>
                                    <w:sz w:val="18"/>
                                  </w:rPr>
                                  <w:t xml:space="preserve"> </w:t>
                                </w:r>
                                <w:r>
                                  <w:rPr>
                                    <w:rFonts w:ascii="Arial"/>
                                    <w:spacing w:val="-1"/>
                                    <w:sz w:val="18"/>
                                  </w:rPr>
                                  <w:t>should</w:t>
                                </w:r>
                                <w:r>
                                  <w:rPr>
                                    <w:rFonts w:ascii="Arial"/>
                                    <w:spacing w:val="20"/>
                                    <w:sz w:val="18"/>
                                  </w:rPr>
                                  <w:t xml:space="preserve"> </w:t>
                                </w:r>
                                <w:r>
                                  <w:rPr>
                                    <w:rFonts w:ascii="Arial"/>
                                    <w:spacing w:val="-1"/>
                                    <w:sz w:val="18"/>
                                  </w:rPr>
                                  <w:t>provide</w:t>
                                </w:r>
                                <w:r>
                                  <w:rPr>
                                    <w:rFonts w:ascii="Arial"/>
                                    <w:spacing w:val="20"/>
                                    <w:sz w:val="18"/>
                                  </w:rPr>
                                  <w:t xml:space="preserve"> </w:t>
                                </w:r>
                                <w:r>
                                  <w:rPr>
                                    <w:rFonts w:ascii="Arial"/>
                                    <w:sz w:val="18"/>
                                  </w:rPr>
                                  <w:t>a</w:t>
                                </w:r>
                                <w:r>
                                  <w:rPr>
                                    <w:rFonts w:ascii="Arial"/>
                                    <w:spacing w:val="20"/>
                                    <w:sz w:val="18"/>
                                  </w:rPr>
                                  <w:t xml:space="preserve"> </w:t>
                                </w:r>
                                <w:r>
                                  <w:rPr>
                                    <w:rFonts w:ascii="Arial"/>
                                    <w:spacing w:val="-1"/>
                                    <w:sz w:val="18"/>
                                  </w:rPr>
                                  <w:t>Call</w:t>
                                </w:r>
                                <w:r>
                                  <w:rPr>
                                    <w:rFonts w:ascii="Arial"/>
                                    <w:spacing w:val="20"/>
                                    <w:sz w:val="18"/>
                                  </w:rPr>
                                  <w:t xml:space="preserve"> </w:t>
                                </w:r>
                                <w:r>
                                  <w:rPr>
                                    <w:rFonts w:ascii="Arial"/>
                                    <w:spacing w:val="-1"/>
                                    <w:sz w:val="18"/>
                                  </w:rPr>
                                  <w:t>Off</w:t>
                                </w:r>
                                <w:r>
                                  <w:rPr>
                                    <w:rFonts w:ascii="Arial"/>
                                    <w:spacing w:val="19"/>
                                    <w:sz w:val="18"/>
                                  </w:rPr>
                                  <w:t xml:space="preserve"> </w:t>
                                </w:r>
                                <w:r>
                                  <w:rPr>
                                    <w:rFonts w:ascii="Arial"/>
                                    <w:spacing w:val="-1"/>
                                    <w:sz w:val="18"/>
                                  </w:rPr>
                                  <w:t>Guarantee</w:t>
                                </w:r>
                                <w:r>
                                  <w:rPr>
                                    <w:rFonts w:ascii="Arial"/>
                                    <w:spacing w:val="20"/>
                                    <w:sz w:val="18"/>
                                  </w:rPr>
                                  <w:t xml:space="preserve"> </w:t>
                                </w:r>
                                <w:r>
                                  <w:rPr>
                                    <w:rFonts w:ascii="Arial"/>
                                    <w:spacing w:val="-1"/>
                                    <w:sz w:val="18"/>
                                  </w:rPr>
                                  <w:t>on</w:t>
                                </w:r>
                                <w:r>
                                  <w:rPr>
                                    <w:rFonts w:ascii="Arial"/>
                                    <w:spacing w:val="20"/>
                                    <w:sz w:val="18"/>
                                  </w:rPr>
                                  <w:t xml:space="preserve"> </w:t>
                                </w:r>
                                <w:r>
                                  <w:rPr>
                                    <w:rFonts w:ascii="Arial"/>
                                    <w:sz w:val="18"/>
                                  </w:rPr>
                                  <w:t>or</w:t>
                                </w:r>
                                <w:r>
                                  <w:rPr>
                                    <w:rFonts w:ascii="Arial"/>
                                    <w:spacing w:val="19"/>
                                    <w:sz w:val="18"/>
                                  </w:rPr>
                                  <w:t xml:space="preserve"> </w:t>
                                </w:r>
                                <w:r>
                                  <w:rPr>
                                    <w:rFonts w:ascii="Arial"/>
                                    <w:spacing w:val="-1"/>
                                    <w:sz w:val="18"/>
                                  </w:rPr>
                                  <w:t>before</w:t>
                                </w:r>
                                <w:r>
                                  <w:rPr>
                                    <w:rFonts w:ascii="Arial"/>
                                    <w:spacing w:val="17"/>
                                    <w:sz w:val="18"/>
                                  </w:rPr>
                                  <w:t xml:space="preserve"> </w:t>
                                </w:r>
                                <w:r>
                                  <w:rPr>
                                    <w:rFonts w:ascii="Arial"/>
                                    <w:sz w:val="18"/>
                                  </w:rPr>
                                  <w:t>the</w:t>
                                </w:r>
                                <w:r>
                                  <w:rPr>
                                    <w:rFonts w:ascii="Arial"/>
                                    <w:spacing w:val="20"/>
                                    <w:sz w:val="18"/>
                                  </w:rPr>
                                  <w:t xml:space="preserve"> </w:t>
                                </w:r>
                                <w:r>
                                  <w:rPr>
                                    <w:rFonts w:ascii="Arial"/>
                                    <w:spacing w:val="-1"/>
                                    <w:sz w:val="18"/>
                                  </w:rPr>
                                  <w:t>Call</w:t>
                                </w:r>
                                <w:r>
                                  <w:rPr>
                                    <w:rFonts w:ascii="Arial"/>
                                    <w:spacing w:val="20"/>
                                    <w:sz w:val="18"/>
                                  </w:rPr>
                                  <w:t xml:space="preserve"> </w:t>
                                </w:r>
                                <w:r>
                                  <w:rPr>
                                    <w:rFonts w:ascii="Arial"/>
                                    <w:spacing w:val="-1"/>
                                    <w:sz w:val="18"/>
                                  </w:rPr>
                                  <w:t>Off</w:t>
                                </w:r>
                                <w:r>
                                  <w:rPr>
                                    <w:rFonts w:ascii="Arial"/>
                                    <w:spacing w:val="20"/>
                                    <w:sz w:val="18"/>
                                  </w:rPr>
                                  <w:t xml:space="preserve"> </w:t>
                                </w:r>
                                <w:r>
                                  <w:rPr>
                                    <w:rFonts w:ascii="Arial"/>
                                    <w:spacing w:val="-1"/>
                                    <w:sz w:val="18"/>
                                  </w:rPr>
                                  <w:t>Commencement</w:t>
                                </w:r>
                                <w:r>
                                  <w:rPr>
                                    <w:rFonts w:ascii="Arial"/>
                                    <w:spacing w:val="17"/>
                                    <w:sz w:val="18"/>
                                  </w:rPr>
                                  <w:t xml:space="preserve"> </w:t>
                                </w:r>
                                <w:r>
                                  <w:rPr>
                                    <w:rFonts w:ascii="Arial"/>
                                    <w:spacing w:val="-1"/>
                                    <w:sz w:val="18"/>
                                  </w:rPr>
                                  <w:t>Date.</w:t>
                                </w:r>
                                <w:r>
                                  <w:rPr>
                                    <w:rFonts w:ascii="Arial"/>
                                    <w:spacing w:val="20"/>
                                    <w:sz w:val="18"/>
                                  </w:rPr>
                                  <w:t xml:space="preserve"> </w:t>
                                </w:r>
                                <w:r>
                                  <w:rPr>
                                    <w:rFonts w:ascii="Arial"/>
                                    <w:sz w:val="18"/>
                                  </w:rPr>
                                  <w:t>If</w:t>
                                </w:r>
                                <w:r>
                                  <w:rPr>
                                    <w:rFonts w:ascii="Arial"/>
                                    <w:spacing w:val="20"/>
                                    <w:sz w:val="18"/>
                                  </w:rPr>
                                  <w:t xml:space="preserve"> </w:t>
                                </w:r>
                                <w:r>
                                  <w:rPr>
                                    <w:rFonts w:ascii="Arial"/>
                                    <w:sz w:val="18"/>
                                  </w:rPr>
                                  <w:t>so,</w:t>
                                </w:r>
                                <w:r>
                                  <w:rPr>
                                    <w:rFonts w:ascii="Arial"/>
                                    <w:spacing w:val="17"/>
                                    <w:sz w:val="18"/>
                                  </w:rPr>
                                  <w:t xml:space="preserve"> </w:t>
                                </w:r>
                                <w:r>
                                  <w:rPr>
                                    <w:rFonts w:ascii="Arial"/>
                                    <w:spacing w:val="-1"/>
                                    <w:sz w:val="18"/>
                                  </w:rPr>
                                  <w:t>stipulate</w:t>
                                </w:r>
                                <w:r>
                                  <w:rPr>
                                    <w:rFonts w:ascii="Arial"/>
                                    <w:spacing w:val="105"/>
                                    <w:sz w:val="18"/>
                                  </w:rPr>
                                  <w:t xml:space="preserve"> </w:t>
                                </w:r>
                                <w:r>
                                  <w:rPr>
                                    <w:rFonts w:ascii="Arial"/>
                                    <w:sz w:val="18"/>
                                  </w:rPr>
                                  <w:t>there</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Call</w:t>
                                </w:r>
                                <w:r>
                                  <w:rPr>
                                    <w:rFonts w:ascii="Arial"/>
                                    <w:spacing w:val="1"/>
                                    <w:sz w:val="18"/>
                                  </w:rPr>
                                  <w:t xml:space="preserve"> </w:t>
                                </w:r>
                                <w:r>
                                  <w:rPr>
                                    <w:rFonts w:ascii="Arial"/>
                                    <w:spacing w:val="-1"/>
                                    <w:sz w:val="18"/>
                                  </w:rPr>
                                  <w:t>Off</w:t>
                                </w:r>
                                <w:r>
                                  <w:rPr>
                                    <w:rFonts w:ascii="Arial"/>
                                    <w:sz w:val="18"/>
                                  </w:rPr>
                                  <w:t xml:space="preserve"> </w:t>
                                </w:r>
                                <w:r>
                                  <w:rPr>
                                    <w:rFonts w:ascii="Arial"/>
                                    <w:spacing w:val="-1"/>
                                    <w:sz w:val="18"/>
                                  </w:rPr>
                                  <w:t>Contract</w:t>
                                </w:r>
                                <w:r>
                                  <w:rPr>
                                    <w:rFonts w:ascii="Arial"/>
                                    <w:spacing w:val="-2"/>
                                    <w:sz w:val="18"/>
                                  </w:rPr>
                                  <w:t xml:space="preserve"> </w:t>
                                </w:r>
                                <w:r>
                                  <w:rPr>
                                    <w:rFonts w:ascii="Arial"/>
                                    <w:sz w:val="18"/>
                                  </w:rPr>
                                  <w:t>is</w:t>
                                </w:r>
                                <w:r>
                                  <w:rPr>
                                    <w:rFonts w:ascii="Arial"/>
                                    <w:spacing w:val="-1"/>
                                    <w:sz w:val="18"/>
                                  </w:rPr>
                                  <w:t xml:space="preserve"> subject</w:t>
                                </w:r>
                                <w:r>
                                  <w:rPr>
                                    <w:rFonts w:ascii="Arial"/>
                                    <w:sz w:val="18"/>
                                  </w:rPr>
                                  <w:t xml:space="preserve"> to</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Call</w:t>
                                </w:r>
                                <w:r>
                                  <w:rPr>
                                    <w:rFonts w:ascii="Arial"/>
                                    <w:spacing w:val="1"/>
                                    <w:sz w:val="18"/>
                                  </w:rPr>
                                  <w:t xml:space="preserve"> </w:t>
                                </w:r>
                                <w:r>
                                  <w:rPr>
                                    <w:rFonts w:ascii="Arial"/>
                                    <w:spacing w:val="-1"/>
                                    <w:sz w:val="18"/>
                                  </w:rPr>
                                  <w:t>Off</w:t>
                                </w:r>
                                <w:r>
                                  <w:rPr>
                                    <w:rFonts w:ascii="Arial"/>
                                    <w:sz w:val="18"/>
                                  </w:rPr>
                                  <w:t xml:space="preserve"> </w:t>
                                </w:r>
                                <w:r>
                                  <w:rPr>
                                    <w:rFonts w:ascii="Arial"/>
                                    <w:spacing w:val="-1"/>
                                    <w:sz w:val="18"/>
                                  </w:rPr>
                                  <w:t>Guarantee.</w:t>
                                </w:r>
                              </w:p>
                            </w:txbxContent>
                          </wps:txbx>
                          <wps:bodyPr rot="0" vert="horz" wrap="square" lIns="0" tIns="0" rIns="0" bIns="0" anchor="t" anchorCtr="0" upright="1">
                            <a:noAutofit/>
                          </wps:bodyPr>
                        </wps:wsp>
                      </wpg:grpSp>
                    </wpg:wgp>
                  </a:graphicData>
                </a:graphic>
              </wp:inline>
            </w:drawing>
          </mc:Choice>
          <mc:Fallback>
            <w:pict>
              <v:group w14:anchorId="5DA7E089" id="Group 7204" o:spid="_x0000_s1072" style="width:445.6pt;height:32pt;mso-position-horizontal-relative:char;mso-position-vertical-relative:line" coordsize="89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">
                <v:group id="Group 7210" o:spid="_x0000_s1073" style="position:absolute;left:194;top:20;width:8715;height:207" coordorigin="194,20" coordsize="871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H1CsUAAADdAAAADwAAAGRycy9kb3ducmV2LnhtbESPQYvCMBSE78L+h/AE&#10;b5pWWV2qUURW2YMsqAvi7dE822LzUprY1n9vhAWPw8x8wyxWnSlFQ7UrLCuIRxEI4tTqgjMFf6ft&#10;8AuE88gaS8uk4EEOVsuP3gITbVs+UHP0mQgQdgkqyL2vEildmpNBN7IVcfCutjbog6wzqWtsA9yU&#10;chxFU2mw4LCQY0WbnNLb8W4U7Fps15P4u9nfrpvH5fT5e97HpNSg363nIDx1/h3+b/9oBbN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B9QrFAAAA3QAA&#10;AA8AAAAAAAAAAAAAAAAAqgIAAGRycy9kb3ducmV2LnhtbFBLBQYAAAAABAAEAPoAAACcAwAAAAA=&#10;">
                  <v:shape id="Freeform 7211" o:spid="_x0000_s1074" style="position:absolute;left:194;top:20;width:8715;height:207;visibility:visible;mso-wrap-style:square;v-text-anchor:top" coordsize="871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A6McA&#10;AADdAAAADwAAAGRycy9kb3ducmV2LnhtbESPzWrDMBCE74W+g9hCL6WRY0Jc3CihtBRyCiQO6XWx&#10;traptTKS/NM8fRQI5DjMzDfMajOZVgzkfGNZwXyWgCAurW64UnAsvl/fQPiArLG1TAr+ycNm/fiw&#10;wlzbkfc0HEIlIoR9jgrqELpcSl/WZNDPbEccvV/rDIYoXSW1wzHCTSvTJFlKgw3HhRo7+qyp/Dv0&#10;RkG/y/r9OTudlsU4/Hxt053j5EWp56fp4x1EoCncw7f2VivI0vkCrm/i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dQOjHAAAA3QAAAA8AAAAAAAAAAAAAAAAAmAIAAGRy&#10;cy9kb3ducmV2LnhtbFBLBQYAAAAABAAEAPUAAACMAwAAAAA=&#10;" path="m,207r8715,l8715,,,,,207xe" fillcolor="lime" stroked="f">
                    <v:path arrowok="t" o:connecttype="custom" o:connectlocs="0,227;8715,227;8715,20;0,20;0,227" o:connectangles="0,0,0,0,0"/>
                  </v:shape>
                </v:group>
                <v:group id="Group 7208" o:spid="_x0000_s1075" style="position:absolute;top:227;width:8909;height:207" coordorigin=",227"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TI5cUAAADdAAAADwAAAGRycy9kb3ducmV2LnhtbESPQYvCMBSE78L+h/CE&#10;vWlaF3WpRhFZlz2IoC6It0fzbIvNS2liW/+9EQSPw8x8w8yXnSlFQ7UrLCuIhxEI4tTqgjMF/8fN&#10;4BuE88gaS8uk4E4OlouP3hwTbVveU3PwmQgQdgkqyL2vEildmpNBN7QVcfAutjbog6wzqWtsA9yU&#10;chRFE2mw4LCQY0XrnNLr4WYU/LbYrr7in2Z7vazv5+N4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kyOXFAAAA3QAA&#10;AA8AAAAAAAAAAAAAAAAAqgIAAGRycy9kb3ducmV2LnhtbFBLBQYAAAAABAAEAPoAAACcAwAAAAA=&#10;">
                  <v:shape id="Freeform 7209" o:spid="_x0000_s1076" style="position:absolute;top:227;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kwMUA&#10;AADdAAAADwAAAGRycy9kb3ducmV2LnhtbESP3WrCQBSE7wu+w3IE73RjwB+iq0htRUSEWh/gmD0m&#10;wezZsLs18e27BaGXw8x8wyzXnanFg5yvLCsYjxIQxLnVFRcKLt+fwzkIH5A11pZJwZM8rFe9tyVm&#10;2rb8RY9zKESEsM9QQRlCk0np85IM+pFtiKN3s85giNIVUjtsI9zUMk2SqTRYcVwosaH3kvL7+cco&#10;cB9tOOJhlh67w/x0nWx3+61OlRr0u80CRKAu/Idf7b1WMEvH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OTAxQAAAN0AAAAPAAAAAAAAAAAAAAAAAJgCAABkcnMv&#10;ZG93bnJldi54bWxQSwUGAAAAAAQABAD1AAAAigMAAAAA&#10;" path="m,206r8909,l8909,,,,,206xe" fillcolor="lime" stroked="f">
                    <v:path arrowok="t" o:connecttype="custom" o:connectlocs="0,433;8909,433;8909,227;0,227;0,433" o:connectangles="0,0,0,0,0"/>
                  </v:shape>
                </v:group>
                <v:group id="Group 7205" o:spid="_x0000_s1077" style="position:absolute;top:433;width:5194;height:207" coordorigin=",433" coordsize="519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shape id="Freeform 7207" o:spid="_x0000_s1078" style="position:absolute;top:433;width:5194;height:207;visibility:visible;mso-wrap-style:square;v-text-anchor:top" coordsize="519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lBsIA&#10;AADdAAAADwAAAGRycy9kb3ducmV2LnhtbERPy2rCQBTdC/2H4Qrd6SQp0ZI6irRYuvVB1pfMNQlm&#10;7oSZqUnz9Z2F4PJw3pvdaDpxJ+dbywrSZQKCuLK65VrB5XxYvIPwAVljZ5kU/JGH3fZltsFC24GP&#10;dD+FWsQQ9gUqaELoCyl91ZBBv7Q9ceSu1hkMEbpaaodDDDedzJJkJQ22HBsa7Omzoep2+jUK8rxc&#10;51eX1Ye0nLJh+vreT2+lUq/zcf8BItAYnuKH+0crWGdpnBvfx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KUGwgAAAN0AAAAPAAAAAAAAAAAAAAAAAJgCAABkcnMvZG93&#10;bnJldi54bWxQSwUGAAAAAAQABAD1AAAAhwMAAAAA&#10;" path="m,207r5194,l5194,,,,,207xe" fillcolor="lime" stroked="f">
                    <v:path arrowok="t" o:connecttype="custom" o:connectlocs="0,640;5194,640;5194,433;0,433;0,640" o:connectangles="0,0,0,0,0"/>
                  </v:shape>
                  <v:shape id="Text Box 7206" o:spid="_x0000_s1079" type="#_x0000_t202" style="position:absolute;width:8912;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KO8UA&#10;AADdAAAADwAAAGRycy9kb3ducmV2LnhtbESPQWvCQBSE7wX/w/IEb3WjB1ujq4i0IAjSGA8en9ln&#10;sph9G7Orxn/fLRQ8DjPzDTNfdrYWd2q9caxgNExAEBdOGy4VHPLv908QPiBrrB2Tgid5WC56b3NM&#10;tXtwRvd9KEWEsE9RQRVCk0rpi4os+qFriKN3dq3FEGVbSt3iI8JtLcdJMpEWDceFChtaV1Rc9jer&#10;YHXk7Mtcd6ef7JyZPJ8mvJ1clBr0u9UMRKAuvML/7Y1W8DEe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8o7xQAAAN0AAAAPAAAAAAAAAAAAAAAAAJgCAABkcnMv&#10;ZG93bnJldi54bWxQSwUGAAAAAAQABAD1AAAAigMAAAAA&#10;" filled="f" stroked="f">
                    <v:textbox inset="0,0,0,0">
                      <w:txbxContent>
                        <w:p w:rsidR="005D2B81" w:rsidRDefault="005D2B81" w:rsidP="008918FA">
                          <w:pPr>
                            <w:spacing w:before="23" w:line="206" w:lineRule="exact"/>
                            <w:jc w:val="both"/>
                            <w:rPr>
                              <w:rFonts w:ascii="Arial" w:eastAsia="Arial" w:hAnsi="Arial" w:cs="Arial"/>
                              <w:sz w:val="18"/>
                              <w:szCs w:val="18"/>
                            </w:rPr>
                          </w:pPr>
                          <w:bookmarkStart w:id="23" w:name="_bookmark29"/>
                          <w:bookmarkEnd w:id="23"/>
                          <w:r>
                            <w:rPr>
                              <w:rFonts w:ascii="Arial"/>
                              <w:position w:val="9"/>
                              <w:sz w:val="12"/>
                            </w:rPr>
                            <w:t>29</w:t>
                          </w:r>
                          <w:r>
                            <w:rPr>
                              <w:rFonts w:ascii="Arial"/>
                              <w:spacing w:val="26"/>
                              <w:position w:val="9"/>
                              <w:sz w:val="12"/>
                            </w:rPr>
                            <w:t xml:space="preserve"> </w:t>
                          </w:r>
                          <w:r>
                            <w:rPr>
                              <w:rFonts w:ascii="Arial"/>
                              <w:spacing w:val="-1"/>
                              <w:sz w:val="18"/>
                            </w:rPr>
                            <w:t>[Guidance</w:t>
                          </w:r>
                          <w:r>
                            <w:rPr>
                              <w:rFonts w:ascii="Arial"/>
                              <w:spacing w:val="10"/>
                              <w:sz w:val="18"/>
                            </w:rPr>
                            <w:t xml:space="preserve"> </w:t>
                          </w:r>
                          <w:r>
                            <w:rPr>
                              <w:rFonts w:ascii="Arial"/>
                              <w:spacing w:val="-1"/>
                              <w:sz w:val="18"/>
                            </w:rPr>
                            <w:t>Note:</w:t>
                          </w:r>
                          <w:r>
                            <w:rPr>
                              <w:rFonts w:ascii="Arial"/>
                              <w:spacing w:val="10"/>
                              <w:sz w:val="18"/>
                            </w:rPr>
                            <w:t xml:space="preserve"> </w:t>
                          </w:r>
                          <w:r>
                            <w:rPr>
                              <w:rFonts w:ascii="Arial"/>
                              <w:spacing w:val="-1"/>
                              <w:sz w:val="18"/>
                            </w:rPr>
                            <w:t>See</w:t>
                          </w:r>
                          <w:r>
                            <w:rPr>
                              <w:rFonts w:ascii="Arial"/>
                              <w:spacing w:val="10"/>
                              <w:sz w:val="18"/>
                            </w:rPr>
                            <w:t xml:space="preserve"> </w:t>
                          </w:r>
                          <w:r>
                            <w:rPr>
                              <w:rFonts w:ascii="Arial"/>
                              <w:spacing w:val="-1"/>
                              <w:sz w:val="18"/>
                            </w:rPr>
                            <w:t>Clause</w:t>
                          </w:r>
                          <w:r>
                            <w:rPr>
                              <w:rFonts w:ascii="Arial"/>
                              <w:spacing w:val="8"/>
                              <w:sz w:val="18"/>
                            </w:rPr>
                            <w:t xml:space="preserve"> </w:t>
                          </w:r>
                          <w:hyperlink w:anchor="_bookmark52" w:history="1">
                            <w:r>
                              <w:rPr>
                                <w:rFonts w:ascii="Arial"/>
                                <w:sz w:val="18"/>
                              </w:rPr>
                              <w:t>4,</w:t>
                            </w:r>
                          </w:hyperlink>
                          <w:r>
                            <w:rPr>
                              <w:rFonts w:ascii="Arial"/>
                              <w:spacing w:val="10"/>
                              <w:sz w:val="18"/>
                            </w:rPr>
                            <w:t xml:space="preserve"> </w:t>
                          </w:r>
                          <w:r>
                            <w:rPr>
                              <w:rFonts w:ascii="Arial"/>
                              <w:spacing w:val="-1"/>
                              <w:sz w:val="18"/>
                            </w:rPr>
                            <w:t>Clause</w:t>
                          </w:r>
                          <w:r>
                            <w:rPr>
                              <w:rFonts w:ascii="Arial"/>
                              <w:spacing w:val="8"/>
                              <w:sz w:val="18"/>
                            </w:rPr>
                            <w:t xml:space="preserve"> </w:t>
                          </w:r>
                          <w:hyperlink w:anchor="_bookmark232" w:history="1">
                            <w:r>
                              <w:rPr>
                                <w:rFonts w:ascii="Arial"/>
                                <w:spacing w:val="-1"/>
                                <w:sz w:val="18"/>
                              </w:rPr>
                              <w:t>41.1</w:t>
                            </w:r>
                          </w:hyperlink>
                          <w:r>
                            <w:rPr>
                              <w:rFonts w:ascii="Arial"/>
                              <w:spacing w:val="8"/>
                              <w:sz w:val="18"/>
                            </w:rPr>
                            <w:t xml:space="preserve"> </w:t>
                          </w:r>
                          <w:r>
                            <w:rPr>
                              <w:rFonts w:ascii="Arial"/>
                              <w:sz w:val="18"/>
                            </w:rPr>
                            <w:t>and</w:t>
                          </w:r>
                          <w:r>
                            <w:rPr>
                              <w:rFonts w:ascii="Arial"/>
                              <w:spacing w:val="8"/>
                              <w:sz w:val="18"/>
                            </w:rPr>
                            <w:t xml:space="preserve"> </w:t>
                          </w:r>
                          <w:hyperlink w:anchor="_bookmark250" w:history="1">
                            <w:r>
                              <w:rPr>
                                <w:rFonts w:ascii="Arial"/>
                                <w:spacing w:val="-1"/>
                                <w:sz w:val="18"/>
                              </w:rPr>
                              <w:t>45.1</w:t>
                            </w:r>
                          </w:hyperlink>
                          <w:r>
                            <w:rPr>
                              <w:rFonts w:ascii="Arial"/>
                              <w:spacing w:val="10"/>
                              <w:sz w:val="18"/>
                            </w:rPr>
                            <w:t xml:space="preserve"> </w:t>
                          </w:r>
                          <w:r>
                            <w:rPr>
                              <w:rFonts w:ascii="Arial"/>
                              <w:spacing w:val="-1"/>
                              <w:sz w:val="18"/>
                            </w:rPr>
                            <w:t>of</w:t>
                          </w:r>
                          <w:r>
                            <w:rPr>
                              <w:rFonts w:ascii="Arial"/>
                              <w:spacing w:val="10"/>
                              <w:sz w:val="18"/>
                            </w:rPr>
                            <w:t xml:space="preserve"> </w:t>
                          </w:r>
                          <w:r>
                            <w:rPr>
                              <w:rFonts w:ascii="Arial"/>
                              <w:spacing w:val="-2"/>
                              <w:sz w:val="18"/>
                            </w:rPr>
                            <w:t>the</w:t>
                          </w:r>
                          <w:r>
                            <w:rPr>
                              <w:rFonts w:ascii="Arial"/>
                              <w:spacing w:val="10"/>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10"/>
                              <w:sz w:val="18"/>
                            </w:rPr>
                            <w:t xml:space="preserve"> </w:t>
                          </w:r>
                          <w:r>
                            <w:rPr>
                              <w:rFonts w:ascii="Arial"/>
                              <w:spacing w:val="-1"/>
                              <w:sz w:val="18"/>
                            </w:rPr>
                            <w:t>Terms.</w:t>
                          </w:r>
                          <w:r>
                            <w:rPr>
                              <w:rFonts w:ascii="Arial"/>
                              <w:spacing w:val="10"/>
                              <w:sz w:val="18"/>
                            </w:rPr>
                            <w:t xml:space="preserve"> </w:t>
                          </w:r>
                          <w:r>
                            <w:rPr>
                              <w:rFonts w:ascii="Arial"/>
                              <w:spacing w:val="-1"/>
                              <w:sz w:val="18"/>
                            </w:rPr>
                            <w:t>Consider</w:t>
                          </w:r>
                          <w:r>
                            <w:rPr>
                              <w:rFonts w:ascii="Arial"/>
                              <w:spacing w:val="9"/>
                              <w:sz w:val="18"/>
                            </w:rPr>
                            <w:t xml:space="preserve"> </w:t>
                          </w:r>
                          <w:r>
                            <w:rPr>
                              <w:rFonts w:ascii="Arial"/>
                              <w:spacing w:val="-1"/>
                              <w:sz w:val="18"/>
                            </w:rPr>
                            <w:t>whether</w:t>
                          </w:r>
                          <w:r>
                            <w:rPr>
                              <w:rFonts w:ascii="Arial"/>
                              <w:spacing w:val="9"/>
                              <w:sz w:val="18"/>
                            </w:rPr>
                            <w:t xml:space="preserve"> </w:t>
                          </w:r>
                          <w:r>
                            <w:rPr>
                              <w:rFonts w:ascii="Arial"/>
                              <w:spacing w:val="-1"/>
                              <w:sz w:val="18"/>
                            </w:rPr>
                            <w:t>the</w:t>
                          </w:r>
                          <w:r>
                            <w:rPr>
                              <w:rFonts w:ascii="Arial"/>
                              <w:spacing w:val="77"/>
                              <w:sz w:val="18"/>
                            </w:rPr>
                            <w:t xml:space="preserve"> </w:t>
                          </w:r>
                          <w:r>
                            <w:rPr>
                              <w:rFonts w:ascii="Arial"/>
                              <w:spacing w:val="-1"/>
                              <w:sz w:val="18"/>
                            </w:rPr>
                            <w:t>Supplier</w:t>
                          </w:r>
                          <w:r>
                            <w:rPr>
                              <w:rFonts w:ascii="Arial"/>
                              <w:spacing w:val="19"/>
                              <w:sz w:val="18"/>
                            </w:rPr>
                            <w:t xml:space="preserve"> </w:t>
                          </w:r>
                          <w:r>
                            <w:rPr>
                              <w:rFonts w:ascii="Arial"/>
                              <w:spacing w:val="-1"/>
                              <w:sz w:val="18"/>
                            </w:rPr>
                            <w:t>should</w:t>
                          </w:r>
                          <w:r>
                            <w:rPr>
                              <w:rFonts w:ascii="Arial"/>
                              <w:spacing w:val="20"/>
                              <w:sz w:val="18"/>
                            </w:rPr>
                            <w:t xml:space="preserve"> </w:t>
                          </w:r>
                          <w:r>
                            <w:rPr>
                              <w:rFonts w:ascii="Arial"/>
                              <w:spacing w:val="-1"/>
                              <w:sz w:val="18"/>
                            </w:rPr>
                            <w:t>provide</w:t>
                          </w:r>
                          <w:r>
                            <w:rPr>
                              <w:rFonts w:ascii="Arial"/>
                              <w:spacing w:val="20"/>
                              <w:sz w:val="18"/>
                            </w:rPr>
                            <w:t xml:space="preserve"> </w:t>
                          </w:r>
                          <w:r>
                            <w:rPr>
                              <w:rFonts w:ascii="Arial"/>
                              <w:sz w:val="18"/>
                            </w:rPr>
                            <w:t>a</w:t>
                          </w:r>
                          <w:r>
                            <w:rPr>
                              <w:rFonts w:ascii="Arial"/>
                              <w:spacing w:val="20"/>
                              <w:sz w:val="18"/>
                            </w:rPr>
                            <w:t xml:space="preserve"> </w:t>
                          </w:r>
                          <w:r>
                            <w:rPr>
                              <w:rFonts w:ascii="Arial"/>
                              <w:spacing w:val="-1"/>
                              <w:sz w:val="18"/>
                            </w:rPr>
                            <w:t>Call</w:t>
                          </w:r>
                          <w:r>
                            <w:rPr>
                              <w:rFonts w:ascii="Arial"/>
                              <w:spacing w:val="20"/>
                              <w:sz w:val="18"/>
                            </w:rPr>
                            <w:t xml:space="preserve"> </w:t>
                          </w:r>
                          <w:r>
                            <w:rPr>
                              <w:rFonts w:ascii="Arial"/>
                              <w:spacing w:val="-1"/>
                              <w:sz w:val="18"/>
                            </w:rPr>
                            <w:t>Off</w:t>
                          </w:r>
                          <w:r>
                            <w:rPr>
                              <w:rFonts w:ascii="Arial"/>
                              <w:spacing w:val="19"/>
                              <w:sz w:val="18"/>
                            </w:rPr>
                            <w:t xml:space="preserve"> </w:t>
                          </w:r>
                          <w:r>
                            <w:rPr>
                              <w:rFonts w:ascii="Arial"/>
                              <w:spacing w:val="-1"/>
                              <w:sz w:val="18"/>
                            </w:rPr>
                            <w:t>Guarantee</w:t>
                          </w:r>
                          <w:r>
                            <w:rPr>
                              <w:rFonts w:ascii="Arial"/>
                              <w:spacing w:val="20"/>
                              <w:sz w:val="18"/>
                            </w:rPr>
                            <w:t xml:space="preserve"> </w:t>
                          </w:r>
                          <w:r>
                            <w:rPr>
                              <w:rFonts w:ascii="Arial"/>
                              <w:spacing w:val="-1"/>
                              <w:sz w:val="18"/>
                            </w:rPr>
                            <w:t>on</w:t>
                          </w:r>
                          <w:r>
                            <w:rPr>
                              <w:rFonts w:ascii="Arial"/>
                              <w:spacing w:val="20"/>
                              <w:sz w:val="18"/>
                            </w:rPr>
                            <w:t xml:space="preserve"> </w:t>
                          </w:r>
                          <w:r>
                            <w:rPr>
                              <w:rFonts w:ascii="Arial"/>
                              <w:sz w:val="18"/>
                            </w:rPr>
                            <w:t>or</w:t>
                          </w:r>
                          <w:r>
                            <w:rPr>
                              <w:rFonts w:ascii="Arial"/>
                              <w:spacing w:val="19"/>
                              <w:sz w:val="18"/>
                            </w:rPr>
                            <w:t xml:space="preserve"> </w:t>
                          </w:r>
                          <w:r>
                            <w:rPr>
                              <w:rFonts w:ascii="Arial"/>
                              <w:spacing w:val="-1"/>
                              <w:sz w:val="18"/>
                            </w:rPr>
                            <w:t>before</w:t>
                          </w:r>
                          <w:r>
                            <w:rPr>
                              <w:rFonts w:ascii="Arial"/>
                              <w:spacing w:val="17"/>
                              <w:sz w:val="18"/>
                            </w:rPr>
                            <w:t xml:space="preserve"> </w:t>
                          </w:r>
                          <w:r>
                            <w:rPr>
                              <w:rFonts w:ascii="Arial"/>
                              <w:sz w:val="18"/>
                            </w:rPr>
                            <w:t>the</w:t>
                          </w:r>
                          <w:r>
                            <w:rPr>
                              <w:rFonts w:ascii="Arial"/>
                              <w:spacing w:val="20"/>
                              <w:sz w:val="18"/>
                            </w:rPr>
                            <w:t xml:space="preserve"> </w:t>
                          </w:r>
                          <w:r>
                            <w:rPr>
                              <w:rFonts w:ascii="Arial"/>
                              <w:spacing w:val="-1"/>
                              <w:sz w:val="18"/>
                            </w:rPr>
                            <w:t>Call</w:t>
                          </w:r>
                          <w:r>
                            <w:rPr>
                              <w:rFonts w:ascii="Arial"/>
                              <w:spacing w:val="20"/>
                              <w:sz w:val="18"/>
                            </w:rPr>
                            <w:t xml:space="preserve"> </w:t>
                          </w:r>
                          <w:r>
                            <w:rPr>
                              <w:rFonts w:ascii="Arial"/>
                              <w:spacing w:val="-1"/>
                              <w:sz w:val="18"/>
                            </w:rPr>
                            <w:t>Off</w:t>
                          </w:r>
                          <w:r>
                            <w:rPr>
                              <w:rFonts w:ascii="Arial"/>
                              <w:spacing w:val="20"/>
                              <w:sz w:val="18"/>
                            </w:rPr>
                            <w:t xml:space="preserve"> </w:t>
                          </w:r>
                          <w:r>
                            <w:rPr>
                              <w:rFonts w:ascii="Arial"/>
                              <w:spacing w:val="-1"/>
                              <w:sz w:val="18"/>
                            </w:rPr>
                            <w:t>Commencement</w:t>
                          </w:r>
                          <w:r>
                            <w:rPr>
                              <w:rFonts w:ascii="Arial"/>
                              <w:spacing w:val="17"/>
                              <w:sz w:val="18"/>
                            </w:rPr>
                            <w:t xml:space="preserve"> </w:t>
                          </w:r>
                          <w:r>
                            <w:rPr>
                              <w:rFonts w:ascii="Arial"/>
                              <w:spacing w:val="-1"/>
                              <w:sz w:val="18"/>
                            </w:rPr>
                            <w:t>Date.</w:t>
                          </w:r>
                          <w:r>
                            <w:rPr>
                              <w:rFonts w:ascii="Arial"/>
                              <w:spacing w:val="20"/>
                              <w:sz w:val="18"/>
                            </w:rPr>
                            <w:t xml:space="preserve"> </w:t>
                          </w:r>
                          <w:r>
                            <w:rPr>
                              <w:rFonts w:ascii="Arial"/>
                              <w:sz w:val="18"/>
                            </w:rPr>
                            <w:t>If</w:t>
                          </w:r>
                          <w:r>
                            <w:rPr>
                              <w:rFonts w:ascii="Arial"/>
                              <w:spacing w:val="20"/>
                              <w:sz w:val="18"/>
                            </w:rPr>
                            <w:t xml:space="preserve"> </w:t>
                          </w:r>
                          <w:r>
                            <w:rPr>
                              <w:rFonts w:ascii="Arial"/>
                              <w:sz w:val="18"/>
                            </w:rPr>
                            <w:t>so,</w:t>
                          </w:r>
                          <w:r>
                            <w:rPr>
                              <w:rFonts w:ascii="Arial"/>
                              <w:spacing w:val="17"/>
                              <w:sz w:val="18"/>
                            </w:rPr>
                            <w:t xml:space="preserve"> </w:t>
                          </w:r>
                          <w:r>
                            <w:rPr>
                              <w:rFonts w:ascii="Arial"/>
                              <w:spacing w:val="-1"/>
                              <w:sz w:val="18"/>
                            </w:rPr>
                            <w:t>stipulate</w:t>
                          </w:r>
                          <w:r>
                            <w:rPr>
                              <w:rFonts w:ascii="Arial"/>
                              <w:spacing w:val="105"/>
                              <w:sz w:val="18"/>
                            </w:rPr>
                            <w:t xml:space="preserve"> </w:t>
                          </w:r>
                          <w:r>
                            <w:rPr>
                              <w:rFonts w:ascii="Arial"/>
                              <w:sz w:val="18"/>
                            </w:rPr>
                            <w:t>there</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Call</w:t>
                          </w:r>
                          <w:r>
                            <w:rPr>
                              <w:rFonts w:ascii="Arial"/>
                              <w:spacing w:val="1"/>
                              <w:sz w:val="18"/>
                            </w:rPr>
                            <w:t xml:space="preserve"> </w:t>
                          </w:r>
                          <w:r>
                            <w:rPr>
                              <w:rFonts w:ascii="Arial"/>
                              <w:spacing w:val="-1"/>
                              <w:sz w:val="18"/>
                            </w:rPr>
                            <w:t>Off</w:t>
                          </w:r>
                          <w:r>
                            <w:rPr>
                              <w:rFonts w:ascii="Arial"/>
                              <w:sz w:val="18"/>
                            </w:rPr>
                            <w:t xml:space="preserve"> </w:t>
                          </w:r>
                          <w:r>
                            <w:rPr>
                              <w:rFonts w:ascii="Arial"/>
                              <w:spacing w:val="-1"/>
                              <w:sz w:val="18"/>
                            </w:rPr>
                            <w:t>Contract</w:t>
                          </w:r>
                          <w:r>
                            <w:rPr>
                              <w:rFonts w:ascii="Arial"/>
                              <w:spacing w:val="-2"/>
                              <w:sz w:val="18"/>
                            </w:rPr>
                            <w:t xml:space="preserve"> </w:t>
                          </w:r>
                          <w:r>
                            <w:rPr>
                              <w:rFonts w:ascii="Arial"/>
                              <w:sz w:val="18"/>
                            </w:rPr>
                            <w:t>is</w:t>
                          </w:r>
                          <w:r>
                            <w:rPr>
                              <w:rFonts w:ascii="Arial"/>
                              <w:spacing w:val="-1"/>
                              <w:sz w:val="18"/>
                            </w:rPr>
                            <w:t xml:space="preserve"> subject</w:t>
                          </w:r>
                          <w:r>
                            <w:rPr>
                              <w:rFonts w:ascii="Arial"/>
                              <w:sz w:val="18"/>
                            </w:rPr>
                            <w:t xml:space="preserve"> to</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Call</w:t>
                          </w:r>
                          <w:r>
                            <w:rPr>
                              <w:rFonts w:ascii="Arial"/>
                              <w:spacing w:val="1"/>
                              <w:sz w:val="18"/>
                            </w:rPr>
                            <w:t xml:space="preserve"> </w:t>
                          </w:r>
                          <w:r>
                            <w:rPr>
                              <w:rFonts w:ascii="Arial"/>
                              <w:spacing w:val="-1"/>
                              <w:sz w:val="18"/>
                            </w:rPr>
                            <w:t>Off</w:t>
                          </w:r>
                          <w:r>
                            <w:rPr>
                              <w:rFonts w:ascii="Arial"/>
                              <w:sz w:val="18"/>
                            </w:rPr>
                            <w:t xml:space="preserve"> </w:t>
                          </w:r>
                          <w:r>
                            <w:rPr>
                              <w:rFonts w:ascii="Arial"/>
                              <w:spacing w:val="-1"/>
                              <w:sz w:val="18"/>
                            </w:rPr>
                            <w:t>Guarantee.</w:t>
                          </w:r>
                        </w:p>
                      </w:txbxContent>
                    </v:textbox>
                  </v:shape>
                </v:group>
                <w10:anchorlock/>
              </v:group>
            </w:pict>
          </mc:Fallback>
        </mc:AlternateContent>
      </w:r>
    </w:p>
    <w:p w:rsidR="008918FA" w:rsidRDefault="008918FA" w:rsidP="008918FA">
      <w:pPr>
        <w:spacing w:before="1"/>
        <w:rPr>
          <w:rFonts w:ascii="Arial" w:eastAsia="Arial" w:hAnsi="Arial" w:cs="Arial"/>
          <w:sz w:val="19"/>
          <w:szCs w:val="19"/>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0665D1FE" wp14:editId="0B35A18B">
                <wp:extent cx="5658485" cy="276860"/>
                <wp:effectExtent l="3810" t="0" r="0" b="0"/>
                <wp:docPr id="7206" name="Group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276860"/>
                          <a:chOff x="0" y="0"/>
                          <a:chExt cx="8911" cy="436"/>
                        </a:xfrm>
                      </wpg:grpSpPr>
                      <wpg:grpSp>
                        <wpg:cNvPr id="7207" name="Group 7202"/>
                        <wpg:cNvGrpSpPr>
                          <a:grpSpLocks/>
                        </wpg:cNvGrpSpPr>
                        <wpg:grpSpPr bwMode="auto">
                          <a:xfrm>
                            <a:off x="178" y="20"/>
                            <a:ext cx="8732" cy="209"/>
                            <a:chOff x="178" y="20"/>
                            <a:chExt cx="8732" cy="209"/>
                          </a:xfrm>
                        </wpg:grpSpPr>
                        <wps:wsp>
                          <wps:cNvPr id="7208" name="Freeform 7203"/>
                          <wps:cNvSpPr>
                            <a:spLocks/>
                          </wps:cNvSpPr>
                          <wps:spPr bwMode="auto">
                            <a:xfrm>
                              <a:off x="178" y="20"/>
                              <a:ext cx="8732" cy="209"/>
                            </a:xfrm>
                            <a:custGeom>
                              <a:avLst/>
                              <a:gdLst>
                                <a:gd name="T0" fmla="+- 0 178 178"/>
                                <a:gd name="T1" fmla="*/ T0 w 8732"/>
                                <a:gd name="T2" fmla="+- 0 229 20"/>
                                <a:gd name="T3" fmla="*/ 229 h 209"/>
                                <a:gd name="T4" fmla="+- 0 8909 178"/>
                                <a:gd name="T5" fmla="*/ T4 w 8732"/>
                                <a:gd name="T6" fmla="+- 0 229 20"/>
                                <a:gd name="T7" fmla="*/ 229 h 209"/>
                                <a:gd name="T8" fmla="+- 0 8909 178"/>
                                <a:gd name="T9" fmla="*/ T8 w 8732"/>
                                <a:gd name="T10" fmla="+- 0 20 20"/>
                                <a:gd name="T11" fmla="*/ 20 h 209"/>
                                <a:gd name="T12" fmla="+- 0 178 178"/>
                                <a:gd name="T13" fmla="*/ T12 w 8732"/>
                                <a:gd name="T14" fmla="+- 0 20 20"/>
                                <a:gd name="T15" fmla="*/ 20 h 209"/>
                                <a:gd name="T16" fmla="+- 0 178 178"/>
                                <a:gd name="T17" fmla="*/ T16 w 8732"/>
                                <a:gd name="T18" fmla="+- 0 229 20"/>
                                <a:gd name="T19" fmla="*/ 229 h 209"/>
                              </a:gdLst>
                              <a:ahLst/>
                              <a:cxnLst>
                                <a:cxn ang="0">
                                  <a:pos x="T1" y="T3"/>
                                </a:cxn>
                                <a:cxn ang="0">
                                  <a:pos x="T5" y="T7"/>
                                </a:cxn>
                                <a:cxn ang="0">
                                  <a:pos x="T9" y="T11"/>
                                </a:cxn>
                                <a:cxn ang="0">
                                  <a:pos x="T13" y="T15"/>
                                </a:cxn>
                                <a:cxn ang="0">
                                  <a:pos x="T17" y="T19"/>
                                </a:cxn>
                              </a:cxnLst>
                              <a:rect l="0" t="0" r="r" b="b"/>
                              <a:pathLst>
                                <a:path w="8732" h="209">
                                  <a:moveTo>
                                    <a:pt x="0" y="209"/>
                                  </a:moveTo>
                                  <a:lnTo>
                                    <a:pt x="8731" y="209"/>
                                  </a:lnTo>
                                  <a:lnTo>
                                    <a:pt x="8731" y="0"/>
                                  </a:lnTo>
                                  <a:lnTo>
                                    <a:pt x="0" y="0"/>
                                  </a:lnTo>
                                  <a:lnTo>
                                    <a:pt x="0" y="20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9" name="Group 7199"/>
                        <wpg:cNvGrpSpPr>
                          <a:grpSpLocks/>
                        </wpg:cNvGrpSpPr>
                        <wpg:grpSpPr bwMode="auto">
                          <a:xfrm>
                            <a:off x="0" y="229"/>
                            <a:ext cx="7306" cy="207"/>
                            <a:chOff x="0" y="229"/>
                            <a:chExt cx="7306" cy="207"/>
                          </a:xfrm>
                        </wpg:grpSpPr>
                        <wps:wsp>
                          <wps:cNvPr id="7210" name="Freeform 7201"/>
                          <wps:cNvSpPr>
                            <a:spLocks/>
                          </wps:cNvSpPr>
                          <wps:spPr bwMode="auto">
                            <a:xfrm>
                              <a:off x="0" y="229"/>
                              <a:ext cx="7306" cy="207"/>
                            </a:xfrm>
                            <a:custGeom>
                              <a:avLst/>
                              <a:gdLst>
                                <a:gd name="T0" fmla="*/ 0 w 7306"/>
                                <a:gd name="T1" fmla="+- 0 436 229"/>
                                <a:gd name="T2" fmla="*/ 436 h 207"/>
                                <a:gd name="T3" fmla="*/ 7306 w 7306"/>
                                <a:gd name="T4" fmla="+- 0 436 229"/>
                                <a:gd name="T5" fmla="*/ 436 h 207"/>
                                <a:gd name="T6" fmla="*/ 7306 w 7306"/>
                                <a:gd name="T7" fmla="+- 0 229 229"/>
                                <a:gd name="T8" fmla="*/ 229 h 207"/>
                                <a:gd name="T9" fmla="*/ 0 w 7306"/>
                                <a:gd name="T10" fmla="+- 0 229 229"/>
                                <a:gd name="T11" fmla="*/ 229 h 207"/>
                                <a:gd name="T12" fmla="*/ 0 w 7306"/>
                                <a:gd name="T13" fmla="+- 0 436 229"/>
                                <a:gd name="T14" fmla="*/ 436 h 207"/>
                              </a:gdLst>
                              <a:ahLst/>
                              <a:cxnLst>
                                <a:cxn ang="0">
                                  <a:pos x="T0" y="T2"/>
                                </a:cxn>
                                <a:cxn ang="0">
                                  <a:pos x="T3" y="T5"/>
                                </a:cxn>
                                <a:cxn ang="0">
                                  <a:pos x="T6" y="T8"/>
                                </a:cxn>
                                <a:cxn ang="0">
                                  <a:pos x="T9" y="T11"/>
                                </a:cxn>
                                <a:cxn ang="0">
                                  <a:pos x="T12" y="T14"/>
                                </a:cxn>
                              </a:cxnLst>
                              <a:rect l="0" t="0" r="r" b="b"/>
                              <a:pathLst>
                                <a:path w="7306" h="207">
                                  <a:moveTo>
                                    <a:pt x="0" y="207"/>
                                  </a:moveTo>
                                  <a:lnTo>
                                    <a:pt x="7306" y="207"/>
                                  </a:lnTo>
                                  <a:lnTo>
                                    <a:pt x="7306"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1" name="Text Box 7200"/>
                          <wps:cNvSpPr txBox="1">
                            <a:spLocks noChangeArrowheads="1"/>
                          </wps:cNvSpPr>
                          <wps:spPr bwMode="auto">
                            <a:xfrm>
                              <a:off x="0" y="0"/>
                              <a:ext cx="89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2" w:line="208" w:lineRule="exact"/>
                                  <w:rPr>
                                    <w:rFonts w:ascii="Arial" w:eastAsia="Arial" w:hAnsi="Arial" w:cs="Arial"/>
                                    <w:sz w:val="18"/>
                                    <w:szCs w:val="18"/>
                                  </w:rPr>
                                </w:pPr>
                                <w:r>
                                  <w:rPr>
                                    <w:rFonts w:ascii="Arial"/>
                                    <w:position w:val="9"/>
                                    <w:sz w:val="12"/>
                                  </w:rPr>
                                  <w:t>30</w:t>
                                </w:r>
                                <w:r>
                                  <w:rPr>
                                    <w:rFonts w:ascii="Arial"/>
                                    <w:spacing w:val="10"/>
                                    <w:position w:val="9"/>
                                    <w:sz w:val="12"/>
                                  </w:rPr>
                                  <w:t xml:space="preserve"> </w:t>
                                </w:r>
                                <w:bookmarkStart w:id="22" w:name="_bookmark30"/>
                                <w:bookmarkEnd w:id="22"/>
                                <w:r>
                                  <w:rPr>
                                    <w:rFonts w:ascii="Arial"/>
                                    <w:spacing w:val="-1"/>
                                    <w:sz w:val="18"/>
                                  </w:rPr>
                                  <w:t>[Guidance</w:t>
                                </w:r>
                                <w:r>
                                  <w:rPr>
                                    <w:rFonts w:ascii="Arial"/>
                                    <w:spacing w:val="10"/>
                                    <w:sz w:val="18"/>
                                  </w:rPr>
                                  <w:t xml:space="preserve"> </w:t>
                                </w:r>
                                <w:r>
                                  <w:rPr>
                                    <w:rFonts w:ascii="Arial"/>
                                    <w:spacing w:val="-1"/>
                                    <w:sz w:val="18"/>
                                  </w:rPr>
                                  <w:t>Note:</w:t>
                                </w:r>
                                <w:r>
                                  <w:rPr>
                                    <w:rFonts w:ascii="Arial"/>
                                    <w:spacing w:val="10"/>
                                    <w:sz w:val="18"/>
                                  </w:rPr>
                                  <w:t xml:space="preserve"> </w:t>
                                </w:r>
                                <w:r>
                                  <w:rPr>
                                    <w:rFonts w:ascii="Arial"/>
                                    <w:sz w:val="18"/>
                                  </w:rPr>
                                  <w:t>See</w:t>
                                </w:r>
                                <w:r>
                                  <w:rPr>
                                    <w:rFonts w:ascii="Arial"/>
                                    <w:spacing w:val="8"/>
                                    <w:sz w:val="18"/>
                                  </w:rPr>
                                  <w:t xml:space="preserve"> </w:t>
                                </w:r>
                                <w:r>
                                  <w:rPr>
                                    <w:rFonts w:ascii="Arial"/>
                                    <w:spacing w:val="-1"/>
                                    <w:sz w:val="18"/>
                                  </w:rPr>
                                  <w:t>Clause</w:t>
                                </w:r>
                                <w:r>
                                  <w:rPr>
                                    <w:rFonts w:ascii="Arial"/>
                                    <w:spacing w:val="7"/>
                                    <w:sz w:val="18"/>
                                  </w:rPr>
                                  <w:t xml:space="preserve"> </w:t>
                                </w:r>
                                <w:hyperlink w:anchor="_bookmark52" w:history="1">
                                  <w:r>
                                    <w:rPr>
                                      <w:rFonts w:ascii="Arial"/>
                                      <w:sz w:val="18"/>
                                    </w:rPr>
                                    <w:t>4,</w:t>
                                  </w:r>
                                </w:hyperlink>
                                <w:r>
                                  <w:rPr>
                                    <w:rFonts w:ascii="Arial"/>
                                    <w:spacing w:val="10"/>
                                    <w:sz w:val="18"/>
                                  </w:rPr>
                                  <w:t xml:space="preserve"> </w:t>
                                </w:r>
                                <w:r>
                                  <w:rPr>
                                    <w:rFonts w:ascii="Arial"/>
                                    <w:spacing w:val="-1"/>
                                    <w:sz w:val="18"/>
                                  </w:rPr>
                                  <w:t>Clause</w:t>
                                </w:r>
                                <w:r>
                                  <w:rPr>
                                    <w:rFonts w:ascii="Arial"/>
                                    <w:spacing w:val="10"/>
                                    <w:sz w:val="18"/>
                                  </w:rPr>
                                  <w:t xml:space="preserve"> </w:t>
                                </w:r>
                                <w:hyperlink w:anchor="_bookmark232" w:history="1">
                                  <w:r>
                                    <w:rPr>
                                      <w:rFonts w:ascii="Arial"/>
                                      <w:spacing w:val="-1"/>
                                      <w:sz w:val="18"/>
                                    </w:rPr>
                                    <w:t>41.1</w:t>
                                  </w:r>
                                </w:hyperlink>
                                <w:r>
                                  <w:rPr>
                                    <w:rFonts w:ascii="Arial"/>
                                    <w:spacing w:val="10"/>
                                    <w:sz w:val="18"/>
                                  </w:rPr>
                                  <w:t xml:space="preserve"> </w:t>
                                </w:r>
                                <w:r>
                                  <w:rPr>
                                    <w:rFonts w:ascii="Arial"/>
                                    <w:spacing w:val="-1"/>
                                    <w:sz w:val="18"/>
                                  </w:rPr>
                                  <w:t>and</w:t>
                                </w:r>
                                <w:r>
                                  <w:rPr>
                                    <w:rFonts w:ascii="Arial"/>
                                    <w:spacing w:val="10"/>
                                    <w:sz w:val="18"/>
                                  </w:rPr>
                                  <w:t xml:space="preserve"> </w:t>
                                </w:r>
                                <w:r>
                                  <w:rPr>
                                    <w:rFonts w:ascii="Arial"/>
                                    <w:spacing w:val="-1"/>
                                    <w:sz w:val="18"/>
                                  </w:rPr>
                                  <w:t>Clause</w:t>
                                </w:r>
                                <w:r>
                                  <w:rPr>
                                    <w:rFonts w:ascii="Arial"/>
                                    <w:spacing w:val="10"/>
                                    <w:sz w:val="18"/>
                                  </w:rPr>
                                  <w:t xml:space="preserve"> </w:t>
                                </w:r>
                                <w:hyperlink w:anchor="_bookmark250" w:history="1">
                                  <w:r>
                                    <w:rPr>
                                      <w:rFonts w:ascii="Arial"/>
                                      <w:spacing w:val="-1"/>
                                      <w:sz w:val="18"/>
                                    </w:rPr>
                                    <w:t>45.1</w:t>
                                  </w:r>
                                </w:hyperlink>
                                <w:r>
                                  <w:rPr>
                                    <w:rFonts w:ascii="Arial"/>
                                    <w:spacing w:val="10"/>
                                    <w:sz w:val="18"/>
                                  </w:rPr>
                                  <w:t xml:space="preserve"> </w:t>
                                </w:r>
                                <w:r>
                                  <w:rPr>
                                    <w:rFonts w:ascii="Arial"/>
                                    <w:sz w:val="18"/>
                                  </w:rPr>
                                  <w:t>of</w:t>
                                </w:r>
                                <w:r>
                                  <w:rPr>
                                    <w:rFonts w:ascii="Arial"/>
                                    <w:spacing w:val="10"/>
                                    <w:sz w:val="18"/>
                                  </w:rPr>
                                  <w:t xml:space="preserve"> </w:t>
                                </w:r>
                                <w:r>
                                  <w:rPr>
                                    <w:rFonts w:ascii="Arial"/>
                                    <w:spacing w:val="-1"/>
                                    <w:sz w:val="18"/>
                                  </w:rPr>
                                  <w:t>the</w:t>
                                </w:r>
                                <w:r>
                                  <w:rPr>
                                    <w:rFonts w:ascii="Arial"/>
                                    <w:spacing w:val="10"/>
                                    <w:sz w:val="18"/>
                                  </w:rPr>
                                  <w:t xml:space="preserve"> </w:t>
                                </w:r>
                                <w:r>
                                  <w:rPr>
                                    <w:rFonts w:ascii="Arial"/>
                                    <w:spacing w:val="-1"/>
                                    <w:sz w:val="18"/>
                                  </w:rPr>
                                  <w:t>Template</w:t>
                                </w:r>
                                <w:r>
                                  <w:rPr>
                                    <w:rFonts w:ascii="Arial"/>
                                    <w:spacing w:val="10"/>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10"/>
                                    <w:sz w:val="18"/>
                                  </w:rPr>
                                  <w:t xml:space="preserve"> </w:t>
                                </w:r>
                                <w:r>
                                  <w:rPr>
                                    <w:rFonts w:ascii="Arial"/>
                                    <w:spacing w:val="-1"/>
                                    <w:sz w:val="18"/>
                                  </w:rPr>
                                  <w:t>Terms.</w:t>
                                </w:r>
                                <w:r>
                                  <w:rPr>
                                    <w:rFonts w:ascii="Arial"/>
                                    <w:spacing w:val="10"/>
                                    <w:sz w:val="18"/>
                                  </w:rPr>
                                  <w:t xml:space="preserve"> </w:t>
                                </w:r>
                                <w:r>
                                  <w:rPr>
                                    <w:rFonts w:ascii="Arial"/>
                                    <w:spacing w:val="-1"/>
                                    <w:sz w:val="18"/>
                                  </w:rPr>
                                  <w:t>If</w:t>
                                </w:r>
                                <w:r>
                                  <w:rPr>
                                    <w:rFonts w:ascii="Arial"/>
                                    <w:spacing w:val="10"/>
                                    <w:sz w:val="18"/>
                                  </w:rPr>
                                  <w:t xml:space="preserve"> </w:t>
                                </w:r>
                                <w:r>
                                  <w:rPr>
                                    <w:rFonts w:ascii="Arial"/>
                                    <w:spacing w:val="-1"/>
                                    <w:sz w:val="18"/>
                                  </w:rPr>
                                  <w:t>this</w:t>
                                </w:r>
                                <w:r>
                                  <w:rPr>
                                    <w:rFonts w:ascii="Arial"/>
                                    <w:spacing w:val="11"/>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83"/>
                                    <w:sz w:val="18"/>
                                  </w:rPr>
                                  <w:t xml:space="preserve"> </w:t>
                                </w:r>
                                <w:r>
                                  <w:rPr>
                                    <w:rFonts w:ascii="Arial"/>
                                    <w:spacing w:val="-1"/>
                                    <w:sz w:val="18"/>
                                  </w:rPr>
                                  <w:t>Contract</w:t>
                                </w:r>
                                <w:r>
                                  <w:rPr>
                                    <w:rFonts w:ascii="Arial"/>
                                    <w:sz w:val="18"/>
                                  </w:rPr>
                                  <w:t xml:space="preserve"> </w:t>
                                </w:r>
                                <w:r>
                                  <w:rPr>
                                    <w:rFonts w:ascii="Arial"/>
                                    <w:spacing w:val="-1"/>
                                    <w:sz w:val="18"/>
                                  </w:rPr>
                                  <w:t>is</w:t>
                                </w:r>
                                <w:r>
                                  <w:rPr>
                                    <w:rFonts w:ascii="Arial"/>
                                    <w:spacing w:val="1"/>
                                    <w:sz w:val="18"/>
                                  </w:rPr>
                                  <w:t xml:space="preserve"> </w:t>
                                </w:r>
                                <w:r>
                                  <w:rPr>
                                    <w:rFonts w:ascii="Arial"/>
                                    <w:spacing w:val="-1"/>
                                    <w:sz w:val="18"/>
                                  </w:rPr>
                                  <w:t>subject</w:t>
                                </w:r>
                                <w:r>
                                  <w:rPr>
                                    <w:rFonts w:ascii="Arial"/>
                                    <w:sz w:val="18"/>
                                  </w:rPr>
                                  <w:t xml:space="preserve"> </w:t>
                                </w:r>
                                <w:r>
                                  <w:rPr>
                                    <w:rFonts w:ascii="Arial"/>
                                    <w:spacing w:val="-1"/>
                                    <w:sz w:val="18"/>
                                  </w:rPr>
                                  <w:t>to</w:t>
                                </w:r>
                                <w:r>
                                  <w:rPr>
                                    <w:rFonts w:ascii="Arial"/>
                                    <w:spacing w:val="1"/>
                                    <w:sz w:val="18"/>
                                  </w:rPr>
                                  <w:t xml:space="preserve"> </w:t>
                                </w:r>
                                <w:r>
                                  <w:rPr>
                                    <w:rFonts w:ascii="Arial"/>
                                    <w:sz w:val="18"/>
                                  </w:rPr>
                                  <w:t>a</w:t>
                                </w:r>
                                <w:r>
                                  <w:rPr>
                                    <w:rFonts w:ascii="Arial"/>
                                    <w:spacing w:val="1"/>
                                    <w:sz w:val="18"/>
                                  </w:rPr>
                                  <w:t xml:space="preserve"> </w:t>
                                </w:r>
                                <w:r>
                                  <w:rPr>
                                    <w:rFonts w:ascii="Arial"/>
                                    <w:spacing w:val="-1"/>
                                    <w:sz w:val="18"/>
                                  </w:rPr>
                                  <w:t>Call</w:t>
                                </w:r>
                                <w:r>
                                  <w:rPr>
                                    <w:rFonts w:ascii="Arial"/>
                                    <w:spacing w:val="1"/>
                                    <w:sz w:val="18"/>
                                  </w:rPr>
                                  <w:t xml:space="preserve"> </w:t>
                                </w:r>
                                <w:r>
                                  <w:rPr>
                                    <w:rFonts w:ascii="Arial"/>
                                    <w:spacing w:val="-1"/>
                                    <w:sz w:val="18"/>
                                  </w:rPr>
                                  <w:t>Off</w:t>
                                </w:r>
                                <w:r>
                                  <w:rPr>
                                    <w:rFonts w:ascii="Arial"/>
                                    <w:sz w:val="18"/>
                                  </w:rPr>
                                  <w:t xml:space="preserve"> </w:t>
                                </w:r>
                                <w:r>
                                  <w:rPr>
                                    <w:rFonts w:ascii="Arial"/>
                                    <w:spacing w:val="-1"/>
                                    <w:sz w:val="18"/>
                                  </w:rPr>
                                  <w:t>Guarantee</w:t>
                                </w:r>
                                <w:r>
                                  <w:rPr>
                                    <w:rFonts w:ascii="Arial"/>
                                    <w:spacing w:val="1"/>
                                    <w:sz w:val="18"/>
                                  </w:rPr>
                                  <w:t xml:space="preserve"> </w:t>
                                </w:r>
                                <w:r>
                                  <w:rPr>
                                    <w:rFonts w:ascii="Arial"/>
                                    <w:spacing w:val="-1"/>
                                    <w:sz w:val="18"/>
                                  </w:rPr>
                                  <w:t>then</w:t>
                                </w:r>
                                <w:r>
                                  <w:rPr>
                                    <w:rFonts w:ascii="Arial"/>
                                    <w:spacing w:val="-2"/>
                                    <w:sz w:val="18"/>
                                  </w:rPr>
                                  <w:t xml:space="preserve"> </w:t>
                                </w:r>
                                <w:r>
                                  <w:rPr>
                                    <w:rFonts w:ascii="Arial"/>
                                    <w:sz w:val="18"/>
                                  </w:rPr>
                                  <w:t>set</w:t>
                                </w:r>
                                <w:r>
                                  <w:rPr>
                                    <w:rFonts w:ascii="Arial"/>
                                    <w:spacing w:val="-2"/>
                                    <w:sz w:val="18"/>
                                  </w:rPr>
                                  <w:t xml:space="preserve"> </w:t>
                                </w:r>
                                <w:r>
                                  <w:rPr>
                                    <w:rFonts w:ascii="Arial"/>
                                    <w:sz w:val="18"/>
                                  </w:rPr>
                                  <w:t xml:space="preserve">out </w:t>
                                </w:r>
                                <w:r>
                                  <w:rPr>
                                    <w:rFonts w:ascii="Arial"/>
                                    <w:spacing w:val="-1"/>
                                    <w:sz w:val="18"/>
                                  </w:rPr>
                                  <w:t>the</w:t>
                                </w:r>
                                <w:r>
                                  <w:rPr>
                                    <w:rFonts w:ascii="Arial"/>
                                    <w:spacing w:val="1"/>
                                    <w:sz w:val="18"/>
                                  </w:rPr>
                                  <w:t xml:space="preserve"> </w:t>
                                </w:r>
                                <w:r>
                                  <w:rPr>
                                    <w:rFonts w:ascii="Arial"/>
                                    <w:spacing w:val="-1"/>
                                    <w:sz w:val="18"/>
                                  </w:rPr>
                                  <w:t>details</w:t>
                                </w:r>
                                <w:r>
                                  <w:rPr>
                                    <w:rFonts w:ascii="Arial"/>
                                    <w:spacing w:val="1"/>
                                    <w:sz w:val="18"/>
                                  </w:rPr>
                                  <w:t xml:space="preserve"> </w:t>
                                </w:r>
                                <w:r>
                                  <w:rPr>
                                    <w:rFonts w:ascii="Arial"/>
                                    <w:spacing w:val="-1"/>
                                    <w:sz w:val="18"/>
                                  </w:rPr>
                                  <w:t>of</w:t>
                                </w:r>
                                <w:r>
                                  <w:rPr>
                                    <w:rFonts w:ascii="Arial"/>
                                    <w:sz w:val="18"/>
                                  </w:rPr>
                                  <w:t xml:space="preserve"> the</w:t>
                                </w:r>
                                <w:r>
                                  <w:rPr>
                                    <w:rFonts w:ascii="Arial"/>
                                    <w:spacing w:val="-2"/>
                                    <w:sz w:val="18"/>
                                  </w:rPr>
                                  <w:t xml:space="preserve"> </w:t>
                                </w:r>
                                <w:r>
                                  <w:rPr>
                                    <w:rFonts w:ascii="Arial"/>
                                    <w:spacing w:val="-1"/>
                                    <w:sz w:val="18"/>
                                  </w:rPr>
                                  <w:t>Call</w:t>
                                </w:r>
                                <w:r>
                                  <w:rPr>
                                    <w:rFonts w:ascii="Arial"/>
                                    <w:spacing w:val="-2"/>
                                    <w:sz w:val="18"/>
                                  </w:rPr>
                                  <w:t xml:space="preserve"> </w:t>
                                </w:r>
                                <w:r>
                                  <w:rPr>
                                    <w:rFonts w:ascii="Arial"/>
                                    <w:spacing w:val="-1"/>
                                    <w:sz w:val="18"/>
                                  </w:rPr>
                                  <w:t>Off</w:t>
                                </w:r>
                                <w:r>
                                  <w:rPr>
                                    <w:rFonts w:ascii="Arial"/>
                                    <w:sz w:val="18"/>
                                  </w:rPr>
                                  <w:t xml:space="preserve"> </w:t>
                                </w:r>
                                <w:r>
                                  <w:rPr>
                                    <w:rFonts w:ascii="Arial"/>
                                    <w:spacing w:val="-1"/>
                                    <w:sz w:val="18"/>
                                  </w:rPr>
                                  <w:t>Guarantor]</w:t>
                                </w:r>
                              </w:p>
                            </w:txbxContent>
                          </wps:txbx>
                          <wps:bodyPr rot="0" vert="horz" wrap="square" lIns="0" tIns="0" rIns="0" bIns="0" anchor="t" anchorCtr="0" upright="1">
                            <a:noAutofit/>
                          </wps:bodyPr>
                        </wps:wsp>
                      </wpg:grpSp>
                    </wpg:wgp>
                  </a:graphicData>
                </a:graphic>
              </wp:inline>
            </w:drawing>
          </mc:Choice>
          <mc:Fallback>
            <w:pict>
              <v:group w14:anchorId="0665D1FE" id="Group 7198" o:spid="_x0000_s1080" style="width:445.55pt;height:21.8pt;mso-position-horizontal-relative:char;mso-position-vertical-relative:line" coordsize="89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">
                <v:group id="Group 7202" o:spid="_x0000_s1081" style="position:absolute;left:178;top:20;width:8732;height:209" coordorigin="178,20" coordsize="873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l1McAAADdAAAADwAAAGRycy9kb3ducmV2LnhtbESPQWvCQBSE7wX/w/IK&#10;3ppNlDa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l1McAAADd&#10;AAAADwAAAAAAAAAAAAAAAACqAgAAZHJzL2Rvd25yZXYueG1sUEsFBgAAAAAEAAQA+gAAAJ4DAAAA&#10;AA==&#10;">
                  <v:shape id="Freeform 7203" o:spid="_x0000_s1082" style="position:absolute;left:178;top:20;width:8732;height:209;visibility:visible;mso-wrap-style:square;v-text-anchor:top" coordsize="873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NbsEA&#10;AADdAAAADwAAAGRycy9kb3ducmV2LnhtbERPy2rCQBTdC/2H4Ra600kUbYmOIkIxXbjQtPtL5uaB&#10;mTthZpqkf99ZCC4P5707TKYTAznfWlaQLhIQxKXVLdcKvovP+QcIH5A1dpZJwR95OOxfZjvMtB35&#10;SsMt1CKGsM9QQRNCn0npy4YM+oXtiSNXWWcwROhqqR2OMdx0cpkkG2mw5djQYE+nhsr77dcoyKuv&#10;H2a5SpGKcTxfinRdmVSpt9fpuAURaApP8cOdawXvyyTOjW/iE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STW7BAAAA3QAAAA8AAAAAAAAAAAAAAAAAmAIAAGRycy9kb3du&#10;cmV2LnhtbFBLBQYAAAAABAAEAPUAAACGAwAAAAA=&#10;" path="m,209r8731,l8731,,,,,209xe" fillcolor="lime" stroked="f">
                    <v:path arrowok="t" o:connecttype="custom" o:connectlocs="0,229;8731,229;8731,20;0,20;0,229" o:connectangles="0,0,0,0,0"/>
                  </v:shape>
                </v:group>
                <v:group id="Group 7199" o:spid="_x0000_s1083" style="position:absolute;top:229;width:7306;height:207" coordorigin=",229" coordsize="7306,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BUPc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FQ9xgAAAN0A&#10;AAAPAAAAAAAAAAAAAAAAAKoCAABkcnMvZG93bnJldi54bWxQSwUGAAAAAAQABAD6AAAAnQMAAAAA&#10;">
                  <v:shape id="Freeform 7201" o:spid="_x0000_s1084" style="position:absolute;top:229;width:7306;height:207;visibility:visible;mso-wrap-style:square;v-text-anchor:top" coordsize="730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97MMA&#10;AADdAAAADwAAAGRycy9kb3ducmV2LnhtbERPTW+CQBC9N/E/bKaJF1MX0LSWuhJjqPbYopfeJuwU&#10;SNlZwm4B/717MOnx5X1vs8m0YqDeNZYVxMsIBHFpdcOVgsv5/WkDwnlkja1lUnAlB9lu9rDFVNuR&#10;v2gofCVCCLsUFdTed6mUrqzJoFvajjhwP7Y36APsK6l7HEO4aWUSRc/SYMOhocaODjWVv8WfUaC7&#10;KXl1pw0fo3Xx6Rf5Kl98n5SaP077NxCeJv8vvrs/tIKXJA77w5vw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n97MMAAADdAAAADwAAAAAAAAAAAAAAAACYAgAAZHJzL2Rv&#10;d25yZXYueG1sUEsFBgAAAAAEAAQA9QAAAIgDAAAAAA==&#10;" path="m,207r7306,l7306,,,,,207xe" fillcolor="lime" stroked="f">
                    <v:path arrowok="t" o:connecttype="custom" o:connectlocs="0,436;7306,436;7306,229;0,229;0,436" o:connectangles="0,0,0,0,0"/>
                  </v:shape>
                  <v:shape id="Text Box 7200" o:spid="_x0000_s1085" type="#_x0000_t202" style="position:absolute;width:891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GPcYA&#10;AADdAAAADwAAAGRycy9kb3ducmV2LnhtbESPQWvCQBSE74X+h+UVequbeNAaXUVEoVAoxnjw+Mw+&#10;k8Xs25jdavrvXaHgcZiZb5jZoreNuFLnjWMF6SABQVw6bbhSsC82H58gfEDW2DgmBX/kYTF/fZlh&#10;pt2Nc7ruQiUihH2GCuoQ2kxKX9Zk0Q9cSxy9k+sshii7SuoObxFuGzlMkpG0aDgu1NjSqqbyvPu1&#10;CpYHztfm8nPc5qfcFMUk4e/RWan3t345BRGoD8/wf/tLKxgP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3GPcYAAADdAAAADwAAAAAAAAAAAAAAAACYAgAAZHJz&#10;L2Rvd25yZXYueG1sUEsFBgAAAAAEAAQA9QAAAIsDAAAAAA==&#10;" filled="f" stroked="f">
                    <v:textbox inset="0,0,0,0">
                      <w:txbxContent>
                        <w:p w:rsidR="005D2B81" w:rsidRDefault="005D2B81" w:rsidP="008918FA">
                          <w:pPr>
                            <w:spacing w:before="22" w:line="208" w:lineRule="exact"/>
                            <w:rPr>
                              <w:rFonts w:ascii="Arial" w:eastAsia="Arial" w:hAnsi="Arial" w:cs="Arial"/>
                              <w:sz w:val="18"/>
                              <w:szCs w:val="18"/>
                            </w:rPr>
                          </w:pPr>
                          <w:r>
                            <w:rPr>
                              <w:rFonts w:ascii="Arial"/>
                              <w:position w:val="9"/>
                              <w:sz w:val="12"/>
                            </w:rPr>
                            <w:t>30</w:t>
                          </w:r>
                          <w:r>
                            <w:rPr>
                              <w:rFonts w:ascii="Arial"/>
                              <w:spacing w:val="10"/>
                              <w:position w:val="9"/>
                              <w:sz w:val="12"/>
                            </w:rPr>
                            <w:t xml:space="preserve"> </w:t>
                          </w:r>
                          <w:bookmarkStart w:id="25" w:name="_bookmark30"/>
                          <w:bookmarkEnd w:id="25"/>
                          <w:r>
                            <w:rPr>
                              <w:rFonts w:ascii="Arial"/>
                              <w:spacing w:val="-1"/>
                              <w:sz w:val="18"/>
                            </w:rPr>
                            <w:t>[Guidance</w:t>
                          </w:r>
                          <w:r>
                            <w:rPr>
                              <w:rFonts w:ascii="Arial"/>
                              <w:spacing w:val="10"/>
                              <w:sz w:val="18"/>
                            </w:rPr>
                            <w:t xml:space="preserve"> </w:t>
                          </w:r>
                          <w:r>
                            <w:rPr>
                              <w:rFonts w:ascii="Arial"/>
                              <w:spacing w:val="-1"/>
                              <w:sz w:val="18"/>
                            </w:rPr>
                            <w:t>Note:</w:t>
                          </w:r>
                          <w:r>
                            <w:rPr>
                              <w:rFonts w:ascii="Arial"/>
                              <w:spacing w:val="10"/>
                              <w:sz w:val="18"/>
                            </w:rPr>
                            <w:t xml:space="preserve"> </w:t>
                          </w:r>
                          <w:r>
                            <w:rPr>
                              <w:rFonts w:ascii="Arial"/>
                              <w:sz w:val="18"/>
                            </w:rPr>
                            <w:t>See</w:t>
                          </w:r>
                          <w:r>
                            <w:rPr>
                              <w:rFonts w:ascii="Arial"/>
                              <w:spacing w:val="8"/>
                              <w:sz w:val="18"/>
                            </w:rPr>
                            <w:t xml:space="preserve"> </w:t>
                          </w:r>
                          <w:r>
                            <w:rPr>
                              <w:rFonts w:ascii="Arial"/>
                              <w:spacing w:val="-1"/>
                              <w:sz w:val="18"/>
                            </w:rPr>
                            <w:t>Clause</w:t>
                          </w:r>
                          <w:r>
                            <w:rPr>
                              <w:rFonts w:ascii="Arial"/>
                              <w:spacing w:val="7"/>
                              <w:sz w:val="18"/>
                            </w:rPr>
                            <w:t xml:space="preserve"> </w:t>
                          </w:r>
                          <w:hyperlink w:anchor="_bookmark52" w:history="1">
                            <w:r>
                              <w:rPr>
                                <w:rFonts w:ascii="Arial"/>
                                <w:sz w:val="18"/>
                              </w:rPr>
                              <w:t>4,</w:t>
                            </w:r>
                          </w:hyperlink>
                          <w:r>
                            <w:rPr>
                              <w:rFonts w:ascii="Arial"/>
                              <w:spacing w:val="10"/>
                              <w:sz w:val="18"/>
                            </w:rPr>
                            <w:t xml:space="preserve"> </w:t>
                          </w:r>
                          <w:r>
                            <w:rPr>
                              <w:rFonts w:ascii="Arial"/>
                              <w:spacing w:val="-1"/>
                              <w:sz w:val="18"/>
                            </w:rPr>
                            <w:t>Clause</w:t>
                          </w:r>
                          <w:r>
                            <w:rPr>
                              <w:rFonts w:ascii="Arial"/>
                              <w:spacing w:val="10"/>
                              <w:sz w:val="18"/>
                            </w:rPr>
                            <w:t xml:space="preserve"> </w:t>
                          </w:r>
                          <w:hyperlink w:anchor="_bookmark232" w:history="1">
                            <w:r>
                              <w:rPr>
                                <w:rFonts w:ascii="Arial"/>
                                <w:spacing w:val="-1"/>
                                <w:sz w:val="18"/>
                              </w:rPr>
                              <w:t>41.1</w:t>
                            </w:r>
                          </w:hyperlink>
                          <w:r>
                            <w:rPr>
                              <w:rFonts w:ascii="Arial"/>
                              <w:spacing w:val="10"/>
                              <w:sz w:val="18"/>
                            </w:rPr>
                            <w:t xml:space="preserve"> </w:t>
                          </w:r>
                          <w:r>
                            <w:rPr>
                              <w:rFonts w:ascii="Arial"/>
                              <w:spacing w:val="-1"/>
                              <w:sz w:val="18"/>
                            </w:rPr>
                            <w:t>and</w:t>
                          </w:r>
                          <w:r>
                            <w:rPr>
                              <w:rFonts w:ascii="Arial"/>
                              <w:spacing w:val="10"/>
                              <w:sz w:val="18"/>
                            </w:rPr>
                            <w:t xml:space="preserve"> </w:t>
                          </w:r>
                          <w:r>
                            <w:rPr>
                              <w:rFonts w:ascii="Arial"/>
                              <w:spacing w:val="-1"/>
                              <w:sz w:val="18"/>
                            </w:rPr>
                            <w:t>Clause</w:t>
                          </w:r>
                          <w:r>
                            <w:rPr>
                              <w:rFonts w:ascii="Arial"/>
                              <w:spacing w:val="10"/>
                              <w:sz w:val="18"/>
                            </w:rPr>
                            <w:t xml:space="preserve"> </w:t>
                          </w:r>
                          <w:hyperlink w:anchor="_bookmark250" w:history="1">
                            <w:r>
                              <w:rPr>
                                <w:rFonts w:ascii="Arial"/>
                                <w:spacing w:val="-1"/>
                                <w:sz w:val="18"/>
                              </w:rPr>
                              <w:t>45.1</w:t>
                            </w:r>
                          </w:hyperlink>
                          <w:r>
                            <w:rPr>
                              <w:rFonts w:ascii="Arial"/>
                              <w:spacing w:val="10"/>
                              <w:sz w:val="18"/>
                            </w:rPr>
                            <w:t xml:space="preserve"> </w:t>
                          </w:r>
                          <w:r>
                            <w:rPr>
                              <w:rFonts w:ascii="Arial"/>
                              <w:sz w:val="18"/>
                            </w:rPr>
                            <w:t>of</w:t>
                          </w:r>
                          <w:r>
                            <w:rPr>
                              <w:rFonts w:ascii="Arial"/>
                              <w:spacing w:val="10"/>
                              <w:sz w:val="18"/>
                            </w:rPr>
                            <w:t xml:space="preserve"> </w:t>
                          </w:r>
                          <w:r>
                            <w:rPr>
                              <w:rFonts w:ascii="Arial"/>
                              <w:spacing w:val="-1"/>
                              <w:sz w:val="18"/>
                            </w:rPr>
                            <w:t>the</w:t>
                          </w:r>
                          <w:r>
                            <w:rPr>
                              <w:rFonts w:ascii="Arial"/>
                              <w:spacing w:val="10"/>
                              <w:sz w:val="18"/>
                            </w:rPr>
                            <w:t xml:space="preserve"> </w:t>
                          </w:r>
                          <w:r>
                            <w:rPr>
                              <w:rFonts w:ascii="Arial"/>
                              <w:spacing w:val="-1"/>
                              <w:sz w:val="18"/>
                            </w:rPr>
                            <w:t>Template</w:t>
                          </w:r>
                          <w:r>
                            <w:rPr>
                              <w:rFonts w:ascii="Arial"/>
                              <w:spacing w:val="10"/>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10"/>
                              <w:sz w:val="18"/>
                            </w:rPr>
                            <w:t xml:space="preserve"> </w:t>
                          </w:r>
                          <w:r>
                            <w:rPr>
                              <w:rFonts w:ascii="Arial"/>
                              <w:spacing w:val="-1"/>
                              <w:sz w:val="18"/>
                            </w:rPr>
                            <w:t>Terms.</w:t>
                          </w:r>
                          <w:r>
                            <w:rPr>
                              <w:rFonts w:ascii="Arial"/>
                              <w:spacing w:val="10"/>
                              <w:sz w:val="18"/>
                            </w:rPr>
                            <w:t xml:space="preserve"> </w:t>
                          </w:r>
                          <w:r>
                            <w:rPr>
                              <w:rFonts w:ascii="Arial"/>
                              <w:spacing w:val="-1"/>
                              <w:sz w:val="18"/>
                            </w:rPr>
                            <w:t>If</w:t>
                          </w:r>
                          <w:r>
                            <w:rPr>
                              <w:rFonts w:ascii="Arial"/>
                              <w:spacing w:val="10"/>
                              <w:sz w:val="18"/>
                            </w:rPr>
                            <w:t xml:space="preserve"> </w:t>
                          </w:r>
                          <w:r>
                            <w:rPr>
                              <w:rFonts w:ascii="Arial"/>
                              <w:spacing w:val="-1"/>
                              <w:sz w:val="18"/>
                            </w:rPr>
                            <w:t>this</w:t>
                          </w:r>
                          <w:r>
                            <w:rPr>
                              <w:rFonts w:ascii="Arial"/>
                              <w:spacing w:val="11"/>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83"/>
                              <w:sz w:val="18"/>
                            </w:rPr>
                            <w:t xml:space="preserve"> </w:t>
                          </w:r>
                          <w:r>
                            <w:rPr>
                              <w:rFonts w:ascii="Arial"/>
                              <w:spacing w:val="-1"/>
                              <w:sz w:val="18"/>
                            </w:rPr>
                            <w:t>Contract</w:t>
                          </w:r>
                          <w:r>
                            <w:rPr>
                              <w:rFonts w:ascii="Arial"/>
                              <w:sz w:val="18"/>
                            </w:rPr>
                            <w:t xml:space="preserve"> </w:t>
                          </w:r>
                          <w:r>
                            <w:rPr>
                              <w:rFonts w:ascii="Arial"/>
                              <w:spacing w:val="-1"/>
                              <w:sz w:val="18"/>
                            </w:rPr>
                            <w:t>is</w:t>
                          </w:r>
                          <w:r>
                            <w:rPr>
                              <w:rFonts w:ascii="Arial"/>
                              <w:spacing w:val="1"/>
                              <w:sz w:val="18"/>
                            </w:rPr>
                            <w:t xml:space="preserve"> </w:t>
                          </w:r>
                          <w:r>
                            <w:rPr>
                              <w:rFonts w:ascii="Arial"/>
                              <w:spacing w:val="-1"/>
                              <w:sz w:val="18"/>
                            </w:rPr>
                            <w:t>subject</w:t>
                          </w:r>
                          <w:r>
                            <w:rPr>
                              <w:rFonts w:ascii="Arial"/>
                              <w:sz w:val="18"/>
                            </w:rPr>
                            <w:t xml:space="preserve"> </w:t>
                          </w:r>
                          <w:r>
                            <w:rPr>
                              <w:rFonts w:ascii="Arial"/>
                              <w:spacing w:val="-1"/>
                              <w:sz w:val="18"/>
                            </w:rPr>
                            <w:t>to</w:t>
                          </w:r>
                          <w:r>
                            <w:rPr>
                              <w:rFonts w:ascii="Arial"/>
                              <w:spacing w:val="1"/>
                              <w:sz w:val="18"/>
                            </w:rPr>
                            <w:t xml:space="preserve"> </w:t>
                          </w:r>
                          <w:r>
                            <w:rPr>
                              <w:rFonts w:ascii="Arial"/>
                              <w:sz w:val="18"/>
                            </w:rPr>
                            <w:t>a</w:t>
                          </w:r>
                          <w:r>
                            <w:rPr>
                              <w:rFonts w:ascii="Arial"/>
                              <w:spacing w:val="1"/>
                              <w:sz w:val="18"/>
                            </w:rPr>
                            <w:t xml:space="preserve"> </w:t>
                          </w:r>
                          <w:r>
                            <w:rPr>
                              <w:rFonts w:ascii="Arial"/>
                              <w:spacing w:val="-1"/>
                              <w:sz w:val="18"/>
                            </w:rPr>
                            <w:t>Call</w:t>
                          </w:r>
                          <w:r>
                            <w:rPr>
                              <w:rFonts w:ascii="Arial"/>
                              <w:spacing w:val="1"/>
                              <w:sz w:val="18"/>
                            </w:rPr>
                            <w:t xml:space="preserve"> </w:t>
                          </w:r>
                          <w:r>
                            <w:rPr>
                              <w:rFonts w:ascii="Arial"/>
                              <w:spacing w:val="-1"/>
                              <w:sz w:val="18"/>
                            </w:rPr>
                            <w:t>Off</w:t>
                          </w:r>
                          <w:r>
                            <w:rPr>
                              <w:rFonts w:ascii="Arial"/>
                              <w:sz w:val="18"/>
                            </w:rPr>
                            <w:t xml:space="preserve"> </w:t>
                          </w:r>
                          <w:r>
                            <w:rPr>
                              <w:rFonts w:ascii="Arial"/>
                              <w:spacing w:val="-1"/>
                              <w:sz w:val="18"/>
                            </w:rPr>
                            <w:t>Guarantee</w:t>
                          </w:r>
                          <w:r>
                            <w:rPr>
                              <w:rFonts w:ascii="Arial"/>
                              <w:spacing w:val="1"/>
                              <w:sz w:val="18"/>
                            </w:rPr>
                            <w:t xml:space="preserve"> </w:t>
                          </w:r>
                          <w:r>
                            <w:rPr>
                              <w:rFonts w:ascii="Arial"/>
                              <w:spacing w:val="-1"/>
                              <w:sz w:val="18"/>
                            </w:rPr>
                            <w:t>then</w:t>
                          </w:r>
                          <w:r>
                            <w:rPr>
                              <w:rFonts w:ascii="Arial"/>
                              <w:spacing w:val="-2"/>
                              <w:sz w:val="18"/>
                            </w:rPr>
                            <w:t xml:space="preserve"> </w:t>
                          </w:r>
                          <w:r>
                            <w:rPr>
                              <w:rFonts w:ascii="Arial"/>
                              <w:sz w:val="18"/>
                            </w:rPr>
                            <w:t>set</w:t>
                          </w:r>
                          <w:r>
                            <w:rPr>
                              <w:rFonts w:ascii="Arial"/>
                              <w:spacing w:val="-2"/>
                              <w:sz w:val="18"/>
                            </w:rPr>
                            <w:t xml:space="preserve"> </w:t>
                          </w:r>
                          <w:r>
                            <w:rPr>
                              <w:rFonts w:ascii="Arial"/>
                              <w:sz w:val="18"/>
                            </w:rPr>
                            <w:t xml:space="preserve">out </w:t>
                          </w:r>
                          <w:r>
                            <w:rPr>
                              <w:rFonts w:ascii="Arial"/>
                              <w:spacing w:val="-1"/>
                              <w:sz w:val="18"/>
                            </w:rPr>
                            <w:t>the</w:t>
                          </w:r>
                          <w:r>
                            <w:rPr>
                              <w:rFonts w:ascii="Arial"/>
                              <w:spacing w:val="1"/>
                              <w:sz w:val="18"/>
                            </w:rPr>
                            <w:t xml:space="preserve"> </w:t>
                          </w:r>
                          <w:r>
                            <w:rPr>
                              <w:rFonts w:ascii="Arial"/>
                              <w:spacing w:val="-1"/>
                              <w:sz w:val="18"/>
                            </w:rPr>
                            <w:t>details</w:t>
                          </w:r>
                          <w:r>
                            <w:rPr>
                              <w:rFonts w:ascii="Arial"/>
                              <w:spacing w:val="1"/>
                              <w:sz w:val="18"/>
                            </w:rPr>
                            <w:t xml:space="preserve"> </w:t>
                          </w:r>
                          <w:r>
                            <w:rPr>
                              <w:rFonts w:ascii="Arial"/>
                              <w:spacing w:val="-1"/>
                              <w:sz w:val="18"/>
                            </w:rPr>
                            <w:t>of</w:t>
                          </w:r>
                          <w:r>
                            <w:rPr>
                              <w:rFonts w:ascii="Arial"/>
                              <w:sz w:val="18"/>
                            </w:rPr>
                            <w:t xml:space="preserve"> the</w:t>
                          </w:r>
                          <w:r>
                            <w:rPr>
                              <w:rFonts w:ascii="Arial"/>
                              <w:spacing w:val="-2"/>
                              <w:sz w:val="18"/>
                            </w:rPr>
                            <w:t xml:space="preserve"> </w:t>
                          </w:r>
                          <w:r>
                            <w:rPr>
                              <w:rFonts w:ascii="Arial"/>
                              <w:spacing w:val="-1"/>
                              <w:sz w:val="18"/>
                            </w:rPr>
                            <w:t>Call</w:t>
                          </w:r>
                          <w:r>
                            <w:rPr>
                              <w:rFonts w:ascii="Arial"/>
                              <w:spacing w:val="-2"/>
                              <w:sz w:val="18"/>
                            </w:rPr>
                            <w:t xml:space="preserve"> </w:t>
                          </w:r>
                          <w:r>
                            <w:rPr>
                              <w:rFonts w:ascii="Arial"/>
                              <w:spacing w:val="-1"/>
                              <w:sz w:val="18"/>
                            </w:rPr>
                            <w:t>Off</w:t>
                          </w:r>
                          <w:r>
                            <w:rPr>
                              <w:rFonts w:ascii="Arial"/>
                              <w:sz w:val="18"/>
                            </w:rPr>
                            <w:t xml:space="preserve"> </w:t>
                          </w:r>
                          <w:r>
                            <w:rPr>
                              <w:rFonts w:ascii="Arial"/>
                              <w:spacing w:val="-1"/>
                              <w:sz w:val="18"/>
                            </w:rPr>
                            <w:t>Guarantor]</w:t>
                          </w:r>
                        </w:p>
                      </w:txbxContent>
                    </v:textbox>
                  </v:shape>
                </v:group>
                <w10:anchorlock/>
              </v:group>
            </w:pict>
          </mc:Fallback>
        </mc:AlternateContent>
      </w:r>
    </w:p>
    <w:p w:rsidR="008918FA" w:rsidRDefault="008918FA" w:rsidP="008918FA">
      <w:pPr>
        <w:spacing w:before="8"/>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238301AD" wp14:editId="73E41BD1">
                <wp:extent cx="5659120" cy="275590"/>
                <wp:effectExtent l="3810" t="0" r="4445" b="3175"/>
                <wp:docPr id="7200" name="Group 7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275590"/>
                          <a:chOff x="0" y="0"/>
                          <a:chExt cx="8912" cy="434"/>
                        </a:xfrm>
                      </wpg:grpSpPr>
                      <wpg:grpSp>
                        <wpg:cNvPr id="7201" name="Group 7196"/>
                        <wpg:cNvGrpSpPr>
                          <a:grpSpLocks/>
                        </wpg:cNvGrpSpPr>
                        <wpg:grpSpPr bwMode="auto">
                          <a:xfrm>
                            <a:off x="192" y="20"/>
                            <a:ext cx="8717" cy="207"/>
                            <a:chOff x="192" y="20"/>
                            <a:chExt cx="8717" cy="207"/>
                          </a:xfrm>
                        </wpg:grpSpPr>
                        <wps:wsp>
                          <wps:cNvPr id="7202" name="Freeform 7197"/>
                          <wps:cNvSpPr>
                            <a:spLocks/>
                          </wps:cNvSpPr>
                          <wps:spPr bwMode="auto">
                            <a:xfrm>
                              <a:off x="192" y="20"/>
                              <a:ext cx="8717" cy="207"/>
                            </a:xfrm>
                            <a:custGeom>
                              <a:avLst/>
                              <a:gdLst>
                                <a:gd name="T0" fmla="+- 0 192 192"/>
                                <a:gd name="T1" fmla="*/ T0 w 8717"/>
                                <a:gd name="T2" fmla="+- 0 227 20"/>
                                <a:gd name="T3" fmla="*/ 227 h 207"/>
                                <a:gd name="T4" fmla="+- 0 8909 192"/>
                                <a:gd name="T5" fmla="*/ T4 w 8717"/>
                                <a:gd name="T6" fmla="+- 0 227 20"/>
                                <a:gd name="T7" fmla="*/ 227 h 207"/>
                                <a:gd name="T8" fmla="+- 0 8909 192"/>
                                <a:gd name="T9" fmla="*/ T8 w 8717"/>
                                <a:gd name="T10" fmla="+- 0 20 20"/>
                                <a:gd name="T11" fmla="*/ 20 h 207"/>
                                <a:gd name="T12" fmla="+- 0 192 192"/>
                                <a:gd name="T13" fmla="*/ T12 w 8717"/>
                                <a:gd name="T14" fmla="+- 0 20 20"/>
                                <a:gd name="T15" fmla="*/ 20 h 207"/>
                                <a:gd name="T16" fmla="+- 0 192 192"/>
                                <a:gd name="T17" fmla="*/ T16 w 8717"/>
                                <a:gd name="T18" fmla="+- 0 227 20"/>
                                <a:gd name="T19" fmla="*/ 227 h 207"/>
                              </a:gdLst>
                              <a:ahLst/>
                              <a:cxnLst>
                                <a:cxn ang="0">
                                  <a:pos x="T1" y="T3"/>
                                </a:cxn>
                                <a:cxn ang="0">
                                  <a:pos x="T5" y="T7"/>
                                </a:cxn>
                                <a:cxn ang="0">
                                  <a:pos x="T9" y="T11"/>
                                </a:cxn>
                                <a:cxn ang="0">
                                  <a:pos x="T13" y="T15"/>
                                </a:cxn>
                                <a:cxn ang="0">
                                  <a:pos x="T17" y="T19"/>
                                </a:cxn>
                              </a:cxnLst>
                              <a:rect l="0" t="0" r="r" b="b"/>
                              <a:pathLst>
                                <a:path w="8717" h="207">
                                  <a:moveTo>
                                    <a:pt x="0" y="207"/>
                                  </a:moveTo>
                                  <a:lnTo>
                                    <a:pt x="8717" y="207"/>
                                  </a:lnTo>
                                  <a:lnTo>
                                    <a:pt x="8717"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3" name="Group 7193"/>
                        <wpg:cNvGrpSpPr>
                          <a:grpSpLocks/>
                        </wpg:cNvGrpSpPr>
                        <wpg:grpSpPr bwMode="auto">
                          <a:xfrm>
                            <a:off x="0" y="227"/>
                            <a:ext cx="7546" cy="207"/>
                            <a:chOff x="0" y="227"/>
                            <a:chExt cx="7546" cy="207"/>
                          </a:xfrm>
                        </wpg:grpSpPr>
                        <wps:wsp>
                          <wps:cNvPr id="7204" name="Freeform 7195"/>
                          <wps:cNvSpPr>
                            <a:spLocks/>
                          </wps:cNvSpPr>
                          <wps:spPr bwMode="auto">
                            <a:xfrm>
                              <a:off x="0" y="227"/>
                              <a:ext cx="7546" cy="207"/>
                            </a:xfrm>
                            <a:custGeom>
                              <a:avLst/>
                              <a:gdLst>
                                <a:gd name="T0" fmla="*/ 0 w 7546"/>
                                <a:gd name="T1" fmla="+- 0 433 227"/>
                                <a:gd name="T2" fmla="*/ 433 h 207"/>
                                <a:gd name="T3" fmla="*/ 7546 w 7546"/>
                                <a:gd name="T4" fmla="+- 0 433 227"/>
                                <a:gd name="T5" fmla="*/ 433 h 207"/>
                                <a:gd name="T6" fmla="*/ 7546 w 7546"/>
                                <a:gd name="T7" fmla="+- 0 227 227"/>
                                <a:gd name="T8" fmla="*/ 227 h 207"/>
                                <a:gd name="T9" fmla="*/ 0 w 7546"/>
                                <a:gd name="T10" fmla="+- 0 227 227"/>
                                <a:gd name="T11" fmla="*/ 227 h 207"/>
                                <a:gd name="T12" fmla="*/ 0 w 7546"/>
                                <a:gd name="T13" fmla="+- 0 433 227"/>
                                <a:gd name="T14" fmla="*/ 433 h 207"/>
                              </a:gdLst>
                              <a:ahLst/>
                              <a:cxnLst>
                                <a:cxn ang="0">
                                  <a:pos x="T0" y="T2"/>
                                </a:cxn>
                                <a:cxn ang="0">
                                  <a:pos x="T3" y="T5"/>
                                </a:cxn>
                                <a:cxn ang="0">
                                  <a:pos x="T6" y="T8"/>
                                </a:cxn>
                                <a:cxn ang="0">
                                  <a:pos x="T9" y="T11"/>
                                </a:cxn>
                                <a:cxn ang="0">
                                  <a:pos x="T12" y="T14"/>
                                </a:cxn>
                              </a:cxnLst>
                              <a:rect l="0" t="0" r="r" b="b"/>
                              <a:pathLst>
                                <a:path w="7546" h="207">
                                  <a:moveTo>
                                    <a:pt x="0" y="206"/>
                                  </a:moveTo>
                                  <a:lnTo>
                                    <a:pt x="7546" y="206"/>
                                  </a:lnTo>
                                  <a:lnTo>
                                    <a:pt x="7546"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5" name="Text Box 7194"/>
                          <wps:cNvSpPr txBox="1">
                            <a:spLocks noChangeArrowheads="1"/>
                          </wps:cNvSpPr>
                          <wps:spPr bwMode="auto">
                            <a:xfrm>
                              <a:off x="0" y="0"/>
                              <a:ext cx="891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3" w:line="206" w:lineRule="exact"/>
                                  <w:rPr>
                                    <w:rFonts w:ascii="Arial" w:eastAsia="Arial" w:hAnsi="Arial" w:cs="Arial"/>
                                    <w:sz w:val="18"/>
                                    <w:szCs w:val="18"/>
                                  </w:rPr>
                                </w:pPr>
                                <w:r>
                                  <w:rPr>
                                    <w:rFonts w:ascii="Arial"/>
                                    <w:position w:val="9"/>
                                    <w:sz w:val="12"/>
                                  </w:rPr>
                                  <w:t>31</w:t>
                                </w:r>
                                <w:r>
                                  <w:rPr>
                                    <w:rFonts w:ascii="Arial"/>
                                    <w:spacing w:val="24"/>
                                    <w:position w:val="9"/>
                                    <w:sz w:val="12"/>
                                  </w:rPr>
                                  <w:t xml:space="preserve"> </w:t>
                                </w:r>
                                <w:bookmarkStart w:id="23" w:name="_bookmark31"/>
                                <w:bookmarkEnd w:id="23"/>
                                <w:r>
                                  <w:rPr>
                                    <w:rFonts w:ascii="Arial"/>
                                    <w:sz w:val="18"/>
                                  </w:rPr>
                                  <w:t>[See</w:t>
                                </w:r>
                                <w:r>
                                  <w:rPr>
                                    <w:rFonts w:ascii="Arial"/>
                                    <w:spacing w:val="8"/>
                                    <w:sz w:val="18"/>
                                  </w:rPr>
                                  <w:t xml:space="preserve"> </w:t>
                                </w:r>
                                <w:r>
                                  <w:rPr>
                                    <w:rFonts w:ascii="Arial"/>
                                    <w:spacing w:val="-1"/>
                                    <w:sz w:val="18"/>
                                  </w:rPr>
                                  <w:t>Clause</w:t>
                                </w:r>
                                <w:r>
                                  <w:rPr>
                                    <w:rFonts w:ascii="Arial"/>
                                    <w:spacing w:val="8"/>
                                    <w:sz w:val="18"/>
                                  </w:rPr>
                                  <w:t xml:space="preserve"> </w:t>
                                </w:r>
                                <w:hyperlink w:anchor="_bookmark138" w:history="1">
                                  <w:r>
                                    <w:rPr>
                                      <w:rFonts w:ascii="Arial"/>
                                      <w:spacing w:val="-1"/>
                                      <w:sz w:val="18"/>
                                    </w:rPr>
                                    <w:t>26</w:t>
                                  </w:r>
                                </w:hyperlink>
                                <w:r>
                                  <w:rPr>
                                    <w:rFonts w:ascii="Arial"/>
                                    <w:spacing w:val="8"/>
                                    <w:sz w:val="18"/>
                                  </w:rPr>
                                  <w:t xml:space="preserve"> </w:t>
                                </w:r>
                                <w:r>
                                  <w:rPr>
                                    <w:rFonts w:ascii="Arial"/>
                                    <w:sz w:val="18"/>
                                  </w:rPr>
                                  <w:t>of</w:t>
                                </w:r>
                                <w:r>
                                  <w:rPr>
                                    <w:rFonts w:ascii="Arial"/>
                                    <w:spacing w:val="5"/>
                                    <w:sz w:val="18"/>
                                  </w:rPr>
                                  <w:t xml:space="preserve"> </w:t>
                                </w:r>
                                <w:r>
                                  <w:rPr>
                                    <w:rFonts w:ascii="Arial"/>
                                    <w:sz w:val="18"/>
                                  </w:rPr>
                                  <w:t>the</w:t>
                                </w:r>
                                <w:r>
                                  <w:rPr>
                                    <w:rFonts w:ascii="Arial"/>
                                    <w:spacing w:val="8"/>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Terms</w:t>
                                </w:r>
                                <w:r>
                                  <w:rPr>
                                    <w:rFonts w:ascii="Arial"/>
                                    <w:spacing w:val="8"/>
                                    <w:sz w:val="18"/>
                                  </w:rPr>
                                  <w:t xml:space="preserve"> </w:t>
                                </w:r>
                                <w:r>
                                  <w:rPr>
                                    <w:rFonts w:ascii="Arial"/>
                                    <w:spacing w:val="-1"/>
                                    <w:sz w:val="18"/>
                                  </w:rPr>
                                  <w:t>and</w:t>
                                </w:r>
                                <w:r>
                                  <w:rPr>
                                    <w:rFonts w:ascii="Arial"/>
                                    <w:spacing w:val="8"/>
                                    <w:sz w:val="18"/>
                                  </w:rPr>
                                  <w:t xml:space="preserve"> </w:t>
                                </w:r>
                                <w:r>
                                  <w:rPr>
                                    <w:rFonts w:ascii="Arial"/>
                                    <w:spacing w:val="-1"/>
                                    <w:sz w:val="18"/>
                                  </w:rPr>
                                  <w:t>include</w:t>
                                </w:r>
                                <w:r>
                                  <w:rPr>
                                    <w:rFonts w:ascii="Arial"/>
                                    <w:spacing w:val="8"/>
                                    <w:sz w:val="18"/>
                                  </w:rPr>
                                  <w:t xml:space="preserve"> </w:t>
                                </w:r>
                                <w:r>
                                  <w:rPr>
                                    <w:rFonts w:ascii="Arial"/>
                                    <w:sz w:val="18"/>
                                  </w:rPr>
                                  <w:t>any</w:t>
                                </w:r>
                                <w:r>
                                  <w:rPr>
                                    <w:rFonts w:ascii="Arial"/>
                                    <w:spacing w:val="6"/>
                                    <w:sz w:val="18"/>
                                  </w:rPr>
                                  <w:t xml:space="preserve"> </w:t>
                                </w:r>
                                <w:r>
                                  <w:rPr>
                                    <w:rFonts w:ascii="Arial"/>
                                    <w:sz w:val="18"/>
                                  </w:rPr>
                                  <w:t>Key</w:t>
                                </w:r>
                                <w:r>
                                  <w:rPr>
                                    <w:rFonts w:ascii="Arial"/>
                                    <w:spacing w:val="6"/>
                                    <w:sz w:val="18"/>
                                  </w:rPr>
                                  <w:t xml:space="preserve"> </w:t>
                                </w:r>
                                <w:r>
                                  <w:rPr>
                                    <w:rFonts w:ascii="Arial"/>
                                    <w:spacing w:val="-1"/>
                                    <w:sz w:val="18"/>
                                  </w:rPr>
                                  <w:t>Personnel</w:t>
                                </w:r>
                                <w:r>
                                  <w:rPr>
                                    <w:rFonts w:ascii="Arial"/>
                                    <w:spacing w:val="8"/>
                                    <w:sz w:val="18"/>
                                  </w:rPr>
                                  <w:t xml:space="preserve"> </w:t>
                                </w:r>
                                <w:r>
                                  <w:rPr>
                                    <w:rFonts w:ascii="Arial"/>
                                    <w:spacing w:val="-1"/>
                                    <w:sz w:val="18"/>
                                  </w:rPr>
                                  <w:t>(and</w:t>
                                </w:r>
                                <w:r>
                                  <w:rPr>
                                    <w:rFonts w:ascii="Arial"/>
                                    <w:spacing w:val="5"/>
                                    <w:sz w:val="18"/>
                                  </w:rPr>
                                  <w:t xml:space="preserve"> </w:t>
                                </w:r>
                                <w:r>
                                  <w:rPr>
                                    <w:rFonts w:ascii="Arial"/>
                                    <w:spacing w:val="-1"/>
                                    <w:sz w:val="18"/>
                                  </w:rPr>
                                  <w:t>their</w:t>
                                </w:r>
                                <w:r>
                                  <w:rPr>
                                    <w:rFonts w:ascii="Arial"/>
                                    <w:spacing w:val="7"/>
                                    <w:sz w:val="18"/>
                                  </w:rPr>
                                  <w:t xml:space="preserve"> </w:t>
                                </w:r>
                                <w:r>
                                  <w:rPr>
                                    <w:rFonts w:ascii="Arial"/>
                                    <w:sz w:val="18"/>
                                  </w:rPr>
                                  <w:t>Key</w:t>
                                </w:r>
                                <w:r>
                                  <w:rPr>
                                    <w:rFonts w:ascii="Arial"/>
                                    <w:spacing w:val="6"/>
                                    <w:sz w:val="18"/>
                                  </w:rPr>
                                  <w:t xml:space="preserve"> </w:t>
                                </w:r>
                                <w:r>
                                  <w:rPr>
                                    <w:rFonts w:ascii="Arial"/>
                                    <w:spacing w:val="-1"/>
                                    <w:sz w:val="18"/>
                                  </w:rPr>
                                  <w:t>Roles)</w:t>
                                </w:r>
                                <w:r>
                                  <w:rPr>
                                    <w:rFonts w:ascii="Arial"/>
                                    <w:spacing w:val="7"/>
                                    <w:sz w:val="18"/>
                                  </w:rPr>
                                  <w:t xml:space="preserve"> </w:t>
                                </w:r>
                                <w:r>
                                  <w:rPr>
                                    <w:rFonts w:ascii="Arial"/>
                                    <w:sz w:val="18"/>
                                  </w:rPr>
                                  <w:t>in</w:t>
                                </w:r>
                                <w:r>
                                  <w:rPr>
                                    <w:rFonts w:ascii="Arial"/>
                                    <w:spacing w:val="5"/>
                                    <w:sz w:val="18"/>
                                  </w:rPr>
                                  <w:t xml:space="preserve"> </w:t>
                                </w:r>
                                <w:r>
                                  <w:rPr>
                                    <w:rFonts w:ascii="Arial"/>
                                    <w:sz w:val="18"/>
                                  </w:rPr>
                                  <w:t>Part</w:t>
                                </w:r>
                                <w:r>
                                  <w:rPr>
                                    <w:rFonts w:ascii="Arial"/>
                                    <w:spacing w:val="39"/>
                                    <w:sz w:val="18"/>
                                  </w:rPr>
                                  <w:t xml:space="preserve"> </w:t>
                                </w:r>
                                <w:r>
                                  <w:rPr>
                                    <w:rFonts w:ascii="Arial"/>
                                    <w:sz w:val="18"/>
                                  </w:rPr>
                                  <w:t xml:space="preserve">C of </w:t>
                                </w:r>
                                <w:r>
                                  <w:rPr>
                                    <w:rFonts w:ascii="Arial"/>
                                    <w:spacing w:val="-1"/>
                                    <w:sz w:val="18"/>
                                  </w:rPr>
                                  <w:t>Call</w:t>
                                </w:r>
                                <w:r>
                                  <w:rPr>
                                    <w:rFonts w:ascii="Arial"/>
                                    <w:spacing w:val="-2"/>
                                    <w:sz w:val="18"/>
                                  </w:rPr>
                                  <w:t xml:space="preserve"> </w:t>
                                </w:r>
                                <w:r>
                                  <w:rPr>
                                    <w:rFonts w:ascii="Arial"/>
                                    <w:spacing w:val="-1"/>
                                    <w:sz w:val="18"/>
                                  </w:rPr>
                                  <w:t>Off</w:t>
                                </w:r>
                                <w:r>
                                  <w:rPr>
                                    <w:rFonts w:ascii="Arial"/>
                                    <w:sz w:val="18"/>
                                  </w:rPr>
                                  <w:t xml:space="preserve"> </w:t>
                                </w:r>
                                <w:r>
                                  <w:rPr>
                                    <w:rFonts w:ascii="Arial"/>
                                    <w:spacing w:val="-1"/>
                                    <w:sz w:val="18"/>
                                  </w:rPr>
                                  <w:t>Schedule</w:t>
                                </w:r>
                                <w:r>
                                  <w:rPr>
                                    <w:rFonts w:ascii="Arial"/>
                                    <w:spacing w:val="1"/>
                                    <w:sz w:val="18"/>
                                  </w:rPr>
                                  <w:t xml:space="preserve"> </w:t>
                                </w:r>
                                <w:r>
                                  <w:rPr>
                                    <w:rFonts w:ascii="Arial"/>
                                    <w:sz w:val="18"/>
                                  </w:rPr>
                                  <w:t>4</w:t>
                                </w:r>
                                <w:r>
                                  <w:rPr>
                                    <w:rFonts w:ascii="Arial"/>
                                    <w:spacing w:val="-2"/>
                                    <w:sz w:val="18"/>
                                  </w:rPr>
                                  <w:t xml:space="preserve"> </w:t>
                                </w:r>
                                <w:r>
                                  <w:rPr>
                                    <w:rFonts w:ascii="Arial"/>
                                    <w:spacing w:val="-1"/>
                                    <w:sz w:val="18"/>
                                  </w:rPr>
                                  <w:t>(Implementation</w:t>
                                </w:r>
                                <w:r>
                                  <w:rPr>
                                    <w:rFonts w:ascii="Arial"/>
                                    <w:spacing w:val="1"/>
                                    <w:sz w:val="18"/>
                                  </w:rPr>
                                  <w:t xml:space="preserve"> </w:t>
                                </w:r>
                                <w:r>
                                  <w:rPr>
                                    <w:rFonts w:ascii="Arial"/>
                                    <w:spacing w:val="-1"/>
                                    <w:sz w:val="18"/>
                                  </w:rPr>
                                  <w:t>Plan,</w:t>
                                </w:r>
                                <w:r>
                                  <w:rPr>
                                    <w:rFonts w:ascii="Arial"/>
                                    <w:sz w:val="18"/>
                                  </w:rPr>
                                  <w:t xml:space="preserve"> </w:t>
                                </w:r>
                                <w:r>
                                  <w:rPr>
                                    <w:rFonts w:ascii="Arial"/>
                                    <w:spacing w:val="-1"/>
                                    <w:sz w:val="18"/>
                                  </w:rPr>
                                  <w:t>Customer</w:t>
                                </w:r>
                                <w:r>
                                  <w:rPr>
                                    <w:rFonts w:ascii="Arial"/>
                                    <w:sz w:val="18"/>
                                  </w:rPr>
                                  <w:t xml:space="preserve"> </w:t>
                                </w:r>
                                <w:r>
                                  <w:rPr>
                                    <w:rFonts w:ascii="Arial"/>
                                    <w:spacing w:val="-1"/>
                                    <w:sz w:val="18"/>
                                  </w:rPr>
                                  <w:t>Responsibilities</w:t>
                                </w:r>
                                <w:r>
                                  <w:rPr>
                                    <w:rFonts w:ascii="Arial"/>
                                    <w:spacing w:val="1"/>
                                    <w:sz w:val="18"/>
                                  </w:rPr>
                                  <w:t xml:space="preserve"> </w:t>
                                </w:r>
                                <w:r>
                                  <w:rPr>
                                    <w:rFonts w:ascii="Arial"/>
                                    <w:spacing w:val="-1"/>
                                    <w:sz w:val="18"/>
                                  </w:rPr>
                                  <w:t>and</w:t>
                                </w:r>
                                <w:r>
                                  <w:rPr>
                                    <w:rFonts w:ascii="Arial"/>
                                    <w:spacing w:val="1"/>
                                    <w:sz w:val="18"/>
                                  </w:rPr>
                                  <w:t xml:space="preserve"> </w:t>
                                </w:r>
                                <w:r>
                                  <w:rPr>
                                    <w:rFonts w:ascii="Arial"/>
                                    <w:sz w:val="18"/>
                                  </w:rPr>
                                  <w:t>Key</w:t>
                                </w:r>
                                <w:r>
                                  <w:rPr>
                                    <w:rFonts w:ascii="Arial"/>
                                    <w:spacing w:val="-1"/>
                                    <w:sz w:val="18"/>
                                  </w:rPr>
                                  <w:t xml:space="preserve"> Personnel)]</w:t>
                                </w:r>
                              </w:p>
                            </w:txbxContent>
                          </wps:txbx>
                          <wps:bodyPr rot="0" vert="horz" wrap="square" lIns="0" tIns="0" rIns="0" bIns="0" anchor="t" anchorCtr="0" upright="1">
                            <a:noAutofit/>
                          </wps:bodyPr>
                        </wps:wsp>
                      </wpg:grpSp>
                    </wpg:wgp>
                  </a:graphicData>
                </a:graphic>
              </wp:inline>
            </w:drawing>
          </mc:Choice>
          <mc:Fallback>
            <w:pict>
              <v:group w14:anchorId="238301AD" id="Group 7192" o:spid="_x0000_s1086" style="width:445.6pt;height:21.7pt;mso-position-horizontal-relative:char;mso-position-vertical-relative:line" coordsize="891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">
                <v:group id="Group 7196" o:spid="_x0000_s1087" style="position:absolute;left:192;top:20;width:8717;height:207" coordorigin="192,20" coordsize="871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ZYO8UAAADdAAAADwAAAGRycy9kb3ducmV2LnhtbESPQYvCMBSE78L+h/AW&#10;vGlaF12pRhHZFQ8iqAvi7dE822LzUppsW/+9EQSPw8x8w8yXnSlFQ7UrLCuIhxEI4tTqgjMFf6ff&#10;wRSE88gaS8uk4E4OlouP3hwTbVs+UHP0mQgQdgkqyL2vEildmpNBN7QVcfCutjbog6wzqWtsA9yU&#10;chRFE2mw4LCQY0XrnNLb8d8o2LTYrr7in2Z3u67vl9N4f97FpFT/s1vNQHjq/Dv8am+1gu9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WDvFAAAA3QAA&#10;AA8AAAAAAAAAAAAAAAAAqgIAAGRycy9kb3ducmV2LnhtbFBLBQYAAAAABAAEAPoAAACcAwAAAAA=&#10;">
                  <v:shape id="Freeform 7197" o:spid="_x0000_s1088" style="position:absolute;left:192;top:20;width:8717;height:207;visibility:visible;mso-wrap-style:square;v-text-anchor:top" coordsize="871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ef8UA&#10;AADdAAAADwAAAGRycy9kb3ducmV2LnhtbESP0WrCQBRE34X+w3ILfRHdNVArqWsokUrRp6ofcMle&#10;k9Ds3TS7muTvXaHQx2FmzjDrbLCNuFHna8caFnMFgrhwpuZSw/n0OVuB8AHZYOOYNIzkIds8TdaY&#10;GtfzN92OoRQRwj5FDVUIbSqlLyqy6OeuJY7exXUWQ5RdKU2HfYTbRiZKLaXFmuNChS3lFRU/x6vV&#10;sH3dD830ENSl/DW74qpyW9Oo9cvz8PEOItAQ/sN/7S+j4S1RCTz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R5/xQAAAN0AAAAPAAAAAAAAAAAAAAAAAJgCAABkcnMv&#10;ZG93bnJldi54bWxQSwUGAAAAAAQABAD1AAAAigMAAAAA&#10;" path="m,207r8717,l8717,,,,,207xe" fillcolor="lime" stroked="f">
                    <v:path arrowok="t" o:connecttype="custom" o:connectlocs="0,227;8717,227;8717,20;0,20;0,227" o:connectangles="0,0,0,0,0"/>
                  </v:shape>
                </v:group>
                <v:group id="Group 7193" o:spid="_x0000_s1089" style="position:absolute;top:227;width:7546;height:207" coordorigin=",227" coordsize="7546,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hj18UAAADdAAAADwAAAGRycy9kb3ducmV2LnhtbESPQYvCMBSE78L+h/AE&#10;b5pWWV2qUURW2YMsqAvi7dE822LzUprY1n9vhAWPw8x8wyxWnSlFQ7UrLCuIRxEI4tTqgjMFf6ft&#10;8AuE88gaS8uk4EEOVsuP3gITbVs+UHP0mQgQdgkqyL2vEildmpNBN7IVcfCutjbog6wzqWtsA9yU&#10;chxFU2mw4LCQY0WbnNLb8W4U7Fps15P4u9nfrpvH5fT5e97HpNSg363nIDx1/h3+b/9oBbN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YY9fFAAAA3QAA&#10;AA8AAAAAAAAAAAAAAAAAqgIAAGRycy9kb3ducmV2LnhtbFBLBQYAAAAABAAEAPoAAACcAwAAAAA=&#10;">
                  <v:shape id="Freeform 7195" o:spid="_x0000_s1090" style="position:absolute;top:227;width:7546;height:207;visibility:visible;mso-wrap-style:square;v-text-anchor:top" coordsize="754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WEsYA&#10;AADdAAAADwAAAGRycy9kb3ducmV2LnhtbESPQWvCQBSE74X+h+UJXkR3K2JLdBWRFhU82NSDx0f2&#10;NUnNvg3ZNcZ/7wpCj8PMfMPMl52tREuNLx1reBspEMSZMyXnGo4/X8MPED4gG6wck4YbeVguXl/m&#10;mBh35W9q05CLCGGfoIYihDqR0mcFWfQjVxNH79c1FkOUTS5Ng9cIt5UcKzWVFkuOCwXWtC4oO6cX&#10;q2F1So+TMGjXdpce/j5varPfnVjrfq9bzUAE6sJ/+NneGg3vYzW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gWEsYAAADdAAAADwAAAAAAAAAAAAAAAACYAgAAZHJz&#10;L2Rvd25yZXYueG1sUEsFBgAAAAAEAAQA9QAAAIsDAAAAAA==&#10;" path="m,206r7546,l7546,,,,,206xe" fillcolor="lime" stroked="f">
                    <v:path arrowok="t" o:connecttype="custom" o:connectlocs="0,433;7546,433;7546,227;0,227;0,433" o:connectangles="0,0,0,0,0"/>
                  </v:shape>
                  <v:shape id="Text Box 7194" o:spid="_x0000_s1091" type="#_x0000_t202" style="position:absolute;width:8912;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W48YA&#10;AADdAAAADwAAAGRycy9kb3ducmV2LnhtbESPQWsCMRSE74X+h/AKvdWkQtVujSKiIAil6/bQ4+vm&#10;uRvcvKybqOu/bwqCx2FmvmGm89414kxdsJ41vA4UCOLSG8uVhu9i/TIBESKywcYzabhSgPns8WGK&#10;mfEXzum8i5VIEA4ZaqhjbDMpQ1mTwzDwLXHy9r5zGJPsKmk6vCS4a+RQqZF0aDkt1NjSsqbysDs5&#10;DYsfzlf2+Pn7le9zWxTvirejg9bPT/3iA0SkPt7Dt/bGaBgP1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9W48YAAADdAAAADwAAAAAAAAAAAAAAAACYAgAAZHJz&#10;L2Rvd25yZXYueG1sUEsFBgAAAAAEAAQA9QAAAIsDAAAAAA==&#10;" filled="f" stroked="f">
                    <v:textbox inset="0,0,0,0">
                      <w:txbxContent>
                        <w:p w:rsidR="005D2B81" w:rsidRDefault="005D2B81" w:rsidP="008918FA">
                          <w:pPr>
                            <w:spacing w:before="23" w:line="206" w:lineRule="exact"/>
                            <w:rPr>
                              <w:rFonts w:ascii="Arial" w:eastAsia="Arial" w:hAnsi="Arial" w:cs="Arial"/>
                              <w:sz w:val="18"/>
                              <w:szCs w:val="18"/>
                            </w:rPr>
                          </w:pPr>
                          <w:r>
                            <w:rPr>
                              <w:rFonts w:ascii="Arial"/>
                              <w:position w:val="9"/>
                              <w:sz w:val="12"/>
                            </w:rPr>
                            <w:t>31</w:t>
                          </w:r>
                          <w:r>
                            <w:rPr>
                              <w:rFonts w:ascii="Arial"/>
                              <w:spacing w:val="24"/>
                              <w:position w:val="9"/>
                              <w:sz w:val="12"/>
                            </w:rPr>
                            <w:t xml:space="preserve"> </w:t>
                          </w:r>
                          <w:bookmarkStart w:id="27" w:name="_bookmark31"/>
                          <w:bookmarkEnd w:id="27"/>
                          <w:r>
                            <w:rPr>
                              <w:rFonts w:ascii="Arial"/>
                              <w:sz w:val="18"/>
                            </w:rPr>
                            <w:t>[See</w:t>
                          </w:r>
                          <w:r>
                            <w:rPr>
                              <w:rFonts w:ascii="Arial"/>
                              <w:spacing w:val="8"/>
                              <w:sz w:val="18"/>
                            </w:rPr>
                            <w:t xml:space="preserve"> </w:t>
                          </w:r>
                          <w:r>
                            <w:rPr>
                              <w:rFonts w:ascii="Arial"/>
                              <w:spacing w:val="-1"/>
                              <w:sz w:val="18"/>
                            </w:rPr>
                            <w:t>Clause</w:t>
                          </w:r>
                          <w:r>
                            <w:rPr>
                              <w:rFonts w:ascii="Arial"/>
                              <w:spacing w:val="8"/>
                              <w:sz w:val="18"/>
                            </w:rPr>
                            <w:t xml:space="preserve"> </w:t>
                          </w:r>
                          <w:hyperlink w:anchor="_bookmark138" w:history="1">
                            <w:r>
                              <w:rPr>
                                <w:rFonts w:ascii="Arial"/>
                                <w:spacing w:val="-1"/>
                                <w:sz w:val="18"/>
                              </w:rPr>
                              <w:t>26</w:t>
                            </w:r>
                          </w:hyperlink>
                          <w:r>
                            <w:rPr>
                              <w:rFonts w:ascii="Arial"/>
                              <w:spacing w:val="8"/>
                              <w:sz w:val="18"/>
                            </w:rPr>
                            <w:t xml:space="preserve"> </w:t>
                          </w:r>
                          <w:r>
                            <w:rPr>
                              <w:rFonts w:ascii="Arial"/>
                              <w:sz w:val="18"/>
                            </w:rPr>
                            <w:t>of</w:t>
                          </w:r>
                          <w:r>
                            <w:rPr>
                              <w:rFonts w:ascii="Arial"/>
                              <w:spacing w:val="5"/>
                              <w:sz w:val="18"/>
                            </w:rPr>
                            <w:t xml:space="preserve"> </w:t>
                          </w:r>
                          <w:r>
                            <w:rPr>
                              <w:rFonts w:ascii="Arial"/>
                              <w:sz w:val="18"/>
                            </w:rPr>
                            <w:t>the</w:t>
                          </w:r>
                          <w:r>
                            <w:rPr>
                              <w:rFonts w:ascii="Arial"/>
                              <w:spacing w:val="8"/>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Terms</w:t>
                          </w:r>
                          <w:r>
                            <w:rPr>
                              <w:rFonts w:ascii="Arial"/>
                              <w:spacing w:val="8"/>
                              <w:sz w:val="18"/>
                            </w:rPr>
                            <w:t xml:space="preserve"> </w:t>
                          </w:r>
                          <w:r>
                            <w:rPr>
                              <w:rFonts w:ascii="Arial"/>
                              <w:spacing w:val="-1"/>
                              <w:sz w:val="18"/>
                            </w:rPr>
                            <w:t>and</w:t>
                          </w:r>
                          <w:r>
                            <w:rPr>
                              <w:rFonts w:ascii="Arial"/>
                              <w:spacing w:val="8"/>
                              <w:sz w:val="18"/>
                            </w:rPr>
                            <w:t xml:space="preserve"> </w:t>
                          </w:r>
                          <w:r>
                            <w:rPr>
                              <w:rFonts w:ascii="Arial"/>
                              <w:spacing w:val="-1"/>
                              <w:sz w:val="18"/>
                            </w:rPr>
                            <w:t>include</w:t>
                          </w:r>
                          <w:r>
                            <w:rPr>
                              <w:rFonts w:ascii="Arial"/>
                              <w:spacing w:val="8"/>
                              <w:sz w:val="18"/>
                            </w:rPr>
                            <w:t xml:space="preserve"> </w:t>
                          </w:r>
                          <w:r>
                            <w:rPr>
                              <w:rFonts w:ascii="Arial"/>
                              <w:sz w:val="18"/>
                            </w:rPr>
                            <w:t>any</w:t>
                          </w:r>
                          <w:r>
                            <w:rPr>
                              <w:rFonts w:ascii="Arial"/>
                              <w:spacing w:val="6"/>
                              <w:sz w:val="18"/>
                            </w:rPr>
                            <w:t xml:space="preserve"> </w:t>
                          </w:r>
                          <w:r>
                            <w:rPr>
                              <w:rFonts w:ascii="Arial"/>
                              <w:sz w:val="18"/>
                            </w:rPr>
                            <w:t>Key</w:t>
                          </w:r>
                          <w:r>
                            <w:rPr>
                              <w:rFonts w:ascii="Arial"/>
                              <w:spacing w:val="6"/>
                              <w:sz w:val="18"/>
                            </w:rPr>
                            <w:t xml:space="preserve"> </w:t>
                          </w:r>
                          <w:r>
                            <w:rPr>
                              <w:rFonts w:ascii="Arial"/>
                              <w:spacing w:val="-1"/>
                              <w:sz w:val="18"/>
                            </w:rPr>
                            <w:t>Personnel</w:t>
                          </w:r>
                          <w:r>
                            <w:rPr>
                              <w:rFonts w:ascii="Arial"/>
                              <w:spacing w:val="8"/>
                              <w:sz w:val="18"/>
                            </w:rPr>
                            <w:t xml:space="preserve"> </w:t>
                          </w:r>
                          <w:r>
                            <w:rPr>
                              <w:rFonts w:ascii="Arial"/>
                              <w:spacing w:val="-1"/>
                              <w:sz w:val="18"/>
                            </w:rPr>
                            <w:t>(and</w:t>
                          </w:r>
                          <w:r>
                            <w:rPr>
                              <w:rFonts w:ascii="Arial"/>
                              <w:spacing w:val="5"/>
                              <w:sz w:val="18"/>
                            </w:rPr>
                            <w:t xml:space="preserve"> </w:t>
                          </w:r>
                          <w:r>
                            <w:rPr>
                              <w:rFonts w:ascii="Arial"/>
                              <w:spacing w:val="-1"/>
                              <w:sz w:val="18"/>
                            </w:rPr>
                            <w:t>their</w:t>
                          </w:r>
                          <w:r>
                            <w:rPr>
                              <w:rFonts w:ascii="Arial"/>
                              <w:spacing w:val="7"/>
                              <w:sz w:val="18"/>
                            </w:rPr>
                            <w:t xml:space="preserve"> </w:t>
                          </w:r>
                          <w:r>
                            <w:rPr>
                              <w:rFonts w:ascii="Arial"/>
                              <w:sz w:val="18"/>
                            </w:rPr>
                            <w:t>Key</w:t>
                          </w:r>
                          <w:r>
                            <w:rPr>
                              <w:rFonts w:ascii="Arial"/>
                              <w:spacing w:val="6"/>
                              <w:sz w:val="18"/>
                            </w:rPr>
                            <w:t xml:space="preserve"> </w:t>
                          </w:r>
                          <w:r>
                            <w:rPr>
                              <w:rFonts w:ascii="Arial"/>
                              <w:spacing w:val="-1"/>
                              <w:sz w:val="18"/>
                            </w:rPr>
                            <w:t>Roles)</w:t>
                          </w:r>
                          <w:r>
                            <w:rPr>
                              <w:rFonts w:ascii="Arial"/>
                              <w:spacing w:val="7"/>
                              <w:sz w:val="18"/>
                            </w:rPr>
                            <w:t xml:space="preserve"> </w:t>
                          </w:r>
                          <w:r>
                            <w:rPr>
                              <w:rFonts w:ascii="Arial"/>
                              <w:sz w:val="18"/>
                            </w:rPr>
                            <w:t>in</w:t>
                          </w:r>
                          <w:r>
                            <w:rPr>
                              <w:rFonts w:ascii="Arial"/>
                              <w:spacing w:val="5"/>
                              <w:sz w:val="18"/>
                            </w:rPr>
                            <w:t xml:space="preserve"> </w:t>
                          </w:r>
                          <w:r>
                            <w:rPr>
                              <w:rFonts w:ascii="Arial"/>
                              <w:sz w:val="18"/>
                            </w:rPr>
                            <w:t>Part</w:t>
                          </w:r>
                          <w:r>
                            <w:rPr>
                              <w:rFonts w:ascii="Arial"/>
                              <w:spacing w:val="39"/>
                              <w:sz w:val="18"/>
                            </w:rPr>
                            <w:t xml:space="preserve"> </w:t>
                          </w:r>
                          <w:r>
                            <w:rPr>
                              <w:rFonts w:ascii="Arial"/>
                              <w:sz w:val="18"/>
                            </w:rPr>
                            <w:t xml:space="preserve">C of </w:t>
                          </w:r>
                          <w:r>
                            <w:rPr>
                              <w:rFonts w:ascii="Arial"/>
                              <w:spacing w:val="-1"/>
                              <w:sz w:val="18"/>
                            </w:rPr>
                            <w:t>Call</w:t>
                          </w:r>
                          <w:r>
                            <w:rPr>
                              <w:rFonts w:ascii="Arial"/>
                              <w:spacing w:val="-2"/>
                              <w:sz w:val="18"/>
                            </w:rPr>
                            <w:t xml:space="preserve"> </w:t>
                          </w:r>
                          <w:r>
                            <w:rPr>
                              <w:rFonts w:ascii="Arial"/>
                              <w:spacing w:val="-1"/>
                              <w:sz w:val="18"/>
                            </w:rPr>
                            <w:t>Off</w:t>
                          </w:r>
                          <w:r>
                            <w:rPr>
                              <w:rFonts w:ascii="Arial"/>
                              <w:sz w:val="18"/>
                            </w:rPr>
                            <w:t xml:space="preserve"> </w:t>
                          </w:r>
                          <w:r>
                            <w:rPr>
                              <w:rFonts w:ascii="Arial"/>
                              <w:spacing w:val="-1"/>
                              <w:sz w:val="18"/>
                            </w:rPr>
                            <w:t>Schedule</w:t>
                          </w:r>
                          <w:r>
                            <w:rPr>
                              <w:rFonts w:ascii="Arial"/>
                              <w:spacing w:val="1"/>
                              <w:sz w:val="18"/>
                            </w:rPr>
                            <w:t xml:space="preserve"> </w:t>
                          </w:r>
                          <w:r>
                            <w:rPr>
                              <w:rFonts w:ascii="Arial"/>
                              <w:sz w:val="18"/>
                            </w:rPr>
                            <w:t>4</w:t>
                          </w:r>
                          <w:r>
                            <w:rPr>
                              <w:rFonts w:ascii="Arial"/>
                              <w:spacing w:val="-2"/>
                              <w:sz w:val="18"/>
                            </w:rPr>
                            <w:t xml:space="preserve"> </w:t>
                          </w:r>
                          <w:r>
                            <w:rPr>
                              <w:rFonts w:ascii="Arial"/>
                              <w:spacing w:val="-1"/>
                              <w:sz w:val="18"/>
                            </w:rPr>
                            <w:t>(Implementation</w:t>
                          </w:r>
                          <w:r>
                            <w:rPr>
                              <w:rFonts w:ascii="Arial"/>
                              <w:spacing w:val="1"/>
                              <w:sz w:val="18"/>
                            </w:rPr>
                            <w:t xml:space="preserve"> </w:t>
                          </w:r>
                          <w:r>
                            <w:rPr>
                              <w:rFonts w:ascii="Arial"/>
                              <w:spacing w:val="-1"/>
                              <w:sz w:val="18"/>
                            </w:rPr>
                            <w:t>Plan,</w:t>
                          </w:r>
                          <w:r>
                            <w:rPr>
                              <w:rFonts w:ascii="Arial"/>
                              <w:sz w:val="18"/>
                            </w:rPr>
                            <w:t xml:space="preserve"> </w:t>
                          </w:r>
                          <w:r>
                            <w:rPr>
                              <w:rFonts w:ascii="Arial"/>
                              <w:spacing w:val="-1"/>
                              <w:sz w:val="18"/>
                            </w:rPr>
                            <w:t>Customer</w:t>
                          </w:r>
                          <w:r>
                            <w:rPr>
                              <w:rFonts w:ascii="Arial"/>
                              <w:sz w:val="18"/>
                            </w:rPr>
                            <w:t xml:space="preserve"> </w:t>
                          </w:r>
                          <w:r>
                            <w:rPr>
                              <w:rFonts w:ascii="Arial"/>
                              <w:spacing w:val="-1"/>
                              <w:sz w:val="18"/>
                            </w:rPr>
                            <w:t>Responsibilities</w:t>
                          </w:r>
                          <w:r>
                            <w:rPr>
                              <w:rFonts w:ascii="Arial"/>
                              <w:spacing w:val="1"/>
                              <w:sz w:val="18"/>
                            </w:rPr>
                            <w:t xml:space="preserve"> </w:t>
                          </w:r>
                          <w:r>
                            <w:rPr>
                              <w:rFonts w:ascii="Arial"/>
                              <w:spacing w:val="-1"/>
                              <w:sz w:val="18"/>
                            </w:rPr>
                            <w:t>and</w:t>
                          </w:r>
                          <w:r>
                            <w:rPr>
                              <w:rFonts w:ascii="Arial"/>
                              <w:spacing w:val="1"/>
                              <w:sz w:val="18"/>
                            </w:rPr>
                            <w:t xml:space="preserve"> </w:t>
                          </w:r>
                          <w:r>
                            <w:rPr>
                              <w:rFonts w:ascii="Arial"/>
                              <w:sz w:val="18"/>
                            </w:rPr>
                            <w:t>Key</w:t>
                          </w:r>
                          <w:r>
                            <w:rPr>
                              <w:rFonts w:ascii="Arial"/>
                              <w:spacing w:val="-1"/>
                              <w:sz w:val="18"/>
                            </w:rPr>
                            <w:t xml:space="preserve"> Personnel)]</w:t>
                          </w:r>
                        </w:p>
                      </w:txbxContent>
                    </v:textbox>
                  </v:shape>
                </v:group>
                <w10:anchorlock/>
              </v:group>
            </w:pict>
          </mc:Fallback>
        </mc:AlternateContent>
      </w:r>
    </w:p>
    <w:p w:rsidR="008918FA" w:rsidRDefault="008918FA" w:rsidP="008918FA">
      <w:pPr>
        <w:spacing w:before="8"/>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110C1631" wp14:editId="17BC139F">
                <wp:extent cx="5658485" cy="276860"/>
                <wp:effectExtent l="3810" t="3810" r="0" b="0"/>
                <wp:docPr id="7194" name="Group 7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276860"/>
                          <a:chOff x="0" y="0"/>
                          <a:chExt cx="8911" cy="436"/>
                        </a:xfrm>
                      </wpg:grpSpPr>
                      <wpg:grpSp>
                        <wpg:cNvPr id="7195" name="Group 7190"/>
                        <wpg:cNvGrpSpPr>
                          <a:grpSpLocks/>
                        </wpg:cNvGrpSpPr>
                        <wpg:grpSpPr bwMode="auto">
                          <a:xfrm>
                            <a:off x="187" y="20"/>
                            <a:ext cx="8722" cy="209"/>
                            <a:chOff x="187" y="20"/>
                            <a:chExt cx="8722" cy="209"/>
                          </a:xfrm>
                        </wpg:grpSpPr>
                        <wps:wsp>
                          <wps:cNvPr id="7196" name="Freeform 7191"/>
                          <wps:cNvSpPr>
                            <a:spLocks/>
                          </wps:cNvSpPr>
                          <wps:spPr bwMode="auto">
                            <a:xfrm>
                              <a:off x="187" y="20"/>
                              <a:ext cx="8722" cy="209"/>
                            </a:xfrm>
                            <a:custGeom>
                              <a:avLst/>
                              <a:gdLst>
                                <a:gd name="T0" fmla="+- 0 187 187"/>
                                <a:gd name="T1" fmla="*/ T0 w 8722"/>
                                <a:gd name="T2" fmla="+- 0 229 20"/>
                                <a:gd name="T3" fmla="*/ 229 h 209"/>
                                <a:gd name="T4" fmla="+- 0 8909 187"/>
                                <a:gd name="T5" fmla="*/ T4 w 8722"/>
                                <a:gd name="T6" fmla="+- 0 229 20"/>
                                <a:gd name="T7" fmla="*/ 229 h 209"/>
                                <a:gd name="T8" fmla="+- 0 8909 187"/>
                                <a:gd name="T9" fmla="*/ T8 w 8722"/>
                                <a:gd name="T10" fmla="+- 0 20 20"/>
                                <a:gd name="T11" fmla="*/ 20 h 209"/>
                                <a:gd name="T12" fmla="+- 0 187 187"/>
                                <a:gd name="T13" fmla="*/ T12 w 8722"/>
                                <a:gd name="T14" fmla="+- 0 20 20"/>
                                <a:gd name="T15" fmla="*/ 20 h 209"/>
                                <a:gd name="T16" fmla="+- 0 187 187"/>
                                <a:gd name="T17" fmla="*/ T16 w 8722"/>
                                <a:gd name="T18" fmla="+- 0 229 20"/>
                                <a:gd name="T19" fmla="*/ 229 h 209"/>
                              </a:gdLst>
                              <a:ahLst/>
                              <a:cxnLst>
                                <a:cxn ang="0">
                                  <a:pos x="T1" y="T3"/>
                                </a:cxn>
                                <a:cxn ang="0">
                                  <a:pos x="T5" y="T7"/>
                                </a:cxn>
                                <a:cxn ang="0">
                                  <a:pos x="T9" y="T11"/>
                                </a:cxn>
                                <a:cxn ang="0">
                                  <a:pos x="T13" y="T15"/>
                                </a:cxn>
                                <a:cxn ang="0">
                                  <a:pos x="T17" y="T19"/>
                                </a:cxn>
                              </a:cxnLst>
                              <a:rect l="0" t="0" r="r" b="b"/>
                              <a:pathLst>
                                <a:path w="8722" h="209">
                                  <a:moveTo>
                                    <a:pt x="0" y="209"/>
                                  </a:moveTo>
                                  <a:lnTo>
                                    <a:pt x="8722" y="209"/>
                                  </a:lnTo>
                                  <a:lnTo>
                                    <a:pt x="8722" y="0"/>
                                  </a:lnTo>
                                  <a:lnTo>
                                    <a:pt x="0" y="0"/>
                                  </a:lnTo>
                                  <a:lnTo>
                                    <a:pt x="0" y="20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7" name="Group 7187"/>
                        <wpg:cNvGrpSpPr>
                          <a:grpSpLocks/>
                        </wpg:cNvGrpSpPr>
                        <wpg:grpSpPr bwMode="auto">
                          <a:xfrm>
                            <a:off x="0" y="229"/>
                            <a:ext cx="6584" cy="207"/>
                            <a:chOff x="0" y="229"/>
                            <a:chExt cx="6584" cy="207"/>
                          </a:xfrm>
                        </wpg:grpSpPr>
                        <wps:wsp>
                          <wps:cNvPr id="7198" name="Freeform 7189"/>
                          <wps:cNvSpPr>
                            <a:spLocks/>
                          </wps:cNvSpPr>
                          <wps:spPr bwMode="auto">
                            <a:xfrm>
                              <a:off x="0" y="229"/>
                              <a:ext cx="6584" cy="207"/>
                            </a:xfrm>
                            <a:custGeom>
                              <a:avLst/>
                              <a:gdLst>
                                <a:gd name="T0" fmla="*/ 0 w 6584"/>
                                <a:gd name="T1" fmla="+- 0 436 229"/>
                                <a:gd name="T2" fmla="*/ 436 h 207"/>
                                <a:gd name="T3" fmla="*/ 6583 w 6584"/>
                                <a:gd name="T4" fmla="+- 0 436 229"/>
                                <a:gd name="T5" fmla="*/ 436 h 207"/>
                                <a:gd name="T6" fmla="*/ 6583 w 6584"/>
                                <a:gd name="T7" fmla="+- 0 229 229"/>
                                <a:gd name="T8" fmla="*/ 229 h 207"/>
                                <a:gd name="T9" fmla="*/ 0 w 6584"/>
                                <a:gd name="T10" fmla="+- 0 229 229"/>
                                <a:gd name="T11" fmla="*/ 229 h 207"/>
                                <a:gd name="T12" fmla="*/ 0 w 6584"/>
                                <a:gd name="T13" fmla="+- 0 436 229"/>
                                <a:gd name="T14" fmla="*/ 436 h 207"/>
                              </a:gdLst>
                              <a:ahLst/>
                              <a:cxnLst>
                                <a:cxn ang="0">
                                  <a:pos x="T0" y="T2"/>
                                </a:cxn>
                                <a:cxn ang="0">
                                  <a:pos x="T3" y="T5"/>
                                </a:cxn>
                                <a:cxn ang="0">
                                  <a:pos x="T6" y="T8"/>
                                </a:cxn>
                                <a:cxn ang="0">
                                  <a:pos x="T9" y="T11"/>
                                </a:cxn>
                                <a:cxn ang="0">
                                  <a:pos x="T12" y="T14"/>
                                </a:cxn>
                              </a:cxnLst>
                              <a:rect l="0" t="0" r="r" b="b"/>
                              <a:pathLst>
                                <a:path w="6584" h="207">
                                  <a:moveTo>
                                    <a:pt x="0" y="207"/>
                                  </a:moveTo>
                                  <a:lnTo>
                                    <a:pt x="6583" y="207"/>
                                  </a:lnTo>
                                  <a:lnTo>
                                    <a:pt x="6583"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9" name="Text Box 7188"/>
                          <wps:cNvSpPr txBox="1">
                            <a:spLocks noChangeArrowheads="1"/>
                          </wps:cNvSpPr>
                          <wps:spPr bwMode="auto">
                            <a:xfrm>
                              <a:off x="0" y="0"/>
                              <a:ext cx="89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2" w:line="208" w:lineRule="exact"/>
                                  <w:rPr>
                                    <w:rFonts w:ascii="Arial" w:eastAsia="Arial" w:hAnsi="Arial" w:cs="Arial"/>
                                    <w:sz w:val="18"/>
                                    <w:szCs w:val="18"/>
                                  </w:rPr>
                                </w:pPr>
                                <w:r>
                                  <w:rPr>
                                    <w:rFonts w:ascii="Arial"/>
                                    <w:position w:val="9"/>
                                    <w:sz w:val="12"/>
                                  </w:rPr>
                                  <w:t>32</w:t>
                                </w:r>
                                <w:r>
                                  <w:rPr>
                                    <w:rFonts w:ascii="Arial"/>
                                    <w:spacing w:val="19"/>
                                    <w:position w:val="9"/>
                                    <w:sz w:val="12"/>
                                  </w:rPr>
                                  <w:t xml:space="preserve"> </w:t>
                                </w:r>
                                <w:bookmarkStart w:id="24" w:name="_bookmark32"/>
                                <w:bookmarkEnd w:id="24"/>
                                <w:r>
                                  <w:rPr>
                                    <w:rFonts w:ascii="Arial"/>
                                    <w:sz w:val="18"/>
                                  </w:rPr>
                                  <w:t>[See</w:t>
                                </w:r>
                                <w:r>
                                  <w:rPr>
                                    <w:rFonts w:ascii="Arial"/>
                                    <w:spacing w:val="3"/>
                                    <w:sz w:val="18"/>
                                  </w:rPr>
                                  <w:t xml:space="preserve"> </w:t>
                                </w:r>
                                <w:r>
                                  <w:rPr>
                                    <w:rFonts w:ascii="Arial"/>
                                    <w:spacing w:val="-1"/>
                                    <w:sz w:val="18"/>
                                  </w:rPr>
                                  <w:t>Claus</w:t>
                                </w:r>
                                <w:hyperlink w:anchor="_bookmark141" w:history="1">
                                  <w:r>
                                    <w:rPr>
                                      <w:rFonts w:ascii="Arial"/>
                                      <w:spacing w:val="-1"/>
                                      <w:sz w:val="18"/>
                                    </w:rPr>
                                    <w:t>e27.2.1.</w:t>
                                  </w:r>
                                </w:hyperlink>
                                <w:r>
                                  <w:rPr>
                                    <w:rFonts w:ascii="Arial"/>
                                    <w:sz w:val="18"/>
                                  </w:rPr>
                                  <w:t xml:space="preserve"> </w:t>
                                </w:r>
                                <w:r>
                                  <w:rPr>
                                    <w:rFonts w:ascii="Arial"/>
                                    <w:spacing w:val="-1"/>
                                    <w:sz w:val="18"/>
                                  </w:rPr>
                                  <w:t>Switch</w:t>
                                </w:r>
                                <w:r>
                                  <w:rPr>
                                    <w:rFonts w:ascii="Arial"/>
                                    <w:spacing w:val="3"/>
                                    <w:sz w:val="18"/>
                                  </w:rPr>
                                  <w:t xml:space="preserve"> </w:t>
                                </w:r>
                                <w:r>
                                  <w:rPr>
                                    <w:rFonts w:ascii="Arial"/>
                                    <w:spacing w:val="-1"/>
                                    <w:sz w:val="18"/>
                                  </w:rPr>
                                  <w:t>this</w:t>
                                </w:r>
                                <w:r>
                                  <w:rPr>
                                    <w:rFonts w:ascii="Arial"/>
                                    <w:spacing w:val="3"/>
                                    <w:sz w:val="18"/>
                                  </w:rPr>
                                  <w:t xml:space="preserve"> </w:t>
                                </w:r>
                                <w:r>
                                  <w:rPr>
                                    <w:rFonts w:ascii="Arial"/>
                                    <w:spacing w:val="-1"/>
                                    <w:sz w:val="18"/>
                                  </w:rPr>
                                  <w:t>clause</w:t>
                                </w:r>
                                <w:r>
                                  <w:rPr>
                                    <w:rFonts w:ascii="Arial"/>
                                    <w:spacing w:val="1"/>
                                    <w:sz w:val="18"/>
                                  </w:rPr>
                                  <w:t xml:space="preserve"> </w:t>
                                </w:r>
                                <w:r>
                                  <w:rPr>
                                    <w:rFonts w:ascii="Arial"/>
                                    <w:sz w:val="18"/>
                                  </w:rPr>
                                  <w:t>on</w:t>
                                </w:r>
                                <w:r>
                                  <w:rPr>
                                    <w:rFonts w:ascii="Arial"/>
                                    <w:spacing w:val="3"/>
                                    <w:sz w:val="18"/>
                                  </w:rPr>
                                  <w:t xml:space="preserve"> </w:t>
                                </w:r>
                                <w:r>
                                  <w:rPr>
                                    <w:rFonts w:ascii="Arial"/>
                                    <w:spacing w:val="-1"/>
                                    <w:sz w:val="18"/>
                                  </w:rPr>
                                  <w:t>if</w:t>
                                </w:r>
                                <w:r>
                                  <w:rPr>
                                    <w:rFonts w:ascii="Arial"/>
                                    <w:spacing w:val="3"/>
                                    <w:sz w:val="18"/>
                                  </w:rPr>
                                  <w:t xml:space="preserve"> </w:t>
                                </w:r>
                                <w:r>
                                  <w:rPr>
                                    <w:rFonts w:ascii="Arial"/>
                                    <w:spacing w:val="-1"/>
                                    <w:sz w:val="18"/>
                                  </w:rPr>
                                  <w:t>you</w:t>
                                </w:r>
                                <w:r>
                                  <w:rPr>
                                    <w:rFonts w:ascii="Arial"/>
                                    <w:spacing w:val="3"/>
                                    <w:sz w:val="18"/>
                                  </w:rPr>
                                  <w:t xml:space="preserve"> </w:t>
                                </w:r>
                                <w:r>
                                  <w:rPr>
                                    <w:rFonts w:ascii="Arial"/>
                                    <w:spacing w:val="-1"/>
                                    <w:sz w:val="18"/>
                                  </w:rPr>
                                  <w:t>want</w:t>
                                </w:r>
                                <w:r>
                                  <w:rPr>
                                    <w:rFonts w:ascii="Arial"/>
                                    <w:spacing w:val="3"/>
                                    <w:sz w:val="18"/>
                                  </w:rPr>
                                  <w:t xml:space="preserve"> </w:t>
                                </w:r>
                                <w:r>
                                  <w:rPr>
                                    <w:rFonts w:ascii="Arial"/>
                                    <w:spacing w:val="-1"/>
                                    <w:sz w:val="18"/>
                                  </w:rPr>
                                  <w:t>the</w:t>
                                </w:r>
                                <w:r>
                                  <w:rPr>
                                    <w:rFonts w:ascii="Arial"/>
                                    <w:spacing w:val="3"/>
                                    <w:sz w:val="18"/>
                                  </w:rPr>
                                  <w:t xml:space="preserve"> </w:t>
                                </w:r>
                                <w:r>
                                  <w:rPr>
                                    <w:rFonts w:ascii="Arial"/>
                                    <w:spacing w:val="-1"/>
                                    <w:sz w:val="18"/>
                                  </w:rPr>
                                  <w:t>Supplier</w:t>
                                </w:r>
                                <w:r>
                                  <w:rPr>
                                    <w:rFonts w:ascii="Arial"/>
                                    <w:spacing w:val="2"/>
                                    <w:sz w:val="18"/>
                                  </w:rPr>
                                  <w:t xml:space="preserve"> </w:t>
                                </w:r>
                                <w:r>
                                  <w:rPr>
                                    <w:rFonts w:ascii="Arial"/>
                                    <w:spacing w:val="-1"/>
                                    <w:sz w:val="18"/>
                                  </w:rPr>
                                  <w:t>shall</w:t>
                                </w:r>
                                <w:r>
                                  <w:rPr>
                                    <w:rFonts w:ascii="Arial"/>
                                    <w:spacing w:val="3"/>
                                    <w:sz w:val="18"/>
                                  </w:rPr>
                                  <w:t xml:space="preserve"> </w:t>
                                </w:r>
                                <w:r>
                                  <w:rPr>
                                    <w:rFonts w:ascii="Arial"/>
                                    <w:spacing w:val="-1"/>
                                    <w:sz w:val="18"/>
                                  </w:rPr>
                                  <w:t>ensure</w:t>
                                </w:r>
                                <w:r>
                                  <w:rPr>
                                    <w:rFonts w:ascii="Arial"/>
                                    <w:spacing w:val="3"/>
                                    <w:sz w:val="18"/>
                                  </w:rPr>
                                  <w:t xml:space="preserve"> </w:t>
                                </w:r>
                                <w:r>
                                  <w:rPr>
                                    <w:rFonts w:ascii="Arial"/>
                                    <w:spacing w:val="-1"/>
                                    <w:sz w:val="18"/>
                                  </w:rPr>
                                  <w:t>that</w:t>
                                </w:r>
                                <w:r>
                                  <w:rPr>
                                    <w:rFonts w:ascii="Arial"/>
                                    <w:spacing w:val="3"/>
                                    <w:sz w:val="18"/>
                                  </w:rPr>
                                  <w:t xml:space="preserve"> </w:t>
                                </w:r>
                                <w:r>
                                  <w:rPr>
                                    <w:rFonts w:ascii="Arial"/>
                                    <w:spacing w:val="-1"/>
                                    <w:sz w:val="18"/>
                                  </w:rPr>
                                  <w:t>no</w:t>
                                </w:r>
                                <w:r>
                                  <w:rPr>
                                    <w:rFonts w:ascii="Arial"/>
                                    <w:spacing w:val="3"/>
                                    <w:sz w:val="18"/>
                                  </w:rPr>
                                  <w:t xml:space="preserve"> </w:t>
                                </w:r>
                                <w:r>
                                  <w:rPr>
                                    <w:rFonts w:ascii="Arial"/>
                                    <w:spacing w:val="-1"/>
                                    <w:sz w:val="18"/>
                                  </w:rPr>
                                  <w:t>person</w:t>
                                </w:r>
                                <w:r>
                                  <w:rPr>
                                    <w:rFonts w:ascii="Arial"/>
                                    <w:spacing w:val="3"/>
                                    <w:sz w:val="18"/>
                                  </w:rPr>
                                  <w:t xml:space="preserve"> </w:t>
                                </w:r>
                                <w:r>
                                  <w:rPr>
                                    <w:rFonts w:ascii="Arial"/>
                                    <w:spacing w:val="-1"/>
                                    <w:sz w:val="18"/>
                                  </w:rPr>
                                  <w:t>with</w:t>
                                </w:r>
                                <w:r>
                                  <w:rPr>
                                    <w:rFonts w:ascii="Arial"/>
                                    <w:spacing w:val="1"/>
                                    <w:sz w:val="18"/>
                                  </w:rPr>
                                  <w:t xml:space="preserve"> </w:t>
                                </w:r>
                                <w:r>
                                  <w:rPr>
                                    <w:rFonts w:ascii="Arial"/>
                                    <w:sz w:val="18"/>
                                  </w:rPr>
                                  <w:t>a</w:t>
                                </w:r>
                                <w:r>
                                  <w:rPr>
                                    <w:rFonts w:ascii="Arial"/>
                                    <w:spacing w:val="3"/>
                                    <w:sz w:val="18"/>
                                  </w:rPr>
                                  <w:t xml:space="preserve"> </w:t>
                                </w:r>
                                <w:r>
                                  <w:rPr>
                                    <w:rFonts w:ascii="Arial"/>
                                    <w:spacing w:val="-1"/>
                                    <w:sz w:val="18"/>
                                  </w:rPr>
                                  <w:t>Relevant</w:t>
                                </w:r>
                                <w:r>
                                  <w:rPr>
                                    <w:rFonts w:ascii="Arial"/>
                                    <w:spacing w:val="63"/>
                                    <w:sz w:val="18"/>
                                  </w:rPr>
                                  <w:t xml:space="preserve"> </w:t>
                                </w:r>
                                <w:r>
                                  <w:rPr>
                                    <w:rFonts w:ascii="Arial"/>
                                    <w:spacing w:val="-1"/>
                                    <w:sz w:val="18"/>
                                  </w:rPr>
                                  <w:t>Conviction</w:t>
                                </w:r>
                                <w:r>
                                  <w:rPr>
                                    <w:rFonts w:ascii="Arial"/>
                                    <w:spacing w:val="1"/>
                                    <w:sz w:val="18"/>
                                  </w:rPr>
                                  <w:t xml:space="preserve"> </w:t>
                                </w:r>
                                <w:r>
                                  <w:rPr>
                                    <w:rFonts w:ascii="Arial"/>
                                    <w:spacing w:val="-1"/>
                                    <w:sz w:val="18"/>
                                  </w:rPr>
                                  <w:t>is</w:t>
                                </w:r>
                                <w:r>
                                  <w:rPr>
                                    <w:rFonts w:ascii="Arial"/>
                                    <w:spacing w:val="1"/>
                                    <w:sz w:val="18"/>
                                  </w:rPr>
                                  <w:t xml:space="preserve"> </w:t>
                                </w:r>
                                <w:r>
                                  <w:rPr>
                                    <w:rFonts w:ascii="Arial"/>
                                    <w:spacing w:val="-1"/>
                                    <w:sz w:val="18"/>
                                  </w:rPr>
                                  <w:t>used</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provision</w:t>
                                </w:r>
                                <w:r>
                                  <w:rPr>
                                    <w:rFonts w:ascii="Arial"/>
                                    <w:spacing w:val="-2"/>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Goods and/or</w:t>
                                </w:r>
                                <w:r>
                                  <w:rPr>
                                    <w:rFonts w:ascii="Arial"/>
                                    <w:sz w:val="18"/>
                                  </w:rPr>
                                  <w:t xml:space="preserve"> </w:t>
                                </w:r>
                                <w:r>
                                  <w:rPr>
                                    <w:rFonts w:ascii="Arial"/>
                                    <w:spacing w:val="-1"/>
                                    <w:sz w:val="18"/>
                                  </w:rPr>
                                  <w:t>Services</w:t>
                                </w:r>
                                <w:r>
                                  <w:rPr>
                                    <w:rFonts w:ascii="Arial"/>
                                    <w:spacing w:val="1"/>
                                    <w:sz w:val="18"/>
                                  </w:rPr>
                                  <w:t xml:space="preserve"> </w:t>
                                </w:r>
                                <w:r>
                                  <w:rPr>
                                    <w:rFonts w:ascii="Arial"/>
                                    <w:spacing w:val="-1"/>
                                    <w:sz w:val="18"/>
                                  </w:rPr>
                                  <w:t>without</w:t>
                                </w:r>
                                <w:r>
                                  <w:rPr>
                                    <w:rFonts w:ascii="Arial"/>
                                    <w:sz w:val="18"/>
                                  </w:rPr>
                                  <w:t xml:space="preserve"> </w:t>
                                </w:r>
                                <w:r w:rsidR="001C1527">
                                  <w:rPr>
                                    <w:rFonts w:ascii="Arial"/>
                                    <w:spacing w:val="-1"/>
                                    <w:sz w:val="18"/>
                                  </w:rPr>
                                  <w:t>Approval</w:t>
                                </w:r>
                                <w:r w:rsidR="001C1527">
                                  <w:rPr>
                                    <w:rFonts w:ascii="Arial"/>
                                    <w:spacing w:val="1"/>
                                    <w:sz w:val="18"/>
                                  </w:rPr>
                                  <w:t>]</w:t>
                                </w:r>
                              </w:p>
                            </w:txbxContent>
                          </wps:txbx>
                          <wps:bodyPr rot="0" vert="horz" wrap="square" lIns="0" tIns="0" rIns="0" bIns="0" anchor="t" anchorCtr="0" upright="1">
                            <a:noAutofit/>
                          </wps:bodyPr>
                        </wps:wsp>
                      </wpg:grpSp>
                    </wpg:wgp>
                  </a:graphicData>
                </a:graphic>
              </wp:inline>
            </w:drawing>
          </mc:Choice>
          <mc:Fallback>
            <w:pict>
              <v:group w14:anchorId="110C1631" id="Group 7186" o:spid="_x0000_s1092" style="width:445.55pt;height:21.8pt;mso-position-horizontal-relative:char;mso-position-vertical-relative:line" coordsize="89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">
                <v:group id="Group 7190" o:spid="_x0000_s1093" style="position:absolute;left:187;top:20;width:8722;height:209" coordorigin="187,20" coordsize="872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Kqw8YAAADdAAAADwAAAGRycy9kb3ducmV2LnhtbESPQWvCQBSE74X+h+UV&#10;etNNKtqauoqIigcpNAri7ZF9JsHs25DdJvHfu4LQ4zAz3zCzRW8q0VLjSssK4mEEgjizuuRcwfGw&#10;GXyBcB5ZY2WZFNzIwWL++jLDRNuOf6lNfS4ChF2CCgrv60RKlxVk0A1tTRy8i20M+iCbXOoGuwA3&#10;lfyIook0WHJYKLCmVUHZNf0zCrYddstRvG7318vqdj6Mf077mJR6f+uX3yA89f4//GzvtILP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0qrDxgAAAN0A&#10;AAAPAAAAAAAAAAAAAAAAAKoCAABkcnMvZG93bnJldi54bWxQSwUGAAAAAAQABAD6AAAAnQMAAAAA&#10;">
                  <v:shape id="Freeform 7191" o:spid="_x0000_s1094" style="position:absolute;left:187;top:20;width:8722;height:209;visibility:visible;mso-wrap-style:square;v-text-anchor:top" coordsize="872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cLcQA&#10;AADdAAAADwAAAGRycy9kb3ducmV2LnhtbESPQWvCQBSE70L/w/IK3nSzUkybukoRLB4EMYaeH9nX&#10;JG32bciuGv+9Kwgeh5n5hlmsBtuKM/W+caxBTRMQxKUzDVcaiuNm8g7CB2SDrWPScCUPq+XLaIGZ&#10;cRc+0DkPlYgQ9hlqqEPoMil9WZNFP3UdcfR+XW8xRNlX0vR4iXDbylmSzKXFhuNCjR2tayr/85PV&#10;sCv+lFP79Y+kVH2nb57zdsZaj1+Hr08QgYbwDD/aW6MhVR9zuL+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HC3EAAAA3QAAAA8AAAAAAAAAAAAAAAAAmAIAAGRycy9k&#10;b3ducmV2LnhtbFBLBQYAAAAABAAEAPUAAACJAwAAAAA=&#10;" path="m,209r8722,l8722,,,,,209xe" fillcolor="lime" stroked="f">
                    <v:path arrowok="t" o:connecttype="custom" o:connectlocs="0,229;8722,229;8722,20;0,20;0,229" o:connectangles="0,0,0,0,0"/>
                  </v:shape>
                </v:group>
                <v:group id="Group 7187" o:spid="_x0000_s1095" style="position:absolute;top:229;width:6584;height:207" coordorigin=",229" coordsize="658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yRL8cAAADdAAAADwAAAGRycy9kb3ducmV2LnhtbESPQWvCQBSE74L/YXlC&#10;b3UTi7WNWUVEpQcpVAvF2yP7TEKyb0N2TeK/7xYKHoeZ+YZJ14OpRUetKy0riKcRCOLM6pJzBd/n&#10;/fMbCOeRNdaWScGdHKxX41GKibY9f1F38rkIEHYJKii8bxIpXVaQQTe1DXHwrrY16INsc6lb7APc&#10;1HIWRa/SYMlhocCGtgVl1elmFBx67Dcv8a47Vtft/XKef/4cY1LqaTJsliA8Df4R/m9/aAWL+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yRL8cAAADd&#10;AAAADwAAAAAAAAAAAAAAAACqAgAAZHJzL2Rvd25yZXYueG1sUEsFBgAAAAAEAAQA+gAAAJ4DAAAA&#10;AA==&#10;">
                  <v:shape id="Freeform 7189" o:spid="_x0000_s1096" style="position:absolute;top:229;width:6584;height:207;visibility:visible;mso-wrap-style:square;v-text-anchor:top" coordsize="658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udMMA&#10;AADdAAAADwAAAGRycy9kb3ducmV2LnhtbERPz2vCMBS+C/sfwht407QDN9cZSykIbtDD1N0fzbMt&#10;a166JNr2v18Ogx0/vt+7fDK9uJPznWUF6ToBQVxb3XGj4HI+rLYgfEDW2FsmBTN5yPcPix1m2o78&#10;SfdTaEQMYZ+hgjaEIZPS1y0Z9Gs7EEfuap3BEKFrpHY4xnDTy6ckeZYGO44NLQ5UtlR/n25GQfXh&#10;rpuylsUm3b5XX3NR/TSmUmr5OBVvIAJN4V/85z5qBS/pa5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dudMMAAADdAAAADwAAAAAAAAAAAAAAAACYAgAAZHJzL2Rv&#10;d25yZXYueG1sUEsFBgAAAAAEAAQA9QAAAIgDAAAAAA==&#10;" path="m,207r6583,l6583,,,,,207xe" fillcolor="lime" stroked="f">
                    <v:path arrowok="t" o:connecttype="custom" o:connectlocs="0,436;6583,436;6583,229;0,229;0,436" o:connectangles="0,0,0,0,0"/>
                  </v:shape>
                  <v:shape id="Text Box 7188" o:spid="_x0000_s1097" type="#_x0000_t202" style="position:absolute;width:891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oHcYA&#10;AADdAAAADwAAAGRycy9kb3ducmV2LnhtbESPQWvCQBSE7wX/w/KE3upGD9pEVxGpIBSKMT14fGaf&#10;yWL2bZpdNf33rlDocZiZb5jFqreNuFHnjWMF41ECgrh02nCl4LvYvr2D8AFZY+OYFPySh9Vy8LLA&#10;TLs753Q7hEpECPsMFdQhtJmUvqzJoh+5ljh6Z9dZDFF2ldQd3iPcNnKSJFNp0XBcqLGlTU3l5XC1&#10;CtZHzj/Mz9dpn59zUxRpwp/Ti1Kvw349BxGoD//hv/ZOK5iN0xS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2oHcYAAADdAAAADwAAAAAAAAAAAAAAAACYAgAAZHJz&#10;L2Rvd25yZXYueG1sUEsFBgAAAAAEAAQA9QAAAIsDAAAAAA==&#10;" filled="f" stroked="f">
                    <v:textbox inset="0,0,0,0">
                      <w:txbxContent>
                        <w:p w:rsidR="005D2B81" w:rsidRDefault="005D2B81" w:rsidP="008918FA">
                          <w:pPr>
                            <w:spacing w:before="22" w:line="208" w:lineRule="exact"/>
                            <w:rPr>
                              <w:rFonts w:ascii="Arial" w:eastAsia="Arial" w:hAnsi="Arial" w:cs="Arial"/>
                              <w:sz w:val="18"/>
                              <w:szCs w:val="18"/>
                            </w:rPr>
                          </w:pPr>
                          <w:r>
                            <w:rPr>
                              <w:rFonts w:ascii="Arial"/>
                              <w:position w:val="9"/>
                              <w:sz w:val="12"/>
                            </w:rPr>
                            <w:t>32</w:t>
                          </w:r>
                          <w:r>
                            <w:rPr>
                              <w:rFonts w:ascii="Arial"/>
                              <w:spacing w:val="19"/>
                              <w:position w:val="9"/>
                              <w:sz w:val="12"/>
                            </w:rPr>
                            <w:t xml:space="preserve"> </w:t>
                          </w:r>
                          <w:bookmarkStart w:id="29" w:name="_bookmark32"/>
                          <w:bookmarkEnd w:id="29"/>
                          <w:r>
                            <w:rPr>
                              <w:rFonts w:ascii="Arial"/>
                              <w:sz w:val="18"/>
                            </w:rPr>
                            <w:t>[See</w:t>
                          </w:r>
                          <w:r>
                            <w:rPr>
                              <w:rFonts w:ascii="Arial"/>
                              <w:spacing w:val="3"/>
                              <w:sz w:val="18"/>
                            </w:rPr>
                            <w:t xml:space="preserve"> </w:t>
                          </w:r>
                          <w:r>
                            <w:rPr>
                              <w:rFonts w:ascii="Arial"/>
                              <w:spacing w:val="-1"/>
                              <w:sz w:val="18"/>
                            </w:rPr>
                            <w:t>Claus</w:t>
                          </w:r>
                          <w:hyperlink w:anchor="_bookmark141" w:history="1">
                            <w:r>
                              <w:rPr>
                                <w:rFonts w:ascii="Arial"/>
                                <w:spacing w:val="-1"/>
                                <w:sz w:val="18"/>
                              </w:rPr>
                              <w:t>e27.2.1.</w:t>
                            </w:r>
                          </w:hyperlink>
                          <w:r>
                            <w:rPr>
                              <w:rFonts w:ascii="Arial"/>
                              <w:sz w:val="18"/>
                            </w:rPr>
                            <w:t xml:space="preserve"> </w:t>
                          </w:r>
                          <w:r>
                            <w:rPr>
                              <w:rFonts w:ascii="Arial"/>
                              <w:spacing w:val="-1"/>
                              <w:sz w:val="18"/>
                            </w:rPr>
                            <w:t>Switch</w:t>
                          </w:r>
                          <w:r>
                            <w:rPr>
                              <w:rFonts w:ascii="Arial"/>
                              <w:spacing w:val="3"/>
                              <w:sz w:val="18"/>
                            </w:rPr>
                            <w:t xml:space="preserve"> </w:t>
                          </w:r>
                          <w:r>
                            <w:rPr>
                              <w:rFonts w:ascii="Arial"/>
                              <w:spacing w:val="-1"/>
                              <w:sz w:val="18"/>
                            </w:rPr>
                            <w:t>this</w:t>
                          </w:r>
                          <w:r>
                            <w:rPr>
                              <w:rFonts w:ascii="Arial"/>
                              <w:spacing w:val="3"/>
                              <w:sz w:val="18"/>
                            </w:rPr>
                            <w:t xml:space="preserve"> </w:t>
                          </w:r>
                          <w:r>
                            <w:rPr>
                              <w:rFonts w:ascii="Arial"/>
                              <w:spacing w:val="-1"/>
                              <w:sz w:val="18"/>
                            </w:rPr>
                            <w:t>clause</w:t>
                          </w:r>
                          <w:r>
                            <w:rPr>
                              <w:rFonts w:ascii="Arial"/>
                              <w:spacing w:val="1"/>
                              <w:sz w:val="18"/>
                            </w:rPr>
                            <w:t xml:space="preserve"> </w:t>
                          </w:r>
                          <w:r>
                            <w:rPr>
                              <w:rFonts w:ascii="Arial"/>
                              <w:sz w:val="18"/>
                            </w:rPr>
                            <w:t>on</w:t>
                          </w:r>
                          <w:r>
                            <w:rPr>
                              <w:rFonts w:ascii="Arial"/>
                              <w:spacing w:val="3"/>
                              <w:sz w:val="18"/>
                            </w:rPr>
                            <w:t xml:space="preserve"> </w:t>
                          </w:r>
                          <w:r>
                            <w:rPr>
                              <w:rFonts w:ascii="Arial"/>
                              <w:spacing w:val="-1"/>
                              <w:sz w:val="18"/>
                            </w:rPr>
                            <w:t>if</w:t>
                          </w:r>
                          <w:r>
                            <w:rPr>
                              <w:rFonts w:ascii="Arial"/>
                              <w:spacing w:val="3"/>
                              <w:sz w:val="18"/>
                            </w:rPr>
                            <w:t xml:space="preserve"> </w:t>
                          </w:r>
                          <w:r>
                            <w:rPr>
                              <w:rFonts w:ascii="Arial"/>
                              <w:spacing w:val="-1"/>
                              <w:sz w:val="18"/>
                            </w:rPr>
                            <w:t>you</w:t>
                          </w:r>
                          <w:r>
                            <w:rPr>
                              <w:rFonts w:ascii="Arial"/>
                              <w:spacing w:val="3"/>
                              <w:sz w:val="18"/>
                            </w:rPr>
                            <w:t xml:space="preserve"> </w:t>
                          </w:r>
                          <w:r>
                            <w:rPr>
                              <w:rFonts w:ascii="Arial"/>
                              <w:spacing w:val="-1"/>
                              <w:sz w:val="18"/>
                            </w:rPr>
                            <w:t>want</w:t>
                          </w:r>
                          <w:r>
                            <w:rPr>
                              <w:rFonts w:ascii="Arial"/>
                              <w:spacing w:val="3"/>
                              <w:sz w:val="18"/>
                            </w:rPr>
                            <w:t xml:space="preserve"> </w:t>
                          </w:r>
                          <w:r>
                            <w:rPr>
                              <w:rFonts w:ascii="Arial"/>
                              <w:spacing w:val="-1"/>
                              <w:sz w:val="18"/>
                            </w:rPr>
                            <w:t>the</w:t>
                          </w:r>
                          <w:r>
                            <w:rPr>
                              <w:rFonts w:ascii="Arial"/>
                              <w:spacing w:val="3"/>
                              <w:sz w:val="18"/>
                            </w:rPr>
                            <w:t xml:space="preserve"> </w:t>
                          </w:r>
                          <w:r>
                            <w:rPr>
                              <w:rFonts w:ascii="Arial"/>
                              <w:spacing w:val="-1"/>
                              <w:sz w:val="18"/>
                            </w:rPr>
                            <w:t>Supplier</w:t>
                          </w:r>
                          <w:r>
                            <w:rPr>
                              <w:rFonts w:ascii="Arial"/>
                              <w:spacing w:val="2"/>
                              <w:sz w:val="18"/>
                            </w:rPr>
                            <w:t xml:space="preserve"> </w:t>
                          </w:r>
                          <w:r>
                            <w:rPr>
                              <w:rFonts w:ascii="Arial"/>
                              <w:spacing w:val="-1"/>
                              <w:sz w:val="18"/>
                            </w:rPr>
                            <w:t>shall</w:t>
                          </w:r>
                          <w:r>
                            <w:rPr>
                              <w:rFonts w:ascii="Arial"/>
                              <w:spacing w:val="3"/>
                              <w:sz w:val="18"/>
                            </w:rPr>
                            <w:t xml:space="preserve"> </w:t>
                          </w:r>
                          <w:r>
                            <w:rPr>
                              <w:rFonts w:ascii="Arial"/>
                              <w:spacing w:val="-1"/>
                              <w:sz w:val="18"/>
                            </w:rPr>
                            <w:t>ensure</w:t>
                          </w:r>
                          <w:r>
                            <w:rPr>
                              <w:rFonts w:ascii="Arial"/>
                              <w:spacing w:val="3"/>
                              <w:sz w:val="18"/>
                            </w:rPr>
                            <w:t xml:space="preserve"> </w:t>
                          </w:r>
                          <w:r>
                            <w:rPr>
                              <w:rFonts w:ascii="Arial"/>
                              <w:spacing w:val="-1"/>
                              <w:sz w:val="18"/>
                            </w:rPr>
                            <w:t>that</w:t>
                          </w:r>
                          <w:r>
                            <w:rPr>
                              <w:rFonts w:ascii="Arial"/>
                              <w:spacing w:val="3"/>
                              <w:sz w:val="18"/>
                            </w:rPr>
                            <w:t xml:space="preserve"> </w:t>
                          </w:r>
                          <w:r>
                            <w:rPr>
                              <w:rFonts w:ascii="Arial"/>
                              <w:spacing w:val="-1"/>
                              <w:sz w:val="18"/>
                            </w:rPr>
                            <w:t>no</w:t>
                          </w:r>
                          <w:r>
                            <w:rPr>
                              <w:rFonts w:ascii="Arial"/>
                              <w:spacing w:val="3"/>
                              <w:sz w:val="18"/>
                            </w:rPr>
                            <w:t xml:space="preserve"> </w:t>
                          </w:r>
                          <w:r>
                            <w:rPr>
                              <w:rFonts w:ascii="Arial"/>
                              <w:spacing w:val="-1"/>
                              <w:sz w:val="18"/>
                            </w:rPr>
                            <w:t>person</w:t>
                          </w:r>
                          <w:r>
                            <w:rPr>
                              <w:rFonts w:ascii="Arial"/>
                              <w:spacing w:val="3"/>
                              <w:sz w:val="18"/>
                            </w:rPr>
                            <w:t xml:space="preserve"> </w:t>
                          </w:r>
                          <w:r>
                            <w:rPr>
                              <w:rFonts w:ascii="Arial"/>
                              <w:spacing w:val="-1"/>
                              <w:sz w:val="18"/>
                            </w:rPr>
                            <w:t>with</w:t>
                          </w:r>
                          <w:r>
                            <w:rPr>
                              <w:rFonts w:ascii="Arial"/>
                              <w:spacing w:val="1"/>
                              <w:sz w:val="18"/>
                            </w:rPr>
                            <w:t xml:space="preserve"> </w:t>
                          </w:r>
                          <w:r>
                            <w:rPr>
                              <w:rFonts w:ascii="Arial"/>
                              <w:sz w:val="18"/>
                            </w:rPr>
                            <w:t>a</w:t>
                          </w:r>
                          <w:r>
                            <w:rPr>
                              <w:rFonts w:ascii="Arial"/>
                              <w:spacing w:val="3"/>
                              <w:sz w:val="18"/>
                            </w:rPr>
                            <w:t xml:space="preserve"> </w:t>
                          </w:r>
                          <w:r>
                            <w:rPr>
                              <w:rFonts w:ascii="Arial"/>
                              <w:spacing w:val="-1"/>
                              <w:sz w:val="18"/>
                            </w:rPr>
                            <w:t>Relevant</w:t>
                          </w:r>
                          <w:r>
                            <w:rPr>
                              <w:rFonts w:ascii="Arial"/>
                              <w:spacing w:val="63"/>
                              <w:sz w:val="18"/>
                            </w:rPr>
                            <w:t xml:space="preserve"> </w:t>
                          </w:r>
                          <w:r>
                            <w:rPr>
                              <w:rFonts w:ascii="Arial"/>
                              <w:spacing w:val="-1"/>
                              <w:sz w:val="18"/>
                            </w:rPr>
                            <w:t>Conviction</w:t>
                          </w:r>
                          <w:r>
                            <w:rPr>
                              <w:rFonts w:ascii="Arial"/>
                              <w:spacing w:val="1"/>
                              <w:sz w:val="18"/>
                            </w:rPr>
                            <w:t xml:space="preserve"> </w:t>
                          </w:r>
                          <w:r>
                            <w:rPr>
                              <w:rFonts w:ascii="Arial"/>
                              <w:spacing w:val="-1"/>
                              <w:sz w:val="18"/>
                            </w:rPr>
                            <w:t>is</w:t>
                          </w:r>
                          <w:r>
                            <w:rPr>
                              <w:rFonts w:ascii="Arial"/>
                              <w:spacing w:val="1"/>
                              <w:sz w:val="18"/>
                            </w:rPr>
                            <w:t xml:space="preserve"> </w:t>
                          </w:r>
                          <w:r>
                            <w:rPr>
                              <w:rFonts w:ascii="Arial"/>
                              <w:spacing w:val="-1"/>
                              <w:sz w:val="18"/>
                            </w:rPr>
                            <w:t>used</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provision</w:t>
                          </w:r>
                          <w:r>
                            <w:rPr>
                              <w:rFonts w:ascii="Arial"/>
                              <w:spacing w:val="-2"/>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Goods and/or</w:t>
                          </w:r>
                          <w:r>
                            <w:rPr>
                              <w:rFonts w:ascii="Arial"/>
                              <w:sz w:val="18"/>
                            </w:rPr>
                            <w:t xml:space="preserve"> </w:t>
                          </w:r>
                          <w:r>
                            <w:rPr>
                              <w:rFonts w:ascii="Arial"/>
                              <w:spacing w:val="-1"/>
                              <w:sz w:val="18"/>
                            </w:rPr>
                            <w:t>Services</w:t>
                          </w:r>
                          <w:r>
                            <w:rPr>
                              <w:rFonts w:ascii="Arial"/>
                              <w:spacing w:val="1"/>
                              <w:sz w:val="18"/>
                            </w:rPr>
                            <w:t xml:space="preserve"> </w:t>
                          </w:r>
                          <w:r>
                            <w:rPr>
                              <w:rFonts w:ascii="Arial"/>
                              <w:spacing w:val="-1"/>
                              <w:sz w:val="18"/>
                            </w:rPr>
                            <w:t>without</w:t>
                          </w:r>
                          <w:r>
                            <w:rPr>
                              <w:rFonts w:ascii="Arial"/>
                              <w:sz w:val="18"/>
                            </w:rPr>
                            <w:t xml:space="preserve"> </w:t>
                          </w:r>
                          <w:r w:rsidR="001C1527">
                            <w:rPr>
                              <w:rFonts w:ascii="Arial"/>
                              <w:spacing w:val="-1"/>
                              <w:sz w:val="18"/>
                            </w:rPr>
                            <w:t>Approval</w:t>
                          </w:r>
                          <w:r w:rsidR="001C1527">
                            <w:rPr>
                              <w:rFonts w:ascii="Arial"/>
                              <w:spacing w:val="1"/>
                              <w:sz w:val="18"/>
                            </w:rPr>
                            <w:t>]</w:t>
                          </w:r>
                        </w:p>
                      </w:txbxContent>
                    </v:textbox>
                  </v:shape>
                </v:group>
                <w10:anchorlock/>
              </v:group>
            </w:pict>
          </mc:Fallback>
        </mc:AlternateContent>
      </w:r>
    </w:p>
    <w:p w:rsidR="008918FA" w:rsidRDefault="008918FA" w:rsidP="008918FA">
      <w:pPr>
        <w:spacing w:before="8"/>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2549689F" wp14:editId="0C3F5589">
                <wp:extent cx="5658485" cy="275590"/>
                <wp:effectExtent l="3810" t="1270" r="0" b="0"/>
                <wp:docPr id="7188" name="Group 7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275590"/>
                          <a:chOff x="0" y="0"/>
                          <a:chExt cx="8911" cy="434"/>
                        </a:xfrm>
                      </wpg:grpSpPr>
                      <wpg:grpSp>
                        <wpg:cNvPr id="7189" name="Group 7184"/>
                        <wpg:cNvGrpSpPr>
                          <a:grpSpLocks/>
                        </wpg:cNvGrpSpPr>
                        <wpg:grpSpPr bwMode="auto">
                          <a:xfrm>
                            <a:off x="192" y="20"/>
                            <a:ext cx="8717" cy="207"/>
                            <a:chOff x="192" y="20"/>
                            <a:chExt cx="8717" cy="207"/>
                          </a:xfrm>
                        </wpg:grpSpPr>
                        <wps:wsp>
                          <wps:cNvPr id="7190" name="Freeform 7185"/>
                          <wps:cNvSpPr>
                            <a:spLocks/>
                          </wps:cNvSpPr>
                          <wps:spPr bwMode="auto">
                            <a:xfrm>
                              <a:off x="192" y="20"/>
                              <a:ext cx="8717" cy="207"/>
                            </a:xfrm>
                            <a:custGeom>
                              <a:avLst/>
                              <a:gdLst>
                                <a:gd name="T0" fmla="+- 0 192 192"/>
                                <a:gd name="T1" fmla="*/ T0 w 8717"/>
                                <a:gd name="T2" fmla="+- 0 227 20"/>
                                <a:gd name="T3" fmla="*/ 227 h 207"/>
                                <a:gd name="T4" fmla="+- 0 8909 192"/>
                                <a:gd name="T5" fmla="*/ T4 w 8717"/>
                                <a:gd name="T6" fmla="+- 0 227 20"/>
                                <a:gd name="T7" fmla="*/ 227 h 207"/>
                                <a:gd name="T8" fmla="+- 0 8909 192"/>
                                <a:gd name="T9" fmla="*/ T8 w 8717"/>
                                <a:gd name="T10" fmla="+- 0 20 20"/>
                                <a:gd name="T11" fmla="*/ 20 h 207"/>
                                <a:gd name="T12" fmla="+- 0 192 192"/>
                                <a:gd name="T13" fmla="*/ T12 w 8717"/>
                                <a:gd name="T14" fmla="+- 0 20 20"/>
                                <a:gd name="T15" fmla="*/ 20 h 207"/>
                                <a:gd name="T16" fmla="+- 0 192 192"/>
                                <a:gd name="T17" fmla="*/ T16 w 8717"/>
                                <a:gd name="T18" fmla="+- 0 227 20"/>
                                <a:gd name="T19" fmla="*/ 227 h 207"/>
                              </a:gdLst>
                              <a:ahLst/>
                              <a:cxnLst>
                                <a:cxn ang="0">
                                  <a:pos x="T1" y="T3"/>
                                </a:cxn>
                                <a:cxn ang="0">
                                  <a:pos x="T5" y="T7"/>
                                </a:cxn>
                                <a:cxn ang="0">
                                  <a:pos x="T9" y="T11"/>
                                </a:cxn>
                                <a:cxn ang="0">
                                  <a:pos x="T13" y="T15"/>
                                </a:cxn>
                                <a:cxn ang="0">
                                  <a:pos x="T17" y="T19"/>
                                </a:cxn>
                              </a:cxnLst>
                              <a:rect l="0" t="0" r="r" b="b"/>
                              <a:pathLst>
                                <a:path w="8717" h="207">
                                  <a:moveTo>
                                    <a:pt x="0" y="207"/>
                                  </a:moveTo>
                                  <a:lnTo>
                                    <a:pt x="8717" y="207"/>
                                  </a:lnTo>
                                  <a:lnTo>
                                    <a:pt x="8717"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1" name="Group 7181"/>
                        <wpg:cNvGrpSpPr>
                          <a:grpSpLocks/>
                        </wpg:cNvGrpSpPr>
                        <wpg:grpSpPr bwMode="auto">
                          <a:xfrm>
                            <a:off x="0" y="227"/>
                            <a:ext cx="8909" cy="207"/>
                            <a:chOff x="0" y="227"/>
                            <a:chExt cx="8909" cy="207"/>
                          </a:xfrm>
                        </wpg:grpSpPr>
                        <wps:wsp>
                          <wps:cNvPr id="7192" name="Freeform 7183"/>
                          <wps:cNvSpPr>
                            <a:spLocks/>
                          </wps:cNvSpPr>
                          <wps:spPr bwMode="auto">
                            <a:xfrm>
                              <a:off x="0" y="227"/>
                              <a:ext cx="8909" cy="207"/>
                            </a:xfrm>
                            <a:custGeom>
                              <a:avLst/>
                              <a:gdLst>
                                <a:gd name="T0" fmla="*/ 0 w 8909"/>
                                <a:gd name="T1" fmla="+- 0 433 227"/>
                                <a:gd name="T2" fmla="*/ 433 h 207"/>
                                <a:gd name="T3" fmla="*/ 8909 w 8909"/>
                                <a:gd name="T4" fmla="+- 0 433 227"/>
                                <a:gd name="T5" fmla="*/ 433 h 207"/>
                                <a:gd name="T6" fmla="*/ 8909 w 8909"/>
                                <a:gd name="T7" fmla="+- 0 227 227"/>
                                <a:gd name="T8" fmla="*/ 227 h 207"/>
                                <a:gd name="T9" fmla="*/ 0 w 8909"/>
                                <a:gd name="T10" fmla="+- 0 227 227"/>
                                <a:gd name="T11" fmla="*/ 227 h 207"/>
                                <a:gd name="T12" fmla="*/ 0 w 8909"/>
                                <a:gd name="T13" fmla="+- 0 433 227"/>
                                <a:gd name="T14" fmla="*/ 433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3" name="Text Box 7182"/>
                          <wps:cNvSpPr txBox="1">
                            <a:spLocks noChangeArrowheads="1"/>
                          </wps:cNvSpPr>
                          <wps:spPr bwMode="auto">
                            <a:xfrm>
                              <a:off x="0" y="0"/>
                              <a:ext cx="891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3" w:line="206" w:lineRule="exact"/>
                                  <w:rPr>
                                    <w:rFonts w:ascii="Arial" w:eastAsia="Arial" w:hAnsi="Arial" w:cs="Arial"/>
                                    <w:sz w:val="18"/>
                                    <w:szCs w:val="18"/>
                                  </w:rPr>
                                </w:pPr>
                                <w:r>
                                  <w:rPr>
                                    <w:rFonts w:ascii="Arial"/>
                                    <w:position w:val="9"/>
                                    <w:sz w:val="12"/>
                                  </w:rPr>
                                  <w:t>33</w:t>
                                </w:r>
                                <w:r>
                                  <w:rPr>
                                    <w:rFonts w:ascii="Arial"/>
                                    <w:spacing w:val="24"/>
                                    <w:position w:val="9"/>
                                    <w:sz w:val="12"/>
                                  </w:rPr>
                                  <w:t xml:space="preserve"> </w:t>
                                </w:r>
                                <w:bookmarkStart w:id="25" w:name="_bookmark33"/>
                                <w:bookmarkEnd w:id="25"/>
                                <w:r>
                                  <w:rPr>
                                    <w:rFonts w:ascii="Arial"/>
                                    <w:spacing w:val="-1"/>
                                    <w:sz w:val="18"/>
                                  </w:rPr>
                                  <w:t>[Guidance</w:t>
                                </w:r>
                                <w:r>
                                  <w:rPr>
                                    <w:rFonts w:ascii="Arial"/>
                                    <w:spacing w:val="8"/>
                                    <w:sz w:val="18"/>
                                  </w:rPr>
                                  <w:t xml:space="preserve"> </w:t>
                                </w:r>
                                <w:r>
                                  <w:rPr>
                                    <w:rFonts w:ascii="Arial"/>
                                    <w:spacing w:val="-1"/>
                                    <w:sz w:val="18"/>
                                  </w:rPr>
                                  <w:t>Note:</w:t>
                                </w:r>
                                <w:r>
                                  <w:rPr>
                                    <w:rFonts w:ascii="Arial"/>
                                    <w:spacing w:val="7"/>
                                    <w:sz w:val="18"/>
                                  </w:rPr>
                                  <w:t xml:space="preserve"> </w:t>
                                </w:r>
                                <w:r>
                                  <w:rPr>
                                    <w:rFonts w:ascii="Arial"/>
                                    <w:spacing w:val="-1"/>
                                    <w:sz w:val="18"/>
                                  </w:rPr>
                                  <w:t>Clause</w:t>
                                </w:r>
                                <w:r>
                                  <w:rPr>
                                    <w:rFonts w:ascii="Arial"/>
                                    <w:spacing w:val="8"/>
                                    <w:sz w:val="18"/>
                                  </w:rPr>
                                  <w:t xml:space="preserve"> </w:t>
                                </w:r>
                                <w:hyperlink w:anchor="_bookmark142" w:history="1">
                                  <w:r>
                                    <w:rPr>
                                      <w:rFonts w:ascii="Arial"/>
                                      <w:spacing w:val="-1"/>
                                      <w:sz w:val="18"/>
                                    </w:rPr>
                                    <w:t>28</w:t>
                                  </w:r>
                                </w:hyperlink>
                                <w:r>
                                  <w:rPr>
                                    <w:rFonts w:ascii="Arial"/>
                                    <w:spacing w:val="8"/>
                                    <w:sz w:val="18"/>
                                  </w:rPr>
                                  <w:t xml:space="preserve"> </w:t>
                                </w:r>
                                <w:r>
                                  <w:rPr>
                                    <w:rFonts w:ascii="Arial"/>
                                    <w:sz w:val="18"/>
                                  </w:rPr>
                                  <w:t>of</w:t>
                                </w:r>
                                <w:r>
                                  <w:rPr>
                                    <w:rFonts w:ascii="Arial"/>
                                    <w:spacing w:val="5"/>
                                    <w:sz w:val="18"/>
                                  </w:rPr>
                                  <w:t xml:space="preserve"> </w:t>
                                </w:r>
                                <w:r>
                                  <w:rPr>
                                    <w:rFonts w:ascii="Arial"/>
                                    <w:sz w:val="18"/>
                                  </w:rPr>
                                  <w:t>the</w:t>
                                </w:r>
                                <w:r>
                                  <w:rPr>
                                    <w:rFonts w:ascii="Arial"/>
                                    <w:spacing w:val="8"/>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Terms</w:t>
                                </w:r>
                                <w:r>
                                  <w:rPr>
                                    <w:rFonts w:ascii="Arial"/>
                                    <w:spacing w:val="8"/>
                                    <w:sz w:val="18"/>
                                  </w:rPr>
                                  <w:t xml:space="preserve"> </w:t>
                                </w:r>
                                <w:r>
                                  <w:rPr>
                                    <w:rFonts w:ascii="Arial"/>
                                    <w:sz w:val="18"/>
                                  </w:rPr>
                                  <w:t>and</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Schedule</w:t>
                                </w:r>
                                <w:r>
                                  <w:rPr>
                                    <w:rFonts w:ascii="Arial"/>
                                    <w:spacing w:val="8"/>
                                    <w:sz w:val="18"/>
                                  </w:rPr>
                                  <w:t xml:space="preserve"> </w:t>
                                </w:r>
                                <w:r>
                                  <w:rPr>
                                    <w:rFonts w:ascii="Arial"/>
                                    <w:sz w:val="18"/>
                                  </w:rPr>
                                  <w:t>11</w:t>
                                </w:r>
                                <w:r>
                                  <w:rPr>
                                    <w:rFonts w:ascii="Arial"/>
                                    <w:spacing w:val="7"/>
                                    <w:sz w:val="18"/>
                                  </w:rPr>
                                  <w:t xml:space="preserve"> </w:t>
                                </w:r>
                                <w:r>
                                  <w:rPr>
                                    <w:rFonts w:ascii="Arial"/>
                                    <w:spacing w:val="-1"/>
                                    <w:sz w:val="18"/>
                                  </w:rPr>
                                  <w:t>(Staff</w:t>
                                </w:r>
                                <w:r>
                                  <w:rPr>
                                    <w:rFonts w:ascii="Arial"/>
                                    <w:spacing w:val="7"/>
                                    <w:sz w:val="18"/>
                                  </w:rPr>
                                  <w:t xml:space="preserve"> </w:t>
                                </w:r>
                                <w:r>
                                  <w:rPr>
                                    <w:rFonts w:ascii="Arial"/>
                                    <w:spacing w:val="-1"/>
                                    <w:sz w:val="18"/>
                                  </w:rPr>
                                  <w:t>Transfer)</w:t>
                                </w:r>
                                <w:r>
                                  <w:rPr>
                                    <w:rFonts w:ascii="Arial"/>
                                    <w:spacing w:val="7"/>
                                    <w:sz w:val="18"/>
                                  </w:rPr>
                                  <w:t xml:space="preserve"> </w:t>
                                </w:r>
                                <w:r>
                                  <w:rPr>
                                    <w:rFonts w:ascii="Arial"/>
                                    <w:spacing w:val="-1"/>
                                    <w:sz w:val="18"/>
                                  </w:rPr>
                                  <w:t>relates</w:t>
                                </w:r>
                                <w:r>
                                  <w:rPr>
                                    <w:rFonts w:ascii="Arial"/>
                                    <w:spacing w:val="107"/>
                                    <w:sz w:val="18"/>
                                  </w:rPr>
                                  <w:t xml:space="preserve"> </w:t>
                                </w:r>
                                <w:r>
                                  <w:rPr>
                                    <w:rFonts w:ascii="Arial"/>
                                    <w:sz w:val="18"/>
                                  </w:rPr>
                                  <w:t>to</w:t>
                                </w:r>
                                <w:r>
                                  <w:rPr>
                                    <w:rFonts w:ascii="Arial"/>
                                    <w:spacing w:val="3"/>
                                    <w:sz w:val="18"/>
                                  </w:rPr>
                                  <w:t xml:space="preserve"> </w:t>
                                </w:r>
                                <w:r>
                                  <w:rPr>
                                    <w:rFonts w:ascii="Arial"/>
                                    <w:sz w:val="18"/>
                                  </w:rPr>
                                  <w:t>the</w:t>
                                </w:r>
                                <w:r>
                                  <w:rPr>
                                    <w:rFonts w:ascii="Arial"/>
                                    <w:spacing w:val="3"/>
                                    <w:sz w:val="18"/>
                                  </w:rPr>
                                  <w:t xml:space="preserve"> </w:t>
                                </w:r>
                                <w:r>
                                  <w:rPr>
                                    <w:rFonts w:ascii="Arial"/>
                                    <w:spacing w:val="-1"/>
                                    <w:sz w:val="18"/>
                                  </w:rPr>
                                  <w:t>transfer</w:t>
                                </w:r>
                                <w:r>
                                  <w:rPr>
                                    <w:rFonts w:ascii="Arial"/>
                                    <w:spacing w:val="2"/>
                                    <w:sz w:val="18"/>
                                  </w:rPr>
                                  <w:t xml:space="preserve"> </w:t>
                                </w:r>
                                <w:r>
                                  <w:rPr>
                                    <w:rFonts w:ascii="Arial"/>
                                    <w:sz w:val="18"/>
                                  </w:rPr>
                                  <w:t>of</w:t>
                                </w:r>
                                <w:r>
                                  <w:rPr>
                                    <w:rFonts w:ascii="Arial"/>
                                    <w:spacing w:val="3"/>
                                    <w:sz w:val="18"/>
                                  </w:rPr>
                                  <w:t xml:space="preserve"> </w:t>
                                </w:r>
                                <w:r>
                                  <w:rPr>
                                    <w:rFonts w:ascii="Arial"/>
                                    <w:spacing w:val="-1"/>
                                    <w:sz w:val="18"/>
                                  </w:rPr>
                                  <w:t>any</w:t>
                                </w:r>
                                <w:r>
                                  <w:rPr>
                                    <w:rFonts w:ascii="Arial"/>
                                    <w:spacing w:val="1"/>
                                    <w:sz w:val="18"/>
                                  </w:rPr>
                                  <w:t xml:space="preserve"> </w:t>
                                </w:r>
                                <w:r>
                                  <w:rPr>
                                    <w:rFonts w:ascii="Arial"/>
                                    <w:spacing w:val="-1"/>
                                    <w:sz w:val="18"/>
                                  </w:rPr>
                                  <w:t>employees</w:t>
                                </w:r>
                                <w:r>
                                  <w:rPr>
                                    <w:rFonts w:ascii="Arial"/>
                                    <w:spacing w:val="3"/>
                                    <w:sz w:val="18"/>
                                  </w:rPr>
                                  <w:t xml:space="preserve"> </w:t>
                                </w:r>
                                <w:r>
                                  <w:rPr>
                                    <w:rFonts w:ascii="Arial"/>
                                    <w:sz w:val="18"/>
                                  </w:rPr>
                                  <w:t>to</w:t>
                                </w:r>
                                <w:r>
                                  <w:rPr>
                                    <w:rFonts w:ascii="Arial"/>
                                    <w:spacing w:val="3"/>
                                    <w:sz w:val="18"/>
                                  </w:rPr>
                                  <w:t xml:space="preserve"> </w:t>
                                </w:r>
                                <w:r>
                                  <w:rPr>
                                    <w:rFonts w:ascii="Arial"/>
                                    <w:spacing w:val="-1"/>
                                    <w:sz w:val="18"/>
                                  </w:rPr>
                                  <w:t>the</w:t>
                                </w:r>
                                <w:r>
                                  <w:rPr>
                                    <w:rFonts w:ascii="Arial"/>
                                    <w:spacing w:val="3"/>
                                    <w:sz w:val="18"/>
                                  </w:rPr>
                                  <w:t xml:space="preserve"> </w:t>
                                </w:r>
                                <w:r>
                                  <w:rPr>
                                    <w:rFonts w:ascii="Arial"/>
                                    <w:spacing w:val="-1"/>
                                    <w:sz w:val="18"/>
                                  </w:rPr>
                                  <w:t>Supplier</w:t>
                                </w:r>
                                <w:r>
                                  <w:rPr>
                                    <w:rFonts w:ascii="Arial"/>
                                    <w:spacing w:val="2"/>
                                    <w:sz w:val="18"/>
                                  </w:rPr>
                                  <w:t xml:space="preserve"> </w:t>
                                </w:r>
                                <w:r>
                                  <w:rPr>
                                    <w:rFonts w:ascii="Arial"/>
                                    <w:spacing w:val="-1"/>
                                    <w:sz w:val="18"/>
                                  </w:rPr>
                                  <w:t>(incoming</w:t>
                                </w:r>
                                <w:r>
                                  <w:rPr>
                                    <w:rFonts w:ascii="Arial"/>
                                    <w:spacing w:val="1"/>
                                    <w:sz w:val="18"/>
                                  </w:rPr>
                                  <w:t xml:space="preserve"> </w:t>
                                </w:r>
                                <w:r>
                                  <w:rPr>
                                    <w:rFonts w:ascii="Arial"/>
                                    <w:spacing w:val="-1"/>
                                    <w:sz w:val="18"/>
                                  </w:rPr>
                                  <w:t>and</w:t>
                                </w:r>
                                <w:r>
                                  <w:rPr>
                                    <w:rFonts w:ascii="Arial"/>
                                    <w:spacing w:val="3"/>
                                    <w:sz w:val="18"/>
                                  </w:rPr>
                                  <w:t xml:space="preserve"> </w:t>
                                </w:r>
                                <w:r>
                                  <w:rPr>
                                    <w:rFonts w:ascii="Arial"/>
                                    <w:spacing w:val="-1"/>
                                    <w:sz w:val="18"/>
                                  </w:rPr>
                                  <w:t>outgoing)</w:t>
                                </w:r>
                                <w:r>
                                  <w:rPr>
                                    <w:rFonts w:ascii="Arial"/>
                                    <w:spacing w:val="2"/>
                                    <w:sz w:val="18"/>
                                  </w:rPr>
                                  <w:t xml:space="preserve"> </w:t>
                                </w:r>
                                <w:r>
                                  <w:rPr>
                                    <w:rFonts w:ascii="Arial"/>
                                    <w:sz w:val="18"/>
                                  </w:rPr>
                                  <w:t>in</w:t>
                                </w:r>
                                <w:r>
                                  <w:rPr>
                                    <w:rFonts w:ascii="Arial"/>
                                    <w:spacing w:val="3"/>
                                    <w:sz w:val="18"/>
                                  </w:rPr>
                                  <w:t xml:space="preserve"> </w:t>
                                </w:r>
                                <w:r>
                                  <w:rPr>
                                    <w:rFonts w:ascii="Arial"/>
                                    <w:spacing w:val="-1"/>
                                    <w:sz w:val="18"/>
                                  </w:rPr>
                                  <w:t>respect</w:t>
                                </w:r>
                                <w:r>
                                  <w:rPr>
                                    <w:rFonts w:ascii="Arial"/>
                                    <w:spacing w:val="3"/>
                                    <w:sz w:val="18"/>
                                  </w:rPr>
                                  <w:t xml:space="preserve"> </w:t>
                                </w:r>
                                <w:r>
                                  <w:rPr>
                                    <w:rFonts w:ascii="Arial"/>
                                    <w:spacing w:val="-1"/>
                                    <w:sz w:val="18"/>
                                  </w:rPr>
                                  <w:t>of</w:t>
                                </w:r>
                                <w:r>
                                  <w:rPr>
                                    <w:rFonts w:ascii="Arial"/>
                                    <w:spacing w:val="3"/>
                                    <w:sz w:val="18"/>
                                  </w:rPr>
                                  <w:t xml:space="preserve"> </w:t>
                                </w:r>
                                <w:r>
                                  <w:rPr>
                                    <w:rFonts w:ascii="Arial"/>
                                    <w:sz w:val="18"/>
                                  </w:rPr>
                                  <w:t>the</w:t>
                                </w:r>
                                <w:r>
                                  <w:rPr>
                                    <w:rFonts w:ascii="Arial"/>
                                    <w:spacing w:val="1"/>
                                    <w:sz w:val="18"/>
                                  </w:rPr>
                                  <w:t xml:space="preserve"> </w:t>
                                </w:r>
                                <w:r>
                                  <w:rPr>
                                    <w:rFonts w:ascii="Arial"/>
                                    <w:spacing w:val="-1"/>
                                    <w:sz w:val="18"/>
                                  </w:rPr>
                                  <w:t>provision</w:t>
                                </w:r>
                                <w:r>
                                  <w:rPr>
                                    <w:rFonts w:ascii="Arial"/>
                                    <w:spacing w:val="3"/>
                                    <w:sz w:val="18"/>
                                  </w:rPr>
                                  <w:t xml:space="preserve"> </w:t>
                                </w:r>
                                <w:r>
                                  <w:rPr>
                                    <w:rFonts w:ascii="Arial"/>
                                    <w:sz w:val="18"/>
                                  </w:rPr>
                                  <w:t>of</w:t>
                                </w:r>
                                <w:r>
                                  <w:rPr>
                                    <w:rFonts w:ascii="Arial"/>
                                    <w:spacing w:val="3"/>
                                    <w:sz w:val="18"/>
                                  </w:rPr>
                                  <w:t xml:space="preserve"> </w:t>
                                </w:r>
                                <w:r>
                                  <w:rPr>
                                    <w:rFonts w:ascii="Arial"/>
                                    <w:spacing w:val="-1"/>
                                    <w:sz w:val="18"/>
                                  </w:rPr>
                                  <w:t>Services.</w:t>
                                </w:r>
                              </w:p>
                            </w:txbxContent>
                          </wps:txbx>
                          <wps:bodyPr rot="0" vert="horz" wrap="square" lIns="0" tIns="0" rIns="0" bIns="0" anchor="t" anchorCtr="0" upright="1">
                            <a:noAutofit/>
                          </wps:bodyPr>
                        </wps:wsp>
                      </wpg:grpSp>
                    </wpg:wgp>
                  </a:graphicData>
                </a:graphic>
              </wp:inline>
            </w:drawing>
          </mc:Choice>
          <mc:Fallback>
            <w:pict>
              <v:group w14:anchorId="2549689F" id="Group 7180" o:spid="_x0000_s1098" style="width:445.55pt;height:21.7pt;mso-position-horizontal-relative:char;mso-position-vertical-relative:line" coordsize="89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">
                <v:group id="Group 7184" o:spid="_x0000_s1099" style="position:absolute;left:192;top:20;width:8717;height:207" coordorigin="192,20" coordsize="871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2G8cAAADdAAAADwAAAGRycy9kb3ducmV2LnhtbESPQWvCQBSE74L/YXlC&#10;b3UTi62NWUVEpQcpVAvF2yP7TEKyb0N2TeK/7xYKHoeZ+YZJ14OpRUetKy0riKcRCOLM6pJzBd/n&#10;/fMChPPIGmvLpOBODtar8SjFRNuev6g7+VwECLsEFRTeN4mULivIoJvahjh4V9sa9EG2udQt9gFu&#10;ajmLoldpsOSwUGBD24Ky6nQzCg499puXeNcdq+v2fjnPP3+OMSn1NBk2SxCeBv8I/7c/tIK3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Y2G8cAAADd&#10;AAAADwAAAAAAAAAAAAAAAACqAgAAZHJzL2Rvd25yZXYueG1sUEsFBgAAAAAEAAQA+gAAAJ4DAAAA&#10;AA==&#10;">
                  <v:shape id="Freeform 7185" o:spid="_x0000_s1100" style="position:absolute;left:192;top:20;width:8717;height:207;visibility:visible;mso-wrap-style:square;v-text-anchor:top" coordsize="871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RaMIA&#10;AADdAAAADwAAAGRycy9kb3ducmV2LnhtbERP3WrCMBS+H+wdwhl4M2yi4KadUYaiyLyy8wEOzbEt&#10;a066Jtr27c2F4OXH979c97YWN2p95VjDJFEgiHNnKi40nH934zkIH5AN1o5Jw0Ae1qvXlyWmxnV8&#10;olsWChFD2KeooQyhSaX0eUkWfeIa4shdXGsxRNgW0rTYxXBby6lSH9JixbGhxIY2JeV/2dVq2M5+&#10;+vr9GNSl+Df7/Ko2tqJB69Fb//0FIlAfnuKH+2A0fE4WcX9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NFowgAAAN0AAAAPAAAAAAAAAAAAAAAAAJgCAABkcnMvZG93&#10;bnJldi54bWxQSwUGAAAAAAQABAD1AAAAhwMAAAAA&#10;" path="m,207r8717,l8717,,,,,207xe" fillcolor="lime" stroked="f">
                    <v:path arrowok="t" o:connecttype="custom" o:connectlocs="0,227;8717,227;8717,20;0,20;0,227" o:connectangles="0,0,0,0,0"/>
                  </v:shape>
                </v:group>
                <v:group id="Group 7181" o:spid="_x0000_s1101" style="position:absolute;top:227;width:8909;height:207" coordorigin=",227"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swMYAAADdAAAADwAAAGRycy9kb3ducmV2LnhtbESPQWvCQBSE7wX/w/KE&#10;3nSzltY2uoqIlh5EUAvF2yP7TILZtyG7JvHfdwtCj8PMfMPMl72tREuNLx1rUOMEBHHmTMm5hu/T&#10;dvQOwgdkg5Vj0nAnD8vF4GmOqXEdH6g9hlxECPsUNRQh1KmUPivIoh+7mjh6F9dYDFE2uTQNdhFu&#10;KzlJkjdpseS4UGBN64Ky6/FmNXx22K1e1KbdXS/r+/n0uv/ZKdL6edivZiAC9eE//Gh/GQ1T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azAxgAAAN0A&#10;AAAPAAAAAAAAAAAAAAAAAKoCAABkcnMvZG93bnJldi54bWxQSwUGAAAAAAQABAD6AAAAnQMAAAAA&#10;">
                  <v:shape id="Freeform 7183" o:spid="_x0000_s1102" style="position:absolute;top:227;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A5cUA&#10;AADdAAAADwAAAGRycy9kb3ducmV2LnhtbESP0WrCQBRE34X+w3ILvunGgNVGVym1FhEp1PoB1+w1&#10;Cc3eDburiX/vCoKPw8ycYebLztTiQs5XlhWMhgkI4tzqigsFh7/1YArCB2SNtWVScCUPy8VLb46Z&#10;ti3/0mUfChEh7DNUUIbQZFL6vCSDfmgb4uidrDMYonSF1A7bCDe1TJPkTRqsOC6U2NBnSfn//mwU&#10;uK827HA7SXfddvpzHK++NyudKtV/7T5mIAJ14Rl+tDdawWT0n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YDlxQAAAN0AAAAPAAAAAAAAAAAAAAAAAJgCAABkcnMv&#10;ZG93bnJldi54bWxQSwUGAAAAAAQABAD1AAAAigMAAAAA&#10;" path="m,206r8909,l8909,,,,,206xe" fillcolor="lime" stroked="f">
                    <v:path arrowok="t" o:connecttype="custom" o:connectlocs="0,433;8909,433;8909,227;0,227;0,433" o:connectangles="0,0,0,0,0"/>
                  </v:shape>
                  <v:shape id="Text Box 7182" o:spid="_x0000_s1103" type="#_x0000_t202" style="position:absolute;width:891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f98YA&#10;AADdAAAADwAAAGRycy9kb3ducmV2LnhtbESPT2vCQBTE7wW/w/IEb3VjBf9EVxFRKBRKYzx4fGaf&#10;yWL2bZrdavrtuwXB4zAzv2GW687W4katN44VjIYJCOLCacOlgmO+f52B8AFZY+2YFPySh/Wq97LE&#10;VLs7Z3Q7hFJECPsUFVQhNKmUvqjIoh+6hjh6F9daDFG2pdQt3iPc1vItSSbSouG4UGFD24qK6+HH&#10;KticONuZ78/zV3bJTJ7PE/6YXJUa9LvNAkSgLjzDj/a7VjAdzc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f98YAAADdAAAADwAAAAAAAAAAAAAAAACYAgAAZHJz&#10;L2Rvd25yZXYueG1sUEsFBgAAAAAEAAQA9QAAAIsDAAAAAA==&#10;" filled="f" stroked="f">
                    <v:textbox inset="0,0,0,0">
                      <w:txbxContent>
                        <w:p w:rsidR="005D2B81" w:rsidRDefault="005D2B81" w:rsidP="008918FA">
                          <w:pPr>
                            <w:spacing w:before="23" w:line="206" w:lineRule="exact"/>
                            <w:rPr>
                              <w:rFonts w:ascii="Arial" w:eastAsia="Arial" w:hAnsi="Arial" w:cs="Arial"/>
                              <w:sz w:val="18"/>
                              <w:szCs w:val="18"/>
                            </w:rPr>
                          </w:pPr>
                          <w:r>
                            <w:rPr>
                              <w:rFonts w:ascii="Arial"/>
                              <w:position w:val="9"/>
                              <w:sz w:val="12"/>
                            </w:rPr>
                            <w:t>33</w:t>
                          </w:r>
                          <w:r>
                            <w:rPr>
                              <w:rFonts w:ascii="Arial"/>
                              <w:spacing w:val="24"/>
                              <w:position w:val="9"/>
                              <w:sz w:val="12"/>
                            </w:rPr>
                            <w:t xml:space="preserve"> </w:t>
                          </w:r>
                          <w:bookmarkStart w:id="31" w:name="_bookmark33"/>
                          <w:bookmarkEnd w:id="31"/>
                          <w:r>
                            <w:rPr>
                              <w:rFonts w:ascii="Arial"/>
                              <w:spacing w:val="-1"/>
                              <w:sz w:val="18"/>
                            </w:rPr>
                            <w:t>[Guidance</w:t>
                          </w:r>
                          <w:r>
                            <w:rPr>
                              <w:rFonts w:ascii="Arial"/>
                              <w:spacing w:val="8"/>
                              <w:sz w:val="18"/>
                            </w:rPr>
                            <w:t xml:space="preserve"> </w:t>
                          </w:r>
                          <w:r>
                            <w:rPr>
                              <w:rFonts w:ascii="Arial"/>
                              <w:spacing w:val="-1"/>
                              <w:sz w:val="18"/>
                            </w:rPr>
                            <w:t>Note:</w:t>
                          </w:r>
                          <w:r>
                            <w:rPr>
                              <w:rFonts w:ascii="Arial"/>
                              <w:spacing w:val="7"/>
                              <w:sz w:val="18"/>
                            </w:rPr>
                            <w:t xml:space="preserve"> </w:t>
                          </w:r>
                          <w:r>
                            <w:rPr>
                              <w:rFonts w:ascii="Arial"/>
                              <w:spacing w:val="-1"/>
                              <w:sz w:val="18"/>
                            </w:rPr>
                            <w:t>Clause</w:t>
                          </w:r>
                          <w:r>
                            <w:rPr>
                              <w:rFonts w:ascii="Arial"/>
                              <w:spacing w:val="8"/>
                              <w:sz w:val="18"/>
                            </w:rPr>
                            <w:t xml:space="preserve"> </w:t>
                          </w:r>
                          <w:hyperlink w:anchor="_bookmark142" w:history="1">
                            <w:r>
                              <w:rPr>
                                <w:rFonts w:ascii="Arial"/>
                                <w:spacing w:val="-1"/>
                                <w:sz w:val="18"/>
                              </w:rPr>
                              <w:t>28</w:t>
                            </w:r>
                          </w:hyperlink>
                          <w:r>
                            <w:rPr>
                              <w:rFonts w:ascii="Arial"/>
                              <w:spacing w:val="8"/>
                              <w:sz w:val="18"/>
                            </w:rPr>
                            <w:t xml:space="preserve"> </w:t>
                          </w:r>
                          <w:r>
                            <w:rPr>
                              <w:rFonts w:ascii="Arial"/>
                              <w:sz w:val="18"/>
                            </w:rPr>
                            <w:t>of</w:t>
                          </w:r>
                          <w:r>
                            <w:rPr>
                              <w:rFonts w:ascii="Arial"/>
                              <w:spacing w:val="5"/>
                              <w:sz w:val="18"/>
                            </w:rPr>
                            <w:t xml:space="preserve"> </w:t>
                          </w:r>
                          <w:r>
                            <w:rPr>
                              <w:rFonts w:ascii="Arial"/>
                              <w:sz w:val="18"/>
                            </w:rPr>
                            <w:t>the</w:t>
                          </w:r>
                          <w:r>
                            <w:rPr>
                              <w:rFonts w:ascii="Arial"/>
                              <w:spacing w:val="8"/>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Terms</w:t>
                          </w:r>
                          <w:r>
                            <w:rPr>
                              <w:rFonts w:ascii="Arial"/>
                              <w:spacing w:val="8"/>
                              <w:sz w:val="18"/>
                            </w:rPr>
                            <w:t xml:space="preserve"> </w:t>
                          </w:r>
                          <w:r>
                            <w:rPr>
                              <w:rFonts w:ascii="Arial"/>
                              <w:sz w:val="18"/>
                            </w:rPr>
                            <w:t>and</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Schedule</w:t>
                          </w:r>
                          <w:r>
                            <w:rPr>
                              <w:rFonts w:ascii="Arial"/>
                              <w:spacing w:val="8"/>
                              <w:sz w:val="18"/>
                            </w:rPr>
                            <w:t xml:space="preserve"> </w:t>
                          </w:r>
                          <w:r>
                            <w:rPr>
                              <w:rFonts w:ascii="Arial"/>
                              <w:sz w:val="18"/>
                            </w:rPr>
                            <w:t>11</w:t>
                          </w:r>
                          <w:r>
                            <w:rPr>
                              <w:rFonts w:ascii="Arial"/>
                              <w:spacing w:val="7"/>
                              <w:sz w:val="18"/>
                            </w:rPr>
                            <w:t xml:space="preserve"> </w:t>
                          </w:r>
                          <w:r>
                            <w:rPr>
                              <w:rFonts w:ascii="Arial"/>
                              <w:spacing w:val="-1"/>
                              <w:sz w:val="18"/>
                            </w:rPr>
                            <w:t>(Staff</w:t>
                          </w:r>
                          <w:r>
                            <w:rPr>
                              <w:rFonts w:ascii="Arial"/>
                              <w:spacing w:val="7"/>
                              <w:sz w:val="18"/>
                            </w:rPr>
                            <w:t xml:space="preserve"> </w:t>
                          </w:r>
                          <w:r>
                            <w:rPr>
                              <w:rFonts w:ascii="Arial"/>
                              <w:spacing w:val="-1"/>
                              <w:sz w:val="18"/>
                            </w:rPr>
                            <w:t>Transfer)</w:t>
                          </w:r>
                          <w:r>
                            <w:rPr>
                              <w:rFonts w:ascii="Arial"/>
                              <w:spacing w:val="7"/>
                              <w:sz w:val="18"/>
                            </w:rPr>
                            <w:t xml:space="preserve"> </w:t>
                          </w:r>
                          <w:r>
                            <w:rPr>
                              <w:rFonts w:ascii="Arial"/>
                              <w:spacing w:val="-1"/>
                              <w:sz w:val="18"/>
                            </w:rPr>
                            <w:t>relates</w:t>
                          </w:r>
                          <w:r>
                            <w:rPr>
                              <w:rFonts w:ascii="Arial"/>
                              <w:spacing w:val="107"/>
                              <w:sz w:val="18"/>
                            </w:rPr>
                            <w:t xml:space="preserve"> </w:t>
                          </w:r>
                          <w:r>
                            <w:rPr>
                              <w:rFonts w:ascii="Arial"/>
                              <w:sz w:val="18"/>
                            </w:rPr>
                            <w:t>to</w:t>
                          </w:r>
                          <w:r>
                            <w:rPr>
                              <w:rFonts w:ascii="Arial"/>
                              <w:spacing w:val="3"/>
                              <w:sz w:val="18"/>
                            </w:rPr>
                            <w:t xml:space="preserve"> </w:t>
                          </w:r>
                          <w:r>
                            <w:rPr>
                              <w:rFonts w:ascii="Arial"/>
                              <w:sz w:val="18"/>
                            </w:rPr>
                            <w:t>the</w:t>
                          </w:r>
                          <w:r>
                            <w:rPr>
                              <w:rFonts w:ascii="Arial"/>
                              <w:spacing w:val="3"/>
                              <w:sz w:val="18"/>
                            </w:rPr>
                            <w:t xml:space="preserve"> </w:t>
                          </w:r>
                          <w:r>
                            <w:rPr>
                              <w:rFonts w:ascii="Arial"/>
                              <w:spacing w:val="-1"/>
                              <w:sz w:val="18"/>
                            </w:rPr>
                            <w:t>transfer</w:t>
                          </w:r>
                          <w:r>
                            <w:rPr>
                              <w:rFonts w:ascii="Arial"/>
                              <w:spacing w:val="2"/>
                              <w:sz w:val="18"/>
                            </w:rPr>
                            <w:t xml:space="preserve"> </w:t>
                          </w:r>
                          <w:r>
                            <w:rPr>
                              <w:rFonts w:ascii="Arial"/>
                              <w:sz w:val="18"/>
                            </w:rPr>
                            <w:t>of</w:t>
                          </w:r>
                          <w:r>
                            <w:rPr>
                              <w:rFonts w:ascii="Arial"/>
                              <w:spacing w:val="3"/>
                              <w:sz w:val="18"/>
                            </w:rPr>
                            <w:t xml:space="preserve"> </w:t>
                          </w:r>
                          <w:r>
                            <w:rPr>
                              <w:rFonts w:ascii="Arial"/>
                              <w:spacing w:val="-1"/>
                              <w:sz w:val="18"/>
                            </w:rPr>
                            <w:t>any</w:t>
                          </w:r>
                          <w:r>
                            <w:rPr>
                              <w:rFonts w:ascii="Arial"/>
                              <w:spacing w:val="1"/>
                              <w:sz w:val="18"/>
                            </w:rPr>
                            <w:t xml:space="preserve"> </w:t>
                          </w:r>
                          <w:r>
                            <w:rPr>
                              <w:rFonts w:ascii="Arial"/>
                              <w:spacing w:val="-1"/>
                              <w:sz w:val="18"/>
                            </w:rPr>
                            <w:t>employees</w:t>
                          </w:r>
                          <w:r>
                            <w:rPr>
                              <w:rFonts w:ascii="Arial"/>
                              <w:spacing w:val="3"/>
                              <w:sz w:val="18"/>
                            </w:rPr>
                            <w:t xml:space="preserve"> </w:t>
                          </w:r>
                          <w:r>
                            <w:rPr>
                              <w:rFonts w:ascii="Arial"/>
                              <w:sz w:val="18"/>
                            </w:rPr>
                            <w:t>to</w:t>
                          </w:r>
                          <w:r>
                            <w:rPr>
                              <w:rFonts w:ascii="Arial"/>
                              <w:spacing w:val="3"/>
                              <w:sz w:val="18"/>
                            </w:rPr>
                            <w:t xml:space="preserve"> </w:t>
                          </w:r>
                          <w:r>
                            <w:rPr>
                              <w:rFonts w:ascii="Arial"/>
                              <w:spacing w:val="-1"/>
                              <w:sz w:val="18"/>
                            </w:rPr>
                            <w:t>the</w:t>
                          </w:r>
                          <w:r>
                            <w:rPr>
                              <w:rFonts w:ascii="Arial"/>
                              <w:spacing w:val="3"/>
                              <w:sz w:val="18"/>
                            </w:rPr>
                            <w:t xml:space="preserve"> </w:t>
                          </w:r>
                          <w:r>
                            <w:rPr>
                              <w:rFonts w:ascii="Arial"/>
                              <w:spacing w:val="-1"/>
                              <w:sz w:val="18"/>
                            </w:rPr>
                            <w:t>Supplier</w:t>
                          </w:r>
                          <w:r>
                            <w:rPr>
                              <w:rFonts w:ascii="Arial"/>
                              <w:spacing w:val="2"/>
                              <w:sz w:val="18"/>
                            </w:rPr>
                            <w:t xml:space="preserve"> </w:t>
                          </w:r>
                          <w:r>
                            <w:rPr>
                              <w:rFonts w:ascii="Arial"/>
                              <w:spacing w:val="-1"/>
                              <w:sz w:val="18"/>
                            </w:rPr>
                            <w:t>(incoming</w:t>
                          </w:r>
                          <w:r>
                            <w:rPr>
                              <w:rFonts w:ascii="Arial"/>
                              <w:spacing w:val="1"/>
                              <w:sz w:val="18"/>
                            </w:rPr>
                            <w:t xml:space="preserve"> </w:t>
                          </w:r>
                          <w:r>
                            <w:rPr>
                              <w:rFonts w:ascii="Arial"/>
                              <w:spacing w:val="-1"/>
                              <w:sz w:val="18"/>
                            </w:rPr>
                            <w:t>and</w:t>
                          </w:r>
                          <w:r>
                            <w:rPr>
                              <w:rFonts w:ascii="Arial"/>
                              <w:spacing w:val="3"/>
                              <w:sz w:val="18"/>
                            </w:rPr>
                            <w:t xml:space="preserve"> </w:t>
                          </w:r>
                          <w:r>
                            <w:rPr>
                              <w:rFonts w:ascii="Arial"/>
                              <w:spacing w:val="-1"/>
                              <w:sz w:val="18"/>
                            </w:rPr>
                            <w:t>outgoing)</w:t>
                          </w:r>
                          <w:r>
                            <w:rPr>
                              <w:rFonts w:ascii="Arial"/>
                              <w:spacing w:val="2"/>
                              <w:sz w:val="18"/>
                            </w:rPr>
                            <w:t xml:space="preserve"> </w:t>
                          </w:r>
                          <w:r>
                            <w:rPr>
                              <w:rFonts w:ascii="Arial"/>
                              <w:sz w:val="18"/>
                            </w:rPr>
                            <w:t>in</w:t>
                          </w:r>
                          <w:r>
                            <w:rPr>
                              <w:rFonts w:ascii="Arial"/>
                              <w:spacing w:val="3"/>
                              <w:sz w:val="18"/>
                            </w:rPr>
                            <w:t xml:space="preserve"> </w:t>
                          </w:r>
                          <w:r>
                            <w:rPr>
                              <w:rFonts w:ascii="Arial"/>
                              <w:spacing w:val="-1"/>
                              <w:sz w:val="18"/>
                            </w:rPr>
                            <w:t>respect</w:t>
                          </w:r>
                          <w:r>
                            <w:rPr>
                              <w:rFonts w:ascii="Arial"/>
                              <w:spacing w:val="3"/>
                              <w:sz w:val="18"/>
                            </w:rPr>
                            <w:t xml:space="preserve"> </w:t>
                          </w:r>
                          <w:r>
                            <w:rPr>
                              <w:rFonts w:ascii="Arial"/>
                              <w:spacing w:val="-1"/>
                              <w:sz w:val="18"/>
                            </w:rPr>
                            <w:t>of</w:t>
                          </w:r>
                          <w:r>
                            <w:rPr>
                              <w:rFonts w:ascii="Arial"/>
                              <w:spacing w:val="3"/>
                              <w:sz w:val="18"/>
                            </w:rPr>
                            <w:t xml:space="preserve"> </w:t>
                          </w:r>
                          <w:r>
                            <w:rPr>
                              <w:rFonts w:ascii="Arial"/>
                              <w:sz w:val="18"/>
                            </w:rPr>
                            <w:t>the</w:t>
                          </w:r>
                          <w:r>
                            <w:rPr>
                              <w:rFonts w:ascii="Arial"/>
                              <w:spacing w:val="1"/>
                              <w:sz w:val="18"/>
                            </w:rPr>
                            <w:t xml:space="preserve"> </w:t>
                          </w:r>
                          <w:r>
                            <w:rPr>
                              <w:rFonts w:ascii="Arial"/>
                              <w:spacing w:val="-1"/>
                              <w:sz w:val="18"/>
                            </w:rPr>
                            <w:t>provision</w:t>
                          </w:r>
                          <w:r>
                            <w:rPr>
                              <w:rFonts w:ascii="Arial"/>
                              <w:spacing w:val="3"/>
                              <w:sz w:val="18"/>
                            </w:rPr>
                            <w:t xml:space="preserve"> </w:t>
                          </w:r>
                          <w:r>
                            <w:rPr>
                              <w:rFonts w:ascii="Arial"/>
                              <w:sz w:val="18"/>
                            </w:rPr>
                            <w:t>of</w:t>
                          </w:r>
                          <w:r>
                            <w:rPr>
                              <w:rFonts w:ascii="Arial"/>
                              <w:spacing w:val="3"/>
                              <w:sz w:val="18"/>
                            </w:rPr>
                            <w:t xml:space="preserve"> </w:t>
                          </w:r>
                          <w:r>
                            <w:rPr>
                              <w:rFonts w:ascii="Arial"/>
                              <w:spacing w:val="-1"/>
                              <w:sz w:val="18"/>
                            </w:rPr>
                            <w:t>Services.</w:t>
                          </w:r>
                        </w:p>
                      </w:txbxContent>
                    </v:textbox>
                  </v:shape>
                </v:group>
                <w10:anchorlock/>
              </v:group>
            </w:pict>
          </mc:Fallback>
        </mc:AlternateContent>
      </w:r>
    </w:p>
    <w:p w:rsidR="008918FA" w:rsidRDefault="008918FA" w:rsidP="008918FA">
      <w:pPr>
        <w:spacing w:line="200" w:lineRule="atLeast"/>
        <w:rPr>
          <w:rFonts w:ascii="Arial" w:eastAsia="Arial" w:hAnsi="Arial" w:cs="Arial"/>
          <w:sz w:val="20"/>
          <w:szCs w:val="20"/>
        </w:rPr>
        <w:sectPr w:rsidR="008918FA">
          <w:pgSz w:w="11910" w:h="16840"/>
          <w:pgMar w:top="1480" w:right="1300" w:bottom="1180" w:left="1340" w:header="0" w:footer="987" w:gutter="0"/>
          <w:cols w:space="720"/>
        </w:sectPr>
      </w:pPr>
    </w:p>
    <w:p w:rsidR="008918FA" w:rsidRDefault="008918FA" w:rsidP="008918FA">
      <w:pPr>
        <w:pStyle w:val="Heading1"/>
        <w:numPr>
          <w:ilvl w:val="1"/>
          <w:numId w:val="74"/>
        </w:numPr>
        <w:tabs>
          <w:tab w:val="left" w:pos="1094"/>
        </w:tabs>
        <w:spacing w:before="57"/>
        <w:ind w:left="1093" w:hanging="566"/>
        <w:rPr>
          <w:b w:val="0"/>
          <w:bCs w:val="0"/>
        </w:rPr>
      </w:pPr>
      <w:r>
        <w:rPr>
          <w:spacing w:val="-1"/>
        </w:rPr>
        <w:lastRenderedPageBreak/>
        <w:t>Failure</w:t>
      </w:r>
      <w:r>
        <w:rPr>
          <w:spacing w:val="-2"/>
        </w:rPr>
        <w:t xml:space="preserve"> </w:t>
      </w:r>
      <w:r>
        <w:rPr>
          <w:spacing w:val="-1"/>
        </w:rPr>
        <w:t>of Supplier Equipment</w:t>
      </w:r>
    </w:p>
    <w:p w:rsidR="008918FA" w:rsidRDefault="008918FA" w:rsidP="008918FA">
      <w:pPr>
        <w:spacing w:before="9"/>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74C11DF7" wp14:editId="2FA78B96">
                <wp:extent cx="5117465" cy="483235"/>
                <wp:effectExtent l="1905" t="0" r="0" b="0"/>
                <wp:docPr id="7180" name="Group 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483235"/>
                          <a:chOff x="0" y="0"/>
                          <a:chExt cx="8059" cy="761"/>
                        </a:xfrm>
                      </wpg:grpSpPr>
                      <wpg:grpSp>
                        <wpg:cNvPr id="7181" name="Group 7178"/>
                        <wpg:cNvGrpSpPr>
                          <a:grpSpLocks/>
                        </wpg:cNvGrpSpPr>
                        <wpg:grpSpPr bwMode="auto">
                          <a:xfrm>
                            <a:off x="0" y="0"/>
                            <a:ext cx="8057" cy="255"/>
                            <a:chOff x="0" y="0"/>
                            <a:chExt cx="8057" cy="255"/>
                          </a:xfrm>
                        </wpg:grpSpPr>
                        <wps:wsp>
                          <wps:cNvPr id="7182" name="Freeform 7179"/>
                          <wps:cNvSpPr>
                            <a:spLocks/>
                          </wps:cNvSpPr>
                          <wps:spPr bwMode="auto">
                            <a:xfrm>
                              <a:off x="0" y="0"/>
                              <a:ext cx="8057" cy="255"/>
                            </a:xfrm>
                            <a:custGeom>
                              <a:avLst/>
                              <a:gdLst>
                                <a:gd name="T0" fmla="*/ 0 w 8057"/>
                                <a:gd name="T1" fmla="*/ 254 h 255"/>
                                <a:gd name="T2" fmla="*/ 8057 w 8057"/>
                                <a:gd name="T3" fmla="*/ 254 h 255"/>
                                <a:gd name="T4" fmla="*/ 8057 w 8057"/>
                                <a:gd name="T5" fmla="*/ 0 h 255"/>
                                <a:gd name="T6" fmla="*/ 0 w 8057"/>
                                <a:gd name="T7" fmla="*/ 0 h 255"/>
                                <a:gd name="T8" fmla="*/ 0 w 8057"/>
                                <a:gd name="T9" fmla="*/ 254 h 255"/>
                              </a:gdLst>
                              <a:ahLst/>
                              <a:cxnLst>
                                <a:cxn ang="0">
                                  <a:pos x="T0" y="T1"/>
                                </a:cxn>
                                <a:cxn ang="0">
                                  <a:pos x="T2" y="T3"/>
                                </a:cxn>
                                <a:cxn ang="0">
                                  <a:pos x="T4" y="T5"/>
                                </a:cxn>
                                <a:cxn ang="0">
                                  <a:pos x="T6" y="T7"/>
                                </a:cxn>
                                <a:cxn ang="0">
                                  <a:pos x="T8" y="T9"/>
                                </a:cxn>
                              </a:cxnLst>
                              <a:rect l="0" t="0" r="r" b="b"/>
                              <a:pathLst>
                                <a:path w="8057" h="255">
                                  <a:moveTo>
                                    <a:pt x="0" y="254"/>
                                  </a:moveTo>
                                  <a:lnTo>
                                    <a:pt x="8057" y="254"/>
                                  </a:lnTo>
                                  <a:lnTo>
                                    <a:pt x="8057"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3" name="Group 7176"/>
                        <wpg:cNvGrpSpPr>
                          <a:grpSpLocks/>
                        </wpg:cNvGrpSpPr>
                        <wpg:grpSpPr bwMode="auto">
                          <a:xfrm>
                            <a:off x="0" y="254"/>
                            <a:ext cx="8057" cy="252"/>
                            <a:chOff x="0" y="254"/>
                            <a:chExt cx="8057" cy="252"/>
                          </a:xfrm>
                        </wpg:grpSpPr>
                        <wps:wsp>
                          <wps:cNvPr id="7184" name="Freeform 7177"/>
                          <wps:cNvSpPr>
                            <a:spLocks/>
                          </wps:cNvSpPr>
                          <wps:spPr bwMode="auto">
                            <a:xfrm>
                              <a:off x="0" y="254"/>
                              <a:ext cx="8057" cy="252"/>
                            </a:xfrm>
                            <a:custGeom>
                              <a:avLst/>
                              <a:gdLst>
                                <a:gd name="T0" fmla="*/ 0 w 8057"/>
                                <a:gd name="T1" fmla="+- 0 506 254"/>
                                <a:gd name="T2" fmla="*/ 506 h 252"/>
                                <a:gd name="T3" fmla="*/ 8057 w 8057"/>
                                <a:gd name="T4" fmla="+- 0 506 254"/>
                                <a:gd name="T5" fmla="*/ 506 h 252"/>
                                <a:gd name="T6" fmla="*/ 8057 w 8057"/>
                                <a:gd name="T7" fmla="+- 0 254 254"/>
                                <a:gd name="T8" fmla="*/ 254 h 252"/>
                                <a:gd name="T9" fmla="*/ 0 w 8057"/>
                                <a:gd name="T10" fmla="+- 0 254 254"/>
                                <a:gd name="T11" fmla="*/ 254 h 252"/>
                                <a:gd name="T12" fmla="*/ 0 w 8057"/>
                                <a:gd name="T13" fmla="+- 0 506 254"/>
                                <a:gd name="T14" fmla="*/ 506 h 252"/>
                              </a:gdLst>
                              <a:ahLst/>
                              <a:cxnLst>
                                <a:cxn ang="0">
                                  <a:pos x="T0" y="T2"/>
                                </a:cxn>
                                <a:cxn ang="0">
                                  <a:pos x="T3" y="T5"/>
                                </a:cxn>
                                <a:cxn ang="0">
                                  <a:pos x="T6" y="T8"/>
                                </a:cxn>
                                <a:cxn ang="0">
                                  <a:pos x="T9" y="T11"/>
                                </a:cxn>
                                <a:cxn ang="0">
                                  <a:pos x="T12" y="T14"/>
                                </a:cxn>
                              </a:cxnLst>
                              <a:rect l="0" t="0" r="r" b="b"/>
                              <a:pathLst>
                                <a:path w="8057" h="252">
                                  <a:moveTo>
                                    <a:pt x="0" y="252"/>
                                  </a:moveTo>
                                  <a:lnTo>
                                    <a:pt x="8057" y="252"/>
                                  </a:lnTo>
                                  <a:lnTo>
                                    <a:pt x="8057"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5" name="Group 7173"/>
                        <wpg:cNvGrpSpPr>
                          <a:grpSpLocks/>
                        </wpg:cNvGrpSpPr>
                        <wpg:grpSpPr bwMode="auto">
                          <a:xfrm>
                            <a:off x="0" y="506"/>
                            <a:ext cx="3540" cy="255"/>
                            <a:chOff x="0" y="506"/>
                            <a:chExt cx="3540" cy="255"/>
                          </a:xfrm>
                        </wpg:grpSpPr>
                        <wps:wsp>
                          <wps:cNvPr id="7186" name="Freeform 7175"/>
                          <wps:cNvSpPr>
                            <a:spLocks/>
                          </wps:cNvSpPr>
                          <wps:spPr bwMode="auto">
                            <a:xfrm>
                              <a:off x="0" y="506"/>
                              <a:ext cx="3540" cy="255"/>
                            </a:xfrm>
                            <a:custGeom>
                              <a:avLst/>
                              <a:gdLst>
                                <a:gd name="T0" fmla="*/ 0 w 3540"/>
                                <a:gd name="T1" fmla="+- 0 761 506"/>
                                <a:gd name="T2" fmla="*/ 761 h 255"/>
                                <a:gd name="T3" fmla="*/ 3540 w 3540"/>
                                <a:gd name="T4" fmla="+- 0 761 506"/>
                                <a:gd name="T5" fmla="*/ 761 h 255"/>
                                <a:gd name="T6" fmla="*/ 3540 w 3540"/>
                                <a:gd name="T7" fmla="+- 0 506 506"/>
                                <a:gd name="T8" fmla="*/ 506 h 255"/>
                                <a:gd name="T9" fmla="*/ 0 w 3540"/>
                                <a:gd name="T10" fmla="+- 0 506 506"/>
                                <a:gd name="T11" fmla="*/ 506 h 255"/>
                                <a:gd name="T12" fmla="*/ 0 w 3540"/>
                                <a:gd name="T13" fmla="+- 0 761 506"/>
                                <a:gd name="T14" fmla="*/ 761 h 255"/>
                              </a:gdLst>
                              <a:ahLst/>
                              <a:cxnLst>
                                <a:cxn ang="0">
                                  <a:pos x="T0" y="T2"/>
                                </a:cxn>
                                <a:cxn ang="0">
                                  <a:pos x="T3" y="T5"/>
                                </a:cxn>
                                <a:cxn ang="0">
                                  <a:pos x="T6" y="T8"/>
                                </a:cxn>
                                <a:cxn ang="0">
                                  <a:pos x="T9" y="T11"/>
                                </a:cxn>
                                <a:cxn ang="0">
                                  <a:pos x="T12" y="T14"/>
                                </a:cxn>
                              </a:cxnLst>
                              <a:rect l="0" t="0" r="r" b="b"/>
                              <a:pathLst>
                                <a:path w="3540" h="255">
                                  <a:moveTo>
                                    <a:pt x="0" y="255"/>
                                  </a:moveTo>
                                  <a:lnTo>
                                    <a:pt x="3540" y="255"/>
                                  </a:lnTo>
                                  <a:lnTo>
                                    <a:pt x="3540"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7" name="Text Box 7174"/>
                          <wps:cNvSpPr txBox="1">
                            <a:spLocks noChangeArrowheads="1"/>
                          </wps:cNvSpPr>
                          <wps:spPr bwMode="auto">
                            <a:xfrm>
                              <a:off x="0" y="0"/>
                              <a:ext cx="8059"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7" w:line="228" w:lineRule="auto"/>
                                  <w:jc w:val="both"/>
                                  <w:rPr>
                                    <w:rFonts w:ascii="Arial" w:eastAsia="Arial" w:hAnsi="Arial" w:cs="Arial"/>
                                    <w:sz w:val="14"/>
                                    <w:szCs w:val="14"/>
                                  </w:rPr>
                                </w:pPr>
                                <w:r>
                                  <w:rPr>
                                    <w:rFonts w:ascii="Arial"/>
                                    <w:spacing w:val="-1"/>
                                  </w:rPr>
                                  <w:t>[Clause</w:t>
                                </w:r>
                                <w:r>
                                  <w:rPr>
                                    <w:rFonts w:ascii="Arial"/>
                                    <w:spacing w:val="23"/>
                                  </w:rPr>
                                  <w:t xml:space="preserve"> </w:t>
                                </w:r>
                                <w:hyperlink w:anchor="_bookmark158" w:history="1">
                                  <w:r>
                                    <w:rPr>
                                      <w:rFonts w:ascii="Arial"/>
                                      <w:spacing w:val="-1"/>
                                    </w:rPr>
                                    <w:t>32.8</w:t>
                                  </w:r>
                                </w:hyperlink>
                                <w:r>
                                  <w:rPr>
                                    <w:rFonts w:ascii="Arial"/>
                                    <w:spacing w:val="20"/>
                                  </w:rPr>
                                  <w:t xml:space="preserve"> </w:t>
                                </w:r>
                                <w:r>
                                  <w:rPr>
                                    <w:rFonts w:ascii="Arial"/>
                                    <w:spacing w:val="-2"/>
                                  </w:rPr>
                                  <w:t>of</w:t>
                                </w:r>
                                <w:r>
                                  <w:rPr>
                                    <w:rFonts w:ascii="Arial"/>
                                    <w:spacing w:val="23"/>
                                  </w:rPr>
                                  <w:t xml:space="preserve"> </w:t>
                                </w:r>
                                <w:r>
                                  <w:rPr>
                                    <w:rFonts w:ascii="Arial"/>
                                  </w:rPr>
                                  <w:t>the</w:t>
                                </w:r>
                                <w:r>
                                  <w:rPr>
                                    <w:rFonts w:ascii="Arial"/>
                                    <w:spacing w:val="19"/>
                                  </w:rPr>
                                  <w:t xml:space="preserve"> </w:t>
                                </w:r>
                                <w:r>
                                  <w:rPr>
                                    <w:rFonts w:ascii="Arial"/>
                                    <w:spacing w:val="-2"/>
                                  </w:rPr>
                                  <w:t>Call</w:t>
                                </w:r>
                                <w:r>
                                  <w:rPr>
                                    <w:rFonts w:ascii="Arial"/>
                                    <w:spacing w:val="21"/>
                                  </w:rPr>
                                  <w:t xml:space="preserve"> </w:t>
                                </w:r>
                                <w:r>
                                  <w:rPr>
                                    <w:rFonts w:ascii="Arial"/>
                                    <w:spacing w:val="-1"/>
                                  </w:rPr>
                                  <w:t>Off</w:t>
                                </w:r>
                                <w:r>
                                  <w:rPr>
                                    <w:rFonts w:ascii="Arial"/>
                                    <w:spacing w:val="21"/>
                                  </w:rPr>
                                  <w:t xml:space="preserve"> </w:t>
                                </w:r>
                                <w:r>
                                  <w:rPr>
                                    <w:rFonts w:ascii="Arial"/>
                                    <w:spacing w:val="-1"/>
                                  </w:rPr>
                                  <w:t>Terms</w:t>
                                </w:r>
                                <w:r>
                                  <w:rPr>
                                    <w:rFonts w:ascii="Arial"/>
                                    <w:spacing w:val="20"/>
                                  </w:rPr>
                                  <w:t xml:space="preserve"> </w:t>
                                </w:r>
                                <w:r>
                                  <w:rPr>
                                    <w:rFonts w:ascii="Arial"/>
                                    <w:spacing w:val="-1"/>
                                  </w:rPr>
                                  <w:t>shall</w:t>
                                </w:r>
                                <w:r>
                                  <w:rPr>
                                    <w:rFonts w:ascii="Arial"/>
                                    <w:spacing w:val="21"/>
                                  </w:rPr>
                                  <w:t xml:space="preserve"> </w:t>
                                </w:r>
                                <w:r>
                                  <w:rPr>
                                    <w:rFonts w:ascii="Arial"/>
                                    <w:spacing w:val="-2"/>
                                  </w:rPr>
                                  <w:t>apply.</w:t>
                                </w:r>
                                <w:r>
                                  <w:rPr>
                                    <w:rFonts w:ascii="Arial"/>
                                    <w:spacing w:val="24"/>
                                  </w:rPr>
                                  <w:t xml:space="preserve"> </w:t>
                                </w:r>
                                <w:r>
                                  <w:rPr>
                                    <w:rFonts w:ascii="Arial"/>
                                    <w:spacing w:val="-1"/>
                                  </w:rPr>
                                  <w:t>For</w:t>
                                </w:r>
                                <w:r>
                                  <w:rPr>
                                    <w:rFonts w:ascii="Arial"/>
                                    <w:spacing w:val="23"/>
                                  </w:rPr>
                                  <w:t xml:space="preserve"> </w:t>
                                </w:r>
                                <w:r>
                                  <w:rPr>
                                    <w:rFonts w:ascii="Arial"/>
                                    <w:spacing w:val="-1"/>
                                  </w:rPr>
                                  <w:t>the</w:t>
                                </w:r>
                                <w:r>
                                  <w:rPr>
                                    <w:rFonts w:ascii="Arial"/>
                                    <w:spacing w:val="22"/>
                                  </w:rPr>
                                  <w:t xml:space="preserve"> </w:t>
                                </w:r>
                                <w:r>
                                  <w:rPr>
                                    <w:rFonts w:ascii="Arial"/>
                                    <w:spacing w:val="-1"/>
                                  </w:rPr>
                                  <w:t>purposes</w:t>
                                </w:r>
                                <w:r>
                                  <w:rPr>
                                    <w:rFonts w:ascii="Arial"/>
                                    <w:spacing w:val="22"/>
                                  </w:rPr>
                                  <w:t xml:space="preserve"> </w:t>
                                </w:r>
                                <w:r>
                                  <w:rPr>
                                    <w:rFonts w:ascii="Arial"/>
                                    <w:spacing w:val="-2"/>
                                  </w:rPr>
                                  <w:t>of</w:t>
                                </w:r>
                                <w:r>
                                  <w:rPr>
                                    <w:rFonts w:ascii="Arial"/>
                                    <w:spacing w:val="23"/>
                                  </w:rPr>
                                  <w:t xml:space="preserve"> </w:t>
                                </w:r>
                                <w:r>
                                  <w:rPr>
                                    <w:rFonts w:ascii="Arial"/>
                                    <w:spacing w:val="-2"/>
                                  </w:rPr>
                                  <w:t>Clause</w:t>
                                </w:r>
                                <w:r>
                                  <w:rPr>
                                    <w:rFonts w:ascii="Arial"/>
                                    <w:spacing w:val="24"/>
                                  </w:rPr>
                                  <w:t xml:space="preserve"> </w:t>
                                </w:r>
                                <w:hyperlink w:anchor="_bookmark158" w:history="1">
                                  <w:r>
                                    <w:rPr>
                                      <w:rFonts w:ascii="Arial"/>
                                      <w:spacing w:val="-1"/>
                                    </w:rPr>
                                    <w:t>32.8</w:t>
                                  </w:r>
                                </w:hyperlink>
                                <w:r>
                                  <w:rPr>
                                    <w:rFonts w:ascii="Arial"/>
                                    <w:spacing w:val="-1"/>
                                  </w:rPr>
                                  <w:t>,</w:t>
                                </w:r>
                                <w:r>
                                  <w:rPr>
                                    <w:rFonts w:ascii="Arial"/>
                                    <w:spacing w:val="47"/>
                                  </w:rPr>
                                  <w:t xml:space="preserve"> </w:t>
                                </w:r>
                                <w:r>
                                  <w:rPr>
                                    <w:rFonts w:ascii="Arial"/>
                                  </w:rPr>
                                  <w:t>the</w:t>
                                </w:r>
                                <w:r>
                                  <w:rPr>
                                    <w:rFonts w:ascii="Arial"/>
                                    <w:spacing w:val="31"/>
                                  </w:rPr>
                                  <w:t xml:space="preserve"> </w:t>
                                </w:r>
                                <w:r>
                                  <w:rPr>
                                    <w:rFonts w:ascii="Arial"/>
                                    <w:spacing w:val="-2"/>
                                  </w:rPr>
                                  <w:t>value</w:t>
                                </w:r>
                                <w:r>
                                  <w:rPr>
                                    <w:rFonts w:ascii="Arial"/>
                                    <w:spacing w:val="31"/>
                                  </w:rPr>
                                  <w:t xml:space="preserve"> </w:t>
                                </w:r>
                                <w:r>
                                  <w:rPr>
                                    <w:rFonts w:ascii="Arial"/>
                                  </w:rPr>
                                  <w:t>for</w:t>
                                </w:r>
                                <w:r>
                                  <w:rPr>
                                    <w:rFonts w:ascii="Arial"/>
                                    <w:spacing w:val="33"/>
                                  </w:rPr>
                                  <w:t xml:space="preserve"> </w:t>
                                </w:r>
                                <w:r>
                                  <w:rPr>
                                    <w:rFonts w:ascii="Arial"/>
                                  </w:rPr>
                                  <w:t>X</w:t>
                                </w:r>
                                <w:r>
                                  <w:rPr>
                                    <w:rFonts w:ascii="Arial"/>
                                    <w:spacing w:val="33"/>
                                  </w:rPr>
                                  <w:t xml:space="preserve"> </w:t>
                                </w:r>
                                <w:r>
                                  <w:rPr>
                                    <w:rFonts w:ascii="Arial"/>
                                    <w:spacing w:val="-1"/>
                                  </w:rPr>
                                  <w:t>shall</w:t>
                                </w:r>
                                <w:r>
                                  <w:rPr>
                                    <w:rFonts w:ascii="Arial"/>
                                    <w:spacing w:val="31"/>
                                  </w:rPr>
                                  <w:t xml:space="preserve"> </w:t>
                                </w:r>
                                <w:r>
                                  <w:rPr>
                                    <w:rFonts w:ascii="Arial"/>
                                    <w:spacing w:val="-1"/>
                                  </w:rPr>
                                  <w:t>be</w:t>
                                </w:r>
                                <w:r>
                                  <w:rPr>
                                    <w:rFonts w:ascii="Arial"/>
                                    <w:spacing w:val="31"/>
                                  </w:rPr>
                                  <w:t xml:space="preserve"> </w:t>
                                </w:r>
                                <w:r>
                                  <w:rPr>
                                    <w:rFonts w:ascii="Arial"/>
                                    <w:spacing w:val="-1"/>
                                  </w:rPr>
                                  <w:t>[insert</w:t>
                                </w:r>
                                <w:r>
                                  <w:rPr>
                                    <w:rFonts w:ascii="Arial"/>
                                    <w:spacing w:val="34"/>
                                  </w:rPr>
                                  <w:t xml:space="preserve"> </w:t>
                                </w:r>
                                <w:r>
                                  <w:rPr>
                                    <w:rFonts w:ascii="Arial"/>
                                    <w:spacing w:val="-1"/>
                                  </w:rPr>
                                  <w:t>number</w:t>
                                </w:r>
                                <w:r>
                                  <w:rPr>
                                    <w:rFonts w:ascii="Arial"/>
                                    <w:spacing w:val="33"/>
                                  </w:rPr>
                                  <w:t xml:space="preserve"> </w:t>
                                </w:r>
                                <w:r>
                                  <w:rPr>
                                    <w:rFonts w:ascii="Arial"/>
                                    <w:spacing w:val="-2"/>
                                  </w:rPr>
                                  <w:t>of</w:t>
                                </w:r>
                                <w:r>
                                  <w:rPr>
                                    <w:rFonts w:ascii="Arial"/>
                                    <w:spacing w:val="35"/>
                                  </w:rPr>
                                  <w:t xml:space="preserve"> </w:t>
                                </w:r>
                                <w:r>
                                  <w:rPr>
                                    <w:rFonts w:ascii="Arial"/>
                                    <w:spacing w:val="-2"/>
                                  </w:rPr>
                                  <w:t>Service</w:t>
                                </w:r>
                                <w:r>
                                  <w:rPr>
                                    <w:rFonts w:ascii="Arial"/>
                                    <w:spacing w:val="32"/>
                                  </w:rPr>
                                  <w:t xml:space="preserve"> </w:t>
                                </w:r>
                                <w:r>
                                  <w:rPr>
                                    <w:rFonts w:ascii="Arial"/>
                                    <w:spacing w:val="-1"/>
                                  </w:rPr>
                                  <w:t>Failures]</w:t>
                                </w:r>
                                <w:r>
                                  <w:rPr>
                                    <w:rFonts w:ascii="Arial"/>
                                    <w:spacing w:val="33"/>
                                  </w:rPr>
                                  <w:t xml:space="preserve"> </w:t>
                                </w:r>
                                <w:r>
                                  <w:rPr>
                                    <w:rFonts w:ascii="Arial"/>
                                    <w:spacing w:val="-1"/>
                                  </w:rPr>
                                  <w:t>and</w:t>
                                </w:r>
                                <w:r>
                                  <w:rPr>
                                    <w:rFonts w:ascii="Arial"/>
                                    <w:spacing w:val="31"/>
                                  </w:rPr>
                                  <w:t xml:space="preserve"> </w:t>
                                </w:r>
                                <w:r>
                                  <w:rPr>
                                    <w:rFonts w:ascii="Arial"/>
                                  </w:rPr>
                                  <w:t>the</w:t>
                                </w:r>
                                <w:r>
                                  <w:rPr>
                                    <w:rFonts w:ascii="Arial"/>
                                    <w:spacing w:val="32"/>
                                  </w:rPr>
                                  <w:t xml:space="preserve"> </w:t>
                                </w:r>
                                <w:r>
                                  <w:rPr>
                                    <w:rFonts w:ascii="Arial"/>
                                    <w:spacing w:val="-1"/>
                                  </w:rPr>
                                  <w:t>value</w:t>
                                </w:r>
                                <w:r>
                                  <w:rPr>
                                    <w:rFonts w:ascii="Arial"/>
                                    <w:spacing w:val="31"/>
                                  </w:rPr>
                                  <w:t xml:space="preserve"> </w:t>
                                </w:r>
                                <w:r>
                                  <w:rPr>
                                    <w:rFonts w:ascii="Arial"/>
                                  </w:rPr>
                                  <w:t>for</w:t>
                                </w:r>
                                <w:r>
                                  <w:rPr>
                                    <w:rFonts w:ascii="Arial"/>
                                    <w:spacing w:val="33"/>
                                  </w:rPr>
                                  <w:t xml:space="preserve"> </w:t>
                                </w:r>
                                <w:r>
                                  <w:rPr>
                                    <w:rFonts w:ascii="Arial"/>
                                  </w:rPr>
                                  <w:t>Y</w:t>
                                </w:r>
                                <w:r>
                                  <w:rPr>
                                    <w:rFonts w:ascii="Arial"/>
                                    <w:spacing w:val="41"/>
                                  </w:rPr>
                                  <w:t xml:space="preserve"> </w:t>
                                </w:r>
                                <w:r>
                                  <w:rPr>
                                    <w:rFonts w:ascii="Arial"/>
                                    <w:spacing w:val="-1"/>
                                  </w:rPr>
                                  <w:t>shall be</w:t>
                                </w:r>
                                <w:r>
                                  <w:rPr>
                                    <w:rFonts w:ascii="Arial"/>
                                  </w:rPr>
                                  <w:t xml:space="preserve"> </w:t>
                                </w:r>
                                <w:r>
                                  <w:rPr>
                                    <w:rFonts w:ascii="Arial"/>
                                    <w:spacing w:val="-1"/>
                                  </w:rPr>
                                  <w:t>[insert</w:t>
                                </w:r>
                                <w:r>
                                  <w:rPr>
                                    <w:rFonts w:ascii="Arial"/>
                                    <w:spacing w:val="2"/>
                                  </w:rPr>
                                  <w:t xml:space="preserve"> </w:t>
                                </w:r>
                                <w:r>
                                  <w:rPr>
                                    <w:rFonts w:ascii="Arial"/>
                                    <w:spacing w:val="-2"/>
                                  </w:rPr>
                                  <w:t>number</w:t>
                                </w:r>
                                <w:r>
                                  <w:rPr>
                                    <w:rFonts w:ascii="Arial"/>
                                    <w:spacing w:val="2"/>
                                  </w:rPr>
                                  <w:t xml:space="preserve"> </w:t>
                                </w:r>
                                <w:r>
                                  <w:rPr>
                                    <w:rFonts w:ascii="Arial"/>
                                    <w:spacing w:val="-2"/>
                                  </w:rPr>
                                  <w:t>of</w:t>
                                </w:r>
                                <w:r>
                                  <w:rPr>
                                    <w:rFonts w:ascii="Arial"/>
                                    <w:spacing w:val="-1"/>
                                  </w:rPr>
                                  <w:t xml:space="preserve"> months]</w:t>
                                </w:r>
                                <w:r>
                                  <w:rPr>
                                    <w:rFonts w:ascii="Arial"/>
                                    <w:spacing w:val="9"/>
                                  </w:rPr>
                                  <w:t xml:space="preserve"> </w:t>
                                </w:r>
                                <w:hyperlink w:anchor="_bookmark34" w:history="1">
                                  <w:r>
                                    <w:rPr>
                                      <w:rFonts w:ascii="Arial"/>
                                      <w:spacing w:val="-1"/>
                                      <w:position w:val="10"/>
                                      <w:sz w:val="14"/>
                                    </w:rPr>
                                    <w:t>34</w:t>
                                  </w:r>
                                </w:hyperlink>
                              </w:p>
                            </w:txbxContent>
                          </wps:txbx>
                          <wps:bodyPr rot="0" vert="horz" wrap="square" lIns="0" tIns="0" rIns="0" bIns="0" anchor="t" anchorCtr="0" upright="1">
                            <a:noAutofit/>
                          </wps:bodyPr>
                        </wps:wsp>
                      </wpg:grpSp>
                    </wpg:wgp>
                  </a:graphicData>
                </a:graphic>
              </wp:inline>
            </w:drawing>
          </mc:Choice>
          <mc:Fallback>
            <w:pict>
              <v:group w14:anchorId="74C11DF7" id="Group 7172" o:spid="_x0000_s1104" style="width:402.95pt;height:38.05pt;mso-position-horizontal-relative:char;mso-position-vertical-relative:line" coordsize="805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">
                <v:group id="Group 7178" o:spid="_x0000_s1105" style="position:absolute;width:8057;height:255" coordsize="805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A6HcYAAADdAAAADwAAAGRycy9kb3ducmV2LnhtbESPT2vCQBTE7wW/w/IK&#10;3upmFaukriJSxYMI/oHS2yP7TILZtyG7TeK37xaEHoeZ+Q2zWPW2Ei01vnSsQY0SEMSZMyXnGq6X&#10;7dschA/IBivHpOFBHlbLwcsCU+M6PlF7DrmIEPYpaihCqFMpfVaQRT9yNXH0bq6xGKJscmka7CLc&#10;VnKcJO/SYslxocCaNgVl9/OP1bDrsFtP1Gd7uN82j+/L9Ph1UKT18LVff4AI1If/8LO9Nxp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DodxgAAAN0A&#10;AAAPAAAAAAAAAAAAAAAAAKoCAABkcnMvZG93bnJldi54bWxQSwUGAAAAAAQABAD6AAAAnQMAAAAA&#10;">
                  <v:shape id="Freeform 7179" o:spid="_x0000_s1106" style="position:absolute;width:8057;height:255;visibility:visible;mso-wrap-style:square;v-text-anchor:top" coordsize="80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AIsYA&#10;AADdAAAADwAAAGRycy9kb3ducmV2LnhtbESPQWsCMRSE7wX/Q3hCL0WzeqjLapQqlLYUBK0Xb4/N&#10;M1m7eVmSVLf/vhGEHoeZ+YZZrHrXiguF2HhWMBkXIIhrrxs2Cg5fr6MSREzIGlvPpOCXIqyWg4cF&#10;VtpfeUeXfTIiQzhWqMCm1FVSxtqSwzj2HXH2Tj44TFkGI3XAa4a7Vk6L4lk6bDgvWOxoY6n+3v84&#10;BeePNT8V7mDL8Pm2NbtjZ2JzVOpx2L/MQSTq03/43n7XCmaTcgq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uAIsYAAADdAAAADwAAAAAAAAAAAAAAAACYAgAAZHJz&#10;L2Rvd25yZXYueG1sUEsFBgAAAAAEAAQA9QAAAIsDAAAAAA==&#10;" path="m,254r8057,l8057,,,,,254xe" fillcolor="yellow" stroked="f">
                    <v:path arrowok="t" o:connecttype="custom" o:connectlocs="0,254;8057,254;8057,0;0,0;0,254" o:connectangles="0,0,0,0,0"/>
                  </v:shape>
                </v:group>
                <v:group id="Group 7176" o:spid="_x0000_s1107" style="position:absolute;top:254;width:8057;height:252" coordorigin=",254" coordsize="805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4B8ccAAADdAAAADwAAAGRycy9kb3ducmV2LnhtbESPQWvCQBSE7wX/w/KE&#10;3uomSltJ3YQgtvQgQlWQ3h7ZZxKSfRuy2yT++25B6HGYmW+YTTaZVgzUu9qygngRgSAurK65VHA+&#10;vT+tQTiPrLG1TApu5CBLZw8bTLQd+YuGoy9FgLBLUEHlfZdI6YqKDLqF7YiDd7W9QR9kX0rd4xjg&#10;ppXLKHqRBmsOCxV2tK2oaI4/RsHHiGO+infDvrlub9+n58NlH5NSj/MpfwPhafL/4Xv7Uyt4jd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4B8ccAAADd&#10;AAAADwAAAAAAAAAAAAAAAACqAgAAZHJzL2Rvd25yZXYueG1sUEsFBgAAAAAEAAQA+gAAAJ4DAAAA&#10;AA==&#10;">
                  <v:shape id="Freeform 7177" o:spid="_x0000_s1108" style="position:absolute;top:254;width:8057;height:252;visibility:visible;mso-wrap-style:square;v-text-anchor:top" coordsize="805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Dk8cA&#10;AADdAAAADwAAAGRycy9kb3ducmV2LnhtbESPQUvDQBSE74L/YXlCb3aTUrTEbosU2koQmkY9eHtk&#10;n9lg9u2SXdv037uC0OMwM98wy/Voe3GiIXSOFeTTDARx43THrYL3t+39AkSIyBp7x6TgQgHWq9ub&#10;JRbanflIpzq2IkE4FKjAxOgLKUNjyGKYOk+cvC83WIxJDq3UA54T3PZylmUP0mLHacGgp42h5rv+&#10;sQr2n3m/11VZ7g6vZfVR+Ys3h1qpyd34/AQi0hiv4f/2i1bwmC/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yA5PHAAAA3QAAAA8AAAAAAAAAAAAAAAAAmAIAAGRy&#10;cy9kb3ducmV2LnhtbFBLBQYAAAAABAAEAPUAAACMAwAAAAA=&#10;" path="m,252r8057,l8057,,,,,252xe" fillcolor="yellow" stroked="f">
                    <v:path arrowok="t" o:connecttype="custom" o:connectlocs="0,506;8057,506;8057,254;0,254;0,506" o:connectangles="0,0,0,0,0"/>
                  </v:shape>
                </v:group>
                <v:group id="Group 7173" o:spid="_x0000_s1109" style="position:absolute;top:506;width:3540;height:255" coordorigin=",506" coordsize="354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s8HscAAADdAAAADwAAAGRycy9kb3ducmV2LnhtbESPT2vCQBTE7wW/w/KE&#10;3uomFltJ3YgEFQ9SqBZKb4/sMwnJvg3ZNX++fbdQ6HGYmd8wm+1oGtFT5yrLCuJFBII4t7riQsHn&#10;9fC0BuE8ssbGMimYyME2nT1sMNF24A/qL74QAcIuQQWl920ipctLMugWtiUO3s12Bn2QXSF1h0OA&#10;m0Yuo+hFGqw4LJTYUlZSXl/uRsFxwGH3HO/7c33Lpu/r6v3rHJNSj/Nx9wbC0+j/w3/tk1bwGq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s8HscAAADd&#10;AAAADwAAAAAAAAAAAAAAAACqAgAAZHJzL2Rvd25yZXYueG1sUEsFBgAAAAAEAAQA+gAAAJ4DAAAA&#10;AA==&#10;">
                  <v:shape id="Freeform 7175" o:spid="_x0000_s1110" style="position:absolute;top:506;width:3540;height:255;visibility:visible;mso-wrap-style:square;v-text-anchor:top" coordsize="354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dM8UA&#10;AADdAAAADwAAAGRycy9kb3ducmV2LnhtbESPT2sCMRTE70K/Q3gFb5pVQZetUVqL0pv45+LtdfO6&#10;2bp5WZJUt9/eCILHYWZ+w8yXnW3EhXyoHSsYDTMQxKXTNVcKjof1IAcRIrLGxjEp+KcAy8VLb46F&#10;dlfe0WUfK5EgHApUYGJsCylDachiGLqWOHk/zluMSfpKao/XBLeNHGfZVFqsOS0YbGllqDzv/6yC&#10;06ncnv36e3PMafMR8PBbTcynUv3X7v0NRKQuPsOP9pdWMBvlU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Z0zxQAAAN0AAAAPAAAAAAAAAAAAAAAAAJgCAABkcnMv&#10;ZG93bnJldi54bWxQSwUGAAAAAAQABAD1AAAAigMAAAAA&#10;" path="m,255r3540,l3540,,,,,255xe" fillcolor="yellow" stroked="f">
                    <v:path arrowok="t" o:connecttype="custom" o:connectlocs="0,761;3540,761;3540,506;0,506;0,761" o:connectangles="0,0,0,0,0"/>
                  </v:shape>
                  <v:shape id="Text Box 7174" o:spid="_x0000_s1111" type="#_x0000_t202" style="position:absolute;width:805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PKcYA&#10;AADdAAAADwAAAGRycy9kb3ducmV2LnhtbESPT4vCMBTE7wt+h/AEb2vqHvxTjSKyC4KwWOvB47N5&#10;tsHmpdtE7X57s7DgcZiZ3zCLVWdrcafWG8cKRsMEBHHhtOFSwTH/ep+C8AFZY+2YFPySh9Wy97bA&#10;VLsHZ3Q/hFJECPsUFVQhNKmUvqjIoh+6hjh6F9daDFG2pdQtPiLc1vIjScbSouG4UGFDm4qK6+Fm&#10;FaxPnH2an+/zPrtkJs9nCe/GV6UG/W49BxGoC6/wf3urFUxG0w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PKcYAAADdAAAADwAAAAAAAAAAAAAAAACYAgAAZHJz&#10;L2Rvd25yZXYueG1sUEsFBgAAAAAEAAQA9QAAAIsDAAAAAA==&#10;" filled="f" stroked="f">
                    <v:textbox inset="0,0,0,0">
                      <w:txbxContent>
                        <w:p w:rsidR="005D2B81" w:rsidRDefault="005D2B81" w:rsidP="008918FA">
                          <w:pPr>
                            <w:spacing w:before="7" w:line="228" w:lineRule="auto"/>
                            <w:jc w:val="both"/>
                            <w:rPr>
                              <w:rFonts w:ascii="Arial" w:eastAsia="Arial" w:hAnsi="Arial" w:cs="Arial"/>
                              <w:sz w:val="14"/>
                              <w:szCs w:val="14"/>
                            </w:rPr>
                          </w:pPr>
                          <w:r>
                            <w:rPr>
                              <w:rFonts w:ascii="Arial"/>
                              <w:spacing w:val="-1"/>
                            </w:rPr>
                            <w:t>[Clause</w:t>
                          </w:r>
                          <w:r>
                            <w:rPr>
                              <w:rFonts w:ascii="Arial"/>
                              <w:spacing w:val="23"/>
                            </w:rPr>
                            <w:t xml:space="preserve"> </w:t>
                          </w:r>
                          <w:hyperlink w:anchor="_bookmark158" w:history="1">
                            <w:r>
                              <w:rPr>
                                <w:rFonts w:ascii="Arial"/>
                                <w:spacing w:val="-1"/>
                              </w:rPr>
                              <w:t>32.8</w:t>
                            </w:r>
                          </w:hyperlink>
                          <w:r>
                            <w:rPr>
                              <w:rFonts w:ascii="Arial"/>
                              <w:spacing w:val="20"/>
                            </w:rPr>
                            <w:t xml:space="preserve"> </w:t>
                          </w:r>
                          <w:r>
                            <w:rPr>
                              <w:rFonts w:ascii="Arial"/>
                              <w:spacing w:val="-2"/>
                            </w:rPr>
                            <w:t>of</w:t>
                          </w:r>
                          <w:r>
                            <w:rPr>
                              <w:rFonts w:ascii="Arial"/>
                              <w:spacing w:val="23"/>
                            </w:rPr>
                            <w:t xml:space="preserve"> </w:t>
                          </w:r>
                          <w:r>
                            <w:rPr>
                              <w:rFonts w:ascii="Arial"/>
                            </w:rPr>
                            <w:t>the</w:t>
                          </w:r>
                          <w:r>
                            <w:rPr>
                              <w:rFonts w:ascii="Arial"/>
                              <w:spacing w:val="19"/>
                            </w:rPr>
                            <w:t xml:space="preserve"> </w:t>
                          </w:r>
                          <w:r>
                            <w:rPr>
                              <w:rFonts w:ascii="Arial"/>
                              <w:spacing w:val="-2"/>
                            </w:rPr>
                            <w:t>Call</w:t>
                          </w:r>
                          <w:r>
                            <w:rPr>
                              <w:rFonts w:ascii="Arial"/>
                              <w:spacing w:val="21"/>
                            </w:rPr>
                            <w:t xml:space="preserve"> </w:t>
                          </w:r>
                          <w:r>
                            <w:rPr>
                              <w:rFonts w:ascii="Arial"/>
                              <w:spacing w:val="-1"/>
                            </w:rPr>
                            <w:t>Off</w:t>
                          </w:r>
                          <w:r>
                            <w:rPr>
                              <w:rFonts w:ascii="Arial"/>
                              <w:spacing w:val="21"/>
                            </w:rPr>
                            <w:t xml:space="preserve"> </w:t>
                          </w:r>
                          <w:r>
                            <w:rPr>
                              <w:rFonts w:ascii="Arial"/>
                              <w:spacing w:val="-1"/>
                            </w:rPr>
                            <w:t>Terms</w:t>
                          </w:r>
                          <w:r>
                            <w:rPr>
                              <w:rFonts w:ascii="Arial"/>
                              <w:spacing w:val="20"/>
                            </w:rPr>
                            <w:t xml:space="preserve"> </w:t>
                          </w:r>
                          <w:r>
                            <w:rPr>
                              <w:rFonts w:ascii="Arial"/>
                              <w:spacing w:val="-1"/>
                            </w:rPr>
                            <w:t>shall</w:t>
                          </w:r>
                          <w:r>
                            <w:rPr>
                              <w:rFonts w:ascii="Arial"/>
                              <w:spacing w:val="21"/>
                            </w:rPr>
                            <w:t xml:space="preserve"> </w:t>
                          </w:r>
                          <w:r>
                            <w:rPr>
                              <w:rFonts w:ascii="Arial"/>
                              <w:spacing w:val="-2"/>
                            </w:rPr>
                            <w:t>apply.</w:t>
                          </w:r>
                          <w:r>
                            <w:rPr>
                              <w:rFonts w:ascii="Arial"/>
                              <w:spacing w:val="24"/>
                            </w:rPr>
                            <w:t xml:space="preserve"> </w:t>
                          </w:r>
                          <w:r>
                            <w:rPr>
                              <w:rFonts w:ascii="Arial"/>
                              <w:spacing w:val="-1"/>
                            </w:rPr>
                            <w:t>For</w:t>
                          </w:r>
                          <w:r>
                            <w:rPr>
                              <w:rFonts w:ascii="Arial"/>
                              <w:spacing w:val="23"/>
                            </w:rPr>
                            <w:t xml:space="preserve"> </w:t>
                          </w:r>
                          <w:r>
                            <w:rPr>
                              <w:rFonts w:ascii="Arial"/>
                              <w:spacing w:val="-1"/>
                            </w:rPr>
                            <w:t>the</w:t>
                          </w:r>
                          <w:r>
                            <w:rPr>
                              <w:rFonts w:ascii="Arial"/>
                              <w:spacing w:val="22"/>
                            </w:rPr>
                            <w:t xml:space="preserve"> </w:t>
                          </w:r>
                          <w:r>
                            <w:rPr>
                              <w:rFonts w:ascii="Arial"/>
                              <w:spacing w:val="-1"/>
                            </w:rPr>
                            <w:t>purposes</w:t>
                          </w:r>
                          <w:r>
                            <w:rPr>
                              <w:rFonts w:ascii="Arial"/>
                              <w:spacing w:val="22"/>
                            </w:rPr>
                            <w:t xml:space="preserve"> </w:t>
                          </w:r>
                          <w:r>
                            <w:rPr>
                              <w:rFonts w:ascii="Arial"/>
                              <w:spacing w:val="-2"/>
                            </w:rPr>
                            <w:t>of</w:t>
                          </w:r>
                          <w:r>
                            <w:rPr>
                              <w:rFonts w:ascii="Arial"/>
                              <w:spacing w:val="23"/>
                            </w:rPr>
                            <w:t xml:space="preserve"> </w:t>
                          </w:r>
                          <w:r>
                            <w:rPr>
                              <w:rFonts w:ascii="Arial"/>
                              <w:spacing w:val="-2"/>
                            </w:rPr>
                            <w:t>Clause</w:t>
                          </w:r>
                          <w:r>
                            <w:rPr>
                              <w:rFonts w:ascii="Arial"/>
                              <w:spacing w:val="24"/>
                            </w:rPr>
                            <w:t xml:space="preserve"> </w:t>
                          </w:r>
                          <w:hyperlink w:anchor="_bookmark158" w:history="1">
                            <w:r>
                              <w:rPr>
                                <w:rFonts w:ascii="Arial"/>
                                <w:spacing w:val="-1"/>
                              </w:rPr>
                              <w:t>32.8</w:t>
                            </w:r>
                          </w:hyperlink>
                          <w:r>
                            <w:rPr>
                              <w:rFonts w:ascii="Arial"/>
                              <w:spacing w:val="-1"/>
                            </w:rPr>
                            <w:t>,</w:t>
                          </w:r>
                          <w:r>
                            <w:rPr>
                              <w:rFonts w:ascii="Arial"/>
                              <w:spacing w:val="47"/>
                            </w:rPr>
                            <w:t xml:space="preserve"> </w:t>
                          </w:r>
                          <w:r>
                            <w:rPr>
                              <w:rFonts w:ascii="Arial"/>
                            </w:rPr>
                            <w:t>the</w:t>
                          </w:r>
                          <w:r>
                            <w:rPr>
                              <w:rFonts w:ascii="Arial"/>
                              <w:spacing w:val="31"/>
                            </w:rPr>
                            <w:t xml:space="preserve"> </w:t>
                          </w:r>
                          <w:r>
                            <w:rPr>
                              <w:rFonts w:ascii="Arial"/>
                              <w:spacing w:val="-2"/>
                            </w:rPr>
                            <w:t>value</w:t>
                          </w:r>
                          <w:r>
                            <w:rPr>
                              <w:rFonts w:ascii="Arial"/>
                              <w:spacing w:val="31"/>
                            </w:rPr>
                            <w:t xml:space="preserve"> </w:t>
                          </w:r>
                          <w:r>
                            <w:rPr>
                              <w:rFonts w:ascii="Arial"/>
                            </w:rPr>
                            <w:t>for</w:t>
                          </w:r>
                          <w:r>
                            <w:rPr>
                              <w:rFonts w:ascii="Arial"/>
                              <w:spacing w:val="33"/>
                            </w:rPr>
                            <w:t xml:space="preserve"> </w:t>
                          </w:r>
                          <w:r>
                            <w:rPr>
                              <w:rFonts w:ascii="Arial"/>
                            </w:rPr>
                            <w:t>X</w:t>
                          </w:r>
                          <w:r>
                            <w:rPr>
                              <w:rFonts w:ascii="Arial"/>
                              <w:spacing w:val="33"/>
                            </w:rPr>
                            <w:t xml:space="preserve"> </w:t>
                          </w:r>
                          <w:r>
                            <w:rPr>
                              <w:rFonts w:ascii="Arial"/>
                              <w:spacing w:val="-1"/>
                            </w:rPr>
                            <w:t>shall</w:t>
                          </w:r>
                          <w:r>
                            <w:rPr>
                              <w:rFonts w:ascii="Arial"/>
                              <w:spacing w:val="31"/>
                            </w:rPr>
                            <w:t xml:space="preserve"> </w:t>
                          </w:r>
                          <w:r>
                            <w:rPr>
                              <w:rFonts w:ascii="Arial"/>
                              <w:spacing w:val="-1"/>
                            </w:rPr>
                            <w:t>be</w:t>
                          </w:r>
                          <w:r>
                            <w:rPr>
                              <w:rFonts w:ascii="Arial"/>
                              <w:spacing w:val="31"/>
                            </w:rPr>
                            <w:t xml:space="preserve"> </w:t>
                          </w:r>
                          <w:r>
                            <w:rPr>
                              <w:rFonts w:ascii="Arial"/>
                              <w:spacing w:val="-1"/>
                            </w:rPr>
                            <w:t>[insert</w:t>
                          </w:r>
                          <w:r>
                            <w:rPr>
                              <w:rFonts w:ascii="Arial"/>
                              <w:spacing w:val="34"/>
                            </w:rPr>
                            <w:t xml:space="preserve"> </w:t>
                          </w:r>
                          <w:r>
                            <w:rPr>
                              <w:rFonts w:ascii="Arial"/>
                              <w:spacing w:val="-1"/>
                            </w:rPr>
                            <w:t>number</w:t>
                          </w:r>
                          <w:r>
                            <w:rPr>
                              <w:rFonts w:ascii="Arial"/>
                              <w:spacing w:val="33"/>
                            </w:rPr>
                            <w:t xml:space="preserve"> </w:t>
                          </w:r>
                          <w:r>
                            <w:rPr>
                              <w:rFonts w:ascii="Arial"/>
                              <w:spacing w:val="-2"/>
                            </w:rPr>
                            <w:t>of</w:t>
                          </w:r>
                          <w:r>
                            <w:rPr>
                              <w:rFonts w:ascii="Arial"/>
                              <w:spacing w:val="35"/>
                            </w:rPr>
                            <w:t xml:space="preserve"> </w:t>
                          </w:r>
                          <w:r>
                            <w:rPr>
                              <w:rFonts w:ascii="Arial"/>
                              <w:spacing w:val="-2"/>
                            </w:rPr>
                            <w:t>Service</w:t>
                          </w:r>
                          <w:r>
                            <w:rPr>
                              <w:rFonts w:ascii="Arial"/>
                              <w:spacing w:val="32"/>
                            </w:rPr>
                            <w:t xml:space="preserve"> </w:t>
                          </w:r>
                          <w:r>
                            <w:rPr>
                              <w:rFonts w:ascii="Arial"/>
                              <w:spacing w:val="-1"/>
                            </w:rPr>
                            <w:t>Failures]</w:t>
                          </w:r>
                          <w:r>
                            <w:rPr>
                              <w:rFonts w:ascii="Arial"/>
                              <w:spacing w:val="33"/>
                            </w:rPr>
                            <w:t xml:space="preserve"> </w:t>
                          </w:r>
                          <w:r>
                            <w:rPr>
                              <w:rFonts w:ascii="Arial"/>
                              <w:spacing w:val="-1"/>
                            </w:rPr>
                            <w:t>and</w:t>
                          </w:r>
                          <w:r>
                            <w:rPr>
                              <w:rFonts w:ascii="Arial"/>
                              <w:spacing w:val="31"/>
                            </w:rPr>
                            <w:t xml:space="preserve"> </w:t>
                          </w:r>
                          <w:r>
                            <w:rPr>
                              <w:rFonts w:ascii="Arial"/>
                            </w:rPr>
                            <w:t>the</w:t>
                          </w:r>
                          <w:r>
                            <w:rPr>
                              <w:rFonts w:ascii="Arial"/>
                              <w:spacing w:val="32"/>
                            </w:rPr>
                            <w:t xml:space="preserve"> </w:t>
                          </w:r>
                          <w:r>
                            <w:rPr>
                              <w:rFonts w:ascii="Arial"/>
                              <w:spacing w:val="-1"/>
                            </w:rPr>
                            <w:t>value</w:t>
                          </w:r>
                          <w:r>
                            <w:rPr>
                              <w:rFonts w:ascii="Arial"/>
                              <w:spacing w:val="31"/>
                            </w:rPr>
                            <w:t xml:space="preserve"> </w:t>
                          </w:r>
                          <w:r>
                            <w:rPr>
                              <w:rFonts w:ascii="Arial"/>
                            </w:rPr>
                            <w:t>for</w:t>
                          </w:r>
                          <w:r>
                            <w:rPr>
                              <w:rFonts w:ascii="Arial"/>
                              <w:spacing w:val="33"/>
                            </w:rPr>
                            <w:t xml:space="preserve"> </w:t>
                          </w:r>
                          <w:r>
                            <w:rPr>
                              <w:rFonts w:ascii="Arial"/>
                            </w:rPr>
                            <w:t>Y</w:t>
                          </w:r>
                          <w:r>
                            <w:rPr>
                              <w:rFonts w:ascii="Arial"/>
                              <w:spacing w:val="41"/>
                            </w:rPr>
                            <w:t xml:space="preserve"> </w:t>
                          </w:r>
                          <w:r>
                            <w:rPr>
                              <w:rFonts w:ascii="Arial"/>
                              <w:spacing w:val="-1"/>
                            </w:rPr>
                            <w:t>shall be</w:t>
                          </w:r>
                          <w:r>
                            <w:rPr>
                              <w:rFonts w:ascii="Arial"/>
                            </w:rPr>
                            <w:t xml:space="preserve"> </w:t>
                          </w:r>
                          <w:r>
                            <w:rPr>
                              <w:rFonts w:ascii="Arial"/>
                              <w:spacing w:val="-1"/>
                            </w:rPr>
                            <w:t>[insert</w:t>
                          </w:r>
                          <w:r>
                            <w:rPr>
                              <w:rFonts w:ascii="Arial"/>
                              <w:spacing w:val="2"/>
                            </w:rPr>
                            <w:t xml:space="preserve"> </w:t>
                          </w:r>
                          <w:r>
                            <w:rPr>
                              <w:rFonts w:ascii="Arial"/>
                              <w:spacing w:val="-2"/>
                            </w:rPr>
                            <w:t>number</w:t>
                          </w:r>
                          <w:r>
                            <w:rPr>
                              <w:rFonts w:ascii="Arial"/>
                              <w:spacing w:val="2"/>
                            </w:rPr>
                            <w:t xml:space="preserve"> </w:t>
                          </w:r>
                          <w:r>
                            <w:rPr>
                              <w:rFonts w:ascii="Arial"/>
                              <w:spacing w:val="-2"/>
                            </w:rPr>
                            <w:t>of</w:t>
                          </w:r>
                          <w:r>
                            <w:rPr>
                              <w:rFonts w:ascii="Arial"/>
                              <w:spacing w:val="-1"/>
                            </w:rPr>
                            <w:t xml:space="preserve"> months]</w:t>
                          </w:r>
                          <w:r>
                            <w:rPr>
                              <w:rFonts w:ascii="Arial"/>
                              <w:spacing w:val="9"/>
                            </w:rPr>
                            <w:t xml:space="preserve"> </w:t>
                          </w:r>
                          <w:hyperlink w:anchor="_bookmark34" w:history="1">
                            <w:r>
                              <w:rPr>
                                <w:rFonts w:ascii="Arial"/>
                                <w:spacing w:val="-1"/>
                                <w:position w:val="10"/>
                                <w:sz w:val="14"/>
                              </w:rPr>
                              <w:t>34</w:t>
                            </w:r>
                          </w:hyperlink>
                        </w:p>
                      </w:txbxContent>
                    </v:textbox>
                  </v:shape>
                </v:group>
                <w10:anchorlock/>
              </v:group>
            </w:pict>
          </mc:Fallback>
        </mc:AlternateContent>
      </w:r>
    </w:p>
    <w:p w:rsidR="008918FA" w:rsidRDefault="008918FA" w:rsidP="008918FA">
      <w:pPr>
        <w:numPr>
          <w:ilvl w:val="1"/>
          <w:numId w:val="74"/>
        </w:numPr>
        <w:tabs>
          <w:tab w:val="left" w:pos="1094"/>
        </w:tabs>
        <w:spacing w:before="115"/>
        <w:ind w:left="1093" w:hanging="566"/>
        <w:rPr>
          <w:rFonts w:ascii="Arial" w:eastAsia="Arial" w:hAnsi="Arial" w:cs="Arial"/>
        </w:rPr>
      </w:pPr>
      <w:r>
        <w:rPr>
          <w:rFonts w:ascii="Arial"/>
          <w:b/>
          <w:spacing w:val="-1"/>
        </w:rPr>
        <w:t>Protection</w:t>
      </w:r>
      <w:r>
        <w:rPr>
          <w:rFonts w:ascii="Arial"/>
          <w:b/>
        </w:rPr>
        <w:t xml:space="preserve"> </w:t>
      </w:r>
      <w:r>
        <w:rPr>
          <w:rFonts w:ascii="Arial"/>
          <w:b/>
          <w:spacing w:val="-2"/>
        </w:rPr>
        <w:t>of</w:t>
      </w:r>
      <w:r>
        <w:rPr>
          <w:rFonts w:ascii="Arial"/>
          <w:b/>
          <w:spacing w:val="2"/>
        </w:rPr>
        <w:t xml:space="preserve"> </w:t>
      </w:r>
      <w:r>
        <w:rPr>
          <w:rFonts w:ascii="Arial"/>
          <w:b/>
          <w:spacing w:val="-1"/>
        </w:rPr>
        <w:t>Customer Data</w:t>
      </w:r>
    </w:p>
    <w:p w:rsidR="008918FA" w:rsidRDefault="008918FA" w:rsidP="008918FA">
      <w:pPr>
        <w:spacing w:before="8"/>
        <w:rPr>
          <w:rFonts w:ascii="Arial" w:eastAsia="Arial" w:hAnsi="Arial" w:cs="Arial"/>
          <w:b/>
          <w:bCs/>
          <w:sz w:val="9"/>
          <w:szCs w:val="9"/>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49A2C0E6" wp14:editId="03CF155E">
                <wp:extent cx="1379855" cy="167640"/>
                <wp:effectExtent l="1905" t="0" r="0" b="0"/>
                <wp:docPr id="7175" name="Group 7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167640"/>
                          <a:chOff x="0" y="0"/>
                          <a:chExt cx="2173" cy="264"/>
                        </a:xfrm>
                      </wpg:grpSpPr>
                      <wpg:grpSp>
                        <wpg:cNvPr id="7176" name="Group 7168"/>
                        <wpg:cNvGrpSpPr>
                          <a:grpSpLocks/>
                        </wpg:cNvGrpSpPr>
                        <wpg:grpSpPr bwMode="auto">
                          <a:xfrm>
                            <a:off x="0" y="12"/>
                            <a:ext cx="2172" cy="252"/>
                            <a:chOff x="0" y="12"/>
                            <a:chExt cx="2172" cy="252"/>
                          </a:xfrm>
                        </wpg:grpSpPr>
                        <wps:wsp>
                          <wps:cNvPr id="7177" name="Freeform 7171"/>
                          <wps:cNvSpPr>
                            <a:spLocks/>
                          </wps:cNvSpPr>
                          <wps:spPr bwMode="auto">
                            <a:xfrm>
                              <a:off x="0" y="12"/>
                              <a:ext cx="2172" cy="252"/>
                            </a:xfrm>
                            <a:custGeom>
                              <a:avLst/>
                              <a:gdLst>
                                <a:gd name="T0" fmla="*/ 0 w 2172"/>
                                <a:gd name="T1" fmla="+- 0 264 12"/>
                                <a:gd name="T2" fmla="*/ 264 h 252"/>
                                <a:gd name="T3" fmla="*/ 2172 w 2172"/>
                                <a:gd name="T4" fmla="+- 0 264 12"/>
                                <a:gd name="T5" fmla="*/ 264 h 252"/>
                                <a:gd name="T6" fmla="*/ 2172 w 2172"/>
                                <a:gd name="T7" fmla="+- 0 12 12"/>
                                <a:gd name="T8" fmla="*/ 12 h 252"/>
                                <a:gd name="T9" fmla="*/ 0 w 2172"/>
                                <a:gd name="T10" fmla="+- 0 12 12"/>
                                <a:gd name="T11" fmla="*/ 12 h 252"/>
                                <a:gd name="T12" fmla="*/ 0 w 2172"/>
                                <a:gd name="T13" fmla="+- 0 264 12"/>
                                <a:gd name="T14" fmla="*/ 264 h 252"/>
                              </a:gdLst>
                              <a:ahLst/>
                              <a:cxnLst>
                                <a:cxn ang="0">
                                  <a:pos x="T0" y="T2"/>
                                </a:cxn>
                                <a:cxn ang="0">
                                  <a:pos x="T3" y="T5"/>
                                </a:cxn>
                                <a:cxn ang="0">
                                  <a:pos x="T6" y="T8"/>
                                </a:cxn>
                                <a:cxn ang="0">
                                  <a:pos x="T9" y="T11"/>
                                </a:cxn>
                                <a:cxn ang="0">
                                  <a:pos x="T12" y="T14"/>
                                </a:cxn>
                              </a:cxnLst>
                              <a:rect l="0" t="0" r="r" b="b"/>
                              <a:pathLst>
                                <a:path w="2172" h="252">
                                  <a:moveTo>
                                    <a:pt x="0" y="252"/>
                                  </a:moveTo>
                                  <a:lnTo>
                                    <a:pt x="2172" y="252"/>
                                  </a:lnTo>
                                  <a:lnTo>
                                    <a:pt x="2172"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8" name="Text Box 7170"/>
                          <wps:cNvSpPr txBox="1">
                            <a:spLocks noChangeArrowheads="1"/>
                          </wps:cNvSpPr>
                          <wps:spPr bwMode="auto">
                            <a:xfrm>
                              <a:off x="0" y="35"/>
                              <a:ext cx="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1" w:lineRule="exact"/>
                                  <w:rPr>
                                    <w:rFonts w:ascii="Arial" w:eastAsia="Arial" w:hAnsi="Arial" w:cs="Arial"/>
                                  </w:rPr>
                                </w:pPr>
                                <w:r>
                                  <w:rPr>
                                    <w:rFonts w:ascii="Arial"/>
                                  </w:rPr>
                                  <w:t>[</w:t>
                                </w:r>
                              </w:p>
                            </w:txbxContent>
                          </wps:txbx>
                          <wps:bodyPr rot="0" vert="horz" wrap="square" lIns="0" tIns="0" rIns="0" bIns="0" anchor="t" anchorCtr="0" upright="1">
                            <a:noAutofit/>
                          </wps:bodyPr>
                        </wps:wsp>
                        <wps:wsp>
                          <wps:cNvPr id="7179" name="Text Box 7169"/>
                          <wps:cNvSpPr txBox="1">
                            <a:spLocks noChangeArrowheads="1"/>
                          </wps:cNvSpPr>
                          <wps:spPr bwMode="auto">
                            <a:xfrm>
                              <a:off x="1887" y="0"/>
                              <a:ext cx="2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5" w:lineRule="exact"/>
                                  <w:rPr>
                                    <w:rFonts w:ascii="Arial" w:eastAsia="Arial" w:hAnsi="Arial" w:cs="Arial"/>
                                    <w:sz w:val="14"/>
                                    <w:szCs w:val="14"/>
                                  </w:rPr>
                                </w:pPr>
                                <w:r>
                                  <w:rPr>
                                    <w:rFonts w:ascii="Arial"/>
                                    <w:position w:val="-9"/>
                                  </w:rPr>
                                  <w:t>]</w:t>
                                </w:r>
                                <w:r>
                                  <w:rPr>
                                    <w:rFonts w:ascii="Arial"/>
                                    <w:spacing w:val="7"/>
                                    <w:position w:val="-9"/>
                                  </w:rPr>
                                  <w:t xml:space="preserve"> </w:t>
                                </w:r>
                                <w:hyperlink w:anchor="_bookmark35" w:history="1">
                                  <w:r>
                                    <w:rPr>
                                      <w:rFonts w:ascii="Arial"/>
                                      <w:b/>
                                      <w:spacing w:val="-1"/>
                                      <w:sz w:val="14"/>
                                    </w:rPr>
                                    <w:t>35</w:t>
                                  </w:r>
                                </w:hyperlink>
                              </w:p>
                            </w:txbxContent>
                          </wps:txbx>
                          <wps:bodyPr rot="0" vert="horz" wrap="square" lIns="0" tIns="0" rIns="0" bIns="0" anchor="t" anchorCtr="0" upright="1">
                            <a:noAutofit/>
                          </wps:bodyPr>
                        </wps:wsp>
                      </wpg:grpSp>
                    </wpg:wgp>
                  </a:graphicData>
                </a:graphic>
              </wp:inline>
            </w:drawing>
          </mc:Choice>
          <mc:Fallback>
            <w:pict>
              <v:group w14:anchorId="49A2C0E6" id="Group 7167" o:spid="_x0000_s1112" style="width:108.65pt;height:13.2pt;mso-position-horizontal-relative:char;mso-position-vertical-relative:line" coordsize="217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">
                <v:group id="Group 7168" o:spid="_x0000_s1113" style="position:absolute;top:12;width:2172;height:252" coordorigin=",12" coordsize="217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zSTscAAADdAAAADwAAAGRycy9kb3ducmV2LnhtbESPT2vCQBTE7wW/w/KE&#10;3uomSlWiq4jU0kMoNBFKb4/sMwlm34bsNn++fbdQ6HGYmd8w++NoGtFT52rLCuJFBIK4sLrmUsE1&#10;vzxtQTiPrLGxTAomcnA8zB72mGg78Af1mS9FgLBLUEHlfZtI6YqKDLqFbYmDd7OdQR9kV0rd4RDg&#10;ppHLKFpLgzWHhQpbOldU3LNvo+B1wOG0il/69H47T1/58/tnGpNSj/PxtAPhafT/4b/2m1awiT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zSTscAAADd&#10;AAAADwAAAAAAAAAAAAAAAACqAgAAZHJzL2Rvd25yZXYueG1sUEsFBgAAAAAEAAQA+gAAAJ4DAAAA&#10;AA==&#10;">
                  <v:shape id="Freeform 7171" o:spid="_x0000_s1114" style="position:absolute;top:12;width:2172;height:252;visibility:visible;mso-wrap-style:square;v-text-anchor:top" coordsize="21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e0cQA&#10;AADdAAAADwAAAGRycy9kb3ducmV2LnhtbESPQYvCMBSE78L+h/AEb5qqYJdqWnRBcA8e2l1wj4/m&#10;2Rabl9JErf9+Iwgeh5n5htlkg2nFjXrXWFYwn0UgiEurG64U/P7sp58gnEfW2FomBQ9ykKUfow0m&#10;2t45p1vhKxEg7BJUUHvfJVK6siaDbmY74uCdbW/QB9lXUvd4D3DTykUUraTBhsNCjR191VReiqtR&#10;gKdmxbnPd99/xbHC3fnk9GKp1GQ8bNcgPA3+HX61D1pBPI9jeL4JT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3tHEAAAA3QAAAA8AAAAAAAAAAAAAAAAAmAIAAGRycy9k&#10;b3ducmV2LnhtbFBLBQYAAAAABAAEAPUAAACJAwAAAAA=&#10;" path="m,252r2172,l2172,,,,,252xe" fillcolor="yellow" stroked="f">
                    <v:path arrowok="t" o:connecttype="custom" o:connectlocs="0,264;2172,264;2172,12;0,12;0,264" o:connectangles="0,0,0,0,0"/>
                  </v:shape>
                  <v:shape id="Text Box 7170" o:spid="_x0000_s1115" type="#_x0000_t202" style="position:absolute;top:35;width:6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rfMQA&#10;AADdAAAADwAAAGRycy9kb3ducmV2LnhtbERPz2vCMBS+D/Y/hDfYbabdoc7OVEQmDAbDWg8e35pn&#10;G9q81CZq998vB2HHj+/3cjXZXlxp9MaxgnSWgCCunTbcKDhU25c3ED4ga+wdk4Jf8rAqHh+WmGt3&#10;45Ku+9CIGMI+RwVtCEMupa9bsuhnbiCO3MmNFkOEYyP1iLcYbnv5miSZtGg4NrQ40KaluttfrIL1&#10;kcsPc/7+2ZWn0lTVIuGvrFPq+Wlav4MINIV/8d39qRXM03m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63zEAAAA3QAAAA8AAAAAAAAAAAAAAAAAmAIAAGRycy9k&#10;b3ducmV2LnhtbFBLBQYAAAAABAAEAPUAAACJAwAAAAA=&#10;" filled="f" stroked="f">
                    <v:textbox inset="0,0,0,0">
                      <w:txbxContent>
                        <w:p w:rsidR="005D2B81" w:rsidRDefault="005D2B81" w:rsidP="008918FA">
                          <w:pPr>
                            <w:spacing w:line="221" w:lineRule="exact"/>
                            <w:rPr>
                              <w:rFonts w:ascii="Arial" w:eastAsia="Arial" w:hAnsi="Arial" w:cs="Arial"/>
                            </w:rPr>
                          </w:pPr>
                          <w:r>
                            <w:rPr>
                              <w:rFonts w:ascii="Arial"/>
                            </w:rPr>
                            <w:t>[</w:t>
                          </w:r>
                        </w:p>
                      </w:txbxContent>
                    </v:textbox>
                  </v:shape>
                  <v:shape id="Text Box 7169" o:spid="_x0000_s1116" type="#_x0000_t202" style="position:absolute;left:1887;width:28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O58YA&#10;AADdAAAADwAAAGRycy9kb3ducmV2LnhtbESPT4vCMBTE74LfITxhb5q6B/9Uo4issLCwbK0Hj8/m&#10;2Qabl9pE7X77zYLgcZiZ3zDLdWdrcafWG8cKxqMEBHHhtOFSwSHfDWcgfEDWWDsmBb/kYb3q95aY&#10;avfgjO77UIoIYZ+igiqEJpXSFxVZ9CPXEEfv7FqLIcq2lLrFR4TbWr4nyURaNBwXKmxoW1Fx2d+s&#10;gs2Rsw9z/T79ZOfM5Pk84a/JRam3QbdZgAjUhVf42f7UCqbj6Rz+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FO58YAAADdAAAADwAAAAAAAAAAAAAAAACYAgAAZHJz&#10;L2Rvd25yZXYueG1sUEsFBgAAAAAEAAQA9QAAAIsDAAAAAA==&#10;" filled="f" stroked="f">
                    <v:textbox inset="0,0,0,0">
                      <w:txbxContent>
                        <w:p w:rsidR="005D2B81" w:rsidRDefault="005D2B81" w:rsidP="008918FA">
                          <w:pPr>
                            <w:spacing w:line="255" w:lineRule="exact"/>
                            <w:rPr>
                              <w:rFonts w:ascii="Arial" w:eastAsia="Arial" w:hAnsi="Arial" w:cs="Arial"/>
                              <w:sz w:val="14"/>
                              <w:szCs w:val="14"/>
                            </w:rPr>
                          </w:pPr>
                          <w:r>
                            <w:rPr>
                              <w:rFonts w:ascii="Arial"/>
                              <w:position w:val="-9"/>
                            </w:rPr>
                            <w:t>]</w:t>
                          </w:r>
                          <w:r>
                            <w:rPr>
                              <w:rFonts w:ascii="Arial"/>
                              <w:spacing w:val="7"/>
                              <w:position w:val="-9"/>
                            </w:rPr>
                            <w:t xml:space="preserve"> </w:t>
                          </w:r>
                          <w:hyperlink w:anchor="_bookmark35" w:history="1">
                            <w:r>
                              <w:rPr>
                                <w:rFonts w:ascii="Arial"/>
                                <w:b/>
                                <w:spacing w:val="-1"/>
                                <w:sz w:val="14"/>
                              </w:rPr>
                              <w:t>35</w:t>
                            </w:r>
                          </w:hyperlink>
                        </w:p>
                      </w:txbxContent>
                    </v:textbox>
                  </v:shape>
                </v:group>
                <w10:anchorlock/>
              </v:group>
            </w:pict>
          </mc:Fallback>
        </mc:AlternateContent>
      </w:r>
    </w:p>
    <w:p w:rsidR="008918FA" w:rsidRDefault="008918FA" w:rsidP="008918FA">
      <w:pPr>
        <w:numPr>
          <w:ilvl w:val="1"/>
          <w:numId w:val="74"/>
        </w:numPr>
        <w:tabs>
          <w:tab w:val="left" w:pos="1094"/>
        </w:tabs>
        <w:spacing w:before="115"/>
        <w:ind w:left="1093" w:hanging="566"/>
        <w:rPr>
          <w:rFonts w:ascii="Arial" w:eastAsia="Arial" w:hAnsi="Arial" w:cs="Arial"/>
        </w:rPr>
      </w:pPr>
      <w:r>
        <w:rPr>
          <w:rFonts w:ascii="Arial"/>
          <w:b/>
          <w:spacing w:val="-1"/>
        </w:rPr>
        <w:t>Testing</w:t>
      </w:r>
    </w:p>
    <w:p w:rsidR="008918FA" w:rsidRDefault="008918FA" w:rsidP="008918FA">
      <w:pPr>
        <w:spacing w:before="11"/>
        <w:rPr>
          <w:rFonts w:ascii="Arial" w:eastAsia="Arial" w:hAnsi="Arial" w:cs="Arial"/>
          <w:b/>
          <w:bCs/>
          <w:sz w:val="9"/>
          <w:szCs w:val="9"/>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3A737A82" wp14:editId="7B2FB260">
                <wp:extent cx="1379855" cy="167640"/>
                <wp:effectExtent l="1905" t="0" r="0" b="0"/>
                <wp:docPr id="7170" name="Group 7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167640"/>
                          <a:chOff x="0" y="0"/>
                          <a:chExt cx="2173" cy="264"/>
                        </a:xfrm>
                      </wpg:grpSpPr>
                      <wpg:grpSp>
                        <wpg:cNvPr id="7171" name="Group 7163"/>
                        <wpg:cNvGrpSpPr>
                          <a:grpSpLocks/>
                        </wpg:cNvGrpSpPr>
                        <wpg:grpSpPr bwMode="auto">
                          <a:xfrm>
                            <a:off x="0" y="12"/>
                            <a:ext cx="2172" cy="252"/>
                            <a:chOff x="0" y="12"/>
                            <a:chExt cx="2172" cy="252"/>
                          </a:xfrm>
                        </wpg:grpSpPr>
                        <wps:wsp>
                          <wps:cNvPr id="7172" name="Freeform 7166"/>
                          <wps:cNvSpPr>
                            <a:spLocks/>
                          </wps:cNvSpPr>
                          <wps:spPr bwMode="auto">
                            <a:xfrm>
                              <a:off x="0" y="12"/>
                              <a:ext cx="2172" cy="252"/>
                            </a:xfrm>
                            <a:custGeom>
                              <a:avLst/>
                              <a:gdLst>
                                <a:gd name="T0" fmla="*/ 0 w 2172"/>
                                <a:gd name="T1" fmla="+- 0 264 12"/>
                                <a:gd name="T2" fmla="*/ 264 h 252"/>
                                <a:gd name="T3" fmla="*/ 2172 w 2172"/>
                                <a:gd name="T4" fmla="+- 0 264 12"/>
                                <a:gd name="T5" fmla="*/ 264 h 252"/>
                                <a:gd name="T6" fmla="*/ 2172 w 2172"/>
                                <a:gd name="T7" fmla="+- 0 12 12"/>
                                <a:gd name="T8" fmla="*/ 12 h 252"/>
                                <a:gd name="T9" fmla="*/ 0 w 2172"/>
                                <a:gd name="T10" fmla="+- 0 12 12"/>
                                <a:gd name="T11" fmla="*/ 12 h 252"/>
                                <a:gd name="T12" fmla="*/ 0 w 2172"/>
                                <a:gd name="T13" fmla="+- 0 264 12"/>
                                <a:gd name="T14" fmla="*/ 264 h 252"/>
                              </a:gdLst>
                              <a:ahLst/>
                              <a:cxnLst>
                                <a:cxn ang="0">
                                  <a:pos x="T0" y="T2"/>
                                </a:cxn>
                                <a:cxn ang="0">
                                  <a:pos x="T3" y="T5"/>
                                </a:cxn>
                                <a:cxn ang="0">
                                  <a:pos x="T6" y="T8"/>
                                </a:cxn>
                                <a:cxn ang="0">
                                  <a:pos x="T9" y="T11"/>
                                </a:cxn>
                                <a:cxn ang="0">
                                  <a:pos x="T12" y="T14"/>
                                </a:cxn>
                              </a:cxnLst>
                              <a:rect l="0" t="0" r="r" b="b"/>
                              <a:pathLst>
                                <a:path w="2172" h="252">
                                  <a:moveTo>
                                    <a:pt x="0" y="252"/>
                                  </a:moveTo>
                                  <a:lnTo>
                                    <a:pt x="2172" y="252"/>
                                  </a:lnTo>
                                  <a:lnTo>
                                    <a:pt x="2172"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3" name="Text Box 7165"/>
                          <wps:cNvSpPr txBox="1">
                            <a:spLocks noChangeArrowheads="1"/>
                          </wps:cNvSpPr>
                          <wps:spPr bwMode="auto">
                            <a:xfrm>
                              <a:off x="0" y="35"/>
                              <a:ext cx="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1" w:lineRule="exact"/>
                                  <w:rPr>
                                    <w:rFonts w:ascii="Arial" w:eastAsia="Arial" w:hAnsi="Arial" w:cs="Arial"/>
                                  </w:rPr>
                                </w:pPr>
                                <w:r>
                                  <w:rPr>
                                    <w:rFonts w:ascii="Arial"/>
                                  </w:rPr>
                                  <w:t>[</w:t>
                                </w:r>
                              </w:p>
                            </w:txbxContent>
                          </wps:txbx>
                          <wps:bodyPr rot="0" vert="horz" wrap="square" lIns="0" tIns="0" rIns="0" bIns="0" anchor="t" anchorCtr="0" upright="1">
                            <a:noAutofit/>
                          </wps:bodyPr>
                        </wps:wsp>
                        <wps:wsp>
                          <wps:cNvPr id="7174" name="Text Box 7164"/>
                          <wps:cNvSpPr txBox="1">
                            <a:spLocks noChangeArrowheads="1"/>
                          </wps:cNvSpPr>
                          <wps:spPr bwMode="auto">
                            <a:xfrm>
                              <a:off x="1887" y="0"/>
                              <a:ext cx="2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5" w:lineRule="exact"/>
                                  <w:rPr>
                                    <w:rFonts w:ascii="Arial" w:eastAsia="Arial" w:hAnsi="Arial" w:cs="Arial"/>
                                    <w:sz w:val="14"/>
                                    <w:szCs w:val="14"/>
                                  </w:rPr>
                                </w:pPr>
                                <w:r>
                                  <w:rPr>
                                    <w:rFonts w:ascii="Arial"/>
                                    <w:position w:val="-9"/>
                                  </w:rPr>
                                  <w:t>]</w:t>
                                </w:r>
                                <w:r>
                                  <w:rPr>
                                    <w:rFonts w:ascii="Arial"/>
                                    <w:spacing w:val="7"/>
                                    <w:position w:val="-9"/>
                                  </w:rPr>
                                  <w:t xml:space="preserve"> </w:t>
                                </w:r>
                                <w:hyperlink w:anchor="_bookmark36" w:history="1">
                                  <w:r>
                                    <w:rPr>
                                      <w:rFonts w:ascii="Arial"/>
                                      <w:b/>
                                      <w:spacing w:val="-1"/>
                                      <w:sz w:val="14"/>
                                    </w:rPr>
                                    <w:t>36</w:t>
                                  </w:r>
                                </w:hyperlink>
                              </w:p>
                            </w:txbxContent>
                          </wps:txbx>
                          <wps:bodyPr rot="0" vert="horz" wrap="square" lIns="0" tIns="0" rIns="0" bIns="0" anchor="t" anchorCtr="0" upright="1">
                            <a:noAutofit/>
                          </wps:bodyPr>
                        </wps:wsp>
                      </wpg:grpSp>
                    </wpg:wgp>
                  </a:graphicData>
                </a:graphic>
              </wp:inline>
            </w:drawing>
          </mc:Choice>
          <mc:Fallback>
            <w:pict>
              <v:group w14:anchorId="3A737A82" id="Group 7162" o:spid="_x0000_s1117" style="width:108.65pt;height:13.2pt;mso-position-horizontal-relative:char;mso-position-vertical-relative:line" coordsize="217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">
                <v:group id="Group 7163" o:spid="_x0000_s1118" style="position:absolute;top:12;width:2172;height:252" coordorigin=",12" coordsize="217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VKOsYAAADdAAAADwAAAGRycy9kb3ducmV2LnhtbESPT2vCQBTE7wW/w/IE&#10;b3WzSmtJXUVExYMU/AOlt0f2mQSzb0N2TeK37xYKHoeZ+Q0zX/a2Ei01vnSsQY0TEMSZMyXnGi7n&#10;7esHCB+QDVaOScODPCwXg5c5psZ1fKT2FHIRIexT1FCEUKdS+qwgi37sauLoXV1jMUTZ5NI02EW4&#10;reQkSd6lxZLjQoE1rQvKbqe71bDrsFtN1aY93K7rx8/57ev7oEjr0bBffYII1Idn+L+9Nxpm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5Uo6xgAAAN0A&#10;AAAPAAAAAAAAAAAAAAAAAKoCAABkcnMvZG93bnJldi54bWxQSwUGAAAAAAQABAD6AAAAnQMAAAAA&#10;">
                  <v:shape id="Freeform 7166" o:spid="_x0000_s1119" style="position:absolute;top:12;width:2172;height:252;visibility:visible;mso-wrap-style:square;v-text-anchor:top" coordsize="21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ScUA&#10;AADdAAAADwAAAGRycy9kb3ducmV2LnhtbESPT2vCQBTE74V+h+UJ3urGCEmJWUULgj14SFqwx0f2&#10;5Q9m34bsqvHbd4VCj8PM/IbJt5PpxY1G11lWsFxEIIgrqztuFHx/Hd7eQTiPrLG3TAoe5GC7eX3J&#10;MdP2zgXdSt+IAGGXoYLW+yGT0lUtGXQLOxAHr7ajQR/k2Eg94j3ATS/jKEqkwY7DQosDfbRUXcqr&#10;UYDnLuHCF/vPn/LU4L4+Ox2vlJrPpt0ahKfJ/4f/2ketIF2mMTzf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X1JxQAAAN0AAAAPAAAAAAAAAAAAAAAAAJgCAABkcnMv&#10;ZG93bnJldi54bWxQSwUGAAAAAAQABAD1AAAAigMAAAAA&#10;" path="m,252r2172,l2172,,,,,252xe" fillcolor="yellow" stroked="f">
                    <v:path arrowok="t" o:connecttype="custom" o:connectlocs="0,264;2172,264;2172,12;0,12;0,264" o:connectangles="0,0,0,0,0"/>
                  </v:shape>
                  <v:shape id="Text Box 7165" o:spid="_x0000_s1120" type="#_x0000_t202" style="position:absolute;top:35;width:6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5DcYA&#10;AADdAAAADwAAAGRycy9kb3ducmV2LnhtbESPQWvCQBSE74L/YXmCN91oQdvoKiItCEIxpocen9ln&#10;sph9m2ZXTf99tyB4HGbmG2a57mwtbtR641jBZJyAIC6cNlwq+Mo/Rq8gfEDWWDsmBb/kYb3q95aY&#10;anfnjG7HUIoIYZ+igiqEJpXSFxVZ9GPXEEfv7FqLIcq2lLrFe4TbWk6TZCYtGo4LFTa0rai4HK9W&#10;weabs3fz83k6ZOfM5PlbwvvZRanhoNssQATqwjP8aO+0gvlk/g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l5DcYAAADdAAAADwAAAAAAAAAAAAAAAACYAgAAZHJz&#10;L2Rvd25yZXYueG1sUEsFBgAAAAAEAAQA9QAAAIsDAAAAAA==&#10;" filled="f" stroked="f">
                    <v:textbox inset="0,0,0,0">
                      <w:txbxContent>
                        <w:p w:rsidR="005D2B81" w:rsidRDefault="005D2B81" w:rsidP="008918FA">
                          <w:pPr>
                            <w:spacing w:line="221" w:lineRule="exact"/>
                            <w:rPr>
                              <w:rFonts w:ascii="Arial" w:eastAsia="Arial" w:hAnsi="Arial" w:cs="Arial"/>
                            </w:rPr>
                          </w:pPr>
                          <w:r>
                            <w:rPr>
                              <w:rFonts w:ascii="Arial"/>
                            </w:rPr>
                            <w:t>[</w:t>
                          </w:r>
                        </w:p>
                      </w:txbxContent>
                    </v:textbox>
                  </v:shape>
                  <v:shape id="Text Box 7164" o:spid="_x0000_s1121" type="#_x0000_t202" style="position:absolute;left:1887;width:28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hecYA&#10;AADdAAAADwAAAGRycy9kb3ducmV2LnhtbESPQWvCQBSE74L/YXmCN90oRdvoKiItCEIxpocen9ln&#10;sph9m2ZXTf99tyB4HGbmG2a57mwtbtR641jBZJyAIC6cNlwq+Mo/Rq8gfEDWWDsmBb/kYb3q95aY&#10;anfnjG7HUIoIYZ+igiqEJpXSFxVZ9GPXEEfv7FqLIcq2lLrFe4TbWk6TZCYtGo4LFTa0rai4HK9W&#10;weabs3fz83k6ZOfM5PlbwvvZRanhoNssQATqwjP8aO+0gvlk/g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DhecYAAADdAAAADwAAAAAAAAAAAAAAAACYAgAAZHJz&#10;L2Rvd25yZXYueG1sUEsFBgAAAAAEAAQA9QAAAIsDAAAAAA==&#10;" filled="f" stroked="f">
                    <v:textbox inset="0,0,0,0">
                      <w:txbxContent>
                        <w:p w:rsidR="005D2B81" w:rsidRDefault="005D2B81" w:rsidP="008918FA">
                          <w:pPr>
                            <w:spacing w:line="255" w:lineRule="exact"/>
                            <w:rPr>
                              <w:rFonts w:ascii="Arial" w:eastAsia="Arial" w:hAnsi="Arial" w:cs="Arial"/>
                              <w:sz w:val="14"/>
                              <w:szCs w:val="14"/>
                            </w:rPr>
                          </w:pPr>
                          <w:r>
                            <w:rPr>
                              <w:rFonts w:ascii="Arial"/>
                              <w:position w:val="-9"/>
                            </w:rPr>
                            <w:t>]</w:t>
                          </w:r>
                          <w:r>
                            <w:rPr>
                              <w:rFonts w:ascii="Arial"/>
                              <w:spacing w:val="7"/>
                              <w:position w:val="-9"/>
                            </w:rPr>
                            <w:t xml:space="preserve"> </w:t>
                          </w:r>
                          <w:hyperlink w:anchor="_bookmark36" w:history="1">
                            <w:r>
                              <w:rPr>
                                <w:rFonts w:ascii="Arial"/>
                                <w:b/>
                                <w:spacing w:val="-1"/>
                                <w:sz w:val="14"/>
                              </w:rPr>
                              <w:t>36</w:t>
                            </w:r>
                          </w:hyperlink>
                        </w:p>
                      </w:txbxContent>
                    </v:textbox>
                  </v:shape>
                </v:group>
                <w10:anchorlock/>
              </v:group>
            </w:pict>
          </mc:Fallback>
        </mc:AlternateContent>
      </w:r>
    </w:p>
    <w:p w:rsidR="008918FA" w:rsidRDefault="008918FA" w:rsidP="008918FA">
      <w:pPr>
        <w:numPr>
          <w:ilvl w:val="1"/>
          <w:numId w:val="74"/>
        </w:numPr>
        <w:tabs>
          <w:tab w:val="left" w:pos="1094"/>
        </w:tabs>
        <w:spacing w:before="115"/>
        <w:ind w:left="1093" w:hanging="566"/>
        <w:rPr>
          <w:rFonts w:ascii="Arial" w:eastAsia="Arial" w:hAnsi="Arial" w:cs="Arial"/>
        </w:rPr>
      </w:pPr>
      <w:r>
        <w:rPr>
          <w:rFonts w:ascii="Arial"/>
          <w:b/>
          <w:spacing w:val="-1"/>
        </w:rPr>
        <w:t>Limitations</w:t>
      </w:r>
      <w:r>
        <w:rPr>
          <w:rFonts w:ascii="Arial"/>
          <w:b/>
          <w:spacing w:val="-2"/>
        </w:rPr>
        <w:t xml:space="preserve"> </w:t>
      </w:r>
      <w:r>
        <w:rPr>
          <w:rFonts w:ascii="Arial"/>
          <w:b/>
          <w:spacing w:val="-1"/>
        </w:rPr>
        <w:t>on</w:t>
      </w:r>
      <w:r>
        <w:rPr>
          <w:rFonts w:ascii="Arial"/>
          <w:b/>
        </w:rPr>
        <w:t xml:space="preserve"> </w:t>
      </w:r>
      <w:r>
        <w:rPr>
          <w:rFonts w:ascii="Arial"/>
          <w:b/>
          <w:spacing w:val="-1"/>
        </w:rPr>
        <w:t>Liability</w:t>
      </w:r>
    </w:p>
    <w:p w:rsidR="008918FA" w:rsidRDefault="008918FA" w:rsidP="008918FA">
      <w:pPr>
        <w:spacing w:before="11"/>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6FDB1551" wp14:editId="42CDBBC9">
                <wp:extent cx="2371725" cy="160020"/>
                <wp:effectExtent l="1905" t="0" r="0" b="0"/>
                <wp:docPr id="7169" name="Text Box 7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8" w:lineRule="exact"/>
                              <w:ind w:right="-1"/>
                              <w:rPr>
                                <w:rFonts w:ascii="Arial" w:eastAsia="Arial" w:hAnsi="Arial" w:cs="Arial"/>
                                <w:sz w:val="14"/>
                                <w:szCs w:val="14"/>
                              </w:rPr>
                            </w:pPr>
                            <w:r>
                              <w:rPr>
                                <w:rFonts w:ascii="Arial"/>
                              </w:rPr>
                              <w:t>[In</w:t>
                            </w:r>
                            <w:r>
                              <w:rPr>
                                <w:rFonts w:ascii="Arial"/>
                                <w:spacing w:val="-3"/>
                              </w:rPr>
                              <w:t xml:space="preserve"> </w:t>
                            </w:r>
                            <w:r>
                              <w:rPr>
                                <w:rFonts w:ascii="Arial"/>
                                <w:spacing w:val="-2"/>
                              </w:rPr>
                              <w:t>Clause</w:t>
                            </w:r>
                            <w:r>
                              <w:rPr>
                                <w:rFonts w:ascii="Arial"/>
                                <w:spacing w:val="1"/>
                              </w:rPr>
                              <w:t xml:space="preserve"> </w:t>
                            </w:r>
                            <w:hyperlink w:anchor="_bookmark200" w:history="1">
                              <w:r>
                                <w:rPr>
                                  <w:rFonts w:ascii="Arial"/>
                                  <w:spacing w:val="-1"/>
                                </w:rPr>
                                <w:t>36</w:t>
                              </w:r>
                            </w:hyperlink>
                            <w:r>
                              <w:rPr>
                                <w:rFonts w:ascii="Arial"/>
                              </w:rPr>
                              <w:t xml:space="preserve"> </w:t>
                            </w:r>
                            <w:r>
                              <w:rPr>
                                <w:rFonts w:ascii="Arial"/>
                                <w:spacing w:val="-2"/>
                              </w:rPr>
                              <w:t>of</w:t>
                            </w:r>
                            <w:r>
                              <w:rPr>
                                <w:rFonts w:ascii="Arial"/>
                              </w:rPr>
                              <w:t xml:space="preserve"> </w:t>
                            </w:r>
                            <w:r>
                              <w:rPr>
                                <w:rFonts w:ascii="Arial"/>
                                <w:spacing w:val="1"/>
                              </w:rPr>
                              <w:t xml:space="preserve"> </w:t>
                            </w:r>
                            <w:r>
                              <w:rPr>
                                <w:rFonts w:ascii="Arial"/>
                                <w:spacing w:val="-1"/>
                              </w:rPr>
                              <w:t xml:space="preserve">the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2"/>
                              </w:rPr>
                              <w:t>Terms]</w:t>
                            </w:r>
                            <w:r>
                              <w:rPr>
                                <w:rFonts w:ascii="Arial"/>
                                <w:spacing w:val="9"/>
                              </w:rPr>
                              <w:t xml:space="preserve"> </w:t>
                            </w:r>
                            <w:hyperlink w:anchor="_bookmark37" w:history="1">
                              <w:r>
                                <w:rPr>
                                  <w:rFonts w:ascii="Arial"/>
                                  <w:b/>
                                  <w:spacing w:val="-1"/>
                                  <w:position w:val="10"/>
                                  <w:sz w:val="14"/>
                                </w:rPr>
                                <w:t>37</w:t>
                              </w:r>
                            </w:hyperlink>
                          </w:p>
                        </w:txbxContent>
                      </wps:txbx>
                      <wps:bodyPr rot="0" vert="horz" wrap="square" lIns="0" tIns="0" rIns="0" bIns="0" anchor="t" anchorCtr="0" upright="1">
                        <a:noAutofit/>
                      </wps:bodyPr>
                    </wps:wsp>
                  </a:graphicData>
                </a:graphic>
              </wp:inline>
            </w:drawing>
          </mc:Choice>
          <mc:Fallback>
            <w:pict>
              <v:shape w14:anchorId="6FDB1551" id="Text Box 7161" o:spid="_x0000_s1122" type="#_x0000_t202" style="width:186.7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" fillcolor="yellow" stroked="f">
                <v:textbox inset="0,0,0,0">
                  <w:txbxContent>
                    <w:p w:rsidR="005D2B81" w:rsidRDefault="005D2B81" w:rsidP="008918FA">
                      <w:pPr>
                        <w:spacing w:line="248" w:lineRule="exact"/>
                        <w:ind w:right="-1"/>
                        <w:rPr>
                          <w:rFonts w:ascii="Arial" w:eastAsia="Arial" w:hAnsi="Arial" w:cs="Arial"/>
                          <w:sz w:val="14"/>
                          <w:szCs w:val="14"/>
                        </w:rPr>
                      </w:pPr>
                      <w:r>
                        <w:rPr>
                          <w:rFonts w:ascii="Arial"/>
                        </w:rPr>
                        <w:t>[In</w:t>
                      </w:r>
                      <w:r>
                        <w:rPr>
                          <w:rFonts w:ascii="Arial"/>
                          <w:spacing w:val="-3"/>
                        </w:rPr>
                        <w:t xml:space="preserve"> </w:t>
                      </w:r>
                      <w:r>
                        <w:rPr>
                          <w:rFonts w:ascii="Arial"/>
                          <w:spacing w:val="-2"/>
                        </w:rPr>
                        <w:t>Clause</w:t>
                      </w:r>
                      <w:r>
                        <w:rPr>
                          <w:rFonts w:ascii="Arial"/>
                          <w:spacing w:val="1"/>
                        </w:rPr>
                        <w:t xml:space="preserve"> </w:t>
                      </w:r>
                      <w:hyperlink w:anchor="_bookmark200" w:history="1">
                        <w:r>
                          <w:rPr>
                            <w:rFonts w:ascii="Arial"/>
                            <w:spacing w:val="-1"/>
                          </w:rPr>
                          <w:t>36</w:t>
                        </w:r>
                      </w:hyperlink>
                      <w:r>
                        <w:rPr>
                          <w:rFonts w:ascii="Arial"/>
                        </w:rPr>
                        <w:t xml:space="preserve"> </w:t>
                      </w:r>
                      <w:r>
                        <w:rPr>
                          <w:rFonts w:ascii="Arial"/>
                          <w:spacing w:val="-2"/>
                        </w:rPr>
                        <w:t>of</w:t>
                      </w:r>
                      <w:r>
                        <w:rPr>
                          <w:rFonts w:ascii="Arial"/>
                        </w:rPr>
                        <w:t xml:space="preserve"> </w:t>
                      </w:r>
                      <w:r>
                        <w:rPr>
                          <w:rFonts w:ascii="Arial"/>
                          <w:spacing w:val="1"/>
                        </w:rPr>
                        <w:t xml:space="preserve"> </w:t>
                      </w:r>
                      <w:r>
                        <w:rPr>
                          <w:rFonts w:ascii="Arial"/>
                          <w:spacing w:val="-1"/>
                        </w:rPr>
                        <w:t xml:space="preserve">the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2"/>
                        </w:rPr>
                        <w:t>Terms]</w:t>
                      </w:r>
                      <w:r>
                        <w:rPr>
                          <w:rFonts w:ascii="Arial"/>
                          <w:spacing w:val="9"/>
                        </w:rPr>
                        <w:t xml:space="preserve"> </w:t>
                      </w:r>
                      <w:hyperlink w:anchor="_bookmark37" w:history="1">
                        <w:r>
                          <w:rPr>
                            <w:rFonts w:ascii="Arial"/>
                            <w:b/>
                            <w:spacing w:val="-1"/>
                            <w:position w:val="10"/>
                            <w:sz w:val="14"/>
                          </w:rPr>
                          <w:t>37</w:t>
                        </w:r>
                      </w:hyperlink>
                    </w:p>
                  </w:txbxContent>
                </v:textbox>
                <w10:anchorlock/>
              </v:shape>
            </w:pict>
          </mc:Fallback>
        </mc:AlternateContent>
      </w:r>
    </w:p>
    <w:p w:rsidR="008918FA" w:rsidRDefault="008918FA" w:rsidP="008918FA">
      <w:pPr>
        <w:numPr>
          <w:ilvl w:val="1"/>
          <w:numId w:val="74"/>
        </w:numPr>
        <w:tabs>
          <w:tab w:val="left" w:pos="1094"/>
        </w:tabs>
        <w:spacing w:before="115"/>
        <w:ind w:left="1093" w:hanging="566"/>
        <w:rPr>
          <w:rFonts w:ascii="Arial" w:eastAsia="Arial" w:hAnsi="Arial" w:cs="Arial"/>
        </w:rPr>
      </w:pPr>
      <w:r>
        <w:rPr>
          <w:rFonts w:ascii="Arial"/>
          <w:b/>
          <w:spacing w:val="-1"/>
        </w:rPr>
        <w:t>[Insurance]</w:t>
      </w:r>
    </w:p>
    <w:p w:rsidR="008918FA" w:rsidRDefault="008918FA" w:rsidP="008918FA">
      <w:pPr>
        <w:spacing w:before="9"/>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69A9F57E" wp14:editId="383BDD0F">
                <wp:extent cx="2875915" cy="161925"/>
                <wp:effectExtent l="1905" t="4445" r="0" b="0"/>
                <wp:docPr id="7085" name="Text Box 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8" w:lineRule="exact"/>
                              <w:ind w:right="-1"/>
                              <w:rPr>
                                <w:rFonts w:ascii="Arial" w:eastAsia="Arial" w:hAnsi="Arial" w:cs="Arial"/>
                                <w:sz w:val="14"/>
                                <w:szCs w:val="14"/>
                              </w:rPr>
                            </w:pPr>
                            <w:r>
                              <w:rPr>
                                <w:rFonts w:ascii="Arial"/>
                                <w:spacing w:val="-1"/>
                              </w:rPr>
                              <w:t>[Clause</w:t>
                            </w:r>
                            <w:r>
                              <w:rPr>
                                <w:rFonts w:ascii="Arial"/>
                              </w:rPr>
                              <w:t xml:space="preserve"> </w:t>
                            </w:r>
                            <w:r>
                              <w:rPr>
                                <w:rFonts w:ascii="Arial"/>
                                <w:spacing w:val="-1"/>
                              </w:rPr>
                              <w:t>37</w:t>
                            </w:r>
                            <w:r>
                              <w:rPr>
                                <w:rFonts w:ascii="Arial"/>
                              </w:rPr>
                              <w:t xml:space="preserve"> </w:t>
                            </w:r>
                            <w:r>
                              <w:rPr>
                                <w:rFonts w:ascii="Arial"/>
                                <w:spacing w:val="-2"/>
                              </w:rPr>
                              <w:t>of</w:t>
                            </w:r>
                            <w:r>
                              <w:rPr>
                                <w:rFonts w:ascii="Arial"/>
                              </w:rPr>
                              <w:t xml:space="preserve"> the </w:t>
                            </w:r>
                            <w:r>
                              <w:rPr>
                                <w:rFonts w:ascii="Arial"/>
                                <w:spacing w:val="-2"/>
                              </w:rPr>
                              <w:t>Call</w:t>
                            </w:r>
                            <w:r>
                              <w:rPr>
                                <w:rFonts w:ascii="Arial"/>
                                <w:spacing w:val="-3"/>
                              </w:rPr>
                              <w:t xml:space="preserve"> </w:t>
                            </w:r>
                            <w:r>
                              <w:rPr>
                                <w:rFonts w:ascii="Arial"/>
                                <w:spacing w:val="-1"/>
                              </w:rPr>
                              <w:t>Off Terms</w:t>
                            </w:r>
                            <w:r>
                              <w:rPr>
                                <w:rFonts w:ascii="Arial"/>
                                <w:spacing w:val="-2"/>
                              </w:rPr>
                              <w:t xml:space="preserve"> </w:t>
                            </w:r>
                            <w:r>
                              <w:rPr>
                                <w:rFonts w:ascii="Arial"/>
                                <w:spacing w:val="-1"/>
                              </w:rPr>
                              <w:t>shall</w:t>
                            </w:r>
                            <w:r>
                              <w:rPr>
                                <w:rFonts w:ascii="Arial"/>
                              </w:rPr>
                              <w:t xml:space="preserve"> </w:t>
                            </w:r>
                            <w:r>
                              <w:rPr>
                                <w:rFonts w:ascii="Arial"/>
                                <w:spacing w:val="-2"/>
                              </w:rPr>
                              <w:t>apply]</w:t>
                            </w:r>
                            <w:r>
                              <w:rPr>
                                <w:rFonts w:ascii="Arial"/>
                                <w:spacing w:val="9"/>
                              </w:rPr>
                              <w:t xml:space="preserve"> </w:t>
                            </w:r>
                            <w:hyperlink w:anchor="_bookmark38" w:history="1">
                              <w:r>
                                <w:rPr>
                                  <w:rFonts w:ascii="Arial"/>
                                  <w:b/>
                                  <w:spacing w:val="-1"/>
                                  <w:position w:val="10"/>
                                  <w:sz w:val="14"/>
                                </w:rPr>
                                <w:t>38</w:t>
                              </w:r>
                            </w:hyperlink>
                          </w:p>
                        </w:txbxContent>
                      </wps:txbx>
                      <wps:bodyPr rot="0" vert="horz" wrap="square" lIns="0" tIns="0" rIns="0" bIns="0" anchor="t" anchorCtr="0" upright="1">
                        <a:noAutofit/>
                      </wps:bodyPr>
                    </wps:wsp>
                  </a:graphicData>
                </a:graphic>
              </wp:inline>
            </w:drawing>
          </mc:Choice>
          <mc:Fallback>
            <w:pict>
              <v:shape w14:anchorId="69A9F57E" id="Text Box 7077" o:spid="_x0000_s1123" type="#_x0000_t202" style="width:226.4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" fillcolor="yellow" stroked="f">
                <v:textbox inset="0,0,0,0">
                  <w:txbxContent>
                    <w:p w:rsidR="005D2B81" w:rsidRDefault="005D2B81" w:rsidP="008918FA">
                      <w:pPr>
                        <w:spacing w:line="248" w:lineRule="exact"/>
                        <w:ind w:right="-1"/>
                        <w:rPr>
                          <w:rFonts w:ascii="Arial" w:eastAsia="Arial" w:hAnsi="Arial" w:cs="Arial"/>
                          <w:sz w:val="14"/>
                          <w:szCs w:val="14"/>
                        </w:rPr>
                      </w:pPr>
                      <w:r>
                        <w:rPr>
                          <w:rFonts w:ascii="Arial"/>
                          <w:spacing w:val="-1"/>
                        </w:rPr>
                        <w:t>[Clause</w:t>
                      </w:r>
                      <w:r>
                        <w:rPr>
                          <w:rFonts w:ascii="Arial"/>
                        </w:rPr>
                        <w:t xml:space="preserve"> </w:t>
                      </w:r>
                      <w:r>
                        <w:rPr>
                          <w:rFonts w:ascii="Arial"/>
                          <w:spacing w:val="-1"/>
                        </w:rPr>
                        <w:t>37</w:t>
                      </w:r>
                      <w:r>
                        <w:rPr>
                          <w:rFonts w:ascii="Arial"/>
                        </w:rPr>
                        <w:t xml:space="preserve"> </w:t>
                      </w:r>
                      <w:r>
                        <w:rPr>
                          <w:rFonts w:ascii="Arial"/>
                          <w:spacing w:val="-2"/>
                        </w:rPr>
                        <w:t>of</w:t>
                      </w:r>
                      <w:r>
                        <w:rPr>
                          <w:rFonts w:ascii="Arial"/>
                        </w:rPr>
                        <w:t xml:space="preserve"> the </w:t>
                      </w:r>
                      <w:r>
                        <w:rPr>
                          <w:rFonts w:ascii="Arial"/>
                          <w:spacing w:val="-2"/>
                        </w:rPr>
                        <w:t>Call</w:t>
                      </w:r>
                      <w:r>
                        <w:rPr>
                          <w:rFonts w:ascii="Arial"/>
                          <w:spacing w:val="-3"/>
                        </w:rPr>
                        <w:t xml:space="preserve"> </w:t>
                      </w:r>
                      <w:r>
                        <w:rPr>
                          <w:rFonts w:ascii="Arial"/>
                          <w:spacing w:val="-1"/>
                        </w:rPr>
                        <w:t>Off Terms</w:t>
                      </w:r>
                      <w:r>
                        <w:rPr>
                          <w:rFonts w:ascii="Arial"/>
                          <w:spacing w:val="-2"/>
                        </w:rPr>
                        <w:t xml:space="preserve"> </w:t>
                      </w:r>
                      <w:r>
                        <w:rPr>
                          <w:rFonts w:ascii="Arial"/>
                          <w:spacing w:val="-1"/>
                        </w:rPr>
                        <w:t>shall</w:t>
                      </w:r>
                      <w:r>
                        <w:rPr>
                          <w:rFonts w:ascii="Arial"/>
                        </w:rPr>
                        <w:t xml:space="preserve"> </w:t>
                      </w:r>
                      <w:r>
                        <w:rPr>
                          <w:rFonts w:ascii="Arial"/>
                          <w:spacing w:val="-2"/>
                        </w:rPr>
                        <w:t>apply]</w:t>
                      </w:r>
                      <w:r>
                        <w:rPr>
                          <w:rFonts w:ascii="Arial"/>
                          <w:spacing w:val="9"/>
                        </w:rPr>
                        <w:t xml:space="preserve"> </w:t>
                      </w:r>
                      <w:hyperlink w:anchor="_bookmark38" w:history="1">
                        <w:r>
                          <w:rPr>
                            <w:rFonts w:ascii="Arial"/>
                            <w:b/>
                            <w:spacing w:val="-1"/>
                            <w:position w:val="10"/>
                            <w:sz w:val="14"/>
                          </w:rPr>
                          <w:t>38</w:t>
                        </w:r>
                      </w:hyperlink>
                    </w:p>
                  </w:txbxContent>
                </v:textbox>
                <w10:anchorlock/>
              </v:shape>
            </w:pict>
          </mc:Fallback>
        </mc:AlternateContent>
      </w:r>
    </w:p>
    <w:p w:rsidR="008918FA" w:rsidRDefault="008918FA" w:rsidP="008918FA">
      <w:pPr>
        <w:spacing w:before="5"/>
        <w:rPr>
          <w:rFonts w:ascii="Arial" w:eastAsia="Arial" w:hAnsi="Arial" w:cs="Arial"/>
          <w:b/>
          <w:bCs/>
          <w:sz w:val="10"/>
          <w:szCs w:val="10"/>
        </w:rPr>
      </w:pPr>
    </w:p>
    <w:p w:rsidR="008918FA" w:rsidRDefault="008918FA" w:rsidP="008918FA">
      <w:pPr>
        <w:spacing w:line="200" w:lineRule="atLeast"/>
        <w:ind w:left="109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6B9C4CB5" wp14:editId="6637A7CC">
                <wp:extent cx="2571115" cy="160020"/>
                <wp:effectExtent l="1905" t="4445" r="0" b="0"/>
                <wp:docPr id="7084" name="Text Box 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rPr>
                                <w:rFonts w:ascii="Arial" w:eastAsia="Arial" w:hAnsi="Arial" w:cs="Arial"/>
                              </w:rPr>
                            </w:pPr>
                            <w:r>
                              <w:rPr>
                                <w:rFonts w:ascii="Arial"/>
                                <w:spacing w:val="-1"/>
                              </w:rPr>
                              <w:t>[Insert</w:t>
                            </w:r>
                            <w:r>
                              <w:rPr>
                                <w:rFonts w:ascii="Arial"/>
                              </w:rPr>
                              <w:t xml:space="preserve"> </w:t>
                            </w:r>
                            <w:r>
                              <w:rPr>
                                <w:rFonts w:ascii="Arial"/>
                                <w:spacing w:val="-1"/>
                              </w:rPr>
                              <w:t>additional</w:t>
                            </w:r>
                            <w:r>
                              <w:rPr>
                                <w:rFonts w:ascii="Arial"/>
                              </w:rPr>
                              <w:t xml:space="preserve"> </w:t>
                            </w:r>
                            <w:r>
                              <w:rPr>
                                <w:rFonts w:ascii="Arial"/>
                                <w:spacing w:val="-1"/>
                              </w:rPr>
                              <w:t>Insurance</w:t>
                            </w:r>
                            <w:r>
                              <w:rPr>
                                <w:rFonts w:ascii="Arial"/>
                                <w:spacing w:val="1"/>
                              </w:rPr>
                              <w:t xml:space="preserve"> </w:t>
                            </w:r>
                            <w:r>
                              <w:rPr>
                                <w:rFonts w:ascii="Arial"/>
                                <w:spacing w:val="-1"/>
                              </w:rPr>
                              <w:t>requirements]</w:t>
                            </w:r>
                          </w:p>
                        </w:txbxContent>
                      </wps:txbx>
                      <wps:bodyPr rot="0" vert="horz" wrap="square" lIns="0" tIns="0" rIns="0" bIns="0" anchor="t" anchorCtr="0" upright="1">
                        <a:noAutofit/>
                      </wps:bodyPr>
                    </wps:wsp>
                  </a:graphicData>
                </a:graphic>
              </wp:inline>
            </w:drawing>
          </mc:Choice>
          <mc:Fallback>
            <w:pict>
              <v:shape w14:anchorId="6B9C4CB5" id="Text Box 7076" o:spid="_x0000_s1124" type="#_x0000_t202" style="width:202.4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" fillcolor="yellow" stroked="f">
                <v:textbox inset="0,0,0,0">
                  <w:txbxContent>
                    <w:p w:rsidR="005D2B81" w:rsidRDefault="005D2B81" w:rsidP="008918FA">
                      <w:pPr>
                        <w:spacing w:line="251" w:lineRule="exact"/>
                        <w:rPr>
                          <w:rFonts w:ascii="Arial" w:eastAsia="Arial" w:hAnsi="Arial" w:cs="Arial"/>
                        </w:rPr>
                      </w:pPr>
                      <w:r>
                        <w:rPr>
                          <w:rFonts w:ascii="Arial"/>
                          <w:spacing w:val="-1"/>
                        </w:rPr>
                        <w:t>[Insert</w:t>
                      </w:r>
                      <w:r>
                        <w:rPr>
                          <w:rFonts w:ascii="Arial"/>
                        </w:rPr>
                        <w:t xml:space="preserve"> </w:t>
                      </w:r>
                      <w:r>
                        <w:rPr>
                          <w:rFonts w:ascii="Arial"/>
                          <w:spacing w:val="-1"/>
                        </w:rPr>
                        <w:t>additional</w:t>
                      </w:r>
                      <w:r>
                        <w:rPr>
                          <w:rFonts w:ascii="Arial"/>
                        </w:rPr>
                        <w:t xml:space="preserve"> </w:t>
                      </w:r>
                      <w:r>
                        <w:rPr>
                          <w:rFonts w:ascii="Arial"/>
                          <w:spacing w:val="-1"/>
                        </w:rPr>
                        <w:t>Insurance</w:t>
                      </w:r>
                      <w:r>
                        <w:rPr>
                          <w:rFonts w:ascii="Arial"/>
                          <w:spacing w:val="1"/>
                        </w:rPr>
                        <w:t xml:space="preserve"> </w:t>
                      </w:r>
                      <w:r>
                        <w:rPr>
                          <w:rFonts w:ascii="Arial"/>
                          <w:spacing w:val="-1"/>
                        </w:rPr>
                        <w:t>requirements]</w:t>
                      </w:r>
                    </w:p>
                  </w:txbxContent>
                </v:textbox>
                <w10:anchorlock/>
              </v:shape>
            </w:pict>
          </mc:Fallback>
        </mc:AlternateContent>
      </w:r>
    </w:p>
    <w:p w:rsidR="008918FA" w:rsidRDefault="008918FA" w:rsidP="008918FA">
      <w:pPr>
        <w:numPr>
          <w:ilvl w:val="1"/>
          <w:numId w:val="74"/>
        </w:numPr>
        <w:tabs>
          <w:tab w:val="left" w:pos="1094"/>
        </w:tabs>
        <w:spacing w:before="115"/>
        <w:ind w:left="1093" w:hanging="566"/>
        <w:rPr>
          <w:rFonts w:ascii="Arial" w:eastAsia="Arial" w:hAnsi="Arial" w:cs="Arial"/>
        </w:rPr>
      </w:pPr>
      <w:r>
        <w:rPr>
          <w:rFonts w:ascii="Arial"/>
          <w:b/>
          <w:spacing w:val="-1"/>
        </w:rPr>
        <w:t>Termination</w:t>
      </w:r>
      <w:r>
        <w:rPr>
          <w:rFonts w:ascii="Arial"/>
          <w:b/>
          <w:spacing w:val="-7"/>
        </w:rPr>
        <w:t xml:space="preserve"> </w:t>
      </w:r>
      <w:r>
        <w:rPr>
          <w:rFonts w:ascii="Arial"/>
          <w:b/>
          <w:spacing w:val="-1"/>
        </w:rPr>
        <w:t xml:space="preserve">without </w:t>
      </w:r>
      <w:r>
        <w:rPr>
          <w:rFonts w:ascii="Arial"/>
          <w:b/>
          <w:spacing w:val="-2"/>
        </w:rPr>
        <w:t>cause</w:t>
      </w:r>
      <w:r>
        <w:rPr>
          <w:rFonts w:ascii="Arial"/>
          <w:b/>
        </w:rPr>
        <w:t xml:space="preserve"> </w:t>
      </w:r>
      <w:r>
        <w:rPr>
          <w:rFonts w:ascii="Arial"/>
          <w:b/>
          <w:spacing w:val="-1"/>
        </w:rPr>
        <w:t>notice</w:t>
      </w:r>
      <w:r>
        <w:rPr>
          <w:rFonts w:ascii="Arial"/>
          <w:b/>
        </w:rPr>
        <w:t xml:space="preserve"> </w:t>
      </w:r>
      <w:r>
        <w:rPr>
          <w:rFonts w:ascii="Arial"/>
          <w:b/>
          <w:spacing w:val="-1"/>
        </w:rPr>
        <w:t>period</w:t>
      </w:r>
    </w:p>
    <w:p w:rsidR="008918FA" w:rsidRDefault="008918FA" w:rsidP="008918FA">
      <w:pPr>
        <w:pStyle w:val="BodyText"/>
        <w:spacing w:before="130" w:line="250" w:lineRule="exact"/>
        <w:ind w:left="1093" w:right="117" w:firstLine="0"/>
        <w:rPr>
          <w:rFonts w:cs="Arial"/>
          <w:sz w:val="14"/>
          <w:szCs w:val="14"/>
        </w:rPr>
      </w:pPr>
      <w:r w:rsidRPr="001C1527">
        <w:rPr>
          <w:spacing w:val="-1"/>
          <w:highlight w:val="yellow"/>
        </w:rPr>
        <w:t>[The</w:t>
      </w:r>
      <w:r w:rsidRPr="001C1527">
        <w:rPr>
          <w:spacing w:val="38"/>
          <w:highlight w:val="yellow"/>
        </w:rPr>
        <w:t xml:space="preserve"> </w:t>
      </w:r>
      <w:r w:rsidRPr="001C1527">
        <w:rPr>
          <w:spacing w:val="-2"/>
          <w:highlight w:val="yellow"/>
        </w:rPr>
        <w:t>minimum</w:t>
      </w:r>
      <w:r w:rsidRPr="001C1527">
        <w:rPr>
          <w:spacing w:val="40"/>
          <w:highlight w:val="yellow"/>
        </w:rPr>
        <w:t xml:space="preserve"> </w:t>
      </w:r>
      <w:r w:rsidRPr="001C1527">
        <w:rPr>
          <w:spacing w:val="-1"/>
          <w:highlight w:val="yellow"/>
        </w:rPr>
        <w:t>number</w:t>
      </w:r>
      <w:r w:rsidRPr="001C1527">
        <w:rPr>
          <w:spacing w:val="35"/>
          <w:highlight w:val="yellow"/>
        </w:rPr>
        <w:t xml:space="preserve"> </w:t>
      </w:r>
      <w:r w:rsidRPr="001C1527">
        <w:rPr>
          <w:spacing w:val="-2"/>
          <w:highlight w:val="yellow"/>
        </w:rPr>
        <w:t>of</w:t>
      </w:r>
      <w:r w:rsidRPr="001C1527">
        <w:rPr>
          <w:spacing w:val="42"/>
          <w:highlight w:val="yellow"/>
        </w:rPr>
        <w:t xml:space="preserve"> </w:t>
      </w:r>
      <w:r w:rsidRPr="001C1527">
        <w:rPr>
          <w:spacing w:val="-2"/>
          <w:highlight w:val="yellow"/>
        </w:rPr>
        <w:t>days</w:t>
      </w:r>
      <w:r w:rsidRPr="001C1527">
        <w:rPr>
          <w:spacing w:val="37"/>
          <w:highlight w:val="yellow"/>
        </w:rPr>
        <w:t xml:space="preserve"> </w:t>
      </w:r>
      <w:r w:rsidRPr="001C1527">
        <w:rPr>
          <w:highlight w:val="yellow"/>
        </w:rPr>
        <w:t>for</w:t>
      </w:r>
      <w:r w:rsidRPr="001C1527">
        <w:rPr>
          <w:spacing w:val="38"/>
          <w:highlight w:val="yellow"/>
        </w:rPr>
        <w:t xml:space="preserve"> </w:t>
      </w:r>
      <w:r w:rsidRPr="001C1527">
        <w:rPr>
          <w:highlight w:val="yellow"/>
        </w:rPr>
        <w:t>the</w:t>
      </w:r>
      <w:r w:rsidRPr="001C1527">
        <w:rPr>
          <w:spacing w:val="39"/>
          <w:highlight w:val="yellow"/>
        </w:rPr>
        <w:t xml:space="preserve"> </w:t>
      </w:r>
      <w:r w:rsidRPr="001C1527">
        <w:rPr>
          <w:spacing w:val="-2"/>
          <w:highlight w:val="yellow"/>
        </w:rPr>
        <w:t>purposes</w:t>
      </w:r>
      <w:r w:rsidRPr="001C1527">
        <w:rPr>
          <w:spacing w:val="39"/>
          <w:highlight w:val="yellow"/>
        </w:rPr>
        <w:t xml:space="preserve"> </w:t>
      </w:r>
      <w:r w:rsidRPr="001C1527">
        <w:rPr>
          <w:spacing w:val="-2"/>
          <w:highlight w:val="yellow"/>
        </w:rPr>
        <w:t>of</w:t>
      </w:r>
      <w:r w:rsidRPr="001C1527">
        <w:rPr>
          <w:spacing w:val="42"/>
          <w:highlight w:val="yellow"/>
        </w:rPr>
        <w:t xml:space="preserve"> </w:t>
      </w:r>
      <w:r w:rsidRPr="001C1527">
        <w:rPr>
          <w:spacing w:val="-2"/>
          <w:highlight w:val="yellow"/>
        </w:rPr>
        <w:t>Clause</w:t>
      </w:r>
      <w:r w:rsidRPr="001C1527">
        <w:rPr>
          <w:spacing w:val="42"/>
          <w:highlight w:val="yellow"/>
        </w:rPr>
        <w:t xml:space="preserve"> </w:t>
      </w:r>
      <w:hyperlink w:anchor="_bookmark237" w:history="1">
        <w:r w:rsidRPr="001C1527">
          <w:rPr>
            <w:spacing w:val="-1"/>
            <w:highlight w:val="yellow"/>
          </w:rPr>
          <w:t>41.6</w:t>
        </w:r>
      </w:hyperlink>
      <w:r w:rsidRPr="001C1527">
        <w:rPr>
          <w:spacing w:val="36"/>
          <w:highlight w:val="yellow"/>
        </w:rPr>
        <w:t xml:space="preserve"> </w:t>
      </w:r>
      <w:r w:rsidRPr="001C1527">
        <w:rPr>
          <w:spacing w:val="-2"/>
          <w:highlight w:val="yellow"/>
        </w:rPr>
        <w:t>of</w:t>
      </w:r>
      <w:r w:rsidRPr="001C1527">
        <w:rPr>
          <w:spacing w:val="40"/>
          <w:highlight w:val="yellow"/>
        </w:rPr>
        <w:t xml:space="preserve"> </w:t>
      </w:r>
      <w:r w:rsidRPr="001C1527">
        <w:rPr>
          <w:highlight w:val="yellow"/>
        </w:rPr>
        <w:t>the</w:t>
      </w:r>
      <w:r w:rsidRPr="001C1527">
        <w:rPr>
          <w:spacing w:val="37"/>
          <w:highlight w:val="yellow"/>
        </w:rPr>
        <w:t xml:space="preserve"> </w:t>
      </w:r>
      <w:r w:rsidRPr="001C1527">
        <w:rPr>
          <w:spacing w:val="-2"/>
          <w:highlight w:val="yellow"/>
        </w:rPr>
        <w:t>Call</w:t>
      </w:r>
      <w:r w:rsidRPr="001C1527">
        <w:rPr>
          <w:spacing w:val="38"/>
          <w:highlight w:val="yellow"/>
        </w:rPr>
        <w:t xml:space="preserve"> </w:t>
      </w:r>
      <w:r w:rsidRPr="001C1527">
        <w:rPr>
          <w:spacing w:val="-1"/>
          <w:highlight w:val="yellow"/>
        </w:rPr>
        <w:t>Off</w:t>
      </w:r>
      <w:r w:rsidRPr="001C1527">
        <w:rPr>
          <w:spacing w:val="73"/>
          <w:highlight w:val="yellow"/>
        </w:rPr>
        <w:t xml:space="preserve"> </w:t>
      </w:r>
      <w:r w:rsidRPr="001C1527">
        <w:rPr>
          <w:spacing w:val="-1"/>
          <w:highlight w:val="yellow"/>
        </w:rPr>
        <w:t>Terms</w:t>
      </w:r>
      <w:r w:rsidRPr="001C1527">
        <w:rPr>
          <w:spacing w:val="-3"/>
          <w:highlight w:val="yellow"/>
        </w:rPr>
        <w:t xml:space="preserve"> </w:t>
      </w:r>
      <w:r w:rsidRPr="001C1527">
        <w:rPr>
          <w:spacing w:val="-1"/>
          <w:highlight w:val="yellow"/>
        </w:rPr>
        <w:t>shall</w:t>
      </w:r>
      <w:r w:rsidRPr="001C1527">
        <w:rPr>
          <w:highlight w:val="yellow"/>
        </w:rPr>
        <w:t xml:space="preserve"> </w:t>
      </w:r>
      <w:r w:rsidRPr="001C1527">
        <w:rPr>
          <w:spacing w:val="-1"/>
          <w:highlight w:val="yellow"/>
        </w:rPr>
        <w:t>be</w:t>
      </w:r>
      <w:r w:rsidRPr="001C1527">
        <w:rPr>
          <w:spacing w:val="-2"/>
          <w:highlight w:val="yellow"/>
        </w:rPr>
        <w:t xml:space="preserve"> </w:t>
      </w:r>
      <w:r w:rsidRPr="001C1527">
        <w:rPr>
          <w:spacing w:val="-1"/>
          <w:highlight w:val="yellow"/>
        </w:rPr>
        <w:t>[ten10</w:t>
      </w:r>
      <w:r w:rsidR="000E2E05" w:rsidRPr="001C1527">
        <w:rPr>
          <w:spacing w:val="-1"/>
          <w:highlight w:val="yellow"/>
        </w:rPr>
        <w:t>]</w:t>
      </w:r>
      <w:r w:rsidR="000E2E05" w:rsidRPr="001C1527">
        <w:rPr>
          <w:spacing w:val="-2"/>
          <w:highlight w:val="yellow"/>
        </w:rPr>
        <w:t>]</w:t>
      </w:r>
      <w:r w:rsidRPr="001C1527">
        <w:rPr>
          <w:spacing w:val="9"/>
          <w:highlight w:val="yellow"/>
        </w:rPr>
        <w:t xml:space="preserve"> </w:t>
      </w:r>
      <w:hyperlink w:anchor="_bookmark39" w:history="1">
        <w:r w:rsidRPr="001C1527">
          <w:rPr>
            <w:b/>
            <w:spacing w:val="-1"/>
            <w:position w:val="10"/>
            <w:sz w:val="14"/>
            <w:highlight w:val="yellow"/>
          </w:rPr>
          <w:t>39</w:t>
        </w:r>
      </w:hyperlink>
    </w:p>
    <w:p w:rsidR="008918FA" w:rsidRDefault="008918FA" w:rsidP="008918FA">
      <w:pPr>
        <w:pStyle w:val="Heading1"/>
        <w:numPr>
          <w:ilvl w:val="0"/>
          <w:numId w:val="74"/>
        </w:numPr>
        <w:tabs>
          <w:tab w:val="left" w:pos="592"/>
        </w:tabs>
        <w:spacing w:before="213"/>
        <w:ind w:left="591" w:hanging="491"/>
        <w:jc w:val="left"/>
        <w:rPr>
          <w:b w:val="0"/>
          <w:bCs w:val="0"/>
          <w:sz w:val="14"/>
          <w:szCs w:val="14"/>
        </w:rPr>
      </w:pPr>
      <w:r>
        <w:rPr>
          <w:spacing w:val="-2"/>
        </w:rPr>
        <w:t>ADDITIONAL</w:t>
      </w:r>
      <w:r>
        <w:rPr>
          <w:spacing w:val="2"/>
        </w:rPr>
        <w:t xml:space="preserve"> </w:t>
      </w:r>
      <w:r>
        <w:rPr>
          <w:spacing w:val="-1"/>
        </w:rPr>
        <w:t>AND/OR</w:t>
      </w:r>
      <w:r>
        <w:rPr>
          <w:spacing w:val="-3"/>
        </w:rPr>
        <w:t xml:space="preserve"> </w:t>
      </w:r>
      <w:r>
        <w:rPr>
          <w:spacing w:val="-1"/>
        </w:rPr>
        <w:t>ALTERNATIVE CLAUSES</w:t>
      </w:r>
      <w:r>
        <w:rPr>
          <w:spacing w:val="10"/>
        </w:rPr>
        <w:t xml:space="preserve"> </w:t>
      </w:r>
      <w:hyperlink w:anchor="_bookmark40" w:history="1">
        <w:r>
          <w:rPr>
            <w:spacing w:val="-1"/>
            <w:position w:val="10"/>
            <w:sz w:val="14"/>
          </w:rPr>
          <w:t>40</w:t>
        </w:r>
      </w:hyperlink>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spacing w:before="10"/>
        <w:rPr>
          <w:rFonts w:ascii="Arial" w:eastAsia="Arial" w:hAnsi="Arial" w:cs="Arial"/>
          <w:b/>
          <w:bCs/>
          <w:sz w:val="23"/>
          <w:szCs w:val="23"/>
        </w:rPr>
      </w:pPr>
    </w:p>
    <w:p w:rsidR="008918FA" w:rsidRDefault="008918FA" w:rsidP="008918FA">
      <w:pPr>
        <w:spacing w:before="77"/>
        <w:ind w:left="241" w:right="110"/>
        <w:jc w:val="both"/>
        <w:rPr>
          <w:rFonts w:ascii="Arial" w:eastAsia="Arial" w:hAnsi="Arial" w:cs="Arial"/>
          <w:sz w:val="18"/>
          <w:szCs w:val="18"/>
        </w:rPr>
      </w:pPr>
      <w:r>
        <w:rPr>
          <w:rFonts w:ascii="Arial" w:eastAsia="Arial" w:hAnsi="Arial" w:cs="Arial"/>
          <w:sz w:val="18"/>
          <w:szCs w:val="18"/>
        </w:rPr>
        <w:t>If</w:t>
      </w:r>
      <w:r>
        <w:rPr>
          <w:rFonts w:ascii="Arial" w:eastAsia="Arial" w:hAnsi="Arial" w:cs="Arial"/>
          <w:spacing w:val="3"/>
          <w:sz w:val="18"/>
          <w:szCs w:val="18"/>
        </w:rPr>
        <w:t xml:space="preserve"> </w:t>
      </w:r>
      <w:r>
        <w:rPr>
          <w:rFonts w:ascii="Arial" w:eastAsia="Arial" w:hAnsi="Arial" w:cs="Arial"/>
          <w:sz w:val="18"/>
          <w:szCs w:val="18"/>
        </w:rPr>
        <w:t>the</w:t>
      </w:r>
      <w:r>
        <w:rPr>
          <w:rFonts w:ascii="Arial" w:eastAsia="Arial" w:hAnsi="Arial" w:cs="Arial"/>
          <w:spacing w:val="1"/>
          <w:sz w:val="18"/>
          <w:szCs w:val="18"/>
        </w:rPr>
        <w:t xml:space="preserve"> </w:t>
      </w:r>
      <w:r>
        <w:rPr>
          <w:rFonts w:ascii="Arial" w:eastAsia="Arial" w:hAnsi="Arial" w:cs="Arial"/>
          <w:spacing w:val="-1"/>
          <w:sz w:val="18"/>
          <w:szCs w:val="18"/>
        </w:rPr>
        <w:t>Employment</w:t>
      </w:r>
      <w:r>
        <w:rPr>
          <w:rFonts w:ascii="Arial" w:eastAsia="Arial" w:hAnsi="Arial" w:cs="Arial"/>
          <w:spacing w:val="2"/>
          <w:sz w:val="18"/>
          <w:szCs w:val="18"/>
        </w:rPr>
        <w:t xml:space="preserve"> </w:t>
      </w:r>
      <w:r>
        <w:rPr>
          <w:rFonts w:ascii="Arial" w:eastAsia="Arial" w:hAnsi="Arial" w:cs="Arial"/>
          <w:spacing w:val="-1"/>
          <w:sz w:val="18"/>
          <w:szCs w:val="18"/>
        </w:rPr>
        <w:t>Regulations</w:t>
      </w:r>
      <w:r>
        <w:rPr>
          <w:rFonts w:ascii="Arial" w:eastAsia="Arial" w:hAnsi="Arial" w:cs="Arial"/>
          <w:spacing w:val="3"/>
          <w:sz w:val="18"/>
          <w:szCs w:val="18"/>
        </w:rPr>
        <w:t xml:space="preserve"> </w:t>
      </w:r>
      <w:r>
        <w:rPr>
          <w:rFonts w:ascii="Arial" w:eastAsia="Arial" w:hAnsi="Arial" w:cs="Arial"/>
          <w:spacing w:val="-1"/>
          <w:sz w:val="18"/>
          <w:szCs w:val="18"/>
        </w:rPr>
        <w:t>will</w:t>
      </w:r>
      <w:r>
        <w:rPr>
          <w:rFonts w:ascii="Arial" w:eastAsia="Arial" w:hAnsi="Arial" w:cs="Arial"/>
          <w:spacing w:val="3"/>
          <w:sz w:val="18"/>
          <w:szCs w:val="18"/>
        </w:rPr>
        <w:t xml:space="preserve"> </w:t>
      </w:r>
      <w:r>
        <w:rPr>
          <w:rFonts w:ascii="Arial" w:eastAsia="Arial" w:hAnsi="Arial" w:cs="Arial"/>
          <w:spacing w:val="-1"/>
          <w:sz w:val="18"/>
          <w:szCs w:val="18"/>
        </w:rPr>
        <w:t>apply</w:t>
      </w:r>
      <w:r>
        <w:rPr>
          <w:rFonts w:ascii="Arial" w:eastAsia="Arial" w:hAnsi="Arial" w:cs="Arial"/>
          <w:spacing w:val="1"/>
          <w:sz w:val="18"/>
          <w:szCs w:val="18"/>
        </w:rPr>
        <w:t xml:space="preserve"> </w:t>
      </w:r>
      <w:r>
        <w:rPr>
          <w:rFonts w:ascii="Arial" w:eastAsia="Arial" w:hAnsi="Arial" w:cs="Arial"/>
          <w:sz w:val="18"/>
          <w:szCs w:val="18"/>
        </w:rPr>
        <w:t>the</w:t>
      </w:r>
      <w:r>
        <w:rPr>
          <w:rFonts w:ascii="Arial" w:eastAsia="Arial" w:hAnsi="Arial" w:cs="Arial"/>
          <w:spacing w:val="3"/>
          <w:sz w:val="18"/>
          <w:szCs w:val="18"/>
        </w:rPr>
        <w:t xml:space="preserve"> </w:t>
      </w:r>
      <w:r>
        <w:rPr>
          <w:rFonts w:ascii="Arial" w:eastAsia="Arial" w:hAnsi="Arial" w:cs="Arial"/>
          <w:spacing w:val="-1"/>
          <w:sz w:val="18"/>
          <w:szCs w:val="18"/>
        </w:rPr>
        <w:t>Customer</w:t>
      </w:r>
      <w:r>
        <w:rPr>
          <w:rFonts w:ascii="Arial" w:eastAsia="Arial" w:hAnsi="Arial" w:cs="Arial"/>
          <w:sz w:val="18"/>
          <w:szCs w:val="18"/>
        </w:rPr>
        <w:t xml:space="preserve"> </w:t>
      </w:r>
      <w:r>
        <w:rPr>
          <w:rFonts w:ascii="Arial" w:eastAsia="Arial" w:hAnsi="Arial" w:cs="Arial"/>
          <w:spacing w:val="-1"/>
          <w:sz w:val="18"/>
          <w:szCs w:val="18"/>
        </w:rPr>
        <w:t>should</w:t>
      </w:r>
      <w:r>
        <w:rPr>
          <w:rFonts w:ascii="Arial" w:eastAsia="Arial" w:hAnsi="Arial" w:cs="Arial"/>
          <w:spacing w:val="3"/>
          <w:sz w:val="18"/>
          <w:szCs w:val="18"/>
        </w:rPr>
        <w:t xml:space="preserve"> </w:t>
      </w:r>
      <w:r>
        <w:rPr>
          <w:rFonts w:ascii="Arial" w:eastAsia="Arial" w:hAnsi="Arial" w:cs="Arial"/>
          <w:spacing w:val="-1"/>
          <w:sz w:val="18"/>
          <w:szCs w:val="18"/>
        </w:rPr>
        <w:t>“switch</w:t>
      </w:r>
      <w:r>
        <w:rPr>
          <w:rFonts w:ascii="Arial" w:eastAsia="Arial" w:hAnsi="Arial" w:cs="Arial"/>
          <w:spacing w:val="1"/>
          <w:sz w:val="18"/>
          <w:szCs w:val="18"/>
        </w:rPr>
        <w:t xml:space="preserve"> </w:t>
      </w:r>
      <w:r>
        <w:rPr>
          <w:rFonts w:ascii="Arial" w:eastAsia="Arial" w:hAnsi="Arial" w:cs="Arial"/>
          <w:sz w:val="18"/>
          <w:szCs w:val="18"/>
        </w:rPr>
        <w:t>on”</w:t>
      </w:r>
      <w:r>
        <w:rPr>
          <w:rFonts w:ascii="Arial" w:eastAsia="Arial" w:hAnsi="Arial" w:cs="Arial"/>
          <w:spacing w:val="2"/>
          <w:sz w:val="18"/>
          <w:szCs w:val="18"/>
        </w:rPr>
        <w:t xml:space="preserve"> </w:t>
      </w:r>
      <w:r>
        <w:rPr>
          <w:rFonts w:ascii="Arial" w:eastAsia="Arial" w:hAnsi="Arial" w:cs="Arial"/>
          <w:spacing w:val="-1"/>
          <w:sz w:val="18"/>
          <w:szCs w:val="18"/>
        </w:rPr>
        <w:t>Clause</w:t>
      </w:r>
      <w:r>
        <w:rPr>
          <w:rFonts w:ascii="Arial" w:eastAsia="Arial" w:hAnsi="Arial" w:cs="Arial"/>
          <w:spacing w:val="3"/>
          <w:sz w:val="18"/>
          <w:szCs w:val="18"/>
        </w:rPr>
        <w:t xml:space="preserve"> </w:t>
      </w:r>
      <w:hyperlink w:anchor="_bookmark143" w:history="1">
        <w:r>
          <w:rPr>
            <w:rFonts w:ascii="Arial" w:eastAsia="Arial" w:hAnsi="Arial" w:cs="Arial"/>
            <w:spacing w:val="-1"/>
            <w:sz w:val="18"/>
            <w:szCs w:val="18"/>
          </w:rPr>
          <w:t>28.1</w:t>
        </w:r>
      </w:hyperlink>
      <w:r>
        <w:rPr>
          <w:rFonts w:ascii="Arial" w:eastAsia="Arial" w:hAnsi="Arial" w:cs="Arial"/>
          <w:spacing w:val="1"/>
          <w:sz w:val="18"/>
          <w:szCs w:val="18"/>
        </w:rPr>
        <w:t xml:space="preserve"> </w:t>
      </w:r>
      <w:r>
        <w:rPr>
          <w:rFonts w:ascii="Arial" w:eastAsia="Arial" w:hAnsi="Arial" w:cs="Arial"/>
          <w:spacing w:val="-1"/>
          <w:sz w:val="18"/>
          <w:szCs w:val="18"/>
        </w:rPr>
        <w:t>and</w:t>
      </w:r>
      <w:r>
        <w:rPr>
          <w:rFonts w:ascii="Arial" w:eastAsia="Arial" w:hAnsi="Arial" w:cs="Arial"/>
          <w:spacing w:val="3"/>
          <w:sz w:val="18"/>
          <w:szCs w:val="18"/>
        </w:rPr>
        <w:t xml:space="preserve"> </w:t>
      </w:r>
      <w:r>
        <w:rPr>
          <w:rFonts w:ascii="Arial" w:eastAsia="Arial" w:hAnsi="Arial" w:cs="Arial"/>
          <w:spacing w:val="-1"/>
          <w:sz w:val="18"/>
          <w:szCs w:val="18"/>
        </w:rPr>
        <w:t>delete</w:t>
      </w:r>
      <w:r>
        <w:rPr>
          <w:rFonts w:ascii="Arial" w:eastAsia="Arial" w:hAnsi="Arial" w:cs="Arial"/>
          <w:spacing w:val="1"/>
          <w:sz w:val="18"/>
          <w:szCs w:val="18"/>
        </w:rPr>
        <w:t xml:space="preserve"> </w:t>
      </w:r>
      <w:r>
        <w:rPr>
          <w:rFonts w:ascii="Arial" w:eastAsia="Arial" w:hAnsi="Arial" w:cs="Arial"/>
          <w:spacing w:val="-1"/>
          <w:sz w:val="18"/>
          <w:szCs w:val="18"/>
        </w:rPr>
        <w:t>clauses</w:t>
      </w:r>
      <w:r>
        <w:rPr>
          <w:rFonts w:ascii="Arial" w:eastAsia="Arial" w:hAnsi="Arial" w:cs="Arial"/>
          <w:spacing w:val="1"/>
          <w:sz w:val="18"/>
          <w:szCs w:val="18"/>
        </w:rPr>
        <w:t xml:space="preserve"> </w:t>
      </w:r>
      <w:hyperlink w:anchor="_bookmark144" w:history="1">
        <w:r>
          <w:rPr>
            <w:rFonts w:ascii="Arial" w:eastAsia="Arial" w:hAnsi="Arial" w:cs="Arial"/>
            <w:spacing w:val="-1"/>
            <w:sz w:val="18"/>
            <w:szCs w:val="18"/>
          </w:rPr>
          <w:t>28.2</w:t>
        </w:r>
      </w:hyperlink>
      <w:r>
        <w:rPr>
          <w:rFonts w:ascii="Arial" w:eastAsia="Arial" w:hAnsi="Arial" w:cs="Arial"/>
          <w:spacing w:val="73"/>
          <w:sz w:val="18"/>
          <w:szCs w:val="18"/>
        </w:rPr>
        <w:t xml:space="preserve"> </w:t>
      </w:r>
      <w:r>
        <w:rPr>
          <w:rFonts w:ascii="Arial" w:eastAsia="Arial" w:hAnsi="Arial" w:cs="Arial"/>
          <w:sz w:val="18"/>
          <w:szCs w:val="18"/>
        </w:rPr>
        <w:t>and</w:t>
      </w:r>
      <w:r>
        <w:rPr>
          <w:rFonts w:ascii="Arial" w:eastAsia="Arial" w:hAnsi="Arial" w:cs="Arial"/>
          <w:spacing w:val="15"/>
          <w:sz w:val="18"/>
          <w:szCs w:val="18"/>
        </w:rPr>
        <w:t xml:space="preserve"> </w:t>
      </w:r>
      <w:r>
        <w:rPr>
          <w:rFonts w:ascii="Arial" w:eastAsia="Arial" w:hAnsi="Arial" w:cs="Arial"/>
          <w:spacing w:val="-1"/>
          <w:sz w:val="18"/>
          <w:szCs w:val="18"/>
        </w:rPr>
        <w:t>28.3.</w:t>
      </w:r>
      <w:r>
        <w:rPr>
          <w:rFonts w:ascii="Arial" w:eastAsia="Arial" w:hAnsi="Arial" w:cs="Arial"/>
          <w:spacing w:val="15"/>
          <w:sz w:val="18"/>
          <w:szCs w:val="18"/>
        </w:rPr>
        <w:t xml:space="preserve"> </w:t>
      </w:r>
      <w:r>
        <w:rPr>
          <w:rFonts w:ascii="Arial" w:eastAsia="Arial" w:hAnsi="Arial" w:cs="Arial"/>
          <w:spacing w:val="-1"/>
          <w:sz w:val="18"/>
          <w:szCs w:val="18"/>
        </w:rPr>
        <w:t>The</w:t>
      </w:r>
      <w:r>
        <w:rPr>
          <w:rFonts w:ascii="Arial" w:eastAsia="Arial" w:hAnsi="Arial" w:cs="Arial"/>
          <w:spacing w:val="15"/>
          <w:sz w:val="18"/>
          <w:szCs w:val="18"/>
        </w:rPr>
        <w:t xml:space="preserve"> </w:t>
      </w:r>
      <w:r>
        <w:rPr>
          <w:rFonts w:ascii="Arial" w:eastAsia="Arial" w:hAnsi="Arial" w:cs="Arial"/>
          <w:spacing w:val="-1"/>
          <w:sz w:val="18"/>
          <w:szCs w:val="18"/>
        </w:rPr>
        <w:t>Customer</w:t>
      </w:r>
      <w:r>
        <w:rPr>
          <w:rFonts w:ascii="Arial" w:eastAsia="Arial" w:hAnsi="Arial" w:cs="Arial"/>
          <w:spacing w:val="14"/>
          <w:sz w:val="18"/>
          <w:szCs w:val="18"/>
        </w:rPr>
        <w:t xml:space="preserve"> </w:t>
      </w:r>
      <w:r>
        <w:rPr>
          <w:rFonts w:ascii="Arial" w:eastAsia="Arial" w:hAnsi="Arial" w:cs="Arial"/>
          <w:spacing w:val="-1"/>
          <w:sz w:val="18"/>
          <w:szCs w:val="18"/>
        </w:rPr>
        <w:t>should</w:t>
      </w:r>
      <w:r>
        <w:rPr>
          <w:rFonts w:ascii="Arial" w:eastAsia="Arial" w:hAnsi="Arial" w:cs="Arial"/>
          <w:spacing w:val="15"/>
          <w:sz w:val="18"/>
          <w:szCs w:val="18"/>
        </w:rPr>
        <w:t xml:space="preserve"> </w:t>
      </w:r>
      <w:r>
        <w:rPr>
          <w:rFonts w:ascii="Arial" w:eastAsia="Arial" w:hAnsi="Arial" w:cs="Arial"/>
          <w:spacing w:val="-1"/>
          <w:sz w:val="18"/>
          <w:szCs w:val="18"/>
        </w:rPr>
        <w:t>also</w:t>
      </w:r>
      <w:r>
        <w:rPr>
          <w:rFonts w:ascii="Arial" w:eastAsia="Arial" w:hAnsi="Arial" w:cs="Arial"/>
          <w:spacing w:val="15"/>
          <w:sz w:val="18"/>
          <w:szCs w:val="18"/>
        </w:rPr>
        <w:t xml:space="preserve"> </w:t>
      </w:r>
      <w:r>
        <w:rPr>
          <w:rFonts w:ascii="Arial" w:eastAsia="Arial" w:hAnsi="Arial" w:cs="Arial"/>
          <w:sz w:val="18"/>
          <w:szCs w:val="18"/>
        </w:rPr>
        <w:t>select</w:t>
      </w:r>
      <w:r>
        <w:rPr>
          <w:rFonts w:ascii="Arial" w:eastAsia="Arial" w:hAnsi="Arial" w:cs="Arial"/>
          <w:spacing w:val="15"/>
          <w:sz w:val="18"/>
          <w:szCs w:val="18"/>
        </w:rPr>
        <w:t xml:space="preserve"> </w:t>
      </w:r>
      <w:r>
        <w:rPr>
          <w:rFonts w:ascii="Arial" w:eastAsia="Arial" w:hAnsi="Arial" w:cs="Arial"/>
          <w:spacing w:val="-1"/>
          <w:sz w:val="18"/>
          <w:szCs w:val="18"/>
        </w:rPr>
        <w:t>whether</w:t>
      </w:r>
      <w:r>
        <w:rPr>
          <w:rFonts w:ascii="Arial" w:eastAsia="Arial" w:hAnsi="Arial" w:cs="Arial"/>
          <w:spacing w:val="14"/>
          <w:sz w:val="18"/>
          <w:szCs w:val="18"/>
        </w:rPr>
        <w:t xml:space="preserve"> </w:t>
      </w:r>
      <w:r>
        <w:rPr>
          <w:rFonts w:ascii="Arial" w:eastAsia="Arial" w:hAnsi="Arial" w:cs="Arial"/>
          <w:sz w:val="18"/>
          <w:szCs w:val="18"/>
        </w:rPr>
        <w:t>“Part</w:t>
      </w:r>
      <w:r>
        <w:rPr>
          <w:rFonts w:ascii="Arial" w:eastAsia="Arial" w:hAnsi="Arial" w:cs="Arial"/>
          <w:spacing w:val="15"/>
          <w:sz w:val="18"/>
          <w:szCs w:val="18"/>
        </w:rPr>
        <w:t xml:space="preserve"> </w:t>
      </w:r>
      <w:r>
        <w:rPr>
          <w:rFonts w:ascii="Arial" w:eastAsia="Arial" w:hAnsi="Arial" w:cs="Arial"/>
          <w:spacing w:val="-2"/>
          <w:sz w:val="18"/>
          <w:szCs w:val="18"/>
        </w:rPr>
        <w:t>A”</w:t>
      </w:r>
      <w:r>
        <w:rPr>
          <w:rFonts w:ascii="Arial" w:eastAsia="Arial" w:hAnsi="Arial" w:cs="Arial"/>
          <w:spacing w:val="14"/>
          <w:sz w:val="18"/>
          <w:szCs w:val="18"/>
        </w:rPr>
        <w:t xml:space="preserve"> </w:t>
      </w:r>
      <w:r>
        <w:rPr>
          <w:rFonts w:ascii="Arial" w:eastAsia="Arial" w:hAnsi="Arial" w:cs="Arial"/>
          <w:spacing w:val="-1"/>
          <w:sz w:val="18"/>
          <w:szCs w:val="18"/>
        </w:rPr>
        <w:t>(where</w:t>
      </w:r>
      <w:r>
        <w:rPr>
          <w:rFonts w:ascii="Arial" w:eastAsia="Arial" w:hAnsi="Arial" w:cs="Arial"/>
          <w:spacing w:val="15"/>
          <w:sz w:val="18"/>
          <w:szCs w:val="18"/>
        </w:rPr>
        <w:t xml:space="preserve"> </w:t>
      </w:r>
      <w:r>
        <w:rPr>
          <w:rFonts w:ascii="Arial" w:eastAsia="Arial" w:hAnsi="Arial" w:cs="Arial"/>
          <w:sz w:val="18"/>
          <w:szCs w:val="18"/>
        </w:rPr>
        <w:t>the</w:t>
      </w:r>
      <w:r>
        <w:rPr>
          <w:rFonts w:ascii="Arial" w:eastAsia="Arial" w:hAnsi="Arial" w:cs="Arial"/>
          <w:spacing w:val="15"/>
          <w:sz w:val="18"/>
          <w:szCs w:val="18"/>
        </w:rPr>
        <w:t xml:space="preserve"> </w:t>
      </w:r>
      <w:r>
        <w:rPr>
          <w:rFonts w:ascii="Arial" w:eastAsia="Arial" w:hAnsi="Arial" w:cs="Arial"/>
          <w:spacing w:val="-1"/>
          <w:sz w:val="18"/>
          <w:szCs w:val="18"/>
        </w:rPr>
        <w:t>Customer’s</w:t>
      </w:r>
      <w:r>
        <w:rPr>
          <w:rFonts w:ascii="Arial" w:eastAsia="Arial" w:hAnsi="Arial" w:cs="Arial"/>
          <w:spacing w:val="16"/>
          <w:sz w:val="18"/>
          <w:szCs w:val="18"/>
        </w:rPr>
        <w:t xml:space="preserve"> </w:t>
      </w:r>
      <w:r>
        <w:rPr>
          <w:rFonts w:ascii="Arial" w:eastAsia="Arial" w:hAnsi="Arial" w:cs="Arial"/>
          <w:spacing w:val="-1"/>
          <w:sz w:val="18"/>
          <w:szCs w:val="18"/>
        </w:rPr>
        <w:t>own</w:t>
      </w:r>
      <w:r>
        <w:rPr>
          <w:rFonts w:ascii="Arial" w:eastAsia="Arial" w:hAnsi="Arial" w:cs="Arial"/>
          <w:spacing w:val="15"/>
          <w:sz w:val="18"/>
          <w:szCs w:val="18"/>
        </w:rPr>
        <w:t xml:space="preserve"> </w:t>
      </w:r>
      <w:r>
        <w:rPr>
          <w:rFonts w:ascii="Arial" w:eastAsia="Arial" w:hAnsi="Arial" w:cs="Arial"/>
          <w:sz w:val="18"/>
          <w:szCs w:val="18"/>
        </w:rPr>
        <w:t>staff</w:t>
      </w:r>
      <w:r>
        <w:rPr>
          <w:rFonts w:ascii="Arial" w:eastAsia="Arial" w:hAnsi="Arial" w:cs="Arial"/>
          <w:spacing w:val="15"/>
          <w:sz w:val="18"/>
          <w:szCs w:val="18"/>
        </w:rPr>
        <w:t xml:space="preserve"> </w:t>
      </w:r>
      <w:r>
        <w:rPr>
          <w:rFonts w:ascii="Arial" w:eastAsia="Arial" w:hAnsi="Arial" w:cs="Arial"/>
          <w:spacing w:val="-1"/>
          <w:sz w:val="18"/>
          <w:szCs w:val="18"/>
        </w:rPr>
        <w:t>are</w:t>
      </w:r>
      <w:r>
        <w:rPr>
          <w:rFonts w:ascii="Arial" w:eastAsia="Arial" w:hAnsi="Arial" w:cs="Arial"/>
          <w:spacing w:val="15"/>
          <w:sz w:val="18"/>
          <w:szCs w:val="18"/>
        </w:rPr>
        <w:t xml:space="preserve"> </w:t>
      </w:r>
      <w:r>
        <w:rPr>
          <w:rFonts w:ascii="Arial" w:eastAsia="Arial" w:hAnsi="Arial" w:cs="Arial"/>
          <w:sz w:val="18"/>
          <w:szCs w:val="18"/>
        </w:rPr>
        <w:t>to</w:t>
      </w:r>
      <w:r>
        <w:rPr>
          <w:rFonts w:ascii="Arial" w:eastAsia="Arial" w:hAnsi="Arial" w:cs="Arial"/>
          <w:spacing w:val="15"/>
          <w:sz w:val="18"/>
          <w:szCs w:val="18"/>
        </w:rPr>
        <w:t xml:space="preserve"> </w:t>
      </w:r>
      <w:r>
        <w:rPr>
          <w:rFonts w:ascii="Arial" w:eastAsia="Arial" w:hAnsi="Arial" w:cs="Arial"/>
          <w:spacing w:val="-1"/>
          <w:sz w:val="18"/>
          <w:szCs w:val="18"/>
        </w:rPr>
        <w:t>transfer)</w:t>
      </w:r>
      <w:r>
        <w:rPr>
          <w:rFonts w:ascii="Arial" w:eastAsia="Arial" w:hAnsi="Arial" w:cs="Arial"/>
          <w:spacing w:val="81"/>
          <w:sz w:val="18"/>
          <w:szCs w:val="18"/>
        </w:rPr>
        <w:t xml:space="preserve"> </w:t>
      </w:r>
      <w:r>
        <w:rPr>
          <w:rFonts w:ascii="Arial" w:eastAsia="Arial" w:hAnsi="Arial" w:cs="Arial"/>
          <w:sz w:val="18"/>
          <w:szCs w:val="18"/>
        </w:rPr>
        <w:t>and/or</w:t>
      </w:r>
      <w:r>
        <w:rPr>
          <w:rFonts w:ascii="Arial" w:eastAsia="Arial" w:hAnsi="Arial" w:cs="Arial"/>
          <w:spacing w:val="41"/>
          <w:sz w:val="18"/>
          <w:szCs w:val="18"/>
        </w:rPr>
        <w:t xml:space="preserve"> </w:t>
      </w:r>
      <w:r>
        <w:rPr>
          <w:rFonts w:ascii="Arial" w:eastAsia="Arial" w:hAnsi="Arial" w:cs="Arial"/>
          <w:sz w:val="18"/>
          <w:szCs w:val="18"/>
        </w:rPr>
        <w:t>B</w:t>
      </w:r>
      <w:r>
        <w:rPr>
          <w:rFonts w:ascii="Arial" w:eastAsia="Arial" w:hAnsi="Arial" w:cs="Arial"/>
          <w:spacing w:val="41"/>
          <w:sz w:val="18"/>
          <w:szCs w:val="18"/>
        </w:rPr>
        <w:t xml:space="preserve"> </w:t>
      </w:r>
      <w:r>
        <w:rPr>
          <w:rFonts w:ascii="Arial" w:eastAsia="Arial" w:hAnsi="Arial" w:cs="Arial"/>
          <w:spacing w:val="-1"/>
          <w:sz w:val="18"/>
          <w:szCs w:val="18"/>
        </w:rPr>
        <w:t>(where</w:t>
      </w:r>
      <w:r>
        <w:rPr>
          <w:rFonts w:ascii="Arial" w:eastAsia="Arial" w:hAnsi="Arial" w:cs="Arial"/>
          <w:spacing w:val="41"/>
          <w:sz w:val="18"/>
          <w:szCs w:val="18"/>
        </w:rPr>
        <w:t xml:space="preserve"> </w:t>
      </w:r>
      <w:r>
        <w:rPr>
          <w:rFonts w:ascii="Arial" w:eastAsia="Arial" w:hAnsi="Arial" w:cs="Arial"/>
          <w:sz w:val="18"/>
          <w:szCs w:val="18"/>
        </w:rPr>
        <w:t>the</w:t>
      </w:r>
      <w:r>
        <w:rPr>
          <w:rFonts w:ascii="Arial" w:eastAsia="Arial" w:hAnsi="Arial" w:cs="Arial"/>
          <w:spacing w:val="41"/>
          <w:sz w:val="18"/>
          <w:szCs w:val="18"/>
        </w:rPr>
        <w:t xml:space="preserve"> </w:t>
      </w:r>
      <w:r>
        <w:rPr>
          <w:rFonts w:ascii="Arial" w:eastAsia="Arial" w:hAnsi="Arial" w:cs="Arial"/>
          <w:spacing w:val="-1"/>
          <w:sz w:val="18"/>
          <w:szCs w:val="18"/>
        </w:rPr>
        <w:t>Customer’s</w:t>
      </w:r>
      <w:r>
        <w:rPr>
          <w:rFonts w:ascii="Arial" w:eastAsia="Arial" w:hAnsi="Arial" w:cs="Arial"/>
          <w:spacing w:val="42"/>
          <w:sz w:val="18"/>
          <w:szCs w:val="18"/>
        </w:rPr>
        <w:t xml:space="preserve"> </w:t>
      </w:r>
      <w:r>
        <w:rPr>
          <w:rFonts w:ascii="Arial" w:eastAsia="Arial" w:hAnsi="Arial" w:cs="Arial"/>
          <w:spacing w:val="-1"/>
          <w:sz w:val="18"/>
          <w:szCs w:val="18"/>
        </w:rPr>
        <w:t>incumbent</w:t>
      </w:r>
      <w:r>
        <w:rPr>
          <w:rFonts w:ascii="Arial" w:eastAsia="Arial" w:hAnsi="Arial" w:cs="Arial"/>
          <w:spacing w:val="41"/>
          <w:sz w:val="18"/>
          <w:szCs w:val="18"/>
        </w:rPr>
        <w:t xml:space="preserve"> </w:t>
      </w:r>
      <w:r>
        <w:rPr>
          <w:rFonts w:ascii="Arial" w:eastAsia="Arial" w:hAnsi="Arial" w:cs="Arial"/>
          <w:spacing w:val="-1"/>
          <w:sz w:val="18"/>
          <w:szCs w:val="18"/>
        </w:rPr>
        <w:t>supplier’s</w:t>
      </w:r>
      <w:r>
        <w:rPr>
          <w:rFonts w:ascii="Arial" w:eastAsia="Arial" w:hAnsi="Arial" w:cs="Arial"/>
          <w:spacing w:val="39"/>
          <w:sz w:val="18"/>
          <w:szCs w:val="18"/>
        </w:rPr>
        <w:t xml:space="preserve"> </w:t>
      </w:r>
      <w:r>
        <w:rPr>
          <w:rFonts w:ascii="Arial" w:eastAsia="Arial" w:hAnsi="Arial" w:cs="Arial"/>
          <w:spacing w:val="-1"/>
          <w:sz w:val="18"/>
          <w:szCs w:val="18"/>
        </w:rPr>
        <w:t>staff</w:t>
      </w:r>
      <w:r>
        <w:rPr>
          <w:rFonts w:ascii="Arial" w:eastAsia="Arial" w:hAnsi="Arial" w:cs="Arial"/>
          <w:spacing w:val="41"/>
          <w:sz w:val="18"/>
          <w:szCs w:val="18"/>
        </w:rPr>
        <w:t xml:space="preserve"> </w:t>
      </w:r>
      <w:r>
        <w:rPr>
          <w:rFonts w:ascii="Arial" w:eastAsia="Arial" w:hAnsi="Arial" w:cs="Arial"/>
          <w:sz w:val="18"/>
          <w:szCs w:val="18"/>
        </w:rPr>
        <w:t>are</w:t>
      </w:r>
      <w:r>
        <w:rPr>
          <w:rFonts w:ascii="Arial" w:eastAsia="Arial" w:hAnsi="Arial" w:cs="Arial"/>
          <w:spacing w:val="41"/>
          <w:sz w:val="18"/>
          <w:szCs w:val="18"/>
        </w:rPr>
        <w:t xml:space="preserve"> </w:t>
      </w:r>
      <w:r>
        <w:rPr>
          <w:rFonts w:ascii="Arial" w:eastAsia="Arial" w:hAnsi="Arial" w:cs="Arial"/>
          <w:sz w:val="18"/>
          <w:szCs w:val="18"/>
        </w:rPr>
        <w:t>to</w:t>
      </w:r>
      <w:r>
        <w:rPr>
          <w:rFonts w:ascii="Arial" w:eastAsia="Arial" w:hAnsi="Arial" w:cs="Arial"/>
          <w:spacing w:val="41"/>
          <w:sz w:val="18"/>
          <w:szCs w:val="18"/>
        </w:rPr>
        <w:t xml:space="preserve"> </w:t>
      </w:r>
      <w:r>
        <w:rPr>
          <w:rFonts w:ascii="Arial" w:eastAsia="Arial" w:hAnsi="Arial" w:cs="Arial"/>
          <w:spacing w:val="-1"/>
          <w:sz w:val="18"/>
          <w:szCs w:val="18"/>
        </w:rPr>
        <w:t>transfer)</w:t>
      </w:r>
      <w:r>
        <w:rPr>
          <w:rFonts w:ascii="Arial" w:eastAsia="Arial" w:hAnsi="Arial" w:cs="Arial"/>
          <w:spacing w:val="41"/>
          <w:sz w:val="18"/>
          <w:szCs w:val="18"/>
        </w:rPr>
        <w:t xml:space="preserve"> </w:t>
      </w:r>
      <w:r>
        <w:rPr>
          <w:rFonts w:ascii="Arial" w:eastAsia="Arial" w:hAnsi="Arial" w:cs="Arial"/>
          <w:sz w:val="18"/>
          <w:szCs w:val="18"/>
        </w:rPr>
        <w:t>of</w:t>
      </w:r>
      <w:r>
        <w:rPr>
          <w:rFonts w:ascii="Arial" w:eastAsia="Arial" w:hAnsi="Arial" w:cs="Arial"/>
          <w:spacing w:val="41"/>
          <w:sz w:val="18"/>
          <w:szCs w:val="18"/>
        </w:rPr>
        <w:t xml:space="preserve"> </w:t>
      </w:r>
      <w:r>
        <w:rPr>
          <w:rFonts w:ascii="Arial" w:eastAsia="Arial" w:hAnsi="Arial" w:cs="Arial"/>
          <w:spacing w:val="-1"/>
          <w:sz w:val="18"/>
          <w:szCs w:val="18"/>
        </w:rPr>
        <w:t>Call</w:t>
      </w:r>
      <w:r>
        <w:rPr>
          <w:rFonts w:ascii="Arial" w:eastAsia="Arial" w:hAnsi="Arial" w:cs="Arial"/>
          <w:spacing w:val="42"/>
          <w:sz w:val="18"/>
          <w:szCs w:val="18"/>
        </w:rPr>
        <w:t xml:space="preserve"> </w:t>
      </w:r>
      <w:r>
        <w:rPr>
          <w:rFonts w:ascii="Arial" w:eastAsia="Arial" w:hAnsi="Arial" w:cs="Arial"/>
          <w:spacing w:val="-1"/>
          <w:sz w:val="18"/>
          <w:szCs w:val="18"/>
        </w:rPr>
        <w:t>Off</w:t>
      </w:r>
      <w:r>
        <w:rPr>
          <w:rFonts w:ascii="Arial" w:eastAsia="Arial" w:hAnsi="Arial" w:cs="Arial"/>
          <w:spacing w:val="39"/>
          <w:sz w:val="18"/>
          <w:szCs w:val="18"/>
        </w:rPr>
        <w:t xml:space="preserve"> </w:t>
      </w:r>
      <w:r>
        <w:rPr>
          <w:rFonts w:ascii="Arial" w:eastAsia="Arial" w:hAnsi="Arial" w:cs="Arial"/>
          <w:spacing w:val="-1"/>
          <w:sz w:val="18"/>
          <w:szCs w:val="18"/>
        </w:rPr>
        <w:t>Schedule</w:t>
      </w:r>
      <w:r>
        <w:rPr>
          <w:rFonts w:ascii="Arial" w:eastAsia="Arial" w:hAnsi="Arial" w:cs="Arial"/>
          <w:spacing w:val="41"/>
          <w:sz w:val="18"/>
          <w:szCs w:val="18"/>
        </w:rPr>
        <w:t xml:space="preserve"> </w:t>
      </w:r>
      <w:r>
        <w:rPr>
          <w:rFonts w:ascii="Arial" w:eastAsia="Arial" w:hAnsi="Arial" w:cs="Arial"/>
          <w:sz w:val="18"/>
          <w:szCs w:val="18"/>
        </w:rPr>
        <w:t>11</w:t>
      </w:r>
      <w:r>
        <w:rPr>
          <w:rFonts w:ascii="Arial" w:eastAsia="Arial" w:hAnsi="Arial" w:cs="Arial"/>
          <w:spacing w:val="41"/>
          <w:sz w:val="18"/>
          <w:szCs w:val="18"/>
        </w:rPr>
        <w:t xml:space="preserve"> </w:t>
      </w:r>
      <w:r>
        <w:rPr>
          <w:rFonts w:ascii="Arial" w:eastAsia="Arial" w:hAnsi="Arial" w:cs="Arial"/>
          <w:sz w:val="18"/>
          <w:szCs w:val="18"/>
        </w:rPr>
        <w:t>(Staff</w:t>
      </w:r>
      <w:r>
        <w:rPr>
          <w:rFonts w:ascii="Arial" w:eastAsia="Arial" w:hAnsi="Arial" w:cs="Arial"/>
          <w:spacing w:val="91"/>
          <w:sz w:val="18"/>
          <w:szCs w:val="18"/>
        </w:rPr>
        <w:t xml:space="preserve"> </w:t>
      </w:r>
      <w:r>
        <w:rPr>
          <w:rFonts w:ascii="Arial" w:eastAsia="Arial" w:hAnsi="Arial" w:cs="Arial"/>
          <w:spacing w:val="-1"/>
          <w:sz w:val="18"/>
          <w:szCs w:val="18"/>
        </w:rPr>
        <w:t>Transfer)</w:t>
      </w:r>
      <w:r>
        <w:rPr>
          <w:rFonts w:ascii="Arial" w:eastAsia="Arial" w:hAnsi="Arial" w:cs="Arial"/>
          <w:spacing w:val="24"/>
          <w:sz w:val="18"/>
          <w:szCs w:val="18"/>
        </w:rPr>
        <w:t xml:space="preserve"> </w:t>
      </w:r>
      <w:r>
        <w:rPr>
          <w:rFonts w:ascii="Arial" w:eastAsia="Arial" w:hAnsi="Arial" w:cs="Arial"/>
          <w:spacing w:val="-1"/>
          <w:sz w:val="18"/>
          <w:szCs w:val="18"/>
        </w:rPr>
        <w:t>apply.</w:t>
      </w:r>
      <w:r>
        <w:rPr>
          <w:rFonts w:ascii="Arial" w:eastAsia="Arial" w:hAnsi="Arial" w:cs="Arial"/>
          <w:spacing w:val="22"/>
          <w:sz w:val="18"/>
          <w:szCs w:val="18"/>
        </w:rPr>
        <w:t xml:space="preserve"> </w:t>
      </w:r>
      <w:r>
        <w:rPr>
          <w:rFonts w:ascii="Arial" w:eastAsia="Arial" w:hAnsi="Arial" w:cs="Arial"/>
          <w:sz w:val="18"/>
          <w:szCs w:val="18"/>
        </w:rPr>
        <w:t>If</w:t>
      </w:r>
      <w:r>
        <w:rPr>
          <w:rFonts w:ascii="Arial" w:eastAsia="Arial" w:hAnsi="Arial" w:cs="Arial"/>
          <w:spacing w:val="24"/>
          <w:sz w:val="18"/>
          <w:szCs w:val="18"/>
        </w:rPr>
        <w:t xml:space="preserve"> </w:t>
      </w:r>
      <w:r>
        <w:rPr>
          <w:rFonts w:ascii="Arial" w:eastAsia="Arial" w:hAnsi="Arial" w:cs="Arial"/>
          <w:spacing w:val="-1"/>
          <w:sz w:val="18"/>
          <w:szCs w:val="18"/>
        </w:rPr>
        <w:t>the</w:t>
      </w:r>
      <w:r>
        <w:rPr>
          <w:rFonts w:ascii="Arial" w:eastAsia="Arial" w:hAnsi="Arial" w:cs="Arial"/>
          <w:spacing w:val="25"/>
          <w:sz w:val="18"/>
          <w:szCs w:val="18"/>
        </w:rPr>
        <w:t xml:space="preserve"> </w:t>
      </w:r>
      <w:r>
        <w:rPr>
          <w:rFonts w:ascii="Arial" w:eastAsia="Arial" w:hAnsi="Arial" w:cs="Arial"/>
          <w:spacing w:val="-1"/>
          <w:sz w:val="18"/>
          <w:szCs w:val="18"/>
        </w:rPr>
        <w:t>Employment</w:t>
      </w:r>
      <w:r>
        <w:rPr>
          <w:rFonts w:ascii="Arial" w:eastAsia="Arial" w:hAnsi="Arial" w:cs="Arial"/>
          <w:spacing w:val="22"/>
          <w:sz w:val="18"/>
          <w:szCs w:val="18"/>
        </w:rPr>
        <w:t xml:space="preserve"> </w:t>
      </w:r>
      <w:r>
        <w:rPr>
          <w:rFonts w:ascii="Arial" w:eastAsia="Arial" w:hAnsi="Arial" w:cs="Arial"/>
          <w:spacing w:val="-1"/>
          <w:sz w:val="18"/>
          <w:szCs w:val="18"/>
        </w:rPr>
        <w:t>Regulations</w:t>
      </w:r>
      <w:r>
        <w:rPr>
          <w:rFonts w:ascii="Arial" w:eastAsia="Arial" w:hAnsi="Arial" w:cs="Arial"/>
          <w:spacing w:val="25"/>
          <w:sz w:val="18"/>
          <w:szCs w:val="18"/>
        </w:rPr>
        <w:t xml:space="preserve"> </w:t>
      </w:r>
      <w:r>
        <w:rPr>
          <w:rFonts w:ascii="Arial" w:eastAsia="Arial" w:hAnsi="Arial" w:cs="Arial"/>
          <w:spacing w:val="-1"/>
          <w:sz w:val="18"/>
          <w:szCs w:val="18"/>
        </w:rPr>
        <w:t>do</w:t>
      </w:r>
      <w:r>
        <w:rPr>
          <w:rFonts w:ascii="Arial" w:eastAsia="Arial" w:hAnsi="Arial" w:cs="Arial"/>
          <w:spacing w:val="25"/>
          <w:sz w:val="18"/>
          <w:szCs w:val="18"/>
        </w:rPr>
        <w:t xml:space="preserve"> </w:t>
      </w:r>
      <w:r>
        <w:rPr>
          <w:rFonts w:ascii="Arial" w:eastAsia="Arial" w:hAnsi="Arial" w:cs="Arial"/>
          <w:spacing w:val="-1"/>
          <w:sz w:val="18"/>
          <w:szCs w:val="18"/>
        </w:rPr>
        <w:t>not</w:t>
      </w:r>
      <w:r>
        <w:rPr>
          <w:rFonts w:ascii="Arial" w:eastAsia="Arial" w:hAnsi="Arial" w:cs="Arial"/>
          <w:spacing w:val="24"/>
          <w:sz w:val="18"/>
          <w:szCs w:val="18"/>
        </w:rPr>
        <w:t xml:space="preserve"> </w:t>
      </w:r>
      <w:r>
        <w:rPr>
          <w:rFonts w:ascii="Arial" w:eastAsia="Arial" w:hAnsi="Arial" w:cs="Arial"/>
          <w:spacing w:val="-1"/>
          <w:sz w:val="18"/>
          <w:szCs w:val="18"/>
        </w:rPr>
        <w:t>apply,</w:t>
      </w:r>
      <w:r>
        <w:rPr>
          <w:rFonts w:ascii="Arial" w:eastAsia="Arial" w:hAnsi="Arial" w:cs="Arial"/>
          <w:spacing w:val="24"/>
          <w:sz w:val="18"/>
          <w:szCs w:val="18"/>
        </w:rPr>
        <w:t xml:space="preserve"> </w:t>
      </w:r>
      <w:r>
        <w:rPr>
          <w:rFonts w:ascii="Arial" w:eastAsia="Arial" w:hAnsi="Arial" w:cs="Arial"/>
          <w:sz w:val="18"/>
          <w:szCs w:val="18"/>
        </w:rPr>
        <w:t>the</w:t>
      </w:r>
      <w:r>
        <w:rPr>
          <w:rFonts w:ascii="Arial" w:eastAsia="Arial" w:hAnsi="Arial" w:cs="Arial"/>
          <w:spacing w:val="25"/>
          <w:sz w:val="18"/>
          <w:szCs w:val="18"/>
        </w:rPr>
        <w:t xml:space="preserve"> </w:t>
      </w:r>
      <w:r>
        <w:rPr>
          <w:rFonts w:ascii="Arial" w:eastAsia="Arial" w:hAnsi="Arial" w:cs="Arial"/>
          <w:spacing w:val="-1"/>
          <w:sz w:val="18"/>
          <w:szCs w:val="18"/>
        </w:rPr>
        <w:t>Customer</w:t>
      </w:r>
      <w:r>
        <w:rPr>
          <w:rFonts w:ascii="Arial" w:eastAsia="Arial" w:hAnsi="Arial" w:cs="Arial"/>
          <w:spacing w:val="46"/>
          <w:sz w:val="18"/>
          <w:szCs w:val="18"/>
        </w:rPr>
        <w:t xml:space="preserve"> </w:t>
      </w:r>
      <w:r>
        <w:rPr>
          <w:rFonts w:ascii="Arial" w:eastAsia="Arial" w:hAnsi="Arial" w:cs="Arial"/>
          <w:spacing w:val="-1"/>
          <w:sz w:val="18"/>
          <w:szCs w:val="18"/>
        </w:rPr>
        <w:t>should</w:t>
      </w:r>
      <w:r>
        <w:rPr>
          <w:rFonts w:ascii="Arial" w:eastAsia="Arial" w:hAnsi="Arial" w:cs="Arial"/>
          <w:spacing w:val="25"/>
          <w:sz w:val="18"/>
          <w:szCs w:val="18"/>
        </w:rPr>
        <w:t xml:space="preserve"> </w:t>
      </w:r>
      <w:r>
        <w:rPr>
          <w:rFonts w:ascii="Arial" w:eastAsia="Arial" w:hAnsi="Arial" w:cs="Arial"/>
          <w:spacing w:val="-1"/>
          <w:sz w:val="18"/>
          <w:szCs w:val="18"/>
        </w:rPr>
        <w:t>“switch</w:t>
      </w:r>
      <w:r>
        <w:rPr>
          <w:rFonts w:ascii="Arial" w:eastAsia="Arial" w:hAnsi="Arial" w:cs="Arial"/>
          <w:spacing w:val="25"/>
          <w:sz w:val="18"/>
          <w:szCs w:val="18"/>
        </w:rPr>
        <w:t xml:space="preserve"> </w:t>
      </w:r>
      <w:r>
        <w:rPr>
          <w:rFonts w:ascii="Arial" w:eastAsia="Arial" w:hAnsi="Arial" w:cs="Arial"/>
          <w:spacing w:val="-1"/>
          <w:sz w:val="18"/>
          <w:szCs w:val="18"/>
        </w:rPr>
        <w:t>on”</w:t>
      </w:r>
      <w:r>
        <w:rPr>
          <w:rFonts w:ascii="Arial" w:eastAsia="Arial" w:hAnsi="Arial" w:cs="Arial"/>
          <w:spacing w:val="24"/>
          <w:sz w:val="18"/>
          <w:szCs w:val="18"/>
        </w:rPr>
        <w:t xml:space="preserve"> </w:t>
      </w:r>
      <w:r>
        <w:rPr>
          <w:rFonts w:ascii="Arial" w:eastAsia="Arial" w:hAnsi="Arial" w:cs="Arial"/>
          <w:spacing w:val="-1"/>
          <w:sz w:val="18"/>
          <w:szCs w:val="18"/>
        </w:rPr>
        <w:t>Clause</w:t>
      </w:r>
      <w:r>
        <w:rPr>
          <w:rFonts w:ascii="Arial" w:eastAsia="Arial" w:hAnsi="Arial" w:cs="Arial"/>
          <w:spacing w:val="25"/>
          <w:sz w:val="18"/>
          <w:szCs w:val="18"/>
        </w:rPr>
        <w:t xml:space="preserve"> </w:t>
      </w:r>
      <w:hyperlink w:anchor="_bookmark144" w:history="1">
        <w:r>
          <w:rPr>
            <w:rFonts w:ascii="Arial" w:eastAsia="Arial" w:hAnsi="Arial" w:cs="Arial"/>
            <w:spacing w:val="-2"/>
            <w:sz w:val="18"/>
            <w:szCs w:val="18"/>
          </w:rPr>
          <w:t>28.2</w:t>
        </w:r>
      </w:hyperlink>
      <w:r>
        <w:rPr>
          <w:rFonts w:ascii="Arial" w:eastAsia="Arial" w:hAnsi="Arial" w:cs="Arial"/>
          <w:spacing w:val="69"/>
          <w:sz w:val="18"/>
          <w:szCs w:val="18"/>
        </w:rPr>
        <w:t xml:space="preserve"> </w:t>
      </w:r>
      <w:r>
        <w:rPr>
          <w:rFonts w:ascii="Arial" w:eastAsia="Arial" w:hAnsi="Arial" w:cs="Arial"/>
          <w:sz w:val="18"/>
          <w:szCs w:val="18"/>
        </w:rPr>
        <w:t>and</w:t>
      </w:r>
      <w:r>
        <w:rPr>
          <w:rFonts w:ascii="Arial" w:eastAsia="Arial" w:hAnsi="Arial" w:cs="Arial"/>
          <w:spacing w:val="3"/>
          <w:sz w:val="18"/>
          <w:szCs w:val="18"/>
        </w:rPr>
        <w:t xml:space="preserve"> </w:t>
      </w:r>
      <w:r>
        <w:rPr>
          <w:rFonts w:ascii="Arial" w:eastAsia="Arial" w:hAnsi="Arial" w:cs="Arial"/>
          <w:spacing w:val="-1"/>
          <w:sz w:val="18"/>
          <w:szCs w:val="18"/>
        </w:rPr>
        <w:t>delete</w:t>
      </w:r>
      <w:r>
        <w:rPr>
          <w:rFonts w:ascii="Arial" w:eastAsia="Arial" w:hAnsi="Arial" w:cs="Arial"/>
          <w:spacing w:val="3"/>
          <w:sz w:val="18"/>
          <w:szCs w:val="18"/>
        </w:rPr>
        <w:t xml:space="preserve"> </w:t>
      </w:r>
      <w:r>
        <w:rPr>
          <w:rFonts w:ascii="Arial" w:eastAsia="Arial" w:hAnsi="Arial" w:cs="Arial"/>
          <w:spacing w:val="-1"/>
          <w:sz w:val="18"/>
          <w:szCs w:val="18"/>
        </w:rPr>
        <w:t>Clauses</w:t>
      </w:r>
      <w:r>
        <w:rPr>
          <w:rFonts w:ascii="Arial" w:eastAsia="Arial" w:hAnsi="Arial" w:cs="Arial"/>
          <w:spacing w:val="3"/>
          <w:sz w:val="18"/>
          <w:szCs w:val="18"/>
        </w:rPr>
        <w:t xml:space="preserve"> </w:t>
      </w:r>
      <w:hyperlink w:anchor="_bookmark143" w:history="1">
        <w:r>
          <w:rPr>
            <w:rFonts w:ascii="Arial" w:eastAsia="Arial" w:hAnsi="Arial" w:cs="Arial"/>
            <w:spacing w:val="-1"/>
            <w:sz w:val="18"/>
            <w:szCs w:val="18"/>
          </w:rPr>
          <w:t>28.1</w:t>
        </w:r>
      </w:hyperlink>
      <w:r>
        <w:rPr>
          <w:rFonts w:ascii="Arial" w:eastAsia="Arial" w:hAnsi="Arial" w:cs="Arial"/>
          <w:spacing w:val="3"/>
          <w:sz w:val="18"/>
          <w:szCs w:val="18"/>
        </w:rPr>
        <w:t xml:space="preserve"> </w:t>
      </w:r>
      <w:r>
        <w:rPr>
          <w:rFonts w:ascii="Arial" w:eastAsia="Arial" w:hAnsi="Arial" w:cs="Arial"/>
          <w:spacing w:val="-1"/>
          <w:sz w:val="18"/>
          <w:szCs w:val="18"/>
        </w:rPr>
        <w:t>and</w:t>
      </w:r>
      <w:r>
        <w:rPr>
          <w:rFonts w:ascii="Arial" w:eastAsia="Arial" w:hAnsi="Arial" w:cs="Arial"/>
          <w:spacing w:val="3"/>
          <w:sz w:val="18"/>
          <w:szCs w:val="18"/>
        </w:rPr>
        <w:t xml:space="preserve"> </w:t>
      </w:r>
      <w:r>
        <w:rPr>
          <w:rFonts w:ascii="Arial" w:eastAsia="Arial" w:hAnsi="Arial" w:cs="Arial"/>
          <w:spacing w:val="-1"/>
          <w:sz w:val="18"/>
          <w:szCs w:val="18"/>
        </w:rPr>
        <w:t>28.3</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z w:val="18"/>
          <w:szCs w:val="18"/>
        </w:rPr>
        <w:t>If the</w:t>
      </w:r>
      <w:r>
        <w:rPr>
          <w:rFonts w:ascii="Arial" w:eastAsia="Arial" w:hAnsi="Arial" w:cs="Arial"/>
          <w:spacing w:val="3"/>
          <w:sz w:val="18"/>
          <w:szCs w:val="18"/>
        </w:rPr>
        <w:t xml:space="preserve"> </w:t>
      </w:r>
      <w:r>
        <w:rPr>
          <w:rFonts w:ascii="Arial" w:eastAsia="Arial" w:hAnsi="Arial" w:cs="Arial"/>
          <w:spacing w:val="-1"/>
          <w:sz w:val="18"/>
          <w:szCs w:val="18"/>
        </w:rPr>
        <w:t>position</w:t>
      </w:r>
      <w:r>
        <w:rPr>
          <w:rFonts w:ascii="Arial" w:eastAsia="Arial" w:hAnsi="Arial" w:cs="Arial"/>
          <w:spacing w:val="3"/>
          <w:sz w:val="18"/>
          <w:szCs w:val="18"/>
        </w:rPr>
        <w:t xml:space="preserve"> </w:t>
      </w:r>
      <w:r>
        <w:rPr>
          <w:rFonts w:ascii="Arial" w:eastAsia="Arial" w:hAnsi="Arial" w:cs="Arial"/>
          <w:spacing w:val="-1"/>
          <w:sz w:val="18"/>
          <w:szCs w:val="18"/>
        </w:rPr>
        <w:t>is</w:t>
      </w:r>
      <w:r>
        <w:rPr>
          <w:rFonts w:ascii="Arial" w:eastAsia="Arial" w:hAnsi="Arial" w:cs="Arial"/>
          <w:spacing w:val="3"/>
          <w:sz w:val="18"/>
          <w:szCs w:val="18"/>
        </w:rPr>
        <w:t xml:space="preserve"> </w:t>
      </w:r>
      <w:r>
        <w:rPr>
          <w:rFonts w:ascii="Arial" w:eastAsia="Arial" w:hAnsi="Arial" w:cs="Arial"/>
          <w:spacing w:val="-1"/>
          <w:sz w:val="18"/>
          <w:szCs w:val="18"/>
        </w:rPr>
        <w:t>unclear</w:t>
      </w:r>
      <w:r>
        <w:rPr>
          <w:rFonts w:ascii="Arial" w:eastAsia="Arial" w:hAnsi="Arial" w:cs="Arial"/>
          <w:sz w:val="18"/>
          <w:szCs w:val="18"/>
        </w:rPr>
        <w:t xml:space="preserve"> or</w:t>
      </w:r>
      <w:r>
        <w:rPr>
          <w:rFonts w:ascii="Arial" w:eastAsia="Arial" w:hAnsi="Arial" w:cs="Arial"/>
          <w:spacing w:val="2"/>
          <w:sz w:val="18"/>
          <w:szCs w:val="18"/>
        </w:rPr>
        <w:t xml:space="preserve"> </w:t>
      </w:r>
      <w:r>
        <w:rPr>
          <w:rFonts w:ascii="Arial" w:eastAsia="Arial" w:hAnsi="Arial" w:cs="Arial"/>
          <w:sz w:val="18"/>
          <w:szCs w:val="18"/>
        </w:rPr>
        <w:t>if</w:t>
      </w:r>
      <w:r>
        <w:rPr>
          <w:rFonts w:ascii="Arial" w:eastAsia="Arial" w:hAnsi="Arial" w:cs="Arial"/>
          <w:spacing w:val="3"/>
          <w:sz w:val="18"/>
          <w:szCs w:val="18"/>
        </w:rPr>
        <w:t xml:space="preserve"> </w:t>
      </w:r>
      <w:r>
        <w:rPr>
          <w:rFonts w:ascii="Arial" w:eastAsia="Arial" w:hAnsi="Arial" w:cs="Arial"/>
          <w:spacing w:val="-1"/>
          <w:sz w:val="18"/>
          <w:szCs w:val="18"/>
        </w:rPr>
        <w:t>the</w:t>
      </w:r>
      <w:r>
        <w:rPr>
          <w:rFonts w:ascii="Arial" w:eastAsia="Arial" w:hAnsi="Arial" w:cs="Arial"/>
          <w:spacing w:val="3"/>
          <w:sz w:val="18"/>
          <w:szCs w:val="18"/>
        </w:rPr>
        <w:t xml:space="preserve"> </w:t>
      </w:r>
      <w:r>
        <w:rPr>
          <w:rFonts w:ascii="Arial" w:eastAsia="Arial" w:hAnsi="Arial" w:cs="Arial"/>
          <w:spacing w:val="-1"/>
          <w:sz w:val="18"/>
          <w:szCs w:val="18"/>
        </w:rPr>
        <w:t>Parties</w:t>
      </w:r>
      <w:r>
        <w:rPr>
          <w:rFonts w:ascii="Arial" w:eastAsia="Arial" w:hAnsi="Arial" w:cs="Arial"/>
          <w:spacing w:val="1"/>
          <w:sz w:val="18"/>
          <w:szCs w:val="18"/>
        </w:rPr>
        <w:t xml:space="preserve"> </w:t>
      </w:r>
      <w:r>
        <w:rPr>
          <w:rFonts w:ascii="Arial" w:eastAsia="Arial" w:hAnsi="Arial" w:cs="Arial"/>
          <w:spacing w:val="-1"/>
          <w:sz w:val="18"/>
          <w:szCs w:val="18"/>
        </w:rPr>
        <w:t>cannot</w:t>
      </w:r>
      <w:r>
        <w:rPr>
          <w:rFonts w:ascii="Arial" w:eastAsia="Arial" w:hAnsi="Arial" w:cs="Arial"/>
          <w:sz w:val="18"/>
          <w:szCs w:val="18"/>
        </w:rPr>
        <w:t xml:space="preserve"> </w:t>
      </w:r>
      <w:r>
        <w:rPr>
          <w:rFonts w:ascii="Arial" w:eastAsia="Arial" w:hAnsi="Arial" w:cs="Arial"/>
          <w:spacing w:val="-1"/>
          <w:sz w:val="18"/>
          <w:szCs w:val="18"/>
        </w:rPr>
        <w:t>agree,</w:t>
      </w:r>
      <w:r>
        <w:rPr>
          <w:rFonts w:ascii="Arial" w:eastAsia="Arial" w:hAnsi="Arial" w:cs="Arial"/>
          <w:sz w:val="18"/>
          <w:szCs w:val="18"/>
        </w:rPr>
        <w:t xml:space="preserve"> the</w:t>
      </w:r>
      <w:r>
        <w:rPr>
          <w:rFonts w:ascii="Arial" w:eastAsia="Arial" w:hAnsi="Arial" w:cs="Arial"/>
          <w:spacing w:val="3"/>
          <w:sz w:val="18"/>
          <w:szCs w:val="18"/>
        </w:rPr>
        <w:t xml:space="preserve"> </w:t>
      </w:r>
      <w:r>
        <w:rPr>
          <w:rFonts w:ascii="Arial" w:eastAsia="Arial" w:hAnsi="Arial" w:cs="Arial"/>
          <w:spacing w:val="-1"/>
          <w:sz w:val="18"/>
          <w:szCs w:val="18"/>
        </w:rPr>
        <w:t>Customer</w:t>
      </w:r>
      <w:r>
        <w:rPr>
          <w:rFonts w:ascii="Arial" w:eastAsia="Arial" w:hAnsi="Arial" w:cs="Arial"/>
          <w:spacing w:val="2"/>
          <w:sz w:val="18"/>
          <w:szCs w:val="18"/>
        </w:rPr>
        <w:t xml:space="preserve"> </w:t>
      </w:r>
      <w:r>
        <w:rPr>
          <w:rFonts w:ascii="Arial" w:eastAsia="Arial" w:hAnsi="Arial" w:cs="Arial"/>
          <w:spacing w:val="-1"/>
          <w:sz w:val="18"/>
          <w:szCs w:val="18"/>
        </w:rPr>
        <w:t>should</w:t>
      </w:r>
      <w:r>
        <w:rPr>
          <w:rFonts w:ascii="Arial" w:eastAsia="Arial" w:hAnsi="Arial" w:cs="Arial"/>
          <w:spacing w:val="73"/>
          <w:sz w:val="18"/>
          <w:szCs w:val="18"/>
        </w:rPr>
        <w:t xml:space="preserve"> </w:t>
      </w:r>
      <w:r>
        <w:rPr>
          <w:rFonts w:ascii="Arial" w:eastAsia="Arial" w:hAnsi="Arial" w:cs="Arial"/>
          <w:spacing w:val="-1"/>
          <w:sz w:val="18"/>
          <w:szCs w:val="18"/>
        </w:rPr>
        <w:t>“switch</w:t>
      </w:r>
      <w:r>
        <w:rPr>
          <w:rFonts w:ascii="Arial" w:eastAsia="Arial" w:hAnsi="Arial" w:cs="Arial"/>
          <w:spacing w:val="10"/>
          <w:sz w:val="18"/>
          <w:szCs w:val="18"/>
        </w:rPr>
        <w:t xml:space="preserve"> </w:t>
      </w:r>
      <w:r>
        <w:rPr>
          <w:rFonts w:ascii="Arial" w:eastAsia="Arial" w:hAnsi="Arial" w:cs="Arial"/>
          <w:sz w:val="18"/>
          <w:szCs w:val="18"/>
        </w:rPr>
        <w:t>on”</w:t>
      </w:r>
      <w:r>
        <w:rPr>
          <w:rFonts w:ascii="Arial" w:eastAsia="Arial" w:hAnsi="Arial" w:cs="Arial"/>
          <w:spacing w:val="9"/>
          <w:sz w:val="18"/>
          <w:szCs w:val="18"/>
        </w:rPr>
        <w:t xml:space="preserve"> </w:t>
      </w:r>
      <w:r>
        <w:rPr>
          <w:rFonts w:ascii="Arial" w:eastAsia="Arial" w:hAnsi="Arial" w:cs="Arial"/>
          <w:spacing w:val="-1"/>
          <w:sz w:val="18"/>
          <w:szCs w:val="18"/>
        </w:rPr>
        <w:t>Clause</w:t>
      </w:r>
      <w:r>
        <w:rPr>
          <w:rFonts w:ascii="Arial" w:eastAsia="Arial" w:hAnsi="Arial" w:cs="Arial"/>
          <w:spacing w:val="10"/>
          <w:sz w:val="18"/>
          <w:szCs w:val="18"/>
        </w:rPr>
        <w:t xml:space="preserve"> </w:t>
      </w:r>
      <w:r>
        <w:rPr>
          <w:rFonts w:ascii="Arial" w:eastAsia="Arial" w:hAnsi="Arial" w:cs="Arial"/>
          <w:spacing w:val="-1"/>
          <w:sz w:val="18"/>
          <w:szCs w:val="18"/>
        </w:rPr>
        <w:t>28.3</w:t>
      </w:r>
      <w:r>
        <w:rPr>
          <w:rFonts w:ascii="Arial" w:eastAsia="Arial" w:hAnsi="Arial" w:cs="Arial"/>
          <w:spacing w:val="10"/>
          <w:sz w:val="18"/>
          <w:szCs w:val="18"/>
        </w:rPr>
        <w:t xml:space="preserve"> </w:t>
      </w:r>
      <w:r>
        <w:rPr>
          <w:rFonts w:ascii="Arial" w:eastAsia="Arial" w:hAnsi="Arial" w:cs="Arial"/>
          <w:sz w:val="18"/>
          <w:szCs w:val="18"/>
        </w:rPr>
        <w:t>and</w:t>
      </w:r>
      <w:r>
        <w:rPr>
          <w:rFonts w:ascii="Arial" w:eastAsia="Arial" w:hAnsi="Arial" w:cs="Arial"/>
          <w:spacing w:val="8"/>
          <w:sz w:val="18"/>
          <w:szCs w:val="18"/>
        </w:rPr>
        <w:t xml:space="preserve"> </w:t>
      </w:r>
      <w:r>
        <w:rPr>
          <w:rFonts w:ascii="Arial" w:eastAsia="Arial" w:hAnsi="Arial" w:cs="Arial"/>
          <w:spacing w:val="-1"/>
          <w:sz w:val="18"/>
          <w:szCs w:val="18"/>
        </w:rPr>
        <w:t>keep</w:t>
      </w:r>
      <w:r>
        <w:rPr>
          <w:rFonts w:ascii="Arial" w:eastAsia="Arial" w:hAnsi="Arial" w:cs="Arial"/>
          <w:spacing w:val="10"/>
          <w:sz w:val="18"/>
          <w:szCs w:val="18"/>
        </w:rPr>
        <w:t xml:space="preserve"> </w:t>
      </w:r>
      <w:r>
        <w:rPr>
          <w:rFonts w:ascii="Arial" w:eastAsia="Arial" w:hAnsi="Arial" w:cs="Arial"/>
          <w:spacing w:val="-1"/>
          <w:sz w:val="18"/>
          <w:szCs w:val="18"/>
        </w:rPr>
        <w:t>Clauses</w:t>
      </w:r>
      <w:r>
        <w:rPr>
          <w:rFonts w:ascii="Arial" w:eastAsia="Arial" w:hAnsi="Arial" w:cs="Arial"/>
          <w:spacing w:val="10"/>
          <w:sz w:val="18"/>
          <w:szCs w:val="18"/>
        </w:rPr>
        <w:t xml:space="preserve"> </w:t>
      </w:r>
      <w:hyperlink w:anchor="_bookmark143" w:history="1">
        <w:r>
          <w:rPr>
            <w:rFonts w:ascii="Arial" w:eastAsia="Arial" w:hAnsi="Arial" w:cs="Arial"/>
            <w:sz w:val="18"/>
            <w:szCs w:val="18"/>
          </w:rPr>
          <w:t>28.1</w:t>
        </w:r>
      </w:hyperlink>
      <w:r>
        <w:rPr>
          <w:rFonts w:ascii="Arial" w:eastAsia="Arial" w:hAnsi="Arial" w:cs="Arial"/>
          <w:spacing w:val="10"/>
          <w:sz w:val="18"/>
          <w:szCs w:val="18"/>
        </w:rPr>
        <w:t xml:space="preserve"> </w:t>
      </w:r>
      <w:r>
        <w:rPr>
          <w:rFonts w:ascii="Arial" w:eastAsia="Arial" w:hAnsi="Arial" w:cs="Arial"/>
          <w:spacing w:val="-1"/>
          <w:sz w:val="18"/>
          <w:szCs w:val="18"/>
        </w:rPr>
        <w:t>and</w:t>
      </w:r>
      <w:r>
        <w:rPr>
          <w:rFonts w:ascii="Arial" w:eastAsia="Arial" w:hAnsi="Arial" w:cs="Arial"/>
          <w:spacing w:val="10"/>
          <w:sz w:val="18"/>
          <w:szCs w:val="18"/>
        </w:rPr>
        <w:t xml:space="preserve"> </w:t>
      </w:r>
      <w:hyperlink w:anchor="_bookmark144" w:history="1">
        <w:r>
          <w:rPr>
            <w:rFonts w:ascii="Arial" w:eastAsia="Arial" w:hAnsi="Arial" w:cs="Arial"/>
            <w:spacing w:val="-1"/>
            <w:sz w:val="18"/>
            <w:szCs w:val="18"/>
          </w:rPr>
          <w:t>28.2</w:t>
        </w:r>
      </w:hyperlink>
      <w:r>
        <w:rPr>
          <w:rFonts w:ascii="Arial" w:eastAsia="Arial" w:hAnsi="Arial" w:cs="Arial"/>
          <w:spacing w:val="10"/>
          <w:sz w:val="18"/>
          <w:szCs w:val="18"/>
        </w:rPr>
        <w:t xml:space="preserve"> </w:t>
      </w:r>
      <w:r>
        <w:rPr>
          <w:rFonts w:ascii="Arial" w:eastAsia="Arial" w:hAnsi="Arial" w:cs="Arial"/>
          <w:sz w:val="18"/>
          <w:szCs w:val="18"/>
        </w:rPr>
        <w:t>in</w:t>
      </w:r>
      <w:r>
        <w:rPr>
          <w:rFonts w:ascii="Arial" w:eastAsia="Arial" w:hAnsi="Arial" w:cs="Arial"/>
          <w:spacing w:val="8"/>
          <w:sz w:val="18"/>
          <w:szCs w:val="18"/>
        </w:rPr>
        <w:t xml:space="preserve"> </w:t>
      </w:r>
      <w:r>
        <w:rPr>
          <w:rFonts w:ascii="Arial" w:eastAsia="Arial" w:hAnsi="Arial" w:cs="Arial"/>
          <w:sz w:val="18"/>
          <w:szCs w:val="18"/>
        </w:rPr>
        <w:t>square</w:t>
      </w:r>
      <w:r>
        <w:rPr>
          <w:rFonts w:ascii="Arial" w:eastAsia="Arial" w:hAnsi="Arial" w:cs="Arial"/>
          <w:spacing w:val="10"/>
          <w:sz w:val="18"/>
          <w:szCs w:val="18"/>
        </w:rPr>
        <w:t xml:space="preserve"> </w:t>
      </w:r>
      <w:r>
        <w:rPr>
          <w:rFonts w:ascii="Arial" w:eastAsia="Arial" w:hAnsi="Arial" w:cs="Arial"/>
          <w:spacing w:val="-1"/>
          <w:sz w:val="18"/>
          <w:szCs w:val="18"/>
        </w:rPr>
        <w:t>brackets.</w:t>
      </w:r>
      <w:r>
        <w:rPr>
          <w:rFonts w:ascii="Arial" w:eastAsia="Arial" w:hAnsi="Arial" w:cs="Arial"/>
          <w:spacing w:val="10"/>
          <w:sz w:val="18"/>
          <w:szCs w:val="18"/>
        </w:rPr>
        <w:t xml:space="preserve"> </w:t>
      </w:r>
      <w:r>
        <w:rPr>
          <w:rFonts w:ascii="Arial" w:eastAsia="Arial" w:hAnsi="Arial" w:cs="Arial"/>
          <w:spacing w:val="-1"/>
          <w:sz w:val="18"/>
          <w:szCs w:val="18"/>
        </w:rPr>
        <w:t>The</w:t>
      </w:r>
      <w:r>
        <w:rPr>
          <w:rFonts w:ascii="Arial" w:eastAsia="Arial" w:hAnsi="Arial" w:cs="Arial"/>
          <w:spacing w:val="10"/>
          <w:sz w:val="18"/>
          <w:szCs w:val="18"/>
        </w:rPr>
        <w:t xml:space="preserve"> </w:t>
      </w:r>
      <w:r>
        <w:rPr>
          <w:rFonts w:ascii="Arial" w:eastAsia="Arial" w:hAnsi="Arial" w:cs="Arial"/>
          <w:spacing w:val="-1"/>
          <w:sz w:val="18"/>
          <w:szCs w:val="18"/>
        </w:rPr>
        <w:t>Customer</w:t>
      </w:r>
      <w:r>
        <w:rPr>
          <w:rFonts w:ascii="Arial" w:eastAsia="Arial" w:hAnsi="Arial" w:cs="Arial"/>
          <w:spacing w:val="9"/>
          <w:sz w:val="18"/>
          <w:szCs w:val="18"/>
        </w:rPr>
        <w:t xml:space="preserve"> </w:t>
      </w:r>
      <w:r>
        <w:rPr>
          <w:rFonts w:ascii="Arial" w:eastAsia="Arial" w:hAnsi="Arial" w:cs="Arial"/>
          <w:spacing w:val="-1"/>
          <w:sz w:val="18"/>
          <w:szCs w:val="18"/>
        </w:rPr>
        <w:t>will</w:t>
      </w:r>
      <w:r>
        <w:rPr>
          <w:rFonts w:ascii="Arial" w:eastAsia="Arial" w:hAnsi="Arial" w:cs="Arial"/>
          <w:spacing w:val="10"/>
          <w:sz w:val="18"/>
          <w:szCs w:val="18"/>
        </w:rPr>
        <w:t xml:space="preserve"> </w:t>
      </w:r>
      <w:r>
        <w:rPr>
          <w:rFonts w:ascii="Arial" w:eastAsia="Arial" w:hAnsi="Arial" w:cs="Arial"/>
          <w:spacing w:val="-1"/>
          <w:sz w:val="18"/>
          <w:szCs w:val="18"/>
        </w:rPr>
        <w:t>have</w:t>
      </w:r>
      <w:r>
        <w:rPr>
          <w:rFonts w:ascii="Arial" w:eastAsia="Arial" w:hAnsi="Arial" w:cs="Arial"/>
          <w:spacing w:val="10"/>
          <w:sz w:val="18"/>
          <w:szCs w:val="18"/>
        </w:rPr>
        <w:t xml:space="preserve"> </w:t>
      </w:r>
      <w:r>
        <w:rPr>
          <w:rFonts w:ascii="Arial" w:eastAsia="Arial" w:hAnsi="Arial" w:cs="Arial"/>
          <w:sz w:val="18"/>
          <w:szCs w:val="18"/>
        </w:rPr>
        <w:t>to</w:t>
      </w:r>
      <w:r>
        <w:rPr>
          <w:rFonts w:ascii="Arial" w:eastAsia="Arial" w:hAnsi="Arial" w:cs="Arial"/>
          <w:spacing w:val="10"/>
          <w:sz w:val="18"/>
          <w:szCs w:val="18"/>
        </w:rPr>
        <w:t xml:space="preserve"> </w:t>
      </w:r>
      <w:r>
        <w:rPr>
          <w:rFonts w:ascii="Arial" w:eastAsia="Arial" w:hAnsi="Arial" w:cs="Arial"/>
          <w:sz w:val="18"/>
          <w:szCs w:val="18"/>
        </w:rPr>
        <w:t>make</w:t>
      </w:r>
      <w:r>
        <w:rPr>
          <w:rFonts w:ascii="Arial" w:eastAsia="Arial" w:hAnsi="Arial" w:cs="Arial"/>
          <w:spacing w:val="75"/>
          <w:sz w:val="18"/>
          <w:szCs w:val="18"/>
        </w:rPr>
        <w:t xml:space="preserve"> </w:t>
      </w:r>
      <w:r>
        <w:rPr>
          <w:rFonts w:ascii="Arial" w:eastAsia="Arial" w:hAnsi="Arial" w:cs="Arial"/>
          <w:sz w:val="18"/>
          <w:szCs w:val="18"/>
        </w:rPr>
        <w:t>an</w:t>
      </w:r>
      <w:r>
        <w:rPr>
          <w:rFonts w:ascii="Arial" w:eastAsia="Arial" w:hAnsi="Arial" w:cs="Arial"/>
          <w:spacing w:val="1"/>
          <w:sz w:val="18"/>
          <w:szCs w:val="18"/>
        </w:rPr>
        <w:t xml:space="preserve"> </w:t>
      </w:r>
      <w:r>
        <w:rPr>
          <w:rFonts w:ascii="Arial" w:eastAsia="Arial" w:hAnsi="Arial" w:cs="Arial"/>
          <w:spacing w:val="-1"/>
          <w:sz w:val="18"/>
          <w:szCs w:val="18"/>
        </w:rPr>
        <w:t>assessment</w:t>
      </w:r>
      <w:r>
        <w:rPr>
          <w:rFonts w:ascii="Arial" w:eastAsia="Arial" w:hAnsi="Arial" w:cs="Arial"/>
          <w:sz w:val="18"/>
          <w:szCs w:val="18"/>
        </w:rPr>
        <w:t xml:space="preserve"> on</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1"/>
          <w:sz w:val="18"/>
          <w:szCs w:val="18"/>
        </w:rPr>
        <w:t xml:space="preserve"> </w:t>
      </w:r>
      <w:r>
        <w:rPr>
          <w:rFonts w:ascii="Arial" w:eastAsia="Arial" w:hAnsi="Arial" w:cs="Arial"/>
          <w:spacing w:val="-1"/>
          <w:sz w:val="18"/>
          <w:szCs w:val="18"/>
        </w:rPr>
        <w:t>Employment</w:t>
      </w:r>
      <w:r>
        <w:rPr>
          <w:rFonts w:ascii="Arial" w:eastAsia="Arial" w:hAnsi="Arial" w:cs="Arial"/>
          <w:sz w:val="18"/>
          <w:szCs w:val="18"/>
        </w:rPr>
        <w:t xml:space="preserve"> </w:t>
      </w:r>
      <w:r>
        <w:rPr>
          <w:rFonts w:ascii="Arial" w:eastAsia="Arial" w:hAnsi="Arial" w:cs="Arial"/>
          <w:spacing w:val="-1"/>
          <w:sz w:val="18"/>
          <w:szCs w:val="18"/>
        </w:rPr>
        <w:t>Regulations position</w:t>
      </w:r>
      <w:r>
        <w:rPr>
          <w:rFonts w:ascii="Arial" w:eastAsia="Arial" w:hAnsi="Arial" w:cs="Arial"/>
          <w:spacing w:val="1"/>
          <w:sz w:val="18"/>
          <w:szCs w:val="18"/>
        </w:rPr>
        <w:t xml:space="preserve"> </w:t>
      </w:r>
      <w:r>
        <w:rPr>
          <w:rFonts w:ascii="Arial" w:eastAsia="Arial" w:hAnsi="Arial" w:cs="Arial"/>
          <w:spacing w:val="-1"/>
          <w:sz w:val="18"/>
          <w:szCs w:val="18"/>
        </w:rPr>
        <w:t>after</w:t>
      </w:r>
      <w:r>
        <w:rPr>
          <w:rFonts w:ascii="Arial" w:eastAsia="Arial" w:hAnsi="Arial" w:cs="Arial"/>
          <w:sz w:val="18"/>
          <w:szCs w:val="18"/>
        </w:rPr>
        <w:t xml:space="preserve"> the</w:t>
      </w:r>
      <w:r>
        <w:rPr>
          <w:rFonts w:ascii="Arial" w:eastAsia="Arial" w:hAnsi="Arial" w:cs="Arial"/>
          <w:spacing w:val="1"/>
          <w:sz w:val="18"/>
          <w:szCs w:val="18"/>
        </w:rPr>
        <w:t xml:space="preserve"> </w:t>
      </w:r>
      <w:r>
        <w:rPr>
          <w:rFonts w:ascii="Arial" w:eastAsia="Arial" w:hAnsi="Arial" w:cs="Arial"/>
          <w:spacing w:val="-1"/>
          <w:sz w:val="18"/>
          <w:szCs w:val="18"/>
        </w:rPr>
        <w:t>Call</w:t>
      </w:r>
      <w:r>
        <w:rPr>
          <w:rFonts w:ascii="Arial" w:eastAsia="Arial" w:hAnsi="Arial" w:cs="Arial"/>
          <w:spacing w:val="1"/>
          <w:sz w:val="18"/>
          <w:szCs w:val="18"/>
        </w:rPr>
        <w:t xml:space="preserve"> </w:t>
      </w:r>
      <w:r>
        <w:rPr>
          <w:rFonts w:ascii="Arial" w:eastAsia="Arial" w:hAnsi="Arial" w:cs="Arial"/>
          <w:spacing w:val="-1"/>
          <w:sz w:val="18"/>
          <w:szCs w:val="18"/>
        </w:rPr>
        <w:t>Off</w:t>
      </w:r>
      <w:r>
        <w:rPr>
          <w:rFonts w:ascii="Arial" w:eastAsia="Arial" w:hAnsi="Arial" w:cs="Arial"/>
          <w:sz w:val="18"/>
          <w:szCs w:val="18"/>
        </w:rPr>
        <w:t xml:space="preserve"> </w:t>
      </w:r>
      <w:r>
        <w:rPr>
          <w:rFonts w:ascii="Arial" w:eastAsia="Arial" w:hAnsi="Arial" w:cs="Arial"/>
          <w:spacing w:val="-1"/>
          <w:sz w:val="18"/>
          <w:szCs w:val="18"/>
        </w:rPr>
        <w:t>Contract</w:t>
      </w:r>
      <w:r>
        <w:rPr>
          <w:rFonts w:ascii="Arial" w:eastAsia="Arial" w:hAnsi="Arial" w:cs="Arial"/>
          <w:sz w:val="18"/>
          <w:szCs w:val="18"/>
        </w:rPr>
        <w:t xml:space="preserve"> </w:t>
      </w:r>
      <w:r>
        <w:rPr>
          <w:rFonts w:ascii="Arial" w:eastAsia="Arial" w:hAnsi="Arial" w:cs="Arial"/>
          <w:spacing w:val="-1"/>
          <w:sz w:val="18"/>
          <w:szCs w:val="18"/>
        </w:rPr>
        <w:t>has</w:t>
      </w:r>
      <w:r>
        <w:rPr>
          <w:rFonts w:ascii="Arial" w:eastAsia="Arial" w:hAnsi="Arial" w:cs="Arial"/>
          <w:spacing w:val="1"/>
          <w:sz w:val="18"/>
          <w:szCs w:val="18"/>
        </w:rPr>
        <w:t xml:space="preserve"> </w:t>
      </w:r>
      <w:r>
        <w:rPr>
          <w:rFonts w:ascii="Arial" w:eastAsia="Arial" w:hAnsi="Arial" w:cs="Arial"/>
          <w:spacing w:val="-1"/>
          <w:sz w:val="18"/>
          <w:szCs w:val="18"/>
        </w:rPr>
        <w:t>been</w:t>
      </w:r>
      <w:r>
        <w:rPr>
          <w:rFonts w:ascii="Arial" w:eastAsia="Arial" w:hAnsi="Arial" w:cs="Arial"/>
          <w:spacing w:val="1"/>
          <w:sz w:val="18"/>
          <w:szCs w:val="18"/>
        </w:rPr>
        <w:t xml:space="preserve"> </w:t>
      </w:r>
      <w:r>
        <w:rPr>
          <w:rFonts w:ascii="Arial" w:eastAsia="Arial" w:hAnsi="Arial" w:cs="Arial"/>
          <w:spacing w:val="-1"/>
          <w:sz w:val="18"/>
          <w:szCs w:val="18"/>
        </w:rPr>
        <w:t>signed.</w:t>
      </w:r>
    </w:p>
    <w:p w:rsidR="008918FA" w:rsidRPr="00CE5AA1" w:rsidRDefault="008918FA" w:rsidP="008918FA">
      <w:pPr>
        <w:spacing w:before="88"/>
        <w:ind w:left="241" w:right="110"/>
        <w:jc w:val="both"/>
        <w:rPr>
          <w:rFonts w:ascii="Arial" w:eastAsia="Arial" w:hAnsi="Arial" w:cs="Arial"/>
          <w:sz w:val="18"/>
          <w:szCs w:val="18"/>
          <w:highlight w:val="green"/>
        </w:rPr>
      </w:pPr>
      <w:r w:rsidRPr="00CE5AA1">
        <w:rPr>
          <w:rFonts w:ascii="Arial" w:eastAsia="Arial" w:hAnsi="Arial" w:cs="Arial"/>
          <w:position w:val="9"/>
          <w:sz w:val="12"/>
          <w:szCs w:val="12"/>
          <w:highlight w:val="green"/>
        </w:rPr>
        <w:t>34</w:t>
      </w:r>
      <w:r w:rsidRPr="00CE5AA1">
        <w:rPr>
          <w:rFonts w:ascii="Arial" w:eastAsia="Arial" w:hAnsi="Arial" w:cs="Arial"/>
          <w:spacing w:val="5"/>
          <w:position w:val="9"/>
          <w:sz w:val="12"/>
          <w:szCs w:val="12"/>
          <w:highlight w:val="green"/>
        </w:rPr>
        <w:t xml:space="preserve"> </w:t>
      </w:r>
      <w:bookmarkStart w:id="26" w:name="_bookmark34"/>
      <w:bookmarkEnd w:id="26"/>
      <w:r w:rsidRPr="00CE5AA1">
        <w:rPr>
          <w:rFonts w:ascii="Arial" w:eastAsia="Arial" w:hAnsi="Arial" w:cs="Arial"/>
          <w:spacing w:val="-1"/>
          <w:sz w:val="18"/>
          <w:szCs w:val="18"/>
          <w:highlight w:val="green"/>
        </w:rPr>
        <w:t>[Guidance</w:t>
      </w:r>
      <w:r w:rsidRPr="00CE5AA1">
        <w:rPr>
          <w:rFonts w:ascii="Arial" w:eastAsia="Arial" w:hAnsi="Arial" w:cs="Arial"/>
          <w:spacing w:val="37"/>
          <w:sz w:val="18"/>
          <w:szCs w:val="18"/>
          <w:highlight w:val="green"/>
        </w:rPr>
        <w:t xml:space="preserve"> </w:t>
      </w:r>
      <w:r w:rsidRPr="00CE5AA1">
        <w:rPr>
          <w:rFonts w:ascii="Arial" w:eastAsia="Arial" w:hAnsi="Arial" w:cs="Arial"/>
          <w:spacing w:val="-1"/>
          <w:sz w:val="18"/>
          <w:szCs w:val="18"/>
          <w:highlight w:val="green"/>
        </w:rPr>
        <w:t>Note:</w:t>
      </w:r>
      <w:r w:rsidRPr="00CE5AA1">
        <w:rPr>
          <w:rFonts w:ascii="Arial" w:eastAsia="Arial" w:hAnsi="Arial" w:cs="Arial"/>
          <w:spacing w:val="36"/>
          <w:sz w:val="18"/>
          <w:szCs w:val="18"/>
          <w:highlight w:val="green"/>
        </w:rPr>
        <w:t xml:space="preserve"> </w:t>
      </w:r>
      <w:r w:rsidRPr="00CE5AA1">
        <w:rPr>
          <w:rFonts w:ascii="Arial" w:eastAsia="Arial" w:hAnsi="Arial" w:cs="Arial"/>
          <w:sz w:val="18"/>
          <w:szCs w:val="18"/>
          <w:highlight w:val="green"/>
        </w:rPr>
        <w:t>See</w:t>
      </w:r>
      <w:r w:rsidRPr="00CE5AA1">
        <w:rPr>
          <w:rFonts w:ascii="Arial" w:eastAsia="Arial" w:hAnsi="Arial" w:cs="Arial"/>
          <w:spacing w:val="37"/>
          <w:sz w:val="18"/>
          <w:szCs w:val="18"/>
          <w:highlight w:val="green"/>
        </w:rPr>
        <w:t xml:space="preserve"> </w:t>
      </w:r>
      <w:r w:rsidRPr="00CE5AA1">
        <w:rPr>
          <w:rFonts w:ascii="Arial" w:eastAsia="Arial" w:hAnsi="Arial" w:cs="Arial"/>
          <w:spacing w:val="-1"/>
          <w:sz w:val="18"/>
          <w:szCs w:val="18"/>
          <w:highlight w:val="green"/>
        </w:rPr>
        <w:t>Clause</w:t>
      </w:r>
      <w:r w:rsidRPr="00CE5AA1">
        <w:rPr>
          <w:rFonts w:ascii="Arial" w:eastAsia="Arial" w:hAnsi="Arial" w:cs="Arial"/>
          <w:spacing w:val="36"/>
          <w:sz w:val="18"/>
          <w:szCs w:val="18"/>
          <w:highlight w:val="green"/>
        </w:rPr>
        <w:t xml:space="preserve"> </w:t>
      </w:r>
      <w:hyperlink w:anchor="_bookmark158" w:history="1">
        <w:r w:rsidRPr="00CE5AA1">
          <w:rPr>
            <w:rFonts w:ascii="Arial" w:eastAsia="Arial" w:hAnsi="Arial" w:cs="Arial"/>
            <w:sz w:val="18"/>
            <w:szCs w:val="18"/>
            <w:highlight w:val="green"/>
          </w:rPr>
          <w:t>32.8</w:t>
        </w:r>
      </w:hyperlink>
      <w:r w:rsidRPr="00CE5AA1">
        <w:rPr>
          <w:rFonts w:ascii="Arial" w:eastAsia="Arial" w:hAnsi="Arial" w:cs="Arial"/>
          <w:spacing w:val="37"/>
          <w:sz w:val="18"/>
          <w:szCs w:val="18"/>
          <w:highlight w:val="green"/>
        </w:rPr>
        <w:t xml:space="preserve"> </w:t>
      </w:r>
      <w:r w:rsidRPr="00CE5AA1">
        <w:rPr>
          <w:rFonts w:ascii="Arial" w:eastAsia="Arial" w:hAnsi="Arial" w:cs="Arial"/>
          <w:sz w:val="18"/>
          <w:szCs w:val="18"/>
          <w:highlight w:val="green"/>
        </w:rPr>
        <w:t>of</w:t>
      </w:r>
      <w:r w:rsidRPr="00CE5AA1">
        <w:rPr>
          <w:rFonts w:ascii="Arial" w:eastAsia="Arial" w:hAnsi="Arial" w:cs="Arial"/>
          <w:spacing w:val="36"/>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37"/>
          <w:sz w:val="18"/>
          <w:szCs w:val="18"/>
          <w:highlight w:val="green"/>
        </w:rPr>
        <w:t xml:space="preserve"> </w:t>
      </w:r>
      <w:r w:rsidRPr="00CE5AA1">
        <w:rPr>
          <w:rFonts w:ascii="Arial" w:eastAsia="Arial" w:hAnsi="Arial" w:cs="Arial"/>
          <w:spacing w:val="-1"/>
          <w:sz w:val="18"/>
          <w:szCs w:val="18"/>
          <w:highlight w:val="green"/>
        </w:rPr>
        <w:t>Template</w:t>
      </w:r>
      <w:r w:rsidRPr="00CE5AA1">
        <w:rPr>
          <w:rFonts w:ascii="Arial" w:eastAsia="Arial" w:hAnsi="Arial" w:cs="Arial"/>
          <w:spacing w:val="37"/>
          <w:sz w:val="18"/>
          <w:szCs w:val="18"/>
          <w:highlight w:val="green"/>
        </w:rPr>
        <w:t xml:space="preserve"> </w:t>
      </w:r>
      <w:r w:rsidRPr="00CE5AA1">
        <w:rPr>
          <w:rFonts w:ascii="Arial" w:eastAsia="Arial" w:hAnsi="Arial" w:cs="Arial"/>
          <w:spacing w:val="-1"/>
          <w:sz w:val="18"/>
          <w:szCs w:val="18"/>
          <w:highlight w:val="green"/>
        </w:rPr>
        <w:t>Call</w:t>
      </w:r>
      <w:r w:rsidRPr="00CE5AA1">
        <w:rPr>
          <w:rFonts w:ascii="Arial" w:eastAsia="Arial" w:hAnsi="Arial" w:cs="Arial"/>
          <w:spacing w:val="34"/>
          <w:sz w:val="18"/>
          <w:szCs w:val="18"/>
          <w:highlight w:val="green"/>
        </w:rPr>
        <w:t xml:space="preserve"> </w:t>
      </w:r>
      <w:r w:rsidRPr="00CE5AA1">
        <w:rPr>
          <w:rFonts w:ascii="Arial" w:eastAsia="Arial" w:hAnsi="Arial" w:cs="Arial"/>
          <w:spacing w:val="-1"/>
          <w:sz w:val="18"/>
          <w:szCs w:val="18"/>
          <w:highlight w:val="green"/>
        </w:rPr>
        <w:t>Off</w:t>
      </w:r>
      <w:r w:rsidRPr="00CE5AA1">
        <w:rPr>
          <w:rFonts w:ascii="Arial" w:eastAsia="Arial" w:hAnsi="Arial" w:cs="Arial"/>
          <w:spacing w:val="36"/>
          <w:sz w:val="18"/>
          <w:szCs w:val="18"/>
          <w:highlight w:val="green"/>
        </w:rPr>
        <w:t xml:space="preserve"> </w:t>
      </w:r>
      <w:r w:rsidRPr="00CE5AA1">
        <w:rPr>
          <w:rFonts w:ascii="Arial" w:eastAsia="Arial" w:hAnsi="Arial" w:cs="Arial"/>
          <w:sz w:val="18"/>
          <w:szCs w:val="18"/>
          <w:highlight w:val="green"/>
        </w:rPr>
        <w:t>Terms.</w:t>
      </w:r>
      <w:r w:rsidRPr="00CE5AA1">
        <w:rPr>
          <w:rFonts w:ascii="Arial" w:eastAsia="Arial" w:hAnsi="Arial" w:cs="Arial"/>
          <w:spacing w:val="36"/>
          <w:sz w:val="18"/>
          <w:szCs w:val="18"/>
          <w:highlight w:val="green"/>
        </w:rPr>
        <w:t xml:space="preserve"> </w:t>
      </w:r>
      <w:r w:rsidRPr="00CE5AA1">
        <w:rPr>
          <w:rFonts w:ascii="Arial" w:eastAsia="Arial" w:hAnsi="Arial" w:cs="Arial"/>
          <w:spacing w:val="-1"/>
          <w:sz w:val="18"/>
          <w:szCs w:val="18"/>
          <w:highlight w:val="green"/>
        </w:rPr>
        <w:t>That</w:t>
      </w:r>
      <w:r w:rsidRPr="00CE5AA1">
        <w:rPr>
          <w:rFonts w:ascii="Arial" w:eastAsia="Arial" w:hAnsi="Arial" w:cs="Arial"/>
          <w:spacing w:val="36"/>
          <w:sz w:val="18"/>
          <w:szCs w:val="18"/>
          <w:highlight w:val="green"/>
        </w:rPr>
        <w:t xml:space="preserve"> </w:t>
      </w:r>
      <w:r w:rsidRPr="00CE5AA1">
        <w:rPr>
          <w:rFonts w:ascii="Arial" w:eastAsia="Arial" w:hAnsi="Arial" w:cs="Arial"/>
          <w:sz w:val="18"/>
          <w:szCs w:val="18"/>
          <w:highlight w:val="green"/>
        </w:rPr>
        <w:t>clause</w:t>
      </w:r>
      <w:r w:rsidRPr="00CE5AA1">
        <w:rPr>
          <w:rFonts w:ascii="Arial" w:eastAsia="Arial" w:hAnsi="Arial" w:cs="Arial"/>
          <w:spacing w:val="37"/>
          <w:sz w:val="18"/>
          <w:szCs w:val="18"/>
          <w:highlight w:val="green"/>
        </w:rPr>
        <w:t xml:space="preserve"> </w:t>
      </w:r>
      <w:r w:rsidRPr="00CE5AA1">
        <w:rPr>
          <w:rFonts w:ascii="Arial" w:eastAsia="Arial" w:hAnsi="Arial" w:cs="Arial"/>
          <w:spacing w:val="-1"/>
          <w:sz w:val="18"/>
          <w:szCs w:val="18"/>
          <w:highlight w:val="green"/>
        </w:rPr>
        <w:t>allows</w:t>
      </w:r>
      <w:r w:rsidRPr="00CE5AA1">
        <w:rPr>
          <w:rFonts w:ascii="Arial" w:eastAsia="Arial" w:hAnsi="Arial" w:cs="Arial"/>
          <w:spacing w:val="37"/>
          <w:sz w:val="18"/>
          <w:szCs w:val="18"/>
          <w:highlight w:val="green"/>
        </w:rPr>
        <w:t xml:space="preserve"> </w:t>
      </w:r>
      <w:r w:rsidRPr="00CE5AA1">
        <w:rPr>
          <w:rFonts w:ascii="Arial" w:eastAsia="Arial" w:hAnsi="Arial" w:cs="Arial"/>
          <w:sz w:val="18"/>
          <w:szCs w:val="18"/>
          <w:highlight w:val="green"/>
        </w:rPr>
        <w:t>the</w:t>
      </w:r>
      <w:r w:rsidRPr="00CE5AA1">
        <w:rPr>
          <w:rFonts w:ascii="Arial" w:eastAsia="Arial" w:hAnsi="Arial" w:cs="Arial"/>
          <w:spacing w:val="37"/>
          <w:sz w:val="18"/>
          <w:szCs w:val="18"/>
          <w:highlight w:val="green"/>
        </w:rPr>
        <w:t xml:space="preserve"> </w:t>
      </w:r>
      <w:r w:rsidRPr="00CE5AA1">
        <w:rPr>
          <w:rFonts w:ascii="Arial" w:eastAsia="Arial" w:hAnsi="Arial" w:cs="Arial"/>
          <w:spacing w:val="-1"/>
          <w:sz w:val="18"/>
          <w:szCs w:val="18"/>
          <w:highlight w:val="green"/>
        </w:rPr>
        <w:t>Customer</w:t>
      </w:r>
      <w:r w:rsidRPr="00CE5AA1">
        <w:rPr>
          <w:rFonts w:ascii="Arial" w:eastAsia="Arial" w:hAnsi="Arial" w:cs="Arial"/>
          <w:spacing w:val="36"/>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63"/>
          <w:sz w:val="18"/>
          <w:szCs w:val="18"/>
          <w:highlight w:val="green"/>
        </w:rPr>
        <w:t xml:space="preserve"> </w:t>
      </w:r>
      <w:r w:rsidRPr="00CE5AA1">
        <w:rPr>
          <w:rFonts w:ascii="Arial" w:eastAsia="Arial" w:hAnsi="Arial" w:cs="Arial"/>
          <w:spacing w:val="-1"/>
          <w:sz w:val="18"/>
          <w:szCs w:val="18"/>
          <w:highlight w:val="green"/>
        </w:rPr>
        <w:t>request</w:t>
      </w:r>
      <w:r w:rsidRPr="00CE5AA1">
        <w:rPr>
          <w:rFonts w:ascii="Arial" w:eastAsia="Arial" w:hAnsi="Arial" w:cs="Arial"/>
          <w:sz w:val="18"/>
          <w:szCs w:val="18"/>
          <w:highlight w:val="green"/>
        </w:rPr>
        <w:t xml:space="preserve"> </w:t>
      </w:r>
      <w:r w:rsidRPr="00CE5AA1">
        <w:rPr>
          <w:rFonts w:ascii="Arial" w:eastAsia="Arial" w:hAnsi="Arial" w:cs="Arial"/>
          <w:spacing w:val="-1"/>
          <w:sz w:val="18"/>
          <w:szCs w:val="18"/>
          <w:highlight w:val="green"/>
        </w:rPr>
        <w:t>the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replacement</w:t>
      </w:r>
      <w:r w:rsidRPr="00CE5AA1">
        <w:rPr>
          <w:rFonts w:ascii="Arial" w:eastAsia="Arial" w:hAnsi="Arial" w:cs="Arial"/>
          <w:sz w:val="18"/>
          <w:szCs w:val="18"/>
          <w:highlight w:val="green"/>
        </w:rPr>
        <w:t xml:space="preserve"> of</w:t>
      </w:r>
      <w:r w:rsidRPr="00CE5AA1">
        <w:rPr>
          <w:rFonts w:ascii="Arial" w:eastAsia="Arial" w:hAnsi="Arial" w:cs="Arial"/>
          <w:spacing w:val="-2"/>
          <w:sz w:val="18"/>
          <w:szCs w:val="18"/>
          <w:highlight w:val="green"/>
        </w:rPr>
        <w:t xml:space="preserve"> </w:t>
      </w:r>
      <w:r w:rsidRPr="00CE5AA1">
        <w:rPr>
          <w:rFonts w:ascii="Arial" w:eastAsia="Arial" w:hAnsi="Arial" w:cs="Arial"/>
          <w:spacing w:val="-1"/>
          <w:sz w:val="18"/>
          <w:szCs w:val="18"/>
          <w:highlight w:val="green"/>
        </w:rPr>
        <w:t xml:space="preserve">any </w:t>
      </w:r>
      <w:r w:rsidRPr="00CE5AA1">
        <w:rPr>
          <w:rFonts w:ascii="Arial" w:eastAsia="Arial" w:hAnsi="Arial" w:cs="Arial"/>
          <w:sz w:val="18"/>
          <w:szCs w:val="18"/>
          <w:highlight w:val="green"/>
        </w:rPr>
        <w:t xml:space="preserve">Supplier </w:t>
      </w:r>
      <w:r w:rsidRPr="00CE5AA1">
        <w:rPr>
          <w:rFonts w:ascii="Arial" w:eastAsia="Arial" w:hAnsi="Arial" w:cs="Arial"/>
          <w:spacing w:val="-1"/>
          <w:sz w:val="18"/>
          <w:szCs w:val="18"/>
          <w:highlight w:val="green"/>
        </w:rPr>
        <w:t>Equipment</w:t>
      </w:r>
      <w:r w:rsidRPr="00CE5AA1">
        <w:rPr>
          <w:rFonts w:ascii="Arial" w:eastAsia="Arial" w:hAnsi="Arial" w:cs="Arial"/>
          <w:sz w:val="18"/>
          <w:szCs w:val="18"/>
          <w:highlight w:val="green"/>
        </w:rPr>
        <w:t xml:space="preserve"> if</w:t>
      </w:r>
      <w:r w:rsidRPr="00CE5AA1">
        <w:rPr>
          <w:rFonts w:ascii="Arial" w:eastAsia="Arial" w:hAnsi="Arial" w:cs="Arial"/>
          <w:spacing w:val="-2"/>
          <w:sz w:val="18"/>
          <w:szCs w:val="18"/>
          <w:highlight w:val="green"/>
        </w:rPr>
        <w:t xml:space="preserve"> </w:t>
      </w:r>
      <w:r w:rsidRPr="00CE5AA1">
        <w:rPr>
          <w:rFonts w:ascii="Arial" w:eastAsia="Arial" w:hAnsi="Arial" w:cs="Arial"/>
          <w:sz w:val="18"/>
          <w:szCs w:val="18"/>
          <w:highlight w:val="green"/>
        </w:rPr>
        <w:t>it</w:t>
      </w:r>
      <w:r w:rsidRPr="00CE5AA1">
        <w:rPr>
          <w:rFonts w:ascii="Arial" w:eastAsia="Arial" w:hAnsi="Arial" w:cs="Arial"/>
          <w:spacing w:val="-2"/>
          <w:sz w:val="18"/>
          <w:szCs w:val="18"/>
          <w:highlight w:val="green"/>
        </w:rPr>
        <w:t xml:space="preserve"> </w:t>
      </w:r>
      <w:r w:rsidRPr="00CE5AA1">
        <w:rPr>
          <w:rFonts w:ascii="Arial" w:eastAsia="Arial" w:hAnsi="Arial" w:cs="Arial"/>
          <w:spacing w:val="-1"/>
          <w:sz w:val="18"/>
          <w:szCs w:val="18"/>
          <w:highlight w:val="green"/>
        </w:rPr>
        <w:t>causes</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‘X’</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number</w:t>
      </w:r>
      <w:r w:rsidRPr="00CE5AA1">
        <w:rPr>
          <w:rFonts w:ascii="Arial" w:eastAsia="Arial" w:hAnsi="Arial" w:cs="Arial"/>
          <w:spacing w:val="-2"/>
          <w:sz w:val="18"/>
          <w:szCs w:val="18"/>
          <w:highlight w:val="green"/>
        </w:rPr>
        <w:t xml:space="preserve"> </w:t>
      </w:r>
      <w:r w:rsidRPr="00CE5AA1">
        <w:rPr>
          <w:rFonts w:ascii="Arial" w:eastAsia="Arial" w:hAnsi="Arial" w:cs="Arial"/>
          <w:sz w:val="18"/>
          <w:szCs w:val="18"/>
          <w:highlight w:val="green"/>
        </w:rPr>
        <w:t xml:space="preserve">of </w:t>
      </w:r>
      <w:r w:rsidRPr="00CE5AA1">
        <w:rPr>
          <w:rFonts w:ascii="Arial" w:eastAsia="Arial" w:hAnsi="Arial" w:cs="Arial"/>
          <w:spacing w:val="-1"/>
          <w:sz w:val="18"/>
          <w:szCs w:val="18"/>
          <w:highlight w:val="green"/>
        </w:rPr>
        <w:t>Service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Failures</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within</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‘Y’</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months.</w:t>
      </w:r>
      <w:r w:rsidRPr="00CE5AA1">
        <w:rPr>
          <w:rFonts w:ascii="Arial" w:eastAsia="Arial" w:hAnsi="Arial" w:cs="Arial"/>
          <w:spacing w:val="77"/>
          <w:sz w:val="18"/>
          <w:szCs w:val="18"/>
          <w:highlight w:val="green"/>
        </w:rPr>
        <w:t xml:space="preserve"> </w:t>
      </w:r>
      <w:r w:rsidRPr="00CE5AA1">
        <w:rPr>
          <w:rFonts w:ascii="Arial" w:eastAsia="Arial" w:hAnsi="Arial" w:cs="Arial"/>
          <w:sz w:val="18"/>
          <w:szCs w:val="18"/>
          <w:highlight w:val="green"/>
        </w:rPr>
        <w:t>In</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addition</w:t>
      </w:r>
      <w:r w:rsidRPr="00CE5AA1">
        <w:rPr>
          <w:rFonts w:ascii="Arial" w:eastAsia="Arial" w:hAnsi="Arial" w:cs="Arial"/>
          <w:spacing w:val="1"/>
          <w:sz w:val="18"/>
          <w:szCs w:val="18"/>
          <w:highlight w:val="green"/>
        </w:rPr>
        <w:t xml:space="preserve"> </w:t>
      </w:r>
      <w:r w:rsidRPr="00CE5AA1">
        <w:rPr>
          <w:rFonts w:ascii="Arial" w:eastAsia="Arial" w:hAnsi="Arial" w:cs="Arial"/>
          <w:sz w:val="18"/>
          <w:szCs w:val="18"/>
          <w:highlight w:val="green"/>
        </w:rPr>
        <w:t>to</w:t>
      </w:r>
      <w:r w:rsidRPr="00CE5AA1">
        <w:rPr>
          <w:rFonts w:ascii="Arial" w:eastAsia="Arial" w:hAnsi="Arial" w:cs="Arial"/>
          <w:spacing w:val="-2"/>
          <w:sz w:val="18"/>
          <w:szCs w:val="18"/>
          <w:highlight w:val="green"/>
        </w:rPr>
        <w:t xml:space="preserve"> </w:t>
      </w:r>
      <w:r w:rsidRPr="00CE5AA1">
        <w:rPr>
          <w:rFonts w:ascii="Arial" w:eastAsia="Arial" w:hAnsi="Arial" w:cs="Arial"/>
          <w:spacing w:val="-1"/>
          <w:sz w:val="18"/>
          <w:szCs w:val="18"/>
          <w:highlight w:val="green"/>
        </w:rPr>
        <w:t>switching</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this</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clause</w:t>
      </w:r>
      <w:r w:rsidRPr="00CE5AA1">
        <w:rPr>
          <w:rFonts w:ascii="Arial" w:eastAsia="Arial" w:hAnsi="Arial" w:cs="Arial"/>
          <w:spacing w:val="-2"/>
          <w:sz w:val="18"/>
          <w:szCs w:val="18"/>
          <w:highlight w:val="green"/>
        </w:rPr>
        <w:t xml:space="preserve"> </w:t>
      </w:r>
      <w:r w:rsidRPr="00CE5AA1">
        <w:rPr>
          <w:rFonts w:ascii="Arial" w:eastAsia="Arial" w:hAnsi="Arial" w:cs="Arial"/>
          <w:sz w:val="18"/>
          <w:szCs w:val="18"/>
          <w:highlight w:val="green"/>
        </w:rPr>
        <w:t xml:space="preserve">on, </w:t>
      </w:r>
      <w:r w:rsidRPr="00CE5AA1">
        <w:rPr>
          <w:rFonts w:ascii="Arial" w:eastAsia="Arial" w:hAnsi="Arial" w:cs="Arial"/>
          <w:spacing w:val="-1"/>
          <w:sz w:val="18"/>
          <w:szCs w:val="18"/>
          <w:highlight w:val="green"/>
        </w:rPr>
        <w:t>please</w:t>
      </w:r>
      <w:r w:rsidRPr="00CE5AA1">
        <w:rPr>
          <w:rFonts w:ascii="Arial" w:eastAsia="Arial" w:hAnsi="Arial" w:cs="Arial"/>
          <w:spacing w:val="-2"/>
          <w:sz w:val="18"/>
          <w:szCs w:val="18"/>
          <w:highlight w:val="green"/>
        </w:rPr>
        <w:t xml:space="preserve"> </w:t>
      </w:r>
      <w:r w:rsidRPr="00CE5AA1">
        <w:rPr>
          <w:rFonts w:ascii="Arial" w:eastAsia="Arial" w:hAnsi="Arial" w:cs="Arial"/>
          <w:sz w:val="18"/>
          <w:szCs w:val="18"/>
          <w:highlight w:val="green"/>
        </w:rPr>
        <w:t>specify</w:t>
      </w:r>
      <w:r w:rsidRPr="00CE5AA1">
        <w:rPr>
          <w:rFonts w:ascii="Arial" w:eastAsia="Arial" w:hAnsi="Arial" w:cs="Arial"/>
          <w:spacing w:val="-1"/>
          <w:sz w:val="18"/>
          <w:szCs w:val="18"/>
          <w:highlight w:val="green"/>
        </w:rPr>
        <w:t xml:space="preserve"> the</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values</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for</w:t>
      </w:r>
      <w:r w:rsidRPr="00CE5AA1">
        <w:rPr>
          <w:rFonts w:ascii="Arial" w:eastAsia="Arial" w:hAnsi="Arial" w:cs="Arial"/>
          <w:sz w:val="18"/>
          <w:szCs w:val="18"/>
          <w:highlight w:val="green"/>
        </w:rPr>
        <w:t xml:space="preserve"> </w:t>
      </w:r>
      <w:r w:rsidRPr="00CE5AA1">
        <w:rPr>
          <w:rFonts w:ascii="Arial" w:eastAsia="Arial" w:hAnsi="Arial" w:cs="Arial"/>
          <w:spacing w:val="-1"/>
          <w:sz w:val="18"/>
          <w:szCs w:val="18"/>
          <w:highlight w:val="green"/>
        </w:rPr>
        <w:t>‘X’</w:t>
      </w:r>
      <w:r w:rsidRPr="00CE5AA1">
        <w:rPr>
          <w:rFonts w:ascii="Arial" w:eastAsia="Arial" w:hAnsi="Arial" w:cs="Arial"/>
          <w:spacing w:val="1"/>
          <w:sz w:val="18"/>
          <w:szCs w:val="18"/>
          <w:highlight w:val="green"/>
        </w:rPr>
        <w:t xml:space="preserve"> </w:t>
      </w:r>
      <w:r w:rsidRPr="00CE5AA1">
        <w:rPr>
          <w:rFonts w:ascii="Arial" w:eastAsia="Arial" w:hAnsi="Arial" w:cs="Arial"/>
          <w:spacing w:val="-1"/>
          <w:sz w:val="18"/>
          <w:szCs w:val="18"/>
          <w:highlight w:val="green"/>
        </w:rPr>
        <w:t>and</w:t>
      </w:r>
      <w:r w:rsidRPr="00CE5AA1">
        <w:rPr>
          <w:rFonts w:ascii="Arial" w:eastAsia="Arial" w:hAnsi="Arial" w:cs="Arial"/>
          <w:spacing w:val="1"/>
          <w:sz w:val="18"/>
          <w:szCs w:val="18"/>
          <w:highlight w:val="green"/>
        </w:rPr>
        <w:t xml:space="preserve"> </w:t>
      </w:r>
      <w:r w:rsidR="000E2E05" w:rsidRPr="00CE5AA1">
        <w:rPr>
          <w:rFonts w:ascii="Arial" w:eastAsia="Arial" w:hAnsi="Arial" w:cs="Arial"/>
          <w:spacing w:val="-2"/>
          <w:sz w:val="18"/>
          <w:szCs w:val="18"/>
          <w:highlight w:val="green"/>
        </w:rPr>
        <w:t>‘Y’</w:t>
      </w:r>
      <w:r w:rsidR="000E2E05" w:rsidRPr="00CE5AA1">
        <w:rPr>
          <w:rFonts w:ascii="Arial" w:eastAsia="Arial" w:hAnsi="Arial" w:cs="Arial"/>
          <w:spacing w:val="1"/>
          <w:sz w:val="18"/>
          <w:szCs w:val="18"/>
          <w:highlight w:val="green"/>
        </w:rPr>
        <w:t>]</w:t>
      </w:r>
    </w:p>
    <w:p w:rsidR="008918FA" w:rsidRPr="00CE5AA1" w:rsidRDefault="008918FA" w:rsidP="008918FA">
      <w:pPr>
        <w:spacing w:before="85"/>
        <w:ind w:left="241" w:right="111"/>
        <w:jc w:val="both"/>
        <w:rPr>
          <w:rFonts w:ascii="Arial" w:eastAsia="Arial" w:hAnsi="Arial" w:cs="Arial"/>
          <w:sz w:val="18"/>
          <w:szCs w:val="18"/>
          <w:highlight w:val="green"/>
        </w:rPr>
      </w:pPr>
      <w:r w:rsidRPr="00CE5AA1">
        <w:rPr>
          <w:rFonts w:ascii="Arial"/>
          <w:position w:val="9"/>
          <w:sz w:val="12"/>
          <w:highlight w:val="green"/>
        </w:rPr>
        <w:t>35</w:t>
      </w:r>
      <w:r w:rsidRPr="00CE5AA1">
        <w:rPr>
          <w:rFonts w:ascii="Arial"/>
          <w:spacing w:val="24"/>
          <w:position w:val="9"/>
          <w:sz w:val="12"/>
          <w:highlight w:val="green"/>
        </w:rPr>
        <w:t xml:space="preserve"> </w:t>
      </w:r>
      <w:bookmarkStart w:id="27" w:name="_bookmark35"/>
      <w:bookmarkEnd w:id="27"/>
      <w:r w:rsidRPr="00CE5AA1">
        <w:rPr>
          <w:rFonts w:ascii="Arial"/>
          <w:spacing w:val="-1"/>
          <w:sz w:val="18"/>
          <w:highlight w:val="green"/>
        </w:rPr>
        <w:t>[Guidance</w:t>
      </w:r>
      <w:r w:rsidRPr="00CE5AA1">
        <w:rPr>
          <w:rFonts w:ascii="Arial"/>
          <w:spacing w:val="8"/>
          <w:sz w:val="18"/>
          <w:highlight w:val="green"/>
        </w:rPr>
        <w:t xml:space="preserve"> </w:t>
      </w:r>
      <w:r w:rsidRPr="00CE5AA1">
        <w:rPr>
          <w:rFonts w:ascii="Arial"/>
          <w:spacing w:val="-1"/>
          <w:sz w:val="18"/>
          <w:highlight w:val="green"/>
        </w:rPr>
        <w:t>Note:</w:t>
      </w:r>
      <w:r w:rsidRPr="00CE5AA1">
        <w:rPr>
          <w:rFonts w:ascii="Arial"/>
          <w:spacing w:val="7"/>
          <w:sz w:val="18"/>
          <w:highlight w:val="green"/>
        </w:rPr>
        <w:t xml:space="preserve"> </w:t>
      </w:r>
      <w:r w:rsidRPr="00CE5AA1">
        <w:rPr>
          <w:rFonts w:ascii="Arial"/>
          <w:sz w:val="18"/>
          <w:highlight w:val="green"/>
        </w:rPr>
        <w:t>See</w:t>
      </w:r>
      <w:r w:rsidRPr="00CE5AA1">
        <w:rPr>
          <w:rFonts w:ascii="Arial"/>
          <w:spacing w:val="8"/>
          <w:sz w:val="18"/>
          <w:highlight w:val="green"/>
        </w:rPr>
        <w:t xml:space="preserve"> </w:t>
      </w:r>
      <w:r w:rsidRPr="00CE5AA1">
        <w:rPr>
          <w:rFonts w:ascii="Arial"/>
          <w:spacing w:val="-1"/>
          <w:sz w:val="18"/>
          <w:highlight w:val="green"/>
        </w:rPr>
        <w:t>Clause</w:t>
      </w:r>
      <w:r w:rsidRPr="00CE5AA1">
        <w:rPr>
          <w:rFonts w:ascii="Arial"/>
          <w:spacing w:val="8"/>
          <w:sz w:val="18"/>
          <w:highlight w:val="green"/>
        </w:rPr>
        <w:t xml:space="preserve"> </w:t>
      </w:r>
      <w:hyperlink w:anchor="_bookmark182" w:history="1">
        <w:r w:rsidRPr="00CE5AA1">
          <w:rPr>
            <w:rFonts w:ascii="Arial"/>
            <w:sz w:val="18"/>
            <w:highlight w:val="green"/>
          </w:rPr>
          <w:t>34.2.3</w:t>
        </w:r>
      </w:hyperlink>
      <w:r w:rsidRPr="00CE5AA1">
        <w:rPr>
          <w:rFonts w:ascii="Arial"/>
          <w:spacing w:val="8"/>
          <w:sz w:val="18"/>
          <w:highlight w:val="green"/>
        </w:rPr>
        <w:t xml:space="preserve"> </w:t>
      </w:r>
      <w:r w:rsidRPr="00CE5AA1">
        <w:rPr>
          <w:rFonts w:ascii="Arial"/>
          <w:spacing w:val="-1"/>
          <w:sz w:val="18"/>
          <w:highlight w:val="green"/>
        </w:rPr>
        <w:t>of</w:t>
      </w:r>
      <w:r w:rsidRPr="00CE5AA1">
        <w:rPr>
          <w:rFonts w:ascii="Arial"/>
          <w:spacing w:val="7"/>
          <w:sz w:val="18"/>
          <w:highlight w:val="green"/>
        </w:rPr>
        <w:t xml:space="preserve"> </w:t>
      </w:r>
      <w:r w:rsidRPr="00CE5AA1">
        <w:rPr>
          <w:rFonts w:ascii="Arial"/>
          <w:sz w:val="18"/>
          <w:highlight w:val="green"/>
        </w:rPr>
        <w:t>the</w:t>
      </w:r>
      <w:r w:rsidRPr="00CE5AA1">
        <w:rPr>
          <w:rFonts w:ascii="Arial"/>
          <w:spacing w:val="8"/>
          <w:sz w:val="18"/>
          <w:highlight w:val="green"/>
        </w:rPr>
        <w:t xml:space="preserve"> </w:t>
      </w:r>
      <w:r w:rsidRPr="00CE5AA1">
        <w:rPr>
          <w:rFonts w:ascii="Arial"/>
          <w:spacing w:val="-1"/>
          <w:sz w:val="18"/>
          <w:highlight w:val="green"/>
        </w:rPr>
        <w:t>Template</w:t>
      </w:r>
      <w:r w:rsidRPr="00CE5AA1">
        <w:rPr>
          <w:rFonts w:ascii="Arial"/>
          <w:spacing w:val="8"/>
          <w:sz w:val="18"/>
          <w:highlight w:val="green"/>
        </w:rPr>
        <w:t xml:space="preserve"> </w:t>
      </w:r>
      <w:r w:rsidRPr="00CE5AA1">
        <w:rPr>
          <w:rFonts w:ascii="Arial"/>
          <w:spacing w:val="-1"/>
          <w:sz w:val="18"/>
          <w:highlight w:val="green"/>
        </w:rPr>
        <w:t>Call</w:t>
      </w:r>
      <w:r w:rsidRPr="00CE5AA1">
        <w:rPr>
          <w:rFonts w:ascii="Arial"/>
          <w:spacing w:val="8"/>
          <w:sz w:val="18"/>
          <w:highlight w:val="green"/>
        </w:rPr>
        <w:t xml:space="preserve"> </w:t>
      </w:r>
      <w:r w:rsidRPr="00CE5AA1">
        <w:rPr>
          <w:rFonts w:ascii="Arial"/>
          <w:spacing w:val="-1"/>
          <w:sz w:val="18"/>
          <w:highlight w:val="green"/>
        </w:rPr>
        <w:t>Off</w:t>
      </w:r>
      <w:r w:rsidRPr="00CE5AA1">
        <w:rPr>
          <w:rFonts w:ascii="Arial"/>
          <w:spacing w:val="7"/>
          <w:sz w:val="18"/>
          <w:highlight w:val="green"/>
        </w:rPr>
        <w:t xml:space="preserve"> </w:t>
      </w:r>
      <w:r w:rsidRPr="00CE5AA1">
        <w:rPr>
          <w:rFonts w:ascii="Arial"/>
          <w:sz w:val="18"/>
          <w:highlight w:val="green"/>
        </w:rPr>
        <w:t>Terms.</w:t>
      </w:r>
      <w:r w:rsidRPr="00CE5AA1">
        <w:rPr>
          <w:rFonts w:ascii="Arial"/>
          <w:spacing w:val="7"/>
          <w:sz w:val="18"/>
          <w:highlight w:val="green"/>
        </w:rPr>
        <w:t xml:space="preserve"> </w:t>
      </w:r>
      <w:r w:rsidRPr="00CE5AA1">
        <w:rPr>
          <w:rFonts w:ascii="Arial"/>
          <w:sz w:val="18"/>
          <w:highlight w:val="green"/>
        </w:rPr>
        <w:t>If</w:t>
      </w:r>
      <w:r w:rsidRPr="00CE5AA1">
        <w:rPr>
          <w:rFonts w:ascii="Arial"/>
          <w:spacing w:val="7"/>
          <w:sz w:val="18"/>
          <w:highlight w:val="green"/>
        </w:rPr>
        <w:t xml:space="preserve"> </w:t>
      </w:r>
      <w:r w:rsidRPr="00CE5AA1">
        <w:rPr>
          <w:rFonts w:ascii="Arial"/>
          <w:spacing w:val="-1"/>
          <w:sz w:val="18"/>
          <w:highlight w:val="green"/>
        </w:rPr>
        <w:t>required</w:t>
      </w:r>
      <w:r w:rsidRPr="00CE5AA1">
        <w:rPr>
          <w:rFonts w:ascii="Arial"/>
          <w:spacing w:val="8"/>
          <w:sz w:val="18"/>
          <w:highlight w:val="green"/>
        </w:rPr>
        <w:t xml:space="preserve"> </w:t>
      </w:r>
      <w:r w:rsidRPr="00CE5AA1">
        <w:rPr>
          <w:rFonts w:ascii="Arial"/>
          <w:spacing w:val="-1"/>
          <w:sz w:val="18"/>
          <w:highlight w:val="green"/>
        </w:rPr>
        <w:t>from</w:t>
      </w:r>
      <w:r w:rsidRPr="00CE5AA1">
        <w:rPr>
          <w:rFonts w:ascii="Arial"/>
          <w:spacing w:val="8"/>
          <w:sz w:val="18"/>
          <w:highlight w:val="green"/>
        </w:rPr>
        <w:t xml:space="preserve"> </w:t>
      </w:r>
      <w:r w:rsidRPr="00CE5AA1">
        <w:rPr>
          <w:rFonts w:ascii="Arial"/>
          <w:sz w:val="18"/>
          <w:highlight w:val="green"/>
        </w:rPr>
        <w:t>the</w:t>
      </w:r>
      <w:r w:rsidRPr="00CE5AA1">
        <w:rPr>
          <w:rFonts w:ascii="Arial"/>
          <w:spacing w:val="8"/>
          <w:sz w:val="18"/>
          <w:highlight w:val="green"/>
        </w:rPr>
        <w:t xml:space="preserve"> </w:t>
      </w:r>
      <w:r w:rsidRPr="00CE5AA1">
        <w:rPr>
          <w:rFonts w:ascii="Arial"/>
          <w:spacing w:val="-1"/>
          <w:sz w:val="18"/>
          <w:highlight w:val="green"/>
        </w:rPr>
        <w:t>outset,</w:t>
      </w:r>
      <w:r w:rsidRPr="00CE5AA1">
        <w:rPr>
          <w:rFonts w:ascii="Arial"/>
          <w:spacing w:val="7"/>
          <w:sz w:val="18"/>
          <w:highlight w:val="green"/>
        </w:rPr>
        <w:t xml:space="preserve"> </w:t>
      </w:r>
      <w:r w:rsidRPr="00CE5AA1">
        <w:rPr>
          <w:rFonts w:ascii="Arial"/>
          <w:sz w:val="18"/>
          <w:highlight w:val="green"/>
        </w:rPr>
        <w:t>specify</w:t>
      </w:r>
      <w:r w:rsidRPr="00CE5AA1">
        <w:rPr>
          <w:rFonts w:ascii="Arial"/>
          <w:spacing w:val="6"/>
          <w:sz w:val="18"/>
          <w:highlight w:val="green"/>
        </w:rPr>
        <w:t xml:space="preserve"> </w:t>
      </w:r>
      <w:r w:rsidRPr="00CE5AA1">
        <w:rPr>
          <w:rFonts w:ascii="Arial"/>
          <w:spacing w:val="-1"/>
          <w:sz w:val="18"/>
          <w:highlight w:val="green"/>
        </w:rPr>
        <w:t>here</w:t>
      </w:r>
      <w:r w:rsidRPr="00CE5AA1">
        <w:rPr>
          <w:rFonts w:ascii="Arial"/>
          <w:spacing w:val="63"/>
          <w:sz w:val="18"/>
          <w:highlight w:val="green"/>
        </w:rPr>
        <w:t xml:space="preserve"> </w:t>
      </w:r>
      <w:r w:rsidRPr="00CE5AA1">
        <w:rPr>
          <w:rFonts w:ascii="Arial"/>
          <w:sz w:val="18"/>
          <w:highlight w:val="green"/>
        </w:rPr>
        <w:t>the</w:t>
      </w:r>
      <w:r w:rsidRPr="00CE5AA1">
        <w:rPr>
          <w:rFonts w:ascii="Arial"/>
          <w:spacing w:val="17"/>
          <w:sz w:val="18"/>
          <w:highlight w:val="green"/>
        </w:rPr>
        <w:t xml:space="preserve"> </w:t>
      </w:r>
      <w:r w:rsidRPr="00CE5AA1">
        <w:rPr>
          <w:rFonts w:ascii="Arial"/>
          <w:spacing w:val="-1"/>
          <w:sz w:val="18"/>
          <w:highlight w:val="green"/>
        </w:rPr>
        <w:t>format</w:t>
      </w:r>
      <w:r w:rsidRPr="00CE5AA1">
        <w:rPr>
          <w:rFonts w:ascii="Arial"/>
          <w:spacing w:val="17"/>
          <w:sz w:val="18"/>
          <w:highlight w:val="green"/>
        </w:rPr>
        <w:t xml:space="preserve"> </w:t>
      </w:r>
      <w:r w:rsidRPr="00CE5AA1">
        <w:rPr>
          <w:rFonts w:ascii="Arial"/>
          <w:sz w:val="18"/>
          <w:highlight w:val="green"/>
        </w:rPr>
        <w:t>for</w:t>
      </w:r>
      <w:r w:rsidRPr="00CE5AA1">
        <w:rPr>
          <w:rFonts w:ascii="Arial"/>
          <w:spacing w:val="17"/>
          <w:sz w:val="18"/>
          <w:highlight w:val="green"/>
        </w:rPr>
        <w:t xml:space="preserve"> </w:t>
      </w:r>
      <w:r w:rsidRPr="00CE5AA1">
        <w:rPr>
          <w:rFonts w:ascii="Arial"/>
          <w:sz w:val="18"/>
          <w:highlight w:val="green"/>
        </w:rPr>
        <w:t>the</w:t>
      </w:r>
      <w:r w:rsidRPr="00CE5AA1">
        <w:rPr>
          <w:rFonts w:ascii="Arial"/>
          <w:spacing w:val="17"/>
          <w:sz w:val="18"/>
          <w:highlight w:val="green"/>
        </w:rPr>
        <w:t xml:space="preserve"> </w:t>
      </w:r>
      <w:r w:rsidRPr="00CE5AA1">
        <w:rPr>
          <w:rFonts w:ascii="Arial"/>
          <w:spacing w:val="-1"/>
          <w:sz w:val="18"/>
          <w:highlight w:val="green"/>
        </w:rPr>
        <w:t>Supplier</w:t>
      </w:r>
      <w:r w:rsidRPr="00CE5AA1">
        <w:rPr>
          <w:rFonts w:ascii="Arial"/>
          <w:spacing w:val="17"/>
          <w:sz w:val="18"/>
          <w:highlight w:val="green"/>
        </w:rPr>
        <w:t xml:space="preserve"> </w:t>
      </w:r>
      <w:r w:rsidRPr="00CE5AA1">
        <w:rPr>
          <w:rFonts w:ascii="Arial"/>
          <w:sz w:val="18"/>
          <w:highlight w:val="green"/>
        </w:rPr>
        <w:t>to</w:t>
      </w:r>
      <w:r w:rsidRPr="00CE5AA1">
        <w:rPr>
          <w:rFonts w:ascii="Arial"/>
          <w:spacing w:val="15"/>
          <w:sz w:val="18"/>
          <w:highlight w:val="green"/>
        </w:rPr>
        <w:t xml:space="preserve"> </w:t>
      </w:r>
      <w:r w:rsidRPr="00CE5AA1">
        <w:rPr>
          <w:rFonts w:ascii="Arial"/>
          <w:spacing w:val="-1"/>
          <w:sz w:val="18"/>
          <w:highlight w:val="green"/>
        </w:rPr>
        <w:t>supply</w:t>
      </w:r>
      <w:r w:rsidRPr="00CE5AA1">
        <w:rPr>
          <w:rFonts w:ascii="Arial"/>
          <w:spacing w:val="15"/>
          <w:sz w:val="18"/>
          <w:highlight w:val="green"/>
        </w:rPr>
        <w:t xml:space="preserve"> </w:t>
      </w:r>
      <w:r w:rsidRPr="00CE5AA1">
        <w:rPr>
          <w:rFonts w:ascii="Arial"/>
          <w:sz w:val="18"/>
          <w:highlight w:val="green"/>
        </w:rPr>
        <w:t>the</w:t>
      </w:r>
      <w:r w:rsidRPr="00CE5AA1">
        <w:rPr>
          <w:rFonts w:ascii="Arial"/>
          <w:spacing w:val="17"/>
          <w:sz w:val="18"/>
          <w:highlight w:val="green"/>
        </w:rPr>
        <w:t xml:space="preserve"> </w:t>
      </w:r>
      <w:r w:rsidRPr="00CE5AA1">
        <w:rPr>
          <w:rFonts w:ascii="Arial"/>
          <w:spacing w:val="-1"/>
          <w:sz w:val="18"/>
          <w:highlight w:val="green"/>
        </w:rPr>
        <w:t>Customer</w:t>
      </w:r>
      <w:r w:rsidRPr="00CE5AA1">
        <w:rPr>
          <w:rFonts w:ascii="Arial"/>
          <w:spacing w:val="17"/>
          <w:sz w:val="18"/>
          <w:highlight w:val="green"/>
        </w:rPr>
        <w:t xml:space="preserve"> </w:t>
      </w:r>
      <w:r w:rsidRPr="00CE5AA1">
        <w:rPr>
          <w:rFonts w:ascii="Arial"/>
          <w:spacing w:val="-1"/>
          <w:sz w:val="18"/>
          <w:highlight w:val="green"/>
        </w:rPr>
        <w:t>Data</w:t>
      </w:r>
      <w:r w:rsidRPr="00CE5AA1">
        <w:rPr>
          <w:rFonts w:ascii="Arial"/>
          <w:spacing w:val="17"/>
          <w:sz w:val="18"/>
          <w:highlight w:val="green"/>
        </w:rPr>
        <w:t xml:space="preserve"> </w:t>
      </w:r>
      <w:r w:rsidRPr="00CE5AA1">
        <w:rPr>
          <w:rFonts w:ascii="Arial"/>
          <w:spacing w:val="-1"/>
          <w:sz w:val="18"/>
          <w:highlight w:val="green"/>
        </w:rPr>
        <w:t>to</w:t>
      </w:r>
      <w:r w:rsidRPr="00CE5AA1">
        <w:rPr>
          <w:rFonts w:ascii="Arial"/>
          <w:spacing w:val="17"/>
          <w:sz w:val="18"/>
          <w:highlight w:val="green"/>
        </w:rPr>
        <w:t xml:space="preserve"> </w:t>
      </w:r>
      <w:r w:rsidRPr="00CE5AA1">
        <w:rPr>
          <w:rFonts w:ascii="Arial"/>
          <w:sz w:val="18"/>
          <w:highlight w:val="green"/>
        </w:rPr>
        <w:t>the</w:t>
      </w:r>
      <w:r w:rsidRPr="00CE5AA1">
        <w:rPr>
          <w:rFonts w:ascii="Arial"/>
          <w:spacing w:val="17"/>
          <w:sz w:val="18"/>
          <w:highlight w:val="green"/>
        </w:rPr>
        <w:t xml:space="preserve"> </w:t>
      </w:r>
      <w:r w:rsidRPr="00CE5AA1">
        <w:rPr>
          <w:rFonts w:ascii="Arial"/>
          <w:spacing w:val="-1"/>
          <w:sz w:val="18"/>
          <w:highlight w:val="green"/>
        </w:rPr>
        <w:t>Customer</w:t>
      </w:r>
      <w:r w:rsidRPr="00CE5AA1">
        <w:rPr>
          <w:rFonts w:ascii="Arial"/>
          <w:spacing w:val="17"/>
          <w:sz w:val="18"/>
          <w:highlight w:val="green"/>
        </w:rPr>
        <w:t xml:space="preserve"> </w:t>
      </w:r>
      <w:r w:rsidRPr="00CE5AA1">
        <w:rPr>
          <w:rFonts w:ascii="Arial"/>
          <w:spacing w:val="-1"/>
          <w:sz w:val="18"/>
          <w:highlight w:val="green"/>
        </w:rPr>
        <w:t>when</w:t>
      </w:r>
      <w:r w:rsidRPr="00CE5AA1">
        <w:rPr>
          <w:rFonts w:ascii="Arial"/>
          <w:spacing w:val="17"/>
          <w:sz w:val="18"/>
          <w:highlight w:val="green"/>
        </w:rPr>
        <w:t xml:space="preserve"> </w:t>
      </w:r>
      <w:r w:rsidRPr="00CE5AA1">
        <w:rPr>
          <w:rFonts w:ascii="Arial"/>
          <w:spacing w:val="-1"/>
          <w:sz w:val="18"/>
          <w:highlight w:val="green"/>
        </w:rPr>
        <w:t>needed;</w:t>
      </w:r>
      <w:r w:rsidRPr="00CE5AA1">
        <w:rPr>
          <w:rFonts w:ascii="Arial"/>
          <w:spacing w:val="15"/>
          <w:sz w:val="18"/>
          <w:highlight w:val="green"/>
        </w:rPr>
        <w:t xml:space="preserve"> </w:t>
      </w:r>
      <w:r w:rsidRPr="00CE5AA1">
        <w:rPr>
          <w:rFonts w:ascii="Arial"/>
          <w:sz w:val="18"/>
          <w:highlight w:val="green"/>
        </w:rPr>
        <w:t>or</w:t>
      </w:r>
      <w:r w:rsidRPr="00CE5AA1">
        <w:rPr>
          <w:rFonts w:ascii="Arial"/>
          <w:spacing w:val="17"/>
          <w:sz w:val="18"/>
          <w:highlight w:val="green"/>
        </w:rPr>
        <w:t xml:space="preserve"> </w:t>
      </w:r>
      <w:r w:rsidRPr="00CE5AA1">
        <w:rPr>
          <w:rFonts w:ascii="Arial"/>
          <w:spacing w:val="-1"/>
          <w:sz w:val="18"/>
          <w:highlight w:val="green"/>
        </w:rPr>
        <w:t>make</w:t>
      </w:r>
      <w:r w:rsidRPr="00CE5AA1">
        <w:rPr>
          <w:rFonts w:ascii="Arial"/>
          <w:spacing w:val="17"/>
          <w:sz w:val="18"/>
          <w:highlight w:val="green"/>
        </w:rPr>
        <w:t xml:space="preserve"> </w:t>
      </w:r>
      <w:r w:rsidRPr="00CE5AA1">
        <w:rPr>
          <w:rFonts w:ascii="Arial"/>
          <w:spacing w:val="-1"/>
          <w:sz w:val="18"/>
          <w:highlight w:val="green"/>
        </w:rPr>
        <w:t>provision</w:t>
      </w:r>
      <w:r w:rsidRPr="00CE5AA1">
        <w:rPr>
          <w:rFonts w:ascii="Arial"/>
          <w:spacing w:val="17"/>
          <w:sz w:val="18"/>
          <w:highlight w:val="green"/>
        </w:rPr>
        <w:t xml:space="preserve"> </w:t>
      </w:r>
      <w:r w:rsidRPr="00CE5AA1">
        <w:rPr>
          <w:rFonts w:ascii="Arial"/>
          <w:sz w:val="18"/>
          <w:highlight w:val="green"/>
        </w:rPr>
        <w:t>in</w:t>
      </w:r>
      <w:r w:rsidRPr="00CE5AA1">
        <w:rPr>
          <w:rFonts w:ascii="Arial"/>
          <w:spacing w:val="91"/>
          <w:sz w:val="18"/>
          <w:highlight w:val="green"/>
        </w:rPr>
        <w:t xml:space="preserve"> </w:t>
      </w:r>
      <w:r w:rsidRPr="00CE5AA1">
        <w:rPr>
          <w:rFonts w:ascii="Arial"/>
          <w:spacing w:val="-1"/>
          <w:sz w:val="18"/>
          <w:highlight w:val="green"/>
        </w:rPr>
        <w:t>Call</w:t>
      </w:r>
      <w:r w:rsidRPr="00CE5AA1">
        <w:rPr>
          <w:rFonts w:ascii="Arial"/>
          <w:spacing w:val="1"/>
          <w:sz w:val="18"/>
          <w:highlight w:val="green"/>
        </w:rPr>
        <w:t xml:space="preserve"> </w:t>
      </w:r>
      <w:r w:rsidRPr="00CE5AA1">
        <w:rPr>
          <w:rFonts w:ascii="Arial"/>
          <w:spacing w:val="-1"/>
          <w:sz w:val="18"/>
          <w:highlight w:val="green"/>
        </w:rPr>
        <w:t>Off</w:t>
      </w:r>
      <w:r w:rsidRPr="00CE5AA1">
        <w:rPr>
          <w:rFonts w:ascii="Arial"/>
          <w:sz w:val="18"/>
          <w:highlight w:val="green"/>
        </w:rPr>
        <w:t xml:space="preserve"> </w:t>
      </w:r>
      <w:r w:rsidRPr="00CE5AA1">
        <w:rPr>
          <w:rFonts w:ascii="Arial"/>
          <w:spacing w:val="-1"/>
          <w:sz w:val="18"/>
          <w:highlight w:val="green"/>
        </w:rPr>
        <w:t>Schedule</w:t>
      </w:r>
      <w:r w:rsidRPr="00CE5AA1">
        <w:rPr>
          <w:rFonts w:ascii="Arial"/>
          <w:spacing w:val="-2"/>
          <w:sz w:val="18"/>
          <w:highlight w:val="green"/>
        </w:rPr>
        <w:t xml:space="preserve"> </w:t>
      </w:r>
      <w:r w:rsidRPr="00CE5AA1">
        <w:rPr>
          <w:rFonts w:ascii="Arial"/>
          <w:sz w:val="18"/>
          <w:highlight w:val="green"/>
        </w:rPr>
        <w:t>8</w:t>
      </w:r>
      <w:r w:rsidRPr="00CE5AA1">
        <w:rPr>
          <w:rFonts w:ascii="Arial"/>
          <w:spacing w:val="1"/>
          <w:sz w:val="18"/>
          <w:highlight w:val="green"/>
        </w:rPr>
        <w:t xml:space="preserve"> </w:t>
      </w:r>
      <w:r w:rsidRPr="00CE5AA1">
        <w:rPr>
          <w:rFonts w:ascii="Arial"/>
          <w:spacing w:val="-1"/>
          <w:sz w:val="18"/>
          <w:highlight w:val="green"/>
        </w:rPr>
        <w:t>(Security Management)</w:t>
      </w:r>
      <w:r w:rsidRPr="00CE5AA1">
        <w:rPr>
          <w:rFonts w:ascii="Arial"/>
          <w:spacing w:val="-2"/>
          <w:sz w:val="18"/>
          <w:highlight w:val="green"/>
        </w:rPr>
        <w:t xml:space="preserve"> </w:t>
      </w:r>
      <w:r w:rsidRPr="00CE5AA1">
        <w:rPr>
          <w:rFonts w:ascii="Arial"/>
          <w:sz w:val="18"/>
          <w:highlight w:val="green"/>
        </w:rPr>
        <w:t>and</w:t>
      </w:r>
      <w:r w:rsidRPr="00CE5AA1">
        <w:rPr>
          <w:rFonts w:ascii="Arial"/>
          <w:spacing w:val="-2"/>
          <w:sz w:val="18"/>
          <w:highlight w:val="green"/>
        </w:rPr>
        <w:t xml:space="preserve"> </w:t>
      </w:r>
      <w:r w:rsidRPr="00CE5AA1">
        <w:rPr>
          <w:rFonts w:ascii="Arial"/>
          <w:sz w:val="18"/>
          <w:highlight w:val="green"/>
        </w:rPr>
        <w:t>cross</w:t>
      </w:r>
      <w:r w:rsidRPr="00CE5AA1">
        <w:rPr>
          <w:rFonts w:ascii="Arial"/>
          <w:spacing w:val="1"/>
          <w:sz w:val="18"/>
          <w:highlight w:val="green"/>
        </w:rPr>
        <w:t xml:space="preserve"> </w:t>
      </w:r>
      <w:r w:rsidRPr="00CE5AA1">
        <w:rPr>
          <w:rFonts w:ascii="Arial"/>
          <w:spacing w:val="-1"/>
          <w:sz w:val="18"/>
          <w:highlight w:val="green"/>
        </w:rPr>
        <w:t>refer</w:t>
      </w:r>
      <w:r w:rsidRPr="00CE5AA1">
        <w:rPr>
          <w:rFonts w:ascii="Arial"/>
          <w:spacing w:val="-2"/>
          <w:sz w:val="18"/>
          <w:highlight w:val="green"/>
        </w:rPr>
        <w:t xml:space="preserve"> </w:t>
      </w:r>
      <w:r w:rsidRPr="00CE5AA1">
        <w:rPr>
          <w:rFonts w:ascii="Arial"/>
          <w:sz w:val="18"/>
          <w:highlight w:val="green"/>
        </w:rPr>
        <w:t>to</w:t>
      </w:r>
      <w:r w:rsidRPr="00CE5AA1">
        <w:rPr>
          <w:rFonts w:ascii="Arial"/>
          <w:spacing w:val="1"/>
          <w:sz w:val="18"/>
          <w:highlight w:val="green"/>
        </w:rPr>
        <w:t xml:space="preserve"> </w:t>
      </w:r>
      <w:r w:rsidRPr="00CE5AA1">
        <w:rPr>
          <w:rFonts w:ascii="Arial"/>
          <w:sz w:val="18"/>
          <w:highlight w:val="green"/>
        </w:rPr>
        <w:t>it</w:t>
      </w:r>
      <w:r w:rsidRPr="00CE5AA1">
        <w:rPr>
          <w:rFonts w:ascii="Arial"/>
          <w:spacing w:val="-2"/>
          <w:sz w:val="18"/>
          <w:highlight w:val="green"/>
        </w:rPr>
        <w:t xml:space="preserve"> </w:t>
      </w:r>
      <w:r w:rsidRPr="00CE5AA1">
        <w:rPr>
          <w:rFonts w:ascii="Arial"/>
          <w:sz w:val="18"/>
          <w:highlight w:val="green"/>
        </w:rPr>
        <w:t>here]</w:t>
      </w:r>
    </w:p>
    <w:p w:rsidR="008918FA" w:rsidRPr="00CE5AA1" w:rsidRDefault="008918FA" w:rsidP="008918FA">
      <w:pPr>
        <w:spacing w:before="85" w:line="240" w:lineRule="exact"/>
        <w:ind w:left="241"/>
        <w:jc w:val="both"/>
        <w:rPr>
          <w:rFonts w:ascii="Arial" w:eastAsia="Arial" w:hAnsi="Arial" w:cs="Arial"/>
          <w:sz w:val="18"/>
          <w:szCs w:val="18"/>
          <w:highlight w:val="green"/>
        </w:rPr>
      </w:pPr>
      <w:r w:rsidRPr="00CE5AA1">
        <w:rPr>
          <w:rFonts w:ascii="Arial"/>
          <w:position w:val="9"/>
          <w:sz w:val="12"/>
          <w:highlight w:val="green"/>
        </w:rPr>
        <w:t>36</w:t>
      </w:r>
      <w:r w:rsidRPr="00CE5AA1">
        <w:rPr>
          <w:rFonts w:ascii="Arial"/>
          <w:spacing w:val="3"/>
          <w:position w:val="9"/>
          <w:sz w:val="12"/>
          <w:highlight w:val="green"/>
        </w:rPr>
        <w:t xml:space="preserve"> </w:t>
      </w:r>
      <w:bookmarkStart w:id="28" w:name="_bookmark36"/>
      <w:bookmarkEnd w:id="28"/>
      <w:r w:rsidRPr="00CE5AA1">
        <w:rPr>
          <w:rFonts w:ascii="Arial"/>
          <w:spacing w:val="-1"/>
          <w:sz w:val="18"/>
          <w:highlight w:val="green"/>
        </w:rPr>
        <w:t>[Guidance</w:t>
      </w:r>
      <w:r w:rsidRPr="00CE5AA1">
        <w:rPr>
          <w:rFonts w:ascii="Arial"/>
          <w:spacing w:val="20"/>
          <w:sz w:val="18"/>
          <w:highlight w:val="green"/>
        </w:rPr>
        <w:t xml:space="preserve"> </w:t>
      </w:r>
      <w:r w:rsidRPr="00CE5AA1">
        <w:rPr>
          <w:rFonts w:ascii="Arial"/>
          <w:spacing w:val="-1"/>
          <w:sz w:val="18"/>
          <w:highlight w:val="green"/>
        </w:rPr>
        <w:t>Note:</w:t>
      </w:r>
      <w:r w:rsidRPr="00CE5AA1">
        <w:rPr>
          <w:rFonts w:ascii="Arial"/>
          <w:spacing w:val="20"/>
          <w:sz w:val="18"/>
          <w:highlight w:val="green"/>
        </w:rPr>
        <w:t xml:space="preserve"> </w:t>
      </w:r>
      <w:r w:rsidRPr="00CE5AA1">
        <w:rPr>
          <w:rFonts w:ascii="Arial"/>
          <w:sz w:val="18"/>
          <w:highlight w:val="green"/>
        </w:rPr>
        <w:t>See</w:t>
      </w:r>
      <w:r w:rsidRPr="00CE5AA1">
        <w:rPr>
          <w:rFonts w:ascii="Arial"/>
          <w:spacing w:val="18"/>
          <w:sz w:val="18"/>
          <w:highlight w:val="green"/>
        </w:rPr>
        <w:t xml:space="preserve"> </w:t>
      </w:r>
      <w:r w:rsidRPr="00CE5AA1">
        <w:rPr>
          <w:rFonts w:ascii="Arial"/>
          <w:spacing w:val="-1"/>
          <w:sz w:val="18"/>
          <w:highlight w:val="green"/>
        </w:rPr>
        <w:t>Clause</w:t>
      </w:r>
      <w:r w:rsidRPr="00CE5AA1">
        <w:rPr>
          <w:rFonts w:ascii="Arial"/>
          <w:spacing w:val="17"/>
          <w:sz w:val="18"/>
          <w:highlight w:val="green"/>
        </w:rPr>
        <w:t xml:space="preserve"> </w:t>
      </w:r>
      <w:hyperlink w:anchor="_bookmark92" w:history="1">
        <w:r w:rsidRPr="00CE5AA1">
          <w:rPr>
            <w:rFonts w:ascii="Arial"/>
            <w:sz w:val="18"/>
            <w:highlight w:val="green"/>
          </w:rPr>
          <w:t>11.6</w:t>
        </w:r>
      </w:hyperlink>
      <w:r w:rsidRPr="00CE5AA1">
        <w:rPr>
          <w:rFonts w:ascii="Arial"/>
          <w:spacing w:val="20"/>
          <w:sz w:val="18"/>
          <w:highlight w:val="green"/>
        </w:rPr>
        <w:t xml:space="preserve"> </w:t>
      </w:r>
      <w:r w:rsidRPr="00CE5AA1">
        <w:rPr>
          <w:rFonts w:ascii="Arial"/>
          <w:spacing w:val="-1"/>
          <w:sz w:val="18"/>
          <w:highlight w:val="green"/>
        </w:rPr>
        <w:t>of</w:t>
      </w:r>
      <w:r w:rsidRPr="00CE5AA1">
        <w:rPr>
          <w:rFonts w:ascii="Arial"/>
          <w:spacing w:val="19"/>
          <w:sz w:val="18"/>
          <w:highlight w:val="green"/>
        </w:rPr>
        <w:t xml:space="preserve"> </w:t>
      </w:r>
      <w:r w:rsidRPr="00CE5AA1">
        <w:rPr>
          <w:rFonts w:ascii="Arial"/>
          <w:sz w:val="18"/>
          <w:highlight w:val="green"/>
        </w:rPr>
        <w:t>the</w:t>
      </w:r>
      <w:r w:rsidRPr="00CE5AA1">
        <w:rPr>
          <w:rFonts w:ascii="Arial"/>
          <w:spacing w:val="20"/>
          <w:sz w:val="18"/>
          <w:highlight w:val="green"/>
        </w:rPr>
        <w:t xml:space="preserve"> </w:t>
      </w:r>
      <w:r w:rsidRPr="00CE5AA1">
        <w:rPr>
          <w:rFonts w:ascii="Arial"/>
          <w:spacing w:val="-1"/>
          <w:sz w:val="18"/>
          <w:highlight w:val="green"/>
        </w:rPr>
        <w:t>Template</w:t>
      </w:r>
      <w:r w:rsidRPr="00CE5AA1">
        <w:rPr>
          <w:rFonts w:ascii="Arial"/>
          <w:spacing w:val="20"/>
          <w:sz w:val="18"/>
          <w:highlight w:val="green"/>
        </w:rPr>
        <w:t xml:space="preserve"> </w:t>
      </w:r>
      <w:r w:rsidRPr="00CE5AA1">
        <w:rPr>
          <w:rFonts w:ascii="Arial"/>
          <w:spacing w:val="-1"/>
          <w:sz w:val="18"/>
          <w:highlight w:val="green"/>
        </w:rPr>
        <w:t>Call</w:t>
      </w:r>
      <w:r w:rsidRPr="00CE5AA1">
        <w:rPr>
          <w:rFonts w:ascii="Arial"/>
          <w:spacing w:val="20"/>
          <w:sz w:val="18"/>
          <w:highlight w:val="green"/>
        </w:rPr>
        <w:t xml:space="preserve"> </w:t>
      </w:r>
      <w:r w:rsidRPr="00CE5AA1">
        <w:rPr>
          <w:rFonts w:ascii="Arial"/>
          <w:spacing w:val="-1"/>
          <w:sz w:val="18"/>
          <w:highlight w:val="green"/>
        </w:rPr>
        <w:t>Off</w:t>
      </w:r>
      <w:r w:rsidRPr="00CE5AA1">
        <w:rPr>
          <w:rFonts w:ascii="Arial"/>
          <w:spacing w:val="20"/>
          <w:sz w:val="18"/>
          <w:highlight w:val="green"/>
        </w:rPr>
        <w:t xml:space="preserve"> </w:t>
      </w:r>
      <w:r w:rsidRPr="00CE5AA1">
        <w:rPr>
          <w:rFonts w:ascii="Arial"/>
          <w:spacing w:val="-1"/>
          <w:sz w:val="18"/>
          <w:highlight w:val="green"/>
        </w:rPr>
        <w:t>Terms.</w:t>
      </w:r>
      <w:r w:rsidRPr="00CE5AA1">
        <w:rPr>
          <w:rFonts w:ascii="Arial"/>
          <w:spacing w:val="20"/>
          <w:sz w:val="18"/>
          <w:highlight w:val="green"/>
        </w:rPr>
        <w:t xml:space="preserve"> </w:t>
      </w:r>
      <w:r w:rsidRPr="00CE5AA1">
        <w:rPr>
          <w:rFonts w:ascii="Arial"/>
          <w:sz w:val="18"/>
          <w:highlight w:val="green"/>
        </w:rPr>
        <w:t>If</w:t>
      </w:r>
      <w:r w:rsidRPr="00CE5AA1">
        <w:rPr>
          <w:rFonts w:ascii="Arial"/>
          <w:spacing w:val="20"/>
          <w:sz w:val="18"/>
          <w:highlight w:val="green"/>
        </w:rPr>
        <w:t xml:space="preserve"> </w:t>
      </w:r>
      <w:r w:rsidRPr="00CE5AA1">
        <w:rPr>
          <w:rFonts w:ascii="Arial"/>
          <w:spacing w:val="-1"/>
          <w:sz w:val="18"/>
          <w:highlight w:val="green"/>
        </w:rPr>
        <w:t>Testing</w:t>
      </w:r>
      <w:r w:rsidRPr="00CE5AA1">
        <w:rPr>
          <w:rFonts w:ascii="Arial"/>
          <w:spacing w:val="17"/>
          <w:sz w:val="18"/>
          <w:highlight w:val="green"/>
        </w:rPr>
        <w:t xml:space="preserve"> </w:t>
      </w:r>
      <w:r w:rsidRPr="00CE5AA1">
        <w:rPr>
          <w:rFonts w:ascii="Arial"/>
          <w:sz w:val="18"/>
          <w:highlight w:val="green"/>
        </w:rPr>
        <w:t>is</w:t>
      </w:r>
      <w:r w:rsidRPr="00CE5AA1">
        <w:rPr>
          <w:rFonts w:ascii="Arial"/>
          <w:spacing w:val="18"/>
          <w:sz w:val="18"/>
          <w:highlight w:val="green"/>
        </w:rPr>
        <w:t xml:space="preserve"> </w:t>
      </w:r>
      <w:r w:rsidRPr="00CE5AA1">
        <w:rPr>
          <w:rFonts w:ascii="Arial"/>
          <w:sz w:val="18"/>
          <w:highlight w:val="green"/>
        </w:rPr>
        <w:t>not</w:t>
      </w:r>
      <w:r w:rsidRPr="00CE5AA1">
        <w:rPr>
          <w:rFonts w:ascii="Arial"/>
          <w:spacing w:val="20"/>
          <w:sz w:val="18"/>
          <w:highlight w:val="green"/>
        </w:rPr>
        <w:t xml:space="preserve"> </w:t>
      </w:r>
      <w:r w:rsidRPr="00CE5AA1">
        <w:rPr>
          <w:rFonts w:ascii="Arial"/>
          <w:spacing w:val="-1"/>
          <w:sz w:val="18"/>
          <w:highlight w:val="green"/>
        </w:rPr>
        <w:t>required</w:t>
      </w:r>
      <w:r w:rsidRPr="00CE5AA1">
        <w:rPr>
          <w:rFonts w:ascii="Arial"/>
          <w:spacing w:val="17"/>
          <w:sz w:val="18"/>
          <w:highlight w:val="green"/>
        </w:rPr>
        <w:t xml:space="preserve"> </w:t>
      </w:r>
      <w:r w:rsidRPr="00CE5AA1">
        <w:rPr>
          <w:rFonts w:ascii="Arial"/>
          <w:spacing w:val="-1"/>
          <w:sz w:val="18"/>
          <w:highlight w:val="green"/>
        </w:rPr>
        <w:t>delete</w:t>
      </w:r>
      <w:r w:rsidRPr="00CE5AA1">
        <w:rPr>
          <w:rFonts w:ascii="Arial"/>
          <w:spacing w:val="20"/>
          <w:sz w:val="18"/>
          <w:highlight w:val="green"/>
        </w:rPr>
        <w:t xml:space="preserve"> </w:t>
      </w:r>
      <w:r w:rsidRPr="00CE5AA1">
        <w:rPr>
          <w:rFonts w:ascii="Arial"/>
          <w:spacing w:val="-1"/>
          <w:sz w:val="18"/>
          <w:highlight w:val="green"/>
        </w:rPr>
        <w:t>Clause</w:t>
      </w:r>
    </w:p>
    <w:p w:rsidR="008918FA" w:rsidRPr="00CE5AA1" w:rsidRDefault="00E32C6B" w:rsidP="008918FA">
      <w:pPr>
        <w:ind w:left="241" w:right="114"/>
        <w:jc w:val="both"/>
        <w:rPr>
          <w:rFonts w:ascii="Arial" w:eastAsia="Arial" w:hAnsi="Arial" w:cs="Arial"/>
          <w:sz w:val="18"/>
          <w:szCs w:val="18"/>
          <w:highlight w:val="green"/>
        </w:rPr>
      </w:pPr>
      <w:hyperlink w:anchor="_bookmark92" w:history="1">
        <w:r w:rsidR="008918FA" w:rsidRPr="00CE5AA1">
          <w:rPr>
            <w:rFonts w:ascii="Arial"/>
            <w:sz w:val="18"/>
            <w:highlight w:val="green"/>
          </w:rPr>
          <w:t>11.6</w:t>
        </w:r>
      </w:hyperlink>
      <w:r w:rsidR="008918FA" w:rsidRPr="00CE5AA1">
        <w:rPr>
          <w:rFonts w:ascii="Arial"/>
          <w:spacing w:val="22"/>
          <w:sz w:val="18"/>
          <w:highlight w:val="green"/>
        </w:rPr>
        <w:t xml:space="preserve"> </w:t>
      </w:r>
      <w:r w:rsidR="008918FA" w:rsidRPr="00CE5AA1">
        <w:rPr>
          <w:rFonts w:ascii="Arial"/>
          <w:sz w:val="18"/>
          <w:highlight w:val="green"/>
        </w:rPr>
        <w:t>and</w:t>
      </w:r>
      <w:r w:rsidR="008918FA" w:rsidRPr="00CE5AA1">
        <w:rPr>
          <w:rFonts w:ascii="Arial"/>
          <w:spacing w:val="22"/>
          <w:sz w:val="18"/>
          <w:highlight w:val="green"/>
        </w:rPr>
        <w:t xml:space="preserve"> </w:t>
      </w:r>
      <w:r w:rsidR="008918FA" w:rsidRPr="00CE5AA1">
        <w:rPr>
          <w:rFonts w:ascii="Arial"/>
          <w:spacing w:val="-1"/>
          <w:sz w:val="18"/>
          <w:highlight w:val="green"/>
        </w:rPr>
        <w:t>Call</w:t>
      </w:r>
      <w:r w:rsidR="008918FA" w:rsidRPr="00CE5AA1">
        <w:rPr>
          <w:rFonts w:ascii="Arial"/>
          <w:spacing w:val="22"/>
          <w:sz w:val="18"/>
          <w:highlight w:val="green"/>
        </w:rPr>
        <w:t xml:space="preserve"> </w:t>
      </w:r>
      <w:r w:rsidR="008918FA" w:rsidRPr="00CE5AA1">
        <w:rPr>
          <w:rFonts w:ascii="Arial"/>
          <w:spacing w:val="-1"/>
          <w:sz w:val="18"/>
          <w:highlight w:val="green"/>
        </w:rPr>
        <w:t>Off</w:t>
      </w:r>
      <w:r w:rsidR="008918FA" w:rsidRPr="00CE5AA1">
        <w:rPr>
          <w:rFonts w:ascii="Arial"/>
          <w:spacing w:val="22"/>
          <w:sz w:val="18"/>
          <w:highlight w:val="green"/>
        </w:rPr>
        <w:t xml:space="preserve"> </w:t>
      </w:r>
      <w:r w:rsidR="008918FA" w:rsidRPr="00CE5AA1">
        <w:rPr>
          <w:rFonts w:ascii="Arial"/>
          <w:spacing w:val="-1"/>
          <w:sz w:val="18"/>
          <w:highlight w:val="green"/>
        </w:rPr>
        <w:t>Schedule</w:t>
      </w:r>
      <w:r w:rsidR="008918FA" w:rsidRPr="00CE5AA1">
        <w:rPr>
          <w:rFonts w:ascii="Arial"/>
          <w:spacing w:val="22"/>
          <w:sz w:val="18"/>
          <w:highlight w:val="green"/>
        </w:rPr>
        <w:t xml:space="preserve"> </w:t>
      </w:r>
      <w:r w:rsidR="008918FA" w:rsidRPr="00CE5AA1">
        <w:rPr>
          <w:rFonts w:ascii="Arial"/>
          <w:spacing w:val="-1"/>
          <w:sz w:val="18"/>
          <w:highlight w:val="green"/>
        </w:rPr>
        <w:t>5:</w:t>
      </w:r>
      <w:r w:rsidR="008918FA" w:rsidRPr="00CE5AA1">
        <w:rPr>
          <w:rFonts w:ascii="Arial"/>
          <w:spacing w:val="22"/>
          <w:sz w:val="18"/>
          <w:highlight w:val="green"/>
        </w:rPr>
        <w:t xml:space="preserve"> </w:t>
      </w:r>
      <w:r w:rsidR="008918FA" w:rsidRPr="00CE5AA1">
        <w:rPr>
          <w:rFonts w:ascii="Arial"/>
          <w:spacing w:val="-1"/>
          <w:sz w:val="18"/>
          <w:highlight w:val="green"/>
        </w:rPr>
        <w:t>Testing.</w:t>
      </w:r>
      <w:r w:rsidR="008918FA" w:rsidRPr="00CE5AA1">
        <w:rPr>
          <w:rFonts w:ascii="Arial"/>
          <w:spacing w:val="21"/>
          <w:sz w:val="18"/>
          <w:highlight w:val="green"/>
        </w:rPr>
        <w:t xml:space="preserve"> </w:t>
      </w:r>
      <w:r w:rsidR="008918FA" w:rsidRPr="00CE5AA1">
        <w:rPr>
          <w:rFonts w:ascii="Arial"/>
          <w:sz w:val="18"/>
          <w:highlight w:val="green"/>
        </w:rPr>
        <w:t>If</w:t>
      </w:r>
      <w:r w:rsidR="008918FA" w:rsidRPr="00CE5AA1">
        <w:rPr>
          <w:rFonts w:ascii="Arial"/>
          <w:spacing w:val="22"/>
          <w:sz w:val="18"/>
          <w:highlight w:val="green"/>
        </w:rPr>
        <w:t xml:space="preserve"> </w:t>
      </w:r>
      <w:r w:rsidR="008918FA" w:rsidRPr="00CE5AA1">
        <w:rPr>
          <w:rFonts w:ascii="Arial"/>
          <w:spacing w:val="-1"/>
          <w:sz w:val="18"/>
          <w:highlight w:val="green"/>
        </w:rPr>
        <w:t>Testing</w:t>
      </w:r>
      <w:r w:rsidR="008918FA" w:rsidRPr="00CE5AA1">
        <w:rPr>
          <w:rFonts w:ascii="Arial"/>
          <w:spacing w:val="22"/>
          <w:sz w:val="18"/>
          <w:highlight w:val="green"/>
        </w:rPr>
        <w:t xml:space="preserve"> </w:t>
      </w:r>
      <w:r w:rsidR="008918FA" w:rsidRPr="00CE5AA1">
        <w:rPr>
          <w:rFonts w:ascii="Arial"/>
          <w:spacing w:val="-1"/>
          <w:sz w:val="18"/>
          <w:highlight w:val="green"/>
        </w:rPr>
        <w:t>is</w:t>
      </w:r>
      <w:r w:rsidR="008918FA" w:rsidRPr="00CE5AA1">
        <w:rPr>
          <w:rFonts w:ascii="Arial"/>
          <w:spacing w:val="23"/>
          <w:sz w:val="18"/>
          <w:highlight w:val="green"/>
        </w:rPr>
        <w:t xml:space="preserve"> </w:t>
      </w:r>
      <w:r w:rsidR="008918FA" w:rsidRPr="00CE5AA1">
        <w:rPr>
          <w:rFonts w:ascii="Arial"/>
          <w:spacing w:val="-1"/>
          <w:sz w:val="18"/>
          <w:highlight w:val="green"/>
        </w:rPr>
        <w:t>required</w:t>
      </w:r>
      <w:r w:rsidR="008918FA" w:rsidRPr="00CE5AA1">
        <w:rPr>
          <w:rFonts w:ascii="Arial"/>
          <w:spacing w:val="22"/>
          <w:sz w:val="18"/>
          <w:highlight w:val="green"/>
        </w:rPr>
        <w:t xml:space="preserve"> </w:t>
      </w:r>
      <w:r w:rsidR="008918FA" w:rsidRPr="00CE5AA1">
        <w:rPr>
          <w:rFonts w:ascii="Arial"/>
          <w:spacing w:val="-1"/>
          <w:sz w:val="18"/>
          <w:highlight w:val="green"/>
        </w:rPr>
        <w:t>indicate</w:t>
      </w:r>
      <w:r w:rsidR="008918FA" w:rsidRPr="00CE5AA1">
        <w:rPr>
          <w:rFonts w:ascii="Arial"/>
          <w:spacing w:val="22"/>
          <w:sz w:val="18"/>
          <w:highlight w:val="green"/>
        </w:rPr>
        <w:t xml:space="preserve"> </w:t>
      </w:r>
      <w:r w:rsidR="008918FA" w:rsidRPr="00CE5AA1">
        <w:rPr>
          <w:rFonts w:ascii="Arial"/>
          <w:spacing w:val="-1"/>
          <w:sz w:val="18"/>
          <w:highlight w:val="green"/>
        </w:rPr>
        <w:t>the</w:t>
      </w:r>
      <w:r w:rsidR="008918FA" w:rsidRPr="00CE5AA1">
        <w:rPr>
          <w:rFonts w:ascii="Arial"/>
          <w:spacing w:val="22"/>
          <w:sz w:val="18"/>
          <w:highlight w:val="green"/>
        </w:rPr>
        <w:t xml:space="preserve"> </w:t>
      </w:r>
      <w:r w:rsidR="008918FA" w:rsidRPr="00CE5AA1">
        <w:rPr>
          <w:rFonts w:ascii="Arial"/>
          <w:sz w:val="18"/>
          <w:highlight w:val="green"/>
        </w:rPr>
        <w:t>broad</w:t>
      </w:r>
      <w:r w:rsidR="008918FA" w:rsidRPr="00CE5AA1">
        <w:rPr>
          <w:rFonts w:ascii="Arial"/>
          <w:spacing w:val="22"/>
          <w:sz w:val="18"/>
          <w:highlight w:val="green"/>
        </w:rPr>
        <w:t xml:space="preserve"> </w:t>
      </w:r>
      <w:r w:rsidR="008918FA" w:rsidRPr="00CE5AA1">
        <w:rPr>
          <w:rFonts w:ascii="Arial"/>
          <w:spacing w:val="-1"/>
          <w:sz w:val="18"/>
          <w:highlight w:val="green"/>
        </w:rPr>
        <w:t>requirement/s</w:t>
      </w:r>
      <w:r w:rsidR="008918FA" w:rsidRPr="00CE5AA1">
        <w:rPr>
          <w:rFonts w:ascii="Arial"/>
          <w:spacing w:val="23"/>
          <w:sz w:val="18"/>
          <w:highlight w:val="green"/>
        </w:rPr>
        <w:t xml:space="preserve"> </w:t>
      </w:r>
      <w:r w:rsidR="008918FA" w:rsidRPr="00CE5AA1">
        <w:rPr>
          <w:rFonts w:ascii="Arial"/>
          <w:spacing w:val="-1"/>
          <w:sz w:val="18"/>
          <w:highlight w:val="green"/>
        </w:rPr>
        <w:t>here</w:t>
      </w:r>
      <w:r w:rsidR="008918FA" w:rsidRPr="00CE5AA1">
        <w:rPr>
          <w:rFonts w:ascii="Arial"/>
          <w:spacing w:val="22"/>
          <w:sz w:val="18"/>
          <w:highlight w:val="green"/>
        </w:rPr>
        <w:t xml:space="preserve"> </w:t>
      </w:r>
      <w:r w:rsidR="008918FA" w:rsidRPr="00CE5AA1">
        <w:rPr>
          <w:rFonts w:ascii="Arial"/>
          <w:sz w:val="18"/>
          <w:highlight w:val="green"/>
        </w:rPr>
        <w:t>and</w:t>
      </w:r>
      <w:r w:rsidR="008918FA" w:rsidRPr="00CE5AA1">
        <w:rPr>
          <w:rFonts w:ascii="Arial"/>
          <w:spacing w:val="22"/>
          <w:sz w:val="18"/>
          <w:highlight w:val="green"/>
        </w:rPr>
        <w:t xml:space="preserve"> </w:t>
      </w:r>
      <w:r w:rsidR="008918FA" w:rsidRPr="00CE5AA1">
        <w:rPr>
          <w:rFonts w:ascii="Arial"/>
          <w:spacing w:val="-1"/>
          <w:sz w:val="18"/>
          <w:highlight w:val="green"/>
        </w:rPr>
        <w:t>then</w:t>
      </w:r>
      <w:r w:rsidR="008918FA" w:rsidRPr="00CE5AA1">
        <w:rPr>
          <w:rFonts w:ascii="Arial"/>
          <w:spacing w:val="91"/>
          <w:sz w:val="18"/>
          <w:highlight w:val="green"/>
        </w:rPr>
        <w:t xml:space="preserve"> </w:t>
      </w:r>
      <w:r w:rsidR="008918FA" w:rsidRPr="00CE5AA1">
        <w:rPr>
          <w:rFonts w:ascii="Arial"/>
          <w:spacing w:val="-1"/>
          <w:sz w:val="18"/>
          <w:highlight w:val="green"/>
        </w:rPr>
        <w:t>complete</w:t>
      </w:r>
      <w:r w:rsidR="008918FA" w:rsidRPr="00CE5AA1">
        <w:rPr>
          <w:rFonts w:ascii="Arial"/>
          <w:spacing w:val="1"/>
          <w:sz w:val="18"/>
          <w:highlight w:val="green"/>
        </w:rPr>
        <w:t xml:space="preserve"> </w:t>
      </w:r>
      <w:r w:rsidR="008918FA" w:rsidRPr="00CE5AA1">
        <w:rPr>
          <w:rFonts w:ascii="Arial"/>
          <w:spacing w:val="-1"/>
          <w:sz w:val="18"/>
          <w:highlight w:val="green"/>
        </w:rPr>
        <w:t>Call</w:t>
      </w:r>
      <w:r w:rsidR="008918FA" w:rsidRPr="00CE5AA1">
        <w:rPr>
          <w:rFonts w:ascii="Arial"/>
          <w:spacing w:val="1"/>
          <w:sz w:val="18"/>
          <w:highlight w:val="green"/>
        </w:rPr>
        <w:t xml:space="preserve"> </w:t>
      </w:r>
      <w:r w:rsidR="008918FA" w:rsidRPr="00CE5AA1">
        <w:rPr>
          <w:rFonts w:ascii="Arial"/>
          <w:spacing w:val="-1"/>
          <w:sz w:val="18"/>
          <w:highlight w:val="green"/>
        </w:rPr>
        <w:t>Off</w:t>
      </w:r>
      <w:r w:rsidR="008918FA" w:rsidRPr="00CE5AA1">
        <w:rPr>
          <w:rFonts w:ascii="Arial"/>
          <w:sz w:val="18"/>
          <w:highlight w:val="green"/>
        </w:rPr>
        <w:t xml:space="preserve"> </w:t>
      </w:r>
      <w:r w:rsidR="008918FA" w:rsidRPr="00CE5AA1">
        <w:rPr>
          <w:rFonts w:ascii="Arial"/>
          <w:spacing w:val="-1"/>
          <w:sz w:val="18"/>
          <w:highlight w:val="green"/>
        </w:rPr>
        <w:t>Schedule</w:t>
      </w:r>
      <w:r w:rsidR="008918FA" w:rsidRPr="00CE5AA1">
        <w:rPr>
          <w:rFonts w:ascii="Arial"/>
          <w:spacing w:val="-2"/>
          <w:sz w:val="18"/>
          <w:highlight w:val="green"/>
        </w:rPr>
        <w:t xml:space="preserve"> </w:t>
      </w:r>
      <w:r w:rsidR="008918FA" w:rsidRPr="00CE5AA1">
        <w:rPr>
          <w:rFonts w:ascii="Arial"/>
          <w:sz w:val="18"/>
          <w:highlight w:val="green"/>
        </w:rPr>
        <w:t>5:</w:t>
      </w:r>
      <w:r w:rsidR="008918FA" w:rsidRPr="00CE5AA1">
        <w:rPr>
          <w:rFonts w:ascii="Arial"/>
          <w:spacing w:val="-2"/>
          <w:sz w:val="18"/>
          <w:highlight w:val="green"/>
        </w:rPr>
        <w:t xml:space="preserve"> </w:t>
      </w:r>
      <w:r w:rsidR="008918FA" w:rsidRPr="00CE5AA1">
        <w:rPr>
          <w:rFonts w:ascii="Arial"/>
          <w:spacing w:val="-1"/>
          <w:sz w:val="18"/>
          <w:highlight w:val="green"/>
        </w:rPr>
        <w:t>Testing</w:t>
      </w:r>
      <w:r w:rsidR="008918FA" w:rsidRPr="00CE5AA1">
        <w:rPr>
          <w:rFonts w:ascii="Arial"/>
          <w:spacing w:val="-2"/>
          <w:sz w:val="18"/>
          <w:highlight w:val="green"/>
        </w:rPr>
        <w:t xml:space="preserve"> </w:t>
      </w:r>
      <w:r w:rsidR="008918FA" w:rsidRPr="00CE5AA1">
        <w:rPr>
          <w:rFonts w:ascii="Arial"/>
          <w:sz w:val="18"/>
          <w:highlight w:val="green"/>
        </w:rPr>
        <w:t>in</w:t>
      </w:r>
      <w:r w:rsidR="008918FA" w:rsidRPr="00CE5AA1">
        <w:rPr>
          <w:rFonts w:ascii="Arial"/>
          <w:spacing w:val="1"/>
          <w:sz w:val="18"/>
          <w:highlight w:val="green"/>
        </w:rPr>
        <w:t xml:space="preserve"> </w:t>
      </w:r>
      <w:r w:rsidR="008918FA" w:rsidRPr="00CE5AA1">
        <w:rPr>
          <w:rFonts w:ascii="Arial"/>
          <w:spacing w:val="-1"/>
          <w:sz w:val="18"/>
          <w:highlight w:val="green"/>
        </w:rPr>
        <w:t>detail]</w:t>
      </w:r>
    </w:p>
    <w:p w:rsidR="008918FA" w:rsidRDefault="008918FA" w:rsidP="008918FA">
      <w:pPr>
        <w:spacing w:before="85"/>
        <w:ind w:left="241" w:right="111"/>
        <w:jc w:val="both"/>
        <w:rPr>
          <w:rFonts w:ascii="Arial" w:eastAsia="Arial" w:hAnsi="Arial" w:cs="Arial"/>
          <w:sz w:val="18"/>
          <w:szCs w:val="18"/>
        </w:rPr>
      </w:pPr>
      <w:r w:rsidRPr="00CE5AA1">
        <w:rPr>
          <w:rFonts w:ascii="Arial"/>
          <w:position w:val="9"/>
          <w:sz w:val="12"/>
          <w:highlight w:val="green"/>
        </w:rPr>
        <w:t>37</w:t>
      </w:r>
      <w:r w:rsidRPr="00CE5AA1">
        <w:rPr>
          <w:rFonts w:ascii="Arial"/>
          <w:spacing w:val="26"/>
          <w:position w:val="9"/>
          <w:sz w:val="12"/>
          <w:highlight w:val="green"/>
        </w:rPr>
        <w:t xml:space="preserve"> </w:t>
      </w:r>
      <w:bookmarkStart w:id="29" w:name="_bookmark37"/>
      <w:bookmarkEnd w:id="29"/>
      <w:r w:rsidRPr="00CE5AA1">
        <w:rPr>
          <w:rFonts w:ascii="Arial"/>
          <w:spacing w:val="-1"/>
          <w:sz w:val="18"/>
          <w:highlight w:val="green"/>
        </w:rPr>
        <w:t>[Guidance</w:t>
      </w:r>
      <w:r w:rsidRPr="00CE5AA1">
        <w:rPr>
          <w:rFonts w:ascii="Arial"/>
          <w:spacing w:val="10"/>
          <w:sz w:val="18"/>
          <w:highlight w:val="green"/>
        </w:rPr>
        <w:t xml:space="preserve"> </w:t>
      </w:r>
      <w:r w:rsidRPr="00CE5AA1">
        <w:rPr>
          <w:rFonts w:ascii="Arial"/>
          <w:spacing w:val="-1"/>
          <w:sz w:val="18"/>
          <w:highlight w:val="green"/>
        </w:rPr>
        <w:t>Note:</w:t>
      </w:r>
      <w:r w:rsidRPr="00CE5AA1">
        <w:rPr>
          <w:rFonts w:ascii="Arial"/>
          <w:spacing w:val="10"/>
          <w:sz w:val="18"/>
          <w:highlight w:val="green"/>
        </w:rPr>
        <w:t xml:space="preserve"> </w:t>
      </w:r>
      <w:r w:rsidRPr="00CE5AA1">
        <w:rPr>
          <w:rFonts w:ascii="Arial"/>
          <w:spacing w:val="-1"/>
          <w:sz w:val="18"/>
          <w:highlight w:val="green"/>
        </w:rPr>
        <w:t>See</w:t>
      </w:r>
      <w:r w:rsidRPr="00CE5AA1">
        <w:rPr>
          <w:rFonts w:ascii="Arial"/>
          <w:spacing w:val="10"/>
          <w:sz w:val="18"/>
          <w:highlight w:val="green"/>
        </w:rPr>
        <w:t xml:space="preserve"> </w:t>
      </w:r>
      <w:r w:rsidRPr="00CE5AA1">
        <w:rPr>
          <w:rFonts w:ascii="Arial"/>
          <w:spacing w:val="-1"/>
          <w:sz w:val="18"/>
          <w:highlight w:val="green"/>
        </w:rPr>
        <w:t>Clause</w:t>
      </w:r>
      <w:r w:rsidRPr="00CE5AA1">
        <w:rPr>
          <w:rFonts w:ascii="Arial"/>
          <w:spacing w:val="8"/>
          <w:sz w:val="18"/>
          <w:highlight w:val="green"/>
        </w:rPr>
        <w:t xml:space="preserve"> </w:t>
      </w:r>
      <w:hyperlink w:anchor="_bookmark200" w:history="1">
        <w:r w:rsidRPr="00CE5AA1">
          <w:rPr>
            <w:rFonts w:ascii="Arial"/>
            <w:sz w:val="18"/>
            <w:highlight w:val="green"/>
          </w:rPr>
          <w:t>36</w:t>
        </w:r>
      </w:hyperlink>
      <w:r w:rsidRPr="00CE5AA1">
        <w:rPr>
          <w:rFonts w:ascii="Arial"/>
          <w:spacing w:val="10"/>
          <w:sz w:val="18"/>
          <w:highlight w:val="green"/>
        </w:rPr>
        <w:t xml:space="preserve"> </w:t>
      </w:r>
      <w:r w:rsidRPr="00CE5AA1">
        <w:rPr>
          <w:rFonts w:ascii="Arial"/>
          <w:sz w:val="18"/>
          <w:highlight w:val="green"/>
        </w:rPr>
        <w:t>of</w:t>
      </w:r>
      <w:r w:rsidRPr="00CE5AA1">
        <w:rPr>
          <w:rFonts w:ascii="Arial"/>
          <w:spacing w:val="10"/>
          <w:sz w:val="18"/>
          <w:highlight w:val="green"/>
        </w:rPr>
        <w:t xml:space="preserve"> </w:t>
      </w:r>
      <w:r w:rsidRPr="00CE5AA1">
        <w:rPr>
          <w:rFonts w:ascii="Arial"/>
          <w:sz w:val="18"/>
          <w:highlight w:val="green"/>
        </w:rPr>
        <w:t>the</w:t>
      </w:r>
      <w:r w:rsidRPr="00CE5AA1">
        <w:rPr>
          <w:rFonts w:ascii="Arial"/>
          <w:spacing w:val="10"/>
          <w:sz w:val="18"/>
          <w:highlight w:val="green"/>
        </w:rPr>
        <w:t xml:space="preserve"> </w:t>
      </w:r>
      <w:r w:rsidRPr="00CE5AA1">
        <w:rPr>
          <w:rFonts w:ascii="Arial"/>
          <w:spacing w:val="-1"/>
          <w:sz w:val="18"/>
          <w:highlight w:val="green"/>
        </w:rPr>
        <w:t>Template</w:t>
      </w:r>
      <w:r w:rsidRPr="00CE5AA1">
        <w:rPr>
          <w:rFonts w:ascii="Arial"/>
          <w:spacing w:val="10"/>
          <w:sz w:val="18"/>
          <w:highlight w:val="green"/>
        </w:rPr>
        <w:t xml:space="preserve"> </w:t>
      </w:r>
      <w:r w:rsidRPr="00CE5AA1">
        <w:rPr>
          <w:rFonts w:ascii="Arial"/>
          <w:spacing w:val="-1"/>
          <w:sz w:val="18"/>
          <w:highlight w:val="green"/>
        </w:rPr>
        <w:t>Call</w:t>
      </w:r>
      <w:r w:rsidRPr="00CE5AA1">
        <w:rPr>
          <w:rFonts w:ascii="Arial"/>
          <w:spacing w:val="10"/>
          <w:sz w:val="18"/>
          <w:highlight w:val="green"/>
        </w:rPr>
        <w:t xml:space="preserve"> </w:t>
      </w:r>
      <w:r w:rsidRPr="00CE5AA1">
        <w:rPr>
          <w:rFonts w:ascii="Arial"/>
          <w:spacing w:val="-1"/>
          <w:sz w:val="18"/>
          <w:highlight w:val="green"/>
        </w:rPr>
        <w:t>Off</w:t>
      </w:r>
      <w:r w:rsidRPr="00CE5AA1">
        <w:rPr>
          <w:rFonts w:ascii="Arial"/>
          <w:spacing w:val="10"/>
          <w:sz w:val="18"/>
          <w:highlight w:val="green"/>
        </w:rPr>
        <w:t xml:space="preserve"> </w:t>
      </w:r>
      <w:r w:rsidRPr="00CE5AA1">
        <w:rPr>
          <w:rFonts w:ascii="Arial"/>
          <w:spacing w:val="-1"/>
          <w:sz w:val="18"/>
          <w:highlight w:val="green"/>
        </w:rPr>
        <w:t>Terms</w:t>
      </w:r>
      <w:r w:rsidRPr="00CE5AA1">
        <w:rPr>
          <w:rFonts w:ascii="Arial"/>
          <w:spacing w:val="11"/>
          <w:sz w:val="18"/>
          <w:highlight w:val="green"/>
        </w:rPr>
        <w:t xml:space="preserve"> </w:t>
      </w:r>
      <w:r w:rsidRPr="00CE5AA1">
        <w:rPr>
          <w:rFonts w:ascii="Arial"/>
          <w:spacing w:val="-1"/>
          <w:sz w:val="18"/>
          <w:highlight w:val="green"/>
        </w:rPr>
        <w:t>and</w:t>
      </w:r>
      <w:r w:rsidRPr="00CE5AA1">
        <w:rPr>
          <w:rFonts w:ascii="Arial"/>
          <w:spacing w:val="10"/>
          <w:sz w:val="18"/>
          <w:highlight w:val="green"/>
        </w:rPr>
        <w:t xml:space="preserve"> </w:t>
      </w:r>
      <w:r w:rsidRPr="00CE5AA1">
        <w:rPr>
          <w:rFonts w:ascii="Arial"/>
          <w:spacing w:val="-1"/>
          <w:sz w:val="18"/>
          <w:highlight w:val="green"/>
        </w:rPr>
        <w:t>consider</w:t>
      </w:r>
      <w:r w:rsidRPr="00CE5AA1">
        <w:rPr>
          <w:rFonts w:ascii="Arial"/>
          <w:spacing w:val="9"/>
          <w:sz w:val="18"/>
          <w:highlight w:val="green"/>
        </w:rPr>
        <w:t xml:space="preserve"> </w:t>
      </w:r>
      <w:r w:rsidRPr="00CE5AA1">
        <w:rPr>
          <w:rFonts w:ascii="Arial"/>
          <w:sz w:val="18"/>
          <w:highlight w:val="green"/>
        </w:rPr>
        <w:t>if</w:t>
      </w:r>
      <w:r w:rsidRPr="00CE5AA1">
        <w:rPr>
          <w:rFonts w:ascii="Arial"/>
          <w:spacing w:val="10"/>
          <w:sz w:val="18"/>
          <w:highlight w:val="green"/>
        </w:rPr>
        <w:t xml:space="preserve"> </w:t>
      </w:r>
      <w:r w:rsidRPr="00CE5AA1">
        <w:rPr>
          <w:rFonts w:ascii="Arial"/>
          <w:spacing w:val="-1"/>
          <w:sz w:val="18"/>
          <w:highlight w:val="green"/>
        </w:rPr>
        <w:t>the</w:t>
      </w:r>
      <w:r w:rsidRPr="00CE5AA1">
        <w:rPr>
          <w:rFonts w:ascii="Arial"/>
          <w:spacing w:val="10"/>
          <w:sz w:val="18"/>
          <w:highlight w:val="green"/>
        </w:rPr>
        <w:t xml:space="preserve"> </w:t>
      </w:r>
      <w:r w:rsidRPr="00CE5AA1">
        <w:rPr>
          <w:rFonts w:ascii="Arial"/>
          <w:spacing w:val="-1"/>
          <w:sz w:val="18"/>
          <w:highlight w:val="green"/>
        </w:rPr>
        <w:t>default</w:t>
      </w:r>
      <w:r w:rsidRPr="00CE5AA1">
        <w:rPr>
          <w:rFonts w:ascii="Arial"/>
          <w:spacing w:val="10"/>
          <w:sz w:val="18"/>
          <w:highlight w:val="green"/>
        </w:rPr>
        <w:t xml:space="preserve"> </w:t>
      </w:r>
      <w:r w:rsidRPr="00CE5AA1">
        <w:rPr>
          <w:rFonts w:ascii="Arial"/>
          <w:spacing w:val="-1"/>
          <w:sz w:val="18"/>
          <w:highlight w:val="green"/>
        </w:rPr>
        <w:t>financial</w:t>
      </w:r>
      <w:r w:rsidRPr="00CE5AA1">
        <w:rPr>
          <w:rFonts w:ascii="Arial"/>
          <w:spacing w:val="10"/>
          <w:sz w:val="18"/>
          <w:highlight w:val="green"/>
        </w:rPr>
        <w:t xml:space="preserve"> </w:t>
      </w:r>
      <w:r w:rsidRPr="00CE5AA1">
        <w:rPr>
          <w:rFonts w:ascii="Arial"/>
          <w:spacing w:val="-1"/>
          <w:sz w:val="18"/>
          <w:highlight w:val="green"/>
        </w:rPr>
        <w:t>limits</w:t>
      </w:r>
      <w:r w:rsidRPr="00CE5AA1">
        <w:rPr>
          <w:rFonts w:ascii="Arial"/>
          <w:spacing w:val="11"/>
          <w:sz w:val="18"/>
          <w:highlight w:val="green"/>
        </w:rPr>
        <w:t xml:space="preserve"> </w:t>
      </w:r>
      <w:r w:rsidRPr="00CE5AA1">
        <w:rPr>
          <w:rFonts w:ascii="Arial"/>
          <w:spacing w:val="-2"/>
          <w:sz w:val="18"/>
          <w:highlight w:val="green"/>
        </w:rPr>
        <w:t>of</w:t>
      </w:r>
      <w:r w:rsidRPr="00CE5AA1">
        <w:rPr>
          <w:rFonts w:ascii="Arial"/>
          <w:spacing w:val="87"/>
          <w:sz w:val="18"/>
          <w:highlight w:val="green"/>
        </w:rPr>
        <w:t xml:space="preserve"> </w:t>
      </w:r>
      <w:r w:rsidRPr="00CE5AA1">
        <w:rPr>
          <w:rFonts w:ascii="Arial"/>
          <w:spacing w:val="-1"/>
          <w:sz w:val="18"/>
          <w:highlight w:val="green"/>
        </w:rPr>
        <w:t>liability</w:t>
      </w:r>
      <w:r w:rsidRPr="00CE5AA1">
        <w:rPr>
          <w:rFonts w:ascii="Arial"/>
          <w:spacing w:val="5"/>
          <w:sz w:val="18"/>
          <w:highlight w:val="green"/>
        </w:rPr>
        <w:t xml:space="preserve"> </w:t>
      </w:r>
      <w:r w:rsidRPr="00CE5AA1">
        <w:rPr>
          <w:rFonts w:ascii="Arial"/>
          <w:sz w:val="18"/>
          <w:highlight w:val="green"/>
        </w:rPr>
        <w:t>set</w:t>
      </w:r>
      <w:r w:rsidRPr="00CE5AA1">
        <w:rPr>
          <w:rFonts w:ascii="Arial"/>
          <w:spacing w:val="7"/>
          <w:sz w:val="18"/>
          <w:highlight w:val="green"/>
        </w:rPr>
        <w:t xml:space="preserve"> </w:t>
      </w:r>
      <w:r w:rsidRPr="00CE5AA1">
        <w:rPr>
          <w:rFonts w:ascii="Arial"/>
          <w:spacing w:val="-1"/>
          <w:sz w:val="18"/>
          <w:highlight w:val="green"/>
        </w:rPr>
        <w:t>therein</w:t>
      </w:r>
      <w:r w:rsidRPr="00CE5AA1">
        <w:rPr>
          <w:rFonts w:ascii="Arial"/>
          <w:spacing w:val="8"/>
          <w:sz w:val="18"/>
          <w:highlight w:val="green"/>
        </w:rPr>
        <w:t xml:space="preserve"> </w:t>
      </w:r>
      <w:r w:rsidRPr="00CE5AA1">
        <w:rPr>
          <w:rFonts w:ascii="Arial"/>
          <w:sz w:val="18"/>
          <w:highlight w:val="green"/>
        </w:rPr>
        <w:t>are</w:t>
      </w:r>
      <w:r w:rsidRPr="00CE5AA1">
        <w:rPr>
          <w:rFonts w:ascii="Arial"/>
          <w:spacing w:val="8"/>
          <w:sz w:val="18"/>
          <w:highlight w:val="green"/>
        </w:rPr>
        <w:t xml:space="preserve"> </w:t>
      </w:r>
      <w:r w:rsidRPr="00CE5AA1">
        <w:rPr>
          <w:rFonts w:ascii="Arial"/>
          <w:spacing w:val="-1"/>
          <w:sz w:val="18"/>
          <w:highlight w:val="green"/>
        </w:rPr>
        <w:t>appropriate</w:t>
      </w:r>
      <w:r w:rsidRPr="00CE5AA1">
        <w:rPr>
          <w:rFonts w:ascii="Arial"/>
          <w:spacing w:val="8"/>
          <w:sz w:val="18"/>
          <w:highlight w:val="green"/>
        </w:rPr>
        <w:t xml:space="preserve"> </w:t>
      </w:r>
      <w:r w:rsidRPr="00CE5AA1">
        <w:rPr>
          <w:rFonts w:ascii="Arial"/>
          <w:sz w:val="18"/>
          <w:highlight w:val="green"/>
        </w:rPr>
        <w:t>in</w:t>
      </w:r>
      <w:r w:rsidRPr="00CE5AA1">
        <w:rPr>
          <w:rFonts w:ascii="Arial"/>
          <w:spacing w:val="8"/>
          <w:sz w:val="18"/>
          <w:highlight w:val="green"/>
        </w:rPr>
        <w:t xml:space="preserve"> </w:t>
      </w:r>
      <w:r w:rsidRPr="00CE5AA1">
        <w:rPr>
          <w:rFonts w:ascii="Arial"/>
          <w:spacing w:val="-1"/>
          <w:sz w:val="18"/>
          <w:highlight w:val="green"/>
        </w:rPr>
        <w:t>respect</w:t>
      </w:r>
      <w:r w:rsidRPr="00CE5AA1">
        <w:rPr>
          <w:rFonts w:ascii="Arial"/>
          <w:spacing w:val="10"/>
          <w:sz w:val="18"/>
          <w:highlight w:val="green"/>
        </w:rPr>
        <w:t xml:space="preserve"> </w:t>
      </w:r>
      <w:r w:rsidRPr="00CE5AA1">
        <w:rPr>
          <w:rFonts w:ascii="Arial"/>
          <w:sz w:val="18"/>
          <w:highlight w:val="green"/>
        </w:rPr>
        <w:t>of</w:t>
      </w:r>
      <w:r w:rsidRPr="00CE5AA1">
        <w:rPr>
          <w:rFonts w:ascii="Arial"/>
          <w:spacing w:val="7"/>
          <w:sz w:val="18"/>
          <w:highlight w:val="green"/>
        </w:rPr>
        <w:t xml:space="preserve"> </w:t>
      </w:r>
      <w:r w:rsidRPr="00CE5AA1">
        <w:rPr>
          <w:rFonts w:ascii="Arial"/>
          <w:spacing w:val="-1"/>
          <w:sz w:val="18"/>
          <w:highlight w:val="green"/>
        </w:rPr>
        <w:t>your</w:t>
      </w:r>
      <w:r w:rsidRPr="00CE5AA1">
        <w:rPr>
          <w:rFonts w:ascii="Arial"/>
          <w:spacing w:val="9"/>
          <w:sz w:val="18"/>
          <w:highlight w:val="green"/>
        </w:rPr>
        <w:t xml:space="preserve"> </w:t>
      </w:r>
      <w:r w:rsidRPr="00CE5AA1">
        <w:rPr>
          <w:rFonts w:ascii="Arial"/>
          <w:spacing w:val="-1"/>
          <w:sz w:val="18"/>
          <w:highlight w:val="green"/>
        </w:rPr>
        <w:t>requirements.</w:t>
      </w:r>
      <w:r w:rsidRPr="00CE5AA1">
        <w:rPr>
          <w:rFonts w:ascii="Arial"/>
          <w:spacing w:val="17"/>
          <w:sz w:val="18"/>
          <w:highlight w:val="green"/>
        </w:rPr>
        <w:t xml:space="preserve"> </w:t>
      </w:r>
      <w:r w:rsidRPr="00CE5AA1">
        <w:rPr>
          <w:rFonts w:ascii="Arial"/>
          <w:spacing w:val="-1"/>
          <w:sz w:val="18"/>
          <w:highlight w:val="green"/>
        </w:rPr>
        <w:t>Customers</w:t>
      </w:r>
      <w:r w:rsidRPr="00CE5AA1">
        <w:rPr>
          <w:rFonts w:ascii="Arial"/>
          <w:spacing w:val="8"/>
          <w:sz w:val="18"/>
          <w:highlight w:val="green"/>
        </w:rPr>
        <w:t xml:space="preserve"> </w:t>
      </w:r>
      <w:r w:rsidRPr="00CE5AA1">
        <w:rPr>
          <w:rFonts w:ascii="Arial"/>
          <w:sz w:val="18"/>
          <w:highlight w:val="green"/>
        </w:rPr>
        <w:t>may</w:t>
      </w:r>
      <w:r w:rsidRPr="00CE5AA1">
        <w:rPr>
          <w:rFonts w:ascii="Arial"/>
          <w:spacing w:val="6"/>
          <w:sz w:val="18"/>
          <w:highlight w:val="green"/>
        </w:rPr>
        <w:t xml:space="preserve"> </w:t>
      </w:r>
      <w:r w:rsidRPr="00CE5AA1">
        <w:rPr>
          <w:rFonts w:ascii="Arial"/>
          <w:spacing w:val="-1"/>
          <w:sz w:val="18"/>
          <w:highlight w:val="green"/>
        </w:rPr>
        <w:t>stipulate</w:t>
      </w:r>
      <w:r w:rsidRPr="00CE5AA1">
        <w:rPr>
          <w:rFonts w:ascii="Arial"/>
          <w:spacing w:val="10"/>
          <w:sz w:val="18"/>
          <w:highlight w:val="green"/>
        </w:rPr>
        <w:t xml:space="preserve"> </w:t>
      </w:r>
      <w:r w:rsidRPr="00CE5AA1">
        <w:rPr>
          <w:rFonts w:ascii="Arial"/>
          <w:spacing w:val="-1"/>
          <w:sz w:val="18"/>
          <w:highlight w:val="green"/>
        </w:rPr>
        <w:t>different</w:t>
      </w:r>
      <w:r w:rsidRPr="00CE5AA1">
        <w:rPr>
          <w:rFonts w:ascii="Arial"/>
          <w:spacing w:val="7"/>
          <w:sz w:val="18"/>
          <w:highlight w:val="green"/>
        </w:rPr>
        <w:t xml:space="preserve"> </w:t>
      </w:r>
      <w:r w:rsidRPr="00CE5AA1">
        <w:rPr>
          <w:rFonts w:ascii="Arial"/>
          <w:spacing w:val="-1"/>
          <w:sz w:val="18"/>
          <w:highlight w:val="green"/>
        </w:rPr>
        <w:t>financial</w:t>
      </w:r>
      <w:r w:rsidRPr="00CE5AA1">
        <w:rPr>
          <w:rFonts w:ascii="Arial"/>
          <w:spacing w:val="89"/>
          <w:sz w:val="18"/>
          <w:highlight w:val="green"/>
        </w:rPr>
        <w:t xml:space="preserve"> </w:t>
      </w:r>
      <w:r w:rsidRPr="00CE5AA1">
        <w:rPr>
          <w:rFonts w:ascii="Arial"/>
          <w:spacing w:val="-1"/>
          <w:sz w:val="18"/>
          <w:highlight w:val="green"/>
        </w:rPr>
        <w:t>limits</w:t>
      </w:r>
      <w:r w:rsidRPr="00CE5AA1">
        <w:rPr>
          <w:rFonts w:ascii="Arial"/>
          <w:spacing w:val="15"/>
          <w:sz w:val="18"/>
          <w:highlight w:val="green"/>
        </w:rPr>
        <w:t xml:space="preserve"> </w:t>
      </w:r>
      <w:r w:rsidRPr="00CE5AA1">
        <w:rPr>
          <w:rFonts w:ascii="Arial"/>
          <w:sz w:val="18"/>
          <w:highlight w:val="green"/>
        </w:rPr>
        <w:t>as</w:t>
      </w:r>
      <w:r w:rsidRPr="00CE5AA1">
        <w:rPr>
          <w:rFonts w:ascii="Arial"/>
          <w:spacing w:val="16"/>
          <w:sz w:val="18"/>
          <w:highlight w:val="green"/>
        </w:rPr>
        <w:t xml:space="preserve"> </w:t>
      </w:r>
      <w:r w:rsidRPr="00CE5AA1">
        <w:rPr>
          <w:rFonts w:ascii="Arial"/>
          <w:sz w:val="18"/>
          <w:highlight w:val="green"/>
        </w:rPr>
        <w:t>an</w:t>
      </w:r>
      <w:r w:rsidRPr="00CE5AA1">
        <w:rPr>
          <w:rFonts w:ascii="Arial"/>
          <w:spacing w:val="17"/>
          <w:sz w:val="18"/>
          <w:highlight w:val="green"/>
        </w:rPr>
        <w:t xml:space="preserve"> </w:t>
      </w:r>
      <w:r w:rsidRPr="00CE5AA1">
        <w:rPr>
          <w:rFonts w:ascii="Arial"/>
          <w:spacing w:val="-1"/>
          <w:sz w:val="18"/>
          <w:highlight w:val="green"/>
        </w:rPr>
        <w:t>Alternative</w:t>
      </w:r>
      <w:r w:rsidRPr="00CE5AA1">
        <w:rPr>
          <w:rFonts w:ascii="Arial"/>
          <w:spacing w:val="17"/>
          <w:sz w:val="18"/>
          <w:highlight w:val="green"/>
        </w:rPr>
        <w:t xml:space="preserve"> </w:t>
      </w:r>
      <w:r w:rsidRPr="00CE5AA1">
        <w:rPr>
          <w:rFonts w:ascii="Arial"/>
          <w:spacing w:val="-1"/>
          <w:sz w:val="18"/>
          <w:highlight w:val="green"/>
        </w:rPr>
        <w:t>Clause</w:t>
      </w:r>
      <w:r w:rsidRPr="00CE5AA1">
        <w:rPr>
          <w:rFonts w:ascii="Arial"/>
          <w:spacing w:val="17"/>
          <w:sz w:val="18"/>
          <w:highlight w:val="green"/>
        </w:rPr>
        <w:t xml:space="preserve"> </w:t>
      </w:r>
      <w:r w:rsidRPr="00CE5AA1">
        <w:rPr>
          <w:rFonts w:ascii="Arial"/>
          <w:spacing w:val="-1"/>
          <w:sz w:val="18"/>
          <w:highlight w:val="green"/>
        </w:rPr>
        <w:t>(see</w:t>
      </w:r>
      <w:r w:rsidRPr="00CE5AA1">
        <w:rPr>
          <w:rFonts w:ascii="Arial"/>
          <w:spacing w:val="17"/>
          <w:sz w:val="18"/>
          <w:highlight w:val="green"/>
        </w:rPr>
        <w:t xml:space="preserve"> </w:t>
      </w:r>
      <w:r w:rsidRPr="00CE5AA1">
        <w:rPr>
          <w:rFonts w:ascii="Arial"/>
          <w:spacing w:val="-1"/>
          <w:sz w:val="18"/>
          <w:highlight w:val="green"/>
        </w:rPr>
        <w:t>paragraph</w:t>
      </w:r>
      <w:r w:rsidRPr="00CE5AA1">
        <w:rPr>
          <w:rFonts w:ascii="Arial"/>
          <w:spacing w:val="17"/>
          <w:sz w:val="18"/>
          <w:highlight w:val="green"/>
        </w:rPr>
        <w:t xml:space="preserve"> </w:t>
      </w:r>
      <w:hyperlink w:anchor="_bookmark436" w:history="1">
        <w:r w:rsidRPr="00CE5AA1">
          <w:rPr>
            <w:rFonts w:ascii="Arial"/>
            <w:spacing w:val="-1"/>
            <w:sz w:val="18"/>
            <w:highlight w:val="green"/>
          </w:rPr>
          <w:t>4.5</w:t>
        </w:r>
      </w:hyperlink>
      <w:r w:rsidRPr="00CE5AA1">
        <w:rPr>
          <w:rFonts w:ascii="Arial"/>
          <w:spacing w:val="17"/>
          <w:sz w:val="18"/>
          <w:highlight w:val="green"/>
        </w:rPr>
        <w:t xml:space="preserve"> </w:t>
      </w:r>
      <w:r w:rsidRPr="00CE5AA1">
        <w:rPr>
          <w:rFonts w:ascii="Arial"/>
          <w:sz w:val="18"/>
          <w:highlight w:val="green"/>
        </w:rPr>
        <w:t>of</w:t>
      </w:r>
      <w:r w:rsidRPr="00CE5AA1">
        <w:rPr>
          <w:rFonts w:ascii="Arial"/>
          <w:spacing w:val="17"/>
          <w:sz w:val="18"/>
          <w:highlight w:val="green"/>
        </w:rPr>
        <w:t xml:space="preserve"> </w:t>
      </w:r>
      <w:r w:rsidRPr="00CE5AA1">
        <w:rPr>
          <w:rFonts w:ascii="Arial"/>
          <w:spacing w:val="-1"/>
          <w:sz w:val="18"/>
          <w:highlight w:val="green"/>
        </w:rPr>
        <w:t>Schedule</w:t>
      </w:r>
      <w:r w:rsidRPr="00CE5AA1">
        <w:rPr>
          <w:rFonts w:ascii="Arial"/>
          <w:spacing w:val="15"/>
          <w:sz w:val="18"/>
          <w:highlight w:val="green"/>
        </w:rPr>
        <w:t xml:space="preserve"> </w:t>
      </w:r>
      <w:r w:rsidRPr="00CE5AA1">
        <w:rPr>
          <w:rFonts w:ascii="Arial"/>
          <w:sz w:val="18"/>
          <w:highlight w:val="green"/>
        </w:rPr>
        <w:t>14</w:t>
      </w:r>
      <w:r w:rsidRPr="00CE5AA1">
        <w:rPr>
          <w:rFonts w:ascii="Arial"/>
          <w:spacing w:val="17"/>
          <w:sz w:val="18"/>
          <w:highlight w:val="green"/>
        </w:rPr>
        <w:t xml:space="preserve"> </w:t>
      </w:r>
      <w:r w:rsidRPr="00CE5AA1">
        <w:rPr>
          <w:rFonts w:ascii="Arial"/>
          <w:spacing w:val="-1"/>
          <w:sz w:val="18"/>
          <w:highlight w:val="green"/>
        </w:rPr>
        <w:t>(Alternative</w:t>
      </w:r>
      <w:r w:rsidRPr="00CE5AA1">
        <w:rPr>
          <w:rFonts w:ascii="Arial"/>
          <w:spacing w:val="17"/>
          <w:sz w:val="18"/>
          <w:highlight w:val="green"/>
        </w:rPr>
        <w:t xml:space="preserve"> </w:t>
      </w:r>
      <w:r w:rsidRPr="00CE5AA1">
        <w:rPr>
          <w:rFonts w:ascii="Arial"/>
          <w:spacing w:val="-1"/>
          <w:sz w:val="18"/>
          <w:highlight w:val="green"/>
        </w:rPr>
        <w:t>and/or</w:t>
      </w:r>
      <w:r w:rsidRPr="00CE5AA1">
        <w:rPr>
          <w:rFonts w:ascii="Arial"/>
          <w:spacing w:val="17"/>
          <w:sz w:val="18"/>
          <w:highlight w:val="green"/>
        </w:rPr>
        <w:t xml:space="preserve"> </w:t>
      </w:r>
      <w:r w:rsidRPr="00CE5AA1">
        <w:rPr>
          <w:rFonts w:ascii="Arial"/>
          <w:spacing w:val="-1"/>
          <w:sz w:val="18"/>
          <w:highlight w:val="green"/>
        </w:rPr>
        <w:t>Additional</w:t>
      </w:r>
      <w:r w:rsidRPr="00CE5AA1">
        <w:rPr>
          <w:rFonts w:ascii="Arial"/>
          <w:spacing w:val="18"/>
          <w:sz w:val="18"/>
          <w:highlight w:val="green"/>
        </w:rPr>
        <w:t xml:space="preserve"> </w:t>
      </w:r>
      <w:r w:rsidRPr="00CE5AA1">
        <w:rPr>
          <w:rFonts w:ascii="Arial"/>
          <w:spacing w:val="-1"/>
          <w:sz w:val="18"/>
          <w:highlight w:val="green"/>
        </w:rPr>
        <w:t>Clauses)</w:t>
      </w:r>
      <w:r w:rsidRPr="00CE5AA1">
        <w:rPr>
          <w:rFonts w:ascii="Arial"/>
          <w:spacing w:val="14"/>
          <w:sz w:val="18"/>
          <w:highlight w:val="green"/>
        </w:rPr>
        <w:t xml:space="preserve"> </w:t>
      </w:r>
      <w:r w:rsidRPr="00CE5AA1">
        <w:rPr>
          <w:rFonts w:ascii="Arial"/>
          <w:sz w:val="18"/>
          <w:highlight w:val="green"/>
        </w:rPr>
        <w:t>but</w:t>
      </w:r>
      <w:r w:rsidRPr="00CE5AA1">
        <w:rPr>
          <w:rFonts w:ascii="Arial"/>
          <w:spacing w:val="81"/>
          <w:sz w:val="18"/>
          <w:highlight w:val="green"/>
        </w:rPr>
        <w:t xml:space="preserve"> </w:t>
      </w:r>
      <w:r w:rsidRPr="00CE5AA1">
        <w:rPr>
          <w:rFonts w:ascii="Arial"/>
          <w:spacing w:val="-1"/>
          <w:sz w:val="18"/>
          <w:highlight w:val="green"/>
        </w:rPr>
        <w:t>cannot</w:t>
      </w:r>
      <w:r w:rsidRPr="00CE5AA1">
        <w:rPr>
          <w:rFonts w:ascii="Arial"/>
          <w:spacing w:val="29"/>
          <w:sz w:val="18"/>
          <w:highlight w:val="green"/>
        </w:rPr>
        <w:t xml:space="preserve"> </w:t>
      </w:r>
      <w:r w:rsidRPr="00CE5AA1">
        <w:rPr>
          <w:rFonts w:ascii="Arial"/>
          <w:spacing w:val="-1"/>
          <w:sz w:val="18"/>
          <w:highlight w:val="green"/>
        </w:rPr>
        <w:t>materially</w:t>
      </w:r>
      <w:r w:rsidRPr="00CE5AA1">
        <w:rPr>
          <w:rFonts w:ascii="Arial"/>
          <w:spacing w:val="27"/>
          <w:sz w:val="18"/>
          <w:highlight w:val="green"/>
        </w:rPr>
        <w:t xml:space="preserve"> </w:t>
      </w:r>
      <w:r w:rsidRPr="00CE5AA1">
        <w:rPr>
          <w:rFonts w:ascii="Arial"/>
          <w:sz w:val="18"/>
          <w:highlight w:val="green"/>
        </w:rPr>
        <w:t>depart</w:t>
      </w:r>
      <w:r w:rsidRPr="00CE5AA1">
        <w:rPr>
          <w:rFonts w:ascii="Arial"/>
          <w:spacing w:val="29"/>
          <w:sz w:val="18"/>
          <w:highlight w:val="green"/>
        </w:rPr>
        <w:t xml:space="preserve"> </w:t>
      </w:r>
      <w:r w:rsidRPr="00CE5AA1">
        <w:rPr>
          <w:rFonts w:ascii="Arial"/>
          <w:spacing w:val="-1"/>
          <w:sz w:val="18"/>
          <w:highlight w:val="green"/>
        </w:rPr>
        <w:t>from</w:t>
      </w:r>
      <w:r w:rsidRPr="00CE5AA1">
        <w:rPr>
          <w:rFonts w:ascii="Arial"/>
          <w:spacing w:val="28"/>
          <w:sz w:val="18"/>
          <w:highlight w:val="green"/>
        </w:rPr>
        <w:t xml:space="preserve"> </w:t>
      </w:r>
      <w:r w:rsidRPr="00CE5AA1">
        <w:rPr>
          <w:rFonts w:ascii="Arial"/>
          <w:sz w:val="18"/>
          <w:highlight w:val="green"/>
        </w:rPr>
        <w:t>those</w:t>
      </w:r>
      <w:r w:rsidRPr="00CE5AA1">
        <w:rPr>
          <w:rFonts w:ascii="Arial"/>
          <w:spacing w:val="29"/>
          <w:sz w:val="18"/>
          <w:highlight w:val="green"/>
        </w:rPr>
        <w:t xml:space="preserve"> </w:t>
      </w:r>
      <w:r w:rsidRPr="00CE5AA1">
        <w:rPr>
          <w:rFonts w:ascii="Arial"/>
          <w:spacing w:val="-1"/>
          <w:sz w:val="18"/>
          <w:highlight w:val="green"/>
        </w:rPr>
        <w:t>set</w:t>
      </w:r>
      <w:r w:rsidRPr="00CE5AA1">
        <w:rPr>
          <w:rFonts w:ascii="Arial"/>
          <w:spacing w:val="29"/>
          <w:sz w:val="18"/>
          <w:highlight w:val="green"/>
        </w:rPr>
        <w:t xml:space="preserve"> </w:t>
      </w:r>
      <w:r w:rsidRPr="00CE5AA1">
        <w:rPr>
          <w:rFonts w:ascii="Arial"/>
          <w:sz w:val="18"/>
          <w:highlight w:val="green"/>
        </w:rPr>
        <w:t>by</w:t>
      </w:r>
      <w:r w:rsidRPr="00CE5AA1">
        <w:rPr>
          <w:rFonts w:ascii="Arial"/>
          <w:spacing w:val="27"/>
          <w:sz w:val="18"/>
          <w:highlight w:val="green"/>
        </w:rPr>
        <w:t xml:space="preserve"> </w:t>
      </w:r>
      <w:r w:rsidRPr="00CE5AA1">
        <w:rPr>
          <w:rFonts w:ascii="Arial"/>
          <w:sz w:val="18"/>
          <w:highlight w:val="green"/>
        </w:rPr>
        <w:t>the</w:t>
      </w:r>
      <w:r w:rsidRPr="00CE5AA1">
        <w:rPr>
          <w:rFonts w:ascii="Arial"/>
          <w:spacing w:val="29"/>
          <w:sz w:val="18"/>
          <w:highlight w:val="green"/>
        </w:rPr>
        <w:t xml:space="preserve"> </w:t>
      </w:r>
      <w:r w:rsidRPr="00CE5AA1">
        <w:rPr>
          <w:rFonts w:ascii="Arial"/>
          <w:spacing w:val="-1"/>
          <w:sz w:val="18"/>
          <w:highlight w:val="green"/>
        </w:rPr>
        <w:t>Authority</w:t>
      </w:r>
      <w:r w:rsidRPr="00CE5AA1">
        <w:rPr>
          <w:rFonts w:ascii="Arial"/>
          <w:spacing w:val="27"/>
          <w:sz w:val="18"/>
          <w:highlight w:val="green"/>
        </w:rPr>
        <w:t xml:space="preserve"> </w:t>
      </w:r>
      <w:r w:rsidRPr="00CE5AA1">
        <w:rPr>
          <w:rFonts w:ascii="Arial"/>
          <w:spacing w:val="-1"/>
          <w:sz w:val="18"/>
          <w:highlight w:val="green"/>
        </w:rPr>
        <w:t>at</w:t>
      </w:r>
      <w:r w:rsidRPr="00CE5AA1">
        <w:rPr>
          <w:rFonts w:ascii="Arial"/>
          <w:spacing w:val="29"/>
          <w:sz w:val="18"/>
          <w:highlight w:val="green"/>
        </w:rPr>
        <w:t xml:space="preserve"> </w:t>
      </w:r>
      <w:r w:rsidRPr="00CE5AA1">
        <w:rPr>
          <w:rFonts w:ascii="Arial"/>
          <w:sz w:val="18"/>
          <w:highlight w:val="green"/>
        </w:rPr>
        <w:t>the</w:t>
      </w:r>
      <w:r w:rsidRPr="00CE5AA1">
        <w:rPr>
          <w:rFonts w:ascii="Arial"/>
          <w:spacing w:val="29"/>
          <w:sz w:val="18"/>
          <w:highlight w:val="green"/>
        </w:rPr>
        <w:t xml:space="preserve"> </w:t>
      </w:r>
      <w:r w:rsidRPr="00CE5AA1">
        <w:rPr>
          <w:rFonts w:ascii="Arial"/>
          <w:spacing w:val="-1"/>
          <w:sz w:val="18"/>
          <w:highlight w:val="green"/>
        </w:rPr>
        <w:t>framework</w:t>
      </w:r>
      <w:r w:rsidRPr="00CE5AA1">
        <w:rPr>
          <w:rFonts w:ascii="Arial"/>
          <w:spacing w:val="30"/>
          <w:sz w:val="18"/>
          <w:highlight w:val="green"/>
        </w:rPr>
        <w:t xml:space="preserve"> </w:t>
      </w:r>
      <w:r w:rsidRPr="00CE5AA1">
        <w:rPr>
          <w:rFonts w:ascii="Arial"/>
          <w:spacing w:val="-1"/>
          <w:sz w:val="18"/>
          <w:highlight w:val="green"/>
        </w:rPr>
        <w:t>procurement</w:t>
      </w:r>
      <w:r w:rsidRPr="00CE5AA1">
        <w:rPr>
          <w:rFonts w:ascii="Arial"/>
          <w:spacing w:val="27"/>
          <w:sz w:val="18"/>
          <w:highlight w:val="green"/>
        </w:rPr>
        <w:t xml:space="preserve"> </w:t>
      </w:r>
      <w:r w:rsidRPr="00CE5AA1">
        <w:rPr>
          <w:rFonts w:ascii="Arial"/>
          <w:sz w:val="18"/>
          <w:highlight w:val="green"/>
        </w:rPr>
        <w:t>stage.</w:t>
      </w:r>
      <w:r w:rsidRPr="00CE5AA1">
        <w:rPr>
          <w:rFonts w:ascii="Arial"/>
          <w:spacing w:val="29"/>
          <w:sz w:val="18"/>
          <w:highlight w:val="green"/>
        </w:rPr>
        <w:t xml:space="preserve"> </w:t>
      </w:r>
      <w:r w:rsidRPr="00CE5AA1">
        <w:rPr>
          <w:rFonts w:ascii="Arial"/>
          <w:sz w:val="18"/>
          <w:highlight w:val="green"/>
        </w:rPr>
        <w:t>If</w:t>
      </w:r>
      <w:r w:rsidRPr="00CE5AA1">
        <w:rPr>
          <w:rFonts w:ascii="Arial"/>
          <w:spacing w:val="29"/>
          <w:sz w:val="18"/>
          <w:highlight w:val="green"/>
        </w:rPr>
        <w:t xml:space="preserve"> </w:t>
      </w:r>
      <w:r w:rsidRPr="00CE5AA1">
        <w:rPr>
          <w:rFonts w:ascii="Arial"/>
          <w:spacing w:val="-1"/>
          <w:sz w:val="18"/>
          <w:highlight w:val="green"/>
        </w:rPr>
        <w:t>Alternative</w:t>
      </w:r>
      <w:r w:rsidRPr="00CE5AA1">
        <w:rPr>
          <w:rFonts w:ascii="Arial"/>
          <w:spacing w:val="97"/>
          <w:sz w:val="18"/>
          <w:highlight w:val="green"/>
        </w:rPr>
        <w:t xml:space="preserve"> </w:t>
      </w:r>
      <w:r w:rsidRPr="00CE5AA1">
        <w:rPr>
          <w:rFonts w:ascii="Arial"/>
          <w:spacing w:val="-1"/>
          <w:sz w:val="18"/>
          <w:highlight w:val="green"/>
        </w:rPr>
        <w:t>Clauses</w:t>
      </w:r>
      <w:r w:rsidRPr="00CE5AA1">
        <w:rPr>
          <w:rFonts w:ascii="Arial"/>
          <w:spacing w:val="1"/>
          <w:sz w:val="18"/>
          <w:highlight w:val="green"/>
        </w:rPr>
        <w:t xml:space="preserve"> </w:t>
      </w:r>
      <w:r w:rsidRPr="00CE5AA1">
        <w:rPr>
          <w:rFonts w:ascii="Arial"/>
          <w:spacing w:val="-1"/>
          <w:sz w:val="18"/>
          <w:highlight w:val="green"/>
        </w:rPr>
        <w:t>are</w:t>
      </w:r>
      <w:r w:rsidRPr="00CE5AA1">
        <w:rPr>
          <w:rFonts w:ascii="Arial"/>
          <w:spacing w:val="1"/>
          <w:sz w:val="18"/>
          <w:highlight w:val="green"/>
        </w:rPr>
        <w:t xml:space="preserve"> </w:t>
      </w:r>
      <w:r w:rsidRPr="00CE5AA1">
        <w:rPr>
          <w:rFonts w:ascii="Arial"/>
          <w:spacing w:val="-1"/>
          <w:sz w:val="18"/>
          <w:highlight w:val="green"/>
        </w:rPr>
        <w:t>selected,</w:t>
      </w:r>
      <w:r w:rsidRPr="00CE5AA1">
        <w:rPr>
          <w:rFonts w:ascii="Arial"/>
          <w:sz w:val="18"/>
          <w:highlight w:val="green"/>
        </w:rPr>
        <w:t xml:space="preserve"> </w:t>
      </w:r>
      <w:r w:rsidRPr="00CE5AA1">
        <w:rPr>
          <w:rFonts w:ascii="Arial"/>
          <w:spacing w:val="-1"/>
          <w:sz w:val="18"/>
          <w:highlight w:val="green"/>
        </w:rPr>
        <w:t>please</w:t>
      </w:r>
      <w:r w:rsidRPr="00CE5AA1">
        <w:rPr>
          <w:rFonts w:ascii="Arial"/>
          <w:spacing w:val="1"/>
          <w:sz w:val="18"/>
          <w:highlight w:val="green"/>
        </w:rPr>
        <w:t xml:space="preserve"> </w:t>
      </w:r>
      <w:r w:rsidRPr="00CE5AA1">
        <w:rPr>
          <w:rFonts w:ascii="Arial"/>
          <w:spacing w:val="-1"/>
          <w:sz w:val="18"/>
          <w:highlight w:val="green"/>
        </w:rPr>
        <w:t>refer</w:t>
      </w:r>
      <w:r w:rsidRPr="00CE5AA1">
        <w:rPr>
          <w:rFonts w:ascii="Arial"/>
          <w:sz w:val="18"/>
          <w:highlight w:val="green"/>
        </w:rPr>
        <w:t xml:space="preserve"> to</w:t>
      </w:r>
      <w:r w:rsidRPr="00CE5AA1">
        <w:rPr>
          <w:rFonts w:ascii="Arial"/>
          <w:spacing w:val="-2"/>
          <w:sz w:val="18"/>
          <w:highlight w:val="green"/>
        </w:rPr>
        <w:t xml:space="preserve"> </w:t>
      </w:r>
      <w:r w:rsidRPr="00CE5AA1">
        <w:rPr>
          <w:rFonts w:ascii="Arial"/>
          <w:spacing w:val="-1"/>
          <w:sz w:val="18"/>
          <w:highlight w:val="green"/>
        </w:rPr>
        <w:t>them</w:t>
      </w:r>
      <w:r w:rsidRPr="00CE5AA1">
        <w:rPr>
          <w:rFonts w:ascii="Arial"/>
          <w:spacing w:val="1"/>
          <w:sz w:val="18"/>
          <w:highlight w:val="green"/>
        </w:rPr>
        <w:t xml:space="preserve"> </w:t>
      </w:r>
      <w:r w:rsidRPr="00CE5AA1">
        <w:rPr>
          <w:rFonts w:ascii="Arial"/>
          <w:spacing w:val="-1"/>
          <w:sz w:val="18"/>
          <w:highlight w:val="green"/>
        </w:rPr>
        <w:t>in</w:t>
      </w:r>
      <w:r w:rsidRPr="00CE5AA1">
        <w:rPr>
          <w:rFonts w:ascii="Arial"/>
          <w:spacing w:val="1"/>
          <w:sz w:val="18"/>
          <w:highlight w:val="green"/>
        </w:rPr>
        <w:t xml:space="preserve"> </w:t>
      </w:r>
      <w:r w:rsidRPr="00CE5AA1">
        <w:rPr>
          <w:rFonts w:ascii="Arial"/>
          <w:spacing w:val="-1"/>
          <w:sz w:val="18"/>
          <w:highlight w:val="green"/>
        </w:rPr>
        <w:t>Paragraph</w:t>
      </w:r>
      <w:r w:rsidRPr="00CE5AA1">
        <w:rPr>
          <w:rFonts w:ascii="Arial"/>
          <w:spacing w:val="-2"/>
          <w:sz w:val="18"/>
          <w:highlight w:val="green"/>
        </w:rPr>
        <w:t xml:space="preserve"> </w:t>
      </w:r>
      <w:hyperlink w:anchor="_bookmark41" w:history="1">
        <w:r w:rsidRPr="00CE5AA1">
          <w:rPr>
            <w:rFonts w:ascii="Arial"/>
            <w:sz w:val="18"/>
            <w:highlight w:val="green"/>
          </w:rPr>
          <w:t>7.3</w:t>
        </w:r>
      </w:hyperlink>
      <w:r w:rsidRPr="00CE5AA1">
        <w:rPr>
          <w:rFonts w:ascii="Arial"/>
          <w:spacing w:val="-2"/>
          <w:sz w:val="18"/>
          <w:highlight w:val="green"/>
        </w:rPr>
        <w:t xml:space="preserve"> </w:t>
      </w:r>
      <w:r w:rsidRPr="00CE5AA1">
        <w:rPr>
          <w:rFonts w:ascii="Arial"/>
          <w:sz w:val="18"/>
          <w:highlight w:val="green"/>
        </w:rPr>
        <w:t>of the</w:t>
      </w:r>
      <w:r w:rsidRPr="00CE5AA1">
        <w:rPr>
          <w:rFonts w:ascii="Arial"/>
          <w:spacing w:val="1"/>
          <w:sz w:val="18"/>
          <w:highlight w:val="green"/>
        </w:rPr>
        <w:t xml:space="preserve"> </w:t>
      </w:r>
      <w:r w:rsidRPr="00CE5AA1">
        <w:rPr>
          <w:rFonts w:ascii="Arial"/>
          <w:spacing w:val="-1"/>
          <w:sz w:val="18"/>
          <w:highlight w:val="green"/>
        </w:rPr>
        <w:t>Template</w:t>
      </w:r>
      <w:r w:rsidRPr="00CE5AA1">
        <w:rPr>
          <w:rFonts w:ascii="Arial"/>
          <w:spacing w:val="1"/>
          <w:sz w:val="18"/>
          <w:highlight w:val="green"/>
        </w:rPr>
        <w:t xml:space="preserve"> </w:t>
      </w:r>
      <w:r w:rsidRPr="00CE5AA1">
        <w:rPr>
          <w:rFonts w:ascii="Arial"/>
          <w:spacing w:val="-1"/>
          <w:sz w:val="18"/>
          <w:highlight w:val="green"/>
        </w:rPr>
        <w:t>Order</w:t>
      </w:r>
      <w:r w:rsidRPr="00CE5AA1">
        <w:rPr>
          <w:rFonts w:ascii="Arial"/>
          <w:spacing w:val="-2"/>
          <w:sz w:val="18"/>
          <w:highlight w:val="green"/>
        </w:rPr>
        <w:t xml:space="preserve"> </w:t>
      </w:r>
      <w:r w:rsidRPr="00CE5AA1">
        <w:rPr>
          <w:rFonts w:ascii="Arial"/>
          <w:spacing w:val="-1"/>
          <w:sz w:val="18"/>
          <w:highlight w:val="green"/>
        </w:rPr>
        <w:t>Form]</w:t>
      </w:r>
    </w:p>
    <w:p w:rsidR="008918FA" w:rsidRDefault="008918FA" w:rsidP="008918FA">
      <w:pPr>
        <w:spacing w:before="8"/>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002D3A9E" wp14:editId="622E7C63">
                <wp:extent cx="5659120" cy="539115"/>
                <wp:effectExtent l="3810" t="635" r="4445" b="3175"/>
                <wp:docPr id="7074" name="Group 7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539115"/>
                          <a:chOff x="0" y="0"/>
                          <a:chExt cx="8912" cy="849"/>
                        </a:xfrm>
                      </wpg:grpSpPr>
                      <wpg:grpSp>
                        <wpg:cNvPr id="7075" name="Group 7074"/>
                        <wpg:cNvGrpSpPr>
                          <a:grpSpLocks/>
                        </wpg:cNvGrpSpPr>
                        <wpg:grpSpPr bwMode="auto">
                          <a:xfrm>
                            <a:off x="204" y="20"/>
                            <a:ext cx="8705" cy="207"/>
                            <a:chOff x="204" y="20"/>
                            <a:chExt cx="8705" cy="207"/>
                          </a:xfrm>
                        </wpg:grpSpPr>
                        <wps:wsp>
                          <wps:cNvPr id="7076" name="Freeform 7075"/>
                          <wps:cNvSpPr>
                            <a:spLocks/>
                          </wps:cNvSpPr>
                          <wps:spPr bwMode="auto">
                            <a:xfrm>
                              <a:off x="204" y="20"/>
                              <a:ext cx="8705" cy="207"/>
                            </a:xfrm>
                            <a:custGeom>
                              <a:avLst/>
                              <a:gdLst>
                                <a:gd name="T0" fmla="+- 0 204 204"/>
                                <a:gd name="T1" fmla="*/ T0 w 8705"/>
                                <a:gd name="T2" fmla="+- 0 227 20"/>
                                <a:gd name="T3" fmla="*/ 227 h 207"/>
                                <a:gd name="T4" fmla="+- 0 8909 204"/>
                                <a:gd name="T5" fmla="*/ T4 w 8705"/>
                                <a:gd name="T6" fmla="+- 0 227 20"/>
                                <a:gd name="T7" fmla="*/ 227 h 207"/>
                                <a:gd name="T8" fmla="+- 0 8909 204"/>
                                <a:gd name="T9" fmla="*/ T8 w 8705"/>
                                <a:gd name="T10" fmla="+- 0 20 20"/>
                                <a:gd name="T11" fmla="*/ 20 h 207"/>
                                <a:gd name="T12" fmla="+- 0 204 204"/>
                                <a:gd name="T13" fmla="*/ T12 w 8705"/>
                                <a:gd name="T14" fmla="+- 0 20 20"/>
                                <a:gd name="T15" fmla="*/ 20 h 207"/>
                                <a:gd name="T16" fmla="+- 0 204 204"/>
                                <a:gd name="T17" fmla="*/ T16 w 8705"/>
                                <a:gd name="T18" fmla="+- 0 227 20"/>
                                <a:gd name="T19" fmla="*/ 227 h 207"/>
                              </a:gdLst>
                              <a:ahLst/>
                              <a:cxnLst>
                                <a:cxn ang="0">
                                  <a:pos x="T1" y="T3"/>
                                </a:cxn>
                                <a:cxn ang="0">
                                  <a:pos x="T5" y="T7"/>
                                </a:cxn>
                                <a:cxn ang="0">
                                  <a:pos x="T9" y="T11"/>
                                </a:cxn>
                                <a:cxn ang="0">
                                  <a:pos x="T13" y="T15"/>
                                </a:cxn>
                                <a:cxn ang="0">
                                  <a:pos x="T17" y="T19"/>
                                </a:cxn>
                              </a:cxnLst>
                              <a:rect l="0" t="0" r="r" b="b"/>
                              <a:pathLst>
                                <a:path w="8705" h="207">
                                  <a:moveTo>
                                    <a:pt x="0" y="207"/>
                                  </a:moveTo>
                                  <a:lnTo>
                                    <a:pt x="8705" y="207"/>
                                  </a:lnTo>
                                  <a:lnTo>
                                    <a:pt x="8705"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7" name="Group 7072"/>
                        <wpg:cNvGrpSpPr>
                          <a:grpSpLocks/>
                        </wpg:cNvGrpSpPr>
                        <wpg:grpSpPr bwMode="auto">
                          <a:xfrm>
                            <a:off x="0" y="227"/>
                            <a:ext cx="8909" cy="209"/>
                            <a:chOff x="0" y="227"/>
                            <a:chExt cx="8909" cy="209"/>
                          </a:xfrm>
                        </wpg:grpSpPr>
                        <wps:wsp>
                          <wps:cNvPr id="7078" name="Freeform 7073"/>
                          <wps:cNvSpPr>
                            <a:spLocks/>
                          </wps:cNvSpPr>
                          <wps:spPr bwMode="auto">
                            <a:xfrm>
                              <a:off x="0" y="227"/>
                              <a:ext cx="8909" cy="209"/>
                            </a:xfrm>
                            <a:custGeom>
                              <a:avLst/>
                              <a:gdLst>
                                <a:gd name="T0" fmla="*/ 0 w 8909"/>
                                <a:gd name="T1" fmla="+- 0 436 227"/>
                                <a:gd name="T2" fmla="*/ 436 h 209"/>
                                <a:gd name="T3" fmla="*/ 8909 w 8909"/>
                                <a:gd name="T4" fmla="+- 0 436 227"/>
                                <a:gd name="T5" fmla="*/ 436 h 209"/>
                                <a:gd name="T6" fmla="*/ 8909 w 8909"/>
                                <a:gd name="T7" fmla="+- 0 227 227"/>
                                <a:gd name="T8" fmla="*/ 227 h 209"/>
                                <a:gd name="T9" fmla="*/ 0 w 8909"/>
                                <a:gd name="T10" fmla="+- 0 227 227"/>
                                <a:gd name="T11" fmla="*/ 227 h 209"/>
                                <a:gd name="T12" fmla="*/ 0 w 8909"/>
                                <a:gd name="T13" fmla="+- 0 436 227"/>
                                <a:gd name="T14" fmla="*/ 436 h 209"/>
                              </a:gdLst>
                              <a:ahLst/>
                              <a:cxnLst>
                                <a:cxn ang="0">
                                  <a:pos x="T0" y="T2"/>
                                </a:cxn>
                                <a:cxn ang="0">
                                  <a:pos x="T3" y="T5"/>
                                </a:cxn>
                                <a:cxn ang="0">
                                  <a:pos x="T6" y="T8"/>
                                </a:cxn>
                                <a:cxn ang="0">
                                  <a:pos x="T9" y="T11"/>
                                </a:cxn>
                                <a:cxn ang="0">
                                  <a:pos x="T12" y="T14"/>
                                </a:cxn>
                              </a:cxnLst>
                              <a:rect l="0" t="0" r="r" b="b"/>
                              <a:pathLst>
                                <a:path w="8909" h="209">
                                  <a:moveTo>
                                    <a:pt x="0" y="209"/>
                                  </a:moveTo>
                                  <a:lnTo>
                                    <a:pt x="8909" y="209"/>
                                  </a:lnTo>
                                  <a:lnTo>
                                    <a:pt x="8909" y="0"/>
                                  </a:lnTo>
                                  <a:lnTo>
                                    <a:pt x="0" y="0"/>
                                  </a:lnTo>
                                  <a:lnTo>
                                    <a:pt x="0" y="20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9" name="Group 7070"/>
                        <wpg:cNvGrpSpPr>
                          <a:grpSpLocks/>
                        </wpg:cNvGrpSpPr>
                        <wpg:grpSpPr bwMode="auto">
                          <a:xfrm>
                            <a:off x="0" y="436"/>
                            <a:ext cx="8909" cy="207"/>
                            <a:chOff x="0" y="436"/>
                            <a:chExt cx="8909" cy="207"/>
                          </a:xfrm>
                        </wpg:grpSpPr>
                        <wps:wsp>
                          <wps:cNvPr id="7080" name="Freeform 7071"/>
                          <wps:cNvSpPr>
                            <a:spLocks/>
                          </wps:cNvSpPr>
                          <wps:spPr bwMode="auto">
                            <a:xfrm>
                              <a:off x="0" y="436"/>
                              <a:ext cx="8909" cy="207"/>
                            </a:xfrm>
                            <a:custGeom>
                              <a:avLst/>
                              <a:gdLst>
                                <a:gd name="T0" fmla="*/ 0 w 8909"/>
                                <a:gd name="T1" fmla="+- 0 642 436"/>
                                <a:gd name="T2" fmla="*/ 642 h 207"/>
                                <a:gd name="T3" fmla="*/ 8909 w 8909"/>
                                <a:gd name="T4" fmla="+- 0 642 436"/>
                                <a:gd name="T5" fmla="*/ 642 h 207"/>
                                <a:gd name="T6" fmla="*/ 8909 w 8909"/>
                                <a:gd name="T7" fmla="+- 0 436 436"/>
                                <a:gd name="T8" fmla="*/ 436 h 207"/>
                                <a:gd name="T9" fmla="*/ 0 w 8909"/>
                                <a:gd name="T10" fmla="+- 0 436 436"/>
                                <a:gd name="T11" fmla="*/ 436 h 207"/>
                                <a:gd name="T12" fmla="*/ 0 w 8909"/>
                                <a:gd name="T13" fmla="+- 0 642 436"/>
                                <a:gd name="T14" fmla="*/ 642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1" name="Group 7067"/>
                        <wpg:cNvGrpSpPr>
                          <a:grpSpLocks/>
                        </wpg:cNvGrpSpPr>
                        <wpg:grpSpPr bwMode="auto">
                          <a:xfrm>
                            <a:off x="0" y="642"/>
                            <a:ext cx="411" cy="207"/>
                            <a:chOff x="0" y="642"/>
                            <a:chExt cx="411" cy="207"/>
                          </a:xfrm>
                        </wpg:grpSpPr>
                        <wps:wsp>
                          <wps:cNvPr id="7082" name="Freeform 7069"/>
                          <wps:cNvSpPr>
                            <a:spLocks/>
                          </wps:cNvSpPr>
                          <wps:spPr bwMode="auto">
                            <a:xfrm>
                              <a:off x="0" y="642"/>
                              <a:ext cx="411" cy="207"/>
                            </a:xfrm>
                            <a:custGeom>
                              <a:avLst/>
                              <a:gdLst>
                                <a:gd name="T0" fmla="*/ 0 w 411"/>
                                <a:gd name="T1" fmla="+- 0 848 642"/>
                                <a:gd name="T2" fmla="*/ 848 h 207"/>
                                <a:gd name="T3" fmla="*/ 410 w 411"/>
                                <a:gd name="T4" fmla="+- 0 848 642"/>
                                <a:gd name="T5" fmla="*/ 848 h 207"/>
                                <a:gd name="T6" fmla="*/ 410 w 411"/>
                                <a:gd name="T7" fmla="+- 0 642 642"/>
                                <a:gd name="T8" fmla="*/ 642 h 207"/>
                                <a:gd name="T9" fmla="*/ 0 w 411"/>
                                <a:gd name="T10" fmla="+- 0 642 642"/>
                                <a:gd name="T11" fmla="*/ 642 h 207"/>
                                <a:gd name="T12" fmla="*/ 0 w 411"/>
                                <a:gd name="T13" fmla="+- 0 848 642"/>
                                <a:gd name="T14" fmla="*/ 848 h 207"/>
                              </a:gdLst>
                              <a:ahLst/>
                              <a:cxnLst>
                                <a:cxn ang="0">
                                  <a:pos x="T0" y="T2"/>
                                </a:cxn>
                                <a:cxn ang="0">
                                  <a:pos x="T3" y="T5"/>
                                </a:cxn>
                                <a:cxn ang="0">
                                  <a:pos x="T6" y="T8"/>
                                </a:cxn>
                                <a:cxn ang="0">
                                  <a:pos x="T9" y="T11"/>
                                </a:cxn>
                                <a:cxn ang="0">
                                  <a:pos x="T12" y="T14"/>
                                </a:cxn>
                              </a:cxnLst>
                              <a:rect l="0" t="0" r="r" b="b"/>
                              <a:pathLst>
                                <a:path w="411" h="207">
                                  <a:moveTo>
                                    <a:pt x="0" y="206"/>
                                  </a:moveTo>
                                  <a:lnTo>
                                    <a:pt x="410" y="206"/>
                                  </a:lnTo>
                                  <a:lnTo>
                                    <a:pt x="410"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3" name="Text Box 7068"/>
                          <wps:cNvSpPr txBox="1">
                            <a:spLocks noChangeArrowheads="1"/>
                          </wps:cNvSpPr>
                          <wps:spPr bwMode="auto">
                            <a:xfrm>
                              <a:off x="0" y="0"/>
                              <a:ext cx="8912"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3" w:line="206" w:lineRule="exact"/>
                                  <w:rPr>
                                    <w:rFonts w:ascii="Arial" w:eastAsia="Arial" w:hAnsi="Arial" w:cs="Arial"/>
                                    <w:sz w:val="18"/>
                                    <w:szCs w:val="18"/>
                                  </w:rPr>
                                </w:pPr>
                                <w:r>
                                  <w:rPr>
                                    <w:rFonts w:ascii="Arial"/>
                                    <w:position w:val="9"/>
                                    <w:sz w:val="12"/>
                                  </w:rPr>
                                  <w:t xml:space="preserve">38 </w:t>
                                </w:r>
                                <w:r>
                                  <w:rPr>
                                    <w:rFonts w:ascii="Arial"/>
                                    <w:spacing w:val="3"/>
                                    <w:position w:val="9"/>
                                    <w:sz w:val="12"/>
                                  </w:rPr>
                                  <w:t xml:space="preserve"> </w:t>
                                </w:r>
                                <w:bookmarkStart w:id="30" w:name="_bookmark38"/>
                                <w:bookmarkEnd w:id="30"/>
                                <w:r>
                                  <w:rPr>
                                    <w:rFonts w:ascii="Arial"/>
                                    <w:spacing w:val="-1"/>
                                    <w:sz w:val="18"/>
                                  </w:rPr>
                                  <w:t>[Guidance</w:t>
                                </w:r>
                                <w:r>
                                  <w:rPr>
                                    <w:rFonts w:ascii="Arial"/>
                                    <w:spacing w:val="18"/>
                                    <w:sz w:val="18"/>
                                  </w:rPr>
                                  <w:t xml:space="preserve"> </w:t>
                                </w:r>
                                <w:r>
                                  <w:rPr>
                                    <w:rFonts w:ascii="Arial"/>
                                    <w:spacing w:val="-1"/>
                                    <w:sz w:val="18"/>
                                  </w:rPr>
                                  <w:t>Note:</w:t>
                                </w:r>
                                <w:r>
                                  <w:rPr>
                                    <w:rFonts w:ascii="Arial"/>
                                    <w:spacing w:val="17"/>
                                    <w:sz w:val="18"/>
                                  </w:rPr>
                                  <w:t xml:space="preserve"> </w:t>
                                </w:r>
                                <w:r>
                                  <w:rPr>
                                    <w:rFonts w:ascii="Arial"/>
                                    <w:sz w:val="18"/>
                                  </w:rPr>
                                  <w:t>See</w:t>
                                </w:r>
                                <w:r>
                                  <w:rPr>
                                    <w:rFonts w:ascii="Arial"/>
                                    <w:spacing w:val="18"/>
                                    <w:sz w:val="18"/>
                                  </w:rPr>
                                  <w:t xml:space="preserve"> </w:t>
                                </w:r>
                                <w:r>
                                  <w:rPr>
                                    <w:rFonts w:ascii="Arial"/>
                                    <w:spacing w:val="-1"/>
                                    <w:sz w:val="18"/>
                                  </w:rPr>
                                  <w:t>Clause</w:t>
                                </w:r>
                                <w:r>
                                  <w:rPr>
                                    <w:rFonts w:ascii="Arial"/>
                                    <w:spacing w:val="17"/>
                                    <w:sz w:val="18"/>
                                  </w:rPr>
                                  <w:t xml:space="preserve"> </w:t>
                                </w:r>
                                <w:hyperlink w:anchor="_bookmark211" w:history="1">
                                  <w:r>
                                    <w:rPr>
                                      <w:rFonts w:ascii="Arial"/>
                                      <w:sz w:val="18"/>
                                    </w:rPr>
                                    <w:t>37</w:t>
                                  </w:r>
                                </w:hyperlink>
                                <w:r>
                                  <w:rPr>
                                    <w:rFonts w:ascii="Arial"/>
                                    <w:spacing w:val="20"/>
                                    <w:sz w:val="18"/>
                                  </w:rPr>
                                  <w:t xml:space="preserve"> </w:t>
                                </w:r>
                                <w:r>
                                  <w:rPr>
                                    <w:rFonts w:ascii="Arial"/>
                                    <w:spacing w:val="-1"/>
                                    <w:sz w:val="18"/>
                                  </w:rPr>
                                  <w:t>of</w:t>
                                </w:r>
                                <w:r>
                                  <w:rPr>
                                    <w:rFonts w:ascii="Arial"/>
                                    <w:spacing w:val="19"/>
                                    <w:sz w:val="18"/>
                                  </w:rPr>
                                  <w:t xml:space="preserve"> </w:t>
                                </w:r>
                                <w:r>
                                  <w:rPr>
                                    <w:rFonts w:ascii="Arial"/>
                                    <w:spacing w:val="-1"/>
                                    <w:sz w:val="18"/>
                                  </w:rPr>
                                  <w:t>the</w:t>
                                </w:r>
                                <w:r>
                                  <w:rPr>
                                    <w:rFonts w:ascii="Arial"/>
                                    <w:spacing w:val="20"/>
                                    <w:sz w:val="18"/>
                                  </w:rPr>
                                  <w:t xml:space="preserve"> </w:t>
                                </w:r>
                                <w:r>
                                  <w:rPr>
                                    <w:rFonts w:ascii="Arial"/>
                                    <w:spacing w:val="-1"/>
                                    <w:sz w:val="18"/>
                                  </w:rPr>
                                  <w:t>Template</w:t>
                                </w:r>
                                <w:r>
                                  <w:rPr>
                                    <w:rFonts w:ascii="Arial"/>
                                    <w:spacing w:val="18"/>
                                    <w:sz w:val="18"/>
                                  </w:rPr>
                                  <w:t xml:space="preserve"> </w:t>
                                </w:r>
                                <w:r>
                                  <w:rPr>
                                    <w:rFonts w:ascii="Arial"/>
                                    <w:spacing w:val="-1"/>
                                    <w:sz w:val="18"/>
                                  </w:rPr>
                                  <w:t>Call</w:t>
                                </w:r>
                                <w:r>
                                  <w:rPr>
                                    <w:rFonts w:ascii="Arial"/>
                                    <w:spacing w:val="18"/>
                                    <w:sz w:val="18"/>
                                  </w:rPr>
                                  <w:t xml:space="preserve"> </w:t>
                                </w:r>
                                <w:r>
                                  <w:rPr>
                                    <w:rFonts w:ascii="Arial"/>
                                    <w:spacing w:val="-1"/>
                                    <w:sz w:val="18"/>
                                  </w:rPr>
                                  <w:t>Off</w:t>
                                </w:r>
                                <w:r>
                                  <w:rPr>
                                    <w:rFonts w:ascii="Arial"/>
                                    <w:spacing w:val="17"/>
                                    <w:sz w:val="18"/>
                                  </w:rPr>
                                  <w:t xml:space="preserve"> </w:t>
                                </w:r>
                                <w:r>
                                  <w:rPr>
                                    <w:rFonts w:ascii="Arial"/>
                                    <w:sz w:val="18"/>
                                  </w:rPr>
                                  <w:t>Terms.</w:t>
                                </w:r>
                                <w:r>
                                  <w:rPr>
                                    <w:rFonts w:ascii="Arial"/>
                                    <w:spacing w:val="19"/>
                                    <w:sz w:val="18"/>
                                  </w:rPr>
                                  <w:t xml:space="preserve"> </w:t>
                                </w:r>
                                <w:r>
                                  <w:rPr>
                                    <w:rFonts w:ascii="Arial"/>
                                    <w:sz w:val="18"/>
                                  </w:rPr>
                                  <w:t>If</w:t>
                                </w:r>
                                <w:r>
                                  <w:rPr>
                                    <w:rFonts w:ascii="Arial"/>
                                    <w:spacing w:val="17"/>
                                    <w:sz w:val="18"/>
                                  </w:rPr>
                                  <w:t xml:space="preserve"> </w:t>
                                </w:r>
                                <w:r>
                                  <w:rPr>
                                    <w:rFonts w:ascii="Arial"/>
                                    <w:spacing w:val="-1"/>
                                    <w:sz w:val="18"/>
                                  </w:rPr>
                                  <w:t>stipulated</w:t>
                                </w:r>
                                <w:r>
                                  <w:rPr>
                                    <w:rFonts w:ascii="Arial"/>
                                    <w:spacing w:val="20"/>
                                    <w:sz w:val="18"/>
                                  </w:rPr>
                                  <w:t xml:space="preserve"> </w:t>
                                </w:r>
                                <w:r>
                                  <w:rPr>
                                    <w:rFonts w:ascii="Arial"/>
                                    <w:spacing w:val="-1"/>
                                    <w:sz w:val="18"/>
                                  </w:rPr>
                                  <w:t>during</w:t>
                                </w:r>
                                <w:r>
                                  <w:rPr>
                                    <w:rFonts w:ascii="Arial"/>
                                    <w:spacing w:val="18"/>
                                    <w:sz w:val="18"/>
                                  </w:rPr>
                                  <w:t xml:space="preserve"> </w:t>
                                </w:r>
                                <w:r>
                                  <w:rPr>
                                    <w:rFonts w:ascii="Arial"/>
                                    <w:sz w:val="18"/>
                                  </w:rPr>
                                  <w:t>a</w:t>
                                </w:r>
                                <w:r>
                                  <w:rPr>
                                    <w:rFonts w:ascii="Arial"/>
                                    <w:spacing w:val="17"/>
                                    <w:sz w:val="18"/>
                                  </w:rPr>
                                  <w:t xml:space="preserve"> </w:t>
                                </w:r>
                                <w:r>
                                  <w:rPr>
                                    <w:rFonts w:ascii="Arial"/>
                                    <w:sz w:val="18"/>
                                  </w:rPr>
                                  <w:t>Further</w:t>
                                </w:r>
                                <w:r>
                                  <w:rPr>
                                    <w:rFonts w:ascii="Arial"/>
                                    <w:spacing w:val="17"/>
                                    <w:sz w:val="18"/>
                                  </w:rPr>
                                  <w:t xml:space="preserve"> </w:t>
                                </w:r>
                                <w:r>
                                  <w:rPr>
                                    <w:rFonts w:ascii="Arial"/>
                                    <w:spacing w:val="-1"/>
                                    <w:sz w:val="18"/>
                                  </w:rPr>
                                  <w:t>Competition</w:t>
                                </w:r>
                                <w:r>
                                  <w:rPr>
                                    <w:rFonts w:ascii="Arial"/>
                                    <w:spacing w:val="79"/>
                                    <w:sz w:val="18"/>
                                  </w:rPr>
                                  <w:t xml:space="preserve"> </w:t>
                                </w:r>
                                <w:r>
                                  <w:rPr>
                                    <w:rFonts w:ascii="Arial"/>
                                    <w:spacing w:val="-1"/>
                                    <w:sz w:val="18"/>
                                  </w:rPr>
                                  <w:t>Procedure,</w:t>
                                </w:r>
                                <w:r>
                                  <w:rPr>
                                    <w:rFonts w:ascii="Arial"/>
                                    <w:sz w:val="18"/>
                                  </w:rPr>
                                  <w:t xml:space="preserve"> </w:t>
                                </w:r>
                                <w:r>
                                  <w:rPr>
                                    <w:rFonts w:ascii="Arial"/>
                                    <w:spacing w:val="3"/>
                                    <w:sz w:val="18"/>
                                  </w:rPr>
                                  <w:t xml:space="preserve"> </w:t>
                                </w:r>
                                <w:r>
                                  <w:rPr>
                                    <w:rFonts w:ascii="Arial"/>
                                    <w:spacing w:val="-1"/>
                                    <w:sz w:val="18"/>
                                  </w:rPr>
                                  <w:t>include</w:t>
                                </w:r>
                                <w:r>
                                  <w:rPr>
                                    <w:rFonts w:ascii="Arial"/>
                                    <w:sz w:val="18"/>
                                  </w:rPr>
                                  <w:t xml:space="preserve"> </w:t>
                                </w:r>
                                <w:r>
                                  <w:rPr>
                                    <w:rFonts w:ascii="Arial"/>
                                    <w:spacing w:val="3"/>
                                    <w:sz w:val="18"/>
                                  </w:rPr>
                                  <w:t xml:space="preserve"> </w:t>
                                </w:r>
                                <w:r>
                                  <w:rPr>
                                    <w:rFonts w:ascii="Arial"/>
                                    <w:spacing w:val="-1"/>
                                    <w:sz w:val="18"/>
                                  </w:rPr>
                                  <w:t>your</w:t>
                                </w:r>
                                <w:r>
                                  <w:rPr>
                                    <w:rFonts w:ascii="Arial"/>
                                    <w:sz w:val="18"/>
                                  </w:rPr>
                                  <w:t xml:space="preserve"> </w:t>
                                </w:r>
                                <w:r>
                                  <w:rPr>
                                    <w:rFonts w:ascii="Arial"/>
                                    <w:spacing w:val="3"/>
                                    <w:sz w:val="18"/>
                                  </w:rPr>
                                  <w:t xml:space="preserve"> </w:t>
                                </w:r>
                                <w:r>
                                  <w:rPr>
                                    <w:rFonts w:ascii="Arial"/>
                                    <w:spacing w:val="-1"/>
                                    <w:sz w:val="18"/>
                                  </w:rPr>
                                  <w:t>requirements</w:t>
                                </w:r>
                                <w:r>
                                  <w:rPr>
                                    <w:rFonts w:ascii="Arial"/>
                                    <w:sz w:val="18"/>
                                  </w:rPr>
                                  <w:t xml:space="preserve"> </w:t>
                                </w:r>
                                <w:r>
                                  <w:rPr>
                                    <w:rFonts w:ascii="Arial"/>
                                    <w:spacing w:val="4"/>
                                    <w:sz w:val="18"/>
                                  </w:rPr>
                                  <w:t xml:space="preserve"> </w:t>
                                </w:r>
                                <w:r>
                                  <w:rPr>
                                    <w:rFonts w:ascii="Arial"/>
                                    <w:sz w:val="18"/>
                                  </w:rPr>
                                  <w:t xml:space="preserve">to </w:t>
                                </w:r>
                                <w:r>
                                  <w:rPr>
                                    <w:rFonts w:ascii="Arial"/>
                                    <w:spacing w:val="3"/>
                                    <w:sz w:val="18"/>
                                  </w:rPr>
                                  <w:t xml:space="preserve"> </w:t>
                                </w:r>
                                <w:r>
                                  <w:rPr>
                                    <w:rFonts w:ascii="Arial"/>
                                    <w:sz w:val="18"/>
                                  </w:rPr>
                                  <w:t xml:space="preserve">the </w:t>
                                </w:r>
                                <w:r>
                                  <w:rPr>
                                    <w:rFonts w:ascii="Arial"/>
                                    <w:spacing w:val="3"/>
                                    <w:sz w:val="18"/>
                                  </w:rPr>
                                  <w:t xml:space="preserve"> </w:t>
                                </w:r>
                                <w:r>
                                  <w:rPr>
                                    <w:rFonts w:ascii="Arial"/>
                                    <w:spacing w:val="-1"/>
                                    <w:sz w:val="18"/>
                                  </w:rPr>
                                  <w:t>Supplier</w:t>
                                </w:r>
                                <w:r>
                                  <w:rPr>
                                    <w:rFonts w:ascii="Arial"/>
                                    <w:sz w:val="18"/>
                                  </w:rPr>
                                  <w:t xml:space="preserve"> </w:t>
                                </w:r>
                                <w:r>
                                  <w:rPr>
                                    <w:rFonts w:ascii="Arial"/>
                                    <w:spacing w:val="3"/>
                                    <w:sz w:val="18"/>
                                  </w:rPr>
                                  <w:t xml:space="preserve"> </w:t>
                                </w:r>
                                <w:r>
                                  <w:rPr>
                                    <w:rFonts w:ascii="Arial"/>
                                    <w:sz w:val="18"/>
                                  </w:rPr>
                                  <w:t xml:space="preserve">to </w:t>
                                </w:r>
                                <w:r>
                                  <w:rPr>
                                    <w:rFonts w:ascii="Arial"/>
                                    <w:spacing w:val="1"/>
                                    <w:sz w:val="18"/>
                                  </w:rPr>
                                  <w:t xml:space="preserve"> </w:t>
                                </w:r>
                                <w:r>
                                  <w:rPr>
                                    <w:rFonts w:ascii="Arial"/>
                                    <w:sz w:val="18"/>
                                  </w:rPr>
                                  <w:t xml:space="preserve">effect </w:t>
                                </w:r>
                                <w:r>
                                  <w:rPr>
                                    <w:rFonts w:ascii="Arial"/>
                                    <w:spacing w:val="3"/>
                                    <w:sz w:val="18"/>
                                  </w:rPr>
                                  <w:t xml:space="preserve"> </w:t>
                                </w:r>
                                <w:r>
                                  <w:rPr>
                                    <w:rFonts w:ascii="Arial"/>
                                    <w:spacing w:val="-1"/>
                                    <w:sz w:val="18"/>
                                  </w:rPr>
                                  <w:t>and</w:t>
                                </w:r>
                                <w:r>
                                  <w:rPr>
                                    <w:rFonts w:ascii="Arial"/>
                                    <w:sz w:val="18"/>
                                  </w:rPr>
                                  <w:t xml:space="preserve"> </w:t>
                                </w:r>
                                <w:r>
                                  <w:rPr>
                                    <w:rFonts w:ascii="Arial"/>
                                    <w:spacing w:val="3"/>
                                    <w:sz w:val="18"/>
                                  </w:rPr>
                                  <w:t xml:space="preserve"> </w:t>
                                </w:r>
                                <w:r>
                                  <w:rPr>
                                    <w:rFonts w:ascii="Arial"/>
                                    <w:spacing w:val="-1"/>
                                    <w:sz w:val="18"/>
                                  </w:rPr>
                                  <w:t>maintain</w:t>
                                </w:r>
                                <w:r>
                                  <w:rPr>
                                    <w:rFonts w:ascii="Arial"/>
                                    <w:sz w:val="18"/>
                                  </w:rPr>
                                  <w:t xml:space="preserve"> </w:t>
                                </w:r>
                                <w:r>
                                  <w:rPr>
                                    <w:rFonts w:ascii="Arial"/>
                                    <w:spacing w:val="3"/>
                                    <w:sz w:val="18"/>
                                  </w:rPr>
                                  <w:t xml:space="preserve"> </w:t>
                                </w:r>
                                <w:r>
                                  <w:rPr>
                                    <w:rFonts w:ascii="Arial"/>
                                    <w:spacing w:val="-1"/>
                                    <w:sz w:val="18"/>
                                  </w:rPr>
                                  <w:t>insurance</w:t>
                                </w:r>
                                <w:r>
                                  <w:rPr>
                                    <w:rFonts w:ascii="Arial"/>
                                    <w:sz w:val="18"/>
                                  </w:rPr>
                                  <w:t xml:space="preserve"> </w:t>
                                </w:r>
                                <w:r>
                                  <w:rPr>
                                    <w:rFonts w:ascii="Arial"/>
                                    <w:spacing w:val="3"/>
                                    <w:sz w:val="18"/>
                                  </w:rPr>
                                  <w:t xml:space="preserve"> </w:t>
                                </w:r>
                                <w:r>
                                  <w:rPr>
                                    <w:rFonts w:ascii="Arial"/>
                                    <w:sz w:val="18"/>
                                  </w:rPr>
                                  <w:t xml:space="preserve">and </w:t>
                                </w:r>
                                <w:r>
                                  <w:rPr>
                                    <w:rFonts w:ascii="Arial"/>
                                    <w:spacing w:val="3"/>
                                    <w:sz w:val="18"/>
                                  </w:rPr>
                                  <w:t xml:space="preserve"> </w:t>
                                </w:r>
                                <w:r>
                                  <w:rPr>
                                    <w:rFonts w:ascii="Arial"/>
                                    <w:spacing w:val="-1"/>
                                    <w:sz w:val="18"/>
                                  </w:rPr>
                                  <w:t>any</w:t>
                                </w:r>
                                <w:r>
                                  <w:rPr>
                                    <w:rFonts w:ascii="Arial"/>
                                    <w:sz w:val="18"/>
                                  </w:rPr>
                                  <w:t xml:space="preserve"> </w:t>
                                </w:r>
                                <w:r>
                                  <w:rPr>
                                    <w:rFonts w:ascii="Arial"/>
                                    <w:spacing w:val="1"/>
                                    <w:sz w:val="18"/>
                                  </w:rPr>
                                  <w:t xml:space="preserve"> </w:t>
                                </w:r>
                                <w:r>
                                  <w:rPr>
                                    <w:rFonts w:ascii="Arial"/>
                                    <w:spacing w:val="-1"/>
                                    <w:sz w:val="18"/>
                                  </w:rPr>
                                  <w:t>specific</w:t>
                                </w:r>
                              </w:p>
                              <w:p w:rsidR="005D2B81" w:rsidRDefault="005D2B81" w:rsidP="008918FA">
                                <w:pPr>
                                  <w:ind w:right="1"/>
                                  <w:rPr>
                                    <w:rFonts w:ascii="Arial" w:eastAsia="Arial" w:hAnsi="Arial" w:cs="Arial"/>
                                    <w:sz w:val="18"/>
                                    <w:szCs w:val="18"/>
                                  </w:rPr>
                                </w:pPr>
                                <w:r>
                                  <w:rPr>
                                    <w:rFonts w:ascii="Arial"/>
                                    <w:spacing w:val="-1"/>
                                    <w:sz w:val="18"/>
                                  </w:rPr>
                                  <w:t>minimum</w:t>
                                </w:r>
                                <w:r>
                                  <w:rPr>
                                    <w:rFonts w:ascii="Arial"/>
                                    <w:spacing w:val="18"/>
                                    <w:sz w:val="18"/>
                                  </w:rPr>
                                  <w:t xml:space="preserve"> </w:t>
                                </w:r>
                                <w:r>
                                  <w:rPr>
                                    <w:rFonts w:ascii="Arial"/>
                                    <w:spacing w:val="-1"/>
                                    <w:sz w:val="18"/>
                                  </w:rPr>
                                  <w:t>insurance</w:t>
                                </w:r>
                                <w:r>
                                  <w:rPr>
                                    <w:rFonts w:ascii="Arial"/>
                                    <w:spacing w:val="17"/>
                                    <w:sz w:val="18"/>
                                  </w:rPr>
                                  <w:t xml:space="preserve"> </w:t>
                                </w:r>
                                <w:r>
                                  <w:rPr>
                                    <w:rFonts w:ascii="Arial"/>
                                    <w:spacing w:val="-1"/>
                                    <w:sz w:val="18"/>
                                  </w:rPr>
                                  <w:t>policies</w:t>
                                </w:r>
                                <w:r>
                                  <w:rPr>
                                    <w:rFonts w:ascii="Arial"/>
                                    <w:spacing w:val="18"/>
                                    <w:sz w:val="18"/>
                                  </w:rPr>
                                  <w:t xml:space="preserve"> </w:t>
                                </w:r>
                                <w:r>
                                  <w:rPr>
                                    <w:rFonts w:ascii="Arial"/>
                                    <w:spacing w:val="-1"/>
                                    <w:sz w:val="18"/>
                                  </w:rPr>
                                  <w:t>here</w:t>
                                </w:r>
                                <w:r>
                                  <w:rPr>
                                    <w:rFonts w:ascii="Arial"/>
                                    <w:spacing w:val="17"/>
                                    <w:sz w:val="18"/>
                                  </w:rPr>
                                  <w:t xml:space="preserve"> </w:t>
                                </w:r>
                                <w:r>
                                  <w:rPr>
                                    <w:rFonts w:ascii="Arial"/>
                                    <w:sz w:val="18"/>
                                  </w:rPr>
                                  <w:t>or</w:t>
                                </w:r>
                                <w:r>
                                  <w:rPr>
                                    <w:rFonts w:ascii="Arial"/>
                                    <w:spacing w:val="17"/>
                                    <w:sz w:val="18"/>
                                  </w:rPr>
                                  <w:t xml:space="preserve"> </w:t>
                                </w:r>
                                <w:r>
                                  <w:rPr>
                                    <w:rFonts w:ascii="Arial"/>
                                    <w:sz w:val="18"/>
                                  </w:rPr>
                                  <w:t>set</w:t>
                                </w:r>
                                <w:r>
                                  <w:rPr>
                                    <w:rFonts w:ascii="Arial"/>
                                    <w:spacing w:val="17"/>
                                    <w:sz w:val="18"/>
                                  </w:rPr>
                                  <w:t xml:space="preserve"> </w:t>
                                </w:r>
                                <w:r>
                                  <w:rPr>
                                    <w:rFonts w:ascii="Arial"/>
                                    <w:sz w:val="18"/>
                                  </w:rPr>
                                  <w:t>out</w:t>
                                </w:r>
                                <w:r>
                                  <w:rPr>
                                    <w:rFonts w:ascii="Arial"/>
                                    <w:spacing w:val="17"/>
                                    <w:sz w:val="18"/>
                                  </w:rPr>
                                  <w:t xml:space="preserve"> </w:t>
                                </w:r>
                                <w:r>
                                  <w:rPr>
                                    <w:rFonts w:ascii="Arial"/>
                                    <w:spacing w:val="-1"/>
                                    <w:sz w:val="18"/>
                                  </w:rPr>
                                  <w:t>in</w:t>
                                </w:r>
                                <w:r>
                                  <w:rPr>
                                    <w:rFonts w:ascii="Arial"/>
                                    <w:spacing w:val="17"/>
                                    <w:sz w:val="18"/>
                                  </w:rPr>
                                  <w:t xml:space="preserve"> </w:t>
                                </w:r>
                                <w:r>
                                  <w:rPr>
                                    <w:rFonts w:ascii="Arial"/>
                                    <w:sz w:val="18"/>
                                  </w:rPr>
                                  <w:t>a</w:t>
                                </w:r>
                                <w:r>
                                  <w:rPr>
                                    <w:rFonts w:ascii="Arial"/>
                                    <w:spacing w:val="17"/>
                                    <w:sz w:val="18"/>
                                  </w:rPr>
                                  <w:t xml:space="preserve"> </w:t>
                                </w:r>
                                <w:r>
                                  <w:rPr>
                                    <w:rFonts w:ascii="Arial"/>
                                    <w:spacing w:val="-1"/>
                                    <w:sz w:val="18"/>
                                  </w:rPr>
                                  <w:t>separate</w:t>
                                </w:r>
                                <w:r>
                                  <w:rPr>
                                    <w:rFonts w:ascii="Arial"/>
                                    <w:spacing w:val="15"/>
                                    <w:sz w:val="18"/>
                                  </w:rPr>
                                  <w:t xml:space="preserve"> </w:t>
                                </w:r>
                                <w:r>
                                  <w:rPr>
                                    <w:rFonts w:ascii="Arial"/>
                                    <w:spacing w:val="-1"/>
                                    <w:sz w:val="18"/>
                                  </w:rPr>
                                  <w:t>Call</w:t>
                                </w:r>
                                <w:r>
                                  <w:rPr>
                                    <w:rFonts w:ascii="Arial"/>
                                    <w:spacing w:val="18"/>
                                    <w:sz w:val="18"/>
                                  </w:rPr>
                                  <w:t xml:space="preserve"> </w:t>
                                </w:r>
                                <w:r>
                                  <w:rPr>
                                    <w:rFonts w:ascii="Arial"/>
                                    <w:spacing w:val="-1"/>
                                    <w:sz w:val="18"/>
                                  </w:rPr>
                                  <w:t>Off</w:t>
                                </w:r>
                                <w:r>
                                  <w:rPr>
                                    <w:rFonts w:ascii="Arial"/>
                                    <w:spacing w:val="17"/>
                                    <w:sz w:val="18"/>
                                  </w:rPr>
                                  <w:t xml:space="preserve"> </w:t>
                                </w:r>
                                <w:r>
                                  <w:rPr>
                                    <w:rFonts w:ascii="Arial"/>
                                    <w:spacing w:val="-1"/>
                                    <w:sz w:val="18"/>
                                  </w:rPr>
                                  <w:t>Schedule</w:t>
                                </w:r>
                                <w:r>
                                  <w:rPr>
                                    <w:rFonts w:ascii="Arial"/>
                                    <w:spacing w:val="17"/>
                                    <w:sz w:val="18"/>
                                  </w:rPr>
                                  <w:t xml:space="preserve"> </w:t>
                                </w:r>
                                <w:r>
                                  <w:rPr>
                                    <w:rFonts w:ascii="Arial"/>
                                    <w:sz w:val="18"/>
                                  </w:rPr>
                                  <w:t>if</w:t>
                                </w:r>
                                <w:r>
                                  <w:rPr>
                                    <w:rFonts w:ascii="Arial"/>
                                    <w:spacing w:val="17"/>
                                    <w:sz w:val="18"/>
                                  </w:rPr>
                                  <w:t xml:space="preserve"> </w:t>
                                </w:r>
                                <w:r>
                                  <w:rPr>
                                    <w:rFonts w:ascii="Arial"/>
                                    <w:spacing w:val="-1"/>
                                    <w:sz w:val="18"/>
                                  </w:rPr>
                                  <w:t>necessary</w:t>
                                </w:r>
                                <w:r>
                                  <w:rPr>
                                    <w:rFonts w:ascii="Arial"/>
                                    <w:spacing w:val="15"/>
                                    <w:sz w:val="18"/>
                                  </w:rPr>
                                  <w:t xml:space="preserve"> </w:t>
                                </w:r>
                                <w:r>
                                  <w:rPr>
                                    <w:rFonts w:ascii="Arial"/>
                                    <w:sz w:val="18"/>
                                  </w:rPr>
                                  <w:t>and</w:t>
                                </w:r>
                                <w:r>
                                  <w:rPr>
                                    <w:rFonts w:ascii="Arial"/>
                                    <w:spacing w:val="17"/>
                                    <w:sz w:val="18"/>
                                  </w:rPr>
                                  <w:t xml:space="preserve"> </w:t>
                                </w:r>
                                <w:r>
                                  <w:rPr>
                                    <w:rFonts w:ascii="Arial"/>
                                    <w:sz w:val="18"/>
                                  </w:rPr>
                                  <w:t>cross</w:t>
                                </w:r>
                                <w:r>
                                  <w:rPr>
                                    <w:rFonts w:ascii="Arial"/>
                                    <w:spacing w:val="18"/>
                                    <w:sz w:val="18"/>
                                  </w:rPr>
                                  <w:t xml:space="preserve"> </w:t>
                                </w:r>
                                <w:r>
                                  <w:rPr>
                                    <w:rFonts w:ascii="Arial"/>
                                    <w:spacing w:val="-1"/>
                                    <w:sz w:val="18"/>
                                  </w:rPr>
                                  <w:t>refer</w:t>
                                </w:r>
                                <w:r>
                                  <w:rPr>
                                    <w:rFonts w:ascii="Arial"/>
                                    <w:spacing w:val="17"/>
                                    <w:sz w:val="18"/>
                                  </w:rPr>
                                  <w:t xml:space="preserve"> </w:t>
                                </w:r>
                                <w:r>
                                  <w:rPr>
                                    <w:rFonts w:ascii="Arial"/>
                                    <w:sz w:val="18"/>
                                  </w:rPr>
                                  <w:t>to</w:t>
                                </w:r>
                                <w:r>
                                  <w:rPr>
                                    <w:rFonts w:ascii="Arial"/>
                                    <w:spacing w:val="17"/>
                                    <w:sz w:val="18"/>
                                  </w:rPr>
                                  <w:t xml:space="preserve"> </w:t>
                                </w:r>
                                <w:r>
                                  <w:rPr>
                                    <w:rFonts w:ascii="Arial"/>
                                    <w:sz w:val="18"/>
                                  </w:rPr>
                                  <w:t>it</w:t>
                                </w:r>
                                <w:r>
                                  <w:rPr>
                                    <w:rFonts w:ascii="Arial"/>
                                    <w:spacing w:val="89"/>
                                    <w:sz w:val="18"/>
                                  </w:rPr>
                                  <w:t xml:space="preserve"> </w:t>
                                </w:r>
                                <w:r>
                                  <w:rPr>
                                    <w:rFonts w:ascii="Arial"/>
                                    <w:sz w:val="18"/>
                                  </w:rPr>
                                  <w:t>here]</w:t>
                                </w:r>
                              </w:p>
                            </w:txbxContent>
                          </wps:txbx>
                          <wps:bodyPr rot="0" vert="horz" wrap="square" lIns="0" tIns="0" rIns="0" bIns="0" anchor="t" anchorCtr="0" upright="1">
                            <a:noAutofit/>
                          </wps:bodyPr>
                        </wps:wsp>
                      </wpg:grpSp>
                    </wpg:wgp>
                  </a:graphicData>
                </a:graphic>
              </wp:inline>
            </w:drawing>
          </mc:Choice>
          <mc:Fallback>
            <w:pict>
              <v:group w14:anchorId="002D3A9E" id="Group 7066" o:spid="_x0000_s1125" style="width:445.6pt;height:42.45pt;mso-position-horizontal-relative:char;mso-position-vertical-relative:line" coordsize="89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">
                <v:group id="Group 7074" o:spid="_x0000_s1126" style="position:absolute;left:204;top:20;width:8705;height:207" coordorigin="204,20" coordsize="870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9DpMcAAADdAAAADwAAAGRycy9kb3ducmV2LnhtbESPT2vCQBTE7wW/w/IK&#10;3uomSqqkriJSpQcpNBFKb4/sMwlm34bsNn++fbdQ6HGYmd8w2/1oGtFT52rLCuJFBIK4sLrmUsE1&#10;Pz1tQDiPrLGxTAomcrDfzR62mGo78Af1mS9FgLBLUUHlfZtK6YqKDLqFbYmDd7OdQR9kV0rd4RDg&#10;ppHLKHqWBmsOCxW2dKyouGffRsF5wOGwil/7y/12nL7y5P3zEpNS88fx8ALC0+j/w3/tN61gHa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T9DpMcAAADd&#10;AAAADwAAAAAAAAAAAAAAAACqAgAAZHJzL2Rvd25yZXYueG1sUEsFBgAAAAAEAAQA+gAAAJ4DAAAA&#10;AA==&#10;">
                  <v:shape id="Freeform 7075" o:spid="_x0000_s1127" style="position:absolute;left:204;top:20;width:8705;height:207;visibility:visible;mso-wrap-style:square;v-text-anchor:top" coordsize="87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sVMYA&#10;AADdAAAADwAAAGRycy9kb3ducmV2LnhtbESPQUsDMRSE70L/Q3hCbzbRQrusTYsUW6SC0FYp3h6b&#10;5yZ087JsYnf990YQehxm5htmsRp8Iy7URRdYw/1EgSCugnFca3g/bu4KEDEhG2wCk4YfirBajm4W&#10;WJrQ854uh1SLDOFYogabUltKGStLHuMktMTZ+wqdx5RlV0vTYZ/hvpEPSs2kR8d5wWJLa0vV+fDt&#10;NXxMd6fz6fXzrXDPuLPb1CtX9FqPb4enRxCJhnQN/7dfjIa5ms/g701+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HsVMYAAADdAAAADwAAAAAAAAAAAAAAAACYAgAAZHJz&#10;L2Rvd25yZXYueG1sUEsFBgAAAAAEAAQA9QAAAIsDAAAAAA==&#10;" path="m,207r8705,l8705,,,,,207xe" fillcolor="lime" stroked="f">
                    <v:path arrowok="t" o:connecttype="custom" o:connectlocs="0,227;8705,227;8705,20;0,20;0,227" o:connectangles="0,0,0,0,0"/>
                  </v:shape>
                </v:group>
                <v:group id="Group 7072" o:spid="_x0000_s1128" style="position:absolute;top:227;width:8909;height:209" coordorigin=",227" coordsize="8909,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F4SMYAAADdAAAADwAAAGRycy9kb3ducmV2LnhtbESPT2vCQBTE7wW/w/KE&#10;3uomljYSXUVExYMU/APi7ZF9JsHs25Bdk/jtu4WCx2FmfsPMFr2pREuNKy0riEcRCOLM6pJzBefT&#10;5mMCwnlkjZVlUvAkB4v54G2GqbYdH6g9+lwECLsUFRTe16mULivIoBvZmjh4N9sY9EE2udQNdgFu&#10;KjmOom9psOSwUGBNq4Ky+/FhFGw77Jaf8brd32+r5/X09XPZx6TU+7BfTkF46v0r/N/eaQVJ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oXhIxgAAAN0A&#10;AAAPAAAAAAAAAAAAAAAAAKoCAABkcnMvZG93bnJldi54bWxQSwUGAAAAAAQABAD6AAAAnQMAAAAA&#10;">
                  <v:shape id="Freeform 7073" o:spid="_x0000_s1129" style="position:absolute;top:227;width:8909;height:209;visibility:visible;mso-wrap-style:square;v-text-anchor:top" coordsize="89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chcMA&#10;AADdAAAADwAAAGRycy9kb3ducmV2LnhtbERPTWvCQBC9F/wPywje6kahjURXCcFAD1KoCl6H7JhE&#10;s7Mxu8bor+8eCj0+3vdqM5hG9NS52rKC2TQCQVxYXXOp4HjI3xcgnEfW2FgmBU9ysFmP3laYaPvg&#10;H+r3vhQhhF2CCirv20RKV1Rk0E1tSxy4s+0M+gC7UuoOHyHcNHIeRZ/SYM2hocKWsoqK6/5uFHxf&#10;siw/7e4fl/R1i6lvrnk63yo1GQ/pEoSnwf+L/9xfWkEcxWFu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chcMAAADdAAAADwAAAAAAAAAAAAAAAACYAgAAZHJzL2Rv&#10;d25yZXYueG1sUEsFBgAAAAAEAAQA9QAAAIgDAAAAAA==&#10;" path="m,209r8909,l8909,,,,,209xe" fillcolor="lime" stroked="f">
                    <v:path arrowok="t" o:connecttype="custom" o:connectlocs="0,436;8909,436;8909,227;0,227;0,436" o:connectangles="0,0,0,0,0"/>
                  </v:shape>
                </v:group>
                <v:group id="Group 7070" o:spid="_x0000_s1130" style="position:absolute;top:436;width:8909;height:207" coordorigin=",436"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JJoccAAADdAAAADwAAAGRycy9kb3ducmV2LnhtbESPQWvCQBSE74L/YXlC&#10;b3UTi7WNWUVEpQcpVAvF2yP7TEKyb0N2TeK/7xYKHoeZ+YZJ14OpRUetKy0riKcRCOLM6pJzBd/n&#10;/fMbCOeRNdaWScGdHKxX41GKibY9f1F38rkIEHYJKii8bxIpXVaQQTe1DXHwrrY16INsc6lb7APc&#10;1HIWRa/SYMlhocCGtgVl1elmFBx67Dcv8a47Vtft/XKef/4cY1LqaTJsliA8Df4R/m9/aAWLa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JJoccAAADd&#10;AAAADwAAAAAAAAAAAAAAAACqAgAAZHJzL2Rvd25yZXYueG1sUEsFBgAAAAAEAAQA+gAAAJ4DAAAA&#10;AA==&#10;">
                  <v:shape id="Freeform 7071" o:spid="_x0000_s1131" style="position:absolute;top:436;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iScMA&#10;AADdAAAADwAAAGRycy9kb3ducmV2LnhtbERP3WrCMBS+H+wdwhl4N9MVnKWaljE3ERHBbg9wbI5t&#10;sTkpSWbr2y8Xg11+fP/rcjK9uJHznWUFL/MEBHFtdceNgu+vz+cMhA/IGnvLpOBOHsri8WGNubYj&#10;n+hWhUbEEPY5KmhDGHIpfd2SQT+3A3HkLtYZDBG6RmqHYww3vUyT5FUa7Dg2tDjQe0v1tfoxCtzH&#10;GA64X6aHaZ8dz4vNdrfRqVKzp+ltBSLQFP7Ff+6dVrBMsrg/vo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siScMAAADdAAAADwAAAAAAAAAAAAAAAACYAgAAZHJzL2Rv&#10;d25yZXYueG1sUEsFBgAAAAAEAAQA9QAAAIgDAAAAAA==&#10;" path="m,206r8909,l8909,,,,,206xe" fillcolor="lime" stroked="f">
                    <v:path arrowok="t" o:connecttype="custom" o:connectlocs="0,642;8909,642;8909,436;0,436;0,642" o:connectangles="0,0,0,0,0"/>
                  </v:shape>
                </v:group>
                <v:group id="Group 7067" o:spid="_x0000_s1132" style="position:absolute;top:642;width:411;height:207" coordorigin=",642" coordsize="41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E1gMcAAADdAAAADwAAAGRycy9kb3ducmV2LnhtbESPT2vCQBTE7wW/w/IK&#10;3uomSqukriKhSg9SMBFKb4/sMwlm34bsNn++fbdQ6HGYmd8w2/1oGtFT52rLCuJFBIK4sLrmUsE1&#10;Pz5tQDiPrLGxTAomcrDfzR62mGg78IX6zJciQNglqKDyvk2kdEVFBt3CtsTBu9nOoA+yK6XucAhw&#10;08hlFL1IgzWHhQpbSisq7tm3UXAacDis4rf+fL+l01f+/PF5jkmp+eN4eAXhafT/4b/2u1awjj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9E1gMcAAADd&#10;AAAADwAAAAAAAAAAAAAAAACqAgAAZHJzL2Rvd25yZXYueG1sUEsFBgAAAAAEAAQA+gAAAJ4DAAAA&#10;AA==&#10;">
                  <v:shape id="Freeform 7069" o:spid="_x0000_s1133" style="position:absolute;top:642;width:411;height:207;visibility:visible;mso-wrap-style:square;v-text-anchor:top" coordsize="41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QJMUA&#10;AADdAAAADwAAAGRycy9kb3ducmV2LnhtbESPS2vDMBCE74H+B7GFXkIiJYUkda2EtGDaax6X3BZr&#10;/SDWSliK4/77qlDIcZiZb5h8N9pODNSH1rGGxVyBIC6dabnWcD4Vsw2IEJENdo5Jww8F2G2fJjlm&#10;xt35QMMx1iJBOGSooYnRZ1KGsiGLYe48cfIq11uMSfa1ND3eE9x2cqnUSlpsOS006OmzofJ6vFkN&#10;7WtVXvYrfz1P376GD+MLpU6F1i/P4/4dRKQxPsL/7W+jYa02S/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hAkxQAAAN0AAAAPAAAAAAAAAAAAAAAAAJgCAABkcnMv&#10;ZG93bnJldi54bWxQSwUGAAAAAAQABAD1AAAAigMAAAAA&#10;" path="m,206r410,l410,,,,,206xe" fillcolor="lime" stroked="f">
                    <v:path arrowok="t" o:connecttype="custom" o:connectlocs="0,848;410,848;410,642;0,642;0,848" o:connectangles="0,0,0,0,0"/>
                  </v:shape>
                  <v:shape id="Text Box 7068" o:spid="_x0000_s1134" type="#_x0000_t202" style="position:absolute;width:8912;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Gt8YA&#10;AADdAAAADwAAAGRycy9kb3ducmV2LnhtbESPQWsCMRSE70L/Q3iF3jSpBbVbo4i0IAjiuj30+Lp5&#10;7gY3L9tNqtt/3wiCx2FmvmHmy9414kxdsJ41PI8UCOLSG8uVhs/iYzgDESKywcYzafijAMvFw2CO&#10;mfEXzul8iJVIEA4ZaqhjbDMpQ1mTwzDyLXHyjr5zGJPsKmk6vCS4a+RYqYl0aDkt1NjSuqbydPh1&#10;GlZfnL/bn933Pj/mtiheFW8nJ62fHvvVG4hIfbyHb+2N0TBVs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0Gt8YAAADdAAAADwAAAAAAAAAAAAAAAACYAgAAZHJz&#10;L2Rvd25yZXYueG1sUEsFBgAAAAAEAAQA9QAAAIsDAAAAAA==&#10;" filled="f" stroked="f">
                    <v:textbox inset="0,0,0,0">
                      <w:txbxContent>
                        <w:p w:rsidR="005D2B81" w:rsidRDefault="005D2B81" w:rsidP="008918FA">
                          <w:pPr>
                            <w:spacing w:before="23" w:line="206" w:lineRule="exact"/>
                            <w:rPr>
                              <w:rFonts w:ascii="Arial" w:eastAsia="Arial" w:hAnsi="Arial" w:cs="Arial"/>
                              <w:sz w:val="18"/>
                              <w:szCs w:val="18"/>
                            </w:rPr>
                          </w:pPr>
                          <w:r>
                            <w:rPr>
                              <w:rFonts w:ascii="Arial"/>
                              <w:position w:val="9"/>
                              <w:sz w:val="12"/>
                            </w:rPr>
                            <w:t xml:space="preserve">38 </w:t>
                          </w:r>
                          <w:r>
                            <w:rPr>
                              <w:rFonts w:ascii="Arial"/>
                              <w:spacing w:val="3"/>
                              <w:position w:val="9"/>
                              <w:sz w:val="12"/>
                            </w:rPr>
                            <w:t xml:space="preserve"> </w:t>
                          </w:r>
                          <w:bookmarkStart w:id="37" w:name="_bookmark38"/>
                          <w:bookmarkEnd w:id="37"/>
                          <w:r>
                            <w:rPr>
                              <w:rFonts w:ascii="Arial"/>
                              <w:spacing w:val="-1"/>
                              <w:sz w:val="18"/>
                            </w:rPr>
                            <w:t>[Guidance</w:t>
                          </w:r>
                          <w:r>
                            <w:rPr>
                              <w:rFonts w:ascii="Arial"/>
                              <w:spacing w:val="18"/>
                              <w:sz w:val="18"/>
                            </w:rPr>
                            <w:t xml:space="preserve"> </w:t>
                          </w:r>
                          <w:r>
                            <w:rPr>
                              <w:rFonts w:ascii="Arial"/>
                              <w:spacing w:val="-1"/>
                              <w:sz w:val="18"/>
                            </w:rPr>
                            <w:t>Note:</w:t>
                          </w:r>
                          <w:r>
                            <w:rPr>
                              <w:rFonts w:ascii="Arial"/>
                              <w:spacing w:val="17"/>
                              <w:sz w:val="18"/>
                            </w:rPr>
                            <w:t xml:space="preserve"> </w:t>
                          </w:r>
                          <w:r>
                            <w:rPr>
                              <w:rFonts w:ascii="Arial"/>
                              <w:sz w:val="18"/>
                            </w:rPr>
                            <w:t>See</w:t>
                          </w:r>
                          <w:r>
                            <w:rPr>
                              <w:rFonts w:ascii="Arial"/>
                              <w:spacing w:val="18"/>
                              <w:sz w:val="18"/>
                            </w:rPr>
                            <w:t xml:space="preserve"> </w:t>
                          </w:r>
                          <w:r>
                            <w:rPr>
                              <w:rFonts w:ascii="Arial"/>
                              <w:spacing w:val="-1"/>
                              <w:sz w:val="18"/>
                            </w:rPr>
                            <w:t>Clause</w:t>
                          </w:r>
                          <w:r>
                            <w:rPr>
                              <w:rFonts w:ascii="Arial"/>
                              <w:spacing w:val="17"/>
                              <w:sz w:val="18"/>
                            </w:rPr>
                            <w:t xml:space="preserve"> </w:t>
                          </w:r>
                          <w:hyperlink w:anchor="_bookmark211" w:history="1">
                            <w:r>
                              <w:rPr>
                                <w:rFonts w:ascii="Arial"/>
                                <w:sz w:val="18"/>
                              </w:rPr>
                              <w:t>37</w:t>
                            </w:r>
                          </w:hyperlink>
                          <w:r>
                            <w:rPr>
                              <w:rFonts w:ascii="Arial"/>
                              <w:spacing w:val="20"/>
                              <w:sz w:val="18"/>
                            </w:rPr>
                            <w:t xml:space="preserve"> </w:t>
                          </w:r>
                          <w:r>
                            <w:rPr>
                              <w:rFonts w:ascii="Arial"/>
                              <w:spacing w:val="-1"/>
                              <w:sz w:val="18"/>
                            </w:rPr>
                            <w:t>of</w:t>
                          </w:r>
                          <w:r>
                            <w:rPr>
                              <w:rFonts w:ascii="Arial"/>
                              <w:spacing w:val="19"/>
                              <w:sz w:val="18"/>
                            </w:rPr>
                            <w:t xml:space="preserve"> </w:t>
                          </w:r>
                          <w:r>
                            <w:rPr>
                              <w:rFonts w:ascii="Arial"/>
                              <w:spacing w:val="-1"/>
                              <w:sz w:val="18"/>
                            </w:rPr>
                            <w:t>the</w:t>
                          </w:r>
                          <w:r>
                            <w:rPr>
                              <w:rFonts w:ascii="Arial"/>
                              <w:spacing w:val="20"/>
                              <w:sz w:val="18"/>
                            </w:rPr>
                            <w:t xml:space="preserve"> </w:t>
                          </w:r>
                          <w:r>
                            <w:rPr>
                              <w:rFonts w:ascii="Arial"/>
                              <w:spacing w:val="-1"/>
                              <w:sz w:val="18"/>
                            </w:rPr>
                            <w:t>Template</w:t>
                          </w:r>
                          <w:r>
                            <w:rPr>
                              <w:rFonts w:ascii="Arial"/>
                              <w:spacing w:val="18"/>
                              <w:sz w:val="18"/>
                            </w:rPr>
                            <w:t xml:space="preserve"> </w:t>
                          </w:r>
                          <w:r>
                            <w:rPr>
                              <w:rFonts w:ascii="Arial"/>
                              <w:spacing w:val="-1"/>
                              <w:sz w:val="18"/>
                            </w:rPr>
                            <w:t>Call</w:t>
                          </w:r>
                          <w:r>
                            <w:rPr>
                              <w:rFonts w:ascii="Arial"/>
                              <w:spacing w:val="18"/>
                              <w:sz w:val="18"/>
                            </w:rPr>
                            <w:t xml:space="preserve"> </w:t>
                          </w:r>
                          <w:r>
                            <w:rPr>
                              <w:rFonts w:ascii="Arial"/>
                              <w:spacing w:val="-1"/>
                              <w:sz w:val="18"/>
                            </w:rPr>
                            <w:t>Off</w:t>
                          </w:r>
                          <w:r>
                            <w:rPr>
                              <w:rFonts w:ascii="Arial"/>
                              <w:spacing w:val="17"/>
                              <w:sz w:val="18"/>
                            </w:rPr>
                            <w:t xml:space="preserve"> </w:t>
                          </w:r>
                          <w:r>
                            <w:rPr>
                              <w:rFonts w:ascii="Arial"/>
                              <w:sz w:val="18"/>
                            </w:rPr>
                            <w:t>Terms.</w:t>
                          </w:r>
                          <w:r>
                            <w:rPr>
                              <w:rFonts w:ascii="Arial"/>
                              <w:spacing w:val="19"/>
                              <w:sz w:val="18"/>
                            </w:rPr>
                            <w:t xml:space="preserve"> </w:t>
                          </w:r>
                          <w:r>
                            <w:rPr>
                              <w:rFonts w:ascii="Arial"/>
                              <w:sz w:val="18"/>
                            </w:rPr>
                            <w:t>If</w:t>
                          </w:r>
                          <w:r>
                            <w:rPr>
                              <w:rFonts w:ascii="Arial"/>
                              <w:spacing w:val="17"/>
                              <w:sz w:val="18"/>
                            </w:rPr>
                            <w:t xml:space="preserve"> </w:t>
                          </w:r>
                          <w:r>
                            <w:rPr>
                              <w:rFonts w:ascii="Arial"/>
                              <w:spacing w:val="-1"/>
                              <w:sz w:val="18"/>
                            </w:rPr>
                            <w:t>stipulated</w:t>
                          </w:r>
                          <w:r>
                            <w:rPr>
                              <w:rFonts w:ascii="Arial"/>
                              <w:spacing w:val="20"/>
                              <w:sz w:val="18"/>
                            </w:rPr>
                            <w:t xml:space="preserve"> </w:t>
                          </w:r>
                          <w:r>
                            <w:rPr>
                              <w:rFonts w:ascii="Arial"/>
                              <w:spacing w:val="-1"/>
                              <w:sz w:val="18"/>
                            </w:rPr>
                            <w:t>during</w:t>
                          </w:r>
                          <w:r>
                            <w:rPr>
                              <w:rFonts w:ascii="Arial"/>
                              <w:spacing w:val="18"/>
                              <w:sz w:val="18"/>
                            </w:rPr>
                            <w:t xml:space="preserve"> </w:t>
                          </w:r>
                          <w:r>
                            <w:rPr>
                              <w:rFonts w:ascii="Arial"/>
                              <w:sz w:val="18"/>
                            </w:rPr>
                            <w:t>a</w:t>
                          </w:r>
                          <w:r>
                            <w:rPr>
                              <w:rFonts w:ascii="Arial"/>
                              <w:spacing w:val="17"/>
                              <w:sz w:val="18"/>
                            </w:rPr>
                            <w:t xml:space="preserve"> </w:t>
                          </w:r>
                          <w:r>
                            <w:rPr>
                              <w:rFonts w:ascii="Arial"/>
                              <w:sz w:val="18"/>
                            </w:rPr>
                            <w:t>Further</w:t>
                          </w:r>
                          <w:r>
                            <w:rPr>
                              <w:rFonts w:ascii="Arial"/>
                              <w:spacing w:val="17"/>
                              <w:sz w:val="18"/>
                            </w:rPr>
                            <w:t xml:space="preserve"> </w:t>
                          </w:r>
                          <w:r>
                            <w:rPr>
                              <w:rFonts w:ascii="Arial"/>
                              <w:spacing w:val="-1"/>
                              <w:sz w:val="18"/>
                            </w:rPr>
                            <w:t>Competition</w:t>
                          </w:r>
                          <w:r>
                            <w:rPr>
                              <w:rFonts w:ascii="Arial"/>
                              <w:spacing w:val="79"/>
                              <w:sz w:val="18"/>
                            </w:rPr>
                            <w:t xml:space="preserve"> </w:t>
                          </w:r>
                          <w:r>
                            <w:rPr>
                              <w:rFonts w:ascii="Arial"/>
                              <w:spacing w:val="-1"/>
                              <w:sz w:val="18"/>
                            </w:rPr>
                            <w:t>Procedure,</w:t>
                          </w:r>
                          <w:r>
                            <w:rPr>
                              <w:rFonts w:ascii="Arial"/>
                              <w:sz w:val="18"/>
                            </w:rPr>
                            <w:t xml:space="preserve"> </w:t>
                          </w:r>
                          <w:r>
                            <w:rPr>
                              <w:rFonts w:ascii="Arial"/>
                              <w:spacing w:val="3"/>
                              <w:sz w:val="18"/>
                            </w:rPr>
                            <w:t xml:space="preserve"> </w:t>
                          </w:r>
                          <w:r>
                            <w:rPr>
                              <w:rFonts w:ascii="Arial"/>
                              <w:spacing w:val="-1"/>
                              <w:sz w:val="18"/>
                            </w:rPr>
                            <w:t>include</w:t>
                          </w:r>
                          <w:r>
                            <w:rPr>
                              <w:rFonts w:ascii="Arial"/>
                              <w:sz w:val="18"/>
                            </w:rPr>
                            <w:t xml:space="preserve"> </w:t>
                          </w:r>
                          <w:r>
                            <w:rPr>
                              <w:rFonts w:ascii="Arial"/>
                              <w:spacing w:val="3"/>
                              <w:sz w:val="18"/>
                            </w:rPr>
                            <w:t xml:space="preserve"> </w:t>
                          </w:r>
                          <w:r>
                            <w:rPr>
                              <w:rFonts w:ascii="Arial"/>
                              <w:spacing w:val="-1"/>
                              <w:sz w:val="18"/>
                            </w:rPr>
                            <w:t>your</w:t>
                          </w:r>
                          <w:r>
                            <w:rPr>
                              <w:rFonts w:ascii="Arial"/>
                              <w:sz w:val="18"/>
                            </w:rPr>
                            <w:t xml:space="preserve"> </w:t>
                          </w:r>
                          <w:r>
                            <w:rPr>
                              <w:rFonts w:ascii="Arial"/>
                              <w:spacing w:val="3"/>
                              <w:sz w:val="18"/>
                            </w:rPr>
                            <w:t xml:space="preserve"> </w:t>
                          </w:r>
                          <w:r>
                            <w:rPr>
                              <w:rFonts w:ascii="Arial"/>
                              <w:spacing w:val="-1"/>
                              <w:sz w:val="18"/>
                            </w:rPr>
                            <w:t>requirements</w:t>
                          </w:r>
                          <w:r>
                            <w:rPr>
                              <w:rFonts w:ascii="Arial"/>
                              <w:sz w:val="18"/>
                            </w:rPr>
                            <w:t xml:space="preserve"> </w:t>
                          </w:r>
                          <w:r>
                            <w:rPr>
                              <w:rFonts w:ascii="Arial"/>
                              <w:spacing w:val="4"/>
                              <w:sz w:val="18"/>
                            </w:rPr>
                            <w:t xml:space="preserve"> </w:t>
                          </w:r>
                          <w:r>
                            <w:rPr>
                              <w:rFonts w:ascii="Arial"/>
                              <w:sz w:val="18"/>
                            </w:rPr>
                            <w:t xml:space="preserve">to </w:t>
                          </w:r>
                          <w:r>
                            <w:rPr>
                              <w:rFonts w:ascii="Arial"/>
                              <w:spacing w:val="3"/>
                              <w:sz w:val="18"/>
                            </w:rPr>
                            <w:t xml:space="preserve"> </w:t>
                          </w:r>
                          <w:r>
                            <w:rPr>
                              <w:rFonts w:ascii="Arial"/>
                              <w:sz w:val="18"/>
                            </w:rPr>
                            <w:t xml:space="preserve">the </w:t>
                          </w:r>
                          <w:r>
                            <w:rPr>
                              <w:rFonts w:ascii="Arial"/>
                              <w:spacing w:val="3"/>
                              <w:sz w:val="18"/>
                            </w:rPr>
                            <w:t xml:space="preserve"> </w:t>
                          </w:r>
                          <w:r>
                            <w:rPr>
                              <w:rFonts w:ascii="Arial"/>
                              <w:spacing w:val="-1"/>
                              <w:sz w:val="18"/>
                            </w:rPr>
                            <w:t>Supplier</w:t>
                          </w:r>
                          <w:r>
                            <w:rPr>
                              <w:rFonts w:ascii="Arial"/>
                              <w:sz w:val="18"/>
                            </w:rPr>
                            <w:t xml:space="preserve"> </w:t>
                          </w:r>
                          <w:r>
                            <w:rPr>
                              <w:rFonts w:ascii="Arial"/>
                              <w:spacing w:val="3"/>
                              <w:sz w:val="18"/>
                            </w:rPr>
                            <w:t xml:space="preserve"> </w:t>
                          </w:r>
                          <w:r>
                            <w:rPr>
                              <w:rFonts w:ascii="Arial"/>
                              <w:sz w:val="18"/>
                            </w:rPr>
                            <w:t xml:space="preserve">to </w:t>
                          </w:r>
                          <w:r>
                            <w:rPr>
                              <w:rFonts w:ascii="Arial"/>
                              <w:spacing w:val="1"/>
                              <w:sz w:val="18"/>
                            </w:rPr>
                            <w:t xml:space="preserve"> </w:t>
                          </w:r>
                          <w:r>
                            <w:rPr>
                              <w:rFonts w:ascii="Arial"/>
                              <w:sz w:val="18"/>
                            </w:rPr>
                            <w:t xml:space="preserve">effect </w:t>
                          </w:r>
                          <w:r>
                            <w:rPr>
                              <w:rFonts w:ascii="Arial"/>
                              <w:spacing w:val="3"/>
                              <w:sz w:val="18"/>
                            </w:rPr>
                            <w:t xml:space="preserve"> </w:t>
                          </w:r>
                          <w:r>
                            <w:rPr>
                              <w:rFonts w:ascii="Arial"/>
                              <w:spacing w:val="-1"/>
                              <w:sz w:val="18"/>
                            </w:rPr>
                            <w:t>and</w:t>
                          </w:r>
                          <w:r>
                            <w:rPr>
                              <w:rFonts w:ascii="Arial"/>
                              <w:sz w:val="18"/>
                            </w:rPr>
                            <w:t xml:space="preserve"> </w:t>
                          </w:r>
                          <w:r>
                            <w:rPr>
                              <w:rFonts w:ascii="Arial"/>
                              <w:spacing w:val="3"/>
                              <w:sz w:val="18"/>
                            </w:rPr>
                            <w:t xml:space="preserve"> </w:t>
                          </w:r>
                          <w:r>
                            <w:rPr>
                              <w:rFonts w:ascii="Arial"/>
                              <w:spacing w:val="-1"/>
                              <w:sz w:val="18"/>
                            </w:rPr>
                            <w:t>maintain</w:t>
                          </w:r>
                          <w:r>
                            <w:rPr>
                              <w:rFonts w:ascii="Arial"/>
                              <w:sz w:val="18"/>
                            </w:rPr>
                            <w:t xml:space="preserve"> </w:t>
                          </w:r>
                          <w:r>
                            <w:rPr>
                              <w:rFonts w:ascii="Arial"/>
                              <w:spacing w:val="3"/>
                              <w:sz w:val="18"/>
                            </w:rPr>
                            <w:t xml:space="preserve"> </w:t>
                          </w:r>
                          <w:r>
                            <w:rPr>
                              <w:rFonts w:ascii="Arial"/>
                              <w:spacing w:val="-1"/>
                              <w:sz w:val="18"/>
                            </w:rPr>
                            <w:t>insurance</w:t>
                          </w:r>
                          <w:r>
                            <w:rPr>
                              <w:rFonts w:ascii="Arial"/>
                              <w:sz w:val="18"/>
                            </w:rPr>
                            <w:t xml:space="preserve"> </w:t>
                          </w:r>
                          <w:r>
                            <w:rPr>
                              <w:rFonts w:ascii="Arial"/>
                              <w:spacing w:val="3"/>
                              <w:sz w:val="18"/>
                            </w:rPr>
                            <w:t xml:space="preserve"> </w:t>
                          </w:r>
                          <w:r>
                            <w:rPr>
                              <w:rFonts w:ascii="Arial"/>
                              <w:sz w:val="18"/>
                            </w:rPr>
                            <w:t xml:space="preserve">and </w:t>
                          </w:r>
                          <w:r>
                            <w:rPr>
                              <w:rFonts w:ascii="Arial"/>
                              <w:spacing w:val="3"/>
                              <w:sz w:val="18"/>
                            </w:rPr>
                            <w:t xml:space="preserve"> </w:t>
                          </w:r>
                          <w:r>
                            <w:rPr>
                              <w:rFonts w:ascii="Arial"/>
                              <w:spacing w:val="-1"/>
                              <w:sz w:val="18"/>
                            </w:rPr>
                            <w:t>any</w:t>
                          </w:r>
                          <w:r>
                            <w:rPr>
                              <w:rFonts w:ascii="Arial"/>
                              <w:sz w:val="18"/>
                            </w:rPr>
                            <w:t xml:space="preserve"> </w:t>
                          </w:r>
                          <w:r>
                            <w:rPr>
                              <w:rFonts w:ascii="Arial"/>
                              <w:spacing w:val="1"/>
                              <w:sz w:val="18"/>
                            </w:rPr>
                            <w:t xml:space="preserve"> </w:t>
                          </w:r>
                          <w:r>
                            <w:rPr>
                              <w:rFonts w:ascii="Arial"/>
                              <w:spacing w:val="-1"/>
                              <w:sz w:val="18"/>
                            </w:rPr>
                            <w:t>specific</w:t>
                          </w:r>
                        </w:p>
                        <w:p w:rsidR="005D2B81" w:rsidRDefault="005D2B81" w:rsidP="008918FA">
                          <w:pPr>
                            <w:ind w:right="1"/>
                            <w:rPr>
                              <w:rFonts w:ascii="Arial" w:eastAsia="Arial" w:hAnsi="Arial" w:cs="Arial"/>
                              <w:sz w:val="18"/>
                              <w:szCs w:val="18"/>
                            </w:rPr>
                          </w:pPr>
                          <w:r>
                            <w:rPr>
                              <w:rFonts w:ascii="Arial"/>
                              <w:spacing w:val="-1"/>
                              <w:sz w:val="18"/>
                            </w:rPr>
                            <w:t>minimum</w:t>
                          </w:r>
                          <w:r>
                            <w:rPr>
                              <w:rFonts w:ascii="Arial"/>
                              <w:spacing w:val="18"/>
                              <w:sz w:val="18"/>
                            </w:rPr>
                            <w:t xml:space="preserve"> </w:t>
                          </w:r>
                          <w:r>
                            <w:rPr>
                              <w:rFonts w:ascii="Arial"/>
                              <w:spacing w:val="-1"/>
                              <w:sz w:val="18"/>
                            </w:rPr>
                            <w:t>insurance</w:t>
                          </w:r>
                          <w:r>
                            <w:rPr>
                              <w:rFonts w:ascii="Arial"/>
                              <w:spacing w:val="17"/>
                              <w:sz w:val="18"/>
                            </w:rPr>
                            <w:t xml:space="preserve"> </w:t>
                          </w:r>
                          <w:r>
                            <w:rPr>
                              <w:rFonts w:ascii="Arial"/>
                              <w:spacing w:val="-1"/>
                              <w:sz w:val="18"/>
                            </w:rPr>
                            <w:t>policies</w:t>
                          </w:r>
                          <w:r>
                            <w:rPr>
                              <w:rFonts w:ascii="Arial"/>
                              <w:spacing w:val="18"/>
                              <w:sz w:val="18"/>
                            </w:rPr>
                            <w:t xml:space="preserve"> </w:t>
                          </w:r>
                          <w:r>
                            <w:rPr>
                              <w:rFonts w:ascii="Arial"/>
                              <w:spacing w:val="-1"/>
                              <w:sz w:val="18"/>
                            </w:rPr>
                            <w:t>here</w:t>
                          </w:r>
                          <w:r>
                            <w:rPr>
                              <w:rFonts w:ascii="Arial"/>
                              <w:spacing w:val="17"/>
                              <w:sz w:val="18"/>
                            </w:rPr>
                            <w:t xml:space="preserve"> </w:t>
                          </w:r>
                          <w:r>
                            <w:rPr>
                              <w:rFonts w:ascii="Arial"/>
                              <w:sz w:val="18"/>
                            </w:rPr>
                            <w:t>or</w:t>
                          </w:r>
                          <w:r>
                            <w:rPr>
                              <w:rFonts w:ascii="Arial"/>
                              <w:spacing w:val="17"/>
                              <w:sz w:val="18"/>
                            </w:rPr>
                            <w:t xml:space="preserve"> </w:t>
                          </w:r>
                          <w:r>
                            <w:rPr>
                              <w:rFonts w:ascii="Arial"/>
                              <w:sz w:val="18"/>
                            </w:rPr>
                            <w:t>set</w:t>
                          </w:r>
                          <w:r>
                            <w:rPr>
                              <w:rFonts w:ascii="Arial"/>
                              <w:spacing w:val="17"/>
                              <w:sz w:val="18"/>
                            </w:rPr>
                            <w:t xml:space="preserve"> </w:t>
                          </w:r>
                          <w:r>
                            <w:rPr>
                              <w:rFonts w:ascii="Arial"/>
                              <w:sz w:val="18"/>
                            </w:rPr>
                            <w:t>out</w:t>
                          </w:r>
                          <w:r>
                            <w:rPr>
                              <w:rFonts w:ascii="Arial"/>
                              <w:spacing w:val="17"/>
                              <w:sz w:val="18"/>
                            </w:rPr>
                            <w:t xml:space="preserve"> </w:t>
                          </w:r>
                          <w:r>
                            <w:rPr>
                              <w:rFonts w:ascii="Arial"/>
                              <w:spacing w:val="-1"/>
                              <w:sz w:val="18"/>
                            </w:rPr>
                            <w:t>in</w:t>
                          </w:r>
                          <w:r>
                            <w:rPr>
                              <w:rFonts w:ascii="Arial"/>
                              <w:spacing w:val="17"/>
                              <w:sz w:val="18"/>
                            </w:rPr>
                            <w:t xml:space="preserve"> </w:t>
                          </w:r>
                          <w:r>
                            <w:rPr>
                              <w:rFonts w:ascii="Arial"/>
                              <w:sz w:val="18"/>
                            </w:rPr>
                            <w:t>a</w:t>
                          </w:r>
                          <w:r>
                            <w:rPr>
                              <w:rFonts w:ascii="Arial"/>
                              <w:spacing w:val="17"/>
                              <w:sz w:val="18"/>
                            </w:rPr>
                            <w:t xml:space="preserve"> </w:t>
                          </w:r>
                          <w:r>
                            <w:rPr>
                              <w:rFonts w:ascii="Arial"/>
                              <w:spacing w:val="-1"/>
                              <w:sz w:val="18"/>
                            </w:rPr>
                            <w:t>separate</w:t>
                          </w:r>
                          <w:r>
                            <w:rPr>
                              <w:rFonts w:ascii="Arial"/>
                              <w:spacing w:val="15"/>
                              <w:sz w:val="18"/>
                            </w:rPr>
                            <w:t xml:space="preserve"> </w:t>
                          </w:r>
                          <w:r>
                            <w:rPr>
                              <w:rFonts w:ascii="Arial"/>
                              <w:spacing w:val="-1"/>
                              <w:sz w:val="18"/>
                            </w:rPr>
                            <w:t>Call</w:t>
                          </w:r>
                          <w:r>
                            <w:rPr>
                              <w:rFonts w:ascii="Arial"/>
                              <w:spacing w:val="18"/>
                              <w:sz w:val="18"/>
                            </w:rPr>
                            <w:t xml:space="preserve"> </w:t>
                          </w:r>
                          <w:r>
                            <w:rPr>
                              <w:rFonts w:ascii="Arial"/>
                              <w:spacing w:val="-1"/>
                              <w:sz w:val="18"/>
                            </w:rPr>
                            <w:t>Off</w:t>
                          </w:r>
                          <w:r>
                            <w:rPr>
                              <w:rFonts w:ascii="Arial"/>
                              <w:spacing w:val="17"/>
                              <w:sz w:val="18"/>
                            </w:rPr>
                            <w:t xml:space="preserve"> </w:t>
                          </w:r>
                          <w:r>
                            <w:rPr>
                              <w:rFonts w:ascii="Arial"/>
                              <w:spacing w:val="-1"/>
                              <w:sz w:val="18"/>
                            </w:rPr>
                            <w:t>Schedule</w:t>
                          </w:r>
                          <w:r>
                            <w:rPr>
                              <w:rFonts w:ascii="Arial"/>
                              <w:spacing w:val="17"/>
                              <w:sz w:val="18"/>
                            </w:rPr>
                            <w:t xml:space="preserve"> </w:t>
                          </w:r>
                          <w:r>
                            <w:rPr>
                              <w:rFonts w:ascii="Arial"/>
                              <w:sz w:val="18"/>
                            </w:rPr>
                            <w:t>if</w:t>
                          </w:r>
                          <w:r>
                            <w:rPr>
                              <w:rFonts w:ascii="Arial"/>
                              <w:spacing w:val="17"/>
                              <w:sz w:val="18"/>
                            </w:rPr>
                            <w:t xml:space="preserve"> </w:t>
                          </w:r>
                          <w:r>
                            <w:rPr>
                              <w:rFonts w:ascii="Arial"/>
                              <w:spacing w:val="-1"/>
                              <w:sz w:val="18"/>
                            </w:rPr>
                            <w:t>necessary</w:t>
                          </w:r>
                          <w:r>
                            <w:rPr>
                              <w:rFonts w:ascii="Arial"/>
                              <w:spacing w:val="15"/>
                              <w:sz w:val="18"/>
                            </w:rPr>
                            <w:t xml:space="preserve"> </w:t>
                          </w:r>
                          <w:r>
                            <w:rPr>
                              <w:rFonts w:ascii="Arial"/>
                              <w:sz w:val="18"/>
                            </w:rPr>
                            <w:t>and</w:t>
                          </w:r>
                          <w:r>
                            <w:rPr>
                              <w:rFonts w:ascii="Arial"/>
                              <w:spacing w:val="17"/>
                              <w:sz w:val="18"/>
                            </w:rPr>
                            <w:t xml:space="preserve"> </w:t>
                          </w:r>
                          <w:r>
                            <w:rPr>
                              <w:rFonts w:ascii="Arial"/>
                              <w:sz w:val="18"/>
                            </w:rPr>
                            <w:t>cross</w:t>
                          </w:r>
                          <w:r>
                            <w:rPr>
                              <w:rFonts w:ascii="Arial"/>
                              <w:spacing w:val="18"/>
                              <w:sz w:val="18"/>
                            </w:rPr>
                            <w:t xml:space="preserve"> </w:t>
                          </w:r>
                          <w:r>
                            <w:rPr>
                              <w:rFonts w:ascii="Arial"/>
                              <w:spacing w:val="-1"/>
                              <w:sz w:val="18"/>
                            </w:rPr>
                            <w:t>refer</w:t>
                          </w:r>
                          <w:r>
                            <w:rPr>
                              <w:rFonts w:ascii="Arial"/>
                              <w:spacing w:val="17"/>
                              <w:sz w:val="18"/>
                            </w:rPr>
                            <w:t xml:space="preserve"> </w:t>
                          </w:r>
                          <w:r>
                            <w:rPr>
                              <w:rFonts w:ascii="Arial"/>
                              <w:sz w:val="18"/>
                            </w:rPr>
                            <w:t>to</w:t>
                          </w:r>
                          <w:r>
                            <w:rPr>
                              <w:rFonts w:ascii="Arial"/>
                              <w:spacing w:val="17"/>
                              <w:sz w:val="18"/>
                            </w:rPr>
                            <w:t xml:space="preserve"> </w:t>
                          </w:r>
                          <w:r>
                            <w:rPr>
                              <w:rFonts w:ascii="Arial"/>
                              <w:sz w:val="18"/>
                            </w:rPr>
                            <w:t>it</w:t>
                          </w:r>
                          <w:r>
                            <w:rPr>
                              <w:rFonts w:ascii="Arial"/>
                              <w:spacing w:val="89"/>
                              <w:sz w:val="18"/>
                            </w:rPr>
                            <w:t xml:space="preserve"> </w:t>
                          </w:r>
                          <w:r>
                            <w:rPr>
                              <w:rFonts w:ascii="Arial"/>
                              <w:sz w:val="18"/>
                            </w:rPr>
                            <w:t>here]</w:t>
                          </w:r>
                        </w:p>
                      </w:txbxContent>
                    </v:textbox>
                  </v:shape>
                </v:group>
                <w10:anchorlock/>
              </v:group>
            </w:pict>
          </mc:Fallback>
        </mc:AlternateContent>
      </w:r>
    </w:p>
    <w:p w:rsidR="008918FA" w:rsidRDefault="008918FA" w:rsidP="008918FA">
      <w:pPr>
        <w:spacing w:before="8"/>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2C66DCA0" wp14:editId="012AB541">
                <wp:extent cx="5659120" cy="276860"/>
                <wp:effectExtent l="3810" t="0" r="4445" b="1905"/>
                <wp:docPr id="7068" name="Group 7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276860"/>
                          <a:chOff x="0" y="0"/>
                          <a:chExt cx="8912" cy="436"/>
                        </a:xfrm>
                      </wpg:grpSpPr>
                      <wpg:grpSp>
                        <wpg:cNvPr id="7069" name="Group 7064"/>
                        <wpg:cNvGrpSpPr>
                          <a:grpSpLocks/>
                        </wpg:cNvGrpSpPr>
                        <wpg:grpSpPr bwMode="auto">
                          <a:xfrm>
                            <a:off x="182" y="20"/>
                            <a:ext cx="8727" cy="207"/>
                            <a:chOff x="182" y="20"/>
                            <a:chExt cx="8727" cy="207"/>
                          </a:xfrm>
                        </wpg:grpSpPr>
                        <wps:wsp>
                          <wps:cNvPr id="7070" name="Freeform 7065"/>
                          <wps:cNvSpPr>
                            <a:spLocks/>
                          </wps:cNvSpPr>
                          <wps:spPr bwMode="auto">
                            <a:xfrm>
                              <a:off x="182" y="20"/>
                              <a:ext cx="8727" cy="207"/>
                            </a:xfrm>
                            <a:custGeom>
                              <a:avLst/>
                              <a:gdLst>
                                <a:gd name="T0" fmla="+- 0 182 182"/>
                                <a:gd name="T1" fmla="*/ T0 w 8727"/>
                                <a:gd name="T2" fmla="+- 0 227 20"/>
                                <a:gd name="T3" fmla="*/ 227 h 207"/>
                                <a:gd name="T4" fmla="+- 0 8909 182"/>
                                <a:gd name="T5" fmla="*/ T4 w 8727"/>
                                <a:gd name="T6" fmla="+- 0 227 20"/>
                                <a:gd name="T7" fmla="*/ 227 h 207"/>
                                <a:gd name="T8" fmla="+- 0 8909 182"/>
                                <a:gd name="T9" fmla="*/ T8 w 8727"/>
                                <a:gd name="T10" fmla="+- 0 20 20"/>
                                <a:gd name="T11" fmla="*/ 20 h 207"/>
                                <a:gd name="T12" fmla="+- 0 182 182"/>
                                <a:gd name="T13" fmla="*/ T12 w 8727"/>
                                <a:gd name="T14" fmla="+- 0 20 20"/>
                                <a:gd name="T15" fmla="*/ 20 h 207"/>
                                <a:gd name="T16" fmla="+- 0 182 182"/>
                                <a:gd name="T17" fmla="*/ T16 w 8727"/>
                                <a:gd name="T18" fmla="+- 0 227 20"/>
                                <a:gd name="T19" fmla="*/ 227 h 207"/>
                              </a:gdLst>
                              <a:ahLst/>
                              <a:cxnLst>
                                <a:cxn ang="0">
                                  <a:pos x="T1" y="T3"/>
                                </a:cxn>
                                <a:cxn ang="0">
                                  <a:pos x="T5" y="T7"/>
                                </a:cxn>
                                <a:cxn ang="0">
                                  <a:pos x="T9" y="T11"/>
                                </a:cxn>
                                <a:cxn ang="0">
                                  <a:pos x="T13" y="T15"/>
                                </a:cxn>
                                <a:cxn ang="0">
                                  <a:pos x="T17" y="T19"/>
                                </a:cxn>
                              </a:cxnLst>
                              <a:rect l="0" t="0" r="r" b="b"/>
                              <a:pathLst>
                                <a:path w="8727" h="207">
                                  <a:moveTo>
                                    <a:pt x="0" y="207"/>
                                  </a:moveTo>
                                  <a:lnTo>
                                    <a:pt x="8727" y="207"/>
                                  </a:lnTo>
                                  <a:lnTo>
                                    <a:pt x="8727"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1" name="Group 7061"/>
                        <wpg:cNvGrpSpPr>
                          <a:grpSpLocks/>
                        </wpg:cNvGrpSpPr>
                        <wpg:grpSpPr bwMode="auto">
                          <a:xfrm>
                            <a:off x="0" y="227"/>
                            <a:ext cx="7335" cy="209"/>
                            <a:chOff x="0" y="227"/>
                            <a:chExt cx="7335" cy="209"/>
                          </a:xfrm>
                        </wpg:grpSpPr>
                        <wps:wsp>
                          <wps:cNvPr id="7072" name="Freeform 7063"/>
                          <wps:cNvSpPr>
                            <a:spLocks/>
                          </wps:cNvSpPr>
                          <wps:spPr bwMode="auto">
                            <a:xfrm>
                              <a:off x="0" y="227"/>
                              <a:ext cx="7335" cy="209"/>
                            </a:xfrm>
                            <a:custGeom>
                              <a:avLst/>
                              <a:gdLst>
                                <a:gd name="T0" fmla="*/ 0 w 7335"/>
                                <a:gd name="T1" fmla="+- 0 436 227"/>
                                <a:gd name="T2" fmla="*/ 436 h 209"/>
                                <a:gd name="T3" fmla="*/ 7334 w 7335"/>
                                <a:gd name="T4" fmla="+- 0 436 227"/>
                                <a:gd name="T5" fmla="*/ 436 h 209"/>
                                <a:gd name="T6" fmla="*/ 7334 w 7335"/>
                                <a:gd name="T7" fmla="+- 0 227 227"/>
                                <a:gd name="T8" fmla="*/ 227 h 209"/>
                                <a:gd name="T9" fmla="*/ 0 w 7335"/>
                                <a:gd name="T10" fmla="+- 0 227 227"/>
                                <a:gd name="T11" fmla="*/ 227 h 209"/>
                                <a:gd name="T12" fmla="*/ 0 w 7335"/>
                                <a:gd name="T13" fmla="+- 0 436 227"/>
                                <a:gd name="T14" fmla="*/ 436 h 209"/>
                              </a:gdLst>
                              <a:ahLst/>
                              <a:cxnLst>
                                <a:cxn ang="0">
                                  <a:pos x="T0" y="T2"/>
                                </a:cxn>
                                <a:cxn ang="0">
                                  <a:pos x="T3" y="T5"/>
                                </a:cxn>
                                <a:cxn ang="0">
                                  <a:pos x="T6" y="T8"/>
                                </a:cxn>
                                <a:cxn ang="0">
                                  <a:pos x="T9" y="T11"/>
                                </a:cxn>
                                <a:cxn ang="0">
                                  <a:pos x="T12" y="T14"/>
                                </a:cxn>
                              </a:cxnLst>
                              <a:rect l="0" t="0" r="r" b="b"/>
                              <a:pathLst>
                                <a:path w="7335" h="209">
                                  <a:moveTo>
                                    <a:pt x="0" y="209"/>
                                  </a:moveTo>
                                  <a:lnTo>
                                    <a:pt x="7334" y="209"/>
                                  </a:lnTo>
                                  <a:lnTo>
                                    <a:pt x="7334" y="0"/>
                                  </a:lnTo>
                                  <a:lnTo>
                                    <a:pt x="0" y="0"/>
                                  </a:lnTo>
                                  <a:lnTo>
                                    <a:pt x="0" y="20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3" name="Text Box 7062"/>
                          <wps:cNvSpPr txBox="1">
                            <a:spLocks noChangeArrowheads="1"/>
                          </wps:cNvSpPr>
                          <wps:spPr bwMode="auto">
                            <a:xfrm>
                              <a:off x="0" y="0"/>
                              <a:ext cx="891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3" w:line="206" w:lineRule="exact"/>
                                  <w:rPr>
                                    <w:rFonts w:ascii="Arial" w:eastAsia="Arial" w:hAnsi="Arial" w:cs="Arial"/>
                                    <w:sz w:val="18"/>
                                    <w:szCs w:val="18"/>
                                  </w:rPr>
                                </w:pPr>
                                <w:r>
                                  <w:rPr>
                                    <w:rFonts w:ascii="Arial"/>
                                    <w:position w:val="9"/>
                                    <w:sz w:val="12"/>
                                  </w:rPr>
                                  <w:t>39</w:t>
                                </w:r>
                                <w:r>
                                  <w:rPr>
                                    <w:rFonts w:ascii="Arial"/>
                                    <w:spacing w:val="15"/>
                                    <w:position w:val="9"/>
                                    <w:sz w:val="12"/>
                                  </w:rPr>
                                  <w:t xml:space="preserve"> </w:t>
                                </w:r>
                                <w:bookmarkStart w:id="31" w:name="_bookmark39"/>
                                <w:bookmarkEnd w:id="31"/>
                                <w:r>
                                  <w:rPr>
                                    <w:rFonts w:ascii="Arial"/>
                                    <w:spacing w:val="-1"/>
                                    <w:sz w:val="18"/>
                                  </w:rPr>
                                  <w:t>[Guidance</w:t>
                                </w:r>
                                <w:r>
                                  <w:rPr>
                                    <w:rFonts w:ascii="Arial"/>
                                    <w:spacing w:val="15"/>
                                    <w:sz w:val="18"/>
                                  </w:rPr>
                                  <w:t xml:space="preserve"> </w:t>
                                </w:r>
                                <w:r>
                                  <w:rPr>
                                    <w:rFonts w:ascii="Arial"/>
                                    <w:spacing w:val="-1"/>
                                    <w:sz w:val="18"/>
                                  </w:rPr>
                                  <w:t>Note:</w:t>
                                </w:r>
                                <w:r>
                                  <w:rPr>
                                    <w:rFonts w:ascii="Arial"/>
                                    <w:spacing w:val="15"/>
                                    <w:sz w:val="18"/>
                                  </w:rPr>
                                  <w:t xml:space="preserve"> </w:t>
                                </w:r>
                                <w:r>
                                  <w:rPr>
                                    <w:rFonts w:ascii="Arial"/>
                                    <w:spacing w:val="-1"/>
                                    <w:sz w:val="18"/>
                                  </w:rPr>
                                  <w:t>See</w:t>
                                </w:r>
                                <w:r>
                                  <w:rPr>
                                    <w:rFonts w:ascii="Arial"/>
                                    <w:spacing w:val="15"/>
                                    <w:sz w:val="18"/>
                                  </w:rPr>
                                  <w:t xml:space="preserve"> </w:t>
                                </w:r>
                                <w:r>
                                  <w:rPr>
                                    <w:rFonts w:ascii="Arial"/>
                                    <w:spacing w:val="-1"/>
                                    <w:sz w:val="18"/>
                                  </w:rPr>
                                  <w:t>Clause</w:t>
                                </w:r>
                                <w:r>
                                  <w:rPr>
                                    <w:rFonts w:ascii="Arial"/>
                                    <w:spacing w:val="13"/>
                                    <w:sz w:val="18"/>
                                  </w:rPr>
                                  <w:t xml:space="preserve"> </w:t>
                                </w:r>
                                <w:hyperlink w:anchor="_bookmark237" w:history="1">
                                  <w:r>
                                    <w:rPr>
                                      <w:rFonts w:ascii="Arial"/>
                                      <w:sz w:val="18"/>
                                    </w:rPr>
                                    <w:t>41.6</w:t>
                                  </w:r>
                                </w:hyperlink>
                                <w:r>
                                  <w:rPr>
                                    <w:rFonts w:ascii="Arial"/>
                                    <w:spacing w:val="13"/>
                                    <w:sz w:val="18"/>
                                  </w:rPr>
                                  <w:t xml:space="preserve"> </w:t>
                                </w:r>
                                <w:r>
                                  <w:rPr>
                                    <w:rFonts w:ascii="Arial"/>
                                    <w:sz w:val="18"/>
                                  </w:rPr>
                                  <w:t>of</w:t>
                                </w:r>
                                <w:r>
                                  <w:rPr>
                                    <w:rFonts w:ascii="Arial"/>
                                    <w:spacing w:val="15"/>
                                    <w:sz w:val="18"/>
                                  </w:rPr>
                                  <w:t xml:space="preserve"> </w:t>
                                </w:r>
                                <w:r>
                                  <w:rPr>
                                    <w:rFonts w:ascii="Arial"/>
                                    <w:spacing w:val="-1"/>
                                    <w:sz w:val="18"/>
                                  </w:rPr>
                                  <w:t>the</w:t>
                                </w:r>
                                <w:r>
                                  <w:rPr>
                                    <w:rFonts w:ascii="Arial"/>
                                    <w:spacing w:val="15"/>
                                    <w:sz w:val="18"/>
                                  </w:rPr>
                                  <w:t xml:space="preserve"> </w:t>
                                </w:r>
                                <w:r>
                                  <w:rPr>
                                    <w:rFonts w:ascii="Arial"/>
                                    <w:spacing w:val="-1"/>
                                    <w:sz w:val="18"/>
                                  </w:rPr>
                                  <w:t>Template</w:t>
                                </w:r>
                                <w:r>
                                  <w:rPr>
                                    <w:rFonts w:ascii="Arial"/>
                                    <w:spacing w:val="15"/>
                                    <w:sz w:val="18"/>
                                  </w:rPr>
                                  <w:t xml:space="preserve"> </w:t>
                                </w:r>
                                <w:r>
                                  <w:rPr>
                                    <w:rFonts w:ascii="Arial"/>
                                    <w:spacing w:val="-1"/>
                                    <w:sz w:val="18"/>
                                  </w:rPr>
                                  <w:t>Call</w:t>
                                </w:r>
                                <w:r>
                                  <w:rPr>
                                    <w:rFonts w:ascii="Arial"/>
                                    <w:spacing w:val="15"/>
                                    <w:sz w:val="18"/>
                                  </w:rPr>
                                  <w:t xml:space="preserve"> </w:t>
                                </w:r>
                                <w:r>
                                  <w:rPr>
                                    <w:rFonts w:ascii="Arial"/>
                                    <w:spacing w:val="-1"/>
                                    <w:sz w:val="18"/>
                                  </w:rPr>
                                  <w:t>Off</w:t>
                                </w:r>
                                <w:r>
                                  <w:rPr>
                                    <w:rFonts w:ascii="Arial"/>
                                    <w:spacing w:val="10"/>
                                    <w:sz w:val="18"/>
                                  </w:rPr>
                                  <w:t xml:space="preserve"> </w:t>
                                </w:r>
                                <w:r>
                                  <w:rPr>
                                    <w:rFonts w:ascii="Arial"/>
                                    <w:sz w:val="18"/>
                                  </w:rPr>
                                  <w:t>Terms.</w:t>
                                </w:r>
                                <w:r>
                                  <w:rPr>
                                    <w:rFonts w:ascii="Arial"/>
                                    <w:spacing w:val="15"/>
                                    <w:sz w:val="18"/>
                                  </w:rPr>
                                  <w:t xml:space="preserve"> </w:t>
                                </w:r>
                                <w:r>
                                  <w:rPr>
                                    <w:rFonts w:ascii="Arial"/>
                                    <w:spacing w:val="-1"/>
                                    <w:sz w:val="18"/>
                                  </w:rPr>
                                  <w:t>Consider</w:t>
                                </w:r>
                                <w:r>
                                  <w:rPr>
                                    <w:rFonts w:ascii="Arial"/>
                                    <w:spacing w:val="14"/>
                                    <w:sz w:val="18"/>
                                  </w:rPr>
                                  <w:t xml:space="preserve"> </w:t>
                                </w:r>
                                <w:r>
                                  <w:rPr>
                                    <w:rFonts w:ascii="Arial"/>
                                    <w:sz w:val="18"/>
                                  </w:rPr>
                                  <w:t>if</w:t>
                                </w:r>
                                <w:r>
                                  <w:rPr>
                                    <w:rFonts w:ascii="Arial"/>
                                    <w:spacing w:val="12"/>
                                    <w:sz w:val="18"/>
                                  </w:rPr>
                                  <w:t xml:space="preserve"> </w:t>
                                </w:r>
                                <w:r>
                                  <w:rPr>
                                    <w:rFonts w:ascii="Arial"/>
                                    <w:spacing w:val="-1"/>
                                    <w:sz w:val="18"/>
                                  </w:rPr>
                                  <w:t>you</w:t>
                                </w:r>
                                <w:r>
                                  <w:rPr>
                                    <w:rFonts w:ascii="Arial"/>
                                    <w:spacing w:val="15"/>
                                    <w:sz w:val="18"/>
                                  </w:rPr>
                                  <w:t xml:space="preserve"> </w:t>
                                </w:r>
                                <w:r>
                                  <w:rPr>
                                    <w:rFonts w:ascii="Arial"/>
                                    <w:spacing w:val="-1"/>
                                    <w:sz w:val="18"/>
                                  </w:rPr>
                                  <w:t>require</w:t>
                                </w:r>
                                <w:r>
                                  <w:rPr>
                                    <w:rFonts w:ascii="Arial"/>
                                    <w:spacing w:val="15"/>
                                    <w:sz w:val="18"/>
                                  </w:rPr>
                                  <w:t xml:space="preserve"> </w:t>
                                </w:r>
                                <w:r>
                                  <w:rPr>
                                    <w:rFonts w:ascii="Arial"/>
                                    <w:sz w:val="18"/>
                                  </w:rPr>
                                  <w:t>a</w:t>
                                </w:r>
                                <w:r>
                                  <w:rPr>
                                    <w:rFonts w:ascii="Arial"/>
                                    <w:spacing w:val="15"/>
                                    <w:sz w:val="18"/>
                                  </w:rPr>
                                  <w:t xml:space="preserve"> </w:t>
                                </w:r>
                                <w:r>
                                  <w:rPr>
                                    <w:rFonts w:ascii="Arial"/>
                                    <w:spacing w:val="-1"/>
                                    <w:sz w:val="18"/>
                                  </w:rPr>
                                  <w:t>different</w:t>
                                </w:r>
                                <w:r>
                                  <w:rPr>
                                    <w:rFonts w:ascii="Arial"/>
                                    <w:spacing w:val="15"/>
                                    <w:sz w:val="18"/>
                                  </w:rPr>
                                  <w:t xml:space="preserve"> </w:t>
                                </w:r>
                                <w:r>
                                  <w:rPr>
                                    <w:rFonts w:ascii="Arial"/>
                                    <w:spacing w:val="-1"/>
                                    <w:sz w:val="18"/>
                                  </w:rPr>
                                  <w:t>notice</w:t>
                                </w:r>
                                <w:r>
                                  <w:rPr>
                                    <w:rFonts w:ascii="Arial"/>
                                    <w:spacing w:val="67"/>
                                    <w:sz w:val="18"/>
                                  </w:rPr>
                                  <w:t xml:space="preserve"> </w:t>
                                </w:r>
                                <w:r>
                                  <w:rPr>
                                    <w:rFonts w:ascii="Arial"/>
                                    <w:sz w:val="18"/>
                                  </w:rPr>
                                  <w:t>period</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respect</w:t>
                                </w:r>
                                <w:r>
                                  <w:rPr>
                                    <w:rFonts w:ascii="Arial"/>
                                    <w:spacing w:val="-2"/>
                                    <w:sz w:val="18"/>
                                  </w:rPr>
                                  <w:t xml:space="preserve"> </w:t>
                                </w:r>
                                <w:r>
                                  <w:rPr>
                                    <w:rFonts w:ascii="Arial"/>
                                    <w:sz w:val="18"/>
                                  </w:rPr>
                                  <w:t xml:space="preserve">of </w:t>
                                </w:r>
                                <w:r>
                                  <w:rPr>
                                    <w:rFonts w:ascii="Arial"/>
                                    <w:spacing w:val="-1"/>
                                    <w:sz w:val="18"/>
                                  </w:rPr>
                                  <w:t>termination</w:t>
                                </w:r>
                                <w:r>
                                  <w:rPr>
                                    <w:rFonts w:ascii="Arial"/>
                                    <w:spacing w:val="1"/>
                                    <w:sz w:val="18"/>
                                  </w:rPr>
                                  <w:t xml:space="preserve"> </w:t>
                                </w:r>
                                <w:r>
                                  <w:rPr>
                                    <w:rFonts w:ascii="Arial"/>
                                    <w:spacing w:val="-1"/>
                                    <w:sz w:val="18"/>
                                  </w:rPr>
                                  <w:t>without</w:t>
                                </w:r>
                                <w:r>
                                  <w:rPr>
                                    <w:rFonts w:ascii="Arial"/>
                                    <w:sz w:val="18"/>
                                  </w:rPr>
                                  <w:t xml:space="preserve"> </w:t>
                                </w:r>
                                <w:r>
                                  <w:rPr>
                                    <w:rFonts w:ascii="Arial"/>
                                    <w:spacing w:val="-1"/>
                                    <w:sz w:val="18"/>
                                  </w:rPr>
                                  <w:t>cause.</w:t>
                                </w:r>
                                <w:r>
                                  <w:rPr>
                                    <w:rFonts w:ascii="Arial"/>
                                    <w:sz w:val="18"/>
                                  </w:rPr>
                                  <w:t xml:space="preserve"> If</w:t>
                                </w:r>
                                <w:r>
                                  <w:rPr>
                                    <w:rFonts w:ascii="Arial"/>
                                    <w:spacing w:val="-2"/>
                                    <w:sz w:val="18"/>
                                  </w:rPr>
                                  <w:t xml:space="preserve"> </w:t>
                                </w:r>
                                <w:r>
                                  <w:rPr>
                                    <w:rFonts w:ascii="Arial"/>
                                    <w:sz w:val="18"/>
                                  </w:rPr>
                                  <w:t>so</w:t>
                                </w:r>
                                <w:r>
                                  <w:rPr>
                                    <w:rFonts w:ascii="Arial"/>
                                    <w:spacing w:val="-2"/>
                                    <w:sz w:val="18"/>
                                  </w:rPr>
                                  <w:t xml:space="preserve"> </w:t>
                                </w:r>
                                <w:r>
                                  <w:rPr>
                                    <w:rFonts w:ascii="Arial"/>
                                    <w:spacing w:val="-1"/>
                                    <w:sz w:val="18"/>
                                  </w:rPr>
                                  <w:t>amend</w:t>
                                </w:r>
                                <w:r>
                                  <w:rPr>
                                    <w:rFonts w:ascii="Arial"/>
                                    <w:spacing w:val="-2"/>
                                    <w:sz w:val="18"/>
                                  </w:rPr>
                                  <w:t xml:space="preserve"> </w:t>
                                </w:r>
                                <w:r>
                                  <w:rPr>
                                    <w:rFonts w:ascii="Arial"/>
                                    <w:spacing w:val="-1"/>
                                    <w:sz w:val="18"/>
                                  </w:rPr>
                                  <w:t>in</w:t>
                                </w:r>
                                <w:r>
                                  <w:rPr>
                                    <w:rFonts w:ascii="Arial"/>
                                    <w:spacing w:val="1"/>
                                    <w:sz w:val="18"/>
                                  </w:rPr>
                                  <w:t xml:space="preserve"> </w:t>
                                </w:r>
                                <w:r>
                                  <w:rPr>
                                    <w:rFonts w:ascii="Arial"/>
                                    <w:spacing w:val="-1"/>
                                    <w:sz w:val="18"/>
                                  </w:rPr>
                                  <w:t>this</w:t>
                                </w:r>
                                <w:r>
                                  <w:rPr>
                                    <w:rFonts w:ascii="Arial"/>
                                    <w:spacing w:val="1"/>
                                    <w:sz w:val="18"/>
                                  </w:rPr>
                                  <w:t xml:space="preserve"> </w:t>
                                </w:r>
                                <w:r>
                                  <w:rPr>
                                    <w:rFonts w:ascii="Arial"/>
                                    <w:spacing w:val="-1"/>
                                    <w:sz w:val="18"/>
                                  </w:rPr>
                                  <w:t>section</w:t>
                                </w:r>
                                <w:r>
                                  <w:rPr>
                                    <w:rFonts w:ascii="Arial"/>
                                    <w:spacing w:val="-2"/>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Order</w:t>
                                </w:r>
                                <w:r>
                                  <w:rPr>
                                    <w:rFonts w:ascii="Arial"/>
                                    <w:spacing w:val="-2"/>
                                    <w:sz w:val="18"/>
                                  </w:rPr>
                                  <w:t xml:space="preserve"> </w:t>
                                </w:r>
                                <w:r>
                                  <w:rPr>
                                    <w:rFonts w:ascii="Arial"/>
                                    <w:spacing w:val="-1"/>
                                    <w:sz w:val="18"/>
                                  </w:rPr>
                                  <w:t>Form]</w:t>
                                </w:r>
                              </w:p>
                            </w:txbxContent>
                          </wps:txbx>
                          <wps:bodyPr rot="0" vert="horz" wrap="square" lIns="0" tIns="0" rIns="0" bIns="0" anchor="t" anchorCtr="0" upright="1">
                            <a:noAutofit/>
                          </wps:bodyPr>
                        </wps:wsp>
                      </wpg:grpSp>
                    </wpg:wgp>
                  </a:graphicData>
                </a:graphic>
              </wp:inline>
            </w:drawing>
          </mc:Choice>
          <mc:Fallback>
            <w:pict>
              <v:group w14:anchorId="2C66DCA0" id="Group 7060" o:spid="_x0000_s1135" style="width:445.6pt;height:21.8pt;mso-position-horizontal-relative:char;mso-position-vertical-relative:line" coordsize="89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">
                <v:group id="Group 7064" o:spid="_x0000_s1136" style="position:absolute;left:182;top:20;width:8727;height:207" coordorigin="182,20" coordsize="872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vffMYAAADdAAAADwAAAGRycy9kb3ducmV2LnhtbESPQWvCQBSE70L/w/IK&#10;vekmLbU1dRWRKh5EMAri7ZF9JsHs25DdJvHfdwXB4zAz3zDTeW8q0VLjSssK4lEEgjizuuRcwfGw&#10;Gn6DcB5ZY2WZFNzIwXz2Mphiom3He2pTn4sAYZeggsL7OpHSZQUZdCNbEwfvYhuDPsgml7rBLsBN&#10;Jd+jaCwNlhwWCqxpWVB2Tf+MgnWH3eIj/m2318vydj587k7bmJR6e+0XPyA89f4ZfrQ3WsFXN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q998xgAAAN0A&#10;AAAPAAAAAAAAAAAAAAAAAKoCAABkcnMvZG93bnJldi54bWxQSwUGAAAAAAQABAD6AAAAnQMAAAAA&#10;">
                  <v:shape id="Freeform 7065" o:spid="_x0000_s1137" style="position:absolute;left:182;top:20;width:8727;height:207;visibility:visible;mso-wrap-style:square;v-text-anchor:top" coordsize="872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B78IA&#10;AADdAAAADwAAAGRycy9kb3ducmV2LnhtbERP3WrCMBS+F/YO4Qx2Z9PJUNc1SpEOJrsQ6x7grDlr&#10;S5uTkmS2vv1yMfDy4/vP97MZxJWc7ywreE5SEMS11R03Cr4u78stCB+QNQ6WScGNPOx3D4scM20n&#10;PtO1Co2IIewzVNCGMGZS+rolgz6xI3HkfqwzGCJ0jdQOpxhuBrlK07U02HFsaHGkQ0t1X/0aBXUZ&#10;fO9eXrn7Lk58nD7Lm6NeqafHuXgDEWgOd/G/+0Mr2KSbuD++i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wHvwgAAAN0AAAAPAAAAAAAAAAAAAAAAAJgCAABkcnMvZG93&#10;bnJldi54bWxQSwUGAAAAAAQABAD1AAAAhwMAAAAA&#10;" path="m,207r8727,l8727,,,,,207xe" fillcolor="lime" stroked="f">
                    <v:path arrowok="t" o:connecttype="custom" o:connectlocs="0,227;8727,227;8727,20;0,20;0,227" o:connectangles="0,0,0,0,0"/>
                  </v:shape>
                </v:group>
                <v:group id="Group 7061" o:spid="_x0000_s1138" style="position:absolute;top:227;width:7335;height:209" coordorigin=",227" coordsize="7335,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RFp8YAAADdAAAADwAAAGRycy9kb3ducmV2LnhtbESPT4vCMBTE74LfITzB&#10;m6ZVdl26RhFR8SAL/oFlb4/m2Rabl9LEtn77jSB4HGbmN8x82ZlSNFS7wrKCeByBIE6tLjhTcDlv&#10;R18gnEfWWFomBQ9ysFz0e3NMtG35SM3JZyJA2CWoIPe+SqR0aU4G3dhWxMG72tqgD7LOpK6xDXBT&#10;ykkUfUqDBYeFHCta55TeTnejYNdiu5rGm+Zwu64ff+ePn99DTEoNB93qG4Snzr/Dr/ZeK5hF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BEWnxgAAAN0A&#10;AAAPAAAAAAAAAAAAAAAAAKoCAABkcnMvZG93bnJldi54bWxQSwUGAAAAAAQABAD6AAAAnQMAAAAA&#10;">
                  <v:shape id="Freeform 7063" o:spid="_x0000_s1139" style="position:absolute;top:227;width:7335;height:209;visibility:visible;mso-wrap-style:square;v-text-anchor:top" coordsize="733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AbcIA&#10;AADdAAAADwAAAGRycy9kb3ducmV2LnhtbESPwWrDMBBE74X+g9hCb7XcHJzgWA6lJKGXHJrmAzbW&#10;1ja2VkJSbPfvq0Chx2Fm3jDVbjGjmMiH3rKC1ywHQdxY3XOr4PJ1eNmACBFZ42iZFPxQgF39+FBh&#10;qe3MnzSdYysShEOJCroYXSllaDoyGDLriJP3bb3BmKRvpfY4J7gZ5SrPC2mw57TQoaP3jprhfDMK&#10;Ct6fhqucSDt/1K5vNkwUlHp+Wt62ICIt8T/81/7QCtb5egX3N+kJy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0BtwgAAAN0AAAAPAAAAAAAAAAAAAAAAAJgCAABkcnMvZG93&#10;bnJldi54bWxQSwUGAAAAAAQABAD1AAAAhwMAAAAA&#10;" path="m,209r7334,l7334,,,,,209xe" fillcolor="lime" stroked="f">
                    <v:path arrowok="t" o:connecttype="custom" o:connectlocs="0,436;7334,436;7334,227;0,227;0,436" o:connectangles="0,0,0,0,0"/>
                  </v:shape>
                  <v:shape id="Text Box 7062" o:spid="_x0000_s1140" type="#_x0000_t202" style="position:absolute;width:891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kMYA&#10;AADdAAAADwAAAGRycy9kb3ducmV2LnhtbESPQWsCMRSE70L/Q3gFb5rUgrZbo4hYKBTEdXvo8XXz&#10;3A1uXtZN1O2/bwShx2FmvmHmy9414kJdsJ41PI0VCOLSG8uVhq/iffQCIkRkg41n0vBLAZaLh8Ec&#10;M+OvnNNlHyuRIBwy1FDH2GZShrImh2HsW+LkHXznMCbZVdJ0eE1w18iJUlPp0HJaqLGldU3lcX92&#10;GlbfnG/safuzyw+5LYpXxZ/To9bDx371BiJSH//D9/aH0TBTs2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2kMYAAADdAAAADwAAAAAAAAAAAAAAAACYAgAAZHJz&#10;L2Rvd25yZXYueG1sUEsFBgAAAAAEAAQA9QAAAIsDAAAAAA==&#10;" filled="f" stroked="f">
                    <v:textbox inset="0,0,0,0">
                      <w:txbxContent>
                        <w:p w:rsidR="005D2B81" w:rsidRDefault="005D2B81" w:rsidP="008918FA">
                          <w:pPr>
                            <w:spacing w:before="23" w:line="206" w:lineRule="exact"/>
                            <w:rPr>
                              <w:rFonts w:ascii="Arial" w:eastAsia="Arial" w:hAnsi="Arial" w:cs="Arial"/>
                              <w:sz w:val="18"/>
                              <w:szCs w:val="18"/>
                            </w:rPr>
                          </w:pPr>
                          <w:r>
                            <w:rPr>
                              <w:rFonts w:ascii="Arial"/>
                              <w:position w:val="9"/>
                              <w:sz w:val="12"/>
                            </w:rPr>
                            <w:t>39</w:t>
                          </w:r>
                          <w:r>
                            <w:rPr>
                              <w:rFonts w:ascii="Arial"/>
                              <w:spacing w:val="15"/>
                              <w:position w:val="9"/>
                              <w:sz w:val="12"/>
                            </w:rPr>
                            <w:t xml:space="preserve"> </w:t>
                          </w:r>
                          <w:bookmarkStart w:id="39" w:name="_bookmark39"/>
                          <w:bookmarkEnd w:id="39"/>
                          <w:r>
                            <w:rPr>
                              <w:rFonts w:ascii="Arial"/>
                              <w:spacing w:val="-1"/>
                              <w:sz w:val="18"/>
                            </w:rPr>
                            <w:t>[Guidance</w:t>
                          </w:r>
                          <w:r>
                            <w:rPr>
                              <w:rFonts w:ascii="Arial"/>
                              <w:spacing w:val="15"/>
                              <w:sz w:val="18"/>
                            </w:rPr>
                            <w:t xml:space="preserve"> </w:t>
                          </w:r>
                          <w:r>
                            <w:rPr>
                              <w:rFonts w:ascii="Arial"/>
                              <w:spacing w:val="-1"/>
                              <w:sz w:val="18"/>
                            </w:rPr>
                            <w:t>Note:</w:t>
                          </w:r>
                          <w:r>
                            <w:rPr>
                              <w:rFonts w:ascii="Arial"/>
                              <w:spacing w:val="15"/>
                              <w:sz w:val="18"/>
                            </w:rPr>
                            <w:t xml:space="preserve"> </w:t>
                          </w:r>
                          <w:r>
                            <w:rPr>
                              <w:rFonts w:ascii="Arial"/>
                              <w:spacing w:val="-1"/>
                              <w:sz w:val="18"/>
                            </w:rPr>
                            <w:t>See</w:t>
                          </w:r>
                          <w:r>
                            <w:rPr>
                              <w:rFonts w:ascii="Arial"/>
                              <w:spacing w:val="15"/>
                              <w:sz w:val="18"/>
                            </w:rPr>
                            <w:t xml:space="preserve"> </w:t>
                          </w:r>
                          <w:r>
                            <w:rPr>
                              <w:rFonts w:ascii="Arial"/>
                              <w:spacing w:val="-1"/>
                              <w:sz w:val="18"/>
                            </w:rPr>
                            <w:t>Clause</w:t>
                          </w:r>
                          <w:r>
                            <w:rPr>
                              <w:rFonts w:ascii="Arial"/>
                              <w:spacing w:val="13"/>
                              <w:sz w:val="18"/>
                            </w:rPr>
                            <w:t xml:space="preserve"> </w:t>
                          </w:r>
                          <w:hyperlink w:anchor="_bookmark237" w:history="1">
                            <w:r>
                              <w:rPr>
                                <w:rFonts w:ascii="Arial"/>
                                <w:sz w:val="18"/>
                              </w:rPr>
                              <w:t>41.6</w:t>
                            </w:r>
                          </w:hyperlink>
                          <w:r>
                            <w:rPr>
                              <w:rFonts w:ascii="Arial"/>
                              <w:spacing w:val="13"/>
                              <w:sz w:val="18"/>
                            </w:rPr>
                            <w:t xml:space="preserve"> </w:t>
                          </w:r>
                          <w:r>
                            <w:rPr>
                              <w:rFonts w:ascii="Arial"/>
                              <w:sz w:val="18"/>
                            </w:rPr>
                            <w:t>of</w:t>
                          </w:r>
                          <w:r>
                            <w:rPr>
                              <w:rFonts w:ascii="Arial"/>
                              <w:spacing w:val="15"/>
                              <w:sz w:val="18"/>
                            </w:rPr>
                            <w:t xml:space="preserve"> </w:t>
                          </w:r>
                          <w:r>
                            <w:rPr>
                              <w:rFonts w:ascii="Arial"/>
                              <w:spacing w:val="-1"/>
                              <w:sz w:val="18"/>
                            </w:rPr>
                            <w:t>the</w:t>
                          </w:r>
                          <w:r>
                            <w:rPr>
                              <w:rFonts w:ascii="Arial"/>
                              <w:spacing w:val="15"/>
                              <w:sz w:val="18"/>
                            </w:rPr>
                            <w:t xml:space="preserve"> </w:t>
                          </w:r>
                          <w:r>
                            <w:rPr>
                              <w:rFonts w:ascii="Arial"/>
                              <w:spacing w:val="-1"/>
                              <w:sz w:val="18"/>
                            </w:rPr>
                            <w:t>Template</w:t>
                          </w:r>
                          <w:r>
                            <w:rPr>
                              <w:rFonts w:ascii="Arial"/>
                              <w:spacing w:val="15"/>
                              <w:sz w:val="18"/>
                            </w:rPr>
                            <w:t xml:space="preserve"> </w:t>
                          </w:r>
                          <w:r>
                            <w:rPr>
                              <w:rFonts w:ascii="Arial"/>
                              <w:spacing w:val="-1"/>
                              <w:sz w:val="18"/>
                            </w:rPr>
                            <w:t>Call</w:t>
                          </w:r>
                          <w:r>
                            <w:rPr>
                              <w:rFonts w:ascii="Arial"/>
                              <w:spacing w:val="15"/>
                              <w:sz w:val="18"/>
                            </w:rPr>
                            <w:t xml:space="preserve"> </w:t>
                          </w:r>
                          <w:r>
                            <w:rPr>
                              <w:rFonts w:ascii="Arial"/>
                              <w:spacing w:val="-1"/>
                              <w:sz w:val="18"/>
                            </w:rPr>
                            <w:t>Off</w:t>
                          </w:r>
                          <w:r>
                            <w:rPr>
                              <w:rFonts w:ascii="Arial"/>
                              <w:spacing w:val="10"/>
                              <w:sz w:val="18"/>
                            </w:rPr>
                            <w:t xml:space="preserve"> </w:t>
                          </w:r>
                          <w:r>
                            <w:rPr>
                              <w:rFonts w:ascii="Arial"/>
                              <w:sz w:val="18"/>
                            </w:rPr>
                            <w:t>Terms.</w:t>
                          </w:r>
                          <w:r>
                            <w:rPr>
                              <w:rFonts w:ascii="Arial"/>
                              <w:spacing w:val="15"/>
                              <w:sz w:val="18"/>
                            </w:rPr>
                            <w:t xml:space="preserve"> </w:t>
                          </w:r>
                          <w:r>
                            <w:rPr>
                              <w:rFonts w:ascii="Arial"/>
                              <w:spacing w:val="-1"/>
                              <w:sz w:val="18"/>
                            </w:rPr>
                            <w:t>Consider</w:t>
                          </w:r>
                          <w:r>
                            <w:rPr>
                              <w:rFonts w:ascii="Arial"/>
                              <w:spacing w:val="14"/>
                              <w:sz w:val="18"/>
                            </w:rPr>
                            <w:t xml:space="preserve"> </w:t>
                          </w:r>
                          <w:r>
                            <w:rPr>
                              <w:rFonts w:ascii="Arial"/>
                              <w:sz w:val="18"/>
                            </w:rPr>
                            <w:t>if</w:t>
                          </w:r>
                          <w:r>
                            <w:rPr>
                              <w:rFonts w:ascii="Arial"/>
                              <w:spacing w:val="12"/>
                              <w:sz w:val="18"/>
                            </w:rPr>
                            <w:t xml:space="preserve"> </w:t>
                          </w:r>
                          <w:r>
                            <w:rPr>
                              <w:rFonts w:ascii="Arial"/>
                              <w:spacing w:val="-1"/>
                              <w:sz w:val="18"/>
                            </w:rPr>
                            <w:t>you</w:t>
                          </w:r>
                          <w:r>
                            <w:rPr>
                              <w:rFonts w:ascii="Arial"/>
                              <w:spacing w:val="15"/>
                              <w:sz w:val="18"/>
                            </w:rPr>
                            <w:t xml:space="preserve"> </w:t>
                          </w:r>
                          <w:r>
                            <w:rPr>
                              <w:rFonts w:ascii="Arial"/>
                              <w:spacing w:val="-1"/>
                              <w:sz w:val="18"/>
                            </w:rPr>
                            <w:t>require</w:t>
                          </w:r>
                          <w:r>
                            <w:rPr>
                              <w:rFonts w:ascii="Arial"/>
                              <w:spacing w:val="15"/>
                              <w:sz w:val="18"/>
                            </w:rPr>
                            <w:t xml:space="preserve"> </w:t>
                          </w:r>
                          <w:r>
                            <w:rPr>
                              <w:rFonts w:ascii="Arial"/>
                              <w:sz w:val="18"/>
                            </w:rPr>
                            <w:t>a</w:t>
                          </w:r>
                          <w:r>
                            <w:rPr>
                              <w:rFonts w:ascii="Arial"/>
                              <w:spacing w:val="15"/>
                              <w:sz w:val="18"/>
                            </w:rPr>
                            <w:t xml:space="preserve"> </w:t>
                          </w:r>
                          <w:r>
                            <w:rPr>
                              <w:rFonts w:ascii="Arial"/>
                              <w:spacing w:val="-1"/>
                              <w:sz w:val="18"/>
                            </w:rPr>
                            <w:t>different</w:t>
                          </w:r>
                          <w:r>
                            <w:rPr>
                              <w:rFonts w:ascii="Arial"/>
                              <w:spacing w:val="15"/>
                              <w:sz w:val="18"/>
                            </w:rPr>
                            <w:t xml:space="preserve"> </w:t>
                          </w:r>
                          <w:r>
                            <w:rPr>
                              <w:rFonts w:ascii="Arial"/>
                              <w:spacing w:val="-1"/>
                              <w:sz w:val="18"/>
                            </w:rPr>
                            <w:t>notice</w:t>
                          </w:r>
                          <w:r>
                            <w:rPr>
                              <w:rFonts w:ascii="Arial"/>
                              <w:spacing w:val="67"/>
                              <w:sz w:val="18"/>
                            </w:rPr>
                            <w:t xml:space="preserve"> </w:t>
                          </w:r>
                          <w:r>
                            <w:rPr>
                              <w:rFonts w:ascii="Arial"/>
                              <w:sz w:val="18"/>
                            </w:rPr>
                            <w:t>period</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respect</w:t>
                          </w:r>
                          <w:r>
                            <w:rPr>
                              <w:rFonts w:ascii="Arial"/>
                              <w:spacing w:val="-2"/>
                              <w:sz w:val="18"/>
                            </w:rPr>
                            <w:t xml:space="preserve"> </w:t>
                          </w:r>
                          <w:r>
                            <w:rPr>
                              <w:rFonts w:ascii="Arial"/>
                              <w:sz w:val="18"/>
                            </w:rPr>
                            <w:t xml:space="preserve">of </w:t>
                          </w:r>
                          <w:r>
                            <w:rPr>
                              <w:rFonts w:ascii="Arial"/>
                              <w:spacing w:val="-1"/>
                              <w:sz w:val="18"/>
                            </w:rPr>
                            <w:t>termination</w:t>
                          </w:r>
                          <w:r>
                            <w:rPr>
                              <w:rFonts w:ascii="Arial"/>
                              <w:spacing w:val="1"/>
                              <w:sz w:val="18"/>
                            </w:rPr>
                            <w:t xml:space="preserve"> </w:t>
                          </w:r>
                          <w:r>
                            <w:rPr>
                              <w:rFonts w:ascii="Arial"/>
                              <w:spacing w:val="-1"/>
                              <w:sz w:val="18"/>
                            </w:rPr>
                            <w:t>without</w:t>
                          </w:r>
                          <w:r>
                            <w:rPr>
                              <w:rFonts w:ascii="Arial"/>
                              <w:sz w:val="18"/>
                            </w:rPr>
                            <w:t xml:space="preserve"> </w:t>
                          </w:r>
                          <w:r>
                            <w:rPr>
                              <w:rFonts w:ascii="Arial"/>
                              <w:spacing w:val="-1"/>
                              <w:sz w:val="18"/>
                            </w:rPr>
                            <w:t>cause.</w:t>
                          </w:r>
                          <w:r>
                            <w:rPr>
                              <w:rFonts w:ascii="Arial"/>
                              <w:sz w:val="18"/>
                            </w:rPr>
                            <w:t xml:space="preserve"> If</w:t>
                          </w:r>
                          <w:r>
                            <w:rPr>
                              <w:rFonts w:ascii="Arial"/>
                              <w:spacing w:val="-2"/>
                              <w:sz w:val="18"/>
                            </w:rPr>
                            <w:t xml:space="preserve"> </w:t>
                          </w:r>
                          <w:r>
                            <w:rPr>
                              <w:rFonts w:ascii="Arial"/>
                              <w:sz w:val="18"/>
                            </w:rPr>
                            <w:t>so</w:t>
                          </w:r>
                          <w:r>
                            <w:rPr>
                              <w:rFonts w:ascii="Arial"/>
                              <w:spacing w:val="-2"/>
                              <w:sz w:val="18"/>
                            </w:rPr>
                            <w:t xml:space="preserve"> </w:t>
                          </w:r>
                          <w:r>
                            <w:rPr>
                              <w:rFonts w:ascii="Arial"/>
                              <w:spacing w:val="-1"/>
                              <w:sz w:val="18"/>
                            </w:rPr>
                            <w:t>amend</w:t>
                          </w:r>
                          <w:r>
                            <w:rPr>
                              <w:rFonts w:ascii="Arial"/>
                              <w:spacing w:val="-2"/>
                              <w:sz w:val="18"/>
                            </w:rPr>
                            <w:t xml:space="preserve"> </w:t>
                          </w:r>
                          <w:r>
                            <w:rPr>
                              <w:rFonts w:ascii="Arial"/>
                              <w:spacing w:val="-1"/>
                              <w:sz w:val="18"/>
                            </w:rPr>
                            <w:t>in</w:t>
                          </w:r>
                          <w:r>
                            <w:rPr>
                              <w:rFonts w:ascii="Arial"/>
                              <w:spacing w:val="1"/>
                              <w:sz w:val="18"/>
                            </w:rPr>
                            <w:t xml:space="preserve"> </w:t>
                          </w:r>
                          <w:r>
                            <w:rPr>
                              <w:rFonts w:ascii="Arial"/>
                              <w:spacing w:val="-1"/>
                              <w:sz w:val="18"/>
                            </w:rPr>
                            <w:t>this</w:t>
                          </w:r>
                          <w:r>
                            <w:rPr>
                              <w:rFonts w:ascii="Arial"/>
                              <w:spacing w:val="1"/>
                              <w:sz w:val="18"/>
                            </w:rPr>
                            <w:t xml:space="preserve"> </w:t>
                          </w:r>
                          <w:r>
                            <w:rPr>
                              <w:rFonts w:ascii="Arial"/>
                              <w:spacing w:val="-1"/>
                              <w:sz w:val="18"/>
                            </w:rPr>
                            <w:t>section</w:t>
                          </w:r>
                          <w:r>
                            <w:rPr>
                              <w:rFonts w:ascii="Arial"/>
                              <w:spacing w:val="-2"/>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Order</w:t>
                          </w:r>
                          <w:r>
                            <w:rPr>
                              <w:rFonts w:ascii="Arial"/>
                              <w:spacing w:val="-2"/>
                              <w:sz w:val="18"/>
                            </w:rPr>
                            <w:t xml:space="preserve"> </w:t>
                          </w:r>
                          <w:r>
                            <w:rPr>
                              <w:rFonts w:ascii="Arial"/>
                              <w:spacing w:val="-1"/>
                              <w:sz w:val="18"/>
                            </w:rPr>
                            <w:t>Form]</w:t>
                          </w:r>
                        </w:p>
                      </w:txbxContent>
                    </v:textbox>
                  </v:shape>
                </v:group>
                <w10:anchorlock/>
              </v:group>
            </w:pict>
          </mc:Fallback>
        </mc:AlternateContent>
      </w:r>
    </w:p>
    <w:p w:rsidR="008918FA" w:rsidRDefault="008918FA" w:rsidP="008918FA">
      <w:pPr>
        <w:spacing w:before="8"/>
        <w:rPr>
          <w:rFonts w:ascii="Arial" w:eastAsia="Arial" w:hAnsi="Arial" w:cs="Arial"/>
          <w:sz w:val="8"/>
          <w:szCs w:val="8"/>
        </w:rPr>
      </w:pPr>
    </w:p>
    <w:p w:rsidR="008918FA" w:rsidRDefault="008918FA" w:rsidP="008918FA">
      <w:pPr>
        <w:spacing w:line="200" w:lineRule="atLeast"/>
        <w:ind w:left="24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5E782AE5" wp14:editId="43127A72">
                <wp:extent cx="5659120" cy="406400"/>
                <wp:effectExtent l="3810" t="4445" r="4445" b="0"/>
                <wp:docPr id="7060" name="Group 7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406400"/>
                          <a:chOff x="0" y="0"/>
                          <a:chExt cx="8912" cy="640"/>
                        </a:xfrm>
                      </wpg:grpSpPr>
                      <wpg:grpSp>
                        <wpg:cNvPr id="7061" name="Group 7058"/>
                        <wpg:cNvGrpSpPr>
                          <a:grpSpLocks/>
                        </wpg:cNvGrpSpPr>
                        <wpg:grpSpPr bwMode="auto">
                          <a:xfrm>
                            <a:off x="199" y="20"/>
                            <a:ext cx="8710" cy="207"/>
                            <a:chOff x="199" y="20"/>
                            <a:chExt cx="8710" cy="207"/>
                          </a:xfrm>
                        </wpg:grpSpPr>
                        <wps:wsp>
                          <wps:cNvPr id="7062" name="Freeform 7059"/>
                          <wps:cNvSpPr>
                            <a:spLocks/>
                          </wps:cNvSpPr>
                          <wps:spPr bwMode="auto">
                            <a:xfrm>
                              <a:off x="199" y="20"/>
                              <a:ext cx="8710" cy="207"/>
                            </a:xfrm>
                            <a:custGeom>
                              <a:avLst/>
                              <a:gdLst>
                                <a:gd name="T0" fmla="+- 0 199 199"/>
                                <a:gd name="T1" fmla="*/ T0 w 8710"/>
                                <a:gd name="T2" fmla="+- 0 227 20"/>
                                <a:gd name="T3" fmla="*/ 227 h 207"/>
                                <a:gd name="T4" fmla="+- 0 8909 199"/>
                                <a:gd name="T5" fmla="*/ T4 w 8710"/>
                                <a:gd name="T6" fmla="+- 0 227 20"/>
                                <a:gd name="T7" fmla="*/ 227 h 207"/>
                                <a:gd name="T8" fmla="+- 0 8909 199"/>
                                <a:gd name="T9" fmla="*/ T8 w 8710"/>
                                <a:gd name="T10" fmla="+- 0 20 20"/>
                                <a:gd name="T11" fmla="*/ 20 h 207"/>
                                <a:gd name="T12" fmla="+- 0 199 199"/>
                                <a:gd name="T13" fmla="*/ T12 w 8710"/>
                                <a:gd name="T14" fmla="+- 0 20 20"/>
                                <a:gd name="T15" fmla="*/ 20 h 207"/>
                                <a:gd name="T16" fmla="+- 0 199 199"/>
                                <a:gd name="T17" fmla="*/ T16 w 8710"/>
                                <a:gd name="T18" fmla="+- 0 227 20"/>
                                <a:gd name="T19" fmla="*/ 227 h 207"/>
                              </a:gdLst>
                              <a:ahLst/>
                              <a:cxnLst>
                                <a:cxn ang="0">
                                  <a:pos x="T1" y="T3"/>
                                </a:cxn>
                                <a:cxn ang="0">
                                  <a:pos x="T5" y="T7"/>
                                </a:cxn>
                                <a:cxn ang="0">
                                  <a:pos x="T9" y="T11"/>
                                </a:cxn>
                                <a:cxn ang="0">
                                  <a:pos x="T13" y="T15"/>
                                </a:cxn>
                                <a:cxn ang="0">
                                  <a:pos x="T17" y="T19"/>
                                </a:cxn>
                              </a:cxnLst>
                              <a:rect l="0" t="0" r="r" b="b"/>
                              <a:pathLst>
                                <a:path w="8710" h="207">
                                  <a:moveTo>
                                    <a:pt x="0" y="207"/>
                                  </a:moveTo>
                                  <a:lnTo>
                                    <a:pt x="8710" y="207"/>
                                  </a:lnTo>
                                  <a:lnTo>
                                    <a:pt x="8710"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3" name="Group 7056"/>
                        <wpg:cNvGrpSpPr>
                          <a:grpSpLocks/>
                        </wpg:cNvGrpSpPr>
                        <wpg:grpSpPr bwMode="auto">
                          <a:xfrm>
                            <a:off x="0" y="227"/>
                            <a:ext cx="8909" cy="207"/>
                            <a:chOff x="0" y="227"/>
                            <a:chExt cx="8909" cy="207"/>
                          </a:xfrm>
                        </wpg:grpSpPr>
                        <wps:wsp>
                          <wps:cNvPr id="7064" name="Freeform 7057"/>
                          <wps:cNvSpPr>
                            <a:spLocks/>
                          </wps:cNvSpPr>
                          <wps:spPr bwMode="auto">
                            <a:xfrm>
                              <a:off x="0" y="227"/>
                              <a:ext cx="8909" cy="207"/>
                            </a:xfrm>
                            <a:custGeom>
                              <a:avLst/>
                              <a:gdLst>
                                <a:gd name="T0" fmla="*/ 0 w 8909"/>
                                <a:gd name="T1" fmla="+- 0 433 227"/>
                                <a:gd name="T2" fmla="*/ 433 h 207"/>
                                <a:gd name="T3" fmla="*/ 8909 w 8909"/>
                                <a:gd name="T4" fmla="+- 0 433 227"/>
                                <a:gd name="T5" fmla="*/ 433 h 207"/>
                                <a:gd name="T6" fmla="*/ 8909 w 8909"/>
                                <a:gd name="T7" fmla="+- 0 227 227"/>
                                <a:gd name="T8" fmla="*/ 227 h 207"/>
                                <a:gd name="T9" fmla="*/ 0 w 8909"/>
                                <a:gd name="T10" fmla="+- 0 227 227"/>
                                <a:gd name="T11" fmla="*/ 227 h 207"/>
                                <a:gd name="T12" fmla="*/ 0 w 8909"/>
                                <a:gd name="T13" fmla="+- 0 433 227"/>
                                <a:gd name="T14" fmla="*/ 433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5" name="Group 7053"/>
                        <wpg:cNvGrpSpPr>
                          <a:grpSpLocks/>
                        </wpg:cNvGrpSpPr>
                        <wpg:grpSpPr bwMode="auto">
                          <a:xfrm>
                            <a:off x="0" y="433"/>
                            <a:ext cx="8909" cy="207"/>
                            <a:chOff x="0" y="433"/>
                            <a:chExt cx="8909" cy="207"/>
                          </a:xfrm>
                        </wpg:grpSpPr>
                        <wps:wsp>
                          <wps:cNvPr id="7066" name="Freeform 7055"/>
                          <wps:cNvSpPr>
                            <a:spLocks/>
                          </wps:cNvSpPr>
                          <wps:spPr bwMode="auto">
                            <a:xfrm>
                              <a:off x="0" y="433"/>
                              <a:ext cx="8909" cy="207"/>
                            </a:xfrm>
                            <a:custGeom>
                              <a:avLst/>
                              <a:gdLst>
                                <a:gd name="T0" fmla="*/ 0 w 8909"/>
                                <a:gd name="T1" fmla="+- 0 640 433"/>
                                <a:gd name="T2" fmla="*/ 640 h 207"/>
                                <a:gd name="T3" fmla="*/ 8909 w 8909"/>
                                <a:gd name="T4" fmla="+- 0 640 433"/>
                                <a:gd name="T5" fmla="*/ 640 h 207"/>
                                <a:gd name="T6" fmla="*/ 8909 w 8909"/>
                                <a:gd name="T7" fmla="+- 0 433 433"/>
                                <a:gd name="T8" fmla="*/ 433 h 207"/>
                                <a:gd name="T9" fmla="*/ 0 w 8909"/>
                                <a:gd name="T10" fmla="+- 0 433 433"/>
                                <a:gd name="T11" fmla="*/ 433 h 207"/>
                                <a:gd name="T12" fmla="*/ 0 w 8909"/>
                                <a:gd name="T13" fmla="+- 0 640 433"/>
                                <a:gd name="T14" fmla="*/ 640 h 207"/>
                              </a:gdLst>
                              <a:ahLst/>
                              <a:cxnLst>
                                <a:cxn ang="0">
                                  <a:pos x="T0" y="T2"/>
                                </a:cxn>
                                <a:cxn ang="0">
                                  <a:pos x="T3" y="T5"/>
                                </a:cxn>
                                <a:cxn ang="0">
                                  <a:pos x="T6" y="T8"/>
                                </a:cxn>
                                <a:cxn ang="0">
                                  <a:pos x="T9" y="T11"/>
                                </a:cxn>
                                <a:cxn ang="0">
                                  <a:pos x="T12" y="T14"/>
                                </a:cxn>
                              </a:cxnLst>
                              <a:rect l="0" t="0" r="r" b="b"/>
                              <a:pathLst>
                                <a:path w="8909" h="207">
                                  <a:moveTo>
                                    <a:pt x="0" y="207"/>
                                  </a:moveTo>
                                  <a:lnTo>
                                    <a:pt x="8909" y="207"/>
                                  </a:lnTo>
                                  <a:lnTo>
                                    <a:pt x="8909"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7" name="Text Box 7054"/>
                          <wps:cNvSpPr txBox="1">
                            <a:spLocks noChangeArrowheads="1"/>
                          </wps:cNvSpPr>
                          <wps:spPr bwMode="auto">
                            <a:xfrm>
                              <a:off x="0" y="0"/>
                              <a:ext cx="891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3" w:line="206" w:lineRule="exact"/>
                                  <w:jc w:val="both"/>
                                  <w:rPr>
                                    <w:rFonts w:ascii="Arial" w:eastAsia="Arial" w:hAnsi="Arial" w:cs="Arial"/>
                                    <w:sz w:val="18"/>
                                    <w:szCs w:val="18"/>
                                  </w:rPr>
                                </w:pPr>
                                <w:r>
                                  <w:rPr>
                                    <w:rFonts w:ascii="Arial"/>
                                    <w:position w:val="9"/>
                                    <w:sz w:val="12"/>
                                  </w:rPr>
                                  <w:t>40</w:t>
                                </w:r>
                                <w:r>
                                  <w:rPr>
                                    <w:rFonts w:ascii="Arial"/>
                                    <w:spacing w:val="31"/>
                                    <w:position w:val="9"/>
                                    <w:sz w:val="12"/>
                                  </w:rPr>
                                  <w:t xml:space="preserve"> </w:t>
                                </w:r>
                                <w:bookmarkStart w:id="32" w:name="_bookmark40"/>
                                <w:bookmarkEnd w:id="32"/>
                                <w:r>
                                  <w:rPr>
                                    <w:rFonts w:ascii="Arial"/>
                                    <w:spacing w:val="-1"/>
                                    <w:sz w:val="18"/>
                                  </w:rPr>
                                  <w:t>[Guidance</w:t>
                                </w:r>
                                <w:r>
                                  <w:rPr>
                                    <w:rFonts w:ascii="Arial"/>
                                    <w:spacing w:val="15"/>
                                    <w:sz w:val="18"/>
                                  </w:rPr>
                                  <w:t xml:space="preserve"> </w:t>
                                </w:r>
                                <w:r>
                                  <w:rPr>
                                    <w:rFonts w:ascii="Arial"/>
                                    <w:spacing w:val="-1"/>
                                    <w:sz w:val="18"/>
                                  </w:rPr>
                                  <w:t>Note:</w:t>
                                </w:r>
                                <w:r>
                                  <w:rPr>
                                    <w:rFonts w:ascii="Arial"/>
                                    <w:spacing w:val="15"/>
                                    <w:sz w:val="18"/>
                                  </w:rPr>
                                  <w:t xml:space="preserve"> </w:t>
                                </w:r>
                                <w:r>
                                  <w:rPr>
                                    <w:rFonts w:ascii="Arial"/>
                                    <w:spacing w:val="-1"/>
                                    <w:sz w:val="18"/>
                                  </w:rPr>
                                  <w:t>Include</w:t>
                                </w:r>
                                <w:r>
                                  <w:rPr>
                                    <w:rFonts w:ascii="Arial"/>
                                    <w:spacing w:val="13"/>
                                    <w:sz w:val="18"/>
                                  </w:rPr>
                                  <w:t xml:space="preserve"> </w:t>
                                </w:r>
                                <w:r>
                                  <w:rPr>
                                    <w:rFonts w:ascii="Arial"/>
                                    <w:sz w:val="18"/>
                                  </w:rPr>
                                  <w:t>any</w:t>
                                </w:r>
                                <w:r>
                                  <w:rPr>
                                    <w:rFonts w:ascii="Arial"/>
                                    <w:spacing w:val="10"/>
                                    <w:sz w:val="18"/>
                                  </w:rPr>
                                  <w:t xml:space="preserve"> </w:t>
                                </w:r>
                                <w:r>
                                  <w:rPr>
                                    <w:rFonts w:ascii="Arial"/>
                                    <w:sz w:val="18"/>
                                  </w:rPr>
                                  <w:t>other</w:t>
                                </w:r>
                                <w:r>
                                  <w:rPr>
                                    <w:rFonts w:ascii="Arial"/>
                                    <w:spacing w:val="14"/>
                                    <w:sz w:val="18"/>
                                  </w:rPr>
                                  <w:t xml:space="preserve"> </w:t>
                                </w:r>
                                <w:r>
                                  <w:rPr>
                                    <w:rFonts w:ascii="Arial"/>
                                    <w:spacing w:val="-1"/>
                                    <w:sz w:val="18"/>
                                  </w:rPr>
                                  <w:t>amendments</w:t>
                                </w:r>
                                <w:r>
                                  <w:rPr>
                                    <w:rFonts w:ascii="Arial"/>
                                    <w:spacing w:val="15"/>
                                    <w:sz w:val="18"/>
                                  </w:rPr>
                                  <w:t xml:space="preserve"> </w:t>
                                </w:r>
                                <w:r>
                                  <w:rPr>
                                    <w:rFonts w:ascii="Arial"/>
                                    <w:spacing w:val="-1"/>
                                    <w:sz w:val="18"/>
                                  </w:rPr>
                                  <w:t>and/or</w:t>
                                </w:r>
                                <w:r>
                                  <w:rPr>
                                    <w:rFonts w:ascii="Arial"/>
                                    <w:spacing w:val="14"/>
                                    <w:sz w:val="18"/>
                                  </w:rPr>
                                  <w:t xml:space="preserve"> </w:t>
                                </w:r>
                                <w:r>
                                  <w:rPr>
                                    <w:rFonts w:ascii="Arial"/>
                                    <w:spacing w:val="-1"/>
                                    <w:sz w:val="18"/>
                                  </w:rPr>
                                  <w:t>refinements</w:t>
                                </w:r>
                                <w:r>
                                  <w:rPr>
                                    <w:rFonts w:ascii="Arial"/>
                                    <w:spacing w:val="13"/>
                                    <w:sz w:val="18"/>
                                  </w:rPr>
                                  <w:t xml:space="preserve"> </w:t>
                                </w:r>
                                <w:r>
                                  <w:rPr>
                                    <w:rFonts w:ascii="Arial"/>
                                    <w:sz w:val="18"/>
                                  </w:rPr>
                                  <w:t>to</w:t>
                                </w:r>
                                <w:r>
                                  <w:rPr>
                                    <w:rFonts w:ascii="Arial"/>
                                    <w:spacing w:val="15"/>
                                    <w:sz w:val="18"/>
                                  </w:rPr>
                                  <w:t xml:space="preserve"> </w:t>
                                </w:r>
                                <w:r>
                                  <w:rPr>
                                    <w:rFonts w:ascii="Arial"/>
                                    <w:spacing w:val="-1"/>
                                    <w:sz w:val="18"/>
                                  </w:rPr>
                                  <w:t>the</w:t>
                                </w:r>
                                <w:r>
                                  <w:rPr>
                                    <w:rFonts w:ascii="Arial"/>
                                    <w:spacing w:val="15"/>
                                    <w:sz w:val="18"/>
                                  </w:rPr>
                                  <w:t xml:space="preserve"> </w:t>
                                </w:r>
                                <w:r>
                                  <w:rPr>
                                    <w:rFonts w:ascii="Arial"/>
                                    <w:spacing w:val="-1"/>
                                    <w:sz w:val="18"/>
                                  </w:rPr>
                                  <w:t>Template</w:t>
                                </w:r>
                                <w:r>
                                  <w:rPr>
                                    <w:rFonts w:ascii="Arial"/>
                                    <w:spacing w:val="15"/>
                                    <w:sz w:val="18"/>
                                  </w:rPr>
                                  <w:t xml:space="preserve"> </w:t>
                                </w:r>
                                <w:r>
                                  <w:rPr>
                                    <w:rFonts w:ascii="Arial"/>
                                    <w:spacing w:val="-1"/>
                                    <w:sz w:val="18"/>
                                  </w:rPr>
                                  <w:t>Call</w:t>
                                </w:r>
                                <w:r>
                                  <w:rPr>
                                    <w:rFonts w:ascii="Arial"/>
                                    <w:spacing w:val="13"/>
                                    <w:sz w:val="18"/>
                                  </w:rPr>
                                  <w:t xml:space="preserve"> </w:t>
                                </w:r>
                                <w:r>
                                  <w:rPr>
                                    <w:rFonts w:ascii="Arial"/>
                                    <w:spacing w:val="-1"/>
                                    <w:sz w:val="18"/>
                                  </w:rPr>
                                  <w:t>Off</w:t>
                                </w:r>
                                <w:r>
                                  <w:rPr>
                                    <w:rFonts w:ascii="Arial"/>
                                    <w:spacing w:val="14"/>
                                    <w:sz w:val="18"/>
                                  </w:rPr>
                                  <w:t xml:space="preserve"> </w:t>
                                </w:r>
                                <w:r>
                                  <w:rPr>
                                    <w:rFonts w:ascii="Arial"/>
                                    <w:spacing w:val="-1"/>
                                    <w:sz w:val="18"/>
                                  </w:rPr>
                                  <w:t>Terms</w:t>
                                </w:r>
                                <w:r>
                                  <w:rPr>
                                    <w:rFonts w:ascii="Arial"/>
                                    <w:spacing w:val="16"/>
                                    <w:sz w:val="18"/>
                                  </w:rPr>
                                  <w:t xml:space="preserve"> </w:t>
                                </w:r>
                                <w:r>
                                  <w:rPr>
                                    <w:rFonts w:ascii="Arial"/>
                                    <w:spacing w:val="-1"/>
                                    <w:sz w:val="18"/>
                                  </w:rPr>
                                  <w:t>prior</w:t>
                                </w:r>
                                <w:r>
                                  <w:rPr>
                                    <w:rFonts w:ascii="Arial"/>
                                    <w:spacing w:val="14"/>
                                    <w:sz w:val="18"/>
                                  </w:rPr>
                                  <w:t xml:space="preserve"> </w:t>
                                </w:r>
                                <w:r>
                                  <w:rPr>
                                    <w:rFonts w:ascii="Arial"/>
                                    <w:spacing w:val="-1"/>
                                    <w:sz w:val="18"/>
                                  </w:rPr>
                                  <w:t>to</w:t>
                                </w:r>
                                <w:r>
                                  <w:rPr>
                                    <w:rFonts w:ascii="Arial"/>
                                    <w:spacing w:val="79"/>
                                    <w:sz w:val="18"/>
                                  </w:rPr>
                                  <w:t xml:space="preserve"> </w:t>
                                </w:r>
                                <w:r>
                                  <w:rPr>
                                    <w:rFonts w:ascii="Arial"/>
                                    <w:spacing w:val="-1"/>
                                    <w:sz w:val="18"/>
                                  </w:rPr>
                                  <w:t>those</w:t>
                                </w:r>
                                <w:r>
                                  <w:rPr>
                                    <w:rFonts w:ascii="Arial"/>
                                    <w:spacing w:val="32"/>
                                    <w:sz w:val="18"/>
                                  </w:rPr>
                                  <w:t xml:space="preserve"> </w:t>
                                </w:r>
                                <w:r>
                                  <w:rPr>
                                    <w:rFonts w:ascii="Arial"/>
                                    <w:spacing w:val="-1"/>
                                    <w:sz w:val="18"/>
                                  </w:rPr>
                                  <w:t>becoming</w:t>
                                </w:r>
                                <w:r>
                                  <w:rPr>
                                    <w:rFonts w:ascii="Arial"/>
                                    <w:spacing w:val="29"/>
                                    <w:sz w:val="18"/>
                                  </w:rPr>
                                  <w:t xml:space="preserve"> </w:t>
                                </w:r>
                                <w:r>
                                  <w:rPr>
                                    <w:rFonts w:ascii="Arial"/>
                                    <w:sz w:val="18"/>
                                  </w:rPr>
                                  <w:t>the</w:t>
                                </w:r>
                                <w:r>
                                  <w:rPr>
                                    <w:rFonts w:ascii="Arial"/>
                                    <w:spacing w:val="32"/>
                                    <w:sz w:val="18"/>
                                  </w:rPr>
                                  <w:t xml:space="preserve"> </w:t>
                                </w:r>
                                <w:r>
                                  <w:rPr>
                                    <w:rFonts w:ascii="Arial"/>
                                    <w:spacing w:val="-1"/>
                                    <w:sz w:val="18"/>
                                  </w:rPr>
                                  <w:t>Call</w:t>
                                </w:r>
                                <w:r>
                                  <w:rPr>
                                    <w:rFonts w:ascii="Arial"/>
                                    <w:spacing w:val="32"/>
                                    <w:sz w:val="18"/>
                                  </w:rPr>
                                  <w:t xml:space="preserve"> </w:t>
                                </w:r>
                                <w:r>
                                  <w:rPr>
                                    <w:rFonts w:ascii="Arial"/>
                                    <w:spacing w:val="-1"/>
                                    <w:sz w:val="18"/>
                                  </w:rPr>
                                  <w:t>Off</w:t>
                                </w:r>
                                <w:r>
                                  <w:rPr>
                                    <w:rFonts w:ascii="Arial"/>
                                    <w:spacing w:val="29"/>
                                    <w:sz w:val="18"/>
                                  </w:rPr>
                                  <w:t xml:space="preserve"> </w:t>
                                </w:r>
                                <w:r>
                                  <w:rPr>
                                    <w:rFonts w:ascii="Arial"/>
                                    <w:sz w:val="18"/>
                                  </w:rPr>
                                  <w:t>Terms.</w:t>
                                </w:r>
                                <w:r>
                                  <w:rPr>
                                    <w:rFonts w:ascii="Arial"/>
                                    <w:spacing w:val="31"/>
                                    <w:sz w:val="18"/>
                                  </w:rPr>
                                  <w:t xml:space="preserve"> </w:t>
                                </w:r>
                                <w:r>
                                  <w:rPr>
                                    <w:rFonts w:ascii="Arial"/>
                                    <w:spacing w:val="-1"/>
                                    <w:sz w:val="18"/>
                                  </w:rPr>
                                  <w:t>Paragraph</w:t>
                                </w:r>
                                <w:r>
                                  <w:rPr>
                                    <w:rFonts w:ascii="Arial"/>
                                    <w:spacing w:val="29"/>
                                    <w:sz w:val="18"/>
                                  </w:rPr>
                                  <w:t xml:space="preserve"> </w:t>
                                </w:r>
                                <w:r>
                                  <w:rPr>
                                    <w:rFonts w:ascii="Arial"/>
                                    <w:sz w:val="18"/>
                                  </w:rPr>
                                  <w:t>7.3</w:t>
                                </w:r>
                                <w:r>
                                  <w:rPr>
                                    <w:rFonts w:ascii="Arial"/>
                                    <w:spacing w:val="29"/>
                                    <w:sz w:val="18"/>
                                  </w:rPr>
                                  <w:t xml:space="preserve"> </w:t>
                                </w:r>
                                <w:r>
                                  <w:rPr>
                                    <w:rFonts w:ascii="Arial"/>
                                    <w:sz w:val="18"/>
                                  </w:rPr>
                                  <w:t>of</w:t>
                                </w:r>
                                <w:r>
                                  <w:rPr>
                                    <w:rFonts w:ascii="Arial"/>
                                    <w:spacing w:val="31"/>
                                    <w:sz w:val="18"/>
                                  </w:rPr>
                                  <w:t xml:space="preserve"> </w:t>
                                </w:r>
                                <w:r>
                                  <w:rPr>
                                    <w:rFonts w:ascii="Arial"/>
                                    <w:spacing w:val="-1"/>
                                    <w:sz w:val="18"/>
                                  </w:rPr>
                                  <w:t>the</w:t>
                                </w:r>
                                <w:r>
                                  <w:rPr>
                                    <w:rFonts w:ascii="Arial"/>
                                    <w:spacing w:val="29"/>
                                    <w:sz w:val="18"/>
                                  </w:rPr>
                                  <w:t xml:space="preserve"> </w:t>
                                </w:r>
                                <w:r>
                                  <w:rPr>
                                    <w:rFonts w:ascii="Arial"/>
                                    <w:spacing w:val="-1"/>
                                    <w:sz w:val="18"/>
                                  </w:rPr>
                                  <w:t>Template</w:t>
                                </w:r>
                                <w:r>
                                  <w:rPr>
                                    <w:rFonts w:ascii="Arial"/>
                                    <w:spacing w:val="32"/>
                                    <w:sz w:val="18"/>
                                  </w:rPr>
                                  <w:t xml:space="preserve"> </w:t>
                                </w:r>
                                <w:r>
                                  <w:rPr>
                                    <w:rFonts w:ascii="Arial"/>
                                    <w:spacing w:val="-1"/>
                                    <w:sz w:val="18"/>
                                  </w:rPr>
                                  <w:t>Call</w:t>
                                </w:r>
                                <w:r>
                                  <w:rPr>
                                    <w:rFonts w:ascii="Arial"/>
                                    <w:spacing w:val="32"/>
                                    <w:sz w:val="18"/>
                                  </w:rPr>
                                  <w:t xml:space="preserve"> </w:t>
                                </w:r>
                                <w:r>
                                  <w:rPr>
                                    <w:rFonts w:ascii="Arial"/>
                                    <w:spacing w:val="-1"/>
                                    <w:sz w:val="18"/>
                                  </w:rPr>
                                  <w:t>Off</w:t>
                                </w:r>
                                <w:r>
                                  <w:rPr>
                                    <w:rFonts w:ascii="Arial"/>
                                    <w:spacing w:val="29"/>
                                    <w:sz w:val="18"/>
                                  </w:rPr>
                                  <w:t xml:space="preserve"> </w:t>
                                </w:r>
                                <w:r>
                                  <w:rPr>
                                    <w:rFonts w:ascii="Arial"/>
                                    <w:sz w:val="18"/>
                                  </w:rPr>
                                  <w:t>Form</w:t>
                                </w:r>
                                <w:r>
                                  <w:rPr>
                                    <w:rFonts w:ascii="Arial"/>
                                    <w:spacing w:val="30"/>
                                    <w:sz w:val="18"/>
                                  </w:rPr>
                                  <w:t xml:space="preserve"> </w:t>
                                </w:r>
                                <w:r>
                                  <w:rPr>
                                    <w:rFonts w:ascii="Arial"/>
                                    <w:spacing w:val="-1"/>
                                    <w:sz w:val="18"/>
                                  </w:rPr>
                                  <w:t>deals</w:t>
                                </w:r>
                                <w:r>
                                  <w:rPr>
                                    <w:rFonts w:ascii="Arial"/>
                                    <w:spacing w:val="32"/>
                                    <w:sz w:val="18"/>
                                  </w:rPr>
                                  <w:t xml:space="preserve"> </w:t>
                                </w:r>
                                <w:r>
                                  <w:rPr>
                                    <w:rFonts w:ascii="Arial"/>
                                    <w:spacing w:val="-1"/>
                                    <w:sz w:val="18"/>
                                  </w:rPr>
                                  <w:t>with</w:t>
                                </w:r>
                                <w:r>
                                  <w:rPr>
                                    <w:rFonts w:ascii="Arial"/>
                                    <w:spacing w:val="32"/>
                                    <w:sz w:val="18"/>
                                  </w:rPr>
                                  <w:t xml:space="preserve"> </w:t>
                                </w:r>
                                <w:r>
                                  <w:rPr>
                                    <w:rFonts w:ascii="Arial"/>
                                    <w:spacing w:val="-1"/>
                                    <w:sz w:val="18"/>
                                  </w:rPr>
                                  <w:t>those</w:t>
                                </w:r>
                                <w:r>
                                  <w:rPr>
                                    <w:rFonts w:ascii="Arial"/>
                                    <w:spacing w:val="32"/>
                                    <w:sz w:val="18"/>
                                  </w:rPr>
                                  <w:t xml:space="preserve"> </w:t>
                                </w:r>
                                <w:r>
                                  <w:rPr>
                                    <w:rFonts w:ascii="Arial"/>
                                    <w:spacing w:val="-1"/>
                                    <w:sz w:val="18"/>
                                  </w:rPr>
                                  <w:t>default</w:t>
                                </w:r>
                                <w:r>
                                  <w:rPr>
                                    <w:rFonts w:ascii="Arial"/>
                                    <w:spacing w:val="81"/>
                                    <w:sz w:val="18"/>
                                  </w:rPr>
                                  <w:t xml:space="preserve"> </w:t>
                                </w:r>
                                <w:r>
                                  <w:rPr>
                                    <w:rFonts w:ascii="Arial"/>
                                    <w:spacing w:val="-1"/>
                                    <w:sz w:val="18"/>
                                  </w:rPr>
                                  <w:t>Additional</w:t>
                                </w:r>
                                <w:r>
                                  <w:rPr>
                                    <w:rFonts w:ascii="Arial"/>
                                    <w:spacing w:val="25"/>
                                    <w:sz w:val="18"/>
                                  </w:rPr>
                                  <w:t xml:space="preserve"> </w:t>
                                </w:r>
                                <w:r>
                                  <w:rPr>
                                    <w:rFonts w:ascii="Arial"/>
                                    <w:sz w:val="18"/>
                                  </w:rPr>
                                  <w:t>or</w:t>
                                </w:r>
                                <w:r>
                                  <w:rPr>
                                    <w:rFonts w:ascii="Arial"/>
                                    <w:spacing w:val="24"/>
                                    <w:sz w:val="18"/>
                                  </w:rPr>
                                  <w:t xml:space="preserve"> </w:t>
                                </w:r>
                                <w:r>
                                  <w:rPr>
                                    <w:rFonts w:ascii="Arial"/>
                                    <w:spacing w:val="-1"/>
                                    <w:sz w:val="18"/>
                                  </w:rPr>
                                  <w:t>Clauses</w:t>
                                </w:r>
                                <w:r>
                                  <w:rPr>
                                    <w:rFonts w:ascii="Arial"/>
                                    <w:spacing w:val="25"/>
                                    <w:sz w:val="18"/>
                                  </w:rPr>
                                  <w:t xml:space="preserve"> </w:t>
                                </w:r>
                                <w:r>
                                  <w:rPr>
                                    <w:rFonts w:ascii="Arial"/>
                                    <w:spacing w:val="-1"/>
                                    <w:sz w:val="18"/>
                                  </w:rPr>
                                  <w:t>as</w:t>
                                </w:r>
                                <w:r>
                                  <w:rPr>
                                    <w:rFonts w:ascii="Arial"/>
                                    <w:spacing w:val="25"/>
                                    <w:sz w:val="18"/>
                                  </w:rPr>
                                  <w:t xml:space="preserve"> </w:t>
                                </w:r>
                                <w:r>
                                  <w:rPr>
                                    <w:rFonts w:ascii="Arial"/>
                                    <w:sz w:val="18"/>
                                  </w:rPr>
                                  <w:t>set</w:t>
                                </w:r>
                                <w:r>
                                  <w:rPr>
                                    <w:rFonts w:ascii="Arial"/>
                                    <w:spacing w:val="22"/>
                                    <w:sz w:val="18"/>
                                  </w:rPr>
                                  <w:t xml:space="preserve"> </w:t>
                                </w:r>
                                <w:r>
                                  <w:rPr>
                                    <w:rFonts w:ascii="Arial"/>
                                    <w:sz w:val="18"/>
                                  </w:rPr>
                                  <w:t>out</w:t>
                                </w:r>
                                <w:r>
                                  <w:rPr>
                                    <w:rFonts w:ascii="Arial"/>
                                    <w:spacing w:val="24"/>
                                    <w:sz w:val="18"/>
                                  </w:rPr>
                                  <w:t xml:space="preserve"> </w:t>
                                </w:r>
                                <w:r>
                                  <w:rPr>
                                    <w:rFonts w:ascii="Arial"/>
                                    <w:sz w:val="18"/>
                                  </w:rPr>
                                  <w:t>in</w:t>
                                </w:r>
                                <w:r>
                                  <w:rPr>
                                    <w:rFonts w:ascii="Arial"/>
                                    <w:spacing w:val="25"/>
                                    <w:sz w:val="18"/>
                                  </w:rPr>
                                  <w:t xml:space="preserve"> </w:t>
                                </w:r>
                                <w:r>
                                  <w:rPr>
                                    <w:rFonts w:ascii="Arial"/>
                                    <w:spacing w:val="-1"/>
                                    <w:sz w:val="18"/>
                                  </w:rPr>
                                  <w:t>Call</w:t>
                                </w:r>
                                <w:r>
                                  <w:rPr>
                                    <w:rFonts w:ascii="Arial"/>
                                    <w:spacing w:val="25"/>
                                    <w:sz w:val="18"/>
                                  </w:rPr>
                                  <w:t xml:space="preserve"> </w:t>
                                </w:r>
                                <w:r>
                                  <w:rPr>
                                    <w:rFonts w:ascii="Arial"/>
                                    <w:spacing w:val="-1"/>
                                    <w:sz w:val="18"/>
                                  </w:rPr>
                                  <w:t>Off</w:t>
                                </w:r>
                                <w:r>
                                  <w:rPr>
                                    <w:rFonts w:ascii="Arial"/>
                                    <w:spacing w:val="24"/>
                                    <w:sz w:val="18"/>
                                  </w:rPr>
                                  <w:t xml:space="preserve"> </w:t>
                                </w:r>
                                <w:r>
                                  <w:rPr>
                                    <w:rFonts w:ascii="Arial"/>
                                    <w:spacing w:val="-1"/>
                                    <w:sz w:val="18"/>
                                  </w:rPr>
                                  <w:t>Schedule</w:t>
                                </w:r>
                                <w:r>
                                  <w:rPr>
                                    <w:rFonts w:ascii="Arial"/>
                                    <w:spacing w:val="25"/>
                                    <w:sz w:val="18"/>
                                  </w:rPr>
                                  <w:t xml:space="preserve"> </w:t>
                                </w:r>
                                <w:r>
                                  <w:rPr>
                                    <w:rFonts w:ascii="Arial"/>
                                    <w:sz w:val="18"/>
                                  </w:rPr>
                                  <w:t>14</w:t>
                                </w:r>
                                <w:r>
                                  <w:rPr>
                                    <w:rFonts w:ascii="Arial"/>
                                    <w:spacing w:val="24"/>
                                    <w:sz w:val="18"/>
                                  </w:rPr>
                                  <w:t xml:space="preserve"> </w:t>
                                </w:r>
                                <w:r>
                                  <w:rPr>
                                    <w:rFonts w:ascii="Arial"/>
                                    <w:spacing w:val="-1"/>
                                    <w:sz w:val="18"/>
                                  </w:rPr>
                                  <w:t>of</w:t>
                                </w:r>
                                <w:r>
                                  <w:rPr>
                                    <w:rFonts w:ascii="Arial"/>
                                    <w:spacing w:val="24"/>
                                    <w:sz w:val="18"/>
                                  </w:rPr>
                                  <w:t xml:space="preserve"> </w:t>
                                </w:r>
                                <w:r>
                                  <w:rPr>
                                    <w:rFonts w:ascii="Arial"/>
                                    <w:sz w:val="18"/>
                                  </w:rPr>
                                  <w:t>the</w:t>
                                </w:r>
                                <w:r>
                                  <w:rPr>
                                    <w:rFonts w:ascii="Arial"/>
                                    <w:spacing w:val="25"/>
                                    <w:sz w:val="18"/>
                                  </w:rPr>
                                  <w:t xml:space="preserve"> </w:t>
                                </w:r>
                                <w:r>
                                  <w:rPr>
                                    <w:rFonts w:ascii="Arial"/>
                                    <w:spacing w:val="-1"/>
                                    <w:sz w:val="18"/>
                                  </w:rPr>
                                  <w:t>Template</w:t>
                                </w:r>
                                <w:r>
                                  <w:rPr>
                                    <w:rFonts w:ascii="Arial"/>
                                    <w:spacing w:val="25"/>
                                    <w:sz w:val="18"/>
                                  </w:rPr>
                                  <w:t xml:space="preserve"> </w:t>
                                </w:r>
                                <w:r>
                                  <w:rPr>
                                    <w:rFonts w:ascii="Arial"/>
                                    <w:spacing w:val="-1"/>
                                    <w:sz w:val="18"/>
                                  </w:rPr>
                                  <w:t>Call</w:t>
                                </w:r>
                                <w:r>
                                  <w:rPr>
                                    <w:rFonts w:ascii="Arial"/>
                                    <w:spacing w:val="25"/>
                                    <w:sz w:val="18"/>
                                  </w:rPr>
                                  <w:t xml:space="preserve"> </w:t>
                                </w:r>
                                <w:r>
                                  <w:rPr>
                                    <w:rFonts w:ascii="Arial"/>
                                    <w:spacing w:val="-1"/>
                                    <w:sz w:val="18"/>
                                  </w:rPr>
                                  <w:t>Off</w:t>
                                </w:r>
                                <w:r>
                                  <w:rPr>
                                    <w:rFonts w:ascii="Arial"/>
                                    <w:spacing w:val="24"/>
                                    <w:sz w:val="18"/>
                                  </w:rPr>
                                  <w:t xml:space="preserve"> </w:t>
                                </w:r>
                                <w:r>
                                  <w:rPr>
                                    <w:rFonts w:ascii="Arial"/>
                                    <w:spacing w:val="-1"/>
                                    <w:sz w:val="18"/>
                                  </w:rPr>
                                  <w:t>Terms</w:t>
                                </w:r>
                                <w:r>
                                  <w:rPr>
                                    <w:rFonts w:ascii="Arial"/>
                                    <w:spacing w:val="25"/>
                                    <w:sz w:val="18"/>
                                  </w:rPr>
                                  <w:t xml:space="preserve"> </w:t>
                                </w:r>
                                <w:r>
                                  <w:rPr>
                                    <w:rFonts w:ascii="Arial"/>
                                    <w:spacing w:val="-1"/>
                                    <w:sz w:val="18"/>
                                  </w:rPr>
                                  <w:t>(Alternative</w:t>
                                </w:r>
                                <w:r>
                                  <w:rPr>
                                    <w:rFonts w:ascii="Arial"/>
                                    <w:spacing w:val="25"/>
                                    <w:sz w:val="18"/>
                                  </w:rPr>
                                  <w:t xml:space="preserve"> </w:t>
                                </w:r>
                                <w:r>
                                  <w:rPr>
                                    <w:rFonts w:ascii="Arial"/>
                                    <w:spacing w:val="-1"/>
                                    <w:sz w:val="18"/>
                                  </w:rPr>
                                  <w:t>and/or</w:t>
                                </w:r>
                              </w:p>
                            </w:txbxContent>
                          </wps:txbx>
                          <wps:bodyPr rot="0" vert="horz" wrap="square" lIns="0" tIns="0" rIns="0" bIns="0" anchor="t" anchorCtr="0" upright="1">
                            <a:noAutofit/>
                          </wps:bodyPr>
                        </wps:wsp>
                      </wpg:grpSp>
                    </wpg:wgp>
                  </a:graphicData>
                </a:graphic>
              </wp:inline>
            </w:drawing>
          </mc:Choice>
          <mc:Fallback>
            <w:pict>
              <v:group w14:anchorId="5E782AE5" id="Group 7052" o:spid="_x0000_s1141" style="width:445.6pt;height:32pt;mso-position-horizontal-relative:char;mso-position-vertical-relative:line" coordsize="89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">
                <v:group id="Group 7058" o:spid="_x0000_s1142" style="position:absolute;left:199;top:20;width:8710;height:207" coordorigin="199,20" coordsize="8710,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3TesYAAADdAAAADwAAAGRycy9kb3ducmV2LnhtbESPT4vCMBTE74LfITzB&#10;25pWWV26RhFR8SAL/oFlb4/m2Rabl9LEtn77jSB4HGbmN8x82ZlSNFS7wrKCeBSBIE6tLjhTcDlv&#10;P75AOI+ssbRMCh7kYLno9+aYaNvykZqTz0SAsEtQQe59lUjp0pwMupGtiIN3tbVBH2SdSV1jG+Cm&#10;lOMomkqDBYeFHCta55TeTnejYNdiu5rEm+Zwu64ff+fPn99DTEoNB93qG4Snzr/Dr/ZeK5hF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3dN6xgAAAN0A&#10;AAAPAAAAAAAAAAAAAAAAAKoCAABkcnMvZG93bnJldi54bWxQSwUGAAAAAAQABAD6AAAAnQMAAAAA&#10;">
                  <v:shape id="Freeform 7059" o:spid="_x0000_s1143" style="position:absolute;left:199;top:20;width:8710;height:207;visibility:visible;mso-wrap-style:square;v-text-anchor:top" coordsize="871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1/sQA&#10;AADdAAAADwAAAGRycy9kb3ducmV2LnhtbESPQWvCQBSE70L/w/IKvUjddJEoqauIUPDQg0Z/wCP7&#10;moRm34bsU1N/vVso9DjMzDfMajP6Tl1piG1gC2+zDBRxFVzLtYXz6eN1CSoKssMuMFn4oQib9dNk&#10;hYULNz7StZRaJQjHAi00In2hdawa8hhnoSdO3lcYPEqSQ63dgLcE9502WZZrjy2nhQZ72jVUfZcX&#10;byGylGLu3nTl52F6NNt8r+e5tS/P4/YdlNAo/+G/9t5ZWGS5gd836Qn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df7EAAAA3QAAAA8AAAAAAAAAAAAAAAAAmAIAAGRycy9k&#10;b3ducmV2LnhtbFBLBQYAAAAABAAEAPUAAACJAwAAAAA=&#10;" path="m,207r8710,l8710,,,,,207xe" fillcolor="lime" stroked="f">
                    <v:path arrowok="t" o:connecttype="custom" o:connectlocs="0,227;8710,227;8710,20;0,20;0,227" o:connectangles="0,0,0,0,0"/>
                  </v:shape>
                </v:group>
                <v:group id="Group 7056" o:spid="_x0000_s1144" style="position:absolute;top:227;width:8909;height:207" coordorigin=",227"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olsUAAADdAAAADwAAAGRycy9kb3ducmV2LnhtbESPQYvCMBSE78L+h/CE&#10;vWnaFXWpRhFxlz2IoC6It0fzbIvNS2liW/+9EQSPw8x8w8yXnSlFQ7UrLCuIhxEI4tTqgjMF/8ef&#10;wTcI55E1lpZJwZ0cLBcfvTkm2ra8p+bgMxEg7BJUkHtfJVK6NCeDbmgr4uBdbG3QB1lnUtfYBrgp&#10;5VcUTaTBgsNCjhWtc0qvh5tR8NtiuxrFm2Z7vazv5+N4d9rGpNRnv1vNQHjq/Dv8av9pBdNoM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D6JbFAAAA3QAA&#10;AA8AAAAAAAAAAAAAAAAAqgIAAGRycy9kb3ducmV2LnhtbFBLBQYAAAAABAAEAPoAAACcAwAAAAA=&#10;">
                  <v:shape id="Freeform 7057" o:spid="_x0000_s1145" style="position:absolute;top:227;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sMUA&#10;AADdAAAADwAAAGRycy9kb3ducmV2LnhtbESP0WrCQBRE34X+w3KFvunG0KpEVym1LSJSqPoB1+w1&#10;CWbvht2tiX/vCoKPw8ycYebLztTiQs5XlhWMhgkI4tzqigsFh/33YArCB2SNtWVScCUPy8VLb46Z&#10;ti3/0WUXChEh7DNUUIbQZFL6vCSDfmgb4uidrDMYonSF1A7bCDe1TJNkLA1WHBdKbOizpPy8+zcK&#10;3FcbtriZpNtuM/09vq9+1iudKvXa7z5mIAJ14Rl+tNdawSQZv8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MKwxQAAAN0AAAAPAAAAAAAAAAAAAAAAAJgCAABkcnMv&#10;ZG93bnJldi54bWxQSwUGAAAAAAQABAD1AAAAigMAAAAA&#10;" path="m,206r8909,l8909,,,,,206xe" fillcolor="lime" stroked="f">
                    <v:path arrowok="t" o:connecttype="custom" o:connectlocs="0,433;8909,433;8909,227;0,227;0,433" o:connectangles="0,0,0,0,0"/>
                  </v:shape>
                </v:group>
                <v:group id="Group 7053" o:spid="_x0000_s1146" style="position:absolute;top:433;width:8909;height:207" coordorigin=",433"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bVecUAAADdAAAADwAAAGRycy9kb3ducmV2LnhtbESPQYvCMBSE7wv+h/AE&#10;b2taRVeqUURW8SALq4J4ezTPtti8lCbb1n9vBGGPw8x8wyxWnSlFQ7UrLCuIhxEI4tTqgjMF59P2&#10;cwbCeWSNpWVS8CAHq2XvY4GJti3/UnP0mQgQdgkqyL2vEildmpNBN7QVcfButjbog6wzqWtsA9yU&#10;chRFU2mw4LCQY0WbnNL78c8o2LXYrsfxd3O43zaP62nycznEpNSg363nIDx1/j/8bu+1gq9oO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m1XnFAAAA3QAA&#10;AA8AAAAAAAAAAAAAAAAAqgIAAGRycy9kb3ducmV2LnhtbFBLBQYAAAAABAAEAPoAAACcAwAAAAA=&#10;">
                  <v:shape id="Freeform 7055" o:spid="_x0000_s1147" style="position:absolute;top:433;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5XMYA&#10;AADdAAAADwAAAGRycy9kb3ducmV2LnhtbESP0WrCQBRE3wv+w3IF33TTgFGim1BqKyJSqO0HXLO3&#10;SWj2btjdmvj33YLQx2FmzjDbcjSduJLzrWUFj4sEBHFldcu1gs+P1/kahA/IGjvLpOBGHspi8rDF&#10;XNuB3+l6DrWIEPY5KmhC6HMpfdWQQb+wPXH0vqwzGKJ0tdQOhwg3nUyTJJMGW44LDfb03FD1ff4x&#10;CtzLEE54XKWn8bh+uyx3+8NOp0rNpuPTBkSgMfyH7+2DVrBKsgz+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L5XMYAAADdAAAADwAAAAAAAAAAAAAAAACYAgAAZHJz&#10;L2Rvd25yZXYueG1sUEsFBgAAAAAEAAQA9QAAAIsDAAAAAA==&#10;" path="m,207r8909,l8909,,,,,207xe" fillcolor="lime" stroked="f">
                    <v:path arrowok="t" o:connecttype="custom" o:connectlocs="0,640;8909,640;8909,433;0,433;0,640" o:connectangles="0,0,0,0,0"/>
                  </v:shape>
                  <v:shape id="Text Box 7054" o:spid="_x0000_s1148" type="#_x0000_t202" style="position:absolute;width:8912;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mTsYA&#10;AADdAAAADwAAAGRycy9kb3ducmV2LnhtbESPQWsCMRSE70L/Q3gFb5roYW1Xo0hREAql6/bQ4+vm&#10;uRvcvGw3Ubf/vikUPA4z8w2z2gyuFVfqg/WsYTZVIIgrbyzXGj7K/eQJRIjIBlvPpOGHAmzWD6MV&#10;5sbfuKDrMdYiQTjkqKGJsculDFVDDsPUd8TJO/neYUyyr6Xp8ZbgrpVzpTLp0HJaaLCjl4aq8/Hi&#10;NGw/udjZ77ev9+JU2LJ8VvyanbUePw7bJYhIQ7yH/9sHo2Ghsg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rmTsYAAADdAAAADwAAAAAAAAAAAAAAAACYAgAAZHJz&#10;L2Rvd25yZXYueG1sUEsFBgAAAAAEAAQA9QAAAIsDAAAAAA==&#10;" filled="f" stroked="f">
                    <v:textbox inset="0,0,0,0">
                      <w:txbxContent>
                        <w:p w:rsidR="005D2B81" w:rsidRDefault="005D2B81" w:rsidP="008918FA">
                          <w:pPr>
                            <w:spacing w:before="23" w:line="206" w:lineRule="exact"/>
                            <w:jc w:val="both"/>
                            <w:rPr>
                              <w:rFonts w:ascii="Arial" w:eastAsia="Arial" w:hAnsi="Arial" w:cs="Arial"/>
                              <w:sz w:val="18"/>
                              <w:szCs w:val="18"/>
                            </w:rPr>
                          </w:pPr>
                          <w:r>
                            <w:rPr>
                              <w:rFonts w:ascii="Arial"/>
                              <w:position w:val="9"/>
                              <w:sz w:val="12"/>
                            </w:rPr>
                            <w:t>40</w:t>
                          </w:r>
                          <w:r>
                            <w:rPr>
                              <w:rFonts w:ascii="Arial"/>
                              <w:spacing w:val="31"/>
                              <w:position w:val="9"/>
                              <w:sz w:val="12"/>
                            </w:rPr>
                            <w:t xml:space="preserve"> </w:t>
                          </w:r>
                          <w:bookmarkStart w:id="41" w:name="_bookmark40"/>
                          <w:bookmarkEnd w:id="41"/>
                          <w:r>
                            <w:rPr>
                              <w:rFonts w:ascii="Arial"/>
                              <w:spacing w:val="-1"/>
                              <w:sz w:val="18"/>
                            </w:rPr>
                            <w:t>[Guidance</w:t>
                          </w:r>
                          <w:r>
                            <w:rPr>
                              <w:rFonts w:ascii="Arial"/>
                              <w:spacing w:val="15"/>
                              <w:sz w:val="18"/>
                            </w:rPr>
                            <w:t xml:space="preserve"> </w:t>
                          </w:r>
                          <w:r>
                            <w:rPr>
                              <w:rFonts w:ascii="Arial"/>
                              <w:spacing w:val="-1"/>
                              <w:sz w:val="18"/>
                            </w:rPr>
                            <w:t>Note:</w:t>
                          </w:r>
                          <w:r>
                            <w:rPr>
                              <w:rFonts w:ascii="Arial"/>
                              <w:spacing w:val="15"/>
                              <w:sz w:val="18"/>
                            </w:rPr>
                            <w:t xml:space="preserve"> </w:t>
                          </w:r>
                          <w:r>
                            <w:rPr>
                              <w:rFonts w:ascii="Arial"/>
                              <w:spacing w:val="-1"/>
                              <w:sz w:val="18"/>
                            </w:rPr>
                            <w:t>Include</w:t>
                          </w:r>
                          <w:r>
                            <w:rPr>
                              <w:rFonts w:ascii="Arial"/>
                              <w:spacing w:val="13"/>
                              <w:sz w:val="18"/>
                            </w:rPr>
                            <w:t xml:space="preserve"> </w:t>
                          </w:r>
                          <w:r>
                            <w:rPr>
                              <w:rFonts w:ascii="Arial"/>
                              <w:sz w:val="18"/>
                            </w:rPr>
                            <w:t>any</w:t>
                          </w:r>
                          <w:r>
                            <w:rPr>
                              <w:rFonts w:ascii="Arial"/>
                              <w:spacing w:val="10"/>
                              <w:sz w:val="18"/>
                            </w:rPr>
                            <w:t xml:space="preserve"> </w:t>
                          </w:r>
                          <w:r>
                            <w:rPr>
                              <w:rFonts w:ascii="Arial"/>
                              <w:sz w:val="18"/>
                            </w:rPr>
                            <w:t>other</w:t>
                          </w:r>
                          <w:r>
                            <w:rPr>
                              <w:rFonts w:ascii="Arial"/>
                              <w:spacing w:val="14"/>
                              <w:sz w:val="18"/>
                            </w:rPr>
                            <w:t xml:space="preserve"> </w:t>
                          </w:r>
                          <w:r>
                            <w:rPr>
                              <w:rFonts w:ascii="Arial"/>
                              <w:spacing w:val="-1"/>
                              <w:sz w:val="18"/>
                            </w:rPr>
                            <w:t>amendments</w:t>
                          </w:r>
                          <w:r>
                            <w:rPr>
                              <w:rFonts w:ascii="Arial"/>
                              <w:spacing w:val="15"/>
                              <w:sz w:val="18"/>
                            </w:rPr>
                            <w:t xml:space="preserve"> </w:t>
                          </w:r>
                          <w:r>
                            <w:rPr>
                              <w:rFonts w:ascii="Arial"/>
                              <w:spacing w:val="-1"/>
                              <w:sz w:val="18"/>
                            </w:rPr>
                            <w:t>and/or</w:t>
                          </w:r>
                          <w:r>
                            <w:rPr>
                              <w:rFonts w:ascii="Arial"/>
                              <w:spacing w:val="14"/>
                              <w:sz w:val="18"/>
                            </w:rPr>
                            <w:t xml:space="preserve"> </w:t>
                          </w:r>
                          <w:r>
                            <w:rPr>
                              <w:rFonts w:ascii="Arial"/>
                              <w:spacing w:val="-1"/>
                              <w:sz w:val="18"/>
                            </w:rPr>
                            <w:t>refinements</w:t>
                          </w:r>
                          <w:r>
                            <w:rPr>
                              <w:rFonts w:ascii="Arial"/>
                              <w:spacing w:val="13"/>
                              <w:sz w:val="18"/>
                            </w:rPr>
                            <w:t xml:space="preserve"> </w:t>
                          </w:r>
                          <w:r>
                            <w:rPr>
                              <w:rFonts w:ascii="Arial"/>
                              <w:sz w:val="18"/>
                            </w:rPr>
                            <w:t>to</w:t>
                          </w:r>
                          <w:r>
                            <w:rPr>
                              <w:rFonts w:ascii="Arial"/>
                              <w:spacing w:val="15"/>
                              <w:sz w:val="18"/>
                            </w:rPr>
                            <w:t xml:space="preserve"> </w:t>
                          </w:r>
                          <w:r>
                            <w:rPr>
                              <w:rFonts w:ascii="Arial"/>
                              <w:spacing w:val="-1"/>
                              <w:sz w:val="18"/>
                            </w:rPr>
                            <w:t>the</w:t>
                          </w:r>
                          <w:r>
                            <w:rPr>
                              <w:rFonts w:ascii="Arial"/>
                              <w:spacing w:val="15"/>
                              <w:sz w:val="18"/>
                            </w:rPr>
                            <w:t xml:space="preserve"> </w:t>
                          </w:r>
                          <w:r>
                            <w:rPr>
                              <w:rFonts w:ascii="Arial"/>
                              <w:spacing w:val="-1"/>
                              <w:sz w:val="18"/>
                            </w:rPr>
                            <w:t>Template</w:t>
                          </w:r>
                          <w:r>
                            <w:rPr>
                              <w:rFonts w:ascii="Arial"/>
                              <w:spacing w:val="15"/>
                              <w:sz w:val="18"/>
                            </w:rPr>
                            <w:t xml:space="preserve"> </w:t>
                          </w:r>
                          <w:r>
                            <w:rPr>
                              <w:rFonts w:ascii="Arial"/>
                              <w:spacing w:val="-1"/>
                              <w:sz w:val="18"/>
                            </w:rPr>
                            <w:t>Call</w:t>
                          </w:r>
                          <w:r>
                            <w:rPr>
                              <w:rFonts w:ascii="Arial"/>
                              <w:spacing w:val="13"/>
                              <w:sz w:val="18"/>
                            </w:rPr>
                            <w:t xml:space="preserve"> </w:t>
                          </w:r>
                          <w:r>
                            <w:rPr>
                              <w:rFonts w:ascii="Arial"/>
                              <w:spacing w:val="-1"/>
                              <w:sz w:val="18"/>
                            </w:rPr>
                            <w:t>Off</w:t>
                          </w:r>
                          <w:r>
                            <w:rPr>
                              <w:rFonts w:ascii="Arial"/>
                              <w:spacing w:val="14"/>
                              <w:sz w:val="18"/>
                            </w:rPr>
                            <w:t xml:space="preserve"> </w:t>
                          </w:r>
                          <w:r>
                            <w:rPr>
                              <w:rFonts w:ascii="Arial"/>
                              <w:spacing w:val="-1"/>
                              <w:sz w:val="18"/>
                            </w:rPr>
                            <w:t>Terms</w:t>
                          </w:r>
                          <w:r>
                            <w:rPr>
                              <w:rFonts w:ascii="Arial"/>
                              <w:spacing w:val="16"/>
                              <w:sz w:val="18"/>
                            </w:rPr>
                            <w:t xml:space="preserve"> </w:t>
                          </w:r>
                          <w:r>
                            <w:rPr>
                              <w:rFonts w:ascii="Arial"/>
                              <w:spacing w:val="-1"/>
                              <w:sz w:val="18"/>
                            </w:rPr>
                            <w:t>prior</w:t>
                          </w:r>
                          <w:r>
                            <w:rPr>
                              <w:rFonts w:ascii="Arial"/>
                              <w:spacing w:val="14"/>
                              <w:sz w:val="18"/>
                            </w:rPr>
                            <w:t xml:space="preserve"> </w:t>
                          </w:r>
                          <w:r>
                            <w:rPr>
                              <w:rFonts w:ascii="Arial"/>
                              <w:spacing w:val="-1"/>
                              <w:sz w:val="18"/>
                            </w:rPr>
                            <w:t>to</w:t>
                          </w:r>
                          <w:r>
                            <w:rPr>
                              <w:rFonts w:ascii="Arial"/>
                              <w:spacing w:val="79"/>
                              <w:sz w:val="18"/>
                            </w:rPr>
                            <w:t xml:space="preserve"> </w:t>
                          </w:r>
                          <w:r>
                            <w:rPr>
                              <w:rFonts w:ascii="Arial"/>
                              <w:spacing w:val="-1"/>
                              <w:sz w:val="18"/>
                            </w:rPr>
                            <w:t>those</w:t>
                          </w:r>
                          <w:r>
                            <w:rPr>
                              <w:rFonts w:ascii="Arial"/>
                              <w:spacing w:val="32"/>
                              <w:sz w:val="18"/>
                            </w:rPr>
                            <w:t xml:space="preserve"> </w:t>
                          </w:r>
                          <w:r>
                            <w:rPr>
                              <w:rFonts w:ascii="Arial"/>
                              <w:spacing w:val="-1"/>
                              <w:sz w:val="18"/>
                            </w:rPr>
                            <w:t>becoming</w:t>
                          </w:r>
                          <w:r>
                            <w:rPr>
                              <w:rFonts w:ascii="Arial"/>
                              <w:spacing w:val="29"/>
                              <w:sz w:val="18"/>
                            </w:rPr>
                            <w:t xml:space="preserve"> </w:t>
                          </w:r>
                          <w:r>
                            <w:rPr>
                              <w:rFonts w:ascii="Arial"/>
                              <w:sz w:val="18"/>
                            </w:rPr>
                            <w:t>the</w:t>
                          </w:r>
                          <w:r>
                            <w:rPr>
                              <w:rFonts w:ascii="Arial"/>
                              <w:spacing w:val="32"/>
                              <w:sz w:val="18"/>
                            </w:rPr>
                            <w:t xml:space="preserve"> </w:t>
                          </w:r>
                          <w:r>
                            <w:rPr>
                              <w:rFonts w:ascii="Arial"/>
                              <w:spacing w:val="-1"/>
                              <w:sz w:val="18"/>
                            </w:rPr>
                            <w:t>Call</w:t>
                          </w:r>
                          <w:r>
                            <w:rPr>
                              <w:rFonts w:ascii="Arial"/>
                              <w:spacing w:val="32"/>
                              <w:sz w:val="18"/>
                            </w:rPr>
                            <w:t xml:space="preserve"> </w:t>
                          </w:r>
                          <w:r>
                            <w:rPr>
                              <w:rFonts w:ascii="Arial"/>
                              <w:spacing w:val="-1"/>
                              <w:sz w:val="18"/>
                            </w:rPr>
                            <w:t>Off</w:t>
                          </w:r>
                          <w:r>
                            <w:rPr>
                              <w:rFonts w:ascii="Arial"/>
                              <w:spacing w:val="29"/>
                              <w:sz w:val="18"/>
                            </w:rPr>
                            <w:t xml:space="preserve"> </w:t>
                          </w:r>
                          <w:r>
                            <w:rPr>
                              <w:rFonts w:ascii="Arial"/>
                              <w:sz w:val="18"/>
                            </w:rPr>
                            <w:t>Terms.</w:t>
                          </w:r>
                          <w:r>
                            <w:rPr>
                              <w:rFonts w:ascii="Arial"/>
                              <w:spacing w:val="31"/>
                              <w:sz w:val="18"/>
                            </w:rPr>
                            <w:t xml:space="preserve"> </w:t>
                          </w:r>
                          <w:r>
                            <w:rPr>
                              <w:rFonts w:ascii="Arial"/>
                              <w:spacing w:val="-1"/>
                              <w:sz w:val="18"/>
                            </w:rPr>
                            <w:t>Paragraph</w:t>
                          </w:r>
                          <w:r>
                            <w:rPr>
                              <w:rFonts w:ascii="Arial"/>
                              <w:spacing w:val="29"/>
                              <w:sz w:val="18"/>
                            </w:rPr>
                            <w:t xml:space="preserve"> </w:t>
                          </w:r>
                          <w:r>
                            <w:rPr>
                              <w:rFonts w:ascii="Arial"/>
                              <w:sz w:val="18"/>
                            </w:rPr>
                            <w:t>7.3</w:t>
                          </w:r>
                          <w:r>
                            <w:rPr>
                              <w:rFonts w:ascii="Arial"/>
                              <w:spacing w:val="29"/>
                              <w:sz w:val="18"/>
                            </w:rPr>
                            <w:t xml:space="preserve"> </w:t>
                          </w:r>
                          <w:r>
                            <w:rPr>
                              <w:rFonts w:ascii="Arial"/>
                              <w:sz w:val="18"/>
                            </w:rPr>
                            <w:t>of</w:t>
                          </w:r>
                          <w:r>
                            <w:rPr>
                              <w:rFonts w:ascii="Arial"/>
                              <w:spacing w:val="31"/>
                              <w:sz w:val="18"/>
                            </w:rPr>
                            <w:t xml:space="preserve"> </w:t>
                          </w:r>
                          <w:r>
                            <w:rPr>
                              <w:rFonts w:ascii="Arial"/>
                              <w:spacing w:val="-1"/>
                              <w:sz w:val="18"/>
                            </w:rPr>
                            <w:t>the</w:t>
                          </w:r>
                          <w:r>
                            <w:rPr>
                              <w:rFonts w:ascii="Arial"/>
                              <w:spacing w:val="29"/>
                              <w:sz w:val="18"/>
                            </w:rPr>
                            <w:t xml:space="preserve"> </w:t>
                          </w:r>
                          <w:r>
                            <w:rPr>
                              <w:rFonts w:ascii="Arial"/>
                              <w:spacing w:val="-1"/>
                              <w:sz w:val="18"/>
                            </w:rPr>
                            <w:t>Template</w:t>
                          </w:r>
                          <w:r>
                            <w:rPr>
                              <w:rFonts w:ascii="Arial"/>
                              <w:spacing w:val="32"/>
                              <w:sz w:val="18"/>
                            </w:rPr>
                            <w:t xml:space="preserve"> </w:t>
                          </w:r>
                          <w:r>
                            <w:rPr>
                              <w:rFonts w:ascii="Arial"/>
                              <w:spacing w:val="-1"/>
                              <w:sz w:val="18"/>
                            </w:rPr>
                            <w:t>Call</w:t>
                          </w:r>
                          <w:r>
                            <w:rPr>
                              <w:rFonts w:ascii="Arial"/>
                              <w:spacing w:val="32"/>
                              <w:sz w:val="18"/>
                            </w:rPr>
                            <w:t xml:space="preserve"> </w:t>
                          </w:r>
                          <w:r>
                            <w:rPr>
                              <w:rFonts w:ascii="Arial"/>
                              <w:spacing w:val="-1"/>
                              <w:sz w:val="18"/>
                            </w:rPr>
                            <w:t>Off</w:t>
                          </w:r>
                          <w:r>
                            <w:rPr>
                              <w:rFonts w:ascii="Arial"/>
                              <w:spacing w:val="29"/>
                              <w:sz w:val="18"/>
                            </w:rPr>
                            <w:t xml:space="preserve"> </w:t>
                          </w:r>
                          <w:r>
                            <w:rPr>
                              <w:rFonts w:ascii="Arial"/>
                              <w:sz w:val="18"/>
                            </w:rPr>
                            <w:t>Form</w:t>
                          </w:r>
                          <w:r>
                            <w:rPr>
                              <w:rFonts w:ascii="Arial"/>
                              <w:spacing w:val="30"/>
                              <w:sz w:val="18"/>
                            </w:rPr>
                            <w:t xml:space="preserve"> </w:t>
                          </w:r>
                          <w:r>
                            <w:rPr>
                              <w:rFonts w:ascii="Arial"/>
                              <w:spacing w:val="-1"/>
                              <w:sz w:val="18"/>
                            </w:rPr>
                            <w:t>deals</w:t>
                          </w:r>
                          <w:r>
                            <w:rPr>
                              <w:rFonts w:ascii="Arial"/>
                              <w:spacing w:val="32"/>
                              <w:sz w:val="18"/>
                            </w:rPr>
                            <w:t xml:space="preserve"> </w:t>
                          </w:r>
                          <w:r>
                            <w:rPr>
                              <w:rFonts w:ascii="Arial"/>
                              <w:spacing w:val="-1"/>
                              <w:sz w:val="18"/>
                            </w:rPr>
                            <w:t>with</w:t>
                          </w:r>
                          <w:r>
                            <w:rPr>
                              <w:rFonts w:ascii="Arial"/>
                              <w:spacing w:val="32"/>
                              <w:sz w:val="18"/>
                            </w:rPr>
                            <w:t xml:space="preserve"> </w:t>
                          </w:r>
                          <w:r>
                            <w:rPr>
                              <w:rFonts w:ascii="Arial"/>
                              <w:spacing w:val="-1"/>
                              <w:sz w:val="18"/>
                            </w:rPr>
                            <w:t>those</w:t>
                          </w:r>
                          <w:r>
                            <w:rPr>
                              <w:rFonts w:ascii="Arial"/>
                              <w:spacing w:val="32"/>
                              <w:sz w:val="18"/>
                            </w:rPr>
                            <w:t xml:space="preserve"> </w:t>
                          </w:r>
                          <w:r>
                            <w:rPr>
                              <w:rFonts w:ascii="Arial"/>
                              <w:spacing w:val="-1"/>
                              <w:sz w:val="18"/>
                            </w:rPr>
                            <w:t>default</w:t>
                          </w:r>
                          <w:r>
                            <w:rPr>
                              <w:rFonts w:ascii="Arial"/>
                              <w:spacing w:val="81"/>
                              <w:sz w:val="18"/>
                            </w:rPr>
                            <w:t xml:space="preserve"> </w:t>
                          </w:r>
                          <w:r>
                            <w:rPr>
                              <w:rFonts w:ascii="Arial"/>
                              <w:spacing w:val="-1"/>
                              <w:sz w:val="18"/>
                            </w:rPr>
                            <w:t>Additional</w:t>
                          </w:r>
                          <w:r>
                            <w:rPr>
                              <w:rFonts w:ascii="Arial"/>
                              <w:spacing w:val="25"/>
                              <w:sz w:val="18"/>
                            </w:rPr>
                            <w:t xml:space="preserve"> </w:t>
                          </w:r>
                          <w:r>
                            <w:rPr>
                              <w:rFonts w:ascii="Arial"/>
                              <w:sz w:val="18"/>
                            </w:rPr>
                            <w:t>or</w:t>
                          </w:r>
                          <w:r>
                            <w:rPr>
                              <w:rFonts w:ascii="Arial"/>
                              <w:spacing w:val="24"/>
                              <w:sz w:val="18"/>
                            </w:rPr>
                            <w:t xml:space="preserve"> </w:t>
                          </w:r>
                          <w:r>
                            <w:rPr>
                              <w:rFonts w:ascii="Arial"/>
                              <w:spacing w:val="-1"/>
                              <w:sz w:val="18"/>
                            </w:rPr>
                            <w:t>Clauses</w:t>
                          </w:r>
                          <w:r>
                            <w:rPr>
                              <w:rFonts w:ascii="Arial"/>
                              <w:spacing w:val="25"/>
                              <w:sz w:val="18"/>
                            </w:rPr>
                            <w:t xml:space="preserve"> </w:t>
                          </w:r>
                          <w:r>
                            <w:rPr>
                              <w:rFonts w:ascii="Arial"/>
                              <w:spacing w:val="-1"/>
                              <w:sz w:val="18"/>
                            </w:rPr>
                            <w:t>as</w:t>
                          </w:r>
                          <w:r>
                            <w:rPr>
                              <w:rFonts w:ascii="Arial"/>
                              <w:spacing w:val="25"/>
                              <w:sz w:val="18"/>
                            </w:rPr>
                            <w:t xml:space="preserve"> </w:t>
                          </w:r>
                          <w:r>
                            <w:rPr>
                              <w:rFonts w:ascii="Arial"/>
                              <w:sz w:val="18"/>
                            </w:rPr>
                            <w:t>set</w:t>
                          </w:r>
                          <w:r>
                            <w:rPr>
                              <w:rFonts w:ascii="Arial"/>
                              <w:spacing w:val="22"/>
                              <w:sz w:val="18"/>
                            </w:rPr>
                            <w:t xml:space="preserve"> </w:t>
                          </w:r>
                          <w:r>
                            <w:rPr>
                              <w:rFonts w:ascii="Arial"/>
                              <w:sz w:val="18"/>
                            </w:rPr>
                            <w:t>out</w:t>
                          </w:r>
                          <w:r>
                            <w:rPr>
                              <w:rFonts w:ascii="Arial"/>
                              <w:spacing w:val="24"/>
                              <w:sz w:val="18"/>
                            </w:rPr>
                            <w:t xml:space="preserve"> </w:t>
                          </w:r>
                          <w:r>
                            <w:rPr>
                              <w:rFonts w:ascii="Arial"/>
                              <w:sz w:val="18"/>
                            </w:rPr>
                            <w:t>in</w:t>
                          </w:r>
                          <w:r>
                            <w:rPr>
                              <w:rFonts w:ascii="Arial"/>
                              <w:spacing w:val="25"/>
                              <w:sz w:val="18"/>
                            </w:rPr>
                            <w:t xml:space="preserve"> </w:t>
                          </w:r>
                          <w:r>
                            <w:rPr>
                              <w:rFonts w:ascii="Arial"/>
                              <w:spacing w:val="-1"/>
                              <w:sz w:val="18"/>
                            </w:rPr>
                            <w:t>Call</w:t>
                          </w:r>
                          <w:r>
                            <w:rPr>
                              <w:rFonts w:ascii="Arial"/>
                              <w:spacing w:val="25"/>
                              <w:sz w:val="18"/>
                            </w:rPr>
                            <w:t xml:space="preserve"> </w:t>
                          </w:r>
                          <w:r>
                            <w:rPr>
                              <w:rFonts w:ascii="Arial"/>
                              <w:spacing w:val="-1"/>
                              <w:sz w:val="18"/>
                            </w:rPr>
                            <w:t>Off</w:t>
                          </w:r>
                          <w:r>
                            <w:rPr>
                              <w:rFonts w:ascii="Arial"/>
                              <w:spacing w:val="24"/>
                              <w:sz w:val="18"/>
                            </w:rPr>
                            <w:t xml:space="preserve"> </w:t>
                          </w:r>
                          <w:r>
                            <w:rPr>
                              <w:rFonts w:ascii="Arial"/>
                              <w:spacing w:val="-1"/>
                              <w:sz w:val="18"/>
                            </w:rPr>
                            <w:t>Schedule</w:t>
                          </w:r>
                          <w:r>
                            <w:rPr>
                              <w:rFonts w:ascii="Arial"/>
                              <w:spacing w:val="25"/>
                              <w:sz w:val="18"/>
                            </w:rPr>
                            <w:t xml:space="preserve"> </w:t>
                          </w:r>
                          <w:r>
                            <w:rPr>
                              <w:rFonts w:ascii="Arial"/>
                              <w:sz w:val="18"/>
                            </w:rPr>
                            <w:t>14</w:t>
                          </w:r>
                          <w:r>
                            <w:rPr>
                              <w:rFonts w:ascii="Arial"/>
                              <w:spacing w:val="24"/>
                              <w:sz w:val="18"/>
                            </w:rPr>
                            <w:t xml:space="preserve"> </w:t>
                          </w:r>
                          <w:r>
                            <w:rPr>
                              <w:rFonts w:ascii="Arial"/>
                              <w:spacing w:val="-1"/>
                              <w:sz w:val="18"/>
                            </w:rPr>
                            <w:t>of</w:t>
                          </w:r>
                          <w:r>
                            <w:rPr>
                              <w:rFonts w:ascii="Arial"/>
                              <w:spacing w:val="24"/>
                              <w:sz w:val="18"/>
                            </w:rPr>
                            <w:t xml:space="preserve"> </w:t>
                          </w:r>
                          <w:r>
                            <w:rPr>
                              <w:rFonts w:ascii="Arial"/>
                              <w:sz w:val="18"/>
                            </w:rPr>
                            <w:t>the</w:t>
                          </w:r>
                          <w:r>
                            <w:rPr>
                              <w:rFonts w:ascii="Arial"/>
                              <w:spacing w:val="25"/>
                              <w:sz w:val="18"/>
                            </w:rPr>
                            <w:t xml:space="preserve"> </w:t>
                          </w:r>
                          <w:r>
                            <w:rPr>
                              <w:rFonts w:ascii="Arial"/>
                              <w:spacing w:val="-1"/>
                              <w:sz w:val="18"/>
                            </w:rPr>
                            <w:t>Template</w:t>
                          </w:r>
                          <w:r>
                            <w:rPr>
                              <w:rFonts w:ascii="Arial"/>
                              <w:spacing w:val="25"/>
                              <w:sz w:val="18"/>
                            </w:rPr>
                            <w:t xml:space="preserve"> </w:t>
                          </w:r>
                          <w:r>
                            <w:rPr>
                              <w:rFonts w:ascii="Arial"/>
                              <w:spacing w:val="-1"/>
                              <w:sz w:val="18"/>
                            </w:rPr>
                            <w:t>Call</w:t>
                          </w:r>
                          <w:r>
                            <w:rPr>
                              <w:rFonts w:ascii="Arial"/>
                              <w:spacing w:val="25"/>
                              <w:sz w:val="18"/>
                            </w:rPr>
                            <w:t xml:space="preserve"> </w:t>
                          </w:r>
                          <w:r>
                            <w:rPr>
                              <w:rFonts w:ascii="Arial"/>
                              <w:spacing w:val="-1"/>
                              <w:sz w:val="18"/>
                            </w:rPr>
                            <w:t>Off</w:t>
                          </w:r>
                          <w:r>
                            <w:rPr>
                              <w:rFonts w:ascii="Arial"/>
                              <w:spacing w:val="24"/>
                              <w:sz w:val="18"/>
                            </w:rPr>
                            <w:t xml:space="preserve"> </w:t>
                          </w:r>
                          <w:r>
                            <w:rPr>
                              <w:rFonts w:ascii="Arial"/>
                              <w:spacing w:val="-1"/>
                              <w:sz w:val="18"/>
                            </w:rPr>
                            <w:t>Terms</w:t>
                          </w:r>
                          <w:r>
                            <w:rPr>
                              <w:rFonts w:ascii="Arial"/>
                              <w:spacing w:val="25"/>
                              <w:sz w:val="18"/>
                            </w:rPr>
                            <w:t xml:space="preserve"> </w:t>
                          </w:r>
                          <w:r>
                            <w:rPr>
                              <w:rFonts w:ascii="Arial"/>
                              <w:spacing w:val="-1"/>
                              <w:sz w:val="18"/>
                            </w:rPr>
                            <w:t>(Alternative</w:t>
                          </w:r>
                          <w:r>
                            <w:rPr>
                              <w:rFonts w:ascii="Arial"/>
                              <w:spacing w:val="25"/>
                              <w:sz w:val="18"/>
                            </w:rPr>
                            <w:t xml:space="preserve"> </w:t>
                          </w:r>
                          <w:r>
                            <w:rPr>
                              <w:rFonts w:ascii="Arial"/>
                              <w:spacing w:val="-1"/>
                              <w:sz w:val="18"/>
                            </w:rPr>
                            <w:t>and/or</w:t>
                          </w:r>
                        </w:p>
                      </w:txbxContent>
                    </v:textbox>
                  </v:shape>
                </v:group>
                <w10:anchorlock/>
              </v:group>
            </w:pict>
          </mc:Fallback>
        </mc:AlternateContent>
      </w:r>
    </w:p>
    <w:p w:rsidR="008918FA" w:rsidRDefault="008918FA" w:rsidP="008918FA">
      <w:pPr>
        <w:spacing w:line="200" w:lineRule="atLeast"/>
        <w:rPr>
          <w:rFonts w:ascii="Arial" w:eastAsia="Arial" w:hAnsi="Arial" w:cs="Arial"/>
          <w:sz w:val="20"/>
          <w:szCs w:val="20"/>
        </w:rPr>
        <w:sectPr w:rsidR="008918FA">
          <w:pgSz w:w="11910" w:h="16840"/>
          <w:pgMar w:top="1480" w:right="1300" w:bottom="1180" w:left="1340" w:header="0" w:footer="987" w:gutter="0"/>
          <w:cols w:space="720"/>
        </w:sectPr>
      </w:pPr>
    </w:p>
    <w:p w:rsidR="008918FA" w:rsidRDefault="008918FA" w:rsidP="008918FA">
      <w:pPr>
        <w:pStyle w:val="Heading1"/>
        <w:numPr>
          <w:ilvl w:val="1"/>
          <w:numId w:val="73"/>
        </w:numPr>
        <w:tabs>
          <w:tab w:val="left" w:pos="954"/>
        </w:tabs>
        <w:spacing w:before="57"/>
        <w:ind w:hanging="566"/>
        <w:rPr>
          <w:b w:val="0"/>
          <w:bCs w:val="0"/>
        </w:rPr>
      </w:pPr>
      <w:r>
        <w:rPr>
          <w:spacing w:val="-1"/>
        </w:rPr>
        <w:lastRenderedPageBreak/>
        <w:t>Supplemental</w:t>
      </w:r>
      <w:r>
        <w:t xml:space="preserve"> </w:t>
      </w:r>
      <w:r>
        <w:rPr>
          <w:spacing w:val="-1"/>
        </w:rPr>
        <w:t>requirements</w:t>
      </w:r>
      <w:r>
        <w:rPr>
          <w:spacing w:val="-2"/>
        </w:rPr>
        <w:t xml:space="preserve"> </w:t>
      </w:r>
      <w:r>
        <w:t>to</w:t>
      </w:r>
      <w:r>
        <w:rPr>
          <w:spacing w:val="-2"/>
        </w:rPr>
        <w:t xml:space="preserve"> </w:t>
      </w:r>
      <w:r>
        <w:rPr>
          <w:spacing w:val="-1"/>
        </w:rPr>
        <w:t>the</w:t>
      </w:r>
      <w:r>
        <w:t xml:space="preserve"> </w:t>
      </w:r>
      <w:r>
        <w:rPr>
          <w:spacing w:val="-2"/>
        </w:rPr>
        <w:t>Call</w:t>
      </w:r>
      <w:r>
        <w:t xml:space="preserve"> </w:t>
      </w:r>
      <w:r>
        <w:rPr>
          <w:spacing w:val="-1"/>
        </w:rPr>
        <w:t>Off Terms</w:t>
      </w:r>
    </w:p>
    <w:p w:rsidR="008918FA" w:rsidRDefault="008918FA" w:rsidP="008918FA">
      <w:pPr>
        <w:pStyle w:val="BodyText"/>
        <w:tabs>
          <w:tab w:val="left" w:pos="2840"/>
        </w:tabs>
        <w:spacing w:before="121"/>
        <w:ind w:left="953" w:firstLine="0"/>
      </w:pPr>
      <w:r>
        <w:rPr>
          <w:highlight w:val="yellow"/>
        </w:rPr>
        <w:t>[</w:t>
      </w:r>
      <w:r>
        <w:rPr>
          <w:highlight w:val="yellow"/>
        </w:rPr>
        <w:tab/>
        <w:t>]</w:t>
      </w:r>
    </w:p>
    <w:p w:rsidR="008918FA" w:rsidRDefault="008918FA" w:rsidP="008918FA">
      <w:pPr>
        <w:pStyle w:val="Heading1"/>
        <w:numPr>
          <w:ilvl w:val="1"/>
          <w:numId w:val="73"/>
        </w:numPr>
        <w:tabs>
          <w:tab w:val="left" w:pos="954"/>
        </w:tabs>
        <w:spacing w:before="119"/>
        <w:ind w:hanging="566"/>
        <w:rPr>
          <w:b w:val="0"/>
          <w:bCs w:val="0"/>
        </w:rPr>
      </w:pPr>
      <w:r>
        <w:rPr>
          <w:spacing w:val="-1"/>
        </w:rPr>
        <w:t>Amendments</w:t>
      </w:r>
      <w:r>
        <w:t xml:space="preserve"> </w:t>
      </w:r>
      <w:r>
        <w:rPr>
          <w:spacing w:val="-1"/>
        </w:rPr>
        <w:t>to/refinements</w:t>
      </w:r>
      <w:r>
        <w:rPr>
          <w:spacing w:val="-2"/>
        </w:rPr>
        <w:t xml:space="preserve"> </w:t>
      </w:r>
      <w:r>
        <w:rPr>
          <w:spacing w:val="-1"/>
        </w:rPr>
        <w:t>of the</w:t>
      </w:r>
      <w:r>
        <w:rPr>
          <w:spacing w:val="-2"/>
        </w:rPr>
        <w:t xml:space="preserve"> </w:t>
      </w:r>
      <w:r>
        <w:rPr>
          <w:spacing w:val="-1"/>
        </w:rPr>
        <w:t>Call</w:t>
      </w:r>
      <w:r>
        <w:rPr>
          <w:spacing w:val="-3"/>
        </w:rPr>
        <w:t xml:space="preserve"> </w:t>
      </w:r>
      <w:r>
        <w:rPr>
          <w:spacing w:val="-1"/>
        </w:rPr>
        <w:t>Off</w:t>
      </w:r>
      <w:r>
        <w:rPr>
          <w:spacing w:val="2"/>
        </w:rPr>
        <w:t xml:space="preserve"> </w:t>
      </w:r>
      <w:r>
        <w:rPr>
          <w:spacing w:val="-1"/>
        </w:rPr>
        <w:t>Terms</w:t>
      </w:r>
    </w:p>
    <w:p w:rsidR="008918FA" w:rsidRDefault="008918FA" w:rsidP="008918FA">
      <w:pPr>
        <w:pStyle w:val="BodyText"/>
        <w:tabs>
          <w:tab w:val="left" w:pos="2840"/>
        </w:tabs>
        <w:spacing w:before="121"/>
        <w:ind w:left="953" w:firstLine="0"/>
      </w:pPr>
      <w:r>
        <w:rPr>
          <w:highlight w:val="yellow"/>
        </w:rPr>
        <w:t>[</w:t>
      </w:r>
      <w:r>
        <w:rPr>
          <w:highlight w:val="yellow"/>
        </w:rPr>
        <w:tab/>
        <w:t>]</w:t>
      </w:r>
    </w:p>
    <w:p w:rsidR="008918FA" w:rsidRDefault="008918FA" w:rsidP="008918FA">
      <w:pPr>
        <w:pStyle w:val="Heading1"/>
        <w:numPr>
          <w:ilvl w:val="1"/>
          <w:numId w:val="73"/>
        </w:numPr>
        <w:tabs>
          <w:tab w:val="left" w:pos="954"/>
        </w:tabs>
        <w:spacing w:before="119"/>
        <w:ind w:right="113" w:hanging="566"/>
        <w:rPr>
          <w:b w:val="0"/>
          <w:bCs w:val="0"/>
        </w:rPr>
      </w:pPr>
      <w:bookmarkStart w:id="33" w:name="_bookmark41"/>
      <w:bookmarkEnd w:id="33"/>
      <w:r>
        <w:rPr>
          <w:spacing w:val="-1"/>
        </w:rPr>
        <w:t>Alternative</w:t>
      </w:r>
      <w:r>
        <w:t xml:space="preserve"> </w:t>
      </w:r>
      <w:r>
        <w:rPr>
          <w:spacing w:val="9"/>
        </w:rPr>
        <w:t xml:space="preserve"> </w:t>
      </w:r>
      <w:r>
        <w:rPr>
          <w:spacing w:val="-1"/>
        </w:rPr>
        <w:t>and/or</w:t>
      </w:r>
      <w:r>
        <w:t xml:space="preserve"> </w:t>
      </w:r>
      <w:r>
        <w:rPr>
          <w:spacing w:val="14"/>
        </w:rPr>
        <w:t xml:space="preserve"> </w:t>
      </w:r>
      <w:r>
        <w:rPr>
          <w:spacing w:val="-1"/>
        </w:rPr>
        <w:t>Additional</w:t>
      </w:r>
      <w:r>
        <w:t xml:space="preserve"> </w:t>
      </w:r>
      <w:r>
        <w:rPr>
          <w:spacing w:val="10"/>
        </w:rPr>
        <w:t xml:space="preserve"> </w:t>
      </w:r>
      <w:r>
        <w:rPr>
          <w:spacing w:val="-1"/>
        </w:rPr>
        <w:t>Clauses</w:t>
      </w:r>
      <w:r>
        <w:t xml:space="preserve"> </w:t>
      </w:r>
      <w:r>
        <w:rPr>
          <w:spacing w:val="9"/>
        </w:rPr>
        <w:t xml:space="preserve"> </w:t>
      </w:r>
      <w:r>
        <w:rPr>
          <w:spacing w:val="-1"/>
        </w:rPr>
        <w:t>(select</w:t>
      </w:r>
      <w:r>
        <w:t xml:space="preserve"> </w:t>
      </w:r>
      <w:r>
        <w:rPr>
          <w:spacing w:val="10"/>
        </w:rPr>
        <w:t xml:space="preserve"> </w:t>
      </w:r>
      <w:r>
        <w:rPr>
          <w:spacing w:val="-1"/>
        </w:rPr>
        <w:t>from</w:t>
      </w:r>
      <w:r>
        <w:t xml:space="preserve"> </w:t>
      </w:r>
      <w:r>
        <w:rPr>
          <w:spacing w:val="10"/>
        </w:rPr>
        <w:t xml:space="preserve"> </w:t>
      </w:r>
      <w:r>
        <w:rPr>
          <w:spacing w:val="-2"/>
        </w:rPr>
        <w:t>Call</w:t>
      </w:r>
      <w:r>
        <w:t xml:space="preserve"> </w:t>
      </w:r>
      <w:r>
        <w:rPr>
          <w:spacing w:val="10"/>
        </w:rPr>
        <w:t xml:space="preserve"> </w:t>
      </w:r>
      <w:r>
        <w:rPr>
          <w:spacing w:val="-1"/>
        </w:rPr>
        <w:t>Off</w:t>
      </w:r>
      <w:r>
        <w:t xml:space="preserve"> </w:t>
      </w:r>
      <w:r>
        <w:rPr>
          <w:spacing w:val="10"/>
        </w:rPr>
        <w:t xml:space="preserve"> </w:t>
      </w:r>
      <w:r>
        <w:rPr>
          <w:spacing w:val="-1"/>
        </w:rPr>
        <w:t>Schedule</w:t>
      </w:r>
      <w:r>
        <w:t xml:space="preserve"> </w:t>
      </w:r>
      <w:r>
        <w:rPr>
          <w:spacing w:val="9"/>
        </w:rPr>
        <w:t xml:space="preserve"> </w:t>
      </w:r>
      <w:r>
        <w:rPr>
          <w:spacing w:val="-1"/>
        </w:rPr>
        <w:t>14</w:t>
      </w:r>
      <w:r>
        <w:rPr>
          <w:spacing w:val="39"/>
        </w:rPr>
        <w:t xml:space="preserve"> </w:t>
      </w:r>
      <w:r>
        <w:rPr>
          <w:spacing w:val="-1"/>
        </w:rPr>
        <w:t>(Alternative</w:t>
      </w:r>
      <w:r>
        <w:t xml:space="preserve"> </w:t>
      </w:r>
      <w:r>
        <w:rPr>
          <w:spacing w:val="-1"/>
        </w:rPr>
        <w:t>and/or</w:t>
      </w:r>
      <w:r>
        <w:rPr>
          <w:spacing w:val="1"/>
        </w:rPr>
        <w:t xml:space="preserve"> </w:t>
      </w:r>
      <w:r>
        <w:rPr>
          <w:spacing w:val="-1"/>
        </w:rPr>
        <w:t>Additional</w:t>
      </w:r>
      <w:r>
        <w:t xml:space="preserve"> </w:t>
      </w:r>
      <w:r>
        <w:rPr>
          <w:spacing w:val="-1"/>
        </w:rPr>
        <w:t>Clauses))</w:t>
      </w:r>
    </w:p>
    <w:p w:rsidR="008918FA" w:rsidRDefault="008918FA" w:rsidP="008918FA">
      <w:pPr>
        <w:pStyle w:val="BodyText"/>
        <w:tabs>
          <w:tab w:val="left" w:pos="2840"/>
        </w:tabs>
        <w:spacing w:before="121"/>
        <w:ind w:left="953" w:firstLine="0"/>
      </w:pPr>
      <w:r>
        <w:rPr>
          <w:highlight w:val="yellow"/>
        </w:rPr>
        <w:t>[</w:t>
      </w:r>
      <w:r>
        <w:rPr>
          <w:highlight w:val="yellow"/>
        </w:rPr>
        <w:tab/>
        <w:t>]</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10"/>
        <w:rPr>
          <w:rFonts w:ascii="Arial" w:eastAsia="Arial" w:hAnsi="Arial" w:cs="Arial"/>
          <w:sz w:val="17"/>
          <w:szCs w:val="17"/>
        </w:rPr>
      </w:pPr>
    </w:p>
    <w:p w:rsidR="008918FA" w:rsidRDefault="008918FA" w:rsidP="008918FA">
      <w:pPr>
        <w:spacing w:line="200" w:lineRule="atLeast"/>
        <w:ind w:left="398"/>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4"/>
        <w:rPr>
          <w:rFonts w:ascii="Arial" w:eastAsia="Arial" w:hAnsi="Arial" w:cs="Arial"/>
          <w:sz w:val="19"/>
          <w:szCs w:val="19"/>
        </w:rPr>
      </w:pPr>
    </w:p>
    <w:p w:rsidR="008918FA" w:rsidRDefault="008918FA" w:rsidP="008918FA">
      <w:pPr>
        <w:spacing w:line="20" w:lineRule="atLeast"/>
        <w:ind w:left="1371"/>
        <w:rPr>
          <w:rFonts w:ascii="Arial" w:eastAsia="Arial" w:hAnsi="Arial" w:cs="Arial"/>
          <w:sz w:val="2"/>
          <w:szCs w:val="2"/>
        </w:rPr>
      </w:pPr>
      <w:r>
        <w:rPr>
          <w:rFonts w:ascii="Arial" w:eastAsia="Arial" w:hAnsi="Arial" w:cs="Arial"/>
          <w:noProof/>
          <w:sz w:val="2"/>
          <w:szCs w:val="2"/>
          <w:lang w:eastAsia="en-GB"/>
        </w:rPr>
        <mc:AlternateContent>
          <mc:Choice Requires="wpg">
            <w:drawing>
              <wp:inline distT="0" distB="0" distL="0" distR="0" wp14:anchorId="36F031E5" wp14:editId="37B6E6CC">
                <wp:extent cx="4855210" cy="8890"/>
                <wp:effectExtent l="635" t="7620" r="1905" b="2540"/>
                <wp:docPr id="7024" name="Group 7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210" cy="8890"/>
                          <a:chOff x="0" y="0"/>
                          <a:chExt cx="7646" cy="14"/>
                        </a:xfrm>
                      </wpg:grpSpPr>
                      <wpg:grpSp>
                        <wpg:cNvPr id="7025" name="Group 7017"/>
                        <wpg:cNvGrpSpPr>
                          <a:grpSpLocks/>
                        </wpg:cNvGrpSpPr>
                        <wpg:grpSpPr bwMode="auto">
                          <a:xfrm>
                            <a:off x="7" y="7"/>
                            <a:ext cx="7632" cy="2"/>
                            <a:chOff x="7" y="7"/>
                            <a:chExt cx="7632" cy="2"/>
                          </a:xfrm>
                        </wpg:grpSpPr>
                        <wps:wsp>
                          <wps:cNvPr id="7026" name="Freeform 7018"/>
                          <wps:cNvSpPr>
                            <a:spLocks/>
                          </wps:cNvSpPr>
                          <wps:spPr bwMode="auto">
                            <a:xfrm>
                              <a:off x="7" y="7"/>
                              <a:ext cx="7632" cy="2"/>
                            </a:xfrm>
                            <a:custGeom>
                              <a:avLst/>
                              <a:gdLst>
                                <a:gd name="T0" fmla="+- 0 7 7"/>
                                <a:gd name="T1" fmla="*/ T0 w 7632"/>
                                <a:gd name="T2" fmla="+- 0 7639 7"/>
                                <a:gd name="T3" fmla="*/ T2 w 7632"/>
                              </a:gdLst>
                              <a:ahLst/>
                              <a:cxnLst>
                                <a:cxn ang="0">
                                  <a:pos x="T1" y="0"/>
                                </a:cxn>
                                <a:cxn ang="0">
                                  <a:pos x="T3" y="0"/>
                                </a:cxn>
                              </a:cxnLst>
                              <a:rect l="0" t="0" r="r" b="b"/>
                              <a:pathLst>
                                <a:path w="7632">
                                  <a:moveTo>
                                    <a:pt x="0" y="0"/>
                                  </a:moveTo>
                                  <a:lnTo>
                                    <a:pt x="76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177329" id="Group 7016" o:spid="_x0000_s1026" style="width:382.3pt;height:.7pt;mso-position-horizontal-relative:char;mso-position-vertical-relative:line" coordsize="76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">
                <v:group id="Group 7017" o:spid="_x0000_s1027" style="position:absolute;left:7;top:7;width:7632;height:2" coordorigin="7,7" coordsize="7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xsuccAAADdAAAADwAAAGRycy9kb3ducmV2LnhtbESPQWvCQBSE7wX/w/IK&#10;3ppNlLSSZhURKx5CoSqU3h7ZZxLMvg3ZbRL/fbdQ6HGYmW+YfDOZVgzUu8aygiSKQRCXVjdcKbic&#10;355WIJxH1thaJgV3crBZzx5yzLQd+YOGk69EgLDLUEHtfZdJ6cqaDLrIdsTBu9reoA+yr6TucQxw&#10;08pFHD9Lgw2HhRo72tVU3k7fRsFhxHG7TPZDcbvu7l/n9P2zSEip+eO0fQX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xsuccAAADd&#10;AAAADwAAAAAAAAAAAAAAAACqAgAAZHJzL2Rvd25yZXYueG1sUEsFBgAAAAAEAAQA+gAAAJ4DAAAA&#10;AA==&#10;">
                  <v:shape id="Freeform 7018" o:spid="_x0000_s1028" style="position:absolute;left:7;top:7;width:7632;height:2;visibility:visible;mso-wrap-style:square;v-text-anchor:top" coordsize="7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8wsgA&#10;AADdAAAADwAAAGRycy9kb3ducmV2LnhtbESPQWvCQBSE74X+h+UVeim6MVCV1FVsoVCKQhsF9fbI&#10;vibB7Nuwu03iv3eFQo/DzHzDLFaDaURHzteWFUzGCQjiwuqaSwX73ftoDsIHZI2NZVJwIQ+r5f3d&#10;AjNte/6mLg+liBD2GSqoQmgzKX1RkUE/ti1x9H6sMxiidKXUDvsIN41Mk2QqDdYcFyps6a2i4pz/&#10;GgWvX5f+6Lqy2HTu6ZQ+H+rt5yRX6vFhWL+ACDSE//Bf+0MrmCXpFG5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23zCyAAAAN0AAAAPAAAAAAAAAAAAAAAAAJgCAABk&#10;cnMvZG93bnJldi54bWxQSwUGAAAAAAQABAD1AAAAjQMAAAAA&#10;" path="m,l7632,e" filled="f" strokeweight=".7pt">
                    <v:path arrowok="t" o:connecttype="custom" o:connectlocs="0,0;7632,0" o:connectangles="0,0"/>
                  </v:shape>
                </v:group>
                <w10:anchorlock/>
              </v:group>
            </w:pict>
          </mc:Fallback>
        </mc:AlternateContent>
      </w:r>
    </w:p>
    <w:p w:rsidR="008918FA" w:rsidRDefault="008918FA" w:rsidP="008918FA">
      <w:pPr>
        <w:spacing w:before="7"/>
        <w:rPr>
          <w:rFonts w:ascii="Arial" w:eastAsia="Arial" w:hAnsi="Arial" w:cs="Arial"/>
          <w:sz w:val="27"/>
          <w:szCs w:val="27"/>
        </w:rPr>
      </w:pPr>
    </w:p>
    <w:p w:rsidR="008918FA" w:rsidRDefault="008918FA" w:rsidP="008918FA">
      <w:pPr>
        <w:spacing w:line="200" w:lineRule="atLeast"/>
        <w:ind w:left="101"/>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7EC0FA52" wp14:editId="4C50104D">
                <wp:extent cx="5659755" cy="1051560"/>
                <wp:effectExtent l="3810" t="0" r="3810" b="0"/>
                <wp:docPr id="7006" name="Group 6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755" cy="1051560"/>
                          <a:chOff x="0" y="0"/>
                          <a:chExt cx="8913" cy="1656"/>
                        </a:xfrm>
                      </wpg:grpSpPr>
                      <wpg:grpSp>
                        <wpg:cNvPr id="7007" name="Group 7014"/>
                        <wpg:cNvGrpSpPr>
                          <a:grpSpLocks/>
                        </wpg:cNvGrpSpPr>
                        <wpg:grpSpPr bwMode="auto">
                          <a:xfrm>
                            <a:off x="0" y="0"/>
                            <a:ext cx="8909" cy="209"/>
                            <a:chOff x="0" y="0"/>
                            <a:chExt cx="8909" cy="209"/>
                          </a:xfrm>
                        </wpg:grpSpPr>
                        <wps:wsp>
                          <wps:cNvPr id="7008" name="Freeform 7015"/>
                          <wps:cNvSpPr>
                            <a:spLocks/>
                          </wps:cNvSpPr>
                          <wps:spPr bwMode="auto">
                            <a:xfrm>
                              <a:off x="0" y="0"/>
                              <a:ext cx="8909" cy="209"/>
                            </a:xfrm>
                            <a:custGeom>
                              <a:avLst/>
                              <a:gdLst>
                                <a:gd name="T0" fmla="*/ 0 w 8909"/>
                                <a:gd name="T1" fmla="*/ 209 h 209"/>
                                <a:gd name="T2" fmla="*/ 8909 w 8909"/>
                                <a:gd name="T3" fmla="*/ 209 h 209"/>
                                <a:gd name="T4" fmla="*/ 8909 w 8909"/>
                                <a:gd name="T5" fmla="*/ 0 h 209"/>
                                <a:gd name="T6" fmla="*/ 0 w 8909"/>
                                <a:gd name="T7" fmla="*/ 0 h 209"/>
                                <a:gd name="T8" fmla="*/ 0 w 8909"/>
                                <a:gd name="T9" fmla="*/ 209 h 209"/>
                              </a:gdLst>
                              <a:ahLst/>
                              <a:cxnLst>
                                <a:cxn ang="0">
                                  <a:pos x="T0" y="T1"/>
                                </a:cxn>
                                <a:cxn ang="0">
                                  <a:pos x="T2" y="T3"/>
                                </a:cxn>
                                <a:cxn ang="0">
                                  <a:pos x="T4" y="T5"/>
                                </a:cxn>
                                <a:cxn ang="0">
                                  <a:pos x="T6" y="T7"/>
                                </a:cxn>
                                <a:cxn ang="0">
                                  <a:pos x="T8" y="T9"/>
                                </a:cxn>
                              </a:cxnLst>
                              <a:rect l="0" t="0" r="r" b="b"/>
                              <a:pathLst>
                                <a:path w="8909" h="209">
                                  <a:moveTo>
                                    <a:pt x="0" y="209"/>
                                  </a:moveTo>
                                  <a:lnTo>
                                    <a:pt x="8909" y="209"/>
                                  </a:lnTo>
                                  <a:lnTo>
                                    <a:pt x="8909" y="0"/>
                                  </a:lnTo>
                                  <a:lnTo>
                                    <a:pt x="0" y="0"/>
                                  </a:lnTo>
                                  <a:lnTo>
                                    <a:pt x="0" y="20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9" name="Group 7012"/>
                        <wpg:cNvGrpSpPr>
                          <a:grpSpLocks/>
                        </wpg:cNvGrpSpPr>
                        <wpg:grpSpPr bwMode="auto">
                          <a:xfrm>
                            <a:off x="0" y="209"/>
                            <a:ext cx="8909" cy="207"/>
                            <a:chOff x="0" y="209"/>
                            <a:chExt cx="8909" cy="207"/>
                          </a:xfrm>
                        </wpg:grpSpPr>
                        <wps:wsp>
                          <wps:cNvPr id="7010" name="Freeform 7013"/>
                          <wps:cNvSpPr>
                            <a:spLocks/>
                          </wps:cNvSpPr>
                          <wps:spPr bwMode="auto">
                            <a:xfrm>
                              <a:off x="0" y="209"/>
                              <a:ext cx="8909" cy="207"/>
                            </a:xfrm>
                            <a:custGeom>
                              <a:avLst/>
                              <a:gdLst>
                                <a:gd name="T0" fmla="*/ 0 w 8909"/>
                                <a:gd name="T1" fmla="+- 0 415 209"/>
                                <a:gd name="T2" fmla="*/ 415 h 207"/>
                                <a:gd name="T3" fmla="*/ 8909 w 8909"/>
                                <a:gd name="T4" fmla="+- 0 415 209"/>
                                <a:gd name="T5" fmla="*/ 415 h 207"/>
                                <a:gd name="T6" fmla="*/ 8909 w 8909"/>
                                <a:gd name="T7" fmla="+- 0 209 209"/>
                                <a:gd name="T8" fmla="*/ 209 h 207"/>
                                <a:gd name="T9" fmla="*/ 0 w 8909"/>
                                <a:gd name="T10" fmla="+- 0 209 209"/>
                                <a:gd name="T11" fmla="*/ 209 h 207"/>
                                <a:gd name="T12" fmla="*/ 0 w 8909"/>
                                <a:gd name="T13" fmla="+- 0 415 209"/>
                                <a:gd name="T14" fmla="*/ 415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1" name="Group 7010"/>
                        <wpg:cNvGrpSpPr>
                          <a:grpSpLocks/>
                        </wpg:cNvGrpSpPr>
                        <wpg:grpSpPr bwMode="auto">
                          <a:xfrm>
                            <a:off x="0" y="415"/>
                            <a:ext cx="8909" cy="207"/>
                            <a:chOff x="0" y="415"/>
                            <a:chExt cx="8909" cy="207"/>
                          </a:xfrm>
                        </wpg:grpSpPr>
                        <wps:wsp>
                          <wps:cNvPr id="7012" name="Freeform 7011"/>
                          <wps:cNvSpPr>
                            <a:spLocks/>
                          </wps:cNvSpPr>
                          <wps:spPr bwMode="auto">
                            <a:xfrm>
                              <a:off x="0" y="415"/>
                              <a:ext cx="8909" cy="207"/>
                            </a:xfrm>
                            <a:custGeom>
                              <a:avLst/>
                              <a:gdLst>
                                <a:gd name="T0" fmla="*/ 0 w 8909"/>
                                <a:gd name="T1" fmla="+- 0 622 415"/>
                                <a:gd name="T2" fmla="*/ 622 h 207"/>
                                <a:gd name="T3" fmla="*/ 8909 w 8909"/>
                                <a:gd name="T4" fmla="+- 0 622 415"/>
                                <a:gd name="T5" fmla="*/ 622 h 207"/>
                                <a:gd name="T6" fmla="*/ 8909 w 8909"/>
                                <a:gd name="T7" fmla="+- 0 415 415"/>
                                <a:gd name="T8" fmla="*/ 415 h 207"/>
                                <a:gd name="T9" fmla="*/ 0 w 8909"/>
                                <a:gd name="T10" fmla="+- 0 415 415"/>
                                <a:gd name="T11" fmla="*/ 415 h 207"/>
                                <a:gd name="T12" fmla="*/ 0 w 8909"/>
                                <a:gd name="T13" fmla="+- 0 622 415"/>
                                <a:gd name="T14" fmla="*/ 622 h 207"/>
                              </a:gdLst>
                              <a:ahLst/>
                              <a:cxnLst>
                                <a:cxn ang="0">
                                  <a:pos x="T0" y="T2"/>
                                </a:cxn>
                                <a:cxn ang="0">
                                  <a:pos x="T3" y="T5"/>
                                </a:cxn>
                                <a:cxn ang="0">
                                  <a:pos x="T6" y="T8"/>
                                </a:cxn>
                                <a:cxn ang="0">
                                  <a:pos x="T9" y="T11"/>
                                </a:cxn>
                                <a:cxn ang="0">
                                  <a:pos x="T12" y="T14"/>
                                </a:cxn>
                              </a:cxnLst>
                              <a:rect l="0" t="0" r="r" b="b"/>
                              <a:pathLst>
                                <a:path w="8909" h="207">
                                  <a:moveTo>
                                    <a:pt x="0" y="207"/>
                                  </a:moveTo>
                                  <a:lnTo>
                                    <a:pt x="8909" y="207"/>
                                  </a:lnTo>
                                  <a:lnTo>
                                    <a:pt x="8909"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3" name="Group 7008"/>
                        <wpg:cNvGrpSpPr>
                          <a:grpSpLocks/>
                        </wpg:cNvGrpSpPr>
                        <wpg:grpSpPr bwMode="auto">
                          <a:xfrm>
                            <a:off x="0" y="622"/>
                            <a:ext cx="8909" cy="207"/>
                            <a:chOff x="0" y="622"/>
                            <a:chExt cx="8909" cy="207"/>
                          </a:xfrm>
                        </wpg:grpSpPr>
                        <wps:wsp>
                          <wps:cNvPr id="7014" name="Freeform 7009"/>
                          <wps:cNvSpPr>
                            <a:spLocks/>
                          </wps:cNvSpPr>
                          <wps:spPr bwMode="auto">
                            <a:xfrm>
                              <a:off x="0" y="622"/>
                              <a:ext cx="8909" cy="207"/>
                            </a:xfrm>
                            <a:custGeom>
                              <a:avLst/>
                              <a:gdLst>
                                <a:gd name="T0" fmla="*/ 0 w 8909"/>
                                <a:gd name="T1" fmla="+- 0 828 622"/>
                                <a:gd name="T2" fmla="*/ 828 h 207"/>
                                <a:gd name="T3" fmla="*/ 8909 w 8909"/>
                                <a:gd name="T4" fmla="+- 0 828 622"/>
                                <a:gd name="T5" fmla="*/ 828 h 207"/>
                                <a:gd name="T6" fmla="*/ 8909 w 8909"/>
                                <a:gd name="T7" fmla="+- 0 622 622"/>
                                <a:gd name="T8" fmla="*/ 622 h 207"/>
                                <a:gd name="T9" fmla="*/ 0 w 8909"/>
                                <a:gd name="T10" fmla="+- 0 622 622"/>
                                <a:gd name="T11" fmla="*/ 622 h 207"/>
                                <a:gd name="T12" fmla="*/ 0 w 8909"/>
                                <a:gd name="T13" fmla="+- 0 828 622"/>
                                <a:gd name="T14" fmla="*/ 828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5" name="Group 7006"/>
                        <wpg:cNvGrpSpPr>
                          <a:grpSpLocks/>
                        </wpg:cNvGrpSpPr>
                        <wpg:grpSpPr bwMode="auto">
                          <a:xfrm>
                            <a:off x="0" y="828"/>
                            <a:ext cx="8909" cy="209"/>
                            <a:chOff x="0" y="828"/>
                            <a:chExt cx="8909" cy="209"/>
                          </a:xfrm>
                        </wpg:grpSpPr>
                        <wps:wsp>
                          <wps:cNvPr id="7016" name="Freeform 7007"/>
                          <wps:cNvSpPr>
                            <a:spLocks/>
                          </wps:cNvSpPr>
                          <wps:spPr bwMode="auto">
                            <a:xfrm>
                              <a:off x="0" y="828"/>
                              <a:ext cx="8909" cy="209"/>
                            </a:xfrm>
                            <a:custGeom>
                              <a:avLst/>
                              <a:gdLst>
                                <a:gd name="T0" fmla="*/ 0 w 8909"/>
                                <a:gd name="T1" fmla="+- 0 1037 828"/>
                                <a:gd name="T2" fmla="*/ 1037 h 209"/>
                                <a:gd name="T3" fmla="*/ 8909 w 8909"/>
                                <a:gd name="T4" fmla="+- 0 1037 828"/>
                                <a:gd name="T5" fmla="*/ 1037 h 209"/>
                                <a:gd name="T6" fmla="*/ 8909 w 8909"/>
                                <a:gd name="T7" fmla="+- 0 828 828"/>
                                <a:gd name="T8" fmla="*/ 828 h 209"/>
                                <a:gd name="T9" fmla="*/ 0 w 8909"/>
                                <a:gd name="T10" fmla="+- 0 828 828"/>
                                <a:gd name="T11" fmla="*/ 828 h 209"/>
                                <a:gd name="T12" fmla="*/ 0 w 8909"/>
                                <a:gd name="T13" fmla="+- 0 1037 828"/>
                                <a:gd name="T14" fmla="*/ 1037 h 209"/>
                              </a:gdLst>
                              <a:ahLst/>
                              <a:cxnLst>
                                <a:cxn ang="0">
                                  <a:pos x="T0" y="T2"/>
                                </a:cxn>
                                <a:cxn ang="0">
                                  <a:pos x="T3" y="T5"/>
                                </a:cxn>
                                <a:cxn ang="0">
                                  <a:pos x="T6" y="T8"/>
                                </a:cxn>
                                <a:cxn ang="0">
                                  <a:pos x="T9" y="T11"/>
                                </a:cxn>
                                <a:cxn ang="0">
                                  <a:pos x="T12" y="T14"/>
                                </a:cxn>
                              </a:cxnLst>
                              <a:rect l="0" t="0" r="r" b="b"/>
                              <a:pathLst>
                                <a:path w="8909" h="209">
                                  <a:moveTo>
                                    <a:pt x="0" y="209"/>
                                  </a:moveTo>
                                  <a:lnTo>
                                    <a:pt x="8909" y="209"/>
                                  </a:lnTo>
                                  <a:lnTo>
                                    <a:pt x="8909" y="0"/>
                                  </a:lnTo>
                                  <a:lnTo>
                                    <a:pt x="0" y="0"/>
                                  </a:lnTo>
                                  <a:lnTo>
                                    <a:pt x="0" y="20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7" name="Group 7004"/>
                        <wpg:cNvGrpSpPr>
                          <a:grpSpLocks/>
                        </wpg:cNvGrpSpPr>
                        <wpg:grpSpPr bwMode="auto">
                          <a:xfrm>
                            <a:off x="0" y="1037"/>
                            <a:ext cx="8909" cy="207"/>
                            <a:chOff x="0" y="1037"/>
                            <a:chExt cx="8909" cy="207"/>
                          </a:xfrm>
                        </wpg:grpSpPr>
                        <wps:wsp>
                          <wps:cNvPr id="7018" name="Freeform 7005"/>
                          <wps:cNvSpPr>
                            <a:spLocks/>
                          </wps:cNvSpPr>
                          <wps:spPr bwMode="auto">
                            <a:xfrm>
                              <a:off x="0" y="1037"/>
                              <a:ext cx="8909" cy="207"/>
                            </a:xfrm>
                            <a:custGeom>
                              <a:avLst/>
                              <a:gdLst>
                                <a:gd name="T0" fmla="*/ 0 w 8909"/>
                                <a:gd name="T1" fmla="+- 0 1243 1037"/>
                                <a:gd name="T2" fmla="*/ 1243 h 207"/>
                                <a:gd name="T3" fmla="*/ 8909 w 8909"/>
                                <a:gd name="T4" fmla="+- 0 1243 1037"/>
                                <a:gd name="T5" fmla="*/ 1243 h 207"/>
                                <a:gd name="T6" fmla="*/ 8909 w 8909"/>
                                <a:gd name="T7" fmla="+- 0 1037 1037"/>
                                <a:gd name="T8" fmla="*/ 1037 h 207"/>
                                <a:gd name="T9" fmla="*/ 0 w 8909"/>
                                <a:gd name="T10" fmla="+- 0 1037 1037"/>
                                <a:gd name="T11" fmla="*/ 1037 h 207"/>
                                <a:gd name="T12" fmla="*/ 0 w 8909"/>
                                <a:gd name="T13" fmla="+- 0 1243 1037"/>
                                <a:gd name="T14" fmla="*/ 1243 h 207"/>
                              </a:gdLst>
                              <a:ahLst/>
                              <a:cxnLst>
                                <a:cxn ang="0">
                                  <a:pos x="T0" y="T2"/>
                                </a:cxn>
                                <a:cxn ang="0">
                                  <a:pos x="T3" y="T5"/>
                                </a:cxn>
                                <a:cxn ang="0">
                                  <a:pos x="T6" y="T8"/>
                                </a:cxn>
                                <a:cxn ang="0">
                                  <a:pos x="T9" y="T11"/>
                                </a:cxn>
                                <a:cxn ang="0">
                                  <a:pos x="T12" y="T14"/>
                                </a:cxn>
                              </a:cxnLst>
                              <a:rect l="0" t="0" r="r" b="b"/>
                              <a:pathLst>
                                <a:path w="8909" h="207">
                                  <a:moveTo>
                                    <a:pt x="0" y="206"/>
                                  </a:moveTo>
                                  <a:lnTo>
                                    <a:pt x="8909" y="206"/>
                                  </a:lnTo>
                                  <a:lnTo>
                                    <a:pt x="8909"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9" name="Group 7002"/>
                        <wpg:cNvGrpSpPr>
                          <a:grpSpLocks/>
                        </wpg:cNvGrpSpPr>
                        <wpg:grpSpPr bwMode="auto">
                          <a:xfrm>
                            <a:off x="0" y="1243"/>
                            <a:ext cx="8909" cy="207"/>
                            <a:chOff x="0" y="1243"/>
                            <a:chExt cx="8909" cy="207"/>
                          </a:xfrm>
                        </wpg:grpSpPr>
                        <wps:wsp>
                          <wps:cNvPr id="7020" name="Freeform 7003"/>
                          <wps:cNvSpPr>
                            <a:spLocks/>
                          </wps:cNvSpPr>
                          <wps:spPr bwMode="auto">
                            <a:xfrm>
                              <a:off x="0" y="1243"/>
                              <a:ext cx="8909" cy="207"/>
                            </a:xfrm>
                            <a:custGeom>
                              <a:avLst/>
                              <a:gdLst>
                                <a:gd name="T0" fmla="*/ 0 w 8909"/>
                                <a:gd name="T1" fmla="+- 0 1450 1243"/>
                                <a:gd name="T2" fmla="*/ 1450 h 207"/>
                                <a:gd name="T3" fmla="*/ 8909 w 8909"/>
                                <a:gd name="T4" fmla="+- 0 1450 1243"/>
                                <a:gd name="T5" fmla="*/ 1450 h 207"/>
                                <a:gd name="T6" fmla="*/ 8909 w 8909"/>
                                <a:gd name="T7" fmla="+- 0 1243 1243"/>
                                <a:gd name="T8" fmla="*/ 1243 h 207"/>
                                <a:gd name="T9" fmla="*/ 0 w 8909"/>
                                <a:gd name="T10" fmla="+- 0 1243 1243"/>
                                <a:gd name="T11" fmla="*/ 1243 h 207"/>
                                <a:gd name="T12" fmla="*/ 0 w 8909"/>
                                <a:gd name="T13" fmla="+- 0 1450 1243"/>
                                <a:gd name="T14" fmla="*/ 1450 h 207"/>
                              </a:gdLst>
                              <a:ahLst/>
                              <a:cxnLst>
                                <a:cxn ang="0">
                                  <a:pos x="T0" y="T2"/>
                                </a:cxn>
                                <a:cxn ang="0">
                                  <a:pos x="T3" y="T5"/>
                                </a:cxn>
                                <a:cxn ang="0">
                                  <a:pos x="T6" y="T8"/>
                                </a:cxn>
                                <a:cxn ang="0">
                                  <a:pos x="T9" y="T11"/>
                                </a:cxn>
                                <a:cxn ang="0">
                                  <a:pos x="T12" y="T14"/>
                                </a:cxn>
                              </a:cxnLst>
                              <a:rect l="0" t="0" r="r" b="b"/>
                              <a:pathLst>
                                <a:path w="8909" h="207">
                                  <a:moveTo>
                                    <a:pt x="0" y="207"/>
                                  </a:moveTo>
                                  <a:lnTo>
                                    <a:pt x="8909" y="207"/>
                                  </a:lnTo>
                                  <a:lnTo>
                                    <a:pt x="8909" y="0"/>
                                  </a:lnTo>
                                  <a:lnTo>
                                    <a:pt x="0" y="0"/>
                                  </a:lnTo>
                                  <a:lnTo>
                                    <a:pt x="0" y="20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1" name="Group 6999"/>
                        <wpg:cNvGrpSpPr>
                          <a:grpSpLocks/>
                        </wpg:cNvGrpSpPr>
                        <wpg:grpSpPr bwMode="auto">
                          <a:xfrm>
                            <a:off x="0" y="1450"/>
                            <a:ext cx="4563" cy="207"/>
                            <a:chOff x="0" y="1450"/>
                            <a:chExt cx="4563" cy="207"/>
                          </a:xfrm>
                        </wpg:grpSpPr>
                        <wps:wsp>
                          <wps:cNvPr id="7022" name="Freeform 7001"/>
                          <wps:cNvSpPr>
                            <a:spLocks/>
                          </wps:cNvSpPr>
                          <wps:spPr bwMode="auto">
                            <a:xfrm>
                              <a:off x="0" y="1450"/>
                              <a:ext cx="4563" cy="207"/>
                            </a:xfrm>
                            <a:custGeom>
                              <a:avLst/>
                              <a:gdLst>
                                <a:gd name="T0" fmla="*/ 0 w 4563"/>
                                <a:gd name="T1" fmla="+- 0 1656 1450"/>
                                <a:gd name="T2" fmla="*/ 1656 h 207"/>
                                <a:gd name="T3" fmla="*/ 4562 w 4563"/>
                                <a:gd name="T4" fmla="+- 0 1656 1450"/>
                                <a:gd name="T5" fmla="*/ 1656 h 207"/>
                                <a:gd name="T6" fmla="*/ 4562 w 4563"/>
                                <a:gd name="T7" fmla="+- 0 1450 1450"/>
                                <a:gd name="T8" fmla="*/ 1450 h 207"/>
                                <a:gd name="T9" fmla="*/ 0 w 4563"/>
                                <a:gd name="T10" fmla="+- 0 1450 1450"/>
                                <a:gd name="T11" fmla="*/ 1450 h 207"/>
                                <a:gd name="T12" fmla="*/ 0 w 4563"/>
                                <a:gd name="T13" fmla="+- 0 1656 1450"/>
                                <a:gd name="T14" fmla="*/ 1656 h 207"/>
                              </a:gdLst>
                              <a:ahLst/>
                              <a:cxnLst>
                                <a:cxn ang="0">
                                  <a:pos x="T0" y="T2"/>
                                </a:cxn>
                                <a:cxn ang="0">
                                  <a:pos x="T3" y="T5"/>
                                </a:cxn>
                                <a:cxn ang="0">
                                  <a:pos x="T6" y="T8"/>
                                </a:cxn>
                                <a:cxn ang="0">
                                  <a:pos x="T9" y="T11"/>
                                </a:cxn>
                                <a:cxn ang="0">
                                  <a:pos x="T12" y="T14"/>
                                </a:cxn>
                              </a:cxnLst>
                              <a:rect l="0" t="0" r="r" b="b"/>
                              <a:pathLst>
                                <a:path w="4563" h="207">
                                  <a:moveTo>
                                    <a:pt x="0" y="206"/>
                                  </a:moveTo>
                                  <a:lnTo>
                                    <a:pt x="4562" y="206"/>
                                  </a:lnTo>
                                  <a:lnTo>
                                    <a:pt x="4562" y="0"/>
                                  </a:lnTo>
                                  <a:lnTo>
                                    <a:pt x="0" y="0"/>
                                  </a:lnTo>
                                  <a:lnTo>
                                    <a:pt x="0" y="20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3" name="Text Box 7000"/>
                          <wps:cNvSpPr txBox="1">
                            <a:spLocks noChangeArrowheads="1"/>
                          </wps:cNvSpPr>
                          <wps:spPr bwMode="auto">
                            <a:xfrm>
                              <a:off x="0" y="0"/>
                              <a:ext cx="8913"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jc w:val="both"/>
                                  <w:rPr>
                                    <w:rFonts w:ascii="Arial" w:eastAsia="Arial" w:hAnsi="Arial" w:cs="Arial"/>
                                    <w:sz w:val="18"/>
                                    <w:szCs w:val="18"/>
                                  </w:rPr>
                                </w:pPr>
                                <w:r>
                                  <w:rPr>
                                    <w:rFonts w:ascii="Arial"/>
                                    <w:spacing w:val="-1"/>
                                    <w:sz w:val="18"/>
                                  </w:rPr>
                                  <w:t>Additional</w:t>
                                </w:r>
                                <w:r>
                                  <w:rPr>
                                    <w:rFonts w:ascii="Arial"/>
                                    <w:spacing w:val="32"/>
                                    <w:sz w:val="18"/>
                                  </w:rPr>
                                  <w:t xml:space="preserve"> </w:t>
                                </w:r>
                                <w:r>
                                  <w:rPr>
                                    <w:rFonts w:ascii="Arial"/>
                                    <w:spacing w:val="-1"/>
                                    <w:sz w:val="18"/>
                                  </w:rPr>
                                  <w:t>Clauses).</w:t>
                                </w:r>
                                <w:r>
                                  <w:rPr>
                                    <w:rFonts w:ascii="Arial"/>
                                    <w:spacing w:val="31"/>
                                    <w:sz w:val="18"/>
                                  </w:rPr>
                                  <w:t xml:space="preserve"> </w:t>
                                </w:r>
                                <w:r>
                                  <w:rPr>
                                    <w:rFonts w:ascii="Arial"/>
                                    <w:spacing w:val="-1"/>
                                    <w:sz w:val="18"/>
                                  </w:rPr>
                                  <w:t>Customers</w:t>
                                </w:r>
                                <w:r>
                                  <w:rPr>
                                    <w:rFonts w:ascii="Arial"/>
                                    <w:spacing w:val="32"/>
                                    <w:sz w:val="18"/>
                                  </w:rPr>
                                  <w:t xml:space="preserve"> </w:t>
                                </w:r>
                                <w:r>
                                  <w:rPr>
                                    <w:rFonts w:ascii="Arial"/>
                                    <w:spacing w:val="-1"/>
                                    <w:sz w:val="18"/>
                                  </w:rPr>
                                  <w:t>should</w:t>
                                </w:r>
                                <w:r>
                                  <w:rPr>
                                    <w:rFonts w:ascii="Arial"/>
                                    <w:spacing w:val="29"/>
                                    <w:sz w:val="18"/>
                                  </w:rPr>
                                  <w:t xml:space="preserve"> </w:t>
                                </w:r>
                                <w:r>
                                  <w:rPr>
                                    <w:rFonts w:ascii="Arial"/>
                                    <w:sz w:val="18"/>
                                  </w:rPr>
                                  <w:t>state</w:t>
                                </w:r>
                                <w:r>
                                  <w:rPr>
                                    <w:rFonts w:ascii="Arial"/>
                                    <w:spacing w:val="29"/>
                                    <w:sz w:val="18"/>
                                  </w:rPr>
                                  <w:t xml:space="preserve"> </w:t>
                                </w:r>
                                <w:r>
                                  <w:rPr>
                                    <w:rFonts w:ascii="Arial"/>
                                    <w:sz w:val="18"/>
                                  </w:rPr>
                                  <w:t>here</w:t>
                                </w:r>
                                <w:r>
                                  <w:rPr>
                                    <w:rFonts w:ascii="Arial"/>
                                    <w:spacing w:val="32"/>
                                    <w:sz w:val="18"/>
                                  </w:rPr>
                                  <w:t xml:space="preserve"> </w:t>
                                </w:r>
                                <w:r>
                                  <w:rPr>
                                    <w:rFonts w:ascii="Arial"/>
                                    <w:spacing w:val="-1"/>
                                    <w:sz w:val="18"/>
                                  </w:rPr>
                                  <w:t>which</w:t>
                                </w:r>
                                <w:r>
                                  <w:rPr>
                                    <w:rFonts w:ascii="Arial"/>
                                    <w:spacing w:val="32"/>
                                    <w:sz w:val="18"/>
                                  </w:rPr>
                                  <w:t xml:space="preserve"> </w:t>
                                </w:r>
                                <w:r>
                                  <w:rPr>
                                    <w:rFonts w:ascii="Arial"/>
                                    <w:spacing w:val="-1"/>
                                    <w:sz w:val="18"/>
                                  </w:rPr>
                                  <w:t>ones</w:t>
                                </w:r>
                                <w:r>
                                  <w:rPr>
                                    <w:rFonts w:ascii="Arial"/>
                                    <w:spacing w:val="32"/>
                                    <w:sz w:val="18"/>
                                  </w:rPr>
                                  <w:t xml:space="preserve"> </w:t>
                                </w:r>
                                <w:r>
                                  <w:rPr>
                                    <w:rFonts w:ascii="Arial"/>
                                    <w:spacing w:val="-1"/>
                                    <w:sz w:val="18"/>
                                  </w:rPr>
                                  <w:t>apply,</w:t>
                                </w:r>
                                <w:r>
                                  <w:rPr>
                                    <w:rFonts w:ascii="Arial"/>
                                    <w:spacing w:val="31"/>
                                    <w:sz w:val="18"/>
                                  </w:rPr>
                                  <w:t xml:space="preserve"> </w:t>
                                </w:r>
                                <w:r>
                                  <w:rPr>
                                    <w:rFonts w:ascii="Arial"/>
                                    <w:sz w:val="18"/>
                                  </w:rPr>
                                  <w:t>if</w:t>
                                </w:r>
                                <w:r>
                                  <w:rPr>
                                    <w:rFonts w:ascii="Arial"/>
                                    <w:spacing w:val="31"/>
                                    <w:sz w:val="18"/>
                                  </w:rPr>
                                  <w:t xml:space="preserve"> </w:t>
                                </w:r>
                                <w:r>
                                  <w:rPr>
                                    <w:rFonts w:ascii="Arial"/>
                                    <w:spacing w:val="-1"/>
                                    <w:sz w:val="18"/>
                                  </w:rPr>
                                  <w:t>any.</w:t>
                                </w:r>
                                <w:r>
                                  <w:rPr>
                                    <w:rFonts w:ascii="Arial"/>
                                    <w:spacing w:val="31"/>
                                    <w:sz w:val="18"/>
                                  </w:rPr>
                                  <w:t xml:space="preserve"> </w:t>
                                </w:r>
                                <w:r>
                                  <w:rPr>
                                    <w:rFonts w:ascii="Arial"/>
                                    <w:spacing w:val="-1"/>
                                    <w:sz w:val="18"/>
                                  </w:rPr>
                                  <w:t>Paragraphs</w:t>
                                </w:r>
                                <w:r>
                                  <w:rPr>
                                    <w:rFonts w:ascii="Arial"/>
                                    <w:spacing w:val="32"/>
                                    <w:sz w:val="18"/>
                                  </w:rPr>
                                  <w:t xml:space="preserve"> </w:t>
                                </w:r>
                                <w:r>
                                  <w:rPr>
                                    <w:rFonts w:ascii="Arial"/>
                                    <w:sz w:val="18"/>
                                  </w:rPr>
                                  <w:t>7.1</w:t>
                                </w:r>
                                <w:r>
                                  <w:rPr>
                                    <w:rFonts w:ascii="Arial"/>
                                    <w:spacing w:val="32"/>
                                    <w:sz w:val="18"/>
                                  </w:rPr>
                                  <w:t xml:space="preserve"> </w:t>
                                </w:r>
                                <w:r>
                                  <w:rPr>
                                    <w:rFonts w:ascii="Arial"/>
                                    <w:spacing w:val="-1"/>
                                    <w:sz w:val="18"/>
                                  </w:rPr>
                                  <w:t>and</w:t>
                                </w:r>
                                <w:r>
                                  <w:rPr>
                                    <w:rFonts w:ascii="Arial"/>
                                    <w:spacing w:val="32"/>
                                    <w:sz w:val="18"/>
                                  </w:rPr>
                                  <w:t xml:space="preserve"> </w:t>
                                </w:r>
                                <w:r>
                                  <w:rPr>
                                    <w:rFonts w:ascii="Arial"/>
                                    <w:sz w:val="18"/>
                                  </w:rPr>
                                  <w:t>7.2</w:t>
                                </w:r>
                                <w:r>
                                  <w:rPr>
                                    <w:rFonts w:ascii="Arial"/>
                                    <w:spacing w:val="32"/>
                                    <w:sz w:val="18"/>
                                  </w:rPr>
                                  <w:t xml:space="preserve"> </w:t>
                                </w:r>
                                <w:r>
                                  <w:rPr>
                                    <w:rFonts w:ascii="Arial"/>
                                    <w:sz w:val="18"/>
                                  </w:rPr>
                                  <w:t>of</w:t>
                                </w:r>
                                <w:r>
                                  <w:rPr>
                                    <w:rFonts w:ascii="Arial"/>
                                    <w:spacing w:val="31"/>
                                    <w:sz w:val="18"/>
                                  </w:rPr>
                                  <w:t xml:space="preserve"> </w:t>
                                </w:r>
                                <w:r>
                                  <w:rPr>
                                    <w:rFonts w:ascii="Arial"/>
                                    <w:spacing w:val="-1"/>
                                    <w:sz w:val="18"/>
                                  </w:rPr>
                                  <w:t>the</w:t>
                                </w:r>
                                <w:r>
                                  <w:rPr>
                                    <w:rFonts w:ascii="Arial"/>
                                    <w:spacing w:val="77"/>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7"/>
                                    <w:sz w:val="18"/>
                                  </w:rPr>
                                  <w:t xml:space="preserve"> </w:t>
                                </w:r>
                                <w:r>
                                  <w:rPr>
                                    <w:rFonts w:ascii="Arial"/>
                                    <w:spacing w:val="-1"/>
                                    <w:sz w:val="18"/>
                                  </w:rPr>
                                  <w:t>Form</w:t>
                                </w:r>
                                <w:r>
                                  <w:rPr>
                                    <w:rFonts w:ascii="Arial"/>
                                    <w:spacing w:val="11"/>
                                    <w:sz w:val="18"/>
                                  </w:rPr>
                                  <w:t xml:space="preserve"> </w:t>
                                </w:r>
                                <w:r>
                                  <w:rPr>
                                    <w:rFonts w:ascii="Arial"/>
                                    <w:spacing w:val="-1"/>
                                    <w:sz w:val="18"/>
                                  </w:rPr>
                                  <w:t>enable</w:t>
                                </w:r>
                                <w:r>
                                  <w:rPr>
                                    <w:rFonts w:ascii="Arial"/>
                                    <w:spacing w:val="10"/>
                                    <w:sz w:val="18"/>
                                  </w:rPr>
                                  <w:t xml:space="preserve"> </w:t>
                                </w:r>
                                <w:r>
                                  <w:rPr>
                                    <w:rFonts w:ascii="Arial"/>
                                    <w:spacing w:val="-1"/>
                                    <w:sz w:val="18"/>
                                  </w:rPr>
                                  <w:t>Customers</w:t>
                                </w:r>
                                <w:r>
                                  <w:rPr>
                                    <w:rFonts w:ascii="Arial"/>
                                    <w:spacing w:val="8"/>
                                    <w:sz w:val="18"/>
                                  </w:rPr>
                                  <w:t xml:space="preserve"> </w:t>
                                </w:r>
                                <w:r>
                                  <w:rPr>
                                    <w:rFonts w:ascii="Arial"/>
                                    <w:sz w:val="18"/>
                                  </w:rPr>
                                  <w:t>to</w:t>
                                </w:r>
                                <w:r>
                                  <w:rPr>
                                    <w:rFonts w:ascii="Arial"/>
                                    <w:spacing w:val="8"/>
                                    <w:sz w:val="18"/>
                                  </w:rPr>
                                  <w:t xml:space="preserve"> </w:t>
                                </w:r>
                                <w:r>
                                  <w:rPr>
                                    <w:rFonts w:ascii="Arial"/>
                                    <w:spacing w:val="-1"/>
                                    <w:sz w:val="18"/>
                                  </w:rPr>
                                  <w:t>insert</w:t>
                                </w:r>
                                <w:r>
                                  <w:rPr>
                                    <w:rFonts w:ascii="Arial"/>
                                    <w:spacing w:val="7"/>
                                    <w:sz w:val="18"/>
                                  </w:rPr>
                                  <w:t xml:space="preserve"> </w:t>
                                </w:r>
                                <w:r>
                                  <w:rPr>
                                    <w:rFonts w:ascii="Arial"/>
                                    <w:sz w:val="18"/>
                                  </w:rPr>
                                  <w:t>new</w:t>
                                </w:r>
                                <w:r>
                                  <w:rPr>
                                    <w:rFonts w:ascii="Arial"/>
                                    <w:spacing w:val="7"/>
                                    <w:sz w:val="18"/>
                                  </w:rPr>
                                  <w:t xml:space="preserve"> </w:t>
                                </w:r>
                                <w:r>
                                  <w:rPr>
                                    <w:rFonts w:ascii="Arial"/>
                                    <w:spacing w:val="-1"/>
                                    <w:sz w:val="18"/>
                                  </w:rPr>
                                  <w:t>provisions</w:t>
                                </w:r>
                                <w:r>
                                  <w:rPr>
                                    <w:rFonts w:ascii="Arial"/>
                                    <w:spacing w:val="10"/>
                                    <w:sz w:val="18"/>
                                  </w:rPr>
                                  <w:t xml:space="preserve"> </w:t>
                                </w:r>
                                <w:r>
                                  <w:rPr>
                                    <w:rFonts w:ascii="Arial"/>
                                    <w:spacing w:val="-1"/>
                                    <w:sz w:val="18"/>
                                  </w:rPr>
                                  <w:t>and</w:t>
                                </w:r>
                                <w:r>
                                  <w:rPr>
                                    <w:rFonts w:ascii="Arial"/>
                                    <w:spacing w:val="8"/>
                                    <w:sz w:val="18"/>
                                  </w:rPr>
                                  <w:t xml:space="preserve"> </w:t>
                                </w:r>
                                <w:r>
                                  <w:rPr>
                                    <w:rFonts w:ascii="Arial"/>
                                    <w:spacing w:val="-1"/>
                                    <w:sz w:val="18"/>
                                  </w:rPr>
                                  <w:t>amend</w:t>
                                </w:r>
                                <w:r>
                                  <w:rPr>
                                    <w:rFonts w:ascii="Arial"/>
                                    <w:spacing w:val="8"/>
                                    <w:sz w:val="18"/>
                                  </w:rPr>
                                  <w:t xml:space="preserve"> </w:t>
                                </w:r>
                                <w:r>
                                  <w:rPr>
                                    <w:rFonts w:ascii="Arial"/>
                                    <w:spacing w:val="-1"/>
                                    <w:sz w:val="18"/>
                                  </w:rPr>
                                  <w:t>current</w:t>
                                </w:r>
                                <w:r>
                                  <w:rPr>
                                    <w:rFonts w:ascii="Arial"/>
                                    <w:spacing w:val="7"/>
                                    <w:sz w:val="18"/>
                                  </w:rPr>
                                  <w:t xml:space="preserve"> </w:t>
                                </w:r>
                                <w:r>
                                  <w:rPr>
                                    <w:rFonts w:ascii="Arial"/>
                                    <w:spacing w:val="-1"/>
                                    <w:sz w:val="18"/>
                                  </w:rPr>
                                  <w:t>provisions</w:t>
                                </w:r>
                                <w:r>
                                  <w:rPr>
                                    <w:rFonts w:ascii="Arial"/>
                                    <w:spacing w:val="8"/>
                                    <w:sz w:val="18"/>
                                  </w:rPr>
                                  <w:t xml:space="preserve"> </w:t>
                                </w:r>
                                <w:r>
                                  <w:rPr>
                                    <w:rFonts w:ascii="Arial"/>
                                    <w:spacing w:val="-1"/>
                                    <w:sz w:val="18"/>
                                  </w:rPr>
                                  <w:t>respectively.</w:t>
                                </w:r>
                                <w:r>
                                  <w:rPr>
                                    <w:rFonts w:ascii="Arial"/>
                                    <w:spacing w:val="91"/>
                                    <w:sz w:val="18"/>
                                  </w:rPr>
                                  <w:t xml:space="preserve"> </w:t>
                                </w:r>
                                <w:r>
                                  <w:rPr>
                                    <w:rFonts w:ascii="Arial"/>
                                    <w:spacing w:val="-1"/>
                                    <w:sz w:val="18"/>
                                  </w:rPr>
                                  <w:t>Note</w:t>
                                </w:r>
                                <w:r>
                                  <w:rPr>
                                    <w:rFonts w:ascii="Arial"/>
                                    <w:spacing w:val="5"/>
                                    <w:sz w:val="18"/>
                                  </w:rPr>
                                  <w:t xml:space="preserve"> </w:t>
                                </w:r>
                                <w:r>
                                  <w:rPr>
                                    <w:rFonts w:ascii="Arial"/>
                                    <w:spacing w:val="-1"/>
                                    <w:sz w:val="18"/>
                                  </w:rPr>
                                  <w:t>that</w:t>
                                </w:r>
                                <w:r>
                                  <w:rPr>
                                    <w:rFonts w:ascii="Arial"/>
                                    <w:spacing w:val="5"/>
                                    <w:sz w:val="18"/>
                                  </w:rPr>
                                  <w:t xml:space="preserve"> </w:t>
                                </w:r>
                                <w:r>
                                  <w:rPr>
                                    <w:rFonts w:ascii="Arial"/>
                                    <w:sz w:val="18"/>
                                  </w:rPr>
                                  <w:t>any</w:t>
                                </w:r>
                                <w:r>
                                  <w:rPr>
                                    <w:rFonts w:ascii="Arial"/>
                                    <w:spacing w:val="3"/>
                                    <w:sz w:val="18"/>
                                  </w:rPr>
                                  <w:t xml:space="preserve"> </w:t>
                                </w:r>
                                <w:r>
                                  <w:rPr>
                                    <w:rFonts w:ascii="Arial"/>
                                    <w:spacing w:val="-1"/>
                                    <w:sz w:val="18"/>
                                  </w:rPr>
                                  <w:t>such</w:t>
                                </w:r>
                                <w:r>
                                  <w:rPr>
                                    <w:rFonts w:ascii="Arial"/>
                                    <w:spacing w:val="3"/>
                                    <w:sz w:val="18"/>
                                  </w:rPr>
                                  <w:t xml:space="preserve"> </w:t>
                                </w:r>
                                <w:r>
                                  <w:rPr>
                                    <w:rFonts w:ascii="Arial"/>
                                    <w:spacing w:val="-1"/>
                                    <w:sz w:val="18"/>
                                  </w:rPr>
                                  <w:t>additions</w:t>
                                </w:r>
                                <w:r>
                                  <w:rPr>
                                    <w:rFonts w:ascii="Arial"/>
                                    <w:spacing w:val="3"/>
                                    <w:sz w:val="18"/>
                                  </w:rPr>
                                  <w:t xml:space="preserve"> </w:t>
                                </w:r>
                                <w:r>
                                  <w:rPr>
                                    <w:rFonts w:ascii="Arial"/>
                                    <w:spacing w:val="-1"/>
                                    <w:sz w:val="18"/>
                                  </w:rPr>
                                  <w:t>and/or</w:t>
                                </w:r>
                                <w:r>
                                  <w:rPr>
                                    <w:rFonts w:ascii="Arial"/>
                                    <w:spacing w:val="2"/>
                                    <w:sz w:val="18"/>
                                  </w:rPr>
                                  <w:t xml:space="preserve"> </w:t>
                                </w:r>
                                <w:r>
                                  <w:rPr>
                                    <w:rFonts w:ascii="Arial"/>
                                    <w:spacing w:val="-1"/>
                                    <w:sz w:val="18"/>
                                  </w:rPr>
                                  <w:t>changes</w:t>
                                </w:r>
                                <w:r>
                                  <w:rPr>
                                    <w:rFonts w:ascii="Arial"/>
                                    <w:spacing w:val="6"/>
                                    <w:sz w:val="18"/>
                                  </w:rPr>
                                  <w:t xml:space="preserve"> </w:t>
                                </w:r>
                                <w:r>
                                  <w:rPr>
                                    <w:rFonts w:ascii="Arial"/>
                                    <w:spacing w:val="-1"/>
                                    <w:sz w:val="18"/>
                                  </w:rPr>
                                  <w:t>must</w:t>
                                </w:r>
                                <w:r>
                                  <w:rPr>
                                    <w:rFonts w:ascii="Arial"/>
                                    <w:spacing w:val="3"/>
                                    <w:sz w:val="18"/>
                                  </w:rPr>
                                  <w:t xml:space="preserve"> </w:t>
                                </w:r>
                                <w:r>
                                  <w:rPr>
                                    <w:rFonts w:ascii="Arial"/>
                                    <w:spacing w:val="-1"/>
                                    <w:sz w:val="18"/>
                                  </w:rPr>
                                  <w:t>always</w:t>
                                </w:r>
                                <w:r>
                                  <w:rPr>
                                    <w:rFonts w:ascii="Arial"/>
                                    <w:spacing w:val="6"/>
                                    <w:sz w:val="18"/>
                                  </w:rPr>
                                  <w:t xml:space="preserve"> </w:t>
                                </w:r>
                                <w:r>
                                  <w:rPr>
                                    <w:rFonts w:ascii="Arial"/>
                                    <w:sz w:val="18"/>
                                  </w:rPr>
                                  <w:t>be</w:t>
                                </w:r>
                                <w:r>
                                  <w:rPr>
                                    <w:rFonts w:ascii="Arial"/>
                                    <w:spacing w:val="3"/>
                                    <w:sz w:val="18"/>
                                  </w:rPr>
                                  <w:t xml:space="preserve"> </w:t>
                                </w:r>
                                <w:r>
                                  <w:rPr>
                                    <w:rFonts w:ascii="Arial"/>
                                    <w:sz w:val="18"/>
                                  </w:rPr>
                                  <w:t>in</w:t>
                                </w:r>
                                <w:r>
                                  <w:rPr>
                                    <w:rFonts w:ascii="Arial"/>
                                    <w:spacing w:val="5"/>
                                    <w:sz w:val="18"/>
                                  </w:rPr>
                                  <w:t xml:space="preserve"> </w:t>
                                </w:r>
                                <w:r>
                                  <w:rPr>
                                    <w:rFonts w:ascii="Arial"/>
                                    <w:spacing w:val="-1"/>
                                    <w:sz w:val="18"/>
                                  </w:rPr>
                                  <w:t>accordance</w:t>
                                </w:r>
                                <w:r>
                                  <w:rPr>
                                    <w:rFonts w:ascii="Arial"/>
                                    <w:spacing w:val="5"/>
                                    <w:sz w:val="18"/>
                                  </w:rPr>
                                  <w:t xml:space="preserve"> </w:t>
                                </w:r>
                                <w:r>
                                  <w:rPr>
                                    <w:rFonts w:ascii="Arial"/>
                                    <w:spacing w:val="-1"/>
                                    <w:sz w:val="18"/>
                                  </w:rPr>
                                  <w:t>with</w:t>
                                </w:r>
                                <w:r>
                                  <w:rPr>
                                    <w:rFonts w:ascii="Arial"/>
                                    <w:spacing w:val="5"/>
                                    <w:sz w:val="18"/>
                                  </w:rPr>
                                  <w:t xml:space="preserve"> </w:t>
                                </w:r>
                                <w:r>
                                  <w:rPr>
                                    <w:rFonts w:ascii="Arial"/>
                                    <w:spacing w:val="-1"/>
                                    <w:sz w:val="18"/>
                                  </w:rPr>
                                  <w:t>the</w:t>
                                </w:r>
                                <w:r>
                                  <w:rPr>
                                    <w:rFonts w:ascii="Arial"/>
                                    <w:spacing w:val="5"/>
                                    <w:sz w:val="18"/>
                                  </w:rPr>
                                  <w:t xml:space="preserve"> </w:t>
                                </w:r>
                                <w:r>
                                  <w:rPr>
                                    <w:rFonts w:ascii="Arial"/>
                                    <w:sz w:val="18"/>
                                  </w:rPr>
                                  <w:t>Law</w:t>
                                </w:r>
                                <w:r>
                                  <w:rPr>
                                    <w:rFonts w:ascii="Arial"/>
                                    <w:spacing w:val="2"/>
                                    <w:sz w:val="18"/>
                                  </w:rPr>
                                  <w:t xml:space="preserve"> </w:t>
                                </w:r>
                                <w:r>
                                  <w:rPr>
                                    <w:rFonts w:ascii="Arial"/>
                                    <w:spacing w:val="-1"/>
                                    <w:sz w:val="18"/>
                                  </w:rPr>
                                  <w:t>and</w:t>
                                </w:r>
                                <w:r>
                                  <w:rPr>
                                    <w:rFonts w:ascii="Arial"/>
                                    <w:spacing w:val="5"/>
                                    <w:sz w:val="18"/>
                                  </w:rPr>
                                  <w:t xml:space="preserve"> </w:t>
                                </w:r>
                                <w:r>
                                  <w:rPr>
                                    <w:rFonts w:ascii="Arial"/>
                                    <w:sz w:val="18"/>
                                  </w:rPr>
                                  <w:t>the</w:t>
                                </w:r>
                                <w:r>
                                  <w:rPr>
                                    <w:rFonts w:ascii="Arial"/>
                                    <w:spacing w:val="3"/>
                                    <w:sz w:val="18"/>
                                  </w:rPr>
                                  <w:t xml:space="preserve"> </w:t>
                                </w:r>
                                <w:r>
                                  <w:rPr>
                                    <w:rFonts w:ascii="Arial"/>
                                    <w:spacing w:val="-1"/>
                                    <w:sz w:val="18"/>
                                  </w:rPr>
                                  <w:t>requirements</w:t>
                                </w:r>
                                <w:r>
                                  <w:rPr>
                                    <w:rFonts w:ascii="Arial"/>
                                    <w:spacing w:val="83"/>
                                    <w:sz w:val="18"/>
                                  </w:rPr>
                                  <w:t xml:space="preserve"> </w:t>
                                </w:r>
                                <w:r>
                                  <w:rPr>
                                    <w:rFonts w:ascii="Arial"/>
                                    <w:sz w:val="18"/>
                                  </w:rPr>
                                  <w:t>of</w:t>
                                </w:r>
                                <w:r>
                                  <w:rPr>
                                    <w:rFonts w:ascii="Arial"/>
                                    <w:spacing w:val="3"/>
                                    <w:sz w:val="18"/>
                                  </w:rPr>
                                  <w:t xml:space="preserve"> </w:t>
                                </w:r>
                                <w:r>
                                  <w:rPr>
                                    <w:rFonts w:ascii="Arial"/>
                                    <w:spacing w:val="-1"/>
                                    <w:sz w:val="18"/>
                                  </w:rPr>
                                  <w:t>Framework</w:t>
                                </w:r>
                                <w:r>
                                  <w:rPr>
                                    <w:rFonts w:ascii="Arial"/>
                                    <w:spacing w:val="3"/>
                                    <w:sz w:val="18"/>
                                  </w:rPr>
                                  <w:t xml:space="preserve"> </w:t>
                                </w:r>
                                <w:r>
                                  <w:rPr>
                                    <w:rFonts w:ascii="Arial"/>
                                    <w:spacing w:val="-1"/>
                                    <w:sz w:val="18"/>
                                  </w:rPr>
                                  <w:t>Schedule</w:t>
                                </w:r>
                                <w:r>
                                  <w:rPr>
                                    <w:rFonts w:ascii="Arial"/>
                                    <w:spacing w:val="1"/>
                                    <w:sz w:val="18"/>
                                  </w:rPr>
                                  <w:t xml:space="preserve"> </w:t>
                                </w:r>
                                <w:r>
                                  <w:rPr>
                                    <w:rFonts w:ascii="Arial"/>
                                    <w:sz w:val="18"/>
                                  </w:rPr>
                                  <w:t>5</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pacing w:val="3"/>
                                    <w:sz w:val="18"/>
                                  </w:rPr>
                                  <w:t xml:space="preserve"> </w:t>
                                </w:r>
                                <w:r>
                                  <w:rPr>
                                    <w:rFonts w:ascii="Arial"/>
                                    <w:spacing w:val="-1"/>
                                    <w:sz w:val="18"/>
                                  </w:rPr>
                                  <w:t>Procedure).</w:t>
                                </w:r>
                                <w:r>
                                  <w:rPr>
                                    <w:rFonts w:ascii="Arial"/>
                                    <w:sz w:val="18"/>
                                  </w:rPr>
                                  <w:t xml:space="preserve"> If</w:t>
                                </w:r>
                                <w:r>
                                  <w:rPr>
                                    <w:rFonts w:ascii="Arial"/>
                                    <w:spacing w:val="3"/>
                                    <w:sz w:val="18"/>
                                  </w:rPr>
                                  <w:t xml:space="preserve"> </w:t>
                                </w:r>
                                <w:r>
                                  <w:rPr>
                                    <w:rFonts w:ascii="Arial"/>
                                    <w:spacing w:val="-1"/>
                                    <w:sz w:val="18"/>
                                  </w:rPr>
                                  <w:t>you</w:t>
                                </w:r>
                                <w:r>
                                  <w:rPr>
                                    <w:rFonts w:ascii="Arial"/>
                                    <w:spacing w:val="1"/>
                                    <w:sz w:val="18"/>
                                  </w:rPr>
                                  <w:t xml:space="preserve"> </w:t>
                                </w:r>
                                <w:r>
                                  <w:rPr>
                                    <w:rFonts w:ascii="Arial"/>
                                    <w:spacing w:val="-1"/>
                                    <w:sz w:val="18"/>
                                  </w:rPr>
                                  <w:t>place</w:t>
                                </w:r>
                                <w:r>
                                  <w:rPr>
                                    <w:rFonts w:ascii="Arial"/>
                                    <w:spacing w:val="1"/>
                                    <w:sz w:val="18"/>
                                  </w:rPr>
                                  <w:t xml:space="preserve"> </w:t>
                                </w:r>
                                <w:r>
                                  <w:rPr>
                                    <w:rFonts w:ascii="Arial"/>
                                    <w:spacing w:val="-1"/>
                                    <w:sz w:val="18"/>
                                  </w:rPr>
                                  <w:t>repeat</w:t>
                                </w:r>
                                <w:r>
                                  <w:rPr>
                                    <w:rFonts w:ascii="Arial"/>
                                    <w:sz w:val="18"/>
                                  </w:rPr>
                                  <w:t xml:space="preserve"> </w:t>
                                </w:r>
                                <w:r>
                                  <w:rPr>
                                    <w:rFonts w:ascii="Arial"/>
                                    <w:spacing w:val="-1"/>
                                    <w:sz w:val="18"/>
                                  </w:rPr>
                                  <w:t>Orders</w:t>
                                </w:r>
                                <w:r>
                                  <w:rPr>
                                    <w:rFonts w:ascii="Arial"/>
                                    <w:spacing w:val="1"/>
                                    <w:sz w:val="18"/>
                                  </w:rPr>
                                  <w:t xml:space="preserve"> </w:t>
                                </w:r>
                                <w:r>
                                  <w:rPr>
                                    <w:rFonts w:ascii="Arial"/>
                                    <w:sz w:val="18"/>
                                  </w:rPr>
                                  <w:t>of the</w:t>
                                </w:r>
                                <w:r>
                                  <w:rPr>
                                    <w:rFonts w:ascii="Arial"/>
                                    <w:spacing w:val="1"/>
                                    <w:sz w:val="18"/>
                                  </w:rPr>
                                  <w:t xml:space="preserve"> </w:t>
                                </w:r>
                                <w:r>
                                  <w:rPr>
                                    <w:rFonts w:ascii="Arial"/>
                                    <w:spacing w:val="-1"/>
                                    <w:sz w:val="18"/>
                                  </w:rPr>
                                  <w:t>same</w:t>
                                </w:r>
                                <w:r>
                                  <w:rPr>
                                    <w:rFonts w:ascii="Arial"/>
                                    <w:spacing w:val="1"/>
                                    <w:sz w:val="18"/>
                                  </w:rPr>
                                  <w:t xml:space="preserve"> </w:t>
                                </w:r>
                                <w:r>
                                  <w:rPr>
                                    <w:rFonts w:ascii="Arial"/>
                                    <w:spacing w:val="-1"/>
                                    <w:sz w:val="18"/>
                                  </w:rPr>
                                  <w:t>nature</w:t>
                                </w:r>
                                <w:r>
                                  <w:rPr>
                                    <w:rFonts w:ascii="Arial"/>
                                    <w:spacing w:val="3"/>
                                    <w:sz w:val="18"/>
                                  </w:rPr>
                                  <w:t xml:space="preserve"> </w:t>
                                </w:r>
                                <w:r>
                                  <w:rPr>
                                    <w:rFonts w:ascii="Arial"/>
                                    <w:spacing w:val="-1"/>
                                    <w:sz w:val="18"/>
                                  </w:rPr>
                                  <w:t>which</w:t>
                                </w:r>
                                <w:r>
                                  <w:rPr>
                                    <w:rFonts w:ascii="Arial"/>
                                    <w:sz w:val="18"/>
                                  </w:rPr>
                                  <w:t xml:space="preserve"> </w:t>
                                </w:r>
                                <w:r>
                                  <w:rPr>
                                    <w:rFonts w:ascii="Arial"/>
                                    <w:spacing w:val="-1"/>
                                    <w:sz w:val="18"/>
                                  </w:rPr>
                                  <w:t>contain</w:t>
                                </w:r>
                                <w:r>
                                  <w:rPr>
                                    <w:rFonts w:ascii="Arial"/>
                                    <w:spacing w:val="1"/>
                                    <w:sz w:val="18"/>
                                  </w:rPr>
                                  <w:t xml:space="preserve"> </w:t>
                                </w:r>
                                <w:r>
                                  <w:rPr>
                                    <w:rFonts w:ascii="Arial"/>
                                    <w:spacing w:val="-2"/>
                                    <w:sz w:val="18"/>
                                  </w:rPr>
                                  <w:t>the</w:t>
                                </w:r>
                                <w:r>
                                  <w:rPr>
                                    <w:rFonts w:ascii="Arial"/>
                                    <w:spacing w:val="95"/>
                                    <w:sz w:val="18"/>
                                  </w:rPr>
                                  <w:t xml:space="preserve"> </w:t>
                                </w:r>
                                <w:r>
                                  <w:rPr>
                                    <w:rFonts w:ascii="Arial"/>
                                    <w:spacing w:val="-1"/>
                                    <w:sz w:val="18"/>
                                  </w:rPr>
                                  <w:t>same</w:t>
                                </w:r>
                                <w:r>
                                  <w:rPr>
                                    <w:rFonts w:ascii="Arial"/>
                                    <w:spacing w:val="8"/>
                                    <w:sz w:val="18"/>
                                  </w:rPr>
                                  <w:t xml:space="preserve"> </w:t>
                                </w:r>
                                <w:r>
                                  <w:rPr>
                                    <w:rFonts w:ascii="Arial"/>
                                    <w:spacing w:val="-1"/>
                                    <w:sz w:val="18"/>
                                  </w:rPr>
                                  <w:t>requirements,</w:t>
                                </w:r>
                                <w:r>
                                  <w:rPr>
                                    <w:rFonts w:ascii="Arial"/>
                                    <w:spacing w:val="5"/>
                                    <w:sz w:val="18"/>
                                  </w:rPr>
                                  <w:t xml:space="preserve"> </w:t>
                                </w:r>
                                <w:r>
                                  <w:rPr>
                                    <w:rFonts w:ascii="Arial"/>
                                    <w:sz w:val="18"/>
                                  </w:rPr>
                                  <w:t>consider</w:t>
                                </w:r>
                                <w:r>
                                  <w:rPr>
                                    <w:rFonts w:ascii="Arial"/>
                                    <w:spacing w:val="5"/>
                                    <w:sz w:val="18"/>
                                  </w:rPr>
                                  <w:t xml:space="preserve"> </w:t>
                                </w:r>
                                <w:r>
                                  <w:rPr>
                                    <w:rFonts w:ascii="Arial"/>
                                    <w:spacing w:val="-1"/>
                                    <w:sz w:val="18"/>
                                  </w:rPr>
                                  <w:t>creating</w:t>
                                </w:r>
                                <w:r>
                                  <w:rPr>
                                    <w:rFonts w:ascii="Arial"/>
                                    <w:spacing w:val="8"/>
                                    <w:sz w:val="18"/>
                                  </w:rPr>
                                  <w:t xml:space="preserve"> </w:t>
                                </w:r>
                                <w:r>
                                  <w:rPr>
                                    <w:rFonts w:ascii="Arial"/>
                                    <w:sz w:val="18"/>
                                  </w:rPr>
                                  <w:t>a</w:t>
                                </w:r>
                                <w:r w:rsidRPr="001C1527">
                                  <w:rPr>
                                    <w:rFonts w:ascii="Arial"/>
                                    <w:spacing w:val="5"/>
                                    <w:sz w:val="18"/>
                                  </w:rPr>
                                  <w:t xml:space="preserve"> </w:t>
                                </w:r>
                                <w:r w:rsidRPr="001C1527">
                                  <w:rPr>
                                    <w:rFonts w:ascii="Arial"/>
                                    <w:spacing w:val="-1"/>
                                    <w:sz w:val="18"/>
                                  </w:rPr>
                                  <w:t>customised</w:t>
                                </w:r>
                                <w:r>
                                  <w:rPr>
                                    <w:rFonts w:ascii="Arial"/>
                                    <w:spacing w:val="5"/>
                                    <w:sz w:val="18"/>
                                  </w:rPr>
                                  <w:t xml:space="preserve"> </w:t>
                                </w:r>
                                <w:r>
                                  <w:rPr>
                                    <w:rFonts w:ascii="Arial"/>
                                    <w:sz w:val="18"/>
                                  </w:rPr>
                                  <w:t>set</w:t>
                                </w:r>
                                <w:r>
                                  <w:rPr>
                                    <w:rFonts w:ascii="Arial"/>
                                    <w:spacing w:val="7"/>
                                    <w:sz w:val="18"/>
                                  </w:rPr>
                                  <w:t xml:space="preserve"> </w:t>
                                </w:r>
                                <w:r>
                                  <w:rPr>
                                    <w:rFonts w:ascii="Arial"/>
                                    <w:sz w:val="18"/>
                                  </w:rPr>
                                  <w:t>of</w:t>
                                </w:r>
                                <w:r>
                                  <w:rPr>
                                    <w:rFonts w:ascii="Arial"/>
                                    <w:spacing w:val="5"/>
                                    <w:sz w:val="18"/>
                                  </w:rPr>
                                  <w:t xml:space="preserve"> </w:t>
                                </w:r>
                                <w:r>
                                  <w:rPr>
                                    <w:rFonts w:ascii="Arial"/>
                                    <w:spacing w:val="-1"/>
                                    <w:sz w:val="18"/>
                                  </w:rPr>
                                  <w:t>amended</w:t>
                                </w:r>
                                <w:r>
                                  <w:rPr>
                                    <w:rFonts w:ascii="Arial"/>
                                    <w:spacing w:val="8"/>
                                    <w:sz w:val="18"/>
                                  </w:rPr>
                                  <w:t xml:space="preserve"> </w:t>
                                </w:r>
                                <w:r>
                                  <w:rPr>
                                    <w:rFonts w:ascii="Arial"/>
                                    <w:spacing w:val="-1"/>
                                    <w:sz w:val="18"/>
                                  </w:rPr>
                                  <w:t>and/or</w:t>
                                </w:r>
                                <w:r>
                                  <w:rPr>
                                    <w:rFonts w:ascii="Arial"/>
                                    <w:spacing w:val="7"/>
                                    <w:sz w:val="18"/>
                                  </w:rPr>
                                  <w:t xml:space="preserve"> </w:t>
                                </w:r>
                                <w:r>
                                  <w:rPr>
                                    <w:rFonts w:ascii="Arial"/>
                                    <w:spacing w:val="-1"/>
                                    <w:sz w:val="18"/>
                                  </w:rPr>
                                  <w:t>refined</w:t>
                                </w:r>
                                <w:r>
                                  <w:rPr>
                                    <w:rFonts w:ascii="Arial"/>
                                    <w:spacing w:val="8"/>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Terms</w:t>
                                </w:r>
                                <w:r>
                                  <w:rPr>
                                    <w:rFonts w:ascii="Arial"/>
                                    <w:spacing w:val="8"/>
                                    <w:sz w:val="18"/>
                                  </w:rPr>
                                  <w:t xml:space="preserve"> </w:t>
                                </w:r>
                                <w:r>
                                  <w:rPr>
                                    <w:rFonts w:ascii="Arial"/>
                                    <w:sz w:val="18"/>
                                  </w:rPr>
                                  <w:t>or</w:t>
                                </w:r>
                                <w:r>
                                  <w:rPr>
                                    <w:rFonts w:ascii="Arial"/>
                                    <w:spacing w:val="97"/>
                                    <w:sz w:val="18"/>
                                  </w:rPr>
                                  <w:t xml:space="preserve"> </w:t>
                                </w:r>
                                <w:r>
                                  <w:rPr>
                                    <w:rFonts w:ascii="Arial"/>
                                    <w:sz w:val="18"/>
                                  </w:rPr>
                                  <w:t>a</w:t>
                                </w:r>
                                <w:r>
                                  <w:rPr>
                                    <w:rFonts w:ascii="Arial"/>
                                    <w:spacing w:val="37"/>
                                    <w:sz w:val="18"/>
                                  </w:rPr>
                                  <w:t xml:space="preserve"> </w:t>
                                </w:r>
                                <w:r>
                                  <w:rPr>
                                    <w:rFonts w:ascii="Arial"/>
                                    <w:spacing w:val="-1"/>
                                    <w:sz w:val="18"/>
                                  </w:rPr>
                                  <w:t>Call</w:t>
                                </w:r>
                                <w:r>
                                  <w:rPr>
                                    <w:rFonts w:ascii="Arial"/>
                                    <w:spacing w:val="34"/>
                                    <w:sz w:val="18"/>
                                  </w:rPr>
                                  <w:t xml:space="preserve"> </w:t>
                                </w:r>
                                <w:r>
                                  <w:rPr>
                                    <w:rFonts w:ascii="Arial"/>
                                    <w:spacing w:val="-1"/>
                                    <w:sz w:val="18"/>
                                  </w:rPr>
                                  <w:t>Off</w:t>
                                </w:r>
                                <w:r>
                                  <w:rPr>
                                    <w:rFonts w:ascii="Arial"/>
                                    <w:spacing w:val="36"/>
                                    <w:sz w:val="18"/>
                                  </w:rPr>
                                  <w:t xml:space="preserve"> </w:t>
                                </w:r>
                                <w:r>
                                  <w:rPr>
                                    <w:rFonts w:ascii="Arial"/>
                                    <w:spacing w:val="-1"/>
                                    <w:sz w:val="18"/>
                                  </w:rPr>
                                  <w:t>Schedule</w:t>
                                </w:r>
                                <w:r>
                                  <w:rPr>
                                    <w:rFonts w:ascii="Arial"/>
                                    <w:spacing w:val="34"/>
                                    <w:sz w:val="18"/>
                                  </w:rPr>
                                  <w:t xml:space="preserve"> </w:t>
                                </w:r>
                                <w:r>
                                  <w:rPr>
                                    <w:rFonts w:ascii="Arial"/>
                                    <w:spacing w:val="-1"/>
                                    <w:sz w:val="18"/>
                                  </w:rPr>
                                  <w:t>containing</w:t>
                                </w:r>
                                <w:r>
                                  <w:rPr>
                                    <w:rFonts w:ascii="Arial"/>
                                    <w:spacing w:val="37"/>
                                    <w:sz w:val="18"/>
                                  </w:rPr>
                                  <w:t xml:space="preserve"> </w:t>
                                </w:r>
                                <w:r>
                                  <w:rPr>
                                    <w:rFonts w:ascii="Arial"/>
                                    <w:spacing w:val="-1"/>
                                    <w:sz w:val="18"/>
                                  </w:rPr>
                                  <w:t>those</w:t>
                                </w:r>
                                <w:r>
                                  <w:rPr>
                                    <w:rFonts w:ascii="Arial"/>
                                    <w:spacing w:val="34"/>
                                    <w:sz w:val="18"/>
                                  </w:rPr>
                                  <w:t xml:space="preserve"> </w:t>
                                </w:r>
                                <w:r>
                                  <w:rPr>
                                    <w:rFonts w:ascii="Arial"/>
                                    <w:spacing w:val="-1"/>
                                    <w:sz w:val="18"/>
                                  </w:rPr>
                                  <w:t>amendments</w:t>
                                </w:r>
                                <w:r>
                                  <w:rPr>
                                    <w:rFonts w:ascii="Arial"/>
                                    <w:spacing w:val="35"/>
                                    <w:sz w:val="18"/>
                                  </w:rPr>
                                  <w:t xml:space="preserve"> </w:t>
                                </w:r>
                                <w:r>
                                  <w:rPr>
                                    <w:rFonts w:ascii="Arial"/>
                                    <w:sz w:val="18"/>
                                  </w:rPr>
                                  <w:t>or</w:t>
                                </w:r>
                                <w:r>
                                  <w:rPr>
                                    <w:rFonts w:ascii="Arial"/>
                                    <w:spacing w:val="36"/>
                                    <w:sz w:val="18"/>
                                  </w:rPr>
                                  <w:t xml:space="preserve"> </w:t>
                                </w:r>
                                <w:r>
                                  <w:rPr>
                                    <w:rFonts w:ascii="Arial"/>
                                    <w:spacing w:val="-1"/>
                                    <w:sz w:val="18"/>
                                  </w:rPr>
                                  <w:t>refinements</w:t>
                                </w:r>
                                <w:r>
                                  <w:rPr>
                                    <w:rFonts w:ascii="Arial"/>
                                    <w:spacing w:val="35"/>
                                    <w:sz w:val="18"/>
                                  </w:rPr>
                                  <w:t xml:space="preserve"> </w:t>
                                </w:r>
                                <w:r>
                                  <w:rPr>
                                    <w:rFonts w:ascii="Arial"/>
                                    <w:sz w:val="18"/>
                                  </w:rPr>
                                  <w:t>to</w:t>
                                </w:r>
                                <w:r>
                                  <w:rPr>
                                    <w:rFonts w:ascii="Arial"/>
                                    <w:spacing w:val="34"/>
                                    <w:sz w:val="18"/>
                                  </w:rPr>
                                  <w:t xml:space="preserve"> </w:t>
                                </w:r>
                                <w:r>
                                  <w:rPr>
                                    <w:rFonts w:ascii="Arial"/>
                                    <w:sz w:val="18"/>
                                  </w:rPr>
                                  <w:t>the</w:t>
                                </w:r>
                                <w:r>
                                  <w:rPr>
                                    <w:rFonts w:ascii="Arial"/>
                                    <w:spacing w:val="34"/>
                                    <w:sz w:val="18"/>
                                  </w:rPr>
                                  <w:t xml:space="preserve"> </w:t>
                                </w:r>
                                <w:r>
                                  <w:rPr>
                                    <w:rFonts w:ascii="Arial"/>
                                    <w:spacing w:val="-1"/>
                                    <w:sz w:val="18"/>
                                  </w:rPr>
                                  <w:t>existing</w:t>
                                </w:r>
                                <w:r>
                                  <w:rPr>
                                    <w:rFonts w:ascii="Arial"/>
                                    <w:spacing w:val="37"/>
                                    <w:sz w:val="18"/>
                                  </w:rPr>
                                  <w:t xml:space="preserve"> </w:t>
                                </w:r>
                                <w:r>
                                  <w:rPr>
                                    <w:rFonts w:ascii="Arial"/>
                                    <w:spacing w:val="-1"/>
                                    <w:sz w:val="18"/>
                                  </w:rPr>
                                  <w:t>Template</w:t>
                                </w:r>
                                <w:r>
                                  <w:rPr>
                                    <w:rFonts w:ascii="Arial"/>
                                    <w:spacing w:val="34"/>
                                    <w:sz w:val="18"/>
                                  </w:rPr>
                                  <w:t xml:space="preserve"> </w:t>
                                </w:r>
                                <w:r>
                                  <w:rPr>
                                    <w:rFonts w:ascii="Arial"/>
                                    <w:spacing w:val="-1"/>
                                    <w:sz w:val="18"/>
                                  </w:rPr>
                                  <w:t>Call</w:t>
                                </w:r>
                                <w:r>
                                  <w:rPr>
                                    <w:rFonts w:ascii="Arial"/>
                                    <w:spacing w:val="34"/>
                                    <w:sz w:val="18"/>
                                  </w:rPr>
                                  <w:t xml:space="preserve"> </w:t>
                                </w:r>
                                <w:r>
                                  <w:rPr>
                                    <w:rFonts w:ascii="Arial"/>
                                    <w:spacing w:val="-1"/>
                                    <w:sz w:val="18"/>
                                  </w:rPr>
                                  <w:t>Off</w:t>
                                </w:r>
                                <w:r>
                                  <w:rPr>
                                    <w:rFonts w:ascii="Arial"/>
                                    <w:spacing w:val="36"/>
                                    <w:sz w:val="18"/>
                                  </w:rPr>
                                  <w:t xml:space="preserve"> </w:t>
                                </w:r>
                                <w:r>
                                  <w:rPr>
                                    <w:rFonts w:ascii="Arial"/>
                                    <w:spacing w:val="-1"/>
                                    <w:sz w:val="18"/>
                                  </w:rPr>
                                  <w:t>Terms</w:t>
                                </w:r>
                                <w:r>
                                  <w:rPr>
                                    <w:rFonts w:ascii="Arial"/>
                                    <w:spacing w:val="91"/>
                                    <w:sz w:val="18"/>
                                  </w:rPr>
                                  <w:t xml:space="preserve"> </w:t>
                                </w:r>
                                <w:r>
                                  <w:rPr>
                                    <w:rFonts w:ascii="Arial"/>
                                    <w:spacing w:val="-1"/>
                                    <w:sz w:val="18"/>
                                  </w:rPr>
                                  <w:t>(including</w:t>
                                </w:r>
                                <w:r>
                                  <w:rPr>
                                    <w:rFonts w:ascii="Arial"/>
                                    <w:spacing w:val="32"/>
                                    <w:sz w:val="18"/>
                                  </w:rPr>
                                  <w:t xml:space="preserve"> </w:t>
                                </w:r>
                                <w:r>
                                  <w:rPr>
                                    <w:rFonts w:ascii="Arial"/>
                                    <w:spacing w:val="-1"/>
                                    <w:sz w:val="18"/>
                                  </w:rPr>
                                  <w:t>incorporating</w:t>
                                </w:r>
                                <w:r>
                                  <w:rPr>
                                    <w:rFonts w:ascii="Arial"/>
                                    <w:spacing w:val="32"/>
                                    <w:sz w:val="18"/>
                                  </w:rPr>
                                  <w:t xml:space="preserve"> </w:t>
                                </w:r>
                                <w:r>
                                  <w:rPr>
                                    <w:rFonts w:ascii="Arial"/>
                                    <w:sz w:val="18"/>
                                  </w:rPr>
                                  <w:t>any</w:t>
                                </w:r>
                                <w:r>
                                  <w:rPr>
                                    <w:rFonts w:ascii="Arial"/>
                                    <w:spacing w:val="30"/>
                                    <w:sz w:val="18"/>
                                  </w:rPr>
                                  <w:t xml:space="preserve"> </w:t>
                                </w:r>
                                <w:r>
                                  <w:rPr>
                                    <w:rFonts w:ascii="Arial"/>
                                    <w:spacing w:val="-1"/>
                                    <w:sz w:val="18"/>
                                  </w:rPr>
                                  <w:t>Alternative</w:t>
                                </w:r>
                                <w:r>
                                  <w:rPr>
                                    <w:rFonts w:ascii="Arial"/>
                                    <w:spacing w:val="32"/>
                                    <w:sz w:val="18"/>
                                  </w:rPr>
                                  <w:t xml:space="preserve"> </w:t>
                                </w:r>
                                <w:r>
                                  <w:rPr>
                                    <w:rFonts w:ascii="Arial"/>
                                    <w:sz w:val="18"/>
                                  </w:rPr>
                                  <w:t>or</w:t>
                                </w:r>
                                <w:r>
                                  <w:rPr>
                                    <w:rFonts w:ascii="Arial"/>
                                    <w:spacing w:val="31"/>
                                    <w:sz w:val="18"/>
                                  </w:rPr>
                                  <w:t xml:space="preserve"> </w:t>
                                </w:r>
                                <w:r>
                                  <w:rPr>
                                    <w:rFonts w:ascii="Arial"/>
                                    <w:spacing w:val="-1"/>
                                    <w:sz w:val="18"/>
                                  </w:rPr>
                                  <w:t>Additional</w:t>
                                </w:r>
                                <w:r>
                                  <w:rPr>
                                    <w:rFonts w:ascii="Arial"/>
                                    <w:spacing w:val="32"/>
                                    <w:sz w:val="18"/>
                                  </w:rPr>
                                  <w:t xml:space="preserve"> </w:t>
                                </w:r>
                                <w:r>
                                  <w:rPr>
                                    <w:rFonts w:ascii="Arial"/>
                                    <w:spacing w:val="-1"/>
                                    <w:sz w:val="18"/>
                                  </w:rPr>
                                  <w:t>Clauses</w:t>
                                </w:r>
                                <w:r>
                                  <w:rPr>
                                    <w:rFonts w:ascii="Arial"/>
                                    <w:spacing w:val="32"/>
                                    <w:sz w:val="18"/>
                                  </w:rPr>
                                  <w:t xml:space="preserve"> </w:t>
                                </w:r>
                                <w:r>
                                  <w:rPr>
                                    <w:rFonts w:ascii="Arial"/>
                                    <w:spacing w:val="-1"/>
                                    <w:sz w:val="18"/>
                                  </w:rPr>
                                  <w:t>from</w:t>
                                </w:r>
                                <w:r>
                                  <w:rPr>
                                    <w:rFonts w:ascii="Arial"/>
                                    <w:spacing w:val="32"/>
                                    <w:sz w:val="18"/>
                                  </w:rPr>
                                  <w:t xml:space="preserve"> </w:t>
                                </w:r>
                                <w:r>
                                  <w:rPr>
                                    <w:rFonts w:ascii="Arial"/>
                                    <w:spacing w:val="-1"/>
                                    <w:sz w:val="18"/>
                                  </w:rPr>
                                  <w:t>Call</w:t>
                                </w:r>
                                <w:r>
                                  <w:rPr>
                                    <w:rFonts w:ascii="Arial"/>
                                    <w:spacing w:val="32"/>
                                    <w:sz w:val="18"/>
                                  </w:rPr>
                                  <w:t xml:space="preserve"> </w:t>
                                </w:r>
                                <w:r>
                                  <w:rPr>
                                    <w:rFonts w:ascii="Arial"/>
                                    <w:spacing w:val="-1"/>
                                    <w:sz w:val="18"/>
                                  </w:rPr>
                                  <w:t>Off</w:t>
                                </w:r>
                                <w:r>
                                  <w:rPr>
                                    <w:rFonts w:ascii="Arial"/>
                                    <w:spacing w:val="31"/>
                                    <w:sz w:val="18"/>
                                  </w:rPr>
                                  <w:t xml:space="preserve"> </w:t>
                                </w:r>
                                <w:r>
                                  <w:rPr>
                                    <w:rFonts w:ascii="Arial"/>
                                    <w:spacing w:val="-1"/>
                                    <w:sz w:val="18"/>
                                  </w:rPr>
                                  <w:t>Schedule</w:t>
                                </w:r>
                                <w:r>
                                  <w:rPr>
                                    <w:rFonts w:ascii="Arial"/>
                                    <w:spacing w:val="32"/>
                                    <w:sz w:val="18"/>
                                  </w:rPr>
                                  <w:t xml:space="preserve"> </w:t>
                                </w:r>
                                <w:r>
                                  <w:rPr>
                                    <w:rFonts w:ascii="Arial"/>
                                    <w:sz w:val="18"/>
                                  </w:rPr>
                                  <w:t>14</w:t>
                                </w:r>
                                <w:r>
                                  <w:rPr>
                                    <w:rFonts w:ascii="Arial"/>
                                    <w:spacing w:val="32"/>
                                    <w:sz w:val="18"/>
                                  </w:rPr>
                                  <w:t xml:space="preserve"> </w:t>
                                </w:r>
                                <w:r>
                                  <w:rPr>
                                    <w:rFonts w:ascii="Arial"/>
                                    <w:spacing w:val="-1"/>
                                    <w:sz w:val="18"/>
                                  </w:rPr>
                                  <w:t>(Alternative</w:t>
                                </w:r>
                                <w:r>
                                  <w:rPr>
                                    <w:rFonts w:ascii="Arial"/>
                                    <w:spacing w:val="32"/>
                                    <w:sz w:val="18"/>
                                  </w:rPr>
                                  <w:t xml:space="preserve"> </w:t>
                                </w:r>
                                <w:r>
                                  <w:rPr>
                                    <w:rFonts w:ascii="Arial"/>
                                    <w:spacing w:val="-1"/>
                                    <w:sz w:val="18"/>
                                  </w:rPr>
                                  <w:t>and/or</w:t>
                                </w:r>
                                <w:r>
                                  <w:rPr>
                                    <w:rFonts w:ascii="Arial"/>
                                    <w:spacing w:val="115"/>
                                    <w:sz w:val="18"/>
                                  </w:rPr>
                                  <w:t xml:space="preserve"> </w:t>
                                </w:r>
                                <w:r>
                                  <w:rPr>
                                    <w:rFonts w:ascii="Arial"/>
                                    <w:spacing w:val="-1"/>
                                    <w:sz w:val="18"/>
                                  </w:rPr>
                                  <w:t>Additional</w:t>
                                </w:r>
                                <w:r>
                                  <w:rPr>
                                    <w:rFonts w:ascii="Arial"/>
                                    <w:spacing w:val="1"/>
                                    <w:sz w:val="18"/>
                                  </w:rPr>
                                  <w:t xml:space="preserve"> </w:t>
                                </w:r>
                                <w:r>
                                  <w:rPr>
                                    <w:rFonts w:ascii="Arial"/>
                                    <w:spacing w:val="-1"/>
                                    <w:sz w:val="18"/>
                                  </w:rPr>
                                  <w:t>Clauses))</w:t>
                                </w:r>
                                <w:r>
                                  <w:rPr>
                                    <w:rFonts w:ascii="Arial"/>
                                    <w:sz w:val="18"/>
                                  </w:rPr>
                                  <w:t xml:space="preserve"> </w:t>
                                </w:r>
                                <w:r>
                                  <w:rPr>
                                    <w:rFonts w:ascii="Arial"/>
                                    <w:spacing w:val="-1"/>
                                    <w:sz w:val="18"/>
                                  </w:rPr>
                                  <w:t>which</w:t>
                                </w:r>
                                <w:r>
                                  <w:rPr>
                                    <w:rFonts w:ascii="Arial"/>
                                    <w:spacing w:val="1"/>
                                    <w:sz w:val="18"/>
                                  </w:rPr>
                                  <w:t xml:space="preserve"> </w:t>
                                </w:r>
                                <w:r>
                                  <w:rPr>
                                    <w:rFonts w:ascii="Arial"/>
                                    <w:spacing w:val="-2"/>
                                    <w:sz w:val="18"/>
                                  </w:rPr>
                                  <w:t>you</w:t>
                                </w:r>
                                <w:r>
                                  <w:rPr>
                                    <w:rFonts w:ascii="Arial"/>
                                    <w:spacing w:val="1"/>
                                    <w:sz w:val="18"/>
                                  </w:rPr>
                                  <w:t xml:space="preserve"> </w:t>
                                </w:r>
                                <w:r>
                                  <w:rPr>
                                    <w:rFonts w:ascii="Arial"/>
                                    <w:spacing w:val="-1"/>
                                    <w:sz w:val="18"/>
                                  </w:rPr>
                                  <w:t>can</w:t>
                                </w:r>
                                <w:r>
                                  <w:rPr>
                                    <w:rFonts w:ascii="Arial"/>
                                    <w:spacing w:val="1"/>
                                    <w:sz w:val="18"/>
                                  </w:rPr>
                                  <w:t xml:space="preserve"> </w:t>
                                </w:r>
                                <w:r>
                                  <w:rPr>
                                    <w:rFonts w:ascii="Arial"/>
                                    <w:spacing w:val="-1"/>
                                    <w:sz w:val="18"/>
                                  </w:rPr>
                                  <w:t>use</w:t>
                                </w:r>
                                <w:r>
                                  <w:rPr>
                                    <w:rFonts w:ascii="Arial"/>
                                    <w:spacing w:val="1"/>
                                    <w:sz w:val="18"/>
                                  </w:rPr>
                                  <w:t xml:space="preserve"> </w:t>
                                </w:r>
                                <w:r>
                                  <w:rPr>
                                    <w:rFonts w:ascii="Arial"/>
                                    <w:spacing w:val="-1"/>
                                    <w:sz w:val="18"/>
                                  </w:rPr>
                                  <w:t>with</w:t>
                                </w:r>
                                <w:r>
                                  <w:rPr>
                                    <w:rFonts w:ascii="Arial"/>
                                    <w:spacing w:val="1"/>
                                    <w:sz w:val="18"/>
                                  </w:rPr>
                                  <w:t xml:space="preserve"> </w:t>
                                </w:r>
                                <w:r>
                                  <w:rPr>
                                    <w:rFonts w:ascii="Arial"/>
                                    <w:spacing w:val="-1"/>
                                    <w:sz w:val="18"/>
                                  </w:rPr>
                                  <w:t>every Or</w:t>
                                </w:r>
                                <w:r w:rsidRPr="001C1527">
                                  <w:rPr>
                                    <w:rFonts w:ascii="Arial"/>
                                    <w:spacing w:val="-1"/>
                                    <w:sz w:val="18"/>
                                    <w:highlight w:val="green"/>
                                  </w:rPr>
                                  <w:t>der]</w:t>
                                </w:r>
                              </w:p>
                            </w:txbxContent>
                          </wps:txbx>
                          <wps:bodyPr rot="0" vert="horz" wrap="square" lIns="0" tIns="0" rIns="0" bIns="0" anchor="t" anchorCtr="0" upright="1">
                            <a:noAutofit/>
                          </wps:bodyPr>
                        </wps:wsp>
                      </wpg:grpSp>
                    </wpg:wgp>
                  </a:graphicData>
                </a:graphic>
              </wp:inline>
            </w:drawing>
          </mc:Choice>
          <mc:Fallback>
            <w:pict>
              <v:group w14:anchorId="7EC0FA52" id="Group 6998" o:spid="_x0000_s1149" style="width:445.65pt;height:82.8pt;mso-position-horizontal-relative:char;mso-position-vertical-relative:line" coordsize="8913,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">
                <v:group id="Group 7014" o:spid="_x0000_s1150" style="position:absolute;width:8909;height:209" coordsize="8909,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LNcYAAADdAAAADwAAAGRycy9kb3ducmV2LnhtbESPT2vCQBTE74LfYXlC&#10;b7obS2tJXUVESw9S8A+U3h7ZZxLMvg3ZNYnfvisIHoeZ+Q0zX/a2Ei01vnSsIZkoEMSZMyXnGk7H&#10;7fgDhA/IBivHpOFGHpaL4WCOqXEd76k9hFxECPsUNRQh1KmUPivIop+4mjh6Z9dYDFE2uTQNdhFu&#10;KzlV6l1aLDkuFFjTuqDscrhaDV8ddqvXZNPuLuf17e/49vO7S0jrl1G/+gQRqA/P8KP9bTTMlJr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pws1xgAAAN0A&#10;AAAPAAAAAAAAAAAAAAAAAKoCAABkcnMvZG93bnJldi54bWxQSwUGAAAAAAQABAD6AAAAnQMAAAAA&#10;">
                  <v:shape id="Freeform 7015" o:spid="_x0000_s1151" style="position:absolute;width:8909;height:209;visibility:visible;mso-wrap-style:square;v-text-anchor:top" coordsize="89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v+MQA&#10;AADdAAAADwAAAGRycy9kb3ducmV2LnhtbERPy2rCQBTdF/oPwy24qzMVrJI6kRAacCGFqtDtJXOb&#10;h5k7aWaM0a/vLApdHs57s51sJ0YafONYw8tcgSAunWm40nA6Fs9rED4gG+wck4Ybedimjw8bTIy7&#10;8ieNh1CJGMI+QQ11CH0ipS9rsujnrieO3LcbLIYIh0qaAa8x3HZyodSrtNhwbKixp7ym8ny4WA0f&#10;bZ4XX/vLss3uPysau3ORLd61nj1N2RuIQFP4F/+5d0bDSqk4N76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L/jEAAAA3QAAAA8AAAAAAAAAAAAAAAAAmAIAAGRycy9k&#10;b3ducmV2LnhtbFBLBQYAAAAABAAEAPUAAACJAwAAAAA=&#10;" path="m,209r8909,l8909,,,,,209xe" fillcolor="lime" stroked="f">
                    <v:path arrowok="t" o:connecttype="custom" o:connectlocs="0,209;8909,209;8909,0;0,0;0,209" o:connectangles="0,0,0,0,0"/>
                  </v:shape>
                </v:group>
                <v:group id="Group 7012" o:spid="_x0000_s1152" style="position:absolute;top:209;width:8909;height:207" coordorigin=",209"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Q63MYAAADdAAAADwAAAGRycy9kb3ducmV2LnhtbESPQWvCQBSE70L/w/IK&#10;3upulGqbuoqILR5EUAult0f2mQSzb0N2m8R/7woFj8PMfMPMl72tREuNLx1rSEYKBHHmTMm5hu/T&#10;58sbCB+QDVaOScOVPCwXT4M5psZ1fKD2GHIRIexT1FCEUKdS+qwgi37kauLonV1jMUTZ5NI02EW4&#10;reRYqam0WHJcKLCmdUHZ5fhnNXx12K0myabdXc7r6+/pdf+zS0jr4XO/+gARqA+P8H97azTMlHqH&#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dDrcxgAAAN0A&#10;AAAPAAAAAAAAAAAAAAAAAKoCAABkcnMvZG93bnJldi54bWxQSwUGAAAAAAQABAD6AAAAnQMAAAAA&#10;">
                  <v:shape id="Freeform 7013" o:spid="_x0000_s1153" style="position:absolute;top:209;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3zsIA&#10;AADdAAAADwAAAGRycy9kb3ducmV2LnhtbERPy4rCMBTdC/MP4Q6409SCD6pRhnEUERF8fMC1ubZl&#10;mpuSRFv/3iwGZnk478WqM7V4kvOVZQWjYQKCOLe64kLB9bIZzED4gKyxtkwKXuRhtfzoLTDTtuUT&#10;Pc+hEDGEfYYKyhCaTEqfl2TQD21DHLm7dQZDhK6Q2mEbw00t0ySZSIMVx4YSG/ouKf89P4wC99OG&#10;A+6n6aHbz4638Xq7W+tUqf5n9zUHEagL/+I/904rmCaj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bfOwgAAAN0AAAAPAAAAAAAAAAAAAAAAAJgCAABkcnMvZG93&#10;bnJldi54bWxQSwUGAAAAAAQABAD1AAAAhwMAAAAA&#10;" path="m,206r8909,l8909,,,,,206xe" fillcolor="lime" stroked="f">
                    <v:path arrowok="t" o:connecttype="custom" o:connectlocs="0,415;8909,415;8909,209;0,209;0,415" o:connectangles="0,0,0,0,0"/>
                  </v:shape>
                </v:group>
                <v:group id="Group 7010" o:spid="_x0000_s1154" style="position:absolute;top:415;width:8909;height:207" coordorigin=",415"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ugB8YAAADdAAAADwAAAGRycy9kb3ducmV2LnhtbESPQWvCQBSE7wX/w/KE&#10;3upmlbYSXUWklh5EqAri7ZF9JsHs25DdJvHfu4LQ4zAz3zDzZW8r0VLjS8ca1CgBQZw5U3Ku4XjY&#10;vE1B+IBssHJMGm7kYbkYvMwxNa7jX2r3IRcRwj5FDUUIdSqlzwqy6EeuJo7exTUWQ5RNLk2DXYTb&#10;So6T5ENaLDkuFFjTuqDsuv+zGr477FYT9dVur5f17Xx43522irR+HfarGYhAffgPP9s/RsNn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26AHxgAAAN0A&#10;AAAPAAAAAAAAAAAAAAAAAKoCAABkcnMvZG93bnJldi54bWxQSwUGAAAAAAQABAD6AAAAnQMAAAAA&#10;">
                  <v:shape id="Freeform 7011" o:spid="_x0000_s1155" style="position:absolute;top:415;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IsYA&#10;AADdAAAADwAAAGRycy9kb3ducmV2LnhtbESP3WrCQBSE7wt9h+UUvKsbA/4Qs5FSq4hIoeoDHLPH&#10;JJg9G3a3Jr59t1Do5TAz3zD5ajCtuJPzjWUFk3ECgri0uuFKwfm0eV2A8AFZY2uZFDzIw6p4fsox&#10;07bnL7ofQyUihH2GCuoQukxKX9Zk0I9tRxy9q3UGQ5SuktphH+GmlWmSzKTBhuNCjR2911Tejt9G&#10;gfvowwH38/Qw7Befl+l6u1vrVKnRy/C2BBFoCP/hv/ZOK5gnkxR+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MIsYAAADdAAAADwAAAAAAAAAAAAAAAACYAgAAZHJz&#10;L2Rvd25yZXYueG1sUEsFBgAAAAAEAAQA9QAAAIsDAAAAAA==&#10;" path="m,207r8909,l8909,,,,,207xe" fillcolor="lime" stroked="f">
                    <v:path arrowok="t" o:connecttype="custom" o:connectlocs="0,622;8909,622;8909,415;0,415;0,622" o:connectangles="0,0,0,0,0"/>
                  </v:shape>
                </v:group>
                <v:group id="Group 7008" o:spid="_x0000_s1156" style="position:absolute;top:622;width:8909;height:207" coordorigin=",622"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Wb68cAAADdAAAADwAAAGRycy9kb3ducmV2LnhtbESPT2vCQBTE70K/w/IK&#10;vZlNGmpLmlVEaulBCmqh9PbIPpNg9m3Irvnz7V2h4HGYmd8w+Wo0jeipc7VlBUkUgyAurK65VPBz&#10;3M7fQDiPrLGxTAomcrBaPsxyzLQdeE/9wZciQNhlqKDyvs2kdEVFBl1kW+LgnWxn0AfZlVJ3OAS4&#10;aeRzHC+kwZrDQoUtbSoqzoeLUfA54LBOk49+dz5tpr/jy/fvLiGlnh7H9TsIT6O/h//bX1rBa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EWb68cAAADd&#10;AAAADwAAAAAAAAAAAAAAAACqAgAAZHJzL2Rvd25yZXYueG1sUEsFBgAAAAAEAAQA+gAAAJ4DAAAA&#10;AA==&#10;">
                  <v:shape id="Freeform 7009" o:spid="_x0000_s1157" style="position:absolute;top:622;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xzcYA&#10;AADdAAAADwAAAGRycy9kb3ducmV2LnhtbESP3WrCQBSE7wt9h+UUelc3BlslukqpP4iI4M8DHLPH&#10;JJg9G3a3Jn17Vyh4OczMN8xk1pla3Mj5yrKCfi8BQZxbXXGh4HRcfoxA+ICssbZMCv7Iw2z6+jLB&#10;TNuW93Q7hEJECPsMFZQhNJmUPi/JoO/Zhjh6F+sMhihdIbXDNsJNLdMk+ZIGK44LJTb0U1J+Pfwa&#10;BW7Rhi1uhum224x258/5aj3XqVLvb933GESgLjzD/+21VjBM+g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xzcYAAADdAAAADwAAAAAAAAAAAAAAAACYAgAAZHJz&#10;L2Rvd25yZXYueG1sUEsFBgAAAAAEAAQA9QAAAIsDAAAAAA==&#10;" path="m,206r8909,l8909,,,,,206xe" fillcolor="lime" stroked="f">
                    <v:path arrowok="t" o:connecttype="custom" o:connectlocs="0,828;8909,828;8909,622;0,622;0,828" o:connectangles="0,0,0,0,0"/>
                  </v:shape>
                </v:group>
                <v:group id="Group 7006" o:spid="_x0000_s1158" style="position:absolute;top:828;width:8909;height:209" coordorigin=",828" coordsize="8909,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CmBMYAAADdAAAADwAAAGRycy9kb3ducmV2LnhtbESPT4vCMBTE7wt+h/AE&#10;b5pWUZeuUURUPIjgH1j29miebbF5KU1s67ffLAh7HGbmN8xi1ZlSNFS7wrKCeBSBIE6tLjhTcLvu&#10;hp8gnEfWWFomBS9ysFr2PhaYaNvymZqLz0SAsEtQQe59lUjp0pwMupGtiIN3t7VBH2SdSV1jG+Cm&#10;lOMomkmDBYeFHCva5JQ+Lk+jYN9iu57E2+b4uG9eP9fp6fsYk1KDfrf+AuGp8//hd/ugFcyje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4KYExgAAAN0A&#10;AAAPAAAAAAAAAAAAAAAAAKoCAABkcnMvZG93bnJldi54bWxQSwUGAAAAAAQABAD6AAAAnQMAAAAA&#10;">
                  <v:shape id="Freeform 7007" o:spid="_x0000_s1159" style="position:absolute;top:828;width:8909;height:209;visibility:visible;mso-wrap-style:square;v-text-anchor:top" coordsize="89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IzMYA&#10;AADdAAAADwAAAGRycy9kb3ducmV2LnhtbESPT2vCQBTE7wW/w/IEb7pRUEvqKiE04EEE/0Cvj+xr&#10;Es2+TbNrTPvpXUHocZiZ3zCrTW9q0VHrKssKppMIBHFudcWFgvMpG7+DcB5ZY22ZFPySg8168LbC&#10;WNs7H6g7+kIECLsYFZTeN7GULi/JoJvYhjh437Y16INsC6lbvAe4qeUsihbSYMVhocSG0pLy6/Fm&#10;FOwvaZp97W7zS/L3s6SuvmbJ7FOp0bBPPkB46v1/+NXeagXLaLqA55vw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uIzMYAAADdAAAADwAAAAAAAAAAAAAAAACYAgAAZHJz&#10;L2Rvd25yZXYueG1sUEsFBgAAAAAEAAQA9QAAAIsDAAAAAA==&#10;" path="m,209r8909,l8909,,,,,209xe" fillcolor="lime" stroked="f">
                    <v:path arrowok="t" o:connecttype="custom" o:connectlocs="0,1037;8909,1037;8909,828;0,828;0,1037" o:connectangles="0,0,0,0,0"/>
                  </v:shape>
                </v:group>
                <v:group id="Group 7004" o:spid="_x0000_s1160" style="position:absolute;top:1037;width:8909;height:207" coordorigin=",1037"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6d6MYAAADdAAAADwAAAGRycy9kb3ducmV2LnhtbESPT4vCMBTE74LfITzB&#10;m6ZVdl26RhFR8SAL/oFlb4/m2Rabl9LEtn77jSB4HGbmN8x82ZlSNFS7wrKCeByBIE6tLjhTcDlv&#10;R18gnEfWWFomBQ9ysFz0e3NMtG35SM3JZyJA2CWoIPe+SqR0aU4G3dhWxMG72tqgD7LOpK6xDXBT&#10;ykkUfUqDBYeFHCta55TeTnejYNdiu5rGm+Zwu64ff+ePn99DTEoNB93qG4Snzr/Dr/ZeK5hF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p3oxgAAAN0A&#10;AAAPAAAAAAAAAAAAAAAAAKoCAABkcnMvZG93bnJldi54bWxQSwUGAAAAAAQABAD6AAAAnQMAAAAA&#10;">
                  <v:shape id="Freeform 7005" o:spid="_x0000_s1161" style="position:absolute;top:1037;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7yMIA&#10;AADdAAAADwAAAGRycy9kb3ducmV2LnhtbERPy4rCMBTdC/MP4Q6409SCD6pRhnEUERF8fMC1ubZl&#10;mpuSRFv/3iwGZnk478WqM7V4kvOVZQWjYQKCOLe64kLB9bIZzED4gKyxtkwKXuRhtfzoLTDTtuUT&#10;Pc+hEDGEfYYKyhCaTEqfl2TQD21DHLm7dQZDhK6Q2mEbw00t0ySZSIMVx4YSG/ouKf89P4wC99OG&#10;A+6n6aHbz4638Xq7W+tUqf5n9zUHEagL/+I/904rmCaj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7vIwgAAAN0AAAAPAAAAAAAAAAAAAAAAAJgCAABkcnMvZG93&#10;bnJldi54bWxQSwUGAAAAAAQABAD1AAAAhwMAAAAA&#10;" path="m,206r8909,l8909,,,,,206xe" fillcolor="lime" stroked="f">
                    <v:path arrowok="t" o:connecttype="custom" o:connectlocs="0,1243;8909,1243;8909,1037;0,1037;0,1243" o:connectangles="0,0,0,0,0"/>
                  </v:shape>
                </v:group>
                <v:group id="Group 7002" o:spid="_x0000_s1162" style="position:absolute;top:1243;width:8909;height:207" coordorigin=",1243" coordsize="890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2sAcYAAADdAAAADwAAAGRycy9kb3ducmV2LnhtbESPQWvCQBSE7wX/w/IE&#10;b7qJ0tpGVxHR4kEEtVC8PbLPJJh9G7JrEv+9WxB6HGbmG2a+7EwpGqpdYVlBPIpAEKdWF5wp+Dlv&#10;h58gnEfWWFomBQ9ysFz03uaYaNvykZqTz0SAsEtQQe59lUjp0pwMupGtiIN3tbVBH2SdSV1jG+Cm&#10;lOMo+pAGCw4LOVa0zim9ne5GwXeL7WoSb5r97bp+XM7vh999TEoN+t1qBsJT5//Dr/ZOK5hG8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rawBxgAAAN0A&#10;AAAPAAAAAAAAAAAAAAAAAKoCAABkcnMvZG93bnJldi54bWxQSwUGAAAAAAQABAD6AAAAnQMAAAAA&#10;">
                  <v:shape id="Freeform 7003" o:spid="_x0000_s1163" style="position:absolute;top:1243;width:8909;height:207;visibility:visible;mso-wrap-style:square;v-text-anchor:top" coordsize="890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9c8MA&#10;AADdAAAADwAAAGRycy9kb3ducmV2LnhtbERP3UrDMBS+H/gO4Qi7W1ML+6FrNsSplDIGmz7AWXNs&#10;i81JSeJa3365ELz8+P6L/WR6cSPnO8sKnpIUBHFtdceNgs+Pt8UGhA/IGnvLpOCXPOx3D7MCc21H&#10;PtPtEhoRQ9jnqKANYcil9HVLBn1iB+LIfVlnMEToGqkdjjHc9DJL05U02HFsaHGgl5bq78uPUeBe&#10;x3DEap0dp2pzui4P7+VBZ0rNH6fnLYhAU/gX/7lLrWCdZn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19c8MAAADdAAAADwAAAAAAAAAAAAAAAACYAgAAZHJzL2Rv&#10;d25yZXYueG1sUEsFBgAAAAAEAAQA9QAAAIgDAAAAAA==&#10;" path="m,207r8909,l8909,,,,,207xe" fillcolor="lime" stroked="f">
                    <v:path arrowok="t" o:connecttype="custom" o:connectlocs="0,1450;8909,1450;8909,1243;0,1243;0,1450" o:connectangles="0,0,0,0,0"/>
                  </v:shape>
                </v:group>
                <v:group id="Group 6999" o:spid="_x0000_s1164" style="position:absolute;top:1450;width:4563;height:207" coordorigin=",1450" coordsize="4563,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dqusUAAADdAAAADwAAAGRycy9kb3ducmV2LnhtbESPQYvCMBSE78L+h/AW&#10;vGlaF12pRhHZFQ8iqAvi7dE822LzUppsW/+9EQSPw8x8w8yXnSlFQ7UrLCuIhxEI4tTqgjMFf6ff&#10;wRSE88gaS8uk4E4OlouP3hwTbVs+UHP0mQgQdgkqyL2vEildmpNBN7QVcfCutjbog6wzqWtsA9yU&#10;chRFE2mw4LCQY0XrnNLb8d8o2LTYrr7in2Z3u67vl9N4f97FpFT/s1vNQHjq/Dv8am+1gu9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3arrFAAAA3QAA&#10;AA8AAAAAAAAAAAAAAAAAqgIAAGRycy9kb3ducmV2LnhtbFBLBQYAAAAABAAEAPoAAACcAwAAAAA=&#10;">
                  <v:shape id="Freeform 7001" o:spid="_x0000_s1165" style="position:absolute;top:1450;width:4563;height:207;visibility:visible;mso-wrap-style:square;v-text-anchor:top" coordsize="456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o0MYA&#10;AADdAAAADwAAAGRycy9kb3ducmV2LnhtbESPQWsCMRSE70L/Q3iF3jTbPbSyNYoIpRWRoha9PjZv&#10;N6ublyWJuv77piB4HGbmG2Yy620rLuRD41jB6ygDQVw63XCt4Hf3ORyDCBFZY+uYFNwowGz6NJhg&#10;od2VN3TZxlokCIcCFZgYu0LKUBqyGEauI05e5bzFmKSvpfZ4TXDbyjzL3qTFhtOCwY4WhsrT9mwV&#10;7Ct/Gs+/wiGv3Nr8LHfH/Xp1VOrluZ9/gIjUx0f43v7WCt6zPIf/N+k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go0MYAAADdAAAADwAAAAAAAAAAAAAAAACYAgAAZHJz&#10;L2Rvd25yZXYueG1sUEsFBgAAAAAEAAQA9QAAAIsDAAAAAA==&#10;" path="m,206r4562,l4562,,,,,206xe" fillcolor="lime" stroked="f">
                    <v:path arrowok="t" o:connecttype="custom" o:connectlocs="0,1656;4562,1656;4562,1450;0,1450;0,1656" o:connectangles="0,0,0,0,0"/>
                  </v:shape>
                  <v:shape id="Text Box 7000" o:spid="_x0000_s1166" type="#_x0000_t202" style="position:absolute;width:891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ZjcYA&#10;AADdAAAADwAAAGRycy9kb3ducmV2LnhtbESPQWsCMRSE74X+h/AKvdWkFtRujSKiIAil6/bQ4+vm&#10;uRvcvKybqOu/bwqCx2FmvmGm89414kxdsJ41vA4UCOLSG8uVhu9i/TIBESKywcYzabhSgPns8WGK&#10;mfEXzum8i5VIEA4ZaqhjbDMpQ1mTwzDwLXHy9r5zGJPsKmk6vCS4a+RQqZF0aDkt1NjSsqbysDs5&#10;DYsfzlf2+Pn7le9zWxTvirejg9bPT/3iA0SkPt7Dt/bGaBir4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tZjcYAAADdAAAADwAAAAAAAAAAAAAAAACYAgAAZHJz&#10;L2Rvd25yZXYueG1sUEsFBgAAAAAEAAQA9QAAAIsDAAAAAA==&#10;" filled="f" stroked="f">
                    <v:textbox inset="0,0,0,0">
                      <w:txbxContent>
                        <w:p w:rsidR="005D2B81" w:rsidRDefault="005D2B81" w:rsidP="008918FA">
                          <w:pPr>
                            <w:jc w:val="both"/>
                            <w:rPr>
                              <w:rFonts w:ascii="Arial" w:eastAsia="Arial" w:hAnsi="Arial" w:cs="Arial"/>
                              <w:sz w:val="18"/>
                              <w:szCs w:val="18"/>
                            </w:rPr>
                          </w:pPr>
                          <w:r>
                            <w:rPr>
                              <w:rFonts w:ascii="Arial"/>
                              <w:spacing w:val="-1"/>
                              <w:sz w:val="18"/>
                            </w:rPr>
                            <w:t>Additional</w:t>
                          </w:r>
                          <w:r>
                            <w:rPr>
                              <w:rFonts w:ascii="Arial"/>
                              <w:spacing w:val="32"/>
                              <w:sz w:val="18"/>
                            </w:rPr>
                            <w:t xml:space="preserve"> </w:t>
                          </w:r>
                          <w:r>
                            <w:rPr>
                              <w:rFonts w:ascii="Arial"/>
                              <w:spacing w:val="-1"/>
                              <w:sz w:val="18"/>
                            </w:rPr>
                            <w:t>Clauses).</w:t>
                          </w:r>
                          <w:r>
                            <w:rPr>
                              <w:rFonts w:ascii="Arial"/>
                              <w:spacing w:val="31"/>
                              <w:sz w:val="18"/>
                            </w:rPr>
                            <w:t xml:space="preserve"> </w:t>
                          </w:r>
                          <w:r>
                            <w:rPr>
                              <w:rFonts w:ascii="Arial"/>
                              <w:spacing w:val="-1"/>
                              <w:sz w:val="18"/>
                            </w:rPr>
                            <w:t>Customers</w:t>
                          </w:r>
                          <w:r>
                            <w:rPr>
                              <w:rFonts w:ascii="Arial"/>
                              <w:spacing w:val="32"/>
                              <w:sz w:val="18"/>
                            </w:rPr>
                            <w:t xml:space="preserve"> </w:t>
                          </w:r>
                          <w:r>
                            <w:rPr>
                              <w:rFonts w:ascii="Arial"/>
                              <w:spacing w:val="-1"/>
                              <w:sz w:val="18"/>
                            </w:rPr>
                            <w:t>should</w:t>
                          </w:r>
                          <w:r>
                            <w:rPr>
                              <w:rFonts w:ascii="Arial"/>
                              <w:spacing w:val="29"/>
                              <w:sz w:val="18"/>
                            </w:rPr>
                            <w:t xml:space="preserve"> </w:t>
                          </w:r>
                          <w:r>
                            <w:rPr>
                              <w:rFonts w:ascii="Arial"/>
                              <w:sz w:val="18"/>
                            </w:rPr>
                            <w:t>state</w:t>
                          </w:r>
                          <w:r>
                            <w:rPr>
                              <w:rFonts w:ascii="Arial"/>
                              <w:spacing w:val="29"/>
                              <w:sz w:val="18"/>
                            </w:rPr>
                            <w:t xml:space="preserve"> </w:t>
                          </w:r>
                          <w:r>
                            <w:rPr>
                              <w:rFonts w:ascii="Arial"/>
                              <w:sz w:val="18"/>
                            </w:rPr>
                            <w:t>here</w:t>
                          </w:r>
                          <w:r>
                            <w:rPr>
                              <w:rFonts w:ascii="Arial"/>
                              <w:spacing w:val="32"/>
                              <w:sz w:val="18"/>
                            </w:rPr>
                            <w:t xml:space="preserve"> </w:t>
                          </w:r>
                          <w:r>
                            <w:rPr>
                              <w:rFonts w:ascii="Arial"/>
                              <w:spacing w:val="-1"/>
                              <w:sz w:val="18"/>
                            </w:rPr>
                            <w:t>which</w:t>
                          </w:r>
                          <w:r>
                            <w:rPr>
                              <w:rFonts w:ascii="Arial"/>
                              <w:spacing w:val="32"/>
                              <w:sz w:val="18"/>
                            </w:rPr>
                            <w:t xml:space="preserve"> </w:t>
                          </w:r>
                          <w:r>
                            <w:rPr>
                              <w:rFonts w:ascii="Arial"/>
                              <w:spacing w:val="-1"/>
                              <w:sz w:val="18"/>
                            </w:rPr>
                            <w:t>ones</w:t>
                          </w:r>
                          <w:r>
                            <w:rPr>
                              <w:rFonts w:ascii="Arial"/>
                              <w:spacing w:val="32"/>
                              <w:sz w:val="18"/>
                            </w:rPr>
                            <w:t xml:space="preserve"> </w:t>
                          </w:r>
                          <w:r>
                            <w:rPr>
                              <w:rFonts w:ascii="Arial"/>
                              <w:spacing w:val="-1"/>
                              <w:sz w:val="18"/>
                            </w:rPr>
                            <w:t>apply,</w:t>
                          </w:r>
                          <w:r>
                            <w:rPr>
                              <w:rFonts w:ascii="Arial"/>
                              <w:spacing w:val="31"/>
                              <w:sz w:val="18"/>
                            </w:rPr>
                            <w:t xml:space="preserve"> </w:t>
                          </w:r>
                          <w:r>
                            <w:rPr>
                              <w:rFonts w:ascii="Arial"/>
                              <w:sz w:val="18"/>
                            </w:rPr>
                            <w:t>if</w:t>
                          </w:r>
                          <w:r>
                            <w:rPr>
                              <w:rFonts w:ascii="Arial"/>
                              <w:spacing w:val="31"/>
                              <w:sz w:val="18"/>
                            </w:rPr>
                            <w:t xml:space="preserve"> </w:t>
                          </w:r>
                          <w:r>
                            <w:rPr>
                              <w:rFonts w:ascii="Arial"/>
                              <w:spacing w:val="-1"/>
                              <w:sz w:val="18"/>
                            </w:rPr>
                            <w:t>any.</w:t>
                          </w:r>
                          <w:r>
                            <w:rPr>
                              <w:rFonts w:ascii="Arial"/>
                              <w:spacing w:val="31"/>
                              <w:sz w:val="18"/>
                            </w:rPr>
                            <w:t xml:space="preserve"> </w:t>
                          </w:r>
                          <w:r>
                            <w:rPr>
                              <w:rFonts w:ascii="Arial"/>
                              <w:spacing w:val="-1"/>
                              <w:sz w:val="18"/>
                            </w:rPr>
                            <w:t>Paragraphs</w:t>
                          </w:r>
                          <w:r>
                            <w:rPr>
                              <w:rFonts w:ascii="Arial"/>
                              <w:spacing w:val="32"/>
                              <w:sz w:val="18"/>
                            </w:rPr>
                            <w:t xml:space="preserve"> </w:t>
                          </w:r>
                          <w:r>
                            <w:rPr>
                              <w:rFonts w:ascii="Arial"/>
                              <w:sz w:val="18"/>
                            </w:rPr>
                            <w:t>7.1</w:t>
                          </w:r>
                          <w:r>
                            <w:rPr>
                              <w:rFonts w:ascii="Arial"/>
                              <w:spacing w:val="32"/>
                              <w:sz w:val="18"/>
                            </w:rPr>
                            <w:t xml:space="preserve"> </w:t>
                          </w:r>
                          <w:r>
                            <w:rPr>
                              <w:rFonts w:ascii="Arial"/>
                              <w:spacing w:val="-1"/>
                              <w:sz w:val="18"/>
                            </w:rPr>
                            <w:t>and</w:t>
                          </w:r>
                          <w:r>
                            <w:rPr>
                              <w:rFonts w:ascii="Arial"/>
                              <w:spacing w:val="32"/>
                              <w:sz w:val="18"/>
                            </w:rPr>
                            <w:t xml:space="preserve"> </w:t>
                          </w:r>
                          <w:r>
                            <w:rPr>
                              <w:rFonts w:ascii="Arial"/>
                              <w:sz w:val="18"/>
                            </w:rPr>
                            <w:t>7.2</w:t>
                          </w:r>
                          <w:r>
                            <w:rPr>
                              <w:rFonts w:ascii="Arial"/>
                              <w:spacing w:val="32"/>
                              <w:sz w:val="18"/>
                            </w:rPr>
                            <w:t xml:space="preserve"> </w:t>
                          </w:r>
                          <w:r>
                            <w:rPr>
                              <w:rFonts w:ascii="Arial"/>
                              <w:sz w:val="18"/>
                            </w:rPr>
                            <w:t>of</w:t>
                          </w:r>
                          <w:r>
                            <w:rPr>
                              <w:rFonts w:ascii="Arial"/>
                              <w:spacing w:val="31"/>
                              <w:sz w:val="18"/>
                            </w:rPr>
                            <w:t xml:space="preserve"> </w:t>
                          </w:r>
                          <w:r>
                            <w:rPr>
                              <w:rFonts w:ascii="Arial"/>
                              <w:spacing w:val="-1"/>
                              <w:sz w:val="18"/>
                            </w:rPr>
                            <w:t>the</w:t>
                          </w:r>
                          <w:r>
                            <w:rPr>
                              <w:rFonts w:ascii="Arial"/>
                              <w:spacing w:val="77"/>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10"/>
                              <w:sz w:val="18"/>
                            </w:rPr>
                            <w:t xml:space="preserve"> </w:t>
                          </w:r>
                          <w:r>
                            <w:rPr>
                              <w:rFonts w:ascii="Arial"/>
                              <w:spacing w:val="-1"/>
                              <w:sz w:val="18"/>
                            </w:rPr>
                            <w:t>Off</w:t>
                          </w:r>
                          <w:r>
                            <w:rPr>
                              <w:rFonts w:ascii="Arial"/>
                              <w:spacing w:val="7"/>
                              <w:sz w:val="18"/>
                            </w:rPr>
                            <w:t xml:space="preserve"> </w:t>
                          </w:r>
                          <w:r>
                            <w:rPr>
                              <w:rFonts w:ascii="Arial"/>
                              <w:spacing w:val="-1"/>
                              <w:sz w:val="18"/>
                            </w:rPr>
                            <w:t>Form</w:t>
                          </w:r>
                          <w:r>
                            <w:rPr>
                              <w:rFonts w:ascii="Arial"/>
                              <w:spacing w:val="11"/>
                              <w:sz w:val="18"/>
                            </w:rPr>
                            <w:t xml:space="preserve"> </w:t>
                          </w:r>
                          <w:r>
                            <w:rPr>
                              <w:rFonts w:ascii="Arial"/>
                              <w:spacing w:val="-1"/>
                              <w:sz w:val="18"/>
                            </w:rPr>
                            <w:t>enable</w:t>
                          </w:r>
                          <w:r>
                            <w:rPr>
                              <w:rFonts w:ascii="Arial"/>
                              <w:spacing w:val="10"/>
                              <w:sz w:val="18"/>
                            </w:rPr>
                            <w:t xml:space="preserve"> </w:t>
                          </w:r>
                          <w:r>
                            <w:rPr>
                              <w:rFonts w:ascii="Arial"/>
                              <w:spacing w:val="-1"/>
                              <w:sz w:val="18"/>
                            </w:rPr>
                            <w:t>Customers</w:t>
                          </w:r>
                          <w:r>
                            <w:rPr>
                              <w:rFonts w:ascii="Arial"/>
                              <w:spacing w:val="8"/>
                              <w:sz w:val="18"/>
                            </w:rPr>
                            <w:t xml:space="preserve"> </w:t>
                          </w:r>
                          <w:r>
                            <w:rPr>
                              <w:rFonts w:ascii="Arial"/>
                              <w:sz w:val="18"/>
                            </w:rPr>
                            <w:t>to</w:t>
                          </w:r>
                          <w:r>
                            <w:rPr>
                              <w:rFonts w:ascii="Arial"/>
                              <w:spacing w:val="8"/>
                              <w:sz w:val="18"/>
                            </w:rPr>
                            <w:t xml:space="preserve"> </w:t>
                          </w:r>
                          <w:r>
                            <w:rPr>
                              <w:rFonts w:ascii="Arial"/>
                              <w:spacing w:val="-1"/>
                              <w:sz w:val="18"/>
                            </w:rPr>
                            <w:t>insert</w:t>
                          </w:r>
                          <w:r>
                            <w:rPr>
                              <w:rFonts w:ascii="Arial"/>
                              <w:spacing w:val="7"/>
                              <w:sz w:val="18"/>
                            </w:rPr>
                            <w:t xml:space="preserve"> </w:t>
                          </w:r>
                          <w:r>
                            <w:rPr>
                              <w:rFonts w:ascii="Arial"/>
                              <w:sz w:val="18"/>
                            </w:rPr>
                            <w:t>new</w:t>
                          </w:r>
                          <w:r>
                            <w:rPr>
                              <w:rFonts w:ascii="Arial"/>
                              <w:spacing w:val="7"/>
                              <w:sz w:val="18"/>
                            </w:rPr>
                            <w:t xml:space="preserve"> </w:t>
                          </w:r>
                          <w:r>
                            <w:rPr>
                              <w:rFonts w:ascii="Arial"/>
                              <w:spacing w:val="-1"/>
                              <w:sz w:val="18"/>
                            </w:rPr>
                            <w:t>provisions</w:t>
                          </w:r>
                          <w:r>
                            <w:rPr>
                              <w:rFonts w:ascii="Arial"/>
                              <w:spacing w:val="10"/>
                              <w:sz w:val="18"/>
                            </w:rPr>
                            <w:t xml:space="preserve"> </w:t>
                          </w:r>
                          <w:r>
                            <w:rPr>
                              <w:rFonts w:ascii="Arial"/>
                              <w:spacing w:val="-1"/>
                              <w:sz w:val="18"/>
                            </w:rPr>
                            <w:t>and</w:t>
                          </w:r>
                          <w:r>
                            <w:rPr>
                              <w:rFonts w:ascii="Arial"/>
                              <w:spacing w:val="8"/>
                              <w:sz w:val="18"/>
                            </w:rPr>
                            <w:t xml:space="preserve"> </w:t>
                          </w:r>
                          <w:r>
                            <w:rPr>
                              <w:rFonts w:ascii="Arial"/>
                              <w:spacing w:val="-1"/>
                              <w:sz w:val="18"/>
                            </w:rPr>
                            <w:t>amend</w:t>
                          </w:r>
                          <w:r>
                            <w:rPr>
                              <w:rFonts w:ascii="Arial"/>
                              <w:spacing w:val="8"/>
                              <w:sz w:val="18"/>
                            </w:rPr>
                            <w:t xml:space="preserve"> </w:t>
                          </w:r>
                          <w:r>
                            <w:rPr>
                              <w:rFonts w:ascii="Arial"/>
                              <w:spacing w:val="-1"/>
                              <w:sz w:val="18"/>
                            </w:rPr>
                            <w:t>current</w:t>
                          </w:r>
                          <w:r>
                            <w:rPr>
                              <w:rFonts w:ascii="Arial"/>
                              <w:spacing w:val="7"/>
                              <w:sz w:val="18"/>
                            </w:rPr>
                            <w:t xml:space="preserve"> </w:t>
                          </w:r>
                          <w:r>
                            <w:rPr>
                              <w:rFonts w:ascii="Arial"/>
                              <w:spacing w:val="-1"/>
                              <w:sz w:val="18"/>
                            </w:rPr>
                            <w:t>provisions</w:t>
                          </w:r>
                          <w:r>
                            <w:rPr>
                              <w:rFonts w:ascii="Arial"/>
                              <w:spacing w:val="8"/>
                              <w:sz w:val="18"/>
                            </w:rPr>
                            <w:t xml:space="preserve"> </w:t>
                          </w:r>
                          <w:r>
                            <w:rPr>
                              <w:rFonts w:ascii="Arial"/>
                              <w:spacing w:val="-1"/>
                              <w:sz w:val="18"/>
                            </w:rPr>
                            <w:t>respectively.</w:t>
                          </w:r>
                          <w:r>
                            <w:rPr>
                              <w:rFonts w:ascii="Arial"/>
                              <w:spacing w:val="91"/>
                              <w:sz w:val="18"/>
                            </w:rPr>
                            <w:t xml:space="preserve"> </w:t>
                          </w:r>
                          <w:r>
                            <w:rPr>
                              <w:rFonts w:ascii="Arial"/>
                              <w:spacing w:val="-1"/>
                              <w:sz w:val="18"/>
                            </w:rPr>
                            <w:t>Note</w:t>
                          </w:r>
                          <w:r>
                            <w:rPr>
                              <w:rFonts w:ascii="Arial"/>
                              <w:spacing w:val="5"/>
                              <w:sz w:val="18"/>
                            </w:rPr>
                            <w:t xml:space="preserve"> </w:t>
                          </w:r>
                          <w:r>
                            <w:rPr>
                              <w:rFonts w:ascii="Arial"/>
                              <w:spacing w:val="-1"/>
                              <w:sz w:val="18"/>
                            </w:rPr>
                            <w:t>that</w:t>
                          </w:r>
                          <w:r>
                            <w:rPr>
                              <w:rFonts w:ascii="Arial"/>
                              <w:spacing w:val="5"/>
                              <w:sz w:val="18"/>
                            </w:rPr>
                            <w:t xml:space="preserve"> </w:t>
                          </w:r>
                          <w:r>
                            <w:rPr>
                              <w:rFonts w:ascii="Arial"/>
                              <w:sz w:val="18"/>
                            </w:rPr>
                            <w:t>any</w:t>
                          </w:r>
                          <w:r>
                            <w:rPr>
                              <w:rFonts w:ascii="Arial"/>
                              <w:spacing w:val="3"/>
                              <w:sz w:val="18"/>
                            </w:rPr>
                            <w:t xml:space="preserve"> </w:t>
                          </w:r>
                          <w:r>
                            <w:rPr>
                              <w:rFonts w:ascii="Arial"/>
                              <w:spacing w:val="-1"/>
                              <w:sz w:val="18"/>
                            </w:rPr>
                            <w:t>such</w:t>
                          </w:r>
                          <w:r>
                            <w:rPr>
                              <w:rFonts w:ascii="Arial"/>
                              <w:spacing w:val="3"/>
                              <w:sz w:val="18"/>
                            </w:rPr>
                            <w:t xml:space="preserve"> </w:t>
                          </w:r>
                          <w:r>
                            <w:rPr>
                              <w:rFonts w:ascii="Arial"/>
                              <w:spacing w:val="-1"/>
                              <w:sz w:val="18"/>
                            </w:rPr>
                            <w:t>additions</w:t>
                          </w:r>
                          <w:r>
                            <w:rPr>
                              <w:rFonts w:ascii="Arial"/>
                              <w:spacing w:val="3"/>
                              <w:sz w:val="18"/>
                            </w:rPr>
                            <w:t xml:space="preserve"> </w:t>
                          </w:r>
                          <w:r>
                            <w:rPr>
                              <w:rFonts w:ascii="Arial"/>
                              <w:spacing w:val="-1"/>
                              <w:sz w:val="18"/>
                            </w:rPr>
                            <w:t>and/or</w:t>
                          </w:r>
                          <w:r>
                            <w:rPr>
                              <w:rFonts w:ascii="Arial"/>
                              <w:spacing w:val="2"/>
                              <w:sz w:val="18"/>
                            </w:rPr>
                            <w:t xml:space="preserve"> </w:t>
                          </w:r>
                          <w:r>
                            <w:rPr>
                              <w:rFonts w:ascii="Arial"/>
                              <w:spacing w:val="-1"/>
                              <w:sz w:val="18"/>
                            </w:rPr>
                            <w:t>changes</w:t>
                          </w:r>
                          <w:r>
                            <w:rPr>
                              <w:rFonts w:ascii="Arial"/>
                              <w:spacing w:val="6"/>
                              <w:sz w:val="18"/>
                            </w:rPr>
                            <w:t xml:space="preserve"> </w:t>
                          </w:r>
                          <w:r>
                            <w:rPr>
                              <w:rFonts w:ascii="Arial"/>
                              <w:spacing w:val="-1"/>
                              <w:sz w:val="18"/>
                            </w:rPr>
                            <w:t>must</w:t>
                          </w:r>
                          <w:r>
                            <w:rPr>
                              <w:rFonts w:ascii="Arial"/>
                              <w:spacing w:val="3"/>
                              <w:sz w:val="18"/>
                            </w:rPr>
                            <w:t xml:space="preserve"> </w:t>
                          </w:r>
                          <w:r>
                            <w:rPr>
                              <w:rFonts w:ascii="Arial"/>
                              <w:spacing w:val="-1"/>
                              <w:sz w:val="18"/>
                            </w:rPr>
                            <w:t>always</w:t>
                          </w:r>
                          <w:r>
                            <w:rPr>
                              <w:rFonts w:ascii="Arial"/>
                              <w:spacing w:val="6"/>
                              <w:sz w:val="18"/>
                            </w:rPr>
                            <w:t xml:space="preserve"> </w:t>
                          </w:r>
                          <w:r>
                            <w:rPr>
                              <w:rFonts w:ascii="Arial"/>
                              <w:sz w:val="18"/>
                            </w:rPr>
                            <w:t>be</w:t>
                          </w:r>
                          <w:r>
                            <w:rPr>
                              <w:rFonts w:ascii="Arial"/>
                              <w:spacing w:val="3"/>
                              <w:sz w:val="18"/>
                            </w:rPr>
                            <w:t xml:space="preserve"> </w:t>
                          </w:r>
                          <w:r>
                            <w:rPr>
                              <w:rFonts w:ascii="Arial"/>
                              <w:sz w:val="18"/>
                            </w:rPr>
                            <w:t>in</w:t>
                          </w:r>
                          <w:r>
                            <w:rPr>
                              <w:rFonts w:ascii="Arial"/>
                              <w:spacing w:val="5"/>
                              <w:sz w:val="18"/>
                            </w:rPr>
                            <w:t xml:space="preserve"> </w:t>
                          </w:r>
                          <w:r>
                            <w:rPr>
                              <w:rFonts w:ascii="Arial"/>
                              <w:spacing w:val="-1"/>
                              <w:sz w:val="18"/>
                            </w:rPr>
                            <w:t>accordance</w:t>
                          </w:r>
                          <w:r>
                            <w:rPr>
                              <w:rFonts w:ascii="Arial"/>
                              <w:spacing w:val="5"/>
                              <w:sz w:val="18"/>
                            </w:rPr>
                            <w:t xml:space="preserve"> </w:t>
                          </w:r>
                          <w:r>
                            <w:rPr>
                              <w:rFonts w:ascii="Arial"/>
                              <w:spacing w:val="-1"/>
                              <w:sz w:val="18"/>
                            </w:rPr>
                            <w:t>with</w:t>
                          </w:r>
                          <w:r>
                            <w:rPr>
                              <w:rFonts w:ascii="Arial"/>
                              <w:spacing w:val="5"/>
                              <w:sz w:val="18"/>
                            </w:rPr>
                            <w:t xml:space="preserve"> </w:t>
                          </w:r>
                          <w:r>
                            <w:rPr>
                              <w:rFonts w:ascii="Arial"/>
                              <w:spacing w:val="-1"/>
                              <w:sz w:val="18"/>
                            </w:rPr>
                            <w:t>the</w:t>
                          </w:r>
                          <w:r>
                            <w:rPr>
                              <w:rFonts w:ascii="Arial"/>
                              <w:spacing w:val="5"/>
                              <w:sz w:val="18"/>
                            </w:rPr>
                            <w:t xml:space="preserve"> </w:t>
                          </w:r>
                          <w:r>
                            <w:rPr>
                              <w:rFonts w:ascii="Arial"/>
                              <w:sz w:val="18"/>
                            </w:rPr>
                            <w:t>Law</w:t>
                          </w:r>
                          <w:r>
                            <w:rPr>
                              <w:rFonts w:ascii="Arial"/>
                              <w:spacing w:val="2"/>
                              <w:sz w:val="18"/>
                            </w:rPr>
                            <w:t xml:space="preserve"> </w:t>
                          </w:r>
                          <w:r>
                            <w:rPr>
                              <w:rFonts w:ascii="Arial"/>
                              <w:spacing w:val="-1"/>
                              <w:sz w:val="18"/>
                            </w:rPr>
                            <w:t>and</w:t>
                          </w:r>
                          <w:r>
                            <w:rPr>
                              <w:rFonts w:ascii="Arial"/>
                              <w:spacing w:val="5"/>
                              <w:sz w:val="18"/>
                            </w:rPr>
                            <w:t xml:space="preserve"> </w:t>
                          </w:r>
                          <w:r>
                            <w:rPr>
                              <w:rFonts w:ascii="Arial"/>
                              <w:sz w:val="18"/>
                            </w:rPr>
                            <w:t>the</w:t>
                          </w:r>
                          <w:r>
                            <w:rPr>
                              <w:rFonts w:ascii="Arial"/>
                              <w:spacing w:val="3"/>
                              <w:sz w:val="18"/>
                            </w:rPr>
                            <w:t xml:space="preserve"> </w:t>
                          </w:r>
                          <w:r>
                            <w:rPr>
                              <w:rFonts w:ascii="Arial"/>
                              <w:spacing w:val="-1"/>
                              <w:sz w:val="18"/>
                            </w:rPr>
                            <w:t>requirements</w:t>
                          </w:r>
                          <w:r>
                            <w:rPr>
                              <w:rFonts w:ascii="Arial"/>
                              <w:spacing w:val="83"/>
                              <w:sz w:val="18"/>
                            </w:rPr>
                            <w:t xml:space="preserve"> </w:t>
                          </w:r>
                          <w:r>
                            <w:rPr>
                              <w:rFonts w:ascii="Arial"/>
                              <w:sz w:val="18"/>
                            </w:rPr>
                            <w:t>of</w:t>
                          </w:r>
                          <w:r>
                            <w:rPr>
                              <w:rFonts w:ascii="Arial"/>
                              <w:spacing w:val="3"/>
                              <w:sz w:val="18"/>
                            </w:rPr>
                            <w:t xml:space="preserve"> </w:t>
                          </w:r>
                          <w:r>
                            <w:rPr>
                              <w:rFonts w:ascii="Arial"/>
                              <w:spacing w:val="-1"/>
                              <w:sz w:val="18"/>
                            </w:rPr>
                            <w:t>Framework</w:t>
                          </w:r>
                          <w:r>
                            <w:rPr>
                              <w:rFonts w:ascii="Arial"/>
                              <w:spacing w:val="3"/>
                              <w:sz w:val="18"/>
                            </w:rPr>
                            <w:t xml:space="preserve"> </w:t>
                          </w:r>
                          <w:r>
                            <w:rPr>
                              <w:rFonts w:ascii="Arial"/>
                              <w:spacing w:val="-1"/>
                              <w:sz w:val="18"/>
                            </w:rPr>
                            <w:t>Schedule</w:t>
                          </w:r>
                          <w:r>
                            <w:rPr>
                              <w:rFonts w:ascii="Arial"/>
                              <w:spacing w:val="1"/>
                              <w:sz w:val="18"/>
                            </w:rPr>
                            <w:t xml:space="preserve"> </w:t>
                          </w:r>
                          <w:r>
                            <w:rPr>
                              <w:rFonts w:ascii="Arial"/>
                              <w:sz w:val="18"/>
                            </w:rPr>
                            <w:t>5</w:t>
                          </w:r>
                          <w:r>
                            <w:rPr>
                              <w:rFonts w:ascii="Arial"/>
                              <w:spacing w:val="3"/>
                              <w:sz w:val="18"/>
                            </w:rPr>
                            <w:t xml:space="preserve"> </w:t>
                          </w:r>
                          <w:r>
                            <w:rPr>
                              <w:rFonts w:ascii="Arial"/>
                              <w:spacing w:val="-1"/>
                              <w:sz w:val="18"/>
                            </w:rPr>
                            <w:t>(Call</w:t>
                          </w:r>
                          <w:r>
                            <w:rPr>
                              <w:rFonts w:ascii="Arial"/>
                              <w:spacing w:val="3"/>
                              <w:sz w:val="18"/>
                            </w:rPr>
                            <w:t xml:space="preserve"> </w:t>
                          </w:r>
                          <w:r>
                            <w:rPr>
                              <w:rFonts w:ascii="Arial"/>
                              <w:spacing w:val="-1"/>
                              <w:sz w:val="18"/>
                            </w:rPr>
                            <w:t>Off</w:t>
                          </w:r>
                          <w:r>
                            <w:rPr>
                              <w:rFonts w:ascii="Arial"/>
                              <w:spacing w:val="3"/>
                              <w:sz w:val="18"/>
                            </w:rPr>
                            <w:t xml:space="preserve"> </w:t>
                          </w:r>
                          <w:r>
                            <w:rPr>
                              <w:rFonts w:ascii="Arial"/>
                              <w:spacing w:val="-1"/>
                              <w:sz w:val="18"/>
                            </w:rPr>
                            <w:t>Procedure).</w:t>
                          </w:r>
                          <w:r>
                            <w:rPr>
                              <w:rFonts w:ascii="Arial"/>
                              <w:sz w:val="18"/>
                            </w:rPr>
                            <w:t xml:space="preserve"> If</w:t>
                          </w:r>
                          <w:r>
                            <w:rPr>
                              <w:rFonts w:ascii="Arial"/>
                              <w:spacing w:val="3"/>
                              <w:sz w:val="18"/>
                            </w:rPr>
                            <w:t xml:space="preserve"> </w:t>
                          </w:r>
                          <w:r>
                            <w:rPr>
                              <w:rFonts w:ascii="Arial"/>
                              <w:spacing w:val="-1"/>
                              <w:sz w:val="18"/>
                            </w:rPr>
                            <w:t>you</w:t>
                          </w:r>
                          <w:r>
                            <w:rPr>
                              <w:rFonts w:ascii="Arial"/>
                              <w:spacing w:val="1"/>
                              <w:sz w:val="18"/>
                            </w:rPr>
                            <w:t xml:space="preserve"> </w:t>
                          </w:r>
                          <w:r>
                            <w:rPr>
                              <w:rFonts w:ascii="Arial"/>
                              <w:spacing w:val="-1"/>
                              <w:sz w:val="18"/>
                            </w:rPr>
                            <w:t>place</w:t>
                          </w:r>
                          <w:r>
                            <w:rPr>
                              <w:rFonts w:ascii="Arial"/>
                              <w:spacing w:val="1"/>
                              <w:sz w:val="18"/>
                            </w:rPr>
                            <w:t xml:space="preserve"> </w:t>
                          </w:r>
                          <w:r>
                            <w:rPr>
                              <w:rFonts w:ascii="Arial"/>
                              <w:spacing w:val="-1"/>
                              <w:sz w:val="18"/>
                            </w:rPr>
                            <w:t>repeat</w:t>
                          </w:r>
                          <w:r>
                            <w:rPr>
                              <w:rFonts w:ascii="Arial"/>
                              <w:sz w:val="18"/>
                            </w:rPr>
                            <w:t xml:space="preserve"> </w:t>
                          </w:r>
                          <w:r>
                            <w:rPr>
                              <w:rFonts w:ascii="Arial"/>
                              <w:spacing w:val="-1"/>
                              <w:sz w:val="18"/>
                            </w:rPr>
                            <w:t>Orders</w:t>
                          </w:r>
                          <w:r>
                            <w:rPr>
                              <w:rFonts w:ascii="Arial"/>
                              <w:spacing w:val="1"/>
                              <w:sz w:val="18"/>
                            </w:rPr>
                            <w:t xml:space="preserve"> </w:t>
                          </w:r>
                          <w:r>
                            <w:rPr>
                              <w:rFonts w:ascii="Arial"/>
                              <w:sz w:val="18"/>
                            </w:rPr>
                            <w:t>of the</w:t>
                          </w:r>
                          <w:r>
                            <w:rPr>
                              <w:rFonts w:ascii="Arial"/>
                              <w:spacing w:val="1"/>
                              <w:sz w:val="18"/>
                            </w:rPr>
                            <w:t xml:space="preserve"> </w:t>
                          </w:r>
                          <w:r>
                            <w:rPr>
                              <w:rFonts w:ascii="Arial"/>
                              <w:spacing w:val="-1"/>
                              <w:sz w:val="18"/>
                            </w:rPr>
                            <w:t>same</w:t>
                          </w:r>
                          <w:r>
                            <w:rPr>
                              <w:rFonts w:ascii="Arial"/>
                              <w:spacing w:val="1"/>
                              <w:sz w:val="18"/>
                            </w:rPr>
                            <w:t xml:space="preserve"> </w:t>
                          </w:r>
                          <w:r>
                            <w:rPr>
                              <w:rFonts w:ascii="Arial"/>
                              <w:spacing w:val="-1"/>
                              <w:sz w:val="18"/>
                            </w:rPr>
                            <w:t>nature</w:t>
                          </w:r>
                          <w:r>
                            <w:rPr>
                              <w:rFonts w:ascii="Arial"/>
                              <w:spacing w:val="3"/>
                              <w:sz w:val="18"/>
                            </w:rPr>
                            <w:t xml:space="preserve"> </w:t>
                          </w:r>
                          <w:r>
                            <w:rPr>
                              <w:rFonts w:ascii="Arial"/>
                              <w:spacing w:val="-1"/>
                              <w:sz w:val="18"/>
                            </w:rPr>
                            <w:t>which</w:t>
                          </w:r>
                          <w:r>
                            <w:rPr>
                              <w:rFonts w:ascii="Arial"/>
                              <w:sz w:val="18"/>
                            </w:rPr>
                            <w:t xml:space="preserve"> </w:t>
                          </w:r>
                          <w:r>
                            <w:rPr>
                              <w:rFonts w:ascii="Arial"/>
                              <w:spacing w:val="-1"/>
                              <w:sz w:val="18"/>
                            </w:rPr>
                            <w:t>contain</w:t>
                          </w:r>
                          <w:r>
                            <w:rPr>
                              <w:rFonts w:ascii="Arial"/>
                              <w:spacing w:val="1"/>
                              <w:sz w:val="18"/>
                            </w:rPr>
                            <w:t xml:space="preserve"> </w:t>
                          </w:r>
                          <w:r>
                            <w:rPr>
                              <w:rFonts w:ascii="Arial"/>
                              <w:spacing w:val="-2"/>
                              <w:sz w:val="18"/>
                            </w:rPr>
                            <w:t>the</w:t>
                          </w:r>
                          <w:r>
                            <w:rPr>
                              <w:rFonts w:ascii="Arial"/>
                              <w:spacing w:val="95"/>
                              <w:sz w:val="18"/>
                            </w:rPr>
                            <w:t xml:space="preserve"> </w:t>
                          </w:r>
                          <w:r>
                            <w:rPr>
                              <w:rFonts w:ascii="Arial"/>
                              <w:spacing w:val="-1"/>
                              <w:sz w:val="18"/>
                            </w:rPr>
                            <w:t>same</w:t>
                          </w:r>
                          <w:r>
                            <w:rPr>
                              <w:rFonts w:ascii="Arial"/>
                              <w:spacing w:val="8"/>
                              <w:sz w:val="18"/>
                            </w:rPr>
                            <w:t xml:space="preserve"> </w:t>
                          </w:r>
                          <w:r>
                            <w:rPr>
                              <w:rFonts w:ascii="Arial"/>
                              <w:spacing w:val="-1"/>
                              <w:sz w:val="18"/>
                            </w:rPr>
                            <w:t>requirements,</w:t>
                          </w:r>
                          <w:r>
                            <w:rPr>
                              <w:rFonts w:ascii="Arial"/>
                              <w:spacing w:val="5"/>
                              <w:sz w:val="18"/>
                            </w:rPr>
                            <w:t xml:space="preserve"> </w:t>
                          </w:r>
                          <w:r>
                            <w:rPr>
                              <w:rFonts w:ascii="Arial"/>
                              <w:sz w:val="18"/>
                            </w:rPr>
                            <w:t>consider</w:t>
                          </w:r>
                          <w:r>
                            <w:rPr>
                              <w:rFonts w:ascii="Arial"/>
                              <w:spacing w:val="5"/>
                              <w:sz w:val="18"/>
                            </w:rPr>
                            <w:t xml:space="preserve"> </w:t>
                          </w:r>
                          <w:r>
                            <w:rPr>
                              <w:rFonts w:ascii="Arial"/>
                              <w:spacing w:val="-1"/>
                              <w:sz w:val="18"/>
                            </w:rPr>
                            <w:t>creating</w:t>
                          </w:r>
                          <w:r>
                            <w:rPr>
                              <w:rFonts w:ascii="Arial"/>
                              <w:spacing w:val="8"/>
                              <w:sz w:val="18"/>
                            </w:rPr>
                            <w:t xml:space="preserve"> </w:t>
                          </w:r>
                          <w:r>
                            <w:rPr>
                              <w:rFonts w:ascii="Arial"/>
                              <w:sz w:val="18"/>
                            </w:rPr>
                            <w:t>a</w:t>
                          </w:r>
                          <w:r w:rsidRPr="001C1527">
                            <w:rPr>
                              <w:rFonts w:ascii="Arial"/>
                              <w:spacing w:val="5"/>
                              <w:sz w:val="18"/>
                            </w:rPr>
                            <w:t xml:space="preserve"> </w:t>
                          </w:r>
                          <w:r w:rsidRPr="001C1527">
                            <w:rPr>
                              <w:rFonts w:ascii="Arial"/>
                              <w:spacing w:val="-1"/>
                              <w:sz w:val="18"/>
                            </w:rPr>
                            <w:t>customised</w:t>
                          </w:r>
                          <w:r>
                            <w:rPr>
                              <w:rFonts w:ascii="Arial"/>
                              <w:spacing w:val="5"/>
                              <w:sz w:val="18"/>
                            </w:rPr>
                            <w:t xml:space="preserve"> </w:t>
                          </w:r>
                          <w:r>
                            <w:rPr>
                              <w:rFonts w:ascii="Arial"/>
                              <w:sz w:val="18"/>
                            </w:rPr>
                            <w:t>set</w:t>
                          </w:r>
                          <w:r>
                            <w:rPr>
                              <w:rFonts w:ascii="Arial"/>
                              <w:spacing w:val="7"/>
                              <w:sz w:val="18"/>
                            </w:rPr>
                            <w:t xml:space="preserve"> </w:t>
                          </w:r>
                          <w:r>
                            <w:rPr>
                              <w:rFonts w:ascii="Arial"/>
                              <w:sz w:val="18"/>
                            </w:rPr>
                            <w:t>of</w:t>
                          </w:r>
                          <w:r>
                            <w:rPr>
                              <w:rFonts w:ascii="Arial"/>
                              <w:spacing w:val="5"/>
                              <w:sz w:val="18"/>
                            </w:rPr>
                            <w:t xml:space="preserve"> </w:t>
                          </w:r>
                          <w:r>
                            <w:rPr>
                              <w:rFonts w:ascii="Arial"/>
                              <w:spacing w:val="-1"/>
                              <w:sz w:val="18"/>
                            </w:rPr>
                            <w:t>amended</w:t>
                          </w:r>
                          <w:r>
                            <w:rPr>
                              <w:rFonts w:ascii="Arial"/>
                              <w:spacing w:val="8"/>
                              <w:sz w:val="18"/>
                            </w:rPr>
                            <w:t xml:space="preserve"> </w:t>
                          </w:r>
                          <w:r>
                            <w:rPr>
                              <w:rFonts w:ascii="Arial"/>
                              <w:spacing w:val="-1"/>
                              <w:sz w:val="18"/>
                            </w:rPr>
                            <w:t>and/or</w:t>
                          </w:r>
                          <w:r>
                            <w:rPr>
                              <w:rFonts w:ascii="Arial"/>
                              <w:spacing w:val="7"/>
                              <w:sz w:val="18"/>
                            </w:rPr>
                            <w:t xml:space="preserve"> </w:t>
                          </w:r>
                          <w:r>
                            <w:rPr>
                              <w:rFonts w:ascii="Arial"/>
                              <w:spacing w:val="-1"/>
                              <w:sz w:val="18"/>
                            </w:rPr>
                            <w:t>refined</w:t>
                          </w:r>
                          <w:r>
                            <w:rPr>
                              <w:rFonts w:ascii="Arial"/>
                              <w:spacing w:val="8"/>
                              <w:sz w:val="18"/>
                            </w:rPr>
                            <w:t xml:space="preserve"> </w:t>
                          </w:r>
                          <w:r>
                            <w:rPr>
                              <w:rFonts w:ascii="Arial"/>
                              <w:spacing w:val="-1"/>
                              <w:sz w:val="18"/>
                            </w:rPr>
                            <w:t>Template</w:t>
                          </w:r>
                          <w:r>
                            <w:rPr>
                              <w:rFonts w:ascii="Arial"/>
                              <w:spacing w:val="8"/>
                              <w:sz w:val="18"/>
                            </w:rPr>
                            <w:t xml:space="preserve"> </w:t>
                          </w:r>
                          <w:r>
                            <w:rPr>
                              <w:rFonts w:ascii="Arial"/>
                              <w:spacing w:val="-1"/>
                              <w:sz w:val="18"/>
                            </w:rPr>
                            <w:t>Call</w:t>
                          </w:r>
                          <w:r>
                            <w:rPr>
                              <w:rFonts w:ascii="Arial"/>
                              <w:spacing w:val="8"/>
                              <w:sz w:val="18"/>
                            </w:rPr>
                            <w:t xml:space="preserve"> </w:t>
                          </w:r>
                          <w:r>
                            <w:rPr>
                              <w:rFonts w:ascii="Arial"/>
                              <w:spacing w:val="-1"/>
                              <w:sz w:val="18"/>
                            </w:rPr>
                            <w:t>Off</w:t>
                          </w:r>
                          <w:r>
                            <w:rPr>
                              <w:rFonts w:ascii="Arial"/>
                              <w:spacing w:val="7"/>
                              <w:sz w:val="18"/>
                            </w:rPr>
                            <w:t xml:space="preserve"> </w:t>
                          </w:r>
                          <w:r>
                            <w:rPr>
                              <w:rFonts w:ascii="Arial"/>
                              <w:spacing w:val="-1"/>
                              <w:sz w:val="18"/>
                            </w:rPr>
                            <w:t>Terms</w:t>
                          </w:r>
                          <w:r>
                            <w:rPr>
                              <w:rFonts w:ascii="Arial"/>
                              <w:spacing w:val="8"/>
                              <w:sz w:val="18"/>
                            </w:rPr>
                            <w:t xml:space="preserve"> </w:t>
                          </w:r>
                          <w:r>
                            <w:rPr>
                              <w:rFonts w:ascii="Arial"/>
                              <w:sz w:val="18"/>
                            </w:rPr>
                            <w:t>or</w:t>
                          </w:r>
                          <w:r>
                            <w:rPr>
                              <w:rFonts w:ascii="Arial"/>
                              <w:spacing w:val="97"/>
                              <w:sz w:val="18"/>
                            </w:rPr>
                            <w:t xml:space="preserve"> </w:t>
                          </w:r>
                          <w:r>
                            <w:rPr>
                              <w:rFonts w:ascii="Arial"/>
                              <w:sz w:val="18"/>
                            </w:rPr>
                            <w:t>a</w:t>
                          </w:r>
                          <w:r>
                            <w:rPr>
                              <w:rFonts w:ascii="Arial"/>
                              <w:spacing w:val="37"/>
                              <w:sz w:val="18"/>
                            </w:rPr>
                            <w:t xml:space="preserve"> </w:t>
                          </w:r>
                          <w:r>
                            <w:rPr>
                              <w:rFonts w:ascii="Arial"/>
                              <w:spacing w:val="-1"/>
                              <w:sz w:val="18"/>
                            </w:rPr>
                            <w:t>Call</w:t>
                          </w:r>
                          <w:r>
                            <w:rPr>
                              <w:rFonts w:ascii="Arial"/>
                              <w:spacing w:val="34"/>
                              <w:sz w:val="18"/>
                            </w:rPr>
                            <w:t xml:space="preserve"> </w:t>
                          </w:r>
                          <w:r>
                            <w:rPr>
                              <w:rFonts w:ascii="Arial"/>
                              <w:spacing w:val="-1"/>
                              <w:sz w:val="18"/>
                            </w:rPr>
                            <w:t>Off</w:t>
                          </w:r>
                          <w:r>
                            <w:rPr>
                              <w:rFonts w:ascii="Arial"/>
                              <w:spacing w:val="36"/>
                              <w:sz w:val="18"/>
                            </w:rPr>
                            <w:t xml:space="preserve"> </w:t>
                          </w:r>
                          <w:r>
                            <w:rPr>
                              <w:rFonts w:ascii="Arial"/>
                              <w:spacing w:val="-1"/>
                              <w:sz w:val="18"/>
                            </w:rPr>
                            <w:t>Schedule</w:t>
                          </w:r>
                          <w:r>
                            <w:rPr>
                              <w:rFonts w:ascii="Arial"/>
                              <w:spacing w:val="34"/>
                              <w:sz w:val="18"/>
                            </w:rPr>
                            <w:t xml:space="preserve"> </w:t>
                          </w:r>
                          <w:r>
                            <w:rPr>
                              <w:rFonts w:ascii="Arial"/>
                              <w:spacing w:val="-1"/>
                              <w:sz w:val="18"/>
                            </w:rPr>
                            <w:t>containing</w:t>
                          </w:r>
                          <w:r>
                            <w:rPr>
                              <w:rFonts w:ascii="Arial"/>
                              <w:spacing w:val="37"/>
                              <w:sz w:val="18"/>
                            </w:rPr>
                            <w:t xml:space="preserve"> </w:t>
                          </w:r>
                          <w:r>
                            <w:rPr>
                              <w:rFonts w:ascii="Arial"/>
                              <w:spacing w:val="-1"/>
                              <w:sz w:val="18"/>
                            </w:rPr>
                            <w:t>those</w:t>
                          </w:r>
                          <w:r>
                            <w:rPr>
                              <w:rFonts w:ascii="Arial"/>
                              <w:spacing w:val="34"/>
                              <w:sz w:val="18"/>
                            </w:rPr>
                            <w:t xml:space="preserve"> </w:t>
                          </w:r>
                          <w:r>
                            <w:rPr>
                              <w:rFonts w:ascii="Arial"/>
                              <w:spacing w:val="-1"/>
                              <w:sz w:val="18"/>
                            </w:rPr>
                            <w:t>amendments</w:t>
                          </w:r>
                          <w:r>
                            <w:rPr>
                              <w:rFonts w:ascii="Arial"/>
                              <w:spacing w:val="35"/>
                              <w:sz w:val="18"/>
                            </w:rPr>
                            <w:t xml:space="preserve"> </w:t>
                          </w:r>
                          <w:r>
                            <w:rPr>
                              <w:rFonts w:ascii="Arial"/>
                              <w:sz w:val="18"/>
                            </w:rPr>
                            <w:t>or</w:t>
                          </w:r>
                          <w:r>
                            <w:rPr>
                              <w:rFonts w:ascii="Arial"/>
                              <w:spacing w:val="36"/>
                              <w:sz w:val="18"/>
                            </w:rPr>
                            <w:t xml:space="preserve"> </w:t>
                          </w:r>
                          <w:r>
                            <w:rPr>
                              <w:rFonts w:ascii="Arial"/>
                              <w:spacing w:val="-1"/>
                              <w:sz w:val="18"/>
                            </w:rPr>
                            <w:t>refinements</w:t>
                          </w:r>
                          <w:r>
                            <w:rPr>
                              <w:rFonts w:ascii="Arial"/>
                              <w:spacing w:val="35"/>
                              <w:sz w:val="18"/>
                            </w:rPr>
                            <w:t xml:space="preserve"> </w:t>
                          </w:r>
                          <w:r>
                            <w:rPr>
                              <w:rFonts w:ascii="Arial"/>
                              <w:sz w:val="18"/>
                            </w:rPr>
                            <w:t>to</w:t>
                          </w:r>
                          <w:r>
                            <w:rPr>
                              <w:rFonts w:ascii="Arial"/>
                              <w:spacing w:val="34"/>
                              <w:sz w:val="18"/>
                            </w:rPr>
                            <w:t xml:space="preserve"> </w:t>
                          </w:r>
                          <w:r>
                            <w:rPr>
                              <w:rFonts w:ascii="Arial"/>
                              <w:sz w:val="18"/>
                            </w:rPr>
                            <w:t>the</w:t>
                          </w:r>
                          <w:r>
                            <w:rPr>
                              <w:rFonts w:ascii="Arial"/>
                              <w:spacing w:val="34"/>
                              <w:sz w:val="18"/>
                            </w:rPr>
                            <w:t xml:space="preserve"> </w:t>
                          </w:r>
                          <w:r>
                            <w:rPr>
                              <w:rFonts w:ascii="Arial"/>
                              <w:spacing w:val="-1"/>
                              <w:sz w:val="18"/>
                            </w:rPr>
                            <w:t>existing</w:t>
                          </w:r>
                          <w:r>
                            <w:rPr>
                              <w:rFonts w:ascii="Arial"/>
                              <w:spacing w:val="37"/>
                              <w:sz w:val="18"/>
                            </w:rPr>
                            <w:t xml:space="preserve"> </w:t>
                          </w:r>
                          <w:r>
                            <w:rPr>
                              <w:rFonts w:ascii="Arial"/>
                              <w:spacing w:val="-1"/>
                              <w:sz w:val="18"/>
                            </w:rPr>
                            <w:t>Template</w:t>
                          </w:r>
                          <w:r>
                            <w:rPr>
                              <w:rFonts w:ascii="Arial"/>
                              <w:spacing w:val="34"/>
                              <w:sz w:val="18"/>
                            </w:rPr>
                            <w:t xml:space="preserve"> </w:t>
                          </w:r>
                          <w:r>
                            <w:rPr>
                              <w:rFonts w:ascii="Arial"/>
                              <w:spacing w:val="-1"/>
                              <w:sz w:val="18"/>
                            </w:rPr>
                            <w:t>Call</w:t>
                          </w:r>
                          <w:r>
                            <w:rPr>
                              <w:rFonts w:ascii="Arial"/>
                              <w:spacing w:val="34"/>
                              <w:sz w:val="18"/>
                            </w:rPr>
                            <w:t xml:space="preserve"> </w:t>
                          </w:r>
                          <w:r>
                            <w:rPr>
                              <w:rFonts w:ascii="Arial"/>
                              <w:spacing w:val="-1"/>
                              <w:sz w:val="18"/>
                            </w:rPr>
                            <w:t>Off</w:t>
                          </w:r>
                          <w:r>
                            <w:rPr>
                              <w:rFonts w:ascii="Arial"/>
                              <w:spacing w:val="36"/>
                              <w:sz w:val="18"/>
                            </w:rPr>
                            <w:t xml:space="preserve"> </w:t>
                          </w:r>
                          <w:r>
                            <w:rPr>
                              <w:rFonts w:ascii="Arial"/>
                              <w:spacing w:val="-1"/>
                              <w:sz w:val="18"/>
                            </w:rPr>
                            <w:t>Terms</w:t>
                          </w:r>
                          <w:r>
                            <w:rPr>
                              <w:rFonts w:ascii="Arial"/>
                              <w:spacing w:val="91"/>
                              <w:sz w:val="18"/>
                            </w:rPr>
                            <w:t xml:space="preserve"> </w:t>
                          </w:r>
                          <w:r>
                            <w:rPr>
                              <w:rFonts w:ascii="Arial"/>
                              <w:spacing w:val="-1"/>
                              <w:sz w:val="18"/>
                            </w:rPr>
                            <w:t>(including</w:t>
                          </w:r>
                          <w:r>
                            <w:rPr>
                              <w:rFonts w:ascii="Arial"/>
                              <w:spacing w:val="32"/>
                              <w:sz w:val="18"/>
                            </w:rPr>
                            <w:t xml:space="preserve"> </w:t>
                          </w:r>
                          <w:r>
                            <w:rPr>
                              <w:rFonts w:ascii="Arial"/>
                              <w:spacing w:val="-1"/>
                              <w:sz w:val="18"/>
                            </w:rPr>
                            <w:t>incorporating</w:t>
                          </w:r>
                          <w:r>
                            <w:rPr>
                              <w:rFonts w:ascii="Arial"/>
                              <w:spacing w:val="32"/>
                              <w:sz w:val="18"/>
                            </w:rPr>
                            <w:t xml:space="preserve"> </w:t>
                          </w:r>
                          <w:r>
                            <w:rPr>
                              <w:rFonts w:ascii="Arial"/>
                              <w:sz w:val="18"/>
                            </w:rPr>
                            <w:t>any</w:t>
                          </w:r>
                          <w:r>
                            <w:rPr>
                              <w:rFonts w:ascii="Arial"/>
                              <w:spacing w:val="30"/>
                              <w:sz w:val="18"/>
                            </w:rPr>
                            <w:t xml:space="preserve"> </w:t>
                          </w:r>
                          <w:r>
                            <w:rPr>
                              <w:rFonts w:ascii="Arial"/>
                              <w:spacing w:val="-1"/>
                              <w:sz w:val="18"/>
                            </w:rPr>
                            <w:t>Alternative</w:t>
                          </w:r>
                          <w:r>
                            <w:rPr>
                              <w:rFonts w:ascii="Arial"/>
                              <w:spacing w:val="32"/>
                              <w:sz w:val="18"/>
                            </w:rPr>
                            <w:t xml:space="preserve"> </w:t>
                          </w:r>
                          <w:r>
                            <w:rPr>
                              <w:rFonts w:ascii="Arial"/>
                              <w:sz w:val="18"/>
                            </w:rPr>
                            <w:t>or</w:t>
                          </w:r>
                          <w:r>
                            <w:rPr>
                              <w:rFonts w:ascii="Arial"/>
                              <w:spacing w:val="31"/>
                              <w:sz w:val="18"/>
                            </w:rPr>
                            <w:t xml:space="preserve"> </w:t>
                          </w:r>
                          <w:r>
                            <w:rPr>
                              <w:rFonts w:ascii="Arial"/>
                              <w:spacing w:val="-1"/>
                              <w:sz w:val="18"/>
                            </w:rPr>
                            <w:t>Additional</w:t>
                          </w:r>
                          <w:r>
                            <w:rPr>
                              <w:rFonts w:ascii="Arial"/>
                              <w:spacing w:val="32"/>
                              <w:sz w:val="18"/>
                            </w:rPr>
                            <w:t xml:space="preserve"> </w:t>
                          </w:r>
                          <w:r>
                            <w:rPr>
                              <w:rFonts w:ascii="Arial"/>
                              <w:spacing w:val="-1"/>
                              <w:sz w:val="18"/>
                            </w:rPr>
                            <w:t>Clauses</w:t>
                          </w:r>
                          <w:r>
                            <w:rPr>
                              <w:rFonts w:ascii="Arial"/>
                              <w:spacing w:val="32"/>
                              <w:sz w:val="18"/>
                            </w:rPr>
                            <w:t xml:space="preserve"> </w:t>
                          </w:r>
                          <w:r>
                            <w:rPr>
                              <w:rFonts w:ascii="Arial"/>
                              <w:spacing w:val="-1"/>
                              <w:sz w:val="18"/>
                            </w:rPr>
                            <w:t>from</w:t>
                          </w:r>
                          <w:r>
                            <w:rPr>
                              <w:rFonts w:ascii="Arial"/>
                              <w:spacing w:val="32"/>
                              <w:sz w:val="18"/>
                            </w:rPr>
                            <w:t xml:space="preserve"> </w:t>
                          </w:r>
                          <w:r>
                            <w:rPr>
                              <w:rFonts w:ascii="Arial"/>
                              <w:spacing w:val="-1"/>
                              <w:sz w:val="18"/>
                            </w:rPr>
                            <w:t>Call</w:t>
                          </w:r>
                          <w:r>
                            <w:rPr>
                              <w:rFonts w:ascii="Arial"/>
                              <w:spacing w:val="32"/>
                              <w:sz w:val="18"/>
                            </w:rPr>
                            <w:t xml:space="preserve"> </w:t>
                          </w:r>
                          <w:r>
                            <w:rPr>
                              <w:rFonts w:ascii="Arial"/>
                              <w:spacing w:val="-1"/>
                              <w:sz w:val="18"/>
                            </w:rPr>
                            <w:t>Off</w:t>
                          </w:r>
                          <w:r>
                            <w:rPr>
                              <w:rFonts w:ascii="Arial"/>
                              <w:spacing w:val="31"/>
                              <w:sz w:val="18"/>
                            </w:rPr>
                            <w:t xml:space="preserve"> </w:t>
                          </w:r>
                          <w:r>
                            <w:rPr>
                              <w:rFonts w:ascii="Arial"/>
                              <w:spacing w:val="-1"/>
                              <w:sz w:val="18"/>
                            </w:rPr>
                            <w:t>Schedule</w:t>
                          </w:r>
                          <w:r>
                            <w:rPr>
                              <w:rFonts w:ascii="Arial"/>
                              <w:spacing w:val="32"/>
                              <w:sz w:val="18"/>
                            </w:rPr>
                            <w:t xml:space="preserve"> </w:t>
                          </w:r>
                          <w:r>
                            <w:rPr>
                              <w:rFonts w:ascii="Arial"/>
                              <w:sz w:val="18"/>
                            </w:rPr>
                            <w:t>14</w:t>
                          </w:r>
                          <w:r>
                            <w:rPr>
                              <w:rFonts w:ascii="Arial"/>
                              <w:spacing w:val="32"/>
                              <w:sz w:val="18"/>
                            </w:rPr>
                            <w:t xml:space="preserve"> </w:t>
                          </w:r>
                          <w:r>
                            <w:rPr>
                              <w:rFonts w:ascii="Arial"/>
                              <w:spacing w:val="-1"/>
                              <w:sz w:val="18"/>
                            </w:rPr>
                            <w:t>(Alternative</w:t>
                          </w:r>
                          <w:r>
                            <w:rPr>
                              <w:rFonts w:ascii="Arial"/>
                              <w:spacing w:val="32"/>
                              <w:sz w:val="18"/>
                            </w:rPr>
                            <w:t xml:space="preserve"> </w:t>
                          </w:r>
                          <w:r>
                            <w:rPr>
                              <w:rFonts w:ascii="Arial"/>
                              <w:spacing w:val="-1"/>
                              <w:sz w:val="18"/>
                            </w:rPr>
                            <w:t>and/or</w:t>
                          </w:r>
                          <w:r>
                            <w:rPr>
                              <w:rFonts w:ascii="Arial"/>
                              <w:spacing w:val="115"/>
                              <w:sz w:val="18"/>
                            </w:rPr>
                            <w:t xml:space="preserve"> </w:t>
                          </w:r>
                          <w:r>
                            <w:rPr>
                              <w:rFonts w:ascii="Arial"/>
                              <w:spacing w:val="-1"/>
                              <w:sz w:val="18"/>
                            </w:rPr>
                            <w:t>Additional</w:t>
                          </w:r>
                          <w:r>
                            <w:rPr>
                              <w:rFonts w:ascii="Arial"/>
                              <w:spacing w:val="1"/>
                              <w:sz w:val="18"/>
                            </w:rPr>
                            <w:t xml:space="preserve"> </w:t>
                          </w:r>
                          <w:r>
                            <w:rPr>
                              <w:rFonts w:ascii="Arial"/>
                              <w:spacing w:val="-1"/>
                              <w:sz w:val="18"/>
                            </w:rPr>
                            <w:t>Clauses))</w:t>
                          </w:r>
                          <w:r>
                            <w:rPr>
                              <w:rFonts w:ascii="Arial"/>
                              <w:sz w:val="18"/>
                            </w:rPr>
                            <w:t xml:space="preserve"> </w:t>
                          </w:r>
                          <w:r>
                            <w:rPr>
                              <w:rFonts w:ascii="Arial"/>
                              <w:spacing w:val="-1"/>
                              <w:sz w:val="18"/>
                            </w:rPr>
                            <w:t>which</w:t>
                          </w:r>
                          <w:r>
                            <w:rPr>
                              <w:rFonts w:ascii="Arial"/>
                              <w:spacing w:val="1"/>
                              <w:sz w:val="18"/>
                            </w:rPr>
                            <w:t xml:space="preserve"> </w:t>
                          </w:r>
                          <w:r>
                            <w:rPr>
                              <w:rFonts w:ascii="Arial"/>
                              <w:spacing w:val="-2"/>
                              <w:sz w:val="18"/>
                            </w:rPr>
                            <w:t>you</w:t>
                          </w:r>
                          <w:r>
                            <w:rPr>
                              <w:rFonts w:ascii="Arial"/>
                              <w:spacing w:val="1"/>
                              <w:sz w:val="18"/>
                            </w:rPr>
                            <w:t xml:space="preserve"> </w:t>
                          </w:r>
                          <w:r>
                            <w:rPr>
                              <w:rFonts w:ascii="Arial"/>
                              <w:spacing w:val="-1"/>
                              <w:sz w:val="18"/>
                            </w:rPr>
                            <w:t>can</w:t>
                          </w:r>
                          <w:r>
                            <w:rPr>
                              <w:rFonts w:ascii="Arial"/>
                              <w:spacing w:val="1"/>
                              <w:sz w:val="18"/>
                            </w:rPr>
                            <w:t xml:space="preserve"> </w:t>
                          </w:r>
                          <w:r>
                            <w:rPr>
                              <w:rFonts w:ascii="Arial"/>
                              <w:spacing w:val="-1"/>
                              <w:sz w:val="18"/>
                            </w:rPr>
                            <w:t>use</w:t>
                          </w:r>
                          <w:r>
                            <w:rPr>
                              <w:rFonts w:ascii="Arial"/>
                              <w:spacing w:val="1"/>
                              <w:sz w:val="18"/>
                            </w:rPr>
                            <w:t xml:space="preserve"> </w:t>
                          </w:r>
                          <w:r>
                            <w:rPr>
                              <w:rFonts w:ascii="Arial"/>
                              <w:spacing w:val="-1"/>
                              <w:sz w:val="18"/>
                            </w:rPr>
                            <w:t>with</w:t>
                          </w:r>
                          <w:r>
                            <w:rPr>
                              <w:rFonts w:ascii="Arial"/>
                              <w:spacing w:val="1"/>
                              <w:sz w:val="18"/>
                            </w:rPr>
                            <w:t xml:space="preserve"> </w:t>
                          </w:r>
                          <w:r>
                            <w:rPr>
                              <w:rFonts w:ascii="Arial"/>
                              <w:spacing w:val="-1"/>
                              <w:sz w:val="18"/>
                            </w:rPr>
                            <w:t>every Or</w:t>
                          </w:r>
                          <w:r w:rsidRPr="001C1527">
                            <w:rPr>
                              <w:rFonts w:ascii="Arial"/>
                              <w:spacing w:val="-1"/>
                              <w:sz w:val="18"/>
                              <w:highlight w:val="green"/>
                            </w:rPr>
                            <w:t>der]</w:t>
                          </w:r>
                        </w:p>
                      </w:txbxContent>
                    </v:textbox>
                  </v:shape>
                </v:group>
                <w10:anchorlock/>
              </v:group>
            </w:pict>
          </mc:Fallback>
        </mc:AlternateContent>
      </w:r>
    </w:p>
    <w:p w:rsidR="008918FA" w:rsidRDefault="008918FA" w:rsidP="008918FA">
      <w:pPr>
        <w:spacing w:line="200" w:lineRule="atLeast"/>
        <w:rPr>
          <w:rFonts w:ascii="Arial" w:eastAsia="Arial" w:hAnsi="Arial" w:cs="Arial"/>
          <w:sz w:val="20"/>
          <w:szCs w:val="20"/>
        </w:rPr>
        <w:sectPr w:rsidR="008918FA">
          <w:pgSz w:w="11910" w:h="16840"/>
          <w:pgMar w:top="1480" w:right="1300" w:bottom="1180" w:left="1480" w:header="0" w:footer="987" w:gutter="0"/>
          <w:cols w:space="720"/>
        </w:sectPr>
      </w:pPr>
    </w:p>
    <w:p w:rsidR="008918FA" w:rsidRDefault="008918FA" w:rsidP="008918FA">
      <w:pPr>
        <w:pStyle w:val="Heading1"/>
        <w:numPr>
          <w:ilvl w:val="0"/>
          <w:numId w:val="74"/>
        </w:numPr>
        <w:tabs>
          <w:tab w:val="left" w:pos="648"/>
        </w:tabs>
        <w:spacing w:before="77"/>
        <w:ind w:left="647" w:hanging="427"/>
        <w:jc w:val="left"/>
        <w:rPr>
          <w:b w:val="0"/>
          <w:bCs w:val="0"/>
        </w:rPr>
      </w:pPr>
      <w:r>
        <w:rPr>
          <w:spacing w:val="-1"/>
        </w:rPr>
        <w:lastRenderedPageBreak/>
        <w:t>FORMATION</w:t>
      </w:r>
      <w:r>
        <w:t xml:space="preserve"> OF</w:t>
      </w:r>
      <w:r>
        <w:rPr>
          <w:spacing w:val="-2"/>
        </w:rPr>
        <w:t xml:space="preserve"> CALL</w:t>
      </w:r>
      <w:r>
        <w:t xml:space="preserve"> </w:t>
      </w:r>
      <w:r>
        <w:rPr>
          <w:spacing w:val="-1"/>
        </w:rPr>
        <w:t>OFF</w:t>
      </w:r>
      <w:r>
        <w:t xml:space="preserve"> </w:t>
      </w:r>
      <w:r>
        <w:rPr>
          <w:spacing w:val="-2"/>
        </w:rPr>
        <w:t>CONTRACT</w:t>
      </w:r>
    </w:p>
    <w:p w:rsidR="008918FA" w:rsidRDefault="008918FA" w:rsidP="008918FA">
      <w:pPr>
        <w:spacing w:before="9"/>
        <w:rPr>
          <w:rFonts w:ascii="Arial" w:eastAsia="Arial" w:hAnsi="Arial" w:cs="Arial"/>
          <w:b/>
          <w:bCs/>
          <w:sz w:val="20"/>
          <w:szCs w:val="20"/>
        </w:rPr>
      </w:pPr>
    </w:p>
    <w:p w:rsidR="008918FA" w:rsidRDefault="008918FA" w:rsidP="008918FA">
      <w:pPr>
        <w:numPr>
          <w:ilvl w:val="1"/>
          <w:numId w:val="74"/>
        </w:numPr>
        <w:tabs>
          <w:tab w:val="left" w:pos="1214"/>
        </w:tabs>
        <w:ind w:left="1213" w:right="148" w:hanging="566"/>
        <w:jc w:val="both"/>
        <w:rPr>
          <w:rFonts w:ascii="Arial" w:eastAsia="Arial" w:hAnsi="Arial" w:cs="Arial"/>
        </w:rPr>
      </w:pPr>
      <w:r>
        <w:rPr>
          <w:rFonts w:ascii="Arial"/>
          <w:b/>
          <w:spacing w:val="-1"/>
        </w:rPr>
        <w:t>BY</w:t>
      </w:r>
      <w:r>
        <w:rPr>
          <w:rFonts w:ascii="Arial"/>
          <w:b/>
          <w:spacing w:val="21"/>
        </w:rPr>
        <w:t xml:space="preserve"> </w:t>
      </w:r>
      <w:r>
        <w:rPr>
          <w:rFonts w:ascii="Arial"/>
          <w:b/>
          <w:spacing w:val="-1"/>
        </w:rPr>
        <w:t>SIGNING</w:t>
      </w:r>
      <w:r>
        <w:rPr>
          <w:rFonts w:ascii="Arial"/>
          <w:b/>
          <w:spacing w:val="26"/>
        </w:rPr>
        <w:t xml:space="preserve"> </w:t>
      </w:r>
      <w:r>
        <w:rPr>
          <w:rFonts w:ascii="Arial"/>
          <w:b/>
          <w:spacing w:val="-3"/>
        </w:rPr>
        <w:t>AND</w:t>
      </w:r>
      <w:r>
        <w:rPr>
          <w:rFonts w:ascii="Arial"/>
          <w:b/>
          <w:spacing w:val="21"/>
        </w:rPr>
        <w:t xml:space="preserve"> </w:t>
      </w:r>
      <w:r>
        <w:rPr>
          <w:rFonts w:ascii="Arial"/>
          <w:b/>
          <w:spacing w:val="-1"/>
        </w:rPr>
        <w:t>RETURNING</w:t>
      </w:r>
      <w:r>
        <w:rPr>
          <w:rFonts w:ascii="Arial"/>
          <w:b/>
          <w:spacing w:val="23"/>
        </w:rPr>
        <w:t xml:space="preserve"> </w:t>
      </w:r>
      <w:r>
        <w:rPr>
          <w:rFonts w:ascii="Arial"/>
          <w:b/>
          <w:spacing w:val="-1"/>
        </w:rPr>
        <w:t>THIS</w:t>
      </w:r>
      <w:r>
        <w:rPr>
          <w:rFonts w:ascii="Arial"/>
          <w:b/>
          <w:spacing w:val="21"/>
        </w:rPr>
        <w:t xml:space="preserve"> </w:t>
      </w:r>
      <w:r>
        <w:rPr>
          <w:rFonts w:ascii="Arial"/>
          <w:b/>
          <w:spacing w:val="-1"/>
        </w:rPr>
        <w:t>ORDER</w:t>
      </w:r>
      <w:r>
        <w:rPr>
          <w:rFonts w:ascii="Arial"/>
          <w:b/>
          <w:spacing w:val="21"/>
        </w:rPr>
        <w:t xml:space="preserve"> </w:t>
      </w:r>
      <w:r>
        <w:rPr>
          <w:rFonts w:ascii="Arial"/>
          <w:b/>
          <w:spacing w:val="-1"/>
        </w:rPr>
        <w:t>FORM</w:t>
      </w:r>
      <w:r>
        <w:rPr>
          <w:rFonts w:ascii="Arial"/>
          <w:b/>
          <w:spacing w:val="21"/>
        </w:rPr>
        <w:t xml:space="preserve"> </w:t>
      </w:r>
      <w:r>
        <w:rPr>
          <w:rFonts w:ascii="Arial"/>
          <w:b/>
          <w:spacing w:val="-1"/>
        </w:rPr>
        <w:t>(which</w:t>
      </w:r>
      <w:r>
        <w:rPr>
          <w:rFonts w:ascii="Arial"/>
          <w:b/>
          <w:spacing w:val="20"/>
        </w:rPr>
        <w:t xml:space="preserve"> </w:t>
      </w:r>
      <w:r>
        <w:rPr>
          <w:rFonts w:ascii="Arial"/>
          <w:b/>
          <w:spacing w:val="-1"/>
        </w:rPr>
        <w:t>may</w:t>
      </w:r>
      <w:r>
        <w:rPr>
          <w:rFonts w:ascii="Arial"/>
          <w:b/>
          <w:spacing w:val="17"/>
        </w:rPr>
        <w:t xml:space="preserve"> </w:t>
      </w:r>
      <w:r>
        <w:rPr>
          <w:rFonts w:ascii="Arial"/>
          <w:b/>
          <w:spacing w:val="-1"/>
        </w:rPr>
        <w:t>be</w:t>
      </w:r>
      <w:r>
        <w:rPr>
          <w:rFonts w:ascii="Arial"/>
          <w:b/>
          <w:spacing w:val="24"/>
        </w:rPr>
        <w:t xml:space="preserve"> </w:t>
      </w:r>
      <w:r>
        <w:rPr>
          <w:rFonts w:ascii="Arial"/>
          <w:b/>
          <w:spacing w:val="-1"/>
        </w:rPr>
        <w:t>done</w:t>
      </w:r>
      <w:r>
        <w:rPr>
          <w:rFonts w:ascii="Arial"/>
          <w:b/>
          <w:spacing w:val="23"/>
        </w:rPr>
        <w:t xml:space="preserve"> </w:t>
      </w:r>
      <w:r>
        <w:rPr>
          <w:rFonts w:ascii="Arial"/>
          <w:b/>
          <w:spacing w:val="1"/>
        </w:rPr>
        <w:t>by</w:t>
      </w:r>
      <w:r>
        <w:rPr>
          <w:rFonts w:ascii="Arial"/>
          <w:b/>
          <w:spacing w:val="31"/>
        </w:rPr>
        <w:t xml:space="preserve"> </w:t>
      </w:r>
      <w:r>
        <w:rPr>
          <w:rFonts w:ascii="Arial"/>
          <w:b/>
          <w:spacing w:val="-1"/>
        </w:rPr>
        <w:t>electronic</w:t>
      </w:r>
      <w:r>
        <w:rPr>
          <w:rFonts w:ascii="Arial"/>
          <w:b/>
          <w:spacing w:val="27"/>
        </w:rPr>
        <w:t xml:space="preserve"> </w:t>
      </w:r>
      <w:r>
        <w:rPr>
          <w:rFonts w:ascii="Arial"/>
          <w:b/>
          <w:spacing w:val="-1"/>
        </w:rPr>
        <w:t>means)</w:t>
      </w:r>
      <w:r>
        <w:rPr>
          <w:rFonts w:ascii="Arial"/>
          <w:b/>
          <w:spacing w:val="28"/>
        </w:rPr>
        <w:t xml:space="preserve"> </w:t>
      </w:r>
      <w:r>
        <w:rPr>
          <w:rFonts w:ascii="Arial"/>
          <w:b/>
          <w:spacing w:val="-1"/>
        </w:rPr>
        <w:t>the</w:t>
      </w:r>
      <w:r>
        <w:rPr>
          <w:rFonts w:ascii="Arial"/>
          <w:b/>
          <w:spacing w:val="22"/>
        </w:rPr>
        <w:t xml:space="preserve"> </w:t>
      </w:r>
      <w:r>
        <w:rPr>
          <w:rFonts w:ascii="Arial"/>
          <w:b/>
          <w:spacing w:val="-1"/>
        </w:rPr>
        <w:t>Supplier</w:t>
      </w:r>
      <w:r>
        <w:rPr>
          <w:rFonts w:ascii="Arial"/>
          <w:b/>
          <w:spacing w:val="28"/>
        </w:rPr>
        <w:t xml:space="preserve"> </w:t>
      </w:r>
      <w:r>
        <w:rPr>
          <w:rFonts w:ascii="Arial"/>
          <w:b/>
          <w:spacing w:val="-1"/>
        </w:rPr>
        <w:t>agrees</w:t>
      </w:r>
      <w:r>
        <w:rPr>
          <w:rFonts w:ascii="Arial"/>
          <w:b/>
          <w:spacing w:val="27"/>
        </w:rPr>
        <w:t xml:space="preserve"> </w:t>
      </w:r>
      <w:r>
        <w:rPr>
          <w:rFonts w:ascii="Arial"/>
          <w:b/>
        </w:rPr>
        <w:t>to</w:t>
      </w:r>
      <w:r>
        <w:rPr>
          <w:rFonts w:ascii="Arial"/>
          <w:b/>
          <w:spacing w:val="27"/>
        </w:rPr>
        <w:t xml:space="preserve"> </w:t>
      </w:r>
      <w:r>
        <w:rPr>
          <w:rFonts w:ascii="Arial"/>
          <w:b/>
          <w:spacing w:val="-2"/>
        </w:rPr>
        <w:t>enter</w:t>
      </w:r>
      <w:r>
        <w:rPr>
          <w:rFonts w:ascii="Arial"/>
          <w:b/>
          <w:spacing w:val="28"/>
        </w:rPr>
        <w:t xml:space="preserve"> </w:t>
      </w:r>
      <w:r>
        <w:rPr>
          <w:rFonts w:ascii="Arial"/>
          <w:b/>
        </w:rPr>
        <w:t>a</w:t>
      </w:r>
      <w:r>
        <w:rPr>
          <w:rFonts w:ascii="Arial"/>
          <w:b/>
          <w:spacing w:val="27"/>
        </w:rPr>
        <w:t xml:space="preserve"> </w:t>
      </w:r>
      <w:r>
        <w:rPr>
          <w:rFonts w:ascii="Arial"/>
          <w:b/>
          <w:spacing w:val="-1"/>
        </w:rPr>
        <w:t>Call</w:t>
      </w:r>
      <w:r>
        <w:rPr>
          <w:rFonts w:ascii="Arial"/>
          <w:b/>
          <w:spacing w:val="26"/>
        </w:rPr>
        <w:t xml:space="preserve"> </w:t>
      </w:r>
      <w:r>
        <w:rPr>
          <w:rFonts w:ascii="Arial"/>
          <w:b/>
          <w:spacing w:val="-1"/>
        </w:rPr>
        <w:t>Off</w:t>
      </w:r>
      <w:r>
        <w:rPr>
          <w:rFonts w:ascii="Arial"/>
          <w:b/>
          <w:spacing w:val="28"/>
        </w:rPr>
        <w:t xml:space="preserve"> </w:t>
      </w:r>
      <w:r>
        <w:rPr>
          <w:rFonts w:ascii="Arial"/>
          <w:b/>
          <w:spacing w:val="-1"/>
        </w:rPr>
        <w:t>Contract</w:t>
      </w:r>
      <w:r>
        <w:rPr>
          <w:rFonts w:ascii="Arial"/>
          <w:b/>
          <w:spacing w:val="26"/>
        </w:rPr>
        <w:t xml:space="preserve"> </w:t>
      </w:r>
      <w:r>
        <w:rPr>
          <w:rFonts w:ascii="Arial"/>
          <w:b/>
          <w:spacing w:val="-1"/>
        </w:rPr>
        <w:t>with</w:t>
      </w:r>
      <w:r>
        <w:rPr>
          <w:rFonts w:ascii="Arial"/>
          <w:b/>
          <w:spacing w:val="27"/>
        </w:rPr>
        <w:t xml:space="preserve"> </w:t>
      </w:r>
      <w:r>
        <w:rPr>
          <w:rFonts w:ascii="Arial"/>
          <w:b/>
          <w:spacing w:val="-1"/>
        </w:rPr>
        <w:t>the</w:t>
      </w:r>
      <w:r>
        <w:rPr>
          <w:rFonts w:ascii="Arial"/>
          <w:b/>
          <w:spacing w:val="42"/>
        </w:rPr>
        <w:t xml:space="preserve"> </w:t>
      </w:r>
      <w:r>
        <w:rPr>
          <w:rFonts w:ascii="Arial"/>
          <w:b/>
          <w:spacing w:val="-1"/>
        </w:rPr>
        <w:t xml:space="preserve">Customer </w:t>
      </w:r>
      <w:r>
        <w:rPr>
          <w:rFonts w:ascii="Arial"/>
          <w:b/>
        </w:rPr>
        <w:t>to</w:t>
      </w:r>
      <w:r>
        <w:rPr>
          <w:rFonts w:ascii="Arial"/>
          <w:b/>
          <w:spacing w:val="-2"/>
        </w:rPr>
        <w:t xml:space="preserve"> </w:t>
      </w:r>
      <w:r>
        <w:rPr>
          <w:rFonts w:ascii="Arial"/>
          <w:b/>
          <w:spacing w:val="-1"/>
        </w:rPr>
        <w:t>provide</w:t>
      </w:r>
      <w:r>
        <w:rPr>
          <w:rFonts w:ascii="Arial"/>
          <w:b/>
          <w:spacing w:val="-2"/>
        </w:rPr>
        <w:t xml:space="preserve"> </w:t>
      </w:r>
      <w:r>
        <w:rPr>
          <w:rFonts w:ascii="Arial"/>
          <w:b/>
          <w:spacing w:val="-1"/>
        </w:rPr>
        <w:t>the</w:t>
      </w:r>
      <w:r>
        <w:rPr>
          <w:rFonts w:ascii="Arial"/>
          <w:b/>
        </w:rPr>
        <w:t xml:space="preserve"> </w:t>
      </w:r>
      <w:r>
        <w:rPr>
          <w:rFonts w:ascii="Arial"/>
          <w:b/>
          <w:spacing w:val="-1"/>
        </w:rPr>
        <w:t>Goods</w:t>
      </w:r>
      <w:r>
        <w:rPr>
          <w:rFonts w:ascii="Arial"/>
          <w:b/>
          <w:spacing w:val="-2"/>
        </w:rPr>
        <w:t xml:space="preserve"> </w:t>
      </w:r>
      <w:r>
        <w:rPr>
          <w:rFonts w:ascii="Arial"/>
          <w:b/>
          <w:spacing w:val="-1"/>
        </w:rPr>
        <w:t>and/or</w:t>
      </w:r>
      <w:r>
        <w:rPr>
          <w:rFonts w:ascii="Arial"/>
          <w:b/>
          <w:spacing w:val="1"/>
        </w:rPr>
        <w:t xml:space="preserve"> </w:t>
      </w:r>
      <w:r>
        <w:rPr>
          <w:rFonts w:ascii="Arial"/>
          <w:b/>
          <w:spacing w:val="-1"/>
        </w:rPr>
        <w:t>Services.</w:t>
      </w:r>
    </w:p>
    <w:p w:rsidR="008918FA" w:rsidRDefault="008918FA" w:rsidP="008918FA">
      <w:pPr>
        <w:numPr>
          <w:ilvl w:val="1"/>
          <w:numId w:val="74"/>
        </w:numPr>
        <w:tabs>
          <w:tab w:val="left" w:pos="1214"/>
        </w:tabs>
        <w:spacing w:before="121"/>
        <w:ind w:left="1213" w:right="154" w:hanging="566"/>
        <w:jc w:val="both"/>
        <w:rPr>
          <w:rFonts w:ascii="Arial" w:eastAsia="Arial" w:hAnsi="Arial" w:cs="Arial"/>
        </w:rPr>
      </w:pPr>
      <w:r>
        <w:rPr>
          <w:rFonts w:ascii="Arial"/>
          <w:b/>
          <w:spacing w:val="-2"/>
        </w:rPr>
        <w:t>The</w:t>
      </w:r>
      <w:r>
        <w:rPr>
          <w:rFonts w:ascii="Arial"/>
          <w:b/>
          <w:spacing w:val="38"/>
        </w:rPr>
        <w:t xml:space="preserve"> </w:t>
      </w:r>
      <w:r>
        <w:rPr>
          <w:rFonts w:ascii="Arial"/>
          <w:b/>
          <w:spacing w:val="-1"/>
        </w:rPr>
        <w:t>Parties</w:t>
      </w:r>
      <w:r>
        <w:rPr>
          <w:rFonts w:ascii="Arial"/>
          <w:b/>
          <w:spacing w:val="39"/>
        </w:rPr>
        <w:t xml:space="preserve"> </w:t>
      </w:r>
      <w:r>
        <w:rPr>
          <w:rFonts w:ascii="Arial"/>
          <w:b/>
          <w:spacing w:val="-1"/>
        </w:rPr>
        <w:t>hereby</w:t>
      </w:r>
      <w:r>
        <w:rPr>
          <w:rFonts w:ascii="Arial"/>
          <w:b/>
          <w:spacing w:val="34"/>
        </w:rPr>
        <w:t xml:space="preserve"> </w:t>
      </w:r>
      <w:r>
        <w:rPr>
          <w:rFonts w:ascii="Arial"/>
          <w:b/>
          <w:spacing w:val="-1"/>
        </w:rPr>
        <w:t>acknowledge</w:t>
      </w:r>
      <w:r>
        <w:rPr>
          <w:rFonts w:ascii="Arial"/>
          <w:b/>
          <w:spacing w:val="36"/>
        </w:rPr>
        <w:t xml:space="preserve"> </w:t>
      </w:r>
      <w:r>
        <w:rPr>
          <w:rFonts w:ascii="Arial"/>
          <w:b/>
          <w:spacing w:val="-1"/>
        </w:rPr>
        <w:t>and</w:t>
      </w:r>
      <w:r>
        <w:rPr>
          <w:rFonts w:ascii="Arial"/>
          <w:b/>
          <w:spacing w:val="38"/>
        </w:rPr>
        <w:t xml:space="preserve"> </w:t>
      </w:r>
      <w:r>
        <w:rPr>
          <w:rFonts w:ascii="Arial"/>
          <w:b/>
          <w:spacing w:val="-1"/>
        </w:rPr>
        <w:t>agree</w:t>
      </w:r>
      <w:r>
        <w:rPr>
          <w:rFonts w:ascii="Arial"/>
          <w:b/>
          <w:spacing w:val="34"/>
        </w:rPr>
        <w:t xml:space="preserve"> </w:t>
      </w:r>
      <w:r>
        <w:rPr>
          <w:rFonts w:ascii="Arial"/>
          <w:b/>
          <w:spacing w:val="-1"/>
        </w:rPr>
        <w:t>that</w:t>
      </w:r>
      <w:r>
        <w:rPr>
          <w:rFonts w:ascii="Arial"/>
          <w:b/>
          <w:spacing w:val="39"/>
        </w:rPr>
        <w:t xml:space="preserve"> </w:t>
      </w:r>
      <w:r>
        <w:rPr>
          <w:rFonts w:ascii="Arial"/>
          <w:b/>
          <w:spacing w:val="-1"/>
        </w:rPr>
        <w:t>they</w:t>
      </w:r>
      <w:r>
        <w:rPr>
          <w:rFonts w:ascii="Arial"/>
          <w:b/>
          <w:spacing w:val="34"/>
        </w:rPr>
        <w:t xml:space="preserve"> </w:t>
      </w:r>
      <w:r>
        <w:rPr>
          <w:rFonts w:ascii="Arial"/>
          <w:b/>
          <w:spacing w:val="-1"/>
        </w:rPr>
        <w:t>have</w:t>
      </w:r>
      <w:r>
        <w:rPr>
          <w:rFonts w:ascii="Arial"/>
          <w:b/>
          <w:spacing w:val="38"/>
        </w:rPr>
        <w:t xml:space="preserve"> </w:t>
      </w:r>
      <w:r>
        <w:rPr>
          <w:rFonts w:ascii="Arial"/>
          <w:b/>
          <w:spacing w:val="-1"/>
        </w:rPr>
        <w:t>read</w:t>
      </w:r>
      <w:r>
        <w:rPr>
          <w:rFonts w:ascii="Arial"/>
          <w:b/>
          <w:spacing w:val="38"/>
        </w:rPr>
        <w:t xml:space="preserve"> </w:t>
      </w:r>
      <w:r>
        <w:rPr>
          <w:rFonts w:ascii="Arial"/>
          <w:b/>
          <w:spacing w:val="-1"/>
        </w:rPr>
        <w:t>the</w:t>
      </w:r>
      <w:r>
        <w:rPr>
          <w:rFonts w:ascii="Arial"/>
          <w:b/>
          <w:spacing w:val="38"/>
        </w:rPr>
        <w:t xml:space="preserve"> </w:t>
      </w:r>
      <w:r>
        <w:rPr>
          <w:rFonts w:ascii="Arial"/>
          <w:b/>
          <w:spacing w:val="-1"/>
        </w:rPr>
        <w:t>Order</w:t>
      </w:r>
      <w:r>
        <w:rPr>
          <w:rFonts w:ascii="Arial"/>
          <w:b/>
          <w:spacing w:val="55"/>
        </w:rPr>
        <w:t xml:space="preserve"> </w:t>
      </w:r>
      <w:r>
        <w:rPr>
          <w:rFonts w:ascii="Arial"/>
          <w:b/>
          <w:spacing w:val="-1"/>
        </w:rPr>
        <w:t>Form</w:t>
      </w:r>
      <w:r>
        <w:rPr>
          <w:rFonts w:ascii="Arial"/>
          <w:b/>
          <w:spacing w:val="3"/>
        </w:rPr>
        <w:t xml:space="preserve"> </w:t>
      </w:r>
      <w:r>
        <w:rPr>
          <w:rFonts w:ascii="Arial"/>
          <w:b/>
          <w:spacing w:val="-1"/>
        </w:rPr>
        <w:t>and</w:t>
      </w:r>
      <w:r>
        <w:rPr>
          <w:rFonts w:ascii="Arial"/>
          <w:b/>
          <w:spacing w:val="3"/>
        </w:rPr>
        <w:t xml:space="preserve"> </w:t>
      </w:r>
      <w:r>
        <w:rPr>
          <w:rFonts w:ascii="Arial"/>
          <w:b/>
          <w:spacing w:val="-1"/>
        </w:rPr>
        <w:t>the</w:t>
      </w:r>
      <w:r>
        <w:rPr>
          <w:rFonts w:ascii="Arial"/>
          <w:b/>
          <w:spacing w:val="3"/>
        </w:rPr>
        <w:t xml:space="preserve"> </w:t>
      </w:r>
      <w:r>
        <w:rPr>
          <w:rFonts w:ascii="Arial"/>
          <w:b/>
          <w:spacing w:val="-2"/>
        </w:rPr>
        <w:t>Call</w:t>
      </w:r>
      <w:r>
        <w:rPr>
          <w:rFonts w:ascii="Arial"/>
          <w:b/>
          <w:spacing w:val="4"/>
        </w:rPr>
        <w:t xml:space="preserve"> </w:t>
      </w:r>
      <w:r>
        <w:rPr>
          <w:rFonts w:ascii="Arial"/>
          <w:b/>
          <w:spacing w:val="-1"/>
        </w:rPr>
        <w:t>Off</w:t>
      </w:r>
      <w:r>
        <w:rPr>
          <w:rFonts w:ascii="Arial"/>
          <w:b/>
          <w:spacing w:val="4"/>
        </w:rPr>
        <w:t xml:space="preserve"> </w:t>
      </w:r>
      <w:r>
        <w:rPr>
          <w:rFonts w:ascii="Arial"/>
          <w:b/>
          <w:spacing w:val="-1"/>
        </w:rPr>
        <w:t>Terms</w:t>
      </w:r>
      <w:r>
        <w:rPr>
          <w:rFonts w:ascii="Arial"/>
          <w:b/>
          <w:spacing w:val="3"/>
        </w:rPr>
        <w:t xml:space="preserve"> </w:t>
      </w:r>
      <w:r>
        <w:rPr>
          <w:rFonts w:ascii="Arial"/>
          <w:b/>
          <w:spacing w:val="-1"/>
        </w:rPr>
        <w:t>and</w:t>
      </w:r>
      <w:r>
        <w:rPr>
          <w:rFonts w:ascii="Arial"/>
          <w:b/>
          <w:spacing w:val="3"/>
        </w:rPr>
        <w:t xml:space="preserve"> </w:t>
      </w:r>
      <w:r>
        <w:rPr>
          <w:rFonts w:ascii="Arial"/>
          <w:b/>
          <w:spacing w:val="1"/>
        </w:rPr>
        <w:t>by</w:t>
      </w:r>
      <w:r>
        <w:rPr>
          <w:rFonts w:ascii="Arial"/>
          <w:b/>
          <w:spacing w:val="-2"/>
        </w:rPr>
        <w:t xml:space="preserve"> </w:t>
      </w:r>
      <w:r>
        <w:rPr>
          <w:rFonts w:ascii="Arial"/>
          <w:b/>
          <w:spacing w:val="-1"/>
        </w:rPr>
        <w:t>signing</w:t>
      </w:r>
      <w:r>
        <w:rPr>
          <w:rFonts w:ascii="Arial"/>
          <w:b/>
          <w:spacing w:val="3"/>
        </w:rPr>
        <w:t xml:space="preserve"> </w:t>
      </w:r>
      <w:r>
        <w:rPr>
          <w:rFonts w:ascii="Arial"/>
          <w:b/>
          <w:spacing w:val="-1"/>
        </w:rPr>
        <w:t>below</w:t>
      </w:r>
      <w:r>
        <w:rPr>
          <w:rFonts w:ascii="Arial"/>
          <w:b/>
          <w:spacing w:val="6"/>
        </w:rPr>
        <w:t xml:space="preserve"> </w:t>
      </w:r>
      <w:r>
        <w:rPr>
          <w:rFonts w:ascii="Arial"/>
          <w:b/>
          <w:spacing w:val="-1"/>
        </w:rPr>
        <w:t>agree</w:t>
      </w:r>
      <w:r>
        <w:rPr>
          <w:rFonts w:ascii="Arial"/>
          <w:b/>
        </w:rPr>
        <w:t xml:space="preserve"> to</w:t>
      </w:r>
      <w:r>
        <w:rPr>
          <w:rFonts w:ascii="Arial"/>
          <w:b/>
          <w:spacing w:val="3"/>
        </w:rPr>
        <w:t xml:space="preserve"> </w:t>
      </w:r>
      <w:r>
        <w:rPr>
          <w:rFonts w:ascii="Arial"/>
          <w:b/>
          <w:spacing w:val="-1"/>
        </w:rPr>
        <w:t>be</w:t>
      </w:r>
      <w:r>
        <w:rPr>
          <w:rFonts w:ascii="Arial"/>
          <w:b/>
          <w:spacing w:val="3"/>
        </w:rPr>
        <w:t xml:space="preserve"> </w:t>
      </w:r>
      <w:r>
        <w:rPr>
          <w:rFonts w:ascii="Arial"/>
          <w:b/>
          <w:spacing w:val="-1"/>
        </w:rPr>
        <w:t>bound</w:t>
      </w:r>
      <w:r>
        <w:rPr>
          <w:rFonts w:ascii="Arial"/>
          <w:b/>
          <w:spacing w:val="3"/>
        </w:rPr>
        <w:t xml:space="preserve"> </w:t>
      </w:r>
      <w:r>
        <w:rPr>
          <w:rFonts w:ascii="Arial"/>
          <w:b/>
          <w:spacing w:val="1"/>
        </w:rPr>
        <w:t>by</w:t>
      </w:r>
      <w:r>
        <w:rPr>
          <w:rFonts w:ascii="Arial"/>
          <w:b/>
          <w:spacing w:val="-2"/>
        </w:rPr>
        <w:t xml:space="preserve"> </w:t>
      </w:r>
      <w:r>
        <w:rPr>
          <w:rFonts w:ascii="Arial"/>
          <w:b/>
        </w:rPr>
        <w:t>this</w:t>
      </w:r>
      <w:r>
        <w:rPr>
          <w:rFonts w:ascii="Arial"/>
          <w:b/>
          <w:spacing w:val="45"/>
        </w:rPr>
        <w:t xml:space="preserve"> </w:t>
      </w:r>
      <w:r>
        <w:rPr>
          <w:rFonts w:ascii="Arial"/>
          <w:b/>
          <w:spacing w:val="-1"/>
        </w:rPr>
        <w:t>Call</w:t>
      </w:r>
      <w:r>
        <w:rPr>
          <w:rFonts w:ascii="Arial"/>
          <w:b/>
        </w:rPr>
        <w:t xml:space="preserve"> </w:t>
      </w:r>
      <w:r>
        <w:rPr>
          <w:rFonts w:ascii="Arial"/>
          <w:b/>
          <w:spacing w:val="-1"/>
        </w:rPr>
        <w:t>Off Contract.</w:t>
      </w:r>
    </w:p>
    <w:p w:rsidR="008918FA" w:rsidRDefault="008918FA" w:rsidP="008918FA">
      <w:pPr>
        <w:numPr>
          <w:ilvl w:val="1"/>
          <w:numId w:val="74"/>
        </w:numPr>
        <w:tabs>
          <w:tab w:val="left" w:pos="1214"/>
        </w:tabs>
        <w:spacing w:before="121"/>
        <w:ind w:left="1213" w:right="152"/>
        <w:jc w:val="both"/>
        <w:rPr>
          <w:rFonts w:ascii="Arial" w:eastAsia="Arial" w:hAnsi="Arial" w:cs="Arial"/>
        </w:rPr>
      </w:pPr>
      <w:r>
        <w:rPr>
          <w:rFonts w:ascii="Arial"/>
          <w:b/>
        </w:rPr>
        <w:t>In</w:t>
      </w:r>
      <w:r>
        <w:rPr>
          <w:rFonts w:ascii="Arial"/>
          <w:b/>
          <w:spacing w:val="49"/>
        </w:rPr>
        <w:t xml:space="preserve"> </w:t>
      </w:r>
      <w:r>
        <w:rPr>
          <w:rFonts w:ascii="Arial"/>
          <w:b/>
          <w:spacing w:val="-1"/>
        </w:rPr>
        <w:t>accordance</w:t>
      </w:r>
      <w:r>
        <w:rPr>
          <w:rFonts w:ascii="Arial"/>
          <w:b/>
          <w:spacing w:val="45"/>
        </w:rPr>
        <w:t xml:space="preserve"> </w:t>
      </w:r>
      <w:r>
        <w:rPr>
          <w:rFonts w:ascii="Arial"/>
          <w:b/>
        </w:rPr>
        <w:t>with</w:t>
      </w:r>
      <w:r>
        <w:rPr>
          <w:rFonts w:ascii="Arial"/>
          <w:b/>
          <w:spacing w:val="47"/>
        </w:rPr>
        <w:t xml:space="preserve"> </w:t>
      </w:r>
      <w:r>
        <w:rPr>
          <w:rFonts w:ascii="Arial"/>
          <w:b/>
          <w:spacing w:val="-1"/>
        </w:rPr>
        <w:t>paragraph</w:t>
      </w:r>
      <w:r>
        <w:rPr>
          <w:rFonts w:ascii="Arial"/>
          <w:b/>
          <w:spacing w:val="49"/>
        </w:rPr>
        <w:t xml:space="preserve"> </w:t>
      </w:r>
      <w:r>
        <w:rPr>
          <w:rFonts w:ascii="Arial"/>
          <w:b/>
        </w:rPr>
        <w:t>7</w:t>
      </w:r>
      <w:r>
        <w:rPr>
          <w:rFonts w:ascii="Arial"/>
          <w:b/>
          <w:spacing w:val="49"/>
        </w:rPr>
        <w:t xml:space="preserve"> </w:t>
      </w:r>
      <w:r>
        <w:rPr>
          <w:rFonts w:ascii="Arial"/>
          <w:b/>
          <w:spacing w:val="-1"/>
        </w:rPr>
        <w:t>of</w:t>
      </w:r>
      <w:r>
        <w:rPr>
          <w:rFonts w:ascii="Arial"/>
          <w:b/>
          <w:spacing w:val="48"/>
        </w:rPr>
        <w:t xml:space="preserve"> </w:t>
      </w:r>
      <w:r>
        <w:rPr>
          <w:rFonts w:ascii="Arial"/>
          <w:b/>
          <w:spacing w:val="-1"/>
        </w:rPr>
        <w:t>Framework</w:t>
      </w:r>
      <w:r>
        <w:rPr>
          <w:rFonts w:ascii="Arial"/>
          <w:b/>
          <w:spacing w:val="50"/>
        </w:rPr>
        <w:t xml:space="preserve"> </w:t>
      </w:r>
      <w:r>
        <w:rPr>
          <w:rFonts w:ascii="Arial"/>
          <w:b/>
          <w:spacing w:val="-1"/>
        </w:rPr>
        <w:t>Schedule</w:t>
      </w:r>
      <w:r>
        <w:rPr>
          <w:rFonts w:ascii="Arial"/>
          <w:b/>
          <w:spacing w:val="49"/>
        </w:rPr>
        <w:t xml:space="preserve"> </w:t>
      </w:r>
      <w:r>
        <w:rPr>
          <w:rFonts w:ascii="Arial"/>
          <w:b/>
        </w:rPr>
        <w:t>5</w:t>
      </w:r>
      <w:r>
        <w:rPr>
          <w:rFonts w:ascii="Arial"/>
          <w:b/>
          <w:spacing w:val="47"/>
        </w:rPr>
        <w:t xml:space="preserve"> </w:t>
      </w:r>
      <w:r>
        <w:rPr>
          <w:rFonts w:ascii="Arial"/>
          <w:b/>
          <w:spacing w:val="-1"/>
        </w:rPr>
        <w:t>(Call</w:t>
      </w:r>
      <w:r>
        <w:rPr>
          <w:rFonts w:ascii="Arial"/>
          <w:b/>
          <w:spacing w:val="49"/>
        </w:rPr>
        <w:t xml:space="preserve"> </w:t>
      </w:r>
      <w:r>
        <w:rPr>
          <w:rFonts w:ascii="Arial"/>
          <w:b/>
          <w:spacing w:val="-2"/>
        </w:rPr>
        <w:t>Off</w:t>
      </w:r>
      <w:r>
        <w:rPr>
          <w:rFonts w:ascii="Arial"/>
          <w:b/>
          <w:spacing w:val="37"/>
        </w:rPr>
        <w:t xml:space="preserve"> </w:t>
      </w:r>
      <w:r>
        <w:rPr>
          <w:rFonts w:ascii="Arial"/>
          <w:b/>
          <w:spacing w:val="-1"/>
        </w:rPr>
        <w:t>Procedure),</w:t>
      </w:r>
      <w:r>
        <w:rPr>
          <w:rFonts w:ascii="Arial"/>
          <w:b/>
          <w:spacing w:val="57"/>
        </w:rPr>
        <w:t xml:space="preserve"> </w:t>
      </w:r>
      <w:r>
        <w:rPr>
          <w:rFonts w:ascii="Arial"/>
          <w:b/>
          <w:spacing w:val="-1"/>
        </w:rPr>
        <w:t>the</w:t>
      </w:r>
      <w:r>
        <w:rPr>
          <w:rFonts w:ascii="Arial"/>
          <w:b/>
          <w:spacing w:val="55"/>
        </w:rPr>
        <w:t xml:space="preserve"> </w:t>
      </w:r>
      <w:r>
        <w:rPr>
          <w:rFonts w:ascii="Arial"/>
          <w:b/>
          <w:spacing w:val="-1"/>
        </w:rPr>
        <w:t>Parties</w:t>
      </w:r>
      <w:r>
        <w:rPr>
          <w:rFonts w:ascii="Arial"/>
          <w:b/>
          <w:spacing w:val="55"/>
        </w:rPr>
        <w:t xml:space="preserve"> </w:t>
      </w:r>
      <w:r>
        <w:rPr>
          <w:rFonts w:ascii="Arial"/>
          <w:b/>
          <w:spacing w:val="-1"/>
        </w:rPr>
        <w:t>hereby</w:t>
      </w:r>
      <w:r>
        <w:rPr>
          <w:rFonts w:ascii="Arial"/>
          <w:b/>
          <w:spacing w:val="51"/>
        </w:rPr>
        <w:t xml:space="preserve"> </w:t>
      </w:r>
      <w:r>
        <w:rPr>
          <w:rFonts w:ascii="Arial"/>
          <w:b/>
          <w:spacing w:val="-1"/>
        </w:rPr>
        <w:t>acknowledge</w:t>
      </w:r>
      <w:r>
        <w:rPr>
          <w:rFonts w:ascii="Arial"/>
          <w:b/>
          <w:spacing w:val="55"/>
        </w:rPr>
        <w:t xml:space="preserve"> </w:t>
      </w:r>
      <w:r>
        <w:rPr>
          <w:rFonts w:ascii="Arial"/>
          <w:b/>
          <w:spacing w:val="-1"/>
        </w:rPr>
        <w:t>and</w:t>
      </w:r>
      <w:r>
        <w:rPr>
          <w:rFonts w:ascii="Arial"/>
          <w:b/>
          <w:spacing w:val="55"/>
        </w:rPr>
        <w:t xml:space="preserve"> </w:t>
      </w:r>
      <w:r>
        <w:rPr>
          <w:rFonts w:ascii="Arial"/>
          <w:b/>
          <w:spacing w:val="-1"/>
        </w:rPr>
        <w:t>agree</w:t>
      </w:r>
      <w:r>
        <w:rPr>
          <w:rFonts w:ascii="Arial"/>
          <w:b/>
          <w:spacing w:val="56"/>
        </w:rPr>
        <w:t xml:space="preserve"> </w:t>
      </w:r>
      <w:r>
        <w:rPr>
          <w:rFonts w:ascii="Arial"/>
          <w:b/>
          <w:spacing w:val="-1"/>
        </w:rPr>
        <w:t>that</w:t>
      </w:r>
      <w:r>
        <w:rPr>
          <w:rFonts w:ascii="Arial"/>
          <w:b/>
          <w:spacing w:val="57"/>
        </w:rPr>
        <w:t xml:space="preserve"> </w:t>
      </w:r>
      <w:r>
        <w:rPr>
          <w:rFonts w:ascii="Arial"/>
          <w:b/>
          <w:spacing w:val="-1"/>
        </w:rPr>
        <w:t>this</w:t>
      </w:r>
      <w:r>
        <w:rPr>
          <w:rFonts w:ascii="Arial"/>
          <w:b/>
          <w:spacing w:val="53"/>
        </w:rPr>
        <w:t xml:space="preserve"> </w:t>
      </w:r>
      <w:r>
        <w:rPr>
          <w:rFonts w:ascii="Arial"/>
          <w:b/>
          <w:spacing w:val="-1"/>
        </w:rPr>
        <w:t>Call</w:t>
      </w:r>
      <w:r>
        <w:rPr>
          <w:rFonts w:ascii="Arial"/>
          <w:b/>
          <w:spacing w:val="55"/>
        </w:rPr>
        <w:t xml:space="preserve"> </w:t>
      </w:r>
      <w:r>
        <w:rPr>
          <w:rFonts w:ascii="Arial"/>
          <w:b/>
          <w:spacing w:val="-1"/>
        </w:rPr>
        <w:t>Off</w:t>
      </w:r>
      <w:r>
        <w:rPr>
          <w:rFonts w:ascii="Arial"/>
          <w:b/>
          <w:spacing w:val="45"/>
        </w:rPr>
        <w:t xml:space="preserve"> </w:t>
      </w:r>
      <w:r>
        <w:rPr>
          <w:rFonts w:ascii="Arial"/>
          <w:b/>
          <w:spacing w:val="-1"/>
        </w:rPr>
        <w:t>Contract</w:t>
      </w:r>
      <w:r>
        <w:rPr>
          <w:rFonts w:ascii="Arial"/>
          <w:b/>
          <w:spacing w:val="23"/>
        </w:rPr>
        <w:t xml:space="preserve"> </w:t>
      </w:r>
      <w:r>
        <w:rPr>
          <w:rFonts w:ascii="Arial"/>
          <w:b/>
          <w:spacing w:val="-2"/>
        </w:rPr>
        <w:t>shall</w:t>
      </w:r>
      <w:r>
        <w:rPr>
          <w:rFonts w:ascii="Arial"/>
          <w:b/>
          <w:spacing w:val="23"/>
        </w:rPr>
        <w:t xml:space="preserve"> </w:t>
      </w:r>
      <w:r>
        <w:rPr>
          <w:rFonts w:ascii="Arial"/>
          <w:b/>
          <w:spacing w:val="-1"/>
        </w:rPr>
        <w:t>be</w:t>
      </w:r>
      <w:r>
        <w:rPr>
          <w:rFonts w:ascii="Arial"/>
          <w:b/>
          <w:spacing w:val="19"/>
        </w:rPr>
        <w:t xml:space="preserve"> </w:t>
      </w:r>
      <w:r>
        <w:rPr>
          <w:rFonts w:ascii="Arial"/>
          <w:b/>
          <w:spacing w:val="-1"/>
        </w:rPr>
        <w:t>formed</w:t>
      </w:r>
      <w:r>
        <w:rPr>
          <w:rFonts w:ascii="Arial"/>
          <w:b/>
          <w:spacing w:val="19"/>
        </w:rPr>
        <w:t xml:space="preserve"> </w:t>
      </w:r>
      <w:r>
        <w:rPr>
          <w:rFonts w:ascii="Arial"/>
          <w:b/>
        </w:rPr>
        <w:t>when</w:t>
      </w:r>
      <w:r>
        <w:rPr>
          <w:rFonts w:ascii="Arial"/>
          <w:b/>
          <w:spacing w:val="19"/>
        </w:rPr>
        <w:t xml:space="preserve"> </w:t>
      </w:r>
      <w:r>
        <w:rPr>
          <w:rFonts w:ascii="Arial"/>
          <w:b/>
          <w:spacing w:val="-1"/>
        </w:rPr>
        <w:t>the</w:t>
      </w:r>
      <w:r>
        <w:rPr>
          <w:rFonts w:ascii="Arial"/>
          <w:b/>
          <w:spacing w:val="22"/>
        </w:rPr>
        <w:t xml:space="preserve"> </w:t>
      </w:r>
      <w:r>
        <w:rPr>
          <w:rFonts w:ascii="Arial"/>
          <w:b/>
          <w:spacing w:val="-1"/>
        </w:rPr>
        <w:t>Customer</w:t>
      </w:r>
      <w:r>
        <w:rPr>
          <w:rFonts w:ascii="Arial"/>
          <w:b/>
          <w:spacing w:val="20"/>
        </w:rPr>
        <w:t xml:space="preserve"> </w:t>
      </w:r>
      <w:r>
        <w:rPr>
          <w:rFonts w:ascii="Arial"/>
          <w:b/>
          <w:spacing w:val="-1"/>
        </w:rPr>
        <w:t>acknowledges</w:t>
      </w:r>
      <w:r>
        <w:rPr>
          <w:rFonts w:ascii="Arial"/>
          <w:b/>
          <w:spacing w:val="22"/>
        </w:rPr>
        <w:t xml:space="preserve"> </w:t>
      </w:r>
      <w:r>
        <w:rPr>
          <w:rFonts w:ascii="Arial"/>
          <w:b/>
          <w:spacing w:val="-1"/>
        </w:rPr>
        <w:t>(which</w:t>
      </w:r>
      <w:r>
        <w:rPr>
          <w:rFonts w:ascii="Arial"/>
          <w:b/>
          <w:spacing w:val="20"/>
        </w:rPr>
        <w:t xml:space="preserve"> </w:t>
      </w:r>
      <w:r>
        <w:rPr>
          <w:rFonts w:ascii="Arial"/>
          <w:b/>
          <w:spacing w:val="-1"/>
        </w:rPr>
        <w:t>may</w:t>
      </w:r>
      <w:r>
        <w:rPr>
          <w:rFonts w:ascii="Arial"/>
          <w:b/>
          <w:spacing w:val="17"/>
        </w:rPr>
        <w:t xml:space="preserve"> </w:t>
      </w:r>
      <w:r>
        <w:rPr>
          <w:rFonts w:ascii="Arial"/>
          <w:b/>
          <w:spacing w:val="-1"/>
        </w:rPr>
        <w:t>be</w:t>
      </w:r>
      <w:r>
        <w:rPr>
          <w:rFonts w:ascii="Arial"/>
          <w:b/>
          <w:spacing w:val="36"/>
        </w:rPr>
        <w:t xml:space="preserve"> </w:t>
      </w:r>
      <w:r>
        <w:rPr>
          <w:rFonts w:ascii="Arial"/>
          <w:b/>
          <w:spacing w:val="-1"/>
        </w:rPr>
        <w:t>done</w:t>
      </w:r>
      <w:r>
        <w:rPr>
          <w:rFonts w:ascii="Arial"/>
          <w:b/>
          <w:spacing w:val="12"/>
        </w:rPr>
        <w:t xml:space="preserve"> </w:t>
      </w:r>
      <w:r>
        <w:rPr>
          <w:rFonts w:ascii="Arial"/>
          <w:b/>
        </w:rPr>
        <w:t>by</w:t>
      </w:r>
      <w:r>
        <w:rPr>
          <w:rFonts w:ascii="Arial"/>
          <w:b/>
          <w:spacing w:val="8"/>
        </w:rPr>
        <w:t xml:space="preserve"> </w:t>
      </w:r>
      <w:r>
        <w:rPr>
          <w:rFonts w:ascii="Arial"/>
          <w:b/>
          <w:spacing w:val="-1"/>
        </w:rPr>
        <w:t>electronic</w:t>
      </w:r>
      <w:r>
        <w:rPr>
          <w:rFonts w:ascii="Arial"/>
          <w:b/>
          <w:spacing w:val="12"/>
        </w:rPr>
        <w:t xml:space="preserve"> </w:t>
      </w:r>
      <w:r>
        <w:rPr>
          <w:rFonts w:ascii="Arial"/>
          <w:b/>
          <w:spacing w:val="-1"/>
        </w:rPr>
        <w:t>means)</w:t>
      </w:r>
      <w:r>
        <w:rPr>
          <w:rFonts w:ascii="Arial"/>
          <w:b/>
          <w:spacing w:val="14"/>
        </w:rPr>
        <w:t xml:space="preserve"> </w:t>
      </w:r>
      <w:r>
        <w:rPr>
          <w:rFonts w:ascii="Arial"/>
          <w:b/>
          <w:spacing w:val="-1"/>
        </w:rPr>
        <w:t>the</w:t>
      </w:r>
      <w:r>
        <w:rPr>
          <w:rFonts w:ascii="Arial"/>
          <w:b/>
          <w:spacing w:val="12"/>
        </w:rPr>
        <w:t xml:space="preserve"> </w:t>
      </w:r>
      <w:r>
        <w:rPr>
          <w:rFonts w:ascii="Arial"/>
          <w:b/>
          <w:spacing w:val="-1"/>
        </w:rPr>
        <w:t>receipt</w:t>
      </w:r>
      <w:r>
        <w:rPr>
          <w:rFonts w:ascii="Arial"/>
          <w:b/>
          <w:spacing w:val="14"/>
        </w:rPr>
        <w:t xml:space="preserve"> </w:t>
      </w:r>
      <w:r>
        <w:rPr>
          <w:rFonts w:ascii="Arial"/>
          <w:b/>
          <w:spacing w:val="-2"/>
        </w:rPr>
        <w:t>of</w:t>
      </w:r>
      <w:r>
        <w:rPr>
          <w:rFonts w:ascii="Arial"/>
          <w:b/>
          <w:spacing w:val="14"/>
        </w:rPr>
        <w:t xml:space="preserve"> </w:t>
      </w:r>
      <w:r>
        <w:rPr>
          <w:rFonts w:ascii="Arial"/>
          <w:b/>
          <w:spacing w:val="-1"/>
        </w:rPr>
        <w:t>the</w:t>
      </w:r>
      <w:r>
        <w:rPr>
          <w:rFonts w:ascii="Arial"/>
          <w:b/>
          <w:spacing w:val="10"/>
        </w:rPr>
        <w:t xml:space="preserve"> </w:t>
      </w:r>
      <w:r>
        <w:rPr>
          <w:rFonts w:ascii="Arial"/>
          <w:b/>
          <w:spacing w:val="-1"/>
        </w:rPr>
        <w:t>signed</w:t>
      </w:r>
      <w:r>
        <w:rPr>
          <w:rFonts w:ascii="Arial"/>
          <w:b/>
          <w:spacing w:val="12"/>
        </w:rPr>
        <w:t xml:space="preserve"> </w:t>
      </w:r>
      <w:r>
        <w:rPr>
          <w:rFonts w:ascii="Arial"/>
          <w:b/>
          <w:spacing w:val="-1"/>
        </w:rPr>
        <w:t>copy</w:t>
      </w:r>
      <w:r>
        <w:rPr>
          <w:rFonts w:ascii="Arial"/>
          <w:b/>
          <w:spacing w:val="8"/>
        </w:rPr>
        <w:t xml:space="preserve"> </w:t>
      </w:r>
      <w:r>
        <w:rPr>
          <w:rFonts w:ascii="Arial"/>
          <w:b/>
          <w:spacing w:val="-1"/>
        </w:rPr>
        <w:t>of</w:t>
      </w:r>
      <w:r>
        <w:rPr>
          <w:rFonts w:ascii="Arial"/>
          <w:b/>
          <w:spacing w:val="14"/>
        </w:rPr>
        <w:t xml:space="preserve"> </w:t>
      </w:r>
      <w:r>
        <w:rPr>
          <w:rFonts w:ascii="Arial"/>
          <w:b/>
          <w:spacing w:val="-1"/>
        </w:rPr>
        <w:t>the</w:t>
      </w:r>
      <w:r>
        <w:rPr>
          <w:rFonts w:ascii="Arial"/>
          <w:b/>
          <w:spacing w:val="12"/>
        </w:rPr>
        <w:t xml:space="preserve"> </w:t>
      </w:r>
      <w:r>
        <w:rPr>
          <w:rFonts w:ascii="Arial"/>
          <w:b/>
          <w:spacing w:val="-1"/>
        </w:rPr>
        <w:t>Order</w:t>
      </w:r>
      <w:r>
        <w:rPr>
          <w:rFonts w:ascii="Arial"/>
          <w:b/>
          <w:spacing w:val="13"/>
        </w:rPr>
        <w:t xml:space="preserve"> </w:t>
      </w:r>
      <w:r>
        <w:rPr>
          <w:rFonts w:ascii="Arial"/>
          <w:b/>
          <w:spacing w:val="-1"/>
        </w:rPr>
        <w:t>Form</w:t>
      </w:r>
      <w:r>
        <w:rPr>
          <w:rFonts w:ascii="Arial"/>
          <w:b/>
          <w:spacing w:val="51"/>
        </w:rPr>
        <w:t xml:space="preserve"> </w:t>
      </w:r>
      <w:r>
        <w:rPr>
          <w:rFonts w:ascii="Arial"/>
          <w:b/>
          <w:spacing w:val="-1"/>
        </w:rPr>
        <w:t>from the</w:t>
      </w:r>
      <w:r>
        <w:rPr>
          <w:rFonts w:ascii="Arial"/>
          <w:b/>
          <w:spacing w:val="-2"/>
        </w:rPr>
        <w:t xml:space="preserve"> </w:t>
      </w:r>
      <w:r>
        <w:rPr>
          <w:rFonts w:ascii="Arial"/>
          <w:b/>
          <w:spacing w:val="-1"/>
        </w:rPr>
        <w:t>Supplier</w:t>
      </w:r>
      <w:r>
        <w:rPr>
          <w:rFonts w:ascii="Arial"/>
          <w:b/>
          <w:spacing w:val="-4"/>
        </w:rPr>
        <w:t xml:space="preserve"> </w:t>
      </w:r>
      <w:r>
        <w:rPr>
          <w:rFonts w:ascii="Arial"/>
          <w:b/>
          <w:spacing w:val="-1"/>
        </w:rPr>
        <w:t>within</w:t>
      </w:r>
      <w:r>
        <w:rPr>
          <w:rFonts w:ascii="Arial"/>
          <w:b/>
        </w:rPr>
        <w:t xml:space="preserve"> </w:t>
      </w:r>
      <w:r>
        <w:rPr>
          <w:rFonts w:ascii="Arial"/>
          <w:b/>
          <w:spacing w:val="-1"/>
        </w:rPr>
        <w:t>two</w:t>
      </w:r>
      <w:r>
        <w:rPr>
          <w:rFonts w:ascii="Arial"/>
          <w:b/>
          <w:spacing w:val="-2"/>
        </w:rPr>
        <w:t xml:space="preserve"> </w:t>
      </w:r>
      <w:r>
        <w:rPr>
          <w:rFonts w:ascii="Arial"/>
          <w:b/>
          <w:spacing w:val="-1"/>
        </w:rPr>
        <w:t>(2) Working</w:t>
      </w:r>
      <w:r>
        <w:rPr>
          <w:rFonts w:ascii="Arial"/>
          <w:b/>
          <w:spacing w:val="-2"/>
        </w:rPr>
        <w:t xml:space="preserve"> Days</w:t>
      </w:r>
      <w:r>
        <w:rPr>
          <w:rFonts w:ascii="Arial"/>
          <w:b/>
          <w:spacing w:val="3"/>
        </w:rPr>
        <w:t xml:space="preserve"> </w:t>
      </w:r>
      <w:r>
        <w:rPr>
          <w:rFonts w:ascii="Arial"/>
          <w:b/>
          <w:spacing w:val="-1"/>
        </w:rPr>
        <w:t>from receipt.</w:t>
      </w:r>
    </w:p>
    <w:p w:rsidR="008918FA" w:rsidRDefault="008918FA" w:rsidP="008918FA">
      <w:pPr>
        <w:spacing w:before="5"/>
        <w:rPr>
          <w:rFonts w:ascii="Arial" w:eastAsia="Arial" w:hAnsi="Arial" w:cs="Arial"/>
          <w:b/>
          <w:bCs/>
          <w:sz w:val="31"/>
          <w:szCs w:val="31"/>
        </w:rPr>
      </w:pPr>
    </w:p>
    <w:p w:rsidR="008918FA" w:rsidRDefault="008918FA" w:rsidP="008918FA">
      <w:pPr>
        <w:ind w:left="361"/>
        <w:rPr>
          <w:rFonts w:ascii="Arial" w:eastAsia="Arial" w:hAnsi="Arial" w:cs="Arial"/>
        </w:rPr>
      </w:pPr>
      <w:r>
        <w:rPr>
          <w:rFonts w:ascii="Arial"/>
          <w:b/>
          <w:spacing w:val="-1"/>
        </w:rPr>
        <w:t>For</w:t>
      </w:r>
      <w:r>
        <w:rPr>
          <w:rFonts w:ascii="Arial"/>
          <w:b/>
          <w:spacing w:val="1"/>
        </w:rPr>
        <w:t xml:space="preserve"> </w:t>
      </w:r>
      <w:r>
        <w:rPr>
          <w:rFonts w:ascii="Arial"/>
          <w:b/>
          <w:spacing w:val="-1"/>
        </w:rPr>
        <w:t>and</w:t>
      </w:r>
      <w:r>
        <w:rPr>
          <w:rFonts w:ascii="Arial"/>
          <w:b/>
        </w:rPr>
        <w:t xml:space="preserve"> </w:t>
      </w:r>
      <w:r>
        <w:rPr>
          <w:rFonts w:ascii="Arial"/>
          <w:b/>
          <w:spacing w:val="-1"/>
        </w:rPr>
        <w:t>on</w:t>
      </w:r>
      <w:r>
        <w:rPr>
          <w:rFonts w:ascii="Arial"/>
          <w:b/>
          <w:spacing w:val="-2"/>
        </w:rPr>
        <w:t xml:space="preserve"> </w:t>
      </w:r>
      <w:r>
        <w:rPr>
          <w:rFonts w:ascii="Arial"/>
          <w:b/>
          <w:spacing w:val="-1"/>
        </w:rPr>
        <w:t>behalf of the</w:t>
      </w:r>
      <w:r>
        <w:rPr>
          <w:rFonts w:ascii="Arial"/>
          <w:b/>
        </w:rPr>
        <w:t xml:space="preserve"> </w:t>
      </w:r>
      <w:r>
        <w:rPr>
          <w:rFonts w:ascii="Arial"/>
          <w:b/>
          <w:spacing w:val="-1"/>
        </w:rPr>
        <w:t>Supplier:</w:t>
      </w:r>
    </w:p>
    <w:p w:rsidR="008918FA" w:rsidRDefault="008918FA" w:rsidP="008918FA">
      <w:pPr>
        <w:spacing w:before="8"/>
        <w:rPr>
          <w:rFonts w:ascii="Arial" w:eastAsia="Arial" w:hAnsi="Arial" w:cs="Arial"/>
          <w:b/>
          <w:bCs/>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2654"/>
        <w:gridCol w:w="6545"/>
      </w:tblGrid>
      <w:tr w:rsidR="008918FA" w:rsidTr="005D2B81">
        <w:trPr>
          <w:trHeight w:hRule="exact" w:val="624"/>
        </w:trPr>
        <w:tc>
          <w:tcPr>
            <w:tcW w:w="265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6"/>
              <w:rPr>
                <w:rFonts w:ascii="Arial" w:eastAsia="Arial" w:hAnsi="Arial" w:cs="Arial"/>
                <w:b/>
                <w:bCs/>
                <w:sz w:val="20"/>
                <w:szCs w:val="20"/>
              </w:rPr>
            </w:pPr>
          </w:p>
          <w:p w:rsidR="008918FA" w:rsidRDefault="008918FA" w:rsidP="005D2B81">
            <w:pPr>
              <w:pStyle w:val="TableParagraph"/>
              <w:ind w:left="243"/>
              <w:rPr>
                <w:rFonts w:ascii="Arial" w:eastAsia="Arial" w:hAnsi="Arial" w:cs="Arial"/>
              </w:rPr>
            </w:pPr>
            <w:r>
              <w:rPr>
                <w:rFonts w:ascii="Arial"/>
                <w:spacing w:val="-1"/>
              </w:rPr>
              <w:t>Name</w:t>
            </w:r>
            <w:r>
              <w:rPr>
                <w:rFonts w:ascii="Arial"/>
              </w:rPr>
              <w:t xml:space="preserve"> </w:t>
            </w:r>
            <w:r>
              <w:rPr>
                <w:rFonts w:ascii="Arial"/>
                <w:spacing w:val="-1"/>
              </w:rPr>
              <w:t>and</w:t>
            </w:r>
            <w:r>
              <w:rPr>
                <w:rFonts w:ascii="Arial"/>
                <w:spacing w:val="-4"/>
              </w:rPr>
              <w:t xml:space="preserve"> </w:t>
            </w:r>
            <w:r>
              <w:rPr>
                <w:rFonts w:ascii="Arial"/>
                <w:spacing w:val="-1"/>
              </w:rPr>
              <w:t>Title</w:t>
            </w:r>
          </w:p>
        </w:tc>
        <w:tc>
          <w:tcPr>
            <w:tcW w:w="6545"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622"/>
        </w:trPr>
        <w:tc>
          <w:tcPr>
            <w:tcW w:w="265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7"/>
              <w:rPr>
                <w:rFonts w:ascii="Arial" w:eastAsia="Arial" w:hAnsi="Arial" w:cs="Arial"/>
                <w:b/>
                <w:bCs/>
                <w:sz w:val="20"/>
                <w:szCs w:val="20"/>
              </w:rPr>
            </w:pPr>
          </w:p>
          <w:p w:rsidR="008918FA" w:rsidRDefault="008918FA" w:rsidP="005D2B81">
            <w:pPr>
              <w:pStyle w:val="TableParagraph"/>
              <w:ind w:left="243"/>
              <w:rPr>
                <w:rFonts w:ascii="Arial" w:eastAsia="Arial" w:hAnsi="Arial" w:cs="Arial"/>
              </w:rPr>
            </w:pPr>
            <w:r>
              <w:rPr>
                <w:rFonts w:ascii="Arial"/>
                <w:spacing w:val="-1"/>
              </w:rPr>
              <w:t>Signature</w:t>
            </w:r>
          </w:p>
        </w:tc>
        <w:tc>
          <w:tcPr>
            <w:tcW w:w="6545"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624"/>
        </w:trPr>
        <w:tc>
          <w:tcPr>
            <w:tcW w:w="265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9"/>
              <w:rPr>
                <w:rFonts w:ascii="Arial" w:eastAsia="Arial" w:hAnsi="Arial" w:cs="Arial"/>
                <w:b/>
                <w:bCs/>
                <w:sz w:val="20"/>
                <w:szCs w:val="20"/>
              </w:rPr>
            </w:pPr>
          </w:p>
          <w:p w:rsidR="008918FA" w:rsidRDefault="008918FA" w:rsidP="005D2B81">
            <w:pPr>
              <w:pStyle w:val="TableParagraph"/>
              <w:ind w:left="243"/>
              <w:rPr>
                <w:rFonts w:ascii="Arial" w:eastAsia="Arial" w:hAnsi="Arial" w:cs="Arial"/>
              </w:rPr>
            </w:pPr>
            <w:r>
              <w:rPr>
                <w:rFonts w:ascii="Arial"/>
                <w:spacing w:val="-1"/>
              </w:rPr>
              <w:t>Date</w:t>
            </w:r>
          </w:p>
        </w:tc>
        <w:tc>
          <w:tcPr>
            <w:tcW w:w="6545" w:type="dxa"/>
            <w:tcBorders>
              <w:top w:val="single" w:sz="5" w:space="0" w:color="000000"/>
              <w:left w:val="single" w:sz="5" w:space="0" w:color="000000"/>
              <w:bottom w:val="single" w:sz="5" w:space="0" w:color="000000"/>
              <w:right w:val="single" w:sz="5" w:space="0" w:color="000000"/>
            </w:tcBorders>
          </w:tcPr>
          <w:p w:rsidR="008918FA" w:rsidRDefault="008918FA" w:rsidP="005D2B81"/>
        </w:tc>
      </w:tr>
    </w:tbl>
    <w:p w:rsidR="008918FA" w:rsidRDefault="008918FA" w:rsidP="008918FA">
      <w:pPr>
        <w:spacing w:before="1"/>
        <w:rPr>
          <w:rFonts w:ascii="Arial" w:eastAsia="Arial" w:hAnsi="Arial" w:cs="Arial"/>
          <w:b/>
          <w:bCs/>
          <w:sz w:val="14"/>
          <w:szCs w:val="14"/>
        </w:rPr>
      </w:pPr>
    </w:p>
    <w:p w:rsidR="008918FA" w:rsidRDefault="008918FA" w:rsidP="008918FA">
      <w:pPr>
        <w:spacing w:before="72"/>
        <w:ind w:left="361"/>
        <w:rPr>
          <w:rFonts w:ascii="Arial" w:eastAsia="Arial" w:hAnsi="Arial" w:cs="Arial"/>
        </w:rPr>
      </w:pPr>
      <w:r>
        <w:rPr>
          <w:rFonts w:ascii="Arial"/>
          <w:b/>
          <w:spacing w:val="-1"/>
        </w:rPr>
        <w:t>For</w:t>
      </w:r>
      <w:r>
        <w:rPr>
          <w:rFonts w:ascii="Arial"/>
          <w:b/>
          <w:spacing w:val="1"/>
        </w:rPr>
        <w:t xml:space="preserve"> </w:t>
      </w:r>
      <w:r>
        <w:rPr>
          <w:rFonts w:ascii="Arial"/>
          <w:b/>
          <w:spacing w:val="-1"/>
        </w:rPr>
        <w:t>and</w:t>
      </w:r>
      <w:r>
        <w:rPr>
          <w:rFonts w:ascii="Arial"/>
          <w:b/>
        </w:rPr>
        <w:t xml:space="preserve"> </w:t>
      </w:r>
      <w:r>
        <w:rPr>
          <w:rFonts w:ascii="Arial"/>
          <w:b/>
          <w:spacing w:val="-1"/>
        </w:rPr>
        <w:t>on</w:t>
      </w:r>
      <w:r>
        <w:rPr>
          <w:rFonts w:ascii="Arial"/>
          <w:b/>
          <w:spacing w:val="-2"/>
        </w:rPr>
        <w:t xml:space="preserve"> </w:t>
      </w:r>
      <w:r>
        <w:rPr>
          <w:rFonts w:ascii="Arial"/>
          <w:b/>
          <w:spacing w:val="-1"/>
        </w:rPr>
        <w:t>behalf of the</w:t>
      </w:r>
      <w:r>
        <w:rPr>
          <w:rFonts w:ascii="Arial"/>
          <w:b/>
        </w:rPr>
        <w:t xml:space="preserve"> </w:t>
      </w:r>
      <w:r>
        <w:rPr>
          <w:rFonts w:ascii="Arial"/>
          <w:b/>
          <w:spacing w:val="-1"/>
        </w:rPr>
        <w:t>Customer:</w:t>
      </w:r>
    </w:p>
    <w:p w:rsidR="008918FA" w:rsidRDefault="008918FA" w:rsidP="008918FA">
      <w:pPr>
        <w:spacing w:before="10"/>
        <w:rPr>
          <w:rFonts w:ascii="Arial" w:eastAsia="Arial" w:hAnsi="Arial" w:cs="Arial"/>
          <w:b/>
          <w:bCs/>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2654"/>
        <w:gridCol w:w="6545"/>
      </w:tblGrid>
      <w:tr w:rsidR="008918FA" w:rsidTr="005D2B81">
        <w:trPr>
          <w:trHeight w:hRule="exact" w:val="622"/>
        </w:trPr>
        <w:tc>
          <w:tcPr>
            <w:tcW w:w="265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7"/>
              <w:rPr>
                <w:rFonts w:ascii="Arial" w:eastAsia="Arial" w:hAnsi="Arial" w:cs="Arial"/>
                <w:b/>
                <w:bCs/>
                <w:sz w:val="20"/>
                <w:szCs w:val="20"/>
              </w:rPr>
            </w:pPr>
          </w:p>
          <w:p w:rsidR="008918FA" w:rsidRDefault="008918FA" w:rsidP="005D2B81">
            <w:pPr>
              <w:pStyle w:val="TableParagraph"/>
              <w:ind w:left="243"/>
              <w:rPr>
                <w:rFonts w:ascii="Arial" w:eastAsia="Arial" w:hAnsi="Arial" w:cs="Arial"/>
              </w:rPr>
            </w:pPr>
            <w:r>
              <w:rPr>
                <w:rFonts w:ascii="Arial"/>
                <w:spacing w:val="-1"/>
              </w:rPr>
              <w:t>Name</w:t>
            </w:r>
            <w:r>
              <w:rPr>
                <w:rFonts w:ascii="Arial"/>
              </w:rPr>
              <w:t xml:space="preserve"> </w:t>
            </w:r>
            <w:r>
              <w:rPr>
                <w:rFonts w:ascii="Arial"/>
                <w:spacing w:val="-1"/>
              </w:rPr>
              <w:t>and</w:t>
            </w:r>
            <w:r>
              <w:rPr>
                <w:rFonts w:ascii="Arial"/>
                <w:spacing w:val="-4"/>
              </w:rPr>
              <w:t xml:space="preserve"> </w:t>
            </w:r>
            <w:r>
              <w:rPr>
                <w:rFonts w:ascii="Arial"/>
                <w:spacing w:val="-1"/>
              </w:rPr>
              <w:t>Title</w:t>
            </w:r>
          </w:p>
        </w:tc>
        <w:tc>
          <w:tcPr>
            <w:tcW w:w="6545"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624"/>
        </w:trPr>
        <w:tc>
          <w:tcPr>
            <w:tcW w:w="265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7"/>
              <w:rPr>
                <w:rFonts w:ascii="Arial" w:eastAsia="Arial" w:hAnsi="Arial" w:cs="Arial"/>
                <w:b/>
                <w:bCs/>
                <w:sz w:val="20"/>
                <w:szCs w:val="20"/>
              </w:rPr>
            </w:pPr>
          </w:p>
          <w:p w:rsidR="008918FA" w:rsidRDefault="008918FA" w:rsidP="005D2B81">
            <w:pPr>
              <w:pStyle w:val="TableParagraph"/>
              <w:ind w:left="243"/>
              <w:rPr>
                <w:rFonts w:ascii="Arial" w:eastAsia="Arial" w:hAnsi="Arial" w:cs="Arial"/>
              </w:rPr>
            </w:pPr>
            <w:r>
              <w:rPr>
                <w:rFonts w:ascii="Arial"/>
                <w:spacing w:val="-1"/>
              </w:rPr>
              <w:t>Signature</w:t>
            </w:r>
          </w:p>
        </w:tc>
        <w:tc>
          <w:tcPr>
            <w:tcW w:w="6545"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622"/>
        </w:trPr>
        <w:tc>
          <w:tcPr>
            <w:tcW w:w="265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7"/>
              <w:rPr>
                <w:rFonts w:ascii="Arial" w:eastAsia="Arial" w:hAnsi="Arial" w:cs="Arial"/>
                <w:b/>
                <w:bCs/>
                <w:sz w:val="20"/>
                <w:szCs w:val="20"/>
              </w:rPr>
            </w:pPr>
          </w:p>
          <w:p w:rsidR="008918FA" w:rsidRDefault="008918FA" w:rsidP="005D2B81">
            <w:pPr>
              <w:pStyle w:val="TableParagraph"/>
              <w:ind w:left="243"/>
              <w:rPr>
                <w:rFonts w:ascii="Arial" w:eastAsia="Arial" w:hAnsi="Arial" w:cs="Arial"/>
              </w:rPr>
            </w:pPr>
            <w:r>
              <w:rPr>
                <w:rFonts w:ascii="Arial"/>
                <w:spacing w:val="-1"/>
              </w:rPr>
              <w:t>Date</w:t>
            </w:r>
          </w:p>
        </w:tc>
        <w:tc>
          <w:tcPr>
            <w:tcW w:w="6545" w:type="dxa"/>
            <w:tcBorders>
              <w:top w:val="single" w:sz="5" w:space="0" w:color="000000"/>
              <w:left w:val="single" w:sz="5" w:space="0" w:color="000000"/>
              <w:bottom w:val="single" w:sz="5" w:space="0" w:color="000000"/>
              <w:right w:val="single" w:sz="5" w:space="0" w:color="000000"/>
            </w:tcBorders>
          </w:tcPr>
          <w:p w:rsidR="008918FA" w:rsidRDefault="008918FA" w:rsidP="005D2B81"/>
        </w:tc>
      </w:tr>
    </w:tbl>
    <w:p w:rsidR="008918FA" w:rsidRDefault="008918FA" w:rsidP="008918FA">
      <w:pPr>
        <w:sectPr w:rsidR="008918FA">
          <w:pgSz w:w="11910" w:h="16840"/>
          <w:pgMar w:top="1580" w:right="1260" w:bottom="1180" w:left="1220" w:header="0" w:footer="987" w:gutter="0"/>
          <w:cols w:space="720"/>
        </w:sectPr>
      </w:pPr>
    </w:p>
    <w:p w:rsidR="008918FA" w:rsidRDefault="008918FA" w:rsidP="008918FA">
      <w:pPr>
        <w:spacing w:before="57"/>
        <w:ind w:left="120"/>
        <w:rPr>
          <w:rFonts w:ascii="Arial" w:eastAsia="Arial" w:hAnsi="Arial" w:cs="Arial"/>
        </w:rPr>
      </w:pPr>
      <w:r>
        <w:rPr>
          <w:rFonts w:ascii="Arial"/>
          <w:b/>
          <w:spacing w:val="-1"/>
        </w:rPr>
        <w:lastRenderedPageBreak/>
        <w:t>TABLE</w:t>
      </w:r>
      <w:r>
        <w:rPr>
          <w:rFonts w:ascii="Arial"/>
          <w:b/>
        </w:rPr>
        <w:t xml:space="preserve"> OF </w:t>
      </w:r>
      <w:r>
        <w:rPr>
          <w:rFonts w:ascii="Arial"/>
          <w:b/>
          <w:spacing w:val="-2"/>
        </w:rPr>
        <w:t>CONTENT</w:t>
      </w:r>
    </w:p>
    <w:p w:rsidR="008918FA" w:rsidRDefault="008918FA" w:rsidP="008918FA">
      <w:pPr>
        <w:rPr>
          <w:rFonts w:ascii="Arial" w:eastAsia="Arial" w:hAnsi="Arial" w:cs="Arial"/>
        </w:rPr>
        <w:sectPr w:rsidR="008918FA">
          <w:pgSz w:w="11910" w:h="16840"/>
          <w:pgMar w:top="1480" w:right="1280" w:bottom="1461" w:left="1320" w:header="0" w:footer="987" w:gutter="0"/>
          <w:cols w:space="720"/>
        </w:sectPr>
      </w:pPr>
    </w:p>
    <w:sdt>
      <w:sdtPr>
        <w:id w:val="-1592926492"/>
        <w:docPartObj>
          <w:docPartGallery w:val="Table of Contents"/>
          <w:docPartUnique/>
        </w:docPartObj>
      </w:sdtPr>
      <w:sdtEndPr/>
      <w:sdtContent>
        <w:p w:rsidR="008918FA" w:rsidRDefault="00E32C6B" w:rsidP="008918FA">
          <w:pPr>
            <w:pStyle w:val="TOC1"/>
            <w:numPr>
              <w:ilvl w:val="0"/>
              <w:numId w:val="72"/>
            </w:numPr>
            <w:tabs>
              <w:tab w:val="left" w:pos="973"/>
              <w:tab w:val="right" w:leader="dot" w:pos="9191"/>
            </w:tabs>
            <w:spacing w:before="239"/>
            <w:ind w:hanging="852"/>
            <w:rPr>
              <w:b w:val="0"/>
              <w:bCs w:val="0"/>
            </w:rPr>
          </w:pPr>
          <w:hyperlink w:anchor="_bookmark42" w:history="1">
            <w:r w:rsidR="008918FA">
              <w:rPr>
                <w:spacing w:val="-2"/>
              </w:rPr>
              <w:t>PRELIMINARIES</w:t>
            </w:r>
            <w:r w:rsidR="008918FA">
              <w:rPr>
                <w:spacing w:val="-2"/>
              </w:rPr>
              <w:tab/>
            </w:r>
            <w:r w:rsidR="008918FA">
              <w:rPr>
                <w:spacing w:val="-1"/>
              </w:rPr>
              <w:t>13</w:t>
            </w:r>
          </w:hyperlink>
        </w:p>
        <w:p w:rsidR="008918FA" w:rsidRDefault="00E32C6B" w:rsidP="008918FA">
          <w:pPr>
            <w:pStyle w:val="TOC2"/>
            <w:numPr>
              <w:ilvl w:val="1"/>
              <w:numId w:val="72"/>
            </w:numPr>
            <w:tabs>
              <w:tab w:val="left" w:pos="1560"/>
              <w:tab w:val="right" w:leader="dot" w:pos="9191"/>
            </w:tabs>
            <w:spacing w:before="121"/>
            <w:rPr>
              <w:b w:val="0"/>
              <w:bCs w:val="0"/>
            </w:rPr>
          </w:pPr>
          <w:hyperlink w:anchor="_bookmark43" w:history="1">
            <w:r w:rsidR="008918FA">
              <w:rPr>
                <w:spacing w:val="-1"/>
              </w:rPr>
              <w:t>DEFINITIONS</w:t>
            </w:r>
            <w:r w:rsidR="008918FA">
              <w:rPr>
                <w:spacing w:val="2"/>
              </w:rPr>
              <w:t xml:space="preserve"> </w:t>
            </w:r>
            <w:r w:rsidR="008918FA">
              <w:rPr>
                <w:spacing w:val="-3"/>
              </w:rPr>
              <w:t>AND</w:t>
            </w:r>
            <w:r w:rsidR="008918FA">
              <w:t xml:space="preserve"> </w:t>
            </w:r>
            <w:r w:rsidR="008918FA">
              <w:rPr>
                <w:spacing w:val="-1"/>
              </w:rPr>
              <w:t>INTERPRETATION</w:t>
            </w:r>
            <w:r w:rsidR="008918FA">
              <w:rPr>
                <w:spacing w:val="-1"/>
              </w:rPr>
              <w:tab/>
              <w:t>13</w:t>
            </w:r>
          </w:hyperlink>
        </w:p>
        <w:p w:rsidR="008918FA" w:rsidRDefault="00E32C6B" w:rsidP="008918FA">
          <w:pPr>
            <w:pStyle w:val="TOC2"/>
            <w:numPr>
              <w:ilvl w:val="1"/>
              <w:numId w:val="72"/>
            </w:numPr>
            <w:tabs>
              <w:tab w:val="left" w:pos="1560"/>
              <w:tab w:val="right" w:leader="dot" w:pos="9191"/>
            </w:tabs>
            <w:rPr>
              <w:b w:val="0"/>
              <w:bCs w:val="0"/>
            </w:rPr>
          </w:pPr>
          <w:hyperlink w:anchor="_bookmark47" w:history="1">
            <w:r w:rsidR="008918FA">
              <w:rPr>
                <w:spacing w:val="-2"/>
              </w:rPr>
              <w:t>DUE</w:t>
            </w:r>
            <w:r w:rsidR="008918FA">
              <w:t xml:space="preserve"> </w:t>
            </w:r>
            <w:r w:rsidR="008918FA">
              <w:rPr>
                <w:spacing w:val="-2"/>
              </w:rPr>
              <w:t>DILIGENCE</w:t>
            </w:r>
            <w:r w:rsidR="008918FA">
              <w:rPr>
                <w:spacing w:val="-2"/>
              </w:rPr>
              <w:tab/>
            </w:r>
            <w:r w:rsidR="008918FA">
              <w:rPr>
                <w:spacing w:val="-1"/>
              </w:rPr>
              <w:t>14</w:t>
            </w:r>
          </w:hyperlink>
        </w:p>
        <w:p w:rsidR="008918FA" w:rsidRDefault="00E32C6B" w:rsidP="008918FA">
          <w:pPr>
            <w:pStyle w:val="TOC2"/>
            <w:numPr>
              <w:ilvl w:val="1"/>
              <w:numId w:val="72"/>
            </w:numPr>
            <w:tabs>
              <w:tab w:val="left" w:pos="1560"/>
              <w:tab w:val="right" w:leader="dot" w:pos="9191"/>
            </w:tabs>
            <w:spacing w:before="121"/>
            <w:rPr>
              <w:b w:val="0"/>
              <w:bCs w:val="0"/>
            </w:rPr>
          </w:pPr>
          <w:hyperlink w:anchor="_bookmark48" w:history="1">
            <w:r w:rsidR="008918FA">
              <w:rPr>
                <w:spacing w:val="-1"/>
              </w:rPr>
              <w:t>REPRESENTATIONS</w:t>
            </w:r>
            <w:r w:rsidR="008918FA">
              <w:rPr>
                <w:spacing w:val="2"/>
              </w:rPr>
              <w:t xml:space="preserve"> </w:t>
            </w:r>
            <w:r w:rsidR="008918FA">
              <w:rPr>
                <w:spacing w:val="-2"/>
              </w:rPr>
              <w:t>AND</w:t>
            </w:r>
            <w:r w:rsidR="008918FA">
              <w:t xml:space="preserve"> </w:t>
            </w:r>
            <w:r w:rsidR="008918FA">
              <w:rPr>
                <w:spacing w:val="-2"/>
              </w:rPr>
              <w:t>WARRANTIES</w:t>
            </w:r>
            <w:r w:rsidR="008918FA">
              <w:rPr>
                <w:spacing w:val="-2"/>
              </w:rPr>
              <w:tab/>
            </w:r>
            <w:r w:rsidR="008918FA">
              <w:rPr>
                <w:spacing w:val="-1"/>
              </w:rPr>
              <w:t>14</w:t>
            </w:r>
          </w:hyperlink>
        </w:p>
        <w:p w:rsidR="008918FA" w:rsidRDefault="00E32C6B" w:rsidP="008918FA">
          <w:pPr>
            <w:pStyle w:val="TOC2"/>
            <w:numPr>
              <w:ilvl w:val="1"/>
              <w:numId w:val="72"/>
            </w:numPr>
            <w:tabs>
              <w:tab w:val="left" w:pos="1560"/>
              <w:tab w:val="right" w:leader="dot" w:pos="9191"/>
            </w:tabs>
            <w:rPr>
              <w:b w:val="0"/>
              <w:bCs w:val="0"/>
            </w:rPr>
          </w:pPr>
          <w:hyperlink w:anchor="_bookmark52" w:history="1">
            <w:r w:rsidR="008918FA">
              <w:rPr>
                <w:spacing w:val="-2"/>
              </w:rPr>
              <w:t>CALL</w:t>
            </w:r>
            <w:r w:rsidR="008918FA">
              <w:t xml:space="preserve"> OFF </w:t>
            </w:r>
            <w:r w:rsidR="008918FA">
              <w:rPr>
                <w:spacing w:val="-1"/>
              </w:rPr>
              <w:t>GUARANTEE</w:t>
            </w:r>
            <w:r w:rsidR="008918FA">
              <w:rPr>
                <w:spacing w:val="-1"/>
              </w:rPr>
              <w:tab/>
              <w:t>16</w:t>
            </w:r>
          </w:hyperlink>
        </w:p>
        <w:p w:rsidR="008918FA" w:rsidRDefault="00E32C6B" w:rsidP="008918FA">
          <w:pPr>
            <w:pStyle w:val="TOC1"/>
            <w:numPr>
              <w:ilvl w:val="0"/>
              <w:numId w:val="72"/>
            </w:numPr>
            <w:tabs>
              <w:tab w:val="left" w:pos="972"/>
              <w:tab w:val="right" w:leader="dot" w:pos="9191"/>
            </w:tabs>
            <w:ind w:left="971" w:hanging="852"/>
            <w:rPr>
              <w:b w:val="0"/>
              <w:bCs w:val="0"/>
            </w:rPr>
          </w:pPr>
          <w:hyperlink w:anchor="_bookmark54" w:history="1">
            <w:r w:rsidR="008918FA">
              <w:rPr>
                <w:spacing w:val="-1"/>
              </w:rPr>
              <w:t>DURATION</w:t>
            </w:r>
            <w:r w:rsidR="008918FA">
              <w:t xml:space="preserve"> OF </w:t>
            </w:r>
            <w:r w:rsidR="008918FA">
              <w:rPr>
                <w:spacing w:val="-3"/>
              </w:rPr>
              <w:t>CALL</w:t>
            </w:r>
            <w:r w:rsidR="008918FA">
              <w:t xml:space="preserve"> OFF </w:t>
            </w:r>
            <w:r w:rsidR="008918FA">
              <w:rPr>
                <w:spacing w:val="-1"/>
              </w:rPr>
              <w:t>CONTRACT</w:t>
            </w:r>
            <w:r w:rsidR="008918FA">
              <w:rPr>
                <w:spacing w:val="-1"/>
              </w:rPr>
              <w:tab/>
              <w:t>16</w:t>
            </w:r>
          </w:hyperlink>
        </w:p>
        <w:p w:rsidR="008918FA" w:rsidRDefault="00E32C6B" w:rsidP="008918FA">
          <w:pPr>
            <w:pStyle w:val="TOC2"/>
            <w:numPr>
              <w:ilvl w:val="0"/>
              <w:numId w:val="71"/>
            </w:numPr>
            <w:tabs>
              <w:tab w:val="left" w:pos="1560"/>
              <w:tab w:val="right" w:leader="dot" w:pos="9190"/>
            </w:tabs>
            <w:spacing w:before="121"/>
            <w:ind w:firstLine="0"/>
            <w:rPr>
              <w:b w:val="0"/>
              <w:bCs w:val="0"/>
            </w:rPr>
          </w:pPr>
          <w:hyperlink w:anchor="_bookmark55" w:history="1">
            <w:r w:rsidR="008918FA">
              <w:rPr>
                <w:spacing w:val="-2"/>
              </w:rPr>
              <w:t>CALL</w:t>
            </w:r>
            <w:r w:rsidR="008918FA">
              <w:t xml:space="preserve"> OFF </w:t>
            </w:r>
            <w:r w:rsidR="008918FA">
              <w:rPr>
                <w:spacing w:val="-1"/>
              </w:rPr>
              <w:t>CONTRACT</w:t>
            </w:r>
            <w:r w:rsidR="008918FA">
              <w:rPr>
                <w:spacing w:val="-2"/>
              </w:rPr>
              <w:t xml:space="preserve"> </w:t>
            </w:r>
            <w:r w:rsidR="008918FA">
              <w:rPr>
                <w:spacing w:val="-1"/>
              </w:rPr>
              <w:t>PERIOD</w:t>
            </w:r>
            <w:r w:rsidR="008918FA">
              <w:rPr>
                <w:spacing w:val="-1"/>
              </w:rPr>
              <w:tab/>
              <w:t>16</w:t>
            </w:r>
          </w:hyperlink>
        </w:p>
        <w:p w:rsidR="008918FA" w:rsidRDefault="00E32C6B" w:rsidP="008918FA">
          <w:pPr>
            <w:pStyle w:val="TOC1"/>
            <w:numPr>
              <w:ilvl w:val="0"/>
              <w:numId w:val="72"/>
            </w:numPr>
            <w:tabs>
              <w:tab w:val="left" w:pos="972"/>
              <w:tab w:val="right" w:leader="dot" w:pos="9191"/>
            </w:tabs>
            <w:ind w:left="971" w:hanging="852"/>
            <w:rPr>
              <w:b w:val="0"/>
              <w:bCs w:val="0"/>
            </w:rPr>
          </w:pPr>
          <w:hyperlink w:anchor="_bookmark56" w:history="1">
            <w:r w:rsidR="008918FA">
              <w:rPr>
                <w:spacing w:val="-2"/>
              </w:rPr>
              <w:t>CALL</w:t>
            </w:r>
            <w:r w:rsidR="008918FA">
              <w:t xml:space="preserve"> OFF </w:t>
            </w:r>
            <w:r w:rsidR="008918FA">
              <w:rPr>
                <w:spacing w:val="-1"/>
              </w:rPr>
              <w:t>CONTRACT</w:t>
            </w:r>
            <w:r w:rsidR="008918FA">
              <w:rPr>
                <w:spacing w:val="-2"/>
              </w:rPr>
              <w:t xml:space="preserve"> PERFORMANCE</w:t>
            </w:r>
            <w:r w:rsidR="008918FA">
              <w:rPr>
                <w:spacing w:val="-2"/>
              </w:rPr>
              <w:tab/>
            </w:r>
            <w:r w:rsidR="008918FA">
              <w:rPr>
                <w:spacing w:val="-1"/>
              </w:rPr>
              <w:t>16</w:t>
            </w:r>
          </w:hyperlink>
        </w:p>
        <w:p w:rsidR="008918FA" w:rsidRDefault="00E32C6B" w:rsidP="008918FA">
          <w:pPr>
            <w:pStyle w:val="TOC2"/>
            <w:numPr>
              <w:ilvl w:val="0"/>
              <w:numId w:val="71"/>
            </w:numPr>
            <w:tabs>
              <w:tab w:val="left" w:pos="1560"/>
              <w:tab w:val="right" w:leader="dot" w:pos="9191"/>
            </w:tabs>
            <w:spacing w:before="121"/>
            <w:ind w:left="1559"/>
            <w:rPr>
              <w:b w:val="0"/>
              <w:bCs w:val="0"/>
            </w:rPr>
          </w:pPr>
          <w:hyperlink w:anchor="_bookmark57" w:history="1">
            <w:r w:rsidR="008918FA">
              <w:rPr>
                <w:spacing w:val="-1"/>
              </w:rPr>
              <w:t>IMPLEMENTATION</w:t>
            </w:r>
            <w:r w:rsidR="008918FA">
              <w:t xml:space="preserve"> </w:t>
            </w:r>
            <w:r w:rsidR="008918FA">
              <w:rPr>
                <w:spacing w:val="-2"/>
              </w:rPr>
              <w:t>PLAN</w:t>
            </w:r>
            <w:r w:rsidR="008918FA">
              <w:rPr>
                <w:spacing w:val="-2"/>
              </w:rPr>
              <w:tab/>
            </w:r>
            <w:r w:rsidR="008918FA">
              <w:rPr>
                <w:spacing w:val="-1"/>
              </w:rPr>
              <w:t>16</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64" w:history="1">
            <w:r w:rsidR="008918FA">
              <w:rPr>
                <w:spacing w:val="-1"/>
              </w:rPr>
              <w:t>GOODS</w:t>
            </w:r>
            <w:r w:rsidR="008918FA">
              <w:rPr>
                <w:spacing w:val="2"/>
              </w:rPr>
              <w:t xml:space="preserve"> </w:t>
            </w:r>
            <w:r w:rsidR="008918FA">
              <w:rPr>
                <w:spacing w:val="-2"/>
              </w:rPr>
              <w:t>AND/OR</w:t>
            </w:r>
            <w:r w:rsidR="008918FA">
              <w:t xml:space="preserve"> </w:t>
            </w:r>
            <w:r w:rsidR="008918FA">
              <w:rPr>
                <w:spacing w:val="-1"/>
              </w:rPr>
              <w:t>SERVICES</w:t>
            </w:r>
            <w:r w:rsidR="008918FA">
              <w:rPr>
                <w:spacing w:val="-1"/>
              </w:rPr>
              <w:tab/>
              <w:t>18</w:t>
            </w:r>
          </w:hyperlink>
        </w:p>
        <w:p w:rsidR="008918FA" w:rsidRDefault="00E32C6B" w:rsidP="008918FA">
          <w:pPr>
            <w:pStyle w:val="TOC2"/>
            <w:numPr>
              <w:ilvl w:val="0"/>
              <w:numId w:val="71"/>
            </w:numPr>
            <w:tabs>
              <w:tab w:val="left" w:pos="1560"/>
              <w:tab w:val="right" w:leader="dot" w:pos="9190"/>
            </w:tabs>
            <w:ind w:left="1559"/>
            <w:rPr>
              <w:b w:val="0"/>
              <w:bCs w:val="0"/>
            </w:rPr>
          </w:pPr>
          <w:hyperlink w:anchor="_bookmark70" w:history="1">
            <w:r w:rsidR="008918FA">
              <w:rPr>
                <w:spacing w:val="-1"/>
              </w:rPr>
              <w:t>SERVICES</w:t>
            </w:r>
            <w:r w:rsidR="008918FA">
              <w:rPr>
                <w:spacing w:val="-1"/>
              </w:rPr>
              <w:tab/>
              <w:t>20</w:t>
            </w:r>
          </w:hyperlink>
        </w:p>
        <w:p w:rsidR="008918FA" w:rsidRDefault="00E32C6B" w:rsidP="008918FA">
          <w:pPr>
            <w:pStyle w:val="TOC2"/>
            <w:numPr>
              <w:ilvl w:val="0"/>
              <w:numId w:val="71"/>
            </w:numPr>
            <w:tabs>
              <w:tab w:val="left" w:pos="1559"/>
              <w:tab w:val="right" w:leader="dot" w:pos="9190"/>
            </w:tabs>
            <w:spacing w:before="121"/>
            <w:ind w:left="1558"/>
            <w:rPr>
              <w:b w:val="0"/>
              <w:bCs w:val="0"/>
            </w:rPr>
          </w:pPr>
          <w:hyperlink w:anchor="_bookmark76" w:history="1">
            <w:r w:rsidR="008918FA">
              <w:rPr>
                <w:spacing w:val="-1"/>
              </w:rPr>
              <w:t>GOODS</w:t>
            </w:r>
            <w:r w:rsidR="008918FA">
              <w:rPr>
                <w:spacing w:val="-1"/>
              </w:rPr>
              <w:tab/>
              <w:t>22</w:t>
            </w:r>
          </w:hyperlink>
        </w:p>
        <w:p w:rsidR="008918FA" w:rsidRDefault="00E32C6B" w:rsidP="008918FA">
          <w:pPr>
            <w:pStyle w:val="TOC2"/>
            <w:numPr>
              <w:ilvl w:val="0"/>
              <w:numId w:val="71"/>
            </w:numPr>
            <w:tabs>
              <w:tab w:val="left" w:pos="1559"/>
              <w:tab w:val="right" w:leader="dot" w:pos="9190"/>
            </w:tabs>
            <w:ind w:left="1558"/>
            <w:rPr>
              <w:b w:val="0"/>
              <w:bCs w:val="0"/>
            </w:rPr>
          </w:pPr>
          <w:hyperlink w:anchor="_bookmark90" w:history="1">
            <w:r w:rsidR="008918FA">
              <w:rPr>
                <w:spacing w:val="-1"/>
              </w:rPr>
              <w:t>INSTALLATION</w:t>
            </w:r>
            <w:r w:rsidR="008918FA">
              <w:t xml:space="preserve"> </w:t>
            </w:r>
            <w:r w:rsidR="008918FA">
              <w:rPr>
                <w:spacing w:val="-1"/>
              </w:rPr>
              <w:t>WORKS</w:t>
            </w:r>
            <w:r w:rsidR="008918FA">
              <w:rPr>
                <w:spacing w:val="-1"/>
              </w:rPr>
              <w:tab/>
              <w:t>25</w:t>
            </w:r>
          </w:hyperlink>
        </w:p>
        <w:p w:rsidR="008918FA" w:rsidRDefault="00E32C6B" w:rsidP="008918FA">
          <w:pPr>
            <w:pStyle w:val="TOC2"/>
            <w:numPr>
              <w:ilvl w:val="0"/>
              <w:numId w:val="71"/>
            </w:numPr>
            <w:tabs>
              <w:tab w:val="left" w:pos="1559"/>
              <w:tab w:val="right" w:leader="dot" w:pos="9190"/>
            </w:tabs>
            <w:spacing w:before="121"/>
            <w:ind w:left="1558"/>
            <w:rPr>
              <w:b w:val="0"/>
              <w:bCs w:val="0"/>
            </w:rPr>
          </w:pPr>
          <w:hyperlink w:anchor="_bookmark91" w:history="1">
            <w:r w:rsidR="008918FA">
              <w:rPr>
                <w:spacing w:val="-1"/>
              </w:rPr>
              <w:t>STANDARDS</w:t>
            </w:r>
            <w:r w:rsidR="008918FA">
              <w:rPr>
                <w:spacing w:val="2"/>
              </w:rPr>
              <w:t xml:space="preserve"> </w:t>
            </w:r>
            <w:r w:rsidR="008918FA">
              <w:rPr>
                <w:spacing w:val="-2"/>
              </w:rPr>
              <w:t>AND</w:t>
            </w:r>
            <w:r w:rsidR="008918FA">
              <w:t xml:space="preserve"> </w:t>
            </w:r>
            <w:r w:rsidR="008918FA">
              <w:rPr>
                <w:spacing w:val="-1"/>
              </w:rPr>
              <w:t>QUALITY</w:t>
            </w:r>
            <w:r w:rsidR="008918FA">
              <w:rPr>
                <w:spacing w:val="-1"/>
              </w:rPr>
              <w:tab/>
              <w:t>25</w:t>
            </w:r>
          </w:hyperlink>
        </w:p>
        <w:p w:rsidR="008918FA" w:rsidRDefault="00E32C6B" w:rsidP="008918FA">
          <w:pPr>
            <w:pStyle w:val="TOC2"/>
            <w:numPr>
              <w:ilvl w:val="0"/>
              <w:numId w:val="71"/>
            </w:numPr>
            <w:tabs>
              <w:tab w:val="left" w:pos="1559"/>
              <w:tab w:val="right" w:leader="dot" w:pos="9190"/>
            </w:tabs>
            <w:ind w:left="1558"/>
            <w:rPr>
              <w:b w:val="0"/>
              <w:bCs w:val="0"/>
            </w:rPr>
          </w:pPr>
          <w:hyperlink w:anchor="_bookmark93" w:history="1">
            <w:r w:rsidR="008918FA">
              <w:rPr>
                <w:spacing w:val="-1"/>
              </w:rPr>
              <w:t>TESTING</w:t>
            </w:r>
            <w:r w:rsidR="008918FA">
              <w:rPr>
                <w:spacing w:val="-1"/>
              </w:rPr>
              <w:tab/>
              <w:t>25</w:t>
            </w:r>
          </w:hyperlink>
        </w:p>
        <w:p w:rsidR="008918FA" w:rsidRDefault="00E32C6B" w:rsidP="008918FA">
          <w:pPr>
            <w:pStyle w:val="TOC2"/>
            <w:numPr>
              <w:ilvl w:val="0"/>
              <w:numId w:val="71"/>
            </w:numPr>
            <w:tabs>
              <w:tab w:val="left" w:pos="1559"/>
              <w:tab w:val="right" w:leader="dot" w:pos="9190"/>
            </w:tabs>
            <w:spacing w:before="121"/>
            <w:ind w:left="1558"/>
            <w:rPr>
              <w:b w:val="0"/>
              <w:bCs w:val="0"/>
            </w:rPr>
          </w:pPr>
          <w:hyperlink w:anchor="_bookmark94" w:history="1">
            <w:r w:rsidR="008918FA">
              <w:rPr>
                <w:spacing w:val="-1"/>
              </w:rPr>
              <w:t>SERVICE</w:t>
            </w:r>
            <w:r w:rsidR="008918FA">
              <w:t xml:space="preserve"> </w:t>
            </w:r>
            <w:r w:rsidR="008918FA">
              <w:rPr>
                <w:spacing w:val="-1"/>
              </w:rPr>
              <w:t>LEVELS</w:t>
            </w:r>
            <w:r w:rsidR="008918FA">
              <w:rPr>
                <w:spacing w:val="2"/>
              </w:rPr>
              <w:t xml:space="preserve"> </w:t>
            </w:r>
            <w:r w:rsidR="008918FA">
              <w:rPr>
                <w:spacing w:val="-2"/>
              </w:rPr>
              <w:t>AND</w:t>
            </w:r>
            <w:r w:rsidR="008918FA">
              <w:rPr>
                <w:spacing w:val="2"/>
              </w:rPr>
              <w:t xml:space="preserve"> </w:t>
            </w:r>
            <w:r w:rsidR="008918FA">
              <w:rPr>
                <w:spacing w:val="-1"/>
              </w:rPr>
              <w:t>SERVICE</w:t>
            </w:r>
            <w:r w:rsidR="008918FA">
              <w:t xml:space="preserve"> </w:t>
            </w:r>
            <w:r w:rsidR="008918FA">
              <w:rPr>
                <w:spacing w:val="-2"/>
              </w:rPr>
              <w:t>CREDITS</w:t>
            </w:r>
            <w:r w:rsidR="008918FA">
              <w:rPr>
                <w:spacing w:val="-2"/>
              </w:rPr>
              <w:tab/>
            </w:r>
            <w:r w:rsidR="008918FA">
              <w:rPr>
                <w:spacing w:val="-1"/>
              </w:rPr>
              <w:t>25</w:t>
            </w:r>
          </w:hyperlink>
        </w:p>
        <w:p w:rsidR="008918FA" w:rsidRDefault="00E32C6B" w:rsidP="008918FA">
          <w:pPr>
            <w:pStyle w:val="TOC2"/>
            <w:numPr>
              <w:ilvl w:val="0"/>
              <w:numId w:val="71"/>
            </w:numPr>
            <w:tabs>
              <w:tab w:val="left" w:pos="1559"/>
              <w:tab w:val="right" w:leader="dot" w:pos="9190"/>
            </w:tabs>
            <w:ind w:left="1558"/>
            <w:rPr>
              <w:b w:val="0"/>
              <w:bCs w:val="0"/>
            </w:rPr>
          </w:pPr>
          <w:hyperlink w:anchor="_bookmark99" w:history="1">
            <w:r w:rsidR="008918FA">
              <w:rPr>
                <w:spacing w:val="-1"/>
              </w:rPr>
              <w:t>CRITICAL</w:t>
            </w:r>
            <w:r w:rsidR="008918FA">
              <w:t xml:space="preserve"> </w:t>
            </w:r>
            <w:r w:rsidR="008918FA">
              <w:rPr>
                <w:spacing w:val="-1"/>
              </w:rPr>
              <w:t>SERVICE</w:t>
            </w:r>
            <w:r w:rsidR="008918FA">
              <w:t xml:space="preserve"> </w:t>
            </w:r>
            <w:r w:rsidR="008918FA">
              <w:rPr>
                <w:spacing w:val="-1"/>
              </w:rPr>
              <w:t>LEVEL</w:t>
            </w:r>
            <w:r w:rsidR="008918FA">
              <w:t xml:space="preserve"> </w:t>
            </w:r>
            <w:r w:rsidR="008918FA">
              <w:rPr>
                <w:spacing w:val="-2"/>
              </w:rPr>
              <w:t>FAILURE</w:t>
            </w:r>
            <w:r w:rsidR="008918FA">
              <w:rPr>
                <w:spacing w:val="-2"/>
              </w:rPr>
              <w:tab/>
            </w:r>
            <w:r w:rsidR="008918FA">
              <w:rPr>
                <w:spacing w:val="-1"/>
              </w:rPr>
              <w:t>26</w:t>
            </w:r>
          </w:hyperlink>
        </w:p>
        <w:p w:rsidR="008918FA" w:rsidRDefault="00E32C6B" w:rsidP="008918FA">
          <w:pPr>
            <w:pStyle w:val="TOC2"/>
            <w:numPr>
              <w:ilvl w:val="0"/>
              <w:numId w:val="71"/>
            </w:numPr>
            <w:tabs>
              <w:tab w:val="left" w:pos="1559"/>
              <w:tab w:val="right" w:leader="dot" w:pos="9190"/>
            </w:tabs>
            <w:ind w:left="1558"/>
            <w:rPr>
              <w:b w:val="0"/>
              <w:bCs w:val="0"/>
            </w:rPr>
          </w:pPr>
          <w:hyperlink w:anchor="_bookmark102" w:history="1">
            <w:r w:rsidR="008918FA">
              <w:rPr>
                <w:spacing w:val="-1"/>
              </w:rPr>
              <w:t>BUSINESS</w:t>
            </w:r>
            <w:r w:rsidR="008918FA">
              <w:t xml:space="preserve"> </w:t>
            </w:r>
            <w:r w:rsidR="008918FA">
              <w:rPr>
                <w:spacing w:val="-1"/>
              </w:rPr>
              <w:t>CONTINUITY</w:t>
            </w:r>
            <w:r w:rsidR="008918FA">
              <w:rPr>
                <w:spacing w:val="2"/>
              </w:rPr>
              <w:t xml:space="preserve"> </w:t>
            </w:r>
            <w:r w:rsidR="008918FA">
              <w:rPr>
                <w:spacing w:val="-3"/>
              </w:rPr>
              <w:t>AND</w:t>
            </w:r>
            <w:r w:rsidR="008918FA">
              <w:t xml:space="preserve"> </w:t>
            </w:r>
            <w:r w:rsidR="008918FA">
              <w:rPr>
                <w:spacing w:val="-1"/>
              </w:rPr>
              <w:t>DISASTER</w:t>
            </w:r>
            <w:r w:rsidR="008918FA">
              <w:t xml:space="preserve"> </w:t>
            </w:r>
            <w:r w:rsidR="008918FA">
              <w:rPr>
                <w:spacing w:val="-1"/>
              </w:rPr>
              <w:t>RECOVERY</w:t>
            </w:r>
            <w:r w:rsidR="008918FA">
              <w:rPr>
                <w:spacing w:val="-1"/>
              </w:rPr>
              <w:tab/>
              <w:t>27</w:t>
            </w:r>
          </w:hyperlink>
        </w:p>
        <w:p w:rsidR="008918FA" w:rsidRDefault="00E32C6B" w:rsidP="008918FA">
          <w:pPr>
            <w:pStyle w:val="TOC2"/>
            <w:numPr>
              <w:ilvl w:val="0"/>
              <w:numId w:val="71"/>
            </w:numPr>
            <w:tabs>
              <w:tab w:val="left" w:pos="1559"/>
              <w:tab w:val="right" w:leader="dot" w:pos="9190"/>
            </w:tabs>
            <w:spacing w:before="121"/>
            <w:ind w:left="1558"/>
            <w:rPr>
              <w:b w:val="0"/>
              <w:bCs w:val="0"/>
            </w:rPr>
          </w:pPr>
          <w:hyperlink w:anchor="_bookmark103" w:history="1">
            <w:r w:rsidR="008918FA">
              <w:rPr>
                <w:spacing w:val="-1"/>
              </w:rPr>
              <w:t>DISRUPTION</w:t>
            </w:r>
            <w:r w:rsidR="008918FA">
              <w:rPr>
                <w:spacing w:val="-1"/>
              </w:rPr>
              <w:tab/>
              <w:t>27</w:t>
            </w:r>
          </w:hyperlink>
        </w:p>
        <w:p w:rsidR="008918FA" w:rsidRDefault="00E32C6B" w:rsidP="008918FA">
          <w:pPr>
            <w:pStyle w:val="TOC2"/>
            <w:numPr>
              <w:ilvl w:val="0"/>
              <w:numId w:val="71"/>
            </w:numPr>
            <w:tabs>
              <w:tab w:val="left" w:pos="1559"/>
              <w:tab w:val="right" w:leader="dot" w:pos="9189"/>
            </w:tabs>
            <w:ind w:left="1558"/>
            <w:rPr>
              <w:b w:val="0"/>
              <w:bCs w:val="0"/>
            </w:rPr>
          </w:pPr>
          <w:hyperlink w:anchor="_bookmark106" w:history="1">
            <w:r w:rsidR="008918FA">
              <w:rPr>
                <w:spacing w:val="-1"/>
              </w:rPr>
              <w:t>SUPPLIER</w:t>
            </w:r>
            <w:r w:rsidR="008918FA">
              <w:t xml:space="preserve"> </w:t>
            </w:r>
            <w:r w:rsidR="008918FA">
              <w:rPr>
                <w:spacing w:val="-1"/>
              </w:rPr>
              <w:t>NOTIFICATION</w:t>
            </w:r>
            <w:r w:rsidR="008918FA">
              <w:rPr>
                <w:spacing w:val="-3"/>
              </w:rPr>
              <w:t xml:space="preserve"> </w:t>
            </w:r>
            <w:r w:rsidR="008918FA">
              <w:t xml:space="preserve">OF </w:t>
            </w:r>
            <w:r w:rsidR="008918FA">
              <w:rPr>
                <w:spacing w:val="-1"/>
              </w:rPr>
              <w:t>CUSTOMER</w:t>
            </w:r>
            <w:r w:rsidR="008918FA">
              <w:t xml:space="preserve"> </w:t>
            </w:r>
            <w:r w:rsidR="008918FA">
              <w:rPr>
                <w:spacing w:val="-2"/>
              </w:rPr>
              <w:t>CAUSE</w:t>
            </w:r>
            <w:r w:rsidR="008918FA">
              <w:rPr>
                <w:spacing w:val="-2"/>
              </w:rPr>
              <w:tab/>
            </w:r>
            <w:r w:rsidR="008918FA">
              <w:rPr>
                <w:spacing w:val="-1"/>
              </w:rPr>
              <w:t>27</w:t>
            </w:r>
          </w:hyperlink>
        </w:p>
        <w:p w:rsidR="008918FA" w:rsidRDefault="00E32C6B" w:rsidP="008918FA">
          <w:pPr>
            <w:pStyle w:val="TOC2"/>
            <w:numPr>
              <w:ilvl w:val="0"/>
              <w:numId w:val="71"/>
            </w:numPr>
            <w:tabs>
              <w:tab w:val="left" w:pos="1559"/>
              <w:tab w:val="right" w:leader="dot" w:pos="9189"/>
            </w:tabs>
            <w:spacing w:before="121"/>
            <w:ind w:left="1558"/>
            <w:rPr>
              <w:b w:val="0"/>
              <w:bCs w:val="0"/>
            </w:rPr>
          </w:pPr>
          <w:hyperlink w:anchor="_bookmark108" w:history="1">
            <w:r w:rsidR="008918FA">
              <w:rPr>
                <w:spacing w:val="-1"/>
              </w:rPr>
              <w:t>CONTINUOUS</w:t>
            </w:r>
            <w:r w:rsidR="008918FA">
              <w:t xml:space="preserve"> </w:t>
            </w:r>
            <w:r w:rsidR="008918FA">
              <w:rPr>
                <w:spacing w:val="-2"/>
              </w:rPr>
              <w:t>IMPROVEMENT</w:t>
            </w:r>
            <w:r w:rsidR="008918FA">
              <w:rPr>
                <w:spacing w:val="-2"/>
              </w:rPr>
              <w:tab/>
            </w:r>
            <w:r w:rsidR="008918FA">
              <w:rPr>
                <w:spacing w:val="-1"/>
              </w:rPr>
              <w:t>28</w:t>
            </w:r>
          </w:hyperlink>
        </w:p>
        <w:p w:rsidR="008918FA" w:rsidRDefault="00E32C6B" w:rsidP="008918FA">
          <w:pPr>
            <w:pStyle w:val="TOC1"/>
            <w:numPr>
              <w:ilvl w:val="0"/>
              <w:numId w:val="72"/>
            </w:numPr>
            <w:tabs>
              <w:tab w:val="left" w:pos="971"/>
              <w:tab w:val="right" w:leader="dot" w:pos="9189"/>
            </w:tabs>
            <w:ind w:left="970" w:hanging="852"/>
            <w:rPr>
              <w:b w:val="0"/>
              <w:bCs w:val="0"/>
            </w:rPr>
          </w:pPr>
          <w:hyperlink w:anchor="_bookmark109" w:history="1">
            <w:r w:rsidR="008918FA">
              <w:rPr>
                <w:spacing w:val="-2"/>
              </w:rPr>
              <w:t>CALL</w:t>
            </w:r>
            <w:r w:rsidR="008918FA">
              <w:t xml:space="preserve"> OFF </w:t>
            </w:r>
            <w:r w:rsidR="008918FA">
              <w:rPr>
                <w:spacing w:val="-1"/>
              </w:rPr>
              <w:t>CONTRACT</w:t>
            </w:r>
            <w:r w:rsidR="008918FA">
              <w:rPr>
                <w:spacing w:val="-2"/>
              </w:rPr>
              <w:t xml:space="preserve"> GOVERNANCE</w:t>
            </w:r>
            <w:r w:rsidR="008918FA">
              <w:rPr>
                <w:spacing w:val="-2"/>
              </w:rPr>
              <w:tab/>
            </w:r>
            <w:r w:rsidR="008918FA">
              <w:rPr>
                <w:spacing w:val="-1"/>
              </w:rPr>
              <w:t>28</w:t>
            </w:r>
          </w:hyperlink>
        </w:p>
        <w:p w:rsidR="008918FA" w:rsidRDefault="00E32C6B" w:rsidP="008918FA">
          <w:pPr>
            <w:pStyle w:val="TOC2"/>
            <w:numPr>
              <w:ilvl w:val="0"/>
              <w:numId w:val="71"/>
            </w:numPr>
            <w:tabs>
              <w:tab w:val="left" w:pos="1559"/>
              <w:tab w:val="right" w:leader="dot" w:pos="9189"/>
            </w:tabs>
            <w:ind w:left="1558"/>
            <w:rPr>
              <w:b w:val="0"/>
              <w:bCs w:val="0"/>
            </w:rPr>
          </w:pPr>
          <w:hyperlink w:anchor="_bookmark110" w:history="1">
            <w:r w:rsidR="008918FA">
              <w:rPr>
                <w:spacing w:val="-2"/>
              </w:rPr>
              <w:t>PERFORMANCE</w:t>
            </w:r>
            <w:r w:rsidR="008918FA">
              <w:t xml:space="preserve"> </w:t>
            </w:r>
            <w:r w:rsidR="008918FA">
              <w:rPr>
                <w:spacing w:val="-2"/>
              </w:rPr>
              <w:t>MONITORING</w:t>
            </w:r>
            <w:r w:rsidR="008918FA">
              <w:rPr>
                <w:spacing w:val="-2"/>
              </w:rPr>
              <w:tab/>
            </w:r>
            <w:r w:rsidR="008918FA">
              <w:rPr>
                <w:spacing w:val="-1"/>
              </w:rPr>
              <w:t>29</w:t>
            </w:r>
          </w:hyperlink>
        </w:p>
        <w:p w:rsidR="008918FA" w:rsidRDefault="00E32C6B" w:rsidP="008918FA">
          <w:pPr>
            <w:pStyle w:val="TOC2"/>
            <w:numPr>
              <w:ilvl w:val="0"/>
              <w:numId w:val="71"/>
            </w:numPr>
            <w:tabs>
              <w:tab w:val="left" w:pos="1558"/>
              <w:tab w:val="right" w:leader="dot" w:pos="9189"/>
            </w:tabs>
            <w:spacing w:before="121"/>
            <w:ind w:left="1557"/>
            <w:rPr>
              <w:b w:val="0"/>
              <w:bCs w:val="0"/>
            </w:rPr>
          </w:pPr>
          <w:hyperlink w:anchor="_bookmark112" w:history="1">
            <w:r w:rsidR="008918FA">
              <w:rPr>
                <w:spacing w:val="-1"/>
              </w:rPr>
              <w:t>REPRESENTATIVES</w:t>
            </w:r>
            <w:r w:rsidR="008918FA">
              <w:rPr>
                <w:spacing w:val="-1"/>
              </w:rPr>
              <w:tab/>
              <w:t>29</w:t>
            </w:r>
          </w:hyperlink>
        </w:p>
        <w:p w:rsidR="008918FA" w:rsidRDefault="00E32C6B" w:rsidP="008918FA">
          <w:pPr>
            <w:pStyle w:val="TOC2"/>
            <w:numPr>
              <w:ilvl w:val="0"/>
              <w:numId w:val="71"/>
            </w:numPr>
            <w:tabs>
              <w:tab w:val="left" w:pos="1558"/>
              <w:tab w:val="right" w:leader="dot" w:pos="9189"/>
            </w:tabs>
            <w:ind w:left="1557"/>
            <w:rPr>
              <w:b w:val="0"/>
              <w:bCs w:val="0"/>
            </w:rPr>
          </w:pPr>
          <w:hyperlink w:anchor="_bookmark115" w:history="1">
            <w:r w:rsidR="008918FA">
              <w:rPr>
                <w:spacing w:val="-2"/>
              </w:rPr>
              <w:t>RECORDS,</w:t>
            </w:r>
            <w:r w:rsidR="008918FA">
              <w:rPr>
                <w:spacing w:val="4"/>
              </w:rPr>
              <w:t xml:space="preserve"> </w:t>
            </w:r>
            <w:r w:rsidR="008918FA">
              <w:rPr>
                <w:spacing w:val="-2"/>
              </w:rPr>
              <w:t>AUDIT</w:t>
            </w:r>
            <w:r w:rsidR="008918FA">
              <w:rPr>
                <w:spacing w:val="3"/>
              </w:rPr>
              <w:t xml:space="preserve"> </w:t>
            </w:r>
            <w:r w:rsidR="008918FA">
              <w:rPr>
                <w:spacing w:val="-1"/>
              </w:rPr>
              <w:t>ACCESS</w:t>
            </w:r>
            <w:r w:rsidR="008918FA">
              <w:rPr>
                <w:spacing w:val="2"/>
              </w:rPr>
              <w:t xml:space="preserve"> </w:t>
            </w:r>
            <w:r w:rsidR="008918FA">
              <w:rPr>
                <w:spacing w:val="-2"/>
              </w:rPr>
              <w:t>AND</w:t>
            </w:r>
            <w:r w:rsidR="008918FA">
              <w:t xml:space="preserve"> </w:t>
            </w:r>
            <w:r w:rsidR="008918FA">
              <w:rPr>
                <w:spacing w:val="-1"/>
              </w:rPr>
              <w:t>OPEN</w:t>
            </w:r>
            <w:r w:rsidR="008918FA">
              <w:t xml:space="preserve"> </w:t>
            </w:r>
            <w:r w:rsidR="008918FA">
              <w:rPr>
                <w:spacing w:val="-1"/>
              </w:rPr>
              <w:t>BOOK</w:t>
            </w:r>
            <w:r w:rsidR="008918FA">
              <w:rPr>
                <w:spacing w:val="-3"/>
              </w:rPr>
              <w:t xml:space="preserve"> </w:t>
            </w:r>
            <w:r w:rsidR="008918FA">
              <w:rPr>
                <w:spacing w:val="-1"/>
              </w:rPr>
              <w:t>DATA</w:t>
            </w:r>
            <w:r w:rsidR="008918FA">
              <w:rPr>
                <w:spacing w:val="-1"/>
              </w:rPr>
              <w:tab/>
              <w:t>29</w:t>
            </w:r>
          </w:hyperlink>
        </w:p>
        <w:p w:rsidR="008918FA" w:rsidRDefault="00E32C6B" w:rsidP="008918FA">
          <w:pPr>
            <w:pStyle w:val="TOC2"/>
            <w:numPr>
              <w:ilvl w:val="0"/>
              <w:numId w:val="71"/>
            </w:numPr>
            <w:tabs>
              <w:tab w:val="left" w:pos="1558"/>
              <w:tab w:val="right" w:leader="dot" w:pos="9189"/>
            </w:tabs>
            <w:spacing w:before="121"/>
            <w:ind w:left="1557"/>
            <w:rPr>
              <w:b w:val="0"/>
              <w:bCs w:val="0"/>
            </w:rPr>
          </w:pPr>
          <w:hyperlink w:anchor="_bookmark118" w:history="1">
            <w:r w:rsidR="008918FA">
              <w:rPr>
                <w:spacing w:val="-1"/>
              </w:rPr>
              <w:t>CHANGE</w:t>
            </w:r>
            <w:r w:rsidR="008918FA">
              <w:rPr>
                <w:spacing w:val="-1"/>
              </w:rPr>
              <w:tab/>
              <w:t>31</w:t>
            </w:r>
          </w:hyperlink>
        </w:p>
        <w:p w:rsidR="008918FA" w:rsidRDefault="00E32C6B" w:rsidP="008918FA">
          <w:pPr>
            <w:pStyle w:val="TOC1"/>
            <w:numPr>
              <w:ilvl w:val="0"/>
              <w:numId w:val="72"/>
            </w:numPr>
            <w:tabs>
              <w:tab w:val="left" w:pos="970"/>
              <w:tab w:val="right" w:leader="dot" w:pos="9189"/>
            </w:tabs>
            <w:ind w:left="969" w:hanging="852"/>
            <w:rPr>
              <w:b w:val="0"/>
              <w:bCs w:val="0"/>
            </w:rPr>
          </w:pPr>
          <w:hyperlink w:anchor="_bookmark124" w:history="1">
            <w:r w:rsidR="008918FA">
              <w:rPr>
                <w:spacing w:val="-2"/>
              </w:rPr>
              <w:t>PAYMENT,</w:t>
            </w:r>
            <w:r w:rsidR="008918FA">
              <w:rPr>
                <w:spacing w:val="2"/>
              </w:rPr>
              <w:t xml:space="preserve"> </w:t>
            </w:r>
            <w:r w:rsidR="008918FA">
              <w:rPr>
                <w:spacing w:val="-1"/>
              </w:rPr>
              <w:t>TAXATION</w:t>
            </w:r>
            <w:r w:rsidR="008918FA">
              <w:t xml:space="preserve"> </w:t>
            </w:r>
            <w:r w:rsidR="008918FA">
              <w:rPr>
                <w:spacing w:val="-2"/>
              </w:rPr>
              <w:t>AND</w:t>
            </w:r>
            <w:r w:rsidR="008918FA">
              <w:t xml:space="preserve"> </w:t>
            </w:r>
            <w:r w:rsidR="008918FA">
              <w:rPr>
                <w:spacing w:val="-1"/>
              </w:rPr>
              <w:t>VALUE</w:t>
            </w:r>
            <w:r w:rsidR="008918FA">
              <w:t xml:space="preserve"> FOR </w:t>
            </w:r>
            <w:r w:rsidR="008918FA">
              <w:rPr>
                <w:spacing w:val="-2"/>
              </w:rPr>
              <w:t>MONEY</w:t>
            </w:r>
            <w:r w:rsidR="008918FA">
              <w:t xml:space="preserve"> </w:t>
            </w:r>
            <w:r w:rsidR="008918FA">
              <w:rPr>
                <w:spacing w:val="-1"/>
              </w:rPr>
              <w:t>PROVISIONS</w:t>
            </w:r>
            <w:r w:rsidR="008918FA">
              <w:rPr>
                <w:spacing w:val="-1"/>
              </w:rPr>
              <w:tab/>
              <w:t>33</w:t>
            </w:r>
          </w:hyperlink>
        </w:p>
        <w:p w:rsidR="008918FA" w:rsidRDefault="00E32C6B" w:rsidP="008918FA">
          <w:pPr>
            <w:pStyle w:val="TOC2"/>
            <w:numPr>
              <w:ilvl w:val="0"/>
              <w:numId w:val="71"/>
            </w:numPr>
            <w:tabs>
              <w:tab w:val="left" w:pos="1558"/>
              <w:tab w:val="right" w:leader="dot" w:pos="9189"/>
            </w:tabs>
            <w:ind w:left="1557"/>
            <w:rPr>
              <w:b w:val="0"/>
              <w:bCs w:val="0"/>
            </w:rPr>
          </w:pPr>
          <w:hyperlink w:anchor="_bookmark125" w:history="1">
            <w:r w:rsidR="008918FA">
              <w:rPr>
                <w:spacing w:val="-2"/>
              </w:rPr>
              <w:t>CALL</w:t>
            </w:r>
            <w:r w:rsidR="008918FA">
              <w:t xml:space="preserve"> OFF </w:t>
            </w:r>
            <w:r w:rsidR="008918FA">
              <w:rPr>
                <w:spacing w:val="-1"/>
              </w:rPr>
              <w:t>CONTRACT</w:t>
            </w:r>
            <w:r w:rsidR="008918FA">
              <w:rPr>
                <w:spacing w:val="-2"/>
              </w:rPr>
              <w:t xml:space="preserve"> </w:t>
            </w:r>
            <w:r w:rsidR="008918FA">
              <w:rPr>
                <w:spacing w:val="-1"/>
              </w:rPr>
              <w:t>CHARGES</w:t>
            </w:r>
            <w:r w:rsidR="008918FA">
              <w:rPr>
                <w:spacing w:val="2"/>
              </w:rPr>
              <w:t xml:space="preserve"> </w:t>
            </w:r>
            <w:r w:rsidR="008918FA">
              <w:rPr>
                <w:spacing w:val="-3"/>
              </w:rPr>
              <w:t>AND</w:t>
            </w:r>
            <w:r w:rsidR="008918FA">
              <w:t xml:space="preserve"> </w:t>
            </w:r>
            <w:r w:rsidR="008918FA">
              <w:rPr>
                <w:spacing w:val="-1"/>
              </w:rPr>
              <w:t>PAYMENT</w:t>
            </w:r>
            <w:r w:rsidR="008918FA">
              <w:rPr>
                <w:spacing w:val="-1"/>
              </w:rPr>
              <w:tab/>
              <w:t>33</w:t>
            </w:r>
          </w:hyperlink>
        </w:p>
        <w:p w:rsidR="008918FA" w:rsidRDefault="00E32C6B" w:rsidP="008918FA">
          <w:pPr>
            <w:pStyle w:val="TOC2"/>
            <w:numPr>
              <w:ilvl w:val="0"/>
              <w:numId w:val="71"/>
            </w:numPr>
            <w:tabs>
              <w:tab w:val="left" w:pos="1561"/>
              <w:tab w:val="right" w:leader="dot" w:pos="9191"/>
            </w:tabs>
            <w:spacing w:before="120"/>
            <w:ind w:left="1560"/>
            <w:rPr>
              <w:b w:val="0"/>
              <w:bCs w:val="0"/>
            </w:rPr>
          </w:pPr>
          <w:hyperlink w:anchor="_bookmark134" w:history="1">
            <w:r w:rsidR="008918FA">
              <w:rPr>
                <w:spacing w:val="-1"/>
              </w:rPr>
              <w:t>PROMOTING</w:t>
            </w:r>
            <w:r w:rsidR="008918FA">
              <w:rPr>
                <w:spacing w:val="2"/>
              </w:rPr>
              <w:t xml:space="preserve"> </w:t>
            </w:r>
            <w:r w:rsidR="008918FA">
              <w:rPr>
                <w:spacing w:val="-3"/>
              </w:rPr>
              <w:t>TAX</w:t>
            </w:r>
            <w:r w:rsidR="008918FA">
              <w:t xml:space="preserve"> </w:t>
            </w:r>
            <w:r w:rsidR="008918FA">
              <w:rPr>
                <w:spacing w:val="-2"/>
              </w:rPr>
              <w:t>COMPLIANCE</w:t>
            </w:r>
            <w:r w:rsidR="008918FA">
              <w:rPr>
                <w:spacing w:val="-2"/>
              </w:rPr>
              <w:tab/>
            </w:r>
            <w:r w:rsidR="008918FA">
              <w:rPr>
                <w:spacing w:val="-1"/>
              </w:rPr>
              <w:t>35</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135" w:history="1">
            <w:r w:rsidR="008918FA">
              <w:rPr>
                <w:spacing w:val="-2"/>
              </w:rPr>
              <w:t>BENCHMARKING</w:t>
            </w:r>
            <w:r w:rsidR="008918FA">
              <w:rPr>
                <w:spacing w:val="-2"/>
              </w:rPr>
              <w:tab/>
            </w:r>
            <w:r w:rsidR="008918FA">
              <w:rPr>
                <w:spacing w:val="-1"/>
              </w:rPr>
              <w:t>36</w:t>
            </w:r>
          </w:hyperlink>
        </w:p>
        <w:p w:rsidR="008918FA" w:rsidRDefault="00E32C6B" w:rsidP="008918FA">
          <w:pPr>
            <w:pStyle w:val="TOC1"/>
            <w:numPr>
              <w:ilvl w:val="0"/>
              <w:numId w:val="72"/>
            </w:numPr>
            <w:tabs>
              <w:tab w:val="left" w:pos="972"/>
              <w:tab w:val="right" w:leader="dot" w:pos="9191"/>
            </w:tabs>
            <w:spacing w:before="121"/>
            <w:ind w:left="971" w:hanging="852"/>
            <w:rPr>
              <w:b w:val="0"/>
              <w:bCs w:val="0"/>
            </w:rPr>
          </w:pPr>
          <w:hyperlink w:anchor="_bookmark137" w:history="1">
            <w:r w:rsidR="008918FA">
              <w:rPr>
                <w:spacing w:val="-1"/>
              </w:rPr>
              <w:t>SUPPLIER</w:t>
            </w:r>
            <w:r w:rsidR="008918FA">
              <w:t xml:space="preserve"> </w:t>
            </w:r>
            <w:r w:rsidR="008918FA">
              <w:rPr>
                <w:spacing w:val="-1"/>
              </w:rPr>
              <w:t>PERSONNEL</w:t>
            </w:r>
            <w:r w:rsidR="008918FA">
              <w:rPr>
                <w:spacing w:val="3"/>
              </w:rPr>
              <w:t xml:space="preserve"> </w:t>
            </w:r>
            <w:r w:rsidR="008918FA">
              <w:rPr>
                <w:spacing w:val="-3"/>
              </w:rPr>
              <w:t>AND</w:t>
            </w:r>
            <w:r w:rsidR="008918FA">
              <w:t xml:space="preserve"> </w:t>
            </w:r>
            <w:r w:rsidR="008918FA">
              <w:rPr>
                <w:spacing w:val="-1"/>
              </w:rPr>
              <w:t>SUPPLY</w:t>
            </w:r>
            <w:r w:rsidR="008918FA">
              <w:t xml:space="preserve"> </w:t>
            </w:r>
            <w:r w:rsidR="008918FA">
              <w:rPr>
                <w:spacing w:val="-1"/>
              </w:rPr>
              <w:t>CHAIN</w:t>
            </w:r>
            <w:r w:rsidR="008918FA">
              <w:rPr>
                <w:spacing w:val="2"/>
              </w:rPr>
              <w:t xml:space="preserve"> </w:t>
            </w:r>
            <w:r w:rsidR="008918FA">
              <w:rPr>
                <w:spacing w:val="-2"/>
              </w:rPr>
              <w:t>MATTERS</w:t>
            </w:r>
            <w:r w:rsidR="008918FA">
              <w:rPr>
                <w:spacing w:val="-2"/>
              </w:rPr>
              <w:tab/>
            </w:r>
            <w:r w:rsidR="008918FA">
              <w:rPr>
                <w:spacing w:val="-1"/>
              </w:rPr>
              <w:t>36</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138" w:history="1">
            <w:r w:rsidR="008918FA">
              <w:rPr>
                <w:spacing w:val="-1"/>
              </w:rPr>
              <w:t>KEY</w:t>
            </w:r>
            <w:r w:rsidR="008918FA">
              <w:t xml:space="preserve"> </w:t>
            </w:r>
            <w:r w:rsidR="008918FA">
              <w:rPr>
                <w:spacing w:val="-2"/>
              </w:rPr>
              <w:t>PERSONNEL</w:t>
            </w:r>
            <w:r w:rsidR="008918FA">
              <w:rPr>
                <w:spacing w:val="-2"/>
              </w:rPr>
              <w:tab/>
            </w:r>
            <w:r w:rsidR="008918FA">
              <w:rPr>
                <w:spacing w:val="-1"/>
              </w:rPr>
              <w:t>36</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140" w:history="1">
            <w:r w:rsidR="008918FA">
              <w:rPr>
                <w:spacing w:val="-1"/>
              </w:rPr>
              <w:t>SUPPLIER</w:t>
            </w:r>
            <w:r w:rsidR="008918FA">
              <w:t xml:space="preserve"> </w:t>
            </w:r>
            <w:r w:rsidR="008918FA">
              <w:rPr>
                <w:spacing w:val="-2"/>
              </w:rPr>
              <w:t>PERSONNEL</w:t>
            </w:r>
            <w:r w:rsidR="008918FA">
              <w:rPr>
                <w:spacing w:val="-2"/>
              </w:rPr>
              <w:tab/>
            </w:r>
            <w:r w:rsidR="008918FA">
              <w:rPr>
                <w:spacing w:val="-1"/>
              </w:rPr>
              <w:t>37</w:t>
            </w:r>
          </w:hyperlink>
        </w:p>
        <w:p w:rsidR="008918FA" w:rsidRDefault="00E32C6B" w:rsidP="008918FA">
          <w:pPr>
            <w:pStyle w:val="TOC2"/>
            <w:numPr>
              <w:ilvl w:val="0"/>
              <w:numId w:val="71"/>
            </w:numPr>
            <w:tabs>
              <w:tab w:val="left" w:pos="1560"/>
              <w:tab w:val="right" w:leader="dot" w:pos="9191"/>
            </w:tabs>
            <w:spacing w:before="121"/>
            <w:ind w:left="1559"/>
            <w:rPr>
              <w:b w:val="0"/>
              <w:bCs w:val="0"/>
            </w:rPr>
          </w:pPr>
          <w:hyperlink w:anchor="_bookmark142" w:history="1">
            <w:r w:rsidR="008918FA">
              <w:rPr>
                <w:spacing w:val="-2"/>
              </w:rPr>
              <w:t>STAFF</w:t>
            </w:r>
            <w:r w:rsidR="008918FA">
              <w:rPr>
                <w:spacing w:val="2"/>
              </w:rPr>
              <w:t xml:space="preserve"> </w:t>
            </w:r>
            <w:r w:rsidR="008918FA">
              <w:rPr>
                <w:spacing w:val="-2"/>
              </w:rPr>
              <w:t>TRANSFER</w:t>
            </w:r>
            <w:r w:rsidR="008918FA">
              <w:rPr>
                <w:spacing w:val="-2"/>
              </w:rPr>
              <w:tab/>
            </w:r>
            <w:r w:rsidR="008918FA">
              <w:rPr>
                <w:spacing w:val="-1"/>
              </w:rPr>
              <w:t>39</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145" w:history="1">
            <w:r w:rsidR="008918FA">
              <w:rPr>
                <w:spacing w:val="-1"/>
              </w:rPr>
              <w:t>SUPPLY</w:t>
            </w:r>
            <w:r w:rsidR="008918FA">
              <w:t xml:space="preserve"> </w:t>
            </w:r>
            <w:r w:rsidR="008918FA">
              <w:rPr>
                <w:spacing w:val="-1"/>
              </w:rPr>
              <w:t>CHAIN</w:t>
            </w:r>
            <w:r w:rsidR="008918FA">
              <w:t xml:space="preserve"> </w:t>
            </w:r>
            <w:r w:rsidR="008918FA">
              <w:rPr>
                <w:spacing w:val="-1"/>
              </w:rPr>
              <w:t>RIGHTS</w:t>
            </w:r>
            <w:r w:rsidR="008918FA">
              <w:rPr>
                <w:spacing w:val="2"/>
              </w:rPr>
              <w:t xml:space="preserve"> </w:t>
            </w:r>
            <w:r w:rsidR="008918FA">
              <w:rPr>
                <w:spacing w:val="-3"/>
              </w:rPr>
              <w:t>AND</w:t>
            </w:r>
            <w:r w:rsidR="008918FA">
              <w:t xml:space="preserve"> </w:t>
            </w:r>
            <w:r w:rsidR="008918FA">
              <w:rPr>
                <w:spacing w:val="-1"/>
              </w:rPr>
              <w:t>PROTECTION</w:t>
            </w:r>
            <w:r w:rsidR="008918FA">
              <w:rPr>
                <w:spacing w:val="-1"/>
              </w:rPr>
              <w:tab/>
              <w:t>39</w:t>
            </w:r>
          </w:hyperlink>
        </w:p>
        <w:p w:rsidR="008918FA" w:rsidRDefault="00E32C6B" w:rsidP="008918FA">
          <w:pPr>
            <w:pStyle w:val="TOC1"/>
            <w:numPr>
              <w:ilvl w:val="0"/>
              <w:numId w:val="72"/>
            </w:numPr>
            <w:tabs>
              <w:tab w:val="left" w:pos="972"/>
              <w:tab w:val="right" w:leader="dot" w:pos="9191"/>
            </w:tabs>
            <w:spacing w:before="121"/>
            <w:ind w:left="971" w:hanging="852"/>
            <w:rPr>
              <w:b w:val="0"/>
              <w:bCs w:val="0"/>
            </w:rPr>
          </w:pPr>
          <w:hyperlink w:anchor="_bookmark153" w:history="1">
            <w:r w:rsidR="008918FA">
              <w:rPr>
                <w:spacing w:val="-2"/>
              </w:rPr>
              <w:t>PROPERTY</w:t>
            </w:r>
            <w:r w:rsidR="008918FA">
              <w:t xml:space="preserve"> </w:t>
            </w:r>
            <w:r w:rsidR="008918FA">
              <w:rPr>
                <w:spacing w:val="-1"/>
              </w:rPr>
              <w:t>MATTERS</w:t>
            </w:r>
            <w:r w:rsidR="008918FA">
              <w:rPr>
                <w:spacing w:val="-1"/>
              </w:rPr>
              <w:tab/>
              <w:t>43</w:t>
            </w:r>
          </w:hyperlink>
        </w:p>
        <w:p w:rsidR="008918FA" w:rsidRDefault="00E32C6B" w:rsidP="008918FA">
          <w:pPr>
            <w:pStyle w:val="TOC2"/>
            <w:numPr>
              <w:ilvl w:val="0"/>
              <w:numId w:val="71"/>
            </w:numPr>
            <w:tabs>
              <w:tab w:val="left" w:pos="1561"/>
              <w:tab w:val="right" w:leader="dot" w:pos="9191"/>
            </w:tabs>
            <w:spacing w:before="57"/>
            <w:ind w:left="1560"/>
            <w:rPr>
              <w:b w:val="0"/>
              <w:bCs w:val="0"/>
            </w:rPr>
          </w:pPr>
          <w:hyperlink w:anchor="_bookmark154" w:history="1">
            <w:r w:rsidR="008918FA">
              <w:rPr>
                <w:spacing w:val="-1"/>
              </w:rPr>
              <w:t>CUSTOMER</w:t>
            </w:r>
            <w:r w:rsidR="008918FA">
              <w:t xml:space="preserve"> </w:t>
            </w:r>
            <w:r w:rsidR="008918FA">
              <w:rPr>
                <w:spacing w:val="-1"/>
              </w:rPr>
              <w:t>PREMISES</w:t>
            </w:r>
            <w:r w:rsidR="008918FA">
              <w:rPr>
                <w:spacing w:val="-1"/>
              </w:rPr>
              <w:tab/>
              <w:t>44</w:t>
            </w:r>
          </w:hyperlink>
        </w:p>
        <w:p w:rsidR="008918FA" w:rsidRDefault="00E32C6B" w:rsidP="008918FA">
          <w:pPr>
            <w:pStyle w:val="TOC2"/>
            <w:numPr>
              <w:ilvl w:val="0"/>
              <w:numId w:val="71"/>
            </w:numPr>
            <w:tabs>
              <w:tab w:val="left" w:pos="1561"/>
              <w:tab w:val="right" w:leader="dot" w:pos="9191"/>
            </w:tabs>
            <w:ind w:left="1560"/>
            <w:rPr>
              <w:b w:val="0"/>
              <w:bCs w:val="0"/>
            </w:rPr>
          </w:pPr>
          <w:hyperlink w:anchor="_bookmark156" w:history="1">
            <w:r w:rsidR="008918FA">
              <w:rPr>
                <w:spacing w:val="-1"/>
              </w:rPr>
              <w:t>CUSTOMER</w:t>
            </w:r>
            <w:r w:rsidR="008918FA">
              <w:t xml:space="preserve"> </w:t>
            </w:r>
            <w:r w:rsidR="008918FA">
              <w:rPr>
                <w:spacing w:val="-2"/>
              </w:rPr>
              <w:t>PROPERTY</w:t>
            </w:r>
            <w:r w:rsidR="008918FA">
              <w:rPr>
                <w:spacing w:val="-2"/>
              </w:rPr>
              <w:tab/>
            </w:r>
            <w:r w:rsidR="008918FA">
              <w:rPr>
                <w:spacing w:val="-1"/>
              </w:rPr>
              <w:t>44</w:t>
            </w:r>
          </w:hyperlink>
        </w:p>
        <w:p w:rsidR="008918FA" w:rsidRDefault="00E32C6B" w:rsidP="008918FA">
          <w:pPr>
            <w:pStyle w:val="TOC2"/>
            <w:numPr>
              <w:ilvl w:val="0"/>
              <w:numId w:val="71"/>
            </w:numPr>
            <w:tabs>
              <w:tab w:val="left" w:pos="1560"/>
              <w:tab w:val="right" w:leader="dot" w:pos="9191"/>
            </w:tabs>
            <w:spacing w:before="121"/>
            <w:ind w:left="1559"/>
            <w:rPr>
              <w:b w:val="0"/>
              <w:bCs w:val="0"/>
            </w:rPr>
          </w:pPr>
          <w:hyperlink w:anchor="_bookmark157" w:history="1">
            <w:r w:rsidR="008918FA">
              <w:rPr>
                <w:spacing w:val="-1"/>
              </w:rPr>
              <w:t>SUPPLIER</w:t>
            </w:r>
            <w:r w:rsidR="008918FA">
              <w:t xml:space="preserve"> </w:t>
            </w:r>
            <w:r w:rsidR="008918FA">
              <w:rPr>
                <w:spacing w:val="-1"/>
              </w:rPr>
              <w:t>EQUIPMENT</w:t>
            </w:r>
            <w:r w:rsidR="008918FA">
              <w:rPr>
                <w:spacing w:val="-1"/>
              </w:rPr>
              <w:tab/>
              <w:t>45</w:t>
            </w:r>
          </w:hyperlink>
        </w:p>
        <w:p w:rsidR="008918FA" w:rsidRDefault="00E32C6B" w:rsidP="008918FA">
          <w:pPr>
            <w:pStyle w:val="TOC1"/>
            <w:numPr>
              <w:ilvl w:val="0"/>
              <w:numId w:val="72"/>
            </w:numPr>
            <w:tabs>
              <w:tab w:val="left" w:pos="973"/>
              <w:tab w:val="right" w:leader="dot" w:pos="9191"/>
            </w:tabs>
            <w:ind w:hanging="852"/>
            <w:rPr>
              <w:b w:val="0"/>
              <w:bCs w:val="0"/>
            </w:rPr>
          </w:pPr>
          <w:hyperlink w:anchor="_bookmark159" w:history="1">
            <w:r w:rsidR="008918FA">
              <w:rPr>
                <w:spacing w:val="-2"/>
              </w:rPr>
              <w:t>INTELLECTUAL</w:t>
            </w:r>
            <w:r w:rsidR="008918FA">
              <w:t xml:space="preserve"> </w:t>
            </w:r>
            <w:r w:rsidR="008918FA">
              <w:rPr>
                <w:spacing w:val="-1"/>
              </w:rPr>
              <w:t>PROPERTY</w:t>
            </w:r>
            <w:r w:rsidR="008918FA">
              <w:rPr>
                <w:spacing w:val="5"/>
              </w:rPr>
              <w:t xml:space="preserve"> </w:t>
            </w:r>
            <w:r w:rsidR="008918FA">
              <w:rPr>
                <w:spacing w:val="-2"/>
              </w:rPr>
              <w:t>AND</w:t>
            </w:r>
            <w:r w:rsidR="008918FA">
              <w:t xml:space="preserve"> </w:t>
            </w:r>
            <w:r w:rsidR="008918FA">
              <w:rPr>
                <w:spacing w:val="-1"/>
              </w:rPr>
              <w:t>INFORMATION</w:t>
            </w:r>
            <w:r w:rsidR="008918FA">
              <w:rPr>
                <w:spacing w:val="-1"/>
              </w:rPr>
              <w:tab/>
              <w:t>46</w:t>
            </w:r>
          </w:hyperlink>
        </w:p>
        <w:p w:rsidR="008918FA" w:rsidRDefault="00E32C6B" w:rsidP="008918FA">
          <w:pPr>
            <w:pStyle w:val="TOC2"/>
            <w:numPr>
              <w:ilvl w:val="0"/>
              <w:numId w:val="71"/>
            </w:numPr>
            <w:tabs>
              <w:tab w:val="left" w:pos="1561"/>
              <w:tab w:val="right" w:leader="dot" w:pos="9191"/>
            </w:tabs>
            <w:spacing w:before="121"/>
            <w:ind w:left="1560"/>
            <w:rPr>
              <w:b w:val="0"/>
              <w:bCs w:val="0"/>
            </w:rPr>
          </w:pPr>
          <w:hyperlink w:anchor="_bookmark160" w:history="1">
            <w:r w:rsidR="008918FA">
              <w:rPr>
                <w:spacing w:val="-2"/>
              </w:rPr>
              <w:t>INTELLECTUAL</w:t>
            </w:r>
            <w:r w:rsidR="008918FA">
              <w:t xml:space="preserve"> </w:t>
            </w:r>
            <w:r w:rsidR="008918FA">
              <w:rPr>
                <w:spacing w:val="-1"/>
              </w:rPr>
              <w:t>PROPERTY</w:t>
            </w:r>
            <w:r w:rsidR="008918FA">
              <w:t xml:space="preserve"> </w:t>
            </w:r>
            <w:r w:rsidR="008918FA">
              <w:rPr>
                <w:spacing w:val="-1"/>
              </w:rPr>
              <w:t>RIGHTS</w:t>
            </w:r>
            <w:r w:rsidR="008918FA">
              <w:rPr>
                <w:spacing w:val="-1"/>
              </w:rPr>
              <w:tab/>
              <w:t>46</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179" w:history="1">
            <w:r w:rsidR="008918FA">
              <w:rPr>
                <w:spacing w:val="-1"/>
              </w:rPr>
              <w:t>SECURITY</w:t>
            </w:r>
            <w:r w:rsidR="008918FA">
              <w:rPr>
                <w:spacing w:val="2"/>
              </w:rPr>
              <w:t xml:space="preserve"> </w:t>
            </w:r>
            <w:r w:rsidR="008918FA">
              <w:rPr>
                <w:spacing w:val="-2"/>
              </w:rPr>
              <w:t>AND</w:t>
            </w:r>
            <w:r w:rsidR="008918FA">
              <w:t xml:space="preserve"> </w:t>
            </w:r>
            <w:r w:rsidR="008918FA">
              <w:rPr>
                <w:spacing w:val="-1"/>
              </w:rPr>
              <w:t>PROTECTION</w:t>
            </w:r>
            <w:r w:rsidR="008918FA">
              <w:t xml:space="preserve"> OF</w:t>
            </w:r>
            <w:r w:rsidR="008918FA">
              <w:rPr>
                <w:spacing w:val="-2"/>
              </w:rPr>
              <w:t xml:space="preserve"> </w:t>
            </w:r>
            <w:r w:rsidR="008918FA">
              <w:rPr>
                <w:spacing w:val="-1"/>
              </w:rPr>
              <w:t>INFORMATION</w:t>
            </w:r>
            <w:r w:rsidR="008918FA">
              <w:rPr>
                <w:spacing w:val="-1"/>
              </w:rPr>
              <w:tab/>
              <w:t>50</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198" w:history="1">
            <w:r w:rsidR="008918FA">
              <w:rPr>
                <w:spacing w:val="-1"/>
              </w:rPr>
              <w:t>PUBLICITY</w:t>
            </w:r>
            <w:r w:rsidR="008918FA">
              <w:rPr>
                <w:spacing w:val="5"/>
              </w:rPr>
              <w:t xml:space="preserve"> </w:t>
            </w:r>
            <w:r w:rsidR="008918FA">
              <w:rPr>
                <w:spacing w:val="-3"/>
              </w:rPr>
              <w:t>AND</w:t>
            </w:r>
            <w:r w:rsidR="008918FA">
              <w:t xml:space="preserve"> </w:t>
            </w:r>
            <w:r w:rsidR="008918FA">
              <w:rPr>
                <w:spacing w:val="-2"/>
              </w:rPr>
              <w:t>BRANDING</w:t>
            </w:r>
            <w:r w:rsidR="008918FA">
              <w:rPr>
                <w:spacing w:val="-2"/>
              </w:rPr>
              <w:tab/>
            </w:r>
            <w:r w:rsidR="008918FA">
              <w:rPr>
                <w:spacing w:val="-1"/>
              </w:rPr>
              <w:t>58</w:t>
            </w:r>
          </w:hyperlink>
        </w:p>
        <w:p w:rsidR="008918FA" w:rsidRDefault="00E32C6B" w:rsidP="008918FA">
          <w:pPr>
            <w:pStyle w:val="TOC1"/>
            <w:numPr>
              <w:ilvl w:val="0"/>
              <w:numId w:val="72"/>
            </w:numPr>
            <w:tabs>
              <w:tab w:val="left" w:pos="972"/>
              <w:tab w:val="right" w:leader="dot" w:pos="9191"/>
            </w:tabs>
            <w:spacing w:before="121"/>
            <w:ind w:left="971" w:hanging="852"/>
            <w:rPr>
              <w:b w:val="0"/>
              <w:bCs w:val="0"/>
            </w:rPr>
          </w:pPr>
          <w:hyperlink w:anchor="_bookmark199" w:history="1">
            <w:r w:rsidR="008918FA">
              <w:rPr>
                <w:spacing w:val="-1"/>
              </w:rPr>
              <w:t>LIABILITY</w:t>
            </w:r>
            <w:r w:rsidR="008918FA">
              <w:rPr>
                <w:spacing w:val="5"/>
              </w:rPr>
              <w:t xml:space="preserve"> </w:t>
            </w:r>
            <w:r w:rsidR="008918FA">
              <w:rPr>
                <w:spacing w:val="-3"/>
              </w:rPr>
              <w:t>AND</w:t>
            </w:r>
            <w:r w:rsidR="008918FA">
              <w:t xml:space="preserve"> </w:t>
            </w:r>
            <w:r w:rsidR="008918FA">
              <w:rPr>
                <w:spacing w:val="-1"/>
              </w:rPr>
              <w:t>INSURANCE</w:t>
            </w:r>
            <w:r w:rsidR="008918FA">
              <w:rPr>
                <w:spacing w:val="-1"/>
              </w:rPr>
              <w:tab/>
              <w:t>58</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200" w:history="1">
            <w:r w:rsidR="008918FA">
              <w:rPr>
                <w:spacing w:val="-1"/>
              </w:rPr>
              <w:t>LIABILITY</w:t>
            </w:r>
            <w:r w:rsidR="008918FA">
              <w:rPr>
                <w:spacing w:val="-1"/>
              </w:rPr>
              <w:tab/>
              <w:t>58</w:t>
            </w:r>
          </w:hyperlink>
        </w:p>
        <w:p w:rsidR="008918FA" w:rsidRDefault="00E32C6B" w:rsidP="008918FA">
          <w:pPr>
            <w:pStyle w:val="TOC2"/>
            <w:numPr>
              <w:ilvl w:val="0"/>
              <w:numId w:val="71"/>
            </w:numPr>
            <w:tabs>
              <w:tab w:val="left" w:pos="1560"/>
              <w:tab w:val="right" w:leader="dot" w:pos="9191"/>
            </w:tabs>
            <w:spacing w:before="121"/>
            <w:ind w:left="1559"/>
            <w:rPr>
              <w:b w:val="0"/>
              <w:bCs w:val="0"/>
            </w:rPr>
          </w:pPr>
          <w:hyperlink w:anchor="_bookmark211" w:history="1">
            <w:r w:rsidR="008918FA">
              <w:rPr>
                <w:spacing w:val="-2"/>
              </w:rPr>
              <w:t>INSURANCE</w:t>
            </w:r>
            <w:r w:rsidR="008918FA">
              <w:rPr>
                <w:spacing w:val="-2"/>
              </w:rPr>
              <w:tab/>
            </w:r>
            <w:r w:rsidR="008918FA">
              <w:rPr>
                <w:spacing w:val="-1"/>
              </w:rPr>
              <w:t>60</w:t>
            </w:r>
          </w:hyperlink>
        </w:p>
        <w:p w:rsidR="008918FA" w:rsidRDefault="00E32C6B" w:rsidP="008918FA">
          <w:pPr>
            <w:pStyle w:val="TOC1"/>
            <w:numPr>
              <w:ilvl w:val="0"/>
              <w:numId w:val="72"/>
            </w:numPr>
            <w:tabs>
              <w:tab w:val="left" w:pos="972"/>
              <w:tab w:val="right" w:leader="dot" w:pos="9191"/>
            </w:tabs>
            <w:ind w:left="971" w:hanging="852"/>
            <w:rPr>
              <w:b w:val="0"/>
              <w:bCs w:val="0"/>
            </w:rPr>
          </w:pPr>
          <w:hyperlink w:anchor="_bookmark213" w:history="1">
            <w:r w:rsidR="008918FA">
              <w:rPr>
                <w:spacing w:val="-1"/>
              </w:rPr>
              <w:t>REMEDIES</w:t>
            </w:r>
            <w:r w:rsidR="008918FA">
              <w:rPr>
                <w:spacing w:val="2"/>
              </w:rPr>
              <w:t xml:space="preserve"> </w:t>
            </w:r>
            <w:r w:rsidR="008918FA">
              <w:rPr>
                <w:spacing w:val="-3"/>
              </w:rPr>
              <w:t>AND</w:t>
            </w:r>
            <w:r w:rsidR="008918FA">
              <w:t xml:space="preserve"> </w:t>
            </w:r>
            <w:r w:rsidR="008918FA">
              <w:rPr>
                <w:spacing w:val="-1"/>
              </w:rPr>
              <w:t>RELIEF</w:t>
            </w:r>
            <w:r w:rsidR="008918FA">
              <w:rPr>
                <w:spacing w:val="-1"/>
              </w:rPr>
              <w:tab/>
              <w:t>61</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214" w:history="1">
            <w:r w:rsidR="008918FA">
              <w:rPr>
                <w:spacing w:val="-1"/>
              </w:rPr>
              <w:t>CUSTOMER</w:t>
            </w:r>
            <w:r w:rsidR="008918FA">
              <w:t xml:space="preserve"> </w:t>
            </w:r>
            <w:r w:rsidR="008918FA">
              <w:rPr>
                <w:spacing w:val="-2"/>
              </w:rPr>
              <w:t>REMEDIES</w:t>
            </w:r>
            <w:r w:rsidR="008918FA">
              <w:t xml:space="preserve"> FOR </w:t>
            </w:r>
            <w:r w:rsidR="008918FA">
              <w:rPr>
                <w:spacing w:val="-2"/>
              </w:rPr>
              <w:t>DEFAULT</w:t>
            </w:r>
            <w:r w:rsidR="008918FA">
              <w:rPr>
                <w:spacing w:val="-2"/>
              </w:rPr>
              <w:tab/>
            </w:r>
            <w:r w:rsidR="008918FA">
              <w:rPr>
                <w:spacing w:val="-1"/>
              </w:rPr>
              <w:t>61</w:t>
            </w:r>
          </w:hyperlink>
        </w:p>
        <w:p w:rsidR="008918FA" w:rsidRDefault="00E32C6B" w:rsidP="008918FA">
          <w:pPr>
            <w:pStyle w:val="TOC2"/>
            <w:numPr>
              <w:ilvl w:val="0"/>
              <w:numId w:val="71"/>
            </w:numPr>
            <w:tabs>
              <w:tab w:val="left" w:pos="1560"/>
              <w:tab w:val="right" w:leader="dot" w:pos="9191"/>
            </w:tabs>
            <w:spacing w:before="121"/>
            <w:ind w:left="1559"/>
            <w:rPr>
              <w:b w:val="0"/>
              <w:bCs w:val="0"/>
            </w:rPr>
          </w:pPr>
          <w:hyperlink w:anchor="_bookmark222" w:history="1">
            <w:r w:rsidR="008918FA">
              <w:rPr>
                <w:spacing w:val="-1"/>
              </w:rPr>
              <w:t>SUPPLIER</w:t>
            </w:r>
            <w:r w:rsidR="008918FA">
              <w:t xml:space="preserve"> </w:t>
            </w:r>
            <w:r w:rsidR="008918FA">
              <w:rPr>
                <w:spacing w:val="-1"/>
              </w:rPr>
              <w:t>RELIEF</w:t>
            </w:r>
            <w:r w:rsidR="008918FA">
              <w:t xml:space="preserve"> </w:t>
            </w:r>
            <w:r w:rsidR="008918FA">
              <w:rPr>
                <w:spacing w:val="-2"/>
              </w:rPr>
              <w:t>DUE</w:t>
            </w:r>
            <w:r w:rsidR="008918FA">
              <w:t xml:space="preserve"> </w:t>
            </w:r>
            <w:r w:rsidR="008918FA">
              <w:rPr>
                <w:spacing w:val="-2"/>
              </w:rPr>
              <w:t>TO</w:t>
            </w:r>
            <w:r w:rsidR="008918FA">
              <w:rPr>
                <w:spacing w:val="2"/>
              </w:rPr>
              <w:t xml:space="preserve"> </w:t>
            </w:r>
            <w:r w:rsidR="008918FA">
              <w:rPr>
                <w:spacing w:val="-1"/>
              </w:rPr>
              <w:t>CUSTOMER</w:t>
            </w:r>
            <w:r w:rsidR="008918FA">
              <w:t xml:space="preserve"> </w:t>
            </w:r>
            <w:r w:rsidR="008918FA">
              <w:rPr>
                <w:spacing w:val="-1"/>
              </w:rPr>
              <w:t>CAUSE</w:t>
            </w:r>
            <w:r w:rsidR="008918FA">
              <w:rPr>
                <w:spacing w:val="-1"/>
              </w:rPr>
              <w:tab/>
              <w:t>63</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225" w:history="1">
            <w:r w:rsidR="008918FA">
              <w:rPr>
                <w:spacing w:val="-1"/>
              </w:rPr>
              <w:t>FORCE</w:t>
            </w:r>
            <w:r w:rsidR="008918FA">
              <w:t xml:space="preserve"> </w:t>
            </w:r>
            <w:r w:rsidR="008918FA">
              <w:rPr>
                <w:spacing w:val="-2"/>
              </w:rPr>
              <w:t>MAJEURE</w:t>
            </w:r>
            <w:r w:rsidR="008918FA">
              <w:rPr>
                <w:spacing w:val="-2"/>
              </w:rPr>
              <w:tab/>
            </w:r>
            <w:r w:rsidR="008918FA">
              <w:rPr>
                <w:spacing w:val="-1"/>
              </w:rPr>
              <w:t>65</w:t>
            </w:r>
          </w:hyperlink>
        </w:p>
        <w:p w:rsidR="008918FA" w:rsidRDefault="00E32C6B" w:rsidP="008918FA">
          <w:pPr>
            <w:pStyle w:val="TOC1"/>
            <w:numPr>
              <w:ilvl w:val="0"/>
              <w:numId w:val="72"/>
            </w:numPr>
            <w:tabs>
              <w:tab w:val="left" w:pos="972"/>
              <w:tab w:val="right" w:leader="dot" w:pos="9191"/>
            </w:tabs>
            <w:spacing w:before="121"/>
            <w:ind w:left="971" w:hanging="852"/>
            <w:rPr>
              <w:b w:val="0"/>
              <w:bCs w:val="0"/>
            </w:rPr>
          </w:pPr>
          <w:hyperlink w:anchor="_bookmark229" w:history="1">
            <w:r w:rsidR="008918FA">
              <w:rPr>
                <w:spacing w:val="-1"/>
              </w:rPr>
              <w:t>TERMINATION</w:t>
            </w:r>
            <w:r w:rsidR="008918FA">
              <w:rPr>
                <w:spacing w:val="2"/>
              </w:rPr>
              <w:t xml:space="preserve"> </w:t>
            </w:r>
            <w:r w:rsidR="008918FA">
              <w:rPr>
                <w:spacing w:val="-2"/>
              </w:rPr>
              <w:t>AND</w:t>
            </w:r>
            <w:r w:rsidR="008918FA">
              <w:t xml:space="preserve"> </w:t>
            </w:r>
            <w:r w:rsidR="008918FA">
              <w:rPr>
                <w:spacing w:val="-1"/>
              </w:rPr>
              <w:t>EXIT</w:t>
            </w:r>
            <w:r w:rsidR="008918FA">
              <w:rPr>
                <w:spacing w:val="-2"/>
              </w:rPr>
              <w:t xml:space="preserve"> </w:t>
            </w:r>
            <w:r w:rsidR="008918FA">
              <w:rPr>
                <w:spacing w:val="-1"/>
              </w:rPr>
              <w:t>MANAGEMENT</w:t>
            </w:r>
            <w:r w:rsidR="008918FA">
              <w:rPr>
                <w:spacing w:val="-1"/>
              </w:rPr>
              <w:tab/>
              <w:t>66</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230" w:history="1">
            <w:r w:rsidR="008918FA">
              <w:rPr>
                <w:spacing w:val="-1"/>
              </w:rPr>
              <w:t>CUSTOMER</w:t>
            </w:r>
            <w:r w:rsidR="008918FA">
              <w:t xml:space="preserve"> </w:t>
            </w:r>
            <w:r w:rsidR="008918FA">
              <w:rPr>
                <w:spacing w:val="-1"/>
              </w:rPr>
              <w:t>TERMINATION</w:t>
            </w:r>
            <w:r w:rsidR="008918FA">
              <w:t xml:space="preserve"> </w:t>
            </w:r>
            <w:r w:rsidR="008918FA">
              <w:rPr>
                <w:spacing w:val="-2"/>
              </w:rPr>
              <w:t>RIGHTS</w:t>
            </w:r>
            <w:r w:rsidR="008918FA">
              <w:rPr>
                <w:spacing w:val="-2"/>
              </w:rPr>
              <w:tab/>
            </w:r>
            <w:r w:rsidR="008918FA">
              <w:rPr>
                <w:spacing w:val="-1"/>
              </w:rPr>
              <w:t>66</w:t>
            </w:r>
          </w:hyperlink>
        </w:p>
        <w:p w:rsidR="008918FA" w:rsidRDefault="00E32C6B" w:rsidP="008918FA">
          <w:pPr>
            <w:pStyle w:val="TOC2"/>
            <w:numPr>
              <w:ilvl w:val="0"/>
              <w:numId w:val="71"/>
            </w:numPr>
            <w:tabs>
              <w:tab w:val="left" w:pos="1560"/>
              <w:tab w:val="right" w:leader="dot" w:pos="9191"/>
            </w:tabs>
            <w:spacing w:before="121"/>
            <w:ind w:left="1559"/>
            <w:rPr>
              <w:b w:val="0"/>
              <w:bCs w:val="0"/>
            </w:rPr>
          </w:pPr>
          <w:hyperlink w:anchor="_bookmark242" w:history="1">
            <w:r w:rsidR="008918FA">
              <w:rPr>
                <w:spacing w:val="-1"/>
              </w:rPr>
              <w:t>SUPPLIER</w:t>
            </w:r>
            <w:r w:rsidR="008918FA">
              <w:t xml:space="preserve"> </w:t>
            </w:r>
            <w:r w:rsidR="008918FA">
              <w:rPr>
                <w:spacing w:val="-1"/>
              </w:rPr>
              <w:t>TERMINATION</w:t>
            </w:r>
            <w:r w:rsidR="008918FA">
              <w:t xml:space="preserve"> </w:t>
            </w:r>
            <w:r w:rsidR="008918FA">
              <w:rPr>
                <w:spacing w:val="-2"/>
              </w:rPr>
              <w:t>RIGHTS</w:t>
            </w:r>
            <w:r w:rsidR="008918FA">
              <w:rPr>
                <w:spacing w:val="-2"/>
              </w:rPr>
              <w:tab/>
            </w:r>
            <w:r w:rsidR="008918FA">
              <w:rPr>
                <w:spacing w:val="-1"/>
              </w:rPr>
              <w:t>68</w:t>
            </w:r>
          </w:hyperlink>
        </w:p>
        <w:p w:rsidR="008918FA" w:rsidRDefault="00E32C6B" w:rsidP="008918FA">
          <w:pPr>
            <w:pStyle w:val="TOC2"/>
            <w:numPr>
              <w:ilvl w:val="0"/>
              <w:numId w:val="71"/>
            </w:numPr>
            <w:tabs>
              <w:tab w:val="left" w:pos="1560"/>
              <w:tab w:val="right" w:leader="dot" w:pos="9191"/>
            </w:tabs>
            <w:ind w:left="1559"/>
            <w:rPr>
              <w:b w:val="0"/>
              <w:bCs w:val="0"/>
            </w:rPr>
          </w:pPr>
          <w:hyperlink w:anchor="_bookmark245" w:history="1">
            <w:r w:rsidR="008918FA">
              <w:rPr>
                <w:spacing w:val="-1"/>
              </w:rPr>
              <w:t>TERMINATION</w:t>
            </w:r>
            <w:r w:rsidR="008918FA">
              <w:t xml:space="preserve"> </w:t>
            </w:r>
            <w:r w:rsidR="008918FA">
              <w:rPr>
                <w:spacing w:val="-1"/>
              </w:rPr>
              <w:t>BY</w:t>
            </w:r>
            <w:r w:rsidR="008918FA">
              <w:t xml:space="preserve"> </w:t>
            </w:r>
            <w:r w:rsidR="008918FA">
              <w:rPr>
                <w:spacing w:val="-2"/>
              </w:rPr>
              <w:t>EITHER</w:t>
            </w:r>
            <w:r w:rsidR="008918FA">
              <w:t xml:space="preserve"> </w:t>
            </w:r>
            <w:r w:rsidR="008918FA">
              <w:rPr>
                <w:spacing w:val="-1"/>
              </w:rPr>
              <w:t>PARTY</w:t>
            </w:r>
            <w:r w:rsidR="008918FA">
              <w:rPr>
                <w:spacing w:val="-1"/>
              </w:rPr>
              <w:tab/>
              <w:t>69</w:t>
            </w:r>
          </w:hyperlink>
        </w:p>
        <w:p w:rsidR="008918FA" w:rsidRDefault="00E32C6B" w:rsidP="008918FA">
          <w:pPr>
            <w:pStyle w:val="TOC2"/>
            <w:numPr>
              <w:ilvl w:val="0"/>
              <w:numId w:val="71"/>
            </w:numPr>
            <w:tabs>
              <w:tab w:val="left" w:pos="1560"/>
              <w:tab w:val="right" w:leader="dot" w:pos="9191"/>
            </w:tabs>
            <w:spacing w:line="355" w:lineRule="auto"/>
            <w:ind w:right="113" w:firstLine="0"/>
            <w:rPr>
              <w:b w:val="0"/>
              <w:bCs w:val="0"/>
            </w:rPr>
          </w:pPr>
          <w:hyperlink w:anchor="_bookmark247" w:history="1">
            <w:r w:rsidR="008918FA">
              <w:rPr>
                <w:spacing w:val="-2"/>
              </w:rPr>
              <w:t>PARTIAL</w:t>
            </w:r>
            <w:r w:rsidR="008918FA">
              <w:rPr>
                <w:spacing w:val="3"/>
              </w:rPr>
              <w:t xml:space="preserve"> </w:t>
            </w:r>
            <w:r w:rsidR="008918FA">
              <w:rPr>
                <w:spacing w:val="-1"/>
              </w:rPr>
              <w:t>TERMINATION,</w:t>
            </w:r>
            <w:r w:rsidR="008918FA">
              <w:rPr>
                <w:spacing w:val="2"/>
              </w:rPr>
              <w:t xml:space="preserve"> </w:t>
            </w:r>
            <w:r w:rsidR="008918FA">
              <w:rPr>
                <w:spacing w:val="-1"/>
              </w:rPr>
              <w:t>SUSPENSION</w:t>
            </w:r>
            <w:r w:rsidR="008918FA">
              <w:rPr>
                <w:spacing w:val="2"/>
              </w:rPr>
              <w:t xml:space="preserve"> </w:t>
            </w:r>
            <w:r w:rsidR="008918FA">
              <w:rPr>
                <w:spacing w:val="-4"/>
              </w:rPr>
              <w:t>AND</w:t>
            </w:r>
            <w:r w:rsidR="008918FA">
              <w:rPr>
                <w:spacing w:val="2"/>
              </w:rPr>
              <w:t xml:space="preserve"> </w:t>
            </w:r>
            <w:r w:rsidR="008918FA">
              <w:rPr>
                <w:spacing w:val="-1"/>
              </w:rPr>
              <w:t>PARTIAL</w:t>
            </w:r>
            <w:r w:rsidR="008918FA">
              <w:t xml:space="preserve"> </w:t>
            </w:r>
            <w:r w:rsidR="008918FA">
              <w:rPr>
                <w:spacing w:val="-1"/>
              </w:rPr>
              <w:t>SUSPENSION...</w:t>
            </w:r>
            <w:r w:rsidR="008918FA">
              <w:rPr>
                <w:spacing w:val="-27"/>
              </w:rPr>
              <w:t xml:space="preserve"> </w:t>
            </w:r>
            <w:r w:rsidR="008918FA">
              <w:rPr>
                <w:spacing w:val="-1"/>
              </w:rPr>
              <w:t>69</w:t>
            </w:r>
          </w:hyperlink>
          <w:r w:rsidR="008918FA">
            <w:rPr>
              <w:spacing w:val="44"/>
            </w:rPr>
            <w:t xml:space="preserve"> </w:t>
          </w:r>
          <w:hyperlink w:anchor="_bookmark249" w:history="1">
            <w:r w:rsidR="008918FA">
              <w:rPr>
                <w:spacing w:val="-1"/>
              </w:rPr>
              <w:t>45.</w:t>
            </w:r>
            <w:r w:rsidR="008918FA">
              <w:rPr>
                <w:spacing w:val="-1"/>
              </w:rPr>
              <w:tab/>
              <w:t>CONSEQUENCES</w:t>
            </w:r>
            <w:r w:rsidR="008918FA">
              <w:t xml:space="preserve"> OF </w:t>
            </w:r>
            <w:r w:rsidR="008918FA">
              <w:rPr>
                <w:spacing w:val="-2"/>
              </w:rPr>
              <w:t>EXPIRY</w:t>
            </w:r>
            <w:r w:rsidR="008918FA">
              <w:t xml:space="preserve"> OR </w:t>
            </w:r>
            <w:r w:rsidR="008918FA">
              <w:rPr>
                <w:spacing w:val="-1"/>
              </w:rPr>
              <w:t>TERMINATION</w:t>
            </w:r>
            <w:r w:rsidR="008918FA">
              <w:rPr>
                <w:spacing w:val="-1"/>
              </w:rPr>
              <w:tab/>
              <w:t>70</w:t>
            </w:r>
          </w:hyperlink>
        </w:p>
        <w:p w:rsidR="008918FA" w:rsidRDefault="00E32C6B" w:rsidP="008918FA">
          <w:pPr>
            <w:pStyle w:val="TOC1"/>
            <w:numPr>
              <w:ilvl w:val="0"/>
              <w:numId w:val="72"/>
            </w:numPr>
            <w:tabs>
              <w:tab w:val="left" w:pos="972"/>
              <w:tab w:val="right" w:leader="dot" w:pos="9191"/>
            </w:tabs>
            <w:spacing w:before="1"/>
            <w:ind w:left="971" w:hanging="852"/>
            <w:rPr>
              <w:b w:val="0"/>
              <w:bCs w:val="0"/>
            </w:rPr>
          </w:pPr>
          <w:hyperlink w:anchor="_bookmark253" w:history="1">
            <w:r w:rsidR="008918FA">
              <w:rPr>
                <w:spacing w:val="-1"/>
              </w:rPr>
              <w:t>MISCELLANEOUS</w:t>
            </w:r>
            <w:r w:rsidR="008918FA">
              <w:rPr>
                <w:spacing w:val="2"/>
              </w:rPr>
              <w:t xml:space="preserve"> </w:t>
            </w:r>
            <w:r w:rsidR="008918FA">
              <w:rPr>
                <w:spacing w:val="-2"/>
              </w:rPr>
              <w:t>AND</w:t>
            </w:r>
            <w:r w:rsidR="008918FA">
              <w:rPr>
                <w:spacing w:val="2"/>
              </w:rPr>
              <w:t xml:space="preserve"> </w:t>
            </w:r>
            <w:r w:rsidR="008918FA">
              <w:rPr>
                <w:spacing w:val="-1"/>
              </w:rPr>
              <w:t>GOVERNING</w:t>
            </w:r>
            <w:r w:rsidR="008918FA">
              <w:t xml:space="preserve"> </w:t>
            </w:r>
            <w:r w:rsidR="008918FA">
              <w:rPr>
                <w:spacing w:val="-3"/>
              </w:rPr>
              <w:t>LAW</w:t>
            </w:r>
            <w:r w:rsidR="008918FA">
              <w:rPr>
                <w:spacing w:val="-3"/>
              </w:rPr>
              <w:tab/>
            </w:r>
            <w:r w:rsidR="008918FA">
              <w:rPr>
                <w:spacing w:val="-1"/>
              </w:rPr>
              <w:t>71</w:t>
            </w:r>
          </w:hyperlink>
        </w:p>
        <w:p w:rsidR="008918FA" w:rsidRDefault="00E32C6B" w:rsidP="008918FA">
          <w:pPr>
            <w:pStyle w:val="TOC2"/>
            <w:numPr>
              <w:ilvl w:val="0"/>
              <w:numId w:val="70"/>
            </w:numPr>
            <w:tabs>
              <w:tab w:val="left" w:pos="1560"/>
              <w:tab w:val="right" w:leader="dot" w:pos="9190"/>
            </w:tabs>
            <w:spacing w:before="121"/>
            <w:rPr>
              <w:b w:val="0"/>
              <w:bCs w:val="0"/>
            </w:rPr>
          </w:pPr>
          <w:hyperlink w:anchor="_bookmark254" w:history="1">
            <w:r w:rsidR="008918FA">
              <w:rPr>
                <w:spacing w:val="-2"/>
              </w:rPr>
              <w:t>COMPLIANCE</w:t>
            </w:r>
            <w:r w:rsidR="008918FA">
              <w:rPr>
                <w:spacing w:val="-2"/>
              </w:rPr>
              <w:tab/>
            </w:r>
            <w:r w:rsidR="008918FA">
              <w:rPr>
                <w:spacing w:val="-1"/>
              </w:rPr>
              <w:t>71</w:t>
            </w:r>
          </w:hyperlink>
        </w:p>
        <w:p w:rsidR="008918FA" w:rsidRDefault="00E32C6B" w:rsidP="008918FA">
          <w:pPr>
            <w:pStyle w:val="TOC2"/>
            <w:numPr>
              <w:ilvl w:val="0"/>
              <w:numId w:val="70"/>
            </w:numPr>
            <w:tabs>
              <w:tab w:val="left" w:pos="1559"/>
              <w:tab w:val="right" w:leader="dot" w:pos="9190"/>
            </w:tabs>
            <w:ind w:left="1558"/>
            <w:rPr>
              <w:b w:val="0"/>
              <w:bCs w:val="0"/>
            </w:rPr>
          </w:pPr>
          <w:hyperlink w:anchor="_bookmark256" w:history="1">
            <w:r w:rsidR="008918FA">
              <w:rPr>
                <w:spacing w:val="-1"/>
              </w:rPr>
              <w:t>ASSIGNMENT</w:t>
            </w:r>
            <w:r w:rsidR="008918FA">
              <w:rPr>
                <w:spacing w:val="3"/>
              </w:rPr>
              <w:t xml:space="preserve"> </w:t>
            </w:r>
            <w:r w:rsidR="008918FA">
              <w:rPr>
                <w:spacing w:val="-3"/>
              </w:rPr>
              <w:t>AND</w:t>
            </w:r>
            <w:r w:rsidR="008918FA">
              <w:t xml:space="preserve"> </w:t>
            </w:r>
            <w:r w:rsidR="008918FA">
              <w:rPr>
                <w:spacing w:val="-1"/>
              </w:rPr>
              <w:t>NOVATION</w:t>
            </w:r>
            <w:r w:rsidR="008918FA">
              <w:rPr>
                <w:spacing w:val="-1"/>
              </w:rPr>
              <w:tab/>
              <w:t>72</w:t>
            </w:r>
          </w:hyperlink>
        </w:p>
        <w:p w:rsidR="008918FA" w:rsidRDefault="00E32C6B" w:rsidP="008918FA">
          <w:pPr>
            <w:pStyle w:val="TOC2"/>
            <w:numPr>
              <w:ilvl w:val="0"/>
              <w:numId w:val="70"/>
            </w:numPr>
            <w:tabs>
              <w:tab w:val="left" w:pos="1559"/>
              <w:tab w:val="right" w:leader="dot" w:pos="9190"/>
            </w:tabs>
            <w:ind w:left="1558"/>
            <w:rPr>
              <w:b w:val="0"/>
              <w:bCs w:val="0"/>
            </w:rPr>
          </w:pPr>
          <w:hyperlink w:anchor="_bookmark259" w:history="1">
            <w:r w:rsidR="008918FA">
              <w:rPr>
                <w:spacing w:val="-1"/>
              </w:rPr>
              <w:t>WAIVER</w:t>
            </w:r>
            <w:r w:rsidR="008918FA">
              <w:rPr>
                <w:spacing w:val="2"/>
              </w:rPr>
              <w:t xml:space="preserve"> </w:t>
            </w:r>
            <w:r w:rsidR="008918FA">
              <w:rPr>
                <w:spacing w:val="-2"/>
              </w:rPr>
              <w:t>AND</w:t>
            </w:r>
            <w:r w:rsidR="008918FA">
              <w:t xml:space="preserve"> </w:t>
            </w:r>
            <w:r w:rsidR="008918FA">
              <w:rPr>
                <w:spacing w:val="-2"/>
              </w:rPr>
              <w:t>CUMULATIVE</w:t>
            </w:r>
            <w:r w:rsidR="008918FA">
              <w:t xml:space="preserve"> </w:t>
            </w:r>
            <w:r w:rsidR="008918FA">
              <w:rPr>
                <w:spacing w:val="-1"/>
              </w:rPr>
              <w:t>REMEDIES</w:t>
            </w:r>
            <w:r w:rsidR="008918FA">
              <w:rPr>
                <w:spacing w:val="-1"/>
              </w:rPr>
              <w:tab/>
              <w:t>73</w:t>
            </w:r>
          </w:hyperlink>
        </w:p>
        <w:p w:rsidR="008918FA" w:rsidRDefault="00E32C6B" w:rsidP="008918FA">
          <w:pPr>
            <w:pStyle w:val="TOC2"/>
            <w:numPr>
              <w:ilvl w:val="0"/>
              <w:numId w:val="70"/>
            </w:numPr>
            <w:tabs>
              <w:tab w:val="left" w:pos="1559"/>
              <w:tab w:val="right" w:leader="dot" w:pos="9190"/>
            </w:tabs>
            <w:spacing w:before="121"/>
            <w:ind w:left="1558"/>
            <w:rPr>
              <w:b w:val="0"/>
              <w:bCs w:val="0"/>
            </w:rPr>
          </w:pPr>
          <w:hyperlink w:anchor="_bookmark260" w:history="1">
            <w:r w:rsidR="008918FA">
              <w:rPr>
                <w:spacing w:val="-1"/>
              </w:rPr>
              <w:t>RELATIONSHIP</w:t>
            </w:r>
            <w:r w:rsidR="008918FA">
              <w:t xml:space="preserve"> OF </w:t>
            </w:r>
            <w:r w:rsidR="008918FA">
              <w:rPr>
                <w:spacing w:val="-2"/>
              </w:rPr>
              <w:t>THE</w:t>
            </w:r>
            <w:r w:rsidR="008918FA">
              <w:t xml:space="preserve"> </w:t>
            </w:r>
            <w:r w:rsidR="008918FA">
              <w:rPr>
                <w:spacing w:val="-1"/>
              </w:rPr>
              <w:t>PARTIES</w:t>
            </w:r>
            <w:r w:rsidR="008918FA">
              <w:rPr>
                <w:spacing w:val="-1"/>
              </w:rPr>
              <w:tab/>
              <w:t>73</w:t>
            </w:r>
          </w:hyperlink>
        </w:p>
        <w:p w:rsidR="008918FA" w:rsidRDefault="00E32C6B" w:rsidP="008918FA">
          <w:pPr>
            <w:pStyle w:val="TOC2"/>
            <w:numPr>
              <w:ilvl w:val="0"/>
              <w:numId w:val="70"/>
            </w:numPr>
            <w:tabs>
              <w:tab w:val="left" w:pos="1559"/>
              <w:tab w:val="right" w:leader="dot" w:pos="9190"/>
            </w:tabs>
            <w:ind w:left="1558"/>
            <w:rPr>
              <w:b w:val="0"/>
              <w:bCs w:val="0"/>
            </w:rPr>
          </w:pPr>
          <w:hyperlink w:anchor="_bookmark261" w:history="1">
            <w:r w:rsidR="008918FA">
              <w:rPr>
                <w:spacing w:val="-1"/>
              </w:rPr>
              <w:t>PREVENTION</w:t>
            </w:r>
            <w:r w:rsidR="008918FA">
              <w:t xml:space="preserve"> OF</w:t>
            </w:r>
            <w:r w:rsidR="008918FA">
              <w:rPr>
                <w:spacing w:val="-2"/>
              </w:rPr>
              <w:t xml:space="preserve"> FRAUD</w:t>
            </w:r>
            <w:r w:rsidR="008918FA">
              <w:rPr>
                <w:spacing w:val="2"/>
              </w:rPr>
              <w:t xml:space="preserve"> </w:t>
            </w:r>
            <w:r w:rsidR="008918FA">
              <w:rPr>
                <w:spacing w:val="-3"/>
              </w:rPr>
              <w:t>AND</w:t>
            </w:r>
            <w:r w:rsidR="008918FA">
              <w:t xml:space="preserve"> </w:t>
            </w:r>
            <w:r w:rsidR="008918FA">
              <w:rPr>
                <w:spacing w:val="-1"/>
              </w:rPr>
              <w:t>BRIBERY</w:t>
            </w:r>
            <w:r w:rsidR="008918FA">
              <w:rPr>
                <w:spacing w:val="-1"/>
              </w:rPr>
              <w:tab/>
              <w:t>73</w:t>
            </w:r>
          </w:hyperlink>
        </w:p>
        <w:p w:rsidR="008918FA" w:rsidRDefault="00E32C6B" w:rsidP="008918FA">
          <w:pPr>
            <w:pStyle w:val="TOC2"/>
            <w:numPr>
              <w:ilvl w:val="0"/>
              <w:numId w:val="70"/>
            </w:numPr>
            <w:tabs>
              <w:tab w:val="left" w:pos="1559"/>
              <w:tab w:val="right" w:leader="dot" w:pos="9190"/>
            </w:tabs>
            <w:spacing w:before="121"/>
            <w:ind w:left="1558"/>
            <w:rPr>
              <w:b w:val="0"/>
              <w:bCs w:val="0"/>
            </w:rPr>
          </w:pPr>
          <w:hyperlink w:anchor="_bookmark267" w:history="1">
            <w:r w:rsidR="008918FA">
              <w:rPr>
                <w:spacing w:val="-1"/>
              </w:rPr>
              <w:t>SEVERANCE</w:t>
            </w:r>
            <w:r w:rsidR="008918FA">
              <w:rPr>
                <w:spacing w:val="-1"/>
              </w:rPr>
              <w:tab/>
              <w:t>75</w:t>
            </w:r>
          </w:hyperlink>
        </w:p>
        <w:p w:rsidR="008918FA" w:rsidRDefault="00E32C6B" w:rsidP="008918FA">
          <w:pPr>
            <w:pStyle w:val="TOC2"/>
            <w:numPr>
              <w:ilvl w:val="0"/>
              <w:numId w:val="70"/>
            </w:numPr>
            <w:tabs>
              <w:tab w:val="left" w:pos="1559"/>
              <w:tab w:val="right" w:leader="dot" w:pos="9190"/>
            </w:tabs>
            <w:ind w:left="1558"/>
            <w:rPr>
              <w:b w:val="0"/>
              <w:bCs w:val="0"/>
            </w:rPr>
          </w:pPr>
          <w:hyperlink w:anchor="_bookmark270" w:history="1">
            <w:r w:rsidR="008918FA">
              <w:rPr>
                <w:spacing w:val="-2"/>
              </w:rPr>
              <w:t>FURTHER</w:t>
            </w:r>
            <w:r w:rsidR="008918FA">
              <w:rPr>
                <w:spacing w:val="4"/>
              </w:rPr>
              <w:t xml:space="preserve"> </w:t>
            </w:r>
            <w:r w:rsidR="008918FA">
              <w:rPr>
                <w:spacing w:val="-2"/>
              </w:rPr>
              <w:t>ASSURANCES</w:t>
            </w:r>
            <w:r w:rsidR="008918FA">
              <w:rPr>
                <w:spacing w:val="-2"/>
              </w:rPr>
              <w:tab/>
            </w:r>
            <w:r w:rsidR="008918FA">
              <w:rPr>
                <w:spacing w:val="-1"/>
              </w:rPr>
              <w:t>75</w:t>
            </w:r>
          </w:hyperlink>
        </w:p>
        <w:p w:rsidR="008918FA" w:rsidRDefault="00E32C6B" w:rsidP="008918FA">
          <w:pPr>
            <w:pStyle w:val="TOC2"/>
            <w:numPr>
              <w:ilvl w:val="0"/>
              <w:numId w:val="70"/>
            </w:numPr>
            <w:tabs>
              <w:tab w:val="left" w:pos="1561"/>
              <w:tab w:val="right" w:leader="dot" w:pos="9191"/>
            </w:tabs>
            <w:spacing w:before="117"/>
            <w:ind w:left="1560"/>
            <w:rPr>
              <w:b w:val="0"/>
              <w:bCs w:val="0"/>
            </w:rPr>
          </w:pPr>
          <w:hyperlink w:anchor="_bookmark271" w:history="1">
            <w:r w:rsidR="008918FA">
              <w:rPr>
                <w:spacing w:val="-2"/>
              </w:rPr>
              <w:t>ENTIRE</w:t>
            </w:r>
            <w:r w:rsidR="008918FA">
              <w:rPr>
                <w:spacing w:val="5"/>
              </w:rPr>
              <w:t xml:space="preserve"> </w:t>
            </w:r>
            <w:r w:rsidR="008918FA">
              <w:rPr>
                <w:spacing w:val="-2"/>
              </w:rPr>
              <w:t>AGREEMENT</w:t>
            </w:r>
            <w:r w:rsidR="008918FA">
              <w:rPr>
                <w:spacing w:val="-2"/>
              </w:rPr>
              <w:tab/>
            </w:r>
            <w:r w:rsidR="008918FA">
              <w:rPr>
                <w:spacing w:val="-1"/>
              </w:rPr>
              <w:t>75</w:t>
            </w:r>
          </w:hyperlink>
        </w:p>
        <w:p w:rsidR="008918FA" w:rsidRDefault="00E32C6B" w:rsidP="008918FA">
          <w:pPr>
            <w:pStyle w:val="TOC2"/>
            <w:numPr>
              <w:ilvl w:val="0"/>
              <w:numId w:val="70"/>
            </w:numPr>
            <w:tabs>
              <w:tab w:val="left" w:pos="1560"/>
              <w:tab w:val="right" w:leader="dot" w:pos="9191"/>
            </w:tabs>
            <w:spacing w:before="121"/>
            <w:rPr>
              <w:b w:val="0"/>
              <w:bCs w:val="0"/>
            </w:rPr>
          </w:pPr>
          <w:hyperlink w:anchor="_bookmark272" w:history="1">
            <w:r w:rsidR="008918FA">
              <w:rPr>
                <w:spacing w:val="-2"/>
              </w:rPr>
              <w:t>THIRD</w:t>
            </w:r>
            <w:r w:rsidR="008918FA">
              <w:t xml:space="preserve"> </w:t>
            </w:r>
            <w:r w:rsidR="008918FA">
              <w:rPr>
                <w:spacing w:val="-1"/>
              </w:rPr>
              <w:t>PARTY</w:t>
            </w:r>
            <w:r w:rsidR="008918FA">
              <w:t xml:space="preserve"> </w:t>
            </w:r>
            <w:r w:rsidR="008918FA">
              <w:rPr>
                <w:spacing w:val="-2"/>
              </w:rPr>
              <w:t>RIGHTS</w:t>
            </w:r>
            <w:r w:rsidR="008918FA">
              <w:rPr>
                <w:spacing w:val="-2"/>
              </w:rPr>
              <w:tab/>
            </w:r>
            <w:r w:rsidR="008918FA">
              <w:rPr>
                <w:spacing w:val="-1"/>
              </w:rPr>
              <w:t>75</w:t>
            </w:r>
          </w:hyperlink>
        </w:p>
        <w:p w:rsidR="008918FA" w:rsidRDefault="00E32C6B" w:rsidP="008918FA">
          <w:pPr>
            <w:pStyle w:val="TOC2"/>
            <w:numPr>
              <w:ilvl w:val="0"/>
              <w:numId w:val="70"/>
            </w:numPr>
            <w:tabs>
              <w:tab w:val="left" w:pos="1560"/>
              <w:tab w:val="right" w:leader="dot" w:pos="9191"/>
            </w:tabs>
            <w:rPr>
              <w:b w:val="0"/>
              <w:bCs w:val="0"/>
            </w:rPr>
          </w:pPr>
          <w:hyperlink w:anchor="_bookmark274" w:history="1">
            <w:r w:rsidR="008918FA">
              <w:rPr>
                <w:spacing w:val="-1"/>
              </w:rPr>
              <w:t>NOTICES</w:t>
            </w:r>
            <w:r w:rsidR="008918FA">
              <w:rPr>
                <w:spacing w:val="-1"/>
              </w:rPr>
              <w:tab/>
              <w:t>76</w:t>
            </w:r>
          </w:hyperlink>
        </w:p>
        <w:p w:rsidR="008918FA" w:rsidRDefault="00E32C6B" w:rsidP="008918FA">
          <w:pPr>
            <w:pStyle w:val="TOC2"/>
            <w:numPr>
              <w:ilvl w:val="0"/>
              <w:numId w:val="70"/>
            </w:numPr>
            <w:tabs>
              <w:tab w:val="left" w:pos="1560"/>
              <w:tab w:val="right" w:leader="dot" w:pos="9191"/>
            </w:tabs>
            <w:spacing w:before="121"/>
            <w:rPr>
              <w:b w:val="0"/>
              <w:bCs w:val="0"/>
            </w:rPr>
          </w:pPr>
          <w:hyperlink w:anchor="_bookmark279" w:history="1">
            <w:r w:rsidR="008918FA">
              <w:rPr>
                <w:spacing w:val="-2"/>
              </w:rPr>
              <w:t>DISPUTE</w:t>
            </w:r>
            <w:r w:rsidR="008918FA">
              <w:t xml:space="preserve"> </w:t>
            </w:r>
            <w:r w:rsidR="008918FA">
              <w:rPr>
                <w:spacing w:val="-1"/>
              </w:rPr>
              <w:t>RESOLUTION</w:t>
            </w:r>
            <w:r w:rsidR="008918FA">
              <w:rPr>
                <w:spacing w:val="-1"/>
              </w:rPr>
              <w:tab/>
              <w:t>77</w:t>
            </w:r>
          </w:hyperlink>
        </w:p>
        <w:p w:rsidR="008918FA" w:rsidRDefault="00E32C6B" w:rsidP="008918FA">
          <w:pPr>
            <w:pStyle w:val="TOC2"/>
            <w:numPr>
              <w:ilvl w:val="0"/>
              <w:numId w:val="70"/>
            </w:numPr>
            <w:tabs>
              <w:tab w:val="left" w:pos="1560"/>
              <w:tab w:val="right" w:leader="dot" w:pos="9190"/>
            </w:tabs>
            <w:rPr>
              <w:b w:val="0"/>
              <w:bCs w:val="0"/>
            </w:rPr>
          </w:pPr>
          <w:hyperlink w:anchor="_bookmark280" w:history="1">
            <w:r w:rsidR="008918FA">
              <w:rPr>
                <w:spacing w:val="-1"/>
              </w:rPr>
              <w:t>GOVERNING</w:t>
            </w:r>
            <w:r w:rsidR="008918FA">
              <w:rPr>
                <w:spacing w:val="2"/>
              </w:rPr>
              <w:t xml:space="preserve"> </w:t>
            </w:r>
            <w:r w:rsidR="008918FA">
              <w:rPr>
                <w:spacing w:val="-3"/>
              </w:rPr>
              <w:t>LAW</w:t>
            </w:r>
            <w:r w:rsidR="008918FA">
              <w:rPr>
                <w:spacing w:val="3"/>
              </w:rPr>
              <w:t xml:space="preserve"> </w:t>
            </w:r>
            <w:r w:rsidR="008918FA">
              <w:rPr>
                <w:spacing w:val="-2"/>
              </w:rPr>
              <w:t>AND</w:t>
            </w:r>
            <w:r w:rsidR="008918FA">
              <w:rPr>
                <w:spacing w:val="2"/>
              </w:rPr>
              <w:t xml:space="preserve"> </w:t>
            </w:r>
            <w:r w:rsidR="008918FA">
              <w:rPr>
                <w:spacing w:val="-1"/>
              </w:rPr>
              <w:t>JURISDICTION</w:t>
            </w:r>
            <w:r w:rsidR="008918FA">
              <w:rPr>
                <w:spacing w:val="-1"/>
              </w:rPr>
              <w:tab/>
              <w:t>77</w:t>
            </w:r>
          </w:hyperlink>
        </w:p>
        <w:p w:rsidR="008918FA" w:rsidRDefault="00E32C6B" w:rsidP="008918FA">
          <w:pPr>
            <w:pStyle w:val="TOC1"/>
            <w:tabs>
              <w:tab w:val="right" w:leader="dot" w:pos="9191"/>
            </w:tabs>
            <w:ind w:left="119"/>
            <w:rPr>
              <w:b w:val="0"/>
              <w:bCs w:val="0"/>
            </w:rPr>
          </w:pPr>
          <w:hyperlink w:anchor="_bookmark281" w:history="1">
            <w:r w:rsidR="008918FA">
              <w:rPr>
                <w:spacing w:val="-2"/>
              </w:rPr>
              <w:t>CALL</w:t>
            </w:r>
            <w:r w:rsidR="008918FA">
              <w:t xml:space="preserve"> OFF </w:t>
            </w:r>
            <w:r w:rsidR="008918FA">
              <w:rPr>
                <w:spacing w:val="-2"/>
              </w:rPr>
              <w:t>SCHEDULE</w:t>
            </w:r>
            <w:r w:rsidR="008918FA">
              <w:t xml:space="preserve"> </w:t>
            </w:r>
            <w:r w:rsidR="008918FA">
              <w:rPr>
                <w:spacing w:val="-1"/>
              </w:rPr>
              <w:t>1:</w:t>
            </w:r>
            <w:r w:rsidR="008918FA">
              <w:rPr>
                <w:spacing w:val="2"/>
              </w:rPr>
              <w:t xml:space="preserve"> </w:t>
            </w:r>
            <w:r w:rsidR="008918FA">
              <w:rPr>
                <w:spacing w:val="-1"/>
              </w:rPr>
              <w:t>DEFINITIONS</w:t>
            </w:r>
            <w:r w:rsidR="008918FA">
              <w:rPr>
                <w:spacing w:val="-1"/>
              </w:rPr>
              <w:tab/>
              <w:t>78</w:t>
            </w:r>
          </w:hyperlink>
        </w:p>
        <w:p w:rsidR="008918FA" w:rsidRDefault="00E32C6B" w:rsidP="008918FA">
          <w:pPr>
            <w:pStyle w:val="TOC1"/>
            <w:tabs>
              <w:tab w:val="right" w:leader="dot" w:pos="9191"/>
            </w:tabs>
            <w:spacing w:before="121"/>
            <w:ind w:left="119"/>
            <w:rPr>
              <w:b w:val="0"/>
              <w:bCs w:val="0"/>
            </w:rPr>
          </w:pPr>
          <w:hyperlink w:anchor="_bookmark282" w:history="1">
            <w:r w:rsidR="008918FA">
              <w:rPr>
                <w:spacing w:val="-2"/>
              </w:rPr>
              <w:t>CALL</w:t>
            </w:r>
            <w:r w:rsidR="008918FA">
              <w:t xml:space="preserve"> OFF </w:t>
            </w:r>
            <w:r w:rsidR="008918FA">
              <w:rPr>
                <w:spacing w:val="-2"/>
              </w:rPr>
              <w:t>SCHEDULE</w:t>
            </w:r>
            <w:r w:rsidR="008918FA">
              <w:t xml:space="preserve"> </w:t>
            </w:r>
            <w:r w:rsidR="008918FA">
              <w:rPr>
                <w:spacing w:val="-1"/>
              </w:rPr>
              <w:t>2: GOODS</w:t>
            </w:r>
            <w:r w:rsidR="008918FA">
              <w:rPr>
                <w:spacing w:val="2"/>
              </w:rPr>
              <w:t xml:space="preserve"> </w:t>
            </w:r>
            <w:r w:rsidR="008918FA">
              <w:rPr>
                <w:spacing w:val="-4"/>
              </w:rPr>
              <w:t>AND</w:t>
            </w:r>
            <w:r w:rsidR="008918FA">
              <w:t xml:space="preserve"> </w:t>
            </w:r>
            <w:r w:rsidR="008918FA">
              <w:rPr>
                <w:spacing w:val="-1"/>
              </w:rPr>
              <w:t>SERVICES</w:t>
            </w:r>
            <w:r w:rsidR="008918FA">
              <w:rPr>
                <w:spacing w:val="-1"/>
              </w:rPr>
              <w:tab/>
              <w:t>103</w:t>
            </w:r>
          </w:hyperlink>
        </w:p>
        <w:p w:rsidR="008918FA" w:rsidRDefault="00E32C6B" w:rsidP="008918FA">
          <w:pPr>
            <w:pStyle w:val="TOC2"/>
            <w:tabs>
              <w:tab w:val="right" w:leader="dot" w:pos="9191"/>
            </w:tabs>
            <w:ind w:left="971" w:firstLine="0"/>
            <w:rPr>
              <w:b w:val="0"/>
              <w:bCs w:val="0"/>
            </w:rPr>
          </w:pPr>
          <w:hyperlink w:anchor="_bookmark283" w:history="1">
            <w:r w:rsidR="008918FA">
              <w:rPr>
                <w:spacing w:val="-1"/>
              </w:rPr>
              <w:t>ANNEX</w:t>
            </w:r>
            <w:r w:rsidR="008918FA">
              <w:t xml:space="preserve"> </w:t>
            </w:r>
            <w:r w:rsidR="008918FA">
              <w:rPr>
                <w:spacing w:val="-1"/>
              </w:rPr>
              <w:t>1:</w:t>
            </w:r>
            <w:r w:rsidR="008918FA">
              <w:rPr>
                <w:spacing w:val="2"/>
              </w:rPr>
              <w:t xml:space="preserve"> </w:t>
            </w:r>
            <w:r w:rsidR="008918FA">
              <w:rPr>
                <w:spacing w:val="-2"/>
              </w:rPr>
              <w:t>THE</w:t>
            </w:r>
            <w:r w:rsidR="008918FA">
              <w:t xml:space="preserve"> </w:t>
            </w:r>
            <w:r w:rsidR="008918FA">
              <w:rPr>
                <w:spacing w:val="-1"/>
              </w:rPr>
              <w:t>SERVICES</w:t>
            </w:r>
            <w:r w:rsidR="008918FA">
              <w:rPr>
                <w:spacing w:val="-1"/>
              </w:rPr>
              <w:tab/>
              <w:t>104</w:t>
            </w:r>
          </w:hyperlink>
        </w:p>
        <w:p w:rsidR="008918FA" w:rsidRDefault="00E32C6B" w:rsidP="008918FA">
          <w:pPr>
            <w:pStyle w:val="TOC2"/>
            <w:tabs>
              <w:tab w:val="right" w:leader="dot" w:pos="9191"/>
            </w:tabs>
            <w:spacing w:before="121"/>
            <w:ind w:left="971" w:firstLine="0"/>
            <w:rPr>
              <w:b w:val="0"/>
              <w:bCs w:val="0"/>
            </w:rPr>
          </w:pPr>
          <w:hyperlink w:anchor="_bookmark284" w:history="1">
            <w:r w:rsidR="008918FA">
              <w:rPr>
                <w:spacing w:val="-1"/>
              </w:rPr>
              <w:t>ANNEX</w:t>
            </w:r>
            <w:r w:rsidR="008918FA">
              <w:t xml:space="preserve"> </w:t>
            </w:r>
            <w:r w:rsidR="008918FA">
              <w:rPr>
                <w:spacing w:val="-1"/>
              </w:rPr>
              <w:t>2:</w:t>
            </w:r>
            <w:r w:rsidR="008918FA">
              <w:rPr>
                <w:spacing w:val="2"/>
              </w:rPr>
              <w:t xml:space="preserve"> </w:t>
            </w:r>
            <w:r w:rsidR="008918FA">
              <w:rPr>
                <w:spacing w:val="-2"/>
              </w:rPr>
              <w:t>THE</w:t>
            </w:r>
            <w:r w:rsidR="008918FA">
              <w:t xml:space="preserve"> </w:t>
            </w:r>
            <w:r w:rsidR="008918FA">
              <w:rPr>
                <w:spacing w:val="-1"/>
              </w:rPr>
              <w:t>GOODS</w:t>
            </w:r>
            <w:r w:rsidR="008918FA">
              <w:rPr>
                <w:spacing w:val="-1"/>
              </w:rPr>
              <w:tab/>
              <w:t>105</w:t>
            </w:r>
          </w:hyperlink>
        </w:p>
        <w:p w:rsidR="008918FA" w:rsidRDefault="00E32C6B" w:rsidP="008918FA">
          <w:pPr>
            <w:pStyle w:val="TOC1"/>
            <w:tabs>
              <w:tab w:val="right" w:leader="dot" w:pos="9191"/>
            </w:tabs>
            <w:spacing w:before="57"/>
            <w:ind w:right="112"/>
            <w:rPr>
              <w:b w:val="0"/>
              <w:bCs w:val="0"/>
            </w:rPr>
          </w:pPr>
          <w:hyperlink w:anchor="_bookmark285" w:history="1">
            <w:r w:rsidR="008918FA">
              <w:rPr>
                <w:spacing w:val="-2"/>
              </w:rPr>
              <w:t>CALL</w:t>
            </w:r>
            <w:r w:rsidR="008918FA">
              <w:t xml:space="preserve"> OFF </w:t>
            </w:r>
            <w:r w:rsidR="008918FA">
              <w:rPr>
                <w:spacing w:val="-2"/>
              </w:rPr>
              <w:t>SCHEDULE</w:t>
            </w:r>
            <w:r w:rsidR="008918FA">
              <w:t xml:space="preserve"> </w:t>
            </w:r>
            <w:r w:rsidR="008918FA">
              <w:rPr>
                <w:spacing w:val="-1"/>
              </w:rPr>
              <w:t>3:</w:t>
            </w:r>
            <w:r w:rsidR="008918FA">
              <w:rPr>
                <w:spacing w:val="2"/>
              </w:rPr>
              <w:t xml:space="preserve"> </w:t>
            </w:r>
            <w:r w:rsidR="008918FA">
              <w:rPr>
                <w:spacing w:val="-3"/>
              </w:rPr>
              <w:t>CALL</w:t>
            </w:r>
            <w:r w:rsidR="008918FA">
              <w:t xml:space="preserve"> OFF </w:t>
            </w:r>
            <w:r w:rsidR="008918FA">
              <w:rPr>
                <w:spacing w:val="-2"/>
              </w:rPr>
              <w:t xml:space="preserve">CONTRACT </w:t>
            </w:r>
            <w:r w:rsidR="008918FA">
              <w:rPr>
                <w:spacing w:val="-1"/>
              </w:rPr>
              <w:t>CHARGES,</w:t>
            </w:r>
            <w:r w:rsidR="008918FA">
              <w:rPr>
                <w:spacing w:val="2"/>
              </w:rPr>
              <w:t xml:space="preserve"> </w:t>
            </w:r>
            <w:r w:rsidR="008918FA">
              <w:rPr>
                <w:spacing w:val="-1"/>
              </w:rPr>
              <w:t>PAYMENT</w:t>
            </w:r>
            <w:r w:rsidR="008918FA">
              <w:rPr>
                <w:spacing w:val="3"/>
              </w:rPr>
              <w:t xml:space="preserve"> </w:t>
            </w:r>
            <w:r w:rsidR="008918FA">
              <w:rPr>
                <w:spacing w:val="-4"/>
              </w:rPr>
              <w:t>AND</w:t>
            </w:r>
          </w:hyperlink>
          <w:r w:rsidR="008918FA">
            <w:rPr>
              <w:spacing w:val="39"/>
            </w:rPr>
            <w:t xml:space="preserve"> </w:t>
          </w:r>
          <w:hyperlink w:anchor="_bookmark285" w:history="1">
            <w:r w:rsidR="008918FA">
              <w:rPr>
                <w:spacing w:val="-1"/>
              </w:rPr>
              <w:t>INVOICING</w:t>
            </w:r>
            <w:r w:rsidR="008918FA">
              <w:rPr>
                <w:spacing w:val="-1"/>
              </w:rPr>
              <w:tab/>
              <w:t>106</w:t>
            </w:r>
          </w:hyperlink>
        </w:p>
        <w:p w:rsidR="008918FA" w:rsidRDefault="00E32C6B" w:rsidP="008918FA">
          <w:pPr>
            <w:pStyle w:val="TOC2"/>
            <w:tabs>
              <w:tab w:val="right" w:leader="dot" w:pos="9191"/>
            </w:tabs>
            <w:spacing w:before="121"/>
            <w:ind w:left="972" w:firstLine="0"/>
            <w:rPr>
              <w:b w:val="0"/>
              <w:bCs w:val="0"/>
            </w:rPr>
          </w:pPr>
          <w:hyperlink w:anchor="_bookmark303" w:history="1">
            <w:r w:rsidR="008918FA">
              <w:rPr>
                <w:spacing w:val="-1"/>
              </w:rPr>
              <w:t>ANNEX</w:t>
            </w:r>
            <w:r w:rsidR="008918FA">
              <w:t xml:space="preserve"> </w:t>
            </w:r>
            <w:r w:rsidR="008918FA">
              <w:rPr>
                <w:spacing w:val="-1"/>
              </w:rPr>
              <w:t>1:</w:t>
            </w:r>
            <w:r w:rsidR="008918FA">
              <w:rPr>
                <w:spacing w:val="2"/>
              </w:rPr>
              <w:t xml:space="preserve"> </w:t>
            </w:r>
            <w:r w:rsidR="008918FA">
              <w:rPr>
                <w:spacing w:val="-2"/>
              </w:rPr>
              <w:t>CALL</w:t>
            </w:r>
            <w:r w:rsidR="008918FA">
              <w:t xml:space="preserve"> OFF </w:t>
            </w:r>
            <w:r w:rsidR="008918FA">
              <w:rPr>
                <w:spacing w:val="-2"/>
              </w:rPr>
              <w:t xml:space="preserve">CONTRACT </w:t>
            </w:r>
            <w:r w:rsidR="008918FA">
              <w:rPr>
                <w:spacing w:val="-1"/>
              </w:rPr>
              <w:t>CHARGES</w:t>
            </w:r>
            <w:r w:rsidR="008918FA">
              <w:rPr>
                <w:spacing w:val="-1"/>
              </w:rPr>
              <w:tab/>
              <w:t>111</w:t>
            </w:r>
          </w:hyperlink>
        </w:p>
        <w:p w:rsidR="008918FA" w:rsidRDefault="00E32C6B" w:rsidP="008918FA">
          <w:pPr>
            <w:pStyle w:val="TOC2"/>
            <w:tabs>
              <w:tab w:val="right" w:leader="dot" w:pos="9191"/>
            </w:tabs>
            <w:ind w:left="972" w:firstLine="0"/>
            <w:rPr>
              <w:b w:val="0"/>
              <w:bCs w:val="0"/>
            </w:rPr>
          </w:pPr>
          <w:hyperlink w:anchor="_bookmark304" w:history="1">
            <w:r w:rsidR="008918FA">
              <w:rPr>
                <w:spacing w:val="-1"/>
              </w:rPr>
              <w:t>ANNEX</w:t>
            </w:r>
            <w:r w:rsidR="008918FA">
              <w:t xml:space="preserve"> </w:t>
            </w:r>
            <w:r w:rsidR="008918FA">
              <w:rPr>
                <w:spacing w:val="-1"/>
              </w:rPr>
              <w:t>2:</w:t>
            </w:r>
            <w:r w:rsidR="008918FA">
              <w:rPr>
                <w:spacing w:val="2"/>
              </w:rPr>
              <w:t xml:space="preserve"> </w:t>
            </w:r>
            <w:r w:rsidR="008918FA">
              <w:rPr>
                <w:spacing w:val="-1"/>
              </w:rPr>
              <w:t>PAYMENT</w:t>
            </w:r>
            <w:r w:rsidR="008918FA">
              <w:rPr>
                <w:spacing w:val="-2"/>
              </w:rPr>
              <w:t xml:space="preserve"> </w:t>
            </w:r>
            <w:r w:rsidR="008918FA">
              <w:rPr>
                <w:spacing w:val="-1"/>
              </w:rPr>
              <w:t>TERMS/PROFILE</w:t>
            </w:r>
            <w:r w:rsidR="008918FA">
              <w:rPr>
                <w:spacing w:val="-1"/>
              </w:rPr>
              <w:tab/>
              <w:t>112</w:t>
            </w:r>
          </w:hyperlink>
        </w:p>
        <w:p w:rsidR="008918FA" w:rsidRDefault="00E32C6B" w:rsidP="008918FA">
          <w:pPr>
            <w:pStyle w:val="TOC1"/>
            <w:tabs>
              <w:tab w:val="right" w:leader="dot" w:pos="9191"/>
            </w:tabs>
            <w:spacing w:before="121"/>
            <w:ind w:right="112"/>
            <w:rPr>
              <w:b w:val="0"/>
              <w:bCs w:val="0"/>
            </w:rPr>
          </w:pPr>
          <w:hyperlink w:anchor="_bookmark305" w:history="1">
            <w:r w:rsidR="008918FA">
              <w:rPr>
                <w:spacing w:val="-2"/>
              </w:rPr>
              <w:t>CALL</w:t>
            </w:r>
            <w:r w:rsidR="008918FA">
              <w:t xml:space="preserve"> OFF </w:t>
            </w:r>
            <w:r w:rsidR="008918FA">
              <w:rPr>
                <w:spacing w:val="-2"/>
              </w:rPr>
              <w:t>SCHEDULE</w:t>
            </w:r>
            <w:r w:rsidR="008918FA">
              <w:t xml:space="preserve"> </w:t>
            </w:r>
            <w:r w:rsidR="008918FA">
              <w:rPr>
                <w:spacing w:val="-1"/>
              </w:rPr>
              <w:t>4: IMPLEMENTATION</w:t>
            </w:r>
            <w:r w:rsidR="008918FA">
              <w:t xml:space="preserve"> </w:t>
            </w:r>
            <w:r w:rsidR="008918FA">
              <w:rPr>
                <w:spacing w:val="-1"/>
              </w:rPr>
              <w:t>PLAN,</w:t>
            </w:r>
            <w:r w:rsidR="008918FA">
              <w:rPr>
                <w:spacing w:val="2"/>
              </w:rPr>
              <w:t xml:space="preserve"> </w:t>
            </w:r>
            <w:r w:rsidR="008918FA">
              <w:rPr>
                <w:spacing w:val="-1"/>
              </w:rPr>
              <w:t>CUSTOMER</w:t>
            </w:r>
            <w:r w:rsidR="008918FA">
              <w:t xml:space="preserve"> </w:t>
            </w:r>
            <w:r w:rsidR="008918FA">
              <w:rPr>
                <w:spacing w:val="-1"/>
              </w:rPr>
              <w:t>RESPONSIBILITIES</w:t>
            </w:r>
          </w:hyperlink>
          <w:r w:rsidR="008918FA">
            <w:rPr>
              <w:spacing w:val="31"/>
            </w:rPr>
            <w:t xml:space="preserve"> </w:t>
          </w:r>
          <w:hyperlink w:anchor="_bookmark305" w:history="1">
            <w:r w:rsidR="008918FA">
              <w:rPr>
                <w:spacing w:val="-2"/>
              </w:rPr>
              <w:t>AND</w:t>
            </w:r>
            <w:r w:rsidR="008918FA">
              <w:t xml:space="preserve"> </w:t>
            </w:r>
            <w:r w:rsidR="008918FA">
              <w:rPr>
                <w:spacing w:val="-1"/>
              </w:rPr>
              <w:t>KEY</w:t>
            </w:r>
            <w:r w:rsidR="008918FA">
              <w:t xml:space="preserve"> </w:t>
            </w:r>
            <w:r w:rsidR="008918FA">
              <w:rPr>
                <w:spacing w:val="-1"/>
              </w:rPr>
              <w:t>PERSONNEL</w:t>
            </w:r>
            <w:r w:rsidR="008918FA">
              <w:rPr>
                <w:spacing w:val="-1"/>
              </w:rPr>
              <w:tab/>
              <w:t>113</w:t>
            </w:r>
          </w:hyperlink>
        </w:p>
        <w:p w:rsidR="008918FA" w:rsidRDefault="00E32C6B" w:rsidP="008918FA">
          <w:pPr>
            <w:pStyle w:val="TOC1"/>
            <w:tabs>
              <w:tab w:val="right" w:leader="dot" w:pos="9191"/>
            </w:tabs>
            <w:rPr>
              <w:b w:val="0"/>
              <w:bCs w:val="0"/>
            </w:rPr>
          </w:pPr>
          <w:hyperlink w:anchor="_bookmark306" w:history="1">
            <w:r w:rsidR="008918FA" w:rsidRPr="001C1527">
              <w:rPr>
                <w:spacing w:val="-2"/>
              </w:rPr>
              <w:t>CALL</w:t>
            </w:r>
            <w:r w:rsidR="008918FA" w:rsidRPr="001C1527">
              <w:rPr>
                <w:spacing w:val="1"/>
              </w:rPr>
              <w:t xml:space="preserve"> </w:t>
            </w:r>
            <w:r w:rsidR="008918FA" w:rsidRPr="001C1527">
              <w:rPr>
                <w:spacing w:val="-1"/>
              </w:rPr>
              <w:t>OFF</w:t>
            </w:r>
            <w:r w:rsidR="008918FA" w:rsidRPr="001C1527">
              <w:rPr>
                <w:spacing w:val="1"/>
              </w:rPr>
              <w:t xml:space="preserve"> </w:t>
            </w:r>
            <w:r w:rsidR="008918FA" w:rsidRPr="001C1527">
              <w:rPr>
                <w:spacing w:val="-2"/>
              </w:rPr>
              <w:t>SCHEDULE</w:t>
            </w:r>
            <w:r w:rsidR="008918FA" w:rsidRPr="001C1527">
              <w:t xml:space="preserve"> </w:t>
            </w:r>
            <w:r w:rsidR="008918FA" w:rsidRPr="001C1527">
              <w:rPr>
                <w:spacing w:val="-1"/>
              </w:rPr>
              <w:t>5:</w:t>
            </w:r>
            <w:r w:rsidR="008918FA" w:rsidRPr="001C1527">
              <w:rPr>
                <w:spacing w:val="2"/>
              </w:rPr>
              <w:t xml:space="preserve"> </w:t>
            </w:r>
            <w:r w:rsidR="008918FA" w:rsidRPr="001C1527">
              <w:rPr>
                <w:spacing w:val="-2"/>
              </w:rPr>
              <w:t>TESTING</w:t>
            </w:r>
            <w:r w:rsidR="008918FA">
              <w:rPr>
                <w:spacing w:val="-2"/>
              </w:rPr>
              <w:tab/>
            </w:r>
            <w:r w:rsidR="008918FA">
              <w:rPr>
                <w:spacing w:val="-1"/>
              </w:rPr>
              <w:t>117</w:t>
            </w:r>
          </w:hyperlink>
        </w:p>
        <w:p w:rsidR="008918FA" w:rsidRDefault="00E32C6B" w:rsidP="008918FA">
          <w:pPr>
            <w:pStyle w:val="TOC2"/>
            <w:tabs>
              <w:tab w:val="right" w:leader="dot" w:pos="9191"/>
            </w:tabs>
            <w:spacing w:before="121"/>
            <w:ind w:left="972" w:firstLine="0"/>
            <w:rPr>
              <w:b w:val="0"/>
              <w:bCs w:val="0"/>
            </w:rPr>
          </w:pPr>
          <w:hyperlink w:anchor="_bookmark308" w:history="1">
            <w:r w:rsidR="008918FA">
              <w:rPr>
                <w:spacing w:val="-1"/>
              </w:rPr>
              <w:t>ANNEX</w:t>
            </w:r>
            <w:r w:rsidR="008918FA">
              <w:t xml:space="preserve"> </w:t>
            </w:r>
            <w:r w:rsidR="008918FA">
              <w:rPr>
                <w:spacing w:val="-1"/>
              </w:rPr>
              <w:t>1:</w:t>
            </w:r>
            <w:r w:rsidR="008918FA">
              <w:rPr>
                <w:spacing w:val="2"/>
              </w:rPr>
              <w:t xml:space="preserve"> </w:t>
            </w:r>
            <w:r w:rsidR="008918FA">
              <w:rPr>
                <w:spacing w:val="-1"/>
              </w:rPr>
              <w:t>SATISFACTION</w:t>
            </w:r>
            <w:r w:rsidR="008918FA">
              <w:t xml:space="preserve"> </w:t>
            </w:r>
            <w:r w:rsidR="008918FA">
              <w:rPr>
                <w:spacing w:val="-2"/>
              </w:rPr>
              <w:t>CERTIFICATE</w:t>
            </w:r>
            <w:r w:rsidR="008918FA">
              <w:rPr>
                <w:spacing w:val="-2"/>
              </w:rPr>
              <w:tab/>
            </w:r>
            <w:r w:rsidR="008918FA">
              <w:rPr>
                <w:spacing w:val="-1"/>
              </w:rPr>
              <w:t>120</w:t>
            </w:r>
          </w:hyperlink>
        </w:p>
        <w:p w:rsidR="008918FA" w:rsidRDefault="00E32C6B" w:rsidP="008918FA">
          <w:pPr>
            <w:pStyle w:val="TOC1"/>
            <w:tabs>
              <w:tab w:val="right" w:leader="dot" w:pos="9191"/>
            </w:tabs>
            <w:ind w:right="112"/>
            <w:rPr>
              <w:b w:val="0"/>
              <w:bCs w:val="0"/>
            </w:rPr>
          </w:pPr>
          <w:hyperlink w:anchor="_bookmark309" w:history="1">
            <w:r w:rsidR="008918FA">
              <w:rPr>
                <w:spacing w:val="-2"/>
              </w:rPr>
              <w:t>CALL</w:t>
            </w:r>
            <w:r w:rsidR="008918FA">
              <w:t xml:space="preserve"> OFF </w:t>
            </w:r>
            <w:r w:rsidR="008918FA">
              <w:rPr>
                <w:spacing w:val="-2"/>
              </w:rPr>
              <w:t>SCHEDULE</w:t>
            </w:r>
            <w:r w:rsidR="008918FA">
              <w:t xml:space="preserve"> </w:t>
            </w:r>
            <w:r w:rsidR="008918FA">
              <w:rPr>
                <w:spacing w:val="-1"/>
              </w:rPr>
              <w:t>6:</w:t>
            </w:r>
            <w:r w:rsidR="008918FA">
              <w:rPr>
                <w:spacing w:val="2"/>
              </w:rPr>
              <w:t xml:space="preserve"> </w:t>
            </w:r>
            <w:r w:rsidR="008918FA">
              <w:rPr>
                <w:spacing w:val="-1"/>
              </w:rPr>
              <w:t>SERVICE</w:t>
            </w:r>
            <w:r w:rsidR="008918FA">
              <w:t xml:space="preserve"> </w:t>
            </w:r>
            <w:r w:rsidR="008918FA">
              <w:rPr>
                <w:spacing w:val="-1"/>
              </w:rPr>
              <w:t>LEVELS,</w:t>
            </w:r>
            <w:r w:rsidR="008918FA">
              <w:t xml:space="preserve"> </w:t>
            </w:r>
            <w:r w:rsidR="008918FA">
              <w:rPr>
                <w:spacing w:val="-1"/>
              </w:rPr>
              <w:t>SERVICE</w:t>
            </w:r>
            <w:r w:rsidR="008918FA">
              <w:t xml:space="preserve"> </w:t>
            </w:r>
            <w:r w:rsidR="008918FA">
              <w:rPr>
                <w:spacing w:val="-2"/>
              </w:rPr>
              <w:t>CREDITS</w:t>
            </w:r>
            <w:r w:rsidR="008918FA">
              <w:rPr>
                <w:spacing w:val="5"/>
              </w:rPr>
              <w:t xml:space="preserve"> </w:t>
            </w:r>
            <w:r w:rsidR="008918FA">
              <w:rPr>
                <w:spacing w:val="-3"/>
              </w:rPr>
              <w:t>AND</w:t>
            </w:r>
            <w:r w:rsidR="008918FA">
              <w:rPr>
                <w:spacing w:val="2"/>
              </w:rPr>
              <w:t xml:space="preserve"> </w:t>
            </w:r>
            <w:r w:rsidR="008918FA">
              <w:rPr>
                <w:spacing w:val="-2"/>
              </w:rPr>
              <w:t>PERFORMANCE</w:t>
            </w:r>
          </w:hyperlink>
          <w:r w:rsidR="008918FA">
            <w:rPr>
              <w:spacing w:val="53"/>
            </w:rPr>
            <w:t xml:space="preserve"> </w:t>
          </w:r>
          <w:hyperlink w:anchor="_bookmark309" w:history="1">
            <w:r w:rsidR="008918FA">
              <w:rPr>
                <w:spacing w:val="-1"/>
              </w:rPr>
              <w:t>MONITORING</w:t>
            </w:r>
            <w:r w:rsidR="008918FA">
              <w:rPr>
                <w:spacing w:val="-1"/>
              </w:rPr>
              <w:tab/>
              <w:t>121</w:t>
            </w:r>
          </w:hyperlink>
        </w:p>
        <w:p w:rsidR="008918FA" w:rsidRDefault="00E32C6B" w:rsidP="008918FA">
          <w:pPr>
            <w:pStyle w:val="TOC2"/>
            <w:tabs>
              <w:tab w:val="right" w:leader="dot" w:pos="9191"/>
            </w:tabs>
            <w:spacing w:line="353" w:lineRule="auto"/>
            <w:ind w:left="972" w:right="112" w:hanging="1"/>
            <w:rPr>
              <w:b w:val="0"/>
              <w:bCs w:val="0"/>
            </w:rPr>
          </w:pPr>
          <w:hyperlink w:anchor="_bookmark314" w:history="1">
            <w:r w:rsidR="008918FA">
              <w:rPr>
                <w:spacing w:val="-1"/>
              </w:rPr>
              <w:t>ANNEX</w:t>
            </w:r>
            <w:r w:rsidR="008918FA">
              <w:t xml:space="preserve"> 1 </w:t>
            </w:r>
            <w:r w:rsidR="008918FA">
              <w:rPr>
                <w:spacing w:val="-2"/>
              </w:rPr>
              <w:t>TO</w:t>
            </w:r>
            <w:r w:rsidR="008918FA">
              <w:rPr>
                <w:spacing w:val="2"/>
              </w:rPr>
              <w:t xml:space="preserve"> </w:t>
            </w:r>
            <w:r w:rsidR="008918FA">
              <w:rPr>
                <w:spacing w:val="-1"/>
              </w:rPr>
              <w:t>PART</w:t>
            </w:r>
            <w:r w:rsidR="008918FA">
              <w:rPr>
                <w:spacing w:val="3"/>
              </w:rPr>
              <w:t xml:space="preserve"> </w:t>
            </w:r>
            <w:r w:rsidR="008918FA">
              <w:rPr>
                <w:spacing w:val="-5"/>
              </w:rPr>
              <w:t>A:</w:t>
            </w:r>
            <w:r w:rsidR="008918FA">
              <w:rPr>
                <w:spacing w:val="4"/>
              </w:rPr>
              <w:t xml:space="preserve"> </w:t>
            </w:r>
            <w:r w:rsidR="008918FA">
              <w:rPr>
                <w:spacing w:val="-1"/>
              </w:rPr>
              <w:t>SERVICE</w:t>
            </w:r>
            <w:r w:rsidR="008918FA">
              <w:t xml:space="preserve"> </w:t>
            </w:r>
            <w:r w:rsidR="008918FA">
              <w:rPr>
                <w:spacing w:val="-1"/>
              </w:rPr>
              <w:t>LEVELS</w:t>
            </w:r>
            <w:r w:rsidR="008918FA">
              <w:rPr>
                <w:spacing w:val="2"/>
              </w:rPr>
              <w:t xml:space="preserve"> </w:t>
            </w:r>
            <w:r w:rsidR="008918FA">
              <w:rPr>
                <w:spacing w:val="-2"/>
              </w:rPr>
              <w:t>AND</w:t>
            </w:r>
            <w:r w:rsidR="008918FA">
              <w:rPr>
                <w:spacing w:val="2"/>
              </w:rPr>
              <w:t xml:space="preserve"> </w:t>
            </w:r>
            <w:r w:rsidR="008918FA">
              <w:rPr>
                <w:spacing w:val="-1"/>
              </w:rPr>
              <w:t>SERVICE</w:t>
            </w:r>
            <w:r w:rsidR="008918FA">
              <w:t xml:space="preserve"> </w:t>
            </w:r>
            <w:r w:rsidR="008918FA">
              <w:rPr>
                <w:spacing w:val="-2"/>
              </w:rPr>
              <w:t>CREDITS</w:t>
            </w:r>
            <w:r w:rsidR="008918FA">
              <w:t xml:space="preserve"> </w:t>
            </w:r>
            <w:r w:rsidR="008918FA">
              <w:rPr>
                <w:spacing w:val="-2"/>
              </w:rPr>
              <w:t>TABLE</w:t>
            </w:r>
            <w:r w:rsidR="008918FA">
              <w:rPr>
                <w:spacing w:val="-36"/>
              </w:rPr>
              <w:t xml:space="preserve"> </w:t>
            </w:r>
            <w:r w:rsidR="008918FA">
              <w:t>...</w:t>
            </w:r>
            <w:r w:rsidR="008918FA">
              <w:rPr>
                <w:spacing w:val="-25"/>
              </w:rPr>
              <w:t xml:space="preserve"> </w:t>
            </w:r>
            <w:r w:rsidR="008918FA">
              <w:rPr>
                <w:spacing w:val="-1"/>
              </w:rPr>
              <w:t>125</w:t>
            </w:r>
          </w:hyperlink>
          <w:r w:rsidR="008918FA">
            <w:rPr>
              <w:spacing w:val="32"/>
            </w:rPr>
            <w:t xml:space="preserve"> </w:t>
          </w:r>
          <w:hyperlink w:anchor="_bookmark315" w:history="1">
            <w:r w:rsidR="008918FA">
              <w:rPr>
                <w:spacing w:val="-1"/>
              </w:rPr>
              <w:t>ANNEX</w:t>
            </w:r>
            <w:r w:rsidR="008918FA">
              <w:t xml:space="preserve"> 2 </w:t>
            </w:r>
            <w:r w:rsidR="008918FA">
              <w:rPr>
                <w:spacing w:val="-2"/>
              </w:rPr>
              <w:t>TO</w:t>
            </w:r>
            <w:r w:rsidR="008918FA">
              <w:rPr>
                <w:spacing w:val="2"/>
              </w:rPr>
              <w:t xml:space="preserve"> </w:t>
            </w:r>
            <w:r w:rsidR="008918FA">
              <w:rPr>
                <w:spacing w:val="-1"/>
              </w:rPr>
              <w:t>PART</w:t>
            </w:r>
            <w:r w:rsidR="008918FA">
              <w:rPr>
                <w:spacing w:val="3"/>
              </w:rPr>
              <w:t xml:space="preserve"> </w:t>
            </w:r>
            <w:r w:rsidR="008918FA">
              <w:rPr>
                <w:spacing w:val="-5"/>
              </w:rPr>
              <w:t>A:</w:t>
            </w:r>
            <w:r w:rsidR="008918FA">
              <w:rPr>
                <w:spacing w:val="4"/>
              </w:rPr>
              <w:t xml:space="preserve"> </w:t>
            </w:r>
            <w:r w:rsidR="008918FA">
              <w:rPr>
                <w:spacing w:val="-1"/>
              </w:rPr>
              <w:t>CRITICAL</w:t>
            </w:r>
            <w:r w:rsidR="008918FA">
              <w:t xml:space="preserve"> </w:t>
            </w:r>
            <w:r w:rsidR="008918FA">
              <w:rPr>
                <w:spacing w:val="-1"/>
              </w:rPr>
              <w:t>SERVICE</w:t>
            </w:r>
            <w:r w:rsidR="008918FA">
              <w:t xml:space="preserve"> </w:t>
            </w:r>
            <w:r w:rsidR="008918FA">
              <w:rPr>
                <w:spacing w:val="-1"/>
              </w:rPr>
              <w:t>LEVEL</w:t>
            </w:r>
            <w:r w:rsidR="008918FA">
              <w:t xml:space="preserve"> </w:t>
            </w:r>
            <w:r w:rsidR="008918FA">
              <w:rPr>
                <w:spacing w:val="-2"/>
              </w:rPr>
              <w:t>FAILURE</w:t>
            </w:r>
            <w:r w:rsidR="008918FA">
              <w:rPr>
                <w:spacing w:val="-2"/>
              </w:rPr>
              <w:tab/>
            </w:r>
            <w:r w:rsidR="008918FA">
              <w:rPr>
                <w:spacing w:val="-1"/>
              </w:rPr>
              <w:t>127</w:t>
            </w:r>
          </w:hyperlink>
        </w:p>
        <w:p w:rsidR="008918FA" w:rsidRDefault="00E32C6B" w:rsidP="008918FA">
          <w:pPr>
            <w:pStyle w:val="TOC2"/>
            <w:tabs>
              <w:tab w:val="left" w:pos="1977"/>
              <w:tab w:val="left" w:pos="2340"/>
              <w:tab w:val="left" w:pos="2882"/>
              <w:tab w:val="left" w:pos="3715"/>
              <w:tab w:val="left" w:pos="4190"/>
              <w:tab w:val="left" w:pos="5779"/>
              <w:tab w:val="left" w:pos="7737"/>
              <w:tab w:val="right" w:leader="dot" w:pos="9192"/>
            </w:tabs>
            <w:spacing w:before="5"/>
            <w:ind w:left="972" w:right="112" w:firstLine="0"/>
            <w:rPr>
              <w:b w:val="0"/>
              <w:bCs w:val="0"/>
            </w:rPr>
          </w:pPr>
          <w:hyperlink w:anchor="_bookmark319" w:history="1">
            <w:r w:rsidR="008918FA">
              <w:rPr>
                <w:spacing w:val="-1"/>
              </w:rPr>
              <w:t>ANNEX</w:t>
            </w:r>
            <w:r w:rsidR="008918FA">
              <w:rPr>
                <w:spacing w:val="-1"/>
              </w:rPr>
              <w:tab/>
            </w:r>
            <w:r w:rsidR="008918FA">
              <w:rPr>
                <w:w w:val="95"/>
              </w:rPr>
              <w:t>1</w:t>
            </w:r>
            <w:r w:rsidR="008918FA">
              <w:rPr>
                <w:w w:val="95"/>
              </w:rPr>
              <w:tab/>
            </w:r>
            <w:r w:rsidR="008918FA">
              <w:rPr>
                <w:spacing w:val="-2"/>
              </w:rPr>
              <w:t>TO</w:t>
            </w:r>
            <w:r w:rsidR="008918FA">
              <w:rPr>
                <w:spacing w:val="-2"/>
              </w:rPr>
              <w:tab/>
            </w:r>
            <w:r w:rsidR="008918FA">
              <w:rPr>
                <w:spacing w:val="-1"/>
              </w:rPr>
              <w:t>PART</w:t>
            </w:r>
            <w:r w:rsidR="008918FA">
              <w:rPr>
                <w:spacing w:val="-1"/>
              </w:rPr>
              <w:tab/>
            </w:r>
            <w:r w:rsidR="008918FA">
              <w:rPr>
                <w:spacing w:val="-1"/>
                <w:w w:val="95"/>
              </w:rPr>
              <w:t>B:</w:t>
            </w:r>
            <w:r w:rsidR="008918FA">
              <w:rPr>
                <w:spacing w:val="-1"/>
                <w:w w:val="95"/>
              </w:rPr>
              <w:tab/>
            </w:r>
            <w:r w:rsidR="008918FA">
              <w:rPr>
                <w:spacing w:val="-2"/>
              </w:rPr>
              <w:t>ADDITIONAL</w:t>
            </w:r>
            <w:r w:rsidR="008918FA">
              <w:rPr>
                <w:spacing w:val="-2"/>
              </w:rPr>
              <w:tab/>
              <w:t>PERFORMANCE</w:t>
            </w:r>
            <w:r w:rsidR="008918FA">
              <w:rPr>
                <w:spacing w:val="-2"/>
              </w:rPr>
              <w:tab/>
            </w:r>
            <w:r w:rsidR="008918FA">
              <w:rPr>
                <w:spacing w:val="-1"/>
              </w:rPr>
              <w:t>MONITORING</w:t>
            </w:r>
          </w:hyperlink>
          <w:r w:rsidR="008918FA">
            <w:rPr>
              <w:spacing w:val="45"/>
            </w:rPr>
            <w:t xml:space="preserve"> </w:t>
          </w:r>
          <w:hyperlink w:anchor="_bookmark319" w:history="1">
            <w:r w:rsidR="008918FA">
              <w:rPr>
                <w:spacing w:val="-1"/>
              </w:rPr>
              <w:t>REQUIREMENTS</w:t>
            </w:r>
            <w:r w:rsidR="008918FA">
              <w:rPr>
                <w:spacing w:val="-1"/>
              </w:rPr>
              <w:tab/>
            </w:r>
            <w:r w:rsidR="008918FA">
              <w:rPr>
                <w:spacing w:val="-1"/>
              </w:rPr>
              <w:tab/>
            </w:r>
            <w:r w:rsidR="008918FA">
              <w:rPr>
                <w:spacing w:val="-1"/>
              </w:rPr>
              <w:tab/>
            </w:r>
            <w:r w:rsidR="008918FA">
              <w:rPr>
                <w:spacing w:val="-1"/>
              </w:rPr>
              <w:tab/>
            </w:r>
            <w:r w:rsidR="008918FA">
              <w:rPr>
                <w:spacing w:val="-1"/>
              </w:rPr>
              <w:tab/>
              <w:t>130</w:t>
            </w:r>
          </w:hyperlink>
        </w:p>
        <w:p w:rsidR="008918FA" w:rsidRDefault="00E32C6B" w:rsidP="008918FA">
          <w:pPr>
            <w:pStyle w:val="TOC1"/>
            <w:tabs>
              <w:tab w:val="right" w:leader="dot" w:pos="9192"/>
            </w:tabs>
            <w:spacing w:before="121"/>
            <w:rPr>
              <w:b w:val="0"/>
              <w:bCs w:val="0"/>
            </w:rPr>
          </w:pPr>
          <w:hyperlink w:anchor="_bookmark320" w:history="1">
            <w:r w:rsidR="008918FA">
              <w:rPr>
                <w:spacing w:val="-2"/>
              </w:rPr>
              <w:t>CALL</w:t>
            </w:r>
            <w:r w:rsidR="008918FA">
              <w:t xml:space="preserve"> OFF </w:t>
            </w:r>
            <w:r w:rsidR="008918FA">
              <w:rPr>
                <w:spacing w:val="-2"/>
              </w:rPr>
              <w:t>SCHEDULE</w:t>
            </w:r>
            <w:r w:rsidR="008918FA">
              <w:t xml:space="preserve"> </w:t>
            </w:r>
            <w:r w:rsidR="008918FA">
              <w:rPr>
                <w:spacing w:val="-1"/>
              </w:rPr>
              <w:t>7:</w:t>
            </w:r>
            <w:r w:rsidR="008918FA">
              <w:rPr>
                <w:spacing w:val="2"/>
              </w:rPr>
              <w:t xml:space="preserve"> </w:t>
            </w:r>
            <w:r w:rsidR="008918FA">
              <w:rPr>
                <w:spacing w:val="-2"/>
              </w:rPr>
              <w:t>STANDARDS</w:t>
            </w:r>
            <w:r w:rsidR="008918FA">
              <w:rPr>
                <w:spacing w:val="-2"/>
              </w:rPr>
              <w:tab/>
            </w:r>
            <w:r w:rsidR="008918FA">
              <w:rPr>
                <w:spacing w:val="-1"/>
              </w:rPr>
              <w:t>131</w:t>
            </w:r>
          </w:hyperlink>
        </w:p>
        <w:p w:rsidR="008918FA" w:rsidRDefault="00E32C6B" w:rsidP="008918FA">
          <w:pPr>
            <w:pStyle w:val="TOC1"/>
            <w:tabs>
              <w:tab w:val="right" w:leader="dot" w:pos="9192"/>
            </w:tabs>
            <w:rPr>
              <w:b w:val="0"/>
              <w:bCs w:val="0"/>
            </w:rPr>
          </w:pPr>
          <w:hyperlink w:anchor="_bookmark321" w:history="1">
            <w:r w:rsidR="008918FA">
              <w:rPr>
                <w:spacing w:val="-2"/>
              </w:rPr>
              <w:t>CALL</w:t>
            </w:r>
            <w:r w:rsidR="008918FA">
              <w:t xml:space="preserve"> OFF </w:t>
            </w:r>
            <w:r w:rsidR="008918FA">
              <w:rPr>
                <w:spacing w:val="-2"/>
              </w:rPr>
              <w:t>SCHEDULE</w:t>
            </w:r>
            <w:r w:rsidR="008918FA">
              <w:t xml:space="preserve"> </w:t>
            </w:r>
            <w:r w:rsidR="008918FA">
              <w:rPr>
                <w:spacing w:val="-1"/>
              </w:rPr>
              <w:t>8:</w:t>
            </w:r>
            <w:r w:rsidR="008918FA">
              <w:rPr>
                <w:spacing w:val="2"/>
              </w:rPr>
              <w:t xml:space="preserve"> </w:t>
            </w:r>
            <w:r w:rsidR="008918FA">
              <w:rPr>
                <w:spacing w:val="-2"/>
              </w:rPr>
              <w:t>SECURITY</w:t>
            </w:r>
            <w:r w:rsidR="008918FA">
              <w:rPr>
                <w:spacing w:val="-2"/>
              </w:rPr>
              <w:tab/>
            </w:r>
            <w:r w:rsidR="008918FA">
              <w:rPr>
                <w:spacing w:val="-1"/>
              </w:rPr>
              <w:t>132</w:t>
            </w:r>
          </w:hyperlink>
        </w:p>
        <w:p w:rsidR="008918FA" w:rsidRDefault="00E32C6B" w:rsidP="008918FA">
          <w:pPr>
            <w:pStyle w:val="TOC2"/>
            <w:tabs>
              <w:tab w:val="right" w:leader="dot" w:pos="9192"/>
            </w:tabs>
            <w:spacing w:before="121"/>
            <w:ind w:left="972" w:firstLine="0"/>
            <w:rPr>
              <w:b w:val="0"/>
              <w:bCs w:val="0"/>
            </w:rPr>
          </w:pPr>
          <w:hyperlink w:anchor="_bookmark350" w:history="1">
            <w:r w:rsidR="008918FA">
              <w:rPr>
                <w:spacing w:val="-1"/>
              </w:rPr>
              <w:t>ANNEX</w:t>
            </w:r>
            <w:r w:rsidR="008918FA">
              <w:t xml:space="preserve"> </w:t>
            </w:r>
            <w:r w:rsidR="008918FA">
              <w:rPr>
                <w:spacing w:val="-1"/>
              </w:rPr>
              <w:t>1:</w:t>
            </w:r>
            <w:r w:rsidR="008918FA">
              <w:rPr>
                <w:spacing w:val="2"/>
              </w:rPr>
              <w:t xml:space="preserve"> </w:t>
            </w:r>
            <w:r w:rsidR="008918FA">
              <w:rPr>
                <w:spacing w:val="-2"/>
              </w:rPr>
              <w:t>SECURITY</w:t>
            </w:r>
            <w:r w:rsidR="008918FA">
              <w:t xml:space="preserve"> </w:t>
            </w:r>
            <w:r w:rsidR="008918FA">
              <w:rPr>
                <w:spacing w:val="-1"/>
              </w:rPr>
              <w:t>POLICY</w:t>
            </w:r>
            <w:r w:rsidR="008918FA">
              <w:rPr>
                <w:spacing w:val="-1"/>
              </w:rPr>
              <w:tab/>
              <w:t>144</w:t>
            </w:r>
          </w:hyperlink>
        </w:p>
        <w:p w:rsidR="008918FA" w:rsidRDefault="00E32C6B" w:rsidP="008918FA">
          <w:pPr>
            <w:pStyle w:val="TOC2"/>
            <w:tabs>
              <w:tab w:val="right" w:leader="dot" w:pos="9192"/>
            </w:tabs>
            <w:ind w:left="972" w:firstLine="0"/>
            <w:rPr>
              <w:b w:val="0"/>
              <w:bCs w:val="0"/>
            </w:rPr>
          </w:pPr>
          <w:hyperlink w:anchor="_bookmark351" w:history="1">
            <w:r w:rsidR="008918FA">
              <w:rPr>
                <w:spacing w:val="-1"/>
              </w:rPr>
              <w:t>ANNEX</w:t>
            </w:r>
            <w:r w:rsidR="008918FA">
              <w:t xml:space="preserve"> </w:t>
            </w:r>
            <w:r w:rsidR="008918FA">
              <w:rPr>
                <w:spacing w:val="-1"/>
              </w:rPr>
              <w:t>2:</w:t>
            </w:r>
            <w:r w:rsidR="008918FA">
              <w:rPr>
                <w:spacing w:val="2"/>
              </w:rPr>
              <w:t xml:space="preserve"> </w:t>
            </w:r>
            <w:r w:rsidR="008918FA">
              <w:rPr>
                <w:spacing w:val="-2"/>
              </w:rPr>
              <w:t>SECURITY</w:t>
            </w:r>
            <w:r w:rsidR="008918FA">
              <w:t xml:space="preserve"> </w:t>
            </w:r>
            <w:r w:rsidR="008918FA">
              <w:rPr>
                <w:spacing w:val="-1"/>
              </w:rPr>
              <w:t>MANAGEMENT</w:t>
            </w:r>
            <w:r w:rsidR="008918FA">
              <w:rPr>
                <w:spacing w:val="-2"/>
              </w:rPr>
              <w:t xml:space="preserve"> </w:t>
            </w:r>
            <w:r w:rsidR="008918FA">
              <w:rPr>
                <w:spacing w:val="-1"/>
              </w:rPr>
              <w:t>PLAN</w:t>
            </w:r>
            <w:r w:rsidR="008918FA">
              <w:rPr>
                <w:spacing w:val="-1"/>
              </w:rPr>
              <w:tab/>
              <w:t>145</w:t>
            </w:r>
          </w:hyperlink>
        </w:p>
        <w:p w:rsidR="008918FA" w:rsidRDefault="00E32C6B" w:rsidP="008918FA">
          <w:pPr>
            <w:pStyle w:val="TOC1"/>
            <w:tabs>
              <w:tab w:val="right" w:leader="dot" w:pos="9191"/>
            </w:tabs>
            <w:spacing w:before="118"/>
            <w:rPr>
              <w:b w:val="0"/>
              <w:bCs w:val="0"/>
            </w:rPr>
          </w:pPr>
          <w:hyperlink w:anchor="_bookmark352" w:history="1">
            <w:r w:rsidR="008918FA">
              <w:rPr>
                <w:spacing w:val="-2"/>
              </w:rPr>
              <w:t>[CALL</w:t>
            </w:r>
            <w:r w:rsidR="008918FA">
              <w:t xml:space="preserve"> OFF </w:t>
            </w:r>
            <w:r w:rsidR="008918FA">
              <w:rPr>
                <w:spacing w:val="-2"/>
              </w:rPr>
              <w:t>SCHEDULE</w:t>
            </w:r>
            <w:r w:rsidR="008918FA">
              <w:t xml:space="preserve"> </w:t>
            </w:r>
            <w:r w:rsidR="008918FA">
              <w:rPr>
                <w:spacing w:val="-1"/>
              </w:rPr>
              <w:t>9: BUSINESS</w:t>
            </w:r>
            <w:r w:rsidR="008918FA">
              <w:t xml:space="preserve"> </w:t>
            </w:r>
            <w:r w:rsidR="008918FA">
              <w:rPr>
                <w:spacing w:val="-2"/>
              </w:rPr>
              <w:t>CONTINUITY</w:t>
            </w:r>
            <w:r w:rsidR="008918FA">
              <w:rPr>
                <w:spacing w:val="2"/>
              </w:rPr>
              <w:t xml:space="preserve"> </w:t>
            </w:r>
            <w:r w:rsidR="008918FA">
              <w:rPr>
                <w:spacing w:val="-2"/>
              </w:rPr>
              <w:t>AND</w:t>
            </w:r>
            <w:r w:rsidR="008918FA">
              <w:t xml:space="preserve"> </w:t>
            </w:r>
            <w:r w:rsidR="008918FA">
              <w:rPr>
                <w:spacing w:val="-1"/>
              </w:rPr>
              <w:t>DISASTER</w:t>
            </w:r>
            <w:r w:rsidR="008918FA">
              <w:t xml:space="preserve"> </w:t>
            </w:r>
            <w:r w:rsidR="008918FA">
              <w:rPr>
                <w:spacing w:val="-1"/>
              </w:rPr>
              <w:t>RECOVERY]</w:t>
            </w:r>
            <w:r w:rsidR="008918FA">
              <w:rPr>
                <w:spacing w:val="-1"/>
              </w:rPr>
              <w:tab/>
              <w:t>146</w:t>
            </w:r>
          </w:hyperlink>
        </w:p>
        <w:p w:rsidR="008918FA" w:rsidRDefault="00E32C6B" w:rsidP="008918FA">
          <w:pPr>
            <w:pStyle w:val="TOC1"/>
            <w:tabs>
              <w:tab w:val="right" w:leader="dot" w:pos="9191"/>
            </w:tabs>
            <w:spacing w:before="121"/>
            <w:ind w:left="119"/>
            <w:rPr>
              <w:b w:val="0"/>
              <w:bCs w:val="0"/>
            </w:rPr>
          </w:pPr>
          <w:hyperlink w:anchor="_bookmark366" w:history="1">
            <w:r w:rsidR="008918FA">
              <w:rPr>
                <w:spacing w:val="-2"/>
              </w:rPr>
              <w:t>CALL</w:t>
            </w:r>
            <w:r w:rsidR="008918FA">
              <w:t xml:space="preserve"> OFF </w:t>
            </w:r>
            <w:r w:rsidR="008918FA">
              <w:rPr>
                <w:spacing w:val="-2"/>
              </w:rPr>
              <w:t>SCHEDULE</w:t>
            </w:r>
            <w:r w:rsidR="008918FA">
              <w:t xml:space="preserve"> </w:t>
            </w:r>
            <w:r w:rsidR="008918FA">
              <w:rPr>
                <w:spacing w:val="-1"/>
              </w:rPr>
              <w:t>10:</w:t>
            </w:r>
            <w:r w:rsidR="008918FA">
              <w:rPr>
                <w:spacing w:val="2"/>
              </w:rPr>
              <w:t xml:space="preserve"> </w:t>
            </w:r>
            <w:r w:rsidR="008918FA">
              <w:rPr>
                <w:spacing w:val="-1"/>
              </w:rPr>
              <w:t>EXIT</w:t>
            </w:r>
            <w:r w:rsidR="008918FA">
              <w:rPr>
                <w:spacing w:val="-2"/>
              </w:rPr>
              <w:t xml:space="preserve"> MANAGEMENT</w:t>
            </w:r>
            <w:r w:rsidR="008918FA">
              <w:rPr>
                <w:spacing w:val="-2"/>
              </w:rPr>
              <w:tab/>
            </w:r>
            <w:r w:rsidR="008918FA">
              <w:rPr>
                <w:spacing w:val="-1"/>
              </w:rPr>
              <w:t>154</w:t>
            </w:r>
          </w:hyperlink>
        </w:p>
        <w:p w:rsidR="008918FA" w:rsidRDefault="00E32C6B" w:rsidP="008918FA">
          <w:pPr>
            <w:pStyle w:val="TOC1"/>
            <w:tabs>
              <w:tab w:val="right" w:leader="dot" w:pos="9191"/>
            </w:tabs>
            <w:ind w:left="119"/>
            <w:rPr>
              <w:b w:val="0"/>
              <w:bCs w:val="0"/>
            </w:rPr>
          </w:pPr>
          <w:hyperlink w:anchor="_bookmark386" w:history="1">
            <w:r w:rsidR="008918FA">
              <w:rPr>
                <w:spacing w:val="-2"/>
              </w:rPr>
              <w:t>CALL</w:t>
            </w:r>
            <w:r w:rsidR="008918FA">
              <w:t xml:space="preserve"> OFF </w:t>
            </w:r>
            <w:r w:rsidR="008918FA">
              <w:rPr>
                <w:spacing w:val="-2"/>
              </w:rPr>
              <w:t>SCHEDULE</w:t>
            </w:r>
            <w:r w:rsidR="008918FA">
              <w:t xml:space="preserve"> </w:t>
            </w:r>
            <w:r w:rsidR="008918FA">
              <w:rPr>
                <w:spacing w:val="-1"/>
              </w:rPr>
              <w:t>11:</w:t>
            </w:r>
            <w:r w:rsidR="008918FA">
              <w:rPr>
                <w:spacing w:val="2"/>
              </w:rPr>
              <w:t xml:space="preserve"> </w:t>
            </w:r>
            <w:r w:rsidR="008918FA">
              <w:rPr>
                <w:spacing w:val="-2"/>
              </w:rPr>
              <w:t>STAFF</w:t>
            </w:r>
            <w:r w:rsidR="008918FA">
              <w:rPr>
                <w:spacing w:val="3"/>
              </w:rPr>
              <w:t xml:space="preserve"> </w:t>
            </w:r>
            <w:r w:rsidR="008918FA">
              <w:rPr>
                <w:spacing w:val="-1"/>
              </w:rPr>
              <w:t>TRANSFER</w:t>
            </w:r>
            <w:r w:rsidR="008918FA">
              <w:rPr>
                <w:spacing w:val="-1"/>
              </w:rPr>
              <w:tab/>
              <w:t>165</w:t>
            </w:r>
          </w:hyperlink>
        </w:p>
        <w:p w:rsidR="008918FA" w:rsidRDefault="00E32C6B" w:rsidP="008918FA">
          <w:pPr>
            <w:pStyle w:val="TOC2"/>
            <w:tabs>
              <w:tab w:val="right" w:leader="dot" w:pos="9191"/>
            </w:tabs>
            <w:spacing w:before="121"/>
            <w:ind w:left="972" w:firstLine="0"/>
            <w:rPr>
              <w:b w:val="0"/>
              <w:bCs w:val="0"/>
            </w:rPr>
          </w:pPr>
          <w:hyperlink w:anchor="_bookmark406" w:history="1">
            <w:r w:rsidR="008918FA">
              <w:rPr>
                <w:spacing w:val="-1"/>
              </w:rPr>
              <w:t>ANNEX</w:t>
            </w:r>
            <w:r w:rsidR="008918FA">
              <w:t xml:space="preserve"> </w:t>
            </w:r>
            <w:r w:rsidR="008918FA">
              <w:rPr>
                <w:spacing w:val="-1"/>
              </w:rPr>
              <w:t>1:</w:t>
            </w:r>
            <w:r w:rsidR="008918FA">
              <w:rPr>
                <w:spacing w:val="2"/>
              </w:rPr>
              <w:t xml:space="preserve"> </w:t>
            </w:r>
            <w:r w:rsidR="008918FA">
              <w:rPr>
                <w:spacing w:val="-1"/>
              </w:rPr>
              <w:t>PENSIONS</w:t>
            </w:r>
            <w:r w:rsidR="008918FA">
              <w:rPr>
                <w:spacing w:val="-1"/>
              </w:rPr>
              <w:tab/>
              <w:t>179</w:t>
            </w:r>
          </w:hyperlink>
        </w:p>
        <w:p w:rsidR="008918FA" w:rsidRDefault="00E32C6B" w:rsidP="008918FA">
          <w:pPr>
            <w:pStyle w:val="TOC2"/>
            <w:tabs>
              <w:tab w:val="right" w:leader="dot" w:pos="9191"/>
            </w:tabs>
            <w:ind w:left="972" w:firstLine="0"/>
            <w:rPr>
              <w:b w:val="0"/>
              <w:bCs w:val="0"/>
            </w:rPr>
          </w:pPr>
          <w:hyperlink w:anchor="_bookmark407" w:history="1">
            <w:r w:rsidR="008918FA">
              <w:rPr>
                <w:spacing w:val="-1"/>
              </w:rPr>
              <w:t>ANNEX</w:t>
            </w:r>
            <w:r w:rsidR="008918FA">
              <w:t xml:space="preserve"> </w:t>
            </w:r>
            <w:r w:rsidR="008918FA">
              <w:rPr>
                <w:spacing w:val="-1"/>
              </w:rPr>
              <w:t>2:</w:t>
            </w:r>
            <w:r w:rsidR="008918FA">
              <w:rPr>
                <w:spacing w:val="2"/>
              </w:rPr>
              <w:t xml:space="preserve"> </w:t>
            </w:r>
            <w:r w:rsidR="008918FA">
              <w:rPr>
                <w:spacing w:val="-1"/>
              </w:rPr>
              <w:t>LIST</w:t>
            </w:r>
            <w:r w:rsidR="008918FA">
              <w:rPr>
                <w:spacing w:val="-2"/>
              </w:rPr>
              <w:t xml:space="preserve"> </w:t>
            </w:r>
            <w:r w:rsidR="008918FA">
              <w:t>OF</w:t>
            </w:r>
            <w:r w:rsidR="008918FA">
              <w:rPr>
                <w:spacing w:val="-2"/>
              </w:rPr>
              <w:t xml:space="preserve"> </w:t>
            </w:r>
            <w:r w:rsidR="008918FA">
              <w:rPr>
                <w:spacing w:val="-1"/>
              </w:rPr>
              <w:t>NOTIFIED</w:t>
            </w:r>
            <w:r w:rsidR="008918FA">
              <w:t xml:space="preserve"> </w:t>
            </w:r>
            <w:r w:rsidR="008918FA">
              <w:rPr>
                <w:spacing w:val="-2"/>
              </w:rPr>
              <w:t>SUB-CONTRACTORS</w:t>
            </w:r>
            <w:r w:rsidR="008918FA">
              <w:rPr>
                <w:spacing w:val="-2"/>
              </w:rPr>
              <w:tab/>
            </w:r>
            <w:r w:rsidR="008918FA">
              <w:rPr>
                <w:spacing w:val="-1"/>
              </w:rPr>
              <w:t>180</w:t>
            </w:r>
          </w:hyperlink>
        </w:p>
        <w:p w:rsidR="008918FA" w:rsidRDefault="00E32C6B" w:rsidP="008918FA">
          <w:pPr>
            <w:pStyle w:val="TOC1"/>
            <w:tabs>
              <w:tab w:val="right" w:leader="dot" w:pos="9191"/>
            </w:tabs>
            <w:rPr>
              <w:b w:val="0"/>
              <w:bCs w:val="0"/>
            </w:rPr>
          </w:pPr>
          <w:hyperlink w:anchor="_bookmark408" w:history="1">
            <w:r w:rsidR="008918FA">
              <w:rPr>
                <w:spacing w:val="-2"/>
              </w:rPr>
              <w:t>CALL</w:t>
            </w:r>
            <w:r w:rsidR="008918FA">
              <w:t xml:space="preserve"> OFF </w:t>
            </w:r>
            <w:r w:rsidR="008918FA">
              <w:rPr>
                <w:spacing w:val="-2"/>
              </w:rPr>
              <w:t>SCHEDULE</w:t>
            </w:r>
            <w:r w:rsidR="008918FA">
              <w:t xml:space="preserve"> </w:t>
            </w:r>
            <w:r w:rsidR="008918FA">
              <w:rPr>
                <w:spacing w:val="-1"/>
              </w:rPr>
              <w:t>12:</w:t>
            </w:r>
            <w:r w:rsidR="008918FA">
              <w:rPr>
                <w:spacing w:val="2"/>
              </w:rPr>
              <w:t xml:space="preserve"> </w:t>
            </w:r>
            <w:r w:rsidR="008918FA">
              <w:rPr>
                <w:spacing w:val="-2"/>
              </w:rPr>
              <w:t>DISPUTE</w:t>
            </w:r>
            <w:r w:rsidR="008918FA">
              <w:t xml:space="preserve"> </w:t>
            </w:r>
            <w:r w:rsidR="008918FA">
              <w:rPr>
                <w:spacing w:val="-1"/>
              </w:rPr>
              <w:t>RESOLUTION</w:t>
            </w:r>
            <w:r w:rsidR="008918FA">
              <w:rPr>
                <w:spacing w:val="-3"/>
              </w:rPr>
              <w:t xml:space="preserve"> </w:t>
            </w:r>
            <w:r w:rsidR="008918FA">
              <w:rPr>
                <w:spacing w:val="-2"/>
              </w:rPr>
              <w:t>PROCEDURE</w:t>
            </w:r>
            <w:r w:rsidR="008918FA">
              <w:rPr>
                <w:spacing w:val="-2"/>
              </w:rPr>
              <w:tab/>
            </w:r>
            <w:r w:rsidR="008918FA">
              <w:rPr>
                <w:spacing w:val="-1"/>
              </w:rPr>
              <w:t>181</w:t>
            </w:r>
          </w:hyperlink>
        </w:p>
        <w:p w:rsidR="008918FA" w:rsidRDefault="00E32C6B" w:rsidP="008918FA">
          <w:pPr>
            <w:pStyle w:val="TOC1"/>
            <w:tabs>
              <w:tab w:val="right" w:leader="dot" w:pos="9191"/>
            </w:tabs>
            <w:spacing w:before="121"/>
            <w:rPr>
              <w:b w:val="0"/>
              <w:bCs w:val="0"/>
            </w:rPr>
          </w:pPr>
          <w:hyperlink w:anchor="_bookmark426" w:history="1">
            <w:r w:rsidR="008918FA">
              <w:rPr>
                <w:spacing w:val="-2"/>
              </w:rPr>
              <w:t>CALL</w:t>
            </w:r>
            <w:r w:rsidR="008918FA">
              <w:t xml:space="preserve"> OFF </w:t>
            </w:r>
            <w:r w:rsidR="008918FA">
              <w:rPr>
                <w:spacing w:val="-2"/>
              </w:rPr>
              <w:t>SCHEDULE</w:t>
            </w:r>
            <w:r w:rsidR="008918FA">
              <w:t xml:space="preserve"> </w:t>
            </w:r>
            <w:r w:rsidR="008918FA">
              <w:rPr>
                <w:spacing w:val="-1"/>
              </w:rPr>
              <w:t>13:</w:t>
            </w:r>
            <w:r w:rsidR="008918FA">
              <w:rPr>
                <w:spacing w:val="2"/>
              </w:rPr>
              <w:t xml:space="preserve"> </w:t>
            </w:r>
            <w:r w:rsidR="008918FA">
              <w:rPr>
                <w:spacing w:val="-1"/>
              </w:rPr>
              <w:t>VARIATION</w:t>
            </w:r>
            <w:r w:rsidR="008918FA">
              <w:t xml:space="preserve"> </w:t>
            </w:r>
            <w:r w:rsidR="008918FA">
              <w:rPr>
                <w:spacing w:val="-1"/>
              </w:rPr>
              <w:t>FORM</w:t>
            </w:r>
            <w:r w:rsidR="008918FA">
              <w:rPr>
                <w:spacing w:val="-1"/>
              </w:rPr>
              <w:tab/>
              <w:t>186</w:t>
            </w:r>
          </w:hyperlink>
        </w:p>
        <w:p w:rsidR="008918FA" w:rsidRDefault="00E32C6B" w:rsidP="008918FA">
          <w:pPr>
            <w:pStyle w:val="TOC1"/>
            <w:tabs>
              <w:tab w:val="right" w:leader="dot" w:pos="9191"/>
            </w:tabs>
            <w:rPr>
              <w:b w:val="0"/>
              <w:bCs w:val="0"/>
            </w:rPr>
          </w:pPr>
          <w:hyperlink w:anchor="_bookmark427" w:history="1">
            <w:r w:rsidR="008918FA">
              <w:rPr>
                <w:spacing w:val="-2"/>
              </w:rPr>
              <w:t>CALL</w:t>
            </w:r>
            <w:r w:rsidR="008918FA">
              <w:t xml:space="preserve"> OFF </w:t>
            </w:r>
            <w:r w:rsidR="008918FA">
              <w:rPr>
                <w:spacing w:val="-2"/>
              </w:rPr>
              <w:t>SCHEDULE</w:t>
            </w:r>
            <w:r w:rsidR="008918FA">
              <w:t xml:space="preserve"> </w:t>
            </w:r>
            <w:r w:rsidR="008918FA">
              <w:rPr>
                <w:spacing w:val="-1"/>
              </w:rPr>
              <w:t>14:</w:t>
            </w:r>
            <w:r w:rsidR="008918FA">
              <w:rPr>
                <w:spacing w:val="4"/>
              </w:rPr>
              <w:t xml:space="preserve"> </w:t>
            </w:r>
            <w:r w:rsidR="008918FA">
              <w:rPr>
                <w:spacing w:val="-2"/>
              </w:rPr>
              <w:t>ALTERNATIVE</w:t>
            </w:r>
            <w:r w:rsidR="008918FA">
              <w:rPr>
                <w:spacing w:val="2"/>
              </w:rPr>
              <w:t xml:space="preserve"> </w:t>
            </w:r>
            <w:r w:rsidR="008918FA">
              <w:rPr>
                <w:spacing w:val="-1"/>
              </w:rPr>
              <w:t>AND/OR</w:t>
            </w:r>
            <w:r w:rsidR="008918FA">
              <w:rPr>
                <w:spacing w:val="2"/>
              </w:rPr>
              <w:t xml:space="preserve"> </w:t>
            </w:r>
            <w:r w:rsidR="008918FA">
              <w:rPr>
                <w:spacing w:val="-2"/>
              </w:rPr>
              <w:t>ADDITIONAL</w:t>
            </w:r>
            <w:r w:rsidR="008918FA">
              <w:t xml:space="preserve"> </w:t>
            </w:r>
            <w:r w:rsidR="008918FA">
              <w:rPr>
                <w:spacing w:val="-1"/>
              </w:rPr>
              <w:t>CLAUSES</w:t>
            </w:r>
            <w:r w:rsidR="008918FA">
              <w:rPr>
                <w:spacing w:val="-1"/>
              </w:rPr>
              <w:tab/>
              <w:t>187</w:t>
            </w:r>
          </w:hyperlink>
        </w:p>
      </w:sdtContent>
    </w:sdt>
    <w:p w:rsidR="008918FA" w:rsidRDefault="008918FA" w:rsidP="008918FA">
      <w:pPr>
        <w:sectPr w:rsidR="008918FA">
          <w:type w:val="continuous"/>
          <w:pgSz w:w="11910" w:h="16840"/>
          <w:pgMar w:top="1535" w:right="1280" w:bottom="1461" w:left="1320" w:header="720" w:footer="720" w:gutter="0"/>
          <w:cols w:space="720"/>
        </w:sectPr>
      </w:pPr>
    </w:p>
    <w:p w:rsidR="008918FA" w:rsidRDefault="008918FA" w:rsidP="008918FA">
      <w:pPr>
        <w:spacing w:line="14" w:lineRule="auto"/>
        <w:rPr>
          <w:sz w:val="20"/>
          <w:szCs w:val="20"/>
        </w:rPr>
        <w:sectPr w:rsidR="008918FA">
          <w:footerReference w:type="default" r:id="rId9"/>
          <w:type w:val="continuous"/>
          <w:pgSz w:w="11910" w:h="16840"/>
          <w:pgMar w:top="1480" w:right="1280" w:bottom="1180" w:left="1320" w:header="720" w:footer="987" w:gutter="0"/>
          <w:pgNumType w:start="11"/>
          <w:cols w:space="720"/>
        </w:sectPr>
      </w:pPr>
    </w:p>
    <w:p w:rsidR="008918FA" w:rsidRDefault="008918FA" w:rsidP="008918FA">
      <w:pPr>
        <w:pStyle w:val="BodyText"/>
        <w:spacing w:before="58" w:line="466" w:lineRule="auto"/>
        <w:ind w:left="3248" w:right="1821" w:hanging="795"/>
        <w:rPr>
          <w:rFonts w:ascii="Times New Roman" w:eastAsia="Times New Roman" w:hAnsi="Times New Roman" w:cs="Times New Roman"/>
        </w:rPr>
      </w:pPr>
      <w:r>
        <w:rPr>
          <w:rFonts w:ascii="Times New Roman" w:eastAsia="Times New Roman" w:hAnsi="Times New Roman" w:cs="Times New Roman"/>
        </w:rPr>
        <w:lastRenderedPageBreak/>
        <w:t>P</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ART</w:t>
      </w:r>
      <w:r>
        <w:rPr>
          <w:rFonts w:ascii="Times New Roman" w:eastAsia="Times New Roman" w:hAnsi="Times New Roman" w:cs="Times New Roman"/>
          <w:spacing w:val="4"/>
        </w:rPr>
        <w:t xml:space="preserve"> </w:t>
      </w:r>
      <w:r>
        <w:rPr>
          <w:rFonts w:ascii="Times New Roman" w:eastAsia="Times New Roman" w:hAnsi="Times New Roman" w:cs="Times New Roman"/>
        </w:rPr>
        <w:t>2</w:t>
      </w:r>
      <w:r>
        <w:rPr>
          <w:rFonts w:ascii="Times New Roman" w:eastAsia="Times New Roman" w:hAnsi="Times New Roman" w:cs="Times New Roman"/>
          <w:spacing w:val="19"/>
        </w:rPr>
        <w:t xml:space="preserve"> </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spacing w:val="-1"/>
          <w:highlight w:val="yellow"/>
        </w:rPr>
        <w:t>[TEMP</w:t>
      </w:r>
      <w:r>
        <w:rPr>
          <w:rFonts w:ascii="Times New Roman" w:eastAsia="Times New Roman" w:hAnsi="Times New Roman" w:cs="Times New Roman"/>
          <w:spacing w:val="-32"/>
          <w:highlight w:val="yellow"/>
        </w:rPr>
        <w:t xml:space="preserve"> </w:t>
      </w:r>
      <w:r>
        <w:rPr>
          <w:rFonts w:ascii="Times New Roman" w:eastAsia="Times New Roman" w:hAnsi="Times New Roman" w:cs="Times New Roman"/>
          <w:spacing w:val="1"/>
          <w:highlight w:val="yellow"/>
        </w:rPr>
        <w:t>LATE]</w:t>
      </w:r>
      <w:r>
        <w:rPr>
          <w:rFonts w:ascii="Times New Roman" w:eastAsia="Times New Roman" w:hAnsi="Times New Roman" w:cs="Times New Roman"/>
          <w:spacing w:val="-4"/>
          <w:highlight w:val="yellow"/>
        </w:rPr>
        <w:t xml:space="preserve"> </w:t>
      </w:r>
      <w:r>
        <w:rPr>
          <w:rFonts w:ascii="Times New Roman" w:eastAsia="Times New Roman" w:hAnsi="Times New Roman" w:cs="Times New Roman"/>
          <w:spacing w:val="1"/>
        </w:rPr>
        <w:t>CALL</w:t>
      </w:r>
      <w:r>
        <w:rPr>
          <w:rFonts w:ascii="Times New Roman" w:eastAsia="Times New Roman" w:hAnsi="Times New Roman" w:cs="Times New Roman"/>
          <w:spacing w:val="7"/>
        </w:rPr>
        <w:t xml:space="preserve"> </w:t>
      </w:r>
      <w:r>
        <w:rPr>
          <w:rFonts w:ascii="Times New Roman" w:eastAsia="Times New Roman" w:hAnsi="Times New Roman" w:cs="Times New Roman"/>
          <w:spacing w:val="8"/>
        </w:rPr>
        <w:t>OFF</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TERMS</w:t>
      </w:r>
      <w:r>
        <w:rPr>
          <w:rFonts w:ascii="Times New Roman" w:eastAsia="Times New Roman" w:hAnsi="Times New Roman" w:cs="Times New Roman"/>
          <w:spacing w:val="35"/>
        </w:rPr>
        <w:t xml:space="preserve"> </w:t>
      </w:r>
      <w:r>
        <w:rPr>
          <w:rFonts w:ascii="Times New Roman" w:eastAsia="Times New Roman" w:hAnsi="Times New Roman" w:cs="Times New Roman"/>
          <w:spacing w:val="-3"/>
        </w:rPr>
        <w:t>AND</w:t>
      </w:r>
      <w:r>
        <w:rPr>
          <w:rFonts w:ascii="Times New Roman" w:eastAsia="Times New Roman" w:hAnsi="Times New Roman" w:cs="Times New Roman"/>
          <w:spacing w:val="6"/>
        </w:rPr>
        <w:t xml:space="preserve"> </w:t>
      </w:r>
      <w:r>
        <w:rPr>
          <w:rFonts w:ascii="Times New Roman" w:eastAsia="Times New Roman" w:hAnsi="Times New Roman" w:cs="Times New Roman"/>
        </w:rPr>
        <w:t>CONDITIONS</w:t>
      </w:r>
    </w:p>
    <w:p w:rsidR="008918FA" w:rsidRDefault="008918FA" w:rsidP="008918FA">
      <w:pPr>
        <w:pStyle w:val="Heading1"/>
        <w:numPr>
          <w:ilvl w:val="0"/>
          <w:numId w:val="69"/>
        </w:numPr>
        <w:tabs>
          <w:tab w:val="left" w:pos="667"/>
        </w:tabs>
        <w:spacing w:before="10"/>
        <w:ind w:hanging="566"/>
        <w:rPr>
          <w:b w:val="0"/>
          <w:bCs w:val="0"/>
        </w:rPr>
      </w:pPr>
      <w:bookmarkStart w:id="34" w:name="_bookmark42"/>
      <w:bookmarkEnd w:id="34"/>
      <w:r>
        <w:rPr>
          <w:color w:val="C00000"/>
          <w:spacing w:val="-2"/>
          <w:u w:val="thick" w:color="C00000"/>
        </w:rPr>
        <w:t>PR</w:t>
      </w:r>
      <w:bookmarkStart w:id="35" w:name="A._UPRELIMINARIES"/>
      <w:bookmarkEnd w:id="35"/>
      <w:r>
        <w:rPr>
          <w:color w:val="C00000"/>
          <w:spacing w:val="-2"/>
          <w:u w:val="thick" w:color="C00000"/>
        </w:rPr>
        <w:t>ELIMINARIES</w:t>
      </w:r>
    </w:p>
    <w:p w:rsidR="008918FA" w:rsidRDefault="008918FA" w:rsidP="008918FA">
      <w:pPr>
        <w:pStyle w:val="BodyText"/>
        <w:numPr>
          <w:ilvl w:val="1"/>
          <w:numId w:val="69"/>
        </w:numPr>
        <w:tabs>
          <w:tab w:val="left" w:pos="667"/>
        </w:tabs>
        <w:spacing w:before="240"/>
        <w:ind w:hanging="566"/>
        <w:rPr>
          <w:rFonts w:ascii="Times New Roman" w:eastAsia="Times New Roman" w:hAnsi="Times New Roman" w:cs="Times New Roman"/>
        </w:rPr>
      </w:pPr>
      <w:bookmarkStart w:id="36" w:name="_bookmark43"/>
      <w:bookmarkEnd w:id="36"/>
      <w:r>
        <w:rPr>
          <w:rFonts w:ascii="Times New Roman"/>
          <w:spacing w:val="-1"/>
        </w:rPr>
        <w:t>DEFINIT</w:t>
      </w:r>
      <w:bookmarkStart w:id="37" w:name="1._DEFINITIONS_AND_INTERPRETATION"/>
      <w:bookmarkEnd w:id="37"/>
      <w:r>
        <w:rPr>
          <w:rFonts w:ascii="Times New Roman"/>
          <w:spacing w:val="-1"/>
        </w:rPr>
        <w:t>IONS</w:t>
      </w:r>
      <w:r>
        <w:rPr>
          <w:rFonts w:ascii="Times New Roman"/>
          <w:spacing w:val="33"/>
        </w:rPr>
        <w:t xml:space="preserve"> </w:t>
      </w:r>
      <w:r>
        <w:rPr>
          <w:rFonts w:ascii="Times New Roman"/>
          <w:spacing w:val="-3"/>
        </w:rPr>
        <w:t>AND</w:t>
      </w:r>
      <w:r>
        <w:rPr>
          <w:rFonts w:ascii="Times New Roman"/>
          <w:spacing w:val="6"/>
        </w:rPr>
        <w:t xml:space="preserve"> </w:t>
      </w:r>
      <w:r>
        <w:rPr>
          <w:rFonts w:ascii="Times New Roman"/>
          <w:spacing w:val="1"/>
        </w:rPr>
        <w:t>INTERP</w:t>
      </w:r>
      <w:r>
        <w:rPr>
          <w:rFonts w:ascii="Times New Roman"/>
          <w:spacing w:val="-32"/>
        </w:rPr>
        <w:t xml:space="preserve"> </w:t>
      </w:r>
      <w:r>
        <w:rPr>
          <w:rFonts w:ascii="Times New Roman"/>
          <w:spacing w:val="2"/>
        </w:rPr>
        <w:t>RETATIO</w:t>
      </w:r>
      <w:bookmarkStart w:id="38" w:name="_bookmark44"/>
      <w:bookmarkEnd w:id="38"/>
      <w:r>
        <w:rPr>
          <w:rFonts w:ascii="Times New Roman"/>
          <w:spacing w:val="2"/>
        </w:rPr>
        <w:t>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2"/>
          <w:numId w:val="69"/>
        </w:numPr>
        <w:tabs>
          <w:tab w:val="left" w:pos="1029"/>
        </w:tabs>
        <w:spacing w:before="0"/>
        <w:ind w:right="112"/>
        <w:jc w:val="both"/>
      </w:pPr>
      <w:r>
        <w:t>In</w:t>
      </w:r>
      <w:r>
        <w:rPr>
          <w:spacing w:val="30"/>
        </w:rPr>
        <w:t xml:space="preserve"> </w:t>
      </w:r>
      <w:r>
        <w:rPr>
          <w:spacing w:val="-1"/>
        </w:rPr>
        <w:t>this</w:t>
      </w:r>
      <w:r>
        <w:rPr>
          <w:spacing w:val="31"/>
        </w:rPr>
        <w:t xml:space="preserve"> </w:t>
      </w:r>
      <w:r>
        <w:rPr>
          <w:spacing w:val="-2"/>
        </w:rPr>
        <w:t>Call</w:t>
      </w:r>
      <w:r>
        <w:rPr>
          <w:spacing w:val="30"/>
        </w:rPr>
        <w:t xml:space="preserve"> </w:t>
      </w:r>
      <w:r>
        <w:t>Off</w:t>
      </w:r>
      <w:r>
        <w:rPr>
          <w:spacing w:val="32"/>
        </w:rPr>
        <w:t xml:space="preserve"> </w:t>
      </w:r>
      <w:r>
        <w:rPr>
          <w:spacing w:val="-1"/>
        </w:rPr>
        <w:t>Contract,</w:t>
      </w:r>
      <w:r>
        <w:rPr>
          <w:spacing w:val="32"/>
        </w:rPr>
        <w:t xml:space="preserve"> </w:t>
      </w:r>
      <w:r>
        <w:rPr>
          <w:spacing w:val="-1"/>
        </w:rPr>
        <w:t>unless</w:t>
      </w:r>
      <w:r>
        <w:rPr>
          <w:spacing w:val="31"/>
        </w:rPr>
        <w:t xml:space="preserve"> </w:t>
      </w:r>
      <w:r>
        <w:t>the</w:t>
      </w:r>
      <w:r>
        <w:rPr>
          <w:spacing w:val="30"/>
        </w:rPr>
        <w:t xml:space="preserve"> </w:t>
      </w:r>
      <w:r>
        <w:rPr>
          <w:spacing w:val="-1"/>
        </w:rPr>
        <w:t>context</w:t>
      </w:r>
      <w:r>
        <w:rPr>
          <w:spacing w:val="33"/>
        </w:rPr>
        <w:t xml:space="preserve"> </w:t>
      </w:r>
      <w:r>
        <w:rPr>
          <w:spacing w:val="-1"/>
        </w:rPr>
        <w:t>otherwise</w:t>
      </w:r>
      <w:r>
        <w:rPr>
          <w:spacing w:val="31"/>
        </w:rPr>
        <w:t xml:space="preserve"> </w:t>
      </w:r>
      <w:r>
        <w:rPr>
          <w:spacing w:val="-1"/>
        </w:rPr>
        <w:t>requires,</w:t>
      </w:r>
      <w:r>
        <w:rPr>
          <w:spacing w:val="32"/>
        </w:rPr>
        <w:t xml:space="preserve"> </w:t>
      </w:r>
      <w:r>
        <w:rPr>
          <w:spacing w:val="-2"/>
        </w:rPr>
        <w:t>capitalised</w:t>
      </w:r>
      <w:r>
        <w:rPr>
          <w:spacing w:val="49"/>
        </w:rPr>
        <w:t xml:space="preserve"> </w:t>
      </w:r>
      <w:r>
        <w:rPr>
          <w:spacing w:val="-1"/>
        </w:rPr>
        <w:t>expressions</w:t>
      </w:r>
      <w:r>
        <w:rPr>
          <w:spacing w:val="8"/>
        </w:rPr>
        <w:t xml:space="preserve"> </w:t>
      </w:r>
      <w:r>
        <w:rPr>
          <w:spacing w:val="-1"/>
        </w:rPr>
        <w:t>shall</w:t>
      </w:r>
      <w:r>
        <w:rPr>
          <w:spacing w:val="7"/>
        </w:rPr>
        <w:t xml:space="preserve"> </w:t>
      </w:r>
      <w:r>
        <w:rPr>
          <w:spacing w:val="-1"/>
        </w:rPr>
        <w:t>have</w:t>
      </w:r>
      <w:r>
        <w:rPr>
          <w:spacing w:val="7"/>
        </w:rPr>
        <w:t xml:space="preserve"> </w:t>
      </w:r>
      <w:r>
        <w:t>the</w:t>
      </w:r>
      <w:r>
        <w:rPr>
          <w:spacing w:val="7"/>
        </w:rPr>
        <w:t xml:space="preserve"> </w:t>
      </w:r>
      <w:r>
        <w:rPr>
          <w:spacing w:val="-1"/>
        </w:rPr>
        <w:t>meanings</w:t>
      </w:r>
      <w:r>
        <w:rPr>
          <w:spacing w:val="5"/>
        </w:rPr>
        <w:t xml:space="preserve"> </w:t>
      </w:r>
      <w:r>
        <w:rPr>
          <w:spacing w:val="-1"/>
        </w:rPr>
        <w:t>set</w:t>
      </w:r>
      <w:r>
        <w:rPr>
          <w:spacing w:val="9"/>
        </w:rPr>
        <w:t xml:space="preserve"> </w:t>
      </w:r>
      <w:r>
        <w:rPr>
          <w:spacing w:val="-2"/>
        </w:rPr>
        <w:t>out</w:t>
      </w:r>
      <w:r>
        <w:rPr>
          <w:spacing w:val="9"/>
        </w:rPr>
        <w:t xml:space="preserve"> </w:t>
      </w:r>
      <w:r>
        <w:rPr>
          <w:spacing w:val="-1"/>
        </w:rPr>
        <w:t>in</w:t>
      </w:r>
      <w:r>
        <w:rPr>
          <w:spacing w:val="7"/>
        </w:rPr>
        <w:t xml:space="preserve"> </w:t>
      </w:r>
      <w:r>
        <w:rPr>
          <w:spacing w:val="-2"/>
        </w:rPr>
        <w:t>Call</w:t>
      </w:r>
      <w:r>
        <w:rPr>
          <w:spacing w:val="7"/>
        </w:rPr>
        <w:t xml:space="preserve"> </w:t>
      </w:r>
      <w:r>
        <w:t>Off</w:t>
      </w:r>
      <w:r>
        <w:rPr>
          <w:spacing w:val="9"/>
        </w:rPr>
        <w:t xml:space="preserve"> </w:t>
      </w:r>
      <w:r>
        <w:rPr>
          <w:spacing w:val="-1"/>
        </w:rPr>
        <w:t>Schedule</w:t>
      </w:r>
      <w:r>
        <w:rPr>
          <w:spacing w:val="7"/>
        </w:rPr>
        <w:t xml:space="preserve"> </w:t>
      </w:r>
      <w:r>
        <w:t>1</w:t>
      </w:r>
      <w:r>
        <w:rPr>
          <w:spacing w:val="7"/>
        </w:rPr>
        <w:t xml:space="preserve"> </w:t>
      </w:r>
      <w:r>
        <w:rPr>
          <w:spacing w:val="-1"/>
        </w:rPr>
        <w:t>(Definitions)</w:t>
      </w:r>
      <w:r>
        <w:rPr>
          <w:spacing w:val="9"/>
        </w:rPr>
        <w:t xml:space="preserve"> </w:t>
      </w:r>
      <w:r>
        <w:rPr>
          <w:spacing w:val="-1"/>
        </w:rPr>
        <w:t>or</w:t>
      </w:r>
      <w:r>
        <w:rPr>
          <w:spacing w:val="45"/>
        </w:rPr>
        <w:t xml:space="preserve"> </w:t>
      </w:r>
      <w:r>
        <w:t>the</w:t>
      </w:r>
      <w:r>
        <w:rPr>
          <w:spacing w:val="-2"/>
        </w:rPr>
        <w:t xml:space="preserve"> relevant</w:t>
      </w:r>
      <w:r>
        <w:rPr>
          <w:spacing w:val="2"/>
        </w:rPr>
        <w:t xml:space="preserve"> </w:t>
      </w:r>
      <w:r>
        <w:rPr>
          <w:spacing w:val="-2"/>
        </w:rPr>
        <w:t>Call</w:t>
      </w:r>
      <w:r>
        <w:t xml:space="preserve"> </w:t>
      </w:r>
      <w:r>
        <w:rPr>
          <w:spacing w:val="-1"/>
        </w:rPr>
        <w:t>Off</w:t>
      </w:r>
      <w:r>
        <w:rPr>
          <w:spacing w:val="2"/>
        </w:rPr>
        <w:t xml:space="preserve"> </w:t>
      </w:r>
      <w:r>
        <w:rPr>
          <w:spacing w:val="-2"/>
        </w:rPr>
        <w:t>Schedule</w:t>
      </w:r>
      <w:r>
        <w:t xml:space="preserve"> </w:t>
      </w:r>
      <w:r>
        <w:rPr>
          <w:spacing w:val="-1"/>
        </w:rPr>
        <w:t>in</w:t>
      </w:r>
      <w:r>
        <w:t xml:space="preserve"> </w:t>
      </w:r>
      <w:r>
        <w:rPr>
          <w:spacing w:val="-2"/>
        </w:rPr>
        <w:t>which</w:t>
      </w:r>
      <w:r>
        <w:rPr>
          <w:spacing w:val="1"/>
        </w:rPr>
        <w:t xml:space="preserve"> </w:t>
      </w:r>
      <w:r>
        <w:rPr>
          <w:spacing w:val="-1"/>
        </w:rPr>
        <w:t>that</w:t>
      </w:r>
      <w:r>
        <w:rPr>
          <w:spacing w:val="2"/>
        </w:rPr>
        <w:t xml:space="preserve"> </w:t>
      </w:r>
      <w:r>
        <w:rPr>
          <w:spacing w:val="-2"/>
        </w:rPr>
        <w:t>capitalised</w:t>
      </w:r>
      <w:r>
        <w:t xml:space="preserve"> </w:t>
      </w:r>
      <w:r>
        <w:rPr>
          <w:spacing w:val="-1"/>
        </w:rPr>
        <w:t>expression</w:t>
      </w:r>
      <w:r>
        <w:t xml:space="preserve"> </w:t>
      </w:r>
      <w:r>
        <w:rPr>
          <w:spacing w:val="-1"/>
        </w:rPr>
        <w:t>appears.</w:t>
      </w:r>
    </w:p>
    <w:p w:rsidR="008918FA" w:rsidRDefault="008918FA" w:rsidP="008918FA">
      <w:pPr>
        <w:pStyle w:val="BodyText"/>
        <w:numPr>
          <w:ilvl w:val="2"/>
          <w:numId w:val="69"/>
        </w:numPr>
        <w:tabs>
          <w:tab w:val="left" w:pos="1029"/>
        </w:tabs>
        <w:spacing w:before="121"/>
        <w:ind w:right="114"/>
        <w:jc w:val="both"/>
      </w:pPr>
      <w:r>
        <w:rPr>
          <w:spacing w:val="-1"/>
        </w:rPr>
        <w:t>If</w:t>
      </w:r>
      <w:r>
        <w:rPr>
          <w:spacing w:val="26"/>
        </w:rPr>
        <w:t xml:space="preserve"> </w:t>
      </w:r>
      <w:r>
        <w:t>a</w:t>
      </w:r>
      <w:r>
        <w:rPr>
          <w:spacing w:val="22"/>
        </w:rPr>
        <w:t xml:space="preserve"> </w:t>
      </w:r>
      <w:r>
        <w:rPr>
          <w:spacing w:val="-1"/>
        </w:rPr>
        <w:t>capitalised</w:t>
      </w:r>
      <w:r>
        <w:rPr>
          <w:spacing w:val="22"/>
        </w:rPr>
        <w:t xml:space="preserve"> </w:t>
      </w:r>
      <w:r>
        <w:rPr>
          <w:spacing w:val="-1"/>
        </w:rPr>
        <w:t>expression</w:t>
      </w:r>
      <w:r>
        <w:rPr>
          <w:spacing w:val="22"/>
        </w:rPr>
        <w:t xml:space="preserve"> </w:t>
      </w:r>
      <w:r>
        <w:rPr>
          <w:spacing w:val="-1"/>
        </w:rPr>
        <w:t>does</w:t>
      </w:r>
      <w:r>
        <w:rPr>
          <w:spacing w:val="22"/>
        </w:rPr>
        <w:t xml:space="preserve"> </w:t>
      </w:r>
      <w:r>
        <w:rPr>
          <w:spacing w:val="-1"/>
        </w:rPr>
        <w:t>not</w:t>
      </w:r>
      <w:r>
        <w:rPr>
          <w:spacing w:val="23"/>
        </w:rPr>
        <w:t xml:space="preserve"> </w:t>
      </w:r>
      <w:r>
        <w:rPr>
          <w:spacing w:val="-2"/>
        </w:rPr>
        <w:t>have</w:t>
      </w:r>
      <w:r>
        <w:rPr>
          <w:spacing w:val="22"/>
        </w:rPr>
        <w:t xml:space="preserve"> </w:t>
      </w:r>
      <w:r>
        <w:rPr>
          <w:spacing w:val="-1"/>
        </w:rPr>
        <w:t>an</w:t>
      </w:r>
      <w:r>
        <w:rPr>
          <w:spacing w:val="24"/>
        </w:rPr>
        <w:t xml:space="preserve"> </w:t>
      </w:r>
      <w:r>
        <w:rPr>
          <w:spacing w:val="-1"/>
        </w:rPr>
        <w:t>interpretation</w:t>
      </w:r>
      <w:r>
        <w:rPr>
          <w:spacing w:val="22"/>
        </w:rPr>
        <w:t xml:space="preserve"> </w:t>
      </w:r>
      <w:r>
        <w:rPr>
          <w:spacing w:val="-1"/>
        </w:rPr>
        <w:t>in</w:t>
      </w:r>
      <w:r>
        <w:rPr>
          <w:spacing w:val="25"/>
        </w:rPr>
        <w:t xml:space="preserve"> </w:t>
      </w:r>
      <w:r>
        <w:rPr>
          <w:spacing w:val="-2"/>
        </w:rPr>
        <w:t>Call</w:t>
      </w:r>
      <w:r>
        <w:rPr>
          <w:spacing w:val="24"/>
        </w:rPr>
        <w:t xml:space="preserve"> </w:t>
      </w:r>
      <w:r>
        <w:rPr>
          <w:spacing w:val="-1"/>
        </w:rPr>
        <w:t>Off</w:t>
      </w:r>
      <w:r>
        <w:rPr>
          <w:spacing w:val="26"/>
        </w:rPr>
        <w:t xml:space="preserve"> </w:t>
      </w:r>
      <w:r>
        <w:rPr>
          <w:spacing w:val="-2"/>
        </w:rPr>
        <w:t>Schedule</w:t>
      </w:r>
      <w:r>
        <w:rPr>
          <w:spacing w:val="22"/>
        </w:rPr>
        <w:t xml:space="preserve"> </w:t>
      </w:r>
      <w:r>
        <w:t>1</w:t>
      </w:r>
      <w:r>
        <w:rPr>
          <w:spacing w:val="49"/>
        </w:rPr>
        <w:t xml:space="preserve"> </w:t>
      </w:r>
      <w:r>
        <w:rPr>
          <w:spacing w:val="-1"/>
        </w:rPr>
        <w:t>(Definitions)</w:t>
      </w:r>
      <w:r>
        <w:rPr>
          <w:spacing w:val="21"/>
        </w:rPr>
        <w:t xml:space="preserve"> </w:t>
      </w:r>
      <w:r>
        <w:rPr>
          <w:spacing w:val="-2"/>
        </w:rPr>
        <w:t>or</w:t>
      </w:r>
      <w:r>
        <w:rPr>
          <w:spacing w:val="21"/>
        </w:rPr>
        <w:t xml:space="preserve"> </w:t>
      </w:r>
      <w:r>
        <w:rPr>
          <w:spacing w:val="-2"/>
        </w:rPr>
        <w:t>relevant</w:t>
      </w:r>
      <w:r>
        <w:rPr>
          <w:spacing w:val="19"/>
        </w:rPr>
        <w:t xml:space="preserve"> </w:t>
      </w:r>
      <w:r>
        <w:rPr>
          <w:spacing w:val="-2"/>
        </w:rPr>
        <w:t>Call</w:t>
      </w:r>
      <w:r>
        <w:rPr>
          <w:spacing w:val="19"/>
        </w:rPr>
        <w:t xml:space="preserve"> </w:t>
      </w:r>
      <w:r>
        <w:t>Off</w:t>
      </w:r>
      <w:r>
        <w:rPr>
          <w:spacing w:val="21"/>
        </w:rPr>
        <w:t xml:space="preserve"> </w:t>
      </w:r>
      <w:r>
        <w:rPr>
          <w:spacing w:val="-1"/>
        </w:rPr>
        <w:t>Schedule,</w:t>
      </w:r>
      <w:r>
        <w:rPr>
          <w:spacing w:val="22"/>
        </w:rPr>
        <w:t xml:space="preserve"> </w:t>
      </w:r>
      <w:r>
        <w:rPr>
          <w:spacing w:val="-2"/>
        </w:rPr>
        <w:t>it</w:t>
      </w:r>
      <w:r>
        <w:rPr>
          <w:spacing w:val="21"/>
        </w:rPr>
        <w:t xml:space="preserve"> </w:t>
      </w:r>
      <w:r>
        <w:rPr>
          <w:spacing w:val="-2"/>
        </w:rPr>
        <w:t>shall</w:t>
      </w:r>
      <w:r>
        <w:rPr>
          <w:spacing w:val="19"/>
        </w:rPr>
        <w:t xml:space="preserve"> </w:t>
      </w:r>
      <w:r>
        <w:rPr>
          <w:spacing w:val="-2"/>
        </w:rPr>
        <w:t>have</w:t>
      </w:r>
      <w:r>
        <w:rPr>
          <w:spacing w:val="19"/>
        </w:rPr>
        <w:t xml:space="preserve"> </w:t>
      </w:r>
      <w:r>
        <w:t>the</w:t>
      </w:r>
      <w:r>
        <w:rPr>
          <w:spacing w:val="20"/>
        </w:rPr>
        <w:t xml:space="preserve"> </w:t>
      </w:r>
      <w:r>
        <w:rPr>
          <w:spacing w:val="-1"/>
        </w:rPr>
        <w:t>meaning</w:t>
      </w:r>
      <w:r>
        <w:rPr>
          <w:spacing w:val="20"/>
        </w:rPr>
        <w:t xml:space="preserve"> </w:t>
      </w:r>
      <w:r>
        <w:rPr>
          <w:spacing w:val="-1"/>
        </w:rPr>
        <w:t>given</w:t>
      </w:r>
      <w:r>
        <w:rPr>
          <w:spacing w:val="19"/>
        </w:rPr>
        <w:t xml:space="preserve"> </w:t>
      </w:r>
      <w:r>
        <w:t>to</w:t>
      </w:r>
      <w:r>
        <w:rPr>
          <w:spacing w:val="20"/>
        </w:rPr>
        <w:t xml:space="preserve"> </w:t>
      </w:r>
      <w:r>
        <w:rPr>
          <w:spacing w:val="-1"/>
        </w:rPr>
        <w:t>it</w:t>
      </w:r>
      <w:r>
        <w:rPr>
          <w:spacing w:val="21"/>
        </w:rPr>
        <w:t xml:space="preserve"> </w:t>
      </w:r>
      <w:r>
        <w:rPr>
          <w:spacing w:val="-1"/>
        </w:rPr>
        <w:t>in</w:t>
      </w:r>
      <w:r>
        <w:rPr>
          <w:spacing w:val="55"/>
        </w:rPr>
        <w:t xml:space="preserve"> </w:t>
      </w:r>
      <w:r>
        <w:t>the</w:t>
      </w:r>
      <w:r>
        <w:rPr>
          <w:spacing w:val="28"/>
        </w:rPr>
        <w:t xml:space="preserve"> </w:t>
      </w:r>
      <w:r>
        <w:rPr>
          <w:spacing w:val="-2"/>
        </w:rPr>
        <w:t>Framework</w:t>
      </w:r>
      <w:r>
        <w:rPr>
          <w:spacing w:val="31"/>
        </w:rPr>
        <w:t xml:space="preserve"> </w:t>
      </w:r>
      <w:r>
        <w:rPr>
          <w:spacing w:val="-2"/>
        </w:rPr>
        <w:t>Agreement.</w:t>
      </w:r>
      <w:r>
        <w:rPr>
          <w:spacing w:val="30"/>
        </w:rPr>
        <w:t xml:space="preserve"> </w:t>
      </w:r>
      <w:r>
        <w:rPr>
          <w:spacing w:val="-1"/>
        </w:rPr>
        <w:t>If</w:t>
      </w:r>
      <w:r>
        <w:rPr>
          <w:spacing w:val="30"/>
        </w:rPr>
        <w:t xml:space="preserve"> </w:t>
      </w:r>
      <w:r>
        <w:rPr>
          <w:spacing w:val="-1"/>
        </w:rPr>
        <w:t>no</w:t>
      </w:r>
      <w:r>
        <w:rPr>
          <w:spacing w:val="26"/>
        </w:rPr>
        <w:t xml:space="preserve"> </w:t>
      </w:r>
      <w:r>
        <w:rPr>
          <w:spacing w:val="-1"/>
        </w:rPr>
        <w:t>meaning</w:t>
      </w:r>
      <w:r>
        <w:rPr>
          <w:spacing w:val="30"/>
        </w:rPr>
        <w:t xml:space="preserve"> </w:t>
      </w:r>
      <w:r>
        <w:rPr>
          <w:spacing w:val="-2"/>
        </w:rPr>
        <w:t>is</w:t>
      </w:r>
      <w:r>
        <w:rPr>
          <w:spacing w:val="28"/>
        </w:rPr>
        <w:t xml:space="preserve"> </w:t>
      </w:r>
      <w:r>
        <w:rPr>
          <w:spacing w:val="-1"/>
        </w:rPr>
        <w:t>given</w:t>
      </w:r>
      <w:r>
        <w:rPr>
          <w:spacing w:val="28"/>
        </w:rPr>
        <w:t xml:space="preserve"> </w:t>
      </w:r>
      <w:r>
        <w:t>to</w:t>
      </w:r>
      <w:r>
        <w:rPr>
          <w:spacing w:val="28"/>
        </w:rPr>
        <w:t xml:space="preserve"> </w:t>
      </w:r>
      <w:r>
        <w:rPr>
          <w:spacing w:val="-1"/>
        </w:rPr>
        <w:t>it</w:t>
      </w:r>
      <w:r>
        <w:rPr>
          <w:spacing w:val="30"/>
        </w:rPr>
        <w:t xml:space="preserve"> </w:t>
      </w:r>
      <w:r>
        <w:rPr>
          <w:spacing w:val="-1"/>
        </w:rPr>
        <w:t>in</w:t>
      </w:r>
      <w:r>
        <w:rPr>
          <w:spacing w:val="28"/>
        </w:rPr>
        <w:t xml:space="preserve"> </w:t>
      </w:r>
      <w:r>
        <w:t>the</w:t>
      </w:r>
      <w:r>
        <w:rPr>
          <w:spacing w:val="28"/>
        </w:rPr>
        <w:t xml:space="preserve"> </w:t>
      </w:r>
      <w:r>
        <w:rPr>
          <w:spacing w:val="-2"/>
        </w:rPr>
        <w:t>Framework</w:t>
      </w:r>
      <w:r>
        <w:rPr>
          <w:spacing w:val="51"/>
        </w:rPr>
        <w:t xml:space="preserve"> </w:t>
      </w:r>
      <w:r>
        <w:rPr>
          <w:spacing w:val="-1"/>
        </w:rPr>
        <w:t>Agreement,</w:t>
      </w:r>
      <w:r>
        <w:rPr>
          <w:spacing w:val="52"/>
        </w:rPr>
        <w:t xml:space="preserve"> </w:t>
      </w:r>
      <w:r>
        <w:rPr>
          <w:spacing w:val="-1"/>
        </w:rPr>
        <w:t>it</w:t>
      </w:r>
      <w:r>
        <w:rPr>
          <w:spacing w:val="50"/>
        </w:rPr>
        <w:t xml:space="preserve"> </w:t>
      </w:r>
      <w:r>
        <w:rPr>
          <w:spacing w:val="-1"/>
        </w:rPr>
        <w:t>shall,</w:t>
      </w:r>
      <w:r>
        <w:rPr>
          <w:spacing w:val="52"/>
        </w:rPr>
        <w:t xml:space="preserve"> </w:t>
      </w:r>
      <w:r>
        <w:rPr>
          <w:spacing w:val="-1"/>
        </w:rPr>
        <w:t>in</w:t>
      </w:r>
      <w:r>
        <w:rPr>
          <w:spacing w:val="51"/>
        </w:rPr>
        <w:t xml:space="preserve"> </w:t>
      </w:r>
      <w:r>
        <w:rPr>
          <w:spacing w:val="-1"/>
        </w:rPr>
        <w:t>the</w:t>
      </w:r>
      <w:r>
        <w:rPr>
          <w:spacing w:val="48"/>
        </w:rPr>
        <w:t xml:space="preserve"> </w:t>
      </w:r>
      <w:r>
        <w:rPr>
          <w:spacing w:val="-1"/>
        </w:rPr>
        <w:t>first</w:t>
      </w:r>
      <w:r>
        <w:rPr>
          <w:spacing w:val="52"/>
        </w:rPr>
        <w:t xml:space="preserve"> </w:t>
      </w:r>
      <w:r>
        <w:rPr>
          <w:spacing w:val="-1"/>
        </w:rPr>
        <w:t>instance,</w:t>
      </w:r>
      <w:r>
        <w:rPr>
          <w:spacing w:val="53"/>
        </w:rPr>
        <w:t xml:space="preserve"> </w:t>
      </w:r>
      <w:r>
        <w:rPr>
          <w:spacing w:val="-1"/>
        </w:rPr>
        <w:t>be</w:t>
      </w:r>
      <w:r>
        <w:rPr>
          <w:spacing w:val="51"/>
        </w:rPr>
        <w:t xml:space="preserve"> </w:t>
      </w:r>
      <w:r>
        <w:rPr>
          <w:spacing w:val="-2"/>
        </w:rPr>
        <w:t>interpreted</w:t>
      </w:r>
      <w:r>
        <w:rPr>
          <w:spacing w:val="51"/>
        </w:rPr>
        <w:t xml:space="preserve"> </w:t>
      </w:r>
      <w:r>
        <w:rPr>
          <w:spacing w:val="-1"/>
        </w:rPr>
        <w:t>in</w:t>
      </w:r>
      <w:r>
        <w:rPr>
          <w:spacing w:val="51"/>
        </w:rPr>
        <w:t xml:space="preserve"> </w:t>
      </w:r>
      <w:r>
        <w:rPr>
          <w:spacing w:val="-1"/>
        </w:rPr>
        <w:t>accordance</w:t>
      </w:r>
      <w:r>
        <w:rPr>
          <w:spacing w:val="49"/>
        </w:rPr>
        <w:t xml:space="preserve"> </w:t>
      </w:r>
      <w:r>
        <w:rPr>
          <w:spacing w:val="-2"/>
        </w:rPr>
        <w:t>with</w:t>
      </w:r>
      <w:r>
        <w:rPr>
          <w:spacing w:val="51"/>
        </w:rPr>
        <w:t xml:space="preserve"> </w:t>
      </w:r>
      <w:r>
        <w:rPr>
          <w:spacing w:val="-1"/>
        </w:rPr>
        <w:t>the</w:t>
      </w:r>
      <w:r>
        <w:rPr>
          <w:spacing w:val="50"/>
        </w:rPr>
        <w:t xml:space="preserve"> </w:t>
      </w:r>
      <w:r>
        <w:rPr>
          <w:spacing w:val="-1"/>
        </w:rPr>
        <w:t>common</w:t>
      </w:r>
      <w:r>
        <w:rPr>
          <w:spacing w:val="48"/>
        </w:rPr>
        <w:t xml:space="preserve"> </w:t>
      </w:r>
      <w:r>
        <w:rPr>
          <w:spacing w:val="-1"/>
        </w:rPr>
        <w:t>interpretation</w:t>
      </w:r>
      <w:r>
        <w:rPr>
          <w:spacing w:val="48"/>
        </w:rPr>
        <w:t xml:space="preserve"> </w:t>
      </w:r>
      <w:r>
        <w:rPr>
          <w:spacing w:val="-2"/>
        </w:rPr>
        <w:t>within</w:t>
      </w:r>
      <w:r>
        <w:rPr>
          <w:spacing w:val="51"/>
        </w:rPr>
        <w:t xml:space="preserve"> </w:t>
      </w:r>
      <w:r>
        <w:t>the</w:t>
      </w:r>
      <w:r>
        <w:rPr>
          <w:spacing w:val="51"/>
        </w:rPr>
        <w:t xml:space="preserve"> </w:t>
      </w:r>
      <w:r>
        <w:rPr>
          <w:spacing w:val="-2"/>
        </w:rPr>
        <w:t>relevant</w:t>
      </w:r>
      <w:r>
        <w:rPr>
          <w:spacing w:val="52"/>
        </w:rPr>
        <w:t xml:space="preserve"> </w:t>
      </w:r>
      <w:r>
        <w:rPr>
          <w:spacing w:val="-1"/>
        </w:rPr>
        <w:t>market</w:t>
      </w:r>
      <w:r>
        <w:rPr>
          <w:spacing w:val="50"/>
        </w:rPr>
        <w:t xml:space="preserve"> </w:t>
      </w:r>
      <w:r>
        <w:rPr>
          <w:spacing w:val="-1"/>
        </w:rPr>
        <w:t>sector/industry</w:t>
      </w:r>
      <w:r>
        <w:rPr>
          <w:spacing w:val="50"/>
        </w:rPr>
        <w:t xml:space="preserve"> </w:t>
      </w:r>
      <w:r>
        <w:rPr>
          <w:spacing w:val="-2"/>
        </w:rPr>
        <w:t>where</w:t>
      </w:r>
      <w:r>
        <w:rPr>
          <w:spacing w:val="53"/>
        </w:rPr>
        <w:t xml:space="preserve"> </w:t>
      </w:r>
      <w:r>
        <w:rPr>
          <w:spacing w:val="-1"/>
        </w:rPr>
        <w:t>appropriate.</w:t>
      </w:r>
      <w:r>
        <w:rPr>
          <w:spacing w:val="47"/>
        </w:rPr>
        <w:t xml:space="preserve"> </w:t>
      </w:r>
      <w:r>
        <w:rPr>
          <w:spacing w:val="-1"/>
        </w:rPr>
        <w:t>Otherwise,</w:t>
      </w:r>
      <w:r>
        <w:rPr>
          <w:spacing w:val="48"/>
        </w:rPr>
        <w:t xml:space="preserve"> </w:t>
      </w:r>
      <w:r>
        <w:rPr>
          <w:spacing w:val="-1"/>
        </w:rPr>
        <w:t>it</w:t>
      </w:r>
      <w:r>
        <w:rPr>
          <w:spacing w:val="47"/>
        </w:rPr>
        <w:t xml:space="preserve"> </w:t>
      </w:r>
      <w:r>
        <w:rPr>
          <w:spacing w:val="-1"/>
        </w:rPr>
        <w:t>shall</w:t>
      </w:r>
      <w:r>
        <w:rPr>
          <w:spacing w:val="45"/>
        </w:rPr>
        <w:t xml:space="preserve"> </w:t>
      </w:r>
      <w:r>
        <w:rPr>
          <w:spacing w:val="-1"/>
        </w:rPr>
        <w:t>be</w:t>
      </w:r>
      <w:r>
        <w:rPr>
          <w:spacing w:val="48"/>
        </w:rPr>
        <w:t xml:space="preserve"> </w:t>
      </w:r>
      <w:r>
        <w:rPr>
          <w:spacing w:val="-1"/>
        </w:rPr>
        <w:t>interpreted</w:t>
      </w:r>
      <w:r>
        <w:rPr>
          <w:spacing w:val="46"/>
        </w:rPr>
        <w:t xml:space="preserve"> </w:t>
      </w:r>
      <w:r>
        <w:rPr>
          <w:spacing w:val="-1"/>
        </w:rPr>
        <w:t>in</w:t>
      </w:r>
      <w:r>
        <w:rPr>
          <w:spacing w:val="47"/>
        </w:rPr>
        <w:t xml:space="preserve"> </w:t>
      </w:r>
      <w:r>
        <w:rPr>
          <w:spacing w:val="-1"/>
        </w:rPr>
        <w:t>accordance</w:t>
      </w:r>
      <w:r>
        <w:rPr>
          <w:spacing w:val="46"/>
        </w:rPr>
        <w:t xml:space="preserve"> </w:t>
      </w:r>
      <w:r>
        <w:rPr>
          <w:spacing w:val="-2"/>
        </w:rPr>
        <w:t>with</w:t>
      </w:r>
      <w:r>
        <w:rPr>
          <w:spacing w:val="46"/>
        </w:rPr>
        <w:t xml:space="preserve"> </w:t>
      </w:r>
      <w:r>
        <w:t>the</w:t>
      </w:r>
      <w:r>
        <w:rPr>
          <w:spacing w:val="48"/>
        </w:rPr>
        <w:t xml:space="preserve"> </w:t>
      </w:r>
      <w:r>
        <w:rPr>
          <w:spacing w:val="-1"/>
        </w:rPr>
        <w:t>dictionary</w:t>
      </w:r>
      <w:r>
        <w:rPr>
          <w:spacing w:val="37"/>
        </w:rPr>
        <w:t xml:space="preserve"> </w:t>
      </w:r>
      <w:r>
        <w:rPr>
          <w:spacing w:val="-1"/>
        </w:rPr>
        <w:t>meaning.</w:t>
      </w:r>
    </w:p>
    <w:p w:rsidR="008918FA" w:rsidRDefault="008918FA" w:rsidP="008918FA">
      <w:pPr>
        <w:pStyle w:val="BodyText"/>
        <w:numPr>
          <w:ilvl w:val="2"/>
          <w:numId w:val="69"/>
        </w:numPr>
        <w:tabs>
          <w:tab w:val="left" w:pos="1029"/>
        </w:tabs>
        <w:spacing w:before="121"/>
      </w:pPr>
      <w:r>
        <w:t>In</w:t>
      </w:r>
      <w:r>
        <w:rPr>
          <w:spacing w:val="-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unless</w:t>
      </w:r>
      <w:r>
        <w:rPr>
          <w:spacing w:val="1"/>
        </w:rPr>
        <w:t xml:space="preserve"> </w:t>
      </w:r>
      <w:r>
        <w:t>the</w:t>
      </w:r>
      <w:r>
        <w:rPr>
          <w:spacing w:val="-2"/>
        </w:rPr>
        <w:t xml:space="preserve"> </w:t>
      </w:r>
      <w:r>
        <w:rPr>
          <w:spacing w:val="-1"/>
        </w:rPr>
        <w:t>context</w:t>
      </w:r>
      <w:r>
        <w:t xml:space="preserve"> </w:t>
      </w:r>
      <w:r>
        <w:rPr>
          <w:spacing w:val="-2"/>
        </w:rPr>
        <w:t>otherwise</w:t>
      </w:r>
      <w:r>
        <w:rPr>
          <w:spacing w:val="1"/>
        </w:rPr>
        <w:t xml:space="preserve"> </w:t>
      </w:r>
      <w:r>
        <w:rPr>
          <w:spacing w:val="-1"/>
        </w:rPr>
        <w:t>requires:</w:t>
      </w:r>
    </w:p>
    <w:p w:rsidR="008918FA" w:rsidRDefault="008918FA" w:rsidP="008918FA">
      <w:pPr>
        <w:pStyle w:val="BodyText"/>
        <w:numPr>
          <w:ilvl w:val="3"/>
          <w:numId w:val="69"/>
        </w:numPr>
        <w:tabs>
          <w:tab w:val="left" w:pos="2227"/>
        </w:tabs>
      </w:pPr>
      <w:r>
        <w:t xml:space="preserve">the </w:t>
      </w:r>
      <w:r>
        <w:rPr>
          <w:spacing w:val="-1"/>
        </w:rPr>
        <w:t>singular includes</w:t>
      </w:r>
      <w:r>
        <w:rPr>
          <w:spacing w:val="1"/>
        </w:rPr>
        <w:t xml:space="preserve"> </w:t>
      </w:r>
      <w:r>
        <w:t>the</w:t>
      </w:r>
      <w:r>
        <w:rPr>
          <w:spacing w:val="-4"/>
        </w:rPr>
        <w:t xml:space="preserve"> </w:t>
      </w:r>
      <w:r>
        <w:rPr>
          <w:spacing w:val="-1"/>
        </w:rPr>
        <w:t>plural</w:t>
      </w:r>
      <w:r>
        <w:t xml:space="preserve"> </w:t>
      </w:r>
      <w:r>
        <w:rPr>
          <w:spacing w:val="-1"/>
        </w:rPr>
        <w:t>and</w:t>
      </w:r>
      <w:r>
        <w:t xml:space="preserve"> </w:t>
      </w:r>
      <w:r>
        <w:rPr>
          <w:spacing w:val="-2"/>
        </w:rPr>
        <w:t>vice</w:t>
      </w:r>
      <w:r>
        <w:rPr>
          <w:spacing w:val="1"/>
        </w:rPr>
        <w:t xml:space="preserve"> </w:t>
      </w:r>
      <w:r>
        <w:rPr>
          <w:spacing w:val="-1"/>
        </w:rPr>
        <w:t>versa;</w:t>
      </w:r>
    </w:p>
    <w:p w:rsidR="008918FA" w:rsidRDefault="008918FA" w:rsidP="008918FA">
      <w:pPr>
        <w:pStyle w:val="BodyText"/>
        <w:numPr>
          <w:ilvl w:val="3"/>
          <w:numId w:val="69"/>
        </w:numPr>
        <w:tabs>
          <w:tab w:val="left" w:pos="2227"/>
        </w:tabs>
        <w:spacing w:before="121"/>
      </w:pPr>
      <w:r>
        <w:rPr>
          <w:spacing w:val="-1"/>
        </w:rPr>
        <w:t>reference</w:t>
      </w:r>
      <w:r>
        <w:rPr>
          <w:spacing w:val="-2"/>
        </w:rPr>
        <w:t xml:space="preserve"> </w:t>
      </w:r>
      <w:r>
        <w:t>to a</w:t>
      </w:r>
      <w:r>
        <w:rPr>
          <w:spacing w:val="-4"/>
        </w:rPr>
        <w:t xml:space="preserve"> </w:t>
      </w:r>
      <w:r>
        <w:rPr>
          <w:spacing w:val="-1"/>
        </w:rPr>
        <w:t xml:space="preserve">gender </w:t>
      </w:r>
      <w:r>
        <w:rPr>
          <w:spacing w:val="-2"/>
        </w:rPr>
        <w:t>includes</w:t>
      </w:r>
      <w:r>
        <w:rPr>
          <w:spacing w:val="1"/>
        </w:rPr>
        <w:t xml:space="preserve"> </w:t>
      </w:r>
      <w:r>
        <w:t xml:space="preserve">the </w:t>
      </w:r>
      <w:r>
        <w:rPr>
          <w:spacing w:val="-2"/>
        </w:rPr>
        <w:t>other</w:t>
      </w:r>
      <w:r>
        <w:rPr>
          <w:spacing w:val="-1"/>
        </w:rPr>
        <w:t xml:space="preserve"> gender</w:t>
      </w:r>
      <w:r>
        <w:rPr>
          <w:spacing w:val="2"/>
        </w:rPr>
        <w:t xml:space="preserve"> </w:t>
      </w:r>
      <w:r>
        <w:rPr>
          <w:spacing w:val="-2"/>
        </w:rPr>
        <w:t>and</w:t>
      </w:r>
      <w:r>
        <w:t xml:space="preserve"> the</w:t>
      </w:r>
      <w:r>
        <w:rPr>
          <w:spacing w:val="-2"/>
        </w:rPr>
        <w:t xml:space="preserve"> </w:t>
      </w:r>
      <w:r>
        <w:rPr>
          <w:spacing w:val="-1"/>
        </w:rPr>
        <w:t>neuter;</w:t>
      </w:r>
    </w:p>
    <w:p w:rsidR="008918FA" w:rsidRDefault="008918FA" w:rsidP="008918FA">
      <w:pPr>
        <w:pStyle w:val="BodyText"/>
        <w:numPr>
          <w:ilvl w:val="3"/>
          <w:numId w:val="69"/>
        </w:numPr>
        <w:tabs>
          <w:tab w:val="left" w:pos="2227"/>
        </w:tabs>
        <w:ind w:right="114"/>
        <w:jc w:val="both"/>
      </w:pPr>
      <w:r>
        <w:rPr>
          <w:spacing w:val="-1"/>
        </w:rPr>
        <w:t>references</w:t>
      </w:r>
      <w:r>
        <w:rPr>
          <w:spacing w:val="1"/>
        </w:rPr>
        <w:t xml:space="preserve"> </w:t>
      </w:r>
      <w:r>
        <w:t xml:space="preserve">to a </w:t>
      </w:r>
      <w:r>
        <w:rPr>
          <w:spacing w:val="-1"/>
        </w:rPr>
        <w:t>person</w:t>
      </w:r>
      <w:r>
        <w:rPr>
          <w:spacing w:val="1"/>
        </w:rPr>
        <w:t xml:space="preserve"> </w:t>
      </w:r>
      <w:r>
        <w:rPr>
          <w:spacing w:val="-1"/>
        </w:rPr>
        <w:t>include</w:t>
      </w:r>
      <w:r>
        <w:t xml:space="preserve"> </w:t>
      </w:r>
      <w:r>
        <w:rPr>
          <w:spacing w:val="-1"/>
        </w:rPr>
        <w:t>an</w:t>
      </w:r>
      <w:r>
        <w:t xml:space="preserve"> </w:t>
      </w:r>
      <w:r>
        <w:rPr>
          <w:spacing w:val="-1"/>
        </w:rPr>
        <w:t>individual,</w:t>
      </w:r>
      <w:r>
        <w:rPr>
          <w:spacing w:val="2"/>
        </w:rPr>
        <w:t xml:space="preserve"> </w:t>
      </w:r>
      <w:r>
        <w:rPr>
          <w:spacing w:val="-2"/>
        </w:rPr>
        <w:t>company,</w:t>
      </w:r>
      <w:r>
        <w:rPr>
          <w:spacing w:val="2"/>
        </w:rPr>
        <w:t xml:space="preserve"> </w:t>
      </w:r>
      <w:r>
        <w:rPr>
          <w:spacing w:val="-1"/>
        </w:rPr>
        <w:t>body</w:t>
      </w:r>
      <w:r>
        <w:rPr>
          <w:spacing w:val="-2"/>
        </w:rPr>
        <w:t xml:space="preserve"> </w:t>
      </w:r>
      <w:r>
        <w:rPr>
          <w:spacing w:val="-1"/>
        </w:rPr>
        <w:t>corporate,</w:t>
      </w:r>
      <w:r>
        <w:rPr>
          <w:spacing w:val="42"/>
        </w:rPr>
        <w:t xml:space="preserve"> </w:t>
      </w:r>
      <w:r>
        <w:rPr>
          <w:spacing w:val="-1"/>
        </w:rPr>
        <w:t>corporation,</w:t>
      </w:r>
      <w:r>
        <w:rPr>
          <w:spacing w:val="2"/>
        </w:rPr>
        <w:t xml:space="preserve"> </w:t>
      </w:r>
      <w:r>
        <w:rPr>
          <w:spacing w:val="-1"/>
        </w:rPr>
        <w:t>unincorporated</w:t>
      </w:r>
      <w:r>
        <w:t xml:space="preserve"> </w:t>
      </w:r>
      <w:r>
        <w:rPr>
          <w:spacing w:val="-1"/>
        </w:rPr>
        <w:t>association,</w:t>
      </w:r>
      <w:r>
        <w:t xml:space="preserve"> </w:t>
      </w:r>
      <w:r>
        <w:rPr>
          <w:spacing w:val="-1"/>
        </w:rPr>
        <w:t>firm,</w:t>
      </w:r>
      <w:r>
        <w:rPr>
          <w:spacing w:val="2"/>
        </w:rPr>
        <w:t xml:space="preserve"> </w:t>
      </w:r>
      <w:r>
        <w:rPr>
          <w:spacing w:val="-1"/>
        </w:rPr>
        <w:t>partnership</w:t>
      </w:r>
      <w:r>
        <w:t xml:space="preserve"> </w:t>
      </w:r>
      <w:r>
        <w:rPr>
          <w:spacing w:val="-1"/>
        </w:rPr>
        <w:t>or</w:t>
      </w:r>
      <w:r>
        <w:rPr>
          <w:spacing w:val="2"/>
        </w:rPr>
        <w:t xml:space="preserve"> </w:t>
      </w:r>
      <w:r>
        <w:rPr>
          <w:spacing w:val="-1"/>
        </w:rPr>
        <w:t>other</w:t>
      </w:r>
      <w:r>
        <w:rPr>
          <w:spacing w:val="2"/>
        </w:rPr>
        <w:t xml:space="preserve"> </w:t>
      </w:r>
      <w:r>
        <w:rPr>
          <w:spacing w:val="-1"/>
        </w:rPr>
        <w:t>legal</w:t>
      </w:r>
      <w:r>
        <w:rPr>
          <w:spacing w:val="28"/>
        </w:rPr>
        <w:t xml:space="preserve"> </w:t>
      </w:r>
      <w:r>
        <w:rPr>
          <w:spacing w:val="-1"/>
        </w:rPr>
        <w:t>entity</w:t>
      </w:r>
      <w:r>
        <w:rPr>
          <w:spacing w:val="-2"/>
        </w:rPr>
        <w:t xml:space="preserve"> </w:t>
      </w:r>
      <w:r>
        <w:rPr>
          <w:spacing w:val="-1"/>
        </w:rPr>
        <w:t>or</w:t>
      </w:r>
      <w:r>
        <w:rPr>
          <w:spacing w:val="2"/>
        </w:rPr>
        <w:t xml:space="preserve"> </w:t>
      </w:r>
      <w:r>
        <w:rPr>
          <w:spacing w:val="-2"/>
        </w:rPr>
        <w:t>Crown</w:t>
      </w:r>
      <w:r>
        <w:t xml:space="preserve"> </w:t>
      </w:r>
      <w:r>
        <w:rPr>
          <w:spacing w:val="-2"/>
        </w:rPr>
        <w:t>Body;</w:t>
      </w:r>
    </w:p>
    <w:p w:rsidR="008918FA" w:rsidRDefault="008918FA" w:rsidP="008918FA">
      <w:pPr>
        <w:pStyle w:val="BodyText"/>
        <w:numPr>
          <w:ilvl w:val="3"/>
          <w:numId w:val="69"/>
        </w:numPr>
        <w:tabs>
          <w:tab w:val="left" w:pos="2227"/>
        </w:tabs>
        <w:ind w:right="118"/>
        <w:jc w:val="both"/>
      </w:pPr>
      <w:r>
        <w:t>a</w:t>
      </w:r>
      <w:r>
        <w:rPr>
          <w:spacing w:val="12"/>
        </w:rPr>
        <w:t xml:space="preserve"> </w:t>
      </w:r>
      <w:r>
        <w:rPr>
          <w:spacing w:val="-1"/>
        </w:rPr>
        <w:t>reference</w:t>
      </w:r>
      <w:r>
        <w:rPr>
          <w:spacing w:val="13"/>
        </w:rPr>
        <w:t xml:space="preserve"> </w:t>
      </w:r>
      <w:r>
        <w:t>to</w:t>
      </w:r>
      <w:r>
        <w:rPr>
          <w:spacing w:val="12"/>
        </w:rPr>
        <w:t xml:space="preserve"> </w:t>
      </w:r>
      <w:r>
        <w:rPr>
          <w:spacing w:val="-1"/>
        </w:rPr>
        <w:t>any</w:t>
      </w:r>
      <w:r>
        <w:rPr>
          <w:spacing w:val="10"/>
        </w:rPr>
        <w:t xml:space="preserve"> </w:t>
      </w:r>
      <w:r>
        <w:t>Law</w:t>
      </w:r>
      <w:r>
        <w:rPr>
          <w:spacing w:val="9"/>
        </w:rPr>
        <w:t xml:space="preserve"> </w:t>
      </w:r>
      <w:r>
        <w:rPr>
          <w:spacing w:val="-1"/>
        </w:rPr>
        <w:t>includes</w:t>
      </w:r>
      <w:r>
        <w:rPr>
          <w:spacing w:val="13"/>
        </w:rPr>
        <w:t xml:space="preserve"> </w:t>
      </w:r>
      <w:r>
        <w:t>a</w:t>
      </w:r>
      <w:r>
        <w:rPr>
          <w:spacing w:val="12"/>
        </w:rPr>
        <w:t xml:space="preserve"> </w:t>
      </w:r>
      <w:r>
        <w:rPr>
          <w:spacing w:val="-1"/>
        </w:rPr>
        <w:t>reference</w:t>
      </w:r>
      <w:r>
        <w:rPr>
          <w:spacing w:val="13"/>
        </w:rPr>
        <w:t xml:space="preserve"> </w:t>
      </w:r>
      <w:r>
        <w:t>to</w:t>
      </w:r>
      <w:r>
        <w:rPr>
          <w:spacing w:val="12"/>
        </w:rPr>
        <w:t xml:space="preserve"> </w:t>
      </w:r>
      <w:r>
        <w:rPr>
          <w:spacing w:val="-1"/>
        </w:rPr>
        <w:t>that</w:t>
      </w:r>
      <w:r>
        <w:rPr>
          <w:spacing w:val="14"/>
        </w:rPr>
        <w:t xml:space="preserve"> </w:t>
      </w:r>
      <w:r>
        <w:rPr>
          <w:spacing w:val="-1"/>
        </w:rPr>
        <w:t>Law</w:t>
      </w:r>
      <w:r>
        <w:rPr>
          <w:spacing w:val="12"/>
        </w:rPr>
        <w:t xml:space="preserve"> </w:t>
      </w:r>
      <w:r>
        <w:rPr>
          <w:spacing w:val="-1"/>
        </w:rPr>
        <w:t>as</w:t>
      </w:r>
      <w:r>
        <w:rPr>
          <w:spacing w:val="13"/>
        </w:rPr>
        <w:t xml:space="preserve"> </w:t>
      </w:r>
      <w:r>
        <w:rPr>
          <w:spacing w:val="-1"/>
        </w:rPr>
        <w:t>amended,</w:t>
      </w:r>
      <w:r>
        <w:rPr>
          <w:spacing w:val="40"/>
        </w:rPr>
        <w:t xml:space="preserve"> </w:t>
      </w:r>
      <w:r>
        <w:rPr>
          <w:spacing w:val="-1"/>
        </w:rPr>
        <w:t>extended,</w:t>
      </w:r>
      <w:r>
        <w:rPr>
          <w:spacing w:val="2"/>
        </w:rPr>
        <w:t xml:space="preserve"> </w:t>
      </w:r>
      <w:r>
        <w:rPr>
          <w:spacing w:val="-1"/>
        </w:rPr>
        <w:t>consolidated</w:t>
      </w:r>
      <w:r>
        <w:rPr>
          <w:spacing w:val="-2"/>
        </w:rPr>
        <w:t xml:space="preserve"> or</w:t>
      </w:r>
      <w:r>
        <w:rPr>
          <w:spacing w:val="2"/>
        </w:rPr>
        <w:t xml:space="preserve"> </w:t>
      </w:r>
      <w:r>
        <w:rPr>
          <w:spacing w:val="-1"/>
        </w:rPr>
        <w:t>re-enacted</w:t>
      </w:r>
      <w:r>
        <w:rPr>
          <w:spacing w:val="-2"/>
        </w:rPr>
        <w:t xml:space="preserve"> </w:t>
      </w:r>
      <w:r>
        <w:rPr>
          <w:spacing w:val="-1"/>
        </w:rPr>
        <w:t>from time</w:t>
      </w:r>
      <w:r>
        <w:rPr>
          <w:spacing w:val="-2"/>
        </w:rPr>
        <w:t xml:space="preserve"> </w:t>
      </w:r>
      <w:r>
        <w:t>to</w:t>
      </w:r>
      <w:r>
        <w:rPr>
          <w:spacing w:val="-2"/>
        </w:rPr>
        <w:t xml:space="preserve"> </w:t>
      </w:r>
      <w:r>
        <w:rPr>
          <w:spacing w:val="-1"/>
        </w:rPr>
        <w:t>time;</w:t>
      </w:r>
    </w:p>
    <w:p w:rsidR="008918FA" w:rsidRDefault="008918FA" w:rsidP="008918FA">
      <w:pPr>
        <w:numPr>
          <w:ilvl w:val="3"/>
          <w:numId w:val="69"/>
        </w:numPr>
        <w:tabs>
          <w:tab w:val="left" w:pos="2227"/>
        </w:tabs>
        <w:spacing w:before="117" w:line="239" w:lineRule="auto"/>
        <w:ind w:right="114"/>
        <w:jc w:val="both"/>
        <w:rPr>
          <w:rFonts w:ascii="Arial" w:eastAsia="Arial" w:hAnsi="Arial" w:cs="Arial"/>
        </w:rPr>
      </w:pPr>
      <w:r>
        <w:rPr>
          <w:rFonts w:ascii="Arial"/>
        </w:rPr>
        <w:t>the</w:t>
      </w:r>
      <w:r>
        <w:rPr>
          <w:rFonts w:ascii="Arial"/>
          <w:spacing w:val="58"/>
        </w:rPr>
        <w:t xml:space="preserve"> </w:t>
      </w:r>
      <w:r>
        <w:rPr>
          <w:rFonts w:ascii="Arial"/>
          <w:spacing w:val="-2"/>
        </w:rPr>
        <w:t>words</w:t>
      </w:r>
      <w:r>
        <w:rPr>
          <w:rFonts w:ascii="Arial"/>
          <w:spacing w:val="58"/>
        </w:rPr>
        <w:t xml:space="preserve"> </w:t>
      </w:r>
      <w:r>
        <w:rPr>
          <w:rFonts w:ascii="Arial"/>
          <w:spacing w:val="-1"/>
        </w:rPr>
        <w:t>"</w:t>
      </w:r>
      <w:r>
        <w:rPr>
          <w:rFonts w:ascii="Arial"/>
          <w:b/>
          <w:spacing w:val="-1"/>
        </w:rPr>
        <w:t>including</w:t>
      </w:r>
      <w:r>
        <w:rPr>
          <w:rFonts w:ascii="Arial"/>
          <w:spacing w:val="-1"/>
        </w:rPr>
        <w:t>",</w:t>
      </w:r>
      <w:r>
        <w:rPr>
          <w:rFonts w:ascii="Arial"/>
          <w:spacing w:val="57"/>
        </w:rPr>
        <w:t xml:space="preserve"> </w:t>
      </w:r>
      <w:r>
        <w:rPr>
          <w:rFonts w:ascii="Arial"/>
          <w:spacing w:val="-1"/>
        </w:rPr>
        <w:t>"</w:t>
      </w:r>
      <w:r>
        <w:rPr>
          <w:rFonts w:ascii="Arial"/>
          <w:b/>
          <w:spacing w:val="-1"/>
        </w:rPr>
        <w:t>other</w:t>
      </w:r>
      <w:r>
        <w:rPr>
          <w:rFonts w:ascii="Arial"/>
          <w:spacing w:val="-1"/>
        </w:rPr>
        <w:t>",</w:t>
      </w:r>
      <w:r>
        <w:rPr>
          <w:rFonts w:ascii="Arial"/>
          <w:spacing w:val="57"/>
        </w:rPr>
        <w:t xml:space="preserve"> </w:t>
      </w:r>
      <w:r>
        <w:rPr>
          <w:rFonts w:ascii="Arial"/>
        </w:rPr>
        <w:t>"</w:t>
      </w:r>
      <w:r>
        <w:rPr>
          <w:rFonts w:ascii="Arial"/>
          <w:b/>
        </w:rPr>
        <w:t>in</w:t>
      </w:r>
      <w:r>
        <w:rPr>
          <w:rFonts w:ascii="Arial"/>
          <w:b/>
          <w:spacing w:val="55"/>
        </w:rPr>
        <w:t xml:space="preserve"> </w:t>
      </w:r>
      <w:r>
        <w:rPr>
          <w:rFonts w:ascii="Arial"/>
          <w:b/>
          <w:spacing w:val="-1"/>
        </w:rPr>
        <w:t>particular</w:t>
      </w:r>
      <w:r>
        <w:rPr>
          <w:rFonts w:ascii="Arial"/>
          <w:spacing w:val="-1"/>
        </w:rPr>
        <w:t>",</w:t>
      </w:r>
      <w:r>
        <w:rPr>
          <w:rFonts w:ascii="Arial"/>
          <w:spacing w:val="57"/>
        </w:rPr>
        <w:t xml:space="preserve"> </w:t>
      </w:r>
      <w:r>
        <w:rPr>
          <w:rFonts w:ascii="Arial"/>
          <w:spacing w:val="-1"/>
        </w:rPr>
        <w:t>"</w:t>
      </w:r>
      <w:r>
        <w:rPr>
          <w:rFonts w:ascii="Arial"/>
          <w:b/>
          <w:spacing w:val="-1"/>
        </w:rPr>
        <w:t>for</w:t>
      </w:r>
      <w:r>
        <w:rPr>
          <w:rFonts w:ascii="Arial"/>
          <w:b/>
          <w:spacing w:val="57"/>
        </w:rPr>
        <w:t xml:space="preserve"> </w:t>
      </w:r>
      <w:r>
        <w:rPr>
          <w:rFonts w:ascii="Arial"/>
          <w:b/>
          <w:spacing w:val="-1"/>
        </w:rPr>
        <w:t>example</w:t>
      </w:r>
      <w:r>
        <w:rPr>
          <w:rFonts w:ascii="Arial"/>
          <w:spacing w:val="-1"/>
        </w:rPr>
        <w:t>"</w:t>
      </w:r>
      <w:r>
        <w:rPr>
          <w:rFonts w:ascii="Arial"/>
          <w:spacing w:val="59"/>
        </w:rPr>
        <w:t xml:space="preserve"> </w:t>
      </w:r>
      <w:r>
        <w:rPr>
          <w:rFonts w:ascii="Arial"/>
          <w:spacing w:val="-2"/>
        </w:rPr>
        <w:t>and</w:t>
      </w:r>
      <w:r>
        <w:rPr>
          <w:rFonts w:ascii="Arial"/>
          <w:spacing w:val="42"/>
        </w:rPr>
        <w:t xml:space="preserve"> </w:t>
      </w:r>
      <w:r>
        <w:rPr>
          <w:rFonts w:ascii="Arial"/>
          <w:spacing w:val="-1"/>
        </w:rPr>
        <w:t>similar</w:t>
      </w:r>
      <w:r>
        <w:rPr>
          <w:rFonts w:ascii="Arial"/>
          <w:spacing w:val="19"/>
        </w:rPr>
        <w:t xml:space="preserve"> </w:t>
      </w:r>
      <w:r>
        <w:rPr>
          <w:rFonts w:ascii="Arial"/>
          <w:spacing w:val="-2"/>
        </w:rPr>
        <w:t>words</w:t>
      </w:r>
      <w:r>
        <w:rPr>
          <w:rFonts w:ascii="Arial"/>
          <w:spacing w:val="18"/>
        </w:rPr>
        <w:t xml:space="preserve"> </w:t>
      </w:r>
      <w:r>
        <w:rPr>
          <w:rFonts w:ascii="Arial"/>
          <w:spacing w:val="-1"/>
        </w:rPr>
        <w:t>shall</w:t>
      </w:r>
      <w:r>
        <w:rPr>
          <w:rFonts w:ascii="Arial"/>
          <w:spacing w:val="17"/>
        </w:rPr>
        <w:t xml:space="preserve"> </w:t>
      </w:r>
      <w:r>
        <w:rPr>
          <w:rFonts w:ascii="Arial"/>
          <w:spacing w:val="-1"/>
        </w:rPr>
        <w:t>not</w:t>
      </w:r>
      <w:r>
        <w:rPr>
          <w:rFonts w:ascii="Arial"/>
          <w:spacing w:val="19"/>
        </w:rPr>
        <w:t xml:space="preserve"> </w:t>
      </w:r>
      <w:r>
        <w:rPr>
          <w:rFonts w:ascii="Arial"/>
        </w:rPr>
        <w:t>limit</w:t>
      </w:r>
      <w:r>
        <w:rPr>
          <w:rFonts w:ascii="Arial"/>
          <w:spacing w:val="19"/>
        </w:rPr>
        <w:t xml:space="preserve"> </w:t>
      </w:r>
      <w:r>
        <w:rPr>
          <w:rFonts w:ascii="Arial"/>
        </w:rPr>
        <w:t>the</w:t>
      </w:r>
      <w:r>
        <w:rPr>
          <w:rFonts w:ascii="Arial"/>
          <w:spacing w:val="15"/>
        </w:rPr>
        <w:t xml:space="preserve"> </w:t>
      </w:r>
      <w:r>
        <w:rPr>
          <w:rFonts w:ascii="Arial"/>
          <w:spacing w:val="-1"/>
        </w:rPr>
        <w:t>generality</w:t>
      </w:r>
      <w:r>
        <w:rPr>
          <w:rFonts w:ascii="Arial"/>
          <w:spacing w:val="15"/>
        </w:rPr>
        <w:t xml:space="preserve"> </w:t>
      </w:r>
      <w:r>
        <w:rPr>
          <w:rFonts w:ascii="Arial"/>
          <w:spacing w:val="-1"/>
        </w:rPr>
        <w:t>of</w:t>
      </w:r>
      <w:r>
        <w:rPr>
          <w:rFonts w:ascii="Arial"/>
          <w:spacing w:val="21"/>
        </w:rPr>
        <w:t xml:space="preserve"> </w:t>
      </w:r>
      <w:r>
        <w:rPr>
          <w:rFonts w:ascii="Arial"/>
        </w:rPr>
        <w:t>the</w:t>
      </w:r>
      <w:r>
        <w:rPr>
          <w:rFonts w:ascii="Arial"/>
          <w:spacing w:val="15"/>
        </w:rPr>
        <w:t xml:space="preserve"> </w:t>
      </w:r>
      <w:r>
        <w:rPr>
          <w:rFonts w:ascii="Arial"/>
          <w:spacing w:val="-1"/>
        </w:rPr>
        <w:t>preceding</w:t>
      </w:r>
      <w:r>
        <w:rPr>
          <w:rFonts w:ascii="Arial"/>
          <w:spacing w:val="20"/>
        </w:rPr>
        <w:t xml:space="preserve"> </w:t>
      </w:r>
      <w:r>
        <w:rPr>
          <w:rFonts w:ascii="Arial"/>
          <w:spacing w:val="-2"/>
        </w:rPr>
        <w:t>words</w:t>
      </w:r>
      <w:r>
        <w:rPr>
          <w:rFonts w:ascii="Arial"/>
          <w:spacing w:val="18"/>
        </w:rPr>
        <w:t xml:space="preserve"> </w:t>
      </w:r>
      <w:r>
        <w:rPr>
          <w:rFonts w:ascii="Arial"/>
          <w:spacing w:val="-1"/>
        </w:rPr>
        <w:t>and</w:t>
      </w:r>
      <w:r>
        <w:rPr>
          <w:rFonts w:ascii="Arial"/>
          <w:spacing w:val="42"/>
        </w:rPr>
        <w:t xml:space="preserve"> </w:t>
      </w:r>
      <w:r>
        <w:rPr>
          <w:rFonts w:ascii="Arial"/>
          <w:spacing w:val="-1"/>
        </w:rPr>
        <w:t>shall</w:t>
      </w:r>
      <w:r>
        <w:rPr>
          <w:rFonts w:ascii="Arial"/>
          <w:spacing w:val="21"/>
        </w:rPr>
        <w:t xml:space="preserve"> </w:t>
      </w:r>
      <w:r>
        <w:rPr>
          <w:rFonts w:ascii="Arial"/>
          <w:spacing w:val="-1"/>
        </w:rPr>
        <w:t>be</w:t>
      </w:r>
      <w:r>
        <w:rPr>
          <w:rFonts w:ascii="Arial"/>
          <w:spacing w:val="22"/>
        </w:rPr>
        <w:t xml:space="preserve"> </w:t>
      </w:r>
      <w:r>
        <w:rPr>
          <w:rFonts w:ascii="Arial"/>
          <w:spacing w:val="-1"/>
        </w:rPr>
        <w:t>construed</w:t>
      </w:r>
      <w:r>
        <w:rPr>
          <w:rFonts w:ascii="Arial"/>
          <w:spacing w:val="22"/>
        </w:rPr>
        <w:t xml:space="preserve"> </w:t>
      </w:r>
      <w:r>
        <w:rPr>
          <w:rFonts w:ascii="Arial"/>
          <w:spacing w:val="-2"/>
        </w:rPr>
        <w:t>as</w:t>
      </w:r>
      <w:r>
        <w:rPr>
          <w:rFonts w:ascii="Arial"/>
          <w:spacing w:val="22"/>
        </w:rPr>
        <w:t xml:space="preserve"> </w:t>
      </w:r>
      <w:r>
        <w:rPr>
          <w:rFonts w:ascii="Arial"/>
          <w:spacing w:val="-2"/>
        </w:rPr>
        <w:t>if</w:t>
      </w:r>
      <w:r>
        <w:rPr>
          <w:rFonts w:ascii="Arial"/>
          <w:spacing w:val="23"/>
        </w:rPr>
        <w:t xml:space="preserve"> </w:t>
      </w:r>
      <w:r>
        <w:rPr>
          <w:rFonts w:ascii="Arial"/>
          <w:spacing w:val="-1"/>
        </w:rPr>
        <w:t>they</w:t>
      </w:r>
      <w:r>
        <w:rPr>
          <w:rFonts w:ascii="Arial"/>
          <w:spacing w:val="20"/>
        </w:rPr>
        <w:t xml:space="preserve"> </w:t>
      </w:r>
      <w:r>
        <w:rPr>
          <w:rFonts w:ascii="Arial"/>
          <w:spacing w:val="-2"/>
        </w:rPr>
        <w:t>were</w:t>
      </w:r>
      <w:r>
        <w:rPr>
          <w:rFonts w:ascii="Arial"/>
          <w:spacing w:val="22"/>
        </w:rPr>
        <w:t xml:space="preserve"> </w:t>
      </w:r>
      <w:r>
        <w:rPr>
          <w:rFonts w:ascii="Arial"/>
          <w:spacing w:val="-1"/>
        </w:rPr>
        <w:t>immediately</w:t>
      </w:r>
      <w:r>
        <w:rPr>
          <w:rFonts w:ascii="Arial"/>
          <w:spacing w:val="20"/>
        </w:rPr>
        <w:t xml:space="preserve"> </w:t>
      </w:r>
      <w:r>
        <w:rPr>
          <w:rFonts w:ascii="Arial"/>
          <w:spacing w:val="-1"/>
        </w:rPr>
        <w:t>followed</w:t>
      </w:r>
      <w:r>
        <w:rPr>
          <w:rFonts w:ascii="Arial"/>
          <w:spacing w:val="22"/>
        </w:rPr>
        <w:t xml:space="preserve"> </w:t>
      </w:r>
      <w:r>
        <w:rPr>
          <w:rFonts w:ascii="Arial"/>
          <w:spacing w:val="1"/>
        </w:rPr>
        <w:t>by</w:t>
      </w:r>
      <w:r>
        <w:rPr>
          <w:rFonts w:ascii="Arial"/>
          <w:spacing w:val="20"/>
        </w:rPr>
        <w:t xml:space="preserve"> </w:t>
      </w:r>
      <w:r>
        <w:rPr>
          <w:rFonts w:ascii="Arial"/>
        </w:rPr>
        <w:t>the</w:t>
      </w:r>
      <w:r>
        <w:rPr>
          <w:rFonts w:ascii="Arial"/>
          <w:spacing w:val="22"/>
        </w:rPr>
        <w:t xml:space="preserve"> </w:t>
      </w:r>
      <w:r>
        <w:rPr>
          <w:rFonts w:ascii="Arial"/>
          <w:spacing w:val="-2"/>
        </w:rPr>
        <w:t>words</w:t>
      </w:r>
      <w:r>
        <w:rPr>
          <w:rFonts w:ascii="Arial"/>
          <w:spacing w:val="40"/>
        </w:rPr>
        <w:t xml:space="preserve"> </w:t>
      </w:r>
      <w:r>
        <w:rPr>
          <w:rFonts w:ascii="Arial"/>
          <w:spacing w:val="-1"/>
        </w:rPr>
        <w:t>"</w:t>
      </w:r>
      <w:r>
        <w:rPr>
          <w:rFonts w:ascii="Arial"/>
          <w:b/>
          <w:spacing w:val="-1"/>
        </w:rPr>
        <w:t>without limitation</w:t>
      </w:r>
      <w:r>
        <w:rPr>
          <w:rFonts w:ascii="Arial"/>
          <w:spacing w:val="-1"/>
        </w:rPr>
        <w:t>";</w:t>
      </w:r>
    </w:p>
    <w:p w:rsidR="008918FA" w:rsidRDefault="008918FA" w:rsidP="008918FA">
      <w:pPr>
        <w:pStyle w:val="BodyText"/>
        <w:numPr>
          <w:ilvl w:val="3"/>
          <w:numId w:val="69"/>
        </w:numPr>
        <w:tabs>
          <w:tab w:val="left" w:pos="2227"/>
        </w:tabs>
        <w:spacing w:before="121"/>
        <w:ind w:right="112"/>
        <w:jc w:val="both"/>
      </w:pPr>
      <w:r>
        <w:rPr>
          <w:spacing w:val="-1"/>
        </w:rPr>
        <w:t>references</w:t>
      </w:r>
      <w:r>
        <w:rPr>
          <w:spacing w:val="14"/>
        </w:rPr>
        <w:t xml:space="preserve"> </w:t>
      </w:r>
      <w:r>
        <w:t>to</w:t>
      </w:r>
      <w:r>
        <w:rPr>
          <w:spacing w:val="16"/>
        </w:rPr>
        <w:t xml:space="preserve"> </w:t>
      </w:r>
      <w:r>
        <w:rPr>
          <w:spacing w:val="-1"/>
        </w:rPr>
        <w:t>“</w:t>
      </w:r>
      <w:r>
        <w:rPr>
          <w:rFonts w:cs="Arial"/>
          <w:b/>
          <w:bCs/>
          <w:spacing w:val="-1"/>
        </w:rPr>
        <w:t>writing</w:t>
      </w:r>
      <w:r>
        <w:rPr>
          <w:spacing w:val="-1"/>
        </w:rPr>
        <w:t>”</w:t>
      </w:r>
      <w:r>
        <w:rPr>
          <w:spacing w:val="17"/>
        </w:rPr>
        <w:t xml:space="preserve"> </w:t>
      </w:r>
      <w:r>
        <w:rPr>
          <w:spacing w:val="-1"/>
        </w:rPr>
        <w:t>include</w:t>
      </w:r>
      <w:r>
        <w:rPr>
          <w:spacing w:val="16"/>
        </w:rPr>
        <w:t xml:space="preserve"> </w:t>
      </w:r>
      <w:r>
        <w:rPr>
          <w:spacing w:val="-1"/>
        </w:rPr>
        <w:t>typing,</w:t>
      </w:r>
      <w:r>
        <w:rPr>
          <w:spacing w:val="15"/>
        </w:rPr>
        <w:t xml:space="preserve"> </w:t>
      </w:r>
      <w:r>
        <w:rPr>
          <w:spacing w:val="-1"/>
        </w:rPr>
        <w:t>printing,</w:t>
      </w:r>
      <w:r>
        <w:rPr>
          <w:spacing w:val="18"/>
        </w:rPr>
        <w:t xml:space="preserve"> </w:t>
      </w:r>
      <w:r>
        <w:rPr>
          <w:spacing w:val="-1"/>
        </w:rPr>
        <w:t>lithography,</w:t>
      </w:r>
      <w:r>
        <w:rPr>
          <w:spacing w:val="27"/>
        </w:rPr>
        <w:t xml:space="preserve"> </w:t>
      </w:r>
      <w:r>
        <w:rPr>
          <w:spacing w:val="-1"/>
        </w:rPr>
        <w:t>photography,</w:t>
      </w:r>
      <w:r>
        <w:rPr>
          <w:spacing w:val="59"/>
        </w:rPr>
        <w:t xml:space="preserve"> </w:t>
      </w:r>
      <w:r>
        <w:rPr>
          <w:spacing w:val="-1"/>
        </w:rPr>
        <w:t>display</w:t>
      </w:r>
      <w:r>
        <w:rPr>
          <w:spacing w:val="58"/>
        </w:rPr>
        <w:t xml:space="preserve"> </w:t>
      </w:r>
      <w:r>
        <w:rPr>
          <w:spacing w:val="-1"/>
        </w:rPr>
        <w:t>on</w:t>
      </w:r>
      <w:r>
        <w:rPr>
          <w:spacing w:val="58"/>
        </w:rPr>
        <w:t xml:space="preserve"> </w:t>
      </w:r>
      <w:r>
        <w:t>a</w:t>
      </w:r>
      <w:r>
        <w:rPr>
          <w:spacing w:val="58"/>
        </w:rPr>
        <w:t xml:space="preserve"> </w:t>
      </w:r>
      <w:r>
        <w:rPr>
          <w:spacing w:val="-1"/>
        </w:rPr>
        <w:t>screen,</w:t>
      </w:r>
      <w:r>
        <w:rPr>
          <w:spacing w:val="59"/>
        </w:rPr>
        <w:t xml:space="preserve"> </w:t>
      </w:r>
      <w:r>
        <w:rPr>
          <w:spacing w:val="-1"/>
        </w:rPr>
        <w:t>electronic</w:t>
      </w:r>
      <w:r>
        <w:rPr>
          <w:spacing w:val="58"/>
        </w:rPr>
        <w:t xml:space="preserve"> </w:t>
      </w:r>
      <w:r>
        <w:rPr>
          <w:spacing w:val="-1"/>
        </w:rPr>
        <w:t>and</w:t>
      </w:r>
      <w:r>
        <w:rPr>
          <w:spacing w:val="59"/>
        </w:rPr>
        <w:t xml:space="preserve"> </w:t>
      </w:r>
      <w:r>
        <w:rPr>
          <w:spacing w:val="-1"/>
        </w:rPr>
        <w:t>facsimile</w:t>
      </w:r>
      <w:r>
        <w:rPr>
          <w:spacing w:val="27"/>
        </w:rPr>
        <w:t xml:space="preserve"> </w:t>
      </w:r>
      <w:r>
        <w:rPr>
          <w:spacing w:val="-1"/>
        </w:rPr>
        <w:t>transmission</w:t>
      </w:r>
      <w:r>
        <w:rPr>
          <w:spacing w:val="10"/>
        </w:rPr>
        <w:t xml:space="preserve"> </w:t>
      </w:r>
      <w:r>
        <w:rPr>
          <w:spacing w:val="-1"/>
        </w:rPr>
        <w:t>and</w:t>
      </w:r>
      <w:r>
        <w:rPr>
          <w:spacing w:val="10"/>
        </w:rPr>
        <w:t xml:space="preserve"> </w:t>
      </w:r>
      <w:r>
        <w:rPr>
          <w:spacing w:val="-2"/>
        </w:rPr>
        <w:t>other</w:t>
      </w:r>
      <w:r>
        <w:rPr>
          <w:spacing w:val="9"/>
        </w:rPr>
        <w:t xml:space="preserve"> </w:t>
      </w:r>
      <w:r>
        <w:rPr>
          <w:spacing w:val="-1"/>
        </w:rPr>
        <w:t>modes</w:t>
      </w:r>
      <w:r>
        <w:rPr>
          <w:spacing w:val="10"/>
        </w:rPr>
        <w:t xml:space="preserve"> </w:t>
      </w:r>
      <w:r>
        <w:rPr>
          <w:spacing w:val="-2"/>
        </w:rPr>
        <w:t>of</w:t>
      </w:r>
      <w:r>
        <w:rPr>
          <w:spacing w:val="9"/>
        </w:rPr>
        <w:t xml:space="preserve"> </w:t>
      </w:r>
      <w:r>
        <w:rPr>
          <w:spacing w:val="-1"/>
        </w:rPr>
        <w:t>representing</w:t>
      </w:r>
      <w:r>
        <w:rPr>
          <w:spacing w:val="12"/>
        </w:rPr>
        <w:t xml:space="preserve"> </w:t>
      </w:r>
      <w:r>
        <w:rPr>
          <w:spacing w:val="-2"/>
        </w:rPr>
        <w:t>or</w:t>
      </w:r>
      <w:r>
        <w:rPr>
          <w:spacing w:val="11"/>
        </w:rPr>
        <w:t xml:space="preserve"> </w:t>
      </w:r>
      <w:r>
        <w:rPr>
          <w:spacing w:val="-2"/>
        </w:rPr>
        <w:t>reproducing</w:t>
      </w:r>
      <w:r>
        <w:rPr>
          <w:spacing w:val="12"/>
        </w:rPr>
        <w:t xml:space="preserve"> </w:t>
      </w:r>
      <w:r>
        <w:rPr>
          <w:spacing w:val="-2"/>
        </w:rPr>
        <w:t>words</w:t>
      </w:r>
      <w:r>
        <w:rPr>
          <w:spacing w:val="10"/>
        </w:rPr>
        <w:t xml:space="preserve"> </w:t>
      </w:r>
      <w:r>
        <w:rPr>
          <w:spacing w:val="-1"/>
        </w:rPr>
        <w:t>in</w:t>
      </w:r>
      <w:r>
        <w:rPr>
          <w:spacing w:val="53"/>
        </w:rPr>
        <w:t xml:space="preserve"> </w:t>
      </w:r>
      <w:r>
        <w:t>a</w:t>
      </w:r>
      <w:r>
        <w:rPr>
          <w:spacing w:val="22"/>
        </w:rPr>
        <w:t xml:space="preserve"> </w:t>
      </w:r>
      <w:r>
        <w:rPr>
          <w:spacing w:val="-2"/>
        </w:rPr>
        <w:t>visible</w:t>
      </w:r>
      <w:r>
        <w:rPr>
          <w:spacing w:val="22"/>
        </w:rPr>
        <w:t xml:space="preserve"> </w:t>
      </w:r>
      <w:r>
        <w:t>form,</w:t>
      </w:r>
      <w:r>
        <w:rPr>
          <w:spacing w:val="23"/>
        </w:rPr>
        <w:t xml:space="preserve"> </w:t>
      </w:r>
      <w:r>
        <w:rPr>
          <w:spacing w:val="-1"/>
        </w:rPr>
        <w:t>and</w:t>
      </w:r>
      <w:r>
        <w:rPr>
          <w:spacing w:val="22"/>
        </w:rPr>
        <w:t xml:space="preserve"> </w:t>
      </w:r>
      <w:r>
        <w:rPr>
          <w:spacing w:val="-1"/>
        </w:rPr>
        <w:t>expressions</w:t>
      </w:r>
      <w:r>
        <w:rPr>
          <w:spacing w:val="22"/>
        </w:rPr>
        <w:t xml:space="preserve"> </w:t>
      </w:r>
      <w:r>
        <w:rPr>
          <w:spacing w:val="-1"/>
        </w:rPr>
        <w:t>referring</w:t>
      </w:r>
      <w:r>
        <w:rPr>
          <w:spacing w:val="24"/>
        </w:rPr>
        <w:t xml:space="preserve"> </w:t>
      </w:r>
      <w:r>
        <w:t>to</w:t>
      </w:r>
      <w:r>
        <w:rPr>
          <w:spacing w:val="22"/>
        </w:rPr>
        <w:t xml:space="preserve"> </w:t>
      </w:r>
      <w:r>
        <w:rPr>
          <w:spacing w:val="-2"/>
        </w:rPr>
        <w:t>writing</w:t>
      </w:r>
      <w:r>
        <w:rPr>
          <w:spacing w:val="24"/>
        </w:rPr>
        <w:t xml:space="preserve"> </w:t>
      </w:r>
      <w:r>
        <w:rPr>
          <w:spacing w:val="-1"/>
        </w:rPr>
        <w:t>shall</w:t>
      </w:r>
      <w:r>
        <w:rPr>
          <w:spacing w:val="21"/>
        </w:rPr>
        <w:t xml:space="preserve"> </w:t>
      </w:r>
      <w:r>
        <w:rPr>
          <w:spacing w:val="-1"/>
        </w:rPr>
        <w:t>be</w:t>
      </w:r>
      <w:r>
        <w:rPr>
          <w:spacing w:val="22"/>
        </w:rPr>
        <w:t xml:space="preserve"> </w:t>
      </w:r>
      <w:r>
        <w:rPr>
          <w:spacing w:val="-1"/>
        </w:rPr>
        <w:t>construed</w:t>
      </w:r>
      <w:r>
        <w:rPr>
          <w:spacing w:val="42"/>
        </w:rPr>
        <w:t xml:space="preserve"> </w:t>
      </w:r>
      <w:r>
        <w:rPr>
          <w:spacing w:val="-1"/>
        </w:rPr>
        <w:t>accordingly;</w:t>
      </w:r>
    </w:p>
    <w:p w:rsidR="008918FA" w:rsidRDefault="008918FA" w:rsidP="008918FA">
      <w:pPr>
        <w:pStyle w:val="BodyText"/>
        <w:numPr>
          <w:ilvl w:val="3"/>
          <w:numId w:val="69"/>
        </w:numPr>
        <w:tabs>
          <w:tab w:val="left" w:pos="2227"/>
        </w:tabs>
        <w:ind w:right="112"/>
        <w:jc w:val="both"/>
      </w:pPr>
      <w:r>
        <w:rPr>
          <w:spacing w:val="-1"/>
        </w:rPr>
        <w:t>references</w:t>
      </w:r>
      <w:r>
        <w:rPr>
          <w:spacing w:val="34"/>
        </w:rPr>
        <w:t xml:space="preserve"> </w:t>
      </w:r>
      <w:r>
        <w:t>to</w:t>
      </w:r>
      <w:r>
        <w:rPr>
          <w:spacing w:val="36"/>
        </w:rPr>
        <w:t xml:space="preserve"> </w:t>
      </w:r>
      <w:r>
        <w:rPr>
          <w:spacing w:val="-1"/>
        </w:rPr>
        <w:t>“</w:t>
      </w:r>
      <w:r>
        <w:rPr>
          <w:rFonts w:cs="Arial"/>
          <w:b/>
          <w:bCs/>
          <w:spacing w:val="-1"/>
        </w:rPr>
        <w:t>representations</w:t>
      </w:r>
      <w:r>
        <w:rPr>
          <w:spacing w:val="-1"/>
        </w:rPr>
        <w:t>”</w:t>
      </w:r>
      <w:r>
        <w:rPr>
          <w:spacing w:val="38"/>
        </w:rPr>
        <w:t xml:space="preserve"> </w:t>
      </w:r>
      <w:r>
        <w:rPr>
          <w:spacing w:val="-1"/>
        </w:rPr>
        <w:t>shall</w:t>
      </w:r>
      <w:r>
        <w:rPr>
          <w:spacing w:val="36"/>
        </w:rPr>
        <w:t xml:space="preserve"> </w:t>
      </w:r>
      <w:r>
        <w:rPr>
          <w:spacing w:val="-1"/>
        </w:rPr>
        <w:t>be</w:t>
      </w:r>
      <w:r>
        <w:rPr>
          <w:spacing w:val="36"/>
        </w:rPr>
        <w:t xml:space="preserve"> </w:t>
      </w:r>
      <w:r>
        <w:rPr>
          <w:spacing w:val="-1"/>
        </w:rPr>
        <w:t>construed</w:t>
      </w:r>
      <w:r>
        <w:rPr>
          <w:spacing w:val="36"/>
        </w:rPr>
        <w:t xml:space="preserve"> </w:t>
      </w:r>
      <w:r>
        <w:rPr>
          <w:spacing w:val="-1"/>
        </w:rPr>
        <w:t>as</w:t>
      </w:r>
      <w:r>
        <w:rPr>
          <w:spacing w:val="38"/>
        </w:rPr>
        <w:t xml:space="preserve"> </w:t>
      </w:r>
      <w:r>
        <w:rPr>
          <w:spacing w:val="-1"/>
        </w:rPr>
        <w:t>references</w:t>
      </w:r>
      <w:r>
        <w:rPr>
          <w:spacing w:val="34"/>
        </w:rPr>
        <w:t xml:space="preserve"> </w:t>
      </w:r>
      <w:r>
        <w:t>to</w:t>
      </w:r>
      <w:r>
        <w:rPr>
          <w:spacing w:val="35"/>
        </w:rPr>
        <w:t xml:space="preserve"> </w:t>
      </w:r>
      <w:r>
        <w:rPr>
          <w:spacing w:val="-1"/>
        </w:rPr>
        <w:t>present</w:t>
      </w:r>
      <w:r>
        <w:rPr>
          <w:spacing w:val="2"/>
        </w:rPr>
        <w:t xml:space="preserve"> </w:t>
      </w:r>
      <w:r>
        <w:rPr>
          <w:spacing w:val="-1"/>
        </w:rPr>
        <w:t>facts,</w:t>
      </w:r>
      <w:r>
        <w:rPr>
          <w:spacing w:val="2"/>
        </w:rPr>
        <w:t xml:space="preserve"> </w:t>
      </w:r>
      <w:r>
        <w:t>to</w:t>
      </w:r>
      <w:r>
        <w:rPr>
          <w:spacing w:val="3"/>
        </w:rPr>
        <w:t xml:space="preserve"> </w:t>
      </w:r>
      <w:r>
        <w:rPr>
          <w:spacing w:val="-1"/>
        </w:rPr>
        <w:t>“</w:t>
      </w:r>
      <w:r>
        <w:rPr>
          <w:rFonts w:cs="Arial"/>
          <w:b/>
          <w:bCs/>
          <w:spacing w:val="-1"/>
        </w:rPr>
        <w:t>warranties</w:t>
      </w:r>
      <w:r>
        <w:rPr>
          <w:spacing w:val="-1"/>
        </w:rPr>
        <w:t>”</w:t>
      </w:r>
      <w:r>
        <w:rPr>
          <w:spacing w:val="4"/>
        </w:rPr>
        <w:t xml:space="preserve"> </w:t>
      </w:r>
      <w:r>
        <w:rPr>
          <w:spacing w:val="-1"/>
        </w:rPr>
        <w:t>as</w:t>
      </w:r>
      <w:r>
        <w:rPr>
          <w:spacing w:val="3"/>
        </w:rPr>
        <w:t xml:space="preserve"> </w:t>
      </w:r>
      <w:r>
        <w:rPr>
          <w:spacing w:val="-1"/>
        </w:rPr>
        <w:t>references</w:t>
      </w:r>
      <w:r>
        <w:rPr>
          <w:spacing w:val="1"/>
        </w:rPr>
        <w:t xml:space="preserve"> </w:t>
      </w:r>
      <w:r>
        <w:t>to</w:t>
      </w:r>
      <w:r>
        <w:rPr>
          <w:spacing w:val="3"/>
        </w:rPr>
        <w:t xml:space="preserve"> </w:t>
      </w:r>
      <w:r>
        <w:rPr>
          <w:spacing w:val="-1"/>
        </w:rPr>
        <w:t>present</w:t>
      </w:r>
      <w:r>
        <w:rPr>
          <w:spacing w:val="4"/>
        </w:rPr>
        <w:t xml:space="preserve"> </w:t>
      </w:r>
      <w:r>
        <w:rPr>
          <w:spacing w:val="-1"/>
        </w:rPr>
        <w:t>and</w:t>
      </w:r>
      <w:r>
        <w:t xml:space="preserve"> future </w:t>
      </w:r>
      <w:r>
        <w:rPr>
          <w:spacing w:val="-1"/>
        </w:rPr>
        <w:t>facts</w:t>
      </w:r>
      <w:r>
        <w:rPr>
          <w:spacing w:val="43"/>
        </w:rPr>
        <w:t xml:space="preserve"> </w:t>
      </w:r>
      <w:r>
        <w:rPr>
          <w:spacing w:val="-1"/>
        </w:rPr>
        <w:t>and</w:t>
      </w:r>
      <w:r>
        <w:rPr>
          <w:spacing w:val="10"/>
        </w:rPr>
        <w:t xml:space="preserve"> </w:t>
      </w:r>
      <w:r>
        <w:t>to</w:t>
      </w:r>
      <w:r>
        <w:rPr>
          <w:spacing w:val="10"/>
        </w:rPr>
        <w:t xml:space="preserve"> </w:t>
      </w:r>
      <w:r>
        <w:rPr>
          <w:spacing w:val="-1"/>
        </w:rPr>
        <w:t>“</w:t>
      </w:r>
      <w:r>
        <w:rPr>
          <w:rFonts w:cs="Arial"/>
          <w:b/>
          <w:bCs/>
          <w:spacing w:val="-1"/>
        </w:rPr>
        <w:t>undertakings”</w:t>
      </w:r>
      <w:r>
        <w:rPr>
          <w:rFonts w:cs="Arial"/>
          <w:b/>
          <w:bCs/>
          <w:spacing w:val="10"/>
        </w:rPr>
        <w:t xml:space="preserve"> </w:t>
      </w:r>
      <w:r>
        <w:rPr>
          <w:spacing w:val="-2"/>
        </w:rPr>
        <w:t>as</w:t>
      </w:r>
      <w:r>
        <w:rPr>
          <w:spacing w:val="10"/>
        </w:rPr>
        <w:t xml:space="preserve"> </w:t>
      </w:r>
      <w:r>
        <w:rPr>
          <w:spacing w:val="-1"/>
        </w:rPr>
        <w:t>references</w:t>
      </w:r>
      <w:r>
        <w:rPr>
          <w:spacing w:val="10"/>
        </w:rPr>
        <w:t xml:space="preserve"> </w:t>
      </w:r>
      <w:r>
        <w:t>to</w:t>
      </w:r>
      <w:r>
        <w:rPr>
          <w:spacing w:val="10"/>
        </w:rPr>
        <w:t xml:space="preserve"> </w:t>
      </w:r>
      <w:r>
        <w:rPr>
          <w:spacing w:val="-2"/>
        </w:rPr>
        <w:t>obligations</w:t>
      </w:r>
      <w:r>
        <w:rPr>
          <w:spacing w:val="10"/>
        </w:rPr>
        <w:t xml:space="preserve"> </w:t>
      </w:r>
      <w:r>
        <w:rPr>
          <w:spacing w:val="-1"/>
        </w:rPr>
        <w:t>under</w:t>
      </w:r>
      <w:r>
        <w:rPr>
          <w:spacing w:val="11"/>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63"/>
        </w:rPr>
        <w:t xml:space="preserve"> </w:t>
      </w:r>
      <w:r>
        <w:rPr>
          <w:spacing w:val="-1"/>
        </w:rPr>
        <w:t>Contract;</w:t>
      </w:r>
    </w:p>
    <w:p w:rsidR="008918FA" w:rsidRDefault="008918FA" w:rsidP="008918FA">
      <w:pPr>
        <w:pStyle w:val="BodyText"/>
        <w:numPr>
          <w:ilvl w:val="3"/>
          <w:numId w:val="69"/>
        </w:numPr>
        <w:tabs>
          <w:tab w:val="left" w:pos="2227"/>
        </w:tabs>
        <w:spacing w:before="116"/>
        <w:ind w:right="112"/>
        <w:jc w:val="both"/>
      </w:pPr>
      <w:r>
        <w:rPr>
          <w:spacing w:val="-1"/>
        </w:rPr>
        <w:t>references</w:t>
      </w:r>
      <w:r>
        <w:rPr>
          <w:spacing w:val="45"/>
        </w:rPr>
        <w:t xml:space="preserve"> </w:t>
      </w:r>
      <w:r>
        <w:t>to</w:t>
      </w:r>
      <w:r>
        <w:rPr>
          <w:spacing w:val="47"/>
        </w:rPr>
        <w:t xml:space="preserve"> </w:t>
      </w:r>
      <w:r>
        <w:rPr>
          <w:spacing w:val="-1"/>
        </w:rPr>
        <w:t>“</w:t>
      </w:r>
      <w:r>
        <w:rPr>
          <w:rFonts w:cs="Arial"/>
          <w:b/>
          <w:bCs/>
          <w:spacing w:val="-1"/>
        </w:rPr>
        <w:t>Clauses</w:t>
      </w:r>
      <w:r>
        <w:rPr>
          <w:spacing w:val="-1"/>
        </w:rPr>
        <w:t>”</w:t>
      </w:r>
      <w:r>
        <w:rPr>
          <w:spacing w:val="48"/>
        </w:rPr>
        <w:t xml:space="preserve"> </w:t>
      </w:r>
      <w:r>
        <w:rPr>
          <w:spacing w:val="-1"/>
        </w:rPr>
        <w:t>and</w:t>
      </w:r>
      <w:r>
        <w:rPr>
          <w:spacing w:val="47"/>
        </w:rPr>
        <w:t xml:space="preserve"> </w:t>
      </w:r>
      <w:r>
        <w:rPr>
          <w:spacing w:val="-1"/>
        </w:rPr>
        <w:t>“</w:t>
      </w:r>
      <w:r>
        <w:rPr>
          <w:rFonts w:cs="Arial"/>
          <w:b/>
          <w:bCs/>
          <w:spacing w:val="-1"/>
        </w:rPr>
        <w:t>Call</w:t>
      </w:r>
      <w:r>
        <w:rPr>
          <w:rFonts w:cs="Arial"/>
          <w:b/>
          <w:bCs/>
          <w:spacing w:val="46"/>
        </w:rPr>
        <w:t xml:space="preserve"> </w:t>
      </w:r>
      <w:r>
        <w:rPr>
          <w:rFonts w:cs="Arial"/>
          <w:b/>
          <w:bCs/>
          <w:spacing w:val="-1"/>
        </w:rPr>
        <w:t>Off</w:t>
      </w:r>
      <w:r>
        <w:rPr>
          <w:rFonts w:cs="Arial"/>
          <w:b/>
          <w:bCs/>
          <w:spacing w:val="48"/>
        </w:rPr>
        <w:t xml:space="preserve"> </w:t>
      </w:r>
      <w:r>
        <w:rPr>
          <w:rFonts w:cs="Arial"/>
          <w:b/>
          <w:bCs/>
          <w:spacing w:val="-1"/>
        </w:rPr>
        <w:t>Schedules</w:t>
      </w:r>
      <w:r>
        <w:rPr>
          <w:spacing w:val="-1"/>
        </w:rPr>
        <w:t>”</w:t>
      </w:r>
      <w:r>
        <w:rPr>
          <w:spacing w:val="49"/>
        </w:rPr>
        <w:t xml:space="preserve"> </w:t>
      </w:r>
      <w:r>
        <w:rPr>
          <w:spacing w:val="-1"/>
        </w:rPr>
        <w:t>are,</w:t>
      </w:r>
      <w:r>
        <w:rPr>
          <w:spacing w:val="49"/>
        </w:rPr>
        <w:t xml:space="preserve"> </w:t>
      </w:r>
      <w:r>
        <w:rPr>
          <w:spacing w:val="-2"/>
        </w:rPr>
        <w:t>unless</w:t>
      </w:r>
      <w:r>
        <w:rPr>
          <w:spacing w:val="30"/>
        </w:rPr>
        <w:t xml:space="preserve"> </w:t>
      </w:r>
      <w:r>
        <w:rPr>
          <w:spacing w:val="-1"/>
        </w:rPr>
        <w:t>otherwise</w:t>
      </w:r>
      <w:r>
        <w:rPr>
          <w:spacing w:val="41"/>
        </w:rPr>
        <w:t xml:space="preserve"> </w:t>
      </w:r>
      <w:r>
        <w:rPr>
          <w:spacing w:val="-2"/>
        </w:rPr>
        <w:t>provided,</w:t>
      </w:r>
      <w:r>
        <w:rPr>
          <w:spacing w:val="42"/>
        </w:rPr>
        <w:t xml:space="preserve"> </w:t>
      </w:r>
      <w:r>
        <w:rPr>
          <w:spacing w:val="-1"/>
        </w:rPr>
        <w:t>references</w:t>
      </w:r>
      <w:r>
        <w:rPr>
          <w:spacing w:val="39"/>
        </w:rPr>
        <w:t xml:space="preserve"> </w:t>
      </w:r>
      <w:r>
        <w:t>to</w:t>
      </w:r>
      <w:r>
        <w:rPr>
          <w:spacing w:val="38"/>
        </w:rPr>
        <w:t xml:space="preserve"> </w:t>
      </w:r>
      <w:r>
        <w:t>the</w:t>
      </w:r>
      <w:r>
        <w:rPr>
          <w:spacing w:val="38"/>
        </w:rPr>
        <w:t xml:space="preserve"> </w:t>
      </w:r>
      <w:r>
        <w:rPr>
          <w:spacing w:val="-1"/>
        </w:rPr>
        <w:t>clauses</w:t>
      </w:r>
      <w:r>
        <w:rPr>
          <w:spacing w:val="41"/>
        </w:rPr>
        <w:t xml:space="preserve"> </w:t>
      </w:r>
      <w:r>
        <w:rPr>
          <w:spacing w:val="-2"/>
        </w:rPr>
        <w:t>and</w:t>
      </w:r>
      <w:r>
        <w:rPr>
          <w:spacing w:val="42"/>
        </w:rPr>
        <w:t xml:space="preserve"> </w:t>
      </w:r>
      <w:r>
        <w:rPr>
          <w:spacing w:val="-1"/>
        </w:rPr>
        <w:t>schedules</w:t>
      </w:r>
      <w:r>
        <w:rPr>
          <w:spacing w:val="41"/>
        </w:rPr>
        <w:t xml:space="preserve"> </w:t>
      </w:r>
      <w:r>
        <w:rPr>
          <w:spacing w:val="-2"/>
        </w:rPr>
        <w:t>of</w:t>
      </w:r>
      <w:r>
        <w:rPr>
          <w:spacing w:val="40"/>
        </w:rPr>
        <w:t xml:space="preserve"> </w:t>
      </w:r>
      <w:r>
        <w:rPr>
          <w:spacing w:val="-1"/>
        </w:rPr>
        <w:t>this</w:t>
      </w:r>
      <w:r>
        <w:rPr>
          <w:spacing w:val="43"/>
        </w:rPr>
        <w:t xml:space="preserve"> </w:t>
      </w:r>
      <w:r>
        <w:rPr>
          <w:spacing w:val="-2"/>
        </w:rPr>
        <w:t>Call</w:t>
      </w:r>
      <w:r>
        <w:rPr>
          <w:spacing w:val="43"/>
        </w:rPr>
        <w:t xml:space="preserve"> </w:t>
      </w:r>
      <w:r>
        <w:t>Off</w:t>
      </w:r>
      <w:r>
        <w:rPr>
          <w:spacing w:val="45"/>
        </w:rPr>
        <w:t xml:space="preserve"> </w:t>
      </w:r>
      <w:r>
        <w:rPr>
          <w:spacing w:val="-1"/>
        </w:rPr>
        <w:t>Contract</w:t>
      </w:r>
      <w:r>
        <w:rPr>
          <w:spacing w:val="45"/>
        </w:rPr>
        <w:t xml:space="preserve"> </w:t>
      </w:r>
      <w:r>
        <w:rPr>
          <w:spacing w:val="-1"/>
        </w:rPr>
        <w:t>and</w:t>
      </w:r>
      <w:r>
        <w:rPr>
          <w:spacing w:val="41"/>
        </w:rPr>
        <w:t xml:space="preserve"> </w:t>
      </w:r>
      <w:r>
        <w:rPr>
          <w:spacing w:val="-1"/>
        </w:rPr>
        <w:t>references</w:t>
      </w:r>
      <w:r>
        <w:rPr>
          <w:spacing w:val="44"/>
        </w:rPr>
        <w:t xml:space="preserve"> </w:t>
      </w:r>
      <w:r>
        <w:rPr>
          <w:spacing w:val="-1"/>
        </w:rPr>
        <w:t>in</w:t>
      </w:r>
      <w:r>
        <w:rPr>
          <w:spacing w:val="43"/>
        </w:rPr>
        <w:t xml:space="preserve"> </w:t>
      </w:r>
      <w:r>
        <w:rPr>
          <w:spacing w:val="-1"/>
        </w:rPr>
        <w:t>any</w:t>
      </w:r>
      <w:r>
        <w:rPr>
          <w:spacing w:val="42"/>
        </w:rPr>
        <w:t xml:space="preserve"> </w:t>
      </w:r>
      <w:r>
        <w:rPr>
          <w:spacing w:val="-2"/>
        </w:rPr>
        <w:t>Call</w:t>
      </w:r>
      <w:r>
        <w:rPr>
          <w:spacing w:val="45"/>
        </w:rPr>
        <w:t xml:space="preserve"> </w:t>
      </w:r>
      <w:r>
        <w:rPr>
          <w:spacing w:val="-1"/>
        </w:rPr>
        <w:t>Off</w:t>
      </w:r>
      <w:r>
        <w:rPr>
          <w:spacing w:val="45"/>
        </w:rPr>
        <w:t xml:space="preserve"> </w:t>
      </w:r>
      <w:r>
        <w:rPr>
          <w:spacing w:val="-1"/>
        </w:rPr>
        <w:t>Schedule</w:t>
      </w:r>
      <w:r>
        <w:rPr>
          <w:spacing w:val="43"/>
        </w:rPr>
        <w:t xml:space="preserve"> </w:t>
      </w:r>
      <w:r>
        <w:t>to</w:t>
      </w:r>
      <w:r>
        <w:rPr>
          <w:spacing w:val="43"/>
        </w:rPr>
        <w:t xml:space="preserve"> </w:t>
      </w:r>
      <w:r>
        <w:rPr>
          <w:spacing w:val="-1"/>
        </w:rPr>
        <w:t>parts,</w:t>
      </w:r>
      <w:r>
        <w:rPr>
          <w:spacing w:val="37"/>
        </w:rPr>
        <w:t xml:space="preserve"> </w:t>
      </w:r>
      <w:r>
        <w:rPr>
          <w:spacing w:val="-1"/>
        </w:rPr>
        <w:t>paragraphs,</w:t>
      </w:r>
      <w:r>
        <w:rPr>
          <w:spacing w:val="36"/>
        </w:rPr>
        <w:t xml:space="preserve"> </w:t>
      </w:r>
      <w:r>
        <w:rPr>
          <w:spacing w:val="-2"/>
        </w:rPr>
        <w:t>annexes</w:t>
      </w:r>
      <w:r>
        <w:rPr>
          <w:spacing w:val="35"/>
        </w:rPr>
        <w:t xml:space="preserve"> </w:t>
      </w:r>
      <w:r>
        <w:rPr>
          <w:spacing w:val="-2"/>
        </w:rPr>
        <w:t>and</w:t>
      </w:r>
      <w:r>
        <w:rPr>
          <w:spacing w:val="35"/>
        </w:rPr>
        <w:t xml:space="preserve"> </w:t>
      </w:r>
      <w:r>
        <w:rPr>
          <w:spacing w:val="-1"/>
        </w:rPr>
        <w:t>tables</w:t>
      </w:r>
      <w:r>
        <w:rPr>
          <w:spacing w:val="35"/>
        </w:rPr>
        <w:t xml:space="preserve"> </w:t>
      </w:r>
      <w:r>
        <w:rPr>
          <w:spacing w:val="-1"/>
        </w:rPr>
        <w:t>are,</w:t>
      </w:r>
      <w:r>
        <w:rPr>
          <w:spacing w:val="34"/>
        </w:rPr>
        <w:t xml:space="preserve"> </w:t>
      </w:r>
      <w:r>
        <w:rPr>
          <w:spacing w:val="-1"/>
        </w:rPr>
        <w:t>unless</w:t>
      </w:r>
      <w:r>
        <w:rPr>
          <w:spacing w:val="33"/>
        </w:rPr>
        <w:t xml:space="preserve"> </w:t>
      </w:r>
      <w:r>
        <w:rPr>
          <w:spacing w:val="-1"/>
        </w:rPr>
        <w:t>otherwise</w:t>
      </w:r>
      <w:r>
        <w:rPr>
          <w:spacing w:val="36"/>
        </w:rPr>
        <w:t xml:space="preserve"> </w:t>
      </w:r>
      <w:r>
        <w:rPr>
          <w:spacing w:val="-2"/>
        </w:rPr>
        <w:t>provided,</w:t>
      </w:r>
      <w:r>
        <w:rPr>
          <w:spacing w:val="38"/>
        </w:rPr>
        <w:t xml:space="preserve"> </w:t>
      </w:r>
      <w:r>
        <w:rPr>
          <w:spacing w:val="-1"/>
        </w:rPr>
        <w:t>references</w:t>
      </w:r>
      <w:r>
        <w:rPr>
          <w:spacing w:val="3"/>
        </w:rPr>
        <w:t xml:space="preserve"> </w:t>
      </w:r>
      <w:r>
        <w:t>to</w:t>
      </w:r>
      <w:r>
        <w:rPr>
          <w:spacing w:val="3"/>
        </w:rPr>
        <w:t xml:space="preserve"> </w:t>
      </w:r>
      <w:r>
        <w:t>the</w:t>
      </w:r>
      <w:r>
        <w:rPr>
          <w:spacing w:val="3"/>
        </w:rPr>
        <w:t xml:space="preserve"> </w:t>
      </w:r>
      <w:r>
        <w:rPr>
          <w:spacing w:val="-1"/>
        </w:rPr>
        <w:t>parts,</w:t>
      </w:r>
      <w:r>
        <w:rPr>
          <w:spacing w:val="4"/>
        </w:rPr>
        <w:t xml:space="preserve"> </w:t>
      </w:r>
      <w:r>
        <w:rPr>
          <w:spacing w:val="-1"/>
        </w:rPr>
        <w:t>paragraphs,</w:t>
      </w:r>
      <w:r>
        <w:rPr>
          <w:spacing w:val="4"/>
        </w:rPr>
        <w:t xml:space="preserve"> </w:t>
      </w:r>
      <w:r>
        <w:rPr>
          <w:spacing w:val="-2"/>
        </w:rPr>
        <w:t>annexes</w:t>
      </w:r>
      <w:r>
        <w:rPr>
          <w:spacing w:val="3"/>
        </w:rPr>
        <w:t xml:space="preserve"> </w:t>
      </w:r>
      <w:r>
        <w:t>and</w:t>
      </w:r>
      <w:r>
        <w:rPr>
          <w:spacing w:val="3"/>
        </w:rPr>
        <w:t xml:space="preserve"> </w:t>
      </w:r>
      <w:r>
        <w:rPr>
          <w:spacing w:val="-1"/>
        </w:rPr>
        <w:t>tables</w:t>
      </w:r>
      <w:r>
        <w:rPr>
          <w:spacing w:val="3"/>
        </w:rPr>
        <w:t xml:space="preserve"> </w:t>
      </w:r>
      <w:r>
        <w:rPr>
          <w:spacing w:val="-1"/>
        </w:rPr>
        <w:t>of</w:t>
      </w:r>
      <w:r>
        <w:rPr>
          <w:spacing w:val="6"/>
        </w:rPr>
        <w:t xml:space="preserve"> </w:t>
      </w:r>
      <w:r>
        <w:t>the</w:t>
      </w:r>
      <w:r>
        <w:rPr>
          <w:spacing w:val="3"/>
        </w:rPr>
        <w:t xml:space="preserve"> </w:t>
      </w:r>
      <w:r>
        <w:rPr>
          <w:spacing w:val="-2"/>
        </w:rPr>
        <w:t>Call</w:t>
      </w:r>
      <w:r>
        <w:t xml:space="preserve"> </w:t>
      </w:r>
      <w:r>
        <w:rPr>
          <w:spacing w:val="-1"/>
        </w:rPr>
        <w:t>Off</w:t>
      </w:r>
      <w:r>
        <w:rPr>
          <w:spacing w:val="45"/>
        </w:rPr>
        <w:t xml:space="preserve"> </w:t>
      </w:r>
      <w:r>
        <w:rPr>
          <w:spacing w:val="-1"/>
        </w:rPr>
        <w:t>Schedule</w:t>
      </w:r>
      <w:r>
        <w:t xml:space="preserve"> </w:t>
      </w:r>
      <w:r>
        <w:rPr>
          <w:spacing w:val="-1"/>
        </w:rPr>
        <w:t>in</w:t>
      </w:r>
      <w:r>
        <w:t xml:space="preserve"> </w:t>
      </w:r>
      <w:r>
        <w:rPr>
          <w:spacing w:val="-2"/>
        </w:rPr>
        <w:t>which</w:t>
      </w:r>
      <w:r>
        <w:rPr>
          <w:spacing w:val="1"/>
        </w:rPr>
        <w:t xml:space="preserve"> </w:t>
      </w:r>
      <w:r>
        <w:rPr>
          <w:spacing w:val="-1"/>
        </w:rPr>
        <w:t>these</w:t>
      </w:r>
      <w:r>
        <w:rPr>
          <w:spacing w:val="-2"/>
        </w:rPr>
        <w:t xml:space="preserve"> </w:t>
      </w:r>
      <w:r>
        <w:rPr>
          <w:spacing w:val="-1"/>
        </w:rPr>
        <w:t>references</w:t>
      </w:r>
      <w:r>
        <w:rPr>
          <w:spacing w:val="1"/>
        </w:rPr>
        <w:t xml:space="preserve"> </w:t>
      </w:r>
      <w:r>
        <w:rPr>
          <w:spacing w:val="-1"/>
        </w:rPr>
        <w:t>appear;</w:t>
      </w:r>
      <w:r>
        <w:t xml:space="preserve"> </w:t>
      </w:r>
      <w:r>
        <w:rPr>
          <w:spacing w:val="-1"/>
        </w:rPr>
        <w:t>and</w:t>
      </w:r>
    </w:p>
    <w:p w:rsidR="008918FA" w:rsidRDefault="008918FA" w:rsidP="008918FA">
      <w:pPr>
        <w:pStyle w:val="BodyText"/>
        <w:numPr>
          <w:ilvl w:val="3"/>
          <w:numId w:val="69"/>
        </w:numPr>
        <w:tabs>
          <w:tab w:val="left" w:pos="2227"/>
        </w:tabs>
        <w:spacing w:before="121"/>
        <w:ind w:right="117"/>
        <w:jc w:val="both"/>
      </w:pPr>
      <w:r>
        <w:t>the</w:t>
      </w:r>
      <w:r>
        <w:rPr>
          <w:spacing w:val="34"/>
        </w:rPr>
        <w:t xml:space="preserve"> </w:t>
      </w:r>
      <w:r>
        <w:rPr>
          <w:spacing w:val="-1"/>
        </w:rPr>
        <w:t>headings</w:t>
      </w:r>
      <w:r>
        <w:rPr>
          <w:spacing w:val="34"/>
        </w:rPr>
        <w:t xml:space="preserve"> </w:t>
      </w:r>
      <w:r>
        <w:rPr>
          <w:spacing w:val="-1"/>
        </w:rPr>
        <w:t>in</w:t>
      </w:r>
      <w:r>
        <w:rPr>
          <w:spacing w:val="31"/>
        </w:rPr>
        <w:t xml:space="preserve"> </w:t>
      </w:r>
      <w:r>
        <w:rPr>
          <w:spacing w:val="-1"/>
        </w:rPr>
        <w:t>this</w:t>
      </w:r>
      <w:r>
        <w:rPr>
          <w:spacing w:val="34"/>
        </w:rPr>
        <w:t xml:space="preserve"> </w:t>
      </w:r>
      <w:r>
        <w:rPr>
          <w:spacing w:val="-2"/>
        </w:rPr>
        <w:t>Call</w:t>
      </w:r>
      <w:r>
        <w:rPr>
          <w:spacing w:val="33"/>
        </w:rPr>
        <w:t xml:space="preserve"> </w:t>
      </w:r>
      <w:r>
        <w:rPr>
          <w:spacing w:val="-1"/>
        </w:rPr>
        <w:t>Off</w:t>
      </w:r>
      <w:r>
        <w:rPr>
          <w:spacing w:val="35"/>
        </w:rPr>
        <w:t xml:space="preserve"> </w:t>
      </w:r>
      <w:r>
        <w:rPr>
          <w:spacing w:val="-2"/>
        </w:rPr>
        <w:t>Contract</w:t>
      </w:r>
      <w:r>
        <w:rPr>
          <w:spacing w:val="36"/>
        </w:rPr>
        <w:t xml:space="preserve"> </w:t>
      </w:r>
      <w:r>
        <w:rPr>
          <w:spacing w:val="-1"/>
        </w:rPr>
        <w:t>are</w:t>
      </w:r>
      <w:r>
        <w:rPr>
          <w:spacing w:val="31"/>
        </w:rPr>
        <w:t xml:space="preserve"> </w:t>
      </w:r>
      <w:r>
        <w:t>for</w:t>
      </w:r>
      <w:r>
        <w:rPr>
          <w:spacing w:val="33"/>
        </w:rPr>
        <w:t xml:space="preserve"> </w:t>
      </w:r>
      <w:r>
        <w:rPr>
          <w:spacing w:val="-2"/>
        </w:rPr>
        <w:t>ease</w:t>
      </w:r>
      <w:r>
        <w:rPr>
          <w:spacing w:val="34"/>
        </w:rPr>
        <w:t xml:space="preserve"> </w:t>
      </w:r>
      <w:r>
        <w:rPr>
          <w:spacing w:val="-2"/>
        </w:rPr>
        <w:t>of</w:t>
      </w:r>
      <w:r>
        <w:rPr>
          <w:spacing w:val="35"/>
        </w:rPr>
        <w:t xml:space="preserve"> </w:t>
      </w:r>
      <w:r>
        <w:rPr>
          <w:spacing w:val="-1"/>
        </w:rPr>
        <w:t>reference</w:t>
      </w:r>
      <w:r>
        <w:rPr>
          <w:spacing w:val="32"/>
        </w:rPr>
        <w:t xml:space="preserve"> </w:t>
      </w:r>
      <w:r>
        <w:rPr>
          <w:spacing w:val="-1"/>
        </w:rPr>
        <w:t>only</w:t>
      </w:r>
      <w:r>
        <w:rPr>
          <w:spacing w:val="41"/>
        </w:rPr>
        <w:t xml:space="preserve"> </w:t>
      </w:r>
      <w:r>
        <w:rPr>
          <w:spacing w:val="-1"/>
        </w:rPr>
        <w:t>and</w:t>
      </w:r>
      <w:r>
        <w:rPr>
          <w:spacing w:val="36"/>
        </w:rPr>
        <w:t xml:space="preserve"> </w:t>
      </w:r>
      <w:r>
        <w:rPr>
          <w:spacing w:val="-1"/>
        </w:rPr>
        <w:t>shall</w:t>
      </w:r>
      <w:r>
        <w:rPr>
          <w:spacing w:val="36"/>
        </w:rPr>
        <w:t xml:space="preserve"> </w:t>
      </w:r>
      <w:r>
        <w:rPr>
          <w:spacing w:val="-1"/>
        </w:rPr>
        <w:t>not</w:t>
      </w:r>
      <w:r>
        <w:rPr>
          <w:spacing w:val="38"/>
        </w:rPr>
        <w:t xml:space="preserve"> </w:t>
      </w:r>
      <w:r>
        <w:rPr>
          <w:spacing w:val="-1"/>
        </w:rPr>
        <w:t>affect</w:t>
      </w:r>
      <w:r>
        <w:rPr>
          <w:spacing w:val="38"/>
        </w:rPr>
        <w:t xml:space="preserve"> </w:t>
      </w:r>
      <w:r>
        <w:t>the</w:t>
      </w:r>
      <w:r>
        <w:rPr>
          <w:spacing w:val="34"/>
        </w:rPr>
        <w:t xml:space="preserve"> </w:t>
      </w:r>
      <w:r>
        <w:rPr>
          <w:spacing w:val="-1"/>
        </w:rPr>
        <w:t>interpretation</w:t>
      </w:r>
      <w:r>
        <w:rPr>
          <w:spacing w:val="36"/>
        </w:rPr>
        <w:t xml:space="preserve"> </w:t>
      </w:r>
      <w:r>
        <w:rPr>
          <w:spacing w:val="-1"/>
        </w:rPr>
        <w:t>or</w:t>
      </w:r>
      <w:r>
        <w:rPr>
          <w:spacing w:val="39"/>
        </w:rPr>
        <w:t xml:space="preserve"> </w:t>
      </w:r>
      <w:r>
        <w:rPr>
          <w:spacing w:val="-1"/>
        </w:rPr>
        <w:t>construction</w:t>
      </w:r>
      <w:r>
        <w:rPr>
          <w:spacing w:val="36"/>
        </w:rPr>
        <w:t xml:space="preserve"> </w:t>
      </w:r>
      <w:r>
        <w:rPr>
          <w:spacing w:val="-2"/>
        </w:rPr>
        <w:t>of</w:t>
      </w:r>
      <w:r>
        <w:rPr>
          <w:spacing w:val="40"/>
        </w:rPr>
        <w:t xml:space="preserve"> </w:t>
      </w:r>
      <w:r>
        <w:rPr>
          <w:spacing w:val="-1"/>
        </w:rPr>
        <w:t>this</w:t>
      </w:r>
      <w:r>
        <w:rPr>
          <w:spacing w:val="37"/>
        </w:rPr>
        <w:t xml:space="preserve"> </w:t>
      </w:r>
      <w:r>
        <w:rPr>
          <w:spacing w:val="-2"/>
        </w:rPr>
        <w:t>Call</w:t>
      </w:r>
      <w:r>
        <w:rPr>
          <w:spacing w:val="36"/>
        </w:rPr>
        <w:t xml:space="preserve"> </w:t>
      </w:r>
      <w:r>
        <w:rPr>
          <w:spacing w:val="-1"/>
        </w:rPr>
        <w:t>Off</w:t>
      </w:r>
      <w:r>
        <w:rPr>
          <w:spacing w:val="49"/>
        </w:rPr>
        <w:t xml:space="preserve"> </w:t>
      </w:r>
      <w:r>
        <w:rPr>
          <w:spacing w:val="-1"/>
        </w:rPr>
        <w:t>Contract.</w:t>
      </w:r>
    </w:p>
    <w:p w:rsidR="008918FA" w:rsidRDefault="008918FA" w:rsidP="008918FA">
      <w:pPr>
        <w:jc w:val="both"/>
        <w:sectPr w:rsidR="008918FA">
          <w:pgSz w:w="11910" w:h="16840"/>
          <w:pgMar w:top="1480" w:right="1300" w:bottom="1180" w:left="1340" w:header="0" w:footer="987" w:gutter="0"/>
          <w:cols w:space="720"/>
        </w:sectPr>
      </w:pPr>
    </w:p>
    <w:p w:rsidR="008918FA" w:rsidRDefault="008918FA" w:rsidP="008918FA">
      <w:pPr>
        <w:pStyle w:val="BodyText"/>
        <w:numPr>
          <w:ilvl w:val="2"/>
          <w:numId w:val="69"/>
        </w:numPr>
        <w:tabs>
          <w:tab w:val="left" w:pos="1049"/>
        </w:tabs>
        <w:spacing w:before="59"/>
        <w:ind w:left="1048" w:right="112"/>
        <w:jc w:val="both"/>
      </w:pPr>
      <w:bookmarkStart w:id="39" w:name="3._REPRESENTATIONS_AND_WARRANTIES"/>
      <w:bookmarkEnd w:id="39"/>
      <w:r>
        <w:rPr>
          <w:spacing w:val="-1"/>
        </w:rPr>
        <w:lastRenderedPageBreak/>
        <w:t>Subject</w:t>
      </w:r>
      <w:r>
        <w:rPr>
          <w:spacing w:val="33"/>
        </w:rPr>
        <w:t xml:space="preserve"> </w:t>
      </w:r>
      <w:r>
        <w:t>to</w:t>
      </w:r>
      <w:r>
        <w:rPr>
          <w:spacing w:val="34"/>
        </w:rPr>
        <w:t xml:space="preserve"> </w:t>
      </w:r>
      <w:r>
        <w:rPr>
          <w:spacing w:val="-1"/>
        </w:rPr>
        <w:t>Clauses</w:t>
      </w:r>
      <w:r>
        <w:rPr>
          <w:spacing w:val="34"/>
        </w:rPr>
        <w:t xml:space="preserve"> </w:t>
      </w:r>
      <w:hyperlink w:anchor="_bookmark45" w:history="1">
        <w:r>
          <w:rPr>
            <w:spacing w:val="-1"/>
          </w:rPr>
          <w:t>1.4.4</w:t>
        </w:r>
      </w:hyperlink>
      <w:r>
        <w:rPr>
          <w:spacing w:val="34"/>
        </w:rPr>
        <w:t xml:space="preserve"> </w:t>
      </w:r>
      <w:r>
        <w:rPr>
          <w:spacing w:val="-1"/>
        </w:rPr>
        <w:t>and</w:t>
      </w:r>
      <w:r>
        <w:rPr>
          <w:spacing w:val="34"/>
        </w:rPr>
        <w:t xml:space="preserve"> </w:t>
      </w:r>
      <w:hyperlink w:anchor="_bookmark46" w:history="1">
        <w:r>
          <w:t>1.6</w:t>
        </w:r>
      </w:hyperlink>
      <w:r>
        <w:rPr>
          <w:spacing w:val="34"/>
        </w:rPr>
        <w:t xml:space="preserve"> </w:t>
      </w:r>
      <w:r>
        <w:rPr>
          <w:spacing w:val="-1"/>
        </w:rPr>
        <w:t>(Definitions</w:t>
      </w:r>
      <w:r>
        <w:rPr>
          <w:spacing w:val="35"/>
        </w:rPr>
        <w:t xml:space="preserve"> </w:t>
      </w:r>
      <w:r>
        <w:rPr>
          <w:spacing w:val="-2"/>
        </w:rPr>
        <w:t>and</w:t>
      </w:r>
      <w:r>
        <w:rPr>
          <w:spacing w:val="34"/>
        </w:rPr>
        <w:t xml:space="preserve"> </w:t>
      </w:r>
      <w:r>
        <w:rPr>
          <w:spacing w:val="-1"/>
        </w:rPr>
        <w:t>Interpretation),</w:t>
      </w:r>
      <w:r>
        <w:rPr>
          <w:spacing w:val="35"/>
        </w:rPr>
        <w:t xml:space="preserve"> </w:t>
      </w:r>
      <w:r>
        <w:rPr>
          <w:spacing w:val="-1"/>
        </w:rPr>
        <w:t>in</w:t>
      </w:r>
      <w:r>
        <w:rPr>
          <w:spacing w:val="34"/>
        </w:rPr>
        <w:t xml:space="preserve"> </w:t>
      </w:r>
      <w:r>
        <w:t>the</w:t>
      </w:r>
      <w:r>
        <w:rPr>
          <w:spacing w:val="31"/>
        </w:rPr>
        <w:t xml:space="preserve"> </w:t>
      </w:r>
      <w:r>
        <w:rPr>
          <w:spacing w:val="-2"/>
        </w:rPr>
        <w:t>event</w:t>
      </w:r>
      <w:r>
        <w:rPr>
          <w:spacing w:val="35"/>
        </w:rPr>
        <w:t xml:space="preserve"> </w:t>
      </w:r>
      <w:r>
        <w:rPr>
          <w:spacing w:val="-2"/>
        </w:rPr>
        <w:t>of</w:t>
      </w:r>
      <w:r>
        <w:rPr>
          <w:spacing w:val="41"/>
        </w:rPr>
        <w:t xml:space="preserve"> </w:t>
      </w:r>
      <w:r>
        <w:rPr>
          <w:spacing w:val="-1"/>
        </w:rPr>
        <w:t>and</w:t>
      </w:r>
      <w:r>
        <w:rPr>
          <w:spacing w:val="15"/>
        </w:rPr>
        <w:t xml:space="preserve"> </w:t>
      </w:r>
      <w:r>
        <w:rPr>
          <w:spacing w:val="-1"/>
        </w:rPr>
        <w:t>only</w:t>
      </w:r>
      <w:r>
        <w:rPr>
          <w:spacing w:val="15"/>
        </w:rPr>
        <w:t xml:space="preserve"> </w:t>
      </w:r>
      <w:r>
        <w:t>to</w:t>
      </w:r>
      <w:r>
        <w:rPr>
          <w:spacing w:val="15"/>
        </w:rPr>
        <w:t xml:space="preserve"> </w:t>
      </w:r>
      <w:r>
        <w:t>the</w:t>
      </w:r>
      <w:r>
        <w:rPr>
          <w:spacing w:val="15"/>
        </w:rPr>
        <w:t xml:space="preserve"> </w:t>
      </w:r>
      <w:r>
        <w:rPr>
          <w:spacing w:val="-1"/>
        </w:rPr>
        <w:t>extent</w:t>
      </w:r>
      <w:r>
        <w:rPr>
          <w:spacing w:val="16"/>
        </w:rPr>
        <w:t xml:space="preserve"> </w:t>
      </w:r>
      <w:r>
        <w:rPr>
          <w:spacing w:val="-1"/>
        </w:rPr>
        <w:t>of</w:t>
      </w:r>
      <w:r>
        <w:rPr>
          <w:spacing w:val="16"/>
        </w:rPr>
        <w:t xml:space="preserve"> </w:t>
      </w:r>
      <w:r>
        <w:rPr>
          <w:spacing w:val="-1"/>
        </w:rPr>
        <w:t>any</w:t>
      </w:r>
      <w:r>
        <w:rPr>
          <w:spacing w:val="13"/>
        </w:rPr>
        <w:t xml:space="preserve"> </w:t>
      </w:r>
      <w:r>
        <w:rPr>
          <w:spacing w:val="-1"/>
        </w:rPr>
        <w:t>conflict</w:t>
      </w:r>
      <w:r>
        <w:rPr>
          <w:spacing w:val="17"/>
        </w:rPr>
        <w:t xml:space="preserve"> </w:t>
      </w:r>
      <w:r>
        <w:rPr>
          <w:spacing w:val="-1"/>
        </w:rPr>
        <w:t>between</w:t>
      </w:r>
      <w:r>
        <w:rPr>
          <w:spacing w:val="15"/>
        </w:rPr>
        <w:t xml:space="preserve"> </w:t>
      </w:r>
      <w:r>
        <w:rPr>
          <w:spacing w:val="1"/>
        </w:rPr>
        <w:t>the</w:t>
      </w:r>
      <w:r>
        <w:rPr>
          <w:spacing w:val="15"/>
        </w:rPr>
        <w:t xml:space="preserve"> </w:t>
      </w:r>
      <w:r>
        <w:t>Order</w:t>
      </w:r>
      <w:r>
        <w:rPr>
          <w:spacing w:val="16"/>
        </w:rPr>
        <w:t xml:space="preserve"> </w:t>
      </w:r>
      <w:r>
        <w:rPr>
          <w:spacing w:val="-2"/>
        </w:rPr>
        <w:t>Form,</w:t>
      </w:r>
      <w:r>
        <w:rPr>
          <w:spacing w:val="16"/>
        </w:rPr>
        <w:t xml:space="preserve"> </w:t>
      </w:r>
      <w:r>
        <w:t>the</w:t>
      </w:r>
      <w:r>
        <w:rPr>
          <w:spacing w:val="15"/>
        </w:rPr>
        <w:t xml:space="preserve"> </w:t>
      </w:r>
      <w:r>
        <w:rPr>
          <w:spacing w:val="-2"/>
        </w:rPr>
        <w:t>Call</w:t>
      </w:r>
      <w:r>
        <w:rPr>
          <w:spacing w:val="17"/>
        </w:rPr>
        <w:t xml:space="preserve"> </w:t>
      </w:r>
      <w:r>
        <w:rPr>
          <w:spacing w:val="-1"/>
        </w:rPr>
        <w:t>Off</w:t>
      </w:r>
      <w:r>
        <w:rPr>
          <w:spacing w:val="16"/>
        </w:rPr>
        <w:t xml:space="preserve"> </w:t>
      </w:r>
      <w:r>
        <w:rPr>
          <w:spacing w:val="-1"/>
        </w:rPr>
        <w:t>Terms</w:t>
      </w:r>
      <w:r>
        <w:rPr>
          <w:spacing w:val="39"/>
        </w:rPr>
        <w:t xml:space="preserve"> </w:t>
      </w:r>
      <w:r>
        <w:rPr>
          <w:spacing w:val="-1"/>
        </w:rPr>
        <w:t>and</w:t>
      </w:r>
      <w:r>
        <w:rPr>
          <w:spacing w:val="24"/>
        </w:rPr>
        <w:t xml:space="preserve"> </w:t>
      </w:r>
      <w:r>
        <w:t>the</w:t>
      </w:r>
      <w:r>
        <w:rPr>
          <w:spacing w:val="24"/>
        </w:rPr>
        <w:t xml:space="preserve"> </w:t>
      </w:r>
      <w:r>
        <w:rPr>
          <w:spacing w:val="-2"/>
        </w:rPr>
        <w:t>provisions</w:t>
      </w:r>
      <w:r>
        <w:rPr>
          <w:spacing w:val="25"/>
        </w:rPr>
        <w:t xml:space="preserve"> </w:t>
      </w:r>
      <w:r>
        <w:rPr>
          <w:spacing w:val="-1"/>
        </w:rPr>
        <w:t>of</w:t>
      </w:r>
      <w:r>
        <w:rPr>
          <w:spacing w:val="28"/>
        </w:rPr>
        <w:t xml:space="preserve"> </w:t>
      </w:r>
      <w:r>
        <w:rPr>
          <w:spacing w:val="-1"/>
        </w:rPr>
        <w:t>the</w:t>
      </w:r>
      <w:r>
        <w:rPr>
          <w:spacing w:val="24"/>
        </w:rPr>
        <w:t xml:space="preserve"> </w:t>
      </w:r>
      <w:r>
        <w:rPr>
          <w:spacing w:val="-1"/>
        </w:rPr>
        <w:t>Framework</w:t>
      </w:r>
      <w:r>
        <w:rPr>
          <w:spacing w:val="27"/>
        </w:rPr>
        <w:t xml:space="preserve"> </w:t>
      </w:r>
      <w:r>
        <w:rPr>
          <w:spacing w:val="-1"/>
        </w:rPr>
        <w:t>Agreement,</w:t>
      </w:r>
      <w:r>
        <w:rPr>
          <w:spacing w:val="26"/>
        </w:rPr>
        <w:t xml:space="preserve"> </w:t>
      </w:r>
      <w:r>
        <w:t>the</w:t>
      </w:r>
      <w:r>
        <w:rPr>
          <w:spacing w:val="24"/>
        </w:rPr>
        <w:t xml:space="preserve"> </w:t>
      </w:r>
      <w:r>
        <w:rPr>
          <w:spacing w:val="-1"/>
        </w:rPr>
        <w:t>conflict</w:t>
      </w:r>
      <w:r>
        <w:rPr>
          <w:spacing w:val="26"/>
        </w:rPr>
        <w:t xml:space="preserve"> </w:t>
      </w:r>
      <w:r>
        <w:rPr>
          <w:spacing w:val="-1"/>
        </w:rPr>
        <w:t>shall</w:t>
      </w:r>
      <w:r>
        <w:rPr>
          <w:spacing w:val="24"/>
        </w:rPr>
        <w:t xml:space="preserve"> </w:t>
      </w:r>
      <w:r>
        <w:rPr>
          <w:spacing w:val="-1"/>
        </w:rPr>
        <w:t>be</w:t>
      </w:r>
      <w:r>
        <w:rPr>
          <w:spacing w:val="24"/>
        </w:rPr>
        <w:t xml:space="preserve"> </w:t>
      </w:r>
      <w:r>
        <w:rPr>
          <w:spacing w:val="-1"/>
        </w:rPr>
        <w:t>resolved</w:t>
      </w:r>
      <w:r>
        <w:rPr>
          <w:spacing w:val="27"/>
        </w:rPr>
        <w:t xml:space="preserve"> </w:t>
      </w:r>
      <w:r>
        <w:rPr>
          <w:spacing w:val="-1"/>
        </w:rPr>
        <w:t>in</w:t>
      </w:r>
      <w:r>
        <w:rPr>
          <w:spacing w:val="31"/>
        </w:rPr>
        <w:t xml:space="preserve"> </w:t>
      </w:r>
      <w:r>
        <w:rPr>
          <w:spacing w:val="-1"/>
        </w:rPr>
        <w:t>accordance</w:t>
      </w:r>
      <w:r>
        <w:rPr>
          <w:spacing w:val="-2"/>
        </w:rPr>
        <w:t xml:space="preserve"> with</w:t>
      </w:r>
      <w:r>
        <w:t xml:space="preserve"> the</w:t>
      </w:r>
      <w:r>
        <w:rPr>
          <w:spacing w:val="-2"/>
        </w:rPr>
        <w:t xml:space="preserve"> following</w:t>
      </w:r>
      <w:r>
        <w:rPr>
          <w:spacing w:val="3"/>
        </w:rPr>
        <w:t xml:space="preserve"> </w:t>
      </w:r>
      <w:r>
        <w:rPr>
          <w:spacing w:val="-1"/>
        </w:rPr>
        <w:t xml:space="preserve">order </w:t>
      </w:r>
      <w:r>
        <w:rPr>
          <w:spacing w:val="-2"/>
        </w:rPr>
        <w:t>of</w:t>
      </w:r>
      <w:r>
        <w:rPr>
          <w:spacing w:val="2"/>
        </w:rPr>
        <w:t xml:space="preserve"> </w:t>
      </w:r>
      <w:r>
        <w:rPr>
          <w:spacing w:val="-1"/>
        </w:rPr>
        <w:t>precedence:</w:t>
      </w:r>
    </w:p>
    <w:p w:rsidR="008918FA" w:rsidRDefault="008918FA" w:rsidP="008918FA">
      <w:pPr>
        <w:pStyle w:val="BodyText"/>
        <w:numPr>
          <w:ilvl w:val="3"/>
          <w:numId w:val="69"/>
        </w:numPr>
        <w:tabs>
          <w:tab w:val="left" w:pos="2247"/>
        </w:tabs>
        <w:spacing w:before="121"/>
        <w:ind w:left="2246"/>
      </w:pPr>
      <w:r>
        <w:t xml:space="preserve">the </w:t>
      </w:r>
      <w:r>
        <w:rPr>
          <w:spacing w:val="-2"/>
        </w:rPr>
        <w:t>Framework</w:t>
      </w:r>
      <w:r>
        <w:rPr>
          <w:spacing w:val="3"/>
        </w:rPr>
        <w:t xml:space="preserve"> </w:t>
      </w:r>
      <w:r>
        <w:rPr>
          <w:spacing w:val="-1"/>
        </w:rPr>
        <w:t>Agreement,</w:t>
      </w:r>
      <w:r>
        <w:t xml:space="preserve"> </w:t>
      </w:r>
      <w:r>
        <w:rPr>
          <w:spacing w:val="-1"/>
        </w:rPr>
        <w:t>except</w:t>
      </w:r>
      <w:r>
        <w:rPr>
          <w:spacing w:val="2"/>
        </w:rPr>
        <w:t xml:space="preserve"> </w:t>
      </w:r>
      <w:r>
        <w:rPr>
          <w:spacing w:val="-2"/>
        </w:rPr>
        <w:t>Framework</w:t>
      </w:r>
      <w:r>
        <w:rPr>
          <w:spacing w:val="3"/>
        </w:rPr>
        <w:t xml:space="preserve"> </w:t>
      </w:r>
      <w:r>
        <w:rPr>
          <w:spacing w:val="-2"/>
        </w:rPr>
        <w:t>Schedule</w:t>
      </w:r>
      <w:r>
        <w:t xml:space="preserve"> </w:t>
      </w:r>
      <w:r>
        <w:rPr>
          <w:spacing w:val="-1"/>
        </w:rPr>
        <w:t>20</w:t>
      </w:r>
      <w:r>
        <w:rPr>
          <w:spacing w:val="1"/>
        </w:rPr>
        <w:t xml:space="preserve"> </w:t>
      </w:r>
      <w:r>
        <w:rPr>
          <w:spacing w:val="-1"/>
        </w:rPr>
        <w:t>(Tender);</w:t>
      </w:r>
    </w:p>
    <w:p w:rsidR="008918FA" w:rsidRDefault="008918FA" w:rsidP="008918FA">
      <w:pPr>
        <w:pStyle w:val="BodyText"/>
        <w:numPr>
          <w:ilvl w:val="3"/>
          <w:numId w:val="69"/>
        </w:numPr>
        <w:tabs>
          <w:tab w:val="left" w:pos="2247"/>
        </w:tabs>
        <w:ind w:left="2246"/>
      </w:pPr>
      <w:r>
        <w:t>the</w:t>
      </w:r>
      <w:r>
        <w:rPr>
          <w:spacing w:val="-2"/>
        </w:rPr>
        <w:t xml:space="preserve"> </w:t>
      </w:r>
      <w:r>
        <w:rPr>
          <w:spacing w:val="-1"/>
        </w:rPr>
        <w:t>Order</w:t>
      </w:r>
      <w:r>
        <w:rPr>
          <w:spacing w:val="2"/>
        </w:rPr>
        <w:t xml:space="preserve"> </w:t>
      </w:r>
      <w:r>
        <w:rPr>
          <w:spacing w:val="-2"/>
        </w:rPr>
        <w:t>Form;</w:t>
      </w:r>
    </w:p>
    <w:p w:rsidR="008918FA" w:rsidRDefault="008918FA" w:rsidP="008918FA">
      <w:pPr>
        <w:pStyle w:val="BodyText"/>
        <w:numPr>
          <w:ilvl w:val="3"/>
          <w:numId w:val="69"/>
        </w:numPr>
        <w:tabs>
          <w:tab w:val="left" w:pos="2247"/>
        </w:tabs>
        <w:ind w:left="2246"/>
      </w:pPr>
      <w:r>
        <w:t xml:space="preserve">the </w:t>
      </w:r>
      <w:r>
        <w:rPr>
          <w:spacing w:val="-2"/>
        </w:rPr>
        <w:t>Call</w:t>
      </w:r>
      <w:r>
        <w:t xml:space="preserve"> </w:t>
      </w:r>
      <w:r>
        <w:rPr>
          <w:spacing w:val="-1"/>
        </w:rPr>
        <w:t>Off</w:t>
      </w:r>
      <w:r>
        <w:t xml:space="preserve"> </w:t>
      </w:r>
      <w:r>
        <w:rPr>
          <w:spacing w:val="-2"/>
        </w:rPr>
        <w:t>Terms;</w:t>
      </w:r>
    </w:p>
    <w:p w:rsidR="008918FA" w:rsidRDefault="008918FA" w:rsidP="008918FA">
      <w:pPr>
        <w:pStyle w:val="BodyText"/>
        <w:numPr>
          <w:ilvl w:val="3"/>
          <w:numId w:val="69"/>
        </w:numPr>
        <w:tabs>
          <w:tab w:val="left" w:pos="2247"/>
        </w:tabs>
        <w:spacing w:before="121"/>
        <w:ind w:left="2246"/>
      </w:pPr>
      <w:r>
        <w:rPr>
          <w:spacing w:val="-2"/>
        </w:rPr>
        <w:t>Framework</w:t>
      </w:r>
      <w:r>
        <w:rPr>
          <w:spacing w:val="3"/>
        </w:rPr>
        <w:t xml:space="preserve"> </w:t>
      </w:r>
      <w:r>
        <w:rPr>
          <w:spacing w:val="-1"/>
        </w:rPr>
        <w:t>Schedule</w:t>
      </w:r>
      <w:r>
        <w:t xml:space="preserve"> </w:t>
      </w:r>
      <w:r>
        <w:rPr>
          <w:spacing w:val="-1"/>
        </w:rPr>
        <w:t>20</w:t>
      </w:r>
      <w:r>
        <w:rPr>
          <w:spacing w:val="-4"/>
        </w:rPr>
        <w:t xml:space="preserve"> </w:t>
      </w:r>
      <w:r>
        <w:rPr>
          <w:spacing w:val="-1"/>
        </w:rPr>
        <w:t>(Tender)</w:t>
      </w:r>
      <w:bookmarkStart w:id="40" w:name="_bookmark45"/>
      <w:bookmarkEnd w:id="40"/>
      <w:r>
        <w:rPr>
          <w:spacing w:val="-1"/>
        </w:rPr>
        <w:t>.</w:t>
      </w:r>
    </w:p>
    <w:p w:rsidR="008918FA" w:rsidRDefault="008918FA" w:rsidP="008918FA">
      <w:pPr>
        <w:pStyle w:val="BodyText"/>
        <w:numPr>
          <w:ilvl w:val="2"/>
          <w:numId w:val="69"/>
        </w:numPr>
        <w:tabs>
          <w:tab w:val="left" w:pos="1049"/>
        </w:tabs>
        <w:ind w:left="1048" w:right="112"/>
        <w:jc w:val="both"/>
      </w:pPr>
      <w:r>
        <w:rPr>
          <w:spacing w:val="-1"/>
        </w:rPr>
        <w:t>Any</w:t>
      </w:r>
      <w:r>
        <w:rPr>
          <w:spacing w:val="22"/>
        </w:rPr>
        <w:t xml:space="preserve"> </w:t>
      </w:r>
      <w:r>
        <w:rPr>
          <w:spacing w:val="-1"/>
        </w:rPr>
        <w:t>permitted</w:t>
      </w:r>
      <w:r>
        <w:rPr>
          <w:spacing w:val="24"/>
        </w:rPr>
        <w:t xml:space="preserve"> </w:t>
      </w:r>
      <w:r>
        <w:rPr>
          <w:spacing w:val="-1"/>
        </w:rPr>
        <w:t>changes</w:t>
      </w:r>
      <w:r>
        <w:rPr>
          <w:spacing w:val="22"/>
        </w:rPr>
        <w:t xml:space="preserve"> </w:t>
      </w:r>
      <w:r>
        <w:rPr>
          <w:spacing w:val="-1"/>
        </w:rPr>
        <w:t>by</w:t>
      </w:r>
      <w:r>
        <w:rPr>
          <w:spacing w:val="22"/>
        </w:rPr>
        <w:t xml:space="preserve"> </w:t>
      </w:r>
      <w:r>
        <w:t>the</w:t>
      </w:r>
      <w:r>
        <w:rPr>
          <w:spacing w:val="24"/>
        </w:rPr>
        <w:t xml:space="preserve"> </w:t>
      </w:r>
      <w:r>
        <w:rPr>
          <w:spacing w:val="-1"/>
        </w:rPr>
        <w:t>Customer</w:t>
      </w:r>
      <w:r>
        <w:rPr>
          <w:spacing w:val="26"/>
        </w:rPr>
        <w:t xml:space="preserve"> </w:t>
      </w:r>
      <w:r>
        <w:rPr>
          <w:spacing w:val="-1"/>
        </w:rPr>
        <w:t>to</w:t>
      </w:r>
      <w:r>
        <w:rPr>
          <w:spacing w:val="24"/>
        </w:rPr>
        <w:t xml:space="preserve"> </w:t>
      </w:r>
      <w:r>
        <w:t>the</w:t>
      </w:r>
      <w:r>
        <w:rPr>
          <w:spacing w:val="22"/>
        </w:rPr>
        <w:t xml:space="preserve"> </w:t>
      </w:r>
      <w:r>
        <w:rPr>
          <w:spacing w:val="-1"/>
        </w:rPr>
        <w:t>Template</w:t>
      </w:r>
      <w:r>
        <w:rPr>
          <w:spacing w:val="24"/>
        </w:rPr>
        <w:t xml:space="preserve"> </w:t>
      </w:r>
      <w:r>
        <w:rPr>
          <w:spacing w:val="-2"/>
        </w:rPr>
        <w:t>Call</w:t>
      </w:r>
      <w:r>
        <w:rPr>
          <w:spacing w:val="24"/>
        </w:rPr>
        <w:t xml:space="preserve"> </w:t>
      </w:r>
      <w:r>
        <w:rPr>
          <w:spacing w:val="-1"/>
        </w:rPr>
        <w:t>Off</w:t>
      </w:r>
      <w:r>
        <w:rPr>
          <w:spacing w:val="26"/>
        </w:rPr>
        <w:t xml:space="preserve"> </w:t>
      </w:r>
      <w:r>
        <w:rPr>
          <w:spacing w:val="-1"/>
        </w:rPr>
        <w:t>Terms</w:t>
      </w:r>
      <w:r>
        <w:rPr>
          <w:spacing w:val="25"/>
        </w:rPr>
        <w:t xml:space="preserve"> </w:t>
      </w:r>
      <w:r>
        <w:rPr>
          <w:spacing w:val="-1"/>
        </w:rPr>
        <w:t>and</w:t>
      </w:r>
      <w:r>
        <w:rPr>
          <w:spacing w:val="24"/>
        </w:rPr>
        <w:t xml:space="preserve"> </w:t>
      </w:r>
      <w:r>
        <w:rPr>
          <w:spacing w:val="-1"/>
        </w:rPr>
        <w:t>the</w:t>
      </w:r>
      <w:r>
        <w:rPr>
          <w:spacing w:val="54"/>
        </w:rPr>
        <w:t xml:space="preserve"> </w:t>
      </w:r>
      <w:r>
        <w:rPr>
          <w:spacing w:val="-1"/>
        </w:rPr>
        <w:t>Template</w:t>
      </w:r>
      <w:r>
        <w:rPr>
          <w:spacing w:val="41"/>
        </w:rPr>
        <w:t xml:space="preserve"> </w:t>
      </w:r>
      <w:r>
        <w:rPr>
          <w:spacing w:val="-2"/>
        </w:rPr>
        <w:t>Call</w:t>
      </w:r>
      <w:r>
        <w:rPr>
          <w:spacing w:val="40"/>
        </w:rPr>
        <w:t xml:space="preserve"> </w:t>
      </w:r>
      <w:r>
        <w:rPr>
          <w:spacing w:val="-2"/>
        </w:rPr>
        <w:t>Off</w:t>
      </w:r>
      <w:r>
        <w:rPr>
          <w:spacing w:val="42"/>
        </w:rPr>
        <w:t xml:space="preserve"> </w:t>
      </w:r>
      <w:r>
        <w:rPr>
          <w:spacing w:val="-1"/>
        </w:rPr>
        <w:t>Form</w:t>
      </w:r>
      <w:r>
        <w:rPr>
          <w:spacing w:val="40"/>
        </w:rPr>
        <w:t xml:space="preserve"> </w:t>
      </w:r>
      <w:r>
        <w:rPr>
          <w:spacing w:val="-1"/>
        </w:rPr>
        <w:t>under</w:t>
      </w:r>
      <w:r>
        <w:rPr>
          <w:spacing w:val="42"/>
        </w:rPr>
        <w:t xml:space="preserve"> </w:t>
      </w:r>
      <w:r>
        <w:rPr>
          <w:spacing w:val="-2"/>
        </w:rPr>
        <w:t>Clause</w:t>
      </w:r>
      <w:r>
        <w:rPr>
          <w:spacing w:val="41"/>
        </w:rPr>
        <w:t xml:space="preserve"> </w:t>
      </w:r>
      <w:r>
        <w:t>4</w:t>
      </w:r>
      <w:r>
        <w:rPr>
          <w:spacing w:val="41"/>
        </w:rPr>
        <w:t xml:space="preserve"> </w:t>
      </w:r>
      <w:r>
        <w:rPr>
          <w:spacing w:val="-1"/>
        </w:rPr>
        <w:t>(Call</w:t>
      </w:r>
      <w:r>
        <w:rPr>
          <w:spacing w:val="38"/>
        </w:rPr>
        <w:t xml:space="preserve"> </w:t>
      </w:r>
      <w:r>
        <w:rPr>
          <w:spacing w:val="-1"/>
        </w:rPr>
        <w:t>Off</w:t>
      </w:r>
      <w:r>
        <w:rPr>
          <w:spacing w:val="42"/>
        </w:rPr>
        <w:t xml:space="preserve"> </w:t>
      </w:r>
      <w:r>
        <w:rPr>
          <w:spacing w:val="-2"/>
        </w:rPr>
        <w:t>Procedure)</w:t>
      </w:r>
      <w:r>
        <w:rPr>
          <w:spacing w:val="43"/>
        </w:rPr>
        <w:t xml:space="preserve"> </w:t>
      </w:r>
      <w:r>
        <w:rPr>
          <w:spacing w:val="-2"/>
        </w:rPr>
        <w:t>of</w:t>
      </w:r>
      <w:r>
        <w:rPr>
          <w:spacing w:val="40"/>
        </w:rPr>
        <w:t xml:space="preserve"> </w:t>
      </w:r>
      <w:r>
        <w:t>the</w:t>
      </w:r>
      <w:r>
        <w:rPr>
          <w:spacing w:val="41"/>
        </w:rPr>
        <w:t xml:space="preserve"> </w:t>
      </w:r>
      <w:r>
        <w:rPr>
          <w:spacing w:val="-2"/>
        </w:rPr>
        <w:t>Framework</w:t>
      </w:r>
      <w:r>
        <w:rPr>
          <w:spacing w:val="67"/>
        </w:rPr>
        <w:t xml:space="preserve"> </w:t>
      </w:r>
      <w:r>
        <w:rPr>
          <w:spacing w:val="-1"/>
        </w:rPr>
        <w:t>Agreement</w:t>
      </w:r>
      <w:r>
        <w:rPr>
          <w:spacing w:val="36"/>
        </w:rPr>
        <w:t xml:space="preserve"> </w:t>
      </w:r>
      <w:r>
        <w:rPr>
          <w:spacing w:val="-1"/>
        </w:rPr>
        <w:t>and</w:t>
      </w:r>
      <w:r>
        <w:rPr>
          <w:spacing w:val="35"/>
        </w:rPr>
        <w:t xml:space="preserve"> </w:t>
      </w:r>
      <w:r>
        <w:rPr>
          <w:spacing w:val="-2"/>
        </w:rPr>
        <w:t>Framework</w:t>
      </w:r>
      <w:r>
        <w:rPr>
          <w:spacing w:val="38"/>
        </w:rPr>
        <w:t xml:space="preserve"> </w:t>
      </w:r>
      <w:r>
        <w:rPr>
          <w:spacing w:val="-1"/>
        </w:rPr>
        <w:t>Schedule</w:t>
      </w:r>
      <w:r>
        <w:rPr>
          <w:spacing w:val="35"/>
        </w:rPr>
        <w:t xml:space="preserve"> </w:t>
      </w:r>
      <w:r>
        <w:t>5</w:t>
      </w:r>
      <w:r>
        <w:rPr>
          <w:spacing w:val="35"/>
        </w:rPr>
        <w:t xml:space="preserve"> </w:t>
      </w:r>
      <w:r>
        <w:rPr>
          <w:spacing w:val="-1"/>
        </w:rPr>
        <w:t>(Call</w:t>
      </w:r>
      <w:r>
        <w:rPr>
          <w:spacing w:val="37"/>
        </w:rPr>
        <w:t xml:space="preserve"> </w:t>
      </w:r>
      <w:r>
        <w:rPr>
          <w:spacing w:val="-1"/>
        </w:rPr>
        <w:t>Off</w:t>
      </w:r>
      <w:r>
        <w:rPr>
          <w:spacing w:val="40"/>
        </w:rPr>
        <w:t xml:space="preserve"> </w:t>
      </w:r>
      <w:r>
        <w:rPr>
          <w:spacing w:val="-1"/>
        </w:rPr>
        <w:t>Procedure)</w:t>
      </w:r>
      <w:r>
        <w:rPr>
          <w:spacing w:val="36"/>
        </w:rPr>
        <w:t xml:space="preserve"> </w:t>
      </w:r>
      <w:r>
        <w:rPr>
          <w:spacing w:val="-1"/>
        </w:rPr>
        <w:t>prior</w:t>
      </w:r>
      <w:r>
        <w:rPr>
          <w:spacing w:val="37"/>
        </w:rPr>
        <w:t xml:space="preserve"> </w:t>
      </w:r>
      <w:r>
        <w:t>to</w:t>
      </w:r>
      <w:r>
        <w:rPr>
          <w:spacing w:val="35"/>
        </w:rPr>
        <w:t xml:space="preserve"> </w:t>
      </w:r>
      <w:r>
        <w:rPr>
          <w:spacing w:val="-1"/>
        </w:rPr>
        <w:t>them</w:t>
      </w:r>
      <w:r>
        <w:rPr>
          <w:spacing w:val="36"/>
        </w:rPr>
        <w:t xml:space="preserve"> </w:t>
      </w:r>
      <w:r>
        <w:rPr>
          <w:spacing w:val="-1"/>
        </w:rPr>
        <w:t>becoming</w:t>
      </w:r>
      <w:r>
        <w:rPr>
          <w:spacing w:val="27"/>
        </w:rPr>
        <w:t xml:space="preserve"> </w:t>
      </w:r>
      <w:r>
        <w:t>the</w:t>
      </w:r>
      <w:r>
        <w:rPr>
          <w:spacing w:val="24"/>
        </w:rPr>
        <w:t xml:space="preserve"> </w:t>
      </w:r>
      <w:r>
        <w:rPr>
          <w:spacing w:val="-2"/>
        </w:rPr>
        <w:t>Call</w:t>
      </w:r>
      <w:r>
        <w:rPr>
          <w:spacing w:val="24"/>
        </w:rPr>
        <w:t xml:space="preserve"> </w:t>
      </w:r>
      <w:r>
        <w:rPr>
          <w:spacing w:val="-1"/>
        </w:rPr>
        <w:t>Off</w:t>
      </w:r>
      <w:r>
        <w:rPr>
          <w:spacing w:val="26"/>
        </w:rPr>
        <w:t xml:space="preserve"> </w:t>
      </w:r>
      <w:r>
        <w:rPr>
          <w:spacing w:val="-1"/>
        </w:rPr>
        <w:t>Terms</w:t>
      </w:r>
      <w:r>
        <w:rPr>
          <w:spacing w:val="25"/>
        </w:rPr>
        <w:t xml:space="preserve"> </w:t>
      </w:r>
      <w:r>
        <w:rPr>
          <w:spacing w:val="-1"/>
        </w:rPr>
        <w:t>and</w:t>
      </w:r>
      <w:r>
        <w:rPr>
          <w:spacing w:val="22"/>
        </w:rPr>
        <w:t xml:space="preserve"> </w:t>
      </w:r>
      <w:r>
        <w:t>the</w:t>
      </w:r>
      <w:r>
        <w:rPr>
          <w:spacing w:val="24"/>
        </w:rPr>
        <w:t xml:space="preserve"> </w:t>
      </w:r>
      <w:r>
        <w:rPr>
          <w:spacing w:val="-2"/>
        </w:rPr>
        <w:t>Call</w:t>
      </w:r>
      <w:r>
        <w:rPr>
          <w:spacing w:val="24"/>
        </w:rPr>
        <w:t xml:space="preserve"> </w:t>
      </w:r>
      <w:r>
        <w:rPr>
          <w:spacing w:val="-1"/>
        </w:rPr>
        <w:t>Off</w:t>
      </w:r>
      <w:r>
        <w:rPr>
          <w:spacing w:val="28"/>
        </w:rPr>
        <w:t xml:space="preserve"> </w:t>
      </w:r>
      <w:r>
        <w:rPr>
          <w:spacing w:val="-1"/>
        </w:rPr>
        <w:t>Form</w:t>
      </w:r>
      <w:r>
        <w:rPr>
          <w:spacing w:val="26"/>
        </w:rPr>
        <w:t xml:space="preserve"> </w:t>
      </w:r>
      <w:r>
        <w:rPr>
          <w:spacing w:val="-1"/>
        </w:rPr>
        <w:t>and</w:t>
      </w:r>
      <w:r>
        <w:rPr>
          <w:spacing w:val="27"/>
        </w:rPr>
        <w:t xml:space="preserve"> </w:t>
      </w:r>
      <w:r>
        <w:rPr>
          <w:spacing w:val="-1"/>
        </w:rPr>
        <w:t>the</w:t>
      </w:r>
      <w:r>
        <w:rPr>
          <w:spacing w:val="24"/>
        </w:rPr>
        <w:t xml:space="preserve"> </w:t>
      </w:r>
      <w:r>
        <w:rPr>
          <w:spacing w:val="-1"/>
        </w:rPr>
        <w:t>Parties</w:t>
      </w:r>
      <w:r>
        <w:rPr>
          <w:spacing w:val="25"/>
        </w:rPr>
        <w:t xml:space="preserve"> </w:t>
      </w:r>
      <w:r>
        <w:rPr>
          <w:spacing w:val="-2"/>
        </w:rPr>
        <w:t>entering</w:t>
      </w:r>
      <w:r>
        <w:rPr>
          <w:spacing w:val="24"/>
        </w:rPr>
        <w:t xml:space="preserve"> </w:t>
      </w:r>
      <w:r>
        <w:rPr>
          <w:spacing w:val="-1"/>
        </w:rPr>
        <w:t>this</w:t>
      </w:r>
      <w:r>
        <w:rPr>
          <w:spacing w:val="55"/>
        </w:rPr>
        <w:t xml:space="preserve"> </w:t>
      </w:r>
      <w:r>
        <w:rPr>
          <w:spacing w:val="-2"/>
        </w:rPr>
        <w:t>Call</w:t>
      </w:r>
      <w:r>
        <w:t xml:space="preserve"> </w:t>
      </w:r>
      <w:r>
        <w:rPr>
          <w:spacing w:val="-1"/>
        </w:rPr>
        <w:t>Off</w:t>
      </w:r>
      <w:r>
        <w:rPr>
          <w:spacing w:val="2"/>
        </w:rPr>
        <w:t xml:space="preserve"> </w:t>
      </w:r>
      <w:r>
        <w:rPr>
          <w:spacing w:val="-1"/>
        </w:rPr>
        <w:t>Contract</w:t>
      </w:r>
      <w:r>
        <w:t xml:space="preserve"> </w:t>
      </w:r>
      <w:r>
        <w:rPr>
          <w:spacing w:val="-1"/>
        </w:rPr>
        <w:t>shall</w:t>
      </w:r>
      <w:r>
        <w:t xml:space="preserve"> </w:t>
      </w:r>
      <w:r>
        <w:rPr>
          <w:spacing w:val="-1"/>
        </w:rPr>
        <w:t>prevail</w:t>
      </w:r>
      <w:r>
        <w:t xml:space="preserve"> </w:t>
      </w:r>
      <w:r>
        <w:rPr>
          <w:spacing w:val="-2"/>
        </w:rPr>
        <w:t>over</w:t>
      </w:r>
      <w:r>
        <w:rPr>
          <w:spacing w:val="2"/>
        </w:rPr>
        <w:t xml:space="preserve"> </w:t>
      </w:r>
      <w:r>
        <w:t xml:space="preserve">the </w:t>
      </w:r>
      <w:r>
        <w:rPr>
          <w:spacing w:val="-2"/>
        </w:rPr>
        <w:t>Framework</w:t>
      </w:r>
      <w:r>
        <w:rPr>
          <w:spacing w:val="1"/>
        </w:rPr>
        <w:t xml:space="preserve"> </w:t>
      </w:r>
      <w:r>
        <w:rPr>
          <w:spacing w:val="-1"/>
        </w:rPr>
        <w:t>Agreement.</w:t>
      </w:r>
    </w:p>
    <w:p w:rsidR="008918FA" w:rsidRDefault="008918FA" w:rsidP="008918FA">
      <w:pPr>
        <w:pStyle w:val="BodyText"/>
        <w:numPr>
          <w:ilvl w:val="2"/>
          <w:numId w:val="69"/>
        </w:numPr>
        <w:tabs>
          <w:tab w:val="left" w:pos="1049"/>
        </w:tabs>
        <w:ind w:left="1048" w:right="112"/>
        <w:jc w:val="both"/>
      </w:pPr>
      <w:bookmarkStart w:id="41" w:name="_bookmark46"/>
      <w:bookmarkEnd w:id="41"/>
      <w:r>
        <w:rPr>
          <w:spacing w:val="-1"/>
        </w:rPr>
        <w:t>Where</w:t>
      </w:r>
      <w:r>
        <w:rPr>
          <w:spacing w:val="7"/>
        </w:rPr>
        <w:t xml:space="preserve"> </w:t>
      </w:r>
      <w:r>
        <w:rPr>
          <w:spacing w:val="-2"/>
        </w:rPr>
        <w:t>Framework</w:t>
      </w:r>
      <w:r>
        <w:rPr>
          <w:spacing w:val="9"/>
        </w:rPr>
        <w:t xml:space="preserve"> </w:t>
      </w:r>
      <w:r>
        <w:rPr>
          <w:spacing w:val="-2"/>
        </w:rPr>
        <w:t>Schedule</w:t>
      </w:r>
      <w:r>
        <w:rPr>
          <w:spacing w:val="6"/>
        </w:rPr>
        <w:t xml:space="preserve"> </w:t>
      </w:r>
      <w:r>
        <w:rPr>
          <w:spacing w:val="-1"/>
        </w:rPr>
        <w:t>20</w:t>
      </w:r>
      <w:r>
        <w:rPr>
          <w:spacing w:val="7"/>
        </w:rPr>
        <w:t xml:space="preserve"> </w:t>
      </w:r>
      <w:r>
        <w:rPr>
          <w:spacing w:val="-1"/>
        </w:rPr>
        <w:t>(Tender)</w:t>
      </w:r>
      <w:r>
        <w:rPr>
          <w:spacing w:val="8"/>
        </w:rPr>
        <w:t xml:space="preserve"> </w:t>
      </w:r>
      <w:r>
        <w:rPr>
          <w:spacing w:val="-1"/>
        </w:rPr>
        <w:t>contains</w:t>
      </w:r>
      <w:r>
        <w:rPr>
          <w:spacing w:val="7"/>
        </w:rPr>
        <w:t xml:space="preserve"> </w:t>
      </w:r>
      <w:r>
        <w:rPr>
          <w:spacing w:val="-1"/>
        </w:rPr>
        <w:t>provisions</w:t>
      </w:r>
      <w:r>
        <w:rPr>
          <w:spacing w:val="9"/>
        </w:rPr>
        <w:t xml:space="preserve"> </w:t>
      </w:r>
      <w:r>
        <w:rPr>
          <w:spacing w:val="-2"/>
        </w:rPr>
        <w:t>which</w:t>
      </w:r>
      <w:r>
        <w:rPr>
          <w:spacing w:val="12"/>
        </w:rPr>
        <w:t xml:space="preserve"> </w:t>
      </w:r>
      <w:r>
        <w:rPr>
          <w:spacing w:val="-1"/>
        </w:rPr>
        <w:t>are</w:t>
      </w:r>
      <w:r>
        <w:rPr>
          <w:spacing w:val="6"/>
        </w:rPr>
        <w:t xml:space="preserve"> </w:t>
      </w:r>
      <w:r>
        <w:rPr>
          <w:spacing w:val="-1"/>
        </w:rPr>
        <w:t>more</w:t>
      </w:r>
      <w:r>
        <w:rPr>
          <w:spacing w:val="65"/>
        </w:rPr>
        <w:t xml:space="preserve"> </w:t>
      </w:r>
      <w:r>
        <w:rPr>
          <w:spacing w:val="-1"/>
        </w:rPr>
        <w:t>favourable</w:t>
      </w:r>
      <w:r>
        <w:rPr>
          <w:spacing w:val="17"/>
        </w:rPr>
        <w:t xml:space="preserve"> </w:t>
      </w:r>
      <w:r>
        <w:t>to</w:t>
      </w:r>
      <w:r>
        <w:rPr>
          <w:spacing w:val="17"/>
        </w:rPr>
        <w:t xml:space="preserve"> </w:t>
      </w:r>
      <w:r>
        <w:t>the</w:t>
      </w:r>
      <w:r>
        <w:rPr>
          <w:spacing w:val="17"/>
        </w:rPr>
        <w:t xml:space="preserve"> </w:t>
      </w:r>
      <w:r>
        <w:rPr>
          <w:spacing w:val="-2"/>
        </w:rPr>
        <w:t>Customer</w:t>
      </w:r>
      <w:r>
        <w:rPr>
          <w:spacing w:val="19"/>
        </w:rPr>
        <w:t xml:space="preserve"> </w:t>
      </w:r>
      <w:r>
        <w:rPr>
          <w:spacing w:val="-1"/>
        </w:rPr>
        <w:t>in</w:t>
      </w:r>
      <w:r>
        <w:rPr>
          <w:spacing w:val="17"/>
        </w:rPr>
        <w:t xml:space="preserve"> </w:t>
      </w:r>
      <w:r>
        <w:rPr>
          <w:spacing w:val="-1"/>
        </w:rPr>
        <w:t>relation</w:t>
      </w:r>
      <w:r>
        <w:rPr>
          <w:spacing w:val="16"/>
        </w:rPr>
        <w:t xml:space="preserve"> </w:t>
      </w:r>
      <w:r>
        <w:t>to</w:t>
      </w:r>
      <w:r>
        <w:rPr>
          <w:spacing w:val="17"/>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21"/>
        </w:rPr>
        <w:t xml:space="preserve"> </w:t>
      </w:r>
      <w:r>
        <w:rPr>
          <w:spacing w:val="-1"/>
        </w:rPr>
        <w:t>Contract,</w:t>
      </w:r>
      <w:r>
        <w:rPr>
          <w:spacing w:val="19"/>
        </w:rPr>
        <w:t xml:space="preserve"> </w:t>
      </w:r>
      <w:r>
        <w:rPr>
          <w:spacing w:val="-1"/>
        </w:rPr>
        <w:t>such</w:t>
      </w:r>
      <w:r>
        <w:rPr>
          <w:spacing w:val="18"/>
        </w:rPr>
        <w:t xml:space="preserve"> </w:t>
      </w:r>
      <w:r>
        <w:rPr>
          <w:spacing w:val="-2"/>
        </w:rPr>
        <w:t>provisions</w:t>
      </w:r>
      <w:r>
        <w:rPr>
          <w:spacing w:val="18"/>
        </w:rPr>
        <w:t xml:space="preserve"> </w:t>
      </w:r>
      <w:r>
        <w:rPr>
          <w:spacing w:val="-1"/>
        </w:rPr>
        <w:t>of</w:t>
      </w:r>
      <w:r>
        <w:rPr>
          <w:spacing w:val="48"/>
        </w:rPr>
        <w:t xml:space="preserve"> </w:t>
      </w:r>
      <w:r>
        <w:t>the</w:t>
      </w:r>
      <w:r>
        <w:rPr>
          <w:spacing w:val="38"/>
        </w:rPr>
        <w:t xml:space="preserve"> </w:t>
      </w:r>
      <w:r>
        <w:rPr>
          <w:spacing w:val="-1"/>
        </w:rPr>
        <w:t>Tender</w:t>
      </w:r>
      <w:r>
        <w:rPr>
          <w:spacing w:val="43"/>
        </w:rPr>
        <w:t xml:space="preserve"> </w:t>
      </w:r>
      <w:r>
        <w:rPr>
          <w:spacing w:val="-1"/>
        </w:rPr>
        <w:t>shall</w:t>
      </w:r>
      <w:r>
        <w:rPr>
          <w:spacing w:val="40"/>
        </w:rPr>
        <w:t xml:space="preserve"> </w:t>
      </w:r>
      <w:r>
        <w:rPr>
          <w:spacing w:val="-2"/>
        </w:rPr>
        <w:t>prevail.</w:t>
      </w:r>
      <w:r>
        <w:rPr>
          <w:spacing w:val="40"/>
        </w:rPr>
        <w:t xml:space="preserve"> </w:t>
      </w:r>
      <w:r>
        <w:t>The</w:t>
      </w:r>
      <w:r>
        <w:rPr>
          <w:spacing w:val="41"/>
        </w:rPr>
        <w:t xml:space="preserve"> </w:t>
      </w:r>
      <w:r>
        <w:rPr>
          <w:spacing w:val="-1"/>
        </w:rPr>
        <w:t>Customer</w:t>
      </w:r>
      <w:r>
        <w:rPr>
          <w:spacing w:val="42"/>
        </w:rPr>
        <w:t xml:space="preserve"> </w:t>
      </w:r>
      <w:r>
        <w:rPr>
          <w:spacing w:val="-2"/>
        </w:rPr>
        <w:t>shall</w:t>
      </w:r>
      <w:r>
        <w:rPr>
          <w:spacing w:val="41"/>
        </w:rPr>
        <w:t xml:space="preserve"> </w:t>
      </w:r>
      <w:r>
        <w:rPr>
          <w:spacing w:val="-1"/>
        </w:rPr>
        <w:t>in</w:t>
      </w:r>
      <w:r>
        <w:rPr>
          <w:spacing w:val="43"/>
        </w:rPr>
        <w:t xml:space="preserve"> </w:t>
      </w:r>
      <w:r>
        <w:rPr>
          <w:spacing w:val="-1"/>
        </w:rPr>
        <w:t>its</w:t>
      </w:r>
      <w:r>
        <w:rPr>
          <w:spacing w:val="41"/>
        </w:rPr>
        <w:t xml:space="preserve"> </w:t>
      </w:r>
      <w:r>
        <w:rPr>
          <w:spacing w:val="-1"/>
        </w:rPr>
        <w:t>absolute</w:t>
      </w:r>
      <w:r>
        <w:rPr>
          <w:spacing w:val="41"/>
        </w:rPr>
        <w:t xml:space="preserve"> </w:t>
      </w:r>
      <w:r>
        <w:rPr>
          <w:spacing w:val="-1"/>
        </w:rPr>
        <w:t>and</w:t>
      </w:r>
      <w:r>
        <w:rPr>
          <w:spacing w:val="41"/>
        </w:rPr>
        <w:t xml:space="preserve"> </w:t>
      </w:r>
      <w:r>
        <w:rPr>
          <w:spacing w:val="-1"/>
        </w:rPr>
        <w:t>sole</w:t>
      </w:r>
      <w:r>
        <w:rPr>
          <w:spacing w:val="38"/>
        </w:rPr>
        <w:t xml:space="preserve"> </w:t>
      </w:r>
      <w:r>
        <w:rPr>
          <w:spacing w:val="-1"/>
        </w:rPr>
        <w:t>discretion</w:t>
      </w:r>
      <w:r>
        <w:rPr>
          <w:spacing w:val="50"/>
        </w:rPr>
        <w:t xml:space="preserve"> </w:t>
      </w:r>
      <w:r>
        <w:rPr>
          <w:spacing w:val="-1"/>
        </w:rPr>
        <w:t>determine</w:t>
      </w:r>
      <w:r>
        <w:rPr>
          <w:spacing w:val="51"/>
        </w:rPr>
        <w:t xml:space="preserve"> </w:t>
      </w:r>
      <w:r>
        <w:rPr>
          <w:spacing w:val="-1"/>
        </w:rPr>
        <w:t>whether</w:t>
      </w:r>
      <w:r>
        <w:rPr>
          <w:spacing w:val="52"/>
        </w:rPr>
        <w:t xml:space="preserve"> </w:t>
      </w:r>
      <w:r>
        <w:rPr>
          <w:spacing w:val="-1"/>
        </w:rPr>
        <w:t>any</w:t>
      </w:r>
      <w:r>
        <w:rPr>
          <w:spacing w:val="49"/>
        </w:rPr>
        <w:t xml:space="preserve"> </w:t>
      </w:r>
      <w:r>
        <w:rPr>
          <w:spacing w:val="-2"/>
        </w:rPr>
        <w:t>provision</w:t>
      </w:r>
      <w:r>
        <w:rPr>
          <w:spacing w:val="51"/>
        </w:rPr>
        <w:t xml:space="preserve"> </w:t>
      </w:r>
      <w:r>
        <w:rPr>
          <w:spacing w:val="-1"/>
        </w:rPr>
        <w:t>in</w:t>
      </w:r>
      <w:r>
        <w:rPr>
          <w:spacing w:val="51"/>
        </w:rPr>
        <w:t xml:space="preserve"> </w:t>
      </w:r>
      <w:r>
        <w:t>the</w:t>
      </w:r>
      <w:r>
        <w:rPr>
          <w:spacing w:val="51"/>
        </w:rPr>
        <w:t xml:space="preserve"> </w:t>
      </w:r>
      <w:r>
        <w:rPr>
          <w:spacing w:val="-1"/>
        </w:rPr>
        <w:t>Tender</w:t>
      </w:r>
      <w:r>
        <w:rPr>
          <w:spacing w:val="50"/>
        </w:rPr>
        <w:t xml:space="preserve"> </w:t>
      </w:r>
      <w:r>
        <w:rPr>
          <w:spacing w:val="-1"/>
        </w:rPr>
        <w:t>is</w:t>
      </w:r>
      <w:r>
        <w:rPr>
          <w:spacing w:val="51"/>
        </w:rPr>
        <w:t xml:space="preserve"> </w:t>
      </w:r>
      <w:r>
        <w:rPr>
          <w:spacing w:val="-1"/>
        </w:rPr>
        <w:t>more</w:t>
      </w:r>
      <w:r>
        <w:rPr>
          <w:spacing w:val="48"/>
        </w:rPr>
        <w:t xml:space="preserve"> </w:t>
      </w:r>
      <w:r>
        <w:rPr>
          <w:spacing w:val="-1"/>
        </w:rPr>
        <w:t>favourable</w:t>
      </w:r>
      <w:r>
        <w:rPr>
          <w:spacing w:val="51"/>
        </w:rPr>
        <w:t xml:space="preserve"> </w:t>
      </w:r>
      <w:r>
        <w:t>to</w:t>
      </w:r>
      <w:r>
        <w:rPr>
          <w:spacing w:val="48"/>
        </w:rPr>
        <w:t xml:space="preserve"> </w:t>
      </w:r>
      <w:r>
        <w:rPr>
          <w:spacing w:val="-1"/>
        </w:rPr>
        <w:t>it</w:t>
      </w:r>
      <w:r>
        <w:rPr>
          <w:spacing w:val="52"/>
        </w:rPr>
        <w:t xml:space="preserve"> </w:t>
      </w:r>
      <w:r>
        <w:rPr>
          <w:spacing w:val="-1"/>
        </w:rPr>
        <w:t>in</w:t>
      </w:r>
      <w:r>
        <w:rPr>
          <w:spacing w:val="52"/>
        </w:rPr>
        <w:t xml:space="preserve"> </w:t>
      </w:r>
      <w:r>
        <w:rPr>
          <w:spacing w:val="-1"/>
        </w:rPr>
        <w:t>this</w:t>
      </w:r>
      <w:r>
        <w:rPr>
          <w:spacing w:val="33"/>
        </w:rPr>
        <w:t xml:space="preserve"> </w:t>
      </w:r>
      <w:r>
        <w:rPr>
          <w:spacing w:val="-1"/>
        </w:rPr>
        <w:t>context.</w:t>
      </w:r>
    </w:p>
    <w:p w:rsidR="008918FA" w:rsidRDefault="008918FA" w:rsidP="008918FA">
      <w:pPr>
        <w:pStyle w:val="BodyText"/>
        <w:numPr>
          <w:ilvl w:val="1"/>
          <w:numId w:val="69"/>
        </w:numPr>
        <w:tabs>
          <w:tab w:val="left" w:pos="687"/>
        </w:tabs>
        <w:spacing w:before="117"/>
        <w:ind w:left="686"/>
        <w:rPr>
          <w:rFonts w:ascii="Times New Roman" w:eastAsia="Times New Roman" w:hAnsi="Times New Roman" w:cs="Times New Roman"/>
        </w:rPr>
      </w:pPr>
      <w:bookmarkStart w:id="42" w:name="_bookmark47"/>
      <w:bookmarkEnd w:id="42"/>
      <w:r>
        <w:rPr>
          <w:rFonts w:ascii="Times New Roman"/>
          <w:spacing w:val="-2"/>
        </w:rPr>
        <w:t>DUE</w:t>
      </w:r>
      <w:r>
        <w:rPr>
          <w:rFonts w:ascii="Times New Roman"/>
          <w:spacing w:val="18"/>
        </w:rPr>
        <w:t xml:space="preserve"> </w:t>
      </w:r>
      <w:r>
        <w:rPr>
          <w:rFonts w:ascii="Times New Roman"/>
        </w:rPr>
        <w:t>DILIGENCE</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2"/>
          <w:numId w:val="69"/>
        </w:numPr>
        <w:tabs>
          <w:tab w:val="left" w:pos="1049"/>
        </w:tabs>
        <w:spacing w:before="0"/>
        <w:ind w:left="1048"/>
      </w:pPr>
      <w:r>
        <w:t>The</w:t>
      </w:r>
      <w:r>
        <w:rPr>
          <w:spacing w:val="-2"/>
        </w:rPr>
        <w:t xml:space="preserve"> Supplier</w:t>
      </w:r>
      <w:r>
        <w:rPr>
          <w:spacing w:val="2"/>
        </w:rPr>
        <w:t xml:space="preserve"> </w:t>
      </w:r>
      <w:r>
        <w:rPr>
          <w:spacing w:val="-1"/>
        </w:rPr>
        <w:t>acknowledges</w:t>
      </w:r>
      <w:r>
        <w:rPr>
          <w:spacing w:val="-2"/>
        </w:rPr>
        <w:t xml:space="preserve"> </w:t>
      </w:r>
      <w:r>
        <w:rPr>
          <w:spacing w:val="-1"/>
        </w:rPr>
        <w:t>that:</w:t>
      </w:r>
    </w:p>
    <w:p w:rsidR="008918FA" w:rsidRDefault="008918FA" w:rsidP="008918FA">
      <w:pPr>
        <w:pStyle w:val="BodyText"/>
        <w:numPr>
          <w:ilvl w:val="3"/>
          <w:numId w:val="69"/>
        </w:numPr>
        <w:tabs>
          <w:tab w:val="left" w:pos="2247"/>
        </w:tabs>
        <w:ind w:left="2246" w:right="115"/>
        <w:jc w:val="both"/>
      </w:pPr>
      <w:r>
        <w:t>the</w:t>
      </w:r>
      <w:r>
        <w:rPr>
          <w:spacing w:val="5"/>
        </w:rPr>
        <w:t xml:space="preserve"> </w:t>
      </w:r>
      <w:r>
        <w:rPr>
          <w:spacing w:val="-2"/>
        </w:rPr>
        <w:t>Customer</w:t>
      </w:r>
      <w:r>
        <w:rPr>
          <w:spacing w:val="6"/>
        </w:rPr>
        <w:t xml:space="preserve"> </w:t>
      </w:r>
      <w:r>
        <w:rPr>
          <w:spacing w:val="-1"/>
        </w:rPr>
        <w:t>has</w:t>
      </w:r>
      <w:r>
        <w:rPr>
          <w:spacing w:val="3"/>
        </w:rPr>
        <w:t xml:space="preserve"> </w:t>
      </w:r>
      <w:r>
        <w:rPr>
          <w:spacing w:val="-1"/>
        </w:rPr>
        <w:t>delivered</w:t>
      </w:r>
      <w:r>
        <w:rPr>
          <w:spacing w:val="5"/>
        </w:rPr>
        <w:t xml:space="preserve"> </w:t>
      </w:r>
      <w:r>
        <w:rPr>
          <w:spacing w:val="-1"/>
        </w:rPr>
        <w:t>or</w:t>
      </w:r>
      <w:r>
        <w:rPr>
          <w:spacing w:val="4"/>
        </w:rPr>
        <w:t xml:space="preserve"> </w:t>
      </w:r>
      <w:r>
        <w:rPr>
          <w:spacing w:val="-1"/>
        </w:rPr>
        <w:t>m</w:t>
      </w:r>
      <w:bookmarkStart w:id="43" w:name="2._DUE_DILIGENCE"/>
      <w:bookmarkEnd w:id="43"/>
      <w:r>
        <w:rPr>
          <w:spacing w:val="-1"/>
        </w:rPr>
        <w:t>ade</w:t>
      </w:r>
      <w:r>
        <w:rPr>
          <w:spacing w:val="3"/>
        </w:rPr>
        <w:t xml:space="preserve"> </w:t>
      </w:r>
      <w:r>
        <w:rPr>
          <w:spacing w:val="-2"/>
        </w:rPr>
        <w:t>available</w:t>
      </w:r>
      <w:r>
        <w:rPr>
          <w:spacing w:val="5"/>
        </w:rPr>
        <w:t xml:space="preserve"> </w:t>
      </w:r>
      <w:r>
        <w:t>to</w:t>
      </w:r>
      <w:r>
        <w:rPr>
          <w:spacing w:val="5"/>
        </w:rPr>
        <w:t xml:space="preserve"> </w:t>
      </w:r>
      <w:r>
        <w:t>the</w:t>
      </w:r>
      <w:r>
        <w:rPr>
          <w:spacing w:val="5"/>
        </w:rPr>
        <w:t xml:space="preserve"> </w:t>
      </w:r>
      <w:r>
        <w:rPr>
          <w:spacing w:val="-2"/>
        </w:rPr>
        <w:t>Supplier</w:t>
      </w:r>
      <w:r>
        <w:rPr>
          <w:spacing w:val="6"/>
        </w:rPr>
        <w:t xml:space="preserve"> </w:t>
      </w:r>
      <w:r>
        <w:rPr>
          <w:spacing w:val="-1"/>
        </w:rPr>
        <w:t>all</w:t>
      </w:r>
      <w:r>
        <w:rPr>
          <w:spacing w:val="4"/>
        </w:rPr>
        <w:t xml:space="preserve"> </w:t>
      </w:r>
      <w:r>
        <w:rPr>
          <w:spacing w:val="-2"/>
        </w:rPr>
        <w:t>of</w:t>
      </w:r>
      <w:r>
        <w:rPr>
          <w:spacing w:val="6"/>
        </w:rPr>
        <w:t xml:space="preserve"> </w:t>
      </w:r>
      <w:r>
        <w:rPr>
          <w:spacing w:val="-1"/>
        </w:rPr>
        <w:t>the</w:t>
      </w:r>
      <w:r>
        <w:rPr>
          <w:spacing w:val="56"/>
        </w:rPr>
        <w:t xml:space="preserve"> </w:t>
      </w:r>
      <w:r>
        <w:rPr>
          <w:spacing w:val="-1"/>
        </w:rPr>
        <w:t>information</w:t>
      </w:r>
      <w:r>
        <w:rPr>
          <w:spacing w:val="34"/>
        </w:rPr>
        <w:t xml:space="preserve"> </w:t>
      </w:r>
      <w:r>
        <w:rPr>
          <w:spacing w:val="-1"/>
        </w:rPr>
        <w:t>and</w:t>
      </w:r>
      <w:r>
        <w:rPr>
          <w:spacing w:val="34"/>
        </w:rPr>
        <w:t xml:space="preserve"> </w:t>
      </w:r>
      <w:r>
        <w:rPr>
          <w:spacing w:val="-1"/>
        </w:rPr>
        <w:t>documents</w:t>
      </w:r>
      <w:r>
        <w:rPr>
          <w:spacing w:val="34"/>
        </w:rPr>
        <w:t xml:space="preserve"> </w:t>
      </w:r>
      <w:r>
        <w:rPr>
          <w:spacing w:val="-1"/>
        </w:rPr>
        <w:t>that</w:t>
      </w:r>
      <w:r>
        <w:rPr>
          <w:spacing w:val="35"/>
        </w:rPr>
        <w:t xml:space="preserve"> </w:t>
      </w:r>
      <w:r>
        <w:t>the</w:t>
      </w:r>
      <w:r>
        <w:rPr>
          <w:spacing w:val="34"/>
        </w:rPr>
        <w:t xml:space="preserve"> </w:t>
      </w:r>
      <w:r>
        <w:rPr>
          <w:spacing w:val="-2"/>
        </w:rPr>
        <w:t>Supplier</w:t>
      </w:r>
      <w:r>
        <w:rPr>
          <w:spacing w:val="35"/>
        </w:rPr>
        <w:t xml:space="preserve"> </w:t>
      </w:r>
      <w:r>
        <w:rPr>
          <w:spacing w:val="-1"/>
        </w:rPr>
        <w:t>considers</w:t>
      </w:r>
      <w:r>
        <w:rPr>
          <w:spacing w:val="35"/>
        </w:rPr>
        <w:t xml:space="preserve"> </w:t>
      </w:r>
      <w:r>
        <w:rPr>
          <w:spacing w:val="-1"/>
        </w:rPr>
        <w:t>necessary</w:t>
      </w:r>
      <w:r>
        <w:rPr>
          <w:spacing w:val="32"/>
        </w:rPr>
        <w:t xml:space="preserve"> </w:t>
      </w:r>
      <w:r>
        <w:rPr>
          <w:spacing w:val="-1"/>
        </w:rPr>
        <w:t>or</w:t>
      </w:r>
      <w:r>
        <w:rPr>
          <w:spacing w:val="44"/>
        </w:rPr>
        <w:t xml:space="preserve"> </w:t>
      </w:r>
      <w:r>
        <w:rPr>
          <w:spacing w:val="-2"/>
        </w:rPr>
        <w:t>relevant</w:t>
      </w:r>
      <w:r>
        <w:rPr>
          <w:spacing w:val="8"/>
        </w:rPr>
        <w:t xml:space="preserve"> </w:t>
      </w:r>
      <w:r>
        <w:t>for</w:t>
      </w:r>
      <w:r>
        <w:rPr>
          <w:spacing w:val="8"/>
        </w:rPr>
        <w:t xml:space="preserve"> </w:t>
      </w:r>
      <w:r>
        <w:t>the</w:t>
      </w:r>
      <w:r>
        <w:rPr>
          <w:spacing w:val="6"/>
        </w:rPr>
        <w:t xml:space="preserve"> </w:t>
      </w:r>
      <w:r>
        <w:rPr>
          <w:spacing w:val="-1"/>
        </w:rPr>
        <w:t>performance</w:t>
      </w:r>
      <w:r>
        <w:rPr>
          <w:spacing w:val="9"/>
        </w:rPr>
        <w:t xml:space="preserve"> </w:t>
      </w:r>
      <w:r>
        <w:rPr>
          <w:spacing w:val="-2"/>
        </w:rPr>
        <w:t>of</w:t>
      </w:r>
      <w:r>
        <w:rPr>
          <w:spacing w:val="10"/>
        </w:rPr>
        <w:t xml:space="preserve"> </w:t>
      </w:r>
      <w:r>
        <w:rPr>
          <w:spacing w:val="-2"/>
        </w:rPr>
        <w:t>its</w:t>
      </w:r>
      <w:r>
        <w:rPr>
          <w:spacing w:val="9"/>
        </w:rPr>
        <w:t xml:space="preserve"> </w:t>
      </w:r>
      <w:r>
        <w:rPr>
          <w:spacing w:val="-1"/>
        </w:rPr>
        <w:t>obligations</w:t>
      </w:r>
      <w:r>
        <w:rPr>
          <w:spacing w:val="9"/>
        </w:rPr>
        <w:t xml:space="preserve"> </w:t>
      </w:r>
      <w:r>
        <w:rPr>
          <w:spacing w:val="-1"/>
        </w:rPr>
        <w:t>under</w:t>
      </w:r>
      <w:r>
        <w:rPr>
          <w:spacing w:val="8"/>
        </w:rPr>
        <w:t xml:space="preserve"> </w:t>
      </w:r>
      <w:r>
        <w:rPr>
          <w:spacing w:val="-1"/>
        </w:rPr>
        <w:t>this</w:t>
      </w:r>
      <w:r>
        <w:rPr>
          <w:spacing w:val="9"/>
        </w:rPr>
        <w:t xml:space="preserve"> </w:t>
      </w:r>
      <w:r>
        <w:rPr>
          <w:spacing w:val="-2"/>
        </w:rPr>
        <w:t>Call</w:t>
      </w:r>
      <w:r>
        <w:rPr>
          <w:spacing w:val="6"/>
        </w:rPr>
        <w:t xml:space="preserve"> </w:t>
      </w:r>
      <w:r>
        <w:rPr>
          <w:spacing w:val="-2"/>
        </w:rPr>
        <w:t>Off</w:t>
      </w:r>
      <w:r>
        <w:rPr>
          <w:spacing w:val="47"/>
        </w:rPr>
        <w:t xml:space="preserve"> </w:t>
      </w:r>
      <w:r>
        <w:rPr>
          <w:spacing w:val="-1"/>
        </w:rPr>
        <w:t>Contract;</w:t>
      </w:r>
    </w:p>
    <w:p w:rsidR="008918FA" w:rsidRDefault="008918FA" w:rsidP="008918FA">
      <w:pPr>
        <w:pStyle w:val="BodyText"/>
        <w:numPr>
          <w:ilvl w:val="3"/>
          <w:numId w:val="69"/>
        </w:numPr>
        <w:tabs>
          <w:tab w:val="left" w:pos="2247"/>
        </w:tabs>
        <w:spacing w:before="121"/>
        <w:ind w:left="2246" w:right="117"/>
        <w:jc w:val="both"/>
      </w:pPr>
      <w:r>
        <w:rPr>
          <w:spacing w:val="-1"/>
        </w:rPr>
        <w:t>it</w:t>
      </w:r>
      <w:r>
        <w:rPr>
          <w:spacing w:val="28"/>
        </w:rPr>
        <w:t xml:space="preserve"> </w:t>
      </w:r>
      <w:r>
        <w:rPr>
          <w:spacing w:val="-1"/>
        </w:rPr>
        <w:t>has</w:t>
      </w:r>
      <w:r>
        <w:rPr>
          <w:spacing w:val="27"/>
        </w:rPr>
        <w:t xml:space="preserve"> </w:t>
      </w:r>
      <w:r>
        <w:rPr>
          <w:spacing w:val="-1"/>
        </w:rPr>
        <w:t>made</w:t>
      </w:r>
      <w:r>
        <w:rPr>
          <w:spacing w:val="27"/>
        </w:rPr>
        <w:t xml:space="preserve"> </w:t>
      </w:r>
      <w:r>
        <w:rPr>
          <w:spacing w:val="-1"/>
        </w:rPr>
        <w:t>its</w:t>
      </w:r>
      <w:r>
        <w:rPr>
          <w:spacing w:val="27"/>
        </w:rPr>
        <w:t xml:space="preserve"> </w:t>
      </w:r>
      <w:r>
        <w:rPr>
          <w:spacing w:val="-2"/>
        </w:rPr>
        <w:t>own</w:t>
      </w:r>
      <w:r>
        <w:rPr>
          <w:spacing w:val="27"/>
        </w:rPr>
        <w:t xml:space="preserve"> </w:t>
      </w:r>
      <w:r>
        <w:rPr>
          <w:spacing w:val="-1"/>
        </w:rPr>
        <w:t>enquiries</w:t>
      </w:r>
      <w:r>
        <w:rPr>
          <w:spacing w:val="27"/>
        </w:rPr>
        <w:t xml:space="preserve"> </w:t>
      </w:r>
      <w:r>
        <w:t>to</w:t>
      </w:r>
      <w:r>
        <w:rPr>
          <w:spacing w:val="27"/>
        </w:rPr>
        <w:t xml:space="preserve"> </w:t>
      </w:r>
      <w:r>
        <w:rPr>
          <w:spacing w:val="-1"/>
        </w:rPr>
        <w:t>satisfy</w:t>
      </w:r>
      <w:r>
        <w:rPr>
          <w:spacing w:val="25"/>
        </w:rPr>
        <w:t xml:space="preserve"> </w:t>
      </w:r>
      <w:r>
        <w:rPr>
          <w:spacing w:val="-1"/>
        </w:rPr>
        <w:t>itself</w:t>
      </w:r>
      <w:r>
        <w:rPr>
          <w:spacing w:val="30"/>
        </w:rPr>
        <w:t xml:space="preserve"> </w:t>
      </w:r>
      <w:r>
        <w:rPr>
          <w:spacing w:val="-1"/>
        </w:rPr>
        <w:t>as</w:t>
      </w:r>
      <w:r>
        <w:rPr>
          <w:spacing w:val="25"/>
        </w:rPr>
        <w:t xml:space="preserve"> </w:t>
      </w:r>
      <w:r>
        <w:t>to</w:t>
      </w:r>
      <w:r>
        <w:rPr>
          <w:spacing w:val="27"/>
        </w:rPr>
        <w:t xml:space="preserve"> </w:t>
      </w:r>
      <w:r>
        <w:t>the</w:t>
      </w:r>
      <w:r>
        <w:rPr>
          <w:spacing w:val="27"/>
        </w:rPr>
        <w:t xml:space="preserve"> </w:t>
      </w:r>
      <w:r>
        <w:rPr>
          <w:spacing w:val="-1"/>
        </w:rPr>
        <w:t>accuracy</w:t>
      </w:r>
      <w:r>
        <w:rPr>
          <w:spacing w:val="25"/>
        </w:rPr>
        <w:t xml:space="preserve"> </w:t>
      </w:r>
      <w:r>
        <w:rPr>
          <w:spacing w:val="-1"/>
        </w:rPr>
        <w:t>and</w:t>
      </w:r>
      <w:r>
        <w:rPr>
          <w:spacing w:val="44"/>
        </w:rPr>
        <w:t xml:space="preserve"> </w:t>
      </w:r>
      <w:r>
        <w:rPr>
          <w:spacing w:val="-1"/>
        </w:rPr>
        <w:t xml:space="preserve">adequacy </w:t>
      </w:r>
      <w:r>
        <w:rPr>
          <w:spacing w:val="-2"/>
        </w:rPr>
        <w:t>of</w:t>
      </w:r>
      <w:r>
        <w:t xml:space="preserve"> the </w:t>
      </w:r>
      <w:r>
        <w:rPr>
          <w:spacing w:val="-1"/>
        </w:rPr>
        <w:t>Due</w:t>
      </w:r>
      <w:r>
        <w:t xml:space="preserve"> </w:t>
      </w:r>
      <w:r>
        <w:rPr>
          <w:spacing w:val="-1"/>
        </w:rPr>
        <w:t>Diligence</w:t>
      </w:r>
      <w:r>
        <w:rPr>
          <w:spacing w:val="-2"/>
        </w:rPr>
        <w:t xml:space="preserve"> </w:t>
      </w:r>
      <w:r>
        <w:rPr>
          <w:spacing w:val="-1"/>
        </w:rPr>
        <w:t>Information;</w:t>
      </w:r>
    </w:p>
    <w:p w:rsidR="008918FA" w:rsidRDefault="008918FA" w:rsidP="008918FA">
      <w:pPr>
        <w:pStyle w:val="BodyText"/>
        <w:numPr>
          <w:ilvl w:val="3"/>
          <w:numId w:val="69"/>
        </w:numPr>
        <w:tabs>
          <w:tab w:val="left" w:pos="2247"/>
        </w:tabs>
        <w:spacing w:before="121"/>
        <w:ind w:left="2246" w:right="113"/>
        <w:jc w:val="both"/>
      </w:pPr>
      <w:r>
        <w:rPr>
          <w:spacing w:val="-1"/>
        </w:rPr>
        <w:t>it</w:t>
      </w:r>
      <w:r>
        <w:rPr>
          <w:spacing w:val="2"/>
        </w:rPr>
        <w:t xml:space="preserve"> </w:t>
      </w:r>
      <w:r>
        <w:rPr>
          <w:spacing w:val="-1"/>
        </w:rPr>
        <w:t>has</w:t>
      </w:r>
      <w:r>
        <w:rPr>
          <w:spacing w:val="1"/>
        </w:rPr>
        <w:t xml:space="preserve"> </w:t>
      </w:r>
      <w:r>
        <w:rPr>
          <w:spacing w:val="-1"/>
        </w:rPr>
        <w:t>satisfied</w:t>
      </w:r>
      <w:r>
        <w:t xml:space="preserve"> </w:t>
      </w:r>
      <w:r>
        <w:rPr>
          <w:spacing w:val="-2"/>
        </w:rPr>
        <w:t>itself</w:t>
      </w:r>
      <w:r>
        <w:rPr>
          <w:spacing w:val="2"/>
        </w:rPr>
        <w:t xml:space="preserve"> </w:t>
      </w:r>
      <w:r>
        <w:rPr>
          <w:spacing w:val="-1"/>
        </w:rPr>
        <w:t>(whether by</w:t>
      </w:r>
      <w:r>
        <w:rPr>
          <w:spacing w:val="-2"/>
        </w:rPr>
        <w:t xml:space="preserve"> </w:t>
      </w:r>
      <w:r>
        <w:rPr>
          <w:spacing w:val="-1"/>
        </w:rPr>
        <w:t>inspection</w:t>
      </w:r>
      <w:r>
        <w:t xml:space="preserve"> </w:t>
      </w:r>
      <w:r>
        <w:rPr>
          <w:spacing w:val="-1"/>
        </w:rPr>
        <w:t xml:space="preserve">or </w:t>
      </w:r>
      <w:r>
        <w:rPr>
          <w:spacing w:val="-2"/>
        </w:rPr>
        <w:t>having</w:t>
      </w:r>
      <w:r>
        <w:t xml:space="preserve"> </w:t>
      </w:r>
      <w:r>
        <w:rPr>
          <w:spacing w:val="-1"/>
        </w:rPr>
        <w:t>raised</w:t>
      </w:r>
      <w:r>
        <w:t xml:space="preserve"> </w:t>
      </w:r>
      <w:r>
        <w:rPr>
          <w:spacing w:val="-1"/>
        </w:rPr>
        <w:t>all</w:t>
      </w:r>
      <w:r>
        <w:t xml:space="preserve"> </w:t>
      </w:r>
      <w:r>
        <w:rPr>
          <w:spacing w:val="-2"/>
        </w:rPr>
        <w:t>relevant</w:t>
      </w:r>
      <w:r>
        <w:rPr>
          <w:spacing w:val="42"/>
        </w:rPr>
        <w:t xml:space="preserve"> </w:t>
      </w:r>
      <w:r>
        <w:rPr>
          <w:spacing w:val="-1"/>
        </w:rPr>
        <w:t>due</w:t>
      </w:r>
      <w:r>
        <w:rPr>
          <w:spacing w:val="42"/>
        </w:rPr>
        <w:t xml:space="preserve"> </w:t>
      </w:r>
      <w:r>
        <w:rPr>
          <w:spacing w:val="-1"/>
        </w:rPr>
        <w:t>diligence</w:t>
      </w:r>
      <w:r>
        <w:rPr>
          <w:spacing w:val="43"/>
        </w:rPr>
        <w:t xml:space="preserve"> </w:t>
      </w:r>
      <w:r>
        <w:rPr>
          <w:spacing w:val="-1"/>
        </w:rPr>
        <w:t>questions</w:t>
      </w:r>
      <w:r>
        <w:rPr>
          <w:spacing w:val="43"/>
        </w:rPr>
        <w:t xml:space="preserve"> </w:t>
      </w:r>
      <w:r>
        <w:rPr>
          <w:spacing w:val="-1"/>
        </w:rPr>
        <w:t>with</w:t>
      </w:r>
      <w:r>
        <w:rPr>
          <w:spacing w:val="42"/>
        </w:rPr>
        <w:t xml:space="preserve"> </w:t>
      </w:r>
      <w:r>
        <w:t>the</w:t>
      </w:r>
      <w:r>
        <w:rPr>
          <w:spacing w:val="42"/>
        </w:rPr>
        <w:t xml:space="preserve"> </w:t>
      </w:r>
      <w:r>
        <w:rPr>
          <w:spacing w:val="-1"/>
        </w:rPr>
        <w:t>Customer</w:t>
      </w:r>
      <w:r>
        <w:rPr>
          <w:spacing w:val="41"/>
        </w:rPr>
        <w:t xml:space="preserve"> </w:t>
      </w:r>
      <w:r>
        <w:rPr>
          <w:spacing w:val="-1"/>
        </w:rPr>
        <w:t>before</w:t>
      </w:r>
      <w:r>
        <w:rPr>
          <w:spacing w:val="43"/>
        </w:rPr>
        <w:t xml:space="preserve"> </w:t>
      </w:r>
      <w:r>
        <w:t>the</w:t>
      </w:r>
      <w:r>
        <w:rPr>
          <w:spacing w:val="42"/>
        </w:rPr>
        <w:t xml:space="preserve"> </w:t>
      </w:r>
      <w:r>
        <w:rPr>
          <w:spacing w:val="-2"/>
        </w:rPr>
        <w:t>Call</w:t>
      </w:r>
      <w:r>
        <w:rPr>
          <w:spacing w:val="39"/>
        </w:rPr>
        <w:t xml:space="preserve"> </w:t>
      </w:r>
      <w:r>
        <w:rPr>
          <w:spacing w:val="-1"/>
        </w:rPr>
        <w:t>Off</w:t>
      </w:r>
      <w:r>
        <w:rPr>
          <w:spacing w:val="33"/>
        </w:rPr>
        <w:t xml:space="preserve"> </w:t>
      </w:r>
      <w:r>
        <w:rPr>
          <w:spacing w:val="-1"/>
        </w:rPr>
        <w:t>Commencement</w:t>
      </w:r>
      <w:r>
        <w:rPr>
          <w:spacing w:val="30"/>
        </w:rPr>
        <w:t xml:space="preserve"> </w:t>
      </w:r>
      <w:r>
        <w:rPr>
          <w:spacing w:val="-1"/>
        </w:rPr>
        <w:t>Date)</w:t>
      </w:r>
      <w:r>
        <w:rPr>
          <w:spacing w:val="31"/>
        </w:rPr>
        <w:t xml:space="preserve"> </w:t>
      </w:r>
      <w:r>
        <w:rPr>
          <w:spacing w:val="-1"/>
        </w:rPr>
        <w:t>and</w:t>
      </w:r>
      <w:r>
        <w:rPr>
          <w:spacing w:val="31"/>
        </w:rPr>
        <w:t xml:space="preserve"> </w:t>
      </w:r>
      <w:r>
        <w:rPr>
          <w:spacing w:val="-1"/>
        </w:rPr>
        <w:t>has</w:t>
      </w:r>
      <w:r>
        <w:rPr>
          <w:spacing w:val="32"/>
        </w:rPr>
        <w:t xml:space="preserve"> </w:t>
      </w:r>
      <w:r>
        <w:rPr>
          <w:spacing w:val="-1"/>
        </w:rPr>
        <w:t>entered</w:t>
      </w:r>
      <w:r>
        <w:rPr>
          <w:spacing w:val="31"/>
        </w:rPr>
        <w:t xml:space="preserve"> </w:t>
      </w:r>
      <w:r>
        <w:rPr>
          <w:spacing w:val="-1"/>
        </w:rPr>
        <w:t>into</w:t>
      </w:r>
      <w:r>
        <w:rPr>
          <w:spacing w:val="29"/>
        </w:rPr>
        <w:t xml:space="preserve"> </w:t>
      </w:r>
      <w:r>
        <w:rPr>
          <w:spacing w:val="-1"/>
        </w:rPr>
        <w:t>this</w:t>
      </w:r>
      <w:r>
        <w:rPr>
          <w:spacing w:val="32"/>
        </w:rPr>
        <w:t xml:space="preserve"> </w:t>
      </w:r>
      <w:r>
        <w:rPr>
          <w:spacing w:val="-2"/>
        </w:rPr>
        <w:t>Call</w:t>
      </w:r>
      <w:r>
        <w:rPr>
          <w:spacing w:val="32"/>
        </w:rPr>
        <w:t xml:space="preserve"> </w:t>
      </w:r>
      <w:r>
        <w:rPr>
          <w:spacing w:val="-1"/>
        </w:rPr>
        <w:t>Off</w:t>
      </w:r>
      <w:r>
        <w:rPr>
          <w:spacing w:val="33"/>
        </w:rPr>
        <w:t xml:space="preserve"> </w:t>
      </w:r>
      <w:r>
        <w:rPr>
          <w:spacing w:val="-1"/>
        </w:rPr>
        <w:t>Contract</w:t>
      </w:r>
      <w:r>
        <w:rPr>
          <w:spacing w:val="34"/>
        </w:rPr>
        <w:t xml:space="preserve"> </w:t>
      </w:r>
      <w:r>
        <w:rPr>
          <w:spacing w:val="-2"/>
        </w:rPr>
        <w:t>in</w:t>
      </w:r>
      <w:r>
        <w:rPr>
          <w:spacing w:val="27"/>
        </w:rPr>
        <w:t xml:space="preserve"> </w:t>
      </w:r>
      <w:r>
        <w:rPr>
          <w:spacing w:val="-1"/>
        </w:rPr>
        <w:t>reliance</w:t>
      </w:r>
      <w:r>
        <w:rPr>
          <w:spacing w:val="1"/>
        </w:rPr>
        <w:t xml:space="preserve"> </w:t>
      </w:r>
      <w:r>
        <w:rPr>
          <w:spacing w:val="-1"/>
        </w:rPr>
        <w:t>on</w:t>
      </w:r>
      <w:r>
        <w:t xml:space="preserve"> </w:t>
      </w:r>
      <w:r>
        <w:rPr>
          <w:spacing w:val="-1"/>
        </w:rPr>
        <w:t>its</w:t>
      </w:r>
      <w:r>
        <w:rPr>
          <w:spacing w:val="-2"/>
        </w:rPr>
        <w:t xml:space="preserve"> own</w:t>
      </w:r>
      <w:r>
        <w:t xml:space="preserve"> </w:t>
      </w:r>
      <w:r>
        <w:rPr>
          <w:spacing w:val="-1"/>
        </w:rPr>
        <w:t>due</w:t>
      </w:r>
      <w:r>
        <w:t xml:space="preserve"> </w:t>
      </w:r>
      <w:r>
        <w:rPr>
          <w:spacing w:val="-2"/>
        </w:rPr>
        <w:t>diligence</w:t>
      </w:r>
      <w:r>
        <w:rPr>
          <w:spacing w:val="1"/>
        </w:rPr>
        <w:t xml:space="preserve"> </w:t>
      </w:r>
      <w:r>
        <w:rPr>
          <w:spacing w:val="-1"/>
        </w:rPr>
        <w:t>alone;</w:t>
      </w:r>
      <w:r>
        <w:rPr>
          <w:spacing w:val="3"/>
        </w:rPr>
        <w:t xml:space="preserve"> </w:t>
      </w:r>
      <w:r>
        <w:rPr>
          <w:spacing w:val="-1"/>
        </w:rPr>
        <w:t>and</w:t>
      </w:r>
    </w:p>
    <w:p w:rsidR="008918FA" w:rsidRDefault="008918FA" w:rsidP="008918FA">
      <w:pPr>
        <w:pStyle w:val="BodyText"/>
        <w:numPr>
          <w:ilvl w:val="3"/>
          <w:numId w:val="69"/>
        </w:numPr>
        <w:tabs>
          <w:tab w:val="left" w:pos="2247"/>
        </w:tabs>
        <w:ind w:left="2246" w:right="113"/>
        <w:jc w:val="both"/>
      </w:pPr>
      <w:r>
        <w:rPr>
          <w:spacing w:val="-1"/>
        </w:rPr>
        <w:t>it</w:t>
      </w:r>
      <w:r>
        <w:rPr>
          <w:spacing w:val="23"/>
        </w:rPr>
        <w:t xml:space="preserve"> </w:t>
      </w:r>
      <w:r>
        <w:rPr>
          <w:spacing w:val="-1"/>
        </w:rPr>
        <w:t>shall</w:t>
      </w:r>
      <w:r>
        <w:rPr>
          <w:spacing w:val="21"/>
        </w:rPr>
        <w:t xml:space="preserve"> </w:t>
      </w:r>
      <w:r>
        <w:rPr>
          <w:spacing w:val="-1"/>
        </w:rPr>
        <w:t>not</w:t>
      </w:r>
      <w:r>
        <w:rPr>
          <w:spacing w:val="23"/>
        </w:rPr>
        <w:t xml:space="preserve"> </w:t>
      </w:r>
      <w:r>
        <w:rPr>
          <w:spacing w:val="-1"/>
        </w:rPr>
        <w:t>be</w:t>
      </w:r>
      <w:r>
        <w:rPr>
          <w:spacing w:val="22"/>
        </w:rPr>
        <w:t xml:space="preserve"> </w:t>
      </w:r>
      <w:r>
        <w:rPr>
          <w:spacing w:val="-1"/>
        </w:rPr>
        <w:t>excused</w:t>
      </w:r>
      <w:r>
        <w:rPr>
          <w:spacing w:val="22"/>
        </w:rPr>
        <w:t xml:space="preserve"> </w:t>
      </w:r>
      <w:r>
        <w:t>from</w:t>
      </w:r>
      <w:r>
        <w:rPr>
          <w:spacing w:val="23"/>
        </w:rPr>
        <w:t xml:space="preserve"> </w:t>
      </w:r>
      <w:r>
        <w:t>the</w:t>
      </w:r>
      <w:r>
        <w:rPr>
          <w:spacing w:val="22"/>
        </w:rPr>
        <w:t xml:space="preserve"> </w:t>
      </w:r>
      <w:r>
        <w:rPr>
          <w:spacing w:val="-1"/>
        </w:rPr>
        <w:t>performance</w:t>
      </w:r>
      <w:r>
        <w:rPr>
          <w:spacing w:val="22"/>
        </w:rPr>
        <w:t xml:space="preserve"> </w:t>
      </w:r>
      <w:r>
        <w:rPr>
          <w:spacing w:val="-2"/>
        </w:rPr>
        <w:t>of</w:t>
      </w:r>
      <w:r>
        <w:rPr>
          <w:spacing w:val="23"/>
        </w:rPr>
        <w:t xml:space="preserve"> </w:t>
      </w:r>
      <w:r>
        <w:rPr>
          <w:spacing w:val="-1"/>
        </w:rPr>
        <w:t>any</w:t>
      </w:r>
      <w:r>
        <w:rPr>
          <w:spacing w:val="20"/>
        </w:rPr>
        <w:t xml:space="preserve"> </w:t>
      </w:r>
      <w:r>
        <w:rPr>
          <w:spacing w:val="-1"/>
        </w:rPr>
        <w:t>of</w:t>
      </w:r>
      <w:r>
        <w:rPr>
          <w:spacing w:val="26"/>
        </w:rPr>
        <w:t xml:space="preserve"> </w:t>
      </w:r>
      <w:r>
        <w:rPr>
          <w:spacing w:val="-1"/>
        </w:rPr>
        <w:t>its</w:t>
      </w:r>
      <w:r>
        <w:rPr>
          <w:spacing w:val="22"/>
        </w:rPr>
        <w:t xml:space="preserve"> </w:t>
      </w:r>
      <w:r>
        <w:rPr>
          <w:spacing w:val="-1"/>
        </w:rPr>
        <w:t>obligations</w:t>
      </w:r>
      <w:r>
        <w:rPr>
          <w:spacing w:val="32"/>
        </w:rPr>
        <w:t xml:space="preserve"> </w:t>
      </w:r>
      <w:r>
        <w:rPr>
          <w:spacing w:val="-1"/>
        </w:rPr>
        <w:t>under this</w:t>
      </w:r>
      <w:r>
        <w:rPr>
          <w:spacing w:val="1"/>
        </w:rPr>
        <w:t xml:space="preserve"> </w:t>
      </w:r>
      <w:r>
        <w:rPr>
          <w:spacing w:val="-2"/>
        </w:rPr>
        <w:t>Call</w:t>
      </w:r>
      <w:r>
        <w:t xml:space="preserve"> </w:t>
      </w:r>
      <w:r>
        <w:rPr>
          <w:spacing w:val="-1"/>
        </w:rPr>
        <w:t>Off</w:t>
      </w:r>
      <w:r>
        <w:rPr>
          <w:spacing w:val="2"/>
        </w:rPr>
        <w:t xml:space="preserve"> </w:t>
      </w:r>
      <w:r>
        <w:rPr>
          <w:spacing w:val="-2"/>
        </w:rPr>
        <w:t>Contract</w:t>
      </w:r>
      <w:r>
        <w:rPr>
          <w:spacing w:val="2"/>
        </w:rPr>
        <w:t xml:space="preserve"> </w:t>
      </w:r>
      <w:r>
        <w:rPr>
          <w:spacing w:val="-1"/>
        </w:rPr>
        <w:t>on</w:t>
      </w:r>
      <w:r>
        <w:rPr>
          <w:spacing w:val="-2"/>
        </w:rPr>
        <w:t xml:space="preserve"> </w:t>
      </w:r>
      <w:r>
        <w:t>the</w:t>
      </w:r>
      <w:r>
        <w:rPr>
          <w:spacing w:val="-4"/>
        </w:rPr>
        <w:t xml:space="preserve"> </w:t>
      </w:r>
      <w:r>
        <w:rPr>
          <w:spacing w:val="-1"/>
        </w:rPr>
        <w:t>grounds</w:t>
      </w:r>
      <w:r>
        <w:rPr>
          <w:spacing w:val="-2"/>
        </w:rPr>
        <w:t xml:space="preserve"> </w:t>
      </w:r>
      <w:r>
        <w:rPr>
          <w:spacing w:val="-1"/>
        </w:rPr>
        <w:t>of,</w:t>
      </w:r>
      <w:r>
        <w:t xml:space="preserve"> </w:t>
      </w:r>
      <w:r>
        <w:rPr>
          <w:spacing w:val="-2"/>
        </w:rPr>
        <w:t>nor</w:t>
      </w:r>
      <w:r>
        <w:rPr>
          <w:spacing w:val="2"/>
        </w:rPr>
        <w:t xml:space="preserve"> </w:t>
      </w:r>
      <w:r>
        <w:rPr>
          <w:spacing w:val="-1"/>
        </w:rPr>
        <w:t>shall</w:t>
      </w:r>
      <w:r>
        <w:t xml:space="preserve"> the</w:t>
      </w:r>
      <w:r>
        <w:rPr>
          <w:spacing w:val="-2"/>
        </w:rPr>
        <w:t xml:space="preserve"> Supplier</w:t>
      </w:r>
      <w:r>
        <w:rPr>
          <w:spacing w:val="2"/>
        </w:rPr>
        <w:t xml:space="preserve"> </w:t>
      </w:r>
      <w:r>
        <w:rPr>
          <w:spacing w:val="-1"/>
        </w:rPr>
        <w:t>be</w:t>
      </w:r>
      <w:r>
        <w:rPr>
          <w:spacing w:val="64"/>
        </w:rPr>
        <w:t xml:space="preserve"> </w:t>
      </w:r>
      <w:r>
        <w:rPr>
          <w:spacing w:val="-1"/>
        </w:rPr>
        <w:t>entitled</w:t>
      </w:r>
      <w:r>
        <w:rPr>
          <w:spacing w:val="20"/>
        </w:rPr>
        <w:t xml:space="preserve"> </w:t>
      </w:r>
      <w:r>
        <w:t>to</w:t>
      </w:r>
      <w:r>
        <w:rPr>
          <w:spacing w:val="20"/>
        </w:rPr>
        <w:t xml:space="preserve"> </w:t>
      </w:r>
      <w:r>
        <w:rPr>
          <w:spacing w:val="-1"/>
        </w:rPr>
        <w:t>recover</w:t>
      </w:r>
      <w:r>
        <w:rPr>
          <w:spacing w:val="21"/>
        </w:rPr>
        <w:t xml:space="preserve"> </w:t>
      </w:r>
      <w:r>
        <w:rPr>
          <w:spacing w:val="-1"/>
        </w:rPr>
        <w:t>any</w:t>
      </w:r>
      <w:r>
        <w:rPr>
          <w:spacing w:val="18"/>
        </w:rPr>
        <w:t xml:space="preserve"> </w:t>
      </w:r>
      <w:r>
        <w:rPr>
          <w:spacing w:val="-1"/>
        </w:rPr>
        <w:t>additional</w:t>
      </w:r>
      <w:r>
        <w:rPr>
          <w:spacing w:val="19"/>
        </w:rPr>
        <w:t xml:space="preserve"> </w:t>
      </w:r>
      <w:r>
        <w:rPr>
          <w:spacing w:val="-1"/>
        </w:rPr>
        <w:t>costs</w:t>
      </w:r>
      <w:r>
        <w:rPr>
          <w:spacing w:val="20"/>
        </w:rPr>
        <w:t xml:space="preserve"> </w:t>
      </w:r>
      <w:r>
        <w:rPr>
          <w:spacing w:val="-1"/>
        </w:rPr>
        <w:t>or</w:t>
      </w:r>
      <w:r>
        <w:rPr>
          <w:spacing w:val="21"/>
        </w:rPr>
        <w:t xml:space="preserve"> </w:t>
      </w:r>
      <w:r>
        <w:rPr>
          <w:spacing w:val="-1"/>
        </w:rPr>
        <w:t>charges,</w:t>
      </w:r>
      <w:r>
        <w:rPr>
          <w:spacing w:val="22"/>
        </w:rPr>
        <w:t xml:space="preserve"> </w:t>
      </w:r>
      <w:r>
        <w:rPr>
          <w:spacing w:val="-1"/>
        </w:rPr>
        <w:t>arising</w:t>
      </w:r>
      <w:r>
        <w:rPr>
          <w:spacing w:val="22"/>
        </w:rPr>
        <w:t xml:space="preserve"> </w:t>
      </w:r>
      <w:r>
        <w:rPr>
          <w:spacing w:val="-1"/>
        </w:rPr>
        <w:t>as</w:t>
      </w:r>
      <w:r>
        <w:rPr>
          <w:spacing w:val="20"/>
        </w:rPr>
        <w:t xml:space="preserve"> </w:t>
      </w:r>
      <w:r>
        <w:t>a</w:t>
      </w:r>
      <w:r>
        <w:rPr>
          <w:spacing w:val="19"/>
        </w:rPr>
        <w:t xml:space="preserve"> </w:t>
      </w:r>
      <w:r>
        <w:rPr>
          <w:spacing w:val="-1"/>
        </w:rPr>
        <w:t>result</w:t>
      </w:r>
      <w:r>
        <w:rPr>
          <w:spacing w:val="43"/>
        </w:rPr>
        <w:t xml:space="preserve"> </w:t>
      </w:r>
      <w:r>
        <w:rPr>
          <w:spacing w:val="-2"/>
        </w:rPr>
        <w:t>of</w:t>
      </w:r>
      <w:r>
        <w:rPr>
          <w:spacing w:val="4"/>
        </w:rPr>
        <w:t xml:space="preserve"> </w:t>
      </w:r>
      <w:r>
        <w:rPr>
          <w:spacing w:val="-2"/>
        </w:rPr>
        <w:t>any:</w:t>
      </w:r>
    </w:p>
    <w:p w:rsidR="008918FA" w:rsidRDefault="008918FA" w:rsidP="008918FA">
      <w:pPr>
        <w:pStyle w:val="BodyText"/>
        <w:numPr>
          <w:ilvl w:val="4"/>
          <w:numId w:val="69"/>
        </w:numPr>
        <w:tabs>
          <w:tab w:val="left" w:pos="2955"/>
        </w:tabs>
        <w:spacing w:before="121"/>
        <w:ind w:right="115"/>
      </w:pPr>
      <w:r>
        <w:rPr>
          <w:spacing w:val="-1"/>
        </w:rPr>
        <w:t>misinterpretation</w:t>
      </w:r>
      <w:r>
        <w:rPr>
          <w:spacing w:val="51"/>
        </w:rPr>
        <w:t xml:space="preserve"> </w:t>
      </w:r>
      <w:r>
        <w:rPr>
          <w:spacing w:val="-2"/>
        </w:rPr>
        <w:t>of</w:t>
      </w:r>
      <w:r>
        <w:rPr>
          <w:spacing w:val="52"/>
        </w:rPr>
        <w:t xml:space="preserve"> </w:t>
      </w:r>
      <w:r>
        <w:t>the</w:t>
      </w:r>
      <w:r>
        <w:rPr>
          <w:spacing w:val="48"/>
        </w:rPr>
        <w:t xml:space="preserve"> </w:t>
      </w:r>
      <w:r>
        <w:rPr>
          <w:spacing w:val="-1"/>
        </w:rPr>
        <w:t>requirements</w:t>
      </w:r>
      <w:r>
        <w:rPr>
          <w:spacing w:val="51"/>
        </w:rPr>
        <w:t xml:space="preserve"> </w:t>
      </w:r>
      <w:r>
        <w:rPr>
          <w:spacing w:val="-2"/>
        </w:rPr>
        <w:t>of</w:t>
      </w:r>
      <w:r>
        <w:rPr>
          <w:spacing w:val="50"/>
        </w:rPr>
        <w:t xml:space="preserve"> </w:t>
      </w:r>
      <w:r>
        <w:t>the</w:t>
      </w:r>
      <w:r>
        <w:rPr>
          <w:spacing w:val="51"/>
        </w:rPr>
        <w:t xml:space="preserve"> </w:t>
      </w:r>
      <w:r>
        <w:rPr>
          <w:spacing w:val="-2"/>
        </w:rPr>
        <w:t>Customer</w:t>
      </w:r>
      <w:r>
        <w:rPr>
          <w:spacing w:val="53"/>
        </w:rPr>
        <w:t xml:space="preserve"> </w:t>
      </w:r>
      <w:r>
        <w:rPr>
          <w:spacing w:val="-1"/>
        </w:rPr>
        <w:t>in</w:t>
      </w:r>
      <w:r>
        <w:rPr>
          <w:spacing w:val="48"/>
        </w:rPr>
        <w:t xml:space="preserve"> </w:t>
      </w:r>
      <w:r>
        <w:rPr>
          <w:spacing w:val="-1"/>
        </w:rPr>
        <w:t>the</w:t>
      </w:r>
      <w:r>
        <w:rPr>
          <w:spacing w:val="38"/>
        </w:rPr>
        <w:t xml:space="preserve"> </w:t>
      </w:r>
      <w:r>
        <w:rPr>
          <w:spacing w:val="-1"/>
        </w:rPr>
        <w:t>Order</w:t>
      </w:r>
      <w:r>
        <w:rPr>
          <w:spacing w:val="2"/>
        </w:rPr>
        <w:t xml:space="preserve"> </w:t>
      </w:r>
      <w:r>
        <w:rPr>
          <w:spacing w:val="-1"/>
        </w:rPr>
        <w:t xml:space="preserve">Form or </w:t>
      </w:r>
      <w:r>
        <w:rPr>
          <w:spacing w:val="-2"/>
        </w:rPr>
        <w:t>elsewhere</w:t>
      </w:r>
      <w:r>
        <w:t xml:space="preserve"> </w:t>
      </w:r>
      <w:r>
        <w:rPr>
          <w:spacing w:val="-1"/>
        </w:rPr>
        <w:t>in</w:t>
      </w:r>
      <w:r>
        <w:t xml:space="preserve"> </w:t>
      </w:r>
      <w:r>
        <w:rPr>
          <w:spacing w:val="-1"/>
        </w:rPr>
        <w:t>this</w:t>
      </w:r>
      <w:r>
        <w:rPr>
          <w:spacing w:val="-2"/>
        </w:rPr>
        <w:t xml:space="preserve"> Call</w:t>
      </w:r>
      <w:r>
        <w:t xml:space="preserve"> </w:t>
      </w:r>
      <w:r>
        <w:rPr>
          <w:spacing w:val="-1"/>
        </w:rPr>
        <w:t>Off</w:t>
      </w:r>
      <w:r>
        <w:rPr>
          <w:spacing w:val="2"/>
        </w:rPr>
        <w:t xml:space="preserve"> </w:t>
      </w:r>
      <w:r>
        <w:rPr>
          <w:spacing w:val="-2"/>
        </w:rPr>
        <w:t>Contract;</w:t>
      </w:r>
      <w:r>
        <w:rPr>
          <w:spacing w:val="2"/>
        </w:rPr>
        <w:t xml:space="preserve"> </w:t>
      </w:r>
      <w:r>
        <w:rPr>
          <w:spacing w:val="-1"/>
        </w:rPr>
        <w:t>and/or</w:t>
      </w:r>
    </w:p>
    <w:p w:rsidR="008918FA" w:rsidRDefault="008918FA" w:rsidP="008918FA">
      <w:pPr>
        <w:pStyle w:val="BodyText"/>
        <w:numPr>
          <w:ilvl w:val="4"/>
          <w:numId w:val="69"/>
        </w:numPr>
        <w:tabs>
          <w:tab w:val="left" w:pos="2955"/>
        </w:tabs>
        <w:spacing w:before="121"/>
        <w:ind w:right="118"/>
      </w:pPr>
      <w:r>
        <w:rPr>
          <w:spacing w:val="-1"/>
        </w:rPr>
        <w:t>failure</w:t>
      </w:r>
      <w:r>
        <w:rPr>
          <w:spacing w:val="10"/>
        </w:rPr>
        <w:t xml:space="preserve"> </w:t>
      </w:r>
      <w:r>
        <w:rPr>
          <w:spacing w:val="-1"/>
        </w:rPr>
        <w:t>by</w:t>
      </w:r>
      <w:r>
        <w:rPr>
          <w:spacing w:val="8"/>
        </w:rPr>
        <w:t xml:space="preserve"> </w:t>
      </w:r>
      <w:r>
        <w:t>the</w:t>
      </w:r>
      <w:r>
        <w:rPr>
          <w:spacing w:val="10"/>
        </w:rPr>
        <w:t xml:space="preserve"> </w:t>
      </w:r>
      <w:r>
        <w:rPr>
          <w:spacing w:val="-2"/>
        </w:rPr>
        <w:t>Supplier</w:t>
      </w:r>
      <w:r>
        <w:rPr>
          <w:spacing w:val="11"/>
        </w:rPr>
        <w:t xml:space="preserve"> </w:t>
      </w:r>
      <w:r>
        <w:t>to</w:t>
      </w:r>
      <w:r>
        <w:rPr>
          <w:spacing w:val="7"/>
        </w:rPr>
        <w:t xml:space="preserve"> </w:t>
      </w:r>
      <w:r>
        <w:rPr>
          <w:spacing w:val="-1"/>
        </w:rPr>
        <w:t>satisfy</w:t>
      </w:r>
      <w:r>
        <w:rPr>
          <w:spacing w:val="8"/>
        </w:rPr>
        <w:t xml:space="preserve"> </w:t>
      </w:r>
      <w:r>
        <w:rPr>
          <w:spacing w:val="-1"/>
        </w:rPr>
        <w:t>itself</w:t>
      </w:r>
      <w:r>
        <w:rPr>
          <w:spacing w:val="14"/>
        </w:rPr>
        <w:t xml:space="preserve"> </w:t>
      </w:r>
      <w:r>
        <w:rPr>
          <w:spacing w:val="-2"/>
        </w:rPr>
        <w:t>as</w:t>
      </w:r>
      <w:r>
        <w:rPr>
          <w:spacing w:val="10"/>
        </w:rPr>
        <w:t xml:space="preserve"> </w:t>
      </w:r>
      <w:r>
        <w:t>to</w:t>
      </w:r>
      <w:r>
        <w:rPr>
          <w:spacing w:val="7"/>
        </w:rPr>
        <w:t xml:space="preserve"> </w:t>
      </w:r>
      <w:r>
        <w:t>the</w:t>
      </w:r>
      <w:r>
        <w:rPr>
          <w:spacing w:val="10"/>
        </w:rPr>
        <w:t xml:space="preserve"> </w:t>
      </w:r>
      <w:r>
        <w:rPr>
          <w:spacing w:val="-1"/>
        </w:rPr>
        <w:t>accuracy</w:t>
      </w:r>
      <w:r>
        <w:rPr>
          <w:spacing w:val="8"/>
        </w:rPr>
        <w:t xml:space="preserve"> </w:t>
      </w:r>
      <w:r>
        <w:rPr>
          <w:spacing w:val="-1"/>
        </w:rPr>
        <w:t>and/or</w:t>
      </w:r>
      <w:r>
        <w:rPr>
          <w:spacing w:val="41"/>
        </w:rPr>
        <w:t xml:space="preserve"> </w:t>
      </w:r>
      <w:r>
        <w:rPr>
          <w:spacing w:val="-1"/>
        </w:rPr>
        <w:t xml:space="preserve">adequacy </w:t>
      </w:r>
      <w:r>
        <w:rPr>
          <w:spacing w:val="-2"/>
        </w:rPr>
        <w:t>of</w:t>
      </w:r>
      <w:r>
        <w:t xml:space="preserve"> the </w:t>
      </w:r>
      <w:r>
        <w:rPr>
          <w:spacing w:val="-1"/>
        </w:rPr>
        <w:t>Due</w:t>
      </w:r>
      <w:r>
        <w:t xml:space="preserve"> </w:t>
      </w:r>
      <w:r>
        <w:rPr>
          <w:spacing w:val="-2"/>
        </w:rPr>
        <w:t>Diligence</w:t>
      </w:r>
      <w:r>
        <w:rPr>
          <w:spacing w:val="-1"/>
        </w:rPr>
        <w:t xml:space="preserve"> Information.</w:t>
      </w:r>
    </w:p>
    <w:p w:rsidR="008918FA" w:rsidRDefault="008918FA" w:rsidP="008918FA">
      <w:pPr>
        <w:pStyle w:val="BodyText"/>
        <w:numPr>
          <w:ilvl w:val="1"/>
          <w:numId w:val="69"/>
        </w:numPr>
        <w:tabs>
          <w:tab w:val="left" w:pos="687"/>
        </w:tabs>
        <w:spacing w:before="120"/>
        <w:ind w:left="686" w:hanging="566"/>
        <w:rPr>
          <w:rFonts w:ascii="Times New Roman" w:eastAsia="Times New Roman" w:hAnsi="Times New Roman" w:cs="Times New Roman"/>
        </w:rPr>
      </w:pPr>
      <w:bookmarkStart w:id="44" w:name="_bookmark48"/>
      <w:bookmarkEnd w:id="44"/>
      <w:r>
        <w:rPr>
          <w:rFonts w:ascii="Times New Roman"/>
          <w:spacing w:val="6"/>
        </w:rPr>
        <w:t>REPRESENTATIONS</w:t>
      </w:r>
      <w:r>
        <w:rPr>
          <w:rFonts w:ascii="Times New Roman"/>
          <w:spacing w:val="33"/>
        </w:rPr>
        <w:t xml:space="preserve"> </w:t>
      </w:r>
      <w:r>
        <w:rPr>
          <w:rFonts w:ascii="Times New Roman"/>
          <w:spacing w:val="-2"/>
        </w:rPr>
        <w:t>AND</w:t>
      </w:r>
      <w:r>
        <w:rPr>
          <w:rFonts w:ascii="Times New Roman"/>
          <w:spacing w:val="6"/>
        </w:rPr>
        <w:t xml:space="preserve"> </w:t>
      </w:r>
      <w:r>
        <w:rPr>
          <w:rFonts w:ascii="Times New Roman"/>
          <w:spacing w:val="1"/>
        </w:rPr>
        <w:t>WARRANTIES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2"/>
          <w:numId w:val="69"/>
        </w:numPr>
        <w:tabs>
          <w:tab w:val="left" w:pos="1049"/>
        </w:tabs>
        <w:spacing w:before="0"/>
        <w:ind w:left="1048"/>
      </w:pPr>
      <w:bookmarkStart w:id="45" w:name="_bookmark49"/>
      <w:bookmarkEnd w:id="45"/>
      <w:r>
        <w:rPr>
          <w:spacing w:val="-1"/>
        </w:rPr>
        <w:t>Each</w:t>
      </w:r>
      <w:r>
        <w:rPr>
          <w:spacing w:val="1"/>
        </w:rPr>
        <w:t xml:space="preserve"> </w:t>
      </w:r>
      <w:r>
        <w:rPr>
          <w:spacing w:val="-1"/>
        </w:rPr>
        <w:t>Party</w:t>
      </w:r>
      <w:r>
        <w:rPr>
          <w:spacing w:val="-4"/>
        </w:rPr>
        <w:t xml:space="preserve"> </w:t>
      </w:r>
      <w:r>
        <w:rPr>
          <w:spacing w:val="-1"/>
        </w:rPr>
        <w:t>represents</w:t>
      </w:r>
      <w:r>
        <w:rPr>
          <w:spacing w:val="-2"/>
        </w:rPr>
        <w:t xml:space="preserve"> and</w:t>
      </w:r>
      <w:r>
        <w:t xml:space="preserve"> </w:t>
      </w:r>
      <w:r>
        <w:rPr>
          <w:spacing w:val="-1"/>
        </w:rPr>
        <w:t>warranties</w:t>
      </w:r>
      <w:r>
        <w:rPr>
          <w:spacing w:val="-2"/>
        </w:rPr>
        <w:t xml:space="preserve"> </w:t>
      </w:r>
      <w:r>
        <w:rPr>
          <w:spacing w:val="-1"/>
        </w:rPr>
        <w:t>that:</w:t>
      </w:r>
    </w:p>
    <w:p w:rsidR="008918FA" w:rsidRDefault="008918FA" w:rsidP="008918FA">
      <w:pPr>
        <w:pStyle w:val="BodyText"/>
        <w:numPr>
          <w:ilvl w:val="3"/>
          <w:numId w:val="69"/>
        </w:numPr>
        <w:tabs>
          <w:tab w:val="left" w:pos="2247"/>
        </w:tabs>
        <w:ind w:left="2246" w:right="114"/>
        <w:jc w:val="both"/>
      </w:pPr>
      <w:r>
        <w:rPr>
          <w:spacing w:val="-1"/>
        </w:rPr>
        <w:t>it</w:t>
      </w:r>
      <w:r>
        <w:rPr>
          <w:spacing w:val="23"/>
        </w:rPr>
        <w:t xml:space="preserve"> </w:t>
      </w:r>
      <w:r>
        <w:rPr>
          <w:spacing w:val="-1"/>
        </w:rPr>
        <w:t>has</w:t>
      </w:r>
      <w:r>
        <w:rPr>
          <w:spacing w:val="20"/>
        </w:rPr>
        <w:t xml:space="preserve"> </w:t>
      </w:r>
      <w:r>
        <w:t>full</w:t>
      </w:r>
      <w:r>
        <w:rPr>
          <w:spacing w:val="21"/>
        </w:rPr>
        <w:t xml:space="preserve"> </w:t>
      </w:r>
      <w:r>
        <w:rPr>
          <w:spacing w:val="-1"/>
        </w:rPr>
        <w:t>capacity</w:t>
      </w:r>
      <w:r>
        <w:rPr>
          <w:spacing w:val="20"/>
        </w:rPr>
        <w:t xml:space="preserve"> </w:t>
      </w:r>
      <w:r>
        <w:rPr>
          <w:spacing w:val="-1"/>
        </w:rPr>
        <w:t>and</w:t>
      </w:r>
      <w:r>
        <w:rPr>
          <w:spacing w:val="22"/>
        </w:rPr>
        <w:t xml:space="preserve"> </w:t>
      </w:r>
      <w:r>
        <w:rPr>
          <w:spacing w:val="-1"/>
        </w:rPr>
        <w:t>authority</w:t>
      </w:r>
      <w:r>
        <w:rPr>
          <w:spacing w:val="20"/>
        </w:rPr>
        <w:t xml:space="preserve"> </w:t>
      </w:r>
      <w:r>
        <w:t>to</w:t>
      </w:r>
      <w:r>
        <w:rPr>
          <w:spacing w:val="22"/>
        </w:rPr>
        <w:t xml:space="preserve"> </w:t>
      </w:r>
      <w:r>
        <w:rPr>
          <w:spacing w:val="-1"/>
        </w:rPr>
        <w:t>enter</w:t>
      </w:r>
      <w:r>
        <w:rPr>
          <w:spacing w:val="23"/>
        </w:rPr>
        <w:t xml:space="preserve"> </w:t>
      </w:r>
      <w:r>
        <w:rPr>
          <w:spacing w:val="-1"/>
        </w:rPr>
        <w:t>into</w:t>
      </w:r>
      <w:r>
        <w:rPr>
          <w:spacing w:val="22"/>
        </w:rPr>
        <w:t xml:space="preserve"> </w:t>
      </w:r>
      <w:r>
        <w:rPr>
          <w:spacing w:val="-2"/>
        </w:rPr>
        <w:t>and</w:t>
      </w:r>
      <w:r>
        <w:rPr>
          <w:spacing w:val="22"/>
        </w:rPr>
        <w:t xml:space="preserve"> </w:t>
      </w:r>
      <w:r>
        <w:t>to</w:t>
      </w:r>
      <w:r>
        <w:rPr>
          <w:spacing w:val="22"/>
        </w:rPr>
        <w:t xml:space="preserve"> </w:t>
      </w:r>
      <w:r>
        <w:rPr>
          <w:spacing w:val="-1"/>
        </w:rPr>
        <w:t>perform</w:t>
      </w:r>
      <w:r>
        <w:rPr>
          <w:spacing w:val="23"/>
        </w:rPr>
        <w:t xml:space="preserve"> </w:t>
      </w:r>
      <w:r>
        <w:rPr>
          <w:spacing w:val="-1"/>
        </w:rPr>
        <w:t>this</w:t>
      </w:r>
      <w:r>
        <w:rPr>
          <w:spacing w:val="22"/>
        </w:rPr>
        <w:t xml:space="preserve"> </w:t>
      </w:r>
      <w:r>
        <w:rPr>
          <w:spacing w:val="-2"/>
        </w:rPr>
        <w:t>Call</w:t>
      </w:r>
      <w:r>
        <w:rPr>
          <w:spacing w:val="47"/>
        </w:rPr>
        <w:t xml:space="preserve"> </w:t>
      </w:r>
      <w:r>
        <w:rPr>
          <w:spacing w:val="-1"/>
        </w:rPr>
        <w:t>Off</w:t>
      </w:r>
      <w:r>
        <w:rPr>
          <w:spacing w:val="2"/>
        </w:rPr>
        <w:t xml:space="preserve"> </w:t>
      </w:r>
      <w:r>
        <w:rPr>
          <w:spacing w:val="-1"/>
        </w:rPr>
        <w:t>Contract;</w:t>
      </w:r>
    </w:p>
    <w:p w:rsidR="008918FA" w:rsidRDefault="008918FA" w:rsidP="008918FA">
      <w:pPr>
        <w:pStyle w:val="BodyText"/>
        <w:numPr>
          <w:ilvl w:val="3"/>
          <w:numId w:val="69"/>
        </w:numPr>
        <w:tabs>
          <w:tab w:val="left" w:pos="2247"/>
        </w:tabs>
        <w:ind w:left="2246"/>
      </w:pP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is</w:t>
      </w:r>
      <w:r>
        <w:rPr>
          <w:spacing w:val="1"/>
        </w:rPr>
        <w:t xml:space="preserve"> </w:t>
      </w:r>
      <w:r>
        <w:rPr>
          <w:spacing w:val="-1"/>
        </w:rPr>
        <w:t>executed</w:t>
      </w:r>
      <w:r>
        <w:t xml:space="preserve"> </w:t>
      </w:r>
      <w:r>
        <w:rPr>
          <w:spacing w:val="-1"/>
        </w:rPr>
        <w:t>by</w:t>
      </w:r>
      <w:r>
        <w:rPr>
          <w:spacing w:val="-2"/>
        </w:rPr>
        <w:t xml:space="preserve"> </w:t>
      </w:r>
      <w:r>
        <w:rPr>
          <w:spacing w:val="-1"/>
        </w:rPr>
        <w:t>its</w:t>
      </w:r>
      <w:r>
        <w:rPr>
          <w:spacing w:val="1"/>
        </w:rPr>
        <w:t xml:space="preserve"> </w:t>
      </w:r>
      <w:r>
        <w:rPr>
          <w:spacing w:val="-1"/>
        </w:rPr>
        <w:t>duly</w:t>
      </w:r>
      <w:r>
        <w:rPr>
          <w:spacing w:val="-2"/>
        </w:rPr>
        <w:t xml:space="preserve"> </w:t>
      </w:r>
      <w:r>
        <w:rPr>
          <w:spacing w:val="-1"/>
        </w:rPr>
        <w:t>authorised</w:t>
      </w:r>
      <w:r>
        <w:t xml:space="preserve"> </w:t>
      </w:r>
      <w:r>
        <w:rPr>
          <w:spacing w:val="-1"/>
        </w:rPr>
        <w:t>representative;</w:t>
      </w:r>
    </w:p>
    <w:p w:rsidR="008918FA" w:rsidRDefault="008918FA" w:rsidP="008918FA">
      <w:pPr>
        <w:sectPr w:rsidR="008918FA">
          <w:pgSz w:w="11910" w:h="16840"/>
          <w:pgMar w:top="1480" w:right="1300" w:bottom="1180" w:left="1320" w:header="0" w:footer="987" w:gutter="0"/>
          <w:cols w:space="720"/>
        </w:sectPr>
      </w:pPr>
    </w:p>
    <w:p w:rsidR="008918FA" w:rsidRDefault="008918FA" w:rsidP="008918FA">
      <w:pPr>
        <w:pStyle w:val="BodyText"/>
        <w:numPr>
          <w:ilvl w:val="3"/>
          <w:numId w:val="69"/>
        </w:numPr>
        <w:tabs>
          <w:tab w:val="left" w:pos="1887"/>
        </w:tabs>
        <w:spacing w:before="59"/>
        <w:ind w:left="1886" w:right="112"/>
        <w:jc w:val="both"/>
      </w:pPr>
      <w:r>
        <w:rPr>
          <w:spacing w:val="-1"/>
        </w:rPr>
        <w:lastRenderedPageBreak/>
        <w:t>there</w:t>
      </w:r>
      <w:r>
        <w:rPr>
          <w:spacing w:val="22"/>
        </w:rPr>
        <w:t xml:space="preserve"> </w:t>
      </w:r>
      <w:r>
        <w:rPr>
          <w:spacing w:val="-1"/>
        </w:rPr>
        <w:t>are</w:t>
      </w:r>
      <w:r>
        <w:rPr>
          <w:spacing w:val="22"/>
        </w:rPr>
        <w:t xml:space="preserve"> </w:t>
      </w:r>
      <w:r>
        <w:rPr>
          <w:spacing w:val="-1"/>
        </w:rPr>
        <w:t>no</w:t>
      </w:r>
      <w:r>
        <w:rPr>
          <w:spacing w:val="19"/>
        </w:rPr>
        <w:t xml:space="preserve"> </w:t>
      </w:r>
      <w:r>
        <w:rPr>
          <w:spacing w:val="-1"/>
        </w:rPr>
        <w:t>actions,</w:t>
      </w:r>
      <w:r>
        <w:rPr>
          <w:spacing w:val="24"/>
        </w:rPr>
        <w:t xml:space="preserve"> </w:t>
      </w:r>
      <w:r>
        <w:rPr>
          <w:spacing w:val="-1"/>
        </w:rPr>
        <w:t>suits</w:t>
      </w:r>
      <w:r>
        <w:rPr>
          <w:spacing w:val="22"/>
        </w:rPr>
        <w:t xml:space="preserve"> </w:t>
      </w:r>
      <w:r>
        <w:rPr>
          <w:spacing w:val="-2"/>
        </w:rPr>
        <w:t>or</w:t>
      </w:r>
      <w:r>
        <w:rPr>
          <w:spacing w:val="23"/>
        </w:rPr>
        <w:t xml:space="preserve"> </w:t>
      </w:r>
      <w:r>
        <w:rPr>
          <w:spacing w:val="-1"/>
        </w:rPr>
        <w:t>proceedings</w:t>
      </w:r>
      <w:r>
        <w:rPr>
          <w:spacing w:val="22"/>
        </w:rPr>
        <w:t xml:space="preserve"> </w:t>
      </w:r>
      <w:r>
        <w:rPr>
          <w:spacing w:val="-1"/>
        </w:rPr>
        <w:t>or</w:t>
      </w:r>
      <w:r>
        <w:rPr>
          <w:spacing w:val="21"/>
        </w:rPr>
        <w:t xml:space="preserve"> </w:t>
      </w:r>
      <w:r>
        <w:rPr>
          <w:spacing w:val="-1"/>
        </w:rPr>
        <w:t>regulatory</w:t>
      </w:r>
      <w:r>
        <w:rPr>
          <w:spacing w:val="20"/>
        </w:rPr>
        <w:t xml:space="preserve"> </w:t>
      </w:r>
      <w:r>
        <w:rPr>
          <w:spacing w:val="-1"/>
        </w:rPr>
        <w:t>investigations</w:t>
      </w:r>
      <w:r>
        <w:rPr>
          <w:spacing w:val="24"/>
        </w:rPr>
        <w:t xml:space="preserve"> </w:t>
      </w:r>
      <w:r>
        <w:rPr>
          <w:spacing w:val="-1"/>
        </w:rPr>
        <w:t>before</w:t>
      </w:r>
      <w:r>
        <w:rPr>
          <w:spacing w:val="22"/>
        </w:rPr>
        <w:t xml:space="preserve"> </w:t>
      </w:r>
      <w:r>
        <w:rPr>
          <w:spacing w:val="-2"/>
        </w:rPr>
        <w:t>any</w:t>
      </w:r>
      <w:r>
        <w:rPr>
          <w:spacing w:val="20"/>
        </w:rPr>
        <w:t xml:space="preserve"> </w:t>
      </w:r>
      <w:r>
        <w:rPr>
          <w:spacing w:val="-1"/>
        </w:rPr>
        <w:t>court</w:t>
      </w:r>
      <w:r>
        <w:rPr>
          <w:spacing w:val="21"/>
        </w:rPr>
        <w:t xml:space="preserve"> </w:t>
      </w:r>
      <w:r>
        <w:rPr>
          <w:spacing w:val="-1"/>
        </w:rPr>
        <w:t>or</w:t>
      </w:r>
      <w:r>
        <w:rPr>
          <w:spacing w:val="21"/>
        </w:rPr>
        <w:t xml:space="preserve"> </w:t>
      </w:r>
      <w:r>
        <w:rPr>
          <w:spacing w:val="-1"/>
        </w:rPr>
        <w:t>administrative</w:t>
      </w:r>
      <w:r>
        <w:rPr>
          <w:spacing w:val="22"/>
        </w:rPr>
        <w:t xml:space="preserve"> </w:t>
      </w:r>
      <w:r>
        <w:rPr>
          <w:spacing w:val="-1"/>
        </w:rPr>
        <w:t>body</w:t>
      </w:r>
      <w:r>
        <w:rPr>
          <w:spacing w:val="20"/>
        </w:rPr>
        <w:t xml:space="preserve"> </w:t>
      </w:r>
      <w:r>
        <w:rPr>
          <w:spacing w:val="-1"/>
        </w:rPr>
        <w:t>or</w:t>
      </w:r>
      <w:r>
        <w:rPr>
          <w:spacing w:val="23"/>
        </w:rPr>
        <w:t xml:space="preserve"> </w:t>
      </w:r>
      <w:r>
        <w:rPr>
          <w:spacing w:val="-1"/>
        </w:rPr>
        <w:t>arbitration</w:t>
      </w:r>
      <w:r>
        <w:rPr>
          <w:spacing w:val="22"/>
        </w:rPr>
        <w:t xml:space="preserve"> </w:t>
      </w:r>
      <w:r>
        <w:rPr>
          <w:spacing w:val="-1"/>
        </w:rPr>
        <w:t>tribunal</w:t>
      </w:r>
      <w:r>
        <w:rPr>
          <w:spacing w:val="21"/>
        </w:rPr>
        <w:t xml:space="preserve"> </w:t>
      </w:r>
      <w:r>
        <w:rPr>
          <w:spacing w:val="-2"/>
        </w:rPr>
        <w:t>pending</w:t>
      </w:r>
      <w:r>
        <w:rPr>
          <w:spacing w:val="36"/>
        </w:rPr>
        <w:t xml:space="preserve"> </w:t>
      </w:r>
      <w:r>
        <w:rPr>
          <w:spacing w:val="-1"/>
        </w:rPr>
        <w:t>or,</w:t>
      </w:r>
      <w:r>
        <w:rPr>
          <w:spacing w:val="3"/>
        </w:rPr>
        <w:t xml:space="preserve"> </w:t>
      </w:r>
      <w:r>
        <w:t>to</w:t>
      </w:r>
      <w:r>
        <w:rPr>
          <w:spacing w:val="4"/>
        </w:rPr>
        <w:t xml:space="preserve"> </w:t>
      </w:r>
      <w:r>
        <w:rPr>
          <w:spacing w:val="-2"/>
        </w:rPr>
        <w:t>its</w:t>
      </w:r>
      <w:r>
        <w:rPr>
          <w:spacing w:val="2"/>
        </w:rPr>
        <w:t xml:space="preserve"> </w:t>
      </w:r>
      <w:r>
        <w:rPr>
          <w:spacing w:val="-1"/>
        </w:rPr>
        <w:t>knowledge,</w:t>
      </w:r>
      <w:r>
        <w:rPr>
          <w:spacing w:val="3"/>
        </w:rPr>
        <w:t xml:space="preserve"> </w:t>
      </w:r>
      <w:r>
        <w:rPr>
          <w:spacing w:val="-1"/>
        </w:rPr>
        <w:t>threatened</w:t>
      </w:r>
      <w:r>
        <w:rPr>
          <w:spacing w:val="4"/>
        </w:rPr>
        <w:t xml:space="preserve"> </w:t>
      </w:r>
      <w:r>
        <w:rPr>
          <w:spacing w:val="-2"/>
        </w:rPr>
        <w:t>against</w:t>
      </w:r>
      <w:r>
        <w:rPr>
          <w:spacing w:val="5"/>
        </w:rPr>
        <w:t xml:space="preserve"> </w:t>
      </w:r>
      <w:r>
        <w:t>it</w:t>
      </w:r>
      <w:r>
        <w:rPr>
          <w:spacing w:val="3"/>
        </w:rPr>
        <w:t xml:space="preserve"> </w:t>
      </w:r>
      <w:r>
        <w:rPr>
          <w:spacing w:val="-1"/>
        </w:rPr>
        <w:t>(or,</w:t>
      </w:r>
      <w:r>
        <w:rPr>
          <w:spacing w:val="5"/>
        </w:rPr>
        <w:t xml:space="preserve"> </w:t>
      </w:r>
      <w:r>
        <w:rPr>
          <w:spacing w:val="-1"/>
        </w:rPr>
        <w:t>in</w:t>
      </w:r>
      <w:r>
        <w:rPr>
          <w:spacing w:val="2"/>
        </w:rPr>
        <w:t xml:space="preserve"> </w:t>
      </w:r>
      <w:r>
        <w:t>the</w:t>
      </w:r>
      <w:r>
        <w:rPr>
          <w:spacing w:val="4"/>
        </w:rPr>
        <w:t xml:space="preserve"> </w:t>
      </w:r>
      <w:r>
        <w:rPr>
          <w:spacing w:val="-1"/>
        </w:rPr>
        <w:t>case</w:t>
      </w:r>
      <w:r>
        <w:rPr>
          <w:spacing w:val="4"/>
        </w:rPr>
        <w:t xml:space="preserve"> </w:t>
      </w:r>
      <w:r>
        <w:rPr>
          <w:spacing w:val="-2"/>
        </w:rPr>
        <w:t>of</w:t>
      </w:r>
      <w:r>
        <w:rPr>
          <w:spacing w:val="5"/>
        </w:rPr>
        <w:t xml:space="preserve"> </w:t>
      </w:r>
      <w:r>
        <w:rPr>
          <w:spacing w:val="-1"/>
        </w:rPr>
        <w:t>the</w:t>
      </w:r>
      <w:r>
        <w:rPr>
          <w:spacing w:val="42"/>
        </w:rPr>
        <w:t xml:space="preserve"> </w:t>
      </w:r>
      <w:r>
        <w:rPr>
          <w:spacing w:val="-1"/>
        </w:rPr>
        <w:t>Supplier,</w:t>
      </w:r>
      <w:r>
        <w:rPr>
          <w:spacing w:val="23"/>
        </w:rPr>
        <w:t xml:space="preserve"> </w:t>
      </w:r>
      <w:r>
        <w:rPr>
          <w:spacing w:val="-1"/>
        </w:rPr>
        <w:t>any</w:t>
      </w:r>
      <w:r>
        <w:rPr>
          <w:spacing w:val="20"/>
        </w:rPr>
        <w:t xml:space="preserve"> </w:t>
      </w:r>
      <w:r>
        <w:rPr>
          <w:spacing w:val="-1"/>
        </w:rPr>
        <w:t>of</w:t>
      </w:r>
      <w:r>
        <w:rPr>
          <w:spacing w:val="26"/>
        </w:rPr>
        <w:t xml:space="preserve"> </w:t>
      </w:r>
      <w:r>
        <w:rPr>
          <w:spacing w:val="-2"/>
        </w:rPr>
        <w:t>its</w:t>
      </w:r>
      <w:r>
        <w:rPr>
          <w:spacing w:val="22"/>
        </w:rPr>
        <w:t xml:space="preserve"> </w:t>
      </w:r>
      <w:r>
        <w:rPr>
          <w:spacing w:val="-1"/>
        </w:rPr>
        <w:t>Affiliates)</w:t>
      </w:r>
      <w:r>
        <w:rPr>
          <w:spacing w:val="21"/>
        </w:rPr>
        <w:t xml:space="preserve"> </w:t>
      </w:r>
      <w:r>
        <w:rPr>
          <w:spacing w:val="-1"/>
        </w:rPr>
        <w:t>that</w:t>
      </w:r>
      <w:r>
        <w:rPr>
          <w:spacing w:val="21"/>
        </w:rPr>
        <w:t xml:space="preserve"> </w:t>
      </w:r>
      <w:r>
        <w:rPr>
          <w:spacing w:val="-1"/>
        </w:rPr>
        <w:t>might</w:t>
      </w:r>
      <w:r>
        <w:rPr>
          <w:spacing w:val="23"/>
        </w:rPr>
        <w:t xml:space="preserve"> </w:t>
      </w:r>
      <w:r>
        <w:rPr>
          <w:spacing w:val="-1"/>
        </w:rPr>
        <w:t>affect</w:t>
      </w:r>
      <w:r>
        <w:rPr>
          <w:spacing w:val="24"/>
        </w:rPr>
        <w:t xml:space="preserve"> </w:t>
      </w:r>
      <w:r>
        <w:rPr>
          <w:spacing w:val="-2"/>
        </w:rPr>
        <w:t>its</w:t>
      </w:r>
      <w:r>
        <w:rPr>
          <w:spacing w:val="22"/>
        </w:rPr>
        <w:t xml:space="preserve"> </w:t>
      </w:r>
      <w:r>
        <w:rPr>
          <w:spacing w:val="-1"/>
        </w:rPr>
        <w:t>ability</w:t>
      </w:r>
      <w:r>
        <w:rPr>
          <w:spacing w:val="20"/>
        </w:rPr>
        <w:t xml:space="preserve"> </w:t>
      </w:r>
      <w:r>
        <w:t>to</w:t>
      </w:r>
      <w:r>
        <w:rPr>
          <w:spacing w:val="22"/>
        </w:rPr>
        <w:t xml:space="preserve"> </w:t>
      </w:r>
      <w:r>
        <w:rPr>
          <w:spacing w:val="-1"/>
        </w:rPr>
        <w:t>perform</w:t>
      </w:r>
      <w:r>
        <w:rPr>
          <w:spacing w:val="23"/>
        </w:rPr>
        <w:t xml:space="preserve"> </w:t>
      </w:r>
      <w:r>
        <w:rPr>
          <w:spacing w:val="-2"/>
        </w:rPr>
        <w:t>its</w:t>
      </w:r>
      <w:r>
        <w:rPr>
          <w:spacing w:val="41"/>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rPr>
          <w:spacing w:val="2"/>
        </w:rPr>
        <w:t xml:space="preserve"> </w:t>
      </w:r>
      <w:r>
        <w:rPr>
          <w:spacing w:val="-1"/>
        </w:rPr>
        <w:t>Contract;</w:t>
      </w:r>
      <w:r>
        <w:t xml:space="preserve"> </w:t>
      </w:r>
      <w:r>
        <w:rPr>
          <w:spacing w:val="-1"/>
        </w:rPr>
        <w:t>and</w:t>
      </w:r>
    </w:p>
    <w:p w:rsidR="008918FA" w:rsidRDefault="008918FA" w:rsidP="008918FA">
      <w:pPr>
        <w:pStyle w:val="BodyText"/>
        <w:numPr>
          <w:ilvl w:val="3"/>
          <w:numId w:val="69"/>
        </w:numPr>
        <w:tabs>
          <w:tab w:val="left" w:pos="1887"/>
        </w:tabs>
        <w:ind w:left="1886" w:right="113"/>
        <w:jc w:val="both"/>
      </w:pPr>
      <w:r>
        <w:rPr>
          <w:spacing w:val="-1"/>
        </w:rPr>
        <w:t>its</w:t>
      </w:r>
      <w:r>
        <w:rPr>
          <w:spacing w:val="5"/>
        </w:rPr>
        <w:t xml:space="preserve"> </w:t>
      </w:r>
      <w:r>
        <w:rPr>
          <w:spacing w:val="-1"/>
        </w:rPr>
        <w:t>obligations</w:t>
      </w:r>
      <w:r>
        <w:rPr>
          <w:spacing w:val="5"/>
        </w:rPr>
        <w:t xml:space="preserve"> </w:t>
      </w:r>
      <w:r>
        <w:rPr>
          <w:spacing w:val="-2"/>
        </w:rPr>
        <w:t>under</w:t>
      </w:r>
      <w:r>
        <w:rPr>
          <w:spacing w:val="4"/>
        </w:rPr>
        <w:t xml:space="preserve"> </w:t>
      </w:r>
      <w:r>
        <w:rPr>
          <w:spacing w:val="-1"/>
        </w:rPr>
        <w:t>this</w:t>
      </w:r>
      <w:r>
        <w:rPr>
          <w:spacing w:val="5"/>
        </w:rPr>
        <w:t xml:space="preserve"> </w:t>
      </w:r>
      <w:r>
        <w:rPr>
          <w:spacing w:val="-2"/>
        </w:rPr>
        <w:t>Call</w:t>
      </w:r>
      <w:r>
        <w:rPr>
          <w:spacing w:val="4"/>
        </w:rPr>
        <w:t xml:space="preserve"> </w:t>
      </w:r>
      <w:r>
        <w:t>Off</w:t>
      </w:r>
      <w:r>
        <w:rPr>
          <w:spacing w:val="7"/>
        </w:rPr>
        <w:t xml:space="preserve"> </w:t>
      </w:r>
      <w:r>
        <w:rPr>
          <w:spacing w:val="-2"/>
        </w:rPr>
        <w:t>Contract</w:t>
      </w:r>
      <w:r>
        <w:rPr>
          <w:spacing w:val="7"/>
        </w:rPr>
        <w:t xml:space="preserve"> </w:t>
      </w:r>
      <w:r>
        <w:rPr>
          <w:spacing w:val="-1"/>
        </w:rPr>
        <w:t>constitute</w:t>
      </w:r>
      <w:r>
        <w:rPr>
          <w:spacing w:val="5"/>
        </w:rPr>
        <w:t xml:space="preserve"> </w:t>
      </w:r>
      <w:r>
        <w:rPr>
          <w:spacing w:val="-1"/>
        </w:rPr>
        <w:t>its</w:t>
      </w:r>
      <w:r>
        <w:rPr>
          <w:spacing w:val="5"/>
        </w:rPr>
        <w:t xml:space="preserve"> </w:t>
      </w:r>
      <w:r>
        <w:rPr>
          <w:spacing w:val="-1"/>
        </w:rPr>
        <w:t>legal,</w:t>
      </w:r>
      <w:r>
        <w:rPr>
          <w:spacing w:val="7"/>
        </w:rPr>
        <w:t xml:space="preserve"> </w:t>
      </w:r>
      <w:r>
        <w:rPr>
          <w:spacing w:val="-2"/>
        </w:rPr>
        <w:t>valid</w:t>
      </w:r>
      <w:r>
        <w:rPr>
          <w:spacing w:val="5"/>
        </w:rPr>
        <w:t xml:space="preserve"> </w:t>
      </w:r>
      <w:r>
        <w:rPr>
          <w:spacing w:val="-1"/>
        </w:rPr>
        <w:t>and</w:t>
      </w:r>
      <w:r>
        <w:rPr>
          <w:spacing w:val="56"/>
        </w:rPr>
        <w:t xml:space="preserve"> </w:t>
      </w:r>
      <w:r>
        <w:rPr>
          <w:spacing w:val="-2"/>
        </w:rPr>
        <w:t>binding</w:t>
      </w:r>
      <w:r>
        <w:rPr>
          <w:spacing w:val="58"/>
        </w:rPr>
        <w:t xml:space="preserve"> </w:t>
      </w:r>
      <w:r>
        <w:rPr>
          <w:spacing w:val="-1"/>
        </w:rPr>
        <w:t>obligations,</w:t>
      </w:r>
      <w:r>
        <w:rPr>
          <w:spacing w:val="57"/>
        </w:rPr>
        <w:t xml:space="preserve"> </w:t>
      </w:r>
      <w:r>
        <w:rPr>
          <w:spacing w:val="-1"/>
        </w:rPr>
        <w:t>enforceable</w:t>
      </w:r>
      <w:r>
        <w:rPr>
          <w:spacing w:val="55"/>
        </w:rPr>
        <w:t xml:space="preserve"> </w:t>
      </w:r>
      <w:r>
        <w:rPr>
          <w:spacing w:val="-1"/>
        </w:rPr>
        <w:t>in</w:t>
      </w:r>
      <w:r>
        <w:rPr>
          <w:spacing w:val="55"/>
        </w:rPr>
        <w:t xml:space="preserve"> </w:t>
      </w:r>
      <w:r>
        <w:rPr>
          <w:spacing w:val="-1"/>
        </w:rPr>
        <w:t>accordance</w:t>
      </w:r>
      <w:r>
        <w:rPr>
          <w:spacing w:val="53"/>
        </w:rPr>
        <w:t xml:space="preserve"> </w:t>
      </w:r>
      <w:r>
        <w:rPr>
          <w:spacing w:val="-2"/>
        </w:rPr>
        <w:t>with</w:t>
      </w:r>
      <w:r>
        <w:rPr>
          <w:spacing w:val="55"/>
        </w:rPr>
        <w:t xml:space="preserve"> </w:t>
      </w:r>
      <w:r>
        <w:rPr>
          <w:spacing w:val="-1"/>
        </w:rPr>
        <w:t>their</w:t>
      </w:r>
      <w:r>
        <w:rPr>
          <w:spacing w:val="58"/>
        </w:rPr>
        <w:t xml:space="preserve"> </w:t>
      </w:r>
      <w:r>
        <w:rPr>
          <w:spacing w:val="-1"/>
        </w:rPr>
        <w:t>respective</w:t>
      </w:r>
      <w:r>
        <w:rPr>
          <w:spacing w:val="35"/>
        </w:rPr>
        <w:t xml:space="preserve"> </w:t>
      </w:r>
      <w:r>
        <w:rPr>
          <w:spacing w:val="-1"/>
        </w:rPr>
        <w:t>terms</w:t>
      </w:r>
      <w:r>
        <w:rPr>
          <w:spacing w:val="9"/>
        </w:rPr>
        <w:t xml:space="preserve"> </w:t>
      </w:r>
      <w:r>
        <w:rPr>
          <w:spacing w:val="-1"/>
        </w:rPr>
        <w:t>subject</w:t>
      </w:r>
      <w:r>
        <w:rPr>
          <w:spacing w:val="10"/>
        </w:rPr>
        <w:t xml:space="preserve"> </w:t>
      </w:r>
      <w:r>
        <w:t>to</w:t>
      </w:r>
      <w:r>
        <w:rPr>
          <w:spacing w:val="6"/>
        </w:rPr>
        <w:t xml:space="preserve"> </w:t>
      </w:r>
      <w:r>
        <w:rPr>
          <w:spacing w:val="-2"/>
        </w:rPr>
        <w:t>applicable</w:t>
      </w:r>
      <w:r>
        <w:rPr>
          <w:spacing w:val="9"/>
        </w:rPr>
        <w:t xml:space="preserve"> </w:t>
      </w:r>
      <w:r>
        <w:rPr>
          <w:spacing w:val="-1"/>
        </w:rPr>
        <w:t>(as</w:t>
      </w:r>
      <w:r>
        <w:rPr>
          <w:spacing w:val="9"/>
        </w:rPr>
        <w:t xml:space="preserve"> </w:t>
      </w:r>
      <w:r>
        <w:t>the</w:t>
      </w:r>
      <w:r>
        <w:rPr>
          <w:spacing w:val="6"/>
        </w:rPr>
        <w:t xml:space="preserve"> </w:t>
      </w:r>
      <w:r>
        <w:rPr>
          <w:spacing w:val="-1"/>
        </w:rPr>
        <w:t>case</w:t>
      </w:r>
      <w:r>
        <w:rPr>
          <w:spacing w:val="7"/>
        </w:rPr>
        <w:t xml:space="preserve"> </w:t>
      </w:r>
      <w:r>
        <w:rPr>
          <w:spacing w:val="-1"/>
        </w:rPr>
        <w:t>may</w:t>
      </w:r>
      <w:r>
        <w:rPr>
          <w:spacing w:val="7"/>
        </w:rPr>
        <w:t xml:space="preserve"> </w:t>
      </w:r>
      <w:r>
        <w:rPr>
          <w:spacing w:val="-1"/>
        </w:rPr>
        <w:t>be</w:t>
      </w:r>
      <w:r>
        <w:rPr>
          <w:spacing w:val="6"/>
        </w:rPr>
        <w:t xml:space="preserve"> </w:t>
      </w:r>
      <w:r>
        <w:t>for</w:t>
      </w:r>
      <w:r>
        <w:rPr>
          <w:spacing w:val="10"/>
        </w:rPr>
        <w:t xml:space="preserve"> </w:t>
      </w:r>
      <w:r>
        <w:rPr>
          <w:spacing w:val="-1"/>
        </w:rPr>
        <w:t>each</w:t>
      </w:r>
      <w:r>
        <w:rPr>
          <w:spacing w:val="9"/>
        </w:rPr>
        <w:t xml:space="preserve"> </w:t>
      </w:r>
      <w:r>
        <w:rPr>
          <w:spacing w:val="-2"/>
        </w:rPr>
        <w:t>Party)</w:t>
      </w:r>
      <w:r>
        <w:rPr>
          <w:spacing w:val="53"/>
        </w:rPr>
        <w:t xml:space="preserve"> </w:t>
      </w:r>
      <w:r>
        <w:rPr>
          <w:spacing w:val="-1"/>
        </w:rPr>
        <w:t>bankruptcy,</w:t>
      </w:r>
      <w:r>
        <w:rPr>
          <w:spacing w:val="8"/>
        </w:rPr>
        <w:t xml:space="preserve"> </w:t>
      </w:r>
      <w:r>
        <w:rPr>
          <w:spacing w:val="-1"/>
        </w:rPr>
        <w:t>reorganisation,</w:t>
      </w:r>
      <w:r>
        <w:rPr>
          <w:spacing w:val="10"/>
        </w:rPr>
        <w:t xml:space="preserve"> </w:t>
      </w:r>
      <w:r>
        <w:rPr>
          <w:spacing w:val="-2"/>
        </w:rPr>
        <w:t>insolvency,</w:t>
      </w:r>
      <w:r>
        <w:rPr>
          <w:spacing w:val="10"/>
        </w:rPr>
        <w:t xml:space="preserve"> </w:t>
      </w:r>
      <w:r>
        <w:rPr>
          <w:spacing w:val="-1"/>
        </w:rPr>
        <w:t>moratorium</w:t>
      </w:r>
      <w:r>
        <w:rPr>
          <w:spacing w:val="10"/>
        </w:rPr>
        <w:t xml:space="preserve"> </w:t>
      </w:r>
      <w:r>
        <w:rPr>
          <w:spacing w:val="-1"/>
        </w:rPr>
        <w:t>or</w:t>
      </w:r>
      <w:r>
        <w:rPr>
          <w:spacing w:val="8"/>
        </w:rPr>
        <w:t xml:space="preserve"> </w:t>
      </w:r>
      <w:r>
        <w:rPr>
          <w:spacing w:val="-1"/>
        </w:rPr>
        <w:t>similar</w:t>
      </w:r>
      <w:r>
        <w:rPr>
          <w:spacing w:val="10"/>
        </w:rPr>
        <w:t xml:space="preserve"> </w:t>
      </w:r>
      <w:r>
        <w:rPr>
          <w:spacing w:val="-2"/>
        </w:rPr>
        <w:t>Laws</w:t>
      </w:r>
      <w:r>
        <w:rPr>
          <w:spacing w:val="35"/>
        </w:rPr>
        <w:t xml:space="preserve"> </w:t>
      </w:r>
      <w:r>
        <w:rPr>
          <w:spacing w:val="-1"/>
        </w:rPr>
        <w:t>affecting</w:t>
      </w:r>
      <w:r>
        <w:rPr>
          <w:spacing w:val="15"/>
        </w:rPr>
        <w:t xml:space="preserve"> </w:t>
      </w:r>
      <w:r>
        <w:rPr>
          <w:spacing w:val="-1"/>
        </w:rPr>
        <w:t>creditors’</w:t>
      </w:r>
      <w:r>
        <w:rPr>
          <w:spacing w:val="15"/>
        </w:rPr>
        <w:t xml:space="preserve"> </w:t>
      </w:r>
      <w:r>
        <w:rPr>
          <w:spacing w:val="-1"/>
        </w:rPr>
        <w:t>rights</w:t>
      </w:r>
      <w:r>
        <w:rPr>
          <w:spacing w:val="13"/>
        </w:rPr>
        <w:t xml:space="preserve"> </w:t>
      </w:r>
      <w:r>
        <w:rPr>
          <w:spacing w:val="-1"/>
        </w:rPr>
        <w:t>generally</w:t>
      </w:r>
      <w:r>
        <w:rPr>
          <w:spacing w:val="13"/>
        </w:rPr>
        <w:t xml:space="preserve"> </w:t>
      </w:r>
      <w:r>
        <w:rPr>
          <w:spacing w:val="-1"/>
        </w:rPr>
        <w:t>and</w:t>
      </w:r>
      <w:r>
        <w:rPr>
          <w:spacing w:val="15"/>
        </w:rPr>
        <w:t xml:space="preserve"> </w:t>
      </w:r>
      <w:r>
        <w:rPr>
          <w:spacing w:val="-1"/>
        </w:rPr>
        <w:t>subject,</w:t>
      </w:r>
      <w:r>
        <w:rPr>
          <w:spacing w:val="16"/>
        </w:rPr>
        <w:t xml:space="preserve"> </w:t>
      </w:r>
      <w:r>
        <w:rPr>
          <w:spacing w:val="-2"/>
        </w:rPr>
        <w:t>as</w:t>
      </w:r>
      <w:r>
        <w:rPr>
          <w:spacing w:val="15"/>
        </w:rPr>
        <w:t xml:space="preserve"> </w:t>
      </w:r>
      <w:r>
        <w:t>to</w:t>
      </w:r>
      <w:r>
        <w:rPr>
          <w:spacing w:val="15"/>
        </w:rPr>
        <w:t xml:space="preserve"> </w:t>
      </w:r>
      <w:r>
        <w:rPr>
          <w:spacing w:val="-1"/>
        </w:rPr>
        <w:t>enforceability,</w:t>
      </w:r>
      <w:r>
        <w:rPr>
          <w:spacing w:val="16"/>
        </w:rPr>
        <w:t xml:space="preserve"> </w:t>
      </w:r>
      <w:r>
        <w:t>to</w:t>
      </w:r>
      <w:r>
        <w:rPr>
          <w:spacing w:val="37"/>
        </w:rPr>
        <w:t xml:space="preserve"> </w:t>
      </w:r>
      <w:r>
        <w:rPr>
          <w:spacing w:val="-1"/>
        </w:rPr>
        <w:t>equitable</w:t>
      </w:r>
      <w:r>
        <w:rPr>
          <w:spacing w:val="28"/>
        </w:rPr>
        <w:t xml:space="preserve"> </w:t>
      </w:r>
      <w:r>
        <w:rPr>
          <w:spacing w:val="-1"/>
        </w:rPr>
        <w:t>principles</w:t>
      </w:r>
      <w:r>
        <w:rPr>
          <w:spacing w:val="28"/>
        </w:rPr>
        <w:t xml:space="preserve"> </w:t>
      </w:r>
      <w:r>
        <w:rPr>
          <w:spacing w:val="-1"/>
        </w:rPr>
        <w:t>of</w:t>
      </w:r>
      <w:r>
        <w:rPr>
          <w:spacing w:val="30"/>
        </w:rPr>
        <w:t xml:space="preserve"> </w:t>
      </w:r>
      <w:r>
        <w:rPr>
          <w:spacing w:val="-1"/>
        </w:rPr>
        <w:t>general</w:t>
      </w:r>
      <w:r>
        <w:rPr>
          <w:spacing w:val="27"/>
        </w:rPr>
        <w:t xml:space="preserve"> </w:t>
      </w:r>
      <w:r>
        <w:rPr>
          <w:spacing w:val="-1"/>
        </w:rPr>
        <w:t>application</w:t>
      </w:r>
      <w:r>
        <w:rPr>
          <w:spacing w:val="28"/>
        </w:rPr>
        <w:t xml:space="preserve"> </w:t>
      </w:r>
      <w:r>
        <w:rPr>
          <w:spacing w:val="-1"/>
        </w:rPr>
        <w:t>(regardless</w:t>
      </w:r>
      <w:r>
        <w:rPr>
          <w:spacing w:val="29"/>
        </w:rPr>
        <w:t xml:space="preserve"> </w:t>
      </w:r>
      <w:r>
        <w:rPr>
          <w:spacing w:val="-2"/>
        </w:rPr>
        <w:t>of</w:t>
      </w:r>
      <w:r>
        <w:rPr>
          <w:spacing w:val="32"/>
        </w:rPr>
        <w:t xml:space="preserve"> </w:t>
      </w:r>
      <w:r>
        <w:rPr>
          <w:spacing w:val="-2"/>
        </w:rPr>
        <w:t>whether</w:t>
      </w:r>
      <w:r>
        <w:rPr>
          <w:spacing w:val="40"/>
        </w:rPr>
        <w:t xml:space="preserve"> </w:t>
      </w:r>
      <w:r>
        <w:rPr>
          <w:spacing w:val="-1"/>
        </w:rPr>
        <w:t>enforcement</w:t>
      </w:r>
      <w:r>
        <w:t xml:space="preserve"> </w:t>
      </w:r>
      <w:r>
        <w:rPr>
          <w:spacing w:val="-1"/>
        </w:rPr>
        <w:t>is</w:t>
      </w:r>
      <w:r>
        <w:rPr>
          <w:spacing w:val="1"/>
        </w:rPr>
        <w:t xml:space="preserve"> </w:t>
      </w:r>
      <w:r>
        <w:rPr>
          <w:spacing w:val="-1"/>
        </w:rPr>
        <w:t>sought</w:t>
      </w:r>
      <w:r>
        <w:t xml:space="preserve"> </w:t>
      </w:r>
      <w:r>
        <w:rPr>
          <w:spacing w:val="-1"/>
        </w:rPr>
        <w:t>in</w:t>
      </w:r>
      <w:r>
        <w:t xml:space="preserve"> a </w:t>
      </w:r>
      <w:r>
        <w:rPr>
          <w:spacing w:val="-1"/>
        </w:rPr>
        <w:t>proceeding</w:t>
      </w:r>
      <w:r>
        <w:t xml:space="preserve"> </w:t>
      </w:r>
      <w:r>
        <w:rPr>
          <w:spacing w:val="-1"/>
        </w:rPr>
        <w:t>in</w:t>
      </w:r>
      <w:r>
        <w:t xml:space="preserve"> </w:t>
      </w:r>
      <w:r>
        <w:rPr>
          <w:spacing w:val="-1"/>
        </w:rPr>
        <w:t>equity</w:t>
      </w:r>
      <w:r>
        <w:rPr>
          <w:spacing w:val="-2"/>
        </w:rPr>
        <w:t xml:space="preserve"> or</w:t>
      </w:r>
      <w:r>
        <w:rPr>
          <w:spacing w:val="2"/>
        </w:rPr>
        <w:t xml:space="preserve"> </w:t>
      </w:r>
      <w:r>
        <w:rPr>
          <w:spacing w:val="-1"/>
        </w:rPr>
        <w:t>Law).</w:t>
      </w:r>
    </w:p>
    <w:p w:rsidR="008918FA" w:rsidRDefault="008918FA" w:rsidP="008918FA">
      <w:pPr>
        <w:pStyle w:val="BodyText"/>
        <w:numPr>
          <w:ilvl w:val="2"/>
          <w:numId w:val="69"/>
        </w:numPr>
        <w:tabs>
          <w:tab w:val="left" w:pos="689"/>
        </w:tabs>
        <w:spacing w:before="121"/>
        <w:ind w:left="688"/>
      </w:pPr>
      <w:bookmarkStart w:id="46" w:name="_bookmark50"/>
      <w:bookmarkEnd w:id="46"/>
      <w:r>
        <w:t>The</w:t>
      </w:r>
      <w:r>
        <w:rPr>
          <w:spacing w:val="-2"/>
        </w:rPr>
        <w:t xml:space="preserve"> Supplier</w:t>
      </w:r>
      <w:r>
        <w:rPr>
          <w:spacing w:val="2"/>
        </w:rPr>
        <w:t xml:space="preserve"> </w:t>
      </w:r>
      <w:r>
        <w:rPr>
          <w:spacing w:val="-1"/>
        </w:rPr>
        <w:t>represents</w:t>
      </w:r>
      <w:r>
        <w:rPr>
          <w:spacing w:val="-2"/>
        </w:rPr>
        <w:t xml:space="preserve"> </w:t>
      </w:r>
      <w:r>
        <w:rPr>
          <w:spacing w:val="-1"/>
        </w:rPr>
        <w:t>and</w:t>
      </w:r>
      <w:r>
        <w:t xml:space="preserve"> </w:t>
      </w:r>
      <w:r>
        <w:rPr>
          <w:spacing w:val="-1"/>
        </w:rPr>
        <w:t>warrants</w:t>
      </w:r>
      <w:r>
        <w:rPr>
          <w:spacing w:val="-2"/>
        </w:rPr>
        <w:t xml:space="preserve"> </w:t>
      </w:r>
      <w:r>
        <w:rPr>
          <w:spacing w:val="-1"/>
        </w:rPr>
        <w:t>that:</w:t>
      </w:r>
    </w:p>
    <w:p w:rsidR="008918FA" w:rsidRDefault="008918FA" w:rsidP="008918FA">
      <w:pPr>
        <w:pStyle w:val="BodyText"/>
        <w:numPr>
          <w:ilvl w:val="3"/>
          <w:numId w:val="69"/>
        </w:numPr>
        <w:tabs>
          <w:tab w:val="left" w:pos="1887"/>
        </w:tabs>
        <w:ind w:left="1886" w:right="117"/>
        <w:jc w:val="both"/>
      </w:pPr>
      <w:r>
        <w:rPr>
          <w:spacing w:val="-1"/>
        </w:rPr>
        <w:t>it</w:t>
      </w:r>
      <w:r>
        <w:rPr>
          <w:spacing w:val="23"/>
        </w:rPr>
        <w:t xml:space="preserve"> </w:t>
      </w:r>
      <w:r>
        <w:rPr>
          <w:spacing w:val="-1"/>
        </w:rPr>
        <w:t>is</w:t>
      </w:r>
      <w:r>
        <w:rPr>
          <w:spacing w:val="22"/>
        </w:rPr>
        <w:t xml:space="preserve"> </w:t>
      </w:r>
      <w:r>
        <w:rPr>
          <w:spacing w:val="-2"/>
        </w:rPr>
        <w:t>validly</w:t>
      </w:r>
      <w:r>
        <w:rPr>
          <w:spacing w:val="20"/>
        </w:rPr>
        <w:t xml:space="preserve"> </w:t>
      </w:r>
      <w:r>
        <w:rPr>
          <w:spacing w:val="-1"/>
        </w:rPr>
        <w:t>incorporated,</w:t>
      </w:r>
      <w:r>
        <w:rPr>
          <w:spacing w:val="21"/>
        </w:rPr>
        <w:t xml:space="preserve"> </w:t>
      </w:r>
      <w:r>
        <w:rPr>
          <w:spacing w:val="-1"/>
        </w:rPr>
        <w:t>organised</w:t>
      </w:r>
      <w:r>
        <w:rPr>
          <w:spacing w:val="22"/>
        </w:rPr>
        <w:t xml:space="preserve"> </w:t>
      </w:r>
      <w:r>
        <w:rPr>
          <w:spacing w:val="-1"/>
        </w:rPr>
        <w:t>and</w:t>
      </w:r>
      <w:r>
        <w:rPr>
          <w:spacing w:val="19"/>
        </w:rPr>
        <w:t xml:space="preserve"> </w:t>
      </w:r>
      <w:r>
        <w:rPr>
          <w:spacing w:val="-1"/>
        </w:rPr>
        <w:t>subsisting</w:t>
      </w:r>
      <w:r>
        <w:rPr>
          <w:spacing w:val="24"/>
        </w:rPr>
        <w:t xml:space="preserve"> </w:t>
      </w:r>
      <w:r>
        <w:rPr>
          <w:spacing w:val="-1"/>
        </w:rPr>
        <w:t>in</w:t>
      </w:r>
      <w:r>
        <w:rPr>
          <w:spacing w:val="22"/>
        </w:rPr>
        <w:t xml:space="preserve"> </w:t>
      </w:r>
      <w:r>
        <w:rPr>
          <w:spacing w:val="-2"/>
        </w:rPr>
        <w:t>accordance</w:t>
      </w:r>
      <w:r>
        <w:rPr>
          <w:spacing w:val="22"/>
        </w:rPr>
        <w:t xml:space="preserve"> </w:t>
      </w:r>
      <w:r>
        <w:rPr>
          <w:spacing w:val="-2"/>
        </w:rPr>
        <w:t>with</w:t>
      </w:r>
      <w:r>
        <w:rPr>
          <w:spacing w:val="57"/>
        </w:rPr>
        <w:t xml:space="preserve"> </w:t>
      </w:r>
      <w:r>
        <w:t xml:space="preserve">the </w:t>
      </w:r>
      <w:r>
        <w:rPr>
          <w:spacing w:val="-2"/>
        </w:rPr>
        <w:t>Laws</w:t>
      </w:r>
      <w:r>
        <w:rPr>
          <w:spacing w:val="1"/>
        </w:rPr>
        <w:t xml:space="preserve"> </w:t>
      </w:r>
      <w:r>
        <w:rPr>
          <w:spacing w:val="-2"/>
        </w:rPr>
        <w:t>of</w:t>
      </w:r>
      <w:r>
        <w:rPr>
          <w:spacing w:val="2"/>
        </w:rPr>
        <w:t xml:space="preserve"> </w:t>
      </w:r>
      <w:r>
        <w:rPr>
          <w:spacing w:val="-1"/>
        </w:rPr>
        <w:t>its</w:t>
      </w:r>
      <w:r>
        <w:rPr>
          <w:spacing w:val="-2"/>
        </w:rPr>
        <w:t xml:space="preserve"> </w:t>
      </w:r>
      <w:r>
        <w:rPr>
          <w:spacing w:val="-1"/>
        </w:rPr>
        <w:t>place</w:t>
      </w:r>
      <w:r>
        <w:rPr>
          <w:spacing w:val="1"/>
        </w:rPr>
        <w:t xml:space="preserve"> </w:t>
      </w:r>
      <w:r>
        <w:rPr>
          <w:spacing w:val="-2"/>
        </w:rPr>
        <w:t>of</w:t>
      </w:r>
      <w:r>
        <w:rPr>
          <w:spacing w:val="2"/>
        </w:rPr>
        <w:t xml:space="preserve"> </w:t>
      </w:r>
      <w:r>
        <w:rPr>
          <w:spacing w:val="-2"/>
        </w:rPr>
        <w:t>incorporation;</w:t>
      </w:r>
    </w:p>
    <w:p w:rsidR="008918FA" w:rsidRDefault="008918FA" w:rsidP="008918FA">
      <w:pPr>
        <w:pStyle w:val="BodyText"/>
        <w:numPr>
          <w:ilvl w:val="3"/>
          <w:numId w:val="69"/>
        </w:numPr>
        <w:tabs>
          <w:tab w:val="left" w:pos="1887"/>
        </w:tabs>
        <w:ind w:left="1886" w:right="113"/>
        <w:jc w:val="both"/>
      </w:pPr>
      <w:r>
        <w:rPr>
          <w:spacing w:val="-1"/>
        </w:rPr>
        <w:t>it</w:t>
      </w:r>
      <w:r>
        <w:rPr>
          <w:spacing w:val="13"/>
        </w:rPr>
        <w:t xml:space="preserve"> </w:t>
      </w:r>
      <w:r>
        <w:rPr>
          <w:spacing w:val="-1"/>
        </w:rPr>
        <w:t>has</w:t>
      </w:r>
      <w:r>
        <w:rPr>
          <w:spacing w:val="12"/>
        </w:rPr>
        <w:t xml:space="preserve"> </w:t>
      </w:r>
      <w:r>
        <w:rPr>
          <w:spacing w:val="-1"/>
        </w:rPr>
        <w:t>all</w:t>
      </w:r>
      <w:r>
        <w:rPr>
          <w:spacing w:val="11"/>
        </w:rPr>
        <w:t xml:space="preserve"> </w:t>
      </w:r>
      <w:r>
        <w:rPr>
          <w:spacing w:val="-1"/>
        </w:rPr>
        <w:t>necessary</w:t>
      </w:r>
      <w:r>
        <w:rPr>
          <w:spacing w:val="9"/>
        </w:rPr>
        <w:t xml:space="preserve"> </w:t>
      </w:r>
      <w:r>
        <w:rPr>
          <w:spacing w:val="-1"/>
        </w:rPr>
        <w:t>consents</w:t>
      </w:r>
      <w:r>
        <w:rPr>
          <w:spacing w:val="9"/>
        </w:rPr>
        <w:t xml:space="preserve"> </w:t>
      </w:r>
      <w:r>
        <w:rPr>
          <w:spacing w:val="-1"/>
        </w:rPr>
        <w:t>(including,</w:t>
      </w:r>
      <w:r>
        <w:rPr>
          <w:spacing w:val="10"/>
        </w:rPr>
        <w:t xml:space="preserve"> </w:t>
      </w:r>
      <w:r>
        <w:rPr>
          <w:spacing w:val="-2"/>
        </w:rPr>
        <w:t>where</w:t>
      </w:r>
      <w:r>
        <w:rPr>
          <w:spacing w:val="11"/>
        </w:rPr>
        <w:t xml:space="preserve"> </w:t>
      </w:r>
      <w:r>
        <w:rPr>
          <w:spacing w:val="-1"/>
        </w:rPr>
        <w:t>its</w:t>
      </w:r>
      <w:r>
        <w:rPr>
          <w:spacing w:val="12"/>
        </w:rPr>
        <w:t xml:space="preserve"> </w:t>
      </w:r>
      <w:r>
        <w:rPr>
          <w:spacing w:val="-1"/>
        </w:rPr>
        <w:t>procedures</w:t>
      </w:r>
      <w:r>
        <w:rPr>
          <w:spacing w:val="12"/>
        </w:rPr>
        <w:t xml:space="preserve"> </w:t>
      </w:r>
      <w:r>
        <w:rPr>
          <w:spacing w:val="-1"/>
        </w:rPr>
        <w:t>so</w:t>
      </w:r>
      <w:r>
        <w:rPr>
          <w:spacing w:val="30"/>
        </w:rPr>
        <w:t xml:space="preserve"> </w:t>
      </w:r>
      <w:r>
        <w:rPr>
          <w:spacing w:val="-1"/>
        </w:rPr>
        <w:t>require,</w:t>
      </w:r>
      <w:r>
        <w:rPr>
          <w:spacing w:val="19"/>
        </w:rPr>
        <w:t xml:space="preserve"> </w:t>
      </w:r>
      <w:r>
        <w:t>the</w:t>
      </w:r>
      <w:r>
        <w:rPr>
          <w:spacing w:val="20"/>
        </w:rPr>
        <w:t xml:space="preserve"> </w:t>
      </w:r>
      <w:r>
        <w:rPr>
          <w:spacing w:val="-1"/>
        </w:rPr>
        <w:t>consent</w:t>
      </w:r>
      <w:r>
        <w:rPr>
          <w:spacing w:val="21"/>
        </w:rPr>
        <w:t xml:space="preserve"> </w:t>
      </w:r>
      <w:r>
        <w:rPr>
          <w:spacing w:val="-2"/>
        </w:rPr>
        <w:t>of</w:t>
      </w:r>
      <w:r>
        <w:rPr>
          <w:spacing w:val="23"/>
        </w:rPr>
        <w:t xml:space="preserve"> </w:t>
      </w:r>
      <w:r>
        <w:rPr>
          <w:spacing w:val="-2"/>
        </w:rPr>
        <w:t>its</w:t>
      </w:r>
      <w:r>
        <w:rPr>
          <w:spacing w:val="20"/>
        </w:rPr>
        <w:t xml:space="preserve"> </w:t>
      </w:r>
      <w:r>
        <w:rPr>
          <w:spacing w:val="-1"/>
        </w:rPr>
        <w:t>Parent</w:t>
      </w:r>
      <w:r>
        <w:rPr>
          <w:spacing w:val="21"/>
        </w:rPr>
        <w:t xml:space="preserve"> </w:t>
      </w:r>
      <w:r>
        <w:rPr>
          <w:spacing w:val="-2"/>
        </w:rPr>
        <w:t>Company)</w:t>
      </w:r>
      <w:r>
        <w:rPr>
          <w:spacing w:val="21"/>
        </w:rPr>
        <w:t xml:space="preserve"> </w:t>
      </w:r>
      <w:r>
        <w:rPr>
          <w:spacing w:val="-1"/>
        </w:rPr>
        <w:t>and</w:t>
      </w:r>
      <w:r>
        <w:rPr>
          <w:spacing w:val="21"/>
        </w:rPr>
        <w:t xml:space="preserve"> </w:t>
      </w:r>
      <w:r>
        <w:rPr>
          <w:spacing w:val="-1"/>
        </w:rPr>
        <w:t>regulatory</w:t>
      </w:r>
      <w:r>
        <w:rPr>
          <w:spacing w:val="18"/>
        </w:rPr>
        <w:t xml:space="preserve"> </w:t>
      </w:r>
      <w:r>
        <w:rPr>
          <w:spacing w:val="-2"/>
        </w:rPr>
        <w:t>approvals</w:t>
      </w:r>
      <w:r>
        <w:rPr>
          <w:spacing w:val="57"/>
        </w:rPr>
        <w:t xml:space="preserve"> </w:t>
      </w:r>
      <w:r>
        <w:t xml:space="preserve">to </w:t>
      </w:r>
      <w:r>
        <w:rPr>
          <w:spacing w:val="-1"/>
        </w:rPr>
        <w:t>enter into</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t xml:space="preserve"> </w:t>
      </w:r>
      <w:r>
        <w:rPr>
          <w:spacing w:val="-1"/>
        </w:rPr>
        <w:t>Contract;</w:t>
      </w:r>
    </w:p>
    <w:p w:rsidR="008918FA" w:rsidRDefault="008918FA" w:rsidP="008918FA">
      <w:pPr>
        <w:pStyle w:val="BodyText"/>
        <w:numPr>
          <w:ilvl w:val="3"/>
          <w:numId w:val="69"/>
        </w:numPr>
        <w:tabs>
          <w:tab w:val="left" w:pos="1887"/>
        </w:tabs>
        <w:ind w:left="1886" w:right="111"/>
        <w:jc w:val="both"/>
      </w:pPr>
      <w:r>
        <w:rPr>
          <w:spacing w:val="-1"/>
        </w:rPr>
        <w:t>its</w:t>
      </w:r>
      <w:r>
        <w:rPr>
          <w:spacing w:val="46"/>
        </w:rPr>
        <w:t xml:space="preserve"> </w:t>
      </w:r>
      <w:r>
        <w:rPr>
          <w:spacing w:val="-1"/>
        </w:rPr>
        <w:t>execution,</w:t>
      </w:r>
      <w:r>
        <w:rPr>
          <w:spacing w:val="47"/>
        </w:rPr>
        <w:t xml:space="preserve"> </w:t>
      </w:r>
      <w:r>
        <w:rPr>
          <w:spacing w:val="-1"/>
        </w:rPr>
        <w:t>delivery</w:t>
      </w:r>
      <w:r>
        <w:rPr>
          <w:spacing w:val="46"/>
        </w:rPr>
        <w:t xml:space="preserve"> </w:t>
      </w:r>
      <w:r>
        <w:t>and</w:t>
      </w:r>
      <w:r>
        <w:rPr>
          <w:spacing w:val="46"/>
        </w:rPr>
        <w:t xml:space="preserve"> </w:t>
      </w:r>
      <w:r>
        <w:rPr>
          <w:spacing w:val="-1"/>
        </w:rPr>
        <w:t>performance</w:t>
      </w:r>
      <w:r>
        <w:rPr>
          <w:spacing w:val="46"/>
        </w:rPr>
        <w:t xml:space="preserve"> </w:t>
      </w:r>
      <w:r>
        <w:rPr>
          <w:spacing w:val="-2"/>
        </w:rPr>
        <w:t>of</w:t>
      </w:r>
      <w:r>
        <w:rPr>
          <w:spacing w:val="49"/>
        </w:rPr>
        <w:t xml:space="preserve"> </w:t>
      </w:r>
      <w:r>
        <w:rPr>
          <w:spacing w:val="-1"/>
        </w:rPr>
        <w:t>its</w:t>
      </w:r>
      <w:r>
        <w:rPr>
          <w:spacing w:val="47"/>
        </w:rPr>
        <w:t xml:space="preserve"> </w:t>
      </w:r>
      <w:r>
        <w:rPr>
          <w:spacing w:val="-1"/>
        </w:rPr>
        <w:t>obligations</w:t>
      </w:r>
      <w:r>
        <w:rPr>
          <w:spacing w:val="46"/>
        </w:rPr>
        <w:t xml:space="preserve"> </w:t>
      </w:r>
      <w:r>
        <w:rPr>
          <w:spacing w:val="-1"/>
        </w:rPr>
        <w:t>under</w:t>
      </w:r>
      <w:r>
        <w:rPr>
          <w:spacing w:val="47"/>
        </w:rPr>
        <w:t xml:space="preserve"> </w:t>
      </w:r>
      <w:r>
        <w:t>this</w:t>
      </w:r>
      <w:r>
        <w:rPr>
          <w:spacing w:val="33"/>
        </w:rPr>
        <w:t xml:space="preserve"> </w:t>
      </w:r>
      <w:r>
        <w:rPr>
          <w:spacing w:val="-2"/>
        </w:rPr>
        <w:t>Call</w:t>
      </w:r>
      <w:r>
        <w:rPr>
          <w:spacing w:val="12"/>
        </w:rPr>
        <w:t xml:space="preserve"> </w:t>
      </w:r>
      <w:r>
        <w:t>Off</w:t>
      </w:r>
      <w:r>
        <w:rPr>
          <w:spacing w:val="16"/>
        </w:rPr>
        <w:t xml:space="preserve"> </w:t>
      </w:r>
      <w:r>
        <w:rPr>
          <w:spacing w:val="-2"/>
        </w:rPr>
        <w:t>Contract</w:t>
      </w:r>
      <w:r>
        <w:rPr>
          <w:spacing w:val="14"/>
        </w:rPr>
        <w:t xml:space="preserve"> </w:t>
      </w:r>
      <w:r>
        <w:rPr>
          <w:spacing w:val="-1"/>
        </w:rPr>
        <w:t>does</w:t>
      </w:r>
      <w:r>
        <w:rPr>
          <w:spacing w:val="13"/>
        </w:rPr>
        <w:t xml:space="preserve"> </w:t>
      </w:r>
      <w:r>
        <w:rPr>
          <w:spacing w:val="-1"/>
        </w:rPr>
        <w:t>not</w:t>
      </w:r>
      <w:r>
        <w:rPr>
          <w:spacing w:val="14"/>
        </w:rPr>
        <w:t xml:space="preserve"> </w:t>
      </w:r>
      <w:r>
        <w:rPr>
          <w:spacing w:val="-1"/>
        </w:rPr>
        <w:t>and</w:t>
      </w:r>
      <w:r>
        <w:rPr>
          <w:spacing w:val="12"/>
        </w:rPr>
        <w:t xml:space="preserve"> </w:t>
      </w:r>
      <w:r>
        <w:rPr>
          <w:spacing w:val="-1"/>
        </w:rPr>
        <w:t>will</w:t>
      </w:r>
      <w:r>
        <w:rPr>
          <w:spacing w:val="12"/>
        </w:rPr>
        <w:t xml:space="preserve"> </w:t>
      </w:r>
      <w:r>
        <w:rPr>
          <w:spacing w:val="-1"/>
        </w:rPr>
        <w:t>not</w:t>
      </w:r>
      <w:r>
        <w:rPr>
          <w:spacing w:val="14"/>
        </w:rPr>
        <w:t xml:space="preserve"> </w:t>
      </w:r>
      <w:r>
        <w:rPr>
          <w:spacing w:val="-1"/>
        </w:rPr>
        <w:t>constitute</w:t>
      </w:r>
      <w:r>
        <w:rPr>
          <w:spacing w:val="10"/>
        </w:rPr>
        <w:t xml:space="preserve"> </w:t>
      </w:r>
      <w:r>
        <w:t>a</w:t>
      </w:r>
      <w:r>
        <w:rPr>
          <w:spacing w:val="12"/>
        </w:rPr>
        <w:t xml:space="preserve"> </w:t>
      </w:r>
      <w:r>
        <w:rPr>
          <w:spacing w:val="-1"/>
        </w:rPr>
        <w:t>breach</w:t>
      </w:r>
      <w:r>
        <w:rPr>
          <w:spacing w:val="13"/>
        </w:rPr>
        <w:t xml:space="preserve"> </w:t>
      </w:r>
      <w:r>
        <w:rPr>
          <w:spacing w:val="-1"/>
        </w:rPr>
        <w:t>of</w:t>
      </w:r>
      <w:r>
        <w:rPr>
          <w:spacing w:val="16"/>
        </w:rPr>
        <w:t xml:space="preserve"> </w:t>
      </w:r>
      <w:r>
        <w:rPr>
          <w:spacing w:val="-1"/>
        </w:rPr>
        <w:t>any</w:t>
      </w:r>
      <w:r>
        <w:rPr>
          <w:spacing w:val="10"/>
        </w:rPr>
        <w:t xml:space="preserve"> </w:t>
      </w:r>
      <w:r>
        <w:t>Law</w:t>
      </w:r>
      <w:r>
        <w:rPr>
          <w:spacing w:val="57"/>
        </w:rPr>
        <w:t xml:space="preserve"> </w:t>
      </w:r>
      <w:r>
        <w:rPr>
          <w:spacing w:val="-1"/>
        </w:rPr>
        <w:t>or</w:t>
      </w:r>
      <w:r>
        <w:rPr>
          <w:spacing w:val="2"/>
        </w:rPr>
        <w:t xml:space="preserve"> </w:t>
      </w:r>
      <w:r>
        <w:rPr>
          <w:spacing w:val="-1"/>
        </w:rPr>
        <w:t>obligation</w:t>
      </w:r>
      <w:r>
        <w:t xml:space="preserve"> </w:t>
      </w:r>
      <w:r>
        <w:rPr>
          <w:spacing w:val="-2"/>
        </w:rPr>
        <w:t>applicable</w:t>
      </w:r>
      <w:r>
        <w:t xml:space="preserve"> to </w:t>
      </w:r>
      <w:r>
        <w:rPr>
          <w:spacing w:val="-1"/>
        </w:rPr>
        <w:t>it</w:t>
      </w:r>
      <w:r>
        <w:rPr>
          <w:spacing w:val="2"/>
        </w:rPr>
        <w:t xml:space="preserve"> </w:t>
      </w:r>
      <w:r>
        <w:rPr>
          <w:spacing w:val="-1"/>
        </w:rPr>
        <w:t>and</w:t>
      </w:r>
      <w:r>
        <w:t xml:space="preserve"> </w:t>
      </w:r>
      <w:r>
        <w:rPr>
          <w:spacing w:val="-1"/>
        </w:rPr>
        <w:t>does</w:t>
      </w:r>
      <w:r>
        <w:rPr>
          <w:spacing w:val="1"/>
        </w:rPr>
        <w:t xml:space="preserve"> </w:t>
      </w:r>
      <w:r>
        <w:rPr>
          <w:spacing w:val="-1"/>
        </w:rPr>
        <w:t>not</w:t>
      </w:r>
      <w:r>
        <w:rPr>
          <w:spacing w:val="2"/>
        </w:rPr>
        <w:t xml:space="preserve"> </w:t>
      </w:r>
      <w:r>
        <w:rPr>
          <w:spacing w:val="-1"/>
        </w:rPr>
        <w:t>and</w:t>
      </w:r>
      <w:r>
        <w:rPr>
          <w:spacing w:val="3"/>
        </w:rPr>
        <w:t xml:space="preserve"> </w:t>
      </w:r>
      <w:r>
        <w:rPr>
          <w:spacing w:val="-2"/>
        </w:rPr>
        <w:t>will</w:t>
      </w:r>
      <w:r>
        <w:rPr>
          <w:spacing w:val="2"/>
        </w:rPr>
        <w:t xml:space="preserve"> </w:t>
      </w:r>
      <w:r>
        <w:rPr>
          <w:spacing w:val="-1"/>
        </w:rPr>
        <w:t>not</w:t>
      </w:r>
      <w:r>
        <w:rPr>
          <w:spacing w:val="2"/>
        </w:rPr>
        <w:t xml:space="preserve"> </w:t>
      </w:r>
      <w:r>
        <w:rPr>
          <w:spacing w:val="-1"/>
        </w:rPr>
        <w:t>cause</w:t>
      </w:r>
      <w:r>
        <w:rPr>
          <w:spacing w:val="1"/>
        </w:rPr>
        <w:t xml:space="preserve"> </w:t>
      </w:r>
      <w:r>
        <w:rPr>
          <w:spacing w:val="-1"/>
        </w:rPr>
        <w:t>or</w:t>
      </w:r>
      <w:r>
        <w:rPr>
          <w:spacing w:val="2"/>
        </w:rPr>
        <w:t xml:space="preserve"> </w:t>
      </w:r>
      <w:r>
        <w:rPr>
          <w:spacing w:val="-1"/>
        </w:rPr>
        <w:t>result</w:t>
      </w:r>
      <w:r>
        <w:rPr>
          <w:spacing w:val="2"/>
        </w:rPr>
        <w:t xml:space="preserve"> </w:t>
      </w:r>
      <w:r>
        <w:rPr>
          <w:spacing w:val="-1"/>
        </w:rPr>
        <w:t>in</w:t>
      </w:r>
      <w:r>
        <w:rPr>
          <w:spacing w:val="55"/>
        </w:rPr>
        <w:t xml:space="preserve"> </w:t>
      </w:r>
      <w:r>
        <w:t xml:space="preserve">a </w:t>
      </w:r>
      <w:r>
        <w:rPr>
          <w:spacing w:val="-1"/>
        </w:rPr>
        <w:t>Default</w:t>
      </w:r>
      <w:r>
        <w:t xml:space="preserve"> </w:t>
      </w:r>
      <w:r>
        <w:rPr>
          <w:spacing w:val="-1"/>
        </w:rPr>
        <w:t>under any</w:t>
      </w:r>
      <w:r>
        <w:rPr>
          <w:spacing w:val="-2"/>
        </w:rPr>
        <w:t xml:space="preserve"> </w:t>
      </w:r>
      <w:r>
        <w:rPr>
          <w:spacing w:val="-1"/>
        </w:rPr>
        <w:t>agreement</w:t>
      </w:r>
      <w:r>
        <w:t xml:space="preserve"> </w:t>
      </w:r>
      <w:r>
        <w:rPr>
          <w:spacing w:val="-1"/>
        </w:rPr>
        <w:t>by</w:t>
      </w:r>
      <w:r>
        <w:rPr>
          <w:spacing w:val="-2"/>
        </w:rPr>
        <w:t xml:space="preserve"> which</w:t>
      </w:r>
      <w:r>
        <w:rPr>
          <w:spacing w:val="1"/>
        </w:rPr>
        <w:t xml:space="preserve"> </w:t>
      </w:r>
      <w:r>
        <w:rPr>
          <w:spacing w:val="-1"/>
        </w:rPr>
        <w:t>it</w:t>
      </w:r>
      <w:r>
        <w:rPr>
          <w:spacing w:val="2"/>
        </w:rPr>
        <w:t xml:space="preserve"> </w:t>
      </w:r>
      <w:r>
        <w:rPr>
          <w:spacing w:val="-1"/>
        </w:rPr>
        <w:t>is</w:t>
      </w:r>
      <w:r>
        <w:rPr>
          <w:spacing w:val="1"/>
        </w:rPr>
        <w:t xml:space="preserve"> </w:t>
      </w:r>
      <w:r>
        <w:rPr>
          <w:spacing w:val="-2"/>
        </w:rPr>
        <w:t>bound;</w:t>
      </w:r>
    </w:p>
    <w:p w:rsidR="008918FA" w:rsidRDefault="008918FA" w:rsidP="008918FA">
      <w:pPr>
        <w:pStyle w:val="BodyText"/>
        <w:numPr>
          <w:ilvl w:val="3"/>
          <w:numId w:val="69"/>
        </w:numPr>
        <w:tabs>
          <w:tab w:val="left" w:pos="1887"/>
        </w:tabs>
        <w:ind w:left="1886" w:right="111"/>
        <w:jc w:val="both"/>
      </w:pPr>
      <w:r>
        <w:rPr>
          <w:spacing w:val="-1"/>
        </w:rPr>
        <w:t>as</w:t>
      </w:r>
      <w:r>
        <w:rPr>
          <w:spacing w:val="46"/>
        </w:rPr>
        <w:t xml:space="preserve"> </w:t>
      </w:r>
      <w:r>
        <w:rPr>
          <w:spacing w:val="-1"/>
        </w:rPr>
        <w:t>at</w:t>
      </w:r>
      <w:r>
        <w:rPr>
          <w:spacing w:val="47"/>
        </w:rPr>
        <w:t xml:space="preserve"> </w:t>
      </w:r>
      <w:r>
        <w:t>the</w:t>
      </w:r>
      <w:r>
        <w:rPr>
          <w:spacing w:val="43"/>
        </w:rPr>
        <w:t xml:space="preserve"> </w:t>
      </w:r>
      <w:r>
        <w:rPr>
          <w:spacing w:val="-2"/>
        </w:rPr>
        <w:t>Call</w:t>
      </w:r>
      <w:r>
        <w:rPr>
          <w:spacing w:val="45"/>
        </w:rPr>
        <w:t xml:space="preserve"> </w:t>
      </w:r>
      <w:r>
        <w:rPr>
          <w:spacing w:val="-1"/>
        </w:rPr>
        <w:t>Off</w:t>
      </w:r>
      <w:r>
        <w:rPr>
          <w:spacing w:val="49"/>
        </w:rPr>
        <w:t xml:space="preserve"> </w:t>
      </w:r>
      <w:r>
        <w:rPr>
          <w:spacing w:val="-2"/>
        </w:rPr>
        <w:t>Commencement</w:t>
      </w:r>
      <w:r>
        <w:rPr>
          <w:spacing w:val="47"/>
        </w:rPr>
        <w:t xml:space="preserve"> </w:t>
      </w:r>
      <w:r>
        <w:rPr>
          <w:spacing w:val="-1"/>
        </w:rPr>
        <w:t>Date,</w:t>
      </w:r>
      <w:r>
        <w:rPr>
          <w:spacing w:val="48"/>
        </w:rPr>
        <w:t xml:space="preserve"> </w:t>
      </w:r>
      <w:r>
        <w:rPr>
          <w:spacing w:val="-1"/>
        </w:rPr>
        <w:t>all</w:t>
      </w:r>
      <w:r>
        <w:rPr>
          <w:spacing w:val="45"/>
        </w:rPr>
        <w:t xml:space="preserve"> </w:t>
      </w:r>
      <w:r>
        <w:rPr>
          <w:spacing w:val="-1"/>
        </w:rPr>
        <w:t>written</w:t>
      </w:r>
      <w:r>
        <w:rPr>
          <w:spacing w:val="46"/>
        </w:rPr>
        <w:t xml:space="preserve"> </w:t>
      </w:r>
      <w:r>
        <w:rPr>
          <w:spacing w:val="-1"/>
        </w:rPr>
        <w:t>statements</w:t>
      </w:r>
      <w:r>
        <w:rPr>
          <w:spacing w:val="44"/>
        </w:rPr>
        <w:t xml:space="preserve"> </w:t>
      </w:r>
      <w:r>
        <w:rPr>
          <w:spacing w:val="-1"/>
        </w:rPr>
        <w:t>and</w:t>
      </w:r>
      <w:r>
        <w:rPr>
          <w:spacing w:val="50"/>
        </w:rPr>
        <w:t xml:space="preserve"> </w:t>
      </w:r>
      <w:r>
        <w:rPr>
          <w:spacing w:val="-1"/>
        </w:rPr>
        <w:t>representations</w:t>
      </w:r>
      <w:r>
        <w:rPr>
          <w:spacing w:val="37"/>
        </w:rPr>
        <w:t xml:space="preserve"> </w:t>
      </w:r>
      <w:r>
        <w:rPr>
          <w:spacing w:val="-1"/>
        </w:rPr>
        <w:t>in</w:t>
      </w:r>
      <w:r>
        <w:rPr>
          <w:spacing w:val="36"/>
        </w:rPr>
        <w:t xml:space="preserve"> </w:t>
      </w:r>
      <w:r>
        <w:rPr>
          <w:spacing w:val="-1"/>
        </w:rPr>
        <w:t>any</w:t>
      </w:r>
      <w:r>
        <w:rPr>
          <w:spacing w:val="37"/>
        </w:rPr>
        <w:t xml:space="preserve"> </w:t>
      </w:r>
      <w:r>
        <w:rPr>
          <w:spacing w:val="-1"/>
        </w:rPr>
        <w:t>written</w:t>
      </w:r>
      <w:r>
        <w:rPr>
          <w:spacing w:val="36"/>
        </w:rPr>
        <w:t xml:space="preserve"> </w:t>
      </w:r>
      <w:r>
        <w:rPr>
          <w:spacing w:val="-1"/>
        </w:rPr>
        <w:t>submissions</w:t>
      </w:r>
      <w:r>
        <w:rPr>
          <w:spacing w:val="37"/>
        </w:rPr>
        <w:t xml:space="preserve"> </w:t>
      </w:r>
      <w:r>
        <w:rPr>
          <w:spacing w:val="-1"/>
        </w:rPr>
        <w:t>made</w:t>
      </w:r>
      <w:r>
        <w:rPr>
          <w:spacing w:val="36"/>
        </w:rPr>
        <w:t xml:space="preserve"> </w:t>
      </w:r>
      <w:r>
        <w:rPr>
          <w:spacing w:val="-1"/>
        </w:rPr>
        <w:t>by</w:t>
      </w:r>
      <w:r>
        <w:rPr>
          <w:spacing w:val="38"/>
        </w:rPr>
        <w:t xml:space="preserve"> </w:t>
      </w:r>
      <w:r>
        <w:t>the</w:t>
      </w:r>
      <w:r>
        <w:rPr>
          <w:spacing w:val="36"/>
        </w:rPr>
        <w:t xml:space="preserve"> </w:t>
      </w:r>
      <w:r>
        <w:rPr>
          <w:spacing w:val="-2"/>
        </w:rPr>
        <w:t>Supplier</w:t>
      </w:r>
      <w:r>
        <w:rPr>
          <w:spacing w:val="38"/>
        </w:rPr>
        <w:t xml:space="preserve"> </w:t>
      </w:r>
      <w:r>
        <w:rPr>
          <w:spacing w:val="-1"/>
        </w:rPr>
        <w:t>as</w:t>
      </w:r>
      <w:r>
        <w:rPr>
          <w:spacing w:val="40"/>
        </w:rPr>
        <w:t xml:space="preserve"> </w:t>
      </w:r>
      <w:r>
        <w:rPr>
          <w:spacing w:val="-1"/>
        </w:rPr>
        <w:t>part</w:t>
      </w:r>
      <w:r>
        <w:rPr>
          <w:spacing w:val="57"/>
        </w:rPr>
        <w:t xml:space="preserve"> </w:t>
      </w:r>
      <w:r>
        <w:rPr>
          <w:spacing w:val="-2"/>
        </w:rPr>
        <w:t>of</w:t>
      </w:r>
      <w:r>
        <w:rPr>
          <w:spacing w:val="59"/>
        </w:rPr>
        <w:t xml:space="preserve"> </w:t>
      </w:r>
      <w:r>
        <w:t>the</w:t>
      </w:r>
      <w:r>
        <w:rPr>
          <w:spacing w:val="55"/>
        </w:rPr>
        <w:t xml:space="preserve"> </w:t>
      </w:r>
      <w:r>
        <w:rPr>
          <w:spacing w:val="-2"/>
        </w:rPr>
        <w:t>procurement</w:t>
      </w:r>
      <w:r>
        <w:rPr>
          <w:spacing w:val="57"/>
        </w:rPr>
        <w:t xml:space="preserve"> </w:t>
      </w:r>
      <w:r>
        <w:rPr>
          <w:spacing w:val="-1"/>
        </w:rPr>
        <w:t>process,</w:t>
      </w:r>
      <w:r>
        <w:rPr>
          <w:spacing w:val="57"/>
        </w:rPr>
        <w:t xml:space="preserve"> </w:t>
      </w:r>
      <w:r>
        <w:rPr>
          <w:spacing w:val="-2"/>
        </w:rPr>
        <w:t>including</w:t>
      </w:r>
      <w:r>
        <w:rPr>
          <w:spacing w:val="58"/>
        </w:rPr>
        <w:t xml:space="preserve"> </w:t>
      </w:r>
      <w:r>
        <w:rPr>
          <w:spacing w:val="-1"/>
        </w:rPr>
        <w:t>without</w:t>
      </w:r>
      <w:r>
        <w:rPr>
          <w:spacing w:val="58"/>
        </w:rPr>
        <w:t xml:space="preserve"> </w:t>
      </w:r>
      <w:r>
        <w:rPr>
          <w:spacing w:val="-1"/>
        </w:rPr>
        <w:t>limitation</w:t>
      </w:r>
      <w:r>
        <w:rPr>
          <w:spacing w:val="55"/>
        </w:rPr>
        <w:t xml:space="preserve"> </w:t>
      </w:r>
      <w:r>
        <w:t>to</w:t>
      </w:r>
      <w:r>
        <w:rPr>
          <w:spacing w:val="55"/>
        </w:rPr>
        <w:t xml:space="preserve"> </w:t>
      </w:r>
      <w:r>
        <w:rPr>
          <w:spacing w:val="-1"/>
        </w:rPr>
        <w:t>the</w:t>
      </w:r>
      <w:r>
        <w:rPr>
          <w:spacing w:val="58"/>
        </w:rPr>
        <w:t xml:space="preserve"> </w:t>
      </w:r>
      <w:r>
        <w:t>PQQ</w:t>
      </w:r>
      <w:r>
        <w:rPr>
          <w:spacing w:val="45"/>
        </w:rPr>
        <w:t xml:space="preserve"> </w:t>
      </w:r>
      <w:r>
        <w:rPr>
          <w:spacing w:val="-2"/>
        </w:rPr>
        <w:t>(if</w:t>
      </w:r>
      <w:r>
        <w:rPr>
          <w:spacing w:val="47"/>
        </w:rPr>
        <w:t xml:space="preserve"> </w:t>
      </w:r>
      <w:r>
        <w:rPr>
          <w:spacing w:val="-2"/>
        </w:rPr>
        <w:t>applicable),</w:t>
      </w:r>
      <w:r>
        <w:rPr>
          <w:spacing w:val="45"/>
        </w:rPr>
        <w:t xml:space="preserve"> </w:t>
      </w:r>
      <w:r>
        <w:rPr>
          <w:spacing w:val="-1"/>
        </w:rPr>
        <w:t>its</w:t>
      </w:r>
      <w:r>
        <w:rPr>
          <w:spacing w:val="44"/>
        </w:rPr>
        <w:t xml:space="preserve"> </w:t>
      </w:r>
      <w:r>
        <w:rPr>
          <w:spacing w:val="-1"/>
        </w:rPr>
        <w:t>Tender</w:t>
      </w:r>
      <w:r>
        <w:rPr>
          <w:spacing w:val="46"/>
        </w:rPr>
        <w:t xml:space="preserve"> </w:t>
      </w:r>
      <w:r>
        <w:rPr>
          <w:spacing w:val="-1"/>
        </w:rPr>
        <w:t>and</w:t>
      </w:r>
      <w:r>
        <w:rPr>
          <w:spacing w:val="43"/>
        </w:rPr>
        <w:t xml:space="preserve"> </w:t>
      </w:r>
      <w:r>
        <w:rPr>
          <w:spacing w:val="-1"/>
        </w:rPr>
        <w:t>any</w:t>
      </w:r>
      <w:r>
        <w:rPr>
          <w:spacing w:val="42"/>
        </w:rPr>
        <w:t xml:space="preserve"> </w:t>
      </w:r>
      <w:r>
        <w:rPr>
          <w:spacing w:val="-1"/>
        </w:rPr>
        <w:t>other</w:t>
      </w:r>
      <w:r>
        <w:rPr>
          <w:spacing w:val="45"/>
        </w:rPr>
        <w:t xml:space="preserve"> </w:t>
      </w:r>
      <w:r>
        <w:rPr>
          <w:spacing w:val="-1"/>
        </w:rPr>
        <w:t>documents</w:t>
      </w:r>
      <w:r>
        <w:rPr>
          <w:spacing w:val="45"/>
        </w:rPr>
        <w:t xml:space="preserve"> </w:t>
      </w:r>
      <w:r>
        <w:rPr>
          <w:spacing w:val="-1"/>
        </w:rPr>
        <w:t>submitted</w:t>
      </w:r>
      <w:r>
        <w:rPr>
          <w:spacing w:val="55"/>
        </w:rPr>
        <w:t xml:space="preserve"> </w:t>
      </w:r>
      <w:r>
        <w:rPr>
          <w:spacing w:val="-1"/>
        </w:rPr>
        <w:t>remain</w:t>
      </w:r>
      <w:r>
        <w:rPr>
          <w:spacing w:val="39"/>
        </w:rPr>
        <w:t xml:space="preserve"> </w:t>
      </w:r>
      <w:r>
        <w:t>true</w:t>
      </w:r>
      <w:r>
        <w:rPr>
          <w:spacing w:val="39"/>
        </w:rPr>
        <w:t xml:space="preserve"> </w:t>
      </w:r>
      <w:r>
        <w:rPr>
          <w:spacing w:val="-1"/>
        </w:rPr>
        <w:t>and</w:t>
      </w:r>
      <w:r>
        <w:rPr>
          <w:spacing w:val="38"/>
        </w:rPr>
        <w:t xml:space="preserve"> </w:t>
      </w:r>
      <w:r>
        <w:rPr>
          <w:spacing w:val="-1"/>
        </w:rPr>
        <w:t>accurate</w:t>
      </w:r>
      <w:r>
        <w:rPr>
          <w:spacing w:val="38"/>
        </w:rPr>
        <w:t xml:space="preserve"> </w:t>
      </w:r>
      <w:r>
        <w:rPr>
          <w:spacing w:val="-1"/>
        </w:rPr>
        <w:t>except</w:t>
      </w:r>
      <w:r>
        <w:rPr>
          <w:spacing w:val="40"/>
        </w:rPr>
        <w:t xml:space="preserve"> </w:t>
      </w:r>
      <w:r>
        <w:t>to</w:t>
      </w:r>
      <w:r>
        <w:rPr>
          <w:spacing w:val="38"/>
        </w:rPr>
        <w:t xml:space="preserve"> </w:t>
      </w:r>
      <w:r>
        <w:t>the</w:t>
      </w:r>
      <w:r>
        <w:rPr>
          <w:spacing w:val="39"/>
        </w:rPr>
        <w:t xml:space="preserve"> </w:t>
      </w:r>
      <w:r>
        <w:rPr>
          <w:spacing w:val="-1"/>
        </w:rPr>
        <w:t>extent</w:t>
      </w:r>
      <w:r>
        <w:rPr>
          <w:spacing w:val="40"/>
        </w:rPr>
        <w:t xml:space="preserve"> </w:t>
      </w:r>
      <w:r>
        <w:rPr>
          <w:spacing w:val="-1"/>
        </w:rPr>
        <w:t>that</w:t>
      </w:r>
      <w:r>
        <w:rPr>
          <w:spacing w:val="40"/>
        </w:rPr>
        <w:t xml:space="preserve"> </w:t>
      </w:r>
      <w:r>
        <w:rPr>
          <w:spacing w:val="-1"/>
        </w:rPr>
        <w:t>such</w:t>
      </w:r>
      <w:r>
        <w:rPr>
          <w:spacing w:val="39"/>
        </w:rPr>
        <w:t xml:space="preserve"> </w:t>
      </w:r>
      <w:r>
        <w:rPr>
          <w:spacing w:val="-1"/>
        </w:rPr>
        <w:t>statements</w:t>
      </w:r>
      <w:r>
        <w:rPr>
          <w:spacing w:val="29"/>
        </w:rPr>
        <w:t xml:space="preserve"> </w:t>
      </w:r>
      <w:r>
        <w:rPr>
          <w:spacing w:val="-1"/>
        </w:rPr>
        <w:t>and</w:t>
      </w:r>
      <w:r>
        <w:rPr>
          <w:spacing w:val="27"/>
        </w:rPr>
        <w:t xml:space="preserve"> </w:t>
      </w:r>
      <w:r>
        <w:rPr>
          <w:spacing w:val="-1"/>
        </w:rPr>
        <w:t>representations</w:t>
      </w:r>
      <w:r>
        <w:rPr>
          <w:spacing w:val="27"/>
        </w:rPr>
        <w:t xml:space="preserve"> </w:t>
      </w:r>
      <w:r>
        <w:rPr>
          <w:spacing w:val="-2"/>
        </w:rPr>
        <w:t>have</w:t>
      </w:r>
      <w:r>
        <w:rPr>
          <w:spacing w:val="27"/>
        </w:rPr>
        <w:t xml:space="preserve"> </w:t>
      </w:r>
      <w:r>
        <w:rPr>
          <w:spacing w:val="-1"/>
        </w:rPr>
        <w:t>been</w:t>
      </w:r>
      <w:r>
        <w:rPr>
          <w:spacing w:val="27"/>
        </w:rPr>
        <w:t xml:space="preserve"> </w:t>
      </w:r>
      <w:r>
        <w:rPr>
          <w:spacing w:val="-1"/>
        </w:rPr>
        <w:t>superseded</w:t>
      </w:r>
      <w:r>
        <w:rPr>
          <w:spacing w:val="27"/>
        </w:rPr>
        <w:t xml:space="preserve"> </w:t>
      </w:r>
      <w:r>
        <w:rPr>
          <w:spacing w:val="-1"/>
        </w:rPr>
        <w:t>or</w:t>
      </w:r>
      <w:r>
        <w:rPr>
          <w:spacing w:val="26"/>
        </w:rPr>
        <w:t xml:space="preserve"> </w:t>
      </w:r>
      <w:r>
        <w:rPr>
          <w:spacing w:val="-2"/>
        </w:rPr>
        <w:t>varied</w:t>
      </w:r>
      <w:r>
        <w:rPr>
          <w:spacing w:val="27"/>
        </w:rPr>
        <w:t xml:space="preserve"> </w:t>
      </w:r>
      <w:r>
        <w:rPr>
          <w:spacing w:val="-1"/>
        </w:rPr>
        <w:t>by</w:t>
      </w:r>
      <w:r>
        <w:rPr>
          <w:spacing w:val="25"/>
        </w:rPr>
        <w:t xml:space="preserve"> </w:t>
      </w:r>
      <w:r>
        <w:rPr>
          <w:spacing w:val="-1"/>
        </w:rPr>
        <w:t>this</w:t>
      </w:r>
      <w:r>
        <w:rPr>
          <w:spacing w:val="27"/>
        </w:rPr>
        <w:t xml:space="preserve"> </w:t>
      </w:r>
      <w:r>
        <w:rPr>
          <w:spacing w:val="-2"/>
        </w:rPr>
        <w:t>Call</w:t>
      </w:r>
      <w:r>
        <w:rPr>
          <w:spacing w:val="26"/>
        </w:rPr>
        <w:t xml:space="preserve"> </w:t>
      </w:r>
      <w:r>
        <w:rPr>
          <w:spacing w:val="-1"/>
        </w:rPr>
        <w:t>Off</w:t>
      </w:r>
      <w:r>
        <w:rPr>
          <w:spacing w:val="47"/>
        </w:rPr>
        <w:t xml:space="preserve"> </w:t>
      </w:r>
      <w:r>
        <w:rPr>
          <w:spacing w:val="-1"/>
        </w:rPr>
        <w:t>Contract;</w:t>
      </w:r>
    </w:p>
    <w:p w:rsidR="008918FA" w:rsidRDefault="008918FA" w:rsidP="008918FA">
      <w:pPr>
        <w:pStyle w:val="BodyText"/>
        <w:numPr>
          <w:ilvl w:val="3"/>
          <w:numId w:val="69"/>
        </w:numPr>
        <w:tabs>
          <w:tab w:val="left" w:pos="1887"/>
        </w:tabs>
        <w:spacing w:before="121"/>
        <w:ind w:left="1885" w:right="115" w:hanging="993"/>
        <w:jc w:val="both"/>
      </w:pPr>
      <w:bookmarkStart w:id="47" w:name="_bookmark51"/>
      <w:bookmarkEnd w:id="47"/>
      <w:r>
        <w:rPr>
          <w:spacing w:val="-1"/>
        </w:rPr>
        <w:t>as</w:t>
      </w:r>
      <w:r>
        <w:rPr>
          <w:spacing w:val="3"/>
        </w:rPr>
        <w:t xml:space="preserve"> </w:t>
      </w:r>
      <w:r>
        <w:rPr>
          <w:spacing w:val="-1"/>
        </w:rPr>
        <w:t>at</w:t>
      </w:r>
      <w:r>
        <w:rPr>
          <w:spacing w:val="4"/>
        </w:rPr>
        <w:t xml:space="preserve"> </w:t>
      </w:r>
      <w:r>
        <w:t>the</w:t>
      </w:r>
      <w:r>
        <w:rPr>
          <w:spacing w:val="3"/>
        </w:rPr>
        <w:t xml:space="preserve"> </w:t>
      </w:r>
      <w:r>
        <w:rPr>
          <w:spacing w:val="-2"/>
        </w:rPr>
        <w:t>Call</w:t>
      </w:r>
      <w:r>
        <w:rPr>
          <w:spacing w:val="2"/>
        </w:rPr>
        <w:t xml:space="preserve"> </w:t>
      </w:r>
      <w:r>
        <w:rPr>
          <w:spacing w:val="-1"/>
        </w:rPr>
        <w:t>Off</w:t>
      </w:r>
      <w:r>
        <w:rPr>
          <w:spacing w:val="6"/>
        </w:rPr>
        <w:t xml:space="preserve"> </w:t>
      </w:r>
      <w:r>
        <w:rPr>
          <w:spacing w:val="-1"/>
        </w:rPr>
        <w:t>Commencement</w:t>
      </w:r>
      <w:r>
        <w:rPr>
          <w:spacing w:val="4"/>
        </w:rPr>
        <w:t xml:space="preserve"> </w:t>
      </w:r>
      <w:r>
        <w:rPr>
          <w:spacing w:val="-1"/>
        </w:rPr>
        <w:t>Date,</w:t>
      </w:r>
      <w:r>
        <w:rPr>
          <w:spacing w:val="4"/>
        </w:rPr>
        <w:t xml:space="preserve"> </w:t>
      </w:r>
      <w:r>
        <w:rPr>
          <w:spacing w:val="-1"/>
        </w:rPr>
        <w:t>it</w:t>
      </w:r>
      <w:r>
        <w:rPr>
          <w:spacing w:val="4"/>
        </w:rPr>
        <w:t xml:space="preserve"> </w:t>
      </w:r>
      <w:r>
        <w:rPr>
          <w:spacing w:val="-1"/>
        </w:rPr>
        <w:t>has</w:t>
      </w:r>
      <w:r>
        <w:rPr>
          <w:spacing w:val="3"/>
        </w:rPr>
        <w:t xml:space="preserve"> </w:t>
      </w:r>
      <w:r>
        <w:rPr>
          <w:spacing w:val="-1"/>
        </w:rPr>
        <w:t>notified</w:t>
      </w:r>
      <w:r>
        <w:rPr>
          <w:spacing w:val="3"/>
        </w:rPr>
        <w:t xml:space="preserve"> </w:t>
      </w:r>
      <w:r>
        <w:t>the</w:t>
      </w:r>
      <w:r>
        <w:rPr>
          <w:spacing w:val="5"/>
        </w:rPr>
        <w:t xml:space="preserve"> </w:t>
      </w:r>
      <w:r>
        <w:rPr>
          <w:spacing w:val="-1"/>
        </w:rPr>
        <w:t>Customer</w:t>
      </w:r>
      <w:r>
        <w:rPr>
          <w:spacing w:val="4"/>
        </w:rPr>
        <w:t xml:space="preserve"> </w:t>
      </w:r>
      <w:r>
        <w:rPr>
          <w:spacing w:val="-2"/>
        </w:rPr>
        <w:t>in</w:t>
      </w:r>
      <w:r>
        <w:rPr>
          <w:spacing w:val="19"/>
        </w:rPr>
        <w:t xml:space="preserve"> </w:t>
      </w:r>
      <w:r>
        <w:rPr>
          <w:spacing w:val="-2"/>
        </w:rPr>
        <w:t>writing</w:t>
      </w:r>
      <w:r>
        <w:rPr>
          <w:spacing w:val="3"/>
        </w:rPr>
        <w:t xml:space="preserve"> </w:t>
      </w:r>
      <w:r>
        <w:rPr>
          <w:spacing w:val="-1"/>
        </w:rPr>
        <w:t>of</w:t>
      </w:r>
      <w:r>
        <w:rPr>
          <w:spacing w:val="4"/>
        </w:rPr>
        <w:t xml:space="preserve"> </w:t>
      </w:r>
      <w:r>
        <w:rPr>
          <w:spacing w:val="-1"/>
        </w:rPr>
        <w:t>any</w:t>
      </w:r>
      <w:r>
        <w:rPr>
          <w:spacing w:val="-2"/>
        </w:rPr>
        <w:t xml:space="preserve"> </w:t>
      </w:r>
      <w:r>
        <w:rPr>
          <w:spacing w:val="-1"/>
        </w:rPr>
        <w:t>Occasions</w:t>
      </w:r>
      <w:r>
        <w:rPr>
          <w:spacing w:val="1"/>
        </w:rPr>
        <w:t xml:space="preserve"> </w:t>
      </w:r>
      <w:r>
        <w:rPr>
          <w:spacing w:val="-2"/>
        </w:rPr>
        <w:t>of</w:t>
      </w:r>
      <w:r>
        <w:rPr>
          <w:spacing w:val="4"/>
        </w:rPr>
        <w:t xml:space="preserve"> </w:t>
      </w:r>
      <w:r>
        <w:t>Tax</w:t>
      </w:r>
      <w:r>
        <w:rPr>
          <w:spacing w:val="-2"/>
        </w:rPr>
        <w:t xml:space="preserve"> </w:t>
      </w:r>
      <w:r>
        <w:rPr>
          <w:spacing w:val="-1"/>
        </w:rPr>
        <w:t>Non-Compliance</w:t>
      </w:r>
      <w:r>
        <w:rPr>
          <w:spacing w:val="2"/>
        </w:rPr>
        <w:t xml:space="preserve"> </w:t>
      </w:r>
      <w:r>
        <w:rPr>
          <w:spacing w:val="-1"/>
        </w:rPr>
        <w:t>or</w:t>
      </w:r>
      <w:r>
        <w:rPr>
          <w:spacing w:val="2"/>
        </w:rPr>
        <w:t xml:space="preserve"> </w:t>
      </w:r>
      <w:r>
        <w:rPr>
          <w:spacing w:val="-1"/>
        </w:rPr>
        <w:t>any</w:t>
      </w:r>
      <w:r>
        <w:rPr>
          <w:spacing w:val="1"/>
        </w:rPr>
        <w:t xml:space="preserve"> </w:t>
      </w:r>
      <w:r>
        <w:rPr>
          <w:spacing w:val="-1"/>
        </w:rPr>
        <w:t>litigation</w:t>
      </w:r>
      <w:r>
        <w:t xml:space="preserve"> </w:t>
      </w:r>
      <w:r>
        <w:rPr>
          <w:spacing w:val="-1"/>
        </w:rPr>
        <w:t>that</w:t>
      </w:r>
      <w:r>
        <w:rPr>
          <w:spacing w:val="2"/>
        </w:rPr>
        <w:t xml:space="preserve"> </w:t>
      </w:r>
      <w:r>
        <w:rPr>
          <w:spacing w:val="-1"/>
        </w:rPr>
        <w:t>it</w:t>
      </w:r>
      <w:r>
        <w:rPr>
          <w:spacing w:val="45"/>
        </w:rPr>
        <w:t xml:space="preserve"> </w:t>
      </w:r>
      <w:r>
        <w:rPr>
          <w:spacing w:val="-1"/>
        </w:rPr>
        <w:t>is</w:t>
      </w:r>
      <w:r>
        <w:rPr>
          <w:spacing w:val="1"/>
        </w:rPr>
        <w:t xml:space="preserve"> </w:t>
      </w:r>
      <w:r>
        <w:rPr>
          <w:spacing w:val="-2"/>
        </w:rPr>
        <w:t>involved</w:t>
      </w:r>
      <w:r>
        <w:t xml:space="preserve"> </w:t>
      </w:r>
      <w:r>
        <w:rPr>
          <w:spacing w:val="-1"/>
        </w:rPr>
        <w:t>in</w:t>
      </w:r>
      <w:r>
        <w:t xml:space="preserve"> </w:t>
      </w:r>
      <w:r>
        <w:rPr>
          <w:spacing w:val="-1"/>
        </w:rPr>
        <w:t>connection</w:t>
      </w:r>
      <w:r>
        <w:rPr>
          <w:spacing w:val="-2"/>
        </w:rPr>
        <w:t xml:space="preserve"> </w:t>
      </w:r>
      <w:r>
        <w:rPr>
          <w:spacing w:val="-1"/>
        </w:rPr>
        <w:t>with</w:t>
      </w:r>
      <w:r>
        <w:t xml:space="preserve"> </w:t>
      </w:r>
      <w:r>
        <w:rPr>
          <w:spacing w:val="-1"/>
        </w:rPr>
        <w:t>any</w:t>
      </w:r>
      <w:r>
        <w:rPr>
          <w:spacing w:val="-2"/>
        </w:rPr>
        <w:t xml:space="preserve"> </w:t>
      </w:r>
      <w:r>
        <w:rPr>
          <w:spacing w:val="-1"/>
        </w:rPr>
        <w:t>Occasions</w:t>
      </w:r>
      <w:r>
        <w:rPr>
          <w:spacing w:val="-2"/>
        </w:rPr>
        <w:t xml:space="preserve"> of</w:t>
      </w:r>
      <w:r>
        <w:t xml:space="preserve"> </w:t>
      </w:r>
      <w:r>
        <w:rPr>
          <w:spacing w:val="-1"/>
        </w:rPr>
        <w:t>Tax</w:t>
      </w:r>
      <w:r>
        <w:rPr>
          <w:spacing w:val="-2"/>
        </w:rPr>
        <w:t xml:space="preserve"> </w:t>
      </w:r>
      <w:r>
        <w:rPr>
          <w:spacing w:val="-1"/>
        </w:rPr>
        <w:t>Non</w:t>
      </w:r>
      <w:r>
        <w:t xml:space="preserve"> </w:t>
      </w:r>
      <w:r>
        <w:rPr>
          <w:spacing w:val="-1"/>
        </w:rPr>
        <w:t>Compliance;</w:t>
      </w:r>
    </w:p>
    <w:p w:rsidR="008918FA" w:rsidRDefault="008918FA" w:rsidP="008918FA">
      <w:pPr>
        <w:pStyle w:val="BodyText"/>
        <w:numPr>
          <w:ilvl w:val="3"/>
          <w:numId w:val="69"/>
        </w:numPr>
        <w:tabs>
          <w:tab w:val="left" w:pos="1887"/>
        </w:tabs>
        <w:ind w:left="1886" w:right="111"/>
        <w:jc w:val="both"/>
      </w:pPr>
      <w:r>
        <w:rPr>
          <w:spacing w:val="-1"/>
        </w:rPr>
        <w:t>it</w:t>
      </w:r>
      <w:r>
        <w:rPr>
          <w:spacing w:val="2"/>
        </w:rPr>
        <w:t xml:space="preserve"> </w:t>
      </w:r>
      <w:r>
        <w:rPr>
          <w:spacing w:val="-1"/>
        </w:rPr>
        <w:t>has</w:t>
      </w:r>
      <w:r>
        <w:rPr>
          <w:spacing w:val="1"/>
        </w:rPr>
        <w:t xml:space="preserve"> </w:t>
      </w:r>
      <w:r>
        <w:rPr>
          <w:spacing w:val="-1"/>
        </w:rPr>
        <w:t>and</w:t>
      </w:r>
      <w:r>
        <w:rPr>
          <w:spacing w:val="-2"/>
        </w:rPr>
        <w:t xml:space="preserve"> </w:t>
      </w:r>
      <w:r>
        <w:rPr>
          <w:spacing w:val="-1"/>
        </w:rPr>
        <w:t>shall</w:t>
      </w:r>
      <w:r>
        <w:t xml:space="preserve"> </w:t>
      </w:r>
      <w:r>
        <w:rPr>
          <w:spacing w:val="-1"/>
        </w:rPr>
        <w:t>continue</w:t>
      </w:r>
      <w:r>
        <w:rPr>
          <w:spacing w:val="-2"/>
        </w:rPr>
        <w:t xml:space="preserve"> </w:t>
      </w:r>
      <w:r>
        <w:t xml:space="preserve">to </w:t>
      </w:r>
      <w:r>
        <w:rPr>
          <w:spacing w:val="-2"/>
        </w:rPr>
        <w:t>have</w:t>
      </w:r>
      <w:r>
        <w:t xml:space="preserve"> </w:t>
      </w:r>
      <w:r>
        <w:rPr>
          <w:spacing w:val="-1"/>
        </w:rPr>
        <w:t>all</w:t>
      </w:r>
      <w:r>
        <w:t xml:space="preserve"> </w:t>
      </w:r>
      <w:r>
        <w:rPr>
          <w:spacing w:val="-1"/>
        </w:rPr>
        <w:t>necessary</w:t>
      </w:r>
      <w:r>
        <w:rPr>
          <w:spacing w:val="-2"/>
        </w:rPr>
        <w:t xml:space="preserve"> </w:t>
      </w:r>
      <w:r>
        <w:rPr>
          <w:spacing w:val="-1"/>
        </w:rPr>
        <w:t>rights</w:t>
      </w:r>
      <w:r>
        <w:rPr>
          <w:spacing w:val="1"/>
        </w:rPr>
        <w:t xml:space="preserve"> </w:t>
      </w:r>
      <w:r>
        <w:rPr>
          <w:spacing w:val="-1"/>
        </w:rPr>
        <w:t>in</w:t>
      </w:r>
      <w:r>
        <w:t xml:space="preserve"> </w:t>
      </w:r>
      <w:r>
        <w:rPr>
          <w:spacing w:val="-1"/>
        </w:rPr>
        <w:t>and</w:t>
      </w:r>
      <w:r>
        <w:rPr>
          <w:spacing w:val="-2"/>
        </w:rPr>
        <w:t xml:space="preserve"> </w:t>
      </w:r>
      <w:r>
        <w:t>to</w:t>
      </w:r>
      <w:r>
        <w:rPr>
          <w:spacing w:val="-2"/>
        </w:rPr>
        <w:t xml:space="preserve"> </w:t>
      </w:r>
      <w:r>
        <w:t>the</w:t>
      </w:r>
      <w:r>
        <w:rPr>
          <w:spacing w:val="-3"/>
        </w:rPr>
        <w:t xml:space="preserve"> </w:t>
      </w:r>
      <w:r>
        <w:rPr>
          <w:spacing w:val="-1"/>
        </w:rPr>
        <w:t>Third</w:t>
      </w:r>
      <w:r>
        <w:rPr>
          <w:spacing w:val="39"/>
        </w:rPr>
        <w:t xml:space="preserve"> </w:t>
      </w:r>
      <w:r>
        <w:rPr>
          <w:spacing w:val="-1"/>
        </w:rPr>
        <w:t>Party</w:t>
      </w:r>
      <w:r>
        <w:rPr>
          <w:spacing w:val="58"/>
        </w:rPr>
        <w:t xml:space="preserve"> </w:t>
      </w:r>
      <w:r>
        <w:rPr>
          <w:spacing w:val="-1"/>
        </w:rPr>
        <w:t>IPR,</w:t>
      </w:r>
      <w:r>
        <w:rPr>
          <w:spacing w:val="1"/>
        </w:rPr>
        <w:t xml:space="preserve"> </w:t>
      </w:r>
      <w:r>
        <w:t>the</w:t>
      </w:r>
      <w:r>
        <w:rPr>
          <w:spacing w:val="60"/>
        </w:rPr>
        <w:t xml:space="preserve"> </w:t>
      </w:r>
      <w:r>
        <w:rPr>
          <w:spacing w:val="-2"/>
        </w:rPr>
        <w:t>Supplier</w:t>
      </w:r>
      <w:r>
        <w:rPr>
          <w:spacing w:val="59"/>
        </w:rPr>
        <w:t xml:space="preserve"> </w:t>
      </w:r>
      <w:r>
        <w:rPr>
          <w:spacing w:val="-1"/>
        </w:rPr>
        <w:t>Background</w:t>
      </w:r>
      <w:r>
        <w:rPr>
          <w:spacing w:val="60"/>
        </w:rPr>
        <w:t xml:space="preserve"> </w:t>
      </w:r>
      <w:r>
        <w:rPr>
          <w:spacing w:val="-1"/>
        </w:rPr>
        <w:t>IPRs</w:t>
      </w:r>
      <w:r>
        <w:t xml:space="preserve">  </w:t>
      </w:r>
      <w:r>
        <w:rPr>
          <w:spacing w:val="-1"/>
        </w:rPr>
        <w:t>and</w:t>
      </w:r>
      <w:r>
        <w:rPr>
          <w:spacing w:val="58"/>
        </w:rPr>
        <w:t xml:space="preserve"> </w:t>
      </w:r>
      <w:r>
        <w:rPr>
          <w:spacing w:val="-1"/>
        </w:rPr>
        <w:t>any</w:t>
      </w:r>
      <w:r>
        <w:rPr>
          <w:spacing w:val="58"/>
        </w:rPr>
        <w:t xml:space="preserve"> </w:t>
      </w:r>
      <w:r>
        <w:rPr>
          <w:spacing w:val="-1"/>
        </w:rPr>
        <w:t>other</w:t>
      </w:r>
      <w:r>
        <w:t xml:space="preserve">  </w:t>
      </w:r>
      <w:r>
        <w:rPr>
          <w:spacing w:val="-1"/>
        </w:rPr>
        <w:t>materials</w:t>
      </w:r>
      <w:r>
        <w:rPr>
          <w:spacing w:val="49"/>
        </w:rPr>
        <w:t xml:space="preserve"> </w:t>
      </w:r>
      <w:r>
        <w:rPr>
          <w:spacing w:val="-1"/>
        </w:rPr>
        <w:t>made</w:t>
      </w:r>
      <w:r>
        <w:rPr>
          <w:spacing w:val="55"/>
        </w:rPr>
        <w:t xml:space="preserve"> </w:t>
      </w:r>
      <w:r>
        <w:rPr>
          <w:spacing w:val="-2"/>
        </w:rPr>
        <w:t>available</w:t>
      </w:r>
      <w:r>
        <w:rPr>
          <w:spacing w:val="55"/>
        </w:rPr>
        <w:t xml:space="preserve"> </w:t>
      </w:r>
      <w:r>
        <w:rPr>
          <w:spacing w:val="-1"/>
        </w:rPr>
        <w:t>by</w:t>
      </w:r>
      <w:r>
        <w:rPr>
          <w:spacing w:val="53"/>
        </w:rPr>
        <w:t xml:space="preserve"> </w:t>
      </w:r>
      <w:r>
        <w:t>the</w:t>
      </w:r>
      <w:r>
        <w:rPr>
          <w:spacing w:val="55"/>
        </w:rPr>
        <w:t xml:space="preserve"> </w:t>
      </w:r>
      <w:r>
        <w:rPr>
          <w:spacing w:val="-2"/>
        </w:rPr>
        <w:t>Supplier</w:t>
      </w:r>
      <w:r>
        <w:rPr>
          <w:spacing w:val="57"/>
        </w:rPr>
        <w:t xml:space="preserve"> </w:t>
      </w:r>
      <w:r>
        <w:rPr>
          <w:spacing w:val="-1"/>
        </w:rPr>
        <w:t>(and/or</w:t>
      </w:r>
      <w:r>
        <w:rPr>
          <w:spacing w:val="54"/>
        </w:rPr>
        <w:t xml:space="preserve"> </w:t>
      </w:r>
      <w:r>
        <w:rPr>
          <w:spacing w:val="-1"/>
        </w:rPr>
        <w:t>any</w:t>
      </w:r>
      <w:r>
        <w:rPr>
          <w:spacing w:val="54"/>
        </w:rPr>
        <w:t xml:space="preserve"> </w:t>
      </w:r>
      <w:r>
        <w:rPr>
          <w:spacing w:val="-1"/>
        </w:rPr>
        <w:t>Sub-Contractor)</w:t>
      </w:r>
      <w:r>
        <w:rPr>
          <w:spacing w:val="54"/>
        </w:rPr>
        <w:t xml:space="preserve"> </w:t>
      </w:r>
      <w:r>
        <w:t>to</w:t>
      </w:r>
      <w:r>
        <w:rPr>
          <w:spacing w:val="53"/>
        </w:rPr>
        <w:t xml:space="preserve"> </w:t>
      </w:r>
      <w:r>
        <w:rPr>
          <w:spacing w:val="-1"/>
        </w:rPr>
        <w:t>the</w:t>
      </w:r>
      <w:r>
        <w:rPr>
          <w:spacing w:val="56"/>
        </w:rPr>
        <w:t xml:space="preserve"> </w:t>
      </w:r>
      <w:r>
        <w:rPr>
          <w:spacing w:val="-1"/>
        </w:rPr>
        <w:t>Customer</w:t>
      </w:r>
      <w:r>
        <w:rPr>
          <w:spacing w:val="33"/>
        </w:rPr>
        <w:t xml:space="preserve"> </w:t>
      </w:r>
      <w:r>
        <w:rPr>
          <w:spacing w:val="-2"/>
        </w:rPr>
        <w:t>which</w:t>
      </w:r>
      <w:r>
        <w:rPr>
          <w:spacing w:val="32"/>
        </w:rPr>
        <w:t xml:space="preserve"> </w:t>
      </w:r>
      <w:r>
        <w:rPr>
          <w:spacing w:val="-1"/>
        </w:rPr>
        <w:t>are</w:t>
      </w:r>
      <w:r>
        <w:rPr>
          <w:spacing w:val="31"/>
        </w:rPr>
        <w:t xml:space="preserve"> </w:t>
      </w:r>
      <w:r>
        <w:rPr>
          <w:spacing w:val="-1"/>
        </w:rPr>
        <w:t>necessary</w:t>
      </w:r>
      <w:r>
        <w:rPr>
          <w:spacing w:val="28"/>
        </w:rPr>
        <w:t xml:space="preserve"> </w:t>
      </w:r>
      <w:r>
        <w:t>for</w:t>
      </w:r>
      <w:r>
        <w:rPr>
          <w:spacing w:val="30"/>
        </w:rPr>
        <w:t xml:space="preserve"> </w:t>
      </w:r>
      <w:r>
        <w:t>the</w:t>
      </w:r>
      <w:r>
        <w:rPr>
          <w:spacing w:val="31"/>
        </w:rPr>
        <w:t xml:space="preserve"> </w:t>
      </w:r>
      <w:r>
        <w:rPr>
          <w:spacing w:val="-1"/>
        </w:rPr>
        <w:t>performance</w:t>
      </w:r>
      <w:r>
        <w:rPr>
          <w:spacing w:val="32"/>
        </w:rPr>
        <w:t xml:space="preserve"> </w:t>
      </w:r>
      <w:r>
        <w:rPr>
          <w:spacing w:val="-2"/>
        </w:rPr>
        <w:t>of</w:t>
      </w:r>
      <w:r>
        <w:rPr>
          <w:spacing w:val="34"/>
        </w:rPr>
        <w:t xml:space="preserve"> </w:t>
      </w:r>
      <w:r>
        <w:t>the</w:t>
      </w:r>
      <w:r>
        <w:rPr>
          <w:spacing w:val="29"/>
        </w:rPr>
        <w:t xml:space="preserve"> </w:t>
      </w:r>
      <w:r>
        <w:rPr>
          <w:spacing w:val="-2"/>
        </w:rPr>
        <w:t>Supplier’s</w:t>
      </w:r>
      <w:r>
        <w:rPr>
          <w:spacing w:val="35"/>
        </w:rPr>
        <w:t xml:space="preserve"> </w:t>
      </w:r>
      <w:r>
        <w:rPr>
          <w:spacing w:val="-1"/>
        </w:rPr>
        <w:t>obligations</w:t>
      </w:r>
      <w:r>
        <w:rPr>
          <w:spacing w:val="51"/>
        </w:rPr>
        <w:t xml:space="preserve"> </w:t>
      </w:r>
      <w:r>
        <w:rPr>
          <w:spacing w:val="-1"/>
        </w:rPr>
        <w:t>under</w:t>
      </w:r>
      <w:r>
        <w:rPr>
          <w:spacing w:val="52"/>
        </w:rPr>
        <w:t xml:space="preserve"> </w:t>
      </w:r>
      <w:r>
        <w:rPr>
          <w:spacing w:val="-1"/>
        </w:rPr>
        <w:t>this</w:t>
      </w:r>
      <w:r>
        <w:rPr>
          <w:spacing w:val="51"/>
        </w:rPr>
        <w:t xml:space="preserve"> </w:t>
      </w:r>
      <w:r>
        <w:rPr>
          <w:spacing w:val="-2"/>
        </w:rPr>
        <w:t>Call</w:t>
      </w:r>
      <w:r>
        <w:rPr>
          <w:spacing w:val="50"/>
        </w:rPr>
        <w:t xml:space="preserve"> </w:t>
      </w:r>
      <w:r>
        <w:t>Off</w:t>
      </w:r>
      <w:r>
        <w:rPr>
          <w:spacing w:val="54"/>
        </w:rPr>
        <w:t xml:space="preserve"> </w:t>
      </w:r>
      <w:r>
        <w:rPr>
          <w:spacing w:val="-1"/>
        </w:rPr>
        <w:t>Contract</w:t>
      </w:r>
      <w:r>
        <w:rPr>
          <w:spacing w:val="53"/>
        </w:rPr>
        <w:t xml:space="preserve"> </w:t>
      </w:r>
      <w:r>
        <w:rPr>
          <w:spacing w:val="-2"/>
        </w:rPr>
        <w:t>including</w:t>
      </w:r>
      <w:r>
        <w:rPr>
          <w:spacing w:val="54"/>
        </w:rPr>
        <w:t xml:space="preserve"> </w:t>
      </w:r>
      <w:r>
        <w:t>the</w:t>
      </w:r>
      <w:r>
        <w:rPr>
          <w:spacing w:val="51"/>
        </w:rPr>
        <w:t xml:space="preserve"> </w:t>
      </w:r>
      <w:r>
        <w:rPr>
          <w:spacing w:val="-1"/>
        </w:rPr>
        <w:t>receipt</w:t>
      </w:r>
      <w:r>
        <w:rPr>
          <w:spacing w:val="52"/>
        </w:rPr>
        <w:t xml:space="preserve"> </w:t>
      </w:r>
      <w:r>
        <w:rPr>
          <w:spacing w:val="-2"/>
        </w:rPr>
        <w:t>of</w:t>
      </w:r>
      <w:r>
        <w:rPr>
          <w:spacing w:val="54"/>
        </w:rPr>
        <w:t xml:space="preserve"> </w:t>
      </w:r>
      <w:r>
        <w:rPr>
          <w:spacing w:val="-1"/>
        </w:rPr>
        <w:t>the</w:t>
      </w:r>
      <w:r>
        <w:rPr>
          <w:spacing w:val="44"/>
        </w:rPr>
        <w:t xml:space="preserve"> </w:t>
      </w:r>
      <w:r>
        <w:rPr>
          <w:spacing w:val="-1"/>
        </w:rPr>
        <w:t>Goods</w:t>
      </w:r>
      <w:r>
        <w:rPr>
          <w:spacing w:val="1"/>
        </w:rPr>
        <w:t xml:space="preserve"> </w:t>
      </w:r>
      <w:r>
        <w:rPr>
          <w:spacing w:val="-1"/>
        </w:rPr>
        <w:t>and/or Services</w:t>
      </w:r>
      <w:r>
        <w:rPr>
          <w:spacing w:val="2"/>
        </w:rPr>
        <w:t xml:space="preserve"> </w:t>
      </w:r>
      <w:r>
        <w:rPr>
          <w:spacing w:val="-2"/>
        </w:rPr>
        <w:t xml:space="preserve">by </w:t>
      </w:r>
      <w:r>
        <w:t xml:space="preserve">the </w:t>
      </w:r>
      <w:r>
        <w:rPr>
          <w:spacing w:val="-1"/>
        </w:rPr>
        <w:t>Customer;</w:t>
      </w:r>
    </w:p>
    <w:p w:rsidR="008918FA" w:rsidRDefault="008918FA" w:rsidP="008918FA">
      <w:pPr>
        <w:pStyle w:val="BodyText"/>
        <w:numPr>
          <w:ilvl w:val="3"/>
          <w:numId w:val="69"/>
        </w:numPr>
        <w:tabs>
          <w:tab w:val="left" w:pos="1887"/>
        </w:tabs>
        <w:ind w:left="1886" w:right="112"/>
        <w:jc w:val="both"/>
      </w:pPr>
      <w:r>
        <w:rPr>
          <w:spacing w:val="-1"/>
        </w:rPr>
        <w:t>it</w:t>
      </w:r>
      <w:r>
        <w:rPr>
          <w:spacing w:val="38"/>
        </w:rPr>
        <w:t xml:space="preserve"> </w:t>
      </w:r>
      <w:r>
        <w:rPr>
          <w:spacing w:val="-1"/>
        </w:rPr>
        <w:t>shall</w:t>
      </w:r>
      <w:r>
        <w:rPr>
          <w:spacing w:val="36"/>
        </w:rPr>
        <w:t xml:space="preserve"> </w:t>
      </w:r>
      <w:r>
        <w:t>take</w:t>
      </w:r>
      <w:r>
        <w:rPr>
          <w:spacing w:val="36"/>
        </w:rPr>
        <w:t xml:space="preserve"> </w:t>
      </w:r>
      <w:r>
        <w:rPr>
          <w:spacing w:val="-1"/>
        </w:rPr>
        <w:t>all</w:t>
      </w:r>
      <w:r>
        <w:rPr>
          <w:spacing w:val="36"/>
        </w:rPr>
        <w:t xml:space="preserve"> </w:t>
      </w:r>
      <w:r>
        <w:rPr>
          <w:spacing w:val="-1"/>
        </w:rPr>
        <w:t>steps,</w:t>
      </w:r>
      <w:r>
        <w:rPr>
          <w:spacing w:val="38"/>
        </w:rPr>
        <w:t xml:space="preserve"> </w:t>
      </w:r>
      <w:r>
        <w:rPr>
          <w:spacing w:val="-1"/>
        </w:rPr>
        <w:t>in</w:t>
      </w:r>
      <w:r>
        <w:rPr>
          <w:spacing w:val="34"/>
        </w:rPr>
        <w:t xml:space="preserve"> </w:t>
      </w:r>
      <w:r>
        <w:rPr>
          <w:spacing w:val="-1"/>
        </w:rPr>
        <w:t>accordance</w:t>
      </w:r>
      <w:r>
        <w:rPr>
          <w:spacing w:val="38"/>
        </w:rPr>
        <w:t xml:space="preserve"> </w:t>
      </w:r>
      <w:r>
        <w:rPr>
          <w:spacing w:val="-2"/>
        </w:rPr>
        <w:t>with</w:t>
      </w:r>
      <w:r>
        <w:rPr>
          <w:spacing w:val="36"/>
        </w:rPr>
        <w:t xml:space="preserve"> </w:t>
      </w:r>
      <w:r>
        <w:rPr>
          <w:spacing w:val="-1"/>
        </w:rPr>
        <w:t>Good</w:t>
      </w:r>
      <w:r>
        <w:rPr>
          <w:spacing w:val="34"/>
        </w:rPr>
        <w:t xml:space="preserve"> </w:t>
      </w:r>
      <w:r>
        <w:rPr>
          <w:spacing w:val="-1"/>
        </w:rPr>
        <w:t>Industry</w:t>
      </w:r>
      <w:r>
        <w:rPr>
          <w:spacing w:val="34"/>
        </w:rPr>
        <w:t xml:space="preserve"> </w:t>
      </w:r>
      <w:r>
        <w:rPr>
          <w:spacing w:val="-1"/>
        </w:rPr>
        <w:t>Practice,</w:t>
      </w:r>
      <w:r>
        <w:rPr>
          <w:spacing w:val="38"/>
        </w:rPr>
        <w:t xml:space="preserve"> </w:t>
      </w:r>
      <w:r>
        <w:t>to</w:t>
      </w:r>
      <w:r>
        <w:rPr>
          <w:spacing w:val="33"/>
        </w:rPr>
        <w:t xml:space="preserve"> </w:t>
      </w:r>
      <w:r>
        <w:rPr>
          <w:spacing w:val="-1"/>
        </w:rPr>
        <w:t>prevent</w:t>
      </w:r>
      <w:r>
        <w:rPr>
          <w:spacing w:val="10"/>
        </w:rPr>
        <w:t xml:space="preserve"> </w:t>
      </w:r>
      <w:r>
        <w:t>the</w:t>
      </w:r>
      <w:r>
        <w:rPr>
          <w:spacing w:val="9"/>
        </w:rPr>
        <w:t xml:space="preserve"> </w:t>
      </w:r>
      <w:r>
        <w:rPr>
          <w:spacing w:val="-1"/>
        </w:rPr>
        <w:t>introduction,</w:t>
      </w:r>
      <w:r>
        <w:rPr>
          <w:spacing w:val="10"/>
        </w:rPr>
        <w:t xml:space="preserve"> </w:t>
      </w:r>
      <w:r>
        <w:rPr>
          <w:spacing w:val="-1"/>
        </w:rPr>
        <w:t>creation</w:t>
      </w:r>
      <w:r>
        <w:rPr>
          <w:spacing w:val="9"/>
        </w:rPr>
        <w:t xml:space="preserve"> </w:t>
      </w:r>
      <w:r>
        <w:rPr>
          <w:spacing w:val="-1"/>
        </w:rPr>
        <w:t>or</w:t>
      </w:r>
      <w:r>
        <w:rPr>
          <w:spacing w:val="10"/>
        </w:rPr>
        <w:t xml:space="preserve"> </w:t>
      </w:r>
      <w:r>
        <w:rPr>
          <w:spacing w:val="-1"/>
        </w:rPr>
        <w:t>propagation</w:t>
      </w:r>
      <w:r>
        <w:rPr>
          <w:spacing w:val="9"/>
        </w:rPr>
        <w:t xml:space="preserve"> </w:t>
      </w:r>
      <w:r>
        <w:rPr>
          <w:spacing w:val="-1"/>
        </w:rPr>
        <w:t>of</w:t>
      </w:r>
      <w:r>
        <w:rPr>
          <w:spacing w:val="13"/>
        </w:rPr>
        <w:t xml:space="preserve"> </w:t>
      </w:r>
      <w:r>
        <w:rPr>
          <w:spacing w:val="-1"/>
        </w:rPr>
        <w:t>any</w:t>
      </w:r>
      <w:r>
        <w:rPr>
          <w:spacing w:val="7"/>
        </w:rPr>
        <w:t xml:space="preserve"> </w:t>
      </w:r>
      <w:r>
        <w:rPr>
          <w:spacing w:val="-1"/>
        </w:rPr>
        <w:t>disruptive</w:t>
      </w:r>
      <w:r>
        <w:rPr>
          <w:spacing w:val="25"/>
        </w:rPr>
        <w:t xml:space="preserve"> </w:t>
      </w:r>
      <w:r>
        <w:rPr>
          <w:spacing w:val="-1"/>
        </w:rPr>
        <w:t>elements</w:t>
      </w:r>
      <w:r>
        <w:rPr>
          <w:spacing w:val="5"/>
        </w:rPr>
        <w:t xml:space="preserve"> </w:t>
      </w:r>
      <w:r>
        <w:rPr>
          <w:spacing w:val="-1"/>
        </w:rPr>
        <w:t>(including</w:t>
      </w:r>
      <w:r>
        <w:rPr>
          <w:spacing w:val="10"/>
        </w:rPr>
        <w:t xml:space="preserve"> </w:t>
      </w:r>
      <w:r>
        <w:rPr>
          <w:spacing w:val="-1"/>
        </w:rPr>
        <w:t>any</w:t>
      </w:r>
      <w:r>
        <w:rPr>
          <w:spacing w:val="5"/>
        </w:rPr>
        <w:t xml:space="preserve"> </w:t>
      </w:r>
      <w:r>
        <w:rPr>
          <w:spacing w:val="-2"/>
        </w:rPr>
        <w:t>virus,</w:t>
      </w:r>
      <w:r>
        <w:rPr>
          <w:spacing w:val="9"/>
        </w:rPr>
        <w:t xml:space="preserve"> </w:t>
      </w:r>
      <w:r>
        <w:rPr>
          <w:spacing w:val="-1"/>
        </w:rPr>
        <w:t>worms</w:t>
      </w:r>
      <w:r>
        <w:rPr>
          <w:spacing w:val="8"/>
        </w:rPr>
        <w:t xml:space="preserve"> </w:t>
      </w:r>
      <w:r>
        <w:rPr>
          <w:spacing w:val="-1"/>
        </w:rPr>
        <w:t>and/or</w:t>
      </w:r>
      <w:r>
        <w:rPr>
          <w:spacing w:val="6"/>
        </w:rPr>
        <w:t xml:space="preserve"> </w:t>
      </w:r>
      <w:r>
        <w:rPr>
          <w:spacing w:val="-1"/>
        </w:rPr>
        <w:t>Trojans,</w:t>
      </w:r>
      <w:r>
        <w:rPr>
          <w:spacing w:val="9"/>
        </w:rPr>
        <w:t xml:space="preserve"> </w:t>
      </w:r>
      <w:r>
        <w:rPr>
          <w:spacing w:val="-2"/>
        </w:rPr>
        <w:t>spyware</w:t>
      </w:r>
      <w:r>
        <w:rPr>
          <w:spacing w:val="7"/>
        </w:rPr>
        <w:t xml:space="preserve"> </w:t>
      </w:r>
      <w:r>
        <w:rPr>
          <w:spacing w:val="-1"/>
        </w:rPr>
        <w:t>or</w:t>
      </w:r>
      <w:r>
        <w:rPr>
          <w:spacing w:val="9"/>
        </w:rPr>
        <w:t xml:space="preserve"> </w:t>
      </w:r>
      <w:r>
        <w:rPr>
          <w:spacing w:val="-1"/>
        </w:rPr>
        <w:t>other</w:t>
      </w:r>
      <w:r>
        <w:rPr>
          <w:spacing w:val="42"/>
        </w:rPr>
        <w:t xml:space="preserve"> </w:t>
      </w:r>
      <w:r>
        <w:rPr>
          <w:spacing w:val="-2"/>
        </w:rPr>
        <w:t>malware)</w:t>
      </w:r>
      <w:r>
        <w:rPr>
          <w:spacing w:val="26"/>
        </w:rPr>
        <w:t xml:space="preserve"> </w:t>
      </w:r>
      <w:r>
        <w:rPr>
          <w:spacing w:val="-1"/>
        </w:rPr>
        <w:t>into</w:t>
      </w:r>
      <w:r>
        <w:rPr>
          <w:spacing w:val="24"/>
        </w:rPr>
        <w:t xml:space="preserve"> </w:t>
      </w:r>
      <w:r>
        <w:rPr>
          <w:spacing w:val="-1"/>
        </w:rPr>
        <w:t>systems,</w:t>
      </w:r>
      <w:r>
        <w:rPr>
          <w:spacing w:val="26"/>
        </w:rPr>
        <w:t xml:space="preserve"> </w:t>
      </w:r>
      <w:r>
        <w:rPr>
          <w:spacing w:val="-1"/>
        </w:rPr>
        <w:t>data,</w:t>
      </w:r>
      <w:r>
        <w:rPr>
          <w:spacing w:val="26"/>
        </w:rPr>
        <w:t xml:space="preserve"> </w:t>
      </w:r>
      <w:r>
        <w:rPr>
          <w:spacing w:val="-1"/>
        </w:rPr>
        <w:t>software</w:t>
      </w:r>
      <w:r>
        <w:rPr>
          <w:spacing w:val="24"/>
        </w:rPr>
        <w:t xml:space="preserve"> </w:t>
      </w:r>
      <w:r>
        <w:rPr>
          <w:spacing w:val="-1"/>
        </w:rPr>
        <w:t>or</w:t>
      </w:r>
      <w:r>
        <w:rPr>
          <w:spacing w:val="27"/>
        </w:rPr>
        <w:t xml:space="preserve"> </w:t>
      </w:r>
      <w:r>
        <w:t>the</w:t>
      </w:r>
      <w:r>
        <w:rPr>
          <w:spacing w:val="24"/>
        </w:rPr>
        <w:t xml:space="preserve"> </w:t>
      </w:r>
      <w:r>
        <w:rPr>
          <w:spacing w:val="-1"/>
        </w:rPr>
        <w:t>Customer’s</w:t>
      </w:r>
      <w:r>
        <w:rPr>
          <w:spacing w:val="25"/>
        </w:rPr>
        <w:t xml:space="preserve"> </w:t>
      </w:r>
      <w:r>
        <w:rPr>
          <w:spacing w:val="-1"/>
        </w:rPr>
        <w:t>Confidential</w:t>
      </w:r>
      <w:r>
        <w:rPr>
          <w:spacing w:val="38"/>
        </w:rPr>
        <w:t xml:space="preserve"> </w:t>
      </w:r>
      <w:r>
        <w:rPr>
          <w:spacing w:val="-1"/>
        </w:rPr>
        <w:t>Information</w:t>
      </w:r>
      <w:r>
        <w:rPr>
          <w:spacing w:val="15"/>
        </w:rPr>
        <w:t xml:space="preserve"> </w:t>
      </w:r>
      <w:r>
        <w:rPr>
          <w:spacing w:val="-1"/>
        </w:rPr>
        <w:t>(held</w:t>
      </w:r>
      <w:r>
        <w:rPr>
          <w:spacing w:val="15"/>
        </w:rPr>
        <w:t xml:space="preserve"> </w:t>
      </w:r>
      <w:r>
        <w:rPr>
          <w:spacing w:val="-1"/>
        </w:rPr>
        <w:t>in</w:t>
      </w:r>
      <w:r>
        <w:rPr>
          <w:spacing w:val="15"/>
        </w:rPr>
        <w:t xml:space="preserve"> </w:t>
      </w:r>
      <w:r>
        <w:rPr>
          <w:spacing w:val="-1"/>
        </w:rPr>
        <w:t>electronic</w:t>
      </w:r>
      <w:r>
        <w:rPr>
          <w:spacing w:val="13"/>
        </w:rPr>
        <w:t xml:space="preserve"> </w:t>
      </w:r>
      <w:r>
        <w:t>form)</w:t>
      </w:r>
      <w:r>
        <w:rPr>
          <w:spacing w:val="16"/>
        </w:rPr>
        <w:t xml:space="preserve"> </w:t>
      </w:r>
      <w:r>
        <w:rPr>
          <w:spacing w:val="-2"/>
        </w:rPr>
        <w:t>owned</w:t>
      </w:r>
      <w:r>
        <w:rPr>
          <w:spacing w:val="15"/>
        </w:rPr>
        <w:t xml:space="preserve"> </w:t>
      </w:r>
      <w:r>
        <w:rPr>
          <w:spacing w:val="-1"/>
        </w:rPr>
        <w:t>by</w:t>
      </w:r>
      <w:r>
        <w:rPr>
          <w:spacing w:val="15"/>
        </w:rPr>
        <w:t xml:space="preserve"> </w:t>
      </w:r>
      <w:r>
        <w:rPr>
          <w:spacing w:val="-1"/>
        </w:rPr>
        <w:t>or</w:t>
      </w:r>
      <w:r>
        <w:rPr>
          <w:spacing w:val="16"/>
        </w:rPr>
        <w:t xml:space="preserve"> </w:t>
      </w:r>
      <w:r>
        <w:rPr>
          <w:spacing w:val="-1"/>
        </w:rPr>
        <w:t>under</w:t>
      </w:r>
      <w:r>
        <w:rPr>
          <w:spacing w:val="16"/>
        </w:rPr>
        <w:t xml:space="preserve"> </w:t>
      </w:r>
      <w:r>
        <w:t>the</w:t>
      </w:r>
      <w:r>
        <w:rPr>
          <w:spacing w:val="15"/>
        </w:rPr>
        <w:t xml:space="preserve"> </w:t>
      </w:r>
      <w:r>
        <w:rPr>
          <w:spacing w:val="-1"/>
        </w:rPr>
        <w:t>control</w:t>
      </w:r>
      <w:r>
        <w:rPr>
          <w:spacing w:val="14"/>
        </w:rPr>
        <w:t xml:space="preserve"> </w:t>
      </w:r>
      <w:r>
        <w:t>of,</w:t>
      </w:r>
      <w:r>
        <w:rPr>
          <w:spacing w:val="43"/>
        </w:rPr>
        <w:t xml:space="preserve"> </w:t>
      </w:r>
      <w:r>
        <w:rPr>
          <w:spacing w:val="-1"/>
        </w:rPr>
        <w:t>or</w:t>
      </w:r>
      <w:r>
        <w:rPr>
          <w:spacing w:val="2"/>
        </w:rPr>
        <w:t xml:space="preserve"> </w:t>
      </w:r>
      <w:r>
        <w:rPr>
          <w:spacing w:val="-1"/>
        </w:rPr>
        <w:t>used</w:t>
      </w:r>
      <w:r>
        <w:rPr>
          <w:spacing w:val="-2"/>
        </w:rPr>
        <w:t xml:space="preserve"> by,</w:t>
      </w:r>
      <w:r>
        <w:t xml:space="preserve"> the </w:t>
      </w:r>
      <w:r>
        <w:rPr>
          <w:spacing w:val="-1"/>
        </w:rPr>
        <w:t>Customer;</w:t>
      </w:r>
    </w:p>
    <w:p w:rsidR="008918FA" w:rsidRDefault="008918FA" w:rsidP="008918FA">
      <w:pPr>
        <w:pStyle w:val="BodyText"/>
        <w:numPr>
          <w:ilvl w:val="3"/>
          <w:numId w:val="69"/>
        </w:numPr>
        <w:tabs>
          <w:tab w:val="left" w:pos="1887"/>
        </w:tabs>
        <w:ind w:left="1886" w:right="116"/>
        <w:jc w:val="both"/>
      </w:pPr>
      <w:r>
        <w:rPr>
          <w:spacing w:val="-1"/>
        </w:rPr>
        <w:t>it</w:t>
      </w:r>
      <w:r>
        <w:rPr>
          <w:spacing w:val="14"/>
        </w:rPr>
        <w:t xml:space="preserve"> </w:t>
      </w:r>
      <w:r>
        <w:rPr>
          <w:spacing w:val="-1"/>
        </w:rPr>
        <w:t>is</w:t>
      </w:r>
      <w:r>
        <w:rPr>
          <w:spacing w:val="13"/>
        </w:rPr>
        <w:t xml:space="preserve"> </w:t>
      </w:r>
      <w:r>
        <w:rPr>
          <w:spacing w:val="-1"/>
        </w:rPr>
        <w:t>not</w:t>
      </w:r>
      <w:r>
        <w:rPr>
          <w:spacing w:val="11"/>
        </w:rPr>
        <w:t xml:space="preserve"> </w:t>
      </w:r>
      <w:r>
        <w:rPr>
          <w:spacing w:val="-1"/>
        </w:rPr>
        <w:t>subject</w:t>
      </w:r>
      <w:r>
        <w:rPr>
          <w:spacing w:val="12"/>
        </w:rPr>
        <w:t xml:space="preserve"> </w:t>
      </w:r>
      <w:r>
        <w:t>to</w:t>
      </w:r>
      <w:r>
        <w:rPr>
          <w:spacing w:val="12"/>
        </w:rPr>
        <w:t xml:space="preserve"> </w:t>
      </w:r>
      <w:r>
        <w:rPr>
          <w:spacing w:val="-1"/>
        </w:rPr>
        <w:t>any</w:t>
      </w:r>
      <w:r>
        <w:rPr>
          <w:spacing w:val="10"/>
        </w:rPr>
        <w:t xml:space="preserve"> </w:t>
      </w:r>
      <w:r>
        <w:rPr>
          <w:spacing w:val="-1"/>
        </w:rPr>
        <w:t>contractual</w:t>
      </w:r>
      <w:r>
        <w:rPr>
          <w:spacing w:val="12"/>
        </w:rPr>
        <w:t xml:space="preserve"> </w:t>
      </w:r>
      <w:r>
        <w:rPr>
          <w:spacing w:val="-1"/>
        </w:rPr>
        <w:t>obligation,</w:t>
      </w:r>
      <w:r>
        <w:rPr>
          <w:spacing w:val="14"/>
        </w:rPr>
        <w:t xml:space="preserve"> </w:t>
      </w:r>
      <w:r>
        <w:rPr>
          <w:spacing w:val="-2"/>
        </w:rPr>
        <w:t>compliance</w:t>
      </w:r>
      <w:r>
        <w:rPr>
          <w:spacing w:val="13"/>
        </w:rPr>
        <w:t xml:space="preserve"> </w:t>
      </w:r>
      <w:r>
        <w:rPr>
          <w:spacing w:val="-2"/>
        </w:rPr>
        <w:t>with</w:t>
      </w:r>
      <w:r>
        <w:rPr>
          <w:spacing w:val="12"/>
        </w:rPr>
        <w:t xml:space="preserve"> </w:t>
      </w:r>
      <w:r>
        <w:rPr>
          <w:spacing w:val="-1"/>
        </w:rPr>
        <w:t>which</w:t>
      </w:r>
      <w:r>
        <w:rPr>
          <w:spacing w:val="13"/>
        </w:rPr>
        <w:t xml:space="preserve"> </w:t>
      </w:r>
      <w:r>
        <w:rPr>
          <w:spacing w:val="-1"/>
        </w:rPr>
        <w:t>is</w:t>
      </w:r>
      <w:r>
        <w:rPr>
          <w:spacing w:val="39"/>
        </w:rPr>
        <w:t xml:space="preserve"> </w:t>
      </w:r>
      <w:r>
        <w:rPr>
          <w:spacing w:val="-1"/>
        </w:rPr>
        <w:t>likely</w:t>
      </w:r>
      <w:r>
        <w:rPr>
          <w:spacing w:val="49"/>
        </w:rPr>
        <w:t xml:space="preserve"> </w:t>
      </w:r>
      <w:r>
        <w:t>to</w:t>
      </w:r>
      <w:r>
        <w:rPr>
          <w:spacing w:val="51"/>
        </w:rPr>
        <w:t xml:space="preserve"> </w:t>
      </w:r>
      <w:r>
        <w:rPr>
          <w:spacing w:val="-2"/>
        </w:rPr>
        <w:t>have</w:t>
      </w:r>
      <w:r>
        <w:rPr>
          <w:spacing w:val="53"/>
        </w:rPr>
        <w:t xml:space="preserve"> </w:t>
      </w:r>
      <w:r>
        <w:t>a</w:t>
      </w:r>
      <w:r>
        <w:rPr>
          <w:spacing w:val="51"/>
        </w:rPr>
        <w:t xml:space="preserve"> </w:t>
      </w:r>
      <w:r>
        <w:rPr>
          <w:spacing w:val="-1"/>
        </w:rPr>
        <w:t>material</w:t>
      </w:r>
      <w:r>
        <w:rPr>
          <w:spacing w:val="50"/>
        </w:rPr>
        <w:t xml:space="preserve"> </w:t>
      </w:r>
      <w:r>
        <w:rPr>
          <w:spacing w:val="-1"/>
        </w:rPr>
        <w:t>adverse</w:t>
      </w:r>
      <w:r>
        <w:rPr>
          <w:spacing w:val="51"/>
        </w:rPr>
        <w:t xml:space="preserve"> </w:t>
      </w:r>
      <w:r>
        <w:rPr>
          <w:spacing w:val="-1"/>
        </w:rPr>
        <w:t>effect</w:t>
      </w:r>
      <w:r>
        <w:rPr>
          <w:spacing w:val="53"/>
        </w:rPr>
        <w:t xml:space="preserve"> </w:t>
      </w:r>
      <w:r>
        <w:rPr>
          <w:spacing w:val="-1"/>
        </w:rPr>
        <w:t>on</w:t>
      </w:r>
      <w:r>
        <w:rPr>
          <w:spacing w:val="51"/>
        </w:rPr>
        <w:t xml:space="preserve"> </w:t>
      </w:r>
      <w:r>
        <w:rPr>
          <w:spacing w:val="-1"/>
        </w:rPr>
        <w:t>its</w:t>
      </w:r>
      <w:r>
        <w:rPr>
          <w:spacing w:val="49"/>
        </w:rPr>
        <w:t xml:space="preserve"> </w:t>
      </w:r>
      <w:r>
        <w:rPr>
          <w:spacing w:val="-1"/>
        </w:rPr>
        <w:t>ability</w:t>
      </w:r>
      <w:r>
        <w:rPr>
          <w:spacing w:val="49"/>
        </w:rPr>
        <w:t xml:space="preserve"> </w:t>
      </w:r>
      <w:r>
        <w:t>to</w:t>
      </w:r>
      <w:r>
        <w:rPr>
          <w:spacing w:val="51"/>
        </w:rPr>
        <w:t xml:space="preserve"> </w:t>
      </w:r>
      <w:r>
        <w:rPr>
          <w:spacing w:val="-1"/>
        </w:rPr>
        <w:t>perform</w:t>
      </w:r>
      <w:r>
        <w:rPr>
          <w:spacing w:val="52"/>
        </w:rPr>
        <w:t xml:space="preserve"> </w:t>
      </w:r>
      <w:r>
        <w:rPr>
          <w:spacing w:val="-1"/>
        </w:rPr>
        <w:t>its</w:t>
      </w:r>
      <w:r>
        <w:rPr>
          <w:spacing w:val="47"/>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3"/>
          <w:numId w:val="69"/>
        </w:numPr>
        <w:tabs>
          <w:tab w:val="left" w:pos="1887"/>
        </w:tabs>
        <w:ind w:left="1886" w:right="114"/>
        <w:jc w:val="both"/>
      </w:pPr>
      <w:r>
        <w:rPr>
          <w:spacing w:val="-1"/>
        </w:rPr>
        <w:t>it</w:t>
      </w:r>
      <w:r>
        <w:rPr>
          <w:spacing w:val="21"/>
        </w:rPr>
        <w:t xml:space="preserve"> </w:t>
      </w:r>
      <w:r>
        <w:rPr>
          <w:spacing w:val="-1"/>
        </w:rPr>
        <w:t>is</w:t>
      </w:r>
      <w:r>
        <w:rPr>
          <w:spacing w:val="20"/>
        </w:rPr>
        <w:t xml:space="preserve"> </w:t>
      </w:r>
      <w:r>
        <w:rPr>
          <w:spacing w:val="-1"/>
        </w:rPr>
        <w:t>not</w:t>
      </w:r>
      <w:r>
        <w:rPr>
          <w:spacing w:val="21"/>
        </w:rPr>
        <w:t xml:space="preserve"> </w:t>
      </w:r>
      <w:r>
        <w:rPr>
          <w:spacing w:val="-1"/>
        </w:rPr>
        <w:t>affected</w:t>
      </w:r>
      <w:r>
        <w:rPr>
          <w:spacing w:val="20"/>
        </w:rPr>
        <w:t xml:space="preserve"> </w:t>
      </w:r>
      <w:r>
        <w:rPr>
          <w:spacing w:val="-1"/>
        </w:rPr>
        <w:t>by</w:t>
      </w:r>
      <w:r>
        <w:rPr>
          <w:spacing w:val="18"/>
        </w:rPr>
        <w:t xml:space="preserve"> </w:t>
      </w:r>
      <w:r>
        <w:rPr>
          <w:spacing w:val="-1"/>
        </w:rPr>
        <w:t>an</w:t>
      </w:r>
      <w:r>
        <w:rPr>
          <w:spacing w:val="19"/>
        </w:rPr>
        <w:t xml:space="preserve"> </w:t>
      </w:r>
      <w:r>
        <w:rPr>
          <w:spacing w:val="-1"/>
        </w:rPr>
        <w:t>Insolvency</w:t>
      </w:r>
      <w:r>
        <w:rPr>
          <w:spacing w:val="17"/>
        </w:rPr>
        <w:t xml:space="preserve"> </w:t>
      </w:r>
      <w:r>
        <w:rPr>
          <w:spacing w:val="-1"/>
        </w:rPr>
        <w:t>Event</w:t>
      </w:r>
      <w:r>
        <w:rPr>
          <w:spacing w:val="21"/>
        </w:rPr>
        <w:t xml:space="preserve"> </w:t>
      </w:r>
      <w:r>
        <w:rPr>
          <w:spacing w:val="-1"/>
        </w:rPr>
        <w:t>and</w:t>
      </w:r>
      <w:r>
        <w:rPr>
          <w:spacing w:val="20"/>
        </w:rPr>
        <w:t xml:space="preserve"> </w:t>
      </w:r>
      <w:r>
        <w:rPr>
          <w:spacing w:val="-1"/>
        </w:rPr>
        <w:t>no</w:t>
      </w:r>
      <w:r>
        <w:rPr>
          <w:spacing w:val="19"/>
        </w:rPr>
        <w:t xml:space="preserve"> </w:t>
      </w:r>
      <w:r>
        <w:rPr>
          <w:spacing w:val="-1"/>
        </w:rPr>
        <w:t>proceedings</w:t>
      </w:r>
      <w:r>
        <w:rPr>
          <w:spacing w:val="20"/>
        </w:rPr>
        <w:t xml:space="preserve"> </w:t>
      </w:r>
      <w:r>
        <w:rPr>
          <w:spacing w:val="-1"/>
        </w:rPr>
        <w:t>or</w:t>
      </w:r>
      <w:r>
        <w:rPr>
          <w:spacing w:val="21"/>
        </w:rPr>
        <w:t xml:space="preserve"> </w:t>
      </w:r>
      <w:r>
        <w:rPr>
          <w:spacing w:val="-1"/>
        </w:rPr>
        <w:t>other</w:t>
      </w:r>
      <w:r>
        <w:rPr>
          <w:spacing w:val="30"/>
        </w:rPr>
        <w:t xml:space="preserve"> </w:t>
      </w:r>
      <w:r>
        <w:rPr>
          <w:spacing w:val="-1"/>
        </w:rPr>
        <w:t>steps</w:t>
      </w:r>
      <w:r>
        <w:rPr>
          <w:spacing w:val="53"/>
        </w:rPr>
        <w:t xml:space="preserve"> </w:t>
      </w:r>
      <w:r>
        <w:rPr>
          <w:spacing w:val="-2"/>
        </w:rPr>
        <w:t>have</w:t>
      </w:r>
      <w:r>
        <w:rPr>
          <w:spacing w:val="53"/>
        </w:rPr>
        <w:t xml:space="preserve"> </w:t>
      </w:r>
      <w:r>
        <w:rPr>
          <w:spacing w:val="-1"/>
        </w:rPr>
        <w:t>been</w:t>
      </w:r>
      <w:r>
        <w:rPr>
          <w:spacing w:val="53"/>
        </w:rPr>
        <w:t xml:space="preserve"> </w:t>
      </w:r>
      <w:r>
        <w:rPr>
          <w:spacing w:val="-1"/>
        </w:rPr>
        <w:t>taken</w:t>
      </w:r>
      <w:r>
        <w:rPr>
          <w:spacing w:val="51"/>
        </w:rPr>
        <w:t xml:space="preserve"> </w:t>
      </w:r>
      <w:r>
        <w:rPr>
          <w:spacing w:val="-1"/>
        </w:rPr>
        <w:t>and</w:t>
      </w:r>
      <w:r>
        <w:rPr>
          <w:spacing w:val="53"/>
        </w:rPr>
        <w:t xml:space="preserve"> </w:t>
      </w:r>
      <w:r>
        <w:rPr>
          <w:spacing w:val="-1"/>
        </w:rPr>
        <w:t>not</w:t>
      </w:r>
      <w:r>
        <w:rPr>
          <w:spacing w:val="55"/>
        </w:rPr>
        <w:t xml:space="preserve"> </w:t>
      </w:r>
      <w:r>
        <w:rPr>
          <w:spacing w:val="-1"/>
        </w:rPr>
        <w:t>discharged</w:t>
      </w:r>
      <w:r>
        <w:rPr>
          <w:spacing w:val="52"/>
        </w:rPr>
        <w:t xml:space="preserve"> </w:t>
      </w:r>
      <w:r>
        <w:rPr>
          <w:spacing w:val="-1"/>
        </w:rPr>
        <w:t>(nor,</w:t>
      </w:r>
      <w:r>
        <w:rPr>
          <w:spacing w:val="52"/>
        </w:rPr>
        <w:t xml:space="preserve"> </w:t>
      </w:r>
      <w:r>
        <w:t>to</w:t>
      </w:r>
      <w:r>
        <w:rPr>
          <w:spacing w:val="53"/>
        </w:rPr>
        <w:t xml:space="preserve"> </w:t>
      </w:r>
      <w:r>
        <w:t>the</w:t>
      </w:r>
      <w:r>
        <w:rPr>
          <w:spacing w:val="53"/>
        </w:rPr>
        <w:t xml:space="preserve"> </w:t>
      </w:r>
      <w:r>
        <w:rPr>
          <w:spacing w:val="-2"/>
        </w:rPr>
        <w:t>best</w:t>
      </w:r>
      <w:r>
        <w:rPr>
          <w:spacing w:val="55"/>
        </w:rPr>
        <w:t xml:space="preserve"> </w:t>
      </w:r>
      <w:r>
        <w:rPr>
          <w:spacing w:val="-2"/>
        </w:rPr>
        <w:t>of</w:t>
      </w:r>
      <w:r>
        <w:rPr>
          <w:spacing w:val="57"/>
        </w:rPr>
        <w:t xml:space="preserve"> </w:t>
      </w:r>
      <w:r>
        <w:rPr>
          <w:spacing w:val="-1"/>
        </w:rPr>
        <w:t>its</w:t>
      </w:r>
    </w:p>
    <w:p w:rsidR="001C1527" w:rsidRDefault="001C1527" w:rsidP="001C1527">
      <w:pPr>
        <w:pStyle w:val="BodyText"/>
        <w:spacing w:before="59"/>
        <w:ind w:right="115"/>
        <w:jc w:val="both"/>
        <w:rPr>
          <w:spacing w:val="-1"/>
        </w:rPr>
      </w:pPr>
      <w:bookmarkStart w:id="48" w:name="6._IMPLEMENTATION_PLAN"/>
      <w:bookmarkStart w:id="49" w:name="C._UCALL_OFF_CONTRACT_PERFORMANCE"/>
      <w:bookmarkStart w:id="50" w:name="5._CALL_OFF_CONTRACT_PERIOD"/>
      <w:bookmarkStart w:id="51" w:name="B._UDURATION_OF_CALL_OFF_CONTRACT"/>
      <w:bookmarkEnd w:id="48"/>
      <w:bookmarkEnd w:id="49"/>
      <w:bookmarkEnd w:id="50"/>
      <w:bookmarkEnd w:id="51"/>
    </w:p>
    <w:p w:rsidR="001C1527" w:rsidRDefault="001C1527" w:rsidP="001C1527">
      <w:pPr>
        <w:pStyle w:val="BodyText"/>
        <w:spacing w:before="59"/>
        <w:ind w:right="115"/>
        <w:jc w:val="both"/>
        <w:rPr>
          <w:spacing w:val="-1"/>
        </w:rPr>
      </w:pPr>
    </w:p>
    <w:p w:rsidR="008918FA" w:rsidRDefault="008918FA" w:rsidP="001C1527">
      <w:pPr>
        <w:pStyle w:val="BodyText"/>
        <w:spacing w:before="59"/>
        <w:ind w:right="115" w:firstLine="0"/>
        <w:jc w:val="both"/>
      </w:pPr>
      <w:r>
        <w:rPr>
          <w:spacing w:val="-1"/>
        </w:rPr>
        <w:lastRenderedPageBreak/>
        <w:t>knowledge,</w:t>
      </w:r>
      <w:r>
        <w:rPr>
          <w:spacing w:val="9"/>
        </w:rPr>
        <w:t xml:space="preserve"> </w:t>
      </w:r>
      <w:r>
        <w:rPr>
          <w:spacing w:val="-1"/>
        </w:rPr>
        <w:t>are</w:t>
      </w:r>
      <w:r>
        <w:rPr>
          <w:spacing w:val="5"/>
        </w:rPr>
        <w:t xml:space="preserve"> </w:t>
      </w:r>
      <w:r>
        <w:rPr>
          <w:spacing w:val="-1"/>
        </w:rPr>
        <w:t>threatened)</w:t>
      </w:r>
      <w:r>
        <w:rPr>
          <w:spacing w:val="6"/>
        </w:rPr>
        <w:t xml:space="preserve"> </w:t>
      </w:r>
      <w:r>
        <w:t>for</w:t>
      </w:r>
      <w:r>
        <w:rPr>
          <w:spacing w:val="9"/>
        </w:rPr>
        <w:t xml:space="preserve"> </w:t>
      </w:r>
      <w:r>
        <w:t>the</w:t>
      </w:r>
      <w:r>
        <w:rPr>
          <w:spacing w:val="7"/>
        </w:rPr>
        <w:t xml:space="preserve"> </w:t>
      </w:r>
      <w:r>
        <w:rPr>
          <w:spacing w:val="-2"/>
        </w:rPr>
        <w:t>winding</w:t>
      </w:r>
      <w:r>
        <w:rPr>
          <w:spacing w:val="10"/>
        </w:rPr>
        <w:t xml:space="preserve"> </w:t>
      </w:r>
      <w:r>
        <w:rPr>
          <w:spacing w:val="-1"/>
        </w:rPr>
        <w:t>up</w:t>
      </w:r>
      <w:r>
        <w:rPr>
          <w:spacing w:val="7"/>
        </w:rPr>
        <w:t xml:space="preserve"> </w:t>
      </w:r>
      <w:r>
        <w:rPr>
          <w:spacing w:val="-1"/>
        </w:rPr>
        <w:t>of</w:t>
      </w:r>
      <w:r>
        <w:rPr>
          <w:spacing w:val="9"/>
        </w:rPr>
        <w:t xml:space="preserve"> </w:t>
      </w:r>
      <w:r>
        <w:t>the</w:t>
      </w:r>
      <w:r>
        <w:rPr>
          <w:spacing w:val="7"/>
        </w:rPr>
        <w:t xml:space="preserve"> </w:t>
      </w:r>
      <w:r>
        <w:rPr>
          <w:spacing w:val="-2"/>
        </w:rPr>
        <w:t>Supplier</w:t>
      </w:r>
      <w:r>
        <w:rPr>
          <w:spacing w:val="9"/>
        </w:rPr>
        <w:t xml:space="preserve"> </w:t>
      </w:r>
      <w:r>
        <w:rPr>
          <w:spacing w:val="-1"/>
        </w:rPr>
        <w:t>or</w:t>
      </w:r>
      <w:r>
        <w:rPr>
          <w:spacing w:val="9"/>
        </w:rPr>
        <w:t xml:space="preserve"> </w:t>
      </w:r>
      <w:r>
        <w:t>for</w:t>
      </w:r>
      <w:r>
        <w:rPr>
          <w:spacing w:val="9"/>
        </w:rPr>
        <w:t xml:space="preserve"> </w:t>
      </w:r>
      <w:r>
        <w:rPr>
          <w:spacing w:val="-1"/>
        </w:rPr>
        <w:t>its</w:t>
      </w:r>
      <w:r>
        <w:rPr>
          <w:spacing w:val="53"/>
        </w:rPr>
        <w:t xml:space="preserve"> </w:t>
      </w:r>
      <w:r>
        <w:rPr>
          <w:spacing w:val="-1"/>
        </w:rPr>
        <w:t>dissolution</w:t>
      </w:r>
      <w:r>
        <w:t xml:space="preserve"> </w:t>
      </w:r>
      <w:r>
        <w:rPr>
          <w:spacing w:val="-1"/>
        </w:rPr>
        <w:t xml:space="preserve">or </w:t>
      </w:r>
      <w:r>
        <w:t>for</w:t>
      </w:r>
      <w:r>
        <w:rPr>
          <w:spacing w:val="2"/>
        </w:rPr>
        <w:t xml:space="preserve"> </w:t>
      </w:r>
      <w:r>
        <w:rPr>
          <w:spacing w:val="-1"/>
        </w:rPr>
        <w:t>the</w:t>
      </w:r>
      <w:r>
        <w:t xml:space="preserve"> </w:t>
      </w:r>
      <w:r>
        <w:rPr>
          <w:spacing w:val="-1"/>
        </w:rPr>
        <w:t>appointment</w:t>
      </w:r>
      <w:r>
        <w:rPr>
          <w:spacing w:val="2"/>
        </w:rPr>
        <w:t xml:space="preserve"> </w:t>
      </w:r>
      <w:r>
        <w:rPr>
          <w:spacing w:val="-2"/>
        </w:rPr>
        <w:t>of</w:t>
      </w:r>
      <w:r>
        <w:rPr>
          <w:spacing w:val="2"/>
        </w:rPr>
        <w:t xml:space="preserve"> </w:t>
      </w:r>
      <w:r>
        <w:t xml:space="preserve">a </w:t>
      </w:r>
      <w:r>
        <w:rPr>
          <w:spacing w:val="-1"/>
        </w:rPr>
        <w:t>receiver,</w:t>
      </w:r>
      <w:r>
        <w:rPr>
          <w:spacing w:val="2"/>
        </w:rPr>
        <w:t xml:space="preserve"> </w:t>
      </w:r>
      <w:r>
        <w:rPr>
          <w:spacing w:val="-2"/>
        </w:rPr>
        <w:t>administrative</w:t>
      </w:r>
      <w:r>
        <w:t xml:space="preserve"> </w:t>
      </w:r>
      <w:r>
        <w:rPr>
          <w:spacing w:val="-1"/>
        </w:rPr>
        <w:t>receiver,</w:t>
      </w:r>
      <w:r>
        <w:rPr>
          <w:spacing w:val="49"/>
        </w:rPr>
        <w:t xml:space="preserve"> </w:t>
      </w:r>
      <w:r>
        <w:rPr>
          <w:spacing w:val="-1"/>
        </w:rPr>
        <w:t>liquidator,</w:t>
      </w:r>
      <w:r>
        <w:rPr>
          <w:spacing w:val="11"/>
        </w:rPr>
        <w:t xml:space="preserve"> </w:t>
      </w:r>
      <w:r>
        <w:rPr>
          <w:spacing w:val="-1"/>
        </w:rPr>
        <w:t>manager,</w:t>
      </w:r>
      <w:r>
        <w:rPr>
          <w:spacing w:val="11"/>
        </w:rPr>
        <w:t xml:space="preserve"> </w:t>
      </w:r>
      <w:r>
        <w:rPr>
          <w:spacing w:val="-1"/>
        </w:rPr>
        <w:t>administrator</w:t>
      </w:r>
      <w:r>
        <w:rPr>
          <w:spacing w:val="11"/>
        </w:rPr>
        <w:t xml:space="preserve"> </w:t>
      </w:r>
      <w:r>
        <w:rPr>
          <w:spacing w:val="-2"/>
        </w:rPr>
        <w:t>or</w:t>
      </w:r>
      <w:r>
        <w:rPr>
          <w:spacing w:val="11"/>
        </w:rPr>
        <w:t xml:space="preserve"> </w:t>
      </w:r>
      <w:r>
        <w:rPr>
          <w:spacing w:val="-1"/>
        </w:rPr>
        <w:t>similar</w:t>
      </w:r>
      <w:r>
        <w:rPr>
          <w:spacing w:val="11"/>
        </w:rPr>
        <w:t xml:space="preserve"> </w:t>
      </w:r>
      <w:r>
        <w:rPr>
          <w:spacing w:val="-1"/>
        </w:rPr>
        <w:t>officer</w:t>
      </w:r>
      <w:r>
        <w:rPr>
          <w:spacing w:val="11"/>
        </w:rPr>
        <w:t xml:space="preserve"> </w:t>
      </w: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8"/>
        </w:rPr>
        <w:t xml:space="preserve"> </w:t>
      </w:r>
      <w:r>
        <w:rPr>
          <w:spacing w:val="-1"/>
        </w:rPr>
        <w:t>of</w:t>
      </w:r>
      <w:r>
        <w:rPr>
          <w:spacing w:val="20"/>
        </w:rPr>
        <w:t xml:space="preserve"> </w:t>
      </w:r>
      <w:r>
        <w:t xml:space="preserve">the </w:t>
      </w:r>
      <w:r>
        <w:rPr>
          <w:spacing w:val="-2"/>
        </w:rPr>
        <w:t>Supplier’s</w:t>
      </w:r>
      <w:r>
        <w:rPr>
          <w:spacing w:val="1"/>
        </w:rPr>
        <w:t xml:space="preserve"> </w:t>
      </w:r>
      <w:r>
        <w:rPr>
          <w:spacing w:val="-1"/>
        </w:rPr>
        <w:t>assets</w:t>
      </w:r>
      <w:r>
        <w:rPr>
          <w:spacing w:val="-2"/>
        </w:rPr>
        <w:t xml:space="preserve"> </w:t>
      </w:r>
      <w:r>
        <w:rPr>
          <w:spacing w:val="-1"/>
        </w:rPr>
        <w:t xml:space="preserve">or </w:t>
      </w:r>
      <w:r>
        <w:rPr>
          <w:spacing w:val="-2"/>
        </w:rPr>
        <w:t>revenue;</w:t>
      </w:r>
      <w:r>
        <w:rPr>
          <w:spacing w:val="2"/>
        </w:rPr>
        <w:t xml:space="preserve"> </w:t>
      </w:r>
      <w:r>
        <w:rPr>
          <w:spacing w:val="-1"/>
        </w:rPr>
        <w:t>and</w:t>
      </w:r>
    </w:p>
    <w:p w:rsidR="008918FA" w:rsidRDefault="008918FA" w:rsidP="008918FA">
      <w:pPr>
        <w:pStyle w:val="BodyText"/>
        <w:numPr>
          <w:ilvl w:val="3"/>
          <w:numId w:val="69"/>
        </w:numPr>
        <w:tabs>
          <w:tab w:val="left" w:pos="2247"/>
        </w:tabs>
        <w:spacing w:before="121"/>
        <w:ind w:left="2246" w:right="113"/>
        <w:jc w:val="both"/>
      </w:pPr>
      <w:r>
        <w:t>for</w:t>
      </w:r>
      <w:r>
        <w:rPr>
          <w:spacing w:val="11"/>
        </w:rPr>
        <w:t xml:space="preserve"> </w:t>
      </w:r>
      <w:r>
        <w:t>the</w:t>
      </w:r>
      <w:r>
        <w:rPr>
          <w:spacing w:val="10"/>
        </w:rPr>
        <w:t xml:space="preserve"> </w:t>
      </w:r>
      <w:r>
        <w:rPr>
          <w:spacing w:val="-2"/>
        </w:rPr>
        <w:t>Call</w:t>
      </w:r>
      <w:r>
        <w:rPr>
          <w:spacing w:val="9"/>
        </w:rPr>
        <w:t xml:space="preserve"> </w:t>
      </w:r>
      <w:r>
        <w:rPr>
          <w:spacing w:val="-1"/>
        </w:rPr>
        <w:t>Off</w:t>
      </w:r>
      <w:r>
        <w:rPr>
          <w:spacing w:val="14"/>
        </w:rPr>
        <w:t xml:space="preserve"> </w:t>
      </w:r>
      <w:r>
        <w:rPr>
          <w:spacing w:val="-2"/>
        </w:rPr>
        <w:t>Contract</w:t>
      </w:r>
      <w:r>
        <w:rPr>
          <w:spacing w:val="9"/>
        </w:rPr>
        <w:t xml:space="preserve"> </w:t>
      </w:r>
      <w:r>
        <w:rPr>
          <w:spacing w:val="-1"/>
        </w:rPr>
        <w:t>Period</w:t>
      </w:r>
      <w:r>
        <w:rPr>
          <w:spacing w:val="10"/>
        </w:rPr>
        <w:t xml:space="preserve"> </w:t>
      </w:r>
      <w:r>
        <w:rPr>
          <w:spacing w:val="-1"/>
        </w:rPr>
        <w:t>and</w:t>
      </w:r>
      <w:r>
        <w:rPr>
          <w:spacing w:val="10"/>
        </w:rPr>
        <w:t xml:space="preserve"> </w:t>
      </w:r>
      <w:r>
        <w:t>for</w:t>
      </w:r>
      <w:r>
        <w:rPr>
          <w:spacing w:val="11"/>
        </w:rPr>
        <w:t xml:space="preserve"> </w:t>
      </w:r>
      <w:r>
        <w:t>a</w:t>
      </w:r>
      <w:r>
        <w:rPr>
          <w:spacing w:val="10"/>
        </w:rPr>
        <w:t xml:space="preserve"> </w:t>
      </w:r>
      <w:r>
        <w:rPr>
          <w:spacing w:val="-1"/>
        </w:rPr>
        <w:t>period</w:t>
      </w:r>
      <w:r>
        <w:rPr>
          <w:spacing w:val="10"/>
        </w:rPr>
        <w:t xml:space="preserve"> </w:t>
      </w:r>
      <w:r>
        <w:rPr>
          <w:spacing w:val="-2"/>
        </w:rPr>
        <w:t>of</w:t>
      </w:r>
      <w:r>
        <w:rPr>
          <w:spacing w:val="14"/>
        </w:rPr>
        <w:t xml:space="preserve"> </w:t>
      </w:r>
      <w:r>
        <w:rPr>
          <w:spacing w:val="-1"/>
        </w:rPr>
        <w:t>twelve</w:t>
      </w:r>
      <w:r>
        <w:rPr>
          <w:spacing w:val="10"/>
        </w:rPr>
        <w:t xml:space="preserve"> </w:t>
      </w:r>
      <w:r>
        <w:rPr>
          <w:spacing w:val="-1"/>
        </w:rPr>
        <w:t>(12)</w:t>
      </w:r>
      <w:r>
        <w:rPr>
          <w:spacing w:val="11"/>
        </w:rPr>
        <w:t xml:space="preserve"> </w:t>
      </w:r>
      <w:r>
        <w:rPr>
          <w:spacing w:val="-1"/>
        </w:rPr>
        <w:t>months</w:t>
      </w:r>
      <w:r>
        <w:rPr>
          <w:spacing w:val="42"/>
        </w:rPr>
        <w:t xml:space="preserve"> </w:t>
      </w:r>
      <w:r>
        <w:rPr>
          <w:spacing w:val="-1"/>
        </w:rPr>
        <w:t>after</w:t>
      </w:r>
      <w:r>
        <w:rPr>
          <w:spacing w:val="40"/>
        </w:rPr>
        <w:t xml:space="preserve"> </w:t>
      </w:r>
      <w:r>
        <w:t>the</w:t>
      </w:r>
      <w:r>
        <w:rPr>
          <w:spacing w:val="36"/>
        </w:rPr>
        <w:t xml:space="preserve"> </w:t>
      </w:r>
      <w:r>
        <w:rPr>
          <w:spacing w:val="-1"/>
        </w:rPr>
        <w:t>termination</w:t>
      </w:r>
      <w:r>
        <w:rPr>
          <w:spacing w:val="38"/>
        </w:rPr>
        <w:t xml:space="preserve"> </w:t>
      </w:r>
      <w:r>
        <w:rPr>
          <w:spacing w:val="-2"/>
        </w:rPr>
        <w:t>or</w:t>
      </w:r>
      <w:r>
        <w:rPr>
          <w:spacing w:val="38"/>
        </w:rPr>
        <w:t xml:space="preserve"> </w:t>
      </w:r>
      <w:r>
        <w:rPr>
          <w:spacing w:val="-1"/>
        </w:rPr>
        <w:t>expiry</w:t>
      </w:r>
      <w:r>
        <w:rPr>
          <w:spacing w:val="36"/>
        </w:rPr>
        <w:t xml:space="preserve"> </w:t>
      </w:r>
      <w:r>
        <w:rPr>
          <w:spacing w:val="-1"/>
        </w:rPr>
        <w:t>of</w:t>
      </w:r>
      <w:r>
        <w:rPr>
          <w:spacing w:val="40"/>
        </w:rPr>
        <w:t xml:space="preserve"> </w:t>
      </w:r>
      <w:r>
        <w:rPr>
          <w:spacing w:val="-1"/>
        </w:rPr>
        <w:t>this</w:t>
      </w:r>
      <w:r>
        <w:rPr>
          <w:spacing w:val="40"/>
        </w:rPr>
        <w:t xml:space="preserve"> </w:t>
      </w:r>
      <w:r>
        <w:rPr>
          <w:spacing w:val="-2"/>
        </w:rPr>
        <w:t>Call</w:t>
      </w:r>
      <w:r>
        <w:rPr>
          <w:spacing w:val="38"/>
        </w:rPr>
        <w:t xml:space="preserve"> </w:t>
      </w:r>
      <w:r>
        <w:rPr>
          <w:spacing w:val="-1"/>
        </w:rPr>
        <w:t>Off</w:t>
      </w:r>
      <w:r>
        <w:rPr>
          <w:spacing w:val="40"/>
        </w:rPr>
        <w:t xml:space="preserve"> </w:t>
      </w:r>
      <w:r>
        <w:rPr>
          <w:spacing w:val="-1"/>
        </w:rPr>
        <w:t>Contract,</w:t>
      </w:r>
      <w:r>
        <w:rPr>
          <w:spacing w:val="38"/>
        </w:rPr>
        <w:t xml:space="preserve"> </w:t>
      </w:r>
      <w:r>
        <w:t>the</w:t>
      </w:r>
      <w:r>
        <w:rPr>
          <w:spacing w:val="38"/>
        </w:rPr>
        <w:t xml:space="preserve"> </w:t>
      </w:r>
      <w:r>
        <w:rPr>
          <w:spacing w:val="-1"/>
        </w:rPr>
        <w:t>Supplier</w:t>
      </w:r>
      <w:r>
        <w:rPr>
          <w:spacing w:val="36"/>
        </w:rPr>
        <w:t xml:space="preserve"> </w:t>
      </w:r>
      <w:r>
        <w:rPr>
          <w:spacing w:val="-1"/>
        </w:rPr>
        <w:t>shall</w:t>
      </w:r>
      <w:r>
        <w:rPr>
          <w:spacing w:val="47"/>
        </w:rPr>
        <w:t xml:space="preserve"> </w:t>
      </w:r>
      <w:r>
        <w:rPr>
          <w:spacing w:val="-1"/>
        </w:rPr>
        <w:t>not</w:t>
      </w:r>
      <w:r>
        <w:rPr>
          <w:spacing w:val="50"/>
        </w:rPr>
        <w:t xml:space="preserve"> </w:t>
      </w:r>
      <w:r>
        <w:rPr>
          <w:spacing w:val="-1"/>
        </w:rPr>
        <w:t>employ</w:t>
      </w:r>
      <w:r>
        <w:rPr>
          <w:spacing w:val="49"/>
        </w:rPr>
        <w:t xml:space="preserve"> </w:t>
      </w:r>
      <w:r>
        <w:rPr>
          <w:spacing w:val="-1"/>
        </w:rPr>
        <w:t>or</w:t>
      </w:r>
      <w:r>
        <w:rPr>
          <w:spacing w:val="49"/>
        </w:rPr>
        <w:t xml:space="preserve"> </w:t>
      </w:r>
      <w:r>
        <w:t>offer</w:t>
      </w:r>
      <w:r>
        <w:rPr>
          <w:spacing w:val="49"/>
        </w:rPr>
        <w:t xml:space="preserve"> </w:t>
      </w:r>
      <w:r>
        <w:rPr>
          <w:spacing w:val="-1"/>
        </w:rPr>
        <w:t>employment</w:t>
      </w:r>
      <w:r>
        <w:rPr>
          <w:spacing w:val="50"/>
        </w:rPr>
        <w:t xml:space="preserve"> </w:t>
      </w:r>
      <w:r>
        <w:t>to</w:t>
      </w:r>
      <w:r>
        <w:rPr>
          <w:spacing w:val="49"/>
        </w:rPr>
        <w:t xml:space="preserve"> </w:t>
      </w:r>
      <w:r>
        <w:rPr>
          <w:spacing w:val="-1"/>
        </w:rPr>
        <w:t>any</w:t>
      </w:r>
      <w:r>
        <w:rPr>
          <w:spacing w:val="49"/>
        </w:rPr>
        <w:t xml:space="preserve"> </w:t>
      </w:r>
      <w:r>
        <w:rPr>
          <w:spacing w:val="-1"/>
        </w:rPr>
        <w:t>staff</w:t>
      </w:r>
      <w:r>
        <w:rPr>
          <w:spacing w:val="52"/>
        </w:rPr>
        <w:t xml:space="preserve"> </w:t>
      </w:r>
      <w:r>
        <w:rPr>
          <w:spacing w:val="-2"/>
        </w:rPr>
        <w:t>of</w:t>
      </w:r>
      <w:r>
        <w:rPr>
          <w:spacing w:val="50"/>
        </w:rPr>
        <w:t xml:space="preserve"> </w:t>
      </w:r>
      <w:r>
        <w:t>the</w:t>
      </w:r>
      <w:r>
        <w:rPr>
          <w:spacing w:val="48"/>
        </w:rPr>
        <w:t xml:space="preserve"> </w:t>
      </w:r>
      <w:r>
        <w:rPr>
          <w:spacing w:val="-2"/>
        </w:rPr>
        <w:t>Customer</w:t>
      </w:r>
      <w:r>
        <w:rPr>
          <w:spacing w:val="35"/>
        </w:rPr>
        <w:t xml:space="preserve"> </w:t>
      </w:r>
      <w:r>
        <w:rPr>
          <w:spacing w:val="-1"/>
        </w:rPr>
        <w:t>which</w:t>
      </w:r>
      <w:r>
        <w:rPr>
          <w:spacing w:val="39"/>
        </w:rPr>
        <w:t xml:space="preserve"> </w:t>
      </w:r>
      <w:r>
        <w:rPr>
          <w:spacing w:val="-2"/>
        </w:rPr>
        <w:t>have</w:t>
      </w:r>
      <w:r>
        <w:rPr>
          <w:spacing w:val="39"/>
        </w:rPr>
        <w:t xml:space="preserve"> </w:t>
      </w:r>
      <w:r>
        <w:rPr>
          <w:spacing w:val="-1"/>
        </w:rPr>
        <w:t>been</w:t>
      </w:r>
      <w:r>
        <w:rPr>
          <w:spacing w:val="38"/>
        </w:rPr>
        <w:t xml:space="preserve"> </w:t>
      </w:r>
      <w:r>
        <w:rPr>
          <w:spacing w:val="-1"/>
        </w:rPr>
        <w:t>associated</w:t>
      </w:r>
      <w:r>
        <w:rPr>
          <w:spacing w:val="39"/>
        </w:rPr>
        <w:t xml:space="preserve"> </w:t>
      </w:r>
      <w:r>
        <w:rPr>
          <w:spacing w:val="-2"/>
        </w:rPr>
        <w:t>with</w:t>
      </w:r>
      <w:r>
        <w:rPr>
          <w:spacing w:val="38"/>
        </w:rPr>
        <w:t xml:space="preserve"> </w:t>
      </w:r>
      <w:r>
        <w:t>the</w:t>
      </w:r>
      <w:r>
        <w:rPr>
          <w:spacing w:val="39"/>
        </w:rPr>
        <w:t xml:space="preserve"> </w:t>
      </w:r>
      <w:r>
        <w:rPr>
          <w:spacing w:val="-2"/>
        </w:rPr>
        <w:t>provision</w:t>
      </w:r>
      <w:r>
        <w:rPr>
          <w:spacing w:val="39"/>
        </w:rPr>
        <w:t xml:space="preserve"> </w:t>
      </w:r>
      <w:r>
        <w:rPr>
          <w:spacing w:val="-2"/>
        </w:rPr>
        <w:t>of</w:t>
      </w:r>
      <w:r>
        <w:rPr>
          <w:spacing w:val="42"/>
        </w:rPr>
        <w:t xml:space="preserve"> </w:t>
      </w:r>
      <w:r>
        <w:t>the</w:t>
      </w:r>
      <w:r>
        <w:rPr>
          <w:spacing w:val="36"/>
        </w:rPr>
        <w:t xml:space="preserve"> </w:t>
      </w:r>
      <w:r>
        <w:rPr>
          <w:spacing w:val="-1"/>
        </w:rPr>
        <w:t>Goods</w:t>
      </w:r>
      <w:r>
        <w:rPr>
          <w:spacing w:val="36"/>
        </w:rPr>
        <w:t xml:space="preserve"> </w:t>
      </w:r>
      <w:r>
        <w:rPr>
          <w:spacing w:val="-1"/>
        </w:rPr>
        <w:t>and/or</w:t>
      </w:r>
      <w:r>
        <w:rPr>
          <w:spacing w:val="49"/>
        </w:rPr>
        <w:t xml:space="preserve"> </w:t>
      </w:r>
      <w:r>
        <w:rPr>
          <w:spacing w:val="-1"/>
        </w:rPr>
        <w:t>Services</w:t>
      </w:r>
      <w:r>
        <w:rPr>
          <w:spacing w:val="1"/>
        </w:rPr>
        <w:t xml:space="preserve"> </w:t>
      </w:r>
      <w:r>
        <w:rPr>
          <w:spacing w:val="-1"/>
        </w:rPr>
        <w:t>without</w:t>
      </w:r>
      <w:r>
        <w:rPr>
          <w:spacing w:val="2"/>
        </w:rPr>
        <w:t xml:space="preserve"> </w:t>
      </w:r>
      <w:r>
        <w:rPr>
          <w:spacing w:val="-2"/>
        </w:rPr>
        <w:t>Approval</w:t>
      </w:r>
      <w:r>
        <w:t xml:space="preserve"> </w:t>
      </w:r>
      <w:r>
        <w:rPr>
          <w:spacing w:val="-1"/>
        </w:rPr>
        <w:t xml:space="preserve">or </w:t>
      </w:r>
      <w:r>
        <w:t xml:space="preserve">the </w:t>
      </w:r>
      <w:r>
        <w:rPr>
          <w:spacing w:val="-2"/>
        </w:rPr>
        <w:t>prior</w:t>
      </w:r>
      <w:r>
        <w:rPr>
          <w:spacing w:val="2"/>
        </w:rPr>
        <w:t xml:space="preserve"> </w:t>
      </w:r>
      <w:r>
        <w:rPr>
          <w:spacing w:val="-1"/>
        </w:rPr>
        <w:t>written consent</w:t>
      </w:r>
      <w:r>
        <w:rPr>
          <w:spacing w:val="2"/>
        </w:rPr>
        <w:t xml:space="preserve"> </w:t>
      </w:r>
      <w:r>
        <w:rPr>
          <w:spacing w:val="-2"/>
        </w:rPr>
        <w:t>of</w:t>
      </w:r>
      <w:r>
        <w:t xml:space="preserve"> the </w:t>
      </w:r>
      <w:r>
        <w:rPr>
          <w:spacing w:val="-2"/>
        </w:rPr>
        <w:t>Customer.</w:t>
      </w:r>
    </w:p>
    <w:p w:rsidR="008918FA" w:rsidRDefault="008918FA" w:rsidP="008918FA">
      <w:pPr>
        <w:pStyle w:val="BodyText"/>
        <w:numPr>
          <w:ilvl w:val="2"/>
          <w:numId w:val="69"/>
        </w:numPr>
        <w:tabs>
          <w:tab w:val="left" w:pos="1049"/>
        </w:tabs>
        <w:spacing w:before="121"/>
        <w:ind w:left="1048" w:right="112" w:hanging="359"/>
        <w:jc w:val="both"/>
      </w:pPr>
      <w:r>
        <w:rPr>
          <w:spacing w:val="-1"/>
        </w:rPr>
        <w:t>Each</w:t>
      </w:r>
      <w:r>
        <w:rPr>
          <w:spacing w:val="10"/>
        </w:rPr>
        <w:t xml:space="preserve"> </w:t>
      </w:r>
      <w:r>
        <w:rPr>
          <w:spacing w:val="-2"/>
        </w:rPr>
        <w:t>of</w:t>
      </w:r>
      <w:r>
        <w:rPr>
          <w:spacing w:val="11"/>
        </w:rPr>
        <w:t xml:space="preserve"> </w:t>
      </w:r>
      <w:r>
        <w:t>the</w:t>
      </w:r>
      <w:r>
        <w:rPr>
          <w:spacing w:val="7"/>
        </w:rPr>
        <w:t xml:space="preserve"> </w:t>
      </w:r>
      <w:r>
        <w:rPr>
          <w:spacing w:val="-1"/>
        </w:rPr>
        <w:t>representations</w:t>
      </w:r>
      <w:r>
        <w:rPr>
          <w:spacing w:val="10"/>
        </w:rPr>
        <w:t xml:space="preserve"> </w:t>
      </w:r>
      <w:r>
        <w:rPr>
          <w:spacing w:val="-1"/>
        </w:rPr>
        <w:t>and</w:t>
      </w:r>
      <w:r>
        <w:rPr>
          <w:spacing w:val="10"/>
        </w:rPr>
        <w:t xml:space="preserve"> </w:t>
      </w:r>
      <w:r>
        <w:rPr>
          <w:spacing w:val="-2"/>
        </w:rPr>
        <w:t>warranties</w:t>
      </w:r>
      <w:r>
        <w:rPr>
          <w:spacing w:val="12"/>
        </w:rPr>
        <w:t xml:space="preserve"> </w:t>
      </w:r>
      <w:r>
        <w:rPr>
          <w:spacing w:val="-2"/>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1"/>
        </w:rPr>
        <w:t>Clauses</w:t>
      </w:r>
      <w:r>
        <w:rPr>
          <w:spacing w:val="11"/>
        </w:rPr>
        <w:t xml:space="preserve"> </w:t>
      </w:r>
      <w:hyperlink w:anchor="_bookmark49" w:history="1">
        <w:r>
          <w:rPr>
            <w:spacing w:val="-1"/>
          </w:rPr>
          <w:t>3.1</w:t>
        </w:r>
      </w:hyperlink>
      <w:r>
        <w:rPr>
          <w:spacing w:val="7"/>
        </w:rPr>
        <w:t xml:space="preserve"> </w:t>
      </w:r>
      <w:r>
        <w:rPr>
          <w:spacing w:val="-1"/>
        </w:rPr>
        <w:t>and</w:t>
      </w:r>
      <w:r>
        <w:rPr>
          <w:spacing w:val="10"/>
        </w:rPr>
        <w:t xml:space="preserve"> </w:t>
      </w:r>
      <w:hyperlink w:anchor="_bookmark50" w:history="1">
        <w:r>
          <w:rPr>
            <w:spacing w:val="-2"/>
          </w:rPr>
          <w:t>3.2</w:t>
        </w:r>
      </w:hyperlink>
      <w:r>
        <w:rPr>
          <w:spacing w:val="10"/>
        </w:rPr>
        <w:t xml:space="preserve"> </w:t>
      </w:r>
      <w:r>
        <w:rPr>
          <w:spacing w:val="-1"/>
        </w:rPr>
        <w:t>shall</w:t>
      </w:r>
      <w:r>
        <w:rPr>
          <w:spacing w:val="9"/>
        </w:rPr>
        <w:t xml:space="preserve"> </w:t>
      </w:r>
      <w:r>
        <w:rPr>
          <w:spacing w:val="-1"/>
        </w:rPr>
        <w:t>be</w:t>
      </w:r>
      <w:r>
        <w:rPr>
          <w:spacing w:val="46"/>
        </w:rPr>
        <w:t xml:space="preserve"> </w:t>
      </w:r>
      <w:r>
        <w:rPr>
          <w:spacing w:val="-1"/>
        </w:rPr>
        <w:t>construed</w:t>
      </w:r>
      <w:r>
        <w:rPr>
          <w:spacing w:val="31"/>
        </w:rPr>
        <w:t xml:space="preserve"> </w:t>
      </w:r>
      <w:r>
        <w:rPr>
          <w:spacing w:val="-1"/>
        </w:rPr>
        <w:t>as</w:t>
      </w:r>
      <w:r>
        <w:rPr>
          <w:spacing w:val="32"/>
        </w:rPr>
        <w:t xml:space="preserve"> </w:t>
      </w:r>
      <w:r>
        <w:t>a</w:t>
      </w:r>
      <w:r>
        <w:rPr>
          <w:spacing w:val="31"/>
        </w:rPr>
        <w:t xml:space="preserve"> </w:t>
      </w:r>
      <w:r>
        <w:rPr>
          <w:spacing w:val="-1"/>
        </w:rPr>
        <w:t>separate</w:t>
      </w:r>
      <w:r>
        <w:rPr>
          <w:spacing w:val="31"/>
        </w:rPr>
        <w:t xml:space="preserve"> </w:t>
      </w:r>
      <w:r>
        <w:rPr>
          <w:spacing w:val="-1"/>
        </w:rPr>
        <w:t>representation</w:t>
      </w:r>
      <w:r>
        <w:rPr>
          <w:spacing w:val="31"/>
        </w:rPr>
        <w:t xml:space="preserve"> </w:t>
      </w:r>
      <w:r>
        <w:rPr>
          <w:spacing w:val="-1"/>
        </w:rPr>
        <w:t>and</w:t>
      </w:r>
      <w:r>
        <w:rPr>
          <w:spacing w:val="31"/>
        </w:rPr>
        <w:t xml:space="preserve"> </w:t>
      </w:r>
      <w:r>
        <w:rPr>
          <w:spacing w:val="-1"/>
        </w:rPr>
        <w:t>warranty</w:t>
      </w:r>
      <w:r>
        <w:rPr>
          <w:spacing w:val="30"/>
        </w:rPr>
        <w:t xml:space="preserve"> </w:t>
      </w:r>
      <w:r>
        <w:rPr>
          <w:spacing w:val="-1"/>
        </w:rPr>
        <w:t>and</w:t>
      </w:r>
      <w:r>
        <w:rPr>
          <w:spacing w:val="32"/>
        </w:rPr>
        <w:t xml:space="preserve"> </w:t>
      </w:r>
      <w:r>
        <w:rPr>
          <w:spacing w:val="-1"/>
        </w:rPr>
        <w:t>shall</w:t>
      </w:r>
      <w:r>
        <w:rPr>
          <w:spacing w:val="31"/>
        </w:rPr>
        <w:t xml:space="preserve"> </w:t>
      </w:r>
      <w:r>
        <w:rPr>
          <w:spacing w:val="-1"/>
        </w:rPr>
        <w:t>not</w:t>
      </w:r>
      <w:r>
        <w:rPr>
          <w:spacing w:val="33"/>
        </w:rPr>
        <w:t xml:space="preserve"> </w:t>
      </w:r>
      <w:r>
        <w:rPr>
          <w:spacing w:val="-1"/>
        </w:rPr>
        <w:t>be</w:t>
      </w:r>
      <w:r>
        <w:rPr>
          <w:spacing w:val="34"/>
        </w:rPr>
        <w:t xml:space="preserve"> </w:t>
      </w:r>
      <w:r>
        <w:rPr>
          <w:spacing w:val="-1"/>
        </w:rPr>
        <w:t>limited</w:t>
      </w:r>
      <w:r>
        <w:rPr>
          <w:spacing w:val="31"/>
        </w:rPr>
        <w:t xml:space="preserve"> </w:t>
      </w:r>
      <w:r>
        <w:rPr>
          <w:spacing w:val="-2"/>
        </w:rPr>
        <w:t>or</w:t>
      </w:r>
      <w:r>
        <w:rPr>
          <w:spacing w:val="41"/>
        </w:rPr>
        <w:t xml:space="preserve"> </w:t>
      </w:r>
      <w:r>
        <w:rPr>
          <w:spacing w:val="-1"/>
        </w:rPr>
        <w:t>restricted</w:t>
      </w:r>
      <w:r>
        <w:rPr>
          <w:spacing w:val="7"/>
        </w:rPr>
        <w:t xml:space="preserve"> </w:t>
      </w:r>
      <w:r>
        <w:rPr>
          <w:spacing w:val="-1"/>
        </w:rPr>
        <w:t>by</w:t>
      </w:r>
      <w:r>
        <w:rPr>
          <w:spacing w:val="5"/>
        </w:rPr>
        <w:t xml:space="preserve"> </w:t>
      </w:r>
      <w:r>
        <w:rPr>
          <w:spacing w:val="-1"/>
        </w:rPr>
        <w:t>reference</w:t>
      </w:r>
      <w:r>
        <w:rPr>
          <w:spacing w:val="8"/>
        </w:rPr>
        <w:t xml:space="preserve"> </w:t>
      </w:r>
      <w:r>
        <w:rPr>
          <w:spacing w:val="-1"/>
        </w:rPr>
        <w:t>to,</w:t>
      </w:r>
      <w:r>
        <w:rPr>
          <w:spacing w:val="9"/>
        </w:rPr>
        <w:t xml:space="preserve"> </w:t>
      </w:r>
      <w:r>
        <w:rPr>
          <w:spacing w:val="-1"/>
        </w:rPr>
        <w:t>or</w:t>
      </w:r>
      <w:r>
        <w:rPr>
          <w:spacing w:val="9"/>
        </w:rPr>
        <w:t xml:space="preserve"> </w:t>
      </w:r>
      <w:r>
        <w:rPr>
          <w:spacing w:val="-1"/>
        </w:rPr>
        <w:t>inference</w:t>
      </w:r>
      <w:r>
        <w:rPr>
          <w:spacing w:val="5"/>
        </w:rPr>
        <w:t xml:space="preserve"> </w:t>
      </w:r>
      <w:r>
        <w:rPr>
          <w:spacing w:val="-1"/>
        </w:rPr>
        <w:t>from,</w:t>
      </w:r>
      <w:r>
        <w:rPr>
          <w:spacing w:val="9"/>
        </w:rPr>
        <w:t xml:space="preserve"> </w:t>
      </w:r>
      <w:r>
        <w:t>the</w:t>
      </w:r>
      <w:r>
        <w:rPr>
          <w:spacing w:val="5"/>
        </w:rPr>
        <w:t xml:space="preserve"> </w:t>
      </w:r>
      <w:r>
        <w:rPr>
          <w:spacing w:val="-1"/>
        </w:rPr>
        <w:t>terms</w:t>
      </w:r>
      <w:r>
        <w:rPr>
          <w:spacing w:val="8"/>
        </w:rPr>
        <w:t xml:space="preserve"> </w:t>
      </w:r>
      <w:r>
        <w:rPr>
          <w:spacing w:val="-2"/>
        </w:rPr>
        <w:t>of</w:t>
      </w:r>
      <w:r>
        <w:rPr>
          <w:spacing w:val="11"/>
        </w:rPr>
        <w:t xml:space="preserve"> </w:t>
      </w:r>
      <w:r>
        <w:rPr>
          <w:spacing w:val="-1"/>
        </w:rPr>
        <w:t>any</w:t>
      </w:r>
      <w:r>
        <w:rPr>
          <w:spacing w:val="5"/>
        </w:rPr>
        <w:t xml:space="preserve"> </w:t>
      </w:r>
      <w:r>
        <w:rPr>
          <w:spacing w:val="-1"/>
        </w:rPr>
        <w:t>other</w:t>
      </w:r>
      <w:r>
        <w:rPr>
          <w:spacing w:val="9"/>
        </w:rPr>
        <w:t xml:space="preserve"> </w:t>
      </w:r>
      <w:r>
        <w:rPr>
          <w:spacing w:val="-1"/>
        </w:rPr>
        <w:t>representation,</w:t>
      </w:r>
      <w:r>
        <w:rPr>
          <w:spacing w:val="57"/>
        </w:rPr>
        <w:t xml:space="preserve"> </w:t>
      </w:r>
      <w:r>
        <w:rPr>
          <w:spacing w:val="-1"/>
        </w:rPr>
        <w:t>warranty</w:t>
      </w:r>
      <w:r>
        <w:rPr>
          <w:spacing w:val="-2"/>
        </w:rPr>
        <w:t xml:space="preserve"> </w:t>
      </w:r>
      <w:r>
        <w:rPr>
          <w:spacing w:val="-1"/>
        </w:rPr>
        <w:t>or</w:t>
      </w:r>
      <w:r>
        <w:rPr>
          <w:spacing w:val="2"/>
        </w:rPr>
        <w:t xml:space="preserve"> </w:t>
      </w:r>
      <w:r>
        <w:rPr>
          <w:spacing w:val="-1"/>
        </w:rPr>
        <w:t>any</w:t>
      </w:r>
      <w:r>
        <w:rPr>
          <w:spacing w:val="-2"/>
        </w:rPr>
        <w:t xml:space="preserve"> </w:t>
      </w:r>
      <w:r>
        <w:rPr>
          <w:spacing w:val="-1"/>
        </w:rPr>
        <w:t>undertaking</w:t>
      </w:r>
      <w:r>
        <w:rPr>
          <w:spacing w:val="3"/>
        </w:rPr>
        <w:t xml:space="preserve"> </w:t>
      </w:r>
      <w:r>
        <w:rPr>
          <w:spacing w:val="-1"/>
        </w:rPr>
        <w:t>in</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2"/>
          <w:numId w:val="69"/>
        </w:numPr>
        <w:tabs>
          <w:tab w:val="left" w:pos="1049"/>
        </w:tabs>
        <w:ind w:left="1048" w:right="114"/>
        <w:jc w:val="both"/>
      </w:pPr>
      <w:r>
        <w:rPr>
          <w:spacing w:val="-1"/>
        </w:rPr>
        <w:t>If</w:t>
      </w:r>
      <w:r>
        <w:rPr>
          <w:spacing w:val="16"/>
        </w:rPr>
        <w:t xml:space="preserve"> </w:t>
      </w:r>
      <w:r>
        <w:rPr>
          <w:spacing w:val="-2"/>
        </w:rPr>
        <w:t>at</w:t>
      </w:r>
      <w:r>
        <w:rPr>
          <w:spacing w:val="14"/>
        </w:rPr>
        <w:t xml:space="preserve"> </w:t>
      </w:r>
      <w:r>
        <w:rPr>
          <w:spacing w:val="-1"/>
        </w:rPr>
        <w:t>any</w:t>
      </w:r>
      <w:r>
        <w:rPr>
          <w:spacing w:val="10"/>
        </w:rPr>
        <w:t xml:space="preserve"> </w:t>
      </w:r>
      <w:r>
        <w:rPr>
          <w:spacing w:val="-1"/>
        </w:rPr>
        <w:t>time</w:t>
      </w:r>
      <w:r>
        <w:rPr>
          <w:spacing w:val="12"/>
        </w:rPr>
        <w:t xml:space="preserve"> </w:t>
      </w:r>
      <w:r>
        <w:t>a</w:t>
      </w:r>
      <w:r>
        <w:rPr>
          <w:spacing w:val="12"/>
        </w:rPr>
        <w:t xml:space="preserve"> </w:t>
      </w:r>
      <w:r>
        <w:rPr>
          <w:spacing w:val="-1"/>
        </w:rPr>
        <w:t>Party</w:t>
      </w:r>
      <w:r>
        <w:rPr>
          <w:spacing w:val="10"/>
        </w:rPr>
        <w:t xml:space="preserve"> </w:t>
      </w:r>
      <w:r>
        <w:rPr>
          <w:spacing w:val="-1"/>
        </w:rPr>
        <w:t>becomes</w:t>
      </w:r>
      <w:r>
        <w:rPr>
          <w:spacing w:val="13"/>
        </w:rPr>
        <w:t xml:space="preserve"> </w:t>
      </w:r>
      <w:r>
        <w:rPr>
          <w:spacing w:val="-2"/>
        </w:rPr>
        <w:t>aware</w:t>
      </w:r>
      <w:r>
        <w:rPr>
          <w:spacing w:val="12"/>
        </w:rPr>
        <w:t xml:space="preserve"> </w:t>
      </w:r>
      <w:r>
        <w:rPr>
          <w:spacing w:val="-1"/>
        </w:rPr>
        <w:t>that</w:t>
      </w:r>
      <w:r>
        <w:rPr>
          <w:spacing w:val="14"/>
        </w:rPr>
        <w:t xml:space="preserve"> </w:t>
      </w:r>
      <w:r>
        <w:t>a</w:t>
      </w:r>
      <w:r>
        <w:rPr>
          <w:spacing w:val="10"/>
        </w:rPr>
        <w:t xml:space="preserve"> </w:t>
      </w:r>
      <w:r>
        <w:rPr>
          <w:spacing w:val="-1"/>
        </w:rPr>
        <w:t>representation</w:t>
      </w:r>
      <w:r>
        <w:rPr>
          <w:spacing w:val="12"/>
        </w:rPr>
        <w:t xml:space="preserve"> </w:t>
      </w:r>
      <w:r>
        <w:rPr>
          <w:spacing w:val="-1"/>
        </w:rPr>
        <w:t>or</w:t>
      </w:r>
      <w:r>
        <w:rPr>
          <w:spacing w:val="14"/>
        </w:rPr>
        <w:t xml:space="preserve"> </w:t>
      </w:r>
      <w:r>
        <w:rPr>
          <w:spacing w:val="-1"/>
        </w:rPr>
        <w:t>warranty</w:t>
      </w:r>
      <w:r>
        <w:rPr>
          <w:spacing w:val="10"/>
        </w:rPr>
        <w:t xml:space="preserve"> </w:t>
      </w:r>
      <w:r>
        <w:rPr>
          <w:spacing w:val="-2"/>
        </w:rPr>
        <w:t>given</w:t>
      </w:r>
      <w:r>
        <w:rPr>
          <w:spacing w:val="12"/>
        </w:rPr>
        <w:t xml:space="preserve"> </w:t>
      </w:r>
      <w:r>
        <w:rPr>
          <w:spacing w:val="1"/>
        </w:rPr>
        <w:t>by</w:t>
      </w:r>
      <w:r>
        <w:rPr>
          <w:spacing w:val="10"/>
        </w:rPr>
        <w:t xml:space="preserve"> </w:t>
      </w:r>
      <w:r>
        <w:rPr>
          <w:spacing w:val="-1"/>
        </w:rPr>
        <w:t>it</w:t>
      </w:r>
      <w:r>
        <w:rPr>
          <w:spacing w:val="55"/>
        </w:rPr>
        <w:t xml:space="preserve"> </w:t>
      </w:r>
      <w:r>
        <w:rPr>
          <w:spacing w:val="-1"/>
        </w:rPr>
        <w:t>under</w:t>
      </w:r>
      <w:r>
        <w:rPr>
          <w:spacing w:val="21"/>
        </w:rPr>
        <w:t xml:space="preserve"> </w:t>
      </w:r>
      <w:r>
        <w:rPr>
          <w:spacing w:val="-1"/>
        </w:rPr>
        <w:t>Clauses</w:t>
      </w:r>
      <w:r>
        <w:rPr>
          <w:spacing w:val="21"/>
        </w:rPr>
        <w:t xml:space="preserve"> </w:t>
      </w:r>
      <w:hyperlink w:anchor="_bookmark49" w:history="1">
        <w:r>
          <w:t>3.1</w:t>
        </w:r>
      </w:hyperlink>
      <w:r>
        <w:rPr>
          <w:spacing w:val="20"/>
        </w:rPr>
        <w:t xml:space="preserve"> </w:t>
      </w:r>
      <w:r>
        <w:rPr>
          <w:spacing w:val="-1"/>
        </w:rPr>
        <w:t>and</w:t>
      </w:r>
      <w:r>
        <w:rPr>
          <w:spacing w:val="20"/>
        </w:rPr>
        <w:t xml:space="preserve"> </w:t>
      </w:r>
      <w:hyperlink w:anchor="_bookmark50" w:history="1">
        <w:r>
          <w:t>3.2</w:t>
        </w:r>
      </w:hyperlink>
      <w:r>
        <w:rPr>
          <w:spacing w:val="20"/>
        </w:rPr>
        <w:t xml:space="preserve"> </w:t>
      </w:r>
      <w:r>
        <w:rPr>
          <w:spacing w:val="-1"/>
        </w:rPr>
        <w:t>has</w:t>
      </w:r>
      <w:r>
        <w:rPr>
          <w:spacing w:val="20"/>
        </w:rPr>
        <w:t xml:space="preserve"> </w:t>
      </w:r>
      <w:r>
        <w:rPr>
          <w:spacing w:val="-1"/>
        </w:rPr>
        <w:t>been</w:t>
      </w:r>
      <w:r>
        <w:rPr>
          <w:spacing w:val="20"/>
        </w:rPr>
        <w:t xml:space="preserve"> </w:t>
      </w:r>
      <w:r>
        <w:rPr>
          <w:spacing w:val="-1"/>
        </w:rPr>
        <w:t>breached,</w:t>
      </w:r>
      <w:r>
        <w:rPr>
          <w:spacing w:val="19"/>
        </w:rPr>
        <w:t xml:space="preserve"> </w:t>
      </w:r>
      <w:r>
        <w:rPr>
          <w:spacing w:val="-1"/>
        </w:rPr>
        <w:t>is</w:t>
      </w:r>
      <w:r>
        <w:rPr>
          <w:spacing w:val="20"/>
        </w:rPr>
        <w:t xml:space="preserve"> </w:t>
      </w:r>
      <w:r>
        <w:rPr>
          <w:spacing w:val="-1"/>
        </w:rPr>
        <w:t>untrue</w:t>
      </w:r>
      <w:r>
        <w:rPr>
          <w:spacing w:val="19"/>
        </w:rPr>
        <w:t xml:space="preserve"> </w:t>
      </w:r>
      <w:r>
        <w:rPr>
          <w:spacing w:val="-1"/>
        </w:rPr>
        <w:t>or</w:t>
      </w:r>
      <w:r>
        <w:rPr>
          <w:spacing w:val="21"/>
        </w:rPr>
        <w:t xml:space="preserve"> </w:t>
      </w:r>
      <w:r>
        <w:rPr>
          <w:spacing w:val="-1"/>
        </w:rPr>
        <w:t>is</w:t>
      </w:r>
      <w:r>
        <w:rPr>
          <w:spacing w:val="20"/>
        </w:rPr>
        <w:t xml:space="preserve"> </w:t>
      </w:r>
      <w:r>
        <w:rPr>
          <w:spacing w:val="-1"/>
        </w:rPr>
        <w:t>misleading,</w:t>
      </w:r>
      <w:r>
        <w:rPr>
          <w:spacing w:val="21"/>
        </w:rPr>
        <w:t xml:space="preserve"> </w:t>
      </w:r>
      <w:r>
        <w:rPr>
          <w:spacing w:val="-1"/>
        </w:rPr>
        <w:t>it</w:t>
      </w:r>
      <w:r>
        <w:rPr>
          <w:spacing w:val="21"/>
        </w:rPr>
        <w:t xml:space="preserve"> </w:t>
      </w:r>
      <w:r>
        <w:rPr>
          <w:spacing w:val="-1"/>
        </w:rPr>
        <w:t>shall</w:t>
      </w:r>
      <w:r>
        <w:rPr>
          <w:spacing w:val="27"/>
        </w:rPr>
        <w:t xml:space="preserve"> </w:t>
      </w:r>
      <w:r>
        <w:rPr>
          <w:spacing w:val="-1"/>
        </w:rPr>
        <w:t>immediately</w:t>
      </w:r>
      <w:r>
        <w:rPr>
          <w:spacing w:val="18"/>
        </w:rPr>
        <w:t xml:space="preserve"> </w:t>
      </w:r>
      <w:r>
        <w:t>notify</w:t>
      </w:r>
      <w:r>
        <w:rPr>
          <w:spacing w:val="18"/>
        </w:rPr>
        <w:t xml:space="preserve"> </w:t>
      </w:r>
      <w:r>
        <w:t>the</w:t>
      </w:r>
      <w:r>
        <w:rPr>
          <w:spacing w:val="19"/>
        </w:rPr>
        <w:t xml:space="preserve"> </w:t>
      </w:r>
      <w:r>
        <w:rPr>
          <w:spacing w:val="-1"/>
        </w:rPr>
        <w:t>other</w:t>
      </w:r>
      <w:r>
        <w:rPr>
          <w:spacing w:val="21"/>
        </w:rPr>
        <w:t xml:space="preserve"> </w:t>
      </w:r>
      <w:r>
        <w:rPr>
          <w:spacing w:val="-1"/>
        </w:rPr>
        <w:t>Party</w:t>
      </w:r>
      <w:r>
        <w:rPr>
          <w:spacing w:val="18"/>
        </w:rPr>
        <w:t xml:space="preserve"> </w:t>
      </w:r>
      <w:r>
        <w:rPr>
          <w:spacing w:val="-1"/>
        </w:rPr>
        <w:t>of</w:t>
      </w:r>
      <w:r>
        <w:rPr>
          <w:spacing w:val="23"/>
        </w:rPr>
        <w:t xml:space="preserve"> </w:t>
      </w:r>
      <w:r>
        <w:t>the</w:t>
      </w:r>
      <w:r>
        <w:rPr>
          <w:spacing w:val="19"/>
        </w:rPr>
        <w:t xml:space="preserve"> </w:t>
      </w:r>
      <w:r>
        <w:rPr>
          <w:spacing w:val="-2"/>
        </w:rPr>
        <w:t>relevant</w:t>
      </w:r>
      <w:r>
        <w:rPr>
          <w:spacing w:val="19"/>
        </w:rPr>
        <w:t xml:space="preserve"> </w:t>
      </w:r>
      <w:r>
        <w:rPr>
          <w:spacing w:val="-1"/>
        </w:rPr>
        <w:t>occurrence</w:t>
      </w:r>
      <w:r>
        <w:rPr>
          <w:spacing w:val="20"/>
        </w:rPr>
        <w:t xml:space="preserve"> </w:t>
      </w:r>
      <w:r>
        <w:rPr>
          <w:spacing w:val="-1"/>
        </w:rPr>
        <w:t>in</w:t>
      </w:r>
      <w:r>
        <w:rPr>
          <w:spacing w:val="19"/>
        </w:rPr>
        <w:t xml:space="preserve"> </w:t>
      </w:r>
      <w:r>
        <w:rPr>
          <w:spacing w:val="-1"/>
        </w:rPr>
        <w:t>sufficient</w:t>
      </w:r>
      <w:r>
        <w:rPr>
          <w:spacing w:val="19"/>
        </w:rPr>
        <w:t xml:space="preserve"> </w:t>
      </w:r>
      <w:r>
        <w:rPr>
          <w:spacing w:val="-1"/>
        </w:rPr>
        <w:t>detail</w:t>
      </w:r>
      <w:r>
        <w:rPr>
          <w:spacing w:val="19"/>
        </w:rPr>
        <w:t xml:space="preserve"> </w:t>
      </w:r>
      <w:r>
        <w:t>to</w:t>
      </w:r>
      <w:r>
        <w:rPr>
          <w:spacing w:val="53"/>
        </w:rPr>
        <w:t xml:space="preserve"> </w:t>
      </w:r>
      <w:r>
        <w:rPr>
          <w:spacing w:val="-1"/>
        </w:rPr>
        <w:t>enable</w:t>
      </w:r>
      <w:r>
        <w:t xml:space="preserve"> the </w:t>
      </w:r>
      <w:r>
        <w:rPr>
          <w:spacing w:val="-1"/>
        </w:rPr>
        <w:t>other Party</w:t>
      </w:r>
      <w:r>
        <w:rPr>
          <w:spacing w:val="-2"/>
        </w:rPr>
        <w:t xml:space="preserve"> </w:t>
      </w:r>
      <w:r>
        <w:t>to</w:t>
      </w:r>
      <w:r>
        <w:rPr>
          <w:spacing w:val="-2"/>
        </w:rPr>
        <w:t xml:space="preserve"> </w:t>
      </w:r>
      <w:r>
        <w:rPr>
          <w:spacing w:val="-1"/>
        </w:rPr>
        <w:t>make</w:t>
      </w:r>
      <w:r>
        <w:rPr>
          <w:spacing w:val="-2"/>
        </w:rPr>
        <w:t xml:space="preserve"> </w:t>
      </w:r>
      <w:r>
        <w:rPr>
          <w:spacing w:val="-1"/>
        </w:rPr>
        <w:t>an</w:t>
      </w:r>
      <w:r>
        <w:t xml:space="preserve"> </w:t>
      </w:r>
      <w:r>
        <w:rPr>
          <w:spacing w:val="-1"/>
        </w:rPr>
        <w:t>accurate</w:t>
      </w:r>
      <w:r>
        <w:t xml:space="preserve"> </w:t>
      </w:r>
      <w:r>
        <w:rPr>
          <w:spacing w:val="-1"/>
        </w:rPr>
        <w:t>assessment</w:t>
      </w:r>
      <w:r>
        <w:t xml:space="preserve"> </w:t>
      </w:r>
      <w:r>
        <w:rPr>
          <w:spacing w:val="-2"/>
        </w:rPr>
        <w:t>of</w:t>
      </w:r>
      <w:r>
        <w:rPr>
          <w:spacing w:val="2"/>
        </w:rPr>
        <w:t xml:space="preserve"> </w:t>
      </w:r>
      <w:r>
        <w:rPr>
          <w:spacing w:val="-1"/>
        </w:rPr>
        <w:t>the</w:t>
      </w:r>
      <w:r>
        <w:t xml:space="preserve"> </w:t>
      </w:r>
      <w:r>
        <w:rPr>
          <w:spacing w:val="-1"/>
        </w:rPr>
        <w:t>situation.</w:t>
      </w:r>
    </w:p>
    <w:p w:rsidR="008918FA" w:rsidRDefault="008918FA" w:rsidP="008918FA">
      <w:pPr>
        <w:pStyle w:val="BodyText"/>
        <w:numPr>
          <w:ilvl w:val="2"/>
          <w:numId w:val="69"/>
        </w:numPr>
        <w:tabs>
          <w:tab w:val="left" w:pos="1049"/>
        </w:tabs>
        <w:ind w:left="1048" w:right="113"/>
        <w:jc w:val="both"/>
      </w:pPr>
      <w:r>
        <w:rPr>
          <w:spacing w:val="-1"/>
        </w:rPr>
        <w:t>For</w:t>
      </w:r>
      <w:r>
        <w:rPr>
          <w:spacing w:val="11"/>
        </w:rPr>
        <w:t xml:space="preserve"> </w:t>
      </w:r>
      <w:r>
        <w:t>the</w:t>
      </w:r>
      <w:r>
        <w:rPr>
          <w:spacing w:val="10"/>
        </w:rPr>
        <w:t xml:space="preserve"> </w:t>
      </w:r>
      <w:r>
        <w:rPr>
          <w:spacing w:val="-2"/>
        </w:rPr>
        <w:t>avoidance</w:t>
      </w:r>
      <w:r>
        <w:rPr>
          <w:spacing w:val="10"/>
        </w:rPr>
        <w:t xml:space="preserve"> </w:t>
      </w:r>
      <w:r>
        <w:rPr>
          <w:spacing w:val="-1"/>
        </w:rPr>
        <w:t>of</w:t>
      </w:r>
      <w:r>
        <w:rPr>
          <w:spacing w:val="14"/>
        </w:rPr>
        <w:t xml:space="preserve"> </w:t>
      </w:r>
      <w:r>
        <w:rPr>
          <w:spacing w:val="-1"/>
        </w:rPr>
        <w:t>doubt,</w:t>
      </w:r>
      <w:r>
        <w:rPr>
          <w:spacing w:val="11"/>
        </w:rPr>
        <w:t xml:space="preserve"> </w:t>
      </w:r>
      <w:r>
        <w:t>the</w:t>
      </w:r>
      <w:r>
        <w:rPr>
          <w:spacing w:val="7"/>
        </w:rPr>
        <w:t xml:space="preserve"> </w:t>
      </w:r>
      <w:r>
        <w:rPr>
          <w:spacing w:val="-1"/>
        </w:rPr>
        <w:t>fact</w:t>
      </w:r>
      <w:r>
        <w:rPr>
          <w:spacing w:val="9"/>
        </w:rPr>
        <w:t xml:space="preserve"> </w:t>
      </w:r>
      <w:r>
        <w:rPr>
          <w:spacing w:val="-1"/>
        </w:rPr>
        <w:t>that</w:t>
      </w:r>
      <w:r>
        <w:rPr>
          <w:spacing w:val="11"/>
        </w:rPr>
        <w:t xml:space="preserve"> </w:t>
      </w:r>
      <w:r>
        <w:rPr>
          <w:spacing w:val="-1"/>
        </w:rPr>
        <w:t>any</w:t>
      </w:r>
      <w:r>
        <w:rPr>
          <w:spacing w:val="8"/>
        </w:rPr>
        <w:t xml:space="preserve"> </w:t>
      </w:r>
      <w:r>
        <w:rPr>
          <w:spacing w:val="-1"/>
        </w:rPr>
        <w:t>provision</w:t>
      </w:r>
      <w:r>
        <w:rPr>
          <w:spacing w:val="15"/>
        </w:rPr>
        <w:t xml:space="preserve"> </w:t>
      </w:r>
      <w:r>
        <w:rPr>
          <w:spacing w:val="-2"/>
        </w:rPr>
        <w:t>within</w:t>
      </w:r>
      <w:r>
        <w:rPr>
          <w:spacing w:val="10"/>
        </w:rPr>
        <w:t xml:space="preserve"> </w:t>
      </w:r>
      <w:r>
        <w:rPr>
          <w:spacing w:val="-1"/>
        </w:rPr>
        <w:t>this</w:t>
      </w:r>
      <w:r>
        <w:rPr>
          <w:spacing w:val="10"/>
        </w:rPr>
        <w:t xml:space="preserve"> </w:t>
      </w:r>
      <w:r>
        <w:rPr>
          <w:spacing w:val="-1"/>
        </w:rPr>
        <w:t>Call</w:t>
      </w:r>
      <w:r>
        <w:rPr>
          <w:spacing w:val="9"/>
        </w:rPr>
        <w:t xml:space="preserve"> </w:t>
      </w:r>
      <w:r>
        <w:t>Off</w:t>
      </w:r>
      <w:r>
        <w:rPr>
          <w:spacing w:val="11"/>
        </w:rPr>
        <w:t xml:space="preserve"> </w:t>
      </w:r>
      <w:r>
        <w:rPr>
          <w:spacing w:val="-1"/>
        </w:rPr>
        <w:t>Contract</w:t>
      </w:r>
      <w:r>
        <w:rPr>
          <w:spacing w:val="59"/>
        </w:rPr>
        <w:t xml:space="preserve"> </w:t>
      </w:r>
      <w:r>
        <w:rPr>
          <w:spacing w:val="-1"/>
        </w:rPr>
        <w:t>is</w:t>
      </w:r>
      <w:r>
        <w:rPr>
          <w:spacing w:val="3"/>
        </w:rPr>
        <w:t xml:space="preserve"> </w:t>
      </w:r>
      <w:r>
        <w:rPr>
          <w:spacing w:val="-1"/>
        </w:rPr>
        <w:t>expressed</w:t>
      </w:r>
      <w:r>
        <w:rPr>
          <w:spacing w:val="3"/>
        </w:rPr>
        <w:t xml:space="preserve"> </w:t>
      </w:r>
      <w:r>
        <w:rPr>
          <w:spacing w:val="-1"/>
        </w:rPr>
        <w:t>as</w:t>
      </w:r>
      <w:r>
        <w:rPr>
          <w:spacing w:val="3"/>
        </w:rPr>
        <w:t xml:space="preserve"> </w:t>
      </w:r>
      <w:r>
        <w:t>a</w:t>
      </w:r>
      <w:r>
        <w:rPr>
          <w:spacing w:val="3"/>
        </w:rPr>
        <w:t xml:space="preserve"> </w:t>
      </w:r>
      <w:r>
        <w:rPr>
          <w:spacing w:val="-1"/>
        </w:rPr>
        <w:t>warranty</w:t>
      </w:r>
      <w:r>
        <w:rPr>
          <w:spacing w:val="1"/>
        </w:rPr>
        <w:t xml:space="preserve"> </w:t>
      </w:r>
      <w:r>
        <w:rPr>
          <w:spacing w:val="-1"/>
        </w:rPr>
        <w:t>shall</w:t>
      </w:r>
      <w:r>
        <w:rPr>
          <w:spacing w:val="2"/>
        </w:rPr>
        <w:t xml:space="preserve"> </w:t>
      </w:r>
      <w:r>
        <w:rPr>
          <w:spacing w:val="-1"/>
        </w:rPr>
        <w:t>not</w:t>
      </w:r>
      <w:r>
        <w:rPr>
          <w:spacing w:val="4"/>
        </w:rPr>
        <w:t xml:space="preserve"> </w:t>
      </w:r>
      <w:r>
        <w:rPr>
          <w:spacing w:val="-1"/>
        </w:rPr>
        <w:t>preclude</w:t>
      </w:r>
      <w:r>
        <w:rPr>
          <w:spacing w:val="3"/>
        </w:rPr>
        <w:t xml:space="preserve"> </w:t>
      </w:r>
      <w:r>
        <w:rPr>
          <w:spacing w:val="-2"/>
        </w:rPr>
        <w:t>any</w:t>
      </w:r>
      <w:r>
        <w:rPr>
          <w:spacing w:val="1"/>
        </w:rPr>
        <w:t xml:space="preserve"> </w:t>
      </w:r>
      <w:r>
        <w:rPr>
          <w:spacing w:val="-1"/>
        </w:rPr>
        <w:t>right</w:t>
      </w:r>
      <w:r>
        <w:rPr>
          <w:spacing w:val="4"/>
        </w:rPr>
        <w:t xml:space="preserve"> </w:t>
      </w:r>
      <w:r>
        <w:rPr>
          <w:spacing w:val="-2"/>
        </w:rPr>
        <w:t>of</w:t>
      </w:r>
      <w:r>
        <w:rPr>
          <w:spacing w:val="2"/>
        </w:rPr>
        <w:t xml:space="preserve"> </w:t>
      </w:r>
      <w:r>
        <w:rPr>
          <w:spacing w:val="-1"/>
        </w:rPr>
        <w:t>termination</w:t>
      </w:r>
      <w:r>
        <w:t xml:space="preserve"> the </w:t>
      </w:r>
      <w:r>
        <w:rPr>
          <w:spacing w:val="-1"/>
        </w:rPr>
        <w:t>Customer</w:t>
      </w:r>
      <w:r>
        <w:rPr>
          <w:spacing w:val="35"/>
        </w:rPr>
        <w:t xml:space="preserve"> </w:t>
      </w:r>
      <w:r>
        <w:rPr>
          <w:spacing w:val="-1"/>
        </w:rPr>
        <w:t>may</w:t>
      </w:r>
      <w:r>
        <w:rPr>
          <w:spacing w:val="5"/>
        </w:rPr>
        <w:t xml:space="preserve"> </w:t>
      </w:r>
      <w:r>
        <w:rPr>
          <w:spacing w:val="-2"/>
        </w:rPr>
        <w:t>have</w:t>
      </w:r>
      <w:r>
        <w:rPr>
          <w:spacing w:val="7"/>
        </w:rPr>
        <w:t xml:space="preserve"> </w:t>
      </w:r>
      <w:r>
        <w:rPr>
          <w:spacing w:val="-1"/>
        </w:rPr>
        <w:t>in</w:t>
      </w:r>
      <w:r>
        <w:rPr>
          <w:spacing w:val="7"/>
        </w:rPr>
        <w:t xml:space="preserve"> </w:t>
      </w:r>
      <w:r>
        <w:rPr>
          <w:spacing w:val="-1"/>
        </w:rPr>
        <w:t>respect</w:t>
      </w:r>
      <w:r>
        <w:rPr>
          <w:spacing w:val="9"/>
        </w:rPr>
        <w:t xml:space="preserve"> </w:t>
      </w:r>
      <w:r>
        <w:rPr>
          <w:spacing w:val="-2"/>
        </w:rPr>
        <w:t>of</w:t>
      </w:r>
      <w:r>
        <w:rPr>
          <w:spacing w:val="9"/>
        </w:rPr>
        <w:t xml:space="preserve"> </w:t>
      </w:r>
      <w:r>
        <w:rPr>
          <w:spacing w:val="-1"/>
        </w:rPr>
        <w:t>breach</w:t>
      </w:r>
      <w:r>
        <w:rPr>
          <w:spacing w:val="8"/>
        </w:rPr>
        <w:t xml:space="preserve"> </w:t>
      </w:r>
      <w:r>
        <w:rPr>
          <w:spacing w:val="-2"/>
        </w:rPr>
        <w:t>of</w:t>
      </w:r>
      <w:r>
        <w:rPr>
          <w:spacing w:val="9"/>
        </w:rPr>
        <w:t xml:space="preserve"> </w:t>
      </w:r>
      <w:r>
        <w:rPr>
          <w:spacing w:val="-1"/>
        </w:rPr>
        <w:t>that</w:t>
      </w:r>
      <w:r>
        <w:rPr>
          <w:spacing w:val="9"/>
        </w:rPr>
        <w:t xml:space="preserve"> </w:t>
      </w:r>
      <w:r>
        <w:rPr>
          <w:spacing w:val="-2"/>
        </w:rPr>
        <w:t>provision</w:t>
      </w:r>
      <w:r>
        <w:rPr>
          <w:spacing w:val="7"/>
        </w:rPr>
        <w:t xml:space="preserve"> </w:t>
      </w:r>
      <w:r>
        <w:rPr>
          <w:spacing w:val="-1"/>
        </w:rPr>
        <w:t>by</w:t>
      </w:r>
      <w:r>
        <w:rPr>
          <w:spacing w:val="5"/>
        </w:rPr>
        <w:t xml:space="preserve"> </w:t>
      </w:r>
      <w:r>
        <w:t>the</w:t>
      </w:r>
      <w:r>
        <w:rPr>
          <w:spacing w:val="7"/>
        </w:rPr>
        <w:t xml:space="preserve"> </w:t>
      </w:r>
      <w:r>
        <w:rPr>
          <w:spacing w:val="-2"/>
        </w:rPr>
        <w:t>Supplier</w:t>
      </w:r>
      <w:r>
        <w:rPr>
          <w:spacing w:val="9"/>
        </w:rPr>
        <w:t xml:space="preserve"> </w:t>
      </w:r>
      <w:r>
        <w:rPr>
          <w:spacing w:val="-1"/>
        </w:rPr>
        <w:t>which</w:t>
      </w:r>
      <w:r>
        <w:rPr>
          <w:spacing w:val="8"/>
        </w:rPr>
        <w:t xml:space="preserve"> </w:t>
      </w:r>
      <w:r>
        <w:rPr>
          <w:spacing w:val="-1"/>
        </w:rPr>
        <w:t>constitutes</w:t>
      </w:r>
      <w:r>
        <w:rPr>
          <w:spacing w:val="8"/>
        </w:rPr>
        <w:t xml:space="preserve"> </w:t>
      </w:r>
      <w:r>
        <w:t>a</w:t>
      </w:r>
      <w:r>
        <w:rPr>
          <w:spacing w:val="63"/>
        </w:rPr>
        <w:t xml:space="preserve"> </w:t>
      </w:r>
      <w:r>
        <w:rPr>
          <w:spacing w:val="-1"/>
        </w:rPr>
        <w:t>material</w:t>
      </w:r>
      <w:r>
        <w:t xml:space="preserve"> </w:t>
      </w:r>
      <w:r>
        <w:rPr>
          <w:spacing w:val="-1"/>
        </w:rPr>
        <w:t>Default.</w:t>
      </w:r>
    </w:p>
    <w:p w:rsidR="008918FA" w:rsidRDefault="008918FA" w:rsidP="008918FA">
      <w:pPr>
        <w:pStyle w:val="BodyText"/>
        <w:numPr>
          <w:ilvl w:val="1"/>
          <w:numId w:val="69"/>
        </w:numPr>
        <w:tabs>
          <w:tab w:val="left" w:pos="686"/>
        </w:tabs>
        <w:spacing w:before="120"/>
        <w:ind w:left="685" w:hanging="566"/>
        <w:rPr>
          <w:rFonts w:ascii="Times New Roman" w:eastAsia="Times New Roman" w:hAnsi="Times New Roman" w:cs="Times New Roman"/>
        </w:rPr>
      </w:pPr>
      <w:bookmarkStart w:id="52" w:name="_bookmark52"/>
      <w:bookmarkEnd w:id="52"/>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3"/>
        </w:rPr>
        <w:t>GUARANTEE</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2"/>
          <w:numId w:val="69"/>
        </w:numPr>
        <w:tabs>
          <w:tab w:val="left" w:pos="1049"/>
        </w:tabs>
        <w:spacing w:before="0"/>
        <w:ind w:left="1048" w:right="114"/>
        <w:jc w:val="both"/>
      </w:pPr>
      <w:bookmarkStart w:id="53" w:name="_bookmark53"/>
      <w:bookmarkEnd w:id="53"/>
      <w:r>
        <w:rPr>
          <w:spacing w:val="-1"/>
        </w:rPr>
        <w:t>Where</w:t>
      </w:r>
      <w:r>
        <w:rPr>
          <w:spacing w:val="7"/>
        </w:rPr>
        <w:t xml:space="preserve"> </w:t>
      </w:r>
      <w:r>
        <w:t>the</w:t>
      </w:r>
      <w:r>
        <w:rPr>
          <w:spacing w:val="7"/>
        </w:rPr>
        <w:t xml:space="preserve"> </w:t>
      </w:r>
      <w:r>
        <w:rPr>
          <w:spacing w:val="-1"/>
        </w:rPr>
        <w:t>Customer</w:t>
      </w:r>
      <w:r>
        <w:rPr>
          <w:spacing w:val="9"/>
        </w:rPr>
        <w:t xml:space="preserve"> </w:t>
      </w:r>
      <w:r>
        <w:rPr>
          <w:spacing w:val="-2"/>
        </w:rPr>
        <w:t>has</w:t>
      </w:r>
      <w:r>
        <w:rPr>
          <w:spacing w:val="8"/>
        </w:rPr>
        <w:t xml:space="preserve"> </w:t>
      </w:r>
      <w:r>
        <w:rPr>
          <w:spacing w:val="-1"/>
        </w:rPr>
        <w:t>stipulated</w:t>
      </w:r>
      <w:r>
        <w:rPr>
          <w:spacing w:val="7"/>
        </w:rPr>
        <w:t xml:space="preserve"> </w:t>
      </w:r>
      <w:r>
        <w:rPr>
          <w:spacing w:val="-1"/>
        </w:rPr>
        <w:t>in</w:t>
      </w:r>
      <w:r>
        <w:rPr>
          <w:spacing w:val="7"/>
        </w:rPr>
        <w:t xml:space="preserve"> </w:t>
      </w:r>
      <w:r>
        <w:t>the</w:t>
      </w:r>
      <w:r>
        <w:rPr>
          <w:spacing w:val="7"/>
        </w:rPr>
        <w:t xml:space="preserve"> </w:t>
      </w:r>
      <w:r>
        <w:rPr>
          <w:spacing w:val="-1"/>
        </w:rPr>
        <w:t>Order</w:t>
      </w:r>
      <w:r>
        <w:rPr>
          <w:spacing w:val="6"/>
        </w:rPr>
        <w:t xml:space="preserve"> </w:t>
      </w:r>
      <w:bookmarkStart w:id="54" w:name="4._CALL_OFF_GUARANTEe"/>
      <w:bookmarkEnd w:id="54"/>
      <w:r>
        <w:rPr>
          <w:spacing w:val="-1"/>
        </w:rPr>
        <w:t>Form</w:t>
      </w:r>
      <w:r>
        <w:rPr>
          <w:spacing w:val="9"/>
        </w:rPr>
        <w:t xml:space="preserve"> </w:t>
      </w:r>
      <w:r>
        <w:rPr>
          <w:spacing w:val="-1"/>
        </w:rPr>
        <w:t>or</w:t>
      </w:r>
      <w:r>
        <w:rPr>
          <w:spacing w:val="9"/>
        </w:rPr>
        <w:t xml:space="preserve"> </w:t>
      </w:r>
      <w:r>
        <w:rPr>
          <w:spacing w:val="-2"/>
        </w:rPr>
        <w:t>elsewhere</w:t>
      </w:r>
      <w:r>
        <w:rPr>
          <w:spacing w:val="7"/>
        </w:rPr>
        <w:t xml:space="preserve"> </w:t>
      </w:r>
      <w:r>
        <w:rPr>
          <w:spacing w:val="-1"/>
        </w:rPr>
        <w:t>in</w:t>
      </w:r>
      <w:r>
        <w:rPr>
          <w:spacing w:val="7"/>
        </w:rPr>
        <w:t xml:space="preserve"> </w:t>
      </w:r>
      <w:r>
        <w:rPr>
          <w:spacing w:val="-1"/>
        </w:rPr>
        <w:t>this</w:t>
      </w:r>
      <w:r>
        <w:rPr>
          <w:spacing w:val="8"/>
        </w:rPr>
        <w:t xml:space="preserve"> </w:t>
      </w:r>
      <w:r>
        <w:rPr>
          <w:spacing w:val="-2"/>
        </w:rPr>
        <w:t>Call</w:t>
      </w:r>
      <w:r>
        <w:rPr>
          <w:spacing w:val="7"/>
        </w:rPr>
        <w:t xml:space="preserve"> </w:t>
      </w:r>
      <w:r>
        <w:t>Off</w:t>
      </w:r>
      <w:r>
        <w:rPr>
          <w:spacing w:val="59"/>
        </w:rPr>
        <w:t xml:space="preserve"> </w:t>
      </w:r>
      <w:r>
        <w:rPr>
          <w:spacing w:val="-1"/>
        </w:rPr>
        <w:t>Contract</w:t>
      </w:r>
      <w:r>
        <w:rPr>
          <w:spacing w:val="28"/>
        </w:rPr>
        <w:t xml:space="preserve"> </w:t>
      </w:r>
      <w:r>
        <w:rPr>
          <w:spacing w:val="-1"/>
        </w:rPr>
        <w:t>that</w:t>
      </w:r>
      <w:r>
        <w:rPr>
          <w:spacing w:val="26"/>
        </w:rPr>
        <w:t xml:space="preserve"> </w:t>
      </w:r>
      <w:r>
        <w:t>the</w:t>
      </w:r>
      <w:r>
        <w:rPr>
          <w:spacing w:val="27"/>
        </w:rPr>
        <w:t xml:space="preserve"> </w:t>
      </w:r>
      <w:r>
        <w:rPr>
          <w:spacing w:val="-2"/>
        </w:rPr>
        <w:t>Call</w:t>
      </w:r>
      <w:r>
        <w:rPr>
          <w:spacing w:val="26"/>
        </w:rPr>
        <w:t xml:space="preserve"> </w:t>
      </w:r>
      <w:r>
        <w:rPr>
          <w:spacing w:val="-1"/>
        </w:rPr>
        <w:t>Off</w:t>
      </w:r>
      <w:r>
        <w:rPr>
          <w:spacing w:val="28"/>
        </w:rPr>
        <w:t xml:space="preserve"> </w:t>
      </w:r>
      <w:r>
        <w:rPr>
          <w:spacing w:val="-2"/>
        </w:rPr>
        <w:t>Contract</w:t>
      </w:r>
      <w:r>
        <w:rPr>
          <w:spacing w:val="28"/>
        </w:rPr>
        <w:t xml:space="preserve"> </w:t>
      </w:r>
      <w:r>
        <w:rPr>
          <w:spacing w:val="-1"/>
        </w:rPr>
        <w:t>shall</w:t>
      </w:r>
      <w:r>
        <w:rPr>
          <w:spacing w:val="26"/>
        </w:rPr>
        <w:t xml:space="preserve"> </w:t>
      </w:r>
      <w:r>
        <w:rPr>
          <w:spacing w:val="-1"/>
        </w:rPr>
        <w:t>be</w:t>
      </w:r>
      <w:r>
        <w:rPr>
          <w:spacing w:val="27"/>
        </w:rPr>
        <w:t xml:space="preserve"> </w:t>
      </w:r>
      <w:r>
        <w:rPr>
          <w:spacing w:val="-1"/>
        </w:rPr>
        <w:t>conditional</w:t>
      </w:r>
      <w:r>
        <w:rPr>
          <w:spacing w:val="26"/>
        </w:rPr>
        <w:t xml:space="preserve"> </w:t>
      </w:r>
      <w:r>
        <w:rPr>
          <w:spacing w:val="-1"/>
        </w:rPr>
        <w:t>upon</w:t>
      </w:r>
      <w:r>
        <w:rPr>
          <w:spacing w:val="27"/>
        </w:rPr>
        <w:t xml:space="preserve"> </w:t>
      </w:r>
      <w:r>
        <w:rPr>
          <w:spacing w:val="-1"/>
        </w:rPr>
        <w:t>receipt</w:t>
      </w:r>
      <w:r>
        <w:rPr>
          <w:spacing w:val="28"/>
        </w:rPr>
        <w:t xml:space="preserve"> </w:t>
      </w:r>
      <w:r>
        <w:rPr>
          <w:spacing w:val="-2"/>
        </w:rPr>
        <w:t>of</w:t>
      </w:r>
      <w:r>
        <w:rPr>
          <w:spacing w:val="26"/>
        </w:rPr>
        <w:t xml:space="preserve"> </w:t>
      </w:r>
      <w:r>
        <w:t>a</w:t>
      </w:r>
      <w:r>
        <w:rPr>
          <w:spacing w:val="27"/>
        </w:rPr>
        <w:t xml:space="preserve"> </w:t>
      </w:r>
      <w:r>
        <w:rPr>
          <w:spacing w:val="-2"/>
        </w:rPr>
        <w:t>Call</w:t>
      </w:r>
      <w:r>
        <w:rPr>
          <w:spacing w:val="26"/>
        </w:rPr>
        <w:t xml:space="preserve"> </w:t>
      </w:r>
      <w:r>
        <w:rPr>
          <w:spacing w:val="-1"/>
        </w:rPr>
        <w:t>Off</w:t>
      </w:r>
      <w:r>
        <w:rPr>
          <w:spacing w:val="51"/>
        </w:rPr>
        <w:t xml:space="preserve"> </w:t>
      </w:r>
      <w:r>
        <w:rPr>
          <w:spacing w:val="-1"/>
        </w:rPr>
        <w:t>Guarantee,</w:t>
      </w:r>
      <w:r>
        <w:rPr>
          <w:spacing w:val="16"/>
        </w:rPr>
        <w:t xml:space="preserve"> </w:t>
      </w:r>
      <w:r>
        <w:rPr>
          <w:spacing w:val="-1"/>
        </w:rPr>
        <w:t>then,</w:t>
      </w:r>
      <w:r>
        <w:rPr>
          <w:spacing w:val="19"/>
        </w:rPr>
        <w:t xml:space="preserve"> </w:t>
      </w:r>
      <w:r>
        <w:rPr>
          <w:spacing w:val="-1"/>
        </w:rPr>
        <w:t>on</w:t>
      </w:r>
      <w:r>
        <w:rPr>
          <w:spacing w:val="17"/>
        </w:rPr>
        <w:t xml:space="preserve"> </w:t>
      </w:r>
      <w:r>
        <w:rPr>
          <w:spacing w:val="-1"/>
        </w:rPr>
        <w:t>or</w:t>
      </w:r>
      <w:r>
        <w:rPr>
          <w:spacing w:val="16"/>
        </w:rPr>
        <w:t xml:space="preserve"> </w:t>
      </w:r>
      <w:r>
        <w:rPr>
          <w:spacing w:val="-1"/>
        </w:rPr>
        <w:t>prior</w:t>
      </w:r>
      <w:r>
        <w:rPr>
          <w:spacing w:val="19"/>
        </w:rPr>
        <w:t xml:space="preserve"> </w:t>
      </w:r>
      <w:r>
        <w:t>to</w:t>
      </w:r>
      <w:r>
        <w:rPr>
          <w:spacing w:val="17"/>
        </w:rPr>
        <w:t xml:space="preserve"> </w:t>
      </w:r>
      <w:r>
        <w:t>the</w:t>
      </w:r>
      <w:r>
        <w:rPr>
          <w:spacing w:val="17"/>
        </w:rPr>
        <w:t xml:space="preserve"> </w:t>
      </w:r>
      <w:r>
        <w:rPr>
          <w:spacing w:val="-2"/>
        </w:rPr>
        <w:t>Call</w:t>
      </w:r>
      <w:r>
        <w:rPr>
          <w:spacing w:val="17"/>
        </w:rPr>
        <w:t xml:space="preserve"> </w:t>
      </w:r>
      <w:r>
        <w:rPr>
          <w:spacing w:val="-1"/>
        </w:rPr>
        <w:t>Off</w:t>
      </w:r>
      <w:r>
        <w:rPr>
          <w:spacing w:val="19"/>
        </w:rPr>
        <w:t xml:space="preserve"> </w:t>
      </w:r>
      <w:r>
        <w:rPr>
          <w:spacing w:val="-2"/>
        </w:rPr>
        <w:t>Commencement</w:t>
      </w:r>
      <w:r>
        <w:rPr>
          <w:spacing w:val="19"/>
        </w:rPr>
        <w:t xml:space="preserve"> </w:t>
      </w:r>
      <w:r>
        <w:rPr>
          <w:spacing w:val="-1"/>
        </w:rPr>
        <w:t>Date</w:t>
      </w:r>
      <w:r>
        <w:rPr>
          <w:spacing w:val="17"/>
        </w:rPr>
        <w:t xml:space="preserve"> </w:t>
      </w:r>
      <w:r>
        <w:rPr>
          <w:spacing w:val="-1"/>
        </w:rPr>
        <w:t>or</w:t>
      </w:r>
      <w:r>
        <w:rPr>
          <w:spacing w:val="19"/>
        </w:rPr>
        <w:t xml:space="preserve"> </w:t>
      </w:r>
      <w:r>
        <w:rPr>
          <w:spacing w:val="-2"/>
        </w:rPr>
        <w:t>on</w:t>
      </w:r>
      <w:r>
        <w:rPr>
          <w:spacing w:val="17"/>
        </w:rPr>
        <w:t xml:space="preserve"> </w:t>
      </w:r>
      <w:r>
        <w:rPr>
          <w:spacing w:val="-1"/>
        </w:rPr>
        <w:t>any</w:t>
      </w:r>
      <w:r>
        <w:rPr>
          <w:spacing w:val="15"/>
        </w:rPr>
        <w:t xml:space="preserve"> </w:t>
      </w:r>
      <w:r>
        <w:rPr>
          <w:spacing w:val="-1"/>
        </w:rPr>
        <w:t>other</w:t>
      </w:r>
      <w:r>
        <w:rPr>
          <w:spacing w:val="68"/>
        </w:rPr>
        <w:t xml:space="preserve"> </w:t>
      </w:r>
      <w:r>
        <w:rPr>
          <w:spacing w:val="-1"/>
        </w:rPr>
        <w:t>date</w:t>
      </w:r>
      <w:r>
        <w:t xml:space="preserve"> </w:t>
      </w:r>
      <w:r>
        <w:rPr>
          <w:spacing w:val="-1"/>
        </w:rPr>
        <w:t>specified</w:t>
      </w:r>
      <w:r>
        <w:rPr>
          <w:spacing w:val="-2"/>
        </w:rPr>
        <w:t xml:space="preserve"> </w:t>
      </w:r>
      <w:r>
        <w:rPr>
          <w:spacing w:val="-1"/>
        </w:rPr>
        <w:t>by</w:t>
      </w:r>
      <w:r>
        <w:rPr>
          <w:spacing w:val="-2"/>
        </w:rPr>
        <w:t xml:space="preserve"> </w:t>
      </w:r>
      <w:r>
        <w:t>the</w:t>
      </w:r>
      <w:r>
        <w:rPr>
          <w:spacing w:val="-2"/>
        </w:rPr>
        <w:t xml:space="preserve"> </w:t>
      </w:r>
      <w:r>
        <w:rPr>
          <w:spacing w:val="-1"/>
        </w:rPr>
        <w:t>Customer,</w:t>
      </w:r>
      <w:r>
        <w:t xml:space="preserve"> the</w:t>
      </w:r>
      <w:r>
        <w:rPr>
          <w:spacing w:val="-2"/>
        </w:rPr>
        <w:t xml:space="preserve"> Supplier</w:t>
      </w:r>
      <w:r>
        <w:rPr>
          <w:spacing w:val="2"/>
        </w:rPr>
        <w:t xml:space="preserve"> </w:t>
      </w:r>
      <w:r>
        <w:rPr>
          <w:spacing w:val="-2"/>
        </w:rPr>
        <w:t>shall</w:t>
      </w:r>
      <w:r>
        <w:t xml:space="preserve"> </w:t>
      </w:r>
      <w:r>
        <w:rPr>
          <w:spacing w:val="-2"/>
        </w:rPr>
        <w:t>deliver</w:t>
      </w:r>
      <w:r>
        <w:rPr>
          <w:spacing w:val="2"/>
        </w:rPr>
        <w:t xml:space="preserve"> </w:t>
      </w:r>
      <w:r>
        <w:t>to the</w:t>
      </w:r>
      <w:r>
        <w:rPr>
          <w:spacing w:val="-2"/>
        </w:rPr>
        <w:t xml:space="preserve"> </w:t>
      </w:r>
      <w:r>
        <w:rPr>
          <w:spacing w:val="-1"/>
        </w:rPr>
        <w:t>Customer:</w:t>
      </w:r>
    </w:p>
    <w:p w:rsidR="008918FA" w:rsidRDefault="008918FA" w:rsidP="008918FA">
      <w:pPr>
        <w:pStyle w:val="BodyText"/>
        <w:numPr>
          <w:ilvl w:val="3"/>
          <w:numId w:val="69"/>
        </w:numPr>
        <w:tabs>
          <w:tab w:val="left" w:pos="2246"/>
        </w:tabs>
        <w:spacing w:before="121"/>
        <w:ind w:left="2245" w:hanging="993"/>
      </w:pPr>
      <w:r>
        <w:rPr>
          <w:spacing w:val="-1"/>
        </w:rPr>
        <w:t>an</w:t>
      </w:r>
      <w:r>
        <w:t xml:space="preserve"> </w:t>
      </w:r>
      <w:r>
        <w:rPr>
          <w:spacing w:val="-1"/>
        </w:rPr>
        <w:t>executed</w:t>
      </w:r>
      <w:r>
        <w:t xml:space="preserve"> </w:t>
      </w:r>
      <w:r>
        <w:rPr>
          <w:spacing w:val="-2"/>
        </w:rPr>
        <w:t>Call</w:t>
      </w:r>
      <w:r>
        <w:t xml:space="preserve"> </w:t>
      </w:r>
      <w:r>
        <w:rPr>
          <w:spacing w:val="-1"/>
        </w:rPr>
        <w:t>Off</w:t>
      </w:r>
      <w:r>
        <w:t xml:space="preserve"> </w:t>
      </w:r>
      <w:r>
        <w:rPr>
          <w:spacing w:val="-1"/>
        </w:rPr>
        <w:t>Guarantee</w:t>
      </w:r>
      <w:r>
        <w:rPr>
          <w:spacing w:val="-4"/>
        </w:rPr>
        <w:t xml:space="preserve"> </w:t>
      </w:r>
      <w:r>
        <w:t>from</w:t>
      </w:r>
      <w:r>
        <w:rPr>
          <w:spacing w:val="-1"/>
        </w:rPr>
        <w:t xml:space="preserve"> </w:t>
      </w:r>
      <w:r>
        <w:t xml:space="preserve">a </w:t>
      </w:r>
      <w:r>
        <w:rPr>
          <w:spacing w:val="-2"/>
        </w:rPr>
        <w:t>Call</w:t>
      </w:r>
      <w:r>
        <w:rPr>
          <w:spacing w:val="-3"/>
        </w:rPr>
        <w:t xml:space="preserve"> </w:t>
      </w:r>
      <w:r>
        <w:rPr>
          <w:spacing w:val="-1"/>
        </w:rPr>
        <w:t>Off</w:t>
      </w:r>
      <w:r>
        <w:t xml:space="preserve"> </w:t>
      </w:r>
      <w:r>
        <w:rPr>
          <w:spacing w:val="-1"/>
        </w:rPr>
        <w:t>Guarantor;</w:t>
      </w:r>
      <w:r>
        <w:rPr>
          <w:spacing w:val="2"/>
        </w:rPr>
        <w:t xml:space="preserve"> </w:t>
      </w:r>
      <w:r>
        <w:rPr>
          <w:spacing w:val="-1"/>
        </w:rPr>
        <w:t>and</w:t>
      </w:r>
    </w:p>
    <w:p w:rsidR="008918FA" w:rsidRDefault="008918FA" w:rsidP="008918FA">
      <w:pPr>
        <w:pStyle w:val="BodyText"/>
        <w:numPr>
          <w:ilvl w:val="3"/>
          <w:numId w:val="69"/>
        </w:numPr>
        <w:tabs>
          <w:tab w:val="left" w:pos="2246"/>
        </w:tabs>
        <w:ind w:left="2245" w:right="114" w:hanging="993"/>
        <w:jc w:val="both"/>
      </w:pPr>
      <w:r>
        <w:t>a</w:t>
      </w:r>
      <w:r>
        <w:rPr>
          <w:spacing w:val="29"/>
        </w:rPr>
        <w:t xml:space="preserve"> </w:t>
      </w:r>
      <w:r>
        <w:rPr>
          <w:spacing w:val="-1"/>
        </w:rPr>
        <w:t>certified</w:t>
      </w:r>
      <w:r>
        <w:rPr>
          <w:spacing w:val="29"/>
        </w:rPr>
        <w:t xml:space="preserve"> </w:t>
      </w:r>
      <w:r>
        <w:rPr>
          <w:spacing w:val="-1"/>
        </w:rPr>
        <w:t>copy</w:t>
      </w:r>
      <w:r>
        <w:rPr>
          <w:spacing w:val="27"/>
        </w:rPr>
        <w:t xml:space="preserve"> </w:t>
      </w:r>
      <w:r>
        <w:rPr>
          <w:spacing w:val="-1"/>
        </w:rPr>
        <w:t>extract</w:t>
      </w:r>
      <w:r>
        <w:rPr>
          <w:spacing w:val="31"/>
        </w:rPr>
        <w:t xml:space="preserve"> </w:t>
      </w:r>
      <w:r>
        <w:rPr>
          <w:spacing w:val="-2"/>
        </w:rPr>
        <w:t>of</w:t>
      </w:r>
      <w:r>
        <w:rPr>
          <w:spacing w:val="33"/>
        </w:rPr>
        <w:t xml:space="preserve"> </w:t>
      </w:r>
      <w:r>
        <w:t>the</w:t>
      </w:r>
      <w:r>
        <w:rPr>
          <w:spacing w:val="29"/>
        </w:rPr>
        <w:t xml:space="preserve"> </w:t>
      </w:r>
      <w:r>
        <w:rPr>
          <w:spacing w:val="-1"/>
        </w:rPr>
        <w:t>board</w:t>
      </w:r>
      <w:r>
        <w:rPr>
          <w:spacing w:val="29"/>
        </w:rPr>
        <w:t xml:space="preserve"> </w:t>
      </w:r>
      <w:r>
        <w:rPr>
          <w:spacing w:val="-1"/>
        </w:rPr>
        <w:t>minutes</w:t>
      </w:r>
      <w:r>
        <w:rPr>
          <w:spacing w:val="30"/>
        </w:rPr>
        <w:t xml:space="preserve"> </w:t>
      </w:r>
      <w:r>
        <w:rPr>
          <w:spacing w:val="-1"/>
        </w:rPr>
        <w:t>and/or</w:t>
      </w:r>
      <w:r>
        <w:rPr>
          <w:spacing w:val="30"/>
        </w:rPr>
        <w:t xml:space="preserve"> </w:t>
      </w:r>
      <w:r>
        <w:rPr>
          <w:spacing w:val="-1"/>
        </w:rPr>
        <w:t>resolution</w:t>
      </w:r>
      <w:r>
        <w:rPr>
          <w:spacing w:val="29"/>
        </w:rPr>
        <w:t xml:space="preserve"> </w:t>
      </w:r>
      <w:r>
        <w:rPr>
          <w:spacing w:val="-2"/>
        </w:rPr>
        <w:t>of</w:t>
      </w:r>
      <w:r>
        <w:rPr>
          <w:spacing w:val="33"/>
        </w:rPr>
        <w:t xml:space="preserve"> </w:t>
      </w:r>
      <w:r>
        <w:rPr>
          <w:spacing w:val="-1"/>
        </w:rPr>
        <w:t>the</w:t>
      </w:r>
      <w:r>
        <w:rPr>
          <w:spacing w:val="50"/>
        </w:rPr>
        <w:t xml:space="preserve"> </w:t>
      </w:r>
      <w:r>
        <w:rPr>
          <w:spacing w:val="-2"/>
        </w:rPr>
        <w:t>Call</w:t>
      </w:r>
      <w:r>
        <w:t xml:space="preserve"> </w:t>
      </w:r>
      <w:r>
        <w:rPr>
          <w:spacing w:val="-1"/>
        </w:rPr>
        <w:t>Off</w:t>
      </w:r>
      <w:r>
        <w:t xml:space="preserve"> </w:t>
      </w:r>
      <w:r>
        <w:rPr>
          <w:spacing w:val="-1"/>
        </w:rPr>
        <w:t xml:space="preserve">Guarantor </w:t>
      </w:r>
      <w:r>
        <w:rPr>
          <w:spacing w:val="-2"/>
        </w:rPr>
        <w:t>approving</w:t>
      </w:r>
      <w:r>
        <w:rPr>
          <w:spacing w:val="3"/>
        </w:rPr>
        <w:t xml:space="preserve"> </w:t>
      </w:r>
      <w:r>
        <w:t xml:space="preserve">the </w:t>
      </w:r>
      <w:r>
        <w:rPr>
          <w:spacing w:val="-1"/>
        </w:rPr>
        <w:t>execution</w:t>
      </w:r>
      <w:r>
        <w:rPr>
          <w:spacing w:val="-2"/>
        </w:rPr>
        <w:t xml:space="preserve"> of</w:t>
      </w:r>
      <w:r>
        <w:rPr>
          <w:spacing w:val="2"/>
        </w:rPr>
        <w:t xml:space="preserve"> </w:t>
      </w:r>
      <w:r>
        <w:t>the</w:t>
      </w:r>
      <w:r>
        <w:rPr>
          <w:spacing w:val="-4"/>
        </w:rPr>
        <w:t xml:space="preserve"> </w:t>
      </w:r>
      <w:r>
        <w:rPr>
          <w:spacing w:val="-2"/>
        </w:rPr>
        <w:t>Call</w:t>
      </w:r>
      <w:r>
        <w:t xml:space="preserve"> </w:t>
      </w:r>
      <w:r>
        <w:rPr>
          <w:spacing w:val="-1"/>
        </w:rPr>
        <w:t>Off</w:t>
      </w:r>
      <w:r>
        <w:t xml:space="preserve"> </w:t>
      </w:r>
      <w:r>
        <w:rPr>
          <w:spacing w:val="-1"/>
        </w:rPr>
        <w:t>Guarantee.</w:t>
      </w:r>
    </w:p>
    <w:p w:rsidR="008918FA" w:rsidRDefault="008918FA" w:rsidP="008918FA">
      <w:pPr>
        <w:pStyle w:val="BodyText"/>
        <w:numPr>
          <w:ilvl w:val="2"/>
          <w:numId w:val="69"/>
        </w:numPr>
        <w:tabs>
          <w:tab w:val="left" w:pos="1049"/>
        </w:tabs>
        <w:spacing w:before="121"/>
        <w:ind w:left="1048" w:right="116"/>
        <w:jc w:val="both"/>
      </w:pPr>
      <w:r>
        <w:t xml:space="preserve">The </w:t>
      </w:r>
      <w:r>
        <w:rPr>
          <w:spacing w:val="-2"/>
        </w:rPr>
        <w:t>Customer</w:t>
      </w:r>
      <w:r>
        <w:rPr>
          <w:spacing w:val="2"/>
        </w:rPr>
        <w:t xml:space="preserve"> </w:t>
      </w:r>
      <w:r>
        <w:rPr>
          <w:spacing w:val="-1"/>
        </w:rPr>
        <w:t>may</w:t>
      </w:r>
      <w:r>
        <w:rPr>
          <w:spacing w:val="-2"/>
        </w:rPr>
        <w:t xml:space="preserve"> </w:t>
      </w:r>
      <w:r>
        <w:rPr>
          <w:spacing w:val="-1"/>
        </w:rPr>
        <w:t>in</w:t>
      </w:r>
      <w:r>
        <w:t xml:space="preserve"> </w:t>
      </w:r>
      <w:r>
        <w:rPr>
          <w:spacing w:val="-1"/>
        </w:rPr>
        <w:t>its</w:t>
      </w:r>
      <w:r>
        <w:rPr>
          <w:spacing w:val="-2"/>
        </w:rPr>
        <w:t xml:space="preserve"> </w:t>
      </w:r>
      <w:r>
        <w:rPr>
          <w:spacing w:val="-1"/>
        </w:rPr>
        <w:t>sole</w:t>
      </w:r>
      <w:r>
        <w:t xml:space="preserve"> </w:t>
      </w:r>
      <w:r>
        <w:rPr>
          <w:spacing w:val="-1"/>
        </w:rPr>
        <w:t>discretion</w:t>
      </w:r>
      <w:r>
        <w:t xml:space="preserve"> </w:t>
      </w:r>
      <w:r>
        <w:rPr>
          <w:spacing w:val="-1"/>
        </w:rPr>
        <w:t>at</w:t>
      </w:r>
      <w:r>
        <w:rPr>
          <w:spacing w:val="2"/>
        </w:rPr>
        <w:t xml:space="preserve"> </w:t>
      </w:r>
      <w:r>
        <w:rPr>
          <w:spacing w:val="-1"/>
        </w:rPr>
        <w:t>any</w:t>
      </w:r>
      <w:r>
        <w:rPr>
          <w:spacing w:val="-2"/>
        </w:rPr>
        <w:t xml:space="preserve"> </w:t>
      </w:r>
      <w:r>
        <w:rPr>
          <w:spacing w:val="-1"/>
        </w:rPr>
        <w:t>time</w:t>
      </w:r>
      <w:r>
        <w:t xml:space="preserve"> </w:t>
      </w:r>
      <w:r>
        <w:rPr>
          <w:spacing w:val="-1"/>
        </w:rPr>
        <w:t>agree</w:t>
      </w:r>
      <w:r>
        <w:t xml:space="preserve"> to </w:t>
      </w:r>
      <w:r>
        <w:rPr>
          <w:spacing w:val="-2"/>
        </w:rPr>
        <w:t>waive</w:t>
      </w:r>
      <w:r>
        <w:t xml:space="preserve"> </w:t>
      </w:r>
      <w:r>
        <w:rPr>
          <w:spacing w:val="-1"/>
        </w:rPr>
        <w:t>compliance</w:t>
      </w:r>
      <w:r>
        <w:rPr>
          <w:spacing w:val="1"/>
        </w:rPr>
        <w:t xml:space="preserve"> </w:t>
      </w:r>
      <w:r>
        <w:rPr>
          <w:spacing w:val="-2"/>
        </w:rPr>
        <w:t>with</w:t>
      </w:r>
      <w:r>
        <w:rPr>
          <w:spacing w:val="59"/>
        </w:rPr>
        <w:t xml:space="preserve"> </w:t>
      </w:r>
      <w:r>
        <w:t>the</w:t>
      </w:r>
      <w:r>
        <w:rPr>
          <w:spacing w:val="-2"/>
        </w:rPr>
        <w:t xml:space="preserve"> </w:t>
      </w:r>
      <w:r>
        <w:rPr>
          <w:spacing w:val="-1"/>
        </w:rPr>
        <w:t>requirement</w:t>
      </w:r>
      <w:r>
        <w:rPr>
          <w:spacing w:val="2"/>
        </w:rPr>
        <w:t xml:space="preserve"> </w:t>
      </w:r>
      <w:r>
        <w:rPr>
          <w:spacing w:val="-1"/>
        </w:rPr>
        <w:t>in</w:t>
      </w:r>
      <w:r>
        <w:rPr>
          <w:spacing w:val="-2"/>
        </w:rPr>
        <w:t xml:space="preserve"> Clause</w:t>
      </w:r>
      <w:r>
        <w:rPr>
          <w:spacing w:val="1"/>
        </w:rPr>
        <w:t xml:space="preserve"> </w:t>
      </w:r>
      <w:hyperlink w:anchor="_bookmark53" w:history="1">
        <w:r>
          <w:t>4.1</w:t>
        </w:r>
      </w:hyperlink>
      <w:r>
        <w:rPr>
          <w:spacing w:val="-1"/>
        </w:rPr>
        <w:t xml:space="preserve"> by</w:t>
      </w:r>
      <w:r>
        <w:rPr>
          <w:spacing w:val="-2"/>
        </w:rPr>
        <w:t xml:space="preserve"> </w:t>
      </w:r>
      <w:r>
        <w:rPr>
          <w:spacing w:val="-1"/>
        </w:rPr>
        <w:t>giving</w:t>
      </w:r>
      <w:r>
        <w:t xml:space="preserve"> the </w:t>
      </w:r>
      <w:r>
        <w:rPr>
          <w:spacing w:val="-2"/>
        </w:rPr>
        <w:t>Supplier</w:t>
      </w:r>
      <w:r>
        <w:rPr>
          <w:spacing w:val="2"/>
        </w:rPr>
        <w:t xml:space="preserve"> </w:t>
      </w:r>
      <w:r>
        <w:rPr>
          <w:spacing w:val="-1"/>
        </w:rPr>
        <w:t>notice</w:t>
      </w:r>
      <w:r>
        <w:rPr>
          <w:spacing w:val="-2"/>
        </w:rPr>
        <w:t xml:space="preserve"> </w:t>
      </w:r>
      <w:r>
        <w:rPr>
          <w:spacing w:val="-1"/>
        </w:rPr>
        <w:t>in</w:t>
      </w:r>
      <w:r>
        <w:t xml:space="preserve"> </w:t>
      </w:r>
      <w:r>
        <w:rPr>
          <w:spacing w:val="-1"/>
        </w:rPr>
        <w:t>writing.</w:t>
      </w:r>
    </w:p>
    <w:p w:rsidR="008918FA" w:rsidRDefault="008918FA" w:rsidP="008918FA">
      <w:pPr>
        <w:spacing w:before="5"/>
        <w:rPr>
          <w:rFonts w:ascii="Arial" w:eastAsia="Arial" w:hAnsi="Arial" w:cs="Arial"/>
          <w:sz w:val="14"/>
          <w:szCs w:val="14"/>
        </w:rPr>
      </w:pPr>
    </w:p>
    <w:p w:rsidR="008918FA" w:rsidRDefault="008918FA" w:rsidP="008918FA">
      <w:pPr>
        <w:pStyle w:val="Heading1"/>
        <w:tabs>
          <w:tab w:val="left" w:pos="686"/>
        </w:tabs>
        <w:spacing w:before="73"/>
        <w:ind w:left="119" w:firstLine="0"/>
        <w:rPr>
          <w:b w:val="0"/>
          <w:bCs w:val="0"/>
        </w:rPr>
      </w:pPr>
      <w:bookmarkStart w:id="55" w:name="_bookmark54"/>
      <w:bookmarkEnd w:id="55"/>
      <w:r>
        <w:rPr>
          <w:color w:val="C00000"/>
          <w:spacing w:val="-1"/>
        </w:rPr>
        <w:t>B.</w:t>
      </w:r>
      <w:r>
        <w:rPr>
          <w:color w:val="C00000"/>
          <w:spacing w:val="-1"/>
        </w:rPr>
        <w:tab/>
      </w:r>
      <w:r w:rsidRPr="001C1527">
        <w:rPr>
          <w:color w:val="C00000"/>
          <w:spacing w:val="-1"/>
          <w:u w:val="single"/>
        </w:rPr>
        <w:t>DURATION</w:t>
      </w:r>
      <w:r w:rsidRPr="001C1527">
        <w:rPr>
          <w:color w:val="C00000"/>
          <w:u w:val="single"/>
        </w:rPr>
        <w:t xml:space="preserve"> OF </w:t>
      </w:r>
      <w:r w:rsidRPr="001C1527">
        <w:rPr>
          <w:color w:val="C00000"/>
          <w:spacing w:val="-3"/>
          <w:u w:val="single"/>
        </w:rPr>
        <w:t>CALL</w:t>
      </w:r>
      <w:r w:rsidRPr="001C1527">
        <w:rPr>
          <w:color w:val="C00000"/>
          <w:u w:val="single"/>
        </w:rPr>
        <w:t xml:space="preserve"> OFF </w:t>
      </w:r>
      <w:r w:rsidRPr="001C1527">
        <w:rPr>
          <w:color w:val="C00000"/>
          <w:spacing w:val="-1"/>
          <w:u w:val="single"/>
        </w:rPr>
        <w:t>CONTRACT</w:t>
      </w:r>
    </w:p>
    <w:p w:rsidR="008918FA" w:rsidRDefault="008918FA" w:rsidP="008918FA">
      <w:pPr>
        <w:spacing w:before="6"/>
        <w:rPr>
          <w:rFonts w:ascii="Arial" w:eastAsia="Arial" w:hAnsi="Arial" w:cs="Arial"/>
          <w:b/>
          <w:bCs/>
          <w:sz w:val="14"/>
          <w:szCs w:val="14"/>
        </w:rPr>
      </w:pPr>
    </w:p>
    <w:p w:rsidR="008918FA" w:rsidRDefault="008918FA" w:rsidP="008918FA">
      <w:pPr>
        <w:pStyle w:val="BodyText"/>
        <w:numPr>
          <w:ilvl w:val="1"/>
          <w:numId w:val="69"/>
        </w:numPr>
        <w:tabs>
          <w:tab w:val="left" w:pos="686"/>
        </w:tabs>
        <w:spacing w:before="72"/>
        <w:ind w:left="685" w:hanging="566"/>
        <w:rPr>
          <w:rFonts w:ascii="Times New Roman" w:eastAsia="Times New Roman" w:hAnsi="Times New Roman" w:cs="Times New Roman"/>
        </w:rPr>
      </w:pPr>
      <w:bookmarkStart w:id="56" w:name="_bookmark55"/>
      <w:bookmarkEnd w:id="56"/>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5"/>
        </w:rPr>
        <w:t>CONTRACT</w:t>
      </w:r>
      <w:r>
        <w:rPr>
          <w:rFonts w:ascii="Times New Roman"/>
          <w:spacing w:val="4"/>
        </w:rPr>
        <w:t xml:space="preserve"> </w:t>
      </w:r>
      <w:r>
        <w:rPr>
          <w:rFonts w:ascii="Times New Roman"/>
          <w:spacing w:val="7"/>
        </w:rPr>
        <w:t>PERIOD</w:t>
      </w:r>
    </w:p>
    <w:p w:rsidR="008918FA" w:rsidRDefault="008918FA" w:rsidP="008918FA">
      <w:pPr>
        <w:spacing w:before="8"/>
        <w:rPr>
          <w:rFonts w:ascii="Times New Roman" w:eastAsia="Times New Roman" w:hAnsi="Times New Roman" w:cs="Times New Roman"/>
          <w:sz w:val="14"/>
          <w:szCs w:val="14"/>
        </w:rPr>
      </w:pPr>
    </w:p>
    <w:p w:rsidR="008918FA" w:rsidRDefault="008918FA" w:rsidP="008918FA">
      <w:pPr>
        <w:pStyle w:val="BodyText"/>
        <w:numPr>
          <w:ilvl w:val="2"/>
          <w:numId w:val="69"/>
        </w:numPr>
        <w:tabs>
          <w:tab w:val="left" w:pos="1049"/>
        </w:tabs>
        <w:spacing w:before="72"/>
        <w:ind w:left="1048" w:right="118"/>
      </w:pPr>
      <w:r>
        <w:rPr>
          <w:spacing w:val="-1"/>
        </w:rPr>
        <w:t>This</w:t>
      </w:r>
      <w:r>
        <w:rPr>
          <w:spacing w:val="22"/>
        </w:rPr>
        <w:t xml:space="preserve"> </w:t>
      </w:r>
      <w:r>
        <w:rPr>
          <w:spacing w:val="-2"/>
        </w:rPr>
        <w:t>Call</w:t>
      </w:r>
      <w:r>
        <w:rPr>
          <w:spacing w:val="21"/>
        </w:rPr>
        <w:t xml:space="preserve"> </w:t>
      </w:r>
      <w:r>
        <w:rPr>
          <w:spacing w:val="-1"/>
        </w:rPr>
        <w:t>Off</w:t>
      </w:r>
      <w:r>
        <w:rPr>
          <w:spacing w:val="23"/>
        </w:rPr>
        <w:t xml:space="preserve"> </w:t>
      </w:r>
      <w:r>
        <w:rPr>
          <w:spacing w:val="-1"/>
        </w:rPr>
        <w:t>Contract</w:t>
      </w:r>
      <w:r>
        <w:rPr>
          <w:spacing w:val="22"/>
        </w:rPr>
        <w:t xml:space="preserve"> </w:t>
      </w:r>
      <w:r>
        <w:rPr>
          <w:spacing w:val="-2"/>
        </w:rPr>
        <w:t>shall</w:t>
      </w:r>
      <w:r>
        <w:rPr>
          <w:spacing w:val="21"/>
        </w:rPr>
        <w:t xml:space="preserve"> </w:t>
      </w:r>
      <w:r>
        <w:rPr>
          <w:spacing w:val="-1"/>
        </w:rPr>
        <w:t>commence</w:t>
      </w:r>
      <w:r>
        <w:rPr>
          <w:spacing w:val="22"/>
        </w:rPr>
        <w:t xml:space="preserve"> </w:t>
      </w:r>
      <w:r>
        <w:rPr>
          <w:spacing w:val="-1"/>
        </w:rPr>
        <w:t>on</w:t>
      </w:r>
      <w:r>
        <w:rPr>
          <w:spacing w:val="19"/>
        </w:rPr>
        <w:t xml:space="preserve"> </w:t>
      </w:r>
      <w:r>
        <w:t>the</w:t>
      </w:r>
      <w:r>
        <w:rPr>
          <w:spacing w:val="20"/>
        </w:rPr>
        <w:t xml:space="preserve"> </w:t>
      </w:r>
      <w:r>
        <w:rPr>
          <w:spacing w:val="-2"/>
        </w:rPr>
        <w:t>Call</w:t>
      </w:r>
      <w:r>
        <w:rPr>
          <w:spacing w:val="21"/>
        </w:rPr>
        <w:t xml:space="preserve"> </w:t>
      </w:r>
      <w:r>
        <w:t>Off</w:t>
      </w:r>
      <w:r>
        <w:rPr>
          <w:spacing w:val="23"/>
        </w:rPr>
        <w:t xml:space="preserve"> </w:t>
      </w:r>
      <w:r>
        <w:rPr>
          <w:spacing w:val="-2"/>
        </w:rPr>
        <w:t>Commencement</w:t>
      </w:r>
      <w:r>
        <w:rPr>
          <w:spacing w:val="21"/>
        </w:rPr>
        <w:t xml:space="preserve"> </w:t>
      </w:r>
      <w:r>
        <w:rPr>
          <w:spacing w:val="-1"/>
        </w:rPr>
        <w:t>Date</w:t>
      </w:r>
      <w:r>
        <w:rPr>
          <w:spacing w:val="22"/>
        </w:rPr>
        <w:t xml:space="preserve"> </w:t>
      </w:r>
      <w:r>
        <w:rPr>
          <w:spacing w:val="-1"/>
        </w:rPr>
        <w:t>and</w:t>
      </w:r>
      <w:r>
        <w:rPr>
          <w:spacing w:val="68"/>
        </w:rPr>
        <w:t xml:space="preserve"> </w:t>
      </w:r>
      <w:r>
        <w:t>the</w:t>
      </w:r>
      <w:r>
        <w:rPr>
          <w:spacing w:val="-2"/>
        </w:rPr>
        <w:t xml:space="preserve"> </w:t>
      </w:r>
      <w:r>
        <w:rPr>
          <w:spacing w:val="-1"/>
        </w:rPr>
        <w:t>term</w:t>
      </w:r>
      <w:r>
        <w:rPr>
          <w:spacing w:val="2"/>
        </w:rPr>
        <w:t xml:space="preserve"> </w:t>
      </w:r>
      <w:r>
        <w:rPr>
          <w:spacing w:val="-2"/>
        </w:rPr>
        <w:t>of</w:t>
      </w:r>
      <w:r>
        <w:t xml:space="preserve"> </w:t>
      </w:r>
      <w:r>
        <w:rPr>
          <w:spacing w:val="-1"/>
        </w:rPr>
        <w:t>this</w:t>
      </w:r>
      <w:r>
        <w:rPr>
          <w:spacing w:val="1"/>
        </w:rPr>
        <w:t xml:space="preserve"> </w:t>
      </w:r>
      <w:r>
        <w:rPr>
          <w:spacing w:val="-2"/>
        </w:rPr>
        <w:t>Call</w:t>
      </w:r>
      <w:r>
        <w:rPr>
          <w:spacing w:val="-3"/>
        </w:rPr>
        <w:t xml:space="preserve"> </w:t>
      </w:r>
      <w:r>
        <w:rPr>
          <w:spacing w:val="-1"/>
        </w:rPr>
        <w:t>Off</w:t>
      </w:r>
      <w:r>
        <w:t xml:space="preserve"> </w:t>
      </w:r>
      <w:r>
        <w:rPr>
          <w:spacing w:val="-1"/>
        </w:rPr>
        <w:t>Contract</w:t>
      </w:r>
      <w:r>
        <w:rPr>
          <w:spacing w:val="2"/>
        </w:rPr>
        <w:t xml:space="preserve"> </w:t>
      </w:r>
      <w:r>
        <w:rPr>
          <w:spacing w:val="-1"/>
        </w:rPr>
        <w:t>shall</w:t>
      </w:r>
      <w:r>
        <w:t xml:space="preserve"> </w:t>
      </w:r>
      <w:r>
        <w:rPr>
          <w:spacing w:val="-1"/>
        </w:rPr>
        <w:t>be</w:t>
      </w:r>
      <w:r>
        <w:rPr>
          <w:spacing w:val="-2"/>
        </w:rPr>
        <w:t xml:space="preserve"> </w:t>
      </w:r>
      <w:r>
        <w:t>the</w:t>
      </w:r>
      <w:r>
        <w:rPr>
          <w:spacing w:val="-2"/>
        </w:rPr>
        <w:t xml:space="preserve"> Call</w:t>
      </w:r>
      <w:r>
        <w:t xml:space="preserve"> </w:t>
      </w:r>
      <w:r>
        <w:rPr>
          <w:spacing w:val="-1"/>
        </w:rPr>
        <w:t>Off</w:t>
      </w:r>
      <w:r>
        <w:rPr>
          <w:spacing w:val="2"/>
        </w:rPr>
        <w:t xml:space="preserve"> </w:t>
      </w:r>
      <w:r>
        <w:rPr>
          <w:spacing w:val="-2"/>
        </w:rPr>
        <w:t>Contract</w:t>
      </w:r>
      <w:r>
        <w:t xml:space="preserve"> </w:t>
      </w:r>
      <w:r>
        <w:rPr>
          <w:spacing w:val="-1"/>
        </w:rPr>
        <w:t>Period.</w:t>
      </w:r>
    </w:p>
    <w:p w:rsidR="008918FA" w:rsidRDefault="008918FA" w:rsidP="008918FA">
      <w:pPr>
        <w:spacing w:before="3"/>
        <w:rPr>
          <w:rFonts w:ascii="Arial" w:eastAsia="Arial" w:hAnsi="Arial" w:cs="Arial"/>
          <w:sz w:val="14"/>
          <w:szCs w:val="14"/>
        </w:rPr>
      </w:pPr>
    </w:p>
    <w:p w:rsidR="008918FA" w:rsidRDefault="008918FA" w:rsidP="008918FA">
      <w:pPr>
        <w:pStyle w:val="Heading1"/>
        <w:tabs>
          <w:tab w:val="left" w:pos="686"/>
        </w:tabs>
        <w:spacing w:before="72"/>
        <w:ind w:left="119" w:firstLine="0"/>
        <w:rPr>
          <w:b w:val="0"/>
          <w:bCs w:val="0"/>
        </w:rPr>
      </w:pPr>
      <w:bookmarkStart w:id="57" w:name="_bookmark56"/>
      <w:bookmarkEnd w:id="57"/>
      <w:r>
        <w:rPr>
          <w:color w:val="C00000"/>
          <w:spacing w:val="-1"/>
        </w:rPr>
        <w:t>C.</w:t>
      </w:r>
      <w:r>
        <w:rPr>
          <w:color w:val="C00000"/>
          <w:spacing w:val="-1"/>
        </w:rPr>
        <w:tab/>
      </w:r>
      <w:r w:rsidRPr="001C1527">
        <w:rPr>
          <w:color w:val="C00000"/>
          <w:spacing w:val="-2"/>
          <w:u w:val="single"/>
        </w:rPr>
        <w:t>CALL</w:t>
      </w:r>
      <w:r w:rsidRPr="001C1527">
        <w:rPr>
          <w:color w:val="C00000"/>
          <w:spacing w:val="1"/>
          <w:u w:val="single"/>
        </w:rPr>
        <w:t xml:space="preserve"> </w:t>
      </w:r>
      <w:r w:rsidRPr="001C1527">
        <w:rPr>
          <w:color w:val="C00000"/>
          <w:spacing w:val="-1"/>
          <w:u w:val="single"/>
        </w:rPr>
        <w:t>OFF</w:t>
      </w:r>
      <w:r w:rsidRPr="001C1527">
        <w:rPr>
          <w:color w:val="C00000"/>
          <w:spacing w:val="1"/>
          <w:u w:val="single"/>
        </w:rPr>
        <w:t xml:space="preserve"> </w:t>
      </w:r>
      <w:r w:rsidRPr="001C1527">
        <w:rPr>
          <w:color w:val="C00000"/>
          <w:spacing w:val="-1"/>
          <w:u w:val="single"/>
        </w:rPr>
        <w:t>CONTRACT</w:t>
      </w:r>
      <w:r w:rsidRPr="001C1527">
        <w:rPr>
          <w:color w:val="C00000"/>
          <w:spacing w:val="-2"/>
          <w:u w:val="single"/>
        </w:rPr>
        <w:t xml:space="preserve"> PERFORMANCE</w:t>
      </w:r>
    </w:p>
    <w:p w:rsidR="008918FA" w:rsidRDefault="008918FA" w:rsidP="008918FA">
      <w:pPr>
        <w:spacing w:before="9"/>
        <w:rPr>
          <w:rFonts w:ascii="Arial" w:eastAsia="Arial" w:hAnsi="Arial" w:cs="Arial"/>
          <w:b/>
          <w:bCs/>
          <w:sz w:val="14"/>
          <w:szCs w:val="14"/>
        </w:rPr>
      </w:pPr>
    </w:p>
    <w:p w:rsidR="008918FA" w:rsidRDefault="008918FA" w:rsidP="008918FA">
      <w:pPr>
        <w:pStyle w:val="BodyText"/>
        <w:numPr>
          <w:ilvl w:val="1"/>
          <w:numId w:val="69"/>
        </w:numPr>
        <w:tabs>
          <w:tab w:val="left" w:pos="687"/>
        </w:tabs>
        <w:spacing w:before="72"/>
        <w:ind w:left="686"/>
        <w:rPr>
          <w:rFonts w:ascii="Times New Roman" w:eastAsia="Times New Roman" w:hAnsi="Times New Roman" w:cs="Times New Roman"/>
        </w:rPr>
      </w:pPr>
      <w:bookmarkStart w:id="58" w:name="_bookmark57"/>
      <w:bookmarkEnd w:id="58"/>
      <w:r>
        <w:rPr>
          <w:rFonts w:ascii="Times New Roman"/>
          <w:spacing w:val="-8"/>
        </w:rPr>
        <w:t>IMP</w:t>
      </w:r>
      <w:r>
        <w:rPr>
          <w:rFonts w:ascii="Times New Roman"/>
          <w:spacing w:val="-32"/>
        </w:rPr>
        <w:t xml:space="preserve"> </w:t>
      </w:r>
      <w:r>
        <w:rPr>
          <w:rFonts w:ascii="Times New Roman"/>
        </w:rPr>
        <w:t>LEMENTATION</w:t>
      </w:r>
      <w:r>
        <w:rPr>
          <w:rFonts w:ascii="Times New Roman"/>
          <w:spacing w:val="5"/>
        </w:rPr>
        <w:t xml:space="preserve"> </w:t>
      </w:r>
      <w:r>
        <w:rPr>
          <w:rFonts w:ascii="Times New Roman"/>
          <w:spacing w:val="23"/>
        </w:rPr>
        <w:t>P</w:t>
      </w:r>
      <w:r>
        <w:rPr>
          <w:rFonts w:ascii="Times New Roman"/>
          <w:spacing w:val="-1"/>
        </w:rPr>
        <w:t>L</w:t>
      </w:r>
      <w:r>
        <w:rPr>
          <w:rFonts w:ascii="Times New Roman"/>
          <w:spacing w:val="-6"/>
        </w:rPr>
        <w:t>AN</w:t>
      </w:r>
    </w:p>
    <w:p w:rsidR="008918FA" w:rsidRDefault="008918FA" w:rsidP="008918FA">
      <w:pPr>
        <w:spacing w:before="7"/>
        <w:rPr>
          <w:rFonts w:ascii="Times New Roman" w:eastAsia="Times New Roman" w:hAnsi="Times New Roman" w:cs="Times New Roman"/>
          <w:sz w:val="14"/>
          <w:szCs w:val="14"/>
        </w:rPr>
      </w:pPr>
    </w:p>
    <w:p w:rsidR="008918FA" w:rsidRDefault="008918FA" w:rsidP="008918FA">
      <w:pPr>
        <w:pStyle w:val="BodyText"/>
        <w:numPr>
          <w:ilvl w:val="2"/>
          <w:numId w:val="69"/>
        </w:numPr>
        <w:tabs>
          <w:tab w:val="left" w:pos="1049"/>
        </w:tabs>
        <w:spacing w:before="72"/>
        <w:ind w:left="1048"/>
      </w:pPr>
      <w:r>
        <w:rPr>
          <w:spacing w:val="-1"/>
        </w:rPr>
        <w:t>Formation</w:t>
      </w:r>
      <w:r>
        <w:t xml:space="preserve"> </w:t>
      </w:r>
      <w:r>
        <w:rPr>
          <w:spacing w:val="-2"/>
        </w:rPr>
        <w:t>of</w:t>
      </w:r>
      <w:r>
        <w:rPr>
          <w:spacing w:val="2"/>
        </w:rPr>
        <w:t xml:space="preserve"> </w:t>
      </w:r>
      <w:r>
        <w:rPr>
          <w:spacing w:val="-1"/>
        </w:rPr>
        <w:t>Implementation</w:t>
      </w:r>
      <w:r>
        <w:t xml:space="preserve"> </w:t>
      </w:r>
      <w:r>
        <w:rPr>
          <w:spacing w:val="-2"/>
        </w:rPr>
        <w:t>Plan</w:t>
      </w:r>
    </w:p>
    <w:p w:rsidR="008918FA" w:rsidRDefault="008918FA" w:rsidP="008918FA">
      <w:pPr>
        <w:pStyle w:val="BodyText"/>
        <w:numPr>
          <w:ilvl w:val="3"/>
          <w:numId w:val="69"/>
        </w:numPr>
        <w:tabs>
          <w:tab w:val="left" w:pos="2247"/>
        </w:tabs>
        <w:spacing w:before="121"/>
        <w:ind w:left="2246" w:right="113"/>
        <w:jc w:val="both"/>
      </w:pPr>
      <w:r>
        <w:rPr>
          <w:spacing w:val="-1"/>
        </w:rPr>
        <w:t>Where</w:t>
      </w:r>
      <w:r>
        <w:rPr>
          <w:spacing w:val="10"/>
        </w:rPr>
        <w:t xml:space="preserve"> </w:t>
      </w:r>
      <w:r>
        <w:t>the</w:t>
      </w:r>
      <w:r>
        <w:rPr>
          <w:spacing w:val="12"/>
        </w:rPr>
        <w:t xml:space="preserve"> </w:t>
      </w:r>
      <w:r>
        <w:rPr>
          <w:spacing w:val="-1"/>
        </w:rPr>
        <w:t>Parties</w:t>
      </w:r>
      <w:r>
        <w:rPr>
          <w:spacing w:val="13"/>
        </w:rPr>
        <w:t xml:space="preserve"> </w:t>
      </w:r>
      <w:r>
        <w:rPr>
          <w:spacing w:val="-2"/>
        </w:rPr>
        <w:t>agreed</w:t>
      </w:r>
      <w:r>
        <w:rPr>
          <w:spacing w:val="12"/>
        </w:rPr>
        <w:t xml:space="preserve"> </w:t>
      </w:r>
      <w:r>
        <w:rPr>
          <w:spacing w:val="-1"/>
        </w:rPr>
        <w:t>in</w:t>
      </w:r>
      <w:r>
        <w:rPr>
          <w:spacing w:val="12"/>
        </w:rPr>
        <w:t xml:space="preserve"> </w:t>
      </w:r>
      <w:r>
        <w:t>the</w:t>
      </w:r>
      <w:r>
        <w:rPr>
          <w:spacing w:val="10"/>
        </w:rPr>
        <w:t xml:space="preserve"> </w:t>
      </w:r>
      <w:r>
        <w:rPr>
          <w:spacing w:val="-1"/>
        </w:rPr>
        <w:t>Order</w:t>
      </w:r>
      <w:r>
        <w:rPr>
          <w:spacing w:val="14"/>
        </w:rPr>
        <w:t xml:space="preserve"> </w:t>
      </w:r>
      <w:r>
        <w:rPr>
          <w:spacing w:val="-1"/>
        </w:rPr>
        <w:t>Form</w:t>
      </w:r>
      <w:r>
        <w:rPr>
          <w:spacing w:val="11"/>
        </w:rPr>
        <w:t xml:space="preserve"> </w:t>
      </w:r>
      <w:r>
        <w:rPr>
          <w:spacing w:val="-1"/>
        </w:rPr>
        <w:t>(or</w:t>
      </w:r>
      <w:r>
        <w:rPr>
          <w:spacing w:val="11"/>
        </w:rPr>
        <w:t xml:space="preserve"> </w:t>
      </w:r>
      <w:r>
        <w:rPr>
          <w:spacing w:val="-2"/>
        </w:rPr>
        <w:t>elsewhere</w:t>
      </w:r>
      <w:r>
        <w:rPr>
          <w:spacing w:val="12"/>
        </w:rPr>
        <w:t xml:space="preserve"> </w:t>
      </w:r>
      <w:r>
        <w:rPr>
          <w:spacing w:val="-1"/>
        </w:rPr>
        <w:t>in</w:t>
      </w:r>
      <w:r>
        <w:rPr>
          <w:spacing w:val="12"/>
        </w:rPr>
        <w:t xml:space="preserve"> </w:t>
      </w:r>
      <w:r>
        <w:rPr>
          <w:spacing w:val="-1"/>
        </w:rPr>
        <w:t>this</w:t>
      </w:r>
      <w:r>
        <w:rPr>
          <w:spacing w:val="13"/>
        </w:rPr>
        <w:t xml:space="preserve"> </w:t>
      </w:r>
      <w:r>
        <w:rPr>
          <w:spacing w:val="-2"/>
        </w:rPr>
        <w:t>Call</w:t>
      </w:r>
      <w:r>
        <w:rPr>
          <w:spacing w:val="51"/>
        </w:rPr>
        <w:t xml:space="preserve"> </w:t>
      </w:r>
      <w:r>
        <w:rPr>
          <w:spacing w:val="-1"/>
        </w:rPr>
        <w:t>Off</w:t>
      </w:r>
      <w:r>
        <w:rPr>
          <w:spacing w:val="35"/>
        </w:rPr>
        <w:t xml:space="preserve"> </w:t>
      </w:r>
      <w:r>
        <w:rPr>
          <w:spacing w:val="-1"/>
        </w:rPr>
        <w:t>Contract)</w:t>
      </w:r>
      <w:r>
        <w:rPr>
          <w:spacing w:val="33"/>
        </w:rPr>
        <w:t xml:space="preserve"> </w:t>
      </w:r>
      <w:r>
        <w:rPr>
          <w:spacing w:val="-1"/>
        </w:rPr>
        <w:t>that</w:t>
      </w:r>
      <w:r>
        <w:rPr>
          <w:spacing w:val="35"/>
        </w:rPr>
        <w:t xml:space="preserve"> </w:t>
      </w:r>
      <w:r>
        <w:rPr>
          <w:spacing w:val="-1"/>
        </w:rPr>
        <w:t>an</w:t>
      </w:r>
      <w:r>
        <w:rPr>
          <w:spacing w:val="31"/>
        </w:rPr>
        <w:t xml:space="preserve"> </w:t>
      </w:r>
      <w:r>
        <w:rPr>
          <w:spacing w:val="-1"/>
        </w:rPr>
        <w:t>Implementation</w:t>
      </w:r>
      <w:r>
        <w:rPr>
          <w:spacing w:val="34"/>
        </w:rPr>
        <w:t xml:space="preserve"> </w:t>
      </w:r>
      <w:r>
        <w:rPr>
          <w:spacing w:val="-1"/>
        </w:rPr>
        <w:t>Plan</w:t>
      </w:r>
      <w:r>
        <w:rPr>
          <w:spacing w:val="34"/>
        </w:rPr>
        <w:t xml:space="preserve"> </w:t>
      </w:r>
      <w:r>
        <w:rPr>
          <w:spacing w:val="-1"/>
        </w:rPr>
        <w:t>(or</w:t>
      </w:r>
      <w:r>
        <w:rPr>
          <w:spacing w:val="36"/>
        </w:rPr>
        <w:t xml:space="preserve"> </w:t>
      </w:r>
      <w:r>
        <w:rPr>
          <w:spacing w:val="-1"/>
        </w:rPr>
        <w:t>parts</w:t>
      </w:r>
      <w:r>
        <w:rPr>
          <w:spacing w:val="32"/>
        </w:rPr>
        <w:t xml:space="preserve"> </w:t>
      </w:r>
      <w:r>
        <w:rPr>
          <w:spacing w:val="-1"/>
        </w:rPr>
        <w:t>thereof)</w:t>
      </w:r>
      <w:r>
        <w:rPr>
          <w:spacing w:val="33"/>
        </w:rPr>
        <w:t xml:space="preserve"> </w:t>
      </w:r>
      <w:r>
        <w:rPr>
          <w:spacing w:val="-1"/>
        </w:rPr>
        <w:t>shall</w:t>
      </w:r>
      <w:r>
        <w:rPr>
          <w:spacing w:val="33"/>
        </w:rPr>
        <w:t xml:space="preserve"> </w:t>
      </w:r>
      <w:r>
        <w:rPr>
          <w:spacing w:val="-1"/>
        </w:rPr>
        <w:t>be</w:t>
      </w:r>
      <w:r>
        <w:rPr>
          <w:spacing w:val="30"/>
        </w:rPr>
        <w:t xml:space="preserve"> </w:t>
      </w:r>
      <w:r>
        <w:rPr>
          <w:spacing w:val="-2"/>
        </w:rPr>
        <w:t>provided</w:t>
      </w:r>
      <w:r>
        <w:rPr>
          <w:spacing w:val="41"/>
        </w:rPr>
        <w:t xml:space="preserve"> </w:t>
      </w:r>
      <w:r>
        <w:rPr>
          <w:spacing w:val="-1"/>
        </w:rPr>
        <w:t>in</w:t>
      </w:r>
      <w:r>
        <w:rPr>
          <w:spacing w:val="41"/>
        </w:rPr>
        <w:t xml:space="preserve"> </w:t>
      </w:r>
      <w:r>
        <w:t>draft</w:t>
      </w:r>
      <w:r>
        <w:rPr>
          <w:spacing w:val="42"/>
        </w:rPr>
        <w:t xml:space="preserve"> </w:t>
      </w:r>
      <w:r>
        <w:rPr>
          <w:spacing w:val="-1"/>
        </w:rPr>
        <w:t>by</w:t>
      </w:r>
      <w:r>
        <w:rPr>
          <w:spacing w:val="39"/>
        </w:rPr>
        <w:t xml:space="preserve"> </w:t>
      </w:r>
      <w:r>
        <w:t>the</w:t>
      </w:r>
      <w:r>
        <w:rPr>
          <w:spacing w:val="38"/>
        </w:rPr>
        <w:t xml:space="preserve"> </w:t>
      </w:r>
      <w:r>
        <w:rPr>
          <w:spacing w:val="-2"/>
        </w:rPr>
        <w:t>Supplier</w:t>
      </w:r>
      <w:r>
        <w:rPr>
          <w:spacing w:val="42"/>
        </w:rPr>
        <w:t xml:space="preserve"> </w:t>
      </w:r>
      <w:r>
        <w:rPr>
          <w:spacing w:val="-1"/>
        </w:rPr>
        <w:t>prior</w:t>
      </w:r>
      <w:r>
        <w:rPr>
          <w:spacing w:val="43"/>
        </w:rPr>
        <w:t xml:space="preserve"> </w:t>
      </w:r>
      <w:r>
        <w:t>to</w:t>
      </w:r>
      <w:r>
        <w:rPr>
          <w:spacing w:val="41"/>
        </w:rPr>
        <w:t xml:space="preserve"> </w:t>
      </w:r>
      <w:r>
        <w:t>the</w:t>
      </w:r>
      <w:r>
        <w:rPr>
          <w:spacing w:val="41"/>
        </w:rPr>
        <w:t xml:space="preserve"> </w:t>
      </w:r>
      <w:r>
        <w:rPr>
          <w:spacing w:val="-2"/>
        </w:rPr>
        <w:t>commencement</w:t>
      </w:r>
      <w:r>
        <w:rPr>
          <w:spacing w:val="42"/>
        </w:rPr>
        <w:t xml:space="preserve"> </w:t>
      </w:r>
      <w:r>
        <w:rPr>
          <w:spacing w:val="-2"/>
        </w:rPr>
        <w:t>of</w:t>
      </w:r>
      <w:r>
        <w:rPr>
          <w:spacing w:val="42"/>
        </w:rPr>
        <w:t xml:space="preserve"> </w:t>
      </w:r>
      <w:r>
        <w:rPr>
          <w:spacing w:val="-1"/>
        </w:rPr>
        <w:t>the</w:t>
      </w:r>
      <w:r>
        <w:rPr>
          <w:spacing w:val="62"/>
        </w:rPr>
        <w:t xml:space="preserve"> </w:t>
      </w:r>
      <w:r>
        <w:rPr>
          <w:spacing w:val="-2"/>
        </w:rPr>
        <w:t>provision</w:t>
      </w:r>
      <w:r>
        <w:rPr>
          <w:spacing w:val="9"/>
        </w:rPr>
        <w:t xml:space="preserve"> </w:t>
      </w:r>
      <w:r>
        <w:rPr>
          <w:spacing w:val="-1"/>
        </w:rPr>
        <w:t>of</w:t>
      </w:r>
      <w:r>
        <w:rPr>
          <w:spacing w:val="13"/>
        </w:rPr>
        <w:t xml:space="preserve"> </w:t>
      </w:r>
      <w:r>
        <w:t>the</w:t>
      </w:r>
      <w:r>
        <w:rPr>
          <w:spacing w:val="7"/>
        </w:rPr>
        <w:t xml:space="preserve"> </w:t>
      </w:r>
      <w:r>
        <w:rPr>
          <w:spacing w:val="-1"/>
        </w:rPr>
        <w:t>Goods</w:t>
      </w:r>
      <w:r>
        <w:rPr>
          <w:spacing w:val="7"/>
        </w:rPr>
        <w:t xml:space="preserve"> </w:t>
      </w:r>
      <w:r>
        <w:rPr>
          <w:spacing w:val="-1"/>
        </w:rPr>
        <w:t>and/or</w:t>
      </w:r>
      <w:r>
        <w:rPr>
          <w:spacing w:val="10"/>
        </w:rPr>
        <w:t xml:space="preserve"> </w:t>
      </w:r>
      <w:r>
        <w:rPr>
          <w:spacing w:val="-1"/>
        </w:rPr>
        <w:t>Services,</w:t>
      </w:r>
      <w:r>
        <w:rPr>
          <w:spacing w:val="8"/>
        </w:rPr>
        <w:t xml:space="preserve"> </w:t>
      </w:r>
      <w:r>
        <w:t>the</w:t>
      </w:r>
      <w:r>
        <w:rPr>
          <w:spacing w:val="6"/>
        </w:rPr>
        <w:t xml:space="preserve"> </w:t>
      </w:r>
      <w:r>
        <w:rPr>
          <w:spacing w:val="-2"/>
        </w:rPr>
        <w:t>Supplier’s</w:t>
      </w:r>
      <w:r>
        <w:rPr>
          <w:spacing w:val="9"/>
        </w:rPr>
        <w:t xml:space="preserve"> </w:t>
      </w:r>
      <w:r>
        <w:rPr>
          <w:spacing w:val="-1"/>
        </w:rPr>
        <w:t>draft</w:t>
      </w:r>
      <w:r>
        <w:rPr>
          <w:spacing w:val="8"/>
        </w:rPr>
        <w:t xml:space="preserve"> </w:t>
      </w:r>
      <w:r>
        <w:rPr>
          <w:spacing w:val="-1"/>
        </w:rPr>
        <w:t>must</w:t>
      </w:r>
      <w:r>
        <w:rPr>
          <w:spacing w:val="60"/>
        </w:rPr>
        <w:t xml:space="preserve"> </w:t>
      </w:r>
      <w:r>
        <w:rPr>
          <w:spacing w:val="-1"/>
        </w:rPr>
        <w:t>contain</w:t>
      </w:r>
      <w:r>
        <w:rPr>
          <w:spacing w:val="55"/>
        </w:rPr>
        <w:t xml:space="preserve"> </w:t>
      </w:r>
      <w:r>
        <w:rPr>
          <w:spacing w:val="-1"/>
        </w:rPr>
        <w:t>information</w:t>
      </w:r>
      <w:r>
        <w:rPr>
          <w:spacing w:val="55"/>
        </w:rPr>
        <w:t xml:space="preserve"> </w:t>
      </w:r>
      <w:r>
        <w:rPr>
          <w:spacing w:val="-1"/>
        </w:rPr>
        <w:t>at</w:t>
      </w:r>
      <w:r>
        <w:rPr>
          <w:spacing w:val="57"/>
        </w:rPr>
        <w:t xml:space="preserve"> </w:t>
      </w:r>
      <w:r>
        <w:rPr>
          <w:spacing w:val="-1"/>
        </w:rPr>
        <w:t>the</w:t>
      </w:r>
      <w:r>
        <w:rPr>
          <w:spacing w:val="55"/>
        </w:rPr>
        <w:t xml:space="preserve"> </w:t>
      </w:r>
      <w:r>
        <w:rPr>
          <w:spacing w:val="-1"/>
        </w:rPr>
        <w:t>level</w:t>
      </w:r>
      <w:r>
        <w:rPr>
          <w:spacing w:val="55"/>
        </w:rPr>
        <w:t xml:space="preserve"> </w:t>
      </w:r>
      <w:r>
        <w:rPr>
          <w:spacing w:val="-1"/>
        </w:rPr>
        <w:t>of</w:t>
      </w:r>
      <w:r>
        <w:rPr>
          <w:spacing w:val="59"/>
        </w:rPr>
        <w:t xml:space="preserve"> </w:t>
      </w:r>
      <w:r>
        <w:rPr>
          <w:spacing w:val="-1"/>
        </w:rPr>
        <w:t>detail</w:t>
      </w:r>
      <w:r>
        <w:rPr>
          <w:spacing w:val="56"/>
        </w:rPr>
        <w:t xml:space="preserve"> </w:t>
      </w:r>
      <w:r>
        <w:rPr>
          <w:spacing w:val="-1"/>
        </w:rPr>
        <w:t>necessary</w:t>
      </w:r>
      <w:r>
        <w:rPr>
          <w:spacing w:val="53"/>
        </w:rPr>
        <w:t xml:space="preserve"> </w:t>
      </w:r>
      <w:r>
        <w:t>to</w:t>
      </w:r>
      <w:r>
        <w:rPr>
          <w:spacing w:val="55"/>
        </w:rPr>
        <w:t xml:space="preserve"> </w:t>
      </w:r>
      <w:r>
        <w:rPr>
          <w:spacing w:val="-1"/>
        </w:rPr>
        <w:t>manage</w:t>
      </w:r>
      <w:r>
        <w:rPr>
          <w:spacing w:val="55"/>
        </w:rPr>
        <w:t xml:space="preserve"> </w:t>
      </w:r>
      <w:r>
        <w:rPr>
          <w:spacing w:val="-1"/>
        </w:rPr>
        <w:t>the</w:t>
      </w:r>
    </w:p>
    <w:p w:rsidR="008918FA" w:rsidRDefault="008918FA" w:rsidP="008918FA">
      <w:pPr>
        <w:jc w:val="both"/>
        <w:sectPr w:rsidR="008918FA">
          <w:pgSz w:w="11910" w:h="16840"/>
          <w:pgMar w:top="1480" w:right="1300" w:bottom="1180" w:left="1320" w:header="0" w:footer="987" w:gutter="0"/>
          <w:cols w:space="720"/>
        </w:sectPr>
      </w:pPr>
    </w:p>
    <w:p w:rsidR="008918FA" w:rsidRDefault="008918FA" w:rsidP="008918FA">
      <w:pPr>
        <w:pStyle w:val="BodyText"/>
        <w:spacing w:before="59"/>
        <w:ind w:right="114" w:firstLine="0"/>
        <w:jc w:val="both"/>
      </w:pPr>
      <w:r>
        <w:rPr>
          <w:spacing w:val="-1"/>
        </w:rPr>
        <w:lastRenderedPageBreak/>
        <w:t>implementation</w:t>
      </w:r>
      <w:r>
        <w:rPr>
          <w:spacing w:val="51"/>
        </w:rPr>
        <w:t xml:space="preserve"> </w:t>
      </w:r>
      <w:r>
        <w:rPr>
          <w:spacing w:val="-1"/>
        </w:rPr>
        <w:t>stage</w:t>
      </w:r>
      <w:r>
        <w:rPr>
          <w:spacing w:val="48"/>
        </w:rPr>
        <w:t xml:space="preserve"> </w:t>
      </w:r>
      <w:r>
        <w:rPr>
          <w:spacing w:val="-1"/>
        </w:rPr>
        <w:t>effectively</w:t>
      </w:r>
      <w:r>
        <w:rPr>
          <w:spacing w:val="49"/>
        </w:rPr>
        <w:t xml:space="preserve"> </w:t>
      </w:r>
      <w:r>
        <w:rPr>
          <w:spacing w:val="-1"/>
        </w:rPr>
        <w:t>and</w:t>
      </w:r>
      <w:r>
        <w:rPr>
          <w:spacing w:val="51"/>
        </w:rPr>
        <w:t xml:space="preserve"> </w:t>
      </w:r>
      <w:r>
        <w:rPr>
          <w:spacing w:val="-1"/>
        </w:rPr>
        <w:t>as</w:t>
      </w:r>
      <w:r>
        <w:rPr>
          <w:spacing w:val="51"/>
        </w:rPr>
        <w:t xml:space="preserve"> </w:t>
      </w:r>
      <w:r>
        <w:t>the</w:t>
      </w:r>
      <w:r>
        <w:rPr>
          <w:spacing w:val="51"/>
        </w:rPr>
        <w:t xml:space="preserve"> </w:t>
      </w:r>
      <w:r>
        <w:rPr>
          <w:spacing w:val="-2"/>
        </w:rPr>
        <w:t>Customer</w:t>
      </w:r>
      <w:r>
        <w:rPr>
          <w:spacing w:val="50"/>
        </w:rPr>
        <w:t xml:space="preserve"> </w:t>
      </w:r>
      <w:r>
        <w:rPr>
          <w:spacing w:val="-1"/>
        </w:rPr>
        <w:t>may</w:t>
      </w:r>
      <w:r>
        <w:rPr>
          <w:spacing w:val="49"/>
        </w:rPr>
        <w:t xml:space="preserve"> </w:t>
      </w:r>
      <w:r>
        <w:rPr>
          <w:spacing w:val="-1"/>
        </w:rPr>
        <w:t>require.</w:t>
      </w:r>
      <w:r>
        <w:rPr>
          <w:spacing w:val="39"/>
        </w:rPr>
        <w:t xml:space="preserve"> </w:t>
      </w:r>
      <w:r>
        <w:t>The</w:t>
      </w:r>
      <w:r>
        <w:rPr>
          <w:spacing w:val="22"/>
        </w:rPr>
        <w:t xml:space="preserve"> </w:t>
      </w:r>
      <w:r>
        <w:rPr>
          <w:spacing w:val="-1"/>
        </w:rPr>
        <w:t>draft</w:t>
      </w:r>
      <w:r>
        <w:rPr>
          <w:spacing w:val="21"/>
        </w:rPr>
        <w:t xml:space="preserve"> </w:t>
      </w:r>
      <w:r>
        <w:rPr>
          <w:spacing w:val="-1"/>
        </w:rPr>
        <w:t>Implementation</w:t>
      </w:r>
      <w:r>
        <w:rPr>
          <w:spacing w:val="22"/>
        </w:rPr>
        <w:t xml:space="preserve"> </w:t>
      </w:r>
      <w:r>
        <w:rPr>
          <w:spacing w:val="-1"/>
        </w:rPr>
        <w:t>Plan</w:t>
      </w:r>
      <w:r>
        <w:rPr>
          <w:spacing w:val="22"/>
        </w:rPr>
        <w:t xml:space="preserve"> </w:t>
      </w:r>
      <w:r>
        <w:rPr>
          <w:spacing w:val="-1"/>
        </w:rPr>
        <w:t>shall</w:t>
      </w:r>
      <w:r>
        <w:rPr>
          <w:spacing w:val="21"/>
        </w:rPr>
        <w:t xml:space="preserve"> </w:t>
      </w:r>
      <w:r>
        <w:t>take</w:t>
      </w:r>
      <w:r>
        <w:rPr>
          <w:spacing w:val="22"/>
        </w:rPr>
        <w:t xml:space="preserve"> </w:t>
      </w:r>
      <w:r>
        <w:rPr>
          <w:spacing w:val="-2"/>
        </w:rPr>
        <w:t>account</w:t>
      </w:r>
      <w:r>
        <w:rPr>
          <w:spacing w:val="23"/>
        </w:rPr>
        <w:t xml:space="preserve"> </w:t>
      </w:r>
      <w:r>
        <w:rPr>
          <w:spacing w:val="-2"/>
        </w:rPr>
        <w:t>of</w:t>
      </w:r>
      <w:r>
        <w:rPr>
          <w:spacing w:val="23"/>
        </w:rPr>
        <w:t xml:space="preserve"> </w:t>
      </w:r>
      <w:r>
        <w:rPr>
          <w:spacing w:val="-1"/>
        </w:rPr>
        <w:t>all</w:t>
      </w:r>
      <w:r>
        <w:rPr>
          <w:spacing w:val="21"/>
        </w:rPr>
        <w:t xml:space="preserve"> </w:t>
      </w:r>
      <w:r>
        <w:rPr>
          <w:spacing w:val="-1"/>
        </w:rPr>
        <w:t>dependencies</w:t>
      </w:r>
      <w:r>
        <w:rPr>
          <w:spacing w:val="30"/>
        </w:rPr>
        <w:t xml:space="preserve"> </w:t>
      </w:r>
      <w:r>
        <w:rPr>
          <w:spacing w:val="-1"/>
        </w:rPr>
        <w:t>known</w:t>
      </w:r>
      <w:r>
        <w:t xml:space="preserve"> </w:t>
      </w:r>
      <w:r>
        <w:rPr>
          <w:spacing w:val="-1"/>
        </w:rPr>
        <w:t>to,</w:t>
      </w:r>
      <w:r>
        <w:rPr>
          <w:spacing w:val="2"/>
        </w:rPr>
        <w:t xml:space="preserve"> </w:t>
      </w:r>
      <w:r>
        <w:rPr>
          <w:spacing w:val="-2"/>
        </w:rPr>
        <w:t>or</w:t>
      </w:r>
      <w:r>
        <w:rPr>
          <w:spacing w:val="2"/>
        </w:rPr>
        <w:t xml:space="preserve"> </w:t>
      </w:r>
      <w:r>
        <w:rPr>
          <w:spacing w:val="-2"/>
        </w:rPr>
        <w:t>which</w:t>
      </w:r>
      <w:r>
        <w:rPr>
          <w:spacing w:val="1"/>
        </w:rPr>
        <w:t xml:space="preserve"> </w:t>
      </w:r>
      <w:r>
        <w:rPr>
          <w:spacing w:val="-1"/>
        </w:rPr>
        <w:t>should</w:t>
      </w:r>
      <w:r>
        <w:t xml:space="preserve"> </w:t>
      </w:r>
      <w:r>
        <w:rPr>
          <w:spacing w:val="-1"/>
        </w:rPr>
        <w:t>reasonably</w:t>
      </w:r>
      <w:r>
        <w:rPr>
          <w:spacing w:val="-2"/>
        </w:rPr>
        <w:t xml:space="preserve"> </w:t>
      </w:r>
      <w:r>
        <w:rPr>
          <w:spacing w:val="-1"/>
        </w:rPr>
        <w:t>be</w:t>
      </w:r>
      <w:r>
        <w:rPr>
          <w:spacing w:val="-2"/>
        </w:rPr>
        <w:t xml:space="preserve"> </w:t>
      </w:r>
      <w:r>
        <w:rPr>
          <w:spacing w:val="-1"/>
        </w:rPr>
        <w:t>known</w:t>
      </w:r>
      <w:r>
        <w:t xml:space="preserve"> </w:t>
      </w:r>
      <w:r>
        <w:rPr>
          <w:spacing w:val="-1"/>
        </w:rPr>
        <w:t>to,</w:t>
      </w:r>
      <w:r>
        <w:rPr>
          <w:spacing w:val="1"/>
        </w:rPr>
        <w:t xml:space="preserve"> </w:t>
      </w:r>
      <w:r>
        <w:t xml:space="preserve">the </w:t>
      </w:r>
      <w:r>
        <w:rPr>
          <w:spacing w:val="-1"/>
        </w:rPr>
        <w:t>Supplier.</w:t>
      </w:r>
    </w:p>
    <w:p w:rsidR="008918FA" w:rsidRDefault="008918FA" w:rsidP="008918FA">
      <w:pPr>
        <w:pStyle w:val="BodyText"/>
        <w:numPr>
          <w:ilvl w:val="3"/>
          <w:numId w:val="69"/>
        </w:numPr>
        <w:tabs>
          <w:tab w:val="left" w:pos="1887"/>
        </w:tabs>
        <w:ind w:left="1886" w:right="114"/>
        <w:jc w:val="both"/>
      </w:pPr>
      <w:r>
        <w:t>The</w:t>
      </w:r>
      <w:r>
        <w:rPr>
          <w:spacing w:val="38"/>
        </w:rPr>
        <w:t xml:space="preserve"> </w:t>
      </w:r>
      <w:r>
        <w:rPr>
          <w:spacing w:val="-2"/>
        </w:rPr>
        <w:t>Supplier</w:t>
      </w:r>
      <w:r>
        <w:rPr>
          <w:spacing w:val="39"/>
        </w:rPr>
        <w:t xml:space="preserve"> </w:t>
      </w:r>
      <w:r>
        <w:rPr>
          <w:spacing w:val="-1"/>
        </w:rPr>
        <w:t>shall</w:t>
      </w:r>
      <w:r>
        <w:rPr>
          <w:spacing w:val="37"/>
        </w:rPr>
        <w:t xml:space="preserve"> </w:t>
      </w:r>
      <w:r>
        <w:rPr>
          <w:spacing w:val="-1"/>
        </w:rPr>
        <w:t>submit</w:t>
      </w:r>
      <w:r>
        <w:rPr>
          <w:spacing w:val="39"/>
        </w:rPr>
        <w:t xml:space="preserve"> </w:t>
      </w:r>
      <w:r>
        <w:t>the</w:t>
      </w:r>
      <w:r>
        <w:rPr>
          <w:spacing w:val="37"/>
        </w:rPr>
        <w:t xml:space="preserve"> </w:t>
      </w:r>
      <w:r>
        <w:rPr>
          <w:spacing w:val="-1"/>
        </w:rPr>
        <w:t>draft</w:t>
      </w:r>
      <w:r>
        <w:rPr>
          <w:spacing w:val="39"/>
        </w:rPr>
        <w:t xml:space="preserve"> </w:t>
      </w:r>
      <w:r>
        <w:rPr>
          <w:spacing w:val="-1"/>
        </w:rPr>
        <w:t>Implementation</w:t>
      </w:r>
      <w:r>
        <w:rPr>
          <w:spacing w:val="38"/>
        </w:rPr>
        <w:t xml:space="preserve"> </w:t>
      </w:r>
      <w:r>
        <w:rPr>
          <w:spacing w:val="-1"/>
        </w:rPr>
        <w:t>Plan</w:t>
      </w:r>
      <w:r>
        <w:rPr>
          <w:spacing w:val="37"/>
        </w:rPr>
        <w:t xml:space="preserve"> </w:t>
      </w:r>
      <w:r>
        <w:t>to</w:t>
      </w:r>
      <w:r>
        <w:rPr>
          <w:spacing w:val="37"/>
        </w:rPr>
        <w:t xml:space="preserve"> </w:t>
      </w:r>
      <w:r>
        <w:rPr>
          <w:spacing w:val="-1"/>
        </w:rPr>
        <w:t>the</w:t>
      </w:r>
      <w:r>
        <w:rPr>
          <w:spacing w:val="40"/>
        </w:rPr>
        <w:t xml:space="preserve"> </w:t>
      </w:r>
      <w:r>
        <w:rPr>
          <w:spacing w:val="-1"/>
        </w:rPr>
        <w:t>Customer</w:t>
      </w:r>
      <w:r>
        <w:rPr>
          <w:spacing w:val="23"/>
        </w:rPr>
        <w:t xml:space="preserve"> </w:t>
      </w:r>
      <w:r>
        <w:t>for</w:t>
      </w:r>
      <w:r>
        <w:rPr>
          <w:spacing w:val="26"/>
        </w:rPr>
        <w:t xml:space="preserve"> </w:t>
      </w:r>
      <w:r>
        <w:rPr>
          <w:spacing w:val="-2"/>
        </w:rPr>
        <w:t>Approval</w:t>
      </w:r>
      <w:r>
        <w:rPr>
          <w:spacing w:val="24"/>
        </w:rPr>
        <w:t xml:space="preserve"> </w:t>
      </w:r>
      <w:r>
        <w:rPr>
          <w:spacing w:val="-1"/>
        </w:rPr>
        <w:t>(such</w:t>
      </w:r>
      <w:r>
        <w:rPr>
          <w:spacing w:val="25"/>
        </w:rPr>
        <w:t xml:space="preserve"> </w:t>
      </w:r>
      <w:r>
        <w:rPr>
          <w:spacing w:val="-1"/>
        </w:rPr>
        <w:t>decision</w:t>
      </w:r>
      <w:r>
        <w:rPr>
          <w:spacing w:val="24"/>
        </w:rPr>
        <w:t xml:space="preserve"> </w:t>
      </w:r>
      <w:r>
        <w:rPr>
          <w:spacing w:val="-2"/>
        </w:rPr>
        <w:t>of</w:t>
      </w:r>
      <w:r>
        <w:rPr>
          <w:spacing w:val="26"/>
        </w:rPr>
        <w:t xml:space="preserve"> </w:t>
      </w:r>
      <w:r>
        <w:t>the</w:t>
      </w:r>
      <w:r>
        <w:rPr>
          <w:spacing w:val="24"/>
        </w:rPr>
        <w:t xml:space="preserve"> </w:t>
      </w:r>
      <w:r>
        <w:rPr>
          <w:spacing w:val="-2"/>
        </w:rPr>
        <w:t>Customer</w:t>
      </w:r>
      <w:r>
        <w:rPr>
          <w:spacing w:val="23"/>
        </w:rPr>
        <w:t xml:space="preserve"> </w:t>
      </w:r>
      <w:r>
        <w:t>to</w:t>
      </w:r>
      <w:r>
        <w:rPr>
          <w:spacing w:val="24"/>
        </w:rPr>
        <w:t xml:space="preserve"> </w:t>
      </w:r>
      <w:r>
        <w:rPr>
          <w:spacing w:val="-1"/>
        </w:rPr>
        <w:t>Approve</w:t>
      </w:r>
      <w:r>
        <w:rPr>
          <w:spacing w:val="24"/>
        </w:rPr>
        <w:t xml:space="preserve"> </w:t>
      </w:r>
      <w:r>
        <w:rPr>
          <w:spacing w:val="-1"/>
        </w:rPr>
        <w:t>or</w:t>
      </w:r>
      <w:r>
        <w:rPr>
          <w:spacing w:val="40"/>
        </w:rPr>
        <w:t xml:space="preserve"> </w:t>
      </w:r>
      <w:r>
        <w:rPr>
          <w:spacing w:val="-1"/>
        </w:rPr>
        <w:t>not</w:t>
      </w:r>
      <w:r>
        <w:rPr>
          <w:spacing w:val="21"/>
        </w:rPr>
        <w:t xml:space="preserve"> </w:t>
      </w:r>
      <w:r>
        <w:rPr>
          <w:spacing w:val="-1"/>
        </w:rPr>
        <w:t>shall</w:t>
      </w:r>
      <w:r>
        <w:rPr>
          <w:spacing w:val="19"/>
        </w:rPr>
        <w:t xml:space="preserve"> </w:t>
      </w:r>
      <w:r>
        <w:rPr>
          <w:spacing w:val="-1"/>
        </w:rPr>
        <w:t>not</w:t>
      </w:r>
      <w:r>
        <w:rPr>
          <w:spacing w:val="19"/>
        </w:rPr>
        <w:t xml:space="preserve"> </w:t>
      </w:r>
      <w:r>
        <w:rPr>
          <w:spacing w:val="-1"/>
        </w:rPr>
        <w:t>be</w:t>
      </w:r>
      <w:r>
        <w:rPr>
          <w:spacing w:val="20"/>
        </w:rPr>
        <w:t xml:space="preserve"> </w:t>
      </w:r>
      <w:r>
        <w:rPr>
          <w:spacing w:val="-2"/>
        </w:rPr>
        <w:t>unreasonably</w:t>
      </w:r>
      <w:r>
        <w:rPr>
          <w:spacing w:val="18"/>
        </w:rPr>
        <w:t xml:space="preserve"> </w:t>
      </w:r>
      <w:r>
        <w:rPr>
          <w:spacing w:val="-1"/>
        </w:rPr>
        <w:t>delayed</w:t>
      </w:r>
      <w:r>
        <w:rPr>
          <w:spacing w:val="20"/>
        </w:rPr>
        <w:t xml:space="preserve"> </w:t>
      </w:r>
      <w:r>
        <w:rPr>
          <w:spacing w:val="-1"/>
        </w:rPr>
        <w:t>or</w:t>
      </w:r>
      <w:r>
        <w:rPr>
          <w:spacing w:val="21"/>
        </w:rPr>
        <w:t xml:space="preserve"> </w:t>
      </w:r>
      <w:r>
        <w:rPr>
          <w:spacing w:val="-1"/>
        </w:rPr>
        <w:t>withheld)</w:t>
      </w:r>
      <w:r>
        <w:rPr>
          <w:spacing w:val="21"/>
        </w:rPr>
        <w:t xml:space="preserve"> </w:t>
      </w:r>
      <w:r>
        <w:rPr>
          <w:spacing w:val="-2"/>
        </w:rPr>
        <w:t>within</w:t>
      </w:r>
      <w:r>
        <w:rPr>
          <w:spacing w:val="20"/>
        </w:rPr>
        <w:t xml:space="preserve"> </w:t>
      </w:r>
      <w:r>
        <w:t>such</w:t>
      </w:r>
      <w:r>
        <w:rPr>
          <w:spacing w:val="20"/>
        </w:rPr>
        <w:t xml:space="preserve"> </w:t>
      </w:r>
      <w:r>
        <w:rPr>
          <w:spacing w:val="-1"/>
        </w:rPr>
        <w:t>period</w:t>
      </w:r>
      <w:r>
        <w:rPr>
          <w:spacing w:val="40"/>
        </w:rPr>
        <w:t xml:space="preserve"> </w:t>
      </w:r>
      <w:r>
        <w:rPr>
          <w:spacing w:val="-1"/>
        </w:rPr>
        <w:t>as</w:t>
      </w:r>
      <w:r>
        <w:rPr>
          <w:spacing w:val="20"/>
        </w:rPr>
        <w:t xml:space="preserve"> </w:t>
      </w:r>
      <w:r>
        <w:rPr>
          <w:spacing w:val="-1"/>
        </w:rPr>
        <w:t>specified</w:t>
      </w:r>
      <w:r>
        <w:rPr>
          <w:spacing w:val="19"/>
        </w:rPr>
        <w:t xml:space="preserve"> </w:t>
      </w:r>
      <w:r>
        <w:rPr>
          <w:spacing w:val="-1"/>
        </w:rPr>
        <w:t>by</w:t>
      </w:r>
      <w:r>
        <w:rPr>
          <w:spacing w:val="18"/>
        </w:rPr>
        <w:t xml:space="preserve"> </w:t>
      </w:r>
      <w:r>
        <w:t>the</w:t>
      </w:r>
      <w:r>
        <w:rPr>
          <w:spacing w:val="19"/>
        </w:rPr>
        <w:t xml:space="preserve"> </w:t>
      </w:r>
      <w:r>
        <w:rPr>
          <w:spacing w:val="-1"/>
        </w:rPr>
        <w:t>Customer</w:t>
      </w:r>
      <w:r>
        <w:rPr>
          <w:spacing w:val="21"/>
        </w:rPr>
        <w:t xml:space="preserve"> </w:t>
      </w:r>
      <w:r>
        <w:rPr>
          <w:spacing w:val="-1"/>
        </w:rPr>
        <w:t>in</w:t>
      </w:r>
      <w:r>
        <w:rPr>
          <w:spacing w:val="20"/>
        </w:rPr>
        <w:t xml:space="preserve"> </w:t>
      </w:r>
      <w:r>
        <w:t>the</w:t>
      </w:r>
      <w:r>
        <w:rPr>
          <w:spacing w:val="19"/>
        </w:rPr>
        <w:t xml:space="preserve"> </w:t>
      </w:r>
      <w:r>
        <w:rPr>
          <w:spacing w:val="-1"/>
        </w:rPr>
        <w:t>Order</w:t>
      </w:r>
      <w:r>
        <w:rPr>
          <w:spacing w:val="21"/>
        </w:rPr>
        <w:t xml:space="preserve"> </w:t>
      </w:r>
      <w:r>
        <w:rPr>
          <w:spacing w:val="-1"/>
        </w:rPr>
        <w:t>Form</w:t>
      </w:r>
      <w:r>
        <w:rPr>
          <w:spacing w:val="20"/>
        </w:rPr>
        <w:t xml:space="preserve"> </w:t>
      </w:r>
      <w:r>
        <w:rPr>
          <w:spacing w:val="-1"/>
        </w:rPr>
        <w:t>(or</w:t>
      </w:r>
      <w:r>
        <w:rPr>
          <w:spacing w:val="21"/>
        </w:rPr>
        <w:t xml:space="preserve"> </w:t>
      </w:r>
      <w:r>
        <w:rPr>
          <w:spacing w:val="-2"/>
        </w:rPr>
        <w:t>elsewhere</w:t>
      </w:r>
      <w:r>
        <w:rPr>
          <w:spacing w:val="22"/>
        </w:rPr>
        <w:t xml:space="preserve"> </w:t>
      </w:r>
      <w:r>
        <w:rPr>
          <w:spacing w:val="-1"/>
        </w:rPr>
        <w:t>in</w:t>
      </w:r>
      <w:r>
        <w:rPr>
          <w:spacing w:val="20"/>
        </w:rPr>
        <w:t xml:space="preserve"> </w:t>
      </w:r>
      <w:r>
        <w:rPr>
          <w:spacing w:val="-1"/>
        </w:rPr>
        <w:t>this</w:t>
      </w:r>
      <w:r>
        <w:rPr>
          <w:spacing w:val="53"/>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3"/>
          <w:numId w:val="69"/>
        </w:numPr>
        <w:tabs>
          <w:tab w:val="left" w:pos="1887"/>
        </w:tabs>
        <w:ind w:left="1886" w:right="115" w:hanging="993"/>
        <w:jc w:val="both"/>
      </w:pPr>
      <w:r>
        <w:t>The</w:t>
      </w:r>
      <w:r>
        <w:rPr>
          <w:spacing w:val="36"/>
        </w:rPr>
        <w:t xml:space="preserve"> </w:t>
      </w:r>
      <w:r>
        <w:rPr>
          <w:spacing w:val="-2"/>
        </w:rPr>
        <w:t>Supplier</w:t>
      </w:r>
      <w:r>
        <w:rPr>
          <w:spacing w:val="38"/>
        </w:rPr>
        <w:t xml:space="preserve"> </w:t>
      </w:r>
      <w:r>
        <w:rPr>
          <w:spacing w:val="-1"/>
        </w:rPr>
        <w:t>shall</w:t>
      </w:r>
      <w:r>
        <w:rPr>
          <w:spacing w:val="36"/>
        </w:rPr>
        <w:t xml:space="preserve"> </w:t>
      </w:r>
      <w:r>
        <w:rPr>
          <w:spacing w:val="-1"/>
        </w:rPr>
        <w:t>perform</w:t>
      </w:r>
      <w:r>
        <w:rPr>
          <w:spacing w:val="38"/>
        </w:rPr>
        <w:t xml:space="preserve"> </w:t>
      </w:r>
      <w:r>
        <w:rPr>
          <w:spacing w:val="-1"/>
        </w:rPr>
        <w:t>each</w:t>
      </w:r>
      <w:r>
        <w:rPr>
          <w:spacing w:val="37"/>
        </w:rPr>
        <w:t xml:space="preserve"> </w:t>
      </w:r>
      <w:r>
        <w:rPr>
          <w:spacing w:val="-2"/>
        </w:rPr>
        <w:t>of</w:t>
      </w:r>
      <w:r>
        <w:rPr>
          <w:spacing w:val="40"/>
        </w:rPr>
        <w:t xml:space="preserve"> </w:t>
      </w:r>
      <w:r>
        <w:t>the</w:t>
      </w:r>
      <w:r>
        <w:rPr>
          <w:spacing w:val="37"/>
        </w:rPr>
        <w:t xml:space="preserve"> </w:t>
      </w:r>
      <w:r>
        <w:rPr>
          <w:spacing w:val="-2"/>
        </w:rPr>
        <w:t>Deliverables</w:t>
      </w:r>
      <w:r>
        <w:rPr>
          <w:spacing w:val="37"/>
        </w:rPr>
        <w:t xml:space="preserve"> </w:t>
      </w:r>
      <w:r>
        <w:rPr>
          <w:spacing w:val="-1"/>
        </w:rPr>
        <w:t>identified</w:t>
      </w:r>
      <w:r>
        <w:rPr>
          <w:spacing w:val="36"/>
        </w:rPr>
        <w:t xml:space="preserve"> </w:t>
      </w:r>
      <w:r>
        <w:rPr>
          <w:spacing w:val="-1"/>
        </w:rPr>
        <w:t>in</w:t>
      </w:r>
      <w:r>
        <w:rPr>
          <w:spacing w:val="36"/>
        </w:rPr>
        <w:t xml:space="preserve"> </w:t>
      </w:r>
      <w:r>
        <w:rPr>
          <w:spacing w:val="-1"/>
        </w:rPr>
        <w:t>the</w:t>
      </w:r>
      <w:r>
        <w:rPr>
          <w:spacing w:val="60"/>
        </w:rPr>
        <w:t xml:space="preserve"> </w:t>
      </w:r>
      <w:r>
        <w:rPr>
          <w:spacing w:val="-1"/>
        </w:rPr>
        <w:t>Implementation</w:t>
      </w:r>
      <w:r>
        <w:rPr>
          <w:spacing w:val="15"/>
        </w:rPr>
        <w:t xml:space="preserve"> </w:t>
      </w:r>
      <w:r>
        <w:rPr>
          <w:spacing w:val="-1"/>
        </w:rPr>
        <w:t>Plan</w:t>
      </w:r>
      <w:r>
        <w:rPr>
          <w:spacing w:val="15"/>
        </w:rPr>
        <w:t xml:space="preserve"> </w:t>
      </w:r>
      <w:r>
        <w:rPr>
          <w:spacing w:val="-1"/>
        </w:rPr>
        <w:t>by</w:t>
      </w:r>
      <w:r>
        <w:rPr>
          <w:spacing w:val="13"/>
        </w:rPr>
        <w:t xml:space="preserve"> </w:t>
      </w:r>
      <w:r>
        <w:t>the</w:t>
      </w:r>
      <w:r>
        <w:rPr>
          <w:spacing w:val="15"/>
        </w:rPr>
        <w:t xml:space="preserve"> </w:t>
      </w:r>
      <w:r>
        <w:rPr>
          <w:spacing w:val="-2"/>
        </w:rPr>
        <w:t>applicable</w:t>
      </w:r>
      <w:r>
        <w:rPr>
          <w:spacing w:val="15"/>
        </w:rPr>
        <w:t xml:space="preserve"> </w:t>
      </w:r>
      <w:r>
        <w:rPr>
          <w:spacing w:val="-1"/>
        </w:rPr>
        <w:t>date</w:t>
      </w:r>
      <w:r>
        <w:rPr>
          <w:spacing w:val="15"/>
        </w:rPr>
        <w:t xml:space="preserve"> </w:t>
      </w:r>
      <w:r>
        <w:rPr>
          <w:spacing w:val="-1"/>
        </w:rPr>
        <w:t>assigned</w:t>
      </w:r>
      <w:r>
        <w:rPr>
          <w:spacing w:val="12"/>
        </w:rPr>
        <w:t xml:space="preserve"> </w:t>
      </w:r>
      <w:r>
        <w:t>to</w:t>
      </w:r>
      <w:r>
        <w:rPr>
          <w:spacing w:val="12"/>
        </w:rPr>
        <w:t xml:space="preserve"> </w:t>
      </w:r>
      <w:r>
        <w:rPr>
          <w:spacing w:val="-1"/>
        </w:rPr>
        <w:t>that</w:t>
      </w:r>
      <w:r>
        <w:rPr>
          <w:spacing w:val="46"/>
        </w:rPr>
        <w:t xml:space="preserve"> </w:t>
      </w:r>
      <w:r>
        <w:rPr>
          <w:spacing w:val="-2"/>
        </w:rPr>
        <w:t>Deliverable</w:t>
      </w:r>
      <w:r>
        <w:rPr>
          <w:spacing w:val="2"/>
        </w:rPr>
        <w:t xml:space="preserve"> </w:t>
      </w:r>
      <w:r>
        <w:rPr>
          <w:spacing w:val="-1"/>
        </w:rPr>
        <w:t>in</w:t>
      </w:r>
      <w:r>
        <w:rPr>
          <w:spacing w:val="2"/>
        </w:rPr>
        <w:t xml:space="preserve"> </w:t>
      </w:r>
      <w:r>
        <w:t>the</w:t>
      </w:r>
      <w:r>
        <w:rPr>
          <w:spacing w:val="60"/>
        </w:rPr>
        <w:t xml:space="preserve"> </w:t>
      </w:r>
      <w:r>
        <w:rPr>
          <w:spacing w:val="-1"/>
        </w:rPr>
        <w:t>Implementation</w:t>
      </w:r>
      <w:r>
        <w:rPr>
          <w:spacing w:val="2"/>
        </w:rPr>
        <w:t xml:space="preserve"> </w:t>
      </w:r>
      <w:r>
        <w:rPr>
          <w:spacing w:val="-1"/>
        </w:rPr>
        <w:t>Plan</w:t>
      </w:r>
      <w:r>
        <w:rPr>
          <w:spacing w:val="2"/>
        </w:rPr>
        <w:t xml:space="preserve"> </w:t>
      </w:r>
      <w:r w:rsidR="000E2E05">
        <w:rPr>
          <w:spacing w:val="-1"/>
        </w:rPr>
        <w:t>so</w:t>
      </w:r>
      <w:r w:rsidR="000E2E05">
        <w:t xml:space="preserve"> as to</w:t>
      </w:r>
      <w:r>
        <w:rPr>
          <w:spacing w:val="60"/>
        </w:rPr>
        <w:t xml:space="preserve"> </w:t>
      </w:r>
      <w:r>
        <w:rPr>
          <w:spacing w:val="-1"/>
        </w:rPr>
        <w:t>ensure</w:t>
      </w:r>
      <w:r>
        <w:rPr>
          <w:spacing w:val="60"/>
        </w:rPr>
        <w:t xml:space="preserve"> </w:t>
      </w:r>
      <w:r>
        <w:rPr>
          <w:spacing w:val="-1"/>
        </w:rPr>
        <w:t>that</w:t>
      </w:r>
      <w:r>
        <w:rPr>
          <w:spacing w:val="3"/>
        </w:rPr>
        <w:t xml:space="preserve"> </w:t>
      </w:r>
      <w:r>
        <w:rPr>
          <w:spacing w:val="-2"/>
        </w:rPr>
        <w:t>each</w:t>
      </w:r>
      <w:r>
        <w:rPr>
          <w:spacing w:val="47"/>
        </w:rPr>
        <w:t xml:space="preserve"> </w:t>
      </w:r>
      <w:r>
        <w:rPr>
          <w:spacing w:val="-1"/>
        </w:rPr>
        <w:t>Milestone</w:t>
      </w:r>
      <w:r>
        <w:rPr>
          <w:spacing w:val="7"/>
        </w:rPr>
        <w:t xml:space="preserve"> </w:t>
      </w:r>
      <w:r>
        <w:rPr>
          <w:spacing w:val="-1"/>
        </w:rPr>
        <w:t>identified</w:t>
      </w:r>
      <w:r>
        <w:rPr>
          <w:spacing w:val="6"/>
        </w:rPr>
        <w:t xml:space="preserve"> </w:t>
      </w:r>
      <w:r>
        <w:rPr>
          <w:spacing w:val="-1"/>
        </w:rPr>
        <w:t>in</w:t>
      </w:r>
      <w:r>
        <w:rPr>
          <w:spacing w:val="6"/>
        </w:rPr>
        <w:t xml:space="preserve"> </w:t>
      </w:r>
      <w:r>
        <w:t>the</w:t>
      </w:r>
      <w:r>
        <w:rPr>
          <w:spacing w:val="6"/>
        </w:rPr>
        <w:t xml:space="preserve"> </w:t>
      </w:r>
      <w:r>
        <w:rPr>
          <w:spacing w:val="-1"/>
        </w:rPr>
        <w:t>Implementation</w:t>
      </w:r>
      <w:r>
        <w:rPr>
          <w:spacing w:val="6"/>
        </w:rPr>
        <w:t xml:space="preserve"> </w:t>
      </w:r>
      <w:r>
        <w:rPr>
          <w:spacing w:val="-1"/>
        </w:rPr>
        <w:t>Plan</w:t>
      </w:r>
      <w:r>
        <w:rPr>
          <w:spacing w:val="8"/>
        </w:rPr>
        <w:t xml:space="preserve"> </w:t>
      </w:r>
      <w:r>
        <w:rPr>
          <w:spacing w:val="-1"/>
        </w:rPr>
        <w:t>is</w:t>
      </w:r>
      <w:r>
        <w:rPr>
          <w:spacing w:val="7"/>
        </w:rPr>
        <w:t xml:space="preserve"> </w:t>
      </w:r>
      <w:r>
        <w:rPr>
          <w:spacing w:val="-1"/>
        </w:rPr>
        <w:t>Achieved</w:t>
      </w:r>
      <w:r>
        <w:rPr>
          <w:spacing w:val="9"/>
        </w:rPr>
        <w:t xml:space="preserve"> </w:t>
      </w:r>
      <w:r w:rsidR="000E2E05">
        <w:rPr>
          <w:spacing w:val="-1"/>
        </w:rPr>
        <w:t>on</w:t>
      </w:r>
      <w:r w:rsidR="000E2E05">
        <w:t xml:space="preserve"> </w:t>
      </w:r>
      <w:r w:rsidR="000E2E05">
        <w:rPr>
          <w:spacing w:val="6"/>
        </w:rPr>
        <w:t>or</w:t>
      </w:r>
      <w:r>
        <w:rPr>
          <w:spacing w:val="24"/>
        </w:rPr>
        <w:t xml:space="preserve"> </w:t>
      </w:r>
      <w:r>
        <w:rPr>
          <w:spacing w:val="-1"/>
        </w:rPr>
        <w:t>before</w:t>
      </w:r>
      <w:r>
        <w:rPr>
          <w:spacing w:val="-2"/>
        </w:rPr>
        <w:t xml:space="preserve"> </w:t>
      </w:r>
      <w:r>
        <w:rPr>
          <w:spacing w:val="-1"/>
        </w:rPr>
        <w:t>its</w:t>
      </w:r>
      <w:r>
        <w:rPr>
          <w:spacing w:val="1"/>
        </w:rPr>
        <w:t xml:space="preserve"> </w:t>
      </w:r>
      <w:r>
        <w:rPr>
          <w:spacing w:val="-2"/>
        </w:rPr>
        <w:t>Milestone</w:t>
      </w:r>
      <w:r>
        <w:t xml:space="preserve"> </w:t>
      </w:r>
      <w:r>
        <w:rPr>
          <w:spacing w:val="-1"/>
        </w:rPr>
        <w:t>Date.</w:t>
      </w:r>
    </w:p>
    <w:p w:rsidR="008918FA" w:rsidRDefault="008918FA" w:rsidP="008918FA">
      <w:pPr>
        <w:pStyle w:val="BodyText"/>
        <w:numPr>
          <w:ilvl w:val="3"/>
          <w:numId w:val="69"/>
        </w:numPr>
        <w:tabs>
          <w:tab w:val="left" w:pos="1887"/>
        </w:tabs>
        <w:ind w:left="1886" w:right="110" w:hanging="993"/>
        <w:jc w:val="both"/>
      </w:pPr>
      <w:r>
        <w:t>The</w:t>
      </w:r>
      <w:r>
        <w:rPr>
          <w:spacing w:val="10"/>
        </w:rPr>
        <w:t xml:space="preserve"> </w:t>
      </w:r>
      <w:r>
        <w:rPr>
          <w:spacing w:val="-2"/>
        </w:rPr>
        <w:t>Supplier</w:t>
      </w:r>
      <w:r>
        <w:rPr>
          <w:spacing w:val="11"/>
        </w:rPr>
        <w:t xml:space="preserve"> </w:t>
      </w:r>
      <w:r>
        <w:rPr>
          <w:spacing w:val="-1"/>
        </w:rPr>
        <w:t>shall</w:t>
      </w:r>
      <w:r>
        <w:rPr>
          <w:spacing w:val="9"/>
        </w:rPr>
        <w:t xml:space="preserve"> </w:t>
      </w:r>
      <w:r>
        <w:rPr>
          <w:spacing w:val="-1"/>
        </w:rPr>
        <w:t>monitor</w:t>
      </w:r>
      <w:r>
        <w:rPr>
          <w:spacing w:val="11"/>
        </w:rPr>
        <w:t xml:space="preserve"> </w:t>
      </w:r>
      <w:r>
        <w:rPr>
          <w:spacing w:val="-1"/>
        </w:rPr>
        <w:t>its</w:t>
      </w:r>
      <w:r>
        <w:rPr>
          <w:spacing w:val="10"/>
        </w:rPr>
        <w:t xml:space="preserve"> </w:t>
      </w:r>
      <w:r>
        <w:rPr>
          <w:spacing w:val="-1"/>
        </w:rPr>
        <w:t>performance</w:t>
      </w:r>
      <w:r>
        <w:rPr>
          <w:spacing w:val="10"/>
        </w:rPr>
        <w:t xml:space="preserve"> </w:t>
      </w:r>
      <w:r>
        <w:rPr>
          <w:spacing w:val="-2"/>
        </w:rPr>
        <w:t>against</w:t>
      </w:r>
      <w:r>
        <w:rPr>
          <w:spacing w:val="12"/>
        </w:rPr>
        <w:t xml:space="preserve"> </w:t>
      </w:r>
      <w:r>
        <w:t>the</w:t>
      </w:r>
      <w:r>
        <w:rPr>
          <w:spacing w:val="7"/>
        </w:rPr>
        <w:t xml:space="preserve"> </w:t>
      </w:r>
      <w:r>
        <w:rPr>
          <w:spacing w:val="-1"/>
        </w:rPr>
        <w:t>Implementation</w:t>
      </w:r>
      <w:r>
        <w:rPr>
          <w:spacing w:val="42"/>
        </w:rPr>
        <w:t xml:space="preserve"> </w:t>
      </w:r>
      <w:r>
        <w:rPr>
          <w:spacing w:val="-1"/>
        </w:rPr>
        <w:t>Plan</w:t>
      </w:r>
      <w:r>
        <w:rPr>
          <w:spacing w:val="23"/>
        </w:rPr>
        <w:t xml:space="preserve"> </w:t>
      </w:r>
      <w:r>
        <w:rPr>
          <w:spacing w:val="-1"/>
        </w:rPr>
        <w:t>and</w:t>
      </w:r>
      <w:r>
        <w:rPr>
          <w:spacing w:val="23"/>
        </w:rPr>
        <w:t xml:space="preserve"> </w:t>
      </w:r>
      <w:r>
        <w:rPr>
          <w:spacing w:val="-1"/>
        </w:rPr>
        <w:t>Milestones</w:t>
      </w:r>
      <w:r>
        <w:rPr>
          <w:spacing w:val="24"/>
        </w:rPr>
        <w:t xml:space="preserve"> </w:t>
      </w:r>
      <w:r>
        <w:rPr>
          <w:spacing w:val="-1"/>
        </w:rPr>
        <w:t>(if</w:t>
      </w:r>
      <w:r>
        <w:rPr>
          <w:spacing w:val="25"/>
        </w:rPr>
        <w:t xml:space="preserve"> </w:t>
      </w:r>
      <w:r>
        <w:rPr>
          <w:spacing w:val="-2"/>
        </w:rPr>
        <w:t>any)</w:t>
      </w:r>
      <w:r>
        <w:rPr>
          <w:spacing w:val="24"/>
        </w:rPr>
        <w:t xml:space="preserve"> </w:t>
      </w:r>
      <w:r>
        <w:rPr>
          <w:spacing w:val="-1"/>
        </w:rPr>
        <w:t>and</w:t>
      </w:r>
      <w:r>
        <w:rPr>
          <w:spacing w:val="23"/>
        </w:rPr>
        <w:t xml:space="preserve"> </w:t>
      </w:r>
      <w:r>
        <w:rPr>
          <w:spacing w:val="-1"/>
        </w:rPr>
        <w:t>any</w:t>
      </w:r>
      <w:r>
        <w:rPr>
          <w:spacing w:val="21"/>
        </w:rPr>
        <w:t xml:space="preserve"> </w:t>
      </w:r>
      <w:r>
        <w:rPr>
          <w:spacing w:val="-1"/>
        </w:rPr>
        <w:t>other</w:t>
      </w:r>
      <w:r>
        <w:rPr>
          <w:spacing w:val="22"/>
        </w:rPr>
        <w:t xml:space="preserve"> </w:t>
      </w:r>
      <w:r>
        <w:rPr>
          <w:spacing w:val="-1"/>
        </w:rPr>
        <w:t>requirements</w:t>
      </w:r>
      <w:r>
        <w:rPr>
          <w:spacing w:val="26"/>
        </w:rPr>
        <w:t xml:space="preserve"> </w:t>
      </w:r>
      <w:r>
        <w:rPr>
          <w:spacing w:val="-2"/>
        </w:rPr>
        <w:t>of</w:t>
      </w:r>
      <w:r>
        <w:rPr>
          <w:spacing w:val="22"/>
        </w:rPr>
        <w:t xml:space="preserve"> </w:t>
      </w:r>
      <w:r>
        <w:t>the</w:t>
      </w:r>
      <w:r>
        <w:rPr>
          <w:spacing w:val="27"/>
        </w:rPr>
        <w:t xml:space="preserve"> </w:t>
      </w:r>
      <w:r>
        <w:rPr>
          <w:spacing w:val="-1"/>
        </w:rPr>
        <w:t>Customer</w:t>
      </w:r>
      <w:r>
        <w:rPr>
          <w:spacing w:val="20"/>
        </w:rPr>
        <w:t xml:space="preserve"> </w:t>
      </w:r>
      <w:r>
        <w:rPr>
          <w:spacing w:val="-1"/>
        </w:rPr>
        <w:t>as</w:t>
      </w:r>
      <w:r>
        <w:rPr>
          <w:spacing w:val="16"/>
        </w:rPr>
        <w:t xml:space="preserve"> </w:t>
      </w:r>
      <w:r>
        <w:rPr>
          <w:spacing w:val="-1"/>
        </w:rPr>
        <w:t>set</w:t>
      </w:r>
      <w:r>
        <w:rPr>
          <w:spacing w:val="17"/>
        </w:rPr>
        <w:t xml:space="preserve"> </w:t>
      </w:r>
      <w:r>
        <w:rPr>
          <w:spacing w:val="-1"/>
        </w:rPr>
        <w:t>out</w:t>
      </w:r>
      <w:r>
        <w:rPr>
          <w:spacing w:val="20"/>
        </w:rPr>
        <w:t xml:space="preserve"> </w:t>
      </w:r>
      <w:r>
        <w:rPr>
          <w:spacing w:val="-2"/>
        </w:rPr>
        <w:t>in</w:t>
      </w:r>
      <w:r>
        <w:rPr>
          <w:spacing w:val="18"/>
        </w:rPr>
        <w:t xml:space="preserve"> </w:t>
      </w:r>
      <w:r>
        <w:rPr>
          <w:spacing w:val="-1"/>
        </w:rPr>
        <w:t>this</w:t>
      </w:r>
      <w:r>
        <w:rPr>
          <w:spacing w:val="19"/>
        </w:rPr>
        <w:t xml:space="preserve"> </w:t>
      </w:r>
      <w:r>
        <w:rPr>
          <w:spacing w:val="-2"/>
        </w:rPr>
        <w:t>Call</w:t>
      </w:r>
      <w:r>
        <w:rPr>
          <w:spacing w:val="18"/>
        </w:rPr>
        <w:t xml:space="preserve"> </w:t>
      </w:r>
      <w:r>
        <w:rPr>
          <w:spacing w:val="-1"/>
        </w:rPr>
        <w:t>Off</w:t>
      </w:r>
      <w:r>
        <w:rPr>
          <w:spacing w:val="20"/>
        </w:rPr>
        <w:t xml:space="preserve"> </w:t>
      </w:r>
      <w:r>
        <w:rPr>
          <w:spacing w:val="-2"/>
        </w:rPr>
        <w:t>Contract</w:t>
      </w:r>
      <w:r>
        <w:rPr>
          <w:spacing w:val="20"/>
        </w:rPr>
        <w:t xml:space="preserve"> </w:t>
      </w:r>
      <w:r>
        <w:rPr>
          <w:spacing w:val="-1"/>
        </w:rPr>
        <w:t>and</w:t>
      </w:r>
      <w:r>
        <w:rPr>
          <w:spacing w:val="16"/>
        </w:rPr>
        <w:t xml:space="preserve"> </w:t>
      </w:r>
      <w:r>
        <w:rPr>
          <w:spacing w:val="-1"/>
        </w:rPr>
        <w:t>report</w:t>
      </w:r>
      <w:r>
        <w:rPr>
          <w:spacing w:val="17"/>
        </w:rPr>
        <w:t xml:space="preserve"> </w:t>
      </w:r>
      <w:r>
        <w:t>to</w:t>
      </w:r>
      <w:r>
        <w:rPr>
          <w:spacing w:val="16"/>
        </w:rPr>
        <w:t xml:space="preserve"> </w:t>
      </w:r>
      <w:r>
        <w:rPr>
          <w:spacing w:val="-1"/>
        </w:rPr>
        <w:t>the</w:t>
      </w:r>
      <w:r>
        <w:rPr>
          <w:spacing w:val="46"/>
        </w:rPr>
        <w:t xml:space="preserve"> </w:t>
      </w:r>
      <w:r>
        <w:rPr>
          <w:spacing w:val="-1"/>
        </w:rPr>
        <w:t>Customer</w:t>
      </w:r>
      <w:r>
        <w:rPr>
          <w:spacing w:val="2"/>
        </w:rPr>
        <w:t xml:space="preserve"> </w:t>
      </w:r>
      <w:r>
        <w:rPr>
          <w:spacing w:val="-1"/>
        </w:rPr>
        <w:t>on</w:t>
      </w:r>
      <w:r>
        <w:rPr>
          <w:spacing w:val="-2"/>
        </w:rPr>
        <w:t xml:space="preserve"> </w:t>
      </w:r>
      <w:r>
        <w:rPr>
          <w:spacing w:val="-1"/>
        </w:rPr>
        <w:t>such</w:t>
      </w:r>
      <w:r>
        <w:rPr>
          <w:spacing w:val="-2"/>
        </w:rPr>
        <w:t xml:space="preserve"> </w:t>
      </w:r>
      <w:r>
        <w:rPr>
          <w:spacing w:val="-1"/>
        </w:rPr>
        <w:t>performance.</w:t>
      </w:r>
    </w:p>
    <w:p w:rsidR="008918FA" w:rsidRDefault="008918FA" w:rsidP="008918FA">
      <w:pPr>
        <w:pStyle w:val="Heading1"/>
        <w:numPr>
          <w:ilvl w:val="2"/>
          <w:numId w:val="69"/>
        </w:numPr>
        <w:tabs>
          <w:tab w:val="left" w:pos="690"/>
        </w:tabs>
        <w:ind w:left="689"/>
        <w:rPr>
          <w:b w:val="0"/>
          <w:bCs w:val="0"/>
        </w:rPr>
      </w:pPr>
      <w:r>
        <w:rPr>
          <w:spacing w:val="-1"/>
        </w:rPr>
        <w:t>Control</w:t>
      </w:r>
      <w:r>
        <w:t xml:space="preserve"> </w:t>
      </w:r>
      <w:r>
        <w:rPr>
          <w:spacing w:val="-1"/>
        </w:rPr>
        <w:t>of Implementation</w:t>
      </w:r>
      <w:r>
        <w:t xml:space="preserve"> </w:t>
      </w:r>
      <w:r>
        <w:rPr>
          <w:spacing w:val="-1"/>
        </w:rPr>
        <w:t>Plan</w:t>
      </w:r>
    </w:p>
    <w:p w:rsidR="008918FA" w:rsidRDefault="008918FA" w:rsidP="008918FA">
      <w:pPr>
        <w:pStyle w:val="BodyText"/>
        <w:numPr>
          <w:ilvl w:val="3"/>
          <w:numId w:val="69"/>
        </w:numPr>
        <w:tabs>
          <w:tab w:val="left" w:pos="1887"/>
        </w:tabs>
        <w:spacing w:before="121"/>
        <w:ind w:left="1886" w:right="112" w:hanging="993"/>
        <w:jc w:val="both"/>
      </w:pPr>
      <w:r>
        <w:rPr>
          <w:spacing w:val="-1"/>
        </w:rPr>
        <w:t>Subject</w:t>
      </w:r>
      <w:r>
        <w:rPr>
          <w:spacing w:val="41"/>
        </w:rPr>
        <w:t xml:space="preserve"> </w:t>
      </w:r>
      <w:r>
        <w:t>to</w:t>
      </w:r>
      <w:r>
        <w:rPr>
          <w:spacing w:val="38"/>
        </w:rPr>
        <w:t xml:space="preserve"> </w:t>
      </w:r>
      <w:r>
        <w:rPr>
          <w:spacing w:val="-2"/>
        </w:rPr>
        <w:t>Clause</w:t>
      </w:r>
      <w:r>
        <w:rPr>
          <w:spacing w:val="42"/>
        </w:rPr>
        <w:t xml:space="preserve"> </w:t>
      </w:r>
      <w:hyperlink w:anchor="_bookmark58" w:history="1">
        <w:r>
          <w:rPr>
            <w:spacing w:val="-1"/>
          </w:rPr>
          <w:t>6.2.2</w:t>
        </w:r>
      </w:hyperlink>
      <w:r>
        <w:rPr>
          <w:spacing w:val="-1"/>
        </w:rPr>
        <w:t>,</w:t>
      </w:r>
      <w:r>
        <w:rPr>
          <w:spacing w:val="40"/>
        </w:rPr>
        <w:t xml:space="preserve"> </w:t>
      </w:r>
      <w:r>
        <w:t>the</w:t>
      </w:r>
      <w:r>
        <w:rPr>
          <w:spacing w:val="41"/>
        </w:rPr>
        <w:t xml:space="preserve"> </w:t>
      </w:r>
      <w:r>
        <w:rPr>
          <w:spacing w:val="-2"/>
        </w:rPr>
        <w:t>Supplier</w:t>
      </w:r>
      <w:r>
        <w:rPr>
          <w:spacing w:val="42"/>
        </w:rPr>
        <w:t xml:space="preserve"> </w:t>
      </w:r>
      <w:r>
        <w:rPr>
          <w:spacing w:val="-1"/>
        </w:rPr>
        <w:t>shall</w:t>
      </w:r>
      <w:r>
        <w:rPr>
          <w:spacing w:val="40"/>
        </w:rPr>
        <w:t xml:space="preserve"> </w:t>
      </w:r>
      <w:r>
        <w:rPr>
          <w:spacing w:val="-1"/>
        </w:rPr>
        <w:t>keep</w:t>
      </w:r>
      <w:r>
        <w:rPr>
          <w:spacing w:val="41"/>
        </w:rPr>
        <w:t xml:space="preserve"> </w:t>
      </w:r>
      <w:r>
        <w:t>the</w:t>
      </w:r>
      <w:r>
        <w:rPr>
          <w:spacing w:val="38"/>
        </w:rPr>
        <w:t xml:space="preserve"> </w:t>
      </w:r>
      <w:r>
        <w:rPr>
          <w:spacing w:val="-1"/>
        </w:rPr>
        <w:t>Implementation</w:t>
      </w:r>
      <w:r>
        <w:rPr>
          <w:spacing w:val="42"/>
        </w:rPr>
        <w:t xml:space="preserve"> </w:t>
      </w:r>
      <w:r>
        <w:rPr>
          <w:spacing w:val="-1"/>
        </w:rPr>
        <w:t>Plan</w:t>
      </w:r>
      <w:r>
        <w:rPr>
          <w:spacing w:val="15"/>
        </w:rPr>
        <w:t xml:space="preserve"> </w:t>
      </w:r>
      <w:r>
        <w:rPr>
          <w:spacing w:val="-1"/>
        </w:rPr>
        <w:t>under</w:t>
      </w:r>
      <w:r>
        <w:rPr>
          <w:spacing w:val="16"/>
        </w:rPr>
        <w:t xml:space="preserve"> </w:t>
      </w:r>
      <w:r>
        <w:rPr>
          <w:spacing w:val="-2"/>
        </w:rPr>
        <w:t>review</w:t>
      </w:r>
      <w:r>
        <w:rPr>
          <w:spacing w:val="14"/>
        </w:rPr>
        <w:t xml:space="preserve"> </w:t>
      </w:r>
      <w:r>
        <w:rPr>
          <w:spacing w:val="-1"/>
        </w:rPr>
        <w:t>in</w:t>
      </w:r>
      <w:r>
        <w:rPr>
          <w:spacing w:val="15"/>
        </w:rPr>
        <w:t xml:space="preserve"> </w:t>
      </w:r>
      <w:r>
        <w:rPr>
          <w:spacing w:val="-1"/>
        </w:rPr>
        <w:t>accordance</w:t>
      </w:r>
      <w:r>
        <w:rPr>
          <w:spacing w:val="15"/>
        </w:rPr>
        <w:t xml:space="preserve"> </w:t>
      </w:r>
      <w:r>
        <w:rPr>
          <w:spacing w:val="-1"/>
        </w:rPr>
        <w:t>with</w:t>
      </w:r>
      <w:r>
        <w:rPr>
          <w:spacing w:val="15"/>
        </w:rPr>
        <w:t xml:space="preserve"> </w:t>
      </w:r>
      <w:r>
        <w:t>the</w:t>
      </w:r>
      <w:r>
        <w:rPr>
          <w:spacing w:val="15"/>
        </w:rPr>
        <w:t xml:space="preserve"> </w:t>
      </w:r>
      <w:r>
        <w:rPr>
          <w:spacing w:val="-2"/>
        </w:rPr>
        <w:t>Customer’s</w:t>
      </w:r>
      <w:r>
        <w:rPr>
          <w:spacing w:val="15"/>
        </w:rPr>
        <w:t xml:space="preserve"> </w:t>
      </w:r>
      <w:r>
        <w:rPr>
          <w:spacing w:val="-1"/>
        </w:rPr>
        <w:t>instructions</w:t>
      </w:r>
      <w:r>
        <w:rPr>
          <w:spacing w:val="15"/>
        </w:rPr>
        <w:t xml:space="preserve"> </w:t>
      </w:r>
      <w:r>
        <w:rPr>
          <w:spacing w:val="-1"/>
        </w:rPr>
        <w:t>and</w:t>
      </w:r>
      <w:r>
        <w:rPr>
          <w:spacing w:val="38"/>
        </w:rPr>
        <w:t xml:space="preserve"> </w:t>
      </w:r>
      <w:r>
        <w:rPr>
          <w:spacing w:val="-1"/>
        </w:rPr>
        <w:t>ensure</w:t>
      </w:r>
      <w:r>
        <w:rPr>
          <w:spacing w:val="7"/>
        </w:rPr>
        <w:t xml:space="preserve"> </w:t>
      </w:r>
      <w:r>
        <w:rPr>
          <w:spacing w:val="-1"/>
        </w:rPr>
        <w:t>that</w:t>
      </w:r>
      <w:r>
        <w:rPr>
          <w:spacing w:val="9"/>
        </w:rPr>
        <w:t xml:space="preserve"> </w:t>
      </w:r>
      <w:r>
        <w:rPr>
          <w:spacing w:val="-1"/>
        </w:rPr>
        <w:t>it</w:t>
      </w:r>
      <w:r>
        <w:rPr>
          <w:spacing w:val="9"/>
        </w:rPr>
        <w:t xml:space="preserve"> </w:t>
      </w:r>
      <w:r>
        <w:rPr>
          <w:spacing w:val="-1"/>
        </w:rPr>
        <w:t>is</w:t>
      </w:r>
      <w:r>
        <w:rPr>
          <w:spacing w:val="8"/>
        </w:rPr>
        <w:t xml:space="preserve"> </w:t>
      </w:r>
      <w:r>
        <w:rPr>
          <w:spacing w:val="-1"/>
        </w:rPr>
        <w:t>maintained</w:t>
      </w:r>
      <w:r>
        <w:rPr>
          <w:spacing w:val="7"/>
        </w:rPr>
        <w:t xml:space="preserve"> </w:t>
      </w:r>
      <w:r>
        <w:rPr>
          <w:spacing w:val="-1"/>
        </w:rPr>
        <w:t>and</w:t>
      </w:r>
      <w:r>
        <w:rPr>
          <w:spacing w:val="7"/>
        </w:rPr>
        <w:t xml:space="preserve"> </w:t>
      </w:r>
      <w:r>
        <w:rPr>
          <w:spacing w:val="-1"/>
        </w:rPr>
        <w:t>updated</w:t>
      </w:r>
      <w:r>
        <w:rPr>
          <w:spacing w:val="7"/>
        </w:rPr>
        <w:t xml:space="preserve"> </w:t>
      </w:r>
      <w:r>
        <w:rPr>
          <w:spacing w:val="-1"/>
        </w:rPr>
        <w:t>on</w:t>
      </w:r>
      <w:r>
        <w:rPr>
          <w:spacing w:val="7"/>
        </w:rPr>
        <w:t xml:space="preserve"> </w:t>
      </w:r>
      <w:r>
        <w:t>a</w:t>
      </w:r>
      <w:r>
        <w:rPr>
          <w:spacing w:val="7"/>
        </w:rPr>
        <w:t xml:space="preserve"> </w:t>
      </w:r>
      <w:r>
        <w:rPr>
          <w:spacing w:val="-1"/>
        </w:rPr>
        <w:t>regular</w:t>
      </w:r>
      <w:r>
        <w:rPr>
          <w:spacing w:val="9"/>
        </w:rPr>
        <w:t xml:space="preserve"> </w:t>
      </w:r>
      <w:r>
        <w:rPr>
          <w:spacing w:val="-1"/>
        </w:rPr>
        <w:t>basis</w:t>
      </w:r>
      <w:r>
        <w:rPr>
          <w:spacing w:val="8"/>
        </w:rPr>
        <w:t xml:space="preserve"> </w:t>
      </w:r>
      <w:r>
        <w:rPr>
          <w:spacing w:val="-1"/>
        </w:rPr>
        <w:t>as</w:t>
      </w:r>
      <w:r>
        <w:rPr>
          <w:spacing w:val="8"/>
        </w:rPr>
        <w:t xml:space="preserve"> </w:t>
      </w:r>
      <w:r>
        <w:rPr>
          <w:spacing w:val="-1"/>
        </w:rPr>
        <w:t>may</w:t>
      </w:r>
      <w:r>
        <w:rPr>
          <w:spacing w:val="8"/>
        </w:rPr>
        <w:t xml:space="preserve"> </w:t>
      </w:r>
      <w:r>
        <w:rPr>
          <w:spacing w:val="-1"/>
        </w:rPr>
        <w:t>be</w:t>
      </w:r>
      <w:r>
        <w:rPr>
          <w:spacing w:val="38"/>
        </w:rPr>
        <w:t xml:space="preserve"> </w:t>
      </w:r>
      <w:r>
        <w:rPr>
          <w:spacing w:val="-1"/>
        </w:rPr>
        <w:t>necessary</w:t>
      </w:r>
      <w:r>
        <w:rPr>
          <w:spacing w:val="-2"/>
        </w:rPr>
        <w:t xml:space="preserve"> </w:t>
      </w:r>
      <w:r>
        <w:t>to</w:t>
      </w:r>
      <w:r>
        <w:rPr>
          <w:spacing w:val="-2"/>
        </w:rPr>
        <w:t xml:space="preserve"> </w:t>
      </w:r>
      <w:r>
        <w:rPr>
          <w:spacing w:val="-1"/>
        </w:rPr>
        <w:t>reflect</w:t>
      </w:r>
      <w:r>
        <w:t xml:space="preserve"> the</w:t>
      </w:r>
      <w:r>
        <w:rPr>
          <w:spacing w:val="-2"/>
        </w:rPr>
        <w:t xml:space="preserve"> </w:t>
      </w:r>
      <w:r>
        <w:rPr>
          <w:spacing w:val="-1"/>
        </w:rPr>
        <w:t>then</w:t>
      </w:r>
      <w:r>
        <w:t xml:space="preserve"> </w:t>
      </w:r>
      <w:r>
        <w:rPr>
          <w:spacing w:val="-1"/>
        </w:rPr>
        <w:t>current</w:t>
      </w:r>
      <w:r>
        <w:t xml:space="preserve"> </w:t>
      </w:r>
      <w:r>
        <w:rPr>
          <w:spacing w:val="-1"/>
        </w:rPr>
        <w:t>state</w:t>
      </w:r>
      <w:r>
        <w:t xml:space="preserve"> </w:t>
      </w:r>
      <w:r>
        <w:rPr>
          <w:spacing w:val="-2"/>
        </w:rPr>
        <w:t>of</w:t>
      </w:r>
      <w:r>
        <w:t xml:space="preserve"> the</w:t>
      </w:r>
      <w:r>
        <w:rPr>
          <w:spacing w:val="-2"/>
        </w:rPr>
        <w:t xml:space="preserve"> provision</w:t>
      </w:r>
      <w:r>
        <w:t xml:space="preserve"> </w:t>
      </w:r>
      <w:r>
        <w:rPr>
          <w:spacing w:val="-1"/>
        </w:rPr>
        <w:t>of</w:t>
      </w:r>
      <w:r>
        <w:rPr>
          <w:spacing w:val="2"/>
        </w:rPr>
        <w:t xml:space="preserve"> </w:t>
      </w:r>
      <w:r>
        <w:t>the</w:t>
      </w:r>
      <w:r>
        <w:rPr>
          <w:spacing w:val="-2"/>
        </w:rPr>
        <w:t xml:space="preserve"> </w:t>
      </w:r>
      <w:r>
        <w:rPr>
          <w:spacing w:val="-1"/>
        </w:rPr>
        <w:t>Goods</w:t>
      </w:r>
      <w:r>
        <w:rPr>
          <w:spacing w:val="43"/>
        </w:rPr>
        <w:t xml:space="preserve"> </w:t>
      </w:r>
      <w:r>
        <w:rPr>
          <w:spacing w:val="-1"/>
        </w:rPr>
        <w:t>and/or</w:t>
      </w:r>
      <w:r>
        <w:rPr>
          <w:spacing w:val="1"/>
        </w:rPr>
        <w:t xml:space="preserve"> </w:t>
      </w:r>
      <w:r>
        <w:rPr>
          <w:spacing w:val="-1"/>
        </w:rPr>
        <w:t>Services.</w:t>
      </w:r>
      <w:r>
        <w:rPr>
          <w:spacing w:val="59"/>
        </w:rPr>
        <w:t xml:space="preserve"> </w:t>
      </w:r>
      <w:r>
        <w:t>The</w:t>
      </w:r>
      <w:r>
        <w:rPr>
          <w:spacing w:val="60"/>
        </w:rPr>
        <w:t xml:space="preserve"> </w:t>
      </w:r>
      <w:r w:rsidR="001C1527">
        <w:rPr>
          <w:spacing w:val="-2"/>
        </w:rPr>
        <w:t>Customer</w:t>
      </w:r>
      <w:r w:rsidR="001C1527">
        <w:t xml:space="preserve"> shall</w:t>
      </w:r>
      <w:r>
        <w:rPr>
          <w:spacing w:val="59"/>
        </w:rPr>
        <w:t xml:space="preserve"> </w:t>
      </w:r>
      <w:r>
        <w:rPr>
          <w:spacing w:val="-2"/>
        </w:rPr>
        <w:t>have</w:t>
      </w:r>
      <w:r>
        <w:rPr>
          <w:spacing w:val="60"/>
        </w:rPr>
        <w:t xml:space="preserve"> </w:t>
      </w:r>
      <w:r>
        <w:t>the</w:t>
      </w:r>
      <w:r>
        <w:rPr>
          <w:spacing w:val="60"/>
        </w:rPr>
        <w:t xml:space="preserve"> </w:t>
      </w:r>
      <w:r>
        <w:rPr>
          <w:spacing w:val="-1"/>
        </w:rPr>
        <w:t>right</w:t>
      </w:r>
      <w:r>
        <w:rPr>
          <w:spacing w:val="1"/>
        </w:rPr>
        <w:t xml:space="preserve"> </w:t>
      </w:r>
      <w:r>
        <w:t>to</w:t>
      </w:r>
      <w:r>
        <w:rPr>
          <w:spacing w:val="58"/>
        </w:rPr>
        <w:t xml:space="preserve"> </w:t>
      </w:r>
      <w:r>
        <w:rPr>
          <w:spacing w:val="-1"/>
        </w:rPr>
        <w:t>require</w:t>
      </w:r>
      <w:r>
        <w:rPr>
          <w:spacing w:val="61"/>
        </w:rPr>
        <w:t xml:space="preserve"> </w:t>
      </w:r>
      <w:r>
        <w:rPr>
          <w:spacing w:val="-1"/>
        </w:rPr>
        <w:t>the</w:t>
      </w:r>
      <w:r>
        <w:rPr>
          <w:spacing w:val="48"/>
        </w:rPr>
        <w:t xml:space="preserve"> </w:t>
      </w:r>
      <w:r>
        <w:rPr>
          <w:spacing w:val="-2"/>
        </w:rPr>
        <w:t>Supplier</w:t>
      </w:r>
      <w:r>
        <w:rPr>
          <w:spacing w:val="3"/>
        </w:rPr>
        <w:t xml:space="preserve"> </w:t>
      </w:r>
      <w:r>
        <w:t>to</w:t>
      </w:r>
      <w:r>
        <w:rPr>
          <w:spacing w:val="2"/>
        </w:rPr>
        <w:t xml:space="preserve"> </w:t>
      </w:r>
      <w:r>
        <w:rPr>
          <w:spacing w:val="-1"/>
        </w:rPr>
        <w:t>include</w:t>
      </w:r>
      <w:r>
        <w:rPr>
          <w:spacing w:val="2"/>
        </w:rPr>
        <w:t xml:space="preserve"> </w:t>
      </w:r>
      <w:r>
        <w:rPr>
          <w:spacing w:val="-1"/>
        </w:rPr>
        <w:t>any</w:t>
      </w:r>
      <w:r>
        <w:rPr>
          <w:spacing w:val="2"/>
        </w:rPr>
        <w:t xml:space="preserve"> </w:t>
      </w:r>
      <w:r>
        <w:rPr>
          <w:spacing w:val="-1"/>
        </w:rPr>
        <w:t>reasonable</w:t>
      </w:r>
      <w:r>
        <w:rPr>
          <w:spacing w:val="2"/>
        </w:rPr>
        <w:t xml:space="preserve"> </w:t>
      </w:r>
      <w:r>
        <w:rPr>
          <w:spacing w:val="-1"/>
        </w:rPr>
        <w:t>changes</w:t>
      </w:r>
      <w:r>
        <w:rPr>
          <w:spacing w:val="2"/>
        </w:rPr>
        <w:t xml:space="preserve"> </w:t>
      </w:r>
      <w:r>
        <w:rPr>
          <w:spacing w:val="-1"/>
        </w:rPr>
        <w:t>or</w:t>
      </w:r>
      <w:r>
        <w:rPr>
          <w:spacing w:val="3"/>
        </w:rPr>
        <w:t xml:space="preserve"> </w:t>
      </w:r>
      <w:r>
        <w:rPr>
          <w:spacing w:val="-2"/>
        </w:rPr>
        <w:t>provisions</w:t>
      </w:r>
      <w:r>
        <w:rPr>
          <w:spacing w:val="2"/>
        </w:rPr>
        <w:t xml:space="preserve"> </w:t>
      </w:r>
      <w:r>
        <w:rPr>
          <w:spacing w:val="-1"/>
        </w:rPr>
        <w:t>in</w:t>
      </w:r>
      <w:r>
        <w:rPr>
          <w:spacing w:val="2"/>
        </w:rPr>
        <w:t xml:space="preserve"> </w:t>
      </w:r>
      <w:r>
        <w:rPr>
          <w:spacing w:val="-1"/>
        </w:rPr>
        <w:t>each</w:t>
      </w:r>
      <w:r>
        <w:rPr>
          <w:spacing w:val="48"/>
        </w:rPr>
        <w:t xml:space="preserve"> </w:t>
      </w:r>
      <w:r>
        <w:rPr>
          <w:spacing w:val="-1"/>
        </w:rPr>
        <w:t>version</w:t>
      </w:r>
      <w:r>
        <w:t xml:space="preserve"> </w:t>
      </w:r>
      <w:r>
        <w:rPr>
          <w:spacing w:val="-2"/>
        </w:rPr>
        <w:t>of</w:t>
      </w:r>
      <w:r>
        <w:rPr>
          <w:spacing w:val="2"/>
        </w:rPr>
        <w:t xml:space="preserve"> </w:t>
      </w:r>
      <w:r>
        <w:t>the</w:t>
      </w:r>
      <w:r>
        <w:rPr>
          <w:spacing w:val="-2"/>
        </w:rPr>
        <w:t xml:space="preserve"> </w:t>
      </w:r>
      <w:r>
        <w:rPr>
          <w:spacing w:val="-1"/>
        </w:rPr>
        <w:t>Implementation</w:t>
      </w:r>
      <w:r>
        <w:t xml:space="preserve"> </w:t>
      </w:r>
      <w:r>
        <w:rPr>
          <w:spacing w:val="-2"/>
        </w:rPr>
        <w:t>Plan.</w:t>
      </w:r>
    </w:p>
    <w:p w:rsidR="008918FA" w:rsidRDefault="008918FA" w:rsidP="008918FA">
      <w:pPr>
        <w:pStyle w:val="BodyText"/>
        <w:numPr>
          <w:ilvl w:val="3"/>
          <w:numId w:val="69"/>
        </w:numPr>
        <w:tabs>
          <w:tab w:val="left" w:pos="1887"/>
        </w:tabs>
        <w:ind w:left="1886" w:right="111" w:hanging="993"/>
        <w:jc w:val="both"/>
      </w:pPr>
      <w:bookmarkStart w:id="59" w:name="_bookmark58"/>
      <w:bookmarkEnd w:id="59"/>
      <w:r>
        <w:rPr>
          <w:spacing w:val="-1"/>
        </w:rPr>
        <w:t>Changes</w:t>
      </w:r>
      <w:r>
        <w:rPr>
          <w:spacing w:val="30"/>
        </w:rPr>
        <w:t xml:space="preserve"> </w:t>
      </w:r>
      <w:r>
        <w:t>to</w:t>
      </w:r>
      <w:r>
        <w:rPr>
          <w:spacing w:val="29"/>
        </w:rPr>
        <w:t xml:space="preserve"> </w:t>
      </w:r>
      <w:r>
        <w:t>the</w:t>
      </w:r>
      <w:r>
        <w:rPr>
          <w:spacing w:val="31"/>
        </w:rPr>
        <w:t xml:space="preserve"> </w:t>
      </w:r>
      <w:r>
        <w:rPr>
          <w:spacing w:val="-1"/>
        </w:rPr>
        <w:t>Milestones</w:t>
      </w:r>
      <w:r>
        <w:rPr>
          <w:spacing w:val="32"/>
        </w:rPr>
        <w:t xml:space="preserve"> </w:t>
      </w:r>
      <w:r>
        <w:rPr>
          <w:spacing w:val="-2"/>
        </w:rPr>
        <w:t>(if</w:t>
      </w:r>
      <w:r>
        <w:rPr>
          <w:spacing w:val="35"/>
        </w:rPr>
        <w:t xml:space="preserve"> </w:t>
      </w:r>
      <w:r>
        <w:rPr>
          <w:spacing w:val="-1"/>
        </w:rPr>
        <w:t>any),</w:t>
      </w:r>
      <w:r>
        <w:rPr>
          <w:spacing w:val="30"/>
        </w:rPr>
        <w:t xml:space="preserve"> </w:t>
      </w:r>
      <w:r>
        <w:rPr>
          <w:spacing w:val="-2"/>
        </w:rPr>
        <w:t>Milestone</w:t>
      </w:r>
      <w:r>
        <w:rPr>
          <w:spacing w:val="34"/>
        </w:rPr>
        <w:t xml:space="preserve"> </w:t>
      </w:r>
      <w:r>
        <w:rPr>
          <w:spacing w:val="-1"/>
        </w:rPr>
        <w:t>Payments</w:t>
      </w:r>
      <w:r>
        <w:rPr>
          <w:spacing w:val="32"/>
        </w:rPr>
        <w:t xml:space="preserve"> </w:t>
      </w:r>
      <w:r>
        <w:rPr>
          <w:spacing w:val="-2"/>
        </w:rPr>
        <w:t>(if</w:t>
      </w:r>
      <w:r>
        <w:rPr>
          <w:spacing w:val="36"/>
        </w:rPr>
        <w:t xml:space="preserve"> </w:t>
      </w:r>
      <w:r>
        <w:rPr>
          <w:spacing w:val="-2"/>
        </w:rPr>
        <w:t>any)</w:t>
      </w:r>
      <w:r>
        <w:rPr>
          <w:spacing w:val="33"/>
        </w:rPr>
        <w:t xml:space="preserve"> </w:t>
      </w:r>
      <w:r>
        <w:rPr>
          <w:spacing w:val="-2"/>
        </w:rPr>
        <w:t>and</w:t>
      </w:r>
      <w:r>
        <w:rPr>
          <w:spacing w:val="49"/>
        </w:rPr>
        <w:t xml:space="preserve"> </w:t>
      </w:r>
      <w:r>
        <w:rPr>
          <w:spacing w:val="-2"/>
        </w:rPr>
        <w:t>Delay</w:t>
      </w:r>
      <w:r>
        <w:rPr>
          <w:spacing w:val="39"/>
        </w:rPr>
        <w:t xml:space="preserve"> </w:t>
      </w:r>
      <w:r>
        <w:rPr>
          <w:spacing w:val="-1"/>
        </w:rPr>
        <w:t>Payments</w:t>
      </w:r>
      <w:r>
        <w:rPr>
          <w:spacing w:val="39"/>
        </w:rPr>
        <w:t xml:space="preserve"> </w:t>
      </w:r>
      <w:r>
        <w:rPr>
          <w:spacing w:val="-2"/>
        </w:rPr>
        <w:t>(if</w:t>
      </w:r>
      <w:r>
        <w:rPr>
          <w:spacing w:val="42"/>
        </w:rPr>
        <w:t xml:space="preserve"> </w:t>
      </w:r>
      <w:r>
        <w:rPr>
          <w:spacing w:val="-2"/>
        </w:rPr>
        <w:t>any)</w:t>
      </w:r>
      <w:r>
        <w:rPr>
          <w:spacing w:val="39"/>
        </w:rPr>
        <w:t xml:space="preserve"> </w:t>
      </w:r>
      <w:r>
        <w:rPr>
          <w:spacing w:val="-1"/>
        </w:rPr>
        <w:t>shall</w:t>
      </w:r>
      <w:r>
        <w:rPr>
          <w:spacing w:val="38"/>
        </w:rPr>
        <w:t xml:space="preserve"> </w:t>
      </w:r>
      <w:r>
        <w:rPr>
          <w:spacing w:val="-1"/>
        </w:rPr>
        <w:t>only</w:t>
      </w:r>
      <w:r>
        <w:rPr>
          <w:spacing w:val="36"/>
        </w:rPr>
        <w:t xml:space="preserve"> </w:t>
      </w:r>
      <w:r>
        <w:rPr>
          <w:spacing w:val="-1"/>
        </w:rPr>
        <w:t>be</w:t>
      </w:r>
      <w:r>
        <w:rPr>
          <w:spacing w:val="42"/>
        </w:rPr>
        <w:t xml:space="preserve"> </w:t>
      </w:r>
      <w:r>
        <w:rPr>
          <w:spacing w:val="-1"/>
        </w:rPr>
        <w:t>made</w:t>
      </w:r>
      <w:r>
        <w:rPr>
          <w:spacing w:val="38"/>
        </w:rPr>
        <w:t xml:space="preserve"> </w:t>
      </w:r>
      <w:r>
        <w:rPr>
          <w:spacing w:val="-1"/>
        </w:rPr>
        <w:t>in</w:t>
      </w:r>
      <w:r>
        <w:rPr>
          <w:spacing w:val="41"/>
        </w:rPr>
        <w:t xml:space="preserve"> </w:t>
      </w:r>
      <w:r>
        <w:rPr>
          <w:spacing w:val="-1"/>
        </w:rPr>
        <w:t>accordance</w:t>
      </w:r>
      <w:r>
        <w:rPr>
          <w:spacing w:val="39"/>
        </w:rPr>
        <w:t xml:space="preserve"> </w:t>
      </w:r>
      <w:r>
        <w:rPr>
          <w:spacing w:val="-2"/>
        </w:rPr>
        <w:t>with</w:t>
      </w:r>
      <w:r>
        <w:rPr>
          <w:spacing w:val="38"/>
        </w:rPr>
        <w:t xml:space="preserve"> </w:t>
      </w:r>
      <w:r>
        <w:rPr>
          <w:spacing w:val="-1"/>
        </w:rPr>
        <w:t>the</w:t>
      </w:r>
      <w:r>
        <w:rPr>
          <w:spacing w:val="58"/>
        </w:rPr>
        <w:t xml:space="preserve"> </w:t>
      </w:r>
      <w:r>
        <w:rPr>
          <w:spacing w:val="-1"/>
        </w:rPr>
        <w:t>Variation</w:t>
      </w:r>
      <w:r>
        <w:rPr>
          <w:spacing w:val="5"/>
        </w:rPr>
        <w:t xml:space="preserve"> </w:t>
      </w:r>
      <w:r>
        <w:rPr>
          <w:spacing w:val="-1"/>
        </w:rPr>
        <w:t>Procedure</w:t>
      </w:r>
      <w:r>
        <w:rPr>
          <w:spacing w:val="5"/>
        </w:rPr>
        <w:t xml:space="preserve"> </w:t>
      </w:r>
      <w:r>
        <w:rPr>
          <w:spacing w:val="-1"/>
        </w:rPr>
        <w:t>and</w:t>
      </w:r>
      <w:r>
        <w:rPr>
          <w:spacing w:val="3"/>
        </w:rPr>
        <w:t xml:space="preserve"> </w:t>
      </w:r>
      <w:r>
        <w:rPr>
          <w:spacing w:val="-2"/>
        </w:rPr>
        <w:t>provided</w:t>
      </w:r>
      <w:r>
        <w:rPr>
          <w:spacing w:val="5"/>
        </w:rPr>
        <w:t xml:space="preserve"> </w:t>
      </w:r>
      <w:r>
        <w:rPr>
          <w:spacing w:val="-1"/>
        </w:rPr>
        <w:t>that</w:t>
      </w:r>
      <w:r>
        <w:rPr>
          <w:spacing w:val="7"/>
        </w:rPr>
        <w:t xml:space="preserve"> </w:t>
      </w:r>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1"/>
        </w:rPr>
        <w:t>not</w:t>
      </w:r>
      <w:r>
        <w:rPr>
          <w:spacing w:val="7"/>
        </w:rPr>
        <w:t xml:space="preserve"> </w:t>
      </w:r>
      <w:r>
        <w:rPr>
          <w:spacing w:val="-1"/>
        </w:rPr>
        <w:t>attempt</w:t>
      </w:r>
      <w:r>
        <w:rPr>
          <w:spacing w:val="7"/>
        </w:rPr>
        <w:t xml:space="preserve"> </w:t>
      </w:r>
      <w:r>
        <w:t>to</w:t>
      </w:r>
      <w:r>
        <w:rPr>
          <w:spacing w:val="59"/>
        </w:rPr>
        <w:t xml:space="preserve"> </w:t>
      </w:r>
      <w:r>
        <w:rPr>
          <w:spacing w:val="-1"/>
        </w:rPr>
        <w:t>postpone</w:t>
      </w:r>
      <w:r>
        <w:rPr>
          <w:spacing w:val="11"/>
        </w:rPr>
        <w:t xml:space="preserve"> </w:t>
      </w:r>
      <w:r>
        <w:rPr>
          <w:spacing w:val="-1"/>
        </w:rPr>
        <w:t>any</w:t>
      </w:r>
      <w:r>
        <w:rPr>
          <w:spacing w:val="9"/>
        </w:rPr>
        <w:t xml:space="preserve"> </w:t>
      </w:r>
      <w:r>
        <w:rPr>
          <w:spacing w:val="-1"/>
        </w:rPr>
        <w:t>of</w:t>
      </w:r>
      <w:r>
        <w:rPr>
          <w:spacing w:val="13"/>
        </w:rPr>
        <w:t xml:space="preserve"> </w:t>
      </w:r>
      <w:r>
        <w:t>the</w:t>
      </w:r>
      <w:r>
        <w:rPr>
          <w:spacing w:val="9"/>
        </w:rPr>
        <w:t xml:space="preserve"> </w:t>
      </w:r>
      <w:r>
        <w:rPr>
          <w:spacing w:val="-1"/>
        </w:rPr>
        <w:t>Milestones</w:t>
      </w:r>
      <w:r>
        <w:rPr>
          <w:spacing w:val="12"/>
        </w:rPr>
        <w:t xml:space="preserve"> </w:t>
      </w:r>
      <w:r>
        <w:rPr>
          <w:spacing w:val="-1"/>
        </w:rPr>
        <w:t>using</w:t>
      </w:r>
      <w:r>
        <w:rPr>
          <w:spacing w:val="14"/>
        </w:rPr>
        <w:t xml:space="preserve"> </w:t>
      </w:r>
      <w:r>
        <w:t>the</w:t>
      </w:r>
      <w:r>
        <w:rPr>
          <w:spacing w:val="11"/>
        </w:rPr>
        <w:t xml:space="preserve"> </w:t>
      </w:r>
      <w:r>
        <w:rPr>
          <w:spacing w:val="-2"/>
        </w:rPr>
        <w:t>Variation</w:t>
      </w:r>
      <w:r>
        <w:rPr>
          <w:spacing w:val="11"/>
        </w:rPr>
        <w:t xml:space="preserve"> </w:t>
      </w:r>
      <w:r>
        <w:rPr>
          <w:spacing w:val="-1"/>
        </w:rPr>
        <w:t>Procedure</w:t>
      </w:r>
      <w:r>
        <w:rPr>
          <w:spacing w:val="11"/>
        </w:rPr>
        <w:t xml:space="preserve"> </w:t>
      </w:r>
      <w:r>
        <w:rPr>
          <w:spacing w:val="-2"/>
        </w:rPr>
        <w:t>or</w:t>
      </w:r>
      <w:r>
        <w:rPr>
          <w:spacing w:val="39"/>
        </w:rPr>
        <w:t xml:space="preserve"> </w:t>
      </w:r>
      <w:r>
        <w:rPr>
          <w:spacing w:val="-1"/>
        </w:rPr>
        <w:t>otherwise</w:t>
      </w:r>
      <w:r>
        <w:rPr>
          <w:spacing w:val="16"/>
        </w:rPr>
        <w:t xml:space="preserve"> </w:t>
      </w:r>
      <w:r>
        <w:rPr>
          <w:spacing w:val="-1"/>
        </w:rPr>
        <w:t>(except</w:t>
      </w:r>
      <w:r>
        <w:rPr>
          <w:spacing w:val="16"/>
        </w:rPr>
        <w:t xml:space="preserve"> </w:t>
      </w:r>
      <w:r>
        <w:rPr>
          <w:spacing w:val="-1"/>
        </w:rPr>
        <w:t>in</w:t>
      </w:r>
      <w:r>
        <w:rPr>
          <w:spacing w:val="12"/>
        </w:rPr>
        <w:t xml:space="preserve"> </w:t>
      </w:r>
      <w:r>
        <w:t>the</w:t>
      </w:r>
      <w:r>
        <w:rPr>
          <w:spacing w:val="12"/>
        </w:rPr>
        <w:t xml:space="preserve"> </w:t>
      </w:r>
      <w:r>
        <w:rPr>
          <w:spacing w:val="-2"/>
        </w:rPr>
        <w:t>event</w:t>
      </w:r>
      <w:r>
        <w:rPr>
          <w:spacing w:val="16"/>
        </w:rPr>
        <w:t xml:space="preserve"> </w:t>
      </w:r>
      <w:r>
        <w:rPr>
          <w:spacing w:val="-2"/>
        </w:rPr>
        <w:t>of</w:t>
      </w:r>
      <w:r>
        <w:rPr>
          <w:spacing w:val="19"/>
        </w:rPr>
        <w:t xml:space="preserve"> </w:t>
      </w:r>
      <w:r>
        <w:t>a</w:t>
      </w:r>
      <w:r>
        <w:rPr>
          <w:spacing w:val="12"/>
        </w:rPr>
        <w:t xml:space="preserve"> </w:t>
      </w:r>
      <w:r>
        <w:rPr>
          <w:spacing w:val="-1"/>
        </w:rPr>
        <w:t>Customer</w:t>
      </w:r>
      <w:r>
        <w:rPr>
          <w:spacing w:val="14"/>
        </w:rPr>
        <w:t xml:space="preserve"> </w:t>
      </w:r>
      <w:r>
        <w:rPr>
          <w:spacing w:val="-2"/>
        </w:rPr>
        <w:t>Cause</w:t>
      </w:r>
      <w:r>
        <w:rPr>
          <w:spacing w:val="15"/>
        </w:rPr>
        <w:t xml:space="preserve"> </w:t>
      </w:r>
      <w:r>
        <w:rPr>
          <w:spacing w:val="-2"/>
        </w:rPr>
        <w:t>which</w:t>
      </w:r>
      <w:r>
        <w:rPr>
          <w:spacing w:val="15"/>
        </w:rPr>
        <w:t xml:space="preserve"> </w:t>
      </w:r>
      <w:r>
        <w:rPr>
          <w:spacing w:val="-1"/>
        </w:rPr>
        <w:t>affects</w:t>
      </w:r>
      <w:r>
        <w:rPr>
          <w:spacing w:val="13"/>
        </w:rPr>
        <w:t xml:space="preserve"> </w:t>
      </w:r>
      <w:r>
        <w:rPr>
          <w:spacing w:val="-1"/>
        </w:rPr>
        <w:t>the</w:t>
      </w:r>
      <w:r>
        <w:rPr>
          <w:spacing w:val="38"/>
        </w:rPr>
        <w:t xml:space="preserve"> </w:t>
      </w:r>
      <w:r>
        <w:rPr>
          <w:spacing w:val="-1"/>
        </w:rPr>
        <w:t>Supplier's</w:t>
      </w:r>
      <w:r>
        <w:rPr>
          <w:spacing w:val="2"/>
        </w:rPr>
        <w:t xml:space="preserve"> </w:t>
      </w:r>
      <w:r>
        <w:rPr>
          <w:spacing w:val="-1"/>
        </w:rPr>
        <w:t>ability</w:t>
      </w:r>
      <w:r>
        <w:t xml:space="preserve"> to</w:t>
      </w:r>
      <w:r>
        <w:rPr>
          <w:spacing w:val="2"/>
        </w:rPr>
        <w:t xml:space="preserve"> </w:t>
      </w:r>
      <w:r>
        <w:rPr>
          <w:spacing w:val="-1"/>
        </w:rPr>
        <w:t>achieve</w:t>
      </w:r>
      <w:r>
        <w:rPr>
          <w:spacing w:val="4"/>
        </w:rPr>
        <w:t xml:space="preserve"> </w:t>
      </w:r>
      <w:r>
        <w:t>a</w:t>
      </w:r>
      <w:r>
        <w:rPr>
          <w:spacing w:val="4"/>
        </w:rPr>
        <w:t xml:space="preserve"> </w:t>
      </w:r>
      <w:r>
        <w:rPr>
          <w:spacing w:val="-1"/>
        </w:rPr>
        <w:t>Milestone</w:t>
      </w:r>
      <w:r>
        <w:rPr>
          <w:spacing w:val="2"/>
        </w:rPr>
        <w:t xml:space="preserve"> </w:t>
      </w:r>
      <w:r>
        <w:rPr>
          <w:spacing w:val="1"/>
        </w:rPr>
        <w:t>by</w:t>
      </w:r>
      <w:r>
        <w:rPr>
          <w:spacing w:val="61"/>
        </w:rPr>
        <w:t xml:space="preserve"> </w:t>
      </w:r>
      <w:r>
        <w:rPr>
          <w:spacing w:val="1"/>
        </w:rPr>
        <w:t>the</w:t>
      </w:r>
      <w:r>
        <w:rPr>
          <w:spacing w:val="2"/>
        </w:rPr>
        <w:t xml:space="preserve"> </w:t>
      </w:r>
      <w:r>
        <w:rPr>
          <w:spacing w:val="-2"/>
        </w:rPr>
        <w:t>relevant</w:t>
      </w:r>
      <w:r>
        <w:rPr>
          <w:spacing w:val="5"/>
        </w:rPr>
        <w:t xml:space="preserve"> </w:t>
      </w:r>
      <w:r>
        <w:rPr>
          <w:spacing w:val="-2"/>
        </w:rPr>
        <w:t>Milestone</w:t>
      </w:r>
      <w:r>
        <w:rPr>
          <w:spacing w:val="42"/>
        </w:rPr>
        <w:t xml:space="preserve"> </w:t>
      </w:r>
      <w:r>
        <w:rPr>
          <w:spacing w:val="-1"/>
        </w:rPr>
        <w:t>Date).</w:t>
      </w:r>
    </w:p>
    <w:p w:rsidR="008918FA" w:rsidRDefault="008918FA" w:rsidP="008918FA">
      <w:pPr>
        <w:pStyle w:val="BodyText"/>
        <w:numPr>
          <w:ilvl w:val="3"/>
          <w:numId w:val="69"/>
        </w:numPr>
        <w:tabs>
          <w:tab w:val="left" w:pos="1887"/>
        </w:tabs>
        <w:ind w:left="1886" w:right="113" w:hanging="993"/>
        <w:jc w:val="both"/>
      </w:pPr>
      <w:r>
        <w:rPr>
          <w:spacing w:val="-1"/>
        </w:rPr>
        <w:t>Where</w:t>
      </w:r>
      <w:r>
        <w:rPr>
          <w:spacing w:val="44"/>
        </w:rPr>
        <w:t xml:space="preserve"> </w:t>
      </w:r>
      <w:r>
        <w:rPr>
          <w:spacing w:val="-1"/>
        </w:rPr>
        <w:t>so</w:t>
      </w:r>
      <w:r>
        <w:rPr>
          <w:spacing w:val="44"/>
        </w:rPr>
        <w:t xml:space="preserve"> </w:t>
      </w:r>
      <w:r>
        <w:rPr>
          <w:spacing w:val="-1"/>
        </w:rPr>
        <w:t>specified</w:t>
      </w:r>
      <w:r>
        <w:rPr>
          <w:spacing w:val="43"/>
        </w:rPr>
        <w:t xml:space="preserve"> </w:t>
      </w:r>
      <w:r>
        <w:rPr>
          <w:spacing w:val="-1"/>
        </w:rPr>
        <w:t>by</w:t>
      </w:r>
      <w:r>
        <w:rPr>
          <w:spacing w:val="44"/>
        </w:rPr>
        <w:t xml:space="preserve"> </w:t>
      </w:r>
      <w:r>
        <w:t>the</w:t>
      </w:r>
      <w:r>
        <w:rPr>
          <w:spacing w:val="43"/>
        </w:rPr>
        <w:t xml:space="preserve"> </w:t>
      </w:r>
      <w:r>
        <w:rPr>
          <w:spacing w:val="-1"/>
        </w:rPr>
        <w:t>Customer</w:t>
      </w:r>
      <w:r>
        <w:rPr>
          <w:spacing w:val="45"/>
        </w:rPr>
        <w:t xml:space="preserve"> </w:t>
      </w:r>
      <w:r>
        <w:rPr>
          <w:spacing w:val="-1"/>
        </w:rPr>
        <w:t>in</w:t>
      </w:r>
      <w:r>
        <w:rPr>
          <w:spacing w:val="44"/>
        </w:rPr>
        <w:t xml:space="preserve"> </w:t>
      </w:r>
      <w:r>
        <w:t>the</w:t>
      </w:r>
      <w:r>
        <w:rPr>
          <w:spacing w:val="43"/>
        </w:rPr>
        <w:t xml:space="preserve"> </w:t>
      </w:r>
      <w:r>
        <w:rPr>
          <w:spacing w:val="-1"/>
        </w:rPr>
        <w:t>Implementation</w:t>
      </w:r>
      <w:r>
        <w:rPr>
          <w:spacing w:val="43"/>
        </w:rPr>
        <w:t xml:space="preserve"> </w:t>
      </w:r>
      <w:r>
        <w:rPr>
          <w:spacing w:val="-1"/>
        </w:rPr>
        <w:t>Plan</w:t>
      </w:r>
      <w:r>
        <w:rPr>
          <w:spacing w:val="43"/>
        </w:rPr>
        <w:t xml:space="preserve"> </w:t>
      </w:r>
      <w:r>
        <w:rPr>
          <w:spacing w:val="-1"/>
        </w:rPr>
        <w:t>or</w:t>
      </w:r>
      <w:r>
        <w:rPr>
          <w:spacing w:val="28"/>
        </w:rPr>
        <w:t xml:space="preserve"> </w:t>
      </w:r>
      <w:r>
        <w:rPr>
          <w:spacing w:val="-2"/>
        </w:rPr>
        <w:t>elsewhere</w:t>
      </w:r>
      <w:r>
        <w:rPr>
          <w:spacing w:val="15"/>
        </w:rPr>
        <w:t xml:space="preserve"> </w:t>
      </w:r>
      <w:r>
        <w:rPr>
          <w:spacing w:val="-1"/>
        </w:rPr>
        <w:t>in</w:t>
      </w:r>
      <w:r>
        <w:rPr>
          <w:spacing w:val="15"/>
        </w:rPr>
        <w:t xml:space="preserve"> </w:t>
      </w:r>
      <w:r>
        <w:rPr>
          <w:spacing w:val="-1"/>
        </w:rPr>
        <w:t>this</w:t>
      </w:r>
      <w:r>
        <w:rPr>
          <w:spacing w:val="15"/>
        </w:rPr>
        <w:t xml:space="preserve"> </w:t>
      </w:r>
      <w:r>
        <w:rPr>
          <w:spacing w:val="-1"/>
        </w:rPr>
        <w:t>Call</w:t>
      </w:r>
      <w:r>
        <w:rPr>
          <w:spacing w:val="14"/>
        </w:rPr>
        <w:t xml:space="preserve"> </w:t>
      </w:r>
      <w:r>
        <w:t>Off</w:t>
      </w:r>
      <w:r>
        <w:rPr>
          <w:spacing w:val="19"/>
        </w:rPr>
        <w:t xml:space="preserve"> </w:t>
      </w:r>
      <w:r>
        <w:rPr>
          <w:spacing w:val="-2"/>
        </w:rPr>
        <w:t>Contract,</w:t>
      </w:r>
      <w:r>
        <w:rPr>
          <w:spacing w:val="16"/>
        </w:rPr>
        <w:t xml:space="preserve"> </w:t>
      </w:r>
      <w:r>
        <w:rPr>
          <w:spacing w:val="-1"/>
        </w:rPr>
        <w:t>time</w:t>
      </w:r>
      <w:r>
        <w:rPr>
          <w:spacing w:val="15"/>
        </w:rPr>
        <w:t xml:space="preserve"> </w:t>
      </w:r>
      <w:r>
        <w:rPr>
          <w:spacing w:val="-1"/>
        </w:rPr>
        <w:t>in</w:t>
      </w:r>
      <w:r>
        <w:rPr>
          <w:spacing w:val="15"/>
        </w:rPr>
        <w:t xml:space="preserve"> </w:t>
      </w:r>
      <w:r>
        <w:rPr>
          <w:spacing w:val="-1"/>
        </w:rPr>
        <w:t>relation</w:t>
      </w:r>
      <w:r>
        <w:rPr>
          <w:spacing w:val="15"/>
        </w:rPr>
        <w:t xml:space="preserve"> </w:t>
      </w:r>
      <w:r>
        <w:t>to</w:t>
      </w:r>
      <w:r>
        <w:rPr>
          <w:spacing w:val="16"/>
        </w:rPr>
        <w:t xml:space="preserve"> </w:t>
      </w:r>
      <w:r>
        <w:rPr>
          <w:spacing w:val="-1"/>
        </w:rPr>
        <w:t>compliance</w:t>
      </w:r>
      <w:r>
        <w:rPr>
          <w:spacing w:val="15"/>
        </w:rPr>
        <w:t xml:space="preserve"> </w:t>
      </w:r>
      <w:r>
        <w:rPr>
          <w:spacing w:val="-2"/>
        </w:rPr>
        <w:t>with</w:t>
      </w:r>
      <w:r>
        <w:rPr>
          <w:spacing w:val="59"/>
        </w:rPr>
        <w:t xml:space="preserve"> </w:t>
      </w:r>
      <w:r>
        <w:t>a</w:t>
      </w:r>
      <w:r>
        <w:rPr>
          <w:spacing w:val="10"/>
        </w:rPr>
        <w:t xml:space="preserve"> </w:t>
      </w:r>
      <w:r>
        <w:rPr>
          <w:spacing w:val="-1"/>
        </w:rPr>
        <w:t>date,</w:t>
      </w:r>
      <w:r>
        <w:rPr>
          <w:spacing w:val="11"/>
        </w:rPr>
        <w:t xml:space="preserve"> </w:t>
      </w:r>
      <w:r>
        <w:rPr>
          <w:spacing w:val="-2"/>
        </w:rPr>
        <w:t>Milestone</w:t>
      </w:r>
      <w:r>
        <w:rPr>
          <w:spacing w:val="10"/>
        </w:rPr>
        <w:t xml:space="preserve"> </w:t>
      </w:r>
      <w:r>
        <w:rPr>
          <w:spacing w:val="-1"/>
        </w:rPr>
        <w:t>Date</w:t>
      </w:r>
      <w:r>
        <w:rPr>
          <w:spacing w:val="10"/>
        </w:rPr>
        <w:t xml:space="preserve"> </w:t>
      </w:r>
      <w:r>
        <w:rPr>
          <w:spacing w:val="1"/>
        </w:rPr>
        <w:t>or</w:t>
      </w:r>
      <w:r>
        <w:rPr>
          <w:spacing w:val="11"/>
        </w:rPr>
        <w:t xml:space="preserve"> </w:t>
      </w:r>
      <w:r>
        <w:rPr>
          <w:spacing w:val="-1"/>
        </w:rPr>
        <w:t>period</w:t>
      </w:r>
      <w:r>
        <w:rPr>
          <w:spacing w:val="10"/>
        </w:rPr>
        <w:t xml:space="preserve"> </w:t>
      </w:r>
      <w:r>
        <w:rPr>
          <w:spacing w:val="-1"/>
        </w:rPr>
        <w:t>shall</w:t>
      </w:r>
      <w:r>
        <w:rPr>
          <w:spacing w:val="9"/>
        </w:rPr>
        <w:t xml:space="preserve"> </w:t>
      </w:r>
      <w:r>
        <w:rPr>
          <w:spacing w:val="-1"/>
        </w:rPr>
        <w:t>be</w:t>
      </w:r>
      <w:r>
        <w:rPr>
          <w:spacing w:val="10"/>
        </w:rPr>
        <w:t xml:space="preserve"> </w:t>
      </w:r>
      <w:r>
        <w:rPr>
          <w:spacing w:val="-1"/>
        </w:rPr>
        <w:t>of</w:t>
      </w:r>
      <w:r>
        <w:rPr>
          <w:spacing w:val="14"/>
        </w:rPr>
        <w:t xml:space="preserve"> </w:t>
      </w:r>
      <w:r>
        <w:t>the</w:t>
      </w:r>
      <w:r>
        <w:rPr>
          <w:spacing w:val="10"/>
        </w:rPr>
        <w:t xml:space="preserve"> </w:t>
      </w:r>
      <w:r>
        <w:rPr>
          <w:spacing w:val="-1"/>
        </w:rPr>
        <w:t>essence</w:t>
      </w:r>
      <w:r>
        <w:rPr>
          <w:spacing w:val="10"/>
        </w:rPr>
        <w:t xml:space="preserve"> </w:t>
      </w:r>
      <w:r>
        <w:rPr>
          <w:spacing w:val="-1"/>
        </w:rPr>
        <w:t>and</w:t>
      </w:r>
      <w:r>
        <w:rPr>
          <w:spacing w:val="7"/>
        </w:rPr>
        <w:t xml:space="preserve"> </w:t>
      </w:r>
      <w:r>
        <w:rPr>
          <w:spacing w:val="-1"/>
        </w:rPr>
        <w:t>failure</w:t>
      </w:r>
      <w:r>
        <w:rPr>
          <w:spacing w:val="10"/>
        </w:rPr>
        <w:t xml:space="preserve"> </w:t>
      </w:r>
      <w:r>
        <w:rPr>
          <w:spacing w:val="-2"/>
        </w:rPr>
        <w:t>of</w:t>
      </w:r>
      <w:r>
        <w:rPr>
          <w:spacing w:val="45"/>
        </w:rPr>
        <w:t xml:space="preserve"> </w:t>
      </w:r>
      <w:r>
        <w:t>the</w:t>
      </w:r>
      <w:r>
        <w:rPr>
          <w:spacing w:val="22"/>
        </w:rPr>
        <w:t xml:space="preserve"> </w:t>
      </w:r>
      <w:r>
        <w:rPr>
          <w:spacing w:val="-2"/>
        </w:rPr>
        <w:t>Supplier</w:t>
      </w:r>
      <w:r>
        <w:rPr>
          <w:spacing w:val="23"/>
        </w:rPr>
        <w:t xml:space="preserve"> </w:t>
      </w:r>
      <w:r>
        <w:t>to</w:t>
      </w:r>
      <w:r>
        <w:rPr>
          <w:spacing w:val="20"/>
        </w:rPr>
        <w:t xml:space="preserve"> </w:t>
      </w:r>
      <w:r>
        <w:rPr>
          <w:spacing w:val="-1"/>
        </w:rPr>
        <w:t>comply</w:t>
      </w:r>
      <w:r>
        <w:rPr>
          <w:spacing w:val="20"/>
        </w:rPr>
        <w:t xml:space="preserve"> </w:t>
      </w:r>
      <w:r>
        <w:rPr>
          <w:spacing w:val="-1"/>
        </w:rPr>
        <w:t>with</w:t>
      </w:r>
      <w:r>
        <w:rPr>
          <w:spacing w:val="22"/>
        </w:rPr>
        <w:t xml:space="preserve"> </w:t>
      </w:r>
      <w:r>
        <w:rPr>
          <w:spacing w:val="-1"/>
        </w:rPr>
        <w:t>such</w:t>
      </w:r>
      <w:r>
        <w:rPr>
          <w:spacing w:val="22"/>
        </w:rPr>
        <w:t xml:space="preserve"> </w:t>
      </w:r>
      <w:r>
        <w:rPr>
          <w:spacing w:val="-1"/>
        </w:rPr>
        <w:t>date,</w:t>
      </w:r>
      <w:r>
        <w:rPr>
          <w:spacing w:val="23"/>
        </w:rPr>
        <w:t xml:space="preserve"> </w:t>
      </w:r>
      <w:r>
        <w:rPr>
          <w:spacing w:val="-2"/>
        </w:rPr>
        <w:t>Milestone</w:t>
      </w:r>
      <w:r>
        <w:rPr>
          <w:spacing w:val="22"/>
        </w:rPr>
        <w:t xml:space="preserve"> </w:t>
      </w:r>
      <w:r>
        <w:rPr>
          <w:spacing w:val="-1"/>
        </w:rPr>
        <w:t>Date</w:t>
      </w:r>
      <w:r>
        <w:rPr>
          <w:spacing w:val="22"/>
        </w:rPr>
        <w:t xml:space="preserve"> </w:t>
      </w:r>
      <w:r>
        <w:rPr>
          <w:spacing w:val="-1"/>
        </w:rPr>
        <w:t>or</w:t>
      </w:r>
      <w:r>
        <w:rPr>
          <w:spacing w:val="23"/>
        </w:rPr>
        <w:t xml:space="preserve"> </w:t>
      </w:r>
      <w:r>
        <w:rPr>
          <w:spacing w:val="-2"/>
        </w:rPr>
        <w:t>period</w:t>
      </w:r>
      <w:r>
        <w:rPr>
          <w:spacing w:val="22"/>
        </w:rPr>
        <w:t xml:space="preserve"> </w:t>
      </w:r>
      <w:r>
        <w:rPr>
          <w:spacing w:val="-1"/>
        </w:rPr>
        <w:t>shall</w:t>
      </w:r>
      <w:r>
        <w:rPr>
          <w:spacing w:val="61"/>
        </w:rPr>
        <w:t xml:space="preserve"> </w:t>
      </w:r>
      <w:r>
        <w:rPr>
          <w:spacing w:val="-1"/>
        </w:rPr>
        <w:t>be</w:t>
      </w:r>
      <w:r>
        <w:t xml:space="preserve"> a</w:t>
      </w:r>
      <w:r>
        <w:rPr>
          <w:spacing w:val="-2"/>
        </w:rPr>
        <w:t xml:space="preserve"> </w:t>
      </w:r>
      <w:r>
        <w:rPr>
          <w:spacing w:val="-1"/>
        </w:rPr>
        <w:t>material</w:t>
      </w:r>
      <w:r>
        <w:t xml:space="preserve"> </w:t>
      </w:r>
      <w:r>
        <w:rPr>
          <w:spacing w:val="-1"/>
        </w:rPr>
        <w:t>Default</w:t>
      </w:r>
      <w:r>
        <w:t xml:space="preserve"> </w:t>
      </w:r>
      <w:r>
        <w:rPr>
          <w:spacing w:val="-1"/>
        </w:rPr>
        <w:t>unless</w:t>
      </w:r>
      <w:r>
        <w:rPr>
          <w:spacing w:val="1"/>
        </w:rPr>
        <w:t xml:space="preserve"> </w:t>
      </w:r>
      <w:r>
        <w:t>the</w:t>
      </w:r>
      <w:r>
        <w:rPr>
          <w:spacing w:val="-2"/>
        </w:rPr>
        <w:t xml:space="preserve"> </w:t>
      </w:r>
      <w:r>
        <w:rPr>
          <w:spacing w:val="-1"/>
        </w:rPr>
        <w:t>Parties</w:t>
      </w:r>
      <w:r>
        <w:rPr>
          <w:spacing w:val="1"/>
        </w:rPr>
        <w:t xml:space="preserve"> </w:t>
      </w:r>
      <w:r>
        <w:rPr>
          <w:spacing w:val="-1"/>
        </w:rPr>
        <w:t>expressly</w:t>
      </w:r>
      <w:r>
        <w:rPr>
          <w:spacing w:val="-2"/>
        </w:rPr>
        <w:t xml:space="preserve"> </w:t>
      </w:r>
      <w:r>
        <w:rPr>
          <w:spacing w:val="-1"/>
        </w:rPr>
        <w:t>agree</w:t>
      </w:r>
      <w:r>
        <w:rPr>
          <w:spacing w:val="-2"/>
        </w:rPr>
        <w:t xml:space="preserve"> otherwise</w:t>
      </w:r>
      <w:bookmarkStart w:id="60" w:name="_bookmark59"/>
      <w:bookmarkEnd w:id="60"/>
      <w:r>
        <w:rPr>
          <w:spacing w:val="-2"/>
        </w:rPr>
        <w:t>.</w:t>
      </w:r>
    </w:p>
    <w:p w:rsidR="008918FA" w:rsidRDefault="008918FA" w:rsidP="008918FA">
      <w:pPr>
        <w:pStyle w:val="Heading1"/>
        <w:numPr>
          <w:ilvl w:val="2"/>
          <w:numId w:val="69"/>
        </w:numPr>
        <w:tabs>
          <w:tab w:val="left" w:pos="690"/>
        </w:tabs>
        <w:ind w:left="689"/>
        <w:rPr>
          <w:b w:val="0"/>
          <w:bCs w:val="0"/>
        </w:rPr>
      </w:pPr>
      <w:r>
        <w:rPr>
          <w:spacing w:val="-1"/>
        </w:rPr>
        <w:t>Rectification</w:t>
      </w:r>
      <w:r>
        <w:t xml:space="preserve"> </w:t>
      </w:r>
      <w:r>
        <w:rPr>
          <w:spacing w:val="-2"/>
        </w:rPr>
        <w:t>of</w:t>
      </w:r>
      <w:r>
        <w:rPr>
          <w:spacing w:val="2"/>
        </w:rPr>
        <w:t xml:space="preserve"> </w:t>
      </w:r>
      <w:r>
        <w:rPr>
          <w:spacing w:val="-1"/>
        </w:rPr>
        <w:t>Delay</w:t>
      </w:r>
      <w:r>
        <w:rPr>
          <w:spacing w:val="-4"/>
        </w:rPr>
        <w:t xml:space="preserve"> </w:t>
      </w:r>
      <w:r>
        <w:t xml:space="preserve">in </w:t>
      </w:r>
      <w:r>
        <w:rPr>
          <w:spacing w:val="-1"/>
        </w:rPr>
        <w:t>Implementation</w:t>
      </w:r>
    </w:p>
    <w:p w:rsidR="008918FA" w:rsidRDefault="008918FA" w:rsidP="008918FA">
      <w:pPr>
        <w:pStyle w:val="BodyText"/>
        <w:numPr>
          <w:ilvl w:val="3"/>
          <w:numId w:val="69"/>
        </w:numPr>
        <w:tabs>
          <w:tab w:val="left" w:pos="1887"/>
        </w:tabs>
        <w:spacing w:before="121"/>
        <w:ind w:left="1886" w:right="116" w:hanging="993"/>
        <w:jc w:val="both"/>
      </w:pPr>
      <w:r>
        <w:rPr>
          <w:spacing w:val="-1"/>
        </w:rPr>
        <w:t>If</w:t>
      </w:r>
      <w:r>
        <w:rPr>
          <w:spacing w:val="47"/>
        </w:rPr>
        <w:t xml:space="preserve"> </w:t>
      </w:r>
      <w:r>
        <w:t>the</w:t>
      </w:r>
      <w:r>
        <w:rPr>
          <w:spacing w:val="43"/>
        </w:rPr>
        <w:t xml:space="preserve"> </w:t>
      </w:r>
      <w:r>
        <w:rPr>
          <w:spacing w:val="-2"/>
        </w:rPr>
        <w:t>Supplier</w:t>
      </w:r>
      <w:r>
        <w:rPr>
          <w:spacing w:val="47"/>
        </w:rPr>
        <w:t xml:space="preserve"> </w:t>
      </w:r>
      <w:r>
        <w:rPr>
          <w:spacing w:val="-1"/>
        </w:rPr>
        <w:t>becomes</w:t>
      </w:r>
      <w:r>
        <w:rPr>
          <w:spacing w:val="44"/>
        </w:rPr>
        <w:t xml:space="preserve"> </w:t>
      </w:r>
      <w:r>
        <w:rPr>
          <w:spacing w:val="-2"/>
        </w:rPr>
        <w:t>aware</w:t>
      </w:r>
      <w:r>
        <w:rPr>
          <w:spacing w:val="46"/>
        </w:rPr>
        <w:t xml:space="preserve"> </w:t>
      </w:r>
      <w:r>
        <w:rPr>
          <w:spacing w:val="-1"/>
        </w:rPr>
        <w:t>that</w:t>
      </w:r>
      <w:r>
        <w:rPr>
          <w:spacing w:val="45"/>
        </w:rPr>
        <w:t xml:space="preserve"> </w:t>
      </w:r>
      <w:r>
        <w:rPr>
          <w:spacing w:val="-1"/>
        </w:rPr>
        <w:t>there</w:t>
      </w:r>
      <w:r>
        <w:rPr>
          <w:spacing w:val="47"/>
        </w:rPr>
        <w:t xml:space="preserve"> </w:t>
      </w:r>
      <w:r>
        <w:rPr>
          <w:spacing w:val="-2"/>
        </w:rPr>
        <w:t>is,</w:t>
      </w:r>
      <w:r>
        <w:rPr>
          <w:spacing w:val="47"/>
        </w:rPr>
        <w:t xml:space="preserve"> </w:t>
      </w:r>
      <w:r>
        <w:rPr>
          <w:spacing w:val="-2"/>
        </w:rPr>
        <w:t>or</w:t>
      </w:r>
      <w:r>
        <w:rPr>
          <w:spacing w:val="45"/>
        </w:rPr>
        <w:t xml:space="preserve"> </w:t>
      </w:r>
      <w:r>
        <w:rPr>
          <w:spacing w:val="-1"/>
        </w:rPr>
        <w:t>there</w:t>
      </w:r>
      <w:r>
        <w:rPr>
          <w:spacing w:val="46"/>
        </w:rPr>
        <w:t xml:space="preserve"> </w:t>
      </w:r>
      <w:r>
        <w:rPr>
          <w:spacing w:val="-1"/>
        </w:rPr>
        <w:t>is</w:t>
      </w:r>
      <w:r>
        <w:rPr>
          <w:spacing w:val="44"/>
        </w:rPr>
        <w:t xml:space="preserve"> </w:t>
      </w:r>
      <w:r>
        <w:rPr>
          <w:spacing w:val="-1"/>
        </w:rPr>
        <w:t>reasonably</w:t>
      </w:r>
      <w:r>
        <w:rPr>
          <w:spacing w:val="45"/>
        </w:rPr>
        <w:t xml:space="preserve"> </w:t>
      </w:r>
      <w:r>
        <w:rPr>
          <w:spacing w:val="-1"/>
        </w:rPr>
        <w:t>likely</w:t>
      </w:r>
      <w:r>
        <w:rPr>
          <w:spacing w:val="-2"/>
        </w:rPr>
        <w:t xml:space="preserve"> </w:t>
      </w:r>
      <w:r>
        <w:t xml:space="preserve">to </w:t>
      </w:r>
      <w:r>
        <w:rPr>
          <w:spacing w:val="-1"/>
        </w:rPr>
        <w:t>be,</w:t>
      </w:r>
      <w:r>
        <w:t xml:space="preserve"> a </w:t>
      </w:r>
      <w:r>
        <w:rPr>
          <w:spacing w:val="-2"/>
        </w:rPr>
        <w:t>Delay under</w:t>
      </w:r>
      <w:r>
        <w:rPr>
          <w:spacing w:val="-1"/>
        </w:rPr>
        <w:t xml:space="preserve"> this</w:t>
      </w:r>
      <w:r>
        <w:rPr>
          <w:spacing w:val="1"/>
        </w:rPr>
        <w:t xml:space="preserve"> </w:t>
      </w:r>
      <w:r>
        <w:rPr>
          <w:spacing w:val="-2"/>
        </w:rPr>
        <w:t>Call</w:t>
      </w:r>
      <w:r>
        <w:t xml:space="preserve"> </w:t>
      </w:r>
      <w:r>
        <w:rPr>
          <w:spacing w:val="-1"/>
        </w:rPr>
        <w:t>Off</w:t>
      </w:r>
      <w:r>
        <w:t xml:space="preserve"> </w:t>
      </w:r>
      <w:r>
        <w:rPr>
          <w:spacing w:val="-1"/>
        </w:rPr>
        <w:t>Contract:</w:t>
      </w:r>
    </w:p>
    <w:p w:rsidR="008918FA" w:rsidRDefault="008918FA" w:rsidP="008918FA">
      <w:pPr>
        <w:pStyle w:val="BodyText"/>
        <w:numPr>
          <w:ilvl w:val="4"/>
          <w:numId w:val="69"/>
        </w:numPr>
        <w:tabs>
          <w:tab w:val="left" w:pos="2595"/>
        </w:tabs>
        <w:ind w:hanging="1068"/>
        <w:jc w:val="both"/>
      </w:pPr>
      <w:r>
        <w:rPr>
          <w:spacing w:val="-1"/>
        </w:rPr>
        <w:t>it</w:t>
      </w:r>
      <w:r>
        <w:rPr>
          <w:spacing w:val="2"/>
        </w:rPr>
        <w:t xml:space="preserve"> </w:t>
      </w:r>
      <w:r>
        <w:rPr>
          <w:spacing w:val="-2"/>
        </w:rPr>
        <w:t>shall:</w:t>
      </w:r>
    </w:p>
    <w:p w:rsidR="008918FA" w:rsidRDefault="008918FA" w:rsidP="008918FA">
      <w:pPr>
        <w:pStyle w:val="BodyText"/>
        <w:numPr>
          <w:ilvl w:val="5"/>
          <w:numId w:val="69"/>
        </w:numPr>
        <w:tabs>
          <w:tab w:val="left" w:pos="3164"/>
        </w:tabs>
        <w:spacing w:before="121"/>
        <w:ind w:right="114"/>
        <w:jc w:val="both"/>
      </w:pPr>
      <w:r>
        <w:rPr>
          <w:spacing w:val="-1"/>
        </w:rPr>
        <w:t>notify</w:t>
      </w:r>
      <w:r>
        <w:rPr>
          <w:spacing w:val="32"/>
        </w:rPr>
        <w:t xml:space="preserve"> </w:t>
      </w:r>
      <w:r>
        <w:t>the</w:t>
      </w:r>
      <w:r>
        <w:rPr>
          <w:spacing w:val="34"/>
        </w:rPr>
        <w:t xml:space="preserve"> </w:t>
      </w:r>
      <w:r>
        <w:rPr>
          <w:spacing w:val="-1"/>
        </w:rPr>
        <w:t>Customer</w:t>
      </w:r>
      <w:r>
        <w:rPr>
          <w:spacing w:val="35"/>
        </w:rPr>
        <w:t xml:space="preserve"> </w:t>
      </w:r>
      <w:r>
        <w:rPr>
          <w:spacing w:val="-1"/>
        </w:rPr>
        <w:t>as</w:t>
      </w:r>
      <w:r>
        <w:rPr>
          <w:spacing w:val="32"/>
        </w:rPr>
        <w:t xml:space="preserve"> </w:t>
      </w:r>
      <w:r>
        <w:rPr>
          <w:spacing w:val="-1"/>
        </w:rPr>
        <w:t>soon</w:t>
      </w:r>
      <w:r>
        <w:rPr>
          <w:spacing w:val="34"/>
        </w:rPr>
        <w:t xml:space="preserve"> </w:t>
      </w:r>
      <w:r>
        <w:rPr>
          <w:spacing w:val="-1"/>
        </w:rPr>
        <w:t>as</w:t>
      </w:r>
      <w:r>
        <w:rPr>
          <w:spacing w:val="34"/>
        </w:rPr>
        <w:t xml:space="preserve"> </w:t>
      </w:r>
      <w:r>
        <w:rPr>
          <w:spacing w:val="-1"/>
        </w:rPr>
        <w:t>practically</w:t>
      </w:r>
      <w:r>
        <w:rPr>
          <w:spacing w:val="33"/>
        </w:rPr>
        <w:t xml:space="preserve"> </w:t>
      </w:r>
      <w:r>
        <w:rPr>
          <w:spacing w:val="-1"/>
        </w:rPr>
        <w:t>possible</w:t>
      </w:r>
      <w:r>
        <w:rPr>
          <w:spacing w:val="34"/>
        </w:rPr>
        <w:t xml:space="preserve"> </w:t>
      </w:r>
      <w:r>
        <w:rPr>
          <w:spacing w:val="-1"/>
        </w:rPr>
        <w:t>and</w:t>
      </w:r>
      <w:r>
        <w:rPr>
          <w:spacing w:val="22"/>
        </w:rPr>
        <w:t xml:space="preserve"> </w:t>
      </w:r>
      <w:r>
        <w:rPr>
          <w:spacing w:val="-1"/>
        </w:rPr>
        <w:t>no</w:t>
      </w:r>
      <w:r>
        <w:rPr>
          <w:spacing w:val="12"/>
        </w:rPr>
        <w:t xml:space="preserve"> </w:t>
      </w:r>
      <w:r>
        <w:rPr>
          <w:spacing w:val="-1"/>
        </w:rPr>
        <w:t>later</w:t>
      </w:r>
      <w:r>
        <w:rPr>
          <w:spacing w:val="14"/>
        </w:rPr>
        <w:t xml:space="preserve"> </w:t>
      </w:r>
      <w:r>
        <w:rPr>
          <w:spacing w:val="-1"/>
        </w:rPr>
        <w:t>than</w:t>
      </w:r>
      <w:r>
        <w:rPr>
          <w:spacing w:val="13"/>
        </w:rPr>
        <w:t xml:space="preserve"> </w:t>
      </w:r>
      <w:r>
        <w:rPr>
          <w:spacing w:val="-2"/>
        </w:rPr>
        <w:t>within</w:t>
      </w:r>
      <w:r>
        <w:rPr>
          <w:spacing w:val="12"/>
        </w:rPr>
        <w:t xml:space="preserve"> </w:t>
      </w:r>
      <w:r>
        <w:rPr>
          <w:spacing w:val="-1"/>
        </w:rPr>
        <w:t>two</w:t>
      </w:r>
      <w:r>
        <w:rPr>
          <w:spacing w:val="12"/>
        </w:rPr>
        <w:t xml:space="preserve"> </w:t>
      </w:r>
      <w:r>
        <w:t>(2)</w:t>
      </w:r>
      <w:r>
        <w:rPr>
          <w:spacing w:val="9"/>
        </w:rPr>
        <w:t xml:space="preserve"> </w:t>
      </w:r>
      <w:r>
        <w:rPr>
          <w:spacing w:val="-1"/>
        </w:rPr>
        <w:t>Working</w:t>
      </w:r>
      <w:r>
        <w:rPr>
          <w:spacing w:val="15"/>
        </w:rPr>
        <w:t xml:space="preserve"> </w:t>
      </w:r>
      <w:r>
        <w:rPr>
          <w:spacing w:val="-2"/>
        </w:rPr>
        <w:t>Days</w:t>
      </w:r>
      <w:r>
        <w:rPr>
          <w:spacing w:val="10"/>
        </w:rPr>
        <w:t xml:space="preserve"> </w:t>
      </w:r>
      <w:r>
        <w:t>from</w:t>
      </w:r>
      <w:r>
        <w:rPr>
          <w:spacing w:val="14"/>
        </w:rPr>
        <w:t xml:space="preserve"> </w:t>
      </w:r>
      <w:r>
        <w:rPr>
          <w:spacing w:val="-2"/>
        </w:rPr>
        <w:t>becoming</w:t>
      </w:r>
      <w:r>
        <w:rPr>
          <w:spacing w:val="53"/>
        </w:rPr>
        <w:t xml:space="preserve"> </w:t>
      </w:r>
      <w:r>
        <w:rPr>
          <w:spacing w:val="-2"/>
        </w:rPr>
        <w:t>aware</w:t>
      </w:r>
      <w:r>
        <w:t xml:space="preserve"> </w:t>
      </w:r>
      <w:r>
        <w:rPr>
          <w:spacing w:val="-1"/>
        </w:rPr>
        <w:t>of</w:t>
      </w:r>
      <w:r>
        <w:rPr>
          <w:spacing w:val="2"/>
        </w:rPr>
        <w:t xml:space="preserve"> </w:t>
      </w:r>
      <w:r>
        <w:t>the</w:t>
      </w:r>
      <w:r>
        <w:rPr>
          <w:spacing w:val="-2"/>
        </w:rPr>
        <w:t xml:space="preserve"> Delay </w:t>
      </w:r>
      <w:r>
        <w:rPr>
          <w:spacing w:val="-1"/>
        </w:rPr>
        <w:t>or</w:t>
      </w:r>
      <w:r>
        <w:rPr>
          <w:spacing w:val="2"/>
        </w:rPr>
        <w:t xml:space="preserve"> </w:t>
      </w:r>
      <w:r>
        <w:rPr>
          <w:spacing w:val="-1"/>
        </w:rPr>
        <w:t>anticipated</w:t>
      </w:r>
      <w:r>
        <w:t xml:space="preserve"> </w:t>
      </w:r>
      <w:r>
        <w:rPr>
          <w:spacing w:val="-2"/>
        </w:rPr>
        <w:t>Delay;</w:t>
      </w:r>
      <w:r>
        <w:rPr>
          <w:spacing w:val="2"/>
        </w:rPr>
        <w:t xml:space="preserve"> </w:t>
      </w:r>
      <w:r>
        <w:rPr>
          <w:spacing w:val="-1"/>
        </w:rPr>
        <w:t>and</w:t>
      </w:r>
    </w:p>
    <w:p w:rsidR="008918FA" w:rsidRDefault="008918FA" w:rsidP="008918FA">
      <w:pPr>
        <w:pStyle w:val="BodyText"/>
        <w:numPr>
          <w:ilvl w:val="5"/>
          <w:numId w:val="69"/>
        </w:numPr>
        <w:tabs>
          <w:tab w:val="left" w:pos="3164"/>
        </w:tabs>
        <w:ind w:right="114"/>
        <w:jc w:val="both"/>
      </w:pPr>
      <w:r>
        <w:rPr>
          <w:spacing w:val="-1"/>
        </w:rPr>
        <w:t>include</w:t>
      </w:r>
      <w:r>
        <w:rPr>
          <w:spacing w:val="34"/>
        </w:rPr>
        <w:t xml:space="preserve"> </w:t>
      </w:r>
      <w:r>
        <w:rPr>
          <w:spacing w:val="-1"/>
        </w:rPr>
        <w:t>in</w:t>
      </w:r>
      <w:r>
        <w:rPr>
          <w:spacing w:val="34"/>
        </w:rPr>
        <w:t xml:space="preserve"> </w:t>
      </w:r>
      <w:r>
        <w:rPr>
          <w:spacing w:val="-1"/>
        </w:rPr>
        <w:t>its</w:t>
      </w:r>
      <w:r>
        <w:rPr>
          <w:spacing w:val="34"/>
        </w:rPr>
        <w:t xml:space="preserve"> </w:t>
      </w:r>
      <w:r>
        <w:rPr>
          <w:spacing w:val="-1"/>
        </w:rPr>
        <w:t>notification</w:t>
      </w:r>
      <w:r>
        <w:rPr>
          <w:spacing w:val="31"/>
        </w:rPr>
        <w:t xml:space="preserve"> </w:t>
      </w:r>
      <w:r>
        <w:rPr>
          <w:spacing w:val="-1"/>
        </w:rPr>
        <w:t>an</w:t>
      </w:r>
      <w:r>
        <w:rPr>
          <w:spacing w:val="34"/>
        </w:rPr>
        <w:t xml:space="preserve"> </w:t>
      </w:r>
      <w:r>
        <w:rPr>
          <w:spacing w:val="-2"/>
        </w:rPr>
        <w:t>explanation</w:t>
      </w:r>
      <w:r>
        <w:rPr>
          <w:spacing w:val="34"/>
        </w:rPr>
        <w:t xml:space="preserve"> </w:t>
      </w:r>
      <w:r>
        <w:rPr>
          <w:spacing w:val="-1"/>
        </w:rPr>
        <w:t>of</w:t>
      </w:r>
      <w:r>
        <w:rPr>
          <w:spacing w:val="39"/>
        </w:rPr>
        <w:t xml:space="preserve"> </w:t>
      </w:r>
      <w:r>
        <w:t>the</w:t>
      </w:r>
      <w:r>
        <w:rPr>
          <w:spacing w:val="31"/>
        </w:rPr>
        <w:t xml:space="preserve"> </w:t>
      </w:r>
      <w:r>
        <w:rPr>
          <w:spacing w:val="-1"/>
        </w:rPr>
        <w:t>actual</w:t>
      </w:r>
      <w:r>
        <w:rPr>
          <w:spacing w:val="33"/>
        </w:rPr>
        <w:t xml:space="preserve"> </w:t>
      </w:r>
      <w:r>
        <w:rPr>
          <w:spacing w:val="-1"/>
        </w:rPr>
        <w:t>or</w:t>
      </w:r>
      <w:r>
        <w:rPr>
          <w:spacing w:val="48"/>
        </w:rPr>
        <w:t xml:space="preserve"> </w:t>
      </w:r>
      <w:r>
        <w:rPr>
          <w:spacing w:val="-1"/>
        </w:rPr>
        <w:t>anticipated</w:t>
      </w:r>
      <w:r>
        <w:t xml:space="preserve"> </w:t>
      </w:r>
      <w:r>
        <w:rPr>
          <w:spacing w:val="-2"/>
        </w:rPr>
        <w:t>impact</w:t>
      </w:r>
      <w:r>
        <w:t xml:space="preserve"> </w:t>
      </w:r>
      <w:r>
        <w:rPr>
          <w:spacing w:val="-2"/>
        </w:rPr>
        <w:t>of</w:t>
      </w:r>
      <w:r>
        <w:rPr>
          <w:spacing w:val="2"/>
        </w:rPr>
        <w:t xml:space="preserve"> </w:t>
      </w:r>
      <w:r>
        <w:t>the</w:t>
      </w:r>
      <w:r>
        <w:rPr>
          <w:spacing w:val="-4"/>
        </w:rPr>
        <w:t xml:space="preserve"> </w:t>
      </w:r>
      <w:r>
        <w:rPr>
          <w:spacing w:val="-2"/>
        </w:rPr>
        <w:t>Delay;</w:t>
      </w:r>
      <w:r>
        <w:rPr>
          <w:spacing w:val="2"/>
        </w:rPr>
        <w:t xml:space="preserve"> </w:t>
      </w:r>
      <w:r>
        <w:rPr>
          <w:spacing w:val="-1"/>
        </w:rPr>
        <w:t>and</w:t>
      </w:r>
    </w:p>
    <w:p w:rsidR="008918FA" w:rsidRDefault="008918FA" w:rsidP="008918FA">
      <w:pPr>
        <w:pStyle w:val="BodyText"/>
        <w:numPr>
          <w:ilvl w:val="5"/>
          <w:numId w:val="69"/>
        </w:numPr>
        <w:tabs>
          <w:tab w:val="left" w:pos="3164"/>
        </w:tabs>
        <w:spacing w:before="121"/>
        <w:ind w:right="112"/>
        <w:jc w:val="both"/>
      </w:pPr>
      <w:r>
        <w:rPr>
          <w:spacing w:val="-1"/>
        </w:rPr>
        <w:t>comply</w:t>
      </w:r>
      <w:r>
        <w:rPr>
          <w:spacing w:val="43"/>
        </w:rPr>
        <w:t xml:space="preserve"> </w:t>
      </w:r>
      <w:r>
        <w:rPr>
          <w:spacing w:val="-2"/>
        </w:rPr>
        <w:t>with</w:t>
      </w:r>
      <w:r>
        <w:rPr>
          <w:spacing w:val="42"/>
        </w:rPr>
        <w:t xml:space="preserve"> </w:t>
      </w:r>
      <w:r>
        <w:t>the</w:t>
      </w:r>
      <w:r>
        <w:rPr>
          <w:spacing w:val="42"/>
        </w:rPr>
        <w:t xml:space="preserve"> </w:t>
      </w:r>
      <w:r>
        <w:rPr>
          <w:spacing w:val="-1"/>
        </w:rPr>
        <w:t>Customer’s</w:t>
      </w:r>
      <w:r>
        <w:rPr>
          <w:spacing w:val="43"/>
        </w:rPr>
        <w:t xml:space="preserve"> </w:t>
      </w:r>
      <w:r>
        <w:rPr>
          <w:spacing w:val="-1"/>
        </w:rPr>
        <w:t>instructions</w:t>
      </w:r>
      <w:r>
        <w:rPr>
          <w:spacing w:val="43"/>
        </w:rPr>
        <w:t xml:space="preserve"> </w:t>
      </w:r>
      <w:r>
        <w:rPr>
          <w:spacing w:val="-1"/>
        </w:rPr>
        <w:t>in</w:t>
      </w:r>
      <w:r>
        <w:rPr>
          <w:spacing w:val="40"/>
        </w:rPr>
        <w:t xml:space="preserve"> </w:t>
      </w:r>
      <w:r>
        <w:rPr>
          <w:spacing w:val="-1"/>
        </w:rPr>
        <w:t>order</w:t>
      </w:r>
      <w:r>
        <w:rPr>
          <w:spacing w:val="45"/>
        </w:rPr>
        <w:t xml:space="preserve"> </w:t>
      </w:r>
      <w:r>
        <w:rPr>
          <w:spacing w:val="-1"/>
        </w:rPr>
        <w:t>to</w:t>
      </w:r>
      <w:r>
        <w:rPr>
          <w:spacing w:val="25"/>
        </w:rPr>
        <w:t xml:space="preserve"> </w:t>
      </w:r>
      <w:r>
        <w:rPr>
          <w:spacing w:val="-1"/>
        </w:rPr>
        <w:t xml:space="preserve">address </w:t>
      </w:r>
      <w:r>
        <w:t xml:space="preserve">the </w:t>
      </w:r>
      <w:r>
        <w:rPr>
          <w:spacing w:val="-2"/>
        </w:rPr>
        <w:t>impact</w:t>
      </w:r>
      <w:r>
        <w:t xml:space="preserve"> </w:t>
      </w:r>
      <w:r>
        <w:rPr>
          <w:spacing w:val="-2"/>
        </w:rPr>
        <w:t>of</w:t>
      </w:r>
      <w:r>
        <w:t xml:space="preserve"> </w:t>
      </w:r>
      <w:r>
        <w:rPr>
          <w:spacing w:val="-1"/>
        </w:rPr>
        <w:t>the</w:t>
      </w:r>
      <w:r>
        <w:t xml:space="preserve"> </w:t>
      </w:r>
      <w:r>
        <w:rPr>
          <w:spacing w:val="-1"/>
        </w:rPr>
        <w:t>Delay or</w:t>
      </w:r>
      <w:r>
        <w:rPr>
          <w:spacing w:val="2"/>
        </w:rPr>
        <w:t xml:space="preserve"> </w:t>
      </w:r>
      <w:r>
        <w:rPr>
          <w:spacing w:val="-1"/>
        </w:rPr>
        <w:t>anticipated</w:t>
      </w:r>
      <w:r>
        <w:rPr>
          <w:spacing w:val="-2"/>
        </w:rPr>
        <w:t xml:space="preserve"> Delay;</w:t>
      </w:r>
      <w:r>
        <w:rPr>
          <w:spacing w:val="2"/>
        </w:rPr>
        <w:t xml:space="preserve"> </w:t>
      </w:r>
      <w:r>
        <w:rPr>
          <w:spacing w:val="-1"/>
        </w:rPr>
        <w:t>and</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numPr>
          <w:ilvl w:val="5"/>
          <w:numId w:val="69"/>
        </w:numPr>
        <w:tabs>
          <w:tab w:val="left" w:pos="3524"/>
        </w:tabs>
        <w:spacing w:before="59"/>
        <w:ind w:left="3523" w:right="118"/>
        <w:jc w:val="left"/>
      </w:pPr>
      <w:bookmarkStart w:id="61" w:name="7._GOODS_AND/OR_SERVICES"/>
      <w:bookmarkEnd w:id="61"/>
      <w:r>
        <w:rPr>
          <w:spacing w:val="-1"/>
        </w:rPr>
        <w:lastRenderedPageBreak/>
        <w:t>use</w:t>
      </w:r>
      <w:r>
        <w:rPr>
          <w:spacing w:val="1"/>
        </w:rPr>
        <w:t xml:space="preserve"> </w:t>
      </w:r>
      <w:r>
        <w:rPr>
          <w:spacing w:val="-1"/>
        </w:rPr>
        <w:t>all</w:t>
      </w:r>
      <w:r>
        <w:t xml:space="preserve"> </w:t>
      </w:r>
      <w:r>
        <w:rPr>
          <w:spacing w:val="-1"/>
        </w:rPr>
        <w:t>reasonable</w:t>
      </w:r>
      <w:r>
        <w:t xml:space="preserve"> </w:t>
      </w:r>
      <w:r>
        <w:rPr>
          <w:spacing w:val="-1"/>
        </w:rPr>
        <w:t>endeavours</w:t>
      </w:r>
      <w:r>
        <w:rPr>
          <w:spacing w:val="1"/>
        </w:rPr>
        <w:t xml:space="preserve"> </w:t>
      </w:r>
      <w:r>
        <w:t xml:space="preserve">to </w:t>
      </w:r>
      <w:r>
        <w:rPr>
          <w:spacing w:val="-1"/>
        </w:rPr>
        <w:t>eliminate</w:t>
      </w:r>
      <w:r>
        <w:t xml:space="preserve"> </w:t>
      </w:r>
      <w:r>
        <w:rPr>
          <w:spacing w:val="-1"/>
        </w:rPr>
        <w:t>or mitigate</w:t>
      </w:r>
      <w:r>
        <w:t xml:space="preserve"> </w:t>
      </w:r>
      <w:r>
        <w:rPr>
          <w:spacing w:val="-1"/>
        </w:rPr>
        <w:t>the</w:t>
      </w:r>
      <w:r>
        <w:rPr>
          <w:spacing w:val="25"/>
        </w:rPr>
        <w:t xml:space="preserve"> </w:t>
      </w:r>
      <w:r>
        <w:rPr>
          <w:spacing w:val="-1"/>
        </w:rPr>
        <w:t>consequences</w:t>
      </w:r>
      <w:r>
        <w:rPr>
          <w:spacing w:val="1"/>
        </w:rPr>
        <w:t xml:space="preserve"> </w:t>
      </w:r>
      <w:r>
        <w:rPr>
          <w:spacing w:val="-2"/>
        </w:rPr>
        <w:t>of</w:t>
      </w:r>
      <w:r>
        <w:rPr>
          <w:spacing w:val="2"/>
        </w:rPr>
        <w:t xml:space="preserve"> </w:t>
      </w:r>
      <w:r>
        <w:rPr>
          <w:spacing w:val="-1"/>
        </w:rPr>
        <w:t>any</w:t>
      </w:r>
      <w:r>
        <w:rPr>
          <w:spacing w:val="-2"/>
        </w:rPr>
        <w:t xml:space="preserve"> Delay</w:t>
      </w:r>
      <w:r>
        <w:rPr>
          <w:spacing w:val="-1"/>
        </w:rPr>
        <w:t xml:space="preserve"> or</w:t>
      </w:r>
      <w:r>
        <w:rPr>
          <w:spacing w:val="2"/>
        </w:rPr>
        <w:t xml:space="preserve"> </w:t>
      </w:r>
      <w:r>
        <w:rPr>
          <w:spacing w:val="-1"/>
        </w:rPr>
        <w:t>anticipated</w:t>
      </w:r>
      <w:r>
        <w:t xml:space="preserve"> </w:t>
      </w:r>
      <w:r>
        <w:rPr>
          <w:spacing w:val="-2"/>
        </w:rPr>
        <w:t>Delay;</w:t>
      </w:r>
      <w:r>
        <w:t xml:space="preserve"> </w:t>
      </w:r>
      <w:r>
        <w:rPr>
          <w:spacing w:val="-1"/>
        </w:rPr>
        <w:t>and</w:t>
      </w:r>
    </w:p>
    <w:p w:rsidR="008918FA" w:rsidRDefault="008918FA" w:rsidP="008918FA">
      <w:pPr>
        <w:pStyle w:val="BodyText"/>
        <w:numPr>
          <w:ilvl w:val="4"/>
          <w:numId w:val="69"/>
        </w:numPr>
        <w:tabs>
          <w:tab w:val="left" w:pos="2955"/>
        </w:tabs>
        <w:spacing w:before="121"/>
        <w:ind w:right="115"/>
        <w:jc w:val="both"/>
      </w:pPr>
      <w:r>
        <w:rPr>
          <w:spacing w:val="-1"/>
        </w:rPr>
        <w:t>if</w:t>
      </w:r>
      <w:r>
        <w:rPr>
          <w:spacing w:val="13"/>
        </w:rPr>
        <w:t xml:space="preserve"> </w:t>
      </w:r>
      <w:r>
        <w:t>the</w:t>
      </w:r>
      <w:r>
        <w:rPr>
          <w:spacing w:val="11"/>
        </w:rPr>
        <w:t xml:space="preserve"> </w:t>
      </w:r>
      <w:r>
        <w:rPr>
          <w:spacing w:val="-2"/>
        </w:rPr>
        <w:t>Delay</w:t>
      </w:r>
      <w:r>
        <w:rPr>
          <w:spacing w:val="9"/>
        </w:rPr>
        <w:t xml:space="preserve"> </w:t>
      </w:r>
      <w:r>
        <w:rPr>
          <w:spacing w:val="-1"/>
        </w:rPr>
        <w:t>or</w:t>
      </w:r>
      <w:r>
        <w:rPr>
          <w:spacing w:val="13"/>
        </w:rPr>
        <w:t xml:space="preserve"> </w:t>
      </w:r>
      <w:r>
        <w:rPr>
          <w:spacing w:val="-1"/>
        </w:rPr>
        <w:t>anticipated</w:t>
      </w:r>
      <w:r>
        <w:rPr>
          <w:spacing w:val="11"/>
        </w:rPr>
        <w:t xml:space="preserve"> </w:t>
      </w:r>
      <w:r>
        <w:rPr>
          <w:spacing w:val="-2"/>
        </w:rPr>
        <w:t>Delay</w:t>
      </w:r>
      <w:r>
        <w:rPr>
          <w:spacing w:val="9"/>
        </w:rPr>
        <w:t xml:space="preserve"> </w:t>
      </w:r>
      <w:r>
        <w:rPr>
          <w:spacing w:val="-1"/>
        </w:rPr>
        <w:t>relates</w:t>
      </w:r>
      <w:r>
        <w:rPr>
          <w:spacing w:val="9"/>
        </w:rPr>
        <w:t xml:space="preserve"> </w:t>
      </w:r>
      <w:r>
        <w:t>to</w:t>
      </w:r>
      <w:r>
        <w:rPr>
          <w:spacing w:val="9"/>
        </w:rPr>
        <w:t xml:space="preserve"> </w:t>
      </w:r>
      <w:r>
        <w:t>a</w:t>
      </w:r>
      <w:r>
        <w:rPr>
          <w:spacing w:val="11"/>
        </w:rPr>
        <w:t xml:space="preserve"> </w:t>
      </w:r>
      <w:r>
        <w:rPr>
          <w:spacing w:val="-1"/>
        </w:rPr>
        <w:t>Milestone</w:t>
      </w:r>
      <w:r>
        <w:rPr>
          <w:spacing w:val="11"/>
        </w:rPr>
        <w:t xml:space="preserve"> </w:t>
      </w:r>
      <w:r>
        <w:rPr>
          <w:spacing w:val="-1"/>
        </w:rPr>
        <w:t>in</w:t>
      </w:r>
      <w:r>
        <w:rPr>
          <w:spacing w:val="33"/>
        </w:rPr>
        <w:t xml:space="preserve"> </w:t>
      </w:r>
      <w:r>
        <w:rPr>
          <w:spacing w:val="-1"/>
        </w:rPr>
        <w:t>respect</w:t>
      </w:r>
      <w:r>
        <w:rPr>
          <w:spacing w:val="11"/>
        </w:rPr>
        <w:t xml:space="preserve"> </w:t>
      </w:r>
      <w:r>
        <w:rPr>
          <w:spacing w:val="-2"/>
        </w:rPr>
        <w:t>which</w:t>
      </w:r>
      <w:r>
        <w:rPr>
          <w:spacing w:val="9"/>
        </w:rPr>
        <w:t xml:space="preserve"> </w:t>
      </w:r>
      <w:r>
        <w:t>a</w:t>
      </w:r>
      <w:r>
        <w:rPr>
          <w:spacing w:val="9"/>
        </w:rPr>
        <w:t xml:space="preserve"> </w:t>
      </w:r>
      <w:r>
        <w:rPr>
          <w:spacing w:val="-2"/>
        </w:rPr>
        <w:t>Delay</w:t>
      </w:r>
      <w:r>
        <w:rPr>
          <w:spacing w:val="9"/>
        </w:rPr>
        <w:t xml:space="preserve"> </w:t>
      </w:r>
      <w:r>
        <w:rPr>
          <w:spacing w:val="-1"/>
        </w:rPr>
        <w:t>Payment</w:t>
      </w:r>
      <w:r>
        <w:rPr>
          <w:spacing w:val="10"/>
        </w:rPr>
        <w:t xml:space="preserve"> </w:t>
      </w:r>
      <w:r>
        <w:rPr>
          <w:spacing w:val="-1"/>
        </w:rPr>
        <w:t>has</w:t>
      </w:r>
      <w:r>
        <w:rPr>
          <w:spacing w:val="9"/>
        </w:rPr>
        <w:t xml:space="preserve"> </w:t>
      </w:r>
      <w:r>
        <w:rPr>
          <w:spacing w:val="-1"/>
        </w:rPr>
        <w:t>been</w:t>
      </w:r>
      <w:r>
        <w:rPr>
          <w:spacing w:val="9"/>
        </w:rPr>
        <w:t xml:space="preserve"> </w:t>
      </w:r>
      <w:r>
        <w:rPr>
          <w:spacing w:val="-1"/>
        </w:rPr>
        <w:t>specified</w:t>
      </w:r>
      <w:r>
        <w:rPr>
          <w:spacing w:val="9"/>
        </w:rPr>
        <w:t xml:space="preserve"> </w:t>
      </w:r>
      <w:r>
        <w:rPr>
          <w:spacing w:val="-1"/>
        </w:rPr>
        <w:t>in</w:t>
      </w:r>
      <w:r>
        <w:rPr>
          <w:spacing w:val="9"/>
        </w:rPr>
        <w:t xml:space="preserve"> </w:t>
      </w:r>
      <w:r>
        <w:rPr>
          <w:spacing w:val="-1"/>
        </w:rPr>
        <w:t>the</w:t>
      </w:r>
      <w:r>
        <w:rPr>
          <w:spacing w:val="30"/>
        </w:rPr>
        <w:t xml:space="preserve"> </w:t>
      </w:r>
      <w:r>
        <w:rPr>
          <w:spacing w:val="-1"/>
        </w:rPr>
        <w:t>Implementation</w:t>
      </w:r>
      <w:r>
        <w:t xml:space="preserve"> </w:t>
      </w:r>
      <w:r>
        <w:rPr>
          <w:spacing w:val="-1"/>
        </w:rPr>
        <w:t>Plan,</w:t>
      </w:r>
      <w:r>
        <w:rPr>
          <w:spacing w:val="3"/>
        </w:rPr>
        <w:t xml:space="preserve"> </w:t>
      </w:r>
      <w:r>
        <w:rPr>
          <w:spacing w:val="-2"/>
        </w:rPr>
        <w:t>Clause</w:t>
      </w:r>
      <w:r>
        <w:rPr>
          <w:spacing w:val="1"/>
        </w:rPr>
        <w:t xml:space="preserve"> </w:t>
      </w:r>
      <w:hyperlink w:anchor="_bookmark60" w:history="1">
        <w:r>
          <w:t>6.4</w:t>
        </w:r>
      </w:hyperlink>
      <w:r>
        <w:rPr>
          <w:spacing w:val="-2"/>
        </w:rPr>
        <w:t xml:space="preserve"> </w:t>
      </w:r>
      <w:r>
        <w:rPr>
          <w:spacing w:val="-1"/>
        </w:rPr>
        <w:t>(Delay</w:t>
      </w:r>
      <w:r>
        <w:rPr>
          <w:spacing w:val="-2"/>
        </w:rPr>
        <w:t xml:space="preserve"> </w:t>
      </w:r>
      <w:r>
        <w:rPr>
          <w:spacing w:val="-1"/>
        </w:rPr>
        <w:t>Payments)</w:t>
      </w:r>
      <w:r>
        <w:t xml:space="preserve"> </w:t>
      </w:r>
      <w:r>
        <w:rPr>
          <w:spacing w:val="-1"/>
        </w:rPr>
        <w:t>shall</w:t>
      </w:r>
      <w:r>
        <w:t xml:space="preserve"> </w:t>
      </w:r>
      <w:r>
        <w:rPr>
          <w:spacing w:val="-2"/>
        </w:rPr>
        <w:t>apply.</w:t>
      </w:r>
    </w:p>
    <w:p w:rsidR="008918FA" w:rsidRDefault="008918FA" w:rsidP="008918FA">
      <w:pPr>
        <w:pStyle w:val="Heading1"/>
        <w:numPr>
          <w:ilvl w:val="2"/>
          <w:numId w:val="69"/>
        </w:numPr>
        <w:tabs>
          <w:tab w:val="left" w:pos="1049"/>
        </w:tabs>
        <w:ind w:left="1048"/>
        <w:rPr>
          <w:b w:val="0"/>
          <w:bCs w:val="0"/>
        </w:rPr>
      </w:pPr>
      <w:bookmarkStart w:id="62" w:name="_bookmark60"/>
      <w:bookmarkEnd w:id="62"/>
      <w:r>
        <w:t>Delay</w:t>
      </w:r>
      <w:r>
        <w:rPr>
          <w:spacing w:val="-4"/>
        </w:rPr>
        <w:t xml:space="preserve"> </w:t>
      </w:r>
      <w:r>
        <w:rPr>
          <w:spacing w:val="-1"/>
        </w:rPr>
        <w:t>Payments</w:t>
      </w:r>
    </w:p>
    <w:p w:rsidR="008918FA" w:rsidRDefault="008918FA" w:rsidP="008918FA">
      <w:pPr>
        <w:pStyle w:val="BodyText"/>
        <w:numPr>
          <w:ilvl w:val="3"/>
          <w:numId w:val="69"/>
        </w:numPr>
        <w:tabs>
          <w:tab w:val="left" w:pos="2247"/>
        </w:tabs>
        <w:spacing w:before="121"/>
        <w:ind w:left="2246" w:right="111"/>
        <w:jc w:val="both"/>
      </w:pPr>
      <w:bookmarkStart w:id="63" w:name="_bookmark61"/>
      <w:bookmarkEnd w:id="63"/>
      <w:r>
        <w:rPr>
          <w:spacing w:val="-1"/>
        </w:rPr>
        <w:t>If</w:t>
      </w:r>
      <w:r>
        <w:rPr>
          <w:spacing w:val="11"/>
        </w:rPr>
        <w:t xml:space="preserve"> </w:t>
      </w:r>
      <w:r>
        <w:rPr>
          <w:spacing w:val="-2"/>
        </w:rPr>
        <w:t>Delay</w:t>
      </w:r>
      <w:r>
        <w:rPr>
          <w:spacing w:val="5"/>
        </w:rPr>
        <w:t xml:space="preserve"> </w:t>
      </w:r>
      <w:r>
        <w:rPr>
          <w:spacing w:val="-1"/>
        </w:rPr>
        <w:t>Payments</w:t>
      </w:r>
      <w:r>
        <w:rPr>
          <w:spacing w:val="8"/>
        </w:rPr>
        <w:t xml:space="preserve"> </w:t>
      </w:r>
      <w:r>
        <w:rPr>
          <w:spacing w:val="-2"/>
        </w:rPr>
        <w:t>have</w:t>
      </w:r>
      <w:r>
        <w:rPr>
          <w:spacing w:val="5"/>
        </w:rPr>
        <w:t xml:space="preserve"> </w:t>
      </w:r>
      <w:r>
        <w:rPr>
          <w:spacing w:val="-1"/>
        </w:rPr>
        <w:t>been</w:t>
      </w:r>
      <w:r>
        <w:rPr>
          <w:spacing w:val="7"/>
        </w:rPr>
        <w:t xml:space="preserve"> </w:t>
      </w:r>
      <w:r>
        <w:rPr>
          <w:spacing w:val="-1"/>
        </w:rPr>
        <w:t>included</w:t>
      </w:r>
      <w:r>
        <w:rPr>
          <w:spacing w:val="7"/>
        </w:rPr>
        <w:t xml:space="preserve"> </w:t>
      </w:r>
      <w:r>
        <w:rPr>
          <w:spacing w:val="-1"/>
        </w:rPr>
        <w:t>in</w:t>
      </w:r>
      <w:r>
        <w:rPr>
          <w:spacing w:val="7"/>
        </w:rPr>
        <w:t xml:space="preserve"> </w:t>
      </w:r>
      <w:r>
        <w:rPr>
          <w:spacing w:val="-1"/>
        </w:rPr>
        <w:t>the</w:t>
      </w:r>
      <w:r>
        <w:rPr>
          <w:spacing w:val="5"/>
        </w:rPr>
        <w:t xml:space="preserve"> </w:t>
      </w:r>
      <w:r>
        <w:rPr>
          <w:spacing w:val="-1"/>
        </w:rPr>
        <w:t>Implementation</w:t>
      </w:r>
      <w:r>
        <w:rPr>
          <w:spacing w:val="7"/>
        </w:rPr>
        <w:t xml:space="preserve"> </w:t>
      </w:r>
      <w:r>
        <w:rPr>
          <w:spacing w:val="-1"/>
        </w:rPr>
        <w:t>Plan</w:t>
      </w:r>
      <w:r>
        <w:rPr>
          <w:spacing w:val="7"/>
        </w:rPr>
        <w:t xml:space="preserve"> </w:t>
      </w:r>
      <w:r>
        <w:rPr>
          <w:spacing w:val="-1"/>
        </w:rPr>
        <w:t>and</w:t>
      </w:r>
      <w:r>
        <w:rPr>
          <w:spacing w:val="28"/>
        </w:rPr>
        <w:t xml:space="preserve"> </w:t>
      </w:r>
      <w:r>
        <w:t>a</w:t>
      </w:r>
      <w:r>
        <w:rPr>
          <w:spacing w:val="5"/>
        </w:rPr>
        <w:t xml:space="preserve"> </w:t>
      </w:r>
      <w:r>
        <w:rPr>
          <w:spacing w:val="-1"/>
        </w:rPr>
        <w:t>Milestone</w:t>
      </w:r>
      <w:r>
        <w:rPr>
          <w:spacing w:val="5"/>
        </w:rPr>
        <w:t xml:space="preserve"> </w:t>
      </w:r>
      <w:r>
        <w:rPr>
          <w:spacing w:val="-1"/>
        </w:rPr>
        <w:t>has</w:t>
      </w:r>
      <w:r>
        <w:rPr>
          <w:spacing w:val="5"/>
        </w:rPr>
        <w:t xml:space="preserve"> </w:t>
      </w:r>
      <w:r>
        <w:rPr>
          <w:spacing w:val="-1"/>
        </w:rPr>
        <w:t>not</w:t>
      </w:r>
      <w:r>
        <w:rPr>
          <w:spacing w:val="7"/>
        </w:rPr>
        <w:t xml:space="preserve"> </w:t>
      </w:r>
      <w:r>
        <w:rPr>
          <w:spacing w:val="-2"/>
        </w:rPr>
        <w:t>been</w:t>
      </w:r>
      <w:r>
        <w:rPr>
          <w:spacing w:val="5"/>
        </w:rPr>
        <w:t xml:space="preserve"> </w:t>
      </w:r>
      <w:r>
        <w:rPr>
          <w:spacing w:val="-2"/>
        </w:rPr>
        <w:t>achieved</w:t>
      </w:r>
      <w:r>
        <w:rPr>
          <w:spacing w:val="5"/>
        </w:rPr>
        <w:t xml:space="preserve"> </w:t>
      </w:r>
      <w:r>
        <w:rPr>
          <w:spacing w:val="-1"/>
        </w:rPr>
        <w:t>by</w:t>
      </w:r>
      <w:r>
        <w:rPr>
          <w:spacing w:val="3"/>
        </w:rPr>
        <w:t xml:space="preserve"> </w:t>
      </w:r>
      <w:r>
        <w:t>the</w:t>
      </w:r>
      <w:r>
        <w:rPr>
          <w:spacing w:val="5"/>
        </w:rPr>
        <w:t xml:space="preserve"> </w:t>
      </w:r>
      <w:r>
        <w:rPr>
          <w:spacing w:val="-1"/>
        </w:rPr>
        <w:t>relevant</w:t>
      </w:r>
      <w:r>
        <w:rPr>
          <w:spacing w:val="7"/>
        </w:rPr>
        <w:t xml:space="preserve"> </w:t>
      </w:r>
      <w:r>
        <w:rPr>
          <w:spacing w:val="-1"/>
        </w:rPr>
        <w:t>Milestone</w:t>
      </w:r>
      <w:r>
        <w:rPr>
          <w:spacing w:val="5"/>
        </w:rPr>
        <w:t xml:space="preserve"> </w:t>
      </w:r>
      <w:r>
        <w:rPr>
          <w:spacing w:val="-1"/>
        </w:rPr>
        <w:t>Date,</w:t>
      </w:r>
      <w:r>
        <w:rPr>
          <w:spacing w:val="7"/>
        </w:rPr>
        <w:t xml:space="preserve"> </w:t>
      </w:r>
      <w:r>
        <w:t>the</w:t>
      </w:r>
      <w:r>
        <w:rPr>
          <w:spacing w:val="35"/>
        </w:rPr>
        <w:t xml:space="preserve"> </w:t>
      </w:r>
      <w:r>
        <w:rPr>
          <w:spacing w:val="-2"/>
        </w:rPr>
        <w:t>Supplier</w:t>
      </w:r>
      <w:r>
        <w:rPr>
          <w:spacing w:val="28"/>
        </w:rPr>
        <w:t xml:space="preserve"> </w:t>
      </w:r>
      <w:r>
        <w:rPr>
          <w:spacing w:val="-1"/>
        </w:rPr>
        <w:t>shall</w:t>
      </w:r>
      <w:r>
        <w:rPr>
          <w:spacing w:val="26"/>
        </w:rPr>
        <w:t xml:space="preserve"> </w:t>
      </w:r>
      <w:r>
        <w:rPr>
          <w:spacing w:val="-1"/>
        </w:rPr>
        <w:t>pay</w:t>
      </w:r>
      <w:r>
        <w:rPr>
          <w:spacing w:val="25"/>
        </w:rPr>
        <w:t xml:space="preserve"> </w:t>
      </w:r>
      <w:r>
        <w:t>to</w:t>
      </w:r>
      <w:r>
        <w:rPr>
          <w:spacing w:val="27"/>
        </w:rPr>
        <w:t xml:space="preserve"> </w:t>
      </w:r>
      <w:r>
        <w:t>the</w:t>
      </w:r>
      <w:r>
        <w:rPr>
          <w:spacing w:val="27"/>
        </w:rPr>
        <w:t xml:space="preserve"> </w:t>
      </w:r>
      <w:r>
        <w:rPr>
          <w:spacing w:val="-1"/>
        </w:rPr>
        <w:t>Customer</w:t>
      </w:r>
      <w:r>
        <w:rPr>
          <w:spacing w:val="28"/>
        </w:rPr>
        <w:t xml:space="preserve"> </w:t>
      </w:r>
      <w:r>
        <w:rPr>
          <w:spacing w:val="-1"/>
        </w:rPr>
        <w:t>such</w:t>
      </w:r>
      <w:r>
        <w:rPr>
          <w:spacing w:val="27"/>
        </w:rPr>
        <w:t xml:space="preserve"> </w:t>
      </w:r>
      <w:r>
        <w:rPr>
          <w:spacing w:val="-2"/>
        </w:rPr>
        <w:t>Delay</w:t>
      </w:r>
      <w:r>
        <w:rPr>
          <w:spacing w:val="25"/>
        </w:rPr>
        <w:t xml:space="preserve"> </w:t>
      </w:r>
      <w:r>
        <w:rPr>
          <w:spacing w:val="-1"/>
        </w:rPr>
        <w:t>Payments</w:t>
      </w:r>
      <w:r>
        <w:rPr>
          <w:spacing w:val="27"/>
        </w:rPr>
        <w:t xml:space="preserve"> </w:t>
      </w:r>
      <w:r>
        <w:rPr>
          <w:spacing w:val="-1"/>
        </w:rPr>
        <w:t>(calculated</w:t>
      </w:r>
      <w:r>
        <w:rPr>
          <w:spacing w:val="44"/>
        </w:rPr>
        <w:t xml:space="preserve"> </w:t>
      </w:r>
      <w:r>
        <w:rPr>
          <w:spacing w:val="-1"/>
        </w:rPr>
        <w:t>as</w:t>
      </w:r>
      <w:r>
        <w:rPr>
          <w:spacing w:val="7"/>
        </w:rPr>
        <w:t xml:space="preserve"> </w:t>
      </w:r>
      <w:r>
        <w:rPr>
          <w:spacing w:val="-1"/>
        </w:rPr>
        <w:t>set</w:t>
      </w:r>
      <w:r>
        <w:rPr>
          <w:spacing w:val="8"/>
        </w:rPr>
        <w:t xml:space="preserve"> </w:t>
      </w:r>
      <w:r>
        <w:rPr>
          <w:spacing w:val="-1"/>
        </w:rPr>
        <w:t>out</w:t>
      </w:r>
      <w:r>
        <w:rPr>
          <w:spacing w:val="8"/>
        </w:rPr>
        <w:t xml:space="preserve"> </w:t>
      </w:r>
      <w:r>
        <w:rPr>
          <w:spacing w:val="-1"/>
        </w:rPr>
        <w:t>by</w:t>
      </w:r>
      <w:r>
        <w:rPr>
          <w:spacing w:val="4"/>
        </w:rPr>
        <w:t xml:space="preserve"> </w:t>
      </w:r>
      <w:r>
        <w:t>the</w:t>
      </w:r>
      <w:r>
        <w:rPr>
          <w:spacing w:val="6"/>
        </w:rPr>
        <w:t xml:space="preserve"> </w:t>
      </w:r>
      <w:r>
        <w:rPr>
          <w:spacing w:val="-1"/>
        </w:rPr>
        <w:t>Customer</w:t>
      </w:r>
      <w:r>
        <w:rPr>
          <w:spacing w:val="8"/>
        </w:rPr>
        <w:t xml:space="preserve"> </w:t>
      </w:r>
      <w:r>
        <w:rPr>
          <w:spacing w:val="-1"/>
        </w:rPr>
        <w:t>in</w:t>
      </w:r>
      <w:r>
        <w:rPr>
          <w:spacing w:val="6"/>
        </w:rPr>
        <w:t xml:space="preserve"> </w:t>
      </w:r>
      <w:r>
        <w:t>the</w:t>
      </w:r>
      <w:r>
        <w:rPr>
          <w:spacing w:val="6"/>
        </w:rPr>
        <w:t xml:space="preserve"> </w:t>
      </w:r>
      <w:r>
        <w:rPr>
          <w:spacing w:val="-1"/>
        </w:rPr>
        <w:t>Implementation</w:t>
      </w:r>
      <w:r>
        <w:rPr>
          <w:spacing w:val="6"/>
        </w:rPr>
        <w:t xml:space="preserve"> </w:t>
      </w:r>
      <w:r>
        <w:rPr>
          <w:spacing w:val="-1"/>
        </w:rPr>
        <w:t>Plan)</w:t>
      </w:r>
      <w:r>
        <w:rPr>
          <w:spacing w:val="8"/>
        </w:rPr>
        <w:t xml:space="preserve"> </w:t>
      </w:r>
      <w:r>
        <w:rPr>
          <w:spacing w:val="-1"/>
        </w:rPr>
        <w:t>and</w:t>
      </w:r>
      <w:r>
        <w:rPr>
          <w:spacing w:val="6"/>
        </w:rPr>
        <w:t xml:space="preserve"> </w:t>
      </w:r>
      <w:r>
        <w:rPr>
          <w:spacing w:val="-1"/>
        </w:rPr>
        <w:t>the</w:t>
      </w:r>
      <w:r>
        <w:rPr>
          <w:spacing w:val="24"/>
        </w:rPr>
        <w:t xml:space="preserve"> </w:t>
      </w:r>
      <w:r>
        <w:rPr>
          <w:spacing w:val="-2"/>
        </w:rPr>
        <w:t>following</w:t>
      </w:r>
      <w:r>
        <w:rPr>
          <w:spacing w:val="3"/>
        </w:rPr>
        <w:t xml:space="preserve"> </w:t>
      </w:r>
      <w:r>
        <w:rPr>
          <w:spacing w:val="-2"/>
        </w:rPr>
        <w:t>provisions</w:t>
      </w:r>
      <w:r>
        <w:rPr>
          <w:spacing w:val="1"/>
        </w:rPr>
        <w:t xml:space="preserve"> </w:t>
      </w:r>
      <w:r>
        <w:rPr>
          <w:spacing w:val="-1"/>
        </w:rPr>
        <w:t>shall</w:t>
      </w:r>
      <w:r>
        <w:t xml:space="preserve"> </w:t>
      </w:r>
      <w:r>
        <w:rPr>
          <w:spacing w:val="-2"/>
        </w:rPr>
        <w:t>apply:</w:t>
      </w:r>
    </w:p>
    <w:p w:rsidR="008918FA" w:rsidRDefault="008918FA" w:rsidP="008918FA">
      <w:pPr>
        <w:pStyle w:val="BodyText"/>
        <w:numPr>
          <w:ilvl w:val="4"/>
          <w:numId w:val="69"/>
        </w:numPr>
        <w:tabs>
          <w:tab w:val="left" w:pos="2954"/>
        </w:tabs>
        <w:ind w:left="2953" w:right="114" w:hanging="707"/>
        <w:jc w:val="both"/>
      </w:pPr>
      <w:r>
        <w:t>the</w:t>
      </w:r>
      <w:r>
        <w:rPr>
          <w:spacing w:val="3"/>
        </w:rPr>
        <w:t xml:space="preserve"> </w:t>
      </w:r>
      <w:r>
        <w:rPr>
          <w:spacing w:val="-2"/>
        </w:rPr>
        <w:t>Supplier</w:t>
      </w:r>
      <w:r>
        <w:rPr>
          <w:spacing w:val="4"/>
        </w:rPr>
        <w:t xml:space="preserve"> </w:t>
      </w:r>
      <w:r>
        <w:rPr>
          <w:spacing w:val="-1"/>
        </w:rPr>
        <w:t>acknowledges</w:t>
      </w:r>
      <w:r>
        <w:rPr>
          <w:spacing w:val="3"/>
        </w:rPr>
        <w:t xml:space="preserve"> </w:t>
      </w:r>
      <w:r>
        <w:rPr>
          <w:spacing w:val="-1"/>
        </w:rPr>
        <w:t>and</w:t>
      </w:r>
      <w:r>
        <w:rPr>
          <w:spacing w:val="3"/>
        </w:rPr>
        <w:t xml:space="preserve"> </w:t>
      </w:r>
      <w:r>
        <w:rPr>
          <w:spacing w:val="-1"/>
        </w:rPr>
        <w:t>agrees</w:t>
      </w:r>
      <w:r>
        <w:rPr>
          <w:spacing w:val="1"/>
        </w:rPr>
        <w:t xml:space="preserve"> </w:t>
      </w:r>
      <w:r>
        <w:rPr>
          <w:spacing w:val="-1"/>
        </w:rPr>
        <w:t>that</w:t>
      </w:r>
      <w:r>
        <w:rPr>
          <w:spacing w:val="2"/>
        </w:rPr>
        <w:t xml:space="preserve"> </w:t>
      </w:r>
      <w:r>
        <w:rPr>
          <w:spacing w:val="-1"/>
        </w:rPr>
        <w:t>any</w:t>
      </w:r>
      <w:r>
        <w:rPr>
          <w:spacing w:val="1"/>
        </w:rPr>
        <w:t xml:space="preserve"> </w:t>
      </w:r>
      <w:r>
        <w:rPr>
          <w:spacing w:val="-2"/>
        </w:rPr>
        <w:t>Delay</w:t>
      </w:r>
      <w:r>
        <w:rPr>
          <w:spacing w:val="1"/>
        </w:rPr>
        <w:t xml:space="preserve"> </w:t>
      </w:r>
      <w:r>
        <w:rPr>
          <w:spacing w:val="-1"/>
        </w:rPr>
        <w:t>Payment</w:t>
      </w:r>
      <w:r>
        <w:rPr>
          <w:spacing w:val="44"/>
        </w:rPr>
        <w:t xml:space="preserve"> </w:t>
      </w:r>
      <w:r>
        <w:rPr>
          <w:spacing w:val="-1"/>
        </w:rPr>
        <w:t>is</w:t>
      </w:r>
      <w:r>
        <w:rPr>
          <w:spacing w:val="13"/>
        </w:rPr>
        <w:t xml:space="preserve"> </w:t>
      </w:r>
      <w:r>
        <w:t>a</w:t>
      </w:r>
      <w:r>
        <w:rPr>
          <w:spacing w:val="12"/>
        </w:rPr>
        <w:t xml:space="preserve"> </w:t>
      </w:r>
      <w:r>
        <w:rPr>
          <w:spacing w:val="-1"/>
        </w:rPr>
        <w:t>price</w:t>
      </w:r>
      <w:r>
        <w:rPr>
          <w:spacing w:val="13"/>
        </w:rPr>
        <w:t xml:space="preserve"> </w:t>
      </w:r>
      <w:r>
        <w:rPr>
          <w:spacing w:val="-1"/>
        </w:rPr>
        <w:t>adjustment</w:t>
      </w:r>
      <w:r>
        <w:rPr>
          <w:spacing w:val="14"/>
        </w:rPr>
        <w:t xml:space="preserve"> </w:t>
      </w:r>
      <w:r>
        <w:rPr>
          <w:spacing w:val="-2"/>
        </w:rPr>
        <w:t>and</w:t>
      </w:r>
      <w:r>
        <w:rPr>
          <w:spacing w:val="12"/>
        </w:rPr>
        <w:t xml:space="preserve"> </w:t>
      </w:r>
      <w:r>
        <w:rPr>
          <w:spacing w:val="-1"/>
        </w:rPr>
        <w:t>not</w:t>
      </w:r>
      <w:r>
        <w:rPr>
          <w:spacing w:val="14"/>
        </w:rPr>
        <w:t xml:space="preserve"> </w:t>
      </w:r>
      <w:r>
        <w:rPr>
          <w:spacing w:val="-1"/>
        </w:rPr>
        <w:t>an</w:t>
      </w:r>
      <w:r>
        <w:rPr>
          <w:spacing w:val="12"/>
        </w:rPr>
        <w:t xml:space="preserve"> </w:t>
      </w:r>
      <w:r>
        <w:rPr>
          <w:spacing w:val="-1"/>
        </w:rPr>
        <w:t>estimate</w:t>
      </w:r>
      <w:r>
        <w:rPr>
          <w:spacing w:val="12"/>
        </w:rPr>
        <w:t xml:space="preserve"> </w:t>
      </w:r>
      <w:r>
        <w:rPr>
          <w:spacing w:val="-2"/>
        </w:rPr>
        <w:t>of</w:t>
      </w:r>
      <w:r>
        <w:rPr>
          <w:spacing w:val="14"/>
        </w:rPr>
        <w:t xml:space="preserve"> </w:t>
      </w:r>
      <w:r>
        <w:t>the</w:t>
      </w:r>
      <w:r>
        <w:rPr>
          <w:spacing w:val="10"/>
        </w:rPr>
        <w:t xml:space="preserve"> </w:t>
      </w:r>
      <w:r>
        <w:rPr>
          <w:spacing w:val="-1"/>
        </w:rPr>
        <w:t>Loss</w:t>
      </w:r>
      <w:r>
        <w:rPr>
          <w:spacing w:val="13"/>
        </w:rPr>
        <w:t xml:space="preserve"> </w:t>
      </w:r>
      <w:r>
        <w:rPr>
          <w:spacing w:val="-1"/>
        </w:rPr>
        <w:t>that</w:t>
      </w:r>
      <w:r>
        <w:rPr>
          <w:spacing w:val="11"/>
        </w:rPr>
        <w:t xml:space="preserve"> </w:t>
      </w:r>
      <w:r>
        <w:rPr>
          <w:spacing w:val="-1"/>
        </w:rPr>
        <w:t>may</w:t>
      </w:r>
      <w:r>
        <w:rPr>
          <w:spacing w:val="36"/>
        </w:rPr>
        <w:t xml:space="preserve"> </w:t>
      </w:r>
      <w:r>
        <w:rPr>
          <w:spacing w:val="-1"/>
        </w:rPr>
        <w:t>be</w:t>
      </w:r>
      <w:r>
        <w:rPr>
          <w:spacing w:val="5"/>
        </w:rPr>
        <w:t xml:space="preserve"> </w:t>
      </w:r>
      <w:r>
        <w:rPr>
          <w:spacing w:val="-1"/>
        </w:rPr>
        <w:t>suffered</w:t>
      </w:r>
      <w:r>
        <w:rPr>
          <w:spacing w:val="5"/>
        </w:rPr>
        <w:t xml:space="preserve"> </w:t>
      </w:r>
      <w:r>
        <w:rPr>
          <w:spacing w:val="-1"/>
        </w:rPr>
        <w:t>by</w:t>
      </w:r>
      <w:r>
        <w:rPr>
          <w:spacing w:val="3"/>
        </w:rPr>
        <w:t xml:space="preserve"> </w:t>
      </w:r>
      <w:r>
        <w:t>the</w:t>
      </w:r>
      <w:r>
        <w:rPr>
          <w:spacing w:val="5"/>
        </w:rPr>
        <w:t xml:space="preserve"> </w:t>
      </w:r>
      <w:r>
        <w:rPr>
          <w:spacing w:val="-1"/>
        </w:rPr>
        <w:t>Customer</w:t>
      </w:r>
      <w:r>
        <w:rPr>
          <w:spacing w:val="6"/>
        </w:rPr>
        <w:t xml:space="preserve"> </w:t>
      </w:r>
      <w:r>
        <w:rPr>
          <w:spacing w:val="-1"/>
        </w:rPr>
        <w:t>as</w:t>
      </w:r>
      <w:r>
        <w:rPr>
          <w:spacing w:val="3"/>
        </w:rPr>
        <w:t xml:space="preserve"> </w:t>
      </w:r>
      <w:r>
        <w:t>a</w:t>
      </w:r>
      <w:r>
        <w:rPr>
          <w:spacing w:val="5"/>
        </w:rPr>
        <w:t xml:space="preserve"> </w:t>
      </w:r>
      <w:r>
        <w:rPr>
          <w:spacing w:val="-1"/>
        </w:rPr>
        <w:t>result</w:t>
      </w:r>
      <w:r>
        <w:rPr>
          <w:spacing w:val="4"/>
        </w:rPr>
        <w:t xml:space="preserve"> </w:t>
      </w:r>
      <w:r>
        <w:rPr>
          <w:spacing w:val="-2"/>
        </w:rPr>
        <w:t>of</w:t>
      </w:r>
      <w:r>
        <w:rPr>
          <w:spacing w:val="6"/>
        </w:rPr>
        <w:t xml:space="preserve"> </w:t>
      </w:r>
      <w:r>
        <w:t>the</w:t>
      </w:r>
      <w:r>
        <w:rPr>
          <w:spacing w:val="5"/>
        </w:rPr>
        <w:t xml:space="preserve"> </w:t>
      </w:r>
      <w:r>
        <w:rPr>
          <w:spacing w:val="-2"/>
        </w:rPr>
        <w:t>Supplier’s</w:t>
      </w:r>
      <w:r>
        <w:rPr>
          <w:spacing w:val="5"/>
        </w:rPr>
        <w:t xml:space="preserve"> </w:t>
      </w:r>
      <w:r>
        <w:rPr>
          <w:spacing w:val="-1"/>
        </w:rPr>
        <w:t>failure</w:t>
      </w:r>
      <w:r>
        <w:rPr>
          <w:spacing w:val="45"/>
        </w:rPr>
        <w:t xml:space="preserve"> </w:t>
      </w:r>
      <w:r>
        <w:t xml:space="preserve">to </w:t>
      </w:r>
      <w:r>
        <w:rPr>
          <w:spacing w:val="-2"/>
        </w:rPr>
        <w:t>Achieve</w:t>
      </w:r>
      <w:r>
        <w:t xml:space="preserve"> the</w:t>
      </w:r>
      <w:r>
        <w:rPr>
          <w:spacing w:val="-2"/>
        </w:rPr>
        <w:t xml:space="preserve"> </w:t>
      </w:r>
      <w:r>
        <w:rPr>
          <w:spacing w:val="-1"/>
        </w:rPr>
        <w:t>corresponding</w:t>
      </w:r>
      <w:r>
        <w:rPr>
          <w:spacing w:val="3"/>
        </w:rPr>
        <w:t xml:space="preserve"> </w:t>
      </w:r>
      <w:r>
        <w:rPr>
          <w:spacing w:val="-2"/>
        </w:rPr>
        <w:t>Milestone;</w:t>
      </w:r>
    </w:p>
    <w:p w:rsidR="008918FA" w:rsidRDefault="008918FA" w:rsidP="008918FA">
      <w:pPr>
        <w:pStyle w:val="BodyText"/>
        <w:numPr>
          <w:ilvl w:val="4"/>
          <w:numId w:val="69"/>
        </w:numPr>
        <w:tabs>
          <w:tab w:val="left" w:pos="2954"/>
        </w:tabs>
        <w:ind w:left="2953" w:right="115"/>
        <w:jc w:val="both"/>
      </w:pPr>
      <w:bookmarkStart w:id="64" w:name="_bookmark62"/>
      <w:bookmarkEnd w:id="64"/>
      <w:r>
        <w:rPr>
          <w:spacing w:val="-2"/>
        </w:rPr>
        <w:t>Delay</w:t>
      </w:r>
      <w:r>
        <w:rPr>
          <w:spacing w:val="58"/>
        </w:rPr>
        <w:t xml:space="preserve"> </w:t>
      </w:r>
      <w:r>
        <w:rPr>
          <w:spacing w:val="-1"/>
        </w:rPr>
        <w:t>Payments</w:t>
      </w:r>
      <w:r>
        <w:t xml:space="preserve"> </w:t>
      </w:r>
      <w:r>
        <w:rPr>
          <w:spacing w:val="-1"/>
        </w:rPr>
        <w:t>shall</w:t>
      </w:r>
      <w:r>
        <w:rPr>
          <w:spacing w:val="59"/>
        </w:rPr>
        <w:t xml:space="preserve"> </w:t>
      </w:r>
      <w:r>
        <w:rPr>
          <w:spacing w:val="-1"/>
        </w:rPr>
        <w:t>be</w:t>
      </w:r>
      <w:r>
        <w:rPr>
          <w:spacing w:val="60"/>
        </w:rPr>
        <w:t xml:space="preserve"> </w:t>
      </w:r>
      <w:r>
        <w:t>the</w:t>
      </w:r>
      <w:r>
        <w:rPr>
          <w:spacing w:val="60"/>
        </w:rPr>
        <w:t xml:space="preserve"> </w:t>
      </w:r>
      <w:r>
        <w:rPr>
          <w:spacing w:val="-1"/>
        </w:rPr>
        <w:t>Customer's</w:t>
      </w:r>
      <w:r>
        <w:t xml:space="preserve">  </w:t>
      </w:r>
      <w:r>
        <w:rPr>
          <w:spacing w:val="-2"/>
        </w:rPr>
        <w:t>exclusive</w:t>
      </w:r>
      <w:r>
        <w:rPr>
          <w:spacing w:val="60"/>
        </w:rPr>
        <w:t xml:space="preserve"> </w:t>
      </w:r>
      <w:r>
        <w:rPr>
          <w:spacing w:val="-1"/>
        </w:rPr>
        <w:t>financial</w:t>
      </w:r>
      <w:r>
        <w:rPr>
          <w:spacing w:val="44"/>
        </w:rPr>
        <w:t xml:space="preserve"> </w:t>
      </w:r>
      <w:r>
        <w:rPr>
          <w:spacing w:val="-1"/>
        </w:rPr>
        <w:t>remedy</w:t>
      </w:r>
      <w:r>
        <w:rPr>
          <w:spacing w:val="44"/>
        </w:rPr>
        <w:t xml:space="preserve"> </w:t>
      </w:r>
      <w:r>
        <w:t>for</w:t>
      </w:r>
      <w:r>
        <w:rPr>
          <w:spacing w:val="47"/>
        </w:rPr>
        <w:t xml:space="preserve"> </w:t>
      </w:r>
      <w:r>
        <w:t>the</w:t>
      </w:r>
      <w:r>
        <w:rPr>
          <w:spacing w:val="46"/>
        </w:rPr>
        <w:t xml:space="preserve"> </w:t>
      </w:r>
      <w:r>
        <w:rPr>
          <w:spacing w:val="-2"/>
        </w:rPr>
        <w:t>Supplier’s</w:t>
      </w:r>
      <w:r>
        <w:rPr>
          <w:spacing w:val="46"/>
        </w:rPr>
        <w:t xml:space="preserve"> </w:t>
      </w:r>
      <w:r>
        <w:rPr>
          <w:spacing w:val="-1"/>
        </w:rPr>
        <w:t>failure</w:t>
      </w:r>
      <w:r>
        <w:rPr>
          <w:spacing w:val="46"/>
        </w:rPr>
        <w:t xml:space="preserve"> </w:t>
      </w:r>
      <w:r>
        <w:t>to</w:t>
      </w:r>
      <w:r>
        <w:rPr>
          <w:spacing w:val="46"/>
        </w:rPr>
        <w:t xml:space="preserve"> </w:t>
      </w:r>
      <w:r>
        <w:rPr>
          <w:spacing w:val="-1"/>
        </w:rPr>
        <w:t>Achieve</w:t>
      </w:r>
      <w:r>
        <w:rPr>
          <w:spacing w:val="47"/>
        </w:rPr>
        <w:t xml:space="preserve"> </w:t>
      </w:r>
      <w:r>
        <w:t>a</w:t>
      </w:r>
      <w:r>
        <w:rPr>
          <w:spacing w:val="48"/>
        </w:rPr>
        <w:t xml:space="preserve"> </w:t>
      </w:r>
      <w:r>
        <w:rPr>
          <w:spacing w:val="-1"/>
        </w:rPr>
        <w:t>corresponding</w:t>
      </w:r>
      <w:r>
        <w:rPr>
          <w:spacing w:val="41"/>
        </w:rPr>
        <w:t xml:space="preserve"> </w:t>
      </w:r>
      <w:r>
        <w:rPr>
          <w:spacing w:val="-1"/>
        </w:rPr>
        <w:t>Milestone</w:t>
      </w:r>
      <w:r>
        <w:t xml:space="preserve"> </w:t>
      </w:r>
      <w:r>
        <w:rPr>
          <w:spacing w:val="-1"/>
        </w:rPr>
        <w:t>by</w:t>
      </w:r>
      <w:r>
        <w:rPr>
          <w:spacing w:val="-2"/>
        </w:rPr>
        <w:t xml:space="preserve"> </w:t>
      </w:r>
      <w:r>
        <w:rPr>
          <w:spacing w:val="-1"/>
        </w:rPr>
        <w:t>its</w:t>
      </w:r>
      <w:r>
        <w:rPr>
          <w:spacing w:val="1"/>
        </w:rPr>
        <w:t xml:space="preserve"> </w:t>
      </w:r>
      <w:r>
        <w:rPr>
          <w:spacing w:val="-1"/>
        </w:rPr>
        <w:t>Milestone</w:t>
      </w:r>
      <w:r>
        <w:t xml:space="preserve"> </w:t>
      </w:r>
      <w:r>
        <w:rPr>
          <w:spacing w:val="-1"/>
        </w:rPr>
        <w:t>Date</w:t>
      </w:r>
      <w:r>
        <w:t xml:space="preserve"> </w:t>
      </w:r>
      <w:r>
        <w:rPr>
          <w:spacing w:val="-1"/>
        </w:rPr>
        <w:t>except</w:t>
      </w:r>
      <w:r>
        <w:t xml:space="preserve"> </w:t>
      </w:r>
      <w:r>
        <w:rPr>
          <w:spacing w:val="-2"/>
        </w:rPr>
        <w:t>where:</w:t>
      </w:r>
    </w:p>
    <w:p w:rsidR="008918FA" w:rsidRDefault="008918FA" w:rsidP="008918FA">
      <w:pPr>
        <w:pStyle w:val="BodyText"/>
        <w:numPr>
          <w:ilvl w:val="5"/>
          <w:numId w:val="69"/>
        </w:numPr>
        <w:tabs>
          <w:tab w:val="left" w:pos="3523"/>
        </w:tabs>
        <w:ind w:left="3522" w:right="112"/>
        <w:jc w:val="both"/>
      </w:pPr>
      <w:r>
        <w:t>the</w:t>
      </w:r>
      <w:r>
        <w:rPr>
          <w:spacing w:val="38"/>
        </w:rPr>
        <w:t xml:space="preserve"> </w:t>
      </w:r>
      <w:r>
        <w:rPr>
          <w:spacing w:val="-1"/>
        </w:rPr>
        <w:t>Customer</w:t>
      </w:r>
      <w:r>
        <w:rPr>
          <w:spacing w:val="40"/>
        </w:rPr>
        <w:t xml:space="preserve"> </w:t>
      </w:r>
      <w:r>
        <w:rPr>
          <w:spacing w:val="-1"/>
        </w:rPr>
        <w:t>is</w:t>
      </w:r>
      <w:r>
        <w:rPr>
          <w:spacing w:val="39"/>
        </w:rPr>
        <w:t xml:space="preserve"> </w:t>
      </w:r>
      <w:r>
        <w:rPr>
          <w:spacing w:val="-2"/>
        </w:rPr>
        <w:t>otherwise</w:t>
      </w:r>
      <w:r>
        <w:rPr>
          <w:spacing w:val="39"/>
        </w:rPr>
        <w:t xml:space="preserve"> </w:t>
      </w:r>
      <w:r>
        <w:rPr>
          <w:spacing w:val="-1"/>
        </w:rPr>
        <w:t>entitled</w:t>
      </w:r>
      <w:r>
        <w:rPr>
          <w:spacing w:val="38"/>
        </w:rPr>
        <w:t xml:space="preserve"> </w:t>
      </w:r>
      <w:r>
        <w:t>to</w:t>
      </w:r>
      <w:r>
        <w:rPr>
          <w:spacing w:val="38"/>
        </w:rPr>
        <w:t xml:space="preserve"> </w:t>
      </w:r>
      <w:r>
        <w:rPr>
          <w:spacing w:val="-2"/>
        </w:rPr>
        <w:t>or</w:t>
      </w:r>
      <w:r>
        <w:rPr>
          <w:spacing w:val="41"/>
        </w:rPr>
        <w:t xml:space="preserve"> </w:t>
      </w:r>
      <w:r>
        <w:rPr>
          <w:spacing w:val="-1"/>
        </w:rPr>
        <w:t>does</w:t>
      </w:r>
      <w:r>
        <w:rPr>
          <w:spacing w:val="37"/>
        </w:rPr>
        <w:t xml:space="preserve"> </w:t>
      </w:r>
      <w:r>
        <w:rPr>
          <w:spacing w:val="-1"/>
        </w:rPr>
        <w:t>terminate</w:t>
      </w:r>
      <w:r>
        <w:rPr>
          <w:spacing w:val="35"/>
        </w:rPr>
        <w:t xml:space="preserve"> </w:t>
      </w:r>
      <w:r>
        <w:rPr>
          <w:spacing w:val="-1"/>
        </w:rPr>
        <w:t>this</w:t>
      </w:r>
      <w:r>
        <w:rPr>
          <w:spacing w:val="39"/>
        </w:rPr>
        <w:t xml:space="preserve"> </w:t>
      </w:r>
      <w:r>
        <w:rPr>
          <w:spacing w:val="-2"/>
        </w:rPr>
        <w:t>Call</w:t>
      </w:r>
      <w:r>
        <w:rPr>
          <w:spacing w:val="38"/>
        </w:rPr>
        <w:t xml:space="preserve"> </w:t>
      </w:r>
      <w:r>
        <w:rPr>
          <w:spacing w:val="-1"/>
        </w:rPr>
        <w:t>Off</w:t>
      </w:r>
      <w:r>
        <w:rPr>
          <w:spacing w:val="42"/>
        </w:rPr>
        <w:t xml:space="preserve"> </w:t>
      </w:r>
      <w:r>
        <w:rPr>
          <w:spacing w:val="-2"/>
        </w:rPr>
        <w:t>Contract</w:t>
      </w:r>
      <w:r>
        <w:rPr>
          <w:spacing w:val="40"/>
        </w:rPr>
        <w:t xml:space="preserve"> </w:t>
      </w:r>
      <w:r>
        <w:rPr>
          <w:spacing w:val="-1"/>
        </w:rPr>
        <w:t>pursuant</w:t>
      </w:r>
      <w:r>
        <w:rPr>
          <w:spacing w:val="38"/>
        </w:rPr>
        <w:t xml:space="preserve"> </w:t>
      </w:r>
      <w:r>
        <w:t>to</w:t>
      </w:r>
      <w:r>
        <w:rPr>
          <w:spacing w:val="38"/>
        </w:rPr>
        <w:t xml:space="preserve"> </w:t>
      </w:r>
      <w:r>
        <w:rPr>
          <w:spacing w:val="-2"/>
        </w:rPr>
        <w:t>Clause</w:t>
      </w:r>
      <w:r>
        <w:rPr>
          <w:spacing w:val="42"/>
        </w:rPr>
        <w:t xml:space="preserve"> </w:t>
      </w:r>
      <w:hyperlink w:anchor="_bookmark231" w:history="1">
        <w:r>
          <w:rPr>
            <w:spacing w:val="-1"/>
          </w:rPr>
          <w:t>41</w:t>
        </w:r>
      </w:hyperlink>
      <w:r>
        <w:rPr>
          <w:spacing w:val="39"/>
        </w:rPr>
        <w:t xml:space="preserve"> </w:t>
      </w:r>
      <w:r>
        <w:rPr>
          <w:spacing w:val="-1"/>
        </w:rPr>
        <w:t>(Customer</w:t>
      </w:r>
      <w:r>
        <w:rPr>
          <w:spacing w:val="43"/>
        </w:rPr>
        <w:t xml:space="preserve"> </w:t>
      </w:r>
      <w:r>
        <w:rPr>
          <w:spacing w:val="-1"/>
        </w:rPr>
        <w:t>Termination</w:t>
      </w:r>
      <w:r>
        <w:rPr>
          <w:spacing w:val="35"/>
        </w:rPr>
        <w:t xml:space="preserve"> </w:t>
      </w:r>
      <w:r>
        <w:rPr>
          <w:spacing w:val="-1"/>
        </w:rPr>
        <w:t>Rights)</w:t>
      </w:r>
      <w:r>
        <w:rPr>
          <w:spacing w:val="37"/>
        </w:rPr>
        <w:t xml:space="preserve"> </w:t>
      </w:r>
      <w:r>
        <w:rPr>
          <w:spacing w:val="-2"/>
        </w:rPr>
        <w:t>except</w:t>
      </w:r>
      <w:r>
        <w:rPr>
          <w:spacing w:val="36"/>
        </w:rPr>
        <w:t xml:space="preserve"> </w:t>
      </w:r>
      <w:r>
        <w:rPr>
          <w:spacing w:val="-2"/>
        </w:rPr>
        <w:t>Clause</w:t>
      </w:r>
      <w:r>
        <w:rPr>
          <w:spacing w:val="37"/>
        </w:rPr>
        <w:t xml:space="preserve"> </w:t>
      </w:r>
      <w:hyperlink w:anchor="_bookmark237" w:history="1">
        <w:r>
          <w:rPr>
            <w:spacing w:val="-1"/>
          </w:rPr>
          <w:t>41.6</w:t>
        </w:r>
      </w:hyperlink>
      <w:r>
        <w:rPr>
          <w:spacing w:val="35"/>
        </w:rPr>
        <w:t xml:space="preserve"> </w:t>
      </w:r>
      <w:r>
        <w:rPr>
          <w:spacing w:val="-1"/>
        </w:rPr>
        <w:t>(Termination</w:t>
      </w:r>
      <w:r>
        <w:rPr>
          <w:spacing w:val="38"/>
        </w:rPr>
        <w:t xml:space="preserve"> </w:t>
      </w:r>
      <w:r>
        <w:rPr>
          <w:spacing w:val="-1"/>
        </w:rPr>
        <w:t>Without</w:t>
      </w:r>
      <w:r>
        <w:t xml:space="preserve"> </w:t>
      </w:r>
      <w:r>
        <w:rPr>
          <w:spacing w:val="-1"/>
        </w:rPr>
        <w:t>Cause);</w:t>
      </w:r>
      <w:r>
        <w:rPr>
          <w:spacing w:val="2"/>
        </w:rPr>
        <w:t xml:space="preserve"> </w:t>
      </w:r>
      <w:r>
        <w:rPr>
          <w:spacing w:val="-3"/>
        </w:rPr>
        <w:t>or</w:t>
      </w:r>
    </w:p>
    <w:p w:rsidR="008918FA" w:rsidRDefault="008918FA" w:rsidP="008918FA">
      <w:pPr>
        <w:pStyle w:val="BodyText"/>
        <w:numPr>
          <w:ilvl w:val="5"/>
          <w:numId w:val="69"/>
        </w:numPr>
        <w:tabs>
          <w:tab w:val="left" w:pos="3523"/>
        </w:tabs>
        <w:spacing w:before="116"/>
        <w:ind w:left="3522" w:right="112"/>
        <w:jc w:val="both"/>
      </w:pPr>
      <w:bookmarkStart w:id="65" w:name="_bookmark63"/>
      <w:bookmarkEnd w:id="65"/>
      <w:r>
        <w:t>the</w:t>
      </w:r>
      <w:r>
        <w:rPr>
          <w:spacing w:val="3"/>
        </w:rPr>
        <w:t xml:space="preserve"> </w:t>
      </w:r>
      <w:r>
        <w:rPr>
          <w:spacing w:val="-1"/>
        </w:rPr>
        <w:t>delay</w:t>
      </w:r>
      <w:r>
        <w:rPr>
          <w:spacing w:val="1"/>
        </w:rPr>
        <w:t xml:space="preserve"> </w:t>
      </w:r>
      <w:r>
        <w:rPr>
          <w:spacing w:val="-1"/>
        </w:rPr>
        <w:t>exceeds</w:t>
      </w:r>
      <w:r>
        <w:rPr>
          <w:spacing w:val="3"/>
        </w:rPr>
        <w:t xml:space="preserve"> </w:t>
      </w:r>
      <w:r>
        <w:t>the</w:t>
      </w:r>
      <w:r>
        <w:rPr>
          <w:spacing w:val="4"/>
        </w:rPr>
        <w:t xml:space="preserve"> </w:t>
      </w:r>
      <w:r>
        <w:rPr>
          <w:spacing w:val="-1"/>
        </w:rPr>
        <w:t>number</w:t>
      </w:r>
      <w:r>
        <w:rPr>
          <w:spacing w:val="2"/>
        </w:rPr>
        <w:t xml:space="preserve"> </w:t>
      </w:r>
      <w:r>
        <w:rPr>
          <w:spacing w:val="-2"/>
        </w:rPr>
        <w:t>of</w:t>
      </w:r>
      <w:r>
        <w:rPr>
          <w:spacing w:val="4"/>
        </w:rPr>
        <w:t xml:space="preserve"> </w:t>
      </w:r>
      <w:r>
        <w:rPr>
          <w:spacing w:val="-2"/>
        </w:rPr>
        <w:t>days</w:t>
      </w:r>
      <w:r>
        <w:rPr>
          <w:spacing w:val="4"/>
        </w:rPr>
        <w:t xml:space="preserve"> </w:t>
      </w:r>
      <w:r>
        <w:rPr>
          <w:spacing w:val="-1"/>
        </w:rPr>
        <w:t>(the</w:t>
      </w:r>
      <w:r>
        <w:rPr>
          <w:spacing w:val="3"/>
        </w:rPr>
        <w:t xml:space="preserve"> </w:t>
      </w:r>
      <w:r>
        <w:rPr>
          <w:spacing w:val="-2"/>
        </w:rPr>
        <w:t>“</w:t>
      </w:r>
      <w:r>
        <w:rPr>
          <w:rFonts w:cs="Arial"/>
          <w:b/>
          <w:bCs/>
          <w:spacing w:val="-2"/>
        </w:rPr>
        <w:t>Delay</w:t>
      </w:r>
      <w:r>
        <w:rPr>
          <w:rFonts w:cs="Arial"/>
          <w:b/>
          <w:bCs/>
        </w:rPr>
        <w:t xml:space="preserve"> </w:t>
      </w:r>
      <w:r>
        <w:rPr>
          <w:rFonts w:cs="Arial"/>
          <w:b/>
          <w:bCs/>
          <w:spacing w:val="-1"/>
        </w:rPr>
        <w:t>Period</w:t>
      </w:r>
      <w:r>
        <w:rPr>
          <w:rFonts w:cs="Arial"/>
          <w:b/>
          <w:bCs/>
          <w:spacing w:val="29"/>
        </w:rPr>
        <w:t xml:space="preserve"> </w:t>
      </w:r>
      <w:r>
        <w:rPr>
          <w:rFonts w:cs="Arial"/>
          <w:b/>
          <w:bCs/>
          <w:spacing w:val="-1"/>
        </w:rPr>
        <w:t>Limit</w:t>
      </w:r>
      <w:r>
        <w:rPr>
          <w:spacing w:val="-1"/>
        </w:rPr>
        <w:t>”)</w:t>
      </w:r>
      <w:r>
        <w:rPr>
          <w:spacing w:val="36"/>
        </w:rPr>
        <w:t xml:space="preserve"> </w:t>
      </w:r>
      <w:r>
        <w:rPr>
          <w:spacing w:val="-1"/>
        </w:rPr>
        <w:t>specified</w:t>
      </w:r>
      <w:r>
        <w:rPr>
          <w:spacing w:val="35"/>
        </w:rPr>
        <w:t xml:space="preserve"> </w:t>
      </w:r>
      <w:r>
        <w:rPr>
          <w:spacing w:val="-1"/>
        </w:rPr>
        <w:t>in</w:t>
      </w:r>
      <w:r>
        <w:rPr>
          <w:spacing w:val="35"/>
        </w:rPr>
        <w:t xml:space="preserve"> </w:t>
      </w:r>
      <w:r>
        <w:rPr>
          <w:spacing w:val="-1"/>
        </w:rPr>
        <w:t>Part</w:t>
      </w:r>
      <w:r>
        <w:rPr>
          <w:spacing w:val="36"/>
        </w:rPr>
        <w:t xml:space="preserve"> </w:t>
      </w:r>
      <w:r>
        <w:t>A</w:t>
      </w:r>
      <w:r>
        <w:rPr>
          <w:spacing w:val="34"/>
        </w:rPr>
        <w:t xml:space="preserve"> </w:t>
      </w:r>
      <w:r>
        <w:rPr>
          <w:spacing w:val="-2"/>
        </w:rPr>
        <w:t>of</w:t>
      </w:r>
      <w:r>
        <w:rPr>
          <w:spacing w:val="39"/>
        </w:rPr>
        <w:t xml:space="preserve"> </w:t>
      </w:r>
      <w:r>
        <w:rPr>
          <w:spacing w:val="-2"/>
        </w:rPr>
        <w:t>Call</w:t>
      </w:r>
      <w:r>
        <w:rPr>
          <w:spacing w:val="35"/>
        </w:rPr>
        <w:t xml:space="preserve"> </w:t>
      </w:r>
      <w:r>
        <w:rPr>
          <w:spacing w:val="-1"/>
        </w:rPr>
        <w:t>Off</w:t>
      </w:r>
      <w:r>
        <w:rPr>
          <w:spacing w:val="39"/>
        </w:rPr>
        <w:t xml:space="preserve"> </w:t>
      </w:r>
      <w:r>
        <w:rPr>
          <w:spacing w:val="-2"/>
        </w:rPr>
        <w:t>Schedule</w:t>
      </w:r>
      <w:r>
        <w:rPr>
          <w:spacing w:val="35"/>
        </w:rPr>
        <w:t xml:space="preserve"> </w:t>
      </w:r>
      <w:r>
        <w:rPr>
          <w:spacing w:val="-1"/>
        </w:rPr>
        <w:t>4:</w:t>
      </w:r>
      <w:r>
        <w:rPr>
          <w:spacing w:val="40"/>
        </w:rPr>
        <w:t xml:space="preserve"> </w:t>
      </w:r>
      <w:r>
        <w:rPr>
          <w:spacing w:val="-1"/>
        </w:rPr>
        <w:t>(Implementation</w:t>
      </w:r>
      <w:r>
        <w:rPr>
          <w:spacing w:val="5"/>
        </w:rPr>
        <w:t xml:space="preserve"> </w:t>
      </w:r>
      <w:r>
        <w:rPr>
          <w:spacing w:val="-1"/>
        </w:rPr>
        <w:t>Plan,</w:t>
      </w:r>
      <w:r>
        <w:rPr>
          <w:spacing w:val="7"/>
        </w:rPr>
        <w:t xml:space="preserve"> </w:t>
      </w:r>
      <w:r>
        <w:rPr>
          <w:spacing w:val="-1"/>
        </w:rPr>
        <w:t>Customer</w:t>
      </w:r>
      <w:r>
        <w:rPr>
          <w:spacing w:val="6"/>
        </w:rPr>
        <w:t xml:space="preserve"> </w:t>
      </w:r>
      <w:r>
        <w:rPr>
          <w:spacing w:val="-2"/>
        </w:rPr>
        <w:t>Responsibilities</w:t>
      </w:r>
      <w:r>
        <w:rPr>
          <w:spacing w:val="5"/>
        </w:rPr>
        <w:t xml:space="preserve"> </w:t>
      </w:r>
      <w:r>
        <w:rPr>
          <w:spacing w:val="-1"/>
        </w:rPr>
        <w:t>and</w:t>
      </w:r>
      <w:r>
        <w:rPr>
          <w:spacing w:val="5"/>
        </w:rPr>
        <w:t xml:space="preserve"> </w:t>
      </w:r>
      <w:r>
        <w:t>Key</w:t>
      </w:r>
      <w:r>
        <w:rPr>
          <w:spacing w:val="41"/>
        </w:rPr>
        <w:t xml:space="preserve"> </w:t>
      </w:r>
      <w:r>
        <w:rPr>
          <w:spacing w:val="-1"/>
        </w:rPr>
        <w:t>Personnel)</w:t>
      </w:r>
      <w:r>
        <w:rPr>
          <w:spacing w:val="49"/>
        </w:rPr>
        <w:t xml:space="preserve"> </w:t>
      </w:r>
      <w:r>
        <w:t>for</w:t>
      </w:r>
      <w:r>
        <w:rPr>
          <w:spacing w:val="52"/>
        </w:rPr>
        <w:t xml:space="preserve"> </w:t>
      </w:r>
      <w:r>
        <w:t>the</w:t>
      </w:r>
      <w:r>
        <w:rPr>
          <w:spacing w:val="48"/>
        </w:rPr>
        <w:t xml:space="preserve"> </w:t>
      </w:r>
      <w:r>
        <w:rPr>
          <w:spacing w:val="-1"/>
        </w:rPr>
        <w:t>purposes</w:t>
      </w:r>
      <w:r>
        <w:rPr>
          <w:spacing w:val="51"/>
        </w:rPr>
        <w:t xml:space="preserve"> </w:t>
      </w:r>
      <w:r>
        <w:rPr>
          <w:spacing w:val="-2"/>
        </w:rPr>
        <w:t>of</w:t>
      </w:r>
      <w:r>
        <w:rPr>
          <w:spacing w:val="54"/>
        </w:rPr>
        <w:t xml:space="preserve"> </w:t>
      </w:r>
      <w:r>
        <w:rPr>
          <w:spacing w:val="-1"/>
        </w:rPr>
        <w:t>this</w:t>
      </w:r>
      <w:r>
        <w:rPr>
          <w:spacing w:val="51"/>
        </w:rPr>
        <w:t xml:space="preserve"> </w:t>
      </w:r>
      <w:r>
        <w:rPr>
          <w:spacing w:val="-1"/>
        </w:rPr>
        <w:t>sub-Clause,</w:t>
      </w:r>
      <w:r>
        <w:rPr>
          <w:spacing w:val="25"/>
        </w:rPr>
        <w:t xml:space="preserve"> </w:t>
      </w:r>
      <w:r>
        <w:rPr>
          <w:spacing w:val="-1"/>
        </w:rPr>
        <w:t>commencing</w:t>
      </w:r>
      <w:r>
        <w:t xml:space="preserve"> </w:t>
      </w:r>
      <w:r>
        <w:rPr>
          <w:spacing w:val="-1"/>
        </w:rPr>
        <w:t>on</w:t>
      </w:r>
      <w:r>
        <w:rPr>
          <w:spacing w:val="-2"/>
        </w:rPr>
        <w:t xml:space="preserve"> </w:t>
      </w:r>
      <w:r>
        <w:t>the</w:t>
      </w:r>
      <w:r>
        <w:rPr>
          <w:spacing w:val="-2"/>
        </w:rPr>
        <w:t xml:space="preserve"> relevant</w:t>
      </w:r>
      <w:r>
        <w:rPr>
          <w:spacing w:val="2"/>
        </w:rPr>
        <w:t xml:space="preserve"> </w:t>
      </w:r>
      <w:r>
        <w:rPr>
          <w:spacing w:val="-1"/>
        </w:rPr>
        <w:t>Milestone</w:t>
      </w:r>
      <w:r>
        <w:t xml:space="preserve"> </w:t>
      </w:r>
      <w:r>
        <w:rPr>
          <w:spacing w:val="-1"/>
        </w:rPr>
        <w:t>Date;</w:t>
      </w:r>
    </w:p>
    <w:p w:rsidR="008918FA" w:rsidRDefault="008918FA" w:rsidP="008918FA">
      <w:pPr>
        <w:pStyle w:val="BodyText"/>
        <w:numPr>
          <w:ilvl w:val="4"/>
          <w:numId w:val="69"/>
        </w:numPr>
        <w:tabs>
          <w:tab w:val="left" w:pos="2954"/>
        </w:tabs>
        <w:spacing w:before="118"/>
        <w:ind w:left="2953" w:right="115"/>
        <w:jc w:val="both"/>
      </w:pPr>
      <w:r>
        <w:t>the</w:t>
      </w:r>
      <w:r>
        <w:rPr>
          <w:spacing w:val="9"/>
        </w:rPr>
        <w:t xml:space="preserve"> </w:t>
      </w:r>
      <w:r>
        <w:rPr>
          <w:spacing w:val="-2"/>
        </w:rPr>
        <w:t>Delay</w:t>
      </w:r>
      <w:r>
        <w:rPr>
          <w:spacing w:val="7"/>
        </w:rPr>
        <w:t xml:space="preserve"> </w:t>
      </w:r>
      <w:r>
        <w:rPr>
          <w:spacing w:val="-1"/>
        </w:rPr>
        <w:t>Payments</w:t>
      </w:r>
      <w:r>
        <w:rPr>
          <w:spacing w:val="9"/>
        </w:rPr>
        <w:t xml:space="preserve"> </w:t>
      </w:r>
      <w:r>
        <w:rPr>
          <w:spacing w:val="-2"/>
        </w:rPr>
        <w:t>will</w:t>
      </w:r>
      <w:r>
        <w:rPr>
          <w:spacing w:val="8"/>
        </w:rPr>
        <w:t xml:space="preserve"> </w:t>
      </w:r>
      <w:r>
        <w:rPr>
          <w:spacing w:val="-1"/>
        </w:rPr>
        <w:t>accrue</w:t>
      </w:r>
      <w:r>
        <w:rPr>
          <w:spacing w:val="9"/>
        </w:rPr>
        <w:t xml:space="preserve"> </w:t>
      </w:r>
      <w:r>
        <w:rPr>
          <w:spacing w:val="-1"/>
        </w:rPr>
        <w:t>on</w:t>
      </w:r>
      <w:r>
        <w:rPr>
          <w:spacing w:val="9"/>
        </w:rPr>
        <w:t xml:space="preserve"> </w:t>
      </w:r>
      <w:r>
        <w:t>a</w:t>
      </w:r>
      <w:r>
        <w:rPr>
          <w:spacing w:val="9"/>
        </w:rPr>
        <w:t xml:space="preserve"> </w:t>
      </w:r>
      <w:r>
        <w:rPr>
          <w:spacing w:val="-1"/>
        </w:rPr>
        <w:t>daily</w:t>
      </w:r>
      <w:r>
        <w:rPr>
          <w:spacing w:val="7"/>
        </w:rPr>
        <w:t xml:space="preserve"> </w:t>
      </w:r>
      <w:r>
        <w:rPr>
          <w:spacing w:val="-1"/>
        </w:rPr>
        <w:t>basis</w:t>
      </w:r>
      <w:r>
        <w:rPr>
          <w:spacing w:val="9"/>
        </w:rPr>
        <w:t xml:space="preserve"> </w:t>
      </w:r>
      <w:r>
        <w:t>from</w:t>
      </w:r>
      <w:r>
        <w:rPr>
          <w:spacing w:val="8"/>
        </w:rPr>
        <w:t xml:space="preserve"> </w:t>
      </w:r>
      <w:r>
        <w:rPr>
          <w:spacing w:val="-1"/>
        </w:rPr>
        <w:t>the</w:t>
      </w:r>
      <w:r>
        <w:rPr>
          <w:spacing w:val="48"/>
        </w:rPr>
        <w:t xml:space="preserve"> </w:t>
      </w:r>
      <w:r>
        <w:rPr>
          <w:spacing w:val="-2"/>
        </w:rPr>
        <w:t>relevant</w:t>
      </w:r>
      <w:r>
        <w:rPr>
          <w:spacing w:val="33"/>
        </w:rPr>
        <w:t xml:space="preserve"> </w:t>
      </w:r>
      <w:r>
        <w:rPr>
          <w:spacing w:val="-2"/>
        </w:rPr>
        <w:t>Milestone</w:t>
      </w:r>
      <w:r>
        <w:rPr>
          <w:spacing w:val="29"/>
        </w:rPr>
        <w:t xml:space="preserve"> </w:t>
      </w:r>
      <w:r>
        <w:rPr>
          <w:spacing w:val="-1"/>
        </w:rPr>
        <w:t>Date</w:t>
      </w:r>
      <w:r>
        <w:rPr>
          <w:spacing w:val="29"/>
        </w:rPr>
        <w:t xml:space="preserve"> </w:t>
      </w:r>
      <w:r>
        <w:rPr>
          <w:spacing w:val="-1"/>
        </w:rPr>
        <w:t>and</w:t>
      </w:r>
      <w:r>
        <w:rPr>
          <w:spacing w:val="29"/>
        </w:rPr>
        <w:t xml:space="preserve"> </w:t>
      </w:r>
      <w:r>
        <w:rPr>
          <w:spacing w:val="-1"/>
        </w:rPr>
        <w:t>shall</w:t>
      </w:r>
      <w:r>
        <w:rPr>
          <w:spacing w:val="28"/>
        </w:rPr>
        <w:t xml:space="preserve"> </w:t>
      </w:r>
      <w:r>
        <w:rPr>
          <w:spacing w:val="-1"/>
        </w:rPr>
        <w:t>continue</w:t>
      </w:r>
      <w:r>
        <w:rPr>
          <w:spacing w:val="29"/>
        </w:rPr>
        <w:t xml:space="preserve"> </w:t>
      </w:r>
      <w:r>
        <w:t>to</w:t>
      </w:r>
      <w:r>
        <w:rPr>
          <w:spacing w:val="29"/>
        </w:rPr>
        <w:t xml:space="preserve"> </w:t>
      </w:r>
      <w:r>
        <w:rPr>
          <w:spacing w:val="-1"/>
        </w:rPr>
        <w:t>accrue</w:t>
      </w:r>
      <w:r>
        <w:rPr>
          <w:spacing w:val="29"/>
        </w:rPr>
        <w:t xml:space="preserve"> </w:t>
      </w:r>
      <w:r>
        <w:rPr>
          <w:spacing w:val="-1"/>
        </w:rPr>
        <w:t>until</w:t>
      </w:r>
      <w:r>
        <w:rPr>
          <w:spacing w:val="28"/>
        </w:rPr>
        <w:t xml:space="preserve"> </w:t>
      </w:r>
      <w:r>
        <w:rPr>
          <w:spacing w:val="-1"/>
        </w:rPr>
        <w:t>the</w:t>
      </w:r>
      <w:r>
        <w:rPr>
          <w:spacing w:val="58"/>
        </w:rPr>
        <w:t xml:space="preserve"> </w:t>
      </w:r>
      <w:r>
        <w:rPr>
          <w:spacing w:val="-1"/>
        </w:rPr>
        <w:t>date</w:t>
      </w:r>
      <w:r>
        <w:rPr>
          <w:spacing w:val="61"/>
        </w:rPr>
        <w:t xml:space="preserve"> </w:t>
      </w:r>
      <w:r>
        <w:rPr>
          <w:spacing w:val="-2"/>
        </w:rPr>
        <w:t>when</w:t>
      </w:r>
      <w:r>
        <w:t xml:space="preserve"> the</w:t>
      </w:r>
      <w:r>
        <w:rPr>
          <w:spacing w:val="3"/>
        </w:rPr>
        <w:t xml:space="preserve"> </w:t>
      </w:r>
      <w:r>
        <w:rPr>
          <w:spacing w:val="-1"/>
        </w:rPr>
        <w:t>Milestone</w:t>
      </w:r>
      <w:r>
        <w:t xml:space="preserve">  </w:t>
      </w:r>
      <w:r>
        <w:rPr>
          <w:spacing w:val="-1"/>
        </w:rPr>
        <w:t>is</w:t>
      </w:r>
      <w:r>
        <w:rPr>
          <w:spacing w:val="1"/>
        </w:rPr>
        <w:t xml:space="preserve"> </w:t>
      </w:r>
      <w:r>
        <w:rPr>
          <w:spacing w:val="-1"/>
        </w:rPr>
        <w:t>Achieved</w:t>
      </w:r>
      <w:r>
        <w:t xml:space="preserve">  </w:t>
      </w:r>
      <w:r>
        <w:rPr>
          <w:spacing w:val="-1"/>
        </w:rPr>
        <w:t>(unless</w:t>
      </w:r>
      <w:r>
        <w:rPr>
          <w:spacing w:val="1"/>
        </w:rPr>
        <w:t xml:space="preserve"> </w:t>
      </w:r>
      <w:r>
        <w:rPr>
          <w:spacing w:val="-2"/>
        </w:rPr>
        <w:t>otherwise</w:t>
      </w:r>
      <w:r>
        <w:rPr>
          <w:spacing w:val="38"/>
        </w:rPr>
        <w:t xml:space="preserve"> </w:t>
      </w:r>
      <w:r>
        <w:rPr>
          <w:spacing w:val="-1"/>
        </w:rPr>
        <w:t>specified</w:t>
      </w:r>
      <w:r>
        <w:t xml:space="preserve"> </w:t>
      </w:r>
      <w:r>
        <w:rPr>
          <w:spacing w:val="-1"/>
        </w:rPr>
        <w:t>by</w:t>
      </w:r>
      <w:r>
        <w:rPr>
          <w:spacing w:val="-2"/>
        </w:rPr>
        <w:t xml:space="preserve"> </w:t>
      </w:r>
      <w:r>
        <w:t>the</w:t>
      </w:r>
      <w:r>
        <w:rPr>
          <w:spacing w:val="-2"/>
        </w:rPr>
        <w:t xml:space="preserve"> Customer</w:t>
      </w:r>
      <w:r>
        <w:rPr>
          <w:spacing w:val="2"/>
        </w:rPr>
        <w:t xml:space="preserve"> </w:t>
      </w:r>
      <w:r>
        <w:rPr>
          <w:spacing w:val="-1"/>
        </w:rPr>
        <w:t>in</w:t>
      </w:r>
      <w:r>
        <w:rPr>
          <w:spacing w:val="-2"/>
        </w:rPr>
        <w:t xml:space="preserve"> </w:t>
      </w:r>
      <w:r>
        <w:t>the</w:t>
      </w:r>
      <w:r>
        <w:rPr>
          <w:spacing w:val="-2"/>
        </w:rPr>
        <w:t xml:space="preserve"> </w:t>
      </w:r>
      <w:r>
        <w:rPr>
          <w:spacing w:val="-1"/>
        </w:rPr>
        <w:t>Implementation</w:t>
      </w:r>
      <w:r>
        <w:rPr>
          <w:spacing w:val="-2"/>
        </w:rPr>
        <w:t xml:space="preserve"> </w:t>
      </w:r>
      <w:r>
        <w:rPr>
          <w:spacing w:val="-1"/>
        </w:rPr>
        <w:t>Plan);</w:t>
      </w:r>
    </w:p>
    <w:p w:rsidR="008918FA" w:rsidRDefault="008918FA" w:rsidP="008918FA">
      <w:pPr>
        <w:pStyle w:val="BodyText"/>
        <w:numPr>
          <w:ilvl w:val="4"/>
          <w:numId w:val="69"/>
        </w:numPr>
        <w:tabs>
          <w:tab w:val="left" w:pos="2954"/>
        </w:tabs>
        <w:spacing w:before="121"/>
        <w:ind w:left="2953" w:right="114"/>
        <w:jc w:val="both"/>
      </w:pPr>
      <w:r>
        <w:rPr>
          <w:spacing w:val="-1"/>
        </w:rPr>
        <w:t>no</w:t>
      </w:r>
      <w:r>
        <w:rPr>
          <w:spacing w:val="22"/>
        </w:rPr>
        <w:t xml:space="preserve"> </w:t>
      </w:r>
      <w:r>
        <w:rPr>
          <w:spacing w:val="-1"/>
        </w:rPr>
        <w:t>payment</w:t>
      </w:r>
      <w:r>
        <w:rPr>
          <w:spacing w:val="23"/>
        </w:rPr>
        <w:t xml:space="preserve"> </w:t>
      </w:r>
      <w:r>
        <w:rPr>
          <w:spacing w:val="-1"/>
        </w:rPr>
        <w:t>or</w:t>
      </w:r>
      <w:r>
        <w:rPr>
          <w:spacing w:val="23"/>
        </w:rPr>
        <w:t xml:space="preserve"> </w:t>
      </w:r>
      <w:r>
        <w:rPr>
          <w:spacing w:val="-1"/>
        </w:rPr>
        <w:t>concession</w:t>
      </w:r>
      <w:r>
        <w:rPr>
          <w:spacing w:val="22"/>
        </w:rPr>
        <w:t xml:space="preserve"> </w:t>
      </w:r>
      <w:r>
        <w:t>to</w:t>
      </w:r>
      <w:r>
        <w:rPr>
          <w:spacing w:val="22"/>
        </w:rPr>
        <w:t xml:space="preserve"> </w:t>
      </w:r>
      <w:r>
        <w:t>the</w:t>
      </w:r>
      <w:r>
        <w:rPr>
          <w:spacing w:val="22"/>
        </w:rPr>
        <w:t xml:space="preserve"> </w:t>
      </w:r>
      <w:r>
        <w:rPr>
          <w:spacing w:val="-2"/>
        </w:rPr>
        <w:t>Supplier</w:t>
      </w:r>
      <w:r>
        <w:rPr>
          <w:spacing w:val="23"/>
        </w:rPr>
        <w:t xml:space="preserve"> </w:t>
      </w:r>
      <w:r>
        <w:rPr>
          <w:spacing w:val="-1"/>
        </w:rPr>
        <w:t>by</w:t>
      </w:r>
      <w:r>
        <w:rPr>
          <w:spacing w:val="20"/>
        </w:rPr>
        <w:t xml:space="preserve"> </w:t>
      </w:r>
      <w:r>
        <w:rPr>
          <w:spacing w:val="1"/>
        </w:rPr>
        <w:t>the</w:t>
      </w:r>
      <w:r>
        <w:rPr>
          <w:spacing w:val="22"/>
        </w:rPr>
        <w:t xml:space="preserve"> </w:t>
      </w:r>
      <w:r>
        <w:rPr>
          <w:spacing w:val="-1"/>
        </w:rPr>
        <w:t>Customer</w:t>
      </w:r>
      <w:r>
        <w:rPr>
          <w:spacing w:val="23"/>
        </w:rPr>
        <w:t xml:space="preserve"> </w:t>
      </w:r>
      <w:r>
        <w:rPr>
          <w:spacing w:val="-2"/>
        </w:rPr>
        <w:t>or</w:t>
      </w:r>
      <w:r>
        <w:rPr>
          <w:spacing w:val="37"/>
        </w:rPr>
        <w:t xml:space="preserve"> </w:t>
      </w:r>
      <w:r>
        <w:rPr>
          <w:spacing w:val="-1"/>
        </w:rPr>
        <w:t>other</w:t>
      </w:r>
      <w:r>
        <w:rPr>
          <w:spacing w:val="30"/>
        </w:rPr>
        <w:t xml:space="preserve"> </w:t>
      </w:r>
      <w:r>
        <w:rPr>
          <w:spacing w:val="-2"/>
        </w:rPr>
        <w:t>act</w:t>
      </w:r>
      <w:r>
        <w:rPr>
          <w:spacing w:val="30"/>
        </w:rPr>
        <w:t xml:space="preserve"> </w:t>
      </w:r>
      <w:r>
        <w:rPr>
          <w:spacing w:val="-1"/>
        </w:rPr>
        <w:t>or</w:t>
      </w:r>
      <w:r>
        <w:rPr>
          <w:spacing w:val="30"/>
        </w:rPr>
        <w:t xml:space="preserve"> </w:t>
      </w:r>
      <w:r>
        <w:rPr>
          <w:spacing w:val="-2"/>
        </w:rPr>
        <w:t>omission</w:t>
      </w:r>
      <w:r>
        <w:rPr>
          <w:spacing w:val="29"/>
        </w:rPr>
        <w:t xml:space="preserve"> </w:t>
      </w:r>
      <w:r>
        <w:rPr>
          <w:spacing w:val="-2"/>
        </w:rPr>
        <w:t>of</w:t>
      </w:r>
      <w:r>
        <w:rPr>
          <w:spacing w:val="30"/>
        </w:rPr>
        <w:t xml:space="preserve"> </w:t>
      </w:r>
      <w:r>
        <w:t>the</w:t>
      </w:r>
      <w:r>
        <w:rPr>
          <w:spacing w:val="29"/>
        </w:rPr>
        <w:t xml:space="preserve"> </w:t>
      </w:r>
      <w:r>
        <w:rPr>
          <w:spacing w:val="-1"/>
        </w:rPr>
        <w:t>Customer</w:t>
      </w:r>
      <w:r>
        <w:rPr>
          <w:spacing w:val="30"/>
        </w:rPr>
        <w:t xml:space="preserve"> </w:t>
      </w:r>
      <w:r>
        <w:rPr>
          <w:spacing w:val="-1"/>
        </w:rPr>
        <w:t>shall</w:t>
      </w:r>
      <w:r>
        <w:rPr>
          <w:spacing w:val="28"/>
        </w:rPr>
        <w:t xml:space="preserve"> </w:t>
      </w:r>
      <w:r>
        <w:rPr>
          <w:spacing w:val="-1"/>
        </w:rPr>
        <w:t>in</w:t>
      </w:r>
      <w:r>
        <w:rPr>
          <w:spacing w:val="29"/>
        </w:rPr>
        <w:t xml:space="preserve"> </w:t>
      </w:r>
      <w:r>
        <w:rPr>
          <w:spacing w:val="-1"/>
        </w:rPr>
        <w:t>any</w:t>
      </w:r>
      <w:r>
        <w:rPr>
          <w:spacing w:val="30"/>
        </w:rPr>
        <w:t xml:space="preserve"> </w:t>
      </w:r>
      <w:r>
        <w:rPr>
          <w:spacing w:val="-1"/>
        </w:rPr>
        <w:t>way</w:t>
      </w:r>
      <w:r>
        <w:rPr>
          <w:spacing w:val="27"/>
        </w:rPr>
        <w:t xml:space="preserve"> </w:t>
      </w:r>
      <w:r>
        <w:rPr>
          <w:spacing w:val="-1"/>
        </w:rPr>
        <w:t>affect</w:t>
      </w:r>
      <w:r>
        <w:rPr>
          <w:spacing w:val="47"/>
        </w:rPr>
        <w:t xml:space="preserve"> </w:t>
      </w:r>
      <w:r>
        <w:t>the</w:t>
      </w:r>
      <w:r>
        <w:rPr>
          <w:spacing w:val="3"/>
        </w:rPr>
        <w:t xml:space="preserve"> </w:t>
      </w:r>
      <w:r>
        <w:rPr>
          <w:spacing w:val="-1"/>
        </w:rPr>
        <w:t>rights</w:t>
      </w:r>
      <w:r>
        <w:rPr>
          <w:spacing w:val="3"/>
        </w:rPr>
        <w:t xml:space="preserve"> </w:t>
      </w:r>
      <w:r>
        <w:rPr>
          <w:spacing w:val="-2"/>
        </w:rPr>
        <w:t>of</w:t>
      </w:r>
      <w:r>
        <w:rPr>
          <w:spacing w:val="6"/>
        </w:rPr>
        <w:t xml:space="preserve"> </w:t>
      </w:r>
      <w:r>
        <w:t>the</w:t>
      </w:r>
      <w:r>
        <w:rPr>
          <w:spacing w:val="3"/>
        </w:rPr>
        <w:t xml:space="preserve"> </w:t>
      </w:r>
      <w:r>
        <w:rPr>
          <w:spacing w:val="-2"/>
        </w:rPr>
        <w:t>Customer</w:t>
      </w:r>
      <w:r>
        <w:rPr>
          <w:spacing w:val="4"/>
        </w:rPr>
        <w:t xml:space="preserve"> </w:t>
      </w:r>
      <w:r>
        <w:t>to</w:t>
      </w:r>
      <w:r>
        <w:rPr>
          <w:spacing w:val="3"/>
        </w:rPr>
        <w:t xml:space="preserve"> </w:t>
      </w:r>
      <w:r>
        <w:rPr>
          <w:spacing w:val="-1"/>
        </w:rPr>
        <w:t>recover</w:t>
      </w:r>
      <w:r>
        <w:rPr>
          <w:spacing w:val="4"/>
        </w:rPr>
        <w:t xml:space="preserve"> </w:t>
      </w:r>
      <w:r>
        <w:t>the</w:t>
      </w:r>
      <w:r>
        <w:rPr>
          <w:spacing w:val="3"/>
        </w:rPr>
        <w:t xml:space="preserve"> </w:t>
      </w:r>
      <w:r>
        <w:rPr>
          <w:spacing w:val="-2"/>
        </w:rPr>
        <w:t>Delay</w:t>
      </w:r>
      <w:r>
        <w:rPr>
          <w:spacing w:val="5"/>
        </w:rPr>
        <w:t xml:space="preserve"> </w:t>
      </w:r>
      <w:r>
        <w:rPr>
          <w:spacing w:val="-1"/>
        </w:rPr>
        <w:t>Payments</w:t>
      </w:r>
      <w:r>
        <w:rPr>
          <w:spacing w:val="3"/>
        </w:rPr>
        <w:t xml:space="preserve"> </w:t>
      </w:r>
      <w:r>
        <w:rPr>
          <w:spacing w:val="-1"/>
        </w:rPr>
        <w:t>or</w:t>
      </w:r>
      <w:r>
        <w:rPr>
          <w:spacing w:val="4"/>
        </w:rPr>
        <w:t xml:space="preserve"> </w:t>
      </w:r>
      <w:r>
        <w:rPr>
          <w:spacing w:val="-1"/>
        </w:rPr>
        <w:t>be</w:t>
      </w:r>
      <w:r>
        <w:rPr>
          <w:spacing w:val="42"/>
        </w:rPr>
        <w:t xml:space="preserve"> </w:t>
      </w:r>
      <w:r>
        <w:rPr>
          <w:spacing w:val="-1"/>
        </w:rPr>
        <w:t>deemed</w:t>
      </w:r>
      <w:r>
        <w:rPr>
          <w:spacing w:val="17"/>
        </w:rPr>
        <w:t xml:space="preserve"> </w:t>
      </w:r>
      <w:r>
        <w:t>to</w:t>
      </w:r>
      <w:r>
        <w:rPr>
          <w:spacing w:val="17"/>
        </w:rPr>
        <w:t xml:space="preserve"> </w:t>
      </w:r>
      <w:r>
        <w:rPr>
          <w:spacing w:val="-1"/>
        </w:rPr>
        <w:t>be</w:t>
      </w:r>
      <w:r>
        <w:rPr>
          <w:spacing w:val="17"/>
        </w:rPr>
        <w:t xml:space="preserve"> </w:t>
      </w:r>
      <w:r>
        <w:t>a</w:t>
      </w:r>
      <w:r>
        <w:rPr>
          <w:spacing w:val="17"/>
        </w:rPr>
        <w:t xml:space="preserve"> </w:t>
      </w:r>
      <w:r>
        <w:rPr>
          <w:spacing w:val="-2"/>
        </w:rPr>
        <w:t>waiver</w:t>
      </w:r>
      <w:r>
        <w:rPr>
          <w:spacing w:val="21"/>
        </w:rPr>
        <w:t xml:space="preserve"> </w:t>
      </w:r>
      <w:r>
        <w:rPr>
          <w:spacing w:val="-2"/>
        </w:rPr>
        <w:t>of</w:t>
      </w:r>
      <w:r>
        <w:rPr>
          <w:spacing w:val="21"/>
        </w:rPr>
        <w:t xml:space="preserve"> </w:t>
      </w:r>
      <w:r>
        <w:t>the</w:t>
      </w:r>
      <w:r>
        <w:rPr>
          <w:spacing w:val="17"/>
        </w:rPr>
        <w:t xml:space="preserve"> </w:t>
      </w:r>
      <w:r>
        <w:rPr>
          <w:spacing w:val="-1"/>
        </w:rPr>
        <w:t>right</w:t>
      </w:r>
      <w:r>
        <w:rPr>
          <w:spacing w:val="19"/>
        </w:rPr>
        <w:t xml:space="preserve"> </w:t>
      </w:r>
      <w:r>
        <w:rPr>
          <w:spacing w:val="-2"/>
        </w:rPr>
        <w:t>of</w:t>
      </w:r>
      <w:r>
        <w:rPr>
          <w:spacing w:val="19"/>
        </w:rPr>
        <w:t xml:space="preserve"> </w:t>
      </w:r>
      <w:r>
        <w:t>the</w:t>
      </w:r>
      <w:r>
        <w:rPr>
          <w:spacing w:val="17"/>
        </w:rPr>
        <w:t xml:space="preserve"> </w:t>
      </w:r>
      <w:r>
        <w:rPr>
          <w:spacing w:val="-1"/>
        </w:rPr>
        <w:t>Customer</w:t>
      </w:r>
      <w:r>
        <w:rPr>
          <w:spacing w:val="19"/>
        </w:rPr>
        <w:t xml:space="preserve"> </w:t>
      </w:r>
      <w:r>
        <w:t>to</w:t>
      </w:r>
      <w:r>
        <w:rPr>
          <w:spacing w:val="15"/>
        </w:rPr>
        <w:t xml:space="preserve"> </w:t>
      </w:r>
      <w:r>
        <w:rPr>
          <w:spacing w:val="-1"/>
        </w:rPr>
        <w:t>recover</w:t>
      </w:r>
      <w:r>
        <w:rPr>
          <w:spacing w:val="28"/>
        </w:rPr>
        <w:t xml:space="preserve"> </w:t>
      </w:r>
      <w:r>
        <w:rPr>
          <w:spacing w:val="-1"/>
        </w:rPr>
        <w:t>any</w:t>
      </w:r>
      <w:r>
        <w:rPr>
          <w:spacing w:val="-2"/>
        </w:rPr>
        <w:t xml:space="preserve"> </w:t>
      </w:r>
      <w:r>
        <w:rPr>
          <w:spacing w:val="-1"/>
        </w:rPr>
        <w:t>such</w:t>
      </w:r>
      <w:r>
        <w:rPr>
          <w:spacing w:val="1"/>
        </w:rPr>
        <w:t xml:space="preserve"> </w:t>
      </w:r>
      <w:r>
        <w:rPr>
          <w:spacing w:val="-1"/>
        </w:rPr>
        <w:t>damages</w:t>
      </w:r>
      <w:r>
        <w:rPr>
          <w:spacing w:val="1"/>
        </w:rPr>
        <w:t xml:space="preserve"> </w:t>
      </w:r>
      <w:r>
        <w:rPr>
          <w:spacing w:val="-2"/>
        </w:rPr>
        <w:t>unless</w:t>
      </w:r>
      <w:r>
        <w:rPr>
          <w:spacing w:val="1"/>
        </w:rPr>
        <w:t xml:space="preserve"> </w:t>
      </w:r>
      <w:r>
        <w:rPr>
          <w:spacing w:val="-1"/>
        </w:rPr>
        <w:t>such</w:t>
      </w:r>
      <w:r>
        <w:rPr>
          <w:spacing w:val="1"/>
        </w:rPr>
        <w:t xml:space="preserve"> </w:t>
      </w:r>
      <w:r>
        <w:rPr>
          <w:spacing w:val="-2"/>
        </w:rPr>
        <w:t>waiver</w:t>
      </w:r>
      <w:r>
        <w:rPr>
          <w:spacing w:val="2"/>
        </w:rPr>
        <w:t xml:space="preserve"> </w:t>
      </w:r>
      <w:r>
        <w:rPr>
          <w:spacing w:val="-1"/>
        </w:rPr>
        <w:t>complies</w:t>
      </w:r>
      <w:r>
        <w:rPr>
          <w:spacing w:val="3"/>
        </w:rPr>
        <w:t xml:space="preserve"> </w:t>
      </w:r>
      <w:r>
        <w:rPr>
          <w:spacing w:val="-1"/>
        </w:rPr>
        <w:t>with</w:t>
      </w:r>
      <w:r>
        <w:t xml:space="preserve"> </w:t>
      </w:r>
      <w:r>
        <w:rPr>
          <w:spacing w:val="-2"/>
        </w:rPr>
        <w:t>Clause</w:t>
      </w:r>
      <w:r>
        <w:rPr>
          <w:spacing w:val="1"/>
        </w:rPr>
        <w:t xml:space="preserve"> </w:t>
      </w:r>
      <w:hyperlink w:anchor="_bookmark259" w:history="1">
        <w:r>
          <w:rPr>
            <w:spacing w:val="-1"/>
          </w:rPr>
          <w:t>48</w:t>
        </w:r>
      </w:hyperlink>
      <w:r>
        <w:rPr>
          <w:spacing w:val="50"/>
        </w:rPr>
        <w:t xml:space="preserve"> </w:t>
      </w:r>
      <w:r>
        <w:rPr>
          <w:spacing w:val="-1"/>
        </w:rPr>
        <w:t>(Waiver</w:t>
      </w:r>
      <w:r>
        <w:rPr>
          <w:spacing w:val="19"/>
        </w:rPr>
        <w:t xml:space="preserve"> </w:t>
      </w:r>
      <w:r>
        <w:rPr>
          <w:spacing w:val="-1"/>
        </w:rPr>
        <w:t>and</w:t>
      </w:r>
      <w:r>
        <w:rPr>
          <w:spacing w:val="17"/>
        </w:rPr>
        <w:t xml:space="preserve"> </w:t>
      </w:r>
      <w:r>
        <w:rPr>
          <w:spacing w:val="-2"/>
        </w:rPr>
        <w:t>Cumulative</w:t>
      </w:r>
      <w:r>
        <w:rPr>
          <w:spacing w:val="20"/>
        </w:rPr>
        <w:t xml:space="preserve"> </w:t>
      </w:r>
      <w:r>
        <w:rPr>
          <w:spacing w:val="-1"/>
        </w:rPr>
        <w:t>Remedies)</w:t>
      </w:r>
      <w:r>
        <w:rPr>
          <w:spacing w:val="19"/>
        </w:rPr>
        <w:t xml:space="preserve"> </w:t>
      </w:r>
      <w:r>
        <w:rPr>
          <w:spacing w:val="-1"/>
        </w:rPr>
        <w:t>and</w:t>
      </w:r>
      <w:r>
        <w:rPr>
          <w:spacing w:val="15"/>
        </w:rPr>
        <w:t xml:space="preserve"> </w:t>
      </w:r>
      <w:r>
        <w:rPr>
          <w:spacing w:val="-1"/>
        </w:rPr>
        <w:t>refers</w:t>
      </w:r>
      <w:r>
        <w:rPr>
          <w:spacing w:val="15"/>
        </w:rPr>
        <w:t xml:space="preserve"> </w:t>
      </w:r>
      <w:r>
        <w:rPr>
          <w:spacing w:val="-1"/>
        </w:rPr>
        <w:t>specifically</w:t>
      </w:r>
      <w:r>
        <w:rPr>
          <w:spacing w:val="15"/>
        </w:rPr>
        <w:t xml:space="preserve"> </w:t>
      </w:r>
      <w:r>
        <w:t>to</w:t>
      </w:r>
      <w:r>
        <w:rPr>
          <w:spacing w:val="17"/>
        </w:rPr>
        <w:t xml:space="preserve"> </w:t>
      </w:r>
      <w:r>
        <w:t>a</w:t>
      </w:r>
      <w:r>
        <w:rPr>
          <w:spacing w:val="31"/>
        </w:rPr>
        <w:t xml:space="preserve"> </w:t>
      </w:r>
      <w:r>
        <w:rPr>
          <w:spacing w:val="-2"/>
        </w:rPr>
        <w:t>waiver</w:t>
      </w:r>
      <w:r>
        <w:rPr>
          <w:spacing w:val="2"/>
        </w:rPr>
        <w:t xml:space="preserve"> </w:t>
      </w:r>
      <w:r>
        <w:rPr>
          <w:spacing w:val="-1"/>
        </w:rPr>
        <w:t>of</w:t>
      </w:r>
      <w:r>
        <w:rPr>
          <w:spacing w:val="2"/>
        </w:rPr>
        <w:t xml:space="preserve"> </w:t>
      </w:r>
      <w:r>
        <w:t>the</w:t>
      </w:r>
      <w:r>
        <w:rPr>
          <w:spacing w:val="-2"/>
        </w:rPr>
        <w:t xml:space="preserve"> </w:t>
      </w:r>
      <w:r>
        <w:rPr>
          <w:spacing w:val="-1"/>
        </w:rPr>
        <w:t>Customer’s</w:t>
      </w:r>
      <w:r>
        <w:rPr>
          <w:spacing w:val="-2"/>
        </w:rPr>
        <w:t xml:space="preserve"> </w:t>
      </w:r>
      <w:r>
        <w:rPr>
          <w:spacing w:val="-1"/>
        </w:rPr>
        <w:t>rights</w:t>
      </w:r>
      <w:r>
        <w:rPr>
          <w:spacing w:val="-2"/>
        </w:rPr>
        <w:t xml:space="preserve"> </w:t>
      </w:r>
      <w:r>
        <w:t>to</w:t>
      </w:r>
      <w:r>
        <w:rPr>
          <w:spacing w:val="-2"/>
        </w:rPr>
        <w:t xml:space="preserve"> </w:t>
      </w:r>
      <w:r>
        <w:rPr>
          <w:spacing w:val="-1"/>
        </w:rPr>
        <w:t xml:space="preserve">claim </w:t>
      </w:r>
      <w:r>
        <w:rPr>
          <w:spacing w:val="-2"/>
        </w:rPr>
        <w:t xml:space="preserve">Delay </w:t>
      </w:r>
      <w:r>
        <w:rPr>
          <w:spacing w:val="-1"/>
        </w:rPr>
        <w:t>Payments;</w:t>
      </w:r>
      <w:r>
        <w:t xml:space="preserve"> </w:t>
      </w:r>
      <w:r>
        <w:rPr>
          <w:spacing w:val="-1"/>
        </w:rPr>
        <w:t>and</w:t>
      </w:r>
    </w:p>
    <w:p w:rsidR="008918FA" w:rsidRDefault="008918FA" w:rsidP="008918FA">
      <w:pPr>
        <w:pStyle w:val="BodyText"/>
        <w:numPr>
          <w:ilvl w:val="4"/>
          <w:numId w:val="69"/>
        </w:numPr>
        <w:tabs>
          <w:tab w:val="left" w:pos="2954"/>
        </w:tabs>
        <w:ind w:left="2953" w:right="115"/>
        <w:jc w:val="both"/>
      </w:pPr>
      <w:r>
        <w:t>the</w:t>
      </w:r>
      <w:r>
        <w:rPr>
          <w:spacing w:val="10"/>
        </w:rPr>
        <w:t xml:space="preserve"> </w:t>
      </w:r>
      <w:r>
        <w:rPr>
          <w:spacing w:val="-2"/>
        </w:rPr>
        <w:t>Supplier</w:t>
      </w:r>
      <w:r>
        <w:rPr>
          <w:spacing w:val="11"/>
        </w:rPr>
        <w:t xml:space="preserve"> </w:t>
      </w:r>
      <w:r>
        <w:rPr>
          <w:spacing w:val="-2"/>
        </w:rPr>
        <w:t>waives</w:t>
      </w:r>
      <w:r>
        <w:rPr>
          <w:spacing w:val="10"/>
        </w:rPr>
        <w:t xml:space="preserve"> </w:t>
      </w:r>
      <w:r>
        <w:rPr>
          <w:spacing w:val="-1"/>
        </w:rPr>
        <w:t>absolutely</w:t>
      </w:r>
      <w:r>
        <w:rPr>
          <w:spacing w:val="8"/>
        </w:rPr>
        <w:t xml:space="preserve"> </w:t>
      </w:r>
      <w:r>
        <w:t>any</w:t>
      </w:r>
      <w:r>
        <w:rPr>
          <w:spacing w:val="8"/>
        </w:rPr>
        <w:t xml:space="preserve"> </w:t>
      </w:r>
      <w:r>
        <w:rPr>
          <w:spacing w:val="-1"/>
        </w:rPr>
        <w:t>entitlement</w:t>
      </w:r>
      <w:r>
        <w:rPr>
          <w:spacing w:val="11"/>
        </w:rPr>
        <w:t xml:space="preserve"> </w:t>
      </w:r>
      <w:r>
        <w:rPr>
          <w:spacing w:val="-1"/>
        </w:rPr>
        <w:t>to</w:t>
      </w:r>
      <w:r>
        <w:rPr>
          <w:spacing w:val="10"/>
        </w:rPr>
        <w:t xml:space="preserve"> </w:t>
      </w:r>
      <w:r>
        <w:rPr>
          <w:spacing w:val="-1"/>
        </w:rPr>
        <w:t>challenge</w:t>
      </w:r>
      <w:r>
        <w:rPr>
          <w:spacing w:val="10"/>
        </w:rPr>
        <w:t xml:space="preserve"> </w:t>
      </w:r>
      <w:r>
        <w:rPr>
          <w:spacing w:val="-1"/>
        </w:rPr>
        <w:t>the</w:t>
      </w:r>
      <w:r>
        <w:rPr>
          <w:spacing w:val="50"/>
        </w:rPr>
        <w:t xml:space="preserve"> </w:t>
      </w:r>
      <w:r>
        <w:rPr>
          <w:spacing w:val="-1"/>
        </w:rPr>
        <w:t>enforceability</w:t>
      </w:r>
      <w:r>
        <w:rPr>
          <w:spacing w:val="8"/>
        </w:rPr>
        <w:t xml:space="preserve"> </w:t>
      </w:r>
      <w:r>
        <w:rPr>
          <w:spacing w:val="-1"/>
        </w:rPr>
        <w:t>in</w:t>
      </w:r>
      <w:r>
        <w:rPr>
          <w:spacing w:val="12"/>
        </w:rPr>
        <w:t xml:space="preserve"> </w:t>
      </w:r>
      <w:r>
        <w:rPr>
          <w:spacing w:val="-2"/>
        </w:rPr>
        <w:t>whole</w:t>
      </w:r>
      <w:r>
        <w:rPr>
          <w:spacing w:val="12"/>
        </w:rPr>
        <w:t xml:space="preserve"> </w:t>
      </w:r>
      <w:r>
        <w:rPr>
          <w:spacing w:val="-1"/>
        </w:rPr>
        <w:t>or</w:t>
      </w:r>
      <w:r>
        <w:rPr>
          <w:spacing w:val="11"/>
        </w:rPr>
        <w:t xml:space="preserve"> </w:t>
      </w:r>
      <w:r>
        <w:rPr>
          <w:spacing w:val="-1"/>
        </w:rPr>
        <w:t>in</w:t>
      </w:r>
      <w:r>
        <w:rPr>
          <w:spacing w:val="10"/>
        </w:rPr>
        <w:t xml:space="preserve"> </w:t>
      </w:r>
      <w:r>
        <w:rPr>
          <w:spacing w:val="-1"/>
        </w:rPr>
        <w:t>part</w:t>
      </w:r>
      <w:r>
        <w:rPr>
          <w:spacing w:val="11"/>
        </w:rPr>
        <w:t xml:space="preserve"> </w:t>
      </w:r>
      <w:r>
        <w:rPr>
          <w:spacing w:val="-2"/>
        </w:rPr>
        <w:t>of</w:t>
      </w:r>
      <w:r>
        <w:rPr>
          <w:spacing w:val="14"/>
        </w:rPr>
        <w:t xml:space="preserve"> </w:t>
      </w:r>
      <w:r>
        <w:rPr>
          <w:spacing w:val="-1"/>
        </w:rPr>
        <w:t>this</w:t>
      </w:r>
      <w:r>
        <w:rPr>
          <w:spacing w:val="10"/>
        </w:rPr>
        <w:t xml:space="preserve"> </w:t>
      </w:r>
      <w:r>
        <w:rPr>
          <w:spacing w:val="-2"/>
        </w:rPr>
        <w:t>Clause</w:t>
      </w:r>
      <w:r>
        <w:rPr>
          <w:spacing w:val="10"/>
        </w:rPr>
        <w:t xml:space="preserve"> </w:t>
      </w:r>
      <w:hyperlink w:anchor="_bookmark61" w:history="1">
        <w:r>
          <w:rPr>
            <w:spacing w:val="-1"/>
          </w:rPr>
          <w:t>6.4.1</w:t>
        </w:r>
      </w:hyperlink>
      <w:r>
        <w:rPr>
          <w:spacing w:val="13"/>
        </w:rPr>
        <w:t xml:space="preserve"> </w:t>
      </w:r>
      <w:r>
        <w:rPr>
          <w:spacing w:val="-1"/>
        </w:rPr>
        <w:t>and</w:t>
      </w:r>
      <w:r>
        <w:rPr>
          <w:spacing w:val="10"/>
        </w:rPr>
        <w:t xml:space="preserve"> </w:t>
      </w:r>
      <w:r>
        <w:rPr>
          <w:spacing w:val="-1"/>
        </w:rPr>
        <w:t>Delay</w:t>
      </w:r>
      <w:r>
        <w:rPr>
          <w:spacing w:val="45"/>
        </w:rPr>
        <w:t xml:space="preserve"> </w:t>
      </w:r>
      <w:r>
        <w:rPr>
          <w:spacing w:val="-1"/>
        </w:rPr>
        <w:t>Payments</w:t>
      </w:r>
      <w:r>
        <w:rPr>
          <w:spacing w:val="1"/>
        </w:rPr>
        <w:t xml:space="preserve"> </w:t>
      </w:r>
      <w:r>
        <w:rPr>
          <w:spacing w:val="-1"/>
        </w:rPr>
        <w:t>shall</w:t>
      </w:r>
      <w:r>
        <w:t xml:space="preserve"> </w:t>
      </w:r>
      <w:r>
        <w:rPr>
          <w:spacing w:val="-1"/>
        </w:rPr>
        <w:t>not</w:t>
      </w:r>
      <w:r>
        <w:rPr>
          <w:spacing w:val="2"/>
        </w:rPr>
        <w:t xml:space="preserve"> </w:t>
      </w:r>
      <w:r>
        <w:rPr>
          <w:spacing w:val="-1"/>
        </w:rPr>
        <w:t>be</w:t>
      </w:r>
      <w:r>
        <w:t xml:space="preserve"> </w:t>
      </w:r>
      <w:r>
        <w:rPr>
          <w:spacing w:val="-1"/>
        </w:rPr>
        <w:t>subject</w:t>
      </w:r>
      <w:r>
        <w:t xml:space="preserve"> to </w:t>
      </w:r>
      <w:r>
        <w:rPr>
          <w:spacing w:val="-1"/>
        </w:rPr>
        <w:t>or</w:t>
      </w:r>
      <w:r>
        <w:rPr>
          <w:spacing w:val="2"/>
        </w:rPr>
        <w:t xml:space="preserve"> </w:t>
      </w:r>
      <w:r>
        <w:rPr>
          <w:spacing w:val="-1"/>
        </w:rPr>
        <w:t>count</w:t>
      </w:r>
      <w:r>
        <w:rPr>
          <w:spacing w:val="2"/>
        </w:rPr>
        <w:t xml:space="preserve"> </w:t>
      </w:r>
      <w:r>
        <w:rPr>
          <w:spacing w:val="-2"/>
        </w:rPr>
        <w:t>towards</w:t>
      </w:r>
      <w:r>
        <w:rPr>
          <w:spacing w:val="1"/>
        </w:rPr>
        <w:t xml:space="preserve"> </w:t>
      </w:r>
      <w:r>
        <w:rPr>
          <w:spacing w:val="-1"/>
        </w:rPr>
        <w:t>any</w:t>
      </w:r>
      <w:r>
        <w:rPr>
          <w:spacing w:val="-2"/>
        </w:rPr>
        <w:t xml:space="preserve"> </w:t>
      </w:r>
      <w:r>
        <w:rPr>
          <w:spacing w:val="-1"/>
        </w:rPr>
        <w:t>limitation</w:t>
      </w:r>
      <w:r>
        <w:rPr>
          <w:spacing w:val="44"/>
        </w:rPr>
        <w:t xml:space="preserve"> </w:t>
      </w:r>
      <w:r>
        <w:rPr>
          <w:spacing w:val="-1"/>
        </w:rPr>
        <w:t>on</w:t>
      </w:r>
      <w:r>
        <w:t xml:space="preserve"> </w:t>
      </w:r>
      <w:r>
        <w:rPr>
          <w:spacing w:val="-1"/>
        </w:rPr>
        <w:t>liability</w:t>
      </w:r>
      <w:r>
        <w:rPr>
          <w:spacing w:val="-2"/>
        </w:rPr>
        <w:t xml:space="preserve"> </w:t>
      </w:r>
      <w:r>
        <w:rPr>
          <w:spacing w:val="-1"/>
        </w:rPr>
        <w:t>set</w:t>
      </w:r>
      <w:r>
        <w:rPr>
          <w:spacing w:val="2"/>
        </w:rPr>
        <w:t xml:space="preserve"> </w:t>
      </w:r>
      <w:r>
        <w:rPr>
          <w:spacing w:val="-2"/>
        </w:rPr>
        <w:t>out</w:t>
      </w:r>
      <w:r>
        <w:rPr>
          <w:spacing w:val="2"/>
        </w:rPr>
        <w:t xml:space="preserve"> </w:t>
      </w:r>
      <w:r>
        <w:rPr>
          <w:spacing w:val="-1"/>
        </w:rPr>
        <w:t>in</w:t>
      </w:r>
      <w:r>
        <w:t xml:space="preserve"> </w:t>
      </w:r>
      <w:r>
        <w:rPr>
          <w:spacing w:val="-2"/>
        </w:rPr>
        <w:t>Clause</w:t>
      </w:r>
      <w:r>
        <w:rPr>
          <w:spacing w:val="1"/>
        </w:rPr>
        <w:t xml:space="preserve"> </w:t>
      </w:r>
      <w:hyperlink w:anchor="_bookmark200" w:history="1">
        <w:r>
          <w:rPr>
            <w:spacing w:val="-1"/>
          </w:rPr>
          <w:t>36</w:t>
        </w:r>
      </w:hyperlink>
      <w:r>
        <w:rPr>
          <w:spacing w:val="-1"/>
        </w:rPr>
        <w:t xml:space="preserve"> </w:t>
      </w:r>
      <w:r>
        <w:rPr>
          <w:spacing w:val="-2"/>
        </w:rPr>
        <w:t>(Liability).</w:t>
      </w:r>
    </w:p>
    <w:p w:rsidR="008918FA" w:rsidRDefault="008918FA" w:rsidP="008918FA">
      <w:pPr>
        <w:pStyle w:val="BodyText"/>
        <w:numPr>
          <w:ilvl w:val="1"/>
          <w:numId w:val="69"/>
        </w:numPr>
        <w:tabs>
          <w:tab w:val="left" w:pos="686"/>
        </w:tabs>
        <w:spacing w:before="117"/>
        <w:ind w:left="685"/>
        <w:rPr>
          <w:rFonts w:ascii="Times New Roman" w:eastAsia="Times New Roman" w:hAnsi="Times New Roman" w:cs="Times New Roman"/>
        </w:rPr>
      </w:pPr>
      <w:bookmarkStart w:id="66" w:name="_bookmark64"/>
      <w:bookmarkEnd w:id="66"/>
      <w:r>
        <w:rPr>
          <w:rFonts w:ascii="Times New Roman"/>
          <w:spacing w:val="7"/>
        </w:rPr>
        <w:t>GOODS</w:t>
      </w:r>
      <w:r>
        <w:rPr>
          <w:rFonts w:ascii="Times New Roman"/>
          <w:spacing w:val="33"/>
        </w:rPr>
        <w:t xml:space="preserve"> </w:t>
      </w:r>
      <w:r>
        <w:rPr>
          <w:rFonts w:ascii="Times New Roman"/>
        </w:rPr>
        <w:t>AND/OR</w:t>
      </w:r>
      <w:r>
        <w:rPr>
          <w:rFonts w:ascii="Times New Roman"/>
          <w:spacing w:val="18"/>
        </w:rPr>
        <w:t xml:space="preserve"> </w:t>
      </w:r>
      <w:r>
        <w:rPr>
          <w:rFonts w:ascii="Times New Roman"/>
          <w:spacing w:val="5"/>
        </w:rPr>
        <w:t>SERVICES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Heading1"/>
        <w:numPr>
          <w:ilvl w:val="2"/>
          <w:numId w:val="69"/>
        </w:numPr>
        <w:tabs>
          <w:tab w:val="left" w:pos="1048"/>
        </w:tabs>
        <w:spacing w:before="0"/>
        <w:ind w:left="1047"/>
        <w:rPr>
          <w:b w:val="0"/>
          <w:bCs w:val="0"/>
        </w:rPr>
      </w:pPr>
      <w:bookmarkStart w:id="67" w:name="_bookmark65"/>
      <w:bookmarkEnd w:id="67"/>
      <w:r>
        <w:rPr>
          <w:spacing w:val="-1"/>
        </w:rPr>
        <w:t>Provision</w:t>
      </w:r>
      <w:r>
        <w:t xml:space="preserve"> </w:t>
      </w:r>
      <w:r>
        <w:rPr>
          <w:spacing w:val="-1"/>
        </w:rPr>
        <w:t>of the</w:t>
      </w:r>
      <w:r>
        <w:rPr>
          <w:spacing w:val="-5"/>
        </w:rPr>
        <w:t xml:space="preserve"> </w:t>
      </w:r>
      <w:r>
        <w:rPr>
          <w:spacing w:val="-1"/>
        </w:rPr>
        <w:t>Goods</w:t>
      </w:r>
      <w:r>
        <w:rPr>
          <w:spacing w:val="-2"/>
        </w:rPr>
        <w:t xml:space="preserve"> </w:t>
      </w:r>
      <w:r>
        <w:rPr>
          <w:spacing w:val="-1"/>
        </w:rPr>
        <w:t>and/or Services</w:t>
      </w:r>
    </w:p>
    <w:p w:rsidR="008918FA" w:rsidRDefault="008918FA" w:rsidP="008918FA">
      <w:pPr>
        <w:pStyle w:val="BodyText"/>
        <w:numPr>
          <w:ilvl w:val="3"/>
          <w:numId w:val="69"/>
        </w:numPr>
        <w:tabs>
          <w:tab w:val="left" w:pos="2245"/>
        </w:tabs>
        <w:spacing w:before="121"/>
        <w:ind w:left="2244" w:right="115" w:hanging="993"/>
        <w:jc w:val="both"/>
      </w:pPr>
      <w:r>
        <w:t>The</w:t>
      </w:r>
      <w:r>
        <w:rPr>
          <w:spacing w:val="39"/>
        </w:rPr>
        <w:t xml:space="preserve"> </w:t>
      </w:r>
      <w:r>
        <w:rPr>
          <w:spacing w:val="-2"/>
        </w:rPr>
        <w:t>Supplier</w:t>
      </w:r>
      <w:r>
        <w:rPr>
          <w:spacing w:val="40"/>
        </w:rPr>
        <w:t xml:space="preserve"> </w:t>
      </w:r>
      <w:r>
        <w:rPr>
          <w:spacing w:val="-1"/>
        </w:rPr>
        <w:t>acknowledges</w:t>
      </w:r>
      <w:r>
        <w:rPr>
          <w:spacing w:val="39"/>
        </w:rPr>
        <w:t xml:space="preserve"> </w:t>
      </w:r>
      <w:r>
        <w:rPr>
          <w:spacing w:val="-1"/>
        </w:rPr>
        <w:t>and</w:t>
      </w:r>
      <w:r>
        <w:rPr>
          <w:spacing w:val="38"/>
        </w:rPr>
        <w:t xml:space="preserve"> </w:t>
      </w:r>
      <w:r>
        <w:rPr>
          <w:spacing w:val="-1"/>
        </w:rPr>
        <w:t>agrees</w:t>
      </w:r>
      <w:r>
        <w:rPr>
          <w:spacing w:val="37"/>
        </w:rPr>
        <w:t xml:space="preserve"> </w:t>
      </w:r>
      <w:r>
        <w:rPr>
          <w:spacing w:val="-1"/>
        </w:rPr>
        <w:t>that</w:t>
      </w:r>
      <w:r>
        <w:rPr>
          <w:spacing w:val="38"/>
        </w:rPr>
        <w:t xml:space="preserve"> </w:t>
      </w:r>
      <w:r>
        <w:rPr>
          <w:spacing w:val="-1"/>
        </w:rPr>
        <w:t>the</w:t>
      </w:r>
      <w:r>
        <w:rPr>
          <w:spacing w:val="39"/>
        </w:rPr>
        <w:t xml:space="preserve"> </w:t>
      </w:r>
      <w:r>
        <w:rPr>
          <w:spacing w:val="-1"/>
        </w:rPr>
        <w:t>Customer</w:t>
      </w:r>
      <w:r>
        <w:rPr>
          <w:spacing w:val="40"/>
        </w:rPr>
        <w:t xml:space="preserve"> </w:t>
      </w:r>
      <w:r>
        <w:rPr>
          <w:spacing w:val="-1"/>
        </w:rPr>
        <w:t>relies</w:t>
      </w:r>
      <w:r>
        <w:rPr>
          <w:spacing w:val="39"/>
        </w:rPr>
        <w:t xml:space="preserve"> </w:t>
      </w:r>
      <w:r>
        <w:rPr>
          <w:spacing w:val="-1"/>
        </w:rPr>
        <w:t>on</w:t>
      </w:r>
      <w:r>
        <w:rPr>
          <w:spacing w:val="30"/>
        </w:rPr>
        <w:t xml:space="preserve"> </w:t>
      </w:r>
      <w:r>
        <w:t>the</w:t>
      </w:r>
      <w:r>
        <w:rPr>
          <w:spacing w:val="36"/>
        </w:rPr>
        <w:t xml:space="preserve"> </w:t>
      </w:r>
      <w:r>
        <w:rPr>
          <w:spacing w:val="-1"/>
        </w:rPr>
        <w:t>skill</w:t>
      </w:r>
      <w:r>
        <w:rPr>
          <w:spacing w:val="36"/>
        </w:rPr>
        <w:t xml:space="preserve"> </w:t>
      </w:r>
      <w:r>
        <w:rPr>
          <w:spacing w:val="-1"/>
        </w:rPr>
        <w:t>and</w:t>
      </w:r>
      <w:r>
        <w:rPr>
          <w:spacing w:val="36"/>
        </w:rPr>
        <w:t xml:space="preserve"> </w:t>
      </w:r>
      <w:r>
        <w:rPr>
          <w:spacing w:val="-1"/>
        </w:rPr>
        <w:t>judgment</w:t>
      </w:r>
      <w:r>
        <w:rPr>
          <w:spacing w:val="35"/>
        </w:rPr>
        <w:t xml:space="preserve"> </w:t>
      </w:r>
      <w:r>
        <w:rPr>
          <w:spacing w:val="-2"/>
        </w:rPr>
        <w:t>of</w:t>
      </w:r>
      <w:r>
        <w:rPr>
          <w:spacing w:val="40"/>
        </w:rPr>
        <w:t xml:space="preserve"> </w:t>
      </w:r>
      <w:r>
        <w:t>the</w:t>
      </w:r>
      <w:r>
        <w:rPr>
          <w:spacing w:val="36"/>
        </w:rPr>
        <w:t xml:space="preserve"> </w:t>
      </w:r>
      <w:r>
        <w:rPr>
          <w:spacing w:val="-2"/>
        </w:rPr>
        <w:t>Supplier</w:t>
      </w:r>
      <w:r>
        <w:rPr>
          <w:spacing w:val="39"/>
        </w:rPr>
        <w:t xml:space="preserve"> </w:t>
      </w:r>
      <w:r>
        <w:rPr>
          <w:spacing w:val="-1"/>
        </w:rPr>
        <w:t>in</w:t>
      </w:r>
      <w:r>
        <w:rPr>
          <w:spacing w:val="36"/>
        </w:rPr>
        <w:t xml:space="preserve"> </w:t>
      </w:r>
      <w:r>
        <w:t>the</w:t>
      </w:r>
      <w:r>
        <w:rPr>
          <w:spacing w:val="36"/>
        </w:rPr>
        <w:t xml:space="preserve"> </w:t>
      </w:r>
      <w:r>
        <w:rPr>
          <w:spacing w:val="-2"/>
        </w:rPr>
        <w:t>provision</w:t>
      </w:r>
      <w:r>
        <w:rPr>
          <w:spacing w:val="36"/>
        </w:rPr>
        <w:t xml:space="preserve"> </w:t>
      </w:r>
      <w:r>
        <w:rPr>
          <w:spacing w:val="-1"/>
        </w:rPr>
        <w:t>of</w:t>
      </w:r>
      <w:r>
        <w:rPr>
          <w:spacing w:val="40"/>
        </w:rPr>
        <w:t xml:space="preserve"> </w:t>
      </w:r>
      <w:r>
        <w:t>the</w:t>
      </w:r>
      <w:r>
        <w:rPr>
          <w:spacing w:val="36"/>
        </w:rPr>
        <w:t xml:space="preserve"> </w:t>
      </w:r>
      <w:r>
        <w:rPr>
          <w:spacing w:val="-1"/>
        </w:rPr>
        <w:t>Goods</w:t>
      </w:r>
      <w:r>
        <w:rPr>
          <w:spacing w:val="50"/>
        </w:rPr>
        <w:t xml:space="preserve"> </w:t>
      </w:r>
      <w:r>
        <w:rPr>
          <w:spacing w:val="-1"/>
        </w:rPr>
        <w:t>and/or</w:t>
      </w:r>
      <w:r>
        <w:rPr>
          <w:spacing w:val="21"/>
        </w:rPr>
        <w:t xml:space="preserve"> </w:t>
      </w:r>
      <w:r>
        <w:rPr>
          <w:spacing w:val="-2"/>
        </w:rPr>
        <w:t>Services</w:t>
      </w:r>
      <w:r>
        <w:rPr>
          <w:spacing w:val="20"/>
        </w:rPr>
        <w:t xml:space="preserve"> </w:t>
      </w:r>
      <w:r>
        <w:rPr>
          <w:spacing w:val="-1"/>
        </w:rPr>
        <w:t>and</w:t>
      </w:r>
      <w:r>
        <w:rPr>
          <w:spacing w:val="19"/>
        </w:rPr>
        <w:t xml:space="preserve"> </w:t>
      </w:r>
      <w:r>
        <w:t>the</w:t>
      </w:r>
      <w:r>
        <w:rPr>
          <w:spacing w:val="17"/>
        </w:rPr>
        <w:t xml:space="preserve"> </w:t>
      </w:r>
      <w:r>
        <w:rPr>
          <w:spacing w:val="-1"/>
        </w:rPr>
        <w:t>performance</w:t>
      </w:r>
      <w:r>
        <w:rPr>
          <w:spacing w:val="20"/>
        </w:rPr>
        <w:t xml:space="preserve"> </w:t>
      </w:r>
      <w:r>
        <w:rPr>
          <w:spacing w:val="-2"/>
        </w:rPr>
        <w:t>of</w:t>
      </w:r>
      <w:r>
        <w:rPr>
          <w:spacing w:val="21"/>
        </w:rPr>
        <w:t xml:space="preserve"> </w:t>
      </w:r>
      <w:r>
        <w:rPr>
          <w:spacing w:val="-1"/>
        </w:rPr>
        <w:t>its</w:t>
      </w:r>
      <w:r>
        <w:rPr>
          <w:spacing w:val="18"/>
        </w:rPr>
        <w:t xml:space="preserve"> </w:t>
      </w:r>
      <w:r>
        <w:rPr>
          <w:spacing w:val="-1"/>
        </w:rPr>
        <w:t>obligations</w:t>
      </w:r>
      <w:r>
        <w:rPr>
          <w:spacing w:val="20"/>
        </w:rPr>
        <w:t xml:space="preserve"> </w:t>
      </w:r>
      <w:r>
        <w:rPr>
          <w:spacing w:val="-1"/>
        </w:rPr>
        <w:t>under</w:t>
      </w:r>
      <w:r>
        <w:rPr>
          <w:spacing w:val="18"/>
        </w:rPr>
        <w:t xml:space="preserve"> </w:t>
      </w:r>
      <w:r>
        <w:rPr>
          <w:spacing w:val="-1"/>
        </w:rPr>
        <w:t>this</w:t>
      </w:r>
      <w:r>
        <w:rPr>
          <w:spacing w:val="20"/>
        </w:rPr>
        <w:t xml:space="preserve"> </w:t>
      </w:r>
      <w:r>
        <w:rPr>
          <w:spacing w:val="-2"/>
        </w:rPr>
        <w:t>Call</w:t>
      </w:r>
      <w:r>
        <w:rPr>
          <w:spacing w:val="43"/>
        </w:rPr>
        <w:t xml:space="preserve"> </w:t>
      </w:r>
      <w:r>
        <w:rPr>
          <w:spacing w:val="-1"/>
        </w:rPr>
        <w:t>Off</w:t>
      </w:r>
      <w:r>
        <w:rPr>
          <w:spacing w:val="2"/>
        </w:rPr>
        <w:t xml:space="preserve"> </w:t>
      </w:r>
      <w:r>
        <w:rPr>
          <w:spacing w:val="-1"/>
        </w:rPr>
        <w:t>Contract.</w:t>
      </w:r>
    </w:p>
    <w:p w:rsidR="008918FA" w:rsidRDefault="008918FA" w:rsidP="008918FA">
      <w:pPr>
        <w:jc w:val="both"/>
        <w:sectPr w:rsidR="008918FA">
          <w:pgSz w:w="11910" w:h="16840"/>
          <w:pgMar w:top="1480" w:right="1300" w:bottom="1180" w:left="1320" w:header="0" w:footer="987" w:gutter="0"/>
          <w:cols w:space="720"/>
        </w:sectPr>
      </w:pPr>
    </w:p>
    <w:p w:rsidR="008918FA" w:rsidRDefault="008918FA" w:rsidP="008918FA">
      <w:pPr>
        <w:pStyle w:val="BodyText"/>
        <w:numPr>
          <w:ilvl w:val="3"/>
          <w:numId w:val="69"/>
        </w:numPr>
        <w:tabs>
          <w:tab w:val="left" w:pos="1887"/>
        </w:tabs>
        <w:spacing w:before="59"/>
        <w:ind w:left="1886"/>
      </w:pPr>
      <w:bookmarkStart w:id="68" w:name="_bookmark66"/>
      <w:bookmarkEnd w:id="68"/>
      <w:r>
        <w:lastRenderedPageBreak/>
        <w:t>The</w:t>
      </w:r>
      <w:r>
        <w:rPr>
          <w:spacing w:val="-2"/>
        </w:rPr>
        <w:t xml:space="preserve"> Supplier</w:t>
      </w:r>
      <w:r>
        <w:rPr>
          <w:spacing w:val="2"/>
        </w:rPr>
        <w:t xml:space="preserve"> </w:t>
      </w:r>
      <w:r>
        <w:rPr>
          <w:spacing w:val="-1"/>
        </w:rPr>
        <w:t>shall</w:t>
      </w:r>
      <w:r>
        <w:t xml:space="preserve"> </w:t>
      </w:r>
      <w:r>
        <w:rPr>
          <w:spacing w:val="-1"/>
        </w:rPr>
        <w:t>ensure</w:t>
      </w:r>
      <w:r>
        <w:t xml:space="preserve"> </w:t>
      </w:r>
      <w:r>
        <w:rPr>
          <w:spacing w:val="-1"/>
        </w:rPr>
        <w:t>that</w:t>
      </w:r>
      <w:r>
        <w:t xml:space="preserve"> the</w:t>
      </w:r>
      <w:r>
        <w:rPr>
          <w:spacing w:val="-2"/>
        </w:rPr>
        <w:t xml:space="preserve"> </w:t>
      </w:r>
      <w:r>
        <w:rPr>
          <w:spacing w:val="-1"/>
        </w:rPr>
        <w:t>Goods</w:t>
      </w:r>
      <w:r>
        <w:rPr>
          <w:spacing w:val="-2"/>
        </w:rPr>
        <w:t xml:space="preserve"> </w:t>
      </w:r>
      <w:r>
        <w:rPr>
          <w:spacing w:val="-1"/>
        </w:rPr>
        <w:t>and/or</w:t>
      </w:r>
      <w:r>
        <w:t xml:space="preserve"> </w:t>
      </w:r>
      <w:r>
        <w:rPr>
          <w:spacing w:val="-2"/>
        </w:rPr>
        <w:t>Services:</w:t>
      </w:r>
    </w:p>
    <w:p w:rsidR="008918FA" w:rsidRDefault="008918FA" w:rsidP="008918FA">
      <w:pPr>
        <w:pStyle w:val="BodyText"/>
        <w:numPr>
          <w:ilvl w:val="4"/>
          <w:numId w:val="69"/>
        </w:numPr>
        <w:tabs>
          <w:tab w:val="left" w:pos="2595"/>
        </w:tabs>
        <w:ind w:left="2594" w:right="112"/>
        <w:jc w:val="both"/>
      </w:pPr>
      <w:r>
        <w:rPr>
          <w:spacing w:val="-1"/>
        </w:rPr>
        <w:t>comply</w:t>
      </w:r>
      <w:r>
        <w:rPr>
          <w:spacing w:val="8"/>
        </w:rPr>
        <w:t xml:space="preserve"> </w:t>
      </w:r>
      <w:r>
        <w:rPr>
          <w:spacing w:val="-1"/>
        </w:rPr>
        <w:t>in</w:t>
      </w:r>
      <w:r>
        <w:rPr>
          <w:spacing w:val="10"/>
        </w:rPr>
        <w:t xml:space="preserve"> </w:t>
      </w:r>
      <w:r>
        <w:t>all</w:t>
      </w:r>
      <w:r>
        <w:rPr>
          <w:spacing w:val="9"/>
        </w:rPr>
        <w:t xml:space="preserve"> </w:t>
      </w:r>
      <w:r>
        <w:rPr>
          <w:spacing w:val="-1"/>
        </w:rPr>
        <w:t>respects</w:t>
      </w:r>
      <w:r>
        <w:rPr>
          <w:spacing w:val="10"/>
        </w:rPr>
        <w:t xml:space="preserve"> </w:t>
      </w:r>
      <w:r>
        <w:rPr>
          <w:spacing w:val="-1"/>
        </w:rPr>
        <w:t>with</w:t>
      </w:r>
      <w:r>
        <w:rPr>
          <w:spacing w:val="10"/>
        </w:rPr>
        <w:t xml:space="preserve"> </w:t>
      </w:r>
      <w:r>
        <w:rPr>
          <w:spacing w:val="-1"/>
        </w:rPr>
        <w:t>any</w:t>
      </w:r>
      <w:r>
        <w:rPr>
          <w:spacing w:val="9"/>
        </w:rPr>
        <w:t xml:space="preserve"> </w:t>
      </w:r>
      <w:r>
        <w:rPr>
          <w:spacing w:val="-1"/>
        </w:rPr>
        <w:t>description</w:t>
      </w:r>
      <w:r>
        <w:rPr>
          <w:spacing w:val="10"/>
        </w:rPr>
        <w:t xml:space="preserve"> </w:t>
      </w:r>
      <w:r>
        <w:rPr>
          <w:spacing w:val="-1"/>
        </w:rPr>
        <w:t>of</w:t>
      </w:r>
      <w:r>
        <w:rPr>
          <w:spacing w:val="11"/>
        </w:rPr>
        <w:t xml:space="preserve"> </w:t>
      </w:r>
      <w:r>
        <w:t>the</w:t>
      </w:r>
      <w:r>
        <w:rPr>
          <w:spacing w:val="7"/>
        </w:rPr>
        <w:t xml:space="preserve"> </w:t>
      </w:r>
      <w:r>
        <w:rPr>
          <w:spacing w:val="-1"/>
        </w:rPr>
        <w:t>Goods</w:t>
      </w:r>
      <w:r>
        <w:rPr>
          <w:spacing w:val="10"/>
        </w:rPr>
        <w:t xml:space="preserve"> </w:t>
      </w:r>
      <w:r>
        <w:rPr>
          <w:spacing w:val="-2"/>
        </w:rPr>
        <w:t>and/or</w:t>
      </w:r>
      <w:r>
        <w:rPr>
          <w:spacing w:val="40"/>
        </w:rPr>
        <w:t xml:space="preserve"> </w:t>
      </w:r>
      <w:r>
        <w:rPr>
          <w:spacing w:val="-1"/>
        </w:rPr>
        <w:t>Services</w:t>
      </w:r>
      <w:r>
        <w:rPr>
          <w:spacing w:val="21"/>
        </w:rPr>
        <w:t xml:space="preserve"> </w:t>
      </w:r>
      <w:r>
        <w:rPr>
          <w:spacing w:val="-1"/>
        </w:rPr>
        <w:t>in</w:t>
      </w:r>
      <w:r>
        <w:rPr>
          <w:spacing w:val="21"/>
        </w:rPr>
        <w:t xml:space="preserve"> </w:t>
      </w:r>
      <w:r>
        <w:rPr>
          <w:spacing w:val="-2"/>
        </w:rPr>
        <w:t>Call</w:t>
      </w:r>
      <w:r>
        <w:rPr>
          <w:spacing w:val="20"/>
        </w:rPr>
        <w:t xml:space="preserve"> </w:t>
      </w:r>
      <w:r>
        <w:rPr>
          <w:spacing w:val="-1"/>
        </w:rPr>
        <w:t>Off</w:t>
      </w:r>
      <w:r>
        <w:rPr>
          <w:spacing w:val="22"/>
        </w:rPr>
        <w:t xml:space="preserve"> </w:t>
      </w:r>
      <w:r>
        <w:rPr>
          <w:spacing w:val="-1"/>
        </w:rPr>
        <w:t>Schedule</w:t>
      </w:r>
      <w:r>
        <w:rPr>
          <w:spacing w:val="21"/>
        </w:rPr>
        <w:t xml:space="preserve"> </w:t>
      </w:r>
      <w:r>
        <w:t>2</w:t>
      </w:r>
      <w:r>
        <w:rPr>
          <w:spacing w:val="21"/>
        </w:rPr>
        <w:t xml:space="preserve"> </w:t>
      </w:r>
      <w:r>
        <w:rPr>
          <w:spacing w:val="-1"/>
        </w:rPr>
        <w:t>(Goods</w:t>
      </w:r>
      <w:r>
        <w:rPr>
          <w:spacing w:val="21"/>
        </w:rPr>
        <w:t xml:space="preserve"> </w:t>
      </w:r>
      <w:r>
        <w:rPr>
          <w:spacing w:val="-2"/>
        </w:rPr>
        <w:t>and</w:t>
      </w:r>
      <w:r>
        <w:rPr>
          <w:spacing w:val="18"/>
        </w:rPr>
        <w:t xml:space="preserve"> </w:t>
      </w:r>
      <w:r>
        <w:rPr>
          <w:spacing w:val="-1"/>
        </w:rPr>
        <w:t>Services)</w:t>
      </w:r>
      <w:r>
        <w:rPr>
          <w:spacing w:val="25"/>
        </w:rPr>
        <w:t xml:space="preserve"> </w:t>
      </w:r>
      <w:r>
        <w:rPr>
          <w:spacing w:val="-1"/>
        </w:rPr>
        <w:t>or</w:t>
      </w:r>
      <w:r>
        <w:rPr>
          <w:spacing w:val="23"/>
        </w:rPr>
        <w:t xml:space="preserve"> </w:t>
      </w:r>
      <w:r>
        <w:rPr>
          <w:spacing w:val="-2"/>
        </w:rPr>
        <w:t>elsewhere</w:t>
      </w:r>
      <w:r>
        <w:t xml:space="preserve"> </w:t>
      </w:r>
      <w:r>
        <w:rPr>
          <w:spacing w:val="-1"/>
        </w:rPr>
        <w:t>in</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1"/>
        </w:rPr>
        <w:t>and</w:t>
      </w:r>
    </w:p>
    <w:p w:rsidR="008918FA" w:rsidRDefault="008918FA" w:rsidP="008918FA">
      <w:pPr>
        <w:pStyle w:val="BodyText"/>
        <w:numPr>
          <w:ilvl w:val="4"/>
          <w:numId w:val="69"/>
        </w:numPr>
        <w:tabs>
          <w:tab w:val="left" w:pos="2595"/>
        </w:tabs>
        <w:spacing w:before="121"/>
        <w:ind w:left="2594" w:right="115"/>
        <w:jc w:val="both"/>
      </w:pPr>
      <w:r>
        <w:rPr>
          <w:spacing w:val="-1"/>
        </w:rPr>
        <w:t>are</w:t>
      </w:r>
      <w:r>
        <w:rPr>
          <w:spacing w:val="27"/>
        </w:rPr>
        <w:t xml:space="preserve"> </w:t>
      </w:r>
      <w:r>
        <w:rPr>
          <w:spacing w:val="-1"/>
        </w:rPr>
        <w:t>supplied</w:t>
      </w:r>
      <w:r>
        <w:rPr>
          <w:spacing w:val="27"/>
        </w:rPr>
        <w:t xml:space="preserve"> </w:t>
      </w:r>
      <w:r>
        <w:rPr>
          <w:spacing w:val="-1"/>
        </w:rPr>
        <w:t>in</w:t>
      </w:r>
      <w:r>
        <w:rPr>
          <w:spacing w:val="27"/>
        </w:rPr>
        <w:t xml:space="preserve"> </w:t>
      </w:r>
      <w:r>
        <w:rPr>
          <w:spacing w:val="-1"/>
        </w:rPr>
        <w:t>accordance</w:t>
      </w:r>
      <w:r>
        <w:rPr>
          <w:spacing w:val="27"/>
        </w:rPr>
        <w:t xml:space="preserve"> </w:t>
      </w:r>
      <w:r>
        <w:rPr>
          <w:spacing w:val="-2"/>
        </w:rPr>
        <w:t>with</w:t>
      </w:r>
      <w:r>
        <w:rPr>
          <w:spacing w:val="27"/>
        </w:rPr>
        <w:t xml:space="preserve"> </w:t>
      </w:r>
      <w:r>
        <w:t>the</w:t>
      </w:r>
      <w:r>
        <w:rPr>
          <w:spacing w:val="27"/>
        </w:rPr>
        <w:t xml:space="preserve"> </w:t>
      </w:r>
      <w:r>
        <w:rPr>
          <w:spacing w:val="-2"/>
        </w:rPr>
        <w:t>provisions</w:t>
      </w:r>
      <w:r>
        <w:rPr>
          <w:spacing w:val="27"/>
        </w:rPr>
        <w:t xml:space="preserve"> </w:t>
      </w:r>
      <w:r>
        <w:rPr>
          <w:spacing w:val="-2"/>
        </w:rPr>
        <w:t>of</w:t>
      </w:r>
      <w:r>
        <w:rPr>
          <w:spacing w:val="30"/>
        </w:rPr>
        <w:t xml:space="preserve"> </w:t>
      </w:r>
      <w:r>
        <w:t>this</w:t>
      </w:r>
      <w:r>
        <w:rPr>
          <w:spacing w:val="27"/>
        </w:rPr>
        <w:t xml:space="preserve"> </w:t>
      </w:r>
      <w:r>
        <w:rPr>
          <w:spacing w:val="-2"/>
        </w:rPr>
        <w:t>Call</w:t>
      </w:r>
      <w:r>
        <w:rPr>
          <w:spacing w:val="24"/>
        </w:rPr>
        <w:t xml:space="preserve"> </w:t>
      </w:r>
      <w:r>
        <w:rPr>
          <w:spacing w:val="-1"/>
        </w:rPr>
        <w:t>Off</w:t>
      </w:r>
      <w:r>
        <w:rPr>
          <w:spacing w:val="43"/>
        </w:rPr>
        <w:t xml:space="preserve"> </w:t>
      </w:r>
      <w:r>
        <w:rPr>
          <w:spacing w:val="-1"/>
        </w:rPr>
        <w:t>Contract</w:t>
      </w:r>
      <w:r>
        <w:rPr>
          <w:spacing w:val="2"/>
        </w:rPr>
        <w:t xml:space="preserve"> </w:t>
      </w:r>
      <w:r>
        <w:rPr>
          <w:spacing w:val="-2"/>
        </w:rPr>
        <w:t>or</w:t>
      </w:r>
      <w:r>
        <w:rPr>
          <w:spacing w:val="-1"/>
        </w:rPr>
        <w:t xml:space="preserve"> </w:t>
      </w:r>
      <w:r>
        <w:t>the</w:t>
      </w:r>
      <w:r>
        <w:rPr>
          <w:spacing w:val="-2"/>
        </w:rPr>
        <w:t xml:space="preserve"> </w:t>
      </w:r>
      <w:r>
        <w:rPr>
          <w:spacing w:val="-1"/>
        </w:rPr>
        <w:t>Tender.</w:t>
      </w:r>
    </w:p>
    <w:p w:rsidR="008918FA" w:rsidRDefault="008918FA" w:rsidP="008918FA">
      <w:pPr>
        <w:pStyle w:val="BodyText"/>
        <w:numPr>
          <w:ilvl w:val="3"/>
          <w:numId w:val="69"/>
        </w:numPr>
        <w:tabs>
          <w:tab w:val="left" w:pos="1887"/>
        </w:tabs>
        <w:ind w:left="1886" w:right="115"/>
      </w:pPr>
      <w:r>
        <w:t xml:space="preserve">The </w:t>
      </w:r>
      <w:r>
        <w:rPr>
          <w:spacing w:val="-2"/>
        </w:rPr>
        <w:t>Supplier</w:t>
      </w:r>
      <w:r>
        <w:rPr>
          <w:spacing w:val="-1"/>
        </w:rPr>
        <w:t xml:space="preserve"> shall</w:t>
      </w:r>
      <w:r>
        <w:t xml:space="preserve"> </w:t>
      </w:r>
      <w:r>
        <w:rPr>
          <w:spacing w:val="-1"/>
        </w:rPr>
        <w:t>perform</w:t>
      </w:r>
      <w:r>
        <w:rPr>
          <w:spacing w:val="2"/>
        </w:rPr>
        <w:t xml:space="preserve"> </w:t>
      </w:r>
      <w:r>
        <w:rPr>
          <w:spacing w:val="-1"/>
        </w:rPr>
        <w:t>its</w:t>
      </w:r>
      <w:r>
        <w:rPr>
          <w:spacing w:val="-2"/>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rPr>
          <w:spacing w:val="2"/>
        </w:rPr>
        <w:t xml:space="preserve"> </w:t>
      </w:r>
      <w:r>
        <w:rPr>
          <w:spacing w:val="-2"/>
        </w:rPr>
        <w:t>Contract</w:t>
      </w:r>
      <w:r>
        <w:rPr>
          <w:spacing w:val="2"/>
        </w:rPr>
        <w:t xml:space="preserve"> </w:t>
      </w:r>
      <w:r>
        <w:rPr>
          <w:spacing w:val="-1"/>
        </w:rPr>
        <w:t>in</w:t>
      </w:r>
      <w:r>
        <w:rPr>
          <w:spacing w:val="57"/>
        </w:rPr>
        <w:t xml:space="preserve"> </w:t>
      </w:r>
      <w:r>
        <w:rPr>
          <w:spacing w:val="-1"/>
        </w:rPr>
        <w:t>accordance</w:t>
      </w:r>
      <w:r>
        <w:rPr>
          <w:spacing w:val="-2"/>
        </w:rPr>
        <w:t xml:space="preserve"> with:</w:t>
      </w:r>
    </w:p>
    <w:p w:rsidR="008918FA" w:rsidRDefault="008918FA" w:rsidP="008918FA">
      <w:pPr>
        <w:pStyle w:val="BodyText"/>
        <w:numPr>
          <w:ilvl w:val="4"/>
          <w:numId w:val="69"/>
        </w:numPr>
        <w:tabs>
          <w:tab w:val="left" w:pos="2594"/>
        </w:tabs>
        <w:ind w:left="2593" w:hanging="707"/>
      </w:pPr>
      <w:bookmarkStart w:id="69" w:name="_bookmark67"/>
      <w:bookmarkEnd w:id="69"/>
      <w:r>
        <w:rPr>
          <w:spacing w:val="-1"/>
        </w:rPr>
        <w:t>all</w:t>
      </w:r>
      <w:r>
        <w:t xml:space="preserve"> </w:t>
      </w:r>
      <w:r>
        <w:rPr>
          <w:spacing w:val="-2"/>
        </w:rPr>
        <w:t>applicable</w:t>
      </w:r>
      <w:r>
        <w:t xml:space="preserve"> </w:t>
      </w:r>
      <w:r>
        <w:rPr>
          <w:spacing w:val="-1"/>
        </w:rPr>
        <w:t>Law;</w:t>
      </w:r>
    </w:p>
    <w:p w:rsidR="008918FA" w:rsidRDefault="008918FA" w:rsidP="008918FA">
      <w:pPr>
        <w:pStyle w:val="BodyText"/>
        <w:numPr>
          <w:ilvl w:val="4"/>
          <w:numId w:val="69"/>
        </w:numPr>
        <w:tabs>
          <w:tab w:val="left" w:pos="2594"/>
        </w:tabs>
        <w:spacing w:before="121"/>
        <w:ind w:left="2593"/>
      </w:pPr>
      <w:r>
        <w:rPr>
          <w:spacing w:val="-1"/>
        </w:rPr>
        <w:t>Good</w:t>
      </w:r>
      <w:r>
        <w:rPr>
          <w:spacing w:val="-2"/>
        </w:rPr>
        <w:t xml:space="preserve"> </w:t>
      </w:r>
      <w:r>
        <w:rPr>
          <w:spacing w:val="-1"/>
        </w:rPr>
        <w:t>Industry</w:t>
      </w:r>
      <w:r>
        <w:rPr>
          <w:spacing w:val="-2"/>
        </w:rPr>
        <w:t xml:space="preserve"> </w:t>
      </w:r>
      <w:r>
        <w:rPr>
          <w:spacing w:val="-1"/>
        </w:rPr>
        <w:t>Practice;</w:t>
      </w:r>
    </w:p>
    <w:p w:rsidR="008918FA" w:rsidRDefault="008918FA" w:rsidP="008918FA">
      <w:pPr>
        <w:pStyle w:val="BodyText"/>
        <w:numPr>
          <w:ilvl w:val="4"/>
          <w:numId w:val="69"/>
        </w:numPr>
        <w:tabs>
          <w:tab w:val="left" w:pos="2594"/>
        </w:tabs>
        <w:ind w:left="2593"/>
      </w:pPr>
      <w:r>
        <w:t xml:space="preserve">the </w:t>
      </w:r>
      <w:r>
        <w:rPr>
          <w:spacing w:val="-1"/>
        </w:rPr>
        <w:t>Standards;</w:t>
      </w:r>
    </w:p>
    <w:p w:rsidR="008918FA" w:rsidRDefault="008918FA" w:rsidP="008918FA">
      <w:pPr>
        <w:pStyle w:val="BodyText"/>
        <w:numPr>
          <w:ilvl w:val="4"/>
          <w:numId w:val="69"/>
        </w:numPr>
        <w:tabs>
          <w:tab w:val="left" w:pos="2594"/>
        </w:tabs>
        <w:ind w:left="2593"/>
      </w:pPr>
      <w:r>
        <w:t xml:space="preserve">the </w:t>
      </w:r>
      <w:r>
        <w:rPr>
          <w:spacing w:val="-1"/>
        </w:rPr>
        <w:t>Security</w:t>
      </w:r>
      <w:r>
        <w:rPr>
          <w:spacing w:val="-2"/>
        </w:rPr>
        <w:t xml:space="preserve"> Policy;</w:t>
      </w:r>
    </w:p>
    <w:p w:rsidR="008918FA" w:rsidRDefault="008918FA" w:rsidP="008918FA">
      <w:pPr>
        <w:pStyle w:val="BodyText"/>
        <w:numPr>
          <w:ilvl w:val="4"/>
          <w:numId w:val="69"/>
        </w:numPr>
        <w:tabs>
          <w:tab w:val="left" w:pos="2594"/>
        </w:tabs>
        <w:spacing w:before="121"/>
        <w:ind w:left="2593"/>
      </w:pPr>
      <w:bookmarkStart w:id="70" w:name="_bookmark68"/>
      <w:bookmarkEnd w:id="70"/>
      <w:r>
        <w:t>the</w:t>
      </w:r>
      <w:r>
        <w:rPr>
          <w:spacing w:val="-2"/>
        </w:rPr>
        <w:t xml:space="preserve"> </w:t>
      </w:r>
      <w:r>
        <w:rPr>
          <w:spacing w:val="-1"/>
        </w:rPr>
        <w:t>ICT</w:t>
      </w:r>
      <w:r>
        <w:t xml:space="preserve"> </w:t>
      </w:r>
      <w:r>
        <w:rPr>
          <w:spacing w:val="-2"/>
        </w:rPr>
        <w:t>Policy</w:t>
      </w:r>
      <w:r>
        <w:rPr>
          <w:spacing w:val="-1"/>
        </w:rPr>
        <w:t xml:space="preserve"> </w:t>
      </w:r>
      <w:r>
        <w:rPr>
          <w:spacing w:val="-2"/>
        </w:rPr>
        <w:t>(if</w:t>
      </w:r>
      <w:r>
        <w:rPr>
          <w:spacing w:val="4"/>
        </w:rPr>
        <w:t xml:space="preserve"> </w:t>
      </w:r>
      <w:r>
        <w:rPr>
          <w:spacing w:val="-1"/>
        </w:rPr>
        <w:t>so</w:t>
      </w:r>
      <w:r>
        <w:rPr>
          <w:spacing w:val="-2"/>
        </w:rPr>
        <w:t xml:space="preserve"> </w:t>
      </w:r>
      <w:r>
        <w:rPr>
          <w:spacing w:val="-1"/>
        </w:rPr>
        <w:t>required</w:t>
      </w:r>
      <w:r>
        <w:t xml:space="preserve"> </w:t>
      </w:r>
      <w:r>
        <w:rPr>
          <w:spacing w:val="-1"/>
        </w:rPr>
        <w:t>by</w:t>
      </w:r>
      <w:r>
        <w:rPr>
          <w:spacing w:val="-2"/>
        </w:rPr>
        <w:t xml:space="preserve"> </w:t>
      </w:r>
      <w:r>
        <w:t xml:space="preserve">the </w:t>
      </w:r>
      <w:r>
        <w:rPr>
          <w:spacing w:val="-2"/>
        </w:rPr>
        <w:t>Customer);</w:t>
      </w:r>
      <w:r>
        <w:t xml:space="preserve"> </w:t>
      </w:r>
      <w:r>
        <w:rPr>
          <w:spacing w:val="-2"/>
        </w:rPr>
        <w:t>and</w:t>
      </w:r>
    </w:p>
    <w:p w:rsidR="008918FA" w:rsidRDefault="008918FA" w:rsidP="008918FA">
      <w:pPr>
        <w:pStyle w:val="BodyText"/>
        <w:numPr>
          <w:ilvl w:val="4"/>
          <w:numId w:val="69"/>
        </w:numPr>
        <w:tabs>
          <w:tab w:val="left" w:pos="2594"/>
        </w:tabs>
        <w:ind w:left="2593" w:right="114"/>
        <w:jc w:val="both"/>
      </w:pPr>
      <w:r>
        <w:t>the</w:t>
      </w:r>
      <w:r>
        <w:rPr>
          <w:spacing w:val="12"/>
        </w:rPr>
        <w:t xml:space="preserve"> </w:t>
      </w:r>
      <w:r>
        <w:rPr>
          <w:spacing w:val="-1"/>
        </w:rPr>
        <w:t>Supplier's</w:t>
      </w:r>
      <w:r>
        <w:rPr>
          <w:spacing w:val="13"/>
        </w:rPr>
        <w:t xml:space="preserve"> </w:t>
      </w:r>
      <w:r>
        <w:rPr>
          <w:spacing w:val="-2"/>
        </w:rPr>
        <w:t>own</w:t>
      </w:r>
      <w:r>
        <w:rPr>
          <w:spacing w:val="12"/>
        </w:rPr>
        <w:t xml:space="preserve"> </w:t>
      </w:r>
      <w:r>
        <w:rPr>
          <w:spacing w:val="-1"/>
        </w:rPr>
        <w:t>established</w:t>
      </w:r>
      <w:r>
        <w:rPr>
          <w:spacing w:val="12"/>
        </w:rPr>
        <w:t xml:space="preserve"> </w:t>
      </w:r>
      <w:r>
        <w:rPr>
          <w:spacing w:val="-1"/>
        </w:rPr>
        <w:t>procedures</w:t>
      </w:r>
      <w:r>
        <w:rPr>
          <w:spacing w:val="13"/>
        </w:rPr>
        <w:t xml:space="preserve"> </w:t>
      </w:r>
      <w:r>
        <w:rPr>
          <w:spacing w:val="-1"/>
        </w:rPr>
        <w:t>and</w:t>
      </w:r>
      <w:r>
        <w:rPr>
          <w:spacing w:val="12"/>
        </w:rPr>
        <w:t xml:space="preserve"> </w:t>
      </w:r>
      <w:r>
        <w:rPr>
          <w:spacing w:val="-1"/>
        </w:rPr>
        <w:t>practices</w:t>
      </w:r>
      <w:r>
        <w:rPr>
          <w:spacing w:val="10"/>
        </w:rPr>
        <w:t xml:space="preserve"> </w:t>
      </w:r>
      <w:r>
        <w:t>to</w:t>
      </w:r>
      <w:r>
        <w:rPr>
          <w:spacing w:val="12"/>
        </w:rPr>
        <w:t xml:space="preserve"> </w:t>
      </w:r>
      <w:r>
        <w:rPr>
          <w:spacing w:val="-1"/>
        </w:rPr>
        <w:t>the</w:t>
      </w:r>
      <w:r>
        <w:rPr>
          <w:spacing w:val="30"/>
        </w:rPr>
        <w:t xml:space="preserve"> </w:t>
      </w:r>
      <w:r>
        <w:rPr>
          <w:spacing w:val="-1"/>
        </w:rPr>
        <w:t>extent</w:t>
      </w:r>
      <w:r>
        <w:rPr>
          <w:spacing w:val="32"/>
        </w:rPr>
        <w:t xml:space="preserve"> </w:t>
      </w:r>
      <w:r>
        <w:t>the</w:t>
      </w:r>
      <w:r>
        <w:rPr>
          <w:spacing w:val="28"/>
        </w:rPr>
        <w:t xml:space="preserve"> </w:t>
      </w:r>
      <w:r>
        <w:rPr>
          <w:spacing w:val="-1"/>
        </w:rPr>
        <w:t>same</w:t>
      </w:r>
      <w:r>
        <w:rPr>
          <w:spacing w:val="30"/>
        </w:rPr>
        <w:t xml:space="preserve"> </w:t>
      </w:r>
      <w:r>
        <w:rPr>
          <w:spacing w:val="-1"/>
        </w:rPr>
        <w:t>do</w:t>
      </w:r>
      <w:r>
        <w:rPr>
          <w:spacing w:val="28"/>
        </w:rPr>
        <w:t xml:space="preserve"> </w:t>
      </w:r>
      <w:r>
        <w:rPr>
          <w:spacing w:val="-2"/>
        </w:rPr>
        <w:t>not</w:t>
      </w:r>
      <w:r>
        <w:rPr>
          <w:spacing w:val="32"/>
        </w:rPr>
        <w:t xml:space="preserve"> </w:t>
      </w:r>
      <w:r>
        <w:rPr>
          <w:spacing w:val="-1"/>
        </w:rPr>
        <w:t>conflict</w:t>
      </w:r>
      <w:r>
        <w:rPr>
          <w:spacing w:val="32"/>
        </w:rPr>
        <w:t xml:space="preserve"> </w:t>
      </w:r>
      <w:r>
        <w:rPr>
          <w:spacing w:val="-2"/>
        </w:rPr>
        <w:t>with</w:t>
      </w:r>
      <w:r>
        <w:rPr>
          <w:spacing w:val="30"/>
        </w:rPr>
        <w:t xml:space="preserve"> </w:t>
      </w:r>
      <w:r>
        <w:t>the</w:t>
      </w:r>
      <w:r>
        <w:rPr>
          <w:spacing w:val="28"/>
        </w:rPr>
        <w:t xml:space="preserve"> </w:t>
      </w:r>
      <w:r>
        <w:rPr>
          <w:spacing w:val="-1"/>
        </w:rPr>
        <w:t>requirements</w:t>
      </w:r>
      <w:r>
        <w:rPr>
          <w:spacing w:val="31"/>
        </w:rPr>
        <w:t xml:space="preserve"> </w:t>
      </w:r>
      <w:r>
        <w:rPr>
          <w:spacing w:val="-2"/>
        </w:rPr>
        <w:t>of</w:t>
      </w:r>
      <w:r>
        <w:rPr>
          <w:spacing w:val="30"/>
        </w:rPr>
        <w:t xml:space="preserve"> </w:t>
      </w:r>
      <w:r>
        <w:rPr>
          <w:spacing w:val="-1"/>
        </w:rPr>
        <w:t>Clauses</w:t>
      </w:r>
      <w:r>
        <w:rPr>
          <w:spacing w:val="1"/>
        </w:rPr>
        <w:t xml:space="preserve"> </w:t>
      </w:r>
      <w:hyperlink w:anchor="_bookmark67" w:history="1">
        <w:r>
          <w:rPr>
            <w:spacing w:val="-1"/>
          </w:rPr>
          <w:t>7.1.3(a)</w:t>
        </w:r>
      </w:hyperlink>
      <w:r>
        <w:t xml:space="preserve"> to</w:t>
      </w:r>
      <w:r>
        <w:rPr>
          <w:spacing w:val="-2"/>
        </w:rPr>
        <w:t xml:space="preserve"> </w:t>
      </w:r>
      <w:hyperlink w:anchor="_bookmark68" w:history="1">
        <w:r>
          <w:rPr>
            <w:spacing w:val="-1"/>
          </w:rPr>
          <w:t>7.1.3(e)</w:t>
        </w:r>
      </w:hyperlink>
      <w:r>
        <w:rPr>
          <w:spacing w:val="-1"/>
        </w:rPr>
        <w:t>.</w:t>
      </w:r>
    </w:p>
    <w:p w:rsidR="008918FA" w:rsidRDefault="008918FA" w:rsidP="008918FA">
      <w:pPr>
        <w:pStyle w:val="BodyText"/>
        <w:numPr>
          <w:ilvl w:val="3"/>
          <w:numId w:val="69"/>
        </w:numPr>
        <w:tabs>
          <w:tab w:val="left" w:pos="1887"/>
        </w:tabs>
        <w:spacing w:before="121"/>
        <w:ind w:left="1886"/>
      </w:pPr>
      <w:r>
        <w:t>The</w:t>
      </w:r>
      <w:r>
        <w:rPr>
          <w:spacing w:val="-2"/>
        </w:rPr>
        <w:t xml:space="preserve"> Supplier</w:t>
      </w:r>
      <w:r>
        <w:rPr>
          <w:spacing w:val="2"/>
        </w:rPr>
        <w:t xml:space="preserve"> </w:t>
      </w:r>
      <w:r>
        <w:rPr>
          <w:spacing w:val="-1"/>
        </w:rPr>
        <w:t>shall:</w:t>
      </w:r>
    </w:p>
    <w:p w:rsidR="008918FA" w:rsidRDefault="008918FA" w:rsidP="008918FA">
      <w:pPr>
        <w:pStyle w:val="BodyText"/>
        <w:numPr>
          <w:ilvl w:val="4"/>
          <w:numId w:val="69"/>
        </w:numPr>
        <w:tabs>
          <w:tab w:val="left" w:pos="2594"/>
        </w:tabs>
        <w:ind w:left="2593" w:right="113" w:hanging="707"/>
        <w:jc w:val="both"/>
      </w:pPr>
      <w:r>
        <w:rPr>
          <w:spacing w:val="-1"/>
        </w:rPr>
        <w:t>at</w:t>
      </w:r>
      <w:r>
        <w:rPr>
          <w:spacing w:val="50"/>
        </w:rPr>
        <w:t xml:space="preserve"> </w:t>
      </w:r>
      <w:r>
        <w:rPr>
          <w:spacing w:val="-1"/>
        </w:rPr>
        <w:t>all</w:t>
      </w:r>
      <w:r>
        <w:rPr>
          <w:spacing w:val="47"/>
        </w:rPr>
        <w:t xml:space="preserve"> </w:t>
      </w:r>
      <w:r>
        <w:rPr>
          <w:spacing w:val="-1"/>
        </w:rPr>
        <w:t>times</w:t>
      </w:r>
      <w:r>
        <w:rPr>
          <w:spacing w:val="49"/>
        </w:rPr>
        <w:t xml:space="preserve"> </w:t>
      </w:r>
      <w:r>
        <w:rPr>
          <w:spacing w:val="-1"/>
        </w:rPr>
        <w:t>allocate</w:t>
      </w:r>
      <w:r>
        <w:rPr>
          <w:spacing w:val="48"/>
        </w:rPr>
        <w:t xml:space="preserve"> </w:t>
      </w:r>
      <w:r>
        <w:rPr>
          <w:spacing w:val="-1"/>
        </w:rPr>
        <w:t>sufficient</w:t>
      </w:r>
      <w:r>
        <w:rPr>
          <w:spacing w:val="50"/>
        </w:rPr>
        <w:t xml:space="preserve"> </w:t>
      </w:r>
      <w:r>
        <w:rPr>
          <w:spacing w:val="-1"/>
        </w:rPr>
        <w:t>resources</w:t>
      </w:r>
      <w:r>
        <w:rPr>
          <w:spacing w:val="49"/>
        </w:rPr>
        <w:t xml:space="preserve"> </w:t>
      </w:r>
      <w:r>
        <w:rPr>
          <w:spacing w:val="-2"/>
        </w:rPr>
        <w:t>with</w:t>
      </w:r>
      <w:r>
        <w:rPr>
          <w:spacing w:val="49"/>
        </w:rPr>
        <w:t xml:space="preserve"> </w:t>
      </w:r>
      <w:r>
        <w:rPr>
          <w:spacing w:val="-1"/>
        </w:rPr>
        <w:t>the</w:t>
      </w:r>
      <w:r>
        <w:rPr>
          <w:spacing w:val="48"/>
        </w:rPr>
        <w:t xml:space="preserve"> </w:t>
      </w:r>
      <w:r>
        <w:rPr>
          <w:spacing w:val="-1"/>
        </w:rPr>
        <w:t>appropriate</w:t>
      </w:r>
      <w:r>
        <w:rPr>
          <w:spacing w:val="39"/>
        </w:rPr>
        <w:t xml:space="preserve"> </w:t>
      </w:r>
      <w:r>
        <w:rPr>
          <w:spacing w:val="-1"/>
        </w:rPr>
        <w:t>technical</w:t>
      </w:r>
      <w:r>
        <w:rPr>
          <w:spacing w:val="43"/>
        </w:rPr>
        <w:t xml:space="preserve"> </w:t>
      </w:r>
      <w:r>
        <w:rPr>
          <w:spacing w:val="-1"/>
        </w:rPr>
        <w:t>expertise</w:t>
      </w:r>
      <w:r>
        <w:rPr>
          <w:spacing w:val="44"/>
        </w:rPr>
        <w:t xml:space="preserve"> </w:t>
      </w:r>
      <w:r>
        <w:t>to</w:t>
      </w:r>
      <w:r>
        <w:rPr>
          <w:spacing w:val="43"/>
        </w:rPr>
        <w:t xml:space="preserve"> </w:t>
      </w:r>
      <w:r>
        <w:rPr>
          <w:spacing w:val="-2"/>
        </w:rPr>
        <w:t>supply</w:t>
      </w:r>
      <w:r>
        <w:rPr>
          <w:spacing w:val="41"/>
        </w:rPr>
        <w:t xml:space="preserve"> </w:t>
      </w:r>
      <w:r>
        <w:t>the</w:t>
      </w:r>
      <w:r>
        <w:rPr>
          <w:spacing w:val="43"/>
        </w:rPr>
        <w:t xml:space="preserve"> </w:t>
      </w:r>
      <w:r>
        <w:rPr>
          <w:spacing w:val="-1"/>
        </w:rPr>
        <w:t>Deliverables</w:t>
      </w:r>
      <w:r>
        <w:rPr>
          <w:spacing w:val="44"/>
        </w:rPr>
        <w:t xml:space="preserve"> </w:t>
      </w:r>
      <w:r>
        <w:rPr>
          <w:spacing w:val="-1"/>
        </w:rPr>
        <w:t>and</w:t>
      </w:r>
      <w:r>
        <w:rPr>
          <w:spacing w:val="44"/>
        </w:rPr>
        <w:t xml:space="preserve"> </w:t>
      </w:r>
      <w:r>
        <w:t>to</w:t>
      </w:r>
      <w:r>
        <w:rPr>
          <w:spacing w:val="43"/>
        </w:rPr>
        <w:t xml:space="preserve"> </w:t>
      </w:r>
      <w:r>
        <w:rPr>
          <w:spacing w:val="-2"/>
        </w:rPr>
        <w:t>provide</w:t>
      </w:r>
      <w:r>
        <w:rPr>
          <w:spacing w:val="38"/>
        </w:rPr>
        <w:t xml:space="preserve"> </w:t>
      </w:r>
      <w:r>
        <w:t>the</w:t>
      </w:r>
      <w:r>
        <w:rPr>
          <w:spacing w:val="58"/>
        </w:rPr>
        <w:t xml:space="preserve"> </w:t>
      </w:r>
      <w:r>
        <w:rPr>
          <w:spacing w:val="-1"/>
        </w:rPr>
        <w:t>Goods</w:t>
      </w:r>
      <w:r>
        <w:rPr>
          <w:spacing w:val="58"/>
        </w:rPr>
        <w:t xml:space="preserve"> </w:t>
      </w:r>
      <w:r>
        <w:rPr>
          <w:spacing w:val="-1"/>
        </w:rPr>
        <w:t>and/or</w:t>
      </w:r>
      <w:r>
        <w:rPr>
          <w:spacing w:val="60"/>
        </w:rPr>
        <w:t xml:space="preserve"> </w:t>
      </w:r>
      <w:r>
        <w:rPr>
          <w:spacing w:val="-1"/>
        </w:rPr>
        <w:t>Services</w:t>
      </w:r>
      <w:r>
        <w:rPr>
          <w:spacing w:val="58"/>
        </w:rPr>
        <w:t xml:space="preserve"> </w:t>
      </w:r>
      <w:r>
        <w:rPr>
          <w:spacing w:val="-1"/>
        </w:rPr>
        <w:t>in</w:t>
      </w:r>
      <w:r>
        <w:rPr>
          <w:spacing w:val="58"/>
        </w:rPr>
        <w:t xml:space="preserve"> </w:t>
      </w:r>
      <w:r>
        <w:rPr>
          <w:spacing w:val="-1"/>
        </w:rPr>
        <w:t>accordance</w:t>
      </w:r>
      <w:r>
        <w:rPr>
          <w:spacing w:val="58"/>
        </w:rPr>
        <w:t xml:space="preserve"> </w:t>
      </w:r>
      <w:r>
        <w:rPr>
          <w:spacing w:val="-2"/>
        </w:rPr>
        <w:t>with</w:t>
      </w:r>
      <w:r>
        <w:rPr>
          <w:spacing w:val="59"/>
        </w:rPr>
        <w:t xml:space="preserve"> </w:t>
      </w:r>
      <w:r>
        <w:rPr>
          <w:spacing w:val="-1"/>
        </w:rPr>
        <w:t>this</w:t>
      </w:r>
      <w:r>
        <w:rPr>
          <w:spacing w:val="58"/>
        </w:rPr>
        <w:t xml:space="preserve"> </w:t>
      </w:r>
      <w:r>
        <w:rPr>
          <w:spacing w:val="-2"/>
        </w:rPr>
        <w:t>Call</w:t>
      </w:r>
      <w:r>
        <w:rPr>
          <w:spacing w:val="57"/>
        </w:rPr>
        <w:t xml:space="preserve"> </w:t>
      </w:r>
      <w:r>
        <w:rPr>
          <w:spacing w:val="-1"/>
        </w:rPr>
        <w:t>Off</w:t>
      </w:r>
      <w:r>
        <w:rPr>
          <w:spacing w:val="31"/>
        </w:rPr>
        <w:t xml:space="preserve"> </w:t>
      </w:r>
      <w:r>
        <w:rPr>
          <w:spacing w:val="-1"/>
        </w:rPr>
        <w:t>Contract;</w:t>
      </w:r>
    </w:p>
    <w:p w:rsidR="008918FA" w:rsidRDefault="008918FA" w:rsidP="008918FA">
      <w:pPr>
        <w:pStyle w:val="BodyText"/>
        <w:numPr>
          <w:ilvl w:val="4"/>
          <w:numId w:val="69"/>
        </w:numPr>
        <w:tabs>
          <w:tab w:val="left" w:pos="2594"/>
        </w:tabs>
        <w:spacing w:before="121"/>
        <w:ind w:left="2593" w:right="112"/>
        <w:jc w:val="both"/>
      </w:pPr>
      <w:r>
        <w:rPr>
          <w:spacing w:val="-1"/>
        </w:rPr>
        <w:t>subject</w:t>
      </w:r>
      <w:r>
        <w:rPr>
          <w:spacing w:val="36"/>
        </w:rPr>
        <w:t xml:space="preserve"> </w:t>
      </w:r>
      <w:r>
        <w:t>to</w:t>
      </w:r>
      <w:r>
        <w:rPr>
          <w:spacing w:val="32"/>
        </w:rPr>
        <w:t xml:space="preserve"> </w:t>
      </w:r>
      <w:r>
        <w:rPr>
          <w:spacing w:val="-2"/>
        </w:rPr>
        <w:t>Clause</w:t>
      </w:r>
      <w:r>
        <w:rPr>
          <w:spacing w:val="36"/>
        </w:rPr>
        <w:t xml:space="preserve"> </w:t>
      </w:r>
      <w:hyperlink w:anchor="_bookmark119" w:history="1">
        <w:r>
          <w:rPr>
            <w:spacing w:val="-1"/>
          </w:rPr>
          <w:t>22.1</w:t>
        </w:r>
      </w:hyperlink>
      <w:r>
        <w:rPr>
          <w:spacing w:val="35"/>
        </w:rPr>
        <w:t xml:space="preserve"> </w:t>
      </w:r>
      <w:r>
        <w:rPr>
          <w:spacing w:val="-1"/>
        </w:rPr>
        <w:t>(Variation</w:t>
      </w:r>
      <w:r>
        <w:rPr>
          <w:spacing w:val="35"/>
        </w:rPr>
        <w:t xml:space="preserve"> </w:t>
      </w:r>
      <w:r>
        <w:rPr>
          <w:spacing w:val="-1"/>
        </w:rPr>
        <w:t>Procedure),</w:t>
      </w:r>
      <w:r>
        <w:rPr>
          <w:spacing w:val="36"/>
        </w:rPr>
        <w:t xml:space="preserve"> </w:t>
      </w:r>
      <w:r>
        <w:rPr>
          <w:spacing w:val="-1"/>
        </w:rPr>
        <w:t>obtain,</w:t>
      </w:r>
      <w:r>
        <w:rPr>
          <w:spacing w:val="37"/>
        </w:rPr>
        <w:t xml:space="preserve"> </w:t>
      </w:r>
      <w:r>
        <w:rPr>
          <w:spacing w:val="-2"/>
        </w:rPr>
        <w:t>and</w:t>
      </w:r>
      <w:r>
        <w:rPr>
          <w:spacing w:val="27"/>
        </w:rPr>
        <w:t xml:space="preserve"> </w:t>
      </w:r>
      <w:r>
        <w:rPr>
          <w:spacing w:val="-1"/>
        </w:rPr>
        <w:t>maintain</w:t>
      </w:r>
      <w:r>
        <w:t xml:space="preserve"> </w:t>
      </w:r>
      <w:r>
        <w:rPr>
          <w:spacing w:val="-1"/>
        </w:rPr>
        <w:t>throughout</w:t>
      </w:r>
      <w:r>
        <w:rPr>
          <w:spacing w:val="2"/>
        </w:rPr>
        <w:t xml:space="preserve"> </w:t>
      </w:r>
      <w:r>
        <w:rPr>
          <w:spacing w:val="-1"/>
        </w:rPr>
        <w:t>the</w:t>
      </w:r>
      <w:r>
        <w:rPr>
          <w:spacing w:val="-2"/>
        </w:rPr>
        <w:t xml:space="preserve"> </w:t>
      </w:r>
      <w:r>
        <w:rPr>
          <w:spacing w:val="-1"/>
        </w:rPr>
        <w:t>duration</w:t>
      </w:r>
      <w:r>
        <w:t xml:space="preserve">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rPr>
          <w:spacing w:val="-3"/>
        </w:rPr>
        <w:t xml:space="preserve"> </w:t>
      </w:r>
      <w:r>
        <w:rPr>
          <w:spacing w:val="-1"/>
        </w:rPr>
        <w:t>Contract,</w:t>
      </w:r>
      <w:r>
        <w:t xml:space="preserve"> </w:t>
      </w:r>
      <w:r>
        <w:rPr>
          <w:spacing w:val="-1"/>
        </w:rPr>
        <w:t>all</w:t>
      </w:r>
      <w:r>
        <w:t xml:space="preserve"> </w:t>
      </w:r>
      <w:r>
        <w:rPr>
          <w:spacing w:val="-1"/>
        </w:rPr>
        <w:t>the</w:t>
      </w:r>
      <w:r>
        <w:rPr>
          <w:spacing w:val="38"/>
        </w:rPr>
        <w:t xml:space="preserve"> </w:t>
      </w:r>
      <w:r>
        <w:rPr>
          <w:spacing w:val="-1"/>
        </w:rPr>
        <w:t>consents,</w:t>
      </w:r>
      <w:r>
        <w:rPr>
          <w:spacing w:val="7"/>
        </w:rPr>
        <w:t xml:space="preserve"> </w:t>
      </w:r>
      <w:r>
        <w:rPr>
          <w:spacing w:val="-2"/>
        </w:rPr>
        <w:t>approvals,</w:t>
      </w:r>
      <w:r>
        <w:rPr>
          <w:spacing w:val="7"/>
        </w:rPr>
        <w:t xml:space="preserve"> </w:t>
      </w:r>
      <w:r>
        <w:rPr>
          <w:spacing w:val="-1"/>
        </w:rPr>
        <w:t>licences</w:t>
      </w:r>
      <w:r>
        <w:rPr>
          <w:spacing w:val="6"/>
        </w:rPr>
        <w:t xml:space="preserve"> </w:t>
      </w:r>
      <w:r>
        <w:rPr>
          <w:spacing w:val="-1"/>
        </w:rPr>
        <w:t>and</w:t>
      </w:r>
      <w:r>
        <w:rPr>
          <w:spacing w:val="5"/>
        </w:rPr>
        <w:t xml:space="preserve"> </w:t>
      </w:r>
      <w:r>
        <w:rPr>
          <w:spacing w:val="-2"/>
        </w:rPr>
        <w:t>permissions</w:t>
      </w:r>
      <w:r>
        <w:rPr>
          <w:spacing w:val="6"/>
        </w:rPr>
        <w:t xml:space="preserve"> </w:t>
      </w:r>
      <w:r>
        <w:rPr>
          <w:spacing w:val="-1"/>
        </w:rPr>
        <w:t>(statutory,</w:t>
      </w:r>
      <w:r>
        <w:rPr>
          <w:spacing w:val="53"/>
        </w:rPr>
        <w:t xml:space="preserve"> </w:t>
      </w:r>
      <w:r>
        <w:rPr>
          <w:spacing w:val="-1"/>
        </w:rPr>
        <w:t>regulatory</w:t>
      </w:r>
      <w:r>
        <w:rPr>
          <w:spacing w:val="36"/>
        </w:rPr>
        <w:t xml:space="preserve"> </w:t>
      </w:r>
      <w:r>
        <w:rPr>
          <w:spacing w:val="-1"/>
        </w:rPr>
        <w:t>contractual</w:t>
      </w:r>
      <w:r>
        <w:rPr>
          <w:spacing w:val="38"/>
        </w:rPr>
        <w:t xml:space="preserve"> </w:t>
      </w:r>
      <w:r>
        <w:rPr>
          <w:spacing w:val="-1"/>
        </w:rPr>
        <w:t>or</w:t>
      </w:r>
      <w:r>
        <w:rPr>
          <w:spacing w:val="37"/>
        </w:rPr>
        <w:t xml:space="preserve"> </w:t>
      </w:r>
      <w:r>
        <w:rPr>
          <w:spacing w:val="-1"/>
        </w:rPr>
        <w:t>otherwise)</w:t>
      </w:r>
      <w:r>
        <w:rPr>
          <w:spacing w:val="40"/>
        </w:rPr>
        <w:t xml:space="preserve"> </w:t>
      </w:r>
      <w:r>
        <w:rPr>
          <w:spacing w:val="-1"/>
        </w:rPr>
        <w:t>it</w:t>
      </w:r>
      <w:r>
        <w:rPr>
          <w:spacing w:val="40"/>
        </w:rPr>
        <w:t xml:space="preserve"> </w:t>
      </w:r>
      <w:r>
        <w:rPr>
          <w:spacing w:val="-1"/>
        </w:rPr>
        <w:t>may</w:t>
      </w:r>
      <w:r>
        <w:rPr>
          <w:spacing w:val="36"/>
        </w:rPr>
        <w:t xml:space="preserve"> </w:t>
      </w:r>
      <w:r>
        <w:rPr>
          <w:spacing w:val="-1"/>
        </w:rPr>
        <w:t>require</w:t>
      </w:r>
      <w:r>
        <w:rPr>
          <w:spacing w:val="39"/>
        </w:rPr>
        <w:t xml:space="preserve"> </w:t>
      </w:r>
      <w:r>
        <w:rPr>
          <w:spacing w:val="-1"/>
        </w:rPr>
        <w:t>and</w:t>
      </w:r>
      <w:r>
        <w:rPr>
          <w:spacing w:val="39"/>
        </w:rPr>
        <w:t xml:space="preserve"> </w:t>
      </w:r>
      <w:r>
        <w:rPr>
          <w:spacing w:val="-2"/>
        </w:rPr>
        <w:t>which</w:t>
      </w:r>
      <w:r>
        <w:rPr>
          <w:spacing w:val="42"/>
        </w:rPr>
        <w:t xml:space="preserve"> </w:t>
      </w:r>
      <w:r>
        <w:rPr>
          <w:spacing w:val="-1"/>
        </w:rPr>
        <w:t>are</w:t>
      </w:r>
      <w:r>
        <w:t xml:space="preserve"> </w:t>
      </w:r>
      <w:r>
        <w:rPr>
          <w:spacing w:val="-1"/>
        </w:rPr>
        <w:t>necessary</w:t>
      </w:r>
      <w:r>
        <w:rPr>
          <w:spacing w:val="-4"/>
        </w:rPr>
        <w:t xml:space="preserve"> </w:t>
      </w:r>
      <w:r>
        <w:t>for</w:t>
      </w:r>
      <w:r>
        <w:rPr>
          <w:spacing w:val="-1"/>
        </w:rPr>
        <w:t xml:space="preserve"> </w:t>
      </w:r>
      <w:r>
        <w:t xml:space="preserve">the </w:t>
      </w:r>
      <w:r>
        <w:rPr>
          <w:spacing w:val="-2"/>
        </w:rPr>
        <w:t>provision</w:t>
      </w:r>
      <w:r>
        <w:t xml:space="preserve"> </w:t>
      </w:r>
      <w:r>
        <w:rPr>
          <w:spacing w:val="-1"/>
        </w:rPr>
        <w:t>of</w:t>
      </w:r>
      <w:r>
        <w:rPr>
          <w:spacing w:val="2"/>
        </w:rPr>
        <w:t xml:space="preserve"> </w:t>
      </w:r>
      <w:r>
        <w:t>the</w:t>
      </w:r>
      <w:r>
        <w:rPr>
          <w:spacing w:val="-2"/>
        </w:rPr>
        <w:t xml:space="preserve"> </w:t>
      </w:r>
      <w:r>
        <w:rPr>
          <w:spacing w:val="-1"/>
        </w:rPr>
        <w:t>Goods</w:t>
      </w:r>
      <w:r>
        <w:t xml:space="preserve"> </w:t>
      </w:r>
      <w:r>
        <w:rPr>
          <w:spacing w:val="-1"/>
        </w:rPr>
        <w:t>and/or</w:t>
      </w:r>
      <w:r>
        <w:rPr>
          <w:spacing w:val="2"/>
        </w:rPr>
        <w:t xml:space="preserve"> </w:t>
      </w:r>
      <w:r>
        <w:rPr>
          <w:spacing w:val="-2"/>
        </w:rPr>
        <w:t>Services;</w:t>
      </w:r>
    </w:p>
    <w:p w:rsidR="008918FA" w:rsidRDefault="008918FA" w:rsidP="008918FA">
      <w:pPr>
        <w:pStyle w:val="BodyText"/>
        <w:numPr>
          <w:ilvl w:val="4"/>
          <w:numId w:val="69"/>
        </w:numPr>
        <w:tabs>
          <w:tab w:val="left" w:pos="2594"/>
        </w:tabs>
        <w:spacing w:before="121"/>
        <w:ind w:left="2593" w:right="113"/>
        <w:jc w:val="both"/>
      </w:pPr>
      <w:r>
        <w:rPr>
          <w:spacing w:val="-1"/>
        </w:rPr>
        <w:t>ensure</w:t>
      </w:r>
      <w:r>
        <w:rPr>
          <w:spacing w:val="10"/>
        </w:rPr>
        <w:t xml:space="preserve"> </w:t>
      </w:r>
      <w:r>
        <w:rPr>
          <w:spacing w:val="-1"/>
        </w:rPr>
        <w:t>that</w:t>
      </w:r>
      <w:r>
        <w:rPr>
          <w:spacing w:val="14"/>
        </w:rPr>
        <w:t xml:space="preserve"> </w:t>
      </w:r>
      <w:r>
        <w:rPr>
          <w:spacing w:val="-1"/>
        </w:rPr>
        <w:t>any</w:t>
      </w:r>
      <w:r>
        <w:rPr>
          <w:spacing w:val="10"/>
        </w:rPr>
        <w:t xml:space="preserve"> </w:t>
      </w:r>
      <w:r>
        <w:rPr>
          <w:spacing w:val="-1"/>
        </w:rPr>
        <w:t>products</w:t>
      </w:r>
      <w:r>
        <w:rPr>
          <w:spacing w:val="13"/>
        </w:rPr>
        <w:t xml:space="preserve"> </w:t>
      </w:r>
      <w:r>
        <w:rPr>
          <w:spacing w:val="-2"/>
        </w:rPr>
        <w:t>or</w:t>
      </w:r>
      <w:r>
        <w:rPr>
          <w:spacing w:val="14"/>
        </w:rPr>
        <w:t xml:space="preserve"> </w:t>
      </w:r>
      <w:r>
        <w:rPr>
          <w:spacing w:val="-2"/>
        </w:rPr>
        <w:t>services</w:t>
      </w:r>
      <w:r>
        <w:rPr>
          <w:spacing w:val="13"/>
        </w:rPr>
        <w:t xml:space="preserve"> </w:t>
      </w:r>
      <w:r>
        <w:rPr>
          <w:spacing w:val="-1"/>
        </w:rPr>
        <w:t>recommended</w:t>
      </w:r>
      <w:r>
        <w:rPr>
          <w:spacing w:val="10"/>
        </w:rPr>
        <w:t xml:space="preserve"> </w:t>
      </w:r>
      <w:r>
        <w:rPr>
          <w:spacing w:val="-1"/>
        </w:rPr>
        <w:t>or</w:t>
      </w:r>
      <w:r>
        <w:rPr>
          <w:spacing w:val="36"/>
        </w:rPr>
        <w:t xml:space="preserve"> </w:t>
      </w:r>
      <w:r>
        <w:rPr>
          <w:spacing w:val="-1"/>
        </w:rPr>
        <w:t>otherwise</w:t>
      </w:r>
      <w:r>
        <w:rPr>
          <w:spacing w:val="18"/>
        </w:rPr>
        <w:t xml:space="preserve"> </w:t>
      </w:r>
      <w:r>
        <w:rPr>
          <w:spacing w:val="-1"/>
        </w:rPr>
        <w:t>specified</w:t>
      </w:r>
      <w:r>
        <w:rPr>
          <w:spacing w:val="17"/>
        </w:rPr>
        <w:t xml:space="preserve"> </w:t>
      </w:r>
      <w:r>
        <w:rPr>
          <w:spacing w:val="-1"/>
        </w:rPr>
        <w:t>by</w:t>
      </w:r>
      <w:r>
        <w:rPr>
          <w:spacing w:val="15"/>
        </w:rPr>
        <w:t xml:space="preserve"> </w:t>
      </w:r>
      <w:r>
        <w:rPr>
          <w:spacing w:val="-1"/>
        </w:rPr>
        <w:t>the</w:t>
      </w:r>
      <w:r>
        <w:rPr>
          <w:spacing w:val="17"/>
        </w:rPr>
        <w:t xml:space="preserve"> </w:t>
      </w:r>
      <w:r>
        <w:rPr>
          <w:spacing w:val="-2"/>
        </w:rPr>
        <w:t>Supplier</w:t>
      </w:r>
      <w:r>
        <w:rPr>
          <w:spacing w:val="16"/>
        </w:rPr>
        <w:t xml:space="preserve"> </w:t>
      </w:r>
      <w:r>
        <w:t>for</w:t>
      </w:r>
      <w:r>
        <w:rPr>
          <w:spacing w:val="16"/>
        </w:rPr>
        <w:t xml:space="preserve"> </w:t>
      </w:r>
      <w:r>
        <w:rPr>
          <w:spacing w:val="-1"/>
        </w:rPr>
        <w:t>use</w:t>
      </w:r>
      <w:r>
        <w:rPr>
          <w:spacing w:val="18"/>
        </w:rPr>
        <w:t xml:space="preserve"> </w:t>
      </w:r>
      <w:r>
        <w:rPr>
          <w:spacing w:val="-1"/>
        </w:rPr>
        <w:t>by</w:t>
      </w:r>
      <w:r>
        <w:rPr>
          <w:spacing w:val="15"/>
        </w:rPr>
        <w:t xml:space="preserve"> </w:t>
      </w:r>
      <w:r>
        <w:rPr>
          <w:spacing w:val="-1"/>
        </w:rPr>
        <w:t>the</w:t>
      </w:r>
      <w:r>
        <w:rPr>
          <w:spacing w:val="17"/>
        </w:rPr>
        <w:t xml:space="preserve"> </w:t>
      </w:r>
      <w:r>
        <w:rPr>
          <w:spacing w:val="-1"/>
        </w:rPr>
        <w:t>Customer</w:t>
      </w:r>
      <w:r>
        <w:rPr>
          <w:spacing w:val="19"/>
        </w:rPr>
        <w:t xml:space="preserve"> </w:t>
      </w:r>
      <w:r>
        <w:rPr>
          <w:spacing w:val="-1"/>
        </w:rPr>
        <w:t>in</w:t>
      </w:r>
      <w:r>
        <w:rPr>
          <w:spacing w:val="37"/>
        </w:rPr>
        <w:t xml:space="preserve"> </w:t>
      </w:r>
      <w:r>
        <w:rPr>
          <w:spacing w:val="-1"/>
        </w:rPr>
        <w:t>conjunction</w:t>
      </w:r>
      <w:r>
        <w:rPr>
          <w:spacing w:val="24"/>
        </w:rPr>
        <w:t xml:space="preserve"> </w:t>
      </w:r>
      <w:r>
        <w:rPr>
          <w:spacing w:val="-2"/>
        </w:rPr>
        <w:t>with</w:t>
      </w:r>
      <w:r>
        <w:rPr>
          <w:spacing w:val="24"/>
        </w:rPr>
        <w:t xml:space="preserve"> </w:t>
      </w:r>
      <w:r>
        <w:t>the</w:t>
      </w:r>
      <w:r>
        <w:rPr>
          <w:spacing w:val="24"/>
        </w:rPr>
        <w:t xml:space="preserve"> </w:t>
      </w:r>
      <w:r>
        <w:rPr>
          <w:spacing w:val="-2"/>
        </w:rPr>
        <w:t>Deliverables</w:t>
      </w:r>
      <w:r>
        <w:rPr>
          <w:spacing w:val="25"/>
        </w:rPr>
        <w:t xml:space="preserve"> </w:t>
      </w:r>
      <w:r>
        <w:rPr>
          <w:spacing w:val="-1"/>
        </w:rPr>
        <w:t>and/or</w:t>
      </w:r>
      <w:r>
        <w:rPr>
          <w:spacing w:val="25"/>
        </w:rPr>
        <w:t xml:space="preserve"> </w:t>
      </w:r>
      <w:r>
        <w:t>the</w:t>
      </w:r>
      <w:r>
        <w:rPr>
          <w:spacing w:val="24"/>
        </w:rPr>
        <w:t xml:space="preserve"> </w:t>
      </w:r>
      <w:r>
        <w:rPr>
          <w:spacing w:val="-1"/>
        </w:rPr>
        <w:t>Goods</w:t>
      </w:r>
      <w:r>
        <w:rPr>
          <w:spacing w:val="25"/>
        </w:rPr>
        <w:t xml:space="preserve"> </w:t>
      </w:r>
      <w:r>
        <w:rPr>
          <w:spacing w:val="-1"/>
        </w:rPr>
        <w:t>and/or</w:t>
      </w:r>
      <w:r>
        <w:rPr>
          <w:spacing w:val="24"/>
        </w:rPr>
        <w:t xml:space="preserve"> </w:t>
      </w:r>
      <w:r>
        <w:rPr>
          <w:spacing w:val="-2"/>
        </w:rPr>
        <w:t>the</w:t>
      </w:r>
      <w:r>
        <w:rPr>
          <w:spacing w:val="48"/>
        </w:rPr>
        <w:t xml:space="preserve"> </w:t>
      </w:r>
      <w:r>
        <w:rPr>
          <w:spacing w:val="-1"/>
        </w:rPr>
        <w:t>Services</w:t>
      </w:r>
      <w:r>
        <w:rPr>
          <w:spacing w:val="5"/>
        </w:rPr>
        <w:t xml:space="preserve"> </w:t>
      </w:r>
      <w:r>
        <w:rPr>
          <w:spacing w:val="-1"/>
        </w:rPr>
        <w:t>shall</w:t>
      </w:r>
      <w:r>
        <w:rPr>
          <w:spacing w:val="4"/>
        </w:rPr>
        <w:t xml:space="preserve"> </w:t>
      </w:r>
      <w:r>
        <w:rPr>
          <w:spacing w:val="-1"/>
        </w:rPr>
        <w:t>enable</w:t>
      </w:r>
      <w:r>
        <w:rPr>
          <w:spacing w:val="5"/>
        </w:rPr>
        <w:t xml:space="preserve"> </w:t>
      </w:r>
      <w:r>
        <w:t>the</w:t>
      </w:r>
      <w:r>
        <w:rPr>
          <w:spacing w:val="5"/>
        </w:rPr>
        <w:t xml:space="preserve"> </w:t>
      </w:r>
      <w:r>
        <w:rPr>
          <w:spacing w:val="-2"/>
        </w:rPr>
        <w:t>Deliverables</w:t>
      </w:r>
      <w:r>
        <w:rPr>
          <w:spacing w:val="5"/>
        </w:rPr>
        <w:t xml:space="preserve"> </w:t>
      </w:r>
      <w:r>
        <w:rPr>
          <w:spacing w:val="-1"/>
        </w:rPr>
        <w:t>and/or</w:t>
      </w:r>
      <w:r>
        <w:rPr>
          <w:spacing w:val="9"/>
        </w:rPr>
        <w:t xml:space="preserve"> </w:t>
      </w:r>
      <w:r>
        <w:rPr>
          <w:spacing w:val="-1"/>
        </w:rPr>
        <w:t>the</w:t>
      </w:r>
      <w:r>
        <w:rPr>
          <w:spacing w:val="5"/>
        </w:rPr>
        <w:t xml:space="preserve"> </w:t>
      </w:r>
      <w:r>
        <w:rPr>
          <w:spacing w:val="-1"/>
        </w:rPr>
        <w:t>Goods</w:t>
      </w:r>
      <w:r>
        <w:rPr>
          <w:spacing w:val="5"/>
        </w:rPr>
        <w:t xml:space="preserve"> </w:t>
      </w:r>
      <w:r>
        <w:rPr>
          <w:spacing w:val="-1"/>
        </w:rPr>
        <w:t>and/or</w:t>
      </w:r>
      <w:r>
        <w:rPr>
          <w:spacing w:val="47"/>
        </w:rPr>
        <w:t xml:space="preserve"> </w:t>
      </w:r>
      <w:r>
        <w:t xml:space="preserve">the </w:t>
      </w:r>
      <w:r>
        <w:rPr>
          <w:spacing w:val="-1"/>
        </w:rPr>
        <w:t>Services</w:t>
      </w:r>
      <w:r>
        <w:rPr>
          <w:spacing w:val="-2"/>
        </w:rPr>
        <w:t xml:space="preserve"> </w:t>
      </w:r>
      <w:r>
        <w:t>to</w:t>
      </w:r>
      <w:r>
        <w:rPr>
          <w:spacing w:val="-2"/>
        </w:rPr>
        <w:t xml:space="preserve"> </w:t>
      </w:r>
      <w:r>
        <w:rPr>
          <w:spacing w:val="-1"/>
        </w:rPr>
        <w:t>meet</w:t>
      </w:r>
      <w:r>
        <w:t xml:space="preserve"> the</w:t>
      </w:r>
      <w:r>
        <w:rPr>
          <w:spacing w:val="-4"/>
        </w:rPr>
        <w:t xml:space="preserve"> </w:t>
      </w:r>
      <w:r>
        <w:rPr>
          <w:spacing w:val="-1"/>
        </w:rPr>
        <w:t xml:space="preserve">requirements </w:t>
      </w:r>
      <w:r>
        <w:rPr>
          <w:spacing w:val="-2"/>
        </w:rPr>
        <w:t>of</w:t>
      </w:r>
      <w:r>
        <w:rPr>
          <w:spacing w:val="2"/>
        </w:rPr>
        <w:t xml:space="preserve"> </w:t>
      </w:r>
      <w:r>
        <w:t>the</w:t>
      </w:r>
      <w:r>
        <w:rPr>
          <w:spacing w:val="-2"/>
        </w:rPr>
        <w:t xml:space="preserve"> </w:t>
      </w:r>
      <w:r>
        <w:rPr>
          <w:spacing w:val="-1"/>
        </w:rPr>
        <w:t>Customer;</w:t>
      </w:r>
    </w:p>
    <w:p w:rsidR="008918FA" w:rsidRDefault="008918FA" w:rsidP="008918FA">
      <w:pPr>
        <w:pStyle w:val="BodyText"/>
        <w:numPr>
          <w:ilvl w:val="4"/>
          <w:numId w:val="69"/>
        </w:numPr>
        <w:tabs>
          <w:tab w:val="left" w:pos="2594"/>
        </w:tabs>
        <w:spacing w:before="121"/>
        <w:ind w:left="2593" w:right="116"/>
        <w:jc w:val="both"/>
      </w:pPr>
      <w:r>
        <w:rPr>
          <w:spacing w:val="-1"/>
        </w:rPr>
        <w:t>ensure</w:t>
      </w:r>
      <w:r>
        <w:t xml:space="preserve"> </w:t>
      </w:r>
      <w:r>
        <w:rPr>
          <w:spacing w:val="-1"/>
        </w:rPr>
        <w:t>that</w:t>
      </w:r>
      <w:r>
        <w:rPr>
          <w:spacing w:val="2"/>
        </w:rPr>
        <w:t xml:space="preserve"> </w:t>
      </w:r>
      <w:r>
        <w:t xml:space="preserve">the </w:t>
      </w:r>
      <w:r>
        <w:rPr>
          <w:spacing w:val="-2"/>
        </w:rPr>
        <w:t>Supplier</w:t>
      </w:r>
      <w:r>
        <w:rPr>
          <w:spacing w:val="-1"/>
        </w:rPr>
        <w:t xml:space="preserve"> Assets</w:t>
      </w:r>
      <w:r>
        <w:rPr>
          <w:spacing w:val="1"/>
        </w:rPr>
        <w:t xml:space="preserve"> </w:t>
      </w:r>
      <w:r>
        <w:rPr>
          <w:spacing w:val="-2"/>
        </w:rPr>
        <w:t>will</w:t>
      </w:r>
      <w:r>
        <w:t xml:space="preserve"> </w:t>
      </w:r>
      <w:r>
        <w:rPr>
          <w:spacing w:val="-1"/>
        </w:rPr>
        <w:t>be</w:t>
      </w:r>
      <w:r>
        <w:t xml:space="preserve"> free </w:t>
      </w:r>
      <w:r>
        <w:rPr>
          <w:spacing w:val="-2"/>
        </w:rPr>
        <w:t>of</w:t>
      </w:r>
      <w:r>
        <w:rPr>
          <w:spacing w:val="2"/>
        </w:rPr>
        <w:t xml:space="preserve"> </w:t>
      </w:r>
      <w:r>
        <w:rPr>
          <w:spacing w:val="-1"/>
        </w:rPr>
        <w:t>all</w:t>
      </w:r>
      <w:r>
        <w:t xml:space="preserve"> </w:t>
      </w:r>
      <w:r>
        <w:rPr>
          <w:spacing w:val="-1"/>
        </w:rPr>
        <w:t>encumbrances</w:t>
      </w:r>
      <w:r>
        <w:rPr>
          <w:spacing w:val="51"/>
        </w:rPr>
        <w:t xml:space="preserve"> </w:t>
      </w:r>
      <w:r>
        <w:rPr>
          <w:spacing w:val="-1"/>
        </w:rPr>
        <w:t>(except</w:t>
      </w:r>
      <w:r>
        <w:rPr>
          <w:spacing w:val="2"/>
        </w:rPr>
        <w:t xml:space="preserve"> </w:t>
      </w:r>
      <w:r>
        <w:rPr>
          <w:spacing w:val="-1"/>
        </w:rPr>
        <w:t>as</w:t>
      </w:r>
      <w:r>
        <w:rPr>
          <w:spacing w:val="-2"/>
        </w:rPr>
        <w:t xml:space="preserve"> </w:t>
      </w:r>
      <w:r>
        <w:rPr>
          <w:spacing w:val="-1"/>
        </w:rPr>
        <w:t>agreed</w:t>
      </w:r>
      <w:r>
        <w:rPr>
          <w:spacing w:val="-2"/>
        </w:rPr>
        <w:t xml:space="preserve"> </w:t>
      </w:r>
      <w:r>
        <w:rPr>
          <w:spacing w:val="-1"/>
        </w:rPr>
        <w:t>in</w:t>
      </w:r>
      <w:r>
        <w:t xml:space="preserve"> </w:t>
      </w:r>
      <w:r>
        <w:rPr>
          <w:spacing w:val="-2"/>
        </w:rPr>
        <w:t>writing</w:t>
      </w:r>
      <w:r>
        <w:t xml:space="preserve"> </w:t>
      </w:r>
      <w:r>
        <w:rPr>
          <w:spacing w:val="-2"/>
        </w:rPr>
        <w:t>with</w:t>
      </w:r>
      <w:r>
        <w:t xml:space="preserve"> the </w:t>
      </w:r>
      <w:r>
        <w:rPr>
          <w:spacing w:val="-2"/>
        </w:rPr>
        <w:t>Customer);</w:t>
      </w:r>
      <w:r>
        <w:rPr>
          <w:spacing w:val="3"/>
        </w:rPr>
        <w:t xml:space="preserve"> </w:t>
      </w:r>
      <w:r>
        <w:rPr>
          <w:spacing w:val="-2"/>
        </w:rPr>
        <w:t>and</w:t>
      </w:r>
    </w:p>
    <w:p w:rsidR="008918FA" w:rsidRDefault="008918FA" w:rsidP="008918FA">
      <w:pPr>
        <w:pStyle w:val="BodyText"/>
        <w:numPr>
          <w:ilvl w:val="4"/>
          <w:numId w:val="69"/>
        </w:numPr>
        <w:tabs>
          <w:tab w:val="left" w:pos="2594"/>
        </w:tabs>
        <w:ind w:left="2593" w:right="115"/>
        <w:jc w:val="both"/>
      </w:pPr>
      <w:r>
        <w:rPr>
          <w:spacing w:val="-1"/>
        </w:rPr>
        <w:t>ensure</w:t>
      </w:r>
      <w:r>
        <w:rPr>
          <w:spacing w:val="3"/>
        </w:rPr>
        <w:t xml:space="preserve"> </w:t>
      </w:r>
      <w:r>
        <w:rPr>
          <w:spacing w:val="-1"/>
        </w:rPr>
        <w:t>that</w:t>
      </w:r>
      <w:r>
        <w:rPr>
          <w:spacing w:val="2"/>
        </w:rPr>
        <w:t xml:space="preserve"> </w:t>
      </w:r>
      <w:r>
        <w:t>the</w:t>
      </w:r>
      <w:r>
        <w:rPr>
          <w:spacing w:val="3"/>
        </w:rPr>
        <w:t xml:space="preserve"> </w:t>
      </w:r>
      <w:r>
        <w:rPr>
          <w:spacing w:val="-1"/>
        </w:rPr>
        <w:t>Goods</w:t>
      </w:r>
      <w:r>
        <w:rPr>
          <w:spacing w:val="3"/>
        </w:rPr>
        <w:t xml:space="preserve"> </w:t>
      </w:r>
      <w:r>
        <w:rPr>
          <w:spacing w:val="-1"/>
        </w:rPr>
        <w:t>and/or</w:t>
      </w:r>
      <w:r>
        <w:rPr>
          <w:spacing w:val="5"/>
        </w:rPr>
        <w:t xml:space="preserve"> </w:t>
      </w:r>
      <w:r>
        <w:rPr>
          <w:spacing w:val="-1"/>
        </w:rPr>
        <w:t>Services</w:t>
      </w:r>
      <w:r>
        <w:rPr>
          <w:spacing w:val="3"/>
        </w:rPr>
        <w:t xml:space="preserve"> </w:t>
      </w:r>
      <w:r>
        <w:rPr>
          <w:spacing w:val="-1"/>
        </w:rPr>
        <w:t>are</w:t>
      </w:r>
      <w:r>
        <w:t xml:space="preserve"> </w:t>
      </w:r>
      <w:r>
        <w:rPr>
          <w:spacing w:val="-1"/>
        </w:rPr>
        <w:t>fully</w:t>
      </w:r>
      <w:r>
        <w:rPr>
          <w:spacing w:val="1"/>
        </w:rPr>
        <w:t xml:space="preserve"> </w:t>
      </w:r>
      <w:r>
        <w:rPr>
          <w:spacing w:val="-1"/>
        </w:rPr>
        <w:t>compatible</w:t>
      </w:r>
      <w:r>
        <w:rPr>
          <w:spacing w:val="3"/>
        </w:rPr>
        <w:t xml:space="preserve"> </w:t>
      </w:r>
      <w:r>
        <w:rPr>
          <w:spacing w:val="-2"/>
        </w:rPr>
        <w:t>with</w:t>
      </w:r>
      <w:r>
        <w:rPr>
          <w:spacing w:val="47"/>
        </w:rPr>
        <w:t xml:space="preserve"> </w:t>
      </w:r>
      <w:r>
        <w:rPr>
          <w:spacing w:val="-1"/>
        </w:rPr>
        <w:t>any</w:t>
      </w:r>
      <w:r>
        <w:rPr>
          <w:spacing w:val="38"/>
        </w:rPr>
        <w:t xml:space="preserve"> </w:t>
      </w:r>
      <w:r>
        <w:rPr>
          <w:spacing w:val="-1"/>
        </w:rPr>
        <w:t>Customer</w:t>
      </w:r>
      <w:r>
        <w:rPr>
          <w:spacing w:val="21"/>
        </w:rPr>
        <w:t xml:space="preserve"> </w:t>
      </w:r>
      <w:r>
        <w:rPr>
          <w:spacing w:val="-1"/>
        </w:rPr>
        <w:t>Property</w:t>
      </w:r>
      <w:r>
        <w:rPr>
          <w:spacing w:val="18"/>
        </w:rPr>
        <w:t xml:space="preserve"> </w:t>
      </w:r>
      <w:r>
        <w:rPr>
          <w:spacing w:val="-1"/>
        </w:rPr>
        <w:t>or</w:t>
      </w:r>
      <w:r>
        <w:rPr>
          <w:spacing w:val="21"/>
        </w:rPr>
        <w:t xml:space="preserve"> </w:t>
      </w:r>
      <w:r>
        <w:rPr>
          <w:spacing w:val="-1"/>
        </w:rPr>
        <w:t>Customer</w:t>
      </w:r>
      <w:r>
        <w:rPr>
          <w:spacing w:val="21"/>
        </w:rPr>
        <w:t xml:space="preserve"> </w:t>
      </w:r>
      <w:r>
        <w:rPr>
          <w:spacing w:val="-1"/>
        </w:rPr>
        <w:t>Assets</w:t>
      </w:r>
      <w:r>
        <w:rPr>
          <w:spacing w:val="20"/>
        </w:rPr>
        <w:t xml:space="preserve"> </w:t>
      </w:r>
      <w:r>
        <w:rPr>
          <w:spacing w:val="-1"/>
        </w:rPr>
        <w:t>described</w:t>
      </w:r>
      <w:r>
        <w:rPr>
          <w:spacing w:val="20"/>
        </w:rPr>
        <w:t xml:space="preserve"> </w:t>
      </w:r>
      <w:r>
        <w:rPr>
          <w:spacing w:val="-1"/>
        </w:rPr>
        <w:t>in</w:t>
      </w:r>
      <w:r>
        <w:rPr>
          <w:spacing w:val="20"/>
        </w:rPr>
        <w:t xml:space="preserve"> </w:t>
      </w:r>
      <w:r>
        <w:rPr>
          <w:spacing w:val="-1"/>
        </w:rPr>
        <w:t>Part</w:t>
      </w:r>
      <w:r>
        <w:rPr>
          <w:spacing w:val="25"/>
        </w:rPr>
        <w:t xml:space="preserve"> </w:t>
      </w:r>
      <w:r>
        <w:t>B</w:t>
      </w:r>
      <w:r>
        <w:rPr>
          <w:spacing w:val="18"/>
        </w:rPr>
        <w:t xml:space="preserve"> </w:t>
      </w:r>
      <w:r>
        <w:rPr>
          <w:spacing w:val="-1"/>
        </w:rPr>
        <w:t>of</w:t>
      </w:r>
      <w:r>
        <w:rPr>
          <w:spacing w:val="22"/>
        </w:rPr>
        <w:t xml:space="preserve"> </w:t>
      </w:r>
      <w:r>
        <w:rPr>
          <w:spacing w:val="-2"/>
        </w:rPr>
        <w:t>Call</w:t>
      </w:r>
      <w:r>
        <w:rPr>
          <w:spacing w:val="18"/>
        </w:rPr>
        <w:t xml:space="preserve"> </w:t>
      </w:r>
      <w:r>
        <w:rPr>
          <w:spacing w:val="-1"/>
        </w:rPr>
        <w:t>Off</w:t>
      </w:r>
      <w:r>
        <w:rPr>
          <w:spacing w:val="22"/>
        </w:rPr>
        <w:t xml:space="preserve"> </w:t>
      </w:r>
      <w:r>
        <w:rPr>
          <w:spacing w:val="-1"/>
        </w:rPr>
        <w:t>Schedule</w:t>
      </w:r>
      <w:r>
        <w:rPr>
          <w:spacing w:val="18"/>
        </w:rPr>
        <w:t xml:space="preserve"> </w:t>
      </w:r>
      <w:r>
        <w:t>4</w:t>
      </w:r>
      <w:r>
        <w:rPr>
          <w:spacing w:val="18"/>
        </w:rPr>
        <w:t xml:space="preserve"> </w:t>
      </w:r>
      <w:r>
        <w:rPr>
          <w:spacing w:val="-1"/>
        </w:rPr>
        <w:t>(Implementation</w:t>
      </w:r>
      <w:r>
        <w:rPr>
          <w:spacing w:val="18"/>
        </w:rPr>
        <w:t xml:space="preserve"> </w:t>
      </w:r>
      <w:r>
        <w:rPr>
          <w:spacing w:val="-1"/>
        </w:rPr>
        <w:t>Plan,</w:t>
      </w:r>
      <w:r>
        <w:rPr>
          <w:spacing w:val="20"/>
        </w:rPr>
        <w:t xml:space="preserve"> </w:t>
      </w:r>
      <w:r>
        <w:rPr>
          <w:spacing w:val="-1"/>
        </w:rPr>
        <w:t>Customer</w:t>
      </w:r>
      <w:r>
        <w:rPr>
          <w:spacing w:val="27"/>
        </w:rPr>
        <w:t xml:space="preserve"> </w:t>
      </w:r>
      <w:r>
        <w:rPr>
          <w:spacing w:val="-1"/>
        </w:rPr>
        <w:t>Responsibilities</w:t>
      </w:r>
      <w:r>
        <w:rPr>
          <w:spacing w:val="27"/>
        </w:rPr>
        <w:t xml:space="preserve"> </w:t>
      </w:r>
      <w:r>
        <w:rPr>
          <w:spacing w:val="-1"/>
        </w:rPr>
        <w:t>and</w:t>
      </w:r>
      <w:r>
        <w:rPr>
          <w:spacing w:val="27"/>
        </w:rPr>
        <w:t xml:space="preserve"> </w:t>
      </w:r>
      <w:r>
        <w:t>Key</w:t>
      </w:r>
      <w:r>
        <w:rPr>
          <w:spacing w:val="27"/>
        </w:rPr>
        <w:t xml:space="preserve"> </w:t>
      </w:r>
      <w:r>
        <w:rPr>
          <w:spacing w:val="-1"/>
        </w:rPr>
        <w:t>Personnel)</w:t>
      </w:r>
      <w:r>
        <w:rPr>
          <w:spacing w:val="29"/>
        </w:rPr>
        <w:t xml:space="preserve"> </w:t>
      </w:r>
      <w:r>
        <w:rPr>
          <w:spacing w:val="-1"/>
        </w:rPr>
        <w:t>(or</w:t>
      </w:r>
      <w:r>
        <w:rPr>
          <w:spacing w:val="28"/>
        </w:rPr>
        <w:t xml:space="preserve"> </w:t>
      </w:r>
      <w:r>
        <w:rPr>
          <w:spacing w:val="-2"/>
        </w:rPr>
        <w:t>elsewhere</w:t>
      </w:r>
      <w:r>
        <w:rPr>
          <w:spacing w:val="27"/>
        </w:rPr>
        <w:t xml:space="preserve"> </w:t>
      </w:r>
      <w:r>
        <w:rPr>
          <w:spacing w:val="-1"/>
        </w:rPr>
        <w:t>in</w:t>
      </w:r>
      <w:r>
        <w:rPr>
          <w:spacing w:val="27"/>
        </w:rPr>
        <w:t xml:space="preserve"> </w:t>
      </w:r>
      <w:r>
        <w:rPr>
          <w:spacing w:val="-1"/>
        </w:rPr>
        <w:t>this</w:t>
      </w:r>
      <w:r>
        <w:rPr>
          <w:spacing w:val="27"/>
        </w:rPr>
        <w:t xml:space="preserve"> </w:t>
      </w:r>
      <w:r>
        <w:rPr>
          <w:spacing w:val="-2"/>
        </w:rPr>
        <w:t>Call</w:t>
      </w:r>
      <w:r>
        <w:rPr>
          <w:spacing w:val="39"/>
        </w:rPr>
        <w:t xml:space="preserve"> </w:t>
      </w:r>
      <w:r>
        <w:rPr>
          <w:spacing w:val="-1"/>
        </w:rPr>
        <w:t>Off</w:t>
      </w:r>
      <w:r>
        <w:rPr>
          <w:spacing w:val="30"/>
        </w:rPr>
        <w:t xml:space="preserve"> </w:t>
      </w:r>
      <w:r>
        <w:rPr>
          <w:spacing w:val="-1"/>
        </w:rPr>
        <w:t>Contract)</w:t>
      </w:r>
      <w:r>
        <w:rPr>
          <w:spacing w:val="30"/>
        </w:rPr>
        <w:t xml:space="preserve"> </w:t>
      </w:r>
      <w:r>
        <w:rPr>
          <w:spacing w:val="-1"/>
        </w:rPr>
        <w:t>or</w:t>
      </w:r>
      <w:r>
        <w:rPr>
          <w:spacing w:val="30"/>
        </w:rPr>
        <w:t xml:space="preserve"> </w:t>
      </w:r>
      <w:r>
        <w:rPr>
          <w:spacing w:val="-2"/>
        </w:rPr>
        <w:t>otherwise</w:t>
      </w:r>
      <w:r>
        <w:rPr>
          <w:spacing w:val="30"/>
        </w:rPr>
        <w:t xml:space="preserve"> </w:t>
      </w:r>
      <w:r>
        <w:rPr>
          <w:spacing w:val="-1"/>
        </w:rPr>
        <w:t>used</w:t>
      </w:r>
      <w:r>
        <w:rPr>
          <w:spacing w:val="29"/>
        </w:rPr>
        <w:t xml:space="preserve"> </w:t>
      </w:r>
      <w:r>
        <w:rPr>
          <w:spacing w:val="-1"/>
        </w:rPr>
        <w:t>by</w:t>
      </w:r>
      <w:r>
        <w:rPr>
          <w:spacing w:val="27"/>
        </w:rPr>
        <w:t xml:space="preserve"> </w:t>
      </w:r>
      <w:r>
        <w:t>the</w:t>
      </w:r>
      <w:r>
        <w:rPr>
          <w:spacing w:val="29"/>
        </w:rPr>
        <w:t xml:space="preserve"> </w:t>
      </w:r>
      <w:r>
        <w:rPr>
          <w:spacing w:val="-2"/>
        </w:rPr>
        <w:t>Supplier</w:t>
      </w:r>
      <w:r>
        <w:rPr>
          <w:spacing w:val="30"/>
        </w:rPr>
        <w:t xml:space="preserve"> </w:t>
      </w:r>
      <w:r>
        <w:rPr>
          <w:spacing w:val="-1"/>
        </w:rPr>
        <w:t>in</w:t>
      </w:r>
      <w:r>
        <w:rPr>
          <w:spacing w:val="29"/>
        </w:rPr>
        <w:t xml:space="preserve"> </w:t>
      </w:r>
      <w:r>
        <w:rPr>
          <w:spacing w:val="-1"/>
        </w:rPr>
        <w:t>connection</w:t>
      </w:r>
      <w:r>
        <w:rPr>
          <w:spacing w:val="44"/>
        </w:rPr>
        <w:t xml:space="preserve"> </w:t>
      </w:r>
      <w:r>
        <w:rPr>
          <w:spacing w:val="-1"/>
        </w:rPr>
        <w:t>with</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4"/>
          <w:numId w:val="69"/>
        </w:numPr>
        <w:tabs>
          <w:tab w:val="left" w:pos="2594"/>
        </w:tabs>
        <w:spacing w:before="121"/>
        <w:ind w:left="2593" w:right="112"/>
        <w:jc w:val="both"/>
      </w:pPr>
      <w:r>
        <w:rPr>
          <w:spacing w:val="-1"/>
        </w:rPr>
        <w:t>minimise</w:t>
      </w:r>
      <w:r>
        <w:rPr>
          <w:spacing w:val="4"/>
        </w:rPr>
        <w:t xml:space="preserve"> </w:t>
      </w:r>
      <w:r>
        <w:rPr>
          <w:spacing w:val="-1"/>
        </w:rPr>
        <w:t>any</w:t>
      </w:r>
      <w:r>
        <w:rPr>
          <w:spacing w:val="2"/>
        </w:rPr>
        <w:t xml:space="preserve"> </w:t>
      </w:r>
      <w:r>
        <w:rPr>
          <w:spacing w:val="-1"/>
        </w:rPr>
        <w:t>disruption</w:t>
      </w:r>
      <w:r>
        <w:rPr>
          <w:spacing w:val="4"/>
        </w:rPr>
        <w:t xml:space="preserve"> </w:t>
      </w:r>
      <w:r>
        <w:t>to</w:t>
      </w:r>
      <w:r>
        <w:rPr>
          <w:spacing w:val="4"/>
        </w:rPr>
        <w:t xml:space="preserve"> </w:t>
      </w:r>
      <w:r>
        <w:t>the</w:t>
      </w:r>
      <w:r>
        <w:rPr>
          <w:spacing w:val="4"/>
        </w:rPr>
        <w:t xml:space="preserve"> </w:t>
      </w:r>
      <w:r>
        <w:rPr>
          <w:spacing w:val="-1"/>
        </w:rPr>
        <w:t>Sites</w:t>
      </w:r>
      <w:r>
        <w:rPr>
          <w:spacing w:val="6"/>
        </w:rPr>
        <w:t xml:space="preserve"> </w:t>
      </w:r>
      <w:r>
        <w:rPr>
          <w:spacing w:val="-1"/>
        </w:rPr>
        <w:t>and/or</w:t>
      </w:r>
      <w:r>
        <w:rPr>
          <w:spacing w:val="5"/>
        </w:rPr>
        <w:t xml:space="preserve"> </w:t>
      </w:r>
      <w:r>
        <w:rPr>
          <w:spacing w:val="-1"/>
        </w:rPr>
        <w:t>the</w:t>
      </w:r>
      <w:r>
        <w:rPr>
          <w:spacing w:val="4"/>
        </w:rPr>
        <w:t xml:space="preserve"> </w:t>
      </w:r>
      <w:r>
        <w:rPr>
          <w:spacing w:val="-1"/>
        </w:rPr>
        <w:t>Customer's</w:t>
      </w:r>
      <w:r>
        <w:rPr>
          <w:spacing w:val="37"/>
        </w:rPr>
        <w:t xml:space="preserve"> </w:t>
      </w:r>
      <w:r>
        <w:rPr>
          <w:spacing w:val="-1"/>
        </w:rPr>
        <w:t>operations</w:t>
      </w:r>
      <w:r>
        <w:rPr>
          <w:spacing w:val="1"/>
        </w:rPr>
        <w:t xml:space="preserve"> </w:t>
      </w:r>
      <w:r>
        <w:rPr>
          <w:spacing w:val="-2"/>
        </w:rPr>
        <w:t>when</w:t>
      </w:r>
      <w:r>
        <w:t xml:space="preserve"> </w:t>
      </w:r>
      <w:r>
        <w:rPr>
          <w:spacing w:val="-2"/>
        </w:rPr>
        <w:t>providing</w:t>
      </w:r>
      <w:r>
        <w:t xml:space="preserve"> the</w:t>
      </w:r>
      <w:r>
        <w:rPr>
          <w:spacing w:val="-2"/>
        </w:rPr>
        <w:t xml:space="preserve"> </w:t>
      </w:r>
      <w:r>
        <w:rPr>
          <w:spacing w:val="-1"/>
        </w:rPr>
        <w:t>Goods</w:t>
      </w:r>
      <w:r>
        <w:rPr>
          <w:spacing w:val="1"/>
        </w:rPr>
        <w:t xml:space="preserve"> </w:t>
      </w:r>
      <w:r>
        <w:rPr>
          <w:spacing w:val="-1"/>
        </w:rPr>
        <w:t xml:space="preserve">and/or </w:t>
      </w:r>
      <w:r>
        <w:rPr>
          <w:spacing w:val="-2"/>
        </w:rPr>
        <w:t>Services;</w:t>
      </w:r>
    </w:p>
    <w:p w:rsidR="008918FA" w:rsidRDefault="008918FA" w:rsidP="008918FA">
      <w:pPr>
        <w:pStyle w:val="BodyText"/>
        <w:numPr>
          <w:ilvl w:val="4"/>
          <w:numId w:val="69"/>
        </w:numPr>
        <w:tabs>
          <w:tab w:val="left" w:pos="2594"/>
        </w:tabs>
        <w:spacing w:before="121"/>
        <w:ind w:left="2593" w:right="114"/>
        <w:jc w:val="both"/>
      </w:pPr>
      <w:r>
        <w:rPr>
          <w:spacing w:val="-1"/>
        </w:rPr>
        <w:t>ensure</w:t>
      </w:r>
      <w:r>
        <w:rPr>
          <w:spacing w:val="46"/>
        </w:rPr>
        <w:t xml:space="preserve"> </w:t>
      </w:r>
      <w:r>
        <w:rPr>
          <w:spacing w:val="-1"/>
        </w:rPr>
        <w:t>that</w:t>
      </w:r>
      <w:r>
        <w:rPr>
          <w:spacing w:val="47"/>
        </w:rPr>
        <w:t xml:space="preserve"> </w:t>
      </w:r>
      <w:r>
        <w:rPr>
          <w:spacing w:val="-1"/>
        </w:rPr>
        <w:t>any</w:t>
      </w:r>
      <w:r>
        <w:rPr>
          <w:spacing w:val="44"/>
        </w:rPr>
        <w:t xml:space="preserve"> </w:t>
      </w:r>
      <w:r>
        <w:rPr>
          <w:spacing w:val="-1"/>
        </w:rPr>
        <w:t>Documentation</w:t>
      </w:r>
      <w:r>
        <w:rPr>
          <w:spacing w:val="46"/>
        </w:rPr>
        <w:t xml:space="preserve"> </w:t>
      </w:r>
      <w:r>
        <w:rPr>
          <w:spacing w:val="-1"/>
        </w:rPr>
        <w:t>and</w:t>
      </w:r>
      <w:r>
        <w:rPr>
          <w:spacing w:val="46"/>
        </w:rPr>
        <w:t xml:space="preserve"> </w:t>
      </w:r>
      <w:r>
        <w:rPr>
          <w:spacing w:val="-1"/>
        </w:rPr>
        <w:t>training</w:t>
      </w:r>
      <w:r>
        <w:rPr>
          <w:spacing w:val="48"/>
        </w:rPr>
        <w:t xml:space="preserve"> </w:t>
      </w:r>
      <w:r>
        <w:rPr>
          <w:spacing w:val="-2"/>
        </w:rPr>
        <w:t>provided</w:t>
      </w:r>
      <w:r>
        <w:rPr>
          <w:spacing w:val="47"/>
        </w:rPr>
        <w:t xml:space="preserve"> </w:t>
      </w:r>
      <w:r>
        <w:rPr>
          <w:spacing w:val="1"/>
        </w:rPr>
        <w:t>by</w:t>
      </w:r>
      <w:r>
        <w:rPr>
          <w:spacing w:val="46"/>
        </w:rPr>
        <w:t xml:space="preserve"> </w:t>
      </w:r>
      <w:r>
        <w:rPr>
          <w:spacing w:val="-1"/>
        </w:rPr>
        <w:t>the</w:t>
      </w:r>
      <w:r>
        <w:rPr>
          <w:spacing w:val="36"/>
        </w:rPr>
        <w:t xml:space="preserve"> </w:t>
      </w:r>
      <w:r>
        <w:rPr>
          <w:spacing w:val="-2"/>
        </w:rPr>
        <w:t>Supplier</w:t>
      </w:r>
      <w:r>
        <w:rPr>
          <w:spacing w:val="5"/>
        </w:rPr>
        <w:t xml:space="preserve"> </w:t>
      </w:r>
      <w:r>
        <w:t>to</w:t>
      </w:r>
      <w:r>
        <w:rPr>
          <w:spacing w:val="2"/>
        </w:rPr>
        <w:t xml:space="preserve"> </w:t>
      </w:r>
      <w:r>
        <w:t>the</w:t>
      </w:r>
      <w:r>
        <w:rPr>
          <w:spacing w:val="4"/>
        </w:rPr>
        <w:t xml:space="preserve"> </w:t>
      </w:r>
      <w:r>
        <w:rPr>
          <w:spacing w:val="-2"/>
        </w:rPr>
        <w:t>Customer</w:t>
      </w:r>
      <w:r>
        <w:rPr>
          <w:spacing w:val="5"/>
        </w:rPr>
        <w:t xml:space="preserve"> </w:t>
      </w:r>
      <w:r>
        <w:rPr>
          <w:spacing w:val="-1"/>
        </w:rPr>
        <w:t>are</w:t>
      </w:r>
      <w:r>
        <w:rPr>
          <w:spacing w:val="2"/>
        </w:rPr>
        <w:t xml:space="preserve"> </w:t>
      </w:r>
      <w:r>
        <w:rPr>
          <w:spacing w:val="-2"/>
        </w:rPr>
        <w:t>comprehensive,</w:t>
      </w:r>
      <w:r>
        <w:rPr>
          <w:spacing w:val="3"/>
        </w:rPr>
        <w:t xml:space="preserve"> </w:t>
      </w:r>
      <w:r>
        <w:rPr>
          <w:spacing w:val="-1"/>
        </w:rPr>
        <w:t>accurate</w:t>
      </w:r>
      <w:r>
        <w:rPr>
          <w:spacing w:val="2"/>
        </w:rPr>
        <w:t xml:space="preserve"> </w:t>
      </w:r>
      <w:r>
        <w:rPr>
          <w:spacing w:val="-1"/>
        </w:rPr>
        <w:t>and</w:t>
      </w:r>
      <w:r>
        <w:rPr>
          <w:spacing w:val="70"/>
        </w:rPr>
        <w:t xml:space="preserve"> </w:t>
      </w:r>
      <w:r>
        <w:rPr>
          <w:spacing w:val="-1"/>
        </w:rPr>
        <w:t>prepared</w:t>
      </w:r>
      <w:r>
        <w:rPr>
          <w:spacing w:val="-2"/>
        </w:rPr>
        <w:t xml:space="preserve"> </w:t>
      </w:r>
      <w:r>
        <w:rPr>
          <w:spacing w:val="-1"/>
        </w:rPr>
        <w:t>in</w:t>
      </w:r>
      <w:r>
        <w:t xml:space="preserve"> </w:t>
      </w:r>
      <w:r>
        <w:rPr>
          <w:spacing w:val="-1"/>
        </w:rPr>
        <w:t>accordance</w:t>
      </w:r>
      <w:r>
        <w:rPr>
          <w:spacing w:val="-2"/>
        </w:rPr>
        <w:t xml:space="preserve"> </w:t>
      </w:r>
      <w:r>
        <w:rPr>
          <w:spacing w:val="-1"/>
        </w:rPr>
        <w:t>with</w:t>
      </w:r>
      <w:r>
        <w:t xml:space="preserve"> </w:t>
      </w:r>
      <w:r>
        <w:rPr>
          <w:spacing w:val="-1"/>
        </w:rPr>
        <w:t>Good</w:t>
      </w:r>
      <w:r>
        <w:rPr>
          <w:spacing w:val="-2"/>
        </w:rPr>
        <w:t xml:space="preserve"> </w:t>
      </w:r>
      <w:r>
        <w:rPr>
          <w:spacing w:val="-1"/>
        </w:rPr>
        <w:t>Industry</w:t>
      </w:r>
      <w:r>
        <w:rPr>
          <w:spacing w:val="-2"/>
        </w:rPr>
        <w:t xml:space="preserve"> </w:t>
      </w:r>
      <w:r>
        <w:rPr>
          <w:spacing w:val="-1"/>
        </w:rPr>
        <w:t>Practice;</w:t>
      </w:r>
    </w:p>
    <w:p w:rsidR="008918FA" w:rsidRDefault="008918FA" w:rsidP="008918FA">
      <w:pPr>
        <w:pStyle w:val="BodyText"/>
        <w:numPr>
          <w:ilvl w:val="4"/>
          <w:numId w:val="69"/>
        </w:numPr>
        <w:tabs>
          <w:tab w:val="left" w:pos="2594"/>
        </w:tabs>
        <w:ind w:left="2593" w:right="116"/>
        <w:jc w:val="both"/>
      </w:pPr>
      <w:r>
        <w:rPr>
          <w:spacing w:val="-1"/>
        </w:rPr>
        <w:t>co-operate</w:t>
      </w:r>
      <w:r>
        <w:rPr>
          <w:spacing w:val="55"/>
        </w:rPr>
        <w:t xml:space="preserve"> </w:t>
      </w:r>
      <w:r>
        <w:rPr>
          <w:spacing w:val="-2"/>
        </w:rPr>
        <w:t>with</w:t>
      </w:r>
      <w:r>
        <w:rPr>
          <w:spacing w:val="55"/>
        </w:rPr>
        <w:t xml:space="preserve"> </w:t>
      </w:r>
      <w:r>
        <w:t>the</w:t>
      </w:r>
      <w:r>
        <w:rPr>
          <w:spacing w:val="55"/>
        </w:rPr>
        <w:t xml:space="preserve"> </w:t>
      </w:r>
      <w:r>
        <w:rPr>
          <w:spacing w:val="-1"/>
        </w:rPr>
        <w:t>Other</w:t>
      </w:r>
      <w:r>
        <w:rPr>
          <w:spacing w:val="57"/>
        </w:rPr>
        <w:t xml:space="preserve"> </w:t>
      </w:r>
      <w:r>
        <w:rPr>
          <w:spacing w:val="-1"/>
        </w:rPr>
        <w:t>Suppliers</w:t>
      </w:r>
      <w:r>
        <w:rPr>
          <w:spacing w:val="56"/>
        </w:rPr>
        <w:t xml:space="preserve"> </w:t>
      </w:r>
      <w:r>
        <w:rPr>
          <w:spacing w:val="-1"/>
        </w:rPr>
        <w:t>and</w:t>
      </w:r>
      <w:r>
        <w:rPr>
          <w:spacing w:val="55"/>
        </w:rPr>
        <w:t xml:space="preserve"> </w:t>
      </w:r>
      <w:r>
        <w:rPr>
          <w:spacing w:val="-2"/>
        </w:rPr>
        <w:t>provide</w:t>
      </w:r>
      <w:r>
        <w:rPr>
          <w:spacing w:val="56"/>
        </w:rPr>
        <w:t xml:space="preserve"> </w:t>
      </w:r>
      <w:r>
        <w:rPr>
          <w:spacing w:val="-1"/>
        </w:rPr>
        <w:t>reasonable</w:t>
      </w:r>
      <w:r>
        <w:rPr>
          <w:spacing w:val="33"/>
        </w:rPr>
        <w:t xml:space="preserve"> </w:t>
      </w:r>
      <w:r>
        <w:rPr>
          <w:spacing w:val="-1"/>
        </w:rPr>
        <w:t>information</w:t>
      </w:r>
      <w:r>
        <w:t xml:space="preserve">  </w:t>
      </w:r>
      <w:r>
        <w:rPr>
          <w:spacing w:val="58"/>
        </w:rPr>
        <w:t xml:space="preserve"> </w:t>
      </w:r>
      <w:r>
        <w:rPr>
          <w:spacing w:val="-1"/>
        </w:rPr>
        <w:t>(including</w:t>
      </w:r>
      <w:r>
        <w:t xml:space="preserve">  </w:t>
      </w:r>
      <w:r>
        <w:rPr>
          <w:spacing w:val="58"/>
        </w:rPr>
        <w:t xml:space="preserve"> </w:t>
      </w:r>
      <w:r>
        <w:rPr>
          <w:spacing w:val="-1"/>
        </w:rPr>
        <w:t>any</w:t>
      </w:r>
      <w:r>
        <w:t xml:space="preserve">  </w:t>
      </w:r>
      <w:r>
        <w:rPr>
          <w:spacing w:val="56"/>
        </w:rPr>
        <w:t xml:space="preserve"> </w:t>
      </w:r>
      <w:r>
        <w:rPr>
          <w:spacing w:val="-1"/>
        </w:rPr>
        <w:t>Documentation),</w:t>
      </w:r>
      <w:r>
        <w:t xml:space="preserve">  </w:t>
      </w:r>
      <w:r>
        <w:rPr>
          <w:spacing w:val="57"/>
        </w:rPr>
        <w:t xml:space="preserve"> </w:t>
      </w:r>
      <w:r>
        <w:rPr>
          <w:spacing w:val="-2"/>
        </w:rPr>
        <w:t>advice</w:t>
      </w:r>
      <w:r>
        <w:t xml:space="preserve">  </w:t>
      </w:r>
      <w:r>
        <w:rPr>
          <w:spacing w:val="58"/>
        </w:rPr>
        <w:t xml:space="preserve"> </w:t>
      </w:r>
      <w:r>
        <w:rPr>
          <w:spacing w:val="-1"/>
        </w:rPr>
        <w:t>and</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left="2934" w:right="113" w:firstLine="0"/>
        <w:jc w:val="both"/>
      </w:pPr>
      <w:bookmarkStart w:id="71" w:name="8._[Services]"/>
      <w:bookmarkEnd w:id="71"/>
      <w:r>
        <w:rPr>
          <w:spacing w:val="-1"/>
        </w:rPr>
        <w:lastRenderedPageBreak/>
        <w:t>assistance</w:t>
      </w:r>
      <w:r>
        <w:rPr>
          <w:spacing w:val="3"/>
        </w:rPr>
        <w:t xml:space="preserve"> </w:t>
      </w:r>
      <w:r>
        <w:rPr>
          <w:spacing w:val="-1"/>
        </w:rPr>
        <w:t>in</w:t>
      </w:r>
      <w:r>
        <w:rPr>
          <w:spacing w:val="3"/>
        </w:rPr>
        <w:t xml:space="preserve"> </w:t>
      </w:r>
      <w:r>
        <w:rPr>
          <w:spacing w:val="-1"/>
        </w:rPr>
        <w:t>connection</w:t>
      </w:r>
      <w:r>
        <w:t xml:space="preserve"> </w:t>
      </w:r>
      <w:r>
        <w:rPr>
          <w:spacing w:val="-1"/>
        </w:rPr>
        <w:t>with</w:t>
      </w:r>
      <w:r>
        <w:rPr>
          <w:spacing w:val="3"/>
        </w:rPr>
        <w:t xml:space="preserve"> </w:t>
      </w:r>
      <w:r>
        <w:t>the</w:t>
      </w:r>
      <w:r>
        <w:rPr>
          <w:spacing w:val="4"/>
        </w:rPr>
        <w:t xml:space="preserve"> </w:t>
      </w:r>
      <w:r>
        <w:rPr>
          <w:spacing w:val="-1"/>
        </w:rPr>
        <w:t>Goods</w:t>
      </w:r>
      <w:r>
        <w:rPr>
          <w:spacing w:val="3"/>
        </w:rPr>
        <w:t xml:space="preserve"> </w:t>
      </w:r>
      <w:r>
        <w:rPr>
          <w:spacing w:val="-1"/>
        </w:rPr>
        <w:t>and/or</w:t>
      </w:r>
      <w:r>
        <w:rPr>
          <w:spacing w:val="4"/>
        </w:rPr>
        <w:t xml:space="preserve"> </w:t>
      </w:r>
      <w:r>
        <w:rPr>
          <w:spacing w:val="-2"/>
        </w:rPr>
        <w:t>Services</w:t>
      </w:r>
      <w:r>
        <w:rPr>
          <w:spacing w:val="4"/>
        </w:rPr>
        <w:t xml:space="preserve"> </w:t>
      </w:r>
      <w:r>
        <w:t>to</w:t>
      </w:r>
      <w:r>
        <w:rPr>
          <w:spacing w:val="3"/>
        </w:rPr>
        <w:t xml:space="preserve"> </w:t>
      </w:r>
      <w:r>
        <w:t>any</w:t>
      </w:r>
      <w:r>
        <w:rPr>
          <w:spacing w:val="41"/>
        </w:rPr>
        <w:t xml:space="preserve"> </w:t>
      </w:r>
      <w:r>
        <w:rPr>
          <w:spacing w:val="-1"/>
        </w:rPr>
        <w:t>Other</w:t>
      </w:r>
      <w:r>
        <w:rPr>
          <w:spacing w:val="11"/>
        </w:rPr>
        <w:t xml:space="preserve"> </w:t>
      </w:r>
      <w:r>
        <w:rPr>
          <w:spacing w:val="-2"/>
        </w:rPr>
        <w:t>Supplier</w:t>
      </w:r>
      <w:r>
        <w:rPr>
          <w:spacing w:val="11"/>
        </w:rPr>
        <w:t xml:space="preserve"> </w:t>
      </w:r>
      <w:r>
        <w:rPr>
          <w:spacing w:val="-1"/>
        </w:rPr>
        <w:t>and,</w:t>
      </w:r>
      <w:r>
        <w:rPr>
          <w:spacing w:val="9"/>
        </w:rPr>
        <w:t xml:space="preserve"> </w:t>
      </w:r>
      <w:r>
        <w:rPr>
          <w:spacing w:val="-1"/>
        </w:rPr>
        <w:t>on</w:t>
      </w:r>
      <w:r>
        <w:rPr>
          <w:spacing w:val="7"/>
        </w:rPr>
        <w:t xml:space="preserve"> </w:t>
      </w:r>
      <w:r>
        <w:rPr>
          <w:spacing w:val="-1"/>
        </w:rPr>
        <w:t>the</w:t>
      </w:r>
      <w:r>
        <w:rPr>
          <w:spacing w:val="10"/>
        </w:rPr>
        <w:t xml:space="preserve"> </w:t>
      </w:r>
      <w:r>
        <w:rPr>
          <w:spacing w:val="-2"/>
        </w:rPr>
        <w:t>Call</w:t>
      </w:r>
      <w:r>
        <w:rPr>
          <w:spacing w:val="9"/>
        </w:rPr>
        <w:t xml:space="preserve"> </w:t>
      </w:r>
      <w:r>
        <w:rPr>
          <w:spacing w:val="-1"/>
        </w:rPr>
        <w:t>Off</w:t>
      </w:r>
      <w:r>
        <w:rPr>
          <w:spacing w:val="11"/>
        </w:rPr>
        <w:t xml:space="preserve"> </w:t>
      </w:r>
      <w:r>
        <w:rPr>
          <w:spacing w:val="-2"/>
        </w:rPr>
        <w:t>Expiry</w:t>
      </w:r>
      <w:r>
        <w:rPr>
          <w:spacing w:val="8"/>
        </w:rPr>
        <w:t xml:space="preserve"> </w:t>
      </w:r>
      <w:r>
        <w:rPr>
          <w:spacing w:val="-1"/>
        </w:rPr>
        <w:t>Date</w:t>
      </w:r>
      <w:r>
        <w:rPr>
          <w:spacing w:val="10"/>
        </w:rPr>
        <w:t xml:space="preserve"> </w:t>
      </w:r>
      <w:r>
        <w:t>for</w:t>
      </w:r>
      <w:r>
        <w:rPr>
          <w:spacing w:val="11"/>
        </w:rPr>
        <w:t xml:space="preserve"> </w:t>
      </w:r>
      <w:r>
        <w:rPr>
          <w:spacing w:val="-1"/>
        </w:rPr>
        <w:t>any</w:t>
      </w:r>
      <w:r>
        <w:rPr>
          <w:spacing w:val="8"/>
        </w:rPr>
        <w:t xml:space="preserve"> </w:t>
      </w:r>
      <w:r>
        <w:rPr>
          <w:spacing w:val="-1"/>
        </w:rPr>
        <w:t>reason,</w:t>
      </w:r>
      <w:r>
        <w:rPr>
          <w:spacing w:val="54"/>
        </w:rPr>
        <w:t xml:space="preserve"> </w:t>
      </w:r>
      <w:r>
        <w:t>to</w:t>
      </w:r>
      <w:r>
        <w:rPr>
          <w:spacing w:val="3"/>
        </w:rPr>
        <w:t xml:space="preserve"> </w:t>
      </w:r>
      <w:r>
        <w:rPr>
          <w:spacing w:val="-1"/>
        </w:rPr>
        <w:t>enable</w:t>
      </w:r>
      <w:r>
        <w:rPr>
          <w:spacing w:val="3"/>
        </w:rPr>
        <w:t xml:space="preserve"> </w:t>
      </w:r>
      <w:r>
        <w:t xml:space="preserve">the </w:t>
      </w:r>
      <w:r>
        <w:rPr>
          <w:spacing w:val="-1"/>
        </w:rPr>
        <w:t>timely</w:t>
      </w:r>
      <w:r>
        <w:rPr>
          <w:spacing w:val="1"/>
        </w:rPr>
        <w:t xml:space="preserve"> </w:t>
      </w:r>
      <w:r>
        <w:rPr>
          <w:spacing w:val="-1"/>
        </w:rPr>
        <w:t>transition</w:t>
      </w:r>
      <w:r>
        <w:rPr>
          <w:spacing w:val="3"/>
        </w:rPr>
        <w:t xml:space="preserve"> </w:t>
      </w:r>
      <w:r>
        <w:rPr>
          <w:spacing w:val="-2"/>
        </w:rPr>
        <w:t>of</w:t>
      </w:r>
      <w:r>
        <w:rPr>
          <w:spacing w:val="6"/>
        </w:rPr>
        <w:t xml:space="preserve"> </w:t>
      </w:r>
      <w:r>
        <w:t>the</w:t>
      </w:r>
      <w:r>
        <w:rPr>
          <w:spacing w:val="4"/>
        </w:rPr>
        <w:t xml:space="preserve"> </w:t>
      </w:r>
      <w:r>
        <w:rPr>
          <w:spacing w:val="-1"/>
        </w:rPr>
        <w:t>supply</w:t>
      </w:r>
      <w:r>
        <w:rPr>
          <w:spacing w:val="1"/>
        </w:rPr>
        <w:t xml:space="preserve"> </w:t>
      </w:r>
      <w:r>
        <w:rPr>
          <w:spacing w:val="-2"/>
        </w:rPr>
        <w:t>of</w:t>
      </w:r>
      <w:r>
        <w:rPr>
          <w:spacing w:val="6"/>
        </w:rPr>
        <w:t xml:space="preserve"> </w:t>
      </w:r>
      <w:r>
        <w:t>the</w:t>
      </w:r>
      <w:r>
        <w:rPr>
          <w:spacing w:val="1"/>
        </w:rPr>
        <w:t xml:space="preserve"> </w:t>
      </w:r>
      <w:r>
        <w:rPr>
          <w:spacing w:val="-1"/>
        </w:rPr>
        <w:t>Goods</w:t>
      </w:r>
      <w:r>
        <w:rPr>
          <w:spacing w:val="3"/>
        </w:rPr>
        <w:t xml:space="preserve"> </w:t>
      </w:r>
      <w:r>
        <w:rPr>
          <w:spacing w:val="-1"/>
        </w:rPr>
        <w:t>and/or</w:t>
      </w:r>
      <w:r>
        <w:rPr>
          <w:spacing w:val="24"/>
        </w:rPr>
        <w:t xml:space="preserve"> </w:t>
      </w:r>
      <w:r>
        <w:rPr>
          <w:spacing w:val="-1"/>
        </w:rPr>
        <w:t>Services</w:t>
      </w:r>
      <w:r>
        <w:rPr>
          <w:spacing w:val="16"/>
        </w:rPr>
        <w:t xml:space="preserve"> </w:t>
      </w:r>
      <w:r>
        <w:rPr>
          <w:spacing w:val="-1"/>
        </w:rPr>
        <w:t>(or</w:t>
      </w:r>
      <w:r>
        <w:rPr>
          <w:spacing w:val="17"/>
        </w:rPr>
        <w:t xml:space="preserve"> </w:t>
      </w:r>
      <w:r>
        <w:rPr>
          <w:spacing w:val="-1"/>
        </w:rPr>
        <w:t>any</w:t>
      </w:r>
      <w:r>
        <w:rPr>
          <w:spacing w:val="14"/>
        </w:rPr>
        <w:t xml:space="preserve"> </w:t>
      </w:r>
      <w:r>
        <w:rPr>
          <w:spacing w:val="-1"/>
        </w:rPr>
        <w:t>of</w:t>
      </w:r>
      <w:r>
        <w:rPr>
          <w:spacing w:val="20"/>
        </w:rPr>
        <w:t xml:space="preserve"> </w:t>
      </w:r>
      <w:r>
        <w:rPr>
          <w:spacing w:val="-1"/>
        </w:rPr>
        <w:t>them)</w:t>
      </w:r>
      <w:r>
        <w:rPr>
          <w:spacing w:val="17"/>
        </w:rPr>
        <w:t xml:space="preserve"> </w:t>
      </w:r>
      <w:r>
        <w:t>to</w:t>
      </w:r>
      <w:r>
        <w:rPr>
          <w:spacing w:val="14"/>
        </w:rPr>
        <w:t xml:space="preserve"> </w:t>
      </w:r>
      <w:r>
        <w:t>the</w:t>
      </w:r>
      <w:r>
        <w:rPr>
          <w:spacing w:val="16"/>
        </w:rPr>
        <w:t xml:space="preserve"> </w:t>
      </w:r>
      <w:r>
        <w:rPr>
          <w:spacing w:val="-1"/>
        </w:rPr>
        <w:t>Customer</w:t>
      </w:r>
      <w:r>
        <w:rPr>
          <w:spacing w:val="15"/>
        </w:rPr>
        <w:t xml:space="preserve"> </w:t>
      </w:r>
      <w:r>
        <w:rPr>
          <w:spacing w:val="-1"/>
        </w:rPr>
        <w:t>and/or</w:t>
      </w:r>
      <w:r>
        <w:rPr>
          <w:spacing w:val="17"/>
        </w:rPr>
        <w:t xml:space="preserve"> </w:t>
      </w:r>
      <w:r>
        <w:t>to</w:t>
      </w:r>
      <w:r>
        <w:rPr>
          <w:spacing w:val="16"/>
        </w:rPr>
        <w:t xml:space="preserve"> </w:t>
      </w:r>
      <w:r>
        <w:rPr>
          <w:spacing w:val="-1"/>
        </w:rPr>
        <w:t>any</w:t>
      </w:r>
      <w:r>
        <w:rPr>
          <w:spacing w:val="24"/>
        </w:rPr>
        <w:t xml:space="preserve"> </w:t>
      </w:r>
      <w:r>
        <w:rPr>
          <w:spacing w:val="-1"/>
        </w:rPr>
        <w:t>Replacement</w:t>
      </w:r>
      <w:r>
        <w:rPr>
          <w:spacing w:val="2"/>
        </w:rPr>
        <w:t xml:space="preserve"> </w:t>
      </w:r>
      <w:r>
        <w:rPr>
          <w:spacing w:val="-2"/>
        </w:rPr>
        <w:t>Supplier;</w:t>
      </w:r>
    </w:p>
    <w:p w:rsidR="008918FA" w:rsidRDefault="008918FA" w:rsidP="008918FA">
      <w:pPr>
        <w:pStyle w:val="BodyText"/>
        <w:numPr>
          <w:ilvl w:val="5"/>
          <w:numId w:val="69"/>
        </w:numPr>
        <w:tabs>
          <w:tab w:val="left" w:pos="2935"/>
        </w:tabs>
        <w:ind w:left="2934" w:right="112" w:hanging="708"/>
        <w:jc w:val="both"/>
      </w:pPr>
      <w:r>
        <w:rPr>
          <w:spacing w:val="-1"/>
        </w:rPr>
        <w:t>assign</w:t>
      </w:r>
      <w:r>
        <w:rPr>
          <w:spacing w:val="15"/>
        </w:rPr>
        <w:t xml:space="preserve"> </w:t>
      </w:r>
      <w:r>
        <w:t>to</w:t>
      </w:r>
      <w:r>
        <w:rPr>
          <w:spacing w:val="17"/>
        </w:rPr>
        <w:t xml:space="preserve"> </w:t>
      </w:r>
      <w:r>
        <w:t>the</w:t>
      </w:r>
      <w:r>
        <w:rPr>
          <w:spacing w:val="15"/>
        </w:rPr>
        <w:t xml:space="preserve"> </w:t>
      </w:r>
      <w:r>
        <w:rPr>
          <w:spacing w:val="-1"/>
        </w:rPr>
        <w:t>Customer,</w:t>
      </w:r>
      <w:r>
        <w:rPr>
          <w:spacing w:val="16"/>
        </w:rPr>
        <w:t xml:space="preserve"> </w:t>
      </w:r>
      <w:r>
        <w:rPr>
          <w:spacing w:val="-1"/>
        </w:rPr>
        <w:t>or</w:t>
      </w:r>
      <w:r>
        <w:rPr>
          <w:spacing w:val="19"/>
        </w:rPr>
        <w:t xml:space="preserve"> </w:t>
      </w:r>
      <w:r>
        <w:rPr>
          <w:spacing w:val="-2"/>
        </w:rPr>
        <w:t>if</w:t>
      </w:r>
      <w:r>
        <w:rPr>
          <w:spacing w:val="21"/>
        </w:rPr>
        <w:t xml:space="preserve"> </w:t>
      </w:r>
      <w:r>
        <w:rPr>
          <w:spacing w:val="-1"/>
        </w:rPr>
        <w:t>it</w:t>
      </w:r>
      <w:r>
        <w:rPr>
          <w:spacing w:val="19"/>
        </w:rPr>
        <w:t xml:space="preserve"> </w:t>
      </w:r>
      <w:r>
        <w:rPr>
          <w:spacing w:val="-1"/>
        </w:rPr>
        <w:t>is</w:t>
      </w:r>
      <w:r>
        <w:rPr>
          <w:spacing w:val="18"/>
        </w:rPr>
        <w:t xml:space="preserve"> </w:t>
      </w:r>
      <w:r>
        <w:rPr>
          <w:spacing w:val="-1"/>
        </w:rPr>
        <w:t>unable</w:t>
      </w:r>
      <w:r>
        <w:rPr>
          <w:spacing w:val="15"/>
        </w:rPr>
        <w:t xml:space="preserve"> </w:t>
      </w:r>
      <w:r>
        <w:t>to</w:t>
      </w:r>
      <w:r>
        <w:rPr>
          <w:spacing w:val="17"/>
        </w:rPr>
        <w:t xml:space="preserve"> </w:t>
      </w:r>
      <w:r>
        <w:rPr>
          <w:spacing w:val="-1"/>
        </w:rPr>
        <w:t>do</w:t>
      </w:r>
      <w:r>
        <w:rPr>
          <w:spacing w:val="17"/>
        </w:rPr>
        <w:t xml:space="preserve"> </w:t>
      </w:r>
      <w:r>
        <w:rPr>
          <w:spacing w:val="-2"/>
        </w:rPr>
        <w:t>so,</w:t>
      </w:r>
      <w:r>
        <w:rPr>
          <w:spacing w:val="19"/>
        </w:rPr>
        <w:t xml:space="preserve"> </w:t>
      </w:r>
      <w:r>
        <w:rPr>
          <w:spacing w:val="-1"/>
        </w:rPr>
        <w:t>shall</w:t>
      </w:r>
      <w:r>
        <w:rPr>
          <w:spacing w:val="17"/>
        </w:rPr>
        <w:t xml:space="preserve"> </w:t>
      </w:r>
      <w:r>
        <w:t>(to</w:t>
      </w:r>
      <w:r>
        <w:rPr>
          <w:spacing w:val="15"/>
        </w:rPr>
        <w:t xml:space="preserve"> </w:t>
      </w:r>
      <w:r>
        <w:rPr>
          <w:spacing w:val="-1"/>
        </w:rPr>
        <w:t>the</w:t>
      </w:r>
      <w:r>
        <w:rPr>
          <w:spacing w:val="28"/>
        </w:rPr>
        <w:t xml:space="preserve"> </w:t>
      </w:r>
      <w:r>
        <w:rPr>
          <w:spacing w:val="-1"/>
        </w:rPr>
        <w:t>extent</w:t>
      </w:r>
      <w:r>
        <w:rPr>
          <w:spacing w:val="2"/>
        </w:rPr>
        <w:t xml:space="preserve"> </w:t>
      </w:r>
      <w:r>
        <w:rPr>
          <w:spacing w:val="-1"/>
        </w:rPr>
        <w:t>it</w:t>
      </w:r>
      <w:r>
        <w:rPr>
          <w:spacing w:val="2"/>
        </w:rPr>
        <w:t xml:space="preserve"> </w:t>
      </w:r>
      <w:r>
        <w:rPr>
          <w:spacing w:val="-1"/>
        </w:rPr>
        <w:t>is</w:t>
      </w:r>
      <w:r>
        <w:rPr>
          <w:spacing w:val="-2"/>
        </w:rPr>
        <w:t xml:space="preserve"> </w:t>
      </w:r>
      <w:r>
        <w:rPr>
          <w:spacing w:val="-1"/>
        </w:rPr>
        <w:t>legally</w:t>
      </w:r>
      <w:r>
        <w:rPr>
          <w:spacing w:val="-2"/>
        </w:rPr>
        <w:t xml:space="preserve"> </w:t>
      </w:r>
      <w:r>
        <w:rPr>
          <w:spacing w:val="-1"/>
        </w:rPr>
        <w:t>able</w:t>
      </w:r>
      <w:r>
        <w:t xml:space="preserve"> to</w:t>
      </w:r>
      <w:r>
        <w:rPr>
          <w:spacing w:val="-2"/>
        </w:rPr>
        <w:t xml:space="preserve"> </w:t>
      </w:r>
      <w:r>
        <w:rPr>
          <w:spacing w:val="-1"/>
        </w:rPr>
        <w:t>do</w:t>
      </w:r>
      <w:r>
        <w:t xml:space="preserve"> </w:t>
      </w:r>
      <w:r>
        <w:rPr>
          <w:spacing w:val="-2"/>
        </w:rPr>
        <w:t>so)</w:t>
      </w:r>
      <w:r>
        <w:rPr>
          <w:spacing w:val="2"/>
        </w:rPr>
        <w:t xml:space="preserve"> </w:t>
      </w:r>
      <w:r>
        <w:rPr>
          <w:spacing w:val="-1"/>
        </w:rPr>
        <w:t>hold</w:t>
      </w:r>
      <w:r>
        <w:t xml:space="preserve"> </w:t>
      </w:r>
      <w:r>
        <w:rPr>
          <w:spacing w:val="-1"/>
        </w:rPr>
        <w:t>on</w:t>
      </w:r>
      <w:r>
        <w:rPr>
          <w:spacing w:val="-2"/>
        </w:rPr>
        <w:t xml:space="preserve"> </w:t>
      </w:r>
      <w:r>
        <w:rPr>
          <w:spacing w:val="-1"/>
        </w:rPr>
        <w:t>trust</w:t>
      </w:r>
      <w:r>
        <w:rPr>
          <w:spacing w:val="-2"/>
        </w:rPr>
        <w:t xml:space="preserve"> </w:t>
      </w:r>
      <w:r>
        <w:t>for</w:t>
      </w:r>
      <w:r>
        <w:rPr>
          <w:spacing w:val="-1"/>
        </w:rPr>
        <w:t xml:space="preserve"> the</w:t>
      </w:r>
      <w:r>
        <w:t xml:space="preserve"> </w:t>
      </w:r>
      <w:r>
        <w:rPr>
          <w:spacing w:val="-1"/>
        </w:rPr>
        <w:t>sole</w:t>
      </w:r>
      <w:r>
        <w:t xml:space="preserve"> </w:t>
      </w:r>
      <w:r>
        <w:rPr>
          <w:spacing w:val="-1"/>
        </w:rPr>
        <w:t>benefit</w:t>
      </w:r>
      <w:r>
        <w:rPr>
          <w:spacing w:val="30"/>
        </w:rPr>
        <w:t xml:space="preserve"> </w:t>
      </w:r>
      <w:r>
        <w:rPr>
          <w:spacing w:val="-2"/>
        </w:rPr>
        <w:t>of</w:t>
      </w:r>
      <w:r>
        <w:rPr>
          <w:spacing w:val="57"/>
        </w:rPr>
        <w:t xml:space="preserve"> </w:t>
      </w:r>
      <w:r>
        <w:t>the</w:t>
      </w:r>
      <w:r>
        <w:rPr>
          <w:spacing w:val="53"/>
        </w:rPr>
        <w:t xml:space="preserve"> </w:t>
      </w:r>
      <w:r>
        <w:rPr>
          <w:spacing w:val="-1"/>
        </w:rPr>
        <w:t>Customer,</w:t>
      </w:r>
      <w:r>
        <w:rPr>
          <w:spacing w:val="52"/>
        </w:rPr>
        <w:t xml:space="preserve"> </w:t>
      </w:r>
      <w:r>
        <w:rPr>
          <w:spacing w:val="-1"/>
        </w:rPr>
        <w:t>all</w:t>
      </w:r>
      <w:r>
        <w:rPr>
          <w:spacing w:val="52"/>
        </w:rPr>
        <w:t xml:space="preserve"> </w:t>
      </w:r>
      <w:r>
        <w:rPr>
          <w:spacing w:val="-1"/>
        </w:rPr>
        <w:t>warranties</w:t>
      </w:r>
      <w:r>
        <w:rPr>
          <w:spacing w:val="53"/>
        </w:rPr>
        <w:t xml:space="preserve"> </w:t>
      </w:r>
      <w:r>
        <w:rPr>
          <w:spacing w:val="-1"/>
        </w:rPr>
        <w:t>and</w:t>
      </w:r>
      <w:r>
        <w:rPr>
          <w:spacing w:val="53"/>
        </w:rPr>
        <w:t xml:space="preserve"> </w:t>
      </w:r>
      <w:r>
        <w:rPr>
          <w:spacing w:val="-2"/>
        </w:rPr>
        <w:t>indemnities</w:t>
      </w:r>
      <w:r>
        <w:rPr>
          <w:spacing w:val="54"/>
        </w:rPr>
        <w:t xml:space="preserve"> </w:t>
      </w:r>
      <w:r>
        <w:rPr>
          <w:spacing w:val="-2"/>
        </w:rPr>
        <w:t>provided</w:t>
      </w:r>
      <w:r>
        <w:rPr>
          <w:spacing w:val="53"/>
        </w:rPr>
        <w:t xml:space="preserve"> </w:t>
      </w:r>
      <w:r>
        <w:rPr>
          <w:spacing w:val="1"/>
        </w:rPr>
        <w:t>by</w:t>
      </w:r>
      <w:r>
        <w:rPr>
          <w:spacing w:val="41"/>
        </w:rPr>
        <w:t xml:space="preserve"> </w:t>
      </w:r>
      <w:r>
        <w:rPr>
          <w:spacing w:val="-1"/>
        </w:rPr>
        <w:t>third</w:t>
      </w:r>
      <w:r>
        <w:rPr>
          <w:spacing w:val="22"/>
        </w:rPr>
        <w:t xml:space="preserve"> </w:t>
      </w:r>
      <w:r>
        <w:rPr>
          <w:spacing w:val="-1"/>
        </w:rPr>
        <w:t>parties</w:t>
      </w:r>
      <w:r>
        <w:rPr>
          <w:spacing w:val="22"/>
        </w:rPr>
        <w:t xml:space="preserve"> </w:t>
      </w:r>
      <w:r>
        <w:rPr>
          <w:spacing w:val="-1"/>
        </w:rPr>
        <w:t>or</w:t>
      </w:r>
      <w:r>
        <w:rPr>
          <w:spacing w:val="23"/>
        </w:rPr>
        <w:t xml:space="preserve"> </w:t>
      </w:r>
      <w:r>
        <w:rPr>
          <w:spacing w:val="-1"/>
        </w:rPr>
        <w:t>any</w:t>
      </w:r>
      <w:r>
        <w:rPr>
          <w:spacing w:val="20"/>
        </w:rPr>
        <w:t xml:space="preserve"> </w:t>
      </w:r>
      <w:r>
        <w:rPr>
          <w:spacing w:val="-1"/>
        </w:rPr>
        <w:t>Sub-Contractor</w:t>
      </w:r>
      <w:r>
        <w:rPr>
          <w:spacing w:val="23"/>
        </w:rPr>
        <w:t xml:space="preserve"> </w:t>
      </w:r>
      <w:r>
        <w:rPr>
          <w:spacing w:val="-1"/>
        </w:rPr>
        <w:t>in</w:t>
      </w:r>
      <w:r>
        <w:rPr>
          <w:spacing w:val="22"/>
        </w:rPr>
        <w:t xml:space="preserve"> </w:t>
      </w:r>
      <w:r>
        <w:rPr>
          <w:spacing w:val="-1"/>
        </w:rPr>
        <w:t>respect</w:t>
      </w:r>
      <w:r>
        <w:rPr>
          <w:spacing w:val="24"/>
        </w:rPr>
        <w:t xml:space="preserve"> </w:t>
      </w:r>
      <w:r>
        <w:rPr>
          <w:spacing w:val="-2"/>
        </w:rPr>
        <w:t>of</w:t>
      </w:r>
      <w:r>
        <w:rPr>
          <w:spacing w:val="26"/>
        </w:rPr>
        <w:t xml:space="preserve"> </w:t>
      </w:r>
      <w:r>
        <w:rPr>
          <w:spacing w:val="-1"/>
        </w:rPr>
        <w:t>any</w:t>
      </w:r>
      <w:r>
        <w:rPr>
          <w:spacing w:val="26"/>
        </w:rPr>
        <w:t xml:space="preserve"> </w:t>
      </w:r>
      <w:r>
        <w:rPr>
          <w:spacing w:val="-2"/>
        </w:rPr>
        <w:t>Deliverables</w:t>
      </w:r>
      <w:r>
        <w:rPr>
          <w:spacing w:val="4"/>
        </w:rPr>
        <w:t xml:space="preserve"> </w:t>
      </w:r>
      <w:r>
        <w:rPr>
          <w:spacing w:val="-1"/>
        </w:rPr>
        <w:t>and/or</w:t>
      </w:r>
      <w:r>
        <w:rPr>
          <w:spacing w:val="5"/>
        </w:rPr>
        <w:t xml:space="preserve"> </w:t>
      </w:r>
      <w:r>
        <w:t>the</w:t>
      </w:r>
      <w:r>
        <w:rPr>
          <w:spacing w:val="2"/>
        </w:rPr>
        <w:t xml:space="preserve"> </w:t>
      </w:r>
      <w:r>
        <w:rPr>
          <w:spacing w:val="-1"/>
        </w:rPr>
        <w:t>Goods</w:t>
      </w:r>
      <w:r>
        <w:rPr>
          <w:spacing w:val="4"/>
        </w:rPr>
        <w:t xml:space="preserve"> </w:t>
      </w:r>
      <w:r>
        <w:rPr>
          <w:spacing w:val="-1"/>
        </w:rPr>
        <w:t>and/or</w:t>
      </w:r>
      <w:r>
        <w:rPr>
          <w:spacing w:val="5"/>
        </w:rPr>
        <w:t xml:space="preserve"> </w:t>
      </w:r>
      <w:r>
        <w:rPr>
          <w:spacing w:val="-1"/>
        </w:rPr>
        <w:t>Services.</w:t>
      </w:r>
      <w:r>
        <w:rPr>
          <w:spacing w:val="1"/>
        </w:rPr>
        <w:t xml:space="preserve"> </w:t>
      </w:r>
      <w:r>
        <w:t xml:space="preserve">Where </w:t>
      </w:r>
      <w:r>
        <w:rPr>
          <w:spacing w:val="4"/>
        </w:rPr>
        <w:t xml:space="preserve"> </w:t>
      </w:r>
      <w:r>
        <w:rPr>
          <w:spacing w:val="-1"/>
        </w:rPr>
        <w:t>any</w:t>
      </w:r>
      <w:r>
        <w:rPr>
          <w:spacing w:val="46"/>
        </w:rPr>
        <w:t xml:space="preserve"> </w:t>
      </w:r>
      <w:r>
        <w:rPr>
          <w:spacing w:val="-1"/>
        </w:rPr>
        <w:t>such</w:t>
      </w:r>
      <w:r>
        <w:rPr>
          <w:spacing w:val="46"/>
        </w:rPr>
        <w:t xml:space="preserve"> </w:t>
      </w:r>
      <w:r>
        <w:rPr>
          <w:spacing w:val="-1"/>
        </w:rPr>
        <w:t>warranties</w:t>
      </w:r>
      <w:r>
        <w:rPr>
          <w:spacing w:val="46"/>
        </w:rPr>
        <w:t xml:space="preserve"> </w:t>
      </w:r>
      <w:r>
        <w:rPr>
          <w:spacing w:val="-1"/>
        </w:rPr>
        <w:t>are</w:t>
      </w:r>
      <w:r>
        <w:rPr>
          <w:spacing w:val="46"/>
        </w:rPr>
        <w:t xml:space="preserve"> </w:t>
      </w:r>
      <w:r>
        <w:rPr>
          <w:spacing w:val="-2"/>
        </w:rPr>
        <w:t>held</w:t>
      </w:r>
      <w:r>
        <w:rPr>
          <w:spacing w:val="46"/>
        </w:rPr>
        <w:t xml:space="preserve"> </w:t>
      </w:r>
      <w:r>
        <w:rPr>
          <w:spacing w:val="-1"/>
        </w:rPr>
        <w:t>on</w:t>
      </w:r>
      <w:r>
        <w:rPr>
          <w:spacing w:val="46"/>
        </w:rPr>
        <w:t xml:space="preserve"> </w:t>
      </w:r>
      <w:r>
        <w:rPr>
          <w:spacing w:val="-1"/>
        </w:rPr>
        <w:t>trust,</w:t>
      </w:r>
      <w:r>
        <w:rPr>
          <w:spacing w:val="47"/>
        </w:rPr>
        <w:t xml:space="preserve"> </w:t>
      </w:r>
      <w:r>
        <w:t>the</w:t>
      </w:r>
      <w:r>
        <w:rPr>
          <w:spacing w:val="47"/>
        </w:rPr>
        <w:t xml:space="preserve"> </w:t>
      </w:r>
      <w:r>
        <w:rPr>
          <w:spacing w:val="-2"/>
        </w:rPr>
        <w:t>Supplier</w:t>
      </w:r>
      <w:r>
        <w:rPr>
          <w:spacing w:val="45"/>
        </w:rPr>
        <w:t xml:space="preserve"> </w:t>
      </w:r>
      <w:r>
        <w:rPr>
          <w:spacing w:val="-1"/>
        </w:rPr>
        <w:t>shall</w:t>
      </w:r>
      <w:r>
        <w:rPr>
          <w:spacing w:val="45"/>
        </w:rPr>
        <w:t xml:space="preserve"> </w:t>
      </w:r>
      <w:r>
        <w:rPr>
          <w:spacing w:val="-1"/>
        </w:rPr>
        <w:t>enforce</w:t>
      </w:r>
      <w:r>
        <w:rPr>
          <w:spacing w:val="46"/>
        </w:rPr>
        <w:t xml:space="preserve"> </w:t>
      </w:r>
      <w:r>
        <w:rPr>
          <w:spacing w:val="-1"/>
        </w:rPr>
        <w:t>such</w:t>
      </w:r>
      <w:r>
        <w:rPr>
          <w:spacing w:val="32"/>
        </w:rPr>
        <w:t xml:space="preserve"> </w:t>
      </w:r>
      <w:r>
        <w:rPr>
          <w:spacing w:val="-1"/>
        </w:rPr>
        <w:t>warranties</w:t>
      </w:r>
      <w:r>
        <w:rPr>
          <w:spacing w:val="32"/>
        </w:rPr>
        <w:t xml:space="preserve"> </w:t>
      </w:r>
      <w:r>
        <w:rPr>
          <w:spacing w:val="-1"/>
        </w:rPr>
        <w:t>in</w:t>
      </w:r>
      <w:r>
        <w:rPr>
          <w:spacing w:val="31"/>
        </w:rPr>
        <w:t xml:space="preserve"> </w:t>
      </w:r>
      <w:r>
        <w:rPr>
          <w:spacing w:val="-1"/>
        </w:rPr>
        <w:t>accordance</w:t>
      </w:r>
      <w:r>
        <w:rPr>
          <w:spacing w:val="32"/>
        </w:rPr>
        <w:t xml:space="preserve"> </w:t>
      </w:r>
      <w:r>
        <w:rPr>
          <w:spacing w:val="-2"/>
        </w:rPr>
        <w:t>with</w:t>
      </w:r>
      <w:r>
        <w:rPr>
          <w:spacing w:val="31"/>
        </w:rPr>
        <w:t xml:space="preserve"> </w:t>
      </w:r>
      <w:r>
        <w:rPr>
          <w:spacing w:val="-1"/>
        </w:rPr>
        <w:t>any</w:t>
      </w:r>
      <w:r>
        <w:rPr>
          <w:spacing w:val="30"/>
        </w:rPr>
        <w:t xml:space="preserve"> </w:t>
      </w:r>
      <w:r>
        <w:rPr>
          <w:spacing w:val="-1"/>
        </w:rPr>
        <w:t>reasonable</w:t>
      </w:r>
      <w:r>
        <w:rPr>
          <w:spacing w:val="31"/>
        </w:rPr>
        <w:t xml:space="preserve"> </w:t>
      </w:r>
      <w:r>
        <w:rPr>
          <w:spacing w:val="-1"/>
        </w:rPr>
        <w:t>directions</w:t>
      </w:r>
      <w:r>
        <w:rPr>
          <w:spacing w:val="22"/>
        </w:rPr>
        <w:t xml:space="preserve"> </w:t>
      </w:r>
      <w:r>
        <w:rPr>
          <w:spacing w:val="-1"/>
        </w:rPr>
        <w:t>that</w:t>
      </w:r>
      <w:r>
        <w:t xml:space="preserve"> the</w:t>
      </w:r>
      <w:r>
        <w:rPr>
          <w:spacing w:val="-2"/>
        </w:rPr>
        <w:t xml:space="preserve"> </w:t>
      </w:r>
      <w:r>
        <w:rPr>
          <w:spacing w:val="-1"/>
        </w:rPr>
        <w:t>Customer</w:t>
      </w:r>
      <w:r>
        <w:rPr>
          <w:spacing w:val="-3"/>
        </w:rPr>
        <w:t xml:space="preserve"> </w:t>
      </w:r>
      <w:r>
        <w:rPr>
          <w:spacing w:val="-1"/>
        </w:rPr>
        <w:t>may</w:t>
      </w:r>
      <w:r>
        <w:rPr>
          <w:spacing w:val="-2"/>
        </w:rPr>
        <w:t xml:space="preserve"> </w:t>
      </w:r>
      <w:r>
        <w:rPr>
          <w:spacing w:val="-1"/>
        </w:rPr>
        <w:t>notify</w:t>
      </w:r>
      <w:r>
        <w:rPr>
          <w:spacing w:val="-4"/>
        </w:rPr>
        <w:t xml:space="preserve"> </w:t>
      </w:r>
      <w:r>
        <w:t>from</w:t>
      </w:r>
      <w:r>
        <w:rPr>
          <w:spacing w:val="-1"/>
        </w:rPr>
        <w:t xml:space="preserve"> time</w:t>
      </w:r>
      <w:r>
        <w:rPr>
          <w:spacing w:val="-2"/>
        </w:rPr>
        <w:t xml:space="preserve"> </w:t>
      </w:r>
      <w:r>
        <w:t>to</w:t>
      </w:r>
      <w:r>
        <w:rPr>
          <w:spacing w:val="-4"/>
        </w:rPr>
        <w:t xml:space="preserve"> </w:t>
      </w:r>
      <w:r>
        <w:rPr>
          <w:spacing w:val="-1"/>
        </w:rPr>
        <w:t>time</w:t>
      </w:r>
      <w:r>
        <w:rPr>
          <w:spacing w:val="-2"/>
        </w:rPr>
        <w:t xml:space="preserve"> </w:t>
      </w:r>
      <w:r>
        <w:t>to</w:t>
      </w:r>
      <w:r>
        <w:rPr>
          <w:spacing w:val="-2"/>
        </w:rPr>
        <w:t xml:space="preserve"> </w:t>
      </w:r>
      <w:r>
        <w:t xml:space="preserve">the </w:t>
      </w:r>
      <w:r>
        <w:rPr>
          <w:spacing w:val="-1"/>
        </w:rPr>
        <w:t>Supplier;</w:t>
      </w:r>
    </w:p>
    <w:p w:rsidR="008918FA" w:rsidRDefault="008918FA" w:rsidP="008918FA">
      <w:pPr>
        <w:pStyle w:val="BodyText"/>
        <w:numPr>
          <w:ilvl w:val="0"/>
          <w:numId w:val="68"/>
        </w:numPr>
        <w:tabs>
          <w:tab w:val="left" w:pos="2935"/>
        </w:tabs>
        <w:ind w:right="113"/>
        <w:jc w:val="both"/>
      </w:pPr>
      <w:r>
        <w:rPr>
          <w:spacing w:val="-2"/>
        </w:rPr>
        <w:t>provide</w:t>
      </w:r>
      <w:r>
        <w:rPr>
          <w:spacing w:val="43"/>
        </w:rPr>
        <w:t xml:space="preserve"> </w:t>
      </w:r>
      <w:r>
        <w:t>the</w:t>
      </w:r>
      <w:r>
        <w:rPr>
          <w:spacing w:val="43"/>
        </w:rPr>
        <w:t xml:space="preserve"> </w:t>
      </w:r>
      <w:r>
        <w:rPr>
          <w:spacing w:val="-1"/>
        </w:rPr>
        <w:t>Customer</w:t>
      </w:r>
      <w:r>
        <w:rPr>
          <w:spacing w:val="42"/>
        </w:rPr>
        <w:t xml:space="preserve"> </w:t>
      </w:r>
      <w:r>
        <w:rPr>
          <w:spacing w:val="-1"/>
        </w:rPr>
        <w:t>with</w:t>
      </w:r>
      <w:r>
        <w:rPr>
          <w:spacing w:val="43"/>
        </w:rPr>
        <w:t xml:space="preserve"> </w:t>
      </w:r>
      <w:r>
        <w:rPr>
          <w:spacing w:val="-1"/>
        </w:rPr>
        <w:t>such</w:t>
      </w:r>
      <w:r>
        <w:rPr>
          <w:spacing w:val="44"/>
        </w:rPr>
        <w:t xml:space="preserve"> </w:t>
      </w:r>
      <w:r>
        <w:rPr>
          <w:spacing w:val="-1"/>
        </w:rPr>
        <w:t>assistance</w:t>
      </w:r>
      <w:r>
        <w:rPr>
          <w:spacing w:val="44"/>
        </w:rPr>
        <w:t xml:space="preserve"> </w:t>
      </w:r>
      <w:r>
        <w:rPr>
          <w:spacing w:val="-1"/>
        </w:rPr>
        <w:t>as</w:t>
      </w:r>
      <w:r>
        <w:rPr>
          <w:spacing w:val="42"/>
        </w:rPr>
        <w:t xml:space="preserve"> </w:t>
      </w:r>
      <w:r>
        <w:t>the</w:t>
      </w:r>
      <w:r>
        <w:rPr>
          <w:spacing w:val="43"/>
        </w:rPr>
        <w:t xml:space="preserve"> </w:t>
      </w:r>
      <w:r>
        <w:rPr>
          <w:spacing w:val="-1"/>
        </w:rPr>
        <w:t>Customer</w:t>
      </w:r>
      <w:r>
        <w:rPr>
          <w:spacing w:val="32"/>
        </w:rPr>
        <w:t xml:space="preserve"> </w:t>
      </w:r>
      <w:r>
        <w:rPr>
          <w:spacing w:val="-1"/>
        </w:rPr>
        <w:t>may</w:t>
      </w:r>
      <w:r>
        <w:rPr>
          <w:spacing w:val="27"/>
        </w:rPr>
        <w:t xml:space="preserve"> </w:t>
      </w:r>
      <w:r>
        <w:rPr>
          <w:spacing w:val="-1"/>
        </w:rPr>
        <w:t>reasonably</w:t>
      </w:r>
      <w:r>
        <w:rPr>
          <w:spacing w:val="27"/>
        </w:rPr>
        <w:t xml:space="preserve"> </w:t>
      </w:r>
      <w:r>
        <w:rPr>
          <w:spacing w:val="-1"/>
        </w:rPr>
        <w:t>require</w:t>
      </w:r>
      <w:r>
        <w:rPr>
          <w:spacing w:val="27"/>
        </w:rPr>
        <w:t xml:space="preserve"> </w:t>
      </w:r>
      <w:r>
        <w:rPr>
          <w:spacing w:val="-1"/>
        </w:rPr>
        <w:t>during</w:t>
      </w:r>
      <w:r>
        <w:rPr>
          <w:spacing w:val="29"/>
        </w:rPr>
        <w:t xml:space="preserve"> </w:t>
      </w:r>
      <w:r>
        <w:t>the</w:t>
      </w:r>
      <w:r>
        <w:rPr>
          <w:spacing w:val="27"/>
        </w:rPr>
        <w:t xml:space="preserve"> </w:t>
      </w:r>
      <w:r>
        <w:rPr>
          <w:spacing w:val="-2"/>
        </w:rPr>
        <w:t>Call</w:t>
      </w:r>
      <w:r>
        <w:rPr>
          <w:spacing w:val="28"/>
        </w:rPr>
        <w:t xml:space="preserve"> </w:t>
      </w:r>
      <w:r>
        <w:rPr>
          <w:spacing w:val="-1"/>
        </w:rPr>
        <w:t>Off</w:t>
      </w:r>
      <w:r>
        <w:rPr>
          <w:spacing w:val="30"/>
        </w:rPr>
        <w:t xml:space="preserve"> </w:t>
      </w:r>
      <w:r>
        <w:rPr>
          <w:spacing w:val="-2"/>
        </w:rPr>
        <w:t>Contract</w:t>
      </w:r>
      <w:r>
        <w:rPr>
          <w:spacing w:val="29"/>
        </w:rPr>
        <w:t xml:space="preserve"> </w:t>
      </w:r>
      <w:r>
        <w:rPr>
          <w:spacing w:val="-1"/>
        </w:rPr>
        <w:t>Period</w:t>
      </w:r>
      <w:r>
        <w:rPr>
          <w:spacing w:val="29"/>
        </w:rPr>
        <w:t xml:space="preserve"> </w:t>
      </w:r>
      <w:r>
        <w:rPr>
          <w:spacing w:val="-1"/>
        </w:rPr>
        <w:t>in</w:t>
      </w:r>
      <w:r>
        <w:rPr>
          <w:spacing w:val="41"/>
        </w:rPr>
        <w:t xml:space="preserve"> </w:t>
      </w:r>
      <w:r>
        <w:rPr>
          <w:spacing w:val="-1"/>
        </w:rPr>
        <w:t>respect</w:t>
      </w:r>
      <w:r>
        <w:t xml:space="preserve"> </w:t>
      </w:r>
      <w:r>
        <w:rPr>
          <w:spacing w:val="-2"/>
        </w:rPr>
        <w:t>of</w:t>
      </w:r>
      <w:r>
        <w:t xml:space="preserve"> the </w:t>
      </w:r>
      <w:r>
        <w:rPr>
          <w:spacing w:val="-1"/>
        </w:rPr>
        <w:t>supply</w:t>
      </w:r>
      <w:r>
        <w:rPr>
          <w:spacing w:val="-2"/>
        </w:rPr>
        <w:t xml:space="preserve"> of</w:t>
      </w:r>
      <w:r>
        <w:rPr>
          <w:spacing w:val="2"/>
        </w:rPr>
        <w:t xml:space="preserve"> </w:t>
      </w:r>
      <w:r>
        <w:rPr>
          <w:spacing w:val="-1"/>
        </w:rPr>
        <w:t>the</w:t>
      </w:r>
      <w:r>
        <w:t xml:space="preserve"> </w:t>
      </w:r>
      <w:r>
        <w:rPr>
          <w:spacing w:val="-1"/>
        </w:rPr>
        <w:t>Goods</w:t>
      </w:r>
      <w:r>
        <w:rPr>
          <w:spacing w:val="-2"/>
        </w:rPr>
        <w:t xml:space="preserve"> </w:t>
      </w:r>
      <w:r>
        <w:rPr>
          <w:spacing w:val="-1"/>
        </w:rPr>
        <w:t>and/or</w:t>
      </w:r>
      <w:r>
        <w:t xml:space="preserve"> </w:t>
      </w:r>
      <w:r>
        <w:rPr>
          <w:spacing w:val="-2"/>
        </w:rPr>
        <w:t>Services;</w:t>
      </w:r>
    </w:p>
    <w:p w:rsidR="008918FA" w:rsidRDefault="008918FA" w:rsidP="008918FA">
      <w:pPr>
        <w:pStyle w:val="BodyText"/>
        <w:numPr>
          <w:ilvl w:val="0"/>
          <w:numId w:val="68"/>
        </w:numPr>
        <w:tabs>
          <w:tab w:val="left" w:pos="2935"/>
        </w:tabs>
        <w:spacing w:before="121"/>
        <w:ind w:right="113"/>
        <w:jc w:val="both"/>
      </w:pPr>
      <w:r>
        <w:rPr>
          <w:spacing w:val="-1"/>
        </w:rPr>
        <w:t>deliver</w:t>
      </w:r>
      <w:r>
        <w:rPr>
          <w:spacing w:val="27"/>
        </w:rPr>
        <w:t xml:space="preserve"> </w:t>
      </w:r>
      <w:r>
        <w:t>the</w:t>
      </w:r>
      <w:r>
        <w:rPr>
          <w:spacing w:val="26"/>
        </w:rPr>
        <w:t xml:space="preserve"> </w:t>
      </w:r>
      <w:r>
        <w:rPr>
          <w:spacing w:val="-1"/>
        </w:rPr>
        <w:t>Goods</w:t>
      </w:r>
      <w:r>
        <w:rPr>
          <w:spacing w:val="26"/>
        </w:rPr>
        <w:t xml:space="preserve"> </w:t>
      </w:r>
      <w:r>
        <w:rPr>
          <w:spacing w:val="-1"/>
        </w:rPr>
        <w:t>and/or</w:t>
      </w:r>
      <w:r>
        <w:rPr>
          <w:spacing w:val="27"/>
        </w:rPr>
        <w:t xml:space="preserve"> </w:t>
      </w:r>
      <w:r>
        <w:rPr>
          <w:spacing w:val="-1"/>
        </w:rPr>
        <w:t>Services</w:t>
      </w:r>
      <w:r>
        <w:rPr>
          <w:spacing w:val="26"/>
        </w:rPr>
        <w:t xml:space="preserve"> </w:t>
      </w:r>
      <w:r>
        <w:rPr>
          <w:spacing w:val="-1"/>
        </w:rPr>
        <w:t>in</w:t>
      </w:r>
      <w:r>
        <w:rPr>
          <w:spacing w:val="26"/>
        </w:rPr>
        <w:t xml:space="preserve"> </w:t>
      </w:r>
      <w:r>
        <w:t>a</w:t>
      </w:r>
      <w:r>
        <w:rPr>
          <w:spacing w:val="26"/>
        </w:rPr>
        <w:t xml:space="preserve"> </w:t>
      </w:r>
      <w:r>
        <w:rPr>
          <w:spacing w:val="-1"/>
        </w:rPr>
        <w:t>proportionate</w:t>
      </w:r>
      <w:r>
        <w:rPr>
          <w:spacing w:val="26"/>
        </w:rPr>
        <w:t xml:space="preserve"> </w:t>
      </w:r>
      <w:r>
        <w:rPr>
          <w:spacing w:val="-1"/>
        </w:rPr>
        <w:t>and</w:t>
      </w:r>
      <w:r>
        <w:rPr>
          <w:spacing w:val="26"/>
        </w:rPr>
        <w:t xml:space="preserve"> </w:t>
      </w:r>
      <w:r>
        <w:rPr>
          <w:spacing w:val="-1"/>
        </w:rPr>
        <w:t>efficient</w:t>
      </w:r>
      <w:r>
        <w:t xml:space="preserve"> </w:t>
      </w:r>
      <w:r>
        <w:rPr>
          <w:spacing w:val="-1"/>
        </w:rPr>
        <w:t>manner;</w:t>
      </w:r>
    </w:p>
    <w:p w:rsidR="008918FA" w:rsidRDefault="008918FA" w:rsidP="008918FA">
      <w:pPr>
        <w:pStyle w:val="BodyText"/>
        <w:numPr>
          <w:ilvl w:val="0"/>
          <w:numId w:val="68"/>
        </w:numPr>
        <w:tabs>
          <w:tab w:val="left" w:pos="2934"/>
        </w:tabs>
        <w:ind w:left="2933" w:right="115" w:hanging="707"/>
        <w:jc w:val="both"/>
      </w:pPr>
      <w:bookmarkStart w:id="72" w:name="_bookmark69"/>
      <w:bookmarkEnd w:id="72"/>
      <w:r>
        <w:rPr>
          <w:spacing w:val="-1"/>
        </w:rPr>
        <w:t>ensure</w:t>
      </w:r>
      <w:r>
        <w:rPr>
          <w:spacing w:val="58"/>
        </w:rPr>
        <w:t xml:space="preserve"> </w:t>
      </w:r>
      <w:r>
        <w:rPr>
          <w:spacing w:val="-1"/>
        </w:rPr>
        <w:t>that</w:t>
      </w:r>
      <w:r>
        <w:rPr>
          <w:spacing w:val="59"/>
        </w:rPr>
        <w:t xml:space="preserve"> </w:t>
      </w:r>
      <w:r>
        <w:rPr>
          <w:spacing w:val="-1"/>
        </w:rPr>
        <w:t>neither</w:t>
      </w:r>
      <w:r>
        <w:rPr>
          <w:spacing w:val="59"/>
        </w:rPr>
        <w:t xml:space="preserve"> </w:t>
      </w:r>
      <w:r>
        <w:rPr>
          <w:spacing w:val="-2"/>
        </w:rPr>
        <w:t>it,</w:t>
      </w:r>
      <w:r>
        <w:rPr>
          <w:spacing w:val="59"/>
        </w:rPr>
        <w:t xml:space="preserve"> </w:t>
      </w:r>
      <w:r>
        <w:rPr>
          <w:spacing w:val="-1"/>
        </w:rPr>
        <w:t>nor</w:t>
      </w:r>
      <w:r>
        <w:t xml:space="preserve">  </w:t>
      </w:r>
      <w:r>
        <w:rPr>
          <w:spacing w:val="-1"/>
        </w:rPr>
        <w:t>any</w:t>
      </w:r>
      <w:r>
        <w:rPr>
          <w:spacing w:val="58"/>
        </w:rPr>
        <w:t xml:space="preserve"> </w:t>
      </w:r>
      <w:r>
        <w:rPr>
          <w:spacing w:val="-2"/>
        </w:rPr>
        <w:t>of</w:t>
      </w:r>
      <w:r>
        <w:rPr>
          <w:spacing w:val="1"/>
        </w:rPr>
        <w:t xml:space="preserve"> </w:t>
      </w:r>
      <w:r>
        <w:rPr>
          <w:spacing w:val="-1"/>
        </w:rPr>
        <w:t>its</w:t>
      </w:r>
      <w:r>
        <w:t xml:space="preserve">  </w:t>
      </w:r>
      <w:r>
        <w:rPr>
          <w:spacing w:val="-2"/>
        </w:rPr>
        <w:t>Affiliates,</w:t>
      </w:r>
      <w:r>
        <w:rPr>
          <w:spacing w:val="59"/>
        </w:rPr>
        <w:t xml:space="preserve"> </w:t>
      </w:r>
      <w:r>
        <w:rPr>
          <w:spacing w:val="-1"/>
        </w:rPr>
        <w:t>embarrasses</w:t>
      </w:r>
      <w:r>
        <w:rPr>
          <w:spacing w:val="53"/>
        </w:rPr>
        <w:t xml:space="preserve"> </w:t>
      </w:r>
      <w:r>
        <w:t xml:space="preserve">the </w:t>
      </w:r>
      <w:r>
        <w:rPr>
          <w:spacing w:val="-2"/>
        </w:rPr>
        <w:t>Customer</w:t>
      </w:r>
      <w:r>
        <w:rPr>
          <w:spacing w:val="30"/>
        </w:rPr>
        <w:t xml:space="preserve"> </w:t>
      </w:r>
      <w:r>
        <w:rPr>
          <w:spacing w:val="-1"/>
        </w:rPr>
        <w:t>or</w:t>
      </w:r>
      <w:r>
        <w:rPr>
          <w:spacing w:val="30"/>
        </w:rPr>
        <w:t xml:space="preserve"> </w:t>
      </w:r>
      <w:r>
        <w:rPr>
          <w:spacing w:val="-2"/>
        </w:rPr>
        <w:t>otherwise</w:t>
      </w:r>
      <w:r>
        <w:rPr>
          <w:spacing w:val="30"/>
        </w:rPr>
        <w:t xml:space="preserve"> </w:t>
      </w:r>
      <w:r>
        <w:rPr>
          <w:spacing w:val="-1"/>
        </w:rPr>
        <w:t>brings</w:t>
      </w:r>
      <w:r>
        <w:rPr>
          <w:spacing w:val="27"/>
        </w:rPr>
        <w:t xml:space="preserve"> </w:t>
      </w:r>
      <w:r>
        <w:t>the</w:t>
      </w:r>
      <w:r>
        <w:rPr>
          <w:spacing w:val="29"/>
        </w:rPr>
        <w:t xml:space="preserve"> </w:t>
      </w:r>
      <w:r>
        <w:rPr>
          <w:spacing w:val="-2"/>
        </w:rPr>
        <w:t>Customer</w:t>
      </w:r>
      <w:r>
        <w:rPr>
          <w:spacing w:val="28"/>
        </w:rPr>
        <w:t xml:space="preserve"> </w:t>
      </w:r>
      <w:r>
        <w:rPr>
          <w:spacing w:val="-1"/>
        </w:rPr>
        <w:t>into</w:t>
      </w:r>
      <w:r>
        <w:rPr>
          <w:spacing w:val="29"/>
        </w:rPr>
        <w:t xml:space="preserve"> </w:t>
      </w:r>
      <w:r>
        <w:rPr>
          <w:spacing w:val="-1"/>
        </w:rPr>
        <w:t>disrepute</w:t>
      </w:r>
      <w:r>
        <w:rPr>
          <w:spacing w:val="65"/>
        </w:rPr>
        <w:t xml:space="preserve"> </w:t>
      </w:r>
      <w:r>
        <w:rPr>
          <w:spacing w:val="-1"/>
        </w:rPr>
        <w:t>by</w:t>
      </w:r>
      <w:r>
        <w:rPr>
          <w:spacing w:val="1"/>
        </w:rPr>
        <w:t xml:space="preserve"> </w:t>
      </w:r>
      <w:r>
        <w:rPr>
          <w:spacing w:val="-1"/>
        </w:rPr>
        <w:t>engaging</w:t>
      </w:r>
      <w:r>
        <w:rPr>
          <w:spacing w:val="5"/>
        </w:rPr>
        <w:t xml:space="preserve"> </w:t>
      </w:r>
      <w:r>
        <w:rPr>
          <w:spacing w:val="-1"/>
        </w:rPr>
        <w:t>in</w:t>
      </w:r>
      <w:r>
        <w:rPr>
          <w:spacing w:val="3"/>
        </w:rPr>
        <w:t xml:space="preserve"> </w:t>
      </w:r>
      <w:r>
        <w:rPr>
          <w:spacing w:val="-1"/>
        </w:rPr>
        <w:t>any</w:t>
      </w:r>
      <w:r>
        <w:rPr>
          <w:spacing w:val="1"/>
        </w:rPr>
        <w:t xml:space="preserve"> </w:t>
      </w:r>
      <w:r>
        <w:rPr>
          <w:spacing w:val="-1"/>
        </w:rPr>
        <w:t>act</w:t>
      </w:r>
      <w:r>
        <w:rPr>
          <w:spacing w:val="5"/>
        </w:rPr>
        <w:t xml:space="preserve"> </w:t>
      </w:r>
      <w:r>
        <w:rPr>
          <w:spacing w:val="1"/>
        </w:rPr>
        <w:t>or</w:t>
      </w:r>
      <w:r>
        <w:rPr>
          <w:spacing w:val="4"/>
        </w:rPr>
        <w:t xml:space="preserve"> </w:t>
      </w:r>
      <w:r>
        <w:rPr>
          <w:spacing w:val="-1"/>
        </w:rPr>
        <w:t>omission</w:t>
      </w:r>
      <w:r>
        <w:rPr>
          <w:spacing w:val="3"/>
        </w:rPr>
        <w:t xml:space="preserve"> </w:t>
      </w:r>
      <w:r>
        <w:rPr>
          <w:spacing w:val="-1"/>
        </w:rPr>
        <w:t>which</w:t>
      </w:r>
      <w:r>
        <w:rPr>
          <w:spacing w:val="3"/>
        </w:rPr>
        <w:t xml:space="preserve"> </w:t>
      </w:r>
      <w:r>
        <w:rPr>
          <w:spacing w:val="-1"/>
        </w:rPr>
        <w:t>is</w:t>
      </w:r>
      <w:r>
        <w:rPr>
          <w:spacing w:val="5"/>
        </w:rPr>
        <w:t xml:space="preserve"> </w:t>
      </w:r>
      <w:r>
        <w:rPr>
          <w:spacing w:val="-1"/>
        </w:rPr>
        <w:t>reasonably</w:t>
      </w:r>
      <w:r>
        <w:rPr>
          <w:spacing w:val="3"/>
        </w:rPr>
        <w:t xml:space="preserve"> </w:t>
      </w:r>
      <w:r>
        <w:rPr>
          <w:spacing w:val="-1"/>
        </w:rPr>
        <w:t>likely</w:t>
      </w:r>
      <w:r>
        <w:rPr>
          <w:spacing w:val="3"/>
        </w:rPr>
        <w:t xml:space="preserve"> </w:t>
      </w:r>
      <w:r>
        <w:t>to</w:t>
      </w:r>
      <w:r>
        <w:rPr>
          <w:spacing w:val="29"/>
        </w:rPr>
        <w:t xml:space="preserve"> </w:t>
      </w:r>
      <w:r>
        <w:rPr>
          <w:spacing w:val="-2"/>
        </w:rPr>
        <w:t>diminish</w:t>
      </w:r>
      <w:r>
        <w:rPr>
          <w:spacing w:val="21"/>
        </w:rPr>
        <w:t xml:space="preserve"> </w:t>
      </w:r>
      <w:r>
        <w:t>the</w:t>
      </w:r>
      <w:r>
        <w:rPr>
          <w:spacing w:val="21"/>
        </w:rPr>
        <w:t xml:space="preserve"> </w:t>
      </w:r>
      <w:r>
        <w:rPr>
          <w:spacing w:val="-1"/>
        </w:rPr>
        <w:t>trust</w:t>
      </w:r>
      <w:r>
        <w:rPr>
          <w:spacing w:val="22"/>
        </w:rPr>
        <w:t xml:space="preserve"> </w:t>
      </w:r>
      <w:r>
        <w:rPr>
          <w:spacing w:val="-1"/>
        </w:rPr>
        <w:t>that</w:t>
      </w:r>
      <w:r>
        <w:rPr>
          <w:spacing w:val="20"/>
        </w:rPr>
        <w:t xml:space="preserve"> </w:t>
      </w:r>
      <w:r>
        <w:t>the</w:t>
      </w:r>
      <w:r>
        <w:rPr>
          <w:spacing w:val="21"/>
        </w:rPr>
        <w:t xml:space="preserve"> </w:t>
      </w:r>
      <w:r>
        <w:rPr>
          <w:spacing w:val="-2"/>
        </w:rPr>
        <w:t>public</w:t>
      </w:r>
      <w:r>
        <w:rPr>
          <w:spacing w:val="21"/>
        </w:rPr>
        <w:t xml:space="preserve"> </w:t>
      </w:r>
      <w:r>
        <w:rPr>
          <w:spacing w:val="-1"/>
        </w:rPr>
        <w:t>places</w:t>
      </w:r>
      <w:r>
        <w:rPr>
          <w:spacing w:val="21"/>
        </w:rPr>
        <w:t xml:space="preserve"> </w:t>
      </w:r>
      <w:r>
        <w:rPr>
          <w:spacing w:val="-1"/>
        </w:rPr>
        <w:t>in</w:t>
      </w:r>
      <w:r>
        <w:rPr>
          <w:spacing w:val="23"/>
        </w:rPr>
        <w:t xml:space="preserve"> </w:t>
      </w:r>
      <w:r>
        <w:t>the</w:t>
      </w:r>
      <w:r>
        <w:rPr>
          <w:spacing w:val="21"/>
        </w:rPr>
        <w:t xml:space="preserve"> </w:t>
      </w:r>
      <w:r>
        <w:rPr>
          <w:spacing w:val="-1"/>
        </w:rPr>
        <w:t>Customer,</w:t>
      </w:r>
      <w:r>
        <w:rPr>
          <w:spacing w:val="33"/>
        </w:rPr>
        <w:t xml:space="preserve"> </w:t>
      </w:r>
      <w:r>
        <w:rPr>
          <w:spacing w:val="-1"/>
        </w:rPr>
        <w:t>regardless</w:t>
      </w:r>
      <w:r>
        <w:rPr>
          <w:spacing w:val="18"/>
        </w:rPr>
        <w:t xml:space="preserve"> </w:t>
      </w:r>
      <w:r>
        <w:rPr>
          <w:spacing w:val="-2"/>
        </w:rPr>
        <w:t>of</w:t>
      </w:r>
      <w:r>
        <w:rPr>
          <w:spacing w:val="21"/>
        </w:rPr>
        <w:t xml:space="preserve"> </w:t>
      </w:r>
      <w:r>
        <w:rPr>
          <w:spacing w:val="-1"/>
        </w:rPr>
        <w:t>whether</w:t>
      </w:r>
      <w:r>
        <w:rPr>
          <w:spacing w:val="19"/>
        </w:rPr>
        <w:t xml:space="preserve"> </w:t>
      </w:r>
      <w:r>
        <w:rPr>
          <w:spacing w:val="-1"/>
        </w:rPr>
        <w:t>or</w:t>
      </w:r>
      <w:r>
        <w:rPr>
          <w:spacing w:val="19"/>
        </w:rPr>
        <w:t xml:space="preserve"> </w:t>
      </w:r>
      <w:r>
        <w:rPr>
          <w:spacing w:val="-1"/>
        </w:rPr>
        <w:t>not</w:t>
      </w:r>
      <w:r>
        <w:rPr>
          <w:spacing w:val="19"/>
        </w:rPr>
        <w:t xml:space="preserve"> </w:t>
      </w:r>
      <w:r>
        <w:rPr>
          <w:spacing w:val="-1"/>
        </w:rPr>
        <w:t>such</w:t>
      </w:r>
      <w:r>
        <w:rPr>
          <w:spacing w:val="18"/>
        </w:rPr>
        <w:t xml:space="preserve"> </w:t>
      </w:r>
      <w:r>
        <w:rPr>
          <w:spacing w:val="-1"/>
        </w:rPr>
        <w:t>act</w:t>
      </w:r>
      <w:r>
        <w:rPr>
          <w:spacing w:val="19"/>
        </w:rPr>
        <w:t xml:space="preserve"> </w:t>
      </w:r>
      <w:r>
        <w:rPr>
          <w:spacing w:val="-1"/>
        </w:rPr>
        <w:t>or</w:t>
      </w:r>
      <w:r>
        <w:rPr>
          <w:spacing w:val="19"/>
        </w:rPr>
        <w:t xml:space="preserve"> </w:t>
      </w:r>
      <w:r>
        <w:rPr>
          <w:spacing w:val="-1"/>
        </w:rPr>
        <w:t>omission</w:t>
      </w:r>
      <w:r>
        <w:rPr>
          <w:spacing w:val="17"/>
        </w:rPr>
        <w:t xml:space="preserve"> </w:t>
      </w:r>
      <w:r>
        <w:rPr>
          <w:spacing w:val="-1"/>
        </w:rPr>
        <w:t>is</w:t>
      </w:r>
      <w:r>
        <w:rPr>
          <w:spacing w:val="18"/>
        </w:rPr>
        <w:t xml:space="preserve"> </w:t>
      </w:r>
      <w:r>
        <w:rPr>
          <w:spacing w:val="-1"/>
        </w:rPr>
        <w:t>related</w:t>
      </w:r>
      <w:r>
        <w:rPr>
          <w:spacing w:val="17"/>
        </w:rPr>
        <w:t xml:space="preserve"> </w:t>
      </w:r>
      <w:r>
        <w:t>to</w:t>
      </w:r>
      <w:r>
        <w:rPr>
          <w:spacing w:val="31"/>
        </w:rPr>
        <w:t xml:space="preserve"> </w:t>
      </w:r>
      <w:r>
        <w:t xml:space="preserve">the </w:t>
      </w:r>
      <w:r>
        <w:rPr>
          <w:spacing w:val="-2"/>
        </w:rPr>
        <w:t>Supplier’s</w:t>
      </w:r>
      <w:r>
        <w:rPr>
          <w:spacing w:val="1"/>
        </w:rPr>
        <w:t xml:space="preserve"> </w:t>
      </w:r>
      <w:r>
        <w:rPr>
          <w:spacing w:val="-1"/>
        </w:rPr>
        <w:t>obligations</w:t>
      </w:r>
      <w:r>
        <w:rPr>
          <w:spacing w:val="-2"/>
        </w:rPr>
        <w:t xml:space="preserve"> </w:t>
      </w:r>
      <w:r>
        <w:rPr>
          <w:spacing w:val="-1"/>
        </w:rPr>
        <w:t>under this</w:t>
      </w:r>
      <w:r>
        <w:rPr>
          <w:spacing w:val="2"/>
        </w:rPr>
        <w:t xml:space="preserve"> </w:t>
      </w:r>
      <w:r>
        <w:rPr>
          <w:spacing w:val="-2"/>
        </w:rPr>
        <w:t>Call</w:t>
      </w:r>
      <w:r>
        <w:rPr>
          <w:spacing w:val="-3"/>
        </w:rPr>
        <w:t xml:space="preserve"> </w:t>
      </w:r>
      <w:r>
        <w:rPr>
          <w:spacing w:val="-1"/>
        </w:rPr>
        <w:t>Off</w:t>
      </w:r>
      <w:r>
        <w:rPr>
          <w:spacing w:val="2"/>
        </w:rPr>
        <w:t xml:space="preserve"> </w:t>
      </w:r>
      <w:r>
        <w:rPr>
          <w:spacing w:val="-1"/>
        </w:rPr>
        <w:t>Contract;</w:t>
      </w:r>
      <w:r>
        <w:t xml:space="preserve"> </w:t>
      </w:r>
      <w:r>
        <w:rPr>
          <w:spacing w:val="-1"/>
        </w:rPr>
        <w:t>and</w:t>
      </w:r>
    </w:p>
    <w:p w:rsidR="008918FA" w:rsidRDefault="008918FA" w:rsidP="008918FA">
      <w:pPr>
        <w:pStyle w:val="BodyText"/>
        <w:numPr>
          <w:ilvl w:val="0"/>
          <w:numId w:val="68"/>
        </w:numPr>
        <w:tabs>
          <w:tab w:val="left" w:pos="2935"/>
        </w:tabs>
        <w:spacing w:before="121"/>
        <w:ind w:right="114"/>
        <w:jc w:val="both"/>
      </w:pPr>
      <w:r>
        <w:rPr>
          <w:spacing w:val="-1"/>
        </w:rPr>
        <w:t>gather,</w:t>
      </w:r>
      <w:r>
        <w:rPr>
          <w:spacing w:val="33"/>
        </w:rPr>
        <w:t xml:space="preserve"> </w:t>
      </w:r>
      <w:r>
        <w:rPr>
          <w:spacing w:val="-1"/>
        </w:rPr>
        <w:t>collate</w:t>
      </w:r>
      <w:r>
        <w:rPr>
          <w:spacing w:val="31"/>
        </w:rPr>
        <w:t xml:space="preserve"> </w:t>
      </w:r>
      <w:r>
        <w:rPr>
          <w:spacing w:val="-1"/>
        </w:rPr>
        <w:t>and</w:t>
      </w:r>
      <w:r>
        <w:rPr>
          <w:spacing w:val="31"/>
        </w:rPr>
        <w:t xml:space="preserve"> </w:t>
      </w:r>
      <w:r>
        <w:rPr>
          <w:spacing w:val="-1"/>
        </w:rPr>
        <w:t>provide</w:t>
      </w:r>
      <w:r>
        <w:rPr>
          <w:spacing w:val="31"/>
        </w:rPr>
        <w:t xml:space="preserve"> </w:t>
      </w:r>
      <w:r>
        <w:rPr>
          <w:spacing w:val="-1"/>
        </w:rPr>
        <w:t>such</w:t>
      </w:r>
      <w:r>
        <w:rPr>
          <w:spacing w:val="32"/>
        </w:rPr>
        <w:t xml:space="preserve"> </w:t>
      </w:r>
      <w:r>
        <w:rPr>
          <w:spacing w:val="-1"/>
        </w:rPr>
        <w:t>information</w:t>
      </w:r>
      <w:r>
        <w:rPr>
          <w:spacing w:val="31"/>
        </w:rPr>
        <w:t xml:space="preserve"> </w:t>
      </w:r>
      <w:r>
        <w:rPr>
          <w:spacing w:val="-1"/>
        </w:rPr>
        <w:t>and</w:t>
      </w:r>
      <w:r>
        <w:rPr>
          <w:spacing w:val="29"/>
        </w:rPr>
        <w:t xml:space="preserve"> </w:t>
      </w:r>
      <w:r>
        <w:rPr>
          <w:spacing w:val="-1"/>
        </w:rPr>
        <w:t>co-operation</w:t>
      </w:r>
      <w:r>
        <w:rPr>
          <w:spacing w:val="42"/>
        </w:rPr>
        <w:t xml:space="preserve"> </w:t>
      </w:r>
      <w:r>
        <w:rPr>
          <w:spacing w:val="-1"/>
        </w:rPr>
        <w:t>as</w:t>
      </w:r>
      <w:r>
        <w:rPr>
          <w:spacing w:val="32"/>
        </w:rPr>
        <w:t xml:space="preserve"> </w:t>
      </w:r>
      <w:r>
        <w:t>the</w:t>
      </w:r>
      <w:r>
        <w:rPr>
          <w:spacing w:val="31"/>
        </w:rPr>
        <w:t xml:space="preserve"> </w:t>
      </w:r>
      <w:r>
        <w:rPr>
          <w:spacing w:val="-1"/>
        </w:rPr>
        <w:t>Customer</w:t>
      </w:r>
      <w:r>
        <w:rPr>
          <w:spacing w:val="33"/>
        </w:rPr>
        <w:t xml:space="preserve"> </w:t>
      </w:r>
      <w:r>
        <w:rPr>
          <w:spacing w:val="-1"/>
        </w:rPr>
        <w:t>may</w:t>
      </w:r>
      <w:r>
        <w:rPr>
          <w:spacing w:val="30"/>
        </w:rPr>
        <w:t xml:space="preserve"> </w:t>
      </w:r>
      <w:r>
        <w:rPr>
          <w:spacing w:val="-1"/>
        </w:rPr>
        <w:t>reasonably</w:t>
      </w:r>
      <w:r>
        <w:rPr>
          <w:spacing w:val="30"/>
        </w:rPr>
        <w:t xml:space="preserve"> </w:t>
      </w:r>
      <w:r>
        <w:rPr>
          <w:spacing w:val="-1"/>
        </w:rPr>
        <w:t>request</w:t>
      </w:r>
      <w:r>
        <w:rPr>
          <w:spacing w:val="31"/>
        </w:rPr>
        <w:t xml:space="preserve"> </w:t>
      </w:r>
      <w:r>
        <w:t>for</w:t>
      </w:r>
      <w:r>
        <w:rPr>
          <w:spacing w:val="33"/>
        </w:rPr>
        <w:t xml:space="preserve"> </w:t>
      </w:r>
      <w:r>
        <w:rPr>
          <w:spacing w:val="-1"/>
        </w:rPr>
        <w:t>the</w:t>
      </w:r>
      <w:r>
        <w:rPr>
          <w:spacing w:val="31"/>
        </w:rPr>
        <w:t xml:space="preserve"> </w:t>
      </w:r>
      <w:r>
        <w:rPr>
          <w:spacing w:val="-1"/>
        </w:rPr>
        <w:t>purposes</w:t>
      </w:r>
      <w:r>
        <w:rPr>
          <w:spacing w:val="33"/>
        </w:rPr>
        <w:t xml:space="preserve"> </w:t>
      </w:r>
      <w:r>
        <w:rPr>
          <w:spacing w:val="-2"/>
        </w:rPr>
        <w:t>of</w:t>
      </w:r>
      <w:r>
        <w:rPr>
          <w:spacing w:val="27"/>
        </w:rPr>
        <w:t xml:space="preserve"> </w:t>
      </w:r>
      <w:r>
        <w:rPr>
          <w:spacing w:val="-1"/>
        </w:rPr>
        <w:t>ascertaining</w:t>
      </w:r>
      <w:r>
        <w:rPr>
          <w:spacing w:val="42"/>
        </w:rPr>
        <w:t xml:space="preserve"> </w:t>
      </w:r>
      <w:r>
        <w:t>the</w:t>
      </w:r>
      <w:r>
        <w:rPr>
          <w:spacing w:val="40"/>
        </w:rPr>
        <w:t xml:space="preserve"> </w:t>
      </w:r>
      <w:r>
        <w:rPr>
          <w:spacing w:val="-2"/>
        </w:rPr>
        <w:t>Supplier’s</w:t>
      </w:r>
      <w:r>
        <w:rPr>
          <w:spacing w:val="40"/>
        </w:rPr>
        <w:t xml:space="preserve"> </w:t>
      </w:r>
      <w:r>
        <w:rPr>
          <w:spacing w:val="-1"/>
        </w:rPr>
        <w:t>compliance</w:t>
      </w:r>
      <w:r>
        <w:rPr>
          <w:spacing w:val="40"/>
        </w:rPr>
        <w:t xml:space="preserve"> </w:t>
      </w:r>
      <w:r>
        <w:rPr>
          <w:spacing w:val="-2"/>
        </w:rPr>
        <w:t>with</w:t>
      </w:r>
      <w:r>
        <w:rPr>
          <w:spacing w:val="40"/>
        </w:rPr>
        <w:t xml:space="preserve"> </w:t>
      </w:r>
      <w:r>
        <w:t>its</w:t>
      </w:r>
      <w:r>
        <w:rPr>
          <w:spacing w:val="40"/>
        </w:rPr>
        <w:t xml:space="preserve"> </w:t>
      </w:r>
      <w:r>
        <w:rPr>
          <w:spacing w:val="-1"/>
        </w:rPr>
        <w:t>obligations</w:t>
      </w:r>
      <w:r>
        <w:rPr>
          <w:spacing w:val="36"/>
        </w:rPr>
        <w:t xml:space="preserve"> </w:t>
      </w:r>
      <w:r>
        <w:rPr>
          <w:spacing w:val="-1"/>
        </w:rPr>
        <w:t>under this</w:t>
      </w:r>
      <w:r>
        <w:rPr>
          <w:spacing w:val="1"/>
        </w:rPr>
        <w:t xml:space="preserve"> </w:t>
      </w:r>
      <w:r>
        <w:rPr>
          <w:spacing w:val="-2"/>
        </w:rPr>
        <w:t>Call</w:t>
      </w:r>
      <w:r>
        <w:t xml:space="preserve"> </w:t>
      </w:r>
      <w:r>
        <w:rPr>
          <w:spacing w:val="-1"/>
        </w:rPr>
        <w:t>Off</w:t>
      </w:r>
      <w:r>
        <w:t xml:space="preserve"> </w:t>
      </w:r>
      <w:r>
        <w:rPr>
          <w:spacing w:val="-1"/>
        </w:rPr>
        <w:t>Contract.</w:t>
      </w:r>
    </w:p>
    <w:p w:rsidR="008918FA" w:rsidRDefault="008918FA" w:rsidP="008918FA">
      <w:pPr>
        <w:pStyle w:val="BodyText"/>
        <w:numPr>
          <w:ilvl w:val="3"/>
          <w:numId w:val="69"/>
        </w:numPr>
        <w:tabs>
          <w:tab w:val="left" w:pos="2227"/>
        </w:tabs>
        <w:ind w:right="116"/>
        <w:jc w:val="both"/>
      </w:pPr>
      <w:r>
        <w:rPr>
          <w:spacing w:val="-1"/>
        </w:rPr>
        <w:t>An</w:t>
      </w:r>
      <w:r>
        <w:rPr>
          <w:spacing w:val="7"/>
        </w:rPr>
        <w:t xml:space="preserve"> </w:t>
      </w:r>
      <w:r>
        <w:rPr>
          <w:spacing w:val="-1"/>
        </w:rPr>
        <w:t>obligation</w:t>
      </w:r>
      <w:r>
        <w:rPr>
          <w:spacing w:val="7"/>
        </w:rPr>
        <w:t xml:space="preserve"> </w:t>
      </w:r>
      <w:r>
        <w:rPr>
          <w:spacing w:val="-1"/>
        </w:rPr>
        <w:t>on</w:t>
      </w:r>
      <w:r>
        <w:rPr>
          <w:spacing w:val="7"/>
        </w:rPr>
        <w:t xml:space="preserve"> </w:t>
      </w:r>
      <w:r>
        <w:t>the</w:t>
      </w:r>
      <w:r>
        <w:rPr>
          <w:spacing w:val="7"/>
        </w:rPr>
        <w:t xml:space="preserve"> </w:t>
      </w:r>
      <w:r>
        <w:rPr>
          <w:spacing w:val="-2"/>
        </w:rPr>
        <w:t>Supplier</w:t>
      </w:r>
      <w:r>
        <w:rPr>
          <w:spacing w:val="9"/>
        </w:rPr>
        <w:t xml:space="preserve"> </w:t>
      </w:r>
      <w:r>
        <w:t>to</w:t>
      </w:r>
      <w:r>
        <w:rPr>
          <w:spacing w:val="7"/>
        </w:rPr>
        <w:t xml:space="preserve"> </w:t>
      </w:r>
      <w:r>
        <w:rPr>
          <w:spacing w:val="-1"/>
        </w:rPr>
        <w:t>do,</w:t>
      </w:r>
      <w:r>
        <w:rPr>
          <w:spacing w:val="9"/>
        </w:rPr>
        <w:t xml:space="preserve"> </w:t>
      </w:r>
      <w:r>
        <w:rPr>
          <w:spacing w:val="-1"/>
        </w:rPr>
        <w:t>or</w:t>
      </w:r>
      <w:r>
        <w:rPr>
          <w:spacing w:val="9"/>
        </w:rPr>
        <w:t xml:space="preserve"> </w:t>
      </w:r>
      <w:r>
        <w:t>to</w:t>
      </w:r>
      <w:r>
        <w:rPr>
          <w:spacing w:val="5"/>
        </w:rPr>
        <w:t xml:space="preserve"> </w:t>
      </w:r>
      <w:r>
        <w:rPr>
          <w:spacing w:val="-1"/>
        </w:rPr>
        <w:t>refrain</w:t>
      </w:r>
      <w:r>
        <w:rPr>
          <w:spacing w:val="5"/>
        </w:rPr>
        <w:t xml:space="preserve"> </w:t>
      </w:r>
      <w:r>
        <w:t>from</w:t>
      </w:r>
      <w:r>
        <w:rPr>
          <w:spacing w:val="9"/>
        </w:rPr>
        <w:t xml:space="preserve"> </w:t>
      </w:r>
      <w:r>
        <w:rPr>
          <w:spacing w:val="-1"/>
        </w:rPr>
        <w:t>doing,</w:t>
      </w:r>
      <w:r>
        <w:rPr>
          <w:spacing w:val="9"/>
        </w:rPr>
        <w:t xml:space="preserve"> </w:t>
      </w:r>
      <w:r>
        <w:rPr>
          <w:spacing w:val="-1"/>
        </w:rPr>
        <w:t>any</w:t>
      </w:r>
      <w:r>
        <w:rPr>
          <w:spacing w:val="5"/>
        </w:rPr>
        <w:t xml:space="preserve"> </w:t>
      </w:r>
      <w:r>
        <w:rPr>
          <w:spacing w:val="-1"/>
        </w:rPr>
        <w:t>act</w:t>
      </w:r>
      <w:r>
        <w:rPr>
          <w:spacing w:val="9"/>
        </w:rPr>
        <w:t xml:space="preserve"> </w:t>
      </w:r>
      <w:r>
        <w:rPr>
          <w:spacing w:val="-1"/>
        </w:rPr>
        <w:t>or</w:t>
      </w:r>
      <w:r>
        <w:rPr>
          <w:spacing w:val="42"/>
        </w:rPr>
        <w:t xml:space="preserve"> </w:t>
      </w:r>
      <w:r>
        <w:rPr>
          <w:spacing w:val="-1"/>
        </w:rPr>
        <w:t>thing</w:t>
      </w:r>
      <w:r>
        <w:rPr>
          <w:spacing w:val="29"/>
        </w:rPr>
        <w:t xml:space="preserve"> </w:t>
      </w:r>
      <w:r>
        <w:rPr>
          <w:spacing w:val="-1"/>
        </w:rPr>
        <w:t>shall</w:t>
      </w:r>
      <w:r>
        <w:rPr>
          <w:spacing w:val="28"/>
        </w:rPr>
        <w:t xml:space="preserve"> </w:t>
      </w:r>
      <w:r>
        <w:rPr>
          <w:spacing w:val="-1"/>
        </w:rPr>
        <w:t>include</w:t>
      </w:r>
      <w:r>
        <w:rPr>
          <w:spacing w:val="29"/>
        </w:rPr>
        <w:t xml:space="preserve"> </w:t>
      </w:r>
      <w:r>
        <w:rPr>
          <w:spacing w:val="-1"/>
        </w:rPr>
        <w:t>an</w:t>
      </w:r>
      <w:r>
        <w:rPr>
          <w:spacing w:val="29"/>
        </w:rPr>
        <w:t xml:space="preserve"> </w:t>
      </w:r>
      <w:r>
        <w:rPr>
          <w:spacing w:val="-1"/>
        </w:rPr>
        <w:t>obligation</w:t>
      </w:r>
      <w:r>
        <w:rPr>
          <w:spacing w:val="29"/>
        </w:rPr>
        <w:t xml:space="preserve"> </w:t>
      </w:r>
      <w:r>
        <w:rPr>
          <w:spacing w:val="-1"/>
        </w:rPr>
        <w:t>upon</w:t>
      </w:r>
      <w:r>
        <w:rPr>
          <w:spacing w:val="27"/>
        </w:rPr>
        <w:t xml:space="preserve"> </w:t>
      </w:r>
      <w:r>
        <w:t>the</w:t>
      </w:r>
      <w:r>
        <w:rPr>
          <w:spacing w:val="27"/>
        </w:rPr>
        <w:t xml:space="preserve"> </w:t>
      </w:r>
      <w:r>
        <w:rPr>
          <w:spacing w:val="-2"/>
        </w:rPr>
        <w:t>Supplier</w:t>
      </w:r>
      <w:r>
        <w:rPr>
          <w:spacing w:val="30"/>
        </w:rPr>
        <w:t xml:space="preserve"> </w:t>
      </w:r>
      <w:r>
        <w:t>to</w:t>
      </w:r>
      <w:r>
        <w:rPr>
          <w:spacing w:val="27"/>
        </w:rPr>
        <w:t xml:space="preserve"> </w:t>
      </w:r>
      <w:r>
        <w:rPr>
          <w:spacing w:val="-1"/>
        </w:rPr>
        <w:t>procure</w:t>
      </w:r>
      <w:r>
        <w:rPr>
          <w:spacing w:val="27"/>
        </w:rPr>
        <w:t xml:space="preserve"> </w:t>
      </w:r>
      <w:r>
        <w:rPr>
          <w:spacing w:val="-1"/>
        </w:rPr>
        <w:t>that</w:t>
      </w:r>
      <w:r>
        <w:rPr>
          <w:spacing w:val="28"/>
        </w:rPr>
        <w:t xml:space="preserve"> </w:t>
      </w:r>
      <w:r>
        <w:rPr>
          <w:spacing w:val="-1"/>
        </w:rPr>
        <w:t>all</w:t>
      </w:r>
      <w:r>
        <w:rPr>
          <w:spacing w:val="37"/>
        </w:rPr>
        <w:t xml:space="preserve"> </w:t>
      </w:r>
      <w:r>
        <w:rPr>
          <w:spacing w:val="-1"/>
        </w:rPr>
        <w:t>Sub-Contractors</w:t>
      </w:r>
      <w:r>
        <w:rPr>
          <w:spacing w:val="3"/>
        </w:rPr>
        <w:t xml:space="preserve"> </w:t>
      </w:r>
      <w:r>
        <w:rPr>
          <w:spacing w:val="-1"/>
        </w:rPr>
        <w:t>and</w:t>
      </w:r>
      <w:r>
        <w:rPr>
          <w:spacing w:val="3"/>
        </w:rPr>
        <w:t xml:space="preserve"> </w:t>
      </w:r>
      <w:r>
        <w:rPr>
          <w:spacing w:val="-2"/>
        </w:rPr>
        <w:t>Supplier</w:t>
      </w:r>
      <w:r>
        <w:rPr>
          <w:spacing w:val="4"/>
        </w:rPr>
        <w:t xml:space="preserve"> </w:t>
      </w:r>
      <w:r>
        <w:rPr>
          <w:spacing w:val="-1"/>
        </w:rPr>
        <w:t>Personnel</w:t>
      </w:r>
      <w:r>
        <w:rPr>
          <w:spacing w:val="3"/>
        </w:rPr>
        <w:t xml:space="preserve"> </w:t>
      </w:r>
      <w:r>
        <w:rPr>
          <w:spacing w:val="-1"/>
        </w:rPr>
        <w:t>also</w:t>
      </w:r>
      <w:r>
        <w:rPr>
          <w:spacing w:val="3"/>
        </w:rPr>
        <w:t xml:space="preserve"> </w:t>
      </w:r>
      <w:r>
        <w:rPr>
          <w:spacing w:val="-1"/>
        </w:rPr>
        <w:t>do,</w:t>
      </w:r>
      <w:r>
        <w:rPr>
          <w:spacing w:val="4"/>
        </w:rPr>
        <w:t xml:space="preserve"> </w:t>
      </w:r>
      <w:r>
        <w:rPr>
          <w:spacing w:val="-1"/>
        </w:rPr>
        <w:t>or</w:t>
      </w:r>
      <w:r>
        <w:rPr>
          <w:spacing w:val="4"/>
        </w:rPr>
        <w:t xml:space="preserve"> </w:t>
      </w:r>
      <w:r>
        <w:rPr>
          <w:spacing w:val="-1"/>
        </w:rPr>
        <w:t>refrain</w:t>
      </w:r>
      <w:r>
        <w:rPr>
          <w:spacing w:val="3"/>
        </w:rPr>
        <w:t xml:space="preserve"> </w:t>
      </w:r>
      <w:r>
        <w:rPr>
          <w:spacing w:val="-1"/>
        </w:rPr>
        <w:t>from</w:t>
      </w:r>
      <w:r>
        <w:rPr>
          <w:spacing w:val="4"/>
        </w:rPr>
        <w:t xml:space="preserve"> </w:t>
      </w:r>
      <w:r>
        <w:rPr>
          <w:spacing w:val="-2"/>
        </w:rPr>
        <w:t>doing,</w:t>
      </w:r>
      <w:r>
        <w:rPr>
          <w:spacing w:val="50"/>
        </w:rPr>
        <w:t xml:space="preserve"> </w:t>
      </w:r>
      <w:r>
        <w:rPr>
          <w:spacing w:val="-1"/>
        </w:rPr>
        <w:t>such</w:t>
      </w:r>
      <w:r>
        <w:rPr>
          <w:spacing w:val="1"/>
        </w:rPr>
        <w:t xml:space="preserve"> </w:t>
      </w:r>
      <w:r>
        <w:rPr>
          <w:spacing w:val="-2"/>
        </w:rPr>
        <w:t>act</w:t>
      </w:r>
      <w:r>
        <w:rPr>
          <w:spacing w:val="2"/>
        </w:rPr>
        <w:t xml:space="preserve"> </w:t>
      </w:r>
      <w:r>
        <w:rPr>
          <w:spacing w:val="-2"/>
        </w:rPr>
        <w:t>or</w:t>
      </w:r>
      <w:r>
        <w:rPr>
          <w:spacing w:val="-1"/>
        </w:rPr>
        <w:t xml:space="preserve"> thing.</w:t>
      </w:r>
    </w:p>
    <w:p w:rsidR="008918FA" w:rsidRDefault="008918FA" w:rsidP="008918FA">
      <w:pPr>
        <w:spacing w:before="7"/>
        <w:rPr>
          <w:rFonts w:ascii="Arial" w:eastAsia="Arial" w:hAnsi="Arial" w:cs="Arial"/>
          <w:sz w:val="10"/>
          <w:szCs w:val="10"/>
        </w:rPr>
      </w:pPr>
    </w:p>
    <w:p w:rsidR="008918FA" w:rsidRDefault="008918FA" w:rsidP="008918FA">
      <w:pPr>
        <w:spacing w:line="200" w:lineRule="atLeast"/>
        <w:ind w:left="100"/>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1F855B25" wp14:editId="5A066418">
                <wp:extent cx="1160145" cy="160020"/>
                <wp:effectExtent l="0" t="2540" r="1905" b="0"/>
                <wp:docPr id="6591" name="Text Box 6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566"/>
                              </w:tabs>
                              <w:spacing w:line="249" w:lineRule="exact"/>
                              <w:rPr>
                                <w:rFonts w:ascii="Times New Roman" w:eastAsia="Times New Roman" w:hAnsi="Times New Roman" w:cs="Times New Roman"/>
                              </w:rPr>
                            </w:pPr>
                            <w:bookmarkStart w:id="73" w:name="_bookmark70"/>
                            <w:bookmarkEnd w:id="73"/>
                            <w:r>
                              <w:rPr>
                                <w:rFonts w:ascii="Times New Roman"/>
                                <w:spacing w:val="5"/>
                              </w:rPr>
                              <w:t>8.</w:t>
                            </w:r>
                            <w:r>
                              <w:rPr>
                                <w:rFonts w:ascii="Times New Roman"/>
                                <w:spacing w:val="5"/>
                              </w:rPr>
                              <w:tab/>
                            </w:r>
                            <w:r>
                              <w:rPr>
                                <w:rFonts w:ascii="Times New Roman"/>
                                <w:spacing w:val="4"/>
                              </w:rPr>
                              <w:t>[SERVICES</w:t>
                            </w:r>
                            <w:r>
                              <w:rPr>
                                <w:rFonts w:ascii="Times New Roman"/>
                              </w:rPr>
                              <w:t>]</w:t>
                            </w:r>
                          </w:p>
                        </w:txbxContent>
                      </wps:txbx>
                      <wps:bodyPr rot="0" vert="horz" wrap="square" lIns="0" tIns="0" rIns="0" bIns="0" anchor="t" anchorCtr="0" upright="1">
                        <a:noAutofit/>
                      </wps:bodyPr>
                    </wps:wsp>
                  </a:graphicData>
                </a:graphic>
              </wp:inline>
            </w:drawing>
          </mc:Choice>
          <mc:Fallback>
            <w:pict>
              <v:shape w14:anchorId="1F855B25" id="Text Box 6583" o:spid="_x0000_s1167" type="#_x0000_t202" style="width:91.3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" fillcolor="yellow" stroked="f">
                <v:textbox inset="0,0,0,0">
                  <w:txbxContent>
                    <w:p w:rsidR="005D2B81" w:rsidRDefault="005D2B81" w:rsidP="008918FA">
                      <w:pPr>
                        <w:tabs>
                          <w:tab w:val="left" w:pos="566"/>
                        </w:tabs>
                        <w:spacing w:line="249" w:lineRule="exact"/>
                        <w:rPr>
                          <w:rFonts w:ascii="Times New Roman" w:eastAsia="Times New Roman" w:hAnsi="Times New Roman" w:cs="Times New Roman"/>
                        </w:rPr>
                      </w:pPr>
                      <w:bookmarkStart w:id="83" w:name="_bookmark70"/>
                      <w:bookmarkEnd w:id="83"/>
                      <w:r>
                        <w:rPr>
                          <w:rFonts w:ascii="Times New Roman"/>
                          <w:spacing w:val="5"/>
                        </w:rPr>
                        <w:t>8.</w:t>
                      </w:r>
                      <w:r>
                        <w:rPr>
                          <w:rFonts w:ascii="Times New Roman"/>
                          <w:spacing w:val="5"/>
                        </w:rPr>
                        <w:tab/>
                      </w:r>
                      <w:r>
                        <w:rPr>
                          <w:rFonts w:ascii="Times New Roman"/>
                          <w:spacing w:val="4"/>
                        </w:rPr>
                        <w:t>[SERVICES</w:t>
                      </w:r>
                      <w:r>
                        <w:rPr>
                          <w:rFonts w:ascii="Times New Roman"/>
                        </w:rPr>
                        <w:t>]</w:t>
                      </w:r>
                    </w:p>
                  </w:txbxContent>
                </v:textbox>
                <w10:anchorlock/>
              </v:shape>
            </w:pict>
          </mc:Fallback>
        </mc:AlternateContent>
      </w:r>
    </w:p>
    <w:p w:rsidR="008918FA" w:rsidRDefault="008918FA" w:rsidP="008918FA">
      <w:pPr>
        <w:spacing w:before="4"/>
        <w:rPr>
          <w:rFonts w:ascii="Arial" w:eastAsia="Arial" w:hAnsi="Arial" w:cs="Arial"/>
          <w:sz w:val="14"/>
          <w:szCs w:val="14"/>
        </w:rPr>
      </w:pPr>
    </w:p>
    <w:p w:rsidR="008918FA" w:rsidRDefault="008918FA" w:rsidP="008918FA">
      <w:pPr>
        <w:pStyle w:val="Heading2"/>
        <w:ind w:left="666" w:right="110"/>
        <w:jc w:val="both"/>
        <w:rPr>
          <w:b w:val="0"/>
          <w:bCs w:val="0"/>
          <w:i w:val="0"/>
        </w:rPr>
      </w:pPr>
      <w:r w:rsidRPr="00CE5AA1">
        <w:rPr>
          <w:spacing w:val="-1"/>
          <w:highlight w:val="green"/>
        </w:rPr>
        <w:t>[Guidance</w:t>
      </w:r>
      <w:r w:rsidRPr="00CE5AA1">
        <w:rPr>
          <w:spacing w:val="12"/>
          <w:highlight w:val="green"/>
        </w:rPr>
        <w:t xml:space="preserve"> </w:t>
      </w:r>
      <w:r w:rsidRPr="00CE5AA1">
        <w:rPr>
          <w:spacing w:val="-1"/>
          <w:highlight w:val="green"/>
        </w:rPr>
        <w:t>Note</w:t>
      </w:r>
      <w:r w:rsidRPr="00CE5AA1">
        <w:rPr>
          <w:spacing w:val="10"/>
          <w:highlight w:val="green"/>
        </w:rPr>
        <w:t xml:space="preserve"> </w:t>
      </w:r>
      <w:r w:rsidRPr="00CE5AA1">
        <w:rPr>
          <w:highlight w:val="green"/>
        </w:rPr>
        <w:t>to</w:t>
      </w:r>
      <w:r w:rsidRPr="00CE5AA1">
        <w:rPr>
          <w:spacing w:val="12"/>
          <w:highlight w:val="green"/>
        </w:rPr>
        <w:t xml:space="preserve"> </w:t>
      </w:r>
      <w:r w:rsidRPr="00CE5AA1">
        <w:rPr>
          <w:spacing w:val="-2"/>
          <w:highlight w:val="green"/>
        </w:rPr>
        <w:t>Customer:</w:t>
      </w:r>
      <w:r w:rsidRPr="00CE5AA1">
        <w:rPr>
          <w:spacing w:val="14"/>
          <w:highlight w:val="green"/>
        </w:rPr>
        <w:t xml:space="preserve"> </w:t>
      </w:r>
      <w:r w:rsidRPr="00CE5AA1">
        <w:rPr>
          <w:spacing w:val="-1"/>
          <w:highlight w:val="green"/>
        </w:rPr>
        <w:t>Switch</w:t>
      </w:r>
      <w:r w:rsidRPr="00CE5AA1">
        <w:rPr>
          <w:spacing w:val="10"/>
          <w:highlight w:val="green"/>
        </w:rPr>
        <w:t xml:space="preserve"> </w:t>
      </w:r>
      <w:r w:rsidRPr="00CE5AA1">
        <w:rPr>
          <w:spacing w:val="-1"/>
          <w:highlight w:val="green"/>
        </w:rPr>
        <w:t>the</w:t>
      </w:r>
      <w:r w:rsidRPr="00CE5AA1">
        <w:rPr>
          <w:spacing w:val="10"/>
          <w:highlight w:val="green"/>
        </w:rPr>
        <w:t xml:space="preserve"> </w:t>
      </w:r>
      <w:r w:rsidRPr="00CE5AA1">
        <w:rPr>
          <w:spacing w:val="-1"/>
          <w:highlight w:val="green"/>
        </w:rPr>
        <w:t>whole</w:t>
      </w:r>
      <w:r w:rsidRPr="00CE5AA1">
        <w:rPr>
          <w:spacing w:val="12"/>
          <w:highlight w:val="green"/>
        </w:rPr>
        <w:t xml:space="preserve"> </w:t>
      </w:r>
      <w:r w:rsidRPr="00CE5AA1">
        <w:rPr>
          <w:spacing w:val="-1"/>
          <w:highlight w:val="green"/>
        </w:rPr>
        <w:t>of</w:t>
      </w:r>
      <w:r w:rsidRPr="00CE5AA1">
        <w:rPr>
          <w:spacing w:val="14"/>
          <w:highlight w:val="green"/>
        </w:rPr>
        <w:t xml:space="preserve"> </w:t>
      </w:r>
      <w:r w:rsidRPr="00CE5AA1">
        <w:rPr>
          <w:spacing w:val="-1"/>
          <w:highlight w:val="green"/>
        </w:rPr>
        <w:t>this</w:t>
      </w:r>
      <w:r w:rsidRPr="00CE5AA1">
        <w:rPr>
          <w:spacing w:val="12"/>
          <w:highlight w:val="green"/>
        </w:rPr>
        <w:t xml:space="preserve"> </w:t>
      </w:r>
      <w:r w:rsidRPr="00CE5AA1">
        <w:rPr>
          <w:spacing w:val="-1"/>
          <w:highlight w:val="green"/>
        </w:rPr>
        <w:t>Clause</w:t>
      </w:r>
      <w:r w:rsidRPr="00CE5AA1">
        <w:rPr>
          <w:spacing w:val="12"/>
          <w:highlight w:val="green"/>
        </w:rPr>
        <w:t xml:space="preserve"> </w:t>
      </w:r>
      <w:hyperlink w:anchor="_bookmark70" w:history="1">
        <w:r w:rsidRPr="00CE5AA1">
          <w:rPr>
            <w:highlight w:val="green"/>
          </w:rPr>
          <w:t>8</w:t>
        </w:r>
      </w:hyperlink>
      <w:r w:rsidRPr="00CE5AA1">
        <w:rPr>
          <w:spacing w:val="10"/>
          <w:highlight w:val="green"/>
        </w:rPr>
        <w:t xml:space="preserve"> </w:t>
      </w:r>
      <w:r w:rsidRPr="00CE5AA1">
        <w:rPr>
          <w:highlight w:val="green"/>
        </w:rPr>
        <w:t>to</w:t>
      </w:r>
      <w:r w:rsidRPr="00CE5AA1">
        <w:rPr>
          <w:spacing w:val="12"/>
          <w:highlight w:val="green"/>
        </w:rPr>
        <w:t xml:space="preserve"> </w:t>
      </w:r>
      <w:r w:rsidRPr="00CE5AA1">
        <w:rPr>
          <w:spacing w:val="-2"/>
          <w:highlight w:val="green"/>
        </w:rPr>
        <w:t>“Not</w:t>
      </w:r>
      <w:r w:rsidRPr="00CE5AA1">
        <w:rPr>
          <w:spacing w:val="14"/>
          <w:highlight w:val="green"/>
        </w:rPr>
        <w:t xml:space="preserve"> </w:t>
      </w:r>
      <w:r w:rsidRPr="00CE5AA1">
        <w:rPr>
          <w:spacing w:val="-1"/>
          <w:highlight w:val="green"/>
        </w:rPr>
        <w:t>Used”</w:t>
      </w:r>
      <w:r w:rsidRPr="00CE5AA1">
        <w:rPr>
          <w:spacing w:val="13"/>
          <w:highlight w:val="green"/>
        </w:rPr>
        <w:t xml:space="preserve"> </w:t>
      </w:r>
      <w:r w:rsidRPr="00CE5AA1">
        <w:rPr>
          <w:highlight w:val="green"/>
        </w:rPr>
        <w:t>if</w:t>
      </w:r>
      <w:r w:rsidRPr="00CE5AA1">
        <w:rPr>
          <w:spacing w:val="57"/>
          <w:highlight w:val="green"/>
        </w:rPr>
        <w:t xml:space="preserve"> </w:t>
      </w:r>
      <w:r w:rsidRPr="00CE5AA1">
        <w:rPr>
          <w:spacing w:val="-1"/>
          <w:highlight w:val="green"/>
        </w:rPr>
        <w:t>no</w:t>
      </w:r>
      <w:r w:rsidRPr="00CE5AA1">
        <w:rPr>
          <w:spacing w:val="15"/>
          <w:highlight w:val="green"/>
        </w:rPr>
        <w:t xml:space="preserve"> </w:t>
      </w:r>
      <w:r w:rsidRPr="00CE5AA1">
        <w:rPr>
          <w:spacing w:val="-1"/>
          <w:highlight w:val="green"/>
        </w:rPr>
        <w:t>services</w:t>
      </w:r>
      <w:r w:rsidRPr="00CE5AA1">
        <w:rPr>
          <w:spacing w:val="15"/>
          <w:highlight w:val="green"/>
        </w:rPr>
        <w:t xml:space="preserve"> </w:t>
      </w:r>
      <w:r w:rsidRPr="00CE5AA1">
        <w:rPr>
          <w:spacing w:val="-1"/>
          <w:highlight w:val="green"/>
        </w:rPr>
        <w:t>are</w:t>
      </w:r>
      <w:r w:rsidRPr="00CE5AA1">
        <w:rPr>
          <w:spacing w:val="15"/>
          <w:highlight w:val="green"/>
        </w:rPr>
        <w:t xml:space="preserve"> </w:t>
      </w:r>
      <w:r w:rsidRPr="00CE5AA1">
        <w:rPr>
          <w:spacing w:val="-1"/>
          <w:highlight w:val="green"/>
        </w:rPr>
        <w:t>being</w:t>
      </w:r>
      <w:r w:rsidRPr="00CE5AA1">
        <w:rPr>
          <w:spacing w:val="12"/>
          <w:highlight w:val="green"/>
        </w:rPr>
        <w:t xml:space="preserve"> </w:t>
      </w:r>
      <w:r w:rsidRPr="00CE5AA1">
        <w:rPr>
          <w:spacing w:val="-1"/>
          <w:highlight w:val="green"/>
        </w:rPr>
        <w:t>procured.</w:t>
      </w:r>
      <w:r w:rsidRPr="00CE5AA1">
        <w:rPr>
          <w:spacing w:val="16"/>
          <w:highlight w:val="green"/>
        </w:rPr>
        <w:t xml:space="preserve"> </w:t>
      </w:r>
      <w:r w:rsidRPr="00CE5AA1">
        <w:rPr>
          <w:spacing w:val="-1"/>
          <w:highlight w:val="green"/>
        </w:rPr>
        <w:t>Additionally,</w:t>
      </w:r>
      <w:r w:rsidRPr="00CE5AA1">
        <w:rPr>
          <w:spacing w:val="14"/>
          <w:highlight w:val="green"/>
        </w:rPr>
        <w:t xml:space="preserve"> </w:t>
      </w:r>
      <w:r w:rsidRPr="00CE5AA1">
        <w:rPr>
          <w:highlight w:val="green"/>
        </w:rPr>
        <w:t>if</w:t>
      </w:r>
      <w:r w:rsidRPr="00CE5AA1">
        <w:rPr>
          <w:spacing w:val="16"/>
          <w:highlight w:val="green"/>
        </w:rPr>
        <w:t xml:space="preserve"> </w:t>
      </w:r>
      <w:r w:rsidRPr="00CE5AA1">
        <w:rPr>
          <w:spacing w:val="-1"/>
          <w:highlight w:val="green"/>
        </w:rPr>
        <w:t>no</w:t>
      </w:r>
      <w:r w:rsidRPr="00CE5AA1">
        <w:rPr>
          <w:spacing w:val="15"/>
          <w:highlight w:val="green"/>
        </w:rPr>
        <w:t xml:space="preserve"> </w:t>
      </w:r>
      <w:r w:rsidRPr="00CE5AA1">
        <w:rPr>
          <w:spacing w:val="-1"/>
          <w:highlight w:val="green"/>
        </w:rPr>
        <w:t>Services</w:t>
      </w:r>
      <w:r w:rsidRPr="00CE5AA1">
        <w:rPr>
          <w:spacing w:val="15"/>
          <w:highlight w:val="green"/>
        </w:rPr>
        <w:t xml:space="preserve"> </w:t>
      </w:r>
      <w:r w:rsidRPr="00CE5AA1">
        <w:rPr>
          <w:spacing w:val="-1"/>
          <w:highlight w:val="green"/>
        </w:rPr>
        <w:t>are</w:t>
      </w:r>
      <w:r w:rsidRPr="00CE5AA1">
        <w:rPr>
          <w:spacing w:val="15"/>
          <w:highlight w:val="green"/>
        </w:rPr>
        <w:t xml:space="preserve"> </w:t>
      </w:r>
      <w:r w:rsidRPr="00CE5AA1">
        <w:rPr>
          <w:spacing w:val="-1"/>
          <w:highlight w:val="green"/>
        </w:rPr>
        <w:t>being</w:t>
      </w:r>
      <w:r w:rsidRPr="00CE5AA1">
        <w:rPr>
          <w:spacing w:val="15"/>
          <w:highlight w:val="green"/>
        </w:rPr>
        <w:t xml:space="preserve"> </w:t>
      </w:r>
      <w:r w:rsidRPr="00CE5AA1">
        <w:rPr>
          <w:spacing w:val="-2"/>
          <w:highlight w:val="green"/>
        </w:rPr>
        <w:t>procured,</w:t>
      </w:r>
      <w:r w:rsidRPr="00CE5AA1">
        <w:rPr>
          <w:spacing w:val="46"/>
          <w:highlight w:val="green"/>
        </w:rPr>
        <w:t xml:space="preserve"> </w:t>
      </w:r>
      <w:r w:rsidRPr="00CE5AA1">
        <w:rPr>
          <w:spacing w:val="-1"/>
          <w:highlight w:val="green"/>
        </w:rPr>
        <w:t>the</w:t>
      </w:r>
      <w:r w:rsidRPr="00CE5AA1">
        <w:rPr>
          <w:spacing w:val="10"/>
          <w:highlight w:val="green"/>
        </w:rPr>
        <w:t xml:space="preserve"> </w:t>
      </w:r>
      <w:r w:rsidRPr="00CE5AA1">
        <w:rPr>
          <w:spacing w:val="-1"/>
          <w:highlight w:val="green"/>
        </w:rPr>
        <w:t>definition</w:t>
      </w:r>
      <w:r w:rsidRPr="00CE5AA1">
        <w:rPr>
          <w:spacing w:val="10"/>
          <w:highlight w:val="green"/>
        </w:rPr>
        <w:t xml:space="preserve"> </w:t>
      </w:r>
      <w:r w:rsidRPr="00CE5AA1">
        <w:rPr>
          <w:spacing w:val="-1"/>
          <w:highlight w:val="green"/>
        </w:rPr>
        <w:t>of</w:t>
      </w:r>
      <w:r w:rsidRPr="00CE5AA1">
        <w:rPr>
          <w:spacing w:val="11"/>
          <w:highlight w:val="green"/>
        </w:rPr>
        <w:t xml:space="preserve"> </w:t>
      </w:r>
      <w:r w:rsidRPr="00CE5AA1">
        <w:rPr>
          <w:spacing w:val="-1"/>
          <w:highlight w:val="green"/>
        </w:rPr>
        <w:t>Services</w:t>
      </w:r>
      <w:r w:rsidRPr="00CE5AA1">
        <w:rPr>
          <w:spacing w:val="10"/>
          <w:highlight w:val="green"/>
        </w:rPr>
        <w:t xml:space="preserve"> </w:t>
      </w:r>
      <w:r w:rsidRPr="00CE5AA1">
        <w:rPr>
          <w:highlight w:val="green"/>
        </w:rPr>
        <w:t>in</w:t>
      </w:r>
      <w:r w:rsidRPr="00CE5AA1">
        <w:rPr>
          <w:spacing w:val="10"/>
          <w:highlight w:val="green"/>
        </w:rPr>
        <w:t xml:space="preserve"> </w:t>
      </w:r>
      <w:r w:rsidRPr="00CE5AA1">
        <w:rPr>
          <w:spacing w:val="-1"/>
          <w:highlight w:val="green"/>
        </w:rPr>
        <w:t>Call</w:t>
      </w:r>
      <w:r w:rsidRPr="00CE5AA1">
        <w:rPr>
          <w:spacing w:val="9"/>
          <w:highlight w:val="green"/>
        </w:rPr>
        <w:t xml:space="preserve"> </w:t>
      </w:r>
      <w:r w:rsidRPr="00CE5AA1">
        <w:rPr>
          <w:spacing w:val="-1"/>
          <w:highlight w:val="green"/>
        </w:rPr>
        <w:t>Off</w:t>
      </w:r>
      <w:r w:rsidRPr="00CE5AA1">
        <w:rPr>
          <w:spacing w:val="11"/>
          <w:highlight w:val="green"/>
        </w:rPr>
        <w:t xml:space="preserve"> </w:t>
      </w:r>
      <w:r w:rsidRPr="00CE5AA1">
        <w:rPr>
          <w:spacing w:val="-1"/>
          <w:highlight w:val="green"/>
        </w:rPr>
        <w:t>Schedule</w:t>
      </w:r>
      <w:r w:rsidRPr="00CE5AA1">
        <w:rPr>
          <w:spacing w:val="7"/>
          <w:highlight w:val="green"/>
        </w:rPr>
        <w:t xml:space="preserve"> </w:t>
      </w:r>
      <w:r w:rsidRPr="00CE5AA1">
        <w:rPr>
          <w:highlight w:val="green"/>
        </w:rPr>
        <w:t>1</w:t>
      </w:r>
      <w:r w:rsidRPr="00CE5AA1">
        <w:rPr>
          <w:spacing w:val="10"/>
          <w:highlight w:val="green"/>
        </w:rPr>
        <w:t xml:space="preserve"> </w:t>
      </w:r>
      <w:r w:rsidRPr="00CE5AA1">
        <w:rPr>
          <w:spacing w:val="-1"/>
          <w:highlight w:val="green"/>
        </w:rPr>
        <w:t>(Definitions)</w:t>
      </w:r>
      <w:r w:rsidRPr="00CE5AA1">
        <w:rPr>
          <w:spacing w:val="9"/>
          <w:highlight w:val="green"/>
        </w:rPr>
        <w:t xml:space="preserve"> </w:t>
      </w:r>
      <w:r w:rsidRPr="00CE5AA1">
        <w:rPr>
          <w:spacing w:val="-1"/>
          <w:highlight w:val="green"/>
        </w:rPr>
        <w:t>and</w:t>
      </w:r>
      <w:r w:rsidRPr="00CE5AA1">
        <w:rPr>
          <w:spacing w:val="10"/>
          <w:highlight w:val="green"/>
        </w:rPr>
        <w:t xml:space="preserve"> </w:t>
      </w:r>
      <w:r w:rsidRPr="00CE5AA1">
        <w:rPr>
          <w:spacing w:val="-1"/>
          <w:highlight w:val="green"/>
        </w:rPr>
        <w:t>any</w:t>
      </w:r>
      <w:r w:rsidRPr="00CE5AA1">
        <w:rPr>
          <w:spacing w:val="10"/>
          <w:highlight w:val="green"/>
        </w:rPr>
        <w:t xml:space="preserve"> </w:t>
      </w:r>
      <w:r w:rsidRPr="00CE5AA1">
        <w:rPr>
          <w:spacing w:val="-1"/>
          <w:highlight w:val="green"/>
        </w:rPr>
        <w:t>references</w:t>
      </w:r>
      <w:r w:rsidRPr="00CE5AA1">
        <w:rPr>
          <w:spacing w:val="52"/>
          <w:highlight w:val="green"/>
        </w:rPr>
        <w:t xml:space="preserve"> </w:t>
      </w:r>
      <w:r w:rsidRPr="00CE5AA1">
        <w:rPr>
          <w:highlight w:val="green"/>
        </w:rPr>
        <w:t>in</w:t>
      </w:r>
      <w:r w:rsidRPr="00CE5AA1">
        <w:rPr>
          <w:spacing w:val="36"/>
          <w:highlight w:val="green"/>
        </w:rPr>
        <w:t xml:space="preserve"> </w:t>
      </w:r>
      <w:r w:rsidRPr="00CE5AA1">
        <w:rPr>
          <w:spacing w:val="-1"/>
          <w:highlight w:val="green"/>
        </w:rPr>
        <w:t>the</w:t>
      </w:r>
      <w:r w:rsidRPr="00CE5AA1">
        <w:rPr>
          <w:spacing w:val="36"/>
          <w:highlight w:val="green"/>
        </w:rPr>
        <w:t xml:space="preserve"> </w:t>
      </w:r>
      <w:r w:rsidRPr="00CE5AA1">
        <w:rPr>
          <w:spacing w:val="-1"/>
          <w:highlight w:val="green"/>
        </w:rPr>
        <w:t>document</w:t>
      </w:r>
      <w:r w:rsidRPr="00CE5AA1">
        <w:rPr>
          <w:spacing w:val="38"/>
          <w:highlight w:val="green"/>
        </w:rPr>
        <w:t xml:space="preserve"> </w:t>
      </w:r>
      <w:r w:rsidRPr="00CE5AA1">
        <w:rPr>
          <w:highlight w:val="green"/>
        </w:rPr>
        <w:t>to</w:t>
      </w:r>
      <w:r w:rsidRPr="00CE5AA1">
        <w:rPr>
          <w:spacing w:val="36"/>
          <w:highlight w:val="green"/>
        </w:rPr>
        <w:t xml:space="preserve"> </w:t>
      </w:r>
      <w:r w:rsidRPr="00CE5AA1">
        <w:rPr>
          <w:spacing w:val="-1"/>
          <w:highlight w:val="green"/>
        </w:rPr>
        <w:t>“Services”</w:t>
      </w:r>
      <w:r w:rsidRPr="00CE5AA1">
        <w:rPr>
          <w:spacing w:val="34"/>
          <w:highlight w:val="green"/>
        </w:rPr>
        <w:t xml:space="preserve"> </w:t>
      </w:r>
      <w:r w:rsidRPr="00CE5AA1">
        <w:rPr>
          <w:highlight w:val="green"/>
        </w:rPr>
        <w:t>would</w:t>
      </w:r>
      <w:r w:rsidRPr="00CE5AA1">
        <w:rPr>
          <w:spacing w:val="36"/>
          <w:highlight w:val="green"/>
        </w:rPr>
        <w:t xml:space="preserve"> </w:t>
      </w:r>
      <w:r w:rsidRPr="00CE5AA1">
        <w:rPr>
          <w:spacing w:val="-1"/>
          <w:highlight w:val="green"/>
        </w:rPr>
        <w:t>have</w:t>
      </w:r>
      <w:r w:rsidRPr="00CE5AA1">
        <w:rPr>
          <w:spacing w:val="37"/>
          <w:highlight w:val="green"/>
        </w:rPr>
        <w:t xml:space="preserve"> </w:t>
      </w:r>
      <w:r w:rsidRPr="00CE5AA1">
        <w:rPr>
          <w:spacing w:val="-1"/>
          <w:highlight w:val="green"/>
        </w:rPr>
        <w:t>to</w:t>
      </w:r>
      <w:r w:rsidRPr="00CE5AA1">
        <w:rPr>
          <w:spacing w:val="36"/>
          <w:highlight w:val="green"/>
        </w:rPr>
        <w:t xml:space="preserve"> </w:t>
      </w:r>
      <w:r w:rsidRPr="00CE5AA1">
        <w:rPr>
          <w:spacing w:val="-1"/>
          <w:highlight w:val="green"/>
        </w:rPr>
        <w:t>be</w:t>
      </w:r>
      <w:r w:rsidRPr="00CE5AA1">
        <w:rPr>
          <w:spacing w:val="36"/>
          <w:highlight w:val="green"/>
        </w:rPr>
        <w:t xml:space="preserve"> </w:t>
      </w:r>
      <w:r w:rsidRPr="00CE5AA1">
        <w:rPr>
          <w:spacing w:val="-1"/>
          <w:highlight w:val="green"/>
        </w:rPr>
        <w:t>removed</w:t>
      </w:r>
      <w:r w:rsidRPr="00CE5AA1">
        <w:rPr>
          <w:spacing w:val="36"/>
          <w:highlight w:val="green"/>
        </w:rPr>
        <w:t xml:space="preserve"> </w:t>
      </w:r>
      <w:r w:rsidRPr="00CE5AA1">
        <w:rPr>
          <w:spacing w:val="-1"/>
          <w:highlight w:val="green"/>
        </w:rPr>
        <w:t>and</w:t>
      </w:r>
      <w:r w:rsidRPr="00CE5AA1">
        <w:rPr>
          <w:spacing w:val="36"/>
          <w:highlight w:val="green"/>
        </w:rPr>
        <w:t xml:space="preserve"> </w:t>
      </w:r>
      <w:r w:rsidRPr="00CE5AA1">
        <w:rPr>
          <w:spacing w:val="-1"/>
          <w:highlight w:val="green"/>
        </w:rPr>
        <w:t>“Goods</w:t>
      </w:r>
      <w:r w:rsidRPr="00CE5AA1">
        <w:rPr>
          <w:spacing w:val="36"/>
          <w:highlight w:val="green"/>
        </w:rPr>
        <w:t xml:space="preserve"> </w:t>
      </w:r>
      <w:r w:rsidRPr="00CE5AA1">
        <w:rPr>
          <w:spacing w:val="-1"/>
          <w:highlight w:val="green"/>
        </w:rPr>
        <w:t>and/or</w:t>
      </w:r>
      <w:r w:rsidRPr="00CE5AA1">
        <w:rPr>
          <w:spacing w:val="28"/>
          <w:highlight w:val="green"/>
        </w:rPr>
        <w:t xml:space="preserve"> </w:t>
      </w:r>
      <w:r w:rsidRPr="00CE5AA1">
        <w:rPr>
          <w:spacing w:val="-1"/>
          <w:highlight w:val="green"/>
        </w:rPr>
        <w:t>Services”</w:t>
      </w:r>
      <w:r w:rsidRPr="00CE5AA1">
        <w:rPr>
          <w:spacing w:val="10"/>
          <w:highlight w:val="green"/>
        </w:rPr>
        <w:t xml:space="preserve"> </w:t>
      </w:r>
      <w:r w:rsidRPr="00CE5AA1">
        <w:rPr>
          <w:spacing w:val="-1"/>
          <w:highlight w:val="green"/>
        </w:rPr>
        <w:t>replaced</w:t>
      </w:r>
      <w:r w:rsidRPr="00CE5AA1">
        <w:rPr>
          <w:spacing w:val="10"/>
          <w:highlight w:val="green"/>
        </w:rPr>
        <w:t xml:space="preserve"> </w:t>
      </w:r>
      <w:r w:rsidRPr="00CE5AA1">
        <w:rPr>
          <w:spacing w:val="-1"/>
          <w:highlight w:val="green"/>
        </w:rPr>
        <w:t>by</w:t>
      </w:r>
      <w:r w:rsidRPr="00CE5AA1">
        <w:rPr>
          <w:spacing w:val="10"/>
          <w:highlight w:val="green"/>
        </w:rPr>
        <w:t xml:space="preserve"> </w:t>
      </w:r>
      <w:r w:rsidRPr="00CE5AA1">
        <w:rPr>
          <w:spacing w:val="-1"/>
          <w:highlight w:val="green"/>
        </w:rPr>
        <w:t>“Services”</w:t>
      </w:r>
      <w:r w:rsidRPr="00CE5AA1">
        <w:rPr>
          <w:spacing w:val="10"/>
          <w:highlight w:val="green"/>
        </w:rPr>
        <w:t xml:space="preserve"> </w:t>
      </w:r>
      <w:r w:rsidRPr="00CE5AA1">
        <w:rPr>
          <w:spacing w:val="-1"/>
          <w:highlight w:val="green"/>
        </w:rPr>
        <w:t>and</w:t>
      </w:r>
      <w:r w:rsidRPr="00CE5AA1">
        <w:rPr>
          <w:spacing w:val="10"/>
          <w:highlight w:val="green"/>
        </w:rPr>
        <w:t xml:space="preserve"> </w:t>
      </w:r>
      <w:r w:rsidRPr="00CE5AA1">
        <w:rPr>
          <w:spacing w:val="-1"/>
          <w:highlight w:val="green"/>
        </w:rPr>
        <w:t>the</w:t>
      </w:r>
      <w:r w:rsidRPr="00CE5AA1">
        <w:rPr>
          <w:spacing w:val="10"/>
          <w:highlight w:val="green"/>
        </w:rPr>
        <w:t xml:space="preserve"> </w:t>
      </w:r>
      <w:r w:rsidRPr="00CE5AA1">
        <w:rPr>
          <w:spacing w:val="-1"/>
          <w:highlight w:val="green"/>
        </w:rPr>
        <w:t>text</w:t>
      </w:r>
      <w:r w:rsidRPr="00CE5AA1">
        <w:rPr>
          <w:spacing w:val="11"/>
          <w:highlight w:val="green"/>
        </w:rPr>
        <w:t xml:space="preserve"> </w:t>
      </w:r>
      <w:r w:rsidRPr="00CE5AA1">
        <w:rPr>
          <w:spacing w:val="-1"/>
          <w:highlight w:val="green"/>
        </w:rPr>
        <w:t>therein</w:t>
      </w:r>
      <w:r w:rsidRPr="00CE5AA1">
        <w:rPr>
          <w:spacing w:val="10"/>
          <w:highlight w:val="green"/>
        </w:rPr>
        <w:t xml:space="preserve"> </w:t>
      </w:r>
      <w:r w:rsidRPr="00CE5AA1">
        <w:rPr>
          <w:spacing w:val="-1"/>
          <w:highlight w:val="green"/>
        </w:rPr>
        <w:t>settled</w:t>
      </w:r>
      <w:r w:rsidRPr="00CE5AA1">
        <w:rPr>
          <w:spacing w:val="10"/>
          <w:highlight w:val="green"/>
        </w:rPr>
        <w:t xml:space="preserve"> </w:t>
      </w:r>
      <w:r w:rsidRPr="00CE5AA1">
        <w:rPr>
          <w:spacing w:val="-1"/>
          <w:highlight w:val="green"/>
        </w:rPr>
        <w:t>accordingly.</w:t>
      </w:r>
      <w:r w:rsidRPr="00CE5AA1">
        <w:rPr>
          <w:spacing w:val="11"/>
          <w:highlight w:val="green"/>
        </w:rPr>
        <w:t xml:space="preserve"> </w:t>
      </w:r>
      <w:r w:rsidRPr="00CE5AA1">
        <w:rPr>
          <w:highlight w:val="green"/>
        </w:rPr>
        <w:t>If</w:t>
      </w:r>
      <w:r w:rsidRPr="00CE5AA1">
        <w:rPr>
          <w:spacing w:val="11"/>
          <w:highlight w:val="green"/>
        </w:rPr>
        <w:t xml:space="preserve"> </w:t>
      </w:r>
      <w:r w:rsidRPr="00CE5AA1">
        <w:rPr>
          <w:spacing w:val="-1"/>
          <w:highlight w:val="green"/>
        </w:rPr>
        <w:t>you</w:t>
      </w:r>
      <w:r w:rsidRPr="00CE5AA1">
        <w:rPr>
          <w:spacing w:val="54"/>
          <w:highlight w:val="green"/>
        </w:rPr>
        <w:t xml:space="preserve"> </w:t>
      </w:r>
      <w:r w:rsidRPr="00CE5AA1">
        <w:rPr>
          <w:spacing w:val="-1"/>
          <w:highlight w:val="green"/>
        </w:rPr>
        <w:t>are</w:t>
      </w:r>
      <w:r w:rsidRPr="00CE5AA1">
        <w:rPr>
          <w:spacing w:val="15"/>
          <w:highlight w:val="green"/>
        </w:rPr>
        <w:t xml:space="preserve"> </w:t>
      </w:r>
      <w:r w:rsidRPr="00CE5AA1">
        <w:rPr>
          <w:spacing w:val="-1"/>
          <w:highlight w:val="green"/>
        </w:rPr>
        <w:t>uncertain</w:t>
      </w:r>
      <w:r w:rsidRPr="00CE5AA1">
        <w:rPr>
          <w:spacing w:val="15"/>
          <w:highlight w:val="green"/>
        </w:rPr>
        <w:t xml:space="preserve"> </w:t>
      </w:r>
      <w:r w:rsidRPr="00CE5AA1">
        <w:rPr>
          <w:spacing w:val="-1"/>
          <w:highlight w:val="green"/>
        </w:rPr>
        <w:t>about</w:t>
      </w:r>
      <w:r w:rsidRPr="00CE5AA1">
        <w:rPr>
          <w:spacing w:val="14"/>
          <w:highlight w:val="green"/>
        </w:rPr>
        <w:t xml:space="preserve"> </w:t>
      </w:r>
      <w:r w:rsidRPr="00CE5AA1">
        <w:rPr>
          <w:spacing w:val="-1"/>
          <w:highlight w:val="green"/>
        </w:rPr>
        <w:t>whether</w:t>
      </w:r>
      <w:r w:rsidRPr="00CE5AA1">
        <w:rPr>
          <w:spacing w:val="13"/>
          <w:highlight w:val="green"/>
        </w:rPr>
        <w:t xml:space="preserve"> </w:t>
      </w:r>
      <w:r w:rsidRPr="00CE5AA1">
        <w:rPr>
          <w:spacing w:val="-1"/>
          <w:highlight w:val="green"/>
        </w:rPr>
        <w:t>what</w:t>
      </w:r>
      <w:r w:rsidRPr="00CE5AA1">
        <w:rPr>
          <w:spacing w:val="14"/>
          <w:highlight w:val="green"/>
        </w:rPr>
        <w:t xml:space="preserve"> </w:t>
      </w:r>
      <w:r w:rsidRPr="00CE5AA1">
        <w:rPr>
          <w:highlight w:val="green"/>
        </w:rPr>
        <w:t>it</w:t>
      </w:r>
      <w:r w:rsidRPr="00CE5AA1">
        <w:rPr>
          <w:spacing w:val="16"/>
          <w:highlight w:val="green"/>
        </w:rPr>
        <w:t xml:space="preserve"> </w:t>
      </w:r>
      <w:r w:rsidRPr="00CE5AA1">
        <w:rPr>
          <w:spacing w:val="-1"/>
          <w:highlight w:val="green"/>
        </w:rPr>
        <w:t>being</w:t>
      </w:r>
      <w:r w:rsidRPr="00CE5AA1">
        <w:rPr>
          <w:spacing w:val="15"/>
          <w:highlight w:val="green"/>
        </w:rPr>
        <w:t xml:space="preserve"> </w:t>
      </w:r>
      <w:r w:rsidRPr="00CE5AA1">
        <w:rPr>
          <w:spacing w:val="-1"/>
          <w:highlight w:val="green"/>
        </w:rPr>
        <w:t>procured</w:t>
      </w:r>
      <w:r w:rsidRPr="00CE5AA1">
        <w:rPr>
          <w:spacing w:val="15"/>
          <w:highlight w:val="green"/>
        </w:rPr>
        <w:t xml:space="preserve"> </w:t>
      </w:r>
      <w:r w:rsidRPr="00CE5AA1">
        <w:rPr>
          <w:highlight w:val="green"/>
        </w:rPr>
        <w:t>is</w:t>
      </w:r>
      <w:r w:rsidRPr="00CE5AA1">
        <w:rPr>
          <w:spacing w:val="15"/>
          <w:highlight w:val="green"/>
        </w:rPr>
        <w:t xml:space="preserve"> </w:t>
      </w:r>
      <w:r w:rsidRPr="00CE5AA1">
        <w:rPr>
          <w:spacing w:val="-1"/>
          <w:highlight w:val="green"/>
        </w:rPr>
        <w:t>classified</w:t>
      </w:r>
      <w:r w:rsidRPr="00CE5AA1">
        <w:rPr>
          <w:spacing w:val="15"/>
          <w:highlight w:val="green"/>
        </w:rPr>
        <w:t xml:space="preserve"> </w:t>
      </w:r>
      <w:r w:rsidRPr="00CE5AA1">
        <w:rPr>
          <w:spacing w:val="-1"/>
          <w:highlight w:val="green"/>
        </w:rPr>
        <w:t>as</w:t>
      </w:r>
      <w:r w:rsidRPr="00CE5AA1">
        <w:rPr>
          <w:spacing w:val="12"/>
          <w:highlight w:val="green"/>
        </w:rPr>
        <w:t xml:space="preserve"> </w:t>
      </w:r>
      <w:r w:rsidRPr="00CE5AA1">
        <w:rPr>
          <w:highlight w:val="green"/>
        </w:rPr>
        <w:t>a</w:t>
      </w:r>
      <w:r w:rsidRPr="00CE5AA1">
        <w:rPr>
          <w:spacing w:val="15"/>
          <w:highlight w:val="green"/>
        </w:rPr>
        <w:t xml:space="preserve"> </w:t>
      </w:r>
      <w:r w:rsidRPr="00CE5AA1">
        <w:rPr>
          <w:spacing w:val="-1"/>
          <w:highlight w:val="green"/>
        </w:rPr>
        <w:t>Good</w:t>
      </w:r>
      <w:r w:rsidRPr="00CE5AA1">
        <w:rPr>
          <w:spacing w:val="15"/>
          <w:highlight w:val="green"/>
        </w:rPr>
        <w:t xml:space="preserve"> </w:t>
      </w:r>
      <w:r w:rsidRPr="00CE5AA1">
        <w:rPr>
          <w:spacing w:val="-1"/>
          <w:highlight w:val="green"/>
        </w:rPr>
        <w:t>or</w:t>
      </w:r>
      <w:r w:rsidRPr="00CE5AA1">
        <w:rPr>
          <w:spacing w:val="16"/>
          <w:highlight w:val="green"/>
        </w:rPr>
        <w:t xml:space="preserve"> </w:t>
      </w:r>
      <w:r w:rsidRPr="00CE5AA1">
        <w:rPr>
          <w:highlight w:val="green"/>
        </w:rPr>
        <w:t>a</w:t>
      </w:r>
      <w:r w:rsidRPr="00CE5AA1">
        <w:rPr>
          <w:spacing w:val="47"/>
          <w:highlight w:val="green"/>
        </w:rPr>
        <w:t xml:space="preserve"> </w:t>
      </w:r>
      <w:r w:rsidRPr="00CE5AA1">
        <w:rPr>
          <w:spacing w:val="-1"/>
          <w:highlight w:val="green"/>
        </w:rPr>
        <w:t>Service</w:t>
      </w:r>
      <w:r w:rsidRPr="00CE5AA1">
        <w:rPr>
          <w:highlight w:val="green"/>
        </w:rPr>
        <w:t xml:space="preserve"> </w:t>
      </w:r>
      <w:r w:rsidRPr="00CE5AA1">
        <w:rPr>
          <w:spacing w:val="-2"/>
          <w:highlight w:val="green"/>
        </w:rPr>
        <w:t>under</w:t>
      </w:r>
      <w:r w:rsidRPr="00CE5AA1">
        <w:rPr>
          <w:spacing w:val="-1"/>
          <w:highlight w:val="green"/>
        </w:rPr>
        <w:t xml:space="preserve"> the</w:t>
      </w:r>
      <w:r w:rsidRPr="00CE5AA1">
        <w:rPr>
          <w:highlight w:val="green"/>
        </w:rPr>
        <w:t xml:space="preserve"> </w:t>
      </w:r>
      <w:r w:rsidRPr="00CE5AA1">
        <w:rPr>
          <w:spacing w:val="-1"/>
          <w:highlight w:val="green"/>
        </w:rPr>
        <w:t>Regulations,</w:t>
      </w:r>
      <w:r w:rsidRPr="00CE5AA1">
        <w:rPr>
          <w:highlight w:val="green"/>
        </w:rPr>
        <w:t xml:space="preserve"> </w:t>
      </w:r>
      <w:r w:rsidRPr="00CE5AA1">
        <w:rPr>
          <w:spacing w:val="-1"/>
          <w:highlight w:val="green"/>
        </w:rPr>
        <w:t>please</w:t>
      </w:r>
      <w:r w:rsidRPr="00CE5AA1">
        <w:rPr>
          <w:spacing w:val="-2"/>
          <w:highlight w:val="green"/>
        </w:rPr>
        <w:t xml:space="preserve"> </w:t>
      </w:r>
      <w:r w:rsidRPr="00CE5AA1">
        <w:rPr>
          <w:spacing w:val="-1"/>
          <w:highlight w:val="green"/>
        </w:rPr>
        <w:t>ask</w:t>
      </w:r>
      <w:r w:rsidRPr="00CE5AA1">
        <w:rPr>
          <w:highlight w:val="green"/>
        </w:rPr>
        <w:t xml:space="preserve"> </w:t>
      </w:r>
      <w:r w:rsidR="00CE5AA1">
        <w:rPr>
          <w:spacing w:val="-1"/>
          <w:highlight w:val="green"/>
        </w:rPr>
        <w:t>Tsol]</w:t>
      </w:r>
    </w:p>
    <w:p w:rsidR="008918FA" w:rsidRDefault="008918FA" w:rsidP="008918FA">
      <w:pPr>
        <w:numPr>
          <w:ilvl w:val="1"/>
          <w:numId w:val="67"/>
        </w:numPr>
        <w:tabs>
          <w:tab w:val="left" w:pos="1029"/>
        </w:tabs>
        <w:spacing w:before="116"/>
        <w:jc w:val="both"/>
        <w:rPr>
          <w:rFonts w:ascii="Arial" w:eastAsia="Arial" w:hAnsi="Arial" w:cs="Arial"/>
        </w:rPr>
      </w:pPr>
      <w:bookmarkStart w:id="74" w:name="_bookmark71"/>
      <w:bookmarkEnd w:id="74"/>
      <w:r>
        <w:rPr>
          <w:rFonts w:ascii="Arial"/>
          <w:b/>
          <w:spacing w:val="-1"/>
        </w:rPr>
        <w:t>Time</w:t>
      </w:r>
      <w:r>
        <w:rPr>
          <w:rFonts w:ascii="Arial"/>
          <w:b/>
        </w:rPr>
        <w:t xml:space="preserve"> </w:t>
      </w:r>
      <w:r>
        <w:rPr>
          <w:rFonts w:ascii="Arial"/>
          <w:b/>
          <w:spacing w:val="-1"/>
        </w:rPr>
        <w:t>of Delivery</w:t>
      </w:r>
      <w:r>
        <w:rPr>
          <w:rFonts w:ascii="Arial"/>
          <w:b/>
          <w:spacing w:val="-4"/>
        </w:rPr>
        <w:t xml:space="preserve"> </w:t>
      </w:r>
      <w:r>
        <w:rPr>
          <w:rFonts w:ascii="Arial"/>
          <w:b/>
          <w:spacing w:val="-1"/>
        </w:rPr>
        <w:t>of</w:t>
      </w:r>
      <w:r>
        <w:rPr>
          <w:rFonts w:ascii="Arial"/>
          <w:b/>
          <w:spacing w:val="2"/>
        </w:rPr>
        <w:t xml:space="preserve"> </w:t>
      </w:r>
      <w:r>
        <w:rPr>
          <w:rFonts w:ascii="Arial"/>
          <w:b/>
          <w:spacing w:val="-1"/>
        </w:rPr>
        <w:t>the</w:t>
      </w:r>
      <w:r>
        <w:rPr>
          <w:rFonts w:ascii="Arial"/>
          <w:b/>
          <w:spacing w:val="-2"/>
        </w:rPr>
        <w:t xml:space="preserve"> </w:t>
      </w:r>
      <w:r>
        <w:rPr>
          <w:rFonts w:ascii="Arial"/>
          <w:b/>
          <w:spacing w:val="-1"/>
        </w:rPr>
        <w:t>Services</w:t>
      </w:r>
    </w:p>
    <w:p w:rsidR="008918FA" w:rsidRDefault="008918FA" w:rsidP="008918FA">
      <w:pPr>
        <w:pStyle w:val="BodyText"/>
        <w:spacing w:before="124"/>
        <w:ind w:left="2226" w:right="113" w:hanging="994"/>
        <w:jc w:val="both"/>
      </w:pPr>
      <w:r>
        <w:t>8.1.1</w:t>
      </w:r>
      <w:r>
        <w:rPr>
          <w:spacing w:val="11"/>
        </w:rPr>
        <w:t xml:space="preserve"> </w:t>
      </w:r>
      <w:r>
        <w:t>The</w:t>
      </w:r>
      <w:r>
        <w:rPr>
          <w:spacing w:val="15"/>
        </w:rPr>
        <w:t xml:space="preserve"> </w:t>
      </w:r>
      <w:r>
        <w:rPr>
          <w:spacing w:val="-2"/>
        </w:rPr>
        <w:t>Supplier</w:t>
      </w:r>
      <w:r>
        <w:rPr>
          <w:spacing w:val="14"/>
        </w:rPr>
        <w:t xml:space="preserve"> </w:t>
      </w:r>
      <w:r>
        <w:rPr>
          <w:spacing w:val="-1"/>
        </w:rPr>
        <w:t>shall</w:t>
      </w:r>
      <w:r>
        <w:rPr>
          <w:spacing w:val="14"/>
        </w:rPr>
        <w:t xml:space="preserve"> </w:t>
      </w:r>
      <w:r>
        <w:rPr>
          <w:spacing w:val="-2"/>
        </w:rPr>
        <w:t>provide</w:t>
      </w:r>
      <w:r>
        <w:rPr>
          <w:spacing w:val="15"/>
        </w:rPr>
        <w:t xml:space="preserve"> </w:t>
      </w:r>
      <w:r>
        <w:t>the</w:t>
      </w:r>
      <w:r>
        <w:rPr>
          <w:spacing w:val="12"/>
        </w:rPr>
        <w:t xml:space="preserve"> </w:t>
      </w:r>
      <w:r>
        <w:rPr>
          <w:spacing w:val="-1"/>
        </w:rPr>
        <w:t>Services</w:t>
      </w:r>
      <w:r>
        <w:rPr>
          <w:spacing w:val="15"/>
        </w:rPr>
        <w:t xml:space="preserve"> </w:t>
      </w:r>
      <w:r>
        <w:rPr>
          <w:spacing w:val="-1"/>
        </w:rPr>
        <w:t>on</w:t>
      </w:r>
      <w:r>
        <w:rPr>
          <w:spacing w:val="15"/>
        </w:rPr>
        <w:t xml:space="preserve"> </w:t>
      </w:r>
      <w:r>
        <w:t>the</w:t>
      </w:r>
      <w:r>
        <w:rPr>
          <w:spacing w:val="12"/>
        </w:rPr>
        <w:t xml:space="preserve"> </w:t>
      </w:r>
      <w:r>
        <w:rPr>
          <w:spacing w:val="-1"/>
        </w:rPr>
        <w:t>date(s)</w:t>
      </w:r>
      <w:r>
        <w:rPr>
          <w:spacing w:val="16"/>
        </w:rPr>
        <w:t xml:space="preserve"> </w:t>
      </w:r>
      <w:r>
        <w:rPr>
          <w:spacing w:val="-1"/>
        </w:rPr>
        <w:t>specified</w:t>
      </w:r>
      <w:r>
        <w:rPr>
          <w:spacing w:val="12"/>
        </w:rPr>
        <w:t xml:space="preserve"> </w:t>
      </w:r>
      <w:r>
        <w:rPr>
          <w:spacing w:val="-1"/>
        </w:rPr>
        <w:t>in</w:t>
      </w:r>
      <w:r>
        <w:rPr>
          <w:spacing w:val="15"/>
        </w:rPr>
        <w:t xml:space="preserve"> </w:t>
      </w:r>
      <w:r>
        <w:rPr>
          <w:spacing w:val="-1"/>
        </w:rPr>
        <w:t>the</w:t>
      </w:r>
      <w:r>
        <w:rPr>
          <w:spacing w:val="40"/>
        </w:rPr>
        <w:t xml:space="preserve"> </w:t>
      </w:r>
      <w:r>
        <w:rPr>
          <w:spacing w:val="-1"/>
        </w:rPr>
        <w:t>Order</w:t>
      </w:r>
      <w:r>
        <w:rPr>
          <w:spacing w:val="19"/>
        </w:rPr>
        <w:t xml:space="preserve"> </w:t>
      </w:r>
      <w:r>
        <w:rPr>
          <w:spacing w:val="-1"/>
        </w:rPr>
        <w:t>Form</w:t>
      </w:r>
      <w:r>
        <w:rPr>
          <w:spacing w:val="19"/>
        </w:rPr>
        <w:t xml:space="preserve"> </w:t>
      </w:r>
      <w:r>
        <w:rPr>
          <w:spacing w:val="-1"/>
        </w:rPr>
        <w:t>(or</w:t>
      </w:r>
      <w:r>
        <w:rPr>
          <w:spacing w:val="19"/>
        </w:rPr>
        <w:t xml:space="preserve"> </w:t>
      </w:r>
      <w:r>
        <w:rPr>
          <w:spacing w:val="-1"/>
        </w:rPr>
        <w:t>elsewhere</w:t>
      </w:r>
      <w:r>
        <w:rPr>
          <w:spacing w:val="17"/>
        </w:rPr>
        <w:t xml:space="preserve"> </w:t>
      </w:r>
      <w:r>
        <w:rPr>
          <w:spacing w:val="-1"/>
        </w:rPr>
        <w:t>in</w:t>
      </w:r>
      <w:r>
        <w:rPr>
          <w:spacing w:val="17"/>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21"/>
        </w:rPr>
        <w:t xml:space="preserve"> </w:t>
      </w:r>
      <w:r>
        <w:rPr>
          <w:spacing w:val="-1"/>
        </w:rPr>
        <w:t>Contract)</w:t>
      </w:r>
      <w:r>
        <w:rPr>
          <w:spacing w:val="19"/>
        </w:rPr>
        <w:t xml:space="preserve"> </w:t>
      </w:r>
      <w:r>
        <w:rPr>
          <w:spacing w:val="-1"/>
        </w:rPr>
        <w:t>and</w:t>
      </w:r>
      <w:r>
        <w:rPr>
          <w:spacing w:val="15"/>
        </w:rPr>
        <w:t xml:space="preserve"> </w:t>
      </w:r>
      <w:r>
        <w:t>the</w:t>
      </w:r>
      <w:r>
        <w:rPr>
          <w:spacing w:val="17"/>
        </w:rPr>
        <w:t xml:space="preserve"> </w:t>
      </w:r>
      <w:r>
        <w:rPr>
          <w:spacing w:val="-2"/>
        </w:rPr>
        <w:t>Milestone</w:t>
      </w:r>
      <w:r>
        <w:rPr>
          <w:spacing w:val="40"/>
        </w:rPr>
        <w:t xml:space="preserve"> </w:t>
      </w:r>
      <w:r>
        <w:rPr>
          <w:spacing w:val="-1"/>
        </w:rPr>
        <w:t>Dates</w:t>
      </w:r>
      <w:r>
        <w:rPr>
          <w:spacing w:val="26"/>
        </w:rPr>
        <w:t xml:space="preserve"> </w:t>
      </w:r>
      <w:r>
        <w:rPr>
          <w:spacing w:val="-2"/>
        </w:rPr>
        <w:t>(if</w:t>
      </w:r>
      <w:r>
        <w:rPr>
          <w:spacing w:val="27"/>
        </w:rPr>
        <w:t xml:space="preserve"> </w:t>
      </w:r>
      <w:r>
        <w:rPr>
          <w:spacing w:val="-1"/>
        </w:rPr>
        <w:t>any).</w:t>
      </w:r>
      <w:r>
        <w:rPr>
          <w:spacing w:val="27"/>
        </w:rPr>
        <w:t xml:space="preserve"> </w:t>
      </w:r>
      <w:r>
        <w:rPr>
          <w:spacing w:val="-1"/>
        </w:rPr>
        <w:t>Such</w:t>
      </w:r>
      <w:r>
        <w:rPr>
          <w:spacing w:val="24"/>
        </w:rPr>
        <w:t xml:space="preserve"> </w:t>
      </w:r>
      <w:r>
        <w:rPr>
          <w:spacing w:val="-2"/>
        </w:rPr>
        <w:t>provision</w:t>
      </w:r>
      <w:r>
        <w:rPr>
          <w:spacing w:val="26"/>
        </w:rPr>
        <w:t xml:space="preserve"> </w:t>
      </w:r>
      <w:r>
        <w:rPr>
          <w:spacing w:val="-1"/>
        </w:rPr>
        <w:t>shall</w:t>
      </w:r>
      <w:r>
        <w:rPr>
          <w:spacing w:val="25"/>
        </w:rPr>
        <w:t xml:space="preserve"> </w:t>
      </w:r>
      <w:r>
        <w:rPr>
          <w:spacing w:val="-1"/>
        </w:rPr>
        <w:t>include</w:t>
      </w:r>
      <w:r>
        <w:rPr>
          <w:spacing w:val="28"/>
        </w:rPr>
        <w:t xml:space="preserve"> </w:t>
      </w:r>
      <w:r>
        <w:rPr>
          <w:spacing w:val="-1"/>
        </w:rPr>
        <w:t>compliance</w:t>
      </w:r>
      <w:r>
        <w:rPr>
          <w:spacing w:val="26"/>
        </w:rPr>
        <w:t xml:space="preserve"> </w:t>
      </w:r>
      <w:r>
        <w:rPr>
          <w:spacing w:val="-2"/>
        </w:rPr>
        <w:t>with</w:t>
      </w:r>
      <w:r>
        <w:rPr>
          <w:spacing w:val="26"/>
        </w:rPr>
        <w:t xml:space="preserve"> </w:t>
      </w:r>
      <w:r>
        <w:rPr>
          <w:spacing w:val="-1"/>
        </w:rPr>
        <w:t>the</w:t>
      </w:r>
      <w:r>
        <w:rPr>
          <w:spacing w:val="44"/>
        </w:rPr>
        <w:t xml:space="preserve"> </w:t>
      </w:r>
      <w:r>
        <w:rPr>
          <w:spacing w:val="-1"/>
        </w:rPr>
        <w:t>obligation</w:t>
      </w:r>
      <w:r>
        <w:t xml:space="preserve"> </w:t>
      </w:r>
      <w:r>
        <w:rPr>
          <w:spacing w:val="-1"/>
        </w:rPr>
        <w:t>on</w:t>
      </w:r>
      <w:r>
        <w:rPr>
          <w:spacing w:val="-2"/>
        </w:rPr>
        <w:t xml:space="preserve"> </w:t>
      </w:r>
      <w:r>
        <w:t>the</w:t>
      </w:r>
      <w:r>
        <w:rPr>
          <w:spacing w:val="-2"/>
        </w:rPr>
        <w:t xml:space="preserve"> Supplier</w:t>
      </w:r>
      <w:r>
        <w:rPr>
          <w:spacing w:val="2"/>
        </w:rPr>
        <w:t xml:space="preserve"> </w:t>
      </w:r>
      <w:r>
        <w:rPr>
          <w:spacing w:val="-2"/>
        </w:rPr>
        <w:t>set</w:t>
      </w:r>
      <w:r>
        <w:rPr>
          <w:spacing w:val="2"/>
        </w:rPr>
        <w:t xml:space="preserve"> </w:t>
      </w:r>
      <w:r>
        <w:rPr>
          <w:spacing w:val="-2"/>
        </w:rPr>
        <w:t>out</w:t>
      </w:r>
      <w:r>
        <w:rPr>
          <w:spacing w:val="2"/>
        </w:rPr>
        <w:t xml:space="preserve"> </w:t>
      </w:r>
      <w:r>
        <w:rPr>
          <w:spacing w:val="-1"/>
        </w:rPr>
        <w:t>in</w:t>
      </w:r>
      <w:r>
        <w:rPr>
          <w:spacing w:val="-2"/>
        </w:rPr>
        <w:t xml:space="preserve"> Clause</w:t>
      </w:r>
      <w:r>
        <w:rPr>
          <w:spacing w:val="1"/>
        </w:rPr>
        <w:t xml:space="preserve"> </w:t>
      </w:r>
      <w:hyperlink w:anchor="_bookmark57" w:history="1">
        <w:r>
          <w:t>6</w:t>
        </w:r>
      </w:hyperlink>
      <w:r>
        <w:t xml:space="preserve"> </w:t>
      </w:r>
      <w:r>
        <w:rPr>
          <w:spacing w:val="-1"/>
        </w:rPr>
        <w:t>(Implementation</w:t>
      </w:r>
      <w:r>
        <w:rPr>
          <w:spacing w:val="-2"/>
        </w:rPr>
        <w:t xml:space="preserve"> </w:t>
      </w:r>
      <w:r>
        <w:rPr>
          <w:spacing w:val="-1"/>
        </w:rPr>
        <w:t>Plan).</w:t>
      </w:r>
    </w:p>
    <w:p w:rsidR="008918FA" w:rsidRDefault="008918FA" w:rsidP="008918FA">
      <w:pPr>
        <w:pStyle w:val="Heading1"/>
        <w:numPr>
          <w:ilvl w:val="1"/>
          <w:numId w:val="67"/>
        </w:numPr>
        <w:tabs>
          <w:tab w:val="left" w:pos="1029"/>
        </w:tabs>
        <w:ind w:hanging="359"/>
        <w:jc w:val="both"/>
        <w:rPr>
          <w:b w:val="0"/>
          <w:bCs w:val="0"/>
        </w:rPr>
      </w:pPr>
      <w:bookmarkStart w:id="75" w:name="_bookmark72"/>
      <w:bookmarkEnd w:id="75"/>
      <w:r>
        <w:rPr>
          <w:spacing w:val="-1"/>
        </w:rPr>
        <w:t>Location</w:t>
      </w:r>
      <w:r>
        <w:rPr>
          <w:spacing w:val="-2"/>
        </w:rPr>
        <w:t xml:space="preserve"> </w:t>
      </w:r>
      <w:r>
        <w:rPr>
          <w:spacing w:val="-1"/>
        </w:rPr>
        <w:t>and</w:t>
      </w:r>
      <w:r>
        <w:rPr>
          <w:spacing w:val="-2"/>
        </w:rPr>
        <w:t xml:space="preserve"> </w:t>
      </w:r>
      <w:r>
        <w:rPr>
          <w:spacing w:val="-1"/>
        </w:rPr>
        <w:t xml:space="preserve">Manner </w:t>
      </w:r>
      <w:r>
        <w:rPr>
          <w:spacing w:val="-2"/>
        </w:rPr>
        <w:t>of</w:t>
      </w:r>
      <w:r>
        <w:rPr>
          <w:spacing w:val="2"/>
        </w:rPr>
        <w:t xml:space="preserve"> </w:t>
      </w:r>
      <w:r>
        <w:rPr>
          <w:spacing w:val="-1"/>
        </w:rPr>
        <w:t>Delivery</w:t>
      </w:r>
      <w:r>
        <w:rPr>
          <w:spacing w:val="-4"/>
        </w:rPr>
        <w:t xml:space="preserve"> </w:t>
      </w:r>
      <w:r>
        <w:rPr>
          <w:spacing w:val="-1"/>
        </w:rPr>
        <w:t>of</w:t>
      </w:r>
      <w:r>
        <w:rPr>
          <w:spacing w:val="2"/>
        </w:rPr>
        <w:t xml:space="preserve"> </w:t>
      </w:r>
      <w:r>
        <w:rPr>
          <w:spacing w:val="-1"/>
        </w:rPr>
        <w:t>the</w:t>
      </w:r>
      <w:r>
        <w:rPr>
          <w:spacing w:val="-2"/>
        </w:rPr>
        <w:t xml:space="preserve"> Services</w:t>
      </w:r>
    </w:p>
    <w:p w:rsidR="008918FA" w:rsidRDefault="008918FA" w:rsidP="008918FA">
      <w:pPr>
        <w:jc w:val="both"/>
        <w:sectPr w:rsidR="008918FA">
          <w:pgSz w:w="11910" w:h="16840"/>
          <w:pgMar w:top="1480" w:right="1300" w:bottom="1180" w:left="1340" w:header="0" w:footer="987" w:gutter="0"/>
          <w:cols w:space="720"/>
        </w:sectPr>
      </w:pPr>
    </w:p>
    <w:p w:rsidR="008918FA" w:rsidRDefault="008918FA" w:rsidP="008918FA">
      <w:pPr>
        <w:pStyle w:val="BodyText"/>
        <w:numPr>
          <w:ilvl w:val="2"/>
          <w:numId w:val="67"/>
        </w:numPr>
        <w:tabs>
          <w:tab w:val="left" w:pos="1887"/>
        </w:tabs>
        <w:spacing w:before="59"/>
        <w:ind w:right="113"/>
        <w:jc w:val="both"/>
      </w:pPr>
      <w:r>
        <w:rPr>
          <w:spacing w:val="-1"/>
        </w:rPr>
        <w:lastRenderedPageBreak/>
        <w:t>Except</w:t>
      </w:r>
      <w:r>
        <w:rPr>
          <w:spacing w:val="9"/>
        </w:rPr>
        <w:t xml:space="preserve"> </w:t>
      </w:r>
      <w:r>
        <w:rPr>
          <w:spacing w:val="-2"/>
        </w:rPr>
        <w:t>where</w:t>
      </w:r>
      <w:r>
        <w:rPr>
          <w:spacing w:val="5"/>
        </w:rPr>
        <w:t xml:space="preserve"> </w:t>
      </w:r>
      <w:r>
        <w:rPr>
          <w:spacing w:val="-1"/>
        </w:rPr>
        <w:t>otherwise</w:t>
      </w:r>
      <w:r>
        <w:rPr>
          <w:spacing w:val="8"/>
        </w:rPr>
        <w:t xml:space="preserve"> </w:t>
      </w:r>
      <w:r>
        <w:rPr>
          <w:spacing w:val="-2"/>
        </w:rPr>
        <w:t>provided</w:t>
      </w:r>
      <w:r>
        <w:rPr>
          <w:spacing w:val="5"/>
        </w:rPr>
        <w:t xml:space="preserve"> </w:t>
      </w:r>
      <w:r>
        <w:rPr>
          <w:spacing w:val="-1"/>
        </w:rPr>
        <w:t>in</w:t>
      </w:r>
      <w:r>
        <w:rPr>
          <w:spacing w:val="5"/>
        </w:rPr>
        <w:t xml:space="preserve"> </w:t>
      </w:r>
      <w:r>
        <w:rPr>
          <w:spacing w:val="-1"/>
        </w:rPr>
        <w:t>this</w:t>
      </w:r>
      <w:r>
        <w:rPr>
          <w:spacing w:val="7"/>
        </w:rPr>
        <w:t xml:space="preserve"> </w:t>
      </w:r>
      <w:r>
        <w:rPr>
          <w:spacing w:val="-1"/>
        </w:rPr>
        <w:t>Call</w:t>
      </w:r>
      <w:r>
        <w:rPr>
          <w:spacing w:val="4"/>
        </w:rPr>
        <w:t xml:space="preserve"> </w:t>
      </w:r>
      <w:r>
        <w:t>Off</w:t>
      </w:r>
      <w:r>
        <w:rPr>
          <w:spacing w:val="4"/>
        </w:rPr>
        <w:t xml:space="preserve"> </w:t>
      </w:r>
      <w:r>
        <w:rPr>
          <w:spacing w:val="-1"/>
        </w:rPr>
        <w:t>Contract,</w:t>
      </w:r>
      <w:r>
        <w:rPr>
          <w:spacing w:val="4"/>
        </w:rPr>
        <w:t xml:space="preserve"> </w:t>
      </w:r>
      <w:r>
        <w:t>the</w:t>
      </w:r>
      <w:r>
        <w:rPr>
          <w:spacing w:val="6"/>
        </w:rPr>
        <w:t xml:space="preserve"> </w:t>
      </w:r>
      <w:r>
        <w:rPr>
          <w:spacing w:val="-2"/>
        </w:rPr>
        <w:t>Supplier</w:t>
      </w:r>
      <w:r>
        <w:rPr>
          <w:spacing w:val="52"/>
        </w:rPr>
        <w:t xml:space="preserve"> </w:t>
      </w:r>
      <w:r>
        <w:rPr>
          <w:spacing w:val="-1"/>
        </w:rPr>
        <w:t>shall</w:t>
      </w:r>
      <w:r>
        <w:rPr>
          <w:spacing w:val="20"/>
        </w:rPr>
        <w:t xml:space="preserve"> </w:t>
      </w:r>
      <w:r>
        <w:rPr>
          <w:spacing w:val="-2"/>
        </w:rPr>
        <w:t>provide</w:t>
      </w:r>
      <w:r>
        <w:rPr>
          <w:spacing w:val="21"/>
        </w:rPr>
        <w:t xml:space="preserve"> </w:t>
      </w:r>
      <w:r>
        <w:t>the</w:t>
      </w:r>
      <w:r>
        <w:rPr>
          <w:spacing w:val="21"/>
        </w:rPr>
        <w:t xml:space="preserve"> </w:t>
      </w:r>
      <w:r>
        <w:rPr>
          <w:spacing w:val="-1"/>
        </w:rPr>
        <w:t>Services</w:t>
      </w:r>
      <w:r>
        <w:rPr>
          <w:spacing w:val="22"/>
        </w:rPr>
        <w:t xml:space="preserve"> </w:t>
      </w:r>
      <w:r>
        <w:t>to</w:t>
      </w:r>
      <w:r>
        <w:rPr>
          <w:spacing w:val="21"/>
        </w:rPr>
        <w:t xml:space="preserve"> </w:t>
      </w:r>
      <w:r>
        <w:t>the</w:t>
      </w:r>
      <w:r>
        <w:rPr>
          <w:spacing w:val="21"/>
        </w:rPr>
        <w:t xml:space="preserve"> </w:t>
      </w:r>
      <w:r>
        <w:rPr>
          <w:spacing w:val="-2"/>
        </w:rPr>
        <w:t>Customer</w:t>
      </w:r>
      <w:r>
        <w:rPr>
          <w:spacing w:val="22"/>
        </w:rPr>
        <w:t xml:space="preserve"> </w:t>
      </w:r>
      <w:r>
        <w:rPr>
          <w:spacing w:val="-1"/>
        </w:rPr>
        <w:t>through</w:t>
      </w:r>
      <w:r>
        <w:rPr>
          <w:spacing w:val="21"/>
        </w:rPr>
        <w:t xml:space="preserve"> </w:t>
      </w:r>
      <w:r>
        <w:t>the</w:t>
      </w:r>
      <w:r>
        <w:rPr>
          <w:spacing w:val="22"/>
        </w:rPr>
        <w:t xml:space="preserve"> </w:t>
      </w:r>
      <w:r>
        <w:rPr>
          <w:spacing w:val="-2"/>
        </w:rPr>
        <w:t>Supplier</w:t>
      </w:r>
      <w:r>
        <w:rPr>
          <w:spacing w:val="58"/>
        </w:rPr>
        <w:t xml:space="preserve"> </w:t>
      </w:r>
      <w:r>
        <w:rPr>
          <w:spacing w:val="-1"/>
        </w:rPr>
        <w:t>Personnel</w:t>
      </w:r>
      <w:r>
        <w:t xml:space="preserve"> </w:t>
      </w:r>
      <w:r>
        <w:rPr>
          <w:spacing w:val="-1"/>
        </w:rPr>
        <w:t>at</w:t>
      </w:r>
      <w:r>
        <w:t xml:space="preserve"> the</w:t>
      </w:r>
      <w:r>
        <w:rPr>
          <w:spacing w:val="-2"/>
        </w:rPr>
        <w:t xml:space="preserve"> </w:t>
      </w:r>
      <w:r>
        <w:rPr>
          <w:spacing w:val="-1"/>
        </w:rPr>
        <w:t>Sites.</w:t>
      </w:r>
    </w:p>
    <w:p w:rsidR="008918FA" w:rsidRDefault="008918FA" w:rsidP="008918FA">
      <w:pPr>
        <w:pStyle w:val="BodyText"/>
        <w:numPr>
          <w:ilvl w:val="2"/>
          <w:numId w:val="67"/>
        </w:numPr>
        <w:tabs>
          <w:tab w:val="left" w:pos="1887"/>
        </w:tabs>
        <w:ind w:left="1885" w:right="112" w:hanging="993"/>
        <w:jc w:val="both"/>
      </w:pPr>
      <w:r>
        <w:t>The</w:t>
      </w:r>
      <w:r>
        <w:rPr>
          <w:spacing w:val="55"/>
        </w:rPr>
        <w:t xml:space="preserve"> </w:t>
      </w:r>
      <w:r>
        <w:rPr>
          <w:spacing w:val="-1"/>
        </w:rPr>
        <w:t>Customer</w:t>
      </w:r>
      <w:r>
        <w:rPr>
          <w:spacing w:val="57"/>
        </w:rPr>
        <w:t xml:space="preserve"> </w:t>
      </w:r>
      <w:r>
        <w:rPr>
          <w:spacing w:val="-1"/>
        </w:rPr>
        <w:t>may</w:t>
      </w:r>
      <w:r>
        <w:rPr>
          <w:spacing w:val="53"/>
        </w:rPr>
        <w:t xml:space="preserve"> </w:t>
      </w:r>
      <w:r>
        <w:rPr>
          <w:spacing w:val="-1"/>
        </w:rPr>
        <w:t>inspect</w:t>
      </w:r>
      <w:r>
        <w:rPr>
          <w:spacing w:val="57"/>
        </w:rPr>
        <w:t xml:space="preserve"> </w:t>
      </w:r>
      <w:r>
        <w:rPr>
          <w:spacing w:val="-1"/>
        </w:rPr>
        <w:t>and</w:t>
      </w:r>
      <w:r>
        <w:rPr>
          <w:spacing w:val="55"/>
        </w:rPr>
        <w:t xml:space="preserve"> </w:t>
      </w:r>
      <w:r>
        <w:rPr>
          <w:spacing w:val="-2"/>
        </w:rPr>
        <w:t>examine</w:t>
      </w:r>
      <w:r>
        <w:rPr>
          <w:spacing w:val="55"/>
        </w:rPr>
        <w:t xml:space="preserve"> </w:t>
      </w:r>
      <w:r>
        <w:t>the</w:t>
      </w:r>
      <w:r>
        <w:rPr>
          <w:spacing w:val="59"/>
        </w:rPr>
        <w:t xml:space="preserve"> </w:t>
      </w:r>
      <w:r>
        <w:rPr>
          <w:spacing w:val="-1"/>
        </w:rPr>
        <w:t>manner</w:t>
      </w:r>
      <w:r>
        <w:rPr>
          <w:spacing w:val="57"/>
        </w:rPr>
        <w:t xml:space="preserve"> </w:t>
      </w:r>
      <w:r>
        <w:rPr>
          <w:spacing w:val="-1"/>
        </w:rPr>
        <w:t>in</w:t>
      </w:r>
      <w:r>
        <w:rPr>
          <w:spacing w:val="55"/>
        </w:rPr>
        <w:t xml:space="preserve"> </w:t>
      </w:r>
      <w:r>
        <w:rPr>
          <w:spacing w:val="-1"/>
        </w:rPr>
        <w:t>which</w:t>
      </w:r>
      <w:r>
        <w:rPr>
          <w:spacing w:val="56"/>
        </w:rPr>
        <w:t xml:space="preserve"> </w:t>
      </w:r>
      <w:r>
        <w:rPr>
          <w:spacing w:val="-1"/>
        </w:rPr>
        <w:t>the</w:t>
      </w:r>
      <w:r>
        <w:rPr>
          <w:spacing w:val="32"/>
        </w:rPr>
        <w:t xml:space="preserve"> </w:t>
      </w:r>
      <w:r>
        <w:rPr>
          <w:spacing w:val="-2"/>
        </w:rPr>
        <w:t>Supplier</w:t>
      </w:r>
      <w:r>
        <w:rPr>
          <w:spacing w:val="9"/>
        </w:rPr>
        <w:t xml:space="preserve"> </w:t>
      </w:r>
      <w:r>
        <w:rPr>
          <w:spacing w:val="-2"/>
        </w:rPr>
        <w:t>provides</w:t>
      </w:r>
      <w:r>
        <w:rPr>
          <w:spacing w:val="8"/>
        </w:rPr>
        <w:t xml:space="preserve"> </w:t>
      </w:r>
      <w:r>
        <w:t>the</w:t>
      </w:r>
      <w:r>
        <w:rPr>
          <w:spacing w:val="7"/>
        </w:rPr>
        <w:t xml:space="preserve"> </w:t>
      </w:r>
      <w:r>
        <w:rPr>
          <w:spacing w:val="-2"/>
        </w:rPr>
        <w:t>Services</w:t>
      </w:r>
      <w:r>
        <w:rPr>
          <w:spacing w:val="8"/>
        </w:rPr>
        <w:t xml:space="preserve"> </w:t>
      </w:r>
      <w:r>
        <w:rPr>
          <w:spacing w:val="-1"/>
        </w:rPr>
        <w:t>at</w:t>
      </w:r>
      <w:r>
        <w:rPr>
          <w:spacing w:val="9"/>
        </w:rPr>
        <w:t xml:space="preserve"> </w:t>
      </w:r>
      <w:r>
        <w:t>the</w:t>
      </w:r>
      <w:r>
        <w:rPr>
          <w:spacing w:val="5"/>
        </w:rPr>
        <w:t xml:space="preserve"> </w:t>
      </w:r>
      <w:r>
        <w:rPr>
          <w:spacing w:val="-1"/>
        </w:rPr>
        <w:t>Sites</w:t>
      </w:r>
      <w:r>
        <w:rPr>
          <w:spacing w:val="10"/>
        </w:rPr>
        <w:t xml:space="preserve"> </w:t>
      </w:r>
      <w:r>
        <w:rPr>
          <w:spacing w:val="-2"/>
        </w:rPr>
        <w:t>and,</w:t>
      </w:r>
      <w:r>
        <w:rPr>
          <w:spacing w:val="9"/>
        </w:rPr>
        <w:t xml:space="preserve"> </w:t>
      </w:r>
      <w:r>
        <w:rPr>
          <w:spacing w:val="-2"/>
        </w:rPr>
        <w:t>if</w:t>
      </w:r>
      <w:r>
        <w:rPr>
          <w:spacing w:val="9"/>
        </w:rPr>
        <w:t xml:space="preserve"> </w:t>
      </w:r>
      <w:r>
        <w:t>the</w:t>
      </w:r>
      <w:r>
        <w:rPr>
          <w:spacing w:val="7"/>
        </w:rPr>
        <w:t xml:space="preserve"> </w:t>
      </w:r>
      <w:r>
        <w:rPr>
          <w:spacing w:val="-1"/>
        </w:rPr>
        <w:t>Sites</w:t>
      </w:r>
      <w:r>
        <w:rPr>
          <w:spacing w:val="6"/>
        </w:rPr>
        <w:t xml:space="preserve"> </w:t>
      </w:r>
      <w:r>
        <w:rPr>
          <w:spacing w:val="-1"/>
        </w:rPr>
        <w:t>are</w:t>
      </w:r>
      <w:r>
        <w:rPr>
          <w:spacing w:val="5"/>
        </w:rPr>
        <w:t xml:space="preserve"> </w:t>
      </w:r>
      <w:r>
        <w:rPr>
          <w:spacing w:val="-1"/>
        </w:rPr>
        <w:t>not</w:t>
      </w:r>
      <w:r>
        <w:rPr>
          <w:spacing w:val="7"/>
        </w:rPr>
        <w:t xml:space="preserve"> </w:t>
      </w:r>
      <w:r>
        <w:rPr>
          <w:spacing w:val="-1"/>
        </w:rPr>
        <w:t>the</w:t>
      </w:r>
      <w:r>
        <w:rPr>
          <w:spacing w:val="66"/>
        </w:rPr>
        <w:t xml:space="preserve"> </w:t>
      </w:r>
      <w:r>
        <w:rPr>
          <w:spacing w:val="-1"/>
        </w:rPr>
        <w:t>Customer</w:t>
      </w:r>
      <w:r>
        <w:rPr>
          <w:spacing w:val="16"/>
        </w:rPr>
        <w:t xml:space="preserve"> </w:t>
      </w:r>
      <w:r>
        <w:rPr>
          <w:spacing w:val="-1"/>
        </w:rPr>
        <w:t>Premises,</w:t>
      </w:r>
      <w:r>
        <w:rPr>
          <w:spacing w:val="16"/>
        </w:rPr>
        <w:t xml:space="preserve"> </w:t>
      </w:r>
      <w:r>
        <w:t>the</w:t>
      </w:r>
      <w:r>
        <w:rPr>
          <w:spacing w:val="12"/>
        </w:rPr>
        <w:t xml:space="preserve"> </w:t>
      </w:r>
      <w:r>
        <w:rPr>
          <w:spacing w:val="-1"/>
        </w:rPr>
        <w:t>Customer</w:t>
      </w:r>
      <w:r>
        <w:rPr>
          <w:spacing w:val="14"/>
        </w:rPr>
        <w:t xml:space="preserve"> </w:t>
      </w:r>
      <w:r>
        <w:rPr>
          <w:spacing w:val="-1"/>
        </w:rPr>
        <w:t>may</w:t>
      </w:r>
      <w:r>
        <w:rPr>
          <w:spacing w:val="13"/>
        </w:rPr>
        <w:t xml:space="preserve"> </w:t>
      </w:r>
      <w:r>
        <w:rPr>
          <w:spacing w:val="-1"/>
        </w:rPr>
        <w:t>carry</w:t>
      </w:r>
      <w:r>
        <w:rPr>
          <w:spacing w:val="13"/>
        </w:rPr>
        <w:t xml:space="preserve"> </w:t>
      </w:r>
      <w:r>
        <w:t>out</w:t>
      </w:r>
      <w:r>
        <w:rPr>
          <w:spacing w:val="17"/>
        </w:rPr>
        <w:t xml:space="preserve"> </w:t>
      </w:r>
      <w:r>
        <w:rPr>
          <w:spacing w:val="-1"/>
        </w:rPr>
        <w:t>such</w:t>
      </w:r>
      <w:r>
        <w:rPr>
          <w:spacing w:val="15"/>
        </w:rPr>
        <w:t xml:space="preserve"> </w:t>
      </w:r>
      <w:r>
        <w:rPr>
          <w:spacing w:val="-1"/>
        </w:rPr>
        <w:t>inspection</w:t>
      </w:r>
      <w:r>
        <w:rPr>
          <w:spacing w:val="15"/>
        </w:rPr>
        <w:t xml:space="preserve"> </w:t>
      </w:r>
      <w:r>
        <w:rPr>
          <w:spacing w:val="-1"/>
        </w:rPr>
        <w:t>and</w:t>
      </w:r>
      <w:r>
        <w:rPr>
          <w:spacing w:val="34"/>
        </w:rPr>
        <w:t xml:space="preserve"> </w:t>
      </w:r>
      <w:r>
        <w:rPr>
          <w:spacing w:val="-1"/>
        </w:rPr>
        <w:t>examination</w:t>
      </w:r>
      <w:r>
        <w:t xml:space="preserve"> </w:t>
      </w:r>
      <w:r>
        <w:rPr>
          <w:spacing w:val="-1"/>
        </w:rPr>
        <w:t>during</w:t>
      </w:r>
      <w:r>
        <w:t xml:space="preserve"> </w:t>
      </w:r>
      <w:r>
        <w:rPr>
          <w:spacing w:val="-2"/>
        </w:rPr>
        <w:t>normal</w:t>
      </w:r>
      <w:r>
        <w:t xml:space="preserve"> </w:t>
      </w:r>
      <w:r>
        <w:rPr>
          <w:spacing w:val="-1"/>
        </w:rPr>
        <w:t>business</w:t>
      </w:r>
      <w:r>
        <w:rPr>
          <w:spacing w:val="1"/>
        </w:rPr>
        <w:t xml:space="preserve"> </w:t>
      </w:r>
      <w:r>
        <w:rPr>
          <w:spacing w:val="-1"/>
        </w:rPr>
        <w:t>hours</w:t>
      </w:r>
      <w:r>
        <w:rPr>
          <w:spacing w:val="1"/>
        </w:rPr>
        <w:t xml:space="preserve"> </w:t>
      </w:r>
      <w:r>
        <w:rPr>
          <w:spacing w:val="-1"/>
        </w:rPr>
        <w:t>and</w:t>
      </w:r>
      <w:r>
        <w:rPr>
          <w:spacing w:val="-2"/>
        </w:rPr>
        <w:t xml:space="preserve"> </w:t>
      </w:r>
      <w:r>
        <w:rPr>
          <w:spacing w:val="-1"/>
        </w:rPr>
        <w:t>on</w:t>
      </w:r>
      <w:r>
        <w:rPr>
          <w:spacing w:val="-2"/>
        </w:rPr>
        <w:t xml:space="preserve"> </w:t>
      </w:r>
      <w:r>
        <w:rPr>
          <w:spacing w:val="-1"/>
        </w:rPr>
        <w:t>reasonable</w:t>
      </w:r>
      <w:r>
        <w:rPr>
          <w:spacing w:val="3"/>
        </w:rPr>
        <w:t xml:space="preserve"> </w:t>
      </w:r>
      <w:r>
        <w:rPr>
          <w:spacing w:val="-1"/>
        </w:rPr>
        <w:t>notice.</w:t>
      </w:r>
    </w:p>
    <w:p w:rsidR="008918FA" w:rsidRDefault="008918FA" w:rsidP="008918FA">
      <w:pPr>
        <w:pStyle w:val="Heading1"/>
        <w:numPr>
          <w:ilvl w:val="1"/>
          <w:numId w:val="67"/>
        </w:numPr>
        <w:tabs>
          <w:tab w:val="left" w:pos="689"/>
        </w:tabs>
        <w:spacing w:before="119"/>
        <w:ind w:left="688"/>
        <w:jc w:val="left"/>
        <w:rPr>
          <w:b w:val="0"/>
          <w:bCs w:val="0"/>
        </w:rPr>
      </w:pPr>
      <w:r>
        <w:rPr>
          <w:spacing w:val="-1"/>
        </w:rPr>
        <w:t>Undelivered</w:t>
      </w:r>
      <w:r>
        <w:t xml:space="preserve"> </w:t>
      </w:r>
      <w:r>
        <w:rPr>
          <w:spacing w:val="-1"/>
        </w:rPr>
        <w:t>Services</w:t>
      </w:r>
    </w:p>
    <w:p w:rsidR="008918FA" w:rsidRDefault="008918FA" w:rsidP="008918FA">
      <w:pPr>
        <w:pStyle w:val="BodyText"/>
        <w:numPr>
          <w:ilvl w:val="2"/>
          <w:numId w:val="67"/>
        </w:numPr>
        <w:tabs>
          <w:tab w:val="left" w:pos="1886"/>
        </w:tabs>
        <w:spacing w:before="121"/>
        <w:ind w:left="1885" w:right="113" w:hanging="993"/>
        <w:jc w:val="both"/>
      </w:pPr>
      <w:bookmarkStart w:id="76" w:name="_bookmark73"/>
      <w:bookmarkEnd w:id="76"/>
      <w:r>
        <w:t>In</w:t>
      </w:r>
      <w:r>
        <w:rPr>
          <w:spacing w:val="19"/>
        </w:rPr>
        <w:t xml:space="preserve"> </w:t>
      </w:r>
      <w:r>
        <w:t>the</w:t>
      </w:r>
      <w:r>
        <w:rPr>
          <w:spacing w:val="20"/>
        </w:rPr>
        <w:t xml:space="preserve"> </w:t>
      </w:r>
      <w:r>
        <w:rPr>
          <w:spacing w:val="-2"/>
        </w:rPr>
        <w:t>event</w:t>
      </w:r>
      <w:r>
        <w:rPr>
          <w:spacing w:val="21"/>
        </w:rPr>
        <w:t xml:space="preserve"> </w:t>
      </w:r>
      <w:r>
        <w:rPr>
          <w:spacing w:val="-1"/>
        </w:rPr>
        <w:t>that</w:t>
      </w:r>
      <w:r>
        <w:rPr>
          <w:spacing w:val="21"/>
        </w:rPr>
        <w:t xml:space="preserve"> </w:t>
      </w:r>
      <w:r>
        <w:rPr>
          <w:spacing w:val="-1"/>
        </w:rPr>
        <w:t>any</w:t>
      </w:r>
      <w:r>
        <w:rPr>
          <w:spacing w:val="18"/>
        </w:rPr>
        <w:t xml:space="preserve"> </w:t>
      </w:r>
      <w:r>
        <w:rPr>
          <w:spacing w:val="-2"/>
        </w:rPr>
        <w:t>of</w:t>
      </w:r>
      <w:r>
        <w:rPr>
          <w:spacing w:val="21"/>
        </w:rPr>
        <w:t xml:space="preserve"> </w:t>
      </w:r>
      <w:r>
        <w:t>the</w:t>
      </w:r>
      <w:r>
        <w:rPr>
          <w:spacing w:val="19"/>
        </w:rPr>
        <w:t xml:space="preserve"> </w:t>
      </w:r>
      <w:r>
        <w:rPr>
          <w:spacing w:val="-1"/>
        </w:rPr>
        <w:t>Services</w:t>
      </w:r>
      <w:r>
        <w:rPr>
          <w:spacing w:val="20"/>
        </w:rPr>
        <w:t xml:space="preserve"> </w:t>
      </w:r>
      <w:r>
        <w:rPr>
          <w:spacing w:val="-1"/>
        </w:rPr>
        <w:t>are</w:t>
      </w:r>
      <w:r>
        <w:rPr>
          <w:spacing w:val="19"/>
        </w:rPr>
        <w:t xml:space="preserve"> </w:t>
      </w:r>
      <w:r>
        <w:rPr>
          <w:spacing w:val="-1"/>
        </w:rPr>
        <w:t>not</w:t>
      </w:r>
      <w:r>
        <w:rPr>
          <w:spacing w:val="22"/>
        </w:rPr>
        <w:t xml:space="preserve"> </w:t>
      </w:r>
      <w:r>
        <w:rPr>
          <w:spacing w:val="-2"/>
        </w:rPr>
        <w:t>Delivered</w:t>
      </w:r>
      <w:r>
        <w:rPr>
          <w:spacing w:val="19"/>
        </w:rPr>
        <w:t xml:space="preserve"> </w:t>
      </w:r>
      <w:r>
        <w:rPr>
          <w:spacing w:val="-1"/>
        </w:rPr>
        <w:t>in</w:t>
      </w:r>
      <w:r>
        <w:rPr>
          <w:spacing w:val="20"/>
        </w:rPr>
        <w:t xml:space="preserve"> </w:t>
      </w:r>
      <w:r>
        <w:rPr>
          <w:spacing w:val="-1"/>
        </w:rPr>
        <w:t>accordance</w:t>
      </w:r>
      <w:r>
        <w:rPr>
          <w:spacing w:val="34"/>
        </w:rPr>
        <w:t xml:space="preserve"> </w:t>
      </w:r>
      <w:r>
        <w:rPr>
          <w:spacing w:val="-1"/>
        </w:rPr>
        <w:t>with</w:t>
      </w:r>
      <w:r>
        <w:rPr>
          <w:spacing w:val="24"/>
        </w:rPr>
        <w:t xml:space="preserve"> </w:t>
      </w:r>
      <w:r>
        <w:rPr>
          <w:spacing w:val="-1"/>
        </w:rPr>
        <w:t>Clauses</w:t>
      </w:r>
      <w:r>
        <w:rPr>
          <w:spacing w:val="25"/>
        </w:rPr>
        <w:t xml:space="preserve"> </w:t>
      </w:r>
      <w:hyperlink w:anchor="_bookmark65" w:history="1">
        <w:r>
          <w:t>7.1</w:t>
        </w:r>
      </w:hyperlink>
      <w:r>
        <w:rPr>
          <w:spacing w:val="24"/>
        </w:rPr>
        <w:t xml:space="preserve"> </w:t>
      </w:r>
      <w:r>
        <w:rPr>
          <w:spacing w:val="-1"/>
        </w:rPr>
        <w:t>(Provision</w:t>
      </w:r>
      <w:r>
        <w:rPr>
          <w:spacing w:val="24"/>
        </w:rPr>
        <w:t xml:space="preserve"> </w:t>
      </w:r>
      <w:r>
        <w:rPr>
          <w:spacing w:val="-1"/>
        </w:rPr>
        <w:t>of</w:t>
      </w:r>
      <w:r>
        <w:rPr>
          <w:spacing w:val="28"/>
        </w:rPr>
        <w:t xml:space="preserve"> </w:t>
      </w:r>
      <w:r>
        <w:t>the</w:t>
      </w:r>
      <w:r>
        <w:rPr>
          <w:spacing w:val="24"/>
        </w:rPr>
        <w:t xml:space="preserve"> </w:t>
      </w:r>
      <w:r>
        <w:rPr>
          <w:spacing w:val="-2"/>
        </w:rPr>
        <w:t>Services),</w:t>
      </w:r>
      <w:r>
        <w:rPr>
          <w:spacing w:val="27"/>
        </w:rPr>
        <w:t xml:space="preserve"> </w:t>
      </w:r>
      <w:hyperlink w:anchor="_bookmark71" w:history="1">
        <w:r>
          <w:t>8.1</w:t>
        </w:r>
      </w:hyperlink>
      <w:r>
        <w:rPr>
          <w:spacing w:val="22"/>
        </w:rPr>
        <w:t xml:space="preserve"> </w:t>
      </w:r>
      <w:r>
        <w:rPr>
          <w:spacing w:val="-1"/>
        </w:rPr>
        <w:t>(Time</w:t>
      </w:r>
      <w:r>
        <w:rPr>
          <w:spacing w:val="24"/>
        </w:rPr>
        <w:t xml:space="preserve"> </w:t>
      </w:r>
      <w:r>
        <w:rPr>
          <w:spacing w:val="-2"/>
        </w:rPr>
        <w:t>of</w:t>
      </w:r>
      <w:r>
        <w:rPr>
          <w:spacing w:val="28"/>
        </w:rPr>
        <w:t xml:space="preserve"> </w:t>
      </w:r>
      <w:r>
        <w:rPr>
          <w:spacing w:val="-2"/>
        </w:rPr>
        <w:t>Delivery</w:t>
      </w:r>
      <w:r>
        <w:rPr>
          <w:spacing w:val="25"/>
        </w:rPr>
        <w:t xml:space="preserve"> </w:t>
      </w:r>
      <w:r>
        <w:rPr>
          <w:spacing w:val="-1"/>
        </w:rPr>
        <w:t>of</w:t>
      </w:r>
      <w:r>
        <w:rPr>
          <w:spacing w:val="42"/>
        </w:rPr>
        <w:t xml:space="preserve"> </w:t>
      </w:r>
      <w:r>
        <w:t>the</w:t>
      </w:r>
      <w:r>
        <w:rPr>
          <w:spacing w:val="30"/>
        </w:rPr>
        <w:t xml:space="preserve"> </w:t>
      </w:r>
      <w:r>
        <w:rPr>
          <w:spacing w:val="-1"/>
        </w:rPr>
        <w:t>Services)</w:t>
      </w:r>
      <w:r>
        <w:rPr>
          <w:spacing w:val="32"/>
        </w:rPr>
        <w:t xml:space="preserve"> </w:t>
      </w:r>
      <w:r>
        <w:rPr>
          <w:spacing w:val="-1"/>
        </w:rPr>
        <w:t>and</w:t>
      </w:r>
      <w:r>
        <w:rPr>
          <w:spacing w:val="30"/>
        </w:rPr>
        <w:t xml:space="preserve"> </w:t>
      </w:r>
      <w:hyperlink w:anchor="_bookmark72" w:history="1">
        <w:r>
          <w:t>8.2</w:t>
        </w:r>
      </w:hyperlink>
      <w:r>
        <w:rPr>
          <w:spacing w:val="30"/>
        </w:rPr>
        <w:t xml:space="preserve"> </w:t>
      </w:r>
      <w:r>
        <w:rPr>
          <w:spacing w:val="-1"/>
        </w:rPr>
        <w:t>(Location</w:t>
      </w:r>
      <w:r>
        <w:rPr>
          <w:spacing w:val="30"/>
        </w:rPr>
        <w:t xml:space="preserve"> </w:t>
      </w:r>
      <w:r>
        <w:rPr>
          <w:spacing w:val="-1"/>
        </w:rPr>
        <w:t>and</w:t>
      </w:r>
      <w:r>
        <w:rPr>
          <w:spacing w:val="30"/>
        </w:rPr>
        <w:t xml:space="preserve"> </w:t>
      </w:r>
      <w:r>
        <w:rPr>
          <w:spacing w:val="-1"/>
        </w:rPr>
        <w:t>Manner</w:t>
      </w:r>
      <w:r>
        <w:rPr>
          <w:spacing w:val="33"/>
        </w:rPr>
        <w:t xml:space="preserve"> </w:t>
      </w:r>
      <w:r>
        <w:rPr>
          <w:spacing w:val="-2"/>
        </w:rPr>
        <w:t>of</w:t>
      </w:r>
      <w:r>
        <w:rPr>
          <w:spacing w:val="34"/>
        </w:rPr>
        <w:t xml:space="preserve"> </w:t>
      </w:r>
      <w:r>
        <w:rPr>
          <w:spacing w:val="-1"/>
        </w:rPr>
        <w:t>Delivery</w:t>
      </w:r>
      <w:r>
        <w:rPr>
          <w:spacing w:val="28"/>
        </w:rPr>
        <w:t xml:space="preserve"> </w:t>
      </w:r>
      <w:r>
        <w:rPr>
          <w:spacing w:val="-1"/>
        </w:rPr>
        <w:t>of</w:t>
      </w:r>
      <w:r>
        <w:rPr>
          <w:spacing w:val="34"/>
        </w:rPr>
        <w:t xml:space="preserve"> </w:t>
      </w:r>
      <w:r>
        <w:rPr>
          <w:spacing w:val="-1"/>
        </w:rPr>
        <w:t>the</w:t>
      </w:r>
      <w:r>
        <w:rPr>
          <w:spacing w:val="22"/>
        </w:rPr>
        <w:t xml:space="preserve"> </w:t>
      </w:r>
      <w:r>
        <w:rPr>
          <w:spacing w:val="-1"/>
        </w:rPr>
        <w:t>Services)</w:t>
      </w:r>
      <w:r>
        <w:rPr>
          <w:spacing w:val="33"/>
        </w:rPr>
        <w:t xml:space="preserve"> </w:t>
      </w:r>
      <w:r>
        <w:rPr>
          <w:spacing w:val="-1"/>
        </w:rPr>
        <w:t>("</w:t>
      </w:r>
      <w:r>
        <w:rPr>
          <w:b/>
          <w:spacing w:val="-1"/>
        </w:rPr>
        <w:t>Undelivered</w:t>
      </w:r>
      <w:r>
        <w:rPr>
          <w:b/>
          <w:spacing w:val="29"/>
        </w:rPr>
        <w:t xml:space="preserve"> </w:t>
      </w:r>
      <w:r>
        <w:rPr>
          <w:b/>
          <w:spacing w:val="-1"/>
        </w:rPr>
        <w:t>Services</w:t>
      </w:r>
      <w:r>
        <w:rPr>
          <w:spacing w:val="-1"/>
        </w:rPr>
        <w:t>"),</w:t>
      </w:r>
      <w:r>
        <w:rPr>
          <w:spacing w:val="33"/>
        </w:rPr>
        <w:t xml:space="preserve"> </w:t>
      </w:r>
      <w:r>
        <w:t>the</w:t>
      </w:r>
      <w:r>
        <w:rPr>
          <w:spacing w:val="31"/>
        </w:rPr>
        <w:t xml:space="preserve"> </w:t>
      </w:r>
      <w:r>
        <w:rPr>
          <w:spacing w:val="-1"/>
        </w:rPr>
        <w:t>Customer,</w:t>
      </w:r>
      <w:r>
        <w:rPr>
          <w:spacing w:val="33"/>
        </w:rPr>
        <w:t xml:space="preserve"> </w:t>
      </w:r>
      <w:r>
        <w:rPr>
          <w:spacing w:val="-2"/>
        </w:rPr>
        <w:t>without</w:t>
      </w:r>
      <w:r>
        <w:rPr>
          <w:spacing w:val="33"/>
        </w:rPr>
        <w:t xml:space="preserve"> </w:t>
      </w:r>
      <w:r>
        <w:rPr>
          <w:spacing w:val="-1"/>
        </w:rPr>
        <w:t>prejudice</w:t>
      </w:r>
      <w:r>
        <w:rPr>
          <w:spacing w:val="34"/>
        </w:rPr>
        <w:t xml:space="preserve"> </w:t>
      </w:r>
      <w:r>
        <w:t>to</w:t>
      </w:r>
      <w:r>
        <w:rPr>
          <w:spacing w:val="24"/>
        </w:rPr>
        <w:t xml:space="preserve"> </w:t>
      </w:r>
      <w:r>
        <w:rPr>
          <w:spacing w:val="-1"/>
        </w:rPr>
        <w:t>any</w:t>
      </w:r>
      <w:r>
        <w:rPr>
          <w:spacing w:val="22"/>
        </w:rPr>
        <w:t xml:space="preserve"> </w:t>
      </w:r>
      <w:r>
        <w:rPr>
          <w:spacing w:val="-1"/>
        </w:rPr>
        <w:t>other</w:t>
      </w:r>
      <w:r>
        <w:rPr>
          <w:spacing w:val="23"/>
        </w:rPr>
        <w:t xml:space="preserve"> </w:t>
      </w:r>
      <w:r>
        <w:rPr>
          <w:spacing w:val="-1"/>
        </w:rPr>
        <w:t>rights</w:t>
      </w:r>
      <w:r>
        <w:rPr>
          <w:spacing w:val="22"/>
        </w:rPr>
        <w:t xml:space="preserve"> </w:t>
      </w:r>
      <w:r>
        <w:rPr>
          <w:spacing w:val="-1"/>
        </w:rPr>
        <w:t>and</w:t>
      </w:r>
      <w:r>
        <w:rPr>
          <w:spacing w:val="24"/>
        </w:rPr>
        <w:t xml:space="preserve"> </w:t>
      </w:r>
      <w:r>
        <w:rPr>
          <w:spacing w:val="-1"/>
        </w:rPr>
        <w:t>remedies</w:t>
      </w:r>
      <w:r>
        <w:rPr>
          <w:spacing w:val="25"/>
        </w:rPr>
        <w:t xml:space="preserve"> </w:t>
      </w:r>
      <w:r>
        <w:rPr>
          <w:spacing w:val="-2"/>
        </w:rPr>
        <w:t>of</w:t>
      </w:r>
      <w:r>
        <w:rPr>
          <w:spacing w:val="26"/>
        </w:rPr>
        <w:t xml:space="preserve"> </w:t>
      </w:r>
      <w:r>
        <w:t>the</w:t>
      </w:r>
      <w:r>
        <w:rPr>
          <w:spacing w:val="24"/>
        </w:rPr>
        <w:t xml:space="preserve"> </w:t>
      </w:r>
      <w:r>
        <w:rPr>
          <w:spacing w:val="-2"/>
        </w:rPr>
        <w:t>Customer</w:t>
      </w:r>
      <w:r>
        <w:rPr>
          <w:spacing w:val="26"/>
        </w:rPr>
        <w:t xml:space="preserve"> </w:t>
      </w:r>
      <w:r>
        <w:rPr>
          <w:spacing w:val="-2"/>
        </w:rPr>
        <w:t>howsoever</w:t>
      </w:r>
      <w:r>
        <w:rPr>
          <w:spacing w:val="26"/>
        </w:rPr>
        <w:t xml:space="preserve"> </w:t>
      </w:r>
      <w:r>
        <w:rPr>
          <w:spacing w:val="-1"/>
        </w:rPr>
        <w:t>arising,</w:t>
      </w:r>
      <w:r>
        <w:rPr>
          <w:spacing w:val="53"/>
        </w:rPr>
        <w:t xml:space="preserve"> </w:t>
      </w:r>
      <w:r>
        <w:rPr>
          <w:spacing w:val="-1"/>
        </w:rPr>
        <w:t>shall</w:t>
      </w:r>
      <w:r>
        <w:t xml:space="preserve"> </w:t>
      </w:r>
      <w:r>
        <w:rPr>
          <w:spacing w:val="-1"/>
        </w:rPr>
        <w:t>be</w:t>
      </w:r>
      <w:r>
        <w:t xml:space="preserve"> </w:t>
      </w:r>
      <w:r>
        <w:rPr>
          <w:spacing w:val="-1"/>
        </w:rPr>
        <w:t>entitled</w:t>
      </w:r>
      <w:r>
        <w:t xml:space="preserve"> to</w:t>
      </w:r>
      <w:r>
        <w:rPr>
          <w:spacing w:val="3"/>
        </w:rPr>
        <w:t xml:space="preserve"> </w:t>
      </w:r>
      <w:r>
        <w:rPr>
          <w:spacing w:val="-1"/>
        </w:rPr>
        <w:t>withhold</w:t>
      </w:r>
      <w:r>
        <w:t xml:space="preserve"> </w:t>
      </w:r>
      <w:r>
        <w:rPr>
          <w:spacing w:val="-1"/>
        </w:rPr>
        <w:t>payment</w:t>
      </w:r>
      <w:r>
        <w:rPr>
          <w:spacing w:val="2"/>
        </w:rPr>
        <w:t xml:space="preserve"> </w:t>
      </w:r>
      <w:r>
        <w:rPr>
          <w:spacing w:val="-1"/>
        </w:rPr>
        <w:t>of</w:t>
      </w:r>
      <w:r>
        <w:rPr>
          <w:spacing w:val="4"/>
        </w:rPr>
        <w:t xml:space="preserve"> </w:t>
      </w:r>
      <w:r>
        <w:t xml:space="preserve">the </w:t>
      </w:r>
      <w:r>
        <w:rPr>
          <w:spacing w:val="-2"/>
        </w:rPr>
        <w:t>applicable</w:t>
      </w:r>
      <w:r>
        <w:t xml:space="preserve"> </w:t>
      </w:r>
      <w:r>
        <w:rPr>
          <w:spacing w:val="-1"/>
        </w:rPr>
        <w:t>Call</w:t>
      </w:r>
      <w:r>
        <w:t xml:space="preserve"> Off</w:t>
      </w:r>
      <w:r>
        <w:rPr>
          <w:spacing w:val="4"/>
        </w:rPr>
        <w:t xml:space="preserve"> </w:t>
      </w:r>
      <w:r>
        <w:rPr>
          <w:spacing w:val="-2"/>
        </w:rPr>
        <w:t>Contract</w:t>
      </w:r>
      <w:r>
        <w:rPr>
          <w:spacing w:val="61"/>
        </w:rPr>
        <w:t xml:space="preserve"> </w:t>
      </w:r>
      <w:r>
        <w:rPr>
          <w:spacing w:val="-1"/>
        </w:rPr>
        <w:t>Charges</w:t>
      </w:r>
      <w:r>
        <w:rPr>
          <w:spacing w:val="5"/>
        </w:rPr>
        <w:t xml:space="preserve"> </w:t>
      </w:r>
      <w:r>
        <w:t>for</w:t>
      </w:r>
      <w:r>
        <w:rPr>
          <w:spacing w:val="12"/>
        </w:rPr>
        <w:t xml:space="preserve"> </w:t>
      </w:r>
      <w:r>
        <w:t>the</w:t>
      </w:r>
      <w:r>
        <w:rPr>
          <w:spacing w:val="7"/>
        </w:rPr>
        <w:t xml:space="preserve"> </w:t>
      </w:r>
      <w:r>
        <w:rPr>
          <w:spacing w:val="-1"/>
        </w:rPr>
        <w:t>Services</w:t>
      </w:r>
      <w:r>
        <w:rPr>
          <w:spacing w:val="10"/>
        </w:rPr>
        <w:t xml:space="preserve"> </w:t>
      </w:r>
      <w:r>
        <w:rPr>
          <w:spacing w:val="-1"/>
        </w:rPr>
        <w:t>that</w:t>
      </w:r>
      <w:r>
        <w:rPr>
          <w:spacing w:val="9"/>
        </w:rPr>
        <w:t xml:space="preserve"> </w:t>
      </w:r>
      <w:r>
        <w:rPr>
          <w:spacing w:val="-2"/>
        </w:rPr>
        <w:t>were</w:t>
      </w:r>
      <w:r>
        <w:rPr>
          <w:spacing w:val="10"/>
        </w:rPr>
        <w:t xml:space="preserve"> </w:t>
      </w:r>
      <w:r>
        <w:rPr>
          <w:spacing w:val="-1"/>
        </w:rPr>
        <w:t>not</w:t>
      </w:r>
      <w:r>
        <w:rPr>
          <w:spacing w:val="11"/>
        </w:rPr>
        <w:t xml:space="preserve"> </w:t>
      </w:r>
      <w:r>
        <w:rPr>
          <w:spacing w:val="-1"/>
        </w:rPr>
        <w:t>so</w:t>
      </w:r>
      <w:r>
        <w:rPr>
          <w:spacing w:val="10"/>
        </w:rPr>
        <w:t xml:space="preserve"> </w:t>
      </w:r>
      <w:r>
        <w:rPr>
          <w:spacing w:val="-2"/>
        </w:rPr>
        <w:t>Delivered</w:t>
      </w:r>
      <w:r>
        <w:rPr>
          <w:spacing w:val="10"/>
        </w:rPr>
        <w:t xml:space="preserve"> </w:t>
      </w:r>
      <w:r>
        <w:rPr>
          <w:spacing w:val="-1"/>
        </w:rPr>
        <w:t>until</w:t>
      </w:r>
      <w:r>
        <w:rPr>
          <w:spacing w:val="9"/>
        </w:rPr>
        <w:t xml:space="preserve"> </w:t>
      </w:r>
      <w:r>
        <w:rPr>
          <w:spacing w:val="-1"/>
        </w:rPr>
        <w:t>such</w:t>
      </w:r>
      <w:r>
        <w:rPr>
          <w:spacing w:val="10"/>
        </w:rPr>
        <w:t xml:space="preserve"> </w:t>
      </w:r>
      <w:r>
        <w:rPr>
          <w:spacing w:val="-1"/>
        </w:rPr>
        <w:t>time</w:t>
      </w:r>
      <w:r>
        <w:rPr>
          <w:spacing w:val="10"/>
        </w:rPr>
        <w:t xml:space="preserve"> </w:t>
      </w:r>
      <w:r>
        <w:rPr>
          <w:spacing w:val="-1"/>
        </w:rPr>
        <w:t>as</w:t>
      </w:r>
      <w:r>
        <w:rPr>
          <w:spacing w:val="46"/>
        </w:rPr>
        <w:t xml:space="preserve"> </w:t>
      </w:r>
      <w:r>
        <w:t xml:space="preserve">the </w:t>
      </w:r>
      <w:r>
        <w:rPr>
          <w:spacing w:val="-2"/>
        </w:rPr>
        <w:t>Undelivered</w:t>
      </w:r>
      <w:r>
        <w:t xml:space="preserve"> </w:t>
      </w:r>
      <w:r>
        <w:rPr>
          <w:spacing w:val="-1"/>
        </w:rPr>
        <w:t>Services</w:t>
      </w:r>
      <w:r>
        <w:rPr>
          <w:spacing w:val="1"/>
        </w:rPr>
        <w:t xml:space="preserve"> </w:t>
      </w:r>
      <w:r>
        <w:rPr>
          <w:spacing w:val="-1"/>
        </w:rPr>
        <w:t>are</w:t>
      </w:r>
      <w:r>
        <w:rPr>
          <w:spacing w:val="-2"/>
        </w:rPr>
        <w:t xml:space="preserve"> Delivered.</w:t>
      </w:r>
    </w:p>
    <w:p w:rsidR="008918FA" w:rsidRDefault="008918FA" w:rsidP="008918FA">
      <w:pPr>
        <w:pStyle w:val="BodyText"/>
        <w:numPr>
          <w:ilvl w:val="2"/>
          <w:numId w:val="67"/>
        </w:numPr>
        <w:tabs>
          <w:tab w:val="left" w:pos="1886"/>
        </w:tabs>
        <w:spacing w:before="121"/>
        <w:ind w:left="1885" w:right="112" w:hanging="993"/>
        <w:jc w:val="both"/>
      </w:pPr>
      <w:bookmarkStart w:id="77" w:name="_bookmark74"/>
      <w:bookmarkEnd w:id="77"/>
      <w:r>
        <w:t>The</w:t>
      </w:r>
      <w:r>
        <w:rPr>
          <w:spacing w:val="7"/>
        </w:rPr>
        <w:t xml:space="preserve"> </w:t>
      </w:r>
      <w:r>
        <w:rPr>
          <w:spacing w:val="-1"/>
        </w:rPr>
        <w:t>Customer</w:t>
      </w:r>
      <w:r>
        <w:rPr>
          <w:spacing w:val="7"/>
        </w:rPr>
        <w:t xml:space="preserve"> </w:t>
      </w:r>
      <w:r>
        <w:rPr>
          <w:spacing w:val="-1"/>
        </w:rPr>
        <w:t>may,</w:t>
      </w:r>
      <w:r>
        <w:rPr>
          <w:spacing w:val="9"/>
        </w:rPr>
        <w:t xml:space="preserve"> </w:t>
      </w:r>
      <w:r>
        <w:rPr>
          <w:spacing w:val="-1"/>
        </w:rPr>
        <w:t>at</w:t>
      </w:r>
      <w:r>
        <w:rPr>
          <w:spacing w:val="9"/>
        </w:rPr>
        <w:t xml:space="preserve"> </w:t>
      </w:r>
      <w:r>
        <w:rPr>
          <w:spacing w:val="-2"/>
        </w:rPr>
        <w:t>its</w:t>
      </w:r>
      <w:r>
        <w:rPr>
          <w:spacing w:val="8"/>
        </w:rPr>
        <w:t xml:space="preserve"> </w:t>
      </w:r>
      <w:r>
        <w:rPr>
          <w:spacing w:val="-1"/>
        </w:rPr>
        <w:t>discretion</w:t>
      </w:r>
      <w:r>
        <w:rPr>
          <w:spacing w:val="7"/>
        </w:rPr>
        <w:t xml:space="preserve"> </w:t>
      </w:r>
      <w:r>
        <w:rPr>
          <w:spacing w:val="-1"/>
        </w:rPr>
        <w:t>and</w:t>
      </w:r>
      <w:r>
        <w:rPr>
          <w:spacing w:val="7"/>
        </w:rPr>
        <w:t xml:space="preserve"> </w:t>
      </w:r>
      <w:r>
        <w:rPr>
          <w:spacing w:val="-2"/>
        </w:rPr>
        <w:t>without</w:t>
      </w:r>
      <w:r>
        <w:rPr>
          <w:spacing w:val="11"/>
        </w:rPr>
        <w:t xml:space="preserve"> </w:t>
      </w:r>
      <w:r>
        <w:rPr>
          <w:spacing w:val="-1"/>
        </w:rPr>
        <w:t>prejudice</w:t>
      </w:r>
      <w:r>
        <w:rPr>
          <w:spacing w:val="8"/>
        </w:rPr>
        <w:t xml:space="preserve"> </w:t>
      </w:r>
      <w:r>
        <w:t>to</w:t>
      </w:r>
      <w:r>
        <w:rPr>
          <w:spacing w:val="7"/>
        </w:rPr>
        <w:t xml:space="preserve"> </w:t>
      </w:r>
      <w:r>
        <w:rPr>
          <w:spacing w:val="-1"/>
        </w:rPr>
        <w:t>any</w:t>
      </w:r>
      <w:r>
        <w:rPr>
          <w:spacing w:val="5"/>
        </w:rPr>
        <w:t xml:space="preserve"> </w:t>
      </w:r>
      <w:r>
        <w:rPr>
          <w:spacing w:val="-1"/>
        </w:rPr>
        <w:t>other</w:t>
      </w:r>
      <w:r>
        <w:rPr>
          <w:spacing w:val="44"/>
        </w:rPr>
        <w:t xml:space="preserve"> </w:t>
      </w:r>
      <w:r>
        <w:rPr>
          <w:spacing w:val="-1"/>
        </w:rPr>
        <w:t>rights</w:t>
      </w:r>
      <w:r>
        <w:rPr>
          <w:spacing w:val="53"/>
        </w:rPr>
        <w:t xml:space="preserve"> </w:t>
      </w:r>
      <w:r>
        <w:rPr>
          <w:spacing w:val="-1"/>
        </w:rPr>
        <w:t>and</w:t>
      </w:r>
      <w:r>
        <w:rPr>
          <w:spacing w:val="53"/>
        </w:rPr>
        <w:t xml:space="preserve"> </w:t>
      </w:r>
      <w:r>
        <w:rPr>
          <w:spacing w:val="-1"/>
        </w:rPr>
        <w:t>remedies</w:t>
      </w:r>
      <w:r>
        <w:rPr>
          <w:spacing w:val="53"/>
        </w:rPr>
        <w:t xml:space="preserve"> </w:t>
      </w:r>
      <w:r>
        <w:rPr>
          <w:spacing w:val="-2"/>
        </w:rPr>
        <w:t>of</w:t>
      </w:r>
      <w:r>
        <w:rPr>
          <w:spacing w:val="54"/>
        </w:rPr>
        <w:t xml:space="preserve"> </w:t>
      </w:r>
      <w:r>
        <w:t>the</w:t>
      </w:r>
      <w:r>
        <w:rPr>
          <w:spacing w:val="53"/>
        </w:rPr>
        <w:t xml:space="preserve"> </w:t>
      </w:r>
      <w:r>
        <w:rPr>
          <w:spacing w:val="-1"/>
        </w:rPr>
        <w:t>Customer</w:t>
      </w:r>
      <w:r>
        <w:rPr>
          <w:spacing w:val="54"/>
        </w:rPr>
        <w:t xml:space="preserve"> </w:t>
      </w:r>
      <w:r>
        <w:rPr>
          <w:spacing w:val="-1"/>
        </w:rPr>
        <w:t>howsoever</w:t>
      </w:r>
      <w:r>
        <w:rPr>
          <w:spacing w:val="55"/>
        </w:rPr>
        <w:t xml:space="preserve"> </w:t>
      </w:r>
      <w:r>
        <w:rPr>
          <w:spacing w:val="-1"/>
        </w:rPr>
        <w:t>arising,</w:t>
      </w:r>
      <w:r>
        <w:rPr>
          <w:spacing w:val="56"/>
        </w:rPr>
        <w:t xml:space="preserve"> </w:t>
      </w:r>
      <w:r>
        <w:rPr>
          <w:spacing w:val="-1"/>
        </w:rPr>
        <w:t>deem</w:t>
      </w:r>
      <w:r>
        <w:rPr>
          <w:spacing w:val="52"/>
        </w:rPr>
        <w:t xml:space="preserve"> </w:t>
      </w:r>
      <w:r>
        <w:rPr>
          <w:spacing w:val="-1"/>
        </w:rPr>
        <w:t>the</w:t>
      </w:r>
      <w:r>
        <w:rPr>
          <w:spacing w:val="22"/>
        </w:rPr>
        <w:t xml:space="preserve"> </w:t>
      </w:r>
      <w:r>
        <w:rPr>
          <w:spacing w:val="-1"/>
        </w:rPr>
        <w:t>failure</w:t>
      </w:r>
      <w:r>
        <w:rPr>
          <w:spacing w:val="51"/>
        </w:rPr>
        <w:t xml:space="preserve"> </w:t>
      </w:r>
      <w:r>
        <w:t>to</w:t>
      </w:r>
      <w:r>
        <w:rPr>
          <w:spacing w:val="51"/>
        </w:rPr>
        <w:t xml:space="preserve"> </w:t>
      </w:r>
      <w:r>
        <w:rPr>
          <w:spacing w:val="-1"/>
        </w:rPr>
        <w:t>comply</w:t>
      </w:r>
      <w:r>
        <w:rPr>
          <w:spacing w:val="51"/>
        </w:rPr>
        <w:t xml:space="preserve"> </w:t>
      </w:r>
      <w:r>
        <w:rPr>
          <w:spacing w:val="-1"/>
        </w:rPr>
        <w:t>with</w:t>
      </w:r>
      <w:r>
        <w:rPr>
          <w:spacing w:val="51"/>
        </w:rPr>
        <w:t xml:space="preserve"> </w:t>
      </w:r>
      <w:r>
        <w:rPr>
          <w:spacing w:val="-1"/>
        </w:rPr>
        <w:t>Clauses</w:t>
      </w:r>
      <w:r>
        <w:rPr>
          <w:spacing w:val="52"/>
        </w:rPr>
        <w:t xml:space="preserve"> </w:t>
      </w:r>
      <w:hyperlink w:anchor="_bookmark65" w:history="1">
        <w:r>
          <w:rPr>
            <w:spacing w:val="-1"/>
          </w:rPr>
          <w:t>7.1,</w:t>
        </w:r>
      </w:hyperlink>
      <w:r>
        <w:rPr>
          <w:spacing w:val="52"/>
        </w:rPr>
        <w:t xml:space="preserve"> </w:t>
      </w:r>
      <w:r>
        <w:rPr>
          <w:spacing w:val="-1"/>
        </w:rPr>
        <w:t>(Provision</w:t>
      </w:r>
      <w:r>
        <w:rPr>
          <w:spacing w:val="54"/>
        </w:rPr>
        <w:t xml:space="preserve"> </w:t>
      </w:r>
      <w:r>
        <w:rPr>
          <w:spacing w:val="-1"/>
        </w:rPr>
        <w:t>of</w:t>
      </w:r>
      <w:r>
        <w:rPr>
          <w:spacing w:val="54"/>
        </w:rPr>
        <w:t xml:space="preserve"> </w:t>
      </w:r>
      <w:r>
        <w:t>the</w:t>
      </w:r>
      <w:r>
        <w:rPr>
          <w:spacing w:val="51"/>
        </w:rPr>
        <w:t xml:space="preserve"> </w:t>
      </w:r>
      <w:r>
        <w:rPr>
          <w:spacing w:val="-1"/>
        </w:rPr>
        <w:t>Services),</w:t>
      </w:r>
      <w:r>
        <w:rPr>
          <w:spacing w:val="52"/>
        </w:rPr>
        <w:t xml:space="preserve"> </w:t>
      </w:r>
      <w:hyperlink w:anchor="_bookmark71" w:history="1">
        <w:r>
          <w:t>8.1</w:t>
        </w:r>
      </w:hyperlink>
      <w:r>
        <w:rPr>
          <w:spacing w:val="25"/>
        </w:rPr>
        <w:t xml:space="preserve"> </w:t>
      </w:r>
      <w:r>
        <w:rPr>
          <w:spacing w:val="-1"/>
        </w:rPr>
        <w:t>(Time</w:t>
      </w:r>
      <w:r>
        <w:rPr>
          <w:spacing w:val="39"/>
        </w:rPr>
        <w:t xml:space="preserve"> </w:t>
      </w:r>
      <w:r>
        <w:rPr>
          <w:spacing w:val="-2"/>
        </w:rPr>
        <w:t>of</w:t>
      </w:r>
      <w:r>
        <w:rPr>
          <w:spacing w:val="40"/>
        </w:rPr>
        <w:t xml:space="preserve"> </w:t>
      </w:r>
      <w:r>
        <w:rPr>
          <w:spacing w:val="-2"/>
        </w:rPr>
        <w:t>Delivery</w:t>
      </w:r>
      <w:r>
        <w:rPr>
          <w:spacing w:val="36"/>
        </w:rPr>
        <w:t xml:space="preserve"> </w:t>
      </w:r>
      <w:r>
        <w:rPr>
          <w:spacing w:val="-1"/>
        </w:rPr>
        <w:t>of</w:t>
      </w:r>
      <w:r>
        <w:rPr>
          <w:spacing w:val="42"/>
        </w:rPr>
        <w:t xml:space="preserve"> </w:t>
      </w:r>
      <w:r>
        <w:t>the</w:t>
      </w:r>
      <w:r>
        <w:rPr>
          <w:spacing w:val="36"/>
        </w:rPr>
        <w:t xml:space="preserve"> </w:t>
      </w:r>
      <w:r>
        <w:rPr>
          <w:spacing w:val="-1"/>
        </w:rPr>
        <w:t>Services)</w:t>
      </w:r>
      <w:r>
        <w:rPr>
          <w:spacing w:val="40"/>
        </w:rPr>
        <w:t xml:space="preserve"> </w:t>
      </w:r>
      <w:r>
        <w:rPr>
          <w:spacing w:val="-1"/>
        </w:rPr>
        <w:t>and</w:t>
      </w:r>
      <w:r>
        <w:rPr>
          <w:spacing w:val="41"/>
        </w:rPr>
        <w:t xml:space="preserve"> </w:t>
      </w:r>
      <w:hyperlink w:anchor="_bookmark72" w:history="1">
        <w:r>
          <w:t>8.2</w:t>
        </w:r>
      </w:hyperlink>
      <w:r>
        <w:rPr>
          <w:spacing w:val="36"/>
        </w:rPr>
        <w:t xml:space="preserve"> </w:t>
      </w:r>
      <w:r>
        <w:rPr>
          <w:spacing w:val="-1"/>
        </w:rPr>
        <w:t>(Location</w:t>
      </w:r>
      <w:r>
        <w:rPr>
          <w:spacing w:val="38"/>
        </w:rPr>
        <w:t xml:space="preserve"> </w:t>
      </w:r>
      <w:r>
        <w:rPr>
          <w:spacing w:val="-1"/>
        </w:rPr>
        <w:t>and</w:t>
      </w:r>
      <w:r>
        <w:rPr>
          <w:spacing w:val="38"/>
        </w:rPr>
        <w:t xml:space="preserve"> </w:t>
      </w:r>
      <w:r>
        <w:rPr>
          <w:spacing w:val="-2"/>
        </w:rPr>
        <w:t>Manner</w:t>
      </w:r>
      <w:r>
        <w:rPr>
          <w:spacing w:val="40"/>
        </w:rPr>
        <w:t xml:space="preserve"> </w:t>
      </w:r>
      <w:r>
        <w:rPr>
          <w:spacing w:val="-2"/>
        </w:rPr>
        <w:t>of</w:t>
      </w:r>
      <w:r>
        <w:rPr>
          <w:spacing w:val="35"/>
        </w:rPr>
        <w:t xml:space="preserve"> </w:t>
      </w:r>
      <w:r>
        <w:rPr>
          <w:spacing w:val="-1"/>
        </w:rPr>
        <w:t>Delivery</w:t>
      </w:r>
      <w:r>
        <w:rPr>
          <w:spacing w:val="5"/>
        </w:rPr>
        <w:t xml:space="preserve"> </w:t>
      </w:r>
      <w:r>
        <w:rPr>
          <w:spacing w:val="-1"/>
        </w:rPr>
        <w:t>of</w:t>
      </w:r>
      <w:r>
        <w:rPr>
          <w:spacing w:val="11"/>
        </w:rPr>
        <w:t xml:space="preserve"> </w:t>
      </w:r>
      <w:r>
        <w:t>the</w:t>
      </w:r>
      <w:r>
        <w:rPr>
          <w:spacing w:val="5"/>
        </w:rPr>
        <w:t xml:space="preserve"> </w:t>
      </w:r>
      <w:r>
        <w:rPr>
          <w:spacing w:val="-1"/>
        </w:rPr>
        <w:t>Services)</w:t>
      </w:r>
      <w:r>
        <w:rPr>
          <w:spacing w:val="8"/>
        </w:rPr>
        <w:t xml:space="preserve"> </w:t>
      </w:r>
      <w:r>
        <w:rPr>
          <w:spacing w:val="-1"/>
        </w:rPr>
        <w:t>and</w:t>
      </w:r>
      <w:r>
        <w:rPr>
          <w:spacing w:val="7"/>
        </w:rPr>
        <w:t xml:space="preserve"> </w:t>
      </w:r>
      <w:r>
        <w:rPr>
          <w:spacing w:val="-1"/>
        </w:rPr>
        <w:t>meet</w:t>
      </w:r>
      <w:r>
        <w:rPr>
          <w:spacing w:val="9"/>
        </w:rPr>
        <w:t xml:space="preserve"> </w:t>
      </w:r>
      <w:r>
        <w:t>the</w:t>
      </w:r>
      <w:r>
        <w:rPr>
          <w:spacing w:val="5"/>
        </w:rPr>
        <w:t xml:space="preserve"> </w:t>
      </w:r>
      <w:r>
        <w:rPr>
          <w:spacing w:val="-2"/>
        </w:rPr>
        <w:t>relevant</w:t>
      </w:r>
      <w:r>
        <w:rPr>
          <w:spacing w:val="7"/>
        </w:rPr>
        <w:t xml:space="preserve"> </w:t>
      </w:r>
      <w:r>
        <w:rPr>
          <w:spacing w:val="-1"/>
        </w:rPr>
        <w:t>Milestone</w:t>
      </w:r>
      <w:r>
        <w:rPr>
          <w:spacing w:val="7"/>
        </w:rPr>
        <w:t xml:space="preserve"> </w:t>
      </w:r>
      <w:r>
        <w:rPr>
          <w:spacing w:val="-1"/>
        </w:rPr>
        <w:t>Date</w:t>
      </w:r>
      <w:r>
        <w:rPr>
          <w:spacing w:val="7"/>
        </w:rPr>
        <w:t xml:space="preserve"> </w:t>
      </w:r>
      <w:r>
        <w:rPr>
          <w:spacing w:val="-2"/>
        </w:rPr>
        <w:t>(if</w:t>
      </w:r>
      <w:r>
        <w:rPr>
          <w:spacing w:val="11"/>
        </w:rPr>
        <w:t xml:space="preserve"> </w:t>
      </w:r>
      <w:r>
        <w:rPr>
          <w:spacing w:val="-2"/>
        </w:rPr>
        <w:t>any)</w:t>
      </w:r>
      <w:r>
        <w:rPr>
          <w:spacing w:val="33"/>
        </w:rPr>
        <w:t xml:space="preserve"> </w:t>
      </w:r>
      <w:r>
        <w:t xml:space="preserve">to </w:t>
      </w:r>
      <w:r>
        <w:rPr>
          <w:spacing w:val="-1"/>
        </w:rPr>
        <w:t>be</w:t>
      </w:r>
      <w:r>
        <w:rPr>
          <w:spacing w:val="-2"/>
        </w:rPr>
        <w:t xml:space="preserve"> </w:t>
      </w:r>
      <w:r>
        <w:t>a</w:t>
      </w:r>
      <w:r>
        <w:rPr>
          <w:spacing w:val="-2"/>
        </w:rPr>
        <w:t xml:space="preserve"> </w:t>
      </w:r>
      <w:r>
        <w:rPr>
          <w:spacing w:val="-1"/>
        </w:rPr>
        <w:t>material</w:t>
      </w:r>
      <w:r>
        <w:t xml:space="preserve"> </w:t>
      </w:r>
      <w:r>
        <w:rPr>
          <w:spacing w:val="-1"/>
        </w:rPr>
        <w:t>Default.</w:t>
      </w:r>
    </w:p>
    <w:p w:rsidR="008918FA" w:rsidRDefault="008918FA" w:rsidP="008918FA">
      <w:pPr>
        <w:pStyle w:val="Heading1"/>
        <w:numPr>
          <w:ilvl w:val="1"/>
          <w:numId w:val="67"/>
        </w:numPr>
        <w:tabs>
          <w:tab w:val="left" w:pos="688"/>
        </w:tabs>
        <w:ind w:left="687"/>
        <w:jc w:val="left"/>
        <w:rPr>
          <w:b w:val="0"/>
          <w:bCs w:val="0"/>
        </w:rPr>
      </w:pPr>
      <w:r>
        <w:rPr>
          <w:spacing w:val="-1"/>
        </w:rPr>
        <w:t>Obligation</w:t>
      </w:r>
      <w:r>
        <w:rPr>
          <w:spacing w:val="-2"/>
        </w:rPr>
        <w:t xml:space="preserve"> </w:t>
      </w:r>
      <w:r>
        <w:t xml:space="preserve">to </w:t>
      </w:r>
      <w:r>
        <w:rPr>
          <w:spacing w:val="-2"/>
        </w:rPr>
        <w:t xml:space="preserve">Remedy </w:t>
      </w:r>
      <w:r>
        <w:rPr>
          <w:spacing w:val="-1"/>
        </w:rPr>
        <w:t>of</w:t>
      </w:r>
      <w:r>
        <w:rPr>
          <w:spacing w:val="2"/>
        </w:rPr>
        <w:t xml:space="preserve"> </w:t>
      </w:r>
      <w:r>
        <w:rPr>
          <w:spacing w:val="-1"/>
        </w:rPr>
        <w:t xml:space="preserve">Default </w:t>
      </w:r>
      <w:r>
        <w:t>in</w:t>
      </w:r>
      <w:r>
        <w:rPr>
          <w:spacing w:val="-2"/>
        </w:rPr>
        <w:t xml:space="preserve"> </w:t>
      </w:r>
      <w:r>
        <w:rPr>
          <w:spacing w:val="-1"/>
        </w:rPr>
        <w:t>the</w:t>
      </w:r>
      <w:r>
        <w:rPr>
          <w:spacing w:val="-2"/>
        </w:rPr>
        <w:t xml:space="preserve"> Supply</w:t>
      </w:r>
      <w:r>
        <w:rPr>
          <w:spacing w:val="-4"/>
        </w:rPr>
        <w:t xml:space="preserve"> </w:t>
      </w:r>
      <w:r>
        <w:rPr>
          <w:spacing w:val="-1"/>
        </w:rPr>
        <w:t>of</w:t>
      </w:r>
      <w:r>
        <w:rPr>
          <w:spacing w:val="2"/>
        </w:rPr>
        <w:t xml:space="preserve"> </w:t>
      </w:r>
      <w:r>
        <w:rPr>
          <w:spacing w:val="-1"/>
        </w:rPr>
        <w:t>the</w:t>
      </w:r>
      <w:r>
        <w:t xml:space="preserve"> </w:t>
      </w:r>
      <w:r>
        <w:rPr>
          <w:spacing w:val="-1"/>
        </w:rPr>
        <w:t>Services</w:t>
      </w:r>
    </w:p>
    <w:p w:rsidR="008918FA" w:rsidRDefault="008918FA" w:rsidP="008918FA">
      <w:pPr>
        <w:pStyle w:val="BodyText"/>
        <w:numPr>
          <w:ilvl w:val="2"/>
          <w:numId w:val="67"/>
        </w:numPr>
        <w:tabs>
          <w:tab w:val="left" w:pos="1886"/>
        </w:tabs>
        <w:spacing w:before="121"/>
        <w:ind w:left="1884" w:right="115" w:hanging="993"/>
        <w:jc w:val="both"/>
      </w:pPr>
      <w:r>
        <w:rPr>
          <w:spacing w:val="-1"/>
        </w:rPr>
        <w:t>Subject</w:t>
      </w:r>
      <w:r>
        <w:rPr>
          <w:spacing w:val="60"/>
        </w:rPr>
        <w:t xml:space="preserve"> </w:t>
      </w:r>
      <w:r>
        <w:t>to</w:t>
      </w:r>
      <w:r>
        <w:rPr>
          <w:spacing w:val="58"/>
        </w:rPr>
        <w:t xml:space="preserve"> </w:t>
      </w:r>
      <w:r>
        <w:rPr>
          <w:spacing w:val="-1"/>
        </w:rPr>
        <w:t>Clauses</w:t>
      </w:r>
      <w:r>
        <w:rPr>
          <w:spacing w:val="59"/>
        </w:rPr>
        <w:t xml:space="preserve"> </w:t>
      </w:r>
      <w:hyperlink w:anchor="_bookmark175" w:history="1">
        <w:r>
          <w:rPr>
            <w:spacing w:val="-1"/>
          </w:rPr>
          <w:t>33.9.2</w:t>
        </w:r>
      </w:hyperlink>
      <w:r>
        <w:rPr>
          <w:spacing w:val="58"/>
        </w:rPr>
        <w:t xml:space="preserve"> </w:t>
      </w:r>
      <w:r>
        <w:rPr>
          <w:spacing w:val="-1"/>
        </w:rPr>
        <w:t>and</w:t>
      </w:r>
      <w:r>
        <w:rPr>
          <w:spacing w:val="58"/>
        </w:rPr>
        <w:t xml:space="preserve"> </w:t>
      </w:r>
      <w:hyperlink w:anchor="_bookmark178" w:history="1">
        <w:r>
          <w:rPr>
            <w:spacing w:val="-1"/>
          </w:rPr>
          <w:t>33.9.3</w:t>
        </w:r>
      </w:hyperlink>
      <w:r>
        <w:rPr>
          <w:spacing w:val="58"/>
        </w:rPr>
        <w:t xml:space="preserve"> </w:t>
      </w:r>
      <w:r>
        <w:t>(IPR</w:t>
      </w:r>
      <w:r>
        <w:rPr>
          <w:spacing w:val="58"/>
        </w:rPr>
        <w:t xml:space="preserve"> </w:t>
      </w:r>
      <w:r>
        <w:rPr>
          <w:spacing w:val="-1"/>
        </w:rPr>
        <w:t>Indemnity)</w:t>
      </w:r>
      <w:r>
        <w:rPr>
          <w:spacing w:val="59"/>
        </w:rPr>
        <w:t xml:space="preserve"> </w:t>
      </w:r>
      <w:r>
        <w:rPr>
          <w:spacing w:val="-1"/>
        </w:rPr>
        <w:t>and</w:t>
      </w:r>
      <w:r>
        <w:rPr>
          <w:spacing w:val="60"/>
        </w:rPr>
        <w:t xml:space="preserve"> </w:t>
      </w:r>
      <w:r>
        <w:rPr>
          <w:spacing w:val="-2"/>
        </w:rPr>
        <w:t>without</w:t>
      </w:r>
      <w:r>
        <w:rPr>
          <w:spacing w:val="38"/>
        </w:rPr>
        <w:t xml:space="preserve"> </w:t>
      </w:r>
      <w:r>
        <w:rPr>
          <w:spacing w:val="-1"/>
        </w:rPr>
        <w:t>prejudice</w:t>
      </w:r>
      <w:r>
        <w:rPr>
          <w:spacing w:val="5"/>
        </w:rPr>
        <w:t xml:space="preserve"> </w:t>
      </w:r>
      <w:r>
        <w:t>to</w:t>
      </w:r>
      <w:r>
        <w:rPr>
          <w:spacing w:val="6"/>
        </w:rPr>
        <w:t xml:space="preserve"> </w:t>
      </w:r>
      <w:r>
        <w:rPr>
          <w:spacing w:val="-1"/>
        </w:rPr>
        <w:t>any</w:t>
      </w:r>
      <w:r>
        <w:rPr>
          <w:spacing w:val="3"/>
        </w:rPr>
        <w:t xml:space="preserve"> </w:t>
      </w:r>
      <w:r>
        <w:rPr>
          <w:spacing w:val="-1"/>
        </w:rPr>
        <w:t>other</w:t>
      </w:r>
      <w:r>
        <w:rPr>
          <w:spacing w:val="6"/>
        </w:rPr>
        <w:t xml:space="preserve"> </w:t>
      </w:r>
      <w:r>
        <w:rPr>
          <w:spacing w:val="-1"/>
        </w:rPr>
        <w:t>rights</w:t>
      </w:r>
      <w:r>
        <w:rPr>
          <w:spacing w:val="5"/>
        </w:rPr>
        <w:t xml:space="preserve"> </w:t>
      </w:r>
      <w:r>
        <w:rPr>
          <w:spacing w:val="-1"/>
        </w:rPr>
        <w:t>and</w:t>
      </w:r>
      <w:r>
        <w:rPr>
          <w:spacing w:val="5"/>
        </w:rPr>
        <w:t xml:space="preserve"> </w:t>
      </w:r>
      <w:r>
        <w:rPr>
          <w:spacing w:val="-1"/>
        </w:rPr>
        <w:t>remedies</w:t>
      </w:r>
      <w:r>
        <w:rPr>
          <w:spacing w:val="5"/>
        </w:rPr>
        <w:t xml:space="preserve"> </w:t>
      </w:r>
      <w:r>
        <w:rPr>
          <w:spacing w:val="-2"/>
        </w:rPr>
        <w:t>of</w:t>
      </w:r>
      <w:r>
        <w:rPr>
          <w:spacing w:val="9"/>
        </w:rPr>
        <w:t xml:space="preserve"> </w:t>
      </w:r>
      <w:r>
        <w:t>the</w:t>
      </w:r>
      <w:r>
        <w:rPr>
          <w:spacing w:val="3"/>
        </w:rPr>
        <w:t xml:space="preserve"> </w:t>
      </w:r>
      <w:r>
        <w:rPr>
          <w:spacing w:val="-1"/>
        </w:rPr>
        <w:t>Customer</w:t>
      </w:r>
      <w:r>
        <w:rPr>
          <w:spacing w:val="6"/>
        </w:rPr>
        <w:t xml:space="preserve"> </w:t>
      </w:r>
      <w:r>
        <w:rPr>
          <w:spacing w:val="-2"/>
        </w:rPr>
        <w:t>howsoever</w:t>
      </w:r>
      <w:r>
        <w:rPr>
          <w:spacing w:val="30"/>
        </w:rPr>
        <w:t xml:space="preserve"> </w:t>
      </w:r>
      <w:r>
        <w:rPr>
          <w:spacing w:val="-1"/>
        </w:rPr>
        <w:t>arising</w:t>
      </w:r>
      <w:r>
        <w:rPr>
          <w:spacing w:val="29"/>
        </w:rPr>
        <w:t xml:space="preserve"> </w:t>
      </w:r>
      <w:r>
        <w:rPr>
          <w:spacing w:val="-2"/>
        </w:rPr>
        <w:t>(including</w:t>
      </w:r>
      <w:r>
        <w:rPr>
          <w:spacing w:val="29"/>
        </w:rPr>
        <w:t xml:space="preserve"> </w:t>
      </w:r>
      <w:r>
        <w:rPr>
          <w:spacing w:val="-1"/>
        </w:rPr>
        <w:t>under</w:t>
      </w:r>
      <w:r>
        <w:rPr>
          <w:spacing w:val="26"/>
        </w:rPr>
        <w:t xml:space="preserve"> </w:t>
      </w:r>
      <w:r>
        <w:rPr>
          <w:spacing w:val="-1"/>
        </w:rPr>
        <w:t>Clauses</w:t>
      </w:r>
      <w:r>
        <w:rPr>
          <w:spacing w:val="27"/>
        </w:rPr>
        <w:t xml:space="preserve"> </w:t>
      </w:r>
      <w:hyperlink w:anchor="_bookmark74" w:history="1">
        <w:r>
          <w:t>8.3.2</w:t>
        </w:r>
      </w:hyperlink>
      <w:r>
        <w:rPr>
          <w:spacing w:val="27"/>
        </w:rPr>
        <w:t xml:space="preserve"> </w:t>
      </w:r>
      <w:r>
        <w:rPr>
          <w:spacing w:val="-2"/>
        </w:rPr>
        <w:t>(Undelivered</w:t>
      </w:r>
      <w:r>
        <w:rPr>
          <w:spacing w:val="27"/>
        </w:rPr>
        <w:t xml:space="preserve"> </w:t>
      </w:r>
      <w:r>
        <w:rPr>
          <w:spacing w:val="-1"/>
        </w:rPr>
        <w:t>Services)</w:t>
      </w:r>
      <w:r>
        <w:rPr>
          <w:spacing w:val="30"/>
        </w:rPr>
        <w:t xml:space="preserve"> </w:t>
      </w:r>
      <w:r>
        <w:rPr>
          <w:spacing w:val="-1"/>
        </w:rPr>
        <w:t>and</w:t>
      </w:r>
      <w:r>
        <w:rPr>
          <w:spacing w:val="27"/>
        </w:rPr>
        <w:t xml:space="preserve"> </w:t>
      </w:r>
      <w:hyperlink w:anchor="_bookmark214" w:history="1">
        <w:r>
          <w:rPr>
            <w:spacing w:val="-1"/>
          </w:rPr>
          <w:t>38</w:t>
        </w:r>
      </w:hyperlink>
      <w:r>
        <w:rPr>
          <w:spacing w:val="44"/>
        </w:rPr>
        <w:t xml:space="preserve"> </w:t>
      </w:r>
      <w:r>
        <w:rPr>
          <w:spacing w:val="-1"/>
        </w:rPr>
        <w:t>(Customer</w:t>
      </w:r>
      <w:r>
        <w:rPr>
          <w:spacing w:val="33"/>
        </w:rPr>
        <w:t xml:space="preserve"> </w:t>
      </w:r>
      <w:r>
        <w:rPr>
          <w:spacing w:val="-1"/>
        </w:rPr>
        <w:t>Remedies</w:t>
      </w:r>
      <w:r>
        <w:rPr>
          <w:spacing w:val="30"/>
        </w:rPr>
        <w:t xml:space="preserve"> </w:t>
      </w:r>
      <w:r>
        <w:t>for</w:t>
      </w:r>
      <w:r>
        <w:rPr>
          <w:spacing w:val="33"/>
        </w:rPr>
        <w:t xml:space="preserve"> </w:t>
      </w:r>
      <w:r>
        <w:rPr>
          <w:spacing w:val="-1"/>
        </w:rPr>
        <w:t>Default)),</w:t>
      </w:r>
      <w:r>
        <w:rPr>
          <w:spacing w:val="33"/>
        </w:rPr>
        <w:t xml:space="preserve"> </w:t>
      </w:r>
      <w:r>
        <w:t>the</w:t>
      </w:r>
      <w:r>
        <w:rPr>
          <w:spacing w:val="31"/>
        </w:rPr>
        <w:t xml:space="preserve"> </w:t>
      </w:r>
      <w:r>
        <w:rPr>
          <w:spacing w:val="-2"/>
        </w:rPr>
        <w:t>Supplier</w:t>
      </w:r>
      <w:r>
        <w:rPr>
          <w:spacing w:val="33"/>
        </w:rPr>
        <w:t xml:space="preserve"> </w:t>
      </w:r>
      <w:r>
        <w:rPr>
          <w:spacing w:val="-1"/>
        </w:rPr>
        <w:t>shall,</w:t>
      </w:r>
      <w:r>
        <w:rPr>
          <w:spacing w:val="35"/>
        </w:rPr>
        <w:t xml:space="preserve"> </w:t>
      </w:r>
      <w:r>
        <w:rPr>
          <w:spacing w:val="-2"/>
        </w:rPr>
        <w:t>where</w:t>
      </w:r>
      <w:r>
        <w:rPr>
          <w:spacing w:val="31"/>
        </w:rPr>
        <w:t xml:space="preserve"> </w:t>
      </w:r>
      <w:r>
        <w:rPr>
          <w:spacing w:val="-1"/>
        </w:rPr>
        <w:t>practicable:</w:t>
      </w:r>
    </w:p>
    <w:p w:rsidR="008918FA" w:rsidRDefault="008918FA" w:rsidP="008918FA">
      <w:pPr>
        <w:pStyle w:val="BodyText"/>
        <w:numPr>
          <w:ilvl w:val="3"/>
          <w:numId w:val="67"/>
        </w:numPr>
        <w:tabs>
          <w:tab w:val="left" w:pos="2593"/>
        </w:tabs>
        <w:ind w:right="115"/>
        <w:jc w:val="both"/>
      </w:pPr>
      <w:r>
        <w:rPr>
          <w:spacing w:val="-1"/>
        </w:rPr>
        <w:t>remedy</w:t>
      </w:r>
      <w:r>
        <w:rPr>
          <w:spacing w:val="15"/>
        </w:rPr>
        <w:t xml:space="preserve"> </w:t>
      </w:r>
      <w:r>
        <w:rPr>
          <w:spacing w:val="-1"/>
        </w:rPr>
        <w:t>any</w:t>
      </w:r>
      <w:r>
        <w:rPr>
          <w:spacing w:val="15"/>
        </w:rPr>
        <w:t xml:space="preserve"> </w:t>
      </w:r>
      <w:r>
        <w:rPr>
          <w:spacing w:val="-1"/>
        </w:rPr>
        <w:t>breach</w:t>
      </w:r>
      <w:r>
        <w:rPr>
          <w:spacing w:val="15"/>
        </w:rPr>
        <w:t xml:space="preserve"> </w:t>
      </w:r>
      <w:r>
        <w:rPr>
          <w:spacing w:val="-2"/>
        </w:rPr>
        <w:t>of</w:t>
      </w:r>
      <w:r>
        <w:rPr>
          <w:spacing w:val="19"/>
        </w:rPr>
        <w:t xml:space="preserve"> </w:t>
      </w:r>
      <w:r>
        <w:rPr>
          <w:spacing w:val="-2"/>
        </w:rPr>
        <w:t>its</w:t>
      </w:r>
      <w:r>
        <w:rPr>
          <w:spacing w:val="18"/>
        </w:rPr>
        <w:t xml:space="preserve"> </w:t>
      </w:r>
      <w:r>
        <w:rPr>
          <w:spacing w:val="-1"/>
        </w:rPr>
        <w:t>obligations</w:t>
      </w:r>
      <w:r>
        <w:rPr>
          <w:spacing w:val="18"/>
        </w:rPr>
        <w:t xml:space="preserve"> </w:t>
      </w:r>
      <w:r>
        <w:rPr>
          <w:spacing w:val="-1"/>
        </w:rPr>
        <w:t>in</w:t>
      </w:r>
      <w:r>
        <w:rPr>
          <w:spacing w:val="17"/>
        </w:rPr>
        <w:t xml:space="preserve"> </w:t>
      </w:r>
      <w:r>
        <w:rPr>
          <w:spacing w:val="-1"/>
        </w:rPr>
        <w:t>Clauses</w:t>
      </w:r>
      <w:r>
        <w:rPr>
          <w:spacing w:val="15"/>
        </w:rPr>
        <w:t xml:space="preserve"> </w:t>
      </w:r>
      <w:hyperlink w:anchor="_bookmark64" w:history="1">
        <w:r>
          <w:t>7</w:t>
        </w:r>
      </w:hyperlink>
      <w:r>
        <w:rPr>
          <w:spacing w:val="17"/>
        </w:rPr>
        <w:t xml:space="preserve"> </w:t>
      </w:r>
      <w:r>
        <w:rPr>
          <w:spacing w:val="-1"/>
        </w:rPr>
        <w:t>and</w:t>
      </w:r>
      <w:r>
        <w:rPr>
          <w:spacing w:val="17"/>
        </w:rPr>
        <w:t xml:space="preserve"> </w:t>
      </w:r>
      <w:hyperlink w:anchor="_bookmark70" w:history="1">
        <w:r>
          <w:t>8</w:t>
        </w:r>
      </w:hyperlink>
      <w:r>
        <w:rPr>
          <w:spacing w:val="15"/>
        </w:rPr>
        <w:t xml:space="preserve"> </w:t>
      </w:r>
      <w:r>
        <w:rPr>
          <w:spacing w:val="-2"/>
        </w:rPr>
        <w:t>within</w:t>
      </w:r>
      <w:r>
        <w:rPr>
          <w:spacing w:val="27"/>
        </w:rPr>
        <w:t xml:space="preserve"> </w:t>
      </w:r>
      <w:r>
        <w:rPr>
          <w:spacing w:val="-1"/>
        </w:rPr>
        <w:t>three</w:t>
      </w:r>
      <w:r>
        <w:rPr>
          <w:spacing w:val="2"/>
        </w:rPr>
        <w:t xml:space="preserve"> </w:t>
      </w:r>
      <w:r>
        <w:rPr>
          <w:spacing w:val="-1"/>
        </w:rPr>
        <w:t>(3)</w:t>
      </w:r>
      <w:r>
        <w:rPr>
          <w:spacing w:val="59"/>
        </w:rPr>
        <w:t xml:space="preserve"> </w:t>
      </w:r>
      <w:r>
        <w:rPr>
          <w:spacing w:val="-1"/>
        </w:rPr>
        <w:t>Working</w:t>
      </w:r>
      <w:r>
        <w:rPr>
          <w:spacing w:val="4"/>
        </w:rPr>
        <w:t xml:space="preserve"> </w:t>
      </w:r>
      <w:r>
        <w:rPr>
          <w:spacing w:val="-2"/>
        </w:rPr>
        <w:t>Days</w:t>
      </w:r>
      <w:r>
        <w:rPr>
          <w:spacing w:val="2"/>
        </w:rPr>
        <w:t xml:space="preserve"> </w:t>
      </w:r>
      <w:r>
        <w:rPr>
          <w:spacing w:val="-1"/>
        </w:rPr>
        <w:t>of</w:t>
      </w:r>
      <w:r>
        <w:rPr>
          <w:spacing w:val="5"/>
        </w:rPr>
        <w:t xml:space="preserve"> </w:t>
      </w:r>
      <w:r>
        <w:rPr>
          <w:spacing w:val="-2"/>
        </w:rPr>
        <w:t>becoming</w:t>
      </w:r>
      <w:r>
        <w:rPr>
          <w:spacing w:val="4"/>
        </w:rPr>
        <w:t xml:space="preserve"> </w:t>
      </w:r>
      <w:r>
        <w:rPr>
          <w:spacing w:val="-2"/>
        </w:rPr>
        <w:t>aware</w:t>
      </w:r>
      <w:r>
        <w:rPr>
          <w:spacing w:val="2"/>
        </w:rPr>
        <w:t xml:space="preserve"> </w:t>
      </w:r>
      <w:r>
        <w:rPr>
          <w:spacing w:val="-1"/>
        </w:rPr>
        <w:t>of</w:t>
      </w:r>
      <w:r>
        <w:rPr>
          <w:spacing w:val="3"/>
        </w:rPr>
        <w:t xml:space="preserve"> </w:t>
      </w:r>
      <w:r>
        <w:t>the</w:t>
      </w:r>
      <w:r>
        <w:rPr>
          <w:spacing w:val="2"/>
        </w:rPr>
        <w:t xml:space="preserve"> </w:t>
      </w:r>
      <w:r>
        <w:rPr>
          <w:spacing w:val="-2"/>
        </w:rPr>
        <w:t>relevant</w:t>
      </w:r>
      <w:r>
        <w:rPr>
          <w:spacing w:val="58"/>
        </w:rPr>
        <w:t xml:space="preserve"> </w:t>
      </w:r>
      <w:r>
        <w:rPr>
          <w:spacing w:val="-1"/>
        </w:rPr>
        <w:t>Default</w:t>
      </w:r>
      <w:r>
        <w:rPr>
          <w:spacing w:val="60"/>
        </w:rPr>
        <w:t xml:space="preserve"> </w:t>
      </w:r>
      <w:r>
        <w:rPr>
          <w:spacing w:val="-1"/>
        </w:rPr>
        <w:t>or</w:t>
      </w:r>
      <w:r>
        <w:rPr>
          <w:spacing w:val="59"/>
        </w:rPr>
        <w:t xml:space="preserve"> </w:t>
      </w:r>
      <w:r>
        <w:rPr>
          <w:spacing w:val="-2"/>
        </w:rPr>
        <w:t>being</w:t>
      </w:r>
      <w:r>
        <w:rPr>
          <w:spacing w:val="60"/>
        </w:rPr>
        <w:t xml:space="preserve"> </w:t>
      </w:r>
      <w:r>
        <w:rPr>
          <w:spacing w:val="-1"/>
        </w:rPr>
        <w:t>notified</w:t>
      </w:r>
      <w:r>
        <w:rPr>
          <w:spacing w:val="58"/>
        </w:rPr>
        <w:t xml:space="preserve"> </w:t>
      </w:r>
      <w:r>
        <w:rPr>
          <w:spacing w:val="-2"/>
        </w:rPr>
        <w:t>of</w:t>
      </w:r>
      <w:r>
        <w:t xml:space="preserve">  the</w:t>
      </w:r>
      <w:r>
        <w:rPr>
          <w:spacing w:val="58"/>
        </w:rPr>
        <w:t xml:space="preserve"> </w:t>
      </w:r>
      <w:r>
        <w:rPr>
          <w:spacing w:val="-2"/>
        </w:rPr>
        <w:t>Default</w:t>
      </w:r>
      <w:r>
        <w:rPr>
          <w:spacing w:val="60"/>
        </w:rPr>
        <w:t xml:space="preserve"> </w:t>
      </w:r>
      <w:r>
        <w:rPr>
          <w:spacing w:val="-1"/>
        </w:rPr>
        <w:t>by</w:t>
      </w:r>
      <w:r>
        <w:rPr>
          <w:spacing w:val="57"/>
        </w:rPr>
        <w:t xml:space="preserve"> </w:t>
      </w:r>
      <w:r>
        <w:t>the</w:t>
      </w:r>
      <w:r>
        <w:rPr>
          <w:spacing w:val="58"/>
        </w:rPr>
        <w:t xml:space="preserve"> </w:t>
      </w:r>
      <w:r>
        <w:rPr>
          <w:spacing w:val="-1"/>
        </w:rPr>
        <w:t>Customer</w:t>
      </w:r>
      <w:r>
        <w:rPr>
          <w:spacing w:val="59"/>
        </w:rPr>
        <w:t xml:space="preserve"> </w:t>
      </w:r>
      <w:r>
        <w:rPr>
          <w:spacing w:val="-1"/>
        </w:rPr>
        <w:t>or</w:t>
      </w:r>
      <w:r>
        <w:rPr>
          <w:spacing w:val="32"/>
        </w:rPr>
        <w:t xml:space="preserve"> </w:t>
      </w:r>
      <w:r>
        <w:rPr>
          <w:spacing w:val="-1"/>
        </w:rPr>
        <w:t>within</w:t>
      </w:r>
      <w:r>
        <w:rPr>
          <w:spacing w:val="16"/>
        </w:rPr>
        <w:t xml:space="preserve"> </w:t>
      </w:r>
      <w:r>
        <w:rPr>
          <w:spacing w:val="-1"/>
        </w:rPr>
        <w:t>such</w:t>
      </w:r>
      <w:r>
        <w:rPr>
          <w:spacing w:val="16"/>
        </w:rPr>
        <w:t xml:space="preserve"> </w:t>
      </w:r>
      <w:r>
        <w:rPr>
          <w:spacing w:val="-1"/>
        </w:rPr>
        <w:t>other</w:t>
      </w:r>
      <w:r>
        <w:rPr>
          <w:spacing w:val="17"/>
        </w:rPr>
        <w:t xml:space="preserve"> </w:t>
      </w:r>
      <w:r>
        <w:rPr>
          <w:spacing w:val="-1"/>
        </w:rPr>
        <w:t>time</w:t>
      </w:r>
      <w:r>
        <w:rPr>
          <w:spacing w:val="13"/>
        </w:rPr>
        <w:t xml:space="preserve"> </w:t>
      </w:r>
      <w:r>
        <w:rPr>
          <w:spacing w:val="-1"/>
        </w:rPr>
        <w:t>period</w:t>
      </w:r>
      <w:r>
        <w:rPr>
          <w:spacing w:val="16"/>
        </w:rPr>
        <w:t xml:space="preserve"> </w:t>
      </w:r>
      <w:r>
        <w:rPr>
          <w:spacing w:val="-1"/>
        </w:rPr>
        <w:t>as</w:t>
      </w:r>
      <w:r>
        <w:rPr>
          <w:spacing w:val="14"/>
        </w:rPr>
        <w:t xml:space="preserve"> </w:t>
      </w:r>
      <w:r>
        <w:rPr>
          <w:spacing w:val="-1"/>
        </w:rPr>
        <w:t>may</w:t>
      </w:r>
      <w:r>
        <w:rPr>
          <w:spacing w:val="14"/>
        </w:rPr>
        <w:t xml:space="preserve"> </w:t>
      </w:r>
      <w:r>
        <w:rPr>
          <w:spacing w:val="-1"/>
        </w:rPr>
        <w:t>be</w:t>
      </w:r>
      <w:r>
        <w:rPr>
          <w:spacing w:val="16"/>
        </w:rPr>
        <w:t xml:space="preserve"> </w:t>
      </w:r>
      <w:r>
        <w:rPr>
          <w:spacing w:val="-1"/>
        </w:rPr>
        <w:t>agreed</w:t>
      </w:r>
      <w:r>
        <w:rPr>
          <w:spacing w:val="16"/>
        </w:rPr>
        <w:t xml:space="preserve"> </w:t>
      </w:r>
      <w:r>
        <w:rPr>
          <w:spacing w:val="-2"/>
        </w:rPr>
        <w:t>with</w:t>
      </w:r>
      <w:r>
        <w:rPr>
          <w:spacing w:val="16"/>
        </w:rPr>
        <w:t xml:space="preserve"> </w:t>
      </w:r>
      <w:r>
        <w:rPr>
          <w:spacing w:val="-1"/>
        </w:rPr>
        <w:t>the</w:t>
      </w:r>
      <w:r>
        <w:rPr>
          <w:spacing w:val="28"/>
        </w:rPr>
        <w:t xml:space="preserve"> </w:t>
      </w:r>
      <w:r>
        <w:rPr>
          <w:spacing w:val="-1"/>
        </w:rPr>
        <w:t>Customer</w:t>
      </w:r>
      <w:r>
        <w:rPr>
          <w:spacing w:val="4"/>
        </w:rPr>
        <w:t xml:space="preserve"> </w:t>
      </w:r>
      <w:r>
        <w:rPr>
          <w:spacing w:val="-1"/>
        </w:rPr>
        <w:t>(taking</w:t>
      </w:r>
      <w:r>
        <w:rPr>
          <w:spacing w:val="7"/>
        </w:rPr>
        <w:t xml:space="preserve"> </w:t>
      </w:r>
      <w:r>
        <w:rPr>
          <w:spacing w:val="-1"/>
        </w:rPr>
        <w:t>into</w:t>
      </w:r>
      <w:r>
        <w:rPr>
          <w:spacing w:val="3"/>
        </w:rPr>
        <w:t xml:space="preserve"> </w:t>
      </w:r>
      <w:r>
        <w:rPr>
          <w:spacing w:val="-1"/>
        </w:rPr>
        <w:t>account</w:t>
      </w:r>
      <w:r>
        <w:rPr>
          <w:spacing w:val="4"/>
        </w:rPr>
        <w:t xml:space="preserve"> </w:t>
      </w:r>
      <w:r>
        <w:t>the</w:t>
      </w:r>
      <w:r>
        <w:rPr>
          <w:spacing w:val="5"/>
        </w:rPr>
        <w:t xml:space="preserve"> </w:t>
      </w:r>
      <w:r>
        <w:rPr>
          <w:spacing w:val="-1"/>
        </w:rPr>
        <w:t>nature</w:t>
      </w:r>
      <w:r>
        <w:rPr>
          <w:spacing w:val="3"/>
        </w:rPr>
        <w:t xml:space="preserve"> </w:t>
      </w:r>
      <w:r>
        <w:rPr>
          <w:spacing w:val="-2"/>
        </w:rPr>
        <w:t>of</w:t>
      </w:r>
      <w:r>
        <w:rPr>
          <w:spacing w:val="6"/>
        </w:rPr>
        <w:t xml:space="preserve"> </w:t>
      </w:r>
      <w:r>
        <w:t>the</w:t>
      </w:r>
      <w:r>
        <w:rPr>
          <w:spacing w:val="5"/>
        </w:rPr>
        <w:t xml:space="preserve"> </w:t>
      </w:r>
      <w:r>
        <w:rPr>
          <w:spacing w:val="-1"/>
        </w:rPr>
        <w:t>breach</w:t>
      </w:r>
      <w:r>
        <w:rPr>
          <w:spacing w:val="3"/>
        </w:rPr>
        <w:t xml:space="preserve"> </w:t>
      </w:r>
      <w:r>
        <w:rPr>
          <w:spacing w:val="-1"/>
        </w:rPr>
        <w:t>that</w:t>
      </w:r>
      <w:r>
        <w:rPr>
          <w:spacing w:val="4"/>
        </w:rPr>
        <w:t xml:space="preserve"> </w:t>
      </w:r>
      <w:r>
        <w:rPr>
          <w:spacing w:val="-1"/>
        </w:rPr>
        <w:t>has</w:t>
      </w:r>
      <w:r>
        <w:rPr>
          <w:spacing w:val="22"/>
        </w:rPr>
        <w:t xml:space="preserve"> </w:t>
      </w:r>
      <w:r>
        <w:rPr>
          <w:spacing w:val="-1"/>
        </w:rPr>
        <w:t>occurred);</w:t>
      </w:r>
      <w:r>
        <w:t xml:space="preserve"> </w:t>
      </w:r>
      <w:r>
        <w:rPr>
          <w:spacing w:val="-1"/>
        </w:rPr>
        <w:t>and</w:t>
      </w:r>
    </w:p>
    <w:p w:rsidR="008918FA" w:rsidRDefault="008918FA" w:rsidP="008918FA">
      <w:pPr>
        <w:pStyle w:val="BodyText"/>
        <w:numPr>
          <w:ilvl w:val="3"/>
          <w:numId w:val="67"/>
        </w:numPr>
        <w:tabs>
          <w:tab w:val="left" w:pos="2593"/>
        </w:tabs>
        <w:spacing w:before="121"/>
        <w:ind w:right="116"/>
        <w:jc w:val="both"/>
      </w:pPr>
      <w:r>
        <w:rPr>
          <w:spacing w:val="-1"/>
        </w:rPr>
        <w:t>meet</w:t>
      </w:r>
      <w:r>
        <w:rPr>
          <w:spacing w:val="4"/>
        </w:rPr>
        <w:t xml:space="preserve"> </w:t>
      </w:r>
      <w:r>
        <w:rPr>
          <w:spacing w:val="-1"/>
        </w:rPr>
        <w:t>all</w:t>
      </w:r>
      <w:r>
        <w:rPr>
          <w:spacing w:val="2"/>
        </w:rPr>
        <w:t xml:space="preserve"> </w:t>
      </w:r>
      <w:r>
        <w:t>the</w:t>
      </w:r>
      <w:r>
        <w:rPr>
          <w:spacing w:val="3"/>
        </w:rPr>
        <w:t xml:space="preserve"> </w:t>
      </w:r>
      <w:r>
        <w:rPr>
          <w:spacing w:val="-1"/>
        </w:rPr>
        <w:t>costs</w:t>
      </w:r>
      <w:r>
        <w:rPr>
          <w:spacing w:val="3"/>
        </w:rPr>
        <w:t xml:space="preserve"> </w:t>
      </w:r>
      <w:r>
        <w:rPr>
          <w:spacing w:val="-1"/>
        </w:rPr>
        <w:t>of,</w:t>
      </w:r>
      <w:r>
        <w:rPr>
          <w:spacing w:val="4"/>
        </w:rPr>
        <w:t xml:space="preserve"> </w:t>
      </w:r>
      <w:r>
        <w:rPr>
          <w:spacing w:val="-2"/>
        </w:rPr>
        <w:t>and</w:t>
      </w:r>
      <w:r>
        <w:rPr>
          <w:spacing w:val="3"/>
        </w:rPr>
        <w:t xml:space="preserve"> </w:t>
      </w:r>
      <w:r>
        <w:rPr>
          <w:spacing w:val="-1"/>
        </w:rPr>
        <w:t>incidental</w:t>
      </w:r>
      <w:r>
        <w:rPr>
          <w:spacing w:val="2"/>
        </w:rPr>
        <w:t xml:space="preserve"> </w:t>
      </w:r>
      <w:r>
        <w:t>to,</w:t>
      </w:r>
      <w:r>
        <w:rPr>
          <w:spacing w:val="4"/>
        </w:rPr>
        <w:t xml:space="preserve"> </w:t>
      </w:r>
      <w:r>
        <w:t>the</w:t>
      </w:r>
      <w:r>
        <w:rPr>
          <w:spacing w:val="3"/>
        </w:rPr>
        <w:t xml:space="preserve"> </w:t>
      </w:r>
      <w:r>
        <w:rPr>
          <w:spacing w:val="-1"/>
        </w:rPr>
        <w:t>performance</w:t>
      </w:r>
      <w:r>
        <w:rPr>
          <w:spacing w:val="3"/>
        </w:rPr>
        <w:t xml:space="preserve"> </w:t>
      </w:r>
      <w:r>
        <w:rPr>
          <w:spacing w:val="-2"/>
        </w:rPr>
        <w:t>of</w:t>
      </w:r>
      <w:r>
        <w:rPr>
          <w:spacing w:val="4"/>
        </w:rPr>
        <w:t xml:space="preserve"> </w:t>
      </w:r>
      <w:r>
        <w:rPr>
          <w:spacing w:val="-1"/>
        </w:rPr>
        <w:t>such</w:t>
      </w:r>
      <w:r>
        <w:rPr>
          <w:spacing w:val="20"/>
        </w:rPr>
        <w:t xml:space="preserve"> </w:t>
      </w:r>
      <w:r>
        <w:rPr>
          <w:spacing w:val="-1"/>
        </w:rPr>
        <w:t>remedial</w:t>
      </w:r>
      <w:r>
        <w:t xml:space="preserve"> </w:t>
      </w:r>
      <w:r>
        <w:rPr>
          <w:spacing w:val="-2"/>
        </w:rPr>
        <w:t>work.</w:t>
      </w:r>
    </w:p>
    <w:p w:rsidR="008918FA" w:rsidRDefault="008918FA" w:rsidP="008918FA">
      <w:pPr>
        <w:pStyle w:val="Heading1"/>
        <w:numPr>
          <w:ilvl w:val="1"/>
          <w:numId w:val="67"/>
        </w:numPr>
        <w:tabs>
          <w:tab w:val="left" w:pos="687"/>
        </w:tabs>
        <w:spacing w:before="119"/>
        <w:ind w:left="686" w:hanging="359"/>
        <w:jc w:val="left"/>
        <w:rPr>
          <w:b w:val="0"/>
          <w:bCs w:val="0"/>
        </w:rPr>
      </w:pPr>
      <w:bookmarkStart w:id="78" w:name="_bookmark75"/>
      <w:bookmarkEnd w:id="78"/>
      <w:r>
        <w:rPr>
          <w:spacing w:val="-1"/>
        </w:rPr>
        <w:t>Continuing</w:t>
      </w:r>
      <w:r>
        <w:rPr>
          <w:spacing w:val="-4"/>
        </w:rPr>
        <w:t xml:space="preserve"> </w:t>
      </w:r>
      <w:r>
        <w:rPr>
          <w:spacing w:val="-1"/>
        </w:rPr>
        <w:t>Obligation</w:t>
      </w:r>
      <w:r>
        <w:rPr>
          <w:spacing w:val="-2"/>
        </w:rPr>
        <w:t xml:space="preserve"> </w:t>
      </w:r>
      <w:r>
        <w:rPr>
          <w:spacing w:val="-1"/>
        </w:rPr>
        <w:t>to</w:t>
      </w:r>
      <w:r>
        <w:t xml:space="preserve"> </w:t>
      </w:r>
      <w:r>
        <w:rPr>
          <w:spacing w:val="-1"/>
        </w:rPr>
        <w:t>Provide</w:t>
      </w:r>
      <w:r>
        <w:t xml:space="preserve"> </w:t>
      </w:r>
      <w:r>
        <w:rPr>
          <w:spacing w:val="-1"/>
        </w:rPr>
        <w:t>the</w:t>
      </w:r>
      <w:r>
        <w:rPr>
          <w:spacing w:val="-2"/>
        </w:rPr>
        <w:t xml:space="preserve"> </w:t>
      </w:r>
      <w:r>
        <w:rPr>
          <w:spacing w:val="-1"/>
        </w:rPr>
        <w:t>Services</w:t>
      </w:r>
    </w:p>
    <w:p w:rsidR="008918FA" w:rsidRDefault="008918FA" w:rsidP="008918FA">
      <w:pPr>
        <w:pStyle w:val="BodyText"/>
        <w:numPr>
          <w:ilvl w:val="2"/>
          <w:numId w:val="67"/>
        </w:numPr>
        <w:tabs>
          <w:tab w:val="left" w:pos="1885"/>
        </w:tabs>
        <w:spacing w:before="121"/>
        <w:ind w:left="1884" w:right="117"/>
        <w:jc w:val="both"/>
      </w:pPr>
      <w:r>
        <w:t>The</w:t>
      </w:r>
      <w:r>
        <w:rPr>
          <w:spacing w:val="22"/>
        </w:rPr>
        <w:t xml:space="preserve"> </w:t>
      </w:r>
      <w:r>
        <w:rPr>
          <w:spacing w:val="-2"/>
        </w:rPr>
        <w:t>Supplier</w:t>
      </w:r>
      <w:r>
        <w:rPr>
          <w:spacing w:val="23"/>
        </w:rPr>
        <w:t xml:space="preserve"> </w:t>
      </w:r>
      <w:r>
        <w:rPr>
          <w:spacing w:val="-1"/>
        </w:rPr>
        <w:t>shall</w:t>
      </w:r>
      <w:r>
        <w:rPr>
          <w:spacing w:val="21"/>
        </w:rPr>
        <w:t xml:space="preserve"> </w:t>
      </w:r>
      <w:r>
        <w:rPr>
          <w:spacing w:val="-1"/>
        </w:rPr>
        <w:t>continue</w:t>
      </w:r>
      <w:r>
        <w:rPr>
          <w:spacing w:val="22"/>
        </w:rPr>
        <w:t xml:space="preserve"> </w:t>
      </w:r>
      <w:r>
        <w:t>to</w:t>
      </w:r>
      <w:r>
        <w:rPr>
          <w:spacing w:val="22"/>
        </w:rPr>
        <w:t xml:space="preserve"> </w:t>
      </w:r>
      <w:r>
        <w:rPr>
          <w:spacing w:val="-1"/>
        </w:rPr>
        <w:t>perform</w:t>
      </w:r>
      <w:r>
        <w:rPr>
          <w:spacing w:val="23"/>
        </w:rPr>
        <w:t xml:space="preserve"> </w:t>
      </w:r>
      <w:r>
        <w:rPr>
          <w:spacing w:val="-1"/>
        </w:rPr>
        <w:t>all</w:t>
      </w:r>
      <w:r>
        <w:rPr>
          <w:spacing w:val="21"/>
        </w:rPr>
        <w:t xml:space="preserve"> </w:t>
      </w:r>
      <w:r>
        <w:rPr>
          <w:spacing w:val="-2"/>
        </w:rPr>
        <w:t>of</w:t>
      </w:r>
      <w:r>
        <w:rPr>
          <w:spacing w:val="26"/>
        </w:rPr>
        <w:t xml:space="preserve"> </w:t>
      </w:r>
      <w:r>
        <w:rPr>
          <w:spacing w:val="-1"/>
        </w:rPr>
        <w:t>its</w:t>
      </w:r>
      <w:r>
        <w:rPr>
          <w:spacing w:val="22"/>
        </w:rPr>
        <w:t xml:space="preserve"> </w:t>
      </w:r>
      <w:r>
        <w:rPr>
          <w:spacing w:val="-1"/>
        </w:rPr>
        <w:t>obligations</w:t>
      </w:r>
      <w:r>
        <w:rPr>
          <w:spacing w:val="22"/>
        </w:rPr>
        <w:t xml:space="preserve"> </w:t>
      </w:r>
      <w:r>
        <w:rPr>
          <w:spacing w:val="-1"/>
        </w:rPr>
        <w:t>under</w:t>
      </w:r>
      <w:r>
        <w:rPr>
          <w:spacing w:val="23"/>
        </w:rPr>
        <w:t xml:space="preserve"> </w:t>
      </w:r>
      <w:r>
        <w:rPr>
          <w:spacing w:val="-1"/>
        </w:rPr>
        <w:t>this</w:t>
      </w:r>
      <w:r>
        <w:rPr>
          <w:spacing w:val="51"/>
        </w:rPr>
        <w:t xml:space="preserve"> </w:t>
      </w:r>
      <w:r>
        <w:rPr>
          <w:spacing w:val="-2"/>
        </w:rPr>
        <w:t>Call</w:t>
      </w:r>
      <w:r>
        <w:rPr>
          <w:spacing w:val="17"/>
        </w:rPr>
        <w:t xml:space="preserve"> </w:t>
      </w:r>
      <w:r>
        <w:t>Off</w:t>
      </w:r>
      <w:r>
        <w:rPr>
          <w:spacing w:val="21"/>
        </w:rPr>
        <w:t xml:space="preserve"> </w:t>
      </w:r>
      <w:r>
        <w:rPr>
          <w:spacing w:val="-2"/>
        </w:rPr>
        <w:t>Contract</w:t>
      </w:r>
      <w:r>
        <w:rPr>
          <w:spacing w:val="19"/>
        </w:rPr>
        <w:t xml:space="preserve"> </w:t>
      </w:r>
      <w:r>
        <w:rPr>
          <w:spacing w:val="-1"/>
        </w:rPr>
        <w:t>and</w:t>
      </w:r>
      <w:r>
        <w:rPr>
          <w:spacing w:val="17"/>
        </w:rPr>
        <w:t xml:space="preserve"> </w:t>
      </w:r>
      <w:r>
        <w:rPr>
          <w:spacing w:val="-1"/>
        </w:rPr>
        <w:t>shall</w:t>
      </w:r>
      <w:r>
        <w:rPr>
          <w:spacing w:val="17"/>
        </w:rPr>
        <w:t xml:space="preserve"> </w:t>
      </w:r>
      <w:r>
        <w:rPr>
          <w:spacing w:val="-1"/>
        </w:rPr>
        <w:t>not</w:t>
      </w:r>
      <w:r>
        <w:rPr>
          <w:spacing w:val="19"/>
        </w:rPr>
        <w:t xml:space="preserve"> </w:t>
      </w:r>
      <w:r>
        <w:rPr>
          <w:spacing w:val="-1"/>
        </w:rPr>
        <w:t>suspend</w:t>
      </w:r>
      <w:r>
        <w:rPr>
          <w:spacing w:val="17"/>
        </w:rPr>
        <w:t xml:space="preserve"> </w:t>
      </w:r>
      <w:r>
        <w:t>the</w:t>
      </w:r>
      <w:r>
        <w:rPr>
          <w:spacing w:val="17"/>
        </w:rPr>
        <w:t xml:space="preserve"> </w:t>
      </w:r>
      <w:r>
        <w:rPr>
          <w:spacing w:val="-1"/>
        </w:rPr>
        <w:t>provision</w:t>
      </w:r>
      <w:r>
        <w:rPr>
          <w:spacing w:val="17"/>
        </w:rPr>
        <w:t xml:space="preserve"> </w:t>
      </w:r>
      <w:r>
        <w:rPr>
          <w:spacing w:val="-1"/>
        </w:rPr>
        <w:t>of</w:t>
      </w:r>
      <w:r>
        <w:rPr>
          <w:spacing w:val="21"/>
        </w:rPr>
        <w:t xml:space="preserve"> </w:t>
      </w:r>
      <w:r>
        <w:t>the</w:t>
      </w:r>
      <w:r>
        <w:rPr>
          <w:spacing w:val="17"/>
        </w:rPr>
        <w:t xml:space="preserve"> </w:t>
      </w:r>
      <w:r>
        <w:rPr>
          <w:spacing w:val="-2"/>
        </w:rPr>
        <w:t>Services,</w:t>
      </w:r>
      <w:r>
        <w:rPr>
          <w:spacing w:val="56"/>
        </w:rPr>
        <w:t xml:space="preserve"> </w:t>
      </w:r>
      <w:r>
        <w:rPr>
          <w:spacing w:val="-1"/>
        </w:rPr>
        <w:t>notwithstanding:</w:t>
      </w:r>
    </w:p>
    <w:p w:rsidR="008918FA" w:rsidRDefault="008918FA" w:rsidP="008918FA">
      <w:pPr>
        <w:pStyle w:val="BodyText"/>
        <w:numPr>
          <w:ilvl w:val="3"/>
          <w:numId w:val="67"/>
        </w:numPr>
        <w:tabs>
          <w:tab w:val="left" w:pos="2593"/>
        </w:tabs>
        <w:ind w:right="114"/>
        <w:jc w:val="both"/>
        <w:rPr>
          <w:rFonts w:cs="Arial"/>
        </w:rPr>
      </w:pPr>
      <w:r>
        <w:rPr>
          <w:spacing w:val="-1"/>
        </w:rPr>
        <w:t>any</w:t>
      </w:r>
      <w:r>
        <w:rPr>
          <w:spacing w:val="18"/>
        </w:rPr>
        <w:t xml:space="preserve"> </w:t>
      </w:r>
      <w:r>
        <w:rPr>
          <w:spacing w:val="-2"/>
        </w:rPr>
        <w:t>withholding</w:t>
      </w:r>
      <w:r>
        <w:rPr>
          <w:spacing w:val="20"/>
        </w:rPr>
        <w:t xml:space="preserve"> </w:t>
      </w:r>
      <w:r>
        <w:rPr>
          <w:spacing w:val="-1"/>
        </w:rPr>
        <w:t>or</w:t>
      </w:r>
      <w:r>
        <w:rPr>
          <w:spacing w:val="19"/>
        </w:rPr>
        <w:t xml:space="preserve"> </w:t>
      </w:r>
      <w:r>
        <w:rPr>
          <w:spacing w:val="-1"/>
        </w:rPr>
        <w:t>deduction</w:t>
      </w:r>
      <w:r>
        <w:rPr>
          <w:spacing w:val="17"/>
        </w:rPr>
        <w:t xml:space="preserve"> </w:t>
      </w:r>
      <w:r>
        <w:rPr>
          <w:spacing w:val="-1"/>
        </w:rPr>
        <w:t>by</w:t>
      </w:r>
      <w:r>
        <w:rPr>
          <w:spacing w:val="15"/>
        </w:rPr>
        <w:t xml:space="preserve"> </w:t>
      </w:r>
      <w:r>
        <w:t>the</w:t>
      </w:r>
      <w:r>
        <w:rPr>
          <w:spacing w:val="17"/>
        </w:rPr>
        <w:t xml:space="preserve"> </w:t>
      </w:r>
      <w:r>
        <w:rPr>
          <w:spacing w:val="-1"/>
        </w:rPr>
        <w:t>Customer</w:t>
      </w:r>
      <w:r>
        <w:rPr>
          <w:spacing w:val="19"/>
        </w:rPr>
        <w:t xml:space="preserve"> </w:t>
      </w:r>
      <w:r>
        <w:rPr>
          <w:spacing w:val="-2"/>
        </w:rPr>
        <w:t>of</w:t>
      </w:r>
      <w:r>
        <w:rPr>
          <w:spacing w:val="21"/>
        </w:rPr>
        <w:t xml:space="preserve"> </w:t>
      </w:r>
      <w:r>
        <w:rPr>
          <w:spacing w:val="-1"/>
        </w:rPr>
        <w:t>any</w:t>
      </w:r>
      <w:r>
        <w:rPr>
          <w:spacing w:val="15"/>
        </w:rPr>
        <w:t xml:space="preserve"> </w:t>
      </w:r>
      <w:r>
        <w:rPr>
          <w:spacing w:val="-1"/>
        </w:rPr>
        <w:t>sum</w:t>
      </w:r>
      <w:r>
        <w:rPr>
          <w:spacing w:val="19"/>
        </w:rPr>
        <w:t xml:space="preserve"> </w:t>
      </w:r>
      <w:r>
        <w:rPr>
          <w:spacing w:val="-1"/>
        </w:rPr>
        <w:t>due</w:t>
      </w:r>
      <w:r>
        <w:rPr>
          <w:spacing w:val="46"/>
        </w:rPr>
        <w:t xml:space="preserve"> </w:t>
      </w:r>
      <w:r>
        <w:t>to</w:t>
      </w:r>
      <w:r>
        <w:rPr>
          <w:spacing w:val="16"/>
        </w:rPr>
        <w:t xml:space="preserve"> </w:t>
      </w:r>
      <w:r>
        <w:t>the</w:t>
      </w:r>
      <w:r>
        <w:rPr>
          <w:spacing w:val="16"/>
        </w:rPr>
        <w:t xml:space="preserve"> </w:t>
      </w:r>
      <w:r>
        <w:rPr>
          <w:spacing w:val="-2"/>
        </w:rPr>
        <w:t>Supplier</w:t>
      </w:r>
      <w:r>
        <w:rPr>
          <w:spacing w:val="18"/>
        </w:rPr>
        <w:t xml:space="preserve"> </w:t>
      </w:r>
      <w:r>
        <w:rPr>
          <w:spacing w:val="-1"/>
        </w:rPr>
        <w:t>pursuant</w:t>
      </w:r>
      <w:r>
        <w:rPr>
          <w:spacing w:val="17"/>
        </w:rPr>
        <w:t xml:space="preserve"> </w:t>
      </w:r>
      <w:r>
        <w:t>to</w:t>
      </w:r>
      <w:r>
        <w:rPr>
          <w:spacing w:val="14"/>
        </w:rPr>
        <w:t xml:space="preserve"> </w:t>
      </w:r>
      <w:r>
        <w:t>the</w:t>
      </w:r>
      <w:r>
        <w:rPr>
          <w:spacing w:val="16"/>
        </w:rPr>
        <w:t xml:space="preserve"> </w:t>
      </w:r>
      <w:r>
        <w:rPr>
          <w:spacing w:val="-2"/>
        </w:rPr>
        <w:t>exercise</w:t>
      </w:r>
      <w:r>
        <w:rPr>
          <w:spacing w:val="19"/>
        </w:rPr>
        <w:t xml:space="preserve"> </w:t>
      </w:r>
      <w:r>
        <w:rPr>
          <w:spacing w:val="-2"/>
        </w:rPr>
        <w:t>of</w:t>
      </w:r>
      <w:r>
        <w:rPr>
          <w:spacing w:val="17"/>
        </w:rPr>
        <w:t xml:space="preserve"> </w:t>
      </w:r>
      <w:r>
        <w:t>a</w:t>
      </w:r>
      <w:r>
        <w:rPr>
          <w:spacing w:val="16"/>
        </w:rPr>
        <w:t xml:space="preserve"> </w:t>
      </w:r>
      <w:r>
        <w:rPr>
          <w:spacing w:val="-1"/>
        </w:rPr>
        <w:t>right</w:t>
      </w:r>
      <w:r>
        <w:rPr>
          <w:spacing w:val="17"/>
        </w:rPr>
        <w:t xml:space="preserve"> </w:t>
      </w:r>
      <w:r>
        <w:rPr>
          <w:spacing w:val="-2"/>
        </w:rPr>
        <w:t>of</w:t>
      </w:r>
      <w:r>
        <w:rPr>
          <w:spacing w:val="17"/>
        </w:rPr>
        <w:t xml:space="preserve"> </w:t>
      </w:r>
      <w:r>
        <w:t>the</w:t>
      </w:r>
      <w:r>
        <w:rPr>
          <w:spacing w:val="41"/>
        </w:rPr>
        <w:t xml:space="preserve"> </w:t>
      </w:r>
      <w:r>
        <w:rPr>
          <w:spacing w:val="-1"/>
        </w:rPr>
        <w:t>Customer</w:t>
      </w:r>
      <w:r>
        <w:rPr>
          <w:spacing w:val="26"/>
        </w:rPr>
        <w:t xml:space="preserve"> </w:t>
      </w:r>
      <w:r>
        <w:t>to</w:t>
      </w:r>
      <w:r>
        <w:rPr>
          <w:spacing w:val="24"/>
        </w:rPr>
        <w:t xml:space="preserve"> </w:t>
      </w:r>
      <w:r>
        <w:rPr>
          <w:spacing w:val="-1"/>
        </w:rPr>
        <w:t>such</w:t>
      </w:r>
      <w:r>
        <w:rPr>
          <w:spacing w:val="25"/>
        </w:rPr>
        <w:t xml:space="preserve"> </w:t>
      </w:r>
      <w:r>
        <w:rPr>
          <w:spacing w:val="-1"/>
        </w:rPr>
        <w:t>withholding</w:t>
      </w:r>
      <w:r>
        <w:rPr>
          <w:spacing w:val="27"/>
        </w:rPr>
        <w:t xml:space="preserve"> </w:t>
      </w:r>
      <w:r>
        <w:rPr>
          <w:spacing w:val="-1"/>
        </w:rPr>
        <w:t>or</w:t>
      </w:r>
      <w:r>
        <w:rPr>
          <w:spacing w:val="26"/>
        </w:rPr>
        <w:t xml:space="preserve"> </w:t>
      </w:r>
      <w:r>
        <w:rPr>
          <w:spacing w:val="-1"/>
        </w:rPr>
        <w:t>deduction</w:t>
      </w:r>
      <w:r>
        <w:rPr>
          <w:spacing w:val="24"/>
        </w:rPr>
        <w:t xml:space="preserve"> </w:t>
      </w:r>
      <w:r>
        <w:rPr>
          <w:spacing w:val="-1"/>
        </w:rPr>
        <w:t>under</w:t>
      </w:r>
      <w:r>
        <w:rPr>
          <w:spacing w:val="26"/>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31"/>
        </w:rPr>
        <w:t xml:space="preserve"> </w:t>
      </w:r>
      <w:r>
        <w:rPr>
          <w:spacing w:val="-1"/>
        </w:rPr>
        <w:t>Contract</w:t>
      </w:r>
      <w:r>
        <w:rPr>
          <w:i/>
          <w:spacing w:val="-1"/>
        </w:rPr>
        <w:t>;</w:t>
      </w:r>
    </w:p>
    <w:p w:rsidR="008918FA" w:rsidRDefault="008918FA" w:rsidP="008918FA">
      <w:pPr>
        <w:pStyle w:val="BodyText"/>
        <w:numPr>
          <w:ilvl w:val="3"/>
          <w:numId w:val="67"/>
        </w:numPr>
        <w:tabs>
          <w:tab w:val="left" w:pos="2592"/>
        </w:tabs>
      </w:pPr>
      <w:r>
        <w:t xml:space="preserve">the </w:t>
      </w:r>
      <w:r>
        <w:rPr>
          <w:spacing w:val="-1"/>
        </w:rPr>
        <w:t>existence</w:t>
      </w:r>
      <w:r>
        <w:rPr>
          <w:spacing w:val="1"/>
        </w:rPr>
        <w:t xml:space="preserve"> </w:t>
      </w:r>
      <w:r>
        <w:rPr>
          <w:spacing w:val="-2"/>
        </w:rPr>
        <w:t>of</w:t>
      </w:r>
      <w:r>
        <w:rPr>
          <w:spacing w:val="2"/>
        </w:rPr>
        <w:t xml:space="preserve"> </w:t>
      </w:r>
      <w:r>
        <w:rPr>
          <w:spacing w:val="-1"/>
        </w:rPr>
        <w:t>an</w:t>
      </w:r>
      <w:r>
        <w:rPr>
          <w:spacing w:val="-2"/>
        </w:rPr>
        <w:t xml:space="preserve"> unresolved</w:t>
      </w:r>
      <w:r>
        <w:t xml:space="preserve"> </w:t>
      </w:r>
      <w:r>
        <w:rPr>
          <w:spacing w:val="-1"/>
        </w:rPr>
        <w:t>Dispute;</w:t>
      </w:r>
      <w:r>
        <w:rPr>
          <w:spacing w:val="2"/>
        </w:rPr>
        <w:t xml:space="preserve"> </w:t>
      </w:r>
      <w:r>
        <w:rPr>
          <w:spacing w:val="-1"/>
        </w:rPr>
        <w:t>and/or</w:t>
      </w:r>
    </w:p>
    <w:p w:rsidR="008918FA" w:rsidRDefault="008918FA" w:rsidP="008918FA">
      <w:pPr>
        <w:pStyle w:val="BodyText"/>
        <w:numPr>
          <w:ilvl w:val="3"/>
          <w:numId w:val="67"/>
        </w:numPr>
        <w:tabs>
          <w:tab w:val="left" w:pos="2592"/>
        </w:tabs>
        <w:ind w:left="2591" w:right="116"/>
        <w:jc w:val="both"/>
      </w:pPr>
      <w:r>
        <w:rPr>
          <w:spacing w:val="-1"/>
        </w:rPr>
        <w:t>any</w:t>
      </w:r>
      <w:r>
        <w:rPr>
          <w:spacing w:val="12"/>
        </w:rPr>
        <w:t xml:space="preserve"> </w:t>
      </w:r>
      <w:r>
        <w:rPr>
          <w:spacing w:val="-1"/>
        </w:rPr>
        <w:t>failure</w:t>
      </w:r>
      <w:r>
        <w:rPr>
          <w:spacing w:val="13"/>
        </w:rPr>
        <w:t xml:space="preserve"> </w:t>
      </w:r>
      <w:r>
        <w:rPr>
          <w:spacing w:val="-1"/>
        </w:rPr>
        <w:t>by</w:t>
      </w:r>
      <w:r>
        <w:rPr>
          <w:spacing w:val="12"/>
        </w:rPr>
        <w:t xml:space="preserve"> </w:t>
      </w:r>
      <w:r>
        <w:t>the</w:t>
      </w:r>
      <w:r>
        <w:rPr>
          <w:spacing w:val="14"/>
        </w:rPr>
        <w:t xml:space="preserve"> </w:t>
      </w:r>
      <w:r>
        <w:rPr>
          <w:spacing w:val="-1"/>
        </w:rPr>
        <w:t>Customer</w:t>
      </w:r>
      <w:r>
        <w:rPr>
          <w:spacing w:val="15"/>
        </w:rPr>
        <w:t xml:space="preserve"> </w:t>
      </w:r>
      <w:r>
        <w:t>to</w:t>
      </w:r>
      <w:r>
        <w:rPr>
          <w:spacing w:val="14"/>
        </w:rPr>
        <w:t xml:space="preserve"> </w:t>
      </w:r>
      <w:r>
        <w:rPr>
          <w:spacing w:val="-1"/>
        </w:rPr>
        <w:t>pay</w:t>
      </w:r>
      <w:r>
        <w:rPr>
          <w:spacing w:val="12"/>
        </w:rPr>
        <w:t xml:space="preserve"> </w:t>
      </w:r>
      <w:r>
        <w:rPr>
          <w:spacing w:val="-1"/>
        </w:rPr>
        <w:t>any</w:t>
      </w:r>
      <w:r>
        <w:rPr>
          <w:spacing w:val="12"/>
        </w:rPr>
        <w:t xml:space="preserve"> </w:t>
      </w:r>
      <w:r>
        <w:rPr>
          <w:spacing w:val="-1"/>
        </w:rPr>
        <w:t>Call</w:t>
      </w:r>
      <w:r>
        <w:rPr>
          <w:spacing w:val="15"/>
        </w:rPr>
        <w:t xml:space="preserve"> </w:t>
      </w:r>
      <w:r>
        <w:rPr>
          <w:spacing w:val="-1"/>
        </w:rPr>
        <w:t>Off</w:t>
      </w:r>
      <w:r>
        <w:rPr>
          <w:spacing w:val="17"/>
        </w:rPr>
        <w:t xml:space="preserve"> </w:t>
      </w:r>
      <w:r>
        <w:rPr>
          <w:spacing w:val="-2"/>
        </w:rPr>
        <w:t>Contract</w:t>
      </w:r>
      <w:r>
        <w:rPr>
          <w:spacing w:val="49"/>
        </w:rPr>
        <w:t xml:space="preserve"> </w:t>
      </w:r>
      <w:r>
        <w:rPr>
          <w:spacing w:val="-1"/>
        </w:rPr>
        <w:t>Charges,</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rPr>
          <w:rFonts w:ascii="Arial" w:eastAsia="Arial" w:hAnsi="Arial" w:cs="Arial"/>
        </w:rPr>
      </w:pPr>
    </w:p>
    <w:p w:rsidR="008918FA" w:rsidRDefault="008918FA" w:rsidP="008918FA">
      <w:pPr>
        <w:rPr>
          <w:rFonts w:ascii="Arial" w:eastAsia="Arial" w:hAnsi="Arial" w:cs="Arial"/>
        </w:rPr>
      </w:pPr>
    </w:p>
    <w:p w:rsidR="008918FA" w:rsidRDefault="008918FA" w:rsidP="008918FA">
      <w:pPr>
        <w:rPr>
          <w:rFonts w:ascii="Arial" w:eastAsia="Arial" w:hAnsi="Arial" w:cs="Arial"/>
        </w:rPr>
      </w:pPr>
    </w:p>
    <w:p w:rsidR="008918FA" w:rsidRDefault="008918FA" w:rsidP="008918FA">
      <w:pPr>
        <w:rPr>
          <w:rFonts w:ascii="Arial" w:eastAsia="Arial" w:hAnsi="Arial" w:cs="Arial"/>
        </w:rPr>
      </w:pPr>
    </w:p>
    <w:p w:rsidR="008918FA" w:rsidRDefault="008918FA" w:rsidP="008918FA">
      <w:pPr>
        <w:pStyle w:val="BodyText"/>
        <w:numPr>
          <w:ilvl w:val="0"/>
          <w:numId w:val="66"/>
        </w:numPr>
        <w:tabs>
          <w:tab w:val="left" w:pos="687"/>
        </w:tabs>
        <w:spacing w:before="178"/>
        <w:rPr>
          <w:rFonts w:ascii="Times New Roman" w:eastAsia="Times New Roman" w:hAnsi="Times New Roman" w:cs="Times New Roman"/>
        </w:rPr>
      </w:pPr>
      <w:bookmarkStart w:id="79" w:name="_bookmark76"/>
      <w:bookmarkEnd w:id="79"/>
      <w:r>
        <w:rPr>
          <w:rFonts w:ascii="Times New Roman"/>
          <w:spacing w:val="6"/>
        </w:rPr>
        <w:t>GOO</w:t>
      </w:r>
      <w:bookmarkStart w:id="80" w:name="9._GOODS"/>
      <w:bookmarkEnd w:id="80"/>
      <w:r>
        <w:rPr>
          <w:rFonts w:ascii="Times New Roman"/>
          <w:spacing w:val="6"/>
        </w:rPr>
        <w:t>DS</w:t>
      </w:r>
    </w:p>
    <w:p w:rsidR="008918FA" w:rsidRDefault="008918FA" w:rsidP="008918FA">
      <w:pPr>
        <w:pStyle w:val="BodyText"/>
        <w:numPr>
          <w:ilvl w:val="3"/>
          <w:numId w:val="67"/>
        </w:numPr>
        <w:tabs>
          <w:tab w:val="left" w:pos="828"/>
        </w:tabs>
        <w:spacing w:before="59"/>
        <w:ind w:left="827" w:right="112"/>
        <w:jc w:val="both"/>
      </w:pPr>
      <w:r>
        <w:br w:type="column"/>
      </w:r>
      <w:r>
        <w:rPr>
          <w:spacing w:val="-1"/>
        </w:rPr>
        <w:t>unless</w:t>
      </w:r>
      <w:r>
        <w:rPr>
          <w:spacing w:val="3"/>
        </w:rPr>
        <w:t xml:space="preserve"> </w:t>
      </w:r>
      <w:r>
        <w:t>the</w:t>
      </w:r>
      <w:r>
        <w:rPr>
          <w:spacing w:val="3"/>
        </w:rPr>
        <w:t xml:space="preserve"> </w:t>
      </w:r>
      <w:r>
        <w:rPr>
          <w:spacing w:val="-2"/>
        </w:rPr>
        <w:t>Supplier</w:t>
      </w:r>
      <w:r>
        <w:rPr>
          <w:spacing w:val="4"/>
        </w:rPr>
        <w:t xml:space="preserve"> </w:t>
      </w:r>
      <w:r>
        <w:rPr>
          <w:spacing w:val="-1"/>
        </w:rPr>
        <w:t>is</w:t>
      </w:r>
      <w:r>
        <w:rPr>
          <w:spacing w:val="3"/>
        </w:rPr>
        <w:t xml:space="preserve"> </w:t>
      </w:r>
      <w:r>
        <w:rPr>
          <w:spacing w:val="-1"/>
        </w:rPr>
        <w:t>entitled</w:t>
      </w:r>
      <w:r>
        <w:rPr>
          <w:spacing w:val="3"/>
        </w:rPr>
        <w:t xml:space="preserve"> </w:t>
      </w:r>
      <w:r>
        <w:t>to</w:t>
      </w:r>
      <w:r>
        <w:rPr>
          <w:spacing w:val="3"/>
        </w:rPr>
        <w:t xml:space="preserve"> </w:t>
      </w:r>
      <w:r>
        <w:rPr>
          <w:spacing w:val="-1"/>
        </w:rPr>
        <w:t>terminate</w:t>
      </w:r>
      <w:r>
        <w:rPr>
          <w:spacing w:val="3"/>
        </w:rPr>
        <w:t xml:space="preserve"> </w:t>
      </w:r>
      <w:r>
        <w:rPr>
          <w:spacing w:val="-1"/>
        </w:rPr>
        <w:t>this</w:t>
      </w:r>
      <w:r>
        <w:rPr>
          <w:spacing w:val="4"/>
        </w:rPr>
        <w:t xml:space="preserve"> </w:t>
      </w:r>
      <w:r>
        <w:rPr>
          <w:spacing w:val="-2"/>
        </w:rPr>
        <w:t>Call</w:t>
      </w:r>
      <w:r>
        <w:rPr>
          <w:spacing w:val="2"/>
        </w:rPr>
        <w:t xml:space="preserve"> </w:t>
      </w:r>
      <w:r>
        <w:t>Off</w:t>
      </w:r>
      <w:r>
        <w:rPr>
          <w:spacing w:val="4"/>
        </w:rPr>
        <w:t xml:space="preserve"> </w:t>
      </w:r>
      <w:r>
        <w:rPr>
          <w:spacing w:val="-2"/>
        </w:rPr>
        <w:t>Contract</w:t>
      </w:r>
      <w:r>
        <w:rPr>
          <w:spacing w:val="51"/>
        </w:rPr>
        <w:t xml:space="preserve"> </w:t>
      </w:r>
      <w:r>
        <w:rPr>
          <w:spacing w:val="-1"/>
        </w:rPr>
        <w:t>under</w:t>
      </w:r>
      <w:r>
        <w:rPr>
          <w:spacing w:val="6"/>
        </w:rPr>
        <w:t xml:space="preserve"> </w:t>
      </w:r>
      <w:r>
        <w:rPr>
          <w:spacing w:val="-2"/>
        </w:rPr>
        <w:t>Clause</w:t>
      </w:r>
      <w:r>
        <w:rPr>
          <w:spacing w:val="6"/>
        </w:rPr>
        <w:t xml:space="preserve"> </w:t>
      </w:r>
      <w:hyperlink w:anchor="_bookmark243" w:history="1">
        <w:r>
          <w:rPr>
            <w:spacing w:val="-1"/>
          </w:rPr>
          <w:t>42.1</w:t>
        </w:r>
      </w:hyperlink>
      <w:r>
        <w:rPr>
          <w:spacing w:val="5"/>
        </w:rPr>
        <w:t xml:space="preserve"> </w:t>
      </w:r>
      <w:r>
        <w:rPr>
          <w:spacing w:val="-1"/>
        </w:rPr>
        <w:t>(Termination</w:t>
      </w:r>
      <w:r>
        <w:rPr>
          <w:spacing w:val="6"/>
        </w:rPr>
        <w:t xml:space="preserve"> </w:t>
      </w:r>
      <w:r>
        <w:rPr>
          <w:spacing w:val="-1"/>
        </w:rPr>
        <w:t>on</w:t>
      </w:r>
      <w:r>
        <w:rPr>
          <w:spacing w:val="5"/>
        </w:rPr>
        <w:t xml:space="preserve"> </w:t>
      </w:r>
      <w:r>
        <w:rPr>
          <w:spacing w:val="-1"/>
        </w:rPr>
        <w:t>Customer</w:t>
      </w:r>
      <w:r>
        <w:rPr>
          <w:spacing w:val="6"/>
        </w:rPr>
        <w:t xml:space="preserve"> </w:t>
      </w:r>
      <w:r>
        <w:rPr>
          <w:spacing w:val="-1"/>
        </w:rPr>
        <w:t>Cause</w:t>
      </w:r>
      <w:r>
        <w:rPr>
          <w:spacing w:val="4"/>
        </w:rPr>
        <w:t xml:space="preserve"> </w:t>
      </w:r>
      <w:r>
        <w:t>for</w:t>
      </w:r>
      <w:r>
        <w:rPr>
          <w:spacing w:val="6"/>
        </w:rPr>
        <w:t xml:space="preserve"> </w:t>
      </w:r>
      <w:r>
        <w:rPr>
          <w:spacing w:val="-1"/>
        </w:rPr>
        <w:t>Failure</w:t>
      </w:r>
      <w:r>
        <w:rPr>
          <w:spacing w:val="31"/>
        </w:rPr>
        <w:t xml:space="preserve"> </w:t>
      </w:r>
      <w:r>
        <w:t>to</w:t>
      </w:r>
      <w:r>
        <w:rPr>
          <w:spacing w:val="24"/>
        </w:rPr>
        <w:t xml:space="preserve"> </w:t>
      </w:r>
      <w:r>
        <w:rPr>
          <w:spacing w:val="-2"/>
        </w:rPr>
        <w:t>Pay)</w:t>
      </w:r>
      <w:r>
        <w:rPr>
          <w:spacing w:val="23"/>
        </w:rPr>
        <w:t xml:space="preserve"> </w:t>
      </w:r>
      <w:r>
        <w:t>for</w:t>
      </w:r>
      <w:r>
        <w:rPr>
          <w:spacing w:val="23"/>
        </w:rPr>
        <w:t xml:space="preserve"> </w:t>
      </w:r>
      <w:r>
        <w:rPr>
          <w:spacing w:val="-1"/>
        </w:rPr>
        <w:t>failure</w:t>
      </w:r>
      <w:r>
        <w:rPr>
          <w:spacing w:val="25"/>
        </w:rPr>
        <w:t xml:space="preserve"> </w:t>
      </w:r>
      <w:r>
        <w:rPr>
          <w:spacing w:val="-1"/>
        </w:rPr>
        <w:t>by</w:t>
      </w:r>
      <w:r>
        <w:rPr>
          <w:spacing w:val="22"/>
        </w:rPr>
        <w:t xml:space="preserve"> </w:t>
      </w:r>
      <w:r>
        <w:rPr>
          <w:spacing w:val="-1"/>
        </w:rPr>
        <w:t>the</w:t>
      </w:r>
      <w:r>
        <w:rPr>
          <w:spacing w:val="24"/>
        </w:rPr>
        <w:t xml:space="preserve"> </w:t>
      </w:r>
      <w:r>
        <w:rPr>
          <w:spacing w:val="-1"/>
        </w:rPr>
        <w:t>Customer</w:t>
      </w:r>
      <w:r>
        <w:rPr>
          <w:spacing w:val="24"/>
        </w:rPr>
        <w:t xml:space="preserve"> </w:t>
      </w:r>
      <w:r>
        <w:t>to</w:t>
      </w:r>
      <w:r>
        <w:rPr>
          <w:spacing w:val="24"/>
        </w:rPr>
        <w:t xml:space="preserve"> </w:t>
      </w:r>
      <w:r>
        <w:rPr>
          <w:spacing w:val="-1"/>
        </w:rPr>
        <w:t>pay</w:t>
      </w:r>
      <w:r>
        <w:rPr>
          <w:spacing w:val="22"/>
        </w:rPr>
        <w:t xml:space="preserve"> </w:t>
      </w:r>
      <w:r>
        <w:rPr>
          <w:spacing w:val="-1"/>
        </w:rPr>
        <w:t>undisputed</w:t>
      </w:r>
      <w:r>
        <w:rPr>
          <w:spacing w:val="25"/>
        </w:rPr>
        <w:t xml:space="preserve"> </w:t>
      </w:r>
      <w:r>
        <w:rPr>
          <w:spacing w:val="-2"/>
        </w:rPr>
        <w:t>Call</w:t>
      </w:r>
      <w:r>
        <w:rPr>
          <w:spacing w:val="21"/>
        </w:rPr>
        <w:t xml:space="preserve"> </w:t>
      </w:r>
      <w:r>
        <w:rPr>
          <w:spacing w:val="-1"/>
        </w:rPr>
        <w:t>Off</w:t>
      </w:r>
      <w:r>
        <w:rPr>
          <w:spacing w:val="43"/>
        </w:rPr>
        <w:t xml:space="preserve"> </w:t>
      </w:r>
      <w:r>
        <w:rPr>
          <w:spacing w:val="-1"/>
        </w:rPr>
        <w:t>Contract</w:t>
      </w:r>
      <w:r>
        <w:rPr>
          <w:spacing w:val="2"/>
        </w:rPr>
        <w:t xml:space="preserve"> </w:t>
      </w:r>
      <w:r>
        <w:rPr>
          <w:spacing w:val="-2"/>
        </w:rPr>
        <w:t>Charges.</w:t>
      </w:r>
    </w:p>
    <w:p w:rsidR="008918FA" w:rsidRDefault="008918FA" w:rsidP="008918FA">
      <w:pPr>
        <w:jc w:val="both"/>
        <w:sectPr w:rsidR="008918FA">
          <w:pgSz w:w="11910" w:h="16840"/>
          <w:pgMar w:top="1480" w:right="1300" w:bottom="1180" w:left="1320" w:header="0" w:footer="987" w:gutter="0"/>
          <w:cols w:num="2" w:space="720" w:equalWidth="0">
            <w:col w:w="1483" w:space="644"/>
            <w:col w:w="7163"/>
          </w:cols>
        </w:sectPr>
      </w:pPr>
    </w:p>
    <w:p w:rsidR="008918FA" w:rsidRDefault="008918FA" w:rsidP="008918FA">
      <w:pPr>
        <w:spacing w:before="4"/>
        <w:rPr>
          <w:rFonts w:ascii="Arial" w:eastAsia="Arial" w:hAnsi="Arial" w:cs="Arial"/>
          <w:sz w:val="14"/>
          <w:szCs w:val="14"/>
        </w:rPr>
      </w:pPr>
    </w:p>
    <w:p w:rsidR="008918FA" w:rsidRDefault="008918FA" w:rsidP="008918FA">
      <w:pPr>
        <w:pStyle w:val="Heading1"/>
        <w:numPr>
          <w:ilvl w:val="1"/>
          <w:numId w:val="65"/>
        </w:numPr>
        <w:tabs>
          <w:tab w:val="left" w:pos="1049"/>
        </w:tabs>
        <w:spacing w:before="72"/>
        <w:jc w:val="left"/>
        <w:rPr>
          <w:b w:val="0"/>
          <w:bCs w:val="0"/>
        </w:rPr>
      </w:pPr>
      <w:bookmarkStart w:id="81" w:name="_bookmark77"/>
      <w:bookmarkEnd w:id="81"/>
      <w:r>
        <w:rPr>
          <w:spacing w:val="-1"/>
        </w:rPr>
        <w:t>Time</w:t>
      </w:r>
      <w:r>
        <w:t xml:space="preserve"> </w:t>
      </w:r>
      <w:r>
        <w:rPr>
          <w:spacing w:val="-1"/>
        </w:rPr>
        <w:t>of Delivery</w:t>
      </w:r>
      <w:r>
        <w:rPr>
          <w:spacing w:val="-4"/>
        </w:rPr>
        <w:t xml:space="preserve"> </w:t>
      </w:r>
      <w:r>
        <w:rPr>
          <w:spacing w:val="-1"/>
        </w:rPr>
        <w:t>of</w:t>
      </w:r>
      <w:r>
        <w:rPr>
          <w:spacing w:val="2"/>
        </w:rPr>
        <w:t xml:space="preserve"> </w:t>
      </w:r>
      <w:r>
        <w:rPr>
          <w:spacing w:val="-1"/>
        </w:rPr>
        <w:t>the</w:t>
      </w:r>
      <w:r>
        <w:rPr>
          <w:spacing w:val="-2"/>
        </w:rPr>
        <w:t xml:space="preserve"> </w:t>
      </w:r>
      <w:r>
        <w:rPr>
          <w:spacing w:val="-1"/>
        </w:rPr>
        <w:t>Goods</w:t>
      </w:r>
    </w:p>
    <w:p w:rsidR="008918FA" w:rsidRDefault="008918FA" w:rsidP="008918FA">
      <w:pPr>
        <w:pStyle w:val="BodyText"/>
        <w:numPr>
          <w:ilvl w:val="2"/>
          <w:numId w:val="65"/>
        </w:numPr>
        <w:tabs>
          <w:tab w:val="left" w:pos="2247"/>
        </w:tabs>
        <w:spacing w:before="121"/>
        <w:ind w:right="113"/>
        <w:jc w:val="both"/>
      </w:pPr>
      <w:r>
        <w:t>The</w:t>
      </w:r>
      <w:r>
        <w:rPr>
          <w:spacing w:val="31"/>
        </w:rPr>
        <w:t xml:space="preserve"> </w:t>
      </w:r>
      <w:r>
        <w:rPr>
          <w:spacing w:val="-2"/>
        </w:rPr>
        <w:t>Supplier</w:t>
      </w:r>
      <w:r>
        <w:rPr>
          <w:spacing w:val="33"/>
        </w:rPr>
        <w:t xml:space="preserve"> </w:t>
      </w:r>
      <w:r>
        <w:rPr>
          <w:spacing w:val="-1"/>
        </w:rPr>
        <w:t>shall</w:t>
      </w:r>
      <w:r>
        <w:rPr>
          <w:spacing w:val="31"/>
        </w:rPr>
        <w:t xml:space="preserve"> </w:t>
      </w:r>
      <w:r>
        <w:rPr>
          <w:spacing w:val="-2"/>
        </w:rPr>
        <w:t>provide</w:t>
      </w:r>
      <w:r>
        <w:rPr>
          <w:spacing w:val="31"/>
        </w:rPr>
        <w:t xml:space="preserve"> </w:t>
      </w:r>
      <w:r>
        <w:t>the</w:t>
      </w:r>
      <w:r>
        <w:rPr>
          <w:spacing w:val="31"/>
        </w:rPr>
        <w:t xml:space="preserve"> </w:t>
      </w:r>
      <w:r>
        <w:rPr>
          <w:spacing w:val="-1"/>
        </w:rPr>
        <w:t>Goods</w:t>
      </w:r>
      <w:r>
        <w:rPr>
          <w:spacing w:val="33"/>
        </w:rPr>
        <w:t xml:space="preserve"> </w:t>
      </w:r>
      <w:r>
        <w:rPr>
          <w:spacing w:val="-1"/>
        </w:rPr>
        <w:t>on</w:t>
      </w:r>
      <w:r>
        <w:rPr>
          <w:spacing w:val="32"/>
        </w:rPr>
        <w:t xml:space="preserve"> </w:t>
      </w:r>
      <w:r>
        <w:t>the</w:t>
      </w:r>
      <w:r>
        <w:rPr>
          <w:spacing w:val="31"/>
        </w:rPr>
        <w:t xml:space="preserve"> </w:t>
      </w:r>
      <w:r>
        <w:rPr>
          <w:spacing w:val="-1"/>
        </w:rPr>
        <w:t>date(s)</w:t>
      </w:r>
      <w:r>
        <w:rPr>
          <w:spacing w:val="33"/>
        </w:rPr>
        <w:t xml:space="preserve"> </w:t>
      </w:r>
      <w:r>
        <w:rPr>
          <w:spacing w:val="-1"/>
        </w:rPr>
        <w:t>specified</w:t>
      </w:r>
      <w:r>
        <w:rPr>
          <w:spacing w:val="31"/>
        </w:rPr>
        <w:t xml:space="preserve"> </w:t>
      </w:r>
      <w:r>
        <w:rPr>
          <w:spacing w:val="-1"/>
        </w:rPr>
        <w:t>in</w:t>
      </w:r>
      <w:r>
        <w:rPr>
          <w:spacing w:val="31"/>
        </w:rPr>
        <w:t xml:space="preserve"> </w:t>
      </w:r>
      <w:r>
        <w:rPr>
          <w:spacing w:val="-1"/>
        </w:rPr>
        <w:t>the</w:t>
      </w:r>
      <w:r>
        <w:rPr>
          <w:spacing w:val="42"/>
        </w:rPr>
        <w:t xml:space="preserve"> </w:t>
      </w:r>
      <w:r>
        <w:rPr>
          <w:spacing w:val="-1"/>
        </w:rPr>
        <w:t>Order</w:t>
      </w:r>
      <w:r>
        <w:rPr>
          <w:spacing w:val="19"/>
        </w:rPr>
        <w:t xml:space="preserve"> </w:t>
      </w:r>
      <w:r>
        <w:rPr>
          <w:spacing w:val="-1"/>
        </w:rPr>
        <w:t>Form</w:t>
      </w:r>
      <w:r>
        <w:rPr>
          <w:spacing w:val="19"/>
        </w:rPr>
        <w:t xml:space="preserve"> </w:t>
      </w:r>
      <w:r>
        <w:rPr>
          <w:spacing w:val="-1"/>
        </w:rPr>
        <w:t>(or</w:t>
      </w:r>
      <w:r>
        <w:rPr>
          <w:spacing w:val="19"/>
        </w:rPr>
        <w:t xml:space="preserve"> </w:t>
      </w:r>
      <w:r>
        <w:rPr>
          <w:spacing w:val="-1"/>
        </w:rPr>
        <w:t>elsewhere</w:t>
      </w:r>
      <w:r>
        <w:rPr>
          <w:spacing w:val="17"/>
        </w:rPr>
        <w:t xml:space="preserve"> </w:t>
      </w:r>
      <w:r>
        <w:rPr>
          <w:spacing w:val="-1"/>
        </w:rPr>
        <w:t>in</w:t>
      </w:r>
      <w:r>
        <w:rPr>
          <w:spacing w:val="17"/>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21"/>
        </w:rPr>
        <w:t xml:space="preserve"> </w:t>
      </w:r>
      <w:r>
        <w:rPr>
          <w:spacing w:val="-1"/>
        </w:rPr>
        <w:t>Contract)</w:t>
      </w:r>
      <w:r>
        <w:rPr>
          <w:spacing w:val="19"/>
        </w:rPr>
        <w:t xml:space="preserve"> </w:t>
      </w:r>
      <w:r>
        <w:rPr>
          <w:spacing w:val="-1"/>
        </w:rPr>
        <w:t>and</w:t>
      </w:r>
      <w:r>
        <w:rPr>
          <w:spacing w:val="15"/>
        </w:rPr>
        <w:t xml:space="preserve"> </w:t>
      </w:r>
      <w:r>
        <w:t>the</w:t>
      </w:r>
      <w:r>
        <w:rPr>
          <w:spacing w:val="17"/>
        </w:rPr>
        <w:t xml:space="preserve"> </w:t>
      </w:r>
      <w:r>
        <w:rPr>
          <w:spacing w:val="-2"/>
        </w:rPr>
        <w:t>Milestone</w:t>
      </w:r>
      <w:r>
        <w:rPr>
          <w:spacing w:val="38"/>
        </w:rPr>
        <w:t xml:space="preserve"> </w:t>
      </w:r>
      <w:r>
        <w:rPr>
          <w:spacing w:val="-1"/>
        </w:rPr>
        <w:t>Dates</w:t>
      </w:r>
      <w:r>
        <w:rPr>
          <w:spacing w:val="26"/>
        </w:rPr>
        <w:t xml:space="preserve"> </w:t>
      </w:r>
      <w:r>
        <w:rPr>
          <w:spacing w:val="-2"/>
        </w:rPr>
        <w:t>(if</w:t>
      </w:r>
      <w:r>
        <w:rPr>
          <w:spacing w:val="27"/>
        </w:rPr>
        <w:t xml:space="preserve"> </w:t>
      </w:r>
      <w:r>
        <w:rPr>
          <w:spacing w:val="-1"/>
        </w:rPr>
        <w:t>any).</w:t>
      </w:r>
      <w:r>
        <w:rPr>
          <w:spacing w:val="27"/>
        </w:rPr>
        <w:t xml:space="preserve"> </w:t>
      </w:r>
      <w:r>
        <w:rPr>
          <w:spacing w:val="-1"/>
        </w:rPr>
        <w:t>Such</w:t>
      </w:r>
      <w:r>
        <w:rPr>
          <w:spacing w:val="24"/>
        </w:rPr>
        <w:t xml:space="preserve"> </w:t>
      </w:r>
      <w:r>
        <w:rPr>
          <w:spacing w:val="-2"/>
        </w:rPr>
        <w:t>provision</w:t>
      </w:r>
      <w:r>
        <w:rPr>
          <w:spacing w:val="26"/>
        </w:rPr>
        <w:t xml:space="preserve"> </w:t>
      </w:r>
      <w:r>
        <w:rPr>
          <w:spacing w:val="-1"/>
        </w:rPr>
        <w:t>shall</w:t>
      </w:r>
      <w:r>
        <w:rPr>
          <w:spacing w:val="25"/>
        </w:rPr>
        <w:t xml:space="preserve"> </w:t>
      </w:r>
      <w:r>
        <w:rPr>
          <w:spacing w:val="-1"/>
        </w:rPr>
        <w:t>include</w:t>
      </w:r>
      <w:r>
        <w:rPr>
          <w:spacing w:val="28"/>
        </w:rPr>
        <w:t xml:space="preserve"> </w:t>
      </w:r>
      <w:r>
        <w:rPr>
          <w:spacing w:val="-1"/>
        </w:rPr>
        <w:t>compliance</w:t>
      </w:r>
      <w:r>
        <w:rPr>
          <w:spacing w:val="26"/>
        </w:rPr>
        <w:t xml:space="preserve"> </w:t>
      </w:r>
      <w:r>
        <w:rPr>
          <w:spacing w:val="-2"/>
        </w:rPr>
        <w:t>with</w:t>
      </w:r>
      <w:r>
        <w:rPr>
          <w:spacing w:val="26"/>
        </w:rPr>
        <w:t xml:space="preserve"> </w:t>
      </w:r>
      <w:r>
        <w:rPr>
          <w:spacing w:val="-1"/>
        </w:rPr>
        <w:t>the</w:t>
      </w:r>
      <w:r>
        <w:rPr>
          <w:spacing w:val="44"/>
        </w:rPr>
        <w:t xml:space="preserve"> </w:t>
      </w:r>
      <w:r>
        <w:rPr>
          <w:spacing w:val="-1"/>
        </w:rPr>
        <w:t>obligation</w:t>
      </w:r>
      <w:r>
        <w:t xml:space="preserve"> </w:t>
      </w:r>
      <w:r>
        <w:rPr>
          <w:spacing w:val="-1"/>
        </w:rPr>
        <w:t>on</w:t>
      </w:r>
      <w:r>
        <w:rPr>
          <w:spacing w:val="-2"/>
        </w:rPr>
        <w:t xml:space="preserve"> </w:t>
      </w:r>
      <w:r>
        <w:t>the</w:t>
      </w:r>
      <w:r>
        <w:rPr>
          <w:spacing w:val="-2"/>
        </w:rPr>
        <w:t xml:space="preserve"> Supplier</w:t>
      </w:r>
      <w:r>
        <w:rPr>
          <w:spacing w:val="2"/>
        </w:rPr>
        <w:t xml:space="preserve"> </w:t>
      </w:r>
      <w:r>
        <w:rPr>
          <w:spacing w:val="-2"/>
        </w:rPr>
        <w:t>set</w:t>
      </w:r>
      <w:r>
        <w:rPr>
          <w:spacing w:val="2"/>
        </w:rPr>
        <w:t xml:space="preserve"> </w:t>
      </w:r>
      <w:r>
        <w:rPr>
          <w:spacing w:val="-2"/>
        </w:rPr>
        <w:t>out</w:t>
      </w:r>
      <w:r>
        <w:rPr>
          <w:spacing w:val="2"/>
        </w:rPr>
        <w:t xml:space="preserve"> </w:t>
      </w:r>
      <w:r>
        <w:rPr>
          <w:spacing w:val="-1"/>
        </w:rPr>
        <w:t>in</w:t>
      </w:r>
      <w:r>
        <w:rPr>
          <w:spacing w:val="-2"/>
        </w:rPr>
        <w:t xml:space="preserve"> Clause</w:t>
      </w:r>
      <w:r>
        <w:rPr>
          <w:spacing w:val="1"/>
        </w:rPr>
        <w:t xml:space="preserve"> </w:t>
      </w:r>
      <w:hyperlink w:anchor="_bookmark57" w:history="1">
        <w:r>
          <w:t>6</w:t>
        </w:r>
      </w:hyperlink>
      <w:r>
        <w:t xml:space="preserve"> </w:t>
      </w:r>
      <w:r>
        <w:rPr>
          <w:spacing w:val="-1"/>
        </w:rPr>
        <w:t>(Implementation</w:t>
      </w:r>
      <w:r>
        <w:rPr>
          <w:spacing w:val="-2"/>
        </w:rPr>
        <w:t xml:space="preserve"> </w:t>
      </w:r>
      <w:r>
        <w:rPr>
          <w:spacing w:val="-1"/>
        </w:rPr>
        <w:t>Plan).</w:t>
      </w:r>
    </w:p>
    <w:p w:rsidR="008918FA" w:rsidRDefault="008918FA" w:rsidP="008918FA">
      <w:pPr>
        <w:pStyle w:val="BodyText"/>
        <w:numPr>
          <w:ilvl w:val="2"/>
          <w:numId w:val="65"/>
        </w:numPr>
        <w:tabs>
          <w:tab w:val="left" w:pos="2247"/>
        </w:tabs>
        <w:ind w:right="113"/>
        <w:jc w:val="both"/>
      </w:pPr>
      <w:r>
        <w:rPr>
          <w:spacing w:val="-1"/>
        </w:rPr>
        <w:t>Subject</w:t>
      </w:r>
      <w:r>
        <w:rPr>
          <w:spacing w:val="38"/>
        </w:rPr>
        <w:t xml:space="preserve"> </w:t>
      </w:r>
      <w:r>
        <w:t>to</w:t>
      </w:r>
      <w:r>
        <w:rPr>
          <w:spacing w:val="38"/>
        </w:rPr>
        <w:t xml:space="preserve"> </w:t>
      </w:r>
      <w:r>
        <w:rPr>
          <w:spacing w:val="-2"/>
        </w:rPr>
        <w:t>Clause</w:t>
      </w:r>
      <w:r>
        <w:rPr>
          <w:spacing w:val="40"/>
        </w:rPr>
        <w:t xml:space="preserve"> </w:t>
      </w:r>
      <w:hyperlink w:anchor="_bookmark78" w:history="1">
        <w:r>
          <w:t>9.1.3</w:t>
        </w:r>
      </w:hyperlink>
      <w:r>
        <w:rPr>
          <w:spacing w:val="36"/>
        </w:rPr>
        <w:t xml:space="preserve"> </w:t>
      </w:r>
      <w:r>
        <w:rPr>
          <w:spacing w:val="-1"/>
        </w:rPr>
        <w:t>(Time</w:t>
      </w:r>
      <w:r>
        <w:rPr>
          <w:spacing w:val="38"/>
        </w:rPr>
        <w:t xml:space="preserve"> </w:t>
      </w:r>
      <w:r>
        <w:rPr>
          <w:spacing w:val="-2"/>
        </w:rPr>
        <w:t>of</w:t>
      </w:r>
      <w:r>
        <w:rPr>
          <w:spacing w:val="42"/>
        </w:rPr>
        <w:t xml:space="preserve"> </w:t>
      </w:r>
      <w:r>
        <w:rPr>
          <w:spacing w:val="-2"/>
        </w:rPr>
        <w:t>Delivery</w:t>
      </w:r>
      <w:r>
        <w:rPr>
          <w:spacing w:val="40"/>
        </w:rPr>
        <w:t xml:space="preserve"> </w:t>
      </w:r>
      <w:r>
        <w:rPr>
          <w:spacing w:val="-1"/>
        </w:rPr>
        <w:t>of</w:t>
      </w:r>
      <w:r>
        <w:rPr>
          <w:spacing w:val="42"/>
        </w:rPr>
        <w:t xml:space="preserve"> </w:t>
      </w:r>
      <w:r>
        <w:rPr>
          <w:spacing w:val="-1"/>
        </w:rPr>
        <w:t>the</w:t>
      </w:r>
      <w:r>
        <w:rPr>
          <w:spacing w:val="38"/>
        </w:rPr>
        <w:t xml:space="preserve"> </w:t>
      </w:r>
      <w:r>
        <w:rPr>
          <w:spacing w:val="-1"/>
        </w:rPr>
        <w:t>Goods),</w:t>
      </w:r>
      <w:r>
        <w:rPr>
          <w:spacing w:val="40"/>
        </w:rPr>
        <w:t xml:space="preserve"> </w:t>
      </w:r>
      <w:r>
        <w:rPr>
          <w:spacing w:val="-2"/>
        </w:rPr>
        <w:t>where</w:t>
      </w:r>
      <w:r>
        <w:rPr>
          <w:spacing w:val="38"/>
        </w:rPr>
        <w:t xml:space="preserve"> </w:t>
      </w:r>
      <w:r>
        <w:rPr>
          <w:spacing w:val="-1"/>
        </w:rPr>
        <w:t>the</w:t>
      </w:r>
      <w:r>
        <w:rPr>
          <w:spacing w:val="58"/>
        </w:rPr>
        <w:t xml:space="preserve"> </w:t>
      </w:r>
      <w:r>
        <w:rPr>
          <w:spacing w:val="-1"/>
        </w:rPr>
        <w:t>Goods</w:t>
      </w:r>
      <w:r>
        <w:rPr>
          <w:spacing w:val="51"/>
        </w:rPr>
        <w:t xml:space="preserve"> </w:t>
      </w:r>
      <w:r>
        <w:rPr>
          <w:spacing w:val="-1"/>
        </w:rPr>
        <w:t>are</w:t>
      </w:r>
      <w:r>
        <w:rPr>
          <w:spacing w:val="51"/>
        </w:rPr>
        <w:t xml:space="preserve"> </w:t>
      </w:r>
      <w:r>
        <w:rPr>
          <w:spacing w:val="-2"/>
        </w:rPr>
        <w:t>delivered</w:t>
      </w:r>
      <w:r>
        <w:rPr>
          <w:spacing w:val="51"/>
        </w:rPr>
        <w:t xml:space="preserve"> </w:t>
      </w:r>
      <w:r>
        <w:rPr>
          <w:spacing w:val="-1"/>
        </w:rPr>
        <w:t>by</w:t>
      </w:r>
      <w:r>
        <w:rPr>
          <w:spacing w:val="51"/>
        </w:rPr>
        <w:t xml:space="preserve"> </w:t>
      </w:r>
      <w:r>
        <w:t>the</w:t>
      </w:r>
      <w:r>
        <w:rPr>
          <w:spacing w:val="51"/>
        </w:rPr>
        <w:t xml:space="preserve"> </w:t>
      </w:r>
      <w:r>
        <w:rPr>
          <w:spacing w:val="-1"/>
        </w:rPr>
        <w:t>Supplier,</w:t>
      </w:r>
      <w:r>
        <w:rPr>
          <w:spacing w:val="50"/>
        </w:rPr>
        <w:t xml:space="preserve"> </w:t>
      </w:r>
      <w:r>
        <w:t>the</w:t>
      </w:r>
      <w:r>
        <w:rPr>
          <w:spacing w:val="52"/>
        </w:rPr>
        <w:t xml:space="preserve"> </w:t>
      </w:r>
      <w:r>
        <w:rPr>
          <w:spacing w:val="-1"/>
        </w:rPr>
        <w:t>point</w:t>
      </w:r>
      <w:r>
        <w:rPr>
          <w:spacing w:val="50"/>
        </w:rPr>
        <w:t xml:space="preserve"> </w:t>
      </w:r>
      <w:r>
        <w:rPr>
          <w:spacing w:val="-2"/>
        </w:rPr>
        <w:t>of</w:t>
      </w:r>
      <w:r>
        <w:rPr>
          <w:spacing w:val="54"/>
        </w:rPr>
        <w:t xml:space="preserve"> </w:t>
      </w:r>
      <w:r>
        <w:rPr>
          <w:spacing w:val="-1"/>
        </w:rPr>
        <w:t>delivery</w:t>
      </w:r>
      <w:r>
        <w:rPr>
          <w:spacing w:val="49"/>
        </w:rPr>
        <w:t xml:space="preserve"> </w:t>
      </w:r>
      <w:r>
        <w:rPr>
          <w:spacing w:val="-1"/>
        </w:rPr>
        <w:t>shall</w:t>
      </w:r>
      <w:r>
        <w:rPr>
          <w:spacing w:val="50"/>
        </w:rPr>
        <w:t xml:space="preserve"> </w:t>
      </w:r>
      <w:r>
        <w:rPr>
          <w:spacing w:val="-1"/>
        </w:rPr>
        <w:t>be</w:t>
      </w:r>
      <w:r>
        <w:rPr>
          <w:spacing w:val="26"/>
        </w:rPr>
        <w:t xml:space="preserve"> </w:t>
      </w:r>
      <w:r>
        <w:rPr>
          <w:spacing w:val="-2"/>
        </w:rPr>
        <w:t>when</w:t>
      </w:r>
      <w:r>
        <w:rPr>
          <w:spacing w:val="23"/>
        </w:rPr>
        <w:t xml:space="preserve"> </w:t>
      </w:r>
      <w:r>
        <w:t>the</w:t>
      </w:r>
      <w:r>
        <w:rPr>
          <w:spacing w:val="23"/>
        </w:rPr>
        <w:t xml:space="preserve"> </w:t>
      </w:r>
      <w:r>
        <w:rPr>
          <w:spacing w:val="-1"/>
        </w:rPr>
        <w:t>Goods</w:t>
      </w:r>
      <w:r>
        <w:rPr>
          <w:spacing w:val="24"/>
        </w:rPr>
        <w:t xml:space="preserve"> </w:t>
      </w:r>
      <w:r>
        <w:rPr>
          <w:spacing w:val="-1"/>
        </w:rPr>
        <w:t>are</w:t>
      </w:r>
      <w:r>
        <w:rPr>
          <w:spacing w:val="21"/>
        </w:rPr>
        <w:t xml:space="preserve"> </w:t>
      </w:r>
      <w:r>
        <w:rPr>
          <w:spacing w:val="-2"/>
        </w:rPr>
        <w:t>removed</w:t>
      </w:r>
      <w:r>
        <w:rPr>
          <w:spacing w:val="21"/>
        </w:rPr>
        <w:t xml:space="preserve"> </w:t>
      </w:r>
      <w:r>
        <w:t>from</w:t>
      </w:r>
      <w:r>
        <w:rPr>
          <w:spacing w:val="22"/>
        </w:rPr>
        <w:t xml:space="preserve"> </w:t>
      </w:r>
      <w:r>
        <w:t>the</w:t>
      </w:r>
      <w:r>
        <w:rPr>
          <w:spacing w:val="21"/>
        </w:rPr>
        <w:t xml:space="preserve"> </w:t>
      </w:r>
      <w:r>
        <w:rPr>
          <w:spacing w:val="-1"/>
        </w:rPr>
        <w:t>transporting</w:t>
      </w:r>
      <w:r>
        <w:rPr>
          <w:spacing w:val="26"/>
        </w:rPr>
        <w:t xml:space="preserve"> </w:t>
      </w:r>
      <w:r>
        <w:rPr>
          <w:spacing w:val="-2"/>
        </w:rPr>
        <w:t>vehicle</w:t>
      </w:r>
      <w:r>
        <w:rPr>
          <w:spacing w:val="26"/>
        </w:rPr>
        <w:t xml:space="preserve"> </w:t>
      </w:r>
      <w:r>
        <w:rPr>
          <w:spacing w:val="-1"/>
        </w:rPr>
        <w:t>and</w:t>
      </w:r>
      <w:r>
        <w:rPr>
          <w:spacing w:val="36"/>
        </w:rPr>
        <w:t xml:space="preserve"> </w:t>
      </w:r>
      <w:r>
        <w:rPr>
          <w:spacing w:val="-1"/>
        </w:rPr>
        <w:t>transferred</w:t>
      </w:r>
      <w:r>
        <w:rPr>
          <w:spacing w:val="26"/>
        </w:rPr>
        <w:t xml:space="preserve"> </w:t>
      </w:r>
      <w:r>
        <w:rPr>
          <w:spacing w:val="-1"/>
        </w:rPr>
        <w:t>at</w:t>
      </w:r>
      <w:r>
        <w:rPr>
          <w:spacing w:val="27"/>
        </w:rPr>
        <w:t xml:space="preserve"> </w:t>
      </w:r>
      <w:r>
        <w:t>the</w:t>
      </w:r>
      <w:r>
        <w:rPr>
          <w:spacing w:val="26"/>
        </w:rPr>
        <w:t xml:space="preserve"> </w:t>
      </w:r>
      <w:r>
        <w:rPr>
          <w:spacing w:val="-1"/>
        </w:rPr>
        <w:t>Sites.</w:t>
      </w:r>
      <w:r>
        <w:rPr>
          <w:spacing w:val="22"/>
        </w:rPr>
        <w:t xml:space="preserve"> </w:t>
      </w:r>
      <w:r>
        <w:t>Where</w:t>
      </w:r>
      <w:r>
        <w:rPr>
          <w:spacing w:val="23"/>
        </w:rPr>
        <w:t xml:space="preserve"> </w:t>
      </w:r>
      <w:r>
        <w:t>the</w:t>
      </w:r>
      <w:r>
        <w:rPr>
          <w:spacing w:val="26"/>
        </w:rPr>
        <w:t xml:space="preserve"> </w:t>
      </w:r>
      <w:r>
        <w:rPr>
          <w:spacing w:val="-1"/>
        </w:rPr>
        <w:t>Goods</w:t>
      </w:r>
      <w:r>
        <w:rPr>
          <w:spacing w:val="24"/>
        </w:rPr>
        <w:t xml:space="preserve"> </w:t>
      </w:r>
      <w:r>
        <w:rPr>
          <w:spacing w:val="-1"/>
        </w:rPr>
        <w:t>are</w:t>
      </w:r>
      <w:r>
        <w:rPr>
          <w:spacing w:val="26"/>
        </w:rPr>
        <w:t xml:space="preserve"> </w:t>
      </w:r>
      <w:r>
        <w:rPr>
          <w:spacing w:val="-1"/>
        </w:rPr>
        <w:t>collected</w:t>
      </w:r>
      <w:r>
        <w:rPr>
          <w:spacing w:val="26"/>
        </w:rPr>
        <w:t xml:space="preserve"> </w:t>
      </w:r>
      <w:r>
        <w:rPr>
          <w:spacing w:val="-1"/>
        </w:rPr>
        <w:t>by</w:t>
      </w:r>
      <w:r>
        <w:rPr>
          <w:spacing w:val="24"/>
        </w:rPr>
        <w:t xml:space="preserve"> </w:t>
      </w:r>
      <w:r>
        <w:rPr>
          <w:spacing w:val="-1"/>
        </w:rPr>
        <w:t>the</w:t>
      </w:r>
      <w:r>
        <w:rPr>
          <w:spacing w:val="38"/>
        </w:rPr>
        <w:t xml:space="preserve"> </w:t>
      </w:r>
      <w:r>
        <w:rPr>
          <w:spacing w:val="-1"/>
        </w:rPr>
        <w:t>Customer,</w:t>
      </w:r>
      <w:r>
        <w:rPr>
          <w:spacing w:val="4"/>
        </w:rPr>
        <w:t xml:space="preserve"> </w:t>
      </w:r>
      <w:r>
        <w:rPr>
          <w:spacing w:val="-1"/>
        </w:rPr>
        <w:t>the</w:t>
      </w:r>
      <w:r>
        <w:rPr>
          <w:spacing w:val="3"/>
        </w:rPr>
        <w:t xml:space="preserve"> </w:t>
      </w:r>
      <w:r>
        <w:rPr>
          <w:spacing w:val="-1"/>
        </w:rPr>
        <w:t>point</w:t>
      </w:r>
      <w:r>
        <w:rPr>
          <w:spacing w:val="4"/>
        </w:rPr>
        <w:t xml:space="preserve"> </w:t>
      </w:r>
      <w:r>
        <w:rPr>
          <w:spacing w:val="-2"/>
        </w:rPr>
        <w:t>of</w:t>
      </w:r>
      <w:r>
        <w:rPr>
          <w:spacing w:val="7"/>
        </w:rPr>
        <w:t xml:space="preserve"> </w:t>
      </w:r>
      <w:r>
        <w:rPr>
          <w:spacing w:val="-2"/>
        </w:rPr>
        <w:t>delivery</w:t>
      </w:r>
      <w:r>
        <w:rPr>
          <w:spacing w:val="1"/>
        </w:rPr>
        <w:t xml:space="preserve"> </w:t>
      </w:r>
      <w:r>
        <w:rPr>
          <w:spacing w:val="-1"/>
        </w:rPr>
        <w:t>shall</w:t>
      </w:r>
      <w:r>
        <w:rPr>
          <w:spacing w:val="2"/>
        </w:rPr>
        <w:t xml:space="preserve"> </w:t>
      </w:r>
      <w:r>
        <w:rPr>
          <w:spacing w:val="-1"/>
        </w:rPr>
        <w:t>be</w:t>
      </w:r>
      <w:r>
        <w:rPr>
          <w:spacing w:val="5"/>
        </w:rPr>
        <w:t xml:space="preserve"> </w:t>
      </w:r>
      <w:r>
        <w:rPr>
          <w:spacing w:val="-2"/>
        </w:rPr>
        <w:t>when</w:t>
      </w:r>
      <w:r>
        <w:rPr>
          <w:spacing w:val="3"/>
        </w:rPr>
        <w:t xml:space="preserve"> </w:t>
      </w:r>
      <w:r>
        <w:t>the</w:t>
      </w:r>
      <w:r>
        <w:rPr>
          <w:spacing w:val="5"/>
        </w:rPr>
        <w:t xml:space="preserve"> </w:t>
      </w:r>
      <w:r>
        <w:rPr>
          <w:spacing w:val="-1"/>
        </w:rPr>
        <w:t>Goods</w:t>
      </w:r>
      <w:r>
        <w:rPr>
          <w:spacing w:val="3"/>
        </w:rPr>
        <w:t xml:space="preserve"> </w:t>
      </w:r>
      <w:r>
        <w:rPr>
          <w:spacing w:val="-1"/>
        </w:rPr>
        <w:t>are</w:t>
      </w:r>
      <w:r>
        <w:rPr>
          <w:spacing w:val="3"/>
        </w:rPr>
        <w:t xml:space="preserve"> </w:t>
      </w:r>
      <w:r>
        <w:rPr>
          <w:spacing w:val="-1"/>
        </w:rPr>
        <w:t>loaded</w:t>
      </w:r>
      <w:r>
        <w:rPr>
          <w:spacing w:val="3"/>
        </w:rPr>
        <w:t xml:space="preserve"> </w:t>
      </w:r>
      <w:r>
        <w:rPr>
          <w:spacing w:val="-1"/>
        </w:rPr>
        <w:t>on</w:t>
      </w:r>
      <w:r>
        <w:rPr>
          <w:spacing w:val="44"/>
        </w:rPr>
        <w:t xml:space="preserve"> </w:t>
      </w:r>
      <w:r>
        <w:t xml:space="preserve">the </w:t>
      </w:r>
      <w:r>
        <w:rPr>
          <w:spacing w:val="-1"/>
        </w:rPr>
        <w:t>Customer's</w:t>
      </w:r>
      <w:r>
        <w:rPr>
          <w:spacing w:val="-2"/>
        </w:rPr>
        <w:t xml:space="preserve"> vehicle.</w:t>
      </w:r>
    </w:p>
    <w:p w:rsidR="008918FA" w:rsidRDefault="008918FA" w:rsidP="008918FA">
      <w:pPr>
        <w:pStyle w:val="BodyText"/>
        <w:numPr>
          <w:ilvl w:val="2"/>
          <w:numId w:val="65"/>
        </w:numPr>
        <w:tabs>
          <w:tab w:val="left" w:pos="2247"/>
        </w:tabs>
        <w:spacing w:before="121"/>
        <w:ind w:right="112" w:hanging="993"/>
        <w:jc w:val="both"/>
      </w:pPr>
      <w:bookmarkStart w:id="82" w:name="_bookmark78"/>
      <w:bookmarkEnd w:id="82"/>
      <w:r>
        <w:rPr>
          <w:spacing w:val="-1"/>
        </w:rPr>
        <w:t>Where</w:t>
      </w:r>
      <w:r>
        <w:rPr>
          <w:spacing w:val="10"/>
        </w:rPr>
        <w:t xml:space="preserve"> </w:t>
      </w:r>
      <w:r>
        <w:t>the</w:t>
      </w:r>
      <w:r>
        <w:rPr>
          <w:spacing w:val="10"/>
        </w:rPr>
        <w:t xml:space="preserve"> </w:t>
      </w:r>
      <w:r>
        <w:rPr>
          <w:spacing w:val="-2"/>
        </w:rPr>
        <w:t>Customer</w:t>
      </w:r>
      <w:r>
        <w:rPr>
          <w:spacing w:val="12"/>
        </w:rPr>
        <w:t xml:space="preserve"> </w:t>
      </w:r>
      <w:r>
        <w:rPr>
          <w:spacing w:val="-2"/>
        </w:rPr>
        <w:t>has</w:t>
      </w:r>
      <w:r>
        <w:rPr>
          <w:spacing w:val="10"/>
        </w:rPr>
        <w:t xml:space="preserve"> </w:t>
      </w:r>
      <w:r>
        <w:rPr>
          <w:spacing w:val="-1"/>
        </w:rPr>
        <w:t>specified</w:t>
      </w:r>
      <w:r>
        <w:rPr>
          <w:spacing w:val="10"/>
        </w:rPr>
        <w:t xml:space="preserve"> </w:t>
      </w:r>
      <w:r>
        <w:rPr>
          <w:spacing w:val="-1"/>
        </w:rPr>
        <w:t>any</w:t>
      </w:r>
      <w:r>
        <w:rPr>
          <w:spacing w:val="8"/>
        </w:rPr>
        <w:t xml:space="preserve"> </w:t>
      </w:r>
      <w:r>
        <w:rPr>
          <w:spacing w:val="-1"/>
        </w:rPr>
        <w:t>Installation</w:t>
      </w:r>
      <w:r>
        <w:rPr>
          <w:spacing w:val="5"/>
        </w:rPr>
        <w:t xml:space="preserve"> </w:t>
      </w:r>
      <w:r>
        <w:t>Works</w:t>
      </w:r>
      <w:r>
        <w:rPr>
          <w:spacing w:val="12"/>
        </w:rPr>
        <w:t xml:space="preserve"> </w:t>
      </w:r>
      <w:r>
        <w:rPr>
          <w:spacing w:val="-1"/>
        </w:rPr>
        <w:t>in</w:t>
      </w:r>
      <w:r>
        <w:rPr>
          <w:spacing w:val="10"/>
        </w:rPr>
        <w:t xml:space="preserve"> </w:t>
      </w:r>
      <w:r>
        <w:t>the</w:t>
      </w:r>
      <w:r>
        <w:rPr>
          <w:spacing w:val="7"/>
        </w:rPr>
        <w:t xml:space="preserve"> </w:t>
      </w:r>
      <w:r>
        <w:rPr>
          <w:spacing w:val="-1"/>
        </w:rPr>
        <w:t>Order</w:t>
      </w:r>
      <w:r>
        <w:rPr>
          <w:spacing w:val="53"/>
        </w:rPr>
        <w:t xml:space="preserve"> </w:t>
      </w:r>
      <w:r>
        <w:rPr>
          <w:spacing w:val="-1"/>
        </w:rPr>
        <w:t>Form</w:t>
      </w:r>
      <w:r>
        <w:rPr>
          <w:spacing w:val="42"/>
        </w:rPr>
        <w:t xml:space="preserve"> </w:t>
      </w:r>
      <w:r>
        <w:rPr>
          <w:spacing w:val="-1"/>
        </w:rPr>
        <w:t>(or</w:t>
      </w:r>
      <w:r>
        <w:rPr>
          <w:spacing w:val="42"/>
        </w:rPr>
        <w:t xml:space="preserve"> </w:t>
      </w:r>
      <w:r>
        <w:rPr>
          <w:spacing w:val="-2"/>
        </w:rPr>
        <w:t>elsewhere</w:t>
      </w:r>
      <w:r>
        <w:rPr>
          <w:spacing w:val="41"/>
        </w:rPr>
        <w:t xml:space="preserve"> </w:t>
      </w:r>
      <w:r>
        <w:rPr>
          <w:spacing w:val="-1"/>
        </w:rPr>
        <w:t>in</w:t>
      </w:r>
      <w:r>
        <w:rPr>
          <w:spacing w:val="43"/>
        </w:rPr>
        <w:t xml:space="preserve"> </w:t>
      </w:r>
      <w:r>
        <w:rPr>
          <w:spacing w:val="-1"/>
        </w:rPr>
        <w:t>this</w:t>
      </w:r>
      <w:r>
        <w:rPr>
          <w:spacing w:val="41"/>
        </w:rPr>
        <w:t xml:space="preserve"> </w:t>
      </w:r>
      <w:r>
        <w:rPr>
          <w:spacing w:val="-1"/>
        </w:rPr>
        <w:t>Call</w:t>
      </w:r>
      <w:r>
        <w:rPr>
          <w:spacing w:val="40"/>
        </w:rPr>
        <w:t xml:space="preserve"> </w:t>
      </w:r>
      <w:r>
        <w:t>Off</w:t>
      </w:r>
      <w:r>
        <w:rPr>
          <w:spacing w:val="46"/>
        </w:rPr>
        <w:t xml:space="preserve"> </w:t>
      </w:r>
      <w:r>
        <w:rPr>
          <w:spacing w:val="-1"/>
        </w:rPr>
        <w:t>Contract),</w:t>
      </w:r>
      <w:r>
        <w:rPr>
          <w:spacing w:val="42"/>
        </w:rPr>
        <w:t xml:space="preserve"> </w:t>
      </w:r>
      <w:r>
        <w:rPr>
          <w:spacing w:val="-1"/>
        </w:rPr>
        <w:t>Delivery</w:t>
      </w:r>
      <w:r>
        <w:rPr>
          <w:spacing w:val="41"/>
        </w:rPr>
        <w:t xml:space="preserve"> </w:t>
      </w:r>
      <w:r>
        <w:rPr>
          <w:spacing w:val="-1"/>
        </w:rPr>
        <w:t>shall</w:t>
      </w:r>
      <w:r>
        <w:rPr>
          <w:spacing w:val="44"/>
        </w:rPr>
        <w:t xml:space="preserve"> </w:t>
      </w:r>
      <w:r>
        <w:rPr>
          <w:spacing w:val="-1"/>
        </w:rPr>
        <w:t>include</w:t>
      </w:r>
      <w:r>
        <w:rPr>
          <w:spacing w:val="41"/>
        </w:rPr>
        <w:t xml:space="preserve"> </w:t>
      </w:r>
      <w:r>
        <w:rPr>
          <w:spacing w:val="-1"/>
        </w:rPr>
        <w:t>installation</w:t>
      </w:r>
      <w:r>
        <w:rPr>
          <w:spacing w:val="27"/>
        </w:rPr>
        <w:t xml:space="preserve"> </w:t>
      </w:r>
      <w:r>
        <w:rPr>
          <w:spacing w:val="-2"/>
        </w:rPr>
        <w:t>of</w:t>
      </w:r>
      <w:r>
        <w:rPr>
          <w:spacing w:val="28"/>
        </w:rPr>
        <w:t xml:space="preserve"> </w:t>
      </w:r>
      <w:r>
        <w:t>the</w:t>
      </w:r>
      <w:r>
        <w:rPr>
          <w:spacing w:val="24"/>
        </w:rPr>
        <w:t xml:space="preserve"> </w:t>
      </w:r>
      <w:r>
        <w:rPr>
          <w:spacing w:val="-1"/>
        </w:rPr>
        <w:t>Goods</w:t>
      </w:r>
      <w:r>
        <w:rPr>
          <w:spacing w:val="25"/>
        </w:rPr>
        <w:t xml:space="preserve"> </w:t>
      </w:r>
      <w:r>
        <w:rPr>
          <w:spacing w:val="-1"/>
        </w:rPr>
        <w:t>by</w:t>
      </w:r>
      <w:r>
        <w:rPr>
          <w:spacing w:val="25"/>
        </w:rPr>
        <w:t xml:space="preserve"> </w:t>
      </w:r>
      <w:r>
        <w:t>the</w:t>
      </w:r>
      <w:r>
        <w:rPr>
          <w:spacing w:val="27"/>
        </w:rPr>
        <w:t xml:space="preserve"> </w:t>
      </w:r>
      <w:r>
        <w:rPr>
          <w:spacing w:val="-2"/>
        </w:rPr>
        <w:t>Supplier</w:t>
      </w:r>
      <w:r>
        <w:rPr>
          <w:spacing w:val="28"/>
        </w:rPr>
        <w:t xml:space="preserve"> </w:t>
      </w:r>
      <w:r>
        <w:rPr>
          <w:spacing w:val="-2"/>
        </w:rPr>
        <w:t>Personnel</w:t>
      </w:r>
      <w:r>
        <w:rPr>
          <w:spacing w:val="28"/>
        </w:rPr>
        <w:t xml:space="preserve"> </w:t>
      </w:r>
      <w:r>
        <w:rPr>
          <w:spacing w:val="-1"/>
        </w:rPr>
        <w:t>at</w:t>
      </w:r>
      <w:r>
        <w:rPr>
          <w:spacing w:val="26"/>
        </w:rPr>
        <w:t xml:space="preserve"> </w:t>
      </w:r>
      <w:r>
        <w:t>the</w:t>
      </w:r>
      <w:r>
        <w:rPr>
          <w:spacing w:val="27"/>
        </w:rPr>
        <w:t xml:space="preserve"> </w:t>
      </w:r>
      <w:r>
        <w:rPr>
          <w:spacing w:val="-1"/>
        </w:rPr>
        <w:t>Sites</w:t>
      </w:r>
      <w:r>
        <w:rPr>
          <w:spacing w:val="25"/>
        </w:rPr>
        <w:t xml:space="preserve"> </w:t>
      </w:r>
      <w:r>
        <w:rPr>
          <w:spacing w:val="-1"/>
        </w:rPr>
        <w:t>or</w:t>
      </w:r>
      <w:r>
        <w:rPr>
          <w:spacing w:val="26"/>
        </w:rPr>
        <w:t xml:space="preserve"> </w:t>
      </w:r>
      <w:r>
        <w:rPr>
          <w:spacing w:val="-1"/>
        </w:rPr>
        <w:t>at</w:t>
      </w:r>
      <w:r>
        <w:rPr>
          <w:spacing w:val="53"/>
        </w:rPr>
        <w:t xml:space="preserve"> </w:t>
      </w:r>
      <w:r>
        <w:rPr>
          <w:spacing w:val="-1"/>
        </w:rPr>
        <w:t>such</w:t>
      </w:r>
      <w:r>
        <w:rPr>
          <w:spacing w:val="1"/>
        </w:rPr>
        <w:t xml:space="preserve"> </w:t>
      </w:r>
      <w:r>
        <w:rPr>
          <w:spacing w:val="-1"/>
        </w:rPr>
        <w:t>place</w:t>
      </w:r>
      <w:r>
        <w:rPr>
          <w:spacing w:val="1"/>
        </w:rPr>
        <w:t xml:space="preserve"> </w:t>
      </w:r>
      <w:r>
        <w:rPr>
          <w:spacing w:val="-1"/>
        </w:rPr>
        <w:t>as</w:t>
      </w:r>
      <w:r>
        <w:rPr>
          <w:spacing w:val="-2"/>
        </w:rPr>
        <w:t xml:space="preserve"> </w:t>
      </w:r>
      <w:r>
        <w:rPr>
          <w:spacing w:val="-1"/>
        </w:rPr>
        <w:t>the</w:t>
      </w:r>
      <w:r>
        <w:t xml:space="preserve"> </w:t>
      </w:r>
      <w:r>
        <w:rPr>
          <w:spacing w:val="-2"/>
        </w:rPr>
        <w:t>Customer</w:t>
      </w:r>
      <w:r>
        <w:t xml:space="preserve"> </w:t>
      </w:r>
      <w:r>
        <w:rPr>
          <w:spacing w:val="-1"/>
        </w:rPr>
        <w:t>shall</w:t>
      </w:r>
      <w:r>
        <w:t xml:space="preserve"> </w:t>
      </w:r>
      <w:r>
        <w:rPr>
          <w:spacing w:val="-1"/>
        </w:rPr>
        <w:t>reasonably</w:t>
      </w:r>
      <w:r>
        <w:rPr>
          <w:spacing w:val="-2"/>
        </w:rPr>
        <w:t xml:space="preserve"> </w:t>
      </w:r>
      <w:r>
        <w:rPr>
          <w:spacing w:val="-1"/>
        </w:rPr>
        <w:t>direct.</w:t>
      </w:r>
    </w:p>
    <w:p w:rsidR="008918FA" w:rsidRDefault="008918FA" w:rsidP="008918FA">
      <w:pPr>
        <w:pStyle w:val="Heading1"/>
        <w:numPr>
          <w:ilvl w:val="1"/>
          <w:numId w:val="65"/>
        </w:numPr>
        <w:tabs>
          <w:tab w:val="left" w:pos="1049"/>
        </w:tabs>
        <w:ind w:hanging="359"/>
        <w:jc w:val="left"/>
        <w:rPr>
          <w:b w:val="0"/>
          <w:bCs w:val="0"/>
        </w:rPr>
      </w:pPr>
      <w:bookmarkStart w:id="83" w:name="_bookmark79"/>
      <w:bookmarkEnd w:id="83"/>
      <w:r>
        <w:rPr>
          <w:spacing w:val="-1"/>
        </w:rPr>
        <w:t>Location</w:t>
      </w:r>
      <w:r>
        <w:rPr>
          <w:spacing w:val="-2"/>
        </w:rPr>
        <w:t xml:space="preserve"> </w:t>
      </w:r>
      <w:r>
        <w:rPr>
          <w:spacing w:val="-1"/>
        </w:rPr>
        <w:t>and</w:t>
      </w:r>
      <w:r>
        <w:rPr>
          <w:spacing w:val="-2"/>
        </w:rPr>
        <w:t xml:space="preserve"> </w:t>
      </w:r>
      <w:r>
        <w:rPr>
          <w:spacing w:val="-1"/>
        </w:rPr>
        <w:t xml:space="preserve">Manner </w:t>
      </w:r>
      <w:r>
        <w:rPr>
          <w:spacing w:val="-2"/>
        </w:rPr>
        <w:t>of</w:t>
      </w:r>
      <w:r>
        <w:rPr>
          <w:spacing w:val="2"/>
        </w:rPr>
        <w:t xml:space="preserve"> </w:t>
      </w:r>
      <w:r>
        <w:rPr>
          <w:spacing w:val="-1"/>
        </w:rPr>
        <w:t>Delivery</w:t>
      </w:r>
      <w:r>
        <w:rPr>
          <w:spacing w:val="-4"/>
        </w:rPr>
        <w:t xml:space="preserve"> </w:t>
      </w:r>
      <w:r>
        <w:rPr>
          <w:spacing w:val="-1"/>
        </w:rPr>
        <w:t>of</w:t>
      </w:r>
      <w:r>
        <w:rPr>
          <w:spacing w:val="2"/>
        </w:rPr>
        <w:t xml:space="preserve"> </w:t>
      </w:r>
      <w:r>
        <w:rPr>
          <w:spacing w:val="-1"/>
        </w:rPr>
        <w:t>the</w:t>
      </w:r>
      <w:r>
        <w:rPr>
          <w:spacing w:val="-2"/>
        </w:rPr>
        <w:t xml:space="preserve"> </w:t>
      </w:r>
      <w:r>
        <w:rPr>
          <w:spacing w:val="-1"/>
        </w:rPr>
        <w:t>Goods</w:t>
      </w:r>
    </w:p>
    <w:p w:rsidR="008918FA" w:rsidRDefault="008918FA" w:rsidP="008918FA">
      <w:pPr>
        <w:pStyle w:val="BodyText"/>
        <w:numPr>
          <w:ilvl w:val="2"/>
          <w:numId w:val="65"/>
        </w:numPr>
        <w:tabs>
          <w:tab w:val="left" w:pos="2247"/>
        </w:tabs>
        <w:spacing w:before="124"/>
        <w:ind w:right="113" w:hanging="993"/>
        <w:jc w:val="both"/>
      </w:pPr>
      <w:r>
        <w:rPr>
          <w:spacing w:val="-1"/>
        </w:rPr>
        <w:t>Except</w:t>
      </w:r>
      <w:r>
        <w:rPr>
          <w:spacing w:val="9"/>
        </w:rPr>
        <w:t xml:space="preserve"> </w:t>
      </w:r>
      <w:r>
        <w:rPr>
          <w:spacing w:val="-2"/>
        </w:rPr>
        <w:t>where</w:t>
      </w:r>
      <w:r>
        <w:rPr>
          <w:spacing w:val="5"/>
        </w:rPr>
        <w:t xml:space="preserve"> </w:t>
      </w:r>
      <w:r>
        <w:rPr>
          <w:spacing w:val="-1"/>
        </w:rPr>
        <w:t>otherwise</w:t>
      </w:r>
      <w:r>
        <w:rPr>
          <w:spacing w:val="8"/>
        </w:rPr>
        <w:t xml:space="preserve"> </w:t>
      </w:r>
      <w:r>
        <w:rPr>
          <w:spacing w:val="-2"/>
        </w:rPr>
        <w:t>provided</w:t>
      </w:r>
      <w:r>
        <w:rPr>
          <w:spacing w:val="5"/>
        </w:rPr>
        <w:t xml:space="preserve"> </w:t>
      </w:r>
      <w:r>
        <w:rPr>
          <w:spacing w:val="-1"/>
        </w:rPr>
        <w:t>in</w:t>
      </w:r>
      <w:r>
        <w:rPr>
          <w:spacing w:val="5"/>
        </w:rPr>
        <w:t xml:space="preserve"> </w:t>
      </w:r>
      <w:r>
        <w:rPr>
          <w:spacing w:val="-1"/>
        </w:rPr>
        <w:t>this</w:t>
      </w:r>
      <w:r>
        <w:rPr>
          <w:spacing w:val="5"/>
        </w:rPr>
        <w:t xml:space="preserve"> </w:t>
      </w:r>
      <w:r>
        <w:rPr>
          <w:spacing w:val="-1"/>
        </w:rPr>
        <w:t>Call</w:t>
      </w:r>
      <w:r>
        <w:rPr>
          <w:spacing w:val="4"/>
        </w:rPr>
        <w:t xml:space="preserve"> </w:t>
      </w:r>
      <w:r>
        <w:t>Off</w:t>
      </w:r>
      <w:r>
        <w:rPr>
          <w:spacing w:val="4"/>
        </w:rPr>
        <w:t xml:space="preserve"> </w:t>
      </w:r>
      <w:r>
        <w:rPr>
          <w:spacing w:val="-1"/>
        </w:rPr>
        <w:t>Contract,</w:t>
      </w:r>
      <w:r>
        <w:rPr>
          <w:spacing w:val="4"/>
        </w:rPr>
        <w:t xml:space="preserve"> </w:t>
      </w:r>
      <w:r>
        <w:t>the</w:t>
      </w:r>
      <w:r>
        <w:rPr>
          <w:spacing w:val="8"/>
        </w:rPr>
        <w:t xml:space="preserve"> </w:t>
      </w:r>
      <w:r>
        <w:rPr>
          <w:spacing w:val="-2"/>
        </w:rPr>
        <w:t>Supplier</w:t>
      </w:r>
      <w:r>
        <w:rPr>
          <w:spacing w:val="52"/>
        </w:rPr>
        <w:t xml:space="preserve"> </w:t>
      </w:r>
      <w:r>
        <w:rPr>
          <w:spacing w:val="-1"/>
        </w:rPr>
        <w:t>shall</w:t>
      </w:r>
      <w:r>
        <w:rPr>
          <w:spacing w:val="51"/>
        </w:rPr>
        <w:t xml:space="preserve"> </w:t>
      </w:r>
      <w:r>
        <w:rPr>
          <w:spacing w:val="-1"/>
        </w:rPr>
        <w:t>deliver</w:t>
      </w:r>
      <w:r>
        <w:rPr>
          <w:spacing w:val="53"/>
        </w:rPr>
        <w:t xml:space="preserve"> </w:t>
      </w:r>
      <w:r>
        <w:t>the</w:t>
      </w:r>
      <w:r>
        <w:rPr>
          <w:spacing w:val="50"/>
        </w:rPr>
        <w:t xml:space="preserve"> </w:t>
      </w:r>
      <w:r>
        <w:rPr>
          <w:spacing w:val="-1"/>
        </w:rPr>
        <w:t>Goods</w:t>
      </w:r>
      <w:r>
        <w:rPr>
          <w:spacing w:val="52"/>
        </w:rPr>
        <w:t xml:space="preserve"> </w:t>
      </w:r>
      <w:r>
        <w:t>to</w:t>
      </w:r>
      <w:r>
        <w:rPr>
          <w:spacing w:val="49"/>
        </w:rPr>
        <w:t xml:space="preserve"> </w:t>
      </w:r>
      <w:r>
        <w:t>the</w:t>
      </w:r>
      <w:r>
        <w:rPr>
          <w:spacing w:val="49"/>
        </w:rPr>
        <w:t xml:space="preserve"> </w:t>
      </w:r>
      <w:r>
        <w:rPr>
          <w:spacing w:val="-1"/>
        </w:rPr>
        <w:t>Customer</w:t>
      </w:r>
      <w:r>
        <w:rPr>
          <w:spacing w:val="52"/>
        </w:rPr>
        <w:t xml:space="preserve"> </w:t>
      </w:r>
      <w:r>
        <w:rPr>
          <w:spacing w:val="-1"/>
        </w:rPr>
        <w:t>through</w:t>
      </w:r>
      <w:r>
        <w:rPr>
          <w:spacing w:val="50"/>
        </w:rPr>
        <w:t xml:space="preserve"> </w:t>
      </w:r>
      <w:r>
        <w:t>the</w:t>
      </w:r>
      <w:r>
        <w:rPr>
          <w:spacing w:val="52"/>
        </w:rPr>
        <w:t xml:space="preserve"> </w:t>
      </w:r>
      <w:r>
        <w:rPr>
          <w:spacing w:val="-2"/>
        </w:rPr>
        <w:t>Supplier</w:t>
      </w:r>
      <w:r>
        <w:rPr>
          <w:spacing w:val="24"/>
        </w:rPr>
        <w:t xml:space="preserve"> </w:t>
      </w:r>
      <w:r>
        <w:rPr>
          <w:spacing w:val="-1"/>
        </w:rPr>
        <w:t>Personnel</w:t>
      </w:r>
      <w:r>
        <w:t xml:space="preserve"> </w:t>
      </w:r>
      <w:r>
        <w:rPr>
          <w:spacing w:val="-1"/>
        </w:rPr>
        <w:t>at</w:t>
      </w:r>
      <w:r>
        <w:t xml:space="preserve"> the</w:t>
      </w:r>
      <w:r>
        <w:rPr>
          <w:spacing w:val="-2"/>
        </w:rPr>
        <w:t xml:space="preserve"> </w:t>
      </w:r>
      <w:r>
        <w:rPr>
          <w:spacing w:val="-1"/>
        </w:rPr>
        <w:t>Sites.</w:t>
      </w:r>
    </w:p>
    <w:p w:rsidR="008918FA" w:rsidRDefault="008918FA" w:rsidP="008918FA">
      <w:pPr>
        <w:pStyle w:val="BodyText"/>
        <w:numPr>
          <w:ilvl w:val="2"/>
          <w:numId w:val="65"/>
        </w:numPr>
        <w:tabs>
          <w:tab w:val="left" w:pos="2247"/>
        </w:tabs>
        <w:spacing w:before="121"/>
        <w:ind w:right="114" w:hanging="993"/>
        <w:jc w:val="both"/>
      </w:pPr>
      <w:r>
        <w:rPr>
          <w:spacing w:val="-1"/>
        </w:rPr>
        <w:t>If</w:t>
      </w:r>
      <w:r>
        <w:rPr>
          <w:spacing w:val="8"/>
        </w:rPr>
        <w:t xml:space="preserve"> </w:t>
      </w:r>
      <w:r>
        <w:rPr>
          <w:spacing w:val="-1"/>
        </w:rPr>
        <w:t>requested</w:t>
      </w:r>
      <w:r>
        <w:rPr>
          <w:spacing w:val="6"/>
        </w:rPr>
        <w:t xml:space="preserve"> </w:t>
      </w:r>
      <w:r>
        <w:rPr>
          <w:spacing w:val="-1"/>
        </w:rPr>
        <w:t>by</w:t>
      </w:r>
      <w:r>
        <w:rPr>
          <w:spacing w:val="4"/>
        </w:rPr>
        <w:t xml:space="preserve"> </w:t>
      </w:r>
      <w:r>
        <w:t>the</w:t>
      </w:r>
      <w:r>
        <w:rPr>
          <w:spacing w:val="4"/>
        </w:rPr>
        <w:t xml:space="preserve"> </w:t>
      </w:r>
      <w:r>
        <w:rPr>
          <w:spacing w:val="-2"/>
        </w:rPr>
        <w:t>Customer</w:t>
      </w:r>
      <w:r>
        <w:rPr>
          <w:spacing w:val="8"/>
        </w:rPr>
        <w:t xml:space="preserve"> </w:t>
      </w:r>
      <w:r>
        <w:rPr>
          <w:spacing w:val="-2"/>
        </w:rPr>
        <w:t>prior</w:t>
      </w:r>
      <w:r>
        <w:rPr>
          <w:spacing w:val="5"/>
        </w:rPr>
        <w:t xml:space="preserve"> </w:t>
      </w:r>
      <w:r>
        <w:t>to</w:t>
      </w:r>
      <w:r>
        <w:rPr>
          <w:spacing w:val="6"/>
        </w:rPr>
        <w:t xml:space="preserve"> </w:t>
      </w:r>
      <w:r>
        <w:rPr>
          <w:spacing w:val="-2"/>
        </w:rPr>
        <w:t>Delivery,</w:t>
      </w:r>
      <w:r>
        <w:rPr>
          <w:spacing w:val="8"/>
        </w:rPr>
        <w:t xml:space="preserve"> </w:t>
      </w:r>
      <w:r>
        <w:t>the</w:t>
      </w:r>
      <w:r>
        <w:rPr>
          <w:spacing w:val="6"/>
        </w:rPr>
        <w:t xml:space="preserve"> </w:t>
      </w:r>
      <w:r>
        <w:rPr>
          <w:spacing w:val="-2"/>
        </w:rPr>
        <w:t>Supplier</w:t>
      </w:r>
      <w:r>
        <w:rPr>
          <w:spacing w:val="8"/>
        </w:rPr>
        <w:t xml:space="preserve"> </w:t>
      </w:r>
      <w:r>
        <w:rPr>
          <w:spacing w:val="-1"/>
        </w:rPr>
        <w:t>shall</w:t>
      </w:r>
      <w:r>
        <w:rPr>
          <w:spacing w:val="57"/>
        </w:rPr>
        <w:t xml:space="preserve"> </w:t>
      </w:r>
      <w:r>
        <w:rPr>
          <w:spacing w:val="-2"/>
        </w:rPr>
        <w:t>provide</w:t>
      </w:r>
      <w:r>
        <w:rPr>
          <w:spacing w:val="37"/>
        </w:rPr>
        <w:t xml:space="preserve"> </w:t>
      </w:r>
      <w:r>
        <w:t>the</w:t>
      </w:r>
      <w:r>
        <w:rPr>
          <w:spacing w:val="37"/>
        </w:rPr>
        <w:t xml:space="preserve"> </w:t>
      </w:r>
      <w:r>
        <w:rPr>
          <w:spacing w:val="-1"/>
        </w:rPr>
        <w:t>Customer</w:t>
      </w:r>
      <w:r>
        <w:rPr>
          <w:spacing w:val="39"/>
        </w:rPr>
        <w:t xml:space="preserve"> </w:t>
      </w:r>
      <w:r>
        <w:rPr>
          <w:spacing w:val="-2"/>
        </w:rPr>
        <w:t>with</w:t>
      </w:r>
      <w:r>
        <w:rPr>
          <w:spacing w:val="37"/>
        </w:rPr>
        <w:t xml:space="preserve"> </w:t>
      </w:r>
      <w:r>
        <w:t>a</w:t>
      </w:r>
      <w:r>
        <w:rPr>
          <w:spacing w:val="37"/>
        </w:rPr>
        <w:t xml:space="preserve"> </w:t>
      </w:r>
      <w:r>
        <w:rPr>
          <w:spacing w:val="-1"/>
        </w:rPr>
        <w:t>sample</w:t>
      </w:r>
      <w:r>
        <w:rPr>
          <w:spacing w:val="37"/>
        </w:rPr>
        <w:t xml:space="preserve"> </w:t>
      </w:r>
      <w:r>
        <w:rPr>
          <w:spacing w:val="-1"/>
        </w:rPr>
        <w:t>or</w:t>
      </w:r>
      <w:r>
        <w:rPr>
          <w:spacing w:val="40"/>
        </w:rPr>
        <w:t xml:space="preserve"> </w:t>
      </w:r>
      <w:r>
        <w:rPr>
          <w:spacing w:val="-1"/>
        </w:rPr>
        <w:t>samples</w:t>
      </w:r>
      <w:r>
        <w:rPr>
          <w:spacing w:val="38"/>
        </w:rPr>
        <w:t xml:space="preserve"> </w:t>
      </w:r>
      <w:r>
        <w:rPr>
          <w:spacing w:val="-2"/>
        </w:rPr>
        <w:t>of</w:t>
      </w:r>
      <w:r>
        <w:rPr>
          <w:spacing w:val="41"/>
        </w:rPr>
        <w:t xml:space="preserve"> </w:t>
      </w:r>
      <w:r>
        <w:rPr>
          <w:spacing w:val="-1"/>
        </w:rPr>
        <w:t>Goods</w:t>
      </w:r>
      <w:r>
        <w:rPr>
          <w:spacing w:val="35"/>
        </w:rPr>
        <w:t xml:space="preserve"> </w:t>
      </w:r>
      <w:r>
        <w:t>for</w:t>
      </w:r>
      <w:r>
        <w:rPr>
          <w:spacing w:val="47"/>
        </w:rPr>
        <w:t xml:space="preserve"> </w:t>
      </w:r>
      <w:r>
        <w:rPr>
          <w:spacing w:val="-2"/>
        </w:rPr>
        <w:t>evaluation</w:t>
      </w:r>
      <w:r>
        <w:t xml:space="preserve"> </w:t>
      </w:r>
      <w:r>
        <w:rPr>
          <w:spacing w:val="-1"/>
        </w:rPr>
        <w:t>and</w:t>
      </w:r>
      <w:r>
        <w:t xml:space="preserve"> </w:t>
      </w:r>
      <w:r>
        <w:rPr>
          <w:spacing w:val="-2"/>
        </w:rPr>
        <w:t>Approval,</w:t>
      </w:r>
      <w:r>
        <w:rPr>
          <w:spacing w:val="2"/>
        </w:rPr>
        <w:t xml:space="preserve"> </w:t>
      </w:r>
      <w:r>
        <w:rPr>
          <w:spacing w:val="-1"/>
        </w:rPr>
        <w:t>at</w:t>
      </w:r>
      <w:r>
        <w:t xml:space="preserve"> the</w:t>
      </w:r>
      <w:r>
        <w:rPr>
          <w:spacing w:val="-2"/>
        </w:rPr>
        <w:t xml:space="preserve"> Supplier’s</w:t>
      </w:r>
      <w:r>
        <w:rPr>
          <w:spacing w:val="1"/>
        </w:rPr>
        <w:t xml:space="preserve"> </w:t>
      </w:r>
      <w:r>
        <w:rPr>
          <w:spacing w:val="-1"/>
        </w:rPr>
        <w:t>cost</w:t>
      </w:r>
      <w:r>
        <w:rPr>
          <w:spacing w:val="2"/>
        </w:rPr>
        <w:t xml:space="preserve"> </w:t>
      </w:r>
      <w:r>
        <w:rPr>
          <w:spacing w:val="-2"/>
        </w:rPr>
        <w:t>and</w:t>
      </w:r>
      <w:r>
        <w:t xml:space="preserve"> </w:t>
      </w:r>
      <w:r>
        <w:rPr>
          <w:spacing w:val="-1"/>
        </w:rPr>
        <w:t>expense.</w:t>
      </w:r>
    </w:p>
    <w:p w:rsidR="008918FA" w:rsidRDefault="008918FA" w:rsidP="008918FA">
      <w:pPr>
        <w:pStyle w:val="BodyText"/>
        <w:numPr>
          <w:ilvl w:val="2"/>
          <w:numId w:val="65"/>
        </w:numPr>
        <w:tabs>
          <w:tab w:val="left" w:pos="2247"/>
        </w:tabs>
        <w:ind w:right="111" w:hanging="993"/>
        <w:jc w:val="both"/>
      </w:pPr>
      <w:bookmarkStart w:id="84" w:name="_bookmark80"/>
      <w:bookmarkEnd w:id="84"/>
      <w:r>
        <w:t>The</w:t>
      </w:r>
      <w:r>
        <w:rPr>
          <w:spacing w:val="5"/>
        </w:rPr>
        <w:t xml:space="preserve"> </w:t>
      </w:r>
      <w:r>
        <w:rPr>
          <w:spacing w:val="-1"/>
        </w:rPr>
        <w:t>Goods</w:t>
      </w:r>
      <w:r>
        <w:rPr>
          <w:spacing w:val="5"/>
        </w:rPr>
        <w:t xml:space="preserve"> </w:t>
      </w:r>
      <w:r>
        <w:rPr>
          <w:spacing w:val="-1"/>
        </w:rPr>
        <w:t>shall</w:t>
      </w:r>
      <w:r>
        <w:rPr>
          <w:spacing w:val="7"/>
        </w:rPr>
        <w:t xml:space="preserve"> </w:t>
      </w:r>
      <w:r>
        <w:rPr>
          <w:spacing w:val="-1"/>
        </w:rPr>
        <w:t>be</w:t>
      </w:r>
      <w:r>
        <w:rPr>
          <w:spacing w:val="8"/>
        </w:rPr>
        <w:t xml:space="preserve"> </w:t>
      </w:r>
      <w:r>
        <w:rPr>
          <w:spacing w:val="-1"/>
        </w:rPr>
        <w:t>marked,</w:t>
      </w:r>
      <w:r>
        <w:rPr>
          <w:spacing w:val="9"/>
        </w:rPr>
        <w:t xml:space="preserve"> </w:t>
      </w:r>
      <w:r>
        <w:rPr>
          <w:spacing w:val="-1"/>
        </w:rPr>
        <w:t>stored,</w:t>
      </w:r>
      <w:r>
        <w:rPr>
          <w:spacing w:val="9"/>
        </w:rPr>
        <w:t xml:space="preserve"> </w:t>
      </w:r>
      <w:r>
        <w:rPr>
          <w:spacing w:val="-1"/>
        </w:rPr>
        <w:t>handled</w:t>
      </w:r>
      <w:r>
        <w:rPr>
          <w:spacing w:val="7"/>
        </w:rPr>
        <w:t xml:space="preserve"> </w:t>
      </w:r>
      <w:r>
        <w:rPr>
          <w:spacing w:val="-1"/>
        </w:rPr>
        <w:t>and</w:t>
      </w:r>
      <w:r>
        <w:rPr>
          <w:spacing w:val="5"/>
        </w:rPr>
        <w:t xml:space="preserve"> </w:t>
      </w:r>
      <w:r>
        <w:rPr>
          <w:spacing w:val="-2"/>
        </w:rPr>
        <w:t>delivered</w:t>
      </w:r>
      <w:r>
        <w:rPr>
          <w:spacing w:val="9"/>
        </w:rPr>
        <w:t xml:space="preserve"> </w:t>
      </w:r>
      <w:r>
        <w:rPr>
          <w:spacing w:val="-1"/>
        </w:rPr>
        <w:t>in</w:t>
      </w:r>
      <w:r>
        <w:rPr>
          <w:spacing w:val="7"/>
        </w:rPr>
        <w:t xml:space="preserve"> </w:t>
      </w:r>
      <w:r>
        <w:t>a</w:t>
      </w:r>
      <w:r>
        <w:rPr>
          <w:spacing w:val="7"/>
        </w:rPr>
        <w:t xml:space="preserve"> </w:t>
      </w:r>
      <w:r>
        <w:rPr>
          <w:spacing w:val="-1"/>
        </w:rPr>
        <w:t>proper</w:t>
      </w:r>
      <w:r>
        <w:rPr>
          <w:spacing w:val="30"/>
        </w:rPr>
        <w:t xml:space="preserve"> </w:t>
      </w:r>
      <w:r>
        <w:rPr>
          <w:spacing w:val="-1"/>
        </w:rPr>
        <w:t>manner</w:t>
      </w:r>
      <w:r>
        <w:rPr>
          <w:spacing w:val="35"/>
        </w:rPr>
        <w:t xml:space="preserve"> </w:t>
      </w:r>
      <w:r>
        <w:rPr>
          <w:spacing w:val="-1"/>
        </w:rPr>
        <w:t>and</w:t>
      </w:r>
      <w:r>
        <w:rPr>
          <w:spacing w:val="34"/>
        </w:rPr>
        <w:t xml:space="preserve"> </w:t>
      </w:r>
      <w:r>
        <w:rPr>
          <w:spacing w:val="-1"/>
        </w:rPr>
        <w:t>in</w:t>
      </w:r>
      <w:r>
        <w:rPr>
          <w:spacing w:val="34"/>
        </w:rPr>
        <w:t xml:space="preserve"> </w:t>
      </w:r>
      <w:r>
        <w:rPr>
          <w:spacing w:val="-1"/>
        </w:rPr>
        <w:t>accordance</w:t>
      </w:r>
      <w:r>
        <w:rPr>
          <w:spacing w:val="34"/>
        </w:rPr>
        <w:t xml:space="preserve"> </w:t>
      </w:r>
      <w:r>
        <w:t>the</w:t>
      </w:r>
      <w:r>
        <w:rPr>
          <w:spacing w:val="34"/>
        </w:rPr>
        <w:t xml:space="preserve"> </w:t>
      </w:r>
      <w:r>
        <w:rPr>
          <w:spacing w:val="-1"/>
        </w:rPr>
        <w:t>Customer’s</w:t>
      </w:r>
      <w:r>
        <w:rPr>
          <w:spacing w:val="34"/>
        </w:rPr>
        <w:t xml:space="preserve"> </w:t>
      </w:r>
      <w:r>
        <w:rPr>
          <w:spacing w:val="-1"/>
        </w:rPr>
        <w:t>instructions</w:t>
      </w:r>
      <w:r>
        <w:rPr>
          <w:spacing w:val="35"/>
        </w:rPr>
        <w:t xml:space="preserve"> </w:t>
      </w:r>
      <w:r>
        <w:rPr>
          <w:spacing w:val="-1"/>
        </w:rPr>
        <w:t>as</w:t>
      </w:r>
      <w:r>
        <w:rPr>
          <w:spacing w:val="34"/>
        </w:rPr>
        <w:t xml:space="preserve"> </w:t>
      </w:r>
      <w:r>
        <w:rPr>
          <w:spacing w:val="-1"/>
        </w:rPr>
        <w:t>set</w:t>
      </w:r>
      <w:r>
        <w:rPr>
          <w:spacing w:val="35"/>
        </w:rPr>
        <w:t xml:space="preserve"> </w:t>
      </w:r>
      <w:r>
        <w:rPr>
          <w:spacing w:val="-2"/>
        </w:rPr>
        <w:t>out</w:t>
      </w:r>
      <w:r>
        <w:rPr>
          <w:spacing w:val="35"/>
        </w:rPr>
        <w:t xml:space="preserve"> </w:t>
      </w:r>
      <w:r>
        <w:rPr>
          <w:spacing w:val="-1"/>
        </w:rPr>
        <w:t>in</w:t>
      </w:r>
      <w:r>
        <w:rPr>
          <w:spacing w:val="25"/>
        </w:rPr>
        <w:t xml:space="preserve"> </w:t>
      </w:r>
      <w:r>
        <w:t>the</w:t>
      </w:r>
      <w:r>
        <w:rPr>
          <w:spacing w:val="10"/>
        </w:rPr>
        <w:t xml:space="preserve"> </w:t>
      </w:r>
      <w:r>
        <w:rPr>
          <w:spacing w:val="-1"/>
        </w:rPr>
        <w:t>Order</w:t>
      </w:r>
      <w:r>
        <w:rPr>
          <w:spacing w:val="11"/>
        </w:rPr>
        <w:t xml:space="preserve"> </w:t>
      </w:r>
      <w:r>
        <w:rPr>
          <w:spacing w:val="-1"/>
        </w:rPr>
        <w:t>Form</w:t>
      </w:r>
      <w:r>
        <w:rPr>
          <w:spacing w:val="11"/>
        </w:rPr>
        <w:t xml:space="preserve"> </w:t>
      </w:r>
      <w:r>
        <w:rPr>
          <w:spacing w:val="-1"/>
        </w:rPr>
        <w:t>(or</w:t>
      </w:r>
      <w:r>
        <w:rPr>
          <w:spacing w:val="11"/>
        </w:rPr>
        <w:t xml:space="preserve"> </w:t>
      </w:r>
      <w:r>
        <w:rPr>
          <w:spacing w:val="-2"/>
        </w:rPr>
        <w:t>elsewhere</w:t>
      </w:r>
      <w:r>
        <w:rPr>
          <w:spacing w:val="10"/>
        </w:rPr>
        <w:t xml:space="preserve"> </w:t>
      </w:r>
      <w:r>
        <w:rPr>
          <w:spacing w:val="-1"/>
        </w:rPr>
        <w:t>in</w:t>
      </w:r>
      <w:r>
        <w:rPr>
          <w:spacing w:val="10"/>
        </w:rPr>
        <w:t xml:space="preserve"> </w:t>
      </w:r>
      <w:r>
        <w:rPr>
          <w:spacing w:val="-1"/>
        </w:rPr>
        <w:t>this</w:t>
      </w:r>
      <w:r>
        <w:rPr>
          <w:spacing w:val="13"/>
        </w:rPr>
        <w:t xml:space="preserve"> </w:t>
      </w:r>
      <w:r>
        <w:rPr>
          <w:spacing w:val="-2"/>
        </w:rPr>
        <w:t>Call</w:t>
      </w:r>
      <w:r>
        <w:rPr>
          <w:spacing w:val="9"/>
        </w:rPr>
        <w:t xml:space="preserve"> </w:t>
      </w:r>
      <w:r>
        <w:t>Off</w:t>
      </w:r>
      <w:r>
        <w:rPr>
          <w:spacing w:val="14"/>
        </w:rPr>
        <w:t xml:space="preserve"> </w:t>
      </w:r>
      <w:r>
        <w:rPr>
          <w:spacing w:val="-1"/>
        </w:rPr>
        <w:t>Contract),</w:t>
      </w:r>
      <w:r>
        <w:rPr>
          <w:spacing w:val="11"/>
        </w:rPr>
        <w:t xml:space="preserve"> </w:t>
      </w:r>
      <w:r>
        <w:rPr>
          <w:spacing w:val="-1"/>
        </w:rPr>
        <w:t>Good</w:t>
      </w:r>
      <w:r>
        <w:rPr>
          <w:spacing w:val="7"/>
        </w:rPr>
        <w:t xml:space="preserve"> </w:t>
      </w:r>
      <w:r>
        <w:rPr>
          <w:spacing w:val="-1"/>
        </w:rPr>
        <w:t>Industry</w:t>
      </w:r>
      <w:r>
        <w:rPr>
          <w:spacing w:val="51"/>
        </w:rPr>
        <w:t xml:space="preserve"> </w:t>
      </w:r>
      <w:r>
        <w:rPr>
          <w:spacing w:val="-1"/>
        </w:rPr>
        <w:t>Practice,</w:t>
      </w:r>
      <w:r>
        <w:rPr>
          <w:spacing w:val="57"/>
        </w:rPr>
        <w:t xml:space="preserve"> </w:t>
      </w:r>
      <w:r>
        <w:rPr>
          <w:spacing w:val="-1"/>
        </w:rPr>
        <w:t>any</w:t>
      </w:r>
      <w:r>
        <w:rPr>
          <w:spacing w:val="56"/>
        </w:rPr>
        <w:t xml:space="preserve"> </w:t>
      </w:r>
      <w:r>
        <w:rPr>
          <w:spacing w:val="-2"/>
        </w:rPr>
        <w:t>applicable</w:t>
      </w:r>
      <w:r>
        <w:rPr>
          <w:spacing w:val="60"/>
        </w:rPr>
        <w:t xml:space="preserve"> </w:t>
      </w:r>
      <w:r>
        <w:rPr>
          <w:spacing w:val="-1"/>
        </w:rPr>
        <w:t>Standards</w:t>
      </w:r>
      <w:r>
        <w:rPr>
          <w:spacing w:val="58"/>
        </w:rPr>
        <w:t xml:space="preserve"> </w:t>
      </w:r>
      <w:r>
        <w:rPr>
          <w:spacing w:val="-1"/>
        </w:rPr>
        <w:t>and</w:t>
      </w:r>
      <w:r>
        <w:rPr>
          <w:spacing w:val="57"/>
        </w:rPr>
        <w:t xml:space="preserve"> </w:t>
      </w:r>
      <w:r>
        <w:rPr>
          <w:spacing w:val="-1"/>
        </w:rPr>
        <w:t>any</w:t>
      </w:r>
      <w:r>
        <w:rPr>
          <w:spacing w:val="56"/>
        </w:rPr>
        <w:t xml:space="preserve"> </w:t>
      </w:r>
      <w:r>
        <w:rPr>
          <w:spacing w:val="-2"/>
        </w:rPr>
        <w:t>Law.</w:t>
      </w:r>
      <w:r>
        <w:rPr>
          <w:spacing w:val="60"/>
        </w:rPr>
        <w:t xml:space="preserve"> </w:t>
      </w:r>
      <w:r>
        <w:t>In</w:t>
      </w:r>
      <w:r>
        <w:rPr>
          <w:spacing w:val="58"/>
        </w:rPr>
        <w:t xml:space="preserve"> </w:t>
      </w:r>
      <w:r>
        <w:rPr>
          <w:spacing w:val="-1"/>
        </w:rPr>
        <w:t>particular,</w:t>
      </w:r>
      <w:r>
        <w:rPr>
          <w:spacing w:val="59"/>
        </w:rPr>
        <w:t xml:space="preserve"> </w:t>
      </w:r>
      <w:r>
        <w:rPr>
          <w:spacing w:val="-1"/>
        </w:rPr>
        <w:t>the</w:t>
      </w:r>
      <w:r>
        <w:rPr>
          <w:spacing w:val="54"/>
        </w:rPr>
        <w:t xml:space="preserve"> </w:t>
      </w:r>
      <w:r>
        <w:rPr>
          <w:spacing w:val="-1"/>
        </w:rPr>
        <w:t>Goods</w:t>
      </w:r>
      <w:r>
        <w:rPr>
          <w:spacing w:val="13"/>
        </w:rPr>
        <w:t xml:space="preserve"> </w:t>
      </w:r>
      <w:r>
        <w:rPr>
          <w:spacing w:val="-1"/>
        </w:rPr>
        <w:t>shall</w:t>
      </w:r>
      <w:r>
        <w:rPr>
          <w:spacing w:val="12"/>
        </w:rPr>
        <w:t xml:space="preserve"> </w:t>
      </w:r>
      <w:r>
        <w:rPr>
          <w:spacing w:val="-1"/>
        </w:rPr>
        <w:t>be</w:t>
      </w:r>
      <w:r>
        <w:rPr>
          <w:spacing w:val="12"/>
        </w:rPr>
        <w:t xml:space="preserve"> </w:t>
      </w:r>
      <w:r>
        <w:rPr>
          <w:spacing w:val="-1"/>
        </w:rPr>
        <w:t>marked</w:t>
      </w:r>
      <w:r>
        <w:rPr>
          <w:spacing w:val="10"/>
        </w:rPr>
        <w:t xml:space="preserve"> </w:t>
      </w:r>
      <w:r>
        <w:rPr>
          <w:spacing w:val="-1"/>
        </w:rPr>
        <w:t>with</w:t>
      </w:r>
      <w:r>
        <w:rPr>
          <w:spacing w:val="12"/>
        </w:rPr>
        <w:t xml:space="preserve"> </w:t>
      </w:r>
      <w:r>
        <w:t>the</w:t>
      </w:r>
      <w:r>
        <w:rPr>
          <w:spacing w:val="12"/>
        </w:rPr>
        <w:t xml:space="preserve"> </w:t>
      </w:r>
      <w:r>
        <w:rPr>
          <w:spacing w:val="-1"/>
        </w:rPr>
        <w:t>Order</w:t>
      </w:r>
      <w:r>
        <w:rPr>
          <w:spacing w:val="14"/>
        </w:rPr>
        <w:t xml:space="preserve"> </w:t>
      </w:r>
      <w:r>
        <w:rPr>
          <w:spacing w:val="-1"/>
        </w:rPr>
        <w:t>number</w:t>
      </w:r>
      <w:r>
        <w:rPr>
          <w:spacing w:val="14"/>
        </w:rPr>
        <w:t xml:space="preserve"> </w:t>
      </w:r>
      <w:r>
        <w:rPr>
          <w:spacing w:val="-2"/>
        </w:rPr>
        <w:t>and</w:t>
      </w:r>
      <w:r>
        <w:rPr>
          <w:spacing w:val="12"/>
        </w:rPr>
        <w:t xml:space="preserve"> </w:t>
      </w:r>
      <w:r>
        <w:t>the</w:t>
      </w:r>
      <w:r>
        <w:rPr>
          <w:spacing w:val="12"/>
        </w:rPr>
        <w:t xml:space="preserve"> </w:t>
      </w:r>
      <w:r>
        <w:rPr>
          <w:spacing w:val="-1"/>
        </w:rPr>
        <w:t>net,</w:t>
      </w:r>
      <w:r>
        <w:rPr>
          <w:spacing w:val="11"/>
        </w:rPr>
        <w:t xml:space="preserve"> </w:t>
      </w:r>
      <w:r>
        <w:t>gross</w:t>
      </w:r>
      <w:r>
        <w:rPr>
          <w:spacing w:val="13"/>
        </w:rPr>
        <w:t xml:space="preserve"> </w:t>
      </w:r>
      <w:r>
        <w:rPr>
          <w:spacing w:val="-1"/>
        </w:rPr>
        <w:t>and</w:t>
      </w:r>
      <w:r>
        <w:rPr>
          <w:spacing w:val="24"/>
        </w:rPr>
        <w:t xml:space="preserve"> </w:t>
      </w:r>
      <w:r>
        <w:t>tare</w:t>
      </w:r>
      <w:r>
        <w:rPr>
          <w:spacing w:val="3"/>
        </w:rPr>
        <w:t xml:space="preserve"> </w:t>
      </w:r>
      <w:r>
        <w:rPr>
          <w:spacing w:val="-1"/>
        </w:rPr>
        <w:t>weights,</w:t>
      </w:r>
      <w:r>
        <w:rPr>
          <w:spacing w:val="2"/>
        </w:rPr>
        <w:t xml:space="preserve"> </w:t>
      </w:r>
      <w:r>
        <w:t>the</w:t>
      </w:r>
      <w:r>
        <w:rPr>
          <w:spacing w:val="3"/>
        </w:rPr>
        <w:t xml:space="preserve"> </w:t>
      </w:r>
      <w:r>
        <w:rPr>
          <w:spacing w:val="-1"/>
        </w:rPr>
        <w:t>name</w:t>
      </w:r>
      <w:r>
        <w:rPr>
          <w:spacing w:val="3"/>
        </w:rPr>
        <w:t xml:space="preserve"> </w:t>
      </w:r>
      <w:r>
        <w:rPr>
          <w:spacing w:val="-2"/>
        </w:rPr>
        <w:t>of</w:t>
      </w:r>
      <w:r>
        <w:rPr>
          <w:spacing w:val="4"/>
        </w:rPr>
        <w:t xml:space="preserve"> </w:t>
      </w:r>
      <w:r>
        <w:t xml:space="preserve">the </w:t>
      </w:r>
      <w:r>
        <w:rPr>
          <w:spacing w:val="-1"/>
        </w:rPr>
        <w:t>contents</w:t>
      </w:r>
      <w:r>
        <w:rPr>
          <w:spacing w:val="3"/>
        </w:rPr>
        <w:t xml:space="preserve"> </w:t>
      </w:r>
      <w:r>
        <w:rPr>
          <w:spacing w:val="-1"/>
        </w:rPr>
        <w:t>shall</w:t>
      </w:r>
      <w:r>
        <w:rPr>
          <w:spacing w:val="2"/>
        </w:rPr>
        <w:t xml:space="preserve"> </w:t>
      </w:r>
      <w:r>
        <w:rPr>
          <w:spacing w:val="-1"/>
        </w:rPr>
        <w:t>be</w:t>
      </w:r>
      <w:r>
        <w:rPr>
          <w:spacing w:val="3"/>
        </w:rPr>
        <w:t xml:space="preserve"> </w:t>
      </w:r>
      <w:r>
        <w:rPr>
          <w:spacing w:val="-2"/>
        </w:rPr>
        <w:t>clearly</w:t>
      </w:r>
      <w:r>
        <w:rPr>
          <w:spacing w:val="1"/>
        </w:rPr>
        <w:t xml:space="preserve"> </w:t>
      </w:r>
      <w:r>
        <w:rPr>
          <w:spacing w:val="-1"/>
        </w:rPr>
        <w:t>marked</w:t>
      </w:r>
      <w:r>
        <w:rPr>
          <w:spacing w:val="3"/>
        </w:rPr>
        <w:t xml:space="preserve"> </w:t>
      </w:r>
      <w:r>
        <w:rPr>
          <w:spacing w:val="-1"/>
        </w:rPr>
        <w:t>on</w:t>
      </w:r>
      <w:r>
        <w:rPr>
          <w:spacing w:val="3"/>
        </w:rPr>
        <w:t xml:space="preserve"> </w:t>
      </w:r>
      <w:r>
        <w:rPr>
          <w:spacing w:val="-1"/>
        </w:rPr>
        <w:t>each</w:t>
      </w:r>
      <w:r>
        <w:rPr>
          <w:spacing w:val="36"/>
        </w:rPr>
        <w:t xml:space="preserve"> </w:t>
      </w:r>
      <w:r>
        <w:rPr>
          <w:spacing w:val="-1"/>
        </w:rPr>
        <w:t>container</w:t>
      </w:r>
      <w:r>
        <w:rPr>
          <w:spacing w:val="30"/>
        </w:rPr>
        <w:t xml:space="preserve"> </w:t>
      </w:r>
      <w:r>
        <w:rPr>
          <w:spacing w:val="-1"/>
        </w:rPr>
        <w:t>and</w:t>
      </w:r>
      <w:r>
        <w:rPr>
          <w:spacing w:val="29"/>
        </w:rPr>
        <w:t xml:space="preserve"> </w:t>
      </w:r>
      <w:r>
        <w:rPr>
          <w:spacing w:val="-1"/>
        </w:rPr>
        <w:t>all</w:t>
      </w:r>
      <w:r>
        <w:rPr>
          <w:spacing w:val="28"/>
        </w:rPr>
        <w:t xml:space="preserve"> </w:t>
      </w:r>
      <w:r>
        <w:rPr>
          <w:spacing w:val="-1"/>
        </w:rPr>
        <w:t>containers</w:t>
      </w:r>
      <w:r>
        <w:rPr>
          <w:spacing w:val="30"/>
        </w:rPr>
        <w:t xml:space="preserve"> </w:t>
      </w:r>
      <w:r>
        <w:rPr>
          <w:spacing w:val="-2"/>
        </w:rPr>
        <w:t>of</w:t>
      </w:r>
      <w:r>
        <w:rPr>
          <w:spacing w:val="33"/>
        </w:rPr>
        <w:t xml:space="preserve"> </w:t>
      </w:r>
      <w:r>
        <w:rPr>
          <w:spacing w:val="-1"/>
        </w:rPr>
        <w:t>hazardous</w:t>
      </w:r>
      <w:r>
        <w:rPr>
          <w:spacing w:val="27"/>
        </w:rPr>
        <w:t xml:space="preserve"> </w:t>
      </w:r>
      <w:r>
        <w:rPr>
          <w:spacing w:val="-1"/>
        </w:rPr>
        <w:t>Goods</w:t>
      </w:r>
      <w:r>
        <w:rPr>
          <w:spacing w:val="30"/>
        </w:rPr>
        <w:t xml:space="preserve"> </w:t>
      </w:r>
      <w:r>
        <w:rPr>
          <w:spacing w:val="-1"/>
        </w:rPr>
        <w:t>(and</w:t>
      </w:r>
      <w:r>
        <w:rPr>
          <w:spacing w:val="29"/>
        </w:rPr>
        <w:t xml:space="preserve"> </w:t>
      </w:r>
      <w:r>
        <w:rPr>
          <w:spacing w:val="-1"/>
        </w:rPr>
        <w:t>all</w:t>
      </w:r>
      <w:r>
        <w:rPr>
          <w:spacing w:val="28"/>
        </w:rPr>
        <w:t xml:space="preserve"> </w:t>
      </w:r>
      <w:r>
        <w:rPr>
          <w:spacing w:val="-1"/>
        </w:rPr>
        <w:t>documents</w:t>
      </w:r>
      <w:r>
        <w:rPr>
          <w:spacing w:val="25"/>
        </w:rPr>
        <w:t xml:space="preserve"> </w:t>
      </w:r>
      <w:r>
        <w:rPr>
          <w:spacing w:val="-1"/>
        </w:rPr>
        <w:t>relating</w:t>
      </w:r>
      <w:r>
        <w:t xml:space="preserve"> </w:t>
      </w:r>
      <w:r>
        <w:rPr>
          <w:spacing w:val="-1"/>
        </w:rPr>
        <w:t>thereto) shall</w:t>
      </w:r>
      <w:r>
        <w:t xml:space="preserve"> </w:t>
      </w:r>
      <w:r>
        <w:rPr>
          <w:spacing w:val="-1"/>
        </w:rPr>
        <w:t>bear</w:t>
      </w:r>
      <w:r>
        <w:rPr>
          <w:spacing w:val="2"/>
        </w:rPr>
        <w:t xml:space="preserve"> </w:t>
      </w:r>
      <w:r>
        <w:rPr>
          <w:spacing w:val="-1"/>
        </w:rPr>
        <w:t>prominent</w:t>
      </w:r>
      <w:r>
        <w:t xml:space="preserve"> </w:t>
      </w:r>
      <w:r>
        <w:rPr>
          <w:spacing w:val="-1"/>
        </w:rPr>
        <w:t>and</w:t>
      </w:r>
      <w:r>
        <w:t xml:space="preserve"> </w:t>
      </w:r>
      <w:r>
        <w:rPr>
          <w:spacing w:val="-1"/>
        </w:rPr>
        <w:t>adequate</w:t>
      </w:r>
      <w:r>
        <w:t xml:space="preserve"> </w:t>
      </w:r>
      <w:r>
        <w:rPr>
          <w:spacing w:val="-2"/>
        </w:rPr>
        <w:t>warnings.</w:t>
      </w:r>
    </w:p>
    <w:p w:rsidR="008918FA" w:rsidRDefault="008918FA" w:rsidP="008918FA">
      <w:pPr>
        <w:pStyle w:val="BodyText"/>
        <w:numPr>
          <w:ilvl w:val="2"/>
          <w:numId w:val="65"/>
        </w:numPr>
        <w:tabs>
          <w:tab w:val="left" w:pos="2247"/>
        </w:tabs>
        <w:ind w:right="112" w:hanging="993"/>
        <w:jc w:val="both"/>
      </w:pPr>
      <w:r>
        <w:t>On</w:t>
      </w:r>
      <w:r>
        <w:rPr>
          <w:spacing w:val="15"/>
        </w:rPr>
        <w:t xml:space="preserve"> </w:t>
      </w:r>
      <w:r>
        <w:rPr>
          <w:spacing w:val="-1"/>
        </w:rPr>
        <w:t>dispatch</w:t>
      </w:r>
      <w:r>
        <w:rPr>
          <w:spacing w:val="15"/>
        </w:rPr>
        <w:t xml:space="preserve"> </w:t>
      </w:r>
      <w:r>
        <w:rPr>
          <w:spacing w:val="-2"/>
        </w:rPr>
        <w:t>of</w:t>
      </w:r>
      <w:r>
        <w:rPr>
          <w:spacing w:val="16"/>
        </w:rPr>
        <w:t xml:space="preserve"> </w:t>
      </w:r>
      <w:r>
        <w:rPr>
          <w:spacing w:val="-1"/>
        </w:rPr>
        <w:t>any</w:t>
      </w:r>
      <w:r>
        <w:rPr>
          <w:spacing w:val="13"/>
        </w:rPr>
        <w:t xml:space="preserve"> </w:t>
      </w:r>
      <w:r>
        <w:rPr>
          <w:spacing w:val="-1"/>
        </w:rPr>
        <w:t>consignment</w:t>
      </w:r>
      <w:r>
        <w:rPr>
          <w:spacing w:val="16"/>
        </w:rPr>
        <w:t xml:space="preserve"> </w:t>
      </w:r>
      <w:r>
        <w:rPr>
          <w:spacing w:val="-2"/>
        </w:rPr>
        <w:t>of</w:t>
      </w:r>
      <w:r>
        <w:rPr>
          <w:spacing w:val="16"/>
        </w:rPr>
        <w:t xml:space="preserve"> </w:t>
      </w:r>
      <w:r>
        <w:t>the</w:t>
      </w:r>
      <w:r>
        <w:rPr>
          <w:spacing w:val="12"/>
        </w:rPr>
        <w:t xml:space="preserve"> </w:t>
      </w:r>
      <w:r>
        <w:rPr>
          <w:spacing w:val="-1"/>
        </w:rPr>
        <w:t>Goods</w:t>
      </w:r>
      <w:r>
        <w:rPr>
          <w:spacing w:val="15"/>
        </w:rPr>
        <w:t xml:space="preserve"> </w:t>
      </w:r>
      <w:r>
        <w:rPr>
          <w:spacing w:val="-1"/>
        </w:rPr>
        <w:t>the</w:t>
      </w:r>
      <w:r>
        <w:rPr>
          <w:spacing w:val="15"/>
        </w:rPr>
        <w:t xml:space="preserve"> </w:t>
      </w:r>
      <w:r>
        <w:rPr>
          <w:spacing w:val="-2"/>
        </w:rPr>
        <w:t>Supplier</w:t>
      </w:r>
      <w:r>
        <w:rPr>
          <w:spacing w:val="16"/>
        </w:rPr>
        <w:t xml:space="preserve"> </w:t>
      </w:r>
      <w:r>
        <w:rPr>
          <w:spacing w:val="-1"/>
        </w:rPr>
        <w:t>shall</w:t>
      </w:r>
      <w:r>
        <w:rPr>
          <w:spacing w:val="14"/>
        </w:rPr>
        <w:t xml:space="preserve"> </w:t>
      </w:r>
      <w:r>
        <w:rPr>
          <w:spacing w:val="-1"/>
        </w:rPr>
        <w:t>send</w:t>
      </w:r>
      <w:r>
        <w:rPr>
          <w:spacing w:val="48"/>
        </w:rPr>
        <w:t xml:space="preserve"> </w:t>
      </w:r>
      <w:r>
        <w:t>the</w:t>
      </w:r>
      <w:r>
        <w:rPr>
          <w:spacing w:val="36"/>
        </w:rPr>
        <w:t xml:space="preserve"> </w:t>
      </w:r>
      <w:r>
        <w:rPr>
          <w:spacing w:val="-1"/>
        </w:rPr>
        <w:t>Customer</w:t>
      </w:r>
      <w:r>
        <w:rPr>
          <w:spacing w:val="38"/>
        </w:rPr>
        <w:t xml:space="preserve"> </w:t>
      </w:r>
      <w:r>
        <w:rPr>
          <w:spacing w:val="-1"/>
        </w:rPr>
        <w:t>an</w:t>
      </w:r>
      <w:r>
        <w:rPr>
          <w:spacing w:val="36"/>
        </w:rPr>
        <w:t xml:space="preserve"> </w:t>
      </w:r>
      <w:r>
        <w:rPr>
          <w:spacing w:val="-2"/>
        </w:rPr>
        <w:t>advice</w:t>
      </w:r>
      <w:r>
        <w:rPr>
          <w:spacing w:val="39"/>
        </w:rPr>
        <w:t xml:space="preserve"> </w:t>
      </w:r>
      <w:r>
        <w:rPr>
          <w:spacing w:val="-1"/>
        </w:rPr>
        <w:t>note</w:t>
      </w:r>
      <w:r>
        <w:rPr>
          <w:spacing w:val="36"/>
        </w:rPr>
        <w:t xml:space="preserve"> </w:t>
      </w:r>
      <w:r>
        <w:rPr>
          <w:spacing w:val="-1"/>
        </w:rPr>
        <w:t>specifying</w:t>
      </w:r>
      <w:r>
        <w:rPr>
          <w:spacing w:val="39"/>
        </w:rPr>
        <w:t xml:space="preserve"> </w:t>
      </w:r>
      <w:r>
        <w:rPr>
          <w:spacing w:val="-1"/>
        </w:rPr>
        <w:t>the</w:t>
      </w:r>
      <w:r>
        <w:rPr>
          <w:spacing w:val="37"/>
        </w:rPr>
        <w:t xml:space="preserve"> </w:t>
      </w:r>
      <w:r>
        <w:rPr>
          <w:spacing w:val="-1"/>
        </w:rPr>
        <w:t>means</w:t>
      </w:r>
      <w:r>
        <w:rPr>
          <w:spacing w:val="37"/>
        </w:rPr>
        <w:t xml:space="preserve"> </w:t>
      </w:r>
      <w:r>
        <w:rPr>
          <w:spacing w:val="-1"/>
        </w:rPr>
        <w:t>of</w:t>
      </w:r>
      <w:r>
        <w:rPr>
          <w:spacing w:val="38"/>
        </w:rPr>
        <w:t xml:space="preserve"> </w:t>
      </w:r>
      <w:r>
        <w:rPr>
          <w:spacing w:val="-1"/>
        </w:rPr>
        <w:t>transport,</w:t>
      </w:r>
      <w:r>
        <w:rPr>
          <w:spacing w:val="38"/>
        </w:rPr>
        <w:t xml:space="preserve"> </w:t>
      </w:r>
      <w:r>
        <w:rPr>
          <w:spacing w:val="-1"/>
        </w:rPr>
        <w:t>the</w:t>
      </w:r>
      <w:r>
        <w:rPr>
          <w:spacing w:val="38"/>
        </w:rPr>
        <w:t xml:space="preserve"> </w:t>
      </w:r>
      <w:r>
        <w:rPr>
          <w:spacing w:val="-1"/>
        </w:rPr>
        <w:t>place</w:t>
      </w:r>
      <w:r>
        <w:rPr>
          <w:spacing w:val="17"/>
        </w:rPr>
        <w:t xml:space="preserve"> </w:t>
      </w:r>
      <w:r>
        <w:rPr>
          <w:spacing w:val="-1"/>
        </w:rPr>
        <w:t>and</w:t>
      </w:r>
      <w:r>
        <w:rPr>
          <w:spacing w:val="17"/>
        </w:rPr>
        <w:t xml:space="preserve"> </w:t>
      </w:r>
      <w:r>
        <w:rPr>
          <w:spacing w:val="-1"/>
        </w:rPr>
        <w:t>date</w:t>
      </w:r>
      <w:r>
        <w:rPr>
          <w:spacing w:val="17"/>
        </w:rPr>
        <w:t xml:space="preserve"> </w:t>
      </w:r>
      <w:r>
        <w:rPr>
          <w:spacing w:val="-2"/>
        </w:rPr>
        <w:t>of</w:t>
      </w:r>
      <w:r>
        <w:rPr>
          <w:spacing w:val="21"/>
        </w:rPr>
        <w:t xml:space="preserve"> </w:t>
      </w:r>
      <w:r>
        <w:rPr>
          <w:spacing w:val="-2"/>
        </w:rPr>
        <w:t>dispatch,</w:t>
      </w:r>
      <w:r>
        <w:rPr>
          <w:spacing w:val="19"/>
        </w:rPr>
        <w:t xml:space="preserve"> </w:t>
      </w:r>
      <w:r>
        <w:t>the</w:t>
      </w:r>
      <w:r>
        <w:rPr>
          <w:spacing w:val="17"/>
        </w:rPr>
        <w:t xml:space="preserve"> </w:t>
      </w:r>
      <w:r>
        <w:rPr>
          <w:spacing w:val="-2"/>
        </w:rPr>
        <w:t>number</w:t>
      </w:r>
      <w:r>
        <w:rPr>
          <w:spacing w:val="19"/>
        </w:rPr>
        <w:t xml:space="preserve"> </w:t>
      </w:r>
      <w:r>
        <w:rPr>
          <w:spacing w:val="-2"/>
        </w:rPr>
        <w:t>of</w:t>
      </w:r>
      <w:r>
        <w:rPr>
          <w:spacing w:val="21"/>
        </w:rPr>
        <w:t xml:space="preserve"> </w:t>
      </w:r>
      <w:r>
        <w:rPr>
          <w:spacing w:val="-2"/>
        </w:rPr>
        <w:t>packages,</w:t>
      </w:r>
      <w:r>
        <w:rPr>
          <w:spacing w:val="19"/>
        </w:rPr>
        <w:t xml:space="preserve"> </w:t>
      </w:r>
      <w:r>
        <w:rPr>
          <w:spacing w:val="-1"/>
        </w:rPr>
        <w:t>their</w:t>
      </w:r>
      <w:r>
        <w:rPr>
          <w:spacing w:val="16"/>
        </w:rPr>
        <w:t xml:space="preserve"> </w:t>
      </w:r>
      <w:r>
        <w:rPr>
          <w:spacing w:val="-1"/>
        </w:rPr>
        <w:t>weight</w:t>
      </w:r>
      <w:r>
        <w:rPr>
          <w:spacing w:val="19"/>
        </w:rPr>
        <w:t xml:space="preserve"> </w:t>
      </w:r>
      <w:r>
        <w:rPr>
          <w:spacing w:val="-1"/>
        </w:rPr>
        <w:t>and</w:t>
      </w:r>
      <w:r>
        <w:rPr>
          <w:spacing w:val="58"/>
        </w:rPr>
        <w:t xml:space="preserve"> </w:t>
      </w:r>
      <w:r>
        <w:rPr>
          <w:spacing w:val="-2"/>
        </w:rPr>
        <w:t>volume</w:t>
      </w:r>
      <w:r>
        <w:rPr>
          <w:spacing w:val="52"/>
        </w:rPr>
        <w:t xml:space="preserve"> </w:t>
      </w:r>
      <w:r>
        <w:rPr>
          <w:spacing w:val="-1"/>
        </w:rPr>
        <w:t>together</w:t>
      </w:r>
      <w:r>
        <w:rPr>
          <w:spacing w:val="51"/>
        </w:rPr>
        <w:t xml:space="preserve"> </w:t>
      </w:r>
      <w:r>
        <w:rPr>
          <w:spacing w:val="-2"/>
        </w:rPr>
        <w:t>with</w:t>
      </w:r>
      <w:r>
        <w:rPr>
          <w:spacing w:val="52"/>
        </w:rPr>
        <w:t xml:space="preserve"> </w:t>
      </w:r>
      <w:r>
        <w:t>the</w:t>
      </w:r>
      <w:r>
        <w:rPr>
          <w:spacing w:val="52"/>
        </w:rPr>
        <w:t xml:space="preserve"> </w:t>
      </w:r>
      <w:r>
        <w:rPr>
          <w:spacing w:val="-1"/>
        </w:rPr>
        <w:t>all</w:t>
      </w:r>
      <w:r>
        <w:rPr>
          <w:spacing w:val="51"/>
        </w:rPr>
        <w:t xml:space="preserve"> </w:t>
      </w:r>
      <w:r>
        <w:rPr>
          <w:spacing w:val="-1"/>
        </w:rPr>
        <w:t>other</w:t>
      </w:r>
      <w:r>
        <w:rPr>
          <w:spacing w:val="53"/>
        </w:rPr>
        <w:t xml:space="preserve"> </w:t>
      </w:r>
      <w:r>
        <w:rPr>
          <w:spacing w:val="-2"/>
        </w:rPr>
        <w:t>relevant</w:t>
      </w:r>
      <w:r>
        <w:rPr>
          <w:spacing w:val="52"/>
        </w:rPr>
        <w:t xml:space="preserve"> </w:t>
      </w:r>
      <w:r>
        <w:rPr>
          <w:spacing w:val="-1"/>
        </w:rPr>
        <w:t>documentation</w:t>
      </w:r>
      <w:r>
        <w:rPr>
          <w:spacing w:val="52"/>
        </w:rPr>
        <w:t xml:space="preserve"> </w:t>
      </w:r>
      <w:r>
        <w:rPr>
          <w:spacing w:val="-1"/>
        </w:rPr>
        <w:t>and</w:t>
      </w:r>
      <w:r>
        <w:rPr>
          <w:spacing w:val="52"/>
        </w:rPr>
        <w:t xml:space="preserve"> </w:t>
      </w:r>
      <w:r>
        <w:rPr>
          <w:spacing w:val="-1"/>
        </w:rPr>
        <w:t>information</w:t>
      </w:r>
      <w:r>
        <w:rPr>
          <w:spacing w:val="-2"/>
        </w:rPr>
        <w:t xml:space="preserve"> </w:t>
      </w:r>
      <w:r>
        <w:rPr>
          <w:spacing w:val="-1"/>
        </w:rPr>
        <w:t>required</w:t>
      </w:r>
      <w:r>
        <w:rPr>
          <w:spacing w:val="-2"/>
        </w:rPr>
        <w:t xml:space="preserve"> </w:t>
      </w:r>
      <w:r>
        <w:t xml:space="preserve">to </w:t>
      </w:r>
      <w:r>
        <w:rPr>
          <w:spacing w:val="-2"/>
        </w:rPr>
        <w:t>be</w:t>
      </w:r>
      <w:r>
        <w:t xml:space="preserve"> </w:t>
      </w:r>
      <w:r>
        <w:rPr>
          <w:spacing w:val="-2"/>
        </w:rPr>
        <w:t>provided</w:t>
      </w:r>
      <w:r>
        <w:t xml:space="preserve"> </w:t>
      </w:r>
      <w:r>
        <w:rPr>
          <w:spacing w:val="-1"/>
        </w:rPr>
        <w:t>under</w:t>
      </w:r>
      <w:r>
        <w:rPr>
          <w:spacing w:val="2"/>
        </w:rPr>
        <w:t xml:space="preserve"> </w:t>
      </w:r>
      <w:r>
        <w:rPr>
          <w:spacing w:val="-2"/>
        </w:rPr>
        <w:t xml:space="preserve">any </w:t>
      </w:r>
      <w:r>
        <w:rPr>
          <w:spacing w:val="-1"/>
        </w:rPr>
        <w:t>Laws.</w:t>
      </w:r>
    </w:p>
    <w:p w:rsidR="008918FA" w:rsidRDefault="008918FA" w:rsidP="008918FA">
      <w:pPr>
        <w:pStyle w:val="BodyText"/>
        <w:numPr>
          <w:ilvl w:val="2"/>
          <w:numId w:val="65"/>
        </w:numPr>
        <w:tabs>
          <w:tab w:val="left" w:pos="2247"/>
        </w:tabs>
        <w:ind w:right="111" w:hanging="993"/>
        <w:jc w:val="both"/>
      </w:pPr>
      <w:r>
        <w:t>The</w:t>
      </w:r>
      <w:r>
        <w:rPr>
          <w:spacing w:val="55"/>
        </w:rPr>
        <w:t xml:space="preserve"> </w:t>
      </w:r>
      <w:r>
        <w:rPr>
          <w:spacing w:val="-1"/>
        </w:rPr>
        <w:t>Customer</w:t>
      </w:r>
      <w:r>
        <w:rPr>
          <w:spacing w:val="57"/>
        </w:rPr>
        <w:t xml:space="preserve"> </w:t>
      </w:r>
      <w:r>
        <w:rPr>
          <w:spacing w:val="-1"/>
        </w:rPr>
        <w:t>may</w:t>
      </w:r>
      <w:r>
        <w:rPr>
          <w:spacing w:val="53"/>
        </w:rPr>
        <w:t xml:space="preserve"> </w:t>
      </w:r>
      <w:r>
        <w:rPr>
          <w:spacing w:val="-1"/>
        </w:rPr>
        <w:t>inspect</w:t>
      </w:r>
      <w:r>
        <w:rPr>
          <w:spacing w:val="57"/>
        </w:rPr>
        <w:t xml:space="preserve"> </w:t>
      </w:r>
      <w:r>
        <w:rPr>
          <w:spacing w:val="-1"/>
        </w:rPr>
        <w:t>and</w:t>
      </w:r>
      <w:r>
        <w:rPr>
          <w:spacing w:val="55"/>
        </w:rPr>
        <w:t xml:space="preserve"> </w:t>
      </w:r>
      <w:r>
        <w:rPr>
          <w:spacing w:val="-2"/>
        </w:rPr>
        <w:t>examine</w:t>
      </w:r>
      <w:r>
        <w:rPr>
          <w:spacing w:val="55"/>
        </w:rPr>
        <w:t xml:space="preserve"> </w:t>
      </w:r>
      <w:r>
        <w:t>the</w:t>
      </w:r>
      <w:r>
        <w:rPr>
          <w:spacing w:val="59"/>
        </w:rPr>
        <w:t xml:space="preserve"> </w:t>
      </w:r>
      <w:r>
        <w:rPr>
          <w:spacing w:val="-1"/>
        </w:rPr>
        <w:t>manner</w:t>
      </w:r>
      <w:r>
        <w:rPr>
          <w:spacing w:val="57"/>
        </w:rPr>
        <w:t xml:space="preserve"> </w:t>
      </w:r>
      <w:r>
        <w:rPr>
          <w:spacing w:val="-1"/>
        </w:rPr>
        <w:t>in</w:t>
      </w:r>
      <w:r>
        <w:rPr>
          <w:spacing w:val="55"/>
        </w:rPr>
        <w:t xml:space="preserve"> </w:t>
      </w:r>
      <w:r>
        <w:rPr>
          <w:spacing w:val="-1"/>
        </w:rPr>
        <w:t>which</w:t>
      </w:r>
      <w:r>
        <w:rPr>
          <w:spacing w:val="56"/>
        </w:rPr>
        <w:t xml:space="preserve"> </w:t>
      </w:r>
      <w:r>
        <w:rPr>
          <w:spacing w:val="-1"/>
        </w:rPr>
        <w:t>the</w:t>
      </w:r>
      <w:r>
        <w:rPr>
          <w:spacing w:val="32"/>
        </w:rPr>
        <w:t xml:space="preserve"> </w:t>
      </w:r>
      <w:r>
        <w:rPr>
          <w:spacing w:val="-2"/>
        </w:rPr>
        <w:t>Supplier</w:t>
      </w:r>
      <w:r>
        <w:rPr>
          <w:spacing w:val="26"/>
        </w:rPr>
        <w:t xml:space="preserve"> </w:t>
      </w:r>
      <w:r>
        <w:rPr>
          <w:spacing w:val="-1"/>
        </w:rPr>
        <w:t>supplies</w:t>
      </w:r>
      <w:r>
        <w:rPr>
          <w:spacing w:val="25"/>
        </w:rPr>
        <w:t xml:space="preserve"> </w:t>
      </w:r>
      <w:r>
        <w:t>the</w:t>
      </w:r>
      <w:r>
        <w:rPr>
          <w:spacing w:val="24"/>
        </w:rPr>
        <w:t xml:space="preserve"> </w:t>
      </w:r>
      <w:r>
        <w:rPr>
          <w:spacing w:val="-1"/>
        </w:rPr>
        <w:t>Goods</w:t>
      </w:r>
      <w:r>
        <w:rPr>
          <w:spacing w:val="25"/>
        </w:rPr>
        <w:t xml:space="preserve"> </w:t>
      </w:r>
      <w:r>
        <w:rPr>
          <w:spacing w:val="-1"/>
        </w:rPr>
        <w:t>at</w:t>
      </w:r>
      <w:r>
        <w:rPr>
          <w:spacing w:val="23"/>
        </w:rPr>
        <w:t xml:space="preserve"> </w:t>
      </w:r>
      <w:r>
        <w:t>the</w:t>
      </w:r>
      <w:r>
        <w:rPr>
          <w:spacing w:val="26"/>
        </w:rPr>
        <w:t xml:space="preserve"> </w:t>
      </w:r>
      <w:r>
        <w:rPr>
          <w:spacing w:val="-1"/>
        </w:rPr>
        <w:t>Sites</w:t>
      </w:r>
      <w:r>
        <w:rPr>
          <w:spacing w:val="22"/>
        </w:rPr>
        <w:t xml:space="preserve"> </w:t>
      </w:r>
      <w:r>
        <w:rPr>
          <w:spacing w:val="-1"/>
        </w:rPr>
        <w:t>and,</w:t>
      </w:r>
      <w:r>
        <w:rPr>
          <w:spacing w:val="23"/>
        </w:rPr>
        <w:t xml:space="preserve"> </w:t>
      </w:r>
      <w:r>
        <w:rPr>
          <w:spacing w:val="-2"/>
        </w:rPr>
        <w:t>if</w:t>
      </w:r>
      <w:r>
        <w:rPr>
          <w:spacing w:val="26"/>
        </w:rPr>
        <w:t xml:space="preserve"> </w:t>
      </w:r>
      <w:r>
        <w:t>the</w:t>
      </w:r>
      <w:r>
        <w:rPr>
          <w:spacing w:val="25"/>
        </w:rPr>
        <w:t xml:space="preserve"> </w:t>
      </w:r>
      <w:r>
        <w:rPr>
          <w:spacing w:val="-1"/>
        </w:rPr>
        <w:t>Sites</w:t>
      </w:r>
      <w:r>
        <w:rPr>
          <w:spacing w:val="22"/>
        </w:rPr>
        <w:t xml:space="preserve"> </w:t>
      </w:r>
      <w:r>
        <w:rPr>
          <w:spacing w:val="-1"/>
        </w:rPr>
        <w:t>are</w:t>
      </w:r>
      <w:r>
        <w:rPr>
          <w:spacing w:val="22"/>
        </w:rPr>
        <w:t xml:space="preserve"> </w:t>
      </w:r>
      <w:r>
        <w:rPr>
          <w:spacing w:val="-1"/>
        </w:rPr>
        <w:t>not</w:t>
      </w:r>
      <w:r>
        <w:rPr>
          <w:spacing w:val="23"/>
        </w:rPr>
        <w:t xml:space="preserve"> </w:t>
      </w:r>
      <w:r>
        <w:rPr>
          <w:spacing w:val="-1"/>
        </w:rPr>
        <w:t>the</w:t>
      </w:r>
      <w:r>
        <w:rPr>
          <w:spacing w:val="36"/>
        </w:rPr>
        <w:t xml:space="preserve"> </w:t>
      </w:r>
      <w:r>
        <w:rPr>
          <w:spacing w:val="-1"/>
        </w:rPr>
        <w:t>Customer</w:t>
      </w:r>
      <w:r>
        <w:rPr>
          <w:spacing w:val="16"/>
        </w:rPr>
        <w:t xml:space="preserve"> </w:t>
      </w:r>
      <w:r>
        <w:rPr>
          <w:spacing w:val="-1"/>
        </w:rPr>
        <w:t>Premises,</w:t>
      </w:r>
      <w:r>
        <w:rPr>
          <w:spacing w:val="16"/>
        </w:rPr>
        <w:t xml:space="preserve"> </w:t>
      </w:r>
      <w:r>
        <w:t>the</w:t>
      </w:r>
      <w:r>
        <w:rPr>
          <w:spacing w:val="12"/>
        </w:rPr>
        <w:t xml:space="preserve"> </w:t>
      </w:r>
      <w:r>
        <w:rPr>
          <w:spacing w:val="-1"/>
        </w:rPr>
        <w:t>Customer</w:t>
      </w:r>
      <w:r>
        <w:rPr>
          <w:spacing w:val="14"/>
        </w:rPr>
        <w:t xml:space="preserve"> </w:t>
      </w:r>
      <w:r>
        <w:rPr>
          <w:spacing w:val="-1"/>
        </w:rPr>
        <w:t>may</w:t>
      </w:r>
      <w:r>
        <w:rPr>
          <w:spacing w:val="13"/>
        </w:rPr>
        <w:t xml:space="preserve"> </w:t>
      </w:r>
      <w:r>
        <w:rPr>
          <w:spacing w:val="-1"/>
        </w:rPr>
        <w:t>carry</w:t>
      </w:r>
      <w:r>
        <w:rPr>
          <w:spacing w:val="13"/>
        </w:rPr>
        <w:t xml:space="preserve"> </w:t>
      </w:r>
      <w:r>
        <w:t>out</w:t>
      </w:r>
      <w:r>
        <w:rPr>
          <w:spacing w:val="16"/>
        </w:rPr>
        <w:t xml:space="preserve"> </w:t>
      </w:r>
      <w:r>
        <w:rPr>
          <w:spacing w:val="-1"/>
        </w:rPr>
        <w:t>such</w:t>
      </w:r>
      <w:r>
        <w:rPr>
          <w:spacing w:val="15"/>
        </w:rPr>
        <w:t xml:space="preserve"> </w:t>
      </w:r>
      <w:r>
        <w:rPr>
          <w:spacing w:val="-1"/>
        </w:rPr>
        <w:t>inspection</w:t>
      </w:r>
      <w:r>
        <w:rPr>
          <w:spacing w:val="15"/>
        </w:rPr>
        <w:t xml:space="preserve"> </w:t>
      </w:r>
      <w:r>
        <w:rPr>
          <w:spacing w:val="-1"/>
        </w:rPr>
        <w:t>and</w:t>
      </w:r>
      <w:r>
        <w:rPr>
          <w:spacing w:val="34"/>
        </w:rPr>
        <w:t xml:space="preserve"> </w:t>
      </w:r>
      <w:r>
        <w:rPr>
          <w:spacing w:val="-1"/>
        </w:rPr>
        <w:t>examination</w:t>
      </w:r>
      <w:r>
        <w:t xml:space="preserve"> </w:t>
      </w:r>
      <w:r>
        <w:rPr>
          <w:spacing w:val="-1"/>
        </w:rPr>
        <w:t>during</w:t>
      </w:r>
      <w:r>
        <w:t xml:space="preserve"> </w:t>
      </w:r>
      <w:r>
        <w:rPr>
          <w:spacing w:val="-2"/>
        </w:rPr>
        <w:t>normal</w:t>
      </w:r>
      <w:r>
        <w:t xml:space="preserve"> </w:t>
      </w:r>
      <w:r>
        <w:rPr>
          <w:spacing w:val="-1"/>
        </w:rPr>
        <w:t>business</w:t>
      </w:r>
      <w:r>
        <w:rPr>
          <w:spacing w:val="1"/>
        </w:rPr>
        <w:t xml:space="preserve"> </w:t>
      </w:r>
      <w:r>
        <w:rPr>
          <w:spacing w:val="-1"/>
        </w:rPr>
        <w:t>hours</w:t>
      </w:r>
      <w:r>
        <w:rPr>
          <w:spacing w:val="1"/>
        </w:rPr>
        <w:t xml:space="preserve"> </w:t>
      </w:r>
      <w:r>
        <w:rPr>
          <w:spacing w:val="-1"/>
        </w:rPr>
        <w:t>and</w:t>
      </w:r>
      <w:r>
        <w:rPr>
          <w:spacing w:val="-2"/>
        </w:rPr>
        <w:t xml:space="preserve"> </w:t>
      </w:r>
      <w:r>
        <w:rPr>
          <w:spacing w:val="-1"/>
        </w:rPr>
        <w:t>on</w:t>
      </w:r>
      <w:r>
        <w:rPr>
          <w:spacing w:val="-2"/>
        </w:rPr>
        <w:t xml:space="preserve"> </w:t>
      </w:r>
      <w:r>
        <w:rPr>
          <w:spacing w:val="-1"/>
        </w:rPr>
        <w:t>reasonable</w:t>
      </w:r>
      <w:r>
        <w:t xml:space="preserve"> </w:t>
      </w:r>
      <w:r>
        <w:rPr>
          <w:spacing w:val="-1"/>
        </w:rPr>
        <w:t>notice.</w:t>
      </w:r>
    </w:p>
    <w:p w:rsidR="008918FA" w:rsidRDefault="008918FA" w:rsidP="008918FA">
      <w:pPr>
        <w:pStyle w:val="Heading1"/>
        <w:numPr>
          <w:ilvl w:val="1"/>
          <w:numId w:val="65"/>
        </w:numPr>
        <w:tabs>
          <w:tab w:val="left" w:pos="1050"/>
        </w:tabs>
        <w:ind w:left="1049"/>
        <w:jc w:val="left"/>
        <w:rPr>
          <w:b w:val="0"/>
          <w:bCs w:val="0"/>
        </w:rPr>
      </w:pPr>
      <w:r>
        <w:rPr>
          <w:spacing w:val="-1"/>
        </w:rPr>
        <w:t>Undelivered</w:t>
      </w:r>
      <w:r>
        <w:t xml:space="preserve"> </w:t>
      </w:r>
      <w:r>
        <w:rPr>
          <w:spacing w:val="-1"/>
        </w:rPr>
        <w:t>Goods</w:t>
      </w:r>
    </w:p>
    <w:p w:rsidR="008918FA" w:rsidRDefault="008918FA" w:rsidP="008918FA">
      <w:pPr>
        <w:pStyle w:val="BodyText"/>
        <w:numPr>
          <w:ilvl w:val="2"/>
          <w:numId w:val="65"/>
        </w:numPr>
        <w:tabs>
          <w:tab w:val="left" w:pos="2247"/>
        </w:tabs>
        <w:spacing w:before="121"/>
        <w:ind w:right="114" w:hanging="993"/>
        <w:jc w:val="both"/>
      </w:pPr>
      <w:bookmarkStart w:id="85" w:name="_bookmark81"/>
      <w:bookmarkEnd w:id="85"/>
      <w:r>
        <w:t>In</w:t>
      </w:r>
      <w:r>
        <w:rPr>
          <w:spacing w:val="7"/>
        </w:rPr>
        <w:t xml:space="preserve"> </w:t>
      </w:r>
      <w:r>
        <w:t>the</w:t>
      </w:r>
      <w:r>
        <w:rPr>
          <w:spacing w:val="7"/>
        </w:rPr>
        <w:t xml:space="preserve"> </w:t>
      </w:r>
      <w:r>
        <w:rPr>
          <w:spacing w:val="-2"/>
        </w:rPr>
        <w:t>event</w:t>
      </w:r>
      <w:r>
        <w:rPr>
          <w:spacing w:val="9"/>
        </w:rPr>
        <w:t xml:space="preserve"> </w:t>
      </w:r>
      <w:r>
        <w:rPr>
          <w:spacing w:val="-1"/>
        </w:rPr>
        <w:t>that</w:t>
      </w:r>
      <w:r>
        <w:rPr>
          <w:spacing w:val="9"/>
        </w:rPr>
        <w:t xml:space="preserve"> </w:t>
      </w:r>
      <w:r>
        <w:rPr>
          <w:spacing w:val="-1"/>
        </w:rPr>
        <w:t>not</w:t>
      </w:r>
      <w:r>
        <w:rPr>
          <w:spacing w:val="9"/>
        </w:rPr>
        <w:t xml:space="preserve"> </w:t>
      </w:r>
      <w:r>
        <w:rPr>
          <w:spacing w:val="-1"/>
        </w:rPr>
        <w:t>all</w:t>
      </w:r>
      <w:r>
        <w:rPr>
          <w:spacing w:val="9"/>
        </w:rPr>
        <w:t xml:space="preserve"> </w:t>
      </w:r>
      <w:r>
        <w:rPr>
          <w:spacing w:val="-2"/>
        </w:rPr>
        <w:t>of</w:t>
      </w:r>
      <w:r>
        <w:rPr>
          <w:spacing w:val="11"/>
        </w:rPr>
        <w:t xml:space="preserve"> </w:t>
      </w:r>
      <w:r>
        <w:t>the</w:t>
      </w:r>
      <w:r>
        <w:rPr>
          <w:spacing w:val="7"/>
        </w:rPr>
        <w:t xml:space="preserve"> </w:t>
      </w:r>
      <w:r>
        <w:rPr>
          <w:spacing w:val="-1"/>
        </w:rPr>
        <w:t>Goods</w:t>
      </w:r>
      <w:r>
        <w:rPr>
          <w:spacing w:val="8"/>
        </w:rPr>
        <w:t xml:space="preserve"> </w:t>
      </w:r>
      <w:r>
        <w:rPr>
          <w:spacing w:val="-1"/>
        </w:rPr>
        <w:t>are</w:t>
      </w:r>
      <w:r>
        <w:rPr>
          <w:spacing w:val="7"/>
        </w:rPr>
        <w:t xml:space="preserve"> </w:t>
      </w:r>
      <w:r>
        <w:rPr>
          <w:spacing w:val="-2"/>
        </w:rPr>
        <w:t>Delivered</w:t>
      </w:r>
      <w:r>
        <w:rPr>
          <w:spacing w:val="7"/>
        </w:rPr>
        <w:t xml:space="preserve"> </w:t>
      </w:r>
      <w:r>
        <w:rPr>
          <w:spacing w:val="-1"/>
        </w:rPr>
        <w:t>in</w:t>
      </w:r>
      <w:r>
        <w:rPr>
          <w:spacing w:val="7"/>
        </w:rPr>
        <w:t xml:space="preserve"> </w:t>
      </w:r>
      <w:r>
        <w:rPr>
          <w:spacing w:val="-1"/>
        </w:rPr>
        <w:t>accordance</w:t>
      </w:r>
      <w:r>
        <w:rPr>
          <w:spacing w:val="10"/>
        </w:rPr>
        <w:t xml:space="preserve"> </w:t>
      </w:r>
      <w:r>
        <w:rPr>
          <w:spacing w:val="-2"/>
        </w:rPr>
        <w:t>with</w:t>
      </w:r>
      <w:r>
        <w:rPr>
          <w:spacing w:val="59"/>
        </w:rPr>
        <w:t xml:space="preserve"> </w:t>
      </w:r>
      <w:r>
        <w:rPr>
          <w:spacing w:val="-1"/>
        </w:rPr>
        <w:t>Clauses</w:t>
      </w:r>
      <w:r>
        <w:rPr>
          <w:spacing w:val="44"/>
        </w:rPr>
        <w:t xml:space="preserve"> </w:t>
      </w:r>
      <w:hyperlink w:anchor="_bookmark65" w:history="1">
        <w:r>
          <w:t>7.1</w:t>
        </w:r>
      </w:hyperlink>
      <w:r>
        <w:rPr>
          <w:spacing w:val="44"/>
        </w:rPr>
        <w:t xml:space="preserve"> </w:t>
      </w:r>
      <w:r>
        <w:rPr>
          <w:spacing w:val="-1"/>
        </w:rPr>
        <w:t>(Provision</w:t>
      </w:r>
      <w:r>
        <w:rPr>
          <w:spacing w:val="43"/>
        </w:rPr>
        <w:t xml:space="preserve"> </w:t>
      </w:r>
      <w:r>
        <w:rPr>
          <w:spacing w:val="-2"/>
        </w:rPr>
        <w:t>of</w:t>
      </w:r>
      <w:r>
        <w:rPr>
          <w:spacing w:val="47"/>
        </w:rPr>
        <w:t xml:space="preserve"> </w:t>
      </w:r>
      <w:r>
        <w:t>the</w:t>
      </w:r>
      <w:r>
        <w:rPr>
          <w:spacing w:val="41"/>
        </w:rPr>
        <w:t xml:space="preserve"> </w:t>
      </w:r>
      <w:r>
        <w:rPr>
          <w:spacing w:val="-1"/>
        </w:rPr>
        <w:t>Goods</w:t>
      </w:r>
      <w:r>
        <w:rPr>
          <w:spacing w:val="45"/>
        </w:rPr>
        <w:t xml:space="preserve"> </w:t>
      </w:r>
      <w:r>
        <w:rPr>
          <w:spacing w:val="-1"/>
        </w:rPr>
        <w:t>and/or</w:t>
      </w:r>
      <w:r>
        <w:rPr>
          <w:spacing w:val="46"/>
        </w:rPr>
        <w:t xml:space="preserve"> </w:t>
      </w:r>
      <w:r>
        <w:rPr>
          <w:spacing w:val="-1"/>
        </w:rPr>
        <w:t>Services),</w:t>
      </w:r>
      <w:r>
        <w:rPr>
          <w:spacing w:val="45"/>
        </w:rPr>
        <w:t xml:space="preserve"> </w:t>
      </w:r>
      <w:hyperlink w:anchor="_bookmark77" w:history="1">
        <w:r>
          <w:t>9.1</w:t>
        </w:r>
      </w:hyperlink>
      <w:r>
        <w:rPr>
          <w:spacing w:val="41"/>
        </w:rPr>
        <w:t xml:space="preserve"> </w:t>
      </w:r>
      <w:r>
        <w:rPr>
          <w:spacing w:val="-1"/>
        </w:rPr>
        <w:t>(Time</w:t>
      </w:r>
      <w:r>
        <w:rPr>
          <w:spacing w:val="41"/>
        </w:rPr>
        <w:t xml:space="preserve"> </w:t>
      </w:r>
      <w:r>
        <w:rPr>
          <w:spacing w:val="-3"/>
        </w:rPr>
        <w:t>of</w:t>
      </w:r>
      <w:r>
        <w:rPr>
          <w:spacing w:val="26"/>
        </w:rPr>
        <w:t xml:space="preserve"> </w:t>
      </w:r>
      <w:r>
        <w:rPr>
          <w:spacing w:val="-1"/>
        </w:rPr>
        <w:t>Delivery</w:t>
      </w:r>
      <w:r>
        <w:rPr>
          <w:spacing w:val="-2"/>
        </w:rPr>
        <w:t xml:space="preserve"> </w:t>
      </w:r>
      <w:r>
        <w:rPr>
          <w:spacing w:val="-1"/>
        </w:rPr>
        <w:t>of</w:t>
      </w:r>
      <w:r>
        <w:rPr>
          <w:spacing w:val="4"/>
        </w:rPr>
        <w:t xml:space="preserve"> </w:t>
      </w:r>
      <w:r>
        <w:t xml:space="preserve">the </w:t>
      </w:r>
      <w:r>
        <w:rPr>
          <w:spacing w:val="-1"/>
        </w:rPr>
        <w:t>Goods)</w:t>
      </w:r>
      <w:r>
        <w:rPr>
          <w:spacing w:val="2"/>
        </w:rPr>
        <w:t xml:space="preserve"> </w:t>
      </w:r>
      <w:r>
        <w:rPr>
          <w:spacing w:val="-2"/>
        </w:rPr>
        <w:t>and</w:t>
      </w:r>
      <w:r>
        <w:rPr>
          <w:spacing w:val="1"/>
        </w:rPr>
        <w:t xml:space="preserve"> </w:t>
      </w:r>
      <w:hyperlink w:anchor="_bookmark79" w:history="1">
        <w:r>
          <w:t>9.2</w:t>
        </w:r>
      </w:hyperlink>
      <w:r>
        <w:t xml:space="preserve"> </w:t>
      </w:r>
      <w:r>
        <w:rPr>
          <w:spacing w:val="-1"/>
        </w:rPr>
        <w:t>(Location</w:t>
      </w:r>
      <w:r>
        <w:t xml:space="preserve"> </w:t>
      </w:r>
      <w:r>
        <w:rPr>
          <w:spacing w:val="-1"/>
        </w:rPr>
        <w:t>and</w:t>
      </w:r>
      <w:r>
        <w:t xml:space="preserve"> </w:t>
      </w:r>
      <w:r>
        <w:rPr>
          <w:spacing w:val="-1"/>
        </w:rPr>
        <w:t>Manner</w:t>
      </w:r>
      <w:r>
        <w:rPr>
          <w:spacing w:val="2"/>
        </w:rPr>
        <w:t xml:space="preserve"> </w:t>
      </w:r>
      <w:r>
        <w:rPr>
          <w:spacing w:val="-2"/>
        </w:rPr>
        <w:t>of</w:t>
      </w:r>
      <w:r>
        <w:rPr>
          <w:spacing w:val="4"/>
        </w:rPr>
        <w:t xml:space="preserve"> </w:t>
      </w:r>
      <w:r>
        <w:rPr>
          <w:spacing w:val="-1"/>
        </w:rPr>
        <w:t>Delivery</w:t>
      </w:r>
      <w:r>
        <w:rPr>
          <w:spacing w:val="-2"/>
        </w:rPr>
        <w:t xml:space="preserve"> </w:t>
      </w:r>
      <w:r>
        <w:rPr>
          <w:spacing w:val="-1"/>
        </w:rPr>
        <w:t>of</w:t>
      </w:r>
      <w:r>
        <w:rPr>
          <w:spacing w:val="4"/>
        </w:rPr>
        <w:t xml:space="preserve"> </w:t>
      </w:r>
      <w:r>
        <w:rPr>
          <w:spacing w:val="-1"/>
        </w:rPr>
        <w:t>the</w:t>
      </w:r>
    </w:p>
    <w:p w:rsidR="008918FA" w:rsidRDefault="008918FA" w:rsidP="008918FA">
      <w:pPr>
        <w:jc w:val="both"/>
        <w:sectPr w:rsidR="008918FA">
          <w:type w:val="continuous"/>
          <w:pgSz w:w="11910" w:h="16840"/>
          <w:pgMar w:top="180" w:right="1300" w:bottom="280" w:left="1320" w:header="720" w:footer="720" w:gutter="0"/>
          <w:cols w:space="720"/>
        </w:sectPr>
      </w:pPr>
    </w:p>
    <w:p w:rsidR="008918FA" w:rsidRDefault="008918FA" w:rsidP="008918FA">
      <w:pPr>
        <w:pStyle w:val="BodyText"/>
        <w:spacing w:before="57"/>
        <w:ind w:right="111" w:firstLine="0"/>
        <w:jc w:val="both"/>
      </w:pPr>
      <w:r>
        <w:rPr>
          <w:spacing w:val="-1"/>
        </w:rPr>
        <w:t>Goods)</w:t>
      </w:r>
      <w:r>
        <w:rPr>
          <w:spacing w:val="50"/>
        </w:rPr>
        <w:t xml:space="preserve"> </w:t>
      </w:r>
      <w:r>
        <w:rPr>
          <w:spacing w:val="-1"/>
        </w:rPr>
        <w:t>("</w:t>
      </w:r>
      <w:r>
        <w:rPr>
          <w:b/>
          <w:spacing w:val="-1"/>
        </w:rPr>
        <w:t>Undelivered</w:t>
      </w:r>
      <w:r>
        <w:rPr>
          <w:b/>
          <w:spacing w:val="48"/>
        </w:rPr>
        <w:t xml:space="preserve"> </w:t>
      </w:r>
      <w:r>
        <w:rPr>
          <w:b/>
          <w:spacing w:val="-1"/>
        </w:rPr>
        <w:t>Goods</w:t>
      </w:r>
      <w:r>
        <w:rPr>
          <w:spacing w:val="-1"/>
        </w:rPr>
        <w:t>"),</w:t>
      </w:r>
      <w:r>
        <w:rPr>
          <w:spacing w:val="50"/>
        </w:rPr>
        <w:t xml:space="preserve"> </w:t>
      </w:r>
      <w:r>
        <w:t>the</w:t>
      </w:r>
      <w:r>
        <w:rPr>
          <w:spacing w:val="51"/>
        </w:rPr>
        <w:t xml:space="preserve"> </w:t>
      </w:r>
      <w:r>
        <w:rPr>
          <w:spacing w:val="-1"/>
        </w:rPr>
        <w:t>Customer,</w:t>
      </w:r>
      <w:r>
        <w:rPr>
          <w:spacing w:val="50"/>
        </w:rPr>
        <w:t xml:space="preserve"> </w:t>
      </w:r>
      <w:r>
        <w:rPr>
          <w:spacing w:val="-2"/>
        </w:rPr>
        <w:t>without</w:t>
      </w:r>
      <w:r>
        <w:rPr>
          <w:spacing w:val="52"/>
        </w:rPr>
        <w:t xml:space="preserve"> </w:t>
      </w:r>
      <w:r>
        <w:rPr>
          <w:spacing w:val="-1"/>
        </w:rPr>
        <w:t>prejudice</w:t>
      </w:r>
      <w:r>
        <w:rPr>
          <w:spacing w:val="52"/>
        </w:rPr>
        <w:t xml:space="preserve"> </w:t>
      </w:r>
      <w:r>
        <w:t>to</w:t>
      </w:r>
      <w:r>
        <w:rPr>
          <w:spacing w:val="39"/>
        </w:rPr>
        <w:t xml:space="preserve"> </w:t>
      </w:r>
      <w:r>
        <w:rPr>
          <w:spacing w:val="-1"/>
        </w:rPr>
        <w:t>any</w:t>
      </w:r>
      <w:r>
        <w:rPr>
          <w:spacing w:val="51"/>
        </w:rPr>
        <w:t xml:space="preserve"> </w:t>
      </w:r>
      <w:r>
        <w:rPr>
          <w:spacing w:val="-1"/>
        </w:rPr>
        <w:t>other</w:t>
      </w:r>
      <w:r>
        <w:rPr>
          <w:spacing w:val="54"/>
        </w:rPr>
        <w:t xml:space="preserve"> </w:t>
      </w:r>
      <w:r>
        <w:rPr>
          <w:spacing w:val="-1"/>
        </w:rPr>
        <w:t>rights</w:t>
      </w:r>
      <w:r>
        <w:rPr>
          <w:spacing w:val="53"/>
        </w:rPr>
        <w:t xml:space="preserve"> </w:t>
      </w:r>
      <w:r>
        <w:rPr>
          <w:spacing w:val="-1"/>
        </w:rPr>
        <w:t>and</w:t>
      </w:r>
      <w:r>
        <w:rPr>
          <w:spacing w:val="53"/>
        </w:rPr>
        <w:t xml:space="preserve"> </w:t>
      </w:r>
      <w:r>
        <w:rPr>
          <w:spacing w:val="-1"/>
        </w:rPr>
        <w:t>remedies</w:t>
      </w:r>
      <w:r>
        <w:rPr>
          <w:spacing w:val="53"/>
        </w:rPr>
        <w:t xml:space="preserve"> </w:t>
      </w:r>
      <w:r>
        <w:rPr>
          <w:spacing w:val="-2"/>
        </w:rPr>
        <w:t>of</w:t>
      </w:r>
      <w:r>
        <w:rPr>
          <w:spacing w:val="57"/>
        </w:rPr>
        <w:t xml:space="preserve"> </w:t>
      </w:r>
      <w:r>
        <w:t>the</w:t>
      </w:r>
      <w:r>
        <w:rPr>
          <w:spacing w:val="54"/>
        </w:rPr>
        <w:t xml:space="preserve"> </w:t>
      </w:r>
      <w:r>
        <w:rPr>
          <w:spacing w:val="-2"/>
        </w:rPr>
        <w:t>Customer</w:t>
      </w:r>
      <w:r>
        <w:rPr>
          <w:spacing w:val="54"/>
        </w:rPr>
        <w:t xml:space="preserve"> </w:t>
      </w:r>
      <w:r>
        <w:rPr>
          <w:spacing w:val="-1"/>
        </w:rPr>
        <w:t>howsoever</w:t>
      </w:r>
      <w:r>
        <w:rPr>
          <w:spacing w:val="54"/>
        </w:rPr>
        <w:t xml:space="preserve"> </w:t>
      </w:r>
      <w:r>
        <w:rPr>
          <w:spacing w:val="-1"/>
        </w:rPr>
        <w:t>arising,</w:t>
      </w:r>
      <w:r>
        <w:rPr>
          <w:spacing w:val="43"/>
        </w:rPr>
        <w:t xml:space="preserve"> </w:t>
      </w:r>
      <w:r>
        <w:rPr>
          <w:spacing w:val="-1"/>
        </w:rPr>
        <w:t>shall</w:t>
      </w:r>
      <w:r>
        <w:t xml:space="preserve"> </w:t>
      </w:r>
      <w:r>
        <w:rPr>
          <w:spacing w:val="-1"/>
        </w:rPr>
        <w:t>be</w:t>
      </w:r>
      <w:r>
        <w:t xml:space="preserve"> </w:t>
      </w:r>
      <w:r>
        <w:rPr>
          <w:spacing w:val="-1"/>
        </w:rPr>
        <w:t>entitled</w:t>
      </w:r>
      <w:r>
        <w:t xml:space="preserve"> to</w:t>
      </w:r>
      <w:r>
        <w:rPr>
          <w:spacing w:val="3"/>
        </w:rPr>
        <w:t xml:space="preserve"> </w:t>
      </w:r>
      <w:r>
        <w:rPr>
          <w:spacing w:val="-1"/>
        </w:rPr>
        <w:t>withhold</w:t>
      </w:r>
      <w:r>
        <w:t xml:space="preserve"> </w:t>
      </w:r>
      <w:r>
        <w:rPr>
          <w:spacing w:val="-1"/>
        </w:rPr>
        <w:t>payment</w:t>
      </w:r>
      <w:r>
        <w:rPr>
          <w:spacing w:val="2"/>
        </w:rPr>
        <w:t xml:space="preserve"> </w:t>
      </w:r>
      <w:r>
        <w:rPr>
          <w:spacing w:val="-2"/>
        </w:rPr>
        <w:t>of</w:t>
      </w:r>
      <w:r>
        <w:rPr>
          <w:spacing w:val="4"/>
        </w:rPr>
        <w:t xml:space="preserve"> </w:t>
      </w:r>
      <w:r>
        <w:t xml:space="preserve">the </w:t>
      </w:r>
      <w:r>
        <w:rPr>
          <w:spacing w:val="-2"/>
        </w:rPr>
        <w:t>applicable</w:t>
      </w:r>
      <w:r>
        <w:t xml:space="preserve"> </w:t>
      </w:r>
      <w:r>
        <w:rPr>
          <w:spacing w:val="-1"/>
        </w:rPr>
        <w:t>Call</w:t>
      </w:r>
      <w:r>
        <w:t xml:space="preserve"> Off</w:t>
      </w:r>
      <w:r>
        <w:rPr>
          <w:spacing w:val="4"/>
        </w:rPr>
        <w:t xml:space="preserve"> </w:t>
      </w:r>
      <w:r>
        <w:rPr>
          <w:spacing w:val="-2"/>
        </w:rPr>
        <w:t>Contract</w:t>
      </w:r>
      <w:r>
        <w:rPr>
          <w:spacing w:val="61"/>
        </w:rPr>
        <w:t xml:space="preserve"> </w:t>
      </w:r>
      <w:r>
        <w:rPr>
          <w:spacing w:val="-1"/>
        </w:rPr>
        <w:t>Charges</w:t>
      </w:r>
      <w:r>
        <w:rPr>
          <w:spacing w:val="22"/>
        </w:rPr>
        <w:t xml:space="preserve"> </w:t>
      </w:r>
      <w:r>
        <w:t>for</w:t>
      </w:r>
      <w:r>
        <w:rPr>
          <w:spacing w:val="26"/>
        </w:rPr>
        <w:t xml:space="preserve"> </w:t>
      </w:r>
      <w:r>
        <w:t>the</w:t>
      </w:r>
      <w:r>
        <w:rPr>
          <w:spacing w:val="24"/>
        </w:rPr>
        <w:t xml:space="preserve"> </w:t>
      </w:r>
      <w:r>
        <w:rPr>
          <w:spacing w:val="-1"/>
        </w:rPr>
        <w:t>Goods</w:t>
      </w:r>
      <w:r>
        <w:rPr>
          <w:spacing w:val="25"/>
        </w:rPr>
        <w:t xml:space="preserve"> </w:t>
      </w:r>
      <w:r>
        <w:rPr>
          <w:spacing w:val="-1"/>
        </w:rPr>
        <w:t>that</w:t>
      </w:r>
      <w:r>
        <w:rPr>
          <w:spacing w:val="28"/>
        </w:rPr>
        <w:t xml:space="preserve"> </w:t>
      </w:r>
      <w:r>
        <w:rPr>
          <w:spacing w:val="-2"/>
        </w:rPr>
        <w:t>were</w:t>
      </w:r>
      <w:r>
        <w:rPr>
          <w:spacing w:val="27"/>
        </w:rPr>
        <w:t xml:space="preserve"> </w:t>
      </w:r>
      <w:r>
        <w:rPr>
          <w:spacing w:val="-1"/>
        </w:rPr>
        <w:t>not</w:t>
      </w:r>
      <w:r>
        <w:rPr>
          <w:spacing w:val="26"/>
        </w:rPr>
        <w:t xml:space="preserve"> </w:t>
      </w:r>
      <w:r>
        <w:rPr>
          <w:spacing w:val="-1"/>
        </w:rPr>
        <w:t>so</w:t>
      </w:r>
      <w:r>
        <w:rPr>
          <w:spacing w:val="27"/>
        </w:rPr>
        <w:t xml:space="preserve"> </w:t>
      </w:r>
      <w:r>
        <w:rPr>
          <w:spacing w:val="-2"/>
        </w:rPr>
        <w:t>Delivered</w:t>
      </w:r>
      <w:r>
        <w:rPr>
          <w:spacing w:val="27"/>
        </w:rPr>
        <w:t xml:space="preserve"> </w:t>
      </w:r>
      <w:r>
        <w:rPr>
          <w:spacing w:val="-1"/>
        </w:rPr>
        <w:t>until</w:t>
      </w:r>
      <w:r>
        <w:rPr>
          <w:spacing w:val="26"/>
        </w:rPr>
        <w:t xml:space="preserve"> </w:t>
      </w:r>
      <w:r>
        <w:rPr>
          <w:spacing w:val="-1"/>
        </w:rPr>
        <w:t>such</w:t>
      </w:r>
      <w:r>
        <w:rPr>
          <w:spacing w:val="25"/>
        </w:rPr>
        <w:t xml:space="preserve"> </w:t>
      </w:r>
      <w:r>
        <w:rPr>
          <w:spacing w:val="-1"/>
        </w:rPr>
        <w:t>time</w:t>
      </w:r>
      <w:r>
        <w:rPr>
          <w:spacing w:val="24"/>
        </w:rPr>
        <w:t xml:space="preserve"> </w:t>
      </w:r>
      <w:r>
        <w:rPr>
          <w:spacing w:val="-1"/>
        </w:rPr>
        <w:t>as</w:t>
      </w:r>
      <w:r>
        <w:rPr>
          <w:spacing w:val="50"/>
        </w:rPr>
        <w:t xml:space="preserve"> </w:t>
      </w:r>
      <w:r>
        <w:t xml:space="preserve">the </w:t>
      </w:r>
      <w:r>
        <w:rPr>
          <w:spacing w:val="-2"/>
        </w:rPr>
        <w:t>Undelivered</w:t>
      </w:r>
      <w:r>
        <w:rPr>
          <w:spacing w:val="1"/>
        </w:rPr>
        <w:t xml:space="preserve"> </w:t>
      </w:r>
      <w:r>
        <w:rPr>
          <w:spacing w:val="-1"/>
        </w:rPr>
        <w:t>Goods are</w:t>
      </w:r>
      <w:r>
        <w:t xml:space="preserve"> </w:t>
      </w:r>
      <w:r>
        <w:rPr>
          <w:spacing w:val="-2"/>
        </w:rPr>
        <w:t>Delivered.</w:t>
      </w:r>
    </w:p>
    <w:p w:rsidR="008918FA" w:rsidRDefault="008918FA" w:rsidP="008918FA">
      <w:pPr>
        <w:pStyle w:val="BodyText"/>
        <w:numPr>
          <w:ilvl w:val="2"/>
          <w:numId w:val="65"/>
        </w:numPr>
        <w:tabs>
          <w:tab w:val="left" w:pos="1887"/>
        </w:tabs>
        <w:ind w:left="1886" w:right="112"/>
        <w:jc w:val="both"/>
      </w:pPr>
      <w:bookmarkStart w:id="86" w:name="_bookmark83"/>
      <w:bookmarkEnd w:id="86"/>
      <w:r>
        <w:t>The</w:t>
      </w:r>
      <w:r>
        <w:rPr>
          <w:spacing w:val="55"/>
        </w:rPr>
        <w:t xml:space="preserve"> </w:t>
      </w:r>
      <w:r>
        <w:rPr>
          <w:spacing w:val="-1"/>
        </w:rPr>
        <w:t>Customer,</w:t>
      </w:r>
      <w:r>
        <w:rPr>
          <w:spacing w:val="57"/>
        </w:rPr>
        <w:t xml:space="preserve"> </w:t>
      </w:r>
      <w:r>
        <w:rPr>
          <w:spacing w:val="-1"/>
        </w:rPr>
        <w:t>at</w:t>
      </w:r>
      <w:r>
        <w:rPr>
          <w:spacing w:val="57"/>
        </w:rPr>
        <w:t xml:space="preserve"> </w:t>
      </w:r>
      <w:r>
        <w:rPr>
          <w:spacing w:val="-1"/>
        </w:rPr>
        <w:t>its</w:t>
      </w:r>
      <w:r>
        <w:rPr>
          <w:spacing w:val="56"/>
        </w:rPr>
        <w:t xml:space="preserve"> </w:t>
      </w:r>
      <w:r>
        <w:rPr>
          <w:spacing w:val="-1"/>
        </w:rPr>
        <w:t>discretion</w:t>
      </w:r>
      <w:r>
        <w:rPr>
          <w:spacing w:val="56"/>
        </w:rPr>
        <w:t xml:space="preserve"> </w:t>
      </w:r>
      <w:r>
        <w:rPr>
          <w:spacing w:val="-1"/>
        </w:rPr>
        <w:t>and</w:t>
      </w:r>
      <w:r>
        <w:rPr>
          <w:spacing w:val="55"/>
        </w:rPr>
        <w:t xml:space="preserve"> </w:t>
      </w:r>
      <w:r>
        <w:rPr>
          <w:spacing w:val="-2"/>
        </w:rPr>
        <w:t>without</w:t>
      </w:r>
      <w:r>
        <w:rPr>
          <w:spacing w:val="58"/>
        </w:rPr>
        <w:t xml:space="preserve"> </w:t>
      </w:r>
      <w:r>
        <w:rPr>
          <w:spacing w:val="-1"/>
        </w:rPr>
        <w:t>prejudice</w:t>
      </w:r>
      <w:r>
        <w:rPr>
          <w:spacing w:val="56"/>
        </w:rPr>
        <w:t xml:space="preserve"> </w:t>
      </w:r>
      <w:r>
        <w:t>to</w:t>
      </w:r>
      <w:r>
        <w:rPr>
          <w:spacing w:val="55"/>
        </w:rPr>
        <w:t xml:space="preserve"> </w:t>
      </w:r>
      <w:r>
        <w:rPr>
          <w:spacing w:val="-1"/>
        </w:rPr>
        <w:t>any</w:t>
      </w:r>
      <w:r>
        <w:rPr>
          <w:spacing w:val="53"/>
        </w:rPr>
        <w:t xml:space="preserve"> </w:t>
      </w:r>
      <w:r>
        <w:rPr>
          <w:spacing w:val="-1"/>
        </w:rPr>
        <w:t>other</w:t>
      </w:r>
      <w:r>
        <w:rPr>
          <w:spacing w:val="42"/>
        </w:rPr>
        <w:t xml:space="preserve"> </w:t>
      </w:r>
      <w:r>
        <w:rPr>
          <w:spacing w:val="-1"/>
        </w:rPr>
        <w:t>rights</w:t>
      </w:r>
      <w:r>
        <w:rPr>
          <w:spacing w:val="61"/>
        </w:rPr>
        <w:t xml:space="preserve"> </w:t>
      </w:r>
      <w:r>
        <w:rPr>
          <w:spacing w:val="-1"/>
        </w:rPr>
        <w:t>and</w:t>
      </w:r>
      <w:r>
        <w:rPr>
          <w:spacing w:val="60"/>
        </w:rPr>
        <w:t xml:space="preserve"> </w:t>
      </w:r>
      <w:r>
        <w:rPr>
          <w:spacing w:val="-1"/>
        </w:rPr>
        <w:t>remedies</w:t>
      </w:r>
      <w:r>
        <w:t xml:space="preserve"> </w:t>
      </w:r>
      <w:r>
        <w:rPr>
          <w:spacing w:val="-2"/>
        </w:rPr>
        <w:t>of</w:t>
      </w:r>
      <w:r>
        <w:rPr>
          <w:spacing w:val="1"/>
        </w:rPr>
        <w:t xml:space="preserve"> </w:t>
      </w:r>
      <w:r>
        <w:t>the</w:t>
      </w:r>
      <w:r>
        <w:rPr>
          <w:spacing w:val="60"/>
        </w:rPr>
        <w:t xml:space="preserve"> </w:t>
      </w:r>
      <w:r w:rsidR="001C1527">
        <w:rPr>
          <w:spacing w:val="-1"/>
        </w:rPr>
        <w:t>Customer</w:t>
      </w:r>
      <w:r w:rsidR="001C1527">
        <w:t xml:space="preserve"> howsoever</w:t>
      </w:r>
      <w:r>
        <w:t xml:space="preserve"> </w:t>
      </w:r>
      <w:r>
        <w:rPr>
          <w:spacing w:val="-1"/>
        </w:rPr>
        <w:t>arising</w:t>
      </w:r>
      <w:r>
        <w:rPr>
          <w:spacing w:val="4"/>
        </w:rPr>
        <w:t xml:space="preserve"> </w:t>
      </w:r>
      <w:bookmarkStart w:id="87" w:name="_bookmark82"/>
      <w:bookmarkEnd w:id="87"/>
      <w:r>
        <w:rPr>
          <w:spacing w:val="-1"/>
        </w:rPr>
        <w:t>deem</w:t>
      </w:r>
      <w:r>
        <w:rPr>
          <w:spacing w:val="59"/>
        </w:rPr>
        <w:t xml:space="preserve"> </w:t>
      </w:r>
      <w:r>
        <w:rPr>
          <w:spacing w:val="-1"/>
        </w:rPr>
        <w:t>the</w:t>
      </w:r>
      <w:r>
        <w:rPr>
          <w:spacing w:val="34"/>
        </w:rPr>
        <w:t xml:space="preserve"> </w:t>
      </w:r>
      <w:r>
        <w:rPr>
          <w:spacing w:val="-1"/>
        </w:rPr>
        <w:t>failure</w:t>
      </w:r>
      <w:r>
        <w:rPr>
          <w:spacing w:val="60"/>
        </w:rPr>
        <w:t xml:space="preserve"> </w:t>
      </w:r>
      <w:r>
        <w:t>to</w:t>
      </w:r>
      <w:r>
        <w:rPr>
          <w:spacing w:val="58"/>
        </w:rPr>
        <w:t xml:space="preserve"> </w:t>
      </w:r>
      <w:r>
        <w:rPr>
          <w:spacing w:val="-2"/>
        </w:rPr>
        <w:t>comply</w:t>
      </w:r>
      <w:r>
        <w:rPr>
          <w:spacing w:val="58"/>
        </w:rPr>
        <w:t xml:space="preserve"> </w:t>
      </w:r>
      <w:r>
        <w:rPr>
          <w:spacing w:val="-1"/>
        </w:rPr>
        <w:t>with</w:t>
      </w:r>
      <w:r>
        <w:t xml:space="preserve"> </w:t>
      </w:r>
      <w:r w:rsidR="001C1527">
        <w:rPr>
          <w:spacing w:val="-1"/>
        </w:rPr>
        <w:t>Clauses</w:t>
      </w:r>
      <w:r w:rsidR="001C1527">
        <w:t xml:space="preserve"> </w:t>
      </w:r>
      <w:hyperlink w:anchor="_bookmark65" w:history="1">
        <w:r>
          <w:t>7.1</w:t>
        </w:r>
      </w:hyperlink>
      <w:r>
        <w:rPr>
          <w:spacing w:val="58"/>
        </w:rPr>
        <w:t xml:space="preserve"> </w:t>
      </w:r>
      <w:r>
        <w:rPr>
          <w:spacing w:val="-1"/>
        </w:rPr>
        <w:t>(Provision</w:t>
      </w:r>
      <w:r>
        <w:rPr>
          <w:spacing w:val="60"/>
        </w:rPr>
        <w:t xml:space="preserve"> </w:t>
      </w:r>
      <w:r w:rsidR="000E2E05">
        <w:rPr>
          <w:spacing w:val="-2"/>
        </w:rPr>
        <w:t>of</w:t>
      </w:r>
      <w:r w:rsidR="000E2E05">
        <w:t xml:space="preserve"> the</w:t>
      </w:r>
      <w:r>
        <w:rPr>
          <w:spacing w:val="58"/>
        </w:rPr>
        <w:t xml:space="preserve"> </w:t>
      </w:r>
      <w:r>
        <w:rPr>
          <w:spacing w:val="-1"/>
        </w:rPr>
        <w:t>Goods</w:t>
      </w:r>
      <w:r>
        <w:rPr>
          <w:spacing w:val="1"/>
        </w:rPr>
        <w:t xml:space="preserve"> </w:t>
      </w:r>
      <w:r>
        <w:rPr>
          <w:spacing w:val="-2"/>
        </w:rPr>
        <w:t>and/or</w:t>
      </w:r>
      <w:r>
        <w:rPr>
          <w:spacing w:val="28"/>
        </w:rPr>
        <w:t xml:space="preserve"> </w:t>
      </w:r>
      <w:r>
        <w:rPr>
          <w:spacing w:val="-1"/>
        </w:rPr>
        <w:t>Services),</w:t>
      </w:r>
      <w:r>
        <w:rPr>
          <w:spacing w:val="26"/>
        </w:rPr>
        <w:t xml:space="preserve"> </w:t>
      </w:r>
      <w:hyperlink w:anchor="_bookmark77" w:history="1">
        <w:r>
          <w:t>9.1</w:t>
        </w:r>
      </w:hyperlink>
      <w:r>
        <w:rPr>
          <w:spacing w:val="22"/>
        </w:rPr>
        <w:t xml:space="preserve"> </w:t>
      </w:r>
      <w:r>
        <w:rPr>
          <w:spacing w:val="-1"/>
        </w:rPr>
        <w:t>(Time</w:t>
      </w:r>
      <w:r>
        <w:rPr>
          <w:spacing w:val="22"/>
        </w:rPr>
        <w:t xml:space="preserve"> </w:t>
      </w:r>
      <w:r>
        <w:rPr>
          <w:spacing w:val="-2"/>
        </w:rPr>
        <w:t>of</w:t>
      </w:r>
      <w:r>
        <w:rPr>
          <w:spacing w:val="26"/>
        </w:rPr>
        <w:t xml:space="preserve"> </w:t>
      </w:r>
      <w:r>
        <w:rPr>
          <w:spacing w:val="-1"/>
        </w:rPr>
        <w:t>Delivery</w:t>
      </w:r>
      <w:r>
        <w:rPr>
          <w:spacing w:val="22"/>
        </w:rPr>
        <w:t xml:space="preserve"> </w:t>
      </w:r>
      <w:r>
        <w:rPr>
          <w:spacing w:val="-1"/>
        </w:rPr>
        <w:t>of</w:t>
      </w:r>
      <w:r>
        <w:rPr>
          <w:spacing w:val="26"/>
        </w:rPr>
        <w:t xml:space="preserve"> </w:t>
      </w:r>
      <w:r>
        <w:t>the</w:t>
      </w:r>
      <w:r>
        <w:rPr>
          <w:spacing w:val="24"/>
        </w:rPr>
        <w:t xml:space="preserve"> </w:t>
      </w:r>
      <w:r>
        <w:rPr>
          <w:spacing w:val="-1"/>
        </w:rPr>
        <w:t>Goods)</w:t>
      </w:r>
      <w:r>
        <w:rPr>
          <w:spacing w:val="24"/>
        </w:rPr>
        <w:t xml:space="preserve"> </w:t>
      </w:r>
      <w:r>
        <w:rPr>
          <w:spacing w:val="-1"/>
        </w:rPr>
        <w:t>and</w:t>
      </w:r>
      <w:r>
        <w:rPr>
          <w:spacing w:val="26"/>
        </w:rPr>
        <w:t xml:space="preserve"> </w:t>
      </w:r>
      <w:hyperlink w:anchor="_bookmark79" w:history="1">
        <w:r>
          <w:t>9.2</w:t>
        </w:r>
      </w:hyperlink>
      <w:r>
        <w:rPr>
          <w:spacing w:val="22"/>
        </w:rPr>
        <w:t xml:space="preserve"> </w:t>
      </w:r>
      <w:r>
        <w:rPr>
          <w:spacing w:val="-1"/>
        </w:rPr>
        <w:t>(Location</w:t>
      </w:r>
      <w:r>
        <w:rPr>
          <w:spacing w:val="24"/>
        </w:rPr>
        <w:t xml:space="preserve"> </w:t>
      </w:r>
      <w:r>
        <w:rPr>
          <w:spacing w:val="-2"/>
        </w:rPr>
        <w:t>and</w:t>
      </w:r>
      <w:r>
        <w:rPr>
          <w:spacing w:val="27"/>
        </w:rPr>
        <w:t xml:space="preserve"> </w:t>
      </w:r>
      <w:r>
        <w:rPr>
          <w:spacing w:val="-2"/>
        </w:rPr>
        <w:t>Manner</w:t>
      </w:r>
      <w:r>
        <w:rPr>
          <w:spacing w:val="49"/>
        </w:rPr>
        <w:t xml:space="preserve"> </w:t>
      </w:r>
      <w:r>
        <w:rPr>
          <w:spacing w:val="-1"/>
        </w:rPr>
        <w:t>of</w:t>
      </w:r>
      <w:r>
        <w:rPr>
          <w:spacing w:val="52"/>
        </w:rPr>
        <w:t xml:space="preserve"> </w:t>
      </w:r>
      <w:r>
        <w:rPr>
          <w:spacing w:val="-2"/>
        </w:rPr>
        <w:t>Delivery</w:t>
      </w:r>
      <w:r>
        <w:rPr>
          <w:spacing w:val="46"/>
        </w:rPr>
        <w:t xml:space="preserve"> </w:t>
      </w:r>
      <w:r>
        <w:rPr>
          <w:spacing w:val="-1"/>
        </w:rPr>
        <w:t>of</w:t>
      </w:r>
      <w:r>
        <w:rPr>
          <w:spacing w:val="52"/>
        </w:rPr>
        <w:t xml:space="preserve"> </w:t>
      </w:r>
      <w:r>
        <w:rPr>
          <w:spacing w:val="-1"/>
        </w:rPr>
        <w:t>the</w:t>
      </w:r>
      <w:r>
        <w:rPr>
          <w:spacing w:val="48"/>
        </w:rPr>
        <w:t xml:space="preserve"> </w:t>
      </w:r>
      <w:r>
        <w:rPr>
          <w:spacing w:val="-1"/>
        </w:rPr>
        <w:t>Goods)</w:t>
      </w:r>
      <w:r>
        <w:rPr>
          <w:spacing w:val="49"/>
        </w:rPr>
        <w:t xml:space="preserve"> </w:t>
      </w:r>
      <w:r>
        <w:rPr>
          <w:spacing w:val="-1"/>
        </w:rPr>
        <w:t>and</w:t>
      </w:r>
      <w:r>
        <w:rPr>
          <w:spacing w:val="49"/>
        </w:rPr>
        <w:t xml:space="preserve"> </w:t>
      </w:r>
      <w:r>
        <w:rPr>
          <w:spacing w:val="-1"/>
        </w:rPr>
        <w:t>meet</w:t>
      </w:r>
      <w:r>
        <w:rPr>
          <w:spacing w:val="50"/>
        </w:rPr>
        <w:t xml:space="preserve"> </w:t>
      </w:r>
      <w:r>
        <w:rPr>
          <w:spacing w:val="-2"/>
        </w:rPr>
        <w:t>the</w:t>
      </w:r>
      <w:r>
        <w:rPr>
          <w:spacing w:val="48"/>
        </w:rPr>
        <w:t xml:space="preserve"> </w:t>
      </w:r>
      <w:r>
        <w:rPr>
          <w:spacing w:val="-2"/>
        </w:rPr>
        <w:t>relevant</w:t>
      </w:r>
      <w:r>
        <w:rPr>
          <w:spacing w:val="50"/>
        </w:rPr>
        <w:t xml:space="preserve"> </w:t>
      </w:r>
      <w:r>
        <w:rPr>
          <w:spacing w:val="-2"/>
        </w:rPr>
        <w:t>Milestone</w:t>
      </w:r>
      <w:r>
        <w:rPr>
          <w:spacing w:val="62"/>
        </w:rPr>
        <w:t xml:space="preserve"> </w:t>
      </w:r>
      <w:r>
        <w:rPr>
          <w:spacing w:val="-1"/>
        </w:rPr>
        <w:t>Date</w:t>
      </w:r>
      <w:r>
        <w:t xml:space="preserve"> </w:t>
      </w:r>
      <w:r>
        <w:rPr>
          <w:spacing w:val="-2"/>
        </w:rPr>
        <w:t>(if</w:t>
      </w:r>
      <w:r>
        <w:rPr>
          <w:spacing w:val="2"/>
        </w:rPr>
        <w:t xml:space="preserve"> </w:t>
      </w:r>
      <w:r>
        <w:rPr>
          <w:spacing w:val="-2"/>
        </w:rPr>
        <w:t>any)</w:t>
      </w:r>
      <w:r>
        <w:rPr>
          <w:spacing w:val="-1"/>
        </w:rPr>
        <w:t xml:space="preserve"> </w:t>
      </w:r>
      <w:r>
        <w:t xml:space="preserve">to </w:t>
      </w:r>
      <w:r>
        <w:rPr>
          <w:spacing w:val="-1"/>
        </w:rPr>
        <w:t>be</w:t>
      </w:r>
      <w:r>
        <w:rPr>
          <w:spacing w:val="-2"/>
        </w:rPr>
        <w:t xml:space="preserve"> </w:t>
      </w:r>
      <w:r>
        <w:t>a</w:t>
      </w:r>
      <w:r>
        <w:rPr>
          <w:spacing w:val="-2"/>
        </w:rPr>
        <w:t xml:space="preserve"> material</w:t>
      </w:r>
      <w:r>
        <w:t xml:space="preserve"> </w:t>
      </w:r>
      <w:r>
        <w:rPr>
          <w:spacing w:val="-1"/>
        </w:rPr>
        <w:t>Default.</w:t>
      </w:r>
    </w:p>
    <w:p w:rsidR="008918FA" w:rsidRDefault="008918FA" w:rsidP="008918FA">
      <w:pPr>
        <w:pStyle w:val="Heading1"/>
        <w:numPr>
          <w:ilvl w:val="1"/>
          <w:numId w:val="65"/>
        </w:numPr>
        <w:tabs>
          <w:tab w:val="left" w:pos="689"/>
        </w:tabs>
        <w:ind w:left="688"/>
        <w:jc w:val="left"/>
        <w:rPr>
          <w:b w:val="0"/>
          <w:bCs w:val="0"/>
        </w:rPr>
      </w:pPr>
      <w:r>
        <w:rPr>
          <w:spacing w:val="-1"/>
        </w:rPr>
        <w:t>Over-Delivered</w:t>
      </w:r>
      <w:r>
        <w:rPr>
          <w:spacing w:val="-2"/>
        </w:rPr>
        <w:t xml:space="preserve"> </w:t>
      </w:r>
      <w:r>
        <w:rPr>
          <w:spacing w:val="-1"/>
        </w:rPr>
        <w:t>Goods</w:t>
      </w:r>
    </w:p>
    <w:p w:rsidR="008918FA" w:rsidRDefault="008918FA" w:rsidP="008918FA">
      <w:pPr>
        <w:pStyle w:val="BodyText"/>
        <w:numPr>
          <w:ilvl w:val="2"/>
          <w:numId w:val="65"/>
        </w:numPr>
        <w:tabs>
          <w:tab w:val="left" w:pos="1887"/>
        </w:tabs>
        <w:spacing w:before="124"/>
        <w:ind w:left="1886" w:right="114"/>
        <w:jc w:val="both"/>
      </w:pPr>
      <w:bookmarkStart w:id="88" w:name="_bookmark84"/>
      <w:bookmarkEnd w:id="88"/>
      <w:r>
        <w:t>The</w:t>
      </w:r>
      <w:r>
        <w:rPr>
          <w:spacing w:val="34"/>
        </w:rPr>
        <w:t xml:space="preserve"> </w:t>
      </w:r>
      <w:r>
        <w:rPr>
          <w:spacing w:val="-2"/>
        </w:rPr>
        <w:t>Customer</w:t>
      </w:r>
      <w:r>
        <w:rPr>
          <w:spacing w:val="35"/>
        </w:rPr>
        <w:t xml:space="preserve"> </w:t>
      </w:r>
      <w:r>
        <w:rPr>
          <w:spacing w:val="-1"/>
        </w:rPr>
        <w:t>shall</w:t>
      </w:r>
      <w:r>
        <w:rPr>
          <w:spacing w:val="33"/>
        </w:rPr>
        <w:t xml:space="preserve"> </w:t>
      </w:r>
      <w:r>
        <w:rPr>
          <w:spacing w:val="-1"/>
        </w:rPr>
        <w:t>be</w:t>
      </w:r>
      <w:r>
        <w:rPr>
          <w:spacing w:val="34"/>
        </w:rPr>
        <w:t xml:space="preserve"> </w:t>
      </w:r>
      <w:r>
        <w:rPr>
          <w:spacing w:val="-1"/>
        </w:rPr>
        <w:t>under</w:t>
      </w:r>
      <w:r>
        <w:rPr>
          <w:spacing w:val="35"/>
        </w:rPr>
        <w:t xml:space="preserve"> </w:t>
      </w:r>
      <w:r>
        <w:rPr>
          <w:spacing w:val="-1"/>
        </w:rPr>
        <w:t>no</w:t>
      </w:r>
      <w:r>
        <w:rPr>
          <w:spacing w:val="34"/>
        </w:rPr>
        <w:t xml:space="preserve"> </w:t>
      </w:r>
      <w:r>
        <w:rPr>
          <w:spacing w:val="-1"/>
        </w:rPr>
        <w:t>obligation</w:t>
      </w:r>
      <w:r>
        <w:rPr>
          <w:spacing w:val="35"/>
        </w:rPr>
        <w:t xml:space="preserve"> </w:t>
      </w:r>
      <w:r>
        <w:t>to</w:t>
      </w:r>
      <w:r>
        <w:rPr>
          <w:spacing w:val="34"/>
        </w:rPr>
        <w:t xml:space="preserve"> </w:t>
      </w:r>
      <w:r>
        <w:rPr>
          <w:spacing w:val="-1"/>
        </w:rPr>
        <w:t>accept</w:t>
      </w:r>
      <w:r>
        <w:rPr>
          <w:spacing w:val="35"/>
        </w:rPr>
        <w:t xml:space="preserve"> </w:t>
      </w:r>
      <w:r>
        <w:rPr>
          <w:spacing w:val="-1"/>
        </w:rPr>
        <w:t>or</w:t>
      </w:r>
      <w:r>
        <w:rPr>
          <w:spacing w:val="35"/>
        </w:rPr>
        <w:t xml:space="preserve"> </w:t>
      </w:r>
      <w:r>
        <w:rPr>
          <w:spacing w:val="-2"/>
        </w:rPr>
        <w:t>pay</w:t>
      </w:r>
      <w:r>
        <w:rPr>
          <w:spacing w:val="32"/>
        </w:rPr>
        <w:t xml:space="preserve"> </w:t>
      </w:r>
      <w:r>
        <w:t>for</w:t>
      </w:r>
      <w:r>
        <w:rPr>
          <w:spacing w:val="35"/>
        </w:rPr>
        <w:t xml:space="preserve"> </w:t>
      </w:r>
      <w:r>
        <w:rPr>
          <w:spacing w:val="-1"/>
        </w:rPr>
        <w:t>any</w:t>
      </w:r>
      <w:r>
        <w:rPr>
          <w:spacing w:val="34"/>
        </w:rPr>
        <w:t xml:space="preserve"> </w:t>
      </w:r>
      <w:r>
        <w:rPr>
          <w:spacing w:val="-1"/>
        </w:rPr>
        <w:t>Goods</w:t>
      </w:r>
      <w:r>
        <w:rPr>
          <w:spacing w:val="15"/>
        </w:rPr>
        <w:t xml:space="preserve"> </w:t>
      </w:r>
      <w:r>
        <w:rPr>
          <w:spacing w:val="-2"/>
        </w:rPr>
        <w:t>delivered</w:t>
      </w:r>
      <w:r>
        <w:rPr>
          <w:spacing w:val="15"/>
        </w:rPr>
        <w:t xml:space="preserve"> </w:t>
      </w:r>
      <w:r>
        <w:rPr>
          <w:spacing w:val="-1"/>
        </w:rPr>
        <w:t>in</w:t>
      </w:r>
      <w:r>
        <w:rPr>
          <w:spacing w:val="15"/>
        </w:rPr>
        <w:t xml:space="preserve"> </w:t>
      </w:r>
      <w:r>
        <w:rPr>
          <w:spacing w:val="-1"/>
        </w:rPr>
        <w:t>excess</w:t>
      </w:r>
      <w:r>
        <w:rPr>
          <w:spacing w:val="16"/>
        </w:rPr>
        <w:t xml:space="preserve"> </w:t>
      </w:r>
      <w:r>
        <w:rPr>
          <w:spacing w:val="-2"/>
        </w:rPr>
        <w:t>of</w:t>
      </w:r>
      <w:r>
        <w:rPr>
          <w:spacing w:val="19"/>
        </w:rPr>
        <w:t xml:space="preserve"> </w:t>
      </w:r>
      <w:r>
        <w:t>the</w:t>
      </w:r>
      <w:r>
        <w:rPr>
          <w:spacing w:val="12"/>
        </w:rPr>
        <w:t xml:space="preserve"> </w:t>
      </w:r>
      <w:r>
        <w:rPr>
          <w:spacing w:val="-1"/>
        </w:rPr>
        <w:t>quantity</w:t>
      </w:r>
      <w:r>
        <w:rPr>
          <w:spacing w:val="13"/>
        </w:rPr>
        <w:t xml:space="preserve"> </w:t>
      </w:r>
      <w:r>
        <w:rPr>
          <w:spacing w:val="-1"/>
        </w:rPr>
        <w:t>specified</w:t>
      </w:r>
      <w:r>
        <w:rPr>
          <w:spacing w:val="15"/>
        </w:rPr>
        <w:t xml:space="preserve"> </w:t>
      </w:r>
      <w:r>
        <w:rPr>
          <w:spacing w:val="-1"/>
        </w:rPr>
        <w:t>in</w:t>
      </w:r>
      <w:r>
        <w:rPr>
          <w:spacing w:val="15"/>
        </w:rPr>
        <w:t xml:space="preserve"> </w:t>
      </w:r>
      <w:r>
        <w:t>the</w:t>
      </w:r>
      <w:r>
        <w:rPr>
          <w:spacing w:val="15"/>
        </w:rPr>
        <w:t xml:space="preserve"> </w:t>
      </w:r>
      <w:r>
        <w:rPr>
          <w:spacing w:val="-1"/>
        </w:rPr>
        <w:t>Order</w:t>
      </w:r>
      <w:r>
        <w:rPr>
          <w:spacing w:val="16"/>
        </w:rPr>
        <w:t xml:space="preserve"> </w:t>
      </w:r>
      <w:r>
        <w:rPr>
          <w:spacing w:val="-1"/>
        </w:rPr>
        <w:t>Form</w:t>
      </w:r>
      <w:r>
        <w:rPr>
          <w:spacing w:val="45"/>
        </w:rPr>
        <w:t xml:space="preserve"> </w:t>
      </w:r>
      <w:r>
        <w:rPr>
          <w:spacing w:val="-1"/>
        </w:rPr>
        <w:t xml:space="preserve">(or </w:t>
      </w:r>
      <w:r>
        <w:rPr>
          <w:spacing w:val="-2"/>
        </w:rPr>
        <w:t>elsewhere</w:t>
      </w:r>
      <w:r>
        <w:t xml:space="preserve"> </w:t>
      </w:r>
      <w:r>
        <w:rPr>
          <w:spacing w:val="-1"/>
        </w:rPr>
        <w:t>in</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w:t>
      </w:r>
      <w:r>
        <w:rPr>
          <w:rFonts w:cs="Arial"/>
          <w:b/>
          <w:bCs/>
          <w:spacing w:val="-1"/>
        </w:rPr>
        <w:t>Over-Delivered</w:t>
      </w:r>
      <w:r>
        <w:rPr>
          <w:rFonts w:cs="Arial"/>
          <w:b/>
          <w:bCs/>
        </w:rPr>
        <w:t xml:space="preserve"> </w:t>
      </w:r>
      <w:r>
        <w:rPr>
          <w:rFonts w:cs="Arial"/>
          <w:b/>
          <w:bCs/>
          <w:spacing w:val="-2"/>
        </w:rPr>
        <w:t>Goods</w:t>
      </w:r>
      <w:r>
        <w:rPr>
          <w:spacing w:val="-2"/>
        </w:rPr>
        <w:t>”).</w:t>
      </w:r>
    </w:p>
    <w:p w:rsidR="008918FA" w:rsidRDefault="008918FA" w:rsidP="008918FA">
      <w:pPr>
        <w:pStyle w:val="BodyText"/>
        <w:numPr>
          <w:ilvl w:val="2"/>
          <w:numId w:val="65"/>
        </w:numPr>
        <w:tabs>
          <w:tab w:val="left" w:pos="1887"/>
        </w:tabs>
        <w:spacing w:before="121"/>
        <w:ind w:left="1886" w:right="113"/>
        <w:jc w:val="both"/>
      </w:pPr>
      <w:bookmarkStart w:id="89" w:name="_bookmark85"/>
      <w:bookmarkEnd w:id="89"/>
      <w:r>
        <w:rPr>
          <w:spacing w:val="-1"/>
        </w:rPr>
        <w:t>If</w:t>
      </w:r>
      <w:r>
        <w:rPr>
          <w:spacing w:val="52"/>
        </w:rPr>
        <w:t xml:space="preserve"> </w:t>
      </w:r>
      <w:r>
        <w:t>the</w:t>
      </w:r>
      <w:r>
        <w:rPr>
          <w:spacing w:val="51"/>
        </w:rPr>
        <w:t xml:space="preserve"> </w:t>
      </w:r>
      <w:r>
        <w:rPr>
          <w:spacing w:val="-1"/>
        </w:rPr>
        <w:t>Customer</w:t>
      </w:r>
      <w:r>
        <w:rPr>
          <w:spacing w:val="52"/>
        </w:rPr>
        <w:t xml:space="preserve"> </w:t>
      </w:r>
      <w:r>
        <w:rPr>
          <w:spacing w:val="-1"/>
        </w:rPr>
        <w:t>elects</w:t>
      </w:r>
      <w:r>
        <w:rPr>
          <w:spacing w:val="49"/>
        </w:rPr>
        <w:t xml:space="preserve"> </w:t>
      </w:r>
      <w:r>
        <w:rPr>
          <w:spacing w:val="-1"/>
        </w:rPr>
        <w:t>not</w:t>
      </w:r>
      <w:r>
        <w:rPr>
          <w:spacing w:val="52"/>
        </w:rPr>
        <w:t xml:space="preserve"> </w:t>
      </w:r>
      <w:r>
        <w:t>to</w:t>
      </w:r>
      <w:r>
        <w:rPr>
          <w:spacing w:val="51"/>
        </w:rPr>
        <w:t xml:space="preserve"> </w:t>
      </w:r>
      <w:r>
        <w:rPr>
          <w:spacing w:val="-1"/>
        </w:rPr>
        <w:t>accept</w:t>
      </w:r>
      <w:r>
        <w:rPr>
          <w:spacing w:val="53"/>
        </w:rPr>
        <w:t xml:space="preserve"> </w:t>
      </w:r>
      <w:r>
        <w:rPr>
          <w:spacing w:val="-1"/>
        </w:rPr>
        <w:t>such</w:t>
      </w:r>
      <w:r>
        <w:rPr>
          <w:spacing w:val="49"/>
        </w:rPr>
        <w:t xml:space="preserve"> </w:t>
      </w:r>
      <w:r>
        <w:rPr>
          <w:spacing w:val="-1"/>
        </w:rPr>
        <w:t>Over-Delivered</w:t>
      </w:r>
      <w:r>
        <w:rPr>
          <w:spacing w:val="51"/>
        </w:rPr>
        <w:t xml:space="preserve"> </w:t>
      </w:r>
      <w:r>
        <w:rPr>
          <w:spacing w:val="-1"/>
        </w:rPr>
        <w:t>Goods</w:t>
      </w:r>
      <w:r>
        <w:rPr>
          <w:spacing w:val="51"/>
        </w:rPr>
        <w:t xml:space="preserve"> </w:t>
      </w:r>
      <w:r>
        <w:rPr>
          <w:spacing w:val="-1"/>
        </w:rPr>
        <w:t>it</w:t>
      </w:r>
      <w:r>
        <w:rPr>
          <w:spacing w:val="29"/>
        </w:rPr>
        <w:t xml:space="preserve"> </w:t>
      </w:r>
      <w:r>
        <w:rPr>
          <w:spacing w:val="-1"/>
        </w:rPr>
        <w:t>may,</w:t>
      </w:r>
      <w:r>
        <w:rPr>
          <w:spacing w:val="30"/>
        </w:rPr>
        <w:t xml:space="preserve"> </w:t>
      </w:r>
      <w:r>
        <w:rPr>
          <w:spacing w:val="-2"/>
        </w:rPr>
        <w:t>without</w:t>
      </w:r>
      <w:r>
        <w:rPr>
          <w:spacing w:val="29"/>
        </w:rPr>
        <w:t xml:space="preserve"> </w:t>
      </w:r>
      <w:r>
        <w:rPr>
          <w:spacing w:val="-1"/>
        </w:rPr>
        <w:t>prejudice</w:t>
      </w:r>
      <w:r>
        <w:rPr>
          <w:spacing w:val="28"/>
        </w:rPr>
        <w:t xml:space="preserve"> </w:t>
      </w:r>
      <w:r>
        <w:t>to</w:t>
      </w:r>
      <w:r>
        <w:rPr>
          <w:spacing w:val="28"/>
        </w:rPr>
        <w:t xml:space="preserve"> </w:t>
      </w:r>
      <w:r>
        <w:rPr>
          <w:spacing w:val="-1"/>
        </w:rPr>
        <w:t>any</w:t>
      </w:r>
      <w:r>
        <w:rPr>
          <w:spacing w:val="26"/>
        </w:rPr>
        <w:t xml:space="preserve"> </w:t>
      </w:r>
      <w:r>
        <w:rPr>
          <w:spacing w:val="-1"/>
        </w:rPr>
        <w:t>other</w:t>
      </w:r>
      <w:r>
        <w:rPr>
          <w:spacing w:val="29"/>
        </w:rPr>
        <w:t xml:space="preserve"> </w:t>
      </w:r>
      <w:r>
        <w:rPr>
          <w:spacing w:val="-1"/>
        </w:rPr>
        <w:t>rights</w:t>
      </w:r>
      <w:r>
        <w:rPr>
          <w:spacing w:val="28"/>
        </w:rPr>
        <w:t xml:space="preserve"> </w:t>
      </w:r>
      <w:r>
        <w:rPr>
          <w:spacing w:val="-1"/>
        </w:rPr>
        <w:t>and</w:t>
      </w:r>
      <w:r>
        <w:rPr>
          <w:spacing w:val="28"/>
        </w:rPr>
        <w:t xml:space="preserve"> </w:t>
      </w:r>
      <w:r>
        <w:rPr>
          <w:spacing w:val="-1"/>
        </w:rPr>
        <w:t>remedies</w:t>
      </w:r>
      <w:r>
        <w:rPr>
          <w:spacing w:val="28"/>
        </w:rPr>
        <w:t xml:space="preserve"> </w:t>
      </w:r>
      <w:r>
        <w:rPr>
          <w:spacing w:val="-2"/>
        </w:rPr>
        <w:t>of</w:t>
      </w:r>
      <w:r>
        <w:rPr>
          <w:spacing w:val="32"/>
        </w:rPr>
        <w:t xml:space="preserve"> </w:t>
      </w:r>
      <w:r>
        <w:rPr>
          <w:spacing w:val="-2"/>
        </w:rPr>
        <w:t>the</w:t>
      </w:r>
      <w:r>
        <w:rPr>
          <w:spacing w:val="42"/>
        </w:rPr>
        <w:t xml:space="preserve"> </w:t>
      </w:r>
      <w:r>
        <w:rPr>
          <w:spacing w:val="-1"/>
        </w:rPr>
        <w:t>Customer</w:t>
      </w:r>
      <w:r>
        <w:rPr>
          <w:spacing w:val="30"/>
        </w:rPr>
        <w:t xml:space="preserve"> </w:t>
      </w:r>
      <w:r>
        <w:rPr>
          <w:spacing w:val="-2"/>
        </w:rPr>
        <w:t>howsoever</w:t>
      </w:r>
      <w:r>
        <w:rPr>
          <w:spacing w:val="30"/>
        </w:rPr>
        <w:t xml:space="preserve"> </w:t>
      </w:r>
      <w:r>
        <w:rPr>
          <w:spacing w:val="-1"/>
        </w:rPr>
        <w:t>arising,</w:t>
      </w:r>
      <w:r>
        <w:rPr>
          <w:spacing w:val="29"/>
        </w:rPr>
        <w:t xml:space="preserve"> </w:t>
      </w:r>
      <w:r>
        <w:rPr>
          <w:spacing w:val="-1"/>
        </w:rPr>
        <w:t>give</w:t>
      </w:r>
      <w:r>
        <w:rPr>
          <w:spacing w:val="29"/>
        </w:rPr>
        <w:t xml:space="preserve"> </w:t>
      </w:r>
      <w:r>
        <w:rPr>
          <w:spacing w:val="-1"/>
        </w:rPr>
        <w:t>notice</w:t>
      </w:r>
      <w:r>
        <w:rPr>
          <w:spacing w:val="30"/>
        </w:rPr>
        <w:t xml:space="preserve"> </w:t>
      </w:r>
      <w:r>
        <w:rPr>
          <w:spacing w:val="-1"/>
        </w:rPr>
        <w:t>in</w:t>
      </w:r>
      <w:r>
        <w:rPr>
          <w:spacing w:val="31"/>
        </w:rPr>
        <w:t xml:space="preserve"> </w:t>
      </w:r>
      <w:r>
        <w:rPr>
          <w:spacing w:val="-1"/>
        </w:rPr>
        <w:t>writing</w:t>
      </w:r>
      <w:r>
        <w:rPr>
          <w:spacing w:val="31"/>
        </w:rPr>
        <w:t xml:space="preserve"> </w:t>
      </w:r>
      <w:r>
        <w:t>to</w:t>
      </w:r>
      <w:r>
        <w:rPr>
          <w:spacing w:val="27"/>
        </w:rPr>
        <w:t xml:space="preserve"> </w:t>
      </w:r>
      <w:r>
        <w:t>the</w:t>
      </w:r>
      <w:r>
        <w:rPr>
          <w:spacing w:val="29"/>
        </w:rPr>
        <w:t xml:space="preserve"> </w:t>
      </w:r>
      <w:r>
        <w:rPr>
          <w:spacing w:val="-2"/>
        </w:rPr>
        <w:t>Supplier</w:t>
      </w:r>
      <w:r>
        <w:rPr>
          <w:spacing w:val="30"/>
        </w:rPr>
        <w:t xml:space="preserve"> </w:t>
      </w:r>
      <w:r>
        <w:t>to</w:t>
      </w:r>
      <w:r>
        <w:rPr>
          <w:spacing w:val="57"/>
        </w:rPr>
        <w:t xml:space="preserve"> </w:t>
      </w:r>
      <w:r>
        <w:rPr>
          <w:spacing w:val="-1"/>
        </w:rPr>
        <w:t>remove</w:t>
      </w:r>
      <w:r>
        <w:rPr>
          <w:spacing w:val="18"/>
        </w:rPr>
        <w:t xml:space="preserve"> </w:t>
      </w:r>
      <w:r>
        <w:rPr>
          <w:spacing w:val="-1"/>
        </w:rPr>
        <w:t>them</w:t>
      </w:r>
      <w:r>
        <w:rPr>
          <w:spacing w:val="20"/>
        </w:rPr>
        <w:t xml:space="preserve"> </w:t>
      </w:r>
      <w:r>
        <w:rPr>
          <w:spacing w:val="-2"/>
        </w:rPr>
        <w:t>within</w:t>
      </w:r>
      <w:r>
        <w:rPr>
          <w:spacing w:val="18"/>
        </w:rPr>
        <w:t xml:space="preserve"> </w:t>
      </w:r>
      <w:r>
        <w:rPr>
          <w:spacing w:val="-1"/>
        </w:rPr>
        <w:t>five</w:t>
      </w:r>
      <w:r>
        <w:rPr>
          <w:spacing w:val="18"/>
        </w:rPr>
        <w:t xml:space="preserve"> </w:t>
      </w:r>
      <w:r>
        <w:rPr>
          <w:spacing w:val="-1"/>
        </w:rPr>
        <w:t>(5)</w:t>
      </w:r>
      <w:r>
        <w:rPr>
          <w:spacing w:val="13"/>
        </w:rPr>
        <w:t xml:space="preserve"> </w:t>
      </w:r>
      <w:r>
        <w:rPr>
          <w:spacing w:val="-1"/>
        </w:rPr>
        <w:t>Working</w:t>
      </w:r>
      <w:r>
        <w:rPr>
          <w:spacing w:val="21"/>
        </w:rPr>
        <w:t xml:space="preserve"> </w:t>
      </w:r>
      <w:r>
        <w:rPr>
          <w:spacing w:val="-2"/>
        </w:rPr>
        <w:t>Days</w:t>
      </w:r>
      <w:r>
        <w:rPr>
          <w:spacing w:val="19"/>
        </w:rPr>
        <w:t xml:space="preserve"> </w:t>
      </w:r>
      <w:r>
        <w:rPr>
          <w:spacing w:val="-1"/>
        </w:rPr>
        <w:t>and</w:t>
      </w:r>
      <w:r>
        <w:rPr>
          <w:spacing w:val="18"/>
        </w:rPr>
        <w:t xml:space="preserve"> </w:t>
      </w:r>
      <w:r>
        <w:t>to</w:t>
      </w:r>
      <w:r>
        <w:rPr>
          <w:spacing w:val="18"/>
        </w:rPr>
        <w:t xml:space="preserve"> </w:t>
      </w:r>
      <w:r>
        <w:rPr>
          <w:spacing w:val="-1"/>
        </w:rPr>
        <w:t>refund</w:t>
      </w:r>
      <w:r>
        <w:rPr>
          <w:spacing w:val="18"/>
        </w:rPr>
        <w:t xml:space="preserve"> </w:t>
      </w:r>
      <w:r>
        <w:t>to</w:t>
      </w:r>
      <w:r>
        <w:rPr>
          <w:spacing w:val="16"/>
        </w:rPr>
        <w:t xml:space="preserve"> </w:t>
      </w:r>
      <w:r>
        <w:rPr>
          <w:spacing w:val="-1"/>
        </w:rPr>
        <w:t>the</w:t>
      </w:r>
      <w:r>
        <w:rPr>
          <w:spacing w:val="50"/>
        </w:rPr>
        <w:t xml:space="preserve"> </w:t>
      </w:r>
      <w:r>
        <w:rPr>
          <w:spacing w:val="-1"/>
        </w:rPr>
        <w:t>Customer</w:t>
      </w:r>
      <w:r>
        <w:rPr>
          <w:spacing w:val="16"/>
        </w:rPr>
        <w:t xml:space="preserve"> </w:t>
      </w:r>
      <w:r>
        <w:rPr>
          <w:spacing w:val="-1"/>
        </w:rPr>
        <w:t>any</w:t>
      </w:r>
      <w:r>
        <w:rPr>
          <w:spacing w:val="13"/>
        </w:rPr>
        <w:t xml:space="preserve"> </w:t>
      </w:r>
      <w:r>
        <w:rPr>
          <w:spacing w:val="-1"/>
        </w:rPr>
        <w:t>expenses</w:t>
      </w:r>
      <w:r>
        <w:rPr>
          <w:spacing w:val="18"/>
        </w:rPr>
        <w:t xml:space="preserve"> </w:t>
      </w:r>
      <w:r>
        <w:rPr>
          <w:spacing w:val="-1"/>
        </w:rPr>
        <w:t>incurred</w:t>
      </w:r>
      <w:r>
        <w:rPr>
          <w:spacing w:val="15"/>
        </w:rPr>
        <w:t xml:space="preserve"> </w:t>
      </w:r>
      <w:r>
        <w:rPr>
          <w:spacing w:val="-1"/>
        </w:rPr>
        <w:t>by</w:t>
      </w:r>
      <w:r>
        <w:rPr>
          <w:spacing w:val="13"/>
        </w:rPr>
        <w:t xml:space="preserve"> </w:t>
      </w:r>
      <w:r>
        <w:t>the</w:t>
      </w:r>
      <w:r>
        <w:rPr>
          <w:spacing w:val="15"/>
        </w:rPr>
        <w:t xml:space="preserve"> </w:t>
      </w:r>
      <w:r>
        <w:rPr>
          <w:spacing w:val="-2"/>
        </w:rPr>
        <w:t>Customer</w:t>
      </w:r>
      <w:r>
        <w:rPr>
          <w:spacing w:val="16"/>
        </w:rPr>
        <w:t xml:space="preserve"> </w:t>
      </w:r>
      <w:r>
        <w:rPr>
          <w:spacing w:val="-1"/>
        </w:rPr>
        <w:t>as</w:t>
      </w:r>
      <w:r>
        <w:rPr>
          <w:spacing w:val="15"/>
        </w:rPr>
        <w:t xml:space="preserve"> </w:t>
      </w:r>
      <w:r>
        <w:t>a</w:t>
      </w:r>
      <w:r>
        <w:rPr>
          <w:spacing w:val="15"/>
        </w:rPr>
        <w:t xml:space="preserve"> </w:t>
      </w:r>
      <w:r>
        <w:rPr>
          <w:spacing w:val="-1"/>
        </w:rPr>
        <w:t>result</w:t>
      </w:r>
      <w:r>
        <w:rPr>
          <w:spacing w:val="16"/>
        </w:rPr>
        <w:t xml:space="preserve"> </w:t>
      </w:r>
      <w:r>
        <w:rPr>
          <w:spacing w:val="-2"/>
        </w:rPr>
        <w:t>of</w:t>
      </w:r>
      <w:r>
        <w:rPr>
          <w:spacing w:val="16"/>
        </w:rPr>
        <w:t xml:space="preserve"> </w:t>
      </w:r>
      <w:r>
        <w:rPr>
          <w:spacing w:val="-1"/>
        </w:rPr>
        <w:t>such</w:t>
      </w:r>
      <w:r>
        <w:rPr>
          <w:spacing w:val="36"/>
        </w:rPr>
        <w:t xml:space="preserve"> </w:t>
      </w:r>
      <w:r>
        <w:rPr>
          <w:spacing w:val="-2"/>
        </w:rPr>
        <w:t>Over-Delivered</w:t>
      </w:r>
      <w:r>
        <w:rPr>
          <w:spacing w:val="10"/>
        </w:rPr>
        <w:t xml:space="preserve"> </w:t>
      </w:r>
      <w:r>
        <w:rPr>
          <w:spacing w:val="-1"/>
        </w:rPr>
        <w:t>Goods</w:t>
      </w:r>
      <w:r>
        <w:rPr>
          <w:spacing w:val="9"/>
        </w:rPr>
        <w:t xml:space="preserve"> </w:t>
      </w:r>
      <w:r>
        <w:rPr>
          <w:spacing w:val="-1"/>
        </w:rPr>
        <w:t>(including</w:t>
      </w:r>
      <w:r>
        <w:rPr>
          <w:spacing w:val="12"/>
        </w:rPr>
        <w:t xml:space="preserve"> </w:t>
      </w:r>
      <w:r>
        <w:rPr>
          <w:spacing w:val="-1"/>
        </w:rPr>
        <w:t>but</w:t>
      </w:r>
      <w:r>
        <w:rPr>
          <w:spacing w:val="9"/>
        </w:rPr>
        <w:t xml:space="preserve"> </w:t>
      </w:r>
      <w:r>
        <w:rPr>
          <w:spacing w:val="-1"/>
        </w:rPr>
        <w:t>not</w:t>
      </w:r>
      <w:r>
        <w:rPr>
          <w:spacing w:val="9"/>
        </w:rPr>
        <w:t xml:space="preserve"> </w:t>
      </w:r>
      <w:r>
        <w:rPr>
          <w:spacing w:val="-1"/>
        </w:rPr>
        <w:t>limited</w:t>
      </w:r>
      <w:r>
        <w:rPr>
          <w:spacing w:val="7"/>
        </w:rPr>
        <w:t xml:space="preserve"> </w:t>
      </w:r>
      <w:r>
        <w:rPr>
          <w:spacing w:val="-1"/>
        </w:rPr>
        <w:t>to</w:t>
      </w:r>
      <w:r>
        <w:rPr>
          <w:spacing w:val="10"/>
        </w:rPr>
        <w:t xml:space="preserve"> </w:t>
      </w:r>
      <w:r>
        <w:t>the</w:t>
      </w:r>
      <w:r>
        <w:rPr>
          <w:spacing w:val="10"/>
        </w:rPr>
        <w:t xml:space="preserve"> </w:t>
      </w:r>
      <w:r>
        <w:rPr>
          <w:spacing w:val="-1"/>
        </w:rPr>
        <w:t>costs</w:t>
      </w:r>
      <w:r>
        <w:rPr>
          <w:spacing w:val="8"/>
        </w:rPr>
        <w:t xml:space="preserve"> </w:t>
      </w:r>
      <w:r>
        <w:rPr>
          <w:spacing w:val="-2"/>
        </w:rPr>
        <w:t>of</w:t>
      </w:r>
      <w:r>
        <w:rPr>
          <w:spacing w:val="11"/>
        </w:rPr>
        <w:t xml:space="preserve"> </w:t>
      </w:r>
      <w:r>
        <w:rPr>
          <w:spacing w:val="-2"/>
        </w:rPr>
        <w:t>moving</w:t>
      </w:r>
      <w:r>
        <w:rPr>
          <w:spacing w:val="52"/>
        </w:rPr>
        <w:t xml:space="preserve"> </w:t>
      </w:r>
      <w:r>
        <w:rPr>
          <w:spacing w:val="-1"/>
        </w:rPr>
        <w:t>and</w:t>
      </w:r>
      <w:r>
        <w:t xml:space="preserve"> </w:t>
      </w:r>
      <w:r>
        <w:rPr>
          <w:spacing w:val="-1"/>
        </w:rPr>
        <w:t>storing</w:t>
      </w:r>
      <w:r>
        <w:t xml:space="preserve"> </w:t>
      </w:r>
      <w:r>
        <w:rPr>
          <w:spacing w:val="-1"/>
        </w:rPr>
        <w:t>the</w:t>
      </w:r>
      <w:r>
        <w:rPr>
          <w:spacing w:val="-2"/>
        </w:rPr>
        <w:t xml:space="preserve"> Over-Delivered</w:t>
      </w:r>
      <w:r>
        <w:t xml:space="preserve"> </w:t>
      </w:r>
      <w:r>
        <w:rPr>
          <w:spacing w:val="-1"/>
        </w:rPr>
        <w:t>Goods).</w:t>
      </w:r>
    </w:p>
    <w:p w:rsidR="008918FA" w:rsidRDefault="008918FA" w:rsidP="008918FA">
      <w:pPr>
        <w:pStyle w:val="BodyText"/>
        <w:numPr>
          <w:ilvl w:val="2"/>
          <w:numId w:val="65"/>
        </w:numPr>
        <w:tabs>
          <w:tab w:val="left" w:pos="1887"/>
        </w:tabs>
        <w:ind w:left="1886" w:right="111"/>
        <w:jc w:val="both"/>
      </w:pPr>
      <w:r>
        <w:rPr>
          <w:spacing w:val="-1"/>
        </w:rPr>
        <w:t>If</w:t>
      </w:r>
      <w:r>
        <w:rPr>
          <w:spacing w:val="11"/>
        </w:rPr>
        <w:t xml:space="preserve"> </w:t>
      </w:r>
      <w:r>
        <w:t>the</w:t>
      </w:r>
      <w:r>
        <w:rPr>
          <w:spacing w:val="7"/>
        </w:rPr>
        <w:t xml:space="preserve"> </w:t>
      </w:r>
      <w:r>
        <w:rPr>
          <w:spacing w:val="-2"/>
        </w:rPr>
        <w:t>Supplier</w:t>
      </w:r>
      <w:r>
        <w:rPr>
          <w:spacing w:val="7"/>
        </w:rPr>
        <w:t xml:space="preserve"> </w:t>
      </w:r>
      <w:r>
        <w:rPr>
          <w:spacing w:val="-1"/>
        </w:rPr>
        <w:t>fails</w:t>
      </w:r>
      <w:r>
        <w:rPr>
          <w:spacing w:val="8"/>
        </w:rPr>
        <w:t xml:space="preserve"> </w:t>
      </w:r>
      <w:r>
        <w:t>to</w:t>
      </w:r>
      <w:r>
        <w:rPr>
          <w:spacing w:val="7"/>
        </w:rPr>
        <w:t xml:space="preserve"> </w:t>
      </w:r>
      <w:r>
        <w:rPr>
          <w:spacing w:val="-2"/>
        </w:rPr>
        <w:t>comply</w:t>
      </w:r>
      <w:r>
        <w:rPr>
          <w:spacing w:val="8"/>
        </w:rPr>
        <w:t xml:space="preserve"> </w:t>
      </w:r>
      <w:r>
        <w:rPr>
          <w:spacing w:val="-2"/>
        </w:rPr>
        <w:t>with</w:t>
      </w:r>
      <w:r>
        <w:rPr>
          <w:spacing w:val="7"/>
        </w:rPr>
        <w:t xml:space="preserve"> </w:t>
      </w:r>
      <w:r>
        <w:t>the</w:t>
      </w:r>
      <w:r>
        <w:rPr>
          <w:spacing w:val="7"/>
        </w:rPr>
        <w:t xml:space="preserve"> </w:t>
      </w:r>
      <w:r>
        <w:rPr>
          <w:spacing w:val="-1"/>
        </w:rPr>
        <w:t>Customer’s</w:t>
      </w:r>
      <w:r>
        <w:rPr>
          <w:spacing w:val="8"/>
        </w:rPr>
        <w:t xml:space="preserve"> </w:t>
      </w:r>
      <w:r>
        <w:rPr>
          <w:spacing w:val="-1"/>
        </w:rPr>
        <w:t>notice</w:t>
      </w:r>
      <w:r>
        <w:rPr>
          <w:spacing w:val="8"/>
        </w:rPr>
        <w:t xml:space="preserve"> </w:t>
      </w:r>
      <w:r>
        <w:rPr>
          <w:spacing w:val="-1"/>
        </w:rPr>
        <w:t>under</w:t>
      </w:r>
      <w:r>
        <w:rPr>
          <w:spacing w:val="9"/>
        </w:rPr>
        <w:t xml:space="preserve"> </w:t>
      </w:r>
      <w:r>
        <w:rPr>
          <w:spacing w:val="-2"/>
        </w:rPr>
        <w:t>Clause</w:t>
      </w:r>
      <w:hyperlink w:anchor="_bookmark85" w:history="1">
        <w:r>
          <w:rPr>
            <w:spacing w:val="54"/>
          </w:rPr>
          <w:t xml:space="preserve"> </w:t>
        </w:r>
        <w:r>
          <w:rPr>
            <w:spacing w:val="-1"/>
          </w:rPr>
          <w:t>9.4.2</w:t>
        </w:r>
      </w:hyperlink>
      <w:r>
        <w:rPr>
          <w:spacing w:val="-1"/>
        </w:rPr>
        <w:t>,</w:t>
      </w:r>
      <w:r>
        <w:rPr>
          <w:spacing w:val="28"/>
        </w:rPr>
        <w:t xml:space="preserve"> </w:t>
      </w:r>
      <w:r>
        <w:t>the</w:t>
      </w:r>
      <w:r>
        <w:rPr>
          <w:spacing w:val="27"/>
        </w:rPr>
        <w:t xml:space="preserve"> </w:t>
      </w:r>
      <w:r>
        <w:rPr>
          <w:spacing w:val="-2"/>
        </w:rPr>
        <w:t>Customer</w:t>
      </w:r>
      <w:r>
        <w:rPr>
          <w:spacing w:val="26"/>
        </w:rPr>
        <w:t xml:space="preserve"> </w:t>
      </w:r>
      <w:r>
        <w:rPr>
          <w:spacing w:val="-1"/>
        </w:rPr>
        <w:t>may</w:t>
      </w:r>
      <w:r>
        <w:rPr>
          <w:spacing w:val="25"/>
        </w:rPr>
        <w:t xml:space="preserve"> </w:t>
      </w:r>
      <w:r>
        <w:rPr>
          <w:spacing w:val="-1"/>
        </w:rPr>
        <w:t>dispose</w:t>
      </w:r>
      <w:r>
        <w:rPr>
          <w:spacing w:val="27"/>
        </w:rPr>
        <w:t xml:space="preserve"> </w:t>
      </w:r>
      <w:r>
        <w:rPr>
          <w:spacing w:val="-1"/>
        </w:rPr>
        <w:t>of</w:t>
      </w:r>
      <w:r>
        <w:rPr>
          <w:spacing w:val="30"/>
        </w:rPr>
        <w:t xml:space="preserve"> </w:t>
      </w:r>
      <w:r>
        <w:rPr>
          <w:spacing w:val="-1"/>
        </w:rPr>
        <w:t>such</w:t>
      </w:r>
      <w:r>
        <w:rPr>
          <w:spacing w:val="25"/>
        </w:rPr>
        <w:t xml:space="preserve"> </w:t>
      </w:r>
      <w:r>
        <w:rPr>
          <w:spacing w:val="-1"/>
        </w:rPr>
        <w:t>Over-Delivered</w:t>
      </w:r>
      <w:r>
        <w:rPr>
          <w:spacing w:val="27"/>
        </w:rPr>
        <w:t xml:space="preserve"> </w:t>
      </w:r>
      <w:r>
        <w:rPr>
          <w:spacing w:val="-1"/>
        </w:rPr>
        <w:t>Goods</w:t>
      </w:r>
      <w:r>
        <w:rPr>
          <w:spacing w:val="28"/>
        </w:rPr>
        <w:t xml:space="preserve"> </w:t>
      </w:r>
      <w:r>
        <w:rPr>
          <w:spacing w:val="-1"/>
        </w:rPr>
        <w:t>and</w:t>
      </w:r>
      <w:r>
        <w:rPr>
          <w:spacing w:val="36"/>
        </w:rPr>
        <w:t xml:space="preserve"> </w:t>
      </w:r>
      <w:r>
        <w:rPr>
          <w:spacing w:val="-1"/>
        </w:rPr>
        <w:t>charge</w:t>
      </w:r>
      <w:r>
        <w:rPr>
          <w:spacing w:val="46"/>
        </w:rPr>
        <w:t xml:space="preserve"> </w:t>
      </w:r>
      <w:r>
        <w:t>the</w:t>
      </w:r>
      <w:r>
        <w:rPr>
          <w:spacing w:val="46"/>
        </w:rPr>
        <w:t xml:space="preserve"> </w:t>
      </w:r>
      <w:r>
        <w:rPr>
          <w:spacing w:val="-2"/>
        </w:rPr>
        <w:t>Supplier</w:t>
      </w:r>
      <w:r>
        <w:rPr>
          <w:spacing w:val="46"/>
        </w:rPr>
        <w:t xml:space="preserve"> </w:t>
      </w:r>
      <w:r>
        <w:t>for</w:t>
      </w:r>
      <w:r>
        <w:rPr>
          <w:spacing w:val="45"/>
        </w:rPr>
        <w:t xml:space="preserve"> </w:t>
      </w:r>
      <w:r>
        <w:t>the</w:t>
      </w:r>
      <w:r>
        <w:rPr>
          <w:spacing w:val="46"/>
        </w:rPr>
        <w:t xml:space="preserve"> </w:t>
      </w:r>
      <w:r>
        <w:rPr>
          <w:spacing w:val="-1"/>
        </w:rPr>
        <w:t>costs</w:t>
      </w:r>
      <w:r>
        <w:rPr>
          <w:spacing w:val="46"/>
        </w:rPr>
        <w:t xml:space="preserve"> </w:t>
      </w:r>
      <w:r>
        <w:rPr>
          <w:spacing w:val="-2"/>
        </w:rPr>
        <w:t>of</w:t>
      </w:r>
      <w:r>
        <w:rPr>
          <w:spacing w:val="48"/>
        </w:rPr>
        <w:t xml:space="preserve"> </w:t>
      </w:r>
      <w:r>
        <w:rPr>
          <w:spacing w:val="-1"/>
        </w:rPr>
        <w:t>such</w:t>
      </w:r>
      <w:r>
        <w:rPr>
          <w:spacing w:val="46"/>
        </w:rPr>
        <w:t xml:space="preserve"> </w:t>
      </w:r>
      <w:r>
        <w:rPr>
          <w:spacing w:val="-2"/>
        </w:rPr>
        <w:t>disposal.</w:t>
      </w:r>
      <w:r>
        <w:rPr>
          <w:spacing w:val="48"/>
        </w:rPr>
        <w:t xml:space="preserve"> </w:t>
      </w:r>
      <w:r>
        <w:t>The</w:t>
      </w:r>
      <w:r>
        <w:rPr>
          <w:spacing w:val="43"/>
        </w:rPr>
        <w:t xml:space="preserve"> </w:t>
      </w:r>
      <w:r>
        <w:rPr>
          <w:spacing w:val="-2"/>
        </w:rPr>
        <w:t>risk</w:t>
      </w:r>
      <w:r>
        <w:rPr>
          <w:spacing w:val="49"/>
        </w:rPr>
        <w:t xml:space="preserve"> </w:t>
      </w:r>
      <w:r>
        <w:rPr>
          <w:spacing w:val="-1"/>
        </w:rPr>
        <w:t>in</w:t>
      </w:r>
      <w:r>
        <w:rPr>
          <w:spacing w:val="46"/>
        </w:rPr>
        <w:t xml:space="preserve"> </w:t>
      </w:r>
      <w:r>
        <w:rPr>
          <w:spacing w:val="-1"/>
        </w:rPr>
        <w:t>any</w:t>
      </w:r>
      <w:r>
        <w:rPr>
          <w:spacing w:val="58"/>
        </w:rPr>
        <w:t xml:space="preserve"> </w:t>
      </w:r>
      <w:r>
        <w:rPr>
          <w:spacing w:val="-2"/>
        </w:rPr>
        <w:t>Over-Delivered</w:t>
      </w:r>
      <w:r>
        <w:t xml:space="preserve"> </w:t>
      </w:r>
      <w:r>
        <w:rPr>
          <w:spacing w:val="-1"/>
        </w:rPr>
        <w:t>Goods</w:t>
      </w:r>
      <w:r>
        <w:rPr>
          <w:spacing w:val="-2"/>
        </w:rPr>
        <w:t xml:space="preserve"> shall</w:t>
      </w:r>
      <w:r>
        <w:t xml:space="preserve"> </w:t>
      </w:r>
      <w:r>
        <w:rPr>
          <w:spacing w:val="-1"/>
        </w:rPr>
        <w:t>remain</w:t>
      </w:r>
      <w:r>
        <w:t xml:space="preserve"> </w:t>
      </w:r>
      <w:r>
        <w:rPr>
          <w:spacing w:val="-2"/>
        </w:rPr>
        <w:t>with</w:t>
      </w:r>
      <w:r>
        <w:t xml:space="preserve"> the</w:t>
      </w:r>
      <w:r>
        <w:rPr>
          <w:spacing w:val="-2"/>
        </w:rPr>
        <w:t xml:space="preserve"> Supplier.</w:t>
      </w:r>
    </w:p>
    <w:p w:rsidR="008918FA" w:rsidRDefault="008918FA" w:rsidP="008918FA">
      <w:pPr>
        <w:pStyle w:val="Heading1"/>
        <w:numPr>
          <w:ilvl w:val="1"/>
          <w:numId w:val="65"/>
        </w:numPr>
        <w:tabs>
          <w:tab w:val="left" w:pos="689"/>
        </w:tabs>
        <w:spacing w:before="119"/>
        <w:ind w:left="688"/>
        <w:jc w:val="left"/>
        <w:rPr>
          <w:b w:val="0"/>
          <w:bCs w:val="0"/>
        </w:rPr>
      </w:pPr>
      <w:r>
        <w:rPr>
          <w:spacing w:val="-1"/>
        </w:rPr>
        <w:t>Delivery</w:t>
      </w:r>
      <w:r>
        <w:rPr>
          <w:spacing w:val="-4"/>
        </w:rPr>
        <w:t xml:space="preserve"> </w:t>
      </w:r>
      <w:r>
        <w:rPr>
          <w:spacing w:val="-1"/>
        </w:rPr>
        <w:t>of</w:t>
      </w:r>
      <w:r>
        <w:rPr>
          <w:spacing w:val="2"/>
        </w:rPr>
        <w:t xml:space="preserve"> </w:t>
      </w:r>
      <w:r>
        <w:rPr>
          <w:spacing w:val="-1"/>
        </w:rPr>
        <w:t>the</w:t>
      </w:r>
      <w:r>
        <w:rPr>
          <w:spacing w:val="-2"/>
        </w:rPr>
        <w:t xml:space="preserve"> </w:t>
      </w:r>
      <w:r>
        <w:rPr>
          <w:spacing w:val="-1"/>
        </w:rPr>
        <w:t>Goods</w:t>
      </w:r>
      <w:r>
        <w:rPr>
          <w:spacing w:val="-2"/>
        </w:rPr>
        <w:t xml:space="preserve"> </w:t>
      </w:r>
      <w:r>
        <w:t>by</w:t>
      </w:r>
      <w:r>
        <w:rPr>
          <w:spacing w:val="-4"/>
        </w:rPr>
        <w:t xml:space="preserve"> </w:t>
      </w:r>
      <w:r>
        <w:rPr>
          <w:spacing w:val="-1"/>
        </w:rPr>
        <w:t>Instalments</w:t>
      </w:r>
    </w:p>
    <w:p w:rsidR="008918FA" w:rsidRDefault="008918FA" w:rsidP="008918FA">
      <w:pPr>
        <w:pStyle w:val="BodyText"/>
        <w:numPr>
          <w:ilvl w:val="2"/>
          <w:numId w:val="65"/>
        </w:numPr>
        <w:tabs>
          <w:tab w:val="left" w:pos="1887"/>
        </w:tabs>
        <w:spacing w:before="121"/>
        <w:ind w:left="1886" w:right="112"/>
        <w:jc w:val="both"/>
      </w:pPr>
      <w:bookmarkStart w:id="90" w:name="_bookmark86"/>
      <w:bookmarkEnd w:id="90"/>
      <w:r>
        <w:rPr>
          <w:spacing w:val="-2"/>
        </w:rPr>
        <w:t>Unless</w:t>
      </w:r>
      <w:r>
        <w:rPr>
          <w:spacing w:val="42"/>
        </w:rPr>
        <w:t xml:space="preserve"> </w:t>
      </w:r>
      <w:r>
        <w:rPr>
          <w:spacing w:val="-1"/>
        </w:rPr>
        <w:t>expressly</w:t>
      </w:r>
      <w:r>
        <w:rPr>
          <w:spacing w:val="39"/>
        </w:rPr>
        <w:t xml:space="preserve"> </w:t>
      </w:r>
      <w:r>
        <w:rPr>
          <w:spacing w:val="-1"/>
        </w:rPr>
        <w:t>agreed</w:t>
      </w:r>
      <w:r>
        <w:rPr>
          <w:spacing w:val="41"/>
        </w:rPr>
        <w:t xml:space="preserve"> </w:t>
      </w:r>
      <w:r>
        <w:t>to</w:t>
      </w:r>
      <w:r>
        <w:rPr>
          <w:spacing w:val="41"/>
        </w:rPr>
        <w:t xml:space="preserve"> </w:t>
      </w:r>
      <w:r>
        <w:t>the</w:t>
      </w:r>
      <w:r>
        <w:rPr>
          <w:spacing w:val="38"/>
        </w:rPr>
        <w:t xml:space="preserve"> </w:t>
      </w:r>
      <w:r>
        <w:rPr>
          <w:spacing w:val="-1"/>
        </w:rPr>
        <w:t>contrary,</w:t>
      </w:r>
      <w:r>
        <w:rPr>
          <w:spacing w:val="40"/>
        </w:rPr>
        <w:t xml:space="preserve"> </w:t>
      </w:r>
      <w:r>
        <w:t>the</w:t>
      </w:r>
      <w:r>
        <w:rPr>
          <w:spacing w:val="42"/>
        </w:rPr>
        <w:t xml:space="preserve"> </w:t>
      </w:r>
      <w:r>
        <w:rPr>
          <w:spacing w:val="-2"/>
        </w:rPr>
        <w:t>Customer</w:t>
      </w:r>
      <w:r>
        <w:rPr>
          <w:spacing w:val="42"/>
        </w:rPr>
        <w:t xml:space="preserve"> </w:t>
      </w:r>
      <w:r>
        <w:rPr>
          <w:spacing w:val="-1"/>
        </w:rPr>
        <w:t>shall</w:t>
      </w:r>
      <w:r>
        <w:rPr>
          <w:spacing w:val="42"/>
        </w:rPr>
        <w:t xml:space="preserve"> </w:t>
      </w:r>
      <w:r>
        <w:rPr>
          <w:spacing w:val="-1"/>
        </w:rPr>
        <w:t>not</w:t>
      </w:r>
      <w:r>
        <w:rPr>
          <w:spacing w:val="42"/>
        </w:rPr>
        <w:t xml:space="preserve"> </w:t>
      </w:r>
      <w:r>
        <w:rPr>
          <w:spacing w:val="-1"/>
        </w:rPr>
        <w:t>be</w:t>
      </w:r>
      <w:r>
        <w:rPr>
          <w:spacing w:val="42"/>
        </w:rPr>
        <w:t xml:space="preserve"> </w:t>
      </w:r>
      <w:r>
        <w:rPr>
          <w:spacing w:val="-1"/>
        </w:rPr>
        <w:t>obliged</w:t>
      </w:r>
      <w:r>
        <w:t xml:space="preserve"> to </w:t>
      </w:r>
      <w:r>
        <w:rPr>
          <w:spacing w:val="-1"/>
        </w:rPr>
        <w:t>accept</w:t>
      </w:r>
      <w:r>
        <w:rPr>
          <w:spacing w:val="2"/>
        </w:rPr>
        <w:t xml:space="preserve"> </w:t>
      </w:r>
      <w:r>
        <w:rPr>
          <w:spacing w:val="-1"/>
        </w:rPr>
        <w:t>delivery</w:t>
      </w:r>
      <w:r>
        <w:rPr>
          <w:spacing w:val="-2"/>
        </w:rPr>
        <w:t xml:space="preserve"> </w:t>
      </w:r>
      <w:r>
        <w:rPr>
          <w:spacing w:val="-1"/>
        </w:rPr>
        <w:t>of</w:t>
      </w:r>
      <w:r>
        <w:rPr>
          <w:spacing w:val="4"/>
        </w:rPr>
        <w:t xml:space="preserve"> </w:t>
      </w:r>
      <w:r>
        <w:t xml:space="preserve">the </w:t>
      </w:r>
      <w:r>
        <w:rPr>
          <w:spacing w:val="-1"/>
        </w:rPr>
        <w:t>Goods</w:t>
      </w:r>
      <w:r>
        <w:rPr>
          <w:spacing w:val="1"/>
        </w:rPr>
        <w:t xml:space="preserve"> </w:t>
      </w:r>
      <w:r>
        <w:rPr>
          <w:spacing w:val="-1"/>
        </w:rPr>
        <w:t>by</w:t>
      </w:r>
      <w:r>
        <w:rPr>
          <w:spacing w:val="-2"/>
        </w:rPr>
        <w:t xml:space="preserve"> </w:t>
      </w:r>
      <w:r>
        <w:rPr>
          <w:spacing w:val="-1"/>
        </w:rPr>
        <w:t>instalments.</w:t>
      </w:r>
      <w:r>
        <w:rPr>
          <w:spacing w:val="2"/>
        </w:rPr>
        <w:t xml:space="preserve"> </w:t>
      </w:r>
      <w:r>
        <w:rPr>
          <w:spacing w:val="-1"/>
        </w:rPr>
        <w:t>If,</w:t>
      </w:r>
      <w:r>
        <w:rPr>
          <w:spacing w:val="2"/>
        </w:rPr>
        <w:t xml:space="preserve"> </w:t>
      </w:r>
      <w:r>
        <w:rPr>
          <w:spacing w:val="-2"/>
        </w:rPr>
        <w:t>however,</w:t>
      </w:r>
      <w:r>
        <w:rPr>
          <w:spacing w:val="2"/>
        </w:rPr>
        <w:t xml:space="preserve"> </w:t>
      </w:r>
      <w:r>
        <w:rPr>
          <w:spacing w:val="-1"/>
        </w:rPr>
        <w:t>the</w:t>
      </w:r>
      <w:r>
        <w:rPr>
          <w:spacing w:val="50"/>
        </w:rPr>
        <w:t xml:space="preserve"> </w:t>
      </w:r>
      <w:r>
        <w:rPr>
          <w:spacing w:val="-1"/>
        </w:rPr>
        <w:t>Customer</w:t>
      </w:r>
      <w:r>
        <w:rPr>
          <w:spacing w:val="16"/>
        </w:rPr>
        <w:t xml:space="preserve"> </w:t>
      </w:r>
      <w:r>
        <w:rPr>
          <w:spacing w:val="-1"/>
        </w:rPr>
        <w:t>does</w:t>
      </w:r>
      <w:r>
        <w:rPr>
          <w:spacing w:val="13"/>
        </w:rPr>
        <w:t xml:space="preserve"> </w:t>
      </w:r>
      <w:r>
        <w:rPr>
          <w:spacing w:val="-1"/>
        </w:rPr>
        <w:t>specify</w:t>
      </w:r>
      <w:r>
        <w:rPr>
          <w:spacing w:val="10"/>
        </w:rPr>
        <w:t xml:space="preserve"> </w:t>
      </w:r>
      <w:r>
        <w:rPr>
          <w:spacing w:val="-1"/>
        </w:rPr>
        <w:t>or</w:t>
      </w:r>
      <w:r>
        <w:rPr>
          <w:spacing w:val="16"/>
        </w:rPr>
        <w:t xml:space="preserve"> </w:t>
      </w:r>
      <w:r>
        <w:rPr>
          <w:spacing w:val="-1"/>
        </w:rPr>
        <w:t>agree</w:t>
      </w:r>
      <w:r>
        <w:rPr>
          <w:spacing w:val="12"/>
        </w:rPr>
        <w:t xml:space="preserve"> </w:t>
      </w:r>
      <w:r>
        <w:t>to</w:t>
      </w:r>
      <w:r>
        <w:rPr>
          <w:spacing w:val="12"/>
        </w:rPr>
        <w:t xml:space="preserve"> </w:t>
      </w:r>
      <w:r>
        <w:rPr>
          <w:spacing w:val="-2"/>
        </w:rPr>
        <w:t>delivery</w:t>
      </w:r>
      <w:r>
        <w:rPr>
          <w:spacing w:val="13"/>
        </w:rPr>
        <w:t xml:space="preserve"> </w:t>
      </w:r>
      <w:r>
        <w:rPr>
          <w:spacing w:val="1"/>
        </w:rPr>
        <w:t>by</w:t>
      </w:r>
      <w:r>
        <w:rPr>
          <w:spacing w:val="13"/>
        </w:rPr>
        <w:t xml:space="preserve"> </w:t>
      </w:r>
      <w:r>
        <w:rPr>
          <w:spacing w:val="-1"/>
        </w:rPr>
        <w:t>instalments,</w:t>
      </w:r>
      <w:r>
        <w:rPr>
          <w:spacing w:val="14"/>
        </w:rPr>
        <w:t xml:space="preserve"> </w:t>
      </w:r>
      <w:r>
        <w:rPr>
          <w:spacing w:val="-2"/>
        </w:rPr>
        <w:t>delivery</w:t>
      </w:r>
      <w:r>
        <w:rPr>
          <w:spacing w:val="13"/>
        </w:rPr>
        <w:t xml:space="preserve"> </w:t>
      </w:r>
      <w:r>
        <w:rPr>
          <w:spacing w:val="-1"/>
        </w:rPr>
        <w:t>of</w:t>
      </w:r>
      <w:r>
        <w:rPr>
          <w:spacing w:val="54"/>
        </w:rPr>
        <w:t xml:space="preserve"> </w:t>
      </w:r>
      <w:r>
        <w:rPr>
          <w:spacing w:val="-1"/>
        </w:rPr>
        <w:t>any</w:t>
      </w:r>
      <w:r>
        <w:rPr>
          <w:spacing w:val="22"/>
        </w:rPr>
        <w:t xml:space="preserve"> </w:t>
      </w:r>
      <w:r>
        <w:rPr>
          <w:spacing w:val="-1"/>
        </w:rPr>
        <w:t>instalment</w:t>
      </w:r>
      <w:r>
        <w:rPr>
          <w:spacing w:val="26"/>
        </w:rPr>
        <w:t xml:space="preserve"> </w:t>
      </w:r>
      <w:r>
        <w:rPr>
          <w:spacing w:val="-1"/>
        </w:rPr>
        <w:t>later</w:t>
      </w:r>
      <w:r>
        <w:rPr>
          <w:spacing w:val="26"/>
        </w:rPr>
        <w:t xml:space="preserve"> </w:t>
      </w:r>
      <w:r>
        <w:rPr>
          <w:spacing w:val="-1"/>
        </w:rPr>
        <w:t>than</w:t>
      </w:r>
      <w:r>
        <w:rPr>
          <w:spacing w:val="24"/>
        </w:rPr>
        <w:t xml:space="preserve"> </w:t>
      </w:r>
      <w:r>
        <w:t>the</w:t>
      </w:r>
      <w:r>
        <w:rPr>
          <w:spacing w:val="24"/>
        </w:rPr>
        <w:t xml:space="preserve"> </w:t>
      </w:r>
      <w:r>
        <w:rPr>
          <w:spacing w:val="-1"/>
        </w:rPr>
        <w:t>date</w:t>
      </w:r>
      <w:r>
        <w:rPr>
          <w:spacing w:val="24"/>
        </w:rPr>
        <w:t xml:space="preserve"> </w:t>
      </w:r>
      <w:r>
        <w:rPr>
          <w:spacing w:val="-1"/>
        </w:rPr>
        <w:t>specified</w:t>
      </w:r>
      <w:r>
        <w:rPr>
          <w:spacing w:val="24"/>
        </w:rPr>
        <w:t xml:space="preserve"> </w:t>
      </w:r>
      <w:r>
        <w:rPr>
          <w:spacing w:val="-1"/>
        </w:rPr>
        <w:t>or</w:t>
      </w:r>
      <w:r>
        <w:rPr>
          <w:spacing w:val="23"/>
        </w:rPr>
        <w:t xml:space="preserve"> </w:t>
      </w:r>
      <w:r>
        <w:rPr>
          <w:spacing w:val="-1"/>
        </w:rPr>
        <w:t>agreed</w:t>
      </w:r>
      <w:r>
        <w:rPr>
          <w:spacing w:val="22"/>
        </w:rPr>
        <w:t xml:space="preserve"> </w:t>
      </w:r>
      <w:r>
        <w:t>for</w:t>
      </w:r>
      <w:r>
        <w:rPr>
          <w:spacing w:val="26"/>
        </w:rPr>
        <w:t xml:space="preserve"> </w:t>
      </w:r>
      <w:r>
        <w:rPr>
          <w:spacing w:val="-2"/>
        </w:rPr>
        <w:t>its</w:t>
      </w:r>
      <w:r>
        <w:rPr>
          <w:spacing w:val="25"/>
        </w:rPr>
        <w:t xml:space="preserve"> </w:t>
      </w:r>
      <w:r>
        <w:rPr>
          <w:spacing w:val="-1"/>
        </w:rPr>
        <w:t>Delivery</w:t>
      </w:r>
      <w:r>
        <w:rPr>
          <w:spacing w:val="37"/>
        </w:rPr>
        <w:t xml:space="preserve"> </w:t>
      </w:r>
      <w:r>
        <w:rPr>
          <w:spacing w:val="-1"/>
        </w:rPr>
        <w:t>shall,</w:t>
      </w:r>
      <w:r>
        <w:rPr>
          <w:spacing w:val="4"/>
        </w:rPr>
        <w:t xml:space="preserve"> </w:t>
      </w:r>
      <w:r>
        <w:rPr>
          <w:spacing w:val="-2"/>
        </w:rPr>
        <w:t>without</w:t>
      </w:r>
      <w:r>
        <w:rPr>
          <w:spacing w:val="2"/>
        </w:rPr>
        <w:t xml:space="preserve"> </w:t>
      </w:r>
      <w:r>
        <w:rPr>
          <w:spacing w:val="-1"/>
        </w:rPr>
        <w:t>prejudice</w:t>
      </w:r>
      <w:r>
        <w:rPr>
          <w:spacing w:val="1"/>
        </w:rPr>
        <w:t xml:space="preserve"> </w:t>
      </w:r>
      <w:r>
        <w:rPr>
          <w:spacing w:val="-1"/>
        </w:rPr>
        <w:t>to</w:t>
      </w:r>
      <w:r>
        <w:t xml:space="preserve"> </w:t>
      </w:r>
      <w:r>
        <w:rPr>
          <w:spacing w:val="-1"/>
        </w:rPr>
        <w:t>any</w:t>
      </w:r>
      <w:r>
        <w:rPr>
          <w:spacing w:val="1"/>
        </w:rPr>
        <w:t xml:space="preserve"> </w:t>
      </w:r>
      <w:r>
        <w:rPr>
          <w:spacing w:val="-1"/>
        </w:rPr>
        <w:t>other</w:t>
      </w:r>
      <w:r>
        <w:rPr>
          <w:spacing w:val="2"/>
        </w:rPr>
        <w:t xml:space="preserve"> </w:t>
      </w:r>
      <w:r>
        <w:rPr>
          <w:spacing w:val="-1"/>
        </w:rPr>
        <w:t>rights</w:t>
      </w:r>
      <w:r>
        <w:rPr>
          <w:spacing w:val="1"/>
        </w:rPr>
        <w:t xml:space="preserve"> </w:t>
      </w:r>
      <w:r>
        <w:rPr>
          <w:spacing w:val="-1"/>
        </w:rPr>
        <w:t>or</w:t>
      </w:r>
      <w:r>
        <w:rPr>
          <w:spacing w:val="2"/>
        </w:rPr>
        <w:t xml:space="preserve"> </w:t>
      </w:r>
      <w:r>
        <w:rPr>
          <w:spacing w:val="-1"/>
        </w:rPr>
        <w:t>remedies</w:t>
      </w:r>
      <w:r>
        <w:rPr>
          <w:spacing w:val="1"/>
        </w:rPr>
        <w:t xml:space="preserve"> </w:t>
      </w:r>
      <w:r>
        <w:rPr>
          <w:spacing w:val="-1"/>
        </w:rPr>
        <w:t>of</w:t>
      </w:r>
      <w:r>
        <w:rPr>
          <w:spacing w:val="4"/>
        </w:rPr>
        <w:t xml:space="preserve"> </w:t>
      </w:r>
      <w:r>
        <w:t xml:space="preserve">the </w:t>
      </w:r>
      <w:r>
        <w:rPr>
          <w:spacing w:val="-1"/>
        </w:rPr>
        <w:t>Customer</w:t>
      </w:r>
      <w:r>
        <w:rPr>
          <w:spacing w:val="38"/>
        </w:rPr>
        <w:t xml:space="preserve"> </w:t>
      </w:r>
      <w:r>
        <w:rPr>
          <w:spacing w:val="-1"/>
        </w:rPr>
        <w:t>howsoever</w:t>
      </w:r>
      <w:r>
        <w:rPr>
          <w:spacing w:val="16"/>
        </w:rPr>
        <w:t xml:space="preserve"> </w:t>
      </w:r>
      <w:r>
        <w:rPr>
          <w:spacing w:val="-1"/>
        </w:rPr>
        <w:t>arising,</w:t>
      </w:r>
      <w:r>
        <w:rPr>
          <w:spacing w:val="16"/>
        </w:rPr>
        <w:t xml:space="preserve"> </w:t>
      </w:r>
      <w:r>
        <w:rPr>
          <w:spacing w:val="-1"/>
        </w:rPr>
        <w:t>entitle</w:t>
      </w:r>
      <w:r>
        <w:rPr>
          <w:spacing w:val="15"/>
        </w:rPr>
        <w:t xml:space="preserve"> </w:t>
      </w:r>
      <w:r>
        <w:t>the</w:t>
      </w:r>
      <w:r>
        <w:rPr>
          <w:spacing w:val="15"/>
        </w:rPr>
        <w:t xml:space="preserve"> </w:t>
      </w:r>
      <w:r>
        <w:rPr>
          <w:spacing w:val="-1"/>
        </w:rPr>
        <w:t>Customer</w:t>
      </w:r>
      <w:r>
        <w:rPr>
          <w:spacing w:val="16"/>
        </w:rPr>
        <w:t xml:space="preserve"> </w:t>
      </w:r>
      <w:r>
        <w:t>to</w:t>
      </w:r>
      <w:r>
        <w:rPr>
          <w:spacing w:val="12"/>
        </w:rPr>
        <w:t xml:space="preserve"> </w:t>
      </w:r>
      <w:r>
        <w:rPr>
          <w:spacing w:val="-1"/>
        </w:rPr>
        <w:t>terminate</w:t>
      </w:r>
      <w:r>
        <w:rPr>
          <w:spacing w:val="15"/>
        </w:rPr>
        <w:t xml:space="preserve"> </w:t>
      </w:r>
      <w:r>
        <w:t>the</w:t>
      </w:r>
      <w:r>
        <w:rPr>
          <w:spacing w:val="15"/>
        </w:rPr>
        <w:t xml:space="preserve"> </w:t>
      </w:r>
      <w:r>
        <w:rPr>
          <w:spacing w:val="-2"/>
        </w:rPr>
        <w:t>whole</w:t>
      </w:r>
      <w:r>
        <w:rPr>
          <w:spacing w:val="15"/>
        </w:rPr>
        <w:t xml:space="preserve"> </w:t>
      </w:r>
      <w:r>
        <w:rPr>
          <w:spacing w:val="-1"/>
        </w:rPr>
        <w:t>or</w:t>
      </w:r>
      <w:r>
        <w:rPr>
          <w:spacing w:val="16"/>
        </w:rPr>
        <w:t xml:space="preserve"> </w:t>
      </w:r>
      <w:r>
        <w:rPr>
          <w:spacing w:val="-1"/>
        </w:rPr>
        <w:t>any</w:t>
      </w:r>
      <w:r>
        <w:rPr>
          <w:spacing w:val="28"/>
        </w:rPr>
        <w:t xml:space="preserve"> </w:t>
      </w:r>
      <w:r>
        <w:rPr>
          <w:spacing w:val="-1"/>
        </w:rPr>
        <w:t>unfulfilled</w:t>
      </w:r>
      <w:r>
        <w:rPr>
          <w:spacing w:val="53"/>
        </w:rPr>
        <w:t xml:space="preserve"> </w:t>
      </w:r>
      <w:r>
        <w:rPr>
          <w:spacing w:val="-1"/>
        </w:rPr>
        <w:t>part</w:t>
      </w:r>
      <w:r>
        <w:rPr>
          <w:spacing w:val="55"/>
        </w:rPr>
        <w:t xml:space="preserve"> </w:t>
      </w:r>
      <w:r>
        <w:rPr>
          <w:spacing w:val="-2"/>
        </w:rPr>
        <w:t>of</w:t>
      </w:r>
      <w:r>
        <w:rPr>
          <w:spacing w:val="54"/>
        </w:rPr>
        <w:t xml:space="preserve"> </w:t>
      </w:r>
      <w:r>
        <w:rPr>
          <w:spacing w:val="-1"/>
        </w:rPr>
        <w:t>this</w:t>
      </w:r>
      <w:r>
        <w:rPr>
          <w:spacing w:val="53"/>
        </w:rPr>
        <w:t xml:space="preserve"> </w:t>
      </w:r>
      <w:r>
        <w:rPr>
          <w:spacing w:val="-2"/>
        </w:rPr>
        <w:t>Call</w:t>
      </w:r>
      <w:r>
        <w:rPr>
          <w:spacing w:val="52"/>
        </w:rPr>
        <w:t xml:space="preserve"> </w:t>
      </w:r>
      <w:r>
        <w:rPr>
          <w:spacing w:val="-1"/>
        </w:rPr>
        <w:t>Off</w:t>
      </w:r>
      <w:r>
        <w:rPr>
          <w:spacing w:val="57"/>
        </w:rPr>
        <w:t xml:space="preserve"> </w:t>
      </w:r>
      <w:r>
        <w:rPr>
          <w:spacing w:val="-2"/>
        </w:rPr>
        <w:t>Contract</w:t>
      </w:r>
      <w:r>
        <w:rPr>
          <w:spacing w:val="53"/>
        </w:rPr>
        <w:t xml:space="preserve"> </w:t>
      </w:r>
      <w:r>
        <w:t>for</w:t>
      </w:r>
      <w:r>
        <w:rPr>
          <w:spacing w:val="54"/>
        </w:rPr>
        <w:t xml:space="preserve"> </w:t>
      </w:r>
      <w:r>
        <w:rPr>
          <w:spacing w:val="-1"/>
        </w:rPr>
        <w:t>material</w:t>
      </w:r>
      <w:r>
        <w:rPr>
          <w:spacing w:val="52"/>
        </w:rPr>
        <w:t xml:space="preserve"> </w:t>
      </w:r>
      <w:r>
        <w:rPr>
          <w:spacing w:val="-1"/>
        </w:rPr>
        <w:t>Default</w:t>
      </w:r>
      <w:r>
        <w:rPr>
          <w:spacing w:val="55"/>
        </w:rPr>
        <w:t xml:space="preserve"> </w:t>
      </w:r>
      <w:r>
        <w:rPr>
          <w:spacing w:val="-2"/>
        </w:rPr>
        <w:t>without</w:t>
      </w:r>
      <w:r>
        <w:rPr>
          <w:spacing w:val="52"/>
        </w:rPr>
        <w:t xml:space="preserve"> </w:t>
      </w:r>
      <w:r>
        <w:rPr>
          <w:spacing w:val="-1"/>
        </w:rPr>
        <w:t xml:space="preserve">further liability </w:t>
      </w:r>
      <w:r>
        <w:t>to</w:t>
      </w:r>
      <w:r>
        <w:rPr>
          <w:spacing w:val="-2"/>
        </w:rPr>
        <w:t xml:space="preserve"> </w:t>
      </w:r>
      <w:r>
        <w:t xml:space="preserve">the </w:t>
      </w:r>
      <w:r>
        <w:rPr>
          <w:spacing w:val="-1"/>
        </w:rPr>
        <w:t>Customer.</w:t>
      </w:r>
    </w:p>
    <w:p w:rsidR="008918FA" w:rsidRDefault="008918FA" w:rsidP="008918FA">
      <w:pPr>
        <w:pStyle w:val="Heading1"/>
        <w:numPr>
          <w:ilvl w:val="1"/>
          <w:numId w:val="65"/>
        </w:numPr>
        <w:tabs>
          <w:tab w:val="left" w:pos="689"/>
        </w:tabs>
        <w:ind w:left="688"/>
        <w:jc w:val="left"/>
        <w:rPr>
          <w:b w:val="0"/>
          <w:bCs w:val="0"/>
        </w:rPr>
      </w:pPr>
      <w:r>
        <w:rPr>
          <w:spacing w:val="-1"/>
        </w:rPr>
        <w:t>Risk</w:t>
      </w:r>
      <w:r>
        <w:rPr>
          <w:spacing w:val="1"/>
        </w:rPr>
        <w:t xml:space="preserve"> </w:t>
      </w:r>
      <w:r>
        <w:rPr>
          <w:spacing w:val="-1"/>
        </w:rPr>
        <w:t>and</w:t>
      </w:r>
      <w:r>
        <w:rPr>
          <w:spacing w:val="-2"/>
        </w:rPr>
        <w:t xml:space="preserve"> </w:t>
      </w:r>
      <w:r>
        <w:rPr>
          <w:spacing w:val="-1"/>
        </w:rPr>
        <w:t>Ownership</w:t>
      </w:r>
      <w:r>
        <w:rPr>
          <w:spacing w:val="-2"/>
        </w:rPr>
        <w:t xml:space="preserve"> </w:t>
      </w:r>
      <w:r>
        <w:t>in</w:t>
      </w:r>
      <w:r>
        <w:rPr>
          <w:spacing w:val="-2"/>
        </w:rPr>
        <w:t xml:space="preserve"> </w:t>
      </w:r>
      <w:r>
        <w:rPr>
          <w:spacing w:val="-1"/>
        </w:rPr>
        <w:t>Relation</w:t>
      </w:r>
      <w:r>
        <w:rPr>
          <w:spacing w:val="-2"/>
        </w:rPr>
        <w:t xml:space="preserve"> </w:t>
      </w:r>
      <w:r>
        <w:t>to</w:t>
      </w:r>
      <w:r>
        <w:rPr>
          <w:spacing w:val="-2"/>
        </w:rPr>
        <w:t xml:space="preserve"> </w:t>
      </w:r>
      <w:r>
        <w:rPr>
          <w:spacing w:val="-1"/>
        </w:rPr>
        <w:t>the</w:t>
      </w:r>
      <w:r>
        <w:rPr>
          <w:spacing w:val="-5"/>
        </w:rPr>
        <w:t xml:space="preserve"> </w:t>
      </w:r>
      <w:r>
        <w:rPr>
          <w:spacing w:val="-1"/>
        </w:rPr>
        <w:t>Goods</w:t>
      </w:r>
    </w:p>
    <w:p w:rsidR="008918FA" w:rsidRDefault="008918FA" w:rsidP="008918FA">
      <w:pPr>
        <w:pStyle w:val="BodyText"/>
        <w:numPr>
          <w:ilvl w:val="2"/>
          <w:numId w:val="65"/>
        </w:numPr>
        <w:tabs>
          <w:tab w:val="left" w:pos="1886"/>
        </w:tabs>
        <w:spacing w:before="124"/>
        <w:ind w:left="1885" w:right="115" w:hanging="993"/>
        <w:jc w:val="both"/>
      </w:pPr>
      <w:r>
        <w:rPr>
          <w:spacing w:val="-1"/>
        </w:rPr>
        <w:t>Without</w:t>
      </w:r>
      <w:r>
        <w:rPr>
          <w:spacing w:val="55"/>
        </w:rPr>
        <w:t xml:space="preserve"> </w:t>
      </w:r>
      <w:r>
        <w:rPr>
          <w:spacing w:val="-1"/>
        </w:rPr>
        <w:t>prejudice</w:t>
      </w:r>
      <w:r>
        <w:rPr>
          <w:spacing w:val="53"/>
        </w:rPr>
        <w:t xml:space="preserve"> </w:t>
      </w:r>
      <w:r>
        <w:t>to</w:t>
      </w:r>
      <w:r>
        <w:rPr>
          <w:spacing w:val="53"/>
        </w:rPr>
        <w:t xml:space="preserve"> </w:t>
      </w:r>
      <w:r>
        <w:rPr>
          <w:spacing w:val="-1"/>
        </w:rPr>
        <w:t>any</w:t>
      </w:r>
      <w:r>
        <w:rPr>
          <w:spacing w:val="51"/>
        </w:rPr>
        <w:t xml:space="preserve"> </w:t>
      </w:r>
      <w:r>
        <w:rPr>
          <w:spacing w:val="-1"/>
        </w:rPr>
        <w:t>other</w:t>
      </w:r>
      <w:r>
        <w:rPr>
          <w:spacing w:val="54"/>
        </w:rPr>
        <w:t xml:space="preserve"> </w:t>
      </w:r>
      <w:r>
        <w:t>rights</w:t>
      </w:r>
      <w:r>
        <w:rPr>
          <w:spacing w:val="53"/>
        </w:rPr>
        <w:t xml:space="preserve"> </w:t>
      </w:r>
      <w:r>
        <w:rPr>
          <w:spacing w:val="-1"/>
        </w:rPr>
        <w:t>or</w:t>
      </w:r>
      <w:r>
        <w:rPr>
          <w:spacing w:val="55"/>
        </w:rPr>
        <w:t xml:space="preserve"> </w:t>
      </w:r>
      <w:r>
        <w:rPr>
          <w:spacing w:val="-2"/>
        </w:rPr>
        <w:t>remedies</w:t>
      </w:r>
      <w:r>
        <w:rPr>
          <w:spacing w:val="53"/>
        </w:rPr>
        <w:t xml:space="preserve"> </w:t>
      </w:r>
      <w:r>
        <w:rPr>
          <w:spacing w:val="-1"/>
        </w:rPr>
        <w:t>of</w:t>
      </w:r>
      <w:r>
        <w:rPr>
          <w:spacing w:val="57"/>
        </w:rPr>
        <w:t xml:space="preserve"> </w:t>
      </w:r>
      <w:r>
        <w:t>the</w:t>
      </w:r>
      <w:r>
        <w:rPr>
          <w:spacing w:val="53"/>
        </w:rPr>
        <w:t xml:space="preserve"> </w:t>
      </w:r>
      <w:r>
        <w:rPr>
          <w:spacing w:val="-1"/>
        </w:rPr>
        <w:t>Customer</w:t>
      </w:r>
      <w:r>
        <w:rPr>
          <w:spacing w:val="32"/>
        </w:rPr>
        <w:t xml:space="preserve"> </w:t>
      </w:r>
      <w:r>
        <w:rPr>
          <w:spacing w:val="-1"/>
        </w:rPr>
        <w:t>howsoever</w:t>
      </w:r>
      <w:r>
        <w:rPr>
          <w:spacing w:val="2"/>
        </w:rPr>
        <w:t xml:space="preserve"> </w:t>
      </w:r>
      <w:r>
        <w:rPr>
          <w:spacing w:val="-1"/>
        </w:rPr>
        <w:t>arising:</w:t>
      </w:r>
    </w:p>
    <w:p w:rsidR="008918FA" w:rsidRDefault="008918FA" w:rsidP="008918FA">
      <w:pPr>
        <w:pStyle w:val="BodyText"/>
        <w:numPr>
          <w:ilvl w:val="3"/>
          <w:numId w:val="65"/>
        </w:numPr>
        <w:tabs>
          <w:tab w:val="left" w:pos="2594"/>
        </w:tabs>
        <w:ind w:right="121"/>
        <w:jc w:val="both"/>
      </w:pPr>
      <w:r>
        <w:rPr>
          <w:spacing w:val="-1"/>
        </w:rPr>
        <w:t>risk</w:t>
      </w:r>
      <w:r>
        <w:rPr>
          <w:spacing w:val="49"/>
        </w:rPr>
        <w:t xml:space="preserve"> </w:t>
      </w:r>
      <w:r>
        <w:rPr>
          <w:spacing w:val="-1"/>
        </w:rPr>
        <w:t>in</w:t>
      </w:r>
      <w:r>
        <w:rPr>
          <w:spacing w:val="46"/>
        </w:rPr>
        <w:t xml:space="preserve"> </w:t>
      </w:r>
      <w:r>
        <w:t>the</w:t>
      </w:r>
      <w:r>
        <w:rPr>
          <w:spacing w:val="43"/>
        </w:rPr>
        <w:t xml:space="preserve"> </w:t>
      </w:r>
      <w:r>
        <w:rPr>
          <w:spacing w:val="-1"/>
        </w:rPr>
        <w:t>Goods</w:t>
      </w:r>
      <w:r>
        <w:rPr>
          <w:spacing w:val="46"/>
        </w:rPr>
        <w:t xml:space="preserve"> </w:t>
      </w:r>
      <w:r>
        <w:rPr>
          <w:spacing w:val="-1"/>
        </w:rPr>
        <w:t>shall</w:t>
      </w:r>
      <w:r>
        <w:rPr>
          <w:spacing w:val="43"/>
        </w:rPr>
        <w:t xml:space="preserve"> </w:t>
      </w:r>
      <w:r>
        <w:rPr>
          <w:spacing w:val="-1"/>
        </w:rPr>
        <w:t>pass</w:t>
      </w:r>
      <w:r>
        <w:rPr>
          <w:spacing w:val="47"/>
        </w:rPr>
        <w:t xml:space="preserve"> </w:t>
      </w:r>
      <w:r>
        <w:t>to</w:t>
      </w:r>
      <w:r>
        <w:rPr>
          <w:spacing w:val="47"/>
        </w:rPr>
        <w:t xml:space="preserve"> </w:t>
      </w:r>
      <w:r>
        <w:t>the</w:t>
      </w:r>
      <w:r>
        <w:rPr>
          <w:spacing w:val="46"/>
        </w:rPr>
        <w:t xml:space="preserve"> </w:t>
      </w:r>
      <w:r>
        <w:rPr>
          <w:spacing w:val="-2"/>
        </w:rPr>
        <w:t>Customer</w:t>
      </w:r>
      <w:r>
        <w:rPr>
          <w:spacing w:val="45"/>
        </w:rPr>
        <w:t xml:space="preserve"> </w:t>
      </w:r>
      <w:r>
        <w:rPr>
          <w:spacing w:val="-1"/>
        </w:rPr>
        <w:t>at</w:t>
      </w:r>
      <w:r>
        <w:rPr>
          <w:spacing w:val="47"/>
        </w:rPr>
        <w:t xml:space="preserve"> </w:t>
      </w:r>
      <w:r>
        <w:t>the</w:t>
      </w:r>
      <w:r>
        <w:rPr>
          <w:spacing w:val="46"/>
        </w:rPr>
        <w:t xml:space="preserve"> </w:t>
      </w:r>
      <w:r>
        <w:rPr>
          <w:spacing w:val="-1"/>
        </w:rPr>
        <w:t>time</w:t>
      </w:r>
      <w:r>
        <w:rPr>
          <w:spacing w:val="46"/>
        </w:rPr>
        <w:t xml:space="preserve"> </w:t>
      </w:r>
      <w:r>
        <w:rPr>
          <w:spacing w:val="-2"/>
        </w:rPr>
        <w:t>of</w:t>
      </w:r>
      <w:r>
        <w:rPr>
          <w:spacing w:val="35"/>
        </w:rPr>
        <w:t xml:space="preserve"> </w:t>
      </w:r>
      <w:r>
        <w:rPr>
          <w:spacing w:val="-2"/>
        </w:rPr>
        <w:t>Delivery;</w:t>
      </w:r>
      <w:r>
        <w:rPr>
          <w:spacing w:val="2"/>
        </w:rPr>
        <w:t xml:space="preserve"> </w:t>
      </w:r>
      <w:r>
        <w:rPr>
          <w:spacing w:val="-1"/>
        </w:rPr>
        <w:t>and</w:t>
      </w:r>
    </w:p>
    <w:p w:rsidR="008918FA" w:rsidRDefault="008918FA" w:rsidP="008918FA">
      <w:pPr>
        <w:pStyle w:val="BodyText"/>
        <w:numPr>
          <w:ilvl w:val="3"/>
          <w:numId w:val="65"/>
        </w:numPr>
        <w:tabs>
          <w:tab w:val="left" w:pos="2594"/>
        </w:tabs>
        <w:ind w:right="113"/>
        <w:jc w:val="both"/>
      </w:pPr>
      <w:r>
        <w:rPr>
          <w:spacing w:val="-2"/>
        </w:rPr>
        <w:t>ownership</w:t>
      </w:r>
      <w:r>
        <w:rPr>
          <w:spacing w:val="27"/>
        </w:rPr>
        <w:t xml:space="preserve"> </w:t>
      </w:r>
      <w:r>
        <w:rPr>
          <w:spacing w:val="-1"/>
        </w:rPr>
        <w:t>of</w:t>
      </w:r>
      <w:r>
        <w:rPr>
          <w:spacing w:val="31"/>
        </w:rPr>
        <w:t xml:space="preserve"> </w:t>
      </w:r>
      <w:r>
        <w:t>to</w:t>
      </w:r>
      <w:r>
        <w:rPr>
          <w:spacing w:val="27"/>
        </w:rPr>
        <w:t xml:space="preserve"> </w:t>
      </w:r>
      <w:r>
        <w:t>the</w:t>
      </w:r>
      <w:r>
        <w:rPr>
          <w:spacing w:val="24"/>
        </w:rPr>
        <w:t xml:space="preserve"> </w:t>
      </w:r>
      <w:r>
        <w:rPr>
          <w:spacing w:val="-1"/>
        </w:rPr>
        <w:t>Goods</w:t>
      </w:r>
      <w:r>
        <w:rPr>
          <w:spacing w:val="27"/>
        </w:rPr>
        <w:t xml:space="preserve"> </w:t>
      </w:r>
      <w:r>
        <w:rPr>
          <w:spacing w:val="-1"/>
        </w:rPr>
        <w:t>shall</w:t>
      </w:r>
      <w:r>
        <w:rPr>
          <w:spacing w:val="27"/>
        </w:rPr>
        <w:t xml:space="preserve"> </w:t>
      </w:r>
      <w:r>
        <w:rPr>
          <w:spacing w:val="-1"/>
        </w:rPr>
        <w:t>pass</w:t>
      </w:r>
      <w:r>
        <w:rPr>
          <w:spacing w:val="28"/>
        </w:rPr>
        <w:t xml:space="preserve"> </w:t>
      </w:r>
      <w:r>
        <w:t>to</w:t>
      </w:r>
      <w:r>
        <w:rPr>
          <w:spacing w:val="27"/>
        </w:rPr>
        <w:t xml:space="preserve"> </w:t>
      </w:r>
      <w:r>
        <w:t>the</w:t>
      </w:r>
      <w:r>
        <w:rPr>
          <w:spacing w:val="27"/>
        </w:rPr>
        <w:t xml:space="preserve"> </w:t>
      </w:r>
      <w:r>
        <w:rPr>
          <w:spacing w:val="-1"/>
        </w:rPr>
        <w:t>Customer</w:t>
      </w:r>
      <w:r>
        <w:rPr>
          <w:spacing w:val="28"/>
        </w:rPr>
        <w:t xml:space="preserve"> </w:t>
      </w:r>
      <w:r>
        <w:rPr>
          <w:spacing w:val="-1"/>
        </w:rPr>
        <w:t>on</w:t>
      </w:r>
      <w:r>
        <w:rPr>
          <w:spacing w:val="27"/>
        </w:rPr>
        <w:t xml:space="preserve"> </w:t>
      </w:r>
      <w:r>
        <w:rPr>
          <w:spacing w:val="-1"/>
        </w:rPr>
        <w:t>the</w:t>
      </w:r>
      <w:r>
        <w:rPr>
          <w:spacing w:val="36"/>
        </w:rPr>
        <w:t xml:space="preserve"> </w:t>
      </w:r>
      <w:r>
        <w:rPr>
          <w:spacing w:val="-1"/>
        </w:rPr>
        <w:t>earlier</w:t>
      </w:r>
      <w:r>
        <w:rPr>
          <w:spacing w:val="9"/>
        </w:rPr>
        <w:t xml:space="preserve"> </w:t>
      </w:r>
      <w:r>
        <w:rPr>
          <w:spacing w:val="-2"/>
        </w:rPr>
        <w:t>of</w:t>
      </w:r>
      <w:r>
        <w:rPr>
          <w:spacing w:val="11"/>
        </w:rPr>
        <w:t xml:space="preserve"> </w:t>
      </w:r>
      <w:r>
        <w:rPr>
          <w:spacing w:val="-1"/>
        </w:rPr>
        <w:t>Delivery</w:t>
      </w:r>
      <w:r>
        <w:rPr>
          <w:spacing w:val="5"/>
        </w:rPr>
        <w:t xml:space="preserve"> </w:t>
      </w:r>
      <w:r>
        <w:rPr>
          <w:spacing w:val="-1"/>
        </w:rPr>
        <w:t>of</w:t>
      </w:r>
      <w:r>
        <w:rPr>
          <w:spacing w:val="11"/>
        </w:rPr>
        <w:t xml:space="preserve"> </w:t>
      </w:r>
      <w:r>
        <w:t>the</w:t>
      </w:r>
      <w:r>
        <w:rPr>
          <w:spacing w:val="7"/>
        </w:rPr>
        <w:t xml:space="preserve"> </w:t>
      </w:r>
      <w:r>
        <w:rPr>
          <w:spacing w:val="-1"/>
        </w:rPr>
        <w:t>Goods</w:t>
      </w:r>
      <w:r>
        <w:rPr>
          <w:spacing w:val="8"/>
        </w:rPr>
        <w:t xml:space="preserve"> </w:t>
      </w:r>
      <w:r>
        <w:rPr>
          <w:spacing w:val="-1"/>
        </w:rPr>
        <w:t>or</w:t>
      </w:r>
      <w:r>
        <w:rPr>
          <w:spacing w:val="9"/>
        </w:rPr>
        <w:t xml:space="preserve"> </w:t>
      </w:r>
      <w:r>
        <w:rPr>
          <w:spacing w:val="-1"/>
        </w:rPr>
        <w:t>payment</w:t>
      </w:r>
      <w:r>
        <w:rPr>
          <w:spacing w:val="9"/>
        </w:rPr>
        <w:t xml:space="preserve"> </w:t>
      </w:r>
      <w:r>
        <w:rPr>
          <w:spacing w:val="-1"/>
        </w:rPr>
        <w:t>by</w:t>
      </w:r>
      <w:r>
        <w:rPr>
          <w:spacing w:val="5"/>
        </w:rPr>
        <w:t xml:space="preserve"> </w:t>
      </w:r>
      <w:r>
        <w:t>the</w:t>
      </w:r>
      <w:r>
        <w:rPr>
          <w:spacing w:val="7"/>
        </w:rPr>
        <w:t xml:space="preserve"> </w:t>
      </w:r>
      <w:r>
        <w:rPr>
          <w:spacing w:val="-1"/>
        </w:rPr>
        <w:t>Customer</w:t>
      </w:r>
      <w:r>
        <w:rPr>
          <w:spacing w:val="6"/>
        </w:rPr>
        <w:t xml:space="preserve"> </w:t>
      </w:r>
      <w:r>
        <w:rPr>
          <w:spacing w:val="-2"/>
        </w:rPr>
        <w:t>of</w:t>
      </w:r>
      <w:r>
        <w:rPr>
          <w:spacing w:val="23"/>
        </w:rPr>
        <w:t xml:space="preserve"> </w:t>
      </w:r>
      <w:r>
        <w:t xml:space="preserve">the </w:t>
      </w:r>
      <w:r>
        <w:rPr>
          <w:spacing w:val="-2"/>
        </w:rPr>
        <w:t>Call</w:t>
      </w:r>
      <w:r>
        <w:t xml:space="preserve"> </w:t>
      </w:r>
      <w:r>
        <w:rPr>
          <w:spacing w:val="-1"/>
        </w:rPr>
        <w:t>Off</w:t>
      </w:r>
      <w:r>
        <w:t xml:space="preserve"> </w:t>
      </w:r>
      <w:r>
        <w:rPr>
          <w:spacing w:val="-2"/>
        </w:rPr>
        <w:t>Contract</w:t>
      </w:r>
      <w:r>
        <w:rPr>
          <w:spacing w:val="2"/>
        </w:rPr>
        <w:t xml:space="preserve"> </w:t>
      </w:r>
      <w:r>
        <w:rPr>
          <w:spacing w:val="-1"/>
        </w:rPr>
        <w:t>Charges;</w:t>
      </w:r>
    </w:p>
    <w:p w:rsidR="008918FA" w:rsidRDefault="008918FA" w:rsidP="008918FA">
      <w:pPr>
        <w:pStyle w:val="Heading1"/>
        <w:numPr>
          <w:ilvl w:val="1"/>
          <w:numId w:val="65"/>
        </w:numPr>
        <w:tabs>
          <w:tab w:val="left" w:pos="688"/>
        </w:tabs>
        <w:spacing w:before="119"/>
        <w:ind w:left="687"/>
        <w:jc w:val="left"/>
        <w:rPr>
          <w:b w:val="0"/>
          <w:bCs w:val="0"/>
        </w:rPr>
      </w:pPr>
      <w:r>
        <w:rPr>
          <w:spacing w:val="-1"/>
        </w:rPr>
        <w:t>Responsibility</w:t>
      </w:r>
      <w:r>
        <w:rPr>
          <w:spacing w:val="-4"/>
        </w:rPr>
        <w:t xml:space="preserve"> </w:t>
      </w:r>
      <w:r>
        <w:rPr>
          <w:spacing w:val="-1"/>
        </w:rPr>
        <w:t>for</w:t>
      </w:r>
      <w:r>
        <w:rPr>
          <w:spacing w:val="1"/>
        </w:rPr>
        <w:t xml:space="preserve"> </w:t>
      </w:r>
      <w:r>
        <w:rPr>
          <w:spacing w:val="-2"/>
        </w:rPr>
        <w:t>Damage</w:t>
      </w:r>
      <w:r>
        <w:t xml:space="preserve"> to</w:t>
      </w:r>
      <w:r>
        <w:rPr>
          <w:spacing w:val="-2"/>
        </w:rPr>
        <w:t xml:space="preserve"> </w:t>
      </w:r>
      <w:r>
        <w:rPr>
          <w:spacing w:val="-1"/>
        </w:rPr>
        <w:t>or</w:t>
      </w:r>
      <w:r>
        <w:rPr>
          <w:spacing w:val="1"/>
        </w:rPr>
        <w:t xml:space="preserve"> </w:t>
      </w:r>
      <w:r>
        <w:rPr>
          <w:spacing w:val="-1"/>
        </w:rPr>
        <w:t>Loss</w:t>
      </w:r>
      <w:r>
        <w:rPr>
          <w:spacing w:val="-2"/>
        </w:rPr>
        <w:t xml:space="preserve"> </w:t>
      </w:r>
      <w:r>
        <w:rPr>
          <w:spacing w:val="-1"/>
        </w:rPr>
        <w:t>of the</w:t>
      </w:r>
      <w:r>
        <w:rPr>
          <w:spacing w:val="-4"/>
        </w:rPr>
        <w:t xml:space="preserve"> </w:t>
      </w:r>
      <w:r>
        <w:rPr>
          <w:spacing w:val="-2"/>
        </w:rPr>
        <w:t>Goods</w:t>
      </w:r>
    </w:p>
    <w:p w:rsidR="008918FA" w:rsidRDefault="008918FA" w:rsidP="008918FA">
      <w:pPr>
        <w:pStyle w:val="BodyText"/>
        <w:numPr>
          <w:ilvl w:val="2"/>
          <w:numId w:val="65"/>
        </w:numPr>
        <w:tabs>
          <w:tab w:val="left" w:pos="1886"/>
        </w:tabs>
        <w:spacing w:before="121"/>
        <w:ind w:left="1885" w:right="113"/>
        <w:jc w:val="both"/>
      </w:pPr>
      <w:bookmarkStart w:id="91" w:name="_bookmark87"/>
      <w:bookmarkEnd w:id="91"/>
      <w:r>
        <w:rPr>
          <w:spacing w:val="-1"/>
        </w:rPr>
        <w:t>Without</w:t>
      </w:r>
      <w:r>
        <w:rPr>
          <w:spacing w:val="57"/>
        </w:rPr>
        <w:t xml:space="preserve"> </w:t>
      </w:r>
      <w:r>
        <w:rPr>
          <w:spacing w:val="-1"/>
        </w:rPr>
        <w:t>prejudice</w:t>
      </w:r>
      <w:r>
        <w:rPr>
          <w:spacing w:val="56"/>
        </w:rPr>
        <w:t xml:space="preserve"> </w:t>
      </w:r>
      <w:r>
        <w:t>to</w:t>
      </w:r>
      <w:r>
        <w:rPr>
          <w:spacing w:val="55"/>
        </w:rPr>
        <w:t xml:space="preserve"> </w:t>
      </w:r>
      <w:r>
        <w:rPr>
          <w:spacing w:val="-1"/>
        </w:rPr>
        <w:t>the</w:t>
      </w:r>
      <w:r>
        <w:rPr>
          <w:spacing w:val="55"/>
        </w:rPr>
        <w:t xml:space="preserve"> </w:t>
      </w:r>
      <w:r>
        <w:rPr>
          <w:spacing w:val="-2"/>
        </w:rPr>
        <w:t>Supplier’s</w:t>
      </w:r>
      <w:r>
        <w:rPr>
          <w:spacing w:val="56"/>
        </w:rPr>
        <w:t xml:space="preserve"> </w:t>
      </w:r>
      <w:r>
        <w:rPr>
          <w:spacing w:val="-1"/>
        </w:rPr>
        <w:t>other</w:t>
      </w:r>
      <w:r>
        <w:rPr>
          <w:spacing w:val="57"/>
        </w:rPr>
        <w:t xml:space="preserve"> </w:t>
      </w:r>
      <w:r>
        <w:rPr>
          <w:spacing w:val="-1"/>
        </w:rPr>
        <w:t>obligations</w:t>
      </w:r>
      <w:r>
        <w:rPr>
          <w:spacing w:val="57"/>
        </w:rPr>
        <w:t xml:space="preserve"> </w:t>
      </w:r>
      <w:r>
        <w:t>to</w:t>
      </w:r>
      <w:r>
        <w:rPr>
          <w:spacing w:val="55"/>
        </w:rPr>
        <w:t xml:space="preserve"> </w:t>
      </w:r>
      <w:r>
        <w:rPr>
          <w:spacing w:val="-2"/>
        </w:rPr>
        <w:t>provide</w:t>
      </w:r>
      <w:r>
        <w:rPr>
          <w:spacing w:val="55"/>
        </w:rPr>
        <w:t xml:space="preserve"> </w:t>
      </w:r>
      <w:r>
        <w:rPr>
          <w:spacing w:val="-1"/>
        </w:rPr>
        <w:t>the</w:t>
      </w:r>
      <w:r>
        <w:rPr>
          <w:spacing w:val="60"/>
        </w:rPr>
        <w:t xml:space="preserve"> </w:t>
      </w:r>
      <w:r>
        <w:rPr>
          <w:spacing w:val="-1"/>
        </w:rPr>
        <w:t>Goods</w:t>
      </w:r>
      <w:r>
        <w:rPr>
          <w:spacing w:val="18"/>
        </w:rPr>
        <w:t xml:space="preserve"> </w:t>
      </w:r>
      <w:r>
        <w:rPr>
          <w:spacing w:val="-1"/>
        </w:rPr>
        <w:t>in</w:t>
      </w:r>
      <w:r>
        <w:rPr>
          <w:spacing w:val="17"/>
        </w:rPr>
        <w:t xml:space="preserve"> </w:t>
      </w:r>
      <w:r>
        <w:rPr>
          <w:spacing w:val="-1"/>
        </w:rPr>
        <w:t>accordance</w:t>
      </w:r>
      <w:r>
        <w:rPr>
          <w:spacing w:val="18"/>
        </w:rPr>
        <w:t xml:space="preserve"> </w:t>
      </w:r>
      <w:r>
        <w:rPr>
          <w:spacing w:val="-1"/>
        </w:rPr>
        <w:t>with</w:t>
      </w:r>
      <w:r>
        <w:rPr>
          <w:spacing w:val="17"/>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21"/>
        </w:rPr>
        <w:t xml:space="preserve"> </w:t>
      </w:r>
      <w:r>
        <w:rPr>
          <w:spacing w:val="-1"/>
        </w:rPr>
        <w:t>Contract,</w:t>
      </w:r>
      <w:r>
        <w:rPr>
          <w:spacing w:val="16"/>
        </w:rPr>
        <w:t xml:space="preserve"> </w:t>
      </w:r>
      <w:r>
        <w:t>the</w:t>
      </w:r>
      <w:r>
        <w:rPr>
          <w:spacing w:val="17"/>
        </w:rPr>
        <w:t xml:space="preserve"> </w:t>
      </w:r>
      <w:r>
        <w:rPr>
          <w:spacing w:val="-2"/>
        </w:rPr>
        <w:t>Supplier</w:t>
      </w:r>
      <w:r>
        <w:rPr>
          <w:spacing w:val="19"/>
        </w:rPr>
        <w:t xml:space="preserve"> </w:t>
      </w:r>
      <w:r>
        <w:rPr>
          <w:spacing w:val="-1"/>
        </w:rPr>
        <w:t>accepts</w:t>
      </w:r>
      <w:r>
        <w:rPr>
          <w:spacing w:val="53"/>
        </w:rPr>
        <w:t xml:space="preserve"> </w:t>
      </w:r>
      <w:r>
        <w:rPr>
          <w:spacing w:val="-1"/>
        </w:rPr>
        <w:t>responsibility</w:t>
      </w:r>
      <w:r>
        <w:rPr>
          <w:spacing w:val="-2"/>
        </w:rPr>
        <w:t xml:space="preserve"> </w:t>
      </w:r>
      <w:r>
        <w:t>for</w:t>
      </w:r>
      <w:r>
        <w:rPr>
          <w:spacing w:val="2"/>
        </w:rPr>
        <w:t xml:space="preserve"> </w:t>
      </w:r>
      <w:r>
        <w:rPr>
          <w:spacing w:val="-1"/>
        </w:rPr>
        <w:t>all</w:t>
      </w:r>
      <w:r>
        <w:t xml:space="preserve"> </w:t>
      </w:r>
      <w:r>
        <w:rPr>
          <w:spacing w:val="-1"/>
        </w:rPr>
        <w:t>damage</w:t>
      </w:r>
      <w:r>
        <w:rPr>
          <w:spacing w:val="-2"/>
        </w:rPr>
        <w:t xml:space="preserve"> </w:t>
      </w:r>
      <w:r>
        <w:t>to</w:t>
      </w:r>
      <w:r>
        <w:rPr>
          <w:spacing w:val="-2"/>
        </w:rPr>
        <w:t xml:space="preserve"> </w:t>
      </w:r>
      <w:r>
        <w:rPr>
          <w:spacing w:val="-1"/>
        </w:rPr>
        <w:t>or loss</w:t>
      </w:r>
      <w:r>
        <w:rPr>
          <w:spacing w:val="1"/>
        </w:rPr>
        <w:t xml:space="preserve"> </w:t>
      </w:r>
      <w:r>
        <w:rPr>
          <w:spacing w:val="-2"/>
        </w:rPr>
        <w:t>of</w:t>
      </w:r>
      <w:r>
        <w:t xml:space="preserve"> the</w:t>
      </w:r>
      <w:r>
        <w:rPr>
          <w:spacing w:val="-2"/>
        </w:rPr>
        <w:t xml:space="preserve"> </w:t>
      </w:r>
      <w:r>
        <w:rPr>
          <w:spacing w:val="-1"/>
        </w:rPr>
        <w:t>Goods</w:t>
      </w:r>
      <w:r>
        <w:rPr>
          <w:spacing w:val="1"/>
        </w:rPr>
        <w:t xml:space="preserve"> </w:t>
      </w:r>
      <w:r>
        <w:rPr>
          <w:spacing w:val="-2"/>
        </w:rPr>
        <w:t>if</w:t>
      </w:r>
      <w:r>
        <w:rPr>
          <w:spacing w:val="3"/>
        </w:rPr>
        <w:t xml:space="preserve"> </w:t>
      </w:r>
      <w:r>
        <w:rPr>
          <w:spacing w:val="-1"/>
        </w:rPr>
        <w:t>the:</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numPr>
          <w:ilvl w:val="3"/>
          <w:numId w:val="65"/>
        </w:numPr>
        <w:tabs>
          <w:tab w:val="left" w:pos="2595"/>
        </w:tabs>
        <w:spacing w:before="59"/>
        <w:ind w:left="2594" w:right="114"/>
        <w:jc w:val="both"/>
      </w:pPr>
      <w:r>
        <w:rPr>
          <w:spacing w:val="-1"/>
        </w:rPr>
        <w:t>same</w:t>
      </w:r>
      <w:r>
        <w:rPr>
          <w:spacing w:val="13"/>
        </w:rPr>
        <w:t xml:space="preserve"> </w:t>
      </w:r>
      <w:r>
        <w:rPr>
          <w:spacing w:val="-1"/>
        </w:rPr>
        <w:t>is</w:t>
      </w:r>
      <w:r>
        <w:rPr>
          <w:spacing w:val="14"/>
        </w:rPr>
        <w:t xml:space="preserve"> </w:t>
      </w:r>
      <w:r>
        <w:rPr>
          <w:spacing w:val="-1"/>
        </w:rPr>
        <w:t>notified</w:t>
      </w:r>
      <w:r>
        <w:rPr>
          <w:spacing w:val="13"/>
        </w:rPr>
        <w:t xml:space="preserve"> </w:t>
      </w:r>
      <w:r>
        <w:rPr>
          <w:spacing w:val="-1"/>
        </w:rPr>
        <w:t>in</w:t>
      </w:r>
      <w:r>
        <w:rPr>
          <w:spacing w:val="13"/>
        </w:rPr>
        <w:t xml:space="preserve"> </w:t>
      </w:r>
      <w:r>
        <w:rPr>
          <w:spacing w:val="-1"/>
        </w:rPr>
        <w:t>writing</w:t>
      </w:r>
      <w:r>
        <w:rPr>
          <w:spacing w:val="14"/>
        </w:rPr>
        <w:t xml:space="preserve"> </w:t>
      </w:r>
      <w:r>
        <w:t>to</w:t>
      </w:r>
      <w:r>
        <w:rPr>
          <w:spacing w:val="14"/>
        </w:rPr>
        <w:t xml:space="preserve"> </w:t>
      </w:r>
      <w:r>
        <w:t>the</w:t>
      </w:r>
      <w:r>
        <w:rPr>
          <w:spacing w:val="13"/>
        </w:rPr>
        <w:t xml:space="preserve"> </w:t>
      </w:r>
      <w:r>
        <w:rPr>
          <w:spacing w:val="-2"/>
        </w:rPr>
        <w:t>Supplier</w:t>
      </w:r>
      <w:r>
        <w:rPr>
          <w:spacing w:val="15"/>
        </w:rPr>
        <w:t xml:space="preserve"> </w:t>
      </w:r>
      <w:r>
        <w:rPr>
          <w:spacing w:val="-1"/>
        </w:rPr>
        <w:t>within</w:t>
      </w:r>
      <w:r>
        <w:rPr>
          <w:spacing w:val="16"/>
        </w:rPr>
        <w:t xml:space="preserve"> </w:t>
      </w:r>
      <w:r>
        <w:rPr>
          <w:spacing w:val="-1"/>
        </w:rPr>
        <w:t>three</w:t>
      </w:r>
      <w:r>
        <w:rPr>
          <w:spacing w:val="14"/>
        </w:rPr>
        <w:t xml:space="preserve"> </w:t>
      </w:r>
      <w:r>
        <w:rPr>
          <w:spacing w:val="-1"/>
        </w:rPr>
        <w:t>(3)</w:t>
      </w:r>
      <w:r>
        <w:rPr>
          <w:spacing w:val="43"/>
        </w:rPr>
        <w:t xml:space="preserve"> </w:t>
      </w:r>
      <w:r>
        <w:rPr>
          <w:spacing w:val="-1"/>
        </w:rPr>
        <w:t>Working</w:t>
      </w:r>
      <w:r>
        <w:rPr>
          <w:spacing w:val="43"/>
        </w:rPr>
        <w:t xml:space="preserve"> </w:t>
      </w:r>
      <w:r>
        <w:rPr>
          <w:spacing w:val="-2"/>
        </w:rPr>
        <w:t>Days</w:t>
      </w:r>
      <w:r>
        <w:rPr>
          <w:spacing w:val="41"/>
        </w:rPr>
        <w:t xml:space="preserve"> </w:t>
      </w:r>
      <w:r>
        <w:rPr>
          <w:spacing w:val="-2"/>
        </w:rPr>
        <w:t>of</w:t>
      </w:r>
      <w:r>
        <w:rPr>
          <w:spacing w:val="45"/>
        </w:rPr>
        <w:t xml:space="preserve"> </w:t>
      </w:r>
      <w:r>
        <w:rPr>
          <w:spacing w:val="-1"/>
        </w:rPr>
        <w:t>receipt</w:t>
      </w:r>
      <w:r>
        <w:rPr>
          <w:spacing w:val="42"/>
        </w:rPr>
        <w:t xml:space="preserve"> </w:t>
      </w:r>
      <w:r>
        <w:rPr>
          <w:spacing w:val="-1"/>
        </w:rPr>
        <w:t>and</w:t>
      </w:r>
      <w:r>
        <w:rPr>
          <w:spacing w:val="41"/>
        </w:rPr>
        <w:t xml:space="preserve"> </w:t>
      </w:r>
      <w:r>
        <w:rPr>
          <w:spacing w:val="-1"/>
        </w:rPr>
        <w:t>inspection</w:t>
      </w:r>
      <w:r>
        <w:rPr>
          <w:spacing w:val="41"/>
        </w:rPr>
        <w:t xml:space="preserve"> </w:t>
      </w:r>
      <w:r>
        <w:rPr>
          <w:spacing w:val="-2"/>
        </w:rPr>
        <w:t>of</w:t>
      </w:r>
      <w:r>
        <w:rPr>
          <w:spacing w:val="43"/>
        </w:rPr>
        <w:t xml:space="preserve"> </w:t>
      </w:r>
      <w:r>
        <w:t>the</w:t>
      </w:r>
      <w:r>
        <w:rPr>
          <w:spacing w:val="38"/>
        </w:rPr>
        <w:t xml:space="preserve"> </w:t>
      </w:r>
      <w:r>
        <w:rPr>
          <w:spacing w:val="-1"/>
        </w:rPr>
        <w:t>Goods</w:t>
      </w:r>
      <w:r>
        <w:rPr>
          <w:spacing w:val="41"/>
        </w:rPr>
        <w:t xml:space="preserve"> </w:t>
      </w:r>
      <w:r>
        <w:rPr>
          <w:spacing w:val="-1"/>
        </w:rPr>
        <w:t>by</w:t>
      </w:r>
      <w:r>
        <w:rPr>
          <w:spacing w:val="39"/>
        </w:rPr>
        <w:t xml:space="preserve"> </w:t>
      </w:r>
      <w:r>
        <w:rPr>
          <w:spacing w:val="-1"/>
        </w:rPr>
        <w:t>the</w:t>
      </w:r>
      <w:r>
        <w:rPr>
          <w:spacing w:val="30"/>
        </w:rPr>
        <w:t xml:space="preserve"> </w:t>
      </w:r>
      <w:r>
        <w:rPr>
          <w:spacing w:val="-1"/>
        </w:rPr>
        <w:t>Customer;</w:t>
      </w:r>
      <w:r>
        <w:t xml:space="preserve"> </w:t>
      </w:r>
      <w:r>
        <w:rPr>
          <w:spacing w:val="-1"/>
        </w:rPr>
        <w:t>and</w:t>
      </w:r>
    </w:p>
    <w:p w:rsidR="008918FA" w:rsidRDefault="008918FA" w:rsidP="008918FA">
      <w:pPr>
        <w:pStyle w:val="BodyText"/>
        <w:numPr>
          <w:ilvl w:val="3"/>
          <w:numId w:val="65"/>
        </w:numPr>
        <w:tabs>
          <w:tab w:val="left" w:pos="2595"/>
        </w:tabs>
        <w:ind w:left="2594" w:right="116"/>
        <w:jc w:val="both"/>
      </w:pPr>
      <w:r>
        <w:rPr>
          <w:spacing w:val="-1"/>
        </w:rPr>
        <w:t>Goods</w:t>
      </w:r>
      <w:r>
        <w:rPr>
          <w:spacing w:val="8"/>
        </w:rPr>
        <w:t xml:space="preserve"> </w:t>
      </w:r>
      <w:r>
        <w:rPr>
          <w:spacing w:val="-2"/>
        </w:rPr>
        <w:t>have</w:t>
      </w:r>
      <w:r>
        <w:rPr>
          <w:spacing w:val="7"/>
        </w:rPr>
        <w:t xml:space="preserve"> </w:t>
      </w:r>
      <w:r>
        <w:rPr>
          <w:spacing w:val="-1"/>
        </w:rPr>
        <w:t>been</w:t>
      </w:r>
      <w:r>
        <w:rPr>
          <w:spacing w:val="7"/>
        </w:rPr>
        <w:t xml:space="preserve"> </w:t>
      </w:r>
      <w:r>
        <w:rPr>
          <w:spacing w:val="-1"/>
        </w:rPr>
        <w:t>handled</w:t>
      </w:r>
      <w:r>
        <w:rPr>
          <w:spacing w:val="7"/>
        </w:rPr>
        <w:t xml:space="preserve"> </w:t>
      </w:r>
      <w:r>
        <w:rPr>
          <w:spacing w:val="-1"/>
        </w:rPr>
        <w:t>by</w:t>
      </w:r>
      <w:r>
        <w:rPr>
          <w:spacing w:val="5"/>
        </w:rPr>
        <w:t xml:space="preserve"> </w:t>
      </w:r>
      <w:r>
        <w:t>the</w:t>
      </w:r>
      <w:r>
        <w:rPr>
          <w:spacing w:val="7"/>
        </w:rPr>
        <w:t xml:space="preserve"> </w:t>
      </w:r>
      <w:r>
        <w:rPr>
          <w:spacing w:val="-1"/>
        </w:rPr>
        <w:t>Customer</w:t>
      </w:r>
      <w:r>
        <w:rPr>
          <w:spacing w:val="6"/>
        </w:rPr>
        <w:t xml:space="preserve"> </w:t>
      </w:r>
      <w:r>
        <w:rPr>
          <w:spacing w:val="-1"/>
        </w:rPr>
        <w:t>in</w:t>
      </w:r>
      <w:r>
        <w:rPr>
          <w:spacing w:val="7"/>
        </w:rPr>
        <w:t xml:space="preserve"> </w:t>
      </w:r>
      <w:r>
        <w:rPr>
          <w:spacing w:val="-1"/>
        </w:rPr>
        <w:t>accordance</w:t>
      </w:r>
      <w:r>
        <w:rPr>
          <w:spacing w:val="8"/>
        </w:rPr>
        <w:t xml:space="preserve"> </w:t>
      </w:r>
      <w:r>
        <w:rPr>
          <w:spacing w:val="-2"/>
        </w:rPr>
        <w:t>with</w:t>
      </w:r>
      <w:r>
        <w:rPr>
          <w:spacing w:val="35"/>
        </w:rPr>
        <w:t xml:space="preserve"> </w:t>
      </w:r>
      <w:r>
        <w:t xml:space="preserve">the </w:t>
      </w:r>
      <w:r>
        <w:rPr>
          <w:spacing w:val="-1"/>
        </w:rPr>
        <w:t>Supplier's</w:t>
      </w:r>
      <w:r>
        <w:rPr>
          <w:spacing w:val="-2"/>
        </w:rPr>
        <w:t xml:space="preserve"> instructions.</w:t>
      </w:r>
    </w:p>
    <w:p w:rsidR="008918FA" w:rsidRDefault="008918FA" w:rsidP="008918FA">
      <w:pPr>
        <w:pStyle w:val="BodyText"/>
        <w:numPr>
          <w:ilvl w:val="2"/>
          <w:numId w:val="65"/>
        </w:numPr>
        <w:tabs>
          <w:tab w:val="left" w:pos="1887"/>
        </w:tabs>
        <w:ind w:left="1886" w:right="114"/>
        <w:jc w:val="both"/>
      </w:pPr>
      <w:r>
        <w:rPr>
          <w:spacing w:val="-1"/>
        </w:rPr>
        <w:t>Where</w:t>
      </w:r>
      <w:r>
        <w:rPr>
          <w:spacing w:val="15"/>
        </w:rPr>
        <w:t xml:space="preserve"> </w:t>
      </w:r>
      <w:r>
        <w:t>the</w:t>
      </w:r>
      <w:r>
        <w:rPr>
          <w:spacing w:val="17"/>
        </w:rPr>
        <w:t xml:space="preserve"> </w:t>
      </w:r>
      <w:r>
        <w:rPr>
          <w:spacing w:val="-2"/>
        </w:rPr>
        <w:t>Supplier</w:t>
      </w:r>
      <w:r>
        <w:rPr>
          <w:spacing w:val="19"/>
        </w:rPr>
        <w:t xml:space="preserve"> </w:t>
      </w:r>
      <w:r>
        <w:rPr>
          <w:spacing w:val="-1"/>
        </w:rPr>
        <w:t>accepts</w:t>
      </w:r>
      <w:r>
        <w:rPr>
          <w:spacing w:val="18"/>
        </w:rPr>
        <w:t xml:space="preserve"> </w:t>
      </w:r>
      <w:r>
        <w:rPr>
          <w:spacing w:val="-2"/>
        </w:rPr>
        <w:t>responsibility</w:t>
      </w:r>
      <w:r>
        <w:rPr>
          <w:spacing w:val="15"/>
        </w:rPr>
        <w:t xml:space="preserve"> </w:t>
      </w:r>
      <w:r>
        <w:rPr>
          <w:spacing w:val="-1"/>
        </w:rPr>
        <w:t>under</w:t>
      </w:r>
      <w:r>
        <w:rPr>
          <w:spacing w:val="19"/>
        </w:rPr>
        <w:t xml:space="preserve"> </w:t>
      </w:r>
      <w:r>
        <w:rPr>
          <w:spacing w:val="-2"/>
        </w:rPr>
        <w:t>Clause</w:t>
      </w:r>
      <w:r>
        <w:rPr>
          <w:spacing w:val="20"/>
        </w:rPr>
        <w:t xml:space="preserve"> </w:t>
      </w:r>
      <w:hyperlink w:anchor="_bookmark87" w:history="1">
        <w:r>
          <w:rPr>
            <w:spacing w:val="-1"/>
          </w:rPr>
          <w:t>9.7.1</w:t>
        </w:r>
      </w:hyperlink>
      <w:r>
        <w:rPr>
          <w:spacing w:val="-1"/>
        </w:rPr>
        <w:t>,</w:t>
      </w:r>
      <w:r>
        <w:rPr>
          <w:spacing w:val="16"/>
        </w:rPr>
        <w:t xml:space="preserve"> </w:t>
      </w:r>
      <w:r>
        <w:rPr>
          <w:spacing w:val="-1"/>
        </w:rPr>
        <w:t>it</w:t>
      </w:r>
      <w:r>
        <w:rPr>
          <w:spacing w:val="19"/>
        </w:rPr>
        <w:t xml:space="preserve"> </w:t>
      </w:r>
      <w:r>
        <w:rPr>
          <w:spacing w:val="-2"/>
        </w:rPr>
        <w:t>shall,</w:t>
      </w:r>
      <w:r>
        <w:rPr>
          <w:spacing w:val="79"/>
        </w:rPr>
        <w:t xml:space="preserve"> </w:t>
      </w:r>
      <w:r>
        <w:rPr>
          <w:spacing w:val="-1"/>
        </w:rPr>
        <w:t>at</w:t>
      </w:r>
      <w:r>
        <w:rPr>
          <w:spacing w:val="28"/>
        </w:rPr>
        <w:t xml:space="preserve"> </w:t>
      </w:r>
      <w:r>
        <w:rPr>
          <w:spacing w:val="-1"/>
        </w:rPr>
        <w:t>its</w:t>
      </w:r>
      <w:r>
        <w:rPr>
          <w:spacing w:val="25"/>
        </w:rPr>
        <w:t xml:space="preserve"> </w:t>
      </w:r>
      <w:r>
        <w:rPr>
          <w:spacing w:val="-1"/>
        </w:rPr>
        <w:t>sole</w:t>
      </w:r>
      <w:r>
        <w:rPr>
          <w:spacing w:val="27"/>
        </w:rPr>
        <w:t xml:space="preserve"> </w:t>
      </w:r>
      <w:r>
        <w:rPr>
          <w:spacing w:val="-1"/>
        </w:rPr>
        <w:t>option,</w:t>
      </w:r>
      <w:r>
        <w:rPr>
          <w:spacing w:val="26"/>
        </w:rPr>
        <w:t xml:space="preserve"> </w:t>
      </w:r>
      <w:r>
        <w:rPr>
          <w:spacing w:val="-1"/>
        </w:rPr>
        <w:t>replace</w:t>
      </w:r>
      <w:r>
        <w:rPr>
          <w:spacing w:val="27"/>
        </w:rPr>
        <w:t xml:space="preserve"> </w:t>
      </w:r>
      <w:r>
        <w:rPr>
          <w:spacing w:val="-1"/>
        </w:rPr>
        <w:t>or</w:t>
      </w:r>
      <w:r>
        <w:rPr>
          <w:spacing w:val="26"/>
        </w:rPr>
        <w:t xml:space="preserve"> </w:t>
      </w:r>
      <w:r>
        <w:rPr>
          <w:spacing w:val="-1"/>
        </w:rPr>
        <w:t>repair</w:t>
      </w:r>
      <w:r>
        <w:rPr>
          <w:spacing w:val="26"/>
        </w:rPr>
        <w:t xml:space="preserve"> </w:t>
      </w:r>
      <w:r>
        <w:t>the</w:t>
      </w:r>
      <w:r>
        <w:rPr>
          <w:spacing w:val="24"/>
        </w:rPr>
        <w:t xml:space="preserve"> </w:t>
      </w:r>
      <w:r>
        <w:rPr>
          <w:spacing w:val="-1"/>
        </w:rPr>
        <w:t>Goods</w:t>
      </w:r>
      <w:r>
        <w:rPr>
          <w:spacing w:val="25"/>
        </w:rPr>
        <w:t xml:space="preserve"> </w:t>
      </w:r>
      <w:r>
        <w:rPr>
          <w:spacing w:val="-1"/>
        </w:rPr>
        <w:t>(or</w:t>
      </w:r>
      <w:r>
        <w:rPr>
          <w:spacing w:val="28"/>
        </w:rPr>
        <w:t xml:space="preserve"> </w:t>
      </w:r>
      <w:r>
        <w:rPr>
          <w:spacing w:val="-1"/>
        </w:rPr>
        <w:t>part</w:t>
      </w:r>
      <w:r>
        <w:rPr>
          <w:spacing w:val="26"/>
        </w:rPr>
        <w:t xml:space="preserve"> </w:t>
      </w:r>
      <w:r>
        <w:rPr>
          <w:spacing w:val="-1"/>
        </w:rPr>
        <w:t>thereof)</w:t>
      </w:r>
      <w:r>
        <w:rPr>
          <w:spacing w:val="26"/>
        </w:rPr>
        <w:t xml:space="preserve"> </w:t>
      </w:r>
      <w:r>
        <w:rPr>
          <w:spacing w:val="-2"/>
        </w:rPr>
        <w:t>within</w:t>
      </w:r>
      <w:r>
        <w:rPr>
          <w:spacing w:val="37"/>
        </w:rPr>
        <w:t xml:space="preserve"> </w:t>
      </w:r>
      <w:r>
        <w:rPr>
          <w:spacing w:val="-1"/>
        </w:rPr>
        <w:t>such</w:t>
      </w:r>
      <w:r>
        <w:rPr>
          <w:spacing w:val="10"/>
        </w:rPr>
        <w:t xml:space="preserve"> </w:t>
      </w:r>
      <w:r>
        <w:rPr>
          <w:spacing w:val="-1"/>
        </w:rPr>
        <w:t>time</w:t>
      </w:r>
      <w:r>
        <w:rPr>
          <w:spacing w:val="7"/>
        </w:rPr>
        <w:t xml:space="preserve"> </w:t>
      </w:r>
      <w:r>
        <w:rPr>
          <w:spacing w:val="-1"/>
        </w:rPr>
        <w:t>as</w:t>
      </w:r>
      <w:r>
        <w:rPr>
          <w:spacing w:val="10"/>
        </w:rPr>
        <w:t xml:space="preserve"> </w:t>
      </w:r>
      <w:r>
        <w:rPr>
          <w:spacing w:val="-1"/>
        </w:rPr>
        <w:t>is</w:t>
      </w:r>
      <w:r>
        <w:rPr>
          <w:spacing w:val="8"/>
        </w:rPr>
        <w:t xml:space="preserve"> </w:t>
      </w:r>
      <w:r>
        <w:rPr>
          <w:spacing w:val="-1"/>
        </w:rPr>
        <w:t>reasonable</w:t>
      </w:r>
      <w:r>
        <w:rPr>
          <w:spacing w:val="10"/>
        </w:rPr>
        <w:t xml:space="preserve"> </w:t>
      </w:r>
      <w:r>
        <w:rPr>
          <w:spacing w:val="-2"/>
        </w:rPr>
        <w:t>having</w:t>
      </w:r>
      <w:r>
        <w:rPr>
          <w:spacing w:val="12"/>
        </w:rPr>
        <w:t xml:space="preserve"> </w:t>
      </w:r>
      <w:r>
        <w:rPr>
          <w:spacing w:val="-1"/>
        </w:rPr>
        <w:t>regard</w:t>
      </w:r>
      <w:r>
        <w:rPr>
          <w:spacing w:val="7"/>
        </w:rPr>
        <w:t xml:space="preserve"> </w:t>
      </w:r>
      <w:r>
        <w:t>to</w:t>
      </w:r>
      <w:r>
        <w:rPr>
          <w:spacing w:val="7"/>
        </w:rPr>
        <w:t xml:space="preserve"> </w:t>
      </w:r>
      <w:r>
        <w:t>the</w:t>
      </w:r>
      <w:r>
        <w:rPr>
          <w:spacing w:val="7"/>
        </w:rPr>
        <w:t xml:space="preserve"> </w:t>
      </w:r>
      <w:r>
        <w:rPr>
          <w:spacing w:val="-1"/>
        </w:rPr>
        <w:t>circumstances</w:t>
      </w:r>
      <w:r>
        <w:rPr>
          <w:spacing w:val="10"/>
        </w:rPr>
        <w:t xml:space="preserve"> </w:t>
      </w:r>
      <w:r>
        <w:rPr>
          <w:spacing w:val="-1"/>
        </w:rPr>
        <w:t>and</w:t>
      </w:r>
      <w:r>
        <w:rPr>
          <w:spacing w:val="7"/>
        </w:rPr>
        <w:t xml:space="preserve"> </w:t>
      </w:r>
      <w:r>
        <w:rPr>
          <w:spacing w:val="-1"/>
        </w:rPr>
        <w:t>as</w:t>
      </w:r>
      <w:r>
        <w:rPr>
          <w:spacing w:val="42"/>
        </w:rPr>
        <w:t xml:space="preserve"> </w:t>
      </w:r>
      <w:r>
        <w:rPr>
          <w:spacing w:val="-1"/>
        </w:rPr>
        <w:t>agreed</w:t>
      </w:r>
      <w:r>
        <w:t xml:space="preserve"> </w:t>
      </w:r>
      <w:r>
        <w:rPr>
          <w:spacing w:val="-2"/>
        </w:rPr>
        <w:t>with</w:t>
      </w:r>
      <w:r>
        <w:t xml:space="preserve"> the</w:t>
      </w:r>
      <w:r>
        <w:rPr>
          <w:spacing w:val="-2"/>
        </w:rPr>
        <w:t xml:space="preserve"> </w:t>
      </w:r>
      <w:r>
        <w:rPr>
          <w:spacing w:val="-1"/>
        </w:rPr>
        <w:t>Customer.</w:t>
      </w:r>
    </w:p>
    <w:p w:rsidR="008918FA" w:rsidRDefault="008918FA" w:rsidP="008918FA">
      <w:pPr>
        <w:pStyle w:val="Heading1"/>
        <w:numPr>
          <w:ilvl w:val="1"/>
          <w:numId w:val="65"/>
        </w:numPr>
        <w:tabs>
          <w:tab w:val="left" w:pos="689"/>
        </w:tabs>
        <w:spacing w:before="119"/>
        <w:ind w:left="688" w:hanging="359"/>
        <w:jc w:val="left"/>
        <w:rPr>
          <w:b w:val="0"/>
          <w:bCs w:val="0"/>
        </w:rPr>
      </w:pPr>
      <w:bookmarkStart w:id="92" w:name="_bookmark88"/>
      <w:bookmarkEnd w:id="92"/>
      <w:r>
        <w:rPr>
          <w:spacing w:val="-1"/>
        </w:rPr>
        <w:t>Warranty</w:t>
      </w:r>
      <w:r>
        <w:rPr>
          <w:spacing w:val="-4"/>
        </w:rPr>
        <w:t xml:space="preserve"> </w:t>
      </w:r>
      <w:r>
        <w:rPr>
          <w:spacing w:val="-1"/>
        </w:rPr>
        <w:t>of</w:t>
      </w:r>
      <w:r>
        <w:rPr>
          <w:spacing w:val="2"/>
        </w:rPr>
        <w:t xml:space="preserve"> </w:t>
      </w:r>
      <w:r>
        <w:rPr>
          <w:spacing w:val="-1"/>
        </w:rPr>
        <w:t>the</w:t>
      </w:r>
      <w:r>
        <w:rPr>
          <w:spacing w:val="-2"/>
        </w:rPr>
        <w:t xml:space="preserve"> </w:t>
      </w:r>
      <w:r>
        <w:rPr>
          <w:spacing w:val="-1"/>
        </w:rPr>
        <w:t>Goods</w:t>
      </w:r>
    </w:p>
    <w:p w:rsidR="008918FA" w:rsidRDefault="008918FA" w:rsidP="008918FA">
      <w:pPr>
        <w:pStyle w:val="BodyText"/>
        <w:numPr>
          <w:ilvl w:val="2"/>
          <w:numId w:val="65"/>
        </w:numPr>
        <w:tabs>
          <w:tab w:val="left" w:pos="1887"/>
        </w:tabs>
        <w:spacing w:before="121"/>
        <w:ind w:left="1886" w:right="116"/>
        <w:jc w:val="both"/>
      </w:pPr>
      <w:r>
        <w:t>The</w:t>
      </w:r>
      <w:r>
        <w:rPr>
          <w:spacing w:val="38"/>
        </w:rPr>
        <w:t xml:space="preserve"> </w:t>
      </w:r>
      <w:r>
        <w:rPr>
          <w:spacing w:val="-2"/>
        </w:rPr>
        <w:t>Supplier</w:t>
      </w:r>
      <w:r>
        <w:rPr>
          <w:spacing w:val="42"/>
        </w:rPr>
        <w:t xml:space="preserve"> </w:t>
      </w:r>
      <w:r>
        <w:rPr>
          <w:spacing w:val="-1"/>
        </w:rPr>
        <w:t>hereby</w:t>
      </w:r>
      <w:r>
        <w:rPr>
          <w:spacing w:val="36"/>
        </w:rPr>
        <w:t xml:space="preserve"> </w:t>
      </w:r>
      <w:r>
        <w:rPr>
          <w:spacing w:val="-1"/>
        </w:rPr>
        <w:t>guarantees</w:t>
      </w:r>
      <w:r>
        <w:rPr>
          <w:spacing w:val="39"/>
        </w:rPr>
        <w:t xml:space="preserve"> </w:t>
      </w:r>
      <w:r>
        <w:t>the</w:t>
      </w:r>
      <w:r>
        <w:rPr>
          <w:spacing w:val="38"/>
        </w:rPr>
        <w:t xml:space="preserve"> </w:t>
      </w:r>
      <w:r>
        <w:rPr>
          <w:spacing w:val="-1"/>
        </w:rPr>
        <w:t>Goods</w:t>
      </w:r>
      <w:r>
        <w:rPr>
          <w:spacing w:val="39"/>
        </w:rPr>
        <w:t xml:space="preserve"> </w:t>
      </w:r>
      <w:r>
        <w:t>for</w:t>
      </w:r>
      <w:r>
        <w:rPr>
          <w:spacing w:val="41"/>
        </w:rPr>
        <w:t xml:space="preserve"> </w:t>
      </w:r>
      <w:r>
        <w:t>the</w:t>
      </w:r>
      <w:r>
        <w:rPr>
          <w:spacing w:val="34"/>
        </w:rPr>
        <w:t xml:space="preserve"> </w:t>
      </w:r>
      <w:r>
        <w:rPr>
          <w:spacing w:val="-1"/>
        </w:rPr>
        <w:t>Warranty</w:t>
      </w:r>
      <w:r>
        <w:rPr>
          <w:spacing w:val="39"/>
        </w:rPr>
        <w:t xml:space="preserve"> </w:t>
      </w:r>
      <w:r>
        <w:rPr>
          <w:spacing w:val="-1"/>
        </w:rPr>
        <w:t>Period</w:t>
      </w:r>
      <w:r>
        <w:rPr>
          <w:spacing w:val="46"/>
        </w:rPr>
        <w:t xml:space="preserve"> </w:t>
      </w:r>
      <w:r>
        <w:rPr>
          <w:spacing w:val="-1"/>
        </w:rPr>
        <w:t>against</w:t>
      </w:r>
      <w:r>
        <w:rPr>
          <w:spacing w:val="-2"/>
        </w:rPr>
        <w:t xml:space="preserve"> </w:t>
      </w:r>
      <w:r>
        <w:rPr>
          <w:spacing w:val="-1"/>
        </w:rPr>
        <w:t>faulty</w:t>
      </w:r>
      <w:r>
        <w:rPr>
          <w:spacing w:val="-2"/>
        </w:rPr>
        <w:t xml:space="preserve"> </w:t>
      </w:r>
      <w:r>
        <w:rPr>
          <w:spacing w:val="-1"/>
        </w:rPr>
        <w:t>materials</w:t>
      </w:r>
      <w:r>
        <w:rPr>
          <w:spacing w:val="1"/>
        </w:rPr>
        <w:t xml:space="preserve"> </w:t>
      </w:r>
      <w:r>
        <w:rPr>
          <w:spacing w:val="-2"/>
        </w:rPr>
        <w:t>and</w:t>
      </w:r>
      <w:r>
        <w:t xml:space="preserve"> </w:t>
      </w:r>
      <w:r>
        <w:rPr>
          <w:spacing w:val="-1"/>
        </w:rPr>
        <w:t>workmanship.</w:t>
      </w:r>
    </w:p>
    <w:p w:rsidR="008918FA" w:rsidRDefault="008918FA" w:rsidP="008918FA">
      <w:pPr>
        <w:pStyle w:val="BodyText"/>
        <w:numPr>
          <w:ilvl w:val="2"/>
          <w:numId w:val="65"/>
        </w:numPr>
        <w:tabs>
          <w:tab w:val="left" w:pos="1887"/>
        </w:tabs>
        <w:spacing w:before="121" w:line="252" w:lineRule="exact"/>
        <w:ind w:left="1886"/>
      </w:pPr>
      <w:r>
        <w:rPr>
          <w:spacing w:val="-1"/>
        </w:rPr>
        <w:t>If</w:t>
      </w:r>
      <w:r>
        <w:rPr>
          <w:spacing w:val="14"/>
        </w:rPr>
        <w:t xml:space="preserve"> </w:t>
      </w:r>
      <w:r>
        <w:t>the</w:t>
      </w:r>
      <w:r>
        <w:rPr>
          <w:spacing w:val="10"/>
        </w:rPr>
        <w:t xml:space="preserve"> </w:t>
      </w:r>
      <w:r>
        <w:rPr>
          <w:spacing w:val="-2"/>
        </w:rPr>
        <w:t>Customer</w:t>
      </w:r>
      <w:r>
        <w:rPr>
          <w:spacing w:val="11"/>
        </w:rPr>
        <w:t xml:space="preserve"> </w:t>
      </w:r>
      <w:r>
        <w:rPr>
          <w:spacing w:val="-1"/>
        </w:rPr>
        <w:t>shall</w:t>
      </w:r>
      <w:r>
        <w:rPr>
          <w:spacing w:val="9"/>
        </w:rPr>
        <w:t xml:space="preserve"> </w:t>
      </w:r>
      <w:r>
        <w:rPr>
          <w:spacing w:val="-1"/>
        </w:rPr>
        <w:t>within</w:t>
      </w:r>
      <w:r>
        <w:rPr>
          <w:spacing w:val="10"/>
        </w:rPr>
        <w:t xml:space="preserve"> </w:t>
      </w:r>
      <w:r>
        <w:rPr>
          <w:spacing w:val="-1"/>
        </w:rPr>
        <w:t>such</w:t>
      </w:r>
      <w:r>
        <w:rPr>
          <w:spacing w:val="5"/>
        </w:rPr>
        <w:t xml:space="preserve"> </w:t>
      </w:r>
      <w:r>
        <w:t>Warranty</w:t>
      </w:r>
      <w:r>
        <w:rPr>
          <w:spacing w:val="8"/>
        </w:rPr>
        <w:t xml:space="preserve"> </w:t>
      </w:r>
      <w:r>
        <w:rPr>
          <w:spacing w:val="-1"/>
        </w:rPr>
        <w:t>Period</w:t>
      </w:r>
      <w:r>
        <w:rPr>
          <w:spacing w:val="10"/>
        </w:rPr>
        <w:t xml:space="preserve"> </w:t>
      </w:r>
      <w:r>
        <w:rPr>
          <w:spacing w:val="-1"/>
        </w:rPr>
        <w:t>or</w:t>
      </w:r>
      <w:r>
        <w:rPr>
          <w:spacing w:val="11"/>
        </w:rPr>
        <w:t xml:space="preserve"> </w:t>
      </w:r>
      <w:r>
        <w:rPr>
          <w:spacing w:val="-2"/>
        </w:rPr>
        <w:t>within</w:t>
      </w:r>
      <w:r>
        <w:rPr>
          <w:spacing w:val="10"/>
        </w:rPr>
        <w:t xml:space="preserve"> </w:t>
      </w:r>
      <w:r>
        <w:rPr>
          <w:spacing w:val="-1"/>
        </w:rPr>
        <w:t>twenty</w:t>
      </w:r>
      <w:r>
        <w:rPr>
          <w:spacing w:val="10"/>
        </w:rPr>
        <w:t xml:space="preserve"> </w:t>
      </w:r>
      <w:r>
        <w:rPr>
          <w:spacing w:val="-1"/>
        </w:rPr>
        <w:t>five</w:t>
      </w:r>
    </w:p>
    <w:p w:rsidR="008918FA" w:rsidRDefault="008918FA" w:rsidP="008918FA">
      <w:pPr>
        <w:pStyle w:val="BodyText"/>
        <w:spacing w:before="0"/>
        <w:ind w:right="114" w:firstLine="0"/>
        <w:jc w:val="both"/>
      </w:pPr>
      <w:r>
        <w:rPr>
          <w:spacing w:val="-1"/>
        </w:rPr>
        <w:t>(25)</w:t>
      </w:r>
      <w:r>
        <w:rPr>
          <w:spacing w:val="26"/>
        </w:rPr>
        <w:t xml:space="preserve"> </w:t>
      </w:r>
      <w:r>
        <w:rPr>
          <w:spacing w:val="-1"/>
        </w:rPr>
        <w:t>Working</w:t>
      </w:r>
      <w:r>
        <w:rPr>
          <w:spacing w:val="31"/>
        </w:rPr>
        <w:t xml:space="preserve"> </w:t>
      </w:r>
      <w:r>
        <w:rPr>
          <w:spacing w:val="-2"/>
        </w:rPr>
        <w:t>Days</w:t>
      </w:r>
      <w:r>
        <w:rPr>
          <w:spacing w:val="30"/>
        </w:rPr>
        <w:t xml:space="preserve"> </w:t>
      </w:r>
      <w:r>
        <w:rPr>
          <w:spacing w:val="-1"/>
        </w:rPr>
        <w:t>thereafter</w:t>
      </w:r>
      <w:r>
        <w:rPr>
          <w:spacing w:val="28"/>
        </w:rPr>
        <w:t xml:space="preserve"> </w:t>
      </w:r>
      <w:r>
        <w:rPr>
          <w:spacing w:val="-1"/>
        </w:rPr>
        <w:t>give</w:t>
      </w:r>
      <w:r>
        <w:rPr>
          <w:spacing w:val="29"/>
        </w:rPr>
        <w:t xml:space="preserve"> </w:t>
      </w:r>
      <w:r>
        <w:rPr>
          <w:spacing w:val="-1"/>
        </w:rPr>
        <w:t>notice</w:t>
      </w:r>
      <w:r>
        <w:rPr>
          <w:spacing w:val="30"/>
        </w:rPr>
        <w:t xml:space="preserve"> </w:t>
      </w:r>
      <w:r>
        <w:rPr>
          <w:spacing w:val="-1"/>
        </w:rPr>
        <w:t>in</w:t>
      </w:r>
      <w:r>
        <w:rPr>
          <w:spacing w:val="31"/>
        </w:rPr>
        <w:t xml:space="preserve"> </w:t>
      </w:r>
      <w:r>
        <w:rPr>
          <w:spacing w:val="-2"/>
        </w:rPr>
        <w:t>writing</w:t>
      </w:r>
      <w:r>
        <w:rPr>
          <w:spacing w:val="31"/>
        </w:rPr>
        <w:t xml:space="preserve"> </w:t>
      </w:r>
      <w:r>
        <w:t>to</w:t>
      </w:r>
      <w:r>
        <w:rPr>
          <w:spacing w:val="27"/>
        </w:rPr>
        <w:t xml:space="preserve"> </w:t>
      </w:r>
      <w:r>
        <w:t>the</w:t>
      </w:r>
      <w:r>
        <w:rPr>
          <w:spacing w:val="29"/>
        </w:rPr>
        <w:t xml:space="preserve"> </w:t>
      </w:r>
      <w:r>
        <w:rPr>
          <w:spacing w:val="-2"/>
        </w:rPr>
        <w:t>Supplier</w:t>
      </w:r>
      <w:r>
        <w:rPr>
          <w:spacing w:val="30"/>
        </w:rPr>
        <w:t xml:space="preserve"> </w:t>
      </w:r>
      <w:r>
        <w:rPr>
          <w:spacing w:val="-2"/>
        </w:rPr>
        <w:t>of</w:t>
      </w:r>
      <w:r>
        <w:rPr>
          <w:spacing w:val="61"/>
        </w:rPr>
        <w:t xml:space="preserve"> </w:t>
      </w:r>
      <w:r>
        <w:rPr>
          <w:spacing w:val="-1"/>
        </w:rPr>
        <w:t>any</w:t>
      </w:r>
      <w:r>
        <w:rPr>
          <w:spacing w:val="61"/>
        </w:rPr>
        <w:t xml:space="preserve"> </w:t>
      </w:r>
      <w:r>
        <w:rPr>
          <w:spacing w:val="-1"/>
        </w:rPr>
        <w:t>defect</w:t>
      </w:r>
      <w:r>
        <w:rPr>
          <w:spacing w:val="3"/>
        </w:rPr>
        <w:t xml:space="preserve"> </w:t>
      </w:r>
      <w:r>
        <w:rPr>
          <w:spacing w:val="-1"/>
        </w:rPr>
        <w:t>in</w:t>
      </w:r>
      <w:r>
        <w:rPr>
          <w:spacing w:val="2"/>
        </w:rPr>
        <w:t xml:space="preserve"> </w:t>
      </w:r>
      <w:r>
        <w:rPr>
          <w:spacing w:val="-1"/>
        </w:rPr>
        <w:t>any</w:t>
      </w:r>
      <w:r>
        <w:t xml:space="preserve"> </w:t>
      </w:r>
      <w:r>
        <w:rPr>
          <w:spacing w:val="-1"/>
        </w:rPr>
        <w:t>of</w:t>
      </w:r>
      <w:r>
        <w:rPr>
          <w:spacing w:val="5"/>
        </w:rPr>
        <w:t xml:space="preserve"> </w:t>
      </w:r>
      <w:r>
        <w:rPr>
          <w:spacing w:val="-1"/>
        </w:rPr>
        <w:t>the</w:t>
      </w:r>
      <w:r>
        <w:rPr>
          <w:spacing w:val="2"/>
        </w:rPr>
        <w:t xml:space="preserve"> </w:t>
      </w:r>
      <w:r>
        <w:rPr>
          <w:spacing w:val="-1"/>
        </w:rPr>
        <w:t>Goods</w:t>
      </w:r>
      <w:r>
        <w:rPr>
          <w:spacing w:val="2"/>
        </w:rPr>
        <w:t xml:space="preserve"> </w:t>
      </w:r>
      <w:r>
        <w:rPr>
          <w:spacing w:val="-1"/>
        </w:rPr>
        <w:t>as</w:t>
      </w:r>
      <w:r>
        <w:rPr>
          <w:spacing w:val="2"/>
        </w:rPr>
        <w:t xml:space="preserve"> </w:t>
      </w:r>
      <w:r w:rsidR="001C1527">
        <w:rPr>
          <w:spacing w:val="-1"/>
        </w:rPr>
        <w:t>may</w:t>
      </w:r>
      <w:r w:rsidR="001C1527">
        <w:t xml:space="preserve"> have</w:t>
      </w:r>
      <w:r>
        <w:rPr>
          <w:spacing w:val="2"/>
        </w:rPr>
        <w:t xml:space="preserve"> </w:t>
      </w:r>
      <w:r>
        <w:rPr>
          <w:spacing w:val="-1"/>
        </w:rPr>
        <w:t>arisen</w:t>
      </w:r>
      <w:r>
        <w:rPr>
          <w:spacing w:val="2"/>
        </w:rPr>
        <w:t xml:space="preserve"> </w:t>
      </w:r>
      <w:r>
        <w:rPr>
          <w:spacing w:val="-1"/>
        </w:rPr>
        <w:t>during</w:t>
      </w:r>
      <w:r>
        <w:rPr>
          <w:spacing w:val="4"/>
        </w:rPr>
        <w:t xml:space="preserve"> </w:t>
      </w:r>
      <w:r>
        <w:rPr>
          <w:spacing w:val="-1"/>
        </w:rPr>
        <w:t>such</w:t>
      </w:r>
      <w:r>
        <w:rPr>
          <w:spacing w:val="38"/>
        </w:rPr>
        <w:t xml:space="preserve"> </w:t>
      </w:r>
      <w:r>
        <w:rPr>
          <w:spacing w:val="-1"/>
        </w:rPr>
        <w:t>Warranty</w:t>
      </w:r>
      <w:r>
        <w:rPr>
          <w:spacing w:val="4"/>
        </w:rPr>
        <w:t xml:space="preserve"> </w:t>
      </w:r>
      <w:r>
        <w:rPr>
          <w:spacing w:val="-1"/>
        </w:rPr>
        <w:t>Period</w:t>
      </w:r>
      <w:r>
        <w:rPr>
          <w:spacing w:val="6"/>
        </w:rPr>
        <w:t xml:space="preserve"> </w:t>
      </w:r>
      <w:r>
        <w:rPr>
          <w:spacing w:val="-1"/>
        </w:rPr>
        <w:t>under</w:t>
      </w:r>
      <w:r>
        <w:rPr>
          <w:spacing w:val="8"/>
        </w:rPr>
        <w:t xml:space="preserve"> </w:t>
      </w:r>
      <w:r>
        <w:rPr>
          <w:spacing w:val="-1"/>
        </w:rPr>
        <w:t>proper</w:t>
      </w:r>
      <w:r>
        <w:rPr>
          <w:spacing w:val="8"/>
        </w:rPr>
        <w:t xml:space="preserve"> </w:t>
      </w:r>
      <w:r>
        <w:rPr>
          <w:spacing w:val="-1"/>
        </w:rPr>
        <w:t>and</w:t>
      </w:r>
      <w:r>
        <w:rPr>
          <w:spacing w:val="6"/>
        </w:rPr>
        <w:t xml:space="preserve"> </w:t>
      </w:r>
      <w:r>
        <w:rPr>
          <w:spacing w:val="-1"/>
        </w:rPr>
        <w:t>normal</w:t>
      </w:r>
      <w:r>
        <w:rPr>
          <w:spacing w:val="6"/>
        </w:rPr>
        <w:t xml:space="preserve"> </w:t>
      </w:r>
      <w:r>
        <w:rPr>
          <w:spacing w:val="-1"/>
        </w:rPr>
        <w:t>use,</w:t>
      </w:r>
      <w:r>
        <w:rPr>
          <w:spacing w:val="8"/>
        </w:rPr>
        <w:t xml:space="preserve"> </w:t>
      </w:r>
      <w:r>
        <w:t>the</w:t>
      </w:r>
      <w:r>
        <w:rPr>
          <w:spacing w:val="6"/>
        </w:rPr>
        <w:t xml:space="preserve"> </w:t>
      </w:r>
      <w:r>
        <w:rPr>
          <w:spacing w:val="-2"/>
        </w:rPr>
        <w:t>Supplier</w:t>
      </w:r>
      <w:r>
        <w:rPr>
          <w:spacing w:val="8"/>
        </w:rPr>
        <w:t xml:space="preserve"> </w:t>
      </w:r>
      <w:r>
        <w:rPr>
          <w:spacing w:val="-1"/>
        </w:rPr>
        <w:t>shall</w:t>
      </w:r>
      <w:r>
        <w:rPr>
          <w:spacing w:val="47"/>
        </w:rPr>
        <w:t xml:space="preserve"> </w:t>
      </w:r>
      <w:r>
        <w:rPr>
          <w:spacing w:val="-1"/>
        </w:rPr>
        <w:t>(without</w:t>
      </w:r>
      <w:r>
        <w:rPr>
          <w:spacing w:val="35"/>
        </w:rPr>
        <w:t xml:space="preserve"> </w:t>
      </w:r>
      <w:r>
        <w:rPr>
          <w:spacing w:val="-1"/>
        </w:rPr>
        <w:t>prejudice</w:t>
      </w:r>
      <w:r>
        <w:rPr>
          <w:spacing w:val="34"/>
        </w:rPr>
        <w:t xml:space="preserve"> </w:t>
      </w:r>
      <w:r>
        <w:t>to</w:t>
      </w:r>
      <w:r>
        <w:rPr>
          <w:spacing w:val="34"/>
        </w:rPr>
        <w:t xml:space="preserve"> </w:t>
      </w:r>
      <w:r>
        <w:rPr>
          <w:spacing w:val="-2"/>
        </w:rPr>
        <w:t>any</w:t>
      </w:r>
      <w:r>
        <w:rPr>
          <w:spacing w:val="32"/>
        </w:rPr>
        <w:t xml:space="preserve"> </w:t>
      </w:r>
      <w:r>
        <w:rPr>
          <w:spacing w:val="-1"/>
        </w:rPr>
        <w:t>other</w:t>
      </w:r>
      <w:r>
        <w:rPr>
          <w:spacing w:val="35"/>
        </w:rPr>
        <w:t xml:space="preserve"> </w:t>
      </w:r>
      <w:r>
        <w:t>rights</w:t>
      </w:r>
      <w:r>
        <w:rPr>
          <w:spacing w:val="34"/>
        </w:rPr>
        <w:t xml:space="preserve"> </w:t>
      </w:r>
      <w:r>
        <w:rPr>
          <w:spacing w:val="-1"/>
        </w:rPr>
        <w:t>and</w:t>
      </w:r>
      <w:r>
        <w:rPr>
          <w:spacing w:val="35"/>
        </w:rPr>
        <w:t xml:space="preserve"> </w:t>
      </w:r>
      <w:r>
        <w:rPr>
          <w:spacing w:val="-2"/>
        </w:rPr>
        <w:t>remedies</w:t>
      </w:r>
      <w:r>
        <w:rPr>
          <w:spacing w:val="36"/>
        </w:rPr>
        <w:t xml:space="preserve"> </w:t>
      </w:r>
      <w:r>
        <w:rPr>
          <w:spacing w:val="-1"/>
        </w:rPr>
        <w:t>of</w:t>
      </w:r>
      <w:r>
        <w:rPr>
          <w:spacing w:val="38"/>
        </w:rPr>
        <w:t xml:space="preserve"> </w:t>
      </w:r>
      <w:r>
        <w:t>the</w:t>
      </w:r>
      <w:r>
        <w:rPr>
          <w:spacing w:val="34"/>
        </w:rPr>
        <w:t xml:space="preserve"> </w:t>
      </w:r>
      <w:r>
        <w:rPr>
          <w:spacing w:val="-2"/>
        </w:rPr>
        <w:t>Customer</w:t>
      </w:r>
      <w:r>
        <w:rPr>
          <w:spacing w:val="49"/>
        </w:rPr>
        <w:t xml:space="preserve"> </w:t>
      </w:r>
      <w:r>
        <w:rPr>
          <w:spacing w:val="-1"/>
        </w:rPr>
        <w:t>howsoever</w:t>
      </w:r>
      <w:r>
        <w:rPr>
          <w:spacing w:val="4"/>
        </w:rPr>
        <w:t xml:space="preserve"> </w:t>
      </w:r>
      <w:r>
        <w:rPr>
          <w:spacing w:val="-1"/>
        </w:rPr>
        <w:t>arising)</w:t>
      </w:r>
      <w:r>
        <w:rPr>
          <w:spacing w:val="2"/>
        </w:rPr>
        <w:t xml:space="preserve"> </w:t>
      </w:r>
      <w:r>
        <w:rPr>
          <w:spacing w:val="-1"/>
        </w:rPr>
        <w:t>promptly</w:t>
      </w:r>
      <w:r>
        <w:rPr>
          <w:spacing w:val="1"/>
        </w:rPr>
        <w:t xml:space="preserve"> </w:t>
      </w:r>
      <w:r>
        <w:rPr>
          <w:spacing w:val="-1"/>
        </w:rPr>
        <w:t>remedy</w:t>
      </w:r>
      <w:r>
        <w:rPr>
          <w:spacing w:val="1"/>
        </w:rPr>
        <w:t xml:space="preserve"> </w:t>
      </w:r>
      <w:r>
        <w:rPr>
          <w:spacing w:val="-1"/>
        </w:rPr>
        <w:t>such</w:t>
      </w:r>
      <w:r>
        <w:rPr>
          <w:spacing w:val="1"/>
        </w:rPr>
        <w:t xml:space="preserve"> </w:t>
      </w:r>
      <w:r>
        <w:rPr>
          <w:spacing w:val="-1"/>
        </w:rPr>
        <w:t>faults</w:t>
      </w:r>
      <w:r>
        <w:rPr>
          <w:spacing w:val="3"/>
        </w:rPr>
        <w:t xml:space="preserve"> </w:t>
      </w:r>
      <w:r>
        <w:rPr>
          <w:spacing w:val="-2"/>
        </w:rPr>
        <w:t>or</w:t>
      </w:r>
      <w:r>
        <w:rPr>
          <w:spacing w:val="4"/>
        </w:rPr>
        <w:t xml:space="preserve"> </w:t>
      </w:r>
      <w:r>
        <w:rPr>
          <w:spacing w:val="-1"/>
        </w:rPr>
        <w:t>defects</w:t>
      </w:r>
      <w:r>
        <w:rPr>
          <w:spacing w:val="1"/>
        </w:rPr>
        <w:t xml:space="preserve"> </w:t>
      </w:r>
      <w:r>
        <w:rPr>
          <w:spacing w:val="-1"/>
        </w:rPr>
        <w:t>(whether</w:t>
      </w:r>
      <w:r>
        <w:rPr>
          <w:spacing w:val="4"/>
        </w:rPr>
        <w:t xml:space="preserve"> </w:t>
      </w:r>
      <w:r>
        <w:rPr>
          <w:spacing w:val="-1"/>
        </w:rPr>
        <w:t>by</w:t>
      </w:r>
      <w:r>
        <w:rPr>
          <w:spacing w:val="36"/>
        </w:rPr>
        <w:t xml:space="preserve"> </w:t>
      </w:r>
      <w:r>
        <w:rPr>
          <w:spacing w:val="-1"/>
        </w:rPr>
        <w:t>repair</w:t>
      </w:r>
      <w:r>
        <w:rPr>
          <w:spacing w:val="2"/>
        </w:rPr>
        <w:t xml:space="preserve"> </w:t>
      </w:r>
      <w:r>
        <w:rPr>
          <w:spacing w:val="-2"/>
        </w:rPr>
        <w:t>or</w:t>
      </w:r>
      <w:r>
        <w:rPr>
          <w:spacing w:val="-1"/>
        </w:rPr>
        <w:t xml:space="preserve"> replacement</w:t>
      </w:r>
      <w:r>
        <w:rPr>
          <w:spacing w:val="2"/>
        </w:rPr>
        <w:t xml:space="preserve"> </w:t>
      </w:r>
      <w:r>
        <w:rPr>
          <w:spacing w:val="-1"/>
        </w:rPr>
        <w:t>as</w:t>
      </w:r>
      <w:r>
        <w:rPr>
          <w:spacing w:val="-4"/>
        </w:rPr>
        <w:t xml:space="preserve"> </w:t>
      </w:r>
      <w:r>
        <w:t xml:space="preserve">the </w:t>
      </w:r>
      <w:r>
        <w:rPr>
          <w:spacing w:val="-2"/>
        </w:rPr>
        <w:t>Customer</w:t>
      </w:r>
      <w:r>
        <w:rPr>
          <w:spacing w:val="2"/>
        </w:rPr>
        <w:t xml:space="preserve"> </w:t>
      </w:r>
      <w:r>
        <w:rPr>
          <w:spacing w:val="-1"/>
        </w:rPr>
        <w:t>shall</w:t>
      </w:r>
      <w:r>
        <w:t xml:space="preserve"> </w:t>
      </w:r>
      <w:r>
        <w:rPr>
          <w:spacing w:val="-1"/>
        </w:rPr>
        <w:t>elect)</w:t>
      </w:r>
      <w:r>
        <w:rPr>
          <w:spacing w:val="-3"/>
        </w:rPr>
        <w:t xml:space="preserve"> </w:t>
      </w:r>
      <w:r>
        <w:t xml:space="preserve">free </w:t>
      </w:r>
      <w:r>
        <w:rPr>
          <w:spacing w:val="-2"/>
        </w:rPr>
        <w:t>of</w:t>
      </w:r>
      <w:r>
        <w:rPr>
          <w:spacing w:val="2"/>
        </w:rPr>
        <w:t xml:space="preserve"> </w:t>
      </w:r>
      <w:r>
        <w:rPr>
          <w:spacing w:val="-1"/>
        </w:rPr>
        <w:t>charge.</w:t>
      </w:r>
    </w:p>
    <w:p w:rsidR="008918FA" w:rsidRDefault="008918FA" w:rsidP="008918FA">
      <w:pPr>
        <w:pStyle w:val="Heading1"/>
        <w:numPr>
          <w:ilvl w:val="1"/>
          <w:numId w:val="65"/>
        </w:numPr>
        <w:tabs>
          <w:tab w:val="left" w:pos="689"/>
        </w:tabs>
        <w:spacing w:before="119"/>
        <w:ind w:left="688"/>
        <w:jc w:val="left"/>
        <w:rPr>
          <w:b w:val="0"/>
          <w:bCs w:val="0"/>
        </w:rPr>
      </w:pPr>
      <w:r>
        <w:rPr>
          <w:spacing w:val="-1"/>
        </w:rPr>
        <w:t>Obligation</w:t>
      </w:r>
      <w:r>
        <w:rPr>
          <w:spacing w:val="-2"/>
        </w:rPr>
        <w:t xml:space="preserve"> </w:t>
      </w:r>
      <w:r>
        <w:t xml:space="preserve">to </w:t>
      </w:r>
      <w:r>
        <w:rPr>
          <w:spacing w:val="-2"/>
        </w:rPr>
        <w:t xml:space="preserve">Remedy </w:t>
      </w:r>
      <w:r>
        <w:rPr>
          <w:spacing w:val="-1"/>
        </w:rPr>
        <w:t xml:space="preserve">Default </w:t>
      </w:r>
      <w:r>
        <w:t>in</w:t>
      </w:r>
      <w:r>
        <w:rPr>
          <w:spacing w:val="-2"/>
        </w:rPr>
        <w:t xml:space="preserve"> </w:t>
      </w:r>
      <w:r>
        <w:rPr>
          <w:spacing w:val="-1"/>
        </w:rPr>
        <w:t>the</w:t>
      </w:r>
      <w:r>
        <w:rPr>
          <w:spacing w:val="-2"/>
        </w:rPr>
        <w:t xml:space="preserve"> </w:t>
      </w:r>
      <w:r>
        <w:rPr>
          <w:spacing w:val="-1"/>
        </w:rPr>
        <w:t>Supply</w:t>
      </w:r>
      <w:r>
        <w:rPr>
          <w:spacing w:val="-4"/>
        </w:rPr>
        <w:t xml:space="preserve"> </w:t>
      </w:r>
      <w:r>
        <w:rPr>
          <w:spacing w:val="-1"/>
        </w:rPr>
        <w:t>of</w:t>
      </w:r>
      <w:r>
        <w:rPr>
          <w:spacing w:val="2"/>
        </w:rPr>
        <w:t xml:space="preserve"> </w:t>
      </w:r>
      <w:r>
        <w:rPr>
          <w:spacing w:val="-1"/>
        </w:rPr>
        <w:t>the</w:t>
      </w:r>
      <w:r>
        <w:rPr>
          <w:spacing w:val="-4"/>
        </w:rPr>
        <w:t xml:space="preserve"> </w:t>
      </w:r>
      <w:r>
        <w:rPr>
          <w:spacing w:val="-1"/>
        </w:rPr>
        <w:t>Goods</w:t>
      </w:r>
    </w:p>
    <w:p w:rsidR="008918FA" w:rsidRDefault="008918FA" w:rsidP="008918FA">
      <w:pPr>
        <w:pStyle w:val="BodyText"/>
        <w:numPr>
          <w:ilvl w:val="2"/>
          <w:numId w:val="65"/>
        </w:numPr>
        <w:tabs>
          <w:tab w:val="left" w:pos="1887"/>
        </w:tabs>
        <w:spacing w:before="121"/>
        <w:ind w:left="1886" w:right="114"/>
        <w:jc w:val="both"/>
      </w:pPr>
      <w:r>
        <w:rPr>
          <w:spacing w:val="-1"/>
        </w:rPr>
        <w:t>Subject</w:t>
      </w:r>
      <w:r>
        <w:rPr>
          <w:spacing w:val="60"/>
        </w:rPr>
        <w:t xml:space="preserve"> </w:t>
      </w:r>
      <w:r>
        <w:t>to</w:t>
      </w:r>
      <w:r>
        <w:rPr>
          <w:spacing w:val="58"/>
        </w:rPr>
        <w:t xml:space="preserve"> </w:t>
      </w:r>
      <w:r>
        <w:rPr>
          <w:spacing w:val="-1"/>
        </w:rPr>
        <w:t>Clauses</w:t>
      </w:r>
      <w:r>
        <w:rPr>
          <w:spacing w:val="59"/>
        </w:rPr>
        <w:t xml:space="preserve"> </w:t>
      </w:r>
      <w:hyperlink w:anchor="_bookmark175" w:history="1">
        <w:r>
          <w:rPr>
            <w:spacing w:val="-1"/>
          </w:rPr>
          <w:t>33.9.2</w:t>
        </w:r>
      </w:hyperlink>
      <w:r>
        <w:rPr>
          <w:spacing w:val="58"/>
        </w:rPr>
        <w:t xml:space="preserve"> </w:t>
      </w:r>
      <w:r>
        <w:rPr>
          <w:spacing w:val="-1"/>
        </w:rPr>
        <w:t>and</w:t>
      </w:r>
      <w:r>
        <w:rPr>
          <w:spacing w:val="58"/>
        </w:rPr>
        <w:t xml:space="preserve"> </w:t>
      </w:r>
      <w:hyperlink w:anchor="_bookmark178" w:history="1">
        <w:r>
          <w:rPr>
            <w:spacing w:val="-1"/>
          </w:rPr>
          <w:t>33.9.3</w:t>
        </w:r>
      </w:hyperlink>
      <w:r>
        <w:rPr>
          <w:spacing w:val="58"/>
        </w:rPr>
        <w:t xml:space="preserve"> </w:t>
      </w:r>
      <w:r>
        <w:t>(IPR</w:t>
      </w:r>
      <w:r>
        <w:rPr>
          <w:spacing w:val="58"/>
        </w:rPr>
        <w:t xml:space="preserve"> </w:t>
      </w:r>
      <w:r>
        <w:rPr>
          <w:spacing w:val="-1"/>
        </w:rPr>
        <w:t>Indemnity)</w:t>
      </w:r>
      <w:r>
        <w:rPr>
          <w:spacing w:val="59"/>
        </w:rPr>
        <w:t xml:space="preserve"> </w:t>
      </w:r>
      <w:r>
        <w:rPr>
          <w:spacing w:val="-1"/>
        </w:rPr>
        <w:t>and</w:t>
      </w:r>
      <w:r>
        <w:rPr>
          <w:spacing w:val="60"/>
        </w:rPr>
        <w:t xml:space="preserve"> </w:t>
      </w:r>
      <w:r>
        <w:rPr>
          <w:spacing w:val="-2"/>
        </w:rPr>
        <w:t>without</w:t>
      </w:r>
      <w:r>
        <w:rPr>
          <w:spacing w:val="38"/>
        </w:rPr>
        <w:t xml:space="preserve"> </w:t>
      </w:r>
      <w:r>
        <w:rPr>
          <w:spacing w:val="-1"/>
        </w:rPr>
        <w:t>prejudice</w:t>
      </w:r>
      <w:r>
        <w:rPr>
          <w:spacing w:val="5"/>
        </w:rPr>
        <w:t xml:space="preserve"> </w:t>
      </w:r>
      <w:r>
        <w:t>to</w:t>
      </w:r>
      <w:r>
        <w:rPr>
          <w:spacing w:val="5"/>
        </w:rPr>
        <w:t xml:space="preserve"> </w:t>
      </w:r>
      <w:r>
        <w:rPr>
          <w:spacing w:val="-1"/>
        </w:rPr>
        <w:t>any</w:t>
      </w:r>
      <w:r>
        <w:rPr>
          <w:spacing w:val="3"/>
        </w:rPr>
        <w:t xml:space="preserve"> </w:t>
      </w:r>
      <w:r>
        <w:rPr>
          <w:spacing w:val="-1"/>
        </w:rPr>
        <w:t>other</w:t>
      </w:r>
      <w:r>
        <w:rPr>
          <w:spacing w:val="6"/>
        </w:rPr>
        <w:t xml:space="preserve"> </w:t>
      </w:r>
      <w:r>
        <w:rPr>
          <w:spacing w:val="-1"/>
        </w:rPr>
        <w:t>rights</w:t>
      </w:r>
      <w:r>
        <w:rPr>
          <w:spacing w:val="5"/>
        </w:rPr>
        <w:t xml:space="preserve"> </w:t>
      </w:r>
      <w:r>
        <w:rPr>
          <w:spacing w:val="-1"/>
        </w:rPr>
        <w:t>and</w:t>
      </w:r>
      <w:r>
        <w:rPr>
          <w:spacing w:val="5"/>
        </w:rPr>
        <w:t xml:space="preserve"> </w:t>
      </w:r>
      <w:r>
        <w:rPr>
          <w:spacing w:val="-1"/>
        </w:rPr>
        <w:t>remedies</w:t>
      </w:r>
      <w:r>
        <w:rPr>
          <w:spacing w:val="5"/>
        </w:rPr>
        <w:t xml:space="preserve"> </w:t>
      </w:r>
      <w:r>
        <w:rPr>
          <w:spacing w:val="-2"/>
        </w:rPr>
        <w:t>of</w:t>
      </w:r>
      <w:r>
        <w:rPr>
          <w:spacing w:val="9"/>
        </w:rPr>
        <w:t xml:space="preserve"> </w:t>
      </w:r>
      <w:r>
        <w:t>the</w:t>
      </w:r>
      <w:r>
        <w:rPr>
          <w:spacing w:val="3"/>
        </w:rPr>
        <w:t xml:space="preserve"> </w:t>
      </w:r>
      <w:r>
        <w:rPr>
          <w:spacing w:val="-1"/>
        </w:rPr>
        <w:t>Customer</w:t>
      </w:r>
      <w:r>
        <w:rPr>
          <w:spacing w:val="6"/>
        </w:rPr>
        <w:t xml:space="preserve"> </w:t>
      </w:r>
      <w:r>
        <w:rPr>
          <w:spacing w:val="-2"/>
        </w:rPr>
        <w:t>howsoever</w:t>
      </w:r>
      <w:r>
        <w:rPr>
          <w:spacing w:val="30"/>
        </w:rPr>
        <w:t xml:space="preserve"> </w:t>
      </w:r>
      <w:r>
        <w:rPr>
          <w:spacing w:val="-1"/>
        </w:rPr>
        <w:t>arising</w:t>
      </w:r>
      <w:r>
        <w:rPr>
          <w:spacing w:val="53"/>
        </w:rPr>
        <w:t xml:space="preserve"> </w:t>
      </w:r>
      <w:r>
        <w:rPr>
          <w:spacing w:val="-1"/>
        </w:rPr>
        <w:t>(including</w:t>
      </w:r>
      <w:r>
        <w:rPr>
          <w:spacing w:val="53"/>
        </w:rPr>
        <w:t xml:space="preserve"> </w:t>
      </w:r>
      <w:r>
        <w:rPr>
          <w:spacing w:val="-2"/>
        </w:rPr>
        <w:t>under</w:t>
      </w:r>
      <w:r>
        <w:rPr>
          <w:spacing w:val="49"/>
        </w:rPr>
        <w:t xml:space="preserve"> </w:t>
      </w:r>
      <w:r>
        <w:rPr>
          <w:spacing w:val="-1"/>
        </w:rPr>
        <w:t>Clauses</w:t>
      </w:r>
      <w:r>
        <w:rPr>
          <w:spacing w:val="51"/>
        </w:rPr>
        <w:t xml:space="preserve"> </w:t>
      </w:r>
      <w:hyperlink w:anchor="_bookmark82" w:history="1">
        <w:r>
          <w:t>9.3.2</w:t>
        </w:r>
      </w:hyperlink>
      <w:r>
        <w:rPr>
          <w:spacing w:val="51"/>
        </w:rPr>
        <w:t xml:space="preserve"> </w:t>
      </w:r>
      <w:r>
        <w:rPr>
          <w:spacing w:val="-1"/>
        </w:rPr>
        <w:t>(Undelivered</w:t>
      </w:r>
      <w:r>
        <w:rPr>
          <w:spacing w:val="51"/>
        </w:rPr>
        <w:t xml:space="preserve"> </w:t>
      </w:r>
      <w:r>
        <w:rPr>
          <w:spacing w:val="-1"/>
        </w:rPr>
        <w:t>Goods)</w:t>
      </w:r>
      <w:r>
        <w:rPr>
          <w:spacing w:val="54"/>
        </w:rPr>
        <w:t xml:space="preserve"> </w:t>
      </w:r>
      <w:r>
        <w:rPr>
          <w:spacing w:val="-1"/>
        </w:rPr>
        <w:t>and</w:t>
      </w:r>
      <w:r>
        <w:rPr>
          <w:spacing w:val="51"/>
        </w:rPr>
        <w:t xml:space="preserve"> </w:t>
      </w:r>
      <w:hyperlink w:anchor="_bookmark214" w:history="1">
        <w:r>
          <w:rPr>
            <w:spacing w:val="-1"/>
          </w:rPr>
          <w:t>38</w:t>
        </w:r>
      </w:hyperlink>
      <w:r>
        <w:rPr>
          <w:spacing w:val="29"/>
        </w:rPr>
        <w:t xml:space="preserve"> </w:t>
      </w:r>
      <w:r>
        <w:rPr>
          <w:spacing w:val="-1"/>
        </w:rPr>
        <w:t>(Customer</w:t>
      </w:r>
      <w:r>
        <w:rPr>
          <w:spacing w:val="33"/>
        </w:rPr>
        <w:t xml:space="preserve"> </w:t>
      </w:r>
      <w:r>
        <w:rPr>
          <w:spacing w:val="-1"/>
        </w:rPr>
        <w:t>Remedies</w:t>
      </w:r>
      <w:r>
        <w:rPr>
          <w:spacing w:val="30"/>
        </w:rPr>
        <w:t xml:space="preserve"> </w:t>
      </w:r>
      <w:r>
        <w:t>for</w:t>
      </w:r>
      <w:r>
        <w:rPr>
          <w:spacing w:val="33"/>
        </w:rPr>
        <w:t xml:space="preserve"> </w:t>
      </w:r>
      <w:r>
        <w:rPr>
          <w:spacing w:val="-1"/>
        </w:rPr>
        <w:t>Default)),</w:t>
      </w:r>
      <w:r>
        <w:rPr>
          <w:spacing w:val="33"/>
        </w:rPr>
        <w:t xml:space="preserve"> </w:t>
      </w:r>
      <w:r>
        <w:t>the</w:t>
      </w:r>
      <w:r>
        <w:rPr>
          <w:spacing w:val="31"/>
        </w:rPr>
        <w:t xml:space="preserve"> </w:t>
      </w:r>
      <w:r>
        <w:rPr>
          <w:spacing w:val="-2"/>
        </w:rPr>
        <w:t>Supplier</w:t>
      </w:r>
      <w:r>
        <w:rPr>
          <w:spacing w:val="33"/>
        </w:rPr>
        <w:t xml:space="preserve"> </w:t>
      </w:r>
      <w:r>
        <w:rPr>
          <w:spacing w:val="-1"/>
        </w:rPr>
        <w:t>shall,</w:t>
      </w:r>
      <w:r>
        <w:rPr>
          <w:spacing w:val="35"/>
        </w:rPr>
        <w:t xml:space="preserve"> </w:t>
      </w:r>
      <w:r>
        <w:rPr>
          <w:spacing w:val="-2"/>
        </w:rPr>
        <w:t>where</w:t>
      </w:r>
      <w:r>
        <w:rPr>
          <w:spacing w:val="31"/>
        </w:rPr>
        <w:t xml:space="preserve"> </w:t>
      </w:r>
      <w:r>
        <w:rPr>
          <w:spacing w:val="-1"/>
        </w:rPr>
        <w:t>practicable:</w:t>
      </w:r>
    </w:p>
    <w:p w:rsidR="008918FA" w:rsidRDefault="008918FA" w:rsidP="008918FA">
      <w:pPr>
        <w:pStyle w:val="BodyText"/>
        <w:numPr>
          <w:ilvl w:val="3"/>
          <w:numId w:val="65"/>
        </w:numPr>
        <w:tabs>
          <w:tab w:val="left" w:pos="2594"/>
        </w:tabs>
        <w:ind w:right="115" w:hanging="707"/>
        <w:jc w:val="both"/>
      </w:pPr>
      <w:r>
        <w:rPr>
          <w:spacing w:val="-1"/>
        </w:rPr>
        <w:t>remedy</w:t>
      </w:r>
      <w:r>
        <w:rPr>
          <w:spacing w:val="46"/>
        </w:rPr>
        <w:t xml:space="preserve"> </w:t>
      </w:r>
      <w:r>
        <w:rPr>
          <w:spacing w:val="-1"/>
        </w:rPr>
        <w:t>any</w:t>
      </w:r>
      <w:r>
        <w:rPr>
          <w:spacing w:val="46"/>
        </w:rPr>
        <w:t xml:space="preserve"> </w:t>
      </w:r>
      <w:r>
        <w:rPr>
          <w:spacing w:val="-1"/>
        </w:rPr>
        <w:t>breach</w:t>
      </w:r>
      <w:r>
        <w:rPr>
          <w:spacing w:val="49"/>
        </w:rPr>
        <w:t xml:space="preserve"> </w:t>
      </w:r>
      <w:r>
        <w:rPr>
          <w:spacing w:val="-1"/>
        </w:rPr>
        <w:t>of</w:t>
      </w:r>
      <w:r>
        <w:rPr>
          <w:spacing w:val="52"/>
        </w:rPr>
        <w:t xml:space="preserve"> </w:t>
      </w:r>
      <w:r>
        <w:t>its</w:t>
      </w:r>
      <w:r>
        <w:rPr>
          <w:spacing w:val="49"/>
        </w:rPr>
        <w:t xml:space="preserve"> </w:t>
      </w:r>
      <w:r>
        <w:rPr>
          <w:spacing w:val="-1"/>
        </w:rPr>
        <w:t>obligations</w:t>
      </w:r>
      <w:r>
        <w:rPr>
          <w:spacing w:val="49"/>
        </w:rPr>
        <w:t xml:space="preserve"> </w:t>
      </w:r>
      <w:r>
        <w:rPr>
          <w:spacing w:val="-1"/>
        </w:rPr>
        <w:t>in</w:t>
      </w:r>
      <w:r>
        <w:rPr>
          <w:spacing w:val="49"/>
        </w:rPr>
        <w:t xml:space="preserve"> </w:t>
      </w:r>
      <w:r>
        <w:rPr>
          <w:spacing w:val="-1"/>
        </w:rPr>
        <w:t>this</w:t>
      </w:r>
      <w:r>
        <w:rPr>
          <w:spacing w:val="49"/>
        </w:rPr>
        <w:t xml:space="preserve"> </w:t>
      </w:r>
      <w:r>
        <w:rPr>
          <w:spacing w:val="-1"/>
        </w:rPr>
        <w:t>Clause</w:t>
      </w:r>
      <w:r>
        <w:rPr>
          <w:spacing w:val="49"/>
        </w:rPr>
        <w:t xml:space="preserve"> </w:t>
      </w:r>
      <w:hyperlink w:anchor="_bookmark76" w:history="1">
        <w:r>
          <w:t>9</w:t>
        </w:r>
      </w:hyperlink>
      <w:r>
        <w:rPr>
          <w:spacing w:val="53"/>
        </w:rPr>
        <w:t xml:space="preserve"> </w:t>
      </w:r>
      <w:r>
        <w:rPr>
          <w:spacing w:val="-2"/>
        </w:rPr>
        <w:t>within</w:t>
      </w:r>
      <w:r>
        <w:rPr>
          <w:spacing w:val="35"/>
        </w:rPr>
        <w:t xml:space="preserve"> </w:t>
      </w:r>
      <w:r>
        <w:rPr>
          <w:spacing w:val="-1"/>
        </w:rPr>
        <w:t>three</w:t>
      </w:r>
      <w:r>
        <w:rPr>
          <w:spacing w:val="2"/>
        </w:rPr>
        <w:t xml:space="preserve"> </w:t>
      </w:r>
      <w:r>
        <w:rPr>
          <w:spacing w:val="-1"/>
        </w:rPr>
        <w:t>(3)</w:t>
      </w:r>
      <w:r>
        <w:rPr>
          <w:spacing w:val="59"/>
        </w:rPr>
        <w:t xml:space="preserve"> </w:t>
      </w:r>
      <w:r>
        <w:rPr>
          <w:spacing w:val="-1"/>
        </w:rPr>
        <w:t>Working</w:t>
      </w:r>
      <w:r>
        <w:rPr>
          <w:spacing w:val="4"/>
        </w:rPr>
        <w:t xml:space="preserve"> </w:t>
      </w:r>
      <w:r>
        <w:rPr>
          <w:spacing w:val="-2"/>
        </w:rPr>
        <w:t>Days</w:t>
      </w:r>
      <w:r>
        <w:rPr>
          <w:spacing w:val="2"/>
        </w:rPr>
        <w:t xml:space="preserve"> </w:t>
      </w:r>
      <w:r>
        <w:rPr>
          <w:spacing w:val="-1"/>
        </w:rPr>
        <w:t>of</w:t>
      </w:r>
      <w:r>
        <w:rPr>
          <w:spacing w:val="5"/>
        </w:rPr>
        <w:t xml:space="preserve"> </w:t>
      </w:r>
      <w:r>
        <w:rPr>
          <w:spacing w:val="-2"/>
        </w:rPr>
        <w:t>becoming</w:t>
      </w:r>
      <w:r>
        <w:rPr>
          <w:spacing w:val="4"/>
        </w:rPr>
        <w:t xml:space="preserve"> </w:t>
      </w:r>
      <w:r>
        <w:rPr>
          <w:spacing w:val="-2"/>
        </w:rPr>
        <w:t>aware</w:t>
      </w:r>
      <w:r>
        <w:rPr>
          <w:spacing w:val="2"/>
        </w:rPr>
        <w:t xml:space="preserve"> </w:t>
      </w:r>
      <w:r>
        <w:rPr>
          <w:spacing w:val="-1"/>
        </w:rPr>
        <w:t>of</w:t>
      </w:r>
      <w:r>
        <w:rPr>
          <w:spacing w:val="3"/>
        </w:rPr>
        <w:t xml:space="preserve"> </w:t>
      </w:r>
      <w:r>
        <w:t>the</w:t>
      </w:r>
      <w:r>
        <w:rPr>
          <w:spacing w:val="2"/>
        </w:rPr>
        <w:t xml:space="preserve"> </w:t>
      </w:r>
      <w:r>
        <w:rPr>
          <w:spacing w:val="-2"/>
        </w:rPr>
        <w:t>relevant</w:t>
      </w:r>
      <w:r>
        <w:rPr>
          <w:spacing w:val="58"/>
        </w:rPr>
        <w:t xml:space="preserve"> </w:t>
      </w:r>
      <w:r>
        <w:rPr>
          <w:spacing w:val="-1"/>
        </w:rPr>
        <w:t>Default</w:t>
      </w:r>
      <w:r>
        <w:rPr>
          <w:spacing w:val="59"/>
        </w:rPr>
        <w:t xml:space="preserve"> </w:t>
      </w:r>
      <w:r>
        <w:rPr>
          <w:spacing w:val="-1"/>
        </w:rPr>
        <w:t>or</w:t>
      </w:r>
      <w:r>
        <w:rPr>
          <w:spacing w:val="59"/>
        </w:rPr>
        <w:t xml:space="preserve"> </w:t>
      </w:r>
      <w:r>
        <w:rPr>
          <w:spacing w:val="-2"/>
        </w:rPr>
        <w:t>being</w:t>
      </w:r>
      <w:r>
        <w:rPr>
          <w:spacing w:val="60"/>
        </w:rPr>
        <w:t xml:space="preserve"> </w:t>
      </w:r>
      <w:r>
        <w:rPr>
          <w:spacing w:val="-1"/>
        </w:rPr>
        <w:t>notified</w:t>
      </w:r>
      <w:r>
        <w:rPr>
          <w:spacing w:val="58"/>
        </w:rPr>
        <w:t xml:space="preserve"> </w:t>
      </w:r>
      <w:r>
        <w:rPr>
          <w:spacing w:val="-2"/>
        </w:rPr>
        <w:t>of</w:t>
      </w:r>
      <w:r>
        <w:t xml:space="preserve">  the</w:t>
      </w:r>
      <w:r>
        <w:rPr>
          <w:spacing w:val="58"/>
        </w:rPr>
        <w:t xml:space="preserve"> </w:t>
      </w:r>
      <w:r>
        <w:rPr>
          <w:spacing w:val="-2"/>
        </w:rPr>
        <w:t>Default</w:t>
      </w:r>
      <w:r>
        <w:rPr>
          <w:spacing w:val="59"/>
        </w:rPr>
        <w:t xml:space="preserve"> </w:t>
      </w:r>
      <w:r>
        <w:rPr>
          <w:spacing w:val="-1"/>
        </w:rPr>
        <w:t>by</w:t>
      </w:r>
      <w:r>
        <w:rPr>
          <w:spacing w:val="57"/>
        </w:rPr>
        <w:t xml:space="preserve"> </w:t>
      </w:r>
      <w:r>
        <w:t>the</w:t>
      </w:r>
      <w:r>
        <w:rPr>
          <w:spacing w:val="58"/>
        </w:rPr>
        <w:t xml:space="preserve"> </w:t>
      </w:r>
      <w:r>
        <w:rPr>
          <w:spacing w:val="-1"/>
        </w:rPr>
        <w:t>Customer</w:t>
      </w:r>
      <w:r>
        <w:rPr>
          <w:spacing w:val="59"/>
        </w:rPr>
        <w:t xml:space="preserve"> </w:t>
      </w:r>
      <w:r>
        <w:rPr>
          <w:spacing w:val="-1"/>
        </w:rPr>
        <w:t>or</w:t>
      </w:r>
      <w:r>
        <w:rPr>
          <w:spacing w:val="30"/>
        </w:rPr>
        <w:t xml:space="preserve"> </w:t>
      </w:r>
      <w:r>
        <w:rPr>
          <w:spacing w:val="-1"/>
        </w:rPr>
        <w:t>within</w:t>
      </w:r>
      <w:r>
        <w:rPr>
          <w:spacing w:val="16"/>
        </w:rPr>
        <w:t xml:space="preserve"> </w:t>
      </w:r>
      <w:r>
        <w:rPr>
          <w:spacing w:val="-1"/>
        </w:rPr>
        <w:t>such</w:t>
      </w:r>
      <w:r>
        <w:rPr>
          <w:spacing w:val="16"/>
        </w:rPr>
        <w:t xml:space="preserve"> </w:t>
      </w:r>
      <w:r>
        <w:rPr>
          <w:spacing w:val="-1"/>
        </w:rPr>
        <w:t>other</w:t>
      </w:r>
      <w:r>
        <w:rPr>
          <w:spacing w:val="17"/>
        </w:rPr>
        <w:t xml:space="preserve"> </w:t>
      </w:r>
      <w:r>
        <w:rPr>
          <w:spacing w:val="-1"/>
        </w:rPr>
        <w:t>time</w:t>
      </w:r>
      <w:r>
        <w:rPr>
          <w:spacing w:val="13"/>
        </w:rPr>
        <w:t xml:space="preserve"> </w:t>
      </w:r>
      <w:r>
        <w:rPr>
          <w:spacing w:val="-1"/>
        </w:rPr>
        <w:t>period</w:t>
      </w:r>
      <w:r>
        <w:rPr>
          <w:spacing w:val="16"/>
        </w:rPr>
        <w:t xml:space="preserve"> </w:t>
      </w:r>
      <w:r>
        <w:rPr>
          <w:spacing w:val="-1"/>
        </w:rPr>
        <w:t>as</w:t>
      </w:r>
      <w:r>
        <w:rPr>
          <w:spacing w:val="14"/>
        </w:rPr>
        <w:t xml:space="preserve"> </w:t>
      </w:r>
      <w:r>
        <w:rPr>
          <w:spacing w:val="-1"/>
        </w:rPr>
        <w:t>may</w:t>
      </w:r>
      <w:r>
        <w:rPr>
          <w:spacing w:val="14"/>
        </w:rPr>
        <w:t xml:space="preserve"> </w:t>
      </w:r>
      <w:r>
        <w:rPr>
          <w:spacing w:val="-1"/>
        </w:rPr>
        <w:t>be</w:t>
      </w:r>
      <w:r>
        <w:rPr>
          <w:spacing w:val="16"/>
        </w:rPr>
        <w:t xml:space="preserve"> </w:t>
      </w:r>
      <w:r>
        <w:rPr>
          <w:spacing w:val="-1"/>
        </w:rPr>
        <w:t>agreed</w:t>
      </w:r>
      <w:r>
        <w:rPr>
          <w:spacing w:val="16"/>
        </w:rPr>
        <w:t xml:space="preserve"> </w:t>
      </w:r>
      <w:r>
        <w:rPr>
          <w:spacing w:val="-2"/>
        </w:rPr>
        <w:t>with</w:t>
      </w:r>
      <w:r>
        <w:rPr>
          <w:spacing w:val="16"/>
        </w:rPr>
        <w:t xml:space="preserve"> </w:t>
      </w:r>
      <w:r>
        <w:rPr>
          <w:spacing w:val="-1"/>
        </w:rPr>
        <w:t>the</w:t>
      </w:r>
      <w:r>
        <w:rPr>
          <w:spacing w:val="28"/>
        </w:rPr>
        <w:t xml:space="preserve"> </w:t>
      </w:r>
      <w:r>
        <w:rPr>
          <w:spacing w:val="-1"/>
        </w:rPr>
        <w:t>Customer</w:t>
      </w:r>
      <w:r>
        <w:rPr>
          <w:spacing w:val="4"/>
        </w:rPr>
        <w:t xml:space="preserve"> </w:t>
      </w:r>
      <w:r>
        <w:rPr>
          <w:spacing w:val="-1"/>
        </w:rPr>
        <w:t>(taking</w:t>
      </w:r>
      <w:r>
        <w:rPr>
          <w:spacing w:val="7"/>
        </w:rPr>
        <w:t xml:space="preserve"> </w:t>
      </w:r>
      <w:r>
        <w:rPr>
          <w:spacing w:val="-1"/>
        </w:rPr>
        <w:t>into</w:t>
      </w:r>
      <w:r>
        <w:rPr>
          <w:spacing w:val="3"/>
        </w:rPr>
        <w:t xml:space="preserve"> </w:t>
      </w:r>
      <w:r>
        <w:rPr>
          <w:spacing w:val="-1"/>
        </w:rPr>
        <w:t>account</w:t>
      </w:r>
      <w:r>
        <w:rPr>
          <w:spacing w:val="4"/>
        </w:rPr>
        <w:t xml:space="preserve"> </w:t>
      </w:r>
      <w:r>
        <w:t>the</w:t>
      </w:r>
      <w:r>
        <w:rPr>
          <w:spacing w:val="5"/>
        </w:rPr>
        <w:t xml:space="preserve"> </w:t>
      </w:r>
      <w:r>
        <w:rPr>
          <w:spacing w:val="-1"/>
        </w:rPr>
        <w:t>nature</w:t>
      </w:r>
      <w:r>
        <w:rPr>
          <w:spacing w:val="3"/>
        </w:rPr>
        <w:t xml:space="preserve"> </w:t>
      </w:r>
      <w:r>
        <w:rPr>
          <w:spacing w:val="-2"/>
        </w:rPr>
        <w:t>of</w:t>
      </w:r>
      <w:r>
        <w:rPr>
          <w:spacing w:val="6"/>
        </w:rPr>
        <w:t xml:space="preserve"> </w:t>
      </w:r>
      <w:r>
        <w:t>the</w:t>
      </w:r>
      <w:r>
        <w:rPr>
          <w:spacing w:val="5"/>
        </w:rPr>
        <w:t xml:space="preserve"> </w:t>
      </w:r>
      <w:r>
        <w:rPr>
          <w:spacing w:val="-1"/>
        </w:rPr>
        <w:t>breach</w:t>
      </w:r>
      <w:r>
        <w:rPr>
          <w:spacing w:val="3"/>
        </w:rPr>
        <w:t xml:space="preserve"> </w:t>
      </w:r>
      <w:r>
        <w:rPr>
          <w:spacing w:val="-1"/>
        </w:rPr>
        <w:t>that</w:t>
      </w:r>
      <w:r>
        <w:rPr>
          <w:spacing w:val="4"/>
        </w:rPr>
        <w:t xml:space="preserve"> </w:t>
      </w:r>
      <w:r>
        <w:rPr>
          <w:spacing w:val="-1"/>
        </w:rPr>
        <w:t>has</w:t>
      </w:r>
      <w:r>
        <w:rPr>
          <w:spacing w:val="22"/>
        </w:rPr>
        <w:t xml:space="preserve"> </w:t>
      </w:r>
      <w:r>
        <w:rPr>
          <w:spacing w:val="-1"/>
        </w:rPr>
        <w:t>occurred);</w:t>
      </w:r>
      <w:r>
        <w:t xml:space="preserve"> </w:t>
      </w:r>
      <w:r>
        <w:rPr>
          <w:spacing w:val="-1"/>
        </w:rPr>
        <w:t>and</w:t>
      </w:r>
    </w:p>
    <w:p w:rsidR="008918FA" w:rsidRDefault="008918FA" w:rsidP="008918FA">
      <w:pPr>
        <w:pStyle w:val="BodyText"/>
        <w:numPr>
          <w:ilvl w:val="3"/>
          <w:numId w:val="65"/>
        </w:numPr>
        <w:tabs>
          <w:tab w:val="left" w:pos="2594"/>
        </w:tabs>
        <w:spacing w:before="121"/>
        <w:ind w:right="115" w:hanging="707"/>
        <w:jc w:val="both"/>
      </w:pPr>
      <w:r>
        <w:rPr>
          <w:spacing w:val="-1"/>
        </w:rPr>
        <w:t>meet</w:t>
      </w:r>
      <w:r>
        <w:rPr>
          <w:spacing w:val="4"/>
        </w:rPr>
        <w:t xml:space="preserve"> </w:t>
      </w:r>
      <w:r>
        <w:rPr>
          <w:spacing w:val="-1"/>
        </w:rPr>
        <w:t>all</w:t>
      </w:r>
      <w:r>
        <w:rPr>
          <w:spacing w:val="2"/>
        </w:rPr>
        <w:t xml:space="preserve"> </w:t>
      </w:r>
      <w:r>
        <w:t>the</w:t>
      </w:r>
      <w:r>
        <w:rPr>
          <w:spacing w:val="3"/>
        </w:rPr>
        <w:t xml:space="preserve"> </w:t>
      </w:r>
      <w:r>
        <w:rPr>
          <w:spacing w:val="-1"/>
        </w:rPr>
        <w:t>costs</w:t>
      </w:r>
      <w:r>
        <w:rPr>
          <w:spacing w:val="3"/>
        </w:rPr>
        <w:t xml:space="preserve"> </w:t>
      </w:r>
      <w:r>
        <w:rPr>
          <w:spacing w:val="-1"/>
        </w:rPr>
        <w:t>of,</w:t>
      </w:r>
      <w:r>
        <w:rPr>
          <w:spacing w:val="4"/>
        </w:rPr>
        <w:t xml:space="preserve"> </w:t>
      </w:r>
      <w:r>
        <w:rPr>
          <w:spacing w:val="-2"/>
        </w:rPr>
        <w:t>and</w:t>
      </w:r>
      <w:r>
        <w:rPr>
          <w:spacing w:val="3"/>
        </w:rPr>
        <w:t xml:space="preserve"> </w:t>
      </w:r>
      <w:r>
        <w:rPr>
          <w:spacing w:val="-1"/>
        </w:rPr>
        <w:t>incidental</w:t>
      </w:r>
      <w:r>
        <w:rPr>
          <w:spacing w:val="2"/>
        </w:rPr>
        <w:t xml:space="preserve"> </w:t>
      </w:r>
      <w:r>
        <w:t>to,</w:t>
      </w:r>
      <w:r>
        <w:rPr>
          <w:spacing w:val="4"/>
        </w:rPr>
        <w:t xml:space="preserve"> </w:t>
      </w:r>
      <w:r>
        <w:t>the</w:t>
      </w:r>
      <w:r>
        <w:rPr>
          <w:spacing w:val="3"/>
        </w:rPr>
        <w:t xml:space="preserve"> </w:t>
      </w:r>
      <w:r>
        <w:rPr>
          <w:spacing w:val="-1"/>
        </w:rPr>
        <w:t>performance</w:t>
      </w:r>
      <w:r>
        <w:rPr>
          <w:spacing w:val="3"/>
        </w:rPr>
        <w:t xml:space="preserve"> </w:t>
      </w:r>
      <w:r>
        <w:rPr>
          <w:spacing w:val="-2"/>
        </w:rPr>
        <w:t>of</w:t>
      </w:r>
      <w:r>
        <w:rPr>
          <w:spacing w:val="4"/>
        </w:rPr>
        <w:t xml:space="preserve"> </w:t>
      </w:r>
      <w:r>
        <w:rPr>
          <w:spacing w:val="-1"/>
        </w:rPr>
        <w:t>such</w:t>
      </w:r>
      <w:r>
        <w:rPr>
          <w:spacing w:val="20"/>
        </w:rPr>
        <w:t xml:space="preserve"> </w:t>
      </w:r>
      <w:r>
        <w:rPr>
          <w:spacing w:val="-1"/>
        </w:rPr>
        <w:t>remedial</w:t>
      </w:r>
      <w:r>
        <w:t xml:space="preserve"> </w:t>
      </w:r>
      <w:r>
        <w:rPr>
          <w:spacing w:val="-2"/>
        </w:rPr>
        <w:t>work.</w:t>
      </w:r>
    </w:p>
    <w:p w:rsidR="008918FA" w:rsidRDefault="008918FA" w:rsidP="008918FA">
      <w:pPr>
        <w:pStyle w:val="Heading1"/>
        <w:numPr>
          <w:ilvl w:val="1"/>
          <w:numId w:val="65"/>
        </w:numPr>
        <w:tabs>
          <w:tab w:val="left" w:pos="893"/>
        </w:tabs>
        <w:ind w:left="892" w:hanging="564"/>
        <w:jc w:val="left"/>
        <w:rPr>
          <w:b w:val="0"/>
          <w:bCs w:val="0"/>
        </w:rPr>
      </w:pPr>
      <w:bookmarkStart w:id="93" w:name="_bookmark89"/>
      <w:bookmarkEnd w:id="93"/>
      <w:r>
        <w:rPr>
          <w:spacing w:val="-1"/>
        </w:rPr>
        <w:t>Continuing</w:t>
      </w:r>
      <w:r>
        <w:rPr>
          <w:spacing w:val="-4"/>
        </w:rPr>
        <w:t xml:space="preserve"> </w:t>
      </w:r>
      <w:r>
        <w:rPr>
          <w:spacing w:val="-1"/>
        </w:rPr>
        <w:t>Obligation</w:t>
      </w:r>
      <w:r>
        <w:rPr>
          <w:spacing w:val="-2"/>
        </w:rPr>
        <w:t xml:space="preserve"> </w:t>
      </w:r>
      <w:r>
        <w:rPr>
          <w:spacing w:val="-1"/>
        </w:rPr>
        <w:t>to</w:t>
      </w:r>
      <w:r>
        <w:t xml:space="preserve"> </w:t>
      </w:r>
      <w:r>
        <w:rPr>
          <w:spacing w:val="-1"/>
        </w:rPr>
        <w:t>Provide</w:t>
      </w:r>
      <w:r>
        <w:t xml:space="preserve"> </w:t>
      </w:r>
      <w:r>
        <w:rPr>
          <w:spacing w:val="-1"/>
        </w:rPr>
        <w:t>the</w:t>
      </w:r>
      <w:r>
        <w:rPr>
          <w:spacing w:val="-4"/>
        </w:rPr>
        <w:t xml:space="preserve"> </w:t>
      </w:r>
      <w:r>
        <w:rPr>
          <w:spacing w:val="-1"/>
        </w:rPr>
        <w:t>Goods</w:t>
      </w:r>
    </w:p>
    <w:p w:rsidR="008918FA" w:rsidRDefault="008918FA" w:rsidP="008918FA">
      <w:pPr>
        <w:pStyle w:val="BodyText"/>
        <w:numPr>
          <w:ilvl w:val="2"/>
          <w:numId w:val="65"/>
        </w:numPr>
        <w:tabs>
          <w:tab w:val="left" w:pos="1887"/>
        </w:tabs>
        <w:spacing w:before="124"/>
        <w:ind w:left="1886" w:right="114"/>
        <w:jc w:val="both"/>
      </w:pPr>
      <w:r>
        <w:t>The</w:t>
      </w:r>
      <w:r>
        <w:rPr>
          <w:spacing w:val="22"/>
        </w:rPr>
        <w:t xml:space="preserve"> </w:t>
      </w:r>
      <w:r>
        <w:rPr>
          <w:spacing w:val="-2"/>
        </w:rPr>
        <w:t>Supplier</w:t>
      </w:r>
      <w:r>
        <w:rPr>
          <w:spacing w:val="23"/>
        </w:rPr>
        <w:t xml:space="preserve"> </w:t>
      </w:r>
      <w:r>
        <w:rPr>
          <w:spacing w:val="-1"/>
        </w:rPr>
        <w:t>shall</w:t>
      </w:r>
      <w:r>
        <w:rPr>
          <w:spacing w:val="21"/>
        </w:rPr>
        <w:t xml:space="preserve"> </w:t>
      </w:r>
      <w:r>
        <w:rPr>
          <w:spacing w:val="-1"/>
        </w:rPr>
        <w:t>continue</w:t>
      </w:r>
      <w:r>
        <w:rPr>
          <w:spacing w:val="22"/>
        </w:rPr>
        <w:t xml:space="preserve"> </w:t>
      </w:r>
      <w:r>
        <w:t>to</w:t>
      </w:r>
      <w:r>
        <w:rPr>
          <w:spacing w:val="22"/>
        </w:rPr>
        <w:t xml:space="preserve"> </w:t>
      </w:r>
      <w:r>
        <w:rPr>
          <w:spacing w:val="-1"/>
        </w:rPr>
        <w:t>perform</w:t>
      </w:r>
      <w:r>
        <w:rPr>
          <w:spacing w:val="23"/>
        </w:rPr>
        <w:t xml:space="preserve"> </w:t>
      </w:r>
      <w:r>
        <w:rPr>
          <w:spacing w:val="-1"/>
        </w:rPr>
        <w:t>all</w:t>
      </w:r>
      <w:r>
        <w:rPr>
          <w:spacing w:val="21"/>
        </w:rPr>
        <w:t xml:space="preserve"> </w:t>
      </w:r>
      <w:r>
        <w:rPr>
          <w:spacing w:val="-2"/>
        </w:rPr>
        <w:t>of</w:t>
      </w:r>
      <w:r>
        <w:rPr>
          <w:spacing w:val="26"/>
        </w:rPr>
        <w:t xml:space="preserve"> </w:t>
      </w:r>
      <w:r>
        <w:rPr>
          <w:spacing w:val="-1"/>
        </w:rPr>
        <w:t>its</w:t>
      </w:r>
      <w:r>
        <w:rPr>
          <w:spacing w:val="22"/>
        </w:rPr>
        <w:t xml:space="preserve"> </w:t>
      </w:r>
      <w:r>
        <w:rPr>
          <w:spacing w:val="-1"/>
        </w:rPr>
        <w:t>obligations</w:t>
      </w:r>
      <w:r>
        <w:rPr>
          <w:spacing w:val="22"/>
        </w:rPr>
        <w:t xml:space="preserve"> </w:t>
      </w:r>
      <w:r>
        <w:rPr>
          <w:spacing w:val="-1"/>
        </w:rPr>
        <w:t>under</w:t>
      </w:r>
      <w:r>
        <w:rPr>
          <w:spacing w:val="23"/>
        </w:rPr>
        <w:t xml:space="preserve"> </w:t>
      </w:r>
      <w:r>
        <w:rPr>
          <w:spacing w:val="-1"/>
        </w:rPr>
        <w:t>this</w:t>
      </w:r>
      <w:r>
        <w:rPr>
          <w:spacing w:val="51"/>
        </w:rPr>
        <w:t xml:space="preserve"> </w:t>
      </w:r>
      <w:r>
        <w:rPr>
          <w:spacing w:val="-2"/>
        </w:rPr>
        <w:t>Call</w:t>
      </w:r>
      <w:r>
        <w:rPr>
          <w:spacing w:val="36"/>
        </w:rPr>
        <w:t xml:space="preserve"> </w:t>
      </w:r>
      <w:r>
        <w:t>Off</w:t>
      </w:r>
      <w:r>
        <w:rPr>
          <w:spacing w:val="38"/>
        </w:rPr>
        <w:t xml:space="preserve"> </w:t>
      </w:r>
      <w:r>
        <w:rPr>
          <w:spacing w:val="-2"/>
        </w:rPr>
        <w:t>Contract</w:t>
      </w:r>
      <w:r>
        <w:rPr>
          <w:spacing w:val="38"/>
        </w:rPr>
        <w:t xml:space="preserve"> </w:t>
      </w:r>
      <w:r>
        <w:rPr>
          <w:spacing w:val="-1"/>
        </w:rPr>
        <w:t>and</w:t>
      </w:r>
      <w:r>
        <w:rPr>
          <w:spacing w:val="36"/>
        </w:rPr>
        <w:t xml:space="preserve"> </w:t>
      </w:r>
      <w:r>
        <w:rPr>
          <w:spacing w:val="-2"/>
        </w:rPr>
        <w:t>shall</w:t>
      </w:r>
      <w:r>
        <w:rPr>
          <w:spacing w:val="36"/>
        </w:rPr>
        <w:t xml:space="preserve"> </w:t>
      </w:r>
      <w:r>
        <w:rPr>
          <w:spacing w:val="-1"/>
        </w:rPr>
        <w:t>not</w:t>
      </w:r>
      <w:r>
        <w:rPr>
          <w:spacing w:val="38"/>
        </w:rPr>
        <w:t xml:space="preserve"> </w:t>
      </w:r>
      <w:r>
        <w:rPr>
          <w:spacing w:val="-1"/>
        </w:rPr>
        <w:t>suspend</w:t>
      </w:r>
      <w:r>
        <w:rPr>
          <w:spacing w:val="37"/>
        </w:rPr>
        <w:t xml:space="preserve"> </w:t>
      </w:r>
      <w:r>
        <w:t>the</w:t>
      </w:r>
      <w:r>
        <w:rPr>
          <w:spacing w:val="34"/>
        </w:rPr>
        <w:t xml:space="preserve"> </w:t>
      </w:r>
      <w:r>
        <w:rPr>
          <w:spacing w:val="-2"/>
        </w:rPr>
        <w:t>provision</w:t>
      </w:r>
      <w:r>
        <w:rPr>
          <w:spacing w:val="36"/>
        </w:rPr>
        <w:t xml:space="preserve"> </w:t>
      </w:r>
      <w:r>
        <w:rPr>
          <w:spacing w:val="-1"/>
        </w:rPr>
        <w:t>of</w:t>
      </w:r>
      <w:r>
        <w:rPr>
          <w:spacing w:val="40"/>
        </w:rPr>
        <w:t xml:space="preserve"> </w:t>
      </w:r>
      <w:r>
        <w:t>the</w:t>
      </w:r>
      <w:r>
        <w:rPr>
          <w:spacing w:val="34"/>
        </w:rPr>
        <w:t xml:space="preserve"> </w:t>
      </w:r>
      <w:r>
        <w:rPr>
          <w:spacing w:val="-1"/>
        </w:rPr>
        <w:t>Goods,</w:t>
      </w:r>
      <w:r>
        <w:rPr>
          <w:spacing w:val="57"/>
        </w:rPr>
        <w:t xml:space="preserve"> </w:t>
      </w:r>
      <w:r>
        <w:rPr>
          <w:spacing w:val="-1"/>
        </w:rPr>
        <w:t>notwithstanding:</w:t>
      </w:r>
    </w:p>
    <w:p w:rsidR="008918FA" w:rsidRDefault="008918FA" w:rsidP="008918FA">
      <w:pPr>
        <w:pStyle w:val="BodyText"/>
        <w:numPr>
          <w:ilvl w:val="3"/>
          <w:numId w:val="65"/>
        </w:numPr>
        <w:tabs>
          <w:tab w:val="left" w:pos="2595"/>
        </w:tabs>
        <w:ind w:left="2594" w:right="113"/>
        <w:jc w:val="both"/>
        <w:rPr>
          <w:rFonts w:cs="Arial"/>
        </w:rPr>
      </w:pPr>
      <w:r>
        <w:rPr>
          <w:spacing w:val="-1"/>
        </w:rPr>
        <w:t>any</w:t>
      </w:r>
      <w:r>
        <w:rPr>
          <w:spacing w:val="18"/>
        </w:rPr>
        <w:t xml:space="preserve"> </w:t>
      </w:r>
      <w:r>
        <w:rPr>
          <w:spacing w:val="-2"/>
        </w:rPr>
        <w:t>withholding</w:t>
      </w:r>
      <w:r>
        <w:rPr>
          <w:spacing w:val="20"/>
        </w:rPr>
        <w:t xml:space="preserve"> </w:t>
      </w:r>
      <w:r>
        <w:rPr>
          <w:spacing w:val="-1"/>
        </w:rPr>
        <w:t>or</w:t>
      </w:r>
      <w:r>
        <w:rPr>
          <w:spacing w:val="19"/>
        </w:rPr>
        <w:t xml:space="preserve"> </w:t>
      </w:r>
      <w:r>
        <w:rPr>
          <w:spacing w:val="-1"/>
        </w:rPr>
        <w:t>deduction</w:t>
      </w:r>
      <w:r>
        <w:rPr>
          <w:spacing w:val="17"/>
        </w:rPr>
        <w:t xml:space="preserve"> </w:t>
      </w:r>
      <w:r>
        <w:rPr>
          <w:spacing w:val="-1"/>
        </w:rPr>
        <w:t>by</w:t>
      </w:r>
      <w:r>
        <w:rPr>
          <w:spacing w:val="15"/>
        </w:rPr>
        <w:t xml:space="preserve"> </w:t>
      </w:r>
      <w:r>
        <w:t>the</w:t>
      </w:r>
      <w:r>
        <w:rPr>
          <w:spacing w:val="17"/>
        </w:rPr>
        <w:t xml:space="preserve"> </w:t>
      </w:r>
      <w:r>
        <w:rPr>
          <w:spacing w:val="-1"/>
        </w:rPr>
        <w:t>Customer</w:t>
      </w:r>
      <w:r>
        <w:rPr>
          <w:spacing w:val="19"/>
        </w:rPr>
        <w:t xml:space="preserve"> </w:t>
      </w:r>
      <w:r>
        <w:rPr>
          <w:spacing w:val="-2"/>
        </w:rPr>
        <w:t>of</w:t>
      </w:r>
      <w:r>
        <w:rPr>
          <w:spacing w:val="21"/>
        </w:rPr>
        <w:t xml:space="preserve"> </w:t>
      </w:r>
      <w:r>
        <w:rPr>
          <w:spacing w:val="-1"/>
        </w:rPr>
        <w:t>any</w:t>
      </w:r>
      <w:r>
        <w:rPr>
          <w:spacing w:val="15"/>
        </w:rPr>
        <w:t xml:space="preserve"> </w:t>
      </w:r>
      <w:r>
        <w:rPr>
          <w:spacing w:val="-1"/>
        </w:rPr>
        <w:t>sum</w:t>
      </w:r>
      <w:r>
        <w:rPr>
          <w:spacing w:val="19"/>
        </w:rPr>
        <w:t xml:space="preserve"> </w:t>
      </w:r>
      <w:r>
        <w:rPr>
          <w:spacing w:val="-1"/>
        </w:rPr>
        <w:t>due</w:t>
      </w:r>
      <w:r>
        <w:rPr>
          <w:spacing w:val="44"/>
        </w:rPr>
        <w:t xml:space="preserve"> </w:t>
      </w:r>
      <w:r>
        <w:t>to</w:t>
      </w:r>
      <w:r>
        <w:rPr>
          <w:spacing w:val="16"/>
        </w:rPr>
        <w:t xml:space="preserve"> </w:t>
      </w:r>
      <w:r>
        <w:t>the</w:t>
      </w:r>
      <w:r>
        <w:rPr>
          <w:spacing w:val="16"/>
        </w:rPr>
        <w:t xml:space="preserve"> </w:t>
      </w:r>
      <w:r>
        <w:rPr>
          <w:spacing w:val="-2"/>
        </w:rPr>
        <w:t>Supplier</w:t>
      </w:r>
      <w:r>
        <w:rPr>
          <w:spacing w:val="17"/>
        </w:rPr>
        <w:t xml:space="preserve"> </w:t>
      </w:r>
      <w:r>
        <w:rPr>
          <w:spacing w:val="-1"/>
        </w:rPr>
        <w:t>pursuant</w:t>
      </w:r>
      <w:r>
        <w:rPr>
          <w:spacing w:val="17"/>
        </w:rPr>
        <w:t xml:space="preserve"> </w:t>
      </w:r>
      <w:r>
        <w:t>to</w:t>
      </w:r>
      <w:r>
        <w:rPr>
          <w:spacing w:val="13"/>
        </w:rPr>
        <w:t xml:space="preserve"> </w:t>
      </w:r>
      <w:r>
        <w:t>the</w:t>
      </w:r>
      <w:r>
        <w:rPr>
          <w:spacing w:val="16"/>
        </w:rPr>
        <w:t xml:space="preserve"> </w:t>
      </w:r>
      <w:r>
        <w:rPr>
          <w:spacing w:val="-1"/>
        </w:rPr>
        <w:t>exercise</w:t>
      </w:r>
      <w:r>
        <w:rPr>
          <w:spacing w:val="16"/>
        </w:rPr>
        <w:t xml:space="preserve"> </w:t>
      </w:r>
      <w:r>
        <w:rPr>
          <w:spacing w:val="-2"/>
        </w:rPr>
        <w:t>of</w:t>
      </w:r>
      <w:r>
        <w:rPr>
          <w:spacing w:val="17"/>
        </w:rPr>
        <w:t xml:space="preserve"> </w:t>
      </w:r>
      <w:r>
        <w:t>a</w:t>
      </w:r>
      <w:r>
        <w:rPr>
          <w:spacing w:val="16"/>
        </w:rPr>
        <w:t xml:space="preserve"> </w:t>
      </w:r>
      <w:r>
        <w:rPr>
          <w:spacing w:val="-1"/>
        </w:rPr>
        <w:t>right</w:t>
      </w:r>
      <w:r>
        <w:rPr>
          <w:spacing w:val="17"/>
        </w:rPr>
        <w:t xml:space="preserve"> </w:t>
      </w:r>
      <w:r>
        <w:rPr>
          <w:spacing w:val="-2"/>
        </w:rPr>
        <w:t>of</w:t>
      </w:r>
      <w:r>
        <w:rPr>
          <w:spacing w:val="17"/>
        </w:rPr>
        <w:t xml:space="preserve"> </w:t>
      </w:r>
      <w:r>
        <w:rPr>
          <w:spacing w:val="-1"/>
        </w:rPr>
        <w:t>the</w:t>
      </w:r>
      <w:r>
        <w:rPr>
          <w:spacing w:val="32"/>
        </w:rPr>
        <w:t xml:space="preserve"> </w:t>
      </w:r>
      <w:r>
        <w:rPr>
          <w:spacing w:val="-1"/>
        </w:rPr>
        <w:t>Customer</w:t>
      </w:r>
      <w:r>
        <w:rPr>
          <w:spacing w:val="26"/>
        </w:rPr>
        <w:t xml:space="preserve"> </w:t>
      </w:r>
      <w:r>
        <w:t>to</w:t>
      </w:r>
      <w:r>
        <w:rPr>
          <w:spacing w:val="24"/>
        </w:rPr>
        <w:t xml:space="preserve"> </w:t>
      </w:r>
      <w:r>
        <w:rPr>
          <w:spacing w:val="-1"/>
        </w:rPr>
        <w:t>such</w:t>
      </w:r>
      <w:r>
        <w:rPr>
          <w:spacing w:val="25"/>
        </w:rPr>
        <w:t xml:space="preserve"> </w:t>
      </w:r>
      <w:r>
        <w:rPr>
          <w:spacing w:val="-1"/>
        </w:rPr>
        <w:t>withholding</w:t>
      </w:r>
      <w:r>
        <w:rPr>
          <w:spacing w:val="27"/>
        </w:rPr>
        <w:t xml:space="preserve"> </w:t>
      </w:r>
      <w:r>
        <w:rPr>
          <w:spacing w:val="-1"/>
        </w:rPr>
        <w:t>or</w:t>
      </w:r>
      <w:r>
        <w:rPr>
          <w:spacing w:val="26"/>
        </w:rPr>
        <w:t xml:space="preserve"> </w:t>
      </w:r>
      <w:r>
        <w:rPr>
          <w:spacing w:val="-1"/>
        </w:rPr>
        <w:t>deduction</w:t>
      </w:r>
      <w:r>
        <w:rPr>
          <w:spacing w:val="24"/>
        </w:rPr>
        <w:t xml:space="preserve"> </w:t>
      </w:r>
      <w:r>
        <w:rPr>
          <w:spacing w:val="-1"/>
        </w:rPr>
        <w:t>under</w:t>
      </w:r>
      <w:r>
        <w:rPr>
          <w:spacing w:val="26"/>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31"/>
        </w:rPr>
        <w:t xml:space="preserve"> </w:t>
      </w:r>
      <w:r>
        <w:rPr>
          <w:spacing w:val="-1"/>
        </w:rPr>
        <w:t>Contract</w:t>
      </w:r>
      <w:r>
        <w:rPr>
          <w:i/>
          <w:spacing w:val="-1"/>
        </w:rPr>
        <w:t>;</w:t>
      </w:r>
    </w:p>
    <w:p w:rsidR="008918FA" w:rsidRDefault="008918FA" w:rsidP="008918FA">
      <w:pPr>
        <w:pStyle w:val="BodyText"/>
        <w:numPr>
          <w:ilvl w:val="3"/>
          <w:numId w:val="65"/>
        </w:numPr>
        <w:tabs>
          <w:tab w:val="left" w:pos="2595"/>
        </w:tabs>
        <w:spacing w:before="121"/>
        <w:ind w:left="2594"/>
        <w:jc w:val="both"/>
      </w:pPr>
      <w:r>
        <w:t xml:space="preserve">the </w:t>
      </w:r>
      <w:r>
        <w:rPr>
          <w:spacing w:val="-1"/>
        </w:rPr>
        <w:t>existence</w:t>
      </w:r>
      <w:r>
        <w:rPr>
          <w:spacing w:val="1"/>
        </w:rPr>
        <w:t xml:space="preserve"> </w:t>
      </w:r>
      <w:r>
        <w:rPr>
          <w:spacing w:val="-2"/>
        </w:rPr>
        <w:t>of</w:t>
      </w:r>
      <w:r>
        <w:rPr>
          <w:spacing w:val="2"/>
        </w:rPr>
        <w:t xml:space="preserve"> </w:t>
      </w:r>
      <w:r>
        <w:rPr>
          <w:spacing w:val="-1"/>
        </w:rPr>
        <w:t>an</w:t>
      </w:r>
      <w:r>
        <w:rPr>
          <w:spacing w:val="-2"/>
        </w:rPr>
        <w:t xml:space="preserve"> unresolved</w:t>
      </w:r>
      <w:r>
        <w:t xml:space="preserve"> </w:t>
      </w:r>
      <w:r>
        <w:rPr>
          <w:spacing w:val="-1"/>
        </w:rPr>
        <w:t>Dispute;</w:t>
      </w:r>
      <w:r>
        <w:rPr>
          <w:spacing w:val="2"/>
        </w:rPr>
        <w:t xml:space="preserve"> </w:t>
      </w:r>
      <w:r>
        <w:rPr>
          <w:spacing w:val="-1"/>
        </w:rPr>
        <w:t>and/or</w:t>
      </w:r>
    </w:p>
    <w:p w:rsidR="008918FA" w:rsidRDefault="008918FA" w:rsidP="008918FA">
      <w:pPr>
        <w:pStyle w:val="BodyText"/>
        <w:numPr>
          <w:ilvl w:val="3"/>
          <w:numId w:val="65"/>
        </w:numPr>
        <w:tabs>
          <w:tab w:val="left" w:pos="2594"/>
        </w:tabs>
        <w:ind w:right="113" w:hanging="707"/>
        <w:jc w:val="both"/>
      </w:pPr>
      <w:r>
        <w:rPr>
          <w:spacing w:val="-1"/>
        </w:rPr>
        <w:t>any</w:t>
      </w:r>
      <w:r>
        <w:rPr>
          <w:spacing w:val="12"/>
        </w:rPr>
        <w:t xml:space="preserve"> </w:t>
      </w:r>
      <w:r>
        <w:rPr>
          <w:spacing w:val="-1"/>
        </w:rPr>
        <w:t>failure</w:t>
      </w:r>
      <w:r>
        <w:rPr>
          <w:spacing w:val="13"/>
        </w:rPr>
        <w:t xml:space="preserve"> </w:t>
      </w:r>
      <w:r>
        <w:rPr>
          <w:spacing w:val="-1"/>
        </w:rPr>
        <w:t>by</w:t>
      </w:r>
      <w:r>
        <w:rPr>
          <w:spacing w:val="12"/>
        </w:rPr>
        <w:t xml:space="preserve"> </w:t>
      </w:r>
      <w:r>
        <w:t>the</w:t>
      </w:r>
      <w:r>
        <w:rPr>
          <w:spacing w:val="14"/>
        </w:rPr>
        <w:t xml:space="preserve"> </w:t>
      </w:r>
      <w:r>
        <w:rPr>
          <w:spacing w:val="-1"/>
        </w:rPr>
        <w:t>Customer</w:t>
      </w:r>
      <w:r>
        <w:rPr>
          <w:spacing w:val="15"/>
        </w:rPr>
        <w:t xml:space="preserve"> </w:t>
      </w:r>
      <w:r>
        <w:t>to</w:t>
      </w:r>
      <w:r>
        <w:rPr>
          <w:spacing w:val="14"/>
        </w:rPr>
        <w:t xml:space="preserve"> </w:t>
      </w:r>
      <w:r>
        <w:rPr>
          <w:spacing w:val="-1"/>
        </w:rPr>
        <w:t>pay</w:t>
      </w:r>
      <w:r>
        <w:rPr>
          <w:spacing w:val="12"/>
        </w:rPr>
        <w:t xml:space="preserve"> </w:t>
      </w:r>
      <w:r>
        <w:rPr>
          <w:spacing w:val="-1"/>
        </w:rPr>
        <w:t>any</w:t>
      </w:r>
      <w:r>
        <w:rPr>
          <w:spacing w:val="12"/>
        </w:rPr>
        <w:t xml:space="preserve"> </w:t>
      </w:r>
      <w:r>
        <w:rPr>
          <w:spacing w:val="-1"/>
        </w:rPr>
        <w:t>Call</w:t>
      </w:r>
      <w:r>
        <w:rPr>
          <w:spacing w:val="15"/>
        </w:rPr>
        <w:t xml:space="preserve"> </w:t>
      </w:r>
      <w:r>
        <w:rPr>
          <w:spacing w:val="-1"/>
        </w:rPr>
        <w:t>Off</w:t>
      </w:r>
      <w:r>
        <w:rPr>
          <w:spacing w:val="17"/>
        </w:rPr>
        <w:t xml:space="preserve"> </w:t>
      </w:r>
      <w:r>
        <w:rPr>
          <w:spacing w:val="-2"/>
        </w:rPr>
        <w:t>Contract</w:t>
      </w:r>
      <w:r>
        <w:rPr>
          <w:spacing w:val="49"/>
        </w:rPr>
        <w:t xml:space="preserve"> </w:t>
      </w:r>
      <w:r>
        <w:rPr>
          <w:spacing w:val="-1"/>
        </w:rPr>
        <w:t>Charges,</w:t>
      </w:r>
    </w:p>
    <w:p w:rsidR="008918FA" w:rsidRDefault="008918FA" w:rsidP="008918FA">
      <w:pPr>
        <w:pStyle w:val="BodyText"/>
        <w:ind w:left="1885" w:right="113" w:firstLine="0"/>
        <w:jc w:val="both"/>
      </w:pPr>
      <w:r>
        <w:rPr>
          <w:spacing w:val="-1"/>
        </w:rPr>
        <w:t>unless</w:t>
      </w:r>
      <w:r>
        <w:rPr>
          <w:spacing w:val="11"/>
        </w:rPr>
        <w:t xml:space="preserve"> </w:t>
      </w:r>
      <w:r>
        <w:t>the</w:t>
      </w:r>
      <w:r>
        <w:rPr>
          <w:spacing w:val="10"/>
        </w:rPr>
        <w:t xml:space="preserve"> </w:t>
      </w:r>
      <w:r>
        <w:rPr>
          <w:spacing w:val="-2"/>
        </w:rPr>
        <w:t>Supplier</w:t>
      </w:r>
      <w:r>
        <w:rPr>
          <w:spacing w:val="11"/>
        </w:rPr>
        <w:t xml:space="preserve"> </w:t>
      </w:r>
      <w:r>
        <w:rPr>
          <w:spacing w:val="-1"/>
        </w:rPr>
        <w:t>is</w:t>
      </w:r>
      <w:r>
        <w:rPr>
          <w:spacing w:val="10"/>
        </w:rPr>
        <w:t xml:space="preserve"> </w:t>
      </w:r>
      <w:r>
        <w:rPr>
          <w:spacing w:val="-1"/>
        </w:rPr>
        <w:t>entitled</w:t>
      </w:r>
      <w:r>
        <w:rPr>
          <w:spacing w:val="10"/>
        </w:rPr>
        <w:t xml:space="preserve"> </w:t>
      </w:r>
      <w:r>
        <w:t>to</w:t>
      </w:r>
      <w:r>
        <w:rPr>
          <w:spacing w:val="10"/>
        </w:rPr>
        <w:t xml:space="preserve"> </w:t>
      </w:r>
      <w:r>
        <w:rPr>
          <w:spacing w:val="-1"/>
        </w:rPr>
        <w:t>terminate</w:t>
      </w:r>
      <w:r>
        <w:rPr>
          <w:spacing w:val="7"/>
        </w:rPr>
        <w:t xml:space="preserve"> </w:t>
      </w:r>
      <w:r>
        <w:rPr>
          <w:spacing w:val="-1"/>
        </w:rPr>
        <w:t>this</w:t>
      </w:r>
      <w:r>
        <w:rPr>
          <w:spacing w:val="10"/>
        </w:rPr>
        <w:t xml:space="preserve"> </w:t>
      </w:r>
      <w:r>
        <w:rPr>
          <w:spacing w:val="-2"/>
        </w:rPr>
        <w:t>Call</w:t>
      </w:r>
      <w:r>
        <w:rPr>
          <w:spacing w:val="9"/>
        </w:rPr>
        <w:t xml:space="preserve"> </w:t>
      </w:r>
      <w:r>
        <w:t>Off</w:t>
      </w:r>
      <w:r>
        <w:rPr>
          <w:spacing w:val="11"/>
        </w:rPr>
        <w:t xml:space="preserve"> </w:t>
      </w:r>
      <w:r>
        <w:rPr>
          <w:spacing w:val="-1"/>
        </w:rPr>
        <w:t>Contract</w:t>
      </w:r>
      <w:r>
        <w:rPr>
          <w:spacing w:val="12"/>
        </w:rPr>
        <w:t xml:space="preserve"> </w:t>
      </w:r>
      <w:r>
        <w:rPr>
          <w:spacing w:val="-2"/>
        </w:rPr>
        <w:t>under</w:t>
      </w:r>
      <w:r>
        <w:rPr>
          <w:spacing w:val="59"/>
        </w:rPr>
        <w:t xml:space="preserve"> </w:t>
      </w:r>
      <w:r>
        <w:rPr>
          <w:spacing w:val="-2"/>
        </w:rPr>
        <w:t>Clause</w:t>
      </w:r>
      <w:r>
        <w:rPr>
          <w:spacing w:val="30"/>
        </w:rPr>
        <w:t xml:space="preserve"> </w:t>
      </w:r>
      <w:hyperlink w:anchor="_bookmark243" w:history="1">
        <w:r>
          <w:rPr>
            <w:spacing w:val="-1"/>
          </w:rPr>
          <w:t>42.1</w:t>
        </w:r>
      </w:hyperlink>
      <w:r>
        <w:rPr>
          <w:spacing w:val="29"/>
        </w:rPr>
        <w:t xml:space="preserve"> </w:t>
      </w:r>
      <w:r>
        <w:rPr>
          <w:spacing w:val="-1"/>
        </w:rPr>
        <w:t>(Termination</w:t>
      </w:r>
      <w:r>
        <w:rPr>
          <w:spacing w:val="29"/>
        </w:rPr>
        <w:t xml:space="preserve"> </w:t>
      </w:r>
      <w:r>
        <w:rPr>
          <w:spacing w:val="-1"/>
        </w:rPr>
        <w:t>on</w:t>
      </w:r>
      <w:r>
        <w:rPr>
          <w:spacing w:val="29"/>
        </w:rPr>
        <w:t xml:space="preserve"> </w:t>
      </w:r>
      <w:r>
        <w:rPr>
          <w:spacing w:val="-1"/>
        </w:rPr>
        <w:t>Customer</w:t>
      </w:r>
      <w:r>
        <w:rPr>
          <w:spacing w:val="30"/>
        </w:rPr>
        <w:t xml:space="preserve"> </w:t>
      </w:r>
      <w:r>
        <w:rPr>
          <w:spacing w:val="-1"/>
        </w:rPr>
        <w:t>Cause</w:t>
      </w:r>
      <w:r>
        <w:rPr>
          <w:spacing w:val="28"/>
        </w:rPr>
        <w:t xml:space="preserve"> </w:t>
      </w:r>
      <w:r>
        <w:t>for</w:t>
      </w:r>
      <w:r>
        <w:rPr>
          <w:spacing w:val="30"/>
        </w:rPr>
        <w:t xml:space="preserve"> </w:t>
      </w:r>
      <w:r>
        <w:rPr>
          <w:spacing w:val="-1"/>
        </w:rPr>
        <w:t>Failure</w:t>
      </w:r>
      <w:r>
        <w:rPr>
          <w:spacing w:val="29"/>
        </w:rPr>
        <w:t xml:space="preserve"> </w:t>
      </w:r>
      <w:r>
        <w:t>to</w:t>
      </w:r>
      <w:r>
        <w:rPr>
          <w:spacing w:val="29"/>
        </w:rPr>
        <w:t xml:space="preserve"> </w:t>
      </w:r>
      <w:r>
        <w:rPr>
          <w:spacing w:val="-1"/>
        </w:rPr>
        <w:t>Pay)</w:t>
      </w:r>
      <w:r>
        <w:rPr>
          <w:spacing w:val="30"/>
        </w:rPr>
        <w:t xml:space="preserve"> </w:t>
      </w:r>
      <w:r>
        <w:t>for</w:t>
      </w:r>
      <w:r>
        <w:rPr>
          <w:spacing w:val="33"/>
        </w:rPr>
        <w:t xml:space="preserve"> </w:t>
      </w:r>
      <w:r>
        <w:rPr>
          <w:spacing w:val="-1"/>
        </w:rPr>
        <w:t>failure</w:t>
      </w:r>
      <w:r>
        <w:t xml:space="preserve"> to</w:t>
      </w:r>
      <w:r>
        <w:rPr>
          <w:spacing w:val="-2"/>
        </w:rPr>
        <w:t xml:space="preserve"> </w:t>
      </w:r>
      <w:r>
        <w:rPr>
          <w:spacing w:val="-1"/>
        </w:rPr>
        <w:t>pay</w:t>
      </w:r>
      <w:r>
        <w:rPr>
          <w:spacing w:val="-2"/>
        </w:rPr>
        <w:t xml:space="preserve"> </w:t>
      </w:r>
      <w:r>
        <w:rPr>
          <w:spacing w:val="-1"/>
        </w:rPr>
        <w:t>undisputed</w:t>
      </w:r>
      <w:r>
        <w:rPr>
          <w:spacing w:val="-2"/>
        </w:rPr>
        <w:t xml:space="preserve"> Call</w:t>
      </w:r>
      <w:r>
        <w:t xml:space="preserve"> </w:t>
      </w:r>
      <w:r>
        <w:rPr>
          <w:spacing w:val="-1"/>
        </w:rPr>
        <w:t>Off</w:t>
      </w:r>
      <w:r>
        <w:rPr>
          <w:spacing w:val="2"/>
        </w:rPr>
        <w:t xml:space="preserve"> </w:t>
      </w:r>
      <w:r>
        <w:rPr>
          <w:spacing w:val="-2"/>
        </w:rPr>
        <w:t>Contract</w:t>
      </w:r>
      <w:r>
        <w:rPr>
          <w:spacing w:val="2"/>
        </w:rPr>
        <w:t xml:space="preserve"> </w:t>
      </w:r>
      <w:r>
        <w:rPr>
          <w:spacing w:val="-2"/>
        </w:rPr>
        <w:t>Charges.</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numPr>
          <w:ilvl w:val="0"/>
          <w:numId w:val="66"/>
        </w:numPr>
        <w:tabs>
          <w:tab w:val="left" w:pos="667"/>
        </w:tabs>
        <w:spacing w:before="58"/>
        <w:ind w:left="666" w:hanging="566"/>
        <w:rPr>
          <w:rFonts w:ascii="Times New Roman" w:eastAsia="Times New Roman" w:hAnsi="Times New Roman" w:cs="Times New Roman"/>
        </w:rPr>
      </w:pPr>
      <w:bookmarkStart w:id="94" w:name="13._SERVICE_LEVELS_AND_SERVICE_CREDITS"/>
      <w:bookmarkStart w:id="95" w:name="12._TESTING"/>
      <w:bookmarkStart w:id="96" w:name="10._INSTALLATION_WORKS"/>
      <w:bookmarkStart w:id="97" w:name="_bookmark90"/>
      <w:bookmarkEnd w:id="94"/>
      <w:bookmarkEnd w:id="95"/>
      <w:bookmarkEnd w:id="96"/>
      <w:bookmarkEnd w:id="97"/>
      <w:r>
        <w:rPr>
          <w:rFonts w:ascii="Times New Roman"/>
          <w:spacing w:val="-5"/>
        </w:rPr>
        <w:t>INS</w:t>
      </w:r>
      <w:r>
        <w:rPr>
          <w:rFonts w:ascii="Times New Roman"/>
          <w:spacing w:val="-32"/>
        </w:rPr>
        <w:t xml:space="preserve"> </w:t>
      </w:r>
      <w:r>
        <w:rPr>
          <w:rFonts w:ascii="Times New Roman"/>
          <w:spacing w:val="-1"/>
        </w:rPr>
        <w:t>TALLATION</w:t>
      </w:r>
      <w:r>
        <w:rPr>
          <w:rFonts w:ascii="Times New Roman"/>
          <w:spacing w:val="6"/>
        </w:rPr>
        <w:t xml:space="preserve"> </w:t>
      </w:r>
      <w:r>
        <w:rPr>
          <w:rFonts w:ascii="Times New Roman"/>
          <w:spacing w:val="4"/>
        </w:rPr>
        <w:t>WORKS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3"/>
        </w:tabs>
        <w:spacing w:before="0"/>
        <w:ind w:hanging="564"/>
      </w:pPr>
      <w:r>
        <w:rPr>
          <w:spacing w:val="-1"/>
        </w:rPr>
        <w:t>Not</w:t>
      </w:r>
      <w:r>
        <w:rPr>
          <w:spacing w:val="2"/>
        </w:rPr>
        <w:t xml:space="preserve"> </w:t>
      </w:r>
      <w:r>
        <w:rPr>
          <w:spacing w:val="-1"/>
        </w:rPr>
        <w:t>Used</w:t>
      </w:r>
    </w:p>
    <w:p w:rsidR="008918FA" w:rsidRDefault="008918FA" w:rsidP="008918FA">
      <w:pPr>
        <w:pStyle w:val="BodyText"/>
        <w:numPr>
          <w:ilvl w:val="0"/>
          <w:numId w:val="66"/>
        </w:numPr>
        <w:tabs>
          <w:tab w:val="left" w:pos="667"/>
        </w:tabs>
        <w:spacing w:before="120"/>
        <w:ind w:left="666" w:hanging="566"/>
        <w:rPr>
          <w:rFonts w:ascii="Times New Roman" w:eastAsia="Times New Roman" w:hAnsi="Times New Roman" w:cs="Times New Roman"/>
        </w:rPr>
      </w:pPr>
      <w:bookmarkStart w:id="98" w:name="_bookmark91"/>
      <w:bookmarkEnd w:id="98"/>
      <w:r>
        <w:rPr>
          <w:rFonts w:ascii="Times New Roman"/>
          <w:spacing w:val="23"/>
        </w:rPr>
        <w:t>S</w:t>
      </w:r>
      <w:r>
        <w:rPr>
          <w:rFonts w:ascii="Times New Roman"/>
          <w:spacing w:val="2"/>
        </w:rPr>
        <w:t>T</w:t>
      </w:r>
      <w:bookmarkStart w:id="99" w:name="11._STANDARDS_AND_QUALITY"/>
      <w:bookmarkEnd w:id="99"/>
      <w:r>
        <w:rPr>
          <w:rFonts w:ascii="Times New Roman"/>
          <w:spacing w:val="-6"/>
        </w:rPr>
        <w:t>A</w:t>
      </w:r>
      <w:r>
        <w:rPr>
          <w:rFonts w:ascii="Times New Roman"/>
          <w:spacing w:val="1"/>
        </w:rPr>
        <w:t>N</w:t>
      </w:r>
      <w:r>
        <w:rPr>
          <w:rFonts w:ascii="Times New Roman"/>
          <w:spacing w:val="3"/>
        </w:rPr>
        <w:t>D</w:t>
      </w:r>
      <w:r>
        <w:rPr>
          <w:rFonts w:ascii="Times New Roman"/>
          <w:spacing w:val="-6"/>
        </w:rPr>
        <w:t>A</w:t>
      </w:r>
      <w:r>
        <w:rPr>
          <w:rFonts w:ascii="Times New Roman"/>
          <w:spacing w:val="11"/>
        </w:rPr>
        <w:t>R</w:t>
      </w:r>
      <w:r>
        <w:rPr>
          <w:rFonts w:ascii="Times New Roman"/>
          <w:spacing w:val="-2"/>
        </w:rPr>
        <w:t>D</w:t>
      </w:r>
      <w:r>
        <w:rPr>
          <w:rFonts w:ascii="Times New Roman"/>
        </w:rPr>
        <w:t>S</w:t>
      </w:r>
      <w:r>
        <w:rPr>
          <w:rFonts w:ascii="Times New Roman"/>
          <w:spacing w:val="35"/>
        </w:rPr>
        <w:t xml:space="preserve"> </w:t>
      </w:r>
      <w:r>
        <w:rPr>
          <w:rFonts w:ascii="Times New Roman"/>
          <w:spacing w:val="-3"/>
        </w:rPr>
        <w:t>AND</w:t>
      </w:r>
      <w:r>
        <w:rPr>
          <w:rFonts w:ascii="Times New Roman"/>
          <w:spacing w:val="6"/>
        </w:rPr>
        <w:t xml:space="preserve"> </w:t>
      </w:r>
      <w:r>
        <w:rPr>
          <w:rFonts w:ascii="Times New Roman"/>
          <w:spacing w:val="-1"/>
        </w:rPr>
        <w:t>QUALITY</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4"/>
        </w:tabs>
        <w:spacing w:before="0"/>
        <w:ind w:left="1028" w:right="114" w:hanging="359"/>
        <w:jc w:val="both"/>
      </w:pPr>
      <w:r>
        <w:t>The</w:t>
      </w:r>
      <w:r>
        <w:rPr>
          <w:spacing w:val="3"/>
        </w:rPr>
        <w:t xml:space="preserve"> </w:t>
      </w:r>
      <w:r>
        <w:rPr>
          <w:spacing w:val="-2"/>
        </w:rPr>
        <w:t>Supplier</w:t>
      </w:r>
      <w:r>
        <w:rPr>
          <w:spacing w:val="4"/>
        </w:rPr>
        <w:t xml:space="preserve"> </w:t>
      </w:r>
      <w:r>
        <w:rPr>
          <w:spacing w:val="-1"/>
        </w:rPr>
        <w:t>shall</w:t>
      </w:r>
      <w:r>
        <w:rPr>
          <w:spacing w:val="2"/>
        </w:rPr>
        <w:t xml:space="preserve"> </w:t>
      </w:r>
      <w:r>
        <w:rPr>
          <w:spacing w:val="-2"/>
        </w:rPr>
        <w:t>at</w:t>
      </w:r>
      <w:r>
        <w:rPr>
          <w:spacing w:val="4"/>
        </w:rPr>
        <w:t xml:space="preserve"> </w:t>
      </w:r>
      <w:r>
        <w:rPr>
          <w:spacing w:val="-1"/>
        </w:rPr>
        <w:t>all</w:t>
      </w:r>
      <w:r>
        <w:rPr>
          <w:spacing w:val="2"/>
        </w:rPr>
        <w:t xml:space="preserve"> </w:t>
      </w:r>
      <w:r>
        <w:rPr>
          <w:spacing w:val="-1"/>
        </w:rPr>
        <w:t>times</w:t>
      </w:r>
      <w:r>
        <w:rPr>
          <w:spacing w:val="5"/>
        </w:rPr>
        <w:t xml:space="preserve"> </w:t>
      </w:r>
      <w:r>
        <w:rPr>
          <w:spacing w:val="-2"/>
        </w:rPr>
        <w:t>during</w:t>
      </w:r>
      <w:r>
        <w:rPr>
          <w:spacing w:val="3"/>
        </w:rPr>
        <w:t xml:space="preserve"> </w:t>
      </w:r>
      <w:r>
        <w:t>the</w:t>
      </w:r>
      <w:r>
        <w:rPr>
          <w:spacing w:val="3"/>
        </w:rPr>
        <w:t xml:space="preserve"> </w:t>
      </w:r>
      <w:r>
        <w:rPr>
          <w:spacing w:val="-2"/>
        </w:rPr>
        <w:t>Call</w:t>
      </w:r>
      <w:r>
        <w:rPr>
          <w:spacing w:val="2"/>
        </w:rPr>
        <w:t xml:space="preserve"> </w:t>
      </w:r>
      <w:r>
        <w:rPr>
          <w:spacing w:val="-1"/>
        </w:rPr>
        <w:t>Off</w:t>
      </w:r>
      <w:r>
        <w:t xml:space="preserve"> </w:t>
      </w:r>
      <w:r>
        <w:rPr>
          <w:spacing w:val="-1"/>
        </w:rPr>
        <w:t>Contract</w:t>
      </w:r>
      <w:r>
        <w:rPr>
          <w:spacing w:val="4"/>
        </w:rPr>
        <w:t xml:space="preserve"> </w:t>
      </w:r>
      <w:r>
        <w:rPr>
          <w:spacing w:val="-1"/>
        </w:rPr>
        <w:t>Period</w:t>
      </w:r>
      <w:r>
        <w:rPr>
          <w:spacing w:val="3"/>
        </w:rPr>
        <w:t xml:space="preserve"> </w:t>
      </w:r>
      <w:r>
        <w:rPr>
          <w:spacing w:val="-2"/>
        </w:rPr>
        <w:t>comply</w:t>
      </w:r>
      <w:r>
        <w:rPr>
          <w:spacing w:val="2"/>
        </w:rPr>
        <w:t xml:space="preserve"> </w:t>
      </w:r>
      <w:r>
        <w:rPr>
          <w:spacing w:val="-1"/>
        </w:rPr>
        <w:t>with</w:t>
      </w:r>
      <w:r>
        <w:rPr>
          <w:spacing w:val="3"/>
        </w:rPr>
        <w:t xml:space="preserve"> </w:t>
      </w:r>
      <w:r>
        <w:rPr>
          <w:spacing w:val="-1"/>
        </w:rPr>
        <w:t>the</w:t>
      </w:r>
      <w:r>
        <w:rPr>
          <w:spacing w:val="60"/>
        </w:rPr>
        <w:t xml:space="preserve"> </w:t>
      </w:r>
      <w:r>
        <w:rPr>
          <w:spacing w:val="-1"/>
        </w:rPr>
        <w:t>Standards</w:t>
      </w:r>
      <w:r>
        <w:rPr>
          <w:spacing w:val="1"/>
        </w:rPr>
        <w:t xml:space="preserve"> </w:t>
      </w:r>
      <w:r>
        <w:rPr>
          <w:spacing w:val="-1"/>
        </w:rPr>
        <w:t>and</w:t>
      </w:r>
      <w:r>
        <w:rPr>
          <w:spacing w:val="1"/>
        </w:rPr>
        <w:t xml:space="preserve"> </w:t>
      </w:r>
      <w:r>
        <w:rPr>
          <w:spacing w:val="-1"/>
        </w:rPr>
        <w:t>maintain,</w:t>
      </w:r>
      <w:r>
        <w:rPr>
          <w:spacing w:val="2"/>
        </w:rPr>
        <w:t xml:space="preserve"> </w:t>
      </w:r>
      <w:r>
        <w:rPr>
          <w:spacing w:val="-2"/>
        </w:rPr>
        <w:t>where</w:t>
      </w:r>
      <w:r>
        <w:rPr>
          <w:spacing w:val="61"/>
        </w:rPr>
        <w:t xml:space="preserve"> </w:t>
      </w:r>
      <w:r>
        <w:rPr>
          <w:spacing w:val="-2"/>
        </w:rPr>
        <w:t>applicable,</w:t>
      </w:r>
      <w:r>
        <w:rPr>
          <w:spacing w:val="5"/>
        </w:rPr>
        <w:t xml:space="preserve"> </w:t>
      </w:r>
      <w:r>
        <w:rPr>
          <w:spacing w:val="-1"/>
        </w:rPr>
        <w:t>accreditation</w:t>
      </w:r>
      <w:r>
        <w:t xml:space="preserve">  </w:t>
      </w:r>
      <w:r>
        <w:rPr>
          <w:spacing w:val="-1"/>
        </w:rPr>
        <w:t>with</w:t>
      </w:r>
      <w:r>
        <w:t xml:space="preserve">  the  </w:t>
      </w:r>
      <w:r>
        <w:rPr>
          <w:spacing w:val="-2"/>
        </w:rPr>
        <w:t>relevant</w:t>
      </w:r>
      <w:r>
        <w:rPr>
          <w:spacing w:val="60"/>
        </w:rPr>
        <w:t xml:space="preserve"> </w:t>
      </w:r>
      <w:r>
        <w:rPr>
          <w:spacing w:val="-1"/>
        </w:rPr>
        <w:t>Standards'</w:t>
      </w:r>
      <w:r>
        <w:rPr>
          <w:spacing w:val="2"/>
        </w:rPr>
        <w:t xml:space="preserve"> </w:t>
      </w:r>
      <w:r>
        <w:rPr>
          <w:spacing w:val="-1"/>
        </w:rPr>
        <w:t>authorisation</w:t>
      </w:r>
      <w:r>
        <w:rPr>
          <w:spacing w:val="-2"/>
        </w:rPr>
        <w:t xml:space="preserve"> body.</w:t>
      </w:r>
    </w:p>
    <w:p w:rsidR="008918FA" w:rsidRDefault="008918FA" w:rsidP="008918FA">
      <w:pPr>
        <w:pStyle w:val="BodyText"/>
        <w:numPr>
          <w:ilvl w:val="1"/>
          <w:numId w:val="66"/>
        </w:numPr>
        <w:tabs>
          <w:tab w:val="left" w:pos="1234"/>
        </w:tabs>
        <w:ind w:left="1028" w:right="111" w:hanging="359"/>
        <w:jc w:val="both"/>
      </w:pPr>
      <w:r>
        <w:rPr>
          <w:spacing w:val="-1"/>
        </w:rPr>
        <w:t>Throughout</w:t>
      </w:r>
      <w:r>
        <w:t xml:space="preserve"> the </w:t>
      </w:r>
      <w:r>
        <w:rPr>
          <w:spacing w:val="-2"/>
        </w:rPr>
        <w:t>Call</w:t>
      </w:r>
      <w:r>
        <w:rPr>
          <w:spacing w:val="-3"/>
        </w:rPr>
        <w:t xml:space="preserve"> </w:t>
      </w:r>
      <w:r>
        <w:rPr>
          <w:spacing w:val="-1"/>
        </w:rPr>
        <w:t>Off</w:t>
      </w:r>
      <w:r>
        <w:t xml:space="preserve"> </w:t>
      </w:r>
      <w:r>
        <w:rPr>
          <w:spacing w:val="-1"/>
        </w:rPr>
        <w:t>Contract</w:t>
      </w:r>
      <w:r>
        <w:rPr>
          <w:spacing w:val="2"/>
        </w:rPr>
        <w:t xml:space="preserve"> </w:t>
      </w:r>
      <w:r>
        <w:rPr>
          <w:spacing w:val="-1"/>
        </w:rPr>
        <w:t>Period,</w:t>
      </w:r>
      <w:r>
        <w:t xml:space="preserve"> the</w:t>
      </w:r>
      <w:r>
        <w:rPr>
          <w:spacing w:val="-2"/>
        </w:rPr>
        <w:t xml:space="preserve"> Parties</w:t>
      </w:r>
      <w:r>
        <w:rPr>
          <w:spacing w:val="1"/>
        </w:rPr>
        <w:t xml:space="preserve"> </w:t>
      </w:r>
      <w:r>
        <w:rPr>
          <w:spacing w:val="-1"/>
        </w:rPr>
        <w:t>shall</w:t>
      </w:r>
      <w:r>
        <w:t xml:space="preserve"> </w:t>
      </w:r>
      <w:r>
        <w:rPr>
          <w:spacing w:val="-1"/>
        </w:rPr>
        <w:t>notify</w:t>
      </w:r>
      <w:r>
        <w:rPr>
          <w:spacing w:val="-2"/>
        </w:rPr>
        <w:t xml:space="preserve"> </w:t>
      </w:r>
      <w:r>
        <w:rPr>
          <w:spacing w:val="-1"/>
        </w:rPr>
        <w:t>each</w:t>
      </w:r>
      <w:r>
        <w:rPr>
          <w:spacing w:val="1"/>
        </w:rPr>
        <w:t xml:space="preserve"> </w:t>
      </w:r>
      <w:r>
        <w:rPr>
          <w:spacing w:val="-2"/>
        </w:rPr>
        <w:t>other</w:t>
      </w:r>
      <w:r>
        <w:rPr>
          <w:spacing w:val="2"/>
        </w:rPr>
        <w:t xml:space="preserve"> </w:t>
      </w:r>
      <w:r>
        <w:rPr>
          <w:spacing w:val="-2"/>
        </w:rPr>
        <w:t>of</w:t>
      </w:r>
      <w:r>
        <w:rPr>
          <w:spacing w:val="2"/>
        </w:rPr>
        <w:t xml:space="preserve"> </w:t>
      </w:r>
      <w:r>
        <w:rPr>
          <w:spacing w:val="-1"/>
        </w:rPr>
        <w:t>any</w:t>
      </w:r>
      <w:r>
        <w:rPr>
          <w:spacing w:val="54"/>
        </w:rPr>
        <w:t xml:space="preserve"> </w:t>
      </w:r>
      <w:r>
        <w:rPr>
          <w:spacing w:val="-1"/>
        </w:rPr>
        <w:t>new</w:t>
      </w:r>
      <w:r>
        <w:rPr>
          <w:spacing w:val="52"/>
        </w:rPr>
        <w:t xml:space="preserve"> </w:t>
      </w:r>
      <w:r>
        <w:rPr>
          <w:spacing w:val="-1"/>
        </w:rPr>
        <w:t>or</w:t>
      </w:r>
      <w:r>
        <w:rPr>
          <w:spacing w:val="57"/>
        </w:rPr>
        <w:t xml:space="preserve"> </w:t>
      </w:r>
      <w:r>
        <w:rPr>
          <w:spacing w:val="-1"/>
        </w:rPr>
        <w:t>emergent</w:t>
      </w:r>
      <w:r>
        <w:rPr>
          <w:spacing w:val="57"/>
        </w:rPr>
        <w:t xml:space="preserve"> </w:t>
      </w:r>
      <w:r>
        <w:rPr>
          <w:spacing w:val="-1"/>
        </w:rPr>
        <w:t>standards</w:t>
      </w:r>
      <w:r>
        <w:rPr>
          <w:spacing w:val="56"/>
        </w:rPr>
        <w:t xml:space="preserve"> </w:t>
      </w:r>
      <w:r>
        <w:rPr>
          <w:spacing w:val="-2"/>
        </w:rPr>
        <w:t>which</w:t>
      </w:r>
      <w:r>
        <w:rPr>
          <w:spacing w:val="56"/>
        </w:rPr>
        <w:t xml:space="preserve"> </w:t>
      </w:r>
      <w:r>
        <w:rPr>
          <w:spacing w:val="-1"/>
        </w:rPr>
        <w:t>could</w:t>
      </w:r>
      <w:r>
        <w:rPr>
          <w:spacing w:val="55"/>
        </w:rPr>
        <w:t xml:space="preserve"> </w:t>
      </w:r>
      <w:r>
        <w:rPr>
          <w:spacing w:val="-1"/>
        </w:rPr>
        <w:t>affect</w:t>
      </w:r>
      <w:r>
        <w:rPr>
          <w:spacing w:val="56"/>
        </w:rPr>
        <w:t xml:space="preserve"> </w:t>
      </w:r>
      <w:r>
        <w:t>the</w:t>
      </w:r>
      <w:r>
        <w:rPr>
          <w:spacing w:val="55"/>
        </w:rPr>
        <w:t xml:space="preserve"> </w:t>
      </w:r>
      <w:r>
        <w:rPr>
          <w:spacing w:val="-2"/>
        </w:rPr>
        <w:t>Supplier’s</w:t>
      </w:r>
      <w:r>
        <w:rPr>
          <w:spacing w:val="56"/>
        </w:rPr>
        <w:t xml:space="preserve"> </w:t>
      </w:r>
      <w:r>
        <w:rPr>
          <w:spacing w:val="-2"/>
        </w:rPr>
        <w:t>provision,</w:t>
      </w:r>
      <w:r>
        <w:rPr>
          <w:spacing w:val="57"/>
        </w:rPr>
        <w:t xml:space="preserve"> </w:t>
      </w:r>
      <w:r>
        <w:rPr>
          <w:spacing w:val="-1"/>
        </w:rPr>
        <w:t>or</w:t>
      </w:r>
      <w:r>
        <w:rPr>
          <w:spacing w:val="54"/>
        </w:rPr>
        <w:t xml:space="preserve"> </w:t>
      </w:r>
      <w:r>
        <w:rPr>
          <w:spacing w:val="-1"/>
        </w:rPr>
        <w:t>the</w:t>
      </w:r>
      <w:r>
        <w:rPr>
          <w:spacing w:val="62"/>
        </w:rPr>
        <w:t xml:space="preserve"> </w:t>
      </w:r>
      <w:r>
        <w:rPr>
          <w:spacing w:val="-1"/>
        </w:rPr>
        <w:t>receipt</w:t>
      </w:r>
      <w:r>
        <w:rPr>
          <w:spacing w:val="19"/>
        </w:rPr>
        <w:t xml:space="preserve"> </w:t>
      </w:r>
      <w:r>
        <w:rPr>
          <w:spacing w:val="-1"/>
        </w:rPr>
        <w:t>by</w:t>
      </w:r>
      <w:r>
        <w:rPr>
          <w:spacing w:val="15"/>
        </w:rPr>
        <w:t xml:space="preserve"> </w:t>
      </w:r>
      <w:r>
        <w:t>the</w:t>
      </w:r>
      <w:r>
        <w:rPr>
          <w:spacing w:val="15"/>
        </w:rPr>
        <w:t xml:space="preserve"> </w:t>
      </w:r>
      <w:r>
        <w:rPr>
          <w:spacing w:val="-1"/>
        </w:rPr>
        <w:t>Customer,</w:t>
      </w:r>
      <w:r>
        <w:rPr>
          <w:spacing w:val="16"/>
        </w:rPr>
        <w:t xml:space="preserve"> </w:t>
      </w:r>
      <w:r>
        <w:rPr>
          <w:spacing w:val="-2"/>
        </w:rPr>
        <w:t>of</w:t>
      </w:r>
      <w:r>
        <w:rPr>
          <w:spacing w:val="19"/>
        </w:rPr>
        <w:t xml:space="preserve"> </w:t>
      </w:r>
      <w:r>
        <w:t>the</w:t>
      </w:r>
      <w:r>
        <w:rPr>
          <w:spacing w:val="15"/>
        </w:rPr>
        <w:t xml:space="preserve"> </w:t>
      </w:r>
      <w:r>
        <w:rPr>
          <w:spacing w:val="-1"/>
        </w:rPr>
        <w:t>Goods</w:t>
      </w:r>
      <w:r>
        <w:rPr>
          <w:spacing w:val="15"/>
        </w:rPr>
        <w:t xml:space="preserve"> </w:t>
      </w:r>
      <w:r>
        <w:rPr>
          <w:spacing w:val="-1"/>
        </w:rPr>
        <w:t>and/or</w:t>
      </w:r>
      <w:r>
        <w:rPr>
          <w:spacing w:val="19"/>
        </w:rPr>
        <w:t xml:space="preserve"> </w:t>
      </w:r>
      <w:r>
        <w:rPr>
          <w:spacing w:val="-2"/>
        </w:rPr>
        <w:t>Services.</w:t>
      </w:r>
      <w:r>
        <w:rPr>
          <w:spacing w:val="17"/>
        </w:rPr>
        <w:t xml:space="preserve"> </w:t>
      </w:r>
      <w:r>
        <w:t>The</w:t>
      </w:r>
      <w:r>
        <w:rPr>
          <w:spacing w:val="17"/>
        </w:rPr>
        <w:t xml:space="preserve"> </w:t>
      </w:r>
      <w:r>
        <w:rPr>
          <w:spacing w:val="-1"/>
        </w:rPr>
        <w:t>adoption</w:t>
      </w:r>
      <w:r>
        <w:rPr>
          <w:spacing w:val="17"/>
        </w:rPr>
        <w:t xml:space="preserve"> </w:t>
      </w:r>
      <w:r>
        <w:rPr>
          <w:spacing w:val="-2"/>
        </w:rPr>
        <w:t>of</w:t>
      </w:r>
      <w:r>
        <w:rPr>
          <w:spacing w:val="16"/>
        </w:rPr>
        <w:t xml:space="preserve"> </w:t>
      </w:r>
      <w:r>
        <w:rPr>
          <w:spacing w:val="-1"/>
        </w:rPr>
        <w:t>any</w:t>
      </w:r>
      <w:r>
        <w:rPr>
          <w:spacing w:val="15"/>
        </w:rPr>
        <w:t xml:space="preserve"> </w:t>
      </w:r>
      <w:r>
        <w:rPr>
          <w:spacing w:val="-1"/>
        </w:rPr>
        <w:t>such</w:t>
      </w:r>
      <w:r>
        <w:rPr>
          <w:spacing w:val="38"/>
        </w:rPr>
        <w:t xml:space="preserve"> </w:t>
      </w:r>
      <w:r>
        <w:rPr>
          <w:spacing w:val="-1"/>
        </w:rPr>
        <w:t>new</w:t>
      </w:r>
      <w:r>
        <w:rPr>
          <w:spacing w:val="26"/>
        </w:rPr>
        <w:t xml:space="preserve"> </w:t>
      </w:r>
      <w:r>
        <w:rPr>
          <w:spacing w:val="-1"/>
        </w:rPr>
        <w:t>or</w:t>
      </w:r>
      <w:r>
        <w:rPr>
          <w:spacing w:val="30"/>
        </w:rPr>
        <w:t xml:space="preserve"> </w:t>
      </w:r>
      <w:r>
        <w:rPr>
          <w:spacing w:val="-1"/>
        </w:rPr>
        <w:t>emergent</w:t>
      </w:r>
      <w:r>
        <w:rPr>
          <w:spacing w:val="30"/>
        </w:rPr>
        <w:t xml:space="preserve"> </w:t>
      </w:r>
      <w:r>
        <w:rPr>
          <w:spacing w:val="-1"/>
        </w:rPr>
        <w:t>standard,</w:t>
      </w:r>
      <w:r>
        <w:rPr>
          <w:spacing w:val="30"/>
        </w:rPr>
        <w:t xml:space="preserve"> </w:t>
      </w:r>
      <w:r>
        <w:rPr>
          <w:spacing w:val="-1"/>
        </w:rPr>
        <w:t>or</w:t>
      </w:r>
      <w:r>
        <w:rPr>
          <w:spacing w:val="30"/>
        </w:rPr>
        <w:t xml:space="preserve"> </w:t>
      </w:r>
      <w:r>
        <w:rPr>
          <w:spacing w:val="-1"/>
        </w:rPr>
        <w:t>changes</w:t>
      </w:r>
      <w:r>
        <w:rPr>
          <w:spacing w:val="27"/>
        </w:rPr>
        <w:t xml:space="preserve"> </w:t>
      </w:r>
      <w:r>
        <w:t>to</w:t>
      </w:r>
      <w:r>
        <w:rPr>
          <w:spacing w:val="29"/>
        </w:rPr>
        <w:t xml:space="preserve"> </w:t>
      </w:r>
      <w:r>
        <w:rPr>
          <w:spacing w:val="-2"/>
        </w:rPr>
        <w:t>existing</w:t>
      </w:r>
      <w:r>
        <w:rPr>
          <w:spacing w:val="31"/>
        </w:rPr>
        <w:t xml:space="preserve"> </w:t>
      </w:r>
      <w:r>
        <w:rPr>
          <w:spacing w:val="-1"/>
        </w:rPr>
        <w:t>Standards,</w:t>
      </w:r>
      <w:r>
        <w:rPr>
          <w:spacing w:val="30"/>
        </w:rPr>
        <w:t xml:space="preserve"> </w:t>
      </w:r>
      <w:r>
        <w:rPr>
          <w:spacing w:val="-1"/>
        </w:rPr>
        <w:t>shall</w:t>
      </w:r>
      <w:r>
        <w:rPr>
          <w:spacing w:val="28"/>
        </w:rPr>
        <w:t xml:space="preserve"> </w:t>
      </w:r>
      <w:r>
        <w:rPr>
          <w:spacing w:val="-1"/>
        </w:rPr>
        <w:t>be</w:t>
      </w:r>
      <w:r>
        <w:rPr>
          <w:spacing w:val="29"/>
        </w:rPr>
        <w:t xml:space="preserve"> </w:t>
      </w:r>
      <w:r>
        <w:rPr>
          <w:spacing w:val="-1"/>
        </w:rPr>
        <w:t>agreed</w:t>
      </w:r>
      <w:r>
        <w:rPr>
          <w:spacing w:val="29"/>
        </w:rPr>
        <w:t xml:space="preserve"> </w:t>
      </w:r>
      <w:r>
        <w:rPr>
          <w:spacing w:val="-1"/>
        </w:rPr>
        <w:t>in</w:t>
      </w:r>
      <w:r>
        <w:rPr>
          <w:spacing w:val="55"/>
        </w:rPr>
        <w:t xml:space="preserve"> </w:t>
      </w:r>
      <w:r>
        <w:rPr>
          <w:spacing w:val="-1"/>
        </w:rPr>
        <w:t>accordance</w:t>
      </w:r>
      <w:r>
        <w:rPr>
          <w:spacing w:val="56"/>
        </w:rPr>
        <w:t xml:space="preserve"> </w:t>
      </w:r>
      <w:r>
        <w:rPr>
          <w:spacing w:val="-2"/>
        </w:rPr>
        <w:t>with</w:t>
      </w:r>
      <w:r>
        <w:rPr>
          <w:spacing w:val="55"/>
        </w:rPr>
        <w:t xml:space="preserve"> </w:t>
      </w:r>
      <w:r>
        <w:t>the</w:t>
      </w:r>
      <w:r>
        <w:rPr>
          <w:spacing w:val="55"/>
        </w:rPr>
        <w:t xml:space="preserve"> </w:t>
      </w:r>
      <w:r>
        <w:rPr>
          <w:spacing w:val="-1"/>
        </w:rPr>
        <w:t>Variation</w:t>
      </w:r>
      <w:r>
        <w:rPr>
          <w:spacing w:val="55"/>
        </w:rPr>
        <w:t xml:space="preserve"> </w:t>
      </w:r>
      <w:r>
        <w:rPr>
          <w:spacing w:val="-1"/>
        </w:rPr>
        <w:t>Procedure.</w:t>
      </w:r>
      <w:r>
        <w:rPr>
          <w:spacing w:val="57"/>
        </w:rPr>
        <w:t xml:space="preserve"> </w:t>
      </w:r>
      <w:r>
        <w:rPr>
          <w:spacing w:val="-1"/>
        </w:rPr>
        <w:t>Any</w:t>
      </w:r>
      <w:r>
        <w:rPr>
          <w:spacing w:val="53"/>
        </w:rPr>
        <w:t xml:space="preserve"> </w:t>
      </w:r>
      <w:r>
        <w:rPr>
          <w:spacing w:val="-1"/>
        </w:rPr>
        <w:t>change</w:t>
      </w:r>
      <w:r>
        <w:rPr>
          <w:spacing w:val="54"/>
        </w:rPr>
        <w:t xml:space="preserve"> </w:t>
      </w:r>
      <w:r>
        <w:t>to</w:t>
      </w:r>
      <w:r>
        <w:rPr>
          <w:spacing w:val="55"/>
        </w:rPr>
        <w:t xml:space="preserve"> </w:t>
      </w:r>
      <w:r>
        <w:rPr>
          <w:spacing w:val="-1"/>
        </w:rPr>
        <w:t>an</w:t>
      </w:r>
      <w:r>
        <w:rPr>
          <w:spacing w:val="55"/>
        </w:rPr>
        <w:t xml:space="preserve"> </w:t>
      </w:r>
      <w:r>
        <w:rPr>
          <w:spacing w:val="-2"/>
        </w:rPr>
        <w:t>existing</w:t>
      </w:r>
      <w:r>
        <w:rPr>
          <w:spacing w:val="55"/>
        </w:rPr>
        <w:t xml:space="preserve"> </w:t>
      </w:r>
      <w:r>
        <w:rPr>
          <w:spacing w:val="-1"/>
        </w:rPr>
        <w:t>Standard</w:t>
      </w:r>
      <w:r>
        <w:rPr>
          <w:spacing w:val="55"/>
        </w:rPr>
        <w:t xml:space="preserve"> </w:t>
      </w:r>
      <w:r>
        <w:rPr>
          <w:spacing w:val="-1"/>
        </w:rPr>
        <w:t>which</w:t>
      </w:r>
      <w:r>
        <w:rPr>
          <w:spacing w:val="61"/>
        </w:rPr>
        <w:t xml:space="preserve"> </w:t>
      </w:r>
      <w:r w:rsidR="000E2E05">
        <w:rPr>
          <w:spacing w:val="-1"/>
        </w:rPr>
        <w:t>is</w:t>
      </w:r>
      <w:r w:rsidR="000E2E05">
        <w:t xml:space="preserve"> included</w:t>
      </w:r>
      <w:r>
        <w:rPr>
          <w:spacing w:val="60"/>
        </w:rPr>
        <w:t xml:space="preserve"> </w:t>
      </w:r>
      <w:r>
        <w:rPr>
          <w:spacing w:val="-1"/>
        </w:rPr>
        <w:t>in</w:t>
      </w:r>
      <w:r>
        <w:rPr>
          <w:spacing w:val="60"/>
        </w:rPr>
        <w:t xml:space="preserve"> </w:t>
      </w:r>
      <w:r w:rsidR="000E2E05">
        <w:rPr>
          <w:spacing w:val="-2"/>
        </w:rPr>
        <w:t>Framework</w:t>
      </w:r>
      <w:r w:rsidR="000E2E05">
        <w:t xml:space="preserve"> Schedule</w:t>
      </w:r>
      <w:r>
        <w:rPr>
          <w:spacing w:val="60"/>
        </w:rPr>
        <w:t xml:space="preserve"> </w:t>
      </w:r>
      <w:r>
        <w:t>2</w:t>
      </w:r>
      <w:r>
        <w:rPr>
          <w:spacing w:val="58"/>
        </w:rPr>
        <w:t xml:space="preserve"> </w:t>
      </w:r>
      <w:r>
        <w:rPr>
          <w:spacing w:val="-1"/>
        </w:rPr>
        <w:t>(</w:t>
      </w:r>
      <w:r w:rsidR="000E2E05">
        <w:rPr>
          <w:spacing w:val="-1"/>
        </w:rPr>
        <w:t>Goods</w:t>
      </w:r>
      <w:r w:rsidR="000E2E05">
        <w:t xml:space="preserve"> and</w:t>
      </w:r>
      <w:r>
        <w:rPr>
          <w:spacing w:val="-1"/>
        </w:rPr>
        <w:t>/or</w:t>
      </w:r>
      <w:r>
        <w:rPr>
          <w:spacing w:val="59"/>
        </w:rPr>
        <w:t xml:space="preserve"> </w:t>
      </w:r>
      <w:r w:rsidR="00B02739">
        <w:rPr>
          <w:spacing w:val="-1"/>
        </w:rPr>
        <w:t>Services</w:t>
      </w:r>
      <w:r w:rsidR="00B02739">
        <w:t xml:space="preserve"> and</w:t>
      </w:r>
      <w:r>
        <w:rPr>
          <w:spacing w:val="61"/>
        </w:rPr>
        <w:t xml:space="preserve"> </w:t>
      </w:r>
      <w:r>
        <w:rPr>
          <w:spacing w:val="-1"/>
        </w:rPr>
        <w:t>Key</w:t>
      </w:r>
      <w:r>
        <w:rPr>
          <w:spacing w:val="26"/>
        </w:rPr>
        <w:t xml:space="preserve"> </w:t>
      </w:r>
      <w:r>
        <w:rPr>
          <w:spacing w:val="-1"/>
        </w:rPr>
        <w:t>Performance</w:t>
      </w:r>
      <w:r>
        <w:rPr>
          <w:spacing w:val="16"/>
        </w:rPr>
        <w:t xml:space="preserve"> </w:t>
      </w:r>
      <w:r>
        <w:rPr>
          <w:spacing w:val="-1"/>
        </w:rPr>
        <w:t>Indicators)</w:t>
      </w:r>
      <w:r>
        <w:rPr>
          <w:spacing w:val="18"/>
        </w:rPr>
        <w:t xml:space="preserve"> </w:t>
      </w:r>
      <w:r>
        <w:rPr>
          <w:spacing w:val="-1"/>
        </w:rPr>
        <w:t>shall,</w:t>
      </w:r>
      <w:r>
        <w:rPr>
          <w:spacing w:val="20"/>
        </w:rPr>
        <w:t xml:space="preserve"> </w:t>
      </w:r>
      <w:r>
        <w:rPr>
          <w:spacing w:val="-1"/>
        </w:rPr>
        <w:t>in</w:t>
      </w:r>
      <w:r>
        <w:rPr>
          <w:spacing w:val="18"/>
        </w:rPr>
        <w:t xml:space="preserve"> </w:t>
      </w:r>
      <w:r>
        <w:rPr>
          <w:spacing w:val="-1"/>
        </w:rPr>
        <w:t>addition,</w:t>
      </w:r>
      <w:r>
        <w:rPr>
          <w:spacing w:val="20"/>
        </w:rPr>
        <w:t xml:space="preserve"> </w:t>
      </w:r>
      <w:r>
        <w:rPr>
          <w:spacing w:val="-1"/>
        </w:rPr>
        <w:t>require</w:t>
      </w:r>
      <w:r>
        <w:rPr>
          <w:spacing w:val="18"/>
        </w:rPr>
        <w:t xml:space="preserve"> </w:t>
      </w:r>
      <w:r>
        <w:t>the</w:t>
      </w:r>
      <w:r>
        <w:rPr>
          <w:spacing w:val="21"/>
        </w:rPr>
        <w:t xml:space="preserve"> </w:t>
      </w:r>
      <w:r>
        <w:rPr>
          <w:spacing w:val="-1"/>
        </w:rPr>
        <w:t>written</w:t>
      </w:r>
      <w:r>
        <w:rPr>
          <w:spacing w:val="19"/>
        </w:rPr>
        <w:t xml:space="preserve"> </w:t>
      </w:r>
      <w:r>
        <w:rPr>
          <w:spacing w:val="-1"/>
        </w:rPr>
        <w:t>consent</w:t>
      </w:r>
      <w:r>
        <w:rPr>
          <w:spacing w:val="20"/>
        </w:rPr>
        <w:t xml:space="preserve"> </w:t>
      </w:r>
      <w:r>
        <w:rPr>
          <w:spacing w:val="-2"/>
        </w:rPr>
        <w:t>of</w:t>
      </w:r>
      <w:r>
        <w:rPr>
          <w:spacing w:val="22"/>
        </w:rPr>
        <w:t xml:space="preserve"> </w:t>
      </w:r>
      <w:r>
        <w:rPr>
          <w:spacing w:val="-1"/>
        </w:rPr>
        <w:t>the</w:t>
      </w:r>
      <w:r>
        <w:rPr>
          <w:spacing w:val="34"/>
        </w:rPr>
        <w:t xml:space="preserve"> </w:t>
      </w:r>
      <w:r>
        <w:rPr>
          <w:spacing w:val="-1"/>
        </w:rPr>
        <w:t>Authority.</w:t>
      </w:r>
    </w:p>
    <w:p w:rsidR="008918FA" w:rsidRDefault="008918FA" w:rsidP="008918FA">
      <w:pPr>
        <w:pStyle w:val="BodyText"/>
        <w:numPr>
          <w:ilvl w:val="1"/>
          <w:numId w:val="66"/>
        </w:numPr>
        <w:tabs>
          <w:tab w:val="left" w:pos="1234"/>
        </w:tabs>
        <w:spacing w:before="121"/>
        <w:ind w:left="1029" w:right="111" w:hanging="360"/>
        <w:jc w:val="both"/>
      </w:pPr>
      <w:r>
        <w:rPr>
          <w:spacing w:val="-1"/>
        </w:rPr>
        <w:t>Where</w:t>
      </w:r>
      <w:r>
        <w:rPr>
          <w:spacing w:val="46"/>
        </w:rPr>
        <w:t xml:space="preserve"> </w:t>
      </w:r>
      <w:r>
        <w:t>a</w:t>
      </w:r>
      <w:r>
        <w:rPr>
          <w:spacing w:val="46"/>
        </w:rPr>
        <w:t xml:space="preserve"> </w:t>
      </w:r>
      <w:r>
        <w:rPr>
          <w:spacing w:val="-1"/>
        </w:rPr>
        <w:t>new</w:t>
      </w:r>
      <w:r>
        <w:rPr>
          <w:spacing w:val="43"/>
        </w:rPr>
        <w:t xml:space="preserve"> </w:t>
      </w:r>
      <w:r>
        <w:rPr>
          <w:spacing w:val="-1"/>
        </w:rPr>
        <w:t>or</w:t>
      </w:r>
      <w:r>
        <w:rPr>
          <w:spacing w:val="47"/>
        </w:rPr>
        <w:t xml:space="preserve"> </w:t>
      </w:r>
      <w:r>
        <w:rPr>
          <w:spacing w:val="-2"/>
        </w:rPr>
        <w:t>emergent</w:t>
      </w:r>
      <w:r>
        <w:rPr>
          <w:spacing w:val="47"/>
        </w:rPr>
        <w:t xml:space="preserve"> </w:t>
      </w:r>
      <w:r>
        <w:rPr>
          <w:spacing w:val="-1"/>
        </w:rPr>
        <w:t>standard</w:t>
      </w:r>
      <w:r>
        <w:rPr>
          <w:spacing w:val="46"/>
        </w:rPr>
        <w:t xml:space="preserve"> </w:t>
      </w:r>
      <w:r>
        <w:rPr>
          <w:spacing w:val="-1"/>
        </w:rPr>
        <w:t>is</w:t>
      </w:r>
      <w:r>
        <w:rPr>
          <w:spacing w:val="45"/>
        </w:rPr>
        <w:t xml:space="preserve"> </w:t>
      </w:r>
      <w:r>
        <w:t>to</w:t>
      </w:r>
      <w:r>
        <w:rPr>
          <w:spacing w:val="46"/>
        </w:rPr>
        <w:t xml:space="preserve"> </w:t>
      </w:r>
      <w:r>
        <w:rPr>
          <w:spacing w:val="-1"/>
        </w:rPr>
        <w:t>be</w:t>
      </w:r>
      <w:r>
        <w:rPr>
          <w:spacing w:val="46"/>
        </w:rPr>
        <w:t xml:space="preserve"> </w:t>
      </w:r>
      <w:r>
        <w:rPr>
          <w:spacing w:val="-2"/>
        </w:rPr>
        <w:t>developed</w:t>
      </w:r>
      <w:r>
        <w:rPr>
          <w:spacing w:val="48"/>
        </w:rPr>
        <w:t xml:space="preserve"> </w:t>
      </w:r>
      <w:r>
        <w:rPr>
          <w:spacing w:val="-1"/>
        </w:rPr>
        <w:t>or</w:t>
      </w:r>
      <w:r>
        <w:rPr>
          <w:spacing w:val="47"/>
        </w:rPr>
        <w:t xml:space="preserve"> </w:t>
      </w:r>
      <w:r>
        <w:rPr>
          <w:spacing w:val="-1"/>
        </w:rPr>
        <w:t>introduced</w:t>
      </w:r>
      <w:r>
        <w:rPr>
          <w:spacing w:val="43"/>
        </w:rPr>
        <w:t xml:space="preserve"> </w:t>
      </w:r>
      <w:r>
        <w:rPr>
          <w:spacing w:val="-1"/>
        </w:rPr>
        <w:t>by</w:t>
      </w:r>
      <w:r>
        <w:rPr>
          <w:spacing w:val="45"/>
        </w:rPr>
        <w:t xml:space="preserve"> </w:t>
      </w:r>
      <w:r>
        <w:rPr>
          <w:spacing w:val="-1"/>
        </w:rPr>
        <w:t>the</w:t>
      </w:r>
      <w:r>
        <w:rPr>
          <w:spacing w:val="60"/>
        </w:rPr>
        <w:t xml:space="preserve"> </w:t>
      </w:r>
      <w:r>
        <w:rPr>
          <w:spacing w:val="-1"/>
        </w:rPr>
        <w:t>Customer,</w:t>
      </w:r>
      <w:r>
        <w:rPr>
          <w:spacing w:val="21"/>
        </w:rPr>
        <w:t xml:space="preserve"> </w:t>
      </w:r>
      <w:r>
        <w:t>the</w:t>
      </w:r>
      <w:r>
        <w:rPr>
          <w:spacing w:val="22"/>
        </w:rPr>
        <w:t xml:space="preserve"> </w:t>
      </w:r>
      <w:r>
        <w:rPr>
          <w:spacing w:val="-2"/>
        </w:rPr>
        <w:t>Supplier</w:t>
      </w:r>
      <w:r>
        <w:rPr>
          <w:spacing w:val="21"/>
        </w:rPr>
        <w:t xml:space="preserve"> </w:t>
      </w:r>
      <w:r>
        <w:rPr>
          <w:spacing w:val="-1"/>
        </w:rPr>
        <w:t>shall</w:t>
      </w:r>
      <w:r>
        <w:rPr>
          <w:spacing w:val="21"/>
        </w:rPr>
        <w:t xml:space="preserve"> </w:t>
      </w:r>
      <w:r>
        <w:rPr>
          <w:spacing w:val="-1"/>
        </w:rPr>
        <w:t>be</w:t>
      </w:r>
      <w:r>
        <w:rPr>
          <w:spacing w:val="22"/>
        </w:rPr>
        <w:t xml:space="preserve"> </w:t>
      </w:r>
      <w:r>
        <w:rPr>
          <w:spacing w:val="-1"/>
        </w:rPr>
        <w:t>responsible</w:t>
      </w:r>
      <w:r>
        <w:rPr>
          <w:spacing w:val="20"/>
        </w:rPr>
        <w:t xml:space="preserve"> </w:t>
      </w:r>
      <w:r>
        <w:t>for</w:t>
      </w:r>
      <w:r>
        <w:rPr>
          <w:spacing w:val="21"/>
        </w:rPr>
        <w:t xml:space="preserve"> </w:t>
      </w:r>
      <w:r>
        <w:rPr>
          <w:spacing w:val="-1"/>
        </w:rPr>
        <w:t>ensuring</w:t>
      </w:r>
      <w:r>
        <w:rPr>
          <w:spacing w:val="22"/>
        </w:rPr>
        <w:t xml:space="preserve"> </w:t>
      </w:r>
      <w:r>
        <w:rPr>
          <w:spacing w:val="-1"/>
        </w:rPr>
        <w:t>that</w:t>
      </w:r>
      <w:r>
        <w:rPr>
          <w:spacing w:val="23"/>
        </w:rPr>
        <w:t xml:space="preserve"> </w:t>
      </w:r>
      <w:r>
        <w:t>the</w:t>
      </w:r>
      <w:r>
        <w:rPr>
          <w:spacing w:val="19"/>
        </w:rPr>
        <w:t xml:space="preserve"> </w:t>
      </w:r>
      <w:r>
        <w:rPr>
          <w:spacing w:val="-1"/>
        </w:rPr>
        <w:t>potential</w:t>
      </w:r>
      <w:r>
        <w:rPr>
          <w:spacing w:val="21"/>
        </w:rPr>
        <w:t xml:space="preserve"> </w:t>
      </w:r>
      <w:r>
        <w:rPr>
          <w:spacing w:val="-2"/>
        </w:rPr>
        <w:t>impact</w:t>
      </w:r>
      <w:r>
        <w:rPr>
          <w:spacing w:val="53"/>
        </w:rPr>
        <w:t xml:space="preserve"> </w:t>
      </w:r>
      <w:r>
        <w:rPr>
          <w:spacing w:val="-1"/>
        </w:rPr>
        <w:t>on</w:t>
      </w:r>
      <w:r>
        <w:rPr>
          <w:spacing w:val="3"/>
        </w:rPr>
        <w:t xml:space="preserve"> </w:t>
      </w:r>
      <w:r>
        <w:t>the</w:t>
      </w:r>
      <w:r>
        <w:rPr>
          <w:spacing w:val="3"/>
        </w:rPr>
        <w:t xml:space="preserve"> </w:t>
      </w:r>
      <w:r>
        <w:rPr>
          <w:spacing w:val="-1"/>
        </w:rPr>
        <w:t>Supplier’s</w:t>
      </w:r>
      <w:r>
        <w:rPr>
          <w:spacing w:val="3"/>
        </w:rPr>
        <w:t xml:space="preserve"> </w:t>
      </w:r>
      <w:r>
        <w:rPr>
          <w:spacing w:val="-1"/>
        </w:rPr>
        <w:t>provision,</w:t>
      </w:r>
      <w:r>
        <w:rPr>
          <w:spacing w:val="4"/>
        </w:rPr>
        <w:t xml:space="preserve"> </w:t>
      </w:r>
      <w:r>
        <w:rPr>
          <w:spacing w:val="-1"/>
        </w:rPr>
        <w:t>or</w:t>
      </w:r>
      <w:r>
        <w:rPr>
          <w:spacing w:val="4"/>
        </w:rPr>
        <w:t xml:space="preserve"> </w:t>
      </w:r>
      <w:r>
        <w:t>the</w:t>
      </w:r>
      <w:r>
        <w:rPr>
          <w:spacing w:val="3"/>
        </w:rPr>
        <w:t xml:space="preserve"> </w:t>
      </w:r>
      <w:r>
        <w:rPr>
          <w:spacing w:val="-1"/>
        </w:rPr>
        <w:t>Customer’s</w:t>
      </w:r>
      <w:r>
        <w:rPr>
          <w:spacing w:val="2"/>
        </w:rPr>
        <w:t xml:space="preserve"> </w:t>
      </w:r>
      <w:r>
        <w:rPr>
          <w:spacing w:val="-1"/>
        </w:rPr>
        <w:t>receipt</w:t>
      </w:r>
      <w:r>
        <w:rPr>
          <w:spacing w:val="4"/>
        </w:rPr>
        <w:t xml:space="preserve"> </w:t>
      </w:r>
      <w:r>
        <w:rPr>
          <w:spacing w:val="-2"/>
        </w:rPr>
        <w:t>of</w:t>
      </w:r>
      <w:r>
        <w:rPr>
          <w:spacing w:val="6"/>
        </w:rPr>
        <w:t xml:space="preserve"> </w:t>
      </w:r>
      <w:r>
        <w:t>the</w:t>
      </w:r>
      <w:r>
        <w:rPr>
          <w:spacing w:val="3"/>
        </w:rPr>
        <w:t xml:space="preserve"> </w:t>
      </w:r>
      <w:r>
        <w:rPr>
          <w:spacing w:val="-1"/>
        </w:rPr>
        <w:t>Goods</w:t>
      </w:r>
      <w:r>
        <w:rPr>
          <w:spacing w:val="3"/>
        </w:rPr>
        <w:t xml:space="preserve"> </w:t>
      </w:r>
      <w:r>
        <w:rPr>
          <w:spacing w:val="-1"/>
        </w:rPr>
        <w:t>and/or</w:t>
      </w:r>
      <w:r>
        <w:rPr>
          <w:spacing w:val="4"/>
        </w:rPr>
        <w:t xml:space="preserve"> </w:t>
      </w:r>
      <w:r>
        <w:rPr>
          <w:spacing w:val="-1"/>
        </w:rPr>
        <w:t>Services</w:t>
      </w:r>
      <w:r>
        <w:rPr>
          <w:spacing w:val="21"/>
        </w:rPr>
        <w:t xml:space="preserve"> </w:t>
      </w:r>
      <w:r>
        <w:rPr>
          <w:spacing w:val="-1"/>
        </w:rPr>
        <w:t>is</w:t>
      </w:r>
      <w:r>
        <w:rPr>
          <w:spacing w:val="31"/>
        </w:rPr>
        <w:t xml:space="preserve"> </w:t>
      </w:r>
      <w:r>
        <w:rPr>
          <w:spacing w:val="-1"/>
        </w:rPr>
        <w:t>explained</w:t>
      </w:r>
      <w:r>
        <w:rPr>
          <w:spacing w:val="30"/>
        </w:rPr>
        <w:t xml:space="preserve"> </w:t>
      </w:r>
      <w:r>
        <w:t>to</w:t>
      </w:r>
      <w:r>
        <w:rPr>
          <w:spacing w:val="30"/>
        </w:rPr>
        <w:t xml:space="preserve"> </w:t>
      </w:r>
      <w:r>
        <w:t>the</w:t>
      </w:r>
      <w:r>
        <w:rPr>
          <w:spacing w:val="30"/>
        </w:rPr>
        <w:t xml:space="preserve"> </w:t>
      </w:r>
      <w:r>
        <w:rPr>
          <w:spacing w:val="-1"/>
        </w:rPr>
        <w:t>Customer</w:t>
      </w:r>
      <w:r>
        <w:rPr>
          <w:spacing w:val="32"/>
        </w:rPr>
        <w:t xml:space="preserve"> </w:t>
      </w:r>
      <w:r>
        <w:rPr>
          <w:spacing w:val="-2"/>
        </w:rPr>
        <w:t>(within</w:t>
      </w:r>
      <w:r>
        <w:rPr>
          <w:spacing w:val="30"/>
        </w:rPr>
        <w:t xml:space="preserve"> </w:t>
      </w:r>
      <w:r>
        <w:t>a</w:t>
      </w:r>
      <w:r>
        <w:rPr>
          <w:spacing w:val="31"/>
        </w:rPr>
        <w:t xml:space="preserve"> </w:t>
      </w:r>
      <w:r>
        <w:rPr>
          <w:spacing w:val="-2"/>
        </w:rPr>
        <w:t>reasonable</w:t>
      </w:r>
      <w:r>
        <w:rPr>
          <w:spacing w:val="30"/>
        </w:rPr>
        <w:t xml:space="preserve"> </w:t>
      </w:r>
      <w:r>
        <w:rPr>
          <w:spacing w:val="-1"/>
        </w:rPr>
        <w:t>timeframe),</w:t>
      </w:r>
      <w:r>
        <w:rPr>
          <w:spacing w:val="32"/>
        </w:rPr>
        <w:t xml:space="preserve"> </w:t>
      </w:r>
      <w:r>
        <w:rPr>
          <w:spacing w:val="-2"/>
        </w:rPr>
        <w:t>prior</w:t>
      </w:r>
      <w:r>
        <w:rPr>
          <w:spacing w:val="32"/>
        </w:rPr>
        <w:t xml:space="preserve"> </w:t>
      </w:r>
      <w:r>
        <w:t>to</w:t>
      </w:r>
      <w:r>
        <w:rPr>
          <w:spacing w:val="28"/>
        </w:rPr>
        <w:t xml:space="preserve"> </w:t>
      </w:r>
      <w:r>
        <w:rPr>
          <w:spacing w:val="-1"/>
        </w:rPr>
        <w:t>the</w:t>
      </w:r>
      <w:r>
        <w:rPr>
          <w:spacing w:val="56"/>
        </w:rPr>
        <w:t xml:space="preserve"> </w:t>
      </w:r>
      <w:r>
        <w:rPr>
          <w:spacing w:val="-1"/>
        </w:rPr>
        <w:t>implementation</w:t>
      </w:r>
      <w:r>
        <w:t xml:space="preserve"> </w:t>
      </w:r>
      <w:r>
        <w:rPr>
          <w:spacing w:val="-2"/>
        </w:rPr>
        <w:t>of</w:t>
      </w:r>
      <w:r>
        <w:rPr>
          <w:spacing w:val="2"/>
        </w:rPr>
        <w:t xml:space="preserve"> </w:t>
      </w:r>
      <w:r>
        <w:rPr>
          <w:spacing w:val="-1"/>
        </w:rPr>
        <w:t>the</w:t>
      </w:r>
      <w:r>
        <w:t xml:space="preserve"> </w:t>
      </w:r>
      <w:r>
        <w:rPr>
          <w:spacing w:val="-2"/>
        </w:rPr>
        <w:t>new</w:t>
      </w:r>
      <w:r>
        <w:rPr>
          <w:spacing w:val="-3"/>
        </w:rPr>
        <w:t xml:space="preserve"> </w:t>
      </w:r>
      <w:r>
        <w:rPr>
          <w:spacing w:val="-1"/>
        </w:rPr>
        <w:t>or</w:t>
      </w:r>
      <w:r>
        <w:rPr>
          <w:spacing w:val="2"/>
        </w:rPr>
        <w:t xml:space="preserve"> </w:t>
      </w:r>
      <w:r>
        <w:rPr>
          <w:spacing w:val="-1"/>
        </w:rPr>
        <w:t>emergent</w:t>
      </w:r>
      <w:r>
        <w:t xml:space="preserve"> </w:t>
      </w:r>
      <w:r>
        <w:rPr>
          <w:spacing w:val="-1"/>
        </w:rPr>
        <w:t>Standard.</w:t>
      </w:r>
    </w:p>
    <w:p w:rsidR="008918FA" w:rsidRDefault="008918FA" w:rsidP="008918FA">
      <w:pPr>
        <w:pStyle w:val="BodyText"/>
        <w:numPr>
          <w:ilvl w:val="1"/>
          <w:numId w:val="66"/>
        </w:numPr>
        <w:tabs>
          <w:tab w:val="left" w:pos="1234"/>
        </w:tabs>
        <w:spacing w:before="121"/>
        <w:ind w:left="1029" w:right="111" w:hanging="360"/>
        <w:jc w:val="both"/>
      </w:pPr>
      <w:r>
        <w:rPr>
          <w:spacing w:val="-1"/>
        </w:rPr>
        <w:t>Where</w:t>
      </w:r>
      <w:r>
        <w:rPr>
          <w:spacing w:val="7"/>
        </w:rPr>
        <w:t xml:space="preserve"> </w:t>
      </w:r>
      <w:r>
        <w:rPr>
          <w:spacing w:val="-1"/>
        </w:rPr>
        <w:t>Standards</w:t>
      </w:r>
      <w:r>
        <w:rPr>
          <w:spacing w:val="8"/>
        </w:rPr>
        <w:t xml:space="preserve"> </w:t>
      </w:r>
      <w:r>
        <w:rPr>
          <w:spacing w:val="-1"/>
        </w:rPr>
        <w:t>referenced</w:t>
      </w:r>
      <w:r>
        <w:rPr>
          <w:spacing w:val="7"/>
        </w:rPr>
        <w:t xml:space="preserve"> </w:t>
      </w:r>
      <w:r>
        <w:rPr>
          <w:spacing w:val="-1"/>
        </w:rPr>
        <w:t>conflict</w:t>
      </w:r>
      <w:r>
        <w:rPr>
          <w:spacing w:val="9"/>
        </w:rPr>
        <w:t xml:space="preserve"> </w:t>
      </w:r>
      <w:r>
        <w:rPr>
          <w:spacing w:val="-2"/>
        </w:rPr>
        <w:t>with</w:t>
      </w:r>
      <w:r>
        <w:rPr>
          <w:spacing w:val="7"/>
        </w:rPr>
        <w:t xml:space="preserve"> </w:t>
      </w:r>
      <w:r>
        <w:rPr>
          <w:spacing w:val="-1"/>
        </w:rPr>
        <w:t>each</w:t>
      </w:r>
      <w:r>
        <w:rPr>
          <w:spacing w:val="8"/>
        </w:rPr>
        <w:t xml:space="preserve"> </w:t>
      </w:r>
      <w:r>
        <w:t>other</w:t>
      </w:r>
      <w:r>
        <w:rPr>
          <w:spacing w:val="9"/>
        </w:rPr>
        <w:t xml:space="preserve"> </w:t>
      </w:r>
      <w:r>
        <w:rPr>
          <w:spacing w:val="-1"/>
        </w:rPr>
        <w:t>or</w:t>
      </w:r>
      <w:r>
        <w:rPr>
          <w:spacing w:val="9"/>
        </w:rPr>
        <w:t xml:space="preserve"> </w:t>
      </w:r>
      <w:r>
        <w:rPr>
          <w:spacing w:val="-2"/>
        </w:rPr>
        <w:t>with</w:t>
      </w:r>
      <w:r>
        <w:rPr>
          <w:spacing w:val="7"/>
        </w:rPr>
        <w:t xml:space="preserve"> </w:t>
      </w:r>
      <w:r>
        <w:rPr>
          <w:spacing w:val="-1"/>
        </w:rPr>
        <w:t>best</w:t>
      </w:r>
      <w:r>
        <w:rPr>
          <w:spacing w:val="9"/>
        </w:rPr>
        <w:t xml:space="preserve"> </w:t>
      </w:r>
      <w:r>
        <w:rPr>
          <w:spacing w:val="-1"/>
        </w:rPr>
        <w:t>professional</w:t>
      </w:r>
      <w:r>
        <w:rPr>
          <w:spacing w:val="7"/>
        </w:rPr>
        <w:t xml:space="preserve"> </w:t>
      </w:r>
      <w:r>
        <w:rPr>
          <w:spacing w:val="-1"/>
        </w:rPr>
        <w:t>or</w:t>
      </w:r>
      <w:r>
        <w:rPr>
          <w:spacing w:val="44"/>
        </w:rPr>
        <w:t xml:space="preserve"> </w:t>
      </w:r>
      <w:r>
        <w:rPr>
          <w:spacing w:val="-1"/>
        </w:rPr>
        <w:t>industry</w:t>
      </w:r>
      <w:r>
        <w:rPr>
          <w:spacing w:val="32"/>
        </w:rPr>
        <w:t xml:space="preserve"> </w:t>
      </w:r>
      <w:r>
        <w:rPr>
          <w:spacing w:val="-1"/>
        </w:rPr>
        <w:t>practice</w:t>
      </w:r>
      <w:r>
        <w:rPr>
          <w:spacing w:val="34"/>
        </w:rPr>
        <w:t xml:space="preserve"> </w:t>
      </w:r>
      <w:r>
        <w:rPr>
          <w:spacing w:val="-1"/>
        </w:rPr>
        <w:t>adopted</w:t>
      </w:r>
      <w:r>
        <w:rPr>
          <w:spacing w:val="34"/>
        </w:rPr>
        <w:t xml:space="preserve"> </w:t>
      </w:r>
      <w:r>
        <w:t>after</w:t>
      </w:r>
      <w:r>
        <w:rPr>
          <w:spacing w:val="35"/>
        </w:rPr>
        <w:t xml:space="preserve"> </w:t>
      </w:r>
      <w:r>
        <w:t>the</w:t>
      </w:r>
      <w:r>
        <w:rPr>
          <w:spacing w:val="34"/>
        </w:rPr>
        <w:t xml:space="preserve"> </w:t>
      </w:r>
      <w:r>
        <w:rPr>
          <w:spacing w:val="-2"/>
        </w:rPr>
        <w:t>Call</w:t>
      </w:r>
      <w:r>
        <w:rPr>
          <w:spacing w:val="33"/>
        </w:rPr>
        <w:t xml:space="preserve"> </w:t>
      </w:r>
      <w:r>
        <w:rPr>
          <w:spacing w:val="-1"/>
        </w:rPr>
        <w:t>Off</w:t>
      </w:r>
      <w:r>
        <w:rPr>
          <w:spacing w:val="39"/>
        </w:rPr>
        <w:t xml:space="preserve"> </w:t>
      </w:r>
      <w:r>
        <w:rPr>
          <w:spacing w:val="-2"/>
        </w:rPr>
        <w:t>Commencement</w:t>
      </w:r>
      <w:r>
        <w:rPr>
          <w:spacing w:val="35"/>
        </w:rPr>
        <w:t xml:space="preserve"> </w:t>
      </w:r>
      <w:r>
        <w:rPr>
          <w:spacing w:val="-1"/>
        </w:rPr>
        <w:t>Date,</w:t>
      </w:r>
      <w:r>
        <w:rPr>
          <w:spacing w:val="35"/>
        </w:rPr>
        <w:t xml:space="preserve"> </w:t>
      </w:r>
      <w:r>
        <w:rPr>
          <w:spacing w:val="-1"/>
        </w:rPr>
        <w:t>then</w:t>
      </w:r>
      <w:r>
        <w:rPr>
          <w:spacing w:val="34"/>
        </w:rPr>
        <w:t xml:space="preserve"> </w:t>
      </w:r>
      <w:r>
        <w:t>the</w:t>
      </w:r>
      <w:r>
        <w:rPr>
          <w:spacing w:val="34"/>
        </w:rPr>
        <w:t xml:space="preserve"> </w:t>
      </w:r>
      <w:r>
        <w:rPr>
          <w:spacing w:val="-1"/>
        </w:rPr>
        <w:t>later</w:t>
      </w:r>
      <w:r>
        <w:rPr>
          <w:spacing w:val="50"/>
        </w:rPr>
        <w:t xml:space="preserve"> </w:t>
      </w:r>
      <w:r>
        <w:rPr>
          <w:spacing w:val="-1"/>
        </w:rPr>
        <w:t>Standard</w:t>
      </w:r>
      <w:r>
        <w:rPr>
          <w:spacing w:val="17"/>
        </w:rPr>
        <w:t xml:space="preserve"> </w:t>
      </w:r>
      <w:r>
        <w:rPr>
          <w:spacing w:val="-2"/>
        </w:rPr>
        <w:t>or</w:t>
      </w:r>
      <w:r>
        <w:rPr>
          <w:spacing w:val="19"/>
        </w:rPr>
        <w:t xml:space="preserve"> </w:t>
      </w:r>
      <w:r>
        <w:rPr>
          <w:spacing w:val="-2"/>
        </w:rPr>
        <w:t>best</w:t>
      </w:r>
      <w:r>
        <w:rPr>
          <w:spacing w:val="19"/>
        </w:rPr>
        <w:t xml:space="preserve"> </w:t>
      </w:r>
      <w:r>
        <w:rPr>
          <w:spacing w:val="-2"/>
        </w:rPr>
        <w:t>practice</w:t>
      </w:r>
      <w:r>
        <w:rPr>
          <w:spacing w:val="18"/>
        </w:rPr>
        <w:t xml:space="preserve"> </w:t>
      </w:r>
      <w:r>
        <w:rPr>
          <w:spacing w:val="-1"/>
        </w:rPr>
        <w:t>shall</w:t>
      </w:r>
      <w:r>
        <w:rPr>
          <w:spacing w:val="17"/>
        </w:rPr>
        <w:t xml:space="preserve"> </w:t>
      </w:r>
      <w:r>
        <w:rPr>
          <w:spacing w:val="-1"/>
        </w:rPr>
        <w:t>be</w:t>
      </w:r>
      <w:r>
        <w:rPr>
          <w:spacing w:val="17"/>
        </w:rPr>
        <w:t xml:space="preserve"> </w:t>
      </w:r>
      <w:r>
        <w:rPr>
          <w:spacing w:val="-1"/>
        </w:rPr>
        <w:t>adopted</w:t>
      </w:r>
      <w:r>
        <w:rPr>
          <w:spacing w:val="15"/>
        </w:rPr>
        <w:t xml:space="preserve"> </w:t>
      </w:r>
      <w:r>
        <w:rPr>
          <w:spacing w:val="-1"/>
        </w:rPr>
        <w:t>by</w:t>
      </w:r>
      <w:r>
        <w:rPr>
          <w:spacing w:val="15"/>
        </w:rPr>
        <w:t xml:space="preserve"> </w:t>
      </w:r>
      <w:r>
        <w:rPr>
          <w:spacing w:val="-1"/>
        </w:rPr>
        <w:t>the</w:t>
      </w:r>
      <w:r>
        <w:rPr>
          <w:spacing w:val="17"/>
        </w:rPr>
        <w:t xml:space="preserve"> </w:t>
      </w:r>
      <w:r>
        <w:rPr>
          <w:spacing w:val="-1"/>
        </w:rPr>
        <w:t>Supplier.</w:t>
      </w:r>
      <w:r>
        <w:rPr>
          <w:spacing w:val="19"/>
        </w:rPr>
        <w:t xml:space="preserve"> </w:t>
      </w:r>
      <w:r>
        <w:rPr>
          <w:spacing w:val="-1"/>
        </w:rPr>
        <w:t>Any</w:t>
      </w:r>
      <w:r>
        <w:rPr>
          <w:spacing w:val="15"/>
        </w:rPr>
        <w:t xml:space="preserve"> </w:t>
      </w:r>
      <w:r>
        <w:rPr>
          <w:spacing w:val="-1"/>
        </w:rPr>
        <w:t>such</w:t>
      </w:r>
      <w:r>
        <w:rPr>
          <w:spacing w:val="18"/>
        </w:rPr>
        <w:t xml:space="preserve"> </w:t>
      </w:r>
      <w:r>
        <w:rPr>
          <w:spacing w:val="-1"/>
        </w:rPr>
        <w:t>alteration</w:t>
      </w:r>
      <w:r>
        <w:rPr>
          <w:spacing w:val="15"/>
        </w:rPr>
        <w:t xml:space="preserve"> </w:t>
      </w:r>
      <w:r>
        <w:rPr>
          <w:spacing w:val="-1"/>
        </w:rPr>
        <w:t>to</w:t>
      </w:r>
      <w:r>
        <w:rPr>
          <w:spacing w:val="55"/>
        </w:rPr>
        <w:t xml:space="preserve"> </w:t>
      </w:r>
      <w:r>
        <w:rPr>
          <w:spacing w:val="-1"/>
        </w:rPr>
        <w:t>any</w:t>
      </w:r>
      <w:r>
        <w:rPr>
          <w:spacing w:val="20"/>
        </w:rPr>
        <w:t xml:space="preserve"> </w:t>
      </w:r>
      <w:r>
        <w:rPr>
          <w:spacing w:val="-1"/>
        </w:rPr>
        <w:t>Standard</w:t>
      </w:r>
      <w:r>
        <w:rPr>
          <w:spacing w:val="22"/>
        </w:rPr>
        <w:t xml:space="preserve"> </w:t>
      </w:r>
      <w:r>
        <w:rPr>
          <w:spacing w:val="-1"/>
        </w:rPr>
        <w:t>or</w:t>
      </w:r>
      <w:r>
        <w:rPr>
          <w:spacing w:val="23"/>
        </w:rPr>
        <w:t xml:space="preserve"> </w:t>
      </w:r>
      <w:r>
        <w:rPr>
          <w:spacing w:val="-1"/>
        </w:rPr>
        <w:t>Standards</w:t>
      </w:r>
      <w:r>
        <w:rPr>
          <w:spacing w:val="22"/>
        </w:rPr>
        <w:t xml:space="preserve"> </w:t>
      </w:r>
      <w:r>
        <w:rPr>
          <w:spacing w:val="-1"/>
        </w:rPr>
        <w:t>shall</w:t>
      </w:r>
      <w:r>
        <w:rPr>
          <w:spacing w:val="21"/>
        </w:rPr>
        <w:t xml:space="preserve"> </w:t>
      </w:r>
      <w:r>
        <w:rPr>
          <w:spacing w:val="-1"/>
        </w:rPr>
        <w:t>require</w:t>
      </w:r>
      <w:r>
        <w:rPr>
          <w:spacing w:val="22"/>
        </w:rPr>
        <w:t xml:space="preserve"> </w:t>
      </w:r>
      <w:r>
        <w:rPr>
          <w:spacing w:val="-1"/>
        </w:rPr>
        <w:t>Approval</w:t>
      </w:r>
      <w:r>
        <w:rPr>
          <w:spacing w:val="24"/>
        </w:rPr>
        <w:t xml:space="preserve"> </w:t>
      </w:r>
      <w:r>
        <w:rPr>
          <w:spacing w:val="-1"/>
        </w:rPr>
        <w:t>(and</w:t>
      </w:r>
      <w:r>
        <w:rPr>
          <w:spacing w:val="22"/>
        </w:rPr>
        <w:t xml:space="preserve"> </w:t>
      </w:r>
      <w:r>
        <w:t>the</w:t>
      </w:r>
      <w:r>
        <w:rPr>
          <w:spacing w:val="22"/>
        </w:rPr>
        <w:t xml:space="preserve"> </w:t>
      </w:r>
      <w:r>
        <w:rPr>
          <w:spacing w:val="-1"/>
        </w:rPr>
        <w:t>written</w:t>
      </w:r>
      <w:r>
        <w:rPr>
          <w:spacing w:val="22"/>
        </w:rPr>
        <w:t xml:space="preserve"> </w:t>
      </w:r>
      <w:r>
        <w:rPr>
          <w:spacing w:val="-1"/>
        </w:rPr>
        <w:t>consent</w:t>
      </w:r>
      <w:r>
        <w:rPr>
          <w:spacing w:val="23"/>
        </w:rPr>
        <w:t xml:space="preserve"> </w:t>
      </w:r>
      <w:r>
        <w:rPr>
          <w:spacing w:val="-2"/>
        </w:rPr>
        <w:t>of</w:t>
      </w:r>
      <w:r>
        <w:rPr>
          <w:spacing w:val="26"/>
        </w:rPr>
        <w:t xml:space="preserve"> </w:t>
      </w:r>
      <w:r>
        <w:rPr>
          <w:spacing w:val="-1"/>
        </w:rPr>
        <w:t>the</w:t>
      </w:r>
      <w:r>
        <w:rPr>
          <w:spacing w:val="51"/>
        </w:rPr>
        <w:t xml:space="preserve"> </w:t>
      </w:r>
      <w:r>
        <w:rPr>
          <w:spacing w:val="-1"/>
        </w:rPr>
        <w:t>Authority</w:t>
      </w:r>
      <w:r>
        <w:rPr>
          <w:spacing w:val="20"/>
        </w:rPr>
        <w:t xml:space="preserve"> </w:t>
      </w:r>
      <w:r>
        <w:rPr>
          <w:spacing w:val="-2"/>
        </w:rPr>
        <w:t>where</w:t>
      </w:r>
      <w:r>
        <w:rPr>
          <w:spacing w:val="22"/>
        </w:rPr>
        <w:t xml:space="preserve"> </w:t>
      </w:r>
      <w:r>
        <w:t>the</w:t>
      </w:r>
      <w:r>
        <w:rPr>
          <w:spacing w:val="22"/>
        </w:rPr>
        <w:t xml:space="preserve"> </w:t>
      </w:r>
      <w:r>
        <w:rPr>
          <w:spacing w:val="-1"/>
        </w:rPr>
        <w:t>relevant</w:t>
      </w:r>
      <w:r>
        <w:rPr>
          <w:spacing w:val="23"/>
        </w:rPr>
        <w:t xml:space="preserve"> </w:t>
      </w:r>
      <w:r>
        <w:rPr>
          <w:spacing w:val="-1"/>
        </w:rPr>
        <w:t>Standard</w:t>
      </w:r>
      <w:r>
        <w:rPr>
          <w:spacing w:val="22"/>
        </w:rPr>
        <w:t xml:space="preserve"> </w:t>
      </w:r>
      <w:r>
        <w:rPr>
          <w:spacing w:val="-1"/>
        </w:rPr>
        <w:t>or</w:t>
      </w:r>
      <w:r>
        <w:rPr>
          <w:spacing w:val="23"/>
        </w:rPr>
        <w:t xml:space="preserve"> </w:t>
      </w:r>
      <w:r>
        <w:rPr>
          <w:spacing w:val="-1"/>
        </w:rPr>
        <w:t>Standards</w:t>
      </w:r>
      <w:r>
        <w:rPr>
          <w:spacing w:val="22"/>
        </w:rPr>
        <w:t xml:space="preserve"> </w:t>
      </w:r>
      <w:r>
        <w:rPr>
          <w:spacing w:val="-1"/>
        </w:rPr>
        <w:t>is/are</w:t>
      </w:r>
      <w:r>
        <w:rPr>
          <w:spacing w:val="22"/>
        </w:rPr>
        <w:t xml:space="preserve"> </w:t>
      </w:r>
      <w:r>
        <w:rPr>
          <w:spacing w:val="-1"/>
        </w:rPr>
        <w:t>included</w:t>
      </w:r>
      <w:r>
        <w:rPr>
          <w:spacing w:val="22"/>
        </w:rPr>
        <w:t xml:space="preserve"> </w:t>
      </w:r>
      <w:r>
        <w:rPr>
          <w:spacing w:val="-1"/>
        </w:rPr>
        <w:t>in</w:t>
      </w:r>
      <w:r>
        <w:rPr>
          <w:spacing w:val="22"/>
        </w:rPr>
        <w:t xml:space="preserve"> </w:t>
      </w:r>
      <w:r>
        <w:rPr>
          <w:spacing w:val="-2"/>
        </w:rPr>
        <w:t>Framework</w:t>
      </w:r>
      <w:r>
        <w:rPr>
          <w:spacing w:val="59"/>
        </w:rPr>
        <w:t xml:space="preserve"> </w:t>
      </w:r>
      <w:r>
        <w:rPr>
          <w:spacing w:val="-1"/>
        </w:rPr>
        <w:t>Schedule</w:t>
      </w:r>
      <w:r>
        <w:rPr>
          <w:spacing w:val="10"/>
        </w:rPr>
        <w:t xml:space="preserve"> </w:t>
      </w:r>
      <w:r>
        <w:t>2</w:t>
      </w:r>
      <w:r>
        <w:rPr>
          <w:spacing w:val="10"/>
        </w:rPr>
        <w:t xml:space="preserve"> </w:t>
      </w:r>
      <w:r>
        <w:rPr>
          <w:spacing w:val="-1"/>
        </w:rPr>
        <w:t>(Goods</w:t>
      </w:r>
      <w:r>
        <w:rPr>
          <w:spacing w:val="10"/>
        </w:rPr>
        <w:t xml:space="preserve"> </w:t>
      </w:r>
      <w:r>
        <w:rPr>
          <w:spacing w:val="-1"/>
        </w:rPr>
        <w:t>and/or</w:t>
      </w:r>
      <w:r>
        <w:rPr>
          <w:spacing w:val="11"/>
        </w:rPr>
        <w:t xml:space="preserve"> </w:t>
      </w:r>
      <w:r>
        <w:rPr>
          <w:spacing w:val="-1"/>
        </w:rPr>
        <w:t>Services</w:t>
      </w:r>
      <w:r>
        <w:rPr>
          <w:spacing w:val="10"/>
        </w:rPr>
        <w:t xml:space="preserve"> </w:t>
      </w:r>
      <w:r>
        <w:rPr>
          <w:spacing w:val="-1"/>
        </w:rPr>
        <w:t>and</w:t>
      </w:r>
      <w:r>
        <w:rPr>
          <w:spacing w:val="10"/>
        </w:rPr>
        <w:t xml:space="preserve"> </w:t>
      </w:r>
      <w:r>
        <w:rPr>
          <w:spacing w:val="-1"/>
        </w:rPr>
        <w:t>Key</w:t>
      </w:r>
      <w:r>
        <w:rPr>
          <w:spacing w:val="10"/>
        </w:rPr>
        <w:t xml:space="preserve"> </w:t>
      </w:r>
      <w:r>
        <w:rPr>
          <w:spacing w:val="-1"/>
        </w:rPr>
        <w:t>Performance</w:t>
      </w:r>
      <w:r>
        <w:rPr>
          <w:spacing w:val="10"/>
        </w:rPr>
        <w:t xml:space="preserve"> </w:t>
      </w:r>
      <w:r>
        <w:rPr>
          <w:spacing w:val="-1"/>
        </w:rPr>
        <w:t>Indicators)</w:t>
      </w:r>
      <w:r>
        <w:rPr>
          <w:spacing w:val="11"/>
        </w:rPr>
        <w:t xml:space="preserve"> </w:t>
      </w:r>
      <w:r>
        <w:rPr>
          <w:spacing w:val="-1"/>
        </w:rPr>
        <w:t>and</w:t>
      </w:r>
      <w:r>
        <w:rPr>
          <w:spacing w:val="7"/>
        </w:rPr>
        <w:t xml:space="preserve"> </w:t>
      </w:r>
      <w:r>
        <w:rPr>
          <w:spacing w:val="-1"/>
        </w:rPr>
        <w:t>shall</w:t>
      </w:r>
      <w:r>
        <w:rPr>
          <w:spacing w:val="9"/>
        </w:rPr>
        <w:t xml:space="preserve"> </w:t>
      </w:r>
      <w:r>
        <w:rPr>
          <w:spacing w:val="-1"/>
        </w:rPr>
        <w:t>be</w:t>
      </w:r>
      <w:r>
        <w:rPr>
          <w:spacing w:val="34"/>
        </w:rPr>
        <w:t xml:space="preserve"> </w:t>
      </w:r>
      <w:r>
        <w:rPr>
          <w:spacing w:val="-1"/>
        </w:rPr>
        <w:t>implemented</w:t>
      </w:r>
      <w:r>
        <w:rPr>
          <w:spacing w:val="-2"/>
        </w:rPr>
        <w:t xml:space="preserve"> within</w:t>
      </w:r>
      <w:r>
        <w:t xml:space="preserve"> </w:t>
      </w:r>
      <w:r>
        <w:rPr>
          <w:spacing w:val="-1"/>
        </w:rPr>
        <w:t>an</w:t>
      </w:r>
      <w:r>
        <w:t xml:space="preserve"> </w:t>
      </w:r>
      <w:r>
        <w:rPr>
          <w:spacing w:val="-1"/>
        </w:rPr>
        <w:t>agreed</w:t>
      </w:r>
      <w:r>
        <w:rPr>
          <w:spacing w:val="-2"/>
        </w:rPr>
        <w:t xml:space="preserve"> </w:t>
      </w:r>
      <w:r>
        <w:rPr>
          <w:spacing w:val="-1"/>
        </w:rPr>
        <w:t>timescale.</w:t>
      </w:r>
    </w:p>
    <w:p w:rsidR="008918FA" w:rsidRDefault="008918FA" w:rsidP="008918FA">
      <w:pPr>
        <w:pStyle w:val="BodyText"/>
        <w:numPr>
          <w:ilvl w:val="1"/>
          <w:numId w:val="66"/>
        </w:numPr>
        <w:tabs>
          <w:tab w:val="left" w:pos="1234"/>
        </w:tabs>
        <w:spacing w:before="121"/>
        <w:ind w:left="1029" w:right="115" w:hanging="360"/>
        <w:jc w:val="both"/>
      </w:pPr>
      <w:r>
        <w:t>The</w:t>
      </w:r>
      <w:r>
        <w:rPr>
          <w:spacing w:val="3"/>
        </w:rPr>
        <w:t xml:space="preserve"> </w:t>
      </w:r>
      <w:r>
        <w:rPr>
          <w:spacing w:val="-2"/>
        </w:rPr>
        <w:t>Supplier</w:t>
      </w:r>
      <w:r>
        <w:rPr>
          <w:spacing w:val="4"/>
        </w:rPr>
        <w:t xml:space="preserve"> </w:t>
      </w:r>
      <w:r>
        <w:rPr>
          <w:spacing w:val="-1"/>
        </w:rPr>
        <w:t>shall</w:t>
      </w:r>
      <w:r>
        <w:rPr>
          <w:spacing w:val="2"/>
        </w:rPr>
        <w:t xml:space="preserve"> </w:t>
      </w:r>
      <w:r>
        <w:rPr>
          <w:spacing w:val="-2"/>
        </w:rPr>
        <w:t>ensure</w:t>
      </w:r>
      <w:r>
        <w:rPr>
          <w:spacing w:val="3"/>
        </w:rPr>
        <w:t xml:space="preserve"> </w:t>
      </w:r>
      <w:r>
        <w:rPr>
          <w:spacing w:val="-1"/>
        </w:rPr>
        <w:t>that</w:t>
      </w:r>
      <w:r>
        <w:rPr>
          <w:spacing w:val="2"/>
        </w:rPr>
        <w:t xml:space="preserve"> </w:t>
      </w:r>
      <w:r>
        <w:t>the</w:t>
      </w:r>
      <w:r>
        <w:rPr>
          <w:spacing w:val="5"/>
        </w:rPr>
        <w:t xml:space="preserve"> </w:t>
      </w:r>
      <w:r>
        <w:rPr>
          <w:spacing w:val="-2"/>
        </w:rPr>
        <w:t>Supplier</w:t>
      </w:r>
      <w:r>
        <w:rPr>
          <w:spacing w:val="4"/>
        </w:rPr>
        <w:t xml:space="preserve"> </w:t>
      </w:r>
      <w:r>
        <w:rPr>
          <w:spacing w:val="-2"/>
        </w:rPr>
        <w:t>Personnel</w:t>
      </w:r>
      <w:r>
        <w:rPr>
          <w:spacing w:val="3"/>
        </w:rPr>
        <w:t xml:space="preserve"> </w:t>
      </w:r>
      <w:r>
        <w:rPr>
          <w:spacing w:val="-1"/>
        </w:rPr>
        <w:t>shall</w:t>
      </w:r>
      <w:r>
        <w:rPr>
          <w:spacing w:val="2"/>
        </w:rPr>
        <w:t xml:space="preserve"> </w:t>
      </w:r>
      <w:r>
        <w:rPr>
          <w:spacing w:val="-1"/>
        </w:rPr>
        <w:t>at</w:t>
      </w:r>
      <w:r>
        <w:rPr>
          <w:spacing w:val="4"/>
        </w:rPr>
        <w:t xml:space="preserve"> </w:t>
      </w:r>
      <w:r>
        <w:rPr>
          <w:spacing w:val="-1"/>
        </w:rPr>
        <w:t>all</w:t>
      </w:r>
      <w:r>
        <w:rPr>
          <w:spacing w:val="2"/>
        </w:rPr>
        <w:t xml:space="preserve"> </w:t>
      </w:r>
      <w:r>
        <w:rPr>
          <w:spacing w:val="-1"/>
        </w:rPr>
        <w:t>times</w:t>
      </w:r>
      <w:r>
        <w:rPr>
          <w:spacing w:val="3"/>
        </w:rPr>
        <w:t xml:space="preserve"> </w:t>
      </w:r>
      <w:r>
        <w:rPr>
          <w:spacing w:val="-2"/>
        </w:rPr>
        <w:t>during</w:t>
      </w:r>
      <w:r>
        <w:rPr>
          <w:spacing w:val="5"/>
        </w:rPr>
        <w:t xml:space="preserve"> </w:t>
      </w:r>
      <w:r>
        <w:rPr>
          <w:spacing w:val="-1"/>
        </w:rPr>
        <w:t>the</w:t>
      </w:r>
      <w:r>
        <w:rPr>
          <w:spacing w:val="80"/>
        </w:rPr>
        <w:t xml:space="preserve"> </w:t>
      </w:r>
      <w:r>
        <w:rPr>
          <w:spacing w:val="-2"/>
        </w:rPr>
        <w:t>Call</w:t>
      </w:r>
      <w:r>
        <w:t xml:space="preserve"> </w:t>
      </w:r>
      <w:r>
        <w:rPr>
          <w:spacing w:val="-1"/>
        </w:rPr>
        <w:t>Off</w:t>
      </w:r>
      <w:r>
        <w:rPr>
          <w:spacing w:val="2"/>
        </w:rPr>
        <w:t xml:space="preserve"> </w:t>
      </w:r>
      <w:r>
        <w:rPr>
          <w:spacing w:val="-1"/>
        </w:rPr>
        <w:t>Contract</w:t>
      </w:r>
      <w:r>
        <w:t xml:space="preserve"> </w:t>
      </w:r>
      <w:r>
        <w:rPr>
          <w:spacing w:val="-1"/>
        </w:rPr>
        <w:t>Period:</w:t>
      </w:r>
    </w:p>
    <w:p w:rsidR="008918FA" w:rsidRDefault="008918FA" w:rsidP="008918FA">
      <w:pPr>
        <w:pStyle w:val="BodyText"/>
        <w:numPr>
          <w:ilvl w:val="2"/>
          <w:numId w:val="66"/>
        </w:numPr>
        <w:tabs>
          <w:tab w:val="left" w:pos="2227"/>
        </w:tabs>
        <w:ind w:right="114" w:hanging="993"/>
        <w:jc w:val="both"/>
      </w:pPr>
      <w:r>
        <w:rPr>
          <w:spacing w:val="-1"/>
        </w:rPr>
        <w:t>be</w:t>
      </w:r>
      <w:r>
        <w:rPr>
          <w:spacing w:val="23"/>
        </w:rPr>
        <w:t xml:space="preserve"> </w:t>
      </w:r>
      <w:r>
        <w:rPr>
          <w:spacing w:val="-1"/>
        </w:rPr>
        <w:t>appropriately</w:t>
      </w:r>
      <w:r>
        <w:rPr>
          <w:spacing w:val="21"/>
        </w:rPr>
        <w:t xml:space="preserve"> </w:t>
      </w:r>
      <w:r>
        <w:rPr>
          <w:spacing w:val="-1"/>
        </w:rPr>
        <w:t>experienced,</w:t>
      </w:r>
      <w:r>
        <w:rPr>
          <w:spacing w:val="22"/>
        </w:rPr>
        <w:t xml:space="preserve"> </w:t>
      </w:r>
      <w:r>
        <w:rPr>
          <w:spacing w:val="-1"/>
        </w:rPr>
        <w:t>qualified</w:t>
      </w:r>
      <w:r>
        <w:rPr>
          <w:spacing w:val="23"/>
        </w:rPr>
        <w:t xml:space="preserve"> </w:t>
      </w:r>
      <w:r>
        <w:rPr>
          <w:spacing w:val="-1"/>
        </w:rPr>
        <w:t>and</w:t>
      </w:r>
      <w:r>
        <w:rPr>
          <w:spacing w:val="21"/>
        </w:rPr>
        <w:t xml:space="preserve"> </w:t>
      </w:r>
      <w:r>
        <w:rPr>
          <w:spacing w:val="-2"/>
        </w:rPr>
        <w:t>trained</w:t>
      </w:r>
      <w:r>
        <w:rPr>
          <w:spacing w:val="23"/>
        </w:rPr>
        <w:t xml:space="preserve"> </w:t>
      </w:r>
      <w:r>
        <w:t>to</w:t>
      </w:r>
      <w:r>
        <w:rPr>
          <w:spacing w:val="23"/>
        </w:rPr>
        <w:t xml:space="preserve"> </w:t>
      </w:r>
      <w:r>
        <w:rPr>
          <w:spacing w:val="-1"/>
        </w:rPr>
        <w:t>supply</w:t>
      </w:r>
      <w:r>
        <w:rPr>
          <w:spacing w:val="21"/>
        </w:rPr>
        <w:t xml:space="preserve"> </w:t>
      </w:r>
      <w:r>
        <w:rPr>
          <w:spacing w:val="-1"/>
        </w:rPr>
        <w:t>the</w:t>
      </w:r>
      <w:r>
        <w:rPr>
          <w:spacing w:val="36"/>
        </w:rPr>
        <w:t xml:space="preserve"> </w:t>
      </w:r>
      <w:r>
        <w:rPr>
          <w:spacing w:val="-1"/>
        </w:rPr>
        <w:t>Goods</w:t>
      </w:r>
      <w:r>
        <w:rPr>
          <w:spacing w:val="1"/>
        </w:rPr>
        <w:t xml:space="preserve"> </w:t>
      </w:r>
      <w:r>
        <w:rPr>
          <w:spacing w:val="-1"/>
        </w:rPr>
        <w:t>and/or</w:t>
      </w:r>
      <w:r>
        <w:t xml:space="preserve"> </w:t>
      </w:r>
      <w:r>
        <w:rPr>
          <w:spacing w:val="-1"/>
        </w:rPr>
        <w:t>Services</w:t>
      </w:r>
      <w:r>
        <w:rPr>
          <w:spacing w:val="1"/>
        </w:rPr>
        <w:t xml:space="preserve"> </w:t>
      </w:r>
      <w:r>
        <w:rPr>
          <w:spacing w:val="-2"/>
        </w:rPr>
        <w:t>in</w:t>
      </w:r>
      <w:r>
        <w:t xml:space="preserve"> </w:t>
      </w:r>
      <w:r>
        <w:rPr>
          <w:spacing w:val="-1"/>
        </w:rPr>
        <w:t>accordance</w:t>
      </w:r>
      <w:r>
        <w:rPr>
          <w:spacing w:val="1"/>
        </w:rPr>
        <w:t xml:space="preserve"> </w:t>
      </w:r>
      <w:r>
        <w:rPr>
          <w:spacing w:val="-2"/>
        </w:rPr>
        <w:t>with</w:t>
      </w:r>
      <w: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p>
    <w:p w:rsidR="008918FA" w:rsidRDefault="008918FA" w:rsidP="008918FA">
      <w:pPr>
        <w:pStyle w:val="BodyText"/>
        <w:numPr>
          <w:ilvl w:val="2"/>
          <w:numId w:val="66"/>
        </w:numPr>
        <w:tabs>
          <w:tab w:val="left" w:pos="2227"/>
        </w:tabs>
        <w:ind w:right="112" w:hanging="993"/>
        <w:jc w:val="both"/>
      </w:pPr>
      <w:r>
        <w:rPr>
          <w:spacing w:val="-1"/>
        </w:rPr>
        <w:t>apply</w:t>
      </w:r>
      <w:r>
        <w:rPr>
          <w:spacing w:val="22"/>
        </w:rPr>
        <w:t xml:space="preserve"> </w:t>
      </w:r>
      <w:r>
        <w:t>all</w:t>
      </w:r>
      <w:r>
        <w:rPr>
          <w:spacing w:val="24"/>
        </w:rPr>
        <w:t xml:space="preserve"> </w:t>
      </w:r>
      <w:r>
        <w:rPr>
          <w:spacing w:val="-1"/>
        </w:rPr>
        <w:t>due</w:t>
      </w:r>
      <w:r>
        <w:rPr>
          <w:spacing w:val="27"/>
        </w:rPr>
        <w:t xml:space="preserve"> </w:t>
      </w:r>
      <w:r>
        <w:rPr>
          <w:spacing w:val="-1"/>
        </w:rPr>
        <w:t>skill,</w:t>
      </w:r>
      <w:r>
        <w:rPr>
          <w:spacing w:val="26"/>
        </w:rPr>
        <w:t xml:space="preserve"> </w:t>
      </w:r>
      <w:r>
        <w:rPr>
          <w:spacing w:val="-1"/>
        </w:rPr>
        <w:t>care,</w:t>
      </w:r>
      <w:r>
        <w:rPr>
          <w:spacing w:val="23"/>
        </w:rPr>
        <w:t xml:space="preserve"> </w:t>
      </w:r>
      <w:r>
        <w:rPr>
          <w:spacing w:val="-1"/>
        </w:rPr>
        <w:t>diligence</w:t>
      </w:r>
      <w:r>
        <w:rPr>
          <w:spacing w:val="25"/>
        </w:rPr>
        <w:t xml:space="preserve"> </w:t>
      </w:r>
      <w:r>
        <w:rPr>
          <w:spacing w:val="-1"/>
        </w:rPr>
        <w:t>in</w:t>
      </w:r>
      <w:r>
        <w:rPr>
          <w:spacing w:val="26"/>
        </w:rPr>
        <w:t xml:space="preserve"> </w:t>
      </w:r>
      <w:r>
        <w:rPr>
          <w:spacing w:val="-1"/>
        </w:rPr>
        <w:t>faithfully</w:t>
      </w:r>
      <w:r>
        <w:rPr>
          <w:spacing w:val="22"/>
        </w:rPr>
        <w:t xml:space="preserve"> </w:t>
      </w:r>
      <w:r>
        <w:rPr>
          <w:spacing w:val="-1"/>
        </w:rPr>
        <w:t>performing</w:t>
      </w:r>
      <w:r>
        <w:rPr>
          <w:spacing w:val="27"/>
        </w:rPr>
        <w:t xml:space="preserve"> </w:t>
      </w:r>
      <w:r>
        <w:rPr>
          <w:spacing w:val="-1"/>
        </w:rPr>
        <w:t>those</w:t>
      </w:r>
      <w:r>
        <w:rPr>
          <w:spacing w:val="25"/>
        </w:rPr>
        <w:t xml:space="preserve"> </w:t>
      </w:r>
      <w:r>
        <w:rPr>
          <w:spacing w:val="-2"/>
        </w:rPr>
        <w:t>duties</w:t>
      </w:r>
      <w:r>
        <w:rPr>
          <w:spacing w:val="46"/>
        </w:rPr>
        <w:t xml:space="preserve"> </w:t>
      </w:r>
      <w:r>
        <w:rPr>
          <w:spacing w:val="-1"/>
        </w:rPr>
        <w:t>and</w:t>
      </w:r>
      <w:r>
        <w:rPr>
          <w:spacing w:val="14"/>
        </w:rPr>
        <w:t xml:space="preserve"> </w:t>
      </w:r>
      <w:r>
        <w:rPr>
          <w:spacing w:val="-1"/>
        </w:rPr>
        <w:t>exercising</w:t>
      </w:r>
      <w:r>
        <w:rPr>
          <w:spacing w:val="16"/>
        </w:rPr>
        <w:t xml:space="preserve"> </w:t>
      </w:r>
      <w:r>
        <w:rPr>
          <w:spacing w:val="-1"/>
        </w:rPr>
        <w:t>such</w:t>
      </w:r>
      <w:r>
        <w:rPr>
          <w:spacing w:val="12"/>
        </w:rPr>
        <w:t xml:space="preserve"> </w:t>
      </w:r>
      <w:r>
        <w:rPr>
          <w:spacing w:val="-2"/>
        </w:rPr>
        <w:t>powers</w:t>
      </w:r>
      <w:r>
        <w:rPr>
          <w:spacing w:val="14"/>
        </w:rPr>
        <w:t xml:space="preserve"> </w:t>
      </w:r>
      <w:r>
        <w:rPr>
          <w:spacing w:val="-1"/>
        </w:rPr>
        <w:t>as</w:t>
      </w:r>
      <w:r>
        <w:rPr>
          <w:spacing w:val="14"/>
        </w:rPr>
        <w:t xml:space="preserve"> </w:t>
      </w:r>
      <w:r>
        <w:rPr>
          <w:spacing w:val="-1"/>
        </w:rPr>
        <w:t>necessary</w:t>
      </w:r>
      <w:r>
        <w:rPr>
          <w:spacing w:val="12"/>
        </w:rPr>
        <w:t xml:space="preserve"> </w:t>
      </w:r>
      <w:r>
        <w:rPr>
          <w:spacing w:val="-1"/>
        </w:rPr>
        <w:t>in</w:t>
      </w:r>
      <w:r>
        <w:rPr>
          <w:spacing w:val="14"/>
        </w:rPr>
        <w:t xml:space="preserve"> </w:t>
      </w:r>
      <w:r>
        <w:rPr>
          <w:spacing w:val="-1"/>
        </w:rPr>
        <w:t>connection</w:t>
      </w:r>
      <w:r>
        <w:rPr>
          <w:spacing w:val="13"/>
        </w:rPr>
        <w:t xml:space="preserve"> </w:t>
      </w:r>
      <w:r>
        <w:rPr>
          <w:spacing w:val="-2"/>
        </w:rPr>
        <w:t>with</w:t>
      </w:r>
      <w:r>
        <w:rPr>
          <w:spacing w:val="14"/>
        </w:rPr>
        <w:t xml:space="preserve"> </w:t>
      </w:r>
      <w:r>
        <w:rPr>
          <w:spacing w:val="-1"/>
        </w:rPr>
        <w:t>the</w:t>
      </w:r>
      <w:r>
        <w:rPr>
          <w:spacing w:val="38"/>
        </w:rPr>
        <w:t xml:space="preserve"> </w:t>
      </w:r>
      <w:r>
        <w:rPr>
          <w:spacing w:val="-2"/>
        </w:rPr>
        <w:t>provision</w:t>
      </w:r>
      <w:r>
        <w:t xml:space="preserve"> </w:t>
      </w:r>
      <w:r>
        <w:rPr>
          <w:spacing w:val="-1"/>
        </w:rPr>
        <w:t>of</w:t>
      </w:r>
      <w:r>
        <w:rPr>
          <w:spacing w:val="2"/>
        </w:rPr>
        <w:t xml:space="preserve"> </w:t>
      </w:r>
      <w:r>
        <w:t>the</w:t>
      </w:r>
      <w:r>
        <w:rPr>
          <w:spacing w:val="-4"/>
        </w:rPr>
        <w:t xml:space="preserve"> </w:t>
      </w:r>
      <w:r>
        <w:rPr>
          <w:spacing w:val="-1"/>
        </w:rPr>
        <w:t>Good</w:t>
      </w:r>
      <w:r>
        <w:t xml:space="preserve"> </w:t>
      </w:r>
      <w:r>
        <w:rPr>
          <w:spacing w:val="-1"/>
        </w:rPr>
        <w:t>and/or</w:t>
      </w:r>
      <w:r>
        <w:t xml:space="preserve"> </w:t>
      </w:r>
      <w:r>
        <w:rPr>
          <w:spacing w:val="-1"/>
        </w:rPr>
        <w:t>Services;</w:t>
      </w:r>
      <w:r>
        <w:rPr>
          <w:spacing w:val="2"/>
        </w:rPr>
        <w:t xml:space="preserve"> </w:t>
      </w:r>
      <w:r>
        <w:rPr>
          <w:spacing w:val="-1"/>
        </w:rPr>
        <w:t>and</w:t>
      </w:r>
    </w:p>
    <w:p w:rsidR="008918FA" w:rsidRDefault="008918FA" w:rsidP="008918FA">
      <w:pPr>
        <w:pStyle w:val="BodyText"/>
        <w:numPr>
          <w:ilvl w:val="1"/>
          <w:numId w:val="66"/>
        </w:numPr>
        <w:tabs>
          <w:tab w:val="left" w:pos="1234"/>
        </w:tabs>
        <w:ind w:left="1029" w:right="113" w:hanging="360"/>
        <w:jc w:val="both"/>
      </w:pPr>
      <w:r>
        <w:rPr>
          <w:spacing w:val="-1"/>
        </w:rPr>
        <w:t>obey</w:t>
      </w:r>
      <w:r>
        <w:rPr>
          <w:spacing w:val="5"/>
        </w:rPr>
        <w:t xml:space="preserve"> </w:t>
      </w:r>
      <w:r>
        <w:t>all</w:t>
      </w:r>
      <w:r>
        <w:rPr>
          <w:spacing w:val="7"/>
        </w:rPr>
        <w:t xml:space="preserve"> </w:t>
      </w:r>
      <w:r>
        <w:rPr>
          <w:spacing w:val="-1"/>
        </w:rPr>
        <w:t>lawful</w:t>
      </w:r>
      <w:r>
        <w:rPr>
          <w:spacing w:val="7"/>
        </w:rPr>
        <w:t xml:space="preserve"> </w:t>
      </w:r>
      <w:r>
        <w:rPr>
          <w:spacing w:val="-1"/>
        </w:rPr>
        <w:t>instructions</w:t>
      </w:r>
      <w:r>
        <w:rPr>
          <w:spacing w:val="8"/>
        </w:rPr>
        <w:t xml:space="preserve"> </w:t>
      </w:r>
      <w:r>
        <w:rPr>
          <w:spacing w:val="-1"/>
        </w:rPr>
        <w:t>and</w:t>
      </w:r>
      <w:r>
        <w:rPr>
          <w:spacing w:val="7"/>
        </w:rPr>
        <w:t xml:space="preserve"> </w:t>
      </w:r>
      <w:r>
        <w:rPr>
          <w:spacing w:val="-1"/>
        </w:rPr>
        <w:t>reasonable</w:t>
      </w:r>
      <w:r>
        <w:rPr>
          <w:spacing w:val="7"/>
        </w:rPr>
        <w:t xml:space="preserve"> </w:t>
      </w:r>
      <w:r>
        <w:rPr>
          <w:spacing w:val="-1"/>
        </w:rPr>
        <w:t>directions</w:t>
      </w:r>
      <w:r>
        <w:rPr>
          <w:spacing w:val="8"/>
        </w:rPr>
        <w:t xml:space="preserve"> </w:t>
      </w:r>
      <w:r>
        <w:rPr>
          <w:spacing w:val="-1"/>
        </w:rPr>
        <w:t>of</w:t>
      </w:r>
      <w:r>
        <w:rPr>
          <w:spacing w:val="11"/>
        </w:rPr>
        <w:t xml:space="preserve"> </w:t>
      </w:r>
      <w:r>
        <w:rPr>
          <w:spacing w:val="-1"/>
        </w:rPr>
        <w:t>the</w:t>
      </w:r>
      <w:r>
        <w:rPr>
          <w:spacing w:val="7"/>
        </w:rPr>
        <w:t xml:space="preserve"> </w:t>
      </w:r>
      <w:r>
        <w:rPr>
          <w:spacing w:val="-1"/>
        </w:rPr>
        <w:t>Customer</w:t>
      </w:r>
      <w:r>
        <w:rPr>
          <w:spacing w:val="12"/>
        </w:rPr>
        <w:t xml:space="preserve"> </w:t>
      </w:r>
      <w:r>
        <w:rPr>
          <w:spacing w:val="-1"/>
        </w:rPr>
        <w:t>(including,</w:t>
      </w:r>
      <w:r>
        <w:rPr>
          <w:spacing w:val="27"/>
        </w:rPr>
        <w:t xml:space="preserve"> </w:t>
      </w:r>
      <w:r>
        <w:rPr>
          <w:spacing w:val="-1"/>
        </w:rPr>
        <w:t>if</w:t>
      </w:r>
      <w:r>
        <w:rPr>
          <w:spacing w:val="52"/>
        </w:rPr>
        <w:t xml:space="preserve"> </w:t>
      </w:r>
      <w:r>
        <w:rPr>
          <w:spacing w:val="-1"/>
        </w:rPr>
        <w:t>so</w:t>
      </w:r>
      <w:r>
        <w:rPr>
          <w:spacing w:val="46"/>
        </w:rPr>
        <w:t xml:space="preserve"> </w:t>
      </w:r>
      <w:r>
        <w:rPr>
          <w:spacing w:val="-1"/>
        </w:rPr>
        <w:t>required</w:t>
      </w:r>
      <w:r>
        <w:rPr>
          <w:spacing w:val="48"/>
        </w:rPr>
        <w:t xml:space="preserve"> </w:t>
      </w:r>
      <w:r>
        <w:rPr>
          <w:spacing w:val="-1"/>
        </w:rPr>
        <w:t>by</w:t>
      </w:r>
      <w:r>
        <w:rPr>
          <w:spacing w:val="46"/>
        </w:rPr>
        <w:t xml:space="preserve"> </w:t>
      </w:r>
      <w:r>
        <w:t>the</w:t>
      </w:r>
      <w:r>
        <w:rPr>
          <w:spacing w:val="48"/>
        </w:rPr>
        <w:t xml:space="preserve"> </w:t>
      </w:r>
      <w:r>
        <w:rPr>
          <w:spacing w:val="-1"/>
        </w:rPr>
        <w:t>Customer,</w:t>
      </w:r>
      <w:r>
        <w:rPr>
          <w:spacing w:val="48"/>
        </w:rPr>
        <w:t xml:space="preserve"> </w:t>
      </w:r>
      <w:r>
        <w:t>the</w:t>
      </w:r>
      <w:r>
        <w:rPr>
          <w:spacing w:val="47"/>
        </w:rPr>
        <w:t xml:space="preserve"> </w:t>
      </w:r>
      <w:r>
        <w:rPr>
          <w:spacing w:val="-1"/>
        </w:rPr>
        <w:t>ICT</w:t>
      </w:r>
      <w:r>
        <w:rPr>
          <w:spacing w:val="50"/>
        </w:rPr>
        <w:t xml:space="preserve"> </w:t>
      </w:r>
      <w:r>
        <w:rPr>
          <w:spacing w:val="-2"/>
        </w:rPr>
        <w:t>Policy)</w:t>
      </w:r>
      <w:r>
        <w:rPr>
          <w:spacing w:val="49"/>
        </w:rPr>
        <w:t xml:space="preserve"> </w:t>
      </w:r>
      <w:r>
        <w:rPr>
          <w:spacing w:val="-1"/>
        </w:rPr>
        <w:t>and</w:t>
      </w:r>
      <w:r>
        <w:rPr>
          <w:spacing w:val="48"/>
        </w:rPr>
        <w:t xml:space="preserve"> </w:t>
      </w:r>
      <w:r>
        <w:rPr>
          <w:spacing w:val="-2"/>
        </w:rPr>
        <w:t>provide</w:t>
      </w:r>
      <w:r>
        <w:rPr>
          <w:spacing w:val="48"/>
        </w:rPr>
        <w:t xml:space="preserve"> </w:t>
      </w:r>
      <w:r>
        <w:t>the</w:t>
      </w:r>
      <w:r>
        <w:rPr>
          <w:spacing w:val="48"/>
        </w:rPr>
        <w:t xml:space="preserve"> </w:t>
      </w:r>
      <w:r>
        <w:rPr>
          <w:spacing w:val="-1"/>
        </w:rPr>
        <w:t>Goods</w:t>
      </w:r>
      <w:r>
        <w:rPr>
          <w:spacing w:val="50"/>
        </w:rPr>
        <w:t xml:space="preserve"> </w:t>
      </w:r>
      <w:r>
        <w:rPr>
          <w:spacing w:val="-1"/>
        </w:rPr>
        <w:t>and/or</w:t>
      </w:r>
      <w:r>
        <w:rPr>
          <w:spacing w:val="43"/>
        </w:rPr>
        <w:t xml:space="preserve"> </w:t>
      </w:r>
      <w:r>
        <w:rPr>
          <w:spacing w:val="-1"/>
        </w:rPr>
        <w:t>Services</w:t>
      </w:r>
      <w:r>
        <w:rPr>
          <w:spacing w:val="1"/>
        </w:rPr>
        <w:t xml:space="preserve"> </w:t>
      </w:r>
      <w:r>
        <w:t>to</w:t>
      </w:r>
      <w:r>
        <w:rPr>
          <w:spacing w:val="-2"/>
        </w:rPr>
        <w:t xml:space="preserve"> </w:t>
      </w:r>
      <w:r>
        <w:t>the</w:t>
      </w:r>
      <w:r>
        <w:rPr>
          <w:spacing w:val="-2"/>
        </w:rPr>
        <w:t xml:space="preserve"> </w:t>
      </w:r>
      <w:r>
        <w:rPr>
          <w:spacing w:val="-1"/>
        </w:rPr>
        <w:t>reasonable</w:t>
      </w:r>
      <w:r>
        <w:t xml:space="preserve"> </w:t>
      </w:r>
      <w:r>
        <w:rPr>
          <w:spacing w:val="-1"/>
        </w:rPr>
        <w:t>satisfaction</w:t>
      </w:r>
      <w:r>
        <w:t xml:space="preserve"> </w:t>
      </w:r>
      <w:r>
        <w:rPr>
          <w:spacing w:val="-2"/>
        </w:rPr>
        <w:t>of</w:t>
      </w:r>
      <w:r>
        <w:t xml:space="preserve"> the </w:t>
      </w:r>
      <w:r>
        <w:rPr>
          <w:spacing w:val="-1"/>
        </w:rPr>
        <w:t>Customer</w:t>
      </w:r>
      <w:bookmarkStart w:id="100" w:name="_bookmark92"/>
      <w:bookmarkEnd w:id="100"/>
      <w:r>
        <w:rPr>
          <w:spacing w:val="-1"/>
        </w:rPr>
        <w:t>.</w:t>
      </w:r>
    </w:p>
    <w:p w:rsidR="008918FA" w:rsidRDefault="008918FA" w:rsidP="008918FA">
      <w:pPr>
        <w:pStyle w:val="BodyText"/>
        <w:numPr>
          <w:ilvl w:val="1"/>
          <w:numId w:val="66"/>
        </w:numPr>
        <w:tabs>
          <w:tab w:val="left" w:pos="1234"/>
        </w:tabs>
        <w:spacing w:before="121"/>
        <w:ind w:left="1029" w:right="116" w:hanging="360"/>
        <w:jc w:val="both"/>
      </w:pPr>
      <w:r>
        <w:rPr>
          <w:spacing w:val="-1"/>
        </w:rPr>
        <w:t>Where</w:t>
      </w:r>
      <w:r>
        <w:rPr>
          <w:spacing w:val="48"/>
        </w:rPr>
        <w:t xml:space="preserve"> </w:t>
      </w:r>
      <w:r>
        <w:t>a</w:t>
      </w:r>
      <w:r>
        <w:rPr>
          <w:spacing w:val="48"/>
        </w:rPr>
        <w:t xml:space="preserve"> </w:t>
      </w:r>
      <w:r>
        <w:rPr>
          <w:spacing w:val="-1"/>
        </w:rPr>
        <w:t>standard,</w:t>
      </w:r>
      <w:r>
        <w:rPr>
          <w:spacing w:val="50"/>
        </w:rPr>
        <w:t xml:space="preserve"> </w:t>
      </w:r>
      <w:r>
        <w:rPr>
          <w:spacing w:val="-2"/>
        </w:rPr>
        <w:t>policy</w:t>
      </w:r>
      <w:r>
        <w:rPr>
          <w:spacing w:val="47"/>
        </w:rPr>
        <w:t xml:space="preserve"> </w:t>
      </w:r>
      <w:r>
        <w:rPr>
          <w:spacing w:val="-1"/>
        </w:rPr>
        <w:t>or</w:t>
      </w:r>
      <w:r>
        <w:rPr>
          <w:spacing w:val="49"/>
        </w:rPr>
        <w:t xml:space="preserve"> </w:t>
      </w:r>
      <w:r>
        <w:rPr>
          <w:spacing w:val="-1"/>
        </w:rPr>
        <w:t>document</w:t>
      </w:r>
      <w:r>
        <w:rPr>
          <w:spacing w:val="50"/>
        </w:rPr>
        <w:t xml:space="preserve"> </w:t>
      </w:r>
      <w:r>
        <w:rPr>
          <w:spacing w:val="-1"/>
        </w:rPr>
        <w:t>is</w:t>
      </w:r>
      <w:r>
        <w:rPr>
          <w:spacing w:val="50"/>
        </w:rPr>
        <w:t xml:space="preserve"> </w:t>
      </w:r>
      <w:r>
        <w:rPr>
          <w:spacing w:val="-1"/>
        </w:rPr>
        <w:t>referred</w:t>
      </w:r>
      <w:r>
        <w:rPr>
          <w:spacing w:val="48"/>
        </w:rPr>
        <w:t xml:space="preserve"> </w:t>
      </w:r>
      <w:r>
        <w:t>to</w:t>
      </w:r>
      <w:r>
        <w:rPr>
          <w:spacing w:val="48"/>
        </w:rPr>
        <w:t xml:space="preserve"> </w:t>
      </w:r>
      <w:r>
        <w:rPr>
          <w:spacing w:val="-1"/>
        </w:rPr>
        <w:t>in</w:t>
      </w:r>
      <w:r>
        <w:rPr>
          <w:spacing w:val="50"/>
        </w:rPr>
        <w:t xml:space="preserve"> </w:t>
      </w:r>
      <w:r>
        <w:rPr>
          <w:spacing w:val="-2"/>
        </w:rPr>
        <w:t>Call</w:t>
      </w:r>
      <w:r>
        <w:rPr>
          <w:spacing w:val="50"/>
        </w:rPr>
        <w:t xml:space="preserve"> </w:t>
      </w:r>
      <w:r>
        <w:t>Off</w:t>
      </w:r>
      <w:r>
        <w:rPr>
          <w:spacing w:val="49"/>
        </w:rPr>
        <w:t xml:space="preserve"> </w:t>
      </w:r>
      <w:r>
        <w:rPr>
          <w:spacing w:val="-2"/>
        </w:rPr>
        <w:t>Schedule</w:t>
      </w:r>
      <w:r>
        <w:rPr>
          <w:spacing w:val="50"/>
        </w:rPr>
        <w:t xml:space="preserve"> </w:t>
      </w:r>
      <w:r>
        <w:rPr>
          <w:spacing w:val="-1"/>
        </w:rPr>
        <w:t>7,</w:t>
      </w:r>
      <w:r>
        <w:rPr>
          <w:spacing w:val="67"/>
        </w:rPr>
        <w:t xml:space="preserve"> </w:t>
      </w:r>
      <w:r>
        <w:rPr>
          <w:spacing w:val="-1"/>
        </w:rPr>
        <w:t>(Standards) by</w:t>
      </w:r>
      <w:r>
        <w:rPr>
          <w:spacing w:val="46"/>
        </w:rPr>
        <w:t xml:space="preserve"> </w:t>
      </w:r>
      <w:r>
        <w:rPr>
          <w:spacing w:val="-1"/>
        </w:rPr>
        <w:t>reference</w:t>
      </w:r>
      <w:r>
        <w:rPr>
          <w:spacing w:val="48"/>
        </w:rPr>
        <w:t xml:space="preserve"> </w:t>
      </w:r>
      <w:r>
        <w:t>to</w:t>
      </w:r>
      <w:r>
        <w:rPr>
          <w:spacing w:val="48"/>
        </w:rPr>
        <w:t xml:space="preserve"> </w:t>
      </w:r>
      <w:r>
        <w:t>a</w:t>
      </w:r>
      <w:r>
        <w:rPr>
          <w:spacing w:val="48"/>
        </w:rPr>
        <w:t xml:space="preserve"> </w:t>
      </w:r>
      <w:r>
        <w:rPr>
          <w:spacing w:val="-1"/>
        </w:rPr>
        <w:t>hyperlink,</w:t>
      </w:r>
      <w:r>
        <w:rPr>
          <w:spacing w:val="50"/>
        </w:rPr>
        <w:t xml:space="preserve"> </w:t>
      </w:r>
      <w:r>
        <w:rPr>
          <w:spacing w:val="-1"/>
        </w:rPr>
        <w:t>then</w:t>
      </w:r>
      <w:r>
        <w:rPr>
          <w:spacing w:val="48"/>
        </w:rPr>
        <w:t xml:space="preserve"> </w:t>
      </w:r>
      <w:r>
        <w:rPr>
          <w:spacing w:val="-2"/>
        </w:rPr>
        <w:t>if</w:t>
      </w:r>
      <w:r>
        <w:rPr>
          <w:spacing w:val="50"/>
        </w:rPr>
        <w:t xml:space="preserve"> </w:t>
      </w:r>
      <w:r>
        <w:t>the</w:t>
      </w:r>
      <w:r>
        <w:rPr>
          <w:spacing w:val="48"/>
        </w:rPr>
        <w:t xml:space="preserve"> </w:t>
      </w:r>
      <w:r>
        <w:rPr>
          <w:spacing w:val="-2"/>
        </w:rPr>
        <w:t>hyperlink</w:t>
      </w:r>
      <w:r>
        <w:rPr>
          <w:spacing w:val="51"/>
        </w:rPr>
        <w:t xml:space="preserve"> </w:t>
      </w:r>
      <w:r>
        <w:rPr>
          <w:spacing w:val="-1"/>
        </w:rPr>
        <w:t>is</w:t>
      </w:r>
      <w:r>
        <w:rPr>
          <w:spacing w:val="49"/>
        </w:rPr>
        <w:t xml:space="preserve"> </w:t>
      </w:r>
      <w:r>
        <w:rPr>
          <w:spacing w:val="-1"/>
        </w:rPr>
        <w:t>changed</w:t>
      </w:r>
      <w:r>
        <w:rPr>
          <w:spacing w:val="48"/>
        </w:rPr>
        <w:t xml:space="preserve"> </w:t>
      </w:r>
      <w:r>
        <w:rPr>
          <w:spacing w:val="-1"/>
        </w:rPr>
        <w:t>or</w:t>
      </w:r>
      <w:r>
        <w:rPr>
          <w:spacing w:val="49"/>
        </w:rPr>
        <w:t xml:space="preserve"> </w:t>
      </w:r>
      <w:r>
        <w:rPr>
          <w:spacing w:val="-1"/>
        </w:rPr>
        <w:t>no</w:t>
      </w:r>
      <w:r>
        <w:rPr>
          <w:spacing w:val="52"/>
        </w:rPr>
        <w:t xml:space="preserve"> </w:t>
      </w:r>
      <w:r>
        <w:rPr>
          <w:spacing w:val="-1"/>
        </w:rPr>
        <w:t>longer</w:t>
      </w:r>
      <w:r>
        <w:rPr>
          <w:spacing w:val="21"/>
        </w:rPr>
        <w:t xml:space="preserve"> </w:t>
      </w:r>
      <w:r>
        <w:rPr>
          <w:spacing w:val="-2"/>
        </w:rPr>
        <w:t>provides</w:t>
      </w:r>
      <w:r>
        <w:rPr>
          <w:spacing w:val="20"/>
        </w:rPr>
        <w:t xml:space="preserve"> </w:t>
      </w:r>
      <w:r>
        <w:rPr>
          <w:spacing w:val="-1"/>
        </w:rPr>
        <w:t>access</w:t>
      </w:r>
      <w:r>
        <w:rPr>
          <w:spacing w:val="20"/>
        </w:rPr>
        <w:t xml:space="preserve"> </w:t>
      </w:r>
      <w:r>
        <w:rPr>
          <w:spacing w:val="-1"/>
        </w:rPr>
        <w:t>to</w:t>
      </w:r>
      <w:r>
        <w:rPr>
          <w:spacing w:val="19"/>
        </w:rPr>
        <w:t xml:space="preserve"> </w:t>
      </w:r>
      <w:r>
        <w:t>the</w:t>
      </w:r>
      <w:r>
        <w:rPr>
          <w:spacing w:val="20"/>
        </w:rPr>
        <w:t xml:space="preserve"> </w:t>
      </w:r>
      <w:r>
        <w:rPr>
          <w:spacing w:val="-2"/>
        </w:rPr>
        <w:t>relevant</w:t>
      </w:r>
      <w:r>
        <w:rPr>
          <w:spacing w:val="21"/>
        </w:rPr>
        <w:t xml:space="preserve"> </w:t>
      </w:r>
      <w:r>
        <w:rPr>
          <w:spacing w:val="-1"/>
        </w:rPr>
        <w:t>standard,</w:t>
      </w:r>
      <w:r>
        <w:rPr>
          <w:spacing w:val="19"/>
        </w:rPr>
        <w:t xml:space="preserve"> </w:t>
      </w:r>
      <w:r>
        <w:rPr>
          <w:spacing w:val="-1"/>
        </w:rPr>
        <w:t>policy</w:t>
      </w:r>
      <w:r>
        <w:rPr>
          <w:spacing w:val="18"/>
        </w:rPr>
        <w:t xml:space="preserve"> </w:t>
      </w:r>
      <w:r>
        <w:rPr>
          <w:spacing w:val="-1"/>
        </w:rPr>
        <w:t>or</w:t>
      </w:r>
      <w:r>
        <w:rPr>
          <w:spacing w:val="21"/>
        </w:rPr>
        <w:t xml:space="preserve"> </w:t>
      </w:r>
      <w:r>
        <w:rPr>
          <w:spacing w:val="-1"/>
        </w:rPr>
        <w:t>document,</w:t>
      </w:r>
      <w:r>
        <w:rPr>
          <w:spacing w:val="21"/>
        </w:rPr>
        <w:t xml:space="preserve"> </w:t>
      </w:r>
      <w:r>
        <w:t>the</w:t>
      </w:r>
      <w:r>
        <w:rPr>
          <w:spacing w:val="17"/>
        </w:rPr>
        <w:t xml:space="preserve"> </w:t>
      </w:r>
      <w:r>
        <w:rPr>
          <w:spacing w:val="-2"/>
        </w:rPr>
        <w:t>Supplier</w:t>
      </w:r>
      <w:r>
        <w:rPr>
          <w:spacing w:val="74"/>
        </w:rPr>
        <w:t xml:space="preserve"> </w:t>
      </w:r>
      <w:r>
        <w:rPr>
          <w:spacing w:val="-1"/>
        </w:rPr>
        <w:t>shall</w:t>
      </w:r>
      <w:r>
        <w:t xml:space="preserve"> </w:t>
      </w:r>
      <w:r>
        <w:rPr>
          <w:spacing w:val="-1"/>
        </w:rPr>
        <w:t>notify</w:t>
      </w:r>
      <w:r>
        <w:rPr>
          <w:spacing w:val="-2"/>
        </w:rPr>
        <w:t xml:space="preserve"> </w:t>
      </w:r>
      <w:r>
        <w:t xml:space="preserve">the </w:t>
      </w:r>
      <w:r>
        <w:rPr>
          <w:spacing w:val="-2"/>
        </w:rPr>
        <w:t>Customer</w:t>
      </w:r>
      <w:r>
        <w:t xml:space="preserve"> </w:t>
      </w:r>
      <w:r>
        <w:rPr>
          <w:spacing w:val="-1"/>
        </w:rPr>
        <w:t>and</w:t>
      </w:r>
      <w:r>
        <w:rPr>
          <w:spacing w:val="-2"/>
        </w:rPr>
        <w:t xml:space="preserve"> </w:t>
      </w:r>
      <w:r>
        <w:t xml:space="preserve">the </w:t>
      </w:r>
      <w:r>
        <w:rPr>
          <w:spacing w:val="-1"/>
        </w:rPr>
        <w:t>Parties</w:t>
      </w:r>
      <w:r>
        <w:rPr>
          <w:spacing w:val="-2"/>
        </w:rPr>
        <w:t xml:space="preserve"> </w:t>
      </w:r>
      <w:r>
        <w:rPr>
          <w:spacing w:val="-1"/>
        </w:rPr>
        <w:t>shall</w:t>
      </w:r>
      <w:r>
        <w:t xml:space="preserve"> </w:t>
      </w:r>
      <w:r>
        <w:rPr>
          <w:spacing w:val="-1"/>
        </w:rPr>
        <w:t>agree</w:t>
      </w:r>
      <w:r>
        <w:t xml:space="preserve"> the</w:t>
      </w:r>
      <w:r>
        <w:rPr>
          <w:spacing w:val="-2"/>
        </w:rPr>
        <w:t xml:space="preserve"> impact</w:t>
      </w:r>
      <w:r>
        <w:rPr>
          <w:spacing w:val="2"/>
        </w:rPr>
        <w:t xml:space="preserve"> </w:t>
      </w:r>
      <w:r>
        <w:rPr>
          <w:spacing w:val="-2"/>
        </w:rPr>
        <w:t>of</w:t>
      </w:r>
      <w:r>
        <w:rPr>
          <w:spacing w:val="2"/>
        </w:rPr>
        <w:t xml:space="preserve"> </w:t>
      </w:r>
      <w:r>
        <w:rPr>
          <w:spacing w:val="-2"/>
        </w:rPr>
        <w:t>such</w:t>
      </w:r>
      <w:r>
        <w:rPr>
          <w:spacing w:val="1"/>
        </w:rPr>
        <w:t xml:space="preserve"> </w:t>
      </w:r>
      <w:r>
        <w:rPr>
          <w:spacing w:val="-1"/>
        </w:rPr>
        <w:t>change.</w:t>
      </w:r>
    </w:p>
    <w:p w:rsidR="008918FA" w:rsidRDefault="008918FA" w:rsidP="008918FA">
      <w:pPr>
        <w:pStyle w:val="BodyText"/>
        <w:numPr>
          <w:ilvl w:val="0"/>
          <w:numId w:val="66"/>
        </w:numPr>
        <w:tabs>
          <w:tab w:val="left" w:pos="667"/>
        </w:tabs>
        <w:spacing w:before="117"/>
        <w:ind w:left="666" w:hanging="566"/>
        <w:rPr>
          <w:rFonts w:ascii="Times New Roman" w:eastAsia="Times New Roman" w:hAnsi="Times New Roman" w:cs="Times New Roman"/>
        </w:rPr>
      </w:pPr>
      <w:bookmarkStart w:id="101" w:name="_bookmark93"/>
      <w:bookmarkEnd w:id="101"/>
      <w:r>
        <w:rPr>
          <w:rFonts w:ascii="Times New Roman"/>
          <w:spacing w:val="2"/>
        </w:rPr>
        <w:t>TES</w:t>
      </w:r>
      <w:r>
        <w:rPr>
          <w:rFonts w:ascii="Times New Roman"/>
          <w:spacing w:val="-29"/>
        </w:rPr>
        <w:t xml:space="preserve"> </w:t>
      </w:r>
      <w:r>
        <w:rPr>
          <w:rFonts w:ascii="Times New Roman"/>
          <w:spacing w:val="-5"/>
        </w:rPr>
        <w:t>TING</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34"/>
        </w:tabs>
        <w:spacing w:before="0"/>
        <w:ind w:left="1029" w:right="112" w:hanging="360"/>
        <w:jc w:val="both"/>
      </w:pPr>
      <w:r>
        <w:rPr>
          <w:spacing w:val="-1"/>
        </w:rPr>
        <w:t>This</w:t>
      </w:r>
      <w:r>
        <w:rPr>
          <w:spacing w:val="3"/>
        </w:rPr>
        <w:t xml:space="preserve"> </w:t>
      </w:r>
      <w:r>
        <w:rPr>
          <w:spacing w:val="-2"/>
        </w:rPr>
        <w:t>Clause</w:t>
      </w:r>
      <w:r>
        <w:rPr>
          <w:spacing w:val="4"/>
        </w:rPr>
        <w:t xml:space="preserve"> </w:t>
      </w:r>
      <w:hyperlink w:anchor="_bookmark92" w:history="1">
        <w:r>
          <w:rPr>
            <w:spacing w:val="-1"/>
          </w:rPr>
          <w:t>11.6</w:t>
        </w:r>
      </w:hyperlink>
      <w:r>
        <w:rPr>
          <w:spacing w:val="3"/>
        </w:rPr>
        <w:t xml:space="preserve"> </w:t>
      </w:r>
      <w:r>
        <w:rPr>
          <w:spacing w:val="-1"/>
        </w:rPr>
        <w:t>shall</w:t>
      </w:r>
      <w:r>
        <w:rPr>
          <w:spacing w:val="2"/>
        </w:rPr>
        <w:t xml:space="preserve"> </w:t>
      </w:r>
      <w:r>
        <w:rPr>
          <w:spacing w:val="-2"/>
        </w:rPr>
        <w:t>apply</w:t>
      </w:r>
      <w:r>
        <w:rPr>
          <w:spacing w:val="1"/>
        </w:rPr>
        <w:t xml:space="preserve"> </w:t>
      </w:r>
      <w:r>
        <w:rPr>
          <w:spacing w:val="-1"/>
        </w:rPr>
        <w:t>if</w:t>
      </w:r>
      <w:r>
        <w:rPr>
          <w:spacing w:val="6"/>
        </w:rPr>
        <w:t xml:space="preserve"> </w:t>
      </w:r>
      <w:r>
        <w:rPr>
          <w:spacing w:val="-1"/>
        </w:rPr>
        <w:t>so</w:t>
      </w:r>
      <w:r>
        <w:rPr>
          <w:spacing w:val="3"/>
        </w:rPr>
        <w:t xml:space="preserve"> </w:t>
      </w:r>
      <w:r>
        <w:rPr>
          <w:spacing w:val="-1"/>
        </w:rPr>
        <w:t>specified</w:t>
      </w:r>
      <w:r>
        <w:rPr>
          <w:spacing w:val="3"/>
        </w:rPr>
        <w:t xml:space="preserve"> </w:t>
      </w:r>
      <w:r>
        <w:rPr>
          <w:spacing w:val="-1"/>
        </w:rPr>
        <w:t>by</w:t>
      </w:r>
      <w:r>
        <w:rPr>
          <w:spacing w:val="1"/>
        </w:rPr>
        <w:t xml:space="preserve"> </w:t>
      </w:r>
      <w:r>
        <w:rPr>
          <w:spacing w:val="-1"/>
        </w:rPr>
        <w:t>the</w:t>
      </w:r>
      <w:r>
        <w:rPr>
          <w:spacing w:val="3"/>
        </w:rPr>
        <w:t xml:space="preserve"> </w:t>
      </w:r>
      <w:r>
        <w:rPr>
          <w:spacing w:val="-1"/>
        </w:rPr>
        <w:t>Customer</w:t>
      </w:r>
      <w:r>
        <w:rPr>
          <w:spacing w:val="4"/>
        </w:rPr>
        <w:t xml:space="preserve"> </w:t>
      </w:r>
      <w:r>
        <w:rPr>
          <w:spacing w:val="-1"/>
        </w:rPr>
        <w:t>in</w:t>
      </w:r>
      <w:r>
        <w:t xml:space="preserve"> the </w:t>
      </w:r>
      <w:r>
        <w:rPr>
          <w:spacing w:val="-1"/>
        </w:rPr>
        <w:t>Order</w:t>
      </w:r>
      <w:r>
        <w:rPr>
          <w:spacing w:val="2"/>
        </w:rPr>
        <w:t xml:space="preserve"> </w:t>
      </w:r>
      <w:r>
        <w:rPr>
          <w:spacing w:val="-1"/>
        </w:rPr>
        <w:t>Form</w:t>
      </w:r>
      <w:r>
        <w:rPr>
          <w:spacing w:val="4"/>
        </w:rPr>
        <w:t xml:space="preserve"> </w:t>
      </w:r>
      <w:r>
        <w:rPr>
          <w:spacing w:val="-1"/>
        </w:rPr>
        <w:t>or</w:t>
      </w:r>
      <w:r>
        <w:rPr>
          <w:spacing w:val="43"/>
        </w:rPr>
        <w:t xml:space="preserve"> </w:t>
      </w:r>
      <w:r>
        <w:rPr>
          <w:spacing w:val="-2"/>
        </w:rPr>
        <w:t>elsewhere</w:t>
      </w:r>
      <w:r>
        <w:t xml:space="preserve"> </w:t>
      </w:r>
      <w:r>
        <w:rPr>
          <w:spacing w:val="-1"/>
        </w:rPr>
        <w:t>in</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rsidR="00B02739">
        <w:rPr>
          <w:spacing w:val="-1"/>
        </w:rPr>
        <w:t>...</w:t>
      </w:r>
    </w:p>
    <w:p w:rsidR="008918FA" w:rsidRDefault="008918FA" w:rsidP="008918FA">
      <w:pPr>
        <w:pStyle w:val="BodyText"/>
        <w:numPr>
          <w:ilvl w:val="1"/>
          <w:numId w:val="66"/>
        </w:numPr>
        <w:tabs>
          <w:tab w:val="left" w:pos="1234"/>
        </w:tabs>
        <w:spacing w:before="121"/>
        <w:ind w:left="1029" w:right="118" w:hanging="360"/>
        <w:jc w:val="both"/>
      </w:pPr>
      <w:r>
        <w:t>The</w:t>
      </w:r>
      <w:r>
        <w:rPr>
          <w:spacing w:val="13"/>
        </w:rPr>
        <w:t xml:space="preserve"> </w:t>
      </w:r>
      <w:r>
        <w:rPr>
          <w:spacing w:val="-1"/>
        </w:rPr>
        <w:t>Parties</w:t>
      </w:r>
      <w:r>
        <w:rPr>
          <w:spacing w:val="14"/>
        </w:rPr>
        <w:t xml:space="preserve"> </w:t>
      </w:r>
      <w:r>
        <w:rPr>
          <w:spacing w:val="-1"/>
        </w:rPr>
        <w:t>shall</w:t>
      </w:r>
      <w:r>
        <w:rPr>
          <w:spacing w:val="13"/>
        </w:rPr>
        <w:t xml:space="preserve"> </w:t>
      </w:r>
      <w:r>
        <w:rPr>
          <w:spacing w:val="-1"/>
        </w:rPr>
        <w:t>comply</w:t>
      </w:r>
      <w:r>
        <w:rPr>
          <w:spacing w:val="16"/>
        </w:rPr>
        <w:t xml:space="preserve"> </w:t>
      </w:r>
      <w:r>
        <w:rPr>
          <w:spacing w:val="-2"/>
        </w:rPr>
        <w:t>with</w:t>
      </w:r>
      <w:r>
        <w:rPr>
          <w:spacing w:val="14"/>
        </w:rPr>
        <w:t xml:space="preserve"> </w:t>
      </w:r>
      <w:r>
        <w:t>any</w:t>
      </w:r>
      <w:r>
        <w:rPr>
          <w:spacing w:val="11"/>
        </w:rPr>
        <w:t xml:space="preserve"> </w:t>
      </w:r>
      <w:r>
        <w:rPr>
          <w:spacing w:val="-1"/>
        </w:rPr>
        <w:t>provisions</w:t>
      </w:r>
      <w:r>
        <w:rPr>
          <w:spacing w:val="17"/>
        </w:rPr>
        <w:t xml:space="preserve"> </w:t>
      </w:r>
      <w:r>
        <w:rPr>
          <w:spacing w:val="-1"/>
        </w:rPr>
        <w:t>set</w:t>
      </w:r>
      <w:r>
        <w:rPr>
          <w:spacing w:val="15"/>
        </w:rPr>
        <w:t xml:space="preserve"> </w:t>
      </w:r>
      <w:r>
        <w:rPr>
          <w:spacing w:val="-1"/>
        </w:rPr>
        <w:t>out</w:t>
      </w:r>
      <w:r>
        <w:rPr>
          <w:spacing w:val="15"/>
        </w:rPr>
        <w:t xml:space="preserve"> </w:t>
      </w:r>
      <w:r>
        <w:rPr>
          <w:spacing w:val="-2"/>
        </w:rPr>
        <w:t>Call</w:t>
      </w:r>
      <w:r>
        <w:rPr>
          <w:spacing w:val="15"/>
        </w:rPr>
        <w:t xml:space="preserve"> </w:t>
      </w:r>
      <w:r>
        <w:rPr>
          <w:spacing w:val="-1"/>
        </w:rPr>
        <w:t>Off</w:t>
      </w:r>
      <w:r>
        <w:rPr>
          <w:spacing w:val="17"/>
        </w:rPr>
        <w:t xml:space="preserve"> </w:t>
      </w:r>
      <w:r>
        <w:rPr>
          <w:spacing w:val="-2"/>
        </w:rPr>
        <w:t>Schedule</w:t>
      </w:r>
      <w:r>
        <w:rPr>
          <w:spacing w:val="16"/>
        </w:rPr>
        <w:t xml:space="preserve"> </w:t>
      </w:r>
      <w:r>
        <w:t>5</w:t>
      </w:r>
      <w:r>
        <w:rPr>
          <w:spacing w:val="51"/>
        </w:rPr>
        <w:t xml:space="preserve"> </w:t>
      </w:r>
      <w:r>
        <w:rPr>
          <w:spacing w:val="-1"/>
        </w:rPr>
        <w:t>(Testing).</w:t>
      </w:r>
    </w:p>
    <w:p w:rsidR="008918FA" w:rsidRDefault="008918FA" w:rsidP="008918FA">
      <w:pPr>
        <w:pStyle w:val="BodyText"/>
        <w:numPr>
          <w:ilvl w:val="0"/>
          <w:numId w:val="66"/>
        </w:numPr>
        <w:tabs>
          <w:tab w:val="left" w:pos="667"/>
        </w:tabs>
        <w:spacing w:before="117"/>
        <w:ind w:left="667"/>
        <w:rPr>
          <w:rFonts w:ascii="Times New Roman" w:eastAsia="Times New Roman" w:hAnsi="Times New Roman" w:cs="Times New Roman"/>
        </w:rPr>
      </w:pPr>
      <w:bookmarkStart w:id="102" w:name="_bookmark94"/>
      <w:bookmarkEnd w:id="102"/>
      <w:r>
        <w:rPr>
          <w:rFonts w:ascii="Times New Roman"/>
          <w:spacing w:val="4"/>
        </w:rPr>
        <w:t>SERVICE</w:t>
      </w:r>
      <w:r>
        <w:rPr>
          <w:rFonts w:ascii="Times New Roman"/>
          <w:spacing w:val="18"/>
        </w:rPr>
        <w:t xml:space="preserve"> </w:t>
      </w:r>
      <w:r>
        <w:rPr>
          <w:rFonts w:ascii="Times New Roman"/>
          <w:spacing w:val="1"/>
        </w:rPr>
        <w:t>LEVELS</w:t>
      </w:r>
      <w:r>
        <w:rPr>
          <w:rFonts w:ascii="Times New Roman"/>
          <w:spacing w:val="33"/>
        </w:rPr>
        <w:t xml:space="preserve"> </w:t>
      </w:r>
      <w:r>
        <w:rPr>
          <w:rFonts w:ascii="Times New Roman"/>
          <w:spacing w:val="-2"/>
        </w:rPr>
        <w:t>AND</w:t>
      </w:r>
      <w:r>
        <w:rPr>
          <w:rFonts w:ascii="Times New Roman"/>
          <w:spacing w:val="8"/>
        </w:rPr>
        <w:t xml:space="preserve"> </w:t>
      </w:r>
      <w:r>
        <w:rPr>
          <w:rFonts w:ascii="Times New Roman"/>
          <w:spacing w:val="4"/>
        </w:rPr>
        <w:t>SERVICE</w:t>
      </w:r>
      <w:r>
        <w:rPr>
          <w:rFonts w:ascii="Times New Roman"/>
          <w:spacing w:val="18"/>
        </w:rPr>
        <w:t xml:space="preserve"> </w:t>
      </w:r>
      <w:r>
        <w:rPr>
          <w:rFonts w:ascii="Times New Roman"/>
          <w:spacing w:val="2"/>
        </w:rPr>
        <w:t>CREDITS</w:t>
      </w:r>
    </w:p>
    <w:p w:rsidR="008918FA" w:rsidRDefault="008918FA" w:rsidP="008918FA">
      <w:pPr>
        <w:rPr>
          <w:rFonts w:ascii="Times New Roman" w:eastAsia="Times New Roman" w:hAnsi="Times New Roman" w:cs="Times New Roman"/>
        </w:rPr>
        <w:sectPr w:rsidR="008918FA">
          <w:pgSz w:w="11910" w:h="16840"/>
          <w:pgMar w:top="1480" w:right="1300" w:bottom="1180" w:left="1340" w:header="0" w:footer="987" w:gutter="0"/>
          <w:cols w:space="720"/>
        </w:sectPr>
      </w:pPr>
    </w:p>
    <w:p w:rsidR="008918FA" w:rsidRDefault="008918FA" w:rsidP="008918FA">
      <w:pPr>
        <w:pStyle w:val="BodyText"/>
        <w:numPr>
          <w:ilvl w:val="1"/>
          <w:numId w:val="66"/>
        </w:numPr>
        <w:tabs>
          <w:tab w:val="left" w:pos="1233"/>
        </w:tabs>
        <w:spacing w:before="59"/>
        <w:ind w:left="1028" w:right="116" w:hanging="360"/>
        <w:jc w:val="both"/>
      </w:pPr>
      <w:bookmarkStart w:id="103" w:name="14._CRITICAL_SERVICE_LEVEL_FAILURE"/>
      <w:bookmarkEnd w:id="103"/>
      <w:r>
        <w:t>The</w:t>
      </w:r>
      <w:r>
        <w:rPr>
          <w:spacing w:val="60"/>
        </w:rPr>
        <w:t xml:space="preserve"> </w:t>
      </w:r>
      <w:r>
        <w:rPr>
          <w:spacing w:val="-1"/>
        </w:rPr>
        <w:t>Parties</w:t>
      </w:r>
      <w:r>
        <w:t xml:space="preserve"> </w:t>
      </w:r>
      <w:r>
        <w:rPr>
          <w:spacing w:val="-1"/>
        </w:rPr>
        <w:t>shall</w:t>
      </w:r>
      <w:r>
        <w:rPr>
          <w:spacing w:val="59"/>
        </w:rPr>
        <w:t xml:space="preserve"> </w:t>
      </w:r>
      <w:r w:rsidR="001C1527">
        <w:rPr>
          <w:spacing w:val="-1"/>
        </w:rPr>
        <w:t>comply</w:t>
      </w:r>
      <w:r w:rsidR="001C1527">
        <w:t xml:space="preserve"> with</w:t>
      </w:r>
      <w:r>
        <w:rPr>
          <w:spacing w:val="60"/>
        </w:rPr>
        <w:t xml:space="preserve"> </w:t>
      </w:r>
      <w:r>
        <w:t>the</w:t>
      </w:r>
      <w:r>
        <w:rPr>
          <w:spacing w:val="60"/>
        </w:rPr>
        <w:t xml:space="preserve"> </w:t>
      </w:r>
      <w:r>
        <w:rPr>
          <w:spacing w:val="-2"/>
        </w:rPr>
        <w:t>provisions</w:t>
      </w:r>
      <w:r>
        <w:rPr>
          <w:spacing w:val="2"/>
        </w:rPr>
        <w:t xml:space="preserve"> </w:t>
      </w:r>
      <w:r>
        <w:rPr>
          <w:spacing w:val="-2"/>
        </w:rPr>
        <w:t>of</w:t>
      </w:r>
      <w:r>
        <w:rPr>
          <w:spacing w:val="3"/>
        </w:rPr>
        <w:t xml:space="preserve"> </w:t>
      </w:r>
      <w:r>
        <w:rPr>
          <w:spacing w:val="-1"/>
        </w:rPr>
        <w:t>Part</w:t>
      </w:r>
      <w:r>
        <w:rPr>
          <w:spacing w:val="1"/>
        </w:rPr>
        <w:t xml:space="preserve"> </w:t>
      </w:r>
      <w:r>
        <w:t>A</w:t>
      </w:r>
      <w:r>
        <w:rPr>
          <w:spacing w:val="60"/>
        </w:rPr>
        <w:t xml:space="preserve"> </w:t>
      </w:r>
      <w:r>
        <w:rPr>
          <w:spacing w:val="-2"/>
        </w:rPr>
        <w:t>(</w:t>
      </w:r>
      <w:r w:rsidR="00B02739">
        <w:rPr>
          <w:spacing w:val="-2"/>
        </w:rPr>
        <w:t>Service</w:t>
      </w:r>
      <w:r w:rsidR="00B02739">
        <w:t xml:space="preserve"> Levels and</w:t>
      </w:r>
      <w:r>
        <w:rPr>
          <w:spacing w:val="46"/>
        </w:rPr>
        <w:t xml:space="preserve"> </w:t>
      </w:r>
      <w:r>
        <w:rPr>
          <w:spacing w:val="-2"/>
        </w:rPr>
        <w:t>Service</w:t>
      </w:r>
      <w:r>
        <w:rPr>
          <w:spacing w:val="7"/>
        </w:rPr>
        <w:t xml:space="preserve"> </w:t>
      </w:r>
      <w:r>
        <w:rPr>
          <w:spacing w:val="-1"/>
        </w:rPr>
        <w:t>Credits)</w:t>
      </w:r>
      <w:r>
        <w:rPr>
          <w:spacing w:val="8"/>
        </w:rPr>
        <w:t xml:space="preserve"> </w:t>
      </w:r>
      <w:r>
        <w:rPr>
          <w:spacing w:val="-2"/>
        </w:rPr>
        <w:t>of</w:t>
      </w:r>
      <w:r>
        <w:rPr>
          <w:spacing w:val="10"/>
        </w:rPr>
        <w:t xml:space="preserve"> </w:t>
      </w:r>
      <w:r>
        <w:rPr>
          <w:spacing w:val="-2"/>
        </w:rPr>
        <w:t>Call</w:t>
      </w:r>
      <w:r>
        <w:rPr>
          <w:spacing w:val="3"/>
        </w:rPr>
        <w:t xml:space="preserve"> </w:t>
      </w:r>
      <w:r>
        <w:rPr>
          <w:spacing w:val="-1"/>
        </w:rPr>
        <w:t>Off</w:t>
      </w:r>
      <w:r>
        <w:rPr>
          <w:spacing w:val="8"/>
        </w:rPr>
        <w:t xml:space="preserve"> </w:t>
      </w:r>
      <w:r>
        <w:rPr>
          <w:spacing w:val="-1"/>
        </w:rPr>
        <w:t>Schedule</w:t>
      </w:r>
      <w:r>
        <w:rPr>
          <w:spacing w:val="6"/>
        </w:rPr>
        <w:t xml:space="preserve"> </w:t>
      </w:r>
      <w:r>
        <w:t>6</w:t>
      </w:r>
      <w:r>
        <w:rPr>
          <w:spacing w:val="4"/>
        </w:rPr>
        <w:t xml:space="preserve"> </w:t>
      </w:r>
      <w:r>
        <w:rPr>
          <w:spacing w:val="-1"/>
        </w:rPr>
        <w:t>(Service</w:t>
      </w:r>
      <w:r>
        <w:rPr>
          <w:spacing w:val="7"/>
        </w:rPr>
        <w:t xml:space="preserve"> </w:t>
      </w:r>
      <w:r>
        <w:rPr>
          <w:spacing w:val="-2"/>
        </w:rPr>
        <w:t>Levels,</w:t>
      </w:r>
      <w:r>
        <w:rPr>
          <w:spacing w:val="8"/>
        </w:rPr>
        <w:t xml:space="preserve"> </w:t>
      </w:r>
      <w:r>
        <w:rPr>
          <w:spacing w:val="-2"/>
        </w:rPr>
        <w:t>Service</w:t>
      </w:r>
      <w:r>
        <w:rPr>
          <w:spacing w:val="7"/>
        </w:rPr>
        <w:t xml:space="preserve"> </w:t>
      </w:r>
      <w:r>
        <w:rPr>
          <w:spacing w:val="-1"/>
        </w:rPr>
        <w:t>Credits</w:t>
      </w:r>
      <w:r>
        <w:rPr>
          <w:spacing w:val="7"/>
        </w:rPr>
        <w:t xml:space="preserve"> </w:t>
      </w:r>
      <w:r>
        <w:rPr>
          <w:spacing w:val="-1"/>
        </w:rPr>
        <w:t>and</w:t>
      </w:r>
      <w:r>
        <w:rPr>
          <w:spacing w:val="56"/>
        </w:rPr>
        <w:t xml:space="preserve"> </w:t>
      </w:r>
      <w:r>
        <w:rPr>
          <w:spacing w:val="-1"/>
        </w:rPr>
        <w:t>Performance</w:t>
      </w:r>
      <w:r>
        <w:rPr>
          <w:spacing w:val="-2"/>
        </w:rPr>
        <w:t xml:space="preserve"> </w:t>
      </w:r>
      <w:r>
        <w:rPr>
          <w:spacing w:val="-1"/>
        </w:rPr>
        <w:t>Monitoring).</w:t>
      </w:r>
    </w:p>
    <w:p w:rsidR="008918FA" w:rsidRDefault="008918FA" w:rsidP="008918FA">
      <w:pPr>
        <w:pStyle w:val="BodyText"/>
        <w:numPr>
          <w:ilvl w:val="1"/>
          <w:numId w:val="66"/>
        </w:numPr>
        <w:tabs>
          <w:tab w:val="left" w:pos="1233"/>
        </w:tabs>
        <w:ind w:left="1029" w:right="114" w:hanging="361"/>
        <w:jc w:val="both"/>
      </w:pPr>
      <w:r>
        <w:t>The</w:t>
      </w:r>
      <w:r>
        <w:rPr>
          <w:spacing w:val="34"/>
        </w:rPr>
        <w:t xml:space="preserve"> </w:t>
      </w:r>
      <w:r>
        <w:rPr>
          <w:spacing w:val="-2"/>
        </w:rPr>
        <w:t>Supplier</w:t>
      </w:r>
      <w:r>
        <w:rPr>
          <w:spacing w:val="38"/>
        </w:rPr>
        <w:t xml:space="preserve"> </w:t>
      </w:r>
      <w:r>
        <w:rPr>
          <w:spacing w:val="-1"/>
        </w:rPr>
        <w:t>shall</w:t>
      </w:r>
      <w:r>
        <w:rPr>
          <w:spacing w:val="36"/>
        </w:rPr>
        <w:t xml:space="preserve"> </w:t>
      </w:r>
      <w:r>
        <w:rPr>
          <w:spacing w:val="-1"/>
        </w:rPr>
        <w:t>at</w:t>
      </w:r>
      <w:r>
        <w:rPr>
          <w:spacing w:val="35"/>
        </w:rPr>
        <w:t xml:space="preserve"> </w:t>
      </w:r>
      <w:r>
        <w:rPr>
          <w:spacing w:val="-1"/>
        </w:rPr>
        <w:t>all</w:t>
      </w:r>
      <w:r>
        <w:rPr>
          <w:spacing w:val="36"/>
        </w:rPr>
        <w:t xml:space="preserve"> </w:t>
      </w:r>
      <w:r>
        <w:rPr>
          <w:spacing w:val="-1"/>
        </w:rPr>
        <w:t>times</w:t>
      </w:r>
      <w:r>
        <w:rPr>
          <w:spacing w:val="34"/>
        </w:rPr>
        <w:t xml:space="preserve"> </w:t>
      </w:r>
      <w:r>
        <w:rPr>
          <w:spacing w:val="-2"/>
        </w:rPr>
        <w:t>during</w:t>
      </w:r>
      <w:r>
        <w:rPr>
          <w:spacing w:val="37"/>
        </w:rPr>
        <w:t xml:space="preserve"> </w:t>
      </w:r>
      <w:r>
        <w:t>the</w:t>
      </w:r>
      <w:r>
        <w:rPr>
          <w:spacing w:val="34"/>
        </w:rPr>
        <w:t xml:space="preserve"> </w:t>
      </w:r>
      <w:r>
        <w:rPr>
          <w:spacing w:val="-2"/>
        </w:rPr>
        <w:t>Call</w:t>
      </w:r>
      <w:r>
        <w:rPr>
          <w:spacing w:val="37"/>
        </w:rPr>
        <w:t xml:space="preserve"> </w:t>
      </w:r>
      <w:r>
        <w:rPr>
          <w:spacing w:val="-1"/>
        </w:rPr>
        <w:t>Off</w:t>
      </w:r>
      <w:r>
        <w:rPr>
          <w:spacing w:val="38"/>
        </w:rPr>
        <w:t xml:space="preserve"> </w:t>
      </w:r>
      <w:r>
        <w:rPr>
          <w:spacing w:val="-2"/>
        </w:rPr>
        <w:t>Contract</w:t>
      </w:r>
      <w:r>
        <w:rPr>
          <w:spacing w:val="38"/>
        </w:rPr>
        <w:t xml:space="preserve"> </w:t>
      </w:r>
      <w:r>
        <w:rPr>
          <w:spacing w:val="-2"/>
        </w:rPr>
        <w:t>Period</w:t>
      </w:r>
      <w:r>
        <w:rPr>
          <w:spacing w:val="36"/>
        </w:rPr>
        <w:t xml:space="preserve"> </w:t>
      </w:r>
      <w:r>
        <w:rPr>
          <w:spacing w:val="-2"/>
        </w:rPr>
        <w:t>provide</w:t>
      </w:r>
      <w:r>
        <w:rPr>
          <w:spacing w:val="37"/>
        </w:rPr>
        <w:t xml:space="preserve"> </w:t>
      </w:r>
      <w:r>
        <w:rPr>
          <w:spacing w:val="-1"/>
        </w:rPr>
        <w:t>the</w:t>
      </w:r>
      <w:r>
        <w:rPr>
          <w:spacing w:val="82"/>
        </w:rPr>
        <w:t xml:space="preserve"> </w:t>
      </w:r>
      <w:r>
        <w:rPr>
          <w:spacing w:val="-1"/>
        </w:rPr>
        <w:t>Goods</w:t>
      </w:r>
      <w:r>
        <w:rPr>
          <w:spacing w:val="5"/>
        </w:rPr>
        <w:t xml:space="preserve"> </w:t>
      </w:r>
      <w:r>
        <w:rPr>
          <w:spacing w:val="-1"/>
        </w:rPr>
        <w:t>and/or</w:t>
      </w:r>
      <w:r>
        <w:rPr>
          <w:spacing w:val="6"/>
        </w:rPr>
        <w:t xml:space="preserve"> </w:t>
      </w:r>
      <w:r>
        <w:rPr>
          <w:spacing w:val="-1"/>
        </w:rPr>
        <w:t>Services</w:t>
      </w:r>
      <w:r>
        <w:rPr>
          <w:spacing w:val="6"/>
        </w:rPr>
        <w:t xml:space="preserve"> </w:t>
      </w:r>
      <w:r>
        <w:t>to</w:t>
      </w:r>
      <w:r>
        <w:rPr>
          <w:spacing w:val="5"/>
        </w:rPr>
        <w:t xml:space="preserve"> </w:t>
      </w:r>
      <w:r>
        <w:rPr>
          <w:spacing w:val="-1"/>
        </w:rPr>
        <w:t>meet</w:t>
      </w:r>
      <w:r>
        <w:rPr>
          <w:spacing w:val="7"/>
        </w:rPr>
        <w:t xml:space="preserve"> </w:t>
      </w:r>
      <w:r>
        <w:rPr>
          <w:spacing w:val="-1"/>
        </w:rPr>
        <w:t>or</w:t>
      </w:r>
      <w:r>
        <w:rPr>
          <w:spacing w:val="6"/>
        </w:rPr>
        <w:t xml:space="preserve"> </w:t>
      </w:r>
      <w:r>
        <w:rPr>
          <w:spacing w:val="-1"/>
        </w:rPr>
        <w:t>exceed</w:t>
      </w:r>
      <w:r>
        <w:rPr>
          <w:spacing w:val="6"/>
        </w:rPr>
        <w:t xml:space="preserve"> </w:t>
      </w:r>
      <w:r>
        <w:t>the</w:t>
      </w:r>
      <w:r>
        <w:rPr>
          <w:spacing w:val="5"/>
        </w:rPr>
        <w:t xml:space="preserve"> </w:t>
      </w:r>
      <w:r>
        <w:rPr>
          <w:spacing w:val="-2"/>
        </w:rPr>
        <w:t>Service</w:t>
      </w:r>
      <w:r>
        <w:rPr>
          <w:spacing w:val="5"/>
        </w:rPr>
        <w:t xml:space="preserve"> </w:t>
      </w:r>
      <w:r>
        <w:rPr>
          <w:spacing w:val="-1"/>
        </w:rPr>
        <w:t>Level</w:t>
      </w:r>
      <w:r>
        <w:rPr>
          <w:spacing w:val="7"/>
        </w:rPr>
        <w:t xml:space="preserve"> </w:t>
      </w:r>
      <w:r>
        <w:rPr>
          <w:spacing w:val="-1"/>
        </w:rPr>
        <w:t>Performance</w:t>
      </w:r>
      <w:r>
        <w:rPr>
          <w:spacing w:val="5"/>
        </w:rPr>
        <w:t xml:space="preserve"> </w:t>
      </w:r>
      <w:r>
        <w:rPr>
          <w:spacing w:val="-1"/>
        </w:rPr>
        <w:t>Measure</w:t>
      </w:r>
      <w:r>
        <w:rPr>
          <w:spacing w:val="41"/>
        </w:rPr>
        <w:t xml:space="preserve"> </w:t>
      </w:r>
      <w:r>
        <w:t>for</w:t>
      </w:r>
      <w:r>
        <w:rPr>
          <w:spacing w:val="-1"/>
        </w:rPr>
        <w:t xml:space="preserve"> each</w:t>
      </w:r>
      <w:r>
        <w:rPr>
          <w:spacing w:val="1"/>
        </w:rPr>
        <w:t xml:space="preserve"> </w:t>
      </w:r>
      <w:r>
        <w:rPr>
          <w:spacing w:val="-2"/>
        </w:rPr>
        <w:t>Service</w:t>
      </w:r>
      <w:r>
        <w:rPr>
          <w:spacing w:val="1"/>
        </w:rPr>
        <w:t xml:space="preserve"> </w:t>
      </w:r>
      <w:r>
        <w:rPr>
          <w:spacing w:val="-2"/>
        </w:rPr>
        <w:t>Level</w:t>
      </w:r>
      <w:r>
        <w:t xml:space="preserve"> </w:t>
      </w:r>
      <w:r>
        <w:rPr>
          <w:spacing w:val="-1"/>
        </w:rPr>
        <w:t>Performance</w:t>
      </w:r>
      <w:r>
        <w:rPr>
          <w:spacing w:val="-2"/>
        </w:rPr>
        <w:t xml:space="preserve"> </w:t>
      </w:r>
      <w:r>
        <w:rPr>
          <w:spacing w:val="-1"/>
        </w:rPr>
        <w:t>Criterion.</w:t>
      </w:r>
    </w:p>
    <w:p w:rsidR="008918FA" w:rsidRDefault="008918FA" w:rsidP="008918FA">
      <w:pPr>
        <w:pStyle w:val="BodyText"/>
        <w:numPr>
          <w:ilvl w:val="1"/>
          <w:numId w:val="66"/>
        </w:numPr>
        <w:tabs>
          <w:tab w:val="left" w:pos="1234"/>
        </w:tabs>
        <w:ind w:left="1029" w:right="113" w:hanging="360"/>
        <w:jc w:val="both"/>
      </w:pPr>
      <w:r>
        <w:t>The</w:t>
      </w:r>
      <w:r>
        <w:rPr>
          <w:spacing w:val="17"/>
        </w:rPr>
        <w:t xml:space="preserve"> </w:t>
      </w:r>
      <w:r>
        <w:rPr>
          <w:spacing w:val="-2"/>
        </w:rPr>
        <w:t>Supplier</w:t>
      </w:r>
      <w:r>
        <w:rPr>
          <w:spacing w:val="21"/>
        </w:rPr>
        <w:t xml:space="preserve"> </w:t>
      </w:r>
      <w:r>
        <w:rPr>
          <w:spacing w:val="-1"/>
        </w:rPr>
        <w:t>acknowledges</w:t>
      </w:r>
      <w:r>
        <w:rPr>
          <w:spacing w:val="18"/>
        </w:rPr>
        <w:t xml:space="preserve"> </w:t>
      </w:r>
      <w:r>
        <w:rPr>
          <w:spacing w:val="-1"/>
        </w:rPr>
        <w:t>that</w:t>
      </w:r>
      <w:r>
        <w:rPr>
          <w:spacing w:val="21"/>
        </w:rPr>
        <w:t xml:space="preserve"> </w:t>
      </w:r>
      <w:r>
        <w:rPr>
          <w:spacing w:val="-1"/>
        </w:rPr>
        <w:t>any</w:t>
      </w:r>
      <w:r>
        <w:rPr>
          <w:spacing w:val="18"/>
        </w:rPr>
        <w:t xml:space="preserve"> </w:t>
      </w:r>
      <w:r>
        <w:rPr>
          <w:spacing w:val="-2"/>
        </w:rPr>
        <w:t>Service</w:t>
      </w:r>
      <w:r>
        <w:rPr>
          <w:spacing w:val="20"/>
        </w:rPr>
        <w:t xml:space="preserve"> </w:t>
      </w:r>
      <w:r>
        <w:rPr>
          <w:spacing w:val="-2"/>
        </w:rPr>
        <w:t>Level</w:t>
      </w:r>
      <w:r>
        <w:rPr>
          <w:spacing w:val="20"/>
        </w:rPr>
        <w:t xml:space="preserve"> </w:t>
      </w:r>
      <w:r>
        <w:rPr>
          <w:spacing w:val="-1"/>
        </w:rPr>
        <w:t>Failure</w:t>
      </w:r>
      <w:r>
        <w:rPr>
          <w:spacing w:val="20"/>
        </w:rPr>
        <w:t xml:space="preserve"> </w:t>
      </w:r>
      <w:r>
        <w:rPr>
          <w:spacing w:val="-1"/>
        </w:rPr>
        <w:t>may</w:t>
      </w:r>
      <w:r>
        <w:rPr>
          <w:spacing w:val="18"/>
        </w:rPr>
        <w:t xml:space="preserve"> </w:t>
      </w:r>
      <w:r>
        <w:rPr>
          <w:spacing w:val="-2"/>
        </w:rPr>
        <w:t>have</w:t>
      </w:r>
      <w:r>
        <w:rPr>
          <w:spacing w:val="19"/>
        </w:rPr>
        <w:t xml:space="preserve"> </w:t>
      </w:r>
      <w:r>
        <w:t>a</w:t>
      </w:r>
      <w:r>
        <w:rPr>
          <w:spacing w:val="20"/>
        </w:rPr>
        <w:t xml:space="preserve"> </w:t>
      </w:r>
      <w:r>
        <w:rPr>
          <w:spacing w:val="-1"/>
        </w:rPr>
        <w:t>material</w:t>
      </w:r>
      <w:r>
        <w:rPr>
          <w:spacing w:val="50"/>
        </w:rPr>
        <w:t xml:space="preserve"> </w:t>
      </w:r>
      <w:r>
        <w:rPr>
          <w:spacing w:val="-1"/>
        </w:rPr>
        <w:t>adverse</w:t>
      </w:r>
      <w:r>
        <w:rPr>
          <w:spacing w:val="27"/>
        </w:rPr>
        <w:t xml:space="preserve"> </w:t>
      </w:r>
      <w:r>
        <w:rPr>
          <w:spacing w:val="-1"/>
        </w:rPr>
        <w:t>impact</w:t>
      </w:r>
      <w:r>
        <w:rPr>
          <w:spacing w:val="26"/>
        </w:rPr>
        <w:t xml:space="preserve"> </w:t>
      </w:r>
      <w:r>
        <w:rPr>
          <w:spacing w:val="-1"/>
        </w:rPr>
        <w:t>on</w:t>
      </w:r>
      <w:r>
        <w:rPr>
          <w:spacing w:val="24"/>
        </w:rPr>
        <w:t xml:space="preserve"> </w:t>
      </w:r>
      <w:r>
        <w:t>the</w:t>
      </w:r>
      <w:r>
        <w:rPr>
          <w:spacing w:val="25"/>
        </w:rPr>
        <w:t xml:space="preserve"> </w:t>
      </w:r>
      <w:r>
        <w:rPr>
          <w:spacing w:val="-1"/>
        </w:rPr>
        <w:t>business</w:t>
      </w:r>
      <w:r>
        <w:rPr>
          <w:spacing w:val="25"/>
        </w:rPr>
        <w:t xml:space="preserve"> </w:t>
      </w:r>
      <w:r>
        <w:rPr>
          <w:spacing w:val="-1"/>
        </w:rPr>
        <w:t>and</w:t>
      </w:r>
      <w:r>
        <w:rPr>
          <w:spacing w:val="24"/>
        </w:rPr>
        <w:t xml:space="preserve"> </w:t>
      </w:r>
      <w:r>
        <w:rPr>
          <w:spacing w:val="-1"/>
        </w:rPr>
        <w:t>operations</w:t>
      </w:r>
      <w:r>
        <w:rPr>
          <w:spacing w:val="25"/>
        </w:rPr>
        <w:t xml:space="preserve"> </w:t>
      </w:r>
      <w:r>
        <w:rPr>
          <w:spacing w:val="-2"/>
        </w:rPr>
        <w:t>of</w:t>
      </w:r>
      <w:r>
        <w:rPr>
          <w:spacing w:val="28"/>
        </w:rPr>
        <w:t xml:space="preserve"> </w:t>
      </w:r>
      <w:r>
        <w:t>the</w:t>
      </w:r>
      <w:r>
        <w:rPr>
          <w:spacing w:val="24"/>
        </w:rPr>
        <w:t xml:space="preserve"> </w:t>
      </w:r>
      <w:r>
        <w:rPr>
          <w:spacing w:val="-1"/>
        </w:rPr>
        <w:t>Customer</w:t>
      </w:r>
      <w:r>
        <w:rPr>
          <w:spacing w:val="26"/>
        </w:rPr>
        <w:t xml:space="preserve"> </w:t>
      </w:r>
      <w:r>
        <w:rPr>
          <w:spacing w:val="-1"/>
        </w:rPr>
        <w:t>and</w:t>
      </w:r>
      <w:r>
        <w:rPr>
          <w:spacing w:val="24"/>
        </w:rPr>
        <w:t xml:space="preserve"> </w:t>
      </w:r>
      <w:r>
        <w:rPr>
          <w:spacing w:val="-1"/>
        </w:rPr>
        <w:t>that</w:t>
      </w:r>
      <w:r>
        <w:rPr>
          <w:spacing w:val="28"/>
        </w:rPr>
        <w:t xml:space="preserve"> </w:t>
      </w:r>
      <w:r>
        <w:rPr>
          <w:spacing w:val="-1"/>
        </w:rPr>
        <w:t>it</w:t>
      </w:r>
      <w:r>
        <w:rPr>
          <w:spacing w:val="26"/>
        </w:rPr>
        <w:t xml:space="preserve"> </w:t>
      </w:r>
      <w:r>
        <w:rPr>
          <w:spacing w:val="-2"/>
        </w:rPr>
        <w:t>shall</w:t>
      </w:r>
      <w:r>
        <w:rPr>
          <w:spacing w:val="31"/>
        </w:rPr>
        <w:t xml:space="preserve"> </w:t>
      </w:r>
      <w:r>
        <w:rPr>
          <w:spacing w:val="-1"/>
        </w:rPr>
        <w:t>entitle</w:t>
      </w:r>
      <w:r>
        <w:rPr>
          <w:spacing w:val="36"/>
        </w:rPr>
        <w:t xml:space="preserve"> </w:t>
      </w:r>
      <w:r>
        <w:t>the</w:t>
      </w:r>
      <w:r>
        <w:rPr>
          <w:spacing w:val="36"/>
        </w:rPr>
        <w:t xml:space="preserve"> </w:t>
      </w:r>
      <w:r>
        <w:rPr>
          <w:spacing w:val="-1"/>
        </w:rPr>
        <w:t>Customer</w:t>
      </w:r>
      <w:r>
        <w:rPr>
          <w:spacing w:val="38"/>
        </w:rPr>
        <w:t xml:space="preserve"> </w:t>
      </w:r>
      <w:r>
        <w:t>to</w:t>
      </w:r>
      <w:r>
        <w:rPr>
          <w:spacing w:val="36"/>
        </w:rPr>
        <w:t xml:space="preserve"> </w:t>
      </w:r>
      <w:r>
        <w:t>the</w:t>
      </w:r>
      <w:r>
        <w:rPr>
          <w:spacing w:val="36"/>
        </w:rPr>
        <w:t xml:space="preserve"> </w:t>
      </w:r>
      <w:r>
        <w:rPr>
          <w:spacing w:val="-1"/>
        </w:rPr>
        <w:t>rights</w:t>
      </w:r>
      <w:r>
        <w:rPr>
          <w:spacing w:val="37"/>
        </w:rPr>
        <w:t xml:space="preserve"> </w:t>
      </w:r>
      <w:r>
        <w:rPr>
          <w:spacing w:val="-1"/>
        </w:rPr>
        <w:t>set</w:t>
      </w:r>
      <w:r>
        <w:rPr>
          <w:spacing w:val="39"/>
        </w:rPr>
        <w:t xml:space="preserve"> </w:t>
      </w:r>
      <w:r>
        <w:rPr>
          <w:spacing w:val="-1"/>
        </w:rPr>
        <w:t>out</w:t>
      </w:r>
      <w:r>
        <w:rPr>
          <w:spacing w:val="38"/>
        </w:rPr>
        <w:t xml:space="preserve"> </w:t>
      </w:r>
      <w:r>
        <w:rPr>
          <w:spacing w:val="-1"/>
        </w:rPr>
        <w:t>in</w:t>
      </w:r>
      <w:r>
        <w:rPr>
          <w:spacing w:val="36"/>
        </w:rPr>
        <w:t xml:space="preserve"> </w:t>
      </w:r>
      <w:r>
        <w:t>the</w:t>
      </w:r>
      <w:r>
        <w:rPr>
          <w:spacing w:val="34"/>
        </w:rPr>
        <w:t xml:space="preserve"> </w:t>
      </w:r>
      <w:r>
        <w:rPr>
          <w:spacing w:val="-2"/>
        </w:rPr>
        <w:t>provisions</w:t>
      </w:r>
      <w:r>
        <w:rPr>
          <w:spacing w:val="39"/>
        </w:rPr>
        <w:t xml:space="preserve"> </w:t>
      </w:r>
      <w:r>
        <w:rPr>
          <w:spacing w:val="-1"/>
        </w:rPr>
        <w:t>of</w:t>
      </w:r>
      <w:r>
        <w:rPr>
          <w:spacing w:val="41"/>
        </w:rPr>
        <w:t xml:space="preserve"> </w:t>
      </w:r>
      <w:r>
        <w:rPr>
          <w:spacing w:val="-1"/>
        </w:rPr>
        <w:t>Part</w:t>
      </w:r>
      <w:r>
        <w:rPr>
          <w:spacing w:val="39"/>
        </w:rPr>
        <w:t xml:space="preserve"> </w:t>
      </w:r>
      <w:r>
        <w:t>A</w:t>
      </w:r>
      <w:r>
        <w:rPr>
          <w:spacing w:val="36"/>
        </w:rPr>
        <w:t xml:space="preserve"> </w:t>
      </w:r>
      <w:r>
        <w:rPr>
          <w:spacing w:val="-2"/>
        </w:rPr>
        <w:t>of</w:t>
      </w:r>
      <w:r>
        <w:rPr>
          <w:spacing w:val="38"/>
        </w:rPr>
        <w:t xml:space="preserve"> </w:t>
      </w:r>
      <w:r>
        <w:rPr>
          <w:spacing w:val="-2"/>
        </w:rPr>
        <w:t>Call</w:t>
      </w:r>
      <w:r>
        <w:rPr>
          <w:spacing w:val="38"/>
        </w:rPr>
        <w:t xml:space="preserve"> </w:t>
      </w:r>
      <w:r>
        <w:rPr>
          <w:spacing w:val="-1"/>
        </w:rPr>
        <w:t>Off</w:t>
      </w:r>
      <w:r>
        <w:rPr>
          <w:spacing w:val="61"/>
        </w:rPr>
        <w:t xml:space="preserve"> </w:t>
      </w:r>
      <w:r>
        <w:rPr>
          <w:spacing w:val="-1"/>
        </w:rPr>
        <w:t>Schedule</w:t>
      </w:r>
      <w:r>
        <w:t xml:space="preserve"> 6 </w:t>
      </w:r>
      <w:r>
        <w:rPr>
          <w:spacing w:val="-1"/>
        </w:rPr>
        <w:t>(Service</w:t>
      </w:r>
      <w:r>
        <w:rPr>
          <w:spacing w:val="1"/>
        </w:rPr>
        <w:t xml:space="preserve"> </w:t>
      </w:r>
      <w:r>
        <w:rPr>
          <w:spacing w:val="-2"/>
        </w:rPr>
        <w:t>Levels,</w:t>
      </w:r>
      <w:r>
        <w:rPr>
          <w:spacing w:val="2"/>
        </w:rPr>
        <w:t xml:space="preserve"> </w:t>
      </w:r>
      <w:r>
        <w:rPr>
          <w:spacing w:val="-2"/>
        </w:rPr>
        <w:t>Service</w:t>
      </w:r>
      <w:r>
        <w:rPr>
          <w:spacing w:val="1"/>
        </w:rPr>
        <w:t xml:space="preserve"> </w:t>
      </w:r>
      <w:r>
        <w:rPr>
          <w:spacing w:val="-1"/>
        </w:rPr>
        <w:t>Credits</w:t>
      </w:r>
      <w:r>
        <w:rPr>
          <w:spacing w:val="-2"/>
        </w:rPr>
        <w:t xml:space="preserve"> </w:t>
      </w:r>
      <w:r>
        <w:rPr>
          <w:spacing w:val="-1"/>
        </w:rPr>
        <w:t>and</w:t>
      </w:r>
      <w:r>
        <w:rPr>
          <w:spacing w:val="-2"/>
        </w:rPr>
        <w:t xml:space="preserve"> </w:t>
      </w:r>
      <w:r>
        <w:rPr>
          <w:spacing w:val="-1"/>
        </w:rPr>
        <w:t>Performance</w:t>
      </w:r>
      <w:r>
        <w:rPr>
          <w:spacing w:val="-2"/>
        </w:rPr>
        <w:t xml:space="preserve"> </w:t>
      </w:r>
      <w:r>
        <w:rPr>
          <w:spacing w:val="-1"/>
        </w:rPr>
        <w:t>Monitoring)</w:t>
      </w:r>
      <w:r>
        <w:rPr>
          <w:spacing w:val="2"/>
        </w:rPr>
        <w:t xml:space="preserve"> </w:t>
      </w:r>
      <w:r>
        <w:rPr>
          <w:spacing w:val="-2"/>
        </w:rPr>
        <w:t>including</w:t>
      </w:r>
      <w:r>
        <w:rPr>
          <w:spacing w:val="56"/>
        </w:rPr>
        <w:t xml:space="preserve"> </w:t>
      </w:r>
      <w:r>
        <w:t>the</w:t>
      </w:r>
      <w:r>
        <w:rPr>
          <w:spacing w:val="-2"/>
        </w:rPr>
        <w:t xml:space="preserve"> </w:t>
      </w:r>
      <w:r>
        <w:rPr>
          <w:spacing w:val="-1"/>
        </w:rPr>
        <w:t>right</w:t>
      </w:r>
      <w:r>
        <w:t xml:space="preserve"> to </w:t>
      </w:r>
      <w:r>
        <w:rPr>
          <w:spacing w:val="-1"/>
        </w:rPr>
        <w:t>any</w:t>
      </w:r>
      <w:r>
        <w:rPr>
          <w:spacing w:val="-2"/>
        </w:rPr>
        <w:t xml:space="preserve"> Service </w:t>
      </w:r>
      <w:r>
        <w:rPr>
          <w:spacing w:val="-1"/>
        </w:rPr>
        <w:t>Credits.</w:t>
      </w:r>
    </w:p>
    <w:p w:rsidR="008918FA" w:rsidRDefault="008918FA" w:rsidP="008918FA">
      <w:pPr>
        <w:pStyle w:val="BodyText"/>
        <w:numPr>
          <w:ilvl w:val="1"/>
          <w:numId w:val="66"/>
        </w:numPr>
        <w:tabs>
          <w:tab w:val="left" w:pos="1234"/>
        </w:tabs>
        <w:ind w:left="1029" w:right="110" w:hanging="360"/>
        <w:jc w:val="both"/>
      </w:pPr>
      <w:r>
        <w:t>The</w:t>
      </w:r>
      <w:r>
        <w:rPr>
          <w:spacing w:val="13"/>
        </w:rPr>
        <w:t xml:space="preserve"> </w:t>
      </w:r>
      <w:r>
        <w:rPr>
          <w:spacing w:val="-2"/>
        </w:rPr>
        <w:t>Supplier</w:t>
      </w:r>
      <w:r>
        <w:rPr>
          <w:spacing w:val="15"/>
        </w:rPr>
        <w:t xml:space="preserve"> </w:t>
      </w:r>
      <w:r>
        <w:rPr>
          <w:spacing w:val="-1"/>
        </w:rPr>
        <w:t>acknowledges</w:t>
      </w:r>
      <w:r>
        <w:rPr>
          <w:spacing w:val="12"/>
        </w:rPr>
        <w:t xml:space="preserve"> </w:t>
      </w:r>
      <w:r>
        <w:rPr>
          <w:spacing w:val="-1"/>
        </w:rPr>
        <w:t>and</w:t>
      </w:r>
      <w:r>
        <w:rPr>
          <w:spacing w:val="14"/>
        </w:rPr>
        <w:t xml:space="preserve"> </w:t>
      </w:r>
      <w:r>
        <w:rPr>
          <w:spacing w:val="-1"/>
        </w:rPr>
        <w:t>agrees</w:t>
      </w:r>
      <w:r>
        <w:rPr>
          <w:spacing w:val="12"/>
        </w:rPr>
        <w:t xml:space="preserve"> </w:t>
      </w:r>
      <w:r>
        <w:rPr>
          <w:spacing w:val="-1"/>
        </w:rPr>
        <w:t>that</w:t>
      </w:r>
      <w:r>
        <w:rPr>
          <w:spacing w:val="13"/>
        </w:rPr>
        <w:t xml:space="preserve"> </w:t>
      </w:r>
      <w:r>
        <w:rPr>
          <w:spacing w:val="-1"/>
        </w:rPr>
        <w:t>any</w:t>
      </w:r>
      <w:r>
        <w:rPr>
          <w:spacing w:val="12"/>
        </w:rPr>
        <w:t xml:space="preserve"> </w:t>
      </w:r>
      <w:r>
        <w:rPr>
          <w:spacing w:val="-2"/>
        </w:rPr>
        <w:t>Service</w:t>
      </w:r>
      <w:r>
        <w:rPr>
          <w:spacing w:val="14"/>
        </w:rPr>
        <w:t xml:space="preserve"> </w:t>
      </w:r>
      <w:r>
        <w:rPr>
          <w:spacing w:val="-1"/>
        </w:rPr>
        <w:t>Credit</w:t>
      </w:r>
      <w:r>
        <w:rPr>
          <w:spacing w:val="15"/>
        </w:rPr>
        <w:t xml:space="preserve"> </w:t>
      </w:r>
      <w:r>
        <w:rPr>
          <w:spacing w:val="-1"/>
        </w:rPr>
        <w:t>is</w:t>
      </w:r>
      <w:r>
        <w:rPr>
          <w:spacing w:val="14"/>
        </w:rPr>
        <w:t xml:space="preserve"> </w:t>
      </w:r>
      <w:r>
        <w:t>a</w:t>
      </w:r>
      <w:r>
        <w:rPr>
          <w:spacing w:val="13"/>
        </w:rPr>
        <w:t xml:space="preserve"> </w:t>
      </w:r>
      <w:r>
        <w:rPr>
          <w:spacing w:val="-1"/>
        </w:rPr>
        <w:t>price</w:t>
      </w:r>
      <w:r>
        <w:rPr>
          <w:spacing w:val="44"/>
        </w:rPr>
        <w:t xml:space="preserve"> </w:t>
      </w:r>
      <w:r>
        <w:rPr>
          <w:spacing w:val="-1"/>
        </w:rPr>
        <w:t>adjustment</w:t>
      </w:r>
      <w:r>
        <w:rPr>
          <w:spacing w:val="14"/>
        </w:rPr>
        <w:t xml:space="preserve"> </w:t>
      </w:r>
      <w:r>
        <w:rPr>
          <w:spacing w:val="-1"/>
        </w:rPr>
        <w:t>and</w:t>
      </w:r>
      <w:r>
        <w:rPr>
          <w:spacing w:val="12"/>
        </w:rPr>
        <w:t xml:space="preserve"> </w:t>
      </w:r>
      <w:r>
        <w:rPr>
          <w:spacing w:val="-2"/>
        </w:rPr>
        <w:t>not</w:t>
      </w:r>
      <w:r>
        <w:rPr>
          <w:spacing w:val="14"/>
        </w:rPr>
        <w:t xml:space="preserve"> </w:t>
      </w:r>
      <w:r>
        <w:rPr>
          <w:spacing w:val="-1"/>
        </w:rPr>
        <w:t>an</w:t>
      </w:r>
      <w:r>
        <w:rPr>
          <w:spacing w:val="10"/>
        </w:rPr>
        <w:t xml:space="preserve"> </w:t>
      </w:r>
      <w:r>
        <w:rPr>
          <w:spacing w:val="-1"/>
        </w:rPr>
        <w:t>estimate</w:t>
      </w:r>
      <w:r>
        <w:rPr>
          <w:spacing w:val="12"/>
        </w:rPr>
        <w:t xml:space="preserve"> </w:t>
      </w:r>
      <w:r>
        <w:rPr>
          <w:spacing w:val="-2"/>
        </w:rPr>
        <w:t>of</w:t>
      </w:r>
      <w:r>
        <w:rPr>
          <w:spacing w:val="14"/>
        </w:rPr>
        <w:t xml:space="preserve"> </w:t>
      </w:r>
      <w:r>
        <w:t>the</w:t>
      </w:r>
      <w:r>
        <w:rPr>
          <w:spacing w:val="10"/>
        </w:rPr>
        <w:t xml:space="preserve"> </w:t>
      </w:r>
      <w:r>
        <w:rPr>
          <w:spacing w:val="-1"/>
        </w:rPr>
        <w:t>Loss</w:t>
      </w:r>
      <w:r>
        <w:rPr>
          <w:spacing w:val="12"/>
        </w:rPr>
        <w:t xml:space="preserve"> </w:t>
      </w:r>
      <w:r>
        <w:rPr>
          <w:spacing w:val="-1"/>
        </w:rPr>
        <w:t>that</w:t>
      </w:r>
      <w:r>
        <w:rPr>
          <w:spacing w:val="11"/>
        </w:rPr>
        <w:t xml:space="preserve"> </w:t>
      </w:r>
      <w:r>
        <w:rPr>
          <w:spacing w:val="-1"/>
        </w:rPr>
        <w:t>may</w:t>
      </w:r>
      <w:r>
        <w:rPr>
          <w:spacing w:val="10"/>
        </w:rPr>
        <w:t xml:space="preserve"> </w:t>
      </w:r>
      <w:r>
        <w:rPr>
          <w:spacing w:val="-1"/>
        </w:rPr>
        <w:t>be</w:t>
      </w:r>
      <w:r>
        <w:rPr>
          <w:spacing w:val="12"/>
        </w:rPr>
        <w:t xml:space="preserve"> </w:t>
      </w:r>
      <w:r>
        <w:rPr>
          <w:spacing w:val="-1"/>
        </w:rPr>
        <w:t>suffered</w:t>
      </w:r>
      <w:r>
        <w:rPr>
          <w:spacing w:val="10"/>
        </w:rPr>
        <w:t xml:space="preserve"> </w:t>
      </w:r>
      <w:r>
        <w:rPr>
          <w:spacing w:val="-1"/>
        </w:rPr>
        <w:t>by</w:t>
      </w:r>
      <w:r>
        <w:rPr>
          <w:spacing w:val="10"/>
        </w:rPr>
        <w:t xml:space="preserve"> </w:t>
      </w:r>
      <w:r>
        <w:t>the</w:t>
      </w:r>
      <w:r>
        <w:rPr>
          <w:spacing w:val="10"/>
        </w:rPr>
        <w:t xml:space="preserve"> </w:t>
      </w:r>
      <w:r>
        <w:rPr>
          <w:spacing w:val="-1"/>
        </w:rPr>
        <w:t>Customer</w:t>
      </w:r>
      <w:r>
        <w:rPr>
          <w:spacing w:val="39"/>
        </w:rPr>
        <w:t xml:space="preserve"> </w:t>
      </w:r>
      <w:r>
        <w:rPr>
          <w:spacing w:val="-1"/>
        </w:rPr>
        <w:t>as</w:t>
      </w:r>
      <w:r>
        <w:rPr>
          <w:spacing w:val="14"/>
        </w:rPr>
        <w:t xml:space="preserve"> </w:t>
      </w:r>
      <w:r>
        <w:t>a</w:t>
      </w:r>
      <w:r>
        <w:rPr>
          <w:spacing w:val="11"/>
        </w:rPr>
        <w:t xml:space="preserve"> </w:t>
      </w:r>
      <w:r>
        <w:rPr>
          <w:spacing w:val="-1"/>
        </w:rPr>
        <w:t>result</w:t>
      </w:r>
      <w:r>
        <w:rPr>
          <w:spacing w:val="15"/>
        </w:rPr>
        <w:t xml:space="preserve"> </w:t>
      </w:r>
      <w:r>
        <w:rPr>
          <w:spacing w:val="-2"/>
        </w:rPr>
        <w:t>of</w:t>
      </w:r>
      <w:r>
        <w:rPr>
          <w:spacing w:val="13"/>
        </w:rPr>
        <w:t xml:space="preserve"> </w:t>
      </w:r>
      <w:r>
        <w:t>the</w:t>
      </w:r>
      <w:r>
        <w:rPr>
          <w:spacing w:val="13"/>
        </w:rPr>
        <w:t xml:space="preserve"> </w:t>
      </w:r>
      <w:r>
        <w:rPr>
          <w:spacing w:val="-2"/>
        </w:rPr>
        <w:t>Supplier’s</w:t>
      </w:r>
      <w:r>
        <w:rPr>
          <w:spacing w:val="12"/>
        </w:rPr>
        <w:t xml:space="preserve"> </w:t>
      </w:r>
      <w:r>
        <w:rPr>
          <w:spacing w:val="-1"/>
        </w:rPr>
        <w:t>failure</w:t>
      </w:r>
      <w:r>
        <w:rPr>
          <w:spacing w:val="14"/>
        </w:rPr>
        <w:t xml:space="preserve"> </w:t>
      </w:r>
      <w:r>
        <w:t>to</w:t>
      </w:r>
      <w:r>
        <w:rPr>
          <w:spacing w:val="11"/>
        </w:rPr>
        <w:t xml:space="preserve"> </w:t>
      </w:r>
      <w:r>
        <w:rPr>
          <w:spacing w:val="-1"/>
        </w:rPr>
        <w:t>meet</w:t>
      </w:r>
      <w:r>
        <w:rPr>
          <w:spacing w:val="13"/>
        </w:rPr>
        <w:t xml:space="preserve"> </w:t>
      </w:r>
      <w:r>
        <w:rPr>
          <w:spacing w:val="-1"/>
        </w:rPr>
        <w:t>any</w:t>
      </w:r>
      <w:r>
        <w:rPr>
          <w:spacing w:val="12"/>
        </w:rPr>
        <w:t xml:space="preserve"> </w:t>
      </w:r>
      <w:r>
        <w:rPr>
          <w:spacing w:val="-2"/>
        </w:rPr>
        <w:t>Service</w:t>
      </w:r>
      <w:r>
        <w:rPr>
          <w:spacing w:val="14"/>
        </w:rPr>
        <w:t xml:space="preserve"> </w:t>
      </w:r>
      <w:r>
        <w:rPr>
          <w:spacing w:val="-1"/>
        </w:rPr>
        <w:t>Level</w:t>
      </w:r>
      <w:r>
        <w:rPr>
          <w:spacing w:val="15"/>
        </w:rPr>
        <w:t xml:space="preserve"> </w:t>
      </w:r>
      <w:r>
        <w:rPr>
          <w:spacing w:val="-1"/>
        </w:rPr>
        <w:t>Performance</w:t>
      </w:r>
      <w:r>
        <w:rPr>
          <w:spacing w:val="55"/>
        </w:rPr>
        <w:t xml:space="preserve"> </w:t>
      </w:r>
      <w:r>
        <w:rPr>
          <w:spacing w:val="-1"/>
        </w:rPr>
        <w:t>Measure.</w:t>
      </w:r>
    </w:p>
    <w:p w:rsidR="008918FA" w:rsidRDefault="008918FA" w:rsidP="008918FA">
      <w:pPr>
        <w:pStyle w:val="BodyText"/>
        <w:numPr>
          <w:ilvl w:val="1"/>
          <w:numId w:val="66"/>
        </w:numPr>
        <w:tabs>
          <w:tab w:val="left" w:pos="1234"/>
        </w:tabs>
        <w:ind w:left="1029" w:right="114" w:hanging="360"/>
        <w:jc w:val="both"/>
      </w:pPr>
      <w:bookmarkStart w:id="104" w:name="_bookmark95"/>
      <w:bookmarkEnd w:id="104"/>
      <w:r>
        <w:t>A</w:t>
      </w:r>
      <w:r>
        <w:rPr>
          <w:spacing w:val="2"/>
        </w:rPr>
        <w:t xml:space="preserve"> </w:t>
      </w:r>
      <w:r>
        <w:rPr>
          <w:spacing w:val="-2"/>
        </w:rPr>
        <w:t>Service</w:t>
      </w:r>
      <w:r>
        <w:rPr>
          <w:spacing w:val="3"/>
        </w:rPr>
        <w:t xml:space="preserve"> </w:t>
      </w:r>
      <w:r>
        <w:rPr>
          <w:spacing w:val="-1"/>
        </w:rPr>
        <w:t>Credit</w:t>
      </w:r>
      <w:r>
        <w:rPr>
          <w:spacing w:val="4"/>
        </w:rPr>
        <w:t xml:space="preserve"> </w:t>
      </w:r>
      <w:r>
        <w:rPr>
          <w:spacing w:val="-1"/>
        </w:rPr>
        <w:t>shall</w:t>
      </w:r>
      <w:r>
        <w:rPr>
          <w:spacing w:val="2"/>
        </w:rPr>
        <w:t xml:space="preserve"> </w:t>
      </w:r>
      <w:r>
        <w:rPr>
          <w:spacing w:val="-1"/>
        </w:rPr>
        <w:t>be</w:t>
      </w:r>
      <w:r>
        <w:rPr>
          <w:spacing w:val="5"/>
        </w:rPr>
        <w:t xml:space="preserve"> </w:t>
      </w:r>
      <w:r>
        <w:t>the</w:t>
      </w:r>
      <w:r>
        <w:rPr>
          <w:spacing w:val="3"/>
        </w:rPr>
        <w:t xml:space="preserve"> </w:t>
      </w:r>
      <w:r>
        <w:rPr>
          <w:spacing w:val="-1"/>
        </w:rPr>
        <w:t>Customer’s</w:t>
      </w:r>
      <w:r>
        <w:rPr>
          <w:spacing w:val="3"/>
        </w:rPr>
        <w:t xml:space="preserve"> </w:t>
      </w:r>
      <w:r>
        <w:rPr>
          <w:spacing w:val="-2"/>
        </w:rPr>
        <w:t>exclusive</w:t>
      </w:r>
      <w:r>
        <w:rPr>
          <w:spacing w:val="1"/>
        </w:rPr>
        <w:t xml:space="preserve"> </w:t>
      </w:r>
      <w:r>
        <w:rPr>
          <w:spacing w:val="-1"/>
        </w:rPr>
        <w:t>financial</w:t>
      </w:r>
      <w:r>
        <w:rPr>
          <w:spacing w:val="2"/>
        </w:rPr>
        <w:t xml:space="preserve"> </w:t>
      </w:r>
      <w:r>
        <w:rPr>
          <w:spacing w:val="-1"/>
        </w:rPr>
        <w:t>remedy</w:t>
      </w:r>
      <w:r>
        <w:rPr>
          <w:spacing w:val="-2"/>
        </w:rPr>
        <w:t xml:space="preserve"> </w:t>
      </w:r>
      <w:r>
        <w:t>for</w:t>
      </w:r>
      <w:r>
        <w:rPr>
          <w:spacing w:val="4"/>
        </w:rPr>
        <w:t xml:space="preserve"> </w:t>
      </w:r>
      <w:r>
        <w:t>a</w:t>
      </w:r>
      <w:r>
        <w:rPr>
          <w:spacing w:val="3"/>
        </w:rPr>
        <w:t xml:space="preserve"> </w:t>
      </w:r>
      <w:r>
        <w:rPr>
          <w:spacing w:val="-2"/>
        </w:rPr>
        <w:t>Service</w:t>
      </w:r>
      <w:r>
        <w:rPr>
          <w:spacing w:val="62"/>
        </w:rPr>
        <w:t xml:space="preserve"> </w:t>
      </w:r>
      <w:r>
        <w:rPr>
          <w:spacing w:val="-2"/>
        </w:rPr>
        <w:t>Level</w:t>
      </w:r>
      <w:r>
        <w:t xml:space="preserve"> </w:t>
      </w:r>
      <w:r>
        <w:rPr>
          <w:spacing w:val="-1"/>
        </w:rPr>
        <w:t>Failure</w:t>
      </w:r>
      <w:r>
        <w:rPr>
          <w:spacing w:val="1"/>
        </w:rPr>
        <w:t xml:space="preserve"> </w:t>
      </w:r>
      <w:r>
        <w:rPr>
          <w:spacing w:val="-1"/>
        </w:rPr>
        <w:t>except</w:t>
      </w:r>
      <w:r>
        <w:rPr>
          <w:spacing w:val="2"/>
        </w:rPr>
        <w:t xml:space="preserve"> </w:t>
      </w:r>
      <w:r>
        <w:rPr>
          <w:spacing w:val="-1"/>
        </w:rPr>
        <w:t>where:</w:t>
      </w:r>
    </w:p>
    <w:p w:rsidR="008918FA" w:rsidRDefault="008918FA" w:rsidP="008918FA">
      <w:pPr>
        <w:pStyle w:val="BodyText"/>
        <w:numPr>
          <w:ilvl w:val="2"/>
          <w:numId w:val="66"/>
        </w:numPr>
        <w:tabs>
          <w:tab w:val="left" w:pos="2228"/>
        </w:tabs>
        <w:ind w:left="2227" w:right="118"/>
        <w:jc w:val="both"/>
      </w:pPr>
      <w:bookmarkStart w:id="105" w:name="_bookmark96"/>
      <w:bookmarkEnd w:id="105"/>
      <w:r>
        <w:t>the</w:t>
      </w:r>
      <w:r>
        <w:rPr>
          <w:spacing w:val="24"/>
        </w:rPr>
        <w:t xml:space="preserve"> </w:t>
      </w:r>
      <w:r>
        <w:rPr>
          <w:spacing w:val="-2"/>
        </w:rPr>
        <w:t>Supplier</w:t>
      </w:r>
      <w:r>
        <w:rPr>
          <w:spacing w:val="26"/>
        </w:rPr>
        <w:t xml:space="preserve"> </w:t>
      </w:r>
      <w:r>
        <w:rPr>
          <w:spacing w:val="-1"/>
        </w:rPr>
        <w:t>has</w:t>
      </w:r>
      <w:r>
        <w:rPr>
          <w:spacing w:val="25"/>
        </w:rPr>
        <w:t xml:space="preserve"> </w:t>
      </w:r>
      <w:r>
        <w:rPr>
          <w:spacing w:val="-2"/>
        </w:rPr>
        <w:t>over</w:t>
      </w:r>
      <w:r>
        <w:rPr>
          <w:spacing w:val="26"/>
        </w:rPr>
        <w:t xml:space="preserve"> </w:t>
      </w:r>
      <w:r>
        <w:t>the</w:t>
      </w:r>
      <w:r>
        <w:rPr>
          <w:spacing w:val="24"/>
        </w:rPr>
        <w:t xml:space="preserve"> </w:t>
      </w:r>
      <w:r>
        <w:rPr>
          <w:spacing w:val="-2"/>
        </w:rPr>
        <w:t>previous</w:t>
      </w:r>
      <w:r>
        <w:rPr>
          <w:spacing w:val="25"/>
        </w:rPr>
        <w:t xml:space="preserve"> </w:t>
      </w:r>
      <w:r>
        <w:rPr>
          <w:spacing w:val="-1"/>
        </w:rPr>
        <w:t>(twelve)</w:t>
      </w:r>
      <w:r>
        <w:rPr>
          <w:spacing w:val="26"/>
        </w:rPr>
        <w:t xml:space="preserve"> </w:t>
      </w:r>
      <w:r>
        <w:rPr>
          <w:spacing w:val="-1"/>
        </w:rPr>
        <w:t>12</w:t>
      </w:r>
      <w:r>
        <w:rPr>
          <w:spacing w:val="27"/>
        </w:rPr>
        <w:t xml:space="preserve"> </w:t>
      </w:r>
      <w:r>
        <w:rPr>
          <w:spacing w:val="-1"/>
        </w:rPr>
        <w:t>Month</w:t>
      </w:r>
      <w:r>
        <w:rPr>
          <w:spacing w:val="24"/>
        </w:rPr>
        <w:t xml:space="preserve"> </w:t>
      </w:r>
      <w:r>
        <w:rPr>
          <w:spacing w:val="-1"/>
        </w:rPr>
        <w:t>period</w:t>
      </w:r>
      <w:r>
        <w:rPr>
          <w:spacing w:val="24"/>
        </w:rPr>
        <w:t xml:space="preserve"> </w:t>
      </w:r>
      <w:r>
        <w:rPr>
          <w:spacing w:val="-1"/>
        </w:rPr>
        <w:t>accrued</w:t>
      </w:r>
      <w:r>
        <w:rPr>
          <w:spacing w:val="46"/>
        </w:rPr>
        <w:t xml:space="preserve"> </w:t>
      </w:r>
      <w:r>
        <w:rPr>
          <w:spacing w:val="-2"/>
        </w:rPr>
        <w:t>Service</w:t>
      </w:r>
      <w:r>
        <w:rPr>
          <w:spacing w:val="1"/>
        </w:rPr>
        <w:t xml:space="preserve"> </w:t>
      </w:r>
      <w:r>
        <w:rPr>
          <w:spacing w:val="-1"/>
        </w:rPr>
        <w:t>Credits</w:t>
      </w:r>
      <w:r>
        <w:rPr>
          <w:spacing w:val="1"/>
        </w:rPr>
        <w:t xml:space="preserve"> </w:t>
      </w:r>
      <w:r>
        <w:rPr>
          <w:spacing w:val="-1"/>
        </w:rPr>
        <w:t>in</w:t>
      </w:r>
      <w:r>
        <w:t xml:space="preserve"> </w:t>
      </w:r>
      <w:r>
        <w:rPr>
          <w:spacing w:val="-2"/>
        </w:rPr>
        <w:t>excess</w:t>
      </w:r>
      <w:r>
        <w:rPr>
          <w:spacing w:val="1"/>
        </w:rPr>
        <w:t xml:space="preserve"> </w:t>
      </w:r>
      <w:r>
        <w:rPr>
          <w:spacing w:val="-2"/>
        </w:rPr>
        <w:t>of</w:t>
      </w:r>
      <w:r>
        <w:rPr>
          <w:spacing w:val="2"/>
        </w:rPr>
        <w:t xml:space="preserve"> </w:t>
      </w:r>
      <w:r>
        <w:t>the</w:t>
      </w:r>
      <w:r>
        <w:rPr>
          <w:spacing w:val="-2"/>
        </w:rPr>
        <w:t xml:space="preserve"> Service</w:t>
      </w:r>
      <w:r>
        <w:rPr>
          <w:spacing w:val="1"/>
        </w:rPr>
        <w:t xml:space="preserve"> </w:t>
      </w:r>
      <w:r>
        <w:rPr>
          <w:spacing w:val="-1"/>
        </w:rPr>
        <w:t>Credit</w:t>
      </w:r>
      <w:r>
        <w:t xml:space="preserve"> </w:t>
      </w:r>
      <w:r>
        <w:rPr>
          <w:spacing w:val="-2"/>
        </w:rPr>
        <w:t>Cap;</w:t>
      </w:r>
    </w:p>
    <w:p w:rsidR="008918FA" w:rsidRDefault="008918FA" w:rsidP="008918FA">
      <w:pPr>
        <w:pStyle w:val="BodyText"/>
        <w:numPr>
          <w:ilvl w:val="2"/>
          <w:numId w:val="66"/>
        </w:numPr>
        <w:tabs>
          <w:tab w:val="left" w:pos="2228"/>
        </w:tabs>
        <w:spacing w:before="121"/>
        <w:ind w:left="2227"/>
      </w:pPr>
      <w:r>
        <w:t xml:space="preserve">the </w:t>
      </w:r>
      <w:r>
        <w:rPr>
          <w:spacing w:val="-2"/>
        </w:rPr>
        <w:t>Service</w:t>
      </w:r>
      <w:r>
        <w:rPr>
          <w:spacing w:val="1"/>
        </w:rPr>
        <w:t xml:space="preserve"> </w:t>
      </w:r>
      <w:r>
        <w:rPr>
          <w:spacing w:val="-2"/>
        </w:rPr>
        <w:t>Level</w:t>
      </w:r>
      <w:r>
        <w:t xml:space="preserve"> </w:t>
      </w:r>
      <w:r>
        <w:rPr>
          <w:spacing w:val="-2"/>
        </w:rPr>
        <w:t>Failure:</w:t>
      </w:r>
    </w:p>
    <w:p w:rsidR="008918FA" w:rsidRDefault="008918FA" w:rsidP="008918FA">
      <w:pPr>
        <w:pStyle w:val="BodyText"/>
        <w:numPr>
          <w:ilvl w:val="3"/>
          <w:numId w:val="66"/>
        </w:numPr>
        <w:tabs>
          <w:tab w:val="left" w:pos="2936"/>
        </w:tabs>
      </w:pPr>
      <w:r>
        <w:rPr>
          <w:spacing w:val="-1"/>
        </w:rPr>
        <w:t>exceeds</w:t>
      </w:r>
      <w:r>
        <w:rPr>
          <w:spacing w:val="1"/>
        </w:rPr>
        <w:t xml:space="preserve"> </w:t>
      </w:r>
      <w:r>
        <w:t>the</w:t>
      </w:r>
      <w:r>
        <w:rPr>
          <w:spacing w:val="-2"/>
        </w:rPr>
        <w:t xml:space="preserve"> </w:t>
      </w:r>
      <w:r>
        <w:rPr>
          <w:spacing w:val="-1"/>
        </w:rPr>
        <w:t>relevant</w:t>
      </w:r>
      <w:r>
        <w:rPr>
          <w:spacing w:val="2"/>
        </w:rPr>
        <w:t xml:space="preserve"> </w:t>
      </w:r>
      <w:r>
        <w:rPr>
          <w:spacing w:val="-2"/>
        </w:rPr>
        <w:t>Service</w:t>
      </w:r>
      <w:r>
        <w:rPr>
          <w:spacing w:val="3"/>
        </w:rPr>
        <w:t xml:space="preserve"> </w:t>
      </w:r>
      <w:r>
        <w:rPr>
          <w:spacing w:val="-1"/>
        </w:rPr>
        <w:t>Level</w:t>
      </w:r>
      <w:r>
        <w:t xml:space="preserve"> </w:t>
      </w:r>
      <w:r>
        <w:rPr>
          <w:spacing w:val="-1"/>
        </w:rPr>
        <w:t>Threshold;</w:t>
      </w:r>
    </w:p>
    <w:p w:rsidR="008918FA" w:rsidRDefault="008918FA" w:rsidP="008918FA">
      <w:pPr>
        <w:pStyle w:val="BodyText"/>
        <w:numPr>
          <w:ilvl w:val="3"/>
          <w:numId w:val="66"/>
        </w:numPr>
        <w:tabs>
          <w:tab w:val="left" w:pos="2936"/>
        </w:tabs>
        <w:spacing w:before="121"/>
        <w:ind w:right="118"/>
      </w:pPr>
      <w:r>
        <w:rPr>
          <w:spacing w:val="-1"/>
        </w:rPr>
        <w:t>has</w:t>
      </w:r>
      <w:r>
        <w:t xml:space="preserve"> </w:t>
      </w:r>
      <w:r>
        <w:rPr>
          <w:spacing w:val="2"/>
        </w:rPr>
        <w:t xml:space="preserve"> </w:t>
      </w:r>
      <w:r>
        <w:rPr>
          <w:spacing w:val="-1"/>
        </w:rPr>
        <w:t>arisen</w:t>
      </w:r>
      <w:r>
        <w:t xml:space="preserve"> </w:t>
      </w:r>
      <w:r>
        <w:rPr>
          <w:spacing w:val="2"/>
        </w:rPr>
        <w:t xml:space="preserve"> </w:t>
      </w:r>
      <w:r>
        <w:rPr>
          <w:spacing w:val="-2"/>
        </w:rPr>
        <w:t>due</w:t>
      </w:r>
      <w:r>
        <w:rPr>
          <w:spacing w:val="60"/>
        </w:rPr>
        <w:t xml:space="preserve"> </w:t>
      </w:r>
      <w:r>
        <w:t xml:space="preserve">to </w:t>
      </w:r>
      <w:r>
        <w:rPr>
          <w:spacing w:val="2"/>
        </w:rPr>
        <w:t xml:space="preserve"> </w:t>
      </w:r>
      <w:r>
        <w:t>a</w:t>
      </w:r>
      <w:r>
        <w:rPr>
          <w:spacing w:val="60"/>
        </w:rPr>
        <w:t xml:space="preserve"> </w:t>
      </w:r>
      <w:r>
        <w:rPr>
          <w:spacing w:val="-1"/>
        </w:rPr>
        <w:t>Prohibited</w:t>
      </w:r>
      <w:r>
        <w:t xml:space="preserve"> </w:t>
      </w:r>
      <w:r>
        <w:rPr>
          <w:spacing w:val="2"/>
        </w:rPr>
        <w:t xml:space="preserve"> </w:t>
      </w:r>
      <w:r>
        <w:rPr>
          <w:spacing w:val="-1"/>
        </w:rPr>
        <w:t>Act</w:t>
      </w:r>
      <w:r>
        <w:t xml:space="preserve"> </w:t>
      </w:r>
      <w:r>
        <w:rPr>
          <w:spacing w:val="3"/>
        </w:rPr>
        <w:t xml:space="preserve"> </w:t>
      </w:r>
      <w:r>
        <w:rPr>
          <w:spacing w:val="-1"/>
        </w:rPr>
        <w:t>or</w:t>
      </w:r>
      <w:r>
        <w:t xml:space="preserve">  </w:t>
      </w:r>
      <w:r>
        <w:rPr>
          <w:spacing w:val="-1"/>
        </w:rPr>
        <w:t>wilful</w:t>
      </w:r>
      <w:r>
        <w:rPr>
          <w:spacing w:val="59"/>
        </w:rPr>
        <w:t xml:space="preserve"> </w:t>
      </w:r>
      <w:r>
        <w:rPr>
          <w:spacing w:val="-1"/>
        </w:rPr>
        <w:t>Default</w:t>
      </w:r>
      <w:r>
        <w:t xml:space="preserve"> </w:t>
      </w:r>
      <w:r>
        <w:rPr>
          <w:spacing w:val="4"/>
        </w:rPr>
        <w:t xml:space="preserve"> </w:t>
      </w:r>
      <w:r>
        <w:rPr>
          <w:spacing w:val="-1"/>
        </w:rPr>
        <w:t>by</w:t>
      </w:r>
      <w:r>
        <w:t xml:space="preserve">  </w:t>
      </w:r>
      <w:r>
        <w:rPr>
          <w:spacing w:val="-1"/>
        </w:rPr>
        <w:t>the</w:t>
      </w:r>
      <w:r>
        <w:rPr>
          <w:spacing w:val="28"/>
        </w:rPr>
        <w:t xml:space="preserve"> </w:t>
      </w:r>
      <w:r>
        <w:rPr>
          <w:spacing w:val="-2"/>
        </w:rPr>
        <w:t>Supplier</w:t>
      </w:r>
      <w:r>
        <w:rPr>
          <w:spacing w:val="2"/>
        </w:rPr>
        <w:t xml:space="preserve"> </w:t>
      </w:r>
      <w:r>
        <w:rPr>
          <w:spacing w:val="-1"/>
        </w:rPr>
        <w:t>or</w:t>
      </w:r>
      <w:r>
        <w:rPr>
          <w:spacing w:val="2"/>
        </w:rPr>
        <w:t xml:space="preserve"> </w:t>
      </w:r>
      <w:r>
        <w:rPr>
          <w:spacing w:val="-1"/>
        </w:rPr>
        <w:t>any</w:t>
      </w:r>
      <w:r>
        <w:rPr>
          <w:spacing w:val="-2"/>
        </w:rPr>
        <w:t xml:space="preserve"> Supplier</w:t>
      </w:r>
      <w:r>
        <w:rPr>
          <w:spacing w:val="-1"/>
        </w:rPr>
        <w:t xml:space="preserve"> Personnel;</w:t>
      </w:r>
      <w:r>
        <w:rPr>
          <w:spacing w:val="2"/>
        </w:rPr>
        <w:t xml:space="preserve"> </w:t>
      </w:r>
      <w:r>
        <w:rPr>
          <w:spacing w:val="-1"/>
        </w:rPr>
        <w:t>and</w:t>
      </w:r>
    </w:p>
    <w:p w:rsidR="008918FA" w:rsidRDefault="008918FA" w:rsidP="008918FA">
      <w:pPr>
        <w:pStyle w:val="BodyText"/>
        <w:numPr>
          <w:ilvl w:val="3"/>
          <w:numId w:val="66"/>
        </w:numPr>
        <w:tabs>
          <w:tab w:val="left" w:pos="2936"/>
        </w:tabs>
      </w:pPr>
      <w:r>
        <w:rPr>
          <w:spacing w:val="-1"/>
        </w:rPr>
        <w:t>results</w:t>
      </w:r>
      <w:r>
        <w:rPr>
          <w:spacing w:val="-2"/>
        </w:rPr>
        <w:t xml:space="preserve"> in:</w:t>
      </w:r>
    </w:p>
    <w:p w:rsidR="008918FA" w:rsidRDefault="008918FA" w:rsidP="008918FA">
      <w:pPr>
        <w:pStyle w:val="BodyText"/>
        <w:numPr>
          <w:ilvl w:val="4"/>
          <w:numId w:val="66"/>
        </w:numPr>
        <w:tabs>
          <w:tab w:val="left" w:pos="3504"/>
        </w:tabs>
        <w:spacing w:before="121"/>
        <w:ind w:right="114" w:hanging="568"/>
        <w:jc w:val="both"/>
      </w:pPr>
      <w:r>
        <w:t>the</w:t>
      </w:r>
      <w:r>
        <w:rPr>
          <w:spacing w:val="51"/>
        </w:rPr>
        <w:t xml:space="preserve"> </w:t>
      </w:r>
      <w:r>
        <w:rPr>
          <w:spacing w:val="-1"/>
        </w:rPr>
        <w:t>corruption</w:t>
      </w:r>
      <w:r>
        <w:rPr>
          <w:spacing w:val="51"/>
        </w:rPr>
        <w:t xml:space="preserve"> </w:t>
      </w:r>
      <w:r>
        <w:rPr>
          <w:spacing w:val="-2"/>
        </w:rPr>
        <w:t>or</w:t>
      </w:r>
      <w:r>
        <w:rPr>
          <w:spacing w:val="52"/>
        </w:rPr>
        <w:t xml:space="preserve"> </w:t>
      </w:r>
      <w:r>
        <w:rPr>
          <w:spacing w:val="-1"/>
        </w:rPr>
        <w:t>loss</w:t>
      </w:r>
      <w:r>
        <w:rPr>
          <w:spacing w:val="51"/>
        </w:rPr>
        <w:t xml:space="preserve"> </w:t>
      </w:r>
      <w:r>
        <w:rPr>
          <w:spacing w:val="-2"/>
        </w:rPr>
        <w:t>of</w:t>
      </w:r>
      <w:r>
        <w:rPr>
          <w:spacing w:val="52"/>
        </w:rPr>
        <w:t xml:space="preserve"> </w:t>
      </w:r>
      <w:r>
        <w:rPr>
          <w:spacing w:val="-1"/>
        </w:rPr>
        <w:t>any</w:t>
      </w:r>
      <w:r>
        <w:rPr>
          <w:spacing w:val="49"/>
        </w:rPr>
        <w:t xml:space="preserve"> </w:t>
      </w:r>
      <w:r>
        <w:rPr>
          <w:spacing w:val="-1"/>
        </w:rPr>
        <w:t>Customer</w:t>
      </w:r>
      <w:r>
        <w:rPr>
          <w:spacing w:val="54"/>
        </w:rPr>
        <w:t xml:space="preserve"> </w:t>
      </w:r>
      <w:r>
        <w:rPr>
          <w:spacing w:val="-1"/>
        </w:rPr>
        <w:t>Data</w:t>
      </w:r>
      <w:r>
        <w:rPr>
          <w:spacing w:val="51"/>
        </w:rPr>
        <w:t xml:space="preserve"> </w:t>
      </w:r>
      <w:r>
        <w:rPr>
          <w:spacing w:val="-2"/>
        </w:rPr>
        <w:t>(in</w:t>
      </w:r>
      <w:r>
        <w:rPr>
          <w:spacing w:val="51"/>
        </w:rPr>
        <w:t xml:space="preserve"> </w:t>
      </w:r>
      <w:r>
        <w:rPr>
          <w:spacing w:val="-2"/>
        </w:rPr>
        <w:t>which</w:t>
      </w:r>
      <w:r>
        <w:rPr>
          <w:spacing w:val="24"/>
        </w:rPr>
        <w:t xml:space="preserve"> </w:t>
      </w:r>
      <w:r>
        <w:rPr>
          <w:spacing w:val="-1"/>
        </w:rPr>
        <w:t>case</w:t>
      </w:r>
      <w:r>
        <w:rPr>
          <w:spacing w:val="2"/>
        </w:rPr>
        <w:t xml:space="preserve"> </w:t>
      </w:r>
      <w:r>
        <w:t>the</w:t>
      </w:r>
      <w:r>
        <w:rPr>
          <w:spacing w:val="60"/>
        </w:rPr>
        <w:t xml:space="preserve"> </w:t>
      </w:r>
      <w:r>
        <w:rPr>
          <w:spacing w:val="-1"/>
        </w:rPr>
        <w:t>remedies</w:t>
      </w:r>
      <w:r>
        <w:rPr>
          <w:spacing w:val="2"/>
        </w:rPr>
        <w:t xml:space="preserve"> </w:t>
      </w:r>
      <w:r>
        <w:rPr>
          <w:spacing w:val="-2"/>
        </w:rPr>
        <w:t>under</w:t>
      </w:r>
      <w:r>
        <w:rPr>
          <w:spacing w:val="3"/>
        </w:rPr>
        <w:t xml:space="preserve"> </w:t>
      </w:r>
      <w:r>
        <w:rPr>
          <w:spacing w:val="-2"/>
        </w:rPr>
        <w:t>Clause</w:t>
      </w:r>
      <w:r>
        <w:rPr>
          <w:spacing w:val="3"/>
        </w:rPr>
        <w:t xml:space="preserve"> </w:t>
      </w:r>
      <w:hyperlink w:anchor="_bookmark183" w:history="1">
        <w:r>
          <w:rPr>
            <w:spacing w:val="-1"/>
          </w:rPr>
          <w:t>34.2.8</w:t>
        </w:r>
      </w:hyperlink>
      <w:r>
        <w:rPr>
          <w:spacing w:val="60"/>
        </w:rPr>
        <w:t xml:space="preserve"> </w:t>
      </w:r>
      <w:r>
        <w:rPr>
          <w:spacing w:val="-1"/>
        </w:rPr>
        <w:t>(Protection</w:t>
      </w:r>
      <w:r>
        <w:rPr>
          <w:spacing w:val="60"/>
        </w:rPr>
        <w:t xml:space="preserve"> </w:t>
      </w:r>
      <w:r>
        <w:rPr>
          <w:spacing w:val="-2"/>
        </w:rPr>
        <w:t>of</w:t>
      </w:r>
      <w:r>
        <w:rPr>
          <w:spacing w:val="33"/>
        </w:rPr>
        <w:t xml:space="preserve"> </w:t>
      </w:r>
      <w:r>
        <w:rPr>
          <w:spacing w:val="-1"/>
        </w:rPr>
        <w:t>Customer</w:t>
      </w:r>
      <w:r>
        <w:rPr>
          <w:spacing w:val="2"/>
        </w:rPr>
        <w:t xml:space="preserve"> </w:t>
      </w:r>
      <w:r>
        <w:rPr>
          <w:spacing w:val="-1"/>
        </w:rPr>
        <w:t>Data) shall</w:t>
      </w:r>
      <w:r>
        <w:t xml:space="preserve"> </w:t>
      </w:r>
      <w:r>
        <w:rPr>
          <w:spacing w:val="-1"/>
        </w:rPr>
        <w:t>also</w:t>
      </w:r>
      <w:r>
        <w:rPr>
          <w:spacing w:val="1"/>
        </w:rPr>
        <w:t xml:space="preserve"> </w:t>
      </w:r>
      <w:r>
        <w:rPr>
          <w:spacing w:val="-1"/>
        </w:rPr>
        <w:t>be</w:t>
      </w:r>
      <w:r>
        <w:t xml:space="preserve"> </w:t>
      </w:r>
      <w:r>
        <w:rPr>
          <w:spacing w:val="-2"/>
        </w:rPr>
        <w:t>available);</w:t>
      </w:r>
      <w:r>
        <w:rPr>
          <w:spacing w:val="2"/>
        </w:rPr>
        <w:t xml:space="preserve"> </w:t>
      </w:r>
      <w:r>
        <w:rPr>
          <w:spacing w:val="-1"/>
        </w:rPr>
        <w:t>and/or</w:t>
      </w:r>
    </w:p>
    <w:p w:rsidR="008918FA" w:rsidRDefault="008918FA" w:rsidP="008918FA">
      <w:pPr>
        <w:pStyle w:val="BodyText"/>
        <w:numPr>
          <w:ilvl w:val="4"/>
          <w:numId w:val="66"/>
        </w:numPr>
        <w:tabs>
          <w:tab w:val="left" w:pos="3504"/>
        </w:tabs>
        <w:ind w:right="112" w:hanging="568"/>
        <w:jc w:val="both"/>
      </w:pPr>
      <w:r>
        <w:t>the</w:t>
      </w:r>
      <w:r>
        <w:rPr>
          <w:spacing w:val="55"/>
        </w:rPr>
        <w:t xml:space="preserve"> </w:t>
      </w:r>
      <w:r>
        <w:rPr>
          <w:spacing w:val="-1"/>
        </w:rPr>
        <w:t>Customer</w:t>
      </w:r>
      <w:r>
        <w:rPr>
          <w:spacing w:val="57"/>
        </w:rPr>
        <w:t xml:space="preserve"> </w:t>
      </w:r>
      <w:r>
        <w:rPr>
          <w:spacing w:val="-1"/>
        </w:rPr>
        <w:t>being</w:t>
      </w:r>
      <w:r>
        <w:rPr>
          <w:spacing w:val="58"/>
        </w:rPr>
        <w:t xml:space="preserve"> </w:t>
      </w:r>
      <w:r>
        <w:rPr>
          <w:spacing w:val="-1"/>
        </w:rPr>
        <w:t>required</w:t>
      </w:r>
      <w:r>
        <w:rPr>
          <w:spacing w:val="55"/>
        </w:rPr>
        <w:t xml:space="preserve"> </w:t>
      </w:r>
      <w:r>
        <w:t>to</w:t>
      </w:r>
      <w:r>
        <w:rPr>
          <w:spacing w:val="53"/>
        </w:rPr>
        <w:t xml:space="preserve"> </w:t>
      </w:r>
      <w:r>
        <w:rPr>
          <w:spacing w:val="-1"/>
        </w:rPr>
        <w:t>make</w:t>
      </w:r>
      <w:r>
        <w:rPr>
          <w:spacing w:val="55"/>
        </w:rPr>
        <w:t xml:space="preserve"> </w:t>
      </w:r>
      <w:r>
        <w:t>a</w:t>
      </w:r>
      <w:r>
        <w:rPr>
          <w:spacing w:val="56"/>
        </w:rPr>
        <w:t xml:space="preserve"> </w:t>
      </w:r>
      <w:r>
        <w:rPr>
          <w:spacing w:val="-1"/>
        </w:rPr>
        <w:t>compensation</w:t>
      </w:r>
      <w:r>
        <w:rPr>
          <w:spacing w:val="20"/>
        </w:rPr>
        <w:t xml:space="preserve"> </w:t>
      </w:r>
      <w:r>
        <w:rPr>
          <w:spacing w:val="-1"/>
        </w:rPr>
        <w:t>payment</w:t>
      </w:r>
      <w:r>
        <w:rPr>
          <w:spacing w:val="2"/>
        </w:rPr>
        <w:t xml:space="preserve"> </w:t>
      </w:r>
      <w:r>
        <w:t>to</w:t>
      </w:r>
      <w:r>
        <w:rPr>
          <w:spacing w:val="-2"/>
        </w:rPr>
        <w:t xml:space="preserve"> </w:t>
      </w:r>
      <w:r>
        <w:rPr>
          <w:spacing w:val="-1"/>
        </w:rPr>
        <w:t>one</w:t>
      </w:r>
      <w:r>
        <w:rPr>
          <w:spacing w:val="-2"/>
        </w:rPr>
        <w:t xml:space="preserve"> </w:t>
      </w:r>
      <w:r>
        <w:rPr>
          <w:spacing w:val="-1"/>
        </w:rPr>
        <w:t>or more</w:t>
      </w:r>
      <w:r>
        <w:rPr>
          <w:spacing w:val="-2"/>
        </w:rPr>
        <w:t xml:space="preserve"> </w:t>
      </w:r>
      <w:r>
        <w:rPr>
          <w:spacing w:val="-1"/>
        </w:rPr>
        <w:t>third</w:t>
      </w:r>
      <w:r>
        <w:t xml:space="preserve"> </w:t>
      </w:r>
      <w:r>
        <w:rPr>
          <w:spacing w:val="-2"/>
        </w:rPr>
        <w:t>parties;</w:t>
      </w:r>
      <w:r>
        <w:rPr>
          <w:spacing w:val="2"/>
        </w:rPr>
        <w:t xml:space="preserve"> </w:t>
      </w:r>
      <w:r>
        <w:rPr>
          <w:spacing w:val="-1"/>
        </w:rPr>
        <w:t>and/or</w:t>
      </w:r>
    </w:p>
    <w:p w:rsidR="008918FA" w:rsidRDefault="008918FA" w:rsidP="008918FA">
      <w:pPr>
        <w:pStyle w:val="BodyText"/>
        <w:numPr>
          <w:ilvl w:val="2"/>
          <w:numId w:val="66"/>
        </w:numPr>
        <w:tabs>
          <w:tab w:val="left" w:pos="2228"/>
        </w:tabs>
        <w:spacing w:before="121"/>
        <w:ind w:left="2227" w:right="114"/>
        <w:jc w:val="both"/>
      </w:pPr>
      <w:r>
        <w:t>the</w:t>
      </w:r>
      <w:r>
        <w:rPr>
          <w:spacing w:val="34"/>
        </w:rPr>
        <w:t xml:space="preserve"> </w:t>
      </w:r>
      <w:r>
        <w:rPr>
          <w:spacing w:val="-1"/>
        </w:rPr>
        <w:t>Customer</w:t>
      </w:r>
      <w:r>
        <w:rPr>
          <w:spacing w:val="35"/>
        </w:rPr>
        <w:t xml:space="preserve"> </w:t>
      </w:r>
      <w:r>
        <w:rPr>
          <w:spacing w:val="-1"/>
        </w:rPr>
        <w:t>is</w:t>
      </w:r>
      <w:r>
        <w:rPr>
          <w:spacing w:val="34"/>
        </w:rPr>
        <w:t xml:space="preserve"> </w:t>
      </w:r>
      <w:r>
        <w:rPr>
          <w:spacing w:val="-1"/>
        </w:rPr>
        <w:t>otherwise</w:t>
      </w:r>
      <w:r>
        <w:rPr>
          <w:spacing w:val="35"/>
        </w:rPr>
        <w:t xml:space="preserve"> </w:t>
      </w:r>
      <w:r>
        <w:rPr>
          <w:spacing w:val="-1"/>
        </w:rPr>
        <w:t>entitled</w:t>
      </w:r>
      <w:r>
        <w:rPr>
          <w:spacing w:val="34"/>
        </w:rPr>
        <w:t xml:space="preserve"> </w:t>
      </w:r>
      <w:r>
        <w:t>to</w:t>
      </w:r>
      <w:r>
        <w:rPr>
          <w:spacing w:val="34"/>
        </w:rPr>
        <w:t xml:space="preserve"> </w:t>
      </w:r>
      <w:r>
        <w:rPr>
          <w:spacing w:val="-1"/>
        </w:rPr>
        <w:t>or</w:t>
      </w:r>
      <w:r>
        <w:rPr>
          <w:spacing w:val="36"/>
        </w:rPr>
        <w:t xml:space="preserve"> </w:t>
      </w:r>
      <w:r>
        <w:rPr>
          <w:spacing w:val="-1"/>
        </w:rPr>
        <w:t>does</w:t>
      </w:r>
      <w:r>
        <w:rPr>
          <w:spacing w:val="34"/>
        </w:rPr>
        <w:t xml:space="preserve"> </w:t>
      </w:r>
      <w:r>
        <w:rPr>
          <w:spacing w:val="-1"/>
        </w:rPr>
        <w:t>terminate</w:t>
      </w:r>
      <w:r>
        <w:rPr>
          <w:spacing w:val="34"/>
        </w:rPr>
        <w:t xml:space="preserve"> </w:t>
      </w:r>
      <w:r>
        <w:rPr>
          <w:spacing w:val="-2"/>
        </w:rPr>
        <w:t>this</w:t>
      </w:r>
      <w:r>
        <w:rPr>
          <w:spacing w:val="34"/>
        </w:rPr>
        <w:t xml:space="preserve"> </w:t>
      </w:r>
      <w:r>
        <w:rPr>
          <w:spacing w:val="-2"/>
        </w:rPr>
        <w:t>Call</w:t>
      </w:r>
      <w:r>
        <w:rPr>
          <w:spacing w:val="33"/>
        </w:rPr>
        <w:t xml:space="preserve"> </w:t>
      </w:r>
      <w:r>
        <w:rPr>
          <w:spacing w:val="-1"/>
        </w:rPr>
        <w:t>Off</w:t>
      </w:r>
      <w:r>
        <w:rPr>
          <w:spacing w:val="51"/>
        </w:rPr>
        <w:t xml:space="preserve"> </w:t>
      </w:r>
      <w:r>
        <w:rPr>
          <w:spacing w:val="-1"/>
        </w:rPr>
        <w:t>Contract</w:t>
      </w:r>
      <w:r>
        <w:rPr>
          <w:spacing w:val="14"/>
        </w:rPr>
        <w:t xml:space="preserve"> </w:t>
      </w:r>
      <w:r>
        <w:rPr>
          <w:spacing w:val="-1"/>
        </w:rPr>
        <w:t>pursuant</w:t>
      </w:r>
      <w:r>
        <w:rPr>
          <w:spacing w:val="11"/>
        </w:rPr>
        <w:t xml:space="preserve"> </w:t>
      </w:r>
      <w:r>
        <w:t>to</w:t>
      </w:r>
      <w:r>
        <w:rPr>
          <w:spacing w:val="13"/>
        </w:rPr>
        <w:t xml:space="preserve"> </w:t>
      </w:r>
      <w:r>
        <w:rPr>
          <w:spacing w:val="-2"/>
        </w:rPr>
        <w:t>Clause</w:t>
      </w:r>
      <w:r>
        <w:rPr>
          <w:spacing w:val="14"/>
        </w:rPr>
        <w:t xml:space="preserve"> </w:t>
      </w:r>
      <w:hyperlink w:anchor="_bookmark231" w:history="1">
        <w:r>
          <w:rPr>
            <w:spacing w:val="-1"/>
          </w:rPr>
          <w:t>41</w:t>
        </w:r>
      </w:hyperlink>
      <w:r>
        <w:rPr>
          <w:spacing w:val="13"/>
        </w:rPr>
        <w:t xml:space="preserve"> </w:t>
      </w:r>
      <w:r>
        <w:rPr>
          <w:spacing w:val="-1"/>
        </w:rPr>
        <w:t>(Customer</w:t>
      </w:r>
      <w:r>
        <w:rPr>
          <w:spacing w:val="11"/>
        </w:rPr>
        <w:t xml:space="preserve"> </w:t>
      </w:r>
      <w:r>
        <w:rPr>
          <w:spacing w:val="-1"/>
        </w:rPr>
        <w:t>Termination</w:t>
      </w:r>
      <w:r>
        <w:rPr>
          <w:spacing w:val="12"/>
        </w:rPr>
        <w:t xml:space="preserve"> </w:t>
      </w:r>
      <w:r>
        <w:rPr>
          <w:spacing w:val="-1"/>
        </w:rPr>
        <w:t>Rights)</w:t>
      </w:r>
      <w:r>
        <w:rPr>
          <w:spacing w:val="11"/>
        </w:rPr>
        <w:t xml:space="preserve"> </w:t>
      </w:r>
      <w:r>
        <w:rPr>
          <w:spacing w:val="-2"/>
        </w:rPr>
        <w:t>except</w:t>
      </w:r>
      <w:r>
        <w:rPr>
          <w:spacing w:val="32"/>
        </w:rPr>
        <w:t xml:space="preserve"> </w:t>
      </w:r>
      <w:r>
        <w:rPr>
          <w:spacing w:val="-2"/>
        </w:rPr>
        <w:t>Clause</w:t>
      </w:r>
      <w:r>
        <w:rPr>
          <w:spacing w:val="1"/>
        </w:rPr>
        <w:t xml:space="preserve"> </w:t>
      </w:r>
      <w:hyperlink w:anchor="_bookmark237" w:history="1">
        <w:r>
          <w:rPr>
            <w:spacing w:val="-1"/>
          </w:rPr>
          <w:t>41.6</w:t>
        </w:r>
      </w:hyperlink>
      <w:r>
        <w:rPr>
          <w:spacing w:val="-2"/>
        </w:rPr>
        <w:t xml:space="preserve"> </w:t>
      </w:r>
      <w:r>
        <w:rPr>
          <w:spacing w:val="-1"/>
        </w:rPr>
        <w:t>(Termination</w:t>
      </w:r>
      <w:r>
        <w:rPr>
          <w:spacing w:val="-4"/>
        </w:rPr>
        <w:t xml:space="preserve"> </w:t>
      </w:r>
      <w:r>
        <w:rPr>
          <w:spacing w:val="-1"/>
        </w:rPr>
        <w:t>Without</w:t>
      </w:r>
      <w:r>
        <w:rPr>
          <w:spacing w:val="2"/>
        </w:rPr>
        <w:t xml:space="preserve"> </w:t>
      </w:r>
      <w:r>
        <w:rPr>
          <w:spacing w:val="-1"/>
        </w:rPr>
        <w:t>Cause).</w:t>
      </w:r>
    </w:p>
    <w:p w:rsidR="008918FA" w:rsidRDefault="008918FA" w:rsidP="008918FA">
      <w:pPr>
        <w:pStyle w:val="BodyText"/>
        <w:numPr>
          <w:ilvl w:val="1"/>
          <w:numId w:val="66"/>
        </w:numPr>
        <w:tabs>
          <w:tab w:val="left" w:pos="1234"/>
        </w:tabs>
        <w:ind w:left="1029" w:right="111" w:hanging="360"/>
        <w:jc w:val="both"/>
      </w:pPr>
      <w:bookmarkStart w:id="106" w:name="_bookmark97"/>
      <w:bookmarkEnd w:id="106"/>
      <w:r>
        <w:rPr>
          <w:spacing w:val="-1"/>
        </w:rPr>
        <w:t>Not</w:t>
      </w:r>
      <w:r>
        <w:rPr>
          <w:spacing w:val="45"/>
        </w:rPr>
        <w:t xml:space="preserve"> </w:t>
      </w:r>
      <w:r>
        <w:rPr>
          <w:spacing w:val="-1"/>
        </w:rPr>
        <w:t>more</w:t>
      </w:r>
      <w:r>
        <w:rPr>
          <w:spacing w:val="41"/>
        </w:rPr>
        <w:t xml:space="preserve"> </w:t>
      </w:r>
      <w:r>
        <w:rPr>
          <w:spacing w:val="-1"/>
        </w:rPr>
        <w:t>than</w:t>
      </w:r>
      <w:r>
        <w:rPr>
          <w:spacing w:val="43"/>
        </w:rPr>
        <w:t xml:space="preserve"> </w:t>
      </w:r>
      <w:r>
        <w:rPr>
          <w:spacing w:val="-1"/>
        </w:rPr>
        <w:t>once</w:t>
      </w:r>
      <w:r>
        <w:rPr>
          <w:spacing w:val="41"/>
        </w:rPr>
        <w:t xml:space="preserve"> </w:t>
      </w:r>
      <w:r>
        <w:rPr>
          <w:spacing w:val="-1"/>
        </w:rPr>
        <w:t>in</w:t>
      </w:r>
      <w:r>
        <w:rPr>
          <w:spacing w:val="41"/>
        </w:rPr>
        <w:t xml:space="preserve"> </w:t>
      </w:r>
      <w:r>
        <w:rPr>
          <w:spacing w:val="-1"/>
        </w:rPr>
        <w:t>each</w:t>
      </w:r>
      <w:r>
        <w:rPr>
          <w:spacing w:val="44"/>
        </w:rPr>
        <w:t xml:space="preserve"> </w:t>
      </w:r>
      <w:r>
        <w:rPr>
          <w:spacing w:val="-1"/>
        </w:rPr>
        <w:t>Contract</w:t>
      </w:r>
      <w:r>
        <w:rPr>
          <w:spacing w:val="46"/>
        </w:rPr>
        <w:t xml:space="preserve"> </w:t>
      </w:r>
      <w:r>
        <w:rPr>
          <w:spacing w:val="-2"/>
        </w:rPr>
        <w:t>Year</w:t>
      </w:r>
      <w:r>
        <w:rPr>
          <w:spacing w:val="42"/>
        </w:rPr>
        <w:t xml:space="preserve"> </w:t>
      </w:r>
      <w:r>
        <w:t>the</w:t>
      </w:r>
      <w:r>
        <w:rPr>
          <w:spacing w:val="41"/>
        </w:rPr>
        <w:t xml:space="preserve"> </w:t>
      </w:r>
      <w:r>
        <w:rPr>
          <w:spacing w:val="-1"/>
        </w:rPr>
        <w:t>Customer</w:t>
      </w:r>
      <w:r>
        <w:rPr>
          <w:spacing w:val="42"/>
        </w:rPr>
        <w:t xml:space="preserve"> </w:t>
      </w:r>
      <w:r>
        <w:rPr>
          <w:spacing w:val="-1"/>
        </w:rPr>
        <w:t>may,</w:t>
      </w:r>
      <w:r>
        <w:rPr>
          <w:spacing w:val="45"/>
        </w:rPr>
        <w:t xml:space="preserve"> </w:t>
      </w:r>
      <w:r>
        <w:rPr>
          <w:spacing w:val="-1"/>
        </w:rPr>
        <w:t>on</w:t>
      </w:r>
      <w:r>
        <w:rPr>
          <w:spacing w:val="44"/>
        </w:rPr>
        <w:t xml:space="preserve"> </w:t>
      </w:r>
      <w:r>
        <w:rPr>
          <w:spacing w:val="-1"/>
        </w:rPr>
        <w:t>giving</w:t>
      </w:r>
      <w:r>
        <w:rPr>
          <w:spacing w:val="44"/>
        </w:rPr>
        <w:t xml:space="preserve"> </w:t>
      </w:r>
      <w:r>
        <w:rPr>
          <w:spacing w:val="-1"/>
        </w:rPr>
        <w:t>the</w:t>
      </w:r>
      <w:r>
        <w:rPr>
          <w:spacing w:val="28"/>
        </w:rPr>
        <w:t xml:space="preserve"> </w:t>
      </w:r>
      <w:r>
        <w:rPr>
          <w:spacing w:val="-2"/>
        </w:rPr>
        <w:t>Supplier</w:t>
      </w:r>
      <w:r>
        <w:rPr>
          <w:spacing w:val="28"/>
        </w:rPr>
        <w:t xml:space="preserve"> </w:t>
      </w:r>
      <w:r>
        <w:rPr>
          <w:spacing w:val="-1"/>
        </w:rPr>
        <w:t>at</w:t>
      </w:r>
      <w:r>
        <w:rPr>
          <w:spacing w:val="28"/>
        </w:rPr>
        <w:t xml:space="preserve"> </w:t>
      </w:r>
      <w:r>
        <w:rPr>
          <w:spacing w:val="-1"/>
        </w:rPr>
        <w:t>least</w:t>
      </w:r>
      <w:r>
        <w:rPr>
          <w:spacing w:val="29"/>
        </w:rPr>
        <w:t xml:space="preserve"> </w:t>
      </w:r>
      <w:r>
        <w:rPr>
          <w:spacing w:val="-1"/>
        </w:rPr>
        <w:t>three</w:t>
      </w:r>
      <w:r>
        <w:rPr>
          <w:spacing w:val="27"/>
        </w:rPr>
        <w:t xml:space="preserve"> </w:t>
      </w:r>
      <w:r>
        <w:t>(3)</w:t>
      </w:r>
      <w:r>
        <w:rPr>
          <w:spacing w:val="28"/>
        </w:rPr>
        <w:t xml:space="preserve"> </w:t>
      </w:r>
      <w:r>
        <w:rPr>
          <w:spacing w:val="-1"/>
        </w:rPr>
        <w:t>Months’</w:t>
      </w:r>
      <w:r>
        <w:rPr>
          <w:spacing w:val="26"/>
        </w:rPr>
        <w:t xml:space="preserve"> </w:t>
      </w:r>
      <w:r>
        <w:rPr>
          <w:spacing w:val="-1"/>
        </w:rPr>
        <w:t>notice,</w:t>
      </w:r>
      <w:r>
        <w:rPr>
          <w:spacing w:val="28"/>
        </w:rPr>
        <w:t xml:space="preserve"> </w:t>
      </w:r>
      <w:r>
        <w:t>change</w:t>
      </w:r>
      <w:r>
        <w:rPr>
          <w:spacing w:val="27"/>
        </w:rPr>
        <w:t xml:space="preserve"> </w:t>
      </w:r>
      <w:r>
        <w:t>the</w:t>
      </w:r>
      <w:r>
        <w:rPr>
          <w:spacing w:val="27"/>
        </w:rPr>
        <w:t xml:space="preserve"> </w:t>
      </w:r>
      <w:r>
        <w:rPr>
          <w:spacing w:val="-1"/>
        </w:rPr>
        <w:t>weighting</w:t>
      </w:r>
      <w:r>
        <w:rPr>
          <w:spacing w:val="29"/>
        </w:rPr>
        <w:t xml:space="preserve"> </w:t>
      </w:r>
      <w:r>
        <w:rPr>
          <w:spacing w:val="-2"/>
        </w:rPr>
        <w:t>of</w:t>
      </w:r>
      <w:r>
        <w:rPr>
          <w:spacing w:val="30"/>
        </w:rPr>
        <w:t xml:space="preserve"> </w:t>
      </w:r>
      <w:r>
        <w:rPr>
          <w:spacing w:val="-2"/>
        </w:rPr>
        <w:t>Service</w:t>
      </w:r>
      <w:r>
        <w:rPr>
          <w:spacing w:val="27"/>
        </w:rPr>
        <w:t xml:space="preserve"> </w:t>
      </w:r>
      <w:r>
        <w:t>Level</w:t>
      </w:r>
      <w:r>
        <w:rPr>
          <w:spacing w:val="47"/>
        </w:rPr>
        <w:t xml:space="preserve"> </w:t>
      </w:r>
      <w:r>
        <w:rPr>
          <w:spacing w:val="-1"/>
        </w:rPr>
        <w:t>Performance</w:t>
      </w:r>
      <w:r>
        <w:rPr>
          <w:spacing w:val="12"/>
        </w:rPr>
        <w:t xml:space="preserve"> </w:t>
      </w:r>
      <w:r>
        <w:rPr>
          <w:spacing w:val="-1"/>
        </w:rPr>
        <w:t>Measure</w:t>
      </w:r>
      <w:r>
        <w:rPr>
          <w:spacing w:val="11"/>
        </w:rPr>
        <w:t xml:space="preserve"> </w:t>
      </w:r>
      <w:r>
        <w:rPr>
          <w:spacing w:val="-1"/>
        </w:rPr>
        <w:t>in</w:t>
      </w:r>
      <w:r>
        <w:rPr>
          <w:spacing w:val="11"/>
        </w:rPr>
        <w:t xml:space="preserve"> </w:t>
      </w:r>
      <w:r>
        <w:rPr>
          <w:spacing w:val="-1"/>
        </w:rPr>
        <w:t>respect</w:t>
      </w:r>
      <w:r>
        <w:rPr>
          <w:spacing w:val="13"/>
        </w:rPr>
        <w:t xml:space="preserve"> </w:t>
      </w:r>
      <w:r>
        <w:rPr>
          <w:spacing w:val="-2"/>
        </w:rPr>
        <w:t>of</w:t>
      </w:r>
      <w:r>
        <w:rPr>
          <w:spacing w:val="15"/>
        </w:rPr>
        <w:t xml:space="preserve"> </w:t>
      </w:r>
      <w:r>
        <w:rPr>
          <w:spacing w:val="-2"/>
        </w:rPr>
        <w:t>one</w:t>
      </w:r>
      <w:r>
        <w:rPr>
          <w:spacing w:val="11"/>
        </w:rPr>
        <w:t xml:space="preserve"> </w:t>
      </w:r>
      <w:r>
        <w:rPr>
          <w:spacing w:val="-1"/>
        </w:rPr>
        <w:t>or</w:t>
      </w:r>
      <w:r>
        <w:rPr>
          <w:spacing w:val="13"/>
        </w:rPr>
        <w:t xml:space="preserve"> </w:t>
      </w:r>
      <w:r>
        <w:rPr>
          <w:spacing w:val="-1"/>
        </w:rPr>
        <w:t>more</w:t>
      </w:r>
      <w:r>
        <w:rPr>
          <w:spacing w:val="13"/>
        </w:rPr>
        <w:t xml:space="preserve"> </w:t>
      </w:r>
      <w:r>
        <w:rPr>
          <w:spacing w:val="-2"/>
        </w:rPr>
        <w:t>Service</w:t>
      </w:r>
      <w:r>
        <w:rPr>
          <w:spacing w:val="12"/>
        </w:rPr>
        <w:t xml:space="preserve"> </w:t>
      </w:r>
      <w:r>
        <w:rPr>
          <w:spacing w:val="-1"/>
        </w:rPr>
        <w:t>Level</w:t>
      </w:r>
      <w:r>
        <w:rPr>
          <w:spacing w:val="11"/>
        </w:rPr>
        <w:t xml:space="preserve"> </w:t>
      </w:r>
      <w:r>
        <w:rPr>
          <w:spacing w:val="-1"/>
        </w:rPr>
        <w:t>Performance</w:t>
      </w:r>
      <w:r>
        <w:rPr>
          <w:spacing w:val="49"/>
        </w:rPr>
        <w:t xml:space="preserve"> </w:t>
      </w:r>
      <w:r>
        <w:rPr>
          <w:spacing w:val="-1"/>
        </w:rPr>
        <w:t>Criteria</w:t>
      </w:r>
      <w:r>
        <w:rPr>
          <w:spacing w:val="17"/>
        </w:rPr>
        <w:t xml:space="preserve"> </w:t>
      </w:r>
      <w:r>
        <w:rPr>
          <w:spacing w:val="-1"/>
        </w:rPr>
        <w:t>and</w:t>
      </w:r>
      <w:r>
        <w:rPr>
          <w:spacing w:val="17"/>
        </w:rPr>
        <w:t xml:space="preserve"> </w:t>
      </w:r>
      <w:r>
        <w:t>the</w:t>
      </w:r>
      <w:r>
        <w:rPr>
          <w:spacing w:val="17"/>
        </w:rPr>
        <w:t xml:space="preserve"> </w:t>
      </w:r>
      <w:r>
        <w:rPr>
          <w:spacing w:val="-2"/>
        </w:rPr>
        <w:t>Supplier</w:t>
      </w:r>
      <w:r>
        <w:rPr>
          <w:spacing w:val="19"/>
        </w:rPr>
        <w:t xml:space="preserve"> </w:t>
      </w:r>
      <w:r>
        <w:rPr>
          <w:spacing w:val="-1"/>
        </w:rPr>
        <w:t>shall</w:t>
      </w:r>
      <w:r>
        <w:rPr>
          <w:spacing w:val="17"/>
        </w:rPr>
        <w:t xml:space="preserve"> </w:t>
      </w:r>
      <w:r>
        <w:rPr>
          <w:spacing w:val="-1"/>
        </w:rPr>
        <w:t>not</w:t>
      </w:r>
      <w:r>
        <w:rPr>
          <w:spacing w:val="19"/>
        </w:rPr>
        <w:t xml:space="preserve"> </w:t>
      </w:r>
      <w:r>
        <w:rPr>
          <w:spacing w:val="-1"/>
        </w:rPr>
        <w:t>be</w:t>
      </w:r>
      <w:r>
        <w:rPr>
          <w:spacing w:val="17"/>
        </w:rPr>
        <w:t xml:space="preserve"> </w:t>
      </w:r>
      <w:r>
        <w:rPr>
          <w:spacing w:val="-1"/>
        </w:rPr>
        <w:t>entitled</w:t>
      </w:r>
      <w:r>
        <w:rPr>
          <w:spacing w:val="17"/>
        </w:rPr>
        <w:t xml:space="preserve"> </w:t>
      </w:r>
      <w:r>
        <w:t>to</w:t>
      </w:r>
      <w:r>
        <w:rPr>
          <w:spacing w:val="21"/>
        </w:rPr>
        <w:t xml:space="preserve"> </w:t>
      </w:r>
      <w:r>
        <w:rPr>
          <w:spacing w:val="-1"/>
        </w:rPr>
        <w:t>object</w:t>
      </w:r>
      <w:r>
        <w:rPr>
          <w:spacing w:val="17"/>
        </w:rPr>
        <w:t xml:space="preserve"> </w:t>
      </w:r>
      <w:r>
        <w:t>to,</w:t>
      </w:r>
      <w:r>
        <w:rPr>
          <w:spacing w:val="19"/>
        </w:rPr>
        <w:t xml:space="preserve"> </w:t>
      </w:r>
      <w:r>
        <w:rPr>
          <w:spacing w:val="-1"/>
        </w:rPr>
        <w:t>or</w:t>
      </w:r>
      <w:r>
        <w:rPr>
          <w:spacing w:val="19"/>
        </w:rPr>
        <w:t xml:space="preserve"> </w:t>
      </w:r>
      <w:r>
        <w:rPr>
          <w:spacing w:val="-1"/>
        </w:rPr>
        <w:t>increase</w:t>
      </w:r>
      <w:r>
        <w:rPr>
          <w:spacing w:val="15"/>
        </w:rPr>
        <w:t xml:space="preserve"> </w:t>
      </w:r>
      <w:r>
        <w:rPr>
          <w:spacing w:val="-1"/>
        </w:rPr>
        <w:t>the</w:t>
      </w:r>
      <w:r>
        <w:rPr>
          <w:spacing w:val="17"/>
        </w:rPr>
        <w:t xml:space="preserve"> </w:t>
      </w:r>
      <w:r>
        <w:rPr>
          <w:spacing w:val="-2"/>
        </w:rPr>
        <w:t>Call</w:t>
      </w:r>
      <w:r>
        <w:rPr>
          <w:spacing w:val="19"/>
        </w:rPr>
        <w:t xml:space="preserve"> </w:t>
      </w:r>
      <w:r>
        <w:rPr>
          <w:spacing w:val="-1"/>
        </w:rPr>
        <w:t>Off</w:t>
      </w:r>
      <w:r>
        <w:rPr>
          <w:spacing w:val="59"/>
        </w:rPr>
        <w:t xml:space="preserve"> </w:t>
      </w:r>
      <w:r>
        <w:rPr>
          <w:spacing w:val="-1"/>
        </w:rPr>
        <w:t>Contract</w:t>
      </w:r>
      <w:r>
        <w:rPr>
          <w:spacing w:val="2"/>
        </w:rPr>
        <w:t xml:space="preserve"> </w:t>
      </w:r>
      <w:r>
        <w:rPr>
          <w:spacing w:val="-1"/>
        </w:rPr>
        <w:t>Charges</w:t>
      </w:r>
      <w:r>
        <w:rPr>
          <w:spacing w:val="1"/>
        </w:rPr>
        <w:t xml:space="preserve"> </w:t>
      </w:r>
      <w:r>
        <w:rPr>
          <w:spacing w:val="-1"/>
        </w:rPr>
        <w:t>as</w:t>
      </w:r>
      <w:r>
        <w:rPr>
          <w:spacing w:val="-2"/>
        </w:rPr>
        <w:t xml:space="preserve"> </w:t>
      </w:r>
      <w:r>
        <w:t>a</w:t>
      </w:r>
      <w:r>
        <w:rPr>
          <w:spacing w:val="-2"/>
        </w:rPr>
        <w:t xml:space="preserve"> </w:t>
      </w:r>
      <w:r>
        <w:rPr>
          <w:spacing w:val="-1"/>
        </w:rPr>
        <w:t>result</w:t>
      </w:r>
      <w:r>
        <w:rPr>
          <w:spacing w:val="2"/>
        </w:rPr>
        <w:t xml:space="preserve"> </w:t>
      </w:r>
      <w:r>
        <w:rPr>
          <w:spacing w:val="-2"/>
        </w:rPr>
        <w:t>of</w:t>
      </w:r>
      <w:r>
        <w:rPr>
          <w:spacing w:val="2"/>
        </w:rPr>
        <w:t xml:space="preserve"> </w:t>
      </w:r>
      <w:r>
        <w:rPr>
          <w:spacing w:val="-1"/>
        </w:rPr>
        <w:t>such</w:t>
      </w:r>
      <w:r>
        <w:rPr>
          <w:spacing w:val="-2"/>
        </w:rPr>
        <w:t xml:space="preserve"> </w:t>
      </w:r>
      <w:r>
        <w:rPr>
          <w:spacing w:val="-1"/>
        </w:rPr>
        <w:t>changes,</w:t>
      </w:r>
      <w:r>
        <w:rPr>
          <w:spacing w:val="2"/>
        </w:rPr>
        <w:t xml:space="preserve"> </w:t>
      </w:r>
      <w:r>
        <w:rPr>
          <w:spacing w:val="-2"/>
        </w:rPr>
        <w:t>provided</w:t>
      </w:r>
      <w:r>
        <w:t xml:space="preserve"> that:</w:t>
      </w:r>
    </w:p>
    <w:p w:rsidR="008918FA" w:rsidRDefault="008918FA" w:rsidP="008918FA">
      <w:pPr>
        <w:pStyle w:val="BodyText"/>
        <w:numPr>
          <w:ilvl w:val="2"/>
          <w:numId w:val="66"/>
        </w:numPr>
        <w:tabs>
          <w:tab w:val="left" w:pos="2228"/>
        </w:tabs>
        <w:ind w:left="2227" w:right="111"/>
        <w:jc w:val="both"/>
      </w:pPr>
      <w:bookmarkStart w:id="107" w:name="_bookmark98"/>
      <w:bookmarkEnd w:id="107"/>
      <w:r>
        <w:t>the</w:t>
      </w:r>
      <w:r>
        <w:rPr>
          <w:spacing w:val="29"/>
        </w:rPr>
        <w:t xml:space="preserve"> </w:t>
      </w:r>
      <w:r>
        <w:t>total</w:t>
      </w:r>
      <w:r>
        <w:rPr>
          <w:spacing w:val="28"/>
        </w:rPr>
        <w:t xml:space="preserve"> </w:t>
      </w:r>
      <w:r>
        <w:rPr>
          <w:spacing w:val="-1"/>
        </w:rPr>
        <w:t>number</w:t>
      </w:r>
      <w:r>
        <w:rPr>
          <w:spacing w:val="30"/>
        </w:rPr>
        <w:t xml:space="preserve"> </w:t>
      </w:r>
      <w:r>
        <w:rPr>
          <w:spacing w:val="-2"/>
        </w:rPr>
        <w:t>of</w:t>
      </w:r>
      <w:r>
        <w:rPr>
          <w:spacing w:val="33"/>
        </w:rPr>
        <w:t xml:space="preserve"> </w:t>
      </w:r>
      <w:r>
        <w:rPr>
          <w:spacing w:val="-2"/>
        </w:rPr>
        <w:t>Service</w:t>
      </w:r>
      <w:r>
        <w:rPr>
          <w:spacing w:val="30"/>
        </w:rPr>
        <w:t xml:space="preserve"> </w:t>
      </w:r>
      <w:r>
        <w:rPr>
          <w:spacing w:val="-1"/>
        </w:rPr>
        <w:t>Level</w:t>
      </w:r>
      <w:r>
        <w:rPr>
          <w:spacing w:val="31"/>
        </w:rPr>
        <w:t xml:space="preserve"> </w:t>
      </w:r>
      <w:r>
        <w:rPr>
          <w:spacing w:val="-1"/>
        </w:rPr>
        <w:t>Performance</w:t>
      </w:r>
      <w:r>
        <w:rPr>
          <w:spacing w:val="27"/>
        </w:rPr>
        <w:t xml:space="preserve"> </w:t>
      </w:r>
      <w:r>
        <w:rPr>
          <w:spacing w:val="-1"/>
        </w:rPr>
        <w:t>Criteria</w:t>
      </w:r>
      <w:r>
        <w:rPr>
          <w:spacing w:val="29"/>
        </w:rPr>
        <w:t xml:space="preserve"> </w:t>
      </w:r>
      <w:r>
        <w:t>for</w:t>
      </w:r>
      <w:r>
        <w:rPr>
          <w:spacing w:val="30"/>
        </w:rPr>
        <w:t xml:space="preserve"> </w:t>
      </w:r>
      <w:r>
        <w:rPr>
          <w:spacing w:val="-2"/>
        </w:rPr>
        <w:t>which</w:t>
      </w:r>
      <w:r>
        <w:rPr>
          <w:spacing w:val="30"/>
        </w:rPr>
        <w:t xml:space="preserve"> </w:t>
      </w:r>
      <w:r>
        <w:rPr>
          <w:spacing w:val="-1"/>
        </w:rPr>
        <w:t>the</w:t>
      </w:r>
      <w:r>
        <w:rPr>
          <w:spacing w:val="42"/>
        </w:rPr>
        <w:t xml:space="preserve"> </w:t>
      </w:r>
      <w:r>
        <w:rPr>
          <w:spacing w:val="-1"/>
        </w:rPr>
        <w:t>weighting</w:t>
      </w:r>
      <w:r>
        <w:t xml:space="preserve"> </w:t>
      </w:r>
      <w:r>
        <w:rPr>
          <w:spacing w:val="-1"/>
        </w:rPr>
        <w:t>is</w:t>
      </w:r>
      <w:r>
        <w:rPr>
          <w:spacing w:val="-2"/>
        </w:rPr>
        <w:t xml:space="preserve"> </w:t>
      </w:r>
      <w:r>
        <w:t>to</w:t>
      </w:r>
      <w:r>
        <w:rPr>
          <w:spacing w:val="-2"/>
        </w:rPr>
        <w:t xml:space="preserve"> </w:t>
      </w:r>
      <w:r>
        <w:rPr>
          <w:spacing w:val="-1"/>
        </w:rPr>
        <w:t>be</w:t>
      </w:r>
      <w:r>
        <w:rPr>
          <w:spacing w:val="-2"/>
        </w:rPr>
        <w:t xml:space="preserve"> </w:t>
      </w:r>
      <w:r>
        <w:rPr>
          <w:spacing w:val="-1"/>
        </w:rPr>
        <w:t>changed</w:t>
      </w:r>
      <w:r>
        <w:rPr>
          <w:spacing w:val="-2"/>
        </w:rPr>
        <w:t xml:space="preserve"> </w:t>
      </w:r>
      <w:r>
        <w:rPr>
          <w:spacing w:val="-1"/>
        </w:rPr>
        <w:t>does</w:t>
      </w:r>
      <w:r>
        <w:rPr>
          <w:spacing w:val="-2"/>
        </w:rPr>
        <w:t xml:space="preserve"> </w:t>
      </w:r>
      <w:r>
        <w:rPr>
          <w:spacing w:val="-1"/>
        </w:rPr>
        <w:t>not</w:t>
      </w:r>
      <w:r>
        <w:t xml:space="preserve"> </w:t>
      </w:r>
      <w:r>
        <w:rPr>
          <w:spacing w:val="-1"/>
        </w:rPr>
        <w:t>exceed</w:t>
      </w:r>
      <w:r>
        <w:rPr>
          <w:spacing w:val="2"/>
        </w:rPr>
        <w:t xml:space="preserve"> </w:t>
      </w:r>
      <w:r>
        <w:t xml:space="preserve">the </w:t>
      </w:r>
      <w:r>
        <w:rPr>
          <w:spacing w:val="-1"/>
        </w:rPr>
        <w:t>number set</w:t>
      </w:r>
      <w:r>
        <w:t xml:space="preserve"> </w:t>
      </w:r>
      <w:r>
        <w:rPr>
          <w:spacing w:val="-1"/>
        </w:rPr>
        <w:t>out,</w:t>
      </w:r>
      <w:r>
        <w:rPr>
          <w:spacing w:val="-3"/>
        </w:rPr>
        <w:t xml:space="preserve"> </w:t>
      </w:r>
      <w:r>
        <w:t>for</w:t>
      </w:r>
      <w:r>
        <w:rPr>
          <w:spacing w:val="-1"/>
        </w:rPr>
        <w:t xml:space="preserve"> the</w:t>
      </w:r>
      <w:r>
        <w:rPr>
          <w:spacing w:val="34"/>
        </w:rPr>
        <w:t xml:space="preserve"> </w:t>
      </w:r>
      <w:r>
        <w:rPr>
          <w:spacing w:val="-1"/>
        </w:rPr>
        <w:t>purposes</w:t>
      </w:r>
      <w:r>
        <w:rPr>
          <w:spacing w:val="22"/>
        </w:rPr>
        <w:t xml:space="preserve"> </w:t>
      </w:r>
      <w:r>
        <w:rPr>
          <w:spacing w:val="-2"/>
        </w:rPr>
        <w:t>of</w:t>
      </w:r>
      <w:r>
        <w:rPr>
          <w:spacing w:val="26"/>
        </w:rPr>
        <w:t xml:space="preserve"> </w:t>
      </w:r>
      <w:r>
        <w:rPr>
          <w:spacing w:val="-1"/>
        </w:rPr>
        <w:t>this</w:t>
      </w:r>
      <w:r>
        <w:rPr>
          <w:spacing w:val="22"/>
        </w:rPr>
        <w:t xml:space="preserve"> </w:t>
      </w:r>
      <w:r>
        <w:rPr>
          <w:spacing w:val="-1"/>
        </w:rPr>
        <w:t>clause,</w:t>
      </w:r>
      <w:r>
        <w:rPr>
          <w:spacing w:val="21"/>
        </w:rPr>
        <w:t xml:space="preserve"> </w:t>
      </w:r>
      <w:r>
        <w:rPr>
          <w:spacing w:val="-1"/>
        </w:rPr>
        <w:t>in</w:t>
      </w:r>
      <w:r>
        <w:rPr>
          <w:spacing w:val="22"/>
        </w:rPr>
        <w:t xml:space="preserve"> </w:t>
      </w:r>
      <w:r>
        <w:rPr>
          <w:spacing w:val="-1"/>
        </w:rPr>
        <w:t>Annex</w:t>
      </w:r>
      <w:r>
        <w:rPr>
          <w:spacing w:val="20"/>
        </w:rPr>
        <w:t xml:space="preserve"> </w:t>
      </w:r>
      <w:r>
        <w:t>2</w:t>
      </w:r>
      <w:r>
        <w:rPr>
          <w:spacing w:val="24"/>
        </w:rPr>
        <w:t xml:space="preserve"> </w:t>
      </w:r>
      <w:r>
        <w:t>to</w:t>
      </w:r>
      <w:r>
        <w:rPr>
          <w:spacing w:val="22"/>
        </w:rPr>
        <w:t xml:space="preserve"> </w:t>
      </w:r>
      <w:r>
        <w:rPr>
          <w:spacing w:val="-1"/>
        </w:rPr>
        <w:t>Part</w:t>
      </w:r>
      <w:r>
        <w:rPr>
          <w:spacing w:val="23"/>
        </w:rPr>
        <w:t xml:space="preserve"> </w:t>
      </w:r>
      <w:r>
        <w:t>A</w:t>
      </w:r>
      <w:r>
        <w:rPr>
          <w:spacing w:val="21"/>
        </w:rPr>
        <w:t xml:space="preserve"> </w:t>
      </w:r>
      <w:r>
        <w:rPr>
          <w:spacing w:val="-1"/>
        </w:rPr>
        <w:t>of</w:t>
      </w:r>
      <w:r>
        <w:rPr>
          <w:spacing w:val="23"/>
        </w:rPr>
        <w:t xml:space="preserve"> </w:t>
      </w:r>
      <w:r>
        <w:rPr>
          <w:spacing w:val="-2"/>
        </w:rPr>
        <w:t>Call</w:t>
      </w:r>
      <w:r>
        <w:rPr>
          <w:spacing w:val="24"/>
        </w:rPr>
        <w:t xml:space="preserve"> </w:t>
      </w:r>
      <w:r>
        <w:rPr>
          <w:spacing w:val="-1"/>
        </w:rPr>
        <w:t>Off</w:t>
      </w:r>
      <w:r>
        <w:rPr>
          <w:spacing w:val="26"/>
        </w:rPr>
        <w:t xml:space="preserve"> </w:t>
      </w:r>
      <w:r>
        <w:rPr>
          <w:spacing w:val="-1"/>
        </w:rPr>
        <w:t>Schedule</w:t>
      </w:r>
      <w:r>
        <w:rPr>
          <w:spacing w:val="22"/>
        </w:rPr>
        <w:t xml:space="preserve"> </w:t>
      </w:r>
      <w:r>
        <w:rPr>
          <w:spacing w:val="-1"/>
        </w:rPr>
        <w:t>6:</w:t>
      </w:r>
      <w:r>
        <w:rPr>
          <w:spacing w:val="44"/>
        </w:rPr>
        <w:t xml:space="preserve"> </w:t>
      </w:r>
      <w:r>
        <w:rPr>
          <w:spacing w:val="-2"/>
        </w:rPr>
        <w:t>Service</w:t>
      </w:r>
      <w:r>
        <w:rPr>
          <w:spacing w:val="1"/>
        </w:rPr>
        <w:t xml:space="preserve"> </w:t>
      </w:r>
      <w:r>
        <w:rPr>
          <w:spacing w:val="-2"/>
        </w:rPr>
        <w:t>Levels,</w:t>
      </w:r>
      <w:r>
        <w:rPr>
          <w:spacing w:val="2"/>
        </w:rPr>
        <w:t xml:space="preserve"> </w:t>
      </w:r>
      <w:r>
        <w:rPr>
          <w:spacing w:val="-2"/>
        </w:rPr>
        <w:t>Service</w:t>
      </w:r>
      <w:r>
        <w:rPr>
          <w:spacing w:val="1"/>
        </w:rPr>
        <w:t xml:space="preserve"> </w:t>
      </w:r>
      <w:r>
        <w:rPr>
          <w:spacing w:val="-1"/>
        </w:rPr>
        <w:t>Credits</w:t>
      </w:r>
      <w:r>
        <w:rPr>
          <w:spacing w:val="1"/>
        </w:rPr>
        <w:t xml:space="preserve"> </w:t>
      </w:r>
      <w:r>
        <w:rPr>
          <w:spacing w:val="-1"/>
        </w:rPr>
        <w:t>and</w:t>
      </w:r>
      <w:r>
        <w:rPr>
          <w:spacing w:val="-2"/>
        </w:rPr>
        <w:t xml:space="preserve"> </w:t>
      </w:r>
      <w:r>
        <w:rPr>
          <w:spacing w:val="-1"/>
        </w:rPr>
        <w:t>Performance</w:t>
      </w:r>
      <w:r>
        <w:rPr>
          <w:spacing w:val="-2"/>
        </w:rPr>
        <w:t xml:space="preserve"> </w:t>
      </w:r>
      <w:r>
        <w:rPr>
          <w:spacing w:val="-1"/>
        </w:rPr>
        <w:t>Monitoring;</w:t>
      </w:r>
    </w:p>
    <w:p w:rsidR="008918FA" w:rsidRDefault="008918FA" w:rsidP="008918FA">
      <w:pPr>
        <w:pStyle w:val="BodyText"/>
        <w:numPr>
          <w:ilvl w:val="2"/>
          <w:numId w:val="66"/>
        </w:numPr>
        <w:tabs>
          <w:tab w:val="left" w:pos="2228"/>
        </w:tabs>
        <w:spacing w:before="121"/>
        <w:ind w:left="2227" w:right="114"/>
        <w:jc w:val="both"/>
      </w:pPr>
      <w:r>
        <w:t>the</w:t>
      </w:r>
      <w:r>
        <w:rPr>
          <w:spacing w:val="16"/>
        </w:rPr>
        <w:t xml:space="preserve"> </w:t>
      </w:r>
      <w:r>
        <w:rPr>
          <w:spacing w:val="-1"/>
        </w:rPr>
        <w:t>principal</w:t>
      </w:r>
      <w:r>
        <w:rPr>
          <w:spacing w:val="15"/>
        </w:rPr>
        <w:t xml:space="preserve"> </w:t>
      </w:r>
      <w:r>
        <w:rPr>
          <w:spacing w:val="-1"/>
        </w:rPr>
        <w:t>purpose</w:t>
      </w:r>
      <w:r>
        <w:rPr>
          <w:spacing w:val="16"/>
        </w:rPr>
        <w:t xml:space="preserve"> </w:t>
      </w:r>
      <w:r>
        <w:rPr>
          <w:spacing w:val="-2"/>
        </w:rPr>
        <w:t>of</w:t>
      </w:r>
      <w:r>
        <w:rPr>
          <w:spacing w:val="20"/>
        </w:rPr>
        <w:t xml:space="preserve"> </w:t>
      </w:r>
      <w:r>
        <w:t>the</w:t>
      </w:r>
      <w:r>
        <w:rPr>
          <w:spacing w:val="16"/>
        </w:rPr>
        <w:t xml:space="preserve"> </w:t>
      </w:r>
      <w:r>
        <w:rPr>
          <w:spacing w:val="-1"/>
        </w:rPr>
        <w:t>change</w:t>
      </w:r>
      <w:r>
        <w:rPr>
          <w:spacing w:val="16"/>
        </w:rPr>
        <w:t xml:space="preserve"> </w:t>
      </w:r>
      <w:r>
        <w:rPr>
          <w:spacing w:val="-1"/>
        </w:rPr>
        <w:t>is</w:t>
      </w:r>
      <w:r>
        <w:rPr>
          <w:spacing w:val="16"/>
        </w:rPr>
        <w:t xml:space="preserve"> </w:t>
      </w:r>
      <w:r>
        <w:t>to</w:t>
      </w:r>
      <w:r>
        <w:rPr>
          <w:spacing w:val="18"/>
        </w:rPr>
        <w:t xml:space="preserve"> </w:t>
      </w:r>
      <w:r>
        <w:rPr>
          <w:spacing w:val="-1"/>
        </w:rPr>
        <w:t>reflect</w:t>
      </w:r>
      <w:r>
        <w:rPr>
          <w:spacing w:val="17"/>
        </w:rPr>
        <w:t xml:space="preserve"> </w:t>
      </w:r>
      <w:r>
        <w:rPr>
          <w:spacing w:val="-1"/>
        </w:rPr>
        <w:t>changes</w:t>
      </w:r>
      <w:r>
        <w:rPr>
          <w:spacing w:val="16"/>
        </w:rPr>
        <w:t xml:space="preserve"> </w:t>
      </w:r>
      <w:r>
        <w:rPr>
          <w:spacing w:val="-1"/>
        </w:rPr>
        <w:t>in</w:t>
      </w:r>
      <w:r>
        <w:rPr>
          <w:spacing w:val="16"/>
        </w:rPr>
        <w:t xml:space="preserve"> </w:t>
      </w:r>
      <w:r>
        <w:rPr>
          <w:spacing w:val="-1"/>
        </w:rPr>
        <w:t>the</w:t>
      </w:r>
      <w:r>
        <w:rPr>
          <w:spacing w:val="32"/>
        </w:rPr>
        <w:t xml:space="preserve"> </w:t>
      </w:r>
      <w:r>
        <w:rPr>
          <w:spacing w:val="-1"/>
        </w:rPr>
        <w:t>Customer’s</w:t>
      </w:r>
      <w:r>
        <w:rPr>
          <w:spacing w:val="52"/>
        </w:rPr>
        <w:t xml:space="preserve"> </w:t>
      </w:r>
      <w:r>
        <w:rPr>
          <w:spacing w:val="-1"/>
        </w:rPr>
        <w:t>business</w:t>
      </w:r>
      <w:r>
        <w:rPr>
          <w:spacing w:val="53"/>
        </w:rPr>
        <w:t xml:space="preserve"> </w:t>
      </w:r>
      <w:r>
        <w:rPr>
          <w:spacing w:val="-1"/>
        </w:rPr>
        <w:t>requirements</w:t>
      </w:r>
      <w:r>
        <w:rPr>
          <w:spacing w:val="52"/>
        </w:rPr>
        <w:t xml:space="preserve"> </w:t>
      </w:r>
      <w:r>
        <w:rPr>
          <w:spacing w:val="-1"/>
        </w:rPr>
        <w:t>and/or</w:t>
      </w:r>
      <w:r>
        <w:rPr>
          <w:spacing w:val="53"/>
        </w:rPr>
        <w:t xml:space="preserve"> </w:t>
      </w:r>
      <w:r>
        <w:rPr>
          <w:spacing w:val="-1"/>
        </w:rPr>
        <w:t>priorities</w:t>
      </w:r>
      <w:r>
        <w:rPr>
          <w:spacing w:val="52"/>
        </w:rPr>
        <w:t xml:space="preserve"> </w:t>
      </w:r>
      <w:r>
        <w:rPr>
          <w:spacing w:val="-1"/>
        </w:rPr>
        <w:t>or</w:t>
      </w:r>
      <w:r>
        <w:rPr>
          <w:spacing w:val="51"/>
        </w:rPr>
        <w:t xml:space="preserve"> </w:t>
      </w:r>
      <w:r>
        <w:t>to</w:t>
      </w:r>
      <w:r>
        <w:rPr>
          <w:spacing w:val="53"/>
        </w:rPr>
        <w:t xml:space="preserve"> </w:t>
      </w:r>
      <w:r>
        <w:rPr>
          <w:spacing w:val="-1"/>
        </w:rPr>
        <w:t>reflect</w:t>
      </w:r>
      <w:r>
        <w:rPr>
          <w:spacing w:val="27"/>
        </w:rPr>
        <w:t xml:space="preserve"> </w:t>
      </w:r>
      <w:r>
        <w:rPr>
          <w:spacing w:val="-1"/>
        </w:rPr>
        <w:t>changing</w:t>
      </w:r>
      <w:r>
        <w:rPr>
          <w:spacing w:val="3"/>
        </w:rPr>
        <w:t xml:space="preserve"> </w:t>
      </w:r>
      <w:r>
        <w:rPr>
          <w:spacing w:val="-1"/>
        </w:rPr>
        <w:t>industry</w:t>
      </w:r>
      <w:r>
        <w:rPr>
          <w:spacing w:val="-2"/>
        </w:rPr>
        <w:t xml:space="preserve"> </w:t>
      </w:r>
      <w:r>
        <w:rPr>
          <w:spacing w:val="-1"/>
        </w:rPr>
        <w:t>standards;</w:t>
      </w:r>
      <w:r>
        <w:t xml:space="preserve"> </w:t>
      </w:r>
      <w:r>
        <w:rPr>
          <w:spacing w:val="-1"/>
        </w:rPr>
        <w:t>and</w:t>
      </w:r>
    </w:p>
    <w:p w:rsidR="008918FA" w:rsidRDefault="008918FA" w:rsidP="008918FA">
      <w:pPr>
        <w:pStyle w:val="BodyText"/>
        <w:numPr>
          <w:ilvl w:val="2"/>
          <w:numId w:val="66"/>
        </w:numPr>
        <w:tabs>
          <w:tab w:val="left" w:pos="2228"/>
        </w:tabs>
        <w:ind w:left="2227"/>
      </w:pPr>
      <w:r>
        <w:rPr>
          <w:spacing w:val="-1"/>
        </w:rPr>
        <w:t>there</w:t>
      </w:r>
      <w:r>
        <w:rPr>
          <w:spacing w:val="-2"/>
        </w:rPr>
        <w:t xml:space="preserve"> </w:t>
      </w:r>
      <w:r>
        <w:rPr>
          <w:spacing w:val="-1"/>
        </w:rPr>
        <w:t>is</w:t>
      </w:r>
      <w:r>
        <w:rPr>
          <w:spacing w:val="1"/>
        </w:rPr>
        <w:t xml:space="preserve"> </w:t>
      </w:r>
      <w:r>
        <w:rPr>
          <w:spacing w:val="-1"/>
        </w:rPr>
        <w:t>no</w:t>
      </w:r>
      <w:r>
        <w:rPr>
          <w:spacing w:val="-2"/>
        </w:rPr>
        <w:t xml:space="preserve"> </w:t>
      </w:r>
      <w:r>
        <w:rPr>
          <w:spacing w:val="-1"/>
        </w:rPr>
        <w:t>change</w:t>
      </w:r>
      <w:r>
        <w:rPr>
          <w:spacing w:val="-2"/>
        </w:rPr>
        <w:t xml:space="preserve"> </w:t>
      </w:r>
      <w:r>
        <w:t>to</w:t>
      </w:r>
      <w:r>
        <w:rPr>
          <w:spacing w:val="-2"/>
        </w:rPr>
        <w:t xml:space="preserve"> </w:t>
      </w:r>
      <w:r>
        <w:t>the</w:t>
      </w:r>
      <w:r>
        <w:rPr>
          <w:spacing w:val="-2"/>
        </w:rPr>
        <w:t xml:space="preserve"> Service</w:t>
      </w:r>
      <w:r>
        <w:rPr>
          <w:spacing w:val="1"/>
        </w:rPr>
        <w:t xml:space="preserve"> </w:t>
      </w:r>
      <w:r>
        <w:rPr>
          <w:spacing w:val="-1"/>
        </w:rPr>
        <w:t>Credit</w:t>
      </w:r>
      <w:r>
        <w:rPr>
          <w:spacing w:val="2"/>
        </w:rPr>
        <w:t xml:space="preserve"> </w:t>
      </w:r>
      <w:r>
        <w:rPr>
          <w:spacing w:val="-2"/>
        </w:rPr>
        <w:t>Cap.</w:t>
      </w:r>
    </w:p>
    <w:p w:rsidR="008918FA" w:rsidRDefault="008918FA" w:rsidP="008918FA">
      <w:pPr>
        <w:pStyle w:val="BodyText"/>
        <w:numPr>
          <w:ilvl w:val="0"/>
          <w:numId w:val="66"/>
        </w:numPr>
        <w:tabs>
          <w:tab w:val="left" w:pos="667"/>
        </w:tabs>
        <w:spacing w:before="117"/>
        <w:ind w:left="667"/>
        <w:rPr>
          <w:rFonts w:ascii="Times New Roman" w:eastAsia="Times New Roman" w:hAnsi="Times New Roman" w:cs="Times New Roman"/>
        </w:rPr>
      </w:pPr>
      <w:bookmarkStart w:id="108" w:name="_bookmark99"/>
      <w:bookmarkEnd w:id="108"/>
      <w:r>
        <w:rPr>
          <w:rFonts w:ascii="Times New Roman"/>
        </w:rPr>
        <w:t>CRITICAL</w:t>
      </w:r>
      <w:r>
        <w:rPr>
          <w:rFonts w:ascii="Times New Roman"/>
          <w:spacing w:val="7"/>
        </w:rPr>
        <w:t xml:space="preserve"> </w:t>
      </w:r>
      <w:r>
        <w:rPr>
          <w:rFonts w:ascii="Times New Roman"/>
          <w:spacing w:val="4"/>
        </w:rPr>
        <w:t>SERVICE</w:t>
      </w:r>
      <w:r>
        <w:rPr>
          <w:rFonts w:ascii="Times New Roman"/>
          <w:spacing w:val="18"/>
        </w:rPr>
        <w:t xml:space="preserve"> </w:t>
      </w:r>
      <w:r>
        <w:rPr>
          <w:rFonts w:ascii="Times New Roman"/>
          <w:spacing w:val="1"/>
        </w:rPr>
        <w:t>LEVEL</w:t>
      </w:r>
      <w:r>
        <w:rPr>
          <w:rFonts w:ascii="Times New Roman"/>
          <w:spacing w:val="7"/>
        </w:rPr>
        <w:t xml:space="preserve"> </w:t>
      </w:r>
      <w:r>
        <w:rPr>
          <w:rFonts w:ascii="Times New Roman"/>
        </w:rPr>
        <w:t>FAILURE</w:t>
      </w:r>
    </w:p>
    <w:p w:rsidR="008918FA" w:rsidRDefault="008918FA" w:rsidP="008918FA">
      <w:pPr>
        <w:rPr>
          <w:rFonts w:ascii="Times New Roman" w:eastAsia="Times New Roman" w:hAnsi="Times New Roman" w:cs="Times New Roman"/>
        </w:rPr>
        <w:sectPr w:rsidR="008918FA">
          <w:footerReference w:type="default" r:id="rId10"/>
          <w:pgSz w:w="11910" w:h="16840"/>
          <w:pgMar w:top="1480" w:right="1300" w:bottom="1160" w:left="1340" w:header="0" w:footer="967" w:gutter="0"/>
          <w:pgNumType w:start="26"/>
          <w:cols w:space="720"/>
        </w:sectPr>
      </w:pPr>
    </w:p>
    <w:p w:rsidR="008918FA" w:rsidRDefault="008918FA" w:rsidP="008918FA">
      <w:pPr>
        <w:pStyle w:val="BodyText"/>
        <w:numPr>
          <w:ilvl w:val="1"/>
          <w:numId w:val="66"/>
        </w:numPr>
        <w:tabs>
          <w:tab w:val="left" w:pos="1253"/>
        </w:tabs>
        <w:spacing w:before="59"/>
        <w:ind w:left="1252" w:hanging="564"/>
      </w:pPr>
      <w:bookmarkStart w:id="109" w:name="17._SUPPLIER_NOTIFICATION_OF_CUSTOMER_CA"/>
      <w:bookmarkStart w:id="110" w:name="_bookmark100"/>
      <w:bookmarkEnd w:id="109"/>
      <w:bookmarkEnd w:id="110"/>
      <w:r>
        <w:t>On</w:t>
      </w:r>
      <w:r>
        <w:rPr>
          <w:spacing w:val="-2"/>
        </w:rPr>
        <w:t xml:space="preserve"> </w:t>
      </w:r>
      <w:r>
        <w:t xml:space="preserve">the </w:t>
      </w:r>
      <w:r>
        <w:rPr>
          <w:spacing w:val="-1"/>
        </w:rPr>
        <w:t>occurrence</w:t>
      </w:r>
      <w:r>
        <w:rPr>
          <w:spacing w:val="1"/>
        </w:rPr>
        <w:t xml:space="preserve"> </w:t>
      </w:r>
      <w:r>
        <w:rPr>
          <w:spacing w:val="-2"/>
        </w:rPr>
        <w:t>of</w:t>
      </w:r>
      <w:r>
        <w:rPr>
          <w:spacing w:val="2"/>
        </w:rPr>
        <w:t xml:space="preserve"> </w:t>
      </w:r>
      <w:r>
        <w:t>a</w:t>
      </w:r>
      <w:r>
        <w:rPr>
          <w:spacing w:val="-4"/>
        </w:rPr>
        <w:t xml:space="preserve"> </w:t>
      </w:r>
      <w:r>
        <w:rPr>
          <w:spacing w:val="-1"/>
        </w:rPr>
        <w:t>Critical</w:t>
      </w:r>
      <w:r>
        <w:t xml:space="preserve"> </w:t>
      </w:r>
      <w:r>
        <w:rPr>
          <w:spacing w:val="-2"/>
        </w:rPr>
        <w:t>Service</w:t>
      </w:r>
      <w:r>
        <w:rPr>
          <w:spacing w:val="1"/>
        </w:rPr>
        <w:t xml:space="preserve"> </w:t>
      </w:r>
      <w:r>
        <w:rPr>
          <w:spacing w:val="-2"/>
        </w:rPr>
        <w:t>Level</w:t>
      </w:r>
      <w:r>
        <w:t xml:space="preserve"> </w:t>
      </w:r>
      <w:r>
        <w:rPr>
          <w:spacing w:val="-1"/>
        </w:rPr>
        <w:t>Failure:</w:t>
      </w:r>
    </w:p>
    <w:p w:rsidR="008918FA" w:rsidRDefault="008918FA" w:rsidP="008918FA">
      <w:pPr>
        <w:pStyle w:val="BodyText"/>
        <w:numPr>
          <w:ilvl w:val="2"/>
          <w:numId w:val="66"/>
        </w:numPr>
        <w:tabs>
          <w:tab w:val="left" w:pos="2247"/>
        </w:tabs>
        <w:ind w:left="2246" w:right="112"/>
        <w:jc w:val="both"/>
      </w:pPr>
      <w:r>
        <w:rPr>
          <w:spacing w:val="-1"/>
        </w:rPr>
        <w:t>any</w:t>
      </w:r>
      <w:r>
        <w:rPr>
          <w:spacing w:val="56"/>
        </w:rPr>
        <w:t xml:space="preserve"> </w:t>
      </w:r>
      <w:r>
        <w:rPr>
          <w:spacing w:val="-1"/>
        </w:rPr>
        <w:t>Service</w:t>
      </w:r>
      <w:r>
        <w:rPr>
          <w:spacing w:val="58"/>
        </w:rPr>
        <w:t xml:space="preserve"> </w:t>
      </w:r>
      <w:r>
        <w:rPr>
          <w:spacing w:val="-1"/>
        </w:rPr>
        <w:t>Credits</w:t>
      </w:r>
      <w:r>
        <w:rPr>
          <w:spacing w:val="58"/>
        </w:rPr>
        <w:t xml:space="preserve"> </w:t>
      </w:r>
      <w:r>
        <w:rPr>
          <w:spacing w:val="-1"/>
        </w:rPr>
        <w:t>that</w:t>
      </w:r>
      <w:r>
        <w:rPr>
          <w:spacing w:val="60"/>
        </w:rPr>
        <w:t xml:space="preserve"> </w:t>
      </w:r>
      <w:r>
        <w:rPr>
          <w:spacing w:val="-2"/>
        </w:rPr>
        <w:t>would</w:t>
      </w:r>
      <w:r>
        <w:rPr>
          <w:spacing w:val="58"/>
        </w:rPr>
        <w:t xml:space="preserve"> </w:t>
      </w:r>
      <w:r>
        <w:rPr>
          <w:spacing w:val="-1"/>
        </w:rPr>
        <w:t>otherwise</w:t>
      </w:r>
      <w:r>
        <w:rPr>
          <w:spacing w:val="58"/>
        </w:rPr>
        <w:t xml:space="preserve"> </w:t>
      </w:r>
      <w:r>
        <w:rPr>
          <w:spacing w:val="-1"/>
        </w:rPr>
        <w:t>have</w:t>
      </w:r>
      <w:r>
        <w:t xml:space="preserve">  </w:t>
      </w:r>
      <w:r>
        <w:rPr>
          <w:spacing w:val="-1"/>
        </w:rPr>
        <w:t>accrued</w:t>
      </w:r>
      <w:r>
        <w:rPr>
          <w:spacing w:val="59"/>
        </w:rPr>
        <w:t xml:space="preserve"> </w:t>
      </w:r>
      <w:r>
        <w:rPr>
          <w:spacing w:val="-2"/>
        </w:rPr>
        <w:t>during</w:t>
      </w:r>
      <w:r>
        <w:rPr>
          <w:spacing w:val="58"/>
        </w:rPr>
        <w:t xml:space="preserve"> </w:t>
      </w:r>
      <w:r>
        <w:rPr>
          <w:spacing w:val="-1"/>
        </w:rPr>
        <w:t>the</w:t>
      </w:r>
      <w:r>
        <w:rPr>
          <w:spacing w:val="40"/>
        </w:rPr>
        <w:t xml:space="preserve"> </w:t>
      </w:r>
      <w:r>
        <w:rPr>
          <w:spacing w:val="-2"/>
        </w:rPr>
        <w:t>relevant</w:t>
      </w:r>
      <w:r>
        <w:rPr>
          <w:spacing w:val="2"/>
        </w:rPr>
        <w:t xml:space="preserve"> </w:t>
      </w:r>
      <w:r>
        <w:rPr>
          <w:spacing w:val="-2"/>
        </w:rPr>
        <w:t>Service</w:t>
      </w:r>
      <w:r>
        <w:rPr>
          <w:spacing w:val="1"/>
        </w:rPr>
        <w:t xml:space="preserve"> </w:t>
      </w:r>
      <w:r>
        <w:rPr>
          <w:spacing w:val="-1"/>
        </w:rPr>
        <w:t>Period</w:t>
      </w:r>
      <w:r>
        <w:t xml:space="preserve"> </w:t>
      </w:r>
      <w:r>
        <w:rPr>
          <w:spacing w:val="-2"/>
        </w:rPr>
        <w:t>shall</w:t>
      </w:r>
      <w:r>
        <w:t xml:space="preserve"> </w:t>
      </w:r>
      <w:r>
        <w:rPr>
          <w:spacing w:val="-1"/>
        </w:rPr>
        <w:t>not</w:t>
      </w:r>
      <w:r>
        <w:rPr>
          <w:spacing w:val="2"/>
        </w:rPr>
        <w:t xml:space="preserve"> </w:t>
      </w:r>
      <w:r>
        <w:rPr>
          <w:spacing w:val="-1"/>
        </w:rPr>
        <w:t>accrue;</w:t>
      </w:r>
      <w:r>
        <w:t xml:space="preserve"> </w:t>
      </w:r>
      <w:r>
        <w:rPr>
          <w:spacing w:val="-1"/>
        </w:rPr>
        <w:t>and</w:t>
      </w:r>
    </w:p>
    <w:p w:rsidR="008918FA" w:rsidRDefault="008918FA" w:rsidP="008918FA">
      <w:pPr>
        <w:pStyle w:val="BodyText"/>
        <w:numPr>
          <w:ilvl w:val="2"/>
          <w:numId w:val="66"/>
        </w:numPr>
        <w:tabs>
          <w:tab w:val="left" w:pos="2247"/>
        </w:tabs>
        <w:ind w:left="2245" w:right="113" w:hanging="993"/>
        <w:jc w:val="both"/>
      </w:pPr>
      <w:bookmarkStart w:id="111" w:name="_bookmark101"/>
      <w:bookmarkEnd w:id="111"/>
      <w:r>
        <w:t>the</w:t>
      </w:r>
      <w:r>
        <w:rPr>
          <w:spacing w:val="3"/>
        </w:rPr>
        <w:t xml:space="preserve"> </w:t>
      </w:r>
      <w:r>
        <w:rPr>
          <w:spacing w:val="-1"/>
        </w:rPr>
        <w:t>Customer</w:t>
      </w:r>
      <w:r>
        <w:rPr>
          <w:spacing w:val="2"/>
        </w:rPr>
        <w:t xml:space="preserve"> </w:t>
      </w:r>
      <w:r>
        <w:rPr>
          <w:spacing w:val="-1"/>
        </w:rPr>
        <w:t>shall</w:t>
      </w:r>
      <w:r>
        <w:rPr>
          <w:spacing w:val="2"/>
        </w:rPr>
        <w:t xml:space="preserve"> </w:t>
      </w:r>
      <w:r>
        <w:rPr>
          <w:spacing w:val="-1"/>
        </w:rPr>
        <w:t>(subject</w:t>
      </w:r>
      <w:r>
        <w:rPr>
          <w:spacing w:val="5"/>
        </w:rPr>
        <w:t xml:space="preserve"> </w:t>
      </w:r>
      <w:r>
        <w:t>to the</w:t>
      </w:r>
      <w:r>
        <w:rPr>
          <w:spacing w:val="3"/>
        </w:rPr>
        <w:t xml:space="preserve"> </w:t>
      </w:r>
      <w:r>
        <w:rPr>
          <w:spacing w:val="-2"/>
        </w:rPr>
        <w:t>Service</w:t>
      </w:r>
      <w:r>
        <w:rPr>
          <w:spacing w:val="3"/>
        </w:rPr>
        <w:t xml:space="preserve"> </w:t>
      </w:r>
      <w:r>
        <w:rPr>
          <w:spacing w:val="-1"/>
        </w:rPr>
        <w:t>Credit</w:t>
      </w:r>
      <w:r>
        <w:rPr>
          <w:spacing w:val="2"/>
        </w:rPr>
        <w:t xml:space="preserve"> </w:t>
      </w:r>
      <w:r>
        <w:rPr>
          <w:spacing w:val="-1"/>
        </w:rPr>
        <w:t>Cap</w:t>
      </w:r>
      <w:r>
        <w:rPr>
          <w:spacing w:val="3"/>
        </w:rPr>
        <w:t xml:space="preserve"> </w:t>
      </w:r>
      <w:r>
        <w:rPr>
          <w:spacing w:val="-1"/>
        </w:rPr>
        <w:t>set</w:t>
      </w:r>
      <w:r>
        <w:rPr>
          <w:spacing w:val="4"/>
        </w:rPr>
        <w:t xml:space="preserve"> </w:t>
      </w:r>
      <w:r>
        <w:rPr>
          <w:spacing w:val="-1"/>
        </w:rPr>
        <w:t>out</w:t>
      </w:r>
      <w:r>
        <w:rPr>
          <w:spacing w:val="2"/>
        </w:rPr>
        <w:t xml:space="preserve"> </w:t>
      </w:r>
      <w:r>
        <w:rPr>
          <w:spacing w:val="-1"/>
        </w:rPr>
        <w:t>in</w:t>
      </w:r>
      <w:r>
        <w:rPr>
          <w:spacing w:val="3"/>
        </w:rPr>
        <w:t xml:space="preserve"> </w:t>
      </w:r>
      <w:r>
        <w:rPr>
          <w:spacing w:val="-2"/>
        </w:rPr>
        <w:t>Clause</w:t>
      </w:r>
      <w:hyperlink w:anchor="_bookmark203" w:history="1">
        <w:r>
          <w:rPr>
            <w:spacing w:val="32"/>
          </w:rPr>
          <w:t xml:space="preserve"> </w:t>
        </w:r>
        <w:r>
          <w:rPr>
            <w:spacing w:val="-1"/>
          </w:rPr>
          <w:t>36.2.1(a)</w:t>
        </w:r>
      </w:hyperlink>
      <w:r>
        <w:rPr>
          <w:spacing w:val="17"/>
        </w:rPr>
        <w:t xml:space="preserve"> </w:t>
      </w:r>
      <w:r>
        <w:rPr>
          <w:spacing w:val="-1"/>
        </w:rPr>
        <w:t>(Financial</w:t>
      </w:r>
      <w:r>
        <w:rPr>
          <w:spacing w:val="18"/>
        </w:rPr>
        <w:t xml:space="preserve"> </w:t>
      </w:r>
      <w:r>
        <w:rPr>
          <w:spacing w:val="-1"/>
        </w:rPr>
        <w:t>Limits))</w:t>
      </w:r>
      <w:r>
        <w:rPr>
          <w:spacing w:val="20"/>
        </w:rPr>
        <w:t xml:space="preserve"> </w:t>
      </w:r>
      <w:r>
        <w:rPr>
          <w:spacing w:val="-1"/>
        </w:rPr>
        <w:t>be</w:t>
      </w:r>
      <w:r>
        <w:rPr>
          <w:spacing w:val="18"/>
        </w:rPr>
        <w:t xml:space="preserve"> </w:t>
      </w:r>
      <w:r>
        <w:rPr>
          <w:spacing w:val="-1"/>
        </w:rPr>
        <w:t>entitled</w:t>
      </w:r>
      <w:r>
        <w:rPr>
          <w:spacing w:val="18"/>
        </w:rPr>
        <w:t xml:space="preserve"> </w:t>
      </w:r>
      <w:r>
        <w:t>to</w:t>
      </w:r>
      <w:r>
        <w:rPr>
          <w:spacing w:val="18"/>
        </w:rPr>
        <w:t xml:space="preserve"> </w:t>
      </w:r>
      <w:r>
        <w:rPr>
          <w:spacing w:val="-2"/>
        </w:rPr>
        <w:t>withhold</w:t>
      </w:r>
      <w:r>
        <w:rPr>
          <w:spacing w:val="18"/>
        </w:rPr>
        <w:t xml:space="preserve"> </w:t>
      </w:r>
      <w:r>
        <w:rPr>
          <w:spacing w:val="-1"/>
        </w:rPr>
        <w:t>and</w:t>
      </w:r>
      <w:r>
        <w:rPr>
          <w:spacing w:val="18"/>
        </w:rPr>
        <w:t xml:space="preserve"> </w:t>
      </w:r>
      <w:r>
        <w:rPr>
          <w:spacing w:val="-1"/>
        </w:rPr>
        <w:t>retain</w:t>
      </w:r>
      <w:r>
        <w:rPr>
          <w:spacing w:val="18"/>
        </w:rPr>
        <w:t xml:space="preserve"> </w:t>
      </w:r>
      <w:r>
        <w:rPr>
          <w:spacing w:val="-1"/>
        </w:rPr>
        <w:t>as</w:t>
      </w:r>
      <w:r>
        <w:rPr>
          <w:spacing w:val="46"/>
        </w:rPr>
        <w:t xml:space="preserve"> </w:t>
      </w:r>
      <w:r>
        <w:rPr>
          <w:spacing w:val="-1"/>
        </w:rPr>
        <w:t>compensation</w:t>
      </w:r>
      <w:r>
        <w:rPr>
          <w:spacing w:val="5"/>
        </w:rPr>
        <w:t xml:space="preserve"> </w:t>
      </w:r>
      <w:r>
        <w:t>for</w:t>
      </w:r>
      <w:r>
        <w:rPr>
          <w:spacing w:val="9"/>
        </w:rPr>
        <w:t xml:space="preserve"> </w:t>
      </w:r>
      <w:r>
        <w:t>the</w:t>
      </w:r>
      <w:r>
        <w:rPr>
          <w:spacing w:val="8"/>
        </w:rPr>
        <w:t xml:space="preserve"> </w:t>
      </w:r>
      <w:r>
        <w:rPr>
          <w:spacing w:val="-1"/>
        </w:rPr>
        <w:t>Critical</w:t>
      </w:r>
      <w:r>
        <w:rPr>
          <w:spacing w:val="7"/>
        </w:rPr>
        <w:t xml:space="preserve"> </w:t>
      </w:r>
      <w:r>
        <w:rPr>
          <w:spacing w:val="-2"/>
        </w:rPr>
        <w:t>Service</w:t>
      </w:r>
      <w:r>
        <w:rPr>
          <w:spacing w:val="8"/>
        </w:rPr>
        <w:t xml:space="preserve"> </w:t>
      </w:r>
      <w:r>
        <w:rPr>
          <w:spacing w:val="-1"/>
        </w:rPr>
        <w:t>Level</w:t>
      </w:r>
      <w:r>
        <w:rPr>
          <w:spacing w:val="9"/>
        </w:rPr>
        <w:t xml:space="preserve"> </w:t>
      </w:r>
      <w:r>
        <w:rPr>
          <w:spacing w:val="-1"/>
        </w:rPr>
        <w:t>Failure</w:t>
      </w:r>
      <w:r>
        <w:rPr>
          <w:spacing w:val="7"/>
        </w:rPr>
        <w:t xml:space="preserve"> </w:t>
      </w:r>
      <w:r>
        <w:t>a</w:t>
      </w:r>
      <w:r>
        <w:rPr>
          <w:spacing w:val="7"/>
        </w:rPr>
        <w:t xml:space="preserve"> </w:t>
      </w:r>
      <w:r>
        <w:rPr>
          <w:spacing w:val="-1"/>
        </w:rPr>
        <w:t>sum</w:t>
      </w:r>
      <w:r>
        <w:rPr>
          <w:spacing w:val="9"/>
        </w:rPr>
        <w:t xml:space="preserve"> </w:t>
      </w:r>
      <w:r>
        <w:rPr>
          <w:spacing w:val="-1"/>
        </w:rPr>
        <w:t>equal</w:t>
      </w:r>
      <w:r>
        <w:rPr>
          <w:spacing w:val="7"/>
        </w:rPr>
        <w:t xml:space="preserve"> </w:t>
      </w:r>
      <w:r>
        <w:t>to</w:t>
      </w:r>
      <w:r>
        <w:rPr>
          <w:spacing w:val="7"/>
        </w:rPr>
        <w:t xml:space="preserve"> </w:t>
      </w:r>
      <w:r>
        <w:rPr>
          <w:spacing w:val="-1"/>
        </w:rPr>
        <w:t>any</w:t>
      </w:r>
      <w:r>
        <w:rPr>
          <w:spacing w:val="44"/>
        </w:rPr>
        <w:t xml:space="preserve"> </w:t>
      </w:r>
      <w:r>
        <w:rPr>
          <w:spacing w:val="-2"/>
        </w:rPr>
        <w:t>Call</w:t>
      </w:r>
      <w:r>
        <w:t xml:space="preserve"> Off</w:t>
      </w:r>
      <w:r>
        <w:rPr>
          <w:spacing w:val="2"/>
        </w:rPr>
        <w:t xml:space="preserve"> </w:t>
      </w:r>
      <w:r>
        <w:rPr>
          <w:spacing w:val="-2"/>
        </w:rPr>
        <w:t>Contract</w:t>
      </w:r>
      <w:r>
        <w:rPr>
          <w:spacing w:val="3"/>
        </w:rPr>
        <w:t xml:space="preserve"> </w:t>
      </w:r>
      <w:r>
        <w:rPr>
          <w:spacing w:val="-2"/>
        </w:rPr>
        <w:t>Charges</w:t>
      </w:r>
      <w:r>
        <w:rPr>
          <w:spacing w:val="1"/>
        </w:rPr>
        <w:t xml:space="preserve"> </w:t>
      </w:r>
      <w:r>
        <w:rPr>
          <w:spacing w:val="-2"/>
        </w:rPr>
        <w:t>which</w:t>
      </w:r>
      <w:r>
        <w:rPr>
          <w:spacing w:val="3"/>
        </w:rPr>
        <w:t xml:space="preserve"> </w:t>
      </w:r>
      <w:r>
        <w:rPr>
          <w:spacing w:val="-1"/>
        </w:rPr>
        <w:t>would</w:t>
      </w:r>
      <w:r>
        <w:t xml:space="preserve"> </w:t>
      </w:r>
      <w:r>
        <w:rPr>
          <w:spacing w:val="-1"/>
        </w:rPr>
        <w:t>otherwise</w:t>
      </w:r>
      <w:r>
        <w:rPr>
          <w:spacing w:val="3"/>
        </w:rPr>
        <w:t xml:space="preserve"> </w:t>
      </w:r>
      <w:r>
        <w:rPr>
          <w:spacing w:val="-2"/>
        </w:rPr>
        <w:t>have</w:t>
      </w:r>
      <w:r>
        <w:t xml:space="preserve"> </w:t>
      </w:r>
      <w:r>
        <w:rPr>
          <w:spacing w:val="-1"/>
        </w:rPr>
        <w:t>been</w:t>
      </w:r>
      <w:r>
        <w:t xml:space="preserve"> </w:t>
      </w:r>
      <w:r>
        <w:rPr>
          <w:spacing w:val="-1"/>
        </w:rPr>
        <w:t>due</w:t>
      </w:r>
      <w:r>
        <w:t xml:space="preserve"> to </w:t>
      </w:r>
      <w:r>
        <w:rPr>
          <w:spacing w:val="-1"/>
        </w:rPr>
        <w:t>the</w:t>
      </w:r>
      <w:r>
        <w:rPr>
          <w:spacing w:val="54"/>
        </w:rPr>
        <w:t xml:space="preserve"> </w:t>
      </w:r>
      <w:r>
        <w:rPr>
          <w:spacing w:val="-2"/>
        </w:rPr>
        <w:t>Supplier</w:t>
      </w:r>
      <w:r>
        <w:rPr>
          <w:spacing w:val="4"/>
        </w:rPr>
        <w:t xml:space="preserve"> </w:t>
      </w:r>
      <w:r>
        <w:rPr>
          <w:spacing w:val="-1"/>
        </w:rPr>
        <w:t>in</w:t>
      </w:r>
      <w:r>
        <w:rPr>
          <w:spacing w:val="3"/>
        </w:rPr>
        <w:t xml:space="preserve"> </w:t>
      </w:r>
      <w:r>
        <w:rPr>
          <w:spacing w:val="-1"/>
        </w:rPr>
        <w:t>respect</w:t>
      </w:r>
      <w:r>
        <w:rPr>
          <w:spacing w:val="5"/>
        </w:rPr>
        <w:t xml:space="preserve"> </w:t>
      </w:r>
      <w:r>
        <w:rPr>
          <w:spacing w:val="-1"/>
        </w:rPr>
        <w:t>of</w:t>
      </w:r>
      <w:r>
        <w:rPr>
          <w:spacing w:val="4"/>
        </w:rPr>
        <w:t xml:space="preserve"> </w:t>
      </w:r>
      <w:r>
        <w:rPr>
          <w:spacing w:val="-1"/>
        </w:rPr>
        <w:t>that</w:t>
      </w:r>
      <w:r>
        <w:rPr>
          <w:spacing w:val="4"/>
        </w:rPr>
        <w:t xml:space="preserve"> </w:t>
      </w:r>
      <w:r>
        <w:rPr>
          <w:spacing w:val="-1"/>
        </w:rPr>
        <w:t>Service</w:t>
      </w:r>
      <w:r>
        <w:rPr>
          <w:spacing w:val="3"/>
        </w:rPr>
        <w:t xml:space="preserve"> </w:t>
      </w:r>
      <w:r>
        <w:rPr>
          <w:spacing w:val="-1"/>
        </w:rPr>
        <w:t>Period</w:t>
      </w:r>
      <w:r>
        <w:rPr>
          <w:spacing w:val="3"/>
        </w:rPr>
        <w:t xml:space="preserve"> </w:t>
      </w:r>
      <w:r>
        <w:rPr>
          <w:spacing w:val="-1"/>
        </w:rPr>
        <w:t>(“</w:t>
      </w:r>
      <w:r>
        <w:rPr>
          <w:rFonts w:cs="Arial"/>
          <w:b/>
          <w:bCs/>
          <w:spacing w:val="-1"/>
        </w:rPr>
        <w:t>Compensation</w:t>
      </w:r>
      <w:r>
        <w:rPr>
          <w:rFonts w:cs="Arial"/>
          <w:b/>
          <w:bCs/>
          <w:spacing w:val="3"/>
        </w:rPr>
        <w:t xml:space="preserve"> </w:t>
      </w:r>
      <w:r>
        <w:rPr>
          <w:rFonts w:cs="Arial"/>
          <w:b/>
          <w:bCs/>
          <w:spacing w:val="-1"/>
        </w:rPr>
        <w:t>for</w:t>
      </w:r>
      <w:r>
        <w:rPr>
          <w:rFonts w:cs="Arial"/>
          <w:b/>
          <w:bCs/>
          <w:spacing w:val="3"/>
        </w:rPr>
        <w:t xml:space="preserve"> </w:t>
      </w:r>
      <w:r>
        <w:rPr>
          <w:rFonts w:cs="Arial"/>
          <w:b/>
          <w:bCs/>
          <w:spacing w:val="-1"/>
        </w:rPr>
        <w:t>Critical</w:t>
      </w:r>
      <w:r>
        <w:rPr>
          <w:rFonts w:cs="Arial"/>
          <w:b/>
          <w:bCs/>
          <w:spacing w:val="48"/>
        </w:rPr>
        <w:t xml:space="preserve"> </w:t>
      </w:r>
      <w:r>
        <w:rPr>
          <w:rFonts w:cs="Arial"/>
          <w:b/>
          <w:bCs/>
          <w:spacing w:val="-1"/>
        </w:rPr>
        <w:t>Service</w:t>
      </w:r>
      <w:r>
        <w:rPr>
          <w:rFonts w:cs="Arial"/>
          <w:b/>
          <w:bCs/>
        </w:rPr>
        <w:t xml:space="preserve"> </w:t>
      </w:r>
      <w:r>
        <w:rPr>
          <w:rFonts w:cs="Arial"/>
          <w:b/>
          <w:bCs/>
          <w:spacing w:val="-2"/>
        </w:rPr>
        <w:t>Level</w:t>
      </w:r>
      <w:r>
        <w:rPr>
          <w:rFonts w:cs="Arial"/>
          <w:b/>
          <w:bCs/>
          <w:spacing w:val="2"/>
        </w:rPr>
        <w:t xml:space="preserve"> </w:t>
      </w:r>
      <w:r>
        <w:rPr>
          <w:rFonts w:cs="Arial"/>
          <w:b/>
          <w:bCs/>
          <w:spacing w:val="-1"/>
        </w:rPr>
        <w:t>Failure</w:t>
      </w:r>
      <w:r>
        <w:rPr>
          <w:spacing w:val="-1"/>
        </w:rPr>
        <w:t>"),</w:t>
      </w:r>
    </w:p>
    <w:p w:rsidR="008918FA" w:rsidRDefault="008918FA" w:rsidP="008918FA">
      <w:pPr>
        <w:pStyle w:val="BodyText"/>
        <w:spacing w:before="124"/>
        <w:ind w:left="1252" w:right="113" w:firstLine="0"/>
        <w:jc w:val="both"/>
      </w:pPr>
      <w:r>
        <w:rPr>
          <w:spacing w:val="-2"/>
        </w:rPr>
        <w:t>provided</w:t>
      </w:r>
      <w:r>
        <w:rPr>
          <w:spacing w:val="20"/>
        </w:rPr>
        <w:t xml:space="preserve"> </w:t>
      </w:r>
      <w:r>
        <w:rPr>
          <w:spacing w:val="-1"/>
        </w:rPr>
        <w:t>that</w:t>
      </w:r>
      <w:r>
        <w:rPr>
          <w:spacing w:val="21"/>
        </w:rPr>
        <w:t xml:space="preserve"> </w:t>
      </w:r>
      <w:r>
        <w:t>the</w:t>
      </w:r>
      <w:r>
        <w:rPr>
          <w:spacing w:val="19"/>
        </w:rPr>
        <w:t xml:space="preserve"> </w:t>
      </w:r>
      <w:r>
        <w:rPr>
          <w:spacing w:val="-1"/>
        </w:rPr>
        <w:t>operation</w:t>
      </w:r>
      <w:r>
        <w:rPr>
          <w:spacing w:val="20"/>
        </w:rPr>
        <w:t xml:space="preserve"> </w:t>
      </w:r>
      <w:r>
        <w:rPr>
          <w:spacing w:val="-1"/>
        </w:rPr>
        <w:t>of</w:t>
      </w:r>
      <w:r>
        <w:rPr>
          <w:spacing w:val="21"/>
        </w:rPr>
        <w:t xml:space="preserve"> </w:t>
      </w:r>
      <w:r>
        <w:rPr>
          <w:spacing w:val="-1"/>
        </w:rPr>
        <w:t>this</w:t>
      </w:r>
      <w:r>
        <w:rPr>
          <w:spacing w:val="21"/>
        </w:rPr>
        <w:t xml:space="preserve"> </w:t>
      </w:r>
      <w:r>
        <w:rPr>
          <w:spacing w:val="-2"/>
        </w:rPr>
        <w:t>Clause</w:t>
      </w:r>
      <w:r>
        <w:rPr>
          <w:spacing w:val="20"/>
        </w:rPr>
        <w:t xml:space="preserve"> </w:t>
      </w:r>
      <w:hyperlink w:anchor="_bookmark100" w:history="1">
        <w:r>
          <w:rPr>
            <w:spacing w:val="-1"/>
          </w:rPr>
          <w:t>14.1</w:t>
        </w:r>
      </w:hyperlink>
      <w:r>
        <w:rPr>
          <w:spacing w:val="20"/>
        </w:rPr>
        <w:t xml:space="preserve"> </w:t>
      </w:r>
      <w:r>
        <w:rPr>
          <w:spacing w:val="-1"/>
        </w:rPr>
        <w:t>shall</w:t>
      </w:r>
      <w:r>
        <w:rPr>
          <w:spacing w:val="19"/>
        </w:rPr>
        <w:t xml:space="preserve"> </w:t>
      </w:r>
      <w:r>
        <w:rPr>
          <w:spacing w:val="-1"/>
        </w:rPr>
        <w:t>be</w:t>
      </w:r>
      <w:r>
        <w:rPr>
          <w:spacing w:val="22"/>
        </w:rPr>
        <w:t xml:space="preserve"> </w:t>
      </w:r>
      <w:r>
        <w:rPr>
          <w:spacing w:val="-1"/>
        </w:rPr>
        <w:t>without</w:t>
      </w:r>
      <w:r>
        <w:rPr>
          <w:spacing w:val="21"/>
        </w:rPr>
        <w:t xml:space="preserve"> </w:t>
      </w:r>
      <w:r>
        <w:rPr>
          <w:spacing w:val="-1"/>
        </w:rPr>
        <w:t>prejudice</w:t>
      </w:r>
      <w:r>
        <w:rPr>
          <w:spacing w:val="17"/>
        </w:rPr>
        <w:t xml:space="preserve"> </w:t>
      </w:r>
      <w:r>
        <w:t>to</w:t>
      </w:r>
      <w:r>
        <w:rPr>
          <w:spacing w:val="20"/>
        </w:rPr>
        <w:t xml:space="preserve"> </w:t>
      </w:r>
      <w:r>
        <w:rPr>
          <w:spacing w:val="-1"/>
        </w:rPr>
        <w:t>the</w:t>
      </w:r>
      <w:r>
        <w:rPr>
          <w:spacing w:val="62"/>
        </w:rPr>
        <w:t xml:space="preserve"> </w:t>
      </w:r>
      <w:r>
        <w:rPr>
          <w:spacing w:val="-1"/>
        </w:rPr>
        <w:t>right</w:t>
      </w:r>
      <w:r>
        <w:rPr>
          <w:spacing w:val="7"/>
        </w:rPr>
        <w:t xml:space="preserve"> </w:t>
      </w:r>
      <w:r>
        <w:rPr>
          <w:spacing w:val="-2"/>
        </w:rPr>
        <w:t>of</w:t>
      </w:r>
      <w:r>
        <w:rPr>
          <w:spacing w:val="6"/>
        </w:rPr>
        <w:t xml:space="preserve"> </w:t>
      </w:r>
      <w:r>
        <w:t>the</w:t>
      </w:r>
      <w:r>
        <w:rPr>
          <w:spacing w:val="5"/>
        </w:rPr>
        <w:t xml:space="preserve"> </w:t>
      </w:r>
      <w:r>
        <w:rPr>
          <w:spacing w:val="-1"/>
        </w:rPr>
        <w:t>Customer</w:t>
      </w:r>
      <w:r>
        <w:rPr>
          <w:spacing w:val="4"/>
        </w:rPr>
        <w:t xml:space="preserve"> </w:t>
      </w:r>
      <w:r>
        <w:t>to</w:t>
      </w:r>
      <w:r>
        <w:rPr>
          <w:spacing w:val="3"/>
        </w:rPr>
        <w:t xml:space="preserve"> </w:t>
      </w:r>
      <w:r>
        <w:rPr>
          <w:spacing w:val="-1"/>
        </w:rPr>
        <w:t>terminate</w:t>
      </w:r>
      <w:r>
        <w:rPr>
          <w:spacing w:val="3"/>
        </w:rPr>
        <w:t xml:space="preserve"> </w:t>
      </w:r>
      <w:r>
        <w:rPr>
          <w:spacing w:val="-1"/>
        </w:rPr>
        <w:t>this</w:t>
      </w:r>
      <w:r>
        <w:rPr>
          <w:spacing w:val="5"/>
        </w:rPr>
        <w:t xml:space="preserve"> </w:t>
      </w:r>
      <w:r>
        <w:rPr>
          <w:spacing w:val="-2"/>
        </w:rPr>
        <w:t>Call</w:t>
      </w:r>
      <w:r>
        <w:rPr>
          <w:spacing w:val="4"/>
        </w:rPr>
        <w:t xml:space="preserve"> </w:t>
      </w:r>
      <w:r>
        <w:rPr>
          <w:spacing w:val="-1"/>
        </w:rPr>
        <w:t>Off</w:t>
      </w:r>
      <w:r>
        <w:rPr>
          <w:spacing w:val="7"/>
        </w:rPr>
        <w:t xml:space="preserve"> </w:t>
      </w:r>
      <w:r>
        <w:rPr>
          <w:spacing w:val="-1"/>
        </w:rPr>
        <w:t>Contract</w:t>
      </w:r>
      <w:r>
        <w:rPr>
          <w:spacing w:val="7"/>
        </w:rPr>
        <w:t xml:space="preserve"> </w:t>
      </w:r>
      <w:r>
        <w:rPr>
          <w:spacing w:val="-1"/>
        </w:rPr>
        <w:t>and/or</w:t>
      </w:r>
      <w:r>
        <w:rPr>
          <w:spacing w:val="6"/>
        </w:rPr>
        <w:t xml:space="preserve"> </w:t>
      </w:r>
      <w:r>
        <w:t>to</w:t>
      </w:r>
      <w:r>
        <w:rPr>
          <w:spacing w:val="3"/>
        </w:rPr>
        <w:t xml:space="preserve"> </w:t>
      </w:r>
      <w:r>
        <w:rPr>
          <w:spacing w:val="-1"/>
        </w:rPr>
        <w:t>claim</w:t>
      </w:r>
      <w:r>
        <w:rPr>
          <w:spacing w:val="6"/>
        </w:rPr>
        <w:t xml:space="preserve"> </w:t>
      </w:r>
      <w:r>
        <w:rPr>
          <w:spacing w:val="-1"/>
        </w:rPr>
        <w:t>damages</w:t>
      </w:r>
      <w:r>
        <w:rPr>
          <w:spacing w:val="36"/>
        </w:rPr>
        <w:t xml:space="preserve"> </w:t>
      </w:r>
      <w:r>
        <w:rPr>
          <w:spacing w:val="-1"/>
        </w:rPr>
        <w:t>from</w:t>
      </w:r>
      <w:r>
        <w:rPr>
          <w:spacing w:val="28"/>
        </w:rPr>
        <w:t xml:space="preserve"> </w:t>
      </w:r>
      <w:r>
        <w:t>the</w:t>
      </w:r>
      <w:r>
        <w:rPr>
          <w:spacing w:val="27"/>
        </w:rPr>
        <w:t xml:space="preserve"> </w:t>
      </w:r>
      <w:r>
        <w:rPr>
          <w:spacing w:val="-2"/>
        </w:rPr>
        <w:t>Supplier</w:t>
      </w:r>
      <w:r>
        <w:rPr>
          <w:spacing w:val="26"/>
        </w:rPr>
        <w:t xml:space="preserve"> </w:t>
      </w:r>
      <w:r>
        <w:t>for</w:t>
      </w:r>
      <w:r>
        <w:rPr>
          <w:spacing w:val="26"/>
        </w:rPr>
        <w:t xml:space="preserve"> </w:t>
      </w:r>
      <w:r>
        <w:rPr>
          <w:spacing w:val="-1"/>
        </w:rPr>
        <w:t>material</w:t>
      </w:r>
      <w:r>
        <w:rPr>
          <w:spacing w:val="26"/>
        </w:rPr>
        <w:t xml:space="preserve"> </w:t>
      </w:r>
      <w:r>
        <w:rPr>
          <w:spacing w:val="-1"/>
        </w:rPr>
        <w:t>Default</w:t>
      </w:r>
      <w:r>
        <w:rPr>
          <w:spacing w:val="29"/>
        </w:rPr>
        <w:t xml:space="preserve"> </w:t>
      </w:r>
      <w:r>
        <w:rPr>
          <w:spacing w:val="-1"/>
        </w:rPr>
        <w:t>as</w:t>
      </w:r>
      <w:r>
        <w:rPr>
          <w:spacing w:val="27"/>
        </w:rPr>
        <w:t xml:space="preserve"> </w:t>
      </w:r>
      <w:r>
        <w:t>a</w:t>
      </w:r>
      <w:r>
        <w:rPr>
          <w:spacing w:val="24"/>
        </w:rPr>
        <w:t xml:space="preserve"> </w:t>
      </w:r>
      <w:r>
        <w:rPr>
          <w:spacing w:val="-2"/>
        </w:rPr>
        <w:t>result</w:t>
      </w:r>
      <w:r>
        <w:rPr>
          <w:spacing w:val="28"/>
        </w:rPr>
        <w:t xml:space="preserve"> </w:t>
      </w:r>
      <w:r>
        <w:rPr>
          <w:spacing w:val="-2"/>
        </w:rPr>
        <w:t>of</w:t>
      </w:r>
      <w:r>
        <w:rPr>
          <w:spacing w:val="30"/>
        </w:rPr>
        <w:t xml:space="preserve"> </w:t>
      </w:r>
      <w:r>
        <w:rPr>
          <w:spacing w:val="-1"/>
        </w:rPr>
        <w:t>such</w:t>
      </w:r>
      <w:r>
        <w:rPr>
          <w:spacing w:val="27"/>
        </w:rPr>
        <w:t xml:space="preserve"> </w:t>
      </w:r>
      <w:r>
        <w:rPr>
          <w:spacing w:val="-1"/>
        </w:rPr>
        <w:t>Critical</w:t>
      </w:r>
      <w:r>
        <w:rPr>
          <w:spacing w:val="26"/>
        </w:rPr>
        <w:t xml:space="preserve"> </w:t>
      </w:r>
      <w:r>
        <w:rPr>
          <w:spacing w:val="-1"/>
        </w:rPr>
        <w:t>Service</w:t>
      </w:r>
      <w:r>
        <w:rPr>
          <w:spacing w:val="28"/>
        </w:rPr>
        <w:t xml:space="preserve"> </w:t>
      </w:r>
      <w:r>
        <w:rPr>
          <w:spacing w:val="-1"/>
        </w:rPr>
        <w:t>Level</w:t>
      </w:r>
      <w:r>
        <w:rPr>
          <w:spacing w:val="51"/>
        </w:rPr>
        <w:t xml:space="preserve"> </w:t>
      </w:r>
      <w:r>
        <w:rPr>
          <w:spacing w:val="-2"/>
        </w:rPr>
        <w:t>Failure.</w:t>
      </w:r>
    </w:p>
    <w:p w:rsidR="008918FA" w:rsidRDefault="008918FA" w:rsidP="008918FA">
      <w:pPr>
        <w:pStyle w:val="BodyText"/>
        <w:numPr>
          <w:ilvl w:val="1"/>
          <w:numId w:val="66"/>
        </w:numPr>
        <w:tabs>
          <w:tab w:val="left" w:pos="1253"/>
        </w:tabs>
        <w:ind w:left="1252" w:hanging="564"/>
      </w:pPr>
      <w:r>
        <w:t>The</w:t>
      </w:r>
      <w:r>
        <w:rPr>
          <w:spacing w:val="-2"/>
        </w:rPr>
        <w:t xml:space="preserve"> </w:t>
      </w:r>
      <w:r>
        <w:rPr>
          <w:spacing w:val="-1"/>
        </w:rPr>
        <w:t>Supplier:</w:t>
      </w:r>
    </w:p>
    <w:p w:rsidR="008918FA" w:rsidRDefault="008918FA" w:rsidP="008918FA">
      <w:pPr>
        <w:pStyle w:val="BodyText"/>
        <w:numPr>
          <w:ilvl w:val="2"/>
          <w:numId w:val="66"/>
        </w:numPr>
        <w:tabs>
          <w:tab w:val="left" w:pos="2247"/>
        </w:tabs>
        <w:spacing w:before="121"/>
        <w:ind w:left="2246" w:right="113"/>
        <w:jc w:val="both"/>
      </w:pPr>
      <w:r>
        <w:rPr>
          <w:spacing w:val="-1"/>
        </w:rPr>
        <w:t>agrees</w:t>
      </w:r>
      <w:r>
        <w:rPr>
          <w:spacing w:val="34"/>
        </w:rPr>
        <w:t xml:space="preserve"> </w:t>
      </w:r>
      <w:r>
        <w:rPr>
          <w:spacing w:val="-1"/>
        </w:rPr>
        <w:t>that</w:t>
      </w:r>
      <w:r>
        <w:rPr>
          <w:spacing w:val="35"/>
        </w:rPr>
        <w:t xml:space="preserve"> </w:t>
      </w:r>
      <w:r>
        <w:t>the</w:t>
      </w:r>
      <w:r>
        <w:rPr>
          <w:spacing w:val="34"/>
        </w:rPr>
        <w:t xml:space="preserve"> </w:t>
      </w:r>
      <w:r>
        <w:rPr>
          <w:spacing w:val="-1"/>
        </w:rPr>
        <w:t>application</w:t>
      </w:r>
      <w:r>
        <w:rPr>
          <w:spacing w:val="34"/>
        </w:rPr>
        <w:t xml:space="preserve"> </w:t>
      </w:r>
      <w:r>
        <w:rPr>
          <w:spacing w:val="-1"/>
        </w:rPr>
        <w:t>of</w:t>
      </w:r>
      <w:r>
        <w:rPr>
          <w:spacing w:val="38"/>
        </w:rPr>
        <w:t xml:space="preserve"> </w:t>
      </w:r>
      <w:r>
        <w:rPr>
          <w:spacing w:val="-2"/>
        </w:rPr>
        <w:t>Clause</w:t>
      </w:r>
      <w:r>
        <w:rPr>
          <w:spacing w:val="36"/>
        </w:rPr>
        <w:t xml:space="preserve"> </w:t>
      </w:r>
      <w:hyperlink w:anchor="_bookmark100" w:history="1">
        <w:r>
          <w:rPr>
            <w:spacing w:val="-1"/>
          </w:rPr>
          <w:t>14.1</w:t>
        </w:r>
      </w:hyperlink>
      <w:r>
        <w:rPr>
          <w:spacing w:val="35"/>
        </w:rPr>
        <w:t xml:space="preserve"> </w:t>
      </w:r>
      <w:r>
        <w:rPr>
          <w:spacing w:val="-1"/>
        </w:rPr>
        <w:t>is</w:t>
      </w:r>
      <w:r>
        <w:rPr>
          <w:spacing w:val="34"/>
        </w:rPr>
        <w:t xml:space="preserve"> </w:t>
      </w:r>
      <w:r>
        <w:rPr>
          <w:spacing w:val="-1"/>
        </w:rPr>
        <w:t>commercially</w:t>
      </w:r>
      <w:r>
        <w:rPr>
          <w:spacing w:val="32"/>
        </w:rPr>
        <w:t xml:space="preserve"> </w:t>
      </w:r>
      <w:r>
        <w:rPr>
          <w:spacing w:val="-1"/>
        </w:rPr>
        <w:t>justifiable</w:t>
      </w:r>
      <w:r>
        <w:rPr>
          <w:spacing w:val="33"/>
        </w:rPr>
        <w:t xml:space="preserve"> </w:t>
      </w:r>
      <w:r>
        <w:rPr>
          <w:spacing w:val="-2"/>
        </w:rPr>
        <w:t>where</w:t>
      </w:r>
      <w:r>
        <w:t xml:space="preserve"> a </w:t>
      </w:r>
      <w:r>
        <w:rPr>
          <w:spacing w:val="-1"/>
        </w:rPr>
        <w:t>Critical</w:t>
      </w:r>
      <w:r>
        <w:t xml:space="preserve"> </w:t>
      </w:r>
      <w:r>
        <w:rPr>
          <w:spacing w:val="-2"/>
        </w:rPr>
        <w:t>Service Level</w:t>
      </w:r>
      <w:r>
        <w:t xml:space="preserve"> </w:t>
      </w:r>
      <w:r>
        <w:rPr>
          <w:spacing w:val="-1"/>
        </w:rPr>
        <w:t>Failure</w:t>
      </w:r>
      <w:r>
        <w:t xml:space="preserve"> </w:t>
      </w:r>
      <w:r>
        <w:rPr>
          <w:spacing w:val="-1"/>
        </w:rPr>
        <w:t>occurs;</w:t>
      </w:r>
      <w:r>
        <w:t xml:space="preserve"> </w:t>
      </w:r>
      <w:r>
        <w:rPr>
          <w:spacing w:val="-2"/>
        </w:rPr>
        <w:t>and</w:t>
      </w:r>
    </w:p>
    <w:p w:rsidR="008918FA" w:rsidRDefault="008918FA" w:rsidP="008918FA">
      <w:pPr>
        <w:pStyle w:val="BodyText"/>
        <w:numPr>
          <w:ilvl w:val="2"/>
          <w:numId w:val="66"/>
        </w:numPr>
        <w:tabs>
          <w:tab w:val="left" w:pos="2247"/>
        </w:tabs>
        <w:spacing w:before="121"/>
        <w:ind w:left="2246" w:right="115"/>
        <w:jc w:val="both"/>
      </w:pPr>
      <w:r>
        <w:rPr>
          <w:spacing w:val="-1"/>
        </w:rPr>
        <w:t>acknowledges</w:t>
      </w:r>
      <w:r>
        <w:rPr>
          <w:spacing w:val="2"/>
        </w:rPr>
        <w:t xml:space="preserve"> </w:t>
      </w:r>
      <w:r>
        <w:rPr>
          <w:spacing w:val="-1"/>
        </w:rPr>
        <w:t>that</w:t>
      </w:r>
      <w:r>
        <w:rPr>
          <w:spacing w:val="5"/>
        </w:rPr>
        <w:t xml:space="preserve"> </w:t>
      </w:r>
      <w:r>
        <w:rPr>
          <w:spacing w:val="-1"/>
        </w:rPr>
        <w:t>it</w:t>
      </w:r>
      <w:r>
        <w:rPr>
          <w:spacing w:val="5"/>
        </w:rPr>
        <w:t xml:space="preserve"> </w:t>
      </w:r>
      <w:r>
        <w:rPr>
          <w:spacing w:val="-2"/>
        </w:rPr>
        <w:t>has</w:t>
      </w:r>
      <w:r>
        <w:rPr>
          <w:spacing w:val="4"/>
        </w:rPr>
        <w:t xml:space="preserve"> </w:t>
      </w:r>
      <w:r>
        <w:rPr>
          <w:spacing w:val="-1"/>
        </w:rPr>
        <w:t>taken</w:t>
      </w:r>
      <w:r>
        <w:rPr>
          <w:spacing w:val="4"/>
        </w:rPr>
        <w:t xml:space="preserve"> </w:t>
      </w:r>
      <w:r>
        <w:rPr>
          <w:spacing w:val="-1"/>
        </w:rPr>
        <w:t>legal</w:t>
      </w:r>
      <w:r>
        <w:rPr>
          <w:spacing w:val="3"/>
        </w:rPr>
        <w:t xml:space="preserve"> </w:t>
      </w:r>
      <w:r>
        <w:rPr>
          <w:spacing w:val="-2"/>
        </w:rPr>
        <w:t>advice</w:t>
      </w:r>
      <w:r>
        <w:rPr>
          <w:spacing w:val="7"/>
        </w:rPr>
        <w:t xml:space="preserve"> </w:t>
      </w:r>
      <w:r>
        <w:rPr>
          <w:spacing w:val="-1"/>
        </w:rPr>
        <w:t>on</w:t>
      </w:r>
      <w:r>
        <w:rPr>
          <w:spacing w:val="4"/>
        </w:rPr>
        <w:t xml:space="preserve"> </w:t>
      </w:r>
      <w:r>
        <w:t>the</w:t>
      </w:r>
      <w:r>
        <w:rPr>
          <w:spacing w:val="4"/>
        </w:rPr>
        <w:t xml:space="preserve"> </w:t>
      </w:r>
      <w:r w:rsidR="00F64EFB">
        <w:rPr>
          <w:spacing w:val="-1"/>
        </w:rPr>
        <w:t>application</w:t>
      </w:r>
      <w:r w:rsidR="00F64EFB">
        <w:t xml:space="preserve"> </w:t>
      </w:r>
      <w:r w:rsidR="00F64EFB">
        <w:rPr>
          <w:spacing w:val="4"/>
        </w:rPr>
        <w:t>of</w:t>
      </w:r>
      <w:r>
        <w:rPr>
          <w:spacing w:val="41"/>
        </w:rPr>
        <w:t xml:space="preserve"> </w:t>
      </w:r>
      <w:r>
        <w:rPr>
          <w:spacing w:val="-2"/>
        </w:rPr>
        <w:t>Clause</w:t>
      </w:r>
      <w:r>
        <w:rPr>
          <w:spacing w:val="38"/>
        </w:rPr>
        <w:t xml:space="preserve"> </w:t>
      </w:r>
      <w:hyperlink w:anchor="_bookmark100" w:history="1">
        <w:r>
          <w:rPr>
            <w:spacing w:val="-1"/>
          </w:rPr>
          <w:t>14.1</w:t>
        </w:r>
      </w:hyperlink>
      <w:r>
        <w:rPr>
          <w:spacing w:val="36"/>
        </w:rPr>
        <w:t xml:space="preserve"> </w:t>
      </w:r>
      <w:r>
        <w:rPr>
          <w:spacing w:val="-1"/>
        </w:rPr>
        <w:t>and</w:t>
      </w:r>
      <w:r>
        <w:rPr>
          <w:spacing w:val="36"/>
        </w:rPr>
        <w:t xml:space="preserve"> </w:t>
      </w:r>
      <w:r>
        <w:rPr>
          <w:spacing w:val="-1"/>
        </w:rPr>
        <w:t>has</w:t>
      </w:r>
      <w:r>
        <w:rPr>
          <w:spacing w:val="37"/>
        </w:rPr>
        <w:t xml:space="preserve"> </w:t>
      </w:r>
      <w:r>
        <w:rPr>
          <w:spacing w:val="-2"/>
        </w:rPr>
        <w:t>had</w:t>
      </w:r>
      <w:r>
        <w:rPr>
          <w:spacing w:val="36"/>
        </w:rPr>
        <w:t xml:space="preserve"> </w:t>
      </w:r>
      <w:r>
        <w:t>the</w:t>
      </w:r>
      <w:r>
        <w:rPr>
          <w:spacing w:val="36"/>
        </w:rPr>
        <w:t xml:space="preserve"> </w:t>
      </w:r>
      <w:r>
        <w:rPr>
          <w:spacing w:val="-1"/>
        </w:rPr>
        <w:t>opportunity</w:t>
      </w:r>
      <w:r>
        <w:rPr>
          <w:spacing w:val="35"/>
        </w:rPr>
        <w:t xml:space="preserve"> </w:t>
      </w:r>
      <w:r>
        <w:t>to</w:t>
      </w:r>
      <w:r>
        <w:rPr>
          <w:spacing w:val="36"/>
        </w:rPr>
        <w:t xml:space="preserve"> </w:t>
      </w:r>
      <w:r>
        <w:rPr>
          <w:spacing w:val="-2"/>
        </w:rPr>
        <w:t>price</w:t>
      </w:r>
      <w:r>
        <w:rPr>
          <w:spacing w:val="34"/>
        </w:rPr>
        <w:t xml:space="preserve"> </w:t>
      </w:r>
      <w:r>
        <w:t>for</w:t>
      </w:r>
      <w:r>
        <w:rPr>
          <w:spacing w:val="35"/>
        </w:rPr>
        <w:t xml:space="preserve"> </w:t>
      </w:r>
      <w:r>
        <w:rPr>
          <w:spacing w:val="-1"/>
        </w:rPr>
        <w:t>that</w:t>
      </w:r>
      <w:r>
        <w:rPr>
          <w:spacing w:val="35"/>
        </w:rPr>
        <w:t xml:space="preserve"> </w:t>
      </w:r>
      <w:r>
        <w:rPr>
          <w:spacing w:val="-2"/>
        </w:rPr>
        <w:t>risk</w:t>
      </w:r>
      <w:r>
        <w:rPr>
          <w:spacing w:val="39"/>
        </w:rPr>
        <w:t xml:space="preserve"> </w:t>
      </w:r>
      <w:r>
        <w:rPr>
          <w:spacing w:val="-2"/>
        </w:rPr>
        <w:t>when</w:t>
      </w:r>
      <w:r>
        <w:rPr>
          <w:spacing w:val="52"/>
        </w:rPr>
        <w:t xml:space="preserve"> </w:t>
      </w:r>
      <w:r>
        <w:rPr>
          <w:spacing w:val="-1"/>
        </w:rPr>
        <w:t>calculating</w:t>
      </w:r>
      <w:r>
        <w:t xml:space="preserve"> the </w:t>
      </w:r>
      <w:r>
        <w:rPr>
          <w:spacing w:val="-2"/>
        </w:rPr>
        <w:t>Call</w:t>
      </w:r>
      <w:r>
        <w:rPr>
          <w:spacing w:val="-3"/>
        </w:rPr>
        <w:t xml:space="preserve"> </w:t>
      </w:r>
      <w:r>
        <w:rPr>
          <w:spacing w:val="-1"/>
        </w:rPr>
        <w:t>Off</w:t>
      </w:r>
      <w:r>
        <w:rPr>
          <w:spacing w:val="2"/>
        </w:rPr>
        <w:t xml:space="preserve"> </w:t>
      </w:r>
      <w:r>
        <w:rPr>
          <w:spacing w:val="-2"/>
        </w:rPr>
        <w:t>Contract</w:t>
      </w:r>
      <w:r>
        <w:rPr>
          <w:spacing w:val="2"/>
        </w:rPr>
        <w:t xml:space="preserve"> </w:t>
      </w:r>
      <w:r>
        <w:rPr>
          <w:spacing w:val="-2"/>
        </w:rPr>
        <w:t>Charges.</w:t>
      </w:r>
    </w:p>
    <w:p w:rsidR="008918FA" w:rsidRDefault="008918FA" w:rsidP="008918FA">
      <w:pPr>
        <w:pStyle w:val="BodyText"/>
        <w:numPr>
          <w:ilvl w:val="0"/>
          <w:numId w:val="66"/>
        </w:numPr>
        <w:tabs>
          <w:tab w:val="left" w:pos="687"/>
        </w:tabs>
        <w:spacing w:before="120"/>
        <w:rPr>
          <w:rFonts w:ascii="Times New Roman" w:eastAsia="Times New Roman" w:hAnsi="Times New Roman" w:cs="Times New Roman"/>
        </w:rPr>
      </w:pPr>
      <w:bookmarkStart w:id="112" w:name="_bookmark102"/>
      <w:bookmarkEnd w:id="112"/>
      <w:r>
        <w:rPr>
          <w:rFonts w:ascii="Times New Roman"/>
          <w:spacing w:val="3"/>
        </w:rPr>
        <w:t>BUS</w:t>
      </w:r>
      <w:r>
        <w:rPr>
          <w:rFonts w:ascii="Times New Roman"/>
          <w:spacing w:val="-32"/>
        </w:rPr>
        <w:t xml:space="preserve"> </w:t>
      </w:r>
      <w:r>
        <w:rPr>
          <w:rFonts w:ascii="Times New Roman"/>
          <w:spacing w:val="-1"/>
        </w:rPr>
        <w:t>INES</w:t>
      </w:r>
      <w:r>
        <w:rPr>
          <w:rFonts w:ascii="Times New Roman"/>
          <w:spacing w:val="-32"/>
        </w:rPr>
        <w:t xml:space="preserve"> </w:t>
      </w:r>
      <w:r>
        <w:rPr>
          <w:rFonts w:ascii="Times New Roman"/>
        </w:rPr>
        <w:t>S</w:t>
      </w:r>
      <w:r>
        <w:rPr>
          <w:rFonts w:ascii="Times New Roman"/>
          <w:spacing w:val="31"/>
        </w:rPr>
        <w:t xml:space="preserve"> </w:t>
      </w:r>
      <w:r>
        <w:rPr>
          <w:rFonts w:ascii="Times New Roman"/>
          <w:spacing w:val="-1"/>
        </w:rPr>
        <w:t>CONTINUITY</w:t>
      </w:r>
      <w:r>
        <w:rPr>
          <w:rFonts w:ascii="Times New Roman"/>
          <w:spacing w:val="-4"/>
        </w:rPr>
        <w:t xml:space="preserve"> </w:t>
      </w:r>
      <w:r>
        <w:rPr>
          <w:rFonts w:ascii="Times New Roman"/>
          <w:spacing w:val="-3"/>
        </w:rPr>
        <w:t>AND</w:t>
      </w:r>
      <w:r>
        <w:rPr>
          <w:rFonts w:ascii="Times New Roman"/>
          <w:spacing w:val="6"/>
        </w:rPr>
        <w:t xml:space="preserve"> </w:t>
      </w:r>
      <w:r>
        <w:rPr>
          <w:rFonts w:ascii="Times New Roman"/>
          <w:spacing w:val="-5"/>
        </w:rPr>
        <w:t>DIS</w:t>
      </w:r>
      <w:r>
        <w:rPr>
          <w:rFonts w:ascii="Times New Roman"/>
          <w:spacing w:val="-27"/>
        </w:rPr>
        <w:t xml:space="preserve"> </w:t>
      </w:r>
      <w:r>
        <w:rPr>
          <w:rFonts w:ascii="Times New Roman"/>
          <w:spacing w:val="-6"/>
        </w:rPr>
        <w:t>A</w:t>
      </w:r>
      <w:r>
        <w:rPr>
          <w:rFonts w:ascii="Times New Roman"/>
          <w:spacing w:val="26"/>
        </w:rPr>
        <w:t>S</w:t>
      </w:r>
      <w:r>
        <w:rPr>
          <w:rFonts w:ascii="Times New Roman"/>
          <w:spacing w:val="-3"/>
        </w:rPr>
        <w:t>T</w:t>
      </w:r>
      <w:r>
        <w:rPr>
          <w:rFonts w:ascii="Times New Roman"/>
          <w:spacing w:val="11"/>
        </w:rPr>
        <w:t>E</w:t>
      </w:r>
      <w:r>
        <w:rPr>
          <w:rFonts w:ascii="Times New Roman"/>
        </w:rPr>
        <w:t>R</w:t>
      </w:r>
      <w:r>
        <w:rPr>
          <w:rFonts w:ascii="Times New Roman"/>
          <w:spacing w:val="18"/>
        </w:rPr>
        <w:t xml:space="preserve"> </w:t>
      </w:r>
      <w:r>
        <w:rPr>
          <w:rFonts w:ascii="Times New Roman"/>
          <w:spacing w:val="11"/>
        </w:rPr>
        <w:t>RE</w:t>
      </w:r>
      <w:r>
        <w:rPr>
          <w:rFonts w:ascii="Times New Roman"/>
          <w:spacing w:val="13"/>
        </w:rPr>
        <w:t>CO</w:t>
      </w:r>
      <w:r>
        <w:rPr>
          <w:rFonts w:ascii="Times New Roman"/>
          <w:spacing w:val="-14"/>
        </w:rPr>
        <w:t>V</w:t>
      </w:r>
      <w:bookmarkStart w:id="113" w:name="15._BUSINESS_CONTINUITY_AND_DISASTER_REC"/>
      <w:bookmarkEnd w:id="113"/>
      <w:r>
        <w:rPr>
          <w:rFonts w:ascii="Times New Roman"/>
          <w:spacing w:val="11"/>
        </w:rPr>
        <w:t>ER</w:t>
      </w:r>
      <w:r>
        <w:rPr>
          <w:rFonts w:ascii="Times New Roman"/>
        </w:rPr>
        <w:t>Y</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53"/>
        </w:tabs>
        <w:spacing w:before="0"/>
        <w:ind w:left="1048" w:right="112" w:hanging="360"/>
        <w:jc w:val="both"/>
      </w:pPr>
      <w:r>
        <w:rPr>
          <w:spacing w:val="-1"/>
        </w:rPr>
        <w:t>Where</w:t>
      </w:r>
      <w:r>
        <w:rPr>
          <w:spacing w:val="58"/>
        </w:rPr>
        <w:t xml:space="preserve"> </w:t>
      </w:r>
      <w:r>
        <w:rPr>
          <w:spacing w:val="-1"/>
        </w:rPr>
        <w:t>specified</w:t>
      </w:r>
      <w:r>
        <w:rPr>
          <w:spacing w:val="58"/>
        </w:rPr>
        <w:t xml:space="preserve"> </w:t>
      </w:r>
      <w:r>
        <w:rPr>
          <w:spacing w:val="-1"/>
        </w:rPr>
        <w:t>in</w:t>
      </w:r>
      <w:r>
        <w:rPr>
          <w:spacing w:val="55"/>
        </w:rPr>
        <w:t xml:space="preserve"> </w:t>
      </w:r>
      <w:r>
        <w:t>the</w:t>
      </w:r>
      <w:r>
        <w:rPr>
          <w:spacing w:val="55"/>
        </w:rPr>
        <w:t xml:space="preserve"> </w:t>
      </w:r>
      <w:r>
        <w:rPr>
          <w:spacing w:val="-1"/>
        </w:rPr>
        <w:t>Order</w:t>
      </w:r>
      <w:r>
        <w:rPr>
          <w:spacing w:val="59"/>
        </w:rPr>
        <w:t xml:space="preserve"> </w:t>
      </w:r>
      <w:r>
        <w:rPr>
          <w:spacing w:val="-2"/>
        </w:rPr>
        <w:t>Form</w:t>
      </w:r>
      <w:r w:rsidR="00F64EFB">
        <w:rPr>
          <w:spacing w:val="-2"/>
        </w:rPr>
        <w:t>,</w:t>
      </w:r>
      <w:r w:rsidR="00F64EFB">
        <w:t xml:space="preserve"> or</w:t>
      </w:r>
      <w:r>
        <w:rPr>
          <w:spacing w:val="59"/>
        </w:rPr>
        <w:t xml:space="preserve"> </w:t>
      </w:r>
      <w:r>
        <w:rPr>
          <w:spacing w:val="-2"/>
        </w:rPr>
        <w:t>elsewhere</w:t>
      </w:r>
      <w:r>
        <w:rPr>
          <w:spacing w:val="59"/>
        </w:rPr>
        <w:t xml:space="preserve"> </w:t>
      </w:r>
      <w:r>
        <w:rPr>
          <w:spacing w:val="-1"/>
        </w:rPr>
        <w:t>this</w:t>
      </w:r>
      <w:r>
        <w:rPr>
          <w:spacing w:val="58"/>
        </w:rPr>
        <w:t xml:space="preserve"> </w:t>
      </w:r>
      <w:r>
        <w:rPr>
          <w:spacing w:val="-1"/>
        </w:rPr>
        <w:t>Call</w:t>
      </w:r>
      <w:r>
        <w:rPr>
          <w:spacing w:val="57"/>
        </w:rPr>
        <w:t xml:space="preserve"> </w:t>
      </w:r>
      <w:r>
        <w:rPr>
          <w:spacing w:val="-1"/>
        </w:rPr>
        <w:t>Off</w:t>
      </w:r>
      <w:r>
        <w:rPr>
          <w:spacing w:val="59"/>
        </w:rPr>
        <w:t xml:space="preserve"> </w:t>
      </w:r>
      <w:r>
        <w:rPr>
          <w:spacing w:val="-2"/>
        </w:rPr>
        <w:t>Contract</w:t>
      </w:r>
      <w:r w:rsidR="00F64EFB">
        <w:rPr>
          <w:spacing w:val="-2"/>
        </w:rPr>
        <w:t>,</w:t>
      </w:r>
      <w:r>
        <w:rPr>
          <w:spacing w:val="59"/>
        </w:rPr>
        <w:t xml:space="preserve"> </w:t>
      </w:r>
      <w:r>
        <w:rPr>
          <w:spacing w:val="-1"/>
        </w:rPr>
        <w:t>the</w:t>
      </w:r>
      <w:r>
        <w:rPr>
          <w:spacing w:val="66"/>
        </w:rPr>
        <w:t xml:space="preserve"> </w:t>
      </w:r>
      <w:r>
        <w:rPr>
          <w:spacing w:val="-1"/>
        </w:rPr>
        <w:t>Parties</w:t>
      </w:r>
      <w:r>
        <w:rPr>
          <w:spacing w:val="1"/>
        </w:rPr>
        <w:t xml:space="preserve"> </w:t>
      </w:r>
      <w:r>
        <w:rPr>
          <w:spacing w:val="-1"/>
        </w:rPr>
        <w:t>shall</w:t>
      </w:r>
      <w:r>
        <w:t xml:space="preserve"> </w:t>
      </w:r>
      <w:r>
        <w:rPr>
          <w:spacing w:val="-1"/>
        </w:rPr>
        <w:t>comply</w:t>
      </w:r>
      <w:r>
        <w:rPr>
          <w:spacing w:val="1"/>
        </w:rPr>
        <w:t xml:space="preserve"> </w:t>
      </w:r>
      <w:r>
        <w:rPr>
          <w:spacing w:val="-1"/>
        </w:rPr>
        <w:t>with</w:t>
      </w:r>
      <w:r>
        <w:rPr>
          <w:spacing w:val="3"/>
        </w:rPr>
        <w:t xml:space="preserve"> </w:t>
      </w:r>
      <w:r>
        <w:t>the</w:t>
      </w:r>
      <w:r>
        <w:rPr>
          <w:spacing w:val="1"/>
        </w:rPr>
        <w:t xml:space="preserve"> </w:t>
      </w:r>
      <w:r>
        <w:rPr>
          <w:spacing w:val="-2"/>
        </w:rPr>
        <w:t>provisions</w:t>
      </w:r>
      <w:r>
        <w:rPr>
          <w:spacing w:val="1"/>
        </w:rPr>
        <w:t xml:space="preserve"> </w:t>
      </w:r>
      <w:r>
        <w:rPr>
          <w:spacing w:val="-1"/>
        </w:rPr>
        <w:t>of</w:t>
      </w:r>
      <w:r>
        <w:rPr>
          <w:spacing w:val="4"/>
        </w:rPr>
        <w:t xml:space="preserve"> </w:t>
      </w:r>
      <w:r>
        <w:rPr>
          <w:spacing w:val="-2"/>
        </w:rPr>
        <w:t>Call</w:t>
      </w:r>
      <w:r>
        <w:rPr>
          <w:spacing w:val="2"/>
        </w:rPr>
        <w:t xml:space="preserve"> </w:t>
      </w:r>
      <w:r>
        <w:rPr>
          <w:spacing w:val="-1"/>
        </w:rPr>
        <w:t>Off</w:t>
      </w:r>
      <w:r>
        <w:rPr>
          <w:spacing w:val="4"/>
        </w:rPr>
        <w:t xml:space="preserve"> </w:t>
      </w:r>
      <w:r>
        <w:rPr>
          <w:spacing w:val="-1"/>
        </w:rPr>
        <w:t>Schedule</w:t>
      </w:r>
      <w:r>
        <w:t xml:space="preserve"> 9</w:t>
      </w:r>
      <w:r>
        <w:rPr>
          <w:spacing w:val="2"/>
        </w:rPr>
        <w:t xml:space="preserve"> </w:t>
      </w:r>
      <w:r>
        <w:rPr>
          <w:spacing w:val="-1"/>
        </w:rPr>
        <w:t>(Business</w:t>
      </w:r>
      <w:r>
        <w:rPr>
          <w:spacing w:val="1"/>
        </w:rPr>
        <w:t xml:space="preserve"> </w:t>
      </w:r>
      <w:r>
        <w:rPr>
          <w:spacing w:val="-1"/>
        </w:rPr>
        <w:t>Continuity</w:t>
      </w:r>
      <w:r>
        <w:rPr>
          <w:spacing w:val="51"/>
        </w:rPr>
        <w:t xml:space="preserve"> </w:t>
      </w:r>
      <w:r>
        <w:rPr>
          <w:spacing w:val="-1"/>
        </w:rPr>
        <w:t>and</w:t>
      </w:r>
      <w:r>
        <w:t xml:space="preserve"> </w:t>
      </w:r>
      <w:r>
        <w:rPr>
          <w:spacing w:val="-1"/>
        </w:rPr>
        <w:t xml:space="preserve">Disaster </w:t>
      </w:r>
      <w:r>
        <w:rPr>
          <w:spacing w:val="-2"/>
        </w:rPr>
        <w:t>Recovery).</w:t>
      </w:r>
    </w:p>
    <w:p w:rsidR="008918FA" w:rsidRDefault="008918FA" w:rsidP="008918FA">
      <w:pPr>
        <w:pStyle w:val="BodyText"/>
        <w:numPr>
          <w:ilvl w:val="0"/>
          <w:numId w:val="66"/>
        </w:numPr>
        <w:tabs>
          <w:tab w:val="left" w:pos="687"/>
        </w:tabs>
        <w:spacing w:before="117"/>
        <w:ind w:hanging="566"/>
        <w:rPr>
          <w:rFonts w:ascii="Times New Roman" w:eastAsia="Times New Roman" w:hAnsi="Times New Roman" w:cs="Times New Roman"/>
        </w:rPr>
      </w:pPr>
      <w:bookmarkStart w:id="114" w:name="_bookmark103"/>
      <w:bookmarkEnd w:id="114"/>
      <w:r>
        <w:rPr>
          <w:rFonts w:ascii="Times New Roman"/>
          <w:spacing w:val="-5"/>
        </w:rPr>
        <w:t>DIS</w:t>
      </w:r>
      <w:r>
        <w:rPr>
          <w:rFonts w:ascii="Times New Roman"/>
          <w:spacing w:val="-32"/>
        </w:rPr>
        <w:t xml:space="preserve"> </w:t>
      </w:r>
      <w:r>
        <w:rPr>
          <w:rFonts w:ascii="Times New Roman"/>
          <w:spacing w:val="4"/>
        </w:rPr>
        <w:t>RUPTION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4"/>
        </w:tabs>
        <w:spacing w:before="0"/>
        <w:ind w:left="1049" w:right="112" w:hanging="360"/>
        <w:jc w:val="both"/>
      </w:pPr>
      <w:r>
        <w:t>The</w:t>
      </w:r>
      <w:r>
        <w:rPr>
          <w:spacing w:val="15"/>
        </w:rPr>
        <w:t xml:space="preserve"> </w:t>
      </w:r>
      <w:r>
        <w:rPr>
          <w:spacing w:val="-2"/>
        </w:rPr>
        <w:t>Supplier</w:t>
      </w:r>
      <w:r>
        <w:rPr>
          <w:spacing w:val="16"/>
        </w:rPr>
        <w:t xml:space="preserve"> </w:t>
      </w:r>
      <w:r>
        <w:rPr>
          <w:spacing w:val="-1"/>
        </w:rPr>
        <w:t>shall</w:t>
      </w:r>
      <w:r>
        <w:rPr>
          <w:spacing w:val="14"/>
        </w:rPr>
        <w:t xml:space="preserve"> </w:t>
      </w:r>
      <w:r>
        <w:t>take</w:t>
      </w:r>
      <w:r>
        <w:rPr>
          <w:spacing w:val="15"/>
        </w:rPr>
        <w:t xml:space="preserve"> </w:t>
      </w:r>
      <w:r>
        <w:rPr>
          <w:spacing w:val="-1"/>
        </w:rPr>
        <w:t>reasonable</w:t>
      </w:r>
      <w:r>
        <w:rPr>
          <w:spacing w:val="15"/>
        </w:rPr>
        <w:t xml:space="preserve"> </w:t>
      </w:r>
      <w:r>
        <w:rPr>
          <w:spacing w:val="-1"/>
        </w:rPr>
        <w:t>care</w:t>
      </w:r>
      <w:r>
        <w:rPr>
          <w:spacing w:val="15"/>
        </w:rPr>
        <w:t xml:space="preserve"> </w:t>
      </w:r>
      <w:r>
        <w:t>to</w:t>
      </w:r>
      <w:r>
        <w:rPr>
          <w:spacing w:val="15"/>
        </w:rPr>
        <w:t xml:space="preserve"> </w:t>
      </w:r>
      <w:r>
        <w:rPr>
          <w:spacing w:val="-1"/>
        </w:rPr>
        <w:t>ensure</w:t>
      </w:r>
      <w:r>
        <w:rPr>
          <w:spacing w:val="15"/>
        </w:rPr>
        <w:t xml:space="preserve"> </w:t>
      </w:r>
      <w:r>
        <w:rPr>
          <w:spacing w:val="-1"/>
        </w:rPr>
        <w:t>that</w:t>
      </w:r>
      <w:r>
        <w:rPr>
          <w:spacing w:val="16"/>
        </w:rPr>
        <w:t xml:space="preserve"> </w:t>
      </w:r>
      <w:r>
        <w:rPr>
          <w:spacing w:val="-1"/>
        </w:rPr>
        <w:t>in</w:t>
      </w:r>
      <w:r>
        <w:rPr>
          <w:spacing w:val="15"/>
        </w:rPr>
        <w:t xml:space="preserve"> </w:t>
      </w:r>
      <w:r>
        <w:t>t</w:t>
      </w:r>
      <w:bookmarkStart w:id="115" w:name="16._DISRUPTION"/>
      <w:bookmarkEnd w:id="115"/>
      <w:r>
        <w:t>he</w:t>
      </w:r>
      <w:r>
        <w:rPr>
          <w:spacing w:val="15"/>
        </w:rPr>
        <w:t xml:space="preserve"> </w:t>
      </w:r>
      <w:r>
        <w:rPr>
          <w:spacing w:val="-1"/>
        </w:rPr>
        <w:t>performance</w:t>
      </w:r>
      <w:r>
        <w:rPr>
          <w:spacing w:val="15"/>
        </w:rPr>
        <w:t xml:space="preserve"> </w:t>
      </w:r>
      <w:r>
        <w:rPr>
          <w:spacing w:val="-1"/>
        </w:rPr>
        <w:t>of</w:t>
      </w:r>
      <w:r>
        <w:rPr>
          <w:spacing w:val="19"/>
        </w:rPr>
        <w:t xml:space="preserve"> </w:t>
      </w:r>
      <w:r>
        <w:rPr>
          <w:spacing w:val="-1"/>
        </w:rPr>
        <w:t>its</w:t>
      </w:r>
      <w:r>
        <w:rPr>
          <w:spacing w:val="45"/>
        </w:rPr>
        <w:t xml:space="preserve"> </w:t>
      </w:r>
      <w:r>
        <w:rPr>
          <w:spacing w:val="-1"/>
        </w:rPr>
        <w:t>obligations</w:t>
      </w:r>
      <w:r>
        <w:rPr>
          <w:spacing w:val="37"/>
        </w:rPr>
        <w:t xml:space="preserve"> </w:t>
      </w:r>
      <w:r>
        <w:rPr>
          <w:spacing w:val="-1"/>
        </w:rPr>
        <w:t>under</w:t>
      </w:r>
      <w:r>
        <w:rPr>
          <w:spacing w:val="38"/>
        </w:rPr>
        <w:t xml:space="preserve"> </w:t>
      </w:r>
      <w:r>
        <w:rPr>
          <w:spacing w:val="-1"/>
        </w:rPr>
        <w:t>this</w:t>
      </w:r>
      <w:r>
        <w:rPr>
          <w:spacing w:val="37"/>
        </w:rPr>
        <w:t xml:space="preserve"> </w:t>
      </w:r>
      <w:r>
        <w:rPr>
          <w:spacing w:val="-2"/>
        </w:rPr>
        <w:t>Call</w:t>
      </w:r>
      <w:r>
        <w:rPr>
          <w:spacing w:val="36"/>
        </w:rPr>
        <w:t xml:space="preserve"> </w:t>
      </w:r>
      <w:r>
        <w:t>Off</w:t>
      </w:r>
      <w:r>
        <w:rPr>
          <w:spacing w:val="38"/>
        </w:rPr>
        <w:t xml:space="preserve"> </w:t>
      </w:r>
      <w:r>
        <w:rPr>
          <w:spacing w:val="-1"/>
        </w:rPr>
        <w:t>Contract</w:t>
      </w:r>
      <w:r>
        <w:rPr>
          <w:spacing w:val="38"/>
        </w:rPr>
        <w:t xml:space="preserve"> </w:t>
      </w:r>
      <w:r>
        <w:rPr>
          <w:spacing w:val="-1"/>
        </w:rPr>
        <w:t>it</w:t>
      </w:r>
      <w:r>
        <w:rPr>
          <w:spacing w:val="39"/>
        </w:rPr>
        <w:t xml:space="preserve"> </w:t>
      </w:r>
      <w:r>
        <w:rPr>
          <w:spacing w:val="-1"/>
        </w:rPr>
        <w:t>does</w:t>
      </w:r>
      <w:r>
        <w:rPr>
          <w:spacing w:val="34"/>
        </w:rPr>
        <w:t xml:space="preserve"> </w:t>
      </w:r>
      <w:r>
        <w:rPr>
          <w:spacing w:val="-1"/>
        </w:rPr>
        <w:t>not</w:t>
      </w:r>
      <w:r>
        <w:rPr>
          <w:spacing w:val="38"/>
        </w:rPr>
        <w:t xml:space="preserve"> </w:t>
      </w:r>
      <w:r>
        <w:rPr>
          <w:spacing w:val="-1"/>
        </w:rPr>
        <w:t>disrupt</w:t>
      </w:r>
      <w:r>
        <w:rPr>
          <w:spacing w:val="35"/>
        </w:rPr>
        <w:t xml:space="preserve"> </w:t>
      </w:r>
      <w:r>
        <w:t>the</w:t>
      </w:r>
      <w:r>
        <w:rPr>
          <w:spacing w:val="36"/>
        </w:rPr>
        <w:t xml:space="preserve"> </w:t>
      </w:r>
      <w:r>
        <w:rPr>
          <w:spacing w:val="-1"/>
        </w:rPr>
        <w:t>operations</w:t>
      </w:r>
      <w:r>
        <w:rPr>
          <w:spacing w:val="37"/>
        </w:rPr>
        <w:t xml:space="preserve"> </w:t>
      </w:r>
      <w:r>
        <w:rPr>
          <w:spacing w:val="-2"/>
        </w:rPr>
        <w:t>of</w:t>
      </w:r>
      <w:r>
        <w:rPr>
          <w:spacing w:val="41"/>
        </w:rPr>
        <w:t xml:space="preserve"> </w:t>
      </w:r>
      <w:r>
        <w:rPr>
          <w:spacing w:val="-1"/>
        </w:rPr>
        <w:t>the</w:t>
      </w:r>
      <w:r>
        <w:rPr>
          <w:spacing w:val="36"/>
        </w:rPr>
        <w:t xml:space="preserve"> </w:t>
      </w:r>
      <w:r>
        <w:rPr>
          <w:spacing w:val="-1"/>
        </w:rPr>
        <w:t>Customer,</w:t>
      </w:r>
      <w:r>
        <w:t xml:space="preserve"> </w:t>
      </w:r>
      <w:r>
        <w:rPr>
          <w:spacing w:val="-1"/>
        </w:rPr>
        <w:t>its</w:t>
      </w:r>
      <w:r>
        <w:rPr>
          <w:spacing w:val="-2"/>
        </w:rPr>
        <w:t xml:space="preserve"> employees</w:t>
      </w:r>
      <w:r>
        <w:rPr>
          <w:spacing w:val="1"/>
        </w:rPr>
        <w:t xml:space="preserve"> </w:t>
      </w:r>
      <w:r>
        <w:rPr>
          <w:spacing w:val="-1"/>
        </w:rPr>
        <w:t>or any</w:t>
      </w:r>
      <w:r>
        <w:rPr>
          <w:spacing w:val="-2"/>
        </w:rPr>
        <w:t xml:space="preserve"> </w:t>
      </w:r>
      <w:r>
        <w:rPr>
          <w:spacing w:val="-1"/>
        </w:rPr>
        <w:t>other contractor</w:t>
      </w:r>
      <w:r>
        <w:rPr>
          <w:spacing w:val="-3"/>
        </w:rPr>
        <w:t xml:space="preserve"> </w:t>
      </w:r>
      <w:r>
        <w:rPr>
          <w:spacing w:val="-2"/>
        </w:rPr>
        <w:t>employed</w:t>
      </w:r>
      <w:r>
        <w:t xml:space="preserve"> </w:t>
      </w:r>
      <w:r>
        <w:rPr>
          <w:spacing w:val="-1"/>
        </w:rPr>
        <w:t>by</w:t>
      </w:r>
      <w:r>
        <w:rPr>
          <w:spacing w:val="-2"/>
        </w:rPr>
        <w:t xml:space="preserve"> </w:t>
      </w:r>
      <w:r>
        <w:t xml:space="preserve">the </w:t>
      </w:r>
      <w:r>
        <w:rPr>
          <w:spacing w:val="-1"/>
        </w:rPr>
        <w:t>Customer.</w:t>
      </w:r>
    </w:p>
    <w:p w:rsidR="008918FA" w:rsidRDefault="008918FA" w:rsidP="008918FA">
      <w:pPr>
        <w:pStyle w:val="BodyText"/>
        <w:numPr>
          <w:ilvl w:val="1"/>
          <w:numId w:val="66"/>
        </w:numPr>
        <w:tabs>
          <w:tab w:val="left" w:pos="1254"/>
        </w:tabs>
        <w:ind w:left="1049" w:right="113" w:hanging="360"/>
        <w:jc w:val="both"/>
      </w:pPr>
      <w:r>
        <w:t>The</w:t>
      </w:r>
      <w:r>
        <w:rPr>
          <w:spacing w:val="36"/>
        </w:rPr>
        <w:t xml:space="preserve"> </w:t>
      </w:r>
      <w:r>
        <w:rPr>
          <w:spacing w:val="-2"/>
        </w:rPr>
        <w:t>Supplier</w:t>
      </w:r>
      <w:r>
        <w:rPr>
          <w:spacing w:val="38"/>
        </w:rPr>
        <w:t xml:space="preserve"> </w:t>
      </w:r>
      <w:r>
        <w:rPr>
          <w:spacing w:val="-1"/>
        </w:rPr>
        <w:t>shall</w:t>
      </w:r>
      <w:r>
        <w:rPr>
          <w:spacing w:val="36"/>
        </w:rPr>
        <w:t xml:space="preserve"> </w:t>
      </w:r>
      <w:r>
        <w:rPr>
          <w:spacing w:val="-1"/>
        </w:rPr>
        <w:t>immediately</w:t>
      </w:r>
      <w:r>
        <w:rPr>
          <w:spacing w:val="34"/>
        </w:rPr>
        <w:t xml:space="preserve"> </w:t>
      </w:r>
      <w:r>
        <w:rPr>
          <w:spacing w:val="-1"/>
        </w:rPr>
        <w:t>inform</w:t>
      </w:r>
      <w:r>
        <w:rPr>
          <w:spacing w:val="35"/>
        </w:rPr>
        <w:t xml:space="preserve"> </w:t>
      </w:r>
      <w:r>
        <w:t>the</w:t>
      </w:r>
      <w:r>
        <w:rPr>
          <w:spacing w:val="36"/>
        </w:rPr>
        <w:t xml:space="preserve"> </w:t>
      </w:r>
      <w:r>
        <w:rPr>
          <w:spacing w:val="-2"/>
        </w:rPr>
        <w:t>Customer</w:t>
      </w:r>
      <w:r>
        <w:rPr>
          <w:spacing w:val="39"/>
        </w:rPr>
        <w:t xml:space="preserve"> </w:t>
      </w:r>
      <w:r>
        <w:rPr>
          <w:spacing w:val="-2"/>
        </w:rPr>
        <w:t>of</w:t>
      </w:r>
      <w:r>
        <w:rPr>
          <w:spacing w:val="38"/>
        </w:rPr>
        <w:t xml:space="preserve"> </w:t>
      </w:r>
      <w:r>
        <w:rPr>
          <w:spacing w:val="-1"/>
        </w:rPr>
        <w:t>any</w:t>
      </w:r>
      <w:r>
        <w:rPr>
          <w:spacing w:val="34"/>
        </w:rPr>
        <w:t xml:space="preserve"> </w:t>
      </w:r>
      <w:r>
        <w:rPr>
          <w:spacing w:val="-1"/>
        </w:rPr>
        <w:t>actual</w:t>
      </w:r>
      <w:r>
        <w:rPr>
          <w:spacing w:val="36"/>
        </w:rPr>
        <w:t xml:space="preserve"> </w:t>
      </w:r>
      <w:r>
        <w:rPr>
          <w:spacing w:val="-1"/>
        </w:rPr>
        <w:t>or</w:t>
      </w:r>
      <w:r>
        <w:rPr>
          <w:spacing w:val="38"/>
        </w:rPr>
        <w:t xml:space="preserve"> </w:t>
      </w:r>
      <w:r>
        <w:rPr>
          <w:spacing w:val="-1"/>
        </w:rPr>
        <w:t>potential</w:t>
      </w:r>
      <w:r>
        <w:rPr>
          <w:spacing w:val="54"/>
        </w:rPr>
        <w:t xml:space="preserve"> </w:t>
      </w:r>
      <w:r>
        <w:rPr>
          <w:spacing w:val="-1"/>
        </w:rPr>
        <w:t>industrial</w:t>
      </w:r>
      <w:r>
        <w:t xml:space="preserve"> </w:t>
      </w:r>
      <w:r>
        <w:rPr>
          <w:spacing w:val="-1"/>
        </w:rPr>
        <w:t>action,</w:t>
      </w:r>
      <w:r>
        <w:rPr>
          <w:spacing w:val="2"/>
        </w:rPr>
        <w:t xml:space="preserve"> </w:t>
      </w:r>
      <w:r>
        <w:rPr>
          <w:spacing w:val="-1"/>
        </w:rPr>
        <w:t>whether such</w:t>
      </w:r>
      <w:r>
        <w:rPr>
          <w:spacing w:val="1"/>
        </w:rPr>
        <w:t xml:space="preserve"> </w:t>
      </w:r>
      <w:r>
        <w:rPr>
          <w:spacing w:val="-1"/>
        </w:rPr>
        <w:t>action</w:t>
      </w:r>
      <w:r>
        <w:t xml:space="preserve"> </w:t>
      </w:r>
      <w:r>
        <w:rPr>
          <w:spacing w:val="-1"/>
        </w:rPr>
        <w:t>be</w:t>
      </w:r>
      <w:r>
        <w:t xml:space="preserve"> </w:t>
      </w:r>
      <w:r>
        <w:rPr>
          <w:spacing w:val="-1"/>
        </w:rPr>
        <w:t>by</w:t>
      </w:r>
      <w:r>
        <w:rPr>
          <w:spacing w:val="-2"/>
        </w:rPr>
        <w:t xml:space="preserve"> </w:t>
      </w:r>
      <w:r>
        <w:t xml:space="preserve">the </w:t>
      </w:r>
      <w:r>
        <w:rPr>
          <w:spacing w:val="-2"/>
        </w:rPr>
        <w:t>Supplier</w:t>
      </w:r>
      <w:r>
        <w:rPr>
          <w:spacing w:val="2"/>
        </w:rPr>
        <w:t xml:space="preserve"> </w:t>
      </w:r>
      <w:r>
        <w:rPr>
          <w:spacing w:val="-1"/>
        </w:rPr>
        <w:t>Personnel</w:t>
      </w:r>
      <w:r>
        <w:rPr>
          <w:spacing w:val="2"/>
        </w:rPr>
        <w:t xml:space="preserve"> </w:t>
      </w:r>
      <w:r>
        <w:rPr>
          <w:spacing w:val="-1"/>
        </w:rPr>
        <w:t>or</w:t>
      </w:r>
      <w:r>
        <w:rPr>
          <w:spacing w:val="2"/>
        </w:rPr>
        <w:t xml:space="preserve"> </w:t>
      </w:r>
      <w:r>
        <w:rPr>
          <w:spacing w:val="-1"/>
        </w:rPr>
        <w:t>others,</w:t>
      </w:r>
      <w:r>
        <w:rPr>
          <w:spacing w:val="2"/>
        </w:rPr>
        <w:t xml:space="preserve"> </w:t>
      </w:r>
      <w:r>
        <w:rPr>
          <w:spacing w:val="-2"/>
        </w:rPr>
        <w:t>which</w:t>
      </w:r>
      <w:r>
        <w:rPr>
          <w:spacing w:val="42"/>
        </w:rPr>
        <w:t xml:space="preserve"> </w:t>
      </w:r>
      <w:r>
        <w:rPr>
          <w:spacing w:val="-1"/>
        </w:rPr>
        <w:t>affects</w:t>
      </w:r>
      <w:r>
        <w:rPr>
          <w:spacing w:val="32"/>
        </w:rPr>
        <w:t xml:space="preserve"> </w:t>
      </w:r>
      <w:r>
        <w:rPr>
          <w:spacing w:val="-2"/>
        </w:rPr>
        <w:t>or</w:t>
      </w:r>
      <w:r>
        <w:rPr>
          <w:spacing w:val="30"/>
        </w:rPr>
        <w:t xml:space="preserve"> </w:t>
      </w:r>
      <w:r>
        <w:rPr>
          <w:spacing w:val="-1"/>
        </w:rPr>
        <w:t>might</w:t>
      </w:r>
      <w:r>
        <w:rPr>
          <w:spacing w:val="33"/>
        </w:rPr>
        <w:t xml:space="preserve"> </w:t>
      </w:r>
      <w:r>
        <w:rPr>
          <w:spacing w:val="-1"/>
        </w:rPr>
        <w:t>affect</w:t>
      </w:r>
      <w:r>
        <w:rPr>
          <w:spacing w:val="30"/>
        </w:rPr>
        <w:t xml:space="preserve"> </w:t>
      </w:r>
      <w:r>
        <w:rPr>
          <w:spacing w:val="-1"/>
        </w:rPr>
        <w:t>the</w:t>
      </w:r>
      <w:r>
        <w:rPr>
          <w:spacing w:val="31"/>
        </w:rPr>
        <w:t xml:space="preserve"> </w:t>
      </w:r>
      <w:r>
        <w:rPr>
          <w:spacing w:val="-1"/>
        </w:rPr>
        <w:t>Supplier's</w:t>
      </w:r>
      <w:r>
        <w:rPr>
          <w:spacing w:val="32"/>
        </w:rPr>
        <w:t xml:space="preserve"> </w:t>
      </w:r>
      <w:r>
        <w:rPr>
          <w:spacing w:val="-1"/>
        </w:rPr>
        <w:t>ability</w:t>
      </w:r>
      <w:r>
        <w:rPr>
          <w:spacing w:val="30"/>
        </w:rPr>
        <w:t xml:space="preserve"> </w:t>
      </w:r>
      <w:r>
        <w:rPr>
          <w:spacing w:val="-1"/>
        </w:rPr>
        <w:t>at</w:t>
      </w:r>
      <w:r>
        <w:rPr>
          <w:spacing w:val="34"/>
        </w:rPr>
        <w:t xml:space="preserve"> </w:t>
      </w:r>
      <w:r>
        <w:rPr>
          <w:spacing w:val="-2"/>
        </w:rPr>
        <w:t>any</w:t>
      </w:r>
      <w:r>
        <w:rPr>
          <w:spacing w:val="30"/>
        </w:rPr>
        <w:t xml:space="preserve"> </w:t>
      </w:r>
      <w:r>
        <w:rPr>
          <w:spacing w:val="-1"/>
        </w:rPr>
        <w:t>time</w:t>
      </w:r>
      <w:r>
        <w:rPr>
          <w:spacing w:val="31"/>
        </w:rPr>
        <w:t xml:space="preserve"> </w:t>
      </w:r>
      <w:r>
        <w:t>to</w:t>
      </w:r>
      <w:r>
        <w:rPr>
          <w:spacing w:val="31"/>
        </w:rPr>
        <w:t xml:space="preserve"> </w:t>
      </w:r>
      <w:r>
        <w:rPr>
          <w:spacing w:val="-2"/>
        </w:rPr>
        <w:t>perform</w:t>
      </w:r>
      <w:r>
        <w:rPr>
          <w:spacing w:val="33"/>
        </w:rPr>
        <w:t xml:space="preserve"> </w:t>
      </w:r>
      <w:r>
        <w:rPr>
          <w:spacing w:val="-1"/>
        </w:rPr>
        <w:t>its</w:t>
      </w:r>
      <w:r>
        <w:rPr>
          <w:spacing w:val="32"/>
        </w:rPr>
        <w:t xml:space="preserve"> </w:t>
      </w:r>
      <w:r>
        <w:rPr>
          <w:spacing w:val="-1"/>
        </w:rPr>
        <w:t>obligations</w:t>
      </w:r>
      <w:r>
        <w:rPr>
          <w:spacing w:val="52"/>
        </w:rPr>
        <w:t xml:space="preserve"> </w:t>
      </w:r>
      <w:r>
        <w:rPr>
          <w:spacing w:val="-1"/>
        </w:rPr>
        <w:t>under this</w:t>
      </w:r>
      <w:r>
        <w:rPr>
          <w:spacing w:val="1"/>
        </w:rPr>
        <w:t xml:space="preserve"> </w:t>
      </w:r>
      <w:r>
        <w:rPr>
          <w:spacing w:val="-2"/>
        </w:rPr>
        <w:t>Call</w:t>
      </w:r>
      <w:r>
        <w:t xml:space="preserve"> </w:t>
      </w:r>
      <w:r>
        <w:rPr>
          <w:spacing w:val="-1"/>
        </w:rPr>
        <w:t>Off</w:t>
      </w:r>
      <w:r>
        <w:t xml:space="preserve"> </w:t>
      </w:r>
      <w:r>
        <w:rPr>
          <w:spacing w:val="-1"/>
        </w:rPr>
        <w:t>Contract.</w:t>
      </w:r>
    </w:p>
    <w:p w:rsidR="008918FA" w:rsidRDefault="008918FA" w:rsidP="008918FA">
      <w:pPr>
        <w:pStyle w:val="BodyText"/>
        <w:numPr>
          <w:ilvl w:val="1"/>
          <w:numId w:val="66"/>
        </w:numPr>
        <w:tabs>
          <w:tab w:val="left" w:pos="1254"/>
        </w:tabs>
        <w:spacing w:before="121"/>
        <w:ind w:left="1049" w:right="113" w:hanging="360"/>
        <w:jc w:val="both"/>
      </w:pPr>
      <w:bookmarkStart w:id="116" w:name="_bookmark104"/>
      <w:bookmarkEnd w:id="116"/>
      <w:r>
        <w:t xml:space="preserve">In the </w:t>
      </w:r>
      <w:r>
        <w:rPr>
          <w:spacing w:val="-2"/>
        </w:rPr>
        <w:t>event</w:t>
      </w:r>
      <w:r>
        <w:rPr>
          <w:spacing w:val="2"/>
        </w:rPr>
        <w:t xml:space="preserve"> </w:t>
      </w:r>
      <w:r>
        <w:rPr>
          <w:spacing w:val="-2"/>
        </w:rPr>
        <w:t>of</w:t>
      </w:r>
      <w:r>
        <w:rPr>
          <w:spacing w:val="2"/>
        </w:rPr>
        <w:t xml:space="preserve"> </w:t>
      </w:r>
      <w:r>
        <w:rPr>
          <w:spacing w:val="-1"/>
        </w:rPr>
        <w:t>industrial</w:t>
      </w:r>
      <w:r>
        <w:rPr>
          <w:spacing w:val="-3"/>
        </w:rPr>
        <w:t xml:space="preserve"> </w:t>
      </w:r>
      <w:r>
        <w:rPr>
          <w:spacing w:val="-1"/>
        </w:rPr>
        <w:t>action</w:t>
      </w:r>
      <w:r>
        <w:t xml:space="preserve"> </w:t>
      </w:r>
      <w:r>
        <w:rPr>
          <w:spacing w:val="-1"/>
        </w:rPr>
        <w:t>by</w:t>
      </w:r>
      <w:r>
        <w:rPr>
          <w:spacing w:val="-2"/>
        </w:rPr>
        <w:t xml:space="preserve"> </w:t>
      </w:r>
      <w:r>
        <w:t xml:space="preserve">the </w:t>
      </w:r>
      <w:r>
        <w:rPr>
          <w:spacing w:val="-2"/>
        </w:rPr>
        <w:t>Supplier</w:t>
      </w:r>
      <w:r>
        <w:rPr>
          <w:spacing w:val="2"/>
        </w:rPr>
        <w:t xml:space="preserve"> </w:t>
      </w:r>
      <w:r>
        <w:rPr>
          <w:spacing w:val="-1"/>
        </w:rPr>
        <w:t>Personnel,</w:t>
      </w:r>
      <w:r>
        <w:rPr>
          <w:spacing w:val="2"/>
        </w:rPr>
        <w:t xml:space="preserve"> </w:t>
      </w:r>
      <w:r>
        <w:t xml:space="preserve">the </w:t>
      </w:r>
      <w:r>
        <w:rPr>
          <w:spacing w:val="-2"/>
        </w:rPr>
        <w:t>Supplier</w:t>
      </w:r>
      <w:r>
        <w:rPr>
          <w:spacing w:val="2"/>
        </w:rPr>
        <w:t xml:space="preserve"> </w:t>
      </w:r>
      <w:r>
        <w:rPr>
          <w:spacing w:val="-2"/>
        </w:rPr>
        <w:t>shall</w:t>
      </w:r>
      <w:r>
        <w:t xml:space="preserve"> </w:t>
      </w:r>
      <w:r>
        <w:rPr>
          <w:spacing w:val="-1"/>
        </w:rPr>
        <w:t>seek</w:t>
      </w:r>
      <w:r>
        <w:rPr>
          <w:spacing w:val="68"/>
        </w:rPr>
        <w:t xml:space="preserve"> </w:t>
      </w:r>
      <w:r>
        <w:rPr>
          <w:spacing w:val="-1"/>
        </w:rPr>
        <w:t>Approval</w:t>
      </w:r>
      <w:r>
        <w:rPr>
          <w:spacing w:val="33"/>
        </w:rPr>
        <w:t xml:space="preserve"> </w:t>
      </w:r>
      <w:r>
        <w:t>to</w:t>
      </w:r>
      <w:r>
        <w:rPr>
          <w:spacing w:val="34"/>
        </w:rPr>
        <w:t xml:space="preserve"> </w:t>
      </w:r>
      <w:r>
        <w:rPr>
          <w:spacing w:val="-1"/>
        </w:rPr>
        <w:t>its</w:t>
      </w:r>
      <w:r>
        <w:rPr>
          <w:spacing w:val="34"/>
        </w:rPr>
        <w:t xml:space="preserve"> </w:t>
      </w:r>
      <w:r>
        <w:rPr>
          <w:spacing w:val="-1"/>
        </w:rPr>
        <w:t>proposals</w:t>
      </w:r>
      <w:r>
        <w:rPr>
          <w:spacing w:val="34"/>
        </w:rPr>
        <w:t xml:space="preserve"> </w:t>
      </w:r>
      <w:r>
        <w:t>for</w:t>
      </w:r>
      <w:r>
        <w:rPr>
          <w:spacing w:val="35"/>
        </w:rPr>
        <w:t xml:space="preserve"> </w:t>
      </w:r>
      <w:r>
        <w:rPr>
          <w:spacing w:val="-1"/>
        </w:rPr>
        <w:t>the</w:t>
      </w:r>
      <w:r>
        <w:rPr>
          <w:spacing w:val="34"/>
        </w:rPr>
        <w:t xml:space="preserve"> </w:t>
      </w:r>
      <w:r>
        <w:rPr>
          <w:spacing w:val="-1"/>
        </w:rPr>
        <w:t>continuance</w:t>
      </w:r>
      <w:r>
        <w:rPr>
          <w:spacing w:val="35"/>
        </w:rPr>
        <w:t xml:space="preserve"> </w:t>
      </w:r>
      <w:r>
        <w:rPr>
          <w:spacing w:val="-2"/>
        </w:rPr>
        <w:t>of</w:t>
      </w:r>
      <w:r>
        <w:rPr>
          <w:spacing w:val="35"/>
        </w:rPr>
        <w:t xml:space="preserve"> </w:t>
      </w:r>
      <w:r>
        <w:t>the</w:t>
      </w:r>
      <w:r>
        <w:rPr>
          <w:spacing w:val="34"/>
        </w:rPr>
        <w:t xml:space="preserve"> </w:t>
      </w:r>
      <w:r>
        <w:rPr>
          <w:spacing w:val="-1"/>
        </w:rPr>
        <w:t>supply</w:t>
      </w:r>
      <w:r>
        <w:rPr>
          <w:spacing w:val="34"/>
        </w:rPr>
        <w:t xml:space="preserve"> </w:t>
      </w:r>
      <w:r>
        <w:rPr>
          <w:spacing w:val="-1"/>
        </w:rPr>
        <w:t>of</w:t>
      </w:r>
      <w:r>
        <w:rPr>
          <w:spacing w:val="38"/>
        </w:rPr>
        <w:t xml:space="preserve"> </w:t>
      </w:r>
      <w:r>
        <w:t>the</w:t>
      </w:r>
      <w:r>
        <w:rPr>
          <w:spacing w:val="34"/>
        </w:rPr>
        <w:t xml:space="preserve"> </w:t>
      </w:r>
      <w:r>
        <w:rPr>
          <w:spacing w:val="-1"/>
        </w:rPr>
        <w:t>Goods</w:t>
      </w:r>
      <w:r>
        <w:rPr>
          <w:spacing w:val="35"/>
        </w:rPr>
        <w:t xml:space="preserve"> </w:t>
      </w:r>
      <w:r>
        <w:rPr>
          <w:spacing w:val="-1"/>
        </w:rPr>
        <w:t>and/or</w:t>
      </w:r>
      <w:r>
        <w:rPr>
          <w:spacing w:val="37"/>
        </w:rPr>
        <w:t xml:space="preserve"> </w:t>
      </w:r>
      <w:r>
        <w:rPr>
          <w:spacing w:val="-1"/>
        </w:rPr>
        <w:t>Services</w:t>
      </w:r>
      <w:r>
        <w:rPr>
          <w:spacing w:val="1"/>
        </w:rPr>
        <w:t xml:space="preserve"> </w:t>
      </w:r>
      <w:r>
        <w:rPr>
          <w:spacing w:val="-1"/>
        </w:rPr>
        <w:t>in</w:t>
      </w:r>
      <w:r>
        <w:t xml:space="preserve"> </w:t>
      </w:r>
      <w:r>
        <w:rPr>
          <w:spacing w:val="-1"/>
        </w:rPr>
        <w:t>accordance</w:t>
      </w:r>
      <w:r>
        <w:rPr>
          <w:spacing w:val="-4"/>
        </w:rPr>
        <w:t xml:space="preserve"> </w:t>
      </w:r>
      <w:r>
        <w:rPr>
          <w:spacing w:val="-1"/>
        </w:rPr>
        <w:t>with</w:t>
      </w:r>
      <w:r>
        <w:t xml:space="preserve"> </w:t>
      </w:r>
      <w:r>
        <w:rPr>
          <w:spacing w:val="-1"/>
        </w:rPr>
        <w:t>its</w:t>
      </w:r>
      <w:r>
        <w:rPr>
          <w:spacing w:val="1"/>
        </w:rPr>
        <w:t xml:space="preserve"> </w:t>
      </w:r>
      <w:r>
        <w:rPr>
          <w:spacing w:val="-1"/>
        </w:rPr>
        <w:t>obligations</w:t>
      </w:r>
      <w:r>
        <w:rPr>
          <w:spacing w:val="-2"/>
        </w:rPr>
        <w:t xml:space="preserve"> </w:t>
      </w:r>
      <w:r>
        <w:rPr>
          <w:spacing w:val="-1"/>
        </w:rPr>
        <w:t>under 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1"/>
          <w:numId w:val="66"/>
        </w:numPr>
        <w:tabs>
          <w:tab w:val="left" w:pos="1254"/>
        </w:tabs>
        <w:spacing w:before="121"/>
        <w:ind w:left="1049" w:right="113" w:hanging="360"/>
        <w:jc w:val="both"/>
      </w:pPr>
      <w:bookmarkStart w:id="117" w:name="_bookmark105"/>
      <w:bookmarkEnd w:id="117"/>
      <w:r>
        <w:rPr>
          <w:spacing w:val="-1"/>
        </w:rPr>
        <w:t>If</w:t>
      </w:r>
      <w:r>
        <w:rPr>
          <w:spacing w:val="23"/>
        </w:rPr>
        <w:t xml:space="preserve"> </w:t>
      </w:r>
      <w:r>
        <w:t>the</w:t>
      </w:r>
      <w:r>
        <w:rPr>
          <w:spacing w:val="20"/>
        </w:rPr>
        <w:t xml:space="preserve"> </w:t>
      </w:r>
      <w:r>
        <w:rPr>
          <w:spacing w:val="-2"/>
        </w:rPr>
        <w:t>Supplier's</w:t>
      </w:r>
      <w:r>
        <w:rPr>
          <w:spacing w:val="20"/>
        </w:rPr>
        <w:t xml:space="preserve"> </w:t>
      </w:r>
      <w:r>
        <w:rPr>
          <w:spacing w:val="-2"/>
        </w:rPr>
        <w:t>proposals</w:t>
      </w:r>
      <w:r>
        <w:rPr>
          <w:spacing w:val="20"/>
        </w:rPr>
        <w:t xml:space="preserve"> </w:t>
      </w:r>
      <w:r>
        <w:rPr>
          <w:spacing w:val="-1"/>
        </w:rPr>
        <w:t>referred</w:t>
      </w:r>
      <w:r>
        <w:rPr>
          <w:spacing w:val="20"/>
        </w:rPr>
        <w:t xml:space="preserve"> </w:t>
      </w:r>
      <w:r>
        <w:t>to</w:t>
      </w:r>
      <w:r>
        <w:rPr>
          <w:spacing w:val="19"/>
        </w:rPr>
        <w:t xml:space="preserve"> </w:t>
      </w:r>
      <w:r>
        <w:rPr>
          <w:spacing w:val="-1"/>
        </w:rPr>
        <w:t>in</w:t>
      </w:r>
      <w:r>
        <w:rPr>
          <w:spacing w:val="19"/>
        </w:rPr>
        <w:t xml:space="preserve"> </w:t>
      </w:r>
      <w:r>
        <w:rPr>
          <w:spacing w:val="-2"/>
        </w:rPr>
        <w:t>Clause</w:t>
      </w:r>
      <w:r>
        <w:rPr>
          <w:spacing w:val="22"/>
        </w:rPr>
        <w:t xml:space="preserve"> </w:t>
      </w:r>
      <w:hyperlink w:anchor="_bookmark104" w:history="1">
        <w:r>
          <w:rPr>
            <w:spacing w:val="-1"/>
          </w:rPr>
          <w:t>16.3</w:t>
        </w:r>
      </w:hyperlink>
      <w:r>
        <w:rPr>
          <w:spacing w:val="20"/>
        </w:rPr>
        <w:t xml:space="preserve"> </w:t>
      </w:r>
      <w:r>
        <w:rPr>
          <w:spacing w:val="-1"/>
        </w:rPr>
        <w:t>are</w:t>
      </w:r>
      <w:r>
        <w:rPr>
          <w:spacing w:val="19"/>
        </w:rPr>
        <w:t xml:space="preserve"> </w:t>
      </w:r>
      <w:r>
        <w:rPr>
          <w:spacing w:val="-1"/>
        </w:rPr>
        <w:t>considered</w:t>
      </w:r>
      <w:r>
        <w:rPr>
          <w:spacing w:val="19"/>
        </w:rPr>
        <w:t xml:space="preserve"> </w:t>
      </w:r>
      <w:r>
        <w:rPr>
          <w:spacing w:val="-1"/>
        </w:rPr>
        <w:t>insufficient</w:t>
      </w:r>
      <w:r>
        <w:rPr>
          <w:spacing w:val="70"/>
        </w:rPr>
        <w:t xml:space="preserve"> </w:t>
      </w:r>
      <w:r>
        <w:rPr>
          <w:spacing w:val="-1"/>
        </w:rPr>
        <w:t>or</w:t>
      </w:r>
      <w:r>
        <w:rPr>
          <w:spacing w:val="15"/>
        </w:rPr>
        <w:t xml:space="preserve"> </w:t>
      </w:r>
      <w:r>
        <w:rPr>
          <w:spacing w:val="-1"/>
        </w:rPr>
        <w:t>unacceptable</w:t>
      </w:r>
      <w:r>
        <w:rPr>
          <w:spacing w:val="14"/>
        </w:rPr>
        <w:t xml:space="preserve"> </w:t>
      </w:r>
      <w:r>
        <w:rPr>
          <w:spacing w:val="-1"/>
        </w:rPr>
        <w:t>by</w:t>
      </w:r>
      <w:r>
        <w:rPr>
          <w:spacing w:val="12"/>
        </w:rPr>
        <w:t xml:space="preserve"> </w:t>
      </w:r>
      <w:r>
        <w:t>the</w:t>
      </w:r>
      <w:r>
        <w:rPr>
          <w:spacing w:val="11"/>
        </w:rPr>
        <w:t xml:space="preserve"> </w:t>
      </w:r>
      <w:r>
        <w:rPr>
          <w:spacing w:val="-1"/>
        </w:rPr>
        <w:t>Customer</w:t>
      </w:r>
      <w:r>
        <w:rPr>
          <w:spacing w:val="15"/>
        </w:rPr>
        <w:t xml:space="preserve"> </w:t>
      </w:r>
      <w:r>
        <w:rPr>
          <w:spacing w:val="-2"/>
        </w:rPr>
        <w:t>acting</w:t>
      </w:r>
      <w:r>
        <w:rPr>
          <w:spacing w:val="14"/>
        </w:rPr>
        <w:t xml:space="preserve"> </w:t>
      </w:r>
      <w:r>
        <w:rPr>
          <w:spacing w:val="-2"/>
        </w:rPr>
        <w:t>reasonably</w:t>
      </w:r>
      <w:r>
        <w:rPr>
          <w:spacing w:val="12"/>
        </w:rPr>
        <w:t xml:space="preserve"> </w:t>
      </w:r>
      <w:r>
        <w:rPr>
          <w:spacing w:val="-1"/>
        </w:rPr>
        <w:t>then</w:t>
      </w:r>
      <w:r>
        <w:rPr>
          <w:spacing w:val="14"/>
        </w:rPr>
        <w:t xml:space="preserve"> </w:t>
      </w:r>
      <w:r>
        <w:t>the</w:t>
      </w:r>
      <w:r>
        <w:rPr>
          <w:spacing w:val="14"/>
        </w:rPr>
        <w:t xml:space="preserve"> </w:t>
      </w:r>
      <w:r>
        <w:rPr>
          <w:spacing w:val="-2"/>
        </w:rPr>
        <w:t>Customer</w:t>
      </w:r>
      <w:r>
        <w:rPr>
          <w:spacing w:val="13"/>
        </w:rPr>
        <w:t xml:space="preserve"> </w:t>
      </w:r>
      <w:r>
        <w:rPr>
          <w:spacing w:val="-1"/>
        </w:rPr>
        <w:t>may</w:t>
      </w:r>
      <w:r>
        <w:rPr>
          <w:spacing w:val="56"/>
        </w:rPr>
        <w:t xml:space="preserve"> </w:t>
      </w:r>
      <w:r>
        <w:rPr>
          <w:spacing w:val="-1"/>
        </w:rPr>
        <w:t>terminate</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2"/>
        </w:rPr>
        <w:t>Contract</w:t>
      </w:r>
      <w:r>
        <w:t xml:space="preserve"> for</w:t>
      </w:r>
      <w:r>
        <w:rPr>
          <w:spacing w:val="-1"/>
        </w:rPr>
        <w:t xml:space="preserve"> material</w:t>
      </w:r>
      <w:r>
        <w:t xml:space="preserve"> </w:t>
      </w:r>
      <w:r>
        <w:rPr>
          <w:spacing w:val="-2"/>
        </w:rPr>
        <w:t>Default.</w:t>
      </w:r>
    </w:p>
    <w:p w:rsidR="008918FA" w:rsidRDefault="008918FA" w:rsidP="008918FA">
      <w:pPr>
        <w:pStyle w:val="BodyText"/>
        <w:numPr>
          <w:ilvl w:val="1"/>
          <w:numId w:val="66"/>
        </w:numPr>
        <w:tabs>
          <w:tab w:val="left" w:pos="1254"/>
        </w:tabs>
        <w:ind w:left="1049" w:right="113" w:hanging="360"/>
        <w:jc w:val="both"/>
      </w:pPr>
      <w:r>
        <w:rPr>
          <w:spacing w:val="-1"/>
        </w:rPr>
        <w:t>If</w:t>
      </w:r>
      <w:r>
        <w:rPr>
          <w:spacing w:val="49"/>
        </w:rPr>
        <w:t xml:space="preserve"> </w:t>
      </w:r>
      <w:r>
        <w:t>the</w:t>
      </w:r>
      <w:r>
        <w:rPr>
          <w:spacing w:val="46"/>
        </w:rPr>
        <w:t xml:space="preserve"> </w:t>
      </w:r>
      <w:r>
        <w:rPr>
          <w:spacing w:val="-2"/>
        </w:rPr>
        <w:t>Supplier</w:t>
      </w:r>
      <w:r>
        <w:rPr>
          <w:spacing w:val="47"/>
        </w:rPr>
        <w:t xml:space="preserve"> </w:t>
      </w:r>
      <w:r>
        <w:rPr>
          <w:spacing w:val="-1"/>
        </w:rPr>
        <w:t>is</w:t>
      </w:r>
      <w:r>
        <w:rPr>
          <w:spacing w:val="46"/>
        </w:rPr>
        <w:t xml:space="preserve"> </w:t>
      </w:r>
      <w:r>
        <w:rPr>
          <w:spacing w:val="-1"/>
        </w:rPr>
        <w:t>temporarily</w:t>
      </w:r>
      <w:r>
        <w:rPr>
          <w:spacing w:val="44"/>
        </w:rPr>
        <w:t xml:space="preserve"> </w:t>
      </w:r>
      <w:r>
        <w:rPr>
          <w:spacing w:val="-1"/>
        </w:rPr>
        <w:t>unable</w:t>
      </w:r>
      <w:r>
        <w:rPr>
          <w:spacing w:val="46"/>
        </w:rPr>
        <w:t xml:space="preserve"> </w:t>
      </w:r>
      <w:r>
        <w:t>to</w:t>
      </w:r>
      <w:r>
        <w:rPr>
          <w:spacing w:val="47"/>
        </w:rPr>
        <w:t xml:space="preserve"> </w:t>
      </w:r>
      <w:r>
        <w:rPr>
          <w:spacing w:val="-1"/>
        </w:rPr>
        <w:t>fulfil</w:t>
      </w:r>
      <w:r>
        <w:rPr>
          <w:spacing w:val="45"/>
        </w:rPr>
        <w:t xml:space="preserve"> </w:t>
      </w:r>
      <w:r>
        <w:t>the</w:t>
      </w:r>
      <w:r>
        <w:rPr>
          <w:spacing w:val="46"/>
        </w:rPr>
        <w:t xml:space="preserve"> </w:t>
      </w:r>
      <w:r>
        <w:rPr>
          <w:spacing w:val="-1"/>
        </w:rPr>
        <w:t>requirements</w:t>
      </w:r>
      <w:r>
        <w:rPr>
          <w:spacing w:val="46"/>
        </w:rPr>
        <w:t xml:space="preserve"> </w:t>
      </w:r>
      <w:r>
        <w:rPr>
          <w:spacing w:val="-2"/>
        </w:rPr>
        <w:t>of</w:t>
      </w:r>
      <w:r>
        <w:rPr>
          <w:spacing w:val="49"/>
        </w:rPr>
        <w:t xml:space="preserve"> </w:t>
      </w:r>
      <w:r>
        <w:rPr>
          <w:spacing w:val="-1"/>
        </w:rPr>
        <w:t>this</w:t>
      </w:r>
      <w:r>
        <w:rPr>
          <w:spacing w:val="46"/>
        </w:rPr>
        <w:t xml:space="preserve"> </w:t>
      </w:r>
      <w:r>
        <w:rPr>
          <w:spacing w:val="-2"/>
        </w:rPr>
        <w:t>Call</w:t>
      </w:r>
      <w:r>
        <w:rPr>
          <w:spacing w:val="46"/>
        </w:rPr>
        <w:t xml:space="preserve"> </w:t>
      </w:r>
      <w:r>
        <w:t>Off</w:t>
      </w:r>
      <w:r>
        <w:rPr>
          <w:spacing w:val="54"/>
        </w:rPr>
        <w:t xml:space="preserve"> </w:t>
      </w:r>
      <w:r>
        <w:rPr>
          <w:spacing w:val="-1"/>
        </w:rPr>
        <w:t>Contract</w:t>
      </w:r>
      <w:r>
        <w:rPr>
          <w:spacing w:val="4"/>
        </w:rPr>
        <w:t xml:space="preserve"> </w:t>
      </w:r>
      <w:r>
        <w:rPr>
          <w:spacing w:val="-2"/>
        </w:rPr>
        <w:t>owing</w:t>
      </w:r>
      <w:r>
        <w:rPr>
          <w:spacing w:val="5"/>
        </w:rPr>
        <w:t xml:space="preserve"> </w:t>
      </w:r>
      <w:r>
        <w:t>to</w:t>
      </w:r>
      <w:r>
        <w:rPr>
          <w:spacing w:val="3"/>
        </w:rPr>
        <w:t xml:space="preserve"> </w:t>
      </w:r>
      <w:r>
        <w:rPr>
          <w:spacing w:val="-1"/>
        </w:rPr>
        <w:t>disruption</w:t>
      </w:r>
      <w:r>
        <w:rPr>
          <w:spacing w:val="3"/>
        </w:rPr>
        <w:t xml:space="preserve"> </w:t>
      </w:r>
      <w:r>
        <w:rPr>
          <w:spacing w:val="-1"/>
        </w:rPr>
        <w:t>of</w:t>
      </w:r>
      <w:r>
        <w:rPr>
          <w:spacing w:val="6"/>
        </w:rPr>
        <w:t xml:space="preserve"> </w:t>
      </w:r>
      <w:r>
        <w:rPr>
          <w:spacing w:val="-1"/>
        </w:rPr>
        <w:t>normal</w:t>
      </w:r>
      <w:r>
        <w:rPr>
          <w:spacing w:val="2"/>
        </w:rPr>
        <w:t xml:space="preserve"> </w:t>
      </w:r>
      <w:r>
        <w:rPr>
          <w:spacing w:val="-1"/>
        </w:rPr>
        <w:t>business</w:t>
      </w:r>
      <w:r>
        <w:rPr>
          <w:spacing w:val="3"/>
        </w:rPr>
        <w:t xml:space="preserve"> </w:t>
      </w:r>
      <w:r>
        <w:rPr>
          <w:spacing w:val="-1"/>
        </w:rPr>
        <w:t>solely</w:t>
      </w:r>
      <w:r>
        <w:rPr>
          <w:spacing w:val="1"/>
        </w:rPr>
        <w:t xml:space="preserve"> </w:t>
      </w:r>
      <w:r>
        <w:rPr>
          <w:spacing w:val="-1"/>
        </w:rPr>
        <w:t>caused</w:t>
      </w:r>
      <w:r>
        <w:rPr>
          <w:spacing w:val="3"/>
        </w:rPr>
        <w:t xml:space="preserve"> </w:t>
      </w:r>
      <w:r>
        <w:rPr>
          <w:spacing w:val="-1"/>
        </w:rPr>
        <w:t>by</w:t>
      </w:r>
      <w:r>
        <w:rPr>
          <w:spacing w:val="3"/>
        </w:rPr>
        <w:t xml:space="preserve"> </w:t>
      </w:r>
      <w:r>
        <w:t>the</w:t>
      </w:r>
      <w:r>
        <w:rPr>
          <w:spacing w:val="3"/>
        </w:rPr>
        <w:t xml:space="preserve"> </w:t>
      </w:r>
      <w:r>
        <w:rPr>
          <w:spacing w:val="-1"/>
        </w:rPr>
        <w:t>Customer,</w:t>
      </w:r>
      <w:r>
        <w:rPr>
          <w:spacing w:val="4"/>
        </w:rPr>
        <w:t xml:space="preserve"> </w:t>
      </w:r>
      <w:r>
        <w:rPr>
          <w:spacing w:val="-1"/>
        </w:rPr>
        <w:t>an</w:t>
      </w:r>
      <w:r>
        <w:rPr>
          <w:spacing w:val="32"/>
        </w:rPr>
        <w:t xml:space="preserve"> </w:t>
      </w:r>
      <w:r>
        <w:rPr>
          <w:spacing w:val="-1"/>
        </w:rPr>
        <w:t>appropriate</w:t>
      </w:r>
      <w:r>
        <w:rPr>
          <w:spacing w:val="46"/>
        </w:rPr>
        <w:t xml:space="preserve"> </w:t>
      </w:r>
      <w:r>
        <w:rPr>
          <w:spacing w:val="-2"/>
        </w:rPr>
        <w:t>allowance</w:t>
      </w:r>
      <w:r>
        <w:rPr>
          <w:spacing w:val="46"/>
        </w:rPr>
        <w:t xml:space="preserve"> </w:t>
      </w:r>
      <w:r>
        <w:rPr>
          <w:spacing w:val="1"/>
        </w:rPr>
        <w:t>by</w:t>
      </w:r>
      <w:r>
        <w:rPr>
          <w:spacing w:val="46"/>
        </w:rPr>
        <w:t xml:space="preserve"> </w:t>
      </w:r>
      <w:r>
        <w:rPr>
          <w:spacing w:val="-1"/>
        </w:rPr>
        <w:t>way</w:t>
      </w:r>
      <w:r>
        <w:rPr>
          <w:spacing w:val="44"/>
        </w:rPr>
        <w:t xml:space="preserve"> </w:t>
      </w:r>
      <w:r>
        <w:rPr>
          <w:spacing w:val="-1"/>
        </w:rPr>
        <w:t>of</w:t>
      </w:r>
      <w:r>
        <w:rPr>
          <w:spacing w:val="49"/>
        </w:rPr>
        <w:t xml:space="preserve"> </w:t>
      </w:r>
      <w:r>
        <w:rPr>
          <w:spacing w:val="-1"/>
        </w:rPr>
        <w:t>an</w:t>
      </w:r>
      <w:r>
        <w:rPr>
          <w:spacing w:val="47"/>
        </w:rPr>
        <w:t xml:space="preserve"> </w:t>
      </w:r>
      <w:r>
        <w:rPr>
          <w:spacing w:val="-1"/>
        </w:rPr>
        <w:t>extension</w:t>
      </w:r>
      <w:r>
        <w:rPr>
          <w:spacing w:val="47"/>
        </w:rPr>
        <w:t xml:space="preserve"> </w:t>
      </w:r>
      <w:r>
        <w:rPr>
          <w:spacing w:val="-2"/>
        </w:rPr>
        <w:t>of</w:t>
      </w:r>
      <w:r>
        <w:rPr>
          <w:spacing w:val="49"/>
        </w:rPr>
        <w:t xml:space="preserve"> </w:t>
      </w:r>
      <w:r>
        <w:rPr>
          <w:spacing w:val="-1"/>
        </w:rPr>
        <w:t>time</w:t>
      </w:r>
      <w:r>
        <w:rPr>
          <w:spacing w:val="46"/>
        </w:rPr>
        <w:t xml:space="preserve"> </w:t>
      </w:r>
      <w:r>
        <w:rPr>
          <w:spacing w:val="-2"/>
        </w:rPr>
        <w:t>will</w:t>
      </w:r>
      <w:r>
        <w:rPr>
          <w:spacing w:val="45"/>
        </w:rPr>
        <w:t xml:space="preserve"> </w:t>
      </w:r>
      <w:r>
        <w:rPr>
          <w:spacing w:val="-1"/>
        </w:rPr>
        <w:t>be</w:t>
      </w:r>
      <w:r>
        <w:rPr>
          <w:spacing w:val="48"/>
        </w:rPr>
        <w:t xml:space="preserve"> </w:t>
      </w:r>
      <w:r>
        <w:rPr>
          <w:spacing w:val="-1"/>
        </w:rPr>
        <w:t>Approved</w:t>
      </w:r>
      <w:r>
        <w:rPr>
          <w:spacing w:val="46"/>
        </w:rPr>
        <w:t xml:space="preserve"> </w:t>
      </w:r>
      <w:r>
        <w:rPr>
          <w:spacing w:val="-1"/>
        </w:rPr>
        <w:t>by</w:t>
      </w:r>
      <w:r>
        <w:rPr>
          <w:spacing w:val="45"/>
        </w:rPr>
        <w:t xml:space="preserve"> </w:t>
      </w:r>
      <w:r>
        <w:rPr>
          <w:spacing w:val="-1"/>
        </w:rPr>
        <w:t>the</w:t>
      </w:r>
      <w:r>
        <w:rPr>
          <w:spacing w:val="48"/>
        </w:rPr>
        <w:t xml:space="preserve"> </w:t>
      </w:r>
      <w:r>
        <w:rPr>
          <w:spacing w:val="-1"/>
        </w:rPr>
        <w:t>Customer.</w:t>
      </w:r>
      <w:r>
        <w:rPr>
          <w:spacing w:val="34"/>
        </w:rPr>
        <w:t xml:space="preserve"> </w:t>
      </w:r>
      <w:r>
        <w:t>In</w:t>
      </w:r>
      <w:r>
        <w:rPr>
          <w:spacing w:val="35"/>
        </w:rPr>
        <w:t xml:space="preserve"> </w:t>
      </w:r>
      <w:r>
        <w:rPr>
          <w:spacing w:val="-2"/>
        </w:rPr>
        <w:t>addition,</w:t>
      </w:r>
      <w:r>
        <w:rPr>
          <w:spacing w:val="34"/>
        </w:rPr>
        <w:t xml:space="preserve"> </w:t>
      </w:r>
      <w:r>
        <w:t>the</w:t>
      </w:r>
      <w:r>
        <w:rPr>
          <w:spacing w:val="35"/>
        </w:rPr>
        <w:t xml:space="preserve"> </w:t>
      </w:r>
      <w:r>
        <w:rPr>
          <w:spacing w:val="-2"/>
        </w:rPr>
        <w:t>Customer</w:t>
      </w:r>
      <w:r>
        <w:rPr>
          <w:spacing w:val="36"/>
        </w:rPr>
        <w:t xml:space="preserve"> </w:t>
      </w:r>
      <w:r>
        <w:rPr>
          <w:spacing w:val="-2"/>
        </w:rPr>
        <w:t>will</w:t>
      </w:r>
      <w:r>
        <w:rPr>
          <w:spacing w:val="34"/>
        </w:rPr>
        <w:t xml:space="preserve"> </w:t>
      </w:r>
      <w:r>
        <w:rPr>
          <w:spacing w:val="-1"/>
        </w:rPr>
        <w:t>reimburse</w:t>
      </w:r>
      <w:r>
        <w:rPr>
          <w:spacing w:val="34"/>
        </w:rPr>
        <w:t xml:space="preserve"> </w:t>
      </w:r>
      <w:r>
        <w:rPr>
          <w:spacing w:val="-1"/>
        </w:rPr>
        <w:t>any</w:t>
      </w:r>
      <w:r>
        <w:rPr>
          <w:spacing w:val="33"/>
        </w:rPr>
        <w:t xml:space="preserve"> </w:t>
      </w:r>
      <w:r>
        <w:rPr>
          <w:spacing w:val="-1"/>
        </w:rPr>
        <w:t>additional</w:t>
      </w:r>
      <w:r>
        <w:rPr>
          <w:spacing w:val="37"/>
        </w:rPr>
        <w:t xml:space="preserve"> </w:t>
      </w:r>
      <w:r>
        <w:rPr>
          <w:spacing w:val="-2"/>
        </w:rPr>
        <w:t>expense</w:t>
      </w:r>
      <w:r>
        <w:rPr>
          <w:spacing w:val="62"/>
        </w:rPr>
        <w:t xml:space="preserve"> </w:t>
      </w:r>
      <w:r>
        <w:rPr>
          <w:spacing w:val="-1"/>
        </w:rPr>
        <w:t>reasonably</w:t>
      </w:r>
      <w:r>
        <w:rPr>
          <w:spacing w:val="-2"/>
        </w:rPr>
        <w:t xml:space="preserve"> </w:t>
      </w:r>
      <w:r>
        <w:rPr>
          <w:spacing w:val="-1"/>
        </w:rPr>
        <w:t>incurred</w:t>
      </w:r>
      <w:r>
        <w:t xml:space="preserve"> </w:t>
      </w:r>
      <w:r>
        <w:rPr>
          <w:spacing w:val="-1"/>
        </w:rPr>
        <w:t>by</w:t>
      </w:r>
      <w:r>
        <w:rPr>
          <w:spacing w:val="-4"/>
        </w:rPr>
        <w:t xml:space="preserve"> </w:t>
      </w:r>
      <w:r>
        <w:rPr>
          <w:spacing w:val="-1"/>
        </w:rPr>
        <w:t>the</w:t>
      </w:r>
      <w:r>
        <w:t xml:space="preserve"> </w:t>
      </w:r>
      <w:r>
        <w:rPr>
          <w:spacing w:val="-2"/>
        </w:rPr>
        <w:t>Supplier</w:t>
      </w:r>
      <w:r>
        <w:rPr>
          <w:spacing w:val="2"/>
        </w:rPr>
        <w:t xml:space="preserve"> </w:t>
      </w:r>
      <w:r>
        <w:rPr>
          <w:spacing w:val="-1"/>
        </w:rPr>
        <w:t>as</w:t>
      </w:r>
      <w:r>
        <w:rPr>
          <w:spacing w:val="1"/>
        </w:rPr>
        <w:t xml:space="preserve"> </w:t>
      </w:r>
      <w:r>
        <w:t>a</w:t>
      </w:r>
      <w:r>
        <w:rPr>
          <w:spacing w:val="-2"/>
        </w:rPr>
        <w:t xml:space="preserve"> direct</w:t>
      </w:r>
      <w:r>
        <w:t xml:space="preserve"> </w:t>
      </w:r>
      <w:r>
        <w:rPr>
          <w:spacing w:val="-1"/>
        </w:rPr>
        <w:t>result</w:t>
      </w:r>
      <w:r>
        <w:rPr>
          <w:spacing w:val="2"/>
        </w:rPr>
        <w:t xml:space="preserve"> </w:t>
      </w:r>
      <w:r>
        <w:rPr>
          <w:spacing w:val="-2"/>
        </w:rPr>
        <w:t>of</w:t>
      </w:r>
      <w:r>
        <w:rPr>
          <w:spacing w:val="2"/>
        </w:rPr>
        <w:t xml:space="preserve"> </w:t>
      </w:r>
      <w:r>
        <w:rPr>
          <w:spacing w:val="-1"/>
        </w:rPr>
        <w:t>such</w:t>
      </w:r>
      <w:r>
        <w:rPr>
          <w:spacing w:val="-2"/>
        </w:rPr>
        <w:t xml:space="preserve"> </w:t>
      </w:r>
      <w:r>
        <w:rPr>
          <w:spacing w:val="-1"/>
        </w:rPr>
        <w:t>disruption.</w:t>
      </w:r>
    </w:p>
    <w:p w:rsidR="008918FA" w:rsidRDefault="008918FA" w:rsidP="008918FA">
      <w:pPr>
        <w:pStyle w:val="BodyText"/>
        <w:numPr>
          <w:ilvl w:val="0"/>
          <w:numId w:val="66"/>
        </w:numPr>
        <w:tabs>
          <w:tab w:val="left" w:pos="688"/>
        </w:tabs>
        <w:spacing w:before="117"/>
        <w:ind w:left="687"/>
        <w:rPr>
          <w:rFonts w:ascii="Times New Roman" w:eastAsia="Times New Roman" w:hAnsi="Times New Roman" w:cs="Times New Roman"/>
        </w:rPr>
      </w:pPr>
      <w:bookmarkStart w:id="118" w:name="_bookmark106"/>
      <w:bookmarkEnd w:id="118"/>
      <w:r>
        <w:rPr>
          <w:rFonts w:ascii="Times New Roman"/>
          <w:spacing w:val="8"/>
        </w:rPr>
        <w:t>SUPPLIER</w:t>
      </w:r>
      <w:r>
        <w:rPr>
          <w:rFonts w:ascii="Times New Roman"/>
          <w:spacing w:val="18"/>
        </w:rPr>
        <w:t xml:space="preserve"> </w:t>
      </w:r>
      <w:bookmarkStart w:id="119" w:name="_bookmark107"/>
      <w:bookmarkEnd w:id="119"/>
      <w:r>
        <w:rPr>
          <w:rFonts w:ascii="Times New Roman"/>
        </w:rPr>
        <w:t>NOTIFICATION</w:t>
      </w:r>
      <w:r>
        <w:rPr>
          <w:rFonts w:ascii="Times New Roman"/>
          <w:spacing w:val="3"/>
        </w:rPr>
        <w:t xml:space="preserve"> </w:t>
      </w:r>
      <w:r>
        <w:rPr>
          <w:rFonts w:ascii="Times New Roman"/>
          <w:spacing w:val="6"/>
        </w:rPr>
        <w:t>OF</w:t>
      </w:r>
      <w:r>
        <w:rPr>
          <w:rFonts w:ascii="Times New Roman"/>
          <w:spacing w:val="19"/>
        </w:rPr>
        <w:t xml:space="preserve"> </w:t>
      </w:r>
      <w:r>
        <w:rPr>
          <w:rFonts w:ascii="Times New Roman"/>
          <w:spacing w:val="3"/>
        </w:rPr>
        <w:t>CUS</w:t>
      </w:r>
      <w:r>
        <w:rPr>
          <w:rFonts w:ascii="Times New Roman"/>
          <w:spacing w:val="-32"/>
        </w:rPr>
        <w:t xml:space="preserve"> </w:t>
      </w:r>
      <w:r>
        <w:rPr>
          <w:rFonts w:ascii="Times New Roman"/>
          <w:spacing w:val="1"/>
        </w:rPr>
        <w:t>TOMER</w:t>
      </w:r>
      <w:r>
        <w:rPr>
          <w:rFonts w:ascii="Times New Roman"/>
          <w:spacing w:val="18"/>
        </w:rPr>
        <w:t xml:space="preserve"> </w:t>
      </w:r>
      <w:r>
        <w:rPr>
          <w:rFonts w:ascii="Times New Roman"/>
          <w:spacing w:val="1"/>
        </w:rPr>
        <w:t>CAUS</w:t>
      </w:r>
      <w:r>
        <w:rPr>
          <w:rFonts w:ascii="Times New Roman"/>
          <w:spacing w:val="-32"/>
        </w:rPr>
        <w:t xml:space="preserve"> </w:t>
      </w:r>
      <w:r>
        <w:rPr>
          <w:rFonts w:ascii="Times New Roman"/>
        </w:rPr>
        <w:t>E</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4"/>
        </w:tabs>
        <w:spacing w:before="0"/>
        <w:ind w:left="1049" w:right="112" w:hanging="360"/>
        <w:jc w:val="both"/>
      </w:pPr>
      <w:r>
        <w:rPr>
          <w:spacing w:val="-1"/>
        </w:rPr>
        <w:t>Without</w:t>
      </w:r>
      <w:r>
        <w:rPr>
          <w:spacing w:val="7"/>
        </w:rPr>
        <w:t xml:space="preserve"> </w:t>
      </w:r>
      <w:r>
        <w:rPr>
          <w:spacing w:val="-1"/>
        </w:rPr>
        <w:t>prejudice</w:t>
      </w:r>
      <w:r>
        <w:rPr>
          <w:spacing w:val="3"/>
        </w:rPr>
        <w:t xml:space="preserve"> </w:t>
      </w:r>
      <w:r>
        <w:t>to</w:t>
      </w:r>
      <w:r>
        <w:rPr>
          <w:spacing w:val="5"/>
        </w:rPr>
        <w:t xml:space="preserve"> </w:t>
      </w:r>
      <w:r>
        <w:rPr>
          <w:spacing w:val="-1"/>
        </w:rPr>
        <w:t>any</w:t>
      </w:r>
      <w:r>
        <w:rPr>
          <w:spacing w:val="3"/>
        </w:rPr>
        <w:t xml:space="preserve"> </w:t>
      </w:r>
      <w:r>
        <w:rPr>
          <w:spacing w:val="-1"/>
        </w:rPr>
        <w:t>other</w:t>
      </w:r>
      <w:r>
        <w:rPr>
          <w:spacing w:val="6"/>
        </w:rPr>
        <w:t xml:space="preserve"> </w:t>
      </w:r>
      <w:r>
        <w:rPr>
          <w:spacing w:val="-1"/>
        </w:rPr>
        <w:t>obligations</w:t>
      </w:r>
      <w:r>
        <w:rPr>
          <w:spacing w:val="5"/>
        </w:rPr>
        <w:t xml:space="preserve"> </w:t>
      </w:r>
      <w:r>
        <w:rPr>
          <w:spacing w:val="-2"/>
        </w:rPr>
        <w:t>of</w:t>
      </w:r>
      <w:r>
        <w:rPr>
          <w:spacing w:val="6"/>
        </w:rPr>
        <w:t xml:space="preserve"> </w:t>
      </w:r>
      <w:r>
        <w:t>the</w:t>
      </w:r>
      <w:r>
        <w:rPr>
          <w:spacing w:val="3"/>
        </w:rPr>
        <w:t xml:space="preserve"> </w:t>
      </w:r>
      <w:r>
        <w:rPr>
          <w:spacing w:val="-2"/>
        </w:rPr>
        <w:t>Supplier</w:t>
      </w:r>
      <w:r>
        <w:rPr>
          <w:spacing w:val="6"/>
        </w:rPr>
        <w:t xml:space="preserve"> </w:t>
      </w:r>
      <w:r>
        <w:rPr>
          <w:spacing w:val="-1"/>
        </w:rPr>
        <w:t>in</w:t>
      </w:r>
      <w:r>
        <w:rPr>
          <w:spacing w:val="5"/>
        </w:rPr>
        <w:t xml:space="preserve"> </w:t>
      </w:r>
      <w:r>
        <w:rPr>
          <w:spacing w:val="-1"/>
        </w:rPr>
        <w:t>this</w:t>
      </w:r>
      <w:r>
        <w:rPr>
          <w:spacing w:val="5"/>
        </w:rPr>
        <w:t xml:space="preserve"> </w:t>
      </w:r>
      <w:r>
        <w:rPr>
          <w:spacing w:val="-2"/>
        </w:rPr>
        <w:t>Call</w:t>
      </w:r>
      <w:r>
        <w:rPr>
          <w:spacing w:val="4"/>
        </w:rPr>
        <w:t xml:space="preserve"> </w:t>
      </w:r>
      <w:r>
        <w:t>Off</w:t>
      </w:r>
      <w:r>
        <w:rPr>
          <w:spacing w:val="4"/>
        </w:rPr>
        <w:t xml:space="preserve"> </w:t>
      </w:r>
      <w:r>
        <w:rPr>
          <w:spacing w:val="-1"/>
        </w:rPr>
        <w:t>Contract</w:t>
      </w:r>
      <w:r>
        <w:rPr>
          <w:spacing w:val="53"/>
        </w:rPr>
        <w:t xml:space="preserve"> </w:t>
      </w:r>
      <w:r>
        <w:t xml:space="preserve">to </w:t>
      </w:r>
      <w:r>
        <w:rPr>
          <w:spacing w:val="-1"/>
        </w:rPr>
        <w:t>notify</w:t>
      </w:r>
      <w:r>
        <w:rPr>
          <w:spacing w:val="-2"/>
        </w:rPr>
        <w:t xml:space="preserve"> </w:t>
      </w:r>
      <w:r>
        <w:t xml:space="preserve">the </w:t>
      </w:r>
      <w:r>
        <w:rPr>
          <w:spacing w:val="-2"/>
        </w:rPr>
        <w:t>Customer</w:t>
      </w:r>
      <w:r>
        <w:rPr>
          <w:spacing w:val="2"/>
        </w:rPr>
        <w:t xml:space="preserve"> </w:t>
      </w:r>
      <w:r>
        <w:rPr>
          <w:spacing w:val="-1"/>
        </w:rPr>
        <w:t>in</w:t>
      </w:r>
      <w:r>
        <w:rPr>
          <w:spacing w:val="-4"/>
        </w:rPr>
        <w:t xml:space="preserve"> </w:t>
      </w:r>
      <w:r>
        <w:rPr>
          <w:spacing w:val="-1"/>
        </w:rPr>
        <w:t>respect</w:t>
      </w:r>
      <w:r>
        <w:t xml:space="preserve"> </w:t>
      </w:r>
      <w:r>
        <w:rPr>
          <w:spacing w:val="-2"/>
        </w:rPr>
        <w:t>of</w:t>
      </w:r>
      <w:r>
        <w:rPr>
          <w:spacing w:val="2"/>
        </w:rPr>
        <w:t xml:space="preserve"> </w:t>
      </w:r>
      <w:r>
        <w:t xml:space="preserve">a </w:t>
      </w:r>
      <w:r>
        <w:rPr>
          <w:spacing w:val="-1"/>
        </w:rPr>
        <w:t>specific</w:t>
      </w:r>
      <w:r>
        <w:rPr>
          <w:spacing w:val="1"/>
        </w:rPr>
        <w:t xml:space="preserve"> </w:t>
      </w:r>
      <w:r>
        <w:rPr>
          <w:spacing w:val="-2"/>
        </w:rPr>
        <w:t>Customer</w:t>
      </w:r>
      <w:r>
        <w:rPr>
          <w:spacing w:val="2"/>
        </w:rPr>
        <w:t xml:space="preserve"> </w:t>
      </w:r>
      <w:r>
        <w:rPr>
          <w:spacing w:val="-1"/>
        </w:rPr>
        <w:t>Cause</w:t>
      </w:r>
      <w:r>
        <w:rPr>
          <w:spacing w:val="-2"/>
        </w:rPr>
        <w:t xml:space="preserve"> </w:t>
      </w:r>
      <w:r>
        <w:rPr>
          <w:spacing w:val="-1"/>
        </w:rPr>
        <w:t>(including</w:t>
      </w:r>
      <w:r>
        <w:t xml:space="preserve"> </w:t>
      </w:r>
      <w:r>
        <w:rPr>
          <w:spacing w:val="-1"/>
        </w:rPr>
        <w:t>the</w:t>
      </w:r>
      <w:r>
        <w:t xml:space="preserve"> </w:t>
      </w:r>
      <w:r>
        <w:rPr>
          <w:spacing w:val="-1"/>
        </w:rPr>
        <w:t>notice</w:t>
      </w:r>
    </w:p>
    <w:p w:rsidR="008918FA" w:rsidRDefault="008918FA" w:rsidP="008918FA">
      <w:pPr>
        <w:jc w:val="both"/>
        <w:sectPr w:rsidR="008918FA">
          <w:pgSz w:w="11910" w:h="16840"/>
          <w:pgMar w:top="1480" w:right="1300" w:bottom="1180" w:left="1320" w:header="0" w:footer="967" w:gutter="0"/>
          <w:cols w:space="720"/>
        </w:sectPr>
      </w:pPr>
    </w:p>
    <w:p w:rsidR="008918FA" w:rsidRDefault="008918FA" w:rsidP="008918FA">
      <w:pPr>
        <w:pStyle w:val="BodyText"/>
        <w:spacing w:before="59"/>
        <w:ind w:left="1048" w:right="118" w:firstLine="0"/>
      </w:pPr>
      <w:bookmarkStart w:id="120" w:name="D._UCALL_OFF_CONTRACT_GOVERNANCE"/>
      <w:bookmarkEnd w:id="120"/>
      <w:r>
        <w:rPr>
          <w:spacing w:val="-1"/>
        </w:rPr>
        <w:t>requirements</w:t>
      </w:r>
      <w:r>
        <w:rPr>
          <w:spacing w:val="18"/>
        </w:rPr>
        <w:t xml:space="preserve"> </w:t>
      </w:r>
      <w:r>
        <w:rPr>
          <w:spacing w:val="-1"/>
        </w:rPr>
        <w:t>under</w:t>
      </w:r>
      <w:r>
        <w:rPr>
          <w:spacing w:val="19"/>
        </w:rPr>
        <w:t xml:space="preserve"> </w:t>
      </w:r>
      <w:r>
        <w:rPr>
          <w:spacing w:val="-2"/>
        </w:rPr>
        <w:t>Clause</w:t>
      </w:r>
      <w:r>
        <w:rPr>
          <w:spacing w:val="18"/>
        </w:rPr>
        <w:t xml:space="preserve"> </w:t>
      </w:r>
      <w:hyperlink w:anchor="_bookmark244" w:history="1">
        <w:r>
          <w:rPr>
            <w:spacing w:val="-1"/>
          </w:rPr>
          <w:t>42.1.1</w:t>
        </w:r>
      </w:hyperlink>
      <w:r>
        <w:rPr>
          <w:spacing w:val="18"/>
        </w:rPr>
        <w:t xml:space="preserve"> </w:t>
      </w:r>
      <w:r>
        <w:rPr>
          <w:spacing w:val="-1"/>
        </w:rPr>
        <w:t>(Termination</w:t>
      </w:r>
      <w:r>
        <w:rPr>
          <w:spacing w:val="17"/>
        </w:rPr>
        <w:t xml:space="preserve"> </w:t>
      </w:r>
      <w:r>
        <w:rPr>
          <w:spacing w:val="-1"/>
        </w:rPr>
        <w:t>on</w:t>
      </w:r>
      <w:r>
        <w:rPr>
          <w:spacing w:val="17"/>
        </w:rPr>
        <w:t xml:space="preserve"> </w:t>
      </w:r>
      <w:r>
        <w:rPr>
          <w:spacing w:val="-1"/>
        </w:rPr>
        <w:t>Customer</w:t>
      </w:r>
      <w:r>
        <w:rPr>
          <w:spacing w:val="19"/>
        </w:rPr>
        <w:t xml:space="preserve"> </w:t>
      </w:r>
      <w:r>
        <w:rPr>
          <w:spacing w:val="-1"/>
        </w:rPr>
        <w:t>Cause</w:t>
      </w:r>
      <w:r>
        <w:rPr>
          <w:spacing w:val="15"/>
        </w:rPr>
        <w:t xml:space="preserve"> </w:t>
      </w:r>
      <w:r>
        <w:t>for</w:t>
      </w:r>
      <w:r>
        <w:rPr>
          <w:spacing w:val="16"/>
        </w:rPr>
        <w:t xml:space="preserve"> </w:t>
      </w:r>
      <w:r>
        <w:rPr>
          <w:spacing w:val="-1"/>
        </w:rPr>
        <w:t>Failure</w:t>
      </w:r>
      <w:r>
        <w:rPr>
          <w:spacing w:val="17"/>
        </w:rPr>
        <w:t xml:space="preserve"> </w:t>
      </w:r>
      <w:r>
        <w:t>to</w:t>
      </w:r>
      <w:r>
        <w:rPr>
          <w:spacing w:val="37"/>
        </w:rPr>
        <w:t xml:space="preserve"> </w:t>
      </w:r>
      <w:r>
        <w:rPr>
          <w:spacing w:val="-1"/>
        </w:rPr>
        <w:t>Pay)),</w:t>
      </w:r>
      <w:r>
        <w:t xml:space="preserve"> </w:t>
      </w:r>
      <w:r>
        <w:rPr>
          <w:spacing w:val="-1"/>
        </w:rPr>
        <w:t>the</w:t>
      </w:r>
      <w:r>
        <w:t xml:space="preserve"> </w:t>
      </w:r>
      <w:r>
        <w:rPr>
          <w:spacing w:val="-2"/>
        </w:rPr>
        <w:t>Supplier</w:t>
      </w:r>
      <w:r>
        <w:rPr>
          <w:spacing w:val="2"/>
        </w:rPr>
        <w:t xml:space="preserve"> </w:t>
      </w:r>
      <w:r>
        <w:rPr>
          <w:spacing w:val="-2"/>
        </w:rPr>
        <w:t>shall:</w:t>
      </w:r>
    </w:p>
    <w:p w:rsidR="008918FA" w:rsidRDefault="008918FA" w:rsidP="008918FA">
      <w:pPr>
        <w:pStyle w:val="BodyText"/>
        <w:numPr>
          <w:ilvl w:val="2"/>
          <w:numId w:val="66"/>
        </w:numPr>
        <w:tabs>
          <w:tab w:val="left" w:pos="2247"/>
        </w:tabs>
        <w:spacing w:before="121"/>
        <w:ind w:left="2245" w:right="115" w:hanging="993"/>
        <w:jc w:val="both"/>
      </w:pPr>
      <w:r>
        <w:rPr>
          <w:spacing w:val="-1"/>
        </w:rPr>
        <w:t>notify</w:t>
      </w:r>
      <w:r>
        <w:rPr>
          <w:spacing w:val="36"/>
        </w:rPr>
        <w:t xml:space="preserve"> </w:t>
      </w:r>
      <w:r>
        <w:t>the</w:t>
      </w:r>
      <w:r>
        <w:rPr>
          <w:spacing w:val="39"/>
        </w:rPr>
        <w:t xml:space="preserve"> </w:t>
      </w:r>
      <w:r>
        <w:rPr>
          <w:spacing w:val="-1"/>
        </w:rPr>
        <w:t>Customer</w:t>
      </w:r>
      <w:r>
        <w:rPr>
          <w:spacing w:val="40"/>
        </w:rPr>
        <w:t xml:space="preserve"> </w:t>
      </w:r>
      <w:r>
        <w:rPr>
          <w:spacing w:val="-1"/>
        </w:rPr>
        <w:t>as</w:t>
      </w:r>
      <w:r>
        <w:rPr>
          <w:spacing w:val="37"/>
        </w:rPr>
        <w:t xml:space="preserve"> </w:t>
      </w:r>
      <w:r>
        <w:rPr>
          <w:spacing w:val="-1"/>
        </w:rPr>
        <w:t>soon</w:t>
      </w:r>
      <w:r>
        <w:rPr>
          <w:spacing w:val="39"/>
        </w:rPr>
        <w:t xml:space="preserve"> </w:t>
      </w:r>
      <w:r>
        <w:rPr>
          <w:spacing w:val="-1"/>
        </w:rPr>
        <w:t>as</w:t>
      </w:r>
      <w:r>
        <w:rPr>
          <w:spacing w:val="39"/>
        </w:rPr>
        <w:t xml:space="preserve"> </w:t>
      </w:r>
      <w:r>
        <w:rPr>
          <w:spacing w:val="-1"/>
        </w:rPr>
        <w:t>reasonably</w:t>
      </w:r>
      <w:r>
        <w:rPr>
          <w:spacing w:val="37"/>
        </w:rPr>
        <w:t xml:space="preserve"> </w:t>
      </w:r>
      <w:r>
        <w:rPr>
          <w:spacing w:val="-1"/>
        </w:rPr>
        <w:t>practicable</w:t>
      </w:r>
      <w:r>
        <w:rPr>
          <w:spacing w:val="39"/>
        </w:rPr>
        <w:t xml:space="preserve"> </w:t>
      </w:r>
      <w:r>
        <w:t>((and</w:t>
      </w:r>
      <w:r>
        <w:rPr>
          <w:spacing w:val="38"/>
        </w:rPr>
        <w:t xml:space="preserve"> </w:t>
      </w:r>
      <w:r>
        <w:rPr>
          <w:spacing w:val="-1"/>
        </w:rPr>
        <w:t>in</w:t>
      </w:r>
      <w:r>
        <w:rPr>
          <w:spacing w:val="38"/>
        </w:rPr>
        <w:t xml:space="preserve"> </w:t>
      </w:r>
      <w:r>
        <w:rPr>
          <w:spacing w:val="-1"/>
        </w:rPr>
        <w:t>any</w:t>
      </w:r>
      <w:r>
        <w:rPr>
          <w:spacing w:val="38"/>
        </w:rPr>
        <w:t xml:space="preserve"> </w:t>
      </w:r>
      <w:r>
        <w:rPr>
          <w:spacing w:val="-2"/>
        </w:rPr>
        <w:t>event</w:t>
      </w:r>
      <w:r>
        <w:rPr>
          <w:spacing w:val="30"/>
        </w:rPr>
        <w:t xml:space="preserve"> </w:t>
      </w:r>
      <w:r>
        <w:rPr>
          <w:spacing w:val="-1"/>
        </w:rPr>
        <w:t>within</w:t>
      </w:r>
      <w:r>
        <w:rPr>
          <w:spacing w:val="29"/>
        </w:rPr>
        <w:t xml:space="preserve"> </w:t>
      </w:r>
      <w:r>
        <w:rPr>
          <w:spacing w:val="-1"/>
        </w:rPr>
        <w:t>two</w:t>
      </w:r>
      <w:r>
        <w:rPr>
          <w:spacing w:val="29"/>
        </w:rPr>
        <w:t xml:space="preserve"> </w:t>
      </w:r>
      <w:r>
        <w:t>(2)</w:t>
      </w:r>
      <w:r>
        <w:rPr>
          <w:spacing w:val="26"/>
        </w:rPr>
        <w:t xml:space="preserve"> </w:t>
      </w:r>
      <w:r>
        <w:rPr>
          <w:spacing w:val="-1"/>
        </w:rPr>
        <w:t>Working</w:t>
      </w:r>
      <w:r>
        <w:rPr>
          <w:spacing w:val="29"/>
        </w:rPr>
        <w:t xml:space="preserve"> </w:t>
      </w:r>
      <w:r>
        <w:rPr>
          <w:spacing w:val="-2"/>
        </w:rPr>
        <w:t>Days</w:t>
      </w:r>
      <w:r>
        <w:rPr>
          <w:spacing w:val="30"/>
        </w:rPr>
        <w:t xml:space="preserve"> </w:t>
      </w:r>
      <w:r>
        <w:rPr>
          <w:spacing w:val="-1"/>
        </w:rPr>
        <w:t>of</w:t>
      </w:r>
      <w:r>
        <w:rPr>
          <w:spacing w:val="30"/>
        </w:rPr>
        <w:t xml:space="preserve"> </w:t>
      </w:r>
      <w:r>
        <w:t>the</w:t>
      </w:r>
      <w:r>
        <w:rPr>
          <w:spacing w:val="29"/>
        </w:rPr>
        <w:t xml:space="preserve"> </w:t>
      </w:r>
      <w:r>
        <w:rPr>
          <w:spacing w:val="-2"/>
        </w:rPr>
        <w:t>Supplier</w:t>
      </w:r>
      <w:r>
        <w:rPr>
          <w:spacing w:val="30"/>
        </w:rPr>
        <w:t xml:space="preserve"> </w:t>
      </w:r>
      <w:r>
        <w:rPr>
          <w:spacing w:val="-2"/>
        </w:rPr>
        <w:t>becoming</w:t>
      </w:r>
      <w:r>
        <w:rPr>
          <w:spacing w:val="31"/>
        </w:rPr>
        <w:t xml:space="preserve"> </w:t>
      </w:r>
      <w:r>
        <w:rPr>
          <w:spacing w:val="-2"/>
        </w:rPr>
        <w:t>aware))</w:t>
      </w:r>
      <w:r>
        <w:rPr>
          <w:spacing w:val="59"/>
        </w:rPr>
        <w:t xml:space="preserve"> </w:t>
      </w:r>
      <w:r>
        <w:rPr>
          <w:spacing w:val="-1"/>
        </w:rPr>
        <w:t>that</w:t>
      </w:r>
      <w:r>
        <w:rPr>
          <w:spacing w:val="23"/>
        </w:rPr>
        <w:t xml:space="preserve"> </w:t>
      </w:r>
      <w:r>
        <w:t>a</w:t>
      </w:r>
      <w:r>
        <w:rPr>
          <w:spacing w:val="22"/>
        </w:rPr>
        <w:t xml:space="preserve"> </w:t>
      </w:r>
      <w:r>
        <w:rPr>
          <w:spacing w:val="-1"/>
        </w:rPr>
        <w:t>Customer</w:t>
      </w:r>
      <w:r>
        <w:rPr>
          <w:spacing w:val="23"/>
        </w:rPr>
        <w:t xml:space="preserve"> </w:t>
      </w:r>
      <w:r>
        <w:rPr>
          <w:spacing w:val="-1"/>
        </w:rPr>
        <w:t>Cause</w:t>
      </w:r>
      <w:r>
        <w:rPr>
          <w:spacing w:val="20"/>
        </w:rPr>
        <w:t xml:space="preserve"> </w:t>
      </w:r>
      <w:r>
        <w:rPr>
          <w:spacing w:val="-1"/>
        </w:rPr>
        <w:t>has</w:t>
      </w:r>
      <w:r>
        <w:rPr>
          <w:spacing w:val="22"/>
        </w:rPr>
        <w:t xml:space="preserve"> </w:t>
      </w:r>
      <w:r>
        <w:rPr>
          <w:spacing w:val="-1"/>
        </w:rPr>
        <w:t>occurred</w:t>
      </w:r>
      <w:r>
        <w:rPr>
          <w:spacing w:val="22"/>
        </w:rPr>
        <w:t xml:space="preserve"> </w:t>
      </w:r>
      <w:r>
        <w:rPr>
          <w:spacing w:val="-1"/>
        </w:rPr>
        <w:t>or</w:t>
      </w:r>
      <w:r>
        <w:rPr>
          <w:spacing w:val="23"/>
        </w:rPr>
        <w:t xml:space="preserve"> </w:t>
      </w:r>
      <w:r>
        <w:rPr>
          <w:spacing w:val="-1"/>
        </w:rPr>
        <w:t>is</w:t>
      </w:r>
      <w:r>
        <w:rPr>
          <w:spacing w:val="22"/>
        </w:rPr>
        <w:t xml:space="preserve"> </w:t>
      </w:r>
      <w:r>
        <w:rPr>
          <w:spacing w:val="-2"/>
        </w:rPr>
        <w:t>reasonably</w:t>
      </w:r>
      <w:r>
        <w:rPr>
          <w:spacing w:val="22"/>
        </w:rPr>
        <w:t xml:space="preserve"> </w:t>
      </w:r>
      <w:r>
        <w:rPr>
          <w:spacing w:val="-1"/>
        </w:rPr>
        <w:t>likely</w:t>
      </w:r>
      <w:r>
        <w:rPr>
          <w:spacing w:val="20"/>
        </w:rPr>
        <w:t xml:space="preserve"> </w:t>
      </w:r>
      <w:r>
        <w:t>to</w:t>
      </w:r>
      <w:r>
        <w:rPr>
          <w:spacing w:val="22"/>
        </w:rPr>
        <w:t xml:space="preserve"> </w:t>
      </w:r>
      <w:r>
        <w:rPr>
          <w:spacing w:val="-1"/>
        </w:rPr>
        <w:t>occur,</w:t>
      </w:r>
      <w:r>
        <w:rPr>
          <w:spacing w:val="51"/>
        </w:rPr>
        <w:t xml:space="preserve"> </w:t>
      </w:r>
      <w:r>
        <w:rPr>
          <w:spacing w:val="-1"/>
        </w:rPr>
        <w:t>giving</w:t>
      </w:r>
      <w:r>
        <w:rPr>
          <w:spacing w:val="3"/>
        </w:rPr>
        <w:t xml:space="preserve"> </w:t>
      </w:r>
      <w:r>
        <w:rPr>
          <w:spacing w:val="-2"/>
        </w:rPr>
        <w:t>details</w:t>
      </w:r>
      <w:r>
        <w:rPr>
          <w:spacing w:val="1"/>
        </w:rPr>
        <w:t xml:space="preserve"> </w:t>
      </w:r>
      <w:r>
        <w:rPr>
          <w:spacing w:val="-1"/>
        </w:rPr>
        <w:t>of:</w:t>
      </w:r>
    </w:p>
    <w:p w:rsidR="008918FA" w:rsidRDefault="008918FA" w:rsidP="008918FA">
      <w:pPr>
        <w:pStyle w:val="BodyText"/>
        <w:numPr>
          <w:ilvl w:val="3"/>
          <w:numId w:val="66"/>
        </w:numPr>
        <w:tabs>
          <w:tab w:val="left" w:pos="2954"/>
        </w:tabs>
        <w:ind w:left="2953" w:right="116"/>
        <w:jc w:val="both"/>
      </w:pPr>
      <w:r>
        <w:t>the</w:t>
      </w:r>
      <w:r>
        <w:rPr>
          <w:spacing w:val="6"/>
        </w:rPr>
        <w:t xml:space="preserve"> </w:t>
      </w:r>
      <w:r>
        <w:rPr>
          <w:spacing w:val="-1"/>
        </w:rPr>
        <w:t>Customer</w:t>
      </w:r>
      <w:r>
        <w:rPr>
          <w:spacing w:val="8"/>
        </w:rPr>
        <w:t xml:space="preserve"> </w:t>
      </w:r>
      <w:r>
        <w:rPr>
          <w:spacing w:val="-1"/>
        </w:rPr>
        <w:t>Cause</w:t>
      </w:r>
      <w:r>
        <w:rPr>
          <w:spacing w:val="7"/>
        </w:rPr>
        <w:t xml:space="preserve"> </w:t>
      </w:r>
      <w:r>
        <w:rPr>
          <w:spacing w:val="-2"/>
        </w:rPr>
        <w:t>and</w:t>
      </w:r>
      <w:r>
        <w:rPr>
          <w:spacing w:val="6"/>
        </w:rPr>
        <w:t xml:space="preserve"> </w:t>
      </w:r>
      <w:r>
        <w:rPr>
          <w:spacing w:val="-1"/>
        </w:rPr>
        <w:t>its</w:t>
      </w:r>
      <w:r>
        <w:rPr>
          <w:spacing w:val="7"/>
        </w:rPr>
        <w:t xml:space="preserve"> </w:t>
      </w:r>
      <w:r>
        <w:rPr>
          <w:spacing w:val="-1"/>
        </w:rPr>
        <w:t>effect,</w:t>
      </w:r>
      <w:r>
        <w:rPr>
          <w:spacing w:val="8"/>
        </w:rPr>
        <w:t xml:space="preserve"> </w:t>
      </w:r>
      <w:r>
        <w:rPr>
          <w:spacing w:val="-2"/>
        </w:rPr>
        <w:t>or</w:t>
      </w:r>
      <w:r>
        <w:rPr>
          <w:spacing w:val="8"/>
        </w:rPr>
        <w:t xml:space="preserve"> </w:t>
      </w:r>
      <w:r>
        <w:rPr>
          <w:spacing w:val="-1"/>
        </w:rPr>
        <w:t>likely</w:t>
      </w:r>
      <w:r>
        <w:rPr>
          <w:spacing w:val="4"/>
        </w:rPr>
        <w:t xml:space="preserve"> </w:t>
      </w:r>
      <w:r>
        <w:rPr>
          <w:spacing w:val="-1"/>
        </w:rPr>
        <w:t>effect,</w:t>
      </w:r>
      <w:r>
        <w:rPr>
          <w:spacing w:val="8"/>
        </w:rPr>
        <w:t xml:space="preserve"> </w:t>
      </w:r>
      <w:r>
        <w:rPr>
          <w:spacing w:val="-1"/>
        </w:rPr>
        <w:t>on</w:t>
      </w:r>
      <w:r>
        <w:rPr>
          <w:spacing w:val="4"/>
        </w:rPr>
        <w:t xml:space="preserve"> </w:t>
      </w:r>
      <w:r>
        <w:rPr>
          <w:spacing w:val="-1"/>
        </w:rPr>
        <w:t>the</w:t>
      </w:r>
      <w:r>
        <w:rPr>
          <w:spacing w:val="40"/>
        </w:rPr>
        <w:t xml:space="preserve"> </w:t>
      </w:r>
      <w:r>
        <w:rPr>
          <w:spacing w:val="-2"/>
        </w:rPr>
        <w:t>Supplier’s</w:t>
      </w:r>
      <w:r>
        <w:rPr>
          <w:spacing w:val="7"/>
        </w:rPr>
        <w:t xml:space="preserve"> </w:t>
      </w:r>
      <w:r>
        <w:rPr>
          <w:spacing w:val="-1"/>
        </w:rPr>
        <w:t>ability</w:t>
      </w:r>
      <w:r>
        <w:rPr>
          <w:spacing w:val="4"/>
        </w:rPr>
        <w:t xml:space="preserve"> </w:t>
      </w:r>
      <w:r>
        <w:t>to</w:t>
      </w:r>
      <w:r>
        <w:rPr>
          <w:spacing w:val="6"/>
        </w:rPr>
        <w:t xml:space="preserve"> </w:t>
      </w:r>
      <w:r>
        <w:rPr>
          <w:spacing w:val="-1"/>
        </w:rPr>
        <w:t>meet</w:t>
      </w:r>
      <w:r>
        <w:rPr>
          <w:spacing w:val="8"/>
        </w:rPr>
        <w:t xml:space="preserve"> </w:t>
      </w:r>
      <w:r>
        <w:rPr>
          <w:spacing w:val="-1"/>
        </w:rPr>
        <w:t>its</w:t>
      </w:r>
      <w:r>
        <w:rPr>
          <w:spacing w:val="8"/>
        </w:rPr>
        <w:t xml:space="preserve"> </w:t>
      </w:r>
      <w:r>
        <w:rPr>
          <w:spacing w:val="-1"/>
        </w:rPr>
        <w:t>obligations</w:t>
      </w:r>
      <w:r>
        <w:rPr>
          <w:spacing w:val="7"/>
        </w:rPr>
        <w:t xml:space="preserve"> </w:t>
      </w:r>
      <w:r>
        <w:rPr>
          <w:spacing w:val="-1"/>
        </w:rPr>
        <w:t>under</w:t>
      </w:r>
      <w:r>
        <w:rPr>
          <w:spacing w:val="5"/>
        </w:rPr>
        <w:t xml:space="preserve"> </w:t>
      </w:r>
      <w:r>
        <w:rPr>
          <w:spacing w:val="-1"/>
        </w:rPr>
        <w:t>this</w:t>
      </w:r>
      <w:r>
        <w:rPr>
          <w:spacing w:val="7"/>
        </w:rPr>
        <w:t xml:space="preserve"> </w:t>
      </w:r>
      <w:r>
        <w:rPr>
          <w:spacing w:val="-2"/>
        </w:rPr>
        <w:t>Call</w:t>
      </w:r>
      <w:r>
        <w:rPr>
          <w:spacing w:val="3"/>
        </w:rPr>
        <w:t xml:space="preserve"> </w:t>
      </w:r>
      <w:r>
        <w:rPr>
          <w:spacing w:val="-1"/>
        </w:rPr>
        <w:t>Off</w:t>
      </w:r>
      <w:r>
        <w:rPr>
          <w:spacing w:val="53"/>
        </w:rPr>
        <w:t xml:space="preserve"> </w:t>
      </w:r>
      <w:r>
        <w:rPr>
          <w:spacing w:val="-1"/>
        </w:rPr>
        <w:t>Contract;</w:t>
      </w:r>
      <w:r>
        <w:t xml:space="preserve"> </w:t>
      </w:r>
      <w:r>
        <w:rPr>
          <w:spacing w:val="-1"/>
        </w:rPr>
        <w:t>and</w:t>
      </w:r>
    </w:p>
    <w:p w:rsidR="008918FA" w:rsidRDefault="008918FA" w:rsidP="008918FA">
      <w:pPr>
        <w:pStyle w:val="BodyText"/>
        <w:numPr>
          <w:ilvl w:val="3"/>
          <w:numId w:val="66"/>
        </w:numPr>
        <w:tabs>
          <w:tab w:val="left" w:pos="2954"/>
        </w:tabs>
        <w:spacing w:before="121"/>
        <w:ind w:left="2953" w:right="115"/>
        <w:jc w:val="both"/>
      </w:pPr>
      <w:r>
        <w:rPr>
          <w:spacing w:val="-1"/>
        </w:rPr>
        <w:t>any</w:t>
      </w:r>
      <w:r>
        <w:rPr>
          <w:spacing w:val="8"/>
        </w:rPr>
        <w:t xml:space="preserve"> </w:t>
      </w:r>
      <w:r>
        <w:rPr>
          <w:spacing w:val="-1"/>
        </w:rPr>
        <w:t>steps</w:t>
      </w:r>
      <w:r>
        <w:rPr>
          <w:spacing w:val="10"/>
        </w:rPr>
        <w:t xml:space="preserve"> </w:t>
      </w:r>
      <w:r>
        <w:rPr>
          <w:spacing w:val="-2"/>
        </w:rPr>
        <w:t>which</w:t>
      </w:r>
      <w:r>
        <w:rPr>
          <w:spacing w:val="10"/>
        </w:rPr>
        <w:t xml:space="preserve"> </w:t>
      </w:r>
      <w:r>
        <w:t>the</w:t>
      </w:r>
      <w:r>
        <w:rPr>
          <w:spacing w:val="10"/>
        </w:rPr>
        <w:t xml:space="preserve"> </w:t>
      </w:r>
      <w:r>
        <w:rPr>
          <w:spacing w:val="-2"/>
        </w:rPr>
        <w:t>Customer</w:t>
      </w:r>
      <w:r>
        <w:rPr>
          <w:spacing w:val="12"/>
        </w:rPr>
        <w:t xml:space="preserve"> </w:t>
      </w:r>
      <w:r>
        <w:rPr>
          <w:spacing w:val="-1"/>
        </w:rPr>
        <w:t>can</w:t>
      </w:r>
      <w:r>
        <w:rPr>
          <w:spacing w:val="7"/>
        </w:rPr>
        <w:t xml:space="preserve"> </w:t>
      </w:r>
      <w:r>
        <w:t>take</w:t>
      </w:r>
      <w:r>
        <w:rPr>
          <w:spacing w:val="7"/>
        </w:rPr>
        <w:t xml:space="preserve"> </w:t>
      </w:r>
      <w:r>
        <w:t>to</w:t>
      </w:r>
      <w:r>
        <w:rPr>
          <w:spacing w:val="10"/>
        </w:rPr>
        <w:t xml:space="preserve"> </w:t>
      </w:r>
      <w:r>
        <w:rPr>
          <w:spacing w:val="-2"/>
        </w:rPr>
        <w:t>eliminate</w:t>
      </w:r>
      <w:r>
        <w:rPr>
          <w:spacing w:val="10"/>
        </w:rPr>
        <w:t xml:space="preserve"> </w:t>
      </w:r>
      <w:r>
        <w:rPr>
          <w:spacing w:val="-1"/>
        </w:rPr>
        <w:t>or</w:t>
      </w:r>
      <w:r>
        <w:rPr>
          <w:spacing w:val="9"/>
        </w:rPr>
        <w:t xml:space="preserve"> </w:t>
      </w:r>
      <w:r>
        <w:rPr>
          <w:spacing w:val="-1"/>
        </w:rPr>
        <w:t>mitigate</w:t>
      </w:r>
      <w:r>
        <w:rPr>
          <w:spacing w:val="57"/>
        </w:rPr>
        <w:t xml:space="preserve"> </w:t>
      </w:r>
      <w:r>
        <w:t xml:space="preserve">the </w:t>
      </w:r>
      <w:r>
        <w:rPr>
          <w:spacing w:val="-1"/>
        </w:rPr>
        <w:t>consequences</w:t>
      </w:r>
      <w:r>
        <w:rPr>
          <w:spacing w:val="1"/>
        </w:rPr>
        <w:t xml:space="preserve"> </w:t>
      </w:r>
      <w:r>
        <w:rPr>
          <w:spacing w:val="-1"/>
        </w:rPr>
        <w:t>and</w:t>
      </w:r>
      <w:r>
        <w:rPr>
          <w:spacing w:val="-2"/>
        </w:rPr>
        <w:t xml:space="preserve"> impact</w:t>
      </w:r>
      <w:r>
        <w:t xml:space="preserve"> </w:t>
      </w:r>
      <w:r>
        <w:rPr>
          <w:spacing w:val="-2"/>
        </w:rPr>
        <w:t>of</w:t>
      </w:r>
      <w:r>
        <w:rPr>
          <w:spacing w:val="2"/>
        </w:rPr>
        <w:t xml:space="preserve"> </w:t>
      </w:r>
      <w:r>
        <w:rPr>
          <w:spacing w:val="-1"/>
        </w:rPr>
        <w:t>such</w:t>
      </w:r>
      <w:r>
        <w:rPr>
          <w:spacing w:val="-2"/>
        </w:rPr>
        <w:t xml:space="preserve"> </w:t>
      </w:r>
      <w:r>
        <w:rPr>
          <w:spacing w:val="-1"/>
        </w:rPr>
        <w:t>Customer</w:t>
      </w:r>
      <w:r>
        <w:rPr>
          <w:spacing w:val="-2"/>
        </w:rPr>
        <w:t xml:space="preserve"> </w:t>
      </w:r>
      <w:r>
        <w:rPr>
          <w:spacing w:val="-1"/>
        </w:rPr>
        <w:t>Cause;</w:t>
      </w:r>
      <w:r>
        <w:rPr>
          <w:spacing w:val="2"/>
        </w:rPr>
        <w:t xml:space="preserve"> </w:t>
      </w:r>
      <w:r>
        <w:rPr>
          <w:spacing w:val="-1"/>
        </w:rPr>
        <w:t>and</w:t>
      </w:r>
    </w:p>
    <w:p w:rsidR="008918FA" w:rsidRDefault="008918FA" w:rsidP="008918FA">
      <w:pPr>
        <w:pStyle w:val="BodyText"/>
        <w:numPr>
          <w:ilvl w:val="3"/>
          <w:numId w:val="66"/>
        </w:numPr>
        <w:tabs>
          <w:tab w:val="left" w:pos="2954"/>
        </w:tabs>
        <w:ind w:left="2953" w:right="113"/>
        <w:jc w:val="both"/>
      </w:pPr>
      <w:r>
        <w:rPr>
          <w:spacing w:val="-1"/>
        </w:rPr>
        <w:t>use</w:t>
      </w:r>
      <w:r>
        <w:rPr>
          <w:spacing w:val="12"/>
        </w:rPr>
        <w:t xml:space="preserve"> </w:t>
      </w:r>
      <w:r>
        <w:rPr>
          <w:spacing w:val="-1"/>
        </w:rPr>
        <w:t>all</w:t>
      </w:r>
      <w:r>
        <w:rPr>
          <w:spacing w:val="11"/>
        </w:rPr>
        <w:t xml:space="preserve"> </w:t>
      </w:r>
      <w:r>
        <w:rPr>
          <w:spacing w:val="-1"/>
        </w:rPr>
        <w:t>reasonable</w:t>
      </w:r>
      <w:r>
        <w:rPr>
          <w:spacing w:val="11"/>
        </w:rPr>
        <w:t xml:space="preserve"> </w:t>
      </w:r>
      <w:r>
        <w:rPr>
          <w:spacing w:val="-2"/>
        </w:rPr>
        <w:t>endeavours</w:t>
      </w:r>
      <w:r>
        <w:rPr>
          <w:spacing w:val="12"/>
        </w:rPr>
        <w:t xml:space="preserve"> </w:t>
      </w:r>
      <w:r>
        <w:t>to</w:t>
      </w:r>
      <w:r>
        <w:rPr>
          <w:spacing w:val="11"/>
        </w:rPr>
        <w:t xml:space="preserve"> </w:t>
      </w:r>
      <w:r>
        <w:rPr>
          <w:spacing w:val="-1"/>
        </w:rPr>
        <w:t>eliminate</w:t>
      </w:r>
      <w:r>
        <w:rPr>
          <w:spacing w:val="9"/>
        </w:rPr>
        <w:t xml:space="preserve"> </w:t>
      </w:r>
      <w:r>
        <w:rPr>
          <w:spacing w:val="-1"/>
        </w:rPr>
        <w:t>or</w:t>
      </w:r>
      <w:r>
        <w:rPr>
          <w:spacing w:val="10"/>
        </w:rPr>
        <w:t xml:space="preserve"> </w:t>
      </w:r>
      <w:r>
        <w:rPr>
          <w:spacing w:val="-1"/>
        </w:rPr>
        <w:t>mitigate</w:t>
      </w:r>
      <w:r>
        <w:rPr>
          <w:spacing w:val="9"/>
        </w:rPr>
        <w:t xml:space="preserve"> </w:t>
      </w:r>
      <w:r>
        <w:rPr>
          <w:spacing w:val="-1"/>
        </w:rPr>
        <w:t>the</w:t>
      </w:r>
      <w:r>
        <w:rPr>
          <w:spacing w:val="41"/>
        </w:rPr>
        <w:t xml:space="preserve"> </w:t>
      </w:r>
      <w:r>
        <w:rPr>
          <w:spacing w:val="-1"/>
        </w:rPr>
        <w:t>consequences</w:t>
      </w:r>
      <w:r>
        <w:rPr>
          <w:spacing w:val="13"/>
        </w:rPr>
        <w:t xml:space="preserve"> </w:t>
      </w:r>
      <w:r>
        <w:rPr>
          <w:spacing w:val="-1"/>
        </w:rPr>
        <w:t>and</w:t>
      </w:r>
      <w:r>
        <w:rPr>
          <w:spacing w:val="12"/>
        </w:rPr>
        <w:t xml:space="preserve"> </w:t>
      </w:r>
      <w:r>
        <w:rPr>
          <w:spacing w:val="-1"/>
        </w:rPr>
        <w:t>impact</w:t>
      </w:r>
      <w:r>
        <w:rPr>
          <w:spacing w:val="14"/>
        </w:rPr>
        <w:t xml:space="preserve"> </w:t>
      </w:r>
      <w:r>
        <w:rPr>
          <w:spacing w:val="-2"/>
        </w:rPr>
        <w:t>of</w:t>
      </w:r>
      <w:r>
        <w:rPr>
          <w:spacing w:val="16"/>
        </w:rPr>
        <w:t xml:space="preserve"> </w:t>
      </w:r>
      <w:r>
        <w:t>a</w:t>
      </w:r>
      <w:r>
        <w:rPr>
          <w:spacing w:val="14"/>
        </w:rPr>
        <w:t xml:space="preserve"> </w:t>
      </w:r>
      <w:r>
        <w:rPr>
          <w:spacing w:val="-1"/>
        </w:rPr>
        <w:t>Customer</w:t>
      </w:r>
      <w:r>
        <w:rPr>
          <w:spacing w:val="14"/>
        </w:rPr>
        <w:t xml:space="preserve"> </w:t>
      </w:r>
      <w:r>
        <w:rPr>
          <w:spacing w:val="-1"/>
        </w:rPr>
        <w:t>Cause,</w:t>
      </w:r>
      <w:r>
        <w:rPr>
          <w:spacing w:val="11"/>
        </w:rPr>
        <w:t xml:space="preserve"> </w:t>
      </w:r>
      <w:r>
        <w:rPr>
          <w:spacing w:val="-2"/>
        </w:rPr>
        <w:t>including</w:t>
      </w:r>
      <w:r>
        <w:rPr>
          <w:spacing w:val="15"/>
        </w:rPr>
        <w:t xml:space="preserve"> </w:t>
      </w:r>
      <w:r>
        <w:rPr>
          <w:spacing w:val="-1"/>
        </w:rPr>
        <w:t>any</w:t>
      </w:r>
      <w:r>
        <w:rPr>
          <w:spacing w:val="36"/>
        </w:rPr>
        <w:t xml:space="preserve"> </w:t>
      </w:r>
      <w:r>
        <w:rPr>
          <w:spacing w:val="-1"/>
        </w:rPr>
        <w:t>Losses</w:t>
      </w:r>
      <w:r>
        <w:rPr>
          <w:spacing w:val="24"/>
        </w:rPr>
        <w:t xml:space="preserve"> </w:t>
      </w:r>
      <w:r>
        <w:rPr>
          <w:spacing w:val="-1"/>
        </w:rPr>
        <w:t>that</w:t>
      </w:r>
      <w:r>
        <w:rPr>
          <w:spacing w:val="22"/>
        </w:rPr>
        <w:t xml:space="preserve"> </w:t>
      </w:r>
      <w:r>
        <w:t>the</w:t>
      </w:r>
      <w:r>
        <w:rPr>
          <w:spacing w:val="23"/>
        </w:rPr>
        <w:t xml:space="preserve"> </w:t>
      </w:r>
      <w:r>
        <w:rPr>
          <w:spacing w:val="-2"/>
        </w:rPr>
        <w:t>Supplier</w:t>
      </w:r>
      <w:r>
        <w:rPr>
          <w:spacing w:val="24"/>
        </w:rPr>
        <w:t xml:space="preserve"> </w:t>
      </w:r>
      <w:r>
        <w:rPr>
          <w:spacing w:val="-1"/>
        </w:rPr>
        <w:t>may</w:t>
      </w:r>
      <w:r>
        <w:rPr>
          <w:spacing w:val="21"/>
        </w:rPr>
        <w:t xml:space="preserve"> </w:t>
      </w:r>
      <w:r>
        <w:rPr>
          <w:spacing w:val="-1"/>
        </w:rPr>
        <w:t>incur</w:t>
      </w:r>
      <w:r>
        <w:rPr>
          <w:spacing w:val="22"/>
        </w:rPr>
        <w:t xml:space="preserve"> </w:t>
      </w:r>
      <w:r>
        <w:rPr>
          <w:spacing w:val="-1"/>
        </w:rPr>
        <w:t>and</w:t>
      </w:r>
      <w:r>
        <w:rPr>
          <w:spacing w:val="23"/>
        </w:rPr>
        <w:t xml:space="preserve"> </w:t>
      </w:r>
      <w:r>
        <w:t>the</w:t>
      </w:r>
      <w:r>
        <w:rPr>
          <w:spacing w:val="21"/>
        </w:rPr>
        <w:t xml:space="preserve"> </w:t>
      </w:r>
      <w:r>
        <w:rPr>
          <w:spacing w:val="-1"/>
        </w:rPr>
        <w:t>duration</w:t>
      </w:r>
      <w:r>
        <w:rPr>
          <w:spacing w:val="23"/>
        </w:rPr>
        <w:t xml:space="preserve"> </w:t>
      </w:r>
      <w:r>
        <w:rPr>
          <w:spacing w:val="-2"/>
        </w:rPr>
        <w:t>and</w:t>
      </w:r>
      <w:r>
        <w:rPr>
          <w:spacing w:val="39"/>
        </w:rPr>
        <w:t xml:space="preserve"> </w:t>
      </w:r>
      <w:r>
        <w:rPr>
          <w:spacing w:val="-1"/>
        </w:rPr>
        <w:t>consequences</w:t>
      </w:r>
      <w:r>
        <w:rPr>
          <w:spacing w:val="1"/>
        </w:rPr>
        <w:t xml:space="preserve"> </w:t>
      </w:r>
      <w:r>
        <w:rPr>
          <w:spacing w:val="-2"/>
        </w:rPr>
        <w:t>of</w:t>
      </w:r>
      <w:r>
        <w:rPr>
          <w:spacing w:val="2"/>
        </w:rPr>
        <w:t xml:space="preserve"> </w:t>
      </w:r>
      <w:r>
        <w:rPr>
          <w:spacing w:val="-1"/>
        </w:rPr>
        <w:t>any</w:t>
      </w:r>
      <w:r>
        <w:rPr>
          <w:spacing w:val="-2"/>
        </w:rPr>
        <w:t xml:space="preserve"> Delay </w:t>
      </w:r>
      <w:r>
        <w:rPr>
          <w:spacing w:val="-1"/>
        </w:rPr>
        <w:t>or</w:t>
      </w:r>
      <w:r>
        <w:rPr>
          <w:spacing w:val="2"/>
        </w:rPr>
        <w:t xml:space="preserve"> </w:t>
      </w:r>
      <w:r>
        <w:rPr>
          <w:spacing w:val="-1"/>
        </w:rPr>
        <w:t>anticipated</w:t>
      </w:r>
      <w:r>
        <w:t xml:space="preserve"> </w:t>
      </w:r>
      <w:r>
        <w:rPr>
          <w:spacing w:val="-2"/>
        </w:rPr>
        <w:t>Delay.</w:t>
      </w:r>
    </w:p>
    <w:p w:rsidR="008918FA" w:rsidRDefault="008918FA" w:rsidP="008918FA">
      <w:pPr>
        <w:pStyle w:val="BodyText"/>
        <w:numPr>
          <w:ilvl w:val="0"/>
          <w:numId w:val="66"/>
        </w:numPr>
        <w:tabs>
          <w:tab w:val="left" w:pos="686"/>
        </w:tabs>
        <w:spacing w:before="117"/>
        <w:ind w:left="685" w:hanging="566"/>
        <w:rPr>
          <w:rFonts w:ascii="Times New Roman" w:eastAsia="Times New Roman" w:hAnsi="Times New Roman" w:cs="Times New Roman"/>
        </w:rPr>
      </w:pPr>
      <w:bookmarkStart w:id="121" w:name="_bookmark108"/>
      <w:bookmarkEnd w:id="121"/>
      <w:r>
        <w:rPr>
          <w:rFonts w:ascii="Times New Roman"/>
          <w:spacing w:val="1"/>
        </w:rPr>
        <w:t>CONTINUOUS</w:t>
      </w:r>
      <w:r>
        <w:rPr>
          <w:rFonts w:ascii="Times New Roman"/>
          <w:spacing w:val="31"/>
        </w:rPr>
        <w:t xml:space="preserve"> </w:t>
      </w:r>
      <w:r>
        <w:rPr>
          <w:rFonts w:ascii="Times New Roman"/>
          <w:spacing w:val="-12"/>
        </w:rPr>
        <w:t>IM</w:t>
      </w:r>
      <w:r>
        <w:rPr>
          <w:rFonts w:ascii="Times New Roman"/>
          <w:spacing w:val="23"/>
        </w:rPr>
        <w:t>P</w:t>
      </w:r>
      <w:r>
        <w:rPr>
          <w:rFonts w:ascii="Times New Roman"/>
          <w:spacing w:val="8"/>
        </w:rPr>
        <w:t>R</w:t>
      </w:r>
      <w:r>
        <w:rPr>
          <w:rFonts w:ascii="Times New Roman"/>
          <w:spacing w:val="13"/>
        </w:rPr>
        <w:t>O</w:t>
      </w:r>
      <w:r>
        <w:rPr>
          <w:rFonts w:ascii="Times New Roman"/>
          <w:spacing w:val="-16"/>
        </w:rPr>
        <w:t>V</w:t>
      </w:r>
      <w:r>
        <w:rPr>
          <w:rFonts w:ascii="Times New Roman"/>
          <w:spacing w:val="11"/>
        </w:rPr>
        <w:t>E</w:t>
      </w:r>
      <w:r>
        <w:rPr>
          <w:rFonts w:ascii="Times New Roman"/>
          <w:spacing w:val="-12"/>
        </w:rPr>
        <w:t>M</w:t>
      </w:r>
      <w:r>
        <w:rPr>
          <w:rFonts w:ascii="Times New Roman"/>
          <w:spacing w:val="11"/>
        </w:rPr>
        <w:t>E</w:t>
      </w:r>
      <w:r>
        <w:rPr>
          <w:rFonts w:ascii="Times New Roman"/>
          <w:spacing w:val="-2"/>
        </w:rPr>
        <w:t>NT</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3"/>
        </w:tabs>
        <w:spacing w:before="0"/>
        <w:ind w:left="1048" w:right="112" w:hanging="360"/>
        <w:jc w:val="both"/>
      </w:pPr>
      <w:r>
        <w:t>The</w:t>
      </w:r>
      <w:r>
        <w:rPr>
          <w:spacing w:val="27"/>
        </w:rPr>
        <w:t xml:space="preserve"> </w:t>
      </w:r>
      <w:r>
        <w:rPr>
          <w:spacing w:val="-2"/>
        </w:rPr>
        <w:t>Supplier</w:t>
      </w:r>
      <w:r>
        <w:rPr>
          <w:spacing w:val="28"/>
        </w:rPr>
        <w:t xml:space="preserve"> </w:t>
      </w:r>
      <w:r>
        <w:rPr>
          <w:spacing w:val="-1"/>
        </w:rPr>
        <w:t>shall</w:t>
      </w:r>
      <w:r>
        <w:rPr>
          <w:spacing w:val="26"/>
        </w:rPr>
        <w:t xml:space="preserve"> </w:t>
      </w:r>
      <w:r>
        <w:rPr>
          <w:spacing w:val="-2"/>
        </w:rPr>
        <w:t>have</w:t>
      </w:r>
      <w:r>
        <w:rPr>
          <w:spacing w:val="27"/>
        </w:rPr>
        <w:t xml:space="preserve"> </w:t>
      </w:r>
      <w:r>
        <w:rPr>
          <w:spacing w:val="-1"/>
        </w:rPr>
        <w:t>an</w:t>
      </w:r>
      <w:r>
        <w:rPr>
          <w:spacing w:val="27"/>
        </w:rPr>
        <w:t xml:space="preserve"> </w:t>
      </w:r>
      <w:r>
        <w:rPr>
          <w:spacing w:val="-1"/>
        </w:rPr>
        <w:t>ongoi</w:t>
      </w:r>
      <w:bookmarkStart w:id="122" w:name="18._CONTINUOUS_IMPROVEMENT"/>
      <w:bookmarkEnd w:id="122"/>
      <w:r>
        <w:rPr>
          <w:spacing w:val="-1"/>
        </w:rPr>
        <w:t>ng</w:t>
      </w:r>
      <w:r>
        <w:rPr>
          <w:spacing w:val="27"/>
        </w:rPr>
        <w:t xml:space="preserve"> </w:t>
      </w:r>
      <w:r>
        <w:rPr>
          <w:spacing w:val="-1"/>
        </w:rPr>
        <w:t>obligation</w:t>
      </w:r>
      <w:r>
        <w:rPr>
          <w:spacing w:val="24"/>
        </w:rPr>
        <w:t xml:space="preserve"> </w:t>
      </w:r>
      <w:r>
        <w:rPr>
          <w:spacing w:val="-1"/>
        </w:rPr>
        <w:t>throughout</w:t>
      </w:r>
      <w:r>
        <w:rPr>
          <w:spacing w:val="26"/>
        </w:rPr>
        <w:t xml:space="preserve"> </w:t>
      </w:r>
      <w:r>
        <w:t>the</w:t>
      </w:r>
      <w:r>
        <w:rPr>
          <w:spacing w:val="27"/>
        </w:rPr>
        <w:t xml:space="preserve"> </w:t>
      </w:r>
      <w:r>
        <w:rPr>
          <w:spacing w:val="-2"/>
        </w:rPr>
        <w:t>Call</w:t>
      </w:r>
      <w:r>
        <w:rPr>
          <w:spacing w:val="26"/>
        </w:rPr>
        <w:t xml:space="preserve"> </w:t>
      </w:r>
      <w:r>
        <w:rPr>
          <w:spacing w:val="-1"/>
        </w:rPr>
        <w:t>Off</w:t>
      </w:r>
      <w:r>
        <w:rPr>
          <w:spacing w:val="23"/>
        </w:rPr>
        <w:t xml:space="preserve"> </w:t>
      </w:r>
      <w:r>
        <w:rPr>
          <w:spacing w:val="-1"/>
        </w:rPr>
        <w:t>Contract</w:t>
      </w:r>
      <w:r>
        <w:rPr>
          <w:spacing w:val="51"/>
        </w:rPr>
        <w:t xml:space="preserve"> </w:t>
      </w:r>
      <w:r>
        <w:rPr>
          <w:spacing w:val="-1"/>
        </w:rPr>
        <w:t>Period</w:t>
      </w:r>
      <w:r>
        <w:rPr>
          <w:spacing w:val="46"/>
        </w:rPr>
        <w:t xml:space="preserve"> </w:t>
      </w:r>
      <w:r>
        <w:t>to</w:t>
      </w:r>
      <w:r>
        <w:rPr>
          <w:spacing w:val="46"/>
        </w:rPr>
        <w:t xml:space="preserve"> </w:t>
      </w:r>
      <w:r>
        <w:rPr>
          <w:spacing w:val="-1"/>
        </w:rPr>
        <w:t>identify</w:t>
      </w:r>
      <w:r>
        <w:rPr>
          <w:spacing w:val="44"/>
        </w:rPr>
        <w:t xml:space="preserve"> </w:t>
      </w:r>
      <w:r>
        <w:rPr>
          <w:spacing w:val="-1"/>
        </w:rPr>
        <w:t>new</w:t>
      </w:r>
      <w:r>
        <w:rPr>
          <w:spacing w:val="43"/>
        </w:rPr>
        <w:t xml:space="preserve"> </w:t>
      </w:r>
      <w:r>
        <w:rPr>
          <w:spacing w:val="-1"/>
        </w:rPr>
        <w:t>or</w:t>
      </w:r>
      <w:r>
        <w:rPr>
          <w:spacing w:val="47"/>
        </w:rPr>
        <w:t xml:space="preserve"> </w:t>
      </w:r>
      <w:r>
        <w:rPr>
          <w:spacing w:val="-1"/>
        </w:rPr>
        <w:t>potential</w:t>
      </w:r>
      <w:r>
        <w:rPr>
          <w:spacing w:val="45"/>
        </w:rPr>
        <w:t xml:space="preserve"> </w:t>
      </w:r>
      <w:r>
        <w:rPr>
          <w:spacing w:val="-1"/>
        </w:rPr>
        <w:t>improvements</w:t>
      </w:r>
      <w:r>
        <w:rPr>
          <w:spacing w:val="45"/>
        </w:rPr>
        <w:t xml:space="preserve"> </w:t>
      </w:r>
      <w:r>
        <w:t>to</w:t>
      </w:r>
      <w:r>
        <w:rPr>
          <w:spacing w:val="46"/>
        </w:rPr>
        <w:t xml:space="preserve"> </w:t>
      </w:r>
      <w:r>
        <w:rPr>
          <w:spacing w:val="-1"/>
        </w:rPr>
        <w:t>the</w:t>
      </w:r>
      <w:r>
        <w:rPr>
          <w:spacing w:val="46"/>
        </w:rPr>
        <w:t xml:space="preserve"> </w:t>
      </w:r>
      <w:r>
        <w:rPr>
          <w:spacing w:val="-2"/>
        </w:rPr>
        <w:t>provision</w:t>
      </w:r>
      <w:r>
        <w:rPr>
          <w:spacing w:val="46"/>
        </w:rPr>
        <w:t xml:space="preserve"> </w:t>
      </w:r>
      <w:r>
        <w:rPr>
          <w:spacing w:val="-2"/>
        </w:rPr>
        <w:t>of</w:t>
      </w:r>
      <w:r>
        <w:rPr>
          <w:spacing w:val="47"/>
        </w:rPr>
        <w:t xml:space="preserve"> </w:t>
      </w:r>
      <w:r>
        <w:rPr>
          <w:spacing w:val="-1"/>
        </w:rPr>
        <w:t>the</w:t>
      </w:r>
      <w:r>
        <w:rPr>
          <w:spacing w:val="46"/>
        </w:rPr>
        <w:t xml:space="preserve"> </w:t>
      </w:r>
      <w:r>
        <w:rPr>
          <w:spacing w:val="-1"/>
        </w:rPr>
        <w:t>Goods</w:t>
      </w:r>
      <w:r>
        <w:rPr>
          <w:spacing w:val="45"/>
        </w:rPr>
        <w:t xml:space="preserve"> </w:t>
      </w:r>
      <w:r>
        <w:rPr>
          <w:spacing w:val="-1"/>
        </w:rPr>
        <w:t>and/or</w:t>
      </w:r>
      <w:r>
        <w:rPr>
          <w:spacing w:val="47"/>
        </w:rPr>
        <w:t xml:space="preserve"> </w:t>
      </w:r>
      <w:r>
        <w:rPr>
          <w:spacing w:val="-2"/>
        </w:rPr>
        <w:t>Services</w:t>
      </w:r>
      <w:r>
        <w:rPr>
          <w:spacing w:val="47"/>
        </w:rPr>
        <w:t xml:space="preserve"> </w:t>
      </w:r>
      <w:r>
        <w:rPr>
          <w:spacing w:val="-1"/>
        </w:rPr>
        <w:t>in</w:t>
      </w:r>
      <w:r>
        <w:rPr>
          <w:spacing w:val="46"/>
        </w:rPr>
        <w:t xml:space="preserve"> </w:t>
      </w:r>
      <w:r>
        <w:rPr>
          <w:spacing w:val="-1"/>
        </w:rPr>
        <w:t>accordance</w:t>
      </w:r>
      <w:r>
        <w:rPr>
          <w:spacing w:val="46"/>
        </w:rPr>
        <w:t xml:space="preserve"> </w:t>
      </w:r>
      <w:r>
        <w:rPr>
          <w:spacing w:val="-1"/>
        </w:rPr>
        <w:t>with</w:t>
      </w:r>
      <w:r>
        <w:rPr>
          <w:spacing w:val="46"/>
        </w:rPr>
        <w:t xml:space="preserve"> </w:t>
      </w:r>
      <w:r>
        <w:rPr>
          <w:spacing w:val="-1"/>
        </w:rPr>
        <w:t>this</w:t>
      </w:r>
      <w:r>
        <w:rPr>
          <w:spacing w:val="46"/>
        </w:rPr>
        <w:t xml:space="preserve"> </w:t>
      </w:r>
      <w:r>
        <w:rPr>
          <w:spacing w:val="-2"/>
        </w:rPr>
        <w:t>Clause</w:t>
      </w:r>
      <w:r>
        <w:rPr>
          <w:spacing w:val="47"/>
        </w:rPr>
        <w:t xml:space="preserve"> </w:t>
      </w:r>
      <w:hyperlink w:anchor="_bookmark108" w:history="1">
        <w:r>
          <w:rPr>
            <w:spacing w:val="-1"/>
          </w:rPr>
          <w:t>18</w:t>
        </w:r>
      </w:hyperlink>
      <w:r>
        <w:rPr>
          <w:spacing w:val="47"/>
        </w:rPr>
        <w:t xml:space="preserve"> </w:t>
      </w:r>
      <w:r>
        <w:rPr>
          <w:spacing w:val="-2"/>
        </w:rPr>
        <w:t>with</w:t>
      </w:r>
      <w:r>
        <w:rPr>
          <w:spacing w:val="46"/>
        </w:rPr>
        <w:t xml:space="preserve"> </w:t>
      </w:r>
      <w:r>
        <w:t>a</w:t>
      </w:r>
      <w:r>
        <w:rPr>
          <w:spacing w:val="46"/>
        </w:rPr>
        <w:t xml:space="preserve"> </w:t>
      </w:r>
      <w:r>
        <w:rPr>
          <w:spacing w:val="-1"/>
        </w:rPr>
        <w:t>view</w:t>
      </w:r>
      <w:r>
        <w:rPr>
          <w:spacing w:val="43"/>
        </w:rPr>
        <w:t xml:space="preserve"> </w:t>
      </w:r>
      <w:r>
        <w:t>to</w:t>
      </w:r>
      <w:r>
        <w:rPr>
          <w:spacing w:val="46"/>
        </w:rPr>
        <w:t xml:space="preserve"> </w:t>
      </w:r>
      <w:r>
        <w:rPr>
          <w:spacing w:val="-1"/>
        </w:rPr>
        <w:t>reducing</w:t>
      </w:r>
      <w:r>
        <w:rPr>
          <w:spacing w:val="47"/>
        </w:rPr>
        <w:t xml:space="preserve"> </w:t>
      </w:r>
      <w:r>
        <w:rPr>
          <w:spacing w:val="-1"/>
        </w:rPr>
        <w:t>the</w:t>
      </w:r>
      <w:r>
        <w:rPr>
          <w:spacing w:val="57"/>
        </w:rPr>
        <w:t xml:space="preserve"> </w:t>
      </w:r>
      <w:r>
        <w:rPr>
          <w:spacing w:val="-1"/>
        </w:rPr>
        <w:t>Customer’s</w:t>
      </w:r>
      <w:r>
        <w:rPr>
          <w:spacing w:val="34"/>
        </w:rPr>
        <w:t xml:space="preserve"> </w:t>
      </w:r>
      <w:r>
        <w:rPr>
          <w:spacing w:val="-1"/>
        </w:rPr>
        <w:t>costs</w:t>
      </w:r>
      <w:r>
        <w:rPr>
          <w:spacing w:val="34"/>
        </w:rPr>
        <w:t xml:space="preserve"> </w:t>
      </w:r>
      <w:r>
        <w:rPr>
          <w:spacing w:val="-2"/>
        </w:rPr>
        <w:t>(including</w:t>
      </w:r>
      <w:r>
        <w:rPr>
          <w:spacing w:val="36"/>
        </w:rPr>
        <w:t xml:space="preserve"> </w:t>
      </w:r>
      <w:r>
        <w:t>the</w:t>
      </w:r>
      <w:r>
        <w:rPr>
          <w:spacing w:val="31"/>
        </w:rPr>
        <w:t xml:space="preserve"> </w:t>
      </w:r>
      <w:r>
        <w:rPr>
          <w:spacing w:val="-2"/>
        </w:rPr>
        <w:t>Call</w:t>
      </w:r>
      <w:r>
        <w:rPr>
          <w:spacing w:val="33"/>
        </w:rPr>
        <w:t xml:space="preserve"> </w:t>
      </w:r>
      <w:r>
        <w:rPr>
          <w:spacing w:val="-1"/>
        </w:rPr>
        <w:t>Off</w:t>
      </w:r>
      <w:r>
        <w:rPr>
          <w:spacing w:val="35"/>
        </w:rPr>
        <w:t xml:space="preserve"> </w:t>
      </w:r>
      <w:r>
        <w:rPr>
          <w:spacing w:val="-1"/>
        </w:rPr>
        <w:t>Contract</w:t>
      </w:r>
      <w:r>
        <w:rPr>
          <w:spacing w:val="37"/>
        </w:rPr>
        <w:t xml:space="preserve"> </w:t>
      </w:r>
      <w:r>
        <w:rPr>
          <w:spacing w:val="-1"/>
        </w:rPr>
        <w:t>Charges)</w:t>
      </w:r>
      <w:r>
        <w:rPr>
          <w:spacing w:val="35"/>
        </w:rPr>
        <w:t xml:space="preserve"> </w:t>
      </w:r>
      <w:r>
        <w:rPr>
          <w:spacing w:val="-1"/>
        </w:rPr>
        <w:t>and/or</w:t>
      </w:r>
      <w:r>
        <w:rPr>
          <w:spacing w:val="35"/>
        </w:rPr>
        <w:t xml:space="preserve"> </w:t>
      </w:r>
      <w:r>
        <w:rPr>
          <w:spacing w:val="-2"/>
        </w:rPr>
        <w:t>improving</w:t>
      </w:r>
      <w:r>
        <w:rPr>
          <w:spacing w:val="36"/>
        </w:rPr>
        <w:t xml:space="preserve"> </w:t>
      </w:r>
      <w:r>
        <w:rPr>
          <w:spacing w:val="-1"/>
        </w:rPr>
        <w:t>the</w:t>
      </w:r>
      <w:r>
        <w:rPr>
          <w:spacing w:val="48"/>
        </w:rPr>
        <w:t xml:space="preserve"> </w:t>
      </w:r>
      <w:r>
        <w:rPr>
          <w:spacing w:val="-1"/>
        </w:rPr>
        <w:t>quality</w:t>
      </w:r>
      <w:r>
        <w:rPr>
          <w:spacing w:val="14"/>
        </w:rPr>
        <w:t xml:space="preserve"> </w:t>
      </w:r>
      <w:r>
        <w:rPr>
          <w:spacing w:val="-1"/>
        </w:rPr>
        <w:t>and</w:t>
      </w:r>
      <w:r>
        <w:rPr>
          <w:spacing w:val="16"/>
        </w:rPr>
        <w:t xml:space="preserve"> </w:t>
      </w:r>
      <w:r>
        <w:rPr>
          <w:spacing w:val="-1"/>
        </w:rPr>
        <w:t>efficiency</w:t>
      </w:r>
      <w:r>
        <w:rPr>
          <w:spacing w:val="14"/>
        </w:rPr>
        <w:t xml:space="preserve"> </w:t>
      </w:r>
      <w:r>
        <w:rPr>
          <w:spacing w:val="-2"/>
        </w:rPr>
        <w:t>of</w:t>
      </w:r>
      <w:r>
        <w:rPr>
          <w:spacing w:val="20"/>
        </w:rPr>
        <w:t xml:space="preserve"> </w:t>
      </w:r>
      <w:r>
        <w:t>the</w:t>
      </w:r>
      <w:r>
        <w:rPr>
          <w:spacing w:val="18"/>
        </w:rPr>
        <w:t xml:space="preserve"> </w:t>
      </w:r>
      <w:r>
        <w:rPr>
          <w:spacing w:val="-1"/>
        </w:rPr>
        <w:t>Goods</w:t>
      </w:r>
      <w:r>
        <w:rPr>
          <w:spacing w:val="16"/>
        </w:rPr>
        <w:t xml:space="preserve"> </w:t>
      </w:r>
      <w:r>
        <w:rPr>
          <w:spacing w:val="-1"/>
        </w:rPr>
        <w:t>and/or</w:t>
      </w:r>
      <w:r>
        <w:rPr>
          <w:spacing w:val="15"/>
        </w:rPr>
        <w:t xml:space="preserve"> </w:t>
      </w:r>
      <w:r>
        <w:rPr>
          <w:spacing w:val="-1"/>
        </w:rPr>
        <w:t>Services</w:t>
      </w:r>
      <w:r>
        <w:rPr>
          <w:spacing w:val="17"/>
        </w:rPr>
        <w:t xml:space="preserve"> </w:t>
      </w:r>
      <w:r>
        <w:rPr>
          <w:spacing w:val="-1"/>
        </w:rPr>
        <w:t>and</w:t>
      </w:r>
      <w:r>
        <w:rPr>
          <w:spacing w:val="16"/>
        </w:rPr>
        <w:t xml:space="preserve"> </w:t>
      </w:r>
      <w:r>
        <w:rPr>
          <w:spacing w:val="-1"/>
        </w:rPr>
        <w:t>their</w:t>
      </w:r>
      <w:r>
        <w:rPr>
          <w:spacing w:val="17"/>
        </w:rPr>
        <w:t xml:space="preserve"> </w:t>
      </w:r>
      <w:r>
        <w:rPr>
          <w:spacing w:val="-1"/>
        </w:rPr>
        <w:t>supply</w:t>
      </w:r>
      <w:r>
        <w:rPr>
          <w:spacing w:val="14"/>
        </w:rPr>
        <w:t xml:space="preserve"> </w:t>
      </w:r>
      <w:r>
        <w:t>to</w:t>
      </w:r>
      <w:r>
        <w:rPr>
          <w:spacing w:val="16"/>
        </w:rPr>
        <w:t xml:space="preserve"> </w:t>
      </w:r>
      <w:r>
        <w:rPr>
          <w:spacing w:val="-1"/>
        </w:rPr>
        <w:t>the</w:t>
      </w:r>
      <w:r>
        <w:rPr>
          <w:spacing w:val="46"/>
        </w:rPr>
        <w:t xml:space="preserve"> </w:t>
      </w:r>
      <w:r>
        <w:rPr>
          <w:spacing w:val="-1"/>
        </w:rPr>
        <w:t>Customer.</w:t>
      </w:r>
      <w:r>
        <w:rPr>
          <w:spacing w:val="40"/>
        </w:rPr>
        <w:t xml:space="preserve"> </w:t>
      </w:r>
      <w:r>
        <w:rPr>
          <w:spacing w:val="-1"/>
        </w:rPr>
        <w:t>As</w:t>
      </w:r>
      <w:r>
        <w:rPr>
          <w:spacing w:val="39"/>
        </w:rPr>
        <w:t xml:space="preserve"> </w:t>
      </w:r>
      <w:r>
        <w:rPr>
          <w:spacing w:val="-1"/>
        </w:rPr>
        <w:t>part</w:t>
      </w:r>
      <w:r>
        <w:rPr>
          <w:spacing w:val="40"/>
        </w:rPr>
        <w:t xml:space="preserve"> </w:t>
      </w:r>
      <w:r>
        <w:rPr>
          <w:spacing w:val="-2"/>
        </w:rPr>
        <w:t>of</w:t>
      </w:r>
      <w:r>
        <w:rPr>
          <w:spacing w:val="40"/>
        </w:rPr>
        <w:t xml:space="preserve"> </w:t>
      </w:r>
      <w:r>
        <w:rPr>
          <w:spacing w:val="-1"/>
        </w:rPr>
        <w:t>this</w:t>
      </w:r>
      <w:r>
        <w:rPr>
          <w:spacing w:val="39"/>
        </w:rPr>
        <w:t xml:space="preserve"> </w:t>
      </w:r>
      <w:r>
        <w:rPr>
          <w:spacing w:val="-1"/>
        </w:rPr>
        <w:t>obligation</w:t>
      </w:r>
      <w:r>
        <w:rPr>
          <w:spacing w:val="38"/>
        </w:rPr>
        <w:t xml:space="preserve"> </w:t>
      </w:r>
      <w:r>
        <w:t>the</w:t>
      </w:r>
      <w:r>
        <w:rPr>
          <w:spacing w:val="40"/>
        </w:rPr>
        <w:t xml:space="preserve"> </w:t>
      </w:r>
      <w:r>
        <w:rPr>
          <w:spacing w:val="-2"/>
        </w:rPr>
        <w:t>Supplier</w:t>
      </w:r>
      <w:r>
        <w:rPr>
          <w:spacing w:val="40"/>
        </w:rPr>
        <w:t xml:space="preserve"> </w:t>
      </w:r>
      <w:r>
        <w:rPr>
          <w:spacing w:val="-1"/>
        </w:rPr>
        <w:t>shall</w:t>
      </w:r>
      <w:r>
        <w:rPr>
          <w:spacing w:val="38"/>
        </w:rPr>
        <w:t xml:space="preserve"> </w:t>
      </w:r>
      <w:r>
        <w:rPr>
          <w:spacing w:val="-1"/>
        </w:rPr>
        <w:t>identify</w:t>
      </w:r>
      <w:r>
        <w:rPr>
          <w:spacing w:val="36"/>
        </w:rPr>
        <w:t xml:space="preserve"> </w:t>
      </w:r>
      <w:r>
        <w:rPr>
          <w:spacing w:val="-1"/>
        </w:rPr>
        <w:t>and</w:t>
      </w:r>
      <w:r>
        <w:rPr>
          <w:spacing w:val="39"/>
        </w:rPr>
        <w:t xml:space="preserve"> </w:t>
      </w:r>
      <w:r>
        <w:rPr>
          <w:spacing w:val="-1"/>
        </w:rPr>
        <w:t>report</w:t>
      </w:r>
      <w:r>
        <w:rPr>
          <w:spacing w:val="38"/>
        </w:rPr>
        <w:t xml:space="preserve"> </w:t>
      </w:r>
      <w:r>
        <w:t>to</w:t>
      </w:r>
      <w:r>
        <w:rPr>
          <w:spacing w:val="39"/>
        </w:rPr>
        <w:t xml:space="preserve"> </w:t>
      </w:r>
      <w:r>
        <w:rPr>
          <w:spacing w:val="-1"/>
        </w:rPr>
        <w:t>the</w:t>
      </w:r>
      <w:r>
        <w:rPr>
          <w:spacing w:val="51"/>
        </w:rPr>
        <w:t xml:space="preserve"> </w:t>
      </w:r>
      <w:r>
        <w:rPr>
          <w:spacing w:val="-1"/>
        </w:rPr>
        <w:t>Customer</w:t>
      </w:r>
      <w:r>
        <w:rPr>
          <w:spacing w:val="2"/>
        </w:rPr>
        <w:t xml:space="preserve"> </w:t>
      </w:r>
      <w:r>
        <w:rPr>
          <w:spacing w:val="-1"/>
        </w:rPr>
        <w:t>once</w:t>
      </w:r>
      <w:r>
        <w:rPr>
          <w:spacing w:val="-2"/>
        </w:rPr>
        <w:t xml:space="preserve"> </w:t>
      </w:r>
      <w:r>
        <w:rPr>
          <w:spacing w:val="-1"/>
        </w:rPr>
        <w:t>every</w:t>
      </w:r>
      <w:r>
        <w:rPr>
          <w:spacing w:val="-2"/>
        </w:rPr>
        <w:t xml:space="preserve"> twelve</w:t>
      </w:r>
      <w:r>
        <w:t xml:space="preserve"> </w:t>
      </w:r>
      <w:r>
        <w:rPr>
          <w:spacing w:val="-1"/>
        </w:rPr>
        <w:t>(12)</w:t>
      </w:r>
      <w:r>
        <w:rPr>
          <w:spacing w:val="2"/>
        </w:rPr>
        <w:t xml:space="preserve"> </w:t>
      </w:r>
      <w:r>
        <w:rPr>
          <w:spacing w:val="-1"/>
        </w:rPr>
        <w:t>months:</w:t>
      </w:r>
    </w:p>
    <w:p w:rsidR="008918FA" w:rsidRDefault="008918FA" w:rsidP="008918FA">
      <w:pPr>
        <w:pStyle w:val="BodyText"/>
        <w:numPr>
          <w:ilvl w:val="2"/>
          <w:numId w:val="66"/>
        </w:numPr>
        <w:tabs>
          <w:tab w:val="left" w:pos="2247"/>
        </w:tabs>
        <w:ind w:left="2246" w:right="115"/>
        <w:jc w:val="both"/>
      </w:pPr>
      <w:r>
        <w:t>the</w:t>
      </w:r>
      <w:r>
        <w:rPr>
          <w:spacing w:val="10"/>
        </w:rPr>
        <w:t xml:space="preserve"> </w:t>
      </w:r>
      <w:r>
        <w:rPr>
          <w:spacing w:val="-1"/>
        </w:rPr>
        <w:t>emergence</w:t>
      </w:r>
      <w:r>
        <w:rPr>
          <w:spacing w:val="10"/>
        </w:rPr>
        <w:t xml:space="preserve"> </w:t>
      </w:r>
      <w:r>
        <w:rPr>
          <w:spacing w:val="-2"/>
        </w:rPr>
        <w:t>of</w:t>
      </w:r>
      <w:r>
        <w:rPr>
          <w:spacing w:val="14"/>
        </w:rPr>
        <w:t xml:space="preserve"> </w:t>
      </w:r>
      <w:r>
        <w:rPr>
          <w:spacing w:val="-1"/>
        </w:rPr>
        <w:t>new</w:t>
      </w:r>
      <w:r>
        <w:rPr>
          <w:spacing w:val="7"/>
        </w:rPr>
        <w:t xml:space="preserve"> </w:t>
      </w:r>
      <w:r>
        <w:rPr>
          <w:spacing w:val="-1"/>
        </w:rPr>
        <w:t>and</w:t>
      </w:r>
      <w:r>
        <w:rPr>
          <w:spacing w:val="10"/>
        </w:rPr>
        <w:t xml:space="preserve"> </w:t>
      </w:r>
      <w:r>
        <w:rPr>
          <w:spacing w:val="-2"/>
        </w:rPr>
        <w:t>evolving</w:t>
      </w:r>
      <w:r>
        <w:rPr>
          <w:spacing w:val="12"/>
        </w:rPr>
        <w:t xml:space="preserve"> </w:t>
      </w:r>
      <w:r>
        <w:rPr>
          <w:spacing w:val="-2"/>
        </w:rPr>
        <w:t>relevant</w:t>
      </w:r>
      <w:r>
        <w:rPr>
          <w:spacing w:val="11"/>
        </w:rPr>
        <w:t xml:space="preserve"> </w:t>
      </w:r>
      <w:r>
        <w:rPr>
          <w:spacing w:val="-1"/>
        </w:rPr>
        <w:t>technologies</w:t>
      </w:r>
      <w:r>
        <w:rPr>
          <w:spacing w:val="10"/>
        </w:rPr>
        <w:t xml:space="preserve"> </w:t>
      </w:r>
      <w:r>
        <w:rPr>
          <w:spacing w:val="-2"/>
        </w:rPr>
        <w:t>which</w:t>
      </w:r>
      <w:r>
        <w:rPr>
          <w:spacing w:val="10"/>
        </w:rPr>
        <w:t xml:space="preserve"> </w:t>
      </w:r>
      <w:r>
        <w:rPr>
          <w:spacing w:val="-1"/>
        </w:rPr>
        <w:t>could</w:t>
      </w:r>
      <w:r>
        <w:rPr>
          <w:spacing w:val="53"/>
        </w:rPr>
        <w:t xml:space="preserve"> </w:t>
      </w:r>
      <w:r>
        <w:rPr>
          <w:spacing w:val="-1"/>
        </w:rPr>
        <w:t>improve</w:t>
      </w:r>
      <w:r>
        <w:rPr>
          <w:spacing w:val="25"/>
        </w:rPr>
        <w:t xml:space="preserve"> </w:t>
      </w:r>
      <w:r>
        <w:t>the</w:t>
      </w:r>
      <w:r>
        <w:rPr>
          <w:spacing w:val="24"/>
        </w:rPr>
        <w:t xml:space="preserve"> </w:t>
      </w:r>
      <w:r>
        <w:rPr>
          <w:spacing w:val="-1"/>
        </w:rPr>
        <w:t>Sites</w:t>
      </w:r>
      <w:r>
        <w:rPr>
          <w:spacing w:val="25"/>
        </w:rPr>
        <w:t xml:space="preserve"> </w:t>
      </w:r>
      <w:r>
        <w:rPr>
          <w:spacing w:val="-1"/>
        </w:rPr>
        <w:t>and/or</w:t>
      </w:r>
      <w:r>
        <w:rPr>
          <w:spacing w:val="26"/>
        </w:rPr>
        <w:t xml:space="preserve"> </w:t>
      </w:r>
      <w:r>
        <w:t>the</w:t>
      </w:r>
      <w:r>
        <w:rPr>
          <w:spacing w:val="24"/>
        </w:rPr>
        <w:t xml:space="preserve"> </w:t>
      </w:r>
      <w:r>
        <w:rPr>
          <w:spacing w:val="-2"/>
        </w:rPr>
        <w:t>provision</w:t>
      </w:r>
      <w:r>
        <w:rPr>
          <w:spacing w:val="24"/>
        </w:rPr>
        <w:t xml:space="preserve"> </w:t>
      </w:r>
      <w:r>
        <w:rPr>
          <w:spacing w:val="-1"/>
        </w:rPr>
        <w:t>of</w:t>
      </w:r>
      <w:r>
        <w:rPr>
          <w:spacing w:val="28"/>
        </w:rPr>
        <w:t xml:space="preserve"> </w:t>
      </w:r>
      <w:r>
        <w:t>the</w:t>
      </w:r>
      <w:r>
        <w:rPr>
          <w:spacing w:val="23"/>
        </w:rPr>
        <w:t xml:space="preserve"> </w:t>
      </w:r>
      <w:r>
        <w:rPr>
          <w:spacing w:val="-1"/>
        </w:rPr>
        <w:t>Goods</w:t>
      </w:r>
      <w:r>
        <w:rPr>
          <w:spacing w:val="25"/>
        </w:rPr>
        <w:t xml:space="preserve"> </w:t>
      </w:r>
      <w:r>
        <w:rPr>
          <w:spacing w:val="-1"/>
        </w:rPr>
        <w:t>and/or</w:t>
      </w:r>
      <w:r>
        <w:rPr>
          <w:spacing w:val="26"/>
        </w:rPr>
        <w:t xml:space="preserve"> </w:t>
      </w:r>
      <w:r>
        <w:rPr>
          <w:spacing w:val="-1"/>
        </w:rPr>
        <w:t>Services,</w:t>
      </w:r>
      <w:r>
        <w:rPr>
          <w:spacing w:val="33"/>
        </w:rPr>
        <w:t xml:space="preserve"> </w:t>
      </w:r>
      <w:r>
        <w:rPr>
          <w:spacing w:val="-1"/>
        </w:rPr>
        <w:t>and</w:t>
      </w:r>
      <w:r>
        <w:rPr>
          <w:spacing w:val="17"/>
        </w:rPr>
        <w:t xml:space="preserve"> </w:t>
      </w:r>
      <w:r>
        <w:rPr>
          <w:spacing w:val="-1"/>
        </w:rPr>
        <w:t>those</w:t>
      </w:r>
      <w:r>
        <w:rPr>
          <w:spacing w:val="18"/>
        </w:rPr>
        <w:t xml:space="preserve"> </w:t>
      </w:r>
      <w:r>
        <w:rPr>
          <w:spacing w:val="-1"/>
        </w:rPr>
        <w:t>technological</w:t>
      </w:r>
      <w:r>
        <w:rPr>
          <w:spacing w:val="17"/>
        </w:rPr>
        <w:t xml:space="preserve"> </w:t>
      </w:r>
      <w:r>
        <w:rPr>
          <w:spacing w:val="-1"/>
        </w:rPr>
        <w:t>advances</w:t>
      </w:r>
      <w:r>
        <w:rPr>
          <w:spacing w:val="18"/>
        </w:rPr>
        <w:t xml:space="preserve"> </w:t>
      </w:r>
      <w:r>
        <w:rPr>
          <w:spacing w:val="-1"/>
        </w:rPr>
        <w:t>potentially</w:t>
      </w:r>
      <w:r>
        <w:rPr>
          <w:spacing w:val="18"/>
        </w:rPr>
        <w:t xml:space="preserve"> </w:t>
      </w:r>
      <w:r>
        <w:rPr>
          <w:spacing w:val="-2"/>
        </w:rPr>
        <w:t>available</w:t>
      </w:r>
      <w:r>
        <w:rPr>
          <w:spacing w:val="17"/>
        </w:rPr>
        <w:t xml:space="preserve"> </w:t>
      </w:r>
      <w:r>
        <w:t>to</w:t>
      </w:r>
      <w:r>
        <w:rPr>
          <w:spacing w:val="17"/>
        </w:rPr>
        <w:t xml:space="preserve"> </w:t>
      </w:r>
      <w:r>
        <w:t>the</w:t>
      </w:r>
      <w:r>
        <w:rPr>
          <w:spacing w:val="17"/>
        </w:rPr>
        <w:t xml:space="preserve"> </w:t>
      </w:r>
      <w:r>
        <w:rPr>
          <w:spacing w:val="-2"/>
        </w:rPr>
        <w:t>Supplier</w:t>
      </w:r>
      <w:r>
        <w:rPr>
          <w:spacing w:val="50"/>
        </w:rPr>
        <w:t xml:space="preserve"> </w:t>
      </w:r>
      <w:r>
        <w:rPr>
          <w:spacing w:val="-1"/>
        </w:rPr>
        <w:t>and</w:t>
      </w:r>
      <w:r>
        <w:t xml:space="preserve"> the</w:t>
      </w:r>
      <w:r>
        <w:rPr>
          <w:spacing w:val="-2"/>
        </w:rPr>
        <w:t xml:space="preserve"> </w:t>
      </w:r>
      <w:r>
        <w:rPr>
          <w:spacing w:val="-1"/>
        </w:rPr>
        <w:t xml:space="preserve">Customer </w:t>
      </w:r>
      <w:r>
        <w:rPr>
          <w:spacing w:val="-2"/>
        </w:rPr>
        <w:t>which</w:t>
      </w:r>
      <w:r>
        <w:rPr>
          <w:spacing w:val="1"/>
        </w:rPr>
        <w:t xml:space="preserve"> </w:t>
      </w:r>
      <w:r>
        <w:t xml:space="preserve">the </w:t>
      </w:r>
      <w:r>
        <w:rPr>
          <w:spacing w:val="-1"/>
        </w:rPr>
        <w:t>Parties</w:t>
      </w:r>
      <w:r>
        <w:rPr>
          <w:spacing w:val="-2"/>
        </w:rPr>
        <w:t xml:space="preserve"> </w:t>
      </w:r>
      <w:r>
        <w:rPr>
          <w:spacing w:val="-1"/>
        </w:rPr>
        <w:t>may</w:t>
      </w:r>
      <w:r>
        <w:rPr>
          <w:spacing w:val="-2"/>
        </w:rPr>
        <w:t xml:space="preserve"> wish</w:t>
      </w:r>
      <w:r>
        <w:rPr>
          <w:spacing w:val="1"/>
        </w:rPr>
        <w:t xml:space="preserve"> </w:t>
      </w:r>
      <w:r>
        <w:t>to</w:t>
      </w:r>
      <w:r>
        <w:rPr>
          <w:spacing w:val="-2"/>
        </w:rPr>
        <w:t xml:space="preserve"> </w:t>
      </w:r>
      <w:r>
        <w:rPr>
          <w:spacing w:val="-1"/>
        </w:rPr>
        <w:t>adopt;</w:t>
      </w:r>
    </w:p>
    <w:p w:rsidR="008918FA" w:rsidRDefault="008918FA" w:rsidP="008918FA">
      <w:pPr>
        <w:pStyle w:val="BodyText"/>
        <w:numPr>
          <w:ilvl w:val="2"/>
          <w:numId w:val="66"/>
        </w:numPr>
        <w:tabs>
          <w:tab w:val="left" w:pos="2247"/>
        </w:tabs>
        <w:ind w:left="2246" w:right="114"/>
        <w:jc w:val="both"/>
      </w:pPr>
      <w:r>
        <w:rPr>
          <w:spacing w:val="-1"/>
        </w:rPr>
        <w:t>new</w:t>
      </w:r>
      <w:r>
        <w:rPr>
          <w:spacing w:val="33"/>
        </w:rPr>
        <w:t xml:space="preserve"> </w:t>
      </w:r>
      <w:r>
        <w:rPr>
          <w:spacing w:val="-1"/>
        </w:rPr>
        <w:t>or</w:t>
      </w:r>
      <w:r>
        <w:rPr>
          <w:spacing w:val="38"/>
        </w:rPr>
        <w:t xml:space="preserve"> </w:t>
      </w:r>
      <w:r>
        <w:rPr>
          <w:spacing w:val="-1"/>
        </w:rPr>
        <w:t>potential</w:t>
      </w:r>
      <w:r>
        <w:rPr>
          <w:spacing w:val="36"/>
        </w:rPr>
        <w:t xml:space="preserve"> </w:t>
      </w:r>
      <w:r>
        <w:rPr>
          <w:spacing w:val="-1"/>
        </w:rPr>
        <w:t>improvements</w:t>
      </w:r>
      <w:r>
        <w:rPr>
          <w:spacing w:val="34"/>
        </w:rPr>
        <w:t xml:space="preserve"> </w:t>
      </w:r>
      <w:r>
        <w:t>to</w:t>
      </w:r>
      <w:r>
        <w:rPr>
          <w:spacing w:val="34"/>
        </w:rPr>
        <w:t xml:space="preserve"> </w:t>
      </w:r>
      <w:r>
        <w:t>the</w:t>
      </w:r>
      <w:r>
        <w:rPr>
          <w:spacing w:val="36"/>
        </w:rPr>
        <w:t xml:space="preserve"> </w:t>
      </w:r>
      <w:r>
        <w:rPr>
          <w:spacing w:val="-2"/>
        </w:rPr>
        <w:t>provision</w:t>
      </w:r>
      <w:r>
        <w:rPr>
          <w:spacing w:val="40"/>
        </w:rPr>
        <w:t xml:space="preserve"> </w:t>
      </w:r>
      <w:r>
        <w:rPr>
          <w:spacing w:val="-2"/>
        </w:rPr>
        <w:t>of</w:t>
      </w:r>
      <w:r>
        <w:rPr>
          <w:spacing w:val="40"/>
        </w:rPr>
        <w:t xml:space="preserve"> </w:t>
      </w:r>
      <w:r>
        <w:t>the</w:t>
      </w:r>
      <w:r>
        <w:rPr>
          <w:spacing w:val="34"/>
        </w:rPr>
        <w:t xml:space="preserve"> </w:t>
      </w:r>
      <w:r>
        <w:rPr>
          <w:spacing w:val="-1"/>
        </w:rPr>
        <w:t>Goods</w:t>
      </w:r>
      <w:r>
        <w:rPr>
          <w:spacing w:val="37"/>
        </w:rPr>
        <w:t xml:space="preserve"> </w:t>
      </w:r>
      <w:r>
        <w:rPr>
          <w:spacing w:val="-1"/>
        </w:rPr>
        <w:t>and/or</w:t>
      </w:r>
      <w:r>
        <w:rPr>
          <w:spacing w:val="39"/>
        </w:rPr>
        <w:t xml:space="preserve"> </w:t>
      </w:r>
      <w:r>
        <w:rPr>
          <w:spacing w:val="-1"/>
        </w:rPr>
        <w:t>Services</w:t>
      </w:r>
      <w:r>
        <w:rPr>
          <w:spacing w:val="45"/>
        </w:rPr>
        <w:t xml:space="preserve"> </w:t>
      </w:r>
      <w:r>
        <w:rPr>
          <w:spacing w:val="-1"/>
        </w:rPr>
        <w:t>including</w:t>
      </w:r>
      <w:r>
        <w:rPr>
          <w:spacing w:val="47"/>
        </w:rPr>
        <w:t xml:space="preserve"> </w:t>
      </w:r>
      <w:r>
        <w:t>the</w:t>
      </w:r>
      <w:r>
        <w:rPr>
          <w:spacing w:val="45"/>
        </w:rPr>
        <w:t xml:space="preserve"> </w:t>
      </w:r>
      <w:r>
        <w:rPr>
          <w:spacing w:val="-1"/>
        </w:rPr>
        <w:t>quality,</w:t>
      </w:r>
      <w:r>
        <w:rPr>
          <w:spacing w:val="46"/>
        </w:rPr>
        <w:t xml:space="preserve"> </w:t>
      </w:r>
      <w:r>
        <w:rPr>
          <w:spacing w:val="-1"/>
        </w:rPr>
        <w:t>responsiveness,</w:t>
      </w:r>
      <w:r>
        <w:rPr>
          <w:spacing w:val="47"/>
        </w:rPr>
        <w:t xml:space="preserve"> </w:t>
      </w:r>
      <w:r>
        <w:rPr>
          <w:spacing w:val="-1"/>
        </w:rPr>
        <w:t>procedures,</w:t>
      </w:r>
      <w:r>
        <w:rPr>
          <w:spacing w:val="28"/>
        </w:rPr>
        <w:t xml:space="preserve"> </w:t>
      </w:r>
      <w:r>
        <w:rPr>
          <w:spacing w:val="-1"/>
        </w:rPr>
        <w:t>benchmarking</w:t>
      </w:r>
      <w:r>
        <w:rPr>
          <w:spacing w:val="5"/>
        </w:rPr>
        <w:t xml:space="preserve"> </w:t>
      </w:r>
      <w:r>
        <w:rPr>
          <w:spacing w:val="-1"/>
        </w:rPr>
        <w:t>methods,</w:t>
      </w:r>
      <w:r>
        <w:rPr>
          <w:spacing w:val="4"/>
        </w:rPr>
        <w:t xml:space="preserve"> </w:t>
      </w:r>
      <w:r>
        <w:rPr>
          <w:spacing w:val="-1"/>
        </w:rPr>
        <w:t>likely</w:t>
      </w:r>
      <w:r>
        <w:rPr>
          <w:spacing w:val="3"/>
        </w:rPr>
        <w:t xml:space="preserve"> </w:t>
      </w:r>
      <w:r>
        <w:rPr>
          <w:spacing w:val="-1"/>
        </w:rPr>
        <w:t>performance</w:t>
      </w:r>
      <w:r>
        <w:rPr>
          <w:spacing w:val="3"/>
        </w:rPr>
        <w:t xml:space="preserve"> </w:t>
      </w:r>
      <w:r>
        <w:rPr>
          <w:spacing w:val="-1"/>
        </w:rPr>
        <w:t>mechanisms</w:t>
      </w:r>
      <w:r>
        <w:rPr>
          <w:spacing w:val="5"/>
        </w:rPr>
        <w:t xml:space="preserve"> </w:t>
      </w:r>
      <w:r>
        <w:rPr>
          <w:spacing w:val="-1"/>
        </w:rPr>
        <w:t>and</w:t>
      </w:r>
      <w:r>
        <w:rPr>
          <w:spacing w:val="5"/>
        </w:rPr>
        <w:t xml:space="preserve"> </w:t>
      </w:r>
      <w:r>
        <w:rPr>
          <w:spacing w:val="-1"/>
        </w:rPr>
        <w:t>customer</w:t>
      </w:r>
      <w:r>
        <w:rPr>
          <w:spacing w:val="30"/>
        </w:rPr>
        <w:t xml:space="preserve"> </w:t>
      </w:r>
      <w:r>
        <w:rPr>
          <w:spacing w:val="-1"/>
        </w:rPr>
        <w:t>support</w:t>
      </w:r>
      <w:r>
        <w:t xml:space="preserve"> </w:t>
      </w:r>
      <w:r>
        <w:rPr>
          <w:spacing w:val="-1"/>
        </w:rPr>
        <w:t>services</w:t>
      </w:r>
      <w:r>
        <w:rPr>
          <w:spacing w:val="1"/>
        </w:rPr>
        <w:t xml:space="preserve"> </w:t>
      </w:r>
      <w:r>
        <w:rPr>
          <w:spacing w:val="-1"/>
        </w:rPr>
        <w:t>in</w:t>
      </w:r>
      <w:r>
        <w:rPr>
          <w:spacing w:val="-2"/>
        </w:rPr>
        <w:t xml:space="preserve"> </w:t>
      </w:r>
      <w:r>
        <w:rPr>
          <w:spacing w:val="-1"/>
        </w:rPr>
        <w:t>relation</w:t>
      </w:r>
      <w:r>
        <w:t xml:space="preserve"> to</w:t>
      </w:r>
      <w:r>
        <w:rPr>
          <w:spacing w:val="-2"/>
        </w:rPr>
        <w:t xml:space="preserve"> </w:t>
      </w:r>
      <w:r>
        <w:t>the</w:t>
      </w:r>
      <w:r>
        <w:rPr>
          <w:spacing w:val="-2"/>
        </w:rPr>
        <w:t xml:space="preserve"> </w:t>
      </w:r>
      <w:r>
        <w:rPr>
          <w:spacing w:val="-1"/>
        </w:rPr>
        <w:t>Goods</w:t>
      </w:r>
      <w:r>
        <w:rPr>
          <w:spacing w:val="1"/>
        </w:rPr>
        <w:t xml:space="preserve"> </w:t>
      </w:r>
      <w:r>
        <w:rPr>
          <w:spacing w:val="-1"/>
        </w:rPr>
        <w:t>and/or</w:t>
      </w:r>
      <w:r>
        <w:rPr>
          <w:spacing w:val="-2"/>
        </w:rPr>
        <w:t xml:space="preserve"> </w:t>
      </w:r>
      <w:r>
        <w:rPr>
          <w:spacing w:val="-1"/>
        </w:rPr>
        <w:t>Services;</w:t>
      </w:r>
    </w:p>
    <w:p w:rsidR="008918FA" w:rsidRDefault="008918FA" w:rsidP="008918FA">
      <w:pPr>
        <w:pStyle w:val="BodyText"/>
        <w:numPr>
          <w:ilvl w:val="2"/>
          <w:numId w:val="66"/>
        </w:numPr>
        <w:tabs>
          <w:tab w:val="left" w:pos="2247"/>
        </w:tabs>
        <w:spacing w:before="121"/>
        <w:ind w:left="2246" w:right="114"/>
        <w:jc w:val="both"/>
      </w:pPr>
      <w:r>
        <w:rPr>
          <w:spacing w:val="-1"/>
        </w:rPr>
        <w:t>changes</w:t>
      </w:r>
      <w:r>
        <w:rPr>
          <w:spacing w:val="1"/>
        </w:rPr>
        <w:t xml:space="preserve"> </w:t>
      </w:r>
      <w:r>
        <w:rPr>
          <w:spacing w:val="-1"/>
        </w:rPr>
        <w:t>in</w:t>
      </w:r>
      <w:r>
        <w:rPr>
          <w:spacing w:val="3"/>
        </w:rPr>
        <w:t xml:space="preserve"> </w:t>
      </w:r>
      <w:r>
        <w:rPr>
          <w:spacing w:val="-1"/>
        </w:rPr>
        <w:t>business</w:t>
      </w:r>
      <w:r>
        <w:rPr>
          <w:spacing w:val="1"/>
        </w:rPr>
        <w:t xml:space="preserve"> </w:t>
      </w:r>
      <w:r>
        <w:rPr>
          <w:spacing w:val="-1"/>
        </w:rPr>
        <w:t>processes</w:t>
      </w:r>
      <w:r>
        <w:rPr>
          <w:spacing w:val="3"/>
        </w:rPr>
        <w:t xml:space="preserve"> </w:t>
      </w:r>
      <w:r>
        <w:rPr>
          <w:spacing w:val="-1"/>
        </w:rPr>
        <w:t>and</w:t>
      </w:r>
      <w:r>
        <w:t xml:space="preserve"> </w:t>
      </w:r>
      <w:r>
        <w:rPr>
          <w:spacing w:val="-2"/>
        </w:rPr>
        <w:t>ways</w:t>
      </w:r>
      <w:r>
        <w:rPr>
          <w:spacing w:val="3"/>
        </w:rPr>
        <w:t xml:space="preserve"> </w:t>
      </w:r>
      <w:r>
        <w:rPr>
          <w:spacing w:val="-1"/>
        </w:rPr>
        <w:t>of</w:t>
      </w:r>
      <w:r>
        <w:rPr>
          <w:spacing w:val="6"/>
        </w:rPr>
        <w:t xml:space="preserve"> </w:t>
      </w:r>
      <w:r>
        <w:rPr>
          <w:spacing w:val="-2"/>
        </w:rPr>
        <w:t>working</w:t>
      </w:r>
      <w:r>
        <w:rPr>
          <w:spacing w:val="3"/>
        </w:rPr>
        <w:t xml:space="preserve"> </w:t>
      </w:r>
      <w:r>
        <w:rPr>
          <w:spacing w:val="-1"/>
        </w:rPr>
        <w:t>that</w:t>
      </w:r>
      <w:r>
        <w:rPr>
          <w:spacing w:val="2"/>
        </w:rPr>
        <w:t xml:space="preserve"> </w:t>
      </w:r>
      <w:r>
        <w:rPr>
          <w:spacing w:val="-2"/>
        </w:rPr>
        <w:t>would</w:t>
      </w:r>
      <w:r>
        <w:rPr>
          <w:spacing w:val="3"/>
        </w:rPr>
        <w:t xml:space="preserve"> </w:t>
      </w:r>
      <w:r>
        <w:rPr>
          <w:spacing w:val="-1"/>
        </w:rPr>
        <w:t>enable</w:t>
      </w:r>
      <w:r>
        <w:rPr>
          <w:spacing w:val="39"/>
        </w:rPr>
        <w:t xml:space="preserve"> </w:t>
      </w:r>
      <w:r>
        <w:t>the</w:t>
      </w:r>
      <w:r>
        <w:rPr>
          <w:spacing w:val="46"/>
        </w:rPr>
        <w:t xml:space="preserve"> </w:t>
      </w:r>
      <w:r>
        <w:rPr>
          <w:spacing w:val="-1"/>
        </w:rPr>
        <w:t>Goods</w:t>
      </w:r>
      <w:r>
        <w:rPr>
          <w:spacing w:val="46"/>
        </w:rPr>
        <w:t xml:space="preserve"> </w:t>
      </w:r>
      <w:r>
        <w:rPr>
          <w:spacing w:val="-1"/>
        </w:rPr>
        <w:t>and/or</w:t>
      </w:r>
      <w:r>
        <w:rPr>
          <w:spacing w:val="47"/>
        </w:rPr>
        <w:t xml:space="preserve"> </w:t>
      </w:r>
      <w:r>
        <w:rPr>
          <w:spacing w:val="-1"/>
        </w:rPr>
        <w:t>Services</w:t>
      </w:r>
      <w:r>
        <w:rPr>
          <w:spacing w:val="47"/>
        </w:rPr>
        <w:t xml:space="preserve"> </w:t>
      </w:r>
      <w:r>
        <w:t>to</w:t>
      </w:r>
      <w:r>
        <w:rPr>
          <w:spacing w:val="46"/>
        </w:rPr>
        <w:t xml:space="preserve"> </w:t>
      </w:r>
      <w:r>
        <w:rPr>
          <w:spacing w:val="-1"/>
        </w:rPr>
        <w:t>be</w:t>
      </w:r>
      <w:r>
        <w:rPr>
          <w:spacing w:val="46"/>
        </w:rPr>
        <w:t xml:space="preserve"> </w:t>
      </w:r>
      <w:r>
        <w:rPr>
          <w:spacing w:val="-2"/>
        </w:rPr>
        <w:t>provided</w:t>
      </w:r>
      <w:r>
        <w:rPr>
          <w:spacing w:val="49"/>
        </w:rPr>
        <w:t xml:space="preserve"> </w:t>
      </w:r>
      <w:r>
        <w:rPr>
          <w:spacing w:val="-1"/>
        </w:rPr>
        <w:t>at</w:t>
      </w:r>
      <w:r>
        <w:rPr>
          <w:spacing w:val="47"/>
        </w:rPr>
        <w:t xml:space="preserve"> </w:t>
      </w:r>
      <w:r>
        <w:rPr>
          <w:spacing w:val="-1"/>
        </w:rPr>
        <w:t>lower</w:t>
      </w:r>
      <w:r>
        <w:rPr>
          <w:spacing w:val="47"/>
        </w:rPr>
        <w:t xml:space="preserve"> </w:t>
      </w:r>
      <w:r>
        <w:rPr>
          <w:spacing w:val="-1"/>
        </w:rPr>
        <w:t>costs</w:t>
      </w:r>
      <w:r>
        <w:rPr>
          <w:spacing w:val="46"/>
        </w:rPr>
        <w:t xml:space="preserve"> </w:t>
      </w:r>
      <w:r>
        <w:rPr>
          <w:spacing w:val="-1"/>
        </w:rPr>
        <w:t>and/or</w:t>
      </w:r>
      <w:r>
        <w:rPr>
          <w:spacing w:val="47"/>
        </w:rPr>
        <w:t xml:space="preserve"> </w:t>
      </w:r>
      <w:r>
        <w:rPr>
          <w:spacing w:val="-1"/>
        </w:rPr>
        <w:t>at</w:t>
      </w:r>
      <w:r>
        <w:rPr>
          <w:spacing w:val="48"/>
        </w:rPr>
        <w:t xml:space="preserve"> </w:t>
      </w:r>
      <w:r>
        <w:rPr>
          <w:spacing w:val="-1"/>
        </w:rPr>
        <w:t>greater</w:t>
      </w:r>
      <w:r>
        <w:rPr>
          <w:spacing w:val="2"/>
        </w:rPr>
        <w:t xml:space="preserve"> </w:t>
      </w:r>
      <w:r>
        <w:rPr>
          <w:spacing w:val="-1"/>
        </w:rPr>
        <w:t>benefits</w:t>
      </w:r>
      <w:r>
        <w:rPr>
          <w:spacing w:val="-2"/>
        </w:rPr>
        <w:t xml:space="preserve"> </w:t>
      </w:r>
      <w:r>
        <w:t>to</w:t>
      </w:r>
      <w:r>
        <w:rPr>
          <w:spacing w:val="-2"/>
        </w:rPr>
        <w:t xml:space="preserve"> </w:t>
      </w:r>
      <w:r>
        <w:t>the</w:t>
      </w:r>
      <w:r>
        <w:rPr>
          <w:spacing w:val="-2"/>
        </w:rPr>
        <w:t xml:space="preserve"> </w:t>
      </w:r>
      <w:r>
        <w:rPr>
          <w:spacing w:val="-1"/>
        </w:rPr>
        <w:t>Customer; and/or</w:t>
      </w:r>
    </w:p>
    <w:p w:rsidR="008918FA" w:rsidRDefault="008918FA" w:rsidP="008918FA">
      <w:pPr>
        <w:pStyle w:val="BodyText"/>
        <w:numPr>
          <w:ilvl w:val="2"/>
          <w:numId w:val="66"/>
        </w:numPr>
        <w:tabs>
          <w:tab w:val="left" w:pos="2247"/>
        </w:tabs>
        <w:spacing w:before="121"/>
        <w:ind w:left="2246" w:right="114"/>
        <w:jc w:val="both"/>
      </w:pPr>
      <w:r>
        <w:rPr>
          <w:spacing w:val="-1"/>
        </w:rPr>
        <w:t>changes</w:t>
      </w:r>
      <w:r>
        <w:rPr>
          <w:spacing w:val="41"/>
        </w:rPr>
        <w:t xml:space="preserve"> </w:t>
      </w:r>
      <w:r>
        <w:t>to</w:t>
      </w:r>
      <w:r>
        <w:rPr>
          <w:spacing w:val="43"/>
        </w:rPr>
        <w:t xml:space="preserve"> </w:t>
      </w:r>
      <w:r>
        <w:t>the</w:t>
      </w:r>
      <w:r>
        <w:rPr>
          <w:spacing w:val="44"/>
        </w:rPr>
        <w:t xml:space="preserve"> </w:t>
      </w:r>
      <w:r>
        <w:rPr>
          <w:spacing w:val="-1"/>
        </w:rPr>
        <w:t>Sites</w:t>
      </w:r>
      <w:r>
        <w:rPr>
          <w:spacing w:val="44"/>
        </w:rPr>
        <w:t xml:space="preserve"> </w:t>
      </w:r>
      <w:r>
        <w:rPr>
          <w:spacing w:val="-1"/>
        </w:rPr>
        <w:t>business</w:t>
      </w:r>
      <w:r>
        <w:rPr>
          <w:spacing w:val="44"/>
        </w:rPr>
        <w:t xml:space="preserve"> </w:t>
      </w:r>
      <w:r>
        <w:rPr>
          <w:spacing w:val="-1"/>
        </w:rPr>
        <w:t>processes</w:t>
      </w:r>
      <w:r>
        <w:rPr>
          <w:spacing w:val="44"/>
        </w:rPr>
        <w:t xml:space="preserve"> </w:t>
      </w:r>
      <w:r>
        <w:rPr>
          <w:spacing w:val="-1"/>
        </w:rPr>
        <w:t>and</w:t>
      </w:r>
      <w:r>
        <w:rPr>
          <w:spacing w:val="44"/>
        </w:rPr>
        <w:t xml:space="preserve"> </w:t>
      </w:r>
      <w:r>
        <w:rPr>
          <w:spacing w:val="-2"/>
        </w:rPr>
        <w:t>ways</w:t>
      </w:r>
      <w:r>
        <w:rPr>
          <w:spacing w:val="44"/>
        </w:rPr>
        <w:t xml:space="preserve"> </w:t>
      </w:r>
      <w:r>
        <w:rPr>
          <w:spacing w:val="-1"/>
        </w:rPr>
        <w:t>of</w:t>
      </w:r>
      <w:r>
        <w:rPr>
          <w:spacing w:val="47"/>
        </w:rPr>
        <w:t xml:space="preserve"> </w:t>
      </w:r>
      <w:r>
        <w:rPr>
          <w:spacing w:val="-1"/>
        </w:rPr>
        <w:t>working</w:t>
      </w:r>
      <w:r>
        <w:rPr>
          <w:spacing w:val="46"/>
        </w:rPr>
        <w:t xml:space="preserve"> </w:t>
      </w:r>
      <w:r>
        <w:rPr>
          <w:spacing w:val="-1"/>
        </w:rPr>
        <w:t>that</w:t>
      </w:r>
      <w:r>
        <w:rPr>
          <w:spacing w:val="41"/>
        </w:rPr>
        <w:t xml:space="preserve"> </w:t>
      </w:r>
      <w:r>
        <w:rPr>
          <w:spacing w:val="-1"/>
        </w:rPr>
        <w:t>would</w:t>
      </w:r>
      <w:r>
        <w:rPr>
          <w:spacing w:val="17"/>
        </w:rPr>
        <w:t xml:space="preserve"> </w:t>
      </w:r>
      <w:r>
        <w:rPr>
          <w:spacing w:val="-1"/>
        </w:rPr>
        <w:t>enable</w:t>
      </w:r>
      <w:r>
        <w:rPr>
          <w:spacing w:val="17"/>
        </w:rPr>
        <w:t xml:space="preserve"> </w:t>
      </w:r>
      <w:r>
        <w:rPr>
          <w:spacing w:val="-1"/>
        </w:rPr>
        <w:t>reductions</w:t>
      </w:r>
      <w:r>
        <w:rPr>
          <w:spacing w:val="18"/>
        </w:rPr>
        <w:t xml:space="preserve"> </w:t>
      </w:r>
      <w:r>
        <w:rPr>
          <w:spacing w:val="-1"/>
        </w:rPr>
        <w:t>in</w:t>
      </w:r>
      <w:r>
        <w:rPr>
          <w:spacing w:val="17"/>
        </w:rPr>
        <w:t xml:space="preserve"> </w:t>
      </w:r>
      <w:r>
        <w:t>the</w:t>
      </w:r>
      <w:r>
        <w:rPr>
          <w:spacing w:val="17"/>
        </w:rPr>
        <w:t xml:space="preserve"> </w:t>
      </w:r>
      <w:r>
        <w:t>total</w:t>
      </w:r>
      <w:r>
        <w:rPr>
          <w:spacing w:val="17"/>
        </w:rPr>
        <w:t xml:space="preserve"> </w:t>
      </w:r>
      <w:r>
        <w:rPr>
          <w:spacing w:val="-1"/>
        </w:rPr>
        <w:t>energy</w:t>
      </w:r>
      <w:r>
        <w:rPr>
          <w:spacing w:val="15"/>
        </w:rPr>
        <w:t xml:space="preserve"> </w:t>
      </w:r>
      <w:r>
        <w:rPr>
          <w:spacing w:val="-1"/>
        </w:rPr>
        <w:t>consumed</w:t>
      </w:r>
      <w:r>
        <w:rPr>
          <w:spacing w:val="17"/>
        </w:rPr>
        <w:t xml:space="preserve"> </w:t>
      </w:r>
      <w:r>
        <w:rPr>
          <w:spacing w:val="-2"/>
        </w:rPr>
        <w:t>annually</w:t>
      </w:r>
      <w:r>
        <w:rPr>
          <w:spacing w:val="15"/>
        </w:rPr>
        <w:t xml:space="preserve"> </w:t>
      </w:r>
      <w:r>
        <w:rPr>
          <w:spacing w:val="-1"/>
        </w:rPr>
        <w:t>in</w:t>
      </w:r>
      <w:r>
        <w:rPr>
          <w:spacing w:val="20"/>
        </w:rPr>
        <w:t xml:space="preserve"> </w:t>
      </w:r>
      <w:r>
        <w:rPr>
          <w:spacing w:val="-1"/>
        </w:rPr>
        <w:t>the</w:t>
      </w:r>
      <w:r>
        <w:rPr>
          <w:spacing w:val="38"/>
        </w:rPr>
        <w:t xml:space="preserve"> </w:t>
      </w:r>
      <w:r>
        <w:rPr>
          <w:spacing w:val="-2"/>
        </w:rPr>
        <w:t>provision</w:t>
      </w:r>
      <w:r>
        <w:t xml:space="preserve"> </w:t>
      </w:r>
      <w:r>
        <w:rPr>
          <w:spacing w:val="-1"/>
        </w:rPr>
        <w:t>of</w:t>
      </w:r>
      <w:r>
        <w:rPr>
          <w:spacing w:val="2"/>
        </w:rPr>
        <w:t xml:space="preserve"> </w:t>
      </w:r>
      <w:r>
        <w:t>the</w:t>
      </w:r>
      <w:r>
        <w:rPr>
          <w:spacing w:val="-4"/>
        </w:rPr>
        <w:t xml:space="preserve"> </w:t>
      </w:r>
      <w:r>
        <w:rPr>
          <w:spacing w:val="-1"/>
        </w:rPr>
        <w:t>Goods</w:t>
      </w:r>
      <w:r>
        <w:rPr>
          <w:spacing w:val="1"/>
        </w:rPr>
        <w:t xml:space="preserve"> </w:t>
      </w:r>
      <w:r>
        <w:rPr>
          <w:spacing w:val="-1"/>
        </w:rPr>
        <w:t>and/or</w:t>
      </w:r>
      <w:r>
        <w:t xml:space="preserve"> </w:t>
      </w:r>
      <w:r>
        <w:rPr>
          <w:spacing w:val="-1"/>
        </w:rPr>
        <w:t>Services.</w:t>
      </w:r>
    </w:p>
    <w:p w:rsidR="008918FA" w:rsidRDefault="008918FA" w:rsidP="008918FA">
      <w:pPr>
        <w:pStyle w:val="BodyText"/>
        <w:numPr>
          <w:ilvl w:val="1"/>
          <w:numId w:val="66"/>
        </w:numPr>
        <w:tabs>
          <w:tab w:val="left" w:pos="1254"/>
        </w:tabs>
        <w:ind w:left="1049" w:right="114" w:hanging="360"/>
        <w:jc w:val="both"/>
      </w:pPr>
      <w:r>
        <w:t>The</w:t>
      </w:r>
      <w:r>
        <w:rPr>
          <w:spacing w:val="29"/>
        </w:rPr>
        <w:t xml:space="preserve"> </w:t>
      </w:r>
      <w:r>
        <w:rPr>
          <w:spacing w:val="-2"/>
        </w:rPr>
        <w:t>Supplier</w:t>
      </w:r>
      <w:r>
        <w:rPr>
          <w:spacing w:val="30"/>
        </w:rPr>
        <w:t xml:space="preserve"> </w:t>
      </w:r>
      <w:r>
        <w:rPr>
          <w:spacing w:val="-1"/>
        </w:rPr>
        <w:t>shall</w:t>
      </w:r>
      <w:r>
        <w:rPr>
          <w:spacing w:val="28"/>
        </w:rPr>
        <w:t xml:space="preserve"> </w:t>
      </w:r>
      <w:r>
        <w:rPr>
          <w:spacing w:val="-1"/>
        </w:rPr>
        <w:t>ensure</w:t>
      </w:r>
      <w:r>
        <w:rPr>
          <w:spacing w:val="29"/>
        </w:rPr>
        <w:t xml:space="preserve"> </w:t>
      </w:r>
      <w:r>
        <w:rPr>
          <w:spacing w:val="-1"/>
        </w:rPr>
        <w:t>that</w:t>
      </w:r>
      <w:r>
        <w:rPr>
          <w:spacing w:val="30"/>
        </w:rPr>
        <w:t xml:space="preserve"> </w:t>
      </w:r>
      <w:r>
        <w:t>the</w:t>
      </w:r>
      <w:r>
        <w:rPr>
          <w:spacing w:val="29"/>
        </w:rPr>
        <w:t xml:space="preserve"> </w:t>
      </w:r>
      <w:r>
        <w:rPr>
          <w:spacing w:val="-1"/>
        </w:rPr>
        <w:t>information</w:t>
      </w:r>
      <w:r>
        <w:rPr>
          <w:spacing w:val="29"/>
        </w:rPr>
        <w:t xml:space="preserve"> </w:t>
      </w:r>
      <w:r>
        <w:rPr>
          <w:spacing w:val="-1"/>
        </w:rPr>
        <w:t>that</w:t>
      </w:r>
      <w:r>
        <w:rPr>
          <w:spacing w:val="30"/>
        </w:rPr>
        <w:t xml:space="preserve"> </w:t>
      </w:r>
      <w:r>
        <w:rPr>
          <w:spacing w:val="-1"/>
        </w:rPr>
        <w:t>it</w:t>
      </w:r>
      <w:r>
        <w:rPr>
          <w:spacing w:val="30"/>
        </w:rPr>
        <w:t xml:space="preserve"> </w:t>
      </w:r>
      <w:r>
        <w:rPr>
          <w:spacing w:val="-2"/>
        </w:rPr>
        <w:t>provides</w:t>
      </w:r>
      <w:r>
        <w:rPr>
          <w:spacing w:val="30"/>
        </w:rPr>
        <w:t xml:space="preserve"> </w:t>
      </w:r>
      <w:r>
        <w:t>to</w:t>
      </w:r>
      <w:r>
        <w:rPr>
          <w:spacing w:val="27"/>
        </w:rPr>
        <w:t xml:space="preserve"> </w:t>
      </w:r>
      <w:r>
        <w:t>the</w:t>
      </w:r>
      <w:r>
        <w:rPr>
          <w:spacing w:val="29"/>
        </w:rPr>
        <w:t xml:space="preserve"> </w:t>
      </w:r>
      <w:r>
        <w:rPr>
          <w:spacing w:val="-1"/>
        </w:rPr>
        <w:t>Customer</w:t>
      </w:r>
      <w:r>
        <w:rPr>
          <w:spacing w:val="41"/>
        </w:rPr>
        <w:t xml:space="preserve"> </w:t>
      </w:r>
      <w:r>
        <w:rPr>
          <w:spacing w:val="-1"/>
        </w:rPr>
        <w:t>shall</w:t>
      </w:r>
      <w:r>
        <w:rPr>
          <w:spacing w:val="12"/>
        </w:rPr>
        <w:t xml:space="preserve"> </w:t>
      </w:r>
      <w:r>
        <w:rPr>
          <w:spacing w:val="-1"/>
        </w:rPr>
        <w:t>be</w:t>
      </w:r>
      <w:r>
        <w:rPr>
          <w:spacing w:val="12"/>
        </w:rPr>
        <w:t xml:space="preserve"> </w:t>
      </w:r>
      <w:r>
        <w:rPr>
          <w:spacing w:val="-1"/>
        </w:rPr>
        <w:t>sufficient</w:t>
      </w:r>
      <w:r>
        <w:rPr>
          <w:spacing w:val="11"/>
        </w:rPr>
        <w:t xml:space="preserve"> </w:t>
      </w:r>
      <w:r>
        <w:t>for</w:t>
      </w:r>
      <w:r>
        <w:rPr>
          <w:spacing w:val="14"/>
        </w:rPr>
        <w:t xml:space="preserve"> </w:t>
      </w:r>
      <w:r>
        <w:t>the</w:t>
      </w:r>
      <w:r>
        <w:rPr>
          <w:spacing w:val="10"/>
        </w:rPr>
        <w:t xml:space="preserve"> </w:t>
      </w:r>
      <w:r>
        <w:rPr>
          <w:spacing w:val="-1"/>
        </w:rPr>
        <w:t>Customer</w:t>
      </w:r>
      <w:r>
        <w:rPr>
          <w:spacing w:val="14"/>
        </w:rPr>
        <w:t xml:space="preserve"> </w:t>
      </w:r>
      <w:r>
        <w:t>to</w:t>
      </w:r>
      <w:r>
        <w:rPr>
          <w:spacing w:val="12"/>
        </w:rPr>
        <w:t xml:space="preserve"> </w:t>
      </w:r>
      <w:r>
        <w:rPr>
          <w:spacing w:val="-1"/>
        </w:rPr>
        <w:t>decide</w:t>
      </w:r>
      <w:r>
        <w:rPr>
          <w:spacing w:val="12"/>
        </w:rPr>
        <w:t xml:space="preserve"> </w:t>
      </w:r>
      <w:r>
        <w:rPr>
          <w:spacing w:val="-1"/>
        </w:rPr>
        <w:t>whether</w:t>
      </w:r>
      <w:r>
        <w:rPr>
          <w:spacing w:val="14"/>
        </w:rPr>
        <w:t xml:space="preserve"> </w:t>
      </w:r>
      <w:r>
        <w:rPr>
          <w:spacing w:val="-1"/>
        </w:rPr>
        <w:t>any</w:t>
      </w:r>
      <w:r>
        <w:rPr>
          <w:spacing w:val="10"/>
        </w:rPr>
        <w:t xml:space="preserve"> </w:t>
      </w:r>
      <w:r>
        <w:rPr>
          <w:spacing w:val="-1"/>
        </w:rPr>
        <w:t>improvement</w:t>
      </w:r>
      <w:r>
        <w:rPr>
          <w:spacing w:val="14"/>
        </w:rPr>
        <w:t xml:space="preserve"> </w:t>
      </w:r>
      <w:r>
        <w:rPr>
          <w:spacing w:val="-1"/>
        </w:rPr>
        <w:t>should</w:t>
      </w:r>
      <w:r>
        <w:rPr>
          <w:spacing w:val="12"/>
        </w:rPr>
        <w:t xml:space="preserve"> </w:t>
      </w:r>
      <w:r>
        <w:rPr>
          <w:spacing w:val="-1"/>
        </w:rPr>
        <w:t>be</w:t>
      </w:r>
      <w:r>
        <w:rPr>
          <w:spacing w:val="44"/>
        </w:rPr>
        <w:t xml:space="preserve"> </w:t>
      </w:r>
      <w:r>
        <w:rPr>
          <w:spacing w:val="-1"/>
        </w:rPr>
        <w:t>implemented.</w:t>
      </w:r>
      <w:r>
        <w:rPr>
          <w:spacing w:val="11"/>
        </w:rPr>
        <w:t xml:space="preserve"> </w:t>
      </w:r>
      <w:r>
        <w:t>The</w:t>
      </w:r>
      <w:r>
        <w:rPr>
          <w:spacing w:val="12"/>
        </w:rPr>
        <w:t xml:space="preserve"> </w:t>
      </w:r>
      <w:r>
        <w:rPr>
          <w:spacing w:val="-2"/>
        </w:rPr>
        <w:t>Supplier</w:t>
      </w:r>
      <w:r>
        <w:rPr>
          <w:spacing w:val="14"/>
        </w:rPr>
        <w:t xml:space="preserve"> </w:t>
      </w:r>
      <w:r>
        <w:rPr>
          <w:spacing w:val="-1"/>
        </w:rPr>
        <w:t>shall</w:t>
      </w:r>
      <w:r>
        <w:rPr>
          <w:spacing w:val="12"/>
        </w:rPr>
        <w:t xml:space="preserve"> </w:t>
      </w:r>
      <w:r>
        <w:rPr>
          <w:spacing w:val="-2"/>
        </w:rPr>
        <w:t>provide</w:t>
      </w:r>
      <w:r>
        <w:rPr>
          <w:spacing w:val="12"/>
        </w:rPr>
        <w:t xml:space="preserve"> </w:t>
      </w:r>
      <w:r>
        <w:rPr>
          <w:spacing w:val="-1"/>
        </w:rPr>
        <w:t>any</w:t>
      </w:r>
      <w:r>
        <w:rPr>
          <w:spacing w:val="10"/>
        </w:rPr>
        <w:t xml:space="preserve"> </w:t>
      </w:r>
      <w:r>
        <w:rPr>
          <w:spacing w:val="-1"/>
        </w:rPr>
        <w:t>further</w:t>
      </w:r>
      <w:r>
        <w:rPr>
          <w:spacing w:val="14"/>
        </w:rPr>
        <w:t xml:space="preserve"> </w:t>
      </w:r>
      <w:r>
        <w:rPr>
          <w:spacing w:val="-1"/>
        </w:rPr>
        <w:t>information</w:t>
      </w:r>
      <w:r>
        <w:rPr>
          <w:spacing w:val="12"/>
        </w:rPr>
        <w:t xml:space="preserve"> </w:t>
      </w:r>
      <w:r>
        <w:rPr>
          <w:spacing w:val="-1"/>
        </w:rPr>
        <w:t>that</w:t>
      </w:r>
      <w:r>
        <w:rPr>
          <w:spacing w:val="11"/>
        </w:rPr>
        <w:t xml:space="preserve"> </w:t>
      </w:r>
      <w:r>
        <w:t>the</w:t>
      </w:r>
      <w:r>
        <w:rPr>
          <w:spacing w:val="10"/>
        </w:rPr>
        <w:t xml:space="preserve"> </w:t>
      </w:r>
      <w:r>
        <w:rPr>
          <w:spacing w:val="-1"/>
        </w:rPr>
        <w:t>Customer</w:t>
      </w:r>
      <w:r>
        <w:rPr>
          <w:spacing w:val="43"/>
        </w:rPr>
        <w:t xml:space="preserve"> </w:t>
      </w:r>
      <w:r>
        <w:rPr>
          <w:spacing w:val="-1"/>
        </w:rPr>
        <w:t>requests.</w:t>
      </w:r>
    </w:p>
    <w:p w:rsidR="008918FA" w:rsidRDefault="008918FA" w:rsidP="008918FA">
      <w:pPr>
        <w:pStyle w:val="BodyText"/>
        <w:numPr>
          <w:ilvl w:val="1"/>
          <w:numId w:val="66"/>
        </w:numPr>
        <w:tabs>
          <w:tab w:val="left" w:pos="1254"/>
        </w:tabs>
        <w:spacing w:before="121"/>
        <w:ind w:left="1049" w:right="114" w:hanging="360"/>
        <w:jc w:val="both"/>
      </w:pPr>
      <w:r>
        <w:rPr>
          <w:spacing w:val="-1"/>
        </w:rPr>
        <w:t>If</w:t>
      </w:r>
      <w:r>
        <w:rPr>
          <w:spacing w:val="32"/>
        </w:rPr>
        <w:t xml:space="preserve"> </w:t>
      </w:r>
      <w:r>
        <w:t>the</w:t>
      </w:r>
      <w:r>
        <w:rPr>
          <w:spacing w:val="30"/>
        </w:rPr>
        <w:t xml:space="preserve"> </w:t>
      </w:r>
      <w:r>
        <w:rPr>
          <w:spacing w:val="-2"/>
        </w:rPr>
        <w:t>Customer</w:t>
      </w:r>
      <w:r>
        <w:rPr>
          <w:spacing w:val="32"/>
        </w:rPr>
        <w:t xml:space="preserve"> </w:t>
      </w:r>
      <w:r>
        <w:rPr>
          <w:spacing w:val="-1"/>
        </w:rPr>
        <w:t>wishes</w:t>
      </w:r>
      <w:r>
        <w:rPr>
          <w:spacing w:val="31"/>
        </w:rPr>
        <w:t xml:space="preserve"> </w:t>
      </w:r>
      <w:r>
        <w:t>to</w:t>
      </w:r>
      <w:r>
        <w:rPr>
          <w:spacing w:val="30"/>
        </w:rPr>
        <w:t xml:space="preserve"> </w:t>
      </w:r>
      <w:r>
        <w:rPr>
          <w:spacing w:val="-1"/>
        </w:rPr>
        <w:t>incorporate</w:t>
      </w:r>
      <w:r>
        <w:rPr>
          <w:spacing w:val="30"/>
        </w:rPr>
        <w:t xml:space="preserve"> </w:t>
      </w:r>
      <w:r>
        <w:rPr>
          <w:spacing w:val="-2"/>
        </w:rPr>
        <w:t>any</w:t>
      </w:r>
      <w:r>
        <w:rPr>
          <w:spacing w:val="28"/>
        </w:rPr>
        <w:t xml:space="preserve"> </w:t>
      </w:r>
      <w:r>
        <w:rPr>
          <w:spacing w:val="-1"/>
        </w:rPr>
        <w:t>improvement</w:t>
      </w:r>
      <w:r>
        <w:rPr>
          <w:spacing w:val="33"/>
        </w:rPr>
        <w:t xml:space="preserve"> </w:t>
      </w:r>
      <w:r>
        <w:rPr>
          <w:spacing w:val="-1"/>
        </w:rPr>
        <w:t>identified</w:t>
      </w:r>
      <w:r>
        <w:rPr>
          <w:spacing w:val="28"/>
        </w:rPr>
        <w:t xml:space="preserve"> </w:t>
      </w:r>
      <w:r>
        <w:rPr>
          <w:spacing w:val="-1"/>
        </w:rPr>
        <w:t>by</w:t>
      </w:r>
      <w:r>
        <w:rPr>
          <w:spacing w:val="28"/>
        </w:rPr>
        <w:t xml:space="preserve"> </w:t>
      </w:r>
      <w:r>
        <w:rPr>
          <w:spacing w:val="-1"/>
        </w:rPr>
        <w:t>the</w:t>
      </w:r>
      <w:r>
        <w:rPr>
          <w:spacing w:val="42"/>
        </w:rPr>
        <w:t xml:space="preserve"> </w:t>
      </w:r>
      <w:r>
        <w:rPr>
          <w:spacing w:val="-1"/>
        </w:rPr>
        <w:t>Supplier,</w:t>
      </w:r>
      <w:r>
        <w:rPr>
          <w:spacing w:val="26"/>
        </w:rPr>
        <w:t xml:space="preserve"> </w:t>
      </w:r>
      <w:r>
        <w:t>the</w:t>
      </w:r>
      <w:r>
        <w:rPr>
          <w:spacing w:val="24"/>
        </w:rPr>
        <w:t xml:space="preserve"> </w:t>
      </w:r>
      <w:r>
        <w:rPr>
          <w:spacing w:val="-2"/>
        </w:rPr>
        <w:t>Customer</w:t>
      </w:r>
      <w:r>
        <w:rPr>
          <w:spacing w:val="23"/>
        </w:rPr>
        <w:t xml:space="preserve"> </w:t>
      </w:r>
      <w:r>
        <w:rPr>
          <w:spacing w:val="-1"/>
        </w:rPr>
        <w:t>shall</w:t>
      </w:r>
      <w:r>
        <w:rPr>
          <w:spacing w:val="24"/>
        </w:rPr>
        <w:t xml:space="preserve"> </w:t>
      </w:r>
      <w:r>
        <w:rPr>
          <w:spacing w:val="-1"/>
        </w:rPr>
        <w:t>request</w:t>
      </w:r>
      <w:r>
        <w:rPr>
          <w:spacing w:val="26"/>
        </w:rPr>
        <w:t xml:space="preserve"> </w:t>
      </w:r>
      <w:r>
        <w:t>a</w:t>
      </w:r>
      <w:r>
        <w:rPr>
          <w:spacing w:val="24"/>
        </w:rPr>
        <w:t xml:space="preserve"> </w:t>
      </w:r>
      <w:r>
        <w:rPr>
          <w:spacing w:val="-1"/>
        </w:rPr>
        <w:t>Variation</w:t>
      </w:r>
      <w:r>
        <w:rPr>
          <w:spacing w:val="22"/>
        </w:rPr>
        <w:t xml:space="preserve"> </w:t>
      </w:r>
      <w:r>
        <w:rPr>
          <w:spacing w:val="-1"/>
        </w:rPr>
        <w:t>in</w:t>
      </w:r>
      <w:r>
        <w:rPr>
          <w:spacing w:val="24"/>
        </w:rPr>
        <w:t xml:space="preserve"> </w:t>
      </w:r>
      <w:r>
        <w:rPr>
          <w:spacing w:val="-1"/>
        </w:rPr>
        <w:t>accordance</w:t>
      </w:r>
      <w:r>
        <w:rPr>
          <w:spacing w:val="25"/>
        </w:rPr>
        <w:t xml:space="preserve"> </w:t>
      </w:r>
      <w:r>
        <w:rPr>
          <w:spacing w:val="-2"/>
        </w:rPr>
        <w:t>with</w:t>
      </w:r>
      <w:r>
        <w:rPr>
          <w:spacing w:val="24"/>
        </w:rPr>
        <w:t xml:space="preserve"> </w:t>
      </w:r>
      <w:r>
        <w:t>the</w:t>
      </w:r>
      <w:r>
        <w:rPr>
          <w:spacing w:val="19"/>
        </w:rPr>
        <w:t xml:space="preserve"> </w:t>
      </w:r>
      <w:r>
        <w:rPr>
          <w:spacing w:val="-1"/>
        </w:rPr>
        <w:t>Variation</w:t>
      </w:r>
      <w:r>
        <w:rPr>
          <w:spacing w:val="36"/>
        </w:rPr>
        <w:t xml:space="preserve"> </w:t>
      </w:r>
      <w:r>
        <w:rPr>
          <w:spacing w:val="-1"/>
        </w:rPr>
        <w:t>Procedure</w:t>
      </w:r>
      <w:r>
        <w:rPr>
          <w:spacing w:val="10"/>
        </w:rPr>
        <w:t xml:space="preserve"> </w:t>
      </w:r>
      <w:r>
        <w:rPr>
          <w:spacing w:val="-1"/>
        </w:rPr>
        <w:t>and</w:t>
      </w:r>
      <w:r>
        <w:rPr>
          <w:spacing w:val="10"/>
        </w:rPr>
        <w:t xml:space="preserve"> </w:t>
      </w:r>
      <w:r>
        <w:t>the</w:t>
      </w:r>
      <w:r>
        <w:rPr>
          <w:spacing w:val="10"/>
        </w:rPr>
        <w:t xml:space="preserve"> </w:t>
      </w:r>
      <w:r>
        <w:rPr>
          <w:spacing w:val="-2"/>
        </w:rPr>
        <w:t>Supplier</w:t>
      </w:r>
      <w:r>
        <w:rPr>
          <w:spacing w:val="11"/>
        </w:rPr>
        <w:t xml:space="preserve"> </w:t>
      </w:r>
      <w:r>
        <w:rPr>
          <w:spacing w:val="-1"/>
        </w:rPr>
        <w:t>shall</w:t>
      </w:r>
      <w:r>
        <w:rPr>
          <w:spacing w:val="12"/>
        </w:rPr>
        <w:t xml:space="preserve"> </w:t>
      </w:r>
      <w:r>
        <w:rPr>
          <w:spacing w:val="-1"/>
        </w:rPr>
        <w:t>implement</w:t>
      </w:r>
      <w:r>
        <w:rPr>
          <w:spacing w:val="11"/>
        </w:rPr>
        <w:t xml:space="preserve"> </w:t>
      </w:r>
      <w:r>
        <w:rPr>
          <w:spacing w:val="-1"/>
        </w:rPr>
        <w:t>such</w:t>
      </w:r>
      <w:r>
        <w:rPr>
          <w:spacing w:val="8"/>
        </w:rPr>
        <w:t xml:space="preserve"> </w:t>
      </w:r>
      <w:r>
        <w:rPr>
          <w:spacing w:val="-1"/>
        </w:rPr>
        <w:t>Variation</w:t>
      </w:r>
      <w:r>
        <w:rPr>
          <w:spacing w:val="10"/>
        </w:rPr>
        <w:t xml:space="preserve"> </w:t>
      </w:r>
      <w:r>
        <w:rPr>
          <w:spacing w:val="-1"/>
        </w:rPr>
        <w:t>at</w:t>
      </w:r>
      <w:r>
        <w:rPr>
          <w:spacing w:val="11"/>
        </w:rPr>
        <w:t xml:space="preserve"> </w:t>
      </w:r>
      <w:r>
        <w:rPr>
          <w:spacing w:val="-1"/>
        </w:rPr>
        <w:t>no</w:t>
      </w:r>
      <w:r>
        <w:rPr>
          <w:spacing w:val="10"/>
        </w:rPr>
        <w:t xml:space="preserve"> </w:t>
      </w:r>
      <w:r>
        <w:rPr>
          <w:spacing w:val="-1"/>
        </w:rPr>
        <w:t>additional</w:t>
      </w:r>
      <w:r>
        <w:rPr>
          <w:spacing w:val="9"/>
        </w:rPr>
        <w:t xml:space="preserve"> </w:t>
      </w:r>
      <w:r>
        <w:rPr>
          <w:spacing w:val="-1"/>
        </w:rPr>
        <w:t>cost</w:t>
      </w:r>
      <w:r>
        <w:rPr>
          <w:spacing w:val="12"/>
        </w:rPr>
        <w:t xml:space="preserve"> </w:t>
      </w:r>
      <w:r>
        <w:t>to</w:t>
      </w:r>
      <w:r>
        <w:rPr>
          <w:spacing w:val="45"/>
        </w:rPr>
        <w:t xml:space="preserve"> </w:t>
      </w:r>
      <w:r>
        <w:t xml:space="preserve">the </w:t>
      </w:r>
      <w:r>
        <w:rPr>
          <w:spacing w:val="-1"/>
        </w:rPr>
        <w:t>Customer.</w:t>
      </w:r>
    </w:p>
    <w:p w:rsidR="008918FA" w:rsidRDefault="008918FA" w:rsidP="008918FA">
      <w:pPr>
        <w:spacing w:before="8"/>
        <w:rPr>
          <w:rFonts w:ascii="Arial" w:eastAsia="Arial" w:hAnsi="Arial" w:cs="Arial"/>
          <w:sz w:val="20"/>
          <w:szCs w:val="20"/>
        </w:rPr>
      </w:pPr>
    </w:p>
    <w:p w:rsidR="008918FA" w:rsidRDefault="008918FA" w:rsidP="008918FA">
      <w:pPr>
        <w:pStyle w:val="Heading1"/>
        <w:tabs>
          <w:tab w:val="left" w:pos="686"/>
        </w:tabs>
        <w:spacing w:before="0"/>
        <w:ind w:left="120" w:firstLine="0"/>
        <w:rPr>
          <w:b w:val="0"/>
          <w:bCs w:val="0"/>
        </w:rPr>
      </w:pPr>
      <w:bookmarkStart w:id="123" w:name="_bookmark109"/>
      <w:bookmarkEnd w:id="123"/>
      <w:r>
        <w:rPr>
          <w:color w:val="C00000"/>
          <w:spacing w:val="-1"/>
        </w:rPr>
        <w:t>D.</w:t>
      </w:r>
      <w:r>
        <w:rPr>
          <w:color w:val="C00000"/>
          <w:spacing w:val="-1"/>
        </w:rPr>
        <w:tab/>
      </w:r>
      <w:r w:rsidRPr="001C1527">
        <w:rPr>
          <w:color w:val="C00000"/>
          <w:spacing w:val="-2"/>
          <w:u w:val="single"/>
        </w:rPr>
        <w:t>CALL</w:t>
      </w:r>
      <w:r w:rsidRPr="001C1527">
        <w:rPr>
          <w:color w:val="C00000"/>
          <w:spacing w:val="1"/>
          <w:u w:val="single"/>
        </w:rPr>
        <w:t xml:space="preserve"> </w:t>
      </w:r>
      <w:r w:rsidRPr="001C1527">
        <w:rPr>
          <w:color w:val="C00000"/>
          <w:spacing w:val="-1"/>
          <w:u w:val="single"/>
        </w:rPr>
        <w:t>OFF</w:t>
      </w:r>
      <w:r w:rsidRPr="001C1527">
        <w:rPr>
          <w:color w:val="C00000"/>
          <w:spacing w:val="1"/>
          <w:u w:val="single"/>
        </w:rPr>
        <w:t xml:space="preserve"> </w:t>
      </w:r>
      <w:r w:rsidRPr="001C1527">
        <w:rPr>
          <w:color w:val="C00000"/>
          <w:spacing w:val="-1"/>
          <w:u w:val="single"/>
        </w:rPr>
        <w:t>CONTRACT</w:t>
      </w:r>
      <w:r w:rsidRPr="001C1527">
        <w:rPr>
          <w:color w:val="C00000"/>
          <w:spacing w:val="-2"/>
          <w:u w:val="single"/>
        </w:rPr>
        <w:t xml:space="preserve"> GOVERNANCE</w:t>
      </w:r>
    </w:p>
    <w:p w:rsidR="008918FA" w:rsidRDefault="008918FA" w:rsidP="008918FA">
      <w:pPr>
        <w:sectPr w:rsidR="008918FA">
          <w:pgSz w:w="11910" w:h="16840"/>
          <w:pgMar w:top="1480" w:right="1300" w:bottom="1180" w:left="1320" w:header="0" w:footer="967" w:gutter="0"/>
          <w:cols w:space="720"/>
        </w:sectPr>
      </w:pPr>
    </w:p>
    <w:p w:rsidR="008918FA" w:rsidRDefault="008918FA" w:rsidP="008918FA">
      <w:pPr>
        <w:pStyle w:val="BodyText"/>
        <w:numPr>
          <w:ilvl w:val="0"/>
          <w:numId w:val="66"/>
        </w:numPr>
        <w:tabs>
          <w:tab w:val="left" w:pos="687"/>
        </w:tabs>
        <w:spacing w:before="58"/>
        <w:ind w:hanging="566"/>
        <w:rPr>
          <w:rFonts w:ascii="Times New Roman" w:eastAsia="Times New Roman" w:hAnsi="Times New Roman" w:cs="Times New Roman"/>
        </w:rPr>
      </w:pPr>
      <w:bookmarkStart w:id="124" w:name="19._PERFORMANCE_MONITORING"/>
      <w:bookmarkStart w:id="125" w:name="_bookmark110"/>
      <w:bookmarkEnd w:id="124"/>
      <w:bookmarkEnd w:id="125"/>
      <w:r>
        <w:rPr>
          <w:rFonts w:ascii="Times New Roman"/>
          <w:spacing w:val="6"/>
        </w:rPr>
        <w:t>PERFORMANCE</w:t>
      </w:r>
      <w:r>
        <w:rPr>
          <w:rFonts w:ascii="Times New Roman"/>
          <w:spacing w:val="18"/>
        </w:rPr>
        <w:t xml:space="preserve"> </w:t>
      </w:r>
      <w:r>
        <w:rPr>
          <w:rFonts w:ascii="Times New Roman"/>
          <w:spacing w:val="-1"/>
        </w:rPr>
        <w:t>MONITORING</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53"/>
        </w:tabs>
        <w:spacing w:before="0"/>
        <w:ind w:left="1048" w:right="115" w:hanging="360"/>
        <w:jc w:val="both"/>
      </w:pPr>
      <w:r>
        <w:rPr>
          <w:spacing w:val="-2"/>
        </w:rPr>
        <w:t>Unless</w:t>
      </w:r>
      <w:r>
        <w:rPr>
          <w:spacing w:val="12"/>
        </w:rPr>
        <w:t xml:space="preserve"> </w:t>
      </w:r>
      <w:r>
        <w:rPr>
          <w:spacing w:val="-1"/>
        </w:rPr>
        <w:t>otherwise</w:t>
      </w:r>
      <w:r>
        <w:rPr>
          <w:spacing w:val="12"/>
        </w:rPr>
        <w:t xml:space="preserve"> </w:t>
      </w:r>
      <w:r>
        <w:rPr>
          <w:spacing w:val="-1"/>
        </w:rPr>
        <w:t>Approved</w:t>
      </w:r>
      <w:r>
        <w:rPr>
          <w:spacing w:val="11"/>
        </w:rPr>
        <w:t xml:space="preserve"> </w:t>
      </w:r>
      <w:r>
        <w:rPr>
          <w:spacing w:val="-1"/>
        </w:rPr>
        <w:t>or</w:t>
      </w:r>
      <w:r>
        <w:rPr>
          <w:spacing w:val="13"/>
        </w:rPr>
        <w:t xml:space="preserve"> </w:t>
      </w:r>
      <w:r>
        <w:rPr>
          <w:spacing w:val="-1"/>
        </w:rPr>
        <w:t>notified</w:t>
      </w:r>
      <w:r>
        <w:rPr>
          <w:spacing w:val="11"/>
        </w:rPr>
        <w:t xml:space="preserve"> </w:t>
      </w:r>
      <w:r>
        <w:rPr>
          <w:spacing w:val="-1"/>
        </w:rPr>
        <w:t>by</w:t>
      </w:r>
      <w:r>
        <w:rPr>
          <w:spacing w:val="9"/>
        </w:rPr>
        <w:t xml:space="preserve"> </w:t>
      </w:r>
      <w:r>
        <w:t>the</w:t>
      </w:r>
      <w:r>
        <w:rPr>
          <w:spacing w:val="9"/>
        </w:rPr>
        <w:t xml:space="preserve"> </w:t>
      </w:r>
      <w:r>
        <w:rPr>
          <w:spacing w:val="-1"/>
        </w:rPr>
        <w:t>Customer,</w:t>
      </w:r>
      <w:r>
        <w:rPr>
          <w:spacing w:val="10"/>
        </w:rPr>
        <w:t xml:space="preserve"> </w:t>
      </w:r>
      <w:r>
        <w:t>the</w:t>
      </w:r>
      <w:r>
        <w:rPr>
          <w:spacing w:val="9"/>
        </w:rPr>
        <w:t xml:space="preserve"> </w:t>
      </w:r>
      <w:r>
        <w:rPr>
          <w:spacing w:val="-2"/>
        </w:rPr>
        <w:t>Supplier</w:t>
      </w:r>
      <w:r>
        <w:rPr>
          <w:spacing w:val="13"/>
        </w:rPr>
        <w:t xml:space="preserve"> </w:t>
      </w:r>
      <w:r>
        <w:rPr>
          <w:spacing w:val="-1"/>
        </w:rPr>
        <w:t>shall</w:t>
      </w:r>
      <w:r>
        <w:rPr>
          <w:spacing w:val="41"/>
        </w:rPr>
        <w:t xml:space="preserve"> </w:t>
      </w:r>
      <w:r>
        <w:rPr>
          <w:spacing w:val="-1"/>
        </w:rPr>
        <w:t>comply</w:t>
      </w:r>
      <w:r>
        <w:rPr>
          <w:spacing w:val="22"/>
        </w:rPr>
        <w:t xml:space="preserve"> </w:t>
      </w:r>
      <w:r>
        <w:rPr>
          <w:spacing w:val="-1"/>
        </w:rPr>
        <w:t>with</w:t>
      </w:r>
      <w:r>
        <w:rPr>
          <w:spacing w:val="24"/>
        </w:rPr>
        <w:t xml:space="preserve"> </w:t>
      </w:r>
      <w:r>
        <w:t>the</w:t>
      </w:r>
      <w:r>
        <w:rPr>
          <w:spacing w:val="22"/>
        </w:rPr>
        <w:t xml:space="preserve"> </w:t>
      </w:r>
      <w:r>
        <w:rPr>
          <w:spacing w:val="-1"/>
        </w:rPr>
        <w:t>monitoring</w:t>
      </w:r>
      <w:r>
        <w:rPr>
          <w:spacing w:val="24"/>
        </w:rPr>
        <w:t xml:space="preserve"> </w:t>
      </w:r>
      <w:r>
        <w:rPr>
          <w:spacing w:val="-1"/>
        </w:rPr>
        <w:t>requirements</w:t>
      </w:r>
      <w:r>
        <w:rPr>
          <w:spacing w:val="22"/>
        </w:rPr>
        <w:t xml:space="preserve"> </w:t>
      </w:r>
      <w:r>
        <w:rPr>
          <w:spacing w:val="-1"/>
        </w:rPr>
        <w:t>set</w:t>
      </w:r>
      <w:r>
        <w:rPr>
          <w:spacing w:val="23"/>
        </w:rPr>
        <w:t xml:space="preserve"> </w:t>
      </w:r>
      <w:r>
        <w:rPr>
          <w:spacing w:val="-1"/>
        </w:rPr>
        <w:t>out</w:t>
      </w:r>
      <w:r>
        <w:rPr>
          <w:spacing w:val="23"/>
        </w:rPr>
        <w:t xml:space="preserve"> </w:t>
      </w:r>
      <w:r>
        <w:rPr>
          <w:spacing w:val="-1"/>
        </w:rPr>
        <w:t>in</w:t>
      </w:r>
      <w:r>
        <w:rPr>
          <w:spacing w:val="24"/>
        </w:rPr>
        <w:t xml:space="preserve"> </w:t>
      </w:r>
      <w:r>
        <w:rPr>
          <w:spacing w:val="-1"/>
        </w:rPr>
        <w:t>Part</w:t>
      </w:r>
      <w:r>
        <w:rPr>
          <w:spacing w:val="26"/>
        </w:rPr>
        <w:t xml:space="preserve"> </w:t>
      </w:r>
      <w:r>
        <w:t>B</w:t>
      </w:r>
      <w:r>
        <w:rPr>
          <w:spacing w:val="24"/>
        </w:rPr>
        <w:t xml:space="preserve"> </w:t>
      </w:r>
      <w:r>
        <w:rPr>
          <w:spacing w:val="-2"/>
        </w:rPr>
        <w:t>of</w:t>
      </w:r>
      <w:r>
        <w:rPr>
          <w:spacing w:val="26"/>
        </w:rPr>
        <w:t xml:space="preserve"> </w:t>
      </w:r>
      <w:r>
        <w:rPr>
          <w:spacing w:val="-2"/>
        </w:rPr>
        <w:t>Call</w:t>
      </w:r>
      <w:r>
        <w:rPr>
          <w:spacing w:val="24"/>
        </w:rPr>
        <w:t xml:space="preserve"> </w:t>
      </w:r>
      <w:r>
        <w:rPr>
          <w:spacing w:val="-1"/>
        </w:rPr>
        <w:t>Off</w:t>
      </w:r>
      <w:r>
        <w:rPr>
          <w:spacing w:val="26"/>
        </w:rPr>
        <w:t xml:space="preserve"> </w:t>
      </w:r>
      <w:r>
        <w:rPr>
          <w:spacing w:val="-2"/>
        </w:rPr>
        <w:t>Schedule</w:t>
      </w:r>
      <w:r>
        <w:rPr>
          <w:spacing w:val="24"/>
        </w:rPr>
        <w:t xml:space="preserve"> </w:t>
      </w:r>
      <w:r>
        <w:t>6</w:t>
      </w:r>
      <w:r>
        <w:rPr>
          <w:spacing w:val="45"/>
        </w:rPr>
        <w:t xml:space="preserve"> </w:t>
      </w:r>
      <w:r>
        <w:rPr>
          <w:spacing w:val="-1"/>
        </w:rPr>
        <w:t>(Service</w:t>
      </w:r>
      <w:r>
        <w:rPr>
          <w:spacing w:val="1"/>
        </w:rPr>
        <w:t xml:space="preserve"> </w:t>
      </w:r>
      <w:r>
        <w:rPr>
          <w:spacing w:val="-2"/>
        </w:rPr>
        <w:t>Levels,</w:t>
      </w:r>
      <w:r>
        <w:rPr>
          <w:spacing w:val="2"/>
        </w:rPr>
        <w:t xml:space="preserve"> </w:t>
      </w:r>
      <w:r>
        <w:rPr>
          <w:spacing w:val="-2"/>
        </w:rPr>
        <w:t>Service</w:t>
      </w:r>
      <w:r>
        <w:rPr>
          <w:spacing w:val="1"/>
        </w:rPr>
        <w:t xml:space="preserve"> </w:t>
      </w:r>
      <w:r>
        <w:rPr>
          <w:spacing w:val="-1"/>
        </w:rPr>
        <w:t>Credits</w:t>
      </w:r>
      <w:r>
        <w:rPr>
          <w:spacing w:val="1"/>
        </w:rPr>
        <w:t xml:space="preserve"> </w:t>
      </w:r>
      <w:r>
        <w:rPr>
          <w:spacing w:val="-1"/>
        </w:rPr>
        <w:t>and</w:t>
      </w:r>
      <w:r>
        <w:rPr>
          <w:spacing w:val="-2"/>
        </w:rPr>
        <w:t xml:space="preserve"> </w:t>
      </w:r>
      <w:r>
        <w:rPr>
          <w:spacing w:val="-1"/>
        </w:rPr>
        <w:t>Performance</w:t>
      </w:r>
      <w:r>
        <w:rPr>
          <w:spacing w:val="-2"/>
        </w:rPr>
        <w:t xml:space="preserve"> </w:t>
      </w:r>
      <w:r>
        <w:rPr>
          <w:spacing w:val="-1"/>
        </w:rPr>
        <w:t>Monitoring).</w:t>
      </w:r>
    </w:p>
    <w:p w:rsidR="008918FA" w:rsidRDefault="008918FA" w:rsidP="008918FA">
      <w:pPr>
        <w:pStyle w:val="BodyText"/>
        <w:numPr>
          <w:ilvl w:val="1"/>
          <w:numId w:val="66"/>
        </w:numPr>
        <w:tabs>
          <w:tab w:val="left" w:pos="1253"/>
        </w:tabs>
        <w:spacing w:before="121"/>
        <w:ind w:left="1048" w:right="114" w:hanging="360"/>
        <w:jc w:val="both"/>
      </w:pPr>
      <w:r>
        <w:t>The</w:t>
      </w:r>
      <w:r>
        <w:rPr>
          <w:spacing w:val="40"/>
        </w:rPr>
        <w:t xml:space="preserve"> </w:t>
      </w:r>
      <w:r>
        <w:rPr>
          <w:spacing w:val="-2"/>
        </w:rPr>
        <w:t>Supplier</w:t>
      </w:r>
      <w:r>
        <w:rPr>
          <w:spacing w:val="41"/>
        </w:rPr>
        <w:t xml:space="preserve"> </w:t>
      </w:r>
      <w:r>
        <w:rPr>
          <w:spacing w:val="-1"/>
        </w:rPr>
        <w:t>shall</w:t>
      </w:r>
      <w:r>
        <w:rPr>
          <w:spacing w:val="39"/>
        </w:rPr>
        <w:t xml:space="preserve"> </w:t>
      </w:r>
      <w:r>
        <w:rPr>
          <w:spacing w:val="-1"/>
        </w:rPr>
        <w:t>implement</w:t>
      </w:r>
      <w:r>
        <w:rPr>
          <w:spacing w:val="41"/>
        </w:rPr>
        <w:t xml:space="preserve"> </w:t>
      </w:r>
      <w:r>
        <w:rPr>
          <w:spacing w:val="-1"/>
        </w:rPr>
        <w:t>all</w:t>
      </w:r>
      <w:r>
        <w:rPr>
          <w:spacing w:val="39"/>
        </w:rPr>
        <w:t xml:space="preserve"> </w:t>
      </w:r>
      <w:r>
        <w:rPr>
          <w:spacing w:val="-1"/>
        </w:rPr>
        <w:t>measurement</w:t>
      </w:r>
      <w:r>
        <w:rPr>
          <w:spacing w:val="41"/>
        </w:rPr>
        <w:t xml:space="preserve"> </w:t>
      </w:r>
      <w:r>
        <w:rPr>
          <w:spacing w:val="-1"/>
        </w:rPr>
        <w:t>and</w:t>
      </w:r>
      <w:r>
        <w:rPr>
          <w:spacing w:val="41"/>
        </w:rPr>
        <w:t xml:space="preserve"> </w:t>
      </w:r>
      <w:r>
        <w:rPr>
          <w:spacing w:val="-1"/>
        </w:rPr>
        <w:t>monitoring</w:t>
      </w:r>
      <w:r>
        <w:rPr>
          <w:spacing w:val="40"/>
        </w:rPr>
        <w:t xml:space="preserve"> </w:t>
      </w:r>
      <w:r>
        <w:rPr>
          <w:spacing w:val="-1"/>
        </w:rPr>
        <w:t>tools</w:t>
      </w:r>
      <w:r>
        <w:rPr>
          <w:spacing w:val="40"/>
        </w:rPr>
        <w:t xml:space="preserve"> </w:t>
      </w:r>
      <w:r>
        <w:rPr>
          <w:spacing w:val="-1"/>
        </w:rPr>
        <w:t>and</w:t>
      </w:r>
      <w:r>
        <w:rPr>
          <w:spacing w:val="26"/>
        </w:rPr>
        <w:t xml:space="preserve"> </w:t>
      </w:r>
      <w:r>
        <w:rPr>
          <w:spacing w:val="-1"/>
        </w:rPr>
        <w:t>procedures</w:t>
      </w:r>
      <w:r>
        <w:rPr>
          <w:spacing w:val="8"/>
        </w:rPr>
        <w:t xml:space="preserve"> </w:t>
      </w:r>
      <w:r>
        <w:rPr>
          <w:spacing w:val="-1"/>
        </w:rPr>
        <w:t>necessary</w:t>
      </w:r>
      <w:r>
        <w:rPr>
          <w:spacing w:val="3"/>
        </w:rPr>
        <w:t xml:space="preserve"> </w:t>
      </w:r>
      <w:r>
        <w:t>to</w:t>
      </w:r>
      <w:r>
        <w:rPr>
          <w:spacing w:val="8"/>
        </w:rPr>
        <w:t xml:space="preserve"> </w:t>
      </w:r>
      <w:r>
        <w:rPr>
          <w:spacing w:val="-1"/>
        </w:rPr>
        <w:t>measure,</w:t>
      </w:r>
      <w:r>
        <w:rPr>
          <w:spacing w:val="9"/>
        </w:rPr>
        <w:t xml:space="preserve"> </w:t>
      </w:r>
      <w:r>
        <w:rPr>
          <w:spacing w:val="-1"/>
        </w:rPr>
        <w:t>monitor</w:t>
      </w:r>
      <w:r>
        <w:rPr>
          <w:spacing w:val="7"/>
        </w:rPr>
        <w:t xml:space="preserve"> </w:t>
      </w:r>
      <w:r>
        <w:rPr>
          <w:spacing w:val="-1"/>
        </w:rPr>
        <w:t>and</w:t>
      </w:r>
      <w:r>
        <w:rPr>
          <w:spacing w:val="7"/>
        </w:rPr>
        <w:t xml:space="preserve"> </w:t>
      </w:r>
      <w:r>
        <w:rPr>
          <w:spacing w:val="-1"/>
        </w:rPr>
        <w:t>report</w:t>
      </w:r>
      <w:r>
        <w:rPr>
          <w:spacing w:val="9"/>
        </w:rPr>
        <w:t xml:space="preserve"> </w:t>
      </w:r>
      <w:r>
        <w:rPr>
          <w:spacing w:val="-1"/>
        </w:rPr>
        <w:t>on</w:t>
      </w:r>
      <w:r>
        <w:rPr>
          <w:spacing w:val="8"/>
        </w:rPr>
        <w:t xml:space="preserve"> </w:t>
      </w:r>
      <w:r>
        <w:t>the</w:t>
      </w:r>
      <w:r>
        <w:rPr>
          <w:spacing w:val="3"/>
        </w:rPr>
        <w:t xml:space="preserve"> </w:t>
      </w:r>
      <w:r>
        <w:rPr>
          <w:spacing w:val="-2"/>
        </w:rPr>
        <w:t>Supplier’s</w:t>
      </w:r>
      <w:r>
        <w:rPr>
          <w:spacing w:val="41"/>
        </w:rPr>
        <w:t xml:space="preserve"> </w:t>
      </w:r>
      <w:r>
        <w:rPr>
          <w:spacing w:val="-1"/>
        </w:rPr>
        <w:t>performance</w:t>
      </w:r>
      <w:r>
        <w:rPr>
          <w:spacing w:val="20"/>
        </w:rPr>
        <w:t xml:space="preserve"> </w:t>
      </w:r>
      <w:r>
        <w:rPr>
          <w:spacing w:val="-2"/>
        </w:rPr>
        <w:t>of</w:t>
      </w:r>
      <w:r>
        <w:rPr>
          <w:spacing w:val="21"/>
        </w:rPr>
        <w:t xml:space="preserve"> </w:t>
      </w:r>
      <w:r>
        <w:t>the</w:t>
      </w:r>
      <w:r>
        <w:rPr>
          <w:spacing w:val="20"/>
        </w:rPr>
        <w:t xml:space="preserve"> </w:t>
      </w:r>
      <w:r>
        <w:rPr>
          <w:spacing w:val="-2"/>
        </w:rPr>
        <w:t>provision</w:t>
      </w:r>
      <w:r>
        <w:rPr>
          <w:spacing w:val="20"/>
        </w:rPr>
        <w:t xml:space="preserve"> </w:t>
      </w:r>
      <w:r>
        <w:rPr>
          <w:spacing w:val="-1"/>
        </w:rPr>
        <w:t>of</w:t>
      </w:r>
      <w:r>
        <w:rPr>
          <w:spacing w:val="23"/>
        </w:rPr>
        <w:t xml:space="preserve"> </w:t>
      </w:r>
      <w:r>
        <w:t>the</w:t>
      </w:r>
      <w:r>
        <w:rPr>
          <w:spacing w:val="18"/>
        </w:rPr>
        <w:t xml:space="preserve"> </w:t>
      </w:r>
      <w:r>
        <w:rPr>
          <w:spacing w:val="-1"/>
        </w:rPr>
        <w:t>Goods</w:t>
      </w:r>
      <w:r>
        <w:rPr>
          <w:spacing w:val="20"/>
        </w:rPr>
        <w:t xml:space="preserve"> </w:t>
      </w:r>
      <w:r>
        <w:rPr>
          <w:spacing w:val="-1"/>
        </w:rPr>
        <w:t>and/or</w:t>
      </w:r>
      <w:r>
        <w:rPr>
          <w:spacing w:val="21"/>
        </w:rPr>
        <w:t xml:space="preserve"> </w:t>
      </w:r>
      <w:r>
        <w:rPr>
          <w:spacing w:val="-1"/>
        </w:rPr>
        <w:t>Services</w:t>
      </w:r>
      <w:r>
        <w:rPr>
          <w:spacing w:val="21"/>
        </w:rPr>
        <w:t xml:space="preserve"> </w:t>
      </w:r>
      <w:r>
        <w:rPr>
          <w:spacing w:val="-1"/>
        </w:rPr>
        <w:t>against</w:t>
      </w:r>
      <w:r>
        <w:rPr>
          <w:spacing w:val="21"/>
        </w:rPr>
        <w:t xml:space="preserve"> </w:t>
      </w:r>
      <w:r>
        <w:t>the</w:t>
      </w:r>
      <w:r>
        <w:rPr>
          <w:spacing w:val="20"/>
        </w:rPr>
        <w:t xml:space="preserve"> </w:t>
      </w:r>
      <w:r>
        <w:rPr>
          <w:spacing w:val="-2"/>
        </w:rPr>
        <w:t>applicable</w:t>
      </w:r>
      <w:r>
        <w:rPr>
          <w:spacing w:val="57"/>
        </w:rPr>
        <w:t xml:space="preserve"> </w:t>
      </w:r>
      <w:r>
        <w:rPr>
          <w:spacing w:val="-2"/>
        </w:rPr>
        <w:t>Service</w:t>
      </w:r>
      <w:r>
        <w:rPr>
          <w:spacing w:val="27"/>
        </w:rPr>
        <w:t xml:space="preserve"> </w:t>
      </w:r>
      <w:r>
        <w:rPr>
          <w:spacing w:val="-1"/>
        </w:rPr>
        <w:t>Levels</w:t>
      </w:r>
      <w:r>
        <w:rPr>
          <w:spacing w:val="27"/>
        </w:rPr>
        <w:t xml:space="preserve"> </w:t>
      </w:r>
      <w:r>
        <w:rPr>
          <w:spacing w:val="-1"/>
        </w:rPr>
        <w:t>at</w:t>
      </w:r>
      <w:r>
        <w:rPr>
          <w:spacing w:val="28"/>
        </w:rPr>
        <w:t xml:space="preserve"> </w:t>
      </w:r>
      <w:r>
        <w:t>a</w:t>
      </w:r>
      <w:r>
        <w:rPr>
          <w:spacing w:val="29"/>
        </w:rPr>
        <w:t xml:space="preserve"> </w:t>
      </w:r>
      <w:r>
        <w:rPr>
          <w:spacing w:val="-1"/>
        </w:rPr>
        <w:t>level</w:t>
      </w:r>
      <w:r>
        <w:rPr>
          <w:spacing w:val="26"/>
        </w:rPr>
        <w:t xml:space="preserve"> </w:t>
      </w:r>
      <w:r>
        <w:rPr>
          <w:spacing w:val="-1"/>
        </w:rPr>
        <w:t>of</w:t>
      </w:r>
      <w:r>
        <w:rPr>
          <w:spacing w:val="30"/>
        </w:rPr>
        <w:t xml:space="preserve"> </w:t>
      </w:r>
      <w:r>
        <w:rPr>
          <w:spacing w:val="-1"/>
        </w:rPr>
        <w:t>detail</w:t>
      </w:r>
      <w:r>
        <w:rPr>
          <w:spacing w:val="26"/>
        </w:rPr>
        <w:t xml:space="preserve"> </w:t>
      </w:r>
      <w:r>
        <w:rPr>
          <w:spacing w:val="-1"/>
        </w:rPr>
        <w:t>sufficient</w:t>
      </w:r>
      <w:r>
        <w:rPr>
          <w:spacing w:val="26"/>
        </w:rPr>
        <w:t xml:space="preserve"> </w:t>
      </w:r>
      <w:r>
        <w:t>to</w:t>
      </w:r>
      <w:r>
        <w:rPr>
          <w:spacing w:val="27"/>
        </w:rPr>
        <w:t xml:space="preserve"> </w:t>
      </w:r>
      <w:r>
        <w:rPr>
          <w:spacing w:val="-1"/>
        </w:rPr>
        <w:t>verify</w:t>
      </w:r>
      <w:r>
        <w:rPr>
          <w:spacing w:val="25"/>
        </w:rPr>
        <w:t xml:space="preserve"> </w:t>
      </w:r>
      <w:r>
        <w:rPr>
          <w:spacing w:val="-1"/>
        </w:rPr>
        <w:t>compliance</w:t>
      </w:r>
      <w:r>
        <w:rPr>
          <w:spacing w:val="30"/>
        </w:rPr>
        <w:t xml:space="preserve"> </w:t>
      </w:r>
      <w:r>
        <w:rPr>
          <w:spacing w:val="-2"/>
        </w:rPr>
        <w:t>with</w:t>
      </w:r>
      <w:r>
        <w:rPr>
          <w:spacing w:val="27"/>
        </w:rPr>
        <w:t xml:space="preserve"> </w:t>
      </w:r>
      <w:r>
        <w:t>the</w:t>
      </w:r>
      <w:r>
        <w:rPr>
          <w:spacing w:val="27"/>
        </w:rPr>
        <w:t xml:space="preserve"> </w:t>
      </w:r>
      <w:r>
        <w:rPr>
          <w:spacing w:val="-2"/>
        </w:rPr>
        <w:t>Service</w:t>
      </w:r>
      <w:r>
        <w:rPr>
          <w:spacing w:val="66"/>
        </w:rPr>
        <w:t xml:space="preserve"> </w:t>
      </w:r>
      <w:r>
        <w:rPr>
          <w:spacing w:val="-2"/>
        </w:rPr>
        <w:t>Levels.</w:t>
      </w:r>
      <w:r>
        <w:rPr>
          <w:spacing w:val="42"/>
        </w:rPr>
        <w:t xml:space="preserve"> </w:t>
      </w:r>
      <w:r>
        <w:rPr>
          <w:spacing w:val="-2"/>
        </w:rPr>
        <w:t>Unless</w:t>
      </w:r>
      <w:r>
        <w:rPr>
          <w:spacing w:val="41"/>
        </w:rPr>
        <w:t xml:space="preserve"> </w:t>
      </w:r>
      <w:r>
        <w:t>the</w:t>
      </w:r>
      <w:r>
        <w:rPr>
          <w:spacing w:val="40"/>
        </w:rPr>
        <w:t xml:space="preserve"> </w:t>
      </w:r>
      <w:r>
        <w:rPr>
          <w:spacing w:val="-1"/>
        </w:rPr>
        <w:t>Customer</w:t>
      </w:r>
      <w:r>
        <w:rPr>
          <w:spacing w:val="41"/>
        </w:rPr>
        <w:t xml:space="preserve"> </w:t>
      </w:r>
      <w:r>
        <w:rPr>
          <w:spacing w:val="-1"/>
        </w:rPr>
        <w:t>specifies</w:t>
      </w:r>
      <w:r>
        <w:rPr>
          <w:spacing w:val="40"/>
        </w:rPr>
        <w:t xml:space="preserve"> </w:t>
      </w:r>
      <w:r>
        <w:rPr>
          <w:spacing w:val="-2"/>
        </w:rPr>
        <w:t>otherwise,</w:t>
      </w:r>
      <w:r>
        <w:rPr>
          <w:spacing w:val="41"/>
        </w:rPr>
        <w:t xml:space="preserve"> </w:t>
      </w:r>
      <w:r>
        <w:t>the</w:t>
      </w:r>
      <w:r>
        <w:rPr>
          <w:spacing w:val="41"/>
        </w:rPr>
        <w:t xml:space="preserve"> </w:t>
      </w:r>
      <w:r>
        <w:rPr>
          <w:spacing w:val="-2"/>
        </w:rPr>
        <w:t>Supplier</w:t>
      </w:r>
      <w:r>
        <w:rPr>
          <w:spacing w:val="41"/>
        </w:rPr>
        <w:t xml:space="preserve"> </w:t>
      </w:r>
      <w:r>
        <w:rPr>
          <w:spacing w:val="-1"/>
        </w:rPr>
        <w:t>shall</w:t>
      </w:r>
      <w:r>
        <w:rPr>
          <w:spacing w:val="39"/>
        </w:rPr>
        <w:t xml:space="preserve"> </w:t>
      </w:r>
      <w:r>
        <w:rPr>
          <w:spacing w:val="-1"/>
        </w:rPr>
        <w:t>obtain</w:t>
      </w:r>
      <w:r>
        <w:rPr>
          <w:spacing w:val="69"/>
        </w:rPr>
        <w:t xml:space="preserve"> </w:t>
      </w:r>
      <w:r>
        <w:rPr>
          <w:spacing w:val="-1"/>
        </w:rPr>
        <w:t>Approval</w:t>
      </w:r>
      <w:r>
        <w:rPr>
          <w:spacing w:val="28"/>
        </w:rPr>
        <w:t xml:space="preserve"> </w:t>
      </w:r>
      <w:r>
        <w:rPr>
          <w:spacing w:val="-1"/>
        </w:rPr>
        <w:t>of</w:t>
      </w:r>
      <w:r>
        <w:rPr>
          <w:spacing w:val="33"/>
        </w:rPr>
        <w:t xml:space="preserve"> </w:t>
      </w:r>
      <w:r>
        <w:t>the</w:t>
      </w:r>
      <w:r>
        <w:rPr>
          <w:spacing w:val="27"/>
        </w:rPr>
        <w:t xml:space="preserve"> </w:t>
      </w:r>
      <w:r>
        <w:rPr>
          <w:spacing w:val="-2"/>
        </w:rPr>
        <w:t>relevant</w:t>
      </w:r>
      <w:r>
        <w:rPr>
          <w:spacing w:val="30"/>
        </w:rPr>
        <w:t xml:space="preserve"> </w:t>
      </w:r>
      <w:r>
        <w:rPr>
          <w:spacing w:val="-1"/>
        </w:rPr>
        <w:t>measuring</w:t>
      </w:r>
      <w:r>
        <w:rPr>
          <w:spacing w:val="31"/>
        </w:rPr>
        <w:t xml:space="preserve"> </w:t>
      </w:r>
      <w:r>
        <w:rPr>
          <w:spacing w:val="-1"/>
        </w:rPr>
        <w:t>and</w:t>
      </w:r>
      <w:r>
        <w:rPr>
          <w:spacing w:val="27"/>
        </w:rPr>
        <w:t xml:space="preserve"> </w:t>
      </w:r>
      <w:r>
        <w:rPr>
          <w:spacing w:val="-1"/>
        </w:rPr>
        <w:t>monitoring</w:t>
      </w:r>
      <w:r>
        <w:rPr>
          <w:spacing w:val="29"/>
        </w:rPr>
        <w:t xml:space="preserve"> </w:t>
      </w:r>
      <w:r>
        <w:rPr>
          <w:spacing w:val="-1"/>
        </w:rPr>
        <w:t>tools</w:t>
      </w:r>
      <w:r>
        <w:rPr>
          <w:spacing w:val="30"/>
        </w:rPr>
        <w:t xml:space="preserve"> </w:t>
      </w:r>
      <w:r>
        <w:rPr>
          <w:spacing w:val="-1"/>
        </w:rPr>
        <w:t>and</w:t>
      </w:r>
      <w:r>
        <w:rPr>
          <w:spacing w:val="29"/>
        </w:rPr>
        <w:t xml:space="preserve"> </w:t>
      </w:r>
      <w:r>
        <w:rPr>
          <w:spacing w:val="-1"/>
        </w:rPr>
        <w:t>procedures</w:t>
      </w:r>
      <w:r>
        <w:rPr>
          <w:spacing w:val="27"/>
        </w:rPr>
        <w:t xml:space="preserve"> </w:t>
      </w:r>
      <w:r>
        <w:rPr>
          <w:spacing w:val="-1"/>
        </w:rPr>
        <w:t>prior</w:t>
      </w:r>
      <w:r>
        <w:rPr>
          <w:spacing w:val="30"/>
        </w:rPr>
        <w:t xml:space="preserve"> </w:t>
      </w:r>
      <w:r>
        <w:t>to</w:t>
      </w:r>
      <w:r>
        <w:rPr>
          <w:spacing w:val="37"/>
        </w:rPr>
        <w:t xml:space="preserve"> </w:t>
      </w:r>
      <w:r>
        <w:rPr>
          <w:spacing w:val="-1"/>
        </w:rPr>
        <w:t>using</w:t>
      </w:r>
      <w:r>
        <w:t xml:space="preserve"> the</w:t>
      </w:r>
      <w:r>
        <w:rPr>
          <w:spacing w:val="-2"/>
        </w:rPr>
        <w:t xml:space="preserve"> </w:t>
      </w:r>
      <w:r>
        <w:rPr>
          <w:spacing w:val="-1"/>
        </w:rPr>
        <w:t>same.</w:t>
      </w:r>
    </w:p>
    <w:p w:rsidR="008918FA" w:rsidRDefault="008918FA" w:rsidP="008918FA">
      <w:pPr>
        <w:pStyle w:val="BodyText"/>
        <w:numPr>
          <w:ilvl w:val="1"/>
          <w:numId w:val="66"/>
        </w:numPr>
        <w:tabs>
          <w:tab w:val="left" w:pos="1253"/>
        </w:tabs>
        <w:ind w:left="1048" w:right="116" w:hanging="360"/>
        <w:jc w:val="both"/>
      </w:pPr>
      <w:bookmarkStart w:id="126" w:name="_bookmark111"/>
      <w:bookmarkEnd w:id="126"/>
      <w:r>
        <w:t>In</w:t>
      </w:r>
      <w:r>
        <w:rPr>
          <w:spacing w:val="11"/>
        </w:rPr>
        <w:t xml:space="preserve"> </w:t>
      </w:r>
      <w:r>
        <w:t>the</w:t>
      </w:r>
      <w:r>
        <w:rPr>
          <w:spacing w:val="9"/>
        </w:rPr>
        <w:t xml:space="preserve"> </w:t>
      </w:r>
      <w:r>
        <w:rPr>
          <w:spacing w:val="-1"/>
        </w:rPr>
        <w:t>case</w:t>
      </w:r>
      <w:r>
        <w:rPr>
          <w:spacing w:val="11"/>
        </w:rPr>
        <w:t xml:space="preserve"> </w:t>
      </w:r>
      <w:r>
        <w:rPr>
          <w:spacing w:val="-2"/>
        </w:rPr>
        <w:t>of</w:t>
      </w:r>
      <w:r>
        <w:rPr>
          <w:spacing w:val="13"/>
        </w:rPr>
        <w:t xml:space="preserve"> </w:t>
      </w:r>
      <w:r>
        <w:rPr>
          <w:spacing w:val="-1"/>
        </w:rPr>
        <w:t>any</w:t>
      </w:r>
      <w:r>
        <w:rPr>
          <w:spacing w:val="9"/>
        </w:rPr>
        <w:t xml:space="preserve"> </w:t>
      </w:r>
      <w:r>
        <w:rPr>
          <w:spacing w:val="-2"/>
        </w:rPr>
        <w:t>additional</w:t>
      </w:r>
      <w:r>
        <w:rPr>
          <w:spacing w:val="11"/>
        </w:rPr>
        <w:t xml:space="preserve"> </w:t>
      </w:r>
      <w:r>
        <w:rPr>
          <w:spacing w:val="-1"/>
        </w:rPr>
        <w:t>or</w:t>
      </w:r>
      <w:r>
        <w:rPr>
          <w:spacing w:val="13"/>
        </w:rPr>
        <w:t xml:space="preserve"> </w:t>
      </w:r>
      <w:r>
        <w:rPr>
          <w:spacing w:val="-1"/>
        </w:rPr>
        <w:t>alternative</w:t>
      </w:r>
      <w:r>
        <w:rPr>
          <w:spacing w:val="11"/>
        </w:rPr>
        <w:t xml:space="preserve"> </w:t>
      </w:r>
      <w:r>
        <w:rPr>
          <w:spacing w:val="-1"/>
        </w:rPr>
        <w:t>monitoring</w:t>
      </w:r>
      <w:r>
        <w:rPr>
          <w:spacing w:val="11"/>
        </w:rPr>
        <w:t xml:space="preserve"> </w:t>
      </w:r>
      <w:r>
        <w:rPr>
          <w:spacing w:val="-1"/>
        </w:rPr>
        <w:t>requirements</w:t>
      </w:r>
      <w:r>
        <w:rPr>
          <w:spacing w:val="9"/>
        </w:rPr>
        <w:t xml:space="preserve"> </w:t>
      </w:r>
      <w:r>
        <w:rPr>
          <w:spacing w:val="-2"/>
        </w:rPr>
        <w:t>of</w:t>
      </w:r>
      <w:r>
        <w:rPr>
          <w:spacing w:val="13"/>
        </w:rPr>
        <w:t xml:space="preserve"> </w:t>
      </w:r>
      <w:r>
        <w:rPr>
          <w:spacing w:val="-1"/>
        </w:rPr>
        <w:t>the</w:t>
      </w:r>
      <w:r>
        <w:rPr>
          <w:spacing w:val="48"/>
        </w:rPr>
        <w:t xml:space="preserve"> </w:t>
      </w:r>
      <w:r>
        <w:rPr>
          <w:spacing w:val="-1"/>
        </w:rPr>
        <w:t>Customer,</w:t>
      </w:r>
      <w:r>
        <w:rPr>
          <w:spacing w:val="22"/>
        </w:rPr>
        <w:t xml:space="preserve"> </w:t>
      </w:r>
      <w:r>
        <w:t>the</w:t>
      </w:r>
      <w:r>
        <w:rPr>
          <w:spacing w:val="21"/>
        </w:rPr>
        <w:t xml:space="preserve"> </w:t>
      </w:r>
      <w:r>
        <w:rPr>
          <w:spacing w:val="-1"/>
        </w:rPr>
        <w:t>provisions</w:t>
      </w:r>
      <w:r>
        <w:rPr>
          <w:spacing w:val="21"/>
        </w:rPr>
        <w:t xml:space="preserve"> </w:t>
      </w:r>
      <w:r>
        <w:rPr>
          <w:spacing w:val="-1"/>
        </w:rPr>
        <w:t>relating</w:t>
      </w:r>
      <w:r>
        <w:rPr>
          <w:spacing w:val="21"/>
        </w:rPr>
        <w:t xml:space="preserve"> </w:t>
      </w:r>
      <w:r>
        <w:t>to</w:t>
      </w:r>
      <w:r>
        <w:rPr>
          <w:spacing w:val="21"/>
        </w:rPr>
        <w:t xml:space="preserve"> </w:t>
      </w:r>
      <w:r>
        <w:rPr>
          <w:spacing w:val="-1"/>
        </w:rPr>
        <w:t>performance</w:t>
      </w:r>
      <w:r>
        <w:rPr>
          <w:spacing w:val="21"/>
        </w:rPr>
        <w:t xml:space="preserve"> </w:t>
      </w:r>
      <w:r>
        <w:rPr>
          <w:spacing w:val="-1"/>
        </w:rPr>
        <w:t>monitoring</w:t>
      </w:r>
      <w:r>
        <w:rPr>
          <w:spacing w:val="23"/>
        </w:rPr>
        <w:t xml:space="preserve"> </w:t>
      </w:r>
      <w:r>
        <w:rPr>
          <w:spacing w:val="-2"/>
        </w:rPr>
        <w:t>of</w:t>
      </w:r>
      <w:r>
        <w:rPr>
          <w:spacing w:val="22"/>
        </w:rPr>
        <w:t xml:space="preserve"> </w:t>
      </w:r>
      <w:r>
        <w:rPr>
          <w:spacing w:val="-1"/>
        </w:rPr>
        <w:t>this</w:t>
      </w:r>
      <w:r>
        <w:rPr>
          <w:spacing w:val="21"/>
        </w:rPr>
        <w:t xml:space="preserve"> </w:t>
      </w:r>
      <w:r>
        <w:rPr>
          <w:spacing w:val="-2"/>
        </w:rPr>
        <w:t>Call</w:t>
      </w:r>
      <w:r>
        <w:rPr>
          <w:spacing w:val="20"/>
        </w:rPr>
        <w:t xml:space="preserve"> </w:t>
      </w:r>
      <w:r>
        <w:rPr>
          <w:spacing w:val="-1"/>
        </w:rPr>
        <w:t>Off</w:t>
      </w:r>
      <w:r>
        <w:rPr>
          <w:spacing w:val="29"/>
        </w:rPr>
        <w:t xml:space="preserve"> </w:t>
      </w:r>
      <w:r>
        <w:rPr>
          <w:spacing w:val="-1"/>
        </w:rPr>
        <w:t>Contract</w:t>
      </w:r>
      <w:r>
        <w:rPr>
          <w:spacing w:val="7"/>
        </w:rPr>
        <w:t xml:space="preserve"> </w:t>
      </w:r>
      <w:r>
        <w:rPr>
          <w:spacing w:val="-1"/>
        </w:rPr>
        <w:t>shall</w:t>
      </w:r>
      <w:r>
        <w:rPr>
          <w:spacing w:val="4"/>
        </w:rPr>
        <w:t xml:space="preserve"> </w:t>
      </w:r>
      <w:r>
        <w:rPr>
          <w:spacing w:val="-1"/>
        </w:rPr>
        <w:t>apply</w:t>
      </w:r>
      <w:r>
        <w:rPr>
          <w:spacing w:val="3"/>
        </w:rPr>
        <w:t xml:space="preserve"> </w:t>
      </w:r>
      <w:r>
        <w:rPr>
          <w:spacing w:val="-1"/>
        </w:rPr>
        <w:t>as</w:t>
      </w:r>
      <w:r>
        <w:rPr>
          <w:spacing w:val="5"/>
        </w:rPr>
        <w:t xml:space="preserve"> </w:t>
      </w:r>
      <w:r>
        <w:rPr>
          <w:spacing w:val="-2"/>
        </w:rPr>
        <w:t>set</w:t>
      </w:r>
      <w:r>
        <w:rPr>
          <w:spacing w:val="7"/>
        </w:rPr>
        <w:t xml:space="preserve"> </w:t>
      </w:r>
      <w:r>
        <w:rPr>
          <w:spacing w:val="-1"/>
        </w:rPr>
        <w:t>out</w:t>
      </w:r>
      <w:r>
        <w:rPr>
          <w:spacing w:val="4"/>
        </w:rPr>
        <w:t xml:space="preserve"> </w:t>
      </w:r>
      <w:r>
        <w:rPr>
          <w:spacing w:val="-1"/>
        </w:rPr>
        <w:t>in</w:t>
      </w:r>
      <w:r>
        <w:rPr>
          <w:spacing w:val="5"/>
        </w:rPr>
        <w:t xml:space="preserve"> </w:t>
      </w:r>
      <w:r>
        <w:rPr>
          <w:spacing w:val="-1"/>
        </w:rPr>
        <w:t>Annex</w:t>
      </w:r>
      <w:r>
        <w:rPr>
          <w:spacing w:val="3"/>
        </w:rPr>
        <w:t xml:space="preserve"> </w:t>
      </w:r>
      <w:r>
        <w:t>1</w:t>
      </w:r>
      <w:r>
        <w:rPr>
          <w:spacing w:val="5"/>
        </w:rPr>
        <w:t xml:space="preserve"> </w:t>
      </w:r>
      <w:r>
        <w:t>to</w:t>
      </w:r>
      <w:r>
        <w:rPr>
          <w:spacing w:val="3"/>
        </w:rPr>
        <w:t xml:space="preserve"> </w:t>
      </w:r>
      <w:r>
        <w:rPr>
          <w:spacing w:val="-1"/>
        </w:rPr>
        <w:t>Part</w:t>
      </w:r>
      <w:r>
        <w:rPr>
          <w:spacing w:val="4"/>
        </w:rPr>
        <w:t xml:space="preserve"> </w:t>
      </w:r>
      <w:r>
        <w:t>B</w:t>
      </w:r>
      <w:r>
        <w:rPr>
          <w:spacing w:val="5"/>
        </w:rPr>
        <w:t xml:space="preserve"> </w:t>
      </w:r>
      <w:r>
        <w:rPr>
          <w:spacing w:val="-2"/>
        </w:rPr>
        <w:t>of</w:t>
      </w:r>
      <w:r>
        <w:rPr>
          <w:spacing w:val="7"/>
        </w:rPr>
        <w:t xml:space="preserve"> </w:t>
      </w:r>
      <w:r>
        <w:rPr>
          <w:spacing w:val="-2"/>
        </w:rPr>
        <w:t>Call</w:t>
      </w:r>
      <w:r>
        <w:rPr>
          <w:spacing w:val="4"/>
        </w:rPr>
        <w:t xml:space="preserve"> </w:t>
      </w:r>
      <w:r>
        <w:rPr>
          <w:spacing w:val="-1"/>
        </w:rPr>
        <w:t>Off</w:t>
      </w:r>
      <w:r>
        <w:rPr>
          <w:spacing w:val="7"/>
        </w:rPr>
        <w:t xml:space="preserve"> </w:t>
      </w:r>
      <w:r>
        <w:rPr>
          <w:spacing w:val="-1"/>
        </w:rPr>
        <w:t>Schedule</w:t>
      </w:r>
      <w:r>
        <w:rPr>
          <w:spacing w:val="5"/>
        </w:rPr>
        <w:t xml:space="preserve"> </w:t>
      </w:r>
      <w:r>
        <w:t>6</w:t>
      </w:r>
      <w:r>
        <w:rPr>
          <w:spacing w:val="3"/>
        </w:rPr>
        <w:t xml:space="preserve"> </w:t>
      </w:r>
      <w:r>
        <w:rPr>
          <w:spacing w:val="-2"/>
        </w:rPr>
        <w:t>(Service</w:t>
      </w:r>
      <w:r>
        <w:rPr>
          <w:spacing w:val="44"/>
        </w:rPr>
        <w:t xml:space="preserve"> </w:t>
      </w:r>
      <w:r>
        <w:rPr>
          <w:spacing w:val="-2"/>
        </w:rPr>
        <w:t>Levels,</w:t>
      </w:r>
      <w:r>
        <w:rPr>
          <w:spacing w:val="2"/>
        </w:rPr>
        <w:t xml:space="preserve"> </w:t>
      </w:r>
      <w:r>
        <w:rPr>
          <w:spacing w:val="-2"/>
        </w:rPr>
        <w:t>Service</w:t>
      </w:r>
      <w:r>
        <w:rPr>
          <w:spacing w:val="1"/>
        </w:rPr>
        <w:t xml:space="preserve"> </w:t>
      </w:r>
      <w:r>
        <w:rPr>
          <w:spacing w:val="-1"/>
        </w:rPr>
        <w:t>Credits</w:t>
      </w:r>
      <w:r>
        <w:rPr>
          <w:spacing w:val="1"/>
        </w:rPr>
        <w:t xml:space="preserve"> </w:t>
      </w:r>
      <w:r>
        <w:rPr>
          <w:spacing w:val="-2"/>
        </w:rPr>
        <w:t>and</w:t>
      </w:r>
      <w:r>
        <w:t xml:space="preserve"> </w:t>
      </w:r>
      <w:r>
        <w:rPr>
          <w:spacing w:val="-1"/>
        </w:rPr>
        <w:t>Performance</w:t>
      </w:r>
      <w:r>
        <w:rPr>
          <w:spacing w:val="1"/>
        </w:rPr>
        <w:t xml:space="preserve"> </w:t>
      </w:r>
      <w:r>
        <w:rPr>
          <w:spacing w:val="-1"/>
        </w:rPr>
        <w:t>Monitoring).</w:t>
      </w:r>
    </w:p>
    <w:p w:rsidR="008918FA" w:rsidRDefault="008918FA" w:rsidP="008918FA">
      <w:pPr>
        <w:pStyle w:val="BodyText"/>
        <w:numPr>
          <w:ilvl w:val="0"/>
          <w:numId w:val="66"/>
        </w:numPr>
        <w:tabs>
          <w:tab w:val="left" w:pos="687"/>
        </w:tabs>
        <w:spacing w:before="117"/>
        <w:ind w:hanging="566"/>
        <w:rPr>
          <w:rFonts w:ascii="Times New Roman" w:eastAsia="Times New Roman" w:hAnsi="Times New Roman" w:cs="Times New Roman"/>
        </w:rPr>
      </w:pPr>
      <w:bookmarkStart w:id="127" w:name="_bookmark112"/>
      <w:bookmarkEnd w:id="127"/>
      <w:r>
        <w:rPr>
          <w:rFonts w:ascii="Times New Roman"/>
          <w:spacing w:val="6"/>
        </w:rPr>
        <w:t>REPRESENTATIVES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3"/>
        </w:tabs>
        <w:spacing w:before="0"/>
        <w:ind w:left="1048" w:right="113" w:hanging="360"/>
        <w:jc w:val="both"/>
      </w:pPr>
      <w:r>
        <w:rPr>
          <w:spacing w:val="-1"/>
        </w:rPr>
        <w:t>Each</w:t>
      </w:r>
      <w:r>
        <w:rPr>
          <w:spacing w:val="20"/>
        </w:rPr>
        <w:t xml:space="preserve"> </w:t>
      </w:r>
      <w:r>
        <w:rPr>
          <w:spacing w:val="-1"/>
        </w:rPr>
        <w:t>Party</w:t>
      </w:r>
      <w:r>
        <w:rPr>
          <w:spacing w:val="18"/>
        </w:rPr>
        <w:t xml:space="preserve"> </w:t>
      </w:r>
      <w:r>
        <w:rPr>
          <w:spacing w:val="-1"/>
        </w:rPr>
        <w:t>shall</w:t>
      </w:r>
      <w:r>
        <w:rPr>
          <w:spacing w:val="19"/>
        </w:rPr>
        <w:t xml:space="preserve"> </w:t>
      </w:r>
      <w:r>
        <w:rPr>
          <w:spacing w:val="-1"/>
        </w:rPr>
        <w:t>have</w:t>
      </w:r>
      <w:r>
        <w:rPr>
          <w:spacing w:val="20"/>
        </w:rPr>
        <w:t xml:space="preserve"> </w:t>
      </w:r>
      <w:r>
        <w:t>a</w:t>
      </w:r>
      <w:r>
        <w:rPr>
          <w:spacing w:val="22"/>
        </w:rPr>
        <w:t xml:space="preserve"> </w:t>
      </w:r>
      <w:r>
        <w:rPr>
          <w:spacing w:val="-1"/>
        </w:rPr>
        <w:t>represe</w:t>
      </w:r>
      <w:bookmarkStart w:id="128" w:name="20._REPRESENTATIVES"/>
      <w:bookmarkEnd w:id="128"/>
      <w:r>
        <w:rPr>
          <w:spacing w:val="-1"/>
        </w:rPr>
        <w:t>ntative</w:t>
      </w:r>
      <w:r>
        <w:rPr>
          <w:spacing w:val="20"/>
        </w:rPr>
        <w:t xml:space="preserve"> </w:t>
      </w:r>
      <w:r>
        <w:t>for</w:t>
      </w:r>
      <w:r>
        <w:rPr>
          <w:spacing w:val="21"/>
        </w:rPr>
        <w:t xml:space="preserve"> </w:t>
      </w:r>
      <w:r>
        <w:t>the</w:t>
      </w:r>
      <w:r>
        <w:rPr>
          <w:spacing w:val="19"/>
        </w:rPr>
        <w:t xml:space="preserve"> </w:t>
      </w:r>
      <w:r>
        <w:rPr>
          <w:spacing w:val="-1"/>
        </w:rPr>
        <w:t>duration</w:t>
      </w:r>
      <w:r>
        <w:rPr>
          <w:spacing w:val="20"/>
        </w:rPr>
        <w:t xml:space="preserve"> </w:t>
      </w:r>
      <w:r>
        <w:rPr>
          <w:spacing w:val="-2"/>
        </w:rPr>
        <w:t>of</w:t>
      </w:r>
      <w:r>
        <w:rPr>
          <w:spacing w:val="23"/>
        </w:rPr>
        <w:t xml:space="preserve"> </w:t>
      </w:r>
      <w:r>
        <w:rPr>
          <w:spacing w:val="-1"/>
        </w:rPr>
        <w:t>this</w:t>
      </w:r>
      <w:r>
        <w:rPr>
          <w:spacing w:val="22"/>
        </w:rPr>
        <w:t xml:space="preserve"> </w:t>
      </w:r>
      <w:r>
        <w:rPr>
          <w:spacing w:val="-2"/>
        </w:rPr>
        <w:t>Call</w:t>
      </w:r>
      <w:r>
        <w:rPr>
          <w:spacing w:val="19"/>
        </w:rPr>
        <w:t xml:space="preserve"> </w:t>
      </w:r>
      <w:r>
        <w:rPr>
          <w:spacing w:val="-1"/>
        </w:rPr>
        <w:t>Off</w:t>
      </w:r>
      <w:r>
        <w:rPr>
          <w:spacing w:val="23"/>
        </w:rPr>
        <w:t xml:space="preserve"> </w:t>
      </w:r>
      <w:r>
        <w:rPr>
          <w:spacing w:val="-2"/>
        </w:rPr>
        <w:t>Contract</w:t>
      </w:r>
      <w:r>
        <w:rPr>
          <w:spacing w:val="53"/>
        </w:rPr>
        <w:t xml:space="preserve"> </w:t>
      </w:r>
      <w:r>
        <w:rPr>
          <w:spacing w:val="-2"/>
        </w:rPr>
        <w:t>who</w:t>
      </w:r>
      <w:r>
        <w:rPr>
          <w:spacing w:val="56"/>
        </w:rPr>
        <w:t xml:space="preserve"> </w:t>
      </w:r>
      <w:r>
        <w:rPr>
          <w:spacing w:val="-1"/>
        </w:rPr>
        <w:t>shall</w:t>
      </w:r>
      <w:r>
        <w:rPr>
          <w:spacing w:val="55"/>
        </w:rPr>
        <w:t xml:space="preserve"> </w:t>
      </w:r>
      <w:r>
        <w:rPr>
          <w:spacing w:val="-2"/>
        </w:rPr>
        <w:t>have</w:t>
      </w:r>
      <w:r>
        <w:rPr>
          <w:spacing w:val="55"/>
        </w:rPr>
        <w:t xml:space="preserve"> </w:t>
      </w:r>
      <w:r>
        <w:t>the</w:t>
      </w:r>
      <w:r>
        <w:rPr>
          <w:spacing w:val="55"/>
        </w:rPr>
        <w:t xml:space="preserve"> </w:t>
      </w:r>
      <w:r>
        <w:rPr>
          <w:spacing w:val="-1"/>
        </w:rPr>
        <w:t>authority</w:t>
      </w:r>
      <w:r>
        <w:rPr>
          <w:spacing w:val="53"/>
        </w:rPr>
        <w:t xml:space="preserve"> </w:t>
      </w:r>
      <w:r>
        <w:t>to</w:t>
      </w:r>
      <w:r>
        <w:rPr>
          <w:spacing w:val="55"/>
        </w:rPr>
        <w:t xml:space="preserve"> </w:t>
      </w:r>
      <w:r>
        <w:rPr>
          <w:spacing w:val="-1"/>
        </w:rPr>
        <w:t>act</w:t>
      </w:r>
      <w:r>
        <w:rPr>
          <w:spacing w:val="56"/>
        </w:rPr>
        <w:t xml:space="preserve"> </w:t>
      </w:r>
      <w:r>
        <w:rPr>
          <w:spacing w:val="-1"/>
        </w:rPr>
        <w:t>on</w:t>
      </w:r>
      <w:r>
        <w:rPr>
          <w:spacing w:val="55"/>
        </w:rPr>
        <w:t xml:space="preserve"> </w:t>
      </w:r>
      <w:r>
        <w:rPr>
          <w:spacing w:val="-2"/>
        </w:rPr>
        <w:t>behalf</w:t>
      </w:r>
      <w:r>
        <w:rPr>
          <w:spacing w:val="57"/>
        </w:rPr>
        <w:t xml:space="preserve"> </w:t>
      </w:r>
      <w:r>
        <w:rPr>
          <w:spacing w:val="-2"/>
        </w:rPr>
        <w:t>of</w:t>
      </w:r>
      <w:r>
        <w:rPr>
          <w:spacing w:val="59"/>
        </w:rPr>
        <w:t xml:space="preserve"> </w:t>
      </w:r>
      <w:r>
        <w:rPr>
          <w:spacing w:val="-1"/>
        </w:rPr>
        <w:t>their</w:t>
      </w:r>
      <w:r>
        <w:rPr>
          <w:spacing w:val="54"/>
        </w:rPr>
        <w:t xml:space="preserve"> </w:t>
      </w:r>
      <w:r>
        <w:rPr>
          <w:spacing w:val="-1"/>
        </w:rPr>
        <w:t>respective</w:t>
      </w:r>
      <w:r>
        <w:rPr>
          <w:spacing w:val="55"/>
        </w:rPr>
        <w:t xml:space="preserve"> </w:t>
      </w:r>
      <w:r>
        <w:rPr>
          <w:spacing w:val="-1"/>
        </w:rPr>
        <w:t>Party</w:t>
      </w:r>
      <w:r>
        <w:rPr>
          <w:spacing w:val="54"/>
        </w:rPr>
        <w:t xml:space="preserve"> </w:t>
      </w:r>
      <w:r>
        <w:rPr>
          <w:spacing w:val="-1"/>
        </w:rPr>
        <w:t>on</w:t>
      </w:r>
      <w:r>
        <w:rPr>
          <w:spacing w:val="55"/>
        </w:rPr>
        <w:t xml:space="preserve"> </w:t>
      </w:r>
      <w:r>
        <w:rPr>
          <w:spacing w:val="-1"/>
        </w:rPr>
        <w:t>the</w:t>
      </w:r>
      <w:r>
        <w:rPr>
          <w:spacing w:val="54"/>
        </w:rPr>
        <w:t xml:space="preserve"> </w:t>
      </w:r>
      <w:r>
        <w:rPr>
          <w:spacing w:val="-1"/>
        </w:rPr>
        <w:t>matters</w:t>
      </w:r>
      <w:r>
        <w:rPr>
          <w:spacing w:val="-2"/>
        </w:rPr>
        <w:t xml:space="preserve"> set</w:t>
      </w:r>
      <w:r>
        <w:rPr>
          <w:spacing w:val="2"/>
        </w:rPr>
        <w:t xml:space="preserve"> </w:t>
      </w:r>
      <w:r>
        <w:rPr>
          <w:spacing w:val="-2"/>
        </w:rPr>
        <w:t>out</w:t>
      </w:r>
      <w:r>
        <w:rPr>
          <w:spacing w:val="2"/>
        </w:rPr>
        <w:t xml:space="preserve"> </w:t>
      </w:r>
      <w:r>
        <w:rPr>
          <w:spacing w:val="-1"/>
        </w:rPr>
        <w:t>in,</w:t>
      </w:r>
      <w:r>
        <w:t xml:space="preserve"> </w:t>
      </w:r>
      <w:r>
        <w:rPr>
          <w:spacing w:val="-1"/>
        </w:rPr>
        <w:t>or in</w:t>
      </w:r>
      <w:r>
        <w:t xml:space="preserve"> </w:t>
      </w:r>
      <w:r>
        <w:rPr>
          <w:spacing w:val="-1"/>
        </w:rPr>
        <w:t>connection</w:t>
      </w:r>
      <w:r>
        <w:t xml:space="preserve"> </w:t>
      </w:r>
      <w:r>
        <w:rPr>
          <w:spacing w:val="-2"/>
        </w:rPr>
        <w:t>with,</w:t>
      </w:r>
      <w: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1"/>
          <w:numId w:val="66"/>
        </w:numPr>
        <w:tabs>
          <w:tab w:val="left" w:pos="1253"/>
        </w:tabs>
        <w:spacing w:before="121"/>
        <w:ind w:left="1048" w:right="114" w:hanging="360"/>
        <w:jc w:val="both"/>
      </w:pPr>
      <w:bookmarkStart w:id="129" w:name="_bookmark113"/>
      <w:bookmarkEnd w:id="129"/>
      <w:r>
        <w:t>The</w:t>
      </w:r>
      <w:r>
        <w:rPr>
          <w:spacing w:val="41"/>
        </w:rPr>
        <w:t xml:space="preserve"> </w:t>
      </w:r>
      <w:r>
        <w:rPr>
          <w:spacing w:val="-1"/>
        </w:rPr>
        <w:t>initial</w:t>
      </w:r>
      <w:r>
        <w:rPr>
          <w:spacing w:val="40"/>
        </w:rPr>
        <w:t xml:space="preserve"> </w:t>
      </w:r>
      <w:r>
        <w:rPr>
          <w:spacing w:val="-2"/>
        </w:rPr>
        <w:t>Supplier</w:t>
      </w:r>
      <w:r>
        <w:rPr>
          <w:spacing w:val="42"/>
        </w:rPr>
        <w:t xml:space="preserve"> </w:t>
      </w:r>
      <w:r>
        <w:rPr>
          <w:spacing w:val="-2"/>
        </w:rPr>
        <w:t>Representative</w:t>
      </w:r>
      <w:r>
        <w:rPr>
          <w:spacing w:val="41"/>
        </w:rPr>
        <w:t xml:space="preserve"> </w:t>
      </w:r>
      <w:r>
        <w:rPr>
          <w:spacing w:val="-1"/>
        </w:rPr>
        <w:t>shall</w:t>
      </w:r>
      <w:r>
        <w:rPr>
          <w:spacing w:val="40"/>
        </w:rPr>
        <w:t xml:space="preserve"> </w:t>
      </w:r>
      <w:r>
        <w:rPr>
          <w:spacing w:val="-1"/>
        </w:rPr>
        <w:t>be</w:t>
      </w:r>
      <w:r>
        <w:rPr>
          <w:spacing w:val="41"/>
        </w:rPr>
        <w:t xml:space="preserve"> </w:t>
      </w:r>
      <w:r>
        <w:t>the</w:t>
      </w:r>
      <w:r>
        <w:rPr>
          <w:spacing w:val="39"/>
        </w:rPr>
        <w:t xml:space="preserve"> </w:t>
      </w:r>
      <w:r>
        <w:rPr>
          <w:spacing w:val="-1"/>
        </w:rPr>
        <w:t>person</w:t>
      </w:r>
      <w:r>
        <w:rPr>
          <w:spacing w:val="38"/>
        </w:rPr>
        <w:t xml:space="preserve"> </w:t>
      </w:r>
      <w:r>
        <w:rPr>
          <w:spacing w:val="-1"/>
        </w:rPr>
        <w:t>named</w:t>
      </w:r>
      <w:r>
        <w:rPr>
          <w:spacing w:val="38"/>
        </w:rPr>
        <w:t xml:space="preserve"> </w:t>
      </w:r>
      <w:r>
        <w:rPr>
          <w:spacing w:val="-1"/>
        </w:rPr>
        <w:t>as</w:t>
      </w:r>
      <w:r>
        <w:rPr>
          <w:spacing w:val="41"/>
        </w:rPr>
        <w:t xml:space="preserve"> </w:t>
      </w:r>
      <w:r>
        <w:rPr>
          <w:spacing w:val="-2"/>
        </w:rPr>
        <w:t>such</w:t>
      </w:r>
      <w:r>
        <w:rPr>
          <w:spacing w:val="39"/>
        </w:rPr>
        <w:t xml:space="preserve"> </w:t>
      </w:r>
      <w:r>
        <w:rPr>
          <w:spacing w:val="-1"/>
        </w:rPr>
        <w:t>in</w:t>
      </w:r>
      <w:r>
        <w:rPr>
          <w:spacing w:val="45"/>
        </w:rPr>
        <w:t xml:space="preserve"> </w:t>
      </w:r>
      <w:r>
        <w:rPr>
          <w:spacing w:val="-1"/>
        </w:rPr>
        <w:t>the</w:t>
      </w:r>
      <w:r>
        <w:rPr>
          <w:spacing w:val="68"/>
        </w:rPr>
        <w:t xml:space="preserve"> </w:t>
      </w:r>
      <w:r>
        <w:rPr>
          <w:spacing w:val="-1"/>
        </w:rPr>
        <w:t>Order</w:t>
      </w:r>
      <w:r>
        <w:rPr>
          <w:spacing w:val="20"/>
        </w:rPr>
        <w:t xml:space="preserve"> </w:t>
      </w:r>
      <w:r>
        <w:rPr>
          <w:spacing w:val="-1"/>
        </w:rPr>
        <w:t>Form.</w:t>
      </w:r>
      <w:r>
        <w:rPr>
          <w:spacing w:val="18"/>
        </w:rPr>
        <w:t xml:space="preserve"> </w:t>
      </w:r>
      <w:r>
        <w:rPr>
          <w:spacing w:val="-1"/>
        </w:rPr>
        <w:t>Any</w:t>
      </w:r>
      <w:r>
        <w:rPr>
          <w:spacing w:val="16"/>
        </w:rPr>
        <w:t xml:space="preserve"> </w:t>
      </w:r>
      <w:r>
        <w:rPr>
          <w:spacing w:val="-1"/>
        </w:rPr>
        <w:t>change</w:t>
      </w:r>
      <w:r>
        <w:rPr>
          <w:spacing w:val="16"/>
        </w:rPr>
        <w:t xml:space="preserve"> </w:t>
      </w:r>
      <w:r>
        <w:t>to</w:t>
      </w:r>
      <w:r>
        <w:rPr>
          <w:spacing w:val="18"/>
        </w:rPr>
        <w:t xml:space="preserve"> </w:t>
      </w:r>
      <w:r>
        <w:t>the</w:t>
      </w:r>
      <w:r>
        <w:rPr>
          <w:spacing w:val="18"/>
        </w:rPr>
        <w:t xml:space="preserve"> </w:t>
      </w:r>
      <w:r>
        <w:rPr>
          <w:spacing w:val="-2"/>
        </w:rPr>
        <w:t>Supplier</w:t>
      </w:r>
      <w:r>
        <w:rPr>
          <w:spacing w:val="20"/>
        </w:rPr>
        <w:t xml:space="preserve"> </w:t>
      </w:r>
      <w:r>
        <w:rPr>
          <w:spacing w:val="-2"/>
        </w:rPr>
        <w:t>Representative</w:t>
      </w:r>
      <w:r>
        <w:rPr>
          <w:spacing w:val="18"/>
        </w:rPr>
        <w:t xml:space="preserve"> </w:t>
      </w:r>
      <w:r>
        <w:rPr>
          <w:spacing w:val="-1"/>
        </w:rPr>
        <w:t>shall</w:t>
      </w:r>
      <w:r>
        <w:rPr>
          <w:spacing w:val="18"/>
        </w:rPr>
        <w:t xml:space="preserve"> </w:t>
      </w:r>
      <w:r>
        <w:rPr>
          <w:spacing w:val="-1"/>
        </w:rPr>
        <w:t>be</w:t>
      </w:r>
      <w:r>
        <w:rPr>
          <w:spacing w:val="18"/>
        </w:rPr>
        <w:t xml:space="preserve"> </w:t>
      </w:r>
      <w:r>
        <w:t>agreed</w:t>
      </w:r>
      <w:r>
        <w:rPr>
          <w:spacing w:val="18"/>
        </w:rPr>
        <w:t xml:space="preserve"> </w:t>
      </w:r>
      <w:r>
        <w:rPr>
          <w:spacing w:val="-1"/>
        </w:rPr>
        <w:t>in</w:t>
      </w:r>
      <w:r>
        <w:rPr>
          <w:spacing w:val="65"/>
        </w:rPr>
        <w:t xml:space="preserve"> </w:t>
      </w:r>
      <w:r>
        <w:rPr>
          <w:spacing w:val="-1"/>
        </w:rPr>
        <w:t>accordance</w:t>
      </w:r>
      <w:r>
        <w:rPr>
          <w:spacing w:val="-2"/>
        </w:rPr>
        <w:t xml:space="preserve"> with</w:t>
      </w:r>
      <w:r>
        <w:t xml:space="preserve"> </w:t>
      </w:r>
      <w:r>
        <w:rPr>
          <w:spacing w:val="-1"/>
        </w:rPr>
        <w:t>Clause</w:t>
      </w:r>
      <w:r>
        <w:rPr>
          <w:spacing w:val="1"/>
        </w:rPr>
        <w:t xml:space="preserve"> </w:t>
      </w:r>
      <w:hyperlink w:anchor="_bookmark140" w:history="1">
        <w:r>
          <w:rPr>
            <w:spacing w:val="-1"/>
          </w:rPr>
          <w:t>27</w:t>
        </w:r>
      </w:hyperlink>
      <w:r>
        <w:t xml:space="preserve"> </w:t>
      </w:r>
      <w:r>
        <w:rPr>
          <w:spacing w:val="-1"/>
        </w:rPr>
        <w:t>(Supplier</w:t>
      </w:r>
      <w:r>
        <w:rPr>
          <w:spacing w:val="2"/>
        </w:rPr>
        <w:t xml:space="preserve"> </w:t>
      </w:r>
      <w:r>
        <w:rPr>
          <w:spacing w:val="-1"/>
        </w:rPr>
        <w:t>Personnel).</w:t>
      </w:r>
    </w:p>
    <w:p w:rsidR="008918FA" w:rsidRDefault="008918FA" w:rsidP="008918FA">
      <w:pPr>
        <w:pStyle w:val="BodyText"/>
        <w:numPr>
          <w:ilvl w:val="1"/>
          <w:numId w:val="66"/>
        </w:numPr>
        <w:tabs>
          <w:tab w:val="left" w:pos="1253"/>
        </w:tabs>
        <w:ind w:left="1048" w:right="110" w:hanging="360"/>
        <w:jc w:val="both"/>
      </w:pPr>
      <w:bookmarkStart w:id="130" w:name="_bookmark114"/>
      <w:bookmarkEnd w:id="130"/>
      <w:r>
        <w:t>The</w:t>
      </w:r>
      <w:r>
        <w:rPr>
          <w:spacing w:val="51"/>
        </w:rPr>
        <w:t xml:space="preserve"> </w:t>
      </w:r>
      <w:r>
        <w:rPr>
          <w:spacing w:val="-1"/>
        </w:rPr>
        <w:t>Customer</w:t>
      </w:r>
      <w:r>
        <w:rPr>
          <w:spacing w:val="52"/>
        </w:rPr>
        <w:t xml:space="preserve"> </w:t>
      </w:r>
      <w:r>
        <w:rPr>
          <w:spacing w:val="-1"/>
        </w:rPr>
        <w:t>shall</w:t>
      </w:r>
      <w:r>
        <w:rPr>
          <w:spacing w:val="50"/>
        </w:rPr>
        <w:t xml:space="preserve"> </w:t>
      </w:r>
      <w:r>
        <w:rPr>
          <w:spacing w:val="-1"/>
        </w:rPr>
        <w:t>notify</w:t>
      </w:r>
      <w:r>
        <w:rPr>
          <w:spacing w:val="49"/>
        </w:rPr>
        <w:t xml:space="preserve"> </w:t>
      </w:r>
      <w:r>
        <w:t>the</w:t>
      </w:r>
      <w:r>
        <w:rPr>
          <w:spacing w:val="51"/>
        </w:rPr>
        <w:t xml:space="preserve"> </w:t>
      </w:r>
      <w:r>
        <w:rPr>
          <w:spacing w:val="-2"/>
        </w:rPr>
        <w:t>Supplier</w:t>
      </w:r>
      <w:r>
        <w:rPr>
          <w:spacing w:val="52"/>
        </w:rPr>
        <w:t xml:space="preserve"> </w:t>
      </w:r>
      <w:r>
        <w:rPr>
          <w:spacing w:val="-1"/>
        </w:rPr>
        <w:t>of</w:t>
      </w:r>
      <w:r>
        <w:rPr>
          <w:spacing w:val="53"/>
        </w:rPr>
        <w:t xml:space="preserve"> </w:t>
      </w:r>
      <w:r>
        <w:t>the</w:t>
      </w:r>
      <w:r>
        <w:rPr>
          <w:spacing w:val="51"/>
        </w:rPr>
        <w:t xml:space="preserve"> </w:t>
      </w:r>
      <w:r>
        <w:rPr>
          <w:spacing w:val="-1"/>
        </w:rPr>
        <w:t>identity</w:t>
      </w:r>
      <w:r>
        <w:rPr>
          <w:spacing w:val="49"/>
        </w:rPr>
        <w:t xml:space="preserve"> </w:t>
      </w:r>
      <w:r>
        <w:rPr>
          <w:spacing w:val="-1"/>
        </w:rPr>
        <w:t>of</w:t>
      </w:r>
      <w:r>
        <w:rPr>
          <w:spacing w:val="54"/>
        </w:rPr>
        <w:t xml:space="preserve"> </w:t>
      </w:r>
      <w:r>
        <w:t>the</w:t>
      </w:r>
      <w:r>
        <w:rPr>
          <w:spacing w:val="51"/>
        </w:rPr>
        <w:t xml:space="preserve"> </w:t>
      </w:r>
      <w:r>
        <w:rPr>
          <w:spacing w:val="-1"/>
        </w:rPr>
        <w:t>initial</w:t>
      </w:r>
      <w:r>
        <w:rPr>
          <w:spacing w:val="50"/>
        </w:rPr>
        <w:t xml:space="preserve"> </w:t>
      </w:r>
      <w:r>
        <w:rPr>
          <w:spacing w:val="-1"/>
        </w:rPr>
        <w:t>Customer</w:t>
      </w:r>
      <w:r>
        <w:rPr>
          <w:spacing w:val="39"/>
        </w:rPr>
        <w:t xml:space="preserve"> </w:t>
      </w:r>
      <w:r>
        <w:rPr>
          <w:spacing w:val="-1"/>
        </w:rPr>
        <w:t>Representative</w:t>
      </w:r>
      <w:r>
        <w:rPr>
          <w:spacing w:val="17"/>
        </w:rPr>
        <w:t xml:space="preserve"> </w:t>
      </w:r>
      <w:r>
        <w:rPr>
          <w:spacing w:val="-1"/>
        </w:rPr>
        <w:t>within</w:t>
      </w:r>
      <w:r>
        <w:rPr>
          <w:spacing w:val="17"/>
        </w:rPr>
        <w:t xml:space="preserve"> </w:t>
      </w:r>
      <w:r>
        <w:rPr>
          <w:spacing w:val="-1"/>
        </w:rPr>
        <w:t>five</w:t>
      </w:r>
      <w:r>
        <w:rPr>
          <w:spacing w:val="17"/>
        </w:rPr>
        <w:t xml:space="preserve"> </w:t>
      </w:r>
      <w:r>
        <w:t>(5)</w:t>
      </w:r>
      <w:r>
        <w:rPr>
          <w:spacing w:val="11"/>
        </w:rPr>
        <w:t xml:space="preserve"> </w:t>
      </w:r>
      <w:r>
        <w:rPr>
          <w:spacing w:val="-1"/>
        </w:rPr>
        <w:t>Working</w:t>
      </w:r>
      <w:r>
        <w:rPr>
          <w:spacing w:val="20"/>
        </w:rPr>
        <w:t xml:space="preserve"> </w:t>
      </w:r>
      <w:r>
        <w:rPr>
          <w:spacing w:val="-2"/>
        </w:rPr>
        <w:t>Days</w:t>
      </w:r>
      <w:r>
        <w:rPr>
          <w:spacing w:val="18"/>
        </w:rPr>
        <w:t xml:space="preserve"> </w:t>
      </w:r>
      <w:r>
        <w:rPr>
          <w:spacing w:val="-2"/>
        </w:rPr>
        <w:t>of</w:t>
      </w:r>
      <w:r>
        <w:rPr>
          <w:spacing w:val="19"/>
        </w:rPr>
        <w:t xml:space="preserve"> </w:t>
      </w:r>
      <w:r>
        <w:rPr>
          <w:spacing w:val="-1"/>
        </w:rPr>
        <w:t>the</w:t>
      </w:r>
      <w:r>
        <w:rPr>
          <w:spacing w:val="17"/>
        </w:rPr>
        <w:t xml:space="preserve"> </w:t>
      </w:r>
      <w:r>
        <w:rPr>
          <w:spacing w:val="-2"/>
        </w:rPr>
        <w:t>Call</w:t>
      </w:r>
      <w:r>
        <w:rPr>
          <w:spacing w:val="17"/>
        </w:rPr>
        <w:t xml:space="preserve"> </w:t>
      </w:r>
      <w:r>
        <w:rPr>
          <w:spacing w:val="-1"/>
        </w:rPr>
        <w:t>Off</w:t>
      </w:r>
      <w:r>
        <w:rPr>
          <w:spacing w:val="19"/>
        </w:rPr>
        <w:t xml:space="preserve"> </w:t>
      </w:r>
      <w:r>
        <w:rPr>
          <w:spacing w:val="-2"/>
        </w:rPr>
        <w:t>Commencement</w:t>
      </w:r>
      <w:r>
        <w:rPr>
          <w:spacing w:val="17"/>
        </w:rPr>
        <w:t xml:space="preserve"> </w:t>
      </w:r>
      <w:r>
        <w:rPr>
          <w:spacing w:val="-2"/>
        </w:rPr>
        <w:t>Date.</w:t>
      </w:r>
      <w:r>
        <w:rPr>
          <w:spacing w:val="54"/>
        </w:rPr>
        <w:t xml:space="preserve"> </w:t>
      </w:r>
      <w:r>
        <w:t xml:space="preserve">The </w:t>
      </w:r>
      <w:r>
        <w:rPr>
          <w:spacing w:val="-1"/>
        </w:rPr>
        <w:t>Customer</w:t>
      </w:r>
      <w:r>
        <w:rPr>
          <w:spacing w:val="2"/>
        </w:rPr>
        <w:t xml:space="preserve"> </w:t>
      </w:r>
      <w:r>
        <w:rPr>
          <w:spacing w:val="-1"/>
        </w:rPr>
        <w:t>may,</w:t>
      </w:r>
      <w:r>
        <w:rPr>
          <w:spacing w:val="2"/>
        </w:rPr>
        <w:t xml:space="preserve"> </w:t>
      </w:r>
      <w:r>
        <w:rPr>
          <w:spacing w:val="-1"/>
        </w:rPr>
        <w:t>by</w:t>
      </w:r>
      <w:r>
        <w:rPr>
          <w:spacing w:val="-2"/>
        </w:rPr>
        <w:t xml:space="preserve"> </w:t>
      </w:r>
      <w:r>
        <w:rPr>
          <w:spacing w:val="-1"/>
        </w:rPr>
        <w:t>written</w:t>
      </w:r>
      <w:r>
        <w:t xml:space="preserve"> </w:t>
      </w:r>
      <w:r>
        <w:rPr>
          <w:spacing w:val="-1"/>
        </w:rPr>
        <w:t>notice</w:t>
      </w:r>
      <w:r>
        <w:rPr>
          <w:spacing w:val="1"/>
        </w:rPr>
        <w:t xml:space="preserve"> </w:t>
      </w:r>
      <w:r>
        <w:t>to</w:t>
      </w:r>
      <w:r>
        <w:rPr>
          <w:spacing w:val="-2"/>
        </w:rPr>
        <w:t xml:space="preserve"> </w:t>
      </w:r>
      <w:r>
        <w:t xml:space="preserve">the </w:t>
      </w:r>
      <w:r>
        <w:rPr>
          <w:spacing w:val="-1"/>
        </w:rPr>
        <w:t>Supplier,</w:t>
      </w:r>
      <w:r>
        <w:t xml:space="preserve"> </w:t>
      </w:r>
      <w:r>
        <w:rPr>
          <w:spacing w:val="-1"/>
        </w:rPr>
        <w:t>revoke</w:t>
      </w:r>
      <w:r>
        <w:t xml:space="preserve"> </w:t>
      </w:r>
      <w:r>
        <w:rPr>
          <w:spacing w:val="-1"/>
        </w:rPr>
        <w:t>or amend</w:t>
      </w:r>
      <w:r>
        <w:rPr>
          <w:spacing w:val="-2"/>
        </w:rPr>
        <w:t xml:space="preserve"> </w:t>
      </w:r>
      <w:r>
        <w:t>the</w:t>
      </w:r>
      <w:r>
        <w:rPr>
          <w:spacing w:val="-2"/>
        </w:rPr>
        <w:t xml:space="preserve"> </w:t>
      </w:r>
      <w:r>
        <w:rPr>
          <w:spacing w:val="-1"/>
        </w:rPr>
        <w:t>authority</w:t>
      </w:r>
      <w:r>
        <w:rPr>
          <w:spacing w:val="37"/>
        </w:rPr>
        <w:t xml:space="preserve"> </w:t>
      </w:r>
      <w:r>
        <w:rPr>
          <w:spacing w:val="-2"/>
        </w:rPr>
        <w:t>of</w:t>
      </w:r>
      <w:r>
        <w:rPr>
          <w:spacing w:val="2"/>
        </w:rPr>
        <w:t xml:space="preserve"> </w:t>
      </w:r>
      <w:r>
        <w:t>the</w:t>
      </w:r>
      <w:r>
        <w:rPr>
          <w:spacing w:val="1"/>
        </w:rPr>
        <w:t xml:space="preserve"> </w:t>
      </w:r>
      <w:r>
        <w:rPr>
          <w:spacing w:val="-2"/>
        </w:rPr>
        <w:t>Customer</w:t>
      </w:r>
      <w:r>
        <w:rPr>
          <w:spacing w:val="2"/>
        </w:rPr>
        <w:t xml:space="preserve"> </w:t>
      </w:r>
      <w:r>
        <w:rPr>
          <w:spacing w:val="-2"/>
        </w:rPr>
        <w:t>Representative</w:t>
      </w:r>
      <w:r>
        <w:t xml:space="preserve"> </w:t>
      </w:r>
      <w:r>
        <w:rPr>
          <w:spacing w:val="-1"/>
        </w:rPr>
        <w:t>or</w:t>
      </w:r>
      <w:r>
        <w:rPr>
          <w:spacing w:val="2"/>
        </w:rPr>
        <w:t xml:space="preserve"> </w:t>
      </w:r>
      <w:r>
        <w:rPr>
          <w:spacing w:val="-2"/>
        </w:rPr>
        <w:t>appoint</w:t>
      </w:r>
      <w:r>
        <w:rPr>
          <w:spacing w:val="2"/>
        </w:rPr>
        <w:t xml:space="preserve"> </w:t>
      </w:r>
      <w:r>
        <w:t>a</w:t>
      </w:r>
      <w:r>
        <w:rPr>
          <w:spacing w:val="-2"/>
        </w:rPr>
        <w:t xml:space="preserve"> new</w:t>
      </w:r>
      <w:r>
        <w:rPr>
          <w:spacing w:val="-3"/>
        </w:rPr>
        <w:t xml:space="preserve"> </w:t>
      </w:r>
      <w:r>
        <w:rPr>
          <w:spacing w:val="-1"/>
        </w:rPr>
        <w:t>Customer</w:t>
      </w:r>
      <w:r>
        <w:rPr>
          <w:spacing w:val="3"/>
        </w:rPr>
        <w:t xml:space="preserve"> </w:t>
      </w:r>
      <w:r>
        <w:rPr>
          <w:spacing w:val="-2"/>
        </w:rPr>
        <w:t>Representative.</w:t>
      </w:r>
    </w:p>
    <w:p w:rsidR="008918FA" w:rsidRDefault="008918FA" w:rsidP="008918FA">
      <w:pPr>
        <w:pStyle w:val="BodyText"/>
        <w:numPr>
          <w:ilvl w:val="0"/>
          <w:numId w:val="66"/>
        </w:numPr>
        <w:tabs>
          <w:tab w:val="left" w:pos="687"/>
        </w:tabs>
        <w:spacing w:before="120"/>
        <w:ind w:hanging="566"/>
        <w:rPr>
          <w:rFonts w:ascii="Times New Roman" w:eastAsia="Times New Roman" w:hAnsi="Times New Roman" w:cs="Times New Roman"/>
        </w:rPr>
      </w:pPr>
      <w:bookmarkStart w:id="131" w:name="_bookmark115"/>
      <w:bookmarkEnd w:id="131"/>
      <w:r>
        <w:rPr>
          <w:rFonts w:ascii="Times New Roman"/>
          <w:spacing w:val="9"/>
        </w:rPr>
        <w:t>RECORDS,</w:t>
      </w:r>
      <w:r>
        <w:rPr>
          <w:rFonts w:ascii="Times New Roman"/>
          <w:spacing w:val="17"/>
        </w:rPr>
        <w:t xml:space="preserve"> </w:t>
      </w:r>
      <w:r>
        <w:rPr>
          <w:rFonts w:ascii="Times New Roman"/>
          <w:spacing w:val="-5"/>
        </w:rPr>
        <w:t>AUDIT</w:t>
      </w:r>
      <w:r>
        <w:rPr>
          <w:rFonts w:ascii="Times New Roman"/>
          <w:spacing w:val="9"/>
        </w:rPr>
        <w:t xml:space="preserve"> </w:t>
      </w:r>
      <w:r>
        <w:rPr>
          <w:rFonts w:ascii="Times New Roman"/>
          <w:spacing w:val="8"/>
        </w:rPr>
        <w:t>ACCESS</w:t>
      </w:r>
      <w:r>
        <w:rPr>
          <w:rFonts w:ascii="Times New Roman"/>
          <w:spacing w:val="33"/>
        </w:rPr>
        <w:t xml:space="preserve"> </w:t>
      </w:r>
      <w:r>
        <w:rPr>
          <w:rFonts w:ascii="Times New Roman"/>
          <w:spacing w:val="-3"/>
        </w:rPr>
        <w:t>AND</w:t>
      </w:r>
      <w:r>
        <w:rPr>
          <w:rFonts w:ascii="Times New Roman"/>
          <w:spacing w:val="6"/>
        </w:rPr>
        <w:t xml:space="preserve"> </w:t>
      </w:r>
      <w:r>
        <w:rPr>
          <w:rFonts w:ascii="Times New Roman"/>
          <w:spacing w:val="11"/>
        </w:rPr>
        <w:t>OPEN</w:t>
      </w:r>
      <w:r>
        <w:rPr>
          <w:rFonts w:ascii="Times New Roman"/>
          <w:spacing w:val="6"/>
        </w:rPr>
        <w:t xml:space="preserve"> </w:t>
      </w:r>
      <w:r>
        <w:rPr>
          <w:rFonts w:ascii="Times New Roman"/>
          <w:spacing w:val="9"/>
        </w:rPr>
        <w:t>BOOK</w:t>
      </w:r>
      <w:r>
        <w:rPr>
          <w:rFonts w:ascii="Times New Roman"/>
          <w:spacing w:val="3"/>
        </w:rPr>
        <w:t xml:space="preserve"> </w:t>
      </w:r>
      <w:r>
        <w:rPr>
          <w:rFonts w:ascii="Times New Roman"/>
          <w:spacing w:val="-1"/>
        </w:rPr>
        <w:t>DATA</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54"/>
        </w:tabs>
        <w:spacing w:before="0"/>
        <w:ind w:left="1049" w:right="110" w:hanging="360"/>
        <w:jc w:val="both"/>
      </w:pPr>
      <w:bookmarkStart w:id="132" w:name="_bookmark116"/>
      <w:bookmarkEnd w:id="132"/>
      <w:r>
        <w:t>The</w:t>
      </w:r>
      <w:r>
        <w:rPr>
          <w:spacing w:val="3"/>
        </w:rPr>
        <w:t xml:space="preserve"> </w:t>
      </w:r>
      <w:r>
        <w:rPr>
          <w:spacing w:val="-2"/>
        </w:rPr>
        <w:t>Supplier</w:t>
      </w:r>
      <w:r>
        <w:rPr>
          <w:spacing w:val="4"/>
        </w:rPr>
        <w:t xml:space="preserve"> </w:t>
      </w:r>
      <w:r>
        <w:rPr>
          <w:spacing w:val="-1"/>
        </w:rPr>
        <w:t>shall</w:t>
      </w:r>
      <w:r>
        <w:rPr>
          <w:spacing w:val="2"/>
        </w:rPr>
        <w:t xml:space="preserve"> </w:t>
      </w:r>
      <w:r>
        <w:t>keep</w:t>
      </w:r>
      <w:r>
        <w:rPr>
          <w:spacing w:val="3"/>
        </w:rPr>
        <w:t xml:space="preserve"> </w:t>
      </w:r>
      <w:r>
        <w:rPr>
          <w:spacing w:val="-1"/>
        </w:rPr>
        <w:t>and</w:t>
      </w:r>
      <w:r>
        <w:rPr>
          <w:spacing w:val="3"/>
        </w:rPr>
        <w:t xml:space="preserve"> </w:t>
      </w:r>
      <w:r>
        <w:rPr>
          <w:spacing w:val="-1"/>
        </w:rPr>
        <w:t>maintain</w:t>
      </w:r>
      <w:r>
        <w:rPr>
          <w:spacing w:val="3"/>
        </w:rPr>
        <w:t xml:space="preserve"> </w:t>
      </w:r>
      <w:r>
        <w:t>for</w:t>
      </w:r>
      <w:r>
        <w:rPr>
          <w:spacing w:val="4"/>
        </w:rPr>
        <w:t xml:space="preserve"> </w:t>
      </w:r>
      <w:r>
        <w:rPr>
          <w:spacing w:val="-1"/>
        </w:rPr>
        <w:t>seven</w:t>
      </w:r>
      <w:r>
        <w:rPr>
          <w:spacing w:val="3"/>
        </w:rPr>
        <w:t xml:space="preserve"> </w:t>
      </w:r>
      <w:r>
        <w:rPr>
          <w:spacing w:val="-1"/>
        </w:rPr>
        <w:t>(7)</w:t>
      </w:r>
      <w:r>
        <w:rPr>
          <w:spacing w:val="4"/>
        </w:rPr>
        <w:t xml:space="preserve"> </w:t>
      </w:r>
      <w:r>
        <w:rPr>
          <w:spacing w:val="-1"/>
        </w:rPr>
        <w:t>years</w:t>
      </w:r>
      <w:r>
        <w:rPr>
          <w:spacing w:val="3"/>
        </w:rPr>
        <w:t xml:space="preserve"> </w:t>
      </w:r>
      <w:r>
        <w:t>after</w:t>
      </w:r>
      <w:r>
        <w:rPr>
          <w:spacing w:val="4"/>
        </w:rPr>
        <w:t xml:space="preserve"> </w:t>
      </w:r>
      <w:r>
        <w:t>the</w:t>
      </w:r>
      <w:r>
        <w:rPr>
          <w:spacing w:val="3"/>
        </w:rPr>
        <w:t xml:space="preserve"> </w:t>
      </w:r>
      <w:r>
        <w:rPr>
          <w:spacing w:val="-2"/>
        </w:rPr>
        <w:t>C</w:t>
      </w:r>
      <w:bookmarkStart w:id="133" w:name="21._RECORDS,_AUDIT_ACCESS_AND_OPEN_BOOK_"/>
      <w:bookmarkEnd w:id="133"/>
      <w:r>
        <w:rPr>
          <w:spacing w:val="-2"/>
        </w:rPr>
        <w:t>all</w:t>
      </w:r>
      <w:r>
        <w:rPr>
          <w:spacing w:val="2"/>
        </w:rPr>
        <w:t xml:space="preserve"> </w:t>
      </w:r>
      <w:r>
        <w:rPr>
          <w:spacing w:val="-1"/>
        </w:rPr>
        <w:t>Off</w:t>
      </w:r>
      <w:r>
        <w:rPr>
          <w:spacing w:val="6"/>
        </w:rPr>
        <w:t xml:space="preserve"> </w:t>
      </w:r>
      <w:r>
        <w:rPr>
          <w:spacing w:val="-1"/>
        </w:rPr>
        <w:t>Expiry</w:t>
      </w:r>
      <w:r>
        <w:rPr>
          <w:spacing w:val="43"/>
        </w:rPr>
        <w:t xml:space="preserve"> </w:t>
      </w:r>
      <w:r>
        <w:rPr>
          <w:spacing w:val="-1"/>
        </w:rPr>
        <w:t>Date</w:t>
      </w:r>
      <w:r>
        <w:rPr>
          <w:spacing w:val="3"/>
        </w:rPr>
        <w:t xml:space="preserve"> </w:t>
      </w:r>
      <w:r>
        <w:rPr>
          <w:spacing w:val="-1"/>
        </w:rPr>
        <w:t>(or</w:t>
      </w:r>
      <w:r>
        <w:rPr>
          <w:spacing w:val="4"/>
        </w:rPr>
        <w:t xml:space="preserve"> </w:t>
      </w:r>
      <w:r>
        <w:rPr>
          <w:spacing w:val="-1"/>
        </w:rPr>
        <w:t>as</w:t>
      </w:r>
      <w:r>
        <w:rPr>
          <w:spacing w:val="3"/>
        </w:rPr>
        <w:t xml:space="preserve"> </w:t>
      </w:r>
      <w:r>
        <w:rPr>
          <w:spacing w:val="-2"/>
        </w:rPr>
        <w:t>long</w:t>
      </w:r>
      <w:r>
        <w:rPr>
          <w:spacing w:val="5"/>
        </w:rPr>
        <w:t xml:space="preserve"> </w:t>
      </w:r>
      <w:r>
        <w:t>a</w:t>
      </w:r>
      <w:r>
        <w:rPr>
          <w:spacing w:val="3"/>
        </w:rPr>
        <w:t xml:space="preserve"> </w:t>
      </w:r>
      <w:r>
        <w:rPr>
          <w:spacing w:val="-1"/>
        </w:rPr>
        <w:t>period</w:t>
      </w:r>
      <w:r>
        <w:rPr>
          <w:spacing w:val="3"/>
        </w:rPr>
        <w:t xml:space="preserve"> </w:t>
      </w:r>
      <w:r>
        <w:rPr>
          <w:spacing w:val="-1"/>
        </w:rPr>
        <w:t>as</w:t>
      </w:r>
      <w:r>
        <w:rPr>
          <w:spacing w:val="3"/>
        </w:rPr>
        <w:t xml:space="preserve"> </w:t>
      </w:r>
      <w:r>
        <w:rPr>
          <w:spacing w:val="-1"/>
        </w:rPr>
        <w:t>may</w:t>
      </w:r>
      <w:r>
        <w:rPr>
          <w:spacing w:val="1"/>
        </w:rPr>
        <w:t xml:space="preserve"> </w:t>
      </w:r>
      <w:r>
        <w:rPr>
          <w:spacing w:val="-1"/>
        </w:rPr>
        <w:t>be</w:t>
      </w:r>
      <w:r>
        <w:rPr>
          <w:spacing w:val="3"/>
        </w:rPr>
        <w:t xml:space="preserve"> </w:t>
      </w:r>
      <w:r>
        <w:rPr>
          <w:spacing w:val="-1"/>
        </w:rPr>
        <w:t>agreed</w:t>
      </w:r>
      <w:r>
        <w:rPr>
          <w:spacing w:val="3"/>
        </w:rPr>
        <w:t xml:space="preserve"> </w:t>
      </w:r>
      <w:r>
        <w:rPr>
          <w:spacing w:val="-1"/>
        </w:rPr>
        <w:t>between</w:t>
      </w:r>
      <w:r>
        <w:rPr>
          <w:spacing w:val="3"/>
        </w:rPr>
        <w:t xml:space="preserve"> </w:t>
      </w:r>
      <w:r>
        <w:t>the</w:t>
      </w:r>
      <w:r>
        <w:rPr>
          <w:spacing w:val="3"/>
        </w:rPr>
        <w:t xml:space="preserve"> </w:t>
      </w:r>
      <w:r>
        <w:rPr>
          <w:spacing w:val="-1"/>
        </w:rPr>
        <w:t>Parties),</w:t>
      </w:r>
      <w:r>
        <w:rPr>
          <w:spacing w:val="2"/>
        </w:rPr>
        <w:t xml:space="preserve"> </w:t>
      </w:r>
      <w:r>
        <w:t>full</w:t>
      </w:r>
      <w:r>
        <w:rPr>
          <w:spacing w:val="2"/>
        </w:rPr>
        <w:t xml:space="preserve"> </w:t>
      </w:r>
      <w:r>
        <w:rPr>
          <w:spacing w:val="-1"/>
        </w:rPr>
        <w:t>and</w:t>
      </w:r>
      <w:r>
        <w:rPr>
          <w:spacing w:val="3"/>
        </w:rPr>
        <w:t xml:space="preserve"> </w:t>
      </w:r>
      <w:r>
        <w:rPr>
          <w:spacing w:val="-1"/>
        </w:rPr>
        <w:t>accurate</w:t>
      </w:r>
      <w:r>
        <w:rPr>
          <w:spacing w:val="45"/>
        </w:rPr>
        <w:t xml:space="preserve"> </w:t>
      </w:r>
      <w:r>
        <w:rPr>
          <w:spacing w:val="-1"/>
        </w:rPr>
        <w:t>records</w:t>
      </w:r>
      <w:r>
        <w:rPr>
          <w:spacing w:val="5"/>
        </w:rPr>
        <w:t xml:space="preserve"> </w:t>
      </w:r>
      <w:r>
        <w:rPr>
          <w:spacing w:val="-1"/>
        </w:rPr>
        <w:t>and</w:t>
      </w:r>
      <w:r>
        <w:rPr>
          <w:spacing w:val="5"/>
        </w:rPr>
        <w:t xml:space="preserve"> </w:t>
      </w:r>
      <w:r>
        <w:rPr>
          <w:spacing w:val="-1"/>
        </w:rPr>
        <w:t>accounts</w:t>
      </w:r>
      <w:r>
        <w:rPr>
          <w:spacing w:val="5"/>
        </w:rPr>
        <w:t xml:space="preserve"> </w:t>
      </w:r>
      <w:r>
        <w:rPr>
          <w:spacing w:val="-2"/>
        </w:rPr>
        <w:t>of</w:t>
      </w:r>
      <w:r>
        <w:rPr>
          <w:spacing w:val="6"/>
        </w:rPr>
        <w:t xml:space="preserve"> </w:t>
      </w:r>
      <w:r>
        <w:t>the</w:t>
      </w:r>
      <w:r>
        <w:rPr>
          <w:spacing w:val="5"/>
        </w:rPr>
        <w:t xml:space="preserve"> </w:t>
      </w:r>
      <w:r>
        <w:rPr>
          <w:spacing w:val="-1"/>
        </w:rPr>
        <w:t>operation</w:t>
      </w:r>
      <w:r>
        <w:rPr>
          <w:spacing w:val="5"/>
        </w:rPr>
        <w:t xml:space="preserve"> </w:t>
      </w:r>
      <w:r>
        <w:rPr>
          <w:spacing w:val="-2"/>
        </w:rPr>
        <w:t>of</w:t>
      </w:r>
      <w:r>
        <w:rPr>
          <w:spacing w:val="6"/>
        </w:rPr>
        <w:t xml:space="preserve"> </w:t>
      </w:r>
      <w:r>
        <w:rPr>
          <w:spacing w:val="-1"/>
        </w:rPr>
        <w:t>this</w:t>
      </w:r>
      <w:r>
        <w:rPr>
          <w:spacing w:val="5"/>
        </w:rPr>
        <w:t xml:space="preserve"> </w:t>
      </w:r>
      <w:r>
        <w:rPr>
          <w:spacing w:val="-2"/>
        </w:rPr>
        <w:t>Call</w:t>
      </w:r>
      <w:r>
        <w:rPr>
          <w:spacing w:val="7"/>
        </w:rPr>
        <w:t xml:space="preserve"> </w:t>
      </w:r>
      <w:r>
        <w:rPr>
          <w:spacing w:val="-1"/>
        </w:rPr>
        <w:t>Off</w:t>
      </w:r>
      <w:r>
        <w:rPr>
          <w:spacing w:val="9"/>
        </w:rPr>
        <w:t xml:space="preserve"> </w:t>
      </w:r>
      <w:r>
        <w:rPr>
          <w:spacing w:val="-2"/>
        </w:rPr>
        <w:t>Contract</w:t>
      </w:r>
      <w:r>
        <w:rPr>
          <w:spacing w:val="7"/>
        </w:rPr>
        <w:t xml:space="preserve"> </w:t>
      </w:r>
      <w:r>
        <w:rPr>
          <w:spacing w:val="-2"/>
        </w:rPr>
        <w:t>including</w:t>
      </w:r>
      <w:r>
        <w:rPr>
          <w:spacing w:val="7"/>
        </w:rPr>
        <w:t xml:space="preserve"> </w:t>
      </w:r>
      <w:r>
        <w:rPr>
          <w:spacing w:val="-1"/>
        </w:rPr>
        <w:t>the</w:t>
      </w:r>
      <w:r>
        <w:rPr>
          <w:spacing w:val="9"/>
        </w:rPr>
        <w:t xml:space="preserve"> </w:t>
      </w:r>
      <w:r>
        <w:rPr>
          <w:spacing w:val="-1"/>
        </w:rPr>
        <w:t>Goods</w:t>
      </w:r>
      <w:r>
        <w:rPr>
          <w:spacing w:val="74"/>
        </w:rPr>
        <w:t xml:space="preserve"> </w:t>
      </w:r>
      <w:r>
        <w:rPr>
          <w:spacing w:val="-1"/>
        </w:rPr>
        <w:t>and/or</w:t>
      </w:r>
      <w:r>
        <w:rPr>
          <w:spacing w:val="9"/>
        </w:rPr>
        <w:t xml:space="preserve"> </w:t>
      </w:r>
      <w:r>
        <w:rPr>
          <w:spacing w:val="-1"/>
        </w:rPr>
        <w:t>Services</w:t>
      </w:r>
      <w:r>
        <w:rPr>
          <w:spacing w:val="9"/>
        </w:rPr>
        <w:t xml:space="preserve"> </w:t>
      </w:r>
      <w:r>
        <w:rPr>
          <w:spacing w:val="-2"/>
        </w:rPr>
        <w:t>provided</w:t>
      </w:r>
      <w:r>
        <w:rPr>
          <w:spacing w:val="10"/>
        </w:rPr>
        <w:t xml:space="preserve"> </w:t>
      </w:r>
      <w:r>
        <w:rPr>
          <w:spacing w:val="-1"/>
        </w:rPr>
        <w:t>under</w:t>
      </w:r>
      <w:r>
        <w:rPr>
          <w:spacing w:val="9"/>
        </w:rPr>
        <w:t xml:space="preserve"> </w:t>
      </w:r>
      <w:r>
        <w:rPr>
          <w:spacing w:val="-1"/>
        </w:rPr>
        <w:t>it,</w:t>
      </w:r>
      <w:r>
        <w:rPr>
          <w:spacing w:val="9"/>
        </w:rPr>
        <w:t xml:space="preserve"> </w:t>
      </w:r>
      <w:r>
        <w:rPr>
          <w:spacing w:val="-1"/>
        </w:rPr>
        <w:t>any</w:t>
      </w:r>
      <w:r>
        <w:rPr>
          <w:spacing w:val="5"/>
        </w:rPr>
        <w:t xml:space="preserve"> </w:t>
      </w:r>
      <w:r>
        <w:rPr>
          <w:spacing w:val="-1"/>
        </w:rPr>
        <w:t>Sub-Contracts</w:t>
      </w:r>
      <w:r>
        <w:rPr>
          <w:spacing w:val="8"/>
        </w:rPr>
        <w:t xml:space="preserve"> </w:t>
      </w:r>
      <w:r>
        <w:rPr>
          <w:spacing w:val="-1"/>
        </w:rPr>
        <w:t>and</w:t>
      </w:r>
      <w:r>
        <w:rPr>
          <w:spacing w:val="7"/>
        </w:rPr>
        <w:t xml:space="preserve"> </w:t>
      </w:r>
      <w:r>
        <w:t>the</w:t>
      </w:r>
      <w:r>
        <w:rPr>
          <w:spacing w:val="7"/>
        </w:rPr>
        <w:t xml:space="preserve"> </w:t>
      </w:r>
      <w:r>
        <w:rPr>
          <w:spacing w:val="-1"/>
        </w:rPr>
        <w:t>amounts</w:t>
      </w:r>
      <w:r>
        <w:rPr>
          <w:spacing w:val="8"/>
        </w:rPr>
        <w:t xml:space="preserve"> </w:t>
      </w:r>
      <w:r>
        <w:rPr>
          <w:spacing w:val="-1"/>
        </w:rPr>
        <w:t>paid</w:t>
      </w:r>
      <w:r>
        <w:rPr>
          <w:spacing w:val="7"/>
        </w:rPr>
        <w:t xml:space="preserve"> </w:t>
      </w:r>
      <w:r>
        <w:rPr>
          <w:spacing w:val="1"/>
        </w:rPr>
        <w:t>by</w:t>
      </w:r>
      <w:r>
        <w:rPr>
          <w:spacing w:val="5"/>
        </w:rPr>
        <w:t xml:space="preserve"> </w:t>
      </w:r>
      <w:r>
        <w:t>the</w:t>
      </w:r>
      <w:r>
        <w:rPr>
          <w:spacing w:val="53"/>
        </w:rPr>
        <w:t xml:space="preserve"> </w:t>
      </w:r>
      <w:r>
        <w:rPr>
          <w:spacing w:val="-1"/>
        </w:rPr>
        <w:t>Customer.</w:t>
      </w:r>
    </w:p>
    <w:p w:rsidR="008918FA" w:rsidRDefault="008918FA" w:rsidP="008918FA">
      <w:pPr>
        <w:pStyle w:val="BodyText"/>
        <w:numPr>
          <w:ilvl w:val="1"/>
          <w:numId w:val="66"/>
        </w:numPr>
        <w:tabs>
          <w:tab w:val="left" w:pos="1254"/>
        </w:tabs>
        <w:ind w:left="1253" w:hanging="564"/>
      </w:pPr>
      <w:r>
        <w:t>The</w:t>
      </w:r>
      <w:r>
        <w:rPr>
          <w:spacing w:val="-2"/>
        </w:rPr>
        <w:t xml:space="preserve"> Supplier</w:t>
      </w:r>
      <w:r>
        <w:rPr>
          <w:spacing w:val="2"/>
        </w:rPr>
        <w:t xml:space="preserve"> </w:t>
      </w:r>
      <w:r>
        <w:rPr>
          <w:spacing w:val="-1"/>
        </w:rPr>
        <w:t>shall:</w:t>
      </w:r>
    </w:p>
    <w:p w:rsidR="008918FA" w:rsidRDefault="008918FA" w:rsidP="008918FA">
      <w:pPr>
        <w:pStyle w:val="BodyText"/>
        <w:numPr>
          <w:ilvl w:val="2"/>
          <w:numId w:val="66"/>
        </w:numPr>
        <w:tabs>
          <w:tab w:val="left" w:pos="2247"/>
        </w:tabs>
        <w:ind w:left="2246" w:right="114" w:hanging="993"/>
        <w:jc w:val="both"/>
      </w:pPr>
      <w:r>
        <w:t>keep</w:t>
      </w:r>
      <w:r>
        <w:rPr>
          <w:spacing w:val="49"/>
        </w:rPr>
        <w:t xml:space="preserve"> </w:t>
      </w:r>
      <w:r>
        <w:t>the</w:t>
      </w:r>
      <w:r>
        <w:rPr>
          <w:spacing w:val="52"/>
        </w:rPr>
        <w:t xml:space="preserve"> </w:t>
      </w:r>
      <w:r>
        <w:rPr>
          <w:spacing w:val="-1"/>
        </w:rPr>
        <w:t>records</w:t>
      </w:r>
      <w:r>
        <w:rPr>
          <w:spacing w:val="52"/>
        </w:rPr>
        <w:t xml:space="preserve"> </w:t>
      </w:r>
      <w:r>
        <w:rPr>
          <w:spacing w:val="-1"/>
        </w:rPr>
        <w:t>and</w:t>
      </w:r>
      <w:r>
        <w:rPr>
          <w:spacing w:val="49"/>
        </w:rPr>
        <w:t xml:space="preserve"> </w:t>
      </w:r>
      <w:r>
        <w:rPr>
          <w:spacing w:val="-1"/>
        </w:rPr>
        <w:t>accounts</w:t>
      </w:r>
      <w:r>
        <w:rPr>
          <w:spacing w:val="50"/>
        </w:rPr>
        <w:t xml:space="preserve"> </w:t>
      </w:r>
      <w:r>
        <w:rPr>
          <w:spacing w:val="-1"/>
        </w:rPr>
        <w:t>referred</w:t>
      </w:r>
      <w:r>
        <w:rPr>
          <w:spacing w:val="49"/>
        </w:rPr>
        <w:t xml:space="preserve"> </w:t>
      </w:r>
      <w:r>
        <w:t>to</w:t>
      </w:r>
      <w:r>
        <w:rPr>
          <w:spacing w:val="50"/>
        </w:rPr>
        <w:t xml:space="preserve"> </w:t>
      </w:r>
      <w:r>
        <w:rPr>
          <w:spacing w:val="-1"/>
        </w:rPr>
        <w:t>in</w:t>
      </w:r>
      <w:r>
        <w:rPr>
          <w:spacing w:val="52"/>
        </w:rPr>
        <w:t xml:space="preserve"> </w:t>
      </w:r>
      <w:r>
        <w:rPr>
          <w:spacing w:val="-2"/>
        </w:rPr>
        <w:t>Clause</w:t>
      </w:r>
      <w:r>
        <w:rPr>
          <w:spacing w:val="54"/>
        </w:rPr>
        <w:t xml:space="preserve"> </w:t>
      </w:r>
      <w:hyperlink w:anchor="_bookmark116" w:history="1">
        <w:r>
          <w:rPr>
            <w:spacing w:val="-1"/>
          </w:rPr>
          <w:t>21.1</w:t>
        </w:r>
      </w:hyperlink>
      <w:r>
        <w:rPr>
          <w:spacing w:val="52"/>
        </w:rPr>
        <w:t xml:space="preserve"> </w:t>
      </w:r>
      <w:r>
        <w:rPr>
          <w:spacing w:val="-2"/>
        </w:rPr>
        <w:t>in</w:t>
      </w:r>
      <w:r>
        <w:rPr>
          <w:spacing w:val="41"/>
        </w:rPr>
        <w:t xml:space="preserve"> </w:t>
      </w:r>
      <w:r>
        <w:rPr>
          <w:spacing w:val="-1"/>
        </w:rPr>
        <w:t>accordance</w:t>
      </w:r>
      <w:r>
        <w:rPr>
          <w:spacing w:val="-2"/>
        </w:rPr>
        <w:t xml:space="preserve"> with</w:t>
      </w:r>
      <w:r>
        <w:rPr>
          <w:spacing w:val="1"/>
        </w:rPr>
        <w:t xml:space="preserve"> </w:t>
      </w:r>
      <w:r>
        <w:rPr>
          <w:spacing w:val="-1"/>
        </w:rPr>
        <w:t>Good</w:t>
      </w:r>
      <w:r>
        <w:rPr>
          <w:spacing w:val="-2"/>
        </w:rPr>
        <w:t xml:space="preserve"> </w:t>
      </w:r>
      <w:r>
        <w:rPr>
          <w:spacing w:val="-1"/>
        </w:rPr>
        <w:t>Industry</w:t>
      </w:r>
      <w:r>
        <w:rPr>
          <w:spacing w:val="-2"/>
        </w:rPr>
        <w:t xml:space="preserve"> </w:t>
      </w:r>
      <w:r>
        <w:rPr>
          <w:spacing w:val="-1"/>
        </w:rPr>
        <w:t>Practice</w:t>
      </w:r>
      <w:r>
        <w:rPr>
          <w:spacing w:val="1"/>
        </w:rPr>
        <w:t xml:space="preserve"> </w:t>
      </w:r>
      <w:r>
        <w:rPr>
          <w:spacing w:val="-1"/>
        </w:rPr>
        <w:t>and</w:t>
      </w:r>
      <w:r>
        <w:rPr>
          <w:spacing w:val="-2"/>
        </w:rPr>
        <w:t xml:space="preserve"> Law;</w:t>
      </w:r>
      <w:r>
        <w:rPr>
          <w:spacing w:val="2"/>
        </w:rPr>
        <w:t xml:space="preserve"> </w:t>
      </w:r>
      <w:r>
        <w:rPr>
          <w:spacing w:val="-1"/>
        </w:rPr>
        <w:t>and</w:t>
      </w:r>
    </w:p>
    <w:p w:rsidR="008918FA" w:rsidRDefault="008918FA" w:rsidP="008918FA">
      <w:pPr>
        <w:pStyle w:val="BodyText"/>
        <w:numPr>
          <w:ilvl w:val="2"/>
          <w:numId w:val="66"/>
        </w:numPr>
        <w:tabs>
          <w:tab w:val="left" w:pos="2247"/>
        </w:tabs>
        <w:ind w:left="2246" w:right="111" w:hanging="993"/>
        <w:jc w:val="both"/>
      </w:pPr>
      <w:r>
        <w:rPr>
          <w:spacing w:val="-1"/>
        </w:rPr>
        <w:t>afford</w:t>
      </w:r>
      <w:r>
        <w:rPr>
          <w:spacing w:val="31"/>
        </w:rPr>
        <w:t xml:space="preserve"> </w:t>
      </w:r>
      <w:r>
        <w:rPr>
          <w:spacing w:val="-1"/>
        </w:rPr>
        <w:t>any</w:t>
      </w:r>
      <w:r>
        <w:rPr>
          <w:spacing w:val="30"/>
        </w:rPr>
        <w:t xml:space="preserve"> </w:t>
      </w:r>
      <w:r>
        <w:rPr>
          <w:spacing w:val="-1"/>
        </w:rPr>
        <w:t>Auditor</w:t>
      </w:r>
      <w:r>
        <w:rPr>
          <w:spacing w:val="33"/>
        </w:rPr>
        <w:t xml:space="preserve"> </w:t>
      </w:r>
      <w:r>
        <w:rPr>
          <w:spacing w:val="-1"/>
        </w:rPr>
        <w:t>access</w:t>
      </w:r>
      <w:r>
        <w:rPr>
          <w:spacing w:val="32"/>
        </w:rPr>
        <w:t xml:space="preserve"> </w:t>
      </w:r>
      <w:r>
        <w:t>to</w:t>
      </w:r>
      <w:r>
        <w:rPr>
          <w:spacing w:val="31"/>
        </w:rPr>
        <w:t xml:space="preserve"> </w:t>
      </w:r>
      <w:r>
        <w:rPr>
          <w:spacing w:val="-1"/>
        </w:rPr>
        <w:t>the</w:t>
      </w:r>
      <w:r>
        <w:rPr>
          <w:spacing w:val="31"/>
        </w:rPr>
        <w:t xml:space="preserve"> </w:t>
      </w:r>
      <w:r>
        <w:rPr>
          <w:spacing w:val="-1"/>
        </w:rPr>
        <w:t>records</w:t>
      </w:r>
      <w:r>
        <w:rPr>
          <w:spacing w:val="32"/>
        </w:rPr>
        <w:t xml:space="preserve"> </w:t>
      </w:r>
      <w:r>
        <w:rPr>
          <w:spacing w:val="-1"/>
        </w:rPr>
        <w:t>and</w:t>
      </w:r>
      <w:r>
        <w:rPr>
          <w:spacing w:val="32"/>
        </w:rPr>
        <w:t xml:space="preserve"> </w:t>
      </w:r>
      <w:r>
        <w:rPr>
          <w:spacing w:val="-1"/>
        </w:rPr>
        <w:t>accounts</w:t>
      </w:r>
      <w:r>
        <w:rPr>
          <w:spacing w:val="30"/>
        </w:rPr>
        <w:t xml:space="preserve"> </w:t>
      </w:r>
      <w:r>
        <w:rPr>
          <w:spacing w:val="-1"/>
        </w:rPr>
        <w:t>referred</w:t>
      </w:r>
      <w:r>
        <w:rPr>
          <w:spacing w:val="29"/>
        </w:rPr>
        <w:t xml:space="preserve"> </w:t>
      </w:r>
      <w:r>
        <w:t>to</w:t>
      </w:r>
      <w:r>
        <w:rPr>
          <w:spacing w:val="31"/>
        </w:rPr>
        <w:t xml:space="preserve"> </w:t>
      </w:r>
      <w:r>
        <w:rPr>
          <w:spacing w:val="-1"/>
        </w:rPr>
        <w:t>in</w:t>
      </w:r>
      <w:r>
        <w:rPr>
          <w:spacing w:val="37"/>
        </w:rPr>
        <w:t xml:space="preserve"> </w:t>
      </w:r>
      <w:r>
        <w:rPr>
          <w:spacing w:val="-2"/>
        </w:rPr>
        <w:t>Clause</w:t>
      </w:r>
      <w:r>
        <w:rPr>
          <w:spacing w:val="52"/>
        </w:rPr>
        <w:t xml:space="preserve"> </w:t>
      </w:r>
      <w:hyperlink w:anchor="_bookmark116" w:history="1">
        <w:r>
          <w:rPr>
            <w:spacing w:val="-1"/>
          </w:rPr>
          <w:t>21.1</w:t>
        </w:r>
      </w:hyperlink>
      <w:r>
        <w:rPr>
          <w:spacing w:val="51"/>
        </w:rPr>
        <w:t xml:space="preserve"> </w:t>
      </w:r>
      <w:r>
        <w:rPr>
          <w:spacing w:val="-1"/>
        </w:rPr>
        <w:t>at</w:t>
      </w:r>
      <w:r>
        <w:rPr>
          <w:spacing w:val="52"/>
        </w:rPr>
        <w:t xml:space="preserve"> </w:t>
      </w:r>
      <w:r>
        <w:t>the</w:t>
      </w:r>
      <w:r>
        <w:rPr>
          <w:spacing w:val="51"/>
        </w:rPr>
        <w:t xml:space="preserve"> </w:t>
      </w:r>
      <w:r>
        <w:rPr>
          <w:spacing w:val="-2"/>
        </w:rPr>
        <w:t>Supplier’s</w:t>
      </w:r>
      <w:r>
        <w:rPr>
          <w:spacing w:val="51"/>
        </w:rPr>
        <w:t xml:space="preserve"> </w:t>
      </w:r>
      <w:r>
        <w:rPr>
          <w:spacing w:val="-1"/>
        </w:rPr>
        <w:t>premises</w:t>
      </w:r>
      <w:r>
        <w:rPr>
          <w:spacing w:val="51"/>
        </w:rPr>
        <w:t xml:space="preserve"> </w:t>
      </w:r>
      <w:r>
        <w:rPr>
          <w:spacing w:val="-1"/>
        </w:rPr>
        <w:t>and/or</w:t>
      </w:r>
      <w:r>
        <w:rPr>
          <w:spacing w:val="50"/>
        </w:rPr>
        <w:t xml:space="preserve"> </w:t>
      </w:r>
      <w:r>
        <w:rPr>
          <w:spacing w:val="-2"/>
        </w:rPr>
        <w:t>provide</w:t>
      </w:r>
      <w:r>
        <w:rPr>
          <w:spacing w:val="51"/>
        </w:rPr>
        <w:t xml:space="preserve"> </w:t>
      </w:r>
      <w:r>
        <w:rPr>
          <w:spacing w:val="-1"/>
        </w:rPr>
        <w:t>records</w:t>
      </w:r>
      <w:r>
        <w:rPr>
          <w:spacing w:val="51"/>
        </w:rPr>
        <w:t xml:space="preserve"> </w:t>
      </w:r>
      <w:r>
        <w:rPr>
          <w:spacing w:val="-1"/>
        </w:rPr>
        <w:t>and</w:t>
      </w:r>
      <w:r>
        <w:rPr>
          <w:spacing w:val="58"/>
        </w:rPr>
        <w:t xml:space="preserve"> </w:t>
      </w:r>
      <w:r>
        <w:rPr>
          <w:spacing w:val="-1"/>
        </w:rPr>
        <w:t>accounts</w:t>
      </w:r>
      <w:r>
        <w:rPr>
          <w:spacing w:val="53"/>
        </w:rPr>
        <w:t xml:space="preserve"> </w:t>
      </w:r>
      <w:r>
        <w:rPr>
          <w:spacing w:val="-2"/>
        </w:rPr>
        <w:t>(including</w:t>
      </w:r>
      <w:r>
        <w:rPr>
          <w:spacing w:val="55"/>
        </w:rPr>
        <w:t xml:space="preserve"> </w:t>
      </w:r>
      <w:r>
        <w:rPr>
          <w:spacing w:val="-2"/>
        </w:rPr>
        <w:t>copies</w:t>
      </w:r>
      <w:r>
        <w:rPr>
          <w:spacing w:val="53"/>
        </w:rPr>
        <w:t xml:space="preserve"> </w:t>
      </w:r>
      <w:r>
        <w:rPr>
          <w:spacing w:val="-1"/>
        </w:rPr>
        <w:t>of</w:t>
      </w:r>
      <w:r>
        <w:rPr>
          <w:spacing w:val="54"/>
        </w:rPr>
        <w:t xml:space="preserve"> </w:t>
      </w:r>
      <w:r>
        <w:t>the</w:t>
      </w:r>
      <w:r>
        <w:rPr>
          <w:spacing w:val="53"/>
        </w:rPr>
        <w:t xml:space="preserve"> </w:t>
      </w:r>
      <w:r>
        <w:rPr>
          <w:spacing w:val="-1"/>
        </w:rPr>
        <w:t>Supplier's</w:t>
      </w:r>
      <w:r>
        <w:rPr>
          <w:spacing w:val="53"/>
        </w:rPr>
        <w:t xml:space="preserve"> </w:t>
      </w:r>
      <w:r>
        <w:rPr>
          <w:spacing w:val="-2"/>
        </w:rPr>
        <w:t>published</w:t>
      </w:r>
      <w:r>
        <w:rPr>
          <w:spacing w:val="54"/>
        </w:rPr>
        <w:t xml:space="preserve"> </w:t>
      </w:r>
      <w:r>
        <w:rPr>
          <w:spacing w:val="-1"/>
        </w:rPr>
        <w:t>accounts)</w:t>
      </w:r>
      <w:r>
        <w:rPr>
          <w:spacing w:val="57"/>
        </w:rPr>
        <w:t xml:space="preserve"> </w:t>
      </w:r>
      <w:r>
        <w:rPr>
          <w:spacing w:val="-1"/>
        </w:rPr>
        <w:t>or</w:t>
      </w:r>
      <w:r>
        <w:rPr>
          <w:spacing w:val="62"/>
        </w:rPr>
        <w:t xml:space="preserve"> </w:t>
      </w:r>
      <w:r>
        <w:rPr>
          <w:spacing w:val="-1"/>
        </w:rPr>
        <w:t>copies</w:t>
      </w:r>
      <w:r>
        <w:rPr>
          <w:spacing w:val="30"/>
        </w:rPr>
        <w:t xml:space="preserve"> </w:t>
      </w:r>
      <w:r>
        <w:rPr>
          <w:spacing w:val="-2"/>
        </w:rPr>
        <w:t>of</w:t>
      </w:r>
      <w:r>
        <w:rPr>
          <w:spacing w:val="30"/>
        </w:rPr>
        <w:t xml:space="preserve"> </w:t>
      </w:r>
      <w:r>
        <w:t>the</w:t>
      </w:r>
      <w:r>
        <w:rPr>
          <w:spacing w:val="29"/>
        </w:rPr>
        <w:t xml:space="preserve"> </w:t>
      </w:r>
      <w:r>
        <w:rPr>
          <w:spacing w:val="-1"/>
        </w:rPr>
        <w:t>same,</w:t>
      </w:r>
      <w:r>
        <w:rPr>
          <w:spacing w:val="28"/>
        </w:rPr>
        <w:t xml:space="preserve"> </w:t>
      </w:r>
      <w:r>
        <w:rPr>
          <w:spacing w:val="-1"/>
        </w:rPr>
        <w:t>as</w:t>
      </w:r>
      <w:r>
        <w:rPr>
          <w:spacing w:val="27"/>
        </w:rPr>
        <w:t xml:space="preserve"> </w:t>
      </w:r>
      <w:r>
        <w:rPr>
          <w:spacing w:val="-1"/>
        </w:rPr>
        <w:t>may</w:t>
      </w:r>
      <w:r>
        <w:rPr>
          <w:spacing w:val="27"/>
        </w:rPr>
        <w:t xml:space="preserve"> </w:t>
      </w:r>
      <w:r>
        <w:rPr>
          <w:spacing w:val="-1"/>
        </w:rPr>
        <w:t>be</w:t>
      </w:r>
      <w:r>
        <w:rPr>
          <w:spacing w:val="29"/>
        </w:rPr>
        <w:t xml:space="preserve"> </w:t>
      </w:r>
      <w:r>
        <w:rPr>
          <w:spacing w:val="-1"/>
        </w:rPr>
        <w:t>required</w:t>
      </w:r>
      <w:r>
        <w:rPr>
          <w:spacing w:val="29"/>
        </w:rPr>
        <w:t xml:space="preserve"> </w:t>
      </w:r>
      <w:r>
        <w:rPr>
          <w:spacing w:val="-1"/>
        </w:rPr>
        <w:t>by</w:t>
      </w:r>
      <w:r>
        <w:rPr>
          <w:spacing w:val="27"/>
        </w:rPr>
        <w:t xml:space="preserve"> </w:t>
      </w:r>
      <w:r>
        <w:rPr>
          <w:spacing w:val="-1"/>
        </w:rPr>
        <w:t>any</w:t>
      </w:r>
      <w:r>
        <w:rPr>
          <w:spacing w:val="27"/>
        </w:rPr>
        <w:t xml:space="preserve"> </w:t>
      </w:r>
      <w:r>
        <w:rPr>
          <w:spacing w:val="-2"/>
        </w:rPr>
        <w:t>of</w:t>
      </w:r>
      <w:r>
        <w:rPr>
          <w:spacing w:val="30"/>
        </w:rPr>
        <w:t xml:space="preserve"> </w:t>
      </w:r>
      <w:r>
        <w:t>the</w:t>
      </w:r>
      <w:r>
        <w:rPr>
          <w:spacing w:val="29"/>
        </w:rPr>
        <w:t xml:space="preserve"> </w:t>
      </w:r>
      <w:r>
        <w:rPr>
          <w:spacing w:val="-1"/>
        </w:rPr>
        <w:t>Auditors</w:t>
      </w:r>
      <w:r>
        <w:rPr>
          <w:spacing w:val="27"/>
        </w:rPr>
        <w:t xml:space="preserve"> </w:t>
      </w:r>
      <w:r>
        <w:rPr>
          <w:spacing w:val="-1"/>
        </w:rPr>
        <w:t>from</w:t>
      </w:r>
      <w:r>
        <w:rPr>
          <w:spacing w:val="31"/>
        </w:rPr>
        <w:t xml:space="preserve"> </w:t>
      </w:r>
      <w:r>
        <w:rPr>
          <w:spacing w:val="-1"/>
        </w:rPr>
        <w:t>time</w:t>
      </w:r>
      <w:r>
        <w:rPr>
          <w:spacing w:val="18"/>
        </w:rPr>
        <w:t xml:space="preserve"> </w:t>
      </w:r>
      <w:r>
        <w:t>to</w:t>
      </w:r>
      <w:r>
        <w:rPr>
          <w:spacing w:val="18"/>
        </w:rPr>
        <w:t xml:space="preserve"> </w:t>
      </w:r>
      <w:r>
        <w:rPr>
          <w:spacing w:val="-1"/>
        </w:rPr>
        <w:t>time</w:t>
      </w:r>
      <w:r>
        <w:rPr>
          <w:spacing w:val="18"/>
        </w:rPr>
        <w:t xml:space="preserve"> </w:t>
      </w:r>
      <w:r>
        <w:rPr>
          <w:spacing w:val="-2"/>
        </w:rPr>
        <w:t>during</w:t>
      </w:r>
      <w:r>
        <w:rPr>
          <w:spacing w:val="21"/>
        </w:rPr>
        <w:t xml:space="preserve"> </w:t>
      </w:r>
      <w:r>
        <w:rPr>
          <w:spacing w:val="-1"/>
        </w:rPr>
        <w:t>the</w:t>
      </w:r>
      <w:r>
        <w:rPr>
          <w:spacing w:val="18"/>
        </w:rPr>
        <w:t xml:space="preserve"> </w:t>
      </w:r>
      <w:r>
        <w:rPr>
          <w:spacing w:val="-2"/>
        </w:rPr>
        <w:t>Call</w:t>
      </w:r>
      <w:r>
        <w:rPr>
          <w:spacing w:val="20"/>
        </w:rPr>
        <w:t xml:space="preserve"> </w:t>
      </w:r>
      <w:r>
        <w:rPr>
          <w:spacing w:val="-1"/>
        </w:rPr>
        <w:t>Off</w:t>
      </w:r>
      <w:r>
        <w:rPr>
          <w:spacing w:val="22"/>
        </w:rPr>
        <w:t xml:space="preserve"> </w:t>
      </w:r>
      <w:r>
        <w:rPr>
          <w:spacing w:val="-1"/>
        </w:rPr>
        <w:t>Contract</w:t>
      </w:r>
      <w:r>
        <w:rPr>
          <w:spacing w:val="20"/>
        </w:rPr>
        <w:t xml:space="preserve"> </w:t>
      </w:r>
      <w:r>
        <w:rPr>
          <w:spacing w:val="-2"/>
        </w:rPr>
        <w:t>Period</w:t>
      </w:r>
      <w:r>
        <w:rPr>
          <w:spacing w:val="18"/>
        </w:rPr>
        <w:t xml:space="preserve"> </w:t>
      </w:r>
      <w:r>
        <w:rPr>
          <w:spacing w:val="-1"/>
        </w:rPr>
        <w:t>and</w:t>
      </w:r>
      <w:r>
        <w:rPr>
          <w:spacing w:val="18"/>
        </w:rPr>
        <w:t xml:space="preserve"> </w:t>
      </w:r>
      <w:r>
        <w:t>the</w:t>
      </w:r>
      <w:r>
        <w:rPr>
          <w:spacing w:val="18"/>
        </w:rPr>
        <w:t xml:space="preserve"> </w:t>
      </w:r>
      <w:r>
        <w:rPr>
          <w:spacing w:val="-1"/>
        </w:rPr>
        <w:t>period</w:t>
      </w:r>
      <w:r>
        <w:rPr>
          <w:spacing w:val="46"/>
        </w:rPr>
        <w:t xml:space="preserve"> </w:t>
      </w:r>
      <w:r>
        <w:rPr>
          <w:spacing w:val="-1"/>
        </w:rPr>
        <w:t>specified</w:t>
      </w:r>
      <w:r>
        <w:rPr>
          <w:spacing w:val="17"/>
        </w:rPr>
        <w:t xml:space="preserve"> </w:t>
      </w:r>
      <w:r>
        <w:rPr>
          <w:spacing w:val="-1"/>
        </w:rPr>
        <w:t>in</w:t>
      </w:r>
      <w:r>
        <w:rPr>
          <w:spacing w:val="17"/>
        </w:rPr>
        <w:t xml:space="preserve"> </w:t>
      </w:r>
      <w:r>
        <w:rPr>
          <w:spacing w:val="-2"/>
        </w:rPr>
        <w:t>Clause</w:t>
      </w:r>
      <w:r>
        <w:rPr>
          <w:spacing w:val="19"/>
        </w:rPr>
        <w:t xml:space="preserve"> </w:t>
      </w:r>
      <w:hyperlink w:anchor="_bookmark116" w:history="1">
        <w:r>
          <w:rPr>
            <w:spacing w:val="-1"/>
          </w:rPr>
          <w:t>21.1</w:t>
        </w:r>
      </w:hyperlink>
      <w:r>
        <w:rPr>
          <w:spacing w:val="-1"/>
        </w:rPr>
        <w:t>,</w:t>
      </w:r>
      <w:r>
        <w:rPr>
          <w:spacing w:val="16"/>
        </w:rPr>
        <w:t xml:space="preserve"> </w:t>
      </w:r>
      <w:r>
        <w:rPr>
          <w:spacing w:val="-1"/>
        </w:rPr>
        <w:t>in</w:t>
      </w:r>
      <w:r>
        <w:rPr>
          <w:spacing w:val="17"/>
        </w:rPr>
        <w:t xml:space="preserve"> </w:t>
      </w:r>
      <w:r>
        <w:rPr>
          <w:spacing w:val="-1"/>
        </w:rPr>
        <w:t>order</w:t>
      </w:r>
      <w:r>
        <w:rPr>
          <w:spacing w:val="16"/>
        </w:rPr>
        <w:t xml:space="preserve"> </w:t>
      </w:r>
      <w:r>
        <w:rPr>
          <w:spacing w:val="-1"/>
        </w:rPr>
        <w:t>that</w:t>
      </w:r>
      <w:r>
        <w:rPr>
          <w:spacing w:val="16"/>
        </w:rPr>
        <w:t xml:space="preserve"> </w:t>
      </w:r>
      <w:r>
        <w:t>the</w:t>
      </w:r>
      <w:r>
        <w:rPr>
          <w:spacing w:val="15"/>
        </w:rPr>
        <w:t xml:space="preserve"> </w:t>
      </w:r>
      <w:r>
        <w:rPr>
          <w:spacing w:val="-1"/>
        </w:rPr>
        <w:t>Auditor(s)</w:t>
      </w:r>
      <w:r>
        <w:rPr>
          <w:spacing w:val="17"/>
        </w:rPr>
        <w:t xml:space="preserve"> </w:t>
      </w:r>
      <w:r>
        <w:rPr>
          <w:spacing w:val="-1"/>
        </w:rPr>
        <w:t>may</w:t>
      </w:r>
      <w:r>
        <w:rPr>
          <w:spacing w:val="15"/>
        </w:rPr>
        <w:t xml:space="preserve"> </w:t>
      </w:r>
      <w:r>
        <w:rPr>
          <w:spacing w:val="-1"/>
        </w:rPr>
        <w:t>carry</w:t>
      </w:r>
      <w:r>
        <w:rPr>
          <w:spacing w:val="15"/>
        </w:rPr>
        <w:t xml:space="preserve"> </w:t>
      </w:r>
      <w:r>
        <w:rPr>
          <w:spacing w:val="-1"/>
        </w:rPr>
        <w:t>out</w:t>
      </w:r>
      <w:r>
        <w:rPr>
          <w:spacing w:val="19"/>
        </w:rPr>
        <w:t xml:space="preserve"> </w:t>
      </w:r>
      <w:r>
        <w:rPr>
          <w:spacing w:val="-1"/>
        </w:rPr>
        <w:t>an</w:t>
      </w:r>
      <w:r>
        <w:rPr>
          <w:spacing w:val="44"/>
        </w:rPr>
        <w:t xml:space="preserve"> </w:t>
      </w:r>
      <w:r>
        <w:rPr>
          <w:spacing w:val="-1"/>
        </w:rPr>
        <w:t>inspection</w:t>
      </w:r>
      <w:r>
        <w:rPr>
          <w:spacing w:val="21"/>
        </w:rPr>
        <w:t xml:space="preserve"> </w:t>
      </w:r>
      <w:r>
        <w:t>to</w:t>
      </w:r>
      <w:r>
        <w:rPr>
          <w:spacing w:val="21"/>
        </w:rPr>
        <w:t xml:space="preserve"> </w:t>
      </w:r>
      <w:r>
        <w:rPr>
          <w:spacing w:val="-1"/>
        </w:rPr>
        <w:t>assess</w:t>
      </w:r>
      <w:r>
        <w:rPr>
          <w:spacing w:val="22"/>
        </w:rPr>
        <w:t xml:space="preserve"> </w:t>
      </w:r>
      <w:r>
        <w:rPr>
          <w:spacing w:val="-2"/>
        </w:rPr>
        <w:t>compliance</w:t>
      </w:r>
      <w:r>
        <w:rPr>
          <w:spacing w:val="21"/>
        </w:rPr>
        <w:t xml:space="preserve"> </w:t>
      </w:r>
      <w:r>
        <w:rPr>
          <w:spacing w:val="-1"/>
        </w:rPr>
        <w:t>by</w:t>
      </w:r>
      <w:r>
        <w:rPr>
          <w:spacing w:val="19"/>
        </w:rPr>
        <w:t xml:space="preserve"> </w:t>
      </w:r>
      <w:r>
        <w:t>the</w:t>
      </w:r>
      <w:r>
        <w:rPr>
          <w:spacing w:val="21"/>
        </w:rPr>
        <w:t xml:space="preserve"> </w:t>
      </w:r>
      <w:r>
        <w:rPr>
          <w:spacing w:val="-2"/>
        </w:rPr>
        <w:t>Supplier</w:t>
      </w:r>
      <w:r>
        <w:rPr>
          <w:spacing w:val="22"/>
        </w:rPr>
        <w:t xml:space="preserve"> </w:t>
      </w:r>
      <w:r>
        <w:rPr>
          <w:spacing w:val="-1"/>
        </w:rPr>
        <w:t>and/or</w:t>
      </w:r>
      <w:r>
        <w:rPr>
          <w:spacing w:val="22"/>
        </w:rPr>
        <w:t xml:space="preserve"> </w:t>
      </w:r>
      <w:r>
        <w:rPr>
          <w:spacing w:val="-1"/>
        </w:rPr>
        <w:t>its</w:t>
      </w:r>
      <w:r>
        <w:rPr>
          <w:spacing w:val="21"/>
        </w:rPr>
        <w:t xml:space="preserve"> </w:t>
      </w:r>
      <w:r>
        <w:rPr>
          <w:spacing w:val="-1"/>
        </w:rPr>
        <w:t>Sub-</w:t>
      </w:r>
      <w:r>
        <w:rPr>
          <w:spacing w:val="57"/>
        </w:rPr>
        <w:t xml:space="preserve"> </w:t>
      </w:r>
      <w:r>
        <w:rPr>
          <w:spacing w:val="-1"/>
        </w:rPr>
        <w:t>Contractors</w:t>
      </w:r>
      <w:r>
        <w:rPr>
          <w:spacing w:val="53"/>
        </w:rPr>
        <w:t xml:space="preserve"> </w:t>
      </w:r>
      <w:r>
        <w:rPr>
          <w:spacing w:val="-2"/>
        </w:rPr>
        <w:t>of</w:t>
      </w:r>
      <w:r>
        <w:rPr>
          <w:spacing w:val="57"/>
        </w:rPr>
        <w:t xml:space="preserve"> </w:t>
      </w:r>
      <w:r>
        <w:rPr>
          <w:spacing w:val="-1"/>
        </w:rPr>
        <w:t>any</w:t>
      </w:r>
      <w:r>
        <w:rPr>
          <w:spacing w:val="51"/>
        </w:rPr>
        <w:t xml:space="preserve"> </w:t>
      </w:r>
      <w:r>
        <w:rPr>
          <w:spacing w:val="-1"/>
        </w:rPr>
        <w:t>of</w:t>
      </w:r>
      <w:r>
        <w:rPr>
          <w:spacing w:val="57"/>
        </w:rPr>
        <w:t xml:space="preserve"> </w:t>
      </w:r>
      <w:r>
        <w:rPr>
          <w:spacing w:val="-1"/>
        </w:rPr>
        <w:t>the</w:t>
      </w:r>
      <w:r>
        <w:rPr>
          <w:spacing w:val="53"/>
        </w:rPr>
        <w:t xml:space="preserve"> </w:t>
      </w:r>
      <w:r>
        <w:rPr>
          <w:spacing w:val="-2"/>
        </w:rPr>
        <w:t>Supplier’s</w:t>
      </w:r>
      <w:r>
        <w:rPr>
          <w:spacing w:val="53"/>
        </w:rPr>
        <w:t xml:space="preserve"> </w:t>
      </w:r>
      <w:r>
        <w:rPr>
          <w:spacing w:val="-1"/>
        </w:rPr>
        <w:t>obligations</w:t>
      </w:r>
      <w:r>
        <w:rPr>
          <w:spacing w:val="54"/>
        </w:rPr>
        <w:t xml:space="preserve"> </w:t>
      </w:r>
      <w:r>
        <w:rPr>
          <w:spacing w:val="-1"/>
        </w:rPr>
        <w:t>under</w:t>
      </w:r>
      <w:r>
        <w:rPr>
          <w:spacing w:val="54"/>
        </w:rPr>
        <w:t xml:space="preserve"> </w:t>
      </w:r>
      <w:r>
        <w:rPr>
          <w:spacing w:val="-1"/>
        </w:rPr>
        <w:t>this</w:t>
      </w:r>
      <w:r>
        <w:rPr>
          <w:spacing w:val="53"/>
        </w:rPr>
        <w:t xml:space="preserve"> </w:t>
      </w:r>
      <w:r>
        <w:rPr>
          <w:spacing w:val="-2"/>
        </w:rPr>
        <w:t>Call</w:t>
      </w:r>
      <w:r>
        <w:rPr>
          <w:spacing w:val="55"/>
        </w:rPr>
        <w:t xml:space="preserve"> </w:t>
      </w:r>
      <w:r>
        <w:rPr>
          <w:spacing w:val="-1"/>
        </w:rPr>
        <w:t>Off</w:t>
      </w:r>
      <w:r>
        <w:rPr>
          <w:spacing w:val="61"/>
        </w:rPr>
        <w:t xml:space="preserve"> </w:t>
      </w:r>
      <w:r>
        <w:rPr>
          <w:spacing w:val="-1"/>
        </w:rPr>
        <w:t>Contract</w:t>
      </w:r>
      <w:r>
        <w:rPr>
          <w:spacing w:val="2"/>
        </w:rPr>
        <w:t xml:space="preserve"> </w:t>
      </w:r>
      <w:r>
        <w:rPr>
          <w:spacing w:val="-2"/>
        </w:rPr>
        <w:t>Agreement</w:t>
      </w:r>
      <w:r>
        <w:rPr>
          <w:spacing w:val="2"/>
        </w:rPr>
        <w:t xml:space="preserve"> </w:t>
      </w:r>
      <w:r>
        <w:rPr>
          <w:spacing w:val="-2"/>
        </w:rPr>
        <w:t>including</w:t>
      </w:r>
      <w:r>
        <w:t xml:space="preserve"> for</w:t>
      </w:r>
      <w:r>
        <w:rPr>
          <w:spacing w:val="-1"/>
        </w:rPr>
        <w:t xml:space="preserve"> </w:t>
      </w:r>
      <w:r>
        <w:t>the</w:t>
      </w:r>
      <w:r>
        <w:rPr>
          <w:spacing w:val="-4"/>
        </w:rPr>
        <w:t xml:space="preserve"> </w:t>
      </w:r>
      <w:r>
        <w:rPr>
          <w:spacing w:val="-2"/>
        </w:rPr>
        <w:t>following</w:t>
      </w:r>
      <w:r>
        <w:rPr>
          <w:spacing w:val="3"/>
        </w:rPr>
        <w:t xml:space="preserve"> </w:t>
      </w:r>
      <w:r>
        <w:rPr>
          <w:spacing w:val="-1"/>
        </w:rPr>
        <w:t>purposes</w:t>
      </w:r>
      <w:r>
        <w:t xml:space="preserve"> to:</w:t>
      </w:r>
    </w:p>
    <w:p w:rsidR="008918FA" w:rsidRDefault="008918FA" w:rsidP="008918FA">
      <w:pPr>
        <w:pStyle w:val="BodyText"/>
        <w:numPr>
          <w:ilvl w:val="3"/>
          <w:numId w:val="66"/>
        </w:numPr>
        <w:tabs>
          <w:tab w:val="left" w:pos="2956"/>
        </w:tabs>
        <w:ind w:left="2955" w:right="115"/>
      </w:pPr>
      <w:r>
        <w:rPr>
          <w:spacing w:val="-1"/>
        </w:rPr>
        <w:t>verify</w:t>
      </w:r>
      <w:r>
        <w:rPr>
          <w:spacing w:val="32"/>
        </w:rPr>
        <w:t xml:space="preserve"> </w:t>
      </w:r>
      <w:r>
        <w:t>the</w:t>
      </w:r>
      <w:r>
        <w:rPr>
          <w:spacing w:val="34"/>
        </w:rPr>
        <w:t xml:space="preserve"> </w:t>
      </w:r>
      <w:r>
        <w:rPr>
          <w:spacing w:val="-1"/>
        </w:rPr>
        <w:t>accuracy</w:t>
      </w:r>
      <w:r>
        <w:rPr>
          <w:spacing w:val="32"/>
        </w:rPr>
        <w:t xml:space="preserve"> </w:t>
      </w:r>
      <w:r>
        <w:rPr>
          <w:spacing w:val="-2"/>
        </w:rPr>
        <w:t>of</w:t>
      </w:r>
      <w:r>
        <w:rPr>
          <w:spacing w:val="38"/>
        </w:rPr>
        <w:t xml:space="preserve"> </w:t>
      </w:r>
      <w:r>
        <w:rPr>
          <w:spacing w:val="-1"/>
        </w:rPr>
        <w:t>the</w:t>
      </w:r>
      <w:r>
        <w:rPr>
          <w:spacing w:val="34"/>
        </w:rPr>
        <w:t xml:space="preserve"> </w:t>
      </w:r>
      <w:r>
        <w:rPr>
          <w:spacing w:val="-2"/>
        </w:rPr>
        <w:t>Call</w:t>
      </w:r>
      <w:r>
        <w:rPr>
          <w:spacing w:val="33"/>
        </w:rPr>
        <w:t xml:space="preserve"> </w:t>
      </w:r>
      <w:r>
        <w:rPr>
          <w:spacing w:val="-1"/>
        </w:rPr>
        <w:t>Off</w:t>
      </w:r>
      <w:r>
        <w:rPr>
          <w:spacing w:val="39"/>
        </w:rPr>
        <w:t xml:space="preserve"> </w:t>
      </w:r>
      <w:r>
        <w:rPr>
          <w:spacing w:val="-2"/>
        </w:rPr>
        <w:t>Contract</w:t>
      </w:r>
      <w:r>
        <w:rPr>
          <w:spacing w:val="35"/>
        </w:rPr>
        <w:t xml:space="preserve"> </w:t>
      </w:r>
      <w:r>
        <w:rPr>
          <w:spacing w:val="-1"/>
        </w:rPr>
        <w:t>Charges</w:t>
      </w:r>
      <w:r>
        <w:rPr>
          <w:spacing w:val="34"/>
        </w:rPr>
        <w:t xml:space="preserve"> </w:t>
      </w:r>
      <w:r>
        <w:rPr>
          <w:spacing w:val="-1"/>
        </w:rPr>
        <w:t>and</w:t>
      </w:r>
      <w:r>
        <w:rPr>
          <w:spacing w:val="34"/>
        </w:rPr>
        <w:t xml:space="preserve"> </w:t>
      </w:r>
      <w:r>
        <w:rPr>
          <w:spacing w:val="-1"/>
        </w:rPr>
        <w:t>any</w:t>
      </w:r>
      <w:r>
        <w:rPr>
          <w:spacing w:val="36"/>
        </w:rPr>
        <w:t xml:space="preserve"> </w:t>
      </w:r>
      <w:r>
        <w:rPr>
          <w:spacing w:val="-1"/>
        </w:rPr>
        <w:t>other</w:t>
      </w:r>
      <w:r>
        <w:rPr>
          <w:spacing w:val="54"/>
        </w:rPr>
        <w:t xml:space="preserve"> </w:t>
      </w:r>
      <w:r>
        <w:rPr>
          <w:spacing w:val="-1"/>
        </w:rPr>
        <w:t>amounts</w:t>
      </w:r>
      <w:r>
        <w:rPr>
          <w:spacing w:val="53"/>
        </w:rPr>
        <w:t xml:space="preserve"> </w:t>
      </w:r>
      <w:r>
        <w:rPr>
          <w:spacing w:val="-2"/>
        </w:rPr>
        <w:t>payable</w:t>
      </w:r>
      <w:r>
        <w:rPr>
          <w:spacing w:val="53"/>
        </w:rPr>
        <w:t xml:space="preserve"> </w:t>
      </w:r>
      <w:r>
        <w:rPr>
          <w:spacing w:val="-1"/>
        </w:rPr>
        <w:t>by</w:t>
      </w:r>
      <w:r>
        <w:rPr>
          <w:spacing w:val="51"/>
        </w:rPr>
        <w:t xml:space="preserve"> </w:t>
      </w:r>
      <w:r>
        <w:t>the</w:t>
      </w:r>
      <w:r>
        <w:rPr>
          <w:spacing w:val="53"/>
        </w:rPr>
        <w:t xml:space="preserve"> </w:t>
      </w:r>
      <w:r>
        <w:rPr>
          <w:spacing w:val="-1"/>
        </w:rPr>
        <w:t>Customer</w:t>
      </w:r>
      <w:r>
        <w:rPr>
          <w:spacing w:val="52"/>
        </w:rPr>
        <w:t xml:space="preserve"> </w:t>
      </w:r>
      <w:r>
        <w:rPr>
          <w:spacing w:val="-2"/>
        </w:rPr>
        <w:t>under</w:t>
      </w:r>
      <w:r>
        <w:rPr>
          <w:spacing w:val="55"/>
        </w:rPr>
        <w:t xml:space="preserve"> </w:t>
      </w:r>
      <w:r>
        <w:rPr>
          <w:spacing w:val="-1"/>
        </w:rPr>
        <w:t>this</w:t>
      </w:r>
      <w:r>
        <w:rPr>
          <w:spacing w:val="53"/>
        </w:rPr>
        <w:t xml:space="preserve"> </w:t>
      </w:r>
      <w:r>
        <w:rPr>
          <w:spacing w:val="-2"/>
        </w:rPr>
        <w:t>Call</w:t>
      </w:r>
      <w:r>
        <w:rPr>
          <w:spacing w:val="50"/>
        </w:rPr>
        <w:t xml:space="preserve"> </w:t>
      </w:r>
      <w:r>
        <w:rPr>
          <w:spacing w:val="-1"/>
        </w:rPr>
        <w:t>Off</w:t>
      </w:r>
    </w:p>
    <w:p w:rsidR="008918FA" w:rsidRDefault="008918FA" w:rsidP="008918FA">
      <w:pPr>
        <w:sectPr w:rsidR="008918FA">
          <w:pgSz w:w="11910" w:h="16840"/>
          <w:pgMar w:top="1480" w:right="1300" w:bottom="1180" w:left="1320" w:header="0" w:footer="967" w:gutter="0"/>
          <w:cols w:space="720"/>
        </w:sectPr>
      </w:pPr>
    </w:p>
    <w:p w:rsidR="008918FA" w:rsidRDefault="008918FA" w:rsidP="008918FA">
      <w:pPr>
        <w:pStyle w:val="BodyText"/>
        <w:spacing w:before="59"/>
        <w:ind w:left="2594" w:right="115" w:firstLine="0"/>
      </w:pPr>
      <w:r>
        <w:rPr>
          <w:spacing w:val="-1"/>
        </w:rPr>
        <w:t>Contract</w:t>
      </w:r>
      <w:r>
        <w:t xml:space="preserve"> </w:t>
      </w:r>
      <w:r>
        <w:rPr>
          <w:spacing w:val="-1"/>
        </w:rPr>
        <w:t>(and</w:t>
      </w:r>
      <w:r>
        <w:rPr>
          <w:spacing w:val="59"/>
        </w:rPr>
        <w:t xml:space="preserve"> </w:t>
      </w:r>
      <w:r>
        <w:rPr>
          <w:spacing w:val="-2"/>
        </w:rPr>
        <w:t>proposed</w:t>
      </w:r>
      <w:r>
        <w:rPr>
          <w:spacing w:val="59"/>
        </w:rPr>
        <w:t xml:space="preserve"> </w:t>
      </w:r>
      <w:r>
        <w:rPr>
          <w:spacing w:val="-1"/>
        </w:rPr>
        <w:t>or</w:t>
      </w:r>
      <w:r>
        <w:rPr>
          <w:spacing w:val="60"/>
        </w:rPr>
        <w:t xml:space="preserve"> </w:t>
      </w:r>
      <w:r>
        <w:rPr>
          <w:spacing w:val="-1"/>
        </w:rPr>
        <w:t>actual</w:t>
      </w:r>
      <w:r>
        <w:t xml:space="preserve"> </w:t>
      </w:r>
      <w:r>
        <w:rPr>
          <w:spacing w:val="-1"/>
        </w:rPr>
        <w:t>variations</w:t>
      </w:r>
      <w:r>
        <w:t xml:space="preserve"> to </w:t>
      </w:r>
      <w:r>
        <w:rPr>
          <w:spacing w:val="-1"/>
        </w:rPr>
        <w:t>them</w:t>
      </w:r>
      <w:r>
        <w:rPr>
          <w:spacing w:val="60"/>
        </w:rPr>
        <w:t xml:space="preserve"> </w:t>
      </w:r>
      <w:r>
        <w:rPr>
          <w:spacing w:val="-1"/>
        </w:rPr>
        <w:t>in</w:t>
      </w:r>
      <w:r>
        <w:rPr>
          <w:spacing w:val="31"/>
        </w:rPr>
        <w:t xml:space="preserve"> </w:t>
      </w:r>
      <w:r>
        <w:rPr>
          <w:spacing w:val="-1"/>
        </w:rPr>
        <w:t>accordance</w:t>
      </w:r>
      <w:r>
        <w:rPr>
          <w:spacing w:val="-2"/>
        </w:rPr>
        <w:t xml:space="preserve"> with</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p>
    <w:p w:rsidR="008918FA" w:rsidRDefault="008918FA" w:rsidP="008918FA">
      <w:pPr>
        <w:pStyle w:val="BodyText"/>
        <w:numPr>
          <w:ilvl w:val="3"/>
          <w:numId w:val="66"/>
        </w:numPr>
        <w:tabs>
          <w:tab w:val="left" w:pos="2595"/>
        </w:tabs>
        <w:spacing w:before="121"/>
        <w:ind w:left="2594" w:right="112"/>
        <w:jc w:val="both"/>
      </w:pPr>
      <w:r>
        <w:rPr>
          <w:spacing w:val="-1"/>
        </w:rPr>
        <w:t>verify</w:t>
      </w:r>
      <w:r>
        <w:rPr>
          <w:spacing w:val="22"/>
        </w:rPr>
        <w:t xml:space="preserve"> </w:t>
      </w:r>
      <w:r>
        <w:t>the</w:t>
      </w:r>
      <w:r>
        <w:rPr>
          <w:spacing w:val="25"/>
        </w:rPr>
        <w:t xml:space="preserve"> </w:t>
      </w:r>
      <w:r>
        <w:rPr>
          <w:spacing w:val="-1"/>
        </w:rPr>
        <w:t>costs</w:t>
      </w:r>
      <w:r>
        <w:rPr>
          <w:spacing w:val="25"/>
        </w:rPr>
        <w:t xml:space="preserve"> </w:t>
      </w:r>
      <w:r>
        <w:rPr>
          <w:spacing w:val="-2"/>
        </w:rPr>
        <w:t>of</w:t>
      </w:r>
      <w:r>
        <w:rPr>
          <w:spacing w:val="23"/>
        </w:rPr>
        <w:t xml:space="preserve"> </w:t>
      </w:r>
      <w:r>
        <w:t>the</w:t>
      </w:r>
      <w:r>
        <w:rPr>
          <w:spacing w:val="24"/>
        </w:rPr>
        <w:t xml:space="preserve"> </w:t>
      </w:r>
      <w:r>
        <w:rPr>
          <w:spacing w:val="-2"/>
        </w:rPr>
        <w:t>Supplier</w:t>
      </w:r>
      <w:r>
        <w:rPr>
          <w:spacing w:val="26"/>
        </w:rPr>
        <w:t xml:space="preserve"> </w:t>
      </w:r>
      <w:r>
        <w:rPr>
          <w:spacing w:val="-1"/>
        </w:rPr>
        <w:t>(including</w:t>
      </w:r>
      <w:r>
        <w:rPr>
          <w:spacing w:val="27"/>
        </w:rPr>
        <w:t xml:space="preserve"> </w:t>
      </w:r>
      <w:r>
        <w:t>the</w:t>
      </w:r>
      <w:r>
        <w:rPr>
          <w:spacing w:val="22"/>
        </w:rPr>
        <w:t xml:space="preserve"> </w:t>
      </w:r>
      <w:r>
        <w:rPr>
          <w:spacing w:val="-1"/>
        </w:rPr>
        <w:t>costs</w:t>
      </w:r>
      <w:r>
        <w:rPr>
          <w:spacing w:val="25"/>
        </w:rPr>
        <w:t xml:space="preserve"> </w:t>
      </w:r>
      <w:r>
        <w:rPr>
          <w:spacing w:val="-2"/>
        </w:rPr>
        <w:t>of</w:t>
      </w:r>
      <w:r>
        <w:rPr>
          <w:spacing w:val="26"/>
        </w:rPr>
        <w:t xml:space="preserve"> </w:t>
      </w:r>
      <w:r>
        <w:rPr>
          <w:spacing w:val="-1"/>
        </w:rPr>
        <w:t>all</w:t>
      </w:r>
      <w:r>
        <w:rPr>
          <w:spacing w:val="26"/>
        </w:rPr>
        <w:t xml:space="preserve"> </w:t>
      </w:r>
      <w:r>
        <w:rPr>
          <w:spacing w:val="-1"/>
        </w:rPr>
        <w:t>Sub-</w:t>
      </w:r>
      <w:r>
        <w:rPr>
          <w:spacing w:val="27"/>
        </w:rPr>
        <w:t xml:space="preserve"> </w:t>
      </w:r>
      <w:r>
        <w:rPr>
          <w:spacing w:val="-1"/>
        </w:rPr>
        <w:t>Contractors and</w:t>
      </w:r>
      <w: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suppliers)</w:t>
      </w:r>
      <w:r>
        <w:rPr>
          <w:spacing w:val="2"/>
        </w:rPr>
        <w:t xml:space="preserve"> </w:t>
      </w:r>
      <w:r>
        <w:rPr>
          <w:spacing w:val="-1"/>
        </w:rPr>
        <w:t>in</w:t>
      </w:r>
      <w:r>
        <w:t xml:space="preserve"> </w:t>
      </w:r>
      <w:r>
        <w:rPr>
          <w:spacing w:val="-1"/>
        </w:rPr>
        <w:t>connection</w:t>
      </w:r>
      <w:r>
        <w:t xml:space="preserve"> </w:t>
      </w:r>
      <w:r>
        <w:rPr>
          <w:spacing w:val="-2"/>
        </w:rPr>
        <w:t>with</w:t>
      </w:r>
      <w:r>
        <w:t xml:space="preserve"> </w:t>
      </w:r>
      <w:r>
        <w:rPr>
          <w:spacing w:val="-1"/>
        </w:rPr>
        <w:t>the</w:t>
      </w:r>
      <w:r>
        <w:rPr>
          <w:spacing w:val="34"/>
        </w:rPr>
        <w:t xml:space="preserve"> </w:t>
      </w:r>
      <w:r>
        <w:rPr>
          <w:spacing w:val="-2"/>
        </w:rPr>
        <w:t>provision</w:t>
      </w:r>
      <w:r>
        <w:t xml:space="preserve"> </w:t>
      </w:r>
      <w:r>
        <w:rPr>
          <w:spacing w:val="-1"/>
        </w:rPr>
        <w:t>of</w:t>
      </w:r>
      <w:r>
        <w:rPr>
          <w:spacing w:val="2"/>
        </w:rPr>
        <w:t xml:space="preserve"> </w:t>
      </w:r>
      <w:r>
        <w:t>the</w:t>
      </w:r>
      <w:r>
        <w:rPr>
          <w:spacing w:val="-4"/>
        </w:rPr>
        <w:t xml:space="preserve"> </w:t>
      </w:r>
      <w:r>
        <w:rPr>
          <w:spacing w:val="-1"/>
        </w:rPr>
        <w:t>Goods</w:t>
      </w:r>
      <w:r>
        <w:rPr>
          <w:spacing w:val="1"/>
        </w:rPr>
        <w:t xml:space="preserve"> </w:t>
      </w:r>
      <w:r>
        <w:rPr>
          <w:spacing w:val="-1"/>
        </w:rPr>
        <w:t>and/or Services;</w:t>
      </w:r>
    </w:p>
    <w:p w:rsidR="008918FA" w:rsidRDefault="008918FA" w:rsidP="008918FA">
      <w:pPr>
        <w:pStyle w:val="BodyText"/>
        <w:numPr>
          <w:ilvl w:val="3"/>
          <w:numId w:val="66"/>
        </w:numPr>
        <w:tabs>
          <w:tab w:val="left" w:pos="2594"/>
        </w:tabs>
        <w:ind w:left="2593" w:hanging="707"/>
      </w:pPr>
      <w:r>
        <w:rPr>
          <w:spacing w:val="-1"/>
        </w:rPr>
        <w:t>verify</w:t>
      </w:r>
      <w:r>
        <w:rPr>
          <w:spacing w:val="-2"/>
        </w:rPr>
        <w:t xml:space="preserve"> </w:t>
      </w:r>
      <w:r>
        <w:t>the</w:t>
      </w:r>
      <w:r>
        <w:rPr>
          <w:spacing w:val="-2"/>
        </w:rPr>
        <w:t xml:space="preserve"> </w:t>
      </w:r>
      <w:r>
        <w:rPr>
          <w:spacing w:val="-1"/>
        </w:rPr>
        <w:t>Open</w:t>
      </w:r>
      <w:r>
        <w:rPr>
          <w:spacing w:val="-2"/>
        </w:rPr>
        <w:t xml:space="preserve"> Book</w:t>
      </w:r>
      <w:r>
        <w:rPr>
          <w:spacing w:val="3"/>
        </w:rPr>
        <w:t xml:space="preserve"> </w:t>
      </w:r>
      <w:r>
        <w:rPr>
          <w:spacing w:val="-2"/>
        </w:rPr>
        <w:t>Data;</w:t>
      </w:r>
    </w:p>
    <w:p w:rsidR="008918FA" w:rsidRDefault="008918FA" w:rsidP="008918FA">
      <w:pPr>
        <w:pStyle w:val="BodyText"/>
        <w:numPr>
          <w:ilvl w:val="3"/>
          <w:numId w:val="66"/>
        </w:numPr>
        <w:tabs>
          <w:tab w:val="left" w:pos="2594"/>
        </w:tabs>
        <w:ind w:left="2593" w:right="115"/>
        <w:jc w:val="both"/>
      </w:pPr>
      <w:r>
        <w:rPr>
          <w:spacing w:val="-1"/>
        </w:rPr>
        <w:t>verify</w:t>
      </w:r>
      <w:r>
        <w:rPr>
          <w:spacing w:val="9"/>
        </w:rPr>
        <w:t xml:space="preserve"> </w:t>
      </w:r>
      <w:r>
        <w:t>the</w:t>
      </w:r>
      <w:r>
        <w:rPr>
          <w:spacing w:val="11"/>
        </w:rPr>
        <w:t xml:space="preserve"> </w:t>
      </w:r>
      <w:r>
        <w:rPr>
          <w:spacing w:val="-2"/>
        </w:rPr>
        <w:t>Supplier’s</w:t>
      </w:r>
      <w:r>
        <w:rPr>
          <w:spacing w:val="12"/>
        </w:rPr>
        <w:t xml:space="preserve"> </w:t>
      </w:r>
      <w:r>
        <w:t>and</w:t>
      </w:r>
      <w:r>
        <w:rPr>
          <w:spacing w:val="11"/>
        </w:rPr>
        <w:t xml:space="preserve"> </w:t>
      </w:r>
      <w:r>
        <w:rPr>
          <w:spacing w:val="-1"/>
        </w:rPr>
        <w:t>each</w:t>
      </w:r>
      <w:r>
        <w:rPr>
          <w:spacing w:val="12"/>
        </w:rPr>
        <w:t xml:space="preserve"> </w:t>
      </w:r>
      <w:r>
        <w:rPr>
          <w:spacing w:val="-1"/>
        </w:rPr>
        <w:t>Sub-Contractor’s</w:t>
      </w:r>
      <w:r>
        <w:t xml:space="preserve"> </w:t>
      </w:r>
      <w:r>
        <w:rPr>
          <w:spacing w:val="12"/>
        </w:rPr>
        <w:t xml:space="preserve"> </w:t>
      </w:r>
      <w:r>
        <w:rPr>
          <w:spacing w:val="-1"/>
        </w:rPr>
        <w:t>compliance</w:t>
      </w:r>
      <w:r>
        <w:rPr>
          <w:spacing w:val="34"/>
        </w:rPr>
        <w:t xml:space="preserve"> </w:t>
      </w:r>
      <w:r>
        <w:rPr>
          <w:spacing w:val="-1"/>
        </w:rPr>
        <w:t>with</w:t>
      </w:r>
      <w:r>
        <w:t xml:space="preserve"> the</w:t>
      </w:r>
      <w:r>
        <w:rPr>
          <w:spacing w:val="-2"/>
        </w:rPr>
        <w:t xml:space="preserve"> applicable</w:t>
      </w:r>
      <w:r>
        <w:t xml:space="preserve"> </w:t>
      </w:r>
      <w:r>
        <w:rPr>
          <w:spacing w:val="-2"/>
        </w:rPr>
        <w:t>Law;</w:t>
      </w:r>
    </w:p>
    <w:p w:rsidR="008918FA" w:rsidRDefault="008918FA" w:rsidP="008918FA">
      <w:pPr>
        <w:pStyle w:val="BodyText"/>
        <w:numPr>
          <w:ilvl w:val="3"/>
          <w:numId w:val="66"/>
        </w:numPr>
        <w:tabs>
          <w:tab w:val="left" w:pos="2594"/>
        </w:tabs>
        <w:ind w:left="2593" w:right="115"/>
        <w:jc w:val="both"/>
      </w:pPr>
      <w:r>
        <w:rPr>
          <w:spacing w:val="-1"/>
        </w:rPr>
        <w:t>identify</w:t>
      </w:r>
      <w:r>
        <w:rPr>
          <w:spacing w:val="44"/>
        </w:rPr>
        <w:t xml:space="preserve"> </w:t>
      </w:r>
      <w:r>
        <w:rPr>
          <w:spacing w:val="-1"/>
        </w:rPr>
        <w:t>or</w:t>
      </w:r>
      <w:r>
        <w:rPr>
          <w:spacing w:val="47"/>
        </w:rPr>
        <w:t xml:space="preserve"> </w:t>
      </w:r>
      <w:r>
        <w:rPr>
          <w:spacing w:val="-1"/>
        </w:rPr>
        <w:t>investigate</w:t>
      </w:r>
      <w:r>
        <w:rPr>
          <w:spacing w:val="46"/>
        </w:rPr>
        <w:t xml:space="preserve"> </w:t>
      </w:r>
      <w:r>
        <w:rPr>
          <w:spacing w:val="-2"/>
        </w:rPr>
        <w:t>an</w:t>
      </w:r>
      <w:r>
        <w:rPr>
          <w:spacing w:val="46"/>
        </w:rPr>
        <w:t xml:space="preserve"> </w:t>
      </w:r>
      <w:r>
        <w:rPr>
          <w:spacing w:val="-1"/>
        </w:rPr>
        <w:t>actual</w:t>
      </w:r>
      <w:r>
        <w:rPr>
          <w:spacing w:val="45"/>
        </w:rPr>
        <w:t xml:space="preserve"> </w:t>
      </w:r>
      <w:r>
        <w:rPr>
          <w:spacing w:val="-1"/>
        </w:rPr>
        <w:t>or</w:t>
      </w:r>
      <w:r>
        <w:rPr>
          <w:spacing w:val="47"/>
        </w:rPr>
        <w:t xml:space="preserve"> </w:t>
      </w:r>
      <w:r>
        <w:rPr>
          <w:spacing w:val="-1"/>
        </w:rPr>
        <w:t>suspected</w:t>
      </w:r>
      <w:r>
        <w:rPr>
          <w:spacing w:val="44"/>
        </w:rPr>
        <w:t xml:space="preserve"> </w:t>
      </w:r>
      <w:r>
        <w:rPr>
          <w:spacing w:val="-1"/>
        </w:rPr>
        <w:t>Prohibited</w:t>
      </w:r>
      <w:r>
        <w:rPr>
          <w:spacing w:val="46"/>
        </w:rPr>
        <w:t xml:space="preserve"> </w:t>
      </w:r>
      <w:r>
        <w:rPr>
          <w:spacing w:val="-1"/>
        </w:rPr>
        <w:t>Act,</w:t>
      </w:r>
      <w:r>
        <w:rPr>
          <w:spacing w:val="51"/>
        </w:rPr>
        <w:t xml:space="preserve"> </w:t>
      </w:r>
      <w:r>
        <w:rPr>
          <w:spacing w:val="-1"/>
        </w:rPr>
        <w:t>impropriety</w:t>
      </w:r>
      <w:r>
        <w:rPr>
          <w:spacing w:val="3"/>
        </w:rPr>
        <w:t xml:space="preserve"> </w:t>
      </w:r>
      <w:r>
        <w:rPr>
          <w:spacing w:val="-2"/>
        </w:rPr>
        <w:t>or</w:t>
      </w:r>
      <w:r>
        <w:rPr>
          <w:spacing w:val="6"/>
        </w:rPr>
        <w:t xml:space="preserve"> </w:t>
      </w:r>
      <w:r>
        <w:rPr>
          <w:spacing w:val="-2"/>
        </w:rPr>
        <w:t>accounting</w:t>
      </w:r>
      <w:r>
        <w:rPr>
          <w:spacing w:val="5"/>
        </w:rPr>
        <w:t xml:space="preserve"> </w:t>
      </w:r>
      <w:r>
        <w:rPr>
          <w:spacing w:val="-1"/>
        </w:rPr>
        <w:t>mistakes</w:t>
      </w:r>
      <w:r>
        <w:rPr>
          <w:spacing w:val="5"/>
        </w:rPr>
        <w:t xml:space="preserve"> </w:t>
      </w:r>
      <w:r>
        <w:rPr>
          <w:spacing w:val="-2"/>
        </w:rPr>
        <w:t>or</w:t>
      </w:r>
      <w:r>
        <w:rPr>
          <w:spacing w:val="6"/>
        </w:rPr>
        <w:t xml:space="preserve"> </w:t>
      </w:r>
      <w:r>
        <w:rPr>
          <w:spacing w:val="-1"/>
        </w:rPr>
        <w:t>any</w:t>
      </w:r>
      <w:r>
        <w:rPr>
          <w:spacing w:val="3"/>
        </w:rPr>
        <w:t xml:space="preserve"> </w:t>
      </w:r>
      <w:r>
        <w:rPr>
          <w:spacing w:val="-1"/>
        </w:rPr>
        <w:t>breach</w:t>
      </w:r>
      <w:r>
        <w:rPr>
          <w:spacing w:val="5"/>
        </w:rPr>
        <w:t xml:space="preserve"> </w:t>
      </w:r>
      <w:r>
        <w:rPr>
          <w:spacing w:val="-1"/>
        </w:rPr>
        <w:t>or</w:t>
      </w:r>
      <w:r>
        <w:rPr>
          <w:spacing w:val="4"/>
        </w:rPr>
        <w:t xml:space="preserve"> </w:t>
      </w:r>
      <w:r>
        <w:rPr>
          <w:spacing w:val="-1"/>
        </w:rPr>
        <w:t>threatened</w:t>
      </w:r>
      <w:r>
        <w:rPr>
          <w:spacing w:val="44"/>
        </w:rPr>
        <w:t xml:space="preserve"> </w:t>
      </w:r>
      <w:r>
        <w:rPr>
          <w:spacing w:val="-1"/>
        </w:rPr>
        <w:t>breach</w:t>
      </w:r>
      <w:r>
        <w:rPr>
          <w:spacing w:val="46"/>
        </w:rPr>
        <w:t xml:space="preserve"> </w:t>
      </w:r>
      <w:r>
        <w:rPr>
          <w:spacing w:val="-2"/>
        </w:rPr>
        <w:t>of</w:t>
      </w:r>
      <w:r>
        <w:rPr>
          <w:spacing w:val="47"/>
        </w:rPr>
        <w:t xml:space="preserve"> </w:t>
      </w:r>
      <w:r>
        <w:rPr>
          <w:spacing w:val="-1"/>
        </w:rPr>
        <w:t>security</w:t>
      </w:r>
      <w:r>
        <w:rPr>
          <w:spacing w:val="44"/>
        </w:rPr>
        <w:t xml:space="preserve"> </w:t>
      </w:r>
      <w:r>
        <w:rPr>
          <w:spacing w:val="-1"/>
        </w:rPr>
        <w:t>and</w:t>
      </w:r>
      <w:r>
        <w:rPr>
          <w:spacing w:val="46"/>
        </w:rPr>
        <w:t xml:space="preserve"> </w:t>
      </w:r>
      <w:r>
        <w:rPr>
          <w:spacing w:val="-1"/>
        </w:rPr>
        <w:t>in</w:t>
      </w:r>
      <w:r>
        <w:rPr>
          <w:spacing w:val="46"/>
        </w:rPr>
        <w:t xml:space="preserve"> </w:t>
      </w:r>
      <w:r>
        <w:rPr>
          <w:spacing w:val="-1"/>
        </w:rPr>
        <w:t>these</w:t>
      </w:r>
      <w:r>
        <w:rPr>
          <w:spacing w:val="46"/>
        </w:rPr>
        <w:t xml:space="preserve"> </w:t>
      </w:r>
      <w:r>
        <w:rPr>
          <w:spacing w:val="-1"/>
        </w:rPr>
        <w:t>circumstances</w:t>
      </w:r>
      <w:r>
        <w:rPr>
          <w:spacing w:val="45"/>
        </w:rPr>
        <w:t xml:space="preserve"> </w:t>
      </w:r>
      <w:r>
        <w:t>the</w:t>
      </w:r>
      <w:r>
        <w:rPr>
          <w:spacing w:val="46"/>
        </w:rPr>
        <w:t xml:space="preserve"> </w:t>
      </w:r>
      <w:r>
        <w:rPr>
          <w:spacing w:val="-2"/>
        </w:rPr>
        <w:t>Customer</w:t>
      </w:r>
      <w:r>
        <w:rPr>
          <w:spacing w:val="37"/>
        </w:rPr>
        <w:t xml:space="preserve"> </w:t>
      </w:r>
      <w:r>
        <w:rPr>
          <w:spacing w:val="-1"/>
        </w:rPr>
        <w:t>shall</w:t>
      </w:r>
      <w:r>
        <w:rPr>
          <w:spacing w:val="2"/>
        </w:rPr>
        <w:t xml:space="preserve"> </w:t>
      </w:r>
      <w:r>
        <w:rPr>
          <w:spacing w:val="-2"/>
        </w:rPr>
        <w:t>have</w:t>
      </w:r>
      <w:r>
        <w:rPr>
          <w:spacing w:val="3"/>
        </w:rPr>
        <w:t xml:space="preserve"> </w:t>
      </w:r>
      <w:r>
        <w:rPr>
          <w:spacing w:val="-1"/>
        </w:rPr>
        <w:t>no</w:t>
      </w:r>
      <w:r>
        <w:rPr>
          <w:spacing w:val="3"/>
        </w:rPr>
        <w:t xml:space="preserve"> </w:t>
      </w:r>
      <w:r>
        <w:rPr>
          <w:spacing w:val="-1"/>
        </w:rPr>
        <w:t>obligation</w:t>
      </w:r>
      <w:r>
        <w:rPr>
          <w:spacing w:val="3"/>
        </w:rPr>
        <w:t xml:space="preserve"> </w:t>
      </w:r>
      <w:r>
        <w:rPr>
          <w:spacing w:val="-1"/>
        </w:rPr>
        <w:t>to</w:t>
      </w:r>
      <w:r>
        <w:rPr>
          <w:spacing w:val="3"/>
        </w:rPr>
        <w:t xml:space="preserve"> </w:t>
      </w:r>
      <w:r>
        <w:rPr>
          <w:spacing w:val="-1"/>
        </w:rPr>
        <w:t>inform</w:t>
      </w:r>
      <w:r>
        <w:rPr>
          <w:spacing w:val="2"/>
        </w:rPr>
        <w:t xml:space="preserve"> </w:t>
      </w:r>
      <w:r>
        <w:t>the</w:t>
      </w:r>
      <w:r>
        <w:rPr>
          <w:spacing w:val="3"/>
        </w:rPr>
        <w:t xml:space="preserve"> </w:t>
      </w:r>
      <w:r>
        <w:rPr>
          <w:spacing w:val="-2"/>
        </w:rPr>
        <w:t>Supplier</w:t>
      </w:r>
      <w:r>
        <w:rPr>
          <w:spacing w:val="4"/>
        </w:rPr>
        <w:t xml:space="preserve"> </w:t>
      </w:r>
      <w:r>
        <w:rPr>
          <w:spacing w:val="-2"/>
        </w:rPr>
        <w:t>of</w:t>
      </w:r>
      <w:r>
        <w:rPr>
          <w:spacing w:val="4"/>
        </w:rPr>
        <w:t xml:space="preserve"> </w:t>
      </w:r>
      <w:r>
        <w:rPr>
          <w:spacing w:val="-1"/>
        </w:rPr>
        <w:t>the</w:t>
      </w:r>
      <w:r>
        <w:rPr>
          <w:spacing w:val="3"/>
        </w:rPr>
        <w:t xml:space="preserve"> </w:t>
      </w:r>
      <w:r>
        <w:rPr>
          <w:spacing w:val="-1"/>
        </w:rPr>
        <w:t>purpose</w:t>
      </w:r>
      <w:r>
        <w:rPr>
          <w:spacing w:val="3"/>
        </w:rPr>
        <w:t xml:space="preserve"> </w:t>
      </w:r>
      <w:r>
        <w:rPr>
          <w:spacing w:val="-1"/>
        </w:rPr>
        <w:t>or</w:t>
      </w:r>
      <w:r>
        <w:rPr>
          <w:spacing w:val="48"/>
        </w:rPr>
        <w:t xml:space="preserve"> </w:t>
      </w:r>
      <w:r>
        <w:rPr>
          <w:spacing w:val="-1"/>
        </w:rPr>
        <w:t>objective</w:t>
      </w:r>
      <w:r>
        <w:t xml:space="preserve"> </w:t>
      </w:r>
      <w:r>
        <w:rPr>
          <w:spacing w:val="-2"/>
        </w:rPr>
        <w:t>of</w:t>
      </w:r>
      <w:r>
        <w:rPr>
          <w:spacing w:val="2"/>
        </w:rPr>
        <w:t xml:space="preserve"> </w:t>
      </w:r>
      <w:r>
        <w:rPr>
          <w:spacing w:val="-1"/>
        </w:rPr>
        <w:t>its</w:t>
      </w:r>
      <w:r>
        <w:rPr>
          <w:spacing w:val="-2"/>
        </w:rPr>
        <w:t xml:space="preserve"> </w:t>
      </w:r>
      <w:r>
        <w:rPr>
          <w:spacing w:val="-1"/>
        </w:rPr>
        <w:t>investigations;</w:t>
      </w:r>
    </w:p>
    <w:p w:rsidR="008918FA" w:rsidRDefault="008918FA" w:rsidP="008918FA">
      <w:pPr>
        <w:pStyle w:val="BodyText"/>
        <w:numPr>
          <w:ilvl w:val="3"/>
          <w:numId w:val="66"/>
        </w:numPr>
        <w:tabs>
          <w:tab w:val="left" w:pos="2594"/>
        </w:tabs>
        <w:ind w:left="2593" w:right="113"/>
        <w:jc w:val="both"/>
      </w:pPr>
      <w:r>
        <w:rPr>
          <w:spacing w:val="-1"/>
        </w:rPr>
        <w:t>identify</w:t>
      </w:r>
      <w:r>
        <w:rPr>
          <w:spacing w:val="2"/>
        </w:rPr>
        <w:t xml:space="preserve"> </w:t>
      </w:r>
      <w:r>
        <w:rPr>
          <w:spacing w:val="-1"/>
        </w:rPr>
        <w:t>or</w:t>
      </w:r>
      <w:r>
        <w:rPr>
          <w:spacing w:val="3"/>
        </w:rPr>
        <w:t xml:space="preserve"> </w:t>
      </w:r>
      <w:r>
        <w:rPr>
          <w:spacing w:val="-1"/>
        </w:rPr>
        <w:t>investigate</w:t>
      </w:r>
      <w:r>
        <w:rPr>
          <w:spacing w:val="4"/>
        </w:rPr>
        <w:t xml:space="preserve"> </w:t>
      </w:r>
      <w:r>
        <w:rPr>
          <w:spacing w:val="-2"/>
        </w:rPr>
        <w:t>any</w:t>
      </w:r>
      <w:r>
        <w:rPr>
          <w:spacing w:val="2"/>
        </w:rPr>
        <w:t xml:space="preserve"> </w:t>
      </w:r>
      <w:r>
        <w:rPr>
          <w:spacing w:val="-1"/>
        </w:rPr>
        <w:t>circumstances</w:t>
      </w:r>
      <w:r>
        <w:rPr>
          <w:spacing w:val="4"/>
        </w:rPr>
        <w:t xml:space="preserve"> </w:t>
      </w:r>
      <w:r>
        <w:rPr>
          <w:spacing w:val="-2"/>
        </w:rPr>
        <w:t>which</w:t>
      </w:r>
      <w:r>
        <w:rPr>
          <w:spacing w:val="4"/>
        </w:rPr>
        <w:t xml:space="preserve"> </w:t>
      </w:r>
      <w:r>
        <w:rPr>
          <w:spacing w:val="-1"/>
        </w:rPr>
        <w:t>may</w:t>
      </w:r>
      <w:r>
        <w:t xml:space="preserve"> </w:t>
      </w:r>
      <w:r>
        <w:rPr>
          <w:spacing w:val="2"/>
        </w:rPr>
        <w:t xml:space="preserve"> </w:t>
      </w:r>
      <w:r>
        <w:rPr>
          <w:spacing w:val="-2"/>
        </w:rPr>
        <w:t>impact</w:t>
      </w:r>
      <w:r>
        <w:rPr>
          <w:spacing w:val="49"/>
        </w:rPr>
        <w:t xml:space="preserve"> </w:t>
      </w:r>
      <w:r>
        <w:rPr>
          <w:spacing w:val="-1"/>
        </w:rPr>
        <w:t>upon</w:t>
      </w:r>
      <w:r>
        <w:rPr>
          <w:spacing w:val="16"/>
        </w:rPr>
        <w:t xml:space="preserve"> </w:t>
      </w:r>
      <w:r>
        <w:t>the</w:t>
      </w:r>
      <w:r>
        <w:rPr>
          <w:spacing w:val="14"/>
        </w:rPr>
        <w:t xml:space="preserve"> </w:t>
      </w:r>
      <w:r>
        <w:rPr>
          <w:spacing w:val="-1"/>
        </w:rPr>
        <w:t>financial</w:t>
      </w:r>
      <w:r>
        <w:rPr>
          <w:spacing w:val="15"/>
        </w:rPr>
        <w:t xml:space="preserve"> </w:t>
      </w:r>
      <w:r>
        <w:rPr>
          <w:spacing w:val="-1"/>
        </w:rPr>
        <w:t>stability</w:t>
      </w:r>
      <w:r>
        <w:rPr>
          <w:spacing w:val="16"/>
        </w:rPr>
        <w:t xml:space="preserve"> </w:t>
      </w:r>
      <w:r>
        <w:rPr>
          <w:spacing w:val="-1"/>
        </w:rPr>
        <w:t>of</w:t>
      </w:r>
      <w:r>
        <w:rPr>
          <w:spacing w:val="20"/>
        </w:rPr>
        <w:t xml:space="preserve"> </w:t>
      </w:r>
      <w:r>
        <w:t>the</w:t>
      </w:r>
      <w:r>
        <w:rPr>
          <w:spacing w:val="16"/>
        </w:rPr>
        <w:t xml:space="preserve"> </w:t>
      </w:r>
      <w:r>
        <w:rPr>
          <w:spacing w:val="-2"/>
        </w:rPr>
        <w:t>Supplier,</w:t>
      </w:r>
      <w:r>
        <w:rPr>
          <w:spacing w:val="17"/>
        </w:rPr>
        <w:t xml:space="preserve"> </w:t>
      </w:r>
      <w:r>
        <w:rPr>
          <w:spacing w:val="-1"/>
        </w:rPr>
        <w:t>the</w:t>
      </w:r>
      <w:r>
        <w:rPr>
          <w:spacing w:val="16"/>
        </w:rPr>
        <w:t xml:space="preserve"> </w:t>
      </w:r>
      <w:r>
        <w:rPr>
          <w:spacing w:val="-1"/>
        </w:rPr>
        <w:t>Framework</w:t>
      </w:r>
      <w:r>
        <w:rPr>
          <w:spacing w:val="35"/>
        </w:rPr>
        <w:t xml:space="preserve"> </w:t>
      </w:r>
      <w:r>
        <w:rPr>
          <w:spacing w:val="-1"/>
        </w:rPr>
        <w:t>Guarantor</w:t>
      </w:r>
      <w:r>
        <w:rPr>
          <w:spacing w:val="27"/>
        </w:rPr>
        <w:t xml:space="preserve"> </w:t>
      </w:r>
      <w:r>
        <w:rPr>
          <w:spacing w:val="-1"/>
        </w:rPr>
        <w:t>and/or</w:t>
      </w:r>
      <w:r>
        <w:rPr>
          <w:spacing w:val="24"/>
        </w:rPr>
        <w:t xml:space="preserve"> </w:t>
      </w:r>
      <w:r>
        <w:t>the</w:t>
      </w:r>
      <w:r>
        <w:rPr>
          <w:spacing w:val="23"/>
        </w:rPr>
        <w:t xml:space="preserve"> </w:t>
      </w:r>
      <w:r>
        <w:rPr>
          <w:spacing w:val="-2"/>
        </w:rPr>
        <w:t>Call</w:t>
      </w:r>
      <w:r>
        <w:rPr>
          <w:spacing w:val="25"/>
        </w:rPr>
        <w:t xml:space="preserve"> </w:t>
      </w:r>
      <w:r>
        <w:t>Off</w:t>
      </w:r>
      <w:r>
        <w:rPr>
          <w:spacing w:val="25"/>
        </w:rPr>
        <w:t xml:space="preserve"> </w:t>
      </w:r>
      <w:r>
        <w:rPr>
          <w:spacing w:val="-1"/>
        </w:rPr>
        <w:t>Guarantor</w:t>
      </w:r>
      <w:r>
        <w:rPr>
          <w:spacing w:val="27"/>
        </w:rPr>
        <w:t xml:space="preserve"> </w:t>
      </w:r>
      <w:r>
        <w:rPr>
          <w:spacing w:val="-1"/>
        </w:rPr>
        <w:t>and/or</w:t>
      </w:r>
      <w:r>
        <w:rPr>
          <w:spacing w:val="27"/>
        </w:rPr>
        <w:t xml:space="preserve"> </w:t>
      </w:r>
      <w:r>
        <w:rPr>
          <w:spacing w:val="-1"/>
        </w:rPr>
        <w:t>any</w:t>
      </w:r>
      <w:r>
        <w:rPr>
          <w:spacing w:val="24"/>
        </w:rPr>
        <w:t xml:space="preserve"> </w:t>
      </w:r>
      <w:r>
        <w:rPr>
          <w:spacing w:val="-1"/>
        </w:rPr>
        <w:t>Sub-</w:t>
      </w:r>
      <w:r>
        <w:rPr>
          <w:spacing w:val="35"/>
        </w:rPr>
        <w:t xml:space="preserve"> </w:t>
      </w:r>
      <w:r>
        <w:rPr>
          <w:spacing w:val="-1"/>
        </w:rPr>
        <w:t>Contractors</w:t>
      </w:r>
      <w:r>
        <w:rPr>
          <w:spacing w:val="47"/>
        </w:rPr>
        <w:t xml:space="preserve"> </w:t>
      </w:r>
      <w:r>
        <w:rPr>
          <w:spacing w:val="-1"/>
        </w:rPr>
        <w:t>or</w:t>
      </w:r>
      <w:r>
        <w:rPr>
          <w:spacing w:val="48"/>
        </w:rPr>
        <w:t xml:space="preserve"> </w:t>
      </w:r>
      <w:r>
        <w:rPr>
          <w:spacing w:val="-1"/>
        </w:rPr>
        <w:t>their</w:t>
      </w:r>
      <w:r>
        <w:rPr>
          <w:spacing w:val="48"/>
        </w:rPr>
        <w:t xml:space="preserve"> </w:t>
      </w:r>
      <w:r>
        <w:rPr>
          <w:spacing w:val="-2"/>
        </w:rPr>
        <w:t>ability</w:t>
      </w:r>
      <w:r>
        <w:rPr>
          <w:spacing w:val="47"/>
        </w:rPr>
        <w:t xml:space="preserve"> </w:t>
      </w:r>
      <w:r>
        <w:t>to</w:t>
      </w:r>
      <w:r>
        <w:rPr>
          <w:spacing w:val="47"/>
        </w:rPr>
        <w:t xml:space="preserve"> </w:t>
      </w:r>
      <w:r>
        <w:rPr>
          <w:spacing w:val="-1"/>
        </w:rPr>
        <w:t>perform</w:t>
      </w:r>
      <w:r>
        <w:rPr>
          <w:spacing w:val="48"/>
        </w:rPr>
        <w:t xml:space="preserve"> </w:t>
      </w:r>
      <w:r>
        <w:t>the</w:t>
      </w:r>
      <w:r>
        <w:rPr>
          <w:spacing w:val="47"/>
        </w:rPr>
        <w:t xml:space="preserve"> </w:t>
      </w:r>
      <w:r>
        <w:rPr>
          <w:spacing w:val="-1"/>
        </w:rPr>
        <w:t>Goods</w:t>
      </w:r>
      <w:r>
        <w:rPr>
          <w:spacing w:val="47"/>
        </w:rPr>
        <w:t xml:space="preserve"> </w:t>
      </w:r>
      <w:r>
        <w:rPr>
          <w:spacing w:val="-1"/>
        </w:rPr>
        <w:t>and/or</w:t>
      </w:r>
      <w:r>
        <w:rPr>
          <w:spacing w:val="46"/>
        </w:rPr>
        <w:t xml:space="preserve"> </w:t>
      </w:r>
      <w:r>
        <w:rPr>
          <w:spacing w:val="-2"/>
        </w:rPr>
        <w:t>Services;</w:t>
      </w:r>
    </w:p>
    <w:p w:rsidR="008918FA" w:rsidRDefault="008918FA" w:rsidP="008918FA">
      <w:pPr>
        <w:pStyle w:val="BodyText"/>
        <w:numPr>
          <w:ilvl w:val="3"/>
          <w:numId w:val="66"/>
        </w:numPr>
        <w:tabs>
          <w:tab w:val="left" w:pos="2594"/>
        </w:tabs>
        <w:ind w:left="2593" w:right="114"/>
        <w:jc w:val="both"/>
      </w:pPr>
      <w:r>
        <w:rPr>
          <w:spacing w:val="-1"/>
        </w:rPr>
        <w:t>obtain</w:t>
      </w:r>
      <w:r>
        <w:rPr>
          <w:spacing w:val="12"/>
        </w:rPr>
        <w:t xml:space="preserve"> </w:t>
      </w:r>
      <w:r>
        <w:rPr>
          <w:spacing w:val="-1"/>
        </w:rPr>
        <w:t>such</w:t>
      </w:r>
      <w:r>
        <w:rPr>
          <w:spacing w:val="13"/>
        </w:rPr>
        <w:t xml:space="preserve"> </w:t>
      </w:r>
      <w:r>
        <w:rPr>
          <w:spacing w:val="-1"/>
        </w:rPr>
        <w:t>information</w:t>
      </w:r>
      <w:r>
        <w:rPr>
          <w:spacing w:val="12"/>
        </w:rPr>
        <w:t xml:space="preserve"> </w:t>
      </w:r>
      <w:r>
        <w:rPr>
          <w:spacing w:val="-1"/>
        </w:rPr>
        <w:t>as</w:t>
      </w:r>
      <w:r>
        <w:rPr>
          <w:spacing w:val="13"/>
        </w:rPr>
        <w:t xml:space="preserve"> </w:t>
      </w:r>
      <w:r>
        <w:rPr>
          <w:spacing w:val="-1"/>
        </w:rPr>
        <w:t>is</w:t>
      </w:r>
      <w:r>
        <w:rPr>
          <w:spacing w:val="13"/>
        </w:rPr>
        <w:t xml:space="preserve"> </w:t>
      </w:r>
      <w:r>
        <w:rPr>
          <w:spacing w:val="-1"/>
        </w:rPr>
        <w:t>necessary</w:t>
      </w:r>
      <w:r>
        <w:rPr>
          <w:spacing w:val="10"/>
        </w:rPr>
        <w:t xml:space="preserve"> </w:t>
      </w:r>
      <w:r>
        <w:t>to</w:t>
      </w:r>
      <w:r>
        <w:rPr>
          <w:spacing w:val="12"/>
        </w:rPr>
        <w:t xml:space="preserve"> </w:t>
      </w:r>
      <w:r>
        <w:rPr>
          <w:spacing w:val="-1"/>
        </w:rPr>
        <w:t>fulfil</w:t>
      </w:r>
      <w:r>
        <w:rPr>
          <w:spacing w:val="12"/>
        </w:rPr>
        <w:t xml:space="preserve"> </w:t>
      </w:r>
      <w:r>
        <w:rPr>
          <w:spacing w:val="-1"/>
        </w:rPr>
        <w:t>the</w:t>
      </w:r>
      <w:r>
        <w:rPr>
          <w:spacing w:val="12"/>
        </w:rPr>
        <w:t xml:space="preserve"> </w:t>
      </w:r>
      <w:r>
        <w:rPr>
          <w:spacing w:val="-1"/>
        </w:rPr>
        <w:t>Customer’s</w:t>
      </w:r>
      <w:r>
        <w:rPr>
          <w:spacing w:val="43"/>
        </w:rPr>
        <w:t xml:space="preserve"> </w:t>
      </w:r>
      <w:r>
        <w:rPr>
          <w:spacing w:val="-1"/>
        </w:rPr>
        <w:t>obligations</w:t>
      </w:r>
      <w:r>
        <w:rPr>
          <w:spacing w:val="30"/>
        </w:rPr>
        <w:t xml:space="preserve"> </w:t>
      </w:r>
      <w:r>
        <w:t>to</w:t>
      </w:r>
      <w:r>
        <w:rPr>
          <w:spacing w:val="29"/>
        </w:rPr>
        <w:t xml:space="preserve"> </w:t>
      </w:r>
      <w:r>
        <w:rPr>
          <w:spacing w:val="-1"/>
        </w:rPr>
        <w:t>supply</w:t>
      </w:r>
      <w:r>
        <w:rPr>
          <w:spacing w:val="27"/>
        </w:rPr>
        <w:t xml:space="preserve"> </w:t>
      </w:r>
      <w:r>
        <w:rPr>
          <w:spacing w:val="-1"/>
        </w:rPr>
        <w:t>information</w:t>
      </w:r>
      <w:r>
        <w:rPr>
          <w:spacing w:val="29"/>
        </w:rPr>
        <w:t xml:space="preserve"> </w:t>
      </w:r>
      <w:r>
        <w:t>for</w:t>
      </w:r>
      <w:r>
        <w:rPr>
          <w:spacing w:val="30"/>
        </w:rPr>
        <w:t xml:space="preserve"> </w:t>
      </w:r>
      <w:r>
        <w:rPr>
          <w:spacing w:val="-1"/>
        </w:rPr>
        <w:t>parliamentary,</w:t>
      </w:r>
      <w:r>
        <w:rPr>
          <w:spacing w:val="30"/>
        </w:rPr>
        <w:t xml:space="preserve"> </w:t>
      </w:r>
      <w:r>
        <w:rPr>
          <w:spacing w:val="-1"/>
        </w:rPr>
        <w:t>ministerial,</w:t>
      </w:r>
      <w:r>
        <w:rPr>
          <w:spacing w:val="25"/>
        </w:rPr>
        <w:t xml:space="preserve"> </w:t>
      </w:r>
      <w:r>
        <w:rPr>
          <w:spacing w:val="-1"/>
        </w:rPr>
        <w:t>judicial</w:t>
      </w:r>
      <w:r>
        <w:rPr>
          <w:spacing w:val="32"/>
        </w:rPr>
        <w:t xml:space="preserve"> </w:t>
      </w:r>
      <w:r>
        <w:rPr>
          <w:spacing w:val="-1"/>
        </w:rPr>
        <w:t>or</w:t>
      </w:r>
      <w:r>
        <w:rPr>
          <w:spacing w:val="34"/>
        </w:rPr>
        <w:t xml:space="preserve"> </w:t>
      </w:r>
      <w:r>
        <w:rPr>
          <w:spacing w:val="-1"/>
        </w:rPr>
        <w:t>administrative</w:t>
      </w:r>
      <w:r>
        <w:rPr>
          <w:spacing w:val="32"/>
        </w:rPr>
        <w:t xml:space="preserve"> </w:t>
      </w:r>
      <w:r>
        <w:rPr>
          <w:spacing w:val="-1"/>
        </w:rPr>
        <w:t>purposes</w:t>
      </w:r>
      <w:r>
        <w:rPr>
          <w:spacing w:val="33"/>
        </w:rPr>
        <w:t xml:space="preserve"> </w:t>
      </w:r>
      <w:r>
        <w:rPr>
          <w:spacing w:val="-2"/>
        </w:rPr>
        <w:t>including</w:t>
      </w:r>
      <w:r>
        <w:rPr>
          <w:spacing w:val="33"/>
        </w:rPr>
        <w:t xml:space="preserve"> </w:t>
      </w:r>
      <w:r>
        <w:rPr>
          <w:spacing w:val="-1"/>
        </w:rPr>
        <w:t>the</w:t>
      </w:r>
      <w:r>
        <w:rPr>
          <w:spacing w:val="32"/>
        </w:rPr>
        <w:t xml:space="preserve"> </w:t>
      </w:r>
      <w:r>
        <w:rPr>
          <w:spacing w:val="-1"/>
        </w:rPr>
        <w:t>supply</w:t>
      </w:r>
      <w:r>
        <w:rPr>
          <w:spacing w:val="31"/>
        </w:rPr>
        <w:t xml:space="preserve"> </w:t>
      </w:r>
      <w:r>
        <w:rPr>
          <w:spacing w:val="-1"/>
        </w:rPr>
        <w:t>of</w:t>
      </w:r>
      <w:r>
        <w:rPr>
          <w:spacing w:val="30"/>
        </w:rPr>
        <w:t xml:space="preserve"> </w:t>
      </w:r>
      <w:r>
        <w:rPr>
          <w:spacing w:val="-1"/>
        </w:rPr>
        <w:t>information</w:t>
      </w:r>
      <w:r>
        <w:rPr>
          <w:spacing w:val="-2"/>
        </w:rPr>
        <w:t xml:space="preserve"> </w:t>
      </w:r>
      <w:r>
        <w:t>to</w:t>
      </w:r>
      <w:r>
        <w:rPr>
          <w:spacing w:val="-2"/>
        </w:rPr>
        <w:t xml:space="preserve"> </w:t>
      </w:r>
      <w:r>
        <w:t xml:space="preserve">the </w:t>
      </w:r>
      <w:r>
        <w:rPr>
          <w:spacing w:val="-2"/>
        </w:rPr>
        <w:t>Comptroller</w:t>
      </w:r>
      <w:r>
        <w:rPr>
          <w:spacing w:val="2"/>
        </w:rPr>
        <w:t xml:space="preserve"> </w:t>
      </w:r>
      <w:r>
        <w:rPr>
          <w:spacing w:val="-1"/>
        </w:rPr>
        <w:t>and</w:t>
      </w:r>
      <w:r>
        <w:t xml:space="preserve"> </w:t>
      </w:r>
      <w:r>
        <w:rPr>
          <w:spacing w:val="-1"/>
        </w:rPr>
        <w:t xml:space="preserve">Auditor </w:t>
      </w:r>
      <w:r>
        <w:rPr>
          <w:spacing w:val="-2"/>
        </w:rPr>
        <w:t>General;</w:t>
      </w:r>
    </w:p>
    <w:p w:rsidR="008918FA" w:rsidRDefault="008918FA" w:rsidP="008918FA">
      <w:pPr>
        <w:pStyle w:val="BodyText"/>
        <w:numPr>
          <w:ilvl w:val="3"/>
          <w:numId w:val="66"/>
        </w:numPr>
        <w:tabs>
          <w:tab w:val="left" w:pos="2594"/>
        </w:tabs>
        <w:ind w:left="2593" w:right="116"/>
        <w:jc w:val="both"/>
      </w:pPr>
      <w:r>
        <w:rPr>
          <w:spacing w:val="-1"/>
        </w:rPr>
        <w:t>review</w:t>
      </w:r>
      <w:r>
        <w:t xml:space="preserve"> any</w:t>
      </w:r>
      <w:r>
        <w:rPr>
          <w:spacing w:val="3"/>
        </w:rPr>
        <w:t xml:space="preserve"> </w:t>
      </w:r>
      <w:r>
        <w:rPr>
          <w:spacing w:val="-1"/>
        </w:rPr>
        <w:t>books</w:t>
      </w:r>
      <w:r>
        <w:rPr>
          <w:spacing w:val="3"/>
        </w:rPr>
        <w:t xml:space="preserve"> </w:t>
      </w:r>
      <w:r>
        <w:rPr>
          <w:spacing w:val="-2"/>
        </w:rPr>
        <w:t>of</w:t>
      </w:r>
      <w:r>
        <w:rPr>
          <w:spacing w:val="4"/>
        </w:rPr>
        <w:t xml:space="preserve"> </w:t>
      </w:r>
      <w:r>
        <w:rPr>
          <w:spacing w:val="-1"/>
        </w:rPr>
        <w:t>account</w:t>
      </w:r>
      <w:r>
        <w:rPr>
          <w:spacing w:val="4"/>
        </w:rPr>
        <w:t xml:space="preserve"> </w:t>
      </w:r>
      <w:r>
        <w:rPr>
          <w:spacing w:val="-1"/>
        </w:rPr>
        <w:t>and</w:t>
      </w:r>
      <w:r>
        <w:rPr>
          <w:spacing w:val="3"/>
        </w:rPr>
        <w:t xml:space="preserve"> </w:t>
      </w:r>
      <w:r>
        <w:t>the</w:t>
      </w:r>
      <w:r>
        <w:rPr>
          <w:spacing w:val="3"/>
        </w:rPr>
        <w:t xml:space="preserve"> </w:t>
      </w:r>
      <w:r>
        <w:rPr>
          <w:spacing w:val="-1"/>
        </w:rPr>
        <w:t>internal</w:t>
      </w:r>
      <w:r>
        <w:rPr>
          <w:spacing w:val="2"/>
        </w:rPr>
        <w:t xml:space="preserve"> </w:t>
      </w:r>
      <w:r>
        <w:rPr>
          <w:spacing w:val="-1"/>
        </w:rPr>
        <w:t>contract</w:t>
      </w:r>
      <w:r>
        <w:rPr>
          <w:spacing w:val="35"/>
        </w:rPr>
        <w:t xml:space="preserve"> </w:t>
      </w:r>
      <w:r>
        <w:rPr>
          <w:spacing w:val="-1"/>
        </w:rPr>
        <w:t>management</w:t>
      </w:r>
      <w:r>
        <w:rPr>
          <w:spacing w:val="23"/>
        </w:rPr>
        <w:t xml:space="preserve"> </w:t>
      </w:r>
      <w:r>
        <w:rPr>
          <w:spacing w:val="-1"/>
        </w:rPr>
        <w:t>accounts</w:t>
      </w:r>
      <w:r>
        <w:rPr>
          <w:spacing w:val="18"/>
        </w:rPr>
        <w:t xml:space="preserve"> </w:t>
      </w:r>
      <w:r>
        <w:rPr>
          <w:spacing w:val="-1"/>
        </w:rPr>
        <w:t>kept</w:t>
      </w:r>
      <w:r>
        <w:rPr>
          <w:spacing w:val="23"/>
        </w:rPr>
        <w:t xml:space="preserve"> </w:t>
      </w:r>
      <w:r>
        <w:rPr>
          <w:spacing w:val="-1"/>
        </w:rPr>
        <w:t>by</w:t>
      </w:r>
      <w:r>
        <w:rPr>
          <w:spacing w:val="20"/>
        </w:rPr>
        <w:t xml:space="preserve"> </w:t>
      </w:r>
      <w:r>
        <w:t>the</w:t>
      </w:r>
      <w:r>
        <w:rPr>
          <w:spacing w:val="19"/>
        </w:rPr>
        <w:t xml:space="preserve"> </w:t>
      </w:r>
      <w:r>
        <w:rPr>
          <w:spacing w:val="-2"/>
        </w:rPr>
        <w:t>Supplier</w:t>
      </w:r>
      <w:r>
        <w:rPr>
          <w:spacing w:val="23"/>
        </w:rPr>
        <w:t xml:space="preserve"> </w:t>
      </w:r>
      <w:r>
        <w:rPr>
          <w:spacing w:val="-1"/>
        </w:rPr>
        <w:t>in</w:t>
      </w:r>
      <w:r>
        <w:rPr>
          <w:spacing w:val="22"/>
        </w:rPr>
        <w:t xml:space="preserve"> </w:t>
      </w:r>
      <w:r>
        <w:rPr>
          <w:spacing w:val="-1"/>
        </w:rPr>
        <w:t>connection</w:t>
      </w:r>
      <w:r>
        <w:rPr>
          <w:spacing w:val="22"/>
        </w:rPr>
        <w:t xml:space="preserve"> </w:t>
      </w:r>
      <w:r>
        <w:rPr>
          <w:spacing w:val="-2"/>
        </w:rPr>
        <w:t>with</w:t>
      </w:r>
      <w:r>
        <w:rPr>
          <w:spacing w:val="35"/>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2"/>
        </w:rPr>
        <w:t>Contract;</w:t>
      </w:r>
    </w:p>
    <w:p w:rsidR="008918FA" w:rsidRDefault="008918FA" w:rsidP="008918FA">
      <w:pPr>
        <w:pStyle w:val="BodyText"/>
        <w:numPr>
          <w:ilvl w:val="3"/>
          <w:numId w:val="66"/>
        </w:numPr>
        <w:tabs>
          <w:tab w:val="left" w:pos="2594"/>
        </w:tabs>
        <w:ind w:left="2593" w:right="116"/>
        <w:jc w:val="both"/>
      </w:pPr>
      <w:r>
        <w:rPr>
          <w:spacing w:val="-1"/>
        </w:rPr>
        <w:t>carry</w:t>
      </w:r>
      <w:r>
        <w:rPr>
          <w:spacing w:val="39"/>
        </w:rPr>
        <w:t xml:space="preserve"> </w:t>
      </w:r>
      <w:r>
        <w:rPr>
          <w:spacing w:val="-1"/>
        </w:rPr>
        <w:t>out</w:t>
      </w:r>
      <w:r>
        <w:rPr>
          <w:spacing w:val="42"/>
        </w:rPr>
        <w:t xml:space="preserve"> </w:t>
      </w:r>
      <w:r>
        <w:t>the</w:t>
      </w:r>
      <w:r>
        <w:rPr>
          <w:spacing w:val="41"/>
        </w:rPr>
        <w:t xml:space="preserve"> </w:t>
      </w:r>
      <w:r>
        <w:rPr>
          <w:spacing w:val="-2"/>
        </w:rPr>
        <w:t>Customer’s</w:t>
      </w:r>
      <w:r>
        <w:rPr>
          <w:spacing w:val="41"/>
        </w:rPr>
        <w:t xml:space="preserve"> </w:t>
      </w:r>
      <w:r>
        <w:rPr>
          <w:spacing w:val="-1"/>
        </w:rPr>
        <w:t>internal</w:t>
      </w:r>
      <w:r>
        <w:rPr>
          <w:spacing w:val="40"/>
        </w:rPr>
        <w:t xml:space="preserve"> </w:t>
      </w:r>
      <w:r>
        <w:rPr>
          <w:spacing w:val="-1"/>
        </w:rPr>
        <w:t>and</w:t>
      </w:r>
      <w:r>
        <w:rPr>
          <w:spacing w:val="41"/>
        </w:rPr>
        <w:t xml:space="preserve"> </w:t>
      </w:r>
      <w:r>
        <w:rPr>
          <w:spacing w:val="-1"/>
        </w:rPr>
        <w:t>statutory</w:t>
      </w:r>
      <w:r>
        <w:rPr>
          <w:spacing w:val="37"/>
        </w:rPr>
        <w:t xml:space="preserve"> </w:t>
      </w:r>
      <w:r>
        <w:rPr>
          <w:spacing w:val="-1"/>
        </w:rPr>
        <w:t>audits</w:t>
      </w:r>
      <w:r>
        <w:rPr>
          <w:spacing w:val="41"/>
        </w:rPr>
        <w:t xml:space="preserve"> </w:t>
      </w:r>
      <w:r>
        <w:rPr>
          <w:spacing w:val="-1"/>
        </w:rPr>
        <w:t>and</w:t>
      </w:r>
      <w:r>
        <w:rPr>
          <w:spacing w:val="41"/>
        </w:rPr>
        <w:t xml:space="preserve"> </w:t>
      </w:r>
      <w:r>
        <w:t>to</w:t>
      </w:r>
      <w:r>
        <w:rPr>
          <w:spacing w:val="57"/>
        </w:rPr>
        <w:t xml:space="preserve"> </w:t>
      </w:r>
      <w:r>
        <w:rPr>
          <w:spacing w:val="-1"/>
        </w:rPr>
        <w:t>prepare,</w:t>
      </w:r>
      <w:r>
        <w:rPr>
          <w:spacing w:val="8"/>
        </w:rPr>
        <w:t xml:space="preserve"> </w:t>
      </w:r>
      <w:r>
        <w:rPr>
          <w:spacing w:val="-2"/>
        </w:rPr>
        <w:t>examine</w:t>
      </w:r>
      <w:r>
        <w:rPr>
          <w:spacing w:val="6"/>
        </w:rPr>
        <w:t xml:space="preserve"> </w:t>
      </w:r>
      <w:r>
        <w:rPr>
          <w:spacing w:val="-1"/>
        </w:rPr>
        <w:t>and/or</w:t>
      </w:r>
      <w:r>
        <w:rPr>
          <w:spacing w:val="8"/>
        </w:rPr>
        <w:t xml:space="preserve"> </w:t>
      </w:r>
      <w:r>
        <w:rPr>
          <w:spacing w:val="-1"/>
        </w:rPr>
        <w:t>certify</w:t>
      </w:r>
      <w:r>
        <w:rPr>
          <w:spacing w:val="4"/>
        </w:rPr>
        <w:t xml:space="preserve"> </w:t>
      </w:r>
      <w:r>
        <w:t>the</w:t>
      </w:r>
      <w:r>
        <w:rPr>
          <w:spacing w:val="6"/>
        </w:rPr>
        <w:t xml:space="preserve"> </w:t>
      </w:r>
      <w:r>
        <w:rPr>
          <w:spacing w:val="-1"/>
        </w:rPr>
        <w:t>Customer's</w:t>
      </w:r>
      <w:r>
        <w:rPr>
          <w:spacing w:val="7"/>
        </w:rPr>
        <w:t xml:space="preserve"> </w:t>
      </w:r>
      <w:r>
        <w:rPr>
          <w:spacing w:val="-1"/>
        </w:rPr>
        <w:t>annual</w:t>
      </w:r>
      <w:r>
        <w:rPr>
          <w:spacing w:val="6"/>
        </w:rPr>
        <w:t xml:space="preserve"> </w:t>
      </w:r>
      <w:r>
        <w:rPr>
          <w:spacing w:val="-1"/>
        </w:rPr>
        <w:t>and</w:t>
      </w:r>
      <w:r>
        <w:rPr>
          <w:spacing w:val="38"/>
        </w:rPr>
        <w:t xml:space="preserve"> </w:t>
      </w:r>
      <w:r>
        <w:rPr>
          <w:spacing w:val="-1"/>
        </w:rPr>
        <w:t>interim reports</w:t>
      </w:r>
      <w:r>
        <w:rPr>
          <w:spacing w:val="-2"/>
        </w:rPr>
        <w:t xml:space="preserve"> </w:t>
      </w:r>
      <w:r>
        <w:rPr>
          <w:spacing w:val="-1"/>
        </w:rPr>
        <w:t>and</w:t>
      </w:r>
      <w:r>
        <w:t xml:space="preserve"> </w:t>
      </w:r>
      <w:r>
        <w:rPr>
          <w:spacing w:val="-2"/>
        </w:rPr>
        <w:t>accounts;</w:t>
      </w:r>
    </w:p>
    <w:p w:rsidR="008918FA" w:rsidRDefault="008918FA" w:rsidP="008918FA">
      <w:pPr>
        <w:pStyle w:val="BodyText"/>
        <w:numPr>
          <w:ilvl w:val="3"/>
          <w:numId w:val="66"/>
        </w:numPr>
        <w:tabs>
          <w:tab w:val="left" w:pos="2594"/>
        </w:tabs>
        <w:ind w:left="2593" w:right="114"/>
        <w:jc w:val="both"/>
      </w:pPr>
      <w:r>
        <w:rPr>
          <w:spacing w:val="-1"/>
        </w:rPr>
        <w:t>enable</w:t>
      </w:r>
      <w:r>
        <w:rPr>
          <w:spacing w:val="43"/>
        </w:rPr>
        <w:t xml:space="preserve"> </w:t>
      </w:r>
      <w:r>
        <w:t>the</w:t>
      </w:r>
      <w:r>
        <w:rPr>
          <w:spacing w:val="43"/>
        </w:rPr>
        <w:t xml:space="preserve"> </w:t>
      </w:r>
      <w:r>
        <w:rPr>
          <w:spacing w:val="-1"/>
        </w:rPr>
        <w:t>National</w:t>
      </w:r>
      <w:r>
        <w:rPr>
          <w:spacing w:val="43"/>
        </w:rPr>
        <w:t xml:space="preserve"> </w:t>
      </w:r>
      <w:r>
        <w:rPr>
          <w:spacing w:val="-1"/>
        </w:rPr>
        <w:t>Audit</w:t>
      </w:r>
      <w:r>
        <w:rPr>
          <w:spacing w:val="45"/>
        </w:rPr>
        <w:t xml:space="preserve"> </w:t>
      </w:r>
      <w:r>
        <w:rPr>
          <w:spacing w:val="-1"/>
        </w:rPr>
        <w:t>Office</w:t>
      </w:r>
      <w:r>
        <w:rPr>
          <w:spacing w:val="41"/>
        </w:rPr>
        <w:t xml:space="preserve"> </w:t>
      </w:r>
      <w:r>
        <w:t>to</w:t>
      </w:r>
      <w:r>
        <w:rPr>
          <w:spacing w:val="43"/>
        </w:rPr>
        <w:t xml:space="preserve"> </w:t>
      </w:r>
      <w:r>
        <w:rPr>
          <w:spacing w:val="-1"/>
        </w:rPr>
        <w:t>carry</w:t>
      </w:r>
      <w:r>
        <w:rPr>
          <w:spacing w:val="42"/>
        </w:rPr>
        <w:t xml:space="preserve"> </w:t>
      </w:r>
      <w:r>
        <w:rPr>
          <w:spacing w:val="-1"/>
        </w:rPr>
        <w:t>out</w:t>
      </w:r>
      <w:r>
        <w:rPr>
          <w:spacing w:val="45"/>
        </w:rPr>
        <w:t xml:space="preserve"> </w:t>
      </w:r>
      <w:r>
        <w:rPr>
          <w:spacing w:val="-1"/>
        </w:rPr>
        <w:t>an</w:t>
      </w:r>
      <w:r>
        <w:rPr>
          <w:spacing w:val="43"/>
        </w:rPr>
        <w:t xml:space="preserve"> </w:t>
      </w:r>
      <w:r>
        <w:rPr>
          <w:spacing w:val="-2"/>
        </w:rPr>
        <w:t>examination</w:t>
      </w:r>
      <w:r>
        <w:rPr>
          <w:spacing w:val="48"/>
        </w:rPr>
        <w:t xml:space="preserve"> </w:t>
      </w:r>
      <w:r>
        <w:rPr>
          <w:spacing w:val="-1"/>
        </w:rPr>
        <w:t>pursuant</w:t>
      </w:r>
      <w:r>
        <w:rPr>
          <w:spacing w:val="23"/>
        </w:rPr>
        <w:t xml:space="preserve"> </w:t>
      </w:r>
      <w:r>
        <w:t>to</w:t>
      </w:r>
      <w:r>
        <w:rPr>
          <w:spacing w:val="25"/>
        </w:rPr>
        <w:t xml:space="preserve"> </w:t>
      </w:r>
      <w:r>
        <w:rPr>
          <w:spacing w:val="-1"/>
        </w:rPr>
        <w:t>Section</w:t>
      </w:r>
      <w:r>
        <w:rPr>
          <w:spacing w:val="24"/>
        </w:rPr>
        <w:t xml:space="preserve"> </w:t>
      </w:r>
      <w:r>
        <w:rPr>
          <w:spacing w:val="-1"/>
        </w:rPr>
        <w:t>6(1)</w:t>
      </w:r>
      <w:r>
        <w:rPr>
          <w:spacing w:val="23"/>
        </w:rPr>
        <w:t xml:space="preserve"> </w:t>
      </w:r>
      <w:r>
        <w:rPr>
          <w:spacing w:val="-1"/>
        </w:rPr>
        <w:t>of</w:t>
      </w:r>
      <w:r>
        <w:rPr>
          <w:spacing w:val="26"/>
        </w:rPr>
        <w:t xml:space="preserve"> </w:t>
      </w:r>
      <w:r>
        <w:t>the</w:t>
      </w:r>
      <w:r>
        <w:rPr>
          <w:spacing w:val="24"/>
        </w:rPr>
        <w:t xml:space="preserve"> </w:t>
      </w:r>
      <w:r>
        <w:rPr>
          <w:spacing w:val="-1"/>
        </w:rPr>
        <w:t>National</w:t>
      </w:r>
      <w:r>
        <w:rPr>
          <w:spacing w:val="24"/>
        </w:rPr>
        <w:t xml:space="preserve"> </w:t>
      </w:r>
      <w:r>
        <w:rPr>
          <w:spacing w:val="-1"/>
        </w:rPr>
        <w:t>Audit</w:t>
      </w:r>
      <w:r>
        <w:rPr>
          <w:spacing w:val="26"/>
        </w:rPr>
        <w:t xml:space="preserve"> </w:t>
      </w:r>
      <w:r>
        <w:rPr>
          <w:spacing w:val="-1"/>
        </w:rPr>
        <w:t>Act</w:t>
      </w:r>
      <w:r>
        <w:rPr>
          <w:spacing w:val="26"/>
        </w:rPr>
        <w:t xml:space="preserve"> </w:t>
      </w:r>
      <w:r>
        <w:rPr>
          <w:spacing w:val="-1"/>
        </w:rPr>
        <w:t>1983</w:t>
      </w:r>
      <w:r>
        <w:rPr>
          <w:spacing w:val="24"/>
        </w:rPr>
        <w:t xml:space="preserve"> </w:t>
      </w:r>
      <w:r>
        <w:rPr>
          <w:spacing w:val="-2"/>
        </w:rPr>
        <w:t>of</w:t>
      </w:r>
      <w:r>
        <w:rPr>
          <w:spacing w:val="28"/>
        </w:rPr>
        <w:t xml:space="preserve"> </w:t>
      </w:r>
      <w:r>
        <w:rPr>
          <w:spacing w:val="-1"/>
        </w:rPr>
        <w:t>the</w:t>
      </w:r>
      <w:r>
        <w:rPr>
          <w:spacing w:val="30"/>
        </w:rPr>
        <w:t xml:space="preserve"> </w:t>
      </w:r>
      <w:r>
        <w:rPr>
          <w:spacing w:val="-1"/>
        </w:rPr>
        <w:t>economy,</w:t>
      </w:r>
      <w:r>
        <w:rPr>
          <w:spacing w:val="9"/>
        </w:rPr>
        <w:t xml:space="preserve"> </w:t>
      </w:r>
      <w:r>
        <w:rPr>
          <w:spacing w:val="-1"/>
        </w:rPr>
        <w:t>efficiency</w:t>
      </w:r>
      <w:r>
        <w:rPr>
          <w:spacing w:val="6"/>
        </w:rPr>
        <w:t xml:space="preserve"> </w:t>
      </w:r>
      <w:r>
        <w:rPr>
          <w:spacing w:val="-1"/>
        </w:rPr>
        <w:t>and</w:t>
      </w:r>
      <w:r>
        <w:rPr>
          <w:spacing w:val="5"/>
        </w:rPr>
        <w:t xml:space="preserve"> </w:t>
      </w:r>
      <w:r>
        <w:rPr>
          <w:spacing w:val="-1"/>
        </w:rPr>
        <w:t>effectiveness</w:t>
      </w:r>
      <w:r>
        <w:rPr>
          <w:spacing w:val="8"/>
        </w:rPr>
        <w:t xml:space="preserve"> </w:t>
      </w:r>
      <w:r>
        <w:rPr>
          <w:spacing w:val="-2"/>
        </w:rPr>
        <w:t>with</w:t>
      </w:r>
      <w:r>
        <w:rPr>
          <w:spacing w:val="7"/>
        </w:rPr>
        <w:t xml:space="preserve"> </w:t>
      </w:r>
      <w:r>
        <w:rPr>
          <w:spacing w:val="-1"/>
        </w:rPr>
        <w:t>which</w:t>
      </w:r>
      <w:r>
        <w:rPr>
          <w:spacing w:val="8"/>
        </w:rPr>
        <w:t xml:space="preserve"> </w:t>
      </w:r>
      <w:r>
        <w:t>the</w:t>
      </w:r>
      <w:r>
        <w:rPr>
          <w:spacing w:val="7"/>
        </w:rPr>
        <w:t xml:space="preserve"> </w:t>
      </w:r>
      <w:r>
        <w:rPr>
          <w:spacing w:val="-2"/>
        </w:rPr>
        <w:t>Customer</w:t>
      </w:r>
      <w:r>
        <w:rPr>
          <w:spacing w:val="35"/>
        </w:rPr>
        <w:t xml:space="preserve"> </w:t>
      </w:r>
      <w:r>
        <w:rPr>
          <w:spacing w:val="-1"/>
        </w:rPr>
        <w:t>has</w:t>
      </w:r>
      <w:r>
        <w:rPr>
          <w:spacing w:val="1"/>
        </w:rPr>
        <w:t xml:space="preserve"> </w:t>
      </w:r>
      <w:r>
        <w:rPr>
          <w:spacing w:val="-1"/>
        </w:rPr>
        <w:t>used</w:t>
      </w:r>
      <w:r>
        <w:t xml:space="preserve"> </w:t>
      </w:r>
      <w:r>
        <w:rPr>
          <w:spacing w:val="-1"/>
        </w:rPr>
        <w:t>its</w:t>
      </w:r>
      <w:r>
        <w:rPr>
          <w:spacing w:val="-2"/>
        </w:rPr>
        <w:t xml:space="preserve"> </w:t>
      </w:r>
      <w:r>
        <w:rPr>
          <w:spacing w:val="-1"/>
        </w:rPr>
        <w:t>resources;</w:t>
      </w:r>
    </w:p>
    <w:p w:rsidR="008918FA" w:rsidRDefault="008918FA" w:rsidP="008918FA">
      <w:pPr>
        <w:pStyle w:val="BodyText"/>
        <w:numPr>
          <w:ilvl w:val="3"/>
          <w:numId w:val="66"/>
        </w:numPr>
        <w:tabs>
          <w:tab w:val="left" w:pos="2594"/>
        </w:tabs>
        <w:ind w:left="2593" w:right="115"/>
        <w:jc w:val="both"/>
      </w:pPr>
      <w:r>
        <w:rPr>
          <w:spacing w:val="-1"/>
        </w:rPr>
        <w:t>review</w:t>
      </w:r>
      <w:r>
        <w:rPr>
          <w:spacing w:val="1"/>
        </w:rPr>
        <w:t xml:space="preserve"> </w:t>
      </w:r>
      <w:r>
        <w:t>any</w:t>
      </w:r>
      <w:r>
        <w:rPr>
          <w:spacing w:val="2"/>
        </w:rPr>
        <w:t xml:space="preserve"> </w:t>
      </w:r>
      <w:r>
        <w:rPr>
          <w:spacing w:val="-1"/>
        </w:rPr>
        <w:t>Performance</w:t>
      </w:r>
      <w:r>
        <w:rPr>
          <w:spacing w:val="5"/>
        </w:rPr>
        <w:t xml:space="preserve"> </w:t>
      </w:r>
      <w:r>
        <w:rPr>
          <w:spacing w:val="-1"/>
        </w:rPr>
        <w:t>Monitoring</w:t>
      </w:r>
      <w:r>
        <w:rPr>
          <w:spacing w:val="7"/>
        </w:rPr>
        <w:t xml:space="preserve"> </w:t>
      </w:r>
      <w:r>
        <w:rPr>
          <w:spacing w:val="-1"/>
        </w:rPr>
        <w:t>Reports</w:t>
      </w:r>
      <w:r>
        <w:rPr>
          <w:spacing w:val="4"/>
        </w:rPr>
        <w:t xml:space="preserve"> </w:t>
      </w:r>
      <w:r>
        <w:rPr>
          <w:spacing w:val="-2"/>
        </w:rPr>
        <w:t>provided</w:t>
      </w:r>
      <w:r>
        <w:t xml:space="preserve"> </w:t>
      </w:r>
      <w:r>
        <w:rPr>
          <w:spacing w:val="4"/>
        </w:rPr>
        <w:t xml:space="preserve"> </w:t>
      </w:r>
      <w:r>
        <w:rPr>
          <w:spacing w:val="-1"/>
        </w:rPr>
        <w:t>under</w:t>
      </w:r>
      <w:r>
        <w:rPr>
          <w:spacing w:val="26"/>
        </w:rPr>
        <w:t xml:space="preserve"> </w:t>
      </w:r>
      <w:r>
        <w:rPr>
          <w:spacing w:val="-1"/>
        </w:rPr>
        <w:t>Part</w:t>
      </w:r>
      <w:r>
        <w:rPr>
          <w:spacing w:val="23"/>
        </w:rPr>
        <w:t xml:space="preserve"> </w:t>
      </w:r>
      <w:r>
        <w:t>B</w:t>
      </w:r>
      <w:r>
        <w:rPr>
          <w:spacing w:val="21"/>
        </w:rPr>
        <w:t xml:space="preserve"> </w:t>
      </w:r>
      <w:r>
        <w:rPr>
          <w:spacing w:val="-2"/>
        </w:rPr>
        <w:t>of</w:t>
      </w:r>
      <w:r>
        <w:rPr>
          <w:spacing w:val="23"/>
        </w:rPr>
        <w:t xml:space="preserve"> </w:t>
      </w:r>
      <w:r>
        <w:rPr>
          <w:spacing w:val="-2"/>
        </w:rPr>
        <w:t>Call</w:t>
      </w:r>
      <w:r>
        <w:rPr>
          <w:spacing w:val="21"/>
        </w:rPr>
        <w:t xml:space="preserve"> </w:t>
      </w:r>
      <w:r>
        <w:rPr>
          <w:spacing w:val="-1"/>
        </w:rPr>
        <w:t>Off</w:t>
      </w:r>
      <w:r>
        <w:rPr>
          <w:spacing w:val="23"/>
        </w:rPr>
        <w:t xml:space="preserve"> </w:t>
      </w:r>
      <w:r>
        <w:rPr>
          <w:spacing w:val="-2"/>
        </w:rPr>
        <w:t>Schedule</w:t>
      </w:r>
      <w:r>
        <w:rPr>
          <w:spacing w:val="22"/>
        </w:rPr>
        <w:t xml:space="preserve"> </w:t>
      </w:r>
      <w:r>
        <w:t>6</w:t>
      </w:r>
      <w:r>
        <w:rPr>
          <w:spacing w:val="22"/>
        </w:rPr>
        <w:t xml:space="preserve"> </w:t>
      </w:r>
      <w:r>
        <w:rPr>
          <w:spacing w:val="-1"/>
        </w:rPr>
        <w:t>(Service</w:t>
      </w:r>
      <w:r>
        <w:rPr>
          <w:spacing w:val="22"/>
        </w:rPr>
        <w:t xml:space="preserve"> </w:t>
      </w:r>
      <w:r>
        <w:rPr>
          <w:spacing w:val="-2"/>
        </w:rPr>
        <w:t>Levels,</w:t>
      </w:r>
      <w:r>
        <w:rPr>
          <w:spacing w:val="24"/>
        </w:rPr>
        <w:t xml:space="preserve"> </w:t>
      </w:r>
      <w:r>
        <w:rPr>
          <w:spacing w:val="-2"/>
        </w:rPr>
        <w:t>Service</w:t>
      </w:r>
      <w:r>
        <w:rPr>
          <w:spacing w:val="22"/>
        </w:rPr>
        <w:t xml:space="preserve"> </w:t>
      </w:r>
      <w:r>
        <w:rPr>
          <w:spacing w:val="-1"/>
        </w:rPr>
        <w:t>Credits</w:t>
      </w:r>
      <w:r>
        <w:rPr>
          <w:spacing w:val="57"/>
        </w:rPr>
        <w:t xml:space="preserve"> </w:t>
      </w:r>
      <w:r>
        <w:rPr>
          <w:spacing w:val="-1"/>
        </w:rPr>
        <w:t>and</w:t>
      </w:r>
      <w:r>
        <w:rPr>
          <w:spacing w:val="41"/>
        </w:rPr>
        <w:t xml:space="preserve"> </w:t>
      </w:r>
      <w:r>
        <w:rPr>
          <w:spacing w:val="-1"/>
        </w:rPr>
        <w:t>Performance</w:t>
      </w:r>
      <w:r>
        <w:rPr>
          <w:spacing w:val="41"/>
        </w:rPr>
        <w:t xml:space="preserve"> </w:t>
      </w:r>
      <w:r>
        <w:rPr>
          <w:spacing w:val="-2"/>
        </w:rPr>
        <w:t>Monitoring)</w:t>
      </w:r>
      <w:r>
        <w:rPr>
          <w:spacing w:val="42"/>
        </w:rPr>
        <w:t xml:space="preserve"> </w:t>
      </w:r>
      <w:r>
        <w:rPr>
          <w:spacing w:val="-1"/>
        </w:rPr>
        <w:t>and/or</w:t>
      </w:r>
      <w:r>
        <w:rPr>
          <w:spacing w:val="42"/>
        </w:rPr>
        <w:t xml:space="preserve"> </w:t>
      </w:r>
      <w:r>
        <w:rPr>
          <w:spacing w:val="-1"/>
        </w:rPr>
        <w:t>other</w:t>
      </w:r>
      <w:r>
        <w:rPr>
          <w:spacing w:val="42"/>
        </w:rPr>
        <w:t xml:space="preserve"> </w:t>
      </w:r>
      <w:r>
        <w:rPr>
          <w:spacing w:val="-1"/>
        </w:rPr>
        <w:t>records</w:t>
      </w:r>
      <w:r>
        <w:rPr>
          <w:spacing w:val="41"/>
        </w:rPr>
        <w:t xml:space="preserve"> </w:t>
      </w:r>
      <w:r>
        <w:rPr>
          <w:spacing w:val="-1"/>
        </w:rPr>
        <w:t>relating</w:t>
      </w:r>
      <w:r>
        <w:rPr>
          <w:spacing w:val="44"/>
        </w:rPr>
        <w:t xml:space="preserve"> </w:t>
      </w:r>
      <w:r>
        <w:t>to</w:t>
      </w:r>
      <w:r>
        <w:rPr>
          <w:spacing w:val="39"/>
        </w:rPr>
        <w:t xml:space="preserve"> </w:t>
      </w:r>
      <w:r>
        <w:t>the</w:t>
      </w:r>
      <w:r>
        <w:rPr>
          <w:spacing w:val="3"/>
        </w:rPr>
        <w:t xml:space="preserve"> </w:t>
      </w:r>
      <w:r>
        <w:rPr>
          <w:spacing w:val="-2"/>
        </w:rPr>
        <w:t>Supplier’s</w:t>
      </w:r>
      <w:r>
        <w:rPr>
          <w:spacing w:val="3"/>
        </w:rPr>
        <w:t xml:space="preserve"> </w:t>
      </w:r>
      <w:r>
        <w:rPr>
          <w:spacing w:val="-1"/>
        </w:rPr>
        <w:t>performance</w:t>
      </w:r>
      <w:r>
        <w:rPr>
          <w:spacing w:val="3"/>
        </w:rPr>
        <w:t xml:space="preserve"> </w:t>
      </w:r>
      <w:r>
        <w:rPr>
          <w:spacing w:val="-2"/>
        </w:rPr>
        <w:t>of</w:t>
      </w:r>
      <w:r>
        <w:rPr>
          <w:spacing w:val="4"/>
        </w:rPr>
        <w:t xml:space="preserve"> </w:t>
      </w:r>
      <w:r>
        <w:t>the</w:t>
      </w:r>
      <w:r>
        <w:rPr>
          <w:spacing w:val="4"/>
        </w:rPr>
        <w:t xml:space="preserve"> </w:t>
      </w:r>
      <w:r>
        <w:rPr>
          <w:spacing w:val="-2"/>
        </w:rPr>
        <w:t>provision</w:t>
      </w:r>
      <w:r>
        <w:rPr>
          <w:spacing w:val="3"/>
        </w:rPr>
        <w:t xml:space="preserve"> </w:t>
      </w:r>
      <w:r>
        <w:rPr>
          <w:spacing w:val="-1"/>
        </w:rPr>
        <w:t>of</w:t>
      </w:r>
      <w:r>
        <w:rPr>
          <w:spacing w:val="4"/>
        </w:rPr>
        <w:t xml:space="preserve"> </w:t>
      </w:r>
      <w:r>
        <w:t>the</w:t>
      </w:r>
      <w:r>
        <w:rPr>
          <w:spacing w:val="1"/>
        </w:rPr>
        <w:t xml:space="preserve"> </w:t>
      </w:r>
      <w:r>
        <w:rPr>
          <w:spacing w:val="-1"/>
        </w:rPr>
        <w:t>Goods</w:t>
      </w:r>
      <w:r>
        <w:rPr>
          <w:spacing w:val="3"/>
        </w:rPr>
        <w:t xml:space="preserve"> </w:t>
      </w:r>
      <w:r>
        <w:rPr>
          <w:spacing w:val="-2"/>
        </w:rPr>
        <w:t>and/or</w:t>
      </w:r>
      <w:r>
        <w:rPr>
          <w:spacing w:val="51"/>
        </w:rPr>
        <w:t xml:space="preserve"> </w:t>
      </w:r>
      <w:r>
        <w:rPr>
          <w:spacing w:val="-1"/>
        </w:rPr>
        <w:t>Services</w:t>
      </w:r>
      <w:r>
        <w:rPr>
          <w:spacing w:val="2"/>
        </w:rPr>
        <w:t xml:space="preserve"> </w:t>
      </w:r>
      <w:r>
        <w:rPr>
          <w:spacing w:val="-1"/>
        </w:rPr>
        <w:t>and</w:t>
      </w:r>
      <w:r>
        <w:rPr>
          <w:spacing w:val="2"/>
        </w:rPr>
        <w:t xml:space="preserve"> </w:t>
      </w:r>
      <w:r>
        <w:t>to</w:t>
      </w:r>
      <w:r>
        <w:rPr>
          <w:spacing w:val="2"/>
        </w:rPr>
        <w:t xml:space="preserve"> </w:t>
      </w:r>
      <w:r>
        <w:rPr>
          <w:spacing w:val="-1"/>
        </w:rPr>
        <w:t>verify</w:t>
      </w:r>
      <w:r>
        <w:t xml:space="preserve"> </w:t>
      </w:r>
      <w:r>
        <w:rPr>
          <w:spacing w:val="-1"/>
        </w:rPr>
        <w:t>that</w:t>
      </w:r>
      <w:r>
        <w:rPr>
          <w:spacing w:val="1"/>
        </w:rPr>
        <w:t xml:space="preserve"> </w:t>
      </w:r>
      <w:r>
        <w:rPr>
          <w:spacing w:val="-1"/>
        </w:rPr>
        <w:t>these</w:t>
      </w:r>
      <w:r>
        <w:t xml:space="preserve">  </w:t>
      </w:r>
      <w:r>
        <w:rPr>
          <w:spacing w:val="-1"/>
        </w:rPr>
        <w:t>reflect</w:t>
      </w:r>
      <w:r>
        <w:rPr>
          <w:spacing w:val="1"/>
        </w:rPr>
        <w:t xml:space="preserve"> </w:t>
      </w:r>
      <w:r>
        <w:t>the</w:t>
      </w:r>
      <w:r>
        <w:rPr>
          <w:spacing w:val="2"/>
        </w:rPr>
        <w:t xml:space="preserve"> </w:t>
      </w:r>
      <w:r>
        <w:rPr>
          <w:spacing w:val="-2"/>
        </w:rPr>
        <w:t>Supplier’s</w:t>
      </w:r>
      <w:r>
        <w:rPr>
          <w:spacing w:val="2"/>
        </w:rPr>
        <w:t xml:space="preserve"> </w:t>
      </w:r>
      <w:r>
        <w:rPr>
          <w:spacing w:val="-2"/>
        </w:rPr>
        <w:t>own</w:t>
      </w:r>
      <w:r>
        <w:rPr>
          <w:spacing w:val="35"/>
        </w:rPr>
        <w:t xml:space="preserve"> </w:t>
      </w:r>
      <w:r>
        <w:rPr>
          <w:spacing w:val="-1"/>
        </w:rPr>
        <w:t>internal</w:t>
      </w:r>
      <w:r>
        <w:t xml:space="preserve"> </w:t>
      </w:r>
      <w:r>
        <w:rPr>
          <w:spacing w:val="-1"/>
        </w:rPr>
        <w:t>reports</w:t>
      </w:r>
      <w:r>
        <w:rPr>
          <w:spacing w:val="1"/>
        </w:rPr>
        <w:t xml:space="preserve"> </w:t>
      </w:r>
      <w:r>
        <w:rPr>
          <w:spacing w:val="-1"/>
        </w:rPr>
        <w:t>and</w:t>
      </w:r>
      <w:r>
        <w:rPr>
          <w:spacing w:val="-2"/>
        </w:rPr>
        <w:t xml:space="preserve"> </w:t>
      </w:r>
      <w:r>
        <w:rPr>
          <w:spacing w:val="-1"/>
        </w:rPr>
        <w:t>records;</w:t>
      </w:r>
    </w:p>
    <w:p w:rsidR="008918FA" w:rsidRDefault="008918FA" w:rsidP="008918FA">
      <w:pPr>
        <w:pStyle w:val="BodyText"/>
        <w:numPr>
          <w:ilvl w:val="3"/>
          <w:numId w:val="66"/>
        </w:numPr>
        <w:tabs>
          <w:tab w:val="left" w:pos="2594"/>
        </w:tabs>
        <w:ind w:left="2593" w:right="113"/>
        <w:jc w:val="both"/>
      </w:pPr>
      <w:r>
        <w:rPr>
          <w:spacing w:val="-1"/>
        </w:rPr>
        <w:t>verify</w:t>
      </w:r>
      <w:r>
        <w:rPr>
          <w:spacing w:val="40"/>
        </w:rPr>
        <w:t xml:space="preserve"> </w:t>
      </w:r>
      <w:r>
        <w:t>the</w:t>
      </w:r>
      <w:r>
        <w:rPr>
          <w:spacing w:val="42"/>
        </w:rPr>
        <w:t xml:space="preserve"> </w:t>
      </w:r>
      <w:r>
        <w:rPr>
          <w:spacing w:val="-1"/>
        </w:rPr>
        <w:t>accuracy</w:t>
      </w:r>
      <w:r>
        <w:rPr>
          <w:spacing w:val="41"/>
        </w:rPr>
        <w:t xml:space="preserve"> </w:t>
      </w:r>
      <w:r>
        <w:rPr>
          <w:spacing w:val="-2"/>
        </w:rPr>
        <w:t>and</w:t>
      </w:r>
      <w:r>
        <w:rPr>
          <w:spacing w:val="42"/>
        </w:rPr>
        <w:t xml:space="preserve"> </w:t>
      </w:r>
      <w:r>
        <w:rPr>
          <w:spacing w:val="-1"/>
        </w:rPr>
        <w:t>completeness</w:t>
      </w:r>
      <w:r>
        <w:rPr>
          <w:spacing w:val="43"/>
        </w:rPr>
        <w:t xml:space="preserve"> </w:t>
      </w:r>
      <w:r>
        <w:rPr>
          <w:spacing w:val="-2"/>
        </w:rPr>
        <w:t>of</w:t>
      </w:r>
      <w:r>
        <w:rPr>
          <w:spacing w:val="45"/>
        </w:rPr>
        <w:t xml:space="preserve"> </w:t>
      </w:r>
      <w:r>
        <w:rPr>
          <w:spacing w:val="-2"/>
        </w:rPr>
        <w:t>any</w:t>
      </w:r>
      <w:r>
        <w:rPr>
          <w:spacing w:val="41"/>
        </w:rPr>
        <w:t xml:space="preserve"> </w:t>
      </w:r>
      <w:r>
        <w:rPr>
          <w:spacing w:val="-1"/>
        </w:rPr>
        <w:t>information</w:t>
      </w:r>
      <w:r>
        <w:rPr>
          <w:spacing w:val="28"/>
        </w:rPr>
        <w:t xml:space="preserve"> </w:t>
      </w:r>
      <w:r>
        <w:rPr>
          <w:spacing w:val="-1"/>
        </w:rPr>
        <w:t>delivered</w:t>
      </w:r>
      <w:r>
        <w:t xml:space="preserve"> </w:t>
      </w:r>
      <w:r>
        <w:rPr>
          <w:spacing w:val="-1"/>
        </w:rPr>
        <w:t>or required</w:t>
      </w:r>
      <w:r>
        <w:rPr>
          <w:spacing w:val="-2"/>
        </w:rPr>
        <w:t xml:space="preserve"> </w:t>
      </w:r>
      <w:r>
        <w:rPr>
          <w:spacing w:val="-1"/>
        </w:rPr>
        <w:t>by</w:t>
      </w:r>
      <w:r>
        <w:rPr>
          <w:spacing w:val="-2"/>
        </w:rPr>
        <w:t xml:space="preserve"> 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3"/>
          <w:numId w:val="66"/>
        </w:numPr>
        <w:tabs>
          <w:tab w:val="left" w:pos="2594"/>
        </w:tabs>
        <w:ind w:left="2593" w:right="117" w:hanging="709"/>
        <w:jc w:val="both"/>
      </w:pPr>
      <w:r>
        <w:rPr>
          <w:spacing w:val="-1"/>
        </w:rPr>
        <w:t>review</w:t>
      </w:r>
      <w:r>
        <w:rPr>
          <w:spacing w:val="40"/>
        </w:rPr>
        <w:t xml:space="preserve"> </w:t>
      </w:r>
      <w:r>
        <w:t>the</w:t>
      </w:r>
      <w:r>
        <w:rPr>
          <w:spacing w:val="43"/>
        </w:rPr>
        <w:t xml:space="preserve"> </w:t>
      </w:r>
      <w:r>
        <w:rPr>
          <w:spacing w:val="-1"/>
        </w:rPr>
        <w:t>Supplier’s</w:t>
      </w:r>
      <w:r>
        <w:rPr>
          <w:spacing w:val="44"/>
        </w:rPr>
        <w:t xml:space="preserve"> </w:t>
      </w:r>
      <w:r>
        <w:rPr>
          <w:spacing w:val="-1"/>
        </w:rPr>
        <w:t>quality</w:t>
      </w:r>
      <w:r>
        <w:rPr>
          <w:spacing w:val="41"/>
        </w:rPr>
        <w:t xml:space="preserve"> </w:t>
      </w:r>
      <w:r>
        <w:rPr>
          <w:spacing w:val="-1"/>
        </w:rPr>
        <w:t>management</w:t>
      </w:r>
      <w:r>
        <w:rPr>
          <w:spacing w:val="45"/>
        </w:rPr>
        <w:t xml:space="preserve"> </w:t>
      </w:r>
      <w:r>
        <w:rPr>
          <w:spacing w:val="-1"/>
        </w:rPr>
        <w:t>systems</w:t>
      </w:r>
      <w:r>
        <w:rPr>
          <w:spacing w:val="44"/>
        </w:rPr>
        <w:t xml:space="preserve"> </w:t>
      </w:r>
      <w:r>
        <w:rPr>
          <w:spacing w:val="-2"/>
        </w:rPr>
        <w:t>(including</w:t>
      </w:r>
      <w:r>
        <w:rPr>
          <w:spacing w:val="48"/>
        </w:rPr>
        <w:t xml:space="preserve"> </w:t>
      </w:r>
      <w:r>
        <w:rPr>
          <w:spacing w:val="-1"/>
        </w:rPr>
        <w:t>any</w:t>
      </w:r>
      <w:r>
        <w:rPr>
          <w:spacing w:val="-2"/>
        </w:rPr>
        <w:t xml:space="preserve"> </w:t>
      </w:r>
      <w:r>
        <w:rPr>
          <w:spacing w:val="-1"/>
        </w:rPr>
        <w:t>quality</w:t>
      </w:r>
      <w:r>
        <w:rPr>
          <w:spacing w:val="-2"/>
        </w:rPr>
        <w:t xml:space="preserve"> </w:t>
      </w:r>
      <w:r>
        <w:rPr>
          <w:spacing w:val="-1"/>
        </w:rPr>
        <w:t>manuals</w:t>
      </w:r>
      <w:r>
        <w:rPr>
          <w:spacing w:val="1"/>
        </w:rPr>
        <w:t xml:space="preserve"> </w:t>
      </w:r>
      <w:r>
        <w:rPr>
          <w:spacing w:val="-1"/>
        </w:rPr>
        <w:t>and</w:t>
      </w:r>
      <w:r>
        <w:rPr>
          <w:spacing w:val="-4"/>
        </w:rPr>
        <w:t xml:space="preserve"> </w:t>
      </w:r>
      <w:r>
        <w:rPr>
          <w:spacing w:val="-1"/>
        </w:rPr>
        <w:t>procedures);</w:t>
      </w:r>
    </w:p>
    <w:p w:rsidR="008918FA" w:rsidRDefault="008918FA" w:rsidP="008918FA">
      <w:pPr>
        <w:pStyle w:val="BodyText"/>
        <w:numPr>
          <w:ilvl w:val="3"/>
          <w:numId w:val="66"/>
        </w:numPr>
        <w:tabs>
          <w:tab w:val="left" w:pos="2594"/>
        </w:tabs>
        <w:ind w:left="2593"/>
      </w:pPr>
      <w:r>
        <w:rPr>
          <w:spacing w:val="-1"/>
        </w:rPr>
        <w:t>review</w:t>
      </w:r>
      <w:r>
        <w:rPr>
          <w:spacing w:val="-2"/>
        </w:rPr>
        <w:t xml:space="preserve"> </w:t>
      </w:r>
      <w:r>
        <w:t xml:space="preserve">the </w:t>
      </w:r>
      <w:r>
        <w:rPr>
          <w:spacing w:val="-2"/>
        </w:rPr>
        <w:t>Supplier’s</w:t>
      </w:r>
      <w:r>
        <w:rPr>
          <w:spacing w:val="1"/>
        </w:rPr>
        <w:t xml:space="preserve"> </w:t>
      </w:r>
      <w:r>
        <w:rPr>
          <w:spacing w:val="-2"/>
        </w:rPr>
        <w:t>compliance</w:t>
      </w:r>
      <w:r>
        <w:rPr>
          <w:spacing w:val="1"/>
        </w:rPr>
        <w:t xml:space="preserve"> </w:t>
      </w:r>
      <w:r>
        <w:rPr>
          <w:spacing w:val="-2"/>
        </w:rPr>
        <w:t>with</w:t>
      </w:r>
      <w:r>
        <w:t xml:space="preserve"> the </w:t>
      </w:r>
      <w:r>
        <w:rPr>
          <w:spacing w:val="-2"/>
        </w:rPr>
        <w:t>Standards;</w:t>
      </w:r>
    </w:p>
    <w:p w:rsidR="008918FA" w:rsidRDefault="008918FA" w:rsidP="008918FA">
      <w:pPr>
        <w:pStyle w:val="BodyText"/>
        <w:numPr>
          <w:ilvl w:val="3"/>
          <w:numId w:val="66"/>
        </w:numPr>
        <w:tabs>
          <w:tab w:val="left" w:pos="2593"/>
        </w:tabs>
        <w:spacing w:before="121"/>
        <w:ind w:left="2592" w:right="115"/>
        <w:jc w:val="both"/>
      </w:pPr>
      <w:r>
        <w:rPr>
          <w:spacing w:val="-1"/>
        </w:rPr>
        <w:t>inspect</w:t>
      </w:r>
      <w:r>
        <w:rPr>
          <w:spacing w:val="43"/>
        </w:rPr>
        <w:t xml:space="preserve"> </w:t>
      </w:r>
      <w:r>
        <w:t>the</w:t>
      </w:r>
      <w:r>
        <w:rPr>
          <w:spacing w:val="41"/>
        </w:rPr>
        <w:t xml:space="preserve"> </w:t>
      </w:r>
      <w:r>
        <w:rPr>
          <w:spacing w:val="-2"/>
        </w:rPr>
        <w:t>Customer</w:t>
      </w:r>
      <w:r>
        <w:rPr>
          <w:spacing w:val="42"/>
        </w:rPr>
        <w:t xml:space="preserve"> </w:t>
      </w:r>
      <w:r>
        <w:rPr>
          <w:spacing w:val="-2"/>
        </w:rPr>
        <w:t>Assets,</w:t>
      </w:r>
      <w:r>
        <w:rPr>
          <w:spacing w:val="42"/>
        </w:rPr>
        <w:t xml:space="preserve"> </w:t>
      </w:r>
      <w:r>
        <w:rPr>
          <w:spacing w:val="-2"/>
        </w:rPr>
        <w:t>including</w:t>
      </w:r>
      <w:r>
        <w:rPr>
          <w:spacing w:val="42"/>
        </w:rPr>
        <w:t xml:space="preserve"> </w:t>
      </w:r>
      <w:r>
        <w:t>the</w:t>
      </w:r>
      <w:r>
        <w:rPr>
          <w:spacing w:val="41"/>
        </w:rPr>
        <w:t xml:space="preserve"> </w:t>
      </w:r>
      <w:r>
        <w:rPr>
          <w:spacing w:val="-1"/>
        </w:rPr>
        <w:t>Customer's</w:t>
      </w:r>
      <w:r>
        <w:rPr>
          <w:spacing w:val="40"/>
        </w:rPr>
        <w:t xml:space="preserve"> </w:t>
      </w:r>
      <w:r>
        <w:rPr>
          <w:spacing w:val="-1"/>
        </w:rPr>
        <w:t>IPRs,</w:t>
      </w:r>
      <w:r>
        <w:rPr>
          <w:spacing w:val="50"/>
        </w:rPr>
        <w:t xml:space="preserve"> </w:t>
      </w:r>
      <w:r>
        <w:rPr>
          <w:spacing w:val="-1"/>
        </w:rPr>
        <w:t>equipment</w:t>
      </w:r>
      <w:r>
        <w:rPr>
          <w:spacing w:val="28"/>
        </w:rPr>
        <w:t xml:space="preserve"> </w:t>
      </w:r>
      <w:r>
        <w:rPr>
          <w:spacing w:val="-1"/>
        </w:rPr>
        <w:t>and</w:t>
      </w:r>
      <w:r>
        <w:rPr>
          <w:spacing w:val="24"/>
        </w:rPr>
        <w:t xml:space="preserve"> </w:t>
      </w:r>
      <w:r>
        <w:rPr>
          <w:spacing w:val="-1"/>
        </w:rPr>
        <w:t>facilities,</w:t>
      </w:r>
      <w:r>
        <w:rPr>
          <w:spacing w:val="29"/>
        </w:rPr>
        <w:t xml:space="preserve"> </w:t>
      </w:r>
      <w:r>
        <w:t>for</w:t>
      </w:r>
      <w:r>
        <w:rPr>
          <w:spacing w:val="28"/>
        </w:rPr>
        <w:t xml:space="preserve"> </w:t>
      </w:r>
      <w:r>
        <w:t>the</w:t>
      </w:r>
      <w:r>
        <w:rPr>
          <w:spacing w:val="27"/>
        </w:rPr>
        <w:t xml:space="preserve"> </w:t>
      </w:r>
      <w:r>
        <w:rPr>
          <w:spacing w:val="-1"/>
        </w:rPr>
        <w:t>purposes</w:t>
      </w:r>
      <w:r>
        <w:rPr>
          <w:spacing w:val="27"/>
        </w:rPr>
        <w:t xml:space="preserve"> </w:t>
      </w:r>
      <w:r>
        <w:rPr>
          <w:spacing w:val="-2"/>
        </w:rPr>
        <w:t>of</w:t>
      </w:r>
      <w:r>
        <w:rPr>
          <w:spacing w:val="30"/>
        </w:rPr>
        <w:t xml:space="preserve"> </w:t>
      </w:r>
      <w:r>
        <w:rPr>
          <w:spacing w:val="-2"/>
        </w:rPr>
        <w:t>ensuring</w:t>
      </w:r>
      <w:r>
        <w:rPr>
          <w:spacing w:val="29"/>
        </w:rPr>
        <w:t xml:space="preserve"> </w:t>
      </w:r>
      <w:r>
        <w:rPr>
          <w:spacing w:val="-1"/>
        </w:rPr>
        <w:t>that</w:t>
      </w:r>
      <w:r>
        <w:rPr>
          <w:spacing w:val="28"/>
        </w:rPr>
        <w:t xml:space="preserve"> </w:t>
      </w:r>
      <w:r>
        <w:rPr>
          <w:spacing w:val="-1"/>
        </w:rPr>
        <w:t>the</w:t>
      </w:r>
      <w:r>
        <w:rPr>
          <w:spacing w:val="42"/>
        </w:rPr>
        <w:t xml:space="preserve"> </w:t>
      </w:r>
      <w:r>
        <w:rPr>
          <w:spacing w:val="-1"/>
        </w:rPr>
        <w:t>Customer</w:t>
      </w:r>
      <w:r>
        <w:rPr>
          <w:spacing w:val="21"/>
        </w:rPr>
        <w:t xml:space="preserve"> </w:t>
      </w:r>
      <w:r>
        <w:rPr>
          <w:spacing w:val="-1"/>
        </w:rPr>
        <w:t>Assets</w:t>
      </w:r>
      <w:r>
        <w:rPr>
          <w:spacing w:val="20"/>
        </w:rPr>
        <w:t xml:space="preserve"> </w:t>
      </w:r>
      <w:r>
        <w:rPr>
          <w:spacing w:val="-1"/>
        </w:rPr>
        <w:t>are</w:t>
      </w:r>
      <w:r>
        <w:rPr>
          <w:spacing w:val="19"/>
        </w:rPr>
        <w:t xml:space="preserve"> </w:t>
      </w:r>
      <w:r>
        <w:rPr>
          <w:spacing w:val="-1"/>
        </w:rPr>
        <w:t>secure</w:t>
      </w:r>
      <w:r>
        <w:rPr>
          <w:spacing w:val="19"/>
        </w:rPr>
        <w:t xml:space="preserve"> </w:t>
      </w:r>
      <w:r>
        <w:rPr>
          <w:spacing w:val="-1"/>
        </w:rPr>
        <w:t>and</w:t>
      </w:r>
      <w:r>
        <w:rPr>
          <w:spacing w:val="20"/>
        </w:rPr>
        <w:t xml:space="preserve"> </w:t>
      </w:r>
      <w:r>
        <w:rPr>
          <w:spacing w:val="-1"/>
        </w:rPr>
        <w:t>that</w:t>
      </w:r>
      <w:r>
        <w:rPr>
          <w:spacing w:val="21"/>
        </w:rPr>
        <w:t xml:space="preserve"> </w:t>
      </w:r>
      <w:r>
        <w:rPr>
          <w:spacing w:val="-1"/>
        </w:rPr>
        <w:t>any</w:t>
      </w:r>
      <w:r>
        <w:rPr>
          <w:spacing w:val="17"/>
        </w:rPr>
        <w:t xml:space="preserve"> </w:t>
      </w:r>
      <w:r>
        <w:rPr>
          <w:spacing w:val="-1"/>
        </w:rPr>
        <w:t>register</w:t>
      </w:r>
      <w:r>
        <w:rPr>
          <w:spacing w:val="21"/>
        </w:rPr>
        <w:t xml:space="preserve"> </w:t>
      </w:r>
      <w:r>
        <w:rPr>
          <w:spacing w:val="-2"/>
        </w:rPr>
        <w:t>of</w:t>
      </w:r>
      <w:r>
        <w:rPr>
          <w:spacing w:val="23"/>
        </w:rPr>
        <w:t xml:space="preserve"> </w:t>
      </w:r>
      <w:r>
        <w:rPr>
          <w:spacing w:val="-1"/>
        </w:rPr>
        <w:t>assets</w:t>
      </w:r>
      <w:r>
        <w:rPr>
          <w:spacing w:val="20"/>
        </w:rPr>
        <w:t xml:space="preserve"> </w:t>
      </w:r>
      <w:r>
        <w:rPr>
          <w:spacing w:val="-1"/>
        </w:rPr>
        <w:t>is</w:t>
      </w:r>
      <w:r>
        <w:rPr>
          <w:spacing w:val="33"/>
        </w:rPr>
        <w:t xml:space="preserve"> </w:t>
      </w:r>
      <w:r>
        <w:rPr>
          <w:spacing w:val="-1"/>
        </w:rPr>
        <w:t>up</w:t>
      </w:r>
      <w:r>
        <w:t xml:space="preserve"> to</w:t>
      </w:r>
      <w:r>
        <w:rPr>
          <w:spacing w:val="-2"/>
        </w:rPr>
        <w:t xml:space="preserve"> </w:t>
      </w:r>
      <w:r>
        <w:rPr>
          <w:spacing w:val="-1"/>
        </w:rPr>
        <w:t>date;</w:t>
      </w:r>
      <w:r>
        <w:rPr>
          <w:spacing w:val="2"/>
        </w:rPr>
        <w:t xml:space="preserve"> </w:t>
      </w:r>
      <w:r>
        <w:rPr>
          <w:spacing w:val="-1"/>
        </w:rPr>
        <w:t>and/or</w:t>
      </w:r>
    </w:p>
    <w:p w:rsidR="008918FA" w:rsidRDefault="008918FA" w:rsidP="008918FA">
      <w:pPr>
        <w:jc w:val="both"/>
        <w:sectPr w:rsidR="008918FA">
          <w:pgSz w:w="11910" w:h="16840"/>
          <w:pgMar w:top="1480" w:right="1300" w:bottom="1180" w:left="1680" w:header="0" w:footer="967" w:gutter="0"/>
          <w:cols w:space="720"/>
        </w:sectPr>
      </w:pPr>
    </w:p>
    <w:p w:rsidR="008918FA" w:rsidRDefault="00F64EFB" w:rsidP="008918FA">
      <w:pPr>
        <w:pStyle w:val="BodyText"/>
        <w:numPr>
          <w:ilvl w:val="3"/>
          <w:numId w:val="66"/>
        </w:numPr>
        <w:tabs>
          <w:tab w:val="left" w:pos="2935"/>
        </w:tabs>
        <w:spacing w:before="59"/>
        <w:ind w:left="2934" w:right="115"/>
        <w:jc w:val="both"/>
      </w:pPr>
      <w:r>
        <w:rPr>
          <w:spacing w:val="-1"/>
        </w:rPr>
        <w:t>review</w:t>
      </w:r>
      <w:r w:rsidR="008918FA">
        <w:rPr>
          <w:spacing w:val="2"/>
        </w:rPr>
        <w:t xml:space="preserve"> </w:t>
      </w:r>
      <w:r w:rsidR="008918FA">
        <w:t>the</w:t>
      </w:r>
      <w:r w:rsidR="008918FA">
        <w:rPr>
          <w:spacing w:val="5"/>
        </w:rPr>
        <w:t xml:space="preserve"> </w:t>
      </w:r>
      <w:r w:rsidR="008918FA">
        <w:rPr>
          <w:spacing w:val="-1"/>
        </w:rPr>
        <w:t>integrity,</w:t>
      </w:r>
      <w:r w:rsidR="008918FA">
        <w:rPr>
          <w:spacing w:val="7"/>
        </w:rPr>
        <w:t xml:space="preserve"> </w:t>
      </w:r>
      <w:r w:rsidR="008918FA">
        <w:rPr>
          <w:spacing w:val="-1"/>
        </w:rPr>
        <w:t>confidentiality</w:t>
      </w:r>
      <w:r w:rsidR="008918FA">
        <w:rPr>
          <w:spacing w:val="3"/>
        </w:rPr>
        <w:t xml:space="preserve"> </w:t>
      </w:r>
      <w:r w:rsidR="008918FA">
        <w:rPr>
          <w:spacing w:val="-1"/>
        </w:rPr>
        <w:t>and</w:t>
      </w:r>
      <w:r w:rsidR="008918FA">
        <w:rPr>
          <w:spacing w:val="5"/>
        </w:rPr>
        <w:t xml:space="preserve"> </w:t>
      </w:r>
      <w:r w:rsidR="008918FA">
        <w:rPr>
          <w:spacing w:val="-1"/>
        </w:rPr>
        <w:t>security</w:t>
      </w:r>
      <w:r w:rsidR="008918FA">
        <w:rPr>
          <w:spacing w:val="3"/>
        </w:rPr>
        <w:t xml:space="preserve"> </w:t>
      </w:r>
      <w:r w:rsidR="008918FA">
        <w:rPr>
          <w:spacing w:val="-1"/>
        </w:rPr>
        <w:t>of</w:t>
      </w:r>
      <w:r w:rsidR="008918FA">
        <w:rPr>
          <w:spacing w:val="9"/>
        </w:rPr>
        <w:t xml:space="preserve"> </w:t>
      </w:r>
      <w:r w:rsidR="008918FA">
        <w:t>the</w:t>
      </w:r>
      <w:r w:rsidR="008918FA">
        <w:rPr>
          <w:spacing w:val="5"/>
        </w:rPr>
        <w:t xml:space="preserve"> </w:t>
      </w:r>
      <w:r w:rsidR="008918FA">
        <w:rPr>
          <w:spacing w:val="-1"/>
        </w:rPr>
        <w:t>Customer</w:t>
      </w:r>
      <w:r w:rsidR="008918FA">
        <w:rPr>
          <w:spacing w:val="32"/>
        </w:rPr>
        <w:t xml:space="preserve"> </w:t>
      </w:r>
      <w:r w:rsidR="008918FA">
        <w:rPr>
          <w:spacing w:val="-1"/>
        </w:rPr>
        <w:t>Data.</w:t>
      </w:r>
    </w:p>
    <w:p w:rsidR="008918FA" w:rsidRDefault="008918FA" w:rsidP="008918FA">
      <w:pPr>
        <w:pStyle w:val="BodyText"/>
        <w:numPr>
          <w:ilvl w:val="1"/>
          <w:numId w:val="66"/>
        </w:numPr>
        <w:tabs>
          <w:tab w:val="left" w:pos="1233"/>
        </w:tabs>
        <w:spacing w:before="121"/>
        <w:ind w:left="1028" w:right="114" w:hanging="360"/>
        <w:jc w:val="both"/>
      </w:pPr>
      <w:r>
        <w:t>The</w:t>
      </w:r>
      <w:r>
        <w:rPr>
          <w:spacing w:val="34"/>
        </w:rPr>
        <w:t xml:space="preserve"> </w:t>
      </w:r>
      <w:r>
        <w:rPr>
          <w:spacing w:val="-2"/>
        </w:rPr>
        <w:t>Customer</w:t>
      </w:r>
      <w:r>
        <w:rPr>
          <w:spacing w:val="35"/>
        </w:rPr>
        <w:t xml:space="preserve"> </w:t>
      </w:r>
      <w:r>
        <w:rPr>
          <w:spacing w:val="-1"/>
        </w:rPr>
        <w:t>shall</w:t>
      </w:r>
      <w:r>
        <w:rPr>
          <w:spacing w:val="33"/>
        </w:rPr>
        <w:t xml:space="preserve"> </w:t>
      </w:r>
      <w:r>
        <w:rPr>
          <w:spacing w:val="-1"/>
        </w:rPr>
        <w:t>use</w:t>
      </w:r>
      <w:r>
        <w:rPr>
          <w:spacing w:val="34"/>
        </w:rPr>
        <w:t xml:space="preserve"> </w:t>
      </w:r>
      <w:r>
        <w:rPr>
          <w:spacing w:val="-1"/>
        </w:rPr>
        <w:t>reasonable</w:t>
      </w:r>
      <w:r>
        <w:rPr>
          <w:spacing w:val="34"/>
        </w:rPr>
        <w:t xml:space="preserve"> </w:t>
      </w:r>
      <w:r>
        <w:rPr>
          <w:spacing w:val="-1"/>
        </w:rPr>
        <w:t>endeavours</w:t>
      </w:r>
      <w:r>
        <w:rPr>
          <w:spacing w:val="34"/>
        </w:rPr>
        <w:t xml:space="preserve"> </w:t>
      </w:r>
      <w:r>
        <w:t>to</w:t>
      </w:r>
      <w:r>
        <w:rPr>
          <w:spacing w:val="35"/>
        </w:rPr>
        <w:t xml:space="preserve"> </w:t>
      </w:r>
      <w:r>
        <w:rPr>
          <w:spacing w:val="-1"/>
        </w:rPr>
        <w:t>ensure</w:t>
      </w:r>
      <w:r>
        <w:rPr>
          <w:spacing w:val="31"/>
        </w:rPr>
        <w:t xml:space="preserve"> </w:t>
      </w:r>
      <w:r>
        <w:rPr>
          <w:spacing w:val="-1"/>
        </w:rPr>
        <w:t>that</w:t>
      </w:r>
      <w:r>
        <w:rPr>
          <w:spacing w:val="33"/>
        </w:rPr>
        <w:t xml:space="preserve"> </w:t>
      </w:r>
      <w:r>
        <w:t>the</w:t>
      </w:r>
      <w:r>
        <w:rPr>
          <w:spacing w:val="34"/>
        </w:rPr>
        <w:t xml:space="preserve"> </w:t>
      </w:r>
      <w:r>
        <w:rPr>
          <w:spacing w:val="-1"/>
        </w:rPr>
        <w:t>conduct</w:t>
      </w:r>
      <w:r>
        <w:rPr>
          <w:spacing w:val="33"/>
        </w:rPr>
        <w:t xml:space="preserve"> </w:t>
      </w:r>
      <w:r>
        <w:rPr>
          <w:spacing w:val="-2"/>
        </w:rPr>
        <w:t>of</w:t>
      </w:r>
      <w:r>
        <w:rPr>
          <w:spacing w:val="41"/>
        </w:rPr>
        <w:t xml:space="preserve"> </w:t>
      </w:r>
      <w:r>
        <w:rPr>
          <w:spacing w:val="-1"/>
        </w:rPr>
        <w:t>each</w:t>
      </w:r>
      <w:r>
        <w:rPr>
          <w:spacing w:val="8"/>
        </w:rPr>
        <w:t xml:space="preserve"> </w:t>
      </w:r>
      <w:r>
        <w:rPr>
          <w:spacing w:val="-1"/>
        </w:rPr>
        <w:t>audit</w:t>
      </w:r>
      <w:r>
        <w:rPr>
          <w:spacing w:val="9"/>
        </w:rPr>
        <w:t xml:space="preserve"> </w:t>
      </w:r>
      <w:r>
        <w:rPr>
          <w:spacing w:val="-1"/>
        </w:rPr>
        <w:t>does</w:t>
      </w:r>
      <w:r>
        <w:rPr>
          <w:spacing w:val="5"/>
        </w:rPr>
        <w:t xml:space="preserve"> </w:t>
      </w:r>
      <w:r>
        <w:rPr>
          <w:spacing w:val="-1"/>
        </w:rPr>
        <w:t>not</w:t>
      </w:r>
      <w:r>
        <w:rPr>
          <w:spacing w:val="7"/>
        </w:rPr>
        <w:t xml:space="preserve"> </w:t>
      </w:r>
      <w:r>
        <w:rPr>
          <w:spacing w:val="-1"/>
        </w:rPr>
        <w:t>unreasonably</w:t>
      </w:r>
      <w:r>
        <w:rPr>
          <w:spacing w:val="5"/>
        </w:rPr>
        <w:t xml:space="preserve"> </w:t>
      </w:r>
      <w:r>
        <w:rPr>
          <w:spacing w:val="-1"/>
        </w:rPr>
        <w:t>disrupt</w:t>
      </w:r>
      <w:r>
        <w:rPr>
          <w:spacing w:val="9"/>
        </w:rPr>
        <w:t xml:space="preserve"> </w:t>
      </w:r>
      <w:r>
        <w:t>the</w:t>
      </w:r>
      <w:r>
        <w:rPr>
          <w:spacing w:val="5"/>
        </w:rPr>
        <w:t xml:space="preserve"> </w:t>
      </w:r>
      <w:r>
        <w:rPr>
          <w:spacing w:val="-2"/>
        </w:rPr>
        <w:t>Supplier</w:t>
      </w:r>
      <w:r>
        <w:rPr>
          <w:spacing w:val="9"/>
        </w:rPr>
        <w:t xml:space="preserve"> </w:t>
      </w:r>
      <w:r>
        <w:rPr>
          <w:spacing w:val="-1"/>
        </w:rPr>
        <w:t>or</w:t>
      </w:r>
      <w:r>
        <w:rPr>
          <w:spacing w:val="9"/>
        </w:rPr>
        <w:t xml:space="preserve"> </w:t>
      </w:r>
      <w:r>
        <w:rPr>
          <w:spacing w:val="-1"/>
        </w:rPr>
        <w:t>delay</w:t>
      </w:r>
      <w:r>
        <w:rPr>
          <w:spacing w:val="5"/>
        </w:rPr>
        <w:t xml:space="preserve"> </w:t>
      </w:r>
      <w:r>
        <w:t>the</w:t>
      </w:r>
      <w:r>
        <w:rPr>
          <w:spacing w:val="7"/>
        </w:rPr>
        <w:t xml:space="preserve"> </w:t>
      </w:r>
      <w:r>
        <w:rPr>
          <w:spacing w:val="-2"/>
        </w:rPr>
        <w:t>provision</w:t>
      </w:r>
      <w:r>
        <w:rPr>
          <w:spacing w:val="7"/>
        </w:rPr>
        <w:t xml:space="preserve"> </w:t>
      </w:r>
      <w:r>
        <w:rPr>
          <w:spacing w:val="-2"/>
        </w:rPr>
        <w:t>of</w:t>
      </w:r>
      <w:r>
        <w:rPr>
          <w:spacing w:val="9"/>
        </w:rPr>
        <w:t xml:space="preserve"> </w:t>
      </w:r>
      <w:r>
        <w:rPr>
          <w:spacing w:val="-1"/>
        </w:rPr>
        <w:t>the</w:t>
      </w:r>
      <w:r>
        <w:rPr>
          <w:spacing w:val="47"/>
        </w:rPr>
        <w:t xml:space="preserve"> </w:t>
      </w:r>
      <w:r>
        <w:rPr>
          <w:spacing w:val="-1"/>
        </w:rPr>
        <w:t>Goods</w:t>
      </w:r>
      <w:r>
        <w:rPr>
          <w:spacing w:val="39"/>
        </w:rPr>
        <w:t xml:space="preserve"> </w:t>
      </w:r>
      <w:r>
        <w:rPr>
          <w:spacing w:val="-1"/>
        </w:rPr>
        <w:t>and/or</w:t>
      </w:r>
      <w:r>
        <w:rPr>
          <w:spacing w:val="40"/>
        </w:rPr>
        <w:t xml:space="preserve"> </w:t>
      </w:r>
      <w:r>
        <w:rPr>
          <w:spacing w:val="-1"/>
        </w:rPr>
        <w:t>Services</w:t>
      </w:r>
      <w:r>
        <w:rPr>
          <w:spacing w:val="42"/>
        </w:rPr>
        <w:t xml:space="preserve"> </w:t>
      </w:r>
      <w:r>
        <w:rPr>
          <w:spacing w:val="-1"/>
        </w:rPr>
        <w:t>save</w:t>
      </w:r>
      <w:r>
        <w:rPr>
          <w:spacing w:val="38"/>
        </w:rPr>
        <w:t xml:space="preserve"> </w:t>
      </w:r>
      <w:r>
        <w:rPr>
          <w:spacing w:val="-1"/>
        </w:rPr>
        <w:t>insofar</w:t>
      </w:r>
      <w:r>
        <w:rPr>
          <w:spacing w:val="40"/>
        </w:rPr>
        <w:t xml:space="preserve"> </w:t>
      </w:r>
      <w:r>
        <w:rPr>
          <w:spacing w:val="-1"/>
        </w:rPr>
        <w:t>as</w:t>
      </w:r>
      <w:r>
        <w:rPr>
          <w:spacing w:val="39"/>
        </w:rPr>
        <w:t xml:space="preserve"> </w:t>
      </w:r>
      <w:r>
        <w:t>the</w:t>
      </w:r>
      <w:r>
        <w:rPr>
          <w:spacing w:val="39"/>
        </w:rPr>
        <w:t xml:space="preserve"> </w:t>
      </w:r>
      <w:r>
        <w:rPr>
          <w:spacing w:val="-2"/>
        </w:rPr>
        <w:t>Supplier</w:t>
      </w:r>
      <w:r>
        <w:rPr>
          <w:spacing w:val="40"/>
        </w:rPr>
        <w:t xml:space="preserve"> </w:t>
      </w:r>
      <w:r>
        <w:rPr>
          <w:spacing w:val="-1"/>
        </w:rPr>
        <w:t>accepts</w:t>
      </w:r>
      <w:r>
        <w:rPr>
          <w:spacing w:val="39"/>
        </w:rPr>
        <w:t xml:space="preserve"> </w:t>
      </w:r>
      <w:r>
        <w:rPr>
          <w:spacing w:val="-1"/>
        </w:rPr>
        <w:t>and</w:t>
      </w:r>
      <w:r>
        <w:rPr>
          <w:spacing w:val="38"/>
        </w:rPr>
        <w:t xml:space="preserve"> </w:t>
      </w:r>
      <w:r>
        <w:rPr>
          <w:spacing w:val="-1"/>
        </w:rPr>
        <w:t>acknowledges</w:t>
      </w:r>
      <w:r>
        <w:rPr>
          <w:spacing w:val="47"/>
        </w:rPr>
        <w:t xml:space="preserve"> </w:t>
      </w:r>
      <w:r>
        <w:rPr>
          <w:spacing w:val="-1"/>
        </w:rPr>
        <w:t>that</w:t>
      </w:r>
      <w:r>
        <w:rPr>
          <w:spacing w:val="4"/>
        </w:rPr>
        <w:t xml:space="preserve"> </w:t>
      </w:r>
      <w:r>
        <w:rPr>
          <w:spacing w:val="-1"/>
        </w:rPr>
        <w:t>control</w:t>
      </w:r>
      <w:r>
        <w:rPr>
          <w:spacing w:val="4"/>
        </w:rPr>
        <w:t xml:space="preserve"> </w:t>
      </w:r>
      <w:r>
        <w:rPr>
          <w:spacing w:val="-2"/>
        </w:rPr>
        <w:t>over</w:t>
      </w:r>
      <w:r>
        <w:rPr>
          <w:spacing w:val="6"/>
        </w:rPr>
        <w:t xml:space="preserve"> </w:t>
      </w:r>
      <w:r>
        <w:t>the</w:t>
      </w:r>
      <w:r>
        <w:rPr>
          <w:spacing w:val="3"/>
        </w:rPr>
        <w:t xml:space="preserve"> </w:t>
      </w:r>
      <w:r>
        <w:rPr>
          <w:spacing w:val="-1"/>
        </w:rPr>
        <w:t>conduct</w:t>
      </w:r>
      <w:r>
        <w:rPr>
          <w:spacing w:val="7"/>
        </w:rPr>
        <w:t xml:space="preserve"> </w:t>
      </w:r>
      <w:r>
        <w:rPr>
          <w:spacing w:val="-2"/>
        </w:rPr>
        <w:t>of</w:t>
      </w:r>
      <w:r>
        <w:rPr>
          <w:spacing w:val="7"/>
        </w:rPr>
        <w:t xml:space="preserve"> </w:t>
      </w:r>
      <w:r>
        <w:rPr>
          <w:spacing w:val="-1"/>
        </w:rPr>
        <w:t>audits</w:t>
      </w:r>
      <w:r>
        <w:rPr>
          <w:spacing w:val="5"/>
        </w:rPr>
        <w:t xml:space="preserve"> </w:t>
      </w:r>
      <w:r>
        <w:rPr>
          <w:spacing w:val="-1"/>
        </w:rPr>
        <w:t>carried</w:t>
      </w:r>
      <w:r>
        <w:rPr>
          <w:spacing w:val="5"/>
        </w:rPr>
        <w:t xml:space="preserve"> </w:t>
      </w:r>
      <w:r>
        <w:rPr>
          <w:spacing w:val="-2"/>
        </w:rPr>
        <w:t>out</w:t>
      </w:r>
      <w:r>
        <w:rPr>
          <w:spacing w:val="4"/>
        </w:rPr>
        <w:t xml:space="preserve"> </w:t>
      </w:r>
      <w:r>
        <w:rPr>
          <w:spacing w:val="-1"/>
        </w:rPr>
        <w:t>by</w:t>
      </w:r>
      <w:r>
        <w:rPr>
          <w:spacing w:val="3"/>
        </w:rPr>
        <w:t xml:space="preserve"> </w:t>
      </w:r>
      <w:r>
        <w:t>the</w:t>
      </w:r>
      <w:r>
        <w:rPr>
          <w:spacing w:val="5"/>
        </w:rPr>
        <w:t xml:space="preserve"> </w:t>
      </w:r>
      <w:r>
        <w:rPr>
          <w:spacing w:val="-1"/>
        </w:rPr>
        <w:t>Auditor(s)</w:t>
      </w:r>
      <w:r>
        <w:rPr>
          <w:spacing w:val="6"/>
        </w:rPr>
        <w:t xml:space="preserve"> </w:t>
      </w:r>
      <w:r>
        <w:rPr>
          <w:spacing w:val="-1"/>
        </w:rPr>
        <w:t>is</w:t>
      </w:r>
      <w:r>
        <w:rPr>
          <w:spacing w:val="5"/>
        </w:rPr>
        <w:t xml:space="preserve"> </w:t>
      </w:r>
      <w:r>
        <w:rPr>
          <w:spacing w:val="-2"/>
        </w:rPr>
        <w:t>outside</w:t>
      </w:r>
      <w:r>
        <w:rPr>
          <w:spacing w:val="5"/>
        </w:rPr>
        <w:t xml:space="preserve"> </w:t>
      </w:r>
      <w:r>
        <w:rPr>
          <w:spacing w:val="-2"/>
        </w:rPr>
        <w:t>of</w:t>
      </w:r>
      <w:r>
        <w:rPr>
          <w:spacing w:val="6"/>
        </w:rPr>
        <w:t xml:space="preserve"> </w:t>
      </w:r>
      <w:r>
        <w:rPr>
          <w:spacing w:val="-1"/>
        </w:rPr>
        <w:t>the</w:t>
      </w:r>
      <w:r>
        <w:rPr>
          <w:spacing w:val="42"/>
        </w:rPr>
        <w:t xml:space="preserve"> </w:t>
      </w:r>
      <w:r>
        <w:rPr>
          <w:spacing w:val="-1"/>
        </w:rPr>
        <w:t>control</w:t>
      </w:r>
      <w:r>
        <w:t xml:space="preserve"> </w:t>
      </w:r>
      <w:r>
        <w:rPr>
          <w:spacing w:val="-2"/>
        </w:rPr>
        <w:t>of</w:t>
      </w:r>
      <w:r>
        <w:t xml:space="preserve"> the</w:t>
      </w:r>
      <w:r>
        <w:rPr>
          <w:spacing w:val="-2"/>
        </w:rPr>
        <w:t xml:space="preserve"> </w:t>
      </w:r>
      <w:r>
        <w:rPr>
          <w:spacing w:val="-1"/>
        </w:rPr>
        <w:t>Customer.</w:t>
      </w:r>
    </w:p>
    <w:p w:rsidR="008918FA" w:rsidRDefault="008918FA" w:rsidP="008918FA">
      <w:pPr>
        <w:pStyle w:val="BodyText"/>
        <w:numPr>
          <w:ilvl w:val="1"/>
          <w:numId w:val="66"/>
        </w:numPr>
        <w:tabs>
          <w:tab w:val="left" w:pos="1233"/>
        </w:tabs>
        <w:spacing w:before="121"/>
        <w:ind w:left="1028" w:right="114" w:hanging="360"/>
        <w:jc w:val="both"/>
      </w:pPr>
      <w:r>
        <w:rPr>
          <w:spacing w:val="-1"/>
        </w:rPr>
        <w:t>Subject</w:t>
      </w:r>
      <w:r>
        <w:t xml:space="preserve"> to</w:t>
      </w:r>
      <w:r>
        <w:rPr>
          <w:spacing w:val="-2"/>
        </w:rPr>
        <w:t xml:space="preserve"> </w:t>
      </w:r>
      <w:r>
        <w:t xml:space="preserve">the </w:t>
      </w:r>
      <w:r>
        <w:rPr>
          <w:spacing w:val="-2"/>
        </w:rPr>
        <w:t xml:space="preserve">Supplier’s </w:t>
      </w:r>
      <w:r>
        <w:rPr>
          <w:spacing w:val="-1"/>
        </w:rPr>
        <w:t>rights</w:t>
      </w:r>
      <w:r>
        <w:rPr>
          <w:spacing w:val="1"/>
        </w:rP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Confidential</w:t>
      </w:r>
      <w:r>
        <w:t xml:space="preserve"> </w:t>
      </w:r>
      <w:r>
        <w:rPr>
          <w:spacing w:val="-1"/>
        </w:rPr>
        <w:t>Information,</w:t>
      </w:r>
      <w:r>
        <w:t xml:space="preserve"> the</w:t>
      </w:r>
      <w:r>
        <w:rPr>
          <w:spacing w:val="-2"/>
        </w:rPr>
        <w:t xml:space="preserve"> Supplier</w:t>
      </w:r>
      <w:r>
        <w:rPr>
          <w:spacing w:val="58"/>
        </w:rPr>
        <w:t xml:space="preserve"> </w:t>
      </w:r>
      <w:r>
        <w:rPr>
          <w:spacing w:val="-1"/>
        </w:rPr>
        <w:t>shall</w:t>
      </w:r>
      <w:r>
        <w:rPr>
          <w:spacing w:val="13"/>
        </w:rPr>
        <w:t xml:space="preserve"> </w:t>
      </w:r>
      <w:r>
        <w:rPr>
          <w:spacing w:val="-1"/>
        </w:rPr>
        <w:t>on</w:t>
      </w:r>
      <w:r>
        <w:rPr>
          <w:spacing w:val="14"/>
        </w:rPr>
        <w:t xml:space="preserve"> </w:t>
      </w:r>
      <w:r>
        <w:rPr>
          <w:spacing w:val="-1"/>
        </w:rPr>
        <w:t>demand</w:t>
      </w:r>
      <w:r>
        <w:rPr>
          <w:spacing w:val="14"/>
        </w:rPr>
        <w:t xml:space="preserve"> </w:t>
      </w:r>
      <w:r>
        <w:rPr>
          <w:spacing w:val="-2"/>
        </w:rPr>
        <w:t>provide</w:t>
      </w:r>
      <w:r>
        <w:rPr>
          <w:spacing w:val="13"/>
        </w:rPr>
        <w:t xml:space="preserve"> </w:t>
      </w:r>
      <w:r>
        <w:t>the</w:t>
      </w:r>
      <w:r>
        <w:rPr>
          <w:spacing w:val="14"/>
        </w:rPr>
        <w:t xml:space="preserve"> </w:t>
      </w:r>
      <w:r>
        <w:rPr>
          <w:spacing w:val="-1"/>
        </w:rPr>
        <w:t>Auditor(s)</w:t>
      </w:r>
      <w:r>
        <w:rPr>
          <w:spacing w:val="15"/>
        </w:rPr>
        <w:t xml:space="preserve"> </w:t>
      </w:r>
      <w:r>
        <w:rPr>
          <w:spacing w:val="-2"/>
        </w:rPr>
        <w:t>with</w:t>
      </w:r>
      <w:r>
        <w:rPr>
          <w:spacing w:val="11"/>
        </w:rPr>
        <w:t xml:space="preserve"> </w:t>
      </w:r>
      <w:r>
        <w:rPr>
          <w:spacing w:val="-1"/>
        </w:rPr>
        <w:t>all</w:t>
      </w:r>
      <w:r>
        <w:rPr>
          <w:spacing w:val="13"/>
        </w:rPr>
        <w:t xml:space="preserve"> </w:t>
      </w:r>
      <w:r>
        <w:rPr>
          <w:spacing w:val="-1"/>
        </w:rPr>
        <w:t>reasonable</w:t>
      </w:r>
      <w:r>
        <w:rPr>
          <w:spacing w:val="14"/>
        </w:rPr>
        <w:t xml:space="preserve"> </w:t>
      </w:r>
      <w:r>
        <w:rPr>
          <w:spacing w:val="-1"/>
        </w:rPr>
        <w:t>co-operation</w:t>
      </w:r>
      <w:r>
        <w:rPr>
          <w:spacing w:val="14"/>
        </w:rPr>
        <w:t xml:space="preserve"> </w:t>
      </w:r>
      <w:r>
        <w:rPr>
          <w:spacing w:val="-1"/>
        </w:rPr>
        <w:t>and</w:t>
      </w:r>
      <w:r>
        <w:rPr>
          <w:spacing w:val="32"/>
        </w:rPr>
        <w:t xml:space="preserve"> </w:t>
      </w:r>
      <w:r>
        <w:rPr>
          <w:spacing w:val="-1"/>
        </w:rPr>
        <w:t>assistance</w:t>
      </w:r>
      <w:r>
        <w:rPr>
          <w:spacing w:val="1"/>
        </w:rPr>
        <w:t xml:space="preserve"> </w:t>
      </w:r>
      <w:r>
        <w:rPr>
          <w:spacing w:val="-2"/>
        </w:rPr>
        <w:t>in:</w:t>
      </w:r>
    </w:p>
    <w:p w:rsidR="008918FA" w:rsidRDefault="008918FA" w:rsidP="008918FA">
      <w:pPr>
        <w:pStyle w:val="BodyText"/>
        <w:numPr>
          <w:ilvl w:val="2"/>
          <w:numId w:val="66"/>
        </w:numPr>
        <w:tabs>
          <w:tab w:val="left" w:pos="2227"/>
        </w:tabs>
        <w:ind w:right="114"/>
        <w:jc w:val="both"/>
      </w:pPr>
      <w:r>
        <w:rPr>
          <w:spacing w:val="-1"/>
        </w:rPr>
        <w:t>all</w:t>
      </w:r>
      <w:r>
        <w:rPr>
          <w:spacing w:val="5"/>
        </w:rPr>
        <w:t xml:space="preserve"> </w:t>
      </w:r>
      <w:r>
        <w:rPr>
          <w:spacing w:val="-1"/>
        </w:rPr>
        <w:t>reasonable</w:t>
      </w:r>
      <w:r>
        <w:rPr>
          <w:spacing w:val="5"/>
        </w:rPr>
        <w:t xml:space="preserve"> </w:t>
      </w:r>
      <w:r>
        <w:rPr>
          <w:spacing w:val="-1"/>
        </w:rPr>
        <w:t>information</w:t>
      </w:r>
      <w:r>
        <w:rPr>
          <w:spacing w:val="5"/>
        </w:rPr>
        <w:t xml:space="preserve"> </w:t>
      </w:r>
      <w:r>
        <w:rPr>
          <w:spacing w:val="-1"/>
        </w:rPr>
        <w:t>requested</w:t>
      </w:r>
      <w:r>
        <w:rPr>
          <w:spacing w:val="3"/>
        </w:rPr>
        <w:t xml:space="preserve"> </w:t>
      </w:r>
      <w:r>
        <w:rPr>
          <w:spacing w:val="-1"/>
        </w:rPr>
        <w:t>by</w:t>
      </w:r>
      <w:r>
        <w:rPr>
          <w:spacing w:val="3"/>
        </w:rPr>
        <w:t xml:space="preserve"> </w:t>
      </w:r>
      <w:r>
        <w:t>the</w:t>
      </w:r>
      <w:r>
        <w:rPr>
          <w:spacing w:val="5"/>
        </w:rPr>
        <w:t xml:space="preserve"> </w:t>
      </w:r>
      <w:r>
        <w:rPr>
          <w:spacing w:val="-1"/>
        </w:rPr>
        <w:t>Customer</w:t>
      </w:r>
      <w:r>
        <w:rPr>
          <w:spacing w:val="6"/>
        </w:rPr>
        <w:t xml:space="preserve"> </w:t>
      </w:r>
      <w:r>
        <w:rPr>
          <w:spacing w:val="-2"/>
        </w:rPr>
        <w:t>within</w:t>
      </w:r>
      <w:r>
        <w:rPr>
          <w:spacing w:val="5"/>
        </w:rPr>
        <w:t xml:space="preserve"> </w:t>
      </w:r>
      <w:r>
        <w:t>the</w:t>
      </w:r>
      <w:r>
        <w:rPr>
          <w:spacing w:val="5"/>
        </w:rPr>
        <w:t xml:space="preserve"> </w:t>
      </w:r>
      <w:r>
        <w:rPr>
          <w:spacing w:val="-1"/>
        </w:rPr>
        <w:t>scope</w:t>
      </w:r>
      <w:r>
        <w:rPr>
          <w:spacing w:val="30"/>
        </w:rPr>
        <w:t xml:space="preserve"> </w:t>
      </w:r>
      <w:r>
        <w:rPr>
          <w:spacing w:val="-2"/>
        </w:rPr>
        <w:t>of</w:t>
      </w:r>
      <w:r>
        <w:rPr>
          <w:spacing w:val="2"/>
        </w:rPr>
        <w:t xml:space="preserve"> </w:t>
      </w:r>
      <w:r>
        <w:t xml:space="preserve">the </w:t>
      </w:r>
      <w:r>
        <w:rPr>
          <w:spacing w:val="-2"/>
        </w:rPr>
        <w:t>audit;</w:t>
      </w:r>
    </w:p>
    <w:p w:rsidR="008918FA" w:rsidRDefault="008918FA" w:rsidP="008918FA">
      <w:pPr>
        <w:pStyle w:val="BodyText"/>
        <w:numPr>
          <w:ilvl w:val="2"/>
          <w:numId w:val="66"/>
        </w:numPr>
        <w:tabs>
          <w:tab w:val="left" w:pos="2227"/>
        </w:tabs>
        <w:spacing w:before="121"/>
        <w:ind w:right="114"/>
        <w:jc w:val="both"/>
      </w:pPr>
      <w:r>
        <w:rPr>
          <w:spacing w:val="-1"/>
        </w:rPr>
        <w:t>reasonable</w:t>
      </w:r>
      <w:r>
        <w:rPr>
          <w:spacing w:val="9"/>
        </w:rPr>
        <w:t xml:space="preserve"> </w:t>
      </w:r>
      <w:r>
        <w:rPr>
          <w:spacing w:val="-1"/>
        </w:rPr>
        <w:t>access</w:t>
      </w:r>
      <w:r>
        <w:rPr>
          <w:spacing w:val="7"/>
        </w:rPr>
        <w:t xml:space="preserve"> </w:t>
      </w:r>
      <w:r>
        <w:t>to</w:t>
      </w:r>
      <w:r>
        <w:rPr>
          <w:spacing w:val="4"/>
        </w:rPr>
        <w:t xml:space="preserve"> </w:t>
      </w:r>
      <w:r>
        <w:rPr>
          <w:spacing w:val="-1"/>
        </w:rPr>
        <w:t>sites</w:t>
      </w:r>
      <w:r>
        <w:rPr>
          <w:spacing w:val="9"/>
        </w:rPr>
        <w:t xml:space="preserve"> </w:t>
      </w:r>
      <w:r>
        <w:rPr>
          <w:spacing w:val="-1"/>
        </w:rPr>
        <w:t>controlled</w:t>
      </w:r>
      <w:r>
        <w:rPr>
          <w:spacing w:val="9"/>
        </w:rPr>
        <w:t xml:space="preserve"> </w:t>
      </w:r>
      <w:r>
        <w:rPr>
          <w:spacing w:val="-1"/>
        </w:rPr>
        <w:t>by</w:t>
      </w:r>
      <w:r>
        <w:rPr>
          <w:spacing w:val="7"/>
        </w:rPr>
        <w:t xml:space="preserve"> </w:t>
      </w:r>
      <w:r>
        <w:t>the</w:t>
      </w:r>
      <w:r>
        <w:rPr>
          <w:spacing w:val="6"/>
        </w:rPr>
        <w:t xml:space="preserve"> </w:t>
      </w:r>
      <w:r>
        <w:rPr>
          <w:spacing w:val="-2"/>
        </w:rPr>
        <w:t>Supplier</w:t>
      </w:r>
      <w:r>
        <w:rPr>
          <w:spacing w:val="10"/>
        </w:rPr>
        <w:t xml:space="preserve"> </w:t>
      </w:r>
      <w:r>
        <w:rPr>
          <w:spacing w:val="-1"/>
        </w:rPr>
        <w:t>and</w:t>
      </w:r>
      <w:r>
        <w:rPr>
          <w:spacing w:val="6"/>
        </w:rPr>
        <w:t xml:space="preserve"> </w:t>
      </w:r>
      <w:r>
        <w:t>to</w:t>
      </w:r>
      <w:r>
        <w:rPr>
          <w:spacing w:val="9"/>
        </w:rPr>
        <w:t xml:space="preserve"> </w:t>
      </w:r>
      <w:r>
        <w:rPr>
          <w:spacing w:val="-1"/>
        </w:rPr>
        <w:t>any</w:t>
      </w:r>
      <w:r>
        <w:rPr>
          <w:spacing w:val="38"/>
        </w:rPr>
        <w:t xml:space="preserve"> </w:t>
      </w:r>
      <w:r>
        <w:rPr>
          <w:spacing w:val="-2"/>
        </w:rPr>
        <w:t>Supplier</w:t>
      </w:r>
      <w:r>
        <w:rPr>
          <w:spacing w:val="41"/>
        </w:rPr>
        <w:t xml:space="preserve"> </w:t>
      </w:r>
      <w:r>
        <w:rPr>
          <w:spacing w:val="-1"/>
        </w:rPr>
        <w:t>Equipment</w:t>
      </w:r>
      <w:r>
        <w:rPr>
          <w:spacing w:val="41"/>
        </w:rPr>
        <w:t xml:space="preserve"> </w:t>
      </w:r>
      <w:r>
        <w:rPr>
          <w:spacing w:val="-2"/>
        </w:rPr>
        <w:t>used</w:t>
      </w:r>
      <w:r>
        <w:rPr>
          <w:spacing w:val="40"/>
        </w:rPr>
        <w:t xml:space="preserve"> </w:t>
      </w:r>
      <w:r>
        <w:rPr>
          <w:spacing w:val="-1"/>
        </w:rPr>
        <w:t>in</w:t>
      </w:r>
      <w:r>
        <w:rPr>
          <w:spacing w:val="40"/>
        </w:rPr>
        <w:t xml:space="preserve"> </w:t>
      </w:r>
      <w:r>
        <w:t>the</w:t>
      </w:r>
      <w:r>
        <w:rPr>
          <w:spacing w:val="40"/>
        </w:rPr>
        <w:t xml:space="preserve"> </w:t>
      </w:r>
      <w:r>
        <w:rPr>
          <w:spacing w:val="-2"/>
        </w:rPr>
        <w:t>provision</w:t>
      </w:r>
      <w:r>
        <w:rPr>
          <w:spacing w:val="40"/>
        </w:rPr>
        <w:t xml:space="preserve"> </w:t>
      </w:r>
      <w:r>
        <w:rPr>
          <w:spacing w:val="-1"/>
        </w:rPr>
        <w:t>of</w:t>
      </w:r>
      <w:r>
        <w:rPr>
          <w:spacing w:val="42"/>
        </w:rPr>
        <w:t xml:space="preserve"> </w:t>
      </w:r>
      <w:r>
        <w:t>the</w:t>
      </w:r>
      <w:r>
        <w:rPr>
          <w:spacing w:val="40"/>
        </w:rPr>
        <w:t xml:space="preserve"> </w:t>
      </w:r>
      <w:r>
        <w:rPr>
          <w:spacing w:val="-1"/>
        </w:rPr>
        <w:t>Goods</w:t>
      </w:r>
      <w:r>
        <w:rPr>
          <w:spacing w:val="40"/>
        </w:rPr>
        <w:t xml:space="preserve"> </w:t>
      </w:r>
      <w:r>
        <w:rPr>
          <w:spacing w:val="-1"/>
        </w:rPr>
        <w:t>and/or</w:t>
      </w:r>
      <w:r>
        <w:rPr>
          <w:spacing w:val="47"/>
        </w:rPr>
        <w:t xml:space="preserve"> </w:t>
      </w:r>
      <w:r>
        <w:rPr>
          <w:spacing w:val="-1"/>
        </w:rPr>
        <w:t>Services;</w:t>
      </w:r>
      <w:r>
        <w:rPr>
          <w:spacing w:val="2"/>
        </w:rPr>
        <w:t xml:space="preserve"> </w:t>
      </w:r>
      <w:r>
        <w:rPr>
          <w:spacing w:val="-1"/>
        </w:rPr>
        <w:t>and</w:t>
      </w:r>
    </w:p>
    <w:p w:rsidR="008918FA" w:rsidRDefault="008918FA" w:rsidP="008918FA">
      <w:pPr>
        <w:pStyle w:val="BodyText"/>
        <w:numPr>
          <w:ilvl w:val="2"/>
          <w:numId w:val="66"/>
        </w:numPr>
        <w:tabs>
          <w:tab w:val="left" w:pos="2227"/>
        </w:tabs>
      </w:pPr>
      <w:r>
        <w:rPr>
          <w:spacing w:val="-1"/>
        </w:rPr>
        <w:t xml:space="preserve">access </w:t>
      </w:r>
      <w:r>
        <w:t>to</w:t>
      </w:r>
      <w:r>
        <w:rPr>
          <w:spacing w:val="-2"/>
        </w:rPr>
        <w:t xml:space="preserve"> </w:t>
      </w:r>
      <w:r>
        <w:t xml:space="preserve">the </w:t>
      </w:r>
      <w:r>
        <w:rPr>
          <w:spacing w:val="-2"/>
        </w:rPr>
        <w:t>Supplier</w:t>
      </w:r>
      <w:r>
        <w:rPr>
          <w:spacing w:val="-1"/>
        </w:rPr>
        <w:t xml:space="preserve"> Personnel.</w:t>
      </w:r>
    </w:p>
    <w:p w:rsidR="008918FA" w:rsidRDefault="008918FA" w:rsidP="008918FA">
      <w:pPr>
        <w:pStyle w:val="BodyText"/>
        <w:numPr>
          <w:ilvl w:val="1"/>
          <w:numId w:val="66"/>
        </w:numPr>
        <w:tabs>
          <w:tab w:val="left" w:pos="1233"/>
        </w:tabs>
        <w:spacing w:before="121"/>
        <w:ind w:left="1028" w:right="111" w:hanging="360"/>
        <w:jc w:val="both"/>
      </w:pPr>
      <w:bookmarkStart w:id="134" w:name="_bookmark117"/>
      <w:bookmarkEnd w:id="134"/>
      <w:r>
        <w:t>The</w:t>
      </w:r>
      <w:r>
        <w:rPr>
          <w:spacing w:val="17"/>
        </w:rPr>
        <w:t xml:space="preserve"> </w:t>
      </w:r>
      <w:r>
        <w:rPr>
          <w:spacing w:val="-1"/>
        </w:rPr>
        <w:t>Parties</w:t>
      </w:r>
      <w:r>
        <w:rPr>
          <w:spacing w:val="18"/>
        </w:rPr>
        <w:t xml:space="preserve"> </w:t>
      </w:r>
      <w:r>
        <w:rPr>
          <w:spacing w:val="-1"/>
        </w:rPr>
        <w:t>agree</w:t>
      </w:r>
      <w:r>
        <w:rPr>
          <w:spacing w:val="17"/>
        </w:rPr>
        <w:t xml:space="preserve"> </w:t>
      </w:r>
      <w:r>
        <w:rPr>
          <w:spacing w:val="-1"/>
        </w:rPr>
        <w:t>that</w:t>
      </w:r>
      <w:r>
        <w:rPr>
          <w:spacing w:val="19"/>
        </w:rPr>
        <w:t xml:space="preserve"> </w:t>
      </w:r>
      <w:r>
        <w:rPr>
          <w:spacing w:val="-1"/>
        </w:rPr>
        <w:t>they</w:t>
      </w:r>
      <w:r>
        <w:rPr>
          <w:spacing w:val="15"/>
        </w:rPr>
        <w:t xml:space="preserve"> </w:t>
      </w:r>
      <w:r>
        <w:rPr>
          <w:spacing w:val="-1"/>
        </w:rPr>
        <w:t>shall</w:t>
      </w:r>
      <w:r>
        <w:rPr>
          <w:spacing w:val="17"/>
        </w:rPr>
        <w:t xml:space="preserve"> </w:t>
      </w:r>
      <w:r>
        <w:rPr>
          <w:spacing w:val="-1"/>
        </w:rPr>
        <w:t>bear</w:t>
      </w:r>
      <w:r>
        <w:rPr>
          <w:spacing w:val="19"/>
        </w:rPr>
        <w:t xml:space="preserve"> </w:t>
      </w:r>
      <w:r>
        <w:rPr>
          <w:spacing w:val="-1"/>
        </w:rPr>
        <w:t>their</w:t>
      </w:r>
      <w:r>
        <w:rPr>
          <w:spacing w:val="19"/>
        </w:rPr>
        <w:t xml:space="preserve"> </w:t>
      </w:r>
      <w:r>
        <w:rPr>
          <w:spacing w:val="-2"/>
        </w:rPr>
        <w:t>own</w:t>
      </w:r>
      <w:r>
        <w:rPr>
          <w:spacing w:val="20"/>
        </w:rPr>
        <w:t xml:space="preserve"> </w:t>
      </w:r>
      <w:r>
        <w:rPr>
          <w:spacing w:val="-1"/>
        </w:rPr>
        <w:t>respective</w:t>
      </w:r>
      <w:r>
        <w:rPr>
          <w:spacing w:val="17"/>
        </w:rPr>
        <w:t xml:space="preserve"> </w:t>
      </w:r>
      <w:r>
        <w:rPr>
          <w:spacing w:val="-1"/>
        </w:rPr>
        <w:t>costs</w:t>
      </w:r>
      <w:r>
        <w:rPr>
          <w:spacing w:val="18"/>
        </w:rPr>
        <w:t xml:space="preserve"> </w:t>
      </w:r>
      <w:r>
        <w:rPr>
          <w:spacing w:val="-1"/>
        </w:rPr>
        <w:t>and</w:t>
      </w:r>
      <w:r>
        <w:rPr>
          <w:spacing w:val="17"/>
        </w:rPr>
        <w:t xml:space="preserve"> </w:t>
      </w:r>
      <w:r>
        <w:rPr>
          <w:spacing w:val="-1"/>
        </w:rPr>
        <w:t>expenses</w:t>
      </w:r>
      <w:r>
        <w:rPr>
          <w:spacing w:val="47"/>
        </w:rPr>
        <w:t xml:space="preserve"> </w:t>
      </w:r>
      <w:r>
        <w:rPr>
          <w:spacing w:val="-1"/>
        </w:rPr>
        <w:t>incurred</w:t>
      </w:r>
      <w: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2"/>
        </w:rPr>
        <w:t>compliance</w:t>
      </w:r>
      <w:r>
        <w:rPr>
          <w:spacing w:val="1"/>
        </w:rPr>
        <w:t xml:space="preserve"> </w:t>
      </w:r>
      <w:r>
        <w:rPr>
          <w:spacing w:val="-2"/>
        </w:rPr>
        <w:t>with</w:t>
      </w:r>
      <w:r>
        <w:t xml:space="preserve"> </w:t>
      </w:r>
      <w:r>
        <w:rPr>
          <w:spacing w:val="-1"/>
        </w:rPr>
        <w:t>their</w:t>
      </w:r>
      <w:r>
        <w:rPr>
          <w:spacing w:val="2"/>
        </w:rPr>
        <w:t xml:space="preserve"> </w:t>
      </w:r>
      <w:r>
        <w:rPr>
          <w:spacing w:val="-1"/>
        </w:rPr>
        <w:t>obligations</w:t>
      </w:r>
      <w:r>
        <w:rPr>
          <w:spacing w:val="1"/>
        </w:rPr>
        <w:t xml:space="preserve"> </w:t>
      </w:r>
      <w:r>
        <w:rPr>
          <w:spacing w:val="-1"/>
        </w:rPr>
        <w:t>under this</w:t>
      </w:r>
      <w:r>
        <w:rPr>
          <w:spacing w:val="-2"/>
        </w:rPr>
        <w:t xml:space="preserve"> Clause</w:t>
      </w:r>
      <w:r>
        <w:rPr>
          <w:spacing w:val="1"/>
        </w:rPr>
        <w:t xml:space="preserve"> </w:t>
      </w:r>
      <w:hyperlink w:anchor="_bookmark115" w:history="1">
        <w:r>
          <w:rPr>
            <w:spacing w:val="-1"/>
          </w:rPr>
          <w:t>21</w:t>
        </w:r>
      </w:hyperlink>
      <w:r>
        <w:rPr>
          <w:spacing w:val="-1"/>
        </w:rPr>
        <w:t>,</w:t>
      </w:r>
      <w:r>
        <w:rPr>
          <w:spacing w:val="2"/>
        </w:rPr>
        <w:t xml:space="preserve"> </w:t>
      </w:r>
      <w:r>
        <w:rPr>
          <w:spacing w:val="-2"/>
        </w:rPr>
        <w:t>unless</w:t>
      </w:r>
      <w:r>
        <w:rPr>
          <w:spacing w:val="63"/>
        </w:rPr>
        <w:t xml:space="preserve"> </w:t>
      </w:r>
      <w:r>
        <w:t>the</w:t>
      </w:r>
      <w:r>
        <w:rPr>
          <w:spacing w:val="9"/>
        </w:rPr>
        <w:t xml:space="preserve"> </w:t>
      </w:r>
      <w:r>
        <w:rPr>
          <w:spacing w:val="-1"/>
        </w:rPr>
        <w:t>audit</w:t>
      </w:r>
      <w:r>
        <w:rPr>
          <w:spacing w:val="8"/>
        </w:rPr>
        <w:t xml:space="preserve"> </w:t>
      </w:r>
      <w:r>
        <w:rPr>
          <w:spacing w:val="-2"/>
        </w:rPr>
        <w:t>reveals</w:t>
      </w:r>
      <w:r>
        <w:rPr>
          <w:spacing w:val="9"/>
        </w:rPr>
        <w:t xml:space="preserve"> </w:t>
      </w:r>
      <w:r>
        <w:t>a</w:t>
      </w:r>
      <w:r>
        <w:rPr>
          <w:spacing w:val="9"/>
        </w:rPr>
        <w:t xml:space="preserve"> </w:t>
      </w:r>
      <w:r>
        <w:rPr>
          <w:spacing w:val="-2"/>
        </w:rPr>
        <w:t>Default</w:t>
      </w:r>
      <w:r>
        <w:rPr>
          <w:spacing w:val="11"/>
        </w:rPr>
        <w:t xml:space="preserve"> </w:t>
      </w:r>
      <w:r>
        <w:rPr>
          <w:spacing w:val="-1"/>
        </w:rPr>
        <w:t>by</w:t>
      </w:r>
      <w:r>
        <w:rPr>
          <w:spacing w:val="7"/>
        </w:rPr>
        <w:t xml:space="preserve"> </w:t>
      </w:r>
      <w:r>
        <w:t>the</w:t>
      </w:r>
      <w:r>
        <w:rPr>
          <w:spacing w:val="6"/>
        </w:rPr>
        <w:t xml:space="preserve"> </w:t>
      </w:r>
      <w:r>
        <w:rPr>
          <w:spacing w:val="-2"/>
        </w:rPr>
        <w:t>Supplier</w:t>
      </w:r>
      <w:r>
        <w:rPr>
          <w:spacing w:val="10"/>
        </w:rPr>
        <w:t xml:space="preserve"> </w:t>
      </w:r>
      <w:r>
        <w:rPr>
          <w:spacing w:val="-1"/>
        </w:rPr>
        <w:t>in</w:t>
      </w:r>
      <w:r>
        <w:rPr>
          <w:spacing w:val="6"/>
        </w:rPr>
        <w:t xml:space="preserve"> </w:t>
      </w:r>
      <w:r>
        <w:rPr>
          <w:spacing w:val="-2"/>
        </w:rPr>
        <w:t>which</w:t>
      </w:r>
      <w:r>
        <w:rPr>
          <w:spacing w:val="9"/>
        </w:rPr>
        <w:t xml:space="preserve"> </w:t>
      </w:r>
      <w:r>
        <w:rPr>
          <w:spacing w:val="-1"/>
        </w:rPr>
        <w:t>case</w:t>
      </w:r>
      <w:r>
        <w:rPr>
          <w:spacing w:val="9"/>
        </w:rPr>
        <w:t xml:space="preserve"> </w:t>
      </w:r>
      <w:r>
        <w:t>the</w:t>
      </w:r>
      <w:r>
        <w:rPr>
          <w:spacing w:val="9"/>
        </w:rPr>
        <w:t xml:space="preserve"> </w:t>
      </w:r>
      <w:r>
        <w:rPr>
          <w:spacing w:val="-2"/>
        </w:rPr>
        <w:t>Supplier</w:t>
      </w:r>
      <w:r>
        <w:rPr>
          <w:spacing w:val="10"/>
        </w:rPr>
        <w:t xml:space="preserve"> </w:t>
      </w:r>
      <w:r>
        <w:rPr>
          <w:spacing w:val="-1"/>
        </w:rPr>
        <w:t>shall</w:t>
      </w:r>
      <w:r>
        <w:rPr>
          <w:spacing w:val="61"/>
        </w:rPr>
        <w:t xml:space="preserve"> </w:t>
      </w:r>
      <w:r>
        <w:rPr>
          <w:spacing w:val="-1"/>
        </w:rPr>
        <w:t>reimburse</w:t>
      </w:r>
      <w:r>
        <w:rPr>
          <w:spacing w:val="3"/>
        </w:rPr>
        <w:t xml:space="preserve"> </w:t>
      </w:r>
      <w:r>
        <w:t>the</w:t>
      </w:r>
      <w:r>
        <w:rPr>
          <w:spacing w:val="5"/>
        </w:rPr>
        <w:t xml:space="preserve"> </w:t>
      </w:r>
      <w:r>
        <w:rPr>
          <w:spacing w:val="-1"/>
        </w:rPr>
        <w:t>Customer</w:t>
      </w:r>
      <w:r>
        <w:rPr>
          <w:spacing w:val="4"/>
        </w:rPr>
        <w:t xml:space="preserve"> </w:t>
      </w:r>
      <w:r>
        <w:t>for</w:t>
      </w:r>
      <w:r>
        <w:rPr>
          <w:spacing w:val="6"/>
        </w:rPr>
        <w:t xml:space="preserve"> </w:t>
      </w:r>
      <w:r>
        <w:t>the</w:t>
      </w:r>
      <w:r>
        <w:rPr>
          <w:spacing w:val="5"/>
        </w:rPr>
        <w:t xml:space="preserve"> </w:t>
      </w:r>
      <w:r>
        <w:rPr>
          <w:spacing w:val="-2"/>
        </w:rPr>
        <w:t>Customer's</w:t>
      </w:r>
      <w:r>
        <w:rPr>
          <w:spacing w:val="5"/>
        </w:rPr>
        <w:t xml:space="preserve"> </w:t>
      </w:r>
      <w:r>
        <w:rPr>
          <w:spacing w:val="-2"/>
        </w:rPr>
        <w:t>reasonable</w:t>
      </w:r>
      <w:r>
        <w:rPr>
          <w:spacing w:val="5"/>
        </w:rPr>
        <w:t xml:space="preserve"> </w:t>
      </w:r>
      <w:r>
        <w:rPr>
          <w:spacing w:val="-1"/>
        </w:rPr>
        <w:t>costs</w:t>
      </w:r>
      <w:r>
        <w:rPr>
          <w:spacing w:val="5"/>
        </w:rPr>
        <w:t xml:space="preserve"> </w:t>
      </w:r>
      <w:r>
        <w:rPr>
          <w:spacing w:val="-1"/>
        </w:rPr>
        <w:t>incurred</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61"/>
        </w:rPr>
        <w:t xml:space="preserve"> </w:t>
      </w:r>
      <w:r>
        <w:t xml:space="preserve">the </w:t>
      </w:r>
      <w:r>
        <w:rPr>
          <w:spacing w:val="-2"/>
        </w:rPr>
        <w:t>audit.</w:t>
      </w:r>
    </w:p>
    <w:p w:rsidR="008918FA" w:rsidRDefault="008918FA" w:rsidP="008918FA">
      <w:pPr>
        <w:pStyle w:val="BodyText"/>
        <w:numPr>
          <w:ilvl w:val="0"/>
          <w:numId w:val="66"/>
        </w:numPr>
        <w:tabs>
          <w:tab w:val="left" w:pos="667"/>
        </w:tabs>
        <w:spacing w:before="120"/>
        <w:ind w:left="666" w:hanging="566"/>
        <w:rPr>
          <w:rFonts w:ascii="Times New Roman" w:eastAsia="Times New Roman" w:hAnsi="Times New Roman" w:cs="Times New Roman"/>
        </w:rPr>
      </w:pPr>
      <w:bookmarkStart w:id="135" w:name="_bookmark118"/>
      <w:bookmarkEnd w:id="135"/>
      <w:r>
        <w:rPr>
          <w:rFonts w:ascii="Times New Roman"/>
          <w:spacing w:val="3"/>
        </w:rPr>
        <w:t>CHANGE</w:t>
      </w:r>
    </w:p>
    <w:p w:rsidR="008918FA" w:rsidRDefault="008918FA" w:rsidP="008918FA">
      <w:pPr>
        <w:spacing w:before="8"/>
        <w:rPr>
          <w:rFonts w:ascii="Times New Roman" w:eastAsia="Times New Roman" w:hAnsi="Times New Roman" w:cs="Times New Roman"/>
          <w:sz w:val="20"/>
          <w:szCs w:val="20"/>
        </w:rPr>
      </w:pPr>
    </w:p>
    <w:p w:rsidR="008918FA" w:rsidRDefault="008918FA" w:rsidP="008918FA">
      <w:pPr>
        <w:pStyle w:val="Heading1"/>
        <w:numPr>
          <w:ilvl w:val="1"/>
          <w:numId w:val="66"/>
        </w:numPr>
        <w:tabs>
          <w:tab w:val="left" w:pos="1234"/>
        </w:tabs>
        <w:spacing w:before="0"/>
        <w:ind w:left="1233" w:hanging="564"/>
        <w:rPr>
          <w:b w:val="0"/>
          <w:bCs w:val="0"/>
        </w:rPr>
      </w:pPr>
      <w:bookmarkStart w:id="136" w:name="_bookmark119"/>
      <w:bookmarkEnd w:id="136"/>
      <w:r>
        <w:rPr>
          <w:spacing w:val="-1"/>
        </w:rPr>
        <w:t>Variation</w:t>
      </w:r>
      <w:r>
        <w:t xml:space="preserve"> </w:t>
      </w:r>
      <w:r>
        <w:rPr>
          <w:spacing w:val="-1"/>
        </w:rPr>
        <w:t>Procedure</w:t>
      </w:r>
    </w:p>
    <w:p w:rsidR="008918FA" w:rsidRDefault="008918FA" w:rsidP="008918FA">
      <w:pPr>
        <w:pStyle w:val="BodyText"/>
        <w:numPr>
          <w:ilvl w:val="2"/>
          <w:numId w:val="66"/>
        </w:numPr>
        <w:tabs>
          <w:tab w:val="left" w:pos="2227"/>
        </w:tabs>
        <w:spacing w:before="122" w:line="239" w:lineRule="auto"/>
        <w:ind w:right="111" w:hanging="993"/>
        <w:jc w:val="both"/>
      </w:pPr>
      <w:r>
        <w:rPr>
          <w:spacing w:val="-1"/>
        </w:rPr>
        <w:t>Subject</w:t>
      </w:r>
      <w:r>
        <w:rPr>
          <w:spacing w:val="14"/>
        </w:rPr>
        <w:t xml:space="preserve"> </w:t>
      </w:r>
      <w:r>
        <w:t>to</w:t>
      </w:r>
      <w:r>
        <w:rPr>
          <w:spacing w:val="12"/>
        </w:rPr>
        <w:t xml:space="preserve"> </w:t>
      </w:r>
      <w:r>
        <w:t>the</w:t>
      </w:r>
      <w:r>
        <w:rPr>
          <w:spacing w:val="15"/>
        </w:rPr>
        <w:t xml:space="preserve"> </w:t>
      </w:r>
      <w:r>
        <w:rPr>
          <w:spacing w:val="-2"/>
        </w:rPr>
        <w:t>provisions</w:t>
      </w:r>
      <w:r>
        <w:rPr>
          <w:spacing w:val="15"/>
        </w:rPr>
        <w:t xml:space="preserve"> </w:t>
      </w:r>
      <w:r>
        <w:rPr>
          <w:spacing w:val="-2"/>
        </w:rPr>
        <w:t>of</w:t>
      </w:r>
      <w:r>
        <w:rPr>
          <w:spacing w:val="16"/>
        </w:rPr>
        <w:t xml:space="preserve"> </w:t>
      </w:r>
      <w:r>
        <w:rPr>
          <w:spacing w:val="-1"/>
        </w:rPr>
        <w:t>this</w:t>
      </w:r>
      <w:r>
        <w:rPr>
          <w:spacing w:val="15"/>
        </w:rPr>
        <w:t xml:space="preserve"> </w:t>
      </w:r>
      <w:r>
        <w:rPr>
          <w:spacing w:val="-2"/>
        </w:rPr>
        <w:t>Clause</w:t>
      </w:r>
      <w:r>
        <w:rPr>
          <w:spacing w:val="17"/>
        </w:rPr>
        <w:t xml:space="preserve"> </w:t>
      </w:r>
      <w:hyperlink w:anchor="_bookmark118" w:history="1">
        <w:bookmarkStart w:id="137" w:name="22._CHANGE"/>
        <w:bookmarkEnd w:id="137"/>
        <w:r>
          <w:rPr>
            <w:spacing w:val="-1"/>
          </w:rPr>
          <w:t>22</w:t>
        </w:r>
      </w:hyperlink>
      <w:r>
        <w:rPr>
          <w:spacing w:val="15"/>
        </w:rPr>
        <w:t xml:space="preserve"> </w:t>
      </w:r>
      <w:r>
        <w:rPr>
          <w:spacing w:val="-1"/>
        </w:rPr>
        <w:t>and</w:t>
      </w:r>
      <w:r>
        <w:rPr>
          <w:spacing w:val="15"/>
        </w:rPr>
        <w:t xml:space="preserve"> </w:t>
      </w:r>
      <w:r>
        <w:rPr>
          <w:spacing w:val="-2"/>
        </w:rPr>
        <w:t>of</w:t>
      </w:r>
      <w:r>
        <w:rPr>
          <w:spacing w:val="16"/>
        </w:rPr>
        <w:t xml:space="preserve"> </w:t>
      </w:r>
      <w:r>
        <w:rPr>
          <w:spacing w:val="-2"/>
        </w:rPr>
        <w:t>Call</w:t>
      </w:r>
      <w:r>
        <w:rPr>
          <w:spacing w:val="14"/>
        </w:rPr>
        <w:t xml:space="preserve"> </w:t>
      </w:r>
      <w:r>
        <w:rPr>
          <w:spacing w:val="-1"/>
        </w:rPr>
        <w:t>Off</w:t>
      </w:r>
      <w:r>
        <w:rPr>
          <w:spacing w:val="16"/>
        </w:rPr>
        <w:t xml:space="preserve"> </w:t>
      </w:r>
      <w:r>
        <w:rPr>
          <w:spacing w:val="-1"/>
        </w:rPr>
        <w:t>Schedule</w:t>
      </w:r>
      <w:r>
        <w:rPr>
          <w:spacing w:val="15"/>
        </w:rPr>
        <w:t xml:space="preserve"> </w:t>
      </w:r>
      <w:r>
        <w:t>3</w:t>
      </w:r>
      <w:r>
        <w:rPr>
          <w:spacing w:val="61"/>
        </w:rPr>
        <w:t xml:space="preserve"> </w:t>
      </w:r>
      <w:r>
        <w:rPr>
          <w:spacing w:val="-1"/>
        </w:rPr>
        <w:t>(Call</w:t>
      </w:r>
      <w:r>
        <w:rPr>
          <w:spacing w:val="19"/>
        </w:rPr>
        <w:t xml:space="preserve"> </w:t>
      </w:r>
      <w:r>
        <w:rPr>
          <w:spacing w:val="-1"/>
        </w:rPr>
        <w:t>Off</w:t>
      </w:r>
      <w:r>
        <w:rPr>
          <w:spacing w:val="23"/>
        </w:rPr>
        <w:t xml:space="preserve"> </w:t>
      </w:r>
      <w:r>
        <w:rPr>
          <w:spacing w:val="-2"/>
        </w:rPr>
        <w:t>Contract</w:t>
      </w:r>
      <w:r>
        <w:rPr>
          <w:spacing w:val="21"/>
        </w:rPr>
        <w:t xml:space="preserve"> </w:t>
      </w:r>
      <w:r>
        <w:rPr>
          <w:spacing w:val="-2"/>
        </w:rPr>
        <w:t>Charges,</w:t>
      </w:r>
      <w:r>
        <w:rPr>
          <w:spacing w:val="21"/>
        </w:rPr>
        <w:t xml:space="preserve"> </w:t>
      </w:r>
      <w:r>
        <w:rPr>
          <w:spacing w:val="-1"/>
        </w:rPr>
        <w:t>Payment</w:t>
      </w:r>
      <w:r>
        <w:rPr>
          <w:spacing w:val="21"/>
        </w:rPr>
        <w:t xml:space="preserve"> </w:t>
      </w:r>
      <w:r>
        <w:rPr>
          <w:spacing w:val="-1"/>
        </w:rPr>
        <w:t>and</w:t>
      </w:r>
      <w:r>
        <w:rPr>
          <w:spacing w:val="20"/>
        </w:rPr>
        <w:t xml:space="preserve"> </w:t>
      </w:r>
      <w:r>
        <w:rPr>
          <w:spacing w:val="-1"/>
        </w:rPr>
        <w:t>Invoicing),</w:t>
      </w:r>
      <w:r>
        <w:rPr>
          <w:spacing w:val="21"/>
        </w:rPr>
        <w:t xml:space="preserve"> </w:t>
      </w:r>
      <w:r>
        <w:rPr>
          <w:spacing w:val="-1"/>
        </w:rPr>
        <w:t>either</w:t>
      </w:r>
      <w:r>
        <w:rPr>
          <w:spacing w:val="21"/>
        </w:rPr>
        <w:t xml:space="preserve"> </w:t>
      </w:r>
      <w:r>
        <w:rPr>
          <w:spacing w:val="-1"/>
        </w:rPr>
        <w:t>Party</w:t>
      </w:r>
      <w:r>
        <w:rPr>
          <w:spacing w:val="18"/>
        </w:rPr>
        <w:t xml:space="preserve"> </w:t>
      </w:r>
      <w:r>
        <w:rPr>
          <w:spacing w:val="-1"/>
        </w:rPr>
        <w:t>may</w:t>
      </w:r>
      <w:r>
        <w:rPr>
          <w:spacing w:val="46"/>
        </w:rPr>
        <w:t xml:space="preserve"> </w:t>
      </w:r>
      <w:r>
        <w:rPr>
          <w:spacing w:val="-1"/>
        </w:rPr>
        <w:t>request</w:t>
      </w:r>
      <w:r>
        <w:rPr>
          <w:spacing w:val="2"/>
        </w:rPr>
        <w:t xml:space="preserve"> </w:t>
      </w:r>
      <w:r>
        <w:t xml:space="preserve">a </w:t>
      </w:r>
      <w:r>
        <w:rPr>
          <w:spacing w:val="-1"/>
        </w:rPr>
        <w:t>variation</w:t>
      </w:r>
      <w:r>
        <w:t xml:space="preserve"> to </w:t>
      </w:r>
      <w:r>
        <w:rPr>
          <w:spacing w:val="-1"/>
        </w:rPr>
        <w:t>this</w:t>
      </w:r>
      <w:r>
        <w:rPr>
          <w:spacing w:val="1"/>
        </w:rPr>
        <w:t xml:space="preserve"> </w:t>
      </w:r>
      <w:r>
        <w:rPr>
          <w:spacing w:val="-2"/>
        </w:rPr>
        <w:t>Call</w:t>
      </w:r>
      <w:r>
        <w:rPr>
          <w:spacing w:val="2"/>
        </w:rPr>
        <w:t xml:space="preserve"> </w:t>
      </w:r>
      <w:r>
        <w:rPr>
          <w:spacing w:val="-1"/>
        </w:rPr>
        <w:t>Off</w:t>
      </w:r>
      <w:r>
        <w:rPr>
          <w:spacing w:val="4"/>
        </w:rPr>
        <w:t xml:space="preserve"> </w:t>
      </w:r>
      <w:r>
        <w:rPr>
          <w:spacing w:val="-1"/>
        </w:rPr>
        <w:t>Contract</w:t>
      </w:r>
      <w:r>
        <w:rPr>
          <w:spacing w:val="2"/>
        </w:rPr>
        <w:t xml:space="preserve"> </w:t>
      </w:r>
      <w:r>
        <w:rPr>
          <w:spacing w:val="-2"/>
        </w:rPr>
        <w:t>provided</w:t>
      </w:r>
      <w:r>
        <w:t xml:space="preserve"> </w:t>
      </w:r>
      <w:r>
        <w:rPr>
          <w:spacing w:val="-1"/>
        </w:rPr>
        <w:t>that</w:t>
      </w:r>
      <w:r>
        <w:rPr>
          <w:spacing w:val="2"/>
        </w:rPr>
        <w:t xml:space="preserve"> </w:t>
      </w:r>
      <w:r>
        <w:rPr>
          <w:spacing w:val="-1"/>
        </w:rPr>
        <w:t>such</w:t>
      </w:r>
      <w:r>
        <w:rPr>
          <w:spacing w:val="1"/>
        </w:rPr>
        <w:t xml:space="preserve"> </w:t>
      </w:r>
      <w:r>
        <w:rPr>
          <w:spacing w:val="-1"/>
        </w:rPr>
        <w:t>variation</w:t>
      </w:r>
      <w:r>
        <w:rPr>
          <w:spacing w:val="49"/>
        </w:rPr>
        <w:t xml:space="preserve"> </w:t>
      </w:r>
      <w:r>
        <w:rPr>
          <w:spacing w:val="-1"/>
        </w:rPr>
        <w:t>does</w:t>
      </w:r>
      <w:r>
        <w:rPr>
          <w:spacing w:val="22"/>
        </w:rPr>
        <w:t xml:space="preserve"> </w:t>
      </w:r>
      <w:r>
        <w:rPr>
          <w:spacing w:val="-1"/>
        </w:rPr>
        <w:t>not</w:t>
      </w:r>
      <w:r>
        <w:rPr>
          <w:spacing w:val="23"/>
        </w:rPr>
        <w:t xml:space="preserve"> </w:t>
      </w:r>
      <w:r>
        <w:rPr>
          <w:spacing w:val="-1"/>
        </w:rPr>
        <w:t>amount</w:t>
      </w:r>
      <w:r>
        <w:rPr>
          <w:spacing w:val="21"/>
        </w:rPr>
        <w:t xml:space="preserve"> </w:t>
      </w:r>
      <w:r>
        <w:t>to</w:t>
      </w:r>
      <w:r>
        <w:rPr>
          <w:spacing w:val="22"/>
        </w:rPr>
        <w:t xml:space="preserve"> </w:t>
      </w:r>
      <w:r>
        <w:t>a</w:t>
      </w:r>
      <w:r>
        <w:rPr>
          <w:spacing w:val="20"/>
        </w:rPr>
        <w:t xml:space="preserve"> </w:t>
      </w:r>
      <w:r>
        <w:rPr>
          <w:spacing w:val="-1"/>
        </w:rPr>
        <w:t>material</w:t>
      </w:r>
      <w:r>
        <w:rPr>
          <w:spacing w:val="21"/>
        </w:rPr>
        <w:t xml:space="preserve"> </w:t>
      </w:r>
      <w:r>
        <w:rPr>
          <w:spacing w:val="-1"/>
        </w:rPr>
        <w:t>change</w:t>
      </w:r>
      <w:r>
        <w:rPr>
          <w:spacing w:val="22"/>
        </w:rPr>
        <w:t xml:space="preserve"> </w:t>
      </w:r>
      <w:r>
        <w:rPr>
          <w:spacing w:val="-2"/>
        </w:rPr>
        <w:t>of</w:t>
      </w:r>
      <w:r>
        <w:rPr>
          <w:spacing w:val="23"/>
        </w:rPr>
        <w:t xml:space="preserve"> </w:t>
      </w:r>
      <w:r>
        <w:rPr>
          <w:spacing w:val="-1"/>
        </w:rPr>
        <w:t>this</w:t>
      </w:r>
      <w:r>
        <w:rPr>
          <w:spacing w:val="22"/>
        </w:rPr>
        <w:t xml:space="preserve"> </w:t>
      </w:r>
      <w:r>
        <w:rPr>
          <w:spacing w:val="-2"/>
        </w:rPr>
        <w:t>Call</w:t>
      </w:r>
      <w:r>
        <w:rPr>
          <w:spacing w:val="21"/>
        </w:rPr>
        <w:t xml:space="preserve"> </w:t>
      </w:r>
      <w:r>
        <w:rPr>
          <w:spacing w:val="-1"/>
        </w:rPr>
        <w:t>Off</w:t>
      </w:r>
      <w:r>
        <w:rPr>
          <w:spacing w:val="26"/>
        </w:rPr>
        <w:t xml:space="preserve"> </w:t>
      </w:r>
      <w:r>
        <w:rPr>
          <w:spacing w:val="-2"/>
        </w:rPr>
        <w:t>Contract</w:t>
      </w:r>
      <w:r>
        <w:rPr>
          <w:spacing w:val="23"/>
        </w:rPr>
        <w:t xml:space="preserve"> </w:t>
      </w:r>
      <w:r>
        <w:rPr>
          <w:spacing w:val="-2"/>
        </w:rPr>
        <w:t>within</w:t>
      </w:r>
      <w:r>
        <w:rPr>
          <w:spacing w:val="51"/>
        </w:rPr>
        <w:t xml:space="preserve"> </w:t>
      </w:r>
      <w:r>
        <w:t>the</w:t>
      </w:r>
      <w:r>
        <w:rPr>
          <w:spacing w:val="43"/>
        </w:rPr>
        <w:t xml:space="preserve"> </w:t>
      </w:r>
      <w:r>
        <w:rPr>
          <w:spacing w:val="-2"/>
        </w:rPr>
        <w:t>meaning</w:t>
      </w:r>
      <w:r>
        <w:rPr>
          <w:spacing w:val="46"/>
        </w:rPr>
        <w:t xml:space="preserve"> </w:t>
      </w:r>
      <w:r>
        <w:rPr>
          <w:spacing w:val="-2"/>
        </w:rPr>
        <w:t>of</w:t>
      </w:r>
      <w:r>
        <w:rPr>
          <w:spacing w:val="45"/>
        </w:rPr>
        <w:t xml:space="preserve"> </w:t>
      </w:r>
      <w:r>
        <w:t>the</w:t>
      </w:r>
      <w:r>
        <w:rPr>
          <w:spacing w:val="43"/>
        </w:rPr>
        <w:t xml:space="preserve"> </w:t>
      </w:r>
      <w:r>
        <w:rPr>
          <w:spacing w:val="-1"/>
        </w:rPr>
        <w:t>Regulations</w:t>
      </w:r>
      <w:r>
        <w:rPr>
          <w:spacing w:val="44"/>
        </w:rPr>
        <w:t xml:space="preserve"> </w:t>
      </w:r>
      <w:r>
        <w:rPr>
          <w:spacing w:val="-1"/>
        </w:rPr>
        <w:t>and</w:t>
      </w:r>
      <w:r>
        <w:rPr>
          <w:spacing w:val="41"/>
        </w:rPr>
        <w:t xml:space="preserve"> </w:t>
      </w:r>
      <w:r>
        <w:t>the</w:t>
      </w:r>
      <w:r>
        <w:rPr>
          <w:spacing w:val="44"/>
        </w:rPr>
        <w:t xml:space="preserve"> </w:t>
      </w:r>
      <w:r>
        <w:rPr>
          <w:spacing w:val="-2"/>
        </w:rPr>
        <w:t>Law.</w:t>
      </w:r>
      <w:r>
        <w:rPr>
          <w:spacing w:val="45"/>
        </w:rPr>
        <w:t xml:space="preserve"> </w:t>
      </w:r>
      <w:r>
        <w:rPr>
          <w:spacing w:val="-1"/>
        </w:rPr>
        <w:t>Such</w:t>
      </w:r>
      <w:r>
        <w:rPr>
          <w:spacing w:val="44"/>
        </w:rPr>
        <w:t xml:space="preserve"> </w:t>
      </w:r>
      <w:r>
        <w:t>a</w:t>
      </w:r>
      <w:r>
        <w:rPr>
          <w:spacing w:val="43"/>
        </w:rPr>
        <w:t xml:space="preserve"> </w:t>
      </w:r>
      <w:r>
        <w:rPr>
          <w:spacing w:val="-1"/>
        </w:rPr>
        <w:t>change</w:t>
      </w:r>
      <w:r>
        <w:rPr>
          <w:spacing w:val="43"/>
        </w:rPr>
        <w:t xml:space="preserve"> </w:t>
      </w:r>
      <w:r>
        <w:rPr>
          <w:spacing w:val="-1"/>
        </w:rPr>
        <w:t>once</w:t>
      </w:r>
      <w:r>
        <w:rPr>
          <w:spacing w:val="34"/>
        </w:rPr>
        <w:t xml:space="preserve"> </w:t>
      </w:r>
      <w:r>
        <w:rPr>
          <w:spacing w:val="-1"/>
        </w:rPr>
        <w:t>implemented</w:t>
      </w:r>
      <w:r>
        <w:rPr>
          <w:spacing w:val="-2"/>
        </w:rPr>
        <w:t xml:space="preserve"> </w:t>
      </w:r>
      <w:r>
        <w:rPr>
          <w:spacing w:val="-1"/>
        </w:rPr>
        <w:t>is</w:t>
      </w:r>
      <w:r>
        <w:rPr>
          <w:spacing w:val="1"/>
        </w:rPr>
        <w:t xml:space="preserve"> </w:t>
      </w:r>
      <w:r>
        <w:rPr>
          <w:spacing w:val="-1"/>
        </w:rPr>
        <w:t>hereinafter</w:t>
      </w:r>
      <w:r>
        <w:rPr>
          <w:spacing w:val="2"/>
        </w:rPr>
        <w:t xml:space="preserve"> </w:t>
      </w:r>
      <w:r>
        <w:rPr>
          <w:spacing w:val="-1"/>
        </w:rPr>
        <w:t>called</w:t>
      </w:r>
      <w:r>
        <w:t xml:space="preserve"> a</w:t>
      </w:r>
      <w:r>
        <w:rPr>
          <w:spacing w:val="-2"/>
        </w:rPr>
        <w:t xml:space="preserve"> </w:t>
      </w:r>
      <w:r>
        <w:rPr>
          <w:b/>
          <w:spacing w:val="-1"/>
        </w:rPr>
        <w:t>"Variation</w:t>
      </w:r>
      <w:r>
        <w:rPr>
          <w:spacing w:val="-1"/>
        </w:rPr>
        <w:t>".</w:t>
      </w:r>
    </w:p>
    <w:p w:rsidR="008918FA" w:rsidRDefault="008918FA" w:rsidP="008918FA">
      <w:pPr>
        <w:pStyle w:val="BodyText"/>
        <w:numPr>
          <w:ilvl w:val="2"/>
          <w:numId w:val="66"/>
        </w:numPr>
        <w:tabs>
          <w:tab w:val="left" w:pos="2227"/>
        </w:tabs>
        <w:spacing w:before="124"/>
        <w:ind w:right="113" w:hanging="993"/>
        <w:jc w:val="both"/>
      </w:pPr>
      <w:r>
        <w:t>A</w:t>
      </w:r>
      <w:r>
        <w:rPr>
          <w:spacing w:val="15"/>
        </w:rPr>
        <w:t xml:space="preserve"> </w:t>
      </w:r>
      <w:r>
        <w:rPr>
          <w:spacing w:val="-1"/>
        </w:rPr>
        <w:t>Party</w:t>
      </w:r>
      <w:r>
        <w:rPr>
          <w:spacing w:val="14"/>
        </w:rPr>
        <w:t xml:space="preserve"> </w:t>
      </w:r>
      <w:r>
        <w:rPr>
          <w:spacing w:val="-1"/>
        </w:rPr>
        <w:t>may</w:t>
      </w:r>
      <w:r>
        <w:rPr>
          <w:spacing w:val="14"/>
        </w:rPr>
        <w:t xml:space="preserve"> </w:t>
      </w:r>
      <w:r>
        <w:rPr>
          <w:spacing w:val="-1"/>
        </w:rPr>
        <w:t>request</w:t>
      </w:r>
      <w:r>
        <w:rPr>
          <w:spacing w:val="16"/>
        </w:rPr>
        <w:t xml:space="preserve"> </w:t>
      </w:r>
      <w:r>
        <w:t>a</w:t>
      </w:r>
      <w:r>
        <w:rPr>
          <w:spacing w:val="16"/>
        </w:rPr>
        <w:t xml:space="preserve"> </w:t>
      </w:r>
      <w:r>
        <w:rPr>
          <w:spacing w:val="-1"/>
        </w:rPr>
        <w:t>Variation</w:t>
      </w:r>
      <w:r>
        <w:rPr>
          <w:spacing w:val="16"/>
        </w:rPr>
        <w:t xml:space="preserve"> </w:t>
      </w:r>
      <w:r>
        <w:rPr>
          <w:spacing w:val="-1"/>
        </w:rPr>
        <w:t>by</w:t>
      </w:r>
      <w:r>
        <w:rPr>
          <w:spacing w:val="14"/>
        </w:rPr>
        <w:t xml:space="preserve"> </w:t>
      </w:r>
      <w:r>
        <w:rPr>
          <w:spacing w:val="-2"/>
        </w:rPr>
        <w:t>completing</w:t>
      </w:r>
      <w:r>
        <w:rPr>
          <w:spacing w:val="18"/>
        </w:rPr>
        <w:t xml:space="preserve"> </w:t>
      </w:r>
      <w:r>
        <w:rPr>
          <w:spacing w:val="-1"/>
        </w:rPr>
        <w:t>and</w:t>
      </w:r>
      <w:r>
        <w:rPr>
          <w:spacing w:val="14"/>
        </w:rPr>
        <w:t xml:space="preserve"> </w:t>
      </w:r>
      <w:r>
        <w:rPr>
          <w:spacing w:val="-1"/>
        </w:rPr>
        <w:t>sending</w:t>
      </w:r>
      <w:r>
        <w:rPr>
          <w:spacing w:val="16"/>
        </w:rPr>
        <w:t xml:space="preserve"> </w:t>
      </w:r>
      <w:r>
        <w:rPr>
          <w:spacing w:val="-1"/>
        </w:rPr>
        <w:t>the</w:t>
      </w:r>
      <w:r>
        <w:rPr>
          <w:spacing w:val="44"/>
        </w:rPr>
        <w:t xml:space="preserve"> </w:t>
      </w:r>
      <w:r>
        <w:rPr>
          <w:spacing w:val="-1"/>
        </w:rPr>
        <w:t>Variation</w:t>
      </w:r>
      <w:r>
        <w:rPr>
          <w:spacing w:val="32"/>
        </w:rPr>
        <w:t xml:space="preserve"> </w:t>
      </w:r>
      <w:r>
        <w:rPr>
          <w:spacing w:val="-1"/>
        </w:rPr>
        <w:t>Form</w:t>
      </w:r>
      <w:r>
        <w:rPr>
          <w:spacing w:val="33"/>
        </w:rPr>
        <w:t xml:space="preserve"> </w:t>
      </w:r>
      <w:r>
        <w:t>to</w:t>
      </w:r>
      <w:r>
        <w:rPr>
          <w:spacing w:val="31"/>
        </w:rPr>
        <w:t xml:space="preserve"> </w:t>
      </w:r>
      <w:r>
        <w:t>the</w:t>
      </w:r>
      <w:r>
        <w:rPr>
          <w:spacing w:val="31"/>
        </w:rPr>
        <w:t xml:space="preserve"> </w:t>
      </w:r>
      <w:r>
        <w:rPr>
          <w:spacing w:val="-2"/>
        </w:rPr>
        <w:t>other</w:t>
      </w:r>
      <w:r>
        <w:rPr>
          <w:spacing w:val="33"/>
        </w:rPr>
        <w:t xml:space="preserve"> </w:t>
      </w:r>
      <w:r>
        <w:rPr>
          <w:spacing w:val="-1"/>
        </w:rPr>
        <w:t>Party</w:t>
      </w:r>
      <w:r>
        <w:rPr>
          <w:spacing w:val="30"/>
        </w:rPr>
        <w:t xml:space="preserve"> </w:t>
      </w:r>
      <w:r>
        <w:rPr>
          <w:spacing w:val="-1"/>
        </w:rPr>
        <w:t>giving</w:t>
      </w:r>
      <w:r>
        <w:rPr>
          <w:spacing w:val="34"/>
        </w:rPr>
        <w:t xml:space="preserve"> </w:t>
      </w:r>
      <w:r>
        <w:rPr>
          <w:spacing w:val="-1"/>
        </w:rPr>
        <w:t>sufficient</w:t>
      </w:r>
      <w:r>
        <w:rPr>
          <w:spacing w:val="34"/>
        </w:rPr>
        <w:t xml:space="preserve"> </w:t>
      </w:r>
      <w:r>
        <w:rPr>
          <w:spacing w:val="-1"/>
        </w:rPr>
        <w:t>information</w:t>
      </w:r>
      <w:r>
        <w:rPr>
          <w:spacing w:val="29"/>
        </w:rPr>
        <w:t xml:space="preserve"> </w:t>
      </w:r>
      <w:r>
        <w:t>for</w:t>
      </w:r>
      <w:r>
        <w:rPr>
          <w:spacing w:val="30"/>
        </w:rPr>
        <w:t xml:space="preserve"> </w:t>
      </w:r>
      <w:r>
        <w:rPr>
          <w:spacing w:val="-1"/>
        </w:rPr>
        <w:t>the</w:t>
      </w:r>
      <w:r>
        <w:rPr>
          <w:spacing w:val="42"/>
        </w:rPr>
        <w:t xml:space="preserve"> </w:t>
      </w:r>
      <w:r>
        <w:rPr>
          <w:spacing w:val="-2"/>
        </w:rPr>
        <w:t>receiving</w:t>
      </w:r>
      <w:r>
        <w:rPr>
          <w:spacing w:val="10"/>
        </w:rPr>
        <w:t xml:space="preserve"> </w:t>
      </w:r>
      <w:r>
        <w:rPr>
          <w:spacing w:val="-1"/>
        </w:rPr>
        <w:t>Party</w:t>
      </w:r>
      <w:r>
        <w:rPr>
          <w:spacing w:val="5"/>
        </w:rPr>
        <w:t xml:space="preserve"> </w:t>
      </w:r>
      <w:r>
        <w:t>to</w:t>
      </w:r>
      <w:r>
        <w:rPr>
          <w:spacing w:val="7"/>
        </w:rPr>
        <w:t xml:space="preserve"> </w:t>
      </w:r>
      <w:r>
        <w:rPr>
          <w:spacing w:val="-2"/>
        </w:rPr>
        <w:t>assess</w:t>
      </w:r>
      <w:r>
        <w:rPr>
          <w:spacing w:val="8"/>
        </w:rPr>
        <w:t xml:space="preserve"> </w:t>
      </w:r>
      <w:r>
        <w:t>the</w:t>
      </w:r>
      <w:r>
        <w:rPr>
          <w:spacing w:val="7"/>
        </w:rPr>
        <w:t xml:space="preserve"> </w:t>
      </w:r>
      <w:r>
        <w:rPr>
          <w:spacing w:val="-1"/>
        </w:rPr>
        <w:t>extent</w:t>
      </w:r>
      <w:r>
        <w:rPr>
          <w:spacing w:val="7"/>
        </w:rPr>
        <w:t xml:space="preserve"> </w:t>
      </w:r>
      <w:r>
        <w:rPr>
          <w:spacing w:val="-2"/>
        </w:rPr>
        <w:t>of</w:t>
      </w:r>
      <w:r>
        <w:rPr>
          <w:spacing w:val="9"/>
        </w:rPr>
        <w:t xml:space="preserve"> </w:t>
      </w:r>
      <w:r>
        <w:t>the</w:t>
      </w:r>
      <w:r>
        <w:rPr>
          <w:spacing w:val="7"/>
        </w:rPr>
        <w:t xml:space="preserve"> </w:t>
      </w:r>
      <w:r>
        <w:rPr>
          <w:spacing w:val="-2"/>
        </w:rPr>
        <w:t>proposed</w:t>
      </w:r>
      <w:r>
        <w:rPr>
          <w:spacing w:val="7"/>
        </w:rPr>
        <w:t xml:space="preserve"> </w:t>
      </w:r>
      <w:r>
        <w:rPr>
          <w:spacing w:val="-1"/>
        </w:rPr>
        <w:t>Variation</w:t>
      </w:r>
      <w:r>
        <w:rPr>
          <w:spacing w:val="7"/>
        </w:rPr>
        <w:t xml:space="preserve"> </w:t>
      </w:r>
      <w:r>
        <w:rPr>
          <w:spacing w:val="-1"/>
        </w:rPr>
        <w:t>and</w:t>
      </w:r>
      <w:r>
        <w:rPr>
          <w:spacing w:val="7"/>
        </w:rPr>
        <w:t xml:space="preserve"> </w:t>
      </w:r>
      <w:r>
        <w:rPr>
          <w:spacing w:val="-1"/>
        </w:rPr>
        <w:t>any</w:t>
      </w:r>
      <w:r>
        <w:rPr>
          <w:spacing w:val="58"/>
        </w:rPr>
        <w:t xml:space="preserve"> </w:t>
      </w:r>
      <w:r>
        <w:rPr>
          <w:spacing w:val="-1"/>
        </w:rPr>
        <w:t>additional</w:t>
      </w:r>
      <w:r>
        <w:t xml:space="preserve"> </w:t>
      </w:r>
      <w:r>
        <w:rPr>
          <w:spacing w:val="-1"/>
        </w:rPr>
        <w:t>cost</w:t>
      </w:r>
      <w:r>
        <w:t xml:space="preserve"> </w:t>
      </w:r>
      <w:r>
        <w:rPr>
          <w:spacing w:val="-1"/>
        </w:rPr>
        <w:t>that</w:t>
      </w:r>
      <w:r>
        <w:t xml:space="preserve"> </w:t>
      </w:r>
      <w:r>
        <w:rPr>
          <w:spacing w:val="-1"/>
        </w:rPr>
        <w:t>may</w:t>
      </w:r>
      <w:r>
        <w:rPr>
          <w:spacing w:val="-2"/>
        </w:rPr>
        <w:t xml:space="preserve"> </w:t>
      </w:r>
      <w:r>
        <w:rPr>
          <w:spacing w:val="-1"/>
        </w:rPr>
        <w:t>be</w:t>
      </w:r>
      <w:r>
        <w:t xml:space="preserve"> </w:t>
      </w:r>
      <w:r>
        <w:rPr>
          <w:spacing w:val="-1"/>
        </w:rPr>
        <w:t>incurred.</w:t>
      </w:r>
    </w:p>
    <w:p w:rsidR="008918FA" w:rsidRDefault="008918FA" w:rsidP="008918FA">
      <w:pPr>
        <w:pStyle w:val="BodyText"/>
        <w:numPr>
          <w:ilvl w:val="2"/>
          <w:numId w:val="66"/>
        </w:numPr>
        <w:tabs>
          <w:tab w:val="left" w:pos="2227"/>
        </w:tabs>
        <w:ind w:right="112" w:hanging="993"/>
        <w:jc w:val="both"/>
      </w:pPr>
      <w:bookmarkStart w:id="138" w:name="_bookmark120"/>
      <w:bookmarkEnd w:id="138"/>
      <w:r>
        <w:t>The</w:t>
      </w:r>
      <w:r>
        <w:rPr>
          <w:spacing w:val="28"/>
        </w:rPr>
        <w:t xml:space="preserve"> </w:t>
      </w:r>
      <w:r>
        <w:rPr>
          <w:spacing w:val="-2"/>
        </w:rPr>
        <w:t>Customer</w:t>
      </w:r>
      <w:r>
        <w:rPr>
          <w:spacing w:val="27"/>
        </w:rPr>
        <w:t xml:space="preserve"> </w:t>
      </w:r>
      <w:r>
        <w:rPr>
          <w:spacing w:val="-1"/>
        </w:rPr>
        <w:t>may</w:t>
      </w:r>
      <w:r>
        <w:rPr>
          <w:spacing w:val="26"/>
        </w:rPr>
        <w:t xml:space="preserve"> </w:t>
      </w:r>
      <w:r>
        <w:rPr>
          <w:spacing w:val="-1"/>
        </w:rPr>
        <w:t>require</w:t>
      </w:r>
      <w:r>
        <w:rPr>
          <w:spacing w:val="26"/>
        </w:rPr>
        <w:t xml:space="preserve"> </w:t>
      </w:r>
      <w:r>
        <w:t>the</w:t>
      </w:r>
      <w:r>
        <w:rPr>
          <w:spacing w:val="28"/>
        </w:rPr>
        <w:t xml:space="preserve"> </w:t>
      </w:r>
      <w:r>
        <w:rPr>
          <w:spacing w:val="-2"/>
        </w:rPr>
        <w:t>Supplier</w:t>
      </w:r>
      <w:r>
        <w:rPr>
          <w:spacing w:val="27"/>
        </w:rPr>
        <w:t xml:space="preserve"> </w:t>
      </w:r>
      <w:r>
        <w:t>to</w:t>
      </w:r>
      <w:r>
        <w:rPr>
          <w:spacing w:val="26"/>
        </w:rPr>
        <w:t xml:space="preserve"> </w:t>
      </w:r>
      <w:r>
        <w:rPr>
          <w:spacing w:val="-1"/>
        </w:rPr>
        <w:t>carry</w:t>
      </w:r>
      <w:r>
        <w:rPr>
          <w:spacing w:val="26"/>
        </w:rPr>
        <w:t xml:space="preserve"> </w:t>
      </w:r>
      <w:r>
        <w:rPr>
          <w:spacing w:val="-1"/>
        </w:rPr>
        <w:t>out</w:t>
      </w:r>
      <w:r>
        <w:rPr>
          <w:spacing w:val="30"/>
        </w:rPr>
        <w:t xml:space="preserve"> </w:t>
      </w:r>
      <w:r>
        <w:rPr>
          <w:spacing w:val="-1"/>
        </w:rPr>
        <w:t>an</w:t>
      </w:r>
      <w:r>
        <w:rPr>
          <w:spacing w:val="26"/>
        </w:rPr>
        <w:t xml:space="preserve"> </w:t>
      </w:r>
      <w:r>
        <w:rPr>
          <w:spacing w:val="-2"/>
        </w:rPr>
        <w:t>impact</w:t>
      </w:r>
      <w:r>
        <w:rPr>
          <w:spacing w:val="65"/>
        </w:rPr>
        <w:t xml:space="preserve"> </w:t>
      </w:r>
      <w:r>
        <w:rPr>
          <w:spacing w:val="-1"/>
        </w:rPr>
        <w:t>assessment</w:t>
      </w:r>
      <w:r>
        <w:rPr>
          <w:spacing w:val="27"/>
        </w:rPr>
        <w:t xml:space="preserve"> </w:t>
      </w:r>
      <w:r>
        <w:rPr>
          <w:spacing w:val="-2"/>
        </w:rPr>
        <w:t>of</w:t>
      </w:r>
      <w:r>
        <w:rPr>
          <w:spacing w:val="29"/>
        </w:rPr>
        <w:t xml:space="preserve"> </w:t>
      </w:r>
      <w:r>
        <w:t>the</w:t>
      </w:r>
      <w:r>
        <w:rPr>
          <w:spacing w:val="26"/>
        </w:rPr>
        <w:t xml:space="preserve"> </w:t>
      </w:r>
      <w:r>
        <w:rPr>
          <w:spacing w:val="-1"/>
        </w:rPr>
        <w:t>Variation</w:t>
      </w:r>
      <w:r>
        <w:rPr>
          <w:spacing w:val="26"/>
        </w:rPr>
        <w:t xml:space="preserve"> </w:t>
      </w:r>
      <w:r>
        <w:rPr>
          <w:spacing w:val="-1"/>
        </w:rPr>
        <w:t>on</w:t>
      </w:r>
      <w:r>
        <w:rPr>
          <w:spacing w:val="26"/>
        </w:rPr>
        <w:t xml:space="preserve"> </w:t>
      </w:r>
      <w:r>
        <w:t>the</w:t>
      </w:r>
      <w:r>
        <w:rPr>
          <w:spacing w:val="26"/>
        </w:rPr>
        <w:t xml:space="preserve"> </w:t>
      </w:r>
      <w:r>
        <w:rPr>
          <w:spacing w:val="-1"/>
        </w:rPr>
        <w:t>Goods</w:t>
      </w:r>
      <w:r>
        <w:rPr>
          <w:spacing w:val="26"/>
        </w:rPr>
        <w:t xml:space="preserve"> </w:t>
      </w:r>
      <w:r>
        <w:rPr>
          <w:spacing w:val="-1"/>
        </w:rPr>
        <w:t>and/or</w:t>
      </w:r>
      <w:r>
        <w:rPr>
          <w:spacing w:val="27"/>
        </w:rPr>
        <w:t xml:space="preserve"> </w:t>
      </w:r>
      <w:r>
        <w:rPr>
          <w:spacing w:val="-1"/>
        </w:rPr>
        <w:t>Services</w:t>
      </w:r>
      <w:r>
        <w:rPr>
          <w:spacing w:val="26"/>
        </w:rPr>
        <w:t xml:space="preserve"> </w:t>
      </w:r>
      <w:r>
        <w:rPr>
          <w:spacing w:val="-1"/>
        </w:rPr>
        <w:t>(the</w:t>
      </w:r>
      <w:r>
        <w:rPr>
          <w:spacing w:val="28"/>
        </w:rPr>
        <w:t xml:space="preserve"> </w:t>
      </w:r>
      <w:r>
        <w:rPr>
          <w:spacing w:val="-1"/>
        </w:rPr>
        <w:t>“</w:t>
      </w:r>
      <w:r>
        <w:rPr>
          <w:rFonts w:cs="Arial"/>
          <w:b/>
          <w:bCs/>
          <w:spacing w:val="-1"/>
        </w:rPr>
        <w:t>Impact</w:t>
      </w:r>
      <w:r>
        <w:rPr>
          <w:rFonts w:cs="Arial"/>
          <w:b/>
          <w:bCs/>
          <w:spacing w:val="6"/>
        </w:rPr>
        <w:t xml:space="preserve"> </w:t>
      </w:r>
      <w:r>
        <w:rPr>
          <w:rFonts w:cs="Arial"/>
          <w:b/>
          <w:bCs/>
          <w:spacing w:val="-2"/>
        </w:rPr>
        <w:t>Assessment</w:t>
      </w:r>
      <w:r>
        <w:rPr>
          <w:spacing w:val="-2"/>
        </w:rPr>
        <w:t>”).</w:t>
      </w:r>
      <w:r>
        <w:rPr>
          <w:spacing w:val="-1"/>
        </w:rPr>
        <w:t xml:space="preserve"> </w:t>
      </w:r>
      <w:r>
        <w:t xml:space="preserve">The </w:t>
      </w:r>
      <w:r>
        <w:rPr>
          <w:spacing w:val="-1"/>
        </w:rPr>
        <w:t>Impact</w:t>
      </w:r>
      <w:r>
        <w:rPr>
          <w:spacing w:val="5"/>
        </w:rPr>
        <w:t xml:space="preserve"> </w:t>
      </w:r>
      <w:r>
        <w:rPr>
          <w:spacing w:val="-1"/>
        </w:rPr>
        <w:t>Assessment</w:t>
      </w:r>
      <w:r>
        <w:rPr>
          <w:spacing w:val="2"/>
        </w:rPr>
        <w:t xml:space="preserve"> </w:t>
      </w:r>
      <w:r>
        <w:rPr>
          <w:spacing w:val="-1"/>
        </w:rPr>
        <w:t>shall</w:t>
      </w:r>
      <w:r>
        <w:rPr>
          <w:spacing w:val="2"/>
        </w:rPr>
        <w:t xml:space="preserve"> </w:t>
      </w:r>
      <w:r>
        <w:rPr>
          <w:spacing w:val="-1"/>
        </w:rPr>
        <w:t>be</w:t>
      </w:r>
      <w:r>
        <w:rPr>
          <w:spacing w:val="3"/>
        </w:rPr>
        <w:t xml:space="preserve"> </w:t>
      </w:r>
      <w:r>
        <w:rPr>
          <w:spacing w:val="-1"/>
        </w:rPr>
        <w:t>completed</w:t>
      </w:r>
      <w:r>
        <w:rPr>
          <w:spacing w:val="3"/>
        </w:rPr>
        <w:t xml:space="preserve"> </w:t>
      </w:r>
      <w:r>
        <w:rPr>
          <w:spacing w:val="-1"/>
        </w:rPr>
        <w:t>in</w:t>
      </w:r>
      <w:r>
        <w:rPr>
          <w:spacing w:val="47"/>
        </w:rPr>
        <w:t xml:space="preserve"> </w:t>
      </w:r>
      <w:r>
        <w:t>good</w:t>
      </w:r>
      <w:r>
        <w:rPr>
          <w:spacing w:val="-4"/>
        </w:rPr>
        <w:t xml:space="preserve"> </w:t>
      </w:r>
      <w:r>
        <w:t>faith</w:t>
      </w:r>
      <w:r>
        <w:rPr>
          <w:spacing w:val="-2"/>
        </w:rPr>
        <w:t xml:space="preserve"> </w:t>
      </w:r>
      <w:r>
        <w:rPr>
          <w:spacing w:val="-1"/>
        </w:rPr>
        <w:t>and</w:t>
      </w:r>
      <w:r>
        <w:rPr>
          <w:spacing w:val="-2"/>
        </w:rPr>
        <w:t xml:space="preserve"> </w:t>
      </w:r>
      <w:r>
        <w:rPr>
          <w:spacing w:val="-1"/>
        </w:rPr>
        <w:t>shall</w:t>
      </w:r>
      <w:r>
        <w:t xml:space="preserve"> </w:t>
      </w:r>
      <w:r>
        <w:rPr>
          <w:spacing w:val="-2"/>
        </w:rPr>
        <w:t>include:</w:t>
      </w:r>
    </w:p>
    <w:p w:rsidR="008918FA" w:rsidRDefault="008918FA" w:rsidP="008918FA">
      <w:pPr>
        <w:pStyle w:val="BodyText"/>
        <w:numPr>
          <w:ilvl w:val="3"/>
          <w:numId w:val="66"/>
        </w:numPr>
        <w:tabs>
          <w:tab w:val="left" w:pos="2935"/>
        </w:tabs>
        <w:spacing w:before="118"/>
        <w:ind w:left="2934" w:right="113"/>
        <w:jc w:val="both"/>
      </w:pPr>
      <w:r>
        <w:rPr>
          <w:spacing w:val="-1"/>
        </w:rPr>
        <w:t>details</w:t>
      </w:r>
      <w:r>
        <w:rPr>
          <w:spacing w:val="34"/>
        </w:rPr>
        <w:t xml:space="preserve"> </w:t>
      </w:r>
      <w:r>
        <w:rPr>
          <w:spacing w:val="-1"/>
        </w:rPr>
        <w:t>of</w:t>
      </w:r>
      <w:r>
        <w:rPr>
          <w:spacing w:val="38"/>
        </w:rPr>
        <w:t xml:space="preserve"> </w:t>
      </w:r>
      <w:r>
        <w:t>the</w:t>
      </w:r>
      <w:r>
        <w:rPr>
          <w:spacing w:val="34"/>
        </w:rPr>
        <w:t xml:space="preserve"> </w:t>
      </w:r>
      <w:r>
        <w:rPr>
          <w:spacing w:val="-2"/>
        </w:rPr>
        <w:t>impact</w:t>
      </w:r>
      <w:r>
        <w:rPr>
          <w:spacing w:val="36"/>
        </w:rPr>
        <w:t xml:space="preserve"> </w:t>
      </w:r>
      <w:r>
        <w:rPr>
          <w:spacing w:val="-2"/>
        </w:rPr>
        <w:t>of</w:t>
      </w:r>
      <w:r>
        <w:rPr>
          <w:spacing w:val="35"/>
        </w:rPr>
        <w:t xml:space="preserve"> </w:t>
      </w:r>
      <w:r>
        <w:t>the</w:t>
      </w:r>
      <w:r>
        <w:rPr>
          <w:spacing w:val="34"/>
        </w:rPr>
        <w:t xml:space="preserve"> </w:t>
      </w:r>
      <w:r>
        <w:rPr>
          <w:spacing w:val="-1"/>
        </w:rPr>
        <w:t>proposed</w:t>
      </w:r>
      <w:r>
        <w:rPr>
          <w:spacing w:val="35"/>
        </w:rPr>
        <w:t xml:space="preserve"> </w:t>
      </w:r>
      <w:r>
        <w:rPr>
          <w:spacing w:val="-1"/>
        </w:rPr>
        <w:t>Variation</w:t>
      </w:r>
      <w:r>
        <w:rPr>
          <w:spacing w:val="34"/>
        </w:rPr>
        <w:t xml:space="preserve"> </w:t>
      </w:r>
      <w:r>
        <w:rPr>
          <w:spacing w:val="-1"/>
        </w:rPr>
        <w:t>on</w:t>
      </w:r>
      <w:r>
        <w:rPr>
          <w:spacing w:val="34"/>
        </w:rPr>
        <w:t xml:space="preserve"> </w:t>
      </w:r>
      <w:r>
        <w:t>the</w:t>
      </w:r>
      <w:r>
        <w:rPr>
          <w:spacing w:val="34"/>
        </w:rPr>
        <w:t xml:space="preserve"> </w:t>
      </w:r>
      <w:r>
        <w:rPr>
          <w:spacing w:val="-1"/>
        </w:rPr>
        <w:t>Goods</w:t>
      </w:r>
      <w:r>
        <w:rPr>
          <w:spacing w:val="32"/>
        </w:rPr>
        <w:t xml:space="preserve"> </w:t>
      </w:r>
      <w:r>
        <w:rPr>
          <w:spacing w:val="-1"/>
        </w:rPr>
        <w:t>and/or</w:t>
      </w:r>
      <w:r>
        <w:rPr>
          <w:spacing w:val="8"/>
        </w:rPr>
        <w:t xml:space="preserve"> </w:t>
      </w:r>
      <w:r>
        <w:rPr>
          <w:spacing w:val="-2"/>
        </w:rPr>
        <w:t>Services</w:t>
      </w:r>
      <w:r>
        <w:rPr>
          <w:spacing w:val="7"/>
        </w:rPr>
        <w:t xml:space="preserve"> </w:t>
      </w:r>
      <w:r>
        <w:rPr>
          <w:spacing w:val="-1"/>
        </w:rPr>
        <w:t>and</w:t>
      </w:r>
      <w:r>
        <w:rPr>
          <w:spacing w:val="6"/>
        </w:rPr>
        <w:t xml:space="preserve"> </w:t>
      </w:r>
      <w:r>
        <w:rPr>
          <w:spacing w:val="-1"/>
        </w:rPr>
        <w:t>the</w:t>
      </w:r>
      <w:r>
        <w:rPr>
          <w:spacing w:val="6"/>
        </w:rPr>
        <w:t xml:space="preserve"> </w:t>
      </w:r>
      <w:r>
        <w:rPr>
          <w:spacing w:val="-1"/>
        </w:rPr>
        <w:t>Supplier's</w:t>
      </w:r>
      <w:r>
        <w:rPr>
          <w:spacing w:val="7"/>
        </w:rPr>
        <w:t xml:space="preserve"> </w:t>
      </w:r>
      <w:r>
        <w:rPr>
          <w:spacing w:val="-1"/>
        </w:rPr>
        <w:t>ability</w:t>
      </w:r>
      <w:r>
        <w:rPr>
          <w:spacing w:val="4"/>
        </w:rPr>
        <w:t xml:space="preserve"> </w:t>
      </w:r>
      <w:r>
        <w:t>to</w:t>
      </w:r>
      <w:r>
        <w:rPr>
          <w:spacing w:val="4"/>
        </w:rPr>
        <w:t xml:space="preserve"> </w:t>
      </w:r>
      <w:r>
        <w:rPr>
          <w:spacing w:val="-1"/>
        </w:rPr>
        <w:t>meet</w:t>
      </w:r>
      <w:r>
        <w:rPr>
          <w:spacing w:val="5"/>
        </w:rPr>
        <w:t xml:space="preserve"> </w:t>
      </w:r>
      <w:r>
        <w:rPr>
          <w:spacing w:val="-1"/>
        </w:rPr>
        <w:t>its</w:t>
      </w:r>
      <w:r>
        <w:rPr>
          <w:spacing w:val="7"/>
        </w:rPr>
        <w:t xml:space="preserve"> </w:t>
      </w:r>
      <w:r>
        <w:rPr>
          <w:spacing w:val="-1"/>
        </w:rPr>
        <w:t>other</w:t>
      </w:r>
      <w:r>
        <w:rPr>
          <w:spacing w:val="39"/>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3"/>
          <w:numId w:val="66"/>
        </w:numPr>
        <w:tabs>
          <w:tab w:val="left" w:pos="2935"/>
        </w:tabs>
        <w:ind w:left="2934"/>
      </w:pPr>
      <w:r>
        <w:rPr>
          <w:spacing w:val="-1"/>
        </w:rPr>
        <w:t>details</w:t>
      </w:r>
      <w:r>
        <w:rPr>
          <w:spacing w:val="1"/>
        </w:rPr>
        <w:t xml:space="preserve"> </w:t>
      </w:r>
      <w:r>
        <w:rPr>
          <w:spacing w:val="-2"/>
        </w:rPr>
        <w:t>of</w:t>
      </w:r>
      <w:r>
        <w:rPr>
          <w:spacing w:val="2"/>
        </w:rPr>
        <w:t xml:space="preserve"> </w:t>
      </w:r>
      <w:r>
        <w:t>the</w:t>
      </w:r>
      <w:r>
        <w:rPr>
          <w:spacing w:val="-2"/>
        </w:rPr>
        <w:t xml:space="preserve"> </w:t>
      </w:r>
      <w:r>
        <w:rPr>
          <w:spacing w:val="-1"/>
        </w:rPr>
        <w:t>cost</w:t>
      </w:r>
      <w:r>
        <w:rPr>
          <w:spacing w:val="2"/>
        </w:rPr>
        <w:t xml:space="preserve"> </w:t>
      </w:r>
      <w:r>
        <w:rPr>
          <w:spacing w:val="-2"/>
        </w:rPr>
        <w:t>of</w:t>
      </w:r>
      <w:r>
        <w:rPr>
          <w:spacing w:val="2"/>
        </w:rPr>
        <w:t xml:space="preserve"> </w:t>
      </w:r>
      <w:r>
        <w:rPr>
          <w:spacing w:val="-2"/>
        </w:rPr>
        <w:t>implementing</w:t>
      </w:r>
      <w:r>
        <w:t xml:space="preserve"> the</w:t>
      </w:r>
      <w:r>
        <w:rPr>
          <w:spacing w:val="-2"/>
        </w:rPr>
        <w:t xml:space="preserve"> </w:t>
      </w:r>
      <w:r>
        <w:rPr>
          <w:spacing w:val="-1"/>
        </w:rPr>
        <w:t>proposed</w:t>
      </w:r>
      <w:r>
        <w:rPr>
          <w:spacing w:val="-4"/>
        </w:rPr>
        <w:t xml:space="preserve"> </w:t>
      </w:r>
      <w:r>
        <w:rPr>
          <w:spacing w:val="-1"/>
        </w:rPr>
        <w:t>Variation;</w:t>
      </w:r>
    </w:p>
    <w:p w:rsidR="008918FA" w:rsidRDefault="008918FA" w:rsidP="008918FA">
      <w:pPr>
        <w:pStyle w:val="BodyText"/>
        <w:numPr>
          <w:ilvl w:val="3"/>
          <w:numId w:val="66"/>
        </w:numPr>
        <w:tabs>
          <w:tab w:val="left" w:pos="2935"/>
        </w:tabs>
        <w:spacing w:before="121"/>
        <w:ind w:left="2934" w:right="112"/>
        <w:jc w:val="both"/>
      </w:pPr>
      <w:r>
        <w:rPr>
          <w:spacing w:val="-1"/>
        </w:rPr>
        <w:t>details</w:t>
      </w:r>
      <w:r>
        <w:rPr>
          <w:spacing w:val="13"/>
        </w:rPr>
        <w:t xml:space="preserve"> </w:t>
      </w:r>
      <w:r>
        <w:rPr>
          <w:spacing w:val="-2"/>
        </w:rPr>
        <w:t>of</w:t>
      </w:r>
      <w:r>
        <w:rPr>
          <w:spacing w:val="14"/>
        </w:rPr>
        <w:t xml:space="preserve"> </w:t>
      </w:r>
      <w:r>
        <w:t>the</w:t>
      </w:r>
      <w:r>
        <w:rPr>
          <w:spacing w:val="12"/>
        </w:rPr>
        <w:t xml:space="preserve"> </w:t>
      </w:r>
      <w:r>
        <w:rPr>
          <w:spacing w:val="-2"/>
        </w:rPr>
        <w:t>ongoing</w:t>
      </w:r>
      <w:r>
        <w:rPr>
          <w:spacing w:val="15"/>
        </w:rPr>
        <w:t xml:space="preserve"> </w:t>
      </w:r>
      <w:r>
        <w:rPr>
          <w:spacing w:val="-1"/>
        </w:rPr>
        <w:t>costs</w:t>
      </w:r>
      <w:r>
        <w:rPr>
          <w:spacing w:val="10"/>
        </w:rPr>
        <w:t xml:space="preserve"> </w:t>
      </w:r>
      <w:r>
        <w:rPr>
          <w:spacing w:val="-1"/>
        </w:rPr>
        <w:t>required</w:t>
      </w:r>
      <w:r>
        <w:rPr>
          <w:spacing w:val="12"/>
        </w:rPr>
        <w:t xml:space="preserve"> </w:t>
      </w:r>
      <w:r>
        <w:rPr>
          <w:spacing w:val="-1"/>
        </w:rPr>
        <w:t>by</w:t>
      </w:r>
      <w:r>
        <w:rPr>
          <w:spacing w:val="10"/>
        </w:rPr>
        <w:t xml:space="preserve"> </w:t>
      </w:r>
      <w:r>
        <w:t>the</w:t>
      </w:r>
      <w:r>
        <w:rPr>
          <w:spacing w:val="10"/>
        </w:rPr>
        <w:t xml:space="preserve"> </w:t>
      </w:r>
      <w:r>
        <w:rPr>
          <w:spacing w:val="-1"/>
        </w:rPr>
        <w:t>proposed</w:t>
      </w:r>
      <w:r>
        <w:rPr>
          <w:spacing w:val="12"/>
        </w:rPr>
        <w:t xml:space="preserve"> </w:t>
      </w:r>
      <w:r>
        <w:rPr>
          <w:spacing w:val="-1"/>
        </w:rPr>
        <w:t>Variation</w:t>
      </w:r>
      <w:r>
        <w:rPr>
          <w:spacing w:val="30"/>
        </w:rPr>
        <w:t xml:space="preserve"> </w:t>
      </w:r>
      <w:r>
        <w:rPr>
          <w:spacing w:val="-2"/>
        </w:rPr>
        <w:t>when</w:t>
      </w:r>
      <w:r>
        <w:rPr>
          <w:spacing w:val="31"/>
        </w:rPr>
        <w:t xml:space="preserve"> </w:t>
      </w:r>
      <w:r>
        <w:rPr>
          <w:spacing w:val="-1"/>
        </w:rPr>
        <w:t>implemented,</w:t>
      </w:r>
      <w:r>
        <w:rPr>
          <w:spacing w:val="30"/>
        </w:rPr>
        <w:t xml:space="preserve"> </w:t>
      </w:r>
      <w:r>
        <w:rPr>
          <w:spacing w:val="-2"/>
        </w:rPr>
        <w:t>including</w:t>
      </w:r>
      <w:r>
        <w:rPr>
          <w:spacing w:val="31"/>
        </w:rPr>
        <w:t xml:space="preserve"> </w:t>
      </w:r>
      <w:r>
        <w:rPr>
          <w:spacing w:val="-1"/>
        </w:rPr>
        <w:t>any</w:t>
      </w:r>
      <w:r>
        <w:rPr>
          <w:spacing w:val="27"/>
        </w:rPr>
        <w:t xml:space="preserve"> </w:t>
      </w:r>
      <w:r>
        <w:rPr>
          <w:spacing w:val="-1"/>
        </w:rPr>
        <w:t>increase</w:t>
      </w:r>
      <w:r>
        <w:rPr>
          <w:spacing w:val="30"/>
        </w:rPr>
        <w:t xml:space="preserve"> </w:t>
      </w:r>
      <w:r>
        <w:rPr>
          <w:spacing w:val="-1"/>
        </w:rPr>
        <w:t>or</w:t>
      </w:r>
      <w:r>
        <w:rPr>
          <w:spacing w:val="30"/>
        </w:rPr>
        <w:t xml:space="preserve"> </w:t>
      </w:r>
      <w:r>
        <w:rPr>
          <w:spacing w:val="-1"/>
        </w:rPr>
        <w:t>decrease</w:t>
      </w:r>
      <w:r>
        <w:rPr>
          <w:spacing w:val="30"/>
        </w:rPr>
        <w:t xml:space="preserve"> </w:t>
      </w:r>
      <w:r>
        <w:rPr>
          <w:spacing w:val="-1"/>
        </w:rPr>
        <w:t>in</w:t>
      </w:r>
      <w:r>
        <w:rPr>
          <w:spacing w:val="29"/>
        </w:rPr>
        <w:t xml:space="preserve"> </w:t>
      </w:r>
      <w:r>
        <w:rPr>
          <w:spacing w:val="-1"/>
        </w:rPr>
        <w:t>the</w:t>
      </w:r>
      <w:r>
        <w:rPr>
          <w:spacing w:val="44"/>
        </w:rPr>
        <w:t xml:space="preserve"> </w:t>
      </w:r>
      <w:r>
        <w:rPr>
          <w:spacing w:val="-2"/>
        </w:rPr>
        <w:t>Call</w:t>
      </w:r>
      <w:r>
        <w:rPr>
          <w:spacing w:val="15"/>
        </w:rPr>
        <w:t xml:space="preserve"> </w:t>
      </w:r>
      <w:r>
        <w:t>Off</w:t>
      </w:r>
      <w:r>
        <w:rPr>
          <w:spacing w:val="17"/>
        </w:rPr>
        <w:t xml:space="preserve"> </w:t>
      </w:r>
      <w:r>
        <w:rPr>
          <w:spacing w:val="-1"/>
        </w:rPr>
        <w:t>Contract</w:t>
      </w:r>
      <w:r>
        <w:rPr>
          <w:spacing w:val="18"/>
        </w:rPr>
        <w:t xml:space="preserve"> </w:t>
      </w:r>
      <w:r>
        <w:rPr>
          <w:spacing w:val="-1"/>
        </w:rPr>
        <w:t>Charges,</w:t>
      </w:r>
      <w:r>
        <w:rPr>
          <w:spacing w:val="18"/>
        </w:rPr>
        <w:t xml:space="preserve"> </w:t>
      </w:r>
      <w:r>
        <w:rPr>
          <w:spacing w:val="-1"/>
        </w:rPr>
        <w:t>any</w:t>
      </w:r>
      <w:r>
        <w:rPr>
          <w:spacing w:val="14"/>
        </w:rPr>
        <w:t xml:space="preserve"> </w:t>
      </w:r>
      <w:r>
        <w:rPr>
          <w:spacing w:val="-1"/>
        </w:rPr>
        <w:t>alteration</w:t>
      </w:r>
      <w:r>
        <w:rPr>
          <w:spacing w:val="16"/>
        </w:rPr>
        <w:t xml:space="preserve"> </w:t>
      </w:r>
      <w:r>
        <w:rPr>
          <w:spacing w:val="-1"/>
        </w:rPr>
        <w:t>in</w:t>
      </w:r>
      <w:r>
        <w:rPr>
          <w:spacing w:val="16"/>
        </w:rPr>
        <w:t xml:space="preserve"> </w:t>
      </w:r>
      <w:r>
        <w:t>the</w:t>
      </w:r>
      <w:r>
        <w:rPr>
          <w:spacing w:val="16"/>
        </w:rPr>
        <w:t xml:space="preserve"> </w:t>
      </w:r>
      <w:r>
        <w:rPr>
          <w:spacing w:val="-1"/>
        </w:rPr>
        <w:t>resources</w:t>
      </w:r>
      <w:r>
        <w:rPr>
          <w:spacing w:val="29"/>
        </w:rPr>
        <w:t xml:space="preserve"> </w:t>
      </w:r>
      <w:r>
        <w:rPr>
          <w:spacing w:val="-1"/>
        </w:rPr>
        <w:t>and/or</w:t>
      </w:r>
      <w:r>
        <w:rPr>
          <w:spacing w:val="28"/>
        </w:rPr>
        <w:t xml:space="preserve"> </w:t>
      </w:r>
      <w:r>
        <w:rPr>
          <w:spacing w:val="-1"/>
        </w:rPr>
        <w:t>expenditure</w:t>
      </w:r>
      <w:r>
        <w:rPr>
          <w:spacing w:val="27"/>
        </w:rPr>
        <w:t xml:space="preserve"> </w:t>
      </w:r>
      <w:r>
        <w:rPr>
          <w:spacing w:val="-1"/>
        </w:rPr>
        <w:t>required</w:t>
      </w:r>
      <w:r>
        <w:rPr>
          <w:spacing w:val="27"/>
        </w:rPr>
        <w:t xml:space="preserve"> </w:t>
      </w:r>
      <w:r>
        <w:rPr>
          <w:spacing w:val="-1"/>
        </w:rPr>
        <w:t>by</w:t>
      </w:r>
      <w:r>
        <w:rPr>
          <w:spacing w:val="25"/>
        </w:rPr>
        <w:t xml:space="preserve"> </w:t>
      </w:r>
      <w:r>
        <w:rPr>
          <w:spacing w:val="-1"/>
        </w:rPr>
        <w:t>either</w:t>
      </w:r>
      <w:r>
        <w:rPr>
          <w:spacing w:val="28"/>
        </w:rPr>
        <w:t xml:space="preserve"> </w:t>
      </w:r>
      <w:r>
        <w:rPr>
          <w:spacing w:val="-1"/>
        </w:rPr>
        <w:t>Party</w:t>
      </w:r>
      <w:r>
        <w:rPr>
          <w:spacing w:val="25"/>
        </w:rPr>
        <w:t xml:space="preserve"> </w:t>
      </w:r>
      <w:r>
        <w:rPr>
          <w:spacing w:val="-1"/>
        </w:rPr>
        <w:t>and</w:t>
      </w:r>
      <w:r>
        <w:rPr>
          <w:spacing w:val="27"/>
        </w:rPr>
        <w:t xml:space="preserve"> </w:t>
      </w:r>
      <w:r>
        <w:rPr>
          <w:spacing w:val="-1"/>
        </w:rPr>
        <w:t>any</w:t>
      </w:r>
      <w:r>
        <w:rPr>
          <w:spacing w:val="25"/>
        </w:rPr>
        <w:t xml:space="preserve"> </w:t>
      </w:r>
      <w:r>
        <w:rPr>
          <w:spacing w:val="-1"/>
        </w:rPr>
        <w:t>alteration</w:t>
      </w:r>
      <w:r>
        <w:rPr>
          <w:spacing w:val="34"/>
        </w:rPr>
        <w:t xml:space="preserve"> </w:t>
      </w:r>
      <w:r>
        <w:t>to</w:t>
      </w:r>
      <w:r>
        <w:rPr>
          <w:spacing w:val="-2"/>
        </w:rPr>
        <w:t xml:space="preserve"> </w:t>
      </w:r>
      <w:r>
        <w:t xml:space="preserve">the </w:t>
      </w:r>
      <w:r>
        <w:rPr>
          <w:spacing w:val="-2"/>
        </w:rPr>
        <w:t>working</w:t>
      </w:r>
      <w:r>
        <w:t xml:space="preserve"> </w:t>
      </w:r>
      <w:r>
        <w:rPr>
          <w:spacing w:val="-1"/>
        </w:rPr>
        <w:t>practices</w:t>
      </w:r>
      <w:r>
        <w:rPr>
          <w:spacing w:val="-4"/>
        </w:rPr>
        <w:t xml:space="preserve"> </w:t>
      </w:r>
      <w:r>
        <w:rPr>
          <w:spacing w:val="-2"/>
        </w:rPr>
        <w:t>of</w:t>
      </w:r>
      <w:r>
        <w:rPr>
          <w:spacing w:val="4"/>
        </w:rPr>
        <w:t xml:space="preserve"> </w:t>
      </w:r>
      <w:r>
        <w:rPr>
          <w:spacing w:val="-1"/>
        </w:rPr>
        <w:t>either</w:t>
      </w:r>
      <w:r>
        <w:rPr>
          <w:spacing w:val="2"/>
        </w:rPr>
        <w:t xml:space="preserve"> </w:t>
      </w:r>
      <w:r>
        <w:rPr>
          <w:spacing w:val="-1"/>
        </w:rPr>
        <w:t>Party;</w:t>
      </w:r>
    </w:p>
    <w:p w:rsidR="008918FA" w:rsidRDefault="008918FA" w:rsidP="008918FA">
      <w:pPr>
        <w:jc w:val="both"/>
        <w:sectPr w:rsidR="008918FA">
          <w:pgSz w:w="11910" w:h="16840"/>
          <w:pgMar w:top="1480" w:right="1300" w:bottom="1180" w:left="1340" w:header="0" w:footer="967" w:gutter="0"/>
          <w:cols w:space="720"/>
        </w:sectPr>
      </w:pPr>
    </w:p>
    <w:p w:rsidR="008918FA" w:rsidRDefault="008918FA" w:rsidP="008918FA">
      <w:pPr>
        <w:pStyle w:val="BodyText"/>
        <w:numPr>
          <w:ilvl w:val="3"/>
          <w:numId w:val="66"/>
        </w:numPr>
        <w:tabs>
          <w:tab w:val="left" w:pos="2595"/>
        </w:tabs>
        <w:spacing w:before="59"/>
        <w:ind w:left="2594" w:right="116"/>
        <w:jc w:val="both"/>
      </w:pPr>
      <w:r>
        <w:t>a</w:t>
      </w:r>
      <w:r>
        <w:rPr>
          <w:spacing w:val="10"/>
        </w:rPr>
        <w:t xml:space="preserve"> </w:t>
      </w:r>
      <w:r>
        <w:rPr>
          <w:spacing w:val="-1"/>
        </w:rPr>
        <w:t>timetable</w:t>
      </w:r>
      <w:r>
        <w:rPr>
          <w:spacing w:val="7"/>
        </w:rPr>
        <w:t xml:space="preserve"> </w:t>
      </w:r>
      <w:r>
        <w:t>for</w:t>
      </w:r>
      <w:r>
        <w:rPr>
          <w:spacing w:val="11"/>
        </w:rPr>
        <w:t xml:space="preserve"> </w:t>
      </w:r>
      <w:r>
        <w:t>the</w:t>
      </w:r>
      <w:r>
        <w:rPr>
          <w:spacing w:val="10"/>
        </w:rPr>
        <w:t xml:space="preserve"> </w:t>
      </w:r>
      <w:r>
        <w:rPr>
          <w:spacing w:val="-1"/>
        </w:rPr>
        <w:t>implementation,</w:t>
      </w:r>
      <w:r>
        <w:rPr>
          <w:spacing w:val="11"/>
        </w:rPr>
        <w:t xml:space="preserve"> </w:t>
      </w:r>
      <w:r>
        <w:rPr>
          <w:spacing w:val="-1"/>
        </w:rPr>
        <w:t>together</w:t>
      </w:r>
      <w:r>
        <w:rPr>
          <w:spacing w:val="11"/>
        </w:rPr>
        <w:t xml:space="preserve"> </w:t>
      </w:r>
      <w:r>
        <w:rPr>
          <w:spacing w:val="-2"/>
        </w:rPr>
        <w:t>with</w:t>
      </w:r>
      <w:r>
        <w:rPr>
          <w:spacing w:val="10"/>
        </w:rPr>
        <w:t xml:space="preserve"> </w:t>
      </w:r>
      <w:r>
        <w:rPr>
          <w:spacing w:val="-1"/>
        </w:rPr>
        <w:t>any</w:t>
      </w:r>
      <w:r>
        <w:rPr>
          <w:spacing w:val="8"/>
        </w:rPr>
        <w:t xml:space="preserve"> </w:t>
      </w:r>
      <w:r>
        <w:rPr>
          <w:spacing w:val="-1"/>
        </w:rPr>
        <w:t>proposals</w:t>
      </w:r>
      <w:r>
        <w:rPr>
          <w:spacing w:val="29"/>
        </w:rPr>
        <w:t xml:space="preserve"> </w:t>
      </w:r>
      <w:r>
        <w:t>for</w:t>
      </w:r>
      <w:r>
        <w:rPr>
          <w:spacing w:val="-1"/>
        </w:rPr>
        <w:t xml:space="preserve"> </w:t>
      </w:r>
      <w:r>
        <w:t>the</w:t>
      </w:r>
      <w:r>
        <w:rPr>
          <w:spacing w:val="-2"/>
        </w:rPr>
        <w:t xml:space="preserve"> </w:t>
      </w:r>
      <w:r>
        <w:rPr>
          <w:spacing w:val="-1"/>
        </w:rPr>
        <w:t>testing</w:t>
      </w:r>
      <w:r>
        <w:rPr>
          <w:spacing w:val="3"/>
        </w:rPr>
        <w:t xml:space="preserve"> </w:t>
      </w:r>
      <w:r>
        <w:rPr>
          <w:spacing w:val="-2"/>
        </w:rPr>
        <w:t>of</w:t>
      </w:r>
      <w:r>
        <w:t xml:space="preserve"> the </w:t>
      </w:r>
      <w:r>
        <w:rPr>
          <w:spacing w:val="-1"/>
        </w:rPr>
        <w:t>Variation;</w:t>
      </w:r>
      <w:r>
        <w:rPr>
          <w:spacing w:val="2"/>
        </w:rPr>
        <w:t xml:space="preserve"> </w:t>
      </w:r>
      <w:r>
        <w:rPr>
          <w:spacing w:val="-1"/>
        </w:rPr>
        <w:t>and</w:t>
      </w:r>
    </w:p>
    <w:p w:rsidR="008918FA" w:rsidRDefault="008918FA" w:rsidP="008918FA">
      <w:pPr>
        <w:pStyle w:val="BodyText"/>
        <w:numPr>
          <w:ilvl w:val="3"/>
          <w:numId w:val="66"/>
        </w:numPr>
        <w:tabs>
          <w:tab w:val="left" w:pos="2594"/>
        </w:tabs>
        <w:spacing w:before="121"/>
        <w:ind w:left="2593" w:right="115" w:hanging="707"/>
        <w:jc w:val="both"/>
      </w:pPr>
      <w:r>
        <w:rPr>
          <w:spacing w:val="-1"/>
        </w:rPr>
        <w:t>such</w:t>
      </w:r>
      <w:r>
        <w:rPr>
          <w:spacing w:val="45"/>
        </w:rPr>
        <w:t xml:space="preserve"> </w:t>
      </w:r>
      <w:r>
        <w:rPr>
          <w:spacing w:val="-1"/>
        </w:rPr>
        <w:t>other</w:t>
      </w:r>
      <w:r>
        <w:rPr>
          <w:spacing w:val="46"/>
        </w:rPr>
        <w:t xml:space="preserve"> </w:t>
      </w:r>
      <w:r>
        <w:rPr>
          <w:spacing w:val="-1"/>
        </w:rPr>
        <w:t>information</w:t>
      </w:r>
      <w:r>
        <w:rPr>
          <w:spacing w:val="42"/>
        </w:rPr>
        <w:t xml:space="preserve"> </w:t>
      </w:r>
      <w:r>
        <w:rPr>
          <w:spacing w:val="-1"/>
        </w:rPr>
        <w:t>as</w:t>
      </w:r>
      <w:r>
        <w:rPr>
          <w:spacing w:val="45"/>
        </w:rPr>
        <w:t xml:space="preserve"> </w:t>
      </w:r>
      <w:r>
        <w:t>the</w:t>
      </w:r>
      <w:r>
        <w:rPr>
          <w:spacing w:val="45"/>
        </w:rPr>
        <w:t xml:space="preserve"> </w:t>
      </w:r>
      <w:r>
        <w:rPr>
          <w:spacing w:val="-1"/>
        </w:rPr>
        <w:t>Customer</w:t>
      </w:r>
      <w:r>
        <w:rPr>
          <w:spacing w:val="44"/>
        </w:rPr>
        <w:t xml:space="preserve"> </w:t>
      </w:r>
      <w:r>
        <w:rPr>
          <w:spacing w:val="-1"/>
        </w:rPr>
        <w:t>may</w:t>
      </w:r>
      <w:r>
        <w:rPr>
          <w:spacing w:val="44"/>
        </w:rPr>
        <w:t xml:space="preserve"> </w:t>
      </w:r>
      <w:r>
        <w:rPr>
          <w:spacing w:val="-1"/>
        </w:rPr>
        <w:t>reasonably</w:t>
      </w:r>
      <w:r>
        <w:rPr>
          <w:spacing w:val="29"/>
        </w:rPr>
        <w:t xml:space="preserve"> </w:t>
      </w:r>
      <w:r>
        <w:rPr>
          <w:spacing w:val="-1"/>
        </w:rPr>
        <w:t>request</w:t>
      </w:r>
      <w:r>
        <w:t xml:space="preserve"> </w:t>
      </w:r>
      <w:r>
        <w:rPr>
          <w:spacing w:val="-1"/>
        </w:rPr>
        <w:t>in</w:t>
      </w:r>
      <w:r>
        <w:t xml:space="preserve"> </w:t>
      </w:r>
      <w:r>
        <w:rPr>
          <w:spacing w:val="-1"/>
        </w:rPr>
        <w:t>(or</w:t>
      </w:r>
      <w:r>
        <w:rPr>
          <w:spacing w:val="2"/>
        </w:rPr>
        <w:t xml:space="preserve"> </w:t>
      </w:r>
      <w:r>
        <w:rPr>
          <w:spacing w:val="-1"/>
        </w:rPr>
        <w:t>in</w:t>
      </w:r>
      <w:r>
        <w:rPr>
          <w:spacing w:val="-2"/>
        </w:rPr>
        <w:t xml:space="preserve"> </w:t>
      </w:r>
      <w:r>
        <w:rPr>
          <w:spacing w:val="-1"/>
        </w:rPr>
        <w:t>response</w:t>
      </w:r>
      <w:r>
        <w:t xml:space="preserve"> </w:t>
      </w:r>
      <w:r>
        <w:rPr>
          <w:spacing w:val="-1"/>
        </w:rPr>
        <w:t xml:space="preserve">to) </w:t>
      </w:r>
      <w:r>
        <w:t xml:space="preserve">the </w:t>
      </w:r>
      <w:r>
        <w:rPr>
          <w:spacing w:val="-1"/>
        </w:rPr>
        <w:t>Variation</w:t>
      </w:r>
      <w:r>
        <w:t xml:space="preserve"> </w:t>
      </w:r>
      <w:r>
        <w:rPr>
          <w:spacing w:val="-1"/>
        </w:rPr>
        <w:t>request.</w:t>
      </w:r>
    </w:p>
    <w:p w:rsidR="008918FA" w:rsidRDefault="008918FA" w:rsidP="008918FA">
      <w:pPr>
        <w:pStyle w:val="BodyText"/>
        <w:numPr>
          <w:ilvl w:val="2"/>
          <w:numId w:val="66"/>
        </w:numPr>
        <w:tabs>
          <w:tab w:val="left" w:pos="1886"/>
        </w:tabs>
        <w:spacing w:before="121"/>
        <w:ind w:left="1885" w:right="115" w:hanging="993"/>
        <w:jc w:val="both"/>
      </w:pPr>
      <w:bookmarkStart w:id="139" w:name="_bookmark121"/>
      <w:bookmarkEnd w:id="139"/>
      <w:r>
        <w:t>The</w:t>
      </w:r>
      <w:r>
        <w:rPr>
          <w:spacing w:val="16"/>
        </w:rPr>
        <w:t xml:space="preserve"> </w:t>
      </w:r>
      <w:r>
        <w:rPr>
          <w:spacing w:val="-1"/>
        </w:rPr>
        <w:t>Parties</w:t>
      </w:r>
      <w:r>
        <w:rPr>
          <w:spacing w:val="16"/>
        </w:rPr>
        <w:t xml:space="preserve"> </w:t>
      </w:r>
      <w:r>
        <w:rPr>
          <w:spacing w:val="-1"/>
        </w:rPr>
        <w:t>may</w:t>
      </w:r>
      <w:r>
        <w:rPr>
          <w:spacing w:val="14"/>
        </w:rPr>
        <w:t xml:space="preserve"> </w:t>
      </w:r>
      <w:r>
        <w:rPr>
          <w:spacing w:val="-1"/>
        </w:rPr>
        <w:t>agree</w:t>
      </w:r>
      <w:r>
        <w:rPr>
          <w:spacing w:val="16"/>
        </w:rPr>
        <w:t xml:space="preserve"> </w:t>
      </w:r>
      <w:r>
        <w:t>to</w:t>
      </w:r>
      <w:r>
        <w:rPr>
          <w:spacing w:val="16"/>
        </w:rPr>
        <w:t xml:space="preserve"> </w:t>
      </w:r>
      <w:r>
        <w:rPr>
          <w:spacing w:val="-1"/>
        </w:rPr>
        <w:t>adjust</w:t>
      </w:r>
      <w:r>
        <w:rPr>
          <w:spacing w:val="18"/>
        </w:rPr>
        <w:t xml:space="preserve"> </w:t>
      </w:r>
      <w:r>
        <w:t>the</w:t>
      </w:r>
      <w:r>
        <w:rPr>
          <w:spacing w:val="16"/>
        </w:rPr>
        <w:t xml:space="preserve"> </w:t>
      </w:r>
      <w:r>
        <w:rPr>
          <w:spacing w:val="-1"/>
        </w:rPr>
        <w:t>time</w:t>
      </w:r>
      <w:r>
        <w:rPr>
          <w:spacing w:val="16"/>
        </w:rPr>
        <w:t xml:space="preserve"> </w:t>
      </w:r>
      <w:r>
        <w:rPr>
          <w:spacing w:val="-1"/>
        </w:rPr>
        <w:t>limits</w:t>
      </w:r>
      <w:r>
        <w:rPr>
          <w:spacing w:val="16"/>
        </w:rPr>
        <w:t xml:space="preserve"> </w:t>
      </w:r>
      <w:r>
        <w:rPr>
          <w:spacing w:val="-1"/>
        </w:rPr>
        <w:t>specified</w:t>
      </w:r>
      <w:r>
        <w:rPr>
          <w:spacing w:val="16"/>
        </w:rPr>
        <w:t xml:space="preserve"> </w:t>
      </w:r>
      <w:r>
        <w:rPr>
          <w:spacing w:val="-1"/>
        </w:rPr>
        <w:t>in</w:t>
      </w:r>
      <w:r>
        <w:rPr>
          <w:spacing w:val="16"/>
        </w:rPr>
        <w:t xml:space="preserve"> </w:t>
      </w:r>
      <w:r>
        <w:rPr>
          <w:spacing w:val="-1"/>
        </w:rPr>
        <w:t>the</w:t>
      </w:r>
      <w:r>
        <w:rPr>
          <w:spacing w:val="36"/>
        </w:rPr>
        <w:t xml:space="preserve"> </w:t>
      </w:r>
      <w:r>
        <w:rPr>
          <w:spacing w:val="-1"/>
        </w:rPr>
        <w:t>Variation</w:t>
      </w:r>
      <w:r>
        <w:rPr>
          <w:spacing w:val="17"/>
        </w:rPr>
        <w:t xml:space="preserve"> </w:t>
      </w:r>
      <w:r>
        <w:rPr>
          <w:spacing w:val="-1"/>
        </w:rPr>
        <w:t>request</w:t>
      </w:r>
      <w:r>
        <w:rPr>
          <w:spacing w:val="19"/>
        </w:rPr>
        <w:t xml:space="preserve"> </w:t>
      </w:r>
      <w:r>
        <w:t>to</w:t>
      </w:r>
      <w:r>
        <w:rPr>
          <w:spacing w:val="15"/>
        </w:rPr>
        <w:t xml:space="preserve"> </w:t>
      </w:r>
      <w:r>
        <w:rPr>
          <w:spacing w:val="-1"/>
        </w:rPr>
        <w:t>allow</w:t>
      </w:r>
      <w:r>
        <w:rPr>
          <w:spacing w:val="14"/>
        </w:rPr>
        <w:t xml:space="preserve"> </w:t>
      </w:r>
      <w:r>
        <w:t>for</w:t>
      </w:r>
      <w:r>
        <w:rPr>
          <w:spacing w:val="16"/>
        </w:rPr>
        <w:t xml:space="preserve"> </w:t>
      </w:r>
      <w:r>
        <w:t>the</w:t>
      </w:r>
      <w:r>
        <w:rPr>
          <w:spacing w:val="17"/>
        </w:rPr>
        <w:t xml:space="preserve"> </w:t>
      </w:r>
      <w:r>
        <w:rPr>
          <w:spacing w:val="-1"/>
        </w:rPr>
        <w:t>preparation</w:t>
      </w:r>
      <w:r>
        <w:rPr>
          <w:spacing w:val="17"/>
        </w:rPr>
        <w:t xml:space="preserve"> </w:t>
      </w:r>
      <w:r>
        <w:rPr>
          <w:spacing w:val="-2"/>
        </w:rPr>
        <w:t>of</w:t>
      </w:r>
      <w:r>
        <w:rPr>
          <w:spacing w:val="19"/>
        </w:rPr>
        <w:t xml:space="preserve"> </w:t>
      </w:r>
      <w:r>
        <w:t>the</w:t>
      </w:r>
      <w:r>
        <w:rPr>
          <w:spacing w:val="17"/>
        </w:rPr>
        <w:t xml:space="preserve"> </w:t>
      </w:r>
      <w:r>
        <w:rPr>
          <w:spacing w:val="-2"/>
        </w:rPr>
        <w:t>Impact</w:t>
      </w:r>
      <w:r>
        <w:rPr>
          <w:spacing w:val="29"/>
        </w:rPr>
        <w:t xml:space="preserve"> </w:t>
      </w:r>
      <w:r>
        <w:rPr>
          <w:spacing w:val="-1"/>
        </w:rPr>
        <w:t>Assessment.</w:t>
      </w:r>
    </w:p>
    <w:p w:rsidR="008918FA" w:rsidRDefault="008918FA" w:rsidP="008918FA">
      <w:pPr>
        <w:pStyle w:val="BodyText"/>
        <w:numPr>
          <w:ilvl w:val="2"/>
          <w:numId w:val="66"/>
        </w:numPr>
        <w:tabs>
          <w:tab w:val="left" w:pos="1886"/>
        </w:tabs>
        <w:spacing w:before="121"/>
        <w:ind w:left="1885" w:right="115" w:hanging="993"/>
        <w:jc w:val="both"/>
      </w:pPr>
      <w:r>
        <w:rPr>
          <w:spacing w:val="-1"/>
        </w:rPr>
        <w:t>Subject</w:t>
      </w:r>
      <w:r>
        <w:rPr>
          <w:spacing w:val="55"/>
        </w:rPr>
        <w:t xml:space="preserve"> </w:t>
      </w:r>
      <w:r>
        <w:t>to</w:t>
      </w:r>
      <w:r>
        <w:rPr>
          <w:spacing w:val="53"/>
        </w:rPr>
        <w:t xml:space="preserve"> </w:t>
      </w:r>
      <w:hyperlink w:anchor="_bookmark121" w:history="1">
        <w:r>
          <w:rPr>
            <w:spacing w:val="-1"/>
          </w:rPr>
          <w:t>22.1.4,</w:t>
        </w:r>
      </w:hyperlink>
      <w:r>
        <w:rPr>
          <w:spacing w:val="55"/>
        </w:rPr>
        <w:t xml:space="preserve"> </w:t>
      </w:r>
      <w:r>
        <w:t>the</w:t>
      </w:r>
      <w:r>
        <w:rPr>
          <w:spacing w:val="53"/>
        </w:rPr>
        <w:t xml:space="preserve"> </w:t>
      </w:r>
      <w:r>
        <w:rPr>
          <w:spacing w:val="-2"/>
        </w:rPr>
        <w:t>receiving</w:t>
      </w:r>
      <w:r>
        <w:rPr>
          <w:spacing w:val="55"/>
        </w:rPr>
        <w:t xml:space="preserve"> </w:t>
      </w:r>
      <w:r>
        <w:rPr>
          <w:spacing w:val="-1"/>
        </w:rPr>
        <w:t>Party</w:t>
      </w:r>
      <w:r>
        <w:rPr>
          <w:spacing w:val="51"/>
        </w:rPr>
        <w:t xml:space="preserve"> </w:t>
      </w:r>
      <w:r>
        <w:rPr>
          <w:spacing w:val="-1"/>
        </w:rPr>
        <w:t>shall</w:t>
      </w:r>
      <w:r>
        <w:rPr>
          <w:spacing w:val="53"/>
        </w:rPr>
        <w:t xml:space="preserve"> </w:t>
      </w:r>
      <w:r>
        <w:rPr>
          <w:spacing w:val="-1"/>
        </w:rPr>
        <w:t>respond</w:t>
      </w:r>
      <w:r>
        <w:rPr>
          <w:spacing w:val="53"/>
        </w:rPr>
        <w:t xml:space="preserve"> </w:t>
      </w:r>
      <w:r>
        <w:t>to</w:t>
      </w:r>
      <w:r>
        <w:rPr>
          <w:spacing w:val="53"/>
        </w:rPr>
        <w:t xml:space="preserve"> </w:t>
      </w:r>
      <w:r>
        <w:t>the</w:t>
      </w:r>
      <w:r>
        <w:rPr>
          <w:spacing w:val="53"/>
        </w:rPr>
        <w:t xml:space="preserve"> </w:t>
      </w:r>
      <w:r>
        <w:rPr>
          <w:spacing w:val="-1"/>
        </w:rPr>
        <w:t>request</w:t>
      </w:r>
      <w:r>
        <w:rPr>
          <w:spacing w:val="54"/>
        </w:rPr>
        <w:t xml:space="preserve"> </w:t>
      </w:r>
      <w:r>
        <w:rPr>
          <w:spacing w:val="-1"/>
        </w:rPr>
        <w:t>within</w:t>
      </w:r>
      <w:r>
        <w:rPr>
          <w:spacing w:val="22"/>
        </w:rPr>
        <w:t xml:space="preserve"> </w:t>
      </w:r>
      <w:r>
        <w:t>the</w:t>
      </w:r>
      <w:r>
        <w:rPr>
          <w:spacing w:val="22"/>
        </w:rPr>
        <w:t xml:space="preserve"> </w:t>
      </w:r>
      <w:r>
        <w:rPr>
          <w:spacing w:val="-1"/>
        </w:rPr>
        <w:t>time</w:t>
      </w:r>
      <w:r>
        <w:rPr>
          <w:spacing w:val="22"/>
        </w:rPr>
        <w:t xml:space="preserve"> </w:t>
      </w:r>
      <w:r>
        <w:rPr>
          <w:spacing w:val="-1"/>
        </w:rPr>
        <w:t>limits</w:t>
      </w:r>
      <w:r>
        <w:rPr>
          <w:spacing w:val="22"/>
        </w:rPr>
        <w:t xml:space="preserve"> </w:t>
      </w:r>
      <w:r>
        <w:rPr>
          <w:spacing w:val="-1"/>
        </w:rPr>
        <w:t>specified</w:t>
      </w:r>
      <w:r>
        <w:rPr>
          <w:spacing w:val="22"/>
        </w:rPr>
        <w:t xml:space="preserve"> </w:t>
      </w:r>
      <w:r>
        <w:rPr>
          <w:spacing w:val="-1"/>
        </w:rPr>
        <w:t>in</w:t>
      </w:r>
      <w:r>
        <w:rPr>
          <w:spacing w:val="22"/>
        </w:rPr>
        <w:t xml:space="preserve"> </w:t>
      </w:r>
      <w:r>
        <w:t>the</w:t>
      </w:r>
      <w:r>
        <w:rPr>
          <w:spacing w:val="22"/>
        </w:rPr>
        <w:t xml:space="preserve"> </w:t>
      </w:r>
      <w:r>
        <w:rPr>
          <w:spacing w:val="-1"/>
        </w:rPr>
        <w:t>Variation</w:t>
      </w:r>
      <w:r>
        <w:rPr>
          <w:spacing w:val="22"/>
        </w:rPr>
        <w:t xml:space="preserve"> </w:t>
      </w:r>
      <w:r>
        <w:rPr>
          <w:spacing w:val="-1"/>
        </w:rPr>
        <w:t>Form.</w:t>
      </w:r>
      <w:r>
        <w:rPr>
          <w:spacing w:val="23"/>
        </w:rPr>
        <w:t xml:space="preserve"> </w:t>
      </w:r>
      <w:r>
        <w:rPr>
          <w:spacing w:val="-1"/>
        </w:rPr>
        <w:t>Such</w:t>
      </w:r>
      <w:r>
        <w:rPr>
          <w:spacing w:val="22"/>
        </w:rPr>
        <w:t xml:space="preserve"> </w:t>
      </w:r>
      <w:r>
        <w:rPr>
          <w:spacing w:val="-1"/>
        </w:rPr>
        <w:t>time</w:t>
      </w:r>
      <w:r>
        <w:rPr>
          <w:spacing w:val="22"/>
        </w:rPr>
        <w:t xml:space="preserve"> </w:t>
      </w:r>
      <w:r>
        <w:rPr>
          <w:spacing w:val="-1"/>
        </w:rPr>
        <w:t>limits</w:t>
      </w:r>
      <w:r>
        <w:rPr>
          <w:spacing w:val="35"/>
        </w:rPr>
        <w:t xml:space="preserve"> </w:t>
      </w:r>
      <w:r>
        <w:rPr>
          <w:spacing w:val="-1"/>
        </w:rPr>
        <w:t>shall</w:t>
      </w:r>
      <w:r>
        <w:rPr>
          <w:spacing w:val="33"/>
        </w:rPr>
        <w:t xml:space="preserve"> </w:t>
      </w:r>
      <w:r>
        <w:rPr>
          <w:spacing w:val="-1"/>
        </w:rPr>
        <w:t>be</w:t>
      </w:r>
      <w:r>
        <w:rPr>
          <w:spacing w:val="34"/>
        </w:rPr>
        <w:t xml:space="preserve"> </w:t>
      </w:r>
      <w:r>
        <w:rPr>
          <w:spacing w:val="-1"/>
        </w:rPr>
        <w:t>reasonable</w:t>
      </w:r>
      <w:r>
        <w:rPr>
          <w:spacing w:val="34"/>
        </w:rPr>
        <w:t xml:space="preserve"> </w:t>
      </w:r>
      <w:r>
        <w:rPr>
          <w:spacing w:val="-1"/>
        </w:rPr>
        <w:t>and</w:t>
      </w:r>
      <w:r>
        <w:rPr>
          <w:spacing w:val="36"/>
        </w:rPr>
        <w:t xml:space="preserve"> </w:t>
      </w:r>
      <w:r>
        <w:rPr>
          <w:spacing w:val="-1"/>
        </w:rPr>
        <w:t>ultimately</w:t>
      </w:r>
      <w:r>
        <w:rPr>
          <w:spacing w:val="32"/>
        </w:rPr>
        <w:t xml:space="preserve"> </w:t>
      </w:r>
      <w:r>
        <w:rPr>
          <w:spacing w:val="-1"/>
        </w:rPr>
        <w:t>at</w:t>
      </w:r>
      <w:r>
        <w:rPr>
          <w:spacing w:val="35"/>
        </w:rPr>
        <w:t xml:space="preserve"> </w:t>
      </w:r>
      <w:r>
        <w:t>the</w:t>
      </w:r>
      <w:r>
        <w:rPr>
          <w:spacing w:val="35"/>
        </w:rPr>
        <w:t xml:space="preserve"> </w:t>
      </w:r>
      <w:r>
        <w:rPr>
          <w:spacing w:val="-1"/>
        </w:rPr>
        <w:t>discretion</w:t>
      </w:r>
      <w:r>
        <w:rPr>
          <w:spacing w:val="34"/>
        </w:rPr>
        <w:t xml:space="preserve"> </w:t>
      </w:r>
      <w:r>
        <w:rPr>
          <w:spacing w:val="-1"/>
        </w:rPr>
        <w:t>of</w:t>
      </w:r>
      <w:r>
        <w:rPr>
          <w:spacing w:val="38"/>
        </w:rPr>
        <w:t xml:space="preserve"> </w:t>
      </w:r>
      <w:r>
        <w:t>the</w:t>
      </w:r>
      <w:r>
        <w:rPr>
          <w:spacing w:val="34"/>
        </w:rPr>
        <w:t xml:space="preserve"> </w:t>
      </w:r>
      <w:r>
        <w:rPr>
          <w:spacing w:val="-2"/>
        </w:rPr>
        <w:t>Customer</w:t>
      </w:r>
      <w:r>
        <w:rPr>
          <w:spacing w:val="39"/>
        </w:rPr>
        <w:t xml:space="preserve"> </w:t>
      </w:r>
      <w:r>
        <w:rPr>
          <w:spacing w:val="-2"/>
        </w:rPr>
        <w:t>having</w:t>
      </w:r>
      <w:r>
        <w:rPr>
          <w:spacing w:val="3"/>
        </w:rPr>
        <w:t xml:space="preserve"> </w:t>
      </w:r>
      <w:r>
        <w:rPr>
          <w:spacing w:val="-1"/>
        </w:rPr>
        <w:t>regard</w:t>
      </w:r>
      <w:r>
        <w:rPr>
          <w:spacing w:val="-2"/>
        </w:rPr>
        <w:t xml:space="preserve"> </w:t>
      </w:r>
      <w:r>
        <w:t>to</w:t>
      </w:r>
      <w:r>
        <w:rPr>
          <w:spacing w:val="-4"/>
        </w:rPr>
        <w:t xml:space="preserve"> </w:t>
      </w:r>
      <w:r>
        <w:t xml:space="preserve">the </w:t>
      </w:r>
      <w:r>
        <w:rPr>
          <w:spacing w:val="-1"/>
        </w:rPr>
        <w:t>nature</w:t>
      </w:r>
      <w:r>
        <w:t xml:space="preserve"> </w:t>
      </w:r>
      <w:r>
        <w:rPr>
          <w:spacing w:val="-2"/>
        </w:rPr>
        <w:t>of</w:t>
      </w:r>
      <w:r>
        <w:t xml:space="preserve"> the</w:t>
      </w:r>
      <w:r>
        <w:rPr>
          <w:spacing w:val="-2"/>
        </w:rPr>
        <w:t xml:space="preserve"> </w:t>
      </w:r>
      <w:r>
        <w:rPr>
          <w:spacing w:val="-1"/>
        </w:rPr>
        <w:t>Order</w:t>
      </w:r>
      <w:r>
        <w:rPr>
          <w:spacing w:val="2"/>
        </w:rPr>
        <w:t xml:space="preserve"> </w:t>
      </w:r>
      <w:r>
        <w:rPr>
          <w:spacing w:val="-1"/>
        </w:rPr>
        <w:t>and</w:t>
      </w:r>
      <w:r>
        <w:rPr>
          <w:spacing w:val="-2"/>
        </w:rPr>
        <w:t xml:space="preserve"> </w:t>
      </w:r>
      <w:r>
        <w:rPr>
          <w:spacing w:val="-1"/>
        </w:rPr>
        <w:t>the</w:t>
      </w:r>
      <w:r>
        <w:t xml:space="preserve"> </w:t>
      </w:r>
      <w:r>
        <w:rPr>
          <w:spacing w:val="-1"/>
        </w:rPr>
        <w:t>proposed</w:t>
      </w:r>
      <w:r>
        <w:t xml:space="preserve"> </w:t>
      </w:r>
      <w:r>
        <w:rPr>
          <w:spacing w:val="-2"/>
        </w:rPr>
        <w:t>Variation.</w:t>
      </w:r>
    </w:p>
    <w:p w:rsidR="008918FA" w:rsidRDefault="008918FA" w:rsidP="008918FA">
      <w:pPr>
        <w:pStyle w:val="BodyText"/>
        <w:numPr>
          <w:ilvl w:val="2"/>
          <w:numId w:val="66"/>
        </w:numPr>
        <w:tabs>
          <w:tab w:val="left" w:pos="1886"/>
        </w:tabs>
        <w:ind w:left="1885" w:hanging="993"/>
      </w:pPr>
      <w:r>
        <w:t>In</w:t>
      </w:r>
      <w:r>
        <w:rPr>
          <w:spacing w:val="-2"/>
        </w:rPr>
        <w:t xml:space="preserve"> </w:t>
      </w:r>
      <w:r>
        <w:t xml:space="preserve">the </w:t>
      </w:r>
      <w:r>
        <w:rPr>
          <w:spacing w:val="-2"/>
        </w:rPr>
        <w:t>event</w:t>
      </w:r>
      <w:r>
        <w:t xml:space="preserve"> </w:t>
      </w:r>
      <w:r>
        <w:rPr>
          <w:spacing w:val="-1"/>
        </w:rPr>
        <w:t>that:</w:t>
      </w:r>
    </w:p>
    <w:p w:rsidR="008918FA" w:rsidRDefault="008918FA" w:rsidP="008918FA">
      <w:pPr>
        <w:pStyle w:val="BodyText"/>
        <w:numPr>
          <w:ilvl w:val="3"/>
          <w:numId w:val="66"/>
        </w:numPr>
        <w:tabs>
          <w:tab w:val="left" w:pos="2594"/>
        </w:tabs>
        <w:spacing w:before="121"/>
        <w:ind w:left="2593" w:right="117"/>
        <w:jc w:val="both"/>
      </w:pPr>
      <w:r>
        <w:t>the</w:t>
      </w:r>
      <w:r>
        <w:rPr>
          <w:spacing w:val="58"/>
        </w:rPr>
        <w:t xml:space="preserve"> </w:t>
      </w:r>
      <w:r>
        <w:rPr>
          <w:spacing w:val="-2"/>
        </w:rPr>
        <w:t>Supplier</w:t>
      </w:r>
      <w:r>
        <w:rPr>
          <w:spacing w:val="59"/>
        </w:rPr>
        <w:t xml:space="preserve"> </w:t>
      </w:r>
      <w:r>
        <w:rPr>
          <w:spacing w:val="-1"/>
        </w:rPr>
        <w:t>is</w:t>
      </w:r>
      <w:r>
        <w:rPr>
          <w:spacing w:val="58"/>
        </w:rPr>
        <w:t xml:space="preserve"> </w:t>
      </w:r>
      <w:r>
        <w:rPr>
          <w:spacing w:val="-1"/>
        </w:rPr>
        <w:t>unable</w:t>
      </w:r>
      <w:r>
        <w:rPr>
          <w:spacing w:val="58"/>
        </w:rPr>
        <w:t xml:space="preserve"> </w:t>
      </w:r>
      <w:r>
        <w:t>to</w:t>
      </w:r>
      <w:r>
        <w:rPr>
          <w:spacing w:val="58"/>
        </w:rPr>
        <w:t xml:space="preserve"> </w:t>
      </w:r>
      <w:r>
        <w:rPr>
          <w:spacing w:val="-1"/>
        </w:rPr>
        <w:t>agree</w:t>
      </w:r>
      <w:r>
        <w:rPr>
          <w:spacing w:val="55"/>
        </w:rPr>
        <w:t xml:space="preserve"> </w:t>
      </w:r>
      <w:r>
        <w:t>to</w:t>
      </w:r>
      <w:r>
        <w:rPr>
          <w:spacing w:val="59"/>
        </w:rPr>
        <w:t xml:space="preserve"> </w:t>
      </w:r>
      <w:r>
        <w:rPr>
          <w:spacing w:val="-1"/>
        </w:rPr>
        <w:t>or</w:t>
      </w:r>
      <w:r>
        <w:rPr>
          <w:spacing w:val="59"/>
        </w:rPr>
        <w:t xml:space="preserve"> </w:t>
      </w:r>
      <w:r>
        <w:rPr>
          <w:spacing w:val="-2"/>
        </w:rPr>
        <w:t>provide</w:t>
      </w:r>
      <w:r>
        <w:rPr>
          <w:spacing w:val="60"/>
        </w:rPr>
        <w:t xml:space="preserve"> </w:t>
      </w:r>
      <w:r>
        <w:t>the</w:t>
      </w:r>
      <w:r>
        <w:rPr>
          <w:spacing w:val="58"/>
        </w:rPr>
        <w:t xml:space="preserve"> </w:t>
      </w:r>
      <w:r>
        <w:rPr>
          <w:spacing w:val="-1"/>
        </w:rPr>
        <w:t>Variation;</w:t>
      </w:r>
      <w:r>
        <w:rPr>
          <w:spacing w:val="34"/>
        </w:rPr>
        <w:t xml:space="preserve"> </w:t>
      </w:r>
      <w:r>
        <w:rPr>
          <w:spacing w:val="-1"/>
        </w:rPr>
        <w:t>and/or</w:t>
      </w:r>
    </w:p>
    <w:p w:rsidR="008918FA" w:rsidRDefault="008918FA" w:rsidP="008918FA">
      <w:pPr>
        <w:pStyle w:val="BodyText"/>
        <w:numPr>
          <w:ilvl w:val="3"/>
          <w:numId w:val="66"/>
        </w:numPr>
        <w:tabs>
          <w:tab w:val="left" w:pos="2594"/>
        </w:tabs>
        <w:spacing w:before="121"/>
        <w:ind w:left="2593" w:right="113"/>
        <w:jc w:val="both"/>
      </w:pPr>
      <w:r>
        <w:t>the</w:t>
      </w:r>
      <w:r>
        <w:rPr>
          <w:spacing w:val="14"/>
        </w:rPr>
        <w:t xml:space="preserve"> </w:t>
      </w:r>
      <w:r>
        <w:rPr>
          <w:spacing w:val="-1"/>
        </w:rPr>
        <w:t>Parties</w:t>
      </w:r>
      <w:r>
        <w:rPr>
          <w:spacing w:val="14"/>
        </w:rPr>
        <w:t xml:space="preserve"> </w:t>
      </w:r>
      <w:r>
        <w:rPr>
          <w:spacing w:val="-1"/>
        </w:rPr>
        <w:t>are</w:t>
      </w:r>
      <w:r>
        <w:rPr>
          <w:spacing w:val="13"/>
        </w:rPr>
        <w:t xml:space="preserve"> </w:t>
      </w:r>
      <w:r>
        <w:rPr>
          <w:spacing w:val="-1"/>
        </w:rPr>
        <w:t>unable</w:t>
      </w:r>
      <w:r>
        <w:rPr>
          <w:spacing w:val="11"/>
        </w:rPr>
        <w:t xml:space="preserve"> </w:t>
      </w:r>
      <w:r>
        <w:t>to</w:t>
      </w:r>
      <w:r>
        <w:rPr>
          <w:spacing w:val="14"/>
        </w:rPr>
        <w:t xml:space="preserve"> </w:t>
      </w:r>
      <w:r>
        <w:rPr>
          <w:spacing w:val="-1"/>
        </w:rPr>
        <w:t>agree</w:t>
      </w:r>
      <w:r>
        <w:rPr>
          <w:spacing w:val="14"/>
        </w:rPr>
        <w:t xml:space="preserve"> </w:t>
      </w:r>
      <w:r>
        <w:t>a</w:t>
      </w:r>
      <w:r>
        <w:rPr>
          <w:spacing w:val="11"/>
        </w:rPr>
        <w:t xml:space="preserve"> </w:t>
      </w:r>
      <w:r>
        <w:rPr>
          <w:spacing w:val="-1"/>
        </w:rPr>
        <w:t>change</w:t>
      </w:r>
      <w:r>
        <w:rPr>
          <w:spacing w:val="11"/>
        </w:rPr>
        <w:t xml:space="preserve"> </w:t>
      </w:r>
      <w:r>
        <w:t>to</w:t>
      </w:r>
      <w:r>
        <w:rPr>
          <w:spacing w:val="11"/>
        </w:rPr>
        <w:t xml:space="preserve"> </w:t>
      </w:r>
      <w:r>
        <w:t>the</w:t>
      </w:r>
      <w:r>
        <w:rPr>
          <w:spacing w:val="13"/>
        </w:rPr>
        <w:t xml:space="preserve"> </w:t>
      </w:r>
      <w:r>
        <w:rPr>
          <w:spacing w:val="-2"/>
        </w:rPr>
        <w:t>Call</w:t>
      </w:r>
      <w:r>
        <w:rPr>
          <w:spacing w:val="11"/>
        </w:rPr>
        <w:t xml:space="preserve"> </w:t>
      </w:r>
      <w:r>
        <w:rPr>
          <w:spacing w:val="-1"/>
        </w:rPr>
        <w:t>Off</w:t>
      </w:r>
      <w:r>
        <w:rPr>
          <w:spacing w:val="23"/>
        </w:rPr>
        <w:t xml:space="preserve"> </w:t>
      </w:r>
      <w:r>
        <w:rPr>
          <w:spacing w:val="-1"/>
        </w:rPr>
        <w:t>Contract</w:t>
      </w:r>
      <w:r>
        <w:rPr>
          <w:spacing w:val="15"/>
        </w:rPr>
        <w:t xml:space="preserve"> </w:t>
      </w:r>
      <w:r>
        <w:rPr>
          <w:spacing w:val="-1"/>
        </w:rPr>
        <w:t>Charges</w:t>
      </w:r>
      <w:r>
        <w:rPr>
          <w:spacing w:val="14"/>
        </w:rPr>
        <w:t xml:space="preserve"> </w:t>
      </w:r>
      <w:r>
        <w:rPr>
          <w:spacing w:val="-1"/>
        </w:rPr>
        <w:t>that</w:t>
      </w:r>
      <w:r>
        <w:rPr>
          <w:spacing w:val="13"/>
        </w:rPr>
        <w:t xml:space="preserve"> </w:t>
      </w:r>
      <w:r>
        <w:rPr>
          <w:spacing w:val="-1"/>
        </w:rPr>
        <w:t>may</w:t>
      </w:r>
      <w:r>
        <w:rPr>
          <w:spacing w:val="12"/>
        </w:rPr>
        <w:t xml:space="preserve"> </w:t>
      </w:r>
      <w:r>
        <w:rPr>
          <w:spacing w:val="-1"/>
        </w:rPr>
        <w:t>be</w:t>
      </w:r>
      <w:r>
        <w:rPr>
          <w:spacing w:val="14"/>
        </w:rPr>
        <w:t xml:space="preserve"> </w:t>
      </w:r>
      <w:r>
        <w:rPr>
          <w:spacing w:val="-1"/>
        </w:rPr>
        <w:t>included</w:t>
      </w:r>
      <w:r>
        <w:rPr>
          <w:spacing w:val="16"/>
        </w:rPr>
        <w:t xml:space="preserve"> </w:t>
      </w:r>
      <w:r>
        <w:rPr>
          <w:spacing w:val="-1"/>
        </w:rPr>
        <w:t>in</w:t>
      </w:r>
      <w:r>
        <w:rPr>
          <w:spacing w:val="14"/>
        </w:rPr>
        <w:t xml:space="preserve"> </w:t>
      </w:r>
      <w:r>
        <w:t>a</w:t>
      </w:r>
      <w:r>
        <w:rPr>
          <w:spacing w:val="16"/>
        </w:rPr>
        <w:t xml:space="preserve"> </w:t>
      </w:r>
      <w:r>
        <w:rPr>
          <w:spacing w:val="-1"/>
        </w:rPr>
        <w:t>request</w:t>
      </w:r>
      <w:r>
        <w:rPr>
          <w:spacing w:val="16"/>
        </w:rPr>
        <w:t xml:space="preserve"> </w:t>
      </w:r>
      <w:r>
        <w:rPr>
          <w:spacing w:val="-2"/>
        </w:rPr>
        <w:t>of</w:t>
      </w:r>
      <w:r>
        <w:rPr>
          <w:spacing w:val="17"/>
        </w:rPr>
        <w:t xml:space="preserve"> </w:t>
      </w:r>
      <w:r>
        <w:t>a</w:t>
      </w:r>
      <w:r>
        <w:rPr>
          <w:spacing w:val="23"/>
        </w:rPr>
        <w:t xml:space="preserve"> </w:t>
      </w:r>
      <w:r>
        <w:rPr>
          <w:spacing w:val="-1"/>
        </w:rPr>
        <w:t>Variation</w:t>
      </w:r>
      <w:r>
        <w:t xml:space="preserve"> </w:t>
      </w:r>
      <w:r>
        <w:rPr>
          <w:spacing w:val="-1"/>
        </w:rPr>
        <w:t>or response</w:t>
      </w:r>
      <w:r>
        <w:rPr>
          <w:spacing w:val="-2"/>
        </w:rPr>
        <w:t xml:space="preserve"> </w:t>
      </w:r>
      <w:r>
        <w:t xml:space="preserve">to </w:t>
      </w:r>
      <w:r>
        <w:rPr>
          <w:spacing w:val="-2"/>
        </w:rPr>
        <w:t>it</w:t>
      </w:r>
      <w:r>
        <w:rPr>
          <w:spacing w:val="2"/>
        </w:rPr>
        <w:t xml:space="preserve"> </w:t>
      </w:r>
      <w:r>
        <w:rPr>
          <w:spacing w:val="-1"/>
        </w:rPr>
        <w:t>as</w:t>
      </w:r>
      <w:r>
        <w:rPr>
          <w:spacing w:val="-2"/>
        </w:rPr>
        <w:t xml:space="preserve"> </w:t>
      </w:r>
      <w:r>
        <w:t xml:space="preserve">a </w:t>
      </w:r>
      <w:r>
        <w:rPr>
          <w:spacing w:val="-1"/>
        </w:rPr>
        <w:t>consequence</w:t>
      </w:r>
      <w:r>
        <w:rPr>
          <w:spacing w:val="-2"/>
        </w:rPr>
        <w:t xml:space="preserve"> </w:t>
      </w:r>
      <w:r>
        <w:rPr>
          <w:spacing w:val="-1"/>
        </w:rPr>
        <w:t>thereof,</w:t>
      </w:r>
    </w:p>
    <w:p w:rsidR="008918FA" w:rsidRDefault="008918FA" w:rsidP="008918FA">
      <w:pPr>
        <w:pStyle w:val="BodyText"/>
        <w:ind w:left="1885" w:firstLine="0"/>
      </w:pPr>
      <w:r>
        <w:t xml:space="preserve">the </w:t>
      </w:r>
      <w:r>
        <w:rPr>
          <w:spacing w:val="-2"/>
        </w:rPr>
        <w:t>Customer</w:t>
      </w:r>
      <w:r>
        <w:rPr>
          <w:spacing w:val="-1"/>
        </w:rPr>
        <w:t xml:space="preserve"> may:</w:t>
      </w:r>
    </w:p>
    <w:p w:rsidR="008918FA" w:rsidRDefault="008918FA" w:rsidP="008918FA">
      <w:pPr>
        <w:pStyle w:val="BodyText"/>
        <w:numPr>
          <w:ilvl w:val="4"/>
          <w:numId w:val="66"/>
        </w:numPr>
        <w:tabs>
          <w:tab w:val="left" w:pos="3163"/>
        </w:tabs>
        <w:ind w:left="3162" w:right="114"/>
        <w:jc w:val="both"/>
      </w:pPr>
      <w:r>
        <w:rPr>
          <w:spacing w:val="-1"/>
        </w:rPr>
        <w:t>agree</w:t>
      </w:r>
      <w:r>
        <w:t xml:space="preserve"> to</w:t>
      </w:r>
      <w:r>
        <w:rPr>
          <w:spacing w:val="3"/>
        </w:rPr>
        <w:t xml:space="preserve"> </w:t>
      </w:r>
      <w:r>
        <w:rPr>
          <w:spacing w:val="-1"/>
        </w:rPr>
        <w:t>continue</w:t>
      </w:r>
      <w:r>
        <w:rPr>
          <w:spacing w:val="3"/>
        </w:rPr>
        <w:t xml:space="preserve"> </w:t>
      </w:r>
      <w:r>
        <w:t xml:space="preserve">to </w:t>
      </w:r>
      <w:r>
        <w:rPr>
          <w:spacing w:val="-1"/>
        </w:rPr>
        <w:t>perform</w:t>
      </w:r>
      <w:r>
        <w:rPr>
          <w:spacing w:val="2"/>
        </w:rPr>
        <w:t xml:space="preserve"> </w:t>
      </w:r>
      <w:r>
        <w:rPr>
          <w:spacing w:val="-1"/>
        </w:rPr>
        <w:t>its</w:t>
      </w:r>
      <w:r>
        <w:rPr>
          <w:spacing w:val="3"/>
        </w:rPr>
        <w:t xml:space="preserve"> </w:t>
      </w:r>
      <w:r>
        <w:rPr>
          <w:spacing w:val="-1"/>
        </w:rPr>
        <w:t>obligations</w:t>
      </w:r>
      <w:r>
        <w:rPr>
          <w:spacing w:val="1"/>
        </w:rPr>
        <w:t xml:space="preserve"> </w:t>
      </w:r>
      <w:r>
        <w:rPr>
          <w:spacing w:val="-1"/>
        </w:rPr>
        <w:t>under</w:t>
      </w:r>
      <w:r>
        <w:rPr>
          <w:spacing w:val="2"/>
        </w:rPr>
        <w:t xml:space="preserve"> </w:t>
      </w:r>
      <w:r>
        <w:rPr>
          <w:spacing w:val="-1"/>
        </w:rPr>
        <w:t>this</w:t>
      </w:r>
      <w:r>
        <w:rPr>
          <w:spacing w:val="3"/>
        </w:rPr>
        <w:t xml:space="preserve"> </w:t>
      </w:r>
      <w:r>
        <w:rPr>
          <w:spacing w:val="-2"/>
        </w:rPr>
        <w:t>Call</w:t>
      </w:r>
      <w:r>
        <w:rPr>
          <w:spacing w:val="29"/>
        </w:rPr>
        <w:t xml:space="preserve"> </w:t>
      </w:r>
      <w:r>
        <w:rPr>
          <w:spacing w:val="-1"/>
        </w:rPr>
        <w:t>Off</w:t>
      </w:r>
      <w:r>
        <w:rPr>
          <w:spacing w:val="2"/>
        </w:rPr>
        <w:t xml:space="preserve"> </w:t>
      </w:r>
      <w:r>
        <w:rPr>
          <w:spacing w:val="-2"/>
        </w:rPr>
        <w:t>Contract</w:t>
      </w:r>
      <w:r>
        <w:rPr>
          <w:spacing w:val="2"/>
        </w:rPr>
        <w:t xml:space="preserve"> </w:t>
      </w:r>
      <w:r>
        <w:rPr>
          <w:spacing w:val="-2"/>
        </w:rPr>
        <w:t>without</w:t>
      </w:r>
      <w:r>
        <w:t xml:space="preserve"> the</w:t>
      </w:r>
      <w:r>
        <w:rPr>
          <w:spacing w:val="-4"/>
        </w:rPr>
        <w:t xml:space="preserve"> </w:t>
      </w:r>
      <w:r>
        <w:rPr>
          <w:spacing w:val="-1"/>
        </w:rPr>
        <w:t>Variation;</w:t>
      </w:r>
      <w:r>
        <w:rPr>
          <w:spacing w:val="2"/>
        </w:rPr>
        <w:t xml:space="preserve"> </w:t>
      </w:r>
      <w:r>
        <w:rPr>
          <w:spacing w:val="-2"/>
        </w:rPr>
        <w:t>or</w:t>
      </w:r>
    </w:p>
    <w:p w:rsidR="008918FA" w:rsidRDefault="008918FA" w:rsidP="008918FA">
      <w:pPr>
        <w:pStyle w:val="BodyText"/>
        <w:numPr>
          <w:ilvl w:val="4"/>
          <w:numId w:val="66"/>
        </w:numPr>
        <w:tabs>
          <w:tab w:val="left" w:pos="3163"/>
        </w:tabs>
        <w:ind w:left="3162" w:right="113"/>
        <w:jc w:val="both"/>
      </w:pPr>
      <w:r>
        <w:rPr>
          <w:spacing w:val="-1"/>
        </w:rPr>
        <w:t>terminate</w:t>
      </w:r>
      <w:r>
        <w:rPr>
          <w:spacing w:val="2"/>
        </w:rPr>
        <w:t xml:space="preserve"> </w:t>
      </w:r>
      <w:r>
        <w:rPr>
          <w:spacing w:val="-1"/>
        </w:rPr>
        <w:t>this</w:t>
      </w:r>
      <w:r>
        <w:rPr>
          <w:spacing w:val="2"/>
        </w:rPr>
        <w:t xml:space="preserve"> </w:t>
      </w:r>
      <w:r>
        <w:rPr>
          <w:spacing w:val="-2"/>
        </w:rPr>
        <w:t>Call</w:t>
      </w:r>
      <w:r>
        <w:rPr>
          <w:spacing w:val="1"/>
        </w:rPr>
        <w:t xml:space="preserve"> </w:t>
      </w:r>
      <w:r>
        <w:t>Off</w:t>
      </w:r>
      <w:r>
        <w:rPr>
          <w:spacing w:val="1"/>
        </w:rPr>
        <w:t xml:space="preserve"> </w:t>
      </w:r>
      <w:r>
        <w:rPr>
          <w:spacing w:val="-1"/>
        </w:rPr>
        <w:t>Contract</w:t>
      </w:r>
      <w:r>
        <w:rPr>
          <w:spacing w:val="3"/>
        </w:rPr>
        <w:t xml:space="preserve"> </w:t>
      </w:r>
      <w:r>
        <w:rPr>
          <w:spacing w:val="-2"/>
        </w:rPr>
        <w:t>with</w:t>
      </w:r>
      <w:r>
        <w:rPr>
          <w:spacing w:val="4"/>
        </w:rPr>
        <w:t xml:space="preserve"> </w:t>
      </w:r>
      <w:r>
        <w:rPr>
          <w:spacing w:val="-1"/>
        </w:rPr>
        <w:t>immediate</w:t>
      </w:r>
      <w:r>
        <w:rPr>
          <w:spacing w:val="2"/>
        </w:rPr>
        <w:t xml:space="preserve"> </w:t>
      </w:r>
      <w:r>
        <w:rPr>
          <w:spacing w:val="-1"/>
        </w:rPr>
        <w:t>effect,</w:t>
      </w:r>
      <w:r>
        <w:rPr>
          <w:spacing w:val="41"/>
        </w:rPr>
        <w:t xml:space="preserve"> </w:t>
      </w:r>
      <w:r>
        <w:rPr>
          <w:spacing w:val="-1"/>
        </w:rPr>
        <w:t>except</w:t>
      </w:r>
      <w:r>
        <w:rPr>
          <w:spacing w:val="21"/>
        </w:rPr>
        <w:t xml:space="preserve"> </w:t>
      </w:r>
      <w:r>
        <w:rPr>
          <w:spacing w:val="-2"/>
        </w:rPr>
        <w:t>where</w:t>
      </w:r>
      <w:r>
        <w:rPr>
          <w:spacing w:val="19"/>
        </w:rPr>
        <w:t xml:space="preserve"> </w:t>
      </w:r>
      <w:r>
        <w:t>the</w:t>
      </w:r>
      <w:r>
        <w:rPr>
          <w:spacing w:val="20"/>
        </w:rPr>
        <w:t xml:space="preserve"> </w:t>
      </w:r>
      <w:r>
        <w:rPr>
          <w:spacing w:val="-1"/>
        </w:rPr>
        <w:t>Supplier</w:t>
      </w:r>
      <w:r>
        <w:rPr>
          <w:spacing w:val="21"/>
        </w:rPr>
        <w:t xml:space="preserve"> </w:t>
      </w:r>
      <w:r>
        <w:rPr>
          <w:spacing w:val="-1"/>
        </w:rPr>
        <w:t>has</w:t>
      </w:r>
      <w:r>
        <w:rPr>
          <w:spacing w:val="20"/>
        </w:rPr>
        <w:t xml:space="preserve"> </w:t>
      </w:r>
      <w:r>
        <w:rPr>
          <w:spacing w:val="-1"/>
        </w:rPr>
        <w:t>already</w:t>
      </w:r>
      <w:r>
        <w:rPr>
          <w:spacing w:val="15"/>
        </w:rPr>
        <w:t xml:space="preserve"> </w:t>
      </w:r>
      <w:r>
        <w:rPr>
          <w:spacing w:val="-1"/>
        </w:rPr>
        <w:t>fulfilled</w:t>
      </w:r>
      <w:r>
        <w:rPr>
          <w:spacing w:val="20"/>
        </w:rPr>
        <w:t xml:space="preserve"> </w:t>
      </w:r>
      <w:r>
        <w:rPr>
          <w:spacing w:val="-1"/>
        </w:rPr>
        <w:t>part</w:t>
      </w:r>
      <w:r>
        <w:rPr>
          <w:spacing w:val="21"/>
        </w:rPr>
        <w:t xml:space="preserve"> </w:t>
      </w:r>
      <w:r>
        <w:rPr>
          <w:spacing w:val="-2"/>
        </w:rPr>
        <w:t>or</w:t>
      </w:r>
      <w:r>
        <w:rPr>
          <w:spacing w:val="21"/>
        </w:rPr>
        <w:t xml:space="preserve"> </w:t>
      </w:r>
      <w:r>
        <w:rPr>
          <w:spacing w:val="-1"/>
        </w:rPr>
        <w:t>all</w:t>
      </w:r>
      <w:r>
        <w:rPr>
          <w:spacing w:val="29"/>
        </w:rPr>
        <w:t xml:space="preserve"> </w:t>
      </w:r>
      <w:r>
        <w:rPr>
          <w:spacing w:val="-2"/>
        </w:rPr>
        <w:t>of</w:t>
      </w:r>
      <w:r>
        <w:rPr>
          <w:spacing w:val="28"/>
        </w:rPr>
        <w:t xml:space="preserve"> </w:t>
      </w:r>
      <w:r>
        <w:t>the</w:t>
      </w:r>
      <w:r>
        <w:rPr>
          <w:spacing w:val="19"/>
        </w:rPr>
        <w:t xml:space="preserve"> </w:t>
      </w:r>
      <w:r>
        <w:rPr>
          <w:spacing w:val="-1"/>
        </w:rPr>
        <w:t>Order</w:t>
      </w:r>
      <w:r>
        <w:rPr>
          <w:spacing w:val="26"/>
        </w:rPr>
        <w:t xml:space="preserve"> </w:t>
      </w:r>
      <w:r>
        <w:rPr>
          <w:spacing w:val="-1"/>
        </w:rPr>
        <w:t>in</w:t>
      </w:r>
      <w:r>
        <w:rPr>
          <w:spacing w:val="24"/>
        </w:rPr>
        <w:t xml:space="preserve"> </w:t>
      </w:r>
      <w:r>
        <w:rPr>
          <w:spacing w:val="-2"/>
        </w:rPr>
        <w:t>accordance</w:t>
      </w:r>
      <w:r>
        <w:rPr>
          <w:spacing w:val="25"/>
        </w:rPr>
        <w:t xml:space="preserve"> </w:t>
      </w:r>
      <w:r>
        <w:rPr>
          <w:spacing w:val="-2"/>
        </w:rPr>
        <w:t>with</w:t>
      </w:r>
      <w:r>
        <w:rPr>
          <w:spacing w:val="24"/>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26"/>
        </w:rPr>
        <w:t xml:space="preserve"> </w:t>
      </w:r>
      <w:r>
        <w:rPr>
          <w:spacing w:val="-2"/>
        </w:rPr>
        <w:t>Contract</w:t>
      </w:r>
      <w:r>
        <w:rPr>
          <w:spacing w:val="26"/>
        </w:rPr>
        <w:t xml:space="preserve"> </w:t>
      </w:r>
      <w:r>
        <w:rPr>
          <w:spacing w:val="-2"/>
        </w:rPr>
        <w:t>or</w:t>
      </w:r>
      <w:r>
        <w:rPr>
          <w:spacing w:val="61"/>
        </w:rPr>
        <w:t xml:space="preserve"> </w:t>
      </w:r>
      <w:r>
        <w:rPr>
          <w:spacing w:val="-2"/>
        </w:rPr>
        <w:t>where</w:t>
      </w:r>
      <w:r>
        <w:rPr>
          <w:spacing w:val="14"/>
        </w:rPr>
        <w:t xml:space="preserve"> </w:t>
      </w:r>
      <w:r>
        <w:t>the</w:t>
      </w:r>
      <w:r>
        <w:rPr>
          <w:spacing w:val="14"/>
        </w:rPr>
        <w:t xml:space="preserve"> </w:t>
      </w:r>
      <w:r>
        <w:rPr>
          <w:spacing w:val="-2"/>
        </w:rPr>
        <w:t>Supplier</w:t>
      </w:r>
      <w:r>
        <w:rPr>
          <w:spacing w:val="15"/>
        </w:rPr>
        <w:t xml:space="preserve"> </w:t>
      </w:r>
      <w:r>
        <w:rPr>
          <w:spacing w:val="-2"/>
        </w:rPr>
        <w:t>can</w:t>
      </w:r>
      <w:r>
        <w:rPr>
          <w:spacing w:val="14"/>
        </w:rPr>
        <w:t xml:space="preserve"> </w:t>
      </w:r>
      <w:r>
        <w:rPr>
          <w:spacing w:val="-1"/>
        </w:rPr>
        <w:t>show</w:t>
      </w:r>
      <w:r>
        <w:rPr>
          <w:spacing w:val="11"/>
        </w:rPr>
        <w:t xml:space="preserve"> </w:t>
      </w:r>
      <w:r>
        <w:rPr>
          <w:spacing w:val="-2"/>
        </w:rPr>
        <w:t>evidence</w:t>
      </w:r>
      <w:r>
        <w:rPr>
          <w:spacing w:val="14"/>
        </w:rPr>
        <w:t xml:space="preserve"> </w:t>
      </w:r>
      <w:r>
        <w:rPr>
          <w:spacing w:val="-1"/>
        </w:rPr>
        <w:t>of</w:t>
      </w:r>
      <w:r>
        <w:t xml:space="preserve"> </w:t>
      </w:r>
      <w:r>
        <w:rPr>
          <w:spacing w:val="-1"/>
        </w:rPr>
        <w:t>substantial</w:t>
      </w:r>
      <w:r>
        <w:rPr>
          <w:spacing w:val="46"/>
        </w:rPr>
        <w:t xml:space="preserve"> </w:t>
      </w:r>
      <w:r>
        <w:rPr>
          <w:spacing w:val="-2"/>
        </w:rPr>
        <w:t>work</w:t>
      </w:r>
      <w:r>
        <w:rPr>
          <w:spacing w:val="34"/>
        </w:rPr>
        <w:t xml:space="preserve"> </w:t>
      </w:r>
      <w:r>
        <w:rPr>
          <w:spacing w:val="-1"/>
        </w:rPr>
        <w:t>being</w:t>
      </w:r>
      <w:r>
        <w:rPr>
          <w:spacing w:val="34"/>
        </w:rPr>
        <w:t xml:space="preserve"> </w:t>
      </w:r>
      <w:r>
        <w:rPr>
          <w:spacing w:val="-1"/>
        </w:rPr>
        <w:t>carried</w:t>
      </w:r>
      <w:r>
        <w:rPr>
          <w:spacing w:val="31"/>
        </w:rPr>
        <w:t xml:space="preserve"> </w:t>
      </w:r>
      <w:r>
        <w:rPr>
          <w:spacing w:val="-1"/>
        </w:rPr>
        <w:t>out</w:t>
      </w:r>
      <w:r>
        <w:rPr>
          <w:spacing w:val="33"/>
        </w:rPr>
        <w:t xml:space="preserve"> </w:t>
      </w:r>
      <w:r>
        <w:rPr>
          <w:spacing w:val="-1"/>
        </w:rPr>
        <w:t>to</w:t>
      </w:r>
      <w:r>
        <w:rPr>
          <w:spacing w:val="31"/>
        </w:rPr>
        <w:t xml:space="preserve"> </w:t>
      </w:r>
      <w:r>
        <w:rPr>
          <w:spacing w:val="-1"/>
        </w:rPr>
        <w:t>fulfil</w:t>
      </w:r>
      <w:r>
        <w:rPr>
          <w:spacing w:val="31"/>
        </w:rPr>
        <w:t xml:space="preserve"> </w:t>
      </w:r>
      <w:r>
        <w:t>the</w:t>
      </w:r>
      <w:r>
        <w:rPr>
          <w:spacing w:val="32"/>
        </w:rPr>
        <w:t xml:space="preserve"> </w:t>
      </w:r>
      <w:r>
        <w:rPr>
          <w:spacing w:val="-1"/>
        </w:rPr>
        <w:t>Order,</w:t>
      </w:r>
      <w:r>
        <w:rPr>
          <w:spacing w:val="33"/>
        </w:rPr>
        <w:t xml:space="preserve"> </w:t>
      </w:r>
      <w:r>
        <w:rPr>
          <w:spacing w:val="-1"/>
        </w:rPr>
        <w:t>and</w:t>
      </w:r>
      <w:r>
        <w:rPr>
          <w:spacing w:val="31"/>
        </w:rPr>
        <w:t xml:space="preserve"> </w:t>
      </w:r>
      <w:r>
        <w:rPr>
          <w:spacing w:val="-1"/>
        </w:rPr>
        <w:t>in</w:t>
      </w:r>
      <w:r>
        <w:rPr>
          <w:spacing w:val="31"/>
        </w:rPr>
        <w:t xml:space="preserve"> </w:t>
      </w:r>
      <w:r>
        <w:rPr>
          <w:spacing w:val="-1"/>
        </w:rPr>
        <w:t>such</w:t>
      </w:r>
      <w:r>
        <w:rPr>
          <w:spacing w:val="32"/>
        </w:rPr>
        <w:t xml:space="preserve"> </w:t>
      </w:r>
      <w:r>
        <w:t>a</w:t>
      </w:r>
      <w:r>
        <w:rPr>
          <w:spacing w:val="27"/>
        </w:rPr>
        <w:t xml:space="preserve"> </w:t>
      </w:r>
      <w:r>
        <w:rPr>
          <w:spacing w:val="-1"/>
        </w:rPr>
        <w:t>case</w:t>
      </w:r>
      <w:r>
        <w:rPr>
          <w:spacing w:val="15"/>
        </w:rPr>
        <w:t xml:space="preserve"> </w:t>
      </w:r>
      <w:r>
        <w:t>the</w:t>
      </w:r>
      <w:r>
        <w:rPr>
          <w:spacing w:val="15"/>
        </w:rPr>
        <w:t xml:space="preserve"> </w:t>
      </w:r>
      <w:r>
        <w:rPr>
          <w:spacing w:val="-1"/>
        </w:rPr>
        <w:t>Parties</w:t>
      </w:r>
      <w:r>
        <w:rPr>
          <w:spacing w:val="15"/>
        </w:rPr>
        <w:t xml:space="preserve"> </w:t>
      </w:r>
      <w:r>
        <w:rPr>
          <w:spacing w:val="-1"/>
        </w:rPr>
        <w:t>shall</w:t>
      </w:r>
      <w:r>
        <w:rPr>
          <w:spacing w:val="14"/>
        </w:rPr>
        <w:t xml:space="preserve"> </w:t>
      </w:r>
      <w:r>
        <w:rPr>
          <w:spacing w:val="-1"/>
        </w:rPr>
        <w:t>attempt</w:t>
      </w:r>
      <w:r>
        <w:rPr>
          <w:spacing w:val="16"/>
        </w:rPr>
        <w:t xml:space="preserve"> </w:t>
      </w:r>
      <w:r>
        <w:t>to</w:t>
      </w:r>
      <w:r>
        <w:rPr>
          <w:spacing w:val="15"/>
        </w:rPr>
        <w:t xml:space="preserve"> </w:t>
      </w:r>
      <w:r>
        <w:rPr>
          <w:spacing w:val="-1"/>
        </w:rPr>
        <w:t>agree</w:t>
      </w:r>
      <w:r>
        <w:rPr>
          <w:spacing w:val="15"/>
        </w:rPr>
        <w:t xml:space="preserve"> </w:t>
      </w:r>
      <w:r>
        <w:rPr>
          <w:spacing w:val="-1"/>
        </w:rPr>
        <w:t>upon</w:t>
      </w:r>
      <w:r>
        <w:rPr>
          <w:spacing w:val="15"/>
        </w:rPr>
        <w:t xml:space="preserve"> </w:t>
      </w:r>
      <w:r>
        <w:t>a</w:t>
      </w:r>
      <w:r>
        <w:rPr>
          <w:spacing w:val="12"/>
        </w:rPr>
        <w:t xml:space="preserve"> </w:t>
      </w:r>
      <w:r>
        <w:rPr>
          <w:spacing w:val="-1"/>
        </w:rPr>
        <w:t>resolution</w:t>
      </w:r>
      <w:r>
        <w:rPr>
          <w:spacing w:val="24"/>
        </w:rPr>
        <w:t xml:space="preserve"> </w:t>
      </w:r>
      <w:r>
        <w:t>to</w:t>
      </w:r>
      <w:r>
        <w:rPr>
          <w:spacing w:val="15"/>
        </w:rPr>
        <w:t xml:space="preserve"> </w:t>
      </w:r>
      <w:r>
        <w:t>the</w:t>
      </w:r>
      <w:r>
        <w:rPr>
          <w:spacing w:val="10"/>
        </w:rPr>
        <w:t xml:space="preserve"> </w:t>
      </w:r>
      <w:r>
        <w:rPr>
          <w:spacing w:val="-1"/>
        </w:rPr>
        <w:t>matter.</w:t>
      </w:r>
      <w:r>
        <w:rPr>
          <w:spacing w:val="11"/>
        </w:rPr>
        <w:t xml:space="preserve"> </w:t>
      </w:r>
      <w:r>
        <w:t>Where</w:t>
      </w:r>
      <w:r>
        <w:rPr>
          <w:spacing w:val="15"/>
        </w:rPr>
        <w:t xml:space="preserve"> </w:t>
      </w:r>
      <w:r>
        <w:t>a</w:t>
      </w:r>
      <w:r>
        <w:rPr>
          <w:spacing w:val="12"/>
        </w:rPr>
        <w:t xml:space="preserve"> </w:t>
      </w:r>
      <w:r>
        <w:rPr>
          <w:spacing w:val="-1"/>
        </w:rPr>
        <w:t>resolution</w:t>
      </w:r>
      <w:r>
        <w:rPr>
          <w:spacing w:val="15"/>
        </w:rPr>
        <w:t xml:space="preserve"> </w:t>
      </w:r>
      <w:r>
        <w:rPr>
          <w:spacing w:val="-1"/>
        </w:rPr>
        <w:t>cannot</w:t>
      </w:r>
      <w:r>
        <w:rPr>
          <w:spacing w:val="14"/>
        </w:rPr>
        <w:t xml:space="preserve"> </w:t>
      </w:r>
      <w:r>
        <w:rPr>
          <w:spacing w:val="-1"/>
        </w:rPr>
        <w:t>be</w:t>
      </w:r>
      <w:r>
        <w:rPr>
          <w:spacing w:val="15"/>
        </w:rPr>
        <w:t xml:space="preserve"> </w:t>
      </w:r>
      <w:r>
        <w:rPr>
          <w:spacing w:val="-2"/>
        </w:rPr>
        <w:t>reached,</w:t>
      </w:r>
      <w:r>
        <w:rPr>
          <w:spacing w:val="14"/>
        </w:rPr>
        <w:t xml:space="preserve"> </w:t>
      </w:r>
      <w:r>
        <w:rPr>
          <w:spacing w:val="-1"/>
        </w:rPr>
        <w:t>the</w:t>
      </w:r>
      <w:r>
        <w:rPr>
          <w:spacing w:val="32"/>
        </w:rPr>
        <w:t xml:space="preserve"> </w:t>
      </w:r>
      <w:r>
        <w:rPr>
          <w:spacing w:val="-1"/>
        </w:rPr>
        <w:t>matter</w:t>
      </w:r>
      <w:r>
        <w:rPr>
          <w:spacing w:val="40"/>
        </w:rPr>
        <w:t xml:space="preserve"> </w:t>
      </w:r>
      <w:r>
        <w:rPr>
          <w:spacing w:val="-1"/>
        </w:rPr>
        <w:t>shall</w:t>
      </w:r>
      <w:r>
        <w:rPr>
          <w:spacing w:val="38"/>
        </w:rPr>
        <w:t xml:space="preserve"> </w:t>
      </w:r>
      <w:r>
        <w:rPr>
          <w:spacing w:val="-1"/>
        </w:rPr>
        <w:t>be</w:t>
      </w:r>
      <w:r>
        <w:rPr>
          <w:spacing w:val="38"/>
        </w:rPr>
        <w:t xml:space="preserve"> </w:t>
      </w:r>
      <w:r>
        <w:rPr>
          <w:spacing w:val="-1"/>
        </w:rPr>
        <w:t>dealt</w:t>
      </w:r>
      <w:r>
        <w:rPr>
          <w:spacing w:val="40"/>
        </w:rPr>
        <w:t xml:space="preserve"> </w:t>
      </w:r>
      <w:r>
        <w:rPr>
          <w:spacing w:val="-2"/>
        </w:rPr>
        <w:t>with</w:t>
      </w:r>
      <w:r>
        <w:rPr>
          <w:spacing w:val="38"/>
        </w:rPr>
        <w:t xml:space="preserve"> </w:t>
      </w:r>
      <w:r>
        <w:rPr>
          <w:spacing w:val="-1"/>
        </w:rPr>
        <w:t>under</w:t>
      </w:r>
      <w:r>
        <w:rPr>
          <w:spacing w:val="38"/>
        </w:rPr>
        <w:t xml:space="preserve"> </w:t>
      </w:r>
      <w:r>
        <w:t>the</w:t>
      </w:r>
      <w:r>
        <w:rPr>
          <w:spacing w:val="39"/>
        </w:rPr>
        <w:t xml:space="preserve"> </w:t>
      </w:r>
      <w:r>
        <w:rPr>
          <w:spacing w:val="-1"/>
        </w:rPr>
        <w:t>Dispute</w:t>
      </w:r>
      <w:r>
        <w:rPr>
          <w:spacing w:val="38"/>
        </w:rPr>
        <w:t xml:space="preserve"> </w:t>
      </w:r>
      <w:r>
        <w:rPr>
          <w:spacing w:val="-2"/>
        </w:rPr>
        <w:t>Resolution</w:t>
      </w:r>
      <w:r>
        <w:rPr>
          <w:spacing w:val="38"/>
        </w:rPr>
        <w:t xml:space="preserve"> </w:t>
      </w:r>
      <w:r>
        <w:rPr>
          <w:spacing w:val="-1"/>
        </w:rPr>
        <w:t>Procedure.</w:t>
      </w:r>
    </w:p>
    <w:p w:rsidR="008918FA" w:rsidRDefault="008918FA" w:rsidP="008918FA">
      <w:pPr>
        <w:pStyle w:val="BodyText"/>
        <w:numPr>
          <w:ilvl w:val="2"/>
          <w:numId w:val="66"/>
        </w:numPr>
        <w:tabs>
          <w:tab w:val="left" w:pos="1886"/>
        </w:tabs>
        <w:spacing w:before="121"/>
        <w:ind w:left="1885" w:right="117"/>
        <w:jc w:val="both"/>
      </w:pPr>
      <w:r>
        <w:rPr>
          <w:spacing w:val="-1"/>
        </w:rPr>
        <w:t>If</w:t>
      </w:r>
      <w:r>
        <w:rPr>
          <w:spacing w:val="38"/>
        </w:rPr>
        <w:t xml:space="preserve"> </w:t>
      </w:r>
      <w:r>
        <w:t>the</w:t>
      </w:r>
      <w:r>
        <w:rPr>
          <w:spacing w:val="34"/>
        </w:rPr>
        <w:t xml:space="preserve"> </w:t>
      </w:r>
      <w:r>
        <w:rPr>
          <w:spacing w:val="-1"/>
        </w:rPr>
        <w:t>Parties</w:t>
      </w:r>
      <w:r>
        <w:rPr>
          <w:spacing w:val="34"/>
        </w:rPr>
        <w:t xml:space="preserve"> </w:t>
      </w:r>
      <w:r>
        <w:rPr>
          <w:spacing w:val="-1"/>
        </w:rPr>
        <w:t>agree</w:t>
      </w:r>
      <w:r>
        <w:rPr>
          <w:spacing w:val="34"/>
        </w:rPr>
        <w:t xml:space="preserve"> </w:t>
      </w:r>
      <w:r>
        <w:t>the</w:t>
      </w:r>
      <w:r>
        <w:rPr>
          <w:spacing w:val="31"/>
        </w:rPr>
        <w:t xml:space="preserve"> </w:t>
      </w:r>
      <w:r>
        <w:rPr>
          <w:spacing w:val="-1"/>
        </w:rPr>
        <w:t>Variation,</w:t>
      </w:r>
      <w:r>
        <w:rPr>
          <w:spacing w:val="35"/>
        </w:rPr>
        <w:t xml:space="preserve"> </w:t>
      </w:r>
      <w:r>
        <w:t>the</w:t>
      </w:r>
      <w:r>
        <w:rPr>
          <w:spacing w:val="35"/>
        </w:rPr>
        <w:t xml:space="preserve"> </w:t>
      </w:r>
      <w:r>
        <w:rPr>
          <w:spacing w:val="-2"/>
        </w:rPr>
        <w:t>Supplier</w:t>
      </w:r>
      <w:r>
        <w:rPr>
          <w:spacing w:val="35"/>
        </w:rPr>
        <w:t xml:space="preserve"> </w:t>
      </w:r>
      <w:r>
        <w:rPr>
          <w:spacing w:val="-1"/>
        </w:rPr>
        <w:t>shall</w:t>
      </w:r>
      <w:r>
        <w:rPr>
          <w:spacing w:val="33"/>
        </w:rPr>
        <w:t xml:space="preserve"> </w:t>
      </w:r>
      <w:r>
        <w:rPr>
          <w:spacing w:val="-1"/>
        </w:rPr>
        <w:t>implement</w:t>
      </w:r>
      <w:r>
        <w:rPr>
          <w:spacing w:val="35"/>
        </w:rPr>
        <w:t xml:space="preserve"> </w:t>
      </w:r>
      <w:r>
        <w:rPr>
          <w:spacing w:val="-1"/>
        </w:rPr>
        <w:t>such</w:t>
      </w:r>
      <w:r>
        <w:rPr>
          <w:spacing w:val="30"/>
        </w:rPr>
        <w:t xml:space="preserve"> </w:t>
      </w:r>
      <w:r>
        <w:rPr>
          <w:spacing w:val="-1"/>
        </w:rPr>
        <w:t>Variation</w:t>
      </w:r>
      <w:r>
        <w:rPr>
          <w:spacing w:val="7"/>
        </w:rPr>
        <w:t xml:space="preserve"> </w:t>
      </w:r>
      <w:r>
        <w:rPr>
          <w:spacing w:val="-1"/>
        </w:rPr>
        <w:t>and</w:t>
      </w:r>
      <w:r>
        <w:rPr>
          <w:spacing w:val="7"/>
        </w:rPr>
        <w:t xml:space="preserve"> </w:t>
      </w:r>
      <w:r>
        <w:rPr>
          <w:spacing w:val="-1"/>
        </w:rPr>
        <w:t>be</w:t>
      </w:r>
      <w:r>
        <w:rPr>
          <w:spacing w:val="7"/>
        </w:rPr>
        <w:t xml:space="preserve"> </w:t>
      </w:r>
      <w:r>
        <w:rPr>
          <w:spacing w:val="-1"/>
        </w:rPr>
        <w:t>bound</w:t>
      </w:r>
      <w:r>
        <w:rPr>
          <w:spacing w:val="5"/>
        </w:rPr>
        <w:t xml:space="preserve"> </w:t>
      </w:r>
      <w:r>
        <w:rPr>
          <w:spacing w:val="-1"/>
        </w:rPr>
        <w:t>by</w:t>
      </w:r>
      <w:r>
        <w:rPr>
          <w:spacing w:val="5"/>
        </w:rPr>
        <w:t xml:space="preserve"> </w:t>
      </w:r>
      <w:r>
        <w:t>the</w:t>
      </w:r>
      <w:r>
        <w:rPr>
          <w:spacing w:val="7"/>
        </w:rPr>
        <w:t xml:space="preserve"> </w:t>
      </w:r>
      <w:r>
        <w:rPr>
          <w:spacing w:val="-1"/>
        </w:rPr>
        <w:t>same</w:t>
      </w:r>
      <w:r>
        <w:rPr>
          <w:spacing w:val="7"/>
        </w:rPr>
        <w:t xml:space="preserve"> </w:t>
      </w:r>
      <w:r>
        <w:rPr>
          <w:spacing w:val="-2"/>
        </w:rPr>
        <w:t>provisions</w:t>
      </w:r>
      <w:r>
        <w:rPr>
          <w:spacing w:val="8"/>
        </w:rPr>
        <w:t xml:space="preserve"> </w:t>
      </w:r>
      <w:r>
        <w:rPr>
          <w:spacing w:val="-1"/>
        </w:rPr>
        <w:t>so</w:t>
      </w:r>
      <w:r>
        <w:rPr>
          <w:spacing w:val="5"/>
        </w:rPr>
        <w:t xml:space="preserve"> </w:t>
      </w:r>
      <w:r>
        <w:t>far</w:t>
      </w:r>
      <w:r>
        <w:rPr>
          <w:spacing w:val="9"/>
        </w:rPr>
        <w:t xml:space="preserve"> </w:t>
      </w:r>
      <w:r>
        <w:rPr>
          <w:spacing w:val="-1"/>
        </w:rPr>
        <w:t>as</w:t>
      </w:r>
      <w:r>
        <w:rPr>
          <w:spacing w:val="8"/>
        </w:rPr>
        <w:t xml:space="preserve"> </w:t>
      </w:r>
      <w:r>
        <w:rPr>
          <w:spacing w:val="-1"/>
        </w:rPr>
        <w:t>is</w:t>
      </w:r>
      <w:r>
        <w:rPr>
          <w:spacing w:val="8"/>
        </w:rPr>
        <w:t xml:space="preserve"> </w:t>
      </w:r>
      <w:r>
        <w:rPr>
          <w:spacing w:val="-2"/>
        </w:rPr>
        <w:t>applicable,</w:t>
      </w:r>
      <w:r>
        <w:rPr>
          <w:spacing w:val="62"/>
        </w:rPr>
        <w:t xml:space="preserve"> </w:t>
      </w:r>
      <w:r>
        <w:rPr>
          <w:spacing w:val="-1"/>
        </w:rPr>
        <w:t>as</w:t>
      </w:r>
      <w:r>
        <w:rPr>
          <w:spacing w:val="1"/>
        </w:rPr>
        <w:t xml:space="preserve"> </w:t>
      </w:r>
      <w:r>
        <w:rPr>
          <w:spacing w:val="-1"/>
        </w:rPr>
        <w:t>though</w:t>
      </w:r>
      <w:r>
        <w:rPr>
          <w:spacing w:val="-2"/>
        </w:rPr>
        <w:t xml:space="preserve"> </w:t>
      </w:r>
      <w:r>
        <w:rPr>
          <w:spacing w:val="-1"/>
        </w:rPr>
        <w:t>such</w:t>
      </w:r>
      <w:r>
        <w:rPr>
          <w:spacing w:val="-2"/>
        </w:rPr>
        <w:t xml:space="preserve"> </w:t>
      </w:r>
      <w:r>
        <w:rPr>
          <w:spacing w:val="-1"/>
        </w:rPr>
        <w:t>Variation</w:t>
      </w:r>
      <w:r>
        <w:rPr>
          <w:spacing w:val="-2"/>
        </w:rPr>
        <w:t xml:space="preserve"> was</w:t>
      </w:r>
      <w:r>
        <w:rPr>
          <w:spacing w:val="1"/>
        </w:rPr>
        <w:t xml:space="preserve"> </w:t>
      </w:r>
      <w:r>
        <w:rPr>
          <w:spacing w:val="-1"/>
        </w:rPr>
        <w:t>stated</w:t>
      </w:r>
      <w:r>
        <w:rPr>
          <w:spacing w:val="-2"/>
        </w:rPr>
        <w:t xml:space="preserve"> </w:t>
      </w:r>
      <w:r>
        <w:rPr>
          <w:spacing w:val="-1"/>
        </w:rPr>
        <w:t>in</w:t>
      </w:r>
      <w:r>
        <w:rPr>
          <w:spacing w:val="-2"/>
        </w:rP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Contract.</w:t>
      </w:r>
    </w:p>
    <w:p w:rsidR="008918FA" w:rsidRDefault="008918FA" w:rsidP="008918FA">
      <w:pPr>
        <w:pStyle w:val="Heading1"/>
        <w:numPr>
          <w:ilvl w:val="1"/>
          <w:numId w:val="66"/>
        </w:numPr>
        <w:tabs>
          <w:tab w:val="left" w:pos="892"/>
        </w:tabs>
        <w:ind w:left="891" w:hanging="564"/>
        <w:rPr>
          <w:b w:val="0"/>
          <w:bCs w:val="0"/>
        </w:rPr>
      </w:pPr>
      <w:bookmarkStart w:id="140" w:name="_bookmark122"/>
      <w:bookmarkEnd w:id="140"/>
      <w:r>
        <w:rPr>
          <w:spacing w:val="-1"/>
        </w:rPr>
        <w:t>Legislative</w:t>
      </w:r>
      <w:r>
        <w:t xml:space="preserve"> </w:t>
      </w:r>
      <w:r>
        <w:rPr>
          <w:spacing w:val="-2"/>
        </w:rPr>
        <w:t>Change</w:t>
      </w:r>
    </w:p>
    <w:p w:rsidR="008918FA" w:rsidRDefault="008918FA" w:rsidP="008918FA">
      <w:pPr>
        <w:pStyle w:val="BodyText"/>
        <w:numPr>
          <w:ilvl w:val="2"/>
          <w:numId w:val="66"/>
        </w:numPr>
        <w:tabs>
          <w:tab w:val="left" w:pos="1886"/>
        </w:tabs>
        <w:spacing w:before="121"/>
        <w:ind w:left="1885" w:right="116"/>
        <w:jc w:val="both"/>
      </w:pPr>
      <w:r>
        <w:t>The</w:t>
      </w:r>
      <w:r>
        <w:rPr>
          <w:spacing w:val="15"/>
        </w:rPr>
        <w:t xml:space="preserve"> </w:t>
      </w:r>
      <w:r>
        <w:rPr>
          <w:spacing w:val="-2"/>
        </w:rPr>
        <w:t>Supplier</w:t>
      </w:r>
      <w:r>
        <w:rPr>
          <w:spacing w:val="16"/>
        </w:rPr>
        <w:t xml:space="preserve"> </w:t>
      </w:r>
      <w:r>
        <w:rPr>
          <w:spacing w:val="-1"/>
        </w:rPr>
        <w:t>shall</w:t>
      </w:r>
      <w:r>
        <w:rPr>
          <w:spacing w:val="14"/>
        </w:rPr>
        <w:t xml:space="preserve"> </w:t>
      </w:r>
      <w:r>
        <w:rPr>
          <w:spacing w:val="-1"/>
        </w:rPr>
        <w:t>neither</w:t>
      </w:r>
      <w:r>
        <w:rPr>
          <w:spacing w:val="16"/>
        </w:rPr>
        <w:t xml:space="preserve"> </w:t>
      </w:r>
      <w:r>
        <w:rPr>
          <w:spacing w:val="-1"/>
        </w:rPr>
        <w:t>be</w:t>
      </w:r>
      <w:r>
        <w:rPr>
          <w:spacing w:val="15"/>
        </w:rPr>
        <w:t xml:space="preserve"> </w:t>
      </w:r>
      <w:r>
        <w:rPr>
          <w:spacing w:val="-2"/>
        </w:rPr>
        <w:t>relieved</w:t>
      </w:r>
      <w:r>
        <w:rPr>
          <w:spacing w:val="17"/>
        </w:rPr>
        <w:t xml:space="preserve"> </w:t>
      </w:r>
      <w:r>
        <w:rPr>
          <w:spacing w:val="-1"/>
        </w:rPr>
        <w:t>of</w:t>
      </w:r>
      <w:r>
        <w:rPr>
          <w:spacing w:val="19"/>
        </w:rPr>
        <w:t xml:space="preserve"> </w:t>
      </w:r>
      <w:r>
        <w:rPr>
          <w:spacing w:val="-1"/>
        </w:rPr>
        <w:t>its</w:t>
      </w:r>
      <w:r>
        <w:rPr>
          <w:spacing w:val="15"/>
        </w:rPr>
        <w:t xml:space="preserve"> </w:t>
      </w:r>
      <w:r>
        <w:rPr>
          <w:spacing w:val="-1"/>
        </w:rPr>
        <w:t>obligations</w:t>
      </w:r>
      <w:r>
        <w:rPr>
          <w:spacing w:val="15"/>
        </w:rPr>
        <w:t xml:space="preserve"> </w:t>
      </w:r>
      <w:r>
        <w:rPr>
          <w:spacing w:val="-1"/>
        </w:rPr>
        <w:t>under</w:t>
      </w:r>
      <w:r>
        <w:rPr>
          <w:spacing w:val="16"/>
        </w:rPr>
        <w:t xml:space="preserve"> </w:t>
      </w:r>
      <w:r>
        <w:rPr>
          <w:spacing w:val="-1"/>
        </w:rPr>
        <w:t>this</w:t>
      </w:r>
      <w:r>
        <w:rPr>
          <w:spacing w:val="15"/>
        </w:rPr>
        <w:t xml:space="preserve"> </w:t>
      </w:r>
      <w:r>
        <w:rPr>
          <w:spacing w:val="-2"/>
        </w:rPr>
        <w:t>Call</w:t>
      </w:r>
      <w:r>
        <w:rPr>
          <w:spacing w:val="69"/>
        </w:rPr>
        <w:t xml:space="preserve"> </w:t>
      </w:r>
      <w:r>
        <w:rPr>
          <w:spacing w:val="-1"/>
        </w:rPr>
        <w:t>Off</w:t>
      </w:r>
      <w:r>
        <w:rPr>
          <w:spacing w:val="47"/>
        </w:rPr>
        <w:t xml:space="preserve"> </w:t>
      </w:r>
      <w:r>
        <w:rPr>
          <w:spacing w:val="-2"/>
        </w:rPr>
        <w:t>Contract</w:t>
      </w:r>
      <w:r>
        <w:rPr>
          <w:spacing w:val="47"/>
        </w:rPr>
        <w:t xml:space="preserve"> </w:t>
      </w:r>
      <w:r>
        <w:rPr>
          <w:spacing w:val="-2"/>
        </w:rPr>
        <w:t>nor</w:t>
      </w:r>
      <w:r>
        <w:rPr>
          <w:spacing w:val="47"/>
        </w:rPr>
        <w:t xml:space="preserve"> </w:t>
      </w:r>
      <w:r>
        <w:rPr>
          <w:spacing w:val="-1"/>
        </w:rPr>
        <w:t>be</w:t>
      </w:r>
      <w:r>
        <w:rPr>
          <w:spacing w:val="46"/>
        </w:rPr>
        <w:t xml:space="preserve"> </w:t>
      </w:r>
      <w:r>
        <w:rPr>
          <w:spacing w:val="-2"/>
        </w:rPr>
        <w:t>entitled</w:t>
      </w:r>
      <w:r>
        <w:rPr>
          <w:spacing w:val="46"/>
        </w:rPr>
        <w:t xml:space="preserve"> </w:t>
      </w:r>
      <w:r>
        <w:t>to</w:t>
      </w:r>
      <w:r>
        <w:rPr>
          <w:spacing w:val="46"/>
        </w:rPr>
        <w:t xml:space="preserve"> </w:t>
      </w:r>
      <w:r>
        <w:rPr>
          <w:spacing w:val="-1"/>
        </w:rPr>
        <w:t>an</w:t>
      </w:r>
      <w:r>
        <w:rPr>
          <w:spacing w:val="47"/>
        </w:rPr>
        <w:t xml:space="preserve"> </w:t>
      </w:r>
      <w:r>
        <w:rPr>
          <w:spacing w:val="-2"/>
        </w:rPr>
        <w:t>increase</w:t>
      </w:r>
      <w:r>
        <w:rPr>
          <w:spacing w:val="46"/>
        </w:rPr>
        <w:t xml:space="preserve"> </w:t>
      </w:r>
      <w:r>
        <w:rPr>
          <w:spacing w:val="-1"/>
        </w:rPr>
        <w:t>in</w:t>
      </w:r>
      <w:r>
        <w:rPr>
          <w:spacing w:val="43"/>
        </w:rPr>
        <w:t xml:space="preserve"> </w:t>
      </w:r>
      <w:r>
        <w:rPr>
          <w:spacing w:val="-1"/>
        </w:rPr>
        <w:t>the</w:t>
      </w:r>
      <w:r>
        <w:rPr>
          <w:spacing w:val="46"/>
        </w:rPr>
        <w:t xml:space="preserve"> </w:t>
      </w:r>
      <w:r>
        <w:rPr>
          <w:spacing w:val="-2"/>
        </w:rPr>
        <w:t>Call</w:t>
      </w:r>
      <w:r>
        <w:rPr>
          <w:spacing w:val="45"/>
        </w:rPr>
        <w:t xml:space="preserve"> </w:t>
      </w:r>
      <w:r>
        <w:rPr>
          <w:spacing w:val="-1"/>
        </w:rPr>
        <w:t>Off</w:t>
      </w:r>
      <w:r>
        <w:rPr>
          <w:spacing w:val="47"/>
        </w:rPr>
        <w:t xml:space="preserve"> </w:t>
      </w:r>
      <w:r>
        <w:rPr>
          <w:spacing w:val="-2"/>
        </w:rPr>
        <w:t>Contract</w:t>
      </w:r>
      <w:r>
        <w:rPr>
          <w:spacing w:val="75"/>
        </w:rPr>
        <w:t xml:space="preserve"> </w:t>
      </w:r>
      <w:r>
        <w:rPr>
          <w:spacing w:val="-1"/>
        </w:rPr>
        <w:t>Charges</w:t>
      </w:r>
      <w:r>
        <w:rPr>
          <w:spacing w:val="-2"/>
        </w:rPr>
        <w:t xml:space="preserve"> </w:t>
      </w:r>
      <w:r>
        <w:rPr>
          <w:spacing w:val="-1"/>
        </w:rPr>
        <w:t>as</w:t>
      </w:r>
      <w:r>
        <w:rPr>
          <w:spacing w:val="-2"/>
        </w:rPr>
        <w:t xml:space="preserve"> </w:t>
      </w:r>
      <w:r>
        <w:t>the</w:t>
      </w:r>
      <w:r>
        <w:rPr>
          <w:spacing w:val="-2"/>
        </w:rPr>
        <w:t xml:space="preserve"> </w:t>
      </w:r>
      <w:r>
        <w:rPr>
          <w:spacing w:val="-1"/>
        </w:rPr>
        <w:t>result</w:t>
      </w:r>
      <w:r>
        <w:rPr>
          <w:spacing w:val="2"/>
        </w:rPr>
        <w:t xml:space="preserve"> </w:t>
      </w:r>
      <w:r>
        <w:rPr>
          <w:spacing w:val="-2"/>
        </w:rPr>
        <w:t>of</w:t>
      </w:r>
      <w:r>
        <w:t xml:space="preserve"> </w:t>
      </w:r>
      <w:r>
        <w:rPr>
          <w:spacing w:val="-1"/>
        </w:rPr>
        <w:t>a:</w:t>
      </w:r>
    </w:p>
    <w:p w:rsidR="008918FA" w:rsidRDefault="008918FA" w:rsidP="008918FA">
      <w:pPr>
        <w:pStyle w:val="BodyText"/>
        <w:numPr>
          <w:ilvl w:val="3"/>
          <w:numId w:val="66"/>
        </w:numPr>
        <w:tabs>
          <w:tab w:val="left" w:pos="2594"/>
        </w:tabs>
        <w:spacing w:before="121"/>
        <w:ind w:left="2593"/>
      </w:pPr>
      <w:r>
        <w:rPr>
          <w:spacing w:val="-1"/>
        </w:rPr>
        <w:t>General</w:t>
      </w:r>
      <w:r>
        <w:t xml:space="preserve"> </w:t>
      </w:r>
      <w:r>
        <w:rPr>
          <w:spacing w:val="-1"/>
        </w:rPr>
        <w:t>Change</w:t>
      </w:r>
      <w:r>
        <w:rPr>
          <w:spacing w:val="-2"/>
        </w:rPr>
        <w:t xml:space="preserve"> </w:t>
      </w:r>
      <w:r>
        <w:rPr>
          <w:spacing w:val="-1"/>
        </w:rPr>
        <w:t>in</w:t>
      </w:r>
      <w:r>
        <w:t xml:space="preserve"> </w:t>
      </w:r>
      <w:r>
        <w:rPr>
          <w:spacing w:val="-2"/>
        </w:rPr>
        <w:t>Law;</w:t>
      </w:r>
    </w:p>
    <w:p w:rsidR="008918FA" w:rsidRDefault="008918FA" w:rsidP="008918FA">
      <w:pPr>
        <w:pStyle w:val="BodyText"/>
        <w:numPr>
          <w:ilvl w:val="3"/>
          <w:numId w:val="66"/>
        </w:numPr>
        <w:tabs>
          <w:tab w:val="left" w:pos="2594"/>
        </w:tabs>
        <w:ind w:left="2593" w:right="114"/>
        <w:jc w:val="both"/>
      </w:pPr>
      <w:bookmarkStart w:id="141" w:name="_bookmark123"/>
      <w:bookmarkEnd w:id="141"/>
      <w:r>
        <w:rPr>
          <w:spacing w:val="-1"/>
        </w:rPr>
        <w:t>Specific</w:t>
      </w:r>
      <w:r>
        <w:rPr>
          <w:spacing w:val="26"/>
        </w:rPr>
        <w:t xml:space="preserve"> </w:t>
      </w:r>
      <w:r>
        <w:rPr>
          <w:spacing w:val="-1"/>
        </w:rPr>
        <w:t>Change</w:t>
      </w:r>
      <w:r>
        <w:rPr>
          <w:spacing w:val="26"/>
        </w:rPr>
        <w:t xml:space="preserve"> </w:t>
      </w:r>
      <w:r>
        <w:rPr>
          <w:spacing w:val="-1"/>
        </w:rPr>
        <w:t>in</w:t>
      </w:r>
      <w:r>
        <w:rPr>
          <w:spacing w:val="26"/>
        </w:rPr>
        <w:t xml:space="preserve"> </w:t>
      </w:r>
      <w:r>
        <w:rPr>
          <w:spacing w:val="-2"/>
        </w:rPr>
        <w:t>Law</w:t>
      </w:r>
      <w:r>
        <w:rPr>
          <w:spacing w:val="25"/>
        </w:rPr>
        <w:t xml:space="preserve"> </w:t>
      </w:r>
      <w:r>
        <w:rPr>
          <w:spacing w:val="-2"/>
        </w:rPr>
        <w:t>where</w:t>
      </w:r>
      <w:r>
        <w:rPr>
          <w:spacing w:val="26"/>
        </w:rPr>
        <w:t xml:space="preserve"> </w:t>
      </w:r>
      <w:r>
        <w:t>the</w:t>
      </w:r>
      <w:r>
        <w:rPr>
          <w:spacing w:val="26"/>
        </w:rPr>
        <w:t xml:space="preserve"> </w:t>
      </w:r>
      <w:r>
        <w:rPr>
          <w:spacing w:val="-1"/>
        </w:rPr>
        <w:t>effect</w:t>
      </w:r>
      <w:r>
        <w:rPr>
          <w:spacing w:val="27"/>
        </w:rPr>
        <w:t xml:space="preserve"> </w:t>
      </w:r>
      <w:r>
        <w:rPr>
          <w:spacing w:val="-2"/>
        </w:rPr>
        <w:t>of</w:t>
      </w:r>
      <w:r>
        <w:rPr>
          <w:spacing w:val="25"/>
        </w:rPr>
        <w:t xml:space="preserve"> </w:t>
      </w:r>
      <w:r>
        <w:rPr>
          <w:spacing w:val="-1"/>
        </w:rPr>
        <w:t>that</w:t>
      </w:r>
      <w:r>
        <w:rPr>
          <w:spacing w:val="27"/>
        </w:rPr>
        <w:t xml:space="preserve"> </w:t>
      </w:r>
      <w:r>
        <w:rPr>
          <w:spacing w:val="-1"/>
        </w:rPr>
        <w:t>Specific</w:t>
      </w:r>
      <w:r>
        <w:rPr>
          <w:spacing w:val="39"/>
        </w:rPr>
        <w:t xml:space="preserve"> </w:t>
      </w:r>
      <w:r>
        <w:rPr>
          <w:spacing w:val="-1"/>
        </w:rPr>
        <w:t>Change</w:t>
      </w:r>
      <w:r>
        <w:rPr>
          <w:spacing w:val="46"/>
        </w:rPr>
        <w:t xml:space="preserve"> </w:t>
      </w:r>
      <w:r>
        <w:rPr>
          <w:spacing w:val="-1"/>
        </w:rPr>
        <w:t>in</w:t>
      </w:r>
      <w:r>
        <w:rPr>
          <w:spacing w:val="46"/>
        </w:rPr>
        <w:t xml:space="preserve"> </w:t>
      </w:r>
      <w:r>
        <w:rPr>
          <w:spacing w:val="-1"/>
        </w:rPr>
        <w:t>Law</w:t>
      </w:r>
      <w:r>
        <w:rPr>
          <w:spacing w:val="43"/>
        </w:rPr>
        <w:t xml:space="preserve"> </w:t>
      </w:r>
      <w:r>
        <w:rPr>
          <w:spacing w:val="-1"/>
        </w:rPr>
        <w:t>on</w:t>
      </w:r>
      <w:r>
        <w:rPr>
          <w:spacing w:val="46"/>
        </w:rPr>
        <w:t xml:space="preserve"> </w:t>
      </w:r>
      <w:r>
        <w:t>the</w:t>
      </w:r>
      <w:r>
        <w:rPr>
          <w:spacing w:val="45"/>
        </w:rPr>
        <w:t xml:space="preserve"> </w:t>
      </w:r>
      <w:r>
        <w:rPr>
          <w:spacing w:val="-1"/>
        </w:rPr>
        <w:t>Goods</w:t>
      </w:r>
      <w:r>
        <w:rPr>
          <w:spacing w:val="46"/>
        </w:rPr>
        <w:t xml:space="preserve"> </w:t>
      </w:r>
      <w:r>
        <w:rPr>
          <w:spacing w:val="-1"/>
        </w:rPr>
        <w:t>and/or</w:t>
      </w:r>
      <w:r>
        <w:rPr>
          <w:spacing w:val="48"/>
        </w:rPr>
        <w:t xml:space="preserve"> </w:t>
      </w:r>
      <w:r>
        <w:rPr>
          <w:spacing w:val="-2"/>
        </w:rPr>
        <w:t>Services</w:t>
      </w:r>
      <w:r>
        <w:rPr>
          <w:spacing w:val="47"/>
        </w:rPr>
        <w:t xml:space="preserve"> </w:t>
      </w:r>
      <w:r>
        <w:rPr>
          <w:spacing w:val="-1"/>
        </w:rPr>
        <w:t>is</w:t>
      </w:r>
      <w:r>
        <w:rPr>
          <w:spacing w:val="46"/>
        </w:rPr>
        <w:t xml:space="preserve"> </w:t>
      </w:r>
      <w:r>
        <w:rPr>
          <w:spacing w:val="-1"/>
        </w:rPr>
        <w:t>reasonably</w:t>
      </w:r>
      <w:r>
        <w:rPr>
          <w:spacing w:val="35"/>
        </w:rPr>
        <w:t xml:space="preserve"> </w:t>
      </w:r>
      <w:r>
        <w:rPr>
          <w:spacing w:val="-1"/>
        </w:rPr>
        <w:t>foreseeable</w:t>
      </w:r>
      <w:r>
        <w:t xml:space="preserve"> </w:t>
      </w:r>
      <w:r>
        <w:rPr>
          <w:spacing w:val="-2"/>
        </w:rPr>
        <w:t>at</w:t>
      </w:r>
      <w:r>
        <w:t xml:space="preserve"> the</w:t>
      </w:r>
      <w:r>
        <w:rPr>
          <w:spacing w:val="-2"/>
        </w:rPr>
        <w:t xml:space="preserve"> Call</w:t>
      </w:r>
      <w:r>
        <w:t xml:space="preserve"> </w:t>
      </w:r>
      <w:r>
        <w:rPr>
          <w:spacing w:val="-1"/>
        </w:rPr>
        <w:t>Off</w:t>
      </w:r>
      <w:r>
        <w:rPr>
          <w:spacing w:val="2"/>
        </w:rPr>
        <w:t xml:space="preserve"> </w:t>
      </w:r>
      <w:r>
        <w:rPr>
          <w:spacing w:val="-2"/>
        </w:rPr>
        <w:t>Commencement</w:t>
      </w:r>
      <w:r>
        <w:t xml:space="preserve"> </w:t>
      </w:r>
      <w:r>
        <w:rPr>
          <w:spacing w:val="-1"/>
        </w:rPr>
        <w:t>Date.</w:t>
      </w:r>
    </w:p>
    <w:p w:rsidR="008918FA" w:rsidRDefault="008918FA" w:rsidP="008918FA">
      <w:pPr>
        <w:pStyle w:val="BodyText"/>
        <w:numPr>
          <w:ilvl w:val="2"/>
          <w:numId w:val="66"/>
        </w:numPr>
        <w:tabs>
          <w:tab w:val="left" w:pos="1886"/>
        </w:tabs>
        <w:ind w:left="1885" w:right="112"/>
        <w:jc w:val="both"/>
      </w:pPr>
      <w:r>
        <w:rPr>
          <w:spacing w:val="-1"/>
        </w:rPr>
        <w:t>If</w:t>
      </w:r>
      <w:r>
        <w:rPr>
          <w:spacing w:val="40"/>
        </w:rPr>
        <w:t xml:space="preserve"> </w:t>
      </w:r>
      <w:r>
        <w:t>a</w:t>
      </w:r>
      <w:r>
        <w:rPr>
          <w:spacing w:val="36"/>
        </w:rPr>
        <w:t xml:space="preserve"> </w:t>
      </w:r>
      <w:r>
        <w:rPr>
          <w:spacing w:val="-1"/>
        </w:rPr>
        <w:t>Specific</w:t>
      </w:r>
      <w:r>
        <w:rPr>
          <w:spacing w:val="37"/>
        </w:rPr>
        <w:t xml:space="preserve"> </w:t>
      </w:r>
      <w:r>
        <w:rPr>
          <w:spacing w:val="-1"/>
        </w:rPr>
        <w:t>Change</w:t>
      </w:r>
      <w:r>
        <w:rPr>
          <w:spacing w:val="36"/>
        </w:rPr>
        <w:t xml:space="preserve"> </w:t>
      </w:r>
      <w:r>
        <w:rPr>
          <w:spacing w:val="-1"/>
        </w:rPr>
        <w:t>in</w:t>
      </w:r>
      <w:r>
        <w:rPr>
          <w:spacing w:val="34"/>
        </w:rPr>
        <w:t xml:space="preserve"> </w:t>
      </w:r>
      <w:r>
        <w:rPr>
          <w:spacing w:val="-1"/>
        </w:rPr>
        <w:t>Law</w:t>
      </w:r>
      <w:r>
        <w:rPr>
          <w:spacing w:val="34"/>
        </w:rPr>
        <w:t xml:space="preserve"> </w:t>
      </w:r>
      <w:r>
        <w:rPr>
          <w:spacing w:val="-1"/>
        </w:rPr>
        <w:t>occurs</w:t>
      </w:r>
      <w:r>
        <w:rPr>
          <w:spacing w:val="38"/>
        </w:rPr>
        <w:t xml:space="preserve"> </w:t>
      </w:r>
      <w:r>
        <w:rPr>
          <w:spacing w:val="-1"/>
        </w:rPr>
        <w:t>or</w:t>
      </w:r>
      <w:r>
        <w:rPr>
          <w:spacing w:val="40"/>
        </w:rPr>
        <w:t xml:space="preserve"> </w:t>
      </w:r>
      <w:r>
        <w:rPr>
          <w:spacing w:val="-2"/>
        </w:rPr>
        <w:t>will</w:t>
      </w:r>
      <w:r>
        <w:rPr>
          <w:spacing w:val="36"/>
        </w:rPr>
        <w:t xml:space="preserve"> </w:t>
      </w:r>
      <w:r>
        <w:rPr>
          <w:spacing w:val="-1"/>
        </w:rPr>
        <w:t>occur</w:t>
      </w:r>
      <w:r>
        <w:rPr>
          <w:spacing w:val="38"/>
        </w:rPr>
        <w:t xml:space="preserve"> </w:t>
      </w:r>
      <w:r>
        <w:rPr>
          <w:spacing w:val="-1"/>
        </w:rPr>
        <w:t>during</w:t>
      </w:r>
      <w:r>
        <w:rPr>
          <w:spacing w:val="36"/>
        </w:rPr>
        <w:t xml:space="preserve"> </w:t>
      </w:r>
      <w:r>
        <w:t>the</w:t>
      </w:r>
      <w:r>
        <w:rPr>
          <w:spacing w:val="36"/>
        </w:rPr>
        <w:t xml:space="preserve"> </w:t>
      </w:r>
      <w:r>
        <w:rPr>
          <w:spacing w:val="-2"/>
        </w:rPr>
        <w:t>Call</w:t>
      </w:r>
      <w:r>
        <w:rPr>
          <w:spacing w:val="37"/>
        </w:rPr>
        <w:t xml:space="preserve"> </w:t>
      </w:r>
      <w:r>
        <w:rPr>
          <w:spacing w:val="-1"/>
        </w:rPr>
        <w:t>Off</w:t>
      </w:r>
      <w:r>
        <w:rPr>
          <w:spacing w:val="45"/>
        </w:rPr>
        <w:t xml:space="preserve"> </w:t>
      </w:r>
      <w:r>
        <w:rPr>
          <w:spacing w:val="-1"/>
        </w:rPr>
        <w:t>Contract</w:t>
      </w:r>
      <w:r>
        <w:rPr>
          <w:spacing w:val="47"/>
        </w:rPr>
        <w:t xml:space="preserve"> </w:t>
      </w:r>
      <w:r>
        <w:rPr>
          <w:spacing w:val="-1"/>
        </w:rPr>
        <w:t>Period</w:t>
      </w:r>
      <w:r>
        <w:rPr>
          <w:spacing w:val="46"/>
        </w:rPr>
        <w:t xml:space="preserve"> </w:t>
      </w:r>
      <w:r>
        <w:rPr>
          <w:spacing w:val="-1"/>
        </w:rPr>
        <w:t>(other</w:t>
      </w:r>
      <w:r>
        <w:rPr>
          <w:spacing w:val="47"/>
        </w:rPr>
        <w:t xml:space="preserve"> </w:t>
      </w:r>
      <w:r>
        <w:rPr>
          <w:spacing w:val="-1"/>
        </w:rPr>
        <w:t>than</w:t>
      </w:r>
      <w:r>
        <w:rPr>
          <w:spacing w:val="46"/>
        </w:rPr>
        <w:t xml:space="preserve"> </w:t>
      </w:r>
      <w:r>
        <w:rPr>
          <w:spacing w:val="-1"/>
        </w:rPr>
        <w:t>as</w:t>
      </w:r>
      <w:r>
        <w:rPr>
          <w:spacing w:val="47"/>
        </w:rPr>
        <w:t xml:space="preserve"> </w:t>
      </w:r>
      <w:r>
        <w:rPr>
          <w:spacing w:val="-1"/>
        </w:rPr>
        <w:t>referred</w:t>
      </w:r>
      <w:r>
        <w:rPr>
          <w:spacing w:val="43"/>
        </w:rPr>
        <w:t xml:space="preserve"> </w:t>
      </w:r>
      <w:r>
        <w:t>to</w:t>
      </w:r>
      <w:r>
        <w:rPr>
          <w:spacing w:val="47"/>
        </w:rPr>
        <w:t xml:space="preserve"> </w:t>
      </w:r>
      <w:r>
        <w:rPr>
          <w:spacing w:val="-1"/>
        </w:rPr>
        <w:t>in</w:t>
      </w:r>
      <w:r>
        <w:rPr>
          <w:spacing w:val="46"/>
        </w:rPr>
        <w:t xml:space="preserve"> </w:t>
      </w:r>
      <w:r>
        <w:rPr>
          <w:spacing w:val="-1"/>
        </w:rPr>
        <w:t>Clause</w:t>
      </w:r>
      <w:r>
        <w:rPr>
          <w:spacing w:val="47"/>
        </w:rPr>
        <w:t xml:space="preserve"> </w:t>
      </w:r>
      <w:hyperlink w:anchor="_bookmark123" w:history="1">
        <w:r>
          <w:rPr>
            <w:spacing w:val="-1"/>
          </w:rPr>
          <w:t>22.2.1(b)</w:t>
        </w:r>
      </w:hyperlink>
      <w:r>
        <w:rPr>
          <w:spacing w:val="-1"/>
        </w:rPr>
        <w:t>),</w:t>
      </w:r>
      <w:r>
        <w:rPr>
          <w:spacing w:val="47"/>
        </w:rPr>
        <w:t xml:space="preserve"> </w:t>
      </w:r>
      <w:r>
        <w:t>the</w:t>
      </w:r>
      <w:r>
        <w:rPr>
          <w:spacing w:val="43"/>
        </w:rPr>
        <w:t xml:space="preserve"> </w:t>
      </w:r>
      <w:r>
        <w:rPr>
          <w:spacing w:val="-2"/>
        </w:rPr>
        <w:t>Supplier</w:t>
      </w:r>
      <w:r>
        <w:rPr>
          <w:spacing w:val="2"/>
        </w:rPr>
        <w:t xml:space="preserve"> </w:t>
      </w:r>
      <w:r>
        <w:rPr>
          <w:spacing w:val="-1"/>
        </w:rPr>
        <w:t>shall:</w:t>
      </w:r>
    </w:p>
    <w:p w:rsidR="008918FA" w:rsidRDefault="008918FA" w:rsidP="008918FA">
      <w:pPr>
        <w:pStyle w:val="BodyText"/>
        <w:numPr>
          <w:ilvl w:val="3"/>
          <w:numId w:val="66"/>
        </w:numPr>
        <w:tabs>
          <w:tab w:val="left" w:pos="2594"/>
        </w:tabs>
        <w:spacing w:before="121"/>
        <w:ind w:left="2593" w:right="114"/>
        <w:jc w:val="both"/>
      </w:pPr>
      <w:r>
        <w:rPr>
          <w:spacing w:val="-1"/>
        </w:rPr>
        <w:t>notify</w:t>
      </w:r>
      <w:r>
        <w:rPr>
          <w:spacing w:val="32"/>
        </w:rPr>
        <w:t xml:space="preserve"> </w:t>
      </w:r>
      <w:r>
        <w:t>the</w:t>
      </w:r>
      <w:r>
        <w:rPr>
          <w:spacing w:val="34"/>
        </w:rPr>
        <w:t xml:space="preserve"> </w:t>
      </w:r>
      <w:r>
        <w:rPr>
          <w:spacing w:val="-2"/>
        </w:rPr>
        <w:t>Customer</w:t>
      </w:r>
      <w:r>
        <w:rPr>
          <w:spacing w:val="35"/>
        </w:rPr>
        <w:t xml:space="preserve"> </w:t>
      </w:r>
      <w:r>
        <w:rPr>
          <w:spacing w:val="-1"/>
        </w:rPr>
        <w:t>as</w:t>
      </w:r>
      <w:r>
        <w:rPr>
          <w:spacing w:val="32"/>
        </w:rPr>
        <w:t xml:space="preserve"> </w:t>
      </w:r>
      <w:r>
        <w:rPr>
          <w:spacing w:val="-1"/>
        </w:rPr>
        <w:t>soon</w:t>
      </w:r>
      <w:r>
        <w:rPr>
          <w:spacing w:val="34"/>
        </w:rPr>
        <w:t xml:space="preserve"> </w:t>
      </w:r>
      <w:r>
        <w:rPr>
          <w:spacing w:val="-1"/>
        </w:rPr>
        <w:t>as</w:t>
      </w:r>
      <w:r>
        <w:rPr>
          <w:spacing w:val="34"/>
        </w:rPr>
        <w:t xml:space="preserve"> </w:t>
      </w:r>
      <w:r>
        <w:rPr>
          <w:spacing w:val="-1"/>
        </w:rPr>
        <w:t>reasonably</w:t>
      </w:r>
      <w:r>
        <w:rPr>
          <w:spacing w:val="33"/>
        </w:rPr>
        <w:t xml:space="preserve"> </w:t>
      </w:r>
      <w:r>
        <w:rPr>
          <w:spacing w:val="-1"/>
        </w:rPr>
        <w:t>practicable</w:t>
      </w:r>
      <w:r>
        <w:rPr>
          <w:spacing w:val="34"/>
        </w:rPr>
        <w:t xml:space="preserve"> </w:t>
      </w:r>
      <w:r>
        <w:rPr>
          <w:spacing w:val="-2"/>
        </w:rPr>
        <w:t>of</w:t>
      </w:r>
      <w:r>
        <w:rPr>
          <w:spacing w:val="35"/>
        </w:rPr>
        <w:t xml:space="preserve"> </w:t>
      </w:r>
      <w:r>
        <w:rPr>
          <w:spacing w:val="-1"/>
        </w:rPr>
        <w:t>the</w:t>
      </w:r>
      <w:r>
        <w:rPr>
          <w:spacing w:val="42"/>
        </w:rPr>
        <w:t xml:space="preserve"> </w:t>
      </w:r>
      <w:r>
        <w:rPr>
          <w:spacing w:val="-1"/>
        </w:rPr>
        <w:t>likely</w:t>
      </w:r>
      <w:r>
        <w:rPr>
          <w:spacing w:val="-2"/>
        </w:rPr>
        <w:t xml:space="preserve"> </w:t>
      </w:r>
      <w:r>
        <w:rPr>
          <w:spacing w:val="-1"/>
        </w:rPr>
        <w:t>effects</w:t>
      </w:r>
      <w:r>
        <w:rPr>
          <w:spacing w:val="1"/>
        </w:rPr>
        <w:t xml:space="preserve"> </w:t>
      </w:r>
      <w:r>
        <w:rPr>
          <w:spacing w:val="-2"/>
        </w:rPr>
        <w:t>of</w:t>
      </w:r>
      <w:r>
        <w:t xml:space="preserve"> </w:t>
      </w:r>
      <w:r>
        <w:rPr>
          <w:spacing w:val="-1"/>
        </w:rPr>
        <w:t>that</w:t>
      </w:r>
      <w:r>
        <w:t xml:space="preserve"> </w:t>
      </w:r>
      <w:r>
        <w:rPr>
          <w:spacing w:val="-1"/>
        </w:rPr>
        <w:t>change</w:t>
      </w:r>
      <w:r>
        <w:rPr>
          <w:spacing w:val="-2"/>
        </w:rPr>
        <w:t xml:space="preserve"> </w:t>
      </w:r>
      <w:r>
        <w:rPr>
          <w:spacing w:val="-1"/>
        </w:rPr>
        <w:t>including:</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4"/>
          <w:numId w:val="66"/>
        </w:numPr>
        <w:tabs>
          <w:tab w:val="left" w:pos="3524"/>
        </w:tabs>
        <w:spacing w:before="59"/>
        <w:ind w:left="3523" w:right="113"/>
        <w:jc w:val="both"/>
      </w:pPr>
      <w:r>
        <w:rPr>
          <w:spacing w:val="-1"/>
        </w:rPr>
        <w:t>whether</w:t>
      </w:r>
      <w:r>
        <w:rPr>
          <w:spacing w:val="30"/>
        </w:rPr>
        <w:t xml:space="preserve"> </w:t>
      </w:r>
      <w:r>
        <w:rPr>
          <w:spacing w:val="-1"/>
        </w:rPr>
        <w:t>any</w:t>
      </w:r>
      <w:r>
        <w:rPr>
          <w:spacing w:val="27"/>
        </w:rPr>
        <w:t xml:space="preserve"> </w:t>
      </w:r>
      <w:r>
        <w:rPr>
          <w:spacing w:val="-1"/>
        </w:rPr>
        <w:t>Variation</w:t>
      </w:r>
      <w:r>
        <w:rPr>
          <w:spacing w:val="29"/>
        </w:rPr>
        <w:t xml:space="preserve"> </w:t>
      </w:r>
      <w:r>
        <w:rPr>
          <w:spacing w:val="-1"/>
        </w:rPr>
        <w:t>is</w:t>
      </w:r>
      <w:r>
        <w:rPr>
          <w:spacing w:val="30"/>
        </w:rPr>
        <w:t xml:space="preserve"> </w:t>
      </w:r>
      <w:r>
        <w:rPr>
          <w:spacing w:val="-1"/>
        </w:rPr>
        <w:t>required</w:t>
      </w:r>
      <w:r>
        <w:rPr>
          <w:spacing w:val="27"/>
        </w:rPr>
        <w:t xml:space="preserve"> </w:t>
      </w:r>
      <w:r>
        <w:t>to</w:t>
      </w:r>
      <w:r>
        <w:rPr>
          <w:spacing w:val="29"/>
        </w:rPr>
        <w:t xml:space="preserve"> </w:t>
      </w:r>
      <w:r>
        <w:t>the</w:t>
      </w:r>
      <w:r>
        <w:rPr>
          <w:spacing w:val="29"/>
        </w:rPr>
        <w:t xml:space="preserve"> </w:t>
      </w:r>
      <w:r>
        <w:rPr>
          <w:spacing w:val="-2"/>
        </w:rPr>
        <w:t>provision</w:t>
      </w:r>
      <w:r>
        <w:rPr>
          <w:spacing w:val="29"/>
        </w:rPr>
        <w:t xml:space="preserve"> </w:t>
      </w:r>
      <w:r>
        <w:rPr>
          <w:spacing w:val="-2"/>
        </w:rPr>
        <w:t>of</w:t>
      </w:r>
      <w:r>
        <w:rPr>
          <w:spacing w:val="33"/>
        </w:rPr>
        <w:t xml:space="preserve"> </w:t>
      </w:r>
      <w:r>
        <w:rPr>
          <w:spacing w:val="-1"/>
        </w:rPr>
        <w:t>the</w:t>
      </w:r>
      <w:r>
        <w:rPr>
          <w:spacing w:val="32"/>
        </w:rPr>
        <w:t xml:space="preserve"> </w:t>
      </w:r>
      <w:r>
        <w:rPr>
          <w:spacing w:val="-1"/>
        </w:rPr>
        <w:t>Goods</w:t>
      </w:r>
      <w:r>
        <w:rPr>
          <w:spacing w:val="18"/>
        </w:rPr>
        <w:t xml:space="preserve"> </w:t>
      </w:r>
      <w:r>
        <w:rPr>
          <w:spacing w:val="-1"/>
        </w:rPr>
        <w:t>and/or</w:t>
      </w:r>
      <w:r>
        <w:rPr>
          <w:spacing w:val="19"/>
        </w:rPr>
        <w:t xml:space="preserve"> </w:t>
      </w:r>
      <w:r>
        <w:rPr>
          <w:spacing w:val="-1"/>
        </w:rPr>
        <w:t>Services,</w:t>
      </w:r>
      <w:r>
        <w:rPr>
          <w:spacing w:val="16"/>
        </w:rPr>
        <w:t xml:space="preserve"> </w:t>
      </w:r>
      <w:r>
        <w:t>the</w:t>
      </w:r>
      <w:r>
        <w:rPr>
          <w:spacing w:val="17"/>
        </w:rPr>
        <w:t xml:space="preserve"> </w:t>
      </w:r>
      <w:r>
        <w:rPr>
          <w:spacing w:val="-2"/>
        </w:rPr>
        <w:t>Call</w:t>
      </w:r>
      <w:r>
        <w:rPr>
          <w:spacing w:val="17"/>
        </w:rPr>
        <w:t xml:space="preserve"> </w:t>
      </w:r>
      <w:r>
        <w:rPr>
          <w:spacing w:val="-1"/>
        </w:rPr>
        <w:t>Off</w:t>
      </w:r>
      <w:r>
        <w:rPr>
          <w:spacing w:val="21"/>
        </w:rPr>
        <w:t xml:space="preserve"> </w:t>
      </w:r>
      <w:r>
        <w:rPr>
          <w:spacing w:val="-2"/>
        </w:rPr>
        <w:t>Contract</w:t>
      </w:r>
      <w:r>
        <w:rPr>
          <w:spacing w:val="19"/>
        </w:rPr>
        <w:t xml:space="preserve"> </w:t>
      </w:r>
      <w:r>
        <w:rPr>
          <w:spacing w:val="-1"/>
        </w:rPr>
        <w:t>Charges</w:t>
      </w:r>
      <w:r>
        <w:rPr>
          <w:spacing w:val="18"/>
        </w:rPr>
        <w:t xml:space="preserve"> </w:t>
      </w:r>
      <w:r>
        <w:rPr>
          <w:spacing w:val="-1"/>
        </w:rPr>
        <w:t>or</w:t>
      </w:r>
      <w:r>
        <w:rPr>
          <w:spacing w:val="34"/>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2"/>
        </w:rPr>
        <w:t>and</w:t>
      </w:r>
    </w:p>
    <w:p w:rsidR="008918FA" w:rsidRDefault="008918FA" w:rsidP="008918FA">
      <w:pPr>
        <w:pStyle w:val="BodyText"/>
        <w:numPr>
          <w:ilvl w:val="4"/>
          <w:numId w:val="66"/>
        </w:numPr>
        <w:tabs>
          <w:tab w:val="left" w:pos="3524"/>
        </w:tabs>
        <w:ind w:left="3523" w:right="111"/>
        <w:jc w:val="both"/>
      </w:pPr>
      <w:r>
        <w:rPr>
          <w:spacing w:val="-1"/>
        </w:rPr>
        <w:t>whether</w:t>
      </w:r>
      <w:r>
        <w:rPr>
          <w:spacing w:val="57"/>
        </w:rPr>
        <w:t xml:space="preserve"> </w:t>
      </w:r>
      <w:r>
        <w:rPr>
          <w:spacing w:val="-1"/>
        </w:rPr>
        <w:t>any</w:t>
      </w:r>
      <w:r>
        <w:rPr>
          <w:spacing w:val="53"/>
        </w:rPr>
        <w:t xml:space="preserve"> </w:t>
      </w:r>
      <w:r>
        <w:rPr>
          <w:spacing w:val="-1"/>
        </w:rPr>
        <w:t>relief</w:t>
      </w:r>
      <w:r>
        <w:rPr>
          <w:spacing w:val="57"/>
        </w:rPr>
        <w:t xml:space="preserve"> </w:t>
      </w:r>
      <w:r>
        <w:t>from</w:t>
      </w:r>
      <w:r>
        <w:rPr>
          <w:spacing w:val="54"/>
        </w:rPr>
        <w:t xml:space="preserve"> </w:t>
      </w:r>
      <w:r>
        <w:rPr>
          <w:spacing w:val="-1"/>
        </w:rPr>
        <w:t>compliance</w:t>
      </w:r>
      <w:r>
        <w:rPr>
          <w:spacing w:val="56"/>
        </w:rPr>
        <w:t xml:space="preserve"> </w:t>
      </w:r>
      <w:r>
        <w:rPr>
          <w:spacing w:val="-2"/>
        </w:rPr>
        <w:t>with</w:t>
      </w:r>
      <w:r>
        <w:rPr>
          <w:spacing w:val="55"/>
        </w:rPr>
        <w:t xml:space="preserve"> </w:t>
      </w:r>
      <w:r>
        <w:t>the</w:t>
      </w:r>
      <w:r>
        <w:rPr>
          <w:spacing w:val="56"/>
        </w:rPr>
        <w:t xml:space="preserve"> </w:t>
      </w:r>
      <w:r>
        <w:rPr>
          <w:spacing w:val="-1"/>
        </w:rPr>
        <w:t>Supplier's</w:t>
      </w:r>
      <w:r>
        <w:rPr>
          <w:spacing w:val="23"/>
        </w:rPr>
        <w:t xml:space="preserve"> </w:t>
      </w:r>
      <w:r>
        <w:rPr>
          <w:spacing w:val="-1"/>
        </w:rPr>
        <w:t>obligations</w:t>
      </w:r>
      <w:r>
        <w:rPr>
          <w:spacing w:val="1"/>
        </w:rPr>
        <w:t xml:space="preserve"> </w:t>
      </w:r>
      <w:r>
        <w:rPr>
          <w:spacing w:val="-1"/>
        </w:rPr>
        <w:t>is</w:t>
      </w:r>
      <w:r>
        <w:rPr>
          <w:spacing w:val="1"/>
        </w:rPr>
        <w:t xml:space="preserve"> </w:t>
      </w:r>
      <w:r>
        <w:rPr>
          <w:spacing w:val="-1"/>
        </w:rPr>
        <w:t>required,</w:t>
      </w:r>
      <w:r>
        <w:rPr>
          <w:spacing w:val="2"/>
        </w:rPr>
        <w:t xml:space="preserve"> </w:t>
      </w:r>
      <w:r>
        <w:rPr>
          <w:spacing w:val="-2"/>
        </w:rPr>
        <w:t>including</w:t>
      </w:r>
      <w:r>
        <w:rPr>
          <w:spacing w:val="3"/>
        </w:rPr>
        <w:t xml:space="preserve"> </w:t>
      </w:r>
      <w:r>
        <w:rPr>
          <w:spacing w:val="-1"/>
        </w:rPr>
        <w:t>any</w:t>
      </w:r>
      <w:r>
        <w:rPr>
          <w:spacing w:val="-2"/>
        </w:rPr>
        <w:t xml:space="preserve"> </w:t>
      </w:r>
      <w:r>
        <w:rPr>
          <w:spacing w:val="-1"/>
        </w:rPr>
        <w:t>obligation</w:t>
      </w:r>
      <w:r>
        <w:t xml:space="preserve"> to</w:t>
      </w:r>
      <w:r>
        <w:rPr>
          <w:spacing w:val="-2"/>
        </w:rPr>
        <w:t xml:space="preserve"> Achieve</w:t>
      </w:r>
      <w:r>
        <w:rPr>
          <w:spacing w:val="47"/>
        </w:rPr>
        <w:t xml:space="preserve"> </w:t>
      </w:r>
      <w:r>
        <w:t>a</w:t>
      </w:r>
      <w:r>
        <w:rPr>
          <w:spacing w:val="2"/>
        </w:rPr>
        <w:t xml:space="preserve"> </w:t>
      </w:r>
      <w:r>
        <w:rPr>
          <w:spacing w:val="-1"/>
        </w:rPr>
        <w:t>Milestone</w:t>
      </w:r>
      <w:r>
        <w:rPr>
          <w:spacing w:val="2"/>
        </w:rPr>
        <w:t xml:space="preserve"> </w:t>
      </w:r>
      <w:r>
        <w:rPr>
          <w:spacing w:val="-1"/>
        </w:rPr>
        <w:t>and/or</w:t>
      </w:r>
      <w:r>
        <w:rPr>
          <w:spacing w:val="1"/>
        </w:rPr>
        <w:t xml:space="preserve"> </w:t>
      </w:r>
      <w:r>
        <w:t>to</w:t>
      </w:r>
      <w:r>
        <w:rPr>
          <w:spacing w:val="60"/>
        </w:rPr>
        <w:t xml:space="preserve"> </w:t>
      </w:r>
      <w:r>
        <w:rPr>
          <w:spacing w:val="-1"/>
        </w:rPr>
        <w:t>meet</w:t>
      </w:r>
      <w:r>
        <w:rPr>
          <w:spacing w:val="1"/>
        </w:rPr>
        <w:t xml:space="preserve"> </w:t>
      </w:r>
      <w:r>
        <w:t>the</w:t>
      </w:r>
      <w:r>
        <w:rPr>
          <w:spacing w:val="60"/>
        </w:rPr>
        <w:t xml:space="preserve"> </w:t>
      </w:r>
      <w:r>
        <w:rPr>
          <w:spacing w:val="-2"/>
        </w:rPr>
        <w:t>Service</w:t>
      </w:r>
      <w:r>
        <w:rPr>
          <w:spacing w:val="2"/>
        </w:rPr>
        <w:t xml:space="preserve"> </w:t>
      </w:r>
      <w:r>
        <w:rPr>
          <w:spacing w:val="-2"/>
        </w:rPr>
        <w:t>Level</w:t>
      </w:r>
      <w:r>
        <w:rPr>
          <w:spacing w:val="28"/>
        </w:rPr>
        <w:t xml:space="preserve"> </w:t>
      </w:r>
      <w:r>
        <w:rPr>
          <w:spacing w:val="-1"/>
        </w:rPr>
        <w:t>Performance</w:t>
      </w:r>
      <w:r>
        <w:rPr>
          <w:spacing w:val="-2"/>
        </w:rPr>
        <w:t xml:space="preserve"> </w:t>
      </w:r>
      <w:r>
        <w:rPr>
          <w:spacing w:val="-1"/>
        </w:rPr>
        <w:t>Measures;</w:t>
      </w:r>
      <w:r>
        <w:t xml:space="preserve"> </w:t>
      </w:r>
      <w:r>
        <w:rPr>
          <w:spacing w:val="-1"/>
        </w:rPr>
        <w:t>and</w:t>
      </w:r>
    </w:p>
    <w:p w:rsidR="008918FA" w:rsidRDefault="008918FA" w:rsidP="008918FA">
      <w:pPr>
        <w:pStyle w:val="BodyText"/>
        <w:numPr>
          <w:ilvl w:val="3"/>
          <w:numId w:val="66"/>
        </w:numPr>
        <w:tabs>
          <w:tab w:val="left" w:pos="2955"/>
        </w:tabs>
        <w:spacing w:before="121"/>
        <w:ind w:left="2954"/>
      </w:pPr>
      <w:r>
        <w:rPr>
          <w:spacing w:val="-2"/>
        </w:rPr>
        <w:t>provide</w:t>
      </w:r>
      <w:r>
        <w:t xml:space="preserve"> to the</w:t>
      </w:r>
      <w:r>
        <w:rPr>
          <w:spacing w:val="-2"/>
        </w:rPr>
        <w:t xml:space="preserve"> Customer</w:t>
      </w:r>
      <w:r>
        <w:t xml:space="preserve"> </w:t>
      </w:r>
      <w:r>
        <w:rPr>
          <w:spacing w:val="-1"/>
        </w:rPr>
        <w:t>with</w:t>
      </w:r>
      <w:r>
        <w:t xml:space="preserve"> </w:t>
      </w:r>
      <w:r>
        <w:rPr>
          <w:spacing w:val="-2"/>
        </w:rPr>
        <w:t>evidence:</w:t>
      </w:r>
    </w:p>
    <w:p w:rsidR="008918FA" w:rsidRDefault="008918FA" w:rsidP="008918FA">
      <w:pPr>
        <w:pStyle w:val="BodyText"/>
        <w:numPr>
          <w:ilvl w:val="4"/>
          <w:numId w:val="66"/>
        </w:numPr>
        <w:tabs>
          <w:tab w:val="left" w:pos="3523"/>
        </w:tabs>
        <w:ind w:left="3522" w:right="114" w:hanging="568"/>
        <w:jc w:val="both"/>
      </w:pPr>
      <w:r>
        <w:rPr>
          <w:spacing w:val="-1"/>
        </w:rPr>
        <w:t>that</w:t>
      </w:r>
      <w:r>
        <w:rPr>
          <w:spacing w:val="21"/>
        </w:rPr>
        <w:t xml:space="preserve"> </w:t>
      </w:r>
      <w:r>
        <w:t>the</w:t>
      </w:r>
      <w:r>
        <w:rPr>
          <w:spacing w:val="22"/>
        </w:rPr>
        <w:t xml:space="preserve"> </w:t>
      </w:r>
      <w:r>
        <w:rPr>
          <w:spacing w:val="-2"/>
        </w:rPr>
        <w:t>Supplier</w:t>
      </w:r>
      <w:r>
        <w:rPr>
          <w:spacing w:val="24"/>
        </w:rPr>
        <w:t xml:space="preserve"> </w:t>
      </w:r>
      <w:r>
        <w:rPr>
          <w:spacing w:val="-1"/>
        </w:rPr>
        <w:t>has</w:t>
      </w:r>
      <w:r>
        <w:rPr>
          <w:spacing w:val="22"/>
        </w:rPr>
        <w:t xml:space="preserve"> </w:t>
      </w:r>
      <w:r>
        <w:rPr>
          <w:spacing w:val="-2"/>
        </w:rPr>
        <w:t>minimised</w:t>
      </w:r>
      <w:r>
        <w:rPr>
          <w:spacing w:val="22"/>
        </w:rPr>
        <w:t xml:space="preserve"> </w:t>
      </w:r>
      <w:r>
        <w:rPr>
          <w:spacing w:val="-1"/>
        </w:rPr>
        <w:t>any</w:t>
      </w:r>
      <w:r>
        <w:rPr>
          <w:spacing w:val="20"/>
        </w:rPr>
        <w:t xml:space="preserve"> </w:t>
      </w:r>
      <w:r>
        <w:rPr>
          <w:spacing w:val="-1"/>
        </w:rPr>
        <w:t>increase</w:t>
      </w:r>
      <w:r>
        <w:rPr>
          <w:spacing w:val="22"/>
        </w:rPr>
        <w:t xml:space="preserve"> </w:t>
      </w:r>
      <w:r>
        <w:rPr>
          <w:spacing w:val="-1"/>
        </w:rPr>
        <w:t>in</w:t>
      </w:r>
      <w:r>
        <w:rPr>
          <w:spacing w:val="24"/>
        </w:rPr>
        <w:t xml:space="preserve"> </w:t>
      </w:r>
      <w:r>
        <w:rPr>
          <w:spacing w:val="-1"/>
        </w:rPr>
        <w:t>costs</w:t>
      </w:r>
      <w:r>
        <w:rPr>
          <w:spacing w:val="22"/>
        </w:rPr>
        <w:t xml:space="preserve"> </w:t>
      </w:r>
      <w:r>
        <w:rPr>
          <w:spacing w:val="-2"/>
        </w:rPr>
        <w:t>or</w:t>
      </w:r>
      <w:r>
        <w:rPr>
          <w:spacing w:val="55"/>
        </w:rPr>
        <w:t xml:space="preserve"> </w:t>
      </w:r>
      <w:r>
        <w:rPr>
          <w:spacing w:val="-1"/>
        </w:rPr>
        <w:t>maximised</w:t>
      </w:r>
      <w:r>
        <w:rPr>
          <w:spacing w:val="19"/>
        </w:rPr>
        <w:t xml:space="preserve"> </w:t>
      </w:r>
      <w:r>
        <w:rPr>
          <w:spacing w:val="-1"/>
        </w:rPr>
        <w:t>any</w:t>
      </w:r>
      <w:r>
        <w:rPr>
          <w:spacing w:val="17"/>
        </w:rPr>
        <w:t xml:space="preserve"> </w:t>
      </w:r>
      <w:r>
        <w:rPr>
          <w:spacing w:val="-1"/>
        </w:rPr>
        <w:t>reduction</w:t>
      </w:r>
      <w:r>
        <w:rPr>
          <w:spacing w:val="20"/>
        </w:rPr>
        <w:t xml:space="preserve"> </w:t>
      </w:r>
      <w:r>
        <w:rPr>
          <w:spacing w:val="-1"/>
        </w:rPr>
        <w:t>in</w:t>
      </w:r>
      <w:r>
        <w:rPr>
          <w:spacing w:val="20"/>
        </w:rPr>
        <w:t xml:space="preserve"> </w:t>
      </w:r>
      <w:r>
        <w:rPr>
          <w:spacing w:val="-1"/>
        </w:rPr>
        <w:t>costs,</w:t>
      </w:r>
      <w:r>
        <w:rPr>
          <w:spacing w:val="21"/>
        </w:rPr>
        <w:t xml:space="preserve"> </w:t>
      </w:r>
      <w:r>
        <w:rPr>
          <w:spacing w:val="-2"/>
        </w:rPr>
        <w:t>including</w:t>
      </w:r>
      <w:r>
        <w:rPr>
          <w:spacing w:val="19"/>
        </w:rPr>
        <w:t xml:space="preserve"> </w:t>
      </w:r>
      <w:r>
        <w:rPr>
          <w:spacing w:val="-1"/>
        </w:rPr>
        <w:t>in</w:t>
      </w:r>
      <w:r>
        <w:rPr>
          <w:spacing w:val="20"/>
        </w:rPr>
        <w:t xml:space="preserve"> </w:t>
      </w:r>
      <w:r>
        <w:rPr>
          <w:spacing w:val="-1"/>
        </w:rPr>
        <w:t>respect</w:t>
      </w:r>
      <w:r>
        <w:rPr>
          <w:spacing w:val="19"/>
        </w:rPr>
        <w:t xml:space="preserve"> </w:t>
      </w:r>
      <w:r>
        <w:rPr>
          <w:spacing w:val="-2"/>
        </w:rPr>
        <w:t>of</w:t>
      </w:r>
      <w:r>
        <w:rPr>
          <w:spacing w:val="33"/>
        </w:rPr>
        <w:t xml:space="preserve"> </w:t>
      </w:r>
      <w:r>
        <w:t xml:space="preserve">the </w:t>
      </w:r>
      <w:r>
        <w:rPr>
          <w:spacing w:val="-1"/>
        </w:rPr>
        <w:t>costs</w:t>
      </w:r>
      <w:r>
        <w:rPr>
          <w:spacing w:val="-2"/>
        </w:rPr>
        <w:t xml:space="preserve"> of</w:t>
      </w:r>
      <w:r>
        <w:rPr>
          <w:spacing w:val="2"/>
        </w:rPr>
        <w:t xml:space="preserve"> </w:t>
      </w:r>
      <w:r>
        <w:rPr>
          <w:spacing w:val="-1"/>
        </w:rPr>
        <w:t>its</w:t>
      </w:r>
      <w:r>
        <w:rPr>
          <w:spacing w:val="-2"/>
        </w:rPr>
        <w:t xml:space="preserve"> </w:t>
      </w:r>
      <w:r>
        <w:rPr>
          <w:spacing w:val="-1"/>
        </w:rPr>
        <w:t>Sub-Contractors;</w:t>
      </w:r>
    </w:p>
    <w:p w:rsidR="008918FA" w:rsidRDefault="008918FA" w:rsidP="008918FA">
      <w:pPr>
        <w:pStyle w:val="BodyText"/>
        <w:numPr>
          <w:ilvl w:val="4"/>
          <w:numId w:val="66"/>
        </w:numPr>
        <w:tabs>
          <w:tab w:val="left" w:pos="3523"/>
        </w:tabs>
        <w:ind w:left="3522" w:right="113"/>
        <w:jc w:val="both"/>
      </w:pPr>
      <w:r>
        <w:rPr>
          <w:spacing w:val="-1"/>
        </w:rPr>
        <w:t>as</w:t>
      </w:r>
      <w:r>
        <w:rPr>
          <w:spacing w:val="34"/>
        </w:rPr>
        <w:t xml:space="preserve"> </w:t>
      </w:r>
      <w:r>
        <w:t>to</w:t>
      </w:r>
      <w:r>
        <w:rPr>
          <w:spacing w:val="34"/>
        </w:rPr>
        <w:t xml:space="preserve"> </w:t>
      </w:r>
      <w:r>
        <w:rPr>
          <w:spacing w:val="-1"/>
        </w:rPr>
        <w:t>how</w:t>
      </w:r>
      <w:r>
        <w:rPr>
          <w:spacing w:val="31"/>
        </w:rPr>
        <w:t xml:space="preserve"> </w:t>
      </w:r>
      <w:r>
        <w:t>the</w:t>
      </w:r>
      <w:r>
        <w:rPr>
          <w:spacing w:val="34"/>
        </w:rPr>
        <w:t xml:space="preserve"> </w:t>
      </w:r>
      <w:r>
        <w:rPr>
          <w:spacing w:val="-1"/>
        </w:rPr>
        <w:t>Specific</w:t>
      </w:r>
      <w:r>
        <w:rPr>
          <w:spacing w:val="34"/>
        </w:rPr>
        <w:t xml:space="preserve"> </w:t>
      </w:r>
      <w:r>
        <w:rPr>
          <w:spacing w:val="-1"/>
        </w:rPr>
        <w:t>Change</w:t>
      </w:r>
      <w:r>
        <w:rPr>
          <w:spacing w:val="34"/>
        </w:rPr>
        <w:t xml:space="preserve"> </w:t>
      </w:r>
      <w:r>
        <w:rPr>
          <w:spacing w:val="-1"/>
        </w:rPr>
        <w:t>in</w:t>
      </w:r>
      <w:r>
        <w:rPr>
          <w:spacing w:val="35"/>
        </w:rPr>
        <w:t xml:space="preserve"> </w:t>
      </w:r>
      <w:r>
        <w:rPr>
          <w:spacing w:val="-1"/>
        </w:rPr>
        <w:t>Law</w:t>
      </w:r>
      <w:r>
        <w:rPr>
          <w:spacing w:val="31"/>
        </w:rPr>
        <w:t xml:space="preserve"> </w:t>
      </w:r>
      <w:r>
        <w:rPr>
          <w:spacing w:val="-1"/>
        </w:rPr>
        <w:t>has</w:t>
      </w:r>
      <w:r>
        <w:rPr>
          <w:spacing w:val="34"/>
        </w:rPr>
        <w:t xml:space="preserve"> </w:t>
      </w:r>
      <w:r>
        <w:rPr>
          <w:spacing w:val="-1"/>
        </w:rPr>
        <w:t>affected</w:t>
      </w:r>
      <w:r>
        <w:rPr>
          <w:spacing w:val="34"/>
        </w:rPr>
        <w:t xml:space="preserve"> </w:t>
      </w:r>
      <w:r>
        <w:rPr>
          <w:spacing w:val="-1"/>
        </w:rPr>
        <w:t>the</w:t>
      </w:r>
      <w:r>
        <w:rPr>
          <w:spacing w:val="41"/>
        </w:rPr>
        <w:t xml:space="preserve"> </w:t>
      </w:r>
      <w:r>
        <w:rPr>
          <w:spacing w:val="-1"/>
        </w:rPr>
        <w:t>cost</w:t>
      </w:r>
      <w:r>
        <w:rPr>
          <w:spacing w:val="2"/>
        </w:rPr>
        <w:t xml:space="preserve"> </w:t>
      </w:r>
      <w:r>
        <w:rPr>
          <w:spacing w:val="-2"/>
        </w:rPr>
        <w:t>of</w:t>
      </w:r>
      <w:r>
        <w:rPr>
          <w:spacing w:val="2"/>
        </w:rPr>
        <w:t xml:space="preserve"> </w:t>
      </w:r>
      <w:r>
        <w:rPr>
          <w:spacing w:val="-2"/>
        </w:rPr>
        <w:t>providing</w:t>
      </w:r>
      <w:r>
        <w:t xml:space="preserve"> the</w:t>
      </w:r>
      <w:r>
        <w:rPr>
          <w:spacing w:val="-1"/>
        </w:rPr>
        <w:t xml:space="preserve"> Goods</w:t>
      </w:r>
      <w:r>
        <w:rPr>
          <w:spacing w:val="1"/>
        </w:rPr>
        <w:t xml:space="preserve"> </w:t>
      </w:r>
      <w:r>
        <w:rPr>
          <w:spacing w:val="-1"/>
        </w:rPr>
        <w:t>and/or</w:t>
      </w:r>
      <w:r>
        <w:rPr>
          <w:spacing w:val="2"/>
        </w:rPr>
        <w:t xml:space="preserve"> </w:t>
      </w:r>
      <w:r>
        <w:rPr>
          <w:spacing w:val="-2"/>
        </w:rPr>
        <w:t>Services;</w:t>
      </w:r>
      <w:r>
        <w:rPr>
          <w:spacing w:val="2"/>
        </w:rPr>
        <w:t xml:space="preserve"> </w:t>
      </w:r>
      <w:r>
        <w:rPr>
          <w:spacing w:val="-1"/>
        </w:rPr>
        <w:t>and</w:t>
      </w:r>
    </w:p>
    <w:p w:rsidR="008918FA" w:rsidRDefault="008918FA" w:rsidP="008918FA">
      <w:pPr>
        <w:pStyle w:val="BodyText"/>
        <w:numPr>
          <w:ilvl w:val="4"/>
          <w:numId w:val="66"/>
        </w:numPr>
        <w:tabs>
          <w:tab w:val="left" w:pos="3523"/>
        </w:tabs>
        <w:ind w:left="3522" w:right="113"/>
        <w:jc w:val="both"/>
      </w:pPr>
      <w:r>
        <w:rPr>
          <w:spacing w:val="-1"/>
        </w:rPr>
        <w:t>demonstrating</w:t>
      </w:r>
      <w:r>
        <w:rPr>
          <w:spacing w:val="12"/>
        </w:rPr>
        <w:t xml:space="preserve"> </w:t>
      </w:r>
      <w:r>
        <w:rPr>
          <w:spacing w:val="-1"/>
        </w:rPr>
        <w:t>that</w:t>
      </w:r>
      <w:r>
        <w:rPr>
          <w:spacing w:val="11"/>
        </w:rPr>
        <w:t xml:space="preserve"> </w:t>
      </w:r>
      <w:r>
        <w:rPr>
          <w:spacing w:val="-1"/>
        </w:rPr>
        <w:t>any</w:t>
      </w:r>
      <w:r>
        <w:rPr>
          <w:spacing w:val="8"/>
        </w:rPr>
        <w:t xml:space="preserve"> </w:t>
      </w:r>
      <w:r>
        <w:rPr>
          <w:spacing w:val="-1"/>
        </w:rPr>
        <w:t>expenditure</w:t>
      </w:r>
      <w:r>
        <w:rPr>
          <w:spacing w:val="10"/>
        </w:rPr>
        <w:t xml:space="preserve"> </w:t>
      </w:r>
      <w:r>
        <w:rPr>
          <w:spacing w:val="-1"/>
        </w:rPr>
        <w:t>that</w:t>
      </w:r>
      <w:r>
        <w:rPr>
          <w:spacing w:val="11"/>
        </w:rPr>
        <w:t xml:space="preserve"> </w:t>
      </w:r>
      <w:r>
        <w:rPr>
          <w:spacing w:val="-1"/>
        </w:rPr>
        <w:t>has</w:t>
      </w:r>
      <w:r>
        <w:rPr>
          <w:spacing w:val="10"/>
        </w:rPr>
        <w:t xml:space="preserve"> </w:t>
      </w:r>
      <w:r>
        <w:rPr>
          <w:spacing w:val="-1"/>
        </w:rPr>
        <w:t>been</w:t>
      </w:r>
      <w:r>
        <w:rPr>
          <w:spacing w:val="24"/>
        </w:rPr>
        <w:t xml:space="preserve"> </w:t>
      </w:r>
      <w:r>
        <w:rPr>
          <w:spacing w:val="-2"/>
        </w:rPr>
        <w:t>avoided,</w:t>
      </w:r>
      <w:r>
        <w:rPr>
          <w:spacing w:val="57"/>
        </w:rPr>
        <w:t xml:space="preserve"> </w:t>
      </w:r>
      <w:r>
        <w:t>for</w:t>
      </w:r>
      <w:r>
        <w:rPr>
          <w:spacing w:val="57"/>
        </w:rPr>
        <w:t xml:space="preserve"> </w:t>
      </w:r>
      <w:r>
        <w:rPr>
          <w:spacing w:val="-2"/>
        </w:rPr>
        <w:t>example</w:t>
      </w:r>
      <w:r>
        <w:rPr>
          <w:spacing w:val="55"/>
        </w:rPr>
        <w:t xml:space="preserve"> </w:t>
      </w:r>
      <w:r>
        <w:rPr>
          <w:spacing w:val="-2"/>
        </w:rPr>
        <w:t>which</w:t>
      </w:r>
      <w:r>
        <w:rPr>
          <w:spacing w:val="56"/>
        </w:rPr>
        <w:t xml:space="preserve"> </w:t>
      </w:r>
      <w:r>
        <w:rPr>
          <w:spacing w:val="-2"/>
        </w:rPr>
        <w:t>would</w:t>
      </w:r>
      <w:r>
        <w:rPr>
          <w:spacing w:val="57"/>
        </w:rPr>
        <w:t xml:space="preserve"> </w:t>
      </w:r>
      <w:r>
        <w:rPr>
          <w:spacing w:val="-1"/>
        </w:rPr>
        <w:t>have</w:t>
      </w:r>
      <w:r>
        <w:rPr>
          <w:spacing w:val="55"/>
        </w:rPr>
        <w:t xml:space="preserve"> </w:t>
      </w:r>
      <w:r>
        <w:rPr>
          <w:spacing w:val="-1"/>
        </w:rPr>
        <w:t>been</w:t>
      </w:r>
      <w:r>
        <w:rPr>
          <w:spacing w:val="56"/>
        </w:rPr>
        <w:t xml:space="preserve"> </w:t>
      </w:r>
      <w:r>
        <w:rPr>
          <w:spacing w:val="-1"/>
        </w:rPr>
        <w:t>required</w:t>
      </w:r>
      <w:r>
        <w:rPr>
          <w:spacing w:val="42"/>
        </w:rPr>
        <w:t xml:space="preserve"> </w:t>
      </w:r>
      <w:r>
        <w:rPr>
          <w:spacing w:val="-1"/>
        </w:rPr>
        <w:t>under</w:t>
      </w:r>
      <w:r>
        <w:rPr>
          <w:spacing w:val="3"/>
        </w:rPr>
        <w:t xml:space="preserve"> </w:t>
      </w:r>
      <w:r>
        <w:t>the</w:t>
      </w:r>
      <w:r>
        <w:rPr>
          <w:spacing w:val="2"/>
        </w:rPr>
        <w:t xml:space="preserve"> </w:t>
      </w:r>
      <w:r>
        <w:rPr>
          <w:spacing w:val="-2"/>
        </w:rPr>
        <w:t>provisions</w:t>
      </w:r>
      <w:r>
        <w:rPr>
          <w:spacing w:val="5"/>
        </w:rPr>
        <w:t xml:space="preserve"> </w:t>
      </w:r>
      <w:r>
        <w:rPr>
          <w:spacing w:val="-1"/>
        </w:rPr>
        <w:t>of</w:t>
      </w:r>
      <w:r>
        <w:rPr>
          <w:spacing w:val="5"/>
        </w:rPr>
        <w:t xml:space="preserve"> </w:t>
      </w:r>
      <w:r>
        <w:rPr>
          <w:spacing w:val="-2"/>
        </w:rPr>
        <w:t>Clause</w:t>
      </w:r>
      <w:r>
        <w:rPr>
          <w:spacing w:val="3"/>
        </w:rPr>
        <w:t xml:space="preserve"> </w:t>
      </w:r>
      <w:hyperlink w:anchor="_bookmark108" w:history="1">
        <w:r>
          <w:rPr>
            <w:spacing w:val="-1"/>
          </w:rPr>
          <w:t>18</w:t>
        </w:r>
      </w:hyperlink>
      <w:r>
        <w:rPr>
          <w:spacing w:val="2"/>
        </w:rPr>
        <w:t xml:space="preserve"> </w:t>
      </w:r>
      <w:r>
        <w:rPr>
          <w:spacing w:val="-1"/>
        </w:rPr>
        <w:t>(Continuous</w:t>
      </w:r>
      <w:r>
        <w:rPr>
          <w:spacing w:val="36"/>
        </w:rPr>
        <w:t xml:space="preserve"> </w:t>
      </w:r>
      <w:r>
        <w:rPr>
          <w:spacing w:val="-1"/>
        </w:rPr>
        <w:t>Improvement),</w:t>
      </w:r>
      <w:r>
        <w:rPr>
          <w:spacing w:val="23"/>
        </w:rPr>
        <w:t xml:space="preserve"> </w:t>
      </w:r>
      <w:r>
        <w:rPr>
          <w:spacing w:val="-1"/>
        </w:rPr>
        <w:t>has</w:t>
      </w:r>
      <w:r>
        <w:rPr>
          <w:spacing w:val="20"/>
        </w:rPr>
        <w:t xml:space="preserve"> </w:t>
      </w:r>
      <w:r>
        <w:rPr>
          <w:spacing w:val="-1"/>
        </w:rPr>
        <w:t>been</w:t>
      </w:r>
      <w:r>
        <w:rPr>
          <w:spacing w:val="19"/>
        </w:rPr>
        <w:t xml:space="preserve"> </w:t>
      </w:r>
      <w:r>
        <w:rPr>
          <w:spacing w:val="-1"/>
        </w:rPr>
        <w:t>taken</w:t>
      </w:r>
      <w:r>
        <w:rPr>
          <w:spacing w:val="22"/>
        </w:rPr>
        <w:t xml:space="preserve"> </w:t>
      </w:r>
      <w:r>
        <w:rPr>
          <w:spacing w:val="-1"/>
        </w:rPr>
        <w:t>into</w:t>
      </w:r>
      <w:r>
        <w:rPr>
          <w:spacing w:val="20"/>
        </w:rPr>
        <w:t xml:space="preserve"> </w:t>
      </w:r>
      <w:r>
        <w:rPr>
          <w:spacing w:val="-1"/>
        </w:rPr>
        <w:t>account</w:t>
      </w:r>
      <w:r>
        <w:rPr>
          <w:spacing w:val="21"/>
        </w:rPr>
        <w:t xml:space="preserve"> </w:t>
      </w:r>
      <w:r>
        <w:rPr>
          <w:spacing w:val="-1"/>
        </w:rPr>
        <w:t>in</w:t>
      </w:r>
      <w:r>
        <w:rPr>
          <w:spacing w:val="22"/>
        </w:rPr>
        <w:t xml:space="preserve"> </w:t>
      </w:r>
      <w:r>
        <w:rPr>
          <w:spacing w:val="-2"/>
        </w:rPr>
        <w:t>amending</w:t>
      </w:r>
      <w:r>
        <w:rPr>
          <w:spacing w:val="39"/>
        </w:rPr>
        <w:t xml:space="preserve"> </w:t>
      </w:r>
      <w:r>
        <w:t xml:space="preserve">the </w:t>
      </w:r>
      <w:r>
        <w:rPr>
          <w:spacing w:val="-2"/>
        </w:rPr>
        <w:t>Call</w:t>
      </w:r>
      <w:r>
        <w:t xml:space="preserve"> </w:t>
      </w:r>
      <w:r>
        <w:rPr>
          <w:spacing w:val="-1"/>
        </w:rPr>
        <w:t>Off</w:t>
      </w:r>
      <w:r>
        <w:t xml:space="preserve"> </w:t>
      </w:r>
      <w:r>
        <w:rPr>
          <w:spacing w:val="-2"/>
        </w:rPr>
        <w:t>Contract</w:t>
      </w:r>
      <w:r>
        <w:rPr>
          <w:spacing w:val="2"/>
        </w:rPr>
        <w:t xml:space="preserve"> </w:t>
      </w:r>
      <w:r>
        <w:rPr>
          <w:spacing w:val="-2"/>
        </w:rPr>
        <w:t>Charges.</w:t>
      </w:r>
    </w:p>
    <w:p w:rsidR="008918FA" w:rsidRDefault="008918FA" w:rsidP="008918FA">
      <w:pPr>
        <w:pStyle w:val="BodyText"/>
        <w:numPr>
          <w:ilvl w:val="2"/>
          <w:numId w:val="66"/>
        </w:numPr>
        <w:tabs>
          <w:tab w:val="left" w:pos="2246"/>
        </w:tabs>
        <w:ind w:left="2245" w:right="114" w:hanging="993"/>
        <w:jc w:val="both"/>
      </w:pPr>
      <w:r>
        <w:rPr>
          <w:spacing w:val="-1"/>
        </w:rPr>
        <w:t>Any</w:t>
      </w:r>
      <w:r>
        <w:rPr>
          <w:spacing w:val="19"/>
        </w:rPr>
        <w:t xml:space="preserve"> </w:t>
      </w:r>
      <w:r>
        <w:rPr>
          <w:spacing w:val="-1"/>
        </w:rPr>
        <w:t>change</w:t>
      </w:r>
      <w:r>
        <w:rPr>
          <w:spacing w:val="21"/>
        </w:rPr>
        <w:t xml:space="preserve"> </w:t>
      </w:r>
      <w:r>
        <w:rPr>
          <w:spacing w:val="-1"/>
        </w:rPr>
        <w:t>in</w:t>
      </w:r>
      <w:r>
        <w:rPr>
          <w:spacing w:val="21"/>
        </w:rPr>
        <w:t xml:space="preserve"> </w:t>
      </w:r>
      <w:r>
        <w:t>the</w:t>
      </w:r>
      <w:r>
        <w:rPr>
          <w:spacing w:val="21"/>
        </w:rPr>
        <w:t xml:space="preserve"> </w:t>
      </w:r>
      <w:r>
        <w:rPr>
          <w:spacing w:val="-1"/>
        </w:rPr>
        <w:t>Call</w:t>
      </w:r>
      <w:r>
        <w:rPr>
          <w:spacing w:val="20"/>
        </w:rPr>
        <w:t xml:space="preserve"> </w:t>
      </w:r>
      <w:r>
        <w:t>Off</w:t>
      </w:r>
      <w:r>
        <w:rPr>
          <w:spacing w:val="24"/>
        </w:rPr>
        <w:t xml:space="preserve"> </w:t>
      </w:r>
      <w:r>
        <w:rPr>
          <w:spacing w:val="-2"/>
        </w:rPr>
        <w:t>Contract</w:t>
      </w:r>
      <w:r>
        <w:rPr>
          <w:spacing w:val="22"/>
        </w:rPr>
        <w:t xml:space="preserve"> </w:t>
      </w:r>
      <w:r>
        <w:rPr>
          <w:spacing w:val="-1"/>
        </w:rPr>
        <w:t>Charges</w:t>
      </w:r>
      <w:r>
        <w:rPr>
          <w:spacing w:val="21"/>
        </w:rPr>
        <w:t xml:space="preserve"> </w:t>
      </w:r>
      <w:r>
        <w:rPr>
          <w:spacing w:val="-1"/>
        </w:rPr>
        <w:t>or</w:t>
      </w:r>
      <w:r>
        <w:rPr>
          <w:spacing w:val="22"/>
        </w:rPr>
        <w:t xml:space="preserve"> </w:t>
      </w:r>
      <w:r>
        <w:rPr>
          <w:spacing w:val="-1"/>
        </w:rPr>
        <w:t>relief</w:t>
      </w:r>
      <w:r>
        <w:rPr>
          <w:spacing w:val="22"/>
        </w:rPr>
        <w:t xml:space="preserve"> </w:t>
      </w:r>
      <w:r>
        <w:rPr>
          <w:spacing w:val="-1"/>
        </w:rPr>
        <w:t>from</w:t>
      </w:r>
      <w:r>
        <w:rPr>
          <w:spacing w:val="22"/>
        </w:rPr>
        <w:t xml:space="preserve"> </w:t>
      </w:r>
      <w:r>
        <w:rPr>
          <w:spacing w:val="-1"/>
        </w:rPr>
        <w:t>the</w:t>
      </w:r>
      <w:r>
        <w:rPr>
          <w:spacing w:val="44"/>
        </w:rPr>
        <w:t xml:space="preserve"> </w:t>
      </w:r>
      <w:r>
        <w:rPr>
          <w:spacing w:val="-1"/>
        </w:rPr>
        <w:t>Supplier's</w:t>
      </w:r>
      <w:r>
        <w:rPr>
          <w:spacing w:val="30"/>
        </w:rPr>
        <w:t xml:space="preserve"> </w:t>
      </w:r>
      <w:r>
        <w:rPr>
          <w:spacing w:val="-1"/>
        </w:rPr>
        <w:t>obligations</w:t>
      </w:r>
      <w:r>
        <w:rPr>
          <w:spacing w:val="30"/>
        </w:rPr>
        <w:t xml:space="preserve"> </w:t>
      </w:r>
      <w:r>
        <w:rPr>
          <w:spacing w:val="-1"/>
        </w:rPr>
        <w:t>resulting</w:t>
      </w:r>
      <w:r>
        <w:rPr>
          <w:spacing w:val="29"/>
        </w:rPr>
        <w:t xml:space="preserve"> </w:t>
      </w:r>
      <w:r>
        <w:t>from</w:t>
      </w:r>
      <w:r>
        <w:rPr>
          <w:spacing w:val="30"/>
        </w:rPr>
        <w:t xml:space="preserve"> </w:t>
      </w:r>
      <w:r>
        <w:t>a</w:t>
      </w:r>
      <w:r>
        <w:rPr>
          <w:spacing w:val="29"/>
        </w:rPr>
        <w:t xml:space="preserve"> </w:t>
      </w:r>
      <w:r>
        <w:rPr>
          <w:spacing w:val="-1"/>
        </w:rPr>
        <w:t>Specific</w:t>
      </w:r>
      <w:r>
        <w:rPr>
          <w:spacing w:val="30"/>
        </w:rPr>
        <w:t xml:space="preserve"> </w:t>
      </w:r>
      <w:r>
        <w:rPr>
          <w:spacing w:val="-1"/>
        </w:rPr>
        <w:t>Change</w:t>
      </w:r>
      <w:r>
        <w:rPr>
          <w:spacing w:val="29"/>
        </w:rPr>
        <w:t xml:space="preserve"> </w:t>
      </w:r>
      <w:r>
        <w:rPr>
          <w:spacing w:val="-1"/>
        </w:rPr>
        <w:t>in</w:t>
      </w:r>
      <w:r>
        <w:rPr>
          <w:spacing w:val="29"/>
        </w:rPr>
        <w:t xml:space="preserve"> </w:t>
      </w:r>
      <w:r>
        <w:rPr>
          <w:spacing w:val="-1"/>
        </w:rPr>
        <w:t>Law</w:t>
      </w:r>
      <w:r>
        <w:rPr>
          <w:spacing w:val="28"/>
        </w:rPr>
        <w:t xml:space="preserve"> </w:t>
      </w:r>
      <w:r>
        <w:rPr>
          <w:spacing w:val="-1"/>
        </w:rPr>
        <w:t>(other</w:t>
      </w:r>
      <w:r>
        <w:rPr>
          <w:spacing w:val="28"/>
        </w:rPr>
        <w:t xml:space="preserve"> </w:t>
      </w:r>
      <w:r>
        <w:rPr>
          <w:spacing w:val="-1"/>
        </w:rPr>
        <w:t>than</w:t>
      </w:r>
      <w:r>
        <w:rPr>
          <w:spacing w:val="13"/>
        </w:rPr>
        <w:t xml:space="preserve"> </w:t>
      </w:r>
      <w:r>
        <w:rPr>
          <w:spacing w:val="-1"/>
        </w:rPr>
        <w:t>as</w:t>
      </w:r>
      <w:r>
        <w:rPr>
          <w:spacing w:val="14"/>
        </w:rPr>
        <w:t xml:space="preserve"> </w:t>
      </w:r>
      <w:r>
        <w:rPr>
          <w:spacing w:val="-1"/>
        </w:rPr>
        <w:t>referred</w:t>
      </w:r>
      <w:r>
        <w:rPr>
          <w:spacing w:val="13"/>
        </w:rPr>
        <w:t xml:space="preserve"> </w:t>
      </w:r>
      <w:r>
        <w:t>to</w:t>
      </w:r>
      <w:r>
        <w:rPr>
          <w:spacing w:val="13"/>
        </w:rPr>
        <w:t xml:space="preserve"> </w:t>
      </w:r>
      <w:r>
        <w:rPr>
          <w:spacing w:val="-1"/>
        </w:rPr>
        <w:t>in</w:t>
      </w:r>
      <w:r>
        <w:rPr>
          <w:spacing w:val="14"/>
        </w:rPr>
        <w:t xml:space="preserve"> </w:t>
      </w:r>
      <w:r>
        <w:rPr>
          <w:spacing w:val="-2"/>
        </w:rPr>
        <w:t>Clause</w:t>
      </w:r>
      <w:r>
        <w:rPr>
          <w:spacing w:val="15"/>
        </w:rPr>
        <w:t xml:space="preserve"> </w:t>
      </w:r>
      <w:hyperlink w:anchor="_bookmark123" w:history="1">
        <w:r>
          <w:rPr>
            <w:spacing w:val="-1"/>
          </w:rPr>
          <w:t>22.2.1(b)</w:t>
        </w:r>
      </w:hyperlink>
      <w:r>
        <w:rPr>
          <w:spacing w:val="-1"/>
        </w:rPr>
        <w:t>)</w:t>
      </w:r>
      <w:r>
        <w:rPr>
          <w:spacing w:val="15"/>
        </w:rPr>
        <w:t xml:space="preserve"> </w:t>
      </w:r>
      <w:r>
        <w:rPr>
          <w:spacing w:val="-2"/>
        </w:rPr>
        <w:t>shall</w:t>
      </w:r>
      <w:r>
        <w:rPr>
          <w:spacing w:val="13"/>
        </w:rPr>
        <w:t xml:space="preserve"> </w:t>
      </w:r>
      <w:r>
        <w:rPr>
          <w:spacing w:val="-1"/>
        </w:rPr>
        <w:t>be</w:t>
      </w:r>
      <w:r>
        <w:rPr>
          <w:spacing w:val="14"/>
        </w:rPr>
        <w:t xml:space="preserve"> </w:t>
      </w:r>
      <w:r>
        <w:rPr>
          <w:spacing w:val="-1"/>
        </w:rPr>
        <w:t>implemented</w:t>
      </w:r>
      <w:r>
        <w:rPr>
          <w:spacing w:val="14"/>
        </w:rPr>
        <w:t xml:space="preserve"> </w:t>
      </w:r>
      <w:r>
        <w:rPr>
          <w:spacing w:val="-1"/>
        </w:rPr>
        <w:t>in</w:t>
      </w:r>
      <w:r>
        <w:rPr>
          <w:spacing w:val="51"/>
        </w:rPr>
        <w:t xml:space="preserve"> </w:t>
      </w:r>
      <w:r>
        <w:rPr>
          <w:spacing w:val="-1"/>
        </w:rPr>
        <w:t>accordance</w:t>
      </w:r>
      <w:r>
        <w:rPr>
          <w:spacing w:val="-2"/>
        </w:rPr>
        <w:t xml:space="preserve"> with</w:t>
      </w:r>
      <w:r>
        <w:t xml:space="preserve"> the </w:t>
      </w:r>
      <w:r>
        <w:rPr>
          <w:spacing w:val="-1"/>
        </w:rPr>
        <w:t>Variation</w:t>
      </w:r>
      <w:r>
        <w:t xml:space="preserve"> </w:t>
      </w:r>
      <w:r>
        <w:rPr>
          <w:spacing w:val="-1"/>
        </w:rPr>
        <w:t>Procedure.</w:t>
      </w:r>
    </w:p>
    <w:p w:rsidR="008918FA" w:rsidRDefault="008918FA" w:rsidP="008918FA">
      <w:pPr>
        <w:spacing w:before="3"/>
        <w:rPr>
          <w:rFonts w:ascii="Arial" w:eastAsia="Arial" w:hAnsi="Arial" w:cs="Arial"/>
          <w:sz w:val="14"/>
          <w:szCs w:val="14"/>
        </w:rPr>
      </w:pPr>
    </w:p>
    <w:p w:rsidR="008918FA" w:rsidRDefault="008918FA" w:rsidP="008918FA">
      <w:pPr>
        <w:pStyle w:val="Heading1"/>
        <w:tabs>
          <w:tab w:val="left" w:pos="686"/>
        </w:tabs>
        <w:spacing w:before="73"/>
        <w:ind w:left="119" w:firstLine="0"/>
        <w:rPr>
          <w:b w:val="0"/>
          <w:bCs w:val="0"/>
        </w:rPr>
      </w:pPr>
      <w:bookmarkStart w:id="142" w:name="_bookmark124"/>
      <w:bookmarkEnd w:id="142"/>
      <w:r>
        <w:rPr>
          <w:color w:val="C00000"/>
          <w:spacing w:val="-1"/>
        </w:rPr>
        <w:t>E.</w:t>
      </w:r>
      <w:r>
        <w:rPr>
          <w:color w:val="C00000"/>
          <w:spacing w:val="-1"/>
        </w:rPr>
        <w:tab/>
      </w:r>
      <w:r w:rsidRPr="001C1527">
        <w:rPr>
          <w:color w:val="C00000"/>
          <w:spacing w:val="-2"/>
          <w:u w:val="single"/>
        </w:rPr>
        <w:t>PAYMENT,</w:t>
      </w:r>
      <w:r w:rsidRPr="001C1527">
        <w:rPr>
          <w:color w:val="C00000"/>
          <w:spacing w:val="2"/>
          <w:u w:val="single"/>
        </w:rPr>
        <w:t xml:space="preserve"> </w:t>
      </w:r>
      <w:r w:rsidRPr="001C1527">
        <w:rPr>
          <w:color w:val="C00000"/>
          <w:spacing w:val="-1"/>
          <w:u w:val="single"/>
        </w:rPr>
        <w:t>TAXATION</w:t>
      </w:r>
      <w:r w:rsidRPr="001C1527">
        <w:rPr>
          <w:color w:val="C00000"/>
          <w:u w:val="single"/>
        </w:rPr>
        <w:t xml:space="preserve"> </w:t>
      </w:r>
      <w:r w:rsidRPr="001C1527">
        <w:rPr>
          <w:color w:val="C00000"/>
          <w:spacing w:val="-2"/>
          <w:u w:val="single"/>
        </w:rPr>
        <w:t>AND</w:t>
      </w:r>
      <w:r w:rsidRPr="001C1527">
        <w:rPr>
          <w:color w:val="C00000"/>
          <w:u w:val="single"/>
        </w:rPr>
        <w:t xml:space="preserve"> </w:t>
      </w:r>
      <w:r w:rsidRPr="001C1527">
        <w:rPr>
          <w:color w:val="C00000"/>
          <w:spacing w:val="-1"/>
          <w:u w:val="single"/>
        </w:rPr>
        <w:t>VALUE</w:t>
      </w:r>
      <w:r w:rsidRPr="001C1527">
        <w:rPr>
          <w:color w:val="C00000"/>
          <w:u w:val="single"/>
        </w:rPr>
        <w:t xml:space="preserve"> FOR </w:t>
      </w:r>
      <w:r w:rsidRPr="001C1527">
        <w:rPr>
          <w:color w:val="C00000"/>
          <w:spacing w:val="-2"/>
          <w:u w:val="single"/>
        </w:rPr>
        <w:t>MONEY</w:t>
      </w:r>
      <w:r w:rsidRPr="001C1527">
        <w:rPr>
          <w:color w:val="C00000"/>
          <w:u w:val="single"/>
        </w:rPr>
        <w:t xml:space="preserve"> </w:t>
      </w:r>
      <w:r w:rsidRPr="001C1527">
        <w:rPr>
          <w:color w:val="C00000"/>
          <w:spacing w:val="-1"/>
          <w:u w:val="single"/>
        </w:rPr>
        <w:t>PROVI</w:t>
      </w:r>
      <w:bookmarkStart w:id="143" w:name="E._UPAYMENT,_TAXATION_AND_VALUE_FOR_MONE"/>
      <w:bookmarkEnd w:id="143"/>
      <w:r w:rsidRPr="001C1527">
        <w:rPr>
          <w:color w:val="C00000"/>
          <w:spacing w:val="-1"/>
          <w:u w:val="single"/>
        </w:rPr>
        <w:t>SIONS</w:t>
      </w:r>
    </w:p>
    <w:p w:rsidR="008918FA" w:rsidRDefault="008918FA" w:rsidP="008918FA">
      <w:pPr>
        <w:spacing w:before="6"/>
        <w:rPr>
          <w:rFonts w:ascii="Arial" w:eastAsia="Arial" w:hAnsi="Arial" w:cs="Arial"/>
          <w:b/>
          <w:bCs/>
          <w:sz w:val="14"/>
          <w:szCs w:val="14"/>
        </w:rPr>
      </w:pPr>
    </w:p>
    <w:p w:rsidR="008918FA" w:rsidRDefault="008918FA" w:rsidP="008918FA">
      <w:pPr>
        <w:pStyle w:val="BodyText"/>
        <w:numPr>
          <w:ilvl w:val="0"/>
          <w:numId w:val="66"/>
        </w:numPr>
        <w:tabs>
          <w:tab w:val="left" w:pos="686"/>
        </w:tabs>
        <w:spacing w:before="72"/>
        <w:ind w:left="685" w:hanging="566"/>
        <w:rPr>
          <w:rFonts w:ascii="Times New Roman" w:eastAsia="Times New Roman" w:hAnsi="Times New Roman" w:cs="Times New Roman"/>
        </w:rPr>
      </w:pPr>
      <w:bookmarkStart w:id="144" w:name="_bookmark125"/>
      <w:bookmarkEnd w:id="144"/>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5"/>
        </w:rPr>
        <w:t>CONTRACT</w:t>
      </w:r>
      <w:r>
        <w:rPr>
          <w:rFonts w:ascii="Times New Roman"/>
          <w:spacing w:val="4"/>
        </w:rPr>
        <w:t xml:space="preserve"> </w:t>
      </w:r>
      <w:r>
        <w:rPr>
          <w:rFonts w:ascii="Times New Roman"/>
          <w:spacing w:val="6"/>
        </w:rPr>
        <w:t>CHARGES</w:t>
      </w:r>
      <w:r>
        <w:rPr>
          <w:rFonts w:ascii="Times New Roman"/>
          <w:spacing w:val="33"/>
        </w:rPr>
        <w:t xml:space="preserve"> </w:t>
      </w:r>
      <w:r>
        <w:rPr>
          <w:rFonts w:ascii="Times New Roman"/>
          <w:spacing w:val="-3"/>
        </w:rPr>
        <w:t>AND</w:t>
      </w:r>
      <w:r>
        <w:rPr>
          <w:rFonts w:ascii="Times New Roman"/>
          <w:spacing w:val="6"/>
        </w:rPr>
        <w:t xml:space="preserve"> </w:t>
      </w:r>
      <w:r>
        <w:rPr>
          <w:rFonts w:ascii="Times New Roman"/>
        </w:rPr>
        <w:t>P</w:t>
      </w:r>
      <w:r>
        <w:rPr>
          <w:rFonts w:ascii="Times New Roman"/>
          <w:spacing w:val="-27"/>
        </w:rPr>
        <w:t xml:space="preserve"> </w:t>
      </w:r>
      <w:r>
        <w:rPr>
          <w:rFonts w:ascii="Times New Roman"/>
          <w:spacing w:val="-4"/>
        </w:rPr>
        <w:t>AYMENT</w:t>
      </w:r>
    </w:p>
    <w:p w:rsidR="008918FA" w:rsidRDefault="008918FA" w:rsidP="008918FA">
      <w:pPr>
        <w:spacing w:before="8"/>
        <w:rPr>
          <w:rFonts w:ascii="Times New Roman" w:eastAsia="Times New Roman" w:hAnsi="Times New Roman" w:cs="Times New Roman"/>
          <w:sz w:val="14"/>
          <w:szCs w:val="14"/>
        </w:rPr>
      </w:pPr>
    </w:p>
    <w:p w:rsidR="008918FA" w:rsidRDefault="008918FA" w:rsidP="008918FA">
      <w:pPr>
        <w:pStyle w:val="Heading1"/>
        <w:numPr>
          <w:ilvl w:val="1"/>
          <w:numId w:val="66"/>
        </w:numPr>
        <w:tabs>
          <w:tab w:val="left" w:pos="1253"/>
        </w:tabs>
        <w:spacing w:before="72"/>
        <w:ind w:left="1252" w:hanging="564"/>
        <w:rPr>
          <w:b w:val="0"/>
          <w:bCs w:val="0"/>
        </w:rPr>
      </w:pPr>
      <w:r>
        <w:rPr>
          <w:spacing w:val="-1"/>
        </w:rPr>
        <w:t>Call</w:t>
      </w:r>
      <w:r>
        <w:t xml:space="preserve"> </w:t>
      </w:r>
      <w:r>
        <w:rPr>
          <w:spacing w:val="-1"/>
        </w:rPr>
        <w:t>Off Contract</w:t>
      </w:r>
      <w:r>
        <w:rPr>
          <w:spacing w:val="2"/>
        </w:rPr>
        <w:t xml:space="preserve"> </w:t>
      </w:r>
      <w:r>
        <w:rPr>
          <w:spacing w:val="-2"/>
        </w:rPr>
        <w:t>Charges</w:t>
      </w:r>
    </w:p>
    <w:p w:rsidR="008918FA" w:rsidRDefault="008918FA" w:rsidP="008918FA">
      <w:pPr>
        <w:pStyle w:val="BodyText"/>
        <w:numPr>
          <w:ilvl w:val="2"/>
          <w:numId w:val="66"/>
        </w:numPr>
        <w:tabs>
          <w:tab w:val="left" w:pos="2247"/>
        </w:tabs>
        <w:spacing w:before="121"/>
        <w:ind w:left="2246" w:right="112"/>
        <w:jc w:val="both"/>
      </w:pPr>
      <w:r>
        <w:t>In</w:t>
      </w:r>
      <w:r>
        <w:rPr>
          <w:spacing w:val="24"/>
        </w:rPr>
        <w:t xml:space="preserve"> </w:t>
      </w:r>
      <w:r>
        <w:rPr>
          <w:spacing w:val="-1"/>
        </w:rPr>
        <w:t>consideration</w:t>
      </w:r>
      <w:r>
        <w:rPr>
          <w:spacing w:val="24"/>
        </w:rPr>
        <w:t xml:space="preserve"> </w:t>
      </w:r>
      <w:r>
        <w:rPr>
          <w:spacing w:val="-2"/>
        </w:rPr>
        <w:t>of</w:t>
      </w:r>
      <w:r>
        <w:rPr>
          <w:spacing w:val="26"/>
        </w:rPr>
        <w:t xml:space="preserve"> </w:t>
      </w:r>
      <w:r>
        <w:t>the</w:t>
      </w:r>
      <w:r>
        <w:rPr>
          <w:spacing w:val="24"/>
        </w:rPr>
        <w:t xml:space="preserve"> </w:t>
      </w:r>
      <w:r>
        <w:rPr>
          <w:spacing w:val="-2"/>
        </w:rPr>
        <w:t>Supplier</w:t>
      </w:r>
      <w:r>
        <w:rPr>
          <w:spacing w:val="27"/>
        </w:rPr>
        <w:t xml:space="preserve"> </w:t>
      </w:r>
      <w:r>
        <w:rPr>
          <w:spacing w:val="-1"/>
        </w:rPr>
        <w:t>carrying</w:t>
      </w:r>
      <w:r>
        <w:rPr>
          <w:spacing w:val="27"/>
        </w:rPr>
        <w:t xml:space="preserve"> </w:t>
      </w:r>
      <w:r>
        <w:rPr>
          <w:spacing w:val="-1"/>
        </w:rPr>
        <w:t>out</w:t>
      </w:r>
      <w:r>
        <w:rPr>
          <w:spacing w:val="26"/>
        </w:rPr>
        <w:t xml:space="preserve"> </w:t>
      </w:r>
      <w:r>
        <w:rPr>
          <w:spacing w:val="-1"/>
        </w:rPr>
        <w:t>its</w:t>
      </w:r>
      <w:r>
        <w:rPr>
          <w:spacing w:val="22"/>
        </w:rPr>
        <w:t xml:space="preserve"> </w:t>
      </w:r>
      <w:bookmarkStart w:id="145" w:name="23._CALL_OFF_CONTRACT_CHARGES_AND_PAYMEN"/>
      <w:bookmarkEnd w:id="145"/>
      <w:r>
        <w:rPr>
          <w:spacing w:val="-1"/>
        </w:rPr>
        <w:t>obligations</w:t>
      </w:r>
      <w:r>
        <w:rPr>
          <w:spacing w:val="25"/>
        </w:rPr>
        <w:t xml:space="preserve"> </w:t>
      </w:r>
      <w:r>
        <w:rPr>
          <w:spacing w:val="-1"/>
        </w:rPr>
        <w:t>under</w:t>
      </w:r>
      <w:r>
        <w:rPr>
          <w:spacing w:val="26"/>
        </w:rPr>
        <w:t xml:space="preserve"> </w:t>
      </w:r>
      <w:r>
        <w:rPr>
          <w:spacing w:val="-1"/>
        </w:rPr>
        <w:t>this</w:t>
      </w:r>
      <w:r>
        <w:rPr>
          <w:spacing w:val="41"/>
        </w:rPr>
        <w:t xml:space="preserve"> </w:t>
      </w:r>
      <w:r>
        <w:rPr>
          <w:spacing w:val="-2"/>
        </w:rPr>
        <w:t>Call</w:t>
      </w:r>
      <w:r>
        <w:rPr>
          <w:spacing w:val="2"/>
        </w:rPr>
        <w:t xml:space="preserve"> </w:t>
      </w:r>
      <w:r>
        <w:rPr>
          <w:spacing w:val="-1"/>
        </w:rPr>
        <w:t>Off</w:t>
      </w:r>
      <w:r>
        <w:rPr>
          <w:spacing w:val="4"/>
        </w:rPr>
        <w:t xml:space="preserve"> </w:t>
      </w:r>
      <w:r>
        <w:rPr>
          <w:spacing w:val="-2"/>
        </w:rPr>
        <w:t>Contract,</w:t>
      </w:r>
      <w:r>
        <w:rPr>
          <w:spacing w:val="5"/>
        </w:rPr>
        <w:t xml:space="preserve"> </w:t>
      </w:r>
      <w:r>
        <w:rPr>
          <w:spacing w:val="-2"/>
        </w:rPr>
        <w:t>including</w:t>
      </w:r>
      <w:r>
        <w:rPr>
          <w:spacing w:val="3"/>
        </w:rPr>
        <w:t xml:space="preserve"> </w:t>
      </w:r>
      <w:r>
        <w:t>the</w:t>
      </w:r>
      <w:r>
        <w:rPr>
          <w:spacing w:val="3"/>
        </w:rPr>
        <w:t xml:space="preserve"> </w:t>
      </w:r>
      <w:r>
        <w:rPr>
          <w:spacing w:val="-2"/>
        </w:rPr>
        <w:t>provision</w:t>
      </w:r>
      <w:r>
        <w:rPr>
          <w:spacing w:val="3"/>
        </w:rPr>
        <w:t xml:space="preserve"> </w:t>
      </w:r>
      <w:r>
        <w:rPr>
          <w:spacing w:val="-2"/>
        </w:rPr>
        <w:t>of</w:t>
      </w:r>
      <w:r>
        <w:rPr>
          <w:spacing w:val="4"/>
        </w:rPr>
        <w:t xml:space="preserve"> </w:t>
      </w:r>
      <w:r>
        <w:t xml:space="preserve">the </w:t>
      </w:r>
      <w:r>
        <w:rPr>
          <w:spacing w:val="-1"/>
        </w:rPr>
        <w:t>Goods</w:t>
      </w:r>
      <w:r>
        <w:rPr>
          <w:spacing w:val="3"/>
        </w:rPr>
        <w:t xml:space="preserve"> </w:t>
      </w:r>
      <w:r>
        <w:rPr>
          <w:spacing w:val="-1"/>
        </w:rPr>
        <w:t>and/or</w:t>
      </w:r>
      <w:r>
        <w:rPr>
          <w:spacing w:val="4"/>
        </w:rPr>
        <w:t xml:space="preserve"> </w:t>
      </w:r>
      <w:r>
        <w:rPr>
          <w:spacing w:val="-1"/>
        </w:rPr>
        <w:t>Services,</w:t>
      </w:r>
      <w:r>
        <w:rPr>
          <w:spacing w:val="65"/>
        </w:rPr>
        <w:t xml:space="preserve"> </w:t>
      </w:r>
      <w:r>
        <w:t>the</w:t>
      </w:r>
      <w:r>
        <w:rPr>
          <w:spacing w:val="34"/>
        </w:rPr>
        <w:t xml:space="preserve"> </w:t>
      </w:r>
      <w:r>
        <w:rPr>
          <w:spacing w:val="-1"/>
        </w:rPr>
        <w:t>Customer</w:t>
      </w:r>
      <w:r>
        <w:rPr>
          <w:spacing w:val="35"/>
        </w:rPr>
        <w:t xml:space="preserve"> </w:t>
      </w:r>
      <w:r>
        <w:rPr>
          <w:spacing w:val="-1"/>
        </w:rPr>
        <w:t>shall</w:t>
      </w:r>
      <w:r>
        <w:rPr>
          <w:spacing w:val="33"/>
        </w:rPr>
        <w:t xml:space="preserve"> </w:t>
      </w:r>
      <w:r>
        <w:rPr>
          <w:spacing w:val="-1"/>
        </w:rPr>
        <w:t>pay</w:t>
      </w:r>
      <w:r>
        <w:rPr>
          <w:spacing w:val="34"/>
        </w:rPr>
        <w:t xml:space="preserve"> </w:t>
      </w:r>
      <w:r>
        <w:t>the</w:t>
      </w:r>
      <w:r>
        <w:rPr>
          <w:spacing w:val="34"/>
        </w:rPr>
        <w:t xml:space="preserve"> </w:t>
      </w:r>
      <w:r>
        <w:rPr>
          <w:spacing w:val="-1"/>
        </w:rPr>
        <w:t>undisputed</w:t>
      </w:r>
      <w:r>
        <w:rPr>
          <w:spacing w:val="34"/>
        </w:rPr>
        <w:t xml:space="preserve"> </w:t>
      </w:r>
      <w:r>
        <w:rPr>
          <w:spacing w:val="-2"/>
        </w:rPr>
        <w:t>Call</w:t>
      </w:r>
      <w:r>
        <w:rPr>
          <w:spacing w:val="34"/>
        </w:rPr>
        <w:t xml:space="preserve"> </w:t>
      </w:r>
      <w:r>
        <w:t>Off</w:t>
      </w:r>
      <w:r>
        <w:rPr>
          <w:spacing w:val="33"/>
        </w:rPr>
        <w:t xml:space="preserve"> </w:t>
      </w:r>
      <w:r>
        <w:rPr>
          <w:spacing w:val="-1"/>
        </w:rPr>
        <w:t>Contract</w:t>
      </w:r>
      <w:r>
        <w:rPr>
          <w:spacing w:val="35"/>
        </w:rPr>
        <w:t xml:space="preserve"> </w:t>
      </w:r>
      <w:r>
        <w:rPr>
          <w:spacing w:val="-1"/>
        </w:rPr>
        <w:t>Charges</w:t>
      </w:r>
      <w:r>
        <w:rPr>
          <w:spacing w:val="34"/>
        </w:rPr>
        <w:t xml:space="preserve"> </w:t>
      </w:r>
      <w:r>
        <w:rPr>
          <w:spacing w:val="-1"/>
        </w:rPr>
        <w:t>in</w:t>
      </w:r>
      <w:r>
        <w:rPr>
          <w:spacing w:val="29"/>
        </w:rPr>
        <w:t xml:space="preserve"> </w:t>
      </w:r>
      <w:r>
        <w:rPr>
          <w:spacing w:val="-1"/>
        </w:rPr>
        <w:t>accordance</w:t>
      </w:r>
      <w:r>
        <w:rPr>
          <w:spacing w:val="61"/>
        </w:rPr>
        <w:t xml:space="preserve"> </w:t>
      </w:r>
      <w:r>
        <w:rPr>
          <w:spacing w:val="-2"/>
        </w:rPr>
        <w:t>with</w:t>
      </w:r>
      <w:r>
        <w:t xml:space="preserve"> the</w:t>
      </w:r>
      <w:r>
        <w:rPr>
          <w:spacing w:val="60"/>
        </w:rPr>
        <w:t xml:space="preserve"> </w:t>
      </w:r>
      <w:r>
        <w:rPr>
          <w:spacing w:val="-2"/>
        </w:rPr>
        <w:t>pricing</w:t>
      </w:r>
      <w:r>
        <w:rPr>
          <w:spacing w:val="2"/>
        </w:rPr>
        <w:t xml:space="preserve"> </w:t>
      </w:r>
      <w:r>
        <w:rPr>
          <w:spacing w:val="-1"/>
        </w:rPr>
        <w:t>and</w:t>
      </w:r>
      <w:r>
        <w:rPr>
          <w:spacing w:val="60"/>
        </w:rPr>
        <w:t xml:space="preserve"> </w:t>
      </w:r>
      <w:r>
        <w:rPr>
          <w:spacing w:val="-1"/>
        </w:rPr>
        <w:t>payment</w:t>
      </w:r>
      <w:r>
        <w:rPr>
          <w:spacing w:val="1"/>
        </w:rPr>
        <w:t xml:space="preserve"> </w:t>
      </w:r>
      <w:r>
        <w:rPr>
          <w:spacing w:val="-2"/>
        </w:rPr>
        <w:t>profile</w:t>
      </w:r>
      <w:r>
        <w:rPr>
          <w:spacing w:val="60"/>
        </w:rPr>
        <w:t xml:space="preserve"> </w:t>
      </w:r>
      <w:r>
        <w:rPr>
          <w:spacing w:val="-1"/>
        </w:rPr>
        <w:t>and</w:t>
      </w:r>
      <w:r>
        <w:rPr>
          <w:spacing w:val="60"/>
        </w:rPr>
        <w:t xml:space="preserve"> </w:t>
      </w:r>
      <w:r>
        <w:t>the</w:t>
      </w:r>
      <w:r>
        <w:rPr>
          <w:spacing w:val="60"/>
        </w:rPr>
        <w:t xml:space="preserve"> </w:t>
      </w:r>
      <w:r>
        <w:rPr>
          <w:spacing w:val="-2"/>
        </w:rPr>
        <w:t>invoicing</w:t>
      </w:r>
      <w:r>
        <w:rPr>
          <w:spacing w:val="48"/>
        </w:rPr>
        <w:t xml:space="preserve"> </w:t>
      </w:r>
      <w:r>
        <w:rPr>
          <w:spacing w:val="-1"/>
        </w:rPr>
        <w:t>procedure</w:t>
      </w:r>
      <w:r>
        <w:rPr>
          <w:spacing w:val="7"/>
        </w:rPr>
        <w:t xml:space="preserve"> </w:t>
      </w:r>
      <w:r>
        <w:rPr>
          <w:spacing w:val="-1"/>
        </w:rPr>
        <w:t>in</w:t>
      </w:r>
      <w:r>
        <w:rPr>
          <w:spacing w:val="11"/>
        </w:rPr>
        <w:t xml:space="preserve"> </w:t>
      </w:r>
      <w:r>
        <w:rPr>
          <w:spacing w:val="-2"/>
        </w:rPr>
        <w:t>Call</w:t>
      </w:r>
      <w:r>
        <w:rPr>
          <w:spacing w:val="9"/>
        </w:rPr>
        <w:t xml:space="preserve"> </w:t>
      </w:r>
      <w:r>
        <w:rPr>
          <w:spacing w:val="-1"/>
        </w:rPr>
        <w:t>Off</w:t>
      </w:r>
      <w:r>
        <w:rPr>
          <w:spacing w:val="11"/>
        </w:rPr>
        <w:t xml:space="preserve"> </w:t>
      </w:r>
      <w:r>
        <w:rPr>
          <w:spacing w:val="-2"/>
        </w:rPr>
        <w:t>Schedule</w:t>
      </w:r>
      <w:r>
        <w:rPr>
          <w:spacing w:val="10"/>
        </w:rPr>
        <w:t xml:space="preserve"> </w:t>
      </w:r>
      <w:r>
        <w:t>3</w:t>
      </w:r>
      <w:r>
        <w:rPr>
          <w:spacing w:val="10"/>
        </w:rPr>
        <w:t xml:space="preserve"> </w:t>
      </w:r>
      <w:r>
        <w:rPr>
          <w:spacing w:val="-1"/>
        </w:rPr>
        <w:t>(Call</w:t>
      </w:r>
      <w:r>
        <w:rPr>
          <w:spacing w:val="9"/>
        </w:rPr>
        <w:t xml:space="preserve"> </w:t>
      </w:r>
      <w:r>
        <w:rPr>
          <w:spacing w:val="-1"/>
        </w:rPr>
        <w:t>Off</w:t>
      </w:r>
      <w:r>
        <w:rPr>
          <w:spacing w:val="11"/>
        </w:rPr>
        <w:t xml:space="preserve"> </w:t>
      </w:r>
      <w:r>
        <w:rPr>
          <w:spacing w:val="-2"/>
        </w:rPr>
        <w:t>Contract</w:t>
      </w:r>
      <w:r>
        <w:rPr>
          <w:spacing w:val="12"/>
        </w:rPr>
        <w:t xml:space="preserve"> </w:t>
      </w:r>
      <w:r>
        <w:rPr>
          <w:spacing w:val="-1"/>
        </w:rPr>
        <w:t>Charges,</w:t>
      </w:r>
      <w:r>
        <w:rPr>
          <w:spacing w:val="12"/>
        </w:rPr>
        <w:t xml:space="preserve"> </w:t>
      </w:r>
      <w:r>
        <w:rPr>
          <w:spacing w:val="-2"/>
        </w:rPr>
        <w:t>Payment</w:t>
      </w:r>
      <w:r>
        <w:rPr>
          <w:spacing w:val="59"/>
        </w:rPr>
        <w:t xml:space="preserve"> </w:t>
      </w:r>
      <w:r>
        <w:rPr>
          <w:spacing w:val="-1"/>
        </w:rPr>
        <w:t>and</w:t>
      </w:r>
      <w:r>
        <w:t xml:space="preserve"> </w:t>
      </w:r>
      <w:r>
        <w:rPr>
          <w:spacing w:val="-1"/>
        </w:rPr>
        <w:t>Invoicing).</w:t>
      </w:r>
    </w:p>
    <w:p w:rsidR="008918FA" w:rsidRDefault="008918FA" w:rsidP="008918FA">
      <w:pPr>
        <w:pStyle w:val="BodyText"/>
        <w:numPr>
          <w:ilvl w:val="2"/>
          <w:numId w:val="66"/>
        </w:numPr>
        <w:tabs>
          <w:tab w:val="left" w:pos="2247"/>
        </w:tabs>
        <w:spacing w:before="121"/>
        <w:ind w:left="2246" w:right="112"/>
        <w:jc w:val="both"/>
      </w:pPr>
      <w:r>
        <w:rPr>
          <w:spacing w:val="-1"/>
        </w:rPr>
        <w:t>Except</w:t>
      </w:r>
      <w:r>
        <w:rPr>
          <w:spacing w:val="2"/>
        </w:rPr>
        <w:t xml:space="preserve"> </w:t>
      </w:r>
      <w:r>
        <w:rPr>
          <w:spacing w:val="-1"/>
        </w:rPr>
        <w:t>as</w:t>
      </w:r>
      <w:r>
        <w:rPr>
          <w:spacing w:val="1"/>
        </w:rPr>
        <w:t xml:space="preserve"> </w:t>
      </w:r>
      <w:r>
        <w:rPr>
          <w:spacing w:val="-2"/>
        </w:rPr>
        <w:t>otherwise</w:t>
      </w:r>
      <w:r>
        <w:rPr>
          <w:spacing w:val="1"/>
        </w:rPr>
        <w:t xml:space="preserve"> </w:t>
      </w:r>
      <w:r>
        <w:rPr>
          <w:spacing w:val="-2"/>
        </w:rPr>
        <w:t>provided,</w:t>
      </w:r>
      <w:r>
        <w:rPr>
          <w:spacing w:val="2"/>
        </w:rPr>
        <w:t xml:space="preserve"> </w:t>
      </w:r>
      <w:r>
        <w:rPr>
          <w:spacing w:val="-1"/>
        </w:rPr>
        <w:t>each</w:t>
      </w:r>
      <w:r>
        <w:rPr>
          <w:spacing w:val="1"/>
        </w:rPr>
        <w:t xml:space="preserve"> </w:t>
      </w:r>
      <w:r>
        <w:rPr>
          <w:spacing w:val="-1"/>
        </w:rPr>
        <w:t>Party</w:t>
      </w:r>
      <w:r>
        <w:rPr>
          <w:spacing w:val="-2"/>
        </w:rPr>
        <w:t xml:space="preserve"> </w:t>
      </w:r>
      <w:r>
        <w:rPr>
          <w:spacing w:val="-1"/>
        </w:rPr>
        <w:t>shall</w:t>
      </w:r>
      <w:r>
        <w:t xml:space="preserve"> </w:t>
      </w:r>
      <w:r>
        <w:rPr>
          <w:spacing w:val="-2"/>
        </w:rPr>
        <w:t>each</w:t>
      </w:r>
      <w:r>
        <w:rPr>
          <w:spacing w:val="1"/>
        </w:rPr>
        <w:t xml:space="preserve"> </w:t>
      </w:r>
      <w:r>
        <w:rPr>
          <w:spacing w:val="-1"/>
        </w:rPr>
        <w:t>bear its</w:t>
      </w:r>
      <w:r>
        <w:rPr>
          <w:spacing w:val="1"/>
        </w:rPr>
        <w:t xml:space="preserve"> </w:t>
      </w:r>
      <w:r>
        <w:rPr>
          <w:spacing w:val="-2"/>
        </w:rPr>
        <w:t>own</w:t>
      </w:r>
      <w:r>
        <w:t xml:space="preserve"> </w:t>
      </w:r>
      <w:r>
        <w:rPr>
          <w:spacing w:val="-1"/>
        </w:rPr>
        <w:t>costs</w:t>
      </w:r>
      <w:r>
        <w:rPr>
          <w:spacing w:val="63"/>
        </w:rPr>
        <w:t xml:space="preserve"> </w:t>
      </w:r>
      <w:r>
        <w:rPr>
          <w:spacing w:val="-1"/>
        </w:rPr>
        <w:t>and</w:t>
      </w:r>
      <w:r>
        <w:rPr>
          <w:spacing w:val="46"/>
        </w:rPr>
        <w:t xml:space="preserve"> </w:t>
      </w:r>
      <w:r>
        <w:rPr>
          <w:spacing w:val="-1"/>
        </w:rPr>
        <w:t>expenses</w:t>
      </w:r>
      <w:r>
        <w:rPr>
          <w:spacing w:val="46"/>
        </w:rPr>
        <w:t xml:space="preserve"> </w:t>
      </w:r>
      <w:r>
        <w:rPr>
          <w:spacing w:val="-1"/>
        </w:rPr>
        <w:t>incurred</w:t>
      </w:r>
      <w:r>
        <w:rPr>
          <w:spacing w:val="43"/>
        </w:rPr>
        <w:t xml:space="preserve"> </w:t>
      </w:r>
      <w:r>
        <w:rPr>
          <w:spacing w:val="-1"/>
        </w:rPr>
        <w:t>in</w:t>
      </w:r>
      <w:r>
        <w:rPr>
          <w:spacing w:val="46"/>
        </w:rPr>
        <w:t xml:space="preserve"> </w:t>
      </w:r>
      <w:r>
        <w:rPr>
          <w:spacing w:val="-1"/>
        </w:rPr>
        <w:t>respect</w:t>
      </w:r>
      <w:r>
        <w:rPr>
          <w:spacing w:val="48"/>
        </w:rPr>
        <w:t xml:space="preserve"> </w:t>
      </w:r>
      <w:r>
        <w:rPr>
          <w:spacing w:val="-2"/>
        </w:rPr>
        <w:t>of</w:t>
      </w:r>
      <w:r>
        <w:rPr>
          <w:spacing w:val="47"/>
        </w:rPr>
        <w:t xml:space="preserve"> </w:t>
      </w:r>
      <w:r>
        <w:rPr>
          <w:spacing w:val="-2"/>
        </w:rPr>
        <w:t>compliance</w:t>
      </w:r>
      <w:r>
        <w:rPr>
          <w:spacing w:val="47"/>
        </w:rPr>
        <w:t xml:space="preserve"> </w:t>
      </w:r>
      <w:r>
        <w:rPr>
          <w:spacing w:val="-2"/>
        </w:rPr>
        <w:t>with</w:t>
      </w:r>
      <w:r>
        <w:rPr>
          <w:spacing w:val="46"/>
        </w:rPr>
        <w:t xml:space="preserve"> </w:t>
      </w:r>
      <w:r>
        <w:rPr>
          <w:spacing w:val="-1"/>
        </w:rPr>
        <w:t>its</w:t>
      </w:r>
      <w:r>
        <w:rPr>
          <w:spacing w:val="46"/>
        </w:rPr>
        <w:t xml:space="preserve"> </w:t>
      </w:r>
      <w:r>
        <w:rPr>
          <w:spacing w:val="-1"/>
        </w:rPr>
        <w:t>obligations</w:t>
      </w:r>
      <w:r>
        <w:rPr>
          <w:spacing w:val="46"/>
        </w:rPr>
        <w:t xml:space="preserve"> </w:t>
      </w:r>
      <w:r>
        <w:rPr>
          <w:spacing w:val="-1"/>
        </w:rPr>
        <w:t>under</w:t>
      </w:r>
      <w:r>
        <w:rPr>
          <w:spacing w:val="59"/>
        </w:rPr>
        <w:t xml:space="preserve"> </w:t>
      </w:r>
      <w:r>
        <w:rPr>
          <w:spacing w:val="-1"/>
        </w:rPr>
        <w:t>Clauses</w:t>
      </w:r>
      <w:r>
        <w:rPr>
          <w:spacing w:val="59"/>
        </w:rPr>
        <w:t xml:space="preserve"> </w:t>
      </w:r>
      <w:hyperlink w:anchor="_bookmark93" w:history="1">
        <w:r>
          <w:rPr>
            <w:spacing w:val="-1"/>
          </w:rPr>
          <w:t>12</w:t>
        </w:r>
      </w:hyperlink>
      <w:r>
        <w:rPr>
          <w:spacing w:val="58"/>
        </w:rPr>
        <w:t xml:space="preserve"> </w:t>
      </w:r>
      <w:r>
        <w:rPr>
          <w:spacing w:val="-1"/>
        </w:rPr>
        <w:t>(Testing),</w:t>
      </w:r>
      <w:r>
        <w:rPr>
          <w:spacing w:val="59"/>
        </w:rPr>
        <w:t xml:space="preserve"> </w:t>
      </w:r>
      <w:hyperlink w:anchor="_bookmark115" w:history="1">
        <w:r>
          <w:rPr>
            <w:spacing w:val="-1"/>
          </w:rPr>
          <w:t>21</w:t>
        </w:r>
      </w:hyperlink>
      <w:r>
        <w:rPr>
          <w:spacing w:val="55"/>
        </w:rPr>
        <w:t xml:space="preserve"> </w:t>
      </w:r>
      <w:r>
        <w:rPr>
          <w:spacing w:val="-1"/>
        </w:rPr>
        <w:t>(Records,</w:t>
      </w:r>
      <w:r>
        <w:rPr>
          <w:spacing w:val="60"/>
        </w:rPr>
        <w:t xml:space="preserve"> </w:t>
      </w:r>
      <w:r>
        <w:rPr>
          <w:spacing w:val="-2"/>
        </w:rPr>
        <w:t>Audit</w:t>
      </w:r>
      <w:r>
        <w:rPr>
          <w:spacing w:val="60"/>
        </w:rPr>
        <w:t xml:space="preserve"> </w:t>
      </w:r>
      <w:r>
        <w:rPr>
          <w:spacing w:val="-1"/>
        </w:rPr>
        <w:t>Access</w:t>
      </w:r>
      <w:r>
        <w:rPr>
          <w:spacing w:val="59"/>
        </w:rPr>
        <w:t xml:space="preserve"> </w:t>
      </w:r>
      <w:r>
        <w:rPr>
          <w:spacing w:val="-1"/>
        </w:rPr>
        <w:t>and</w:t>
      </w:r>
      <w:r>
        <w:rPr>
          <w:spacing w:val="55"/>
        </w:rPr>
        <w:t xml:space="preserve"> </w:t>
      </w:r>
      <w:r>
        <w:rPr>
          <w:spacing w:val="-1"/>
        </w:rPr>
        <w:t>Open</w:t>
      </w:r>
      <w:r>
        <w:rPr>
          <w:spacing w:val="30"/>
        </w:rPr>
        <w:t xml:space="preserve"> </w:t>
      </w:r>
      <w:r>
        <w:rPr>
          <w:spacing w:val="-1"/>
        </w:rPr>
        <w:t>Book</w:t>
      </w:r>
      <w:r>
        <w:rPr>
          <w:spacing w:val="47"/>
        </w:rPr>
        <w:t xml:space="preserve"> </w:t>
      </w:r>
      <w:r>
        <w:rPr>
          <w:spacing w:val="-1"/>
        </w:rPr>
        <w:t>Data),</w:t>
      </w:r>
      <w:r>
        <w:rPr>
          <w:spacing w:val="46"/>
        </w:rPr>
        <w:t xml:space="preserve"> </w:t>
      </w:r>
      <w:hyperlink w:anchor="_bookmark191" w:history="1">
        <w:r>
          <w:rPr>
            <w:spacing w:val="-1"/>
          </w:rPr>
          <w:t>34.5</w:t>
        </w:r>
      </w:hyperlink>
      <w:r>
        <w:rPr>
          <w:spacing w:val="45"/>
        </w:rPr>
        <w:t xml:space="preserve"> </w:t>
      </w:r>
      <w:r>
        <w:rPr>
          <w:spacing w:val="-1"/>
        </w:rPr>
        <w:t>(Freedom</w:t>
      </w:r>
      <w:r>
        <w:rPr>
          <w:spacing w:val="46"/>
        </w:rPr>
        <w:t xml:space="preserve"> </w:t>
      </w:r>
      <w:r>
        <w:rPr>
          <w:spacing w:val="-2"/>
        </w:rPr>
        <w:t>of</w:t>
      </w:r>
      <w:r>
        <w:rPr>
          <w:spacing w:val="48"/>
        </w:rPr>
        <w:t xml:space="preserve"> </w:t>
      </w:r>
      <w:r>
        <w:rPr>
          <w:spacing w:val="-1"/>
        </w:rPr>
        <w:t>Information),</w:t>
      </w:r>
      <w:r>
        <w:rPr>
          <w:spacing w:val="44"/>
        </w:rPr>
        <w:t xml:space="preserve"> </w:t>
      </w:r>
      <w:hyperlink w:anchor="_bookmark192" w:history="1">
        <w:r>
          <w:rPr>
            <w:spacing w:val="-1"/>
          </w:rPr>
          <w:t>34.6</w:t>
        </w:r>
      </w:hyperlink>
      <w:r>
        <w:rPr>
          <w:spacing w:val="46"/>
        </w:rPr>
        <w:t xml:space="preserve"> </w:t>
      </w:r>
      <w:r>
        <w:rPr>
          <w:spacing w:val="-1"/>
        </w:rPr>
        <w:t>(Protection</w:t>
      </w:r>
      <w:r>
        <w:rPr>
          <w:spacing w:val="42"/>
        </w:rPr>
        <w:t xml:space="preserve"> </w:t>
      </w:r>
      <w:r>
        <w:rPr>
          <w:spacing w:val="-2"/>
        </w:rPr>
        <w:t>of</w:t>
      </w:r>
      <w:r>
        <w:rPr>
          <w:spacing w:val="33"/>
        </w:rPr>
        <w:t xml:space="preserve"> </w:t>
      </w:r>
      <w:r>
        <w:rPr>
          <w:spacing w:val="-1"/>
        </w:rPr>
        <w:t>Personal</w:t>
      </w:r>
      <w:r>
        <w:t xml:space="preserve"> </w:t>
      </w:r>
      <w:r>
        <w:rPr>
          <w:spacing w:val="-1"/>
        </w:rPr>
        <w:t>Data).</w:t>
      </w:r>
    </w:p>
    <w:p w:rsidR="008918FA" w:rsidRDefault="008918FA" w:rsidP="008918FA">
      <w:pPr>
        <w:pStyle w:val="BodyText"/>
        <w:numPr>
          <w:ilvl w:val="2"/>
          <w:numId w:val="66"/>
        </w:numPr>
        <w:tabs>
          <w:tab w:val="left" w:pos="2247"/>
        </w:tabs>
        <w:spacing w:before="121"/>
        <w:ind w:left="2246" w:right="114"/>
        <w:jc w:val="both"/>
      </w:pPr>
      <w:r>
        <w:rPr>
          <w:spacing w:val="-1"/>
        </w:rPr>
        <w:t>If</w:t>
      </w:r>
      <w:r>
        <w:rPr>
          <w:spacing w:val="16"/>
        </w:rPr>
        <w:t xml:space="preserve"> </w:t>
      </w:r>
      <w:r>
        <w:t>the</w:t>
      </w:r>
      <w:r>
        <w:rPr>
          <w:spacing w:val="15"/>
        </w:rPr>
        <w:t xml:space="preserve"> </w:t>
      </w:r>
      <w:r>
        <w:rPr>
          <w:spacing w:val="-1"/>
        </w:rPr>
        <w:t>Customer</w:t>
      </w:r>
      <w:r>
        <w:rPr>
          <w:spacing w:val="14"/>
        </w:rPr>
        <w:t xml:space="preserve"> </w:t>
      </w:r>
      <w:r>
        <w:rPr>
          <w:spacing w:val="-1"/>
        </w:rPr>
        <w:t>fails</w:t>
      </w:r>
      <w:r>
        <w:rPr>
          <w:spacing w:val="15"/>
        </w:rPr>
        <w:t xml:space="preserve"> </w:t>
      </w:r>
      <w:r>
        <w:t>to</w:t>
      </w:r>
      <w:r>
        <w:rPr>
          <w:spacing w:val="12"/>
        </w:rPr>
        <w:t xml:space="preserve"> </w:t>
      </w:r>
      <w:r>
        <w:rPr>
          <w:spacing w:val="-1"/>
        </w:rPr>
        <w:t>pay</w:t>
      </w:r>
      <w:r>
        <w:rPr>
          <w:spacing w:val="13"/>
        </w:rPr>
        <w:t xml:space="preserve"> </w:t>
      </w:r>
      <w:r>
        <w:t>any</w:t>
      </w:r>
      <w:r>
        <w:rPr>
          <w:spacing w:val="13"/>
        </w:rPr>
        <w:t xml:space="preserve"> </w:t>
      </w:r>
      <w:r>
        <w:rPr>
          <w:spacing w:val="-1"/>
        </w:rPr>
        <w:t>undisputed</w:t>
      </w:r>
      <w:r>
        <w:rPr>
          <w:spacing w:val="15"/>
        </w:rPr>
        <w:t xml:space="preserve"> </w:t>
      </w:r>
      <w:r>
        <w:rPr>
          <w:spacing w:val="-2"/>
        </w:rPr>
        <w:t>Call</w:t>
      </w:r>
      <w:r>
        <w:rPr>
          <w:spacing w:val="17"/>
        </w:rPr>
        <w:t xml:space="preserve"> </w:t>
      </w:r>
      <w:r>
        <w:rPr>
          <w:spacing w:val="-1"/>
        </w:rPr>
        <w:t>Off</w:t>
      </w:r>
      <w:r>
        <w:rPr>
          <w:spacing w:val="16"/>
        </w:rPr>
        <w:t xml:space="preserve"> </w:t>
      </w:r>
      <w:r>
        <w:rPr>
          <w:spacing w:val="-1"/>
        </w:rPr>
        <w:t>Contract</w:t>
      </w:r>
      <w:r>
        <w:rPr>
          <w:spacing w:val="17"/>
        </w:rPr>
        <w:t xml:space="preserve"> </w:t>
      </w:r>
      <w:r>
        <w:rPr>
          <w:spacing w:val="-2"/>
        </w:rPr>
        <w:t>Charges</w:t>
      </w:r>
      <w:r>
        <w:rPr>
          <w:spacing w:val="38"/>
        </w:rPr>
        <w:t xml:space="preserve"> </w:t>
      </w:r>
      <w:r>
        <w:rPr>
          <w:spacing w:val="-1"/>
        </w:rPr>
        <w:t>properly</w:t>
      </w:r>
      <w:r>
        <w:rPr>
          <w:spacing w:val="18"/>
        </w:rPr>
        <w:t xml:space="preserve"> </w:t>
      </w:r>
      <w:r>
        <w:rPr>
          <w:spacing w:val="-2"/>
        </w:rPr>
        <w:t>invoiced</w:t>
      </w:r>
      <w:r>
        <w:rPr>
          <w:spacing w:val="20"/>
        </w:rPr>
        <w:t xml:space="preserve"> </w:t>
      </w:r>
      <w:r>
        <w:rPr>
          <w:spacing w:val="-1"/>
        </w:rPr>
        <w:t>under</w:t>
      </w:r>
      <w:r>
        <w:rPr>
          <w:spacing w:val="21"/>
        </w:rPr>
        <w:t xml:space="preserve"> </w:t>
      </w:r>
      <w:r>
        <w:rPr>
          <w:spacing w:val="-1"/>
        </w:rPr>
        <w:t>this</w:t>
      </w:r>
      <w:r>
        <w:rPr>
          <w:spacing w:val="21"/>
        </w:rPr>
        <w:t xml:space="preserve"> </w:t>
      </w:r>
      <w:r>
        <w:rPr>
          <w:spacing w:val="-2"/>
        </w:rPr>
        <w:t>Call</w:t>
      </w:r>
      <w:r>
        <w:rPr>
          <w:spacing w:val="19"/>
        </w:rPr>
        <w:t xml:space="preserve"> </w:t>
      </w:r>
      <w:r>
        <w:rPr>
          <w:spacing w:val="-1"/>
        </w:rPr>
        <w:t>Off</w:t>
      </w:r>
      <w:r>
        <w:rPr>
          <w:spacing w:val="21"/>
        </w:rPr>
        <w:t xml:space="preserve"> </w:t>
      </w:r>
      <w:r>
        <w:rPr>
          <w:spacing w:val="-1"/>
        </w:rPr>
        <w:t>Contract,</w:t>
      </w:r>
      <w:r>
        <w:rPr>
          <w:spacing w:val="19"/>
        </w:rPr>
        <w:t xml:space="preserve"> </w:t>
      </w:r>
      <w:r>
        <w:rPr>
          <w:spacing w:val="-1"/>
        </w:rPr>
        <w:t>the</w:t>
      </w:r>
      <w:r>
        <w:rPr>
          <w:spacing w:val="20"/>
        </w:rPr>
        <w:t xml:space="preserve"> </w:t>
      </w:r>
      <w:r>
        <w:rPr>
          <w:spacing w:val="-2"/>
        </w:rPr>
        <w:t>Supplier</w:t>
      </w:r>
      <w:r>
        <w:rPr>
          <w:spacing w:val="21"/>
        </w:rPr>
        <w:t xml:space="preserve"> </w:t>
      </w:r>
      <w:r>
        <w:rPr>
          <w:spacing w:val="-1"/>
        </w:rPr>
        <w:t>shall</w:t>
      </w:r>
      <w:r>
        <w:rPr>
          <w:spacing w:val="19"/>
        </w:rPr>
        <w:t xml:space="preserve"> </w:t>
      </w:r>
      <w:r>
        <w:rPr>
          <w:spacing w:val="-2"/>
        </w:rPr>
        <w:t>have</w:t>
      </w:r>
      <w:r>
        <w:rPr>
          <w:spacing w:val="57"/>
        </w:rPr>
        <w:t xml:space="preserve"> </w:t>
      </w:r>
      <w:r>
        <w:t>the</w:t>
      </w:r>
      <w:r>
        <w:rPr>
          <w:spacing w:val="34"/>
        </w:rPr>
        <w:t xml:space="preserve"> </w:t>
      </w:r>
      <w:r>
        <w:rPr>
          <w:spacing w:val="-1"/>
        </w:rPr>
        <w:t>right</w:t>
      </w:r>
      <w:r>
        <w:rPr>
          <w:spacing w:val="33"/>
        </w:rPr>
        <w:t xml:space="preserve"> </w:t>
      </w:r>
      <w:r>
        <w:t>to</w:t>
      </w:r>
      <w:r>
        <w:rPr>
          <w:spacing w:val="34"/>
        </w:rPr>
        <w:t xml:space="preserve"> </w:t>
      </w:r>
      <w:r>
        <w:rPr>
          <w:spacing w:val="-1"/>
        </w:rPr>
        <w:t>charge</w:t>
      </w:r>
      <w:r>
        <w:rPr>
          <w:spacing w:val="34"/>
        </w:rPr>
        <w:t xml:space="preserve"> </w:t>
      </w:r>
      <w:r>
        <w:rPr>
          <w:spacing w:val="-2"/>
        </w:rPr>
        <w:t>interest</w:t>
      </w:r>
      <w:r>
        <w:rPr>
          <w:spacing w:val="36"/>
        </w:rPr>
        <w:t xml:space="preserve"> </w:t>
      </w:r>
      <w:r>
        <w:rPr>
          <w:spacing w:val="-1"/>
        </w:rPr>
        <w:t>on</w:t>
      </w:r>
      <w:r>
        <w:rPr>
          <w:spacing w:val="31"/>
        </w:rPr>
        <w:t xml:space="preserve"> </w:t>
      </w:r>
      <w:r>
        <w:t>the</w:t>
      </w:r>
      <w:r>
        <w:rPr>
          <w:spacing w:val="35"/>
        </w:rPr>
        <w:t xml:space="preserve"> </w:t>
      </w:r>
      <w:r>
        <w:rPr>
          <w:spacing w:val="-1"/>
        </w:rPr>
        <w:t>overdue</w:t>
      </w:r>
      <w:r>
        <w:rPr>
          <w:spacing w:val="34"/>
        </w:rPr>
        <w:t xml:space="preserve"> </w:t>
      </w:r>
      <w:r>
        <w:rPr>
          <w:spacing w:val="-1"/>
        </w:rPr>
        <w:t>amount</w:t>
      </w:r>
      <w:r>
        <w:rPr>
          <w:spacing w:val="35"/>
        </w:rPr>
        <w:t xml:space="preserve"> </w:t>
      </w:r>
      <w:r>
        <w:rPr>
          <w:spacing w:val="-1"/>
        </w:rPr>
        <w:t>at</w:t>
      </w:r>
      <w:r>
        <w:rPr>
          <w:spacing w:val="33"/>
        </w:rPr>
        <w:t xml:space="preserve"> </w:t>
      </w:r>
      <w:r>
        <w:t>the</w:t>
      </w:r>
      <w:r>
        <w:rPr>
          <w:spacing w:val="34"/>
        </w:rPr>
        <w:t xml:space="preserve"> </w:t>
      </w:r>
      <w:r>
        <w:rPr>
          <w:spacing w:val="-2"/>
        </w:rPr>
        <w:t>applicable</w:t>
      </w:r>
      <w:r>
        <w:rPr>
          <w:spacing w:val="47"/>
        </w:rPr>
        <w:t xml:space="preserve"> </w:t>
      </w:r>
      <w:r>
        <w:t>rate</w:t>
      </w:r>
      <w:r>
        <w:rPr>
          <w:spacing w:val="7"/>
        </w:rPr>
        <w:t xml:space="preserve"> </w:t>
      </w:r>
      <w:r>
        <w:rPr>
          <w:spacing w:val="-1"/>
        </w:rPr>
        <w:t>under</w:t>
      </w:r>
      <w:r>
        <w:rPr>
          <w:spacing w:val="6"/>
        </w:rPr>
        <w:t xml:space="preserve"> </w:t>
      </w:r>
      <w:r>
        <w:t>the</w:t>
      </w:r>
      <w:r>
        <w:rPr>
          <w:spacing w:val="7"/>
        </w:rPr>
        <w:t xml:space="preserve"> </w:t>
      </w:r>
      <w:r>
        <w:rPr>
          <w:spacing w:val="-1"/>
        </w:rPr>
        <w:t>Late</w:t>
      </w:r>
      <w:r>
        <w:rPr>
          <w:spacing w:val="7"/>
        </w:rPr>
        <w:t xml:space="preserve"> </w:t>
      </w:r>
      <w:r>
        <w:rPr>
          <w:spacing w:val="-1"/>
        </w:rPr>
        <w:t>Payment</w:t>
      </w:r>
      <w:r>
        <w:rPr>
          <w:spacing w:val="9"/>
        </w:rPr>
        <w:t xml:space="preserve"> </w:t>
      </w:r>
      <w:r>
        <w:rPr>
          <w:spacing w:val="-2"/>
        </w:rPr>
        <w:t>of</w:t>
      </w:r>
      <w:r>
        <w:rPr>
          <w:spacing w:val="9"/>
        </w:rPr>
        <w:t xml:space="preserve"> </w:t>
      </w:r>
      <w:r>
        <w:rPr>
          <w:spacing w:val="-1"/>
        </w:rPr>
        <w:t>Commercial</w:t>
      </w:r>
      <w:r>
        <w:rPr>
          <w:spacing w:val="7"/>
        </w:rPr>
        <w:t xml:space="preserve"> </w:t>
      </w:r>
      <w:r>
        <w:rPr>
          <w:spacing w:val="-1"/>
        </w:rPr>
        <w:t>Debts</w:t>
      </w:r>
      <w:r>
        <w:rPr>
          <w:spacing w:val="8"/>
        </w:rPr>
        <w:t xml:space="preserve"> </w:t>
      </w:r>
      <w:r>
        <w:rPr>
          <w:spacing w:val="-1"/>
        </w:rPr>
        <w:t>(Interest)</w:t>
      </w:r>
      <w:r>
        <w:rPr>
          <w:spacing w:val="9"/>
        </w:rPr>
        <w:t xml:space="preserve"> </w:t>
      </w:r>
      <w:r>
        <w:rPr>
          <w:spacing w:val="-1"/>
        </w:rPr>
        <w:t>Act</w:t>
      </w:r>
      <w:r>
        <w:rPr>
          <w:spacing w:val="9"/>
        </w:rPr>
        <w:t xml:space="preserve"> </w:t>
      </w:r>
      <w:r>
        <w:rPr>
          <w:spacing w:val="-2"/>
        </w:rPr>
        <w:t>1998,</w:t>
      </w:r>
      <w:r>
        <w:rPr>
          <w:spacing w:val="33"/>
        </w:rPr>
        <w:t xml:space="preserve"> </w:t>
      </w:r>
      <w:r>
        <w:rPr>
          <w:spacing w:val="-1"/>
        </w:rPr>
        <w:t>accruing</w:t>
      </w:r>
      <w:r>
        <w:rPr>
          <w:spacing w:val="31"/>
        </w:rPr>
        <w:t xml:space="preserve"> </w:t>
      </w:r>
      <w:r>
        <w:rPr>
          <w:spacing w:val="-1"/>
        </w:rPr>
        <w:t>on</w:t>
      </w:r>
      <w:r>
        <w:rPr>
          <w:spacing w:val="29"/>
        </w:rPr>
        <w:t xml:space="preserve"> </w:t>
      </w:r>
      <w:r>
        <w:t>a</w:t>
      </w:r>
      <w:r>
        <w:rPr>
          <w:spacing w:val="29"/>
        </w:rPr>
        <w:t xml:space="preserve"> </w:t>
      </w:r>
      <w:r>
        <w:rPr>
          <w:spacing w:val="-2"/>
        </w:rPr>
        <w:t>daily</w:t>
      </w:r>
      <w:r>
        <w:rPr>
          <w:spacing w:val="27"/>
        </w:rPr>
        <w:t xml:space="preserve"> </w:t>
      </w:r>
      <w:r>
        <w:rPr>
          <w:spacing w:val="-1"/>
        </w:rPr>
        <w:t>basis</w:t>
      </w:r>
      <w:r>
        <w:rPr>
          <w:spacing w:val="30"/>
        </w:rPr>
        <w:t xml:space="preserve"> </w:t>
      </w:r>
      <w:r>
        <w:rPr>
          <w:spacing w:val="-1"/>
        </w:rPr>
        <w:t>from</w:t>
      </w:r>
      <w:r>
        <w:rPr>
          <w:spacing w:val="30"/>
        </w:rPr>
        <w:t xml:space="preserve"> </w:t>
      </w:r>
      <w:r>
        <w:t>the</w:t>
      </w:r>
      <w:r>
        <w:rPr>
          <w:spacing w:val="29"/>
        </w:rPr>
        <w:t xml:space="preserve"> </w:t>
      </w:r>
      <w:r>
        <w:rPr>
          <w:spacing w:val="-1"/>
        </w:rPr>
        <w:t>due</w:t>
      </w:r>
      <w:r>
        <w:rPr>
          <w:spacing w:val="29"/>
        </w:rPr>
        <w:t xml:space="preserve"> </w:t>
      </w:r>
      <w:r>
        <w:rPr>
          <w:spacing w:val="-1"/>
        </w:rPr>
        <w:t>date</w:t>
      </w:r>
      <w:r>
        <w:rPr>
          <w:spacing w:val="29"/>
        </w:rPr>
        <w:t xml:space="preserve"> </w:t>
      </w:r>
      <w:r>
        <w:rPr>
          <w:spacing w:val="-1"/>
        </w:rPr>
        <w:t>up</w:t>
      </w:r>
      <w:r>
        <w:rPr>
          <w:spacing w:val="27"/>
        </w:rPr>
        <w:t xml:space="preserve"> </w:t>
      </w:r>
      <w:r>
        <w:t>to</w:t>
      </w:r>
      <w:r>
        <w:rPr>
          <w:spacing w:val="29"/>
        </w:rPr>
        <w:t xml:space="preserve"> </w:t>
      </w:r>
      <w:r>
        <w:t>the</w:t>
      </w:r>
      <w:r>
        <w:rPr>
          <w:spacing w:val="29"/>
        </w:rPr>
        <w:t xml:space="preserve"> </w:t>
      </w:r>
      <w:r>
        <w:rPr>
          <w:spacing w:val="-1"/>
        </w:rPr>
        <w:t>date</w:t>
      </w:r>
      <w:r>
        <w:rPr>
          <w:spacing w:val="29"/>
        </w:rPr>
        <w:t xml:space="preserve"> </w:t>
      </w:r>
      <w:r>
        <w:rPr>
          <w:spacing w:val="-2"/>
        </w:rPr>
        <w:t>of</w:t>
      </w:r>
      <w:r>
        <w:rPr>
          <w:spacing w:val="33"/>
        </w:rPr>
        <w:t xml:space="preserve"> </w:t>
      </w:r>
      <w:r>
        <w:rPr>
          <w:spacing w:val="-1"/>
        </w:rPr>
        <w:t>actual</w:t>
      </w:r>
      <w:r>
        <w:rPr>
          <w:spacing w:val="44"/>
        </w:rPr>
        <w:t xml:space="preserve"> </w:t>
      </w:r>
      <w:r>
        <w:rPr>
          <w:spacing w:val="-1"/>
        </w:rPr>
        <w:t>payment,</w:t>
      </w:r>
      <w:r>
        <w:rPr>
          <w:spacing w:val="2"/>
        </w:rPr>
        <w:t xml:space="preserve"> </w:t>
      </w:r>
      <w:r>
        <w:rPr>
          <w:spacing w:val="-1"/>
        </w:rPr>
        <w:t>whether before</w:t>
      </w:r>
      <w:r>
        <w:rPr>
          <w:spacing w:val="-2"/>
        </w:rPr>
        <w:t xml:space="preserve"> </w:t>
      </w:r>
      <w:r>
        <w:rPr>
          <w:spacing w:val="-1"/>
        </w:rPr>
        <w:t>or after judgment.</w:t>
      </w:r>
    </w:p>
    <w:p w:rsidR="008918FA" w:rsidRDefault="008918FA" w:rsidP="008918FA">
      <w:pPr>
        <w:pStyle w:val="BodyText"/>
        <w:numPr>
          <w:ilvl w:val="2"/>
          <w:numId w:val="66"/>
        </w:numPr>
        <w:tabs>
          <w:tab w:val="left" w:pos="2247"/>
        </w:tabs>
        <w:ind w:left="2246" w:right="113"/>
        <w:jc w:val="both"/>
      </w:pPr>
      <w:bookmarkStart w:id="146" w:name="_bookmark126"/>
      <w:bookmarkEnd w:id="146"/>
      <w:r>
        <w:rPr>
          <w:spacing w:val="-1"/>
        </w:rPr>
        <w:t>If</w:t>
      </w:r>
      <w:r>
        <w:rPr>
          <w:spacing w:val="14"/>
        </w:rPr>
        <w:t xml:space="preserve"> </w:t>
      </w:r>
      <w:r>
        <w:rPr>
          <w:spacing w:val="-2"/>
        </w:rPr>
        <w:t>at</w:t>
      </w:r>
      <w:r>
        <w:rPr>
          <w:spacing w:val="11"/>
        </w:rPr>
        <w:t xml:space="preserve"> </w:t>
      </w:r>
      <w:r>
        <w:rPr>
          <w:spacing w:val="-1"/>
        </w:rPr>
        <w:t>any</w:t>
      </w:r>
      <w:r>
        <w:rPr>
          <w:spacing w:val="8"/>
        </w:rPr>
        <w:t xml:space="preserve"> </w:t>
      </w:r>
      <w:r>
        <w:rPr>
          <w:spacing w:val="-1"/>
        </w:rPr>
        <w:t>time</w:t>
      </w:r>
      <w:r>
        <w:rPr>
          <w:spacing w:val="7"/>
        </w:rPr>
        <w:t xml:space="preserve"> </w:t>
      </w:r>
      <w:r>
        <w:rPr>
          <w:spacing w:val="-2"/>
        </w:rPr>
        <w:t>during</w:t>
      </w:r>
      <w:r>
        <w:rPr>
          <w:spacing w:val="12"/>
        </w:rPr>
        <w:t xml:space="preserve"> </w:t>
      </w:r>
      <w:r>
        <w:rPr>
          <w:spacing w:val="-1"/>
        </w:rPr>
        <w:t>this</w:t>
      </w:r>
      <w:r>
        <w:rPr>
          <w:spacing w:val="8"/>
        </w:rPr>
        <w:t xml:space="preserve"> </w:t>
      </w:r>
      <w:r>
        <w:rPr>
          <w:spacing w:val="-2"/>
        </w:rPr>
        <w:t>Call</w:t>
      </w:r>
      <w:r>
        <w:rPr>
          <w:spacing w:val="9"/>
        </w:rPr>
        <w:t xml:space="preserve"> </w:t>
      </w:r>
      <w:r>
        <w:rPr>
          <w:spacing w:val="-1"/>
        </w:rPr>
        <w:t>Off</w:t>
      </w:r>
      <w:r>
        <w:rPr>
          <w:spacing w:val="14"/>
        </w:rPr>
        <w:t xml:space="preserve"> </w:t>
      </w:r>
      <w:r>
        <w:rPr>
          <w:spacing w:val="-2"/>
        </w:rPr>
        <w:t>Contract</w:t>
      </w:r>
      <w:r>
        <w:rPr>
          <w:spacing w:val="11"/>
        </w:rPr>
        <w:t xml:space="preserve"> </w:t>
      </w:r>
      <w:r>
        <w:rPr>
          <w:spacing w:val="-2"/>
        </w:rPr>
        <w:t>Period</w:t>
      </w:r>
      <w:r>
        <w:rPr>
          <w:spacing w:val="10"/>
        </w:rPr>
        <w:t xml:space="preserve"> </w:t>
      </w:r>
      <w:r>
        <w:t>the</w:t>
      </w:r>
      <w:r>
        <w:rPr>
          <w:spacing w:val="10"/>
        </w:rPr>
        <w:t xml:space="preserve"> </w:t>
      </w:r>
      <w:r>
        <w:rPr>
          <w:spacing w:val="-2"/>
        </w:rPr>
        <w:t>Supplier</w:t>
      </w:r>
      <w:r>
        <w:rPr>
          <w:spacing w:val="11"/>
        </w:rPr>
        <w:t xml:space="preserve"> </w:t>
      </w:r>
      <w:r>
        <w:rPr>
          <w:spacing w:val="-1"/>
        </w:rPr>
        <w:t>reduces</w:t>
      </w:r>
      <w:r>
        <w:rPr>
          <w:spacing w:val="75"/>
        </w:rPr>
        <w:t xml:space="preserve"> </w:t>
      </w:r>
      <w:r>
        <w:rPr>
          <w:spacing w:val="-1"/>
        </w:rPr>
        <w:t>its</w:t>
      </w:r>
      <w:r>
        <w:rPr>
          <w:spacing w:val="31"/>
        </w:rPr>
        <w:t xml:space="preserve"> </w:t>
      </w:r>
      <w:r>
        <w:rPr>
          <w:spacing w:val="-2"/>
        </w:rPr>
        <w:t>Framework</w:t>
      </w:r>
      <w:r>
        <w:rPr>
          <w:spacing w:val="33"/>
        </w:rPr>
        <w:t xml:space="preserve"> </w:t>
      </w:r>
      <w:r>
        <w:rPr>
          <w:spacing w:val="-1"/>
        </w:rPr>
        <w:t>Prices</w:t>
      </w:r>
      <w:r>
        <w:rPr>
          <w:spacing w:val="28"/>
        </w:rPr>
        <w:t xml:space="preserve"> </w:t>
      </w:r>
      <w:r>
        <w:t>for</w:t>
      </w:r>
      <w:r>
        <w:rPr>
          <w:spacing w:val="32"/>
        </w:rPr>
        <w:t xml:space="preserve"> </w:t>
      </w:r>
      <w:r>
        <w:rPr>
          <w:spacing w:val="-1"/>
        </w:rPr>
        <w:t>any</w:t>
      </w:r>
      <w:r>
        <w:rPr>
          <w:spacing w:val="28"/>
        </w:rPr>
        <w:t xml:space="preserve"> </w:t>
      </w:r>
      <w:r>
        <w:rPr>
          <w:spacing w:val="-1"/>
        </w:rPr>
        <w:t>Goods</w:t>
      </w:r>
      <w:r>
        <w:rPr>
          <w:spacing w:val="31"/>
        </w:rPr>
        <w:t xml:space="preserve"> </w:t>
      </w:r>
      <w:r>
        <w:rPr>
          <w:spacing w:val="-1"/>
        </w:rPr>
        <w:t>and/or</w:t>
      </w:r>
      <w:r>
        <w:rPr>
          <w:spacing w:val="29"/>
        </w:rPr>
        <w:t xml:space="preserve"> </w:t>
      </w:r>
      <w:r>
        <w:rPr>
          <w:spacing w:val="-1"/>
        </w:rPr>
        <w:t>Services</w:t>
      </w:r>
      <w:r>
        <w:rPr>
          <w:spacing w:val="34"/>
        </w:rPr>
        <w:t xml:space="preserve"> </w:t>
      </w:r>
      <w:r>
        <w:rPr>
          <w:spacing w:val="-2"/>
        </w:rPr>
        <w:t>which</w:t>
      </w:r>
      <w:r>
        <w:rPr>
          <w:spacing w:val="31"/>
        </w:rPr>
        <w:t xml:space="preserve"> </w:t>
      </w:r>
      <w:r>
        <w:rPr>
          <w:spacing w:val="-1"/>
        </w:rPr>
        <w:t>are</w:t>
      </w:r>
      <w:r>
        <w:rPr>
          <w:spacing w:val="47"/>
        </w:rPr>
        <w:t xml:space="preserve"> </w:t>
      </w:r>
      <w:r>
        <w:rPr>
          <w:spacing w:val="-2"/>
        </w:rPr>
        <w:t>provided</w:t>
      </w:r>
      <w:r>
        <w:t xml:space="preserve"> </w:t>
      </w:r>
      <w:r>
        <w:rPr>
          <w:spacing w:val="-1"/>
        </w:rPr>
        <w:t>under</w:t>
      </w:r>
      <w:r>
        <w:rPr>
          <w:spacing w:val="2"/>
        </w:rPr>
        <w:t xml:space="preserve"> </w:t>
      </w:r>
      <w:r>
        <w:t xml:space="preserve">the </w:t>
      </w:r>
      <w:r>
        <w:rPr>
          <w:spacing w:val="-2"/>
        </w:rPr>
        <w:t>Framework</w:t>
      </w:r>
      <w:r>
        <w:rPr>
          <w:spacing w:val="3"/>
        </w:rPr>
        <w:t xml:space="preserve"> </w:t>
      </w:r>
      <w:r>
        <w:rPr>
          <w:spacing w:val="-1"/>
        </w:rPr>
        <w:t>Agreement</w:t>
      </w:r>
      <w:r>
        <w:rPr>
          <w:spacing w:val="2"/>
        </w:rPr>
        <w:t xml:space="preserve"> </w:t>
      </w:r>
      <w:r>
        <w:rPr>
          <w:spacing w:val="-2"/>
        </w:rPr>
        <w:t>(whether</w:t>
      </w:r>
      <w:r>
        <w:rPr>
          <w:spacing w:val="2"/>
        </w:rPr>
        <w:t xml:space="preserve"> </w:t>
      </w:r>
      <w:r>
        <w:rPr>
          <w:spacing w:val="-1"/>
        </w:rPr>
        <w:t>or</w:t>
      </w:r>
      <w:r>
        <w:rPr>
          <w:spacing w:val="2"/>
        </w:rPr>
        <w:t xml:space="preserve"> </w:t>
      </w:r>
      <w:r>
        <w:rPr>
          <w:spacing w:val="-1"/>
        </w:rPr>
        <w:t>not</w:t>
      </w:r>
      <w:r>
        <w:rPr>
          <w:spacing w:val="2"/>
        </w:rPr>
        <w:t xml:space="preserve"> </w:t>
      </w:r>
      <w:r>
        <w:rPr>
          <w:spacing w:val="-2"/>
        </w:rPr>
        <w:t>such</w:t>
      </w:r>
      <w:r>
        <w:rPr>
          <w:spacing w:val="1"/>
        </w:rPr>
        <w:t xml:space="preserve"> </w:t>
      </w:r>
      <w:r>
        <w:rPr>
          <w:spacing w:val="-1"/>
        </w:rPr>
        <w:t>Goods</w:t>
      </w:r>
      <w:r>
        <w:rPr>
          <w:spacing w:val="62"/>
        </w:rPr>
        <w:t xml:space="preserve"> </w:t>
      </w:r>
      <w:r>
        <w:rPr>
          <w:spacing w:val="-1"/>
        </w:rPr>
        <w:t>and/or</w:t>
      </w:r>
      <w:r>
        <w:rPr>
          <w:spacing w:val="35"/>
        </w:rPr>
        <w:t xml:space="preserve"> </w:t>
      </w:r>
      <w:r>
        <w:rPr>
          <w:spacing w:val="-2"/>
        </w:rPr>
        <w:t>Services</w:t>
      </w:r>
      <w:r>
        <w:rPr>
          <w:spacing w:val="35"/>
        </w:rPr>
        <w:t xml:space="preserve"> </w:t>
      </w:r>
      <w:r>
        <w:rPr>
          <w:spacing w:val="-1"/>
        </w:rPr>
        <w:t>are</w:t>
      </w:r>
      <w:r>
        <w:rPr>
          <w:spacing w:val="34"/>
        </w:rPr>
        <w:t xml:space="preserve"> </w:t>
      </w:r>
      <w:r>
        <w:rPr>
          <w:spacing w:val="-1"/>
        </w:rPr>
        <w:t>offered</w:t>
      </w:r>
      <w:r>
        <w:rPr>
          <w:spacing w:val="34"/>
        </w:rPr>
        <w:t xml:space="preserve"> </w:t>
      </w:r>
      <w:r>
        <w:rPr>
          <w:spacing w:val="-1"/>
        </w:rPr>
        <w:t>in</w:t>
      </w:r>
      <w:r>
        <w:rPr>
          <w:spacing w:val="34"/>
        </w:rPr>
        <w:t xml:space="preserve"> </w:t>
      </w:r>
      <w:r>
        <w:t>a</w:t>
      </w:r>
      <w:r>
        <w:rPr>
          <w:spacing w:val="34"/>
        </w:rPr>
        <w:t xml:space="preserve"> </w:t>
      </w:r>
      <w:r>
        <w:rPr>
          <w:spacing w:val="-1"/>
        </w:rPr>
        <w:t>catalogue,</w:t>
      </w:r>
      <w:r>
        <w:rPr>
          <w:spacing w:val="34"/>
        </w:rPr>
        <w:t xml:space="preserve"> </w:t>
      </w:r>
      <w:r>
        <w:rPr>
          <w:spacing w:val="-2"/>
        </w:rPr>
        <w:t>if</w:t>
      </w:r>
      <w:r>
        <w:rPr>
          <w:spacing w:val="38"/>
        </w:rPr>
        <w:t xml:space="preserve"> </w:t>
      </w:r>
      <w:r>
        <w:rPr>
          <w:spacing w:val="-2"/>
        </w:rPr>
        <w:t>any,</w:t>
      </w:r>
      <w:r>
        <w:rPr>
          <w:spacing w:val="35"/>
        </w:rPr>
        <w:t xml:space="preserve"> </w:t>
      </w:r>
      <w:r>
        <w:rPr>
          <w:spacing w:val="-1"/>
        </w:rPr>
        <w:t>which</w:t>
      </w:r>
      <w:r>
        <w:rPr>
          <w:spacing w:val="34"/>
        </w:rPr>
        <w:t xml:space="preserve"> </w:t>
      </w:r>
      <w:r>
        <w:rPr>
          <w:spacing w:val="-1"/>
        </w:rPr>
        <w:t>is</w:t>
      </w:r>
      <w:r>
        <w:rPr>
          <w:spacing w:val="34"/>
        </w:rPr>
        <w:t xml:space="preserve"> </w:t>
      </w:r>
      <w:r>
        <w:rPr>
          <w:spacing w:val="-2"/>
        </w:rPr>
        <w:t>provided</w:t>
      </w:r>
      <w:r>
        <w:rPr>
          <w:spacing w:val="54"/>
        </w:rPr>
        <w:t xml:space="preserve"> </w:t>
      </w:r>
      <w:r>
        <w:rPr>
          <w:spacing w:val="-1"/>
        </w:rPr>
        <w:t>under</w:t>
      </w:r>
      <w:r>
        <w:rPr>
          <w:spacing w:val="16"/>
        </w:rPr>
        <w:t xml:space="preserve"> </w:t>
      </w:r>
      <w:r>
        <w:t>the</w:t>
      </w:r>
      <w:r>
        <w:rPr>
          <w:spacing w:val="12"/>
        </w:rPr>
        <w:t xml:space="preserve"> </w:t>
      </w:r>
      <w:r>
        <w:rPr>
          <w:spacing w:val="-2"/>
        </w:rPr>
        <w:t>Framework</w:t>
      </w:r>
      <w:r>
        <w:rPr>
          <w:spacing w:val="15"/>
        </w:rPr>
        <w:t xml:space="preserve"> </w:t>
      </w:r>
      <w:r>
        <w:rPr>
          <w:spacing w:val="-1"/>
        </w:rPr>
        <w:t>Agreement)</w:t>
      </w:r>
      <w:r>
        <w:rPr>
          <w:spacing w:val="14"/>
        </w:rPr>
        <w:t xml:space="preserve"> </w:t>
      </w:r>
      <w:r>
        <w:rPr>
          <w:spacing w:val="-1"/>
        </w:rPr>
        <w:t>in</w:t>
      </w:r>
      <w:r>
        <w:rPr>
          <w:spacing w:val="15"/>
        </w:rPr>
        <w:t xml:space="preserve"> </w:t>
      </w:r>
      <w:r>
        <w:rPr>
          <w:spacing w:val="-2"/>
        </w:rPr>
        <w:t>accordance</w:t>
      </w:r>
      <w:r>
        <w:rPr>
          <w:spacing w:val="15"/>
        </w:rPr>
        <w:t xml:space="preserve"> </w:t>
      </w:r>
      <w:r>
        <w:rPr>
          <w:spacing w:val="-2"/>
        </w:rPr>
        <w:t>with</w:t>
      </w:r>
      <w:r>
        <w:rPr>
          <w:spacing w:val="15"/>
        </w:rPr>
        <w:t xml:space="preserve"> </w:t>
      </w:r>
      <w:r>
        <w:t>the</w:t>
      </w:r>
      <w:r>
        <w:rPr>
          <w:spacing w:val="15"/>
        </w:rPr>
        <w:t xml:space="preserve"> </w:t>
      </w:r>
      <w:r>
        <w:rPr>
          <w:spacing w:val="-1"/>
        </w:rPr>
        <w:t>terms</w:t>
      </w:r>
      <w:r>
        <w:rPr>
          <w:spacing w:val="13"/>
        </w:rPr>
        <w:t xml:space="preserve"> </w:t>
      </w:r>
      <w:r>
        <w:rPr>
          <w:spacing w:val="-2"/>
        </w:rPr>
        <w:t>of</w:t>
      </w:r>
      <w:r>
        <w:rPr>
          <w:spacing w:val="16"/>
        </w:rPr>
        <w:t xml:space="preserve"> </w:t>
      </w:r>
      <w:r>
        <w:rPr>
          <w:spacing w:val="-1"/>
        </w:rPr>
        <w:t>the</w:t>
      </w:r>
    </w:p>
    <w:p w:rsidR="008918FA" w:rsidRDefault="008918FA" w:rsidP="008918FA">
      <w:pPr>
        <w:jc w:val="both"/>
        <w:sectPr w:rsidR="008918FA">
          <w:pgSz w:w="11910" w:h="16840"/>
          <w:pgMar w:top="1480" w:right="1300" w:bottom="1180" w:left="1320" w:header="0" w:footer="967" w:gutter="0"/>
          <w:cols w:space="720"/>
        </w:sectPr>
      </w:pPr>
    </w:p>
    <w:p w:rsidR="008918FA" w:rsidRDefault="008918FA" w:rsidP="008918FA">
      <w:pPr>
        <w:rPr>
          <w:rFonts w:ascii="Arial" w:eastAsia="Arial" w:hAnsi="Arial" w:cs="Arial"/>
        </w:rPr>
      </w:pPr>
    </w:p>
    <w:p w:rsidR="008918FA" w:rsidRDefault="008918FA" w:rsidP="008918FA">
      <w:pPr>
        <w:rPr>
          <w:rFonts w:ascii="Arial" w:eastAsia="Arial" w:hAnsi="Arial" w:cs="Arial"/>
        </w:rPr>
      </w:pPr>
    </w:p>
    <w:p w:rsidR="008918FA" w:rsidRDefault="008918FA" w:rsidP="008918FA">
      <w:pPr>
        <w:rPr>
          <w:rFonts w:ascii="Arial" w:eastAsia="Arial" w:hAnsi="Arial" w:cs="Arial"/>
        </w:rPr>
      </w:pPr>
    </w:p>
    <w:p w:rsidR="008918FA" w:rsidRDefault="008918FA" w:rsidP="008918FA">
      <w:pPr>
        <w:pStyle w:val="Heading1"/>
        <w:numPr>
          <w:ilvl w:val="1"/>
          <w:numId w:val="66"/>
        </w:numPr>
        <w:tabs>
          <w:tab w:val="left" w:pos="893"/>
        </w:tabs>
        <w:spacing w:before="176"/>
        <w:ind w:left="892" w:hanging="564"/>
        <w:rPr>
          <w:b w:val="0"/>
          <w:bCs w:val="0"/>
        </w:rPr>
      </w:pPr>
      <w:bookmarkStart w:id="147" w:name="_bookmark127"/>
      <w:bookmarkEnd w:id="147"/>
      <w:r>
        <w:rPr>
          <w:spacing w:val="-4"/>
        </w:rPr>
        <w:t>VAT</w:t>
      </w:r>
    </w:p>
    <w:p w:rsidR="008918FA" w:rsidRDefault="008918FA" w:rsidP="008918FA">
      <w:pPr>
        <w:pStyle w:val="BodyText"/>
        <w:spacing w:before="59"/>
        <w:ind w:left="328" w:right="116" w:firstLine="0"/>
        <w:jc w:val="both"/>
      </w:pPr>
      <w:r>
        <w:br w:type="column"/>
      </w:r>
      <w:r>
        <w:rPr>
          <w:spacing w:val="-1"/>
        </w:rPr>
        <w:t>Framework</w:t>
      </w:r>
      <w:r>
        <w:rPr>
          <w:spacing w:val="15"/>
        </w:rPr>
        <w:t xml:space="preserve"> </w:t>
      </w:r>
      <w:r>
        <w:rPr>
          <w:spacing w:val="-1"/>
        </w:rPr>
        <w:t>Agreement,</w:t>
      </w:r>
      <w:r>
        <w:rPr>
          <w:spacing w:val="11"/>
        </w:rPr>
        <w:t xml:space="preserve"> </w:t>
      </w:r>
      <w:r>
        <w:rPr>
          <w:spacing w:val="-1"/>
        </w:rPr>
        <w:t>the</w:t>
      </w:r>
      <w:r>
        <w:rPr>
          <w:spacing w:val="12"/>
        </w:rPr>
        <w:t xml:space="preserve"> </w:t>
      </w:r>
      <w:r>
        <w:rPr>
          <w:spacing w:val="-2"/>
        </w:rPr>
        <w:t>Supplier</w:t>
      </w:r>
      <w:r>
        <w:rPr>
          <w:spacing w:val="14"/>
        </w:rPr>
        <w:t xml:space="preserve"> </w:t>
      </w:r>
      <w:r>
        <w:rPr>
          <w:spacing w:val="-1"/>
        </w:rPr>
        <w:t>shall</w:t>
      </w:r>
      <w:r>
        <w:rPr>
          <w:spacing w:val="12"/>
        </w:rPr>
        <w:t xml:space="preserve"> </w:t>
      </w:r>
      <w:r>
        <w:rPr>
          <w:spacing w:val="-1"/>
        </w:rPr>
        <w:t>immediately</w:t>
      </w:r>
      <w:r>
        <w:rPr>
          <w:spacing w:val="10"/>
        </w:rPr>
        <w:t xml:space="preserve"> </w:t>
      </w:r>
      <w:r>
        <w:rPr>
          <w:spacing w:val="-1"/>
        </w:rPr>
        <w:t>reduce</w:t>
      </w:r>
      <w:r>
        <w:rPr>
          <w:spacing w:val="13"/>
        </w:rPr>
        <w:t xml:space="preserve"> </w:t>
      </w:r>
      <w:r>
        <w:t>the</w:t>
      </w:r>
      <w:r>
        <w:rPr>
          <w:spacing w:val="10"/>
        </w:rPr>
        <w:t xml:space="preserve"> </w:t>
      </w:r>
      <w:r>
        <w:rPr>
          <w:spacing w:val="-2"/>
        </w:rPr>
        <w:t>Call</w:t>
      </w:r>
      <w:r>
        <w:rPr>
          <w:spacing w:val="27"/>
        </w:rPr>
        <w:t xml:space="preserve"> </w:t>
      </w:r>
      <w:r>
        <w:rPr>
          <w:spacing w:val="-1"/>
        </w:rPr>
        <w:t>Off</w:t>
      </w:r>
      <w:r>
        <w:rPr>
          <w:spacing w:val="23"/>
        </w:rPr>
        <w:t xml:space="preserve"> </w:t>
      </w:r>
      <w:r>
        <w:rPr>
          <w:spacing w:val="-1"/>
        </w:rPr>
        <w:t>Contract</w:t>
      </w:r>
      <w:r>
        <w:rPr>
          <w:spacing w:val="24"/>
        </w:rPr>
        <w:t xml:space="preserve"> </w:t>
      </w:r>
      <w:r>
        <w:rPr>
          <w:spacing w:val="-1"/>
        </w:rPr>
        <w:t>Charges</w:t>
      </w:r>
      <w:r>
        <w:rPr>
          <w:spacing w:val="20"/>
        </w:rPr>
        <w:t xml:space="preserve"> </w:t>
      </w:r>
      <w:r>
        <w:rPr>
          <w:spacing w:val="-1"/>
        </w:rPr>
        <w:t>for</w:t>
      </w:r>
      <w:r>
        <w:rPr>
          <w:spacing w:val="23"/>
        </w:rPr>
        <w:t xml:space="preserve"> </w:t>
      </w:r>
      <w:r>
        <w:rPr>
          <w:spacing w:val="-1"/>
        </w:rPr>
        <w:t>such</w:t>
      </w:r>
      <w:r>
        <w:rPr>
          <w:spacing w:val="23"/>
        </w:rPr>
        <w:t xml:space="preserve"> </w:t>
      </w:r>
      <w:r>
        <w:rPr>
          <w:spacing w:val="-1"/>
        </w:rPr>
        <w:t>Goods</w:t>
      </w:r>
      <w:r>
        <w:rPr>
          <w:spacing w:val="22"/>
        </w:rPr>
        <w:t xml:space="preserve"> </w:t>
      </w:r>
      <w:r>
        <w:rPr>
          <w:spacing w:val="-1"/>
        </w:rPr>
        <w:t>and/or</w:t>
      </w:r>
      <w:r>
        <w:rPr>
          <w:spacing w:val="23"/>
        </w:rPr>
        <w:t xml:space="preserve"> </w:t>
      </w:r>
      <w:r>
        <w:rPr>
          <w:spacing w:val="-2"/>
        </w:rPr>
        <w:t>Services</w:t>
      </w:r>
      <w:r>
        <w:rPr>
          <w:spacing w:val="23"/>
        </w:rPr>
        <w:t xml:space="preserve"> </w:t>
      </w:r>
      <w:r>
        <w:rPr>
          <w:spacing w:val="-1"/>
        </w:rPr>
        <w:t>under</w:t>
      </w:r>
      <w:r>
        <w:rPr>
          <w:spacing w:val="23"/>
        </w:rPr>
        <w:t xml:space="preserve"> </w:t>
      </w:r>
      <w:r>
        <w:rPr>
          <w:spacing w:val="-1"/>
        </w:rPr>
        <w:t>this</w:t>
      </w:r>
      <w:r>
        <w:rPr>
          <w:spacing w:val="22"/>
        </w:rPr>
        <w:t xml:space="preserve"> </w:t>
      </w:r>
      <w:r>
        <w:rPr>
          <w:spacing w:val="-1"/>
        </w:rPr>
        <w:t>Call</w:t>
      </w:r>
      <w:r>
        <w:rPr>
          <w:spacing w:val="47"/>
        </w:rPr>
        <w:t xml:space="preserve"> </w:t>
      </w:r>
      <w:r>
        <w:rPr>
          <w:spacing w:val="-1"/>
        </w:rPr>
        <w:t>Off</w:t>
      </w:r>
      <w:r>
        <w:rPr>
          <w:spacing w:val="2"/>
        </w:rPr>
        <w:t xml:space="preserve"> </w:t>
      </w:r>
      <w:r>
        <w:rPr>
          <w:spacing w:val="-2"/>
        </w:rPr>
        <w:t>Contract</w:t>
      </w:r>
      <w:r>
        <w:rPr>
          <w:spacing w:val="2"/>
        </w:rPr>
        <w:t xml:space="preserve"> </w:t>
      </w:r>
      <w:r>
        <w:rPr>
          <w:spacing w:val="-1"/>
        </w:rPr>
        <w:t>by</w:t>
      </w:r>
      <w:r>
        <w:rPr>
          <w:spacing w:val="-4"/>
        </w:rPr>
        <w:t xml:space="preserve"> </w:t>
      </w:r>
      <w:r>
        <w:t xml:space="preserve">the </w:t>
      </w:r>
      <w:r>
        <w:rPr>
          <w:spacing w:val="-1"/>
        </w:rPr>
        <w:t>same</w:t>
      </w:r>
      <w:r>
        <w:rPr>
          <w:spacing w:val="-2"/>
        </w:rPr>
        <w:t xml:space="preserve"> </w:t>
      </w:r>
      <w:r>
        <w:rPr>
          <w:spacing w:val="-1"/>
        </w:rPr>
        <w:t>amount.</w:t>
      </w:r>
    </w:p>
    <w:p w:rsidR="008918FA" w:rsidRDefault="008918FA" w:rsidP="008918FA">
      <w:pPr>
        <w:jc w:val="both"/>
        <w:sectPr w:rsidR="008918FA">
          <w:pgSz w:w="11910" w:h="16840"/>
          <w:pgMar w:top="1480" w:right="1300" w:bottom="1180" w:left="1680" w:header="0" w:footer="967" w:gutter="0"/>
          <w:cols w:num="2" w:space="720" w:equalWidth="0">
            <w:col w:w="1325" w:space="233"/>
            <w:col w:w="7372"/>
          </w:cols>
        </w:sectPr>
      </w:pPr>
    </w:p>
    <w:p w:rsidR="008918FA" w:rsidRDefault="008918FA" w:rsidP="008918FA">
      <w:pPr>
        <w:pStyle w:val="BodyText"/>
        <w:numPr>
          <w:ilvl w:val="2"/>
          <w:numId w:val="66"/>
        </w:numPr>
        <w:tabs>
          <w:tab w:val="left" w:pos="1887"/>
        </w:tabs>
        <w:spacing w:before="124"/>
        <w:ind w:left="1886" w:right="115"/>
        <w:jc w:val="both"/>
      </w:pPr>
      <w:bookmarkStart w:id="148" w:name="_bookmark128"/>
      <w:bookmarkEnd w:id="148"/>
      <w:r>
        <w:t xml:space="preserve">The </w:t>
      </w:r>
      <w:r>
        <w:rPr>
          <w:spacing w:val="-2"/>
        </w:rPr>
        <w:t>Call</w:t>
      </w:r>
      <w:r>
        <w:t xml:space="preserve"> Off</w:t>
      </w:r>
      <w:r>
        <w:rPr>
          <w:spacing w:val="4"/>
        </w:rPr>
        <w:t xml:space="preserve"> </w:t>
      </w:r>
      <w:r>
        <w:rPr>
          <w:spacing w:val="-2"/>
        </w:rPr>
        <w:t>Contract</w:t>
      </w:r>
      <w:r>
        <w:rPr>
          <w:spacing w:val="2"/>
        </w:rPr>
        <w:t xml:space="preserve"> </w:t>
      </w:r>
      <w:r>
        <w:rPr>
          <w:spacing w:val="-1"/>
        </w:rPr>
        <w:t>Charges</w:t>
      </w:r>
      <w:r>
        <w:rPr>
          <w:spacing w:val="1"/>
        </w:rPr>
        <w:t xml:space="preserve"> </w:t>
      </w:r>
      <w:r>
        <w:rPr>
          <w:spacing w:val="-1"/>
        </w:rPr>
        <w:t>are</w:t>
      </w:r>
      <w:r>
        <w:t xml:space="preserve"> </w:t>
      </w:r>
      <w:r>
        <w:rPr>
          <w:spacing w:val="-1"/>
        </w:rPr>
        <w:t>stated</w:t>
      </w:r>
      <w:r>
        <w:t xml:space="preserve"> </w:t>
      </w:r>
      <w:r>
        <w:rPr>
          <w:spacing w:val="-2"/>
        </w:rPr>
        <w:t>exclusive</w:t>
      </w:r>
      <w:r>
        <w:rPr>
          <w:spacing w:val="1"/>
        </w:rPr>
        <w:t xml:space="preserve"> </w:t>
      </w:r>
      <w:r>
        <w:rPr>
          <w:spacing w:val="-1"/>
        </w:rPr>
        <w:t>of</w:t>
      </w:r>
      <w:r>
        <w:rPr>
          <w:spacing w:val="4"/>
        </w:rPr>
        <w:t xml:space="preserve"> </w:t>
      </w:r>
      <w:r>
        <w:rPr>
          <w:spacing w:val="-1"/>
        </w:rPr>
        <w:t>VAT,</w:t>
      </w:r>
      <w:r>
        <w:rPr>
          <w:spacing w:val="2"/>
        </w:rPr>
        <w:t xml:space="preserve"> </w:t>
      </w:r>
      <w:r>
        <w:rPr>
          <w:spacing w:val="-2"/>
        </w:rPr>
        <w:t>which</w:t>
      </w:r>
      <w:r>
        <w:rPr>
          <w:spacing w:val="3"/>
        </w:rPr>
        <w:t xml:space="preserve"> </w:t>
      </w:r>
      <w:r>
        <w:rPr>
          <w:spacing w:val="-1"/>
        </w:rPr>
        <w:t>shall</w:t>
      </w:r>
      <w:r>
        <w:rPr>
          <w:spacing w:val="71"/>
        </w:rPr>
        <w:t xml:space="preserve"> </w:t>
      </w:r>
      <w:r>
        <w:rPr>
          <w:spacing w:val="-1"/>
        </w:rPr>
        <w:t>be</w:t>
      </w:r>
      <w:r>
        <w:t xml:space="preserve"> </w:t>
      </w:r>
      <w:r>
        <w:rPr>
          <w:spacing w:val="-1"/>
        </w:rPr>
        <w:t>added</w:t>
      </w:r>
      <w:r>
        <w:t xml:space="preserve"> </w:t>
      </w:r>
      <w:r>
        <w:rPr>
          <w:spacing w:val="-1"/>
        </w:rPr>
        <w:t>at</w:t>
      </w:r>
      <w:r>
        <w:rPr>
          <w:spacing w:val="2"/>
        </w:rPr>
        <w:t xml:space="preserve"> </w:t>
      </w:r>
      <w:r>
        <w:t xml:space="preserve">the </w:t>
      </w:r>
      <w:r>
        <w:rPr>
          <w:spacing w:val="-1"/>
        </w:rPr>
        <w:t>prevailing</w:t>
      </w:r>
      <w:r>
        <w:rPr>
          <w:spacing w:val="3"/>
        </w:rPr>
        <w:t xml:space="preserve"> </w:t>
      </w:r>
      <w:r>
        <w:rPr>
          <w:spacing w:val="-1"/>
        </w:rPr>
        <w:t>rate</w:t>
      </w:r>
      <w:r>
        <w:t xml:space="preserve"> </w:t>
      </w:r>
      <w:r>
        <w:rPr>
          <w:spacing w:val="-1"/>
        </w:rPr>
        <w:t>as</w:t>
      </w:r>
      <w:r>
        <w:rPr>
          <w:spacing w:val="1"/>
        </w:rPr>
        <w:t xml:space="preserve"> </w:t>
      </w:r>
      <w:r>
        <w:rPr>
          <w:spacing w:val="-2"/>
        </w:rPr>
        <w:t>applicable</w:t>
      </w:r>
      <w:r>
        <w:t xml:space="preserve"> </w:t>
      </w:r>
      <w:r>
        <w:rPr>
          <w:spacing w:val="-1"/>
        </w:rPr>
        <w:t>and</w:t>
      </w:r>
      <w:r>
        <w:rPr>
          <w:spacing w:val="3"/>
        </w:rPr>
        <w:t xml:space="preserve"> </w:t>
      </w:r>
      <w:r>
        <w:rPr>
          <w:spacing w:val="-1"/>
        </w:rPr>
        <w:t>paid</w:t>
      </w:r>
      <w:r>
        <w:t xml:space="preserve"> </w:t>
      </w:r>
      <w:r>
        <w:rPr>
          <w:spacing w:val="-1"/>
        </w:rPr>
        <w:t>by</w:t>
      </w:r>
      <w:r>
        <w:rPr>
          <w:spacing w:val="1"/>
        </w:rPr>
        <w:t xml:space="preserve"> </w:t>
      </w:r>
      <w:r>
        <w:t xml:space="preserve">the </w:t>
      </w:r>
      <w:r>
        <w:rPr>
          <w:spacing w:val="-1"/>
        </w:rPr>
        <w:t>Customer</w:t>
      </w:r>
      <w:r>
        <w:rPr>
          <w:spacing w:val="44"/>
        </w:rPr>
        <w:t xml:space="preserve"> </w:t>
      </w:r>
      <w:r>
        <w:rPr>
          <w:spacing w:val="-2"/>
        </w:rPr>
        <w:t>following</w:t>
      </w:r>
      <w:r>
        <w:rPr>
          <w:spacing w:val="3"/>
        </w:rPr>
        <w:t xml:space="preserve"> </w:t>
      </w:r>
      <w:r>
        <w:rPr>
          <w:spacing w:val="-2"/>
        </w:rPr>
        <w:t xml:space="preserve">delivery </w:t>
      </w:r>
      <w:r>
        <w:rPr>
          <w:spacing w:val="-1"/>
        </w:rPr>
        <w:t>of</w:t>
      </w:r>
      <w:r>
        <w:rPr>
          <w:spacing w:val="2"/>
        </w:rPr>
        <w:t xml:space="preserve"> </w:t>
      </w:r>
      <w:r>
        <w:t xml:space="preserve">a </w:t>
      </w:r>
      <w:r>
        <w:rPr>
          <w:spacing w:val="-2"/>
        </w:rPr>
        <w:t>Valid</w:t>
      </w:r>
      <w:r>
        <w:t xml:space="preserve"> </w:t>
      </w:r>
      <w:r>
        <w:rPr>
          <w:spacing w:val="-1"/>
        </w:rPr>
        <w:t>Invoice.</w:t>
      </w:r>
    </w:p>
    <w:p w:rsidR="008918FA" w:rsidRDefault="008918FA" w:rsidP="008918FA">
      <w:pPr>
        <w:pStyle w:val="BodyText"/>
        <w:numPr>
          <w:ilvl w:val="2"/>
          <w:numId w:val="66"/>
        </w:numPr>
        <w:tabs>
          <w:tab w:val="left" w:pos="1887"/>
        </w:tabs>
        <w:spacing w:before="121"/>
        <w:ind w:left="1886" w:right="110"/>
        <w:jc w:val="both"/>
      </w:pPr>
      <w:r>
        <w:t>The</w:t>
      </w:r>
      <w:r>
        <w:rPr>
          <w:spacing w:val="11"/>
        </w:rPr>
        <w:t xml:space="preserve"> </w:t>
      </w:r>
      <w:r>
        <w:rPr>
          <w:spacing w:val="-2"/>
        </w:rPr>
        <w:t>Supplier</w:t>
      </w:r>
      <w:r>
        <w:rPr>
          <w:spacing w:val="10"/>
        </w:rPr>
        <w:t xml:space="preserve"> </w:t>
      </w:r>
      <w:r>
        <w:rPr>
          <w:spacing w:val="-1"/>
        </w:rPr>
        <w:t>shall</w:t>
      </w:r>
      <w:r>
        <w:rPr>
          <w:spacing w:val="11"/>
        </w:rPr>
        <w:t xml:space="preserve"> </w:t>
      </w:r>
      <w:r>
        <w:rPr>
          <w:spacing w:val="-1"/>
        </w:rPr>
        <w:t>indemnify</w:t>
      </w:r>
      <w:r>
        <w:rPr>
          <w:spacing w:val="9"/>
        </w:rPr>
        <w:t xml:space="preserve"> </w:t>
      </w:r>
      <w:r>
        <w:t>the</w:t>
      </w:r>
      <w:r>
        <w:rPr>
          <w:spacing w:val="11"/>
        </w:rPr>
        <w:t xml:space="preserve"> </w:t>
      </w:r>
      <w:r>
        <w:rPr>
          <w:spacing w:val="-2"/>
        </w:rPr>
        <w:t>Customer</w:t>
      </w:r>
      <w:r>
        <w:rPr>
          <w:spacing w:val="10"/>
        </w:rPr>
        <w:t xml:space="preserve"> </w:t>
      </w:r>
      <w:r>
        <w:rPr>
          <w:spacing w:val="-1"/>
        </w:rPr>
        <w:t>on</w:t>
      </w:r>
      <w:r>
        <w:rPr>
          <w:spacing w:val="9"/>
        </w:rPr>
        <w:t xml:space="preserve"> </w:t>
      </w:r>
      <w:r>
        <w:t>a</w:t>
      </w:r>
      <w:r>
        <w:rPr>
          <w:spacing w:val="11"/>
        </w:rPr>
        <w:t xml:space="preserve"> </w:t>
      </w:r>
      <w:r>
        <w:rPr>
          <w:spacing w:val="-1"/>
        </w:rPr>
        <w:t>continuing</w:t>
      </w:r>
      <w:r>
        <w:rPr>
          <w:spacing w:val="14"/>
        </w:rPr>
        <w:t xml:space="preserve"> </w:t>
      </w:r>
      <w:r>
        <w:rPr>
          <w:spacing w:val="-2"/>
        </w:rPr>
        <w:t>basis</w:t>
      </w:r>
      <w:r>
        <w:rPr>
          <w:spacing w:val="47"/>
        </w:rPr>
        <w:t xml:space="preserve"> </w:t>
      </w:r>
      <w:r>
        <w:rPr>
          <w:spacing w:val="-1"/>
        </w:rPr>
        <w:t>against</w:t>
      </w:r>
      <w:r>
        <w:rPr>
          <w:spacing w:val="14"/>
        </w:rPr>
        <w:t xml:space="preserve"> </w:t>
      </w:r>
      <w:r>
        <w:rPr>
          <w:spacing w:val="-1"/>
        </w:rPr>
        <w:t>any</w:t>
      </w:r>
      <w:r>
        <w:rPr>
          <w:spacing w:val="13"/>
        </w:rPr>
        <w:t xml:space="preserve"> </w:t>
      </w:r>
      <w:r>
        <w:rPr>
          <w:spacing w:val="-2"/>
        </w:rPr>
        <w:t>liability,</w:t>
      </w:r>
      <w:r>
        <w:rPr>
          <w:spacing w:val="16"/>
        </w:rPr>
        <w:t xml:space="preserve"> </w:t>
      </w:r>
      <w:r>
        <w:rPr>
          <w:spacing w:val="-1"/>
        </w:rPr>
        <w:t>including</w:t>
      </w:r>
      <w:r>
        <w:rPr>
          <w:spacing w:val="17"/>
        </w:rPr>
        <w:t xml:space="preserve"> </w:t>
      </w:r>
      <w:r>
        <w:rPr>
          <w:spacing w:val="-1"/>
        </w:rPr>
        <w:t>any</w:t>
      </w:r>
      <w:r>
        <w:rPr>
          <w:spacing w:val="13"/>
        </w:rPr>
        <w:t xml:space="preserve"> </w:t>
      </w:r>
      <w:r>
        <w:rPr>
          <w:spacing w:val="-1"/>
        </w:rPr>
        <w:t>interest,</w:t>
      </w:r>
      <w:r>
        <w:rPr>
          <w:spacing w:val="16"/>
        </w:rPr>
        <w:t xml:space="preserve"> </w:t>
      </w:r>
      <w:r>
        <w:rPr>
          <w:spacing w:val="-2"/>
        </w:rPr>
        <w:t>penalties</w:t>
      </w:r>
      <w:r>
        <w:rPr>
          <w:spacing w:val="15"/>
        </w:rPr>
        <w:t xml:space="preserve"> </w:t>
      </w:r>
      <w:r>
        <w:rPr>
          <w:spacing w:val="-1"/>
        </w:rPr>
        <w:t>or</w:t>
      </w:r>
      <w:r>
        <w:rPr>
          <w:spacing w:val="16"/>
        </w:rPr>
        <w:t xml:space="preserve"> </w:t>
      </w:r>
      <w:r>
        <w:rPr>
          <w:spacing w:val="-1"/>
        </w:rPr>
        <w:t>costs</w:t>
      </w:r>
      <w:r>
        <w:rPr>
          <w:spacing w:val="13"/>
        </w:rPr>
        <w:t xml:space="preserve"> </w:t>
      </w:r>
      <w:r>
        <w:rPr>
          <w:spacing w:val="-1"/>
        </w:rPr>
        <w:t>incurred,</w:t>
      </w:r>
      <w:r>
        <w:rPr>
          <w:spacing w:val="59"/>
        </w:rPr>
        <w:t xml:space="preserve"> </w:t>
      </w:r>
      <w:r>
        <w:rPr>
          <w:spacing w:val="-1"/>
        </w:rPr>
        <w:t>which</w:t>
      </w:r>
      <w:r>
        <w:rPr>
          <w:spacing w:val="25"/>
        </w:rPr>
        <w:t xml:space="preserve"> </w:t>
      </w:r>
      <w:r>
        <w:rPr>
          <w:spacing w:val="-1"/>
        </w:rPr>
        <w:t>is</w:t>
      </w:r>
      <w:r>
        <w:rPr>
          <w:spacing w:val="25"/>
        </w:rPr>
        <w:t xml:space="preserve"> </w:t>
      </w:r>
      <w:r>
        <w:rPr>
          <w:spacing w:val="-1"/>
        </w:rPr>
        <w:t>levied,</w:t>
      </w:r>
      <w:r>
        <w:rPr>
          <w:spacing w:val="26"/>
        </w:rPr>
        <w:t xml:space="preserve"> </w:t>
      </w:r>
      <w:r>
        <w:rPr>
          <w:spacing w:val="-1"/>
        </w:rPr>
        <w:t>demanded</w:t>
      </w:r>
      <w:r>
        <w:rPr>
          <w:spacing w:val="24"/>
        </w:rPr>
        <w:t xml:space="preserve"> </w:t>
      </w:r>
      <w:r>
        <w:rPr>
          <w:spacing w:val="-1"/>
        </w:rPr>
        <w:t>or</w:t>
      </w:r>
      <w:r>
        <w:rPr>
          <w:spacing w:val="26"/>
        </w:rPr>
        <w:t xml:space="preserve"> </w:t>
      </w:r>
      <w:r>
        <w:rPr>
          <w:spacing w:val="-1"/>
        </w:rPr>
        <w:t>assessed</w:t>
      </w:r>
      <w:r>
        <w:rPr>
          <w:spacing w:val="24"/>
        </w:rPr>
        <w:t xml:space="preserve"> </w:t>
      </w:r>
      <w:r>
        <w:rPr>
          <w:spacing w:val="-1"/>
        </w:rPr>
        <w:t>on</w:t>
      </w:r>
      <w:r>
        <w:rPr>
          <w:spacing w:val="22"/>
        </w:rPr>
        <w:t xml:space="preserve"> </w:t>
      </w:r>
      <w:r>
        <w:t>the</w:t>
      </w:r>
      <w:r>
        <w:rPr>
          <w:spacing w:val="22"/>
        </w:rPr>
        <w:t xml:space="preserve"> </w:t>
      </w:r>
      <w:r>
        <w:rPr>
          <w:spacing w:val="-1"/>
        </w:rPr>
        <w:t>Customer</w:t>
      </w:r>
      <w:r>
        <w:rPr>
          <w:spacing w:val="26"/>
        </w:rPr>
        <w:t xml:space="preserve"> </w:t>
      </w:r>
      <w:r>
        <w:rPr>
          <w:spacing w:val="-1"/>
        </w:rPr>
        <w:t>at</w:t>
      </w:r>
      <w:r>
        <w:rPr>
          <w:spacing w:val="23"/>
        </w:rPr>
        <w:t xml:space="preserve"> </w:t>
      </w:r>
      <w:r>
        <w:rPr>
          <w:spacing w:val="-1"/>
        </w:rPr>
        <w:t>any</w:t>
      </w:r>
      <w:r>
        <w:rPr>
          <w:spacing w:val="22"/>
        </w:rPr>
        <w:t xml:space="preserve"> </w:t>
      </w:r>
      <w:r>
        <w:rPr>
          <w:spacing w:val="-1"/>
        </w:rPr>
        <w:t>time</w:t>
      </w:r>
      <w:r>
        <w:rPr>
          <w:spacing w:val="30"/>
        </w:rPr>
        <w:t xml:space="preserve"> </w:t>
      </w:r>
      <w:r>
        <w:rPr>
          <w:spacing w:val="-1"/>
        </w:rPr>
        <w:t>(whether</w:t>
      </w:r>
      <w:r>
        <w:rPr>
          <w:spacing w:val="61"/>
        </w:rPr>
        <w:t xml:space="preserve"> </w:t>
      </w:r>
      <w:r>
        <w:rPr>
          <w:spacing w:val="-1"/>
        </w:rPr>
        <w:t>before</w:t>
      </w:r>
      <w:r>
        <w:rPr>
          <w:spacing w:val="60"/>
        </w:rPr>
        <w:t xml:space="preserve"> </w:t>
      </w:r>
      <w:r>
        <w:rPr>
          <w:spacing w:val="-2"/>
        </w:rPr>
        <w:t>or</w:t>
      </w:r>
      <w:r>
        <w:t xml:space="preserve"> </w:t>
      </w:r>
      <w:r>
        <w:rPr>
          <w:spacing w:val="-1"/>
        </w:rPr>
        <w:t>after</w:t>
      </w:r>
      <w:r>
        <w:t xml:space="preserve"> the</w:t>
      </w:r>
      <w:r>
        <w:rPr>
          <w:spacing w:val="58"/>
        </w:rPr>
        <w:t xml:space="preserve"> </w:t>
      </w:r>
      <w:r>
        <w:rPr>
          <w:spacing w:val="-1"/>
        </w:rPr>
        <w:t>making</w:t>
      </w:r>
      <w:r>
        <w:rPr>
          <w:spacing w:val="2"/>
        </w:rPr>
        <w:t xml:space="preserve"> </w:t>
      </w:r>
      <w:r>
        <w:rPr>
          <w:spacing w:val="-2"/>
        </w:rPr>
        <w:t>of</w:t>
      </w:r>
      <w:r>
        <w:rPr>
          <w:spacing w:val="3"/>
        </w:rPr>
        <w:t xml:space="preserve"> </w:t>
      </w:r>
      <w:r>
        <w:t>a</w:t>
      </w:r>
      <w:r>
        <w:rPr>
          <w:spacing w:val="60"/>
        </w:rPr>
        <w:t xml:space="preserve"> </w:t>
      </w:r>
      <w:r>
        <w:rPr>
          <w:spacing w:val="-2"/>
        </w:rPr>
        <w:t>demand</w:t>
      </w:r>
      <w:r>
        <w:rPr>
          <w:spacing w:val="60"/>
        </w:rPr>
        <w:t xml:space="preserve"> </w:t>
      </w:r>
      <w:r>
        <w:rPr>
          <w:spacing w:val="-1"/>
        </w:rPr>
        <w:t>pursuant</w:t>
      </w:r>
      <w:r>
        <w:rPr>
          <w:spacing w:val="59"/>
        </w:rPr>
        <w:t xml:space="preserve"> </w:t>
      </w:r>
      <w:r>
        <w:t>to</w:t>
      </w:r>
      <w:r>
        <w:rPr>
          <w:spacing w:val="61"/>
        </w:rPr>
        <w:t xml:space="preserve"> </w:t>
      </w:r>
      <w:r>
        <w:rPr>
          <w:spacing w:val="-1"/>
        </w:rPr>
        <w:t>the</w:t>
      </w:r>
      <w:r>
        <w:rPr>
          <w:spacing w:val="36"/>
        </w:rPr>
        <w:t xml:space="preserve"> </w:t>
      </w:r>
      <w:r>
        <w:rPr>
          <w:spacing w:val="-1"/>
        </w:rPr>
        <w:t>indemnity</w:t>
      </w:r>
      <w:r>
        <w:rPr>
          <w:spacing w:val="10"/>
        </w:rPr>
        <w:t xml:space="preserve"> </w:t>
      </w:r>
      <w:r>
        <w:rPr>
          <w:spacing w:val="-1"/>
        </w:rPr>
        <w:t>hereunder)</w:t>
      </w:r>
      <w:r>
        <w:rPr>
          <w:spacing w:val="14"/>
        </w:rPr>
        <w:t xml:space="preserve"> </w:t>
      </w:r>
      <w:r>
        <w:rPr>
          <w:spacing w:val="-1"/>
        </w:rPr>
        <w:t>in</w:t>
      </w:r>
      <w:r>
        <w:rPr>
          <w:spacing w:val="12"/>
        </w:rPr>
        <w:t xml:space="preserve"> </w:t>
      </w:r>
      <w:r>
        <w:rPr>
          <w:spacing w:val="-1"/>
        </w:rPr>
        <w:t>respect</w:t>
      </w:r>
      <w:r>
        <w:rPr>
          <w:spacing w:val="14"/>
        </w:rPr>
        <w:t xml:space="preserve"> </w:t>
      </w:r>
      <w:r>
        <w:rPr>
          <w:spacing w:val="-2"/>
        </w:rPr>
        <w:t>of</w:t>
      </w:r>
      <w:r>
        <w:rPr>
          <w:spacing w:val="14"/>
        </w:rPr>
        <w:t xml:space="preserve"> </w:t>
      </w:r>
      <w:r>
        <w:t>the</w:t>
      </w:r>
      <w:r>
        <w:rPr>
          <w:spacing w:val="12"/>
        </w:rPr>
        <w:t xml:space="preserve"> </w:t>
      </w:r>
      <w:r>
        <w:rPr>
          <w:spacing w:val="-1"/>
        </w:rPr>
        <w:t>Supplier's</w:t>
      </w:r>
      <w:r>
        <w:rPr>
          <w:spacing w:val="10"/>
        </w:rPr>
        <w:t xml:space="preserve"> </w:t>
      </w:r>
      <w:r>
        <w:rPr>
          <w:spacing w:val="-1"/>
        </w:rPr>
        <w:t>failure</w:t>
      </w:r>
      <w:r>
        <w:rPr>
          <w:spacing w:val="12"/>
        </w:rPr>
        <w:t xml:space="preserve"> </w:t>
      </w:r>
      <w:r>
        <w:t>to</w:t>
      </w:r>
      <w:r>
        <w:rPr>
          <w:spacing w:val="15"/>
        </w:rPr>
        <w:t xml:space="preserve"> </w:t>
      </w:r>
      <w:r>
        <w:rPr>
          <w:spacing w:val="-1"/>
        </w:rPr>
        <w:t>account</w:t>
      </w:r>
      <w:r>
        <w:rPr>
          <w:spacing w:val="11"/>
        </w:rPr>
        <w:t xml:space="preserve"> </w:t>
      </w:r>
      <w:r>
        <w:t>for</w:t>
      </w:r>
      <w:r>
        <w:rPr>
          <w:spacing w:val="34"/>
        </w:rPr>
        <w:t xml:space="preserve"> </w:t>
      </w:r>
      <w:r>
        <w:rPr>
          <w:spacing w:val="-1"/>
        </w:rPr>
        <w:t xml:space="preserve">or </w:t>
      </w:r>
      <w:r>
        <w:t xml:space="preserve">to </w:t>
      </w:r>
      <w:r>
        <w:rPr>
          <w:spacing w:val="-1"/>
        </w:rPr>
        <w:t>pay</w:t>
      </w:r>
      <w:r>
        <w:rPr>
          <w:spacing w:val="-2"/>
        </w:rPr>
        <w:t xml:space="preserve"> </w:t>
      </w:r>
      <w:r>
        <w:rPr>
          <w:spacing w:val="-1"/>
        </w:rPr>
        <w:t>any</w:t>
      </w:r>
      <w:r>
        <w:rPr>
          <w:spacing w:val="-2"/>
        </w:rPr>
        <w:t xml:space="preserve"> </w:t>
      </w:r>
      <w:r>
        <w:rPr>
          <w:spacing w:val="-1"/>
        </w:rPr>
        <w:t>VAT</w:t>
      </w:r>
      <w:r>
        <w:t xml:space="preserve"> </w:t>
      </w:r>
      <w:r>
        <w:rPr>
          <w:spacing w:val="-1"/>
        </w:rPr>
        <w:t>relating</w:t>
      </w:r>
      <w:r>
        <w:t xml:space="preserve"> to</w:t>
      </w:r>
      <w:r>
        <w:rPr>
          <w:spacing w:val="-2"/>
        </w:rPr>
        <w:t xml:space="preserve"> </w:t>
      </w:r>
      <w:r>
        <w:rPr>
          <w:spacing w:val="-1"/>
        </w:rPr>
        <w:t>payments</w:t>
      </w:r>
      <w:r>
        <w:rPr>
          <w:spacing w:val="-2"/>
        </w:rPr>
        <w:t xml:space="preserve"> </w:t>
      </w:r>
      <w:r>
        <w:rPr>
          <w:spacing w:val="-1"/>
        </w:rPr>
        <w:t>made</w:t>
      </w:r>
      <w:r>
        <w:rPr>
          <w:spacing w:val="-2"/>
        </w:rPr>
        <w:t xml:space="preserve"> </w:t>
      </w:r>
      <w:r>
        <w:t>to</w:t>
      </w:r>
      <w:r>
        <w:rPr>
          <w:spacing w:val="-2"/>
        </w:rPr>
        <w:t xml:space="preserve"> </w:t>
      </w:r>
      <w:r>
        <w:rPr>
          <w:spacing w:val="-1"/>
        </w:rPr>
        <w:t>the</w:t>
      </w:r>
      <w:r>
        <w:t xml:space="preserve"> </w:t>
      </w:r>
      <w:r>
        <w:rPr>
          <w:spacing w:val="-2"/>
        </w:rPr>
        <w:t>Supplier</w:t>
      </w:r>
      <w:r>
        <w:rPr>
          <w:spacing w:val="2"/>
        </w:rPr>
        <w:t xml:space="preserve"> </w:t>
      </w:r>
      <w:r>
        <w:rPr>
          <w:spacing w:val="-1"/>
        </w:rPr>
        <w:t>under this</w:t>
      </w:r>
      <w:r>
        <w:rPr>
          <w:spacing w:val="43"/>
        </w:rPr>
        <w:t xml:space="preserve"> </w:t>
      </w:r>
      <w:r>
        <w:rPr>
          <w:spacing w:val="-2"/>
        </w:rPr>
        <w:t>Call</w:t>
      </w:r>
      <w:r>
        <w:rPr>
          <w:spacing w:val="2"/>
        </w:rPr>
        <w:t xml:space="preserve"> </w:t>
      </w:r>
      <w:r>
        <w:t>Off</w:t>
      </w:r>
      <w:r>
        <w:rPr>
          <w:spacing w:val="6"/>
        </w:rPr>
        <w:t xml:space="preserve"> </w:t>
      </w:r>
      <w:r>
        <w:rPr>
          <w:spacing w:val="-1"/>
        </w:rPr>
        <w:t>Contract.</w:t>
      </w:r>
      <w:r>
        <w:rPr>
          <w:spacing w:val="4"/>
        </w:rPr>
        <w:t xml:space="preserve"> </w:t>
      </w:r>
      <w:r>
        <w:rPr>
          <w:spacing w:val="-1"/>
        </w:rPr>
        <w:t>Any</w:t>
      </w:r>
      <w:r>
        <w:rPr>
          <w:spacing w:val="1"/>
        </w:rPr>
        <w:t xml:space="preserve"> </w:t>
      </w:r>
      <w:r>
        <w:t>amounts</w:t>
      </w:r>
      <w:r>
        <w:rPr>
          <w:spacing w:val="3"/>
        </w:rPr>
        <w:t xml:space="preserve"> </w:t>
      </w:r>
      <w:r>
        <w:rPr>
          <w:spacing w:val="-1"/>
        </w:rPr>
        <w:t>due</w:t>
      </w:r>
      <w:r>
        <w:rPr>
          <w:spacing w:val="3"/>
        </w:rPr>
        <w:t xml:space="preserve"> </w:t>
      </w:r>
      <w:r>
        <w:rPr>
          <w:spacing w:val="-1"/>
        </w:rPr>
        <w:t>under</w:t>
      </w:r>
      <w:r>
        <w:rPr>
          <w:spacing w:val="4"/>
        </w:rPr>
        <w:t xml:space="preserve"> </w:t>
      </w:r>
      <w:r>
        <w:rPr>
          <w:spacing w:val="-1"/>
        </w:rPr>
        <w:t>this</w:t>
      </w:r>
      <w:r>
        <w:rPr>
          <w:spacing w:val="3"/>
        </w:rPr>
        <w:t xml:space="preserve"> </w:t>
      </w:r>
      <w:r>
        <w:rPr>
          <w:spacing w:val="-2"/>
        </w:rPr>
        <w:t>Clause</w:t>
      </w:r>
      <w:r>
        <w:rPr>
          <w:spacing w:val="5"/>
        </w:rPr>
        <w:t xml:space="preserve"> </w:t>
      </w:r>
      <w:hyperlink w:anchor="_bookmark127" w:history="1">
        <w:r>
          <w:rPr>
            <w:spacing w:val="-1"/>
          </w:rPr>
          <w:t>23.2</w:t>
        </w:r>
      </w:hyperlink>
      <w:r>
        <w:rPr>
          <w:spacing w:val="3"/>
        </w:rPr>
        <w:t xml:space="preserve"> </w:t>
      </w:r>
      <w:r>
        <w:t>(VAT)</w:t>
      </w:r>
      <w:r>
        <w:rPr>
          <w:spacing w:val="4"/>
        </w:rPr>
        <w:t xml:space="preserve"> </w:t>
      </w:r>
      <w:r>
        <w:rPr>
          <w:spacing w:val="-1"/>
        </w:rPr>
        <w:t>shall</w:t>
      </w:r>
      <w:r>
        <w:rPr>
          <w:spacing w:val="39"/>
        </w:rPr>
        <w:t xml:space="preserve"> </w:t>
      </w:r>
      <w:r>
        <w:rPr>
          <w:spacing w:val="-1"/>
        </w:rPr>
        <w:t>be</w:t>
      </w:r>
      <w:r>
        <w:rPr>
          <w:spacing w:val="7"/>
        </w:rPr>
        <w:t xml:space="preserve"> </w:t>
      </w:r>
      <w:r>
        <w:rPr>
          <w:spacing w:val="-1"/>
        </w:rPr>
        <w:t>paid</w:t>
      </w:r>
      <w:r>
        <w:rPr>
          <w:spacing w:val="10"/>
        </w:rPr>
        <w:t xml:space="preserve"> </w:t>
      </w:r>
      <w:r>
        <w:rPr>
          <w:spacing w:val="-1"/>
        </w:rPr>
        <w:t>in</w:t>
      </w:r>
      <w:r>
        <w:rPr>
          <w:spacing w:val="7"/>
        </w:rPr>
        <w:t xml:space="preserve"> </w:t>
      </w:r>
      <w:r>
        <w:rPr>
          <w:spacing w:val="-1"/>
        </w:rPr>
        <w:t>cleared</w:t>
      </w:r>
      <w:r>
        <w:rPr>
          <w:spacing w:val="7"/>
        </w:rPr>
        <w:t xml:space="preserve"> </w:t>
      </w:r>
      <w:r>
        <w:t>funds</w:t>
      </w:r>
      <w:r>
        <w:rPr>
          <w:spacing w:val="8"/>
        </w:rPr>
        <w:t xml:space="preserve"> </w:t>
      </w:r>
      <w:r>
        <w:rPr>
          <w:spacing w:val="-1"/>
        </w:rPr>
        <w:t>by</w:t>
      </w:r>
      <w:r>
        <w:rPr>
          <w:spacing w:val="5"/>
        </w:rPr>
        <w:t xml:space="preserve"> </w:t>
      </w:r>
      <w:r>
        <w:t>the</w:t>
      </w:r>
      <w:r>
        <w:rPr>
          <w:spacing w:val="7"/>
        </w:rPr>
        <w:t xml:space="preserve"> </w:t>
      </w:r>
      <w:r>
        <w:rPr>
          <w:spacing w:val="-1"/>
        </w:rPr>
        <w:t>Supplier</w:t>
      </w:r>
      <w:r>
        <w:rPr>
          <w:spacing w:val="9"/>
        </w:rPr>
        <w:t xml:space="preserve"> </w:t>
      </w:r>
      <w:r>
        <w:t>to</w:t>
      </w:r>
      <w:r>
        <w:rPr>
          <w:spacing w:val="7"/>
        </w:rPr>
        <w:t xml:space="preserve"> </w:t>
      </w:r>
      <w:r>
        <w:t>the</w:t>
      </w:r>
      <w:r>
        <w:rPr>
          <w:spacing w:val="7"/>
        </w:rPr>
        <w:t xml:space="preserve"> </w:t>
      </w:r>
      <w:r>
        <w:rPr>
          <w:spacing w:val="-1"/>
        </w:rPr>
        <w:t>Customer</w:t>
      </w:r>
      <w:r>
        <w:rPr>
          <w:spacing w:val="9"/>
        </w:rPr>
        <w:t xml:space="preserve"> </w:t>
      </w:r>
      <w:r>
        <w:rPr>
          <w:spacing w:val="-1"/>
        </w:rPr>
        <w:t>not</w:t>
      </w:r>
      <w:r>
        <w:rPr>
          <w:spacing w:val="9"/>
        </w:rPr>
        <w:t xml:space="preserve"> </w:t>
      </w:r>
      <w:r>
        <w:rPr>
          <w:spacing w:val="-1"/>
        </w:rPr>
        <w:t>less</w:t>
      </w:r>
      <w:r>
        <w:rPr>
          <w:spacing w:val="8"/>
        </w:rPr>
        <w:t xml:space="preserve"> </w:t>
      </w:r>
      <w:r>
        <w:rPr>
          <w:spacing w:val="-1"/>
        </w:rPr>
        <w:t>than</w:t>
      </w:r>
      <w:r>
        <w:rPr>
          <w:spacing w:val="30"/>
        </w:rPr>
        <w:t xml:space="preserve"> </w:t>
      </w:r>
      <w:r>
        <w:rPr>
          <w:spacing w:val="-1"/>
        </w:rPr>
        <w:t>five</w:t>
      </w:r>
      <w:r>
        <w:rPr>
          <w:spacing w:val="46"/>
        </w:rPr>
        <w:t xml:space="preserve"> </w:t>
      </w:r>
      <w:r>
        <w:rPr>
          <w:spacing w:val="-1"/>
        </w:rPr>
        <w:t>(5)</w:t>
      </w:r>
      <w:r>
        <w:rPr>
          <w:spacing w:val="40"/>
        </w:rPr>
        <w:t xml:space="preserve"> </w:t>
      </w:r>
      <w:r>
        <w:rPr>
          <w:spacing w:val="-1"/>
        </w:rPr>
        <w:t>Working</w:t>
      </w:r>
      <w:r>
        <w:rPr>
          <w:spacing w:val="48"/>
        </w:rPr>
        <w:t xml:space="preserve"> </w:t>
      </w:r>
      <w:r>
        <w:rPr>
          <w:spacing w:val="-2"/>
        </w:rPr>
        <w:t>Days</w:t>
      </w:r>
      <w:r>
        <w:rPr>
          <w:spacing w:val="46"/>
        </w:rPr>
        <w:t xml:space="preserve"> </w:t>
      </w:r>
      <w:r>
        <w:rPr>
          <w:spacing w:val="-1"/>
        </w:rPr>
        <w:t>before</w:t>
      </w:r>
      <w:r>
        <w:rPr>
          <w:spacing w:val="43"/>
        </w:rPr>
        <w:t xml:space="preserve"> </w:t>
      </w:r>
      <w:r>
        <w:t>the</w:t>
      </w:r>
      <w:r>
        <w:rPr>
          <w:spacing w:val="46"/>
        </w:rPr>
        <w:t xml:space="preserve"> </w:t>
      </w:r>
      <w:r>
        <w:rPr>
          <w:spacing w:val="-1"/>
        </w:rPr>
        <w:t>date</w:t>
      </w:r>
      <w:r>
        <w:rPr>
          <w:spacing w:val="47"/>
        </w:rPr>
        <w:t xml:space="preserve"> </w:t>
      </w:r>
      <w:r>
        <w:rPr>
          <w:spacing w:val="-1"/>
        </w:rPr>
        <w:t>upon</w:t>
      </w:r>
      <w:r>
        <w:rPr>
          <w:spacing w:val="46"/>
        </w:rPr>
        <w:t xml:space="preserve"> </w:t>
      </w:r>
      <w:r>
        <w:rPr>
          <w:spacing w:val="-2"/>
        </w:rPr>
        <w:t>which</w:t>
      </w:r>
      <w:r>
        <w:rPr>
          <w:spacing w:val="46"/>
        </w:rPr>
        <w:t xml:space="preserve"> </w:t>
      </w:r>
      <w:r>
        <w:t>the</w:t>
      </w:r>
      <w:r>
        <w:rPr>
          <w:spacing w:val="46"/>
        </w:rPr>
        <w:t xml:space="preserve"> </w:t>
      </w:r>
      <w:r>
        <w:t>tax</w:t>
      </w:r>
      <w:r>
        <w:rPr>
          <w:spacing w:val="44"/>
        </w:rPr>
        <w:t xml:space="preserve"> </w:t>
      </w:r>
      <w:r>
        <w:rPr>
          <w:spacing w:val="-1"/>
        </w:rPr>
        <w:t>or</w:t>
      </w:r>
      <w:r>
        <w:rPr>
          <w:spacing w:val="47"/>
        </w:rPr>
        <w:t xml:space="preserve"> </w:t>
      </w:r>
      <w:r>
        <w:rPr>
          <w:spacing w:val="-1"/>
        </w:rPr>
        <w:t>other</w:t>
      </w:r>
      <w:r>
        <w:rPr>
          <w:spacing w:val="50"/>
        </w:rPr>
        <w:t xml:space="preserve"> </w:t>
      </w:r>
      <w:r>
        <w:rPr>
          <w:spacing w:val="-1"/>
        </w:rPr>
        <w:t>liability</w:t>
      </w:r>
      <w:r>
        <w:rPr>
          <w:spacing w:val="-2"/>
        </w:rPr>
        <w:t xml:space="preserve"> </w:t>
      </w:r>
      <w:r>
        <w:rPr>
          <w:spacing w:val="-1"/>
        </w:rPr>
        <w:t>is</w:t>
      </w:r>
      <w:r>
        <w:rPr>
          <w:spacing w:val="1"/>
        </w:rPr>
        <w:t xml:space="preserve"> </w:t>
      </w:r>
      <w:r>
        <w:rPr>
          <w:spacing w:val="-2"/>
        </w:rPr>
        <w:t>payable</w:t>
      </w:r>
      <w:r>
        <w:t xml:space="preserve"> </w:t>
      </w:r>
      <w:r>
        <w:rPr>
          <w:spacing w:val="1"/>
        </w:rPr>
        <w:t>by</w:t>
      </w:r>
      <w:r>
        <w:rPr>
          <w:spacing w:val="-2"/>
        </w:rPr>
        <w:t xml:space="preserve"> </w:t>
      </w:r>
      <w:r>
        <w:t>the</w:t>
      </w:r>
      <w:r>
        <w:rPr>
          <w:spacing w:val="-2"/>
        </w:rPr>
        <w:t xml:space="preserve"> </w:t>
      </w:r>
      <w:r>
        <w:rPr>
          <w:spacing w:val="-1"/>
        </w:rPr>
        <w:t>Customer.</w:t>
      </w:r>
    </w:p>
    <w:p w:rsidR="008918FA" w:rsidRDefault="008918FA" w:rsidP="008918FA">
      <w:pPr>
        <w:pStyle w:val="Heading1"/>
        <w:numPr>
          <w:ilvl w:val="1"/>
          <w:numId w:val="66"/>
        </w:numPr>
        <w:tabs>
          <w:tab w:val="left" w:pos="893"/>
        </w:tabs>
        <w:ind w:left="892" w:hanging="564"/>
        <w:rPr>
          <w:b w:val="0"/>
          <w:bCs w:val="0"/>
        </w:rPr>
      </w:pPr>
      <w:bookmarkStart w:id="149" w:name="_bookmark129"/>
      <w:bookmarkEnd w:id="149"/>
      <w:r>
        <w:rPr>
          <w:spacing w:val="-1"/>
        </w:rPr>
        <w:t>Retention</w:t>
      </w:r>
      <w:r>
        <w:rPr>
          <w:spacing w:val="-2"/>
        </w:rPr>
        <w:t xml:space="preserve"> </w:t>
      </w:r>
      <w:r>
        <w:rPr>
          <w:spacing w:val="-1"/>
        </w:rPr>
        <w:t>and</w:t>
      </w:r>
      <w:r>
        <w:t xml:space="preserve"> </w:t>
      </w:r>
      <w:r>
        <w:rPr>
          <w:spacing w:val="-2"/>
        </w:rPr>
        <w:t>Set</w:t>
      </w:r>
      <w:r>
        <w:rPr>
          <w:spacing w:val="-1"/>
        </w:rPr>
        <w:t xml:space="preserve"> Off</w:t>
      </w:r>
    </w:p>
    <w:p w:rsidR="008918FA" w:rsidRDefault="008918FA" w:rsidP="008918FA">
      <w:pPr>
        <w:pStyle w:val="BodyText"/>
        <w:numPr>
          <w:ilvl w:val="2"/>
          <w:numId w:val="66"/>
        </w:numPr>
        <w:tabs>
          <w:tab w:val="left" w:pos="1887"/>
        </w:tabs>
        <w:spacing w:before="121"/>
        <w:ind w:left="1886" w:right="116"/>
        <w:jc w:val="both"/>
      </w:pPr>
      <w:bookmarkStart w:id="150" w:name="_bookmark130"/>
      <w:bookmarkEnd w:id="150"/>
      <w:r>
        <w:t>The</w:t>
      </w:r>
      <w:r>
        <w:rPr>
          <w:spacing w:val="48"/>
        </w:rPr>
        <w:t xml:space="preserve"> </w:t>
      </w:r>
      <w:r>
        <w:rPr>
          <w:spacing w:val="-1"/>
        </w:rPr>
        <w:t>Customer</w:t>
      </w:r>
      <w:r>
        <w:rPr>
          <w:spacing w:val="47"/>
        </w:rPr>
        <w:t xml:space="preserve"> </w:t>
      </w:r>
      <w:r>
        <w:rPr>
          <w:spacing w:val="-1"/>
        </w:rPr>
        <w:t>may</w:t>
      </w:r>
      <w:r>
        <w:rPr>
          <w:spacing w:val="46"/>
        </w:rPr>
        <w:t xml:space="preserve"> </w:t>
      </w:r>
      <w:r>
        <w:rPr>
          <w:spacing w:val="-1"/>
        </w:rPr>
        <w:t>retain</w:t>
      </w:r>
      <w:r>
        <w:rPr>
          <w:spacing w:val="48"/>
        </w:rPr>
        <w:t xml:space="preserve"> </w:t>
      </w:r>
      <w:r>
        <w:rPr>
          <w:spacing w:val="-1"/>
        </w:rPr>
        <w:t>or</w:t>
      </w:r>
      <w:r>
        <w:rPr>
          <w:spacing w:val="49"/>
        </w:rPr>
        <w:t xml:space="preserve"> </w:t>
      </w:r>
      <w:r>
        <w:rPr>
          <w:spacing w:val="-1"/>
        </w:rPr>
        <w:t>set</w:t>
      </w:r>
      <w:r>
        <w:rPr>
          <w:spacing w:val="50"/>
        </w:rPr>
        <w:t xml:space="preserve"> </w:t>
      </w:r>
      <w:r>
        <w:t>off</w:t>
      </w:r>
      <w:r>
        <w:rPr>
          <w:spacing w:val="51"/>
        </w:rPr>
        <w:t xml:space="preserve"> </w:t>
      </w:r>
      <w:r>
        <w:rPr>
          <w:spacing w:val="-1"/>
        </w:rPr>
        <w:t>any</w:t>
      </w:r>
      <w:r>
        <w:rPr>
          <w:spacing w:val="46"/>
        </w:rPr>
        <w:t xml:space="preserve"> </w:t>
      </w:r>
      <w:r>
        <w:rPr>
          <w:spacing w:val="-1"/>
        </w:rPr>
        <w:t>amount</w:t>
      </w:r>
      <w:r>
        <w:rPr>
          <w:spacing w:val="50"/>
        </w:rPr>
        <w:t xml:space="preserve"> </w:t>
      </w:r>
      <w:r>
        <w:rPr>
          <w:spacing w:val="-2"/>
        </w:rPr>
        <w:t>owed</w:t>
      </w:r>
      <w:r>
        <w:rPr>
          <w:spacing w:val="48"/>
        </w:rPr>
        <w:t xml:space="preserve"> </w:t>
      </w:r>
      <w:r>
        <w:t>to</w:t>
      </w:r>
      <w:r>
        <w:rPr>
          <w:spacing w:val="48"/>
        </w:rPr>
        <w:t xml:space="preserve"> </w:t>
      </w:r>
      <w:r>
        <w:rPr>
          <w:spacing w:val="-1"/>
        </w:rPr>
        <w:t>it</w:t>
      </w:r>
      <w:r>
        <w:rPr>
          <w:spacing w:val="50"/>
        </w:rPr>
        <w:t xml:space="preserve"> </w:t>
      </w:r>
      <w:r>
        <w:rPr>
          <w:spacing w:val="1"/>
        </w:rPr>
        <w:t>by</w:t>
      </w:r>
      <w:r>
        <w:rPr>
          <w:spacing w:val="47"/>
        </w:rPr>
        <w:t xml:space="preserve"> </w:t>
      </w:r>
      <w:r>
        <w:rPr>
          <w:spacing w:val="-1"/>
        </w:rPr>
        <w:t>the</w:t>
      </w:r>
      <w:r>
        <w:rPr>
          <w:spacing w:val="30"/>
        </w:rPr>
        <w:t xml:space="preserve"> </w:t>
      </w:r>
      <w:r>
        <w:rPr>
          <w:spacing w:val="-2"/>
        </w:rPr>
        <w:t>Supplier</w:t>
      </w:r>
      <w:r>
        <w:rPr>
          <w:spacing w:val="38"/>
        </w:rPr>
        <w:t xml:space="preserve"> </w:t>
      </w:r>
      <w:r>
        <w:rPr>
          <w:spacing w:val="-1"/>
        </w:rPr>
        <w:t>against</w:t>
      </w:r>
      <w:r>
        <w:rPr>
          <w:spacing w:val="38"/>
        </w:rPr>
        <w:t xml:space="preserve"> </w:t>
      </w:r>
      <w:r>
        <w:rPr>
          <w:spacing w:val="-1"/>
        </w:rPr>
        <w:t>any</w:t>
      </w:r>
      <w:r>
        <w:rPr>
          <w:spacing w:val="34"/>
        </w:rPr>
        <w:t xml:space="preserve"> </w:t>
      </w:r>
      <w:r>
        <w:rPr>
          <w:spacing w:val="-1"/>
        </w:rPr>
        <w:t>amount</w:t>
      </w:r>
      <w:r>
        <w:rPr>
          <w:spacing w:val="38"/>
        </w:rPr>
        <w:t xml:space="preserve"> </w:t>
      </w:r>
      <w:r>
        <w:rPr>
          <w:spacing w:val="-1"/>
        </w:rPr>
        <w:t>due</w:t>
      </w:r>
      <w:r>
        <w:rPr>
          <w:spacing w:val="34"/>
        </w:rPr>
        <w:t xml:space="preserve"> </w:t>
      </w:r>
      <w:r>
        <w:t>to</w:t>
      </w:r>
      <w:r>
        <w:rPr>
          <w:spacing w:val="34"/>
        </w:rPr>
        <w:t xml:space="preserve"> </w:t>
      </w:r>
      <w:r>
        <w:t>the</w:t>
      </w:r>
      <w:r>
        <w:rPr>
          <w:spacing w:val="37"/>
        </w:rPr>
        <w:t xml:space="preserve"> </w:t>
      </w:r>
      <w:r>
        <w:rPr>
          <w:spacing w:val="-2"/>
        </w:rPr>
        <w:t>Supplier</w:t>
      </w:r>
      <w:r>
        <w:rPr>
          <w:spacing w:val="38"/>
        </w:rPr>
        <w:t xml:space="preserve"> </w:t>
      </w:r>
      <w:r>
        <w:rPr>
          <w:spacing w:val="-1"/>
        </w:rPr>
        <w:t>under</w:t>
      </w:r>
      <w:r>
        <w:rPr>
          <w:spacing w:val="35"/>
        </w:rPr>
        <w:t xml:space="preserve"> </w:t>
      </w:r>
      <w:r>
        <w:rPr>
          <w:spacing w:val="-1"/>
        </w:rPr>
        <w:t>this</w:t>
      </w:r>
      <w:r>
        <w:rPr>
          <w:spacing w:val="37"/>
        </w:rPr>
        <w:t xml:space="preserve"> </w:t>
      </w:r>
      <w:r>
        <w:rPr>
          <w:spacing w:val="-2"/>
        </w:rPr>
        <w:t>Call</w:t>
      </w:r>
      <w:r>
        <w:rPr>
          <w:spacing w:val="36"/>
        </w:rPr>
        <w:t xml:space="preserve"> </w:t>
      </w:r>
      <w:r>
        <w:rPr>
          <w:spacing w:val="-1"/>
        </w:rPr>
        <w:t>Off</w:t>
      </w:r>
      <w:r>
        <w:rPr>
          <w:spacing w:val="53"/>
        </w:rPr>
        <w:t xml:space="preserve"> </w:t>
      </w:r>
      <w:r>
        <w:rPr>
          <w:spacing w:val="-1"/>
        </w:rPr>
        <w:t>Contract</w:t>
      </w:r>
      <w:r>
        <w:rPr>
          <w:spacing w:val="21"/>
        </w:rPr>
        <w:t xml:space="preserve"> </w:t>
      </w:r>
      <w:r>
        <w:rPr>
          <w:spacing w:val="-1"/>
        </w:rPr>
        <w:t>or</w:t>
      </w:r>
      <w:r>
        <w:rPr>
          <w:spacing w:val="19"/>
        </w:rPr>
        <w:t xml:space="preserve"> </w:t>
      </w:r>
      <w:r>
        <w:rPr>
          <w:spacing w:val="-1"/>
        </w:rPr>
        <w:t>under</w:t>
      </w:r>
      <w:r>
        <w:rPr>
          <w:spacing w:val="18"/>
        </w:rPr>
        <w:t xml:space="preserve"> </w:t>
      </w:r>
      <w:r>
        <w:rPr>
          <w:spacing w:val="-1"/>
        </w:rPr>
        <w:t>any</w:t>
      </w:r>
      <w:r>
        <w:rPr>
          <w:spacing w:val="18"/>
        </w:rPr>
        <w:t xml:space="preserve"> </w:t>
      </w:r>
      <w:r>
        <w:rPr>
          <w:spacing w:val="-1"/>
        </w:rPr>
        <w:t>other</w:t>
      </w:r>
      <w:r>
        <w:rPr>
          <w:spacing w:val="21"/>
        </w:rPr>
        <w:t xml:space="preserve"> </w:t>
      </w:r>
      <w:r>
        <w:rPr>
          <w:spacing w:val="-1"/>
        </w:rPr>
        <w:t>agreement</w:t>
      </w:r>
      <w:r>
        <w:rPr>
          <w:spacing w:val="21"/>
        </w:rPr>
        <w:t xml:space="preserve"> </w:t>
      </w:r>
      <w:r>
        <w:rPr>
          <w:spacing w:val="-1"/>
        </w:rPr>
        <w:t>between</w:t>
      </w:r>
      <w:r>
        <w:rPr>
          <w:spacing w:val="17"/>
        </w:rPr>
        <w:t xml:space="preserve"> </w:t>
      </w:r>
      <w:r>
        <w:t>the</w:t>
      </w:r>
      <w:r>
        <w:rPr>
          <w:spacing w:val="20"/>
        </w:rPr>
        <w:t xml:space="preserve"> </w:t>
      </w:r>
      <w:r>
        <w:rPr>
          <w:spacing w:val="-2"/>
        </w:rPr>
        <w:t>Supplier</w:t>
      </w:r>
      <w:r>
        <w:rPr>
          <w:spacing w:val="21"/>
        </w:rPr>
        <w:t xml:space="preserve"> </w:t>
      </w:r>
      <w:r>
        <w:rPr>
          <w:spacing w:val="-1"/>
        </w:rPr>
        <w:t>and</w:t>
      </w:r>
      <w:r>
        <w:rPr>
          <w:spacing w:val="17"/>
        </w:rPr>
        <w:t xml:space="preserve"> </w:t>
      </w:r>
      <w:r>
        <w:rPr>
          <w:spacing w:val="-1"/>
        </w:rPr>
        <w:t>the</w:t>
      </w:r>
      <w:r>
        <w:rPr>
          <w:spacing w:val="28"/>
        </w:rPr>
        <w:t xml:space="preserve"> </w:t>
      </w:r>
      <w:r>
        <w:rPr>
          <w:spacing w:val="-1"/>
        </w:rPr>
        <w:t>Customer.</w:t>
      </w:r>
    </w:p>
    <w:p w:rsidR="008918FA" w:rsidRDefault="008918FA" w:rsidP="008918FA">
      <w:pPr>
        <w:pStyle w:val="BodyText"/>
        <w:numPr>
          <w:ilvl w:val="2"/>
          <w:numId w:val="66"/>
        </w:numPr>
        <w:tabs>
          <w:tab w:val="left" w:pos="1887"/>
        </w:tabs>
        <w:ind w:left="1886" w:right="112"/>
        <w:jc w:val="both"/>
      </w:pPr>
      <w:r>
        <w:rPr>
          <w:spacing w:val="-1"/>
        </w:rPr>
        <w:t>If</w:t>
      </w:r>
      <w:r>
        <w:rPr>
          <w:spacing w:val="4"/>
        </w:rPr>
        <w:t xml:space="preserve"> </w:t>
      </w:r>
      <w:r>
        <w:t>the</w:t>
      </w:r>
      <w:r>
        <w:rPr>
          <w:spacing w:val="3"/>
        </w:rPr>
        <w:t xml:space="preserve"> </w:t>
      </w:r>
      <w:r>
        <w:rPr>
          <w:spacing w:val="-2"/>
        </w:rPr>
        <w:t>Customer</w:t>
      </w:r>
      <w:r>
        <w:rPr>
          <w:spacing w:val="4"/>
        </w:rPr>
        <w:t xml:space="preserve"> </w:t>
      </w:r>
      <w:r>
        <w:rPr>
          <w:spacing w:val="-2"/>
        </w:rPr>
        <w:t>wishes</w:t>
      </w:r>
      <w:r>
        <w:rPr>
          <w:spacing w:val="3"/>
        </w:rPr>
        <w:t xml:space="preserve"> </w:t>
      </w:r>
      <w:r>
        <w:t>to</w:t>
      </w:r>
      <w:r>
        <w:rPr>
          <w:spacing w:val="4"/>
        </w:rPr>
        <w:t xml:space="preserve"> </w:t>
      </w:r>
      <w:r>
        <w:rPr>
          <w:spacing w:val="-1"/>
        </w:rPr>
        <w:t>exercise</w:t>
      </w:r>
      <w:r>
        <w:rPr>
          <w:spacing w:val="3"/>
        </w:rPr>
        <w:t xml:space="preserve"> </w:t>
      </w:r>
      <w:r>
        <w:rPr>
          <w:spacing w:val="-1"/>
        </w:rPr>
        <w:t>its</w:t>
      </w:r>
      <w:r>
        <w:rPr>
          <w:spacing w:val="3"/>
        </w:rPr>
        <w:t xml:space="preserve"> </w:t>
      </w:r>
      <w:r>
        <w:rPr>
          <w:spacing w:val="-1"/>
        </w:rPr>
        <w:t>right</w:t>
      </w:r>
      <w:r>
        <w:rPr>
          <w:spacing w:val="5"/>
        </w:rPr>
        <w:t xml:space="preserve"> </w:t>
      </w:r>
      <w:r>
        <w:rPr>
          <w:spacing w:val="-2"/>
        </w:rPr>
        <w:t>pursuant</w:t>
      </w:r>
      <w:r>
        <w:rPr>
          <w:spacing w:val="4"/>
        </w:rPr>
        <w:t xml:space="preserve"> </w:t>
      </w:r>
      <w:r>
        <w:t>to</w:t>
      </w:r>
      <w:r>
        <w:rPr>
          <w:spacing w:val="3"/>
        </w:rPr>
        <w:t xml:space="preserve"> </w:t>
      </w:r>
      <w:r>
        <w:rPr>
          <w:spacing w:val="-2"/>
        </w:rPr>
        <w:t>Clause</w:t>
      </w:r>
      <w:r>
        <w:rPr>
          <w:spacing w:val="4"/>
        </w:rPr>
        <w:t xml:space="preserve"> </w:t>
      </w:r>
      <w:hyperlink w:anchor="_bookmark130" w:history="1">
        <w:r>
          <w:rPr>
            <w:spacing w:val="-1"/>
          </w:rPr>
          <w:t>23.3.1</w:t>
        </w:r>
      </w:hyperlink>
      <w:r>
        <w:t xml:space="preserve"> </w:t>
      </w:r>
      <w:r>
        <w:rPr>
          <w:spacing w:val="-1"/>
        </w:rPr>
        <w:t>it</w:t>
      </w:r>
      <w:r>
        <w:rPr>
          <w:spacing w:val="63"/>
        </w:rPr>
        <w:t xml:space="preserve"> </w:t>
      </w:r>
      <w:r>
        <w:rPr>
          <w:spacing w:val="-1"/>
        </w:rPr>
        <w:t>shall</w:t>
      </w:r>
      <w:r>
        <w:rPr>
          <w:spacing w:val="12"/>
        </w:rPr>
        <w:t xml:space="preserve"> </w:t>
      </w:r>
      <w:r>
        <w:rPr>
          <w:spacing w:val="-1"/>
        </w:rPr>
        <w:t>give</w:t>
      </w:r>
      <w:r>
        <w:rPr>
          <w:spacing w:val="12"/>
        </w:rPr>
        <w:t xml:space="preserve"> </w:t>
      </w:r>
      <w:r>
        <w:rPr>
          <w:spacing w:val="-1"/>
        </w:rPr>
        <w:t>notice</w:t>
      </w:r>
      <w:r>
        <w:rPr>
          <w:spacing w:val="13"/>
        </w:rPr>
        <w:t xml:space="preserve"> </w:t>
      </w:r>
      <w:r>
        <w:t>to</w:t>
      </w:r>
      <w:r>
        <w:rPr>
          <w:spacing w:val="10"/>
        </w:rPr>
        <w:t xml:space="preserve"> </w:t>
      </w:r>
      <w:r>
        <w:t>the</w:t>
      </w:r>
      <w:r>
        <w:rPr>
          <w:spacing w:val="10"/>
        </w:rPr>
        <w:t xml:space="preserve"> </w:t>
      </w:r>
      <w:r>
        <w:rPr>
          <w:spacing w:val="-2"/>
        </w:rPr>
        <w:t>Supplier</w:t>
      </w:r>
      <w:r>
        <w:rPr>
          <w:spacing w:val="14"/>
        </w:rPr>
        <w:t xml:space="preserve"> </w:t>
      </w:r>
      <w:r>
        <w:rPr>
          <w:spacing w:val="-2"/>
        </w:rPr>
        <w:t>within</w:t>
      </w:r>
      <w:r>
        <w:rPr>
          <w:spacing w:val="12"/>
        </w:rPr>
        <w:t xml:space="preserve"> </w:t>
      </w:r>
      <w:r>
        <w:rPr>
          <w:spacing w:val="-1"/>
        </w:rPr>
        <w:t>thirty</w:t>
      </w:r>
      <w:r>
        <w:rPr>
          <w:spacing w:val="10"/>
        </w:rPr>
        <w:t xml:space="preserve"> </w:t>
      </w:r>
      <w:r>
        <w:rPr>
          <w:spacing w:val="-1"/>
        </w:rPr>
        <w:t>(30)</w:t>
      </w:r>
      <w:r>
        <w:rPr>
          <w:spacing w:val="11"/>
        </w:rPr>
        <w:t xml:space="preserve"> </w:t>
      </w:r>
      <w:r>
        <w:rPr>
          <w:spacing w:val="-2"/>
        </w:rPr>
        <w:t>days</w:t>
      </w:r>
      <w:r>
        <w:rPr>
          <w:spacing w:val="13"/>
        </w:rPr>
        <w:t xml:space="preserve"> </w:t>
      </w:r>
      <w:r>
        <w:rPr>
          <w:spacing w:val="-1"/>
        </w:rPr>
        <w:t>of</w:t>
      </w:r>
      <w:r>
        <w:rPr>
          <w:spacing w:val="14"/>
        </w:rPr>
        <w:t xml:space="preserve"> </w:t>
      </w:r>
      <w:r>
        <w:rPr>
          <w:spacing w:val="-1"/>
        </w:rPr>
        <w:t>receipt</w:t>
      </w:r>
      <w:r>
        <w:rPr>
          <w:spacing w:val="14"/>
        </w:rPr>
        <w:t xml:space="preserve"> </w:t>
      </w:r>
      <w:r>
        <w:rPr>
          <w:spacing w:val="-2"/>
        </w:rPr>
        <w:t>of</w:t>
      </w:r>
      <w:r>
        <w:rPr>
          <w:spacing w:val="14"/>
        </w:rPr>
        <w:t xml:space="preserve"> </w:t>
      </w:r>
      <w:r>
        <w:rPr>
          <w:spacing w:val="-1"/>
        </w:rPr>
        <w:t>the</w:t>
      </w:r>
      <w:r>
        <w:rPr>
          <w:spacing w:val="54"/>
        </w:rPr>
        <w:t xml:space="preserve"> </w:t>
      </w:r>
      <w:r>
        <w:rPr>
          <w:spacing w:val="-2"/>
        </w:rPr>
        <w:t>relevant</w:t>
      </w:r>
      <w:r>
        <w:rPr>
          <w:spacing w:val="45"/>
        </w:rPr>
        <w:t xml:space="preserve"> </w:t>
      </w:r>
      <w:r>
        <w:rPr>
          <w:spacing w:val="-2"/>
        </w:rPr>
        <w:t>invoice,</w:t>
      </w:r>
      <w:r>
        <w:rPr>
          <w:spacing w:val="45"/>
        </w:rPr>
        <w:t xml:space="preserve"> </w:t>
      </w:r>
      <w:r>
        <w:rPr>
          <w:spacing w:val="-1"/>
        </w:rPr>
        <w:t>setting</w:t>
      </w:r>
      <w:r>
        <w:rPr>
          <w:spacing w:val="43"/>
        </w:rPr>
        <w:t xml:space="preserve"> </w:t>
      </w:r>
      <w:r>
        <w:rPr>
          <w:spacing w:val="-1"/>
        </w:rPr>
        <w:t>out</w:t>
      </w:r>
      <w:r>
        <w:rPr>
          <w:spacing w:val="42"/>
        </w:rPr>
        <w:t xml:space="preserve"> </w:t>
      </w:r>
      <w:r>
        <w:t>the</w:t>
      </w:r>
      <w:r>
        <w:rPr>
          <w:spacing w:val="43"/>
        </w:rPr>
        <w:t xml:space="preserve"> </w:t>
      </w:r>
      <w:r>
        <w:rPr>
          <w:spacing w:val="-2"/>
        </w:rPr>
        <w:t>Customer’s</w:t>
      </w:r>
      <w:r>
        <w:rPr>
          <w:spacing w:val="44"/>
        </w:rPr>
        <w:t xml:space="preserve"> </w:t>
      </w:r>
      <w:r>
        <w:rPr>
          <w:spacing w:val="-1"/>
        </w:rPr>
        <w:t>reasons</w:t>
      </w:r>
      <w:r>
        <w:rPr>
          <w:spacing w:val="42"/>
        </w:rPr>
        <w:t xml:space="preserve"> </w:t>
      </w:r>
      <w:r>
        <w:t>for</w:t>
      </w:r>
      <w:r>
        <w:rPr>
          <w:spacing w:val="42"/>
        </w:rPr>
        <w:t xml:space="preserve"> </w:t>
      </w:r>
      <w:r>
        <w:rPr>
          <w:spacing w:val="-1"/>
        </w:rPr>
        <w:t>retaining</w:t>
      </w:r>
      <w:r>
        <w:rPr>
          <w:spacing w:val="43"/>
        </w:rPr>
        <w:t xml:space="preserve"> </w:t>
      </w:r>
      <w:r>
        <w:rPr>
          <w:spacing w:val="-1"/>
        </w:rPr>
        <w:t>or</w:t>
      </w:r>
      <w:r>
        <w:rPr>
          <w:spacing w:val="58"/>
        </w:rPr>
        <w:t xml:space="preserve"> </w:t>
      </w:r>
      <w:r>
        <w:rPr>
          <w:spacing w:val="-1"/>
        </w:rPr>
        <w:t>setting</w:t>
      </w:r>
      <w:r>
        <w:rPr>
          <w:spacing w:val="3"/>
        </w:rPr>
        <w:t xml:space="preserve"> </w:t>
      </w:r>
      <w:r>
        <w:rPr>
          <w:spacing w:val="-2"/>
        </w:rPr>
        <w:t>off</w:t>
      </w:r>
      <w:r>
        <w:t xml:space="preserve"> the</w:t>
      </w:r>
      <w:r>
        <w:rPr>
          <w:spacing w:val="-2"/>
        </w:rPr>
        <w:t xml:space="preserve"> relevant</w:t>
      </w:r>
      <w:r>
        <w:rPr>
          <w:spacing w:val="2"/>
        </w:rPr>
        <w:t xml:space="preserve"> </w:t>
      </w:r>
      <w:r>
        <w:rPr>
          <w:spacing w:val="-2"/>
        </w:rPr>
        <w:t>Call</w:t>
      </w:r>
      <w:r>
        <w:t xml:space="preserve"> </w:t>
      </w:r>
      <w:r>
        <w:rPr>
          <w:spacing w:val="-1"/>
        </w:rPr>
        <w:t>Off</w:t>
      </w:r>
      <w:r>
        <w:rPr>
          <w:spacing w:val="2"/>
        </w:rPr>
        <w:t xml:space="preserve"> </w:t>
      </w:r>
      <w:r>
        <w:rPr>
          <w:spacing w:val="-2"/>
        </w:rPr>
        <w:t>Contract</w:t>
      </w:r>
      <w:r>
        <w:rPr>
          <w:spacing w:val="2"/>
        </w:rPr>
        <w:t xml:space="preserve"> </w:t>
      </w:r>
      <w:r>
        <w:rPr>
          <w:spacing w:val="-2"/>
        </w:rPr>
        <w:t>Charges.</w:t>
      </w:r>
    </w:p>
    <w:p w:rsidR="008918FA" w:rsidRDefault="008918FA" w:rsidP="008918FA">
      <w:pPr>
        <w:pStyle w:val="BodyText"/>
        <w:numPr>
          <w:ilvl w:val="2"/>
          <w:numId w:val="66"/>
        </w:numPr>
        <w:tabs>
          <w:tab w:val="left" w:pos="1887"/>
        </w:tabs>
        <w:spacing w:before="121"/>
        <w:ind w:left="1886" w:right="113"/>
        <w:jc w:val="both"/>
      </w:pPr>
      <w:r>
        <w:t>The</w:t>
      </w:r>
      <w:r>
        <w:rPr>
          <w:spacing w:val="31"/>
        </w:rPr>
        <w:t xml:space="preserve"> </w:t>
      </w:r>
      <w:r>
        <w:rPr>
          <w:spacing w:val="-2"/>
        </w:rPr>
        <w:t>Supplier</w:t>
      </w:r>
      <w:r>
        <w:rPr>
          <w:spacing w:val="33"/>
        </w:rPr>
        <w:t xml:space="preserve"> </w:t>
      </w:r>
      <w:r>
        <w:rPr>
          <w:spacing w:val="-1"/>
        </w:rPr>
        <w:t>shall</w:t>
      </w:r>
      <w:r>
        <w:rPr>
          <w:spacing w:val="31"/>
        </w:rPr>
        <w:t xml:space="preserve"> </w:t>
      </w:r>
      <w:r>
        <w:rPr>
          <w:spacing w:val="-1"/>
        </w:rPr>
        <w:t>make</w:t>
      </w:r>
      <w:r>
        <w:rPr>
          <w:spacing w:val="30"/>
        </w:rPr>
        <w:t xml:space="preserve"> </w:t>
      </w:r>
      <w:r>
        <w:rPr>
          <w:spacing w:val="-1"/>
        </w:rPr>
        <w:t>any</w:t>
      </w:r>
      <w:r>
        <w:rPr>
          <w:spacing w:val="30"/>
        </w:rPr>
        <w:t xml:space="preserve"> </w:t>
      </w:r>
      <w:r>
        <w:rPr>
          <w:spacing w:val="-1"/>
        </w:rPr>
        <w:t>payments</w:t>
      </w:r>
      <w:r>
        <w:rPr>
          <w:spacing w:val="32"/>
        </w:rPr>
        <w:t xml:space="preserve"> </w:t>
      </w:r>
      <w:r>
        <w:rPr>
          <w:spacing w:val="-1"/>
        </w:rPr>
        <w:t>due</w:t>
      </w:r>
      <w:r>
        <w:rPr>
          <w:spacing w:val="31"/>
        </w:rPr>
        <w:t xml:space="preserve"> </w:t>
      </w:r>
      <w:r>
        <w:t>to</w:t>
      </w:r>
      <w:r>
        <w:rPr>
          <w:spacing w:val="29"/>
        </w:rPr>
        <w:t xml:space="preserve"> </w:t>
      </w:r>
      <w:r>
        <w:rPr>
          <w:spacing w:val="-1"/>
        </w:rPr>
        <w:t>the</w:t>
      </w:r>
      <w:r>
        <w:rPr>
          <w:spacing w:val="31"/>
        </w:rPr>
        <w:t xml:space="preserve"> </w:t>
      </w:r>
      <w:r>
        <w:rPr>
          <w:spacing w:val="-1"/>
        </w:rPr>
        <w:t>Customer</w:t>
      </w:r>
      <w:r>
        <w:rPr>
          <w:spacing w:val="34"/>
        </w:rPr>
        <w:t xml:space="preserve"> </w:t>
      </w:r>
      <w:r>
        <w:rPr>
          <w:spacing w:val="-2"/>
        </w:rPr>
        <w:t>without</w:t>
      </w:r>
      <w:r>
        <w:rPr>
          <w:spacing w:val="40"/>
        </w:rPr>
        <w:t xml:space="preserve"> </w:t>
      </w:r>
      <w:r>
        <w:rPr>
          <w:spacing w:val="-1"/>
        </w:rPr>
        <w:t>any</w:t>
      </w:r>
      <w:r>
        <w:rPr>
          <w:spacing w:val="21"/>
        </w:rPr>
        <w:t xml:space="preserve"> </w:t>
      </w:r>
      <w:r>
        <w:rPr>
          <w:spacing w:val="-1"/>
        </w:rPr>
        <w:t>deduction</w:t>
      </w:r>
      <w:r>
        <w:rPr>
          <w:spacing w:val="23"/>
        </w:rPr>
        <w:t xml:space="preserve"> </w:t>
      </w:r>
      <w:r>
        <w:rPr>
          <w:spacing w:val="-1"/>
        </w:rPr>
        <w:t>whether</w:t>
      </w:r>
      <w:r>
        <w:rPr>
          <w:spacing w:val="24"/>
        </w:rPr>
        <w:t xml:space="preserve"> </w:t>
      </w:r>
      <w:r>
        <w:rPr>
          <w:spacing w:val="-1"/>
        </w:rPr>
        <w:t>by</w:t>
      </w:r>
      <w:r>
        <w:rPr>
          <w:spacing w:val="21"/>
        </w:rPr>
        <w:t xml:space="preserve"> </w:t>
      </w:r>
      <w:r>
        <w:rPr>
          <w:spacing w:val="-1"/>
        </w:rPr>
        <w:t>way</w:t>
      </w:r>
      <w:r>
        <w:rPr>
          <w:spacing w:val="21"/>
        </w:rPr>
        <w:t xml:space="preserve"> </w:t>
      </w:r>
      <w:r>
        <w:rPr>
          <w:spacing w:val="-1"/>
        </w:rPr>
        <w:t>of</w:t>
      </w:r>
      <w:r>
        <w:rPr>
          <w:spacing w:val="24"/>
        </w:rPr>
        <w:t xml:space="preserve"> </w:t>
      </w:r>
      <w:r>
        <w:rPr>
          <w:spacing w:val="-1"/>
        </w:rPr>
        <w:t>set-off,</w:t>
      </w:r>
      <w:r>
        <w:rPr>
          <w:spacing w:val="22"/>
        </w:rPr>
        <w:t xml:space="preserve"> </w:t>
      </w:r>
      <w:r>
        <w:rPr>
          <w:spacing w:val="-1"/>
        </w:rPr>
        <w:t>counterclaim,</w:t>
      </w:r>
      <w:r>
        <w:rPr>
          <w:spacing w:val="25"/>
        </w:rPr>
        <w:t xml:space="preserve"> </w:t>
      </w:r>
      <w:r>
        <w:rPr>
          <w:spacing w:val="-1"/>
        </w:rPr>
        <w:t>discount,</w:t>
      </w:r>
      <w:r>
        <w:rPr>
          <w:spacing w:val="27"/>
        </w:rPr>
        <w:t xml:space="preserve"> </w:t>
      </w:r>
      <w:r>
        <w:rPr>
          <w:spacing w:val="-1"/>
        </w:rPr>
        <w:t>abatement</w:t>
      </w:r>
      <w:r>
        <w:rPr>
          <w:spacing w:val="55"/>
        </w:rPr>
        <w:t xml:space="preserve"> </w:t>
      </w:r>
      <w:r>
        <w:rPr>
          <w:spacing w:val="-2"/>
        </w:rPr>
        <w:t>or</w:t>
      </w:r>
      <w:r>
        <w:rPr>
          <w:spacing w:val="54"/>
        </w:rPr>
        <w:t xml:space="preserve"> </w:t>
      </w:r>
      <w:r>
        <w:rPr>
          <w:spacing w:val="-2"/>
        </w:rPr>
        <w:t>otherwise</w:t>
      </w:r>
      <w:r>
        <w:rPr>
          <w:spacing w:val="53"/>
        </w:rPr>
        <w:t xml:space="preserve"> </w:t>
      </w:r>
      <w:r>
        <w:rPr>
          <w:spacing w:val="-1"/>
        </w:rPr>
        <w:t>unless</w:t>
      </w:r>
      <w:r>
        <w:rPr>
          <w:spacing w:val="54"/>
        </w:rPr>
        <w:t xml:space="preserve"> </w:t>
      </w:r>
      <w:r>
        <w:t>the</w:t>
      </w:r>
      <w:r>
        <w:rPr>
          <w:spacing w:val="51"/>
        </w:rPr>
        <w:t xml:space="preserve"> </w:t>
      </w:r>
      <w:r>
        <w:rPr>
          <w:spacing w:val="-2"/>
        </w:rPr>
        <w:t>Supplier</w:t>
      </w:r>
      <w:r>
        <w:rPr>
          <w:spacing w:val="54"/>
        </w:rPr>
        <w:t xml:space="preserve"> </w:t>
      </w:r>
      <w:r>
        <w:rPr>
          <w:spacing w:val="-2"/>
        </w:rPr>
        <w:t>has</w:t>
      </w:r>
      <w:r>
        <w:rPr>
          <w:spacing w:val="56"/>
        </w:rPr>
        <w:t xml:space="preserve"> </w:t>
      </w:r>
      <w:r>
        <w:rPr>
          <w:spacing w:val="-1"/>
        </w:rPr>
        <w:t>obtained</w:t>
      </w:r>
      <w:r>
        <w:rPr>
          <w:spacing w:val="53"/>
        </w:rPr>
        <w:t xml:space="preserve"> </w:t>
      </w:r>
      <w:r>
        <w:t>a</w:t>
      </w:r>
      <w:r>
        <w:rPr>
          <w:spacing w:val="51"/>
        </w:rPr>
        <w:t xml:space="preserve"> </w:t>
      </w:r>
      <w:r>
        <w:rPr>
          <w:spacing w:val="-1"/>
        </w:rPr>
        <w:t>sealed</w:t>
      </w:r>
      <w:r>
        <w:rPr>
          <w:spacing w:val="42"/>
        </w:rPr>
        <w:t xml:space="preserve"> </w:t>
      </w:r>
      <w:r>
        <w:rPr>
          <w:spacing w:val="-1"/>
        </w:rPr>
        <w:t>court</w:t>
      </w:r>
      <w:r>
        <w:rPr>
          <w:spacing w:val="11"/>
        </w:rPr>
        <w:t xml:space="preserve"> </w:t>
      </w:r>
      <w:r>
        <w:rPr>
          <w:spacing w:val="-1"/>
        </w:rPr>
        <w:t>order</w:t>
      </w:r>
      <w:r>
        <w:rPr>
          <w:spacing w:val="11"/>
        </w:rPr>
        <w:t xml:space="preserve"> </w:t>
      </w:r>
      <w:r>
        <w:rPr>
          <w:spacing w:val="-1"/>
        </w:rPr>
        <w:t>requiring</w:t>
      </w:r>
      <w:r>
        <w:rPr>
          <w:spacing w:val="12"/>
        </w:rPr>
        <w:t xml:space="preserve"> </w:t>
      </w:r>
      <w:r>
        <w:rPr>
          <w:spacing w:val="-1"/>
        </w:rPr>
        <w:t>an</w:t>
      </w:r>
      <w:r>
        <w:rPr>
          <w:spacing w:val="7"/>
        </w:rPr>
        <w:t xml:space="preserve"> </w:t>
      </w:r>
      <w:r>
        <w:rPr>
          <w:spacing w:val="-1"/>
        </w:rPr>
        <w:t>amount</w:t>
      </w:r>
      <w:r>
        <w:rPr>
          <w:spacing w:val="11"/>
        </w:rPr>
        <w:t xml:space="preserve"> </w:t>
      </w:r>
      <w:r>
        <w:rPr>
          <w:spacing w:val="-1"/>
        </w:rPr>
        <w:t>equal</w:t>
      </w:r>
      <w:r>
        <w:rPr>
          <w:spacing w:val="9"/>
        </w:rPr>
        <w:t xml:space="preserve"> </w:t>
      </w:r>
      <w:r>
        <w:t>to</w:t>
      </w:r>
      <w:r>
        <w:rPr>
          <w:spacing w:val="10"/>
        </w:rPr>
        <w:t xml:space="preserve"> </w:t>
      </w:r>
      <w:r>
        <w:rPr>
          <w:spacing w:val="-1"/>
        </w:rPr>
        <w:t>such</w:t>
      </w:r>
      <w:r>
        <w:rPr>
          <w:spacing w:val="10"/>
        </w:rPr>
        <w:t xml:space="preserve"> </w:t>
      </w:r>
      <w:r>
        <w:rPr>
          <w:spacing w:val="-1"/>
        </w:rPr>
        <w:t>deduction</w:t>
      </w:r>
      <w:r>
        <w:rPr>
          <w:spacing w:val="10"/>
        </w:rPr>
        <w:t xml:space="preserve"> </w:t>
      </w:r>
      <w:r>
        <w:t>to</w:t>
      </w:r>
      <w:r>
        <w:rPr>
          <w:spacing w:val="10"/>
        </w:rPr>
        <w:t xml:space="preserve"> </w:t>
      </w:r>
      <w:r>
        <w:rPr>
          <w:spacing w:val="-1"/>
        </w:rPr>
        <w:t>be</w:t>
      </w:r>
      <w:r>
        <w:rPr>
          <w:spacing w:val="10"/>
        </w:rPr>
        <w:t xml:space="preserve"> </w:t>
      </w:r>
      <w:r>
        <w:rPr>
          <w:spacing w:val="-1"/>
        </w:rPr>
        <w:t>paid</w:t>
      </w:r>
      <w:r>
        <w:rPr>
          <w:spacing w:val="10"/>
        </w:rPr>
        <w:t xml:space="preserve"> </w:t>
      </w:r>
      <w:r>
        <w:rPr>
          <w:spacing w:val="-1"/>
        </w:rPr>
        <w:t>by</w:t>
      </w:r>
      <w:r>
        <w:rPr>
          <w:spacing w:val="26"/>
        </w:rPr>
        <w:t xml:space="preserve"> </w:t>
      </w:r>
      <w:r>
        <w:t xml:space="preserve">the </w:t>
      </w:r>
      <w:r>
        <w:rPr>
          <w:spacing w:val="-2"/>
        </w:rPr>
        <w:t>Customer</w:t>
      </w:r>
      <w:r>
        <w:rPr>
          <w:spacing w:val="-1"/>
        </w:rPr>
        <w:t xml:space="preserve"> </w:t>
      </w:r>
      <w:r>
        <w:t>to</w:t>
      </w:r>
      <w:r>
        <w:rPr>
          <w:spacing w:val="-2"/>
        </w:rPr>
        <w:t xml:space="preserve"> </w:t>
      </w:r>
      <w:r>
        <w:t xml:space="preserve">the </w:t>
      </w:r>
      <w:r>
        <w:rPr>
          <w:spacing w:val="-2"/>
        </w:rPr>
        <w:t>Supplier.</w:t>
      </w:r>
    </w:p>
    <w:p w:rsidR="008918FA" w:rsidRDefault="008918FA" w:rsidP="008918FA">
      <w:pPr>
        <w:pStyle w:val="Heading1"/>
        <w:numPr>
          <w:ilvl w:val="1"/>
          <w:numId w:val="66"/>
        </w:numPr>
        <w:tabs>
          <w:tab w:val="left" w:pos="893"/>
        </w:tabs>
        <w:spacing w:before="119"/>
        <w:ind w:left="892" w:hanging="564"/>
        <w:rPr>
          <w:b w:val="0"/>
          <w:bCs w:val="0"/>
        </w:rPr>
      </w:pPr>
      <w:r>
        <w:rPr>
          <w:spacing w:val="-1"/>
        </w:rPr>
        <w:t>Foreign</w:t>
      </w:r>
      <w:r>
        <w:t xml:space="preserve"> </w:t>
      </w:r>
      <w:r>
        <w:rPr>
          <w:spacing w:val="-2"/>
        </w:rPr>
        <w:t>Currency</w:t>
      </w:r>
    </w:p>
    <w:p w:rsidR="008918FA" w:rsidRDefault="008918FA" w:rsidP="008918FA">
      <w:pPr>
        <w:pStyle w:val="BodyText"/>
        <w:numPr>
          <w:ilvl w:val="2"/>
          <w:numId w:val="66"/>
        </w:numPr>
        <w:tabs>
          <w:tab w:val="left" w:pos="1887"/>
        </w:tabs>
        <w:spacing w:before="121"/>
        <w:ind w:left="1886" w:right="111"/>
        <w:jc w:val="both"/>
      </w:pPr>
      <w:bookmarkStart w:id="151" w:name="_bookmark131"/>
      <w:bookmarkEnd w:id="151"/>
      <w:r>
        <w:rPr>
          <w:spacing w:val="-1"/>
        </w:rPr>
        <w:t>Any</w:t>
      </w:r>
      <w:r>
        <w:rPr>
          <w:spacing w:val="25"/>
        </w:rPr>
        <w:t xml:space="preserve"> </w:t>
      </w:r>
      <w:r>
        <w:rPr>
          <w:spacing w:val="-1"/>
        </w:rPr>
        <w:t>requirement</w:t>
      </w:r>
      <w:r>
        <w:rPr>
          <w:spacing w:val="28"/>
        </w:rPr>
        <w:t xml:space="preserve"> </w:t>
      </w:r>
      <w:r>
        <w:rPr>
          <w:spacing w:val="-2"/>
        </w:rPr>
        <w:t>of</w:t>
      </w:r>
      <w:r>
        <w:rPr>
          <w:spacing w:val="30"/>
        </w:rPr>
        <w:t xml:space="preserve"> </w:t>
      </w:r>
      <w:r>
        <w:rPr>
          <w:spacing w:val="-1"/>
        </w:rPr>
        <w:t>Law</w:t>
      </w:r>
      <w:r>
        <w:rPr>
          <w:spacing w:val="24"/>
        </w:rPr>
        <w:t xml:space="preserve"> </w:t>
      </w:r>
      <w:r>
        <w:t>to</w:t>
      </w:r>
      <w:r>
        <w:rPr>
          <w:spacing w:val="27"/>
        </w:rPr>
        <w:t xml:space="preserve"> </w:t>
      </w:r>
      <w:r>
        <w:rPr>
          <w:spacing w:val="-1"/>
        </w:rPr>
        <w:t>account</w:t>
      </w:r>
      <w:r>
        <w:rPr>
          <w:spacing w:val="26"/>
        </w:rPr>
        <w:t xml:space="preserve"> </w:t>
      </w:r>
      <w:r>
        <w:t>for</w:t>
      </w:r>
      <w:r>
        <w:rPr>
          <w:spacing w:val="26"/>
        </w:rPr>
        <w:t xml:space="preserve"> </w:t>
      </w:r>
      <w:r>
        <w:t>the</w:t>
      </w:r>
      <w:r>
        <w:rPr>
          <w:spacing w:val="27"/>
        </w:rPr>
        <w:t xml:space="preserve"> </w:t>
      </w:r>
      <w:r>
        <w:rPr>
          <w:spacing w:val="-1"/>
        </w:rPr>
        <w:t>Goods</w:t>
      </w:r>
      <w:r>
        <w:rPr>
          <w:spacing w:val="27"/>
        </w:rPr>
        <w:t xml:space="preserve"> </w:t>
      </w:r>
      <w:r>
        <w:rPr>
          <w:spacing w:val="-1"/>
        </w:rPr>
        <w:t>and/or</w:t>
      </w:r>
      <w:r>
        <w:rPr>
          <w:spacing w:val="28"/>
        </w:rPr>
        <w:t xml:space="preserve"> </w:t>
      </w:r>
      <w:r>
        <w:rPr>
          <w:spacing w:val="-1"/>
        </w:rPr>
        <w:t>Services</w:t>
      </w:r>
      <w:r>
        <w:rPr>
          <w:spacing w:val="30"/>
        </w:rPr>
        <w:t xml:space="preserve"> </w:t>
      </w:r>
      <w:r>
        <w:rPr>
          <w:spacing w:val="-2"/>
        </w:rPr>
        <w:t>in</w:t>
      </w:r>
      <w:r>
        <w:rPr>
          <w:spacing w:val="27"/>
        </w:rPr>
        <w:t xml:space="preserve"> </w:t>
      </w:r>
      <w:r>
        <w:rPr>
          <w:spacing w:val="-1"/>
        </w:rPr>
        <w:t>any</w:t>
      </w:r>
      <w:r>
        <w:rPr>
          <w:spacing w:val="27"/>
        </w:rPr>
        <w:t xml:space="preserve"> </w:t>
      </w:r>
      <w:r>
        <w:rPr>
          <w:spacing w:val="-1"/>
        </w:rPr>
        <w:t>currency</w:t>
      </w:r>
      <w:r>
        <w:rPr>
          <w:spacing w:val="28"/>
        </w:rPr>
        <w:t xml:space="preserve"> </w:t>
      </w:r>
      <w:r>
        <w:rPr>
          <w:spacing w:val="-1"/>
        </w:rPr>
        <w:t>other</w:t>
      </w:r>
      <w:r>
        <w:rPr>
          <w:spacing w:val="30"/>
        </w:rPr>
        <w:t xml:space="preserve"> </w:t>
      </w:r>
      <w:r>
        <w:rPr>
          <w:spacing w:val="-1"/>
        </w:rPr>
        <w:t>than</w:t>
      </w:r>
      <w:r>
        <w:rPr>
          <w:spacing w:val="29"/>
        </w:rPr>
        <w:t xml:space="preserve"> </w:t>
      </w:r>
      <w:r>
        <w:rPr>
          <w:spacing w:val="-1"/>
        </w:rPr>
        <w:t>Sterling,</w:t>
      </w:r>
      <w:r>
        <w:rPr>
          <w:spacing w:val="28"/>
        </w:rPr>
        <w:t xml:space="preserve"> </w:t>
      </w:r>
      <w:r>
        <w:rPr>
          <w:spacing w:val="-1"/>
        </w:rPr>
        <w:t>(or</w:t>
      </w:r>
      <w:r>
        <w:rPr>
          <w:spacing w:val="30"/>
        </w:rPr>
        <w:t xml:space="preserve"> </w:t>
      </w:r>
      <w:r>
        <w:t>to</w:t>
      </w:r>
      <w:r>
        <w:rPr>
          <w:spacing w:val="29"/>
        </w:rPr>
        <w:t xml:space="preserve"> </w:t>
      </w:r>
      <w:r>
        <w:rPr>
          <w:spacing w:val="-1"/>
        </w:rPr>
        <w:t>prepare</w:t>
      </w:r>
      <w:r>
        <w:rPr>
          <w:spacing w:val="27"/>
        </w:rPr>
        <w:t xml:space="preserve"> </w:t>
      </w:r>
      <w:r>
        <w:t>for</w:t>
      </w:r>
      <w:r>
        <w:rPr>
          <w:spacing w:val="30"/>
        </w:rPr>
        <w:t xml:space="preserve"> </w:t>
      </w:r>
      <w:r>
        <w:rPr>
          <w:spacing w:val="-1"/>
        </w:rPr>
        <w:t>such</w:t>
      </w:r>
      <w:r>
        <w:rPr>
          <w:spacing w:val="30"/>
        </w:rPr>
        <w:t xml:space="preserve"> </w:t>
      </w:r>
      <w:r>
        <w:rPr>
          <w:spacing w:val="-1"/>
        </w:rPr>
        <w:t>accounting)</w:t>
      </w:r>
      <w:r>
        <w:rPr>
          <w:spacing w:val="46"/>
        </w:rPr>
        <w:t xml:space="preserve"> </w:t>
      </w:r>
      <w:r>
        <w:rPr>
          <w:spacing w:val="-1"/>
        </w:rPr>
        <w:t>instead</w:t>
      </w:r>
      <w:r>
        <w:rPr>
          <w:spacing w:val="27"/>
        </w:rPr>
        <w:t xml:space="preserve"> </w:t>
      </w:r>
      <w:r>
        <w:rPr>
          <w:spacing w:val="-2"/>
        </w:rPr>
        <w:t>of</w:t>
      </w:r>
      <w:r>
        <w:rPr>
          <w:spacing w:val="30"/>
        </w:rPr>
        <w:t xml:space="preserve"> </w:t>
      </w:r>
      <w:r>
        <w:rPr>
          <w:spacing w:val="-1"/>
        </w:rPr>
        <w:t>and/or</w:t>
      </w:r>
      <w:r>
        <w:rPr>
          <w:spacing w:val="28"/>
        </w:rPr>
        <w:t xml:space="preserve"> </w:t>
      </w:r>
      <w:r>
        <w:rPr>
          <w:spacing w:val="-1"/>
        </w:rPr>
        <w:t>in</w:t>
      </w:r>
      <w:r>
        <w:rPr>
          <w:spacing w:val="27"/>
        </w:rPr>
        <w:t xml:space="preserve"> </w:t>
      </w:r>
      <w:r>
        <w:rPr>
          <w:spacing w:val="-1"/>
        </w:rPr>
        <w:t>addition</w:t>
      </w:r>
      <w:r>
        <w:rPr>
          <w:spacing w:val="27"/>
        </w:rPr>
        <w:t xml:space="preserve"> </w:t>
      </w:r>
      <w:r>
        <w:t>to</w:t>
      </w:r>
      <w:r>
        <w:rPr>
          <w:spacing w:val="27"/>
        </w:rPr>
        <w:t xml:space="preserve"> </w:t>
      </w:r>
      <w:r>
        <w:rPr>
          <w:spacing w:val="-1"/>
        </w:rPr>
        <w:t>Sterling,</w:t>
      </w:r>
      <w:r>
        <w:rPr>
          <w:spacing w:val="28"/>
        </w:rPr>
        <w:t xml:space="preserve"> </w:t>
      </w:r>
      <w:r>
        <w:rPr>
          <w:spacing w:val="-1"/>
        </w:rPr>
        <w:t>shall</w:t>
      </w:r>
      <w:r>
        <w:rPr>
          <w:spacing w:val="26"/>
        </w:rPr>
        <w:t xml:space="preserve"> </w:t>
      </w:r>
      <w:r>
        <w:rPr>
          <w:spacing w:val="-1"/>
        </w:rPr>
        <w:t>be</w:t>
      </w:r>
      <w:r>
        <w:rPr>
          <w:spacing w:val="27"/>
        </w:rPr>
        <w:t xml:space="preserve"> </w:t>
      </w:r>
      <w:r>
        <w:rPr>
          <w:spacing w:val="-1"/>
        </w:rPr>
        <w:t>implemented</w:t>
      </w:r>
      <w:r>
        <w:rPr>
          <w:spacing w:val="30"/>
        </w:rPr>
        <w:t xml:space="preserve"> </w:t>
      </w:r>
      <w:r>
        <w:rPr>
          <w:spacing w:val="-1"/>
        </w:rPr>
        <w:t>by</w:t>
      </w:r>
      <w:r>
        <w:rPr>
          <w:spacing w:val="25"/>
        </w:rPr>
        <w:t xml:space="preserve"> </w:t>
      </w:r>
      <w:r>
        <w:rPr>
          <w:spacing w:val="-1"/>
        </w:rPr>
        <w:t>the</w:t>
      </w:r>
      <w:r>
        <w:rPr>
          <w:spacing w:val="32"/>
        </w:rPr>
        <w:t xml:space="preserve"> </w:t>
      </w:r>
      <w:r>
        <w:rPr>
          <w:spacing w:val="-2"/>
        </w:rPr>
        <w:t>Supplier</w:t>
      </w:r>
      <w:r>
        <w:rPr>
          <w:spacing w:val="-1"/>
        </w:rPr>
        <w:t xml:space="preserve"> </w:t>
      </w:r>
      <w:r>
        <w:t>free</w:t>
      </w:r>
      <w:r>
        <w:rPr>
          <w:spacing w:val="-2"/>
        </w:rPr>
        <w:t xml:space="preserve"> of</w:t>
      </w:r>
      <w:r>
        <w:rPr>
          <w:spacing w:val="2"/>
        </w:rPr>
        <w:t xml:space="preserve"> </w:t>
      </w:r>
      <w:r>
        <w:rPr>
          <w:spacing w:val="-1"/>
        </w:rPr>
        <w:t>charge</w:t>
      </w:r>
      <w:r>
        <w:rPr>
          <w:spacing w:val="-2"/>
        </w:rPr>
        <w:t xml:space="preserve"> </w:t>
      </w:r>
      <w:r>
        <w:rPr>
          <w:spacing w:val="-1"/>
        </w:rPr>
        <w:t>to</w:t>
      </w:r>
      <w:r>
        <w:t xml:space="preserve"> the</w:t>
      </w:r>
      <w:r>
        <w:rPr>
          <w:spacing w:val="-2"/>
        </w:rPr>
        <w:t xml:space="preserve"> </w:t>
      </w:r>
      <w:r>
        <w:rPr>
          <w:spacing w:val="-1"/>
        </w:rPr>
        <w:t>Customer.</w:t>
      </w:r>
    </w:p>
    <w:p w:rsidR="008918FA" w:rsidRDefault="008918FA" w:rsidP="008918FA">
      <w:pPr>
        <w:pStyle w:val="BodyText"/>
        <w:numPr>
          <w:ilvl w:val="2"/>
          <w:numId w:val="66"/>
        </w:numPr>
        <w:tabs>
          <w:tab w:val="left" w:pos="1887"/>
        </w:tabs>
        <w:spacing w:before="121"/>
        <w:ind w:left="1886" w:right="113"/>
        <w:jc w:val="both"/>
      </w:pPr>
      <w:r>
        <w:t>The</w:t>
      </w:r>
      <w:r>
        <w:rPr>
          <w:spacing w:val="11"/>
        </w:rPr>
        <w:t xml:space="preserve"> </w:t>
      </w:r>
      <w:r>
        <w:rPr>
          <w:spacing w:val="-2"/>
        </w:rPr>
        <w:t>Customer</w:t>
      </w:r>
      <w:r>
        <w:rPr>
          <w:spacing w:val="13"/>
        </w:rPr>
        <w:t xml:space="preserve"> </w:t>
      </w:r>
      <w:r>
        <w:rPr>
          <w:spacing w:val="-1"/>
        </w:rPr>
        <w:t>shall</w:t>
      </w:r>
      <w:r>
        <w:rPr>
          <w:spacing w:val="11"/>
        </w:rPr>
        <w:t xml:space="preserve"> </w:t>
      </w:r>
      <w:r>
        <w:rPr>
          <w:spacing w:val="-2"/>
        </w:rPr>
        <w:t>provide</w:t>
      </w:r>
      <w:r>
        <w:rPr>
          <w:spacing w:val="11"/>
        </w:rPr>
        <w:t xml:space="preserve"> </w:t>
      </w:r>
      <w:r>
        <w:t>all</w:t>
      </w:r>
      <w:r>
        <w:rPr>
          <w:spacing w:val="11"/>
        </w:rPr>
        <w:t xml:space="preserve"> </w:t>
      </w:r>
      <w:r>
        <w:rPr>
          <w:spacing w:val="-1"/>
        </w:rPr>
        <w:t>reasonable</w:t>
      </w:r>
      <w:r>
        <w:rPr>
          <w:spacing w:val="11"/>
        </w:rPr>
        <w:t xml:space="preserve"> </w:t>
      </w:r>
      <w:r>
        <w:rPr>
          <w:spacing w:val="-1"/>
        </w:rPr>
        <w:t>assistance</w:t>
      </w:r>
      <w:r>
        <w:rPr>
          <w:spacing w:val="12"/>
        </w:rPr>
        <w:t xml:space="preserve"> </w:t>
      </w:r>
      <w:r>
        <w:t>to</w:t>
      </w:r>
      <w:r>
        <w:rPr>
          <w:spacing w:val="9"/>
        </w:rPr>
        <w:t xml:space="preserve"> </w:t>
      </w:r>
      <w:r>
        <w:rPr>
          <w:spacing w:val="-1"/>
        </w:rPr>
        <w:t>facilitate</w:t>
      </w:r>
      <w:r>
        <w:rPr>
          <w:spacing w:val="59"/>
        </w:rPr>
        <w:t xml:space="preserve"> </w:t>
      </w:r>
      <w:r>
        <w:rPr>
          <w:spacing w:val="-1"/>
        </w:rPr>
        <w:t>compliance</w:t>
      </w:r>
      <w:r>
        <w:rPr>
          <w:spacing w:val="1"/>
        </w:rPr>
        <w:t xml:space="preserve"> </w:t>
      </w:r>
      <w:r>
        <w:rPr>
          <w:spacing w:val="-2"/>
        </w:rPr>
        <w:t>with</w:t>
      </w:r>
      <w:r>
        <w:t xml:space="preserve"> </w:t>
      </w:r>
      <w:r>
        <w:rPr>
          <w:spacing w:val="-2"/>
        </w:rPr>
        <w:t>Clause</w:t>
      </w:r>
      <w:r>
        <w:rPr>
          <w:spacing w:val="-1"/>
        </w:rPr>
        <w:t xml:space="preserve"> </w:t>
      </w:r>
      <w:hyperlink w:anchor="_bookmark131" w:history="1">
        <w:r>
          <w:rPr>
            <w:spacing w:val="-1"/>
          </w:rPr>
          <w:t>23.4.1</w:t>
        </w:r>
      </w:hyperlink>
      <w:r>
        <w:rPr>
          <w:spacing w:val="-2"/>
        </w:rPr>
        <w:t xml:space="preserve"> </w:t>
      </w:r>
      <w:r>
        <w:rPr>
          <w:spacing w:val="-1"/>
        </w:rPr>
        <w:t>by</w:t>
      </w:r>
      <w:r>
        <w:rPr>
          <w:spacing w:val="-2"/>
        </w:rPr>
        <w:t xml:space="preserve"> </w:t>
      </w:r>
      <w:r>
        <w:t xml:space="preserve">the </w:t>
      </w:r>
      <w:r>
        <w:rPr>
          <w:spacing w:val="-2"/>
        </w:rPr>
        <w:t>Supplier.</w:t>
      </w:r>
    </w:p>
    <w:p w:rsidR="008918FA" w:rsidRDefault="008918FA" w:rsidP="008918FA">
      <w:pPr>
        <w:pStyle w:val="Heading1"/>
        <w:numPr>
          <w:ilvl w:val="1"/>
          <w:numId w:val="66"/>
        </w:numPr>
        <w:tabs>
          <w:tab w:val="left" w:pos="893"/>
        </w:tabs>
        <w:ind w:left="892" w:hanging="564"/>
        <w:rPr>
          <w:b w:val="0"/>
          <w:bCs w:val="0"/>
        </w:rPr>
      </w:pPr>
      <w:r>
        <w:rPr>
          <w:spacing w:val="-1"/>
        </w:rPr>
        <w:t>Income</w:t>
      </w:r>
      <w:r>
        <w:rPr>
          <w:spacing w:val="-2"/>
        </w:rPr>
        <w:t xml:space="preserve"> Tax</w:t>
      </w:r>
      <w:r>
        <w:t xml:space="preserve"> </w:t>
      </w:r>
      <w:r>
        <w:rPr>
          <w:spacing w:val="-1"/>
        </w:rPr>
        <w:t>and</w:t>
      </w:r>
      <w:r>
        <w:t xml:space="preserve"> </w:t>
      </w:r>
      <w:r>
        <w:rPr>
          <w:spacing w:val="-2"/>
        </w:rPr>
        <w:t>National</w:t>
      </w:r>
      <w:r>
        <w:t xml:space="preserve"> </w:t>
      </w:r>
      <w:r>
        <w:rPr>
          <w:spacing w:val="-1"/>
        </w:rPr>
        <w:t>Insurance</w:t>
      </w:r>
      <w:r>
        <w:rPr>
          <w:spacing w:val="-2"/>
        </w:rPr>
        <w:t xml:space="preserve"> Contributions</w:t>
      </w:r>
    </w:p>
    <w:p w:rsidR="008918FA" w:rsidRDefault="008918FA" w:rsidP="008918FA">
      <w:pPr>
        <w:pStyle w:val="BodyText"/>
        <w:numPr>
          <w:ilvl w:val="2"/>
          <w:numId w:val="66"/>
        </w:numPr>
        <w:tabs>
          <w:tab w:val="left" w:pos="1887"/>
        </w:tabs>
        <w:spacing w:before="124"/>
        <w:ind w:left="1886" w:right="116"/>
        <w:jc w:val="both"/>
      </w:pPr>
      <w:r>
        <w:rPr>
          <w:spacing w:val="-1"/>
        </w:rPr>
        <w:t>Where</w:t>
      </w:r>
      <w:r>
        <w:rPr>
          <w:spacing w:val="7"/>
        </w:rPr>
        <w:t xml:space="preserve"> </w:t>
      </w:r>
      <w:r>
        <w:t>the</w:t>
      </w:r>
      <w:r>
        <w:rPr>
          <w:spacing w:val="7"/>
        </w:rPr>
        <w:t xml:space="preserve"> </w:t>
      </w:r>
      <w:r>
        <w:rPr>
          <w:spacing w:val="-2"/>
        </w:rPr>
        <w:t>Supplier</w:t>
      </w:r>
      <w:r>
        <w:rPr>
          <w:spacing w:val="9"/>
        </w:rPr>
        <w:t xml:space="preserve"> </w:t>
      </w:r>
      <w:r>
        <w:rPr>
          <w:spacing w:val="-1"/>
        </w:rPr>
        <w:t>or</w:t>
      </w:r>
      <w:r>
        <w:rPr>
          <w:spacing w:val="9"/>
        </w:rPr>
        <w:t xml:space="preserve"> </w:t>
      </w:r>
      <w:r>
        <w:rPr>
          <w:spacing w:val="-1"/>
        </w:rPr>
        <w:t>any</w:t>
      </w:r>
      <w:r>
        <w:rPr>
          <w:spacing w:val="5"/>
        </w:rPr>
        <w:t xml:space="preserve"> </w:t>
      </w:r>
      <w:r>
        <w:rPr>
          <w:spacing w:val="-1"/>
        </w:rPr>
        <w:t>Supplier</w:t>
      </w:r>
      <w:r>
        <w:rPr>
          <w:spacing w:val="9"/>
        </w:rPr>
        <w:t xml:space="preserve"> </w:t>
      </w:r>
      <w:r>
        <w:rPr>
          <w:spacing w:val="-1"/>
        </w:rPr>
        <w:t>Personnel</w:t>
      </w:r>
      <w:r>
        <w:rPr>
          <w:spacing w:val="9"/>
        </w:rPr>
        <w:t xml:space="preserve"> </w:t>
      </w:r>
      <w:r>
        <w:rPr>
          <w:spacing w:val="-1"/>
        </w:rPr>
        <w:t>are</w:t>
      </w:r>
      <w:r>
        <w:rPr>
          <w:spacing w:val="7"/>
        </w:rPr>
        <w:t xml:space="preserve"> </w:t>
      </w:r>
      <w:r>
        <w:rPr>
          <w:spacing w:val="-2"/>
        </w:rPr>
        <w:t>liable</w:t>
      </w:r>
      <w:r>
        <w:rPr>
          <w:spacing w:val="10"/>
        </w:rPr>
        <w:t xml:space="preserve"> </w:t>
      </w:r>
      <w:r>
        <w:t>to</w:t>
      </w:r>
      <w:r>
        <w:rPr>
          <w:spacing w:val="7"/>
        </w:rPr>
        <w:t xml:space="preserve"> </w:t>
      </w:r>
      <w:r>
        <w:rPr>
          <w:spacing w:val="-1"/>
        </w:rPr>
        <w:t>be</w:t>
      </w:r>
      <w:r>
        <w:rPr>
          <w:spacing w:val="7"/>
        </w:rPr>
        <w:t xml:space="preserve"> </w:t>
      </w:r>
      <w:r>
        <w:rPr>
          <w:spacing w:val="-1"/>
        </w:rPr>
        <w:t>taxed</w:t>
      </w:r>
      <w:r>
        <w:rPr>
          <w:spacing w:val="10"/>
        </w:rPr>
        <w:t xml:space="preserve"> </w:t>
      </w:r>
      <w:r>
        <w:rPr>
          <w:spacing w:val="-1"/>
        </w:rPr>
        <w:t>in</w:t>
      </w:r>
      <w:r>
        <w:rPr>
          <w:spacing w:val="55"/>
        </w:rPr>
        <w:t xml:space="preserve"> </w:t>
      </w:r>
      <w:r>
        <w:t>the</w:t>
      </w:r>
      <w:r>
        <w:rPr>
          <w:spacing w:val="30"/>
        </w:rPr>
        <w:t xml:space="preserve"> </w:t>
      </w:r>
      <w:r>
        <w:rPr>
          <w:spacing w:val="-1"/>
        </w:rPr>
        <w:t>UK</w:t>
      </w:r>
      <w:r>
        <w:rPr>
          <w:spacing w:val="30"/>
        </w:rPr>
        <w:t xml:space="preserve"> </w:t>
      </w:r>
      <w:r>
        <w:rPr>
          <w:spacing w:val="-1"/>
        </w:rPr>
        <w:t>or</w:t>
      </w:r>
      <w:r>
        <w:rPr>
          <w:spacing w:val="29"/>
        </w:rPr>
        <w:t xml:space="preserve"> </w:t>
      </w:r>
      <w:r>
        <w:t>to</w:t>
      </w:r>
      <w:r>
        <w:rPr>
          <w:spacing w:val="30"/>
        </w:rPr>
        <w:t xml:space="preserve"> </w:t>
      </w:r>
      <w:r>
        <w:rPr>
          <w:spacing w:val="-1"/>
        </w:rPr>
        <w:t>pay</w:t>
      </w:r>
      <w:r>
        <w:rPr>
          <w:spacing w:val="28"/>
        </w:rPr>
        <w:t xml:space="preserve"> </w:t>
      </w:r>
      <w:r>
        <w:rPr>
          <w:spacing w:val="-2"/>
        </w:rPr>
        <w:t>national</w:t>
      </w:r>
      <w:r>
        <w:rPr>
          <w:spacing w:val="30"/>
        </w:rPr>
        <w:t xml:space="preserve"> </w:t>
      </w:r>
      <w:r>
        <w:rPr>
          <w:spacing w:val="-1"/>
        </w:rPr>
        <w:t>insurance</w:t>
      </w:r>
      <w:r>
        <w:rPr>
          <w:spacing w:val="31"/>
        </w:rPr>
        <w:t xml:space="preserve"> </w:t>
      </w:r>
      <w:r>
        <w:rPr>
          <w:spacing w:val="-1"/>
        </w:rPr>
        <w:t>contributions</w:t>
      </w:r>
      <w:r>
        <w:rPr>
          <w:spacing w:val="31"/>
        </w:rPr>
        <w:t xml:space="preserve"> </w:t>
      </w:r>
      <w:r>
        <w:rPr>
          <w:spacing w:val="-1"/>
        </w:rPr>
        <w:t>in</w:t>
      </w:r>
      <w:r>
        <w:rPr>
          <w:spacing w:val="30"/>
        </w:rPr>
        <w:t xml:space="preserve"> </w:t>
      </w:r>
      <w:r>
        <w:rPr>
          <w:spacing w:val="-1"/>
        </w:rPr>
        <w:t>respect</w:t>
      </w:r>
      <w:r>
        <w:rPr>
          <w:spacing w:val="30"/>
        </w:rPr>
        <w:t xml:space="preserve"> </w:t>
      </w:r>
      <w:r>
        <w:rPr>
          <w:spacing w:val="-2"/>
        </w:rPr>
        <w:t>of</w:t>
      </w:r>
      <w:r>
        <w:rPr>
          <w:spacing w:val="33"/>
        </w:rPr>
        <w:t xml:space="preserve"> </w:t>
      </w:r>
      <w:r>
        <w:rPr>
          <w:spacing w:val="-1"/>
        </w:rPr>
        <w:t>consideration</w:t>
      </w:r>
      <w:r>
        <w:rPr>
          <w:spacing w:val="-2"/>
        </w:rPr>
        <w:t xml:space="preserve"> </w:t>
      </w:r>
      <w:r>
        <w:rPr>
          <w:spacing w:val="-1"/>
        </w:rPr>
        <w:t>received</w:t>
      </w:r>
      <w:r>
        <w:t xml:space="preserve"> </w:t>
      </w:r>
      <w:r>
        <w:rPr>
          <w:spacing w:val="-1"/>
        </w:rPr>
        <w:t>under this</w:t>
      </w:r>
      <w:r>
        <w:rPr>
          <w:spacing w:val="1"/>
        </w:rPr>
        <w:t xml:space="preserve"> </w:t>
      </w:r>
      <w:r>
        <w:rPr>
          <w:spacing w:val="-2"/>
        </w:rPr>
        <w:t>Call</w:t>
      </w:r>
      <w:r>
        <w:t xml:space="preserve"> </w:t>
      </w:r>
      <w:r>
        <w:rPr>
          <w:spacing w:val="-1"/>
        </w:rPr>
        <w:t>Off</w:t>
      </w:r>
      <w:r>
        <w:t xml:space="preserve"> </w:t>
      </w:r>
      <w:r>
        <w:rPr>
          <w:spacing w:val="-1"/>
        </w:rPr>
        <w:t>Contract,</w:t>
      </w:r>
      <w:r>
        <w:t xml:space="preserve"> the</w:t>
      </w:r>
      <w:r>
        <w:rPr>
          <w:spacing w:val="-2"/>
        </w:rPr>
        <w:t xml:space="preserve"> Supplier</w:t>
      </w:r>
      <w:r>
        <w:rPr>
          <w:spacing w:val="2"/>
        </w:rPr>
        <w:t xml:space="preserve"> </w:t>
      </w:r>
      <w:r>
        <w:rPr>
          <w:spacing w:val="-1"/>
        </w:rPr>
        <w:t>shall:</w:t>
      </w:r>
    </w:p>
    <w:p w:rsidR="008918FA" w:rsidRDefault="008918FA" w:rsidP="008918FA">
      <w:pPr>
        <w:pStyle w:val="BodyText"/>
        <w:numPr>
          <w:ilvl w:val="3"/>
          <w:numId w:val="66"/>
        </w:numPr>
        <w:tabs>
          <w:tab w:val="left" w:pos="2595"/>
        </w:tabs>
        <w:ind w:left="2594" w:right="113"/>
        <w:jc w:val="both"/>
      </w:pPr>
      <w:r>
        <w:rPr>
          <w:spacing w:val="-1"/>
        </w:rPr>
        <w:t>at</w:t>
      </w:r>
      <w:r>
        <w:rPr>
          <w:spacing w:val="44"/>
        </w:rPr>
        <w:t xml:space="preserve"> </w:t>
      </w:r>
      <w:r>
        <w:rPr>
          <w:spacing w:val="-1"/>
        </w:rPr>
        <w:t>all</w:t>
      </w:r>
      <w:r>
        <w:rPr>
          <w:spacing w:val="42"/>
        </w:rPr>
        <w:t xml:space="preserve"> </w:t>
      </w:r>
      <w:r>
        <w:rPr>
          <w:spacing w:val="-1"/>
        </w:rPr>
        <w:t>times</w:t>
      </w:r>
      <w:r>
        <w:rPr>
          <w:spacing w:val="43"/>
        </w:rPr>
        <w:t xml:space="preserve"> </w:t>
      </w:r>
      <w:r>
        <w:rPr>
          <w:spacing w:val="-1"/>
        </w:rPr>
        <w:t>comply</w:t>
      </w:r>
      <w:r>
        <w:rPr>
          <w:spacing w:val="43"/>
        </w:rPr>
        <w:t xml:space="preserve"> </w:t>
      </w:r>
      <w:r>
        <w:rPr>
          <w:spacing w:val="-1"/>
        </w:rPr>
        <w:t>with</w:t>
      </w:r>
      <w:r>
        <w:rPr>
          <w:spacing w:val="42"/>
        </w:rPr>
        <w:t xml:space="preserve"> </w:t>
      </w:r>
      <w:r>
        <w:t>the</w:t>
      </w:r>
      <w:r>
        <w:rPr>
          <w:spacing w:val="42"/>
        </w:rPr>
        <w:t xml:space="preserve"> </w:t>
      </w:r>
      <w:r>
        <w:rPr>
          <w:spacing w:val="-1"/>
        </w:rPr>
        <w:t>Income</w:t>
      </w:r>
      <w:r>
        <w:rPr>
          <w:spacing w:val="43"/>
        </w:rPr>
        <w:t xml:space="preserve"> </w:t>
      </w:r>
      <w:r>
        <w:t>Tax</w:t>
      </w:r>
      <w:r>
        <w:rPr>
          <w:spacing w:val="40"/>
        </w:rPr>
        <w:t xml:space="preserve"> </w:t>
      </w:r>
      <w:r>
        <w:rPr>
          <w:spacing w:val="-1"/>
        </w:rPr>
        <w:t>(Earnings</w:t>
      </w:r>
      <w:r>
        <w:rPr>
          <w:spacing w:val="43"/>
        </w:rPr>
        <w:t xml:space="preserve"> </w:t>
      </w:r>
      <w:r>
        <w:rPr>
          <w:spacing w:val="-1"/>
        </w:rPr>
        <w:t>and</w:t>
      </w:r>
      <w:r>
        <w:rPr>
          <w:spacing w:val="26"/>
        </w:rPr>
        <w:t xml:space="preserve"> </w:t>
      </w:r>
      <w:r>
        <w:rPr>
          <w:spacing w:val="-1"/>
        </w:rPr>
        <w:t>Pensions)</w:t>
      </w:r>
      <w:r>
        <w:rPr>
          <w:spacing w:val="20"/>
        </w:rPr>
        <w:t xml:space="preserve"> </w:t>
      </w:r>
      <w:r>
        <w:rPr>
          <w:spacing w:val="-1"/>
        </w:rPr>
        <w:t>Act</w:t>
      </w:r>
      <w:r>
        <w:rPr>
          <w:spacing w:val="20"/>
        </w:rPr>
        <w:t xml:space="preserve"> </w:t>
      </w:r>
      <w:r>
        <w:rPr>
          <w:spacing w:val="-2"/>
        </w:rPr>
        <w:t>2003</w:t>
      </w:r>
      <w:r>
        <w:rPr>
          <w:spacing w:val="18"/>
        </w:rPr>
        <w:t xml:space="preserve"> </w:t>
      </w:r>
      <w:r>
        <w:rPr>
          <w:spacing w:val="-2"/>
        </w:rPr>
        <w:t>and</w:t>
      </w:r>
      <w:r>
        <w:rPr>
          <w:spacing w:val="18"/>
        </w:rPr>
        <w:t xml:space="preserve"> </w:t>
      </w:r>
      <w:r>
        <w:rPr>
          <w:spacing w:val="-1"/>
        </w:rPr>
        <w:t>all</w:t>
      </w:r>
      <w:r>
        <w:rPr>
          <w:spacing w:val="18"/>
        </w:rPr>
        <w:t xml:space="preserve"> </w:t>
      </w:r>
      <w:r>
        <w:rPr>
          <w:spacing w:val="-1"/>
        </w:rPr>
        <w:t>other</w:t>
      </w:r>
      <w:r>
        <w:rPr>
          <w:spacing w:val="20"/>
        </w:rPr>
        <w:t xml:space="preserve"> </w:t>
      </w:r>
      <w:r>
        <w:rPr>
          <w:spacing w:val="-1"/>
        </w:rPr>
        <w:t>statutes</w:t>
      </w:r>
      <w:r>
        <w:rPr>
          <w:spacing w:val="19"/>
        </w:rPr>
        <w:t xml:space="preserve"> </w:t>
      </w:r>
      <w:r>
        <w:rPr>
          <w:spacing w:val="-2"/>
        </w:rPr>
        <w:t>and</w:t>
      </w:r>
      <w:r>
        <w:rPr>
          <w:spacing w:val="18"/>
        </w:rPr>
        <w:t xml:space="preserve"> </w:t>
      </w:r>
      <w:r>
        <w:rPr>
          <w:spacing w:val="-1"/>
        </w:rPr>
        <w:t>regulations</w:t>
      </w:r>
      <w:r>
        <w:rPr>
          <w:spacing w:val="30"/>
        </w:rPr>
        <w:t xml:space="preserve"> </w:t>
      </w:r>
      <w:r>
        <w:rPr>
          <w:spacing w:val="-1"/>
        </w:rPr>
        <w:t>relating</w:t>
      </w:r>
      <w:r>
        <w:rPr>
          <w:spacing w:val="48"/>
        </w:rPr>
        <w:t xml:space="preserve"> </w:t>
      </w:r>
      <w:r>
        <w:t>to</w:t>
      </w:r>
      <w:r>
        <w:rPr>
          <w:spacing w:val="48"/>
        </w:rPr>
        <w:t xml:space="preserve"> </w:t>
      </w:r>
      <w:r>
        <w:rPr>
          <w:spacing w:val="-1"/>
        </w:rPr>
        <w:t>income</w:t>
      </w:r>
      <w:r>
        <w:rPr>
          <w:spacing w:val="46"/>
        </w:rPr>
        <w:t xml:space="preserve"> </w:t>
      </w:r>
      <w:r>
        <w:rPr>
          <w:spacing w:val="-1"/>
        </w:rPr>
        <w:t>tax,</w:t>
      </w:r>
      <w:r>
        <w:rPr>
          <w:spacing w:val="47"/>
        </w:rPr>
        <w:t xml:space="preserve"> </w:t>
      </w:r>
      <w:r>
        <w:rPr>
          <w:spacing w:val="-1"/>
        </w:rPr>
        <w:t>and</w:t>
      </w:r>
      <w:r>
        <w:rPr>
          <w:spacing w:val="48"/>
        </w:rPr>
        <w:t xml:space="preserve"> </w:t>
      </w:r>
      <w:r>
        <w:t>the</w:t>
      </w:r>
      <w:r>
        <w:rPr>
          <w:spacing w:val="48"/>
        </w:rPr>
        <w:t xml:space="preserve"> </w:t>
      </w:r>
      <w:r>
        <w:rPr>
          <w:spacing w:val="-1"/>
        </w:rPr>
        <w:t>Social</w:t>
      </w:r>
      <w:r>
        <w:rPr>
          <w:spacing w:val="48"/>
        </w:rPr>
        <w:t xml:space="preserve"> </w:t>
      </w:r>
      <w:r>
        <w:rPr>
          <w:spacing w:val="-1"/>
        </w:rPr>
        <w:t>Security</w:t>
      </w:r>
      <w:r>
        <w:rPr>
          <w:spacing w:val="46"/>
        </w:rPr>
        <w:t xml:space="preserve"> </w:t>
      </w:r>
      <w:r>
        <w:rPr>
          <w:spacing w:val="-1"/>
        </w:rPr>
        <w:t>Contributions</w:t>
      </w:r>
      <w:r>
        <w:rPr>
          <w:spacing w:val="28"/>
        </w:rPr>
        <w:t xml:space="preserve"> </w:t>
      </w:r>
      <w:r>
        <w:rPr>
          <w:spacing w:val="-1"/>
        </w:rPr>
        <w:t>and</w:t>
      </w:r>
      <w:r>
        <w:rPr>
          <w:spacing w:val="43"/>
        </w:rPr>
        <w:t xml:space="preserve"> </w:t>
      </w:r>
      <w:r>
        <w:rPr>
          <w:spacing w:val="-1"/>
        </w:rPr>
        <w:t>Benefits</w:t>
      </w:r>
      <w:r>
        <w:rPr>
          <w:spacing w:val="44"/>
        </w:rPr>
        <w:t xml:space="preserve"> </w:t>
      </w:r>
      <w:r>
        <w:rPr>
          <w:spacing w:val="-2"/>
        </w:rPr>
        <w:t>Act</w:t>
      </w:r>
      <w:r>
        <w:rPr>
          <w:spacing w:val="45"/>
        </w:rPr>
        <w:t xml:space="preserve"> </w:t>
      </w:r>
      <w:r>
        <w:rPr>
          <w:spacing w:val="-1"/>
        </w:rPr>
        <w:t>1992</w:t>
      </w:r>
      <w:r>
        <w:rPr>
          <w:spacing w:val="38"/>
        </w:rPr>
        <w:t xml:space="preserve"> </w:t>
      </w:r>
      <w:r>
        <w:rPr>
          <w:spacing w:val="-1"/>
        </w:rPr>
        <w:t>and</w:t>
      </w:r>
      <w:r>
        <w:rPr>
          <w:spacing w:val="43"/>
        </w:rPr>
        <w:t xml:space="preserve"> </w:t>
      </w:r>
      <w:r>
        <w:rPr>
          <w:spacing w:val="-1"/>
        </w:rPr>
        <w:t>all</w:t>
      </w:r>
      <w:r>
        <w:rPr>
          <w:spacing w:val="43"/>
        </w:rPr>
        <w:t xml:space="preserve"> </w:t>
      </w:r>
      <w:r>
        <w:rPr>
          <w:spacing w:val="-1"/>
        </w:rPr>
        <w:t>other</w:t>
      </w:r>
      <w:r>
        <w:rPr>
          <w:spacing w:val="43"/>
        </w:rPr>
        <w:t xml:space="preserve"> </w:t>
      </w:r>
      <w:r>
        <w:rPr>
          <w:spacing w:val="-1"/>
        </w:rPr>
        <w:t>statutes</w:t>
      </w:r>
      <w:r>
        <w:rPr>
          <w:spacing w:val="41"/>
        </w:rPr>
        <w:t xml:space="preserve"> </w:t>
      </w:r>
      <w:r>
        <w:rPr>
          <w:spacing w:val="-2"/>
        </w:rPr>
        <w:t>and</w:t>
      </w:r>
      <w:r>
        <w:rPr>
          <w:spacing w:val="43"/>
        </w:rPr>
        <w:t xml:space="preserve"> </w:t>
      </w:r>
      <w:r>
        <w:rPr>
          <w:spacing w:val="-1"/>
        </w:rPr>
        <w:t>regulations</w:t>
      </w:r>
      <w:r>
        <w:rPr>
          <w:spacing w:val="42"/>
        </w:rPr>
        <w:t xml:space="preserve"> </w:t>
      </w:r>
      <w:r>
        <w:rPr>
          <w:spacing w:val="-1"/>
        </w:rPr>
        <w:t>relating</w:t>
      </w:r>
      <w:r>
        <w:rPr>
          <w:spacing w:val="43"/>
        </w:rPr>
        <w:t xml:space="preserve"> </w:t>
      </w:r>
      <w:r>
        <w:t>to</w:t>
      </w:r>
      <w:r>
        <w:rPr>
          <w:spacing w:val="41"/>
        </w:rPr>
        <w:t xml:space="preserve"> </w:t>
      </w:r>
      <w:r>
        <w:rPr>
          <w:spacing w:val="-1"/>
        </w:rPr>
        <w:t>national</w:t>
      </w:r>
      <w:r>
        <w:rPr>
          <w:spacing w:val="41"/>
        </w:rPr>
        <w:t xml:space="preserve"> </w:t>
      </w:r>
      <w:r>
        <w:rPr>
          <w:spacing w:val="-1"/>
        </w:rPr>
        <w:t>insurance</w:t>
      </w:r>
      <w:r>
        <w:rPr>
          <w:spacing w:val="41"/>
        </w:rPr>
        <w:t xml:space="preserve"> </w:t>
      </w:r>
      <w:r>
        <w:rPr>
          <w:spacing w:val="-1"/>
        </w:rPr>
        <w:t>contributions,</w:t>
      </w:r>
      <w:r>
        <w:rPr>
          <w:spacing w:val="43"/>
        </w:rPr>
        <w:t xml:space="preserve"> </w:t>
      </w:r>
      <w:r>
        <w:rPr>
          <w:spacing w:val="-1"/>
        </w:rPr>
        <w:t>in</w:t>
      </w:r>
      <w:r>
        <w:rPr>
          <w:spacing w:val="41"/>
        </w:rPr>
        <w:t xml:space="preserve"> </w:t>
      </w:r>
      <w:r>
        <w:rPr>
          <w:spacing w:val="-1"/>
        </w:rPr>
        <w:t>respect</w:t>
      </w:r>
      <w:r>
        <w:rPr>
          <w:spacing w:val="44"/>
        </w:rPr>
        <w:t xml:space="preserve"> </w:t>
      </w:r>
      <w:r>
        <w:rPr>
          <w:spacing w:val="-2"/>
        </w:rPr>
        <w:t>of</w:t>
      </w:r>
      <w:r>
        <w:rPr>
          <w:spacing w:val="45"/>
        </w:rPr>
        <w:t xml:space="preserve"> </w:t>
      </w:r>
      <w:r>
        <w:rPr>
          <w:spacing w:val="-1"/>
        </w:rPr>
        <w:t>that</w:t>
      </w:r>
      <w:r>
        <w:rPr>
          <w:spacing w:val="31"/>
        </w:rPr>
        <w:t xml:space="preserve"> </w:t>
      </w:r>
      <w:r>
        <w:rPr>
          <w:spacing w:val="-1"/>
        </w:rPr>
        <w:t>consideration;</w:t>
      </w:r>
      <w:r>
        <w:t xml:space="preserve"> </w:t>
      </w:r>
      <w:r>
        <w:rPr>
          <w:spacing w:val="-1"/>
        </w:rPr>
        <w:t>and</w:t>
      </w:r>
    </w:p>
    <w:p w:rsidR="008918FA" w:rsidRDefault="008918FA" w:rsidP="008918FA">
      <w:pPr>
        <w:jc w:val="both"/>
        <w:sectPr w:rsidR="008918FA">
          <w:type w:val="continuous"/>
          <w:pgSz w:w="11910" w:h="16840"/>
          <w:pgMar w:top="180" w:right="1300" w:bottom="280" w:left="1680" w:header="720" w:footer="720" w:gutter="0"/>
          <w:cols w:space="720"/>
        </w:sectPr>
      </w:pPr>
    </w:p>
    <w:p w:rsidR="008918FA" w:rsidRDefault="008918FA" w:rsidP="008918FA">
      <w:pPr>
        <w:pStyle w:val="BodyText"/>
        <w:numPr>
          <w:ilvl w:val="3"/>
          <w:numId w:val="66"/>
        </w:numPr>
        <w:tabs>
          <w:tab w:val="left" w:pos="2955"/>
        </w:tabs>
        <w:spacing w:before="59"/>
        <w:ind w:left="2954" w:right="113"/>
        <w:jc w:val="both"/>
      </w:pPr>
      <w:bookmarkStart w:id="152" w:name="24._PROMOTING_TAX_COMPLIANCE"/>
      <w:bookmarkEnd w:id="152"/>
      <w:r>
        <w:rPr>
          <w:spacing w:val="-1"/>
        </w:rPr>
        <w:t>indemnify</w:t>
      </w:r>
      <w:r>
        <w:rPr>
          <w:spacing w:val="33"/>
        </w:rPr>
        <w:t xml:space="preserve"> </w:t>
      </w:r>
      <w:r>
        <w:t>the</w:t>
      </w:r>
      <w:r>
        <w:rPr>
          <w:spacing w:val="35"/>
        </w:rPr>
        <w:t xml:space="preserve"> </w:t>
      </w:r>
      <w:r>
        <w:rPr>
          <w:spacing w:val="-2"/>
        </w:rPr>
        <w:t>Customer</w:t>
      </w:r>
      <w:r>
        <w:rPr>
          <w:spacing w:val="36"/>
        </w:rPr>
        <w:t xml:space="preserve"> </w:t>
      </w:r>
      <w:r>
        <w:rPr>
          <w:spacing w:val="-1"/>
        </w:rPr>
        <w:t>against</w:t>
      </w:r>
      <w:r>
        <w:rPr>
          <w:spacing w:val="37"/>
        </w:rPr>
        <w:t xml:space="preserve"> </w:t>
      </w:r>
      <w:r>
        <w:rPr>
          <w:spacing w:val="-1"/>
        </w:rPr>
        <w:t>any</w:t>
      </w:r>
      <w:r>
        <w:rPr>
          <w:spacing w:val="33"/>
        </w:rPr>
        <w:t xml:space="preserve"> </w:t>
      </w:r>
      <w:r>
        <w:rPr>
          <w:spacing w:val="-1"/>
        </w:rPr>
        <w:t>income</w:t>
      </w:r>
      <w:r>
        <w:rPr>
          <w:spacing w:val="35"/>
        </w:rPr>
        <w:t xml:space="preserve"> </w:t>
      </w:r>
      <w:r>
        <w:rPr>
          <w:spacing w:val="-1"/>
        </w:rPr>
        <w:t>tax,</w:t>
      </w:r>
      <w:r>
        <w:rPr>
          <w:spacing w:val="37"/>
        </w:rPr>
        <w:t xml:space="preserve"> </w:t>
      </w:r>
      <w:r>
        <w:rPr>
          <w:spacing w:val="-1"/>
        </w:rPr>
        <w:t>national</w:t>
      </w:r>
      <w:r>
        <w:rPr>
          <w:spacing w:val="38"/>
        </w:rPr>
        <w:t xml:space="preserve"> </w:t>
      </w:r>
      <w:r>
        <w:rPr>
          <w:spacing w:val="-1"/>
        </w:rPr>
        <w:t>insurance</w:t>
      </w:r>
      <w:r>
        <w:rPr>
          <w:spacing w:val="35"/>
        </w:rPr>
        <w:t xml:space="preserve"> </w:t>
      </w:r>
      <w:r>
        <w:rPr>
          <w:spacing w:val="-1"/>
        </w:rPr>
        <w:t>and</w:t>
      </w:r>
      <w:r>
        <w:rPr>
          <w:spacing w:val="35"/>
        </w:rPr>
        <w:t xml:space="preserve"> </w:t>
      </w:r>
      <w:r>
        <w:rPr>
          <w:spacing w:val="-2"/>
        </w:rPr>
        <w:t>social</w:t>
      </w:r>
      <w:r>
        <w:rPr>
          <w:spacing w:val="34"/>
        </w:rPr>
        <w:t xml:space="preserve"> </w:t>
      </w:r>
      <w:r>
        <w:rPr>
          <w:spacing w:val="-1"/>
        </w:rPr>
        <w:t>security</w:t>
      </w:r>
      <w:r>
        <w:rPr>
          <w:spacing w:val="33"/>
        </w:rPr>
        <w:t xml:space="preserve"> </w:t>
      </w:r>
      <w:r>
        <w:rPr>
          <w:spacing w:val="-1"/>
        </w:rPr>
        <w:t>contributions</w:t>
      </w:r>
      <w:r>
        <w:rPr>
          <w:spacing w:val="35"/>
        </w:rPr>
        <w:t xml:space="preserve"> </w:t>
      </w:r>
      <w:r>
        <w:rPr>
          <w:spacing w:val="-2"/>
        </w:rPr>
        <w:t>and</w:t>
      </w:r>
      <w:r>
        <w:rPr>
          <w:spacing w:val="35"/>
        </w:rPr>
        <w:t xml:space="preserve"> </w:t>
      </w:r>
      <w:r>
        <w:rPr>
          <w:spacing w:val="-1"/>
        </w:rPr>
        <w:t>any</w:t>
      </w:r>
      <w:r>
        <w:rPr>
          <w:spacing w:val="34"/>
        </w:rPr>
        <w:t xml:space="preserve"> </w:t>
      </w:r>
      <w:r>
        <w:rPr>
          <w:spacing w:val="-1"/>
        </w:rPr>
        <w:t>other</w:t>
      </w:r>
      <w:r>
        <w:rPr>
          <w:spacing w:val="40"/>
        </w:rPr>
        <w:t xml:space="preserve"> </w:t>
      </w:r>
      <w:r>
        <w:rPr>
          <w:spacing w:val="-2"/>
        </w:rPr>
        <w:t>liability,</w:t>
      </w:r>
      <w:r>
        <w:rPr>
          <w:spacing w:val="3"/>
        </w:rPr>
        <w:t xml:space="preserve"> </w:t>
      </w:r>
      <w:r>
        <w:rPr>
          <w:spacing w:val="-1"/>
        </w:rPr>
        <w:t>deduction,</w:t>
      </w:r>
      <w:r>
        <w:rPr>
          <w:spacing w:val="3"/>
        </w:rPr>
        <w:t xml:space="preserve"> </w:t>
      </w:r>
      <w:r>
        <w:rPr>
          <w:spacing w:val="-1"/>
        </w:rPr>
        <w:t>contribution,</w:t>
      </w:r>
      <w:r>
        <w:rPr>
          <w:spacing w:val="3"/>
        </w:rPr>
        <w:t xml:space="preserve"> </w:t>
      </w:r>
      <w:r>
        <w:rPr>
          <w:spacing w:val="-1"/>
        </w:rPr>
        <w:t>assessment</w:t>
      </w:r>
      <w:r>
        <w:rPr>
          <w:spacing w:val="3"/>
        </w:rPr>
        <w:t xml:space="preserve"> </w:t>
      </w:r>
      <w:r>
        <w:rPr>
          <w:spacing w:val="-1"/>
        </w:rPr>
        <w:t>or</w:t>
      </w:r>
      <w:r>
        <w:rPr>
          <w:spacing w:val="61"/>
        </w:rPr>
        <w:t xml:space="preserve"> </w:t>
      </w:r>
      <w:r>
        <w:rPr>
          <w:spacing w:val="-1"/>
        </w:rPr>
        <w:t>claim</w:t>
      </w:r>
      <w:r>
        <w:rPr>
          <w:spacing w:val="3"/>
        </w:rPr>
        <w:t xml:space="preserve"> </w:t>
      </w:r>
      <w:r>
        <w:rPr>
          <w:spacing w:val="-1"/>
        </w:rPr>
        <w:t>arising</w:t>
      </w:r>
      <w:r>
        <w:rPr>
          <w:spacing w:val="28"/>
        </w:rPr>
        <w:t xml:space="preserve"> </w:t>
      </w:r>
      <w:r>
        <w:rPr>
          <w:spacing w:val="-1"/>
        </w:rPr>
        <w:t>from</w:t>
      </w:r>
      <w:r>
        <w:rPr>
          <w:spacing w:val="11"/>
        </w:rPr>
        <w:t xml:space="preserve"> </w:t>
      </w:r>
      <w:r>
        <w:rPr>
          <w:spacing w:val="-1"/>
        </w:rPr>
        <w:t>or</w:t>
      </w:r>
      <w:r>
        <w:rPr>
          <w:spacing w:val="11"/>
        </w:rPr>
        <w:t xml:space="preserve"> </w:t>
      </w:r>
      <w:r>
        <w:rPr>
          <w:spacing w:val="-1"/>
        </w:rPr>
        <w:t>made</w:t>
      </w:r>
      <w:r>
        <w:rPr>
          <w:spacing w:val="7"/>
        </w:rPr>
        <w:t xml:space="preserve"> </w:t>
      </w:r>
      <w:r>
        <w:rPr>
          <w:spacing w:val="-1"/>
        </w:rPr>
        <w:t>(whether</w:t>
      </w:r>
      <w:r>
        <w:rPr>
          <w:spacing w:val="11"/>
        </w:rPr>
        <w:t xml:space="preserve"> </w:t>
      </w:r>
      <w:r>
        <w:rPr>
          <w:spacing w:val="-1"/>
        </w:rPr>
        <w:t>before</w:t>
      </w:r>
      <w:r>
        <w:rPr>
          <w:spacing w:val="10"/>
        </w:rPr>
        <w:t xml:space="preserve"> </w:t>
      </w:r>
      <w:r>
        <w:rPr>
          <w:spacing w:val="-1"/>
        </w:rPr>
        <w:t>or</w:t>
      </w:r>
      <w:r>
        <w:rPr>
          <w:spacing w:val="11"/>
        </w:rPr>
        <w:t xml:space="preserve"> </w:t>
      </w:r>
      <w:r>
        <w:rPr>
          <w:spacing w:val="-1"/>
        </w:rPr>
        <w:t>after</w:t>
      </w:r>
      <w:r>
        <w:rPr>
          <w:spacing w:val="11"/>
        </w:rPr>
        <w:t xml:space="preserve"> </w:t>
      </w:r>
      <w:r>
        <w:t>the</w:t>
      </w:r>
      <w:r>
        <w:rPr>
          <w:spacing w:val="10"/>
        </w:rPr>
        <w:t xml:space="preserve"> </w:t>
      </w:r>
      <w:r>
        <w:rPr>
          <w:spacing w:val="-1"/>
        </w:rPr>
        <w:t>making</w:t>
      </w:r>
      <w:r>
        <w:rPr>
          <w:spacing w:val="10"/>
        </w:rPr>
        <w:t xml:space="preserve"> </w:t>
      </w:r>
      <w:r>
        <w:rPr>
          <w:spacing w:val="-1"/>
        </w:rPr>
        <w:t>of</w:t>
      </w:r>
      <w:r>
        <w:rPr>
          <w:spacing w:val="14"/>
        </w:rPr>
        <w:t xml:space="preserve"> </w:t>
      </w:r>
      <w:r>
        <w:t>a</w:t>
      </w:r>
      <w:r>
        <w:rPr>
          <w:spacing w:val="10"/>
        </w:rPr>
        <w:t xml:space="preserve"> </w:t>
      </w:r>
      <w:r>
        <w:rPr>
          <w:spacing w:val="-2"/>
        </w:rPr>
        <w:t>demand</w:t>
      </w:r>
      <w:r>
        <w:rPr>
          <w:spacing w:val="36"/>
        </w:rPr>
        <w:t xml:space="preserve"> </w:t>
      </w:r>
      <w:r>
        <w:rPr>
          <w:spacing w:val="-1"/>
        </w:rPr>
        <w:t>pursuant</w:t>
      </w:r>
      <w:r>
        <w:rPr>
          <w:spacing w:val="52"/>
        </w:rPr>
        <w:t xml:space="preserve"> </w:t>
      </w:r>
      <w:r>
        <w:t>to</w:t>
      </w:r>
      <w:r>
        <w:rPr>
          <w:spacing w:val="51"/>
        </w:rPr>
        <w:t xml:space="preserve"> </w:t>
      </w:r>
      <w:r>
        <w:t>the</w:t>
      </w:r>
      <w:r>
        <w:rPr>
          <w:spacing w:val="53"/>
        </w:rPr>
        <w:t xml:space="preserve"> </w:t>
      </w:r>
      <w:r>
        <w:rPr>
          <w:spacing w:val="-1"/>
        </w:rPr>
        <w:t>indemnity</w:t>
      </w:r>
      <w:r>
        <w:rPr>
          <w:spacing w:val="51"/>
        </w:rPr>
        <w:t xml:space="preserve"> </w:t>
      </w:r>
      <w:r>
        <w:rPr>
          <w:spacing w:val="-1"/>
        </w:rPr>
        <w:t>hereunder)</w:t>
      </w:r>
      <w:r>
        <w:rPr>
          <w:spacing w:val="54"/>
        </w:rPr>
        <w:t xml:space="preserve"> </w:t>
      </w:r>
      <w:r>
        <w:rPr>
          <w:spacing w:val="-1"/>
        </w:rPr>
        <w:t>in</w:t>
      </w:r>
      <w:r>
        <w:rPr>
          <w:spacing w:val="53"/>
        </w:rPr>
        <w:t xml:space="preserve"> </w:t>
      </w:r>
      <w:r>
        <w:rPr>
          <w:spacing w:val="-1"/>
        </w:rPr>
        <w:t>connection</w:t>
      </w:r>
      <w:r>
        <w:rPr>
          <w:spacing w:val="54"/>
        </w:rPr>
        <w:t xml:space="preserve"> </w:t>
      </w:r>
      <w:r>
        <w:rPr>
          <w:spacing w:val="-2"/>
        </w:rPr>
        <w:t>with</w:t>
      </w:r>
      <w:r>
        <w:rPr>
          <w:spacing w:val="53"/>
        </w:rPr>
        <w:t xml:space="preserve"> </w:t>
      </w:r>
      <w:r>
        <w:rPr>
          <w:spacing w:val="-1"/>
        </w:rPr>
        <w:t>the</w:t>
      </w:r>
      <w:r>
        <w:rPr>
          <w:spacing w:val="26"/>
        </w:rPr>
        <w:t xml:space="preserve"> </w:t>
      </w:r>
      <w:r>
        <w:rPr>
          <w:spacing w:val="-2"/>
        </w:rPr>
        <w:t>provision</w:t>
      </w:r>
      <w:r>
        <w:rPr>
          <w:spacing w:val="22"/>
        </w:rPr>
        <w:t xml:space="preserve"> </w:t>
      </w:r>
      <w:r>
        <w:rPr>
          <w:spacing w:val="-1"/>
        </w:rPr>
        <w:t>of</w:t>
      </w:r>
      <w:r>
        <w:rPr>
          <w:spacing w:val="23"/>
        </w:rPr>
        <w:t xml:space="preserve"> </w:t>
      </w:r>
      <w:r>
        <w:t>the</w:t>
      </w:r>
      <w:r>
        <w:rPr>
          <w:spacing w:val="20"/>
        </w:rPr>
        <w:t xml:space="preserve"> </w:t>
      </w:r>
      <w:r>
        <w:rPr>
          <w:spacing w:val="-1"/>
        </w:rPr>
        <w:t>Goods</w:t>
      </w:r>
      <w:r>
        <w:rPr>
          <w:spacing w:val="20"/>
        </w:rPr>
        <w:t xml:space="preserve"> </w:t>
      </w:r>
      <w:r>
        <w:rPr>
          <w:spacing w:val="-1"/>
        </w:rPr>
        <w:t>and/or</w:t>
      </w:r>
      <w:r>
        <w:rPr>
          <w:spacing w:val="23"/>
        </w:rPr>
        <w:t xml:space="preserve"> </w:t>
      </w:r>
      <w:r>
        <w:rPr>
          <w:spacing w:val="-2"/>
        </w:rPr>
        <w:t>Services</w:t>
      </w:r>
      <w:r>
        <w:rPr>
          <w:spacing w:val="24"/>
        </w:rPr>
        <w:t xml:space="preserve"> </w:t>
      </w:r>
      <w:r>
        <w:rPr>
          <w:spacing w:val="-1"/>
        </w:rPr>
        <w:t>by</w:t>
      </w:r>
      <w:r>
        <w:rPr>
          <w:spacing w:val="20"/>
        </w:rPr>
        <w:t xml:space="preserve"> </w:t>
      </w:r>
      <w:r>
        <w:t>the</w:t>
      </w:r>
      <w:r>
        <w:rPr>
          <w:spacing w:val="22"/>
        </w:rPr>
        <w:t xml:space="preserve"> </w:t>
      </w:r>
      <w:r>
        <w:rPr>
          <w:spacing w:val="-2"/>
        </w:rPr>
        <w:t>Supplier</w:t>
      </w:r>
      <w:r>
        <w:rPr>
          <w:spacing w:val="23"/>
        </w:rPr>
        <w:t xml:space="preserve"> </w:t>
      </w:r>
      <w:r>
        <w:rPr>
          <w:spacing w:val="-1"/>
        </w:rPr>
        <w:t>or</w:t>
      </w:r>
      <w:r>
        <w:rPr>
          <w:spacing w:val="23"/>
        </w:rPr>
        <w:t xml:space="preserve"> </w:t>
      </w:r>
      <w:r>
        <w:rPr>
          <w:spacing w:val="-1"/>
        </w:rPr>
        <w:t>any</w:t>
      </w:r>
      <w:r>
        <w:rPr>
          <w:spacing w:val="60"/>
        </w:rPr>
        <w:t xml:space="preserve"> </w:t>
      </w:r>
      <w:r>
        <w:rPr>
          <w:spacing w:val="-2"/>
        </w:rPr>
        <w:t>Supplier</w:t>
      </w:r>
      <w:r>
        <w:rPr>
          <w:spacing w:val="2"/>
        </w:rPr>
        <w:t xml:space="preserve"> </w:t>
      </w:r>
      <w:r>
        <w:rPr>
          <w:spacing w:val="-1"/>
        </w:rPr>
        <w:t>Personnel.</w:t>
      </w:r>
    </w:p>
    <w:p w:rsidR="008918FA" w:rsidRDefault="008918FA" w:rsidP="008918FA">
      <w:pPr>
        <w:pStyle w:val="BodyText"/>
        <w:numPr>
          <w:ilvl w:val="2"/>
          <w:numId w:val="66"/>
        </w:numPr>
        <w:tabs>
          <w:tab w:val="left" w:pos="2247"/>
        </w:tabs>
        <w:spacing w:before="121"/>
        <w:ind w:left="2246" w:right="113"/>
        <w:jc w:val="both"/>
      </w:pPr>
      <w:r>
        <w:t>In</w:t>
      </w:r>
      <w:r>
        <w:rPr>
          <w:spacing w:val="38"/>
        </w:rPr>
        <w:t xml:space="preserve"> </w:t>
      </w:r>
      <w:r>
        <w:rPr>
          <w:spacing w:val="-1"/>
        </w:rPr>
        <w:t>the</w:t>
      </w:r>
      <w:r>
        <w:rPr>
          <w:spacing w:val="38"/>
        </w:rPr>
        <w:t xml:space="preserve"> </w:t>
      </w:r>
      <w:r>
        <w:rPr>
          <w:spacing w:val="-2"/>
        </w:rPr>
        <w:t>event</w:t>
      </w:r>
      <w:r>
        <w:rPr>
          <w:spacing w:val="38"/>
        </w:rPr>
        <w:t xml:space="preserve"> </w:t>
      </w:r>
      <w:r>
        <w:rPr>
          <w:spacing w:val="-1"/>
        </w:rPr>
        <w:t>that</w:t>
      </w:r>
      <w:r>
        <w:rPr>
          <w:spacing w:val="38"/>
        </w:rPr>
        <w:t xml:space="preserve"> </w:t>
      </w:r>
      <w:r>
        <w:rPr>
          <w:spacing w:val="-1"/>
        </w:rPr>
        <w:t>any</w:t>
      </w:r>
      <w:r>
        <w:rPr>
          <w:spacing w:val="36"/>
        </w:rPr>
        <w:t xml:space="preserve"> </w:t>
      </w:r>
      <w:r>
        <w:rPr>
          <w:spacing w:val="-1"/>
        </w:rPr>
        <w:t>one</w:t>
      </w:r>
      <w:r>
        <w:rPr>
          <w:spacing w:val="38"/>
        </w:rPr>
        <w:t xml:space="preserve"> </w:t>
      </w:r>
      <w:r>
        <w:rPr>
          <w:spacing w:val="-2"/>
        </w:rPr>
        <w:t>of</w:t>
      </w:r>
      <w:r>
        <w:rPr>
          <w:spacing w:val="41"/>
        </w:rPr>
        <w:t xml:space="preserve"> </w:t>
      </w:r>
      <w:r>
        <w:t>the</w:t>
      </w:r>
      <w:r>
        <w:rPr>
          <w:spacing w:val="38"/>
        </w:rPr>
        <w:t xml:space="preserve"> </w:t>
      </w:r>
      <w:r>
        <w:rPr>
          <w:spacing w:val="-2"/>
        </w:rPr>
        <w:t>Supplier</w:t>
      </w:r>
      <w:r>
        <w:rPr>
          <w:spacing w:val="40"/>
        </w:rPr>
        <w:t xml:space="preserve"> </w:t>
      </w:r>
      <w:r>
        <w:rPr>
          <w:spacing w:val="-2"/>
        </w:rPr>
        <w:t>Personnel</w:t>
      </w:r>
      <w:r>
        <w:rPr>
          <w:spacing w:val="38"/>
        </w:rPr>
        <w:t xml:space="preserve"> </w:t>
      </w:r>
      <w:r>
        <w:rPr>
          <w:spacing w:val="-1"/>
        </w:rPr>
        <w:t>is</w:t>
      </w:r>
      <w:r>
        <w:rPr>
          <w:spacing w:val="39"/>
        </w:rPr>
        <w:t xml:space="preserve"> </w:t>
      </w:r>
      <w:r>
        <w:t>a</w:t>
      </w:r>
      <w:r>
        <w:rPr>
          <w:spacing w:val="34"/>
        </w:rPr>
        <w:t xml:space="preserve"> </w:t>
      </w:r>
      <w:r>
        <w:t>Worker</w:t>
      </w:r>
      <w:r>
        <w:rPr>
          <w:spacing w:val="38"/>
        </w:rPr>
        <w:t xml:space="preserve"> </w:t>
      </w:r>
      <w:r>
        <w:rPr>
          <w:spacing w:val="-1"/>
        </w:rPr>
        <w:t>as</w:t>
      </w:r>
      <w:r>
        <w:rPr>
          <w:spacing w:val="52"/>
        </w:rPr>
        <w:t xml:space="preserve"> </w:t>
      </w:r>
      <w:r>
        <w:rPr>
          <w:spacing w:val="-1"/>
        </w:rPr>
        <w:t>defined</w:t>
      </w:r>
      <w:r>
        <w:rPr>
          <w:spacing w:val="12"/>
        </w:rPr>
        <w:t xml:space="preserve"> </w:t>
      </w:r>
      <w:r>
        <w:rPr>
          <w:spacing w:val="-1"/>
        </w:rPr>
        <w:t>in</w:t>
      </w:r>
      <w:r>
        <w:rPr>
          <w:spacing w:val="12"/>
        </w:rPr>
        <w:t xml:space="preserve"> </w:t>
      </w:r>
      <w:r>
        <w:rPr>
          <w:spacing w:val="-2"/>
        </w:rPr>
        <w:t>Call</w:t>
      </w:r>
      <w:r>
        <w:rPr>
          <w:spacing w:val="12"/>
        </w:rPr>
        <w:t xml:space="preserve"> </w:t>
      </w:r>
      <w:r>
        <w:rPr>
          <w:spacing w:val="-1"/>
        </w:rPr>
        <w:t>Off</w:t>
      </w:r>
      <w:r>
        <w:rPr>
          <w:spacing w:val="14"/>
        </w:rPr>
        <w:t xml:space="preserve"> </w:t>
      </w:r>
      <w:r>
        <w:rPr>
          <w:spacing w:val="-2"/>
        </w:rPr>
        <w:t>Schedule</w:t>
      </w:r>
      <w:r>
        <w:rPr>
          <w:spacing w:val="12"/>
        </w:rPr>
        <w:t xml:space="preserve"> </w:t>
      </w:r>
      <w:r>
        <w:t>1</w:t>
      </w:r>
      <w:r>
        <w:rPr>
          <w:spacing w:val="14"/>
        </w:rPr>
        <w:t xml:space="preserve"> </w:t>
      </w:r>
      <w:r>
        <w:rPr>
          <w:spacing w:val="-1"/>
        </w:rPr>
        <w:t>(Definitions),</w:t>
      </w:r>
      <w:r>
        <w:rPr>
          <w:spacing w:val="14"/>
        </w:rPr>
        <w:t xml:space="preserve"> </w:t>
      </w:r>
      <w:r>
        <w:rPr>
          <w:spacing w:val="-1"/>
        </w:rPr>
        <w:t>and</w:t>
      </w:r>
      <w:r>
        <w:rPr>
          <w:spacing w:val="7"/>
        </w:rPr>
        <w:t xml:space="preserve"> </w:t>
      </w:r>
      <w:r>
        <w:rPr>
          <w:spacing w:val="-1"/>
        </w:rPr>
        <w:t>that</w:t>
      </w:r>
      <w:r>
        <w:rPr>
          <w:spacing w:val="14"/>
        </w:rPr>
        <w:t xml:space="preserve"> </w:t>
      </w:r>
      <w:r>
        <w:rPr>
          <w:spacing w:val="-1"/>
        </w:rPr>
        <w:t>particular</w:t>
      </w:r>
      <w:r>
        <w:rPr>
          <w:spacing w:val="6"/>
        </w:rPr>
        <w:t xml:space="preserve"> </w:t>
      </w:r>
      <w:r>
        <w:t>Worker</w:t>
      </w:r>
      <w:r>
        <w:rPr>
          <w:spacing w:val="45"/>
        </w:rPr>
        <w:t xml:space="preserve"> </w:t>
      </w:r>
      <w:r>
        <w:rPr>
          <w:spacing w:val="-1"/>
        </w:rPr>
        <w:t>is</w:t>
      </w:r>
      <w:r>
        <w:rPr>
          <w:spacing w:val="4"/>
        </w:rPr>
        <w:t xml:space="preserve"> </w:t>
      </w:r>
      <w:r>
        <w:rPr>
          <w:spacing w:val="-2"/>
        </w:rPr>
        <w:t>liable</w:t>
      </w:r>
      <w:r>
        <w:rPr>
          <w:spacing w:val="4"/>
        </w:rPr>
        <w:t xml:space="preserve"> </w:t>
      </w:r>
      <w:r>
        <w:t>to</w:t>
      </w:r>
      <w:r>
        <w:rPr>
          <w:spacing w:val="4"/>
        </w:rPr>
        <w:t xml:space="preserve"> </w:t>
      </w:r>
      <w:r>
        <w:rPr>
          <w:spacing w:val="-1"/>
        </w:rPr>
        <w:t>be</w:t>
      </w:r>
      <w:r>
        <w:rPr>
          <w:spacing w:val="4"/>
        </w:rPr>
        <w:t xml:space="preserve"> </w:t>
      </w:r>
      <w:r>
        <w:rPr>
          <w:spacing w:val="-1"/>
        </w:rPr>
        <w:t>taxed</w:t>
      </w:r>
      <w:r>
        <w:rPr>
          <w:spacing w:val="4"/>
        </w:rPr>
        <w:t xml:space="preserve"> </w:t>
      </w:r>
      <w:r>
        <w:rPr>
          <w:spacing w:val="-1"/>
        </w:rPr>
        <w:t>in</w:t>
      </w:r>
      <w:r>
        <w:rPr>
          <w:spacing w:val="6"/>
        </w:rPr>
        <w:t xml:space="preserve"> </w:t>
      </w:r>
      <w:r>
        <w:t>the</w:t>
      </w:r>
      <w:r>
        <w:rPr>
          <w:spacing w:val="4"/>
        </w:rPr>
        <w:t xml:space="preserve"> </w:t>
      </w:r>
      <w:r>
        <w:rPr>
          <w:spacing w:val="-1"/>
        </w:rPr>
        <w:t>UK</w:t>
      </w:r>
      <w:r>
        <w:rPr>
          <w:spacing w:val="3"/>
        </w:rPr>
        <w:t xml:space="preserve"> </w:t>
      </w:r>
      <w:r>
        <w:rPr>
          <w:spacing w:val="-1"/>
        </w:rPr>
        <w:t>in</w:t>
      </w:r>
      <w:r>
        <w:rPr>
          <w:spacing w:val="4"/>
        </w:rPr>
        <w:t xml:space="preserve"> </w:t>
      </w:r>
      <w:r>
        <w:rPr>
          <w:spacing w:val="-1"/>
        </w:rPr>
        <w:t>respect</w:t>
      </w:r>
      <w:r>
        <w:rPr>
          <w:spacing w:val="6"/>
        </w:rPr>
        <w:t xml:space="preserve"> </w:t>
      </w:r>
      <w:r>
        <w:rPr>
          <w:spacing w:val="-2"/>
        </w:rPr>
        <w:t>of</w:t>
      </w:r>
      <w:r>
        <w:rPr>
          <w:spacing w:val="3"/>
        </w:rPr>
        <w:t xml:space="preserve"> </w:t>
      </w:r>
      <w:r>
        <w:rPr>
          <w:spacing w:val="-1"/>
        </w:rPr>
        <w:t>any</w:t>
      </w:r>
      <w:r>
        <w:rPr>
          <w:spacing w:val="2"/>
        </w:rPr>
        <w:t xml:space="preserve"> </w:t>
      </w:r>
      <w:r>
        <w:rPr>
          <w:spacing w:val="-1"/>
        </w:rPr>
        <w:t>consideration</w:t>
      </w:r>
      <w:r>
        <w:t xml:space="preserve"> </w:t>
      </w:r>
      <w:r>
        <w:rPr>
          <w:spacing w:val="4"/>
        </w:rPr>
        <w:t xml:space="preserve"> </w:t>
      </w:r>
      <w:r>
        <w:rPr>
          <w:spacing w:val="-1"/>
        </w:rPr>
        <w:t>it</w:t>
      </w:r>
      <w:r>
        <w:rPr>
          <w:spacing w:val="33"/>
        </w:rPr>
        <w:t xml:space="preserve"> </w:t>
      </w:r>
      <w:r>
        <w:rPr>
          <w:spacing w:val="-1"/>
        </w:rPr>
        <w:t>receives</w:t>
      </w:r>
      <w:r>
        <w:rPr>
          <w:spacing w:val="6"/>
        </w:rPr>
        <w:t xml:space="preserve"> </w:t>
      </w:r>
      <w:r>
        <w:rPr>
          <w:spacing w:val="-1"/>
        </w:rPr>
        <w:t>relating</w:t>
      </w:r>
      <w:r>
        <w:rPr>
          <w:spacing w:val="5"/>
        </w:rPr>
        <w:t xml:space="preserve"> </w:t>
      </w:r>
      <w:r>
        <w:t>to</w:t>
      </w:r>
      <w:r>
        <w:rPr>
          <w:spacing w:val="3"/>
        </w:rPr>
        <w:t xml:space="preserve"> </w:t>
      </w:r>
      <w:r>
        <w:t>the</w:t>
      </w:r>
      <w:r>
        <w:rPr>
          <w:spacing w:val="5"/>
        </w:rPr>
        <w:t xml:space="preserve"> </w:t>
      </w:r>
      <w:r>
        <w:rPr>
          <w:spacing w:val="-2"/>
        </w:rPr>
        <w:t>Services,</w:t>
      </w:r>
      <w:r>
        <w:rPr>
          <w:spacing w:val="8"/>
        </w:rPr>
        <w:t xml:space="preserve"> </w:t>
      </w:r>
      <w:r>
        <w:rPr>
          <w:spacing w:val="-1"/>
        </w:rPr>
        <w:t>then</w:t>
      </w:r>
      <w:r>
        <w:rPr>
          <w:spacing w:val="3"/>
        </w:rPr>
        <w:t xml:space="preserve"> </w:t>
      </w:r>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1"/>
        </w:rPr>
        <w:t>ensure</w:t>
      </w:r>
      <w:r>
        <w:rPr>
          <w:spacing w:val="3"/>
        </w:rPr>
        <w:t xml:space="preserve"> </w:t>
      </w:r>
      <w:r>
        <w:rPr>
          <w:spacing w:val="-1"/>
        </w:rPr>
        <w:t>that</w:t>
      </w:r>
      <w:r>
        <w:rPr>
          <w:spacing w:val="7"/>
        </w:rPr>
        <w:t xml:space="preserve"> </w:t>
      </w:r>
      <w:r>
        <w:rPr>
          <w:spacing w:val="-1"/>
        </w:rPr>
        <w:t>its</w:t>
      </w:r>
      <w:r>
        <w:rPr>
          <w:spacing w:val="53"/>
        </w:rPr>
        <w:t xml:space="preserve"> </w:t>
      </w:r>
      <w:r>
        <w:rPr>
          <w:spacing w:val="-1"/>
        </w:rPr>
        <w:t>contract</w:t>
      </w:r>
      <w:r>
        <w:rPr>
          <w:spacing w:val="2"/>
        </w:rPr>
        <w:t xml:space="preserve"> </w:t>
      </w:r>
      <w:r>
        <w:rPr>
          <w:spacing w:val="-2"/>
        </w:rPr>
        <w:t>with</w:t>
      </w:r>
      <w:r>
        <w:t xml:space="preserve"> the</w:t>
      </w:r>
      <w:r>
        <w:rPr>
          <w:spacing w:val="-9"/>
        </w:rPr>
        <w:t xml:space="preserve"> </w:t>
      </w:r>
      <w:r>
        <w:t>Worker</w:t>
      </w:r>
      <w:r>
        <w:rPr>
          <w:spacing w:val="-1"/>
        </w:rPr>
        <w:t xml:space="preserve"> includes</w:t>
      </w:r>
      <w:r>
        <w:rPr>
          <w:spacing w:val="1"/>
        </w:rPr>
        <w:t xml:space="preserve"> </w:t>
      </w:r>
      <w:r>
        <w:t>the</w:t>
      </w:r>
      <w:r>
        <w:rPr>
          <w:spacing w:val="-2"/>
        </w:rPr>
        <w:t xml:space="preserve"> following</w:t>
      </w:r>
      <w:r>
        <w:rPr>
          <w:spacing w:val="3"/>
        </w:rPr>
        <w:t xml:space="preserve"> </w:t>
      </w:r>
      <w:r>
        <w:rPr>
          <w:spacing w:val="-1"/>
        </w:rPr>
        <w:t>requirements:</w:t>
      </w:r>
    </w:p>
    <w:p w:rsidR="008918FA" w:rsidRDefault="008918FA" w:rsidP="008918FA">
      <w:pPr>
        <w:pStyle w:val="BodyText"/>
        <w:numPr>
          <w:ilvl w:val="3"/>
          <w:numId w:val="66"/>
        </w:numPr>
        <w:tabs>
          <w:tab w:val="left" w:pos="2954"/>
        </w:tabs>
        <w:spacing w:before="121"/>
        <w:ind w:left="2953" w:right="115" w:hanging="707"/>
        <w:jc w:val="both"/>
      </w:pPr>
      <w:bookmarkStart w:id="153" w:name="_bookmark132"/>
      <w:bookmarkEnd w:id="153"/>
      <w:r>
        <w:rPr>
          <w:spacing w:val="-1"/>
        </w:rPr>
        <w:t>that</w:t>
      </w:r>
      <w:r>
        <w:rPr>
          <w:spacing w:val="42"/>
        </w:rPr>
        <w:t xml:space="preserve"> </w:t>
      </w:r>
      <w:r>
        <w:t>the</w:t>
      </w:r>
      <w:r>
        <w:rPr>
          <w:spacing w:val="34"/>
        </w:rPr>
        <w:t xml:space="preserve"> </w:t>
      </w:r>
      <w:r>
        <w:t>Worker</w:t>
      </w:r>
      <w:r>
        <w:rPr>
          <w:spacing w:val="42"/>
        </w:rPr>
        <w:t xml:space="preserve"> </w:t>
      </w:r>
      <w:r>
        <w:rPr>
          <w:spacing w:val="-1"/>
        </w:rPr>
        <w:t>must</w:t>
      </w:r>
      <w:r>
        <w:rPr>
          <w:spacing w:val="42"/>
        </w:rPr>
        <w:t xml:space="preserve"> </w:t>
      </w:r>
      <w:r>
        <w:rPr>
          <w:spacing w:val="-2"/>
        </w:rPr>
        <w:t>comply</w:t>
      </w:r>
      <w:r>
        <w:rPr>
          <w:spacing w:val="41"/>
        </w:rPr>
        <w:t xml:space="preserve"> </w:t>
      </w:r>
      <w:r>
        <w:rPr>
          <w:spacing w:val="-2"/>
        </w:rPr>
        <w:t>with</w:t>
      </w:r>
      <w:r>
        <w:rPr>
          <w:spacing w:val="41"/>
        </w:rPr>
        <w:t xml:space="preserve"> </w:t>
      </w:r>
      <w:r>
        <w:t>the</w:t>
      </w:r>
      <w:r>
        <w:rPr>
          <w:spacing w:val="42"/>
        </w:rPr>
        <w:t xml:space="preserve"> </w:t>
      </w:r>
      <w:r>
        <w:rPr>
          <w:spacing w:val="-1"/>
        </w:rPr>
        <w:t>Income</w:t>
      </w:r>
      <w:r>
        <w:rPr>
          <w:spacing w:val="39"/>
        </w:rPr>
        <w:t xml:space="preserve"> </w:t>
      </w:r>
      <w:r>
        <w:t>Tax</w:t>
      </w:r>
      <w:r>
        <w:rPr>
          <w:spacing w:val="39"/>
        </w:rPr>
        <w:t xml:space="preserve"> </w:t>
      </w:r>
      <w:r>
        <w:rPr>
          <w:spacing w:val="-1"/>
        </w:rPr>
        <w:t>(Earnings</w:t>
      </w:r>
      <w:r>
        <w:rPr>
          <w:spacing w:val="36"/>
        </w:rPr>
        <w:t xml:space="preserve"> </w:t>
      </w:r>
      <w:r>
        <w:rPr>
          <w:spacing w:val="-1"/>
        </w:rPr>
        <w:t>and</w:t>
      </w:r>
      <w:r>
        <w:rPr>
          <w:spacing w:val="55"/>
        </w:rPr>
        <w:t xml:space="preserve"> </w:t>
      </w:r>
      <w:r>
        <w:rPr>
          <w:spacing w:val="-1"/>
        </w:rPr>
        <w:t>Pensions)</w:t>
      </w:r>
      <w:r>
        <w:rPr>
          <w:spacing w:val="57"/>
        </w:rPr>
        <w:t xml:space="preserve"> </w:t>
      </w:r>
      <w:r>
        <w:rPr>
          <w:spacing w:val="-1"/>
        </w:rPr>
        <w:t>Act</w:t>
      </w:r>
      <w:r>
        <w:rPr>
          <w:spacing w:val="55"/>
        </w:rPr>
        <w:t xml:space="preserve"> </w:t>
      </w:r>
      <w:r>
        <w:rPr>
          <w:spacing w:val="-2"/>
        </w:rPr>
        <w:t>2003</w:t>
      </w:r>
      <w:r>
        <w:rPr>
          <w:spacing w:val="55"/>
        </w:rPr>
        <w:t xml:space="preserve"> </w:t>
      </w:r>
      <w:r>
        <w:rPr>
          <w:spacing w:val="-1"/>
        </w:rPr>
        <w:t>(ITEPA)</w:t>
      </w:r>
      <w:r>
        <w:rPr>
          <w:spacing w:val="57"/>
        </w:rPr>
        <w:t xml:space="preserve"> </w:t>
      </w:r>
      <w:r>
        <w:rPr>
          <w:spacing w:val="-1"/>
        </w:rPr>
        <w:t>and</w:t>
      </w:r>
      <w:r>
        <w:rPr>
          <w:spacing w:val="53"/>
        </w:rPr>
        <w:t xml:space="preserve"> </w:t>
      </w:r>
      <w:r>
        <w:rPr>
          <w:spacing w:val="-1"/>
        </w:rPr>
        <w:t>all</w:t>
      </w:r>
      <w:r>
        <w:rPr>
          <w:spacing w:val="56"/>
        </w:rPr>
        <w:t xml:space="preserve"> </w:t>
      </w:r>
      <w:r>
        <w:rPr>
          <w:spacing w:val="-1"/>
        </w:rPr>
        <w:t>other</w:t>
      </w:r>
      <w:r>
        <w:rPr>
          <w:spacing w:val="57"/>
        </w:rPr>
        <w:t xml:space="preserve"> </w:t>
      </w:r>
      <w:r>
        <w:rPr>
          <w:spacing w:val="-1"/>
        </w:rPr>
        <w:t>statutes</w:t>
      </w:r>
      <w:r>
        <w:rPr>
          <w:spacing w:val="56"/>
        </w:rPr>
        <w:t xml:space="preserve"> </w:t>
      </w:r>
      <w:r>
        <w:rPr>
          <w:spacing w:val="-1"/>
        </w:rPr>
        <w:t>and</w:t>
      </w:r>
      <w:r>
        <w:rPr>
          <w:spacing w:val="30"/>
        </w:rPr>
        <w:t xml:space="preserve"> </w:t>
      </w:r>
      <w:r>
        <w:rPr>
          <w:spacing w:val="-1"/>
        </w:rPr>
        <w:t>regulations</w:t>
      </w:r>
      <w:r>
        <w:rPr>
          <w:spacing w:val="39"/>
        </w:rPr>
        <w:t xml:space="preserve"> </w:t>
      </w:r>
      <w:r>
        <w:rPr>
          <w:spacing w:val="-1"/>
        </w:rPr>
        <w:t>relating</w:t>
      </w:r>
      <w:r>
        <w:rPr>
          <w:spacing w:val="41"/>
        </w:rPr>
        <w:t xml:space="preserve"> </w:t>
      </w:r>
      <w:r>
        <w:t>to</w:t>
      </w:r>
      <w:r>
        <w:rPr>
          <w:spacing w:val="36"/>
        </w:rPr>
        <w:t xml:space="preserve"> </w:t>
      </w:r>
      <w:r>
        <w:rPr>
          <w:spacing w:val="-1"/>
        </w:rPr>
        <w:t>income</w:t>
      </w:r>
      <w:r>
        <w:rPr>
          <w:spacing w:val="39"/>
        </w:rPr>
        <w:t xml:space="preserve"> </w:t>
      </w:r>
      <w:r>
        <w:t>tax</w:t>
      </w:r>
      <w:r>
        <w:rPr>
          <w:spacing w:val="37"/>
        </w:rPr>
        <w:t xml:space="preserve"> </w:t>
      </w:r>
      <w:r>
        <w:rPr>
          <w:spacing w:val="-1"/>
        </w:rPr>
        <w:t>in</w:t>
      </w:r>
      <w:r>
        <w:rPr>
          <w:spacing w:val="39"/>
        </w:rPr>
        <w:t xml:space="preserve"> </w:t>
      </w:r>
      <w:r>
        <w:rPr>
          <w:spacing w:val="-1"/>
        </w:rPr>
        <w:t>respect</w:t>
      </w:r>
      <w:r>
        <w:rPr>
          <w:spacing w:val="42"/>
        </w:rPr>
        <w:t xml:space="preserve"> </w:t>
      </w:r>
      <w:r>
        <w:rPr>
          <w:spacing w:val="-2"/>
        </w:rPr>
        <w:t>of</w:t>
      </w:r>
      <w:r>
        <w:rPr>
          <w:spacing w:val="40"/>
        </w:rPr>
        <w:t xml:space="preserve"> </w:t>
      </w:r>
      <w:r>
        <w:rPr>
          <w:spacing w:val="-1"/>
        </w:rPr>
        <w:t>that</w:t>
      </w:r>
      <w:r>
        <w:rPr>
          <w:spacing w:val="24"/>
        </w:rPr>
        <w:t xml:space="preserve"> </w:t>
      </w:r>
      <w:r>
        <w:rPr>
          <w:spacing w:val="-1"/>
        </w:rPr>
        <w:t>consideration;</w:t>
      </w:r>
    </w:p>
    <w:p w:rsidR="008918FA" w:rsidRDefault="008918FA" w:rsidP="008918FA">
      <w:pPr>
        <w:pStyle w:val="BodyText"/>
        <w:numPr>
          <w:ilvl w:val="3"/>
          <w:numId w:val="66"/>
        </w:numPr>
        <w:tabs>
          <w:tab w:val="left" w:pos="2954"/>
        </w:tabs>
        <w:spacing w:before="121"/>
        <w:ind w:left="2953" w:right="112" w:hanging="707"/>
        <w:jc w:val="both"/>
      </w:pPr>
      <w:bookmarkStart w:id="154" w:name="_bookmark133"/>
      <w:bookmarkEnd w:id="154"/>
      <w:r>
        <w:rPr>
          <w:spacing w:val="-1"/>
        </w:rPr>
        <w:t>that</w:t>
      </w:r>
      <w:r>
        <w:rPr>
          <w:spacing w:val="11"/>
        </w:rPr>
        <w:t xml:space="preserve"> </w:t>
      </w:r>
      <w:r>
        <w:t>the</w:t>
      </w:r>
      <w:r>
        <w:rPr>
          <w:spacing w:val="5"/>
        </w:rPr>
        <w:t xml:space="preserve"> </w:t>
      </w:r>
      <w:r>
        <w:t>Worker</w:t>
      </w:r>
      <w:r>
        <w:rPr>
          <w:spacing w:val="12"/>
        </w:rPr>
        <w:t xml:space="preserve"> </w:t>
      </w:r>
      <w:r>
        <w:rPr>
          <w:spacing w:val="-1"/>
        </w:rPr>
        <w:t>must</w:t>
      </w:r>
      <w:r>
        <w:rPr>
          <w:spacing w:val="13"/>
        </w:rPr>
        <w:t xml:space="preserve"> </w:t>
      </w:r>
      <w:r>
        <w:rPr>
          <w:spacing w:val="-1"/>
        </w:rPr>
        <w:t>comply</w:t>
      </w:r>
      <w:r>
        <w:rPr>
          <w:spacing w:val="10"/>
        </w:rPr>
        <w:t xml:space="preserve"> </w:t>
      </w:r>
      <w:r>
        <w:rPr>
          <w:spacing w:val="-2"/>
        </w:rPr>
        <w:t>with</w:t>
      </w:r>
      <w:r>
        <w:rPr>
          <w:spacing w:val="12"/>
        </w:rPr>
        <w:t xml:space="preserve"> </w:t>
      </w:r>
      <w:r>
        <w:t>the</w:t>
      </w:r>
      <w:r>
        <w:rPr>
          <w:spacing w:val="12"/>
        </w:rPr>
        <w:t xml:space="preserve"> </w:t>
      </w:r>
      <w:r>
        <w:rPr>
          <w:spacing w:val="-1"/>
        </w:rPr>
        <w:t>Social</w:t>
      </w:r>
      <w:r>
        <w:rPr>
          <w:spacing w:val="12"/>
        </w:rPr>
        <w:t xml:space="preserve"> </w:t>
      </w:r>
      <w:r>
        <w:rPr>
          <w:spacing w:val="-1"/>
        </w:rPr>
        <w:t>Security</w:t>
      </w:r>
      <w:r>
        <w:rPr>
          <w:spacing w:val="35"/>
        </w:rPr>
        <w:t xml:space="preserve"> </w:t>
      </w:r>
      <w:r>
        <w:rPr>
          <w:spacing w:val="-1"/>
        </w:rPr>
        <w:t>Contributions</w:t>
      </w:r>
      <w:r>
        <w:rPr>
          <w:spacing w:val="58"/>
        </w:rPr>
        <w:t xml:space="preserve"> </w:t>
      </w:r>
      <w:r>
        <w:rPr>
          <w:spacing w:val="-1"/>
        </w:rPr>
        <w:t>and</w:t>
      </w:r>
      <w:r>
        <w:rPr>
          <w:spacing w:val="58"/>
        </w:rPr>
        <w:t xml:space="preserve"> </w:t>
      </w:r>
      <w:r>
        <w:rPr>
          <w:spacing w:val="-1"/>
        </w:rPr>
        <w:t>Benefits</w:t>
      </w:r>
      <w:r>
        <w:rPr>
          <w:spacing w:val="58"/>
        </w:rPr>
        <w:t xml:space="preserve"> </w:t>
      </w:r>
      <w:r>
        <w:rPr>
          <w:spacing w:val="-1"/>
        </w:rPr>
        <w:t>Act</w:t>
      </w:r>
      <w:r>
        <w:rPr>
          <w:spacing w:val="60"/>
        </w:rPr>
        <w:t xml:space="preserve"> </w:t>
      </w:r>
      <w:r>
        <w:rPr>
          <w:spacing w:val="-1"/>
        </w:rPr>
        <w:t>1992</w:t>
      </w:r>
      <w:r>
        <w:rPr>
          <w:spacing w:val="58"/>
        </w:rPr>
        <w:t xml:space="preserve"> </w:t>
      </w:r>
      <w:r>
        <w:rPr>
          <w:spacing w:val="-1"/>
        </w:rPr>
        <w:t>(SSCBA)</w:t>
      </w:r>
      <w:r>
        <w:rPr>
          <w:spacing w:val="59"/>
        </w:rPr>
        <w:t xml:space="preserve"> </w:t>
      </w:r>
      <w:r>
        <w:rPr>
          <w:spacing w:val="-1"/>
        </w:rPr>
        <w:t>and</w:t>
      </w:r>
      <w:r>
        <w:rPr>
          <w:spacing w:val="59"/>
        </w:rPr>
        <w:t xml:space="preserve"> </w:t>
      </w:r>
      <w:r>
        <w:t>all</w:t>
      </w:r>
      <w:r>
        <w:rPr>
          <w:spacing w:val="57"/>
        </w:rPr>
        <w:t xml:space="preserve"> </w:t>
      </w:r>
      <w:r>
        <w:rPr>
          <w:spacing w:val="-1"/>
        </w:rPr>
        <w:t>other</w:t>
      </w:r>
      <w:r>
        <w:rPr>
          <w:spacing w:val="28"/>
        </w:rPr>
        <w:t xml:space="preserve"> </w:t>
      </w:r>
      <w:r>
        <w:rPr>
          <w:spacing w:val="-1"/>
        </w:rPr>
        <w:t>statutes</w:t>
      </w:r>
      <w:r>
        <w:rPr>
          <w:spacing w:val="44"/>
        </w:rPr>
        <w:t xml:space="preserve"> </w:t>
      </w:r>
      <w:r>
        <w:rPr>
          <w:spacing w:val="-1"/>
        </w:rPr>
        <w:t>and</w:t>
      </w:r>
      <w:r>
        <w:rPr>
          <w:spacing w:val="44"/>
        </w:rPr>
        <w:t xml:space="preserve"> </w:t>
      </w:r>
      <w:r>
        <w:rPr>
          <w:spacing w:val="-1"/>
        </w:rPr>
        <w:t>regulations</w:t>
      </w:r>
      <w:r>
        <w:rPr>
          <w:spacing w:val="44"/>
        </w:rPr>
        <w:t xml:space="preserve"> </w:t>
      </w:r>
      <w:r>
        <w:rPr>
          <w:spacing w:val="-1"/>
        </w:rPr>
        <w:t>relating</w:t>
      </w:r>
      <w:r>
        <w:rPr>
          <w:spacing w:val="44"/>
        </w:rPr>
        <w:t xml:space="preserve"> </w:t>
      </w:r>
      <w:r>
        <w:t>to</w:t>
      </w:r>
      <w:r>
        <w:rPr>
          <w:spacing w:val="44"/>
        </w:rPr>
        <w:t xml:space="preserve"> </w:t>
      </w:r>
      <w:r>
        <w:rPr>
          <w:spacing w:val="-1"/>
        </w:rPr>
        <w:t>national</w:t>
      </w:r>
      <w:r>
        <w:rPr>
          <w:spacing w:val="43"/>
        </w:rPr>
        <w:t xml:space="preserve"> </w:t>
      </w:r>
      <w:r>
        <w:rPr>
          <w:spacing w:val="-1"/>
        </w:rPr>
        <w:t>insurance</w:t>
      </w:r>
      <w:r>
        <w:rPr>
          <w:spacing w:val="28"/>
        </w:rPr>
        <w:t xml:space="preserve"> </w:t>
      </w:r>
      <w:r>
        <w:rPr>
          <w:spacing w:val="-1"/>
        </w:rPr>
        <w:t>contributions in</w:t>
      </w:r>
      <w:r>
        <w:t xml:space="preserve"> </w:t>
      </w:r>
      <w:r>
        <w:rPr>
          <w:spacing w:val="-1"/>
        </w:rPr>
        <w:t>respect</w:t>
      </w:r>
      <w:r>
        <w:t xml:space="preserve"> </w:t>
      </w:r>
      <w:r>
        <w:rPr>
          <w:spacing w:val="-2"/>
        </w:rPr>
        <w:t>of</w:t>
      </w:r>
      <w:r>
        <w:t xml:space="preserve"> </w:t>
      </w:r>
      <w:r>
        <w:rPr>
          <w:spacing w:val="-1"/>
        </w:rPr>
        <w:t>that</w:t>
      </w:r>
      <w:r>
        <w:t xml:space="preserve"> </w:t>
      </w:r>
      <w:r>
        <w:rPr>
          <w:spacing w:val="-1"/>
        </w:rPr>
        <w:t>consideration;</w:t>
      </w:r>
    </w:p>
    <w:p w:rsidR="008918FA" w:rsidRDefault="008918FA" w:rsidP="008918FA">
      <w:pPr>
        <w:pStyle w:val="BodyText"/>
        <w:numPr>
          <w:ilvl w:val="3"/>
          <w:numId w:val="66"/>
        </w:numPr>
        <w:tabs>
          <w:tab w:val="left" w:pos="2954"/>
        </w:tabs>
        <w:ind w:left="2953" w:right="113"/>
        <w:jc w:val="both"/>
      </w:pPr>
      <w:r>
        <w:rPr>
          <w:spacing w:val="-1"/>
        </w:rPr>
        <w:t>that</w:t>
      </w:r>
      <w:r>
        <w:rPr>
          <w:spacing w:val="4"/>
        </w:rPr>
        <w:t xml:space="preserve"> </w:t>
      </w:r>
      <w:r>
        <w:t>the</w:t>
      </w:r>
      <w:r>
        <w:rPr>
          <w:spacing w:val="5"/>
        </w:rPr>
        <w:t xml:space="preserve"> </w:t>
      </w:r>
      <w:r>
        <w:rPr>
          <w:spacing w:val="-1"/>
        </w:rPr>
        <w:t>Customer</w:t>
      </w:r>
      <w:r>
        <w:rPr>
          <w:spacing w:val="4"/>
        </w:rPr>
        <w:t xml:space="preserve"> </w:t>
      </w:r>
      <w:r>
        <w:rPr>
          <w:spacing w:val="-1"/>
        </w:rPr>
        <w:t>may,</w:t>
      </w:r>
      <w:r>
        <w:rPr>
          <w:spacing w:val="4"/>
        </w:rPr>
        <w:t xml:space="preserve"> </w:t>
      </w:r>
      <w:r>
        <w:rPr>
          <w:spacing w:val="-1"/>
        </w:rPr>
        <w:t>at</w:t>
      </w:r>
      <w:r>
        <w:rPr>
          <w:spacing w:val="7"/>
        </w:rPr>
        <w:t xml:space="preserve"> </w:t>
      </w:r>
      <w:r>
        <w:rPr>
          <w:spacing w:val="-1"/>
        </w:rPr>
        <w:t>any</w:t>
      </w:r>
      <w:r>
        <w:rPr>
          <w:spacing w:val="3"/>
        </w:rPr>
        <w:t xml:space="preserve"> </w:t>
      </w:r>
      <w:r>
        <w:rPr>
          <w:spacing w:val="-1"/>
        </w:rPr>
        <w:t>time</w:t>
      </w:r>
      <w:r>
        <w:rPr>
          <w:spacing w:val="5"/>
        </w:rPr>
        <w:t xml:space="preserve"> </w:t>
      </w:r>
      <w:r>
        <w:rPr>
          <w:spacing w:val="-2"/>
        </w:rPr>
        <w:t>during</w:t>
      </w:r>
      <w:r>
        <w:rPr>
          <w:spacing w:val="5"/>
        </w:rPr>
        <w:t xml:space="preserve"> </w:t>
      </w:r>
      <w:r>
        <w:t>the</w:t>
      </w:r>
      <w:r>
        <w:rPr>
          <w:spacing w:val="7"/>
        </w:rPr>
        <w:t xml:space="preserve"> </w:t>
      </w:r>
      <w:r>
        <w:rPr>
          <w:spacing w:val="-2"/>
        </w:rPr>
        <w:t>Call</w:t>
      </w:r>
      <w:r>
        <w:rPr>
          <w:spacing w:val="4"/>
        </w:rPr>
        <w:t xml:space="preserve"> </w:t>
      </w:r>
      <w:r>
        <w:rPr>
          <w:spacing w:val="-1"/>
        </w:rPr>
        <w:t>Off</w:t>
      </w:r>
      <w:r>
        <w:rPr>
          <w:spacing w:val="9"/>
        </w:rPr>
        <w:t xml:space="preserve"> </w:t>
      </w:r>
      <w:r>
        <w:rPr>
          <w:spacing w:val="-2"/>
        </w:rPr>
        <w:t>Contract</w:t>
      </w:r>
      <w:r>
        <w:rPr>
          <w:spacing w:val="53"/>
        </w:rPr>
        <w:t xml:space="preserve"> </w:t>
      </w:r>
      <w:r>
        <w:rPr>
          <w:spacing w:val="-1"/>
        </w:rPr>
        <w:t>Period,</w:t>
      </w:r>
      <w:r>
        <w:rPr>
          <w:spacing w:val="25"/>
        </w:rPr>
        <w:t xml:space="preserve"> </w:t>
      </w:r>
      <w:r>
        <w:rPr>
          <w:spacing w:val="-1"/>
        </w:rPr>
        <w:t>request</w:t>
      </w:r>
      <w:r>
        <w:rPr>
          <w:spacing w:val="23"/>
        </w:rPr>
        <w:t xml:space="preserve"> </w:t>
      </w:r>
      <w:r>
        <w:rPr>
          <w:spacing w:val="-1"/>
        </w:rPr>
        <w:t>that</w:t>
      </w:r>
      <w:r>
        <w:rPr>
          <w:spacing w:val="25"/>
        </w:rPr>
        <w:t xml:space="preserve"> </w:t>
      </w:r>
      <w:r>
        <w:rPr>
          <w:spacing w:val="-1"/>
        </w:rPr>
        <w:t>the</w:t>
      </w:r>
      <w:r>
        <w:rPr>
          <w:spacing w:val="18"/>
        </w:rPr>
        <w:t xml:space="preserve"> </w:t>
      </w:r>
      <w:r>
        <w:t>Worker</w:t>
      </w:r>
      <w:r>
        <w:rPr>
          <w:spacing w:val="24"/>
        </w:rPr>
        <w:t xml:space="preserve"> </w:t>
      </w:r>
      <w:r>
        <w:rPr>
          <w:spacing w:val="-2"/>
        </w:rPr>
        <w:t>provide</w:t>
      </w:r>
      <w:r>
        <w:rPr>
          <w:spacing w:val="23"/>
        </w:rPr>
        <w:t xml:space="preserve"> </w:t>
      </w:r>
      <w:r>
        <w:rPr>
          <w:spacing w:val="-1"/>
        </w:rPr>
        <w:t>information</w:t>
      </w:r>
      <w:r>
        <w:rPr>
          <w:spacing w:val="23"/>
        </w:rPr>
        <w:t xml:space="preserve"> </w:t>
      </w:r>
      <w:r>
        <w:rPr>
          <w:spacing w:val="-2"/>
        </w:rPr>
        <w:t>which</w:t>
      </w:r>
      <w:r>
        <w:rPr>
          <w:spacing w:val="44"/>
        </w:rPr>
        <w:t xml:space="preserve"> </w:t>
      </w:r>
      <w:r>
        <w:rPr>
          <w:spacing w:val="-1"/>
        </w:rPr>
        <w:t>demonstrates</w:t>
      </w:r>
      <w:r>
        <w:rPr>
          <w:spacing w:val="1"/>
        </w:rPr>
        <w:t xml:space="preserve"> </w:t>
      </w:r>
      <w:r>
        <w:rPr>
          <w:spacing w:val="-1"/>
        </w:rPr>
        <w:t>how</w:t>
      </w:r>
      <w:r>
        <w:rPr>
          <w:spacing w:val="58"/>
        </w:rPr>
        <w:t xml:space="preserve"> </w:t>
      </w:r>
      <w:r>
        <w:t>the</w:t>
      </w:r>
      <w:r>
        <w:rPr>
          <w:spacing w:val="59"/>
        </w:rPr>
        <w:t xml:space="preserve"> </w:t>
      </w:r>
      <w:r>
        <w:t>Worker</w:t>
      </w:r>
      <w:r>
        <w:rPr>
          <w:spacing w:val="2"/>
        </w:rPr>
        <w:t xml:space="preserve"> </w:t>
      </w:r>
      <w:r>
        <w:rPr>
          <w:spacing w:val="-2"/>
        </w:rPr>
        <w:t>complies</w:t>
      </w:r>
      <w:r>
        <w:rPr>
          <w:spacing w:val="1"/>
        </w:rPr>
        <w:t xml:space="preserve"> </w:t>
      </w:r>
      <w:r w:rsidR="00F64EFB">
        <w:rPr>
          <w:spacing w:val="-1"/>
        </w:rPr>
        <w:t>with</w:t>
      </w:r>
      <w:r w:rsidR="00F64EFB">
        <w:t xml:space="preserve"> the above</w:t>
      </w:r>
      <w:r>
        <w:rPr>
          <w:spacing w:val="37"/>
        </w:rPr>
        <w:t xml:space="preserve"> </w:t>
      </w:r>
      <w:r>
        <w:rPr>
          <w:spacing w:val="-1"/>
        </w:rPr>
        <w:t>requirements</w:t>
      </w:r>
      <w:r>
        <w:rPr>
          <w:spacing w:val="49"/>
        </w:rPr>
        <w:t xml:space="preserve"> </w:t>
      </w:r>
      <w:hyperlink w:anchor="_bookmark132" w:history="1">
        <w:r>
          <w:rPr>
            <w:spacing w:val="-1"/>
          </w:rPr>
          <w:t>(a)</w:t>
        </w:r>
      </w:hyperlink>
      <w:r>
        <w:rPr>
          <w:spacing w:val="49"/>
        </w:rPr>
        <w:t xml:space="preserve"> </w:t>
      </w:r>
      <w:r>
        <w:rPr>
          <w:spacing w:val="-1"/>
        </w:rPr>
        <w:t>and</w:t>
      </w:r>
      <w:r>
        <w:rPr>
          <w:spacing w:val="48"/>
        </w:rPr>
        <w:t xml:space="preserve"> </w:t>
      </w:r>
      <w:hyperlink w:anchor="_bookmark133" w:history="1">
        <w:r>
          <w:rPr>
            <w:spacing w:val="-1"/>
          </w:rPr>
          <w:t>(b)</w:t>
        </w:r>
      </w:hyperlink>
      <w:r>
        <w:rPr>
          <w:spacing w:val="-1"/>
        </w:rPr>
        <w:t>,</w:t>
      </w:r>
      <w:r>
        <w:rPr>
          <w:spacing w:val="52"/>
        </w:rPr>
        <w:t xml:space="preserve"> </w:t>
      </w:r>
      <w:r>
        <w:rPr>
          <w:spacing w:val="-2"/>
        </w:rPr>
        <w:t>or</w:t>
      </w:r>
      <w:r>
        <w:rPr>
          <w:spacing w:val="52"/>
        </w:rPr>
        <w:t xml:space="preserve"> </w:t>
      </w:r>
      <w:r>
        <w:rPr>
          <w:spacing w:val="-2"/>
        </w:rPr>
        <w:t>why</w:t>
      </w:r>
      <w:r>
        <w:rPr>
          <w:spacing w:val="49"/>
        </w:rPr>
        <w:t xml:space="preserve"> </w:t>
      </w:r>
      <w:r>
        <w:rPr>
          <w:spacing w:val="-1"/>
        </w:rPr>
        <w:t>those</w:t>
      </w:r>
      <w:r>
        <w:rPr>
          <w:spacing w:val="52"/>
        </w:rPr>
        <w:t xml:space="preserve"> </w:t>
      </w:r>
      <w:r>
        <w:rPr>
          <w:spacing w:val="-1"/>
        </w:rPr>
        <w:t>requirements</w:t>
      </w:r>
      <w:r>
        <w:rPr>
          <w:spacing w:val="49"/>
        </w:rPr>
        <w:t xml:space="preserve"> </w:t>
      </w:r>
      <w:r>
        <w:rPr>
          <w:spacing w:val="-1"/>
        </w:rPr>
        <w:t>do</w:t>
      </w:r>
      <w:r>
        <w:rPr>
          <w:spacing w:val="51"/>
        </w:rPr>
        <w:t xml:space="preserve"> </w:t>
      </w:r>
      <w:r>
        <w:rPr>
          <w:spacing w:val="-2"/>
        </w:rPr>
        <w:t>not</w:t>
      </w:r>
      <w:r>
        <w:rPr>
          <w:spacing w:val="37"/>
        </w:rPr>
        <w:t xml:space="preserve"> </w:t>
      </w:r>
      <w:r>
        <w:rPr>
          <w:spacing w:val="-1"/>
        </w:rPr>
        <w:t>apply</w:t>
      </w:r>
      <w:r>
        <w:rPr>
          <w:spacing w:val="24"/>
        </w:rPr>
        <w:t xml:space="preserve"> </w:t>
      </w:r>
      <w:r>
        <w:t>to</w:t>
      </w:r>
      <w:r>
        <w:rPr>
          <w:spacing w:val="28"/>
        </w:rPr>
        <w:t xml:space="preserve"> </w:t>
      </w:r>
      <w:r>
        <w:rPr>
          <w:spacing w:val="-1"/>
        </w:rPr>
        <w:t>it.</w:t>
      </w:r>
      <w:r>
        <w:rPr>
          <w:spacing w:val="27"/>
        </w:rPr>
        <w:t xml:space="preserve"> </w:t>
      </w:r>
      <w:r>
        <w:t>In</w:t>
      </w:r>
      <w:r>
        <w:rPr>
          <w:spacing w:val="26"/>
        </w:rPr>
        <w:t xml:space="preserve"> </w:t>
      </w:r>
      <w:r>
        <w:rPr>
          <w:spacing w:val="-1"/>
        </w:rPr>
        <w:t>such</w:t>
      </w:r>
      <w:r>
        <w:rPr>
          <w:spacing w:val="26"/>
        </w:rPr>
        <w:t xml:space="preserve"> </w:t>
      </w:r>
      <w:r>
        <w:rPr>
          <w:spacing w:val="-1"/>
        </w:rPr>
        <w:t>case,</w:t>
      </w:r>
      <w:r>
        <w:rPr>
          <w:spacing w:val="27"/>
        </w:rPr>
        <w:t xml:space="preserve"> </w:t>
      </w:r>
      <w:r>
        <w:t>the</w:t>
      </w:r>
      <w:r>
        <w:rPr>
          <w:spacing w:val="26"/>
        </w:rPr>
        <w:t xml:space="preserve"> </w:t>
      </w:r>
      <w:r>
        <w:rPr>
          <w:spacing w:val="-1"/>
        </w:rPr>
        <w:t>Customer</w:t>
      </w:r>
      <w:r>
        <w:rPr>
          <w:spacing w:val="24"/>
        </w:rPr>
        <w:t xml:space="preserve"> </w:t>
      </w:r>
      <w:r>
        <w:rPr>
          <w:spacing w:val="-1"/>
        </w:rPr>
        <w:t>may</w:t>
      </w:r>
      <w:r>
        <w:rPr>
          <w:spacing w:val="24"/>
        </w:rPr>
        <w:t xml:space="preserve"> </w:t>
      </w:r>
      <w:r>
        <w:rPr>
          <w:spacing w:val="-1"/>
        </w:rPr>
        <w:t>specify</w:t>
      </w:r>
      <w:r>
        <w:rPr>
          <w:spacing w:val="24"/>
        </w:rPr>
        <w:t xml:space="preserve"> </w:t>
      </w:r>
      <w:r>
        <w:rPr>
          <w:spacing w:val="-1"/>
        </w:rPr>
        <w:t>the</w:t>
      </w:r>
      <w:r>
        <w:rPr>
          <w:spacing w:val="30"/>
        </w:rPr>
        <w:t xml:space="preserve"> </w:t>
      </w:r>
      <w:r>
        <w:rPr>
          <w:spacing w:val="-1"/>
        </w:rPr>
        <w:t>information</w:t>
      </w:r>
      <w:r>
        <w:rPr>
          <w:spacing w:val="11"/>
        </w:rPr>
        <w:t xml:space="preserve"> </w:t>
      </w:r>
      <w:r>
        <w:rPr>
          <w:spacing w:val="-2"/>
        </w:rPr>
        <w:t>which</w:t>
      </w:r>
      <w:r>
        <w:rPr>
          <w:spacing w:val="12"/>
        </w:rPr>
        <w:t xml:space="preserve"> </w:t>
      </w:r>
      <w:r>
        <w:t>the</w:t>
      </w:r>
      <w:r>
        <w:rPr>
          <w:spacing w:val="9"/>
        </w:rPr>
        <w:t xml:space="preserve"> </w:t>
      </w:r>
      <w:r>
        <w:rPr>
          <w:spacing w:val="-1"/>
        </w:rPr>
        <w:t>Worker</w:t>
      </w:r>
      <w:r>
        <w:rPr>
          <w:spacing w:val="10"/>
        </w:rPr>
        <w:t xml:space="preserve"> </w:t>
      </w:r>
      <w:r>
        <w:rPr>
          <w:spacing w:val="-1"/>
        </w:rPr>
        <w:t>must</w:t>
      </w:r>
      <w:r>
        <w:rPr>
          <w:spacing w:val="11"/>
        </w:rPr>
        <w:t xml:space="preserve"> </w:t>
      </w:r>
      <w:r>
        <w:rPr>
          <w:spacing w:val="-2"/>
        </w:rPr>
        <w:t>provide</w:t>
      </w:r>
      <w:r>
        <w:rPr>
          <w:spacing w:val="11"/>
        </w:rPr>
        <w:t xml:space="preserve"> </w:t>
      </w:r>
      <w:r>
        <w:rPr>
          <w:spacing w:val="-2"/>
        </w:rPr>
        <w:t>and</w:t>
      </w:r>
      <w:r>
        <w:rPr>
          <w:spacing w:val="11"/>
        </w:rPr>
        <w:t xml:space="preserve"> </w:t>
      </w:r>
      <w:r>
        <w:t xml:space="preserve">the </w:t>
      </w:r>
      <w:r>
        <w:rPr>
          <w:spacing w:val="11"/>
        </w:rPr>
        <w:t xml:space="preserve"> </w:t>
      </w:r>
      <w:r>
        <w:rPr>
          <w:spacing w:val="-2"/>
        </w:rPr>
        <w:t>period</w:t>
      </w:r>
      <w:r>
        <w:rPr>
          <w:spacing w:val="42"/>
        </w:rPr>
        <w:t xml:space="preserve"> </w:t>
      </w:r>
      <w:r>
        <w:rPr>
          <w:spacing w:val="-1"/>
        </w:rPr>
        <w:t>within</w:t>
      </w:r>
      <w:r>
        <w:t xml:space="preserve"> </w:t>
      </w:r>
      <w:r>
        <w:rPr>
          <w:spacing w:val="-2"/>
        </w:rPr>
        <w:t>which</w:t>
      </w:r>
      <w:r>
        <w:rPr>
          <w:spacing w:val="1"/>
        </w:rPr>
        <w:t xml:space="preserve"> </w:t>
      </w:r>
      <w:r>
        <w:rPr>
          <w:spacing w:val="-1"/>
        </w:rPr>
        <w:t>that</w:t>
      </w:r>
      <w:r>
        <w:rPr>
          <w:spacing w:val="2"/>
        </w:rPr>
        <w:t xml:space="preserve"> </w:t>
      </w:r>
      <w:r>
        <w:rPr>
          <w:spacing w:val="-1"/>
        </w:rPr>
        <w:t>information</w:t>
      </w:r>
      <w:r>
        <w:t xml:space="preserve"> </w:t>
      </w:r>
      <w:r>
        <w:rPr>
          <w:spacing w:val="-1"/>
        </w:rPr>
        <w:t>must</w:t>
      </w:r>
      <w:r>
        <w:t xml:space="preserve"> </w:t>
      </w:r>
      <w:r>
        <w:rPr>
          <w:spacing w:val="-1"/>
        </w:rPr>
        <w:t>be</w:t>
      </w:r>
      <w:r>
        <w:t xml:space="preserve"> </w:t>
      </w:r>
      <w:r>
        <w:rPr>
          <w:spacing w:val="-2"/>
        </w:rPr>
        <w:t>provided;</w:t>
      </w:r>
    </w:p>
    <w:p w:rsidR="008918FA" w:rsidRDefault="008918FA" w:rsidP="008918FA">
      <w:pPr>
        <w:pStyle w:val="BodyText"/>
        <w:numPr>
          <w:ilvl w:val="3"/>
          <w:numId w:val="66"/>
        </w:numPr>
        <w:tabs>
          <w:tab w:val="left" w:pos="2954"/>
        </w:tabs>
        <w:ind w:left="2953" w:right="114"/>
        <w:jc w:val="both"/>
      </w:pPr>
      <w:r>
        <w:rPr>
          <w:spacing w:val="-1"/>
        </w:rPr>
        <w:t>that</w:t>
      </w:r>
      <w:r>
        <w:rPr>
          <w:spacing w:val="4"/>
        </w:rPr>
        <w:t xml:space="preserve"> </w:t>
      </w:r>
      <w:r>
        <w:t>the</w:t>
      </w:r>
      <w:r>
        <w:rPr>
          <w:spacing w:val="-2"/>
        </w:rPr>
        <w:t xml:space="preserve"> </w:t>
      </w:r>
      <w:r>
        <w:rPr>
          <w:spacing w:val="-1"/>
        </w:rPr>
        <w:t>Worker’s</w:t>
      </w:r>
      <w:r>
        <w:rPr>
          <w:spacing w:val="3"/>
        </w:rPr>
        <w:t xml:space="preserve"> </w:t>
      </w:r>
      <w:r>
        <w:rPr>
          <w:spacing w:val="-1"/>
        </w:rPr>
        <w:t>contract</w:t>
      </w:r>
      <w:r>
        <w:rPr>
          <w:spacing w:val="5"/>
        </w:rPr>
        <w:t xml:space="preserve"> </w:t>
      </w:r>
      <w:r>
        <w:rPr>
          <w:spacing w:val="-1"/>
        </w:rPr>
        <w:t>may</w:t>
      </w:r>
      <w:r>
        <w:rPr>
          <w:spacing w:val="1"/>
        </w:rPr>
        <w:t xml:space="preserve"> </w:t>
      </w:r>
      <w:r>
        <w:rPr>
          <w:spacing w:val="-1"/>
        </w:rPr>
        <w:t>be</w:t>
      </w:r>
      <w:r>
        <w:rPr>
          <w:spacing w:val="3"/>
        </w:rPr>
        <w:t xml:space="preserve"> </w:t>
      </w:r>
      <w:r>
        <w:rPr>
          <w:spacing w:val="-1"/>
        </w:rPr>
        <w:t>terminated</w:t>
      </w:r>
      <w:r>
        <w:rPr>
          <w:spacing w:val="3"/>
        </w:rPr>
        <w:t xml:space="preserve"> </w:t>
      </w:r>
      <w:r>
        <w:rPr>
          <w:spacing w:val="-2"/>
        </w:rPr>
        <w:t>at</w:t>
      </w:r>
      <w:r>
        <w:rPr>
          <w:spacing w:val="4"/>
        </w:rPr>
        <w:t xml:space="preserve"> </w:t>
      </w:r>
      <w:r>
        <w:rPr>
          <w:spacing w:val="-1"/>
        </w:rPr>
        <w:t>the</w:t>
      </w:r>
      <w:r>
        <w:rPr>
          <w:spacing w:val="3"/>
        </w:rPr>
        <w:t xml:space="preserve"> </w:t>
      </w:r>
      <w:r>
        <w:rPr>
          <w:spacing w:val="-1"/>
        </w:rPr>
        <w:t>Customer’s</w:t>
      </w:r>
      <w:r>
        <w:rPr>
          <w:spacing w:val="47"/>
        </w:rPr>
        <w:t xml:space="preserve"> </w:t>
      </w:r>
      <w:r>
        <w:rPr>
          <w:spacing w:val="-1"/>
        </w:rPr>
        <w:t>request</w:t>
      </w:r>
      <w:r>
        <w:t xml:space="preserve"> </w:t>
      </w:r>
      <w:r>
        <w:rPr>
          <w:spacing w:val="-1"/>
        </w:rPr>
        <w:t>if:</w:t>
      </w:r>
    </w:p>
    <w:p w:rsidR="008918FA" w:rsidRDefault="008918FA" w:rsidP="008918FA">
      <w:pPr>
        <w:pStyle w:val="BodyText"/>
        <w:numPr>
          <w:ilvl w:val="4"/>
          <w:numId w:val="66"/>
        </w:numPr>
        <w:tabs>
          <w:tab w:val="left" w:pos="3523"/>
        </w:tabs>
        <w:spacing w:before="121"/>
        <w:ind w:left="3522" w:right="113"/>
        <w:jc w:val="both"/>
      </w:pPr>
      <w:r>
        <w:t>the</w:t>
      </w:r>
      <w:r>
        <w:rPr>
          <w:spacing w:val="24"/>
        </w:rPr>
        <w:t xml:space="preserve"> </w:t>
      </w:r>
      <w:r>
        <w:t>Worker</w:t>
      </w:r>
      <w:r>
        <w:rPr>
          <w:spacing w:val="28"/>
        </w:rPr>
        <w:t xml:space="preserve"> </w:t>
      </w:r>
      <w:r>
        <w:rPr>
          <w:spacing w:val="-1"/>
        </w:rPr>
        <w:t>fails</w:t>
      </w:r>
      <w:r>
        <w:rPr>
          <w:spacing w:val="30"/>
        </w:rPr>
        <w:t xml:space="preserve"> </w:t>
      </w:r>
      <w:r>
        <w:t>to</w:t>
      </w:r>
      <w:r>
        <w:rPr>
          <w:spacing w:val="29"/>
        </w:rPr>
        <w:t xml:space="preserve"> </w:t>
      </w:r>
      <w:r>
        <w:rPr>
          <w:spacing w:val="-1"/>
        </w:rPr>
        <w:t>provide</w:t>
      </w:r>
      <w:r>
        <w:rPr>
          <w:spacing w:val="29"/>
        </w:rPr>
        <w:t xml:space="preserve"> </w:t>
      </w:r>
      <w:r>
        <w:rPr>
          <w:spacing w:val="-1"/>
        </w:rPr>
        <w:t>information</w:t>
      </w:r>
      <w:r>
        <w:rPr>
          <w:spacing w:val="30"/>
        </w:rPr>
        <w:t xml:space="preserve"> </w:t>
      </w:r>
      <w:r>
        <w:rPr>
          <w:spacing w:val="-1"/>
        </w:rPr>
        <w:t>requested</w:t>
      </w:r>
      <w:r>
        <w:rPr>
          <w:spacing w:val="29"/>
        </w:rPr>
        <w:t xml:space="preserve"> </w:t>
      </w:r>
      <w:r>
        <w:rPr>
          <w:spacing w:val="-1"/>
        </w:rPr>
        <w:t>by</w:t>
      </w:r>
      <w:r>
        <w:rPr>
          <w:spacing w:val="27"/>
        </w:rPr>
        <w:t xml:space="preserve"> </w:t>
      </w:r>
      <w:r>
        <w:rPr>
          <w:spacing w:val="-1"/>
        </w:rPr>
        <w:t>the</w:t>
      </w:r>
      <w:r>
        <w:rPr>
          <w:spacing w:val="28"/>
        </w:rPr>
        <w:t xml:space="preserve"> </w:t>
      </w:r>
      <w:r>
        <w:rPr>
          <w:spacing w:val="-1"/>
        </w:rPr>
        <w:t>Customer</w:t>
      </w:r>
      <w:r>
        <w:rPr>
          <w:spacing w:val="20"/>
        </w:rPr>
        <w:t xml:space="preserve"> </w:t>
      </w:r>
      <w:r>
        <w:rPr>
          <w:spacing w:val="-2"/>
        </w:rPr>
        <w:t>within</w:t>
      </w:r>
      <w:r>
        <w:rPr>
          <w:spacing w:val="19"/>
        </w:rPr>
        <w:t xml:space="preserve"> </w:t>
      </w:r>
      <w:r>
        <w:t>the</w:t>
      </w:r>
      <w:r>
        <w:rPr>
          <w:spacing w:val="19"/>
        </w:rPr>
        <w:t xml:space="preserve"> </w:t>
      </w:r>
      <w:r>
        <w:rPr>
          <w:spacing w:val="-1"/>
        </w:rPr>
        <w:t>time</w:t>
      </w:r>
      <w:r>
        <w:rPr>
          <w:spacing w:val="18"/>
        </w:rPr>
        <w:t xml:space="preserve"> </w:t>
      </w:r>
      <w:r>
        <w:rPr>
          <w:spacing w:val="-1"/>
        </w:rPr>
        <w:t>specified</w:t>
      </w:r>
      <w:r>
        <w:rPr>
          <w:spacing w:val="18"/>
        </w:rPr>
        <w:t xml:space="preserve"> </w:t>
      </w:r>
      <w:r>
        <w:rPr>
          <w:spacing w:val="-1"/>
        </w:rPr>
        <w:t>by</w:t>
      </w:r>
      <w:r>
        <w:rPr>
          <w:spacing w:val="16"/>
        </w:rPr>
        <w:t xml:space="preserve"> </w:t>
      </w:r>
      <w:r>
        <w:t>the</w:t>
      </w:r>
      <w:r>
        <w:rPr>
          <w:spacing w:val="18"/>
        </w:rPr>
        <w:t xml:space="preserve"> </w:t>
      </w:r>
      <w:r>
        <w:rPr>
          <w:spacing w:val="-2"/>
        </w:rPr>
        <w:t>Customer;</w:t>
      </w:r>
      <w:r>
        <w:rPr>
          <w:spacing w:val="39"/>
        </w:rPr>
        <w:t xml:space="preserve"> </w:t>
      </w:r>
      <w:r>
        <w:rPr>
          <w:spacing w:val="-1"/>
        </w:rPr>
        <w:t>and/or</w:t>
      </w:r>
    </w:p>
    <w:p w:rsidR="008918FA" w:rsidRDefault="008918FA" w:rsidP="008918FA">
      <w:pPr>
        <w:pStyle w:val="BodyText"/>
        <w:numPr>
          <w:ilvl w:val="4"/>
          <w:numId w:val="66"/>
        </w:numPr>
        <w:tabs>
          <w:tab w:val="left" w:pos="3523"/>
        </w:tabs>
        <w:ind w:left="3522" w:right="112"/>
        <w:jc w:val="both"/>
      </w:pPr>
      <w:r>
        <w:t>the</w:t>
      </w:r>
      <w:r>
        <w:rPr>
          <w:spacing w:val="21"/>
        </w:rPr>
        <w:t xml:space="preserve"> </w:t>
      </w:r>
      <w:r>
        <w:t>Worker</w:t>
      </w:r>
      <w:r>
        <w:rPr>
          <w:spacing w:val="27"/>
        </w:rPr>
        <w:t xml:space="preserve"> </w:t>
      </w:r>
      <w:r>
        <w:rPr>
          <w:spacing w:val="-2"/>
        </w:rPr>
        <w:t>provides</w:t>
      </w:r>
      <w:r>
        <w:rPr>
          <w:spacing w:val="27"/>
        </w:rPr>
        <w:t xml:space="preserve"> </w:t>
      </w:r>
      <w:r>
        <w:rPr>
          <w:spacing w:val="-1"/>
        </w:rPr>
        <w:t>information</w:t>
      </w:r>
      <w:r>
        <w:rPr>
          <w:spacing w:val="26"/>
        </w:rPr>
        <w:t xml:space="preserve"> </w:t>
      </w:r>
      <w:r>
        <w:rPr>
          <w:spacing w:val="-2"/>
        </w:rPr>
        <w:t>which</w:t>
      </w:r>
      <w:r>
        <w:rPr>
          <w:spacing w:val="26"/>
        </w:rPr>
        <w:t xml:space="preserve"> </w:t>
      </w:r>
      <w:r>
        <w:t>the</w:t>
      </w:r>
      <w:r>
        <w:rPr>
          <w:spacing w:val="26"/>
        </w:rPr>
        <w:t xml:space="preserve"> </w:t>
      </w:r>
      <w:r>
        <w:rPr>
          <w:spacing w:val="-1"/>
        </w:rPr>
        <w:t>Customer</w:t>
      </w:r>
      <w:r>
        <w:rPr>
          <w:spacing w:val="25"/>
        </w:rPr>
        <w:t xml:space="preserve"> </w:t>
      </w:r>
      <w:r>
        <w:rPr>
          <w:spacing w:val="-1"/>
        </w:rPr>
        <w:t>considers</w:t>
      </w:r>
      <w:r>
        <w:rPr>
          <w:spacing w:val="30"/>
        </w:rPr>
        <w:t xml:space="preserve"> </w:t>
      </w:r>
      <w:r>
        <w:rPr>
          <w:spacing w:val="-1"/>
        </w:rPr>
        <w:t>is</w:t>
      </w:r>
      <w:r>
        <w:rPr>
          <w:spacing w:val="30"/>
        </w:rPr>
        <w:t xml:space="preserve"> </w:t>
      </w:r>
      <w:r>
        <w:rPr>
          <w:spacing w:val="-1"/>
        </w:rPr>
        <w:t>inadequate</w:t>
      </w:r>
      <w:r>
        <w:rPr>
          <w:spacing w:val="27"/>
        </w:rPr>
        <w:t xml:space="preserve"> </w:t>
      </w:r>
      <w:r>
        <w:t>to</w:t>
      </w:r>
      <w:r>
        <w:rPr>
          <w:spacing w:val="29"/>
        </w:rPr>
        <w:t xml:space="preserve"> </w:t>
      </w:r>
      <w:r>
        <w:rPr>
          <w:spacing w:val="-1"/>
        </w:rPr>
        <w:t>demonstrate</w:t>
      </w:r>
      <w:r>
        <w:rPr>
          <w:spacing w:val="27"/>
        </w:rPr>
        <w:t xml:space="preserve"> </w:t>
      </w:r>
      <w:r>
        <w:rPr>
          <w:spacing w:val="-1"/>
        </w:rPr>
        <w:t>how</w:t>
      </w:r>
      <w:r>
        <w:rPr>
          <w:spacing w:val="26"/>
        </w:rPr>
        <w:t xml:space="preserve"> </w:t>
      </w:r>
      <w:r>
        <w:t>the</w:t>
      </w:r>
      <w:r>
        <w:rPr>
          <w:spacing w:val="24"/>
        </w:rPr>
        <w:t xml:space="preserve"> </w:t>
      </w:r>
      <w:r>
        <w:rPr>
          <w:spacing w:val="-1"/>
        </w:rPr>
        <w:t>Worker</w:t>
      </w:r>
      <w:r>
        <w:rPr>
          <w:spacing w:val="31"/>
        </w:rPr>
        <w:t xml:space="preserve"> </w:t>
      </w:r>
      <w:r>
        <w:rPr>
          <w:spacing w:val="-1"/>
        </w:rPr>
        <w:t>complies</w:t>
      </w:r>
      <w:r>
        <w:rPr>
          <w:spacing w:val="13"/>
        </w:rPr>
        <w:t xml:space="preserve"> </w:t>
      </w:r>
      <w:r>
        <w:rPr>
          <w:spacing w:val="-2"/>
        </w:rPr>
        <w:t>with</w:t>
      </w:r>
      <w:r>
        <w:rPr>
          <w:spacing w:val="12"/>
        </w:rPr>
        <w:t xml:space="preserve"> </w:t>
      </w:r>
      <w:r>
        <w:rPr>
          <w:spacing w:val="-1"/>
        </w:rPr>
        <w:t>requirements</w:t>
      </w:r>
      <w:r>
        <w:rPr>
          <w:spacing w:val="13"/>
        </w:rPr>
        <w:t xml:space="preserve"> </w:t>
      </w:r>
      <w:hyperlink w:anchor="_bookmark132" w:history="1">
        <w:r>
          <w:rPr>
            <w:spacing w:val="-1"/>
          </w:rPr>
          <w:t>(a)</w:t>
        </w:r>
      </w:hyperlink>
      <w:r>
        <w:rPr>
          <w:spacing w:val="14"/>
        </w:rPr>
        <w:t xml:space="preserve"> </w:t>
      </w:r>
      <w:r>
        <w:rPr>
          <w:spacing w:val="-1"/>
        </w:rPr>
        <w:t>or</w:t>
      </w:r>
      <w:r>
        <w:rPr>
          <w:spacing w:val="14"/>
        </w:rPr>
        <w:t xml:space="preserve"> </w:t>
      </w:r>
      <w:hyperlink w:anchor="_bookmark133" w:history="1">
        <w:r>
          <w:rPr>
            <w:spacing w:val="-1"/>
          </w:rPr>
          <w:t>(b)</w:t>
        </w:r>
      </w:hyperlink>
      <w:r>
        <w:rPr>
          <w:spacing w:val="14"/>
        </w:rPr>
        <w:t xml:space="preserve"> </w:t>
      </w:r>
      <w:r>
        <w:rPr>
          <w:spacing w:val="-1"/>
        </w:rPr>
        <w:t>or</w:t>
      </w:r>
      <w:r>
        <w:rPr>
          <w:spacing w:val="14"/>
        </w:rPr>
        <w:t xml:space="preserve"> </w:t>
      </w:r>
      <w:r>
        <w:rPr>
          <w:spacing w:val="-1"/>
        </w:rPr>
        <w:t>confirms</w:t>
      </w:r>
      <w:r>
        <w:rPr>
          <w:spacing w:val="10"/>
        </w:rPr>
        <w:t xml:space="preserve"> </w:t>
      </w:r>
      <w:r>
        <w:rPr>
          <w:spacing w:val="-1"/>
        </w:rPr>
        <w:t>that</w:t>
      </w:r>
      <w:r>
        <w:rPr>
          <w:spacing w:val="14"/>
        </w:rPr>
        <w:t xml:space="preserve"> </w:t>
      </w:r>
      <w:r>
        <w:rPr>
          <w:spacing w:val="-1"/>
        </w:rPr>
        <w:t>the</w:t>
      </w:r>
      <w:r>
        <w:rPr>
          <w:spacing w:val="35"/>
        </w:rPr>
        <w:t xml:space="preserve"> </w:t>
      </w:r>
      <w:r>
        <w:rPr>
          <w:spacing w:val="-1"/>
        </w:rPr>
        <w:t>Worker</w:t>
      </w:r>
      <w:r>
        <w:rPr>
          <w:spacing w:val="2"/>
        </w:rPr>
        <w:t xml:space="preserve"> </w:t>
      </w:r>
      <w:r>
        <w:rPr>
          <w:spacing w:val="-1"/>
        </w:rPr>
        <w:t>is</w:t>
      </w:r>
      <w:r>
        <w:rPr>
          <w:spacing w:val="1"/>
        </w:rPr>
        <w:t xml:space="preserve"> </w:t>
      </w:r>
      <w:r>
        <w:rPr>
          <w:spacing w:val="-2"/>
        </w:rPr>
        <w:t>not</w:t>
      </w:r>
      <w:r>
        <w:t xml:space="preserve"> </w:t>
      </w:r>
      <w:r>
        <w:rPr>
          <w:spacing w:val="-2"/>
        </w:rPr>
        <w:t>complying</w:t>
      </w:r>
      <w:r>
        <w:t xml:space="preserve"> </w:t>
      </w:r>
      <w:r>
        <w:rPr>
          <w:spacing w:val="-1"/>
        </w:rPr>
        <w:t>with</w:t>
      </w:r>
      <w:r>
        <w:t xml:space="preserve"> </w:t>
      </w:r>
      <w:r>
        <w:rPr>
          <w:spacing w:val="-1"/>
        </w:rPr>
        <w:t>those</w:t>
      </w:r>
      <w:r>
        <w:rPr>
          <w:spacing w:val="-2"/>
        </w:rPr>
        <w:t xml:space="preserve"> </w:t>
      </w:r>
      <w:r>
        <w:rPr>
          <w:spacing w:val="-1"/>
        </w:rPr>
        <w:t>requirements;</w:t>
      </w:r>
      <w:r>
        <w:t xml:space="preserve"> </w:t>
      </w:r>
      <w:r>
        <w:rPr>
          <w:spacing w:val="-1"/>
        </w:rPr>
        <w:t>and.</w:t>
      </w:r>
    </w:p>
    <w:p w:rsidR="008918FA" w:rsidRDefault="008918FA" w:rsidP="008918FA">
      <w:pPr>
        <w:pStyle w:val="BodyText"/>
        <w:numPr>
          <w:ilvl w:val="3"/>
          <w:numId w:val="66"/>
        </w:numPr>
        <w:tabs>
          <w:tab w:val="left" w:pos="2954"/>
        </w:tabs>
        <w:spacing w:before="121"/>
        <w:ind w:left="2953" w:right="115"/>
        <w:jc w:val="both"/>
      </w:pPr>
      <w:r>
        <w:rPr>
          <w:spacing w:val="-1"/>
        </w:rPr>
        <w:t>that</w:t>
      </w:r>
      <w:r>
        <w:rPr>
          <w:spacing w:val="19"/>
        </w:rPr>
        <w:t xml:space="preserve"> </w:t>
      </w:r>
      <w:r>
        <w:t>the</w:t>
      </w:r>
      <w:r>
        <w:rPr>
          <w:spacing w:val="17"/>
        </w:rPr>
        <w:t xml:space="preserve"> </w:t>
      </w:r>
      <w:r>
        <w:rPr>
          <w:spacing w:val="-1"/>
        </w:rPr>
        <w:t>Customer</w:t>
      </w:r>
      <w:r>
        <w:rPr>
          <w:spacing w:val="19"/>
        </w:rPr>
        <w:t xml:space="preserve"> </w:t>
      </w:r>
      <w:r>
        <w:rPr>
          <w:spacing w:val="-1"/>
        </w:rPr>
        <w:t>may</w:t>
      </w:r>
      <w:r>
        <w:rPr>
          <w:spacing w:val="15"/>
        </w:rPr>
        <w:t xml:space="preserve"> </w:t>
      </w:r>
      <w:r>
        <w:rPr>
          <w:spacing w:val="-1"/>
        </w:rPr>
        <w:t>supply</w:t>
      </w:r>
      <w:r>
        <w:rPr>
          <w:spacing w:val="17"/>
        </w:rPr>
        <w:t xml:space="preserve"> </w:t>
      </w:r>
      <w:r>
        <w:rPr>
          <w:spacing w:val="-1"/>
        </w:rPr>
        <w:t>any</w:t>
      </w:r>
      <w:r>
        <w:rPr>
          <w:spacing w:val="17"/>
        </w:rPr>
        <w:t xml:space="preserve"> </w:t>
      </w:r>
      <w:r>
        <w:rPr>
          <w:spacing w:val="-1"/>
        </w:rPr>
        <w:t>information</w:t>
      </w:r>
      <w:r>
        <w:rPr>
          <w:spacing w:val="20"/>
        </w:rPr>
        <w:t xml:space="preserve"> </w:t>
      </w:r>
      <w:r>
        <w:rPr>
          <w:spacing w:val="-1"/>
        </w:rPr>
        <w:t>it</w:t>
      </w:r>
      <w:r>
        <w:rPr>
          <w:spacing w:val="19"/>
        </w:rPr>
        <w:t xml:space="preserve"> </w:t>
      </w:r>
      <w:r>
        <w:rPr>
          <w:spacing w:val="-1"/>
        </w:rPr>
        <w:t>receives</w:t>
      </w:r>
      <w:r>
        <w:rPr>
          <w:spacing w:val="18"/>
        </w:rPr>
        <w:t xml:space="preserve"> </w:t>
      </w:r>
      <w:r>
        <w:rPr>
          <w:spacing w:val="-1"/>
        </w:rPr>
        <w:t>from</w:t>
      </w:r>
      <w:r>
        <w:rPr>
          <w:spacing w:val="32"/>
        </w:rPr>
        <w:t xml:space="preserve"> </w:t>
      </w:r>
      <w:r>
        <w:t>the</w:t>
      </w:r>
      <w:r>
        <w:rPr>
          <w:spacing w:val="55"/>
        </w:rPr>
        <w:t xml:space="preserve"> </w:t>
      </w:r>
      <w:r>
        <w:t>Worker</w:t>
      </w:r>
      <w:r>
        <w:rPr>
          <w:spacing w:val="59"/>
        </w:rPr>
        <w:t xml:space="preserve"> </w:t>
      </w:r>
      <w:r>
        <w:t>to</w:t>
      </w:r>
      <w:r>
        <w:rPr>
          <w:spacing w:val="60"/>
        </w:rPr>
        <w:t xml:space="preserve"> </w:t>
      </w:r>
      <w:r>
        <w:rPr>
          <w:spacing w:val="-2"/>
        </w:rPr>
        <w:t>HMRC</w:t>
      </w:r>
      <w:r>
        <w:rPr>
          <w:spacing w:val="1"/>
        </w:rPr>
        <w:t xml:space="preserve"> </w:t>
      </w:r>
      <w:r w:rsidR="00F64EFB">
        <w:t>for the</w:t>
      </w:r>
      <w:r>
        <w:rPr>
          <w:spacing w:val="60"/>
        </w:rPr>
        <w:t xml:space="preserve"> </w:t>
      </w:r>
      <w:r w:rsidR="00514A63">
        <w:rPr>
          <w:spacing w:val="-1"/>
        </w:rPr>
        <w:t>purpose</w:t>
      </w:r>
      <w:r w:rsidR="00514A63">
        <w:t xml:space="preserve"> of the </w:t>
      </w:r>
      <w:r>
        <w:rPr>
          <w:spacing w:val="-1"/>
        </w:rPr>
        <w:t>collection</w:t>
      </w:r>
      <w:r>
        <w:rPr>
          <w:spacing w:val="60"/>
        </w:rPr>
        <w:t xml:space="preserve"> </w:t>
      </w:r>
      <w:r>
        <w:rPr>
          <w:spacing w:val="-1"/>
        </w:rPr>
        <w:t>and</w:t>
      </w:r>
      <w:r>
        <w:rPr>
          <w:spacing w:val="24"/>
        </w:rPr>
        <w:t xml:space="preserve"> </w:t>
      </w:r>
      <w:r>
        <w:rPr>
          <w:spacing w:val="-1"/>
        </w:rPr>
        <w:t>management</w:t>
      </w:r>
      <w:r>
        <w:rPr>
          <w:spacing w:val="2"/>
        </w:rPr>
        <w:t xml:space="preserve"> </w:t>
      </w:r>
      <w:r>
        <w:rPr>
          <w:spacing w:val="-2"/>
        </w:rPr>
        <w:t>of</w:t>
      </w:r>
      <w:r>
        <w:t xml:space="preserve"> </w:t>
      </w:r>
      <w:r>
        <w:rPr>
          <w:spacing w:val="-1"/>
        </w:rPr>
        <w:t>revenue</w:t>
      </w:r>
      <w:r>
        <w:rPr>
          <w:spacing w:val="-2"/>
        </w:rPr>
        <w:t xml:space="preserve"> </w:t>
      </w:r>
      <w:r>
        <w:t>for</w:t>
      </w:r>
      <w:r>
        <w:rPr>
          <w:spacing w:val="-1"/>
        </w:rPr>
        <w:t xml:space="preserve"> </w:t>
      </w:r>
      <w:r>
        <w:rPr>
          <w:spacing w:val="-2"/>
        </w:rPr>
        <w:t>which</w:t>
      </w:r>
      <w:r>
        <w:rPr>
          <w:spacing w:val="1"/>
        </w:rPr>
        <w:t xml:space="preserve"> </w:t>
      </w:r>
      <w:r>
        <w:rPr>
          <w:spacing w:val="-1"/>
        </w:rPr>
        <w:t>they</w:t>
      </w:r>
      <w:r>
        <w:rPr>
          <w:spacing w:val="-2"/>
        </w:rPr>
        <w:t xml:space="preserve"> </w:t>
      </w:r>
      <w:r>
        <w:rPr>
          <w:spacing w:val="-1"/>
        </w:rPr>
        <w:t>are</w:t>
      </w:r>
      <w:r>
        <w:t xml:space="preserve"> </w:t>
      </w:r>
      <w:r>
        <w:rPr>
          <w:spacing w:val="-2"/>
        </w:rPr>
        <w:t>responsible.</w:t>
      </w:r>
    </w:p>
    <w:p w:rsidR="008918FA" w:rsidRDefault="008918FA" w:rsidP="008918FA">
      <w:pPr>
        <w:pStyle w:val="BodyText"/>
        <w:numPr>
          <w:ilvl w:val="0"/>
          <w:numId w:val="66"/>
        </w:numPr>
        <w:tabs>
          <w:tab w:val="left" w:pos="686"/>
        </w:tabs>
        <w:spacing w:before="120"/>
        <w:ind w:left="685" w:hanging="566"/>
        <w:rPr>
          <w:rFonts w:ascii="Times New Roman" w:eastAsia="Times New Roman" w:hAnsi="Times New Roman" w:cs="Times New Roman"/>
        </w:rPr>
      </w:pPr>
      <w:bookmarkStart w:id="155" w:name="_bookmark134"/>
      <w:bookmarkEnd w:id="155"/>
      <w:r>
        <w:rPr>
          <w:rFonts w:ascii="Times New Roman"/>
          <w:spacing w:val="3"/>
        </w:rPr>
        <w:t>PROMOTING</w:t>
      </w:r>
      <w:r>
        <w:rPr>
          <w:rFonts w:ascii="Times New Roman"/>
          <w:spacing w:val="20"/>
        </w:rPr>
        <w:t xml:space="preserve"> </w:t>
      </w:r>
      <w:r>
        <w:rPr>
          <w:rFonts w:ascii="Times New Roman"/>
          <w:spacing w:val="-3"/>
        </w:rPr>
        <w:t>TAX</w:t>
      </w:r>
      <w:r>
        <w:rPr>
          <w:rFonts w:ascii="Times New Roman"/>
          <w:spacing w:val="-6"/>
        </w:rPr>
        <w:t xml:space="preserve"> </w:t>
      </w:r>
      <w:r>
        <w:rPr>
          <w:rFonts w:ascii="Times New Roman"/>
          <w:spacing w:val="11"/>
        </w:rPr>
        <w:t>C</w:t>
      </w:r>
      <w:r>
        <w:rPr>
          <w:rFonts w:ascii="Times New Roman"/>
          <w:spacing w:val="13"/>
        </w:rPr>
        <w:t>O</w:t>
      </w:r>
      <w:r>
        <w:rPr>
          <w:rFonts w:ascii="Times New Roman"/>
          <w:spacing w:val="-12"/>
        </w:rPr>
        <w:t>M</w:t>
      </w:r>
      <w:r>
        <w:rPr>
          <w:rFonts w:ascii="Times New Roman"/>
          <w:spacing w:val="23"/>
        </w:rPr>
        <w:t>P</w:t>
      </w:r>
      <w:r>
        <w:rPr>
          <w:rFonts w:ascii="Times New Roman"/>
          <w:spacing w:val="-1"/>
        </w:rPr>
        <w:t>L</w:t>
      </w:r>
      <w:r>
        <w:rPr>
          <w:rFonts w:ascii="Times New Roman"/>
          <w:spacing w:val="-10"/>
        </w:rPr>
        <w:t>I</w:t>
      </w:r>
      <w:r>
        <w:rPr>
          <w:rFonts w:ascii="Times New Roman"/>
          <w:spacing w:val="-6"/>
        </w:rPr>
        <w:t>A</w:t>
      </w:r>
      <w:r>
        <w:rPr>
          <w:rFonts w:ascii="Times New Roman"/>
          <w:spacing w:val="-2"/>
        </w:rPr>
        <w:t>N</w:t>
      </w:r>
      <w:r>
        <w:rPr>
          <w:rFonts w:ascii="Times New Roman"/>
          <w:spacing w:val="11"/>
        </w:rPr>
        <w:t>C</w:t>
      </w:r>
      <w:r>
        <w:rPr>
          <w:rFonts w:ascii="Times New Roman"/>
        </w:rPr>
        <w:t>E</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53"/>
        </w:tabs>
        <w:spacing w:before="0"/>
        <w:ind w:left="1048" w:right="118" w:hanging="361"/>
      </w:pPr>
      <w:r>
        <w:rPr>
          <w:spacing w:val="-1"/>
        </w:rPr>
        <w:t>If,</w:t>
      </w:r>
      <w:r>
        <w:rPr>
          <w:spacing w:val="40"/>
        </w:rPr>
        <w:t xml:space="preserve"> </w:t>
      </w:r>
      <w:r>
        <w:rPr>
          <w:spacing w:val="-1"/>
        </w:rPr>
        <w:t>at</w:t>
      </w:r>
      <w:r>
        <w:rPr>
          <w:spacing w:val="40"/>
        </w:rPr>
        <w:t xml:space="preserve"> </w:t>
      </w:r>
      <w:r>
        <w:rPr>
          <w:spacing w:val="-1"/>
        </w:rPr>
        <w:t>any</w:t>
      </w:r>
      <w:r>
        <w:rPr>
          <w:spacing w:val="36"/>
        </w:rPr>
        <w:t xml:space="preserve"> </w:t>
      </w:r>
      <w:r>
        <w:rPr>
          <w:spacing w:val="-1"/>
        </w:rPr>
        <w:t>point</w:t>
      </w:r>
      <w:r>
        <w:rPr>
          <w:spacing w:val="40"/>
        </w:rPr>
        <w:t xml:space="preserve"> </w:t>
      </w:r>
      <w:r>
        <w:rPr>
          <w:spacing w:val="-2"/>
        </w:rPr>
        <w:t>during</w:t>
      </w:r>
      <w:r>
        <w:rPr>
          <w:spacing w:val="41"/>
        </w:rPr>
        <w:t xml:space="preserve"> </w:t>
      </w:r>
      <w:r>
        <w:rPr>
          <w:spacing w:val="-1"/>
        </w:rPr>
        <w:t>the</w:t>
      </w:r>
      <w:r>
        <w:rPr>
          <w:spacing w:val="39"/>
        </w:rPr>
        <w:t xml:space="preserve"> </w:t>
      </w:r>
      <w:r>
        <w:rPr>
          <w:spacing w:val="-2"/>
        </w:rPr>
        <w:t>Call</w:t>
      </w:r>
      <w:r>
        <w:rPr>
          <w:spacing w:val="39"/>
        </w:rPr>
        <w:t xml:space="preserve"> </w:t>
      </w:r>
      <w:r>
        <w:t>Off</w:t>
      </w:r>
      <w:r>
        <w:rPr>
          <w:spacing w:val="40"/>
        </w:rPr>
        <w:t xml:space="preserve"> </w:t>
      </w:r>
      <w:r>
        <w:rPr>
          <w:spacing w:val="-1"/>
        </w:rPr>
        <w:t>Contract</w:t>
      </w:r>
      <w:r>
        <w:rPr>
          <w:spacing w:val="40"/>
        </w:rPr>
        <w:t xml:space="preserve"> </w:t>
      </w:r>
      <w:r>
        <w:rPr>
          <w:spacing w:val="-2"/>
        </w:rPr>
        <w:t>Period,</w:t>
      </w:r>
      <w:r>
        <w:rPr>
          <w:spacing w:val="40"/>
        </w:rPr>
        <w:t xml:space="preserve"> </w:t>
      </w:r>
      <w:r>
        <w:rPr>
          <w:spacing w:val="-1"/>
        </w:rPr>
        <w:t>an</w:t>
      </w:r>
      <w:r>
        <w:rPr>
          <w:spacing w:val="38"/>
        </w:rPr>
        <w:t xml:space="preserve"> </w:t>
      </w:r>
      <w:r>
        <w:rPr>
          <w:spacing w:val="-1"/>
        </w:rPr>
        <w:t>Occasion</w:t>
      </w:r>
      <w:r>
        <w:rPr>
          <w:spacing w:val="38"/>
        </w:rPr>
        <w:t xml:space="preserve"> </w:t>
      </w:r>
      <w:r>
        <w:rPr>
          <w:spacing w:val="-2"/>
        </w:rPr>
        <w:t>of</w:t>
      </w:r>
      <w:r>
        <w:rPr>
          <w:spacing w:val="41"/>
        </w:rPr>
        <w:t xml:space="preserve"> </w:t>
      </w:r>
      <w:r>
        <w:rPr>
          <w:spacing w:val="-1"/>
        </w:rPr>
        <w:t>Tax</w:t>
      </w:r>
      <w:r>
        <w:rPr>
          <w:spacing w:val="36"/>
        </w:rPr>
        <w:t xml:space="preserve"> </w:t>
      </w:r>
      <w:r>
        <w:rPr>
          <w:spacing w:val="-1"/>
        </w:rPr>
        <w:t>Non-</w:t>
      </w:r>
      <w:r>
        <w:rPr>
          <w:spacing w:val="51"/>
        </w:rPr>
        <w:t xml:space="preserve"> </w:t>
      </w:r>
      <w:r>
        <w:rPr>
          <w:spacing w:val="-2"/>
        </w:rPr>
        <w:t>Compliance</w:t>
      </w:r>
      <w:r>
        <w:rPr>
          <w:spacing w:val="1"/>
        </w:rPr>
        <w:t xml:space="preserve"> </w:t>
      </w:r>
      <w:r>
        <w:rPr>
          <w:spacing w:val="-1"/>
        </w:rPr>
        <w:t>occurs,</w:t>
      </w:r>
      <w:r>
        <w:t xml:space="preserve"> the</w:t>
      </w:r>
      <w:r>
        <w:rPr>
          <w:spacing w:val="-4"/>
        </w:rPr>
        <w:t xml:space="preserve"> </w:t>
      </w:r>
      <w:r>
        <w:rPr>
          <w:spacing w:val="-2"/>
        </w:rPr>
        <w:t>Supplier</w:t>
      </w:r>
      <w:r>
        <w:rPr>
          <w:spacing w:val="2"/>
        </w:rPr>
        <w:t xml:space="preserve"> </w:t>
      </w:r>
      <w:r>
        <w:rPr>
          <w:spacing w:val="-1"/>
        </w:rPr>
        <w:t>shall:</w:t>
      </w:r>
    </w:p>
    <w:p w:rsidR="008918FA" w:rsidRDefault="008918FA" w:rsidP="008918FA">
      <w:pPr>
        <w:pStyle w:val="BodyText"/>
        <w:numPr>
          <w:ilvl w:val="2"/>
          <w:numId w:val="66"/>
        </w:numPr>
        <w:tabs>
          <w:tab w:val="left" w:pos="2246"/>
        </w:tabs>
        <w:ind w:left="2245" w:right="119" w:hanging="993"/>
        <w:jc w:val="both"/>
      </w:pPr>
      <w:r>
        <w:rPr>
          <w:spacing w:val="-1"/>
        </w:rPr>
        <w:t>notify</w:t>
      </w:r>
      <w:r>
        <w:rPr>
          <w:spacing w:val="6"/>
        </w:rPr>
        <w:t xml:space="preserve"> </w:t>
      </w:r>
      <w:r>
        <w:t>the</w:t>
      </w:r>
      <w:r>
        <w:rPr>
          <w:spacing w:val="7"/>
        </w:rPr>
        <w:t xml:space="preserve"> </w:t>
      </w:r>
      <w:r>
        <w:rPr>
          <w:spacing w:val="-1"/>
        </w:rPr>
        <w:t>Customer</w:t>
      </w:r>
      <w:r>
        <w:rPr>
          <w:spacing w:val="9"/>
        </w:rPr>
        <w:t xml:space="preserve"> </w:t>
      </w:r>
      <w:r>
        <w:rPr>
          <w:spacing w:val="-1"/>
        </w:rPr>
        <w:t>in</w:t>
      </w:r>
      <w:r>
        <w:rPr>
          <w:spacing w:val="7"/>
        </w:rPr>
        <w:t xml:space="preserve"> </w:t>
      </w:r>
      <w:r>
        <w:rPr>
          <w:spacing w:val="-1"/>
        </w:rPr>
        <w:t>writing</w:t>
      </w:r>
      <w:r>
        <w:rPr>
          <w:spacing w:val="10"/>
        </w:rPr>
        <w:t xml:space="preserve"> </w:t>
      </w:r>
      <w:r>
        <w:rPr>
          <w:spacing w:val="-2"/>
        </w:rPr>
        <w:t>of</w:t>
      </w:r>
      <w:r>
        <w:rPr>
          <w:spacing w:val="11"/>
        </w:rPr>
        <w:t xml:space="preserve"> </w:t>
      </w:r>
      <w:r>
        <w:rPr>
          <w:spacing w:val="-1"/>
        </w:rPr>
        <w:t>such</w:t>
      </w:r>
      <w:r>
        <w:rPr>
          <w:spacing w:val="5"/>
        </w:rPr>
        <w:t xml:space="preserve"> </w:t>
      </w:r>
      <w:r>
        <w:rPr>
          <w:spacing w:val="-1"/>
        </w:rPr>
        <w:t>fact</w:t>
      </w:r>
      <w:r>
        <w:rPr>
          <w:spacing w:val="9"/>
        </w:rPr>
        <w:t xml:space="preserve"> </w:t>
      </w:r>
      <w:r>
        <w:rPr>
          <w:spacing w:val="-2"/>
        </w:rPr>
        <w:t>within</w:t>
      </w:r>
      <w:r>
        <w:rPr>
          <w:spacing w:val="7"/>
        </w:rPr>
        <w:t xml:space="preserve"> </w:t>
      </w:r>
      <w:r>
        <w:rPr>
          <w:spacing w:val="-1"/>
        </w:rPr>
        <w:t>five</w:t>
      </w:r>
      <w:r>
        <w:rPr>
          <w:spacing w:val="10"/>
        </w:rPr>
        <w:t xml:space="preserve"> </w:t>
      </w:r>
      <w:r>
        <w:rPr>
          <w:spacing w:val="-1"/>
        </w:rPr>
        <w:t>(5)</w:t>
      </w:r>
      <w:r>
        <w:rPr>
          <w:spacing w:val="4"/>
        </w:rPr>
        <w:t xml:space="preserve"> </w:t>
      </w:r>
      <w:r>
        <w:rPr>
          <w:spacing w:val="-1"/>
        </w:rPr>
        <w:t>Working</w:t>
      </w:r>
      <w:r>
        <w:rPr>
          <w:spacing w:val="10"/>
        </w:rPr>
        <w:t xml:space="preserve"> </w:t>
      </w:r>
      <w:r>
        <w:rPr>
          <w:spacing w:val="-2"/>
        </w:rPr>
        <w:t>Days</w:t>
      </w:r>
      <w:r>
        <w:rPr>
          <w:spacing w:val="57"/>
        </w:rPr>
        <w:t xml:space="preserve"> </w:t>
      </w:r>
      <w:r>
        <w:rPr>
          <w:spacing w:val="-2"/>
        </w:rPr>
        <w:t>of</w:t>
      </w:r>
      <w:r>
        <w:rPr>
          <w:spacing w:val="4"/>
        </w:rPr>
        <w:t xml:space="preserve"> </w:t>
      </w:r>
      <w:r>
        <w:rPr>
          <w:spacing w:val="-1"/>
        </w:rPr>
        <w:t>its</w:t>
      </w:r>
      <w:r>
        <w:rPr>
          <w:spacing w:val="-2"/>
        </w:rPr>
        <w:t xml:space="preserve"> </w:t>
      </w:r>
      <w:r>
        <w:rPr>
          <w:spacing w:val="-1"/>
        </w:rPr>
        <w:t>occurrence;</w:t>
      </w:r>
      <w:r>
        <w:t xml:space="preserve"> </w:t>
      </w:r>
      <w:r>
        <w:rPr>
          <w:spacing w:val="-1"/>
        </w:rPr>
        <w:t>and</w:t>
      </w:r>
    </w:p>
    <w:p w:rsidR="008918FA" w:rsidRDefault="008918FA" w:rsidP="008918FA">
      <w:pPr>
        <w:pStyle w:val="BodyText"/>
        <w:numPr>
          <w:ilvl w:val="2"/>
          <w:numId w:val="66"/>
        </w:numPr>
        <w:tabs>
          <w:tab w:val="left" w:pos="2246"/>
        </w:tabs>
        <w:ind w:left="2245" w:hanging="993"/>
      </w:pPr>
      <w:r>
        <w:rPr>
          <w:spacing w:val="-1"/>
        </w:rPr>
        <w:t>promptly</w:t>
      </w:r>
      <w:r>
        <w:rPr>
          <w:spacing w:val="-2"/>
        </w:rPr>
        <w:t xml:space="preserve"> provide</w:t>
      </w:r>
      <w:r>
        <w:t xml:space="preserve"> to </w:t>
      </w:r>
      <w:r>
        <w:rPr>
          <w:spacing w:val="-1"/>
        </w:rPr>
        <w:t>the</w:t>
      </w:r>
      <w:r>
        <w:rPr>
          <w:spacing w:val="-2"/>
        </w:rPr>
        <w:t xml:space="preserve"> </w:t>
      </w:r>
      <w:r>
        <w:rPr>
          <w:spacing w:val="-1"/>
        </w:rPr>
        <w:t>Customer:</w:t>
      </w:r>
    </w:p>
    <w:p w:rsidR="008918FA" w:rsidRDefault="008918FA" w:rsidP="008918FA">
      <w:pPr>
        <w:pStyle w:val="BodyText"/>
        <w:numPr>
          <w:ilvl w:val="3"/>
          <w:numId w:val="66"/>
        </w:numPr>
        <w:tabs>
          <w:tab w:val="left" w:pos="2954"/>
        </w:tabs>
        <w:ind w:left="2953" w:right="115"/>
        <w:jc w:val="both"/>
      </w:pPr>
      <w:r>
        <w:rPr>
          <w:spacing w:val="-1"/>
        </w:rPr>
        <w:t>details</w:t>
      </w:r>
      <w:r>
        <w:rPr>
          <w:spacing w:val="34"/>
        </w:rPr>
        <w:t xml:space="preserve"> </w:t>
      </w:r>
      <w:r>
        <w:rPr>
          <w:spacing w:val="-1"/>
        </w:rPr>
        <w:t>of</w:t>
      </w:r>
      <w:r>
        <w:rPr>
          <w:spacing w:val="38"/>
        </w:rPr>
        <w:t xml:space="preserve"> </w:t>
      </w:r>
      <w:r>
        <w:t>the</w:t>
      </w:r>
      <w:r>
        <w:rPr>
          <w:spacing w:val="34"/>
        </w:rPr>
        <w:t xml:space="preserve"> </w:t>
      </w:r>
      <w:r>
        <w:rPr>
          <w:spacing w:val="-1"/>
        </w:rPr>
        <w:t>steps</w:t>
      </w:r>
      <w:r>
        <w:rPr>
          <w:spacing w:val="34"/>
        </w:rPr>
        <w:t xml:space="preserve"> </w:t>
      </w:r>
      <w:r>
        <w:rPr>
          <w:spacing w:val="-1"/>
        </w:rPr>
        <w:t>that</w:t>
      </w:r>
      <w:r>
        <w:rPr>
          <w:spacing w:val="33"/>
        </w:rPr>
        <w:t xml:space="preserve"> </w:t>
      </w:r>
      <w:r>
        <w:t>the</w:t>
      </w:r>
      <w:r>
        <w:rPr>
          <w:spacing w:val="34"/>
        </w:rPr>
        <w:t xml:space="preserve"> </w:t>
      </w:r>
      <w:r>
        <w:rPr>
          <w:spacing w:val="-2"/>
        </w:rPr>
        <w:t>Supplier</w:t>
      </w:r>
      <w:r>
        <w:rPr>
          <w:spacing w:val="36"/>
        </w:rPr>
        <w:t xml:space="preserve"> </w:t>
      </w:r>
      <w:r>
        <w:rPr>
          <w:spacing w:val="-1"/>
        </w:rPr>
        <w:t>is</w:t>
      </w:r>
      <w:r>
        <w:rPr>
          <w:spacing w:val="37"/>
        </w:rPr>
        <w:t xml:space="preserve"> </w:t>
      </w:r>
      <w:r>
        <w:rPr>
          <w:spacing w:val="-1"/>
        </w:rPr>
        <w:t>taking</w:t>
      </w:r>
      <w:r>
        <w:rPr>
          <w:spacing w:val="36"/>
        </w:rPr>
        <w:t xml:space="preserve"> </w:t>
      </w:r>
      <w:r>
        <w:rPr>
          <w:spacing w:val="-1"/>
        </w:rPr>
        <w:t>to</w:t>
      </w:r>
      <w:r>
        <w:rPr>
          <w:spacing w:val="34"/>
        </w:rPr>
        <w:t xml:space="preserve"> </w:t>
      </w:r>
      <w:r>
        <w:rPr>
          <w:spacing w:val="-1"/>
        </w:rPr>
        <w:t>address</w:t>
      </w:r>
      <w:r>
        <w:rPr>
          <w:spacing w:val="35"/>
        </w:rPr>
        <w:t xml:space="preserve"> </w:t>
      </w:r>
      <w:r>
        <w:rPr>
          <w:spacing w:val="-1"/>
        </w:rPr>
        <w:t>the</w:t>
      </w:r>
      <w:r>
        <w:rPr>
          <w:spacing w:val="36"/>
        </w:rPr>
        <w:t xml:space="preserve"> </w:t>
      </w:r>
      <w:r>
        <w:rPr>
          <w:spacing w:val="-1"/>
        </w:rPr>
        <w:t>Occasion</w:t>
      </w:r>
      <w:r>
        <w:rPr>
          <w:spacing w:val="60"/>
        </w:rPr>
        <w:t xml:space="preserve"> </w:t>
      </w:r>
      <w:r>
        <w:rPr>
          <w:spacing w:val="-2"/>
        </w:rPr>
        <w:t>of</w:t>
      </w:r>
      <w:r>
        <w:t xml:space="preserve">  Tax</w:t>
      </w:r>
      <w:r>
        <w:rPr>
          <w:spacing w:val="58"/>
        </w:rPr>
        <w:t xml:space="preserve"> </w:t>
      </w:r>
      <w:r>
        <w:rPr>
          <w:spacing w:val="-2"/>
        </w:rPr>
        <w:t>Non-Compliance</w:t>
      </w:r>
      <w:r>
        <w:t xml:space="preserve">  </w:t>
      </w:r>
      <w:r>
        <w:rPr>
          <w:spacing w:val="-1"/>
        </w:rPr>
        <w:t>and</w:t>
      </w:r>
      <w:r>
        <w:rPr>
          <w:spacing w:val="60"/>
        </w:rPr>
        <w:t xml:space="preserve"> </w:t>
      </w:r>
      <w:r>
        <w:t>to</w:t>
      </w:r>
      <w:r>
        <w:rPr>
          <w:spacing w:val="60"/>
        </w:rPr>
        <w:t xml:space="preserve"> </w:t>
      </w:r>
      <w:r>
        <w:rPr>
          <w:spacing w:val="-2"/>
        </w:rPr>
        <w:t>prevent</w:t>
      </w:r>
      <w:r>
        <w:t xml:space="preserve"> </w:t>
      </w:r>
      <w:r>
        <w:rPr>
          <w:spacing w:val="1"/>
        </w:rPr>
        <w:t xml:space="preserve"> </w:t>
      </w:r>
      <w:r>
        <w:t>the</w:t>
      </w:r>
      <w:r>
        <w:rPr>
          <w:spacing w:val="60"/>
        </w:rPr>
        <w:t xml:space="preserve"> </w:t>
      </w:r>
      <w:r>
        <w:rPr>
          <w:spacing w:val="-1"/>
        </w:rPr>
        <w:t>same</w:t>
      </w:r>
    </w:p>
    <w:p w:rsidR="008918FA" w:rsidRDefault="008918FA" w:rsidP="008918FA">
      <w:pPr>
        <w:jc w:val="both"/>
        <w:sectPr w:rsidR="008918FA">
          <w:pgSz w:w="11910" w:h="16840"/>
          <w:pgMar w:top="1480" w:right="1300" w:bottom="1180" w:left="1320" w:header="0" w:footer="967" w:gutter="0"/>
          <w:cols w:space="720"/>
        </w:sectPr>
      </w:pPr>
    </w:p>
    <w:p w:rsidR="008918FA" w:rsidRDefault="008918FA" w:rsidP="008918FA">
      <w:pPr>
        <w:pStyle w:val="BodyText"/>
        <w:spacing w:before="59"/>
        <w:ind w:left="2934" w:right="117" w:firstLine="0"/>
      </w:pPr>
      <w:bookmarkStart w:id="156" w:name="26._KEY_PERSONNEL"/>
      <w:bookmarkStart w:id="157" w:name="F._USUPPLIER_PERSONNEL_AND_SUPPLY_CHAIN_"/>
      <w:bookmarkEnd w:id="156"/>
      <w:bookmarkEnd w:id="157"/>
      <w:r>
        <w:rPr>
          <w:spacing w:val="-1"/>
        </w:rPr>
        <w:t>from</w:t>
      </w:r>
      <w:r>
        <w:rPr>
          <w:spacing w:val="29"/>
        </w:rPr>
        <w:t xml:space="preserve"> </w:t>
      </w:r>
      <w:r>
        <w:rPr>
          <w:spacing w:val="-1"/>
        </w:rPr>
        <w:t>recurring,</w:t>
      </w:r>
      <w:r>
        <w:t xml:space="preserve"> </w:t>
      </w:r>
      <w:r>
        <w:rPr>
          <w:spacing w:val="-1"/>
        </w:rPr>
        <w:t>together</w:t>
      </w:r>
      <w:r>
        <w:t xml:space="preserve"> </w:t>
      </w:r>
      <w:r>
        <w:rPr>
          <w:spacing w:val="29"/>
        </w:rPr>
        <w:t xml:space="preserve"> </w:t>
      </w:r>
      <w:r>
        <w:rPr>
          <w:spacing w:val="-2"/>
        </w:rPr>
        <w:t>with</w:t>
      </w:r>
      <w:r>
        <w:t xml:space="preserve"> </w:t>
      </w:r>
      <w:r>
        <w:rPr>
          <w:spacing w:val="28"/>
        </w:rPr>
        <w:t xml:space="preserve"> </w:t>
      </w:r>
      <w:r>
        <w:t xml:space="preserve">any </w:t>
      </w:r>
      <w:r>
        <w:rPr>
          <w:spacing w:val="26"/>
        </w:rPr>
        <w:t xml:space="preserve"> </w:t>
      </w:r>
      <w:r>
        <w:rPr>
          <w:spacing w:val="-1"/>
        </w:rPr>
        <w:t>mitigating</w:t>
      </w:r>
      <w:r>
        <w:t xml:space="preserve"> </w:t>
      </w:r>
      <w:r>
        <w:rPr>
          <w:spacing w:val="28"/>
        </w:rPr>
        <w:t xml:space="preserve"> </w:t>
      </w:r>
      <w:r>
        <w:t xml:space="preserve">factors </w:t>
      </w:r>
      <w:r>
        <w:rPr>
          <w:spacing w:val="26"/>
        </w:rPr>
        <w:t xml:space="preserve"> </w:t>
      </w:r>
      <w:r>
        <w:rPr>
          <w:spacing w:val="-1"/>
        </w:rPr>
        <w:t>that</w:t>
      </w:r>
      <w:r>
        <w:t xml:space="preserve"> </w:t>
      </w:r>
      <w:r>
        <w:rPr>
          <w:spacing w:val="30"/>
        </w:rPr>
        <w:t xml:space="preserve"> </w:t>
      </w:r>
      <w:r>
        <w:rPr>
          <w:spacing w:val="-1"/>
        </w:rPr>
        <w:t>it</w:t>
      </w:r>
      <w:r>
        <w:rPr>
          <w:spacing w:val="39"/>
        </w:rPr>
        <w:t xml:space="preserve"> </w:t>
      </w:r>
      <w:r>
        <w:rPr>
          <w:spacing w:val="-1"/>
        </w:rPr>
        <w:t>considers</w:t>
      </w:r>
      <w:r>
        <w:rPr>
          <w:spacing w:val="-2"/>
        </w:rPr>
        <w:t xml:space="preserve"> </w:t>
      </w:r>
      <w:r>
        <w:rPr>
          <w:spacing w:val="-1"/>
        </w:rPr>
        <w:t>relevant;</w:t>
      </w:r>
      <w:r>
        <w:rPr>
          <w:spacing w:val="2"/>
        </w:rPr>
        <w:t xml:space="preserve"> </w:t>
      </w:r>
      <w:r>
        <w:rPr>
          <w:spacing w:val="-1"/>
        </w:rPr>
        <w:t>and</w:t>
      </w:r>
    </w:p>
    <w:p w:rsidR="008918FA" w:rsidRDefault="008918FA" w:rsidP="008918FA">
      <w:pPr>
        <w:pStyle w:val="BodyText"/>
        <w:numPr>
          <w:ilvl w:val="3"/>
          <w:numId w:val="66"/>
        </w:numPr>
        <w:tabs>
          <w:tab w:val="left" w:pos="2935"/>
        </w:tabs>
        <w:spacing w:before="121"/>
        <w:ind w:left="2934" w:right="118"/>
      </w:pPr>
      <w:r>
        <w:rPr>
          <w:spacing w:val="-1"/>
        </w:rPr>
        <w:t>such</w:t>
      </w:r>
      <w:r>
        <w:rPr>
          <w:spacing w:val="22"/>
        </w:rPr>
        <w:t xml:space="preserve"> </w:t>
      </w:r>
      <w:r>
        <w:rPr>
          <w:spacing w:val="-1"/>
        </w:rPr>
        <w:t>other</w:t>
      </w:r>
      <w:r>
        <w:rPr>
          <w:spacing w:val="23"/>
        </w:rPr>
        <w:t xml:space="preserve"> </w:t>
      </w:r>
      <w:r>
        <w:rPr>
          <w:spacing w:val="-1"/>
        </w:rPr>
        <w:t>information</w:t>
      </w:r>
      <w:r>
        <w:rPr>
          <w:spacing w:val="22"/>
        </w:rPr>
        <w:t xml:space="preserve"> </w:t>
      </w:r>
      <w:r>
        <w:rPr>
          <w:spacing w:val="-1"/>
        </w:rPr>
        <w:t>in</w:t>
      </w:r>
      <w:r>
        <w:rPr>
          <w:spacing w:val="22"/>
        </w:rPr>
        <w:t xml:space="preserve"> </w:t>
      </w:r>
      <w:r>
        <w:rPr>
          <w:spacing w:val="-1"/>
        </w:rPr>
        <w:t>relation</w:t>
      </w:r>
      <w:r>
        <w:rPr>
          <w:spacing w:val="22"/>
        </w:rPr>
        <w:t xml:space="preserve"> </w:t>
      </w:r>
      <w:r>
        <w:t>to</w:t>
      </w:r>
      <w:r>
        <w:rPr>
          <w:spacing w:val="19"/>
        </w:rPr>
        <w:t xml:space="preserve"> </w:t>
      </w:r>
      <w:r>
        <w:t>the</w:t>
      </w:r>
      <w:r>
        <w:rPr>
          <w:spacing w:val="20"/>
        </w:rPr>
        <w:t xml:space="preserve"> </w:t>
      </w:r>
      <w:r>
        <w:rPr>
          <w:spacing w:val="-1"/>
        </w:rPr>
        <w:t>Occasion</w:t>
      </w:r>
      <w:r>
        <w:rPr>
          <w:spacing w:val="22"/>
        </w:rPr>
        <w:t xml:space="preserve"> </w:t>
      </w:r>
      <w:r>
        <w:rPr>
          <w:spacing w:val="-2"/>
        </w:rPr>
        <w:t>of</w:t>
      </w:r>
      <w:r>
        <w:rPr>
          <w:spacing w:val="23"/>
        </w:rPr>
        <w:t xml:space="preserve"> </w:t>
      </w:r>
      <w:r>
        <w:t>Tax</w:t>
      </w:r>
      <w:r>
        <w:rPr>
          <w:spacing w:val="20"/>
        </w:rPr>
        <w:t xml:space="preserve"> </w:t>
      </w:r>
      <w:r>
        <w:rPr>
          <w:spacing w:val="-1"/>
        </w:rPr>
        <w:t>Non-</w:t>
      </w:r>
      <w:r>
        <w:rPr>
          <w:spacing w:val="23"/>
        </w:rPr>
        <w:t xml:space="preserve"> </w:t>
      </w:r>
      <w:r>
        <w:rPr>
          <w:spacing w:val="-2"/>
        </w:rPr>
        <w:t>Compliance</w:t>
      </w:r>
      <w:r>
        <w:rPr>
          <w:spacing w:val="1"/>
        </w:rPr>
        <w:t xml:space="preserve"> </w:t>
      </w:r>
      <w:r>
        <w:rPr>
          <w:spacing w:val="-1"/>
        </w:rPr>
        <w:t>as</w:t>
      </w:r>
      <w:r>
        <w:rPr>
          <w:spacing w:val="-2"/>
        </w:rPr>
        <w:t xml:space="preserve"> </w:t>
      </w:r>
      <w:r>
        <w:t xml:space="preserve">the </w:t>
      </w:r>
      <w:r>
        <w:rPr>
          <w:spacing w:val="-2"/>
        </w:rPr>
        <w:t>Customer</w:t>
      </w:r>
      <w:r>
        <w:rPr>
          <w:spacing w:val="-1"/>
        </w:rPr>
        <w:t xml:space="preserve"> may</w:t>
      </w:r>
      <w:r>
        <w:rPr>
          <w:spacing w:val="-2"/>
        </w:rPr>
        <w:t xml:space="preserve"> </w:t>
      </w:r>
      <w:r>
        <w:rPr>
          <w:spacing w:val="-1"/>
        </w:rPr>
        <w:t>reasonably</w:t>
      </w:r>
      <w:r>
        <w:rPr>
          <w:spacing w:val="-2"/>
        </w:rPr>
        <w:t xml:space="preserve"> require.</w:t>
      </w:r>
    </w:p>
    <w:p w:rsidR="008918FA" w:rsidRDefault="008918FA" w:rsidP="008918FA">
      <w:pPr>
        <w:pStyle w:val="BodyText"/>
        <w:numPr>
          <w:ilvl w:val="1"/>
          <w:numId w:val="66"/>
        </w:numPr>
        <w:tabs>
          <w:tab w:val="left" w:pos="1233"/>
        </w:tabs>
        <w:spacing w:before="121"/>
        <w:ind w:left="1028" w:right="114" w:hanging="360"/>
        <w:jc w:val="both"/>
      </w:pPr>
      <w:r>
        <w:t>In</w:t>
      </w:r>
      <w:r>
        <w:rPr>
          <w:spacing w:val="10"/>
        </w:rPr>
        <w:t xml:space="preserve"> </w:t>
      </w:r>
      <w:r>
        <w:t>the</w:t>
      </w:r>
      <w:r>
        <w:rPr>
          <w:spacing w:val="7"/>
        </w:rPr>
        <w:t xml:space="preserve"> </w:t>
      </w:r>
      <w:r>
        <w:rPr>
          <w:spacing w:val="-2"/>
        </w:rPr>
        <w:t>event</w:t>
      </w:r>
      <w:r>
        <w:rPr>
          <w:spacing w:val="11"/>
        </w:rPr>
        <w:t xml:space="preserve"> </w:t>
      </w:r>
      <w:r>
        <w:rPr>
          <w:spacing w:val="-1"/>
        </w:rPr>
        <w:t>that</w:t>
      </w:r>
      <w:r>
        <w:rPr>
          <w:spacing w:val="9"/>
        </w:rPr>
        <w:t xml:space="preserve"> </w:t>
      </w:r>
      <w:r>
        <w:t>the</w:t>
      </w:r>
      <w:r>
        <w:rPr>
          <w:spacing w:val="10"/>
        </w:rPr>
        <w:t xml:space="preserve"> </w:t>
      </w:r>
      <w:r>
        <w:rPr>
          <w:spacing w:val="-2"/>
        </w:rPr>
        <w:t>Supplier</w:t>
      </w:r>
      <w:r>
        <w:rPr>
          <w:spacing w:val="9"/>
        </w:rPr>
        <w:t xml:space="preserve"> </w:t>
      </w:r>
      <w:r>
        <w:rPr>
          <w:spacing w:val="-1"/>
        </w:rPr>
        <w:t>fails</w:t>
      </w:r>
      <w:r>
        <w:rPr>
          <w:spacing w:val="10"/>
        </w:rPr>
        <w:t xml:space="preserve"> </w:t>
      </w:r>
      <w:r>
        <w:t>to</w:t>
      </w:r>
      <w:r>
        <w:rPr>
          <w:spacing w:val="7"/>
        </w:rPr>
        <w:t xml:space="preserve"> </w:t>
      </w:r>
      <w:r>
        <w:rPr>
          <w:spacing w:val="-1"/>
        </w:rPr>
        <w:t>comply</w:t>
      </w:r>
      <w:r>
        <w:rPr>
          <w:spacing w:val="8"/>
        </w:rPr>
        <w:t xml:space="preserve"> </w:t>
      </w:r>
      <w:r>
        <w:rPr>
          <w:spacing w:val="-2"/>
        </w:rPr>
        <w:t>with</w:t>
      </w:r>
      <w:r>
        <w:rPr>
          <w:spacing w:val="10"/>
        </w:rPr>
        <w:t xml:space="preserve"> </w:t>
      </w:r>
      <w:r>
        <w:rPr>
          <w:spacing w:val="-1"/>
        </w:rPr>
        <w:t>this</w:t>
      </w:r>
      <w:r>
        <w:rPr>
          <w:spacing w:val="10"/>
        </w:rPr>
        <w:t xml:space="preserve"> </w:t>
      </w:r>
      <w:r>
        <w:rPr>
          <w:spacing w:val="-2"/>
        </w:rPr>
        <w:t>Clause</w:t>
      </w:r>
      <w:r>
        <w:rPr>
          <w:spacing w:val="10"/>
        </w:rPr>
        <w:t xml:space="preserve"> </w:t>
      </w:r>
      <w:hyperlink w:anchor="_bookmark134" w:history="1">
        <w:r>
          <w:rPr>
            <w:spacing w:val="-1"/>
          </w:rPr>
          <w:t>24</w:t>
        </w:r>
      </w:hyperlink>
      <w:r>
        <w:rPr>
          <w:spacing w:val="13"/>
        </w:rPr>
        <w:t xml:space="preserve"> </w:t>
      </w:r>
      <w:r>
        <w:rPr>
          <w:spacing w:val="-1"/>
        </w:rPr>
        <w:t>and/or</w:t>
      </w:r>
      <w:r>
        <w:rPr>
          <w:spacing w:val="9"/>
        </w:rPr>
        <w:t xml:space="preserve"> </w:t>
      </w:r>
      <w:r>
        <w:rPr>
          <w:spacing w:val="-2"/>
        </w:rPr>
        <w:t>does</w:t>
      </w:r>
      <w:r>
        <w:rPr>
          <w:spacing w:val="10"/>
        </w:rPr>
        <w:t xml:space="preserve"> </w:t>
      </w:r>
      <w:r>
        <w:rPr>
          <w:spacing w:val="-1"/>
        </w:rPr>
        <w:t>not</w:t>
      </w:r>
      <w:r>
        <w:rPr>
          <w:spacing w:val="64"/>
        </w:rPr>
        <w:t xml:space="preserve"> </w:t>
      </w:r>
      <w:r>
        <w:rPr>
          <w:spacing w:val="-2"/>
        </w:rPr>
        <w:t>provide</w:t>
      </w:r>
      <w:r>
        <w:t xml:space="preserve"> </w:t>
      </w:r>
      <w:r>
        <w:rPr>
          <w:spacing w:val="-1"/>
        </w:rPr>
        <w:t>details</w:t>
      </w:r>
      <w:r>
        <w:rPr>
          <w:spacing w:val="1"/>
        </w:rPr>
        <w:t xml:space="preserve"> </w:t>
      </w:r>
      <w:r>
        <w:rPr>
          <w:spacing w:val="-2"/>
        </w:rPr>
        <w:t>of</w:t>
      </w:r>
      <w:r>
        <w:rPr>
          <w:spacing w:val="4"/>
        </w:rPr>
        <w:t xml:space="preserve"> </w:t>
      </w:r>
      <w:r>
        <w:rPr>
          <w:spacing w:val="-2"/>
        </w:rPr>
        <w:t>proposed</w:t>
      </w:r>
      <w:r>
        <w:t xml:space="preserve"> </w:t>
      </w:r>
      <w:r>
        <w:rPr>
          <w:spacing w:val="-1"/>
        </w:rPr>
        <w:t>mitigating</w:t>
      </w:r>
      <w:r>
        <w:rPr>
          <w:spacing w:val="-2"/>
        </w:rPr>
        <w:t xml:space="preserve"> </w:t>
      </w:r>
      <w:r>
        <w:rPr>
          <w:spacing w:val="-1"/>
        </w:rPr>
        <w:t>factors</w:t>
      </w:r>
      <w:r>
        <w:rPr>
          <w:spacing w:val="1"/>
        </w:rPr>
        <w:t xml:space="preserve"> </w:t>
      </w:r>
      <w:r>
        <w:rPr>
          <w:spacing w:val="-1"/>
        </w:rPr>
        <w:t>which</w:t>
      </w:r>
      <w:r>
        <w:rPr>
          <w:spacing w:val="1"/>
        </w:rPr>
        <w:t xml:space="preserve"> </w:t>
      </w:r>
      <w:r>
        <w:rPr>
          <w:spacing w:val="-1"/>
        </w:rPr>
        <w:t>in</w:t>
      </w:r>
      <w:r>
        <w:t xml:space="preserve"> the</w:t>
      </w:r>
      <w:r>
        <w:rPr>
          <w:spacing w:val="-2"/>
        </w:rPr>
        <w:t xml:space="preserve"> reasonable</w:t>
      </w:r>
      <w:r>
        <w:t xml:space="preserve"> </w:t>
      </w:r>
      <w:r>
        <w:rPr>
          <w:spacing w:val="-2"/>
        </w:rPr>
        <w:t>opinion</w:t>
      </w:r>
      <w:r>
        <w:t xml:space="preserve"> </w:t>
      </w:r>
      <w:r>
        <w:rPr>
          <w:spacing w:val="-2"/>
        </w:rPr>
        <w:t>of</w:t>
      </w:r>
      <w:r>
        <w:rPr>
          <w:spacing w:val="2"/>
        </w:rPr>
        <w:t xml:space="preserve"> </w:t>
      </w:r>
      <w:r>
        <w:rPr>
          <w:spacing w:val="-1"/>
        </w:rPr>
        <w:t>the</w:t>
      </w:r>
      <w:r>
        <w:rPr>
          <w:spacing w:val="75"/>
        </w:rPr>
        <w:t xml:space="preserve"> </w:t>
      </w:r>
      <w:r>
        <w:rPr>
          <w:spacing w:val="-1"/>
        </w:rPr>
        <w:t>Customer</w:t>
      </w:r>
      <w:r>
        <w:rPr>
          <w:spacing w:val="33"/>
        </w:rPr>
        <w:t xml:space="preserve"> </w:t>
      </w:r>
      <w:r>
        <w:rPr>
          <w:spacing w:val="-1"/>
        </w:rPr>
        <w:t>are</w:t>
      </w:r>
      <w:r>
        <w:rPr>
          <w:spacing w:val="31"/>
        </w:rPr>
        <w:t xml:space="preserve"> </w:t>
      </w:r>
      <w:r>
        <w:rPr>
          <w:spacing w:val="-2"/>
        </w:rPr>
        <w:t>acceptable,</w:t>
      </w:r>
      <w:r>
        <w:rPr>
          <w:spacing w:val="30"/>
        </w:rPr>
        <w:t xml:space="preserve"> </w:t>
      </w:r>
      <w:r>
        <w:rPr>
          <w:spacing w:val="-1"/>
        </w:rPr>
        <w:t>then</w:t>
      </w:r>
      <w:r>
        <w:rPr>
          <w:spacing w:val="29"/>
        </w:rPr>
        <w:t xml:space="preserve"> </w:t>
      </w:r>
      <w:r>
        <w:t>the</w:t>
      </w:r>
      <w:r>
        <w:rPr>
          <w:spacing w:val="32"/>
        </w:rPr>
        <w:t xml:space="preserve"> </w:t>
      </w:r>
      <w:r>
        <w:rPr>
          <w:spacing w:val="-2"/>
        </w:rPr>
        <w:t>Customer</w:t>
      </w:r>
      <w:r>
        <w:rPr>
          <w:spacing w:val="30"/>
        </w:rPr>
        <w:t xml:space="preserve"> </w:t>
      </w:r>
      <w:r>
        <w:rPr>
          <w:spacing w:val="-1"/>
        </w:rPr>
        <w:t>reserves</w:t>
      </w:r>
      <w:r>
        <w:rPr>
          <w:spacing w:val="32"/>
        </w:rPr>
        <w:t xml:space="preserve"> </w:t>
      </w:r>
      <w:r>
        <w:t>the</w:t>
      </w:r>
      <w:r>
        <w:rPr>
          <w:spacing w:val="29"/>
        </w:rPr>
        <w:t xml:space="preserve"> </w:t>
      </w:r>
      <w:r>
        <w:rPr>
          <w:spacing w:val="-1"/>
        </w:rPr>
        <w:t>right</w:t>
      </w:r>
      <w:r>
        <w:rPr>
          <w:spacing w:val="31"/>
        </w:rPr>
        <w:t xml:space="preserve"> </w:t>
      </w:r>
      <w:r>
        <w:t>to</w:t>
      </w:r>
      <w:r>
        <w:rPr>
          <w:spacing w:val="29"/>
        </w:rPr>
        <w:t xml:space="preserve"> </w:t>
      </w:r>
      <w:r>
        <w:rPr>
          <w:spacing w:val="-1"/>
        </w:rPr>
        <w:t>terminate</w:t>
      </w:r>
      <w:r>
        <w:rPr>
          <w:spacing w:val="29"/>
        </w:rPr>
        <w:t xml:space="preserve"> </w:t>
      </w:r>
      <w:r>
        <w:rPr>
          <w:spacing w:val="-1"/>
        </w:rPr>
        <w:t>this</w:t>
      </w:r>
      <w:r>
        <w:rPr>
          <w:spacing w:val="57"/>
        </w:rPr>
        <w:t xml:space="preserve"> </w:t>
      </w:r>
      <w:r>
        <w:rPr>
          <w:spacing w:val="-2"/>
        </w:rPr>
        <w:t>Call</w:t>
      </w:r>
      <w:r>
        <w:t xml:space="preserve"> </w:t>
      </w:r>
      <w:r>
        <w:rPr>
          <w:spacing w:val="-1"/>
        </w:rPr>
        <w:t>Off</w:t>
      </w:r>
      <w:r>
        <w:rPr>
          <w:spacing w:val="2"/>
        </w:rPr>
        <w:t xml:space="preserve"> </w:t>
      </w:r>
      <w:r>
        <w:rPr>
          <w:spacing w:val="-1"/>
        </w:rPr>
        <w:t>Contract</w:t>
      </w:r>
      <w:r>
        <w:rPr>
          <w:spacing w:val="-2"/>
        </w:rPr>
        <w:t xml:space="preserve"> </w:t>
      </w:r>
      <w:r>
        <w:t>for</w:t>
      </w:r>
      <w:r>
        <w:rPr>
          <w:spacing w:val="-1"/>
        </w:rPr>
        <w:t xml:space="preserve"> </w:t>
      </w:r>
      <w:r>
        <w:rPr>
          <w:spacing w:val="-2"/>
        </w:rPr>
        <w:t>material</w:t>
      </w:r>
      <w:r>
        <w:t xml:space="preserve"> </w:t>
      </w:r>
      <w:r>
        <w:rPr>
          <w:spacing w:val="-1"/>
        </w:rPr>
        <w:t>Default.</w:t>
      </w:r>
    </w:p>
    <w:p w:rsidR="008918FA" w:rsidRDefault="008918FA" w:rsidP="008918FA">
      <w:pPr>
        <w:pStyle w:val="BodyText"/>
        <w:numPr>
          <w:ilvl w:val="0"/>
          <w:numId w:val="66"/>
        </w:numPr>
        <w:tabs>
          <w:tab w:val="left" w:pos="667"/>
        </w:tabs>
        <w:spacing w:before="117"/>
        <w:ind w:left="666" w:hanging="566"/>
        <w:rPr>
          <w:rFonts w:ascii="Times New Roman" w:eastAsia="Times New Roman" w:hAnsi="Times New Roman" w:cs="Times New Roman"/>
        </w:rPr>
      </w:pPr>
      <w:bookmarkStart w:id="158" w:name="_bookmark135"/>
      <w:bookmarkEnd w:id="158"/>
      <w:r>
        <w:rPr>
          <w:rFonts w:ascii="Times New Roman"/>
        </w:rPr>
        <w:t>BENCHMARKING</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34"/>
        </w:tabs>
        <w:spacing w:before="0"/>
        <w:ind w:left="1028" w:right="113" w:hanging="359"/>
        <w:jc w:val="both"/>
      </w:pPr>
      <w:bookmarkStart w:id="159" w:name="_bookmark136"/>
      <w:bookmarkEnd w:id="159"/>
      <w:r>
        <w:rPr>
          <w:spacing w:val="-1"/>
        </w:rPr>
        <w:t>Notwithstandi</w:t>
      </w:r>
      <w:bookmarkStart w:id="160" w:name="25._BENCHMARKING"/>
      <w:bookmarkEnd w:id="160"/>
      <w:r>
        <w:rPr>
          <w:spacing w:val="-1"/>
        </w:rPr>
        <w:t>ng</w:t>
      </w:r>
      <w:r>
        <w:rPr>
          <w:spacing w:val="10"/>
        </w:rPr>
        <w:t xml:space="preserve"> </w:t>
      </w:r>
      <w:r>
        <w:t>the</w:t>
      </w:r>
      <w:r>
        <w:rPr>
          <w:spacing w:val="8"/>
        </w:rPr>
        <w:t xml:space="preserve"> </w:t>
      </w:r>
      <w:r>
        <w:rPr>
          <w:spacing w:val="-2"/>
        </w:rPr>
        <w:t>Supplier’s</w:t>
      </w:r>
      <w:r>
        <w:rPr>
          <w:spacing w:val="8"/>
        </w:rPr>
        <w:t xml:space="preserve"> </w:t>
      </w:r>
      <w:r>
        <w:rPr>
          <w:spacing w:val="-1"/>
        </w:rPr>
        <w:t>obligations</w:t>
      </w:r>
      <w:r>
        <w:rPr>
          <w:spacing w:val="8"/>
        </w:rPr>
        <w:t xml:space="preserve"> </w:t>
      </w:r>
      <w:r>
        <w:rPr>
          <w:spacing w:val="-1"/>
        </w:rPr>
        <w:t>under</w:t>
      </w:r>
      <w:r>
        <w:rPr>
          <w:spacing w:val="9"/>
        </w:rPr>
        <w:t xml:space="preserve"> </w:t>
      </w:r>
      <w:r>
        <w:rPr>
          <w:spacing w:val="-2"/>
        </w:rPr>
        <w:t>Clause</w:t>
      </w:r>
      <w:r>
        <w:rPr>
          <w:spacing w:val="8"/>
        </w:rPr>
        <w:t xml:space="preserve"> </w:t>
      </w:r>
      <w:hyperlink w:anchor="_bookmark108" w:history="1">
        <w:r>
          <w:rPr>
            <w:spacing w:val="-1"/>
          </w:rPr>
          <w:t>18</w:t>
        </w:r>
      </w:hyperlink>
      <w:r>
        <w:rPr>
          <w:spacing w:val="10"/>
        </w:rPr>
        <w:t xml:space="preserve"> </w:t>
      </w:r>
      <w:r>
        <w:rPr>
          <w:spacing w:val="-1"/>
        </w:rPr>
        <w:t>(Continuous</w:t>
      </w:r>
      <w:r>
        <w:rPr>
          <w:spacing w:val="36"/>
        </w:rPr>
        <w:t xml:space="preserve"> </w:t>
      </w:r>
      <w:r>
        <w:rPr>
          <w:spacing w:val="-1"/>
        </w:rPr>
        <w:t>Improvement),</w:t>
      </w:r>
      <w:r>
        <w:rPr>
          <w:spacing w:val="23"/>
        </w:rPr>
        <w:t xml:space="preserve"> </w:t>
      </w:r>
      <w:r>
        <w:t>the</w:t>
      </w:r>
      <w:r>
        <w:rPr>
          <w:spacing w:val="24"/>
        </w:rPr>
        <w:t xml:space="preserve"> </w:t>
      </w:r>
      <w:r>
        <w:rPr>
          <w:spacing w:val="-2"/>
        </w:rPr>
        <w:t>Customer</w:t>
      </w:r>
      <w:r>
        <w:rPr>
          <w:spacing w:val="23"/>
        </w:rPr>
        <w:t xml:space="preserve"> </w:t>
      </w:r>
      <w:r>
        <w:rPr>
          <w:spacing w:val="-1"/>
        </w:rPr>
        <w:t>shall</w:t>
      </w:r>
      <w:r>
        <w:rPr>
          <w:spacing w:val="24"/>
        </w:rPr>
        <w:t xml:space="preserve"> </w:t>
      </w:r>
      <w:r>
        <w:rPr>
          <w:spacing w:val="-1"/>
        </w:rPr>
        <w:t>be</w:t>
      </w:r>
      <w:r>
        <w:rPr>
          <w:spacing w:val="24"/>
        </w:rPr>
        <w:t xml:space="preserve"> </w:t>
      </w:r>
      <w:r>
        <w:rPr>
          <w:spacing w:val="-1"/>
        </w:rPr>
        <w:t>entitled</w:t>
      </w:r>
      <w:r>
        <w:rPr>
          <w:spacing w:val="24"/>
        </w:rPr>
        <w:t xml:space="preserve"> </w:t>
      </w:r>
      <w:r>
        <w:t>to</w:t>
      </w:r>
      <w:r>
        <w:rPr>
          <w:spacing w:val="22"/>
        </w:rPr>
        <w:t xml:space="preserve"> </w:t>
      </w:r>
      <w:r>
        <w:rPr>
          <w:spacing w:val="-1"/>
        </w:rPr>
        <w:t>regularly</w:t>
      </w:r>
      <w:r>
        <w:rPr>
          <w:spacing w:val="22"/>
        </w:rPr>
        <w:t xml:space="preserve"> </w:t>
      </w:r>
      <w:r>
        <w:rPr>
          <w:spacing w:val="-1"/>
        </w:rPr>
        <w:t>benchmark</w:t>
      </w:r>
      <w:r>
        <w:rPr>
          <w:spacing w:val="25"/>
        </w:rPr>
        <w:t xml:space="preserve"> </w:t>
      </w:r>
      <w:r>
        <w:rPr>
          <w:spacing w:val="-1"/>
        </w:rPr>
        <w:t>the</w:t>
      </w:r>
      <w:r>
        <w:rPr>
          <w:spacing w:val="24"/>
        </w:rPr>
        <w:t xml:space="preserve"> </w:t>
      </w:r>
      <w:r>
        <w:rPr>
          <w:spacing w:val="-2"/>
        </w:rPr>
        <w:t>Call</w:t>
      </w:r>
      <w:r>
        <w:rPr>
          <w:spacing w:val="21"/>
        </w:rPr>
        <w:t xml:space="preserve"> </w:t>
      </w:r>
      <w:r>
        <w:rPr>
          <w:spacing w:val="-1"/>
        </w:rPr>
        <w:t>Off</w:t>
      </w:r>
      <w:r>
        <w:rPr>
          <w:spacing w:val="49"/>
        </w:rPr>
        <w:t xml:space="preserve"> </w:t>
      </w:r>
      <w:r>
        <w:rPr>
          <w:spacing w:val="-1"/>
        </w:rPr>
        <w:t>Contract</w:t>
      </w:r>
      <w:r>
        <w:rPr>
          <w:spacing w:val="35"/>
        </w:rPr>
        <w:t xml:space="preserve"> </w:t>
      </w:r>
      <w:r>
        <w:rPr>
          <w:spacing w:val="-1"/>
        </w:rPr>
        <w:t>Charges</w:t>
      </w:r>
      <w:r>
        <w:rPr>
          <w:spacing w:val="34"/>
        </w:rPr>
        <w:t xml:space="preserve"> </w:t>
      </w:r>
      <w:r>
        <w:rPr>
          <w:spacing w:val="-1"/>
        </w:rPr>
        <w:t>and</w:t>
      </w:r>
      <w:r>
        <w:rPr>
          <w:spacing w:val="34"/>
        </w:rPr>
        <w:t xml:space="preserve"> </w:t>
      </w:r>
      <w:r>
        <w:rPr>
          <w:spacing w:val="-1"/>
        </w:rPr>
        <w:t>level</w:t>
      </w:r>
      <w:r>
        <w:rPr>
          <w:spacing w:val="36"/>
        </w:rPr>
        <w:t xml:space="preserve"> </w:t>
      </w:r>
      <w:r>
        <w:rPr>
          <w:spacing w:val="-1"/>
        </w:rPr>
        <w:t>of</w:t>
      </w:r>
      <w:r>
        <w:rPr>
          <w:spacing w:val="38"/>
        </w:rPr>
        <w:t xml:space="preserve"> </w:t>
      </w:r>
      <w:r>
        <w:rPr>
          <w:spacing w:val="-1"/>
        </w:rPr>
        <w:t>performance</w:t>
      </w:r>
      <w:r>
        <w:rPr>
          <w:spacing w:val="34"/>
        </w:rPr>
        <w:t xml:space="preserve"> </w:t>
      </w:r>
      <w:r>
        <w:rPr>
          <w:spacing w:val="-1"/>
        </w:rPr>
        <w:t>by</w:t>
      </w:r>
      <w:r>
        <w:rPr>
          <w:spacing w:val="35"/>
        </w:rPr>
        <w:t xml:space="preserve"> </w:t>
      </w:r>
      <w:r>
        <w:t>the</w:t>
      </w:r>
      <w:r>
        <w:rPr>
          <w:spacing w:val="34"/>
        </w:rPr>
        <w:t xml:space="preserve"> </w:t>
      </w:r>
      <w:r>
        <w:rPr>
          <w:spacing w:val="-2"/>
        </w:rPr>
        <w:t>Supplier</w:t>
      </w:r>
      <w:r>
        <w:rPr>
          <w:spacing w:val="35"/>
        </w:rPr>
        <w:t xml:space="preserve"> </w:t>
      </w:r>
      <w:r>
        <w:rPr>
          <w:spacing w:val="-1"/>
        </w:rPr>
        <w:t>of</w:t>
      </w:r>
      <w:r>
        <w:rPr>
          <w:spacing w:val="38"/>
        </w:rPr>
        <w:t xml:space="preserve"> </w:t>
      </w:r>
      <w:r>
        <w:t>the</w:t>
      </w:r>
      <w:r>
        <w:rPr>
          <w:spacing w:val="34"/>
        </w:rPr>
        <w:t xml:space="preserve"> </w:t>
      </w:r>
      <w:r>
        <w:rPr>
          <w:spacing w:val="-2"/>
        </w:rPr>
        <w:t>supply</w:t>
      </w:r>
      <w:r>
        <w:rPr>
          <w:spacing w:val="34"/>
        </w:rPr>
        <w:t xml:space="preserve"> </w:t>
      </w:r>
      <w:r>
        <w:rPr>
          <w:spacing w:val="-1"/>
        </w:rPr>
        <w:t>of</w:t>
      </w:r>
      <w:r>
        <w:rPr>
          <w:spacing w:val="39"/>
        </w:rPr>
        <w:t xml:space="preserve"> </w:t>
      </w:r>
      <w:r>
        <w:rPr>
          <w:spacing w:val="-1"/>
        </w:rPr>
        <w:t>the</w:t>
      </w:r>
      <w:r>
        <w:rPr>
          <w:spacing w:val="49"/>
        </w:rPr>
        <w:t xml:space="preserve"> </w:t>
      </w:r>
      <w:r>
        <w:rPr>
          <w:spacing w:val="-1"/>
        </w:rPr>
        <w:t>Goods</w:t>
      </w:r>
      <w:r>
        <w:rPr>
          <w:spacing w:val="41"/>
        </w:rPr>
        <w:t xml:space="preserve"> </w:t>
      </w:r>
      <w:r>
        <w:rPr>
          <w:spacing w:val="-1"/>
        </w:rPr>
        <w:t>and/or</w:t>
      </w:r>
      <w:r>
        <w:rPr>
          <w:spacing w:val="42"/>
        </w:rPr>
        <w:t xml:space="preserve"> </w:t>
      </w:r>
      <w:r>
        <w:rPr>
          <w:spacing w:val="-1"/>
        </w:rPr>
        <w:t>Services,</w:t>
      </w:r>
      <w:r>
        <w:rPr>
          <w:spacing w:val="40"/>
        </w:rPr>
        <w:t xml:space="preserve"> </w:t>
      </w:r>
      <w:r>
        <w:rPr>
          <w:spacing w:val="-1"/>
        </w:rPr>
        <w:t>against</w:t>
      </w:r>
      <w:r>
        <w:rPr>
          <w:spacing w:val="43"/>
        </w:rPr>
        <w:t xml:space="preserve"> </w:t>
      </w:r>
      <w:r>
        <w:rPr>
          <w:spacing w:val="-1"/>
        </w:rPr>
        <w:t>other</w:t>
      </w:r>
      <w:r>
        <w:rPr>
          <w:spacing w:val="42"/>
        </w:rPr>
        <w:t xml:space="preserve"> </w:t>
      </w:r>
      <w:r>
        <w:rPr>
          <w:spacing w:val="-1"/>
        </w:rPr>
        <w:t>suppliers</w:t>
      </w:r>
      <w:r>
        <w:rPr>
          <w:spacing w:val="39"/>
        </w:rPr>
        <w:t xml:space="preserve"> </w:t>
      </w:r>
      <w:r>
        <w:rPr>
          <w:spacing w:val="-2"/>
        </w:rPr>
        <w:t>providing</w:t>
      </w:r>
      <w:r>
        <w:rPr>
          <w:spacing w:val="46"/>
        </w:rPr>
        <w:t xml:space="preserve"> </w:t>
      </w:r>
      <w:r>
        <w:rPr>
          <w:spacing w:val="-1"/>
        </w:rPr>
        <w:t>goods</w:t>
      </w:r>
      <w:r>
        <w:rPr>
          <w:spacing w:val="41"/>
        </w:rPr>
        <w:t xml:space="preserve"> </w:t>
      </w:r>
      <w:r>
        <w:rPr>
          <w:spacing w:val="-1"/>
        </w:rPr>
        <w:t>and/or</w:t>
      </w:r>
      <w:r>
        <w:rPr>
          <w:spacing w:val="40"/>
        </w:rPr>
        <w:t xml:space="preserve"> </w:t>
      </w:r>
      <w:r>
        <w:rPr>
          <w:spacing w:val="-1"/>
        </w:rPr>
        <w:t>services</w:t>
      </w:r>
      <w:r>
        <w:rPr>
          <w:spacing w:val="47"/>
        </w:rPr>
        <w:t xml:space="preserve"> </w:t>
      </w:r>
      <w:r>
        <w:rPr>
          <w:spacing w:val="-1"/>
        </w:rPr>
        <w:t>substantially</w:t>
      </w:r>
      <w:r>
        <w:rPr>
          <w:spacing w:val="17"/>
        </w:rPr>
        <w:t xml:space="preserve"> </w:t>
      </w:r>
      <w:r>
        <w:t>the</w:t>
      </w:r>
      <w:r>
        <w:rPr>
          <w:spacing w:val="20"/>
        </w:rPr>
        <w:t xml:space="preserve"> </w:t>
      </w:r>
      <w:r>
        <w:rPr>
          <w:spacing w:val="-1"/>
        </w:rPr>
        <w:t>same</w:t>
      </w:r>
      <w:r>
        <w:rPr>
          <w:spacing w:val="19"/>
        </w:rPr>
        <w:t xml:space="preserve"> </w:t>
      </w:r>
      <w:r>
        <w:rPr>
          <w:spacing w:val="-1"/>
        </w:rPr>
        <w:t>as</w:t>
      </w:r>
      <w:r>
        <w:rPr>
          <w:spacing w:val="20"/>
        </w:rPr>
        <w:t xml:space="preserve"> </w:t>
      </w:r>
      <w:r>
        <w:t>the</w:t>
      </w:r>
      <w:r>
        <w:rPr>
          <w:spacing w:val="20"/>
        </w:rPr>
        <w:t xml:space="preserve"> </w:t>
      </w:r>
      <w:r>
        <w:rPr>
          <w:spacing w:val="-1"/>
        </w:rPr>
        <w:t>Goods</w:t>
      </w:r>
      <w:r>
        <w:rPr>
          <w:spacing w:val="20"/>
        </w:rPr>
        <w:t xml:space="preserve"> </w:t>
      </w:r>
      <w:r>
        <w:rPr>
          <w:spacing w:val="-1"/>
        </w:rPr>
        <w:t>and/or</w:t>
      </w:r>
      <w:r>
        <w:rPr>
          <w:spacing w:val="21"/>
        </w:rPr>
        <w:t xml:space="preserve"> </w:t>
      </w:r>
      <w:r>
        <w:rPr>
          <w:spacing w:val="-2"/>
        </w:rPr>
        <w:t>Services</w:t>
      </w:r>
      <w:r>
        <w:rPr>
          <w:spacing w:val="22"/>
        </w:rPr>
        <w:t xml:space="preserve"> </w:t>
      </w:r>
      <w:r>
        <w:rPr>
          <w:spacing w:val="-1"/>
        </w:rPr>
        <w:t>during</w:t>
      </w:r>
      <w:r>
        <w:rPr>
          <w:spacing w:val="22"/>
        </w:rPr>
        <w:t xml:space="preserve"> </w:t>
      </w:r>
      <w:r>
        <w:t>the</w:t>
      </w:r>
      <w:r>
        <w:rPr>
          <w:spacing w:val="19"/>
        </w:rPr>
        <w:t xml:space="preserve"> </w:t>
      </w:r>
      <w:r>
        <w:rPr>
          <w:spacing w:val="-2"/>
        </w:rPr>
        <w:t>Call</w:t>
      </w:r>
      <w:r>
        <w:rPr>
          <w:spacing w:val="21"/>
        </w:rPr>
        <w:t xml:space="preserve"> </w:t>
      </w:r>
      <w:r>
        <w:t>Off</w:t>
      </w:r>
      <w:r>
        <w:rPr>
          <w:spacing w:val="19"/>
        </w:rPr>
        <w:t xml:space="preserve"> </w:t>
      </w:r>
      <w:r>
        <w:rPr>
          <w:spacing w:val="-1"/>
        </w:rPr>
        <w:t>Contract</w:t>
      </w:r>
      <w:r>
        <w:rPr>
          <w:spacing w:val="54"/>
        </w:rPr>
        <w:t xml:space="preserve"> </w:t>
      </w:r>
      <w:r>
        <w:rPr>
          <w:spacing w:val="-1"/>
        </w:rPr>
        <w:t>Period.</w:t>
      </w:r>
    </w:p>
    <w:p w:rsidR="008918FA" w:rsidRDefault="008918FA" w:rsidP="008918FA">
      <w:pPr>
        <w:pStyle w:val="BodyText"/>
        <w:numPr>
          <w:ilvl w:val="1"/>
          <w:numId w:val="66"/>
        </w:numPr>
        <w:tabs>
          <w:tab w:val="left" w:pos="1233"/>
        </w:tabs>
        <w:ind w:left="1028" w:right="116" w:hanging="360"/>
        <w:jc w:val="both"/>
      </w:pPr>
      <w:r>
        <w:t xml:space="preserve">The </w:t>
      </w:r>
      <w:r>
        <w:rPr>
          <w:spacing w:val="-2"/>
        </w:rPr>
        <w:t>Customer,</w:t>
      </w:r>
      <w:r>
        <w:rPr>
          <w:spacing w:val="2"/>
        </w:rPr>
        <w:t xml:space="preserve"> </w:t>
      </w:r>
      <w:r>
        <w:rPr>
          <w:spacing w:val="-1"/>
        </w:rPr>
        <w:t>acting</w:t>
      </w:r>
      <w:r>
        <w:t xml:space="preserve"> </w:t>
      </w:r>
      <w:r>
        <w:rPr>
          <w:spacing w:val="-2"/>
        </w:rPr>
        <w:t>reasonably,</w:t>
      </w:r>
      <w:r>
        <w:rPr>
          <w:spacing w:val="2"/>
        </w:rPr>
        <w:t xml:space="preserve"> </w:t>
      </w:r>
      <w:r>
        <w:rPr>
          <w:spacing w:val="-1"/>
        </w:rPr>
        <w:t>shall</w:t>
      </w:r>
      <w:r>
        <w:t xml:space="preserve"> </w:t>
      </w:r>
      <w:r>
        <w:rPr>
          <w:spacing w:val="-1"/>
        </w:rPr>
        <w:t>be</w:t>
      </w:r>
      <w:r>
        <w:t xml:space="preserve"> </w:t>
      </w:r>
      <w:r>
        <w:rPr>
          <w:spacing w:val="-1"/>
        </w:rPr>
        <w:t>entitled</w:t>
      </w:r>
      <w:r>
        <w:t xml:space="preserve"> to </w:t>
      </w:r>
      <w:r>
        <w:rPr>
          <w:spacing w:val="-2"/>
        </w:rPr>
        <w:t>use</w:t>
      </w:r>
      <w:r>
        <w:rPr>
          <w:spacing w:val="1"/>
        </w:rPr>
        <w:t xml:space="preserve"> </w:t>
      </w:r>
      <w:r>
        <w:rPr>
          <w:spacing w:val="-1"/>
        </w:rPr>
        <w:t>any</w:t>
      </w:r>
      <w:r>
        <w:rPr>
          <w:spacing w:val="-2"/>
        </w:rPr>
        <w:t xml:space="preserve"> </w:t>
      </w:r>
      <w:r>
        <w:rPr>
          <w:spacing w:val="-1"/>
        </w:rPr>
        <w:t>model</w:t>
      </w:r>
      <w:r>
        <w:rPr>
          <w:spacing w:val="-3"/>
        </w:rPr>
        <w:t xml:space="preserve"> </w:t>
      </w:r>
      <w:r>
        <w:t xml:space="preserve">to </w:t>
      </w:r>
      <w:r>
        <w:rPr>
          <w:spacing w:val="-2"/>
        </w:rPr>
        <w:t>determine</w:t>
      </w:r>
      <w:r>
        <w:rPr>
          <w:spacing w:val="70"/>
        </w:rPr>
        <w:t xml:space="preserve"> </w:t>
      </w:r>
      <w:r>
        <w:t>the</w:t>
      </w:r>
      <w:r>
        <w:rPr>
          <w:spacing w:val="12"/>
        </w:rPr>
        <w:t xml:space="preserve"> </w:t>
      </w:r>
      <w:r>
        <w:rPr>
          <w:spacing w:val="-1"/>
        </w:rPr>
        <w:t>achievement</w:t>
      </w:r>
      <w:r>
        <w:rPr>
          <w:spacing w:val="14"/>
        </w:rPr>
        <w:t xml:space="preserve"> </w:t>
      </w:r>
      <w:r>
        <w:rPr>
          <w:spacing w:val="-1"/>
        </w:rPr>
        <w:t>of</w:t>
      </w:r>
      <w:r>
        <w:rPr>
          <w:spacing w:val="16"/>
        </w:rPr>
        <w:t xml:space="preserve"> </w:t>
      </w:r>
      <w:r>
        <w:rPr>
          <w:spacing w:val="-2"/>
        </w:rPr>
        <w:t>value</w:t>
      </w:r>
      <w:r>
        <w:rPr>
          <w:spacing w:val="12"/>
        </w:rPr>
        <w:t xml:space="preserve"> </w:t>
      </w:r>
      <w:r>
        <w:t>for</w:t>
      </w:r>
      <w:r>
        <w:rPr>
          <w:spacing w:val="14"/>
        </w:rPr>
        <w:t xml:space="preserve"> </w:t>
      </w:r>
      <w:r>
        <w:rPr>
          <w:spacing w:val="-1"/>
        </w:rPr>
        <w:t>money</w:t>
      </w:r>
      <w:r>
        <w:rPr>
          <w:spacing w:val="10"/>
        </w:rPr>
        <w:t xml:space="preserve"> </w:t>
      </w:r>
      <w:r>
        <w:rPr>
          <w:spacing w:val="-1"/>
        </w:rPr>
        <w:t>and</w:t>
      </w:r>
      <w:r>
        <w:rPr>
          <w:spacing w:val="12"/>
        </w:rPr>
        <w:t xml:space="preserve"> </w:t>
      </w:r>
      <w:r>
        <w:t>to</w:t>
      </w:r>
      <w:r>
        <w:rPr>
          <w:spacing w:val="12"/>
        </w:rPr>
        <w:t xml:space="preserve"> </w:t>
      </w:r>
      <w:r>
        <w:rPr>
          <w:spacing w:val="-1"/>
        </w:rPr>
        <w:t>carry</w:t>
      </w:r>
      <w:r>
        <w:rPr>
          <w:spacing w:val="10"/>
        </w:rPr>
        <w:t xml:space="preserve"> </w:t>
      </w:r>
      <w:r>
        <w:rPr>
          <w:spacing w:val="-1"/>
        </w:rPr>
        <w:t>out</w:t>
      </w:r>
      <w:r>
        <w:rPr>
          <w:spacing w:val="14"/>
        </w:rPr>
        <w:t xml:space="preserve"> </w:t>
      </w:r>
      <w:r>
        <w:t>the</w:t>
      </w:r>
      <w:r>
        <w:rPr>
          <w:spacing w:val="12"/>
        </w:rPr>
        <w:t xml:space="preserve"> </w:t>
      </w:r>
      <w:r>
        <w:rPr>
          <w:spacing w:val="-1"/>
        </w:rPr>
        <w:t>benchmarking</w:t>
      </w:r>
      <w:r>
        <w:rPr>
          <w:spacing w:val="12"/>
        </w:rPr>
        <w:t xml:space="preserve"> </w:t>
      </w:r>
      <w:r>
        <w:rPr>
          <w:spacing w:val="-2"/>
        </w:rPr>
        <w:t>evaluation</w:t>
      </w:r>
      <w:r>
        <w:rPr>
          <w:spacing w:val="50"/>
        </w:rPr>
        <w:t xml:space="preserve"> </w:t>
      </w:r>
      <w:r>
        <w:rPr>
          <w:spacing w:val="-1"/>
        </w:rPr>
        <w:t>referred</w:t>
      </w:r>
      <w:r>
        <w:rPr>
          <w:spacing w:val="-2"/>
        </w:rPr>
        <w:t xml:space="preserve"> </w:t>
      </w:r>
      <w:r>
        <w:t>to</w:t>
      </w:r>
      <w:r>
        <w:rPr>
          <w:spacing w:val="-2"/>
        </w:rPr>
        <w:t xml:space="preserve"> </w:t>
      </w:r>
      <w:r>
        <w:rPr>
          <w:spacing w:val="-1"/>
        </w:rPr>
        <w:t>in</w:t>
      </w:r>
      <w:r>
        <w:t xml:space="preserve"> </w:t>
      </w:r>
      <w:r>
        <w:rPr>
          <w:spacing w:val="-2"/>
        </w:rPr>
        <w:t>Clause</w:t>
      </w:r>
      <w:r>
        <w:rPr>
          <w:spacing w:val="1"/>
        </w:rPr>
        <w:t xml:space="preserve"> </w:t>
      </w:r>
      <w:hyperlink w:anchor="_bookmark136" w:history="1">
        <w:r>
          <w:rPr>
            <w:spacing w:val="-2"/>
          </w:rPr>
          <w:t>25.1</w:t>
        </w:r>
      </w:hyperlink>
      <w:r>
        <w:rPr>
          <w:spacing w:val="1"/>
        </w:rPr>
        <w:t xml:space="preserve"> </w:t>
      </w:r>
      <w:r>
        <w:rPr>
          <w:spacing w:val="-2"/>
        </w:rPr>
        <w:t>above.</w:t>
      </w:r>
    </w:p>
    <w:p w:rsidR="008918FA" w:rsidRDefault="008918FA" w:rsidP="008918FA">
      <w:pPr>
        <w:pStyle w:val="BodyText"/>
        <w:numPr>
          <w:ilvl w:val="1"/>
          <w:numId w:val="66"/>
        </w:numPr>
        <w:tabs>
          <w:tab w:val="left" w:pos="1233"/>
        </w:tabs>
        <w:ind w:left="1028" w:right="111" w:hanging="360"/>
        <w:jc w:val="both"/>
      </w:pPr>
      <w:r>
        <w:t>The</w:t>
      </w:r>
      <w:r>
        <w:rPr>
          <w:spacing w:val="3"/>
        </w:rPr>
        <w:t xml:space="preserve"> </w:t>
      </w:r>
      <w:r>
        <w:rPr>
          <w:spacing w:val="-2"/>
        </w:rPr>
        <w:t>Customer</w:t>
      </w:r>
      <w:r>
        <w:rPr>
          <w:spacing w:val="4"/>
        </w:rPr>
        <w:t xml:space="preserve"> </w:t>
      </w:r>
      <w:r>
        <w:rPr>
          <w:spacing w:val="-1"/>
        </w:rPr>
        <w:t>shall</w:t>
      </w:r>
      <w:r>
        <w:rPr>
          <w:spacing w:val="2"/>
        </w:rPr>
        <w:t xml:space="preserve"> </w:t>
      </w:r>
      <w:r>
        <w:rPr>
          <w:spacing w:val="-1"/>
        </w:rPr>
        <w:t>be</w:t>
      </w:r>
      <w:r>
        <w:rPr>
          <w:spacing w:val="3"/>
        </w:rPr>
        <w:t xml:space="preserve"> </w:t>
      </w:r>
      <w:r>
        <w:rPr>
          <w:spacing w:val="-1"/>
        </w:rPr>
        <w:t>entitled</w:t>
      </w:r>
      <w:r>
        <w:rPr>
          <w:spacing w:val="3"/>
        </w:rPr>
        <w:t xml:space="preserve"> </w:t>
      </w:r>
      <w:r>
        <w:t>to</w:t>
      </w:r>
      <w:r>
        <w:rPr>
          <w:spacing w:val="3"/>
        </w:rPr>
        <w:t xml:space="preserve"> </w:t>
      </w:r>
      <w:r>
        <w:rPr>
          <w:spacing w:val="-1"/>
        </w:rPr>
        <w:t>disclose</w:t>
      </w:r>
      <w:r>
        <w:rPr>
          <w:spacing w:val="1"/>
        </w:rPr>
        <w:t xml:space="preserve"> </w:t>
      </w:r>
      <w:r>
        <w:t xml:space="preserve">the </w:t>
      </w:r>
      <w:r>
        <w:rPr>
          <w:spacing w:val="-1"/>
        </w:rPr>
        <w:t>results</w:t>
      </w:r>
      <w:r>
        <w:rPr>
          <w:spacing w:val="3"/>
        </w:rPr>
        <w:t xml:space="preserve"> </w:t>
      </w:r>
      <w:r>
        <w:rPr>
          <w:spacing w:val="-2"/>
        </w:rPr>
        <w:t>of</w:t>
      </w:r>
      <w:r>
        <w:rPr>
          <w:spacing w:val="6"/>
        </w:rPr>
        <w:t xml:space="preserve"> </w:t>
      </w:r>
      <w:r>
        <w:rPr>
          <w:spacing w:val="-1"/>
        </w:rPr>
        <w:t>any</w:t>
      </w:r>
      <w:r>
        <w:rPr>
          <w:spacing w:val="1"/>
        </w:rPr>
        <w:t xml:space="preserve"> </w:t>
      </w:r>
      <w:r>
        <w:rPr>
          <w:spacing w:val="-2"/>
        </w:rPr>
        <w:t>benchmarking</w:t>
      </w:r>
      <w:r>
        <w:rPr>
          <w:spacing w:val="3"/>
        </w:rPr>
        <w:t xml:space="preserve"> </w:t>
      </w:r>
      <w:r>
        <w:rPr>
          <w:spacing w:val="-2"/>
        </w:rPr>
        <w:t>of</w:t>
      </w:r>
      <w:r>
        <w:rPr>
          <w:spacing w:val="4"/>
        </w:rPr>
        <w:t xml:space="preserve"> </w:t>
      </w:r>
      <w:r>
        <w:rPr>
          <w:spacing w:val="-1"/>
        </w:rPr>
        <w:t>the</w:t>
      </w:r>
      <w:r>
        <w:rPr>
          <w:spacing w:val="58"/>
        </w:rPr>
        <w:t xml:space="preserve"> </w:t>
      </w:r>
      <w:r>
        <w:rPr>
          <w:spacing w:val="-2"/>
        </w:rPr>
        <w:t>Call</w:t>
      </w:r>
      <w:r>
        <w:rPr>
          <w:spacing w:val="57"/>
        </w:rPr>
        <w:t xml:space="preserve"> </w:t>
      </w:r>
      <w:r w:rsidR="001C1527">
        <w:t>Off</w:t>
      </w:r>
      <w:r>
        <w:t xml:space="preserve"> </w:t>
      </w:r>
      <w:r>
        <w:rPr>
          <w:spacing w:val="-2"/>
        </w:rPr>
        <w:t>Contract</w:t>
      </w:r>
      <w:r>
        <w:rPr>
          <w:spacing w:val="59"/>
        </w:rPr>
        <w:t xml:space="preserve"> </w:t>
      </w:r>
      <w:r>
        <w:rPr>
          <w:spacing w:val="-1"/>
        </w:rPr>
        <w:t>Charges</w:t>
      </w:r>
      <w:r>
        <w:rPr>
          <w:spacing w:val="58"/>
        </w:rPr>
        <w:t xml:space="preserve"> </w:t>
      </w:r>
      <w:r>
        <w:rPr>
          <w:spacing w:val="-1"/>
        </w:rPr>
        <w:t>and</w:t>
      </w:r>
      <w:r>
        <w:rPr>
          <w:spacing w:val="58"/>
        </w:rPr>
        <w:t xml:space="preserve"> </w:t>
      </w:r>
      <w:r>
        <w:rPr>
          <w:spacing w:val="-2"/>
        </w:rPr>
        <w:t>provision</w:t>
      </w:r>
      <w:r>
        <w:rPr>
          <w:spacing w:val="58"/>
        </w:rPr>
        <w:t xml:space="preserve"> </w:t>
      </w:r>
      <w:r>
        <w:rPr>
          <w:spacing w:val="-1"/>
        </w:rPr>
        <w:t>of</w:t>
      </w:r>
      <w:r>
        <w:rPr>
          <w:spacing w:val="59"/>
        </w:rPr>
        <w:t xml:space="preserve"> </w:t>
      </w:r>
      <w:r>
        <w:rPr>
          <w:spacing w:val="-1"/>
        </w:rPr>
        <w:t>the</w:t>
      </w:r>
      <w:r>
        <w:rPr>
          <w:spacing w:val="61"/>
        </w:rPr>
        <w:t xml:space="preserve"> </w:t>
      </w:r>
      <w:r>
        <w:rPr>
          <w:spacing w:val="-1"/>
        </w:rPr>
        <w:t>Goods</w:t>
      </w:r>
      <w:r>
        <w:rPr>
          <w:spacing w:val="58"/>
        </w:rPr>
        <w:t xml:space="preserve"> </w:t>
      </w:r>
      <w:r>
        <w:rPr>
          <w:spacing w:val="-1"/>
        </w:rPr>
        <w:t>and/or</w:t>
      </w:r>
      <w:r>
        <w:rPr>
          <w:spacing w:val="59"/>
        </w:rPr>
        <w:t xml:space="preserve"> </w:t>
      </w:r>
      <w:r>
        <w:rPr>
          <w:spacing w:val="-1"/>
        </w:rPr>
        <w:t>Services</w:t>
      </w:r>
      <w:r>
        <w:rPr>
          <w:spacing w:val="59"/>
        </w:rPr>
        <w:t xml:space="preserve"> </w:t>
      </w:r>
      <w:r>
        <w:t>to</w:t>
      </w:r>
      <w:r>
        <w:rPr>
          <w:spacing w:val="58"/>
        </w:rPr>
        <w:t xml:space="preserve"> </w:t>
      </w:r>
      <w:r>
        <w:rPr>
          <w:spacing w:val="-1"/>
        </w:rPr>
        <w:t>the</w:t>
      </w:r>
      <w:r>
        <w:rPr>
          <w:spacing w:val="64"/>
        </w:rPr>
        <w:t xml:space="preserve"> </w:t>
      </w:r>
      <w:r>
        <w:rPr>
          <w:spacing w:val="-1"/>
        </w:rPr>
        <w:t>Authority</w:t>
      </w:r>
      <w:r>
        <w:rPr>
          <w:spacing w:val="15"/>
        </w:rPr>
        <w:t xml:space="preserve"> </w:t>
      </w:r>
      <w:r>
        <w:rPr>
          <w:spacing w:val="-1"/>
        </w:rPr>
        <w:t>and</w:t>
      </w:r>
      <w:r>
        <w:rPr>
          <w:spacing w:val="17"/>
        </w:rPr>
        <w:t xml:space="preserve"> </w:t>
      </w:r>
      <w:r>
        <w:rPr>
          <w:spacing w:val="-1"/>
        </w:rPr>
        <w:t>any</w:t>
      </w:r>
      <w:r>
        <w:rPr>
          <w:spacing w:val="15"/>
        </w:rPr>
        <w:t xml:space="preserve"> </w:t>
      </w:r>
      <w:r>
        <w:rPr>
          <w:spacing w:val="-1"/>
        </w:rPr>
        <w:t>Contracting</w:t>
      </w:r>
      <w:r>
        <w:rPr>
          <w:spacing w:val="20"/>
        </w:rPr>
        <w:t xml:space="preserve"> </w:t>
      </w:r>
      <w:r>
        <w:rPr>
          <w:spacing w:val="-1"/>
        </w:rPr>
        <w:t>Body</w:t>
      </w:r>
      <w:r>
        <w:rPr>
          <w:spacing w:val="15"/>
        </w:rPr>
        <w:t xml:space="preserve"> </w:t>
      </w:r>
      <w:r>
        <w:rPr>
          <w:spacing w:val="-1"/>
        </w:rPr>
        <w:t>(subject</w:t>
      </w:r>
      <w:r>
        <w:rPr>
          <w:spacing w:val="19"/>
        </w:rPr>
        <w:t xml:space="preserve"> </w:t>
      </w:r>
      <w:r>
        <w:t>to</w:t>
      </w:r>
      <w:r>
        <w:rPr>
          <w:spacing w:val="15"/>
        </w:rPr>
        <w:t xml:space="preserve"> </w:t>
      </w:r>
      <w:r>
        <w:rPr>
          <w:spacing w:val="-1"/>
        </w:rPr>
        <w:t>the</w:t>
      </w:r>
      <w:r>
        <w:rPr>
          <w:spacing w:val="17"/>
        </w:rPr>
        <w:t xml:space="preserve"> </w:t>
      </w:r>
      <w:r>
        <w:rPr>
          <w:spacing w:val="-1"/>
        </w:rPr>
        <w:t>Contracting</w:t>
      </w:r>
      <w:r>
        <w:rPr>
          <w:spacing w:val="20"/>
        </w:rPr>
        <w:t xml:space="preserve"> </w:t>
      </w:r>
      <w:r>
        <w:rPr>
          <w:spacing w:val="-1"/>
        </w:rPr>
        <w:t>Body</w:t>
      </w:r>
      <w:r>
        <w:rPr>
          <w:spacing w:val="15"/>
        </w:rPr>
        <w:t xml:space="preserve"> </w:t>
      </w:r>
      <w:r>
        <w:rPr>
          <w:spacing w:val="-1"/>
        </w:rPr>
        <w:t>entering</w:t>
      </w:r>
      <w:r>
        <w:rPr>
          <w:spacing w:val="20"/>
        </w:rPr>
        <w:t xml:space="preserve"> </w:t>
      </w:r>
      <w:r>
        <w:rPr>
          <w:spacing w:val="-2"/>
        </w:rPr>
        <w:t>into</w:t>
      </w:r>
      <w:r>
        <w:rPr>
          <w:spacing w:val="41"/>
        </w:rPr>
        <w:t xml:space="preserve"> </w:t>
      </w:r>
      <w:r>
        <w:rPr>
          <w:spacing w:val="-1"/>
        </w:rPr>
        <w:t>reasonable</w:t>
      </w:r>
      <w:r>
        <w:t xml:space="preserve"> </w:t>
      </w:r>
      <w:r>
        <w:rPr>
          <w:spacing w:val="-1"/>
        </w:rPr>
        <w:t>confidentiality</w:t>
      </w:r>
      <w:r>
        <w:rPr>
          <w:spacing w:val="-2"/>
        </w:rPr>
        <w:t xml:space="preserve"> </w:t>
      </w:r>
      <w:r>
        <w:rPr>
          <w:spacing w:val="-1"/>
        </w:rPr>
        <w:t>undertakings).</w:t>
      </w:r>
    </w:p>
    <w:p w:rsidR="008918FA" w:rsidRDefault="008918FA" w:rsidP="008918FA">
      <w:pPr>
        <w:pStyle w:val="BodyText"/>
        <w:numPr>
          <w:ilvl w:val="1"/>
          <w:numId w:val="66"/>
        </w:numPr>
        <w:tabs>
          <w:tab w:val="left" w:pos="1233"/>
        </w:tabs>
        <w:ind w:left="1028" w:right="114" w:hanging="360"/>
        <w:jc w:val="both"/>
      </w:pPr>
      <w:r>
        <w:t>The</w:t>
      </w:r>
      <w:r>
        <w:rPr>
          <w:spacing w:val="7"/>
        </w:rPr>
        <w:t xml:space="preserve"> </w:t>
      </w:r>
      <w:r>
        <w:rPr>
          <w:spacing w:val="-2"/>
        </w:rPr>
        <w:t>Supplier</w:t>
      </w:r>
      <w:r>
        <w:rPr>
          <w:spacing w:val="9"/>
        </w:rPr>
        <w:t xml:space="preserve"> </w:t>
      </w:r>
      <w:r>
        <w:rPr>
          <w:spacing w:val="-1"/>
        </w:rPr>
        <w:t>shall</w:t>
      </w:r>
      <w:r>
        <w:rPr>
          <w:spacing w:val="7"/>
        </w:rPr>
        <w:t xml:space="preserve"> </w:t>
      </w:r>
      <w:r>
        <w:rPr>
          <w:spacing w:val="-1"/>
        </w:rPr>
        <w:t>use</w:t>
      </w:r>
      <w:r>
        <w:rPr>
          <w:spacing w:val="8"/>
        </w:rPr>
        <w:t xml:space="preserve"> </w:t>
      </w:r>
      <w:r>
        <w:rPr>
          <w:spacing w:val="-1"/>
        </w:rPr>
        <w:t>all</w:t>
      </w:r>
      <w:r>
        <w:rPr>
          <w:spacing w:val="7"/>
        </w:rPr>
        <w:t xml:space="preserve"> </w:t>
      </w:r>
      <w:r>
        <w:rPr>
          <w:spacing w:val="-1"/>
        </w:rPr>
        <w:t>reasonable</w:t>
      </w:r>
      <w:r>
        <w:rPr>
          <w:spacing w:val="7"/>
        </w:rPr>
        <w:t xml:space="preserve"> </w:t>
      </w:r>
      <w:r>
        <w:rPr>
          <w:spacing w:val="-1"/>
        </w:rPr>
        <w:t>endeavours</w:t>
      </w:r>
      <w:r>
        <w:rPr>
          <w:spacing w:val="8"/>
        </w:rPr>
        <w:t xml:space="preserve"> </w:t>
      </w:r>
      <w:r>
        <w:rPr>
          <w:spacing w:val="-1"/>
        </w:rPr>
        <w:t>and</w:t>
      </w:r>
      <w:r>
        <w:rPr>
          <w:spacing w:val="7"/>
        </w:rPr>
        <w:t xml:space="preserve"> </w:t>
      </w:r>
      <w:r>
        <w:rPr>
          <w:spacing w:val="-1"/>
        </w:rPr>
        <w:t>act</w:t>
      </w:r>
      <w:r>
        <w:rPr>
          <w:spacing w:val="9"/>
        </w:rPr>
        <w:t xml:space="preserve"> </w:t>
      </w:r>
      <w:r>
        <w:rPr>
          <w:spacing w:val="-1"/>
        </w:rPr>
        <w:t>in</w:t>
      </w:r>
      <w:r>
        <w:rPr>
          <w:spacing w:val="7"/>
        </w:rPr>
        <w:t xml:space="preserve"> </w:t>
      </w:r>
      <w:r>
        <w:t>good</w:t>
      </w:r>
      <w:r>
        <w:rPr>
          <w:spacing w:val="5"/>
        </w:rPr>
        <w:t xml:space="preserve"> </w:t>
      </w:r>
      <w:r>
        <w:rPr>
          <w:spacing w:val="-1"/>
        </w:rPr>
        <w:t>faith</w:t>
      </w:r>
      <w:r>
        <w:rPr>
          <w:spacing w:val="7"/>
        </w:rPr>
        <w:t xml:space="preserve"> </w:t>
      </w:r>
      <w:r>
        <w:t>to</w:t>
      </w:r>
      <w:r>
        <w:rPr>
          <w:spacing w:val="5"/>
        </w:rPr>
        <w:t xml:space="preserve"> </w:t>
      </w:r>
      <w:r>
        <w:rPr>
          <w:spacing w:val="-1"/>
        </w:rPr>
        <w:t>supply</w:t>
      </w:r>
      <w:r>
        <w:rPr>
          <w:spacing w:val="47"/>
        </w:rPr>
        <w:t xml:space="preserve"> </w:t>
      </w:r>
      <w:r>
        <w:rPr>
          <w:spacing w:val="-1"/>
        </w:rPr>
        <w:t>information</w:t>
      </w:r>
      <w:r>
        <w:rPr>
          <w:spacing w:val="15"/>
        </w:rPr>
        <w:t xml:space="preserve"> </w:t>
      </w:r>
      <w:r>
        <w:rPr>
          <w:spacing w:val="-1"/>
        </w:rPr>
        <w:t>required</w:t>
      </w:r>
      <w:r>
        <w:rPr>
          <w:spacing w:val="15"/>
        </w:rPr>
        <w:t xml:space="preserve"> </w:t>
      </w:r>
      <w:r>
        <w:rPr>
          <w:spacing w:val="-1"/>
        </w:rPr>
        <w:t>by</w:t>
      </w:r>
      <w:r>
        <w:rPr>
          <w:spacing w:val="13"/>
        </w:rPr>
        <w:t xml:space="preserve"> </w:t>
      </w:r>
      <w:r>
        <w:rPr>
          <w:spacing w:val="-1"/>
        </w:rPr>
        <w:t>the</w:t>
      </w:r>
      <w:r>
        <w:rPr>
          <w:spacing w:val="15"/>
        </w:rPr>
        <w:t xml:space="preserve"> </w:t>
      </w:r>
      <w:r>
        <w:rPr>
          <w:spacing w:val="-1"/>
        </w:rPr>
        <w:t>Customer</w:t>
      </w:r>
      <w:r>
        <w:rPr>
          <w:spacing w:val="14"/>
        </w:rPr>
        <w:t xml:space="preserve"> </w:t>
      </w:r>
      <w:r>
        <w:rPr>
          <w:spacing w:val="-1"/>
        </w:rPr>
        <w:t>in</w:t>
      </w:r>
      <w:r>
        <w:rPr>
          <w:spacing w:val="15"/>
        </w:rPr>
        <w:t xml:space="preserve"> </w:t>
      </w:r>
      <w:r>
        <w:rPr>
          <w:spacing w:val="-1"/>
        </w:rPr>
        <w:t>order</w:t>
      </w:r>
      <w:r>
        <w:rPr>
          <w:spacing w:val="14"/>
        </w:rPr>
        <w:t xml:space="preserve"> </w:t>
      </w:r>
      <w:r>
        <w:t>to</w:t>
      </w:r>
      <w:r>
        <w:rPr>
          <w:spacing w:val="12"/>
        </w:rPr>
        <w:t xml:space="preserve"> </w:t>
      </w:r>
      <w:r>
        <w:rPr>
          <w:spacing w:val="-1"/>
        </w:rPr>
        <w:t>undertake</w:t>
      </w:r>
      <w:r>
        <w:rPr>
          <w:spacing w:val="12"/>
        </w:rPr>
        <w:t xml:space="preserve"> </w:t>
      </w:r>
      <w:r>
        <w:t>the</w:t>
      </w:r>
      <w:r>
        <w:rPr>
          <w:spacing w:val="12"/>
        </w:rPr>
        <w:t xml:space="preserve"> </w:t>
      </w:r>
      <w:r>
        <w:rPr>
          <w:spacing w:val="-2"/>
        </w:rPr>
        <w:t>benchmarking</w:t>
      </w:r>
      <w:r>
        <w:rPr>
          <w:spacing w:val="17"/>
        </w:rPr>
        <w:t xml:space="preserve"> </w:t>
      </w:r>
      <w:r>
        <w:rPr>
          <w:spacing w:val="-2"/>
        </w:rPr>
        <w:t>and</w:t>
      </w:r>
      <w:r>
        <w:rPr>
          <w:spacing w:val="51"/>
        </w:rPr>
        <w:t xml:space="preserve"> </w:t>
      </w:r>
      <w:r>
        <w:rPr>
          <w:spacing w:val="-1"/>
        </w:rPr>
        <w:t>such</w:t>
      </w:r>
      <w:r>
        <w:rPr>
          <w:spacing w:val="1"/>
        </w:rPr>
        <w:t xml:space="preserve"> </w:t>
      </w:r>
      <w:r>
        <w:rPr>
          <w:spacing w:val="-1"/>
        </w:rPr>
        <w:t>information</w:t>
      </w:r>
      <w:r>
        <w:t xml:space="preserve"> </w:t>
      </w:r>
      <w:r>
        <w:rPr>
          <w:spacing w:val="-1"/>
        </w:rPr>
        <w:t>requirements</w:t>
      </w:r>
      <w:r>
        <w:rPr>
          <w:spacing w:val="-2"/>
        </w:rPr>
        <w:t xml:space="preserve"> </w:t>
      </w:r>
      <w:r>
        <w:rPr>
          <w:spacing w:val="-1"/>
        </w:rPr>
        <w:t>shall</w:t>
      </w:r>
      <w:r>
        <w:t xml:space="preserve"> </w:t>
      </w:r>
      <w:r>
        <w:rPr>
          <w:spacing w:val="-1"/>
        </w:rPr>
        <w:t>be</w:t>
      </w:r>
      <w:r>
        <w:t xml:space="preserve"> </w:t>
      </w:r>
      <w:r>
        <w:rPr>
          <w:spacing w:val="-2"/>
        </w:rPr>
        <w:t>at</w:t>
      </w:r>
      <w:r>
        <w:rPr>
          <w:spacing w:val="-1"/>
        </w:rPr>
        <w:t xml:space="preserve"> </w:t>
      </w:r>
      <w:r>
        <w:t>the</w:t>
      </w:r>
      <w:r>
        <w:rPr>
          <w:spacing w:val="-2"/>
        </w:rPr>
        <w:t xml:space="preserve"> </w:t>
      </w:r>
      <w:r>
        <w:rPr>
          <w:spacing w:val="-1"/>
        </w:rPr>
        <w:t>discretion</w:t>
      </w:r>
      <w:r>
        <w:t xml:space="preserve"> </w:t>
      </w:r>
      <w:r>
        <w:rPr>
          <w:spacing w:val="-2"/>
        </w:rPr>
        <w:t>of</w:t>
      </w:r>
      <w:r>
        <w:t xml:space="preserve"> the</w:t>
      </w:r>
      <w:r>
        <w:rPr>
          <w:spacing w:val="-2"/>
        </w:rPr>
        <w:t xml:space="preserve"> </w:t>
      </w:r>
      <w:r>
        <w:rPr>
          <w:spacing w:val="-1"/>
        </w:rPr>
        <w:t>Customer.</w:t>
      </w:r>
    </w:p>
    <w:p w:rsidR="008918FA" w:rsidRDefault="008918FA" w:rsidP="008918FA">
      <w:pPr>
        <w:pStyle w:val="BodyText"/>
        <w:numPr>
          <w:ilvl w:val="1"/>
          <w:numId w:val="66"/>
        </w:numPr>
        <w:tabs>
          <w:tab w:val="left" w:pos="1234"/>
        </w:tabs>
        <w:ind w:left="1029" w:right="111" w:hanging="360"/>
        <w:jc w:val="both"/>
      </w:pPr>
      <w:r>
        <w:rPr>
          <w:spacing w:val="-1"/>
        </w:rPr>
        <w:t>Where,</w:t>
      </w:r>
      <w:r>
        <w:rPr>
          <w:spacing w:val="4"/>
        </w:rPr>
        <w:t xml:space="preserve"> </w:t>
      </w:r>
      <w:r>
        <w:rPr>
          <w:spacing w:val="-1"/>
        </w:rPr>
        <w:t>as</w:t>
      </w:r>
      <w:r>
        <w:rPr>
          <w:spacing w:val="3"/>
        </w:rPr>
        <w:t xml:space="preserve"> </w:t>
      </w:r>
      <w:r>
        <w:t>a</w:t>
      </w:r>
      <w:r>
        <w:rPr>
          <w:spacing w:val="3"/>
        </w:rPr>
        <w:t xml:space="preserve"> </w:t>
      </w:r>
      <w:r>
        <w:rPr>
          <w:spacing w:val="-1"/>
        </w:rPr>
        <w:t>consequence</w:t>
      </w:r>
      <w:r>
        <w:rPr>
          <w:spacing w:val="3"/>
        </w:rPr>
        <w:t xml:space="preserve"> </w:t>
      </w:r>
      <w:r>
        <w:rPr>
          <w:spacing w:val="-1"/>
        </w:rPr>
        <w:t>of</w:t>
      </w:r>
      <w:r>
        <w:rPr>
          <w:spacing w:val="6"/>
        </w:rPr>
        <w:t xml:space="preserve"> </w:t>
      </w:r>
      <w:r>
        <w:rPr>
          <w:spacing w:val="-1"/>
        </w:rPr>
        <w:t>any</w:t>
      </w:r>
      <w:r>
        <w:rPr>
          <w:spacing w:val="1"/>
        </w:rPr>
        <w:t xml:space="preserve"> </w:t>
      </w:r>
      <w:r>
        <w:rPr>
          <w:spacing w:val="-1"/>
        </w:rPr>
        <w:t>benchmarking</w:t>
      </w:r>
      <w:r>
        <w:rPr>
          <w:spacing w:val="5"/>
        </w:rPr>
        <w:t xml:space="preserve"> </w:t>
      </w:r>
      <w:r>
        <w:rPr>
          <w:spacing w:val="-1"/>
        </w:rPr>
        <w:t>carried</w:t>
      </w:r>
      <w:r>
        <w:rPr>
          <w:spacing w:val="3"/>
        </w:rPr>
        <w:t xml:space="preserve"> </w:t>
      </w:r>
      <w:r>
        <w:rPr>
          <w:spacing w:val="-1"/>
        </w:rPr>
        <w:t>out</w:t>
      </w:r>
      <w:r>
        <w:rPr>
          <w:spacing w:val="4"/>
        </w:rPr>
        <w:t xml:space="preserve"> </w:t>
      </w:r>
      <w:r>
        <w:rPr>
          <w:spacing w:val="-1"/>
        </w:rPr>
        <w:t>by</w:t>
      </w:r>
      <w:r>
        <w:rPr>
          <w:spacing w:val="1"/>
        </w:rPr>
        <w:t xml:space="preserve"> </w:t>
      </w:r>
      <w:r>
        <w:t>the</w:t>
      </w:r>
      <w:r>
        <w:rPr>
          <w:spacing w:val="3"/>
        </w:rPr>
        <w:t xml:space="preserve"> </w:t>
      </w:r>
      <w:r>
        <w:rPr>
          <w:spacing w:val="-1"/>
        </w:rPr>
        <w:t>Customer,</w:t>
      </w:r>
      <w:r>
        <w:rPr>
          <w:spacing w:val="4"/>
        </w:rPr>
        <w:t xml:space="preserve"> </w:t>
      </w:r>
      <w:r>
        <w:rPr>
          <w:spacing w:val="-1"/>
        </w:rPr>
        <w:t>the</w:t>
      </w:r>
      <w:r>
        <w:rPr>
          <w:spacing w:val="34"/>
        </w:rPr>
        <w:t xml:space="preserve"> </w:t>
      </w:r>
      <w:r>
        <w:rPr>
          <w:spacing w:val="-1"/>
        </w:rPr>
        <w:t>Customer</w:t>
      </w:r>
      <w:r>
        <w:rPr>
          <w:spacing w:val="48"/>
        </w:rPr>
        <w:t xml:space="preserve"> </w:t>
      </w:r>
      <w:r>
        <w:rPr>
          <w:spacing w:val="-1"/>
        </w:rPr>
        <w:t>decides</w:t>
      </w:r>
      <w:r>
        <w:rPr>
          <w:spacing w:val="47"/>
        </w:rPr>
        <w:t xml:space="preserve"> </w:t>
      </w:r>
      <w:r>
        <w:rPr>
          <w:spacing w:val="-1"/>
        </w:rPr>
        <w:t>improvements</w:t>
      </w:r>
      <w:r>
        <w:rPr>
          <w:spacing w:val="45"/>
        </w:rPr>
        <w:t xml:space="preserve"> </w:t>
      </w:r>
      <w:r>
        <w:t>to</w:t>
      </w:r>
      <w:r>
        <w:rPr>
          <w:spacing w:val="47"/>
        </w:rPr>
        <w:t xml:space="preserve"> </w:t>
      </w:r>
      <w:r>
        <w:t>the</w:t>
      </w:r>
      <w:r>
        <w:rPr>
          <w:spacing w:val="45"/>
        </w:rPr>
        <w:t xml:space="preserve"> </w:t>
      </w:r>
      <w:r>
        <w:rPr>
          <w:spacing w:val="-1"/>
        </w:rPr>
        <w:t>Goods</w:t>
      </w:r>
      <w:r>
        <w:rPr>
          <w:spacing w:val="47"/>
        </w:rPr>
        <w:t xml:space="preserve"> </w:t>
      </w:r>
      <w:r>
        <w:rPr>
          <w:spacing w:val="-1"/>
        </w:rPr>
        <w:t>and/or</w:t>
      </w:r>
      <w:r>
        <w:rPr>
          <w:spacing w:val="49"/>
        </w:rPr>
        <w:t xml:space="preserve"> </w:t>
      </w:r>
      <w:r>
        <w:rPr>
          <w:spacing w:val="-2"/>
        </w:rPr>
        <w:t>Services</w:t>
      </w:r>
      <w:r>
        <w:rPr>
          <w:spacing w:val="49"/>
        </w:rPr>
        <w:t xml:space="preserve"> </w:t>
      </w:r>
      <w:r>
        <w:rPr>
          <w:spacing w:val="-1"/>
        </w:rPr>
        <w:t>should</w:t>
      </w:r>
      <w:r>
        <w:rPr>
          <w:spacing w:val="47"/>
        </w:rPr>
        <w:t xml:space="preserve"> </w:t>
      </w:r>
      <w:r>
        <w:rPr>
          <w:spacing w:val="-1"/>
        </w:rPr>
        <w:t>be</w:t>
      </w:r>
      <w:r>
        <w:rPr>
          <w:spacing w:val="30"/>
        </w:rPr>
        <w:t xml:space="preserve"> </w:t>
      </w:r>
      <w:r>
        <w:rPr>
          <w:spacing w:val="-1"/>
        </w:rPr>
        <w:t>implemented</w:t>
      </w:r>
      <w:r>
        <w:rPr>
          <w:spacing w:val="46"/>
        </w:rPr>
        <w:t xml:space="preserve"> </w:t>
      </w:r>
      <w:r>
        <w:rPr>
          <w:spacing w:val="-2"/>
        </w:rPr>
        <w:t>such</w:t>
      </w:r>
      <w:r>
        <w:rPr>
          <w:spacing w:val="46"/>
        </w:rPr>
        <w:t xml:space="preserve"> </w:t>
      </w:r>
      <w:r>
        <w:rPr>
          <w:spacing w:val="-1"/>
        </w:rPr>
        <w:t>improvements</w:t>
      </w:r>
      <w:r>
        <w:rPr>
          <w:spacing w:val="46"/>
        </w:rPr>
        <w:t xml:space="preserve"> </w:t>
      </w:r>
      <w:r>
        <w:rPr>
          <w:spacing w:val="-1"/>
        </w:rPr>
        <w:t>shall</w:t>
      </w:r>
      <w:r>
        <w:rPr>
          <w:spacing w:val="45"/>
        </w:rPr>
        <w:t xml:space="preserve"> </w:t>
      </w:r>
      <w:r>
        <w:rPr>
          <w:spacing w:val="-1"/>
        </w:rPr>
        <w:t>be</w:t>
      </w:r>
      <w:r>
        <w:rPr>
          <w:spacing w:val="46"/>
        </w:rPr>
        <w:t xml:space="preserve"> </w:t>
      </w:r>
      <w:r>
        <w:rPr>
          <w:spacing w:val="-1"/>
        </w:rPr>
        <w:t>implemented</w:t>
      </w:r>
      <w:r>
        <w:rPr>
          <w:spacing w:val="46"/>
        </w:rPr>
        <w:t xml:space="preserve"> </w:t>
      </w:r>
      <w:r>
        <w:rPr>
          <w:spacing w:val="-1"/>
        </w:rPr>
        <w:t>by</w:t>
      </w:r>
      <w:r>
        <w:rPr>
          <w:spacing w:val="45"/>
        </w:rPr>
        <w:t xml:space="preserve"> </w:t>
      </w:r>
      <w:r>
        <w:rPr>
          <w:spacing w:val="-2"/>
        </w:rPr>
        <w:t>way</w:t>
      </w:r>
      <w:r>
        <w:rPr>
          <w:spacing w:val="44"/>
        </w:rPr>
        <w:t xml:space="preserve"> </w:t>
      </w:r>
      <w:r>
        <w:rPr>
          <w:spacing w:val="-1"/>
        </w:rPr>
        <w:t>of</w:t>
      </w:r>
      <w:r>
        <w:rPr>
          <w:spacing w:val="49"/>
        </w:rPr>
        <w:t xml:space="preserve"> </w:t>
      </w:r>
      <w:r>
        <w:t>the</w:t>
      </w:r>
      <w:r>
        <w:rPr>
          <w:spacing w:val="43"/>
        </w:rPr>
        <w:t xml:space="preserve"> </w:t>
      </w:r>
      <w:r>
        <w:rPr>
          <w:spacing w:val="-1"/>
        </w:rPr>
        <w:t>Variation</w:t>
      </w:r>
      <w:r>
        <w:rPr>
          <w:spacing w:val="32"/>
        </w:rPr>
        <w:t xml:space="preserve"> </w:t>
      </w:r>
      <w:r>
        <w:rPr>
          <w:spacing w:val="-1"/>
        </w:rPr>
        <w:t>Procedure</w:t>
      </w:r>
      <w:r>
        <w:rPr>
          <w:spacing w:val="-2"/>
        </w:rPr>
        <w:t xml:space="preserve"> </w:t>
      </w:r>
      <w:r>
        <w:rPr>
          <w:spacing w:val="-1"/>
        </w:rPr>
        <w:t>at</w:t>
      </w:r>
      <w:r>
        <w:t xml:space="preserve"> </w:t>
      </w:r>
      <w:r>
        <w:rPr>
          <w:spacing w:val="-1"/>
        </w:rPr>
        <w:t>no</w:t>
      </w:r>
      <w:r>
        <w:t xml:space="preserve"> </w:t>
      </w:r>
      <w:r>
        <w:rPr>
          <w:spacing w:val="-2"/>
        </w:rPr>
        <w:t>additional</w:t>
      </w:r>
      <w:r>
        <w:t xml:space="preserve"> </w:t>
      </w:r>
      <w:r>
        <w:rPr>
          <w:spacing w:val="-1"/>
        </w:rPr>
        <w:t>cost</w:t>
      </w:r>
      <w:r>
        <w:t xml:space="preserve"> to</w:t>
      </w:r>
      <w:r>
        <w:rPr>
          <w:spacing w:val="-2"/>
        </w:rPr>
        <w:t xml:space="preserve"> </w:t>
      </w:r>
      <w:r>
        <w:t>the</w:t>
      </w:r>
      <w:r>
        <w:rPr>
          <w:spacing w:val="-2"/>
        </w:rPr>
        <w:t xml:space="preserve"> </w:t>
      </w:r>
      <w:r>
        <w:rPr>
          <w:spacing w:val="-1"/>
        </w:rPr>
        <w:t>Customer.</w:t>
      </w:r>
    </w:p>
    <w:p w:rsidR="008918FA" w:rsidRDefault="008918FA" w:rsidP="008918FA">
      <w:pPr>
        <w:pStyle w:val="BodyText"/>
        <w:numPr>
          <w:ilvl w:val="1"/>
          <w:numId w:val="66"/>
        </w:numPr>
        <w:tabs>
          <w:tab w:val="left" w:pos="1234"/>
        </w:tabs>
        <w:spacing w:before="121"/>
        <w:ind w:left="1029" w:right="111" w:hanging="360"/>
        <w:jc w:val="both"/>
      </w:pPr>
      <w:r>
        <w:t xml:space="preserve">The </w:t>
      </w:r>
      <w:r>
        <w:rPr>
          <w:spacing w:val="-1"/>
        </w:rPr>
        <w:t>benefit</w:t>
      </w:r>
      <w:r>
        <w:rPr>
          <w:spacing w:val="2"/>
        </w:rPr>
        <w:t xml:space="preserve"> </w:t>
      </w:r>
      <w:r>
        <w:rPr>
          <w:spacing w:val="-2"/>
        </w:rPr>
        <w:t>of</w:t>
      </w:r>
      <w:r>
        <w:rPr>
          <w:spacing w:val="4"/>
        </w:rPr>
        <w:t xml:space="preserve"> </w:t>
      </w:r>
      <w:r>
        <w:rPr>
          <w:spacing w:val="-1"/>
        </w:rPr>
        <w:t>any</w:t>
      </w:r>
      <w:r>
        <w:rPr>
          <w:spacing w:val="1"/>
        </w:rPr>
        <w:t xml:space="preserve"> </w:t>
      </w:r>
      <w:r>
        <w:rPr>
          <w:spacing w:val="-2"/>
        </w:rPr>
        <w:t>work</w:t>
      </w:r>
      <w:r>
        <w:rPr>
          <w:spacing w:val="1"/>
        </w:rPr>
        <w:t xml:space="preserve"> </w:t>
      </w:r>
      <w:r>
        <w:rPr>
          <w:spacing w:val="-1"/>
        </w:rPr>
        <w:t>carried</w:t>
      </w:r>
      <w:r>
        <w:t xml:space="preserve"> </w:t>
      </w:r>
      <w:r>
        <w:rPr>
          <w:spacing w:val="-1"/>
        </w:rPr>
        <w:t>out</w:t>
      </w:r>
      <w:r>
        <w:rPr>
          <w:spacing w:val="2"/>
        </w:rPr>
        <w:t xml:space="preserve"> </w:t>
      </w:r>
      <w:r>
        <w:rPr>
          <w:spacing w:val="-1"/>
        </w:rPr>
        <w:t>by</w:t>
      </w:r>
      <w:r>
        <w:rPr>
          <w:spacing w:val="-2"/>
        </w:rPr>
        <w:t xml:space="preserve"> </w:t>
      </w:r>
      <w:r>
        <w:t xml:space="preserve">the </w:t>
      </w:r>
      <w:r>
        <w:rPr>
          <w:spacing w:val="-1"/>
        </w:rPr>
        <w:t>Supplier</w:t>
      </w:r>
      <w:r>
        <w:rPr>
          <w:spacing w:val="2"/>
        </w:rPr>
        <w:t xml:space="preserve"> </w:t>
      </w:r>
      <w:r>
        <w:rPr>
          <w:spacing w:val="-1"/>
        </w:rPr>
        <w:t>at</w:t>
      </w:r>
      <w:r>
        <w:rPr>
          <w:spacing w:val="2"/>
        </w:rPr>
        <w:t xml:space="preserve"> </w:t>
      </w:r>
      <w:r>
        <w:rPr>
          <w:spacing w:val="-1"/>
        </w:rPr>
        <w:t>any</w:t>
      </w:r>
      <w:r>
        <w:rPr>
          <w:spacing w:val="-2"/>
        </w:rPr>
        <w:t xml:space="preserve"> </w:t>
      </w:r>
      <w:r>
        <w:rPr>
          <w:spacing w:val="-1"/>
        </w:rPr>
        <w:t>time</w:t>
      </w:r>
      <w:r>
        <w:t xml:space="preserve"> </w:t>
      </w:r>
      <w:r>
        <w:rPr>
          <w:spacing w:val="-1"/>
        </w:rPr>
        <w:t>during</w:t>
      </w:r>
      <w:r>
        <w:t xml:space="preserve"> the </w:t>
      </w:r>
      <w:r>
        <w:rPr>
          <w:spacing w:val="-2"/>
        </w:rPr>
        <w:t>Call</w:t>
      </w:r>
      <w:r>
        <w:t xml:space="preserve"> </w:t>
      </w:r>
      <w:r>
        <w:rPr>
          <w:spacing w:val="-1"/>
        </w:rPr>
        <w:t>Off</w:t>
      </w:r>
      <w:r>
        <w:rPr>
          <w:spacing w:val="51"/>
        </w:rPr>
        <w:t xml:space="preserve"> </w:t>
      </w:r>
      <w:r>
        <w:rPr>
          <w:spacing w:val="-1"/>
        </w:rPr>
        <w:t>Contract</w:t>
      </w:r>
      <w:r>
        <w:rPr>
          <w:spacing w:val="7"/>
        </w:rPr>
        <w:t xml:space="preserve"> </w:t>
      </w:r>
      <w:r>
        <w:rPr>
          <w:spacing w:val="-1"/>
        </w:rPr>
        <w:t>Period</w:t>
      </w:r>
      <w:r>
        <w:rPr>
          <w:spacing w:val="5"/>
        </w:rPr>
        <w:t xml:space="preserve"> </w:t>
      </w:r>
      <w:r>
        <w:t>to</w:t>
      </w:r>
      <w:r>
        <w:rPr>
          <w:spacing w:val="5"/>
        </w:rPr>
        <w:t xml:space="preserve"> </w:t>
      </w:r>
      <w:r>
        <w:rPr>
          <w:spacing w:val="-1"/>
        </w:rPr>
        <w:t>update,</w:t>
      </w:r>
      <w:r>
        <w:rPr>
          <w:spacing w:val="7"/>
        </w:rPr>
        <w:t xml:space="preserve"> </w:t>
      </w:r>
      <w:r>
        <w:rPr>
          <w:spacing w:val="-1"/>
        </w:rPr>
        <w:t>improve</w:t>
      </w:r>
      <w:r>
        <w:rPr>
          <w:spacing w:val="5"/>
        </w:rPr>
        <w:t xml:space="preserve"> </w:t>
      </w:r>
      <w:r>
        <w:rPr>
          <w:spacing w:val="-1"/>
        </w:rPr>
        <w:t>or</w:t>
      </w:r>
      <w:r>
        <w:rPr>
          <w:spacing w:val="6"/>
        </w:rPr>
        <w:t xml:space="preserve"> </w:t>
      </w:r>
      <w:r>
        <w:rPr>
          <w:spacing w:val="-2"/>
        </w:rPr>
        <w:t>provide</w:t>
      </w:r>
      <w:r>
        <w:rPr>
          <w:spacing w:val="5"/>
        </w:rPr>
        <w:t xml:space="preserve"> </w:t>
      </w:r>
      <w:r>
        <w:t>the</w:t>
      </w:r>
      <w:r>
        <w:rPr>
          <w:spacing w:val="7"/>
        </w:rPr>
        <w:t xml:space="preserve"> </w:t>
      </w:r>
      <w:r>
        <w:rPr>
          <w:spacing w:val="-1"/>
        </w:rPr>
        <w:t>Goods</w:t>
      </w:r>
      <w:r>
        <w:rPr>
          <w:spacing w:val="5"/>
        </w:rPr>
        <w:t xml:space="preserve"> </w:t>
      </w:r>
      <w:r>
        <w:rPr>
          <w:spacing w:val="-1"/>
        </w:rPr>
        <w:t>and/or</w:t>
      </w:r>
      <w:r>
        <w:rPr>
          <w:spacing w:val="6"/>
        </w:rPr>
        <w:t xml:space="preserve"> </w:t>
      </w:r>
      <w:r>
        <w:rPr>
          <w:spacing w:val="-1"/>
        </w:rPr>
        <w:t>Services,</w:t>
      </w:r>
      <w:r>
        <w:rPr>
          <w:spacing w:val="4"/>
        </w:rPr>
        <w:t xml:space="preserve"> </w:t>
      </w:r>
      <w:r>
        <w:rPr>
          <w:spacing w:val="-1"/>
        </w:rPr>
        <w:t>facilitate</w:t>
      </w:r>
      <w:r>
        <w:rPr>
          <w:spacing w:val="49"/>
        </w:rPr>
        <w:t xml:space="preserve"> </w:t>
      </w:r>
      <w:r>
        <w:rPr>
          <w:spacing w:val="-1"/>
        </w:rPr>
        <w:t>their</w:t>
      </w:r>
      <w:r>
        <w:rPr>
          <w:spacing w:val="19"/>
        </w:rPr>
        <w:t xml:space="preserve"> </w:t>
      </w:r>
      <w:r>
        <w:rPr>
          <w:spacing w:val="-2"/>
        </w:rPr>
        <w:t>delivery</w:t>
      </w:r>
      <w:r>
        <w:rPr>
          <w:spacing w:val="18"/>
        </w:rPr>
        <w:t xml:space="preserve"> </w:t>
      </w:r>
      <w:r>
        <w:t>to</w:t>
      </w:r>
      <w:r>
        <w:rPr>
          <w:spacing w:val="17"/>
        </w:rPr>
        <w:t xml:space="preserve"> </w:t>
      </w:r>
      <w:r>
        <w:rPr>
          <w:spacing w:val="-1"/>
        </w:rPr>
        <w:t>any</w:t>
      </w:r>
      <w:r>
        <w:rPr>
          <w:spacing w:val="15"/>
        </w:rPr>
        <w:t xml:space="preserve"> </w:t>
      </w:r>
      <w:r>
        <w:t>other</w:t>
      </w:r>
      <w:r>
        <w:rPr>
          <w:spacing w:val="19"/>
        </w:rPr>
        <w:t xml:space="preserve"> </w:t>
      </w:r>
      <w:r>
        <w:rPr>
          <w:spacing w:val="-1"/>
        </w:rPr>
        <w:t>Contracting</w:t>
      </w:r>
      <w:r>
        <w:rPr>
          <w:spacing w:val="20"/>
        </w:rPr>
        <w:t xml:space="preserve"> </w:t>
      </w:r>
      <w:r>
        <w:rPr>
          <w:spacing w:val="-1"/>
        </w:rPr>
        <w:t>Body</w:t>
      </w:r>
      <w:r>
        <w:rPr>
          <w:spacing w:val="15"/>
        </w:rPr>
        <w:t xml:space="preserve"> </w:t>
      </w:r>
      <w:r>
        <w:t>and/or</w:t>
      </w:r>
      <w:r>
        <w:rPr>
          <w:spacing w:val="19"/>
        </w:rPr>
        <w:t xml:space="preserve"> </w:t>
      </w:r>
      <w:r>
        <w:rPr>
          <w:spacing w:val="-1"/>
        </w:rPr>
        <w:t>any</w:t>
      </w:r>
      <w:r>
        <w:rPr>
          <w:spacing w:val="15"/>
        </w:rPr>
        <w:t xml:space="preserve"> </w:t>
      </w:r>
      <w:r>
        <w:rPr>
          <w:spacing w:val="-1"/>
        </w:rPr>
        <w:t>alterations</w:t>
      </w:r>
      <w:r>
        <w:rPr>
          <w:spacing w:val="18"/>
        </w:rPr>
        <w:t xml:space="preserve"> </w:t>
      </w:r>
      <w:r>
        <w:rPr>
          <w:spacing w:val="-1"/>
        </w:rPr>
        <w:t>or</w:t>
      </w:r>
      <w:r>
        <w:rPr>
          <w:spacing w:val="19"/>
        </w:rPr>
        <w:t xml:space="preserve"> </w:t>
      </w:r>
      <w:r>
        <w:rPr>
          <w:spacing w:val="-2"/>
        </w:rPr>
        <w:t>variations</w:t>
      </w:r>
      <w:r>
        <w:rPr>
          <w:spacing w:val="18"/>
        </w:rPr>
        <w:t xml:space="preserve"> </w:t>
      </w:r>
      <w:r>
        <w:t>to</w:t>
      </w:r>
      <w:r>
        <w:rPr>
          <w:spacing w:val="55"/>
        </w:rPr>
        <w:t xml:space="preserve"> </w:t>
      </w:r>
      <w:r>
        <w:t>the</w:t>
      </w:r>
      <w:r>
        <w:rPr>
          <w:spacing w:val="15"/>
        </w:rPr>
        <w:t xml:space="preserve"> </w:t>
      </w:r>
      <w:r>
        <w:rPr>
          <w:spacing w:val="-1"/>
        </w:rPr>
        <w:t>Charges</w:t>
      </w:r>
      <w:r>
        <w:rPr>
          <w:spacing w:val="15"/>
        </w:rPr>
        <w:t xml:space="preserve"> </w:t>
      </w:r>
      <w:r>
        <w:rPr>
          <w:spacing w:val="-1"/>
        </w:rPr>
        <w:t>or</w:t>
      </w:r>
      <w:r>
        <w:rPr>
          <w:spacing w:val="16"/>
        </w:rPr>
        <w:t xml:space="preserve"> </w:t>
      </w:r>
      <w:r>
        <w:rPr>
          <w:spacing w:val="-1"/>
        </w:rPr>
        <w:t>the</w:t>
      </w:r>
      <w:r>
        <w:rPr>
          <w:spacing w:val="15"/>
        </w:rPr>
        <w:t xml:space="preserve"> </w:t>
      </w:r>
      <w:r>
        <w:rPr>
          <w:spacing w:val="-2"/>
        </w:rPr>
        <w:t>provision</w:t>
      </w:r>
      <w:r>
        <w:rPr>
          <w:spacing w:val="15"/>
        </w:rPr>
        <w:t xml:space="preserve"> </w:t>
      </w:r>
      <w:r>
        <w:rPr>
          <w:spacing w:val="-1"/>
        </w:rPr>
        <w:t>of</w:t>
      </w:r>
      <w:r>
        <w:rPr>
          <w:spacing w:val="16"/>
        </w:rPr>
        <w:t xml:space="preserve"> </w:t>
      </w:r>
      <w:r>
        <w:t>the</w:t>
      </w:r>
      <w:r>
        <w:rPr>
          <w:spacing w:val="15"/>
        </w:rPr>
        <w:t xml:space="preserve"> </w:t>
      </w:r>
      <w:r>
        <w:rPr>
          <w:spacing w:val="-1"/>
        </w:rPr>
        <w:t>Goods</w:t>
      </w:r>
      <w:r>
        <w:rPr>
          <w:spacing w:val="15"/>
        </w:rPr>
        <w:t xml:space="preserve"> </w:t>
      </w:r>
      <w:r>
        <w:rPr>
          <w:spacing w:val="-2"/>
        </w:rPr>
        <w:t>and/or</w:t>
      </w:r>
      <w:r>
        <w:rPr>
          <w:spacing w:val="16"/>
        </w:rPr>
        <w:t xml:space="preserve"> </w:t>
      </w:r>
      <w:r>
        <w:rPr>
          <w:spacing w:val="-1"/>
        </w:rPr>
        <w:t>Services,</w:t>
      </w:r>
      <w:r>
        <w:rPr>
          <w:spacing w:val="16"/>
        </w:rPr>
        <w:t xml:space="preserve"> </w:t>
      </w:r>
      <w:r>
        <w:rPr>
          <w:spacing w:val="-2"/>
        </w:rPr>
        <w:t>which</w:t>
      </w:r>
      <w:r>
        <w:rPr>
          <w:spacing w:val="15"/>
        </w:rPr>
        <w:t xml:space="preserve"> </w:t>
      </w:r>
      <w:r>
        <w:rPr>
          <w:spacing w:val="-1"/>
        </w:rPr>
        <w:t>are</w:t>
      </w:r>
      <w:r>
        <w:rPr>
          <w:spacing w:val="17"/>
        </w:rPr>
        <w:t xml:space="preserve"> </w:t>
      </w:r>
      <w:r>
        <w:rPr>
          <w:spacing w:val="-1"/>
        </w:rPr>
        <w:t>identified</w:t>
      </w:r>
      <w:r>
        <w:rPr>
          <w:spacing w:val="15"/>
        </w:rPr>
        <w:t xml:space="preserve"> </w:t>
      </w:r>
      <w:r>
        <w:rPr>
          <w:spacing w:val="-1"/>
        </w:rPr>
        <w:t>in</w:t>
      </w:r>
      <w:r>
        <w:rPr>
          <w:spacing w:val="65"/>
        </w:rPr>
        <w:t xml:space="preserve"> </w:t>
      </w:r>
      <w:r>
        <w:t>the</w:t>
      </w:r>
      <w:r>
        <w:rPr>
          <w:spacing w:val="49"/>
        </w:rPr>
        <w:t xml:space="preserve"> </w:t>
      </w:r>
      <w:r>
        <w:rPr>
          <w:spacing w:val="-1"/>
        </w:rPr>
        <w:t>Continuous</w:t>
      </w:r>
      <w:r>
        <w:rPr>
          <w:spacing w:val="50"/>
        </w:rPr>
        <w:t xml:space="preserve"> </w:t>
      </w:r>
      <w:r>
        <w:rPr>
          <w:spacing w:val="-1"/>
        </w:rPr>
        <w:t>Improvement</w:t>
      </w:r>
      <w:r>
        <w:rPr>
          <w:spacing w:val="51"/>
        </w:rPr>
        <w:t xml:space="preserve"> </w:t>
      </w:r>
      <w:r>
        <w:rPr>
          <w:spacing w:val="-1"/>
        </w:rPr>
        <w:t>Plan</w:t>
      </w:r>
      <w:r>
        <w:rPr>
          <w:spacing w:val="49"/>
        </w:rPr>
        <w:t xml:space="preserve"> </w:t>
      </w:r>
      <w:r>
        <w:rPr>
          <w:spacing w:val="-1"/>
        </w:rPr>
        <w:t>produced</w:t>
      </w:r>
      <w:r>
        <w:rPr>
          <w:spacing w:val="47"/>
        </w:rPr>
        <w:t xml:space="preserve"> </w:t>
      </w:r>
      <w:r>
        <w:rPr>
          <w:spacing w:val="-1"/>
        </w:rPr>
        <w:t>by</w:t>
      </w:r>
      <w:r>
        <w:rPr>
          <w:spacing w:val="50"/>
        </w:rPr>
        <w:t xml:space="preserve"> </w:t>
      </w:r>
      <w:r>
        <w:t>the</w:t>
      </w:r>
      <w:r>
        <w:rPr>
          <w:spacing w:val="50"/>
        </w:rPr>
        <w:t xml:space="preserve"> </w:t>
      </w:r>
      <w:r>
        <w:rPr>
          <w:spacing w:val="-2"/>
        </w:rPr>
        <w:t>Supplier</w:t>
      </w:r>
      <w:r>
        <w:rPr>
          <w:spacing w:val="51"/>
        </w:rPr>
        <w:t xml:space="preserve"> </w:t>
      </w:r>
      <w:r>
        <w:t>and/or</w:t>
      </w:r>
      <w:r>
        <w:rPr>
          <w:spacing w:val="51"/>
        </w:rPr>
        <w:t xml:space="preserve"> </w:t>
      </w:r>
      <w:r>
        <w:rPr>
          <w:spacing w:val="-1"/>
        </w:rPr>
        <w:t>as</w:t>
      </w:r>
      <w:r>
        <w:rPr>
          <w:spacing w:val="50"/>
        </w:rPr>
        <w:t xml:space="preserve"> </w:t>
      </w:r>
      <w:r>
        <w:t>a</w:t>
      </w:r>
      <w:r>
        <w:rPr>
          <w:spacing w:val="31"/>
        </w:rPr>
        <w:t xml:space="preserve"> </w:t>
      </w:r>
      <w:r>
        <w:rPr>
          <w:spacing w:val="-1"/>
        </w:rPr>
        <w:t>consequence</w:t>
      </w:r>
      <w:r>
        <w:rPr>
          <w:spacing w:val="24"/>
        </w:rPr>
        <w:t xml:space="preserve"> </w:t>
      </w:r>
      <w:r>
        <w:rPr>
          <w:spacing w:val="-2"/>
        </w:rPr>
        <w:t>of</w:t>
      </w:r>
      <w:r>
        <w:rPr>
          <w:spacing w:val="27"/>
        </w:rPr>
        <w:t xml:space="preserve"> </w:t>
      </w:r>
      <w:r>
        <w:rPr>
          <w:spacing w:val="-1"/>
        </w:rPr>
        <w:t>any</w:t>
      </w:r>
      <w:r>
        <w:rPr>
          <w:spacing w:val="21"/>
        </w:rPr>
        <w:t xml:space="preserve"> </w:t>
      </w:r>
      <w:r>
        <w:rPr>
          <w:spacing w:val="-1"/>
        </w:rPr>
        <w:t>benchmarking</w:t>
      </w:r>
      <w:r>
        <w:rPr>
          <w:spacing w:val="26"/>
        </w:rPr>
        <w:t xml:space="preserve"> </w:t>
      </w:r>
      <w:r>
        <w:rPr>
          <w:spacing w:val="-1"/>
        </w:rPr>
        <w:t>carried</w:t>
      </w:r>
      <w:r>
        <w:rPr>
          <w:spacing w:val="23"/>
        </w:rPr>
        <w:t xml:space="preserve"> </w:t>
      </w:r>
      <w:r>
        <w:rPr>
          <w:spacing w:val="-2"/>
        </w:rPr>
        <w:t>out</w:t>
      </w:r>
      <w:r>
        <w:rPr>
          <w:spacing w:val="25"/>
        </w:rPr>
        <w:t xml:space="preserve"> </w:t>
      </w:r>
      <w:r>
        <w:rPr>
          <w:spacing w:val="-1"/>
        </w:rPr>
        <w:t>by</w:t>
      </w:r>
      <w:r>
        <w:rPr>
          <w:spacing w:val="21"/>
        </w:rPr>
        <w:t xml:space="preserve"> </w:t>
      </w:r>
      <w:r>
        <w:t>the</w:t>
      </w:r>
      <w:r>
        <w:rPr>
          <w:spacing w:val="23"/>
        </w:rPr>
        <w:t xml:space="preserve"> </w:t>
      </w:r>
      <w:r>
        <w:rPr>
          <w:spacing w:val="-1"/>
        </w:rPr>
        <w:t>Authority</w:t>
      </w:r>
      <w:r>
        <w:rPr>
          <w:spacing w:val="21"/>
        </w:rPr>
        <w:t xml:space="preserve"> </w:t>
      </w:r>
      <w:r>
        <w:rPr>
          <w:spacing w:val="-1"/>
        </w:rPr>
        <w:t>pursuant</w:t>
      </w:r>
      <w:r>
        <w:rPr>
          <w:spacing w:val="22"/>
        </w:rPr>
        <w:t xml:space="preserve"> </w:t>
      </w:r>
      <w:r>
        <w:t>to</w:t>
      </w:r>
      <w:r>
        <w:rPr>
          <w:spacing w:val="41"/>
        </w:rPr>
        <w:t xml:space="preserve"> </w:t>
      </w:r>
      <w:r>
        <w:rPr>
          <w:spacing w:val="-2"/>
        </w:rPr>
        <w:t>Framework</w:t>
      </w:r>
      <w:r>
        <w:rPr>
          <w:spacing w:val="39"/>
        </w:rPr>
        <w:t xml:space="preserve"> </w:t>
      </w:r>
      <w:r>
        <w:rPr>
          <w:spacing w:val="-1"/>
        </w:rPr>
        <w:t>Schedule</w:t>
      </w:r>
      <w:r>
        <w:rPr>
          <w:spacing w:val="36"/>
        </w:rPr>
        <w:t xml:space="preserve"> </w:t>
      </w:r>
      <w:r>
        <w:rPr>
          <w:spacing w:val="-2"/>
        </w:rPr>
        <w:t>12</w:t>
      </w:r>
      <w:r>
        <w:rPr>
          <w:spacing w:val="37"/>
        </w:rPr>
        <w:t xml:space="preserve"> </w:t>
      </w:r>
      <w:r>
        <w:rPr>
          <w:spacing w:val="-1"/>
        </w:rPr>
        <w:t>(Continuous</w:t>
      </w:r>
      <w:r>
        <w:rPr>
          <w:spacing w:val="37"/>
        </w:rPr>
        <w:t xml:space="preserve"> </w:t>
      </w:r>
      <w:r>
        <w:rPr>
          <w:spacing w:val="-2"/>
        </w:rPr>
        <w:t>Improvement</w:t>
      </w:r>
      <w:r>
        <w:rPr>
          <w:spacing w:val="38"/>
        </w:rPr>
        <w:t xml:space="preserve"> </w:t>
      </w:r>
      <w:r>
        <w:rPr>
          <w:spacing w:val="-1"/>
        </w:rPr>
        <w:t>and</w:t>
      </w:r>
      <w:r>
        <w:rPr>
          <w:spacing w:val="36"/>
        </w:rPr>
        <w:t xml:space="preserve"> </w:t>
      </w:r>
      <w:r>
        <w:rPr>
          <w:spacing w:val="-1"/>
        </w:rPr>
        <w:t>Benchmarking),</w:t>
      </w:r>
      <w:r>
        <w:rPr>
          <w:spacing w:val="39"/>
        </w:rPr>
        <w:t xml:space="preserve"> </w:t>
      </w:r>
      <w:r>
        <w:rPr>
          <w:spacing w:val="-1"/>
        </w:rPr>
        <w:t>shall</w:t>
      </w:r>
      <w:r>
        <w:rPr>
          <w:spacing w:val="36"/>
        </w:rPr>
        <w:t xml:space="preserve"> </w:t>
      </w:r>
      <w:r>
        <w:rPr>
          <w:spacing w:val="-1"/>
        </w:rPr>
        <w:t>be</w:t>
      </w:r>
      <w:r>
        <w:rPr>
          <w:spacing w:val="54"/>
        </w:rPr>
        <w:t xml:space="preserve"> </w:t>
      </w:r>
      <w:r>
        <w:rPr>
          <w:spacing w:val="-1"/>
        </w:rPr>
        <w:t>implemented</w:t>
      </w:r>
      <w:r>
        <w:rPr>
          <w:spacing w:val="7"/>
        </w:rPr>
        <w:t xml:space="preserve"> </w:t>
      </w:r>
      <w:r>
        <w:rPr>
          <w:spacing w:val="-1"/>
        </w:rPr>
        <w:t>by</w:t>
      </w:r>
      <w:r>
        <w:rPr>
          <w:spacing w:val="5"/>
        </w:rPr>
        <w:t xml:space="preserve"> </w:t>
      </w:r>
      <w:r>
        <w:t>the</w:t>
      </w:r>
      <w:r>
        <w:rPr>
          <w:spacing w:val="7"/>
        </w:rPr>
        <w:t xml:space="preserve"> </w:t>
      </w:r>
      <w:r>
        <w:rPr>
          <w:spacing w:val="-2"/>
        </w:rPr>
        <w:t>Supplier</w:t>
      </w:r>
      <w:r>
        <w:rPr>
          <w:spacing w:val="9"/>
        </w:rPr>
        <w:t xml:space="preserve"> </w:t>
      </w:r>
      <w:r>
        <w:rPr>
          <w:spacing w:val="-1"/>
        </w:rPr>
        <w:t>in</w:t>
      </w:r>
      <w:r>
        <w:rPr>
          <w:spacing w:val="7"/>
        </w:rPr>
        <w:t xml:space="preserve"> </w:t>
      </w:r>
      <w:r>
        <w:rPr>
          <w:spacing w:val="-1"/>
        </w:rPr>
        <w:t>accordance</w:t>
      </w:r>
      <w:r>
        <w:rPr>
          <w:spacing w:val="8"/>
        </w:rPr>
        <w:t xml:space="preserve"> </w:t>
      </w:r>
      <w:r>
        <w:rPr>
          <w:spacing w:val="-2"/>
        </w:rPr>
        <w:t>with</w:t>
      </w:r>
      <w:r>
        <w:rPr>
          <w:spacing w:val="7"/>
        </w:rPr>
        <w:t xml:space="preserve"> </w:t>
      </w:r>
      <w:r>
        <w:t>the</w:t>
      </w:r>
      <w:r>
        <w:rPr>
          <w:spacing w:val="7"/>
        </w:rPr>
        <w:t xml:space="preserve"> </w:t>
      </w:r>
      <w:r>
        <w:rPr>
          <w:spacing w:val="-1"/>
        </w:rPr>
        <w:t>Variation</w:t>
      </w:r>
      <w:r>
        <w:rPr>
          <w:spacing w:val="7"/>
        </w:rPr>
        <w:t xml:space="preserve"> </w:t>
      </w:r>
      <w:r>
        <w:rPr>
          <w:spacing w:val="-1"/>
        </w:rPr>
        <w:t>Procedure</w:t>
      </w:r>
      <w:r>
        <w:rPr>
          <w:spacing w:val="5"/>
        </w:rPr>
        <w:t xml:space="preserve"> </w:t>
      </w:r>
      <w:r>
        <w:rPr>
          <w:spacing w:val="-1"/>
        </w:rPr>
        <w:t>and</w:t>
      </w:r>
      <w:r>
        <w:rPr>
          <w:spacing w:val="7"/>
        </w:rPr>
        <w:t xml:space="preserve"> </w:t>
      </w:r>
      <w:r>
        <w:rPr>
          <w:spacing w:val="-1"/>
        </w:rPr>
        <w:t>at</w:t>
      </w:r>
      <w:r>
        <w:rPr>
          <w:spacing w:val="9"/>
        </w:rPr>
        <w:t xml:space="preserve"> </w:t>
      </w:r>
      <w:r>
        <w:rPr>
          <w:spacing w:val="-3"/>
        </w:rPr>
        <w:t>no</w:t>
      </w:r>
      <w:r>
        <w:rPr>
          <w:spacing w:val="44"/>
        </w:rPr>
        <w:t xml:space="preserve"> </w:t>
      </w:r>
      <w:r>
        <w:rPr>
          <w:spacing w:val="-1"/>
        </w:rPr>
        <w:t>additional</w:t>
      </w:r>
      <w:r>
        <w:t xml:space="preserve"> </w:t>
      </w:r>
      <w:r>
        <w:rPr>
          <w:spacing w:val="-1"/>
        </w:rPr>
        <w:t>cost</w:t>
      </w:r>
      <w:r>
        <w:t xml:space="preserve"> to</w:t>
      </w:r>
      <w:r>
        <w:rPr>
          <w:spacing w:val="-2"/>
        </w:rPr>
        <w:t xml:space="preserve"> </w:t>
      </w:r>
      <w:r>
        <w:t>the</w:t>
      </w:r>
      <w:r>
        <w:rPr>
          <w:spacing w:val="-2"/>
        </w:rPr>
        <w:t xml:space="preserve"> </w:t>
      </w:r>
      <w:r>
        <w:rPr>
          <w:spacing w:val="-1"/>
        </w:rPr>
        <w:t>Customer.</w:t>
      </w:r>
    </w:p>
    <w:p w:rsidR="008918FA" w:rsidRDefault="008918FA" w:rsidP="008918FA">
      <w:pPr>
        <w:spacing w:before="5"/>
        <w:rPr>
          <w:rFonts w:ascii="Arial" w:eastAsia="Arial" w:hAnsi="Arial" w:cs="Arial"/>
          <w:sz w:val="14"/>
          <w:szCs w:val="14"/>
        </w:rPr>
      </w:pPr>
    </w:p>
    <w:p w:rsidR="008918FA" w:rsidRPr="001C1527" w:rsidRDefault="008918FA" w:rsidP="008918FA">
      <w:pPr>
        <w:pStyle w:val="Heading1"/>
        <w:tabs>
          <w:tab w:val="left" w:pos="666"/>
        </w:tabs>
        <w:spacing w:before="74"/>
        <w:ind w:left="100" w:firstLine="0"/>
        <w:rPr>
          <w:b w:val="0"/>
          <w:bCs w:val="0"/>
          <w:u w:val="single"/>
        </w:rPr>
      </w:pPr>
      <w:bookmarkStart w:id="161" w:name="_bookmark137"/>
      <w:bookmarkEnd w:id="161"/>
      <w:r>
        <w:rPr>
          <w:color w:val="C00000"/>
          <w:spacing w:val="-1"/>
        </w:rPr>
        <w:t>F.</w:t>
      </w:r>
      <w:r>
        <w:rPr>
          <w:color w:val="C00000"/>
          <w:spacing w:val="-1"/>
        </w:rPr>
        <w:tab/>
      </w:r>
      <w:r w:rsidRPr="001C1527">
        <w:rPr>
          <w:color w:val="C00000"/>
          <w:spacing w:val="-1"/>
          <w:u w:val="single" w:color="C00000"/>
        </w:rPr>
        <w:t>SUPPLIER</w:t>
      </w:r>
      <w:r w:rsidRPr="001C1527">
        <w:rPr>
          <w:color w:val="C00000"/>
          <w:u w:val="single" w:color="C00000"/>
        </w:rPr>
        <w:t xml:space="preserve"> </w:t>
      </w:r>
      <w:r w:rsidRPr="001C1527">
        <w:rPr>
          <w:color w:val="C00000"/>
          <w:spacing w:val="-2"/>
          <w:u w:val="single" w:color="C00000"/>
        </w:rPr>
        <w:t>PERSONNEL</w:t>
      </w:r>
      <w:r w:rsidRPr="001C1527">
        <w:rPr>
          <w:color w:val="C00000"/>
          <w:spacing w:val="3"/>
          <w:u w:val="single" w:color="C00000"/>
        </w:rPr>
        <w:t xml:space="preserve"> </w:t>
      </w:r>
      <w:r w:rsidRPr="001C1527">
        <w:rPr>
          <w:color w:val="C00000"/>
          <w:spacing w:val="-4"/>
          <w:u w:val="single" w:color="C00000"/>
        </w:rPr>
        <w:t>AND</w:t>
      </w:r>
      <w:r w:rsidRPr="001C1527">
        <w:rPr>
          <w:color w:val="C00000"/>
          <w:spacing w:val="1"/>
          <w:u w:val="single" w:color="C00000"/>
        </w:rPr>
        <w:t xml:space="preserve"> </w:t>
      </w:r>
      <w:r w:rsidRPr="001C1527">
        <w:rPr>
          <w:color w:val="C00000"/>
          <w:spacing w:val="-1"/>
          <w:u w:val="single" w:color="C00000"/>
        </w:rPr>
        <w:t>SUPPLY</w:t>
      </w:r>
      <w:r w:rsidRPr="001C1527">
        <w:rPr>
          <w:color w:val="C00000"/>
          <w:u w:val="single" w:color="C00000"/>
        </w:rPr>
        <w:t xml:space="preserve"> </w:t>
      </w:r>
      <w:r w:rsidRPr="001C1527">
        <w:rPr>
          <w:color w:val="C00000"/>
          <w:spacing w:val="-1"/>
          <w:u w:val="single" w:color="C00000"/>
        </w:rPr>
        <w:t>CHAIN</w:t>
      </w:r>
      <w:r w:rsidRPr="001C1527">
        <w:rPr>
          <w:color w:val="C00000"/>
          <w:spacing w:val="2"/>
          <w:u w:val="single" w:color="C00000"/>
        </w:rPr>
        <w:t xml:space="preserve"> </w:t>
      </w:r>
      <w:r w:rsidRPr="001C1527">
        <w:rPr>
          <w:color w:val="C00000"/>
          <w:spacing w:val="-2"/>
          <w:u w:val="single" w:color="C00000"/>
        </w:rPr>
        <w:t>MATTERS</w:t>
      </w:r>
    </w:p>
    <w:p w:rsidR="008918FA" w:rsidRDefault="008918FA" w:rsidP="008918FA">
      <w:pPr>
        <w:spacing w:before="5"/>
        <w:rPr>
          <w:rFonts w:ascii="Arial" w:eastAsia="Arial" w:hAnsi="Arial" w:cs="Arial"/>
          <w:b/>
          <w:bCs/>
          <w:sz w:val="14"/>
          <w:szCs w:val="14"/>
        </w:rPr>
      </w:pPr>
    </w:p>
    <w:p w:rsidR="008918FA" w:rsidRDefault="008918FA" w:rsidP="008918FA">
      <w:pPr>
        <w:pStyle w:val="BodyText"/>
        <w:numPr>
          <w:ilvl w:val="0"/>
          <w:numId w:val="66"/>
        </w:numPr>
        <w:tabs>
          <w:tab w:val="left" w:pos="667"/>
        </w:tabs>
        <w:spacing w:before="72"/>
        <w:ind w:left="666" w:hanging="566"/>
        <w:rPr>
          <w:rFonts w:ascii="Times New Roman" w:eastAsia="Times New Roman" w:hAnsi="Times New Roman" w:cs="Times New Roman"/>
        </w:rPr>
      </w:pPr>
      <w:bookmarkStart w:id="162" w:name="_bookmark138"/>
      <w:bookmarkEnd w:id="162"/>
      <w:r>
        <w:rPr>
          <w:rFonts w:ascii="Times New Roman"/>
          <w:spacing w:val="3"/>
        </w:rPr>
        <w:t>KEY</w:t>
      </w:r>
      <w:r>
        <w:rPr>
          <w:rFonts w:ascii="Times New Roman"/>
          <w:spacing w:val="-6"/>
        </w:rPr>
        <w:t xml:space="preserve"> </w:t>
      </w:r>
      <w:r>
        <w:rPr>
          <w:rFonts w:ascii="Times New Roman"/>
          <w:spacing w:val="9"/>
        </w:rPr>
        <w:t>PERSONNEL</w:t>
      </w:r>
    </w:p>
    <w:p w:rsidR="008918FA" w:rsidRDefault="008918FA" w:rsidP="008918FA">
      <w:pPr>
        <w:spacing w:before="8"/>
        <w:rPr>
          <w:rFonts w:ascii="Times New Roman" w:eastAsia="Times New Roman" w:hAnsi="Times New Roman" w:cs="Times New Roman"/>
          <w:sz w:val="14"/>
          <w:szCs w:val="14"/>
        </w:rPr>
      </w:pPr>
    </w:p>
    <w:p w:rsidR="008918FA" w:rsidRDefault="008918FA" w:rsidP="008918FA">
      <w:pPr>
        <w:pStyle w:val="BodyText"/>
        <w:numPr>
          <w:ilvl w:val="1"/>
          <w:numId w:val="66"/>
        </w:numPr>
        <w:tabs>
          <w:tab w:val="left" w:pos="1233"/>
        </w:tabs>
        <w:spacing w:before="72"/>
        <w:ind w:left="1029" w:right="114" w:hanging="361"/>
        <w:jc w:val="both"/>
      </w:pPr>
      <w:bookmarkStart w:id="163" w:name="_bookmark139"/>
      <w:bookmarkEnd w:id="163"/>
      <w:r>
        <w:rPr>
          <w:spacing w:val="-1"/>
        </w:rPr>
        <w:t>This</w:t>
      </w:r>
      <w:r>
        <w:rPr>
          <w:spacing w:val="1"/>
        </w:rPr>
        <w:t xml:space="preserve"> </w:t>
      </w:r>
      <w:r>
        <w:rPr>
          <w:spacing w:val="-2"/>
        </w:rPr>
        <w:t>Clause</w:t>
      </w:r>
      <w:r>
        <w:rPr>
          <w:spacing w:val="1"/>
        </w:rPr>
        <w:t xml:space="preserve"> </w:t>
      </w:r>
      <w:r>
        <w:rPr>
          <w:spacing w:val="-1"/>
        </w:rPr>
        <w:t>shall</w:t>
      </w:r>
      <w:r>
        <w:t xml:space="preserve"> </w:t>
      </w:r>
      <w:r>
        <w:rPr>
          <w:spacing w:val="-1"/>
        </w:rPr>
        <w:t>apply</w:t>
      </w:r>
      <w:r>
        <w:rPr>
          <w:spacing w:val="-2"/>
        </w:rPr>
        <w:t xml:space="preserve"> </w:t>
      </w:r>
      <w:r>
        <w:rPr>
          <w:spacing w:val="-1"/>
        </w:rPr>
        <w:t>if</w:t>
      </w:r>
      <w:r>
        <w:rPr>
          <w:spacing w:val="2"/>
        </w:rPr>
        <w:t xml:space="preserve"> </w:t>
      </w:r>
      <w:r>
        <w:rPr>
          <w:spacing w:val="-1"/>
        </w:rPr>
        <w:t>so</w:t>
      </w:r>
      <w:r>
        <w:rPr>
          <w:spacing w:val="1"/>
        </w:rPr>
        <w:t xml:space="preserve"> </w:t>
      </w:r>
      <w:r>
        <w:rPr>
          <w:spacing w:val="-1"/>
        </w:rPr>
        <w:t>specified</w:t>
      </w:r>
      <w:r>
        <w:rPr>
          <w:spacing w:val="-2"/>
        </w:rPr>
        <w:t xml:space="preserve"> </w:t>
      </w:r>
      <w:r>
        <w:rPr>
          <w:spacing w:val="-1"/>
        </w:rPr>
        <w:t>in</w:t>
      </w:r>
      <w:r>
        <w:t xml:space="preserve"> the</w:t>
      </w:r>
      <w:r>
        <w:rPr>
          <w:spacing w:val="-2"/>
        </w:rPr>
        <w:t xml:space="preserve"> </w:t>
      </w:r>
      <w:r>
        <w:rPr>
          <w:spacing w:val="-1"/>
        </w:rPr>
        <w:t>Order Form,</w:t>
      </w:r>
      <w:r>
        <w:rPr>
          <w:spacing w:val="2"/>
        </w:rPr>
        <w:t xml:space="preserve"> </w:t>
      </w:r>
      <w:r>
        <w:rPr>
          <w:spacing w:val="-2"/>
        </w:rPr>
        <w:t>or</w:t>
      </w:r>
      <w:r>
        <w:rPr>
          <w:spacing w:val="2"/>
        </w:rPr>
        <w:t xml:space="preserve"> </w:t>
      </w:r>
      <w:r>
        <w:rPr>
          <w:spacing w:val="-2"/>
        </w:rPr>
        <w:t>elsewhere</w:t>
      </w:r>
      <w:r>
        <w:t xml:space="preserve"> </w:t>
      </w:r>
      <w:r>
        <w:rPr>
          <w:spacing w:val="-1"/>
        </w:rPr>
        <w:t>in</w:t>
      </w:r>
      <w:r>
        <w:t xml:space="preserve"> </w:t>
      </w:r>
      <w:r>
        <w:rPr>
          <w:spacing w:val="-1"/>
        </w:rPr>
        <w:t>this</w:t>
      </w:r>
      <w:r>
        <w:rPr>
          <w:spacing w:val="1"/>
        </w:rPr>
        <w:t xml:space="preserve"> </w:t>
      </w:r>
      <w:r>
        <w:rPr>
          <w:spacing w:val="-2"/>
        </w:rPr>
        <w:t>Call</w:t>
      </w:r>
      <w:r>
        <w:rPr>
          <w:spacing w:val="51"/>
        </w:rPr>
        <w:t xml:space="preserve"> </w:t>
      </w:r>
      <w:r>
        <w:rPr>
          <w:spacing w:val="-1"/>
        </w:rPr>
        <w:t>Off</w:t>
      </w:r>
      <w:r>
        <w:rPr>
          <w:spacing w:val="59"/>
        </w:rPr>
        <w:t xml:space="preserve"> </w:t>
      </w:r>
      <w:r>
        <w:rPr>
          <w:spacing w:val="-1"/>
        </w:rPr>
        <w:t>Contract.</w:t>
      </w:r>
      <w:r>
        <w:rPr>
          <w:spacing w:val="57"/>
        </w:rPr>
        <w:t xml:space="preserve"> </w:t>
      </w:r>
      <w:r>
        <w:rPr>
          <w:spacing w:val="-1"/>
        </w:rPr>
        <w:t>Part</w:t>
      </w:r>
      <w:r>
        <w:rPr>
          <w:spacing w:val="59"/>
        </w:rPr>
        <w:t xml:space="preserve"> </w:t>
      </w:r>
      <w:r>
        <w:t>C</w:t>
      </w:r>
      <w:r>
        <w:rPr>
          <w:spacing w:val="57"/>
        </w:rPr>
        <w:t xml:space="preserve"> </w:t>
      </w:r>
      <w:r>
        <w:rPr>
          <w:spacing w:val="-2"/>
        </w:rPr>
        <w:t>of</w:t>
      </w:r>
      <w:r>
        <w:rPr>
          <w:spacing w:val="1"/>
        </w:rPr>
        <w:t xml:space="preserve"> </w:t>
      </w:r>
      <w:r>
        <w:rPr>
          <w:spacing w:val="-2"/>
        </w:rPr>
        <w:t>Call</w:t>
      </w:r>
      <w:r>
        <w:rPr>
          <w:spacing w:val="57"/>
        </w:rPr>
        <w:t xml:space="preserve"> </w:t>
      </w:r>
      <w:r>
        <w:t>Off</w:t>
      </w:r>
      <w:r>
        <w:rPr>
          <w:spacing w:val="59"/>
        </w:rPr>
        <w:t xml:space="preserve"> </w:t>
      </w:r>
      <w:r>
        <w:rPr>
          <w:spacing w:val="-1"/>
        </w:rPr>
        <w:t>Schedule</w:t>
      </w:r>
      <w:r>
        <w:rPr>
          <w:spacing w:val="59"/>
        </w:rPr>
        <w:t xml:space="preserve"> </w:t>
      </w:r>
      <w:r>
        <w:t>4</w:t>
      </w:r>
      <w:r>
        <w:rPr>
          <w:spacing w:val="58"/>
        </w:rPr>
        <w:t xml:space="preserve"> </w:t>
      </w:r>
      <w:r>
        <w:rPr>
          <w:spacing w:val="-1"/>
        </w:rPr>
        <w:t>(Implementation</w:t>
      </w:r>
      <w:r>
        <w:rPr>
          <w:spacing w:val="58"/>
        </w:rPr>
        <w:t xml:space="preserve"> </w:t>
      </w:r>
      <w:r>
        <w:rPr>
          <w:spacing w:val="-1"/>
        </w:rPr>
        <w:t>Plan,</w:t>
      </w:r>
      <w:r>
        <w:rPr>
          <w:spacing w:val="59"/>
        </w:rPr>
        <w:t xml:space="preserve"> </w:t>
      </w:r>
      <w:r>
        <w:rPr>
          <w:spacing w:val="-2"/>
        </w:rPr>
        <w:t>Customer</w:t>
      </w:r>
      <w:r>
        <w:rPr>
          <w:spacing w:val="47"/>
        </w:rPr>
        <w:t xml:space="preserve"> </w:t>
      </w:r>
      <w:r>
        <w:rPr>
          <w:spacing w:val="-2"/>
        </w:rPr>
        <w:t>Responsibilities</w:t>
      </w:r>
      <w:r>
        <w:rPr>
          <w:spacing w:val="3"/>
        </w:rPr>
        <w:t xml:space="preserve"> </w:t>
      </w:r>
      <w:r>
        <w:rPr>
          <w:spacing w:val="-1"/>
        </w:rPr>
        <w:t>and</w:t>
      </w:r>
      <w:r>
        <w:rPr>
          <w:spacing w:val="3"/>
        </w:rPr>
        <w:t xml:space="preserve"> </w:t>
      </w:r>
      <w:r>
        <w:t>Key</w:t>
      </w:r>
      <w:r>
        <w:rPr>
          <w:spacing w:val="3"/>
        </w:rPr>
        <w:t xml:space="preserve"> </w:t>
      </w:r>
      <w:r>
        <w:rPr>
          <w:spacing w:val="-1"/>
        </w:rPr>
        <w:t>Personnel)</w:t>
      </w:r>
      <w:r>
        <w:rPr>
          <w:spacing w:val="6"/>
        </w:rPr>
        <w:t xml:space="preserve"> </w:t>
      </w:r>
      <w:r>
        <w:rPr>
          <w:spacing w:val="-1"/>
        </w:rPr>
        <w:t>lists</w:t>
      </w:r>
      <w:r>
        <w:rPr>
          <w:spacing w:val="1"/>
        </w:rPr>
        <w:t xml:space="preserve"> </w:t>
      </w:r>
      <w:r>
        <w:t>the key</w:t>
      </w:r>
      <w:r>
        <w:rPr>
          <w:spacing w:val="1"/>
        </w:rPr>
        <w:t xml:space="preserve"> </w:t>
      </w:r>
      <w:r>
        <w:rPr>
          <w:spacing w:val="-1"/>
        </w:rPr>
        <w:t>roles</w:t>
      </w:r>
      <w:r>
        <w:rPr>
          <w:spacing w:val="3"/>
        </w:rPr>
        <w:t xml:space="preserve"> </w:t>
      </w:r>
      <w:r>
        <w:rPr>
          <w:spacing w:val="-1"/>
        </w:rPr>
        <w:t>(“</w:t>
      </w:r>
      <w:r>
        <w:rPr>
          <w:rFonts w:cs="Arial"/>
          <w:b/>
          <w:bCs/>
          <w:spacing w:val="-1"/>
        </w:rPr>
        <w:t>Key</w:t>
      </w:r>
      <w:r>
        <w:rPr>
          <w:rFonts w:cs="Arial"/>
          <w:b/>
          <w:bCs/>
          <w:spacing w:val="-2"/>
        </w:rPr>
        <w:t xml:space="preserve"> </w:t>
      </w:r>
      <w:r>
        <w:rPr>
          <w:rFonts w:cs="Arial"/>
          <w:b/>
          <w:bCs/>
          <w:spacing w:val="-1"/>
        </w:rPr>
        <w:t>Roles</w:t>
      </w:r>
      <w:r>
        <w:rPr>
          <w:spacing w:val="-1"/>
        </w:rPr>
        <w:t>”)</w:t>
      </w:r>
      <w:r>
        <w:rPr>
          <w:spacing w:val="4"/>
        </w:rPr>
        <w:t xml:space="preserve"> </w:t>
      </w:r>
      <w:r>
        <w:rPr>
          <w:spacing w:val="-1"/>
        </w:rPr>
        <w:t>and</w:t>
      </w:r>
      <w:r>
        <w:t xml:space="preserve"> </w:t>
      </w:r>
      <w:r>
        <w:rPr>
          <w:spacing w:val="-1"/>
        </w:rPr>
        <w:t>names</w:t>
      </w:r>
      <w:r>
        <w:rPr>
          <w:spacing w:val="-2"/>
        </w:rPr>
        <w:t xml:space="preserve"> of</w:t>
      </w:r>
      <w:r>
        <w:rPr>
          <w:spacing w:val="63"/>
        </w:rPr>
        <w:t xml:space="preserve"> </w:t>
      </w:r>
      <w:r>
        <w:t>the</w:t>
      </w:r>
      <w:r>
        <w:rPr>
          <w:spacing w:val="24"/>
        </w:rPr>
        <w:t xml:space="preserve"> </w:t>
      </w:r>
      <w:r>
        <w:rPr>
          <w:spacing w:val="-1"/>
        </w:rPr>
        <w:t>persons</w:t>
      </w:r>
      <w:r>
        <w:rPr>
          <w:spacing w:val="25"/>
        </w:rPr>
        <w:t xml:space="preserve"> </w:t>
      </w:r>
      <w:r>
        <w:rPr>
          <w:spacing w:val="-2"/>
        </w:rPr>
        <w:t>who</w:t>
      </w:r>
      <w:r>
        <w:rPr>
          <w:spacing w:val="24"/>
        </w:rPr>
        <w:t xml:space="preserve"> </w:t>
      </w:r>
      <w:r>
        <w:t>the</w:t>
      </w:r>
      <w:r>
        <w:rPr>
          <w:spacing w:val="24"/>
        </w:rPr>
        <w:t xml:space="preserve"> </w:t>
      </w:r>
      <w:r>
        <w:rPr>
          <w:spacing w:val="-1"/>
        </w:rPr>
        <w:t>Supplier</w:t>
      </w:r>
      <w:r>
        <w:rPr>
          <w:spacing w:val="26"/>
        </w:rPr>
        <w:t xml:space="preserve"> </w:t>
      </w:r>
      <w:r>
        <w:rPr>
          <w:spacing w:val="-1"/>
        </w:rPr>
        <w:t>shall</w:t>
      </w:r>
      <w:r>
        <w:rPr>
          <w:spacing w:val="26"/>
        </w:rPr>
        <w:t xml:space="preserve"> </w:t>
      </w:r>
      <w:r>
        <w:rPr>
          <w:spacing w:val="-1"/>
        </w:rPr>
        <w:t>appoint</w:t>
      </w:r>
      <w:r>
        <w:rPr>
          <w:spacing w:val="26"/>
        </w:rPr>
        <w:t xml:space="preserve"> </w:t>
      </w:r>
      <w:r>
        <w:t>to</w:t>
      </w:r>
      <w:r>
        <w:rPr>
          <w:spacing w:val="24"/>
        </w:rPr>
        <w:t xml:space="preserve"> </w:t>
      </w:r>
      <w:r>
        <w:rPr>
          <w:spacing w:val="-1"/>
        </w:rPr>
        <w:t>fill</w:t>
      </w:r>
      <w:r>
        <w:rPr>
          <w:spacing w:val="24"/>
        </w:rPr>
        <w:t xml:space="preserve"> </w:t>
      </w:r>
      <w:r>
        <w:rPr>
          <w:spacing w:val="-1"/>
        </w:rPr>
        <w:t>those</w:t>
      </w:r>
      <w:r>
        <w:rPr>
          <w:spacing w:val="25"/>
        </w:rPr>
        <w:t xml:space="preserve"> </w:t>
      </w:r>
      <w:r>
        <w:rPr>
          <w:spacing w:val="-1"/>
        </w:rPr>
        <w:t>Key</w:t>
      </w:r>
      <w:r>
        <w:rPr>
          <w:spacing w:val="25"/>
        </w:rPr>
        <w:t xml:space="preserve"> </w:t>
      </w:r>
      <w:r>
        <w:rPr>
          <w:spacing w:val="-2"/>
        </w:rPr>
        <w:t>Roles</w:t>
      </w:r>
      <w:r>
        <w:rPr>
          <w:spacing w:val="25"/>
        </w:rPr>
        <w:t xml:space="preserve"> </w:t>
      </w:r>
      <w:r>
        <w:rPr>
          <w:spacing w:val="-1"/>
        </w:rPr>
        <w:t>at</w:t>
      </w:r>
      <w:r>
        <w:rPr>
          <w:spacing w:val="26"/>
        </w:rPr>
        <w:t xml:space="preserve"> </w:t>
      </w:r>
      <w:r>
        <w:t>the</w:t>
      </w:r>
      <w:r>
        <w:rPr>
          <w:spacing w:val="24"/>
        </w:rPr>
        <w:t xml:space="preserve"> </w:t>
      </w:r>
      <w:r>
        <w:rPr>
          <w:spacing w:val="-2"/>
        </w:rPr>
        <w:t>Call</w:t>
      </w:r>
      <w:r>
        <w:rPr>
          <w:spacing w:val="26"/>
        </w:rPr>
        <w:t xml:space="preserve"> </w:t>
      </w:r>
      <w:r>
        <w:rPr>
          <w:spacing w:val="-1"/>
        </w:rPr>
        <w:t>Off</w:t>
      </w:r>
      <w:r>
        <w:rPr>
          <w:spacing w:val="51"/>
        </w:rPr>
        <w:t xml:space="preserve"> </w:t>
      </w:r>
      <w:r>
        <w:rPr>
          <w:spacing w:val="-1"/>
        </w:rPr>
        <w:t>Commencement</w:t>
      </w:r>
      <w:r>
        <w:t xml:space="preserve"> </w:t>
      </w:r>
      <w:r>
        <w:rPr>
          <w:spacing w:val="-1"/>
        </w:rPr>
        <w:t>Date.</w:t>
      </w:r>
    </w:p>
    <w:p w:rsidR="008918FA" w:rsidRDefault="008918FA" w:rsidP="008918FA">
      <w:pPr>
        <w:jc w:val="both"/>
        <w:sectPr w:rsidR="008918FA">
          <w:pgSz w:w="11910" w:h="16840"/>
          <w:pgMar w:top="1480" w:right="1300" w:bottom="1180" w:left="1340" w:header="0" w:footer="967" w:gutter="0"/>
          <w:cols w:space="720"/>
        </w:sectPr>
      </w:pPr>
    </w:p>
    <w:p w:rsidR="008918FA" w:rsidRDefault="008918FA" w:rsidP="008918FA">
      <w:pPr>
        <w:pStyle w:val="BodyText"/>
        <w:numPr>
          <w:ilvl w:val="1"/>
          <w:numId w:val="66"/>
        </w:numPr>
        <w:tabs>
          <w:tab w:val="left" w:pos="1233"/>
        </w:tabs>
        <w:spacing w:before="59"/>
        <w:ind w:left="1028" w:right="118" w:hanging="360"/>
        <w:jc w:val="both"/>
      </w:pPr>
      <w:bookmarkStart w:id="164" w:name="27._SUPPLIER_PERSONNEL"/>
      <w:bookmarkEnd w:id="164"/>
      <w:r>
        <w:t>The</w:t>
      </w:r>
      <w:r>
        <w:rPr>
          <w:spacing w:val="10"/>
        </w:rPr>
        <w:t xml:space="preserve"> </w:t>
      </w:r>
      <w:r>
        <w:rPr>
          <w:spacing w:val="-2"/>
        </w:rPr>
        <w:t>Supplier</w:t>
      </w:r>
      <w:r>
        <w:rPr>
          <w:spacing w:val="9"/>
        </w:rPr>
        <w:t xml:space="preserve"> </w:t>
      </w:r>
      <w:r>
        <w:rPr>
          <w:spacing w:val="-1"/>
        </w:rPr>
        <w:t>shall</w:t>
      </w:r>
      <w:r>
        <w:rPr>
          <w:spacing w:val="9"/>
        </w:rPr>
        <w:t xml:space="preserve"> </w:t>
      </w:r>
      <w:r>
        <w:rPr>
          <w:spacing w:val="-1"/>
        </w:rPr>
        <w:t>ensure</w:t>
      </w:r>
      <w:r>
        <w:rPr>
          <w:spacing w:val="10"/>
        </w:rPr>
        <w:t xml:space="preserve"> </w:t>
      </w:r>
      <w:r>
        <w:rPr>
          <w:spacing w:val="-1"/>
        </w:rPr>
        <w:t>that</w:t>
      </w:r>
      <w:r>
        <w:rPr>
          <w:spacing w:val="11"/>
        </w:rPr>
        <w:t xml:space="preserve"> </w:t>
      </w:r>
      <w:r>
        <w:t>the</w:t>
      </w:r>
      <w:r>
        <w:rPr>
          <w:spacing w:val="7"/>
        </w:rPr>
        <w:t xml:space="preserve"> </w:t>
      </w:r>
      <w:r>
        <w:rPr>
          <w:spacing w:val="-1"/>
        </w:rPr>
        <w:t>Key</w:t>
      </w:r>
      <w:r>
        <w:rPr>
          <w:spacing w:val="8"/>
        </w:rPr>
        <w:t xml:space="preserve"> </w:t>
      </w:r>
      <w:r>
        <w:rPr>
          <w:spacing w:val="-1"/>
        </w:rPr>
        <w:t>Personnel</w:t>
      </w:r>
      <w:r>
        <w:rPr>
          <w:spacing w:val="4"/>
        </w:rPr>
        <w:t xml:space="preserve"> </w:t>
      </w:r>
      <w:r>
        <w:rPr>
          <w:spacing w:val="-1"/>
        </w:rPr>
        <w:t>fulfil</w:t>
      </w:r>
      <w:r>
        <w:rPr>
          <w:spacing w:val="9"/>
        </w:rPr>
        <w:t xml:space="preserve"> </w:t>
      </w:r>
      <w:r>
        <w:t>the</w:t>
      </w:r>
      <w:r>
        <w:rPr>
          <w:spacing w:val="7"/>
        </w:rPr>
        <w:t xml:space="preserve"> </w:t>
      </w:r>
      <w:r>
        <w:rPr>
          <w:spacing w:val="-1"/>
        </w:rPr>
        <w:t>Key</w:t>
      </w:r>
      <w:r>
        <w:rPr>
          <w:spacing w:val="8"/>
        </w:rPr>
        <w:t xml:space="preserve"> </w:t>
      </w:r>
      <w:r>
        <w:rPr>
          <w:spacing w:val="-2"/>
        </w:rPr>
        <w:t>Roles</w:t>
      </w:r>
      <w:r>
        <w:rPr>
          <w:spacing w:val="10"/>
        </w:rPr>
        <w:t xml:space="preserve"> </w:t>
      </w:r>
      <w:r>
        <w:rPr>
          <w:spacing w:val="-1"/>
        </w:rPr>
        <w:t>at</w:t>
      </w:r>
      <w:r>
        <w:rPr>
          <w:spacing w:val="11"/>
        </w:rPr>
        <w:t xml:space="preserve"> </w:t>
      </w:r>
      <w:r>
        <w:rPr>
          <w:spacing w:val="-2"/>
        </w:rPr>
        <w:t>all</w:t>
      </w:r>
      <w:r>
        <w:rPr>
          <w:spacing w:val="9"/>
        </w:rPr>
        <w:t xml:space="preserve"> </w:t>
      </w:r>
      <w:r>
        <w:rPr>
          <w:spacing w:val="-1"/>
        </w:rPr>
        <w:t>times</w:t>
      </w:r>
      <w:r>
        <w:rPr>
          <w:spacing w:val="58"/>
        </w:rPr>
        <w:t xml:space="preserve"> </w:t>
      </w:r>
      <w:r>
        <w:rPr>
          <w:spacing w:val="-1"/>
        </w:rPr>
        <w:t>during</w:t>
      </w:r>
      <w:r>
        <w:t xml:space="preserve"> the</w:t>
      </w:r>
      <w:r>
        <w:rPr>
          <w:spacing w:val="-2"/>
        </w:rPr>
        <w:t xml:space="preserve"> Call</w:t>
      </w:r>
      <w:r>
        <w:t xml:space="preserve"> </w:t>
      </w:r>
      <w:r>
        <w:rPr>
          <w:spacing w:val="-1"/>
        </w:rPr>
        <w:t>Off</w:t>
      </w:r>
      <w:r>
        <w:rPr>
          <w:spacing w:val="2"/>
        </w:rPr>
        <w:t xml:space="preserve"> </w:t>
      </w:r>
      <w:r>
        <w:rPr>
          <w:spacing w:val="-2"/>
        </w:rPr>
        <w:t>Contract</w:t>
      </w:r>
      <w:r>
        <w:rPr>
          <w:spacing w:val="2"/>
        </w:rPr>
        <w:t xml:space="preserve"> </w:t>
      </w:r>
      <w:r>
        <w:rPr>
          <w:spacing w:val="-2"/>
        </w:rPr>
        <w:t>Period.</w:t>
      </w:r>
    </w:p>
    <w:p w:rsidR="008918FA" w:rsidRDefault="008918FA" w:rsidP="008918FA">
      <w:pPr>
        <w:pStyle w:val="BodyText"/>
        <w:numPr>
          <w:ilvl w:val="1"/>
          <w:numId w:val="66"/>
        </w:numPr>
        <w:tabs>
          <w:tab w:val="left" w:pos="1234"/>
        </w:tabs>
        <w:spacing w:before="121"/>
        <w:ind w:left="1029" w:right="112" w:hanging="360"/>
        <w:jc w:val="both"/>
      </w:pPr>
      <w:r>
        <w:t>The</w:t>
      </w:r>
      <w:r>
        <w:rPr>
          <w:spacing w:val="22"/>
        </w:rPr>
        <w:t xml:space="preserve"> </w:t>
      </w:r>
      <w:r>
        <w:rPr>
          <w:spacing w:val="-2"/>
        </w:rPr>
        <w:t>Customer</w:t>
      </w:r>
      <w:r>
        <w:rPr>
          <w:spacing w:val="23"/>
        </w:rPr>
        <w:t xml:space="preserve"> </w:t>
      </w:r>
      <w:r>
        <w:rPr>
          <w:spacing w:val="-1"/>
        </w:rPr>
        <w:t>may</w:t>
      </w:r>
      <w:r>
        <w:rPr>
          <w:spacing w:val="20"/>
        </w:rPr>
        <w:t xml:space="preserve"> </w:t>
      </w:r>
      <w:r>
        <w:rPr>
          <w:spacing w:val="-1"/>
        </w:rPr>
        <w:t>identify</w:t>
      </w:r>
      <w:r>
        <w:rPr>
          <w:spacing w:val="20"/>
        </w:rPr>
        <w:t xml:space="preserve"> </w:t>
      </w:r>
      <w:r>
        <w:rPr>
          <w:spacing w:val="-1"/>
        </w:rPr>
        <w:t>any</w:t>
      </w:r>
      <w:r>
        <w:rPr>
          <w:spacing w:val="20"/>
        </w:rPr>
        <w:t xml:space="preserve"> </w:t>
      </w:r>
      <w:r>
        <w:rPr>
          <w:spacing w:val="-1"/>
        </w:rPr>
        <w:t>further</w:t>
      </w:r>
      <w:r>
        <w:rPr>
          <w:spacing w:val="21"/>
        </w:rPr>
        <w:t xml:space="preserve"> </w:t>
      </w:r>
      <w:r>
        <w:rPr>
          <w:spacing w:val="-1"/>
        </w:rPr>
        <w:t>roles</w:t>
      </w:r>
      <w:r>
        <w:rPr>
          <w:spacing w:val="22"/>
        </w:rPr>
        <w:t xml:space="preserve"> </w:t>
      </w:r>
      <w:r>
        <w:rPr>
          <w:spacing w:val="-1"/>
        </w:rPr>
        <w:t>as</w:t>
      </w:r>
      <w:r>
        <w:rPr>
          <w:spacing w:val="20"/>
        </w:rPr>
        <w:t xml:space="preserve"> </w:t>
      </w:r>
      <w:r>
        <w:rPr>
          <w:spacing w:val="-1"/>
        </w:rPr>
        <w:t>being</w:t>
      </w:r>
      <w:r>
        <w:rPr>
          <w:spacing w:val="24"/>
        </w:rPr>
        <w:t xml:space="preserve"> </w:t>
      </w:r>
      <w:r>
        <w:rPr>
          <w:spacing w:val="-1"/>
        </w:rPr>
        <w:t>Key</w:t>
      </w:r>
      <w:r>
        <w:rPr>
          <w:spacing w:val="20"/>
        </w:rPr>
        <w:t xml:space="preserve"> </w:t>
      </w:r>
      <w:r>
        <w:rPr>
          <w:spacing w:val="-2"/>
        </w:rPr>
        <w:t>Roles</w:t>
      </w:r>
      <w:r>
        <w:rPr>
          <w:spacing w:val="22"/>
        </w:rPr>
        <w:t xml:space="preserve"> </w:t>
      </w:r>
      <w:r>
        <w:rPr>
          <w:spacing w:val="-1"/>
        </w:rPr>
        <w:t>and,</w:t>
      </w:r>
      <w:r>
        <w:rPr>
          <w:spacing w:val="21"/>
        </w:rPr>
        <w:t xml:space="preserve"> </w:t>
      </w:r>
      <w:r>
        <w:rPr>
          <w:spacing w:val="-2"/>
        </w:rPr>
        <w:t>following</w:t>
      </w:r>
      <w:r>
        <w:rPr>
          <w:spacing w:val="72"/>
        </w:rPr>
        <w:t xml:space="preserve"> </w:t>
      </w:r>
      <w:r>
        <w:rPr>
          <w:spacing w:val="-1"/>
        </w:rPr>
        <w:t>agreement</w:t>
      </w:r>
      <w:r>
        <w:rPr>
          <w:spacing w:val="26"/>
        </w:rPr>
        <w:t xml:space="preserve"> </w:t>
      </w:r>
      <w:r>
        <w:t>to</w:t>
      </w:r>
      <w:r>
        <w:rPr>
          <w:spacing w:val="22"/>
        </w:rPr>
        <w:t xml:space="preserve"> </w:t>
      </w:r>
      <w:r>
        <w:t>the</w:t>
      </w:r>
      <w:r>
        <w:rPr>
          <w:spacing w:val="24"/>
        </w:rPr>
        <w:t xml:space="preserve"> </w:t>
      </w:r>
      <w:r>
        <w:rPr>
          <w:spacing w:val="-1"/>
        </w:rPr>
        <w:t>same</w:t>
      </w:r>
      <w:r>
        <w:rPr>
          <w:spacing w:val="22"/>
        </w:rPr>
        <w:t xml:space="preserve"> </w:t>
      </w:r>
      <w:r>
        <w:rPr>
          <w:spacing w:val="-1"/>
        </w:rPr>
        <w:t>by</w:t>
      </w:r>
      <w:r>
        <w:rPr>
          <w:spacing w:val="22"/>
        </w:rPr>
        <w:t xml:space="preserve"> </w:t>
      </w:r>
      <w:r>
        <w:t>the</w:t>
      </w:r>
      <w:r>
        <w:rPr>
          <w:spacing w:val="24"/>
        </w:rPr>
        <w:t xml:space="preserve"> </w:t>
      </w:r>
      <w:r>
        <w:rPr>
          <w:spacing w:val="-1"/>
        </w:rPr>
        <w:t>Supplier,</w:t>
      </w:r>
      <w:r>
        <w:rPr>
          <w:spacing w:val="28"/>
        </w:rPr>
        <w:t xml:space="preserve"> </w:t>
      </w:r>
      <w:r>
        <w:t>the</w:t>
      </w:r>
      <w:r>
        <w:rPr>
          <w:spacing w:val="24"/>
        </w:rPr>
        <w:t xml:space="preserve"> </w:t>
      </w:r>
      <w:r>
        <w:rPr>
          <w:spacing w:val="-2"/>
        </w:rPr>
        <w:t>relevant</w:t>
      </w:r>
      <w:r>
        <w:rPr>
          <w:spacing w:val="26"/>
        </w:rPr>
        <w:t xml:space="preserve"> </w:t>
      </w:r>
      <w:r>
        <w:rPr>
          <w:spacing w:val="-1"/>
        </w:rPr>
        <w:t>person</w:t>
      </w:r>
      <w:r>
        <w:rPr>
          <w:spacing w:val="24"/>
        </w:rPr>
        <w:t xml:space="preserve"> </w:t>
      </w:r>
      <w:r>
        <w:rPr>
          <w:spacing w:val="-1"/>
        </w:rPr>
        <w:t>selected</w:t>
      </w:r>
      <w:r>
        <w:rPr>
          <w:spacing w:val="24"/>
        </w:rPr>
        <w:t xml:space="preserve"> </w:t>
      </w:r>
      <w:r>
        <w:t>to</w:t>
      </w:r>
      <w:r>
        <w:rPr>
          <w:spacing w:val="22"/>
        </w:rPr>
        <w:t xml:space="preserve"> </w:t>
      </w:r>
      <w:r>
        <w:rPr>
          <w:spacing w:val="-1"/>
        </w:rPr>
        <w:t>fill</w:t>
      </w:r>
      <w:r>
        <w:rPr>
          <w:spacing w:val="24"/>
        </w:rPr>
        <w:t xml:space="preserve"> </w:t>
      </w:r>
      <w:r>
        <w:rPr>
          <w:spacing w:val="-1"/>
        </w:rPr>
        <w:t>those</w:t>
      </w:r>
      <w:r>
        <w:rPr>
          <w:spacing w:val="49"/>
        </w:rPr>
        <w:t xml:space="preserve"> </w:t>
      </w:r>
      <w:r>
        <w:rPr>
          <w:spacing w:val="-1"/>
        </w:rPr>
        <w:t>Key</w:t>
      </w:r>
      <w:r>
        <w:rPr>
          <w:spacing w:val="-2"/>
        </w:rPr>
        <w:t xml:space="preserve"> Roles</w:t>
      </w:r>
      <w:r>
        <w:rPr>
          <w:spacing w:val="1"/>
        </w:rPr>
        <w:t xml:space="preserve"> </w:t>
      </w:r>
      <w:r>
        <w:rPr>
          <w:spacing w:val="-1"/>
        </w:rPr>
        <w:t>shall</w:t>
      </w:r>
      <w:r>
        <w:t xml:space="preserve"> </w:t>
      </w:r>
      <w:r>
        <w:rPr>
          <w:spacing w:val="-1"/>
        </w:rPr>
        <w:t>be</w:t>
      </w:r>
      <w:r>
        <w:t xml:space="preserve"> </w:t>
      </w:r>
      <w:r>
        <w:rPr>
          <w:spacing w:val="-1"/>
        </w:rPr>
        <w:t>included</w:t>
      </w:r>
      <w:r>
        <w:t xml:space="preserve"> </w:t>
      </w:r>
      <w:r>
        <w:rPr>
          <w:spacing w:val="-1"/>
        </w:rPr>
        <w:t>on</w:t>
      </w:r>
      <w:r>
        <w:rPr>
          <w:spacing w:val="-2"/>
        </w:rPr>
        <w:t xml:space="preserve"> </w:t>
      </w:r>
      <w:r>
        <w:t xml:space="preserve">the </w:t>
      </w:r>
      <w:r>
        <w:rPr>
          <w:spacing w:val="-2"/>
        </w:rPr>
        <w:t>list</w:t>
      </w:r>
      <w:r>
        <w:t xml:space="preserve"> </w:t>
      </w:r>
      <w:r>
        <w:rPr>
          <w:spacing w:val="-2"/>
        </w:rPr>
        <w:t>of</w:t>
      </w:r>
      <w:r>
        <w:rPr>
          <w:spacing w:val="2"/>
        </w:rPr>
        <w:t xml:space="preserve"> </w:t>
      </w:r>
      <w:r>
        <w:rPr>
          <w:spacing w:val="-1"/>
        </w:rPr>
        <w:t>Key</w:t>
      </w:r>
      <w:r>
        <w:rPr>
          <w:spacing w:val="-2"/>
        </w:rPr>
        <w:t xml:space="preserve"> </w:t>
      </w:r>
      <w:r>
        <w:rPr>
          <w:spacing w:val="-1"/>
        </w:rPr>
        <w:t>Personnel.</w:t>
      </w:r>
    </w:p>
    <w:p w:rsidR="008918FA" w:rsidRDefault="008918FA" w:rsidP="008918FA">
      <w:pPr>
        <w:pStyle w:val="BodyText"/>
        <w:numPr>
          <w:ilvl w:val="1"/>
          <w:numId w:val="66"/>
        </w:numPr>
        <w:tabs>
          <w:tab w:val="left" w:pos="1234"/>
        </w:tabs>
        <w:ind w:left="1029" w:right="117" w:hanging="360"/>
        <w:jc w:val="both"/>
      </w:pPr>
      <w:r>
        <w:t>The</w:t>
      </w:r>
      <w:r>
        <w:rPr>
          <w:spacing w:val="41"/>
        </w:rPr>
        <w:t xml:space="preserve"> </w:t>
      </w:r>
      <w:r>
        <w:rPr>
          <w:spacing w:val="-2"/>
        </w:rPr>
        <w:t>Supplier</w:t>
      </w:r>
      <w:r>
        <w:rPr>
          <w:spacing w:val="42"/>
        </w:rPr>
        <w:t xml:space="preserve"> </w:t>
      </w:r>
      <w:r>
        <w:rPr>
          <w:spacing w:val="-1"/>
        </w:rPr>
        <w:t>shall</w:t>
      </w:r>
      <w:r>
        <w:rPr>
          <w:spacing w:val="40"/>
        </w:rPr>
        <w:t xml:space="preserve"> </w:t>
      </w:r>
      <w:r>
        <w:rPr>
          <w:spacing w:val="-1"/>
        </w:rPr>
        <w:t>not</w:t>
      </w:r>
      <w:r>
        <w:rPr>
          <w:spacing w:val="40"/>
        </w:rPr>
        <w:t xml:space="preserve"> </w:t>
      </w:r>
      <w:r>
        <w:rPr>
          <w:spacing w:val="-2"/>
        </w:rPr>
        <w:t>remove</w:t>
      </w:r>
      <w:r>
        <w:rPr>
          <w:spacing w:val="41"/>
        </w:rPr>
        <w:t xml:space="preserve"> </w:t>
      </w:r>
      <w:r>
        <w:rPr>
          <w:spacing w:val="-1"/>
        </w:rPr>
        <w:t>or</w:t>
      </w:r>
      <w:r>
        <w:rPr>
          <w:spacing w:val="42"/>
        </w:rPr>
        <w:t xml:space="preserve"> </w:t>
      </w:r>
      <w:r>
        <w:rPr>
          <w:spacing w:val="-1"/>
        </w:rPr>
        <w:t>replace</w:t>
      </w:r>
      <w:r>
        <w:rPr>
          <w:spacing w:val="42"/>
        </w:rPr>
        <w:t xml:space="preserve"> </w:t>
      </w:r>
      <w:r>
        <w:rPr>
          <w:spacing w:val="-1"/>
        </w:rPr>
        <w:t>any</w:t>
      </w:r>
      <w:r>
        <w:rPr>
          <w:spacing w:val="37"/>
        </w:rPr>
        <w:t xml:space="preserve"> </w:t>
      </w:r>
      <w:r>
        <w:rPr>
          <w:spacing w:val="-1"/>
        </w:rPr>
        <w:t>Key</w:t>
      </w:r>
      <w:r>
        <w:rPr>
          <w:spacing w:val="39"/>
        </w:rPr>
        <w:t xml:space="preserve"> </w:t>
      </w:r>
      <w:r>
        <w:rPr>
          <w:spacing w:val="-1"/>
        </w:rPr>
        <w:t>Personnel</w:t>
      </w:r>
      <w:r>
        <w:rPr>
          <w:spacing w:val="40"/>
        </w:rPr>
        <w:t xml:space="preserve"> </w:t>
      </w:r>
      <w:r>
        <w:rPr>
          <w:spacing w:val="-1"/>
        </w:rPr>
        <w:t>(including</w:t>
      </w:r>
      <w:r>
        <w:rPr>
          <w:spacing w:val="43"/>
        </w:rPr>
        <w:t xml:space="preserve"> </w:t>
      </w:r>
      <w:r>
        <w:rPr>
          <w:spacing w:val="-2"/>
        </w:rPr>
        <w:t>when</w:t>
      </w:r>
      <w:r>
        <w:rPr>
          <w:spacing w:val="52"/>
        </w:rPr>
        <w:t xml:space="preserve"> </w:t>
      </w:r>
      <w:r>
        <w:rPr>
          <w:spacing w:val="-1"/>
        </w:rPr>
        <w:t>carrying</w:t>
      </w:r>
      <w:r>
        <w:rPr>
          <w:spacing w:val="3"/>
        </w:rPr>
        <w:t xml:space="preserve"> </w:t>
      </w:r>
      <w:r>
        <w:rPr>
          <w:spacing w:val="-2"/>
        </w:rPr>
        <w:t>out</w:t>
      </w:r>
      <w:r>
        <w:t xml:space="preserve"> </w:t>
      </w:r>
      <w:r>
        <w:rPr>
          <w:spacing w:val="-1"/>
        </w:rPr>
        <w:t>its</w:t>
      </w:r>
      <w:r>
        <w:rPr>
          <w:spacing w:val="1"/>
        </w:rPr>
        <w:t xml:space="preserve"> </w:t>
      </w:r>
      <w:r>
        <w:rPr>
          <w:spacing w:val="-2"/>
        </w:rPr>
        <w:t>obligations</w:t>
      </w:r>
      <w:r>
        <w:rPr>
          <w:spacing w:val="1"/>
        </w:rPr>
        <w:t xml:space="preserve"> </w:t>
      </w:r>
      <w:r>
        <w:rPr>
          <w:spacing w:val="-1"/>
        </w:rPr>
        <w:t xml:space="preserve">under </w:t>
      </w:r>
      <w:r>
        <w:rPr>
          <w:spacing w:val="-2"/>
        </w:rPr>
        <w:t>Call</w:t>
      </w:r>
      <w:r>
        <w:t xml:space="preserve"> </w:t>
      </w:r>
      <w:r>
        <w:rPr>
          <w:spacing w:val="-1"/>
        </w:rPr>
        <w:t>Off</w:t>
      </w:r>
      <w:r>
        <w:t xml:space="preserve"> </w:t>
      </w:r>
      <w:r>
        <w:rPr>
          <w:spacing w:val="-1"/>
        </w:rPr>
        <w:t>Schedule</w:t>
      </w:r>
      <w:r>
        <w:t xml:space="preserve"> </w:t>
      </w:r>
      <w:r>
        <w:rPr>
          <w:spacing w:val="-1"/>
        </w:rPr>
        <w:t>10</w:t>
      </w:r>
      <w:r>
        <w:t xml:space="preserve"> </w:t>
      </w:r>
      <w:r>
        <w:rPr>
          <w:spacing w:val="-2"/>
        </w:rPr>
        <w:t>(Exit</w:t>
      </w:r>
      <w:r>
        <w:rPr>
          <w:spacing w:val="2"/>
        </w:rPr>
        <w:t xml:space="preserve"> </w:t>
      </w:r>
      <w:r>
        <w:rPr>
          <w:spacing w:val="-1"/>
        </w:rPr>
        <w:t>Management)) unless:</w:t>
      </w:r>
    </w:p>
    <w:p w:rsidR="008918FA" w:rsidRDefault="008918FA" w:rsidP="008918FA">
      <w:pPr>
        <w:pStyle w:val="BodyText"/>
        <w:numPr>
          <w:ilvl w:val="2"/>
          <w:numId w:val="66"/>
        </w:numPr>
        <w:tabs>
          <w:tab w:val="left" w:pos="2228"/>
        </w:tabs>
        <w:spacing w:before="121"/>
        <w:ind w:left="2227"/>
      </w:pPr>
      <w:r>
        <w:rPr>
          <w:spacing w:val="-1"/>
        </w:rPr>
        <w:t>requested</w:t>
      </w:r>
      <w:r>
        <w:rPr>
          <w:spacing w:val="-2"/>
        </w:rPr>
        <w:t xml:space="preserve"> </w:t>
      </w:r>
      <w:r>
        <w:t>to</w:t>
      </w:r>
      <w:r>
        <w:rPr>
          <w:spacing w:val="-2"/>
        </w:rPr>
        <w:t xml:space="preserve"> </w:t>
      </w:r>
      <w:r>
        <w:rPr>
          <w:spacing w:val="-1"/>
        </w:rPr>
        <w:t>do</w:t>
      </w:r>
      <w:r>
        <w:rPr>
          <w:spacing w:val="-2"/>
        </w:rPr>
        <w:t xml:space="preserve"> </w:t>
      </w:r>
      <w:r>
        <w:rPr>
          <w:spacing w:val="-1"/>
        </w:rPr>
        <w:t>so</w:t>
      </w:r>
      <w:r>
        <w:rPr>
          <w:spacing w:val="1"/>
        </w:rPr>
        <w:t xml:space="preserve"> </w:t>
      </w:r>
      <w:r>
        <w:rPr>
          <w:spacing w:val="-1"/>
        </w:rPr>
        <w:t>by</w:t>
      </w:r>
      <w:r>
        <w:rPr>
          <w:spacing w:val="-2"/>
        </w:rPr>
        <w:t xml:space="preserve"> </w:t>
      </w:r>
      <w:r>
        <w:rPr>
          <w:spacing w:val="-1"/>
        </w:rPr>
        <w:t>the</w:t>
      </w:r>
      <w:r>
        <w:t xml:space="preserve"> </w:t>
      </w:r>
      <w:r>
        <w:rPr>
          <w:spacing w:val="-1"/>
        </w:rPr>
        <w:t>Customer;</w:t>
      </w:r>
    </w:p>
    <w:p w:rsidR="008918FA" w:rsidRDefault="008918FA" w:rsidP="008918FA">
      <w:pPr>
        <w:pStyle w:val="BodyText"/>
        <w:numPr>
          <w:ilvl w:val="2"/>
          <w:numId w:val="66"/>
        </w:numPr>
        <w:tabs>
          <w:tab w:val="left" w:pos="2228"/>
        </w:tabs>
        <w:ind w:left="2227" w:right="115"/>
        <w:jc w:val="both"/>
      </w:pPr>
      <w:r>
        <w:t xml:space="preserve">the </w:t>
      </w:r>
      <w:r>
        <w:rPr>
          <w:spacing w:val="-1"/>
        </w:rPr>
        <w:t>person</w:t>
      </w:r>
      <w:r>
        <w:t xml:space="preserve"> </w:t>
      </w:r>
      <w:r>
        <w:rPr>
          <w:spacing w:val="-1"/>
        </w:rPr>
        <w:t>concerned</w:t>
      </w:r>
      <w:r>
        <w:rPr>
          <w:spacing w:val="-2"/>
        </w:rPr>
        <w:t xml:space="preserve"> </w:t>
      </w:r>
      <w:r>
        <w:rPr>
          <w:spacing w:val="-1"/>
        </w:rPr>
        <w:t>resigns,</w:t>
      </w:r>
      <w:r>
        <w:rPr>
          <w:spacing w:val="2"/>
        </w:rPr>
        <w:t xml:space="preserve"> </w:t>
      </w:r>
      <w:r>
        <w:rPr>
          <w:spacing w:val="-1"/>
        </w:rPr>
        <w:t>retires</w:t>
      </w:r>
      <w:r>
        <w:rPr>
          <w:spacing w:val="1"/>
        </w:rPr>
        <w:t xml:space="preserve"> </w:t>
      </w:r>
      <w:r>
        <w:rPr>
          <w:spacing w:val="-1"/>
        </w:rPr>
        <w:t>or</w:t>
      </w:r>
      <w:r>
        <w:rPr>
          <w:spacing w:val="2"/>
        </w:rPr>
        <w:t xml:space="preserve"> </w:t>
      </w:r>
      <w:r>
        <w:rPr>
          <w:spacing w:val="-1"/>
        </w:rPr>
        <w:t>dies</w:t>
      </w:r>
      <w:r>
        <w:rPr>
          <w:spacing w:val="1"/>
        </w:rPr>
        <w:t xml:space="preserve"> </w:t>
      </w:r>
      <w:r>
        <w:rPr>
          <w:spacing w:val="-2"/>
        </w:rPr>
        <w:t>or</w:t>
      </w:r>
      <w:r>
        <w:rPr>
          <w:spacing w:val="2"/>
        </w:rPr>
        <w:t xml:space="preserve"> </w:t>
      </w:r>
      <w:r>
        <w:rPr>
          <w:spacing w:val="-1"/>
        </w:rPr>
        <w:t>is</w:t>
      </w:r>
      <w:r>
        <w:rPr>
          <w:spacing w:val="-2"/>
        </w:rPr>
        <w:t xml:space="preserve"> </w:t>
      </w:r>
      <w:r>
        <w:rPr>
          <w:spacing w:val="-1"/>
        </w:rPr>
        <w:t>on</w:t>
      </w:r>
      <w:r>
        <w:t xml:space="preserve"> </w:t>
      </w:r>
      <w:r>
        <w:rPr>
          <w:spacing w:val="-1"/>
        </w:rPr>
        <w:t>maternity</w:t>
      </w:r>
      <w:r>
        <w:rPr>
          <w:spacing w:val="-2"/>
        </w:rPr>
        <w:t xml:space="preserve"> </w:t>
      </w:r>
      <w:r>
        <w:rPr>
          <w:spacing w:val="-1"/>
        </w:rPr>
        <w:t>or</w:t>
      </w:r>
      <w:r>
        <w:rPr>
          <w:spacing w:val="2"/>
        </w:rPr>
        <w:t xml:space="preserve"> </w:t>
      </w:r>
      <w:r>
        <w:rPr>
          <w:spacing w:val="-1"/>
        </w:rPr>
        <w:t>long-</w:t>
      </w:r>
      <w:r>
        <w:rPr>
          <w:spacing w:val="31"/>
        </w:rPr>
        <w:t xml:space="preserve"> </w:t>
      </w:r>
      <w:r>
        <w:rPr>
          <w:spacing w:val="-1"/>
        </w:rPr>
        <w:t>term</w:t>
      </w:r>
      <w:r>
        <w:rPr>
          <w:spacing w:val="2"/>
        </w:rPr>
        <w:t xml:space="preserve"> </w:t>
      </w:r>
      <w:r>
        <w:rPr>
          <w:spacing w:val="-2"/>
        </w:rPr>
        <w:t>sick</w:t>
      </w:r>
      <w:r>
        <w:rPr>
          <w:spacing w:val="1"/>
        </w:rPr>
        <w:t xml:space="preserve"> </w:t>
      </w:r>
      <w:r>
        <w:rPr>
          <w:spacing w:val="-2"/>
        </w:rPr>
        <w:t>leave;</w:t>
      </w:r>
    </w:p>
    <w:p w:rsidR="008918FA" w:rsidRDefault="008918FA" w:rsidP="008918FA">
      <w:pPr>
        <w:pStyle w:val="BodyText"/>
        <w:numPr>
          <w:ilvl w:val="2"/>
          <w:numId w:val="66"/>
        </w:numPr>
        <w:tabs>
          <w:tab w:val="left" w:pos="2228"/>
        </w:tabs>
        <w:ind w:left="2227" w:right="114"/>
        <w:jc w:val="both"/>
      </w:pPr>
      <w:r>
        <w:t>the</w:t>
      </w:r>
      <w:r>
        <w:rPr>
          <w:spacing w:val="7"/>
        </w:rPr>
        <w:t xml:space="preserve"> </w:t>
      </w:r>
      <w:r>
        <w:rPr>
          <w:spacing w:val="-1"/>
        </w:rPr>
        <w:t>person’s</w:t>
      </w:r>
      <w:r>
        <w:rPr>
          <w:spacing w:val="8"/>
        </w:rPr>
        <w:t xml:space="preserve"> </w:t>
      </w:r>
      <w:r>
        <w:rPr>
          <w:spacing w:val="-1"/>
        </w:rPr>
        <w:t>employment</w:t>
      </w:r>
      <w:r>
        <w:rPr>
          <w:spacing w:val="9"/>
        </w:rPr>
        <w:t xml:space="preserve"> </w:t>
      </w:r>
      <w:r>
        <w:rPr>
          <w:spacing w:val="-1"/>
        </w:rPr>
        <w:t>or</w:t>
      </w:r>
      <w:r>
        <w:rPr>
          <w:spacing w:val="9"/>
        </w:rPr>
        <w:t xml:space="preserve"> </w:t>
      </w:r>
      <w:r>
        <w:rPr>
          <w:spacing w:val="-1"/>
        </w:rPr>
        <w:t>contractual</w:t>
      </w:r>
      <w:r>
        <w:rPr>
          <w:spacing w:val="7"/>
        </w:rPr>
        <w:t xml:space="preserve"> </w:t>
      </w:r>
      <w:r>
        <w:rPr>
          <w:spacing w:val="-1"/>
        </w:rPr>
        <w:t>arrangement</w:t>
      </w:r>
      <w:r>
        <w:rPr>
          <w:spacing w:val="9"/>
        </w:rPr>
        <w:t xml:space="preserve"> </w:t>
      </w:r>
      <w:r>
        <w:rPr>
          <w:spacing w:val="-2"/>
        </w:rPr>
        <w:t>with</w:t>
      </w:r>
      <w:r>
        <w:rPr>
          <w:spacing w:val="7"/>
        </w:rPr>
        <w:t xml:space="preserve"> </w:t>
      </w:r>
      <w:r>
        <w:t>the</w:t>
      </w:r>
      <w:r>
        <w:rPr>
          <w:spacing w:val="7"/>
        </w:rPr>
        <w:t xml:space="preserve"> </w:t>
      </w:r>
      <w:r>
        <w:rPr>
          <w:spacing w:val="-2"/>
        </w:rPr>
        <w:t>Supplier</w:t>
      </w:r>
      <w:r>
        <w:rPr>
          <w:spacing w:val="40"/>
        </w:rPr>
        <w:t xml:space="preserve"> </w:t>
      </w:r>
      <w:r>
        <w:rPr>
          <w:spacing w:val="-1"/>
        </w:rPr>
        <w:t>or</w:t>
      </w:r>
      <w:r>
        <w:rPr>
          <w:spacing w:val="2"/>
        </w:rPr>
        <w:t xml:space="preserve"> </w:t>
      </w:r>
      <w:r>
        <w:t xml:space="preserve">a </w:t>
      </w:r>
      <w:r>
        <w:rPr>
          <w:spacing w:val="-1"/>
        </w:rPr>
        <w:t>Sub-Contractor</w:t>
      </w:r>
      <w:r>
        <w:rPr>
          <w:spacing w:val="2"/>
        </w:rPr>
        <w:t xml:space="preserve"> </w:t>
      </w:r>
      <w:r>
        <w:rPr>
          <w:spacing w:val="-1"/>
        </w:rPr>
        <w:t>is</w:t>
      </w:r>
      <w:r>
        <w:rPr>
          <w:spacing w:val="1"/>
        </w:rPr>
        <w:t xml:space="preserve"> </w:t>
      </w:r>
      <w:r>
        <w:rPr>
          <w:spacing w:val="-1"/>
        </w:rPr>
        <w:t>terminated</w:t>
      </w:r>
      <w:r>
        <w:rPr>
          <w:spacing w:val="-2"/>
        </w:rPr>
        <w:t xml:space="preserve"> </w:t>
      </w:r>
      <w:r>
        <w:t>for</w:t>
      </w:r>
      <w:r>
        <w:rPr>
          <w:spacing w:val="2"/>
        </w:rPr>
        <w:t xml:space="preserve"> </w:t>
      </w:r>
      <w:r>
        <w:rPr>
          <w:spacing w:val="-1"/>
        </w:rPr>
        <w:t>material</w:t>
      </w:r>
      <w:r>
        <w:t xml:space="preserve"> </w:t>
      </w:r>
      <w:r>
        <w:rPr>
          <w:spacing w:val="-1"/>
        </w:rPr>
        <w:t>breach</w:t>
      </w:r>
      <w:r>
        <w:rPr>
          <w:spacing w:val="1"/>
        </w:rPr>
        <w:t xml:space="preserve"> </w:t>
      </w:r>
      <w:r>
        <w:rPr>
          <w:spacing w:val="-1"/>
        </w:rPr>
        <w:t>of</w:t>
      </w:r>
      <w:r>
        <w:rPr>
          <w:spacing w:val="4"/>
        </w:rPr>
        <w:t xml:space="preserve"> </w:t>
      </w:r>
      <w:r>
        <w:rPr>
          <w:spacing w:val="-1"/>
        </w:rPr>
        <w:t>contract</w:t>
      </w:r>
      <w:r>
        <w:rPr>
          <w:spacing w:val="2"/>
        </w:rPr>
        <w:t xml:space="preserve"> </w:t>
      </w:r>
      <w:r>
        <w:rPr>
          <w:spacing w:val="-1"/>
        </w:rPr>
        <w:t>by</w:t>
      </w:r>
      <w:r>
        <w:rPr>
          <w:spacing w:val="-2"/>
        </w:rPr>
        <w:t xml:space="preserve"> </w:t>
      </w:r>
      <w:r>
        <w:rPr>
          <w:spacing w:val="-1"/>
        </w:rPr>
        <w:t>the</w:t>
      </w:r>
      <w:r>
        <w:rPr>
          <w:spacing w:val="40"/>
        </w:rPr>
        <w:t xml:space="preserve"> </w:t>
      </w:r>
      <w:r>
        <w:rPr>
          <w:spacing w:val="-2"/>
        </w:rPr>
        <w:t>employee;</w:t>
      </w:r>
      <w:r>
        <w:rPr>
          <w:spacing w:val="2"/>
        </w:rPr>
        <w:t xml:space="preserve"> </w:t>
      </w:r>
      <w:r>
        <w:rPr>
          <w:spacing w:val="-1"/>
        </w:rPr>
        <w:t>or</w:t>
      </w:r>
    </w:p>
    <w:p w:rsidR="008918FA" w:rsidRDefault="008918FA" w:rsidP="008918FA">
      <w:pPr>
        <w:pStyle w:val="BodyText"/>
        <w:numPr>
          <w:ilvl w:val="2"/>
          <w:numId w:val="66"/>
        </w:numPr>
        <w:tabs>
          <w:tab w:val="left" w:pos="2228"/>
        </w:tabs>
        <w:ind w:left="2227" w:right="111"/>
        <w:jc w:val="both"/>
      </w:pPr>
      <w:r>
        <w:t>the</w:t>
      </w:r>
      <w:r>
        <w:rPr>
          <w:spacing w:val="37"/>
        </w:rPr>
        <w:t xml:space="preserve"> </w:t>
      </w:r>
      <w:r>
        <w:rPr>
          <w:spacing w:val="-2"/>
        </w:rPr>
        <w:t>Supplier</w:t>
      </w:r>
      <w:r>
        <w:rPr>
          <w:spacing w:val="39"/>
        </w:rPr>
        <w:t xml:space="preserve"> </w:t>
      </w:r>
      <w:r>
        <w:rPr>
          <w:spacing w:val="-1"/>
        </w:rPr>
        <w:t>obtains</w:t>
      </w:r>
      <w:r>
        <w:rPr>
          <w:spacing w:val="38"/>
        </w:rPr>
        <w:t xml:space="preserve"> </w:t>
      </w:r>
      <w:r>
        <w:rPr>
          <w:spacing w:val="-1"/>
        </w:rPr>
        <w:t>the</w:t>
      </w:r>
      <w:r>
        <w:rPr>
          <w:spacing w:val="37"/>
        </w:rPr>
        <w:t xml:space="preserve"> </w:t>
      </w:r>
      <w:r>
        <w:rPr>
          <w:spacing w:val="-1"/>
        </w:rPr>
        <w:t>Customer’s</w:t>
      </w:r>
      <w:r>
        <w:rPr>
          <w:spacing w:val="38"/>
        </w:rPr>
        <w:t xml:space="preserve"> </w:t>
      </w:r>
      <w:r>
        <w:rPr>
          <w:spacing w:val="-1"/>
        </w:rPr>
        <w:t>prior</w:t>
      </w:r>
      <w:r>
        <w:rPr>
          <w:spacing w:val="39"/>
        </w:rPr>
        <w:t xml:space="preserve"> </w:t>
      </w:r>
      <w:r>
        <w:rPr>
          <w:spacing w:val="-1"/>
        </w:rPr>
        <w:t>written</w:t>
      </w:r>
      <w:r>
        <w:rPr>
          <w:spacing w:val="38"/>
        </w:rPr>
        <w:t xml:space="preserve"> </w:t>
      </w:r>
      <w:r>
        <w:rPr>
          <w:spacing w:val="-1"/>
        </w:rPr>
        <w:t>consent</w:t>
      </w:r>
      <w:r>
        <w:rPr>
          <w:spacing w:val="36"/>
        </w:rPr>
        <w:t xml:space="preserve"> </w:t>
      </w:r>
      <w:r>
        <w:rPr>
          <w:spacing w:val="-1"/>
        </w:rPr>
        <w:t>(such</w:t>
      </w:r>
      <w:r>
        <w:rPr>
          <w:spacing w:val="36"/>
        </w:rPr>
        <w:t xml:space="preserve"> </w:t>
      </w:r>
      <w:r>
        <w:rPr>
          <w:spacing w:val="-1"/>
        </w:rPr>
        <w:t>consent</w:t>
      </w:r>
      <w:r>
        <w:rPr>
          <w:spacing w:val="2"/>
        </w:rPr>
        <w:t xml:space="preserve"> </w:t>
      </w:r>
      <w:r>
        <w:rPr>
          <w:spacing w:val="-2"/>
        </w:rPr>
        <w:t>not</w:t>
      </w:r>
      <w:r>
        <w:t xml:space="preserve"> to</w:t>
      </w:r>
      <w:r>
        <w:rPr>
          <w:spacing w:val="-2"/>
        </w:rPr>
        <w:t xml:space="preserve"> </w:t>
      </w:r>
      <w:r>
        <w:rPr>
          <w:spacing w:val="-1"/>
        </w:rPr>
        <w:t>be</w:t>
      </w:r>
      <w:r>
        <w:t xml:space="preserve"> </w:t>
      </w:r>
      <w:r>
        <w:rPr>
          <w:spacing w:val="-2"/>
        </w:rPr>
        <w:t>unreasonably</w:t>
      </w:r>
      <w:r>
        <w:rPr>
          <w:spacing w:val="1"/>
        </w:rPr>
        <w:t xml:space="preserve"> </w:t>
      </w:r>
      <w:r>
        <w:rPr>
          <w:spacing w:val="-2"/>
        </w:rPr>
        <w:t>withheld</w:t>
      </w:r>
      <w:r>
        <w:t xml:space="preserve"> </w:t>
      </w:r>
      <w:r>
        <w:rPr>
          <w:spacing w:val="-1"/>
        </w:rPr>
        <w:t>or</w:t>
      </w:r>
      <w:r>
        <w:rPr>
          <w:spacing w:val="2"/>
        </w:rPr>
        <w:t xml:space="preserve"> </w:t>
      </w:r>
      <w:r>
        <w:rPr>
          <w:spacing w:val="-1"/>
        </w:rPr>
        <w:t>delayed).</w:t>
      </w:r>
    </w:p>
    <w:p w:rsidR="008918FA" w:rsidRDefault="008918FA" w:rsidP="008918FA">
      <w:pPr>
        <w:pStyle w:val="BodyText"/>
        <w:numPr>
          <w:ilvl w:val="1"/>
          <w:numId w:val="66"/>
        </w:numPr>
        <w:tabs>
          <w:tab w:val="left" w:pos="1234"/>
        </w:tabs>
        <w:ind w:left="1233" w:hanging="564"/>
      </w:pPr>
      <w:r>
        <w:t>The</w:t>
      </w:r>
      <w:r>
        <w:rPr>
          <w:spacing w:val="-2"/>
        </w:rPr>
        <w:t xml:space="preserve"> Supplier</w:t>
      </w:r>
      <w:r>
        <w:rPr>
          <w:spacing w:val="2"/>
        </w:rPr>
        <w:t xml:space="preserve"> </w:t>
      </w:r>
      <w:r>
        <w:rPr>
          <w:spacing w:val="-1"/>
        </w:rPr>
        <w:t>shall:</w:t>
      </w:r>
    </w:p>
    <w:p w:rsidR="008918FA" w:rsidRDefault="008918FA" w:rsidP="008918FA">
      <w:pPr>
        <w:pStyle w:val="BodyText"/>
        <w:numPr>
          <w:ilvl w:val="2"/>
          <w:numId w:val="66"/>
        </w:numPr>
        <w:tabs>
          <w:tab w:val="left" w:pos="2228"/>
        </w:tabs>
        <w:spacing w:before="121"/>
        <w:ind w:left="2227" w:right="113"/>
        <w:jc w:val="both"/>
      </w:pPr>
      <w:r>
        <w:rPr>
          <w:spacing w:val="-1"/>
        </w:rPr>
        <w:t>notify</w:t>
      </w:r>
      <w:r>
        <w:rPr>
          <w:spacing w:val="41"/>
        </w:rPr>
        <w:t xml:space="preserve"> </w:t>
      </w:r>
      <w:r>
        <w:t>the</w:t>
      </w:r>
      <w:r>
        <w:rPr>
          <w:spacing w:val="43"/>
        </w:rPr>
        <w:t xml:space="preserve"> </w:t>
      </w:r>
      <w:r>
        <w:rPr>
          <w:spacing w:val="-1"/>
        </w:rPr>
        <w:t>Customer</w:t>
      </w:r>
      <w:r>
        <w:rPr>
          <w:spacing w:val="45"/>
        </w:rPr>
        <w:t xml:space="preserve"> </w:t>
      </w:r>
      <w:r>
        <w:rPr>
          <w:spacing w:val="-1"/>
        </w:rPr>
        <w:t>promptly</w:t>
      </w:r>
      <w:r>
        <w:rPr>
          <w:spacing w:val="41"/>
        </w:rPr>
        <w:t xml:space="preserve"> </w:t>
      </w:r>
      <w:r>
        <w:rPr>
          <w:spacing w:val="-1"/>
        </w:rPr>
        <w:t>of</w:t>
      </w:r>
      <w:r>
        <w:rPr>
          <w:spacing w:val="47"/>
        </w:rPr>
        <w:t xml:space="preserve"> </w:t>
      </w:r>
      <w:r>
        <w:t>the</w:t>
      </w:r>
      <w:r>
        <w:rPr>
          <w:spacing w:val="43"/>
        </w:rPr>
        <w:t xml:space="preserve"> </w:t>
      </w:r>
      <w:r>
        <w:rPr>
          <w:spacing w:val="-1"/>
        </w:rPr>
        <w:t>absence</w:t>
      </w:r>
      <w:r>
        <w:rPr>
          <w:spacing w:val="45"/>
        </w:rPr>
        <w:t xml:space="preserve"> </w:t>
      </w:r>
      <w:r>
        <w:rPr>
          <w:spacing w:val="-2"/>
        </w:rPr>
        <w:t>of</w:t>
      </w:r>
      <w:r>
        <w:rPr>
          <w:spacing w:val="47"/>
        </w:rPr>
        <w:t xml:space="preserve"> </w:t>
      </w:r>
      <w:r>
        <w:rPr>
          <w:spacing w:val="-1"/>
        </w:rPr>
        <w:t>any</w:t>
      </w:r>
      <w:r>
        <w:rPr>
          <w:spacing w:val="41"/>
        </w:rPr>
        <w:t xml:space="preserve"> </w:t>
      </w:r>
      <w:r>
        <w:rPr>
          <w:spacing w:val="-1"/>
        </w:rPr>
        <w:t>Key</w:t>
      </w:r>
      <w:r>
        <w:rPr>
          <w:spacing w:val="44"/>
        </w:rPr>
        <w:t xml:space="preserve"> </w:t>
      </w:r>
      <w:r>
        <w:rPr>
          <w:spacing w:val="-1"/>
        </w:rPr>
        <w:t>Personnel</w:t>
      </w:r>
      <w:r>
        <w:rPr>
          <w:spacing w:val="34"/>
        </w:rPr>
        <w:t xml:space="preserve"> </w:t>
      </w:r>
      <w:r>
        <w:rPr>
          <w:spacing w:val="-1"/>
        </w:rPr>
        <w:t>(other</w:t>
      </w:r>
      <w:r>
        <w:rPr>
          <w:spacing w:val="2"/>
        </w:rPr>
        <w:t xml:space="preserve"> </w:t>
      </w:r>
      <w:r>
        <w:rPr>
          <w:spacing w:val="-1"/>
        </w:rPr>
        <w:t>than</w:t>
      </w:r>
      <w:r>
        <w:rPr>
          <w:spacing w:val="-2"/>
        </w:rPr>
        <w:t xml:space="preserve"> </w:t>
      </w:r>
      <w:r>
        <w:t>for</w:t>
      </w:r>
      <w:r>
        <w:rPr>
          <w:spacing w:val="2"/>
        </w:rPr>
        <w:t xml:space="preserve"> </w:t>
      </w:r>
      <w:r>
        <w:rPr>
          <w:spacing w:val="-1"/>
        </w:rPr>
        <w:t>short-term sickness or</w:t>
      </w:r>
      <w:r>
        <w:rPr>
          <w:spacing w:val="2"/>
        </w:rPr>
        <w:t xml:space="preserve"> </w:t>
      </w:r>
      <w:r>
        <w:rPr>
          <w:spacing w:val="-2"/>
        </w:rPr>
        <w:t>holidays</w:t>
      </w:r>
      <w:r>
        <w:rPr>
          <w:spacing w:val="1"/>
        </w:rPr>
        <w:t xml:space="preserve"> </w:t>
      </w:r>
      <w:r>
        <w:rPr>
          <w:spacing w:val="-1"/>
        </w:rPr>
        <w:t>of</w:t>
      </w:r>
      <w:r>
        <w:rPr>
          <w:spacing w:val="2"/>
        </w:rPr>
        <w:t xml:space="preserve"> </w:t>
      </w:r>
      <w:r>
        <w:rPr>
          <w:spacing w:val="-2"/>
        </w:rPr>
        <w:t>two</w:t>
      </w:r>
      <w:r>
        <w:t xml:space="preserve"> </w:t>
      </w:r>
      <w:r>
        <w:rPr>
          <w:spacing w:val="-1"/>
        </w:rPr>
        <w:t>(2)</w:t>
      </w:r>
      <w:r>
        <w:rPr>
          <w:spacing w:val="2"/>
        </w:rPr>
        <w:t xml:space="preserve"> </w:t>
      </w:r>
      <w:r>
        <w:rPr>
          <w:spacing w:val="-1"/>
        </w:rPr>
        <w:t>weeks</w:t>
      </w:r>
      <w:r>
        <w:rPr>
          <w:spacing w:val="1"/>
        </w:rPr>
        <w:t xml:space="preserve"> </w:t>
      </w:r>
      <w:r>
        <w:rPr>
          <w:spacing w:val="-1"/>
        </w:rPr>
        <w:t>or</w:t>
      </w:r>
      <w:r>
        <w:rPr>
          <w:spacing w:val="2"/>
        </w:rPr>
        <w:t xml:space="preserve"> </w:t>
      </w:r>
      <w:r>
        <w:rPr>
          <w:spacing w:val="-2"/>
        </w:rPr>
        <w:t>less,</w:t>
      </w:r>
      <w:r>
        <w:rPr>
          <w:spacing w:val="52"/>
        </w:rPr>
        <w:t xml:space="preserve"> </w:t>
      </w:r>
      <w:r>
        <w:rPr>
          <w:spacing w:val="-1"/>
        </w:rPr>
        <w:t>in</w:t>
      </w:r>
      <w:r>
        <w:rPr>
          <w:spacing w:val="34"/>
        </w:rPr>
        <w:t xml:space="preserve"> </w:t>
      </w:r>
      <w:r>
        <w:rPr>
          <w:spacing w:val="-2"/>
        </w:rPr>
        <w:t>which</w:t>
      </w:r>
      <w:r>
        <w:rPr>
          <w:spacing w:val="32"/>
        </w:rPr>
        <w:t xml:space="preserve"> </w:t>
      </w:r>
      <w:r>
        <w:rPr>
          <w:spacing w:val="-1"/>
        </w:rPr>
        <w:t>case</w:t>
      </w:r>
      <w:r>
        <w:rPr>
          <w:spacing w:val="32"/>
        </w:rPr>
        <w:t xml:space="preserve"> </w:t>
      </w:r>
      <w:r>
        <w:t>the</w:t>
      </w:r>
      <w:r>
        <w:rPr>
          <w:spacing w:val="31"/>
        </w:rPr>
        <w:t xml:space="preserve"> </w:t>
      </w:r>
      <w:r>
        <w:rPr>
          <w:spacing w:val="-1"/>
        </w:rPr>
        <w:t>Supplier</w:t>
      </w:r>
      <w:r>
        <w:rPr>
          <w:spacing w:val="33"/>
        </w:rPr>
        <w:t xml:space="preserve"> </w:t>
      </w:r>
      <w:r>
        <w:rPr>
          <w:spacing w:val="-1"/>
        </w:rPr>
        <w:t>shall</w:t>
      </w:r>
      <w:r>
        <w:rPr>
          <w:spacing w:val="31"/>
        </w:rPr>
        <w:t xml:space="preserve"> </w:t>
      </w:r>
      <w:r>
        <w:rPr>
          <w:spacing w:val="-1"/>
        </w:rPr>
        <w:t>ensure</w:t>
      </w:r>
      <w:r>
        <w:rPr>
          <w:spacing w:val="32"/>
        </w:rPr>
        <w:t xml:space="preserve"> </w:t>
      </w:r>
      <w:r>
        <w:rPr>
          <w:spacing w:val="-1"/>
        </w:rPr>
        <w:t>appropriate</w:t>
      </w:r>
      <w:r>
        <w:rPr>
          <w:spacing w:val="31"/>
        </w:rPr>
        <w:t xml:space="preserve"> </w:t>
      </w:r>
      <w:r>
        <w:rPr>
          <w:spacing w:val="-1"/>
        </w:rPr>
        <w:t>temporary</w:t>
      </w:r>
      <w:r>
        <w:rPr>
          <w:spacing w:val="30"/>
        </w:rPr>
        <w:t xml:space="preserve"> </w:t>
      </w:r>
      <w:r>
        <w:rPr>
          <w:spacing w:val="-2"/>
        </w:rPr>
        <w:t>cover</w:t>
      </w:r>
      <w:r>
        <w:rPr>
          <w:spacing w:val="40"/>
        </w:rPr>
        <w:t xml:space="preserve"> </w:t>
      </w:r>
      <w:r>
        <w:t>for</w:t>
      </w:r>
      <w:r>
        <w:rPr>
          <w:spacing w:val="-1"/>
        </w:rPr>
        <w:t xml:space="preserve"> that</w:t>
      </w:r>
      <w:r>
        <w:rPr>
          <w:spacing w:val="2"/>
        </w:rPr>
        <w:t xml:space="preserve"> </w:t>
      </w:r>
      <w:r>
        <w:rPr>
          <w:spacing w:val="-1"/>
        </w:rPr>
        <w:t>Key</w:t>
      </w:r>
      <w:r>
        <w:rPr>
          <w:spacing w:val="-2"/>
        </w:rPr>
        <w:t xml:space="preserve"> </w:t>
      </w:r>
      <w:r>
        <w:rPr>
          <w:spacing w:val="-1"/>
        </w:rPr>
        <w:t>Role);</w:t>
      </w:r>
    </w:p>
    <w:p w:rsidR="008918FA" w:rsidRDefault="008918FA" w:rsidP="008918FA">
      <w:pPr>
        <w:pStyle w:val="BodyText"/>
        <w:numPr>
          <w:ilvl w:val="2"/>
          <w:numId w:val="66"/>
        </w:numPr>
        <w:tabs>
          <w:tab w:val="left" w:pos="2228"/>
        </w:tabs>
        <w:ind w:right="111" w:hanging="993"/>
        <w:jc w:val="both"/>
      </w:pPr>
      <w:r>
        <w:rPr>
          <w:spacing w:val="-1"/>
        </w:rPr>
        <w:t>ensure</w:t>
      </w:r>
      <w:r>
        <w:rPr>
          <w:spacing w:val="31"/>
        </w:rPr>
        <w:t xml:space="preserve"> </w:t>
      </w:r>
      <w:r>
        <w:rPr>
          <w:spacing w:val="-1"/>
        </w:rPr>
        <w:t>that</w:t>
      </w:r>
      <w:r>
        <w:rPr>
          <w:spacing w:val="33"/>
        </w:rPr>
        <w:t xml:space="preserve"> </w:t>
      </w:r>
      <w:r>
        <w:rPr>
          <w:spacing w:val="-1"/>
        </w:rPr>
        <w:t>any</w:t>
      </w:r>
      <w:r>
        <w:rPr>
          <w:spacing w:val="32"/>
        </w:rPr>
        <w:t xml:space="preserve"> </w:t>
      </w:r>
      <w:r>
        <w:rPr>
          <w:spacing w:val="-1"/>
        </w:rPr>
        <w:t>Key</w:t>
      </w:r>
      <w:r>
        <w:rPr>
          <w:spacing w:val="32"/>
        </w:rPr>
        <w:t xml:space="preserve"> </w:t>
      </w:r>
      <w:r>
        <w:rPr>
          <w:spacing w:val="-1"/>
        </w:rPr>
        <w:t>Role</w:t>
      </w:r>
      <w:r>
        <w:rPr>
          <w:spacing w:val="34"/>
        </w:rPr>
        <w:t xml:space="preserve"> </w:t>
      </w:r>
      <w:r>
        <w:rPr>
          <w:spacing w:val="-1"/>
        </w:rPr>
        <w:t>is</w:t>
      </w:r>
      <w:r>
        <w:rPr>
          <w:spacing w:val="35"/>
        </w:rPr>
        <w:t xml:space="preserve"> </w:t>
      </w:r>
      <w:r>
        <w:rPr>
          <w:spacing w:val="-1"/>
        </w:rPr>
        <w:t>not</w:t>
      </w:r>
      <w:r>
        <w:rPr>
          <w:spacing w:val="36"/>
        </w:rPr>
        <w:t xml:space="preserve"> </w:t>
      </w:r>
      <w:r>
        <w:rPr>
          <w:spacing w:val="-1"/>
        </w:rPr>
        <w:t>vacant</w:t>
      </w:r>
      <w:r>
        <w:rPr>
          <w:spacing w:val="33"/>
        </w:rPr>
        <w:t xml:space="preserve"> </w:t>
      </w:r>
      <w:r>
        <w:t>for</w:t>
      </w:r>
      <w:r>
        <w:rPr>
          <w:spacing w:val="33"/>
        </w:rPr>
        <w:t xml:space="preserve"> </w:t>
      </w:r>
      <w:r>
        <w:rPr>
          <w:spacing w:val="-1"/>
        </w:rPr>
        <w:t>any</w:t>
      </w:r>
      <w:r>
        <w:rPr>
          <w:spacing w:val="32"/>
        </w:rPr>
        <w:t xml:space="preserve"> </w:t>
      </w:r>
      <w:r>
        <w:rPr>
          <w:spacing w:val="-1"/>
        </w:rPr>
        <w:t>longer</w:t>
      </w:r>
      <w:r>
        <w:rPr>
          <w:spacing w:val="35"/>
        </w:rPr>
        <w:t xml:space="preserve"> </w:t>
      </w:r>
      <w:r>
        <w:rPr>
          <w:spacing w:val="-1"/>
        </w:rPr>
        <w:t>than</w:t>
      </w:r>
      <w:r>
        <w:rPr>
          <w:spacing w:val="34"/>
        </w:rPr>
        <w:t xml:space="preserve"> </w:t>
      </w:r>
      <w:r>
        <w:t>ten</w:t>
      </w:r>
      <w:r>
        <w:rPr>
          <w:spacing w:val="32"/>
        </w:rPr>
        <w:t xml:space="preserve"> </w:t>
      </w:r>
      <w:r>
        <w:rPr>
          <w:spacing w:val="-1"/>
        </w:rPr>
        <w:t>(10)</w:t>
      </w:r>
      <w:r>
        <w:rPr>
          <w:spacing w:val="31"/>
        </w:rPr>
        <w:t xml:space="preserve"> </w:t>
      </w:r>
      <w:r>
        <w:rPr>
          <w:spacing w:val="-1"/>
        </w:rPr>
        <w:t>Working</w:t>
      </w:r>
      <w:r>
        <w:rPr>
          <w:spacing w:val="3"/>
        </w:rPr>
        <w:t xml:space="preserve"> </w:t>
      </w:r>
      <w:r>
        <w:rPr>
          <w:spacing w:val="-3"/>
        </w:rPr>
        <w:t>Days;</w:t>
      </w:r>
    </w:p>
    <w:p w:rsidR="008918FA" w:rsidRDefault="008918FA" w:rsidP="008918FA">
      <w:pPr>
        <w:pStyle w:val="BodyText"/>
        <w:numPr>
          <w:ilvl w:val="2"/>
          <w:numId w:val="66"/>
        </w:numPr>
        <w:tabs>
          <w:tab w:val="left" w:pos="2227"/>
        </w:tabs>
        <w:ind w:right="111" w:hanging="993"/>
        <w:jc w:val="both"/>
      </w:pPr>
      <w:r>
        <w:rPr>
          <w:spacing w:val="-1"/>
        </w:rPr>
        <w:t>give</w:t>
      </w:r>
      <w:r>
        <w:rPr>
          <w:spacing w:val="48"/>
        </w:rPr>
        <w:t xml:space="preserve"> </w:t>
      </w:r>
      <w:r>
        <w:rPr>
          <w:spacing w:val="-1"/>
        </w:rPr>
        <w:t>as</w:t>
      </w:r>
      <w:r>
        <w:rPr>
          <w:spacing w:val="49"/>
        </w:rPr>
        <w:t xml:space="preserve"> </w:t>
      </w:r>
      <w:r>
        <w:rPr>
          <w:spacing w:val="-1"/>
        </w:rPr>
        <w:t>much</w:t>
      </w:r>
      <w:r>
        <w:rPr>
          <w:spacing w:val="49"/>
        </w:rPr>
        <w:t xml:space="preserve"> </w:t>
      </w:r>
      <w:r>
        <w:rPr>
          <w:spacing w:val="-1"/>
        </w:rPr>
        <w:t>notice</w:t>
      </w:r>
      <w:r>
        <w:rPr>
          <w:spacing w:val="49"/>
        </w:rPr>
        <w:t xml:space="preserve"> </w:t>
      </w:r>
      <w:r>
        <w:rPr>
          <w:spacing w:val="-1"/>
        </w:rPr>
        <w:t>as</w:t>
      </w:r>
      <w:r>
        <w:rPr>
          <w:spacing w:val="46"/>
        </w:rPr>
        <w:t xml:space="preserve"> </w:t>
      </w:r>
      <w:r>
        <w:rPr>
          <w:spacing w:val="-1"/>
        </w:rPr>
        <w:t>is</w:t>
      </w:r>
      <w:r>
        <w:rPr>
          <w:spacing w:val="49"/>
        </w:rPr>
        <w:t xml:space="preserve"> </w:t>
      </w:r>
      <w:r>
        <w:rPr>
          <w:spacing w:val="-1"/>
        </w:rPr>
        <w:t>reasonably</w:t>
      </w:r>
      <w:r>
        <w:rPr>
          <w:spacing w:val="47"/>
        </w:rPr>
        <w:t xml:space="preserve"> </w:t>
      </w:r>
      <w:r>
        <w:rPr>
          <w:spacing w:val="-1"/>
        </w:rPr>
        <w:t>practicable</w:t>
      </w:r>
      <w:r>
        <w:rPr>
          <w:spacing w:val="48"/>
        </w:rPr>
        <w:t xml:space="preserve"> </w:t>
      </w:r>
      <w:r>
        <w:rPr>
          <w:spacing w:val="-1"/>
        </w:rPr>
        <w:t>of</w:t>
      </w:r>
      <w:r>
        <w:rPr>
          <w:spacing w:val="52"/>
        </w:rPr>
        <w:t xml:space="preserve"> </w:t>
      </w:r>
      <w:r>
        <w:rPr>
          <w:spacing w:val="-1"/>
        </w:rPr>
        <w:t>its</w:t>
      </w:r>
      <w:r>
        <w:rPr>
          <w:spacing w:val="49"/>
        </w:rPr>
        <w:t xml:space="preserve"> </w:t>
      </w:r>
      <w:r>
        <w:rPr>
          <w:spacing w:val="-1"/>
        </w:rPr>
        <w:t>intention</w:t>
      </w:r>
      <w:r>
        <w:rPr>
          <w:spacing w:val="48"/>
        </w:rPr>
        <w:t xml:space="preserve"> </w:t>
      </w:r>
      <w:r>
        <w:t>to</w:t>
      </w:r>
      <w:r>
        <w:rPr>
          <w:spacing w:val="21"/>
        </w:rPr>
        <w:t xml:space="preserve"> </w:t>
      </w:r>
      <w:r>
        <w:rPr>
          <w:spacing w:val="-1"/>
        </w:rPr>
        <w:t>remove</w:t>
      </w:r>
      <w:r>
        <w:rPr>
          <w:spacing w:val="29"/>
        </w:rPr>
        <w:t xml:space="preserve"> </w:t>
      </w:r>
      <w:r>
        <w:rPr>
          <w:spacing w:val="-1"/>
        </w:rPr>
        <w:t>or</w:t>
      </w:r>
      <w:r>
        <w:rPr>
          <w:spacing w:val="30"/>
        </w:rPr>
        <w:t xml:space="preserve"> </w:t>
      </w:r>
      <w:r>
        <w:rPr>
          <w:spacing w:val="-1"/>
        </w:rPr>
        <w:t>replace</w:t>
      </w:r>
      <w:r>
        <w:rPr>
          <w:spacing w:val="30"/>
        </w:rPr>
        <w:t xml:space="preserve"> </w:t>
      </w:r>
      <w:r>
        <w:rPr>
          <w:spacing w:val="-1"/>
        </w:rPr>
        <w:t>any</w:t>
      </w:r>
      <w:r>
        <w:rPr>
          <w:spacing w:val="27"/>
        </w:rPr>
        <w:t xml:space="preserve"> </w:t>
      </w:r>
      <w:r>
        <w:rPr>
          <w:spacing w:val="-1"/>
        </w:rPr>
        <w:t>member</w:t>
      </w:r>
      <w:r>
        <w:rPr>
          <w:spacing w:val="30"/>
        </w:rPr>
        <w:t xml:space="preserve"> </w:t>
      </w:r>
      <w:r>
        <w:rPr>
          <w:spacing w:val="-2"/>
        </w:rPr>
        <w:t>of</w:t>
      </w:r>
      <w:r>
        <w:rPr>
          <w:spacing w:val="33"/>
        </w:rPr>
        <w:t xml:space="preserve"> </w:t>
      </w:r>
      <w:r>
        <w:rPr>
          <w:spacing w:val="-1"/>
        </w:rPr>
        <w:t>Key</w:t>
      </w:r>
      <w:r>
        <w:rPr>
          <w:spacing w:val="27"/>
        </w:rPr>
        <w:t xml:space="preserve"> </w:t>
      </w:r>
      <w:r>
        <w:rPr>
          <w:spacing w:val="-1"/>
        </w:rPr>
        <w:t>Personnel</w:t>
      </w:r>
      <w:r>
        <w:rPr>
          <w:spacing w:val="28"/>
        </w:rPr>
        <w:t xml:space="preserve"> </w:t>
      </w:r>
      <w:r>
        <w:rPr>
          <w:spacing w:val="-1"/>
        </w:rPr>
        <w:t>and,</w:t>
      </w:r>
      <w:r>
        <w:rPr>
          <w:spacing w:val="30"/>
        </w:rPr>
        <w:t xml:space="preserve"> </w:t>
      </w:r>
      <w:r>
        <w:rPr>
          <w:spacing w:val="-1"/>
        </w:rPr>
        <w:t>except</w:t>
      </w:r>
      <w:r>
        <w:rPr>
          <w:spacing w:val="30"/>
        </w:rPr>
        <w:t xml:space="preserve"> </w:t>
      </w:r>
      <w:r>
        <w:rPr>
          <w:spacing w:val="-1"/>
        </w:rPr>
        <w:t>in</w:t>
      </w:r>
      <w:r>
        <w:rPr>
          <w:spacing w:val="29"/>
        </w:rPr>
        <w:t xml:space="preserve"> </w:t>
      </w:r>
      <w:r>
        <w:rPr>
          <w:spacing w:val="-1"/>
        </w:rPr>
        <w:t>the</w:t>
      </w:r>
      <w:r>
        <w:rPr>
          <w:spacing w:val="22"/>
        </w:rPr>
        <w:t xml:space="preserve"> </w:t>
      </w:r>
      <w:r>
        <w:rPr>
          <w:spacing w:val="-1"/>
        </w:rPr>
        <w:t>cases</w:t>
      </w:r>
      <w:r>
        <w:rPr>
          <w:spacing w:val="25"/>
        </w:rPr>
        <w:t xml:space="preserve"> </w:t>
      </w:r>
      <w:r>
        <w:rPr>
          <w:spacing w:val="-2"/>
        </w:rPr>
        <w:t>of</w:t>
      </w:r>
      <w:r>
        <w:rPr>
          <w:spacing w:val="26"/>
        </w:rPr>
        <w:t xml:space="preserve"> </w:t>
      </w:r>
      <w:r>
        <w:rPr>
          <w:spacing w:val="-1"/>
        </w:rPr>
        <w:t>death,</w:t>
      </w:r>
      <w:r>
        <w:rPr>
          <w:spacing w:val="26"/>
        </w:rPr>
        <w:t xml:space="preserve"> </w:t>
      </w:r>
      <w:r>
        <w:rPr>
          <w:spacing w:val="-1"/>
        </w:rPr>
        <w:t>unexpected</w:t>
      </w:r>
      <w:r>
        <w:rPr>
          <w:spacing w:val="24"/>
        </w:rPr>
        <w:t xml:space="preserve"> </w:t>
      </w:r>
      <w:r>
        <w:rPr>
          <w:spacing w:val="-2"/>
        </w:rPr>
        <w:t>ill</w:t>
      </w:r>
      <w:r>
        <w:rPr>
          <w:spacing w:val="24"/>
        </w:rPr>
        <w:t xml:space="preserve"> </w:t>
      </w:r>
      <w:r>
        <w:rPr>
          <w:spacing w:val="-1"/>
        </w:rPr>
        <w:t>health</w:t>
      </w:r>
      <w:r>
        <w:rPr>
          <w:spacing w:val="24"/>
        </w:rPr>
        <w:t xml:space="preserve"> </w:t>
      </w:r>
      <w:r>
        <w:rPr>
          <w:spacing w:val="-1"/>
        </w:rPr>
        <w:t>or</w:t>
      </w:r>
      <w:r>
        <w:rPr>
          <w:spacing w:val="23"/>
        </w:rPr>
        <w:t xml:space="preserve"> </w:t>
      </w:r>
      <w:r>
        <w:t>a</w:t>
      </w:r>
      <w:r>
        <w:rPr>
          <w:spacing w:val="24"/>
        </w:rPr>
        <w:t xml:space="preserve"> </w:t>
      </w:r>
      <w:r>
        <w:rPr>
          <w:spacing w:val="-1"/>
        </w:rPr>
        <w:t>material</w:t>
      </w:r>
      <w:r>
        <w:rPr>
          <w:spacing w:val="24"/>
        </w:rPr>
        <w:t xml:space="preserve"> </w:t>
      </w:r>
      <w:r>
        <w:rPr>
          <w:spacing w:val="-1"/>
        </w:rPr>
        <w:t>breach</w:t>
      </w:r>
      <w:r>
        <w:rPr>
          <w:spacing w:val="25"/>
        </w:rPr>
        <w:t xml:space="preserve"> </w:t>
      </w:r>
      <w:r>
        <w:rPr>
          <w:spacing w:val="-2"/>
        </w:rPr>
        <w:t>of</w:t>
      </w:r>
      <w:r>
        <w:rPr>
          <w:spacing w:val="26"/>
        </w:rPr>
        <w:t xml:space="preserve"> </w:t>
      </w:r>
      <w:r>
        <w:t>the</w:t>
      </w:r>
      <w:r>
        <w:rPr>
          <w:spacing w:val="22"/>
        </w:rPr>
        <w:t xml:space="preserve"> </w:t>
      </w:r>
      <w:r>
        <w:t>Key</w:t>
      </w:r>
      <w:r>
        <w:rPr>
          <w:spacing w:val="31"/>
        </w:rPr>
        <w:t xml:space="preserve"> </w:t>
      </w:r>
      <w:r>
        <w:rPr>
          <w:spacing w:val="-1"/>
        </w:rPr>
        <w:t>Personnel’s</w:t>
      </w:r>
      <w:r>
        <w:rPr>
          <w:spacing w:val="2"/>
        </w:rPr>
        <w:t xml:space="preserve"> </w:t>
      </w:r>
      <w:r>
        <w:rPr>
          <w:spacing w:val="-2"/>
        </w:rPr>
        <w:t>employment</w:t>
      </w:r>
      <w:r>
        <w:rPr>
          <w:spacing w:val="3"/>
        </w:rPr>
        <w:t xml:space="preserve"> </w:t>
      </w:r>
      <w:r>
        <w:rPr>
          <w:spacing w:val="-1"/>
        </w:rPr>
        <w:t>contract,</w:t>
      </w:r>
      <w:r>
        <w:rPr>
          <w:spacing w:val="1"/>
        </w:rPr>
        <w:t xml:space="preserve"> </w:t>
      </w:r>
      <w:r>
        <w:rPr>
          <w:spacing w:val="-1"/>
        </w:rPr>
        <w:t>this</w:t>
      </w:r>
      <w:r>
        <w:rPr>
          <w:spacing w:val="2"/>
        </w:rPr>
        <w:t xml:space="preserve"> </w:t>
      </w:r>
      <w:r>
        <w:rPr>
          <w:spacing w:val="-2"/>
        </w:rPr>
        <w:t>will</w:t>
      </w:r>
      <w:r>
        <w:rPr>
          <w:spacing w:val="1"/>
        </w:rPr>
        <w:t xml:space="preserve"> </w:t>
      </w:r>
      <w:r>
        <w:rPr>
          <w:spacing w:val="-1"/>
        </w:rPr>
        <w:t>mean</w:t>
      </w:r>
      <w:r>
        <w:rPr>
          <w:spacing w:val="2"/>
        </w:rPr>
        <w:t xml:space="preserve"> </w:t>
      </w:r>
      <w:r>
        <w:rPr>
          <w:spacing w:val="-1"/>
        </w:rPr>
        <w:t>at</w:t>
      </w:r>
      <w:r>
        <w:rPr>
          <w:spacing w:val="3"/>
        </w:rPr>
        <w:t xml:space="preserve"> </w:t>
      </w:r>
      <w:r>
        <w:rPr>
          <w:spacing w:val="-2"/>
        </w:rPr>
        <w:t>least</w:t>
      </w:r>
      <w:r>
        <w:rPr>
          <w:spacing w:val="1"/>
        </w:rPr>
        <w:t xml:space="preserve"> </w:t>
      </w:r>
      <w:r>
        <w:rPr>
          <w:spacing w:val="-1"/>
        </w:rPr>
        <w:t>three</w:t>
      </w:r>
      <w:r>
        <w:rPr>
          <w:spacing w:val="60"/>
        </w:rPr>
        <w:t xml:space="preserve"> </w:t>
      </w:r>
      <w:r>
        <w:rPr>
          <w:spacing w:val="-1"/>
        </w:rPr>
        <w:t>(3)</w:t>
      </w:r>
      <w:r>
        <w:rPr>
          <w:spacing w:val="50"/>
        </w:rPr>
        <w:t xml:space="preserve"> </w:t>
      </w:r>
      <w:r>
        <w:rPr>
          <w:spacing w:val="-1"/>
        </w:rPr>
        <w:t>Months’</w:t>
      </w:r>
      <w:r>
        <w:t xml:space="preserve"> </w:t>
      </w:r>
      <w:r>
        <w:rPr>
          <w:spacing w:val="-1"/>
        </w:rPr>
        <w:t>notice;</w:t>
      </w:r>
    </w:p>
    <w:p w:rsidR="008918FA" w:rsidRDefault="008918FA" w:rsidP="008918FA">
      <w:pPr>
        <w:pStyle w:val="BodyText"/>
        <w:numPr>
          <w:ilvl w:val="2"/>
          <w:numId w:val="66"/>
        </w:numPr>
        <w:tabs>
          <w:tab w:val="left" w:pos="2227"/>
        </w:tabs>
        <w:ind w:right="111" w:hanging="993"/>
        <w:jc w:val="both"/>
      </w:pPr>
      <w:r>
        <w:rPr>
          <w:spacing w:val="-1"/>
        </w:rPr>
        <w:t>ensure</w:t>
      </w:r>
      <w:r>
        <w:rPr>
          <w:spacing w:val="36"/>
        </w:rPr>
        <w:t xml:space="preserve"> </w:t>
      </w:r>
      <w:r>
        <w:rPr>
          <w:spacing w:val="-1"/>
        </w:rPr>
        <w:t>that</w:t>
      </w:r>
      <w:r>
        <w:rPr>
          <w:spacing w:val="38"/>
        </w:rPr>
        <w:t xml:space="preserve"> </w:t>
      </w:r>
      <w:r>
        <w:rPr>
          <w:spacing w:val="-1"/>
        </w:rPr>
        <w:t>all</w:t>
      </w:r>
      <w:r>
        <w:rPr>
          <w:spacing w:val="36"/>
        </w:rPr>
        <w:t xml:space="preserve"> </w:t>
      </w:r>
      <w:r>
        <w:rPr>
          <w:spacing w:val="-1"/>
        </w:rPr>
        <w:t>arrangements</w:t>
      </w:r>
      <w:r>
        <w:rPr>
          <w:spacing w:val="34"/>
        </w:rPr>
        <w:t xml:space="preserve"> </w:t>
      </w:r>
      <w:r>
        <w:t>for</w:t>
      </w:r>
      <w:r>
        <w:rPr>
          <w:spacing w:val="38"/>
        </w:rPr>
        <w:t xml:space="preserve"> </w:t>
      </w:r>
      <w:r>
        <w:rPr>
          <w:spacing w:val="-1"/>
        </w:rPr>
        <w:t>planned</w:t>
      </w:r>
      <w:r>
        <w:rPr>
          <w:spacing w:val="36"/>
        </w:rPr>
        <w:t xml:space="preserve"> </w:t>
      </w:r>
      <w:r>
        <w:rPr>
          <w:spacing w:val="-1"/>
        </w:rPr>
        <w:t>changes</w:t>
      </w:r>
      <w:r>
        <w:rPr>
          <w:spacing w:val="38"/>
        </w:rPr>
        <w:t xml:space="preserve"> </w:t>
      </w:r>
      <w:r>
        <w:rPr>
          <w:spacing w:val="-1"/>
        </w:rPr>
        <w:t>in</w:t>
      </w:r>
      <w:r>
        <w:rPr>
          <w:spacing w:val="36"/>
        </w:rPr>
        <w:t xml:space="preserve"> </w:t>
      </w:r>
      <w:r>
        <w:rPr>
          <w:spacing w:val="-1"/>
        </w:rPr>
        <w:t>Key</w:t>
      </w:r>
      <w:r>
        <w:rPr>
          <w:spacing w:val="34"/>
        </w:rPr>
        <w:t xml:space="preserve"> </w:t>
      </w:r>
      <w:r>
        <w:rPr>
          <w:spacing w:val="-1"/>
        </w:rPr>
        <w:t>Personnel</w:t>
      </w:r>
      <w:r>
        <w:rPr>
          <w:spacing w:val="38"/>
        </w:rPr>
        <w:t xml:space="preserve"> </w:t>
      </w:r>
      <w:r>
        <w:rPr>
          <w:spacing w:val="-2"/>
        </w:rPr>
        <w:t>provide</w:t>
      </w:r>
      <w:r>
        <w:rPr>
          <w:spacing w:val="61"/>
        </w:rPr>
        <w:t xml:space="preserve"> </w:t>
      </w:r>
      <w:r>
        <w:rPr>
          <w:spacing w:val="-1"/>
        </w:rPr>
        <w:t>adequate</w:t>
      </w:r>
      <w:r>
        <w:t xml:space="preserve"> </w:t>
      </w:r>
      <w:r>
        <w:rPr>
          <w:spacing w:val="-2"/>
        </w:rPr>
        <w:t>periods</w:t>
      </w:r>
      <w:r>
        <w:rPr>
          <w:spacing w:val="1"/>
        </w:rPr>
        <w:t xml:space="preserve"> </w:t>
      </w:r>
      <w:r>
        <w:rPr>
          <w:spacing w:val="-1"/>
        </w:rPr>
        <w:t>during</w:t>
      </w:r>
      <w:r>
        <w:rPr>
          <w:spacing w:val="3"/>
        </w:rPr>
        <w:t xml:space="preserve"> </w:t>
      </w:r>
      <w:r>
        <w:rPr>
          <w:spacing w:val="-2"/>
        </w:rPr>
        <w:t>which</w:t>
      </w:r>
      <w:r>
        <w:rPr>
          <w:spacing w:val="1"/>
        </w:rPr>
        <w:t xml:space="preserve"> </w:t>
      </w:r>
      <w:r>
        <w:rPr>
          <w:spacing w:val="-1"/>
        </w:rPr>
        <w:t>incoming</w:t>
      </w:r>
      <w:r>
        <w:rPr>
          <w:spacing w:val="3"/>
        </w:rPr>
        <w:t xml:space="preserve"> </w:t>
      </w:r>
      <w:r>
        <w:rPr>
          <w:spacing w:val="-1"/>
        </w:rPr>
        <w:t>and</w:t>
      </w:r>
      <w:r>
        <w:t xml:space="preserve">  </w:t>
      </w:r>
      <w:r>
        <w:rPr>
          <w:spacing w:val="-2"/>
        </w:rPr>
        <w:t>outgoing</w:t>
      </w:r>
      <w:r>
        <w:rPr>
          <w:spacing w:val="64"/>
        </w:rPr>
        <w:t xml:space="preserve"> </w:t>
      </w:r>
      <w:r>
        <w:rPr>
          <w:spacing w:val="-1"/>
        </w:rPr>
        <w:t>personnel</w:t>
      </w:r>
      <w:r>
        <w:rPr>
          <w:spacing w:val="50"/>
        </w:rPr>
        <w:t xml:space="preserve"> </w:t>
      </w:r>
      <w:r>
        <w:rPr>
          <w:spacing w:val="-2"/>
        </w:rPr>
        <w:t>work</w:t>
      </w:r>
      <w:r>
        <w:rPr>
          <w:spacing w:val="53"/>
        </w:rPr>
        <w:t xml:space="preserve"> </w:t>
      </w:r>
      <w:r>
        <w:rPr>
          <w:spacing w:val="-1"/>
        </w:rPr>
        <w:t>together</w:t>
      </w:r>
      <w:r>
        <w:rPr>
          <w:spacing w:val="52"/>
        </w:rPr>
        <w:t xml:space="preserve"> </w:t>
      </w:r>
      <w:r>
        <w:t>to</w:t>
      </w:r>
      <w:r>
        <w:rPr>
          <w:spacing w:val="51"/>
        </w:rPr>
        <w:t xml:space="preserve"> </w:t>
      </w:r>
      <w:r>
        <w:rPr>
          <w:spacing w:val="-1"/>
        </w:rPr>
        <w:t>transfer</w:t>
      </w:r>
      <w:r>
        <w:rPr>
          <w:spacing w:val="52"/>
        </w:rPr>
        <w:t xml:space="preserve"> </w:t>
      </w:r>
      <w:r>
        <w:rPr>
          <w:spacing w:val="-1"/>
        </w:rPr>
        <w:t>responsibilities</w:t>
      </w:r>
      <w:r>
        <w:rPr>
          <w:spacing w:val="51"/>
        </w:rPr>
        <w:t xml:space="preserve"> </w:t>
      </w:r>
      <w:r>
        <w:rPr>
          <w:spacing w:val="-1"/>
        </w:rPr>
        <w:t>and</w:t>
      </w:r>
      <w:r>
        <w:rPr>
          <w:spacing w:val="52"/>
        </w:rPr>
        <w:t xml:space="preserve"> </w:t>
      </w:r>
      <w:r>
        <w:rPr>
          <w:spacing w:val="-1"/>
        </w:rPr>
        <w:t>ensure</w:t>
      </w:r>
      <w:r>
        <w:rPr>
          <w:spacing w:val="51"/>
        </w:rPr>
        <w:t xml:space="preserve"> </w:t>
      </w:r>
      <w:r>
        <w:rPr>
          <w:spacing w:val="-1"/>
        </w:rPr>
        <w:t>that</w:t>
      </w:r>
      <w:r>
        <w:rPr>
          <w:spacing w:val="37"/>
        </w:rPr>
        <w:t xml:space="preserve"> </w:t>
      </w:r>
      <w:r>
        <w:rPr>
          <w:spacing w:val="-1"/>
        </w:rPr>
        <w:t>such</w:t>
      </w:r>
      <w:r>
        <w:rPr>
          <w:spacing w:val="13"/>
        </w:rPr>
        <w:t xml:space="preserve"> </w:t>
      </w:r>
      <w:r>
        <w:rPr>
          <w:spacing w:val="-1"/>
        </w:rPr>
        <w:t>change</w:t>
      </w:r>
      <w:r>
        <w:rPr>
          <w:spacing w:val="12"/>
        </w:rPr>
        <w:t xml:space="preserve"> </w:t>
      </w:r>
      <w:r>
        <w:rPr>
          <w:spacing w:val="-2"/>
        </w:rPr>
        <w:t>does</w:t>
      </w:r>
      <w:r>
        <w:rPr>
          <w:spacing w:val="13"/>
        </w:rPr>
        <w:t xml:space="preserve"> </w:t>
      </w:r>
      <w:r>
        <w:rPr>
          <w:spacing w:val="-2"/>
        </w:rPr>
        <w:t>not</w:t>
      </w:r>
      <w:r>
        <w:rPr>
          <w:spacing w:val="14"/>
        </w:rPr>
        <w:t xml:space="preserve"> </w:t>
      </w:r>
      <w:r>
        <w:rPr>
          <w:spacing w:val="-2"/>
        </w:rPr>
        <w:t>have</w:t>
      </w:r>
      <w:r>
        <w:rPr>
          <w:spacing w:val="12"/>
        </w:rPr>
        <w:t xml:space="preserve"> </w:t>
      </w:r>
      <w:r>
        <w:rPr>
          <w:spacing w:val="-1"/>
        </w:rPr>
        <w:t>an</w:t>
      </w:r>
      <w:r>
        <w:rPr>
          <w:spacing w:val="12"/>
        </w:rPr>
        <w:t xml:space="preserve"> </w:t>
      </w:r>
      <w:r>
        <w:rPr>
          <w:spacing w:val="-1"/>
        </w:rPr>
        <w:t>adverse</w:t>
      </w:r>
      <w:r>
        <w:rPr>
          <w:spacing w:val="13"/>
        </w:rPr>
        <w:t xml:space="preserve"> </w:t>
      </w:r>
      <w:r>
        <w:rPr>
          <w:spacing w:val="-1"/>
        </w:rPr>
        <w:t>impact</w:t>
      </w:r>
      <w:r>
        <w:rPr>
          <w:spacing w:val="12"/>
        </w:rPr>
        <w:t xml:space="preserve"> </w:t>
      </w:r>
      <w:r>
        <w:rPr>
          <w:spacing w:val="-2"/>
        </w:rPr>
        <w:t>on</w:t>
      </w:r>
      <w:r>
        <w:rPr>
          <w:spacing w:val="12"/>
        </w:rPr>
        <w:t xml:space="preserve"> </w:t>
      </w:r>
      <w:r>
        <w:t>the</w:t>
      </w:r>
      <w:r>
        <w:rPr>
          <w:spacing w:val="12"/>
        </w:rPr>
        <w:t xml:space="preserve"> </w:t>
      </w:r>
      <w:r>
        <w:rPr>
          <w:spacing w:val="-2"/>
        </w:rPr>
        <w:t>provision</w:t>
      </w:r>
      <w:r>
        <w:rPr>
          <w:spacing w:val="15"/>
        </w:rPr>
        <w:t xml:space="preserve"> </w:t>
      </w:r>
      <w:r>
        <w:rPr>
          <w:spacing w:val="-1"/>
        </w:rPr>
        <w:t>of</w:t>
      </w:r>
      <w:r>
        <w:rPr>
          <w:spacing w:val="14"/>
        </w:rPr>
        <w:t xml:space="preserve"> </w:t>
      </w:r>
      <w:r>
        <w:rPr>
          <w:spacing w:val="-1"/>
        </w:rPr>
        <w:t>the</w:t>
      </w:r>
      <w:r>
        <w:rPr>
          <w:spacing w:val="46"/>
        </w:rPr>
        <w:t xml:space="preserve"> </w:t>
      </w:r>
      <w:r>
        <w:rPr>
          <w:spacing w:val="-1"/>
        </w:rPr>
        <w:t>Goods</w:t>
      </w:r>
      <w:r>
        <w:rPr>
          <w:spacing w:val="1"/>
        </w:rPr>
        <w:t xml:space="preserve"> </w:t>
      </w:r>
      <w:r>
        <w:rPr>
          <w:spacing w:val="-1"/>
        </w:rPr>
        <w:t>and/or Services;</w:t>
      </w:r>
      <w:r>
        <w:rPr>
          <w:spacing w:val="-3"/>
        </w:rPr>
        <w:t xml:space="preserve"> </w:t>
      </w:r>
      <w:r>
        <w:rPr>
          <w:spacing w:val="-1"/>
        </w:rPr>
        <w:t>and</w:t>
      </w:r>
    </w:p>
    <w:p w:rsidR="008918FA" w:rsidRDefault="008918FA" w:rsidP="008918FA">
      <w:pPr>
        <w:pStyle w:val="BodyText"/>
        <w:numPr>
          <w:ilvl w:val="2"/>
          <w:numId w:val="66"/>
        </w:numPr>
        <w:tabs>
          <w:tab w:val="left" w:pos="2227"/>
        </w:tabs>
        <w:ind w:hanging="993"/>
      </w:pPr>
      <w:r>
        <w:rPr>
          <w:spacing w:val="-1"/>
        </w:rPr>
        <w:t>ensure</w:t>
      </w:r>
      <w:r>
        <w:rPr>
          <w:spacing w:val="-2"/>
        </w:rPr>
        <w:t xml:space="preserve"> </w:t>
      </w:r>
      <w:r>
        <w:rPr>
          <w:spacing w:val="-1"/>
        </w:rPr>
        <w:t>that</w:t>
      </w:r>
      <w:r>
        <w:t xml:space="preserve"> </w:t>
      </w:r>
      <w:r>
        <w:rPr>
          <w:spacing w:val="-1"/>
        </w:rPr>
        <w:t>any</w:t>
      </w:r>
      <w:r>
        <w:rPr>
          <w:spacing w:val="-2"/>
        </w:rPr>
        <w:t xml:space="preserve"> </w:t>
      </w:r>
      <w:r>
        <w:rPr>
          <w:spacing w:val="-1"/>
        </w:rPr>
        <w:t>replacement</w:t>
      </w:r>
      <w:r>
        <w:rPr>
          <w:spacing w:val="-3"/>
        </w:rPr>
        <w:t xml:space="preserve"> </w:t>
      </w:r>
      <w:r>
        <w:t>for</w:t>
      </w:r>
      <w:r>
        <w:rPr>
          <w:spacing w:val="2"/>
        </w:rPr>
        <w:t xml:space="preserve"> </w:t>
      </w:r>
      <w:r>
        <w:t>a</w:t>
      </w:r>
      <w:r>
        <w:rPr>
          <w:spacing w:val="-2"/>
        </w:rPr>
        <w:t xml:space="preserve"> </w:t>
      </w:r>
      <w:r>
        <w:rPr>
          <w:spacing w:val="-1"/>
        </w:rPr>
        <w:t>Key</w:t>
      </w:r>
      <w:r>
        <w:rPr>
          <w:spacing w:val="-2"/>
        </w:rPr>
        <w:t xml:space="preserve"> Role:</w:t>
      </w:r>
    </w:p>
    <w:p w:rsidR="008918FA" w:rsidRDefault="008918FA" w:rsidP="008918FA">
      <w:pPr>
        <w:pStyle w:val="BodyText"/>
        <w:numPr>
          <w:ilvl w:val="3"/>
          <w:numId w:val="66"/>
        </w:numPr>
        <w:tabs>
          <w:tab w:val="left" w:pos="2935"/>
        </w:tabs>
        <w:ind w:left="2934" w:right="117"/>
      </w:pPr>
      <w:r>
        <w:rPr>
          <w:spacing w:val="-1"/>
        </w:rPr>
        <w:t>has</w:t>
      </w:r>
      <w:r>
        <w:rPr>
          <w:spacing w:val="25"/>
        </w:rPr>
        <w:t xml:space="preserve"> </w:t>
      </w:r>
      <w:r>
        <w:t>a</w:t>
      </w:r>
      <w:r>
        <w:rPr>
          <w:spacing w:val="24"/>
        </w:rPr>
        <w:t xml:space="preserve"> </w:t>
      </w:r>
      <w:r>
        <w:rPr>
          <w:spacing w:val="-1"/>
        </w:rPr>
        <w:t>level</w:t>
      </w:r>
      <w:r>
        <w:rPr>
          <w:spacing w:val="24"/>
        </w:rPr>
        <w:t xml:space="preserve"> </w:t>
      </w:r>
      <w:r>
        <w:rPr>
          <w:spacing w:val="-1"/>
        </w:rPr>
        <w:t>of</w:t>
      </w:r>
      <w:r>
        <w:rPr>
          <w:spacing w:val="28"/>
        </w:rPr>
        <w:t xml:space="preserve"> </w:t>
      </w:r>
      <w:r>
        <w:rPr>
          <w:spacing w:val="-1"/>
        </w:rPr>
        <w:t>qualifications</w:t>
      </w:r>
      <w:r>
        <w:rPr>
          <w:spacing w:val="25"/>
        </w:rPr>
        <w:t xml:space="preserve"> </w:t>
      </w:r>
      <w:r>
        <w:rPr>
          <w:spacing w:val="-1"/>
        </w:rPr>
        <w:t>and</w:t>
      </w:r>
      <w:r>
        <w:rPr>
          <w:spacing w:val="24"/>
        </w:rPr>
        <w:t xml:space="preserve"> </w:t>
      </w:r>
      <w:r>
        <w:rPr>
          <w:spacing w:val="-2"/>
        </w:rPr>
        <w:t>experience</w:t>
      </w:r>
      <w:r>
        <w:rPr>
          <w:spacing w:val="25"/>
        </w:rPr>
        <w:t xml:space="preserve"> </w:t>
      </w:r>
      <w:r>
        <w:rPr>
          <w:spacing w:val="-1"/>
        </w:rPr>
        <w:t>appropriate</w:t>
      </w:r>
      <w:r>
        <w:rPr>
          <w:spacing w:val="24"/>
        </w:rPr>
        <w:t xml:space="preserve"> </w:t>
      </w:r>
      <w:r>
        <w:t>to</w:t>
      </w:r>
      <w:r>
        <w:rPr>
          <w:spacing w:val="22"/>
        </w:rPr>
        <w:t xml:space="preserve"> </w:t>
      </w:r>
      <w:r>
        <w:rPr>
          <w:spacing w:val="-1"/>
        </w:rPr>
        <w:t>the</w:t>
      </w:r>
      <w:r>
        <w:rPr>
          <w:spacing w:val="52"/>
        </w:rPr>
        <w:t xml:space="preserve"> </w:t>
      </w:r>
      <w:r>
        <w:rPr>
          <w:spacing w:val="-2"/>
        </w:rPr>
        <w:t>relevant</w:t>
      </w:r>
      <w:r>
        <w:rPr>
          <w:spacing w:val="2"/>
        </w:rPr>
        <w:t xml:space="preserve"> </w:t>
      </w:r>
      <w:r>
        <w:rPr>
          <w:spacing w:val="-1"/>
        </w:rPr>
        <w:t>Key</w:t>
      </w:r>
      <w:r>
        <w:rPr>
          <w:spacing w:val="-2"/>
        </w:rPr>
        <w:t xml:space="preserve"> Role;</w:t>
      </w:r>
      <w:r>
        <w:rPr>
          <w:spacing w:val="2"/>
        </w:rPr>
        <w:t xml:space="preserve"> </w:t>
      </w:r>
      <w:r>
        <w:rPr>
          <w:spacing w:val="-1"/>
        </w:rPr>
        <w:t>and</w:t>
      </w:r>
    </w:p>
    <w:p w:rsidR="008918FA" w:rsidRDefault="008918FA" w:rsidP="008918FA">
      <w:pPr>
        <w:pStyle w:val="BodyText"/>
        <w:numPr>
          <w:ilvl w:val="3"/>
          <w:numId w:val="66"/>
        </w:numPr>
        <w:tabs>
          <w:tab w:val="left" w:pos="2935"/>
        </w:tabs>
        <w:ind w:left="2934" w:right="118"/>
      </w:pPr>
      <w:r>
        <w:rPr>
          <w:spacing w:val="-1"/>
        </w:rPr>
        <w:t>is</w:t>
      </w:r>
      <w:r>
        <w:rPr>
          <w:spacing w:val="37"/>
        </w:rPr>
        <w:t xml:space="preserve"> </w:t>
      </w:r>
      <w:r>
        <w:rPr>
          <w:spacing w:val="-1"/>
        </w:rPr>
        <w:t>fully</w:t>
      </w:r>
      <w:r>
        <w:rPr>
          <w:spacing w:val="34"/>
        </w:rPr>
        <w:t xml:space="preserve"> </w:t>
      </w:r>
      <w:r>
        <w:rPr>
          <w:spacing w:val="-1"/>
        </w:rPr>
        <w:t>competent</w:t>
      </w:r>
      <w:r>
        <w:rPr>
          <w:spacing w:val="38"/>
        </w:rPr>
        <w:t xml:space="preserve"> </w:t>
      </w:r>
      <w:r>
        <w:t>to</w:t>
      </w:r>
      <w:r>
        <w:rPr>
          <w:spacing w:val="36"/>
        </w:rPr>
        <w:t xml:space="preserve"> </w:t>
      </w:r>
      <w:r>
        <w:rPr>
          <w:spacing w:val="-1"/>
        </w:rPr>
        <w:t>carry</w:t>
      </w:r>
      <w:r>
        <w:rPr>
          <w:spacing w:val="34"/>
        </w:rPr>
        <w:t xml:space="preserve"> </w:t>
      </w:r>
      <w:r>
        <w:rPr>
          <w:spacing w:val="-1"/>
        </w:rPr>
        <w:t>out</w:t>
      </w:r>
      <w:r>
        <w:rPr>
          <w:spacing w:val="38"/>
        </w:rPr>
        <w:t xml:space="preserve"> </w:t>
      </w:r>
      <w:r>
        <w:t>the</w:t>
      </w:r>
      <w:r>
        <w:rPr>
          <w:spacing w:val="37"/>
        </w:rPr>
        <w:t xml:space="preserve"> </w:t>
      </w:r>
      <w:r>
        <w:rPr>
          <w:spacing w:val="-1"/>
        </w:rPr>
        <w:t>tasks</w:t>
      </w:r>
      <w:r>
        <w:rPr>
          <w:spacing w:val="37"/>
        </w:rPr>
        <w:t xml:space="preserve"> </w:t>
      </w:r>
      <w:r>
        <w:rPr>
          <w:spacing w:val="-1"/>
        </w:rPr>
        <w:t>assigned</w:t>
      </w:r>
      <w:r>
        <w:rPr>
          <w:spacing w:val="36"/>
        </w:rPr>
        <w:t xml:space="preserve"> </w:t>
      </w:r>
      <w:r>
        <w:t>to</w:t>
      </w:r>
      <w:r>
        <w:rPr>
          <w:spacing w:val="36"/>
        </w:rPr>
        <w:t xml:space="preserve"> </w:t>
      </w:r>
      <w:r>
        <w:t>the</w:t>
      </w:r>
      <w:r>
        <w:rPr>
          <w:spacing w:val="36"/>
        </w:rPr>
        <w:t xml:space="preserve"> </w:t>
      </w:r>
      <w:r>
        <w:rPr>
          <w:spacing w:val="-1"/>
        </w:rPr>
        <w:t>Key</w:t>
      </w:r>
      <w:r>
        <w:rPr>
          <w:spacing w:val="32"/>
        </w:rPr>
        <w:t xml:space="preserve"> </w:t>
      </w:r>
      <w:r>
        <w:rPr>
          <w:spacing w:val="-1"/>
        </w:rPr>
        <w:t>Personnel</w:t>
      </w:r>
      <w:r>
        <w:t xml:space="preserve"> </w:t>
      </w:r>
      <w:r>
        <w:rPr>
          <w:spacing w:val="-2"/>
        </w:rPr>
        <w:t>whom</w:t>
      </w:r>
      <w:r>
        <w:rPr>
          <w:spacing w:val="2"/>
        </w:rPr>
        <w:t xml:space="preserve"> </w:t>
      </w:r>
      <w:r>
        <w:rPr>
          <w:spacing w:val="-1"/>
        </w:rPr>
        <w:t>he</w:t>
      </w:r>
      <w:r>
        <w:t xml:space="preserve"> </w:t>
      </w:r>
      <w:r>
        <w:rPr>
          <w:spacing w:val="-2"/>
        </w:rPr>
        <w:t>or</w:t>
      </w:r>
      <w:r>
        <w:rPr>
          <w:spacing w:val="2"/>
        </w:rPr>
        <w:t xml:space="preserve"> </w:t>
      </w:r>
      <w:r>
        <w:rPr>
          <w:spacing w:val="-2"/>
        </w:rPr>
        <w:t>she</w:t>
      </w:r>
      <w:r>
        <w:t xml:space="preserve"> </w:t>
      </w:r>
      <w:r>
        <w:rPr>
          <w:spacing w:val="-1"/>
        </w:rPr>
        <w:t>has</w:t>
      </w:r>
      <w:r>
        <w:rPr>
          <w:spacing w:val="-2"/>
        </w:rPr>
        <w:t xml:space="preserve"> </w:t>
      </w:r>
      <w:r>
        <w:rPr>
          <w:spacing w:val="-1"/>
        </w:rPr>
        <w:t>replaced.</w:t>
      </w:r>
    </w:p>
    <w:p w:rsidR="008918FA" w:rsidRDefault="008918FA" w:rsidP="008918FA">
      <w:pPr>
        <w:pStyle w:val="BodyText"/>
        <w:numPr>
          <w:ilvl w:val="2"/>
          <w:numId w:val="66"/>
        </w:numPr>
        <w:tabs>
          <w:tab w:val="left" w:pos="2227"/>
        </w:tabs>
        <w:ind w:right="116" w:hanging="993"/>
        <w:jc w:val="both"/>
      </w:pPr>
      <w:r>
        <w:rPr>
          <w:spacing w:val="-1"/>
        </w:rPr>
        <w:t>shall</w:t>
      </w:r>
      <w:r>
        <w:rPr>
          <w:spacing w:val="38"/>
        </w:rPr>
        <w:t xml:space="preserve"> </w:t>
      </w:r>
      <w:r>
        <w:rPr>
          <w:spacing w:val="-1"/>
        </w:rPr>
        <w:t>and</w:t>
      </w:r>
      <w:r>
        <w:rPr>
          <w:spacing w:val="39"/>
        </w:rPr>
        <w:t xml:space="preserve"> </w:t>
      </w:r>
      <w:r>
        <w:rPr>
          <w:spacing w:val="-1"/>
        </w:rPr>
        <w:t>shall</w:t>
      </w:r>
      <w:r>
        <w:rPr>
          <w:spacing w:val="38"/>
        </w:rPr>
        <w:t xml:space="preserve"> </w:t>
      </w:r>
      <w:r>
        <w:rPr>
          <w:spacing w:val="-1"/>
        </w:rPr>
        <w:t>procure</w:t>
      </w:r>
      <w:r>
        <w:rPr>
          <w:spacing w:val="36"/>
        </w:rPr>
        <w:t xml:space="preserve"> </w:t>
      </w:r>
      <w:r>
        <w:rPr>
          <w:spacing w:val="-1"/>
        </w:rPr>
        <w:t>that</w:t>
      </w:r>
      <w:r>
        <w:rPr>
          <w:spacing w:val="40"/>
        </w:rPr>
        <w:t xml:space="preserve"> </w:t>
      </w:r>
      <w:r>
        <w:rPr>
          <w:spacing w:val="-1"/>
        </w:rPr>
        <w:t>any</w:t>
      </w:r>
      <w:r>
        <w:rPr>
          <w:spacing w:val="36"/>
        </w:rPr>
        <w:t xml:space="preserve"> </w:t>
      </w:r>
      <w:r>
        <w:rPr>
          <w:spacing w:val="-1"/>
        </w:rPr>
        <w:t>Sub-Contractor</w:t>
      </w:r>
      <w:r>
        <w:rPr>
          <w:spacing w:val="38"/>
        </w:rPr>
        <w:t xml:space="preserve"> </w:t>
      </w:r>
      <w:r>
        <w:rPr>
          <w:spacing w:val="-1"/>
        </w:rPr>
        <w:t>shall</w:t>
      </w:r>
      <w:r>
        <w:rPr>
          <w:spacing w:val="38"/>
        </w:rPr>
        <w:t xml:space="preserve"> </w:t>
      </w:r>
      <w:r>
        <w:rPr>
          <w:spacing w:val="-1"/>
        </w:rPr>
        <w:t>not</w:t>
      </w:r>
      <w:r>
        <w:rPr>
          <w:spacing w:val="40"/>
        </w:rPr>
        <w:t xml:space="preserve"> </w:t>
      </w:r>
      <w:r>
        <w:rPr>
          <w:spacing w:val="-2"/>
        </w:rPr>
        <w:t>remove</w:t>
      </w:r>
      <w:r>
        <w:rPr>
          <w:spacing w:val="38"/>
        </w:rPr>
        <w:t xml:space="preserve"> </w:t>
      </w:r>
      <w:r>
        <w:rPr>
          <w:spacing w:val="-1"/>
        </w:rPr>
        <w:t>or</w:t>
      </w:r>
      <w:r>
        <w:rPr>
          <w:spacing w:val="42"/>
        </w:rPr>
        <w:t xml:space="preserve"> </w:t>
      </w:r>
      <w:r>
        <w:rPr>
          <w:spacing w:val="-1"/>
        </w:rPr>
        <w:t>replace</w:t>
      </w:r>
      <w:r>
        <w:rPr>
          <w:spacing w:val="10"/>
        </w:rPr>
        <w:t xml:space="preserve"> </w:t>
      </w:r>
      <w:r>
        <w:rPr>
          <w:spacing w:val="-1"/>
        </w:rPr>
        <w:t>any</w:t>
      </w:r>
      <w:r>
        <w:rPr>
          <w:spacing w:val="8"/>
        </w:rPr>
        <w:t xml:space="preserve"> </w:t>
      </w:r>
      <w:r>
        <w:t>Key</w:t>
      </w:r>
      <w:r>
        <w:rPr>
          <w:spacing w:val="8"/>
        </w:rPr>
        <w:t xml:space="preserve"> </w:t>
      </w:r>
      <w:r>
        <w:rPr>
          <w:spacing w:val="-1"/>
        </w:rPr>
        <w:t>Personnel</w:t>
      </w:r>
      <w:r>
        <w:rPr>
          <w:spacing w:val="9"/>
        </w:rPr>
        <w:t xml:space="preserve"> </w:t>
      </w:r>
      <w:r>
        <w:rPr>
          <w:spacing w:val="-1"/>
        </w:rPr>
        <w:t>during</w:t>
      </w:r>
      <w:r>
        <w:rPr>
          <w:spacing w:val="12"/>
        </w:rPr>
        <w:t xml:space="preserve"> </w:t>
      </w:r>
      <w:r>
        <w:t>the</w:t>
      </w:r>
      <w:r>
        <w:rPr>
          <w:spacing w:val="10"/>
        </w:rPr>
        <w:t xml:space="preserve"> </w:t>
      </w:r>
      <w:r>
        <w:rPr>
          <w:spacing w:val="-2"/>
        </w:rPr>
        <w:t>Call</w:t>
      </w:r>
      <w:r>
        <w:rPr>
          <w:spacing w:val="9"/>
        </w:rPr>
        <w:t xml:space="preserve"> </w:t>
      </w:r>
      <w:r>
        <w:rPr>
          <w:spacing w:val="-1"/>
        </w:rPr>
        <w:t>Off</w:t>
      </w:r>
      <w:r>
        <w:rPr>
          <w:spacing w:val="11"/>
        </w:rPr>
        <w:t xml:space="preserve"> </w:t>
      </w:r>
      <w:r>
        <w:rPr>
          <w:spacing w:val="-1"/>
        </w:rPr>
        <w:t>Contract</w:t>
      </w:r>
      <w:r>
        <w:rPr>
          <w:spacing w:val="11"/>
        </w:rPr>
        <w:t xml:space="preserve"> </w:t>
      </w:r>
      <w:r>
        <w:rPr>
          <w:spacing w:val="-1"/>
        </w:rPr>
        <w:t>Period</w:t>
      </w:r>
      <w:r>
        <w:rPr>
          <w:spacing w:val="10"/>
        </w:rPr>
        <w:t xml:space="preserve"> </w:t>
      </w:r>
      <w:r>
        <w:rPr>
          <w:spacing w:val="-2"/>
        </w:rPr>
        <w:t>without</w:t>
      </w:r>
      <w:r>
        <w:rPr>
          <w:spacing w:val="38"/>
        </w:rPr>
        <w:t xml:space="preserve"> </w:t>
      </w:r>
      <w:r>
        <w:rPr>
          <w:spacing w:val="-2"/>
        </w:rPr>
        <w:t>Approval.</w:t>
      </w:r>
    </w:p>
    <w:p w:rsidR="008918FA" w:rsidRDefault="008918FA" w:rsidP="008918FA">
      <w:pPr>
        <w:pStyle w:val="BodyText"/>
        <w:numPr>
          <w:ilvl w:val="1"/>
          <w:numId w:val="66"/>
        </w:numPr>
        <w:tabs>
          <w:tab w:val="left" w:pos="1234"/>
        </w:tabs>
        <w:ind w:left="1029" w:right="113" w:hanging="360"/>
        <w:jc w:val="both"/>
      </w:pPr>
      <w:r>
        <w:t>The</w:t>
      </w:r>
      <w:r>
        <w:rPr>
          <w:spacing w:val="27"/>
        </w:rPr>
        <w:t xml:space="preserve"> </w:t>
      </w:r>
      <w:r>
        <w:rPr>
          <w:spacing w:val="-2"/>
        </w:rPr>
        <w:t>Customer</w:t>
      </w:r>
      <w:r>
        <w:rPr>
          <w:spacing w:val="26"/>
        </w:rPr>
        <w:t xml:space="preserve"> </w:t>
      </w:r>
      <w:r>
        <w:rPr>
          <w:spacing w:val="-1"/>
        </w:rPr>
        <w:t>may</w:t>
      </w:r>
      <w:r>
        <w:rPr>
          <w:spacing w:val="25"/>
        </w:rPr>
        <w:t xml:space="preserve"> </w:t>
      </w:r>
      <w:r>
        <w:rPr>
          <w:spacing w:val="-1"/>
        </w:rPr>
        <w:t>require</w:t>
      </w:r>
      <w:r>
        <w:rPr>
          <w:spacing w:val="27"/>
        </w:rPr>
        <w:t xml:space="preserve"> </w:t>
      </w:r>
      <w:r>
        <w:t>the</w:t>
      </w:r>
      <w:r>
        <w:rPr>
          <w:spacing w:val="27"/>
        </w:rPr>
        <w:t xml:space="preserve"> </w:t>
      </w:r>
      <w:r>
        <w:rPr>
          <w:spacing w:val="-2"/>
        </w:rPr>
        <w:t>Supplier</w:t>
      </w:r>
      <w:r>
        <w:rPr>
          <w:spacing w:val="26"/>
        </w:rPr>
        <w:t xml:space="preserve"> </w:t>
      </w:r>
      <w:r>
        <w:t>to</w:t>
      </w:r>
      <w:r>
        <w:rPr>
          <w:spacing w:val="24"/>
        </w:rPr>
        <w:t xml:space="preserve"> </w:t>
      </w:r>
      <w:r>
        <w:rPr>
          <w:spacing w:val="-2"/>
        </w:rPr>
        <w:t>remove</w:t>
      </w:r>
      <w:r>
        <w:rPr>
          <w:spacing w:val="27"/>
        </w:rPr>
        <w:t xml:space="preserve"> </w:t>
      </w:r>
      <w:r>
        <w:rPr>
          <w:spacing w:val="-1"/>
        </w:rPr>
        <w:t>any</w:t>
      </w:r>
      <w:r>
        <w:rPr>
          <w:spacing w:val="25"/>
        </w:rPr>
        <w:t xml:space="preserve"> </w:t>
      </w:r>
      <w:r>
        <w:t>Key</w:t>
      </w:r>
      <w:r>
        <w:rPr>
          <w:spacing w:val="25"/>
        </w:rPr>
        <w:t xml:space="preserve"> </w:t>
      </w:r>
      <w:r>
        <w:rPr>
          <w:spacing w:val="-1"/>
        </w:rPr>
        <w:t>Personnel</w:t>
      </w:r>
      <w:r>
        <w:rPr>
          <w:spacing w:val="26"/>
        </w:rPr>
        <w:t xml:space="preserve"> </w:t>
      </w:r>
      <w:r>
        <w:rPr>
          <w:spacing w:val="-1"/>
        </w:rPr>
        <w:t>that</w:t>
      </w:r>
      <w:r>
        <w:rPr>
          <w:spacing w:val="28"/>
        </w:rPr>
        <w:t xml:space="preserve"> </w:t>
      </w:r>
      <w:r>
        <w:rPr>
          <w:spacing w:val="-1"/>
        </w:rPr>
        <w:t>the</w:t>
      </w:r>
      <w:r>
        <w:rPr>
          <w:spacing w:val="62"/>
        </w:rPr>
        <w:t xml:space="preserve"> </w:t>
      </w:r>
      <w:r>
        <w:rPr>
          <w:spacing w:val="-1"/>
        </w:rPr>
        <w:t>Customer</w:t>
      </w:r>
      <w:r>
        <w:rPr>
          <w:spacing w:val="4"/>
        </w:rPr>
        <w:t xml:space="preserve"> </w:t>
      </w:r>
      <w:r>
        <w:rPr>
          <w:spacing w:val="-1"/>
        </w:rPr>
        <w:t>considers</w:t>
      </w:r>
      <w:r>
        <w:rPr>
          <w:spacing w:val="3"/>
        </w:rPr>
        <w:t xml:space="preserve"> </w:t>
      </w:r>
      <w:r>
        <w:rPr>
          <w:spacing w:val="-1"/>
        </w:rPr>
        <w:t>in</w:t>
      </w:r>
      <w:r>
        <w:rPr>
          <w:spacing w:val="3"/>
        </w:rPr>
        <w:t xml:space="preserve"> </w:t>
      </w:r>
      <w:r>
        <w:rPr>
          <w:spacing w:val="-2"/>
        </w:rPr>
        <w:t>any</w:t>
      </w:r>
      <w:r>
        <w:rPr>
          <w:spacing w:val="1"/>
        </w:rPr>
        <w:t xml:space="preserve"> </w:t>
      </w:r>
      <w:r>
        <w:rPr>
          <w:spacing w:val="-1"/>
        </w:rPr>
        <w:t>respect</w:t>
      </w:r>
      <w:r>
        <w:rPr>
          <w:spacing w:val="5"/>
        </w:rPr>
        <w:t xml:space="preserve"> </w:t>
      </w:r>
      <w:r>
        <w:rPr>
          <w:spacing w:val="-1"/>
        </w:rPr>
        <w:t>unsatisfactory.</w:t>
      </w:r>
      <w:r>
        <w:rPr>
          <w:spacing w:val="2"/>
        </w:rPr>
        <w:t xml:space="preserve"> </w:t>
      </w:r>
      <w:r>
        <w:t>The</w:t>
      </w:r>
      <w:r>
        <w:rPr>
          <w:spacing w:val="3"/>
        </w:rPr>
        <w:t xml:space="preserve"> </w:t>
      </w:r>
      <w:r>
        <w:rPr>
          <w:spacing w:val="-1"/>
        </w:rPr>
        <w:t>Customer</w:t>
      </w:r>
      <w:r>
        <w:rPr>
          <w:spacing w:val="4"/>
        </w:rPr>
        <w:t xml:space="preserve"> </w:t>
      </w:r>
      <w:r>
        <w:rPr>
          <w:spacing w:val="-2"/>
        </w:rPr>
        <w:t>shall</w:t>
      </w:r>
      <w:r>
        <w:rPr>
          <w:spacing w:val="2"/>
        </w:rPr>
        <w:t xml:space="preserve"> </w:t>
      </w:r>
      <w:r>
        <w:rPr>
          <w:spacing w:val="-1"/>
        </w:rPr>
        <w:t>not</w:t>
      </w:r>
      <w:r>
        <w:rPr>
          <w:spacing w:val="4"/>
        </w:rPr>
        <w:t xml:space="preserve"> </w:t>
      </w:r>
      <w:r>
        <w:rPr>
          <w:spacing w:val="-1"/>
        </w:rPr>
        <w:t>be</w:t>
      </w:r>
      <w:r>
        <w:rPr>
          <w:spacing w:val="3"/>
        </w:rPr>
        <w:t xml:space="preserve"> </w:t>
      </w:r>
      <w:r>
        <w:rPr>
          <w:spacing w:val="-2"/>
        </w:rPr>
        <w:t>liable</w:t>
      </w:r>
      <w:r>
        <w:rPr>
          <w:spacing w:val="43"/>
        </w:rPr>
        <w:t xml:space="preserve"> </w:t>
      </w:r>
      <w:r>
        <w:t>for</w:t>
      </w:r>
      <w:r>
        <w:rPr>
          <w:spacing w:val="-1"/>
        </w:rPr>
        <w:t xml:space="preserve"> </w:t>
      </w:r>
      <w:r>
        <w:t>the</w:t>
      </w:r>
      <w:r>
        <w:rPr>
          <w:spacing w:val="-2"/>
        </w:rPr>
        <w:t xml:space="preserve"> </w:t>
      </w:r>
      <w:r>
        <w:rPr>
          <w:spacing w:val="-1"/>
        </w:rPr>
        <w:t>cost</w:t>
      </w:r>
      <w:r>
        <w:rPr>
          <w:spacing w:val="2"/>
        </w:rPr>
        <w:t xml:space="preserve"> </w:t>
      </w:r>
      <w:r>
        <w:rPr>
          <w:spacing w:val="-2"/>
        </w:rPr>
        <w:t>of</w:t>
      </w:r>
      <w:r>
        <w:t xml:space="preserve"> </w:t>
      </w:r>
      <w:r>
        <w:rPr>
          <w:spacing w:val="-1"/>
        </w:rPr>
        <w:t>replacing</w:t>
      </w:r>
      <w:r>
        <w:rPr>
          <w:spacing w:val="-2"/>
        </w:rPr>
        <w:t xml:space="preserve"> </w:t>
      </w:r>
      <w:r>
        <w:rPr>
          <w:spacing w:val="-1"/>
        </w:rPr>
        <w:t>any</w:t>
      </w:r>
      <w:r>
        <w:rPr>
          <w:spacing w:val="-2"/>
        </w:rPr>
        <w:t xml:space="preserve"> </w:t>
      </w:r>
      <w:r>
        <w:rPr>
          <w:spacing w:val="-1"/>
        </w:rPr>
        <w:t>Key</w:t>
      </w:r>
      <w:r>
        <w:rPr>
          <w:spacing w:val="-2"/>
        </w:rPr>
        <w:t xml:space="preserve"> </w:t>
      </w:r>
      <w:r>
        <w:rPr>
          <w:spacing w:val="-1"/>
        </w:rPr>
        <w:t>Personnel.</w:t>
      </w:r>
    </w:p>
    <w:p w:rsidR="008918FA" w:rsidRDefault="008918FA" w:rsidP="008918FA">
      <w:pPr>
        <w:pStyle w:val="BodyText"/>
        <w:numPr>
          <w:ilvl w:val="0"/>
          <w:numId w:val="66"/>
        </w:numPr>
        <w:tabs>
          <w:tab w:val="left" w:pos="667"/>
        </w:tabs>
        <w:spacing w:before="120"/>
        <w:ind w:left="667"/>
        <w:rPr>
          <w:rFonts w:ascii="Times New Roman" w:eastAsia="Times New Roman" w:hAnsi="Times New Roman" w:cs="Times New Roman"/>
        </w:rPr>
      </w:pPr>
      <w:bookmarkStart w:id="165" w:name="_bookmark140"/>
      <w:bookmarkEnd w:id="165"/>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LIER</w:t>
      </w:r>
      <w:r>
        <w:rPr>
          <w:rFonts w:ascii="Times New Roman"/>
          <w:spacing w:val="18"/>
        </w:rPr>
        <w:t xml:space="preserve"> </w:t>
      </w:r>
      <w:r>
        <w:rPr>
          <w:rFonts w:ascii="Times New Roman"/>
          <w:spacing w:val="9"/>
        </w:rPr>
        <w:t>PERSONNEL</w:t>
      </w:r>
    </w:p>
    <w:p w:rsidR="008918FA" w:rsidRDefault="008918FA" w:rsidP="008918FA">
      <w:pPr>
        <w:spacing w:before="8"/>
        <w:rPr>
          <w:rFonts w:ascii="Times New Roman" w:eastAsia="Times New Roman" w:hAnsi="Times New Roman" w:cs="Times New Roman"/>
          <w:sz w:val="20"/>
          <w:szCs w:val="20"/>
        </w:rPr>
      </w:pPr>
    </w:p>
    <w:p w:rsidR="008918FA" w:rsidRDefault="008918FA" w:rsidP="008918FA">
      <w:pPr>
        <w:pStyle w:val="Heading1"/>
        <w:numPr>
          <w:ilvl w:val="1"/>
          <w:numId w:val="66"/>
        </w:numPr>
        <w:tabs>
          <w:tab w:val="left" w:pos="1234"/>
        </w:tabs>
        <w:spacing w:before="0"/>
        <w:ind w:left="1233" w:hanging="564"/>
        <w:rPr>
          <w:b w:val="0"/>
          <w:bCs w:val="0"/>
        </w:rPr>
      </w:pPr>
      <w:r>
        <w:rPr>
          <w:spacing w:val="-1"/>
        </w:rPr>
        <w:t>Supplier Personnel</w:t>
      </w:r>
    </w:p>
    <w:p w:rsidR="008918FA" w:rsidRDefault="008918FA" w:rsidP="008918FA">
      <w:pPr>
        <w:sectPr w:rsidR="008918FA">
          <w:pgSz w:w="11910" w:h="16840"/>
          <w:pgMar w:top="1480" w:right="1300" w:bottom="1180" w:left="1340" w:header="0" w:footer="967" w:gutter="0"/>
          <w:cols w:space="720"/>
        </w:sectPr>
      </w:pPr>
    </w:p>
    <w:p w:rsidR="008918FA" w:rsidRDefault="008918FA" w:rsidP="008918FA">
      <w:pPr>
        <w:pStyle w:val="BodyText"/>
        <w:numPr>
          <w:ilvl w:val="2"/>
          <w:numId w:val="66"/>
        </w:numPr>
        <w:tabs>
          <w:tab w:val="left" w:pos="1887"/>
        </w:tabs>
        <w:spacing w:before="59"/>
        <w:ind w:left="1885" w:hanging="993"/>
      </w:pPr>
      <w:r>
        <w:t>The</w:t>
      </w:r>
      <w:r>
        <w:rPr>
          <w:spacing w:val="-2"/>
        </w:rPr>
        <w:t xml:space="preserve"> Supplier</w:t>
      </w:r>
      <w:r>
        <w:rPr>
          <w:spacing w:val="2"/>
        </w:rPr>
        <w:t xml:space="preserve"> </w:t>
      </w:r>
      <w:r>
        <w:rPr>
          <w:spacing w:val="-1"/>
        </w:rPr>
        <w:t>shall:</w:t>
      </w:r>
    </w:p>
    <w:p w:rsidR="008918FA" w:rsidRDefault="008918FA" w:rsidP="008918FA">
      <w:pPr>
        <w:pStyle w:val="BodyText"/>
        <w:numPr>
          <w:ilvl w:val="3"/>
          <w:numId w:val="66"/>
        </w:numPr>
        <w:tabs>
          <w:tab w:val="left" w:pos="2595"/>
        </w:tabs>
        <w:ind w:left="2594" w:right="113"/>
        <w:jc w:val="both"/>
      </w:pPr>
      <w:r>
        <w:rPr>
          <w:spacing w:val="-2"/>
        </w:rPr>
        <w:t>provide</w:t>
      </w:r>
      <w:r>
        <w:rPr>
          <w:spacing w:val="27"/>
        </w:rPr>
        <w:t xml:space="preserve"> </w:t>
      </w:r>
      <w:r>
        <w:t>a</w:t>
      </w:r>
      <w:r>
        <w:rPr>
          <w:spacing w:val="29"/>
        </w:rPr>
        <w:t xml:space="preserve"> </w:t>
      </w:r>
      <w:r>
        <w:rPr>
          <w:spacing w:val="-2"/>
        </w:rPr>
        <w:t>list</w:t>
      </w:r>
      <w:r>
        <w:rPr>
          <w:spacing w:val="29"/>
        </w:rPr>
        <w:t xml:space="preserve"> </w:t>
      </w:r>
      <w:r>
        <w:rPr>
          <w:spacing w:val="-1"/>
        </w:rPr>
        <w:t>of</w:t>
      </w:r>
      <w:r>
        <w:rPr>
          <w:spacing w:val="30"/>
        </w:rPr>
        <w:t xml:space="preserve"> </w:t>
      </w:r>
      <w:r>
        <w:t>the</w:t>
      </w:r>
      <w:r>
        <w:rPr>
          <w:spacing w:val="27"/>
        </w:rPr>
        <w:t xml:space="preserve"> </w:t>
      </w:r>
      <w:r>
        <w:rPr>
          <w:spacing w:val="-1"/>
        </w:rPr>
        <w:t>names</w:t>
      </w:r>
      <w:r>
        <w:rPr>
          <w:spacing w:val="27"/>
        </w:rPr>
        <w:t xml:space="preserve"> </w:t>
      </w:r>
      <w:r>
        <w:rPr>
          <w:spacing w:val="-2"/>
        </w:rPr>
        <w:t>of</w:t>
      </w:r>
      <w:r>
        <w:rPr>
          <w:spacing w:val="30"/>
        </w:rPr>
        <w:t xml:space="preserve"> </w:t>
      </w:r>
      <w:r>
        <w:rPr>
          <w:spacing w:val="-1"/>
        </w:rPr>
        <w:t>all</w:t>
      </w:r>
      <w:r>
        <w:rPr>
          <w:spacing w:val="26"/>
        </w:rPr>
        <w:t xml:space="preserve"> </w:t>
      </w:r>
      <w:r>
        <w:rPr>
          <w:spacing w:val="-2"/>
        </w:rPr>
        <w:t>Supplier</w:t>
      </w:r>
      <w:r>
        <w:rPr>
          <w:spacing w:val="28"/>
        </w:rPr>
        <w:t xml:space="preserve"> </w:t>
      </w:r>
      <w:r>
        <w:rPr>
          <w:spacing w:val="-1"/>
        </w:rPr>
        <w:t>Personnel</w:t>
      </w:r>
      <w:r>
        <w:rPr>
          <w:spacing w:val="26"/>
        </w:rPr>
        <w:t xml:space="preserve"> </w:t>
      </w:r>
      <w:r>
        <w:rPr>
          <w:spacing w:val="-1"/>
        </w:rPr>
        <w:t>requiring</w:t>
      </w:r>
      <w:r>
        <w:rPr>
          <w:spacing w:val="47"/>
        </w:rPr>
        <w:t xml:space="preserve"> </w:t>
      </w:r>
      <w:r>
        <w:rPr>
          <w:spacing w:val="-1"/>
        </w:rPr>
        <w:t>admission</w:t>
      </w:r>
      <w:r>
        <w:rPr>
          <w:spacing w:val="58"/>
        </w:rPr>
        <w:t xml:space="preserve"> </w:t>
      </w:r>
      <w:r>
        <w:t>to</w:t>
      </w:r>
      <w:r>
        <w:rPr>
          <w:spacing w:val="58"/>
        </w:rPr>
        <w:t xml:space="preserve"> </w:t>
      </w:r>
      <w:r>
        <w:rPr>
          <w:spacing w:val="-1"/>
        </w:rPr>
        <w:t>Customer</w:t>
      </w:r>
      <w:r>
        <w:rPr>
          <w:spacing w:val="57"/>
        </w:rPr>
        <w:t xml:space="preserve"> </w:t>
      </w:r>
      <w:r>
        <w:rPr>
          <w:spacing w:val="-1"/>
        </w:rPr>
        <w:t>Premises,</w:t>
      </w:r>
      <w:r>
        <w:rPr>
          <w:spacing w:val="60"/>
        </w:rPr>
        <w:t xml:space="preserve"> </w:t>
      </w:r>
      <w:r>
        <w:rPr>
          <w:spacing w:val="-1"/>
        </w:rPr>
        <w:t>specifying</w:t>
      </w:r>
      <w:r>
        <w:rPr>
          <w:spacing w:val="60"/>
        </w:rPr>
        <w:t xml:space="preserve"> </w:t>
      </w:r>
      <w:r>
        <w:rPr>
          <w:spacing w:val="-1"/>
        </w:rPr>
        <w:t>the</w:t>
      </w:r>
      <w:r>
        <w:rPr>
          <w:spacing w:val="58"/>
        </w:rPr>
        <w:t xml:space="preserve"> </w:t>
      </w:r>
      <w:r>
        <w:rPr>
          <w:spacing w:val="-1"/>
        </w:rPr>
        <w:t>capacity</w:t>
      </w:r>
      <w:r>
        <w:rPr>
          <w:spacing w:val="57"/>
        </w:rPr>
        <w:t xml:space="preserve"> </w:t>
      </w:r>
      <w:r>
        <w:t>in</w:t>
      </w:r>
      <w:r>
        <w:rPr>
          <w:spacing w:val="23"/>
        </w:rPr>
        <w:t xml:space="preserve"> </w:t>
      </w:r>
      <w:r>
        <w:rPr>
          <w:spacing w:val="-1"/>
        </w:rPr>
        <w:t>which</w:t>
      </w:r>
      <w:r>
        <w:rPr>
          <w:spacing w:val="18"/>
        </w:rPr>
        <w:t xml:space="preserve"> </w:t>
      </w:r>
      <w:r>
        <w:rPr>
          <w:spacing w:val="-1"/>
        </w:rPr>
        <w:t>they</w:t>
      </w:r>
      <w:r>
        <w:rPr>
          <w:spacing w:val="15"/>
        </w:rPr>
        <w:t xml:space="preserve"> </w:t>
      </w:r>
      <w:r>
        <w:rPr>
          <w:spacing w:val="-1"/>
        </w:rPr>
        <w:t>require</w:t>
      </w:r>
      <w:r>
        <w:rPr>
          <w:spacing w:val="17"/>
        </w:rPr>
        <w:t xml:space="preserve"> </w:t>
      </w:r>
      <w:r>
        <w:rPr>
          <w:spacing w:val="-1"/>
        </w:rPr>
        <w:t>admission</w:t>
      </w:r>
      <w:r>
        <w:rPr>
          <w:spacing w:val="17"/>
        </w:rPr>
        <w:t xml:space="preserve"> </w:t>
      </w:r>
      <w:r>
        <w:rPr>
          <w:spacing w:val="-1"/>
        </w:rPr>
        <w:t>and</w:t>
      </w:r>
      <w:r>
        <w:rPr>
          <w:spacing w:val="17"/>
        </w:rPr>
        <w:t xml:space="preserve"> </w:t>
      </w:r>
      <w:r>
        <w:rPr>
          <w:spacing w:val="-1"/>
        </w:rPr>
        <w:t>giving</w:t>
      </w:r>
      <w:r>
        <w:rPr>
          <w:spacing w:val="20"/>
        </w:rPr>
        <w:t xml:space="preserve"> </w:t>
      </w:r>
      <w:r>
        <w:rPr>
          <w:spacing w:val="-1"/>
        </w:rPr>
        <w:t>such</w:t>
      </w:r>
      <w:r>
        <w:rPr>
          <w:spacing w:val="18"/>
        </w:rPr>
        <w:t xml:space="preserve"> </w:t>
      </w:r>
      <w:r>
        <w:rPr>
          <w:spacing w:val="-1"/>
        </w:rPr>
        <w:t>other</w:t>
      </w:r>
      <w:r>
        <w:rPr>
          <w:spacing w:val="19"/>
        </w:rPr>
        <w:t xml:space="preserve"> </w:t>
      </w:r>
      <w:r>
        <w:rPr>
          <w:spacing w:val="-1"/>
        </w:rPr>
        <w:t>particulars</w:t>
      </w:r>
      <w:r>
        <w:rPr>
          <w:spacing w:val="35"/>
        </w:rPr>
        <w:t xml:space="preserve"> </w:t>
      </w:r>
      <w:r>
        <w:rPr>
          <w:spacing w:val="-1"/>
        </w:rPr>
        <w:t>as</w:t>
      </w:r>
      <w:r>
        <w:rPr>
          <w:spacing w:val="1"/>
        </w:rPr>
        <w:t xml:space="preserve"> </w:t>
      </w:r>
      <w:r>
        <w:t>the</w:t>
      </w:r>
      <w:r>
        <w:rPr>
          <w:spacing w:val="-2"/>
        </w:rPr>
        <w:t xml:space="preserve"> </w:t>
      </w:r>
      <w:r>
        <w:rPr>
          <w:spacing w:val="-1"/>
        </w:rPr>
        <w:t>Customer</w:t>
      </w:r>
      <w:r>
        <w:rPr>
          <w:spacing w:val="-3"/>
        </w:rPr>
        <w:t xml:space="preserve"> </w:t>
      </w:r>
      <w:r>
        <w:rPr>
          <w:spacing w:val="-1"/>
        </w:rPr>
        <w:t>may</w:t>
      </w:r>
      <w:r>
        <w:rPr>
          <w:spacing w:val="-2"/>
        </w:rPr>
        <w:t xml:space="preserve"> </w:t>
      </w:r>
      <w:r>
        <w:rPr>
          <w:spacing w:val="-1"/>
        </w:rPr>
        <w:t>reasonably</w:t>
      </w:r>
      <w:r>
        <w:rPr>
          <w:spacing w:val="-2"/>
        </w:rPr>
        <w:t xml:space="preserve"> </w:t>
      </w:r>
      <w:r>
        <w:rPr>
          <w:spacing w:val="-1"/>
        </w:rPr>
        <w:t>require;</w:t>
      </w:r>
    </w:p>
    <w:p w:rsidR="008918FA" w:rsidRDefault="008918FA" w:rsidP="008918FA">
      <w:pPr>
        <w:pStyle w:val="BodyText"/>
        <w:numPr>
          <w:ilvl w:val="3"/>
          <w:numId w:val="66"/>
        </w:numPr>
        <w:tabs>
          <w:tab w:val="left" w:pos="2594"/>
        </w:tabs>
        <w:ind w:left="2593" w:hanging="707"/>
      </w:pPr>
      <w:r>
        <w:rPr>
          <w:spacing w:val="-1"/>
        </w:rPr>
        <w:t>ensure</w:t>
      </w:r>
      <w:r>
        <w:rPr>
          <w:spacing w:val="-2"/>
        </w:rPr>
        <w:t xml:space="preserve"> </w:t>
      </w:r>
      <w:r>
        <w:rPr>
          <w:spacing w:val="-1"/>
        </w:rPr>
        <w:t>that</w:t>
      </w:r>
      <w:r>
        <w:t xml:space="preserve"> </w:t>
      </w:r>
      <w:r>
        <w:rPr>
          <w:spacing w:val="-1"/>
        </w:rPr>
        <w:t>all</w:t>
      </w:r>
      <w:r>
        <w:t xml:space="preserve"> </w:t>
      </w:r>
      <w:r>
        <w:rPr>
          <w:spacing w:val="-2"/>
        </w:rPr>
        <w:t>Supplier</w:t>
      </w:r>
      <w:r>
        <w:rPr>
          <w:spacing w:val="-1"/>
        </w:rPr>
        <w:t xml:space="preserve"> Personnel:</w:t>
      </w:r>
    </w:p>
    <w:p w:rsidR="008918FA" w:rsidRDefault="008918FA" w:rsidP="008918FA">
      <w:pPr>
        <w:pStyle w:val="BodyText"/>
        <w:numPr>
          <w:ilvl w:val="4"/>
          <w:numId w:val="66"/>
        </w:numPr>
        <w:tabs>
          <w:tab w:val="left" w:pos="3163"/>
        </w:tabs>
        <w:ind w:left="3162" w:right="114" w:hanging="568"/>
        <w:jc w:val="both"/>
      </w:pPr>
      <w:r>
        <w:rPr>
          <w:spacing w:val="-1"/>
        </w:rPr>
        <w:t>are</w:t>
      </w:r>
      <w:r>
        <w:rPr>
          <w:spacing w:val="2"/>
        </w:rPr>
        <w:t xml:space="preserve"> </w:t>
      </w:r>
      <w:r>
        <w:rPr>
          <w:spacing w:val="-1"/>
        </w:rPr>
        <w:t>appropriately</w:t>
      </w:r>
      <w:r>
        <w:t xml:space="preserve"> </w:t>
      </w:r>
      <w:r>
        <w:rPr>
          <w:spacing w:val="-1"/>
        </w:rPr>
        <w:t>qualified,</w:t>
      </w:r>
      <w:r>
        <w:rPr>
          <w:spacing w:val="3"/>
        </w:rPr>
        <w:t xml:space="preserve"> </w:t>
      </w:r>
      <w:r>
        <w:rPr>
          <w:spacing w:val="-1"/>
        </w:rPr>
        <w:t>trained</w:t>
      </w:r>
      <w:r>
        <w:rPr>
          <w:spacing w:val="2"/>
        </w:rPr>
        <w:t xml:space="preserve"> </w:t>
      </w:r>
      <w:r>
        <w:rPr>
          <w:spacing w:val="-1"/>
        </w:rPr>
        <w:t>and</w:t>
      </w:r>
      <w:r>
        <w:rPr>
          <w:spacing w:val="2"/>
        </w:rPr>
        <w:t xml:space="preserve"> </w:t>
      </w:r>
      <w:r>
        <w:rPr>
          <w:spacing w:val="-1"/>
        </w:rPr>
        <w:t>experienced</w:t>
      </w:r>
      <w:r>
        <w:rPr>
          <w:spacing w:val="2"/>
        </w:rPr>
        <w:t xml:space="preserve"> </w:t>
      </w:r>
      <w:r>
        <w:t>to</w:t>
      </w:r>
      <w:r>
        <w:rPr>
          <w:spacing w:val="31"/>
        </w:rPr>
        <w:t xml:space="preserve"> </w:t>
      </w:r>
      <w:r>
        <w:rPr>
          <w:spacing w:val="-2"/>
        </w:rPr>
        <w:t>provide</w:t>
      </w:r>
      <w:r>
        <w:rPr>
          <w:spacing w:val="53"/>
        </w:rPr>
        <w:t xml:space="preserve"> </w:t>
      </w:r>
      <w:r>
        <w:t>the</w:t>
      </w:r>
      <w:r>
        <w:rPr>
          <w:spacing w:val="53"/>
        </w:rPr>
        <w:t xml:space="preserve"> </w:t>
      </w:r>
      <w:r>
        <w:rPr>
          <w:spacing w:val="-1"/>
        </w:rPr>
        <w:t>Goods</w:t>
      </w:r>
      <w:r>
        <w:rPr>
          <w:spacing w:val="53"/>
        </w:rPr>
        <w:t xml:space="preserve"> </w:t>
      </w:r>
      <w:r>
        <w:rPr>
          <w:spacing w:val="-2"/>
        </w:rPr>
        <w:t>and/or</w:t>
      </w:r>
      <w:r>
        <w:rPr>
          <w:spacing w:val="54"/>
        </w:rPr>
        <w:t xml:space="preserve"> </w:t>
      </w:r>
      <w:r>
        <w:rPr>
          <w:spacing w:val="-1"/>
        </w:rPr>
        <w:t>Services</w:t>
      </w:r>
      <w:r>
        <w:rPr>
          <w:spacing w:val="54"/>
        </w:rPr>
        <w:t xml:space="preserve"> </w:t>
      </w:r>
      <w:r>
        <w:rPr>
          <w:spacing w:val="-2"/>
        </w:rPr>
        <w:t>with</w:t>
      </w:r>
      <w:r>
        <w:rPr>
          <w:spacing w:val="53"/>
        </w:rPr>
        <w:t xml:space="preserve"> </w:t>
      </w:r>
      <w:r>
        <w:t>all</w:t>
      </w:r>
      <w:r>
        <w:rPr>
          <w:spacing w:val="53"/>
        </w:rPr>
        <w:t xml:space="preserve"> </w:t>
      </w:r>
      <w:r>
        <w:rPr>
          <w:spacing w:val="-1"/>
        </w:rPr>
        <w:t>reasonable</w:t>
      </w:r>
      <w:r>
        <w:rPr>
          <w:spacing w:val="37"/>
        </w:rPr>
        <w:t xml:space="preserve"> </w:t>
      </w:r>
      <w:r>
        <w:rPr>
          <w:spacing w:val="-1"/>
        </w:rPr>
        <w:t>skill,</w:t>
      </w:r>
      <w:r>
        <w:rPr>
          <w:spacing w:val="2"/>
        </w:rPr>
        <w:t xml:space="preserve"> </w:t>
      </w:r>
      <w:r>
        <w:rPr>
          <w:spacing w:val="-1"/>
        </w:rPr>
        <w:t>care</w:t>
      </w:r>
      <w:r>
        <w:t xml:space="preserve"> </w:t>
      </w:r>
      <w:r>
        <w:rPr>
          <w:spacing w:val="-2"/>
        </w:rPr>
        <w:t>and</w:t>
      </w:r>
      <w:r>
        <w:t xml:space="preserve"> </w:t>
      </w:r>
      <w:r>
        <w:rPr>
          <w:spacing w:val="-2"/>
        </w:rPr>
        <w:t>diligence;</w:t>
      </w:r>
    </w:p>
    <w:p w:rsidR="008918FA" w:rsidRDefault="008918FA" w:rsidP="008918FA">
      <w:pPr>
        <w:pStyle w:val="BodyText"/>
        <w:numPr>
          <w:ilvl w:val="4"/>
          <w:numId w:val="66"/>
        </w:numPr>
        <w:tabs>
          <w:tab w:val="left" w:pos="3163"/>
        </w:tabs>
        <w:spacing w:before="121"/>
        <w:ind w:left="3162" w:right="113" w:hanging="568"/>
        <w:jc w:val="both"/>
      </w:pPr>
      <w:r>
        <w:rPr>
          <w:spacing w:val="-1"/>
        </w:rPr>
        <w:t>are</w:t>
      </w:r>
      <w:r>
        <w:rPr>
          <w:spacing w:val="7"/>
        </w:rPr>
        <w:t xml:space="preserve"> </w:t>
      </w:r>
      <w:r>
        <w:rPr>
          <w:spacing w:val="-1"/>
        </w:rPr>
        <w:t>vetted</w:t>
      </w:r>
      <w:r>
        <w:rPr>
          <w:spacing w:val="6"/>
        </w:rPr>
        <w:t xml:space="preserve"> </w:t>
      </w:r>
      <w:r>
        <w:rPr>
          <w:spacing w:val="-1"/>
        </w:rPr>
        <w:t>in</w:t>
      </w:r>
      <w:r>
        <w:rPr>
          <w:spacing w:val="6"/>
        </w:rPr>
        <w:t xml:space="preserve"> </w:t>
      </w:r>
      <w:r>
        <w:rPr>
          <w:spacing w:val="-1"/>
        </w:rPr>
        <w:t>accordance</w:t>
      </w:r>
      <w:r>
        <w:rPr>
          <w:spacing w:val="9"/>
        </w:rPr>
        <w:t xml:space="preserve"> </w:t>
      </w:r>
      <w:r>
        <w:rPr>
          <w:spacing w:val="-2"/>
        </w:rPr>
        <w:t>with</w:t>
      </w:r>
      <w:r>
        <w:rPr>
          <w:spacing w:val="6"/>
        </w:rPr>
        <w:t xml:space="preserve"> </w:t>
      </w:r>
      <w:r>
        <w:rPr>
          <w:spacing w:val="-1"/>
        </w:rPr>
        <w:t>Good</w:t>
      </w:r>
      <w:r>
        <w:t xml:space="preserve"> </w:t>
      </w:r>
      <w:r>
        <w:rPr>
          <w:spacing w:val="6"/>
        </w:rPr>
        <w:t xml:space="preserve"> </w:t>
      </w:r>
      <w:r>
        <w:rPr>
          <w:spacing w:val="-1"/>
        </w:rPr>
        <w:t>Industry</w:t>
      </w:r>
      <w:r>
        <w:t xml:space="preserve"> </w:t>
      </w:r>
      <w:r>
        <w:rPr>
          <w:spacing w:val="4"/>
        </w:rPr>
        <w:t xml:space="preserve"> </w:t>
      </w:r>
      <w:r>
        <w:rPr>
          <w:spacing w:val="-1"/>
        </w:rPr>
        <w:t>Practice</w:t>
      </w:r>
      <w:r>
        <w:rPr>
          <w:spacing w:val="44"/>
        </w:rPr>
        <w:t xml:space="preserve"> </w:t>
      </w:r>
      <w:r>
        <w:rPr>
          <w:spacing w:val="-1"/>
        </w:rPr>
        <w:t>and,</w:t>
      </w:r>
      <w:r>
        <w:rPr>
          <w:spacing w:val="51"/>
        </w:rPr>
        <w:t xml:space="preserve"> </w:t>
      </w:r>
      <w:r>
        <w:rPr>
          <w:spacing w:val="-2"/>
        </w:rPr>
        <w:t>where</w:t>
      </w:r>
      <w:r>
        <w:rPr>
          <w:spacing w:val="49"/>
        </w:rPr>
        <w:t xml:space="preserve"> </w:t>
      </w:r>
      <w:r>
        <w:rPr>
          <w:spacing w:val="-2"/>
        </w:rPr>
        <w:t>applicable,</w:t>
      </w:r>
      <w:r>
        <w:rPr>
          <w:spacing w:val="51"/>
        </w:rPr>
        <w:t xml:space="preserve"> </w:t>
      </w:r>
      <w:r>
        <w:t>the</w:t>
      </w:r>
      <w:r>
        <w:rPr>
          <w:spacing w:val="49"/>
        </w:rPr>
        <w:t xml:space="preserve"> </w:t>
      </w:r>
      <w:r>
        <w:rPr>
          <w:spacing w:val="-1"/>
        </w:rPr>
        <w:t>Security</w:t>
      </w:r>
      <w:r>
        <w:rPr>
          <w:spacing w:val="47"/>
        </w:rPr>
        <w:t xml:space="preserve"> </w:t>
      </w:r>
      <w:r>
        <w:rPr>
          <w:spacing w:val="-2"/>
        </w:rPr>
        <w:t>Policy</w:t>
      </w:r>
      <w:r>
        <w:rPr>
          <w:spacing w:val="50"/>
        </w:rPr>
        <w:t xml:space="preserve"> </w:t>
      </w:r>
      <w:r>
        <w:rPr>
          <w:spacing w:val="-1"/>
        </w:rPr>
        <w:t>and</w:t>
      </w:r>
      <w:r>
        <w:rPr>
          <w:spacing w:val="50"/>
        </w:rPr>
        <w:t xml:space="preserve"> </w:t>
      </w:r>
      <w:r>
        <w:rPr>
          <w:spacing w:val="-1"/>
        </w:rPr>
        <w:t>the</w:t>
      </w:r>
      <w:r>
        <w:rPr>
          <w:spacing w:val="54"/>
        </w:rPr>
        <w:t xml:space="preserve"> </w:t>
      </w:r>
      <w:r>
        <w:rPr>
          <w:spacing w:val="-1"/>
        </w:rPr>
        <w:t>Standards;</w:t>
      </w:r>
      <w:r>
        <w:rPr>
          <w:spacing w:val="2"/>
        </w:rPr>
        <w:t xml:space="preserve"> </w:t>
      </w:r>
      <w:r>
        <w:rPr>
          <w:spacing w:val="-1"/>
        </w:rPr>
        <w:t>and</w:t>
      </w:r>
    </w:p>
    <w:p w:rsidR="008918FA" w:rsidRDefault="008918FA" w:rsidP="008918FA">
      <w:pPr>
        <w:pStyle w:val="BodyText"/>
        <w:numPr>
          <w:ilvl w:val="4"/>
          <w:numId w:val="66"/>
        </w:numPr>
        <w:tabs>
          <w:tab w:val="left" w:pos="3163"/>
        </w:tabs>
        <w:spacing w:before="121"/>
        <w:ind w:left="3162" w:right="114" w:hanging="568"/>
        <w:jc w:val="both"/>
      </w:pPr>
      <w:r>
        <w:rPr>
          <w:spacing w:val="-1"/>
        </w:rPr>
        <w:t>comply</w:t>
      </w:r>
      <w:r>
        <w:rPr>
          <w:spacing w:val="13"/>
        </w:rPr>
        <w:t xml:space="preserve"> </w:t>
      </w:r>
      <w:r>
        <w:rPr>
          <w:spacing w:val="-2"/>
        </w:rPr>
        <w:t>with</w:t>
      </w:r>
      <w:r>
        <w:rPr>
          <w:spacing w:val="12"/>
        </w:rPr>
        <w:t xml:space="preserve"> </w:t>
      </w:r>
      <w:r>
        <w:t>all</w:t>
      </w:r>
      <w:r>
        <w:rPr>
          <w:spacing w:val="12"/>
        </w:rPr>
        <w:t xml:space="preserve"> </w:t>
      </w:r>
      <w:r>
        <w:rPr>
          <w:spacing w:val="-1"/>
        </w:rPr>
        <w:t>reasonable</w:t>
      </w:r>
      <w:r>
        <w:rPr>
          <w:spacing w:val="12"/>
        </w:rPr>
        <w:t xml:space="preserve"> </w:t>
      </w:r>
      <w:r>
        <w:rPr>
          <w:spacing w:val="-1"/>
        </w:rPr>
        <w:t>requirements</w:t>
      </w:r>
      <w:r>
        <w:rPr>
          <w:spacing w:val="13"/>
        </w:rPr>
        <w:t xml:space="preserve"> </w:t>
      </w:r>
      <w:r>
        <w:rPr>
          <w:spacing w:val="-2"/>
        </w:rPr>
        <w:t>of</w:t>
      </w:r>
      <w:r>
        <w:rPr>
          <w:spacing w:val="14"/>
        </w:rPr>
        <w:t xml:space="preserve"> </w:t>
      </w:r>
      <w:r>
        <w:t>the</w:t>
      </w:r>
      <w:r>
        <w:rPr>
          <w:spacing w:val="12"/>
        </w:rPr>
        <w:t xml:space="preserve"> </w:t>
      </w:r>
      <w:r>
        <w:rPr>
          <w:spacing w:val="-2"/>
        </w:rPr>
        <w:t>Customer</w:t>
      </w:r>
      <w:r>
        <w:rPr>
          <w:spacing w:val="43"/>
        </w:rPr>
        <w:t xml:space="preserve"> </w:t>
      </w:r>
      <w:r>
        <w:rPr>
          <w:spacing w:val="-1"/>
        </w:rPr>
        <w:t>concerning</w:t>
      </w:r>
      <w:r>
        <w:rPr>
          <w:spacing w:val="27"/>
        </w:rPr>
        <w:t xml:space="preserve"> </w:t>
      </w:r>
      <w:r>
        <w:rPr>
          <w:spacing w:val="-1"/>
        </w:rPr>
        <w:t>conduct</w:t>
      </w:r>
      <w:r>
        <w:rPr>
          <w:spacing w:val="26"/>
        </w:rPr>
        <w:t xml:space="preserve"> </w:t>
      </w:r>
      <w:r>
        <w:rPr>
          <w:spacing w:val="-2"/>
        </w:rPr>
        <w:t>at</w:t>
      </w:r>
      <w:r>
        <w:rPr>
          <w:spacing w:val="23"/>
        </w:rPr>
        <w:t xml:space="preserve"> </w:t>
      </w:r>
      <w:r>
        <w:rPr>
          <w:spacing w:val="-1"/>
        </w:rPr>
        <w:t>the</w:t>
      </w:r>
      <w:r>
        <w:rPr>
          <w:spacing w:val="24"/>
        </w:rPr>
        <w:t xml:space="preserve"> </w:t>
      </w:r>
      <w:r>
        <w:rPr>
          <w:spacing w:val="-1"/>
        </w:rPr>
        <w:t>Customer</w:t>
      </w:r>
      <w:r>
        <w:rPr>
          <w:spacing w:val="23"/>
        </w:rPr>
        <w:t xml:space="preserve"> </w:t>
      </w:r>
      <w:r>
        <w:rPr>
          <w:spacing w:val="-1"/>
        </w:rPr>
        <w:t>Premises,</w:t>
      </w:r>
      <w:r>
        <w:rPr>
          <w:spacing w:val="24"/>
        </w:rPr>
        <w:t xml:space="preserve"> </w:t>
      </w:r>
      <w:r>
        <w:rPr>
          <w:spacing w:val="-1"/>
        </w:rPr>
        <w:t>including</w:t>
      </w:r>
      <w:r>
        <w:rPr>
          <w:spacing w:val="25"/>
        </w:rPr>
        <w:t xml:space="preserve"> </w:t>
      </w:r>
      <w:r>
        <w:t>the</w:t>
      </w:r>
      <w:r>
        <w:rPr>
          <w:spacing w:val="29"/>
        </w:rPr>
        <w:t xml:space="preserve"> </w:t>
      </w:r>
      <w:r>
        <w:rPr>
          <w:spacing w:val="-1"/>
        </w:rPr>
        <w:t>security</w:t>
      </w:r>
      <w:r>
        <w:rPr>
          <w:spacing w:val="27"/>
        </w:rPr>
        <w:t xml:space="preserve"> </w:t>
      </w:r>
      <w:r>
        <w:rPr>
          <w:spacing w:val="-1"/>
        </w:rPr>
        <w:t>requirements</w:t>
      </w:r>
      <w:r>
        <w:rPr>
          <w:spacing w:val="30"/>
        </w:rPr>
        <w:t xml:space="preserve"> </w:t>
      </w:r>
      <w:r>
        <w:rPr>
          <w:spacing w:val="-1"/>
        </w:rPr>
        <w:t>set</w:t>
      </w:r>
      <w:r>
        <w:rPr>
          <w:spacing w:val="30"/>
        </w:rPr>
        <w:t xml:space="preserve"> </w:t>
      </w:r>
      <w:r>
        <w:rPr>
          <w:spacing w:val="-2"/>
        </w:rPr>
        <w:t>out</w:t>
      </w:r>
      <w:r>
        <w:rPr>
          <w:spacing w:val="30"/>
        </w:rPr>
        <w:t xml:space="preserve"> </w:t>
      </w:r>
      <w:r>
        <w:rPr>
          <w:spacing w:val="-1"/>
        </w:rPr>
        <w:t>in</w:t>
      </w:r>
      <w:r>
        <w:rPr>
          <w:spacing w:val="29"/>
        </w:rPr>
        <w:t xml:space="preserve"> </w:t>
      </w:r>
      <w:r>
        <w:rPr>
          <w:spacing w:val="-2"/>
        </w:rPr>
        <w:t>Call</w:t>
      </w:r>
      <w:r>
        <w:rPr>
          <w:spacing w:val="28"/>
        </w:rPr>
        <w:t xml:space="preserve"> </w:t>
      </w:r>
      <w:r>
        <w:rPr>
          <w:spacing w:val="-1"/>
        </w:rPr>
        <w:t>Off</w:t>
      </w:r>
      <w:r>
        <w:rPr>
          <w:spacing w:val="30"/>
        </w:rPr>
        <w:t xml:space="preserve"> </w:t>
      </w:r>
      <w:r>
        <w:rPr>
          <w:spacing w:val="-2"/>
        </w:rPr>
        <w:t>Schedule</w:t>
      </w:r>
      <w:r>
        <w:rPr>
          <w:spacing w:val="29"/>
        </w:rPr>
        <w:t xml:space="preserve"> </w:t>
      </w:r>
      <w:r>
        <w:t>8</w:t>
      </w:r>
      <w:r>
        <w:rPr>
          <w:spacing w:val="37"/>
        </w:rPr>
        <w:t xml:space="preserve"> </w:t>
      </w:r>
      <w:r>
        <w:rPr>
          <w:spacing w:val="-1"/>
        </w:rPr>
        <w:t>(Security);</w:t>
      </w:r>
    </w:p>
    <w:p w:rsidR="008918FA" w:rsidRDefault="008918FA" w:rsidP="008918FA">
      <w:pPr>
        <w:pStyle w:val="BodyText"/>
        <w:numPr>
          <w:ilvl w:val="3"/>
          <w:numId w:val="66"/>
        </w:numPr>
        <w:tabs>
          <w:tab w:val="left" w:pos="2594"/>
        </w:tabs>
        <w:spacing w:before="121"/>
        <w:ind w:left="2593" w:right="114" w:hanging="707"/>
        <w:jc w:val="both"/>
      </w:pPr>
      <w:r>
        <w:rPr>
          <w:spacing w:val="-1"/>
        </w:rPr>
        <w:t>subject</w:t>
      </w:r>
      <w:r>
        <w:rPr>
          <w:spacing w:val="30"/>
        </w:rPr>
        <w:t xml:space="preserve"> </w:t>
      </w:r>
      <w:r>
        <w:t>to</w:t>
      </w:r>
      <w:r>
        <w:rPr>
          <w:spacing w:val="29"/>
        </w:rPr>
        <w:t xml:space="preserve"> </w:t>
      </w:r>
      <w:r>
        <w:rPr>
          <w:spacing w:val="-2"/>
        </w:rPr>
        <w:t>Call</w:t>
      </w:r>
      <w:r>
        <w:rPr>
          <w:spacing w:val="28"/>
        </w:rPr>
        <w:t xml:space="preserve"> </w:t>
      </w:r>
      <w:r>
        <w:rPr>
          <w:spacing w:val="-1"/>
        </w:rPr>
        <w:t>Off</w:t>
      </w:r>
      <w:r>
        <w:rPr>
          <w:spacing w:val="30"/>
        </w:rPr>
        <w:t xml:space="preserve"> </w:t>
      </w:r>
      <w:r>
        <w:rPr>
          <w:spacing w:val="-2"/>
        </w:rPr>
        <w:t>Schedule</w:t>
      </w:r>
      <w:r>
        <w:rPr>
          <w:spacing w:val="29"/>
        </w:rPr>
        <w:t xml:space="preserve"> </w:t>
      </w:r>
      <w:r>
        <w:t>11</w:t>
      </w:r>
      <w:r>
        <w:rPr>
          <w:spacing w:val="29"/>
        </w:rPr>
        <w:t xml:space="preserve"> </w:t>
      </w:r>
      <w:r>
        <w:rPr>
          <w:spacing w:val="-1"/>
        </w:rPr>
        <w:t>(Staff</w:t>
      </w:r>
      <w:r>
        <w:rPr>
          <w:spacing w:val="30"/>
        </w:rPr>
        <w:t xml:space="preserve"> </w:t>
      </w:r>
      <w:r>
        <w:rPr>
          <w:spacing w:val="-1"/>
        </w:rPr>
        <w:t>Transfer),</w:t>
      </w:r>
      <w:r>
        <w:rPr>
          <w:spacing w:val="28"/>
        </w:rPr>
        <w:t xml:space="preserve"> </w:t>
      </w:r>
      <w:r>
        <w:rPr>
          <w:spacing w:val="-1"/>
        </w:rPr>
        <w:t>retain</w:t>
      </w:r>
      <w:r>
        <w:rPr>
          <w:spacing w:val="29"/>
        </w:rPr>
        <w:t xml:space="preserve"> </w:t>
      </w:r>
      <w:r>
        <w:rPr>
          <w:spacing w:val="-2"/>
        </w:rPr>
        <w:t>overall</w:t>
      </w:r>
      <w:r>
        <w:rPr>
          <w:spacing w:val="61"/>
        </w:rPr>
        <w:t xml:space="preserve"> </w:t>
      </w:r>
      <w:r>
        <w:rPr>
          <w:spacing w:val="-1"/>
        </w:rPr>
        <w:t>control</w:t>
      </w:r>
      <w:r>
        <w:rPr>
          <w:spacing w:val="20"/>
        </w:rPr>
        <w:t xml:space="preserve"> </w:t>
      </w:r>
      <w:r>
        <w:rPr>
          <w:spacing w:val="-2"/>
        </w:rPr>
        <w:t>of</w:t>
      </w:r>
      <w:r>
        <w:rPr>
          <w:spacing w:val="22"/>
        </w:rPr>
        <w:t xml:space="preserve"> </w:t>
      </w:r>
      <w:r>
        <w:rPr>
          <w:spacing w:val="-1"/>
        </w:rPr>
        <w:t>the</w:t>
      </w:r>
      <w:r>
        <w:rPr>
          <w:spacing w:val="21"/>
        </w:rPr>
        <w:t xml:space="preserve"> </w:t>
      </w:r>
      <w:r>
        <w:rPr>
          <w:spacing w:val="-2"/>
        </w:rPr>
        <w:t>Supplier</w:t>
      </w:r>
      <w:r>
        <w:rPr>
          <w:spacing w:val="22"/>
        </w:rPr>
        <w:t xml:space="preserve"> </w:t>
      </w:r>
      <w:r>
        <w:rPr>
          <w:spacing w:val="-1"/>
        </w:rPr>
        <w:t>Personnel</w:t>
      </w:r>
      <w:r>
        <w:rPr>
          <w:spacing w:val="20"/>
        </w:rPr>
        <w:t xml:space="preserve"> </w:t>
      </w:r>
      <w:r>
        <w:rPr>
          <w:spacing w:val="-1"/>
        </w:rPr>
        <w:t>at</w:t>
      </w:r>
      <w:r>
        <w:rPr>
          <w:spacing w:val="20"/>
        </w:rPr>
        <w:t xml:space="preserve"> </w:t>
      </w:r>
      <w:r>
        <w:rPr>
          <w:spacing w:val="-1"/>
        </w:rPr>
        <w:t>all</w:t>
      </w:r>
      <w:r>
        <w:rPr>
          <w:spacing w:val="20"/>
        </w:rPr>
        <w:t xml:space="preserve"> </w:t>
      </w:r>
      <w:r>
        <w:rPr>
          <w:spacing w:val="-1"/>
        </w:rPr>
        <w:t>times</w:t>
      </w:r>
      <w:r>
        <w:rPr>
          <w:spacing w:val="21"/>
        </w:rPr>
        <w:t xml:space="preserve"> </w:t>
      </w:r>
      <w:r>
        <w:rPr>
          <w:spacing w:val="-1"/>
        </w:rPr>
        <w:t>so</w:t>
      </w:r>
      <w:r>
        <w:rPr>
          <w:spacing w:val="21"/>
        </w:rPr>
        <w:t xml:space="preserve"> </w:t>
      </w:r>
      <w:r>
        <w:rPr>
          <w:spacing w:val="-1"/>
        </w:rPr>
        <w:t>that</w:t>
      </w:r>
      <w:r>
        <w:rPr>
          <w:spacing w:val="20"/>
        </w:rPr>
        <w:t xml:space="preserve"> </w:t>
      </w:r>
      <w:r>
        <w:rPr>
          <w:spacing w:val="-1"/>
        </w:rPr>
        <w:t>the</w:t>
      </w:r>
      <w:r>
        <w:rPr>
          <w:spacing w:val="46"/>
        </w:rPr>
        <w:t xml:space="preserve"> </w:t>
      </w:r>
      <w:r>
        <w:rPr>
          <w:spacing w:val="-2"/>
        </w:rPr>
        <w:t>Supplier</w:t>
      </w:r>
      <w:r>
        <w:rPr>
          <w:spacing w:val="13"/>
        </w:rPr>
        <w:t xml:space="preserve"> </w:t>
      </w:r>
      <w:r>
        <w:rPr>
          <w:spacing w:val="-1"/>
        </w:rPr>
        <w:t>Personnel</w:t>
      </w:r>
      <w:r>
        <w:rPr>
          <w:spacing w:val="11"/>
        </w:rPr>
        <w:t xml:space="preserve"> </w:t>
      </w:r>
      <w:r>
        <w:rPr>
          <w:spacing w:val="-2"/>
        </w:rPr>
        <w:t>shall</w:t>
      </w:r>
      <w:r>
        <w:rPr>
          <w:spacing w:val="11"/>
        </w:rPr>
        <w:t xml:space="preserve"> </w:t>
      </w:r>
      <w:r>
        <w:rPr>
          <w:spacing w:val="-1"/>
        </w:rPr>
        <w:t>not</w:t>
      </w:r>
      <w:r>
        <w:rPr>
          <w:spacing w:val="13"/>
        </w:rPr>
        <w:t xml:space="preserve"> </w:t>
      </w:r>
      <w:r>
        <w:rPr>
          <w:spacing w:val="-1"/>
        </w:rPr>
        <w:t>be</w:t>
      </w:r>
      <w:r>
        <w:rPr>
          <w:spacing w:val="11"/>
        </w:rPr>
        <w:t xml:space="preserve"> </w:t>
      </w:r>
      <w:r>
        <w:rPr>
          <w:spacing w:val="-1"/>
        </w:rPr>
        <w:t>deemed</w:t>
      </w:r>
      <w:r>
        <w:rPr>
          <w:spacing w:val="9"/>
        </w:rPr>
        <w:t xml:space="preserve"> </w:t>
      </w:r>
      <w:r>
        <w:t>to</w:t>
      </w:r>
      <w:r>
        <w:rPr>
          <w:spacing w:val="9"/>
        </w:rPr>
        <w:t xml:space="preserve"> </w:t>
      </w:r>
      <w:r>
        <w:rPr>
          <w:spacing w:val="-2"/>
        </w:rPr>
        <w:t>be</w:t>
      </w:r>
      <w:r>
        <w:rPr>
          <w:spacing w:val="11"/>
        </w:rPr>
        <w:t xml:space="preserve"> </w:t>
      </w:r>
      <w:r>
        <w:rPr>
          <w:spacing w:val="-2"/>
        </w:rPr>
        <w:t>employees,</w:t>
      </w:r>
      <w:r>
        <w:rPr>
          <w:spacing w:val="52"/>
        </w:rPr>
        <w:t xml:space="preserve"> </w:t>
      </w:r>
      <w:r>
        <w:rPr>
          <w:spacing w:val="-1"/>
        </w:rPr>
        <w:t>agents</w:t>
      </w:r>
      <w:r>
        <w:rPr>
          <w:spacing w:val="1"/>
        </w:rPr>
        <w:t xml:space="preserve"> </w:t>
      </w:r>
      <w:r>
        <w:rPr>
          <w:spacing w:val="-2"/>
        </w:rPr>
        <w:t>or</w:t>
      </w:r>
      <w:r>
        <w:rPr>
          <w:spacing w:val="2"/>
        </w:rPr>
        <w:t xml:space="preserve"> </w:t>
      </w:r>
      <w:r>
        <w:rPr>
          <w:spacing w:val="-1"/>
        </w:rPr>
        <w:t>contractors</w:t>
      </w:r>
      <w:r>
        <w:rPr>
          <w:spacing w:val="1"/>
        </w:rPr>
        <w:t xml:space="preserve"> </w:t>
      </w:r>
      <w:r>
        <w:rPr>
          <w:spacing w:val="-2"/>
        </w:rPr>
        <w:t>of</w:t>
      </w:r>
      <w:r>
        <w:t xml:space="preserve"> </w:t>
      </w:r>
      <w:r>
        <w:rPr>
          <w:spacing w:val="-1"/>
        </w:rPr>
        <w:t>the</w:t>
      </w:r>
      <w:r>
        <w:t xml:space="preserve"> </w:t>
      </w:r>
      <w:r>
        <w:rPr>
          <w:spacing w:val="-1"/>
        </w:rPr>
        <w:t>Customer;</w:t>
      </w:r>
    </w:p>
    <w:p w:rsidR="008918FA" w:rsidRDefault="008918FA" w:rsidP="008918FA">
      <w:pPr>
        <w:pStyle w:val="BodyText"/>
        <w:numPr>
          <w:ilvl w:val="3"/>
          <w:numId w:val="66"/>
        </w:numPr>
        <w:tabs>
          <w:tab w:val="left" w:pos="2594"/>
        </w:tabs>
        <w:ind w:left="2593" w:right="113"/>
        <w:jc w:val="both"/>
      </w:pPr>
      <w:r>
        <w:rPr>
          <w:spacing w:val="-1"/>
        </w:rPr>
        <w:t>be</w:t>
      </w:r>
      <w:r>
        <w:rPr>
          <w:spacing w:val="11"/>
        </w:rPr>
        <w:t xml:space="preserve"> </w:t>
      </w:r>
      <w:r>
        <w:rPr>
          <w:spacing w:val="-2"/>
        </w:rPr>
        <w:t>liable</w:t>
      </w:r>
      <w:r>
        <w:rPr>
          <w:spacing w:val="11"/>
        </w:rPr>
        <w:t xml:space="preserve"> </w:t>
      </w:r>
      <w:r>
        <w:rPr>
          <w:spacing w:val="-1"/>
        </w:rPr>
        <w:t>at</w:t>
      </w:r>
      <w:r>
        <w:rPr>
          <w:spacing w:val="13"/>
        </w:rPr>
        <w:t xml:space="preserve"> </w:t>
      </w:r>
      <w:r>
        <w:t>all</w:t>
      </w:r>
      <w:r>
        <w:rPr>
          <w:spacing w:val="11"/>
        </w:rPr>
        <w:t xml:space="preserve"> </w:t>
      </w:r>
      <w:r>
        <w:rPr>
          <w:spacing w:val="-1"/>
        </w:rPr>
        <w:t>times</w:t>
      </w:r>
      <w:r>
        <w:rPr>
          <w:spacing w:val="12"/>
        </w:rPr>
        <w:t xml:space="preserve"> </w:t>
      </w:r>
      <w:r>
        <w:t>for</w:t>
      </w:r>
      <w:r>
        <w:rPr>
          <w:spacing w:val="13"/>
        </w:rPr>
        <w:t xml:space="preserve"> </w:t>
      </w:r>
      <w:r>
        <w:rPr>
          <w:spacing w:val="-1"/>
        </w:rPr>
        <w:t>all</w:t>
      </w:r>
      <w:r>
        <w:rPr>
          <w:spacing w:val="11"/>
        </w:rPr>
        <w:t xml:space="preserve"> </w:t>
      </w:r>
      <w:r>
        <w:rPr>
          <w:spacing w:val="-1"/>
        </w:rPr>
        <w:t>acts</w:t>
      </w:r>
      <w:r>
        <w:rPr>
          <w:spacing w:val="12"/>
        </w:rPr>
        <w:t xml:space="preserve"> </w:t>
      </w:r>
      <w:r>
        <w:rPr>
          <w:spacing w:val="-1"/>
        </w:rPr>
        <w:t>or</w:t>
      </w:r>
      <w:r>
        <w:rPr>
          <w:spacing w:val="13"/>
        </w:rPr>
        <w:t xml:space="preserve"> </w:t>
      </w:r>
      <w:r>
        <w:rPr>
          <w:spacing w:val="-2"/>
        </w:rPr>
        <w:t>omissions</w:t>
      </w:r>
      <w:r>
        <w:rPr>
          <w:spacing w:val="12"/>
        </w:rPr>
        <w:t xml:space="preserve"> </w:t>
      </w:r>
      <w:r>
        <w:rPr>
          <w:spacing w:val="-2"/>
        </w:rPr>
        <w:t>of</w:t>
      </w:r>
      <w:r>
        <w:rPr>
          <w:spacing w:val="15"/>
        </w:rPr>
        <w:t xml:space="preserve"> </w:t>
      </w:r>
      <w:r>
        <w:rPr>
          <w:spacing w:val="-2"/>
        </w:rPr>
        <w:t>Supplier</w:t>
      </w:r>
      <w:r>
        <w:rPr>
          <w:spacing w:val="56"/>
        </w:rPr>
        <w:t xml:space="preserve"> </w:t>
      </w:r>
      <w:r>
        <w:rPr>
          <w:spacing w:val="-1"/>
        </w:rPr>
        <w:t>Personnel,</w:t>
      </w:r>
      <w:r>
        <w:rPr>
          <w:spacing w:val="50"/>
        </w:rPr>
        <w:t xml:space="preserve"> </w:t>
      </w:r>
      <w:r>
        <w:rPr>
          <w:spacing w:val="-1"/>
        </w:rPr>
        <w:t>so</w:t>
      </w:r>
      <w:r>
        <w:rPr>
          <w:spacing w:val="46"/>
        </w:rPr>
        <w:t xml:space="preserve"> </w:t>
      </w:r>
      <w:r>
        <w:rPr>
          <w:spacing w:val="-1"/>
        </w:rPr>
        <w:t>that</w:t>
      </w:r>
      <w:r>
        <w:rPr>
          <w:spacing w:val="47"/>
        </w:rPr>
        <w:t xml:space="preserve"> </w:t>
      </w:r>
      <w:r>
        <w:rPr>
          <w:spacing w:val="-1"/>
        </w:rPr>
        <w:t>any</w:t>
      </w:r>
      <w:r>
        <w:rPr>
          <w:spacing w:val="46"/>
        </w:rPr>
        <w:t xml:space="preserve"> </w:t>
      </w:r>
      <w:r>
        <w:rPr>
          <w:spacing w:val="-1"/>
        </w:rPr>
        <w:t>act</w:t>
      </w:r>
      <w:r>
        <w:rPr>
          <w:spacing w:val="50"/>
        </w:rPr>
        <w:t xml:space="preserve"> </w:t>
      </w:r>
      <w:r>
        <w:rPr>
          <w:spacing w:val="-2"/>
        </w:rPr>
        <w:t>or</w:t>
      </w:r>
      <w:r>
        <w:rPr>
          <w:spacing w:val="49"/>
        </w:rPr>
        <w:t xml:space="preserve"> </w:t>
      </w:r>
      <w:r>
        <w:rPr>
          <w:spacing w:val="-2"/>
        </w:rPr>
        <w:t>omission</w:t>
      </w:r>
      <w:r>
        <w:rPr>
          <w:spacing w:val="49"/>
        </w:rPr>
        <w:t xml:space="preserve"> </w:t>
      </w:r>
      <w:r>
        <w:rPr>
          <w:spacing w:val="-2"/>
        </w:rPr>
        <w:t>of</w:t>
      </w:r>
      <w:r>
        <w:rPr>
          <w:spacing w:val="50"/>
        </w:rPr>
        <w:t xml:space="preserve"> </w:t>
      </w:r>
      <w:r>
        <w:t>a</w:t>
      </w:r>
      <w:r>
        <w:rPr>
          <w:spacing w:val="46"/>
        </w:rPr>
        <w:t xml:space="preserve"> </w:t>
      </w:r>
      <w:r>
        <w:rPr>
          <w:spacing w:val="-1"/>
        </w:rPr>
        <w:t>member</w:t>
      </w:r>
      <w:r>
        <w:rPr>
          <w:spacing w:val="47"/>
        </w:rPr>
        <w:t xml:space="preserve"> </w:t>
      </w:r>
      <w:r>
        <w:rPr>
          <w:spacing w:val="-2"/>
        </w:rPr>
        <w:t>of</w:t>
      </w:r>
      <w:r>
        <w:rPr>
          <w:spacing w:val="50"/>
        </w:rPr>
        <w:t xml:space="preserve"> </w:t>
      </w:r>
      <w:r>
        <w:rPr>
          <w:spacing w:val="-1"/>
        </w:rPr>
        <w:t>any</w:t>
      </w:r>
      <w:r>
        <w:rPr>
          <w:spacing w:val="36"/>
        </w:rPr>
        <w:t xml:space="preserve"> </w:t>
      </w:r>
      <w:r>
        <w:rPr>
          <w:spacing w:val="-2"/>
        </w:rPr>
        <w:t>Supplier</w:t>
      </w:r>
      <w:r>
        <w:rPr>
          <w:spacing w:val="4"/>
        </w:rPr>
        <w:t xml:space="preserve"> </w:t>
      </w:r>
      <w:r>
        <w:rPr>
          <w:spacing w:val="-1"/>
        </w:rPr>
        <w:t>Personnel</w:t>
      </w:r>
      <w:r>
        <w:rPr>
          <w:spacing w:val="2"/>
        </w:rPr>
        <w:t xml:space="preserve"> </w:t>
      </w:r>
      <w:r>
        <w:rPr>
          <w:spacing w:val="-1"/>
        </w:rPr>
        <w:t>which</w:t>
      </w:r>
      <w:r>
        <w:rPr>
          <w:spacing w:val="3"/>
        </w:rPr>
        <w:t xml:space="preserve"> </w:t>
      </w:r>
      <w:r>
        <w:rPr>
          <w:spacing w:val="-1"/>
        </w:rPr>
        <w:t>results</w:t>
      </w:r>
      <w:r>
        <w:rPr>
          <w:spacing w:val="1"/>
        </w:rPr>
        <w:t xml:space="preserve"> </w:t>
      </w:r>
      <w:r>
        <w:rPr>
          <w:spacing w:val="-1"/>
        </w:rPr>
        <w:t>in</w:t>
      </w:r>
      <w:r>
        <w:rPr>
          <w:spacing w:val="3"/>
        </w:rPr>
        <w:t xml:space="preserve"> </w:t>
      </w:r>
      <w:r>
        <w:t>a</w:t>
      </w:r>
      <w:r>
        <w:rPr>
          <w:spacing w:val="3"/>
        </w:rPr>
        <w:t xml:space="preserve"> </w:t>
      </w:r>
      <w:r>
        <w:rPr>
          <w:spacing w:val="-2"/>
        </w:rPr>
        <w:t>Default</w:t>
      </w:r>
      <w:r>
        <w:rPr>
          <w:spacing w:val="4"/>
        </w:rPr>
        <w:t xml:space="preserve"> </w:t>
      </w:r>
      <w:r>
        <w:rPr>
          <w:spacing w:val="-2"/>
        </w:rPr>
        <w:t>under</w:t>
      </w:r>
      <w:r>
        <w:rPr>
          <w:spacing w:val="4"/>
        </w:rPr>
        <w:t xml:space="preserve"> </w:t>
      </w:r>
      <w:r>
        <w:rPr>
          <w:spacing w:val="-1"/>
        </w:rPr>
        <w:t>this</w:t>
      </w:r>
      <w:r>
        <w:rPr>
          <w:spacing w:val="1"/>
        </w:rPr>
        <w:t xml:space="preserve"> </w:t>
      </w:r>
      <w:r>
        <w:rPr>
          <w:spacing w:val="-2"/>
        </w:rPr>
        <w:t>Call</w:t>
      </w:r>
      <w:r>
        <w:t xml:space="preserve"> </w:t>
      </w:r>
      <w:r>
        <w:rPr>
          <w:spacing w:val="-1"/>
        </w:rPr>
        <w:t>Off</w:t>
      </w:r>
      <w:r>
        <w:rPr>
          <w:spacing w:val="63"/>
        </w:rPr>
        <w:t xml:space="preserve"> </w:t>
      </w:r>
      <w:r>
        <w:rPr>
          <w:spacing w:val="-1"/>
        </w:rPr>
        <w:t>Contract</w:t>
      </w:r>
      <w:r>
        <w:rPr>
          <w:spacing w:val="2"/>
        </w:rPr>
        <w:t xml:space="preserve"> </w:t>
      </w:r>
      <w:r>
        <w:rPr>
          <w:spacing w:val="-1"/>
        </w:rPr>
        <w:t>shall</w:t>
      </w:r>
      <w:r>
        <w:t xml:space="preserve"> </w:t>
      </w:r>
      <w:r>
        <w:rPr>
          <w:spacing w:val="-1"/>
        </w:rPr>
        <w:t>be</w:t>
      </w:r>
      <w:r>
        <w:rPr>
          <w:spacing w:val="-2"/>
        </w:rPr>
        <w:t xml:space="preserve"> </w:t>
      </w:r>
      <w:r>
        <w:t xml:space="preserve">a </w:t>
      </w:r>
      <w:r>
        <w:rPr>
          <w:spacing w:val="-2"/>
        </w:rPr>
        <w:t>Default</w:t>
      </w:r>
      <w:r>
        <w:rPr>
          <w:spacing w:val="2"/>
        </w:rPr>
        <w:t xml:space="preserve"> </w:t>
      </w:r>
      <w:r>
        <w:rPr>
          <w:spacing w:val="-1"/>
        </w:rPr>
        <w:t>by</w:t>
      </w:r>
      <w:r>
        <w:rPr>
          <w:spacing w:val="-2"/>
        </w:rPr>
        <w:t xml:space="preserve"> </w:t>
      </w:r>
      <w:r>
        <w:t>the</w:t>
      </w:r>
      <w:r>
        <w:rPr>
          <w:spacing w:val="-2"/>
        </w:rPr>
        <w:t xml:space="preserve"> </w:t>
      </w:r>
      <w:r>
        <w:rPr>
          <w:spacing w:val="-1"/>
        </w:rPr>
        <w:t>Supplier;</w:t>
      </w:r>
    </w:p>
    <w:p w:rsidR="008918FA" w:rsidRDefault="008918FA" w:rsidP="008918FA">
      <w:pPr>
        <w:pStyle w:val="BodyText"/>
        <w:numPr>
          <w:ilvl w:val="3"/>
          <w:numId w:val="66"/>
        </w:numPr>
        <w:tabs>
          <w:tab w:val="left" w:pos="2594"/>
        </w:tabs>
        <w:spacing w:before="121"/>
        <w:ind w:left="2593" w:right="119"/>
        <w:jc w:val="both"/>
      </w:pPr>
      <w:r>
        <w:rPr>
          <w:spacing w:val="-1"/>
        </w:rPr>
        <w:t>use</w:t>
      </w:r>
      <w:r>
        <w:rPr>
          <w:spacing w:val="16"/>
        </w:rPr>
        <w:t xml:space="preserve"> </w:t>
      </w:r>
      <w:r>
        <w:rPr>
          <w:spacing w:val="-1"/>
        </w:rPr>
        <w:t>all</w:t>
      </w:r>
      <w:r>
        <w:rPr>
          <w:spacing w:val="15"/>
        </w:rPr>
        <w:t xml:space="preserve"> </w:t>
      </w:r>
      <w:r>
        <w:rPr>
          <w:spacing w:val="-1"/>
        </w:rPr>
        <w:t>reasonable</w:t>
      </w:r>
      <w:r>
        <w:rPr>
          <w:spacing w:val="16"/>
        </w:rPr>
        <w:t xml:space="preserve"> </w:t>
      </w:r>
      <w:r>
        <w:rPr>
          <w:spacing w:val="-1"/>
        </w:rPr>
        <w:t>endeavours</w:t>
      </w:r>
      <w:r>
        <w:rPr>
          <w:spacing w:val="16"/>
        </w:rPr>
        <w:t xml:space="preserve"> </w:t>
      </w:r>
      <w:r>
        <w:t>to</w:t>
      </w:r>
      <w:r>
        <w:rPr>
          <w:spacing w:val="16"/>
        </w:rPr>
        <w:t xml:space="preserve"> </w:t>
      </w:r>
      <w:r>
        <w:rPr>
          <w:spacing w:val="-1"/>
        </w:rPr>
        <w:t>minimise</w:t>
      </w:r>
      <w:r>
        <w:rPr>
          <w:spacing w:val="16"/>
        </w:rPr>
        <w:t xml:space="preserve"> </w:t>
      </w:r>
      <w:r>
        <w:rPr>
          <w:spacing w:val="-1"/>
        </w:rPr>
        <w:t>the</w:t>
      </w:r>
      <w:r>
        <w:rPr>
          <w:spacing w:val="16"/>
        </w:rPr>
        <w:t xml:space="preserve"> </w:t>
      </w:r>
      <w:r>
        <w:rPr>
          <w:spacing w:val="-1"/>
        </w:rPr>
        <w:t>number</w:t>
      </w:r>
      <w:r>
        <w:rPr>
          <w:spacing w:val="17"/>
        </w:rPr>
        <w:t xml:space="preserve"> </w:t>
      </w:r>
      <w:r>
        <w:rPr>
          <w:spacing w:val="-2"/>
        </w:rPr>
        <w:t>of</w:t>
      </w:r>
      <w:r>
        <w:rPr>
          <w:spacing w:val="29"/>
        </w:rPr>
        <w:t xml:space="preserve"> </w:t>
      </w:r>
      <w:r>
        <w:rPr>
          <w:spacing w:val="-1"/>
        </w:rPr>
        <w:t>changes</w:t>
      </w:r>
      <w:r>
        <w:rPr>
          <w:spacing w:val="-2"/>
        </w:rPr>
        <w:t xml:space="preserve"> </w:t>
      </w:r>
      <w:r>
        <w:rPr>
          <w:spacing w:val="-1"/>
        </w:rPr>
        <w:t>in</w:t>
      </w:r>
      <w:r>
        <w:rPr>
          <w:spacing w:val="60"/>
        </w:rPr>
        <w:t xml:space="preserve"> </w:t>
      </w:r>
      <w:r>
        <w:rPr>
          <w:spacing w:val="-2"/>
        </w:rPr>
        <w:t>Supplier</w:t>
      </w:r>
      <w:r>
        <w:rPr>
          <w:spacing w:val="2"/>
        </w:rPr>
        <w:t xml:space="preserve"> </w:t>
      </w:r>
      <w:r>
        <w:rPr>
          <w:spacing w:val="-1"/>
        </w:rPr>
        <w:t>Personnel;</w:t>
      </w:r>
    </w:p>
    <w:p w:rsidR="008918FA" w:rsidRDefault="008918FA" w:rsidP="008918FA">
      <w:pPr>
        <w:pStyle w:val="BodyText"/>
        <w:numPr>
          <w:ilvl w:val="3"/>
          <w:numId w:val="66"/>
        </w:numPr>
        <w:tabs>
          <w:tab w:val="left" w:pos="2594"/>
        </w:tabs>
        <w:spacing w:before="121"/>
        <w:ind w:left="2593" w:right="113"/>
        <w:jc w:val="both"/>
      </w:pPr>
      <w:r>
        <w:rPr>
          <w:spacing w:val="-1"/>
        </w:rPr>
        <w:t>replace</w:t>
      </w:r>
      <w:r>
        <w:rPr>
          <w:spacing w:val="59"/>
        </w:rPr>
        <w:t xml:space="preserve"> </w:t>
      </w:r>
      <w:r>
        <w:rPr>
          <w:spacing w:val="-1"/>
        </w:rPr>
        <w:t>(temporarily</w:t>
      </w:r>
      <w:r>
        <w:rPr>
          <w:spacing w:val="57"/>
        </w:rPr>
        <w:t xml:space="preserve"> </w:t>
      </w:r>
      <w:r>
        <w:rPr>
          <w:spacing w:val="-1"/>
        </w:rPr>
        <w:t>or</w:t>
      </w:r>
      <w:r>
        <w:rPr>
          <w:spacing w:val="60"/>
        </w:rPr>
        <w:t xml:space="preserve"> </w:t>
      </w:r>
      <w:r>
        <w:rPr>
          <w:spacing w:val="-1"/>
        </w:rPr>
        <w:t>permanently,</w:t>
      </w:r>
      <w:r>
        <w:t xml:space="preserve">  </w:t>
      </w:r>
      <w:r>
        <w:rPr>
          <w:spacing w:val="-1"/>
        </w:rPr>
        <w:t>as</w:t>
      </w:r>
      <w:r>
        <w:t xml:space="preserve">  </w:t>
      </w:r>
      <w:r>
        <w:rPr>
          <w:spacing w:val="-1"/>
        </w:rPr>
        <w:t>appropriate)</w:t>
      </w:r>
      <w:r>
        <w:rPr>
          <w:spacing w:val="60"/>
        </w:rPr>
        <w:t xml:space="preserve"> </w:t>
      </w:r>
      <w:r>
        <w:rPr>
          <w:spacing w:val="-1"/>
        </w:rPr>
        <w:t>any</w:t>
      </w:r>
      <w:r>
        <w:rPr>
          <w:spacing w:val="24"/>
        </w:rPr>
        <w:t xml:space="preserve"> </w:t>
      </w:r>
      <w:r>
        <w:rPr>
          <w:spacing w:val="-2"/>
        </w:rPr>
        <w:t>Supplier</w:t>
      </w:r>
      <w:r>
        <w:rPr>
          <w:spacing w:val="20"/>
        </w:rPr>
        <w:t xml:space="preserve"> </w:t>
      </w:r>
      <w:r>
        <w:rPr>
          <w:spacing w:val="-1"/>
        </w:rPr>
        <w:t>Personnel</w:t>
      </w:r>
      <w:r>
        <w:rPr>
          <w:spacing w:val="18"/>
        </w:rPr>
        <w:t xml:space="preserve"> </w:t>
      </w:r>
      <w:r>
        <w:rPr>
          <w:spacing w:val="-1"/>
        </w:rPr>
        <w:t>as</w:t>
      </w:r>
      <w:r>
        <w:rPr>
          <w:spacing w:val="21"/>
        </w:rPr>
        <w:t xml:space="preserve"> </w:t>
      </w:r>
      <w:r>
        <w:rPr>
          <w:spacing w:val="-1"/>
        </w:rPr>
        <w:t>soon</w:t>
      </w:r>
      <w:r>
        <w:rPr>
          <w:spacing w:val="18"/>
        </w:rPr>
        <w:t xml:space="preserve"> </w:t>
      </w:r>
      <w:r>
        <w:rPr>
          <w:spacing w:val="-1"/>
        </w:rPr>
        <w:t>as</w:t>
      </w:r>
      <w:r>
        <w:rPr>
          <w:spacing w:val="19"/>
        </w:rPr>
        <w:t xml:space="preserve"> </w:t>
      </w:r>
      <w:r>
        <w:rPr>
          <w:spacing w:val="-1"/>
        </w:rPr>
        <w:t>practicable</w:t>
      </w:r>
      <w:r>
        <w:rPr>
          <w:spacing w:val="18"/>
        </w:rPr>
        <w:t xml:space="preserve"> </w:t>
      </w:r>
      <w:r>
        <w:rPr>
          <w:spacing w:val="-1"/>
        </w:rPr>
        <w:t>if</w:t>
      </w:r>
      <w:r>
        <w:rPr>
          <w:spacing w:val="20"/>
        </w:rPr>
        <w:t xml:space="preserve"> </w:t>
      </w:r>
      <w:r>
        <w:rPr>
          <w:spacing w:val="-1"/>
        </w:rPr>
        <w:t>any</w:t>
      </w:r>
      <w:r>
        <w:rPr>
          <w:spacing w:val="19"/>
        </w:rPr>
        <w:t xml:space="preserve"> </w:t>
      </w:r>
      <w:r>
        <w:rPr>
          <w:spacing w:val="-2"/>
        </w:rPr>
        <w:t>Supplier</w:t>
      </w:r>
      <w:r>
        <w:rPr>
          <w:spacing w:val="48"/>
        </w:rPr>
        <w:t xml:space="preserve"> </w:t>
      </w:r>
      <w:r>
        <w:rPr>
          <w:spacing w:val="-1"/>
        </w:rPr>
        <w:t>Personnel</w:t>
      </w:r>
      <w:r>
        <w:rPr>
          <w:spacing w:val="22"/>
        </w:rPr>
        <w:t xml:space="preserve"> </w:t>
      </w:r>
      <w:r>
        <w:rPr>
          <w:spacing w:val="-2"/>
        </w:rPr>
        <w:t>have</w:t>
      </w:r>
      <w:r>
        <w:rPr>
          <w:spacing w:val="23"/>
        </w:rPr>
        <w:t xml:space="preserve"> </w:t>
      </w:r>
      <w:r>
        <w:rPr>
          <w:spacing w:val="-1"/>
        </w:rPr>
        <w:t>been</w:t>
      </w:r>
      <w:r>
        <w:rPr>
          <w:spacing w:val="21"/>
        </w:rPr>
        <w:t xml:space="preserve"> </w:t>
      </w:r>
      <w:r>
        <w:rPr>
          <w:spacing w:val="-1"/>
        </w:rPr>
        <w:t>removed</w:t>
      </w:r>
      <w:r>
        <w:rPr>
          <w:spacing w:val="23"/>
        </w:rPr>
        <w:t xml:space="preserve"> </w:t>
      </w:r>
      <w:r>
        <w:rPr>
          <w:spacing w:val="-1"/>
        </w:rPr>
        <w:t>or</w:t>
      </w:r>
      <w:r>
        <w:rPr>
          <w:spacing w:val="22"/>
        </w:rPr>
        <w:t xml:space="preserve"> </w:t>
      </w:r>
      <w:r>
        <w:rPr>
          <w:spacing w:val="-1"/>
        </w:rPr>
        <w:t>are</w:t>
      </w:r>
      <w:r>
        <w:rPr>
          <w:spacing w:val="23"/>
        </w:rPr>
        <w:t xml:space="preserve"> </w:t>
      </w:r>
      <w:r>
        <w:rPr>
          <w:spacing w:val="-2"/>
        </w:rPr>
        <w:t>unavailable</w:t>
      </w:r>
      <w:r>
        <w:rPr>
          <w:spacing w:val="23"/>
        </w:rPr>
        <w:t xml:space="preserve"> </w:t>
      </w:r>
      <w:r>
        <w:t>for</w:t>
      </w:r>
      <w:r>
        <w:rPr>
          <w:spacing w:val="24"/>
        </w:rPr>
        <w:t xml:space="preserve"> </w:t>
      </w:r>
      <w:r>
        <w:rPr>
          <w:spacing w:val="-1"/>
        </w:rPr>
        <w:t>any</w:t>
      </w:r>
      <w:r>
        <w:rPr>
          <w:spacing w:val="38"/>
        </w:rPr>
        <w:t xml:space="preserve"> </w:t>
      </w:r>
      <w:r>
        <w:rPr>
          <w:spacing w:val="-1"/>
        </w:rPr>
        <w:t>reason</w:t>
      </w:r>
      <w:r>
        <w:t xml:space="preserve"> </w:t>
      </w:r>
      <w:r>
        <w:rPr>
          <w:spacing w:val="-1"/>
        </w:rPr>
        <w:t>whatsoever;</w:t>
      </w:r>
    </w:p>
    <w:p w:rsidR="008918FA" w:rsidRDefault="008918FA" w:rsidP="008918FA">
      <w:pPr>
        <w:pStyle w:val="BodyText"/>
        <w:numPr>
          <w:ilvl w:val="3"/>
          <w:numId w:val="66"/>
        </w:numPr>
        <w:tabs>
          <w:tab w:val="left" w:pos="2594"/>
        </w:tabs>
        <w:ind w:left="2593" w:right="114"/>
        <w:jc w:val="both"/>
      </w:pPr>
      <w:r>
        <w:rPr>
          <w:spacing w:val="-1"/>
        </w:rPr>
        <w:t>bear</w:t>
      </w:r>
      <w:r>
        <w:rPr>
          <w:spacing w:val="21"/>
        </w:rPr>
        <w:t xml:space="preserve"> </w:t>
      </w:r>
      <w:r>
        <w:t>the</w:t>
      </w:r>
      <w:r>
        <w:rPr>
          <w:spacing w:val="17"/>
        </w:rPr>
        <w:t xml:space="preserve"> </w:t>
      </w:r>
      <w:r>
        <w:rPr>
          <w:spacing w:val="-1"/>
        </w:rPr>
        <w:t>programme</w:t>
      </w:r>
      <w:r>
        <w:rPr>
          <w:spacing w:val="17"/>
        </w:rPr>
        <w:t xml:space="preserve"> </w:t>
      </w:r>
      <w:r>
        <w:rPr>
          <w:spacing w:val="-1"/>
        </w:rPr>
        <w:t>familiarisation</w:t>
      </w:r>
      <w:r>
        <w:rPr>
          <w:spacing w:val="20"/>
        </w:rPr>
        <w:t xml:space="preserve"> </w:t>
      </w:r>
      <w:r>
        <w:rPr>
          <w:spacing w:val="-1"/>
        </w:rPr>
        <w:t>and</w:t>
      </w:r>
      <w:r>
        <w:rPr>
          <w:spacing w:val="19"/>
        </w:rPr>
        <w:t xml:space="preserve"> </w:t>
      </w:r>
      <w:r>
        <w:rPr>
          <w:spacing w:val="-1"/>
        </w:rPr>
        <w:t>other</w:t>
      </w:r>
      <w:r>
        <w:rPr>
          <w:spacing w:val="21"/>
        </w:rPr>
        <w:t xml:space="preserve"> </w:t>
      </w:r>
      <w:r>
        <w:rPr>
          <w:spacing w:val="-1"/>
        </w:rPr>
        <w:t>costs</w:t>
      </w:r>
      <w:r>
        <w:rPr>
          <w:spacing w:val="20"/>
        </w:rPr>
        <w:t xml:space="preserve"> </w:t>
      </w:r>
      <w:r>
        <w:rPr>
          <w:spacing w:val="-1"/>
        </w:rPr>
        <w:t>associated</w:t>
      </w:r>
      <w:r>
        <w:rPr>
          <w:spacing w:val="27"/>
        </w:rPr>
        <w:t xml:space="preserve"> </w:t>
      </w:r>
      <w:r>
        <w:rPr>
          <w:spacing w:val="-1"/>
        </w:rPr>
        <w:t>with</w:t>
      </w:r>
      <w:r>
        <w:t xml:space="preserve"> </w:t>
      </w:r>
      <w:r>
        <w:rPr>
          <w:spacing w:val="-1"/>
        </w:rPr>
        <w:t>any</w:t>
      </w:r>
      <w:r>
        <w:rPr>
          <w:spacing w:val="-2"/>
        </w:rPr>
        <w:t xml:space="preserve"> </w:t>
      </w:r>
      <w:r>
        <w:rPr>
          <w:spacing w:val="-1"/>
        </w:rPr>
        <w:t>replacement</w:t>
      </w:r>
      <w:r>
        <w:rPr>
          <w:spacing w:val="2"/>
        </w:rPr>
        <w:t xml:space="preserve"> </w:t>
      </w:r>
      <w:r>
        <w:rPr>
          <w:spacing w:val="-2"/>
        </w:rPr>
        <w:t>of</w:t>
      </w:r>
      <w:r>
        <w:t xml:space="preserve"> </w:t>
      </w:r>
      <w:r>
        <w:rPr>
          <w:spacing w:val="-1"/>
        </w:rPr>
        <w:t>any</w:t>
      </w:r>
      <w:r>
        <w:rPr>
          <w:spacing w:val="-2"/>
        </w:rPr>
        <w:t xml:space="preserve"> Supplier</w:t>
      </w:r>
      <w:r>
        <w:rPr>
          <w:spacing w:val="2"/>
        </w:rPr>
        <w:t xml:space="preserve"> </w:t>
      </w:r>
      <w:r>
        <w:rPr>
          <w:spacing w:val="-1"/>
        </w:rPr>
        <w:t>Personnel;</w:t>
      </w:r>
      <w:r>
        <w:t xml:space="preserve"> </w:t>
      </w:r>
      <w:r>
        <w:rPr>
          <w:spacing w:val="-1"/>
        </w:rPr>
        <w:t>and</w:t>
      </w:r>
    </w:p>
    <w:p w:rsidR="008918FA" w:rsidRDefault="008918FA" w:rsidP="008918FA">
      <w:pPr>
        <w:pStyle w:val="BodyText"/>
        <w:numPr>
          <w:ilvl w:val="3"/>
          <w:numId w:val="66"/>
        </w:numPr>
        <w:tabs>
          <w:tab w:val="left" w:pos="2594"/>
        </w:tabs>
        <w:ind w:left="2593" w:right="115"/>
        <w:jc w:val="both"/>
      </w:pPr>
      <w:r>
        <w:rPr>
          <w:spacing w:val="-1"/>
        </w:rPr>
        <w:t>procure</w:t>
      </w:r>
      <w:r>
        <w:rPr>
          <w:spacing w:val="17"/>
        </w:rPr>
        <w:t xml:space="preserve"> </w:t>
      </w:r>
      <w:r>
        <w:rPr>
          <w:spacing w:val="-1"/>
        </w:rPr>
        <w:t>that</w:t>
      </w:r>
      <w:r>
        <w:rPr>
          <w:spacing w:val="19"/>
        </w:rPr>
        <w:t xml:space="preserve"> </w:t>
      </w:r>
      <w:r>
        <w:t>the</w:t>
      </w:r>
      <w:r>
        <w:rPr>
          <w:spacing w:val="17"/>
        </w:rPr>
        <w:t xml:space="preserve"> </w:t>
      </w:r>
      <w:r>
        <w:rPr>
          <w:spacing w:val="-2"/>
        </w:rPr>
        <w:t>Supplier</w:t>
      </w:r>
      <w:r>
        <w:rPr>
          <w:spacing w:val="19"/>
        </w:rPr>
        <w:t xml:space="preserve"> </w:t>
      </w:r>
      <w:r>
        <w:rPr>
          <w:spacing w:val="-1"/>
        </w:rPr>
        <w:t>Personnel</w:t>
      </w:r>
      <w:r>
        <w:rPr>
          <w:spacing w:val="17"/>
        </w:rPr>
        <w:t xml:space="preserve"> </w:t>
      </w:r>
      <w:r>
        <w:rPr>
          <w:spacing w:val="-1"/>
        </w:rPr>
        <w:t>shall</w:t>
      </w:r>
      <w:r>
        <w:rPr>
          <w:spacing w:val="17"/>
        </w:rPr>
        <w:t xml:space="preserve"> </w:t>
      </w:r>
      <w:r>
        <w:rPr>
          <w:spacing w:val="-1"/>
        </w:rPr>
        <w:t>vacate</w:t>
      </w:r>
      <w:r>
        <w:rPr>
          <w:spacing w:val="20"/>
        </w:rPr>
        <w:t xml:space="preserve"> </w:t>
      </w:r>
      <w:r>
        <w:t>the</w:t>
      </w:r>
      <w:r>
        <w:rPr>
          <w:spacing w:val="17"/>
        </w:rPr>
        <w:t xml:space="preserve"> </w:t>
      </w:r>
      <w:r>
        <w:rPr>
          <w:spacing w:val="-1"/>
        </w:rPr>
        <w:t>Customer</w:t>
      </w:r>
      <w:r>
        <w:rPr>
          <w:spacing w:val="39"/>
        </w:rPr>
        <w:t xml:space="preserve"> </w:t>
      </w:r>
      <w:r>
        <w:rPr>
          <w:spacing w:val="-1"/>
        </w:rPr>
        <w:t>Premises</w:t>
      </w:r>
      <w:r>
        <w:rPr>
          <w:spacing w:val="1"/>
        </w:rPr>
        <w:t xml:space="preserve"> </w:t>
      </w:r>
      <w:r>
        <w:rPr>
          <w:spacing w:val="-2"/>
        </w:rPr>
        <w:t xml:space="preserve">immediately </w:t>
      </w:r>
      <w:r>
        <w:rPr>
          <w:spacing w:val="-1"/>
        </w:rPr>
        <w:t>upon</w:t>
      </w:r>
      <w:r>
        <w:t xml:space="preserve"> the</w:t>
      </w:r>
      <w:r>
        <w:rPr>
          <w:spacing w:val="-2"/>
        </w:rPr>
        <w:t xml:space="preserve"> Call</w:t>
      </w:r>
      <w:r>
        <w:t xml:space="preserve"> </w:t>
      </w:r>
      <w:r>
        <w:rPr>
          <w:spacing w:val="-1"/>
        </w:rPr>
        <w:t>Off</w:t>
      </w:r>
      <w:r>
        <w:rPr>
          <w:spacing w:val="2"/>
        </w:rPr>
        <w:t xml:space="preserve"> </w:t>
      </w:r>
      <w:r>
        <w:rPr>
          <w:spacing w:val="-2"/>
        </w:rPr>
        <w:t xml:space="preserve">Expiry </w:t>
      </w:r>
      <w:r>
        <w:rPr>
          <w:spacing w:val="-1"/>
        </w:rPr>
        <w:t>Date.</w:t>
      </w:r>
    </w:p>
    <w:p w:rsidR="008918FA" w:rsidRDefault="008918FA" w:rsidP="008918FA">
      <w:pPr>
        <w:pStyle w:val="BodyText"/>
        <w:numPr>
          <w:ilvl w:val="2"/>
          <w:numId w:val="66"/>
        </w:numPr>
        <w:tabs>
          <w:tab w:val="left" w:pos="1886"/>
        </w:tabs>
        <w:spacing w:before="121"/>
        <w:ind w:left="1885" w:right="115"/>
        <w:jc w:val="both"/>
      </w:pPr>
      <w:r>
        <w:rPr>
          <w:spacing w:val="-1"/>
        </w:rPr>
        <w:t>If</w:t>
      </w:r>
      <w:r>
        <w:rPr>
          <w:spacing w:val="4"/>
        </w:rPr>
        <w:t xml:space="preserve"> </w:t>
      </w:r>
      <w:r>
        <w:t>the</w:t>
      </w:r>
      <w:r>
        <w:rPr>
          <w:spacing w:val="3"/>
        </w:rPr>
        <w:t xml:space="preserve"> </w:t>
      </w:r>
      <w:r>
        <w:rPr>
          <w:spacing w:val="-1"/>
        </w:rPr>
        <w:t>Customer</w:t>
      </w:r>
      <w:r>
        <w:rPr>
          <w:spacing w:val="2"/>
        </w:rPr>
        <w:t xml:space="preserve"> </w:t>
      </w:r>
      <w:r>
        <w:rPr>
          <w:spacing w:val="-1"/>
        </w:rPr>
        <w:t>reasonably</w:t>
      </w:r>
      <w:r>
        <w:rPr>
          <w:spacing w:val="1"/>
        </w:rPr>
        <w:t xml:space="preserve"> </w:t>
      </w:r>
      <w:r>
        <w:rPr>
          <w:spacing w:val="-1"/>
        </w:rPr>
        <w:t>believes</w:t>
      </w:r>
      <w:r>
        <w:rPr>
          <w:spacing w:val="3"/>
        </w:rPr>
        <w:t xml:space="preserve"> </w:t>
      </w:r>
      <w:r>
        <w:rPr>
          <w:spacing w:val="-1"/>
        </w:rPr>
        <w:t>that</w:t>
      </w:r>
      <w:r>
        <w:rPr>
          <w:spacing w:val="4"/>
        </w:rPr>
        <w:t xml:space="preserve"> </w:t>
      </w:r>
      <w:r>
        <w:rPr>
          <w:spacing w:val="-1"/>
        </w:rPr>
        <w:t>any</w:t>
      </w:r>
      <w:r>
        <w:rPr>
          <w:spacing w:val="1"/>
        </w:rPr>
        <w:t xml:space="preserve"> </w:t>
      </w:r>
      <w:r>
        <w:rPr>
          <w:spacing w:val="-1"/>
        </w:rPr>
        <w:t>of</w:t>
      </w:r>
      <w:r>
        <w:rPr>
          <w:spacing w:val="4"/>
        </w:rPr>
        <w:t xml:space="preserve"> </w:t>
      </w:r>
      <w:r>
        <w:rPr>
          <w:spacing w:val="-1"/>
        </w:rPr>
        <w:t>the</w:t>
      </w:r>
      <w:r>
        <w:rPr>
          <w:spacing w:val="3"/>
        </w:rPr>
        <w:t xml:space="preserve"> </w:t>
      </w:r>
      <w:r>
        <w:rPr>
          <w:spacing w:val="-2"/>
        </w:rPr>
        <w:t>Supplier</w:t>
      </w:r>
      <w:r>
        <w:rPr>
          <w:spacing w:val="4"/>
        </w:rPr>
        <w:t xml:space="preserve"> </w:t>
      </w:r>
      <w:r>
        <w:rPr>
          <w:spacing w:val="-1"/>
        </w:rPr>
        <w:t>Personnel</w:t>
      </w:r>
      <w:r>
        <w:rPr>
          <w:spacing w:val="36"/>
        </w:rPr>
        <w:t xml:space="preserve"> </w:t>
      </w:r>
      <w:r>
        <w:rPr>
          <w:spacing w:val="-1"/>
        </w:rPr>
        <w:t>are</w:t>
      </w:r>
      <w:r>
        <w:rPr>
          <w:spacing w:val="12"/>
        </w:rPr>
        <w:t xml:space="preserve"> </w:t>
      </w:r>
      <w:r>
        <w:rPr>
          <w:spacing w:val="-1"/>
        </w:rPr>
        <w:t>unsuitable</w:t>
      </w:r>
      <w:r>
        <w:rPr>
          <w:spacing w:val="10"/>
        </w:rPr>
        <w:t xml:space="preserve"> </w:t>
      </w:r>
      <w:r>
        <w:t>to</w:t>
      </w:r>
      <w:r>
        <w:rPr>
          <w:spacing w:val="12"/>
        </w:rPr>
        <w:t xml:space="preserve"> </w:t>
      </w:r>
      <w:r>
        <w:rPr>
          <w:spacing w:val="-1"/>
        </w:rPr>
        <w:t>undertake</w:t>
      </w:r>
      <w:r>
        <w:rPr>
          <w:spacing w:val="10"/>
        </w:rPr>
        <w:t xml:space="preserve"> </w:t>
      </w:r>
      <w:r>
        <w:rPr>
          <w:spacing w:val="-2"/>
        </w:rPr>
        <w:t>work</w:t>
      </w:r>
      <w:r>
        <w:rPr>
          <w:spacing w:val="15"/>
        </w:rPr>
        <w:t xml:space="preserve"> </w:t>
      </w:r>
      <w:r>
        <w:rPr>
          <w:spacing w:val="-1"/>
        </w:rPr>
        <w:t>in</w:t>
      </w:r>
      <w:r>
        <w:rPr>
          <w:spacing w:val="10"/>
        </w:rPr>
        <w:t xml:space="preserve"> </w:t>
      </w:r>
      <w:r>
        <w:rPr>
          <w:spacing w:val="-1"/>
        </w:rPr>
        <w:t>respect</w:t>
      </w:r>
      <w:r>
        <w:rPr>
          <w:spacing w:val="14"/>
        </w:rPr>
        <w:t xml:space="preserve"> </w:t>
      </w:r>
      <w:r>
        <w:rPr>
          <w:spacing w:val="-2"/>
        </w:rPr>
        <w:t>of</w:t>
      </w:r>
      <w:r>
        <w:rPr>
          <w:spacing w:val="11"/>
        </w:rPr>
        <w:t xml:space="preserve"> </w:t>
      </w:r>
      <w:r>
        <w:rPr>
          <w:spacing w:val="-1"/>
        </w:rPr>
        <w:t>this</w:t>
      </w:r>
      <w:r>
        <w:rPr>
          <w:spacing w:val="13"/>
        </w:rPr>
        <w:t xml:space="preserve"> </w:t>
      </w:r>
      <w:r>
        <w:rPr>
          <w:spacing w:val="-2"/>
        </w:rPr>
        <w:t>Call</w:t>
      </w:r>
      <w:r>
        <w:rPr>
          <w:spacing w:val="12"/>
        </w:rPr>
        <w:t xml:space="preserve"> </w:t>
      </w:r>
      <w:r>
        <w:rPr>
          <w:spacing w:val="-1"/>
        </w:rPr>
        <w:t>Off</w:t>
      </w:r>
      <w:r>
        <w:rPr>
          <w:spacing w:val="14"/>
        </w:rPr>
        <w:t xml:space="preserve"> </w:t>
      </w:r>
      <w:r>
        <w:rPr>
          <w:spacing w:val="-1"/>
        </w:rPr>
        <w:t>Contract,</w:t>
      </w:r>
      <w:r>
        <w:rPr>
          <w:spacing w:val="14"/>
        </w:rPr>
        <w:t xml:space="preserve"> </w:t>
      </w:r>
      <w:r>
        <w:rPr>
          <w:spacing w:val="-1"/>
        </w:rPr>
        <w:t>it</w:t>
      </w:r>
      <w:r>
        <w:rPr>
          <w:spacing w:val="35"/>
        </w:rPr>
        <w:t xml:space="preserve"> </w:t>
      </w:r>
      <w:r>
        <w:rPr>
          <w:spacing w:val="-2"/>
        </w:rPr>
        <w:t>may:</w:t>
      </w:r>
    </w:p>
    <w:p w:rsidR="008918FA" w:rsidRDefault="008918FA" w:rsidP="008918FA">
      <w:pPr>
        <w:pStyle w:val="BodyText"/>
        <w:numPr>
          <w:ilvl w:val="3"/>
          <w:numId w:val="66"/>
        </w:numPr>
        <w:tabs>
          <w:tab w:val="left" w:pos="2594"/>
        </w:tabs>
        <w:ind w:left="2593" w:right="116"/>
        <w:jc w:val="both"/>
      </w:pPr>
      <w:r>
        <w:rPr>
          <w:spacing w:val="-1"/>
        </w:rPr>
        <w:t>refuse</w:t>
      </w:r>
      <w:r>
        <w:rPr>
          <w:spacing w:val="58"/>
        </w:rPr>
        <w:t xml:space="preserve"> </w:t>
      </w:r>
      <w:r>
        <w:rPr>
          <w:spacing w:val="-1"/>
        </w:rPr>
        <w:t>admission</w:t>
      </w:r>
      <w:r>
        <w:rPr>
          <w:spacing w:val="58"/>
        </w:rPr>
        <w:t xml:space="preserve"> </w:t>
      </w:r>
      <w:r>
        <w:t>to</w:t>
      </w:r>
      <w:r>
        <w:rPr>
          <w:spacing w:val="58"/>
        </w:rPr>
        <w:t xml:space="preserve"> </w:t>
      </w:r>
      <w:r>
        <w:t>the</w:t>
      </w:r>
      <w:r>
        <w:rPr>
          <w:spacing w:val="55"/>
        </w:rPr>
        <w:t xml:space="preserve"> </w:t>
      </w:r>
      <w:r>
        <w:rPr>
          <w:spacing w:val="-2"/>
        </w:rPr>
        <w:t>relevant</w:t>
      </w:r>
      <w:r>
        <w:rPr>
          <w:spacing w:val="59"/>
        </w:rPr>
        <w:t xml:space="preserve"> </w:t>
      </w:r>
      <w:r>
        <w:rPr>
          <w:spacing w:val="-1"/>
        </w:rPr>
        <w:t>person(s)</w:t>
      </w:r>
      <w:r>
        <w:rPr>
          <w:spacing w:val="59"/>
        </w:rPr>
        <w:t xml:space="preserve"> </w:t>
      </w:r>
      <w:r>
        <w:t>to</w:t>
      </w:r>
      <w:r>
        <w:rPr>
          <w:spacing w:val="59"/>
        </w:rPr>
        <w:t xml:space="preserve"> </w:t>
      </w:r>
      <w:r>
        <w:rPr>
          <w:spacing w:val="-1"/>
        </w:rPr>
        <w:t>the</w:t>
      </w:r>
      <w:r>
        <w:rPr>
          <w:spacing w:val="58"/>
        </w:rPr>
        <w:t xml:space="preserve"> </w:t>
      </w:r>
      <w:r>
        <w:rPr>
          <w:spacing w:val="-1"/>
        </w:rPr>
        <w:t>Customer</w:t>
      </w:r>
      <w:r>
        <w:rPr>
          <w:spacing w:val="40"/>
        </w:rPr>
        <w:t xml:space="preserve"> </w:t>
      </w:r>
      <w:r>
        <w:rPr>
          <w:spacing w:val="-1"/>
        </w:rPr>
        <w:t>Premises;</w:t>
      </w:r>
      <w:r>
        <w:t xml:space="preserve"> </w:t>
      </w:r>
      <w:r>
        <w:rPr>
          <w:spacing w:val="-1"/>
        </w:rPr>
        <w:t>and/or</w:t>
      </w:r>
    </w:p>
    <w:p w:rsidR="008918FA" w:rsidRDefault="008918FA" w:rsidP="008918FA">
      <w:pPr>
        <w:pStyle w:val="BodyText"/>
        <w:numPr>
          <w:ilvl w:val="3"/>
          <w:numId w:val="66"/>
        </w:numPr>
        <w:tabs>
          <w:tab w:val="left" w:pos="2594"/>
        </w:tabs>
        <w:spacing w:before="121"/>
        <w:ind w:left="2593" w:right="117"/>
        <w:jc w:val="both"/>
      </w:pPr>
      <w:r>
        <w:rPr>
          <w:spacing w:val="-1"/>
        </w:rPr>
        <w:t>direct</w:t>
      </w:r>
      <w:r>
        <w:rPr>
          <w:spacing w:val="2"/>
        </w:rPr>
        <w:t xml:space="preserve"> </w:t>
      </w:r>
      <w:r>
        <w:t xml:space="preserve">the </w:t>
      </w:r>
      <w:r>
        <w:rPr>
          <w:spacing w:val="-2"/>
        </w:rPr>
        <w:t>Supplier</w:t>
      </w:r>
      <w:r>
        <w:rPr>
          <w:spacing w:val="-1"/>
        </w:rPr>
        <w:t xml:space="preserve"> </w:t>
      </w:r>
      <w:r>
        <w:t xml:space="preserve">to </w:t>
      </w:r>
      <w:r>
        <w:rPr>
          <w:spacing w:val="-1"/>
        </w:rPr>
        <w:t>end</w:t>
      </w:r>
      <w:r>
        <w:rPr>
          <w:spacing w:val="-2"/>
        </w:rPr>
        <w:t xml:space="preserve"> </w:t>
      </w:r>
      <w:r>
        <w:t xml:space="preserve">the </w:t>
      </w:r>
      <w:r>
        <w:rPr>
          <w:spacing w:val="-2"/>
        </w:rPr>
        <w:t>involvement</w:t>
      </w:r>
      <w:r>
        <w:rPr>
          <w:spacing w:val="2"/>
        </w:rPr>
        <w:t xml:space="preserve"> </w:t>
      </w:r>
      <w:r>
        <w:rPr>
          <w:spacing w:val="-1"/>
        </w:rPr>
        <w:t>in</w:t>
      </w:r>
      <w:r>
        <w:t xml:space="preserve"> the </w:t>
      </w:r>
      <w:r>
        <w:rPr>
          <w:spacing w:val="-2"/>
        </w:rPr>
        <w:t>provision</w:t>
      </w:r>
      <w:r>
        <w:t xml:space="preserve"> </w:t>
      </w:r>
      <w:r>
        <w:rPr>
          <w:spacing w:val="-1"/>
        </w:rPr>
        <w:t>of</w:t>
      </w:r>
      <w:r>
        <w:rPr>
          <w:spacing w:val="4"/>
        </w:rPr>
        <w:t xml:space="preserve"> </w:t>
      </w:r>
      <w:r>
        <w:rPr>
          <w:spacing w:val="-1"/>
        </w:rPr>
        <w:t>the</w:t>
      </w:r>
      <w:r>
        <w:rPr>
          <w:spacing w:val="58"/>
        </w:rPr>
        <w:t xml:space="preserve"> </w:t>
      </w:r>
      <w:r>
        <w:rPr>
          <w:spacing w:val="-1"/>
        </w:rPr>
        <w:t>Goods</w:t>
      </w:r>
      <w:r>
        <w:rPr>
          <w:spacing w:val="1"/>
        </w:rPr>
        <w:t xml:space="preserve"> </w:t>
      </w:r>
      <w:r>
        <w:rPr>
          <w:spacing w:val="-1"/>
        </w:rPr>
        <w:t>and/or Services</w:t>
      </w:r>
      <w:r>
        <w:rPr>
          <w:spacing w:val="1"/>
        </w:rPr>
        <w:t xml:space="preserve"> </w:t>
      </w:r>
      <w:r>
        <w:rPr>
          <w:spacing w:val="-2"/>
        </w:rPr>
        <w:t>of</w:t>
      </w:r>
      <w:r>
        <w:t xml:space="preserve"> the</w:t>
      </w:r>
      <w:r>
        <w:rPr>
          <w:spacing w:val="-2"/>
        </w:rPr>
        <w:t xml:space="preserve"> relevant</w:t>
      </w:r>
      <w:r>
        <w:rPr>
          <w:spacing w:val="2"/>
        </w:rPr>
        <w:t xml:space="preserve"> </w:t>
      </w:r>
      <w:r>
        <w:rPr>
          <w:spacing w:val="-1"/>
        </w:rPr>
        <w:t>person(s).</w:t>
      </w:r>
    </w:p>
    <w:p w:rsidR="008918FA" w:rsidRDefault="008918FA" w:rsidP="008918FA">
      <w:pPr>
        <w:pStyle w:val="BodyText"/>
        <w:numPr>
          <w:ilvl w:val="2"/>
          <w:numId w:val="66"/>
        </w:numPr>
        <w:tabs>
          <w:tab w:val="left" w:pos="1885"/>
        </w:tabs>
        <w:spacing w:before="121"/>
        <w:ind w:left="1884" w:right="115" w:hanging="993"/>
        <w:jc w:val="both"/>
      </w:pPr>
      <w:r>
        <w:t>The</w:t>
      </w:r>
      <w:r>
        <w:rPr>
          <w:spacing w:val="60"/>
        </w:rPr>
        <w:t xml:space="preserve"> </w:t>
      </w:r>
      <w:r>
        <w:rPr>
          <w:spacing w:val="-1"/>
        </w:rPr>
        <w:t>decision</w:t>
      </w:r>
      <w:r>
        <w:rPr>
          <w:spacing w:val="60"/>
        </w:rPr>
        <w:t xml:space="preserve"> </w:t>
      </w:r>
      <w:r>
        <w:rPr>
          <w:spacing w:val="-1"/>
        </w:rPr>
        <w:t>of</w:t>
      </w:r>
      <w:r>
        <w:rPr>
          <w:spacing w:val="3"/>
        </w:rPr>
        <w:t xml:space="preserve"> </w:t>
      </w:r>
      <w:r>
        <w:rPr>
          <w:spacing w:val="-1"/>
        </w:rPr>
        <w:t>the</w:t>
      </w:r>
      <w:r>
        <w:rPr>
          <w:spacing w:val="60"/>
        </w:rPr>
        <w:t xml:space="preserve"> </w:t>
      </w:r>
      <w:r>
        <w:rPr>
          <w:spacing w:val="-1"/>
        </w:rPr>
        <w:t>Customer</w:t>
      </w:r>
      <w:r w:rsidR="001C1527">
        <w:t xml:space="preserve"> </w:t>
      </w:r>
      <w:r w:rsidR="00514A63">
        <w:rPr>
          <w:spacing w:val="-1"/>
        </w:rPr>
        <w:t>as</w:t>
      </w:r>
      <w:r w:rsidR="00514A63">
        <w:t xml:space="preserve"> to</w:t>
      </w:r>
      <w:r>
        <w:rPr>
          <w:spacing w:val="60"/>
        </w:rPr>
        <w:t xml:space="preserve"> </w:t>
      </w:r>
      <w:r w:rsidR="00514A63">
        <w:rPr>
          <w:spacing w:val="-1"/>
        </w:rPr>
        <w:t>whether</w:t>
      </w:r>
      <w:r w:rsidR="00514A63">
        <w:t xml:space="preserve"> any</w:t>
      </w:r>
      <w:r>
        <w:rPr>
          <w:spacing w:val="58"/>
        </w:rPr>
        <w:t xml:space="preserve"> </w:t>
      </w:r>
      <w:r>
        <w:rPr>
          <w:spacing w:val="-1"/>
        </w:rPr>
        <w:t>person</w:t>
      </w:r>
      <w:r>
        <w:rPr>
          <w:spacing w:val="60"/>
        </w:rPr>
        <w:t xml:space="preserve"> </w:t>
      </w:r>
      <w:r>
        <w:rPr>
          <w:spacing w:val="-1"/>
        </w:rPr>
        <w:t>is</w:t>
      </w:r>
      <w:r>
        <w:rPr>
          <w:spacing w:val="2"/>
        </w:rPr>
        <w:t xml:space="preserve"> </w:t>
      </w:r>
      <w:r>
        <w:t>to</w:t>
      </w:r>
      <w:r>
        <w:rPr>
          <w:spacing w:val="61"/>
        </w:rPr>
        <w:t xml:space="preserve"> </w:t>
      </w:r>
      <w:r>
        <w:rPr>
          <w:spacing w:val="-1"/>
        </w:rPr>
        <w:t>be</w:t>
      </w:r>
      <w:r>
        <w:rPr>
          <w:spacing w:val="22"/>
        </w:rPr>
        <w:t xml:space="preserve"> </w:t>
      </w:r>
      <w:r>
        <w:rPr>
          <w:spacing w:val="-1"/>
        </w:rPr>
        <w:t>refused</w:t>
      </w:r>
      <w:r>
        <w:rPr>
          <w:spacing w:val="61"/>
        </w:rPr>
        <w:t xml:space="preserve"> </w:t>
      </w:r>
      <w:r>
        <w:rPr>
          <w:spacing w:val="-1"/>
        </w:rPr>
        <w:t>access</w:t>
      </w:r>
      <w:r>
        <w:rPr>
          <w:spacing w:val="1"/>
        </w:rPr>
        <w:t xml:space="preserve"> </w:t>
      </w:r>
      <w:r>
        <w:t xml:space="preserve">to </w:t>
      </w:r>
      <w:r>
        <w:rPr>
          <w:spacing w:val="-1"/>
        </w:rPr>
        <w:t>the</w:t>
      </w:r>
      <w:r>
        <w:rPr>
          <w:spacing w:val="3"/>
        </w:rPr>
        <w:t xml:space="preserve"> </w:t>
      </w:r>
      <w:r>
        <w:rPr>
          <w:spacing w:val="-1"/>
        </w:rPr>
        <w:t>Customer</w:t>
      </w:r>
      <w:r>
        <w:rPr>
          <w:spacing w:val="4"/>
        </w:rPr>
        <w:t xml:space="preserve"> </w:t>
      </w:r>
      <w:r>
        <w:rPr>
          <w:spacing w:val="-1"/>
        </w:rPr>
        <w:t>Premises</w:t>
      </w:r>
      <w:r>
        <w:rPr>
          <w:spacing w:val="1"/>
        </w:rPr>
        <w:t xml:space="preserve"> </w:t>
      </w:r>
      <w:r>
        <w:rPr>
          <w:spacing w:val="-1"/>
        </w:rPr>
        <w:t>shall</w:t>
      </w:r>
      <w:r>
        <w:rPr>
          <w:spacing w:val="2"/>
        </w:rPr>
        <w:t xml:space="preserve"> </w:t>
      </w:r>
      <w:r w:rsidR="00514A63">
        <w:rPr>
          <w:spacing w:val="-1"/>
        </w:rPr>
        <w:t>be</w:t>
      </w:r>
      <w:r w:rsidR="00514A63">
        <w:t xml:space="preserve"> final</w:t>
      </w:r>
      <w:r>
        <w:rPr>
          <w:spacing w:val="2"/>
        </w:rPr>
        <w:t xml:space="preserve"> </w:t>
      </w:r>
      <w:r>
        <w:rPr>
          <w:spacing w:val="-1"/>
        </w:rPr>
        <w:t>and</w:t>
      </w:r>
      <w:r>
        <w:rPr>
          <w:spacing w:val="32"/>
        </w:rPr>
        <w:t xml:space="preserve"> </w:t>
      </w:r>
      <w:r>
        <w:rPr>
          <w:spacing w:val="-2"/>
        </w:rPr>
        <w:t>conclusive.</w:t>
      </w:r>
    </w:p>
    <w:p w:rsidR="008918FA" w:rsidRDefault="008918FA" w:rsidP="008918FA">
      <w:pPr>
        <w:pStyle w:val="Heading1"/>
        <w:numPr>
          <w:ilvl w:val="1"/>
          <w:numId w:val="66"/>
        </w:numPr>
        <w:tabs>
          <w:tab w:val="left" w:pos="892"/>
        </w:tabs>
        <w:ind w:left="891" w:hanging="564"/>
        <w:rPr>
          <w:b w:val="0"/>
          <w:bCs w:val="0"/>
        </w:rPr>
      </w:pPr>
      <w:r>
        <w:rPr>
          <w:spacing w:val="-1"/>
        </w:rPr>
        <w:t>Relevant</w:t>
      </w:r>
      <w:r>
        <w:rPr>
          <w:spacing w:val="2"/>
        </w:rPr>
        <w:t xml:space="preserve"> </w:t>
      </w:r>
      <w:r>
        <w:rPr>
          <w:spacing w:val="-1"/>
        </w:rPr>
        <w:t>Convictions</w:t>
      </w:r>
    </w:p>
    <w:p w:rsidR="008918FA" w:rsidRDefault="008918FA" w:rsidP="008918FA">
      <w:pPr>
        <w:sectPr w:rsidR="008918FA">
          <w:pgSz w:w="11910" w:h="16840"/>
          <w:pgMar w:top="1480" w:right="1300" w:bottom="1180" w:left="1680" w:header="0" w:footer="967" w:gutter="0"/>
          <w:cols w:space="720"/>
        </w:sectPr>
      </w:pPr>
    </w:p>
    <w:p w:rsidR="008918FA" w:rsidRDefault="008918FA" w:rsidP="008918FA">
      <w:pPr>
        <w:pStyle w:val="BodyText"/>
        <w:numPr>
          <w:ilvl w:val="2"/>
          <w:numId w:val="66"/>
        </w:numPr>
        <w:tabs>
          <w:tab w:val="left" w:pos="2247"/>
        </w:tabs>
        <w:spacing w:before="59"/>
        <w:ind w:left="2246" w:right="114"/>
        <w:jc w:val="both"/>
      </w:pPr>
      <w:bookmarkStart w:id="166" w:name="29._SUPPLY_CHAIN_RIGHTS_AND_PROTECTION"/>
      <w:bookmarkStart w:id="167" w:name="_bookmark141"/>
      <w:bookmarkEnd w:id="166"/>
      <w:bookmarkEnd w:id="167"/>
      <w:r>
        <w:rPr>
          <w:spacing w:val="-1"/>
        </w:rPr>
        <w:t>Where</w:t>
      </w:r>
      <w:r>
        <w:rPr>
          <w:spacing w:val="11"/>
        </w:rPr>
        <w:t xml:space="preserve"> </w:t>
      </w:r>
      <w:r>
        <w:rPr>
          <w:spacing w:val="-2"/>
        </w:rPr>
        <w:t>specified</w:t>
      </w:r>
      <w:r>
        <w:rPr>
          <w:spacing w:val="11"/>
        </w:rPr>
        <w:t xml:space="preserve"> </w:t>
      </w:r>
      <w:r>
        <w:rPr>
          <w:spacing w:val="-1"/>
        </w:rPr>
        <w:t>in</w:t>
      </w:r>
      <w:r>
        <w:rPr>
          <w:spacing w:val="11"/>
        </w:rPr>
        <w:t xml:space="preserve"> </w:t>
      </w:r>
      <w:r>
        <w:t>the</w:t>
      </w:r>
      <w:r>
        <w:rPr>
          <w:spacing w:val="9"/>
        </w:rPr>
        <w:t xml:space="preserve"> </w:t>
      </w:r>
      <w:r>
        <w:rPr>
          <w:spacing w:val="-1"/>
        </w:rPr>
        <w:t>Order</w:t>
      </w:r>
      <w:r>
        <w:rPr>
          <w:spacing w:val="13"/>
        </w:rPr>
        <w:t xml:space="preserve"> </w:t>
      </w:r>
      <w:r>
        <w:rPr>
          <w:spacing w:val="-1"/>
        </w:rPr>
        <w:t>Form</w:t>
      </w:r>
      <w:r>
        <w:rPr>
          <w:spacing w:val="10"/>
        </w:rPr>
        <w:t xml:space="preserve"> </w:t>
      </w:r>
      <w:r>
        <w:rPr>
          <w:spacing w:val="-1"/>
        </w:rPr>
        <w:t>or</w:t>
      </w:r>
      <w:r>
        <w:rPr>
          <w:spacing w:val="10"/>
        </w:rPr>
        <w:t xml:space="preserve"> </w:t>
      </w:r>
      <w:r>
        <w:rPr>
          <w:spacing w:val="-1"/>
        </w:rPr>
        <w:t>elsewhere</w:t>
      </w:r>
      <w:r>
        <w:rPr>
          <w:spacing w:val="11"/>
        </w:rPr>
        <w:t xml:space="preserve"> </w:t>
      </w:r>
      <w:r>
        <w:rPr>
          <w:spacing w:val="-1"/>
        </w:rPr>
        <w:t>in</w:t>
      </w:r>
      <w:r>
        <w:rPr>
          <w:spacing w:val="11"/>
        </w:rPr>
        <w:t xml:space="preserve"> </w:t>
      </w:r>
      <w:r>
        <w:rPr>
          <w:spacing w:val="-1"/>
        </w:rPr>
        <w:t>this</w:t>
      </w:r>
      <w:r>
        <w:rPr>
          <w:spacing w:val="12"/>
        </w:rPr>
        <w:t xml:space="preserve"> </w:t>
      </w:r>
      <w:r>
        <w:rPr>
          <w:spacing w:val="-2"/>
        </w:rPr>
        <w:t>Call</w:t>
      </w:r>
      <w:r>
        <w:rPr>
          <w:spacing w:val="6"/>
        </w:rPr>
        <w:t xml:space="preserve"> </w:t>
      </w:r>
      <w:r>
        <w:rPr>
          <w:spacing w:val="-1"/>
        </w:rPr>
        <w:t>Off</w:t>
      </w:r>
      <w:r>
        <w:rPr>
          <w:spacing w:val="47"/>
        </w:rPr>
        <w:t xml:space="preserve"> </w:t>
      </w:r>
      <w:r>
        <w:rPr>
          <w:spacing w:val="-1"/>
        </w:rPr>
        <w:t>Contract,</w:t>
      </w:r>
      <w:r>
        <w:rPr>
          <w:spacing w:val="21"/>
        </w:rPr>
        <w:t xml:space="preserve"> </w:t>
      </w:r>
      <w:r>
        <w:t>the</w:t>
      </w:r>
      <w:r>
        <w:rPr>
          <w:spacing w:val="22"/>
        </w:rPr>
        <w:t xml:space="preserve"> </w:t>
      </w:r>
      <w:r>
        <w:rPr>
          <w:spacing w:val="-2"/>
        </w:rPr>
        <w:t>Supplier</w:t>
      </w:r>
      <w:r>
        <w:rPr>
          <w:spacing w:val="23"/>
        </w:rPr>
        <w:t xml:space="preserve"> </w:t>
      </w:r>
      <w:r>
        <w:rPr>
          <w:spacing w:val="-2"/>
        </w:rPr>
        <w:t>shall</w:t>
      </w:r>
      <w:r>
        <w:rPr>
          <w:spacing w:val="21"/>
        </w:rPr>
        <w:t xml:space="preserve"> </w:t>
      </w:r>
      <w:r>
        <w:rPr>
          <w:spacing w:val="-1"/>
        </w:rPr>
        <w:t>ensure</w:t>
      </w:r>
      <w:r>
        <w:rPr>
          <w:spacing w:val="22"/>
        </w:rPr>
        <w:t xml:space="preserve"> </w:t>
      </w:r>
      <w:r>
        <w:rPr>
          <w:spacing w:val="-1"/>
        </w:rPr>
        <w:t>that</w:t>
      </w:r>
      <w:r>
        <w:rPr>
          <w:spacing w:val="23"/>
        </w:rPr>
        <w:t xml:space="preserve"> </w:t>
      </w:r>
      <w:r>
        <w:rPr>
          <w:spacing w:val="-1"/>
        </w:rPr>
        <w:t>no</w:t>
      </w:r>
      <w:r>
        <w:rPr>
          <w:spacing w:val="22"/>
        </w:rPr>
        <w:t xml:space="preserve"> </w:t>
      </w:r>
      <w:r>
        <w:rPr>
          <w:spacing w:val="-2"/>
        </w:rPr>
        <w:t>person</w:t>
      </w:r>
      <w:r>
        <w:rPr>
          <w:spacing w:val="22"/>
        </w:rPr>
        <w:t xml:space="preserve"> </w:t>
      </w:r>
      <w:r>
        <w:rPr>
          <w:spacing w:val="-2"/>
        </w:rPr>
        <w:t>who</w:t>
      </w:r>
      <w:r>
        <w:rPr>
          <w:spacing w:val="22"/>
        </w:rPr>
        <w:t xml:space="preserve"> </w:t>
      </w:r>
      <w:r>
        <w:rPr>
          <w:spacing w:val="-1"/>
        </w:rPr>
        <w:t>discloses</w:t>
      </w:r>
      <w:r>
        <w:rPr>
          <w:spacing w:val="22"/>
        </w:rPr>
        <w:t xml:space="preserve"> </w:t>
      </w:r>
      <w:r>
        <w:rPr>
          <w:spacing w:val="-1"/>
        </w:rPr>
        <w:t>that</w:t>
      </w:r>
      <w:r>
        <w:rPr>
          <w:spacing w:val="52"/>
        </w:rPr>
        <w:t xml:space="preserve"> </w:t>
      </w:r>
      <w:r>
        <w:rPr>
          <w:spacing w:val="-1"/>
        </w:rPr>
        <w:t>he</w:t>
      </w:r>
      <w:r>
        <w:rPr>
          <w:spacing w:val="27"/>
        </w:rPr>
        <w:t xml:space="preserve"> </w:t>
      </w:r>
      <w:r>
        <w:rPr>
          <w:spacing w:val="-1"/>
        </w:rPr>
        <w:t>has</w:t>
      </w:r>
      <w:r>
        <w:rPr>
          <w:spacing w:val="27"/>
        </w:rPr>
        <w:t xml:space="preserve"> </w:t>
      </w:r>
      <w:r>
        <w:t>a</w:t>
      </w:r>
      <w:r>
        <w:rPr>
          <w:spacing w:val="24"/>
        </w:rPr>
        <w:t xml:space="preserve"> </w:t>
      </w:r>
      <w:r>
        <w:rPr>
          <w:spacing w:val="-2"/>
        </w:rPr>
        <w:t>Relevant</w:t>
      </w:r>
      <w:r>
        <w:rPr>
          <w:spacing w:val="28"/>
        </w:rPr>
        <w:t xml:space="preserve"> </w:t>
      </w:r>
      <w:r>
        <w:rPr>
          <w:spacing w:val="-1"/>
        </w:rPr>
        <w:t>Conviction,</w:t>
      </w:r>
      <w:r>
        <w:rPr>
          <w:spacing w:val="28"/>
        </w:rPr>
        <w:t xml:space="preserve"> </w:t>
      </w:r>
      <w:r>
        <w:rPr>
          <w:spacing w:val="-1"/>
        </w:rPr>
        <w:t>or</w:t>
      </w:r>
      <w:r>
        <w:rPr>
          <w:spacing w:val="26"/>
        </w:rPr>
        <w:t xml:space="preserve"> </w:t>
      </w:r>
      <w:r>
        <w:rPr>
          <w:spacing w:val="-2"/>
        </w:rPr>
        <w:t>who</w:t>
      </w:r>
      <w:r>
        <w:rPr>
          <w:spacing w:val="27"/>
        </w:rPr>
        <w:t xml:space="preserve"> </w:t>
      </w:r>
      <w:r>
        <w:rPr>
          <w:spacing w:val="-1"/>
        </w:rPr>
        <w:t>is</w:t>
      </w:r>
      <w:r>
        <w:rPr>
          <w:spacing w:val="25"/>
        </w:rPr>
        <w:t xml:space="preserve"> </w:t>
      </w:r>
      <w:r>
        <w:t>found</w:t>
      </w:r>
      <w:r>
        <w:rPr>
          <w:spacing w:val="24"/>
        </w:rPr>
        <w:t xml:space="preserve"> </w:t>
      </w:r>
      <w:r>
        <w:rPr>
          <w:spacing w:val="-1"/>
        </w:rPr>
        <w:t>to</w:t>
      </w:r>
      <w:r>
        <w:rPr>
          <w:spacing w:val="27"/>
        </w:rPr>
        <w:t xml:space="preserve"> </w:t>
      </w:r>
      <w:r>
        <w:rPr>
          <w:spacing w:val="-2"/>
        </w:rPr>
        <w:t>have</w:t>
      </w:r>
      <w:r>
        <w:rPr>
          <w:spacing w:val="27"/>
        </w:rPr>
        <w:t xml:space="preserve"> </w:t>
      </w:r>
      <w:r>
        <w:rPr>
          <w:spacing w:val="-1"/>
        </w:rPr>
        <w:t>any</w:t>
      </w:r>
      <w:r>
        <w:rPr>
          <w:spacing w:val="25"/>
        </w:rPr>
        <w:t xml:space="preserve"> </w:t>
      </w:r>
      <w:r>
        <w:rPr>
          <w:spacing w:val="-2"/>
        </w:rPr>
        <w:t>Relevant</w:t>
      </w:r>
      <w:r>
        <w:rPr>
          <w:spacing w:val="42"/>
        </w:rPr>
        <w:t xml:space="preserve"> </w:t>
      </w:r>
      <w:r>
        <w:rPr>
          <w:spacing w:val="-2"/>
        </w:rPr>
        <w:t>Convictions</w:t>
      </w:r>
      <w:r>
        <w:rPr>
          <w:spacing w:val="61"/>
        </w:rPr>
        <w:t xml:space="preserve"> </w:t>
      </w:r>
      <w:r>
        <w:rPr>
          <w:spacing w:val="-1"/>
        </w:rPr>
        <w:t>(whether</w:t>
      </w:r>
      <w:r>
        <w:t xml:space="preserve"> </w:t>
      </w:r>
      <w:r w:rsidR="00514A63">
        <w:rPr>
          <w:spacing w:val="-1"/>
        </w:rPr>
        <w:t>as</w:t>
      </w:r>
      <w:r w:rsidR="00514A63">
        <w:t xml:space="preserve"> a</w:t>
      </w:r>
      <w:r>
        <w:rPr>
          <w:spacing w:val="58"/>
        </w:rPr>
        <w:t xml:space="preserve"> </w:t>
      </w:r>
      <w:r>
        <w:rPr>
          <w:spacing w:val="-1"/>
        </w:rPr>
        <w:t>result</w:t>
      </w:r>
      <w:r>
        <w:rPr>
          <w:spacing w:val="1"/>
        </w:rPr>
        <w:t xml:space="preserve"> </w:t>
      </w:r>
      <w:r>
        <w:rPr>
          <w:spacing w:val="-2"/>
        </w:rPr>
        <w:t>of</w:t>
      </w:r>
      <w:r>
        <w:rPr>
          <w:spacing w:val="1"/>
        </w:rPr>
        <w:t xml:space="preserve"> </w:t>
      </w:r>
      <w:r>
        <w:t>a</w:t>
      </w:r>
      <w:r>
        <w:rPr>
          <w:spacing w:val="58"/>
        </w:rPr>
        <w:t xml:space="preserve"> </w:t>
      </w:r>
      <w:r>
        <w:rPr>
          <w:spacing w:val="-2"/>
        </w:rPr>
        <w:t>police</w:t>
      </w:r>
      <w:r>
        <w:rPr>
          <w:spacing w:val="58"/>
        </w:rPr>
        <w:t xml:space="preserve"> </w:t>
      </w:r>
      <w:r>
        <w:rPr>
          <w:spacing w:val="-1"/>
        </w:rPr>
        <w:t>check</w:t>
      </w:r>
      <w:r>
        <w:rPr>
          <w:spacing w:val="2"/>
        </w:rPr>
        <w:t xml:space="preserve"> </w:t>
      </w:r>
      <w:r>
        <w:rPr>
          <w:spacing w:val="-1"/>
        </w:rPr>
        <w:t>or</w:t>
      </w:r>
      <w:r>
        <w:rPr>
          <w:spacing w:val="59"/>
        </w:rPr>
        <w:t xml:space="preserve"> </w:t>
      </w:r>
      <w:r>
        <w:rPr>
          <w:spacing w:val="-1"/>
        </w:rPr>
        <w:t>through</w:t>
      </w:r>
      <w:r>
        <w:rPr>
          <w:spacing w:val="58"/>
        </w:rPr>
        <w:t xml:space="preserve"> </w:t>
      </w:r>
      <w:r>
        <w:rPr>
          <w:spacing w:val="-1"/>
        </w:rPr>
        <w:t>the</w:t>
      </w:r>
      <w:r>
        <w:rPr>
          <w:spacing w:val="50"/>
        </w:rPr>
        <w:t xml:space="preserve"> </w:t>
      </w:r>
      <w:r>
        <w:rPr>
          <w:spacing w:val="-1"/>
        </w:rPr>
        <w:t>procedure</w:t>
      </w:r>
      <w:r>
        <w:rPr>
          <w:spacing w:val="20"/>
        </w:rPr>
        <w:t xml:space="preserve"> </w:t>
      </w:r>
      <w:r>
        <w:rPr>
          <w:spacing w:val="-2"/>
        </w:rPr>
        <w:t>of</w:t>
      </w:r>
      <w:r>
        <w:rPr>
          <w:spacing w:val="21"/>
        </w:rPr>
        <w:t xml:space="preserve"> </w:t>
      </w:r>
      <w:r>
        <w:t>the</w:t>
      </w:r>
      <w:r>
        <w:rPr>
          <w:spacing w:val="20"/>
        </w:rPr>
        <w:t xml:space="preserve"> </w:t>
      </w:r>
      <w:r>
        <w:rPr>
          <w:spacing w:val="-2"/>
        </w:rPr>
        <w:t>Disclosure</w:t>
      </w:r>
      <w:r>
        <w:rPr>
          <w:spacing w:val="19"/>
        </w:rPr>
        <w:t xml:space="preserve"> </w:t>
      </w:r>
      <w:r>
        <w:rPr>
          <w:spacing w:val="-1"/>
        </w:rPr>
        <w:t>and</w:t>
      </w:r>
      <w:r>
        <w:rPr>
          <w:spacing w:val="20"/>
        </w:rPr>
        <w:t xml:space="preserve"> </w:t>
      </w:r>
      <w:r>
        <w:rPr>
          <w:spacing w:val="-1"/>
        </w:rPr>
        <w:t>Barring</w:t>
      </w:r>
      <w:r>
        <w:rPr>
          <w:spacing w:val="22"/>
        </w:rPr>
        <w:t xml:space="preserve"> </w:t>
      </w:r>
      <w:r>
        <w:rPr>
          <w:spacing w:val="-2"/>
        </w:rPr>
        <w:t>Service</w:t>
      </w:r>
      <w:r>
        <w:rPr>
          <w:spacing w:val="20"/>
        </w:rPr>
        <w:t xml:space="preserve"> </w:t>
      </w:r>
      <w:r>
        <w:rPr>
          <w:spacing w:val="-1"/>
        </w:rPr>
        <w:t>(DBS)</w:t>
      </w:r>
      <w:r>
        <w:rPr>
          <w:spacing w:val="21"/>
        </w:rPr>
        <w:t xml:space="preserve"> </w:t>
      </w:r>
      <w:r>
        <w:rPr>
          <w:spacing w:val="-1"/>
        </w:rPr>
        <w:t>or</w:t>
      </w:r>
      <w:r>
        <w:rPr>
          <w:spacing w:val="21"/>
        </w:rPr>
        <w:t xml:space="preserve"> </w:t>
      </w:r>
      <w:r>
        <w:rPr>
          <w:spacing w:val="-1"/>
        </w:rPr>
        <w:t>otherwise),</w:t>
      </w:r>
      <w:r>
        <w:rPr>
          <w:spacing w:val="45"/>
        </w:rPr>
        <w:t xml:space="preserve"> </w:t>
      </w:r>
      <w:r>
        <w:rPr>
          <w:spacing w:val="-1"/>
        </w:rPr>
        <w:t>is</w:t>
      </w:r>
      <w:r>
        <w:rPr>
          <w:spacing w:val="51"/>
        </w:rPr>
        <w:t xml:space="preserve"> </w:t>
      </w:r>
      <w:r>
        <w:rPr>
          <w:spacing w:val="-2"/>
        </w:rPr>
        <w:t>employed</w:t>
      </w:r>
      <w:r>
        <w:rPr>
          <w:spacing w:val="51"/>
        </w:rPr>
        <w:t xml:space="preserve"> </w:t>
      </w:r>
      <w:r>
        <w:rPr>
          <w:spacing w:val="-1"/>
        </w:rPr>
        <w:t>or</w:t>
      </w:r>
      <w:r>
        <w:rPr>
          <w:spacing w:val="52"/>
        </w:rPr>
        <w:t xml:space="preserve"> </w:t>
      </w:r>
      <w:r>
        <w:rPr>
          <w:spacing w:val="-1"/>
        </w:rPr>
        <w:t>engaged</w:t>
      </w:r>
      <w:r>
        <w:rPr>
          <w:spacing w:val="51"/>
        </w:rPr>
        <w:t xml:space="preserve"> </w:t>
      </w:r>
      <w:r>
        <w:rPr>
          <w:spacing w:val="-1"/>
        </w:rPr>
        <w:t>in</w:t>
      </w:r>
      <w:r>
        <w:rPr>
          <w:spacing w:val="51"/>
        </w:rPr>
        <w:t xml:space="preserve"> </w:t>
      </w:r>
      <w:r>
        <w:rPr>
          <w:spacing w:val="-1"/>
        </w:rPr>
        <w:t>any</w:t>
      </w:r>
      <w:r>
        <w:rPr>
          <w:spacing w:val="49"/>
        </w:rPr>
        <w:t xml:space="preserve"> </w:t>
      </w:r>
      <w:r>
        <w:rPr>
          <w:spacing w:val="-1"/>
        </w:rPr>
        <w:t>part</w:t>
      </w:r>
      <w:r>
        <w:rPr>
          <w:spacing w:val="53"/>
        </w:rPr>
        <w:t xml:space="preserve"> </w:t>
      </w:r>
      <w:r>
        <w:rPr>
          <w:spacing w:val="-2"/>
        </w:rPr>
        <w:t>of</w:t>
      </w:r>
      <w:r>
        <w:rPr>
          <w:spacing w:val="52"/>
        </w:rPr>
        <w:t xml:space="preserve"> </w:t>
      </w:r>
      <w:r>
        <w:t>the</w:t>
      </w:r>
      <w:r>
        <w:rPr>
          <w:spacing w:val="48"/>
        </w:rPr>
        <w:t xml:space="preserve"> </w:t>
      </w:r>
      <w:r>
        <w:rPr>
          <w:spacing w:val="-2"/>
        </w:rPr>
        <w:t>provision</w:t>
      </w:r>
      <w:r>
        <w:rPr>
          <w:spacing w:val="51"/>
        </w:rPr>
        <w:t xml:space="preserve"> </w:t>
      </w:r>
      <w:r>
        <w:rPr>
          <w:spacing w:val="-1"/>
        </w:rPr>
        <w:t>of</w:t>
      </w:r>
      <w:r>
        <w:rPr>
          <w:spacing w:val="54"/>
        </w:rPr>
        <w:t xml:space="preserve"> </w:t>
      </w:r>
      <w:r>
        <w:t>the</w:t>
      </w:r>
      <w:r>
        <w:rPr>
          <w:spacing w:val="48"/>
        </w:rPr>
        <w:t xml:space="preserve"> </w:t>
      </w:r>
      <w:r>
        <w:rPr>
          <w:spacing w:val="-1"/>
        </w:rPr>
        <w:t>Goods</w:t>
      </w:r>
      <w:r>
        <w:rPr>
          <w:spacing w:val="44"/>
        </w:rPr>
        <w:t xml:space="preserve"> </w:t>
      </w:r>
      <w:r>
        <w:rPr>
          <w:spacing w:val="-1"/>
        </w:rPr>
        <w:t>and/or Services</w:t>
      </w:r>
      <w:r>
        <w:rPr>
          <w:spacing w:val="1"/>
        </w:rPr>
        <w:t xml:space="preserve"> </w:t>
      </w:r>
      <w:r>
        <w:rPr>
          <w:spacing w:val="-2"/>
        </w:rPr>
        <w:t>without</w:t>
      </w:r>
      <w:r>
        <w:t xml:space="preserve"> </w:t>
      </w:r>
      <w:r>
        <w:rPr>
          <w:spacing w:val="-2"/>
        </w:rPr>
        <w:t>Approval.</w:t>
      </w:r>
    </w:p>
    <w:p w:rsidR="008918FA" w:rsidRDefault="008918FA" w:rsidP="008918FA">
      <w:pPr>
        <w:pStyle w:val="BodyText"/>
        <w:numPr>
          <w:ilvl w:val="2"/>
          <w:numId w:val="66"/>
        </w:numPr>
        <w:tabs>
          <w:tab w:val="left" w:pos="2247"/>
        </w:tabs>
        <w:spacing w:before="121"/>
        <w:ind w:left="2246" w:right="112"/>
        <w:jc w:val="both"/>
      </w:pPr>
      <w:r>
        <w:rPr>
          <w:spacing w:val="-1"/>
        </w:rPr>
        <w:t>Notwithstanding</w:t>
      </w:r>
      <w:r>
        <w:rPr>
          <w:spacing w:val="27"/>
        </w:rPr>
        <w:t xml:space="preserve"> </w:t>
      </w:r>
      <w:r>
        <w:rPr>
          <w:spacing w:val="-2"/>
        </w:rPr>
        <w:t>Clause</w:t>
      </w:r>
      <w:r>
        <w:rPr>
          <w:spacing w:val="25"/>
        </w:rPr>
        <w:t xml:space="preserve"> </w:t>
      </w:r>
      <w:hyperlink w:anchor="_bookmark141" w:history="1">
        <w:r>
          <w:rPr>
            <w:spacing w:val="-1"/>
          </w:rPr>
          <w:t>27.2.1</w:t>
        </w:r>
      </w:hyperlink>
      <w:r>
        <w:rPr>
          <w:spacing w:val="-1"/>
        </w:rPr>
        <w:t>,</w:t>
      </w:r>
      <w:r>
        <w:rPr>
          <w:spacing w:val="24"/>
        </w:rPr>
        <w:t xml:space="preserve"> </w:t>
      </w:r>
      <w:r>
        <w:t>for</w:t>
      </w:r>
      <w:r>
        <w:rPr>
          <w:spacing w:val="26"/>
        </w:rPr>
        <w:t xml:space="preserve"> </w:t>
      </w:r>
      <w:r>
        <w:rPr>
          <w:spacing w:val="-1"/>
        </w:rPr>
        <w:t>each</w:t>
      </w:r>
      <w:r>
        <w:rPr>
          <w:spacing w:val="25"/>
        </w:rPr>
        <w:t xml:space="preserve"> </w:t>
      </w:r>
      <w:r>
        <w:rPr>
          <w:spacing w:val="-1"/>
        </w:rPr>
        <w:t>member</w:t>
      </w:r>
      <w:r>
        <w:rPr>
          <w:spacing w:val="26"/>
        </w:rPr>
        <w:t xml:space="preserve"> </w:t>
      </w:r>
      <w:r>
        <w:rPr>
          <w:spacing w:val="-2"/>
        </w:rPr>
        <w:t>of</w:t>
      </w:r>
      <w:r>
        <w:rPr>
          <w:spacing w:val="28"/>
        </w:rPr>
        <w:t xml:space="preserve"> </w:t>
      </w:r>
      <w:r>
        <w:rPr>
          <w:spacing w:val="-2"/>
        </w:rPr>
        <w:t>Supplier</w:t>
      </w:r>
      <w:r>
        <w:rPr>
          <w:spacing w:val="40"/>
        </w:rPr>
        <w:t xml:space="preserve"> </w:t>
      </w:r>
      <w:r>
        <w:rPr>
          <w:spacing w:val="-1"/>
        </w:rPr>
        <w:t>Personnel</w:t>
      </w:r>
      <w:r>
        <w:rPr>
          <w:spacing w:val="9"/>
        </w:rPr>
        <w:t xml:space="preserve"> </w:t>
      </w:r>
      <w:r>
        <w:rPr>
          <w:spacing w:val="-2"/>
        </w:rPr>
        <w:t>who,</w:t>
      </w:r>
      <w:r>
        <w:rPr>
          <w:spacing w:val="11"/>
        </w:rPr>
        <w:t xml:space="preserve"> </w:t>
      </w:r>
      <w:r>
        <w:rPr>
          <w:spacing w:val="-1"/>
        </w:rPr>
        <w:t>in</w:t>
      </w:r>
      <w:r>
        <w:rPr>
          <w:spacing w:val="10"/>
        </w:rPr>
        <w:t xml:space="preserve"> </w:t>
      </w:r>
      <w:r>
        <w:rPr>
          <w:spacing w:val="-1"/>
        </w:rPr>
        <w:t>providing</w:t>
      </w:r>
      <w:r>
        <w:rPr>
          <w:spacing w:val="12"/>
        </w:rPr>
        <w:t xml:space="preserve"> </w:t>
      </w:r>
      <w:r>
        <w:t>the</w:t>
      </w:r>
      <w:r>
        <w:rPr>
          <w:spacing w:val="7"/>
        </w:rPr>
        <w:t xml:space="preserve"> </w:t>
      </w:r>
      <w:r>
        <w:rPr>
          <w:spacing w:val="-1"/>
        </w:rPr>
        <w:t>Goods</w:t>
      </w:r>
      <w:r>
        <w:rPr>
          <w:spacing w:val="10"/>
        </w:rPr>
        <w:t xml:space="preserve"> </w:t>
      </w:r>
      <w:r>
        <w:rPr>
          <w:spacing w:val="-1"/>
        </w:rPr>
        <w:t>and/or</w:t>
      </w:r>
      <w:r>
        <w:rPr>
          <w:spacing w:val="11"/>
        </w:rPr>
        <w:t xml:space="preserve"> </w:t>
      </w:r>
      <w:r>
        <w:rPr>
          <w:spacing w:val="-2"/>
        </w:rPr>
        <w:t>Services,</w:t>
      </w:r>
      <w:r>
        <w:rPr>
          <w:spacing w:val="12"/>
        </w:rPr>
        <w:t xml:space="preserve"> </w:t>
      </w:r>
      <w:r>
        <w:rPr>
          <w:spacing w:val="-1"/>
        </w:rPr>
        <w:t>has,</w:t>
      </w:r>
      <w:r>
        <w:rPr>
          <w:spacing w:val="12"/>
        </w:rPr>
        <w:t xml:space="preserve"> </w:t>
      </w:r>
      <w:r>
        <w:rPr>
          <w:spacing w:val="-2"/>
        </w:rPr>
        <w:t>will</w:t>
      </w:r>
      <w:r>
        <w:rPr>
          <w:spacing w:val="9"/>
        </w:rPr>
        <w:t xml:space="preserve"> </w:t>
      </w:r>
      <w:r>
        <w:rPr>
          <w:spacing w:val="-1"/>
        </w:rPr>
        <w:t>have</w:t>
      </w:r>
      <w:r>
        <w:rPr>
          <w:spacing w:val="53"/>
        </w:rPr>
        <w:t xml:space="preserve"> </w:t>
      </w:r>
      <w:r>
        <w:rPr>
          <w:spacing w:val="-1"/>
        </w:rPr>
        <w:t>or</w:t>
      </w:r>
      <w:r>
        <w:rPr>
          <w:spacing w:val="49"/>
        </w:rPr>
        <w:t xml:space="preserve"> </w:t>
      </w:r>
      <w:r>
        <w:rPr>
          <w:spacing w:val="-1"/>
        </w:rPr>
        <w:t>is</w:t>
      </w:r>
      <w:r>
        <w:rPr>
          <w:spacing w:val="49"/>
        </w:rPr>
        <w:t xml:space="preserve"> </w:t>
      </w:r>
      <w:r>
        <w:rPr>
          <w:spacing w:val="-1"/>
        </w:rPr>
        <w:t>likely</w:t>
      </w:r>
      <w:r>
        <w:rPr>
          <w:spacing w:val="49"/>
        </w:rPr>
        <w:t xml:space="preserve"> </w:t>
      </w:r>
      <w:r>
        <w:t>to</w:t>
      </w:r>
      <w:r>
        <w:rPr>
          <w:spacing w:val="48"/>
        </w:rPr>
        <w:t xml:space="preserve"> </w:t>
      </w:r>
      <w:r>
        <w:rPr>
          <w:spacing w:val="-2"/>
        </w:rPr>
        <w:t>have</w:t>
      </w:r>
      <w:r>
        <w:rPr>
          <w:spacing w:val="51"/>
        </w:rPr>
        <w:t xml:space="preserve"> </w:t>
      </w:r>
      <w:r>
        <w:rPr>
          <w:spacing w:val="-1"/>
        </w:rPr>
        <w:t>access</w:t>
      </w:r>
      <w:r>
        <w:rPr>
          <w:spacing w:val="49"/>
        </w:rPr>
        <w:t xml:space="preserve"> </w:t>
      </w:r>
      <w:r>
        <w:t>to</w:t>
      </w:r>
      <w:r>
        <w:rPr>
          <w:spacing w:val="49"/>
        </w:rPr>
        <w:t xml:space="preserve"> </w:t>
      </w:r>
      <w:r>
        <w:rPr>
          <w:spacing w:val="-1"/>
        </w:rPr>
        <w:t>children,</w:t>
      </w:r>
      <w:r>
        <w:rPr>
          <w:spacing w:val="50"/>
        </w:rPr>
        <w:t xml:space="preserve"> </w:t>
      </w:r>
      <w:r>
        <w:rPr>
          <w:spacing w:val="-2"/>
        </w:rPr>
        <w:t>vulnerable</w:t>
      </w:r>
      <w:r>
        <w:rPr>
          <w:spacing w:val="48"/>
        </w:rPr>
        <w:t xml:space="preserve"> </w:t>
      </w:r>
      <w:r>
        <w:rPr>
          <w:spacing w:val="-1"/>
        </w:rPr>
        <w:t>persons</w:t>
      </w:r>
      <w:r>
        <w:rPr>
          <w:spacing w:val="49"/>
        </w:rPr>
        <w:t xml:space="preserve"> </w:t>
      </w:r>
      <w:r>
        <w:rPr>
          <w:spacing w:val="-1"/>
        </w:rPr>
        <w:t>or</w:t>
      </w:r>
      <w:r>
        <w:rPr>
          <w:spacing w:val="49"/>
        </w:rPr>
        <w:t xml:space="preserve"> </w:t>
      </w:r>
      <w:r>
        <w:rPr>
          <w:spacing w:val="-1"/>
        </w:rPr>
        <w:t>other</w:t>
      </w:r>
      <w:r>
        <w:rPr>
          <w:spacing w:val="50"/>
        </w:rPr>
        <w:t xml:space="preserve"> </w:t>
      </w:r>
      <w:r>
        <w:rPr>
          <w:spacing w:val="-1"/>
        </w:rPr>
        <w:t>members</w:t>
      </w:r>
      <w:r>
        <w:rPr>
          <w:spacing w:val="20"/>
        </w:rPr>
        <w:t xml:space="preserve"> </w:t>
      </w:r>
      <w:r>
        <w:rPr>
          <w:spacing w:val="-2"/>
        </w:rPr>
        <w:t>of</w:t>
      </w:r>
      <w:r>
        <w:rPr>
          <w:spacing w:val="23"/>
        </w:rPr>
        <w:t xml:space="preserve"> </w:t>
      </w:r>
      <w:r>
        <w:t>the</w:t>
      </w:r>
      <w:r>
        <w:rPr>
          <w:spacing w:val="20"/>
        </w:rPr>
        <w:t xml:space="preserve"> </w:t>
      </w:r>
      <w:r>
        <w:rPr>
          <w:spacing w:val="-2"/>
        </w:rPr>
        <w:t>public</w:t>
      </w:r>
      <w:r>
        <w:rPr>
          <w:spacing w:val="20"/>
        </w:rPr>
        <w:t xml:space="preserve"> </w:t>
      </w:r>
      <w:r>
        <w:t>to</w:t>
      </w:r>
      <w:r>
        <w:rPr>
          <w:spacing w:val="22"/>
        </w:rPr>
        <w:t xml:space="preserve"> </w:t>
      </w:r>
      <w:r>
        <w:rPr>
          <w:spacing w:val="-2"/>
        </w:rPr>
        <w:t>whom</w:t>
      </w:r>
      <w:r>
        <w:rPr>
          <w:spacing w:val="21"/>
        </w:rPr>
        <w:t xml:space="preserve"> </w:t>
      </w:r>
      <w:r>
        <w:t>the</w:t>
      </w:r>
      <w:r>
        <w:rPr>
          <w:spacing w:val="20"/>
        </w:rPr>
        <w:t xml:space="preserve"> </w:t>
      </w:r>
      <w:r>
        <w:rPr>
          <w:spacing w:val="-1"/>
        </w:rPr>
        <w:t>Customer</w:t>
      </w:r>
      <w:r>
        <w:rPr>
          <w:spacing w:val="21"/>
        </w:rPr>
        <w:t xml:space="preserve"> </w:t>
      </w:r>
      <w:r>
        <w:rPr>
          <w:spacing w:val="-2"/>
        </w:rPr>
        <w:t>owes</w:t>
      </w:r>
      <w:r>
        <w:rPr>
          <w:spacing w:val="20"/>
        </w:rPr>
        <w:t xml:space="preserve"> </w:t>
      </w:r>
      <w:r>
        <w:t>a</w:t>
      </w:r>
      <w:r>
        <w:rPr>
          <w:spacing w:val="22"/>
        </w:rPr>
        <w:t xml:space="preserve"> </w:t>
      </w:r>
      <w:r>
        <w:rPr>
          <w:spacing w:val="-1"/>
        </w:rPr>
        <w:t>special</w:t>
      </w:r>
      <w:r>
        <w:rPr>
          <w:spacing w:val="21"/>
        </w:rPr>
        <w:t xml:space="preserve"> </w:t>
      </w:r>
      <w:r>
        <w:rPr>
          <w:spacing w:val="-1"/>
        </w:rPr>
        <w:t>duty</w:t>
      </w:r>
      <w:r>
        <w:rPr>
          <w:spacing w:val="18"/>
        </w:rPr>
        <w:t xml:space="preserve"> </w:t>
      </w:r>
      <w:r>
        <w:rPr>
          <w:spacing w:val="-1"/>
        </w:rPr>
        <w:t>of</w:t>
      </w:r>
      <w:r>
        <w:rPr>
          <w:spacing w:val="38"/>
        </w:rPr>
        <w:t xml:space="preserve"> </w:t>
      </w:r>
      <w:r>
        <w:rPr>
          <w:spacing w:val="-1"/>
        </w:rPr>
        <w:t>care,</w:t>
      </w:r>
      <w:r>
        <w:rPr>
          <w:spacing w:val="8"/>
        </w:rPr>
        <w:t xml:space="preserve"> </w:t>
      </w:r>
      <w:r>
        <w:t>the</w:t>
      </w:r>
      <w:r>
        <w:rPr>
          <w:spacing w:val="6"/>
        </w:rPr>
        <w:t xml:space="preserve"> </w:t>
      </w:r>
      <w:r>
        <w:rPr>
          <w:spacing w:val="-2"/>
        </w:rPr>
        <w:t>Supplier</w:t>
      </w:r>
      <w:r>
        <w:rPr>
          <w:spacing w:val="10"/>
        </w:rPr>
        <w:t xml:space="preserve"> </w:t>
      </w:r>
      <w:r>
        <w:rPr>
          <w:spacing w:val="-1"/>
        </w:rPr>
        <w:t>shall</w:t>
      </w:r>
      <w:r>
        <w:rPr>
          <w:spacing w:val="8"/>
        </w:rPr>
        <w:t xml:space="preserve"> </w:t>
      </w:r>
      <w:r>
        <w:rPr>
          <w:spacing w:val="-1"/>
        </w:rPr>
        <w:t>(and</w:t>
      </w:r>
      <w:r>
        <w:rPr>
          <w:spacing w:val="6"/>
        </w:rPr>
        <w:t xml:space="preserve"> </w:t>
      </w:r>
      <w:r>
        <w:rPr>
          <w:spacing w:val="-1"/>
        </w:rPr>
        <w:t>shall</w:t>
      </w:r>
      <w:r>
        <w:rPr>
          <w:spacing w:val="8"/>
        </w:rPr>
        <w:t xml:space="preserve"> </w:t>
      </w:r>
      <w:r>
        <w:rPr>
          <w:spacing w:val="-1"/>
        </w:rPr>
        <w:t>procure</w:t>
      </w:r>
      <w:r>
        <w:rPr>
          <w:spacing w:val="6"/>
        </w:rPr>
        <w:t xml:space="preserve"> </w:t>
      </w:r>
      <w:r>
        <w:rPr>
          <w:spacing w:val="-1"/>
        </w:rPr>
        <w:t>that</w:t>
      </w:r>
      <w:r>
        <w:rPr>
          <w:spacing w:val="8"/>
        </w:rPr>
        <w:t xml:space="preserve"> </w:t>
      </w:r>
      <w:r>
        <w:t>the</w:t>
      </w:r>
      <w:r>
        <w:rPr>
          <w:spacing w:val="9"/>
        </w:rPr>
        <w:t xml:space="preserve"> </w:t>
      </w:r>
      <w:r>
        <w:rPr>
          <w:spacing w:val="-2"/>
        </w:rPr>
        <w:t>relevant</w:t>
      </w:r>
      <w:r>
        <w:rPr>
          <w:spacing w:val="10"/>
        </w:rPr>
        <w:t xml:space="preserve"> </w:t>
      </w:r>
      <w:r>
        <w:rPr>
          <w:spacing w:val="-1"/>
        </w:rPr>
        <w:t>Sub-</w:t>
      </w:r>
      <w:r>
        <w:rPr>
          <w:spacing w:val="55"/>
        </w:rPr>
        <w:t xml:space="preserve"> </w:t>
      </w:r>
      <w:r>
        <w:rPr>
          <w:spacing w:val="-1"/>
        </w:rPr>
        <w:t>Contractor shall):</w:t>
      </w:r>
    </w:p>
    <w:p w:rsidR="008918FA" w:rsidRDefault="008918FA" w:rsidP="008918FA">
      <w:pPr>
        <w:pStyle w:val="BodyText"/>
        <w:numPr>
          <w:ilvl w:val="3"/>
          <w:numId w:val="66"/>
        </w:numPr>
        <w:tabs>
          <w:tab w:val="left" w:pos="2955"/>
        </w:tabs>
        <w:ind w:left="2954" w:right="113"/>
        <w:jc w:val="both"/>
      </w:pPr>
      <w:r>
        <w:rPr>
          <w:spacing w:val="-1"/>
        </w:rPr>
        <w:t>carry</w:t>
      </w:r>
      <w:r>
        <w:rPr>
          <w:spacing w:val="20"/>
        </w:rPr>
        <w:t xml:space="preserve"> </w:t>
      </w:r>
      <w:r>
        <w:rPr>
          <w:spacing w:val="-1"/>
        </w:rPr>
        <w:t>out</w:t>
      </w:r>
      <w:r>
        <w:rPr>
          <w:spacing w:val="23"/>
        </w:rPr>
        <w:t xml:space="preserve"> </w:t>
      </w:r>
      <w:r>
        <w:t>a</w:t>
      </w:r>
      <w:r>
        <w:rPr>
          <w:spacing w:val="22"/>
        </w:rPr>
        <w:t xml:space="preserve"> </w:t>
      </w:r>
      <w:r>
        <w:rPr>
          <w:spacing w:val="-1"/>
        </w:rPr>
        <w:t>check</w:t>
      </w:r>
      <w:r>
        <w:rPr>
          <w:spacing w:val="25"/>
        </w:rPr>
        <w:t xml:space="preserve"> </w:t>
      </w:r>
      <w:r>
        <w:rPr>
          <w:spacing w:val="-2"/>
        </w:rPr>
        <w:t>with</w:t>
      </w:r>
      <w:r>
        <w:rPr>
          <w:spacing w:val="22"/>
        </w:rPr>
        <w:t xml:space="preserve"> </w:t>
      </w:r>
      <w:r>
        <w:t>the</w:t>
      </w:r>
      <w:r>
        <w:rPr>
          <w:spacing w:val="22"/>
        </w:rPr>
        <w:t xml:space="preserve"> </w:t>
      </w:r>
      <w:r>
        <w:rPr>
          <w:spacing w:val="-1"/>
        </w:rPr>
        <w:t>records</w:t>
      </w:r>
      <w:r>
        <w:rPr>
          <w:spacing w:val="22"/>
        </w:rPr>
        <w:t xml:space="preserve"> </w:t>
      </w:r>
      <w:r>
        <w:rPr>
          <w:spacing w:val="-1"/>
        </w:rPr>
        <w:t>held</w:t>
      </w:r>
      <w:r>
        <w:rPr>
          <w:spacing w:val="24"/>
        </w:rPr>
        <w:t xml:space="preserve"> </w:t>
      </w:r>
      <w:r>
        <w:rPr>
          <w:spacing w:val="-1"/>
        </w:rPr>
        <w:t>by</w:t>
      </w:r>
      <w:r>
        <w:rPr>
          <w:spacing w:val="20"/>
        </w:rPr>
        <w:t xml:space="preserve"> </w:t>
      </w:r>
      <w:r>
        <w:t>the</w:t>
      </w:r>
      <w:r>
        <w:rPr>
          <w:spacing w:val="24"/>
        </w:rPr>
        <w:t xml:space="preserve"> </w:t>
      </w:r>
      <w:r>
        <w:rPr>
          <w:spacing w:val="-1"/>
        </w:rPr>
        <w:t>Department</w:t>
      </w:r>
      <w:r>
        <w:rPr>
          <w:spacing w:val="21"/>
        </w:rPr>
        <w:t xml:space="preserve"> </w:t>
      </w:r>
      <w:r>
        <w:t>for</w:t>
      </w:r>
      <w:r>
        <w:rPr>
          <w:spacing w:val="35"/>
        </w:rPr>
        <w:t xml:space="preserve"> </w:t>
      </w:r>
      <w:r>
        <w:rPr>
          <w:spacing w:val="-1"/>
        </w:rPr>
        <w:t>Education</w:t>
      </w:r>
      <w:r>
        <w:t xml:space="preserve"> </w:t>
      </w:r>
      <w:r>
        <w:rPr>
          <w:spacing w:val="-1"/>
        </w:rPr>
        <w:t>(DfE);</w:t>
      </w:r>
    </w:p>
    <w:p w:rsidR="008918FA" w:rsidRDefault="008918FA" w:rsidP="008918FA">
      <w:pPr>
        <w:pStyle w:val="BodyText"/>
        <w:numPr>
          <w:ilvl w:val="3"/>
          <w:numId w:val="66"/>
        </w:numPr>
        <w:tabs>
          <w:tab w:val="left" w:pos="2954"/>
        </w:tabs>
        <w:ind w:left="2953" w:right="120" w:hanging="707"/>
        <w:jc w:val="both"/>
      </w:pPr>
      <w:r>
        <w:rPr>
          <w:spacing w:val="-1"/>
        </w:rPr>
        <w:t>conduct</w:t>
      </w:r>
      <w:r>
        <w:rPr>
          <w:spacing w:val="16"/>
        </w:rPr>
        <w:t xml:space="preserve"> </w:t>
      </w:r>
      <w:r>
        <w:rPr>
          <w:spacing w:val="-1"/>
        </w:rPr>
        <w:t>thorough</w:t>
      </w:r>
      <w:r>
        <w:rPr>
          <w:spacing w:val="11"/>
        </w:rPr>
        <w:t xml:space="preserve"> </w:t>
      </w:r>
      <w:r>
        <w:rPr>
          <w:spacing w:val="-1"/>
        </w:rPr>
        <w:t>questioning</w:t>
      </w:r>
      <w:r>
        <w:rPr>
          <w:spacing w:val="16"/>
        </w:rPr>
        <w:t xml:space="preserve"> </w:t>
      </w:r>
      <w:r>
        <w:rPr>
          <w:spacing w:val="-2"/>
        </w:rPr>
        <w:t>regarding</w:t>
      </w:r>
      <w:r>
        <w:rPr>
          <w:spacing w:val="16"/>
        </w:rPr>
        <w:t xml:space="preserve"> </w:t>
      </w:r>
      <w:r>
        <w:rPr>
          <w:spacing w:val="-1"/>
        </w:rPr>
        <w:t>any</w:t>
      </w:r>
      <w:r>
        <w:rPr>
          <w:spacing w:val="12"/>
        </w:rPr>
        <w:t xml:space="preserve"> </w:t>
      </w:r>
      <w:r>
        <w:rPr>
          <w:spacing w:val="-2"/>
        </w:rPr>
        <w:t>Relevant</w:t>
      </w:r>
      <w:r>
        <w:rPr>
          <w:spacing w:val="46"/>
        </w:rPr>
        <w:t xml:space="preserve"> </w:t>
      </w:r>
      <w:r>
        <w:rPr>
          <w:spacing w:val="-2"/>
        </w:rPr>
        <w:t>Convictions;</w:t>
      </w:r>
      <w:r>
        <w:rPr>
          <w:spacing w:val="2"/>
        </w:rPr>
        <w:t xml:space="preserve"> </w:t>
      </w:r>
      <w:r>
        <w:rPr>
          <w:spacing w:val="-1"/>
        </w:rPr>
        <w:t>and</w:t>
      </w:r>
    </w:p>
    <w:p w:rsidR="008918FA" w:rsidRDefault="008918FA" w:rsidP="008918FA">
      <w:pPr>
        <w:pStyle w:val="BodyText"/>
        <w:numPr>
          <w:ilvl w:val="3"/>
          <w:numId w:val="66"/>
        </w:numPr>
        <w:tabs>
          <w:tab w:val="left" w:pos="2954"/>
        </w:tabs>
        <w:ind w:left="2953" w:right="115"/>
        <w:jc w:val="both"/>
      </w:pPr>
      <w:r>
        <w:rPr>
          <w:spacing w:val="-1"/>
        </w:rPr>
        <w:t>ensure</w:t>
      </w:r>
      <w:r>
        <w:rPr>
          <w:spacing w:val="22"/>
        </w:rPr>
        <w:t xml:space="preserve"> </w:t>
      </w:r>
      <w:r>
        <w:t>a</w:t>
      </w:r>
      <w:r>
        <w:rPr>
          <w:spacing w:val="22"/>
        </w:rPr>
        <w:t xml:space="preserve"> </w:t>
      </w:r>
      <w:r>
        <w:rPr>
          <w:spacing w:val="-2"/>
        </w:rPr>
        <w:t>police</w:t>
      </w:r>
      <w:r>
        <w:rPr>
          <w:spacing w:val="22"/>
        </w:rPr>
        <w:t xml:space="preserve"> </w:t>
      </w:r>
      <w:r>
        <w:rPr>
          <w:spacing w:val="-1"/>
        </w:rPr>
        <w:t>check</w:t>
      </w:r>
      <w:r>
        <w:rPr>
          <w:spacing w:val="25"/>
        </w:rPr>
        <w:t xml:space="preserve"> </w:t>
      </w:r>
      <w:r>
        <w:rPr>
          <w:spacing w:val="-1"/>
        </w:rPr>
        <w:t>is</w:t>
      </w:r>
      <w:r>
        <w:rPr>
          <w:spacing w:val="22"/>
        </w:rPr>
        <w:t xml:space="preserve"> </w:t>
      </w:r>
      <w:r>
        <w:rPr>
          <w:spacing w:val="-1"/>
        </w:rPr>
        <w:t>completed</w:t>
      </w:r>
      <w:r>
        <w:rPr>
          <w:spacing w:val="22"/>
        </w:rPr>
        <w:t xml:space="preserve"> </w:t>
      </w:r>
      <w:r>
        <w:rPr>
          <w:spacing w:val="-1"/>
        </w:rPr>
        <w:t>and</w:t>
      </w:r>
      <w:r>
        <w:rPr>
          <w:spacing w:val="22"/>
        </w:rPr>
        <w:t xml:space="preserve"> </w:t>
      </w:r>
      <w:r>
        <w:rPr>
          <w:spacing w:val="-1"/>
        </w:rPr>
        <w:t>such</w:t>
      </w:r>
      <w:r>
        <w:rPr>
          <w:spacing w:val="22"/>
        </w:rPr>
        <w:t xml:space="preserve"> </w:t>
      </w:r>
      <w:r>
        <w:rPr>
          <w:spacing w:val="-1"/>
        </w:rPr>
        <w:t>other</w:t>
      </w:r>
      <w:r>
        <w:rPr>
          <w:spacing w:val="23"/>
        </w:rPr>
        <w:t xml:space="preserve"> </w:t>
      </w:r>
      <w:r>
        <w:rPr>
          <w:spacing w:val="-1"/>
        </w:rPr>
        <w:t>checks</w:t>
      </w:r>
      <w:r>
        <w:rPr>
          <w:spacing w:val="22"/>
        </w:rPr>
        <w:t xml:space="preserve"> </w:t>
      </w:r>
      <w:r>
        <w:rPr>
          <w:spacing w:val="-1"/>
        </w:rPr>
        <w:t>as</w:t>
      </w:r>
      <w:r>
        <w:rPr>
          <w:spacing w:val="40"/>
        </w:rPr>
        <w:t xml:space="preserve"> </w:t>
      </w:r>
      <w:r>
        <w:rPr>
          <w:spacing w:val="-1"/>
        </w:rPr>
        <w:t>may</w:t>
      </w:r>
      <w:r>
        <w:rPr>
          <w:spacing w:val="13"/>
        </w:rPr>
        <w:t xml:space="preserve"> </w:t>
      </w:r>
      <w:r>
        <w:rPr>
          <w:spacing w:val="-1"/>
        </w:rPr>
        <w:t>be</w:t>
      </w:r>
      <w:r>
        <w:rPr>
          <w:spacing w:val="15"/>
        </w:rPr>
        <w:t xml:space="preserve"> </w:t>
      </w:r>
      <w:r>
        <w:rPr>
          <w:spacing w:val="-1"/>
        </w:rPr>
        <w:t>carried</w:t>
      </w:r>
      <w:r>
        <w:rPr>
          <w:spacing w:val="15"/>
        </w:rPr>
        <w:t xml:space="preserve"> </w:t>
      </w:r>
      <w:r>
        <w:rPr>
          <w:spacing w:val="-2"/>
        </w:rPr>
        <w:t>out</w:t>
      </w:r>
      <w:r>
        <w:rPr>
          <w:spacing w:val="16"/>
        </w:rPr>
        <w:t xml:space="preserve"> </w:t>
      </w:r>
      <w:r>
        <w:rPr>
          <w:spacing w:val="-1"/>
        </w:rPr>
        <w:t>through</w:t>
      </w:r>
      <w:r>
        <w:rPr>
          <w:spacing w:val="12"/>
        </w:rPr>
        <w:t xml:space="preserve"> </w:t>
      </w:r>
      <w:r>
        <w:t>the</w:t>
      </w:r>
      <w:r>
        <w:rPr>
          <w:spacing w:val="15"/>
        </w:rPr>
        <w:t xml:space="preserve"> </w:t>
      </w:r>
      <w:r>
        <w:rPr>
          <w:spacing w:val="-1"/>
        </w:rPr>
        <w:t>Disclosure</w:t>
      </w:r>
      <w:r>
        <w:rPr>
          <w:spacing w:val="15"/>
        </w:rPr>
        <w:t xml:space="preserve"> </w:t>
      </w:r>
      <w:r>
        <w:rPr>
          <w:spacing w:val="-1"/>
        </w:rPr>
        <w:t>and</w:t>
      </w:r>
      <w:r>
        <w:rPr>
          <w:spacing w:val="15"/>
        </w:rPr>
        <w:t xml:space="preserve"> </w:t>
      </w:r>
      <w:r>
        <w:rPr>
          <w:spacing w:val="-2"/>
        </w:rPr>
        <w:t>Barring</w:t>
      </w:r>
      <w:r>
        <w:rPr>
          <w:spacing w:val="17"/>
        </w:rPr>
        <w:t xml:space="preserve"> </w:t>
      </w:r>
      <w:r>
        <w:rPr>
          <w:spacing w:val="-2"/>
        </w:rPr>
        <w:t>Service</w:t>
      </w:r>
      <w:r>
        <w:rPr>
          <w:spacing w:val="44"/>
        </w:rPr>
        <w:t xml:space="preserve"> </w:t>
      </w:r>
      <w:r>
        <w:rPr>
          <w:spacing w:val="-1"/>
        </w:rPr>
        <w:t>(DBS),</w:t>
      </w:r>
    </w:p>
    <w:p w:rsidR="008918FA" w:rsidRDefault="008918FA" w:rsidP="008918FA">
      <w:pPr>
        <w:pStyle w:val="BodyText"/>
        <w:ind w:left="2245" w:right="114" w:firstLine="0"/>
        <w:jc w:val="both"/>
      </w:pPr>
      <w:r>
        <w:rPr>
          <w:spacing w:val="-1"/>
        </w:rPr>
        <w:t>and</w:t>
      </w:r>
      <w:r>
        <w:rPr>
          <w:spacing w:val="29"/>
        </w:rPr>
        <w:t xml:space="preserve"> </w:t>
      </w:r>
      <w:r>
        <w:t>the</w:t>
      </w:r>
      <w:r>
        <w:rPr>
          <w:spacing w:val="29"/>
        </w:rPr>
        <w:t xml:space="preserve"> </w:t>
      </w:r>
      <w:r>
        <w:rPr>
          <w:spacing w:val="-2"/>
        </w:rPr>
        <w:t>Supplier</w:t>
      </w:r>
      <w:r>
        <w:rPr>
          <w:spacing w:val="30"/>
        </w:rPr>
        <w:t xml:space="preserve"> </w:t>
      </w:r>
      <w:r>
        <w:rPr>
          <w:spacing w:val="-1"/>
        </w:rPr>
        <w:t>shall</w:t>
      </w:r>
      <w:r>
        <w:rPr>
          <w:spacing w:val="28"/>
        </w:rPr>
        <w:t xml:space="preserve"> </w:t>
      </w:r>
      <w:r>
        <w:rPr>
          <w:spacing w:val="-2"/>
        </w:rPr>
        <w:t>not</w:t>
      </w:r>
      <w:r>
        <w:rPr>
          <w:spacing w:val="30"/>
        </w:rPr>
        <w:t xml:space="preserve"> </w:t>
      </w:r>
      <w:r>
        <w:rPr>
          <w:spacing w:val="-1"/>
        </w:rPr>
        <w:t>(and</w:t>
      </w:r>
      <w:r>
        <w:rPr>
          <w:spacing w:val="27"/>
        </w:rPr>
        <w:t xml:space="preserve"> </w:t>
      </w:r>
      <w:r>
        <w:rPr>
          <w:spacing w:val="-1"/>
        </w:rPr>
        <w:t>shall</w:t>
      </w:r>
      <w:r>
        <w:rPr>
          <w:spacing w:val="28"/>
        </w:rPr>
        <w:t xml:space="preserve"> </w:t>
      </w:r>
      <w:r>
        <w:rPr>
          <w:spacing w:val="-1"/>
        </w:rPr>
        <w:t>ensure</w:t>
      </w:r>
      <w:r>
        <w:rPr>
          <w:spacing w:val="27"/>
        </w:rPr>
        <w:t xml:space="preserve"> </w:t>
      </w:r>
      <w:r>
        <w:rPr>
          <w:spacing w:val="-1"/>
        </w:rPr>
        <w:t>that</w:t>
      </w:r>
      <w:r>
        <w:rPr>
          <w:spacing w:val="30"/>
        </w:rPr>
        <w:t xml:space="preserve"> </w:t>
      </w:r>
      <w:r>
        <w:rPr>
          <w:spacing w:val="-1"/>
        </w:rPr>
        <w:t>any</w:t>
      </w:r>
      <w:r>
        <w:rPr>
          <w:spacing w:val="27"/>
        </w:rPr>
        <w:t xml:space="preserve"> </w:t>
      </w:r>
      <w:r>
        <w:rPr>
          <w:spacing w:val="-1"/>
        </w:rPr>
        <w:t>Sub-Contractor</w:t>
      </w:r>
      <w:r>
        <w:rPr>
          <w:spacing w:val="38"/>
        </w:rPr>
        <w:t xml:space="preserve"> </w:t>
      </w:r>
      <w:r>
        <w:rPr>
          <w:spacing w:val="-1"/>
        </w:rPr>
        <w:t>shall</w:t>
      </w:r>
      <w:r>
        <w:rPr>
          <w:spacing w:val="17"/>
        </w:rPr>
        <w:t xml:space="preserve"> </w:t>
      </w:r>
      <w:r>
        <w:rPr>
          <w:spacing w:val="-1"/>
        </w:rPr>
        <w:t>not)</w:t>
      </w:r>
      <w:r>
        <w:rPr>
          <w:spacing w:val="19"/>
        </w:rPr>
        <w:t xml:space="preserve"> </w:t>
      </w:r>
      <w:r>
        <w:rPr>
          <w:spacing w:val="-1"/>
        </w:rPr>
        <w:t>engage</w:t>
      </w:r>
      <w:r>
        <w:rPr>
          <w:spacing w:val="17"/>
        </w:rPr>
        <w:t xml:space="preserve"> </w:t>
      </w:r>
      <w:r>
        <w:rPr>
          <w:spacing w:val="-2"/>
        </w:rPr>
        <w:t>or</w:t>
      </w:r>
      <w:r>
        <w:rPr>
          <w:spacing w:val="19"/>
        </w:rPr>
        <w:t xml:space="preserve"> </w:t>
      </w:r>
      <w:r>
        <w:rPr>
          <w:spacing w:val="-1"/>
        </w:rPr>
        <w:t>continue</w:t>
      </w:r>
      <w:r>
        <w:rPr>
          <w:spacing w:val="17"/>
        </w:rPr>
        <w:t xml:space="preserve"> </w:t>
      </w:r>
      <w:r>
        <w:t>to</w:t>
      </w:r>
      <w:r>
        <w:rPr>
          <w:spacing w:val="17"/>
        </w:rPr>
        <w:t xml:space="preserve"> </w:t>
      </w:r>
      <w:r>
        <w:rPr>
          <w:spacing w:val="-2"/>
        </w:rPr>
        <w:t>employ</w:t>
      </w:r>
      <w:r>
        <w:rPr>
          <w:spacing w:val="15"/>
        </w:rPr>
        <w:t xml:space="preserve"> </w:t>
      </w:r>
      <w:r>
        <w:rPr>
          <w:spacing w:val="-1"/>
        </w:rPr>
        <w:t>in</w:t>
      </w:r>
      <w:r>
        <w:rPr>
          <w:spacing w:val="17"/>
        </w:rPr>
        <w:t xml:space="preserve"> </w:t>
      </w:r>
      <w:r>
        <w:t>the</w:t>
      </w:r>
      <w:r>
        <w:rPr>
          <w:spacing w:val="17"/>
        </w:rPr>
        <w:t xml:space="preserve"> </w:t>
      </w:r>
      <w:r>
        <w:rPr>
          <w:spacing w:val="-2"/>
        </w:rPr>
        <w:t>provision</w:t>
      </w:r>
      <w:r>
        <w:rPr>
          <w:spacing w:val="17"/>
        </w:rPr>
        <w:t xml:space="preserve"> </w:t>
      </w:r>
      <w:r>
        <w:rPr>
          <w:spacing w:val="-1"/>
        </w:rPr>
        <w:t>of</w:t>
      </w:r>
      <w:r>
        <w:rPr>
          <w:spacing w:val="21"/>
        </w:rPr>
        <w:t xml:space="preserve"> </w:t>
      </w:r>
      <w:r>
        <w:t>the</w:t>
      </w:r>
      <w:r>
        <w:rPr>
          <w:spacing w:val="15"/>
        </w:rPr>
        <w:t xml:space="preserve"> </w:t>
      </w:r>
      <w:r>
        <w:rPr>
          <w:spacing w:val="-1"/>
        </w:rPr>
        <w:t>Goods</w:t>
      </w:r>
      <w:r>
        <w:rPr>
          <w:spacing w:val="47"/>
        </w:rPr>
        <w:t xml:space="preserve"> </w:t>
      </w:r>
      <w:r>
        <w:rPr>
          <w:spacing w:val="-1"/>
        </w:rPr>
        <w:t>and/or</w:t>
      </w:r>
      <w:r>
        <w:rPr>
          <w:spacing w:val="59"/>
        </w:rPr>
        <w:t xml:space="preserve"> </w:t>
      </w:r>
      <w:r>
        <w:rPr>
          <w:spacing w:val="-1"/>
        </w:rPr>
        <w:t>Services</w:t>
      </w:r>
      <w:r>
        <w:rPr>
          <w:spacing w:val="58"/>
        </w:rPr>
        <w:t xml:space="preserve"> </w:t>
      </w:r>
      <w:r>
        <w:rPr>
          <w:spacing w:val="-1"/>
        </w:rPr>
        <w:t>any</w:t>
      </w:r>
      <w:r>
        <w:rPr>
          <w:spacing w:val="58"/>
        </w:rPr>
        <w:t xml:space="preserve"> </w:t>
      </w:r>
      <w:r>
        <w:t>person</w:t>
      </w:r>
      <w:r>
        <w:rPr>
          <w:spacing w:val="58"/>
        </w:rPr>
        <w:t xml:space="preserve"> </w:t>
      </w:r>
      <w:r>
        <w:rPr>
          <w:spacing w:val="-2"/>
        </w:rPr>
        <w:t>who</w:t>
      </w:r>
      <w:r>
        <w:rPr>
          <w:spacing w:val="58"/>
        </w:rPr>
        <w:t xml:space="preserve"> </w:t>
      </w:r>
      <w:r w:rsidR="00514A63">
        <w:rPr>
          <w:spacing w:val="-1"/>
        </w:rPr>
        <w:t>has</w:t>
      </w:r>
      <w:r w:rsidR="00514A63">
        <w:t xml:space="preserve"> a</w:t>
      </w:r>
      <w:r>
        <w:rPr>
          <w:spacing w:val="58"/>
        </w:rPr>
        <w:t xml:space="preserve"> </w:t>
      </w:r>
      <w:r>
        <w:rPr>
          <w:spacing w:val="-1"/>
        </w:rPr>
        <w:t>Relevant</w:t>
      </w:r>
      <w:r>
        <w:rPr>
          <w:spacing w:val="60"/>
        </w:rPr>
        <w:t xml:space="preserve"> </w:t>
      </w:r>
      <w:r>
        <w:rPr>
          <w:spacing w:val="-2"/>
        </w:rPr>
        <w:t>Conviction</w:t>
      </w:r>
      <w:r>
        <w:rPr>
          <w:spacing w:val="58"/>
        </w:rPr>
        <w:t xml:space="preserve"> </w:t>
      </w:r>
      <w:r>
        <w:rPr>
          <w:spacing w:val="-1"/>
        </w:rPr>
        <w:t>or</w:t>
      </w:r>
      <w:r>
        <w:rPr>
          <w:spacing w:val="59"/>
        </w:rPr>
        <w:t xml:space="preserve"> </w:t>
      </w:r>
      <w:r>
        <w:rPr>
          <w:spacing w:val="-1"/>
        </w:rPr>
        <w:t>an</w:t>
      </w:r>
      <w:r>
        <w:rPr>
          <w:spacing w:val="42"/>
        </w:rPr>
        <w:t xml:space="preserve"> </w:t>
      </w:r>
      <w:r>
        <w:rPr>
          <w:spacing w:val="-1"/>
        </w:rPr>
        <w:t>inappropriate</w:t>
      </w:r>
      <w:r>
        <w:rPr>
          <w:spacing w:val="-2"/>
        </w:rPr>
        <w:t xml:space="preserve"> </w:t>
      </w:r>
      <w:r>
        <w:rPr>
          <w:spacing w:val="-1"/>
        </w:rPr>
        <w:t>record.</w:t>
      </w:r>
    </w:p>
    <w:p w:rsidR="008918FA" w:rsidRDefault="008918FA" w:rsidP="008918FA">
      <w:pPr>
        <w:pStyle w:val="BodyText"/>
        <w:numPr>
          <w:ilvl w:val="0"/>
          <w:numId w:val="66"/>
        </w:numPr>
        <w:tabs>
          <w:tab w:val="left" w:pos="686"/>
        </w:tabs>
        <w:spacing w:before="120"/>
        <w:ind w:left="685" w:hanging="566"/>
        <w:rPr>
          <w:rFonts w:ascii="Times New Roman" w:eastAsia="Times New Roman" w:hAnsi="Times New Roman" w:cs="Times New Roman"/>
        </w:rPr>
      </w:pPr>
      <w:bookmarkStart w:id="168" w:name="_bookmark142"/>
      <w:bookmarkEnd w:id="168"/>
      <w:r>
        <w:rPr>
          <w:rFonts w:ascii="Times New Roman"/>
          <w:spacing w:val="6"/>
        </w:rPr>
        <w:t>STAFF</w:t>
      </w:r>
      <w:r>
        <w:rPr>
          <w:rFonts w:ascii="Times New Roman"/>
          <w:spacing w:val="21"/>
        </w:rPr>
        <w:t xml:space="preserve"> </w:t>
      </w:r>
      <w:r>
        <w:rPr>
          <w:rFonts w:ascii="Times New Roman"/>
          <w:spacing w:val="6"/>
        </w:rPr>
        <w:t>TRANSFER</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313"/>
        </w:tabs>
        <w:spacing w:before="0"/>
        <w:ind w:left="1312" w:hanging="624"/>
      </w:pPr>
      <w:bookmarkStart w:id="169" w:name="_bookmark143"/>
      <w:bookmarkStart w:id="170" w:name="_bookmark144"/>
      <w:bookmarkEnd w:id="169"/>
      <w:bookmarkEnd w:id="170"/>
      <w:r>
        <w:t xml:space="preserve">The </w:t>
      </w:r>
      <w:r>
        <w:rPr>
          <w:spacing w:val="-1"/>
        </w:rPr>
        <w:t>Parties</w:t>
      </w:r>
      <w:r>
        <w:rPr>
          <w:spacing w:val="1"/>
        </w:rPr>
        <w:t xml:space="preserve"> </w:t>
      </w:r>
      <w:r>
        <w:rPr>
          <w:spacing w:val="-1"/>
        </w:rPr>
        <w:t>agree</w:t>
      </w:r>
      <w:r>
        <w:rPr>
          <w:spacing w:val="-2"/>
        </w:rPr>
        <w:t xml:space="preserve"> </w:t>
      </w:r>
      <w:r>
        <w:rPr>
          <w:spacing w:val="-1"/>
        </w:rPr>
        <w:t>that:</w:t>
      </w:r>
    </w:p>
    <w:p w:rsidR="008918FA" w:rsidRDefault="008918FA" w:rsidP="008918FA">
      <w:pPr>
        <w:pStyle w:val="BodyText"/>
        <w:numPr>
          <w:ilvl w:val="2"/>
          <w:numId w:val="66"/>
        </w:numPr>
        <w:tabs>
          <w:tab w:val="left" w:pos="2246"/>
        </w:tabs>
        <w:spacing w:before="121"/>
        <w:ind w:left="2245" w:right="115" w:hanging="993"/>
        <w:jc w:val="both"/>
      </w:pPr>
      <w:r>
        <w:rPr>
          <w:spacing w:val="-1"/>
        </w:rPr>
        <w:t>on</w:t>
      </w:r>
      <w:r>
        <w:rPr>
          <w:spacing w:val="60"/>
        </w:rPr>
        <w:t xml:space="preserve"> </w:t>
      </w:r>
      <w:r>
        <w:t>the</w:t>
      </w:r>
      <w:r>
        <w:rPr>
          <w:spacing w:val="60"/>
        </w:rPr>
        <w:t xml:space="preserve"> </w:t>
      </w:r>
      <w:r>
        <w:rPr>
          <w:spacing w:val="-2"/>
        </w:rPr>
        <w:t>Call</w:t>
      </w:r>
      <w:r>
        <w:rPr>
          <w:spacing w:val="60"/>
        </w:rPr>
        <w:t xml:space="preserve"> </w:t>
      </w:r>
      <w:r>
        <w:rPr>
          <w:spacing w:val="-1"/>
        </w:rPr>
        <w:t>Off</w:t>
      </w:r>
      <w:r>
        <w:rPr>
          <w:spacing w:val="3"/>
        </w:rPr>
        <w:t xml:space="preserve"> </w:t>
      </w:r>
      <w:r>
        <w:rPr>
          <w:spacing w:val="-1"/>
        </w:rPr>
        <w:t>Commencement</w:t>
      </w:r>
      <w:r>
        <w:rPr>
          <w:spacing w:val="1"/>
        </w:rPr>
        <w:t xml:space="preserve"> </w:t>
      </w:r>
      <w:r>
        <w:rPr>
          <w:spacing w:val="-1"/>
        </w:rPr>
        <w:t>Date</w:t>
      </w:r>
      <w:r>
        <w:t xml:space="preserve">  </w:t>
      </w:r>
      <w:r>
        <w:rPr>
          <w:spacing w:val="-1"/>
        </w:rPr>
        <w:t>and</w:t>
      </w:r>
      <w:r>
        <w:rPr>
          <w:spacing w:val="60"/>
        </w:rPr>
        <w:t xml:space="preserve"> </w:t>
      </w:r>
      <w:r>
        <w:rPr>
          <w:spacing w:val="-1"/>
        </w:rPr>
        <w:t>thr</w:t>
      </w:r>
      <w:bookmarkStart w:id="171" w:name="28._STAFF_TRANSFER"/>
      <w:bookmarkEnd w:id="171"/>
      <w:r>
        <w:rPr>
          <w:spacing w:val="-1"/>
        </w:rPr>
        <w:t>oughout</w:t>
      </w:r>
      <w:r>
        <w:rPr>
          <w:spacing w:val="1"/>
        </w:rPr>
        <w:t xml:space="preserve"> </w:t>
      </w:r>
      <w:r>
        <w:t>the</w:t>
      </w:r>
      <w:r>
        <w:rPr>
          <w:spacing w:val="60"/>
        </w:rPr>
        <w:t xml:space="preserve"> </w:t>
      </w:r>
      <w:r>
        <w:rPr>
          <w:spacing w:val="-2"/>
        </w:rPr>
        <w:t>Call</w:t>
      </w:r>
      <w:r>
        <w:rPr>
          <w:spacing w:val="57"/>
        </w:rPr>
        <w:t xml:space="preserve"> </w:t>
      </w:r>
      <w:r>
        <w:rPr>
          <w:spacing w:val="-1"/>
        </w:rPr>
        <w:t>Off</w:t>
      </w:r>
      <w:r>
        <w:rPr>
          <w:spacing w:val="27"/>
        </w:rPr>
        <w:t xml:space="preserve"> </w:t>
      </w:r>
      <w:r>
        <w:rPr>
          <w:spacing w:val="-1"/>
        </w:rPr>
        <w:t>Contract</w:t>
      </w:r>
      <w:r>
        <w:rPr>
          <w:spacing w:val="14"/>
        </w:rPr>
        <w:t xml:space="preserve"> </w:t>
      </w:r>
      <w:r>
        <w:rPr>
          <w:spacing w:val="-1"/>
        </w:rPr>
        <w:t>Period</w:t>
      </w:r>
      <w:r>
        <w:rPr>
          <w:spacing w:val="12"/>
        </w:rPr>
        <w:t xml:space="preserve"> </w:t>
      </w:r>
      <w:r>
        <w:rPr>
          <w:spacing w:val="-1"/>
        </w:rPr>
        <w:t>there</w:t>
      </w:r>
      <w:r>
        <w:rPr>
          <w:spacing w:val="13"/>
        </w:rPr>
        <w:t xml:space="preserve"> </w:t>
      </w:r>
      <w:r>
        <w:rPr>
          <w:spacing w:val="-2"/>
        </w:rPr>
        <w:t>will</w:t>
      </w:r>
      <w:r>
        <w:rPr>
          <w:spacing w:val="12"/>
        </w:rPr>
        <w:t xml:space="preserve"> </w:t>
      </w:r>
      <w:r>
        <w:rPr>
          <w:spacing w:val="-1"/>
        </w:rPr>
        <w:t>be</w:t>
      </w:r>
      <w:r>
        <w:rPr>
          <w:spacing w:val="12"/>
        </w:rPr>
        <w:t xml:space="preserve"> </w:t>
      </w:r>
      <w:r>
        <w:rPr>
          <w:spacing w:val="-1"/>
        </w:rPr>
        <w:t>no</w:t>
      </w:r>
      <w:r>
        <w:rPr>
          <w:spacing w:val="13"/>
        </w:rPr>
        <w:t xml:space="preserve"> </w:t>
      </w:r>
      <w:r>
        <w:rPr>
          <w:spacing w:val="-1"/>
        </w:rPr>
        <w:t>Relevant</w:t>
      </w:r>
      <w:r>
        <w:rPr>
          <w:spacing w:val="14"/>
        </w:rPr>
        <w:t xml:space="preserve"> </w:t>
      </w:r>
      <w:r>
        <w:rPr>
          <w:spacing w:val="-1"/>
        </w:rPr>
        <w:t>Transfer</w:t>
      </w:r>
      <w:r>
        <w:rPr>
          <w:spacing w:val="11"/>
        </w:rPr>
        <w:t xml:space="preserve"> </w:t>
      </w:r>
      <w:r>
        <w:t>for</w:t>
      </w:r>
      <w:r>
        <w:rPr>
          <w:spacing w:val="11"/>
        </w:rPr>
        <w:t xml:space="preserve"> </w:t>
      </w:r>
      <w:r>
        <w:t>the</w:t>
      </w:r>
      <w:r>
        <w:rPr>
          <w:spacing w:val="12"/>
        </w:rPr>
        <w:t xml:space="preserve"> </w:t>
      </w:r>
      <w:r>
        <w:rPr>
          <w:spacing w:val="-1"/>
        </w:rPr>
        <w:t>purposes</w:t>
      </w:r>
      <w:r>
        <w:rPr>
          <w:spacing w:val="13"/>
        </w:rPr>
        <w:t xml:space="preserve"> </w:t>
      </w:r>
      <w:r>
        <w:rPr>
          <w:spacing w:val="-2"/>
        </w:rPr>
        <w:t>of</w:t>
      </w:r>
      <w:r>
        <w:rPr>
          <w:spacing w:val="35"/>
        </w:rPr>
        <w:t xml:space="preserve"> </w:t>
      </w:r>
      <w:r>
        <w:t>the</w:t>
      </w:r>
      <w:r>
        <w:rPr>
          <w:spacing w:val="20"/>
        </w:rPr>
        <w:t xml:space="preserve"> </w:t>
      </w:r>
      <w:r>
        <w:rPr>
          <w:spacing w:val="-1"/>
        </w:rPr>
        <w:t>Employment</w:t>
      </w:r>
      <w:r>
        <w:rPr>
          <w:spacing w:val="21"/>
        </w:rPr>
        <w:t xml:space="preserve"> </w:t>
      </w:r>
      <w:r>
        <w:rPr>
          <w:spacing w:val="-1"/>
        </w:rPr>
        <w:t>Regulations,</w:t>
      </w:r>
      <w:r>
        <w:rPr>
          <w:spacing w:val="21"/>
        </w:rPr>
        <w:t xml:space="preserve"> </w:t>
      </w:r>
      <w:r>
        <w:rPr>
          <w:spacing w:val="-1"/>
        </w:rPr>
        <w:t>and</w:t>
      </w:r>
      <w:r>
        <w:rPr>
          <w:spacing w:val="20"/>
        </w:rPr>
        <w:t xml:space="preserve"> </w:t>
      </w:r>
      <w:r>
        <w:t>the</w:t>
      </w:r>
      <w:r>
        <w:rPr>
          <w:spacing w:val="19"/>
        </w:rPr>
        <w:t xml:space="preserve"> </w:t>
      </w:r>
      <w:r>
        <w:rPr>
          <w:spacing w:val="-2"/>
        </w:rPr>
        <w:t>provisions</w:t>
      </w:r>
      <w:r>
        <w:rPr>
          <w:spacing w:val="22"/>
        </w:rPr>
        <w:t xml:space="preserve"> </w:t>
      </w:r>
      <w:r>
        <w:rPr>
          <w:spacing w:val="-1"/>
        </w:rPr>
        <w:t>of</w:t>
      </w:r>
      <w:r>
        <w:rPr>
          <w:spacing w:val="23"/>
        </w:rPr>
        <w:t xml:space="preserve"> </w:t>
      </w:r>
      <w:r>
        <w:rPr>
          <w:spacing w:val="-1"/>
        </w:rPr>
        <w:t>Part</w:t>
      </w:r>
      <w:r>
        <w:rPr>
          <w:spacing w:val="21"/>
        </w:rPr>
        <w:t xml:space="preserve"> </w:t>
      </w:r>
      <w:r>
        <w:t>C</w:t>
      </w:r>
      <w:r>
        <w:rPr>
          <w:spacing w:val="19"/>
        </w:rPr>
        <w:t xml:space="preserve"> </w:t>
      </w:r>
      <w:r>
        <w:rPr>
          <w:spacing w:val="-1"/>
        </w:rPr>
        <w:t>of</w:t>
      </w:r>
      <w:r>
        <w:rPr>
          <w:spacing w:val="26"/>
        </w:rPr>
        <w:t xml:space="preserve"> </w:t>
      </w:r>
      <w:r>
        <w:rPr>
          <w:spacing w:val="-2"/>
        </w:rPr>
        <w:t>Call</w:t>
      </w:r>
      <w:r>
        <w:rPr>
          <w:spacing w:val="17"/>
        </w:rPr>
        <w:t xml:space="preserve"> </w:t>
      </w:r>
      <w:r>
        <w:rPr>
          <w:spacing w:val="-1"/>
        </w:rPr>
        <w:t>Off</w:t>
      </w:r>
      <w:r>
        <w:rPr>
          <w:spacing w:val="35"/>
        </w:rPr>
        <w:t xml:space="preserve"> </w:t>
      </w:r>
      <w:r>
        <w:rPr>
          <w:spacing w:val="-1"/>
        </w:rPr>
        <w:t>Schedule</w:t>
      </w:r>
      <w:r>
        <w:t xml:space="preserve"> </w:t>
      </w:r>
      <w:r>
        <w:rPr>
          <w:spacing w:val="-1"/>
        </w:rPr>
        <w:t>11</w:t>
      </w:r>
      <w:r>
        <w:rPr>
          <w:spacing w:val="1"/>
        </w:rPr>
        <w:t xml:space="preserve"> </w:t>
      </w:r>
      <w:r>
        <w:rPr>
          <w:spacing w:val="-1"/>
        </w:rPr>
        <w:t>(Staff</w:t>
      </w:r>
      <w:r>
        <w:t xml:space="preserve"> </w:t>
      </w:r>
      <w:r>
        <w:rPr>
          <w:spacing w:val="-1"/>
        </w:rPr>
        <w:t xml:space="preserve">Transfer) </w:t>
      </w:r>
      <w:r>
        <w:rPr>
          <w:spacing w:val="-2"/>
        </w:rPr>
        <w:t>will</w:t>
      </w:r>
      <w:r>
        <w:t xml:space="preserve"> </w:t>
      </w:r>
      <w:r>
        <w:rPr>
          <w:spacing w:val="-1"/>
        </w:rPr>
        <w:t>apply;</w:t>
      </w:r>
      <w:r>
        <w:rPr>
          <w:spacing w:val="2"/>
        </w:rPr>
        <w:t xml:space="preserve"> </w:t>
      </w:r>
      <w:r>
        <w:rPr>
          <w:spacing w:val="-1"/>
        </w:rPr>
        <w:t>and</w:t>
      </w:r>
    </w:p>
    <w:p w:rsidR="008918FA" w:rsidRDefault="008918FA" w:rsidP="008918FA">
      <w:pPr>
        <w:pStyle w:val="BodyText"/>
        <w:numPr>
          <w:ilvl w:val="2"/>
          <w:numId w:val="66"/>
        </w:numPr>
        <w:tabs>
          <w:tab w:val="left" w:pos="2246"/>
        </w:tabs>
        <w:ind w:left="2245" w:right="115" w:hanging="993"/>
        <w:jc w:val="both"/>
      </w:pPr>
      <w:r>
        <w:rPr>
          <w:spacing w:val="-1"/>
        </w:rPr>
        <w:t>on</w:t>
      </w:r>
      <w:r>
        <w:rPr>
          <w:spacing w:val="34"/>
        </w:rPr>
        <w:t xml:space="preserve"> </w:t>
      </w:r>
      <w:r>
        <w:t>the</w:t>
      </w:r>
      <w:r>
        <w:rPr>
          <w:spacing w:val="34"/>
        </w:rPr>
        <w:t xml:space="preserve"> </w:t>
      </w:r>
      <w:r>
        <w:rPr>
          <w:spacing w:val="-2"/>
        </w:rPr>
        <w:t>Call</w:t>
      </w:r>
      <w:r>
        <w:rPr>
          <w:spacing w:val="33"/>
        </w:rPr>
        <w:t xml:space="preserve"> </w:t>
      </w:r>
      <w:r>
        <w:rPr>
          <w:spacing w:val="-1"/>
        </w:rPr>
        <w:t>Off</w:t>
      </w:r>
      <w:r>
        <w:rPr>
          <w:spacing w:val="38"/>
        </w:rPr>
        <w:t xml:space="preserve"> </w:t>
      </w:r>
      <w:r>
        <w:rPr>
          <w:spacing w:val="-2"/>
        </w:rPr>
        <w:t>Expiry</w:t>
      </w:r>
      <w:r>
        <w:rPr>
          <w:spacing w:val="32"/>
        </w:rPr>
        <w:t xml:space="preserve"> </w:t>
      </w:r>
      <w:r>
        <w:rPr>
          <w:spacing w:val="-1"/>
        </w:rPr>
        <w:t>Date</w:t>
      </w:r>
      <w:r>
        <w:rPr>
          <w:spacing w:val="34"/>
        </w:rPr>
        <w:t xml:space="preserve"> </w:t>
      </w:r>
      <w:r>
        <w:rPr>
          <w:spacing w:val="-1"/>
        </w:rPr>
        <w:t>there</w:t>
      </w:r>
      <w:r>
        <w:rPr>
          <w:spacing w:val="32"/>
        </w:rPr>
        <w:t xml:space="preserve"> </w:t>
      </w:r>
      <w:r>
        <w:rPr>
          <w:spacing w:val="-1"/>
        </w:rPr>
        <w:t>may</w:t>
      </w:r>
      <w:r>
        <w:rPr>
          <w:spacing w:val="32"/>
        </w:rPr>
        <w:t xml:space="preserve"> </w:t>
      </w:r>
      <w:r>
        <w:rPr>
          <w:spacing w:val="-1"/>
        </w:rPr>
        <w:t>be</w:t>
      </w:r>
      <w:r>
        <w:rPr>
          <w:spacing w:val="34"/>
        </w:rPr>
        <w:t xml:space="preserve"> </w:t>
      </w:r>
      <w:r>
        <w:t>a</w:t>
      </w:r>
      <w:r>
        <w:rPr>
          <w:spacing w:val="34"/>
        </w:rPr>
        <w:t xml:space="preserve"> </w:t>
      </w:r>
      <w:r>
        <w:rPr>
          <w:spacing w:val="-2"/>
        </w:rPr>
        <w:t>relevant</w:t>
      </w:r>
      <w:r>
        <w:rPr>
          <w:spacing w:val="35"/>
        </w:rPr>
        <w:t xml:space="preserve"> </w:t>
      </w:r>
      <w:r>
        <w:rPr>
          <w:spacing w:val="-1"/>
        </w:rPr>
        <w:t>transfer</w:t>
      </w:r>
      <w:r>
        <w:rPr>
          <w:spacing w:val="33"/>
        </w:rPr>
        <w:t xml:space="preserve"> </w:t>
      </w:r>
      <w:r>
        <w:t>for</w:t>
      </w:r>
      <w:r>
        <w:rPr>
          <w:spacing w:val="36"/>
        </w:rPr>
        <w:t xml:space="preserve"> </w:t>
      </w:r>
      <w:r>
        <w:rPr>
          <w:spacing w:val="-1"/>
        </w:rPr>
        <w:t>the</w:t>
      </w:r>
      <w:r>
        <w:rPr>
          <w:spacing w:val="62"/>
        </w:rPr>
        <w:t xml:space="preserve"> </w:t>
      </w:r>
      <w:r>
        <w:rPr>
          <w:spacing w:val="-1"/>
        </w:rPr>
        <w:t>purposes</w:t>
      </w:r>
      <w:r>
        <w:rPr>
          <w:spacing w:val="14"/>
        </w:rPr>
        <w:t xml:space="preserve"> </w:t>
      </w:r>
      <w:r>
        <w:rPr>
          <w:spacing w:val="-2"/>
        </w:rPr>
        <w:t>of</w:t>
      </w:r>
      <w:r>
        <w:rPr>
          <w:spacing w:val="13"/>
        </w:rPr>
        <w:t xml:space="preserve"> </w:t>
      </w:r>
      <w:r>
        <w:t>the</w:t>
      </w:r>
      <w:r>
        <w:rPr>
          <w:spacing w:val="13"/>
        </w:rPr>
        <w:t xml:space="preserve"> </w:t>
      </w:r>
      <w:r>
        <w:rPr>
          <w:spacing w:val="-2"/>
        </w:rPr>
        <w:t>Employment</w:t>
      </w:r>
      <w:r>
        <w:rPr>
          <w:spacing w:val="15"/>
        </w:rPr>
        <w:t xml:space="preserve"> </w:t>
      </w:r>
      <w:r>
        <w:rPr>
          <w:spacing w:val="-1"/>
        </w:rPr>
        <w:t>Regulations</w:t>
      </w:r>
      <w:r>
        <w:rPr>
          <w:spacing w:val="14"/>
        </w:rPr>
        <w:t xml:space="preserve"> </w:t>
      </w:r>
      <w:r>
        <w:rPr>
          <w:spacing w:val="-1"/>
        </w:rPr>
        <w:t>and</w:t>
      </w:r>
      <w:r>
        <w:rPr>
          <w:spacing w:val="11"/>
        </w:rPr>
        <w:t xml:space="preserve"> </w:t>
      </w:r>
      <w:r>
        <w:rPr>
          <w:spacing w:val="-1"/>
        </w:rPr>
        <w:t>Part</w:t>
      </w:r>
      <w:r>
        <w:rPr>
          <w:spacing w:val="13"/>
        </w:rPr>
        <w:t xml:space="preserve"> </w:t>
      </w:r>
      <w:r>
        <w:t>D</w:t>
      </w:r>
      <w:r>
        <w:rPr>
          <w:spacing w:val="13"/>
        </w:rPr>
        <w:t xml:space="preserve"> </w:t>
      </w:r>
      <w:r>
        <w:rPr>
          <w:spacing w:val="-2"/>
        </w:rPr>
        <w:t>of</w:t>
      </w:r>
      <w:r>
        <w:rPr>
          <w:spacing w:val="17"/>
        </w:rPr>
        <w:t xml:space="preserve"> </w:t>
      </w:r>
      <w:r>
        <w:rPr>
          <w:spacing w:val="-2"/>
        </w:rPr>
        <w:t>Call</w:t>
      </w:r>
      <w:r>
        <w:rPr>
          <w:spacing w:val="11"/>
        </w:rPr>
        <w:t xml:space="preserve"> </w:t>
      </w:r>
      <w:r>
        <w:rPr>
          <w:spacing w:val="-1"/>
        </w:rPr>
        <w:t>Off</w:t>
      </w:r>
      <w:r>
        <w:rPr>
          <w:spacing w:val="43"/>
        </w:rPr>
        <w:t xml:space="preserve"> </w:t>
      </w:r>
      <w:r>
        <w:rPr>
          <w:spacing w:val="-1"/>
        </w:rPr>
        <w:t>Schedule</w:t>
      </w:r>
      <w:r>
        <w:t xml:space="preserve"> </w:t>
      </w:r>
      <w:r>
        <w:rPr>
          <w:spacing w:val="-1"/>
        </w:rPr>
        <w:t>11</w:t>
      </w:r>
      <w:r>
        <w:rPr>
          <w:spacing w:val="1"/>
        </w:rPr>
        <w:t xml:space="preserve"> </w:t>
      </w:r>
      <w:r>
        <w:rPr>
          <w:spacing w:val="-1"/>
        </w:rPr>
        <w:t>(Staff</w:t>
      </w:r>
      <w:r>
        <w:t xml:space="preserve"> </w:t>
      </w:r>
      <w:r>
        <w:rPr>
          <w:spacing w:val="-1"/>
        </w:rPr>
        <w:t xml:space="preserve">Transfer) </w:t>
      </w:r>
      <w:r>
        <w:rPr>
          <w:spacing w:val="-2"/>
        </w:rPr>
        <w:t>will</w:t>
      </w:r>
      <w:r>
        <w:t xml:space="preserve"> </w:t>
      </w:r>
      <w:r>
        <w:rPr>
          <w:spacing w:val="-1"/>
        </w:rPr>
        <w:t>apply.</w:t>
      </w:r>
    </w:p>
    <w:p w:rsidR="008918FA" w:rsidRDefault="008918FA" w:rsidP="008918FA">
      <w:pPr>
        <w:pStyle w:val="BodyText"/>
        <w:numPr>
          <w:ilvl w:val="0"/>
          <w:numId w:val="66"/>
        </w:numPr>
        <w:tabs>
          <w:tab w:val="left" w:pos="686"/>
        </w:tabs>
        <w:spacing w:before="117"/>
        <w:ind w:left="685" w:hanging="566"/>
        <w:rPr>
          <w:rFonts w:ascii="Times New Roman" w:eastAsia="Times New Roman" w:hAnsi="Times New Roman" w:cs="Times New Roman"/>
        </w:rPr>
      </w:pPr>
      <w:bookmarkStart w:id="172" w:name="_bookmark145"/>
      <w:bookmarkEnd w:id="172"/>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LY</w:t>
      </w:r>
      <w:r>
        <w:rPr>
          <w:rFonts w:ascii="Times New Roman"/>
          <w:spacing w:val="-6"/>
        </w:rPr>
        <w:t xml:space="preserve"> </w:t>
      </w:r>
      <w:r>
        <w:rPr>
          <w:rFonts w:ascii="Times New Roman"/>
          <w:spacing w:val="-1"/>
        </w:rPr>
        <w:t>CHAIN</w:t>
      </w:r>
      <w:r>
        <w:rPr>
          <w:rFonts w:ascii="Times New Roman"/>
          <w:spacing w:val="6"/>
        </w:rPr>
        <w:t xml:space="preserve"> </w:t>
      </w:r>
      <w:r>
        <w:rPr>
          <w:rFonts w:ascii="Times New Roman"/>
          <w:spacing w:val="1"/>
        </w:rPr>
        <w:t>RIGHTS</w:t>
      </w:r>
      <w:r>
        <w:rPr>
          <w:rFonts w:ascii="Times New Roman"/>
          <w:spacing w:val="33"/>
        </w:rPr>
        <w:t xml:space="preserve"> </w:t>
      </w:r>
      <w:r>
        <w:rPr>
          <w:rFonts w:ascii="Times New Roman"/>
          <w:spacing w:val="-3"/>
        </w:rPr>
        <w:t>AND</w:t>
      </w:r>
      <w:r>
        <w:rPr>
          <w:rFonts w:ascii="Times New Roman"/>
          <w:spacing w:val="6"/>
        </w:rPr>
        <w:t xml:space="preserve"> PROTECTION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Heading1"/>
        <w:numPr>
          <w:ilvl w:val="1"/>
          <w:numId w:val="66"/>
        </w:numPr>
        <w:tabs>
          <w:tab w:val="left" w:pos="1253"/>
        </w:tabs>
        <w:spacing w:before="0"/>
        <w:ind w:left="1252" w:hanging="564"/>
        <w:rPr>
          <w:b w:val="0"/>
          <w:bCs w:val="0"/>
        </w:rPr>
      </w:pPr>
      <w:r>
        <w:rPr>
          <w:spacing w:val="-1"/>
        </w:rPr>
        <w:t>Appointment</w:t>
      </w:r>
      <w:r>
        <w:rPr>
          <w:spacing w:val="2"/>
        </w:rPr>
        <w:t xml:space="preserve"> </w:t>
      </w:r>
      <w:r>
        <w:rPr>
          <w:spacing w:val="-2"/>
        </w:rPr>
        <w:t>of</w:t>
      </w:r>
      <w:r>
        <w:rPr>
          <w:spacing w:val="2"/>
        </w:rPr>
        <w:t xml:space="preserve"> </w:t>
      </w:r>
      <w:r>
        <w:rPr>
          <w:spacing w:val="-1"/>
        </w:rPr>
        <w:t>Sub-Contractors</w:t>
      </w:r>
    </w:p>
    <w:p w:rsidR="008918FA" w:rsidRDefault="008918FA" w:rsidP="008918FA">
      <w:pPr>
        <w:pStyle w:val="BodyText"/>
        <w:numPr>
          <w:ilvl w:val="2"/>
          <w:numId w:val="66"/>
        </w:numPr>
        <w:tabs>
          <w:tab w:val="left" w:pos="2247"/>
        </w:tabs>
        <w:spacing w:before="121"/>
        <w:ind w:left="2245" w:right="114" w:hanging="993"/>
        <w:jc w:val="both"/>
      </w:pPr>
      <w:r>
        <w:t>The</w:t>
      </w:r>
      <w:r>
        <w:rPr>
          <w:spacing w:val="27"/>
        </w:rPr>
        <w:t xml:space="preserve"> </w:t>
      </w:r>
      <w:r>
        <w:rPr>
          <w:spacing w:val="-2"/>
        </w:rPr>
        <w:t>Supplier</w:t>
      </w:r>
      <w:r>
        <w:rPr>
          <w:spacing w:val="26"/>
        </w:rPr>
        <w:t xml:space="preserve"> </w:t>
      </w:r>
      <w:r>
        <w:rPr>
          <w:spacing w:val="-1"/>
        </w:rPr>
        <w:t>shall</w:t>
      </w:r>
      <w:r>
        <w:rPr>
          <w:spacing w:val="27"/>
        </w:rPr>
        <w:t xml:space="preserve"> </w:t>
      </w:r>
      <w:r>
        <w:rPr>
          <w:spacing w:val="-1"/>
        </w:rPr>
        <w:t>exercise</w:t>
      </w:r>
      <w:r>
        <w:rPr>
          <w:spacing w:val="27"/>
        </w:rPr>
        <w:t xml:space="preserve"> </w:t>
      </w:r>
      <w:r>
        <w:rPr>
          <w:spacing w:val="-1"/>
        </w:rPr>
        <w:t>due</w:t>
      </w:r>
      <w:r>
        <w:rPr>
          <w:spacing w:val="27"/>
        </w:rPr>
        <w:t xml:space="preserve"> </w:t>
      </w:r>
      <w:r>
        <w:rPr>
          <w:spacing w:val="-1"/>
        </w:rPr>
        <w:t>skill</w:t>
      </w:r>
      <w:r>
        <w:rPr>
          <w:spacing w:val="26"/>
        </w:rPr>
        <w:t xml:space="preserve"> </w:t>
      </w:r>
      <w:r>
        <w:rPr>
          <w:spacing w:val="-1"/>
        </w:rPr>
        <w:t>and</w:t>
      </w:r>
      <w:r>
        <w:rPr>
          <w:spacing w:val="27"/>
        </w:rPr>
        <w:t xml:space="preserve"> </w:t>
      </w:r>
      <w:r>
        <w:rPr>
          <w:spacing w:val="-1"/>
        </w:rPr>
        <w:t>care</w:t>
      </w:r>
      <w:r>
        <w:rPr>
          <w:spacing w:val="27"/>
        </w:rPr>
        <w:t xml:space="preserve"> </w:t>
      </w:r>
      <w:r>
        <w:rPr>
          <w:spacing w:val="-1"/>
        </w:rPr>
        <w:t>in</w:t>
      </w:r>
      <w:r>
        <w:rPr>
          <w:spacing w:val="24"/>
        </w:rPr>
        <w:t xml:space="preserve"> </w:t>
      </w:r>
      <w:r>
        <w:t>the</w:t>
      </w:r>
      <w:r>
        <w:rPr>
          <w:spacing w:val="24"/>
        </w:rPr>
        <w:t xml:space="preserve"> </w:t>
      </w:r>
      <w:r>
        <w:rPr>
          <w:spacing w:val="-1"/>
        </w:rPr>
        <w:t>selection</w:t>
      </w:r>
      <w:r>
        <w:rPr>
          <w:spacing w:val="27"/>
        </w:rPr>
        <w:t xml:space="preserve"> </w:t>
      </w:r>
      <w:r>
        <w:rPr>
          <w:spacing w:val="-2"/>
        </w:rPr>
        <w:t>of</w:t>
      </w:r>
      <w:r>
        <w:rPr>
          <w:spacing w:val="28"/>
        </w:rPr>
        <w:t xml:space="preserve"> </w:t>
      </w:r>
      <w:r>
        <w:rPr>
          <w:spacing w:val="-1"/>
        </w:rPr>
        <w:t>any</w:t>
      </w:r>
      <w:r>
        <w:rPr>
          <w:spacing w:val="28"/>
        </w:rPr>
        <w:t xml:space="preserve"> </w:t>
      </w:r>
      <w:r>
        <w:rPr>
          <w:spacing w:val="-1"/>
        </w:rPr>
        <w:t>Sub-Contractors</w:t>
      </w:r>
      <w:r>
        <w:rPr>
          <w:spacing w:val="-2"/>
        </w:rPr>
        <w:t xml:space="preserve"> </w:t>
      </w:r>
      <w:r>
        <w:t xml:space="preserve">to </w:t>
      </w:r>
      <w:r>
        <w:rPr>
          <w:spacing w:val="-1"/>
        </w:rPr>
        <w:t>ensure</w:t>
      </w:r>
      <w:r>
        <w:rPr>
          <w:spacing w:val="-2"/>
        </w:rPr>
        <w:t xml:space="preserve"> </w:t>
      </w:r>
      <w:r>
        <w:rPr>
          <w:spacing w:val="-1"/>
        </w:rPr>
        <w:t>that</w:t>
      </w:r>
      <w:r>
        <w:t xml:space="preserve"> the</w:t>
      </w:r>
      <w:r>
        <w:rPr>
          <w:spacing w:val="-2"/>
        </w:rPr>
        <w:t xml:space="preserve"> Supplier</w:t>
      </w:r>
      <w:r>
        <w:rPr>
          <w:spacing w:val="2"/>
        </w:rPr>
        <w:t xml:space="preserve"> </w:t>
      </w:r>
      <w:r>
        <w:rPr>
          <w:spacing w:val="-1"/>
        </w:rPr>
        <w:t>is</w:t>
      </w:r>
      <w:r>
        <w:rPr>
          <w:spacing w:val="1"/>
        </w:rPr>
        <w:t xml:space="preserve"> </w:t>
      </w:r>
      <w:r>
        <w:rPr>
          <w:spacing w:val="-2"/>
        </w:rPr>
        <w:t>able</w:t>
      </w:r>
      <w:r>
        <w:t xml:space="preserve"> </w:t>
      </w:r>
      <w:r>
        <w:rPr>
          <w:spacing w:val="-1"/>
        </w:rPr>
        <w:t>to:</w:t>
      </w:r>
    </w:p>
    <w:p w:rsidR="008918FA" w:rsidRDefault="008918FA" w:rsidP="008918FA">
      <w:pPr>
        <w:pStyle w:val="BodyText"/>
        <w:numPr>
          <w:ilvl w:val="3"/>
          <w:numId w:val="66"/>
        </w:numPr>
        <w:tabs>
          <w:tab w:val="left" w:pos="2954"/>
        </w:tabs>
        <w:ind w:left="2953" w:right="113"/>
        <w:jc w:val="both"/>
      </w:pPr>
      <w:r>
        <w:rPr>
          <w:spacing w:val="-1"/>
        </w:rPr>
        <w:t>manage</w:t>
      </w:r>
      <w:r>
        <w:t xml:space="preserve"> </w:t>
      </w:r>
      <w:r>
        <w:rPr>
          <w:spacing w:val="-1"/>
        </w:rPr>
        <w:t>any</w:t>
      </w:r>
      <w:r>
        <w:rPr>
          <w:spacing w:val="-2"/>
        </w:rPr>
        <w:t xml:space="preserve"> </w:t>
      </w:r>
      <w:r>
        <w:rPr>
          <w:spacing w:val="-1"/>
        </w:rPr>
        <w:t>Sub-Contractors</w:t>
      </w:r>
      <w:r>
        <w:rPr>
          <w:spacing w:val="1"/>
        </w:rPr>
        <w:t xml:space="preserve"> </w:t>
      </w:r>
      <w:r>
        <w:rPr>
          <w:spacing w:val="-1"/>
        </w:rPr>
        <w:t>in</w:t>
      </w:r>
      <w:r>
        <w:t xml:space="preserve"> </w:t>
      </w:r>
      <w:r>
        <w:rPr>
          <w:spacing w:val="-1"/>
        </w:rPr>
        <w:t>accordance</w:t>
      </w:r>
      <w:r>
        <w:rPr>
          <w:spacing w:val="1"/>
        </w:rPr>
        <w:t xml:space="preserve"> </w:t>
      </w:r>
      <w:r>
        <w:rPr>
          <w:spacing w:val="-2"/>
        </w:rPr>
        <w:t>with</w:t>
      </w:r>
      <w:r>
        <w:t xml:space="preserve"> </w:t>
      </w:r>
      <w:r>
        <w:rPr>
          <w:spacing w:val="-1"/>
        </w:rPr>
        <w:t>Good</w:t>
      </w:r>
      <w:r>
        <w:t xml:space="preserve"> </w:t>
      </w:r>
      <w:r>
        <w:rPr>
          <w:spacing w:val="-1"/>
        </w:rPr>
        <w:t>Industry</w:t>
      </w:r>
      <w:r>
        <w:rPr>
          <w:spacing w:val="51"/>
        </w:rPr>
        <w:t xml:space="preserve"> </w:t>
      </w:r>
      <w:r>
        <w:rPr>
          <w:spacing w:val="-1"/>
        </w:rPr>
        <w:t>Practice;</w:t>
      </w:r>
    </w:p>
    <w:p w:rsidR="008918FA" w:rsidRDefault="008918FA" w:rsidP="008918FA">
      <w:pPr>
        <w:pStyle w:val="BodyText"/>
        <w:numPr>
          <w:ilvl w:val="3"/>
          <w:numId w:val="66"/>
        </w:numPr>
        <w:tabs>
          <w:tab w:val="left" w:pos="2954"/>
        </w:tabs>
        <w:ind w:left="2953" w:right="116"/>
        <w:jc w:val="both"/>
      </w:pPr>
      <w:r>
        <w:rPr>
          <w:spacing w:val="-1"/>
        </w:rPr>
        <w:t>comply</w:t>
      </w:r>
      <w:r>
        <w:rPr>
          <w:spacing w:val="34"/>
        </w:rPr>
        <w:t xml:space="preserve"> </w:t>
      </w:r>
      <w:r>
        <w:rPr>
          <w:spacing w:val="-2"/>
        </w:rPr>
        <w:t>with</w:t>
      </w:r>
      <w:r>
        <w:rPr>
          <w:spacing w:val="36"/>
        </w:rPr>
        <w:t xml:space="preserve"> </w:t>
      </w:r>
      <w:r>
        <w:rPr>
          <w:spacing w:val="-1"/>
        </w:rPr>
        <w:t>its</w:t>
      </w:r>
      <w:r>
        <w:rPr>
          <w:spacing w:val="34"/>
        </w:rPr>
        <w:t xml:space="preserve"> </w:t>
      </w:r>
      <w:r>
        <w:rPr>
          <w:spacing w:val="-1"/>
        </w:rPr>
        <w:t>obligations</w:t>
      </w:r>
      <w:r>
        <w:rPr>
          <w:spacing w:val="34"/>
        </w:rPr>
        <w:t xml:space="preserve"> </w:t>
      </w:r>
      <w:r>
        <w:rPr>
          <w:spacing w:val="-1"/>
        </w:rPr>
        <w:t>under</w:t>
      </w:r>
      <w:r>
        <w:rPr>
          <w:spacing w:val="35"/>
        </w:rPr>
        <w:t xml:space="preserve"> </w:t>
      </w:r>
      <w:r>
        <w:rPr>
          <w:spacing w:val="-1"/>
        </w:rPr>
        <w:t>this</w:t>
      </w:r>
      <w:r>
        <w:rPr>
          <w:spacing w:val="34"/>
        </w:rPr>
        <w:t xml:space="preserve"> </w:t>
      </w:r>
      <w:r>
        <w:rPr>
          <w:spacing w:val="-2"/>
        </w:rPr>
        <w:t>Call</w:t>
      </w:r>
      <w:r>
        <w:rPr>
          <w:spacing w:val="34"/>
        </w:rPr>
        <w:t xml:space="preserve"> </w:t>
      </w:r>
      <w:r>
        <w:t>Off</w:t>
      </w:r>
      <w:r>
        <w:rPr>
          <w:spacing w:val="38"/>
        </w:rPr>
        <w:t xml:space="preserve"> </w:t>
      </w:r>
      <w:r>
        <w:rPr>
          <w:spacing w:val="-2"/>
        </w:rPr>
        <w:t>Contract</w:t>
      </w:r>
      <w:r>
        <w:rPr>
          <w:spacing w:val="35"/>
        </w:rPr>
        <w:t xml:space="preserve"> </w:t>
      </w:r>
      <w:r>
        <w:rPr>
          <w:spacing w:val="-1"/>
        </w:rPr>
        <w:t>in</w:t>
      </w:r>
      <w:r>
        <w:rPr>
          <w:spacing w:val="34"/>
        </w:rPr>
        <w:t xml:space="preserve"> </w:t>
      </w:r>
      <w:r>
        <w:rPr>
          <w:spacing w:val="-1"/>
        </w:rPr>
        <w:t>the</w:t>
      </w:r>
      <w:r>
        <w:rPr>
          <w:spacing w:val="54"/>
        </w:rPr>
        <w:t xml:space="preserve"> </w:t>
      </w:r>
      <w:r>
        <w:rPr>
          <w:spacing w:val="-1"/>
        </w:rPr>
        <w:t>delivery</w:t>
      </w:r>
      <w:r>
        <w:rPr>
          <w:spacing w:val="-2"/>
        </w:rPr>
        <w:t xml:space="preserve"> </w:t>
      </w:r>
      <w:r>
        <w:rPr>
          <w:spacing w:val="-1"/>
        </w:rPr>
        <w:t>of</w:t>
      </w:r>
      <w:r>
        <w:rPr>
          <w:spacing w:val="2"/>
        </w:rPr>
        <w:t xml:space="preserve"> </w:t>
      </w:r>
      <w:r>
        <w:t>the</w:t>
      </w:r>
      <w:r>
        <w:rPr>
          <w:spacing w:val="-2"/>
        </w:rPr>
        <w:t xml:space="preserve"> </w:t>
      </w:r>
      <w:r>
        <w:rPr>
          <w:spacing w:val="-1"/>
        </w:rPr>
        <w:t>Goods</w:t>
      </w:r>
      <w:r>
        <w:rPr>
          <w:spacing w:val="1"/>
        </w:rPr>
        <w:t xml:space="preserve"> </w:t>
      </w:r>
      <w:r>
        <w:rPr>
          <w:spacing w:val="-1"/>
        </w:rPr>
        <w:t>and/or Services;</w:t>
      </w:r>
      <w:r>
        <w:rPr>
          <w:spacing w:val="2"/>
        </w:rPr>
        <w:t xml:space="preserve"> </w:t>
      </w:r>
      <w:r>
        <w:rPr>
          <w:spacing w:val="-1"/>
        </w:rPr>
        <w:t>and</w:t>
      </w:r>
    </w:p>
    <w:p w:rsidR="008918FA" w:rsidRDefault="008918FA" w:rsidP="008918FA">
      <w:pPr>
        <w:pStyle w:val="BodyText"/>
        <w:numPr>
          <w:ilvl w:val="3"/>
          <w:numId w:val="66"/>
        </w:numPr>
        <w:tabs>
          <w:tab w:val="left" w:pos="2954"/>
        </w:tabs>
        <w:spacing w:before="121"/>
        <w:ind w:left="2953" w:right="116"/>
        <w:jc w:val="both"/>
      </w:pPr>
      <w:r>
        <w:rPr>
          <w:spacing w:val="-1"/>
        </w:rPr>
        <w:t>assign,</w:t>
      </w:r>
      <w:r>
        <w:rPr>
          <w:spacing w:val="47"/>
        </w:rPr>
        <w:t xml:space="preserve"> </w:t>
      </w:r>
      <w:r>
        <w:rPr>
          <w:spacing w:val="-1"/>
        </w:rPr>
        <w:t>novate</w:t>
      </w:r>
      <w:r>
        <w:rPr>
          <w:spacing w:val="46"/>
        </w:rPr>
        <w:t xml:space="preserve"> </w:t>
      </w:r>
      <w:r>
        <w:rPr>
          <w:spacing w:val="-1"/>
        </w:rPr>
        <w:t>or</w:t>
      </w:r>
      <w:r>
        <w:rPr>
          <w:spacing w:val="47"/>
        </w:rPr>
        <w:t xml:space="preserve"> </w:t>
      </w:r>
      <w:r>
        <w:rPr>
          <w:spacing w:val="-1"/>
        </w:rPr>
        <w:t>otherwise</w:t>
      </w:r>
      <w:r>
        <w:rPr>
          <w:spacing w:val="46"/>
        </w:rPr>
        <w:t xml:space="preserve"> </w:t>
      </w:r>
      <w:r>
        <w:rPr>
          <w:spacing w:val="-1"/>
        </w:rPr>
        <w:t>transfer</w:t>
      </w:r>
      <w:r>
        <w:rPr>
          <w:spacing w:val="47"/>
        </w:rPr>
        <w:t xml:space="preserve"> </w:t>
      </w:r>
      <w:r>
        <w:rPr>
          <w:spacing w:val="-1"/>
        </w:rPr>
        <w:t>to</w:t>
      </w:r>
      <w:r>
        <w:rPr>
          <w:spacing w:val="46"/>
        </w:rPr>
        <w:t xml:space="preserve"> </w:t>
      </w:r>
      <w:r>
        <w:t>the</w:t>
      </w:r>
      <w:r>
        <w:rPr>
          <w:spacing w:val="47"/>
        </w:rPr>
        <w:t xml:space="preserve"> </w:t>
      </w:r>
      <w:r>
        <w:rPr>
          <w:spacing w:val="-1"/>
        </w:rPr>
        <w:t>Customer</w:t>
      </w:r>
      <w:r>
        <w:rPr>
          <w:spacing w:val="47"/>
        </w:rPr>
        <w:t xml:space="preserve"> </w:t>
      </w:r>
      <w:r>
        <w:rPr>
          <w:spacing w:val="-1"/>
        </w:rPr>
        <w:t>or</w:t>
      </w:r>
      <w:r>
        <w:rPr>
          <w:spacing w:val="47"/>
        </w:rPr>
        <w:t xml:space="preserve"> </w:t>
      </w:r>
      <w:r>
        <w:rPr>
          <w:spacing w:val="-1"/>
        </w:rPr>
        <w:t>any</w:t>
      </w:r>
      <w:r>
        <w:rPr>
          <w:spacing w:val="24"/>
        </w:rPr>
        <w:t xml:space="preserve"> </w:t>
      </w:r>
      <w:r>
        <w:rPr>
          <w:spacing w:val="-1"/>
        </w:rPr>
        <w:t>Replacement</w:t>
      </w:r>
      <w:r>
        <w:rPr>
          <w:spacing w:val="11"/>
        </w:rPr>
        <w:t xml:space="preserve"> </w:t>
      </w:r>
      <w:r>
        <w:rPr>
          <w:spacing w:val="-2"/>
        </w:rPr>
        <w:t>Supplier</w:t>
      </w:r>
      <w:r>
        <w:rPr>
          <w:spacing w:val="11"/>
        </w:rPr>
        <w:t xml:space="preserve"> </w:t>
      </w:r>
      <w:r>
        <w:rPr>
          <w:spacing w:val="-1"/>
        </w:rPr>
        <w:t>any</w:t>
      </w:r>
      <w:r>
        <w:rPr>
          <w:spacing w:val="8"/>
        </w:rPr>
        <w:t xml:space="preserve"> </w:t>
      </w:r>
      <w:r>
        <w:rPr>
          <w:spacing w:val="-1"/>
        </w:rPr>
        <w:t>of</w:t>
      </w:r>
      <w:r>
        <w:rPr>
          <w:spacing w:val="14"/>
        </w:rPr>
        <w:t xml:space="preserve"> </w:t>
      </w:r>
      <w:r>
        <w:rPr>
          <w:spacing w:val="-1"/>
        </w:rPr>
        <w:t>its</w:t>
      </w:r>
      <w:r>
        <w:rPr>
          <w:spacing w:val="10"/>
        </w:rPr>
        <w:t xml:space="preserve"> </w:t>
      </w:r>
      <w:r>
        <w:rPr>
          <w:spacing w:val="-1"/>
        </w:rPr>
        <w:t>rights</w:t>
      </w:r>
      <w:r>
        <w:rPr>
          <w:spacing w:val="10"/>
        </w:rPr>
        <w:t xml:space="preserve"> </w:t>
      </w:r>
      <w:r>
        <w:rPr>
          <w:spacing w:val="-1"/>
        </w:rPr>
        <w:t>and/or</w:t>
      </w:r>
      <w:r>
        <w:rPr>
          <w:spacing w:val="11"/>
        </w:rPr>
        <w:t xml:space="preserve"> </w:t>
      </w:r>
      <w:r>
        <w:rPr>
          <w:spacing w:val="-1"/>
        </w:rPr>
        <w:t>obligations</w:t>
      </w:r>
      <w:r>
        <w:rPr>
          <w:spacing w:val="10"/>
        </w:rPr>
        <w:t xml:space="preserve"> </w:t>
      </w:r>
      <w:r>
        <w:rPr>
          <w:spacing w:val="-2"/>
        </w:rPr>
        <w:t>under</w:t>
      </w:r>
      <w:r>
        <w:rPr>
          <w:spacing w:val="45"/>
        </w:rPr>
        <w:t xml:space="preserve"> </w:t>
      </w:r>
      <w:r>
        <w:rPr>
          <w:spacing w:val="-1"/>
        </w:rPr>
        <w:t>each</w:t>
      </w:r>
      <w:r>
        <w:rPr>
          <w:spacing w:val="21"/>
        </w:rPr>
        <w:t xml:space="preserve"> </w:t>
      </w:r>
      <w:r>
        <w:rPr>
          <w:spacing w:val="-1"/>
        </w:rPr>
        <w:t>Sub-Contract</w:t>
      </w:r>
      <w:r>
        <w:rPr>
          <w:spacing w:val="20"/>
        </w:rPr>
        <w:t xml:space="preserve"> </w:t>
      </w:r>
      <w:r>
        <w:rPr>
          <w:spacing w:val="-1"/>
        </w:rPr>
        <w:t>that</w:t>
      </w:r>
      <w:r>
        <w:rPr>
          <w:spacing w:val="20"/>
        </w:rPr>
        <w:t xml:space="preserve"> </w:t>
      </w:r>
      <w:r>
        <w:rPr>
          <w:spacing w:val="-1"/>
        </w:rPr>
        <w:t>relates</w:t>
      </w:r>
      <w:r>
        <w:rPr>
          <w:spacing w:val="21"/>
        </w:rPr>
        <w:t xml:space="preserve"> </w:t>
      </w:r>
      <w:r>
        <w:rPr>
          <w:spacing w:val="-2"/>
        </w:rPr>
        <w:t>exclusively</w:t>
      </w:r>
      <w:r>
        <w:rPr>
          <w:spacing w:val="21"/>
        </w:rPr>
        <w:t xml:space="preserve"> </w:t>
      </w:r>
      <w:r>
        <w:t>to</w:t>
      </w:r>
      <w:r>
        <w:rPr>
          <w:spacing w:val="21"/>
        </w:rPr>
        <w:t xml:space="preserve"> </w:t>
      </w:r>
      <w:r>
        <w:rPr>
          <w:spacing w:val="-1"/>
        </w:rPr>
        <w:t>this</w:t>
      </w:r>
      <w:r>
        <w:rPr>
          <w:spacing w:val="21"/>
        </w:rPr>
        <w:t xml:space="preserve"> </w:t>
      </w:r>
      <w:r>
        <w:rPr>
          <w:spacing w:val="-2"/>
        </w:rPr>
        <w:t>Call</w:t>
      </w:r>
      <w:r>
        <w:rPr>
          <w:spacing w:val="20"/>
        </w:rPr>
        <w:t xml:space="preserve"> </w:t>
      </w:r>
      <w:r>
        <w:rPr>
          <w:spacing w:val="-1"/>
        </w:rPr>
        <w:t>Off</w:t>
      </w:r>
      <w:r>
        <w:rPr>
          <w:spacing w:val="57"/>
        </w:rPr>
        <w:t xml:space="preserve"> </w:t>
      </w:r>
      <w:r>
        <w:rPr>
          <w:spacing w:val="-1"/>
        </w:rPr>
        <w:t>Contract.</w:t>
      </w:r>
    </w:p>
    <w:p w:rsidR="008918FA" w:rsidRDefault="008918FA" w:rsidP="008918FA">
      <w:pPr>
        <w:jc w:val="both"/>
        <w:sectPr w:rsidR="008918FA">
          <w:pgSz w:w="11910" w:h="16840"/>
          <w:pgMar w:top="1480" w:right="1300" w:bottom="1180" w:left="1320" w:header="0" w:footer="967" w:gutter="0"/>
          <w:cols w:space="720"/>
        </w:sectPr>
      </w:pPr>
    </w:p>
    <w:p w:rsidR="008918FA" w:rsidRDefault="008918FA" w:rsidP="008918FA">
      <w:pPr>
        <w:pStyle w:val="BodyText"/>
        <w:numPr>
          <w:ilvl w:val="2"/>
          <w:numId w:val="66"/>
        </w:numPr>
        <w:tabs>
          <w:tab w:val="left" w:pos="1887"/>
        </w:tabs>
        <w:spacing w:before="59"/>
        <w:ind w:left="1886" w:right="115"/>
        <w:jc w:val="both"/>
      </w:pPr>
      <w:bookmarkStart w:id="173" w:name="_bookmark146"/>
      <w:bookmarkEnd w:id="173"/>
      <w:r>
        <w:rPr>
          <w:spacing w:val="-1"/>
        </w:rPr>
        <w:t>Prior</w:t>
      </w:r>
      <w:r>
        <w:rPr>
          <w:spacing w:val="24"/>
        </w:rPr>
        <w:t xml:space="preserve"> </w:t>
      </w:r>
      <w:r>
        <w:t>to</w:t>
      </w:r>
      <w:r>
        <w:rPr>
          <w:spacing w:val="21"/>
        </w:rPr>
        <w:t xml:space="preserve"> </w:t>
      </w:r>
      <w:r>
        <w:rPr>
          <w:spacing w:val="-1"/>
        </w:rPr>
        <w:t>sub-contacting</w:t>
      </w:r>
      <w:r>
        <w:rPr>
          <w:spacing w:val="23"/>
        </w:rPr>
        <w:t xml:space="preserve"> </w:t>
      </w:r>
      <w:r>
        <w:rPr>
          <w:spacing w:val="-1"/>
        </w:rPr>
        <w:t>any</w:t>
      </w:r>
      <w:r>
        <w:rPr>
          <w:spacing w:val="21"/>
        </w:rPr>
        <w:t xml:space="preserve"> </w:t>
      </w:r>
      <w:r>
        <w:rPr>
          <w:spacing w:val="-1"/>
        </w:rPr>
        <w:t>of</w:t>
      </w:r>
      <w:r>
        <w:rPr>
          <w:spacing w:val="25"/>
        </w:rPr>
        <w:t xml:space="preserve"> </w:t>
      </w:r>
      <w:r>
        <w:t>its</w:t>
      </w:r>
      <w:r>
        <w:rPr>
          <w:spacing w:val="24"/>
        </w:rPr>
        <w:t xml:space="preserve"> </w:t>
      </w:r>
      <w:r>
        <w:rPr>
          <w:spacing w:val="-1"/>
        </w:rPr>
        <w:t>obligations</w:t>
      </w:r>
      <w:r>
        <w:rPr>
          <w:spacing w:val="21"/>
        </w:rPr>
        <w:t xml:space="preserve"> </w:t>
      </w:r>
      <w:r>
        <w:rPr>
          <w:spacing w:val="-1"/>
        </w:rPr>
        <w:t>under</w:t>
      </w:r>
      <w:r>
        <w:rPr>
          <w:spacing w:val="22"/>
        </w:rPr>
        <w:t xml:space="preserve"> </w:t>
      </w:r>
      <w:r>
        <w:rPr>
          <w:spacing w:val="-1"/>
        </w:rPr>
        <w:t>this</w:t>
      </w:r>
      <w:r>
        <w:rPr>
          <w:spacing w:val="24"/>
        </w:rPr>
        <w:t xml:space="preserve"> </w:t>
      </w:r>
      <w:r>
        <w:rPr>
          <w:spacing w:val="-2"/>
        </w:rPr>
        <w:t>Call</w:t>
      </w:r>
      <w:r>
        <w:rPr>
          <w:spacing w:val="20"/>
        </w:rPr>
        <w:t xml:space="preserve"> </w:t>
      </w:r>
      <w:r>
        <w:rPr>
          <w:spacing w:val="-1"/>
        </w:rPr>
        <w:t>Off</w:t>
      </w:r>
      <w:r>
        <w:rPr>
          <w:spacing w:val="35"/>
        </w:rPr>
        <w:t xml:space="preserve"> </w:t>
      </w:r>
      <w:r>
        <w:rPr>
          <w:spacing w:val="-1"/>
        </w:rPr>
        <w:t>Contract,</w:t>
      </w:r>
      <w:r>
        <w:t xml:space="preserve"> the</w:t>
      </w:r>
      <w:r>
        <w:rPr>
          <w:spacing w:val="-2"/>
        </w:rPr>
        <w:t xml:space="preserve"> Supplier</w:t>
      </w:r>
      <w:r>
        <w:rPr>
          <w:spacing w:val="2"/>
        </w:rPr>
        <w:t xml:space="preserve"> </w:t>
      </w:r>
      <w:r>
        <w:rPr>
          <w:spacing w:val="-2"/>
        </w:rPr>
        <w:t>shall</w:t>
      </w:r>
      <w:r>
        <w:t xml:space="preserve"> </w:t>
      </w:r>
      <w:r>
        <w:rPr>
          <w:spacing w:val="-2"/>
        </w:rPr>
        <w:t>provide</w:t>
      </w:r>
      <w:r>
        <w:t xml:space="preserve"> the </w:t>
      </w:r>
      <w:r>
        <w:rPr>
          <w:spacing w:val="-1"/>
        </w:rPr>
        <w:t>Customer</w:t>
      </w:r>
      <w:r>
        <w:rPr>
          <w:spacing w:val="-3"/>
        </w:rPr>
        <w:t xml:space="preserve"> </w:t>
      </w:r>
      <w:r>
        <w:rPr>
          <w:spacing w:val="-1"/>
        </w:rPr>
        <w:t>with:</w:t>
      </w:r>
    </w:p>
    <w:p w:rsidR="008918FA" w:rsidRDefault="008918FA" w:rsidP="008918FA">
      <w:pPr>
        <w:pStyle w:val="BodyText"/>
        <w:numPr>
          <w:ilvl w:val="3"/>
          <w:numId w:val="66"/>
        </w:numPr>
        <w:tabs>
          <w:tab w:val="left" w:pos="2595"/>
        </w:tabs>
        <w:spacing w:before="121"/>
        <w:ind w:left="2594" w:right="115"/>
        <w:jc w:val="both"/>
      </w:pPr>
      <w:r>
        <w:t>the</w:t>
      </w:r>
      <w:r>
        <w:rPr>
          <w:spacing w:val="21"/>
        </w:rPr>
        <w:t xml:space="preserve"> </w:t>
      </w:r>
      <w:r>
        <w:rPr>
          <w:spacing w:val="-1"/>
        </w:rPr>
        <w:t>proposed</w:t>
      </w:r>
      <w:r>
        <w:rPr>
          <w:spacing w:val="21"/>
        </w:rPr>
        <w:t xml:space="preserve"> </w:t>
      </w:r>
      <w:r>
        <w:rPr>
          <w:spacing w:val="-1"/>
        </w:rPr>
        <w:t>Sub-Contractor’s</w:t>
      </w:r>
      <w:r>
        <w:rPr>
          <w:spacing w:val="21"/>
        </w:rPr>
        <w:t xml:space="preserve"> </w:t>
      </w:r>
      <w:r>
        <w:rPr>
          <w:spacing w:val="-1"/>
        </w:rPr>
        <w:t>name,</w:t>
      </w:r>
      <w:r>
        <w:rPr>
          <w:spacing w:val="20"/>
        </w:rPr>
        <w:t xml:space="preserve"> </w:t>
      </w:r>
      <w:r>
        <w:rPr>
          <w:spacing w:val="-1"/>
        </w:rPr>
        <w:t>registered</w:t>
      </w:r>
      <w:r>
        <w:rPr>
          <w:spacing w:val="21"/>
        </w:rPr>
        <w:t xml:space="preserve"> </w:t>
      </w:r>
      <w:r>
        <w:rPr>
          <w:spacing w:val="-1"/>
        </w:rPr>
        <w:t>office</w:t>
      </w:r>
      <w:r>
        <w:rPr>
          <w:spacing w:val="19"/>
        </w:rPr>
        <w:t xml:space="preserve"> </w:t>
      </w:r>
      <w:r>
        <w:rPr>
          <w:spacing w:val="-1"/>
        </w:rPr>
        <w:t>and</w:t>
      </w:r>
      <w:r>
        <w:rPr>
          <w:spacing w:val="26"/>
        </w:rPr>
        <w:t xml:space="preserve"> </w:t>
      </w:r>
      <w:r>
        <w:rPr>
          <w:spacing w:val="-1"/>
        </w:rPr>
        <w:t>company</w:t>
      </w:r>
      <w:r>
        <w:rPr>
          <w:spacing w:val="-2"/>
        </w:rPr>
        <w:t xml:space="preserve"> </w:t>
      </w:r>
      <w:r>
        <w:rPr>
          <w:spacing w:val="-1"/>
        </w:rPr>
        <w:t>registration</w:t>
      </w:r>
      <w:r>
        <w:rPr>
          <w:spacing w:val="-2"/>
        </w:rPr>
        <w:t xml:space="preserve"> number;</w:t>
      </w:r>
    </w:p>
    <w:p w:rsidR="008918FA" w:rsidRDefault="008918FA" w:rsidP="008918FA">
      <w:pPr>
        <w:pStyle w:val="BodyText"/>
        <w:numPr>
          <w:ilvl w:val="3"/>
          <w:numId w:val="66"/>
        </w:numPr>
        <w:tabs>
          <w:tab w:val="left" w:pos="2595"/>
        </w:tabs>
        <w:spacing w:before="121"/>
        <w:ind w:left="2594" w:right="116"/>
        <w:jc w:val="both"/>
      </w:pPr>
      <w:r>
        <w:t>the</w:t>
      </w:r>
      <w:r>
        <w:rPr>
          <w:spacing w:val="17"/>
        </w:rPr>
        <w:t xml:space="preserve"> </w:t>
      </w:r>
      <w:r>
        <w:rPr>
          <w:spacing w:val="-1"/>
        </w:rPr>
        <w:t>scope</w:t>
      </w:r>
      <w:r>
        <w:rPr>
          <w:spacing w:val="15"/>
        </w:rPr>
        <w:t xml:space="preserve"> </w:t>
      </w:r>
      <w:r>
        <w:rPr>
          <w:spacing w:val="-2"/>
        </w:rPr>
        <w:t>of</w:t>
      </w:r>
      <w:r>
        <w:rPr>
          <w:spacing w:val="19"/>
        </w:rPr>
        <w:t xml:space="preserve"> </w:t>
      </w:r>
      <w:r>
        <w:rPr>
          <w:spacing w:val="-1"/>
        </w:rPr>
        <w:t>any</w:t>
      </w:r>
      <w:r>
        <w:rPr>
          <w:spacing w:val="15"/>
        </w:rPr>
        <w:t xml:space="preserve"> </w:t>
      </w:r>
      <w:r>
        <w:rPr>
          <w:spacing w:val="-1"/>
        </w:rPr>
        <w:t>Goods</w:t>
      </w:r>
      <w:r>
        <w:rPr>
          <w:spacing w:val="15"/>
        </w:rPr>
        <w:t xml:space="preserve"> </w:t>
      </w:r>
      <w:r>
        <w:rPr>
          <w:spacing w:val="-1"/>
        </w:rPr>
        <w:t>and/or</w:t>
      </w:r>
      <w:r>
        <w:rPr>
          <w:spacing w:val="19"/>
        </w:rPr>
        <w:t xml:space="preserve"> </w:t>
      </w:r>
      <w:r>
        <w:rPr>
          <w:spacing w:val="-1"/>
        </w:rPr>
        <w:t>Services</w:t>
      </w:r>
      <w:r>
        <w:rPr>
          <w:spacing w:val="16"/>
        </w:rPr>
        <w:t xml:space="preserve"> </w:t>
      </w:r>
      <w:r>
        <w:t>to</w:t>
      </w:r>
      <w:r>
        <w:rPr>
          <w:spacing w:val="17"/>
        </w:rPr>
        <w:t xml:space="preserve"> </w:t>
      </w:r>
      <w:r>
        <w:rPr>
          <w:spacing w:val="-1"/>
        </w:rPr>
        <w:t>be</w:t>
      </w:r>
      <w:r>
        <w:rPr>
          <w:spacing w:val="15"/>
        </w:rPr>
        <w:t xml:space="preserve"> </w:t>
      </w:r>
      <w:r>
        <w:rPr>
          <w:spacing w:val="-2"/>
        </w:rPr>
        <w:t>provided</w:t>
      </w:r>
      <w:r>
        <w:rPr>
          <w:spacing w:val="17"/>
        </w:rPr>
        <w:t xml:space="preserve"> </w:t>
      </w:r>
      <w:r>
        <w:rPr>
          <w:spacing w:val="-1"/>
        </w:rPr>
        <w:t>by</w:t>
      </w:r>
      <w:r>
        <w:rPr>
          <w:spacing w:val="15"/>
        </w:rPr>
        <w:t xml:space="preserve"> </w:t>
      </w:r>
      <w:r>
        <w:rPr>
          <w:spacing w:val="-1"/>
        </w:rPr>
        <w:t>the</w:t>
      </w:r>
      <w:r>
        <w:rPr>
          <w:spacing w:val="32"/>
        </w:rPr>
        <w:t xml:space="preserve"> </w:t>
      </w:r>
      <w:r>
        <w:rPr>
          <w:spacing w:val="-1"/>
        </w:rPr>
        <w:t>proposed</w:t>
      </w:r>
      <w:r>
        <w:t xml:space="preserve"> </w:t>
      </w:r>
      <w:r>
        <w:rPr>
          <w:spacing w:val="-1"/>
        </w:rPr>
        <w:t>Sub-Contractor;</w:t>
      </w:r>
      <w:r>
        <w:t xml:space="preserve"> </w:t>
      </w:r>
      <w:r>
        <w:rPr>
          <w:spacing w:val="-1"/>
        </w:rPr>
        <w:t>and</w:t>
      </w:r>
    </w:p>
    <w:p w:rsidR="008918FA" w:rsidRDefault="008918FA" w:rsidP="008918FA">
      <w:pPr>
        <w:pStyle w:val="BodyText"/>
        <w:numPr>
          <w:ilvl w:val="3"/>
          <w:numId w:val="66"/>
        </w:numPr>
        <w:tabs>
          <w:tab w:val="left" w:pos="2595"/>
        </w:tabs>
        <w:ind w:left="2594" w:right="112"/>
        <w:jc w:val="both"/>
      </w:pPr>
      <w:r>
        <w:rPr>
          <w:spacing w:val="-2"/>
        </w:rPr>
        <w:t>where</w:t>
      </w:r>
      <w:r>
        <w:rPr>
          <w:spacing w:val="37"/>
        </w:rPr>
        <w:t xml:space="preserve"> </w:t>
      </w:r>
      <w:r>
        <w:t>the</w:t>
      </w:r>
      <w:r>
        <w:rPr>
          <w:spacing w:val="37"/>
        </w:rPr>
        <w:t xml:space="preserve"> </w:t>
      </w:r>
      <w:r>
        <w:rPr>
          <w:spacing w:val="-1"/>
        </w:rPr>
        <w:t>proposed</w:t>
      </w:r>
      <w:r>
        <w:rPr>
          <w:spacing w:val="37"/>
        </w:rPr>
        <w:t xml:space="preserve"> </w:t>
      </w:r>
      <w:r>
        <w:rPr>
          <w:spacing w:val="-1"/>
        </w:rPr>
        <w:t>Sub-Contractor</w:t>
      </w:r>
      <w:r>
        <w:rPr>
          <w:spacing w:val="39"/>
        </w:rPr>
        <w:t xml:space="preserve"> </w:t>
      </w:r>
      <w:r>
        <w:rPr>
          <w:spacing w:val="-1"/>
        </w:rPr>
        <w:t>is</w:t>
      </w:r>
      <w:r>
        <w:rPr>
          <w:spacing w:val="38"/>
        </w:rPr>
        <w:t xml:space="preserve"> </w:t>
      </w:r>
      <w:r>
        <w:rPr>
          <w:spacing w:val="-1"/>
        </w:rPr>
        <w:t>an</w:t>
      </w:r>
      <w:r>
        <w:rPr>
          <w:spacing w:val="37"/>
        </w:rPr>
        <w:t xml:space="preserve"> </w:t>
      </w:r>
      <w:r>
        <w:rPr>
          <w:spacing w:val="-1"/>
        </w:rPr>
        <w:t>Affiliate</w:t>
      </w:r>
      <w:r>
        <w:rPr>
          <w:spacing w:val="38"/>
        </w:rPr>
        <w:t xml:space="preserve"> </w:t>
      </w:r>
      <w:r>
        <w:rPr>
          <w:spacing w:val="-2"/>
        </w:rPr>
        <w:t>of</w:t>
      </w:r>
      <w:r>
        <w:rPr>
          <w:spacing w:val="39"/>
        </w:rPr>
        <w:t xml:space="preserve"> </w:t>
      </w:r>
      <w:r>
        <w:rPr>
          <w:spacing w:val="-1"/>
        </w:rPr>
        <w:t>the</w:t>
      </w:r>
      <w:r>
        <w:rPr>
          <w:spacing w:val="36"/>
        </w:rPr>
        <w:t xml:space="preserve"> </w:t>
      </w:r>
      <w:r>
        <w:rPr>
          <w:spacing w:val="-1"/>
        </w:rPr>
        <w:t>Supplier,</w:t>
      </w:r>
      <w:r>
        <w:rPr>
          <w:spacing w:val="16"/>
        </w:rPr>
        <w:t xml:space="preserve"> </w:t>
      </w:r>
      <w:r>
        <w:rPr>
          <w:spacing w:val="-2"/>
        </w:rPr>
        <w:t>evidence</w:t>
      </w:r>
      <w:r>
        <w:rPr>
          <w:spacing w:val="15"/>
        </w:rPr>
        <w:t xml:space="preserve"> </w:t>
      </w:r>
      <w:r>
        <w:rPr>
          <w:spacing w:val="-1"/>
        </w:rPr>
        <w:t>that</w:t>
      </w:r>
      <w:r>
        <w:rPr>
          <w:spacing w:val="16"/>
        </w:rPr>
        <w:t xml:space="preserve"> </w:t>
      </w:r>
      <w:r>
        <w:rPr>
          <w:spacing w:val="-1"/>
        </w:rPr>
        <w:t>demonstrates</w:t>
      </w:r>
      <w:r>
        <w:rPr>
          <w:spacing w:val="13"/>
        </w:rPr>
        <w:t xml:space="preserve"> </w:t>
      </w:r>
      <w:r>
        <w:t>to</w:t>
      </w:r>
      <w:r>
        <w:rPr>
          <w:spacing w:val="12"/>
        </w:rPr>
        <w:t xml:space="preserve"> </w:t>
      </w:r>
      <w:r>
        <w:rPr>
          <w:spacing w:val="-1"/>
        </w:rPr>
        <w:t>the</w:t>
      </w:r>
      <w:r>
        <w:rPr>
          <w:spacing w:val="15"/>
        </w:rPr>
        <w:t xml:space="preserve"> </w:t>
      </w:r>
      <w:r>
        <w:rPr>
          <w:spacing w:val="-1"/>
        </w:rPr>
        <w:t>reasonable</w:t>
      </w:r>
      <w:r>
        <w:rPr>
          <w:spacing w:val="25"/>
        </w:rPr>
        <w:t xml:space="preserve"> </w:t>
      </w:r>
      <w:r>
        <w:rPr>
          <w:spacing w:val="-1"/>
        </w:rPr>
        <w:t>satisfaction</w:t>
      </w:r>
      <w:r>
        <w:rPr>
          <w:spacing w:val="51"/>
        </w:rPr>
        <w:t xml:space="preserve"> </w:t>
      </w:r>
      <w:r>
        <w:rPr>
          <w:spacing w:val="-2"/>
        </w:rPr>
        <w:t>of</w:t>
      </w:r>
      <w:r>
        <w:rPr>
          <w:spacing w:val="52"/>
        </w:rPr>
        <w:t xml:space="preserve"> </w:t>
      </w:r>
      <w:r>
        <w:t>the</w:t>
      </w:r>
      <w:r>
        <w:rPr>
          <w:spacing w:val="51"/>
        </w:rPr>
        <w:t xml:space="preserve"> </w:t>
      </w:r>
      <w:r>
        <w:rPr>
          <w:spacing w:val="-2"/>
        </w:rPr>
        <w:t>Customer</w:t>
      </w:r>
      <w:r>
        <w:rPr>
          <w:spacing w:val="49"/>
        </w:rPr>
        <w:t xml:space="preserve"> </w:t>
      </w:r>
      <w:r>
        <w:rPr>
          <w:spacing w:val="-1"/>
        </w:rPr>
        <w:t>that</w:t>
      </w:r>
      <w:r>
        <w:rPr>
          <w:spacing w:val="50"/>
        </w:rPr>
        <w:t xml:space="preserve"> </w:t>
      </w:r>
      <w:r>
        <w:t>the</w:t>
      </w:r>
      <w:r>
        <w:rPr>
          <w:spacing w:val="48"/>
        </w:rPr>
        <w:t xml:space="preserve"> </w:t>
      </w:r>
      <w:r>
        <w:rPr>
          <w:spacing w:val="-1"/>
        </w:rPr>
        <w:t>proposed</w:t>
      </w:r>
      <w:r>
        <w:rPr>
          <w:spacing w:val="49"/>
        </w:rPr>
        <w:t xml:space="preserve"> </w:t>
      </w:r>
      <w:r>
        <w:rPr>
          <w:spacing w:val="-1"/>
        </w:rPr>
        <w:t>Sub-Contract</w:t>
      </w:r>
      <w:r>
        <w:rPr>
          <w:spacing w:val="40"/>
        </w:rPr>
        <w:t xml:space="preserve"> </w:t>
      </w:r>
      <w:r>
        <w:rPr>
          <w:spacing w:val="-1"/>
        </w:rPr>
        <w:t>has</w:t>
      </w:r>
      <w:r>
        <w:rPr>
          <w:spacing w:val="1"/>
        </w:rPr>
        <w:t xml:space="preserve"> </w:t>
      </w:r>
      <w:r>
        <w:rPr>
          <w:spacing w:val="-1"/>
        </w:rPr>
        <w:t>been</w:t>
      </w:r>
      <w:r>
        <w:t xml:space="preserve"> </w:t>
      </w:r>
      <w:r>
        <w:rPr>
          <w:spacing w:val="-1"/>
        </w:rPr>
        <w:t>agreed</w:t>
      </w:r>
      <w:r>
        <w:t xml:space="preserve"> </w:t>
      </w:r>
      <w:r>
        <w:rPr>
          <w:spacing w:val="-1"/>
        </w:rPr>
        <w:t>on</w:t>
      </w:r>
      <w:r>
        <w:rPr>
          <w:spacing w:val="-2"/>
        </w:rPr>
        <w:t xml:space="preserve"> </w:t>
      </w:r>
      <w:r>
        <w:rPr>
          <w:spacing w:val="-1"/>
        </w:rPr>
        <w:t xml:space="preserve">"arm’s-length" </w:t>
      </w:r>
      <w:r>
        <w:rPr>
          <w:spacing w:val="-2"/>
        </w:rPr>
        <w:t>terms.</w:t>
      </w:r>
    </w:p>
    <w:p w:rsidR="008918FA" w:rsidRDefault="008918FA" w:rsidP="008918FA">
      <w:pPr>
        <w:pStyle w:val="BodyText"/>
        <w:numPr>
          <w:ilvl w:val="2"/>
          <w:numId w:val="66"/>
        </w:numPr>
        <w:tabs>
          <w:tab w:val="left" w:pos="1887"/>
        </w:tabs>
        <w:ind w:left="1886" w:right="115"/>
        <w:jc w:val="both"/>
      </w:pPr>
      <w:bookmarkStart w:id="174" w:name="_bookmark147"/>
      <w:bookmarkEnd w:id="174"/>
      <w:r>
        <w:rPr>
          <w:spacing w:val="-1"/>
        </w:rPr>
        <w:t>If</w:t>
      </w:r>
      <w:r>
        <w:rPr>
          <w:spacing w:val="2"/>
        </w:rPr>
        <w:t xml:space="preserve"> </w:t>
      </w:r>
      <w:r>
        <w:rPr>
          <w:spacing w:val="-1"/>
        </w:rPr>
        <w:t>requested</w:t>
      </w:r>
      <w:r>
        <w:t xml:space="preserve"> </w:t>
      </w:r>
      <w:r>
        <w:rPr>
          <w:spacing w:val="-1"/>
        </w:rPr>
        <w:t>by</w:t>
      </w:r>
      <w:r>
        <w:rPr>
          <w:spacing w:val="-2"/>
        </w:rPr>
        <w:t xml:space="preserve"> </w:t>
      </w:r>
      <w:r>
        <w:t>the</w:t>
      </w:r>
      <w:r>
        <w:rPr>
          <w:spacing w:val="-2"/>
        </w:rPr>
        <w:t xml:space="preserve"> </w:t>
      </w:r>
      <w:r>
        <w:rPr>
          <w:spacing w:val="-1"/>
        </w:rPr>
        <w:t xml:space="preserve">Customer </w:t>
      </w:r>
      <w:r>
        <w:rPr>
          <w:spacing w:val="-2"/>
        </w:rPr>
        <w:t>within</w:t>
      </w:r>
      <w:r>
        <w:t xml:space="preserve"> ten </w:t>
      </w:r>
      <w:r>
        <w:rPr>
          <w:spacing w:val="-1"/>
        </w:rPr>
        <w:t>(10)</w:t>
      </w:r>
      <w:r>
        <w:rPr>
          <w:spacing w:val="-6"/>
        </w:rPr>
        <w:t xml:space="preserve"> </w:t>
      </w:r>
      <w:r>
        <w:rPr>
          <w:spacing w:val="-1"/>
        </w:rPr>
        <w:t>Working</w:t>
      </w:r>
      <w:r>
        <w:rPr>
          <w:spacing w:val="3"/>
        </w:rPr>
        <w:t xml:space="preserve"> </w:t>
      </w:r>
      <w:r>
        <w:rPr>
          <w:spacing w:val="-2"/>
        </w:rPr>
        <w:t>Days</w:t>
      </w:r>
      <w:r>
        <w:rPr>
          <w:spacing w:val="1"/>
        </w:rPr>
        <w:t xml:space="preserve"> </w:t>
      </w:r>
      <w:r>
        <w:rPr>
          <w:spacing w:val="-2"/>
        </w:rPr>
        <w:t>of</w:t>
      </w:r>
      <w:r>
        <w:rPr>
          <w:spacing w:val="2"/>
        </w:rPr>
        <w:t xml:space="preserve"> </w:t>
      </w:r>
      <w:r>
        <w:rPr>
          <w:spacing w:val="-1"/>
        </w:rPr>
        <w:t>receipt</w:t>
      </w:r>
      <w:r>
        <w:t xml:space="preserve"> </w:t>
      </w:r>
      <w:r>
        <w:rPr>
          <w:spacing w:val="-3"/>
        </w:rPr>
        <w:t>of</w:t>
      </w:r>
      <w:r>
        <w:rPr>
          <w:spacing w:val="36"/>
        </w:rPr>
        <w:t xml:space="preserve"> </w:t>
      </w:r>
      <w:r>
        <w:t>the</w:t>
      </w:r>
      <w:r>
        <w:rPr>
          <w:spacing w:val="41"/>
        </w:rPr>
        <w:t xml:space="preserve"> </w:t>
      </w:r>
      <w:r>
        <w:rPr>
          <w:spacing w:val="-2"/>
        </w:rPr>
        <w:t>Supplier’s</w:t>
      </w:r>
      <w:r>
        <w:rPr>
          <w:spacing w:val="41"/>
        </w:rPr>
        <w:t xml:space="preserve"> </w:t>
      </w:r>
      <w:r>
        <w:rPr>
          <w:spacing w:val="-1"/>
        </w:rPr>
        <w:t>notice</w:t>
      </w:r>
      <w:r>
        <w:rPr>
          <w:spacing w:val="41"/>
        </w:rPr>
        <w:t xml:space="preserve"> </w:t>
      </w:r>
      <w:r>
        <w:rPr>
          <w:spacing w:val="-2"/>
        </w:rPr>
        <w:t>issued</w:t>
      </w:r>
      <w:r>
        <w:rPr>
          <w:spacing w:val="38"/>
        </w:rPr>
        <w:t xml:space="preserve"> </w:t>
      </w:r>
      <w:r>
        <w:rPr>
          <w:spacing w:val="-1"/>
        </w:rPr>
        <w:t>pursuant</w:t>
      </w:r>
      <w:r>
        <w:rPr>
          <w:spacing w:val="40"/>
        </w:rPr>
        <w:t xml:space="preserve"> </w:t>
      </w:r>
      <w:r>
        <w:t>to</w:t>
      </w:r>
      <w:r>
        <w:rPr>
          <w:spacing w:val="38"/>
        </w:rPr>
        <w:t xml:space="preserve"> </w:t>
      </w:r>
      <w:r>
        <w:rPr>
          <w:spacing w:val="-2"/>
        </w:rPr>
        <w:t>Clause</w:t>
      </w:r>
      <w:r>
        <w:rPr>
          <w:spacing w:val="43"/>
        </w:rPr>
        <w:t xml:space="preserve"> </w:t>
      </w:r>
      <w:hyperlink w:anchor="_bookmark146" w:history="1">
        <w:r>
          <w:rPr>
            <w:spacing w:val="-1"/>
          </w:rPr>
          <w:t>29.1.2</w:t>
        </w:r>
      </w:hyperlink>
      <w:r>
        <w:rPr>
          <w:spacing w:val="-1"/>
        </w:rPr>
        <w:t>,</w:t>
      </w:r>
      <w:r>
        <w:rPr>
          <w:spacing w:val="40"/>
        </w:rPr>
        <w:t xml:space="preserve"> </w:t>
      </w:r>
      <w:r>
        <w:t>the</w:t>
      </w:r>
      <w:r>
        <w:rPr>
          <w:spacing w:val="38"/>
        </w:rPr>
        <w:t xml:space="preserve"> </w:t>
      </w:r>
      <w:r>
        <w:rPr>
          <w:spacing w:val="-2"/>
        </w:rPr>
        <w:t>Supplier</w:t>
      </w:r>
      <w:r>
        <w:rPr>
          <w:spacing w:val="68"/>
        </w:rPr>
        <w:t xml:space="preserve"> </w:t>
      </w:r>
      <w:r>
        <w:rPr>
          <w:spacing w:val="-1"/>
        </w:rPr>
        <w:t>shall</w:t>
      </w:r>
      <w:r>
        <w:t xml:space="preserve"> </w:t>
      </w:r>
      <w:r>
        <w:rPr>
          <w:spacing w:val="-1"/>
        </w:rPr>
        <w:t>also</w:t>
      </w:r>
      <w:r>
        <w:rPr>
          <w:spacing w:val="1"/>
        </w:rPr>
        <w:t xml:space="preserve"> </w:t>
      </w:r>
      <w:r>
        <w:rPr>
          <w:spacing w:val="-2"/>
        </w:rPr>
        <w:t>provide:</w:t>
      </w:r>
    </w:p>
    <w:p w:rsidR="008918FA" w:rsidRDefault="008918FA" w:rsidP="008918FA">
      <w:pPr>
        <w:pStyle w:val="BodyText"/>
        <w:numPr>
          <w:ilvl w:val="3"/>
          <w:numId w:val="66"/>
        </w:numPr>
        <w:tabs>
          <w:tab w:val="left" w:pos="2595"/>
        </w:tabs>
        <w:ind w:left="2594"/>
      </w:pPr>
      <w:r>
        <w:t xml:space="preserve">a </w:t>
      </w:r>
      <w:r>
        <w:rPr>
          <w:spacing w:val="-1"/>
        </w:rPr>
        <w:t>copy</w:t>
      </w:r>
      <w:r>
        <w:rPr>
          <w:spacing w:val="-2"/>
        </w:rPr>
        <w:t xml:space="preserve"> of</w:t>
      </w:r>
      <w:r>
        <w:rPr>
          <w:spacing w:val="2"/>
        </w:rPr>
        <w:t xml:space="preserve"> </w:t>
      </w:r>
      <w:r>
        <w:t>the</w:t>
      </w:r>
      <w:r>
        <w:rPr>
          <w:spacing w:val="-2"/>
        </w:rPr>
        <w:t xml:space="preserve"> </w:t>
      </w:r>
      <w:r>
        <w:rPr>
          <w:spacing w:val="-1"/>
        </w:rPr>
        <w:t>proposed</w:t>
      </w:r>
      <w:r>
        <w:rPr>
          <w:spacing w:val="-2"/>
        </w:rPr>
        <w:t xml:space="preserve"> </w:t>
      </w:r>
      <w:r>
        <w:rPr>
          <w:spacing w:val="-1"/>
        </w:rPr>
        <w:t>Sub-Contract;</w:t>
      </w:r>
      <w:r>
        <w:rPr>
          <w:spacing w:val="2"/>
        </w:rPr>
        <w:t xml:space="preserve"> </w:t>
      </w:r>
      <w:r>
        <w:rPr>
          <w:spacing w:val="-1"/>
        </w:rPr>
        <w:t>and</w:t>
      </w:r>
    </w:p>
    <w:p w:rsidR="008918FA" w:rsidRDefault="008918FA" w:rsidP="008918FA">
      <w:pPr>
        <w:pStyle w:val="BodyText"/>
        <w:numPr>
          <w:ilvl w:val="3"/>
          <w:numId w:val="66"/>
        </w:numPr>
        <w:tabs>
          <w:tab w:val="left" w:pos="2595"/>
        </w:tabs>
        <w:spacing w:before="121"/>
        <w:ind w:left="2594"/>
      </w:pPr>
      <w:r>
        <w:rPr>
          <w:spacing w:val="-1"/>
        </w:rPr>
        <w:t>any</w:t>
      </w:r>
      <w:r>
        <w:rPr>
          <w:spacing w:val="-2"/>
        </w:rPr>
        <w:t xml:space="preserve"> </w:t>
      </w:r>
      <w:r>
        <w:rPr>
          <w:spacing w:val="-1"/>
        </w:rPr>
        <w:t>further</w:t>
      </w:r>
      <w:r>
        <w:rPr>
          <w:spacing w:val="2"/>
        </w:rPr>
        <w:t xml:space="preserve"> </w:t>
      </w:r>
      <w:r>
        <w:rPr>
          <w:spacing w:val="-1"/>
        </w:rPr>
        <w:t>information</w:t>
      </w:r>
      <w:r>
        <w:rPr>
          <w:spacing w:val="-2"/>
        </w:rPr>
        <w:t xml:space="preserve"> </w:t>
      </w:r>
      <w:r>
        <w:rPr>
          <w:spacing w:val="-1"/>
        </w:rPr>
        <w:t>reasonably</w:t>
      </w:r>
      <w:r>
        <w:rPr>
          <w:spacing w:val="-2"/>
        </w:rPr>
        <w:t xml:space="preserve"> </w:t>
      </w:r>
      <w:r>
        <w:rPr>
          <w:spacing w:val="-1"/>
        </w:rPr>
        <w:t>requested</w:t>
      </w:r>
      <w:r>
        <w:t xml:space="preserve"> </w:t>
      </w:r>
      <w:r>
        <w:rPr>
          <w:spacing w:val="-1"/>
        </w:rPr>
        <w:t>by</w:t>
      </w:r>
      <w:r>
        <w:rPr>
          <w:spacing w:val="-4"/>
        </w:rPr>
        <w:t xml:space="preserve"> </w:t>
      </w:r>
      <w:r>
        <w:t xml:space="preserve">the </w:t>
      </w:r>
      <w:r>
        <w:rPr>
          <w:spacing w:val="-1"/>
        </w:rPr>
        <w:t>Customer.</w:t>
      </w:r>
    </w:p>
    <w:p w:rsidR="008918FA" w:rsidRDefault="008918FA" w:rsidP="008918FA">
      <w:pPr>
        <w:pStyle w:val="BodyText"/>
        <w:numPr>
          <w:ilvl w:val="2"/>
          <w:numId w:val="66"/>
        </w:numPr>
        <w:tabs>
          <w:tab w:val="left" w:pos="1887"/>
        </w:tabs>
        <w:ind w:left="1886" w:right="111"/>
        <w:jc w:val="both"/>
      </w:pPr>
      <w:r>
        <w:t>The</w:t>
      </w:r>
      <w:r>
        <w:rPr>
          <w:spacing w:val="48"/>
        </w:rPr>
        <w:t xml:space="preserve"> </w:t>
      </w:r>
      <w:r>
        <w:rPr>
          <w:spacing w:val="-2"/>
        </w:rPr>
        <w:t>Customer</w:t>
      </w:r>
      <w:r>
        <w:rPr>
          <w:spacing w:val="49"/>
        </w:rPr>
        <w:t xml:space="preserve"> </w:t>
      </w:r>
      <w:r>
        <w:rPr>
          <w:spacing w:val="-1"/>
        </w:rPr>
        <w:t>may,</w:t>
      </w:r>
      <w:r>
        <w:rPr>
          <w:spacing w:val="50"/>
        </w:rPr>
        <w:t xml:space="preserve"> </w:t>
      </w:r>
      <w:r>
        <w:rPr>
          <w:spacing w:val="-2"/>
        </w:rPr>
        <w:t>within</w:t>
      </w:r>
      <w:r>
        <w:rPr>
          <w:spacing w:val="48"/>
        </w:rPr>
        <w:t xml:space="preserve"> </w:t>
      </w:r>
      <w:r>
        <w:t>ten</w:t>
      </w:r>
      <w:r>
        <w:rPr>
          <w:spacing w:val="48"/>
        </w:rPr>
        <w:t xml:space="preserve"> </w:t>
      </w:r>
      <w:r>
        <w:rPr>
          <w:spacing w:val="-1"/>
        </w:rPr>
        <w:t>(10)</w:t>
      </w:r>
      <w:r>
        <w:rPr>
          <w:spacing w:val="42"/>
        </w:rPr>
        <w:t xml:space="preserve"> </w:t>
      </w:r>
      <w:r>
        <w:rPr>
          <w:spacing w:val="-1"/>
        </w:rPr>
        <w:t>Working</w:t>
      </w:r>
      <w:r>
        <w:rPr>
          <w:spacing w:val="52"/>
        </w:rPr>
        <w:t xml:space="preserve"> </w:t>
      </w:r>
      <w:r>
        <w:rPr>
          <w:spacing w:val="-2"/>
        </w:rPr>
        <w:t>Days</w:t>
      </w:r>
      <w:r>
        <w:rPr>
          <w:spacing w:val="49"/>
        </w:rPr>
        <w:t xml:space="preserve"> </w:t>
      </w:r>
      <w:r>
        <w:rPr>
          <w:spacing w:val="-1"/>
        </w:rPr>
        <w:t>of</w:t>
      </w:r>
      <w:r>
        <w:rPr>
          <w:spacing w:val="52"/>
        </w:rPr>
        <w:t xml:space="preserve"> </w:t>
      </w:r>
      <w:r>
        <w:rPr>
          <w:spacing w:val="-1"/>
        </w:rPr>
        <w:t>receipt</w:t>
      </w:r>
      <w:r>
        <w:rPr>
          <w:spacing w:val="50"/>
        </w:rPr>
        <w:t xml:space="preserve"> </w:t>
      </w:r>
      <w:r>
        <w:rPr>
          <w:spacing w:val="-2"/>
        </w:rPr>
        <w:t>of</w:t>
      </w:r>
      <w:r>
        <w:rPr>
          <w:spacing w:val="49"/>
        </w:rPr>
        <w:t xml:space="preserve"> </w:t>
      </w:r>
      <w:r>
        <w:t>the</w:t>
      </w:r>
      <w:r>
        <w:rPr>
          <w:spacing w:val="49"/>
        </w:rPr>
        <w:t xml:space="preserve"> </w:t>
      </w:r>
      <w:r>
        <w:rPr>
          <w:spacing w:val="-2"/>
        </w:rPr>
        <w:t>Supplier’s</w:t>
      </w:r>
      <w:r>
        <w:rPr>
          <w:spacing w:val="20"/>
        </w:rPr>
        <w:t xml:space="preserve"> </w:t>
      </w:r>
      <w:r>
        <w:rPr>
          <w:spacing w:val="-1"/>
        </w:rPr>
        <w:t>notice</w:t>
      </w:r>
      <w:r>
        <w:rPr>
          <w:spacing w:val="20"/>
        </w:rPr>
        <w:t xml:space="preserve"> </w:t>
      </w:r>
      <w:r>
        <w:rPr>
          <w:spacing w:val="-1"/>
        </w:rPr>
        <w:t>issued</w:t>
      </w:r>
      <w:r>
        <w:rPr>
          <w:spacing w:val="17"/>
        </w:rPr>
        <w:t xml:space="preserve"> </w:t>
      </w:r>
      <w:r>
        <w:rPr>
          <w:spacing w:val="-1"/>
        </w:rPr>
        <w:t>pursuant</w:t>
      </w:r>
      <w:r>
        <w:rPr>
          <w:spacing w:val="19"/>
        </w:rPr>
        <w:t xml:space="preserve"> </w:t>
      </w:r>
      <w:r>
        <w:t>to</w:t>
      </w:r>
      <w:r>
        <w:rPr>
          <w:spacing w:val="20"/>
        </w:rPr>
        <w:t xml:space="preserve"> </w:t>
      </w:r>
      <w:r>
        <w:rPr>
          <w:spacing w:val="-2"/>
        </w:rPr>
        <w:t>Clause</w:t>
      </w:r>
      <w:r>
        <w:rPr>
          <w:spacing w:val="22"/>
        </w:rPr>
        <w:t xml:space="preserve"> </w:t>
      </w:r>
      <w:hyperlink w:anchor="_bookmark146" w:history="1">
        <w:r>
          <w:rPr>
            <w:spacing w:val="-1"/>
          </w:rPr>
          <w:t>29.1.2</w:t>
        </w:r>
      </w:hyperlink>
      <w:r>
        <w:rPr>
          <w:spacing w:val="20"/>
        </w:rPr>
        <w:t xml:space="preserve"> </w:t>
      </w:r>
      <w:r>
        <w:rPr>
          <w:spacing w:val="-1"/>
        </w:rPr>
        <w:t>(or,</w:t>
      </w:r>
      <w:r>
        <w:rPr>
          <w:spacing w:val="19"/>
        </w:rPr>
        <w:t xml:space="preserve"> </w:t>
      </w:r>
      <w:r>
        <w:rPr>
          <w:spacing w:val="-2"/>
        </w:rPr>
        <w:t>if</w:t>
      </w:r>
      <w:r>
        <w:rPr>
          <w:spacing w:val="23"/>
        </w:rPr>
        <w:t xml:space="preserve"> </w:t>
      </w:r>
      <w:r>
        <w:rPr>
          <w:spacing w:val="-1"/>
        </w:rPr>
        <w:t>later,</w:t>
      </w:r>
      <w:r>
        <w:rPr>
          <w:spacing w:val="19"/>
        </w:rPr>
        <w:t xml:space="preserve"> </w:t>
      </w:r>
      <w:r>
        <w:rPr>
          <w:spacing w:val="-1"/>
        </w:rPr>
        <w:t>receipt</w:t>
      </w:r>
      <w:r>
        <w:rPr>
          <w:spacing w:val="50"/>
        </w:rPr>
        <w:t xml:space="preserve"> </w:t>
      </w:r>
      <w:r>
        <w:rPr>
          <w:spacing w:val="-2"/>
        </w:rPr>
        <w:t>of</w:t>
      </w:r>
      <w:r>
        <w:rPr>
          <w:spacing w:val="11"/>
        </w:rPr>
        <w:t xml:space="preserve"> </w:t>
      </w:r>
      <w:r>
        <w:rPr>
          <w:spacing w:val="-1"/>
        </w:rPr>
        <w:t>any</w:t>
      </w:r>
      <w:r>
        <w:rPr>
          <w:spacing w:val="5"/>
        </w:rPr>
        <w:t xml:space="preserve"> </w:t>
      </w:r>
      <w:r>
        <w:rPr>
          <w:spacing w:val="-1"/>
        </w:rPr>
        <w:t>further</w:t>
      </w:r>
      <w:r>
        <w:rPr>
          <w:spacing w:val="9"/>
        </w:rPr>
        <w:t xml:space="preserve"> </w:t>
      </w:r>
      <w:r>
        <w:rPr>
          <w:spacing w:val="-2"/>
        </w:rPr>
        <w:t>information</w:t>
      </w:r>
      <w:r>
        <w:rPr>
          <w:spacing w:val="7"/>
        </w:rPr>
        <w:t xml:space="preserve"> </w:t>
      </w:r>
      <w:r>
        <w:rPr>
          <w:spacing w:val="-1"/>
        </w:rPr>
        <w:t>requested</w:t>
      </w:r>
      <w:r>
        <w:rPr>
          <w:spacing w:val="7"/>
        </w:rPr>
        <w:t xml:space="preserve"> </w:t>
      </w:r>
      <w:r>
        <w:rPr>
          <w:spacing w:val="-2"/>
        </w:rPr>
        <w:t>pursuant</w:t>
      </w:r>
      <w:r>
        <w:rPr>
          <w:spacing w:val="9"/>
        </w:rPr>
        <w:t xml:space="preserve"> </w:t>
      </w:r>
      <w:r>
        <w:t>to</w:t>
      </w:r>
      <w:r>
        <w:rPr>
          <w:spacing w:val="5"/>
        </w:rPr>
        <w:t xml:space="preserve"> </w:t>
      </w:r>
      <w:r>
        <w:rPr>
          <w:spacing w:val="-2"/>
        </w:rPr>
        <w:t>Clause</w:t>
      </w:r>
      <w:r>
        <w:rPr>
          <w:spacing w:val="8"/>
        </w:rPr>
        <w:t xml:space="preserve"> </w:t>
      </w:r>
      <w:hyperlink w:anchor="_bookmark147" w:history="1">
        <w:r>
          <w:rPr>
            <w:spacing w:val="-1"/>
          </w:rPr>
          <w:t>29.1.3</w:t>
        </w:r>
      </w:hyperlink>
      <w:r>
        <w:rPr>
          <w:spacing w:val="-1"/>
        </w:rPr>
        <w:t>),</w:t>
      </w:r>
      <w:r>
        <w:rPr>
          <w:spacing w:val="9"/>
        </w:rPr>
        <w:t xml:space="preserve"> </w:t>
      </w:r>
      <w:r>
        <w:rPr>
          <w:spacing w:val="-1"/>
        </w:rPr>
        <w:t>object</w:t>
      </w:r>
      <w:r>
        <w:rPr>
          <w:spacing w:val="82"/>
        </w:rPr>
        <w:t xml:space="preserve"> </w:t>
      </w:r>
      <w:r>
        <w:t>to</w:t>
      </w:r>
      <w:r>
        <w:rPr>
          <w:spacing w:val="-2"/>
        </w:rPr>
        <w:t xml:space="preserve"> </w:t>
      </w:r>
      <w:r>
        <w:t xml:space="preserve">the </w:t>
      </w:r>
      <w:r>
        <w:rPr>
          <w:spacing w:val="-2"/>
        </w:rPr>
        <w:t>appointment</w:t>
      </w:r>
      <w:r>
        <w:rPr>
          <w:spacing w:val="2"/>
        </w:rPr>
        <w:t xml:space="preserve"> </w:t>
      </w:r>
      <w:r>
        <w:rPr>
          <w:spacing w:val="-2"/>
        </w:rPr>
        <w:t>of</w:t>
      </w:r>
      <w:r>
        <w:t xml:space="preserve"> the</w:t>
      </w:r>
      <w:r>
        <w:rPr>
          <w:spacing w:val="-2"/>
        </w:rPr>
        <w:t xml:space="preserve"> relevant</w:t>
      </w:r>
      <w:r>
        <w:rPr>
          <w:spacing w:val="2"/>
        </w:rPr>
        <w:t xml:space="preserve"> </w:t>
      </w:r>
      <w:r>
        <w:rPr>
          <w:spacing w:val="-1"/>
        </w:rPr>
        <w:t>Sub-Contractor they</w:t>
      </w:r>
      <w:r>
        <w:rPr>
          <w:spacing w:val="-2"/>
        </w:rPr>
        <w:t xml:space="preserve"> </w:t>
      </w:r>
      <w:r>
        <w:rPr>
          <w:spacing w:val="-1"/>
        </w:rPr>
        <w:t>consider that:</w:t>
      </w:r>
    </w:p>
    <w:p w:rsidR="008918FA" w:rsidRDefault="008918FA" w:rsidP="008918FA">
      <w:pPr>
        <w:pStyle w:val="BodyText"/>
        <w:numPr>
          <w:ilvl w:val="3"/>
          <w:numId w:val="66"/>
        </w:numPr>
        <w:tabs>
          <w:tab w:val="left" w:pos="2595"/>
        </w:tabs>
        <w:spacing w:before="121"/>
        <w:ind w:left="2594" w:right="112"/>
        <w:jc w:val="both"/>
      </w:pPr>
      <w:r>
        <w:t>the</w:t>
      </w:r>
      <w:r>
        <w:rPr>
          <w:spacing w:val="34"/>
        </w:rPr>
        <w:t xml:space="preserve"> </w:t>
      </w:r>
      <w:r>
        <w:rPr>
          <w:spacing w:val="-1"/>
        </w:rPr>
        <w:t>appointment</w:t>
      </w:r>
      <w:r>
        <w:rPr>
          <w:spacing w:val="35"/>
        </w:rPr>
        <w:t xml:space="preserve"> </w:t>
      </w:r>
      <w:r>
        <w:rPr>
          <w:spacing w:val="-2"/>
        </w:rPr>
        <w:t>of</w:t>
      </w:r>
      <w:r>
        <w:rPr>
          <w:spacing w:val="38"/>
        </w:rPr>
        <w:t xml:space="preserve"> </w:t>
      </w:r>
      <w:r>
        <w:t>a</w:t>
      </w:r>
      <w:r>
        <w:rPr>
          <w:spacing w:val="34"/>
        </w:rPr>
        <w:t xml:space="preserve"> </w:t>
      </w:r>
      <w:r>
        <w:rPr>
          <w:spacing w:val="-1"/>
        </w:rPr>
        <w:t>proposed</w:t>
      </w:r>
      <w:r>
        <w:rPr>
          <w:spacing w:val="34"/>
        </w:rPr>
        <w:t xml:space="preserve"> </w:t>
      </w:r>
      <w:r>
        <w:rPr>
          <w:spacing w:val="-1"/>
        </w:rPr>
        <w:t>Sub-Contractor</w:t>
      </w:r>
      <w:r>
        <w:rPr>
          <w:spacing w:val="33"/>
        </w:rPr>
        <w:t xml:space="preserve"> </w:t>
      </w:r>
      <w:r>
        <w:rPr>
          <w:spacing w:val="-1"/>
        </w:rPr>
        <w:t>may</w:t>
      </w:r>
      <w:r>
        <w:rPr>
          <w:spacing w:val="33"/>
        </w:rPr>
        <w:t xml:space="preserve"> </w:t>
      </w:r>
      <w:r>
        <w:rPr>
          <w:spacing w:val="-1"/>
        </w:rPr>
        <w:t>prejudice</w:t>
      </w:r>
      <w:r>
        <w:rPr>
          <w:spacing w:val="24"/>
        </w:rPr>
        <w:t xml:space="preserve"> </w:t>
      </w:r>
      <w:r>
        <w:t>the</w:t>
      </w:r>
      <w:r>
        <w:rPr>
          <w:spacing w:val="15"/>
        </w:rPr>
        <w:t xml:space="preserve"> </w:t>
      </w:r>
      <w:r>
        <w:rPr>
          <w:spacing w:val="-2"/>
        </w:rPr>
        <w:t>provision</w:t>
      </w:r>
      <w:r>
        <w:rPr>
          <w:spacing w:val="15"/>
        </w:rPr>
        <w:t xml:space="preserve"> </w:t>
      </w:r>
      <w:r>
        <w:rPr>
          <w:spacing w:val="-1"/>
        </w:rPr>
        <w:t>of</w:t>
      </w:r>
      <w:r>
        <w:rPr>
          <w:spacing w:val="19"/>
        </w:rPr>
        <w:t xml:space="preserve"> </w:t>
      </w:r>
      <w:r>
        <w:t>the</w:t>
      </w:r>
      <w:r>
        <w:rPr>
          <w:spacing w:val="13"/>
        </w:rPr>
        <w:t xml:space="preserve"> </w:t>
      </w:r>
      <w:r>
        <w:rPr>
          <w:spacing w:val="-1"/>
        </w:rPr>
        <w:t>Goods</w:t>
      </w:r>
      <w:r>
        <w:rPr>
          <w:spacing w:val="15"/>
        </w:rPr>
        <w:t xml:space="preserve"> </w:t>
      </w:r>
      <w:r>
        <w:rPr>
          <w:spacing w:val="-1"/>
        </w:rPr>
        <w:t>and/or</w:t>
      </w:r>
      <w:r>
        <w:rPr>
          <w:spacing w:val="16"/>
        </w:rPr>
        <w:t xml:space="preserve"> </w:t>
      </w:r>
      <w:r>
        <w:rPr>
          <w:spacing w:val="-1"/>
        </w:rPr>
        <w:t>Services</w:t>
      </w:r>
      <w:r>
        <w:rPr>
          <w:spacing w:val="15"/>
        </w:rPr>
        <w:t xml:space="preserve"> </w:t>
      </w:r>
      <w:r>
        <w:rPr>
          <w:spacing w:val="-1"/>
        </w:rPr>
        <w:t>or</w:t>
      </w:r>
      <w:r>
        <w:rPr>
          <w:spacing w:val="16"/>
        </w:rPr>
        <w:t xml:space="preserve"> </w:t>
      </w:r>
      <w:r>
        <w:rPr>
          <w:spacing w:val="-1"/>
        </w:rPr>
        <w:t>may</w:t>
      </w:r>
      <w:r>
        <w:rPr>
          <w:spacing w:val="13"/>
        </w:rPr>
        <w:t xml:space="preserve"> </w:t>
      </w:r>
      <w:r>
        <w:rPr>
          <w:spacing w:val="-1"/>
        </w:rPr>
        <w:t>be</w:t>
      </w:r>
      <w:r>
        <w:rPr>
          <w:spacing w:val="15"/>
        </w:rPr>
        <w:t xml:space="preserve"> </w:t>
      </w:r>
      <w:r>
        <w:rPr>
          <w:spacing w:val="-1"/>
        </w:rPr>
        <w:t>contrary</w:t>
      </w:r>
      <w:r>
        <w:rPr>
          <w:spacing w:val="43"/>
        </w:rPr>
        <w:t xml:space="preserve"> </w:t>
      </w:r>
      <w:r>
        <w:t>to</w:t>
      </w:r>
      <w:r>
        <w:rPr>
          <w:spacing w:val="10"/>
        </w:rPr>
        <w:t xml:space="preserve"> </w:t>
      </w:r>
      <w:r>
        <w:t>the</w:t>
      </w:r>
      <w:r>
        <w:rPr>
          <w:spacing w:val="7"/>
        </w:rPr>
        <w:t xml:space="preserve"> </w:t>
      </w:r>
      <w:r>
        <w:rPr>
          <w:spacing w:val="-1"/>
        </w:rPr>
        <w:t>interests</w:t>
      </w:r>
      <w:r>
        <w:rPr>
          <w:spacing w:val="8"/>
        </w:rPr>
        <w:t xml:space="preserve"> </w:t>
      </w:r>
      <w:r>
        <w:rPr>
          <w:spacing w:val="-2"/>
        </w:rPr>
        <w:t>respectively</w:t>
      </w:r>
      <w:r>
        <w:rPr>
          <w:spacing w:val="8"/>
        </w:rPr>
        <w:t xml:space="preserve"> </w:t>
      </w:r>
      <w:r>
        <w:rPr>
          <w:spacing w:val="-1"/>
        </w:rPr>
        <w:t>of</w:t>
      </w:r>
      <w:r>
        <w:rPr>
          <w:spacing w:val="11"/>
        </w:rPr>
        <w:t xml:space="preserve"> </w:t>
      </w:r>
      <w:r>
        <w:t>the</w:t>
      </w:r>
      <w:r>
        <w:rPr>
          <w:spacing w:val="10"/>
        </w:rPr>
        <w:t xml:space="preserve"> </w:t>
      </w:r>
      <w:r>
        <w:rPr>
          <w:spacing w:val="-2"/>
        </w:rPr>
        <w:t>Customer</w:t>
      </w:r>
      <w:r>
        <w:rPr>
          <w:spacing w:val="11"/>
        </w:rPr>
        <w:t xml:space="preserve"> </w:t>
      </w:r>
      <w:r>
        <w:rPr>
          <w:spacing w:val="-2"/>
        </w:rPr>
        <w:t>under</w:t>
      </w:r>
      <w:r>
        <w:rPr>
          <w:spacing w:val="11"/>
        </w:rPr>
        <w:t xml:space="preserve"> </w:t>
      </w:r>
      <w:r>
        <w:rPr>
          <w:spacing w:val="-1"/>
        </w:rPr>
        <w:t>this</w:t>
      </w:r>
      <w:r>
        <w:rPr>
          <w:spacing w:val="10"/>
        </w:rPr>
        <w:t xml:space="preserve"> </w:t>
      </w:r>
      <w:r>
        <w:rPr>
          <w:spacing w:val="-2"/>
        </w:rPr>
        <w:t>Call</w:t>
      </w:r>
      <w:r>
        <w:rPr>
          <w:spacing w:val="7"/>
        </w:rPr>
        <w:t xml:space="preserve"> </w:t>
      </w:r>
      <w:r>
        <w:rPr>
          <w:spacing w:val="-1"/>
        </w:rPr>
        <w:t>Off</w:t>
      </w:r>
      <w:r>
        <w:rPr>
          <w:spacing w:val="69"/>
        </w:rPr>
        <w:t xml:space="preserve"> </w:t>
      </w:r>
      <w:r>
        <w:rPr>
          <w:spacing w:val="-1"/>
        </w:rPr>
        <w:t>Contract;</w:t>
      </w:r>
    </w:p>
    <w:p w:rsidR="008918FA" w:rsidRDefault="008918FA" w:rsidP="008918FA">
      <w:pPr>
        <w:pStyle w:val="BodyText"/>
        <w:numPr>
          <w:ilvl w:val="3"/>
          <w:numId w:val="66"/>
        </w:numPr>
        <w:tabs>
          <w:tab w:val="left" w:pos="2594"/>
        </w:tabs>
        <w:ind w:left="2593" w:right="115" w:hanging="707"/>
        <w:jc w:val="both"/>
      </w:pPr>
      <w:r>
        <w:t>the</w:t>
      </w:r>
      <w:r>
        <w:rPr>
          <w:spacing w:val="35"/>
        </w:rPr>
        <w:t xml:space="preserve"> </w:t>
      </w:r>
      <w:r>
        <w:rPr>
          <w:spacing w:val="-1"/>
        </w:rPr>
        <w:t>proposed</w:t>
      </w:r>
      <w:r>
        <w:rPr>
          <w:spacing w:val="35"/>
        </w:rPr>
        <w:t xml:space="preserve"> </w:t>
      </w:r>
      <w:r>
        <w:rPr>
          <w:spacing w:val="-1"/>
        </w:rPr>
        <w:t>Sub-Contractor</w:t>
      </w:r>
      <w:r>
        <w:rPr>
          <w:spacing w:val="34"/>
        </w:rPr>
        <w:t xml:space="preserve"> </w:t>
      </w:r>
      <w:r>
        <w:rPr>
          <w:spacing w:val="-1"/>
        </w:rPr>
        <w:t>is</w:t>
      </w:r>
      <w:r>
        <w:rPr>
          <w:spacing w:val="35"/>
        </w:rPr>
        <w:t xml:space="preserve"> </w:t>
      </w:r>
      <w:r>
        <w:rPr>
          <w:spacing w:val="-2"/>
        </w:rPr>
        <w:t>unreliable</w:t>
      </w:r>
      <w:r>
        <w:rPr>
          <w:spacing w:val="35"/>
        </w:rPr>
        <w:t xml:space="preserve"> </w:t>
      </w:r>
      <w:r>
        <w:rPr>
          <w:spacing w:val="-1"/>
        </w:rPr>
        <w:t>and/or</w:t>
      </w:r>
      <w:r>
        <w:rPr>
          <w:spacing w:val="36"/>
        </w:rPr>
        <w:t xml:space="preserve"> </w:t>
      </w:r>
      <w:r>
        <w:rPr>
          <w:spacing w:val="-2"/>
        </w:rPr>
        <w:t>has</w:t>
      </w:r>
      <w:r>
        <w:rPr>
          <w:spacing w:val="36"/>
        </w:rPr>
        <w:t xml:space="preserve"> </w:t>
      </w:r>
      <w:r>
        <w:rPr>
          <w:spacing w:val="-1"/>
        </w:rPr>
        <w:t>not</w:t>
      </w:r>
      <w:r>
        <w:rPr>
          <w:spacing w:val="32"/>
        </w:rPr>
        <w:t xml:space="preserve"> </w:t>
      </w:r>
      <w:r>
        <w:rPr>
          <w:spacing w:val="-2"/>
        </w:rPr>
        <w:t>provided</w:t>
      </w:r>
      <w:r>
        <w:t xml:space="preserve"> </w:t>
      </w:r>
      <w:r>
        <w:rPr>
          <w:spacing w:val="-1"/>
        </w:rPr>
        <w:t>reasonable</w:t>
      </w:r>
      <w:r>
        <w:t xml:space="preserve"> </w:t>
      </w:r>
      <w:r>
        <w:rPr>
          <w:spacing w:val="-2"/>
        </w:rPr>
        <w:t>services</w:t>
      </w:r>
      <w:r>
        <w:rPr>
          <w:spacing w:val="1"/>
        </w:rPr>
        <w:t xml:space="preserve"> </w:t>
      </w:r>
      <w:r>
        <w:t xml:space="preserve">to </w:t>
      </w:r>
      <w:r>
        <w:rPr>
          <w:spacing w:val="-1"/>
        </w:rPr>
        <w:t>its</w:t>
      </w:r>
      <w:r>
        <w:rPr>
          <w:spacing w:val="-2"/>
        </w:rPr>
        <w:t xml:space="preserve"> </w:t>
      </w:r>
      <w:r>
        <w:rPr>
          <w:spacing w:val="-1"/>
        </w:rPr>
        <w:t>other</w:t>
      </w:r>
      <w:r>
        <w:rPr>
          <w:spacing w:val="2"/>
        </w:rPr>
        <w:t xml:space="preserve"> </w:t>
      </w:r>
      <w:r>
        <w:rPr>
          <w:spacing w:val="-2"/>
        </w:rPr>
        <w:t>customers;</w:t>
      </w:r>
      <w:r>
        <w:t xml:space="preserve"> </w:t>
      </w:r>
      <w:r>
        <w:rPr>
          <w:spacing w:val="-1"/>
        </w:rPr>
        <w:t>and/or</w:t>
      </w:r>
    </w:p>
    <w:p w:rsidR="008918FA" w:rsidRDefault="008918FA" w:rsidP="008918FA">
      <w:pPr>
        <w:pStyle w:val="BodyText"/>
        <w:numPr>
          <w:ilvl w:val="3"/>
          <w:numId w:val="66"/>
        </w:numPr>
        <w:tabs>
          <w:tab w:val="left" w:pos="2594"/>
        </w:tabs>
        <w:ind w:left="2593"/>
      </w:pPr>
      <w:r>
        <w:t xml:space="preserve">the </w:t>
      </w:r>
      <w:r>
        <w:rPr>
          <w:spacing w:val="-1"/>
        </w:rPr>
        <w:t>proposed</w:t>
      </w:r>
      <w:r>
        <w:t xml:space="preserve"> </w:t>
      </w:r>
      <w:r>
        <w:rPr>
          <w:spacing w:val="-2"/>
        </w:rPr>
        <w:t>Sub-Contractor</w:t>
      </w:r>
      <w:r>
        <w:rPr>
          <w:spacing w:val="-3"/>
        </w:rPr>
        <w:t xml:space="preserve"> </w:t>
      </w:r>
      <w:r>
        <w:rPr>
          <w:spacing w:val="-4"/>
        </w:rPr>
        <w:t>employs unfit</w:t>
      </w:r>
      <w:r>
        <w:rPr>
          <w:spacing w:val="-5"/>
        </w:rPr>
        <w:t xml:space="preserve"> </w:t>
      </w:r>
      <w:r>
        <w:rPr>
          <w:spacing w:val="-4"/>
        </w:rPr>
        <w:t>persons,</w:t>
      </w:r>
    </w:p>
    <w:p w:rsidR="008918FA" w:rsidRDefault="008918FA" w:rsidP="008918FA">
      <w:pPr>
        <w:pStyle w:val="BodyText"/>
        <w:spacing w:before="121"/>
        <w:ind w:left="1885" w:right="118" w:firstLine="0"/>
      </w:pPr>
      <w:r>
        <w:rPr>
          <w:spacing w:val="-1"/>
        </w:rPr>
        <w:t>in</w:t>
      </w:r>
      <w:r>
        <w:t xml:space="preserve"> </w:t>
      </w:r>
      <w:r>
        <w:rPr>
          <w:spacing w:val="16"/>
        </w:rPr>
        <w:t xml:space="preserve"> </w:t>
      </w:r>
      <w:r>
        <w:rPr>
          <w:spacing w:val="-1"/>
        </w:rPr>
        <w:t>which</w:t>
      </w:r>
      <w:r>
        <w:t xml:space="preserve"> </w:t>
      </w:r>
      <w:r>
        <w:rPr>
          <w:spacing w:val="16"/>
        </w:rPr>
        <w:t xml:space="preserve"> </w:t>
      </w:r>
      <w:r>
        <w:rPr>
          <w:spacing w:val="-1"/>
        </w:rPr>
        <w:t>case,</w:t>
      </w:r>
      <w:r>
        <w:t xml:space="preserve"> </w:t>
      </w:r>
      <w:r>
        <w:rPr>
          <w:spacing w:val="15"/>
        </w:rPr>
        <w:t xml:space="preserve"> </w:t>
      </w:r>
      <w:r>
        <w:t xml:space="preserve">the </w:t>
      </w:r>
      <w:r>
        <w:rPr>
          <w:spacing w:val="16"/>
        </w:rPr>
        <w:t xml:space="preserve"> </w:t>
      </w:r>
      <w:r>
        <w:rPr>
          <w:spacing w:val="-2"/>
        </w:rPr>
        <w:t>Supplier</w:t>
      </w:r>
      <w:r>
        <w:t xml:space="preserve"> </w:t>
      </w:r>
      <w:r>
        <w:rPr>
          <w:spacing w:val="17"/>
        </w:rPr>
        <w:t xml:space="preserve"> </w:t>
      </w:r>
      <w:r>
        <w:rPr>
          <w:spacing w:val="-1"/>
        </w:rPr>
        <w:t>shall</w:t>
      </w:r>
      <w:r>
        <w:t xml:space="preserve"> </w:t>
      </w:r>
      <w:r>
        <w:rPr>
          <w:spacing w:val="15"/>
        </w:rPr>
        <w:t xml:space="preserve"> </w:t>
      </w:r>
      <w:r>
        <w:rPr>
          <w:spacing w:val="-1"/>
        </w:rPr>
        <w:t>not</w:t>
      </w:r>
      <w:r>
        <w:t xml:space="preserve"> </w:t>
      </w:r>
      <w:r>
        <w:rPr>
          <w:spacing w:val="17"/>
        </w:rPr>
        <w:t xml:space="preserve"> </w:t>
      </w:r>
      <w:r>
        <w:rPr>
          <w:spacing w:val="-2"/>
        </w:rPr>
        <w:t>proceed</w:t>
      </w:r>
      <w:r>
        <w:t xml:space="preserve"> </w:t>
      </w:r>
      <w:r>
        <w:rPr>
          <w:spacing w:val="16"/>
        </w:rPr>
        <w:t xml:space="preserve"> </w:t>
      </w:r>
      <w:r>
        <w:rPr>
          <w:spacing w:val="-2"/>
        </w:rPr>
        <w:t>with</w:t>
      </w:r>
      <w:r>
        <w:t xml:space="preserve"> </w:t>
      </w:r>
      <w:r>
        <w:rPr>
          <w:spacing w:val="16"/>
        </w:rPr>
        <w:t xml:space="preserve"> </w:t>
      </w:r>
      <w:r>
        <w:t xml:space="preserve">the </w:t>
      </w:r>
      <w:r>
        <w:rPr>
          <w:spacing w:val="16"/>
        </w:rPr>
        <w:t xml:space="preserve"> </w:t>
      </w:r>
      <w:r>
        <w:rPr>
          <w:spacing w:val="-1"/>
        </w:rPr>
        <w:t>proposed</w:t>
      </w:r>
      <w:r>
        <w:rPr>
          <w:spacing w:val="45"/>
        </w:rPr>
        <w:t xml:space="preserve"> </w:t>
      </w:r>
      <w:r>
        <w:rPr>
          <w:spacing w:val="-1"/>
        </w:rPr>
        <w:t>appointment.</w:t>
      </w:r>
    </w:p>
    <w:p w:rsidR="008918FA" w:rsidRDefault="008918FA" w:rsidP="008918FA">
      <w:pPr>
        <w:pStyle w:val="BodyText"/>
        <w:numPr>
          <w:ilvl w:val="2"/>
          <w:numId w:val="66"/>
        </w:numPr>
        <w:tabs>
          <w:tab w:val="left" w:pos="1886"/>
        </w:tabs>
        <w:ind w:left="1885" w:hanging="993"/>
      </w:pPr>
      <w:r>
        <w:rPr>
          <w:spacing w:val="-1"/>
        </w:rPr>
        <w:t>If:</w:t>
      </w:r>
    </w:p>
    <w:p w:rsidR="008918FA" w:rsidRDefault="008918FA" w:rsidP="008918FA">
      <w:pPr>
        <w:pStyle w:val="BodyText"/>
        <w:numPr>
          <w:ilvl w:val="3"/>
          <w:numId w:val="66"/>
        </w:numPr>
        <w:tabs>
          <w:tab w:val="left" w:pos="2594"/>
        </w:tabs>
        <w:spacing w:before="121"/>
        <w:ind w:left="2593" w:right="114"/>
        <w:jc w:val="both"/>
      </w:pPr>
      <w:r>
        <w:t>the</w:t>
      </w:r>
      <w:r>
        <w:rPr>
          <w:spacing w:val="12"/>
        </w:rPr>
        <w:t xml:space="preserve"> </w:t>
      </w:r>
      <w:r>
        <w:rPr>
          <w:spacing w:val="-2"/>
        </w:rPr>
        <w:t>Customer</w:t>
      </w:r>
      <w:r>
        <w:rPr>
          <w:spacing w:val="14"/>
        </w:rPr>
        <w:t xml:space="preserve"> </w:t>
      </w:r>
      <w:r>
        <w:rPr>
          <w:spacing w:val="-1"/>
        </w:rPr>
        <w:t>has</w:t>
      </w:r>
      <w:r>
        <w:rPr>
          <w:spacing w:val="13"/>
        </w:rPr>
        <w:t xml:space="preserve"> </w:t>
      </w:r>
      <w:r>
        <w:rPr>
          <w:spacing w:val="-2"/>
        </w:rPr>
        <w:t>not</w:t>
      </w:r>
      <w:r>
        <w:rPr>
          <w:spacing w:val="14"/>
        </w:rPr>
        <w:t xml:space="preserve"> </w:t>
      </w:r>
      <w:r>
        <w:rPr>
          <w:spacing w:val="-1"/>
        </w:rPr>
        <w:t>notified</w:t>
      </w:r>
      <w:r>
        <w:rPr>
          <w:spacing w:val="12"/>
        </w:rPr>
        <w:t xml:space="preserve"> </w:t>
      </w:r>
      <w:r>
        <w:t>the</w:t>
      </w:r>
      <w:r>
        <w:rPr>
          <w:spacing w:val="10"/>
        </w:rPr>
        <w:t xml:space="preserve"> </w:t>
      </w:r>
      <w:r>
        <w:rPr>
          <w:spacing w:val="-2"/>
        </w:rPr>
        <w:t>Supplier</w:t>
      </w:r>
      <w:r>
        <w:rPr>
          <w:spacing w:val="14"/>
        </w:rPr>
        <w:t xml:space="preserve"> </w:t>
      </w:r>
      <w:r>
        <w:rPr>
          <w:spacing w:val="-1"/>
        </w:rPr>
        <w:t>that</w:t>
      </w:r>
      <w:r>
        <w:rPr>
          <w:spacing w:val="14"/>
        </w:rPr>
        <w:t xml:space="preserve"> </w:t>
      </w:r>
      <w:r>
        <w:rPr>
          <w:spacing w:val="-2"/>
        </w:rPr>
        <w:t>it</w:t>
      </w:r>
      <w:r>
        <w:rPr>
          <w:spacing w:val="14"/>
        </w:rPr>
        <w:t xml:space="preserve"> </w:t>
      </w:r>
      <w:r>
        <w:rPr>
          <w:spacing w:val="-1"/>
        </w:rPr>
        <w:t>objects</w:t>
      </w:r>
      <w:r>
        <w:rPr>
          <w:spacing w:val="10"/>
        </w:rPr>
        <w:t xml:space="preserve"> </w:t>
      </w:r>
      <w:r>
        <w:t>to</w:t>
      </w:r>
      <w:r>
        <w:rPr>
          <w:spacing w:val="10"/>
        </w:rPr>
        <w:t xml:space="preserve"> </w:t>
      </w:r>
      <w:r>
        <w:rPr>
          <w:spacing w:val="-1"/>
        </w:rPr>
        <w:t>the</w:t>
      </w:r>
      <w:r>
        <w:rPr>
          <w:spacing w:val="50"/>
        </w:rPr>
        <w:t xml:space="preserve"> </w:t>
      </w:r>
      <w:r>
        <w:rPr>
          <w:spacing w:val="-1"/>
        </w:rPr>
        <w:t>proposed</w:t>
      </w:r>
      <w:r>
        <w:rPr>
          <w:spacing w:val="12"/>
        </w:rPr>
        <w:t xml:space="preserve"> </w:t>
      </w:r>
      <w:r>
        <w:rPr>
          <w:spacing w:val="-1"/>
        </w:rPr>
        <w:t>Sub-Contractor’s</w:t>
      </w:r>
      <w:r>
        <w:rPr>
          <w:spacing w:val="13"/>
        </w:rPr>
        <w:t xml:space="preserve"> </w:t>
      </w:r>
      <w:r>
        <w:rPr>
          <w:spacing w:val="-1"/>
        </w:rPr>
        <w:t>appointment</w:t>
      </w:r>
      <w:r>
        <w:rPr>
          <w:spacing w:val="14"/>
        </w:rPr>
        <w:t xml:space="preserve"> </w:t>
      </w:r>
      <w:r>
        <w:rPr>
          <w:spacing w:val="-1"/>
        </w:rPr>
        <w:t>by</w:t>
      </w:r>
      <w:r>
        <w:rPr>
          <w:spacing w:val="10"/>
        </w:rPr>
        <w:t xml:space="preserve"> </w:t>
      </w:r>
      <w:r>
        <w:t>the</w:t>
      </w:r>
      <w:r>
        <w:rPr>
          <w:spacing w:val="10"/>
        </w:rPr>
        <w:t xml:space="preserve"> </w:t>
      </w:r>
      <w:r>
        <w:rPr>
          <w:spacing w:val="-1"/>
        </w:rPr>
        <w:t>later</w:t>
      </w:r>
      <w:r>
        <w:rPr>
          <w:spacing w:val="14"/>
        </w:rPr>
        <w:t xml:space="preserve"> </w:t>
      </w:r>
      <w:r>
        <w:rPr>
          <w:spacing w:val="-2"/>
        </w:rPr>
        <w:t>of</w:t>
      </w:r>
      <w:r>
        <w:rPr>
          <w:spacing w:val="11"/>
        </w:rPr>
        <w:t xml:space="preserve"> </w:t>
      </w:r>
      <w:r>
        <w:t>ten</w:t>
      </w:r>
      <w:r>
        <w:rPr>
          <w:spacing w:val="12"/>
        </w:rPr>
        <w:t xml:space="preserve"> </w:t>
      </w:r>
      <w:r>
        <w:rPr>
          <w:spacing w:val="-2"/>
        </w:rPr>
        <w:t>(10)</w:t>
      </w:r>
      <w:r>
        <w:rPr>
          <w:spacing w:val="24"/>
        </w:rPr>
        <w:t xml:space="preserve"> </w:t>
      </w:r>
      <w:r>
        <w:rPr>
          <w:spacing w:val="-1"/>
        </w:rPr>
        <w:t>Working</w:t>
      </w:r>
      <w:r>
        <w:rPr>
          <w:spacing w:val="3"/>
        </w:rPr>
        <w:t xml:space="preserve"> </w:t>
      </w:r>
      <w:r>
        <w:rPr>
          <w:spacing w:val="-2"/>
        </w:rPr>
        <w:t>Days</w:t>
      </w:r>
      <w:r>
        <w:rPr>
          <w:spacing w:val="1"/>
        </w:rPr>
        <w:t xml:space="preserve"> </w:t>
      </w:r>
      <w:r>
        <w:rPr>
          <w:spacing w:val="-2"/>
        </w:rPr>
        <w:t>of</w:t>
      </w:r>
      <w:r>
        <w:t xml:space="preserve"> </w:t>
      </w:r>
      <w:r>
        <w:rPr>
          <w:spacing w:val="-1"/>
        </w:rPr>
        <w:t>receipt</w:t>
      </w:r>
      <w:r>
        <w:t xml:space="preserve"> of:</w:t>
      </w:r>
    </w:p>
    <w:p w:rsidR="008918FA" w:rsidRDefault="008918FA" w:rsidP="008918FA">
      <w:pPr>
        <w:pStyle w:val="BodyText"/>
        <w:numPr>
          <w:ilvl w:val="4"/>
          <w:numId w:val="66"/>
        </w:numPr>
        <w:tabs>
          <w:tab w:val="left" w:pos="3163"/>
        </w:tabs>
        <w:ind w:left="3162" w:right="118"/>
      </w:pPr>
      <w:r>
        <w:t>the</w:t>
      </w:r>
      <w:r>
        <w:rPr>
          <w:spacing w:val="46"/>
        </w:rPr>
        <w:t xml:space="preserve"> </w:t>
      </w:r>
      <w:r>
        <w:rPr>
          <w:spacing w:val="-2"/>
        </w:rPr>
        <w:t>Supplier’s</w:t>
      </w:r>
      <w:r>
        <w:rPr>
          <w:spacing w:val="46"/>
        </w:rPr>
        <w:t xml:space="preserve"> </w:t>
      </w:r>
      <w:r>
        <w:rPr>
          <w:spacing w:val="-1"/>
        </w:rPr>
        <w:t>notice</w:t>
      </w:r>
      <w:r>
        <w:rPr>
          <w:spacing w:val="46"/>
        </w:rPr>
        <w:t xml:space="preserve"> </w:t>
      </w:r>
      <w:r>
        <w:rPr>
          <w:spacing w:val="-1"/>
        </w:rPr>
        <w:t>issued</w:t>
      </w:r>
      <w:r>
        <w:rPr>
          <w:spacing w:val="46"/>
        </w:rPr>
        <w:t xml:space="preserve"> </w:t>
      </w:r>
      <w:r>
        <w:rPr>
          <w:spacing w:val="-1"/>
        </w:rPr>
        <w:t>pursuant</w:t>
      </w:r>
      <w:r>
        <w:rPr>
          <w:spacing w:val="45"/>
        </w:rPr>
        <w:t xml:space="preserve"> </w:t>
      </w:r>
      <w:r>
        <w:t>to</w:t>
      </w:r>
      <w:r>
        <w:rPr>
          <w:spacing w:val="46"/>
        </w:rPr>
        <w:t xml:space="preserve"> </w:t>
      </w:r>
      <w:r>
        <w:rPr>
          <w:spacing w:val="-2"/>
        </w:rPr>
        <w:t>Clause</w:t>
      </w:r>
      <w:r>
        <w:rPr>
          <w:spacing w:val="49"/>
        </w:rPr>
        <w:t xml:space="preserve"> </w:t>
      </w:r>
      <w:hyperlink w:anchor="_bookmark146" w:history="1">
        <w:r>
          <w:rPr>
            <w:spacing w:val="-1"/>
          </w:rPr>
          <w:t>29.1.2</w:t>
        </w:r>
      </w:hyperlink>
      <w:r>
        <w:rPr>
          <w:spacing w:val="-1"/>
        </w:rPr>
        <w:t>;</w:t>
      </w:r>
      <w:r>
        <w:rPr>
          <w:spacing w:val="43"/>
        </w:rPr>
        <w:t xml:space="preserve"> </w:t>
      </w:r>
      <w:r>
        <w:rPr>
          <w:spacing w:val="-1"/>
        </w:rPr>
        <w:t>and</w:t>
      </w:r>
    </w:p>
    <w:p w:rsidR="008918FA" w:rsidRDefault="008918FA" w:rsidP="008918FA">
      <w:pPr>
        <w:pStyle w:val="BodyText"/>
        <w:numPr>
          <w:ilvl w:val="4"/>
          <w:numId w:val="66"/>
        </w:numPr>
        <w:tabs>
          <w:tab w:val="left" w:pos="3163"/>
        </w:tabs>
        <w:spacing w:before="121"/>
        <w:ind w:left="3162" w:right="115"/>
      </w:pPr>
      <w:r>
        <w:rPr>
          <w:spacing w:val="-1"/>
        </w:rPr>
        <w:t>any</w:t>
      </w:r>
      <w:r>
        <w:t xml:space="preserve"> </w:t>
      </w:r>
      <w:r>
        <w:rPr>
          <w:spacing w:val="57"/>
        </w:rPr>
        <w:t xml:space="preserve"> </w:t>
      </w:r>
      <w:r>
        <w:rPr>
          <w:spacing w:val="-1"/>
        </w:rPr>
        <w:t>further</w:t>
      </w:r>
      <w:r>
        <w:t xml:space="preserve"> </w:t>
      </w:r>
      <w:r>
        <w:rPr>
          <w:spacing w:val="60"/>
        </w:rPr>
        <w:t xml:space="preserve"> </w:t>
      </w:r>
      <w:r>
        <w:rPr>
          <w:spacing w:val="-1"/>
        </w:rPr>
        <w:t>information</w:t>
      </w:r>
      <w:r>
        <w:t xml:space="preserve"> </w:t>
      </w:r>
      <w:r>
        <w:rPr>
          <w:spacing w:val="57"/>
        </w:rPr>
        <w:t xml:space="preserve"> </w:t>
      </w:r>
      <w:r>
        <w:rPr>
          <w:spacing w:val="-1"/>
        </w:rPr>
        <w:t>requested</w:t>
      </w:r>
      <w:r>
        <w:t xml:space="preserve"> </w:t>
      </w:r>
      <w:r>
        <w:rPr>
          <w:spacing w:val="59"/>
        </w:rPr>
        <w:t xml:space="preserve"> </w:t>
      </w:r>
      <w:r>
        <w:rPr>
          <w:spacing w:val="-1"/>
        </w:rPr>
        <w:t>by</w:t>
      </w:r>
      <w:r>
        <w:t xml:space="preserve"> </w:t>
      </w:r>
      <w:r>
        <w:rPr>
          <w:spacing w:val="57"/>
        </w:rPr>
        <w:t xml:space="preserve"> </w:t>
      </w:r>
      <w:r>
        <w:t xml:space="preserve">the </w:t>
      </w:r>
      <w:r>
        <w:rPr>
          <w:spacing w:val="59"/>
        </w:rPr>
        <w:t xml:space="preserve"> </w:t>
      </w:r>
      <w:r>
        <w:rPr>
          <w:spacing w:val="-1"/>
        </w:rPr>
        <w:t>Customer</w:t>
      </w:r>
      <w:r>
        <w:rPr>
          <w:spacing w:val="35"/>
        </w:rPr>
        <w:t xml:space="preserve"> </w:t>
      </w:r>
      <w:r>
        <w:rPr>
          <w:spacing w:val="-1"/>
        </w:rPr>
        <w:t>pursuant</w:t>
      </w:r>
      <w:r>
        <w:t xml:space="preserve"> to</w:t>
      </w:r>
      <w:r>
        <w:rPr>
          <w:spacing w:val="-2"/>
        </w:rPr>
        <w:t xml:space="preserve"> Clause</w:t>
      </w:r>
      <w:r>
        <w:rPr>
          <w:spacing w:val="2"/>
        </w:rPr>
        <w:t xml:space="preserve"> </w:t>
      </w:r>
      <w:hyperlink w:anchor="_bookmark147" w:history="1">
        <w:r>
          <w:rPr>
            <w:spacing w:val="-1"/>
          </w:rPr>
          <w:t>29.1.3</w:t>
        </w:r>
      </w:hyperlink>
      <w:r>
        <w:rPr>
          <w:spacing w:val="-1"/>
        </w:rPr>
        <w:t>;</w:t>
      </w:r>
      <w:r>
        <w:rPr>
          <w:spacing w:val="2"/>
        </w:rPr>
        <w:t xml:space="preserve"> </w:t>
      </w:r>
      <w:r>
        <w:rPr>
          <w:spacing w:val="-1"/>
        </w:rPr>
        <w:t>and</w:t>
      </w:r>
    </w:p>
    <w:p w:rsidR="008918FA" w:rsidRDefault="008918FA" w:rsidP="008918FA">
      <w:pPr>
        <w:pStyle w:val="BodyText"/>
        <w:numPr>
          <w:ilvl w:val="3"/>
          <w:numId w:val="66"/>
        </w:numPr>
        <w:tabs>
          <w:tab w:val="left" w:pos="2595"/>
        </w:tabs>
        <w:spacing w:before="121"/>
        <w:ind w:left="2594" w:right="112"/>
        <w:jc w:val="both"/>
      </w:pPr>
      <w:r>
        <w:t>the</w:t>
      </w:r>
      <w:r>
        <w:rPr>
          <w:spacing w:val="46"/>
        </w:rPr>
        <w:t xml:space="preserve"> </w:t>
      </w:r>
      <w:r>
        <w:rPr>
          <w:spacing w:val="-1"/>
        </w:rPr>
        <w:t>proposed</w:t>
      </w:r>
      <w:r>
        <w:rPr>
          <w:spacing w:val="46"/>
        </w:rPr>
        <w:t xml:space="preserve"> </w:t>
      </w:r>
      <w:r>
        <w:rPr>
          <w:spacing w:val="-1"/>
        </w:rPr>
        <w:t>Sub-Contract</w:t>
      </w:r>
      <w:r>
        <w:rPr>
          <w:spacing w:val="48"/>
        </w:rPr>
        <w:t xml:space="preserve"> </w:t>
      </w:r>
      <w:r>
        <w:rPr>
          <w:spacing w:val="-1"/>
        </w:rPr>
        <w:t>is</w:t>
      </w:r>
      <w:r>
        <w:rPr>
          <w:spacing w:val="46"/>
        </w:rPr>
        <w:t xml:space="preserve"> </w:t>
      </w:r>
      <w:r>
        <w:rPr>
          <w:spacing w:val="-1"/>
        </w:rPr>
        <w:t>not</w:t>
      </w:r>
      <w:r>
        <w:rPr>
          <w:spacing w:val="47"/>
        </w:rPr>
        <w:t xml:space="preserve"> </w:t>
      </w:r>
      <w:r>
        <w:t>a</w:t>
      </w:r>
      <w:r>
        <w:rPr>
          <w:spacing w:val="46"/>
        </w:rPr>
        <w:t xml:space="preserve"> </w:t>
      </w:r>
      <w:r>
        <w:rPr>
          <w:spacing w:val="-1"/>
        </w:rPr>
        <w:t>Key</w:t>
      </w:r>
      <w:r>
        <w:rPr>
          <w:spacing w:val="47"/>
        </w:rPr>
        <w:t xml:space="preserve"> </w:t>
      </w:r>
      <w:r>
        <w:rPr>
          <w:spacing w:val="-1"/>
        </w:rPr>
        <w:t>Sub-Contract</w:t>
      </w:r>
      <w:r>
        <w:rPr>
          <w:spacing w:val="47"/>
        </w:rPr>
        <w:t xml:space="preserve"> </w:t>
      </w:r>
      <w:r>
        <w:rPr>
          <w:spacing w:val="-2"/>
        </w:rPr>
        <w:t>which</w:t>
      </w:r>
      <w:r>
        <w:rPr>
          <w:spacing w:val="24"/>
        </w:rPr>
        <w:t xml:space="preserve"> </w:t>
      </w:r>
      <w:r>
        <w:rPr>
          <w:spacing w:val="-1"/>
        </w:rPr>
        <w:t>shall</w:t>
      </w:r>
      <w:r>
        <w:rPr>
          <w:spacing w:val="22"/>
        </w:rPr>
        <w:t xml:space="preserve"> </w:t>
      </w:r>
      <w:r>
        <w:rPr>
          <w:spacing w:val="-1"/>
        </w:rPr>
        <w:t>require</w:t>
      </w:r>
      <w:r>
        <w:rPr>
          <w:spacing w:val="23"/>
        </w:rPr>
        <w:t xml:space="preserve"> </w:t>
      </w:r>
      <w:r>
        <w:t>the</w:t>
      </w:r>
      <w:r>
        <w:rPr>
          <w:spacing w:val="23"/>
        </w:rPr>
        <w:t xml:space="preserve"> </w:t>
      </w:r>
      <w:r>
        <w:rPr>
          <w:spacing w:val="-1"/>
        </w:rPr>
        <w:t>written</w:t>
      </w:r>
      <w:r>
        <w:rPr>
          <w:spacing w:val="23"/>
        </w:rPr>
        <w:t xml:space="preserve"> </w:t>
      </w:r>
      <w:r>
        <w:rPr>
          <w:spacing w:val="-1"/>
        </w:rPr>
        <w:t>consent</w:t>
      </w:r>
      <w:r>
        <w:rPr>
          <w:spacing w:val="25"/>
        </w:rPr>
        <w:t xml:space="preserve"> </w:t>
      </w:r>
      <w:r>
        <w:rPr>
          <w:spacing w:val="-2"/>
        </w:rPr>
        <w:t>of</w:t>
      </w:r>
      <w:r>
        <w:rPr>
          <w:spacing w:val="27"/>
        </w:rPr>
        <w:t xml:space="preserve"> </w:t>
      </w:r>
      <w:r>
        <w:t>the</w:t>
      </w:r>
      <w:r>
        <w:rPr>
          <w:spacing w:val="23"/>
        </w:rPr>
        <w:t xml:space="preserve"> </w:t>
      </w:r>
      <w:r>
        <w:rPr>
          <w:spacing w:val="-1"/>
        </w:rPr>
        <w:t>Authority</w:t>
      </w:r>
      <w:r>
        <w:rPr>
          <w:spacing w:val="21"/>
        </w:rPr>
        <w:t xml:space="preserve"> </w:t>
      </w:r>
      <w:r>
        <w:rPr>
          <w:spacing w:val="-1"/>
        </w:rPr>
        <w:t>and</w:t>
      </w:r>
      <w:r>
        <w:rPr>
          <w:spacing w:val="23"/>
        </w:rPr>
        <w:t xml:space="preserve"> </w:t>
      </w:r>
      <w:r>
        <w:rPr>
          <w:spacing w:val="-1"/>
        </w:rPr>
        <w:t>the</w:t>
      </w:r>
      <w:r>
        <w:rPr>
          <w:spacing w:val="34"/>
        </w:rPr>
        <w:t xml:space="preserve"> </w:t>
      </w:r>
      <w:r>
        <w:rPr>
          <w:spacing w:val="-1"/>
        </w:rPr>
        <w:t>Customer</w:t>
      </w:r>
      <w:r>
        <w:rPr>
          <w:spacing w:val="11"/>
        </w:rPr>
        <w:t xml:space="preserve"> </w:t>
      </w:r>
      <w:r>
        <w:rPr>
          <w:spacing w:val="-1"/>
        </w:rPr>
        <w:t>in</w:t>
      </w:r>
      <w:r>
        <w:rPr>
          <w:spacing w:val="10"/>
        </w:rPr>
        <w:t xml:space="preserve"> </w:t>
      </w:r>
      <w:r>
        <w:rPr>
          <w:spacing w:val="-1"/>
        </w:rPr>
        <w:t>accordance</w:t>
      </w:r>
      <w:r>
        <w:rPr>
          <w:spacing w:val="8"/>
        </w:rPr>
        <w:t xml:space="preserve"> </w:t>
      </w:r>
      <w:r>
        <w:rPr>
          <w:spacing w:val="-1"/>
        </w:rPr>
        <w:t>with</w:t>
      </w:r>
      <w:r>
        <w:rPr>
          <w:spacing w:val="10"/>
        </w:rPr>
        <w:t xml:space="preserve"> </w:t>
      </w:r>
      <w:r>
        <w:rPr>
          <w:spacing w:val="-2"/>
        </w:rPr>
        <w:t>Clause</w:t>
      </w:r>
      <w:r>
        <w:rPr>
          <w:spacing w:val="12"/>
        </w:rPr>
        <w:t xml:space="preserve"> </w:t>
      </w:r>
      <w:hyperlink w:anchor="_bookmark148" w:history="1">
        <w:r>
          <w:rPr>
            <w:spacing w:val="-1"/>
          </w:rPr>
          <w:t>29.2</w:t>
        </w:r>
      </w:hyperlink>
      <w:r>
        <w:rPr>
          <w:spacing w:val="10"/>
        </w:rPr>
        <w:t xml:space="preserve"> </w:t>
      </w:r>
      <w:r>
        <w:rPr>
          <w:spacing w:val="-1"/>
        </w:rPr>
        <w:t>(Appointment</w:t>
      </w:r>
      <w:r>
        <w:rPr>
          <w:spacing w:val="11"/>
        </w:rPr>
        <w:t xml:space="preserve"> </w:t>
      </w:r>
      <w:r>
        <w:rPr>
          <w:spacing w:val="-2"/>
        </w:rPr>
        <w:t>of</w:t>
      </w:r>
      <w:r>
        <w:rPr>
          <w:spacing w:val="14"/>
        </w:rPr>
        <w:t xml:space="preserve"> </w:t>
      </w:r>
      <w:r>
        <w:rPr>
          <w:spacing w:val="-1"/>
        </w:rPr>
        <w:t>Key</w:t>
      </w:r>
      <w:r>
        <w:rPr>
          <w:spacing w:val="32"/>
        </w:rPr>
        <w:t xml:space="preserve"> </w:t>
      </w:r>
      <w:r>
        <w:rPr>
          <w:spacing w:val="-1"/>
        </w:rPr>
        <w:t>Sub-Contractors).</w:t>
      </w:r>
    </w:p>
    <w:p w:rsidR="008918FA" w:rsidRDefault="008918FA" w:rsidP="008918FA">
      <w:pPr>
        <w:pStyle w:val="BodyText"/>
        <w:ind w:firstLine="0"/>
      </w:pPr>
      <w:r>
        <w:t xml:space="preserve">the </w:t>
      </w:r>
      <w:r>
        <w:rPr>
          <w:spacing w:val="-2"/>
        </w:rPr>
        <w:t>Supplier</w:t>
      </w:r>
      <w:r>
        <w:rPr>
          <w:spacing w:val="-1"/>
        </w:rPr>
        <w:t xml:space="preserve"> may</w:t>
      </w:r>
      <w:r>
        <w:rPr>
          <w:spacing w:val="-2"/>
        </w:rPr>
        <w:t xml:space="preserve"> </w:t>
      </w:r>
      <w:r>
        <w:rPr>
          <w:spacing w:val="-1"/>
        </w:rPr>
        <w:t>proceed</w:t>
      </w:r>
      <w:r>
        <w:t xml:space="preserve"> </w:t>
      </w:r>
      <w:r>
        <w:rPr>
          <w:spacing w:val="-2"/>
        </w:rPr>
        <w:t>with</w:t>
      </w:r>
      <w:r>
        <w:t xml:space="preserve"> the </w:t>
      </w:r>
      <w:r>
        <w:rPr>
          <w:spacing w:val="-1"/>
        </w:rPr>
        <w:t>proposed</w:t>
      </w:r>
      <w:r>
        <w:t xml:space="preserve"> </w:t>
      </w:r>
      <w:r>
        <w:rPr>
          <w:spacing w:val="-1"/>
        </w:rPr>
        <w:t>appointment.</w:t>
      </w:r>
    </w:p>
    <w:p w:rsidR="008918FA" w:rsidRDefault="008918FA" w:rsidP="008918FA">
      <w:pPr>
        <w:pStyle w:val="Heading1"/>
        <w:numPr>
          <w:ilvl w:val="1"/>
          <w:numId w:val="66"/>
        </w:numPr>
        <w:tabs>
          <w:tab w:val="left" w:pos="893"/>
        </w:tabs>
        <w:spacing w:before="119"/>
        <w:ind w:left="892" w:hanging="564"/>
        <w:rPr>
          <w:b w:val="0"/>
          <w:bCs w:val="0"/>
        </w:rPr>
      </w:pPr>
      <w:bookmarkStart w:id="175" w:name="_bookmark148"/>
      <w:bookmarkEnd w:id="175"/>
      <w:r>
        <w:rPr>
          <w:spacing w:val="-1"/>
        </w:rPr>
        <w:t>Appointment</w:t>
      </w:r>
      <w:r>
        <w:rPr>
          <w:spacing w:val="2"/>
        </w:rPr>
        <w:t xml:space="preserve"> </w:t>
      </w:r>
      <w:r>
        <w:rPr>
          <w:spacing w:val="-2"/>
        </w:rPr>
        <w:t>of</w:t>
      </w:r>
      <w:r>
        <w:rPr>
          <w:spacing w:val="2"/>
        </w:rPr>
        <w:t xml:space="preserve"> </w:t>
      </w:r>
      <w:r>
        <w:rPr>
          <w:spacing w:val="-1"/>
        </w:rPr>
        <w:t>Key</w:t>
      </w:r>
      <w:r>
        <w:rPr>
          <w:spacing w:val="-4"/>
        </w:rPr>
        <w:t xml:space="preserve"> </w:t>
      </w:r>
      <w:r>
        <w:rPr>
          <w:spacing w:val="-1"/>
        </w:rPr>
        <w:t>Sub-Contractors</w:t>
      </w:r>
    </w:p>
    <w:p w:rsidR="008918FA" w:rsidRDefault="008918FA" w:rsidP="008918FA">
      <w:pPr>
        <w:pStyle w:val="BodyText"/>
        <w:numPr>
          <w:ilvl w:val="2"/>
          <w:numId w:val="66"/>
        </w:numPr>
        <w:tabs>
          <w:tab w:val="left" w:pos="1887"/>
        </w:tabs>
        <w:spacing w:before="121"/>
        <w:ind w:left="1886" w:right="116"/>
        <w:jc w:val="both"/>
      </w:pPr>
      <w:r>
        <w:t>The</w:t>
      </w:r>
      <w:r>
        <w:rPr>
          <w:spacing w:val="5"/>
        </w:rPr>
        <w:t xml:space="preserve"> </w:t>
      </w:r>
      <w:r>
        <w:rPr>
          <w:spacing w:val="-1"/>
        </w:rPr>
        <w:t>Authority</w:t>
      </w:r>
      <w:r>
        <w:rPr>
          <w:spacing w:val="3"/>
        </w:rPr>
        <w:t xml:space="preserve"> </w:t>
      </w:r>
      <w:r>
        <w:rPr>
          <w:spacing w:val="-1"/>
        </w:rPr>
        <w:t>and</w:t>
      </w:r>
      <w:r>
        <w:rPr>
          <w:spacing w:val="5"/>
        </w:rPr>
        <w:t xml:space="preserve"> </w:t>
      </w:r>
      <w:r>
        <w:t>the</w:t>
      </w:r>
      <w:r>
        <w:rPr>
          <w:spacing w:val="3"/>
        </w:rPr>
        <w:t xml:space="preserve"> </w:t>
      </w:r>
      <w:r>
        <w:rPr>
          <w:spacing w:val="-1"/>
        </w:rPr>
        <w:t>Customer</w:t>
      </w:r>
      <w:r>
        <w:rPr>
          <w:spacing w:val="6"/>
        </w:rPr>
        <w:t xml:space="preserve"> </w:t>
      </w:r>
      <w:r>
        <w:rPr>
          <w:spacing w:val="-2"/>
        </w:rPr>
        <w:t>have</w:t>
      </w:r>
      <w:r>
        <w:rPr>
          <w:spacing w:val="5"/>
        </w:rPr>
        <w:t xml:space="preserve"> </w:t>
      </w:r>
      <w:r>
        <w:rPr>
          <w:spacing w:val="-1"/>
        </w:rPr>
        <w:t>consented</w:t>
      </w:r>
      <w:r>
        <w:rPr>
          <w:spacing w:val="3"/>
        </w:rPr>
        <w:t xml:space="preserve"> </w:t>
      </w:r>
      <w:r>
        <w:t>to</w:t>
      </w:r>
      <w:r>
        <w:rPr>
          <w:spacing w:val="3"/>
        </w:rPr>
        <w:t xml:space="preserve"> </w:t>
      </w:r>
      <w:r>
        <w:t>the</w:t>
      </w:r>
      <w:r>
        <w:rPr>
          <w:spacing w:val="5"/>
        </w:rPr>
        <w:t xml:space="preserve"> </w:t>
      </w:r>
      <w:r>
        <w:rPr>
          <w:spacing w:val="-1"/>
        </w:rPr>
        <w:t>engagement</w:t>
      </w:r>
      <w:r>
        <w:rPr>
          <w:spacing w:val="4"/>
        </w:rPr>
        <w:t xml:space="preserve"> </w:t>
      </w:r>
      <w:r>
        <w:rPr>
          <w:spacing w:val="-3"/>
        </w:rPr>
        <w:t>of</w:t>
      </w:r>
      <w:r>
        <w:rPr>
          <w:spacing w:val="22"/>
        </w:rPr>
        <w:t xml:space="preserve"> </w:t>
      </w:r>
      <w:r>
        <w:t>the</w:t>
      </w:r>
      <w:r>
        <w:rPr>
          <w:spacing w:val="36"/>
        </w:rPr>
        <w:t xml:space="preserve"> </w:t>
      </w:r>
      <w:r>
        <w:rPr>
          <w:spacing w:val="-1"/>
        </w:rPr>
        <w:t>Key</w:t>
      </w:r>
      <w:r>
        <w:rPr>
          <w:spacing w:val="34"/>
        </w:rPr>
        <w:t xml:space="preserve"> </w:t>
      </w:r>
      <w:r>
        <w:rPr>
          <w:spacing w:val="-1"/>
        </w:rPr>
        <w:t>Sub-Contractors</w:t>
      </w:r>
      <w:r>
        <w:rPr>
          <w:spacing w:val="37"/>
        </w:rPr>
        <w:t xml:space="preserve"> </w:t>
      </w:r>
      <w:r>
        <w:rPr>
          <w:spacing w:val="-1"/>
        </w:rPr>
        <w:t>listed</w:t>
      </w:r>
      <w:r>
        <w:rPr>
          <w:spacing w:val="36"/>
        </w:rPr>
        <w:t xml:space="preserve"> </w:t>
      </w:r>
      <w:r>
        <w:rPr>
          <w:spacing w:val="-1"/>
        </w:rPr>
        <w:t>in</w:t>
      </w:r>
      <w:r>
        <w:rPr>
          <w:spacing w:val="36"/>
        </w:rPr>
        <w:t xml:space="preserve"> </w:t>
      </w:r>
      <w:r>
        <w:rPr>
          <w:spacing w:val="-1"/>
        </w:rPr>
        <w:t>Framework</w:t>
      </w:r>
      <w:r>
        <w:rPr>
          <w:spacing w:val="39"/>
        </w:rPr>
        <w:t xml:space="preserve"> </w:t>
      </w:r>
      <w:r>
        <w:rPr>
          <w:spacing w:val="-2"/>
        </w:rPr>
        <w:t>Schedule</w:t>
      </w:r>
      <w:r>
        <w:rPr>
          <w:spacing w:val="37"/>
        </w:rPr>
        <w:t xml:space="preserve"> </w:t>
      </w:r>
      <w:r>
        <w:t>7</w:t>
      </w:r>
      <w:r>
        <w:rPr>
          <w:spacing w:val="37"/>
        </w:rPr>
        <w:t xml:space="preserve"> </w:t>
      </w:r>
      <w:r>
        <w:rPr>
          <w:spacing w:val="-1"/>
        </w:rPr>
        <w:t>(Key</w:t>
      </w:r>
      <w:r>
        <w:rPr>
          <w:spacing w:val="37"/>
        </w:rPr>
        <w:t xml:space="preserve"> </w:t>
      </w:r>
      <w:r>
        <w:rPr>
          <w:spacing w:val="-1"/>
        </w:rPr>
        <w:t>Sub-</w:t>
      </w:r>
      <w:r>
        <w:rPr>
          <w:spacing w:val="43"/>
        </w:rPr>
        <w:t xml:space="preserve"> </w:t>
      </w:r>
      <w:r>
        <w:rPr>
          <w:spacing w:val="-1"/>
        </w:rPr>
        <w:t>Contractors)</w:t>
      </w:r>
      <w:bookmarkStart w:id="176" w:name="_bookmark149"/>
      <w:bookmarkEnd w:id="176"/>
      <w:r>
        <w:rPr>
          <w:spacing w:val="-1"/>
        </w:rPr>
        <w:t>.</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2"/>
          <w:numId w:val="66"/>
        </w:numPr>
        <w:tabs>
          <w:tab w:val="left" w:pos="1887"/>
        </w:tabs>
        <w:spacing w:before="59"/>
        <w:ind w:left="1885" w:right="112" w:hanging="993"/>
        <w:jc w:val="both"/>
      </w:pPr>
      <w:r>
        <w:rPr>
          <w:spacing w:val="-1"/>
        </w:rPr>
        <w:t>Where</w:t>
      </w:r>
      <w:r>
        <w:rPr>
          <w:spacing w:val="31"/>
        </w:rPr>
        <w:t xml:space="preserve"> </w:t>
      </w:r>
      <w:r>
        <w:t>the</w:t>
      </w:r>
      <w:r>
        <w:rPr>
          <w:spacing w:val="34"/>
        </w:rPr>
        <w:t xml:space="preserve"> </w:t>
      </w:r>
      <w:r>
        <w:rPr>
          <w:spacing w:val="-2"/>
        </w:rPr>
        <w:t>Supplier</w:t>
      </w:r>
      <w:r>
        <w:rPr>
          <w:spacing w:val="35"/>
        </w:rPr>
        <w:t xml:space="preserve"> </w:t>
      </w:r>
      <w:r>
        <w:rPr>
          <w:spacing w:val="-1"/>
        </w:rPr>
        <w:t>wishes</w:t>
      </w:r>
      <w:r>
        <w:rPr>
          <w:spacing w:val="34"/>
        </w:rPr>
        <w:t xml:space="preserve"> </w:t>
      </w:r>
      <w:r>
        <w:t>to</w:t>
      </w:r>
      <w:r>
        <w:rPr>
          <w:spacing w:val="34"/>
        </w:rPr>
        <w:t xml:space="preserve"> </w:t>
      </w:r>
      <w:r>
        <w:rPr>
          <w:spacing w:val="-1"/>
        </w:rPr>
        <w:t>enter</w:t>
      </w:r>
      <w:r>
        <w:rPr>
          <w:spacing w:val="35"/>
        </w:rPr>
        <w:t xml:space="preserve"> </w:t>
      </w:r>
      <w:r>
        <w:rPr>
          <w:spacing w:val="-1"/>
        </w:rPr>
        <w:t>into</w:t>
      </w:r>
      <w:r>
        <w:rPr>
          <w:spacing w:val="35"/>
        </w:rPr>
        <w:t xml:space="preserve"> </w:t>
      </w:r>
      <w:r>
        <w:t>a</w:t>
      </w:r>
      <w:r>
        <w:rPr>
          <w:spacing w:val="31"/>
        </w:rPr>
        <w:t xml:space="preserve"> </w:t>
      </w:r>
      <w:r>
        <w:rPr>
          <w:spacing w:val="-1"/>
        </w:rPr>
        <w:t>new</w:t>
      </w:r>
      <w:r>
        <w:rPr>
          <w:spacing w:val="35"/>
        </w:rPr>
        <w:t xml:space="preserve"> </w:t>
      </w:r>
      <w:r>
        <w:rPr>
          <w:spacing w:val="-1"/>
        </w:rPr>
        <w:t>Key</w:t>
      </w:r>
      <w:r>
        <w:rPr>
          <w:spacing w:val="32"/>
        </w:rPr>
        <w:t xml:space="preserve"> </w:t>
      </w:r>
      <w:r>
        <w:rPr>
          <w:spacing w:val="-1"/>
        </w:rPr>
        <w:t>Sub-Contract</w:t>
      </w:r>
      <w:r>
        <w:rPr>
          <w:spacing w:val="36"/>
        </w:rPr>
        <w:t xml:space="preserve"> </w:t>
      </w:r>
      <w:r>
        <w:rPr>
          <w:spacing w:val="-2"/>
        </w:rPr>
        <w:t>or</w:t>
      </w:r>
      <w:r>
        <w:rPr>
          <w:spacing w:val="45"/>
        </w:rPr>
        <w:t xml:space="preserve"> </w:t>
      </w:r>
      <w:r>
        <w:rPr>
          <w:spacing w:val="-1"/>
        </w:rPr>
        <w:t>replace</w:t>
      </w:r>
      <w:r>
        <w:rPr>
          <w:spacing w:val="18"/>
        </w:rPr>
        <w:t xml:space="preserve"> </w:t>
      </w:r>
      <w:r>
        <w:t>a</w:t>
      </w:r>
      <w:r>
        <w:rPr>
          <w:spacing w:val="17"/>
        </w:rPr>
        <w:t xml:space="preserve"> </w:t>
      </w:r>
      <w:r>
        <w:rPr>
          <w:spacing w:val="-1"/>
        </w:rPr>
        <w:t>Key</w:t>
      </w:r>
      <w:r>
        <w:rPr>
          <w:spacing w:val="15"/>
        </w:rPr>
        <w:t xml:space="preserve"> </w:t>
      </w:r>
      <w:r>
        <w:rPr>
          <w:spacing w:val="-1"/>
        </w:rPr>
        <w:t>Sub-Contractor,</w:t>
      </w:r>
      <w:r>
        <w:rPr>
          <w:spacing w:val="19"/>
        </w:rPr>
        <w:t xml:space="preserve"> </w:t>
      </w:r>
      <w:r>
        <w:rPr>
          <w:spacing w:val="-1"/>
        </w:rPr>
        <w:t>it</w:t>
      </w:r>
      <w:r>
        <w:rPr>
          <w:spacing w:val="16"/>
        </w:rPr>
        <w:t xml:space="preserve"> </w:t>
      </w:r>
      <w:r>
        <w:rPr>
          <w:spacing w:val="-1"/>
        </w:rPr>
        <w:t>must</w:t>
      </w:r>
      <w:r>
        <w:rPr>
          <w:spacing w:val="19"/>
        </w:rPr>
        <w:t xml:space="preserve"> </w:t>
      </w:r>
      <w:r>
        <w:rPr>
          <w:spacing w:val="-1"/>
        </w:rPr>
        <w:t>obtain</w:t>
      </w:r>
      <w:r>
        <w:rPr>
          <w:spacing w:val="17"/>
        </w:rPr>
        <w:t xml:space="preserve"> </w:t>
      </w:r>
      <w:r>
        <w:t>the</w:t>
      </w:r>
      <w:r>
        <w:rPr>
          <w:spacing w:val="15"/>
        </w:rPr>
        <w:t xml:space="preserve"> </w:t>
      </w:r>
      <w:r>
        <w:rPr>
          <w:spacing w:val="-1"/>
        </w:rPr>
        <w:t>prior</w:t>
      </w:r>
      <w:r>
        <w:rPr>
          <w:spacing w:val="19"/>
        </w:rPr>
        <w:t xml:space="preserve"> </w:t>
      </w:r>
      <w:r>
        <w:rPr>
          <w:spacing w:val="-1"/>
        </w:rPr>
        <w:t>written</w:t>
      </w:r>
      <w:r>
        <w:rPr>
          <w:spacing w:val="17"/>
        </w:rPr>
        <w:t xml:space="preserve"> </w:t>
      </w:r>
      <w:r>
        <w:rPr>
          <w:spacing w:val="-1"/>
        </w:rPr>
        <w:t>consent</w:t>
      </w:r>
      <w:r>
        <w:rPr>
          <w:spacing w:val="32"/>
        </w:rPr>
        <w:t xml:space="preserve"> </w:t>
      </w:r>
      <w:r>
        <w:rPr>
          <w:spacing w:val="-2"/>
        </w:rPr>
        <w:t>of</w:t>
      </w:r>
      <w:r>
        <w:rPr>
          <w:spacing w:val="4"/>
        </w:rPr>
        <w:t xml:space="preserve"> </w:t>
      </w:r>
      <w:r>
        <w:t xml:space="preserve">the </w:t>
      </w:r>
      <w:r>
        <w:rPr>
          <w:spacing w:val="-1"/>
        </w:rPr>
        <w:t>Authority</w:t>
      </w:r>
      <w:r>
        <w:rPr>
          <w:spacing w:val="-2"/>
        </w:rPr>
        <w:t xml:space="preserve"> </w:t>
      </w:r>
      <w:r>
        <w:rPr>
          <w:spacing w:val="-1"/>
        </w:rPr>
        <w:t>and</w:t>
      </w:r>
      <w:r>
        <w:t xml:space="preserve"> the</w:t>
      </w:r>
      <w:r>
        <w:rPr>
          <w:spacing w:val="-2"/>
        </w:rPr>
        <w:t xml:space="preserve"> </w:t>
      </w:r>
      <w:r>
        <w:rPr>
          <w:spacing w:val="-1"/>
        </w:rPr>
        <w:t>Customer</w:t>
      </w:r>
      <w:r>
        <w:rPr>
          <w:spacing w:val="2"/>
        </w:rPr>
        <w:t xml:space="preserve"> </w:t>
      </w:r>
      <w:r>
        <w:rPr>
          <w:spacing w:val="-1"/>
        </w:rPr>
        <w:t>(the</w:t>
      </w:r>
      <w:r>
        <w:t xml:space="preserve"> </w:t>
      </w:r>
      <w:r>
        <w:rPr>
          <w:spacing w:val="-1"/>
        </w:rPr>
        <w:t>decision</w:t>
      </w:r>
      <w:r>
        <w:t xml:space="preserve"> </w:t>
      </w:r>
      <w:r>
        <w:rPr>
          <w:spacing w:val="-1"/>
        </w:rPr>
        <w:t>to</w:t>
      </w:r>
      <w:r>
        <w:rPr>
          <w:spacing w:val="1"/>
        </w:rPr>
        <w:t xml:space="preserve"> </w:t>
      </w:r>
      <w:r>
        <w:rPr>
          <w:spacing w:val="-1"/>
        </w:rPr>
        <w:t>consent</w:t>
      </w:r>
      <w:r>
        <w:rPr>
          <w:spacing w:val="2"/>
        </w:rPr>
        <w:t xml:space="preserve"> </w:t>
      </w:r>
      <w:r>
        <w:rPr>
          <w:spacing w:val="-2"/>
        </w:rPr>
        <w:t>or</w:t>
      </w:r>
      <w:r>
        <w:rPr>
          <w:spacing w:val="2"/>
        </w:rPr>
        <w:t xml:space="preserve"> </w:t>
      </w:r>
      <w:r>
        <w:rPr>
          <w:spacing w:val="-1"/>
        </w:rPr>
        <w:t>not</w:t>
      </w:r>
      <w:r>
        <w:rPr>
          <w:spacing w:val="2"/>
        </w:rPr>
        <w:t xml:space="preserve"> </w:t>
      </w:r>
      <w:r>
        <w:rPr>
          <w:spacing w:val="-2"/>
        </w:rPr>
        <w:t>will</w:t>
      </w:r>
      <w:r>
        <w:t xml:space="preserve"> to</w:t>
      </w:r>
      <w:r>
        <w:rPr>
          <w:spacing w:val="33"/>
        </w:rPr>
        <w:t xml:space="preserve"> </w:t>
      </w:r>
      <w:r>
        <w:rPr>
          <w:spacing w:val="-1"/>
        </w:rPr>
        <w:t>be</w:t>
      </w:r>
      <w:r>
        <w:rPr>
          <w:spacing w:val="35"/>
        </w:rPr>
        <w:t xml:space="preserve"> </w:t>
      </w:r>
      <w:r>
        <w:rPr>
          <w:spacing w:val="-1"/>
        </w:rPr>
        <w:t>unreasonably</w:t>
      </w:r>
      <w:r>
        <w:rPr>
          <w:spacing w:val="35"/>
        </w:rPr>
        <w:t xml:space="preserve"> </w:t>
      </w:r>
      <w:r>
        <w:rPr>
          <w:spacing w:val="-1"/>
        </w:rPr>
        <w:t>withheld</w:t>
      </w:r>
      <w:r>
        <w:rPr>
          <w:spacing w:val="35"/>
        </w:rPr>
        <w:t xml:space="preserve"> </w:t>
      </w:r>
      <w:r>
        <w:rPr>
          <w:spacing w:val="-1"/>
        </w:rPr>
        <w:t>or</w:t>
      </w:r>
      <w:r>
        <w:rPr>
          <w:spacing w:val="36"/>
        </w:rPr>
        <w:t xml:space="preserve"> </w:t>
      </w:r>
      <w:r>
        <w:rPr>
          <w:spacing w:val="-1"/>
        </w:rPr>
        <w:t>delayed).</w:t>
      </w:r>
      <w:r>
        <w:rPr>
          <w:spacing w:val="36"/>
        </w:rPr>
        <w:t xml:space="preserve"> </w:t>
      </w:r>
      <w:r>
        <w:t>The</w:t>
      </w:r>
      <w:r>
        <w:rPr>
          <w:spacing w:val="32"/>
        </w:rPr>
        <w:t xml:space="preserve"> </w:t>
      </w:r>
      <w:r>
        <w:rPr>
          <w:spacing w:val="-1"/>
        </w:rPr>
        <w:t>Authority</w:t>
      </w:r>
      <w:r>
        <w:rPr>
          <w:spacing w:val="34"/>
        </w:rPr>
        <w:t xml:space="preserve"> </w:t>
      </w:r>
      <w:r>
        <w:rPr>
          <w:spacing w:val="-1"/>
        </w:rPr>
        <w:t>and/or</w:t>
      </w:r>
      <w:r>
        <w:rPr>
          <w:spacing w:val="36"/>
        </w:rPr>
        <w:t xml:space="preserve"> </w:t>
      </w:r>
      <w:r>
        <w:rPr>
          <w:spacing w:val="-1"/>
        </w:rPr>
        <w:t>the</w:t>
      </w:r>
      <w:r>
        <w:rPr>
          <w:spacing w:val="40"/>
        </w:rPr>
        <w:t xml:space="preserve"> </w:t>
      </w:r>
      <w:r>
        <w:rPr>
          <w:spacing w:val="-1"/>
        </w:rPr>
        <w:t>Customer</w:t>
      </w:r>
      <w:r>
        <w:rPr>
          <w:spacing w:val="7"/>
        </w:rPr>
        <w:t xml:space="preserve"> </w:t>
      </w:r>
      <w:r>
        <w:rPr>
          <w:spacing w:val="-1"/>
        </w:rPr>
        <w:t>may</w:t>
      </w:r>
      <w:r>
        <w:rPr>
          <w:spacing w:val="3"/>
        </w:rPr>
        <w:t xml:space="preserve"> </w:t>
      </w:r>
      <w:r>
        <w:rPr>
          <w:spacing w:val="-1"/>
        </w:rPr>
        <w:t>reasonably</w:t>
      </w:r>
      <w:r>
        <w:rPr>
          <w:spacing w:val="5"/>
        </w:rPr>
        <w:t xml:space="preserve"> </w:t>
      </w:r>
      <w:r>
        <w:rPr>
          <w:spacing w:val="-1"/>
        </w:rPr>
        <w:t>withhold</w:t>
      </w:r>
      <w:r>
        <w:rPr>
          <w:spacing w:val="5"/>
        </w:rPr>
        <w:t xml:space="preserve"> </w:t>
      </w:r>
      <w:r>
        <w:rPr>
          <w:spacing w:val="-1"/>
        </w:rPr>
        <w:t>its</w:t>
      </w:r>
      <w:r>
        <w:rPr>
          <w:spacing w:val="5"/>
        </w:rPr>
        <w:t xml:space="preserve"> </w:t>
      </w:r>
      <w:r>
        <w:rPr>
          <w:spacing w:val="-1"/>
        </w:rPr>
        <w:t>consent</w:t>
      </w:r>
      <w:r>
        <w:rPr>
          <w:spacing w:val="7"/>
        </w:rPr>
        <w:t xml:space="preserve"> </w:t>
      </w:r>
      <w:r>
        <w:t>to</w:t>
      </w:r>
      <w:r>
        <w:rPr>
          <w:spacing w:val="3"/>
        </w:rPr>
        <w:t xml:space="preserve"> </w:t>
      </w:r>
      <w:r>
        <w:t>the</w:t>
      </w:r>
      <w:r>
        <w:rPr>
          <w:spacing w:val="5"/>
        </w:rPr>
        <w:t xml:space="preserve"> </w:t>
      </w:r>
      <w:r>
        <w:rPr>
          <w:spacing w:val="-1"/>
        </w:rPr>
        <w:t>appointment</w:t>
      </w:r>
      <w:r>
        <w:rPr>
          <w:spacing w:val="7"/>
        </w:rPr>
        <w:t xml:space="preserve"> </w:t>
      </w:r>
      <w:r>
        <w:rPr>
          <w:spacing w:val="-2"/>
        </w:rPr>
        <w:t>of</w:t>
      </w:r>
      <w:r>
        <w:rPr>
          <w:spacing w:val="9"/>
        </w:rPr>
        <w:t xml:space="preserve"> </w:t>
      </w:r>
      <w:r>
        <w:t>a</w:t>
      </w:r>
      <w:r>
        <w:rPr>
          <w:spacing w:val="23"/>
        </w:rPr>
        <w:t xml:space="preserve"> </w:t>
      </w:r>
      <w:r>
        <w:rPr>
          <w:spacing w:val="-1"/>
        </w:rPr>
        <w:t>Key</w:t>
      </w:r>
      <w:r>
        <w:rPr>
          <w:spacing w:val="-2"/>
        </w:rPr>
        <w:t xml:space="preserve"> </w:t>
      </w:r>
      <w:r>
        <w:rPr>
          <w:spacing w:val="-1"/>
        </w:rPr>
        <w:t>Sub-Contractor</w:t>
      </w:r>
      <w:r>
        <w:rPr>
          <w:spacing w:val="2"/>
        </w:rPr>
        <w:t xml:space="preserve"> </w:t>
      </w:r>
      <w:r>
        <w:rPr>
          <w:spacing w:val="-2"/>
        </w:rPr>
        <w:t>if</w:t>
      </w:r>
      <w:r>
        <w:rPr>
          <w:spacing w:val="2"/>
        </w:rPr>
        <w:t xml:space="preserve"> </w:t>
      </w:r>
      <w:r>
        <w:rPr>
          <w:spacing w:val="-2"/>
        </w:rPr>
        <w:t xml:space="preserve">any </w:t>
      </w:r>
      <w:r>
        <w:rPr>
          <w:spacing w:val="-1"/>
        </w:rPr>
        <w:t>of</w:t>
      </w:r>
      <w:r>
        <w:rPr>
          <w:spacing w:val="2"/>
        </w:rPr>
        <w:t xml:space="preserve"> </w:t>
      </w:r>
      <w:r>
        <w:rPr>
          <w:spacing w:val="-1"/>
        </w:rPr>
        <w:t>them considers</w:t>
      </w:r>
      <w:r>
        <w:rPr>
          <w:spacing w:val="-2"/>
        </w:rPr>
        <w:t xml:space="preserve"> </w:t>
      </w:r>
      <w:r>
        <w:rPr>
          <w:spacing w:val="-1"/>
        </w:rPr>
        <w:t>that:</w:t>
      </w:r>
    </w:p>
    <w:p w:rsidR="008918FA" w:rsidRDefault="008918FA" w:rsidP="008918FA">
      <w:pPr>
        <w:pStyle w:val="BodyText"/>
        <w:numPr>
          <w:ilvl w:val="3"/>
          <w:numId w:val="66"/>
        </w:numPr>
        <w:tabs>
          <w:tab w:val="left" w:pos="2594"/>
        </w:tabs>
        <w:ind w:left="2593" w:right="112" w:hanging="707"/>
        <w:jc w:val="both"/>
      </w:pPr>
      <w:r>
        <w:t>the</w:t>
      </w:r>
      <w:r>
        <w:rPr>
          <w:spacing w:val="47"/>
        </w:rPr>
        <w:t xml:space="preserve"> </w:t>
      </w:r>
      <w:r>
        <w:rPr>
          <w:spacing w:val="-1"/>
        </w:rPr>
        <w:t>appointment</w:t>
      </w:r>
      <w:r>
        <w:rPr>
          <w:spacing w:val="49"/>
        </w:rPr>
        <w:t xml:space="preserve"> </w:t>
      </w:r>
      <w:r>
        <w:rPr>
          <w:spacing w:val="-2"/>
        </w:rPr>
        <w:t>of</w:t>
      </w:r>
      <w:r>
        <w:rPr>
          <w:spacing w:val="49"/>
        </w:rPr>
        <w:t xml:space="preserve"> </w:t>
      </w:r>
      <w:r>
        <w:t>a</w:t>
      </w:r>
      <w:r>
        <w:rPr>
          <w:spacing w:val="45"/>
        </w:rPr>
        <w:t xml:space="preserve"> </w:t>
      </w:r>
      <w:r>
        <w:rPr>
          <w:spacing w:val="-1"/>
        </w:rPr>
        <w:t>proposed</w:t>
      </w:r>
      <w:r>
        <w:rPr>
          <w:spacing w:val="47"/>
        </w:rPr>
        <w:t xml:space="preserve"> </w:t>
      </w:r>
      <w:r>
        <w:rPr>
          <w:spacing w:val="-1"/>
        </w:rPr>
        <w:t>Key</w:t>
      </w:r>
      <w:r>
        <w:rPr>
          <w:spacing w:val="45"/>
        </w:rPr>
        <w:t xml:space="preserve"> </w:t>
      </w:r>
      <w:r>
        <w:rPr>
          <w:spacing w:val="-1"/>
        </w:rPr>
        <w:t>Sub-Contractor</w:t>
      </w:r>
      <w:r>
        <w:rPr>
          <w:spacing w:val="47"/>
        </w:rPr>
        <w:t xml:space="preserve"> </w:t>
      </w:r>
      <w:r>
        <w:rPr>
          <w:spacing w:val="-1"/>
        </w:rPr>
        <w:t>may</w:t>
      </w:r>
      <w:r>
        <w:rPr>
          <w:spacing w:val="29"/>
        </w:rPr>
        <w:t xml:space="preserve"> </w:t>
      </w:r>
      <w:r>
        <w:rPr>
          <w:spacing w:val="-1"/>
        </w:rPr>
        <w:t>prejudice</w:t>
      </w:r>
      <w:r>
        <w:rPr>
          <w:spacing w:val="5"/>
        </w:rPr>
        <w:t xml:space="preserve"> </w:t>
      </w:r>
      <w:r>
        <w:t>the</w:t>
      </w:r>
      <w:r>
        <w:rPr>
          <w:spacing w:val="5"/>
        </w:rPr>
        <w:t xml:space="preserve"> </w:t>
      </w:r>
      <w:r>
        <w:rPr>
          <w:spacing w:val="-2"/>
        </w:rPr>
        <w:t>provision</w:t>
      </w:r>
      <w:r>
        <w:rPr>
          <w:spacing w:val="5"/>
        </w:rPr>
        <w:t xml:space="preserve"> </w:t>
      </w:r>
      <w:r>
        <w:rPr>
          <w:spacing w:val="1"/>
        </w:rPr>
        <w:t>of</w:t>
      </w:r>
      <w:r>
        <w:rPr>
          <w:spacing w:val="6"/>
        </w:rPr>
        <w:t xml:space="preserve"> </w:t>
      </w:r>
      <w:r>
        <w:t>the</w:t>
      </w:r>
      <w:r>
        <w:rPr>
          <w:spacing w:val="3"/>
        </w:rPr>
        <w:t xml:space="preserve"> </w:t>
      </w:r>
      <w:r>
        <w:rPr>
          <w:spacing w:val="-1"/>
        </w:rPr>
        <w:t>Goods</w:t>
      </w:r>
      <w:r>
        <w:rPr>
          <w:spacing w:val="5"/>
        </w:rPr>
        <w:t xml:space="preserve"> </w:t>
      </w:r>
      <w:r>
        <w:rPr>
          <w:spacing w:val="-1"/>
        </w:rPr>
        <w:t>and/or</w:t>
      </w:r>
      <w:r>
        <w:rPr>
          <w:spacing w:val="6"/>
        </w:rPr>
        <w:t xml:space="preserve"> </w:t>
      </w:r>
      <w:r>
        <w:rPr>
          <w:spacing w:val="-1"/>
        </w:rPr>
        <w:t>Services</w:t>
      </w:r>
      <w:r>
        <w:rPr>
          <w:spacing w:val="5"/>
        </w:rPr>
        <w:t xml:space="preserve"> </w:t>
      </w:r>
      <w:r>
        <w:rPr>
          <w:spacing w:val="-1"/>
        </w:rPr>
        <w:t>or</w:t>
      </w:r>
      <w:r>
        <w:rPr>
          <w:spacing w:val="6"/>
        </w:rPr>
        <w:t xml:space="preserve"> </w:t>
      </w:r>
      <w:r>
        <w:rPr>
          <w:spacing w:val="-1"/>
        </w:rPr>
        <w:t>may</w:t>
      </w:r>
      <w:r>
        <w:rPr>
          <w:spacing w:val="3"/>
        </w:rPr>
        <w:t xml:space="preserve"> </w:t>
      </w:r>
      <w:r>
        <w:rPr>
          <w:spacing w:val="-1"/>
        </w:rPr>
        <w:t>be</w:t>
      </w:r>
      <w:r>
        <w:rPr>
          <w:spacing w:val="32"/>
        </w:rPr>
        <w:t xml:space="preserve"> </w:t>
      </w:r>
      <w:r>
        <w:rPr>
          <w:spacing w:val="-1"/>
        </w:rPr>
        <w:t>contrary</w:t>
      </w:r>
      <w:r>
        <w:rPr>
          <w:spacing w:val="-2"/>
        </w:rPr>
        <w:t xml:space="preserve"> </w:t>
      </w:r>
      <w:r>
        <w:t xml:space="preserve">to </w:t>
      </w:r>
      <w:r>
        <w:rPr>
          <w:spacing w:val="-1"/>
        </w:rPr>
        <w:t>its</w:t>
      </w:r>
      <w:r>
        <w:rPr>
          <w:spacing w:val="1"/>
        </w:rPr>
        <w:t xml:space="preserve"> </w:t>
      </w:r>
      <w:r>
        <w:rPr>
          <w:spacing w:val="-1"/>
        </w:rPr>
        <w:t>interests;</w:t>
      </w:r>
    </w:p>
    <w:p w:rsidR="008918FA" w:rsidRDefault="008918FA" w:rsidP="008918FA">
      <w:pPr>
        <w:pStyle w:val="BodyText"/>
        <w:numPr>
          <w:ilvl w:val="3"/>
          <w:numId w:val="66"/>
        </w:numPr>
        <w:tabs>
          <w:tab w:val="left" w:pos="2594"/>
        </w:tabs>
        <w:spacing w:before="121"/>
        <w:ind w:left="2593" w:right="115" w:hanging="707"/>
        <w:jc w:val="both"/>
      </w:pPr>
      <w:r>
        <w:t>the</w:t>
      </w:r>
      <w:r>
        <w:rPr>
          <w:spacing w:val="29"/>
        </w:rPr>
        <w:t xml:space="preserve"> </w:t>
      </w:r>
      <w:r>
        <w:rPr>
          <w:spacing w:val="-1"/>
        </w:rPr>
        <w:t>proposed</w:t>
      </w:r>
      <w:r>
        <w:rPr>
          <w:spacing w:val="29"/>
        </w:rPr>
        <w:t xml:space="preserve"> </w:t>
      </w:r>
      <w:r>
        <w:rPr>
          <w:spacing w:val="-1"/>
        </w:rPr>
        <w:t>Key</w:t>
      </w:r>
      <w:r>
        <w:rPr>
          <w:spacing w:val="27"/>
        </w:rPr>
        <w:t xml:space="preserve"> </w:t>
      </w:r>
      <w:r>
        <w:rPr>
          <w:spacing w:val="-1"/>
        </w:rPr>
        <w:t>Sub-Contractor</w:t>
      </w:r>
      <w:r>
        <w:rPr>
          <w:spacing w:val="30"/>
        </w:rPr>
        <w:t xml:space="preserve"> </w:t>
      </w:r>
      <w:r>
        <w:rPr>
          <w:spacing w:val="-1"/>
        </w:rPr>
        <w:t>is</w:t>
      </w:r>
      <w:r>
        <w:rPr>
          <w:spacing w:val="30"/>
        </w:rPr>
        <w:t xml:space="preserve"> </w:t>
      </w:r>
      <w:r>
        <w:rPr>
          <w:spacing w:val="-2"/>
        </w:rPr>
        <w:t>unreliable</w:t>
      </w:r>
      <w:r>
        <w:rPr>
          <w:spacing w:val="29"/>
        </w:rPr>
        <w:t xml:space="preserve"> </w:t>
      </w:r>
      <w:r>
        <w:rPr>
          <w:spacing w:val="-1"/>
        </w:rPr>
        <w:t>and/or</w:t>
      </w:r>
      <w:r>
        <w:rPr>
          <w:spacing w:val="30"/>
        </w:rPr>
        <w:t xml:space="preserve"> </w:t>
      </w:r>
      <w:r>
        <w:rPr>
          <w:spacing w:val="-2"/>
        </w:rPr>
        <w:t>has</w:t>
      </w:r>
      <w:r>
        <w:rPr>
          <w:spacing w:val="30"/>
        </w:rPr>
        <w:t xml:space="preserve"> </w:t>
      </w:r>
      <w:r>
        <w:rPr>
          <w:spacing w:val="-1"/>
        </w:rPr>
        <w:t>not</w:t>
      </w:r>
      <w:r>
        <w:rPr>
          <w:spacing w:val="34"/>
        </w:rPr>
        <w:t xml:space="preserve"> </w:t>
      </w:r>
      <w:r>
        <w:rPr>
          <w:spacing w:val="-2"/>
        </w:rPr>
        <w:t>provided</w:t>
      </w:r>
      <w:r>
        <w:t xml:space="preserve"> </w:t>
      </w:r>
      <w:r>
        <w:rPr>
          <w:spacing w:val="-1"/>
        </w:rPr>
        <w:t>reasonable</w:t>
      </w:r>
      <w:r>
        <w:t xml:space="preserve"> </w:t>
      </w:r>
      <w:r>
        <w:rPr>
          <w:spacing w:val="-2"/>
        </w:rPr>
        <w:t>services</w:t>
      </w:r>
      <w:r>
        <w:rPr>
          <w:spacing w:val="1"/>
        </w:rPr>
        <w:t xml:space="preserve"> </w:t>
      </w:r>
      <w:r>
        <w:t xml:space="preserve">to </w:t>
      </w:r>
      <w:r>
        <w:rPr>
          <w:spacing w:val="-1"/>
        </w:rPr>
        <w:t>its</w:t>
      </w:r>
      <w:r>
        <w:rPr>
          <w:spacing w:val="-2"/>
        </w:rPr>
        <w:t xml:space="preserve"> </w:t>
      </w:r>
      <w:r>
        <w:rPr>
          <w:spacing w:val="-1"/>
        </w:rPr>
        <w:t>other</w:t>
      </w:r>
      <w:r>
        <w:rPr>
          <w:spacing w:val="2"/>
        </w:rPr>
        <w:t xml:space="preserve"> </w:t>
      </w:r>
      <w:r>
        <w:rPr>
          <w:spacing w:val="-2"/>
        </w:rPr>
        <w:t>customers;</w:t>
      </w:r>
      <w:r>
        <w:t xml:space="preserve"> </w:t>
      </w:r>
      <w:r>
        <w:rPr>
          <w:spacing w:val="-1"/>
        </w:rPr>
        <w:t>and/or</w:t>
      </w:r>
    </w:p>
    <w:p w:rsidR="008918FA" w:rsidRDefault="008918FA" w:rsidP="008918FA">
      <w:pPr>
        <w:pStyle w:val="BodyText"/>
        <w:numPr>
          <w:ilvl w:val="3"/>
          <w:numId w:val="66"/>
        </w:numPr>
        <w:tabs>
          <w:tab w:val="left" w:pos="2594"/>
        </w:tabs>
        <w:ind w:left="2593"/>
      </w:pPr>
      <w:r>
        <w:t xml:space="preserve">the </w:t>
      </w:r>
      <w:r>
        <w:rPr>
          <w:spacing w:val="-1"/>
        </w:rPr>
        <w:t>proposed</w:t>
      </w:r>
      <w:r>
        <w:t xml:space="preserve"> </w:t>
      </w:r>
      <w:r>
        <w:rPr>
          <w:spacing w:val="-1"/>
        </w:rPr>
        <w:t>Key</w:t>
      </w:r>
      <w:r>
        <w:rPr>
          <w:spacing w:val="-2"/>
        </w:rPr>
        <w:t xml:space="preserve"> </w:t>
      </w:r>
      <w:r>
        <w:rPr>
          <w:spacing w:val="-1"/>
        </w:rPr>
        <w:t>Sub-Contractor</w:t>
      </w:r>
      <w:r>
        <w:rPr>
          <w:spacing w:val="-3"/>
        </w:rPr>
        <w:t xml:space="preserve"> </w:t>
      </w:r>
      <w:r>
        <w:rPr>
          <w:spacing w:val="-4"/>
        </w:rPr>
        <w:t>employs unfit</w:t>
      </w:r>
      <w:r>
        <w:rPr>
          <w:spacing w:val="-5"/>
        </w:rPr>
        <w:t xml:space="preserve"> </w:t>
      </w:r>
      <w:r>
        <w:rPr>
          <w:spacing w:val="-4"/>
        </w:rPr>
        <w:t>persons.</w:t>
      </w:r>
    </w:p>
    <w:p w:rsidR="008918FA" w:rsidRDefault="008918FA" w:rsidP="008918FA">
      <w:pPr>
        <w:pStyle w:val="BodyText"/>
        <w:numPr>
          <w:ilvl w:val="2"/>
          <w:numId w:val="66"/>
        </w:numPr>
        <w:tabs>
          <w:tab w:val="left" w:pos="1886"/>
        </w:tabs>
        <w:spacing w:before="121"/>
        <w:ind w:left="1885" w:right="117" w:hanging="993"/>
        <w:jc w:val="both"/>
      </w:pPr>
      <w:r>
        <w:rPr>
          <w:spacing w:val="-1"/>
        </w:rPr>
        <w:t>Except</w:t>
      </w:r>
      <w:r>
        <w:rPr>
          <w:spacing w:val="38"/>
        </w:rPr>
        <w:t xml:space="preserve"> </w:t>
      </w:r>
      <w:r>
        <w:rPr>
          <w:spacing w:val="-2"/>
        </w:rPr>
        <w:t>where</w:t>
      </w:r>
      <w:r>
        <w:rPr>
          <w:spacing w:val="36"/>
        </w:rPr>
        <w:t xml:space="preserve"> </w:t>
      </w:r>
      <w:r>
        <w:t>the</w:t>
      </w:r>
      <w:r>
        <w:rPr>
          <w:spacing w:val="36"/>
        </w:rPr>
        <w:t xml:space="preserve"> </w:t>
      </w:r>
      <w:r>
        <w:rPr>
          <w:spacing w:val="-1"/>
        </w:rPr>
        <w:t>Authority</w:t>
      </w:r>
      <w:r>
        <w:rPr>
          <w:spacing w:val="34"/>
        </w:rPr>
        <w:t xml:space="preserve"> </w:t>
      </w:r>
      <w:r>
        <w:rPr>
          <w:spacing w:val="-1"/>
        </w:rPr>
        <w:t>and</w:t>
      </w:r>
      <w:r>
        <w:rPr>
          <w:spacing w:val="36"/>
        </w:rPr>
        <w:t xml:space="preserve"> </w:t>
      </w:r>
      <w:r>
        <w:t>the</w:t>
      </w:r>
      <w:r>
        <w:rPr>
          <w:spacing w:val="36"/>
        </w:rPr>
        <w:t xml:space="preserve"> </w:t>
      </w:r>
      <w:r>
        <w:rPr>
          <w:spacing w:val="-2"/>
        </w:rPr>
        <w:t>Customer</w:t>
      </w:r>
      <w:r>
        <w:rPr>
          <w:spacing w:val="39"/>
        </w:rPr>
        <w:t xml:space="preserve"> </w:t>
      </w:r>
      <w:r>
        <w:rPr>
          <w:spacing w:val="-2"/>
        </w:rPr>
        <w:t>have</w:t>
      </w:r>
      <w:r>
        <w:rPr>
          <w:spacing w:val="36"/>
        </w:rPr>
        <w:t xml:space="preserve"> </w:t>
      </w:r>
      <w:r>
        <w:rPr>
          <w:spacing w:val="-1"/>
        </w:rPr>
        <w:t>given</w:t>
      </w:r>
      <w:r>
        <w:rPr>
          <w:spacing w:val="36"/>
        </w:rPr>
        <w:t xml:space="preserve"> </w:t>
      </w:r>
      <w:r>
        <w:rPr>
          <w:spacing w:val="-1"/>
        </w:rPr>
        <w:t>their</w:t>
      </w:r>
      <w:r>
        <w:rPr>
          <w:spacing w:val="38"/>
        </w:rPr>
        <w:t xml:space="preserve"> </w:t>
      </w:r>
      <w:r>
        <w:rPr>
          <w:spacing w:val="-1"/>
        </w:rPr>
        <w:t>prior</w:t>
      </w:r>
      <w:r>
        <w:rPr>
          <w:spacing w:val="38"/>
        </w:rPr>
        <w:t xml:space="preserve"> </w:t>
      </w:r>
      <w:r>
        <w:rPr>
          <w:spacing w:val="-1"/>
        </w:rPr>
        <w:t>written</w:t>
      </w:r>
      <w:r>
        <w:rPr>
          <w:spacing w:val="46"/>
        </w:rPr>
        <w:t xml:space="preserve"> </w:t>
      </w:r>
      <w:r>
        <w:rPr>
          <w:spacing w:val="-1"/>
        </w:rPr>
        <w:t>consent</w:t>
      </w:r>
      <w:r>
        <w:rPr>
          <w:spacing w:val="47"/>
        </w:rPr>
        <w:t xml:space="preserve"> </w:t>
      </w:r>
      <w:r>
        <w:rPr>
          <w:spacing w:val="-1"/>
        </w:rPr>
        <w:t>under</w:t>
      </w:r>
      <w:r>
        <w:rPr>
          <w:spacing w:val="47"/>
        </w:rPr>
        <w:t xml:space="preserve"> </w:t>
      </w:r>
      <w:r>
        <w:rPr>
          <w:spacing w:val="-2"/>
        </w:rPr>
        <w:t>Clause</w:t>
      </w:r>
      <w:r>
        <w:rPr>
          <w:spacing w:val="46"/>
        </w:rPr>
        <w:t xml:space="preserve"> </w:t>
      </w:r>
      <w:hyperlink w:anchor="_bookmark149" w:history="1">
        <w:r>
          <w:rPr>
            <w:spacing w:val="-1"/>
          </w:rPr>
          <w:t>29.2.1</w:t>
        </w:r>
      </w:hyperlink>
      <w:r>
        <w:rPr>
          <w:spacing w:val="-1"/>
        </w:rPr>
        <w:t>,</w:t>
      </w:r>
      <w:r>
        <w:rPr>
          <w:spacing w:val="47"/>
        </w:rPr>
        <w:t xml:space="preserve"> </w:t>
      </w:r>
      <w:r>
        <w:t>the</w:t>
      </w:r>
      <w:r>
        <w:rPr>
          <w:spacing w:val="46"/>
        </w:rPr>
        <w:t xml:space="preserve"> </w:t>
      </w:r>
      <w:r>
        <w:rPr>
          <w:spacing w:val="-2"/>
        </w:rPr>
        <w:t>Supplier</w:t>
      </w:r>
      <w:r>
        <w:rPr>
          <w:spacing w:val="48"/>
        </w:rPr>
        <w:t xml:space="preserve"> </w:t>
      </w:r>
      <w:r>
        <w:rPr>
          <w:spacing w:val="-1"/>
        </w:rPr>
        <w:t>shall</w:t>
      </w:r>
      <w:r>
        <w:rPr>
          <w:spacing w:val="45"/>
        </w:rPr>
        <w:t xml:space="preserve"> </w:t>
      </w:r>
      <w:r>
        <w:rPr>
          <w:spacing w:val="-1"/>
        </w:rPr>
        <w:t>ensure</w:t>
      </w:r>
      <w:r>
        <w:rPr>
          <w:spacing w:val="46"/>
        </w:rPr>
        <w:t xml:space="preserve"> </w:t>
      </w:r>
      <w:r>
        <w:rPr>
          <w:spacing w:val="-1"/>
        </w:rPr>
        <w:t>that</w:t>
      </w:r>
      <w:r>
        <w:rPr>
          <w:spacing w:val="54"/>
        </w:rPr>
        <w:t xml:space="preserve"> </w:t>
      </w:r>
      <w:r>
        <w:rPr>
          <w:spacing w:val="-1"/>
        </w:rPr>
        <w:t>each</w:t>
      </w:r>
      <w:r>
        <w:rPr>
          <w:spacing w:val="1"/>
        </w:rPr>
        <w:t xml:space="preserve"> </w:t>
      </w:r>
      <w:r>
        <w:rPr>
          <w:spacing w:val="-1"/>
        </w:rPr>
        <w:t>Key</w:t>
      </w:r>
      <w:r>
        <w:rPr>
          <w:spacing w:val="-2"/>
        </w:rPr>
        <w:t xml:space="preserve"> </w:t>
      </w:r>
      <w:r>
        <w:rPr>
          <w:spacing w:val="-1"/>
        </w:rPr>
        <w:t>Sub-Contract</w:t>
      </w:r>
      <w:r>
        <w:t xml:space="preserve"> </w:t>
      </w:r>
      <w:r>
        <w:rPr>
          <w:spacing w:val="-2"/>
        </w:rPr>
        <w:t>shall</w:t>
      </w:r>
      <w:r>
        <w:t xml:space="preserve"> </w:t>
      </w:r>
      <w:r>
        <w:rPr>
          <w:spacing w:val="-2"/>
        </w:rPr>
        <w:t>include:</w:t>
      </w:r>
    </w:p>
    <w:p w:rsidR="008918FA" w:rsidRDefault="008918FA" w:rsidP="008918FA">
      <w:pPr>
        <w:pStyle w:val="BodyText"/>
        <w:numPr>
          <w:ilvl w:val="3"/>
          <w:numId w:val="66"/>
        </w:numPr>
        <w:tabs>
          <w:tab w:val="left" w:pos="2594"/>
        </w:tabs>
        <w:ind w:left="2593" w:right="115"/>
        <w:jc w:val="both"/>
      </w:pPr>
      <w:r>
        <w:rPr>
          <w:spacing w:val="-2"/>
        </w:rPr>
        <w:t>provisions</w:t>
      </w:r>
      <w:r>
        <w:rPr>
          <w:spacing w:val="33"/>
        </w:rPr>
        <w:t xml:space="preserve"> </w:t>
      </w:r>
      <w:r>
        <w:rPr>
          <w:spacing w:val="-2"/>
        </w:rPr>
        <w:t>which</w:t>
      </w:r>
      <w:r>
        <w:rPr>
          <w:spacing w:val="33"/>
        </w:rPr>
        <w:t xml:space="preserve"> </w:t>
      </w:r>
      <w:r>
        <w:rPr>
          <w:spacing w:val="-2"/>
        </w:rPr>
        <w:t>will</w:t>
      </w:r>
      <w:r>
        <w:rPr>
          <w:spacing w:val="30"/>
        </w:rPr>
        <w:t xml:space="preserve"> </w:t>
      </w:r>
      <w:r>
        <w:rPr>
          <w:spacing w:val="-1"/>
        </w:rPr>
        <w:t>enable</w:t>
      </w:r>
      <w:r>
        <w:rPr>
          <w:spacing w:val="30"/>
        </w:rPr>
        <w:t xml:space="preserve"> </w:t>
      </w:r>
      <w:r>
        <w:t>the</w:t>
      </w:r>
      <w:r>
        <w:rPr>
          <w:spacing w:val="30"/>
        </w:rPr>
        <w:t xml:space="preserve"> </w:t>
      </w:r>
      <w:r>
        <w:rPr>
          <w:spacing w:val="-2"/>
        </w:rPr>
        <w:t>Supplier</w:t>
      </w:r>
      <w:r>
        <w:rPr>
          <w:spacing w:val="32"/>
        </w:rPr>
        <w:t xml:space="preserve"> </w:t>
      </w:r>
      <w:r>
        <w:t>to</w:t>
      </w:r>
      <w:r>
        <w:rPr>
          <w:spacing w:val="28"/>
        </w:rPr>
        <w:t xml:space="preserve"> </w:t>
      </w:r>
      <w:r>
        <w:rPr>
          <w:spacing w:val="-1"/>
        </w:rPr>
        <w:t>discharge</w:t>
      </w:r>
      <w:r>
        <w:rPr>
          <w:spacing w:val="30"/>
        </w:rPr>
        <w:t xml:space="preserve"> </w:t>
      </w:r>
      <w:r>
        <w:rPr>
          <w:spacing w:val="-1"/>
        </w:rPr>
        <w:t>its</w:t>
      </w:r>
      <w:r>
        <w:rPr>
          <w:spacing w:val="59"/>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3"/>
          <w:numId w:val="66"/>
        </w:numPr>
        <w:tabs>
          <w:tab w:val="left" w:pos="2594"/>
        </w:tabs>
        <w:ind w:left="2592" w:right="114" w:hanging="707"/>
        <w:jc w:val="both"/>
      </w:pPr>
      <w:r>
        <w:t>a</w:t>
      </w:r>
      <w:r>
        <w:rPr>
          <w:spacing w:val="52"/>
        </w:rPr>
        <w:t xml:space="preserve"> </w:t>
      </w:r>
      <w:r>
        <w:rPr>
          <w:spacing w:val="-1"/>
        </w:rPr>
        <w:t>right</w:t>
      </w:r>
      <w:r>
        <w:rPr>
          <w:spacing w:val="53"/>
        </w:rPr>
        <w:t xml:space="preserve"> </w:t>
      </w:r>
      <w:r>
        <w:rPr>
          <w:spacing w:val="-2"/>
        </w:rPr>
        <w:t>under</w:t>
      </w:r>
      <w:r>
        <w:rPr>
          <w:spacing w:val="53"/>
        </w:rPr>
        <w:t xml:space="preserve"> </w:t>
      </w:r>
      <w:r>
        <w:rPr>
          <w:spacing w:val="-1"/>
        </w:rPr>
        <w:t>CRTPA</w:t>
      </w:r>
      <w:r>
        <w:rPr>
          <w:spacing w:val="47"/>
        </w:rPr>
        <w:t xml:space="preserve"> </w:t>
      </w:r>
      <w:r>
        <w:t>for</w:t>
      </w:r>
      <w:r>
        <w:rPr>
          <w:spacing w:val="51"/>
        </w:rPr>
        <w:t xml:space="preserve"> </w:t>
      </w:r>
      <w:r>
        <w:t>the</w:t>
      </w:r>
      <w:r>
        <w:rPr>
          <w:spacing w:val="49"/>
        </w:rPr>
        <w:t xml:space="preserve"> </w:t>
      </w:r>
      <w:r>
        <w:rPr>
          <w:spacing w:val="-1"/>
        </w:rPr>
        <w:t>Customer</w:t>
      </w:r>
      <w:r>
        <w:rPr>
          <w:spacing w:val="52"/>
        </w:rPr>
        <w:t xml:space="preserve"> </w:t>
      </w:r>
      <w:r>
        <w:t>to</w:t>
      </w:r>
      <w:r>
        <w:rPr>
          <w:spacing w:val="49"/>
        </w:rPr>
        <w:t xml:space="preserve"> </w:t>
      </w:r>
      <w:r>
        <w:rPr>
          <w:spacing w:val="-1"/>
        </w:rPr>
        <w:t>enforce</w:t>
      </w:r>
      <w:r>
        <w:rPr>
          <w:spacing w:val="52"/>
        </w:rPr>
        <w:t xml:space="preserve"> </w:t>
      </w:r>
      <w:r>
        <w:rPr>
          <w:spacing w:val="-1"/>
        </w:rPr>
        <w:t>any</w:t>
      </w:r>
      <w:r>
        <w:rPr>
          <w:spacing w:val="24"/>
        </w:rPr>
        <w:t xml:space="preserve"> </w:t>
      </w:r>
      <w:r>
        <w:rPr>
          <w:spacing w:val="-2"/>
        </w:rPr>
        <w:t>provisions</w:t>
      </w:r>
      <w:r>
        <w:rPr>
          <w:spacing w:val="30"/>
        </w:rPr>
        <w:t xml:space="preserve"> </w:t>
      </w:r>
      <w:r>
        <w:rPr>
          <w:spacing w:val="-1"/>
        </w:rPr>
        <w:t>under</w:t>
      </w:r>
      <w:r>
        <w:rPr>
          <w:spacing w:val="30"/>
        </w:rPr>
        <w:t xml:space="preserve"> </w:t>
      </w:r>
      <w:r>
        <w:t>the</w:t>
      </w:r>
      <w:r>
        <w:rPr>
          <w:spacing w:val="29"/>
        </w:rPr>
        <w:t xml:space="preserve"> </w:t>
      </w:r>
      <w:r>
        <w:rPr>
          <w:spacing w:val="-2"/>
        </w:rPr>
        <w:t>Key</w:t>
      </w:r>
      <w:r>
        <w:rPr>
          <w:spacing w:val="27"/>
        </w:rPr>
        <w:t xml:space="preserve"> </w:t>
      </w:r>
      <w:r>
        <w:rPr>
          <w:spacing w:val="-1"/>
        </w:rPr>
        <w:t>Sub-Contract</w:t>
      </w:r>
      <w:r>
        <w:rPr>
          <w:spacing w:val="29"/>
        </w:rPr>
        <w:t xml:space="preserve"> </w:t>
      </w:r>
      <w:r>
        <w:rPr>
          <w:spacing w:val="-2"/>
        </w:rPr>
        <w:t>which</w:t>
      </w:r>
      <w:r>
        <w:rPr>
          <w:spacing w:val="30"/>
        </w:rPr>
        <w:t xml:space="preserve"> </w:t>
      </w:r>
      <w:r>
        <w:rPr>
          <w:spacing w:val="-1"/>
        </w:rPr>
        <w:t>confer</w:t>
      </w:r>
      <w:r>
        <w:rPr>
          <w:spacing w:val="30"/>
        </w:rPr>
        <w:t xml:space="preserve"> </w:t>
      </w:r>
      <w:r>
        <w:t>a</w:t>
      </w:r>
      <w:r>
        <w:rPr>
          <w:spacing w:val="27"/>
        </w:rPr>
        <w:t xml:space="preserve"> </w:t>
      </w:r>
      <w:r>
        <w:rPr>
          <w:spacing w:val="-1"/>
        </w:rPr>
        <w:t>benefit</w:t>
      </w:r>
      <w:r>
        <w:rPr>
          <w:spacing w:val="53"/>
        </w:rPr>
        <w:t xml:space="preserve"> </w:t>
      </w:r>
      <w:r>
        <w:rPr>
          <w:spacing w:val="-1"/>
        </w:rPr>
        <w:t>upon</w:t>
      </w:r>
      <w:r>
        <w:rPr>
          <w:spacing w:val="1"/>
        </w:rPr>
        <w:t xml:space="preserve"> </w:t>
      </w:r>
      <w:r>
        <w:t>the</w:t>
      </w:r>
      <w:r>
        <w:rPr>
          <w:spacing w:val="-2"/>
        </w:rPr>
        <w:t xml:space="preserve"> </w:t>
      </w:r>
      <w:r>
        <w:rPr>
          <w:spacing w:val="-1"/>
        </w:rPr>
        <w:t>Customer;</w:t>
      </w:r>
    </w:p>
    <w:p w:rsidR="008918FA" w:rsidRDefault="008918FA" w:rsidP="008918FA">
      <w:pPr>
        <w:pStyle w:val="BodyText"/>
        <w:numPr>
          <w:ilvl w:val="3"/>
          <w:numId w:val="66"/>
        </w:numPr>
        <w:tabs>
          <w:tab w:val="left" w:pos="2593"/>
        </w:tabs>
        <w:ind w:left="2592" w:right="118"/>
        <w:jc w:val="both"/>
      </w:pPr>
      <w:r>
        <w:t>a</w:t>
      </w:r>
      <w:r>
        <w:rPr>
          <w:spacing w:val="55"/>
        </w:rPr>
        <w:t xml:space="preserve"> </w:t>
      </w:r>
      <w:r>
        <w:rPr>
          <w:spacing w:val="-2"/>
        </w:rPr>
        <w:t>provision</w:t>
      </w:r>
      <w:r>
        <w:rPr>
          <w:spacing w:val="55"/>
        </w:rPr>
        <w:t xml:space="preserve"> </w:t>
      </w:r>
      <w:r>
        <w:rPr>
          <w:spacing w:val="-2"/>
        </w:rPr>
        <w:t>enabling</w:t>
      </w:r>
      <w:r>
        <w:rPr>
          <w:spacing w:val="58"/>
        </w:rPr>
        <w:t xml:space="preserve"> </w:t>
      </w:r>
      <w:r>
        <w:rPr>
          <w:spacing w:val="-1"/>
        </w:rPr>
        <w:t>the</w:t>
      </w:r>
      <w:r>
        <w:rPr>
          <w:spacing w:val="55"/>
        </w:rPr>
        <w:t xml:space="preserve"> </w:t>
      </w:r>
      <w:r>
        <w:rPr>
          <w:spacing w:val="-1"/>
        </w:rPr>
        <w:t>Customer</w:t>
      </w:r>
      <w:r>
        <w:rPr>
          <w:spacing w:val="54"/>
        </w:rPr>
        <w:t xml:space="preserve"> </w:t>
      </w:r>
      <w:r>
        <w:t>to</w:t>
      </w:r>
      <w:r>
        <w:rPr>
          <w:spacing w:val="55"/>
        </w:rPr>
        <w:t xml:space="preserve"> </w:t>
      </w:r>
      <w:r>
        <w:rPr>
          <w:spacing w:val="-1"/>
        </w:rPr>
        <w:t>enforce</w:t>
      </w:r>
      <w:r>
        <w:rPr>
          <w:spacing w:val="54"/>
        </w:rPr>
        <w:t xml:space="preserve"> </w:t>
      </w:r>
      <w:r>
        <w:t>the</w:t>
      </w:r>
      <w:r>
        <w:rPr>
          <w:spacing w:val="55"/>
        </w:rPr>
        <w:t xml:space="preserve"> </w:t>
      </w:r>
      <w:r>
        <w:rPr>
          <w:spacing w:val="-1"/>
        </w:rPr>
        <w:t>Key</w:t>
      </w:r>
      <w:r>
        <w:rPr>
          <w:spacing w:val="53"/>
        </w:rPr>
        <w:t xml:space="preserve"> </w:t>
      </w:r>
      <w:r>
        <w:rPr>
          <w:spacing w:val="-1"/>
        </w:rPr>
        <w:t>Sub-</w:t>
      </w:r>
      <w:r>
        <w:rPr>
          <w:spacing w:val="43"/>
        </w:rPr>
        <w:t xml:space="preserve"> </w:t>
      </w:r>
      <w:r>
        <w:rPr>
          <w:spacing w:val="-1"/>
        </w:rPr>
        <w:t>Contract</w:t>
      </w:r>
      <w:r>
        <w:rPr>
          <w:spacing w:val="2"/>
        </w:rPr>
        <w:t xml:space="preserve"> </w:t>
      </w:r>
      <w:r>
        <w:rPr>
          <w:spacing w:val="-1"/>
        </w:rPr>
        <w:t>as</w:t>
      </w:r>
      <w:r>
        <w:rPr>
          <w:spacing w:val="-2"/>
        </w:rPr>
        <w:t xml:space="preserve"> if</w:t>
      </w:r>
      <w:r>
        <w:rPr>
          <w:spacing w:val="4"/>
        </w:rPr>
        <w:t xml:space="preserve"> </w:t>
      </w:r>
      <w:r>
        <w:rPr>
          <w:spacing w:val="-2"/>
        </w:rPr>
        <w:t>it</w:t>
      </w:r>
      <w:r>
        <w:rPr>
          <w:spacing w:val="2"/>
        </w:rPr>
        <w:t xml:space="preserve"> </w:t>
      </w:r>
      <w:r>
        <w:rPr>
          <w:spacing w:val="-2"/>
        </w:rPr>
        <w:t xml:space="preserve">were </w:t>
      </w:r>
      <w:r>
        <w:t>the</w:t>
      </w:r>
      <w:r>
        <w:rPr>
          <w:spacing w:val="-2"/>
        </w:rPr>
        <w:t xml:space="preserve"> </w:t>
      </w:r>
      <w:r>
        <w:rPr>
          <w:spacing w:val="-1"/>
        </w:rPr>
        <w:t>Supplier;</w:t>
      </w:r>
    </w:p>
    <w:p w:rsidR="008918FA" w:rsidRDefault="008918FA" w:rsidP="008918FA">
      <w:pPr>
        <w:pStyle w:val="BodyText"/>
        <w:numPr>
          <w:ilvl w:val="3"/>
          <w:numId w:val="66"/>
        </w:numPr>
        <w:tabs>
          <w:tab w:val="left" w:pos="2593"/>
        </w:tabs>
        <w:ind w:left="2592" w:right="118"/>
        <w:jc w:val="both"/>
      </w:pPr>
      <w:r>
        <w:t>a</w:t>
      </w:r>
      <w:r>
        <w:rPr>
          <w:spacing w:val="3"/>
        </w:rPr>
        <w:t xml:space="preserve"> </w:t>
      </w:r>
      <w:r>
        <w:rPr>
          <w:spacing w:val="-2"/>
        </w:rPr>
        <w:t>provision</w:t>
      </w:r>
      <w:r>
        <w:rPr>
          <w:spacing w:val="3"/>
        </w:rPr>
        <w:t xml:space="preserve"> </w:t>
      </w:r>
      <w:r>
        <w:rPr>
          <w:spacing w:val="-1"/>
        </w:rPr>
        <w:t>enabling</w:t>
      </w:r>
      <w:r>
        <w:rPr>
          <w:spacing w:val="5"/>
        </w:rPr>
        <w:t xml:space="preserve"> </w:t>
      </w:r>
      <w:r>
        <w:t>the</w:t>
      </w:r>
      <w:r>
        <w:rPr>
          <w:spacing w:val="3"/>
        </w:rPr>
        <w:t xml:space="preserve"> </w:t>
      </w:r>
      <w:r>
        <w:rPr>
          <w:spacing w:val="-2"/>
        </w:rPr>
        <w:t>Supplier</w:t>
      </w:r>
      <w:r>
        <w:rPr>
          <w:spacing w:val="4"/>
        </w:rPr>
        <w:t xml:space="preserve"> </w:t>
      </w:r>
      <w:r>
        <w:t>to</w:t>
      </w:r>
      <w:r>
        <w:rPr>
          <w:spacing w:val="3"/>
        </w:rPr>
        <w:t xml:space="preserve"> </w:t>
      </w:r>
      <w:r>
        <w:rPr>
          <w:spacing w:val="-1"/>
        </w:rPr>
        <w:t>assign,</w:t>
      </w:r>
      <w:r>
        <w:rPr>
          <w:spacing w:val="4"/>
        </w:rPr>
        <w:t xml:space="preserve"> </w:t>
      </w:r>
      <w:r>
        <w:rPr>
          <w:spacing w:val="-2"/>
        </w:rPr>
        <w:t>novate</w:t>
      </w:r>
      <w:r>
        <w:rPr>
          <w:spacing w:val="3"/>
        </w:rPr>
        <w:t xml:space="preserve"> </w:t>
      </w:r>
      <w:r>
        <w:rPr>
          <w:spacing w:val="-1"/>
        </w:rPr>
        <w:t>or</w:t>
      </w:r>
      <w:r>
        <w:rPr>
          <w:spacing w:val="4"/>
        </w:rPr>
        <w:t xml:space="preserve"> </w:t>
      </w:r>
      <w:r>
        <w:rPr>
          <w:spacing w:val="-2"/>
        </w:rPr>
        <w:t>otherwise</w:t>
      </w:r>
      <w:r>
        <w:rPr>
          <w:spacing w:val="70"/>
        </w:rPr>
        <w:t xml:space="preserve"> </w:t>
      </w:r>
      <w:r>
        <w:rPr>
          <w:spacing w:val="-1"/>
        </w:rPr>
        <w:t>transfer</w:t>
      </w:r>
      <w:r>
        <w:rPr>
          <w:spacing w:val="16"/>
        </w:rPr>
        <w:t xml:space="preserve"> </w:t>
      </w:r>
      <w:r>
        <w:rPr>
          <w:spacing w:val="-1"/>
        </w:rPr>
        <w:t>any</w:t>
      </w:r>
      <w:r>
        <w:rPr>
          <w:spacing w:val="15"/>
        </w:rPr>
        <w:t xml:space="preserve"> </w:t>
      </w:r>
      <w:r>
        <w:rPr>
          <w:spacing w:val="-2"/>
        </w:rPr>
        <w:t>of</w:t>
      </w:r>
      <w:r>
        <w:rPr>
          <w:spacing w:val="21"/>
        </w:rPr>
        <w:t xml:space="preserve"> </w:t>
      </w:r>
      <w:r>
        <w:rPr>
          <w:spacing w:val="-1"/>
        </w:rPr>
        <w:t>its</w:t>
      </w:r>
      <w:r>
        <w:rPr>
          <w:spacing w:val="15"/>
        </w:rPr>
        <w:t xml:space="preserve"> </w:t>
      </w:r>
      <w:r>
        <w:rPr>
          <w:spacing w:val="-1"/>
        </w:rPr>
        <w:t>rights</w:t>
      </w:r>
      <w:r>
        <w:rPr>
          <w:spacing w:val="13"/>
        </w:rPr>
        <w:t xml:space="preserve"> </w:t>
      </w:r>
      <w:r>
        <w:rPr>
          <w:spacing w:val="-1"/>
        </w:rPr>
        <w:t>and/or</w:t>
      </w:r>
      <w:r>
        <w:rPr>
          <w:spacing w:val="19"/>
        </w:rPr>
        <w:t xml:space="preserve"> </w:t>
      </w:r>
      <w:r>
        <w:rPr>
          <w:spacing w:val="-1"/>
        </w:rPr>
        <w:t>obligations</w:t>
      </w:r>
      <w:r>
        <w:rPr>
          <w:spacing w:val="18"/>
        </w:rPr>
        <w:t xml:space="preserve"> </w:t>
      </w:r>
      <w:r>
        <w:rPr>
          <w:spacing w:val="-2"/>
        </w:rPr>
        <w:t>under</w:t>
      </w:r>
      <w:r>
        <w:rPr>
          <w:spacing w:val="16"/>
        </w:rPr>
        <w:t xml:space="preserve"> </w:t>
      </w:r>
      <w:r>
        <w:t>the</w:t>
      </w:r>
      <w:r>
        <w:rPr>
          <w:spacing w:val="17"/>
        </w:rPr>
        <w:t xml:space="preserve"> </w:t>
      </w:r>
      <w:r>
        <w:rPr>
          <w:spacing w:val="-1"/>
        </w:rPr>
        <w:t>Key</w:t>
      </w:r>
      <w:r>
        <w:rPr>
          <w:spacing w:val="15"/>
        </w:rPr>
        <w:t xml:space="preserve"> </w:t>
      </w:r>
      <w:r>
        <w:rPr>
          <w:spacing w:val="-1"/>
        </w:rPr>
        <w:t>Sub-</w:t>
      </w:r>
      <w:r>
        <w:rPr>
          <w:spacing w:val="45"/>
        </w:rPr>
        <w:t xml:space="preserve"> </w:t>
      </w:r>
      <w:r>
        <w:rPr>
          <w:spacing w:val="-1"/>
        </w:rPr>
        <w:t>Contract</w:t>
      </w:r>
      <w:r>
        <w:t xml:space="preserve"> to</w:t>
      </w:r>
      <w:r>
        <w:rPr>
          <w:spacing w:val="-2"/>
        </w:rPr>
        <w:t xml:space="preserve"> </w:t>
      </w:r>
      <w:r>
        <w:t xml:space="preserve">the </w:t>
      </w:r>
      <w:r>
        <w:rPr>
          <w:spacing w:val="-2"/>
        </w:rPr>
        <w:t>Customer</w:t>
      </w:r>
      <w:r>
        <w:rPr>
          <w:spacing w:val="2"/>
        </w:rPr>
        <w:t xml:space="preserve"> </w:t>
      </w:r>
      <w:r>
        <w:rPr>
          <w:spacing w:val="-1"/>
        </w:rPr>
        <w:t>or any</w:t>
      </w:r>
      <w:r>
        <w:rPr>
          <w:spacing w:val="-2"/>
        </w:rPr>
        <w:t xml:space="preserve"> Replacement</w:t>
      </w:r>
      <w:r>
        <w:rPr>
          <w:spacing w:val="2"/>
        </w:rPr>
        <w:t xml:space="preserve"> </w:t>
      </w:r>
      <w:r>
        <w:rPr>
          <w:spacing w:val="-1"/>
        </w:rPr>
        <w:t>Supplier;</w:t>
      </w:r>
    </w:p>
    <w:p w:rsidR="008918FA" w:rsidRDefault="008918FA" w:rsidP="008918FA">
      <w:pPr>
        <w:pStyle w:val="BodyText"/>
        <w:numPr>
          <w:ilvl w:val="3"/>
          <w:numId w:val="66"/>
        </w:numPr>
        <w:tabs>
          <w:tab w:val="left" w:pos="2592"/>
        </w:tabs>
        <w:ind w:left="2592" w:right="115"/>
        <w:jc w:val="both"/>
      </w:pPr>
      <w:r>
        <w:rPr>
          <w:spacing w:val="-1"/>
        </w:rPr>
        <w:t>obligations</w:t>
      </w:r>
      <w:r>
        <w:rPr>
          <w:spacing w:val="49"/>
        </w:rPr>
        <w:t xml:space="preserve"> </w:t>
      </w:r>
      <w:r>
        <w:rPr>
          <w:spacing w:val="-1"/>
        </w:rPr>
        <w:t>no</w:t>
      </w:r>
      <w:r>
        <w:rPr>
          <w:spacing w:val="48"/>
        </w:rPr>
        <w:t xml:space="preserve"> </w:t>
      </w:r>
      <w:r>
        <w:rPr>
          <w:spacing w:val="-1"/>
        </w:rPr>
        <w:t>less</w:t>
      </w:r>
      <w:r>
        <w:rPr>
          <w:spacing w:val="49"/>
        </w:rPr>
        <w:t xml:space="preserve"> </w:t>
      </w:r>
      <w:r>
        <w:rPr>
          <w:spacing w:val="-1"/>
        </w:rPr>
        <w:t>onerous</w:t>
      </w:r>
      <w:r>
        <w:rPr>
          <w:spacing w:val="49"/>
        </w:rPr>
        <w:t xml:space="preserve"> </w:t>
      </w:r>
      <w:r>
        <w:rPr>
          <w:spacing w:val="-1"/>
        </w:rPr>
        <w:t>on</w:t>
      </w:r>
      <w:r>
        <w:rPr>
          <w:spacing w:val="48"/>
        </w:rPr>
        <w:t xml:space="preserve"> </w:t>
      </w:r>
      <w:r>
        <w:t>the</w:t>
      </w:r>
      <w:r>
        <w:rPr>
          <w:spacing w:val="48"/>
        </w:rPr>
        <w:t xml:space="preserve"> </w:t>
      </w:r>
      <w:r>
        <w:rPr>
          <w:spacing w:val="-1"/>
        </w:rPr>
        <w:t>Key</w:t>
      </w:r>
      <w:r>
        <w:rPr>
          <w:spacing w:val="49"/>
        </w:rPr>
        <w:t xml:space="preserve"> </w:t>
      </w:r>
      <w:r>
        <w:rPr>
          <w:spacing w:val="-1"/>
        </w:rPr>
        <w:t>Sub-Contractor</w:t>
      </w:r>
      <w:r>
        <w:rPr>
          <w:spacing w:val="47"/>
        </w:rPr>
        <w:t xml:space="preserve"> </w:t>
      </w:r>
      <w:r>
        <w:rPr>
          <w:spacing w:val="-1"/>
        </w:rPr>
        <w:t>than</w:t>
      </w:r>
      <w:r>
        <w:rPr>
          <w:spacing w:val="20"/>
        </w:rPr>
        <w:t xml:space="preserve"> </w:t>
      </w:r>
      <w:r>
        <w:rPr>
          <w:spacing w:val="-1"/>
        </w:rPr>
        <w:t>those</w:t>
      </w:r>
      <w:r>
        <w:rPr>
          <w:spacing w:val="30"/>
        </w:rPr>
        <w:t xml:space="preserve"> </w:t>
      </w:r>
      <w:r>
        <w:rPr>
          <w:spacing w:val="-1"/>
        </w:rPr>
        <w:t>imposed</w:t>
      </w:r>
      <w:r>
        <w:rPr>
          <w:spacing w:val="27"/>
        </w:rPr>
        <w:t xml:space="preserve"> </w:t>
      </w:r>
      <w:r>
        <w:rPr>
          <w:spacing w:val="-1"/>
        </w:rPr>
        <w:t>on</w:t>
      </w:r>
      <w:r>
        <w:rPr>
          <w:spacing w:val="29"/>
        </w:rPr>
        <w:t xml:space="preserve"> </w:t>
      </w:r>
      <w:r>
        <w:t>the</w:t>
      </w:r>
      <w:r>
        <w:rPr>
          <w:spacing w:val="27"/>
        </w:rPr>
        <w:t xml:space="preserve"> </w:t>
      </w:r>
      <w:r>
        <w:rPr>
          <w:spacing w:val="-2"/>
        </w:rPr>
        <w:t>Supplier</w:t>
      </w:r>
      <w:r>
        <w:rPr>
          <w:spacing w:val="30"/>
        </w:rPr>
        <w:t xml:space="preserve"> </w:t>
      </w:r>
      <w:r>
        <w:rPr>
          <w:spacing w:val="-1"/>
        </w:rPr>
        <w:t>under</w:t>
      </w:r>
      <w:r>
        <w:rPr>
          <w:spacing w:val="30"/>
        </w:rPr>
        <w:t xml:space="preserve"> </w:t>
      </w:r>
      <w:r>
        <w:rPr>
          <w:spacing w:val="-1"/>
        </w:rPr>
        <w:t>this</w:t>
      </w:r>
      <w:r>
        <w:rPr>
          <w:spacing w:val="30"/>
        </w:rPr>
        <w:t xml:space="preserve"> </w:t>
      </w:r>
      <w:r>
        <w:rPr>
          <w:spacing w:val="-2"/>
        </w:rPr>
        <w:t>Call</w:t>
      </w:r>
      <w:r>
        <w:rPr>
          <w:spacing w:val="28"/>
        </w:rPr>
        <w:t xml:space="preserve"> </w:t>
      </w:r>
      <w:r>
        <w:rPr>
          <w:spacing w:val="-1"/>
        </w:rPr>
        <w:t>Off</w:t>
      </w:r>
      <w:r>
        <w:rPr>
          <w:spacing w:val="30"/>
        </w:rPr>
        <w:t xml:space="preserve"> </w:t>
      </w:r>
      <w:r>
        <w:rPr>
          <w:spacing w:val="-1"/>
        </w:rPr>
        <w:t>Contract</w:t>
      </w:r>
      <w:r>
        <w:rPr>
          <w:spacing w:val="29"/>
        </w:rPr>
        <w:t xml:space="preserve"> </w:t>
      </w:r>
      <w:r>
        <w:rPr>
          <w:spacing w:val="-1"/>
        </w:rPr>
        <w:t>in</w:t>
      </w:r>
      <w:r>
        <w:rPr>
          <w:spacing w:val="43"/>
        </w:rPr>
        <w:t xml:space="preserve"> </w:t>
      </w:r>
      <w:r>
        <w:rPr>
          <w:spacing w:val="-1"/>
        </w:rPr>
        <w:t>respect</w:t>
      </w:r>
      <w:r>
        <w:t xml:space="preserve"> </w:t>
      </w:r>
      <w:r>
        <w:rPr>
          <w:spacing w:val="-1"/>
        </w:rPr>
        <w:t>of:</w:t>
      </w:r>
    </w:p>
    <w:p w:rsidR="008918FA" w:rsidRDefault="008918FA" w:rsidP="008918FA">
      <w:pPr>
        <w:pStyle w:val="BodyText"/>
        <w:numPr>
          <w:ilvl w:val="4"/>
          <w:numId w:val="66"/>
        </w:numPr>
        <w:tabs>
          <w:tab w:val="left" w:pos="3161"/>
        </w:tabs>
        <w:ind w:left="3161" w:right="113"/>
        <w:jc w:val="both"/>
      </w:pPr>
      <w:r>
        <w:rPr>
          <w:spacing w:val="-1"/>
        </w:rPr>
        <w:t>data</w:t>
      </w:r>
      <w:r>
        <w:rPr>
          <w:spacing w:val="16"/>
        </w:rPr>
        <w:t xml:space="preserve"> </w:t>
      </w:r>
      <w:r>
        <w:rPr>
          <w:spacing w:val="-1"/>
        </w:rPr>
        <w:t>protection</w:t>
      </w:r>
      <w:r>
        <w:rPr>
          <w:spacing w:val="16"/>
        </w:rPr>
        <w:t xml:space="preserve"> </w:t>
      </w:r>
      <w:r>
        <w:rPr>
          <w:spacing w:val="-1"/>
        </w:rPr>
        <w:t>requirements</w:t>
      </w:r>
      <w:r>
        <w:rPr>
          <w:spacing w:val="16"/>
        </w:rPr>
        <w:t xml:space="preserve"> </w:t>
      </w:r>
      <w:r>
        <w:rPr>
          <w:spacing w:val="-2"/>
        </w:rPr>
        <w:t>set</w:t>
      </w:r>
      <w:r>
        <w:rPr>
          <w:spacing w:val="17"/>
        </w:rPr>
        <w:t xml:space="preserve"> </w:t>
      </w:r>
      <w:r>
        <w:rPr>
          <w:spacing w:val="-1"/>
        </w:rPr>
        <w:t>out</w:t>
      </w:r>
      <w:r>
        <w:rPr>
          <w:spacing w:val="17"/>
        </w:rPr>
        <w:t xml:space="preserve"> </w:t>
      </w:r>
      <w:r>
        <w:rPr>
          <w:spacing w:val="-1"/>
        </w:rPr>
        <w:t>in</w:t>
      </w:r>
      <w:r>
        <w:rPr>
          <w:spacing w:val="16"/>
        </w:rPr>
        <w:t xml:space="preserve"> </w:t>
      </w:r>
      <w:r>
        <w:rPr>
          <w:spacing w:val="-1"/>
        </w:rPr>
        <w:t>Clauses</w:t>
      </w:r>
      <w:r>
        <w:rPr>
          <w:spacing w:val="19"/>
        </w:rPr>
        <w:t xml:space="preserve"> </w:t>
      </w:r>
      <w:hyperlink w:anchor="_bookmark180" w:history="1">
        <w:r>
          <w:rPr>
            <w:spacing w:val="-1"/>
          </w:rPr>
          <w:t>34.1</w:t>
        </w:r>
      </w:hyperlink>
      <w:r>
        <w:rPr>
          <w:spacing w:val="25"/>
        </w:rPr>
        <w:t xml:space="preserve"> </w:t>
      </w:r>
      <w:r>
        <w:rPr>
          <w:spacing w:val="-1"/>
        </w:rPr>
        <w:t>(Security</w:t>
      </w:r>
      <w:r>
        <w:rPr>
          <w:spacing w:val="4"/>
        </w:rPr>
        <w:t xml:space="preserve"> </w:t>
      </w:r>
      <w:r>
        <w:rPr>
          <w:spacing w:val="-1"/>
        </w:rPr>
        <w:t>Requirements),</w:t>
      </w:r>
      <w:r>
        <w:rPr>
          <w:spacing w:val="8"/>
        </w:rPr>
        <w:t xml:space="preserve"> </w:t>
      </w:r>
      <w:hyperlink w:anchor="_bookmark181" w:history="1">
        <w:r>
          <w:rPr>
            <w:spacing w:val="-1"/>
          </w:rPr>
          <w:t>34.2</w:t>
        </w:r>
      </w:hyperlink>
      <w:r>
        <w:rPr>
          <w:spacing w:val="4"/>
        </w:rPr>
        <w:t xml:space="preserve"> </w:t>
      </w:r>
      <w:r>
        <w:rPr>
          <w:spacing w:val="-1"/>
        </w:rPr>
        <w:t>(Protection</w:t>
      </w:r>
      <w:r>
        <w:rPr>
          <w:spacing w:val="6"/>
        </w:rPr>
        <w:t xml:space="preserve"> </w:t>
      </w:r>
      <w:r>
        <w:rPr>
          <w:spacing w:val="-2"/>
        </w:rPr>
        <w:t>of</w:t>
      </w:r>
      <w:r>
        <w:rPr>
          <w:spacing w:val="8"/>
        </w:rPr>
        <w:t xml:space="preserve"> </w:t>
      </w:r>
      <w:r>
        <w:rPr>
          <w:spacing w:val="-2"/>
        </w:rPr>
        <w:t>Customer</w:t>
      </w:r>
      <w:r>
        <w:rPr>
          <w:spacing w:val="45"/>
        </w:rPr>
        <w:t xml:space="preserve"> </w:t>
      </w:r>
      <w:r>
        <w:rPr>
          <w:spacing w:val="-1"/>
        </w:rPr>
        <w:t>Data)</w:t>
      </w:r>
      <w:r>
        <w:rPr>
          <w:spacing w:val="2"/>
        </w:rPr>
        <w:t xml:space="preserve"> </w:t>
      </w:r>
      <w:r>
        <w:rPr>
          <w:spacing w:val="-1"/>
        </w:rPr>
        <w:t>and</w:t>
      </w:r>
      <w:r>
        <w:rPr>
          <w:spacing w:val="-2"/>
        </w:rPr>
        <w:t xml:space="preserve"> </w:t>
      </w:r>
      <w:hyperlink w:anchor="_bookmark192" w:history="1">
        <w:r>
          <w:rPr>
            <w:spacing w:val="-1"/>
          </w:rPr>
          <w:t>34.6</w:t>
        </w:r>
      </w:hyperlink>
      <w:r>
        <w:rPr>
          <w:spacing w:val="-2"/>
        </w:rPr>
        <w:t xml:space="preserve"> </w:t>
      </w:r>
      <w:r>
        <w:rPr>
          <w:spacing w:val="-1"/>
        </w:rPr>
        <w:t>(Protection</w:t>
      </w:r>
      <w:r>
        <w:t xml:space="preserve"> </w:t>
      </w:r>
      <w:r>
        <w:rPr>
          <w:spacing w:val="-2"/>
        </w:rPr>
        <w:t>of</w:t>
      </w:r>
      <w:r>
        <w:rPr>
          <w:spacing w:val="2"/>
        </w:rPr>
        <w:t xml:space="preserve"> </w:t>
      </w:r>
      <w:r>
        <w:rPr>
          <w:spacing w:val="-1"/>
        </w:rPr>
        <w:t>Personal</w:t>
      </w:r>
      <w:r>
        <w:t xml:space="preserve"> </w:t>
      </w:r>
      <w:r>
        <w:rPr>
          <w:spacing w:val="-2"/>
        </w:rPr>
        <w:t>Data);</w:t>
      </w:r>
    </w:p>
    <w:p w:rsidR="008918FA" w:rsidRDefault="008918FA" w:rsidP="008918FA">
      <w:pPr>
        <w:pStyle w:val="BodyText"/>
        <w:numPr>
          <w:ilvl w:val="4"/>
          <w:numId w:val="66"/>
        </w:numPr>
        <w:tabs>
          <w:tab w:val="left" w:pos="3162"/>
        </w:tabs>
        <w:spacing w:before="121"/>
        <w:ind w:left="3161" w:right="117"/>
        <w:jc w:val="both"/>
      </w:pPr>
      <w:r>
        <w:t>FOIA</w:t>
      </w:r>
      <w:r>
        <w:rPr>
          <w:spacing w:val="40"/>
        </w:rPr>
        <w:t xml:space="preserve"> </w:t>
      </w:r>
      <w:r>
        <w:rPr>
          <w:spacing w:val="-1"/>
        </w:rPr>
        <w:t>requirements</w:t>
      </w:r>
      <w:r>
        <w:rPr>
          <w:spacing w:val="41"/>
        </w:rPr>
        <w:t xml:space="preserve"> </w:t>
      </w:r>
      <w:r>
        <w:rPr>
          <w:spacing w:val="-1"/>
        </w:rPr>
        <w:t>set</w:t>
      </w:r>
      <w:r>
        <w:rPr>
          <w:spacing w:val="40"/>
        </w:rPr>
        <w:t xml:space="preserve"> </w:t>
      </w:r>
      <w:r>
        <w:rPr>
          <w:spacing w:val="-1"/>
        </w:rPr>
        <w:t>out</w:t>
      </w:r>
      <w:r>
        <w:rPr>
          <w:spacing w:val="42"/>
        </w:rPr>
        <w:t xml:space="preserve"> </w:t>
      </w:r>
      <w:r>
        <w:rPr>
          <w:spacing w:val="-1"/>
        </w:rPr>
        <w:t>in</w:t>
      </w:r>
      <w:r>
        <w:rPr>
          <w:spacing w:val="41"/>
        </w:rPr>
        <w:t xml:space="preserve"> </w:t>
      </w:r>
      <w:r>
        <w:rPr>
          <w:spacing w:val="-2"/>
        </w:rPr>
        <w:t>Clause</w:t>
      </w:r>
      <w:r>
        <w:rPr>
          <w:spacing w:val="43"/>
        </w:rPr>
        <w:t xml:space="preserve"> </w:t>
      </w:r>
      <w:hyperlink w:anchor="_bookmark191" w:history="1">
        <w:r>
          <w:rPr>
            <w:spacing w:val="-1"/>
          </w:rPr>
          <w:t>34.5</w:t>
        </w:r>
      </w:hyperlink>
      <w:r>
        <w:rPr>
          <w:spacing w:val="42"/>
        </w:rPr>
        <w:t xml:space="preserve"> </w:t>
      </w:r>
      <w:r>
        <w:rPr>
          <w:spacing w:val="-1"/>
        </w:rPr>
        <w:t>(Freedom</w:t>
      </w:r>
      <w:r>
        <w:rPr>
          <w:spacing w:val="40"/>
        </w:rPr>
        <w:t xml:space="preserve"> </w:t>
      </w:r>
      <w:r>
        <w:rPr>
          <w:spacing w:val="-2"/>
        </w:rPr>
        <w:t>of</w:t>
      </w:r>
      <w:r>
        <w:rPr>
          <w:spacing w:val="37"/>
        </w:rPr>
        <w:t xml:space="preserve"> </w:t>
      </w:r>
      <w:r>
        <w:rPr>
          <w:spacing w:val="-1"/>
        </w:rPr>
        <w:t>Information);</w:t>
      </w:r>
    </w:p>
    <w:p w:rsidR="008918FA" w:rsidRDefault="008918FA" w:rsidP="008918FA">
      <w:pPr>
        <w:pStyle w:val="BodyText"/>
        <w:numPr>
          <w:ilvl w:val="4"/>
          <w:numId w:val="66"/>
        </w:numPr>
        <w:tabs>
          <w:tab w:val="left" w:pos="3162"/>
        </w:tabs>
        <w:ind w:left="3161" w:right="113"/>
        <w:jc w:val="both"/>
      </w:pPr>
      <w:r>
        <w:t>the</w:t>
      </w:r>
      <w:r>
        <w:rPr>
          <w:spacing w:val="17"/>
        </w:rPr>
        <w:t xml:space="preserve"> </w:t>
      </w:r>
      <w:r>
        <w:rPr>
          <w:spacing w:val="-1"/>
        </w:rPr>
        <w:t>obligation</w:t>
      </w:r>
      <w:r>
        <w:rPr>
          <w:spacing w:val="17"/>
        </w:rPr>
        <w:t xml:space="preserve"> </w:t>
      </w:r>
      <w:r>
        <w:rPr>
          <w:spacing w:val="-1"/>
        </w:rPr>
        <w:t>not</w:t>
      </w:r>
      <w:r>
        <w:rPr>
          <w:spacing w:val="19"/>
        </w:rPr>
        <w:t xml:space="preserve"> </w:t>
      </w:r>
      <w:r>
        <w:t>to</w:t>
      </w:r>
      <w:r>
        <w:rPr>
          <w:spacing w:val="15"/>
        </w:rPr>
        <w:t xml:space="preserve"> </w:t>
      </w:r>
      <w:r>
        <w:rPr>
          <w:spacing w:val="-1"/>
        </w:rPr>
        <w:t>embarrass</w:t>
      </w:r>
      <w:r>
        <w:rPr>
          <w:spacing w:val="18"/>
        </w:rPr>
        <w:t xml:space="preserve"> </w:t>
      </w:r>
      <w:r>
        <w:t>the</w:t>
      </w:r>
      <w:r>
        <w:rPr>
          <w:spacing w:val="17"/>
        </w:rPr>
        <w:t xml:space="preserve"> </w:t>
      </w:r>
      <w:r>
        <w:rPr>
          <w:spacing w:val="-1"/>
        </w:rPr>
        <w:t>Customer</w:t>
      </w:r>
      <w:r>
        <w:rPr>
          <w:spacing w:val="19"/>
        </w:rPr>
        <w:t xml:space="preserve"> </w:t>
      </w:r>
      <w:r>
        <w:rPr>
          <w:spacing w:val="-2"/>
        </w:rPr>
        <w:t>or</w:t>
      </w:r>
      <w:r>
        <w:rPr>
          <w:spacing w:val="30"/>
        </w:rPr>
        <w:t xml:space="preserve"> </w:t>
      </w:r>
      <w:r>
        <w:rPr>
          <w:spacing w:val="-1"/>
        </w:rPr>
        <w:t>otherwise</w:t>
      </w:r>
      <w:r>
        <w:rPr>
          <w:spacing w:val="53"/>
        </w:rPr>
        <w:t xml:space="preserve"> </w:t>
      </w:r>
      <w:r>
        <w:rPr>
          <w:spacing w:val="-1"/>
        </w:rPr>
        <w:t>bring</w:t>
      </w:r>
      <w:r>
        <w:rPr>
          <w:spacing w:val="55"/>
        </w:rPr>
        <w:t xml:space="preserve"> </w:t>
      </w:r>
      <w:r>
        <w:t>the</w:t>
      </w:r>
      <w:r>
        <w:rPr>
          <w:spacing w:val="53"/>
        </w:rPr>
        <w:t xml:space="preserve"> </w:t>
      </w:r>
      <w:r>
        <w:rPr>
          <w:spacing w:val="-1"/>
        </w:rPr>
        <w:t>Customer</w:t>
      </w:r>
      <w:r>
        <w:rPr>
          <w:spacing w:val="54"/>
        </w:rPr>
        <w:t xml:space="preserve"> </w:t>
      </w:r>
      <w:r>
        <w:rPr>
          <w:spacing w:val="-1"/>
        </w:rPr>
        <w:t>into</w:t>
      </w:r>
      <w:r>
        <w:rPr>
          <w:spacing w:val="53"/>
        </w:rPr>
        <w:t xml:space="preserve"> </w:t>
      </w:r>
      <w:r>
        <w:rPr>
          <w:spacing w:val="-1"/>
        </w:rPr>
        <w:t>disrepute</w:t>
      </w:r>
      <w:r>
        <w:rPr>
          <w:spacing w:val="53"/>
        </w:rPr>
        <w:t xml:space="preserve"> </w:t>
      </w:r>
      <w:r>
        <w:rPr>
          <w:spacing w:val="-2"/>
        </w:rPr>
        <w:t>set</w:t>
      </w:r>
      <w:r>
        <w:rPr>
          <w:spacing w:val="56"/>
        </w:rPr>
        <w:t xml:space="preserve"> </w:t>
      </w:r>
      <w:r>
        <w:rPr>
          <w:spacing w:val="-1"/>
        </w:rPr>
        <w:t>out</w:t>
      </w:r>
      <w:r>
        <w:rPr>
          <w:spacing w:val="55"/>
        </w:rPr>
        <w:t xml:space="preserve"> </w:t>
      </w:r>
      <w:r>
        <w:rPr>
          <w:spacing w:val="-1"/>
        </w:rPr>
        <w:t>in</w:t>
      </w:r>
      <w:r>
        <w:rPr>
          <w:spacing w:val="25"/>
        </w:rPr>
        <w:t xml:space="preserve"> </w:t>
      </w:r>
      <w:r>
        <w:rPr>
          <w:spacing w:val="-2"/>
        </w:rPr>
        <w:t>Clause</w:t>
      </w:r>
      <w:r>
        <w:rPr>
          <w:spacing w:val="1"/>
        </w:rPr>
        <w:t xml:space="preserve"> </w:t>
      </w:r>
      <w:hyperlink w:anchor="_bookmark69" w:history="1">
        <w:r>
          <w:rPr>
            <w:spacing w:val="-1"/>
          </w:rPr>
          <w:t>7.1.4(l)</w:t>
        </w:r>
      </w:hyperlink>
      <w:r>
        <w:t xml:space="preserve"> </w:t>
      </w:r>
      <w:r>
        <w:rPr>
          <w:spacing w:val="-1"/>
        </w:rPr>
        <w:t>(Provision</w:t>
      </w:r>
      <w:r>
        <w:rPr>
          <w:spacing w:val="1"/>
        </w:rPr>
        <w:t xml:space="preserve"> </w:t>
      </w:r>
      <w:r>
        <w:rPr>
          <w:spacing w:val="-2"/>
        </w:rPr>
        <w:t>of</w:t>
      </w:r>
      <w:r>
        <w:rPr>
          <w:spacing w:val="2"/>
        </w:rPr>
        <w:t xml:space="preserve"> </w:t>
      </w:r>
      <w:r>
        <w:rPr>
          <w:spacing w:val="-1"/>
        </w:rPr>
        <w:t>Services);</w:t>
      </w:r>
    </w:p>
    <w:p w:rsidR="008918FA" w:rsidRDefault="008918FA" w:rsidP="008918FA">
      <w:pPr>
        <w:pStyle w:val="BodyText"/>
        <w:numPr>
          <w:ilvl w:val="4"/>
          <w:numId w:val="66"/>
        </w:numPr>
        <w:tabs>
          <w:tab w:val="left" w:pos="3162"/>
        </w:tabs>
        <w:spacing w:before="121"/>
        <w:ind w:left="3161" w:right="114"/>
        <w:jc w:val="both"/>
      </w:pPr>
      <w:r>
        <w:t>the</w:t>
      </w:r>
      <w:r>
        <w:rPr>
          <w:spacing w:val="53"/>
        </w:rPr>
        <w:t xml:space="preserve"> </w:t>
      </w:r>
      <w:r>
        <w:rPr>
          <w:spacing w:val="-1"/>
        </w:rPr>
        <w:t>keeping</w:t>
      </w:r>
      <w:r>
        <w:rPr>
          <w:spacing w:val="58"/>
        </w:rPr>
        <w:t xml:space="preserve"> </w:t>
      </w:r>
      <w:r>
        <w:rPr>
          <w:spacing w:val="-2"/>
        </w:rPr>
        <w:t>of</w:t>
      </w:r>
      <w:r>
        <w:rPr>
          <w:spacing w:val="55"/>
        </w:rPr>
        <w:t xml:space="preserve"> </w:t>
      </w:r>
      <w:r>
        <w:rPr>
          <w:spacing w:val="-1"/>
        </w:rPr>
        <w:t>records</w:t>
      </w:r>
      <w:r>
        <w:rPr>
          <w:spacing w:val="53"/>
        </w:rPr>
        <w:t xml:space="preserve"> </w:t>
      </w:r>
      <w:r>
        <w:rPr>
          <w:spacing w:val="-1"/>
        </w:rPr>
        <w:t>in</w:t>
      </w:r>
      <w:r>
        <w:rPr>
          <w:spacing w:val="55"/>
        </w:rPr>
        <w:t xml:space="preserve"> </w:t>
      </w:r>
      <w:r>
        <w:rPr>
          <w:spacing w:val="-1"/>
        </w:rPr>
        <w:t>respect</w:t>
      </w:r>
      <w:r>
        <w:rPr>
          <w:spacing w:val="57"/>
        </w:rPr>
        <w:t xml:space="preserve"> </w:t>
      </w:r>
      <w:r>
        <w:rPr>
          <w:spacing w:val="-2"/>
        </w:rPr>
        <w:t>of</w:t>
      </w:r>
      <w:r>
        <w:rPr>
          <w:spacing w:val="56"/>
        </w:rPr>
        <w:t xml:space="preserve"> </w:t>
      </w:r>
      <w:r>
        <w:t>the</w:t>
      </w:r>
      <w:r>
        <w:rPr>
          <w:spacing w:val="54"/>
        </w:rPr>
        <w:t xml:space="preserve"> </w:t>
      </w:r>
      <w:r>
        <w:rPr>
          <w:spacing w:val="-1"/>
        </w:rPr>
        <w:t>goods</w:t>
      </w:r>
      <w:r>
        <w:rPr>
          <w:spacing w:val="56"/>
        </w:rPr>
        <w:t xml:space="preserve"> </w:t>
      </w:r>
      <w:r>
        <w:rPr>
          <w:spacing w:val="-1"/>
        </w:rPr>
        <w:t>and/or</w:t>
      </w:r>
      <w:r>
        <w:rPr>
          <w:spacing w:val="30"/>
        </w:rPr>
        <w:t xml:space="preserve"> </w:t>
      </w:r>
      <w:r>
        <w:rPr>
          <w:spacing w:val="-1"/>
        </w:rPr>
        <w:t>services</w:t>
      </w:r>
      <w:r>
        <w:rPr>
          <w:spacing w:val="19"/>
        </w:rPr>
        <w:t xml:space="preserve"> </w:t>
      </w:r>
      <w:r>
        <w:rPr>
          <w:spacing w:val="-1"/>
        </w:rPr>
        <w:t>being</w:t>
      </w:r>
      <w:r>
        <w:rPr>
          <w:spacing w:val="21"/>
        </w:rPr>
        <w:t xml:space="preserve"> </w:t>
      </w:r>
      <w:r>
        <w:rPr>
          <w:spacing w:val="-1"/>
        </w:rPr>
        <w:t>provided</w:t>
      </w:r>
      <w:r>
        <w:rPr>
          <w:spacing w:val="18"/>
        </w:rPr>
        <w:t xml:space="preserve"> </w:t>
      </w:r>
      <w:r>
        <w:rPr>
          <w:spacing w:val="-1"/>
        </w:rPr>
        <w:t>under</w:t>
      </w:r>
      <w:r>
        <w:rPr>
          <w:spacing w:val="20"/>
        </w:rPr>
        <w:t xml:space="preserve"> </w:t>
      </w:r>
      <w:r>
        <w:t>the</w:t>
      </w:r>
      <w:r>
        <w:rPr>
          <w:spacing w:val="20"/>
        </w:rPr>
        <w:t xml:space="preserve"> </w:t>
      </w:r>
      <w:r>
        <w:rPr>
          <w:spacing w:val="-1"/>
        </w:rPr>
        <w:t>Key</w:t>
      </w:r>
      <w:r>
        <w:rPr>
          <w:spacing w:val="17"/>
        </w:rPr>
        <w:t xml:space="preserve"> </w:t>
      </w:r>
      <w:r>
        <w:rPr>
          <w:spacing w:val="-1"/>
        </w:rPr>
        <w:t>Sub-Contract,</w:t>
      </w:r>
      <w:r>
        <w:rPr>
          <w:spacing w:val="30"/>
        </w:rPr>
        <w:t xml:space="preserve"> </w:t>
      </w:r>
      <w:r>
        <w:rPr>
          <w:spacing w:val="-2"/>
        </w:rPr>
        <w:t>including</w:t>
      </w:r>
      <w:r>
        <w:rPr>
          <w:spacing w:val="3"/>
        </w:rPr>
        <w:t xml:space="preserve"> </w:t>
      </w:r>
      <w:r>
        <w:t>the</w:t>
      </w:r>
      <w:r>
        <w:rPr>
          <w:spacing w:val="-2"/>
        </w:rPr>
        <w:t xml:space="preserve"> maintenance</w:t>
      </w:r>
      <w:r>
        <w:t xml:space="preserve"> </w:t>
      </w:r>
      <w:r>
        <w:rPr>
          <w:spacing w:val="-2"/>
        </w:rPr>
        <w:t>of</w:t>
      </w:r>
      <w:r>
        <w:rPr>
          <w:spacing w:val="2"/>
        </w:rPr>
        <w:t xml:space="preserve"> </w:t>
      </w:r>
      <w:r>
        <w:rPr>
          <w:spacing w:val="-1"/>
        </w:rPr>
        <w:t>Open</w:t>
      </w:r>
      <w:r>
        <w:rPr>
          <w:spacing w:val="-2"/>
        </w:rPr>
        <w:t xml:space="preserve"> Book</w:t>
      </w:r>
      <w:r>
        <w:rPr>
          <w:spacing w:val="3"/>
        </w:rPr>
        <w:t xml:space="preserve"> </w:t>
      </w:r>
      <w:r>
        <w:rPr>
          <w:spacing w:val="-1"/>
        </w:rPr>
        <w:t>Data;</w:t>
      </w:r>
      <w:r>
        <w:t xml:space="preserve"> </w:t>
      </w:r>
      <w:r>
        <w:rPr>
          <w:spacing w:val="-2"/>
        </w:rPr>
        <w:t>and</w:t>
      </w:r>
    </w:p>
    <w:p w:rsidR="008918FA" w:rsidRDefault="008918FA" w:rsidP="008918FA">
      <w:pPr>
        <w:pStyle w:val="BodyText"/>
        <w:numPr>
          <w:ilvl w:val="4"/>
          <w:numId w:val="66"/>
        </w:numPr>
        <w:tabs>
          <w:tab w:val="left" w:pos="3162"/>
        </w:tabs>
        <w:spacing w:before="121"/>
        <w:ind w:left="3161" w:right="114"/>
        <w:jc w:val="both"/>
      </w:pPr>
      <w:r>
        <w:t>the</w:t>
      </w:r>
      <w:r>
        <w:rPr>
          <w:spacing w:val="14"/>
        </w:rPr>
        <w:t xml:space="preserve"> </w:t>
      </w:r>
      <w:r>
        <w:rPr>
          <w:spacing w:val="-1"/>
        </w:rPr>
        <w:t>conduct</w:t>
      </w:r>
      <w:r>
        <w:rPr>
          <w:spacing w:val="15"/>
        </w:rPr>
        <w:t xml:space="preserve"> </w:t>
      </w:r>
      <w:r>
        <w:rPr>
          <w:spacing w:val="-2"/>
        </w:rPr>
        <w:t>of</w:t>
      </w:r>
      <w:r>
        <w:rPr>
          <w:spacing w:val="15"/>
        </w:rPr>
        <w:t xml:space="preserve"> </w:t>
      </w:r>
      <w:r>
        <w:rPr>
          <w:spacing w:val="-2"/>
        </w:rPr>
        <w:t>audits</w:t>
      </w:r>
      <w:r>
        <w:rPr>
          <w:spacing w:val="12"/>
        </w:rPr>
        <w:t xml:space="preserve"> </w:t>
      </w:r>
      <w:r>
        <w:rPr>
          <w:spacing w:val="-1"/>
        </w:rPr>
        <w:t>set</w:t>
      </w:r>
      <w:r>
        <w:rPr>
          <w:spacing w:val="15"/>
        </w:rPr>
        <w:t xml:space="preserve"> </w:t>
      </w:r>
      <w:r>
        <w:rPr>
          <w:spacing w:val="-2"/>
        </w:rPr>
        <w:t>out</w:t>
      </w:r>
      <w:r>
        <w:rPr>
          <w:spacing w:val="15"/>
        </w:rPr>
        <w:t xml:space="preserve"> </w:t>
      </w:r>
      <w:r>
        <w:rPr>
          <w:spacing w:val="-1"/>
        </w:rPr>
        <w:t>in</w:t>
      </w:r>
      <w:r>
        <w:rPr>
          <w:spacing w:val="14"/>
        </w:rPr>
        <w:t xml:space="preserve"> </w:t>
      </w:r>
      <w:r>
        <w:rPr>
          <w:spacing w:val="-2"/>
        </w:rPr>
        <w:t>Clause</w:t>
      </w:r>
      <w:r>
        <w:t xml:space="preserve"> </w:t>
      </w:r>
      <w:r>
        <w:rPr>
          <w:spacing w:val="14"/>
        </w:rPr>
        <w:t xml:space="preserve"> </w:t>
      </w:r>
      <w:hyperlink w:anchor="_bookmark115" w:history="1">
        <w:r>
          <w:rPr>
            <w:spacing w:val="-1"/>
          </w:rPr>
          <w:t>21</w:t>
        </w:r>
      </w:hyperlink>
      <w:r>
        <w:rPr>
          <w:spacing w:val="-2"/>
        </w:rPr>
        <w:t xml:space="preserve"> </w:t>
      </w:r>
      <w:r>
        <w:rPr>
          <w:spacing w:val="-1"/>
        </w:rPr>
        <w:t>(Records,</w:t>
      </w:r>
      <w:r>
        <w:rPr>
          <w:spacing w:val="33"/>
        </w:rPr>
        <w:t xml:space="preserve"> </w:t>
      </w:r>
      <w:r>
        <w:rPr>
          <w:spacing w:val="-1"/>
        </w:rPr>
        <w:t>Audit</w:t>
      </w:r>
      <w:r>
        <w:rPr>
          <w:spacing w:val="2"/>
        </w:rPr>
        <w:t xml:space="preserve"> </w:t>
      </w:r>
      <w:r>
        <w:rPr>
          <w:spacing w:val="-1"/>
        </w:rPr>
        <w:t xml:space="preserve">Access </w:t>
      </w:r>
      <w:r>
        <w:t>&amp;</w:t>
      </w:r>
      <w:r>
        <w:rPr>
          <w:spacing w:val="-2"/>
        </w:rPr>
        <w:t xml:space="preserve"> </w:t>
      </w:r>
      <w:r>
        <w:rPr>
          <w:spacing w:val="-1"/>
        </w:rPr>
        <w:t>Open</w:t>
      </w:r>
      <w:r>
        <w:t xml:space="preserve"> </w:t>
      </w:r>
      <w:r>
        <w:rPr>
          <w:spacing w:val="-2"/>
        </w:rPr>
        <w:t>Book</w:t>
      </w:r>
      <w:r>
        <w:rPr>
          <w:spacing w:val="1"/>
        </w:rPr>
        <w:t xml:space="preserve"> </w:t>
      </w:r>
      <w:r>
        <w:rPr>
          <w:spacing w:val="-1"/>
        </w:rPr>
        <w:t>Data);</w:t>
      </w:r>
    </w:p>
    <w:p w:rsidR="008918FA" w:rsidRDefault="008918FA" w:rsidP="008918FA">
      <w:pPr>
        <w:pStyle w:val="BodyText"/>
        <w:numPr>
          <w:ilvl w:val="3"/>
          <w:numId w:val="66"/>
        </w:numPr>
        <w:tabs>
          <w:tab w:val="left" w:pos="2594"/>
        </w:tabs>
        <w:spacing w:before="121"/>
        <w:ind w:left="2593" w:right="112" w:hanging="709"/>
        <w:jc w:val="both"/>
      </w:pPr>
      <w:r>
        <w:rPr>
          <w:spacing w:val="-2"/>
        </w:rPr>
        <w:t>provisions</w:t>
      </w:r>
      <w:r>
        <w:rPr>
          <w:spacing w:val="7"/>
        </w:rPr>
        <w:t xml:space="preserve"> </w:t>
      </w:r>
      <w:r>
        <w:rPr>
          <w:spacing w:val="-2"/>
        </w:rPr>
        <w:t>enabling</w:t>
      </w:r>
      <w:r>
        <w:rPr>
          <w:spacing w:val="9"/>
        </w:rPr>
        <w:t xml:space="preserve"> </w:t>
      </w:r>
      <w:r>
        <w:t>the</w:t>
      </w:r>
      <w:r>
        <w:rPr>
          <w:spacing w:val="4"/>
        </w:rPr>
        <w:t xml:space="preserve"> </w:t>
      </w:r>
      <w:r>
        <w:rPr>
          <w:spacing w:val="-2"/>
        </w:rPr>
        <w:t>Supplier</w:t>
      </w:r>
      <w:r>
        <w:rPr>
          <w:spacing w:val="8"/>
        </w:rPr>
        <w:t xml:space="preserve"> </w:t>
      </w:r>
      <w:r>
        <w:t>to</w:t>
      </w:r>
      <w:r>
        <w:rPr>
          <w:spacing w:val="4"/>
        </w:rPr>
        <w:t xml:space="preserve"> </w:t>
      </w:r>
      <w:r>
        <w:rPr>
          <w:spacing w:val="-1"/>
        </w:rPr>
        <w:t>terminate</w:t>
      </w:r>
      <w:r>
        <w:rPr>
          <w:spacing w:val="2"/>
        </w:rPr>
        <w:t xml:space="preserve"> </w:t>
      </w:r>
      <w:r>
        <w:t>the</w:t>
      </w:r>
      <w:r>
        <w:rPr>
          <w:spacing w:val="6"/>
        </w:rPr>
        <w:t xml:space="preserve"> </w:t>
      </w:r>
      <w:r>
        <w:rPr>
          <w:spacing w:val="-1"/>
        </w:rPr>
        <w:t>Key</w:t>
      </w:r>
      <w:r>
        <w:rPr>
          <w:spacing w:val="7"/>
        </w:rPr>
        <w:t xml:space="preserve"> </w:t>
      </w:r>
      <w:r>
        <w:rPr>
          <w:spacing w:val="-1"/>
        </w:rPr>
        <w:t>Sub-</w:t>
      </w:r>
      <w:r>
        <w:rPr>
          <w:spacing w:val="61"/>
        </w:rPr>
        <w:t xml:space="preserve"> </w:t>
      </w:r>
      <w:r>
        <w:rPr>
          <w:spacing w:val="-1"/>
        </w:rPr>
        <w:t>Contract</w:t>
      </w:r>
      <w:r>
        <w:rPr>
          <w:spacing w:val="26"/>
        </w:rPr>
        <w:t xml:space="preserve"> </w:t>
      </w:r>
      <w:r>
        <w:rPr>
          <w:spacing w:val="-1"/>
        </w:rPr>
        <w:t>on</w:t>
      </w:r>
      <w:r>
        <w:rPr>
          <w:spacing w:val="24"/>
        </w:rPr>
        <w:t xml:space="preserve"> </w:t>
      </w:r>
      <w:r>
        <w:rPr>
          <w:spacing w:val="-1"/>
        </w:rPr>
        <w:t>notice</w:t>
      </w:r>
      <w:r>
        <w:rPr>
          <w:spacing w:val="25"/>
        </w:rPr>
        <w:t xml:space="preserve"> </w:t>
      </w:r>
      <w:r>
        <w:rPr>
          <w:spacing w:val="-1"/>
        </w:rPr>
        <w:t>on</w:t>
      </w:r>
      <w:r>
        <w:rPr>
          <w:spacing w:val="24"/>
        </w:rPr>
        <w:t xml:space="preserve"> </w:t>
      </w:r>
      <w:r>
        <w:rPr>
          <w:spacing w:val="-1"/>
        </w:rPr>
        <w:t>terms</w:t>
      </w:r>
      <w:r>
        <w:rPr>
          <w:spacing w:val="22"/>
        </w:rPr>
        <w:t xml:space="preserve"> </w:t>
      </w:r>
      <w:r>
        <w:rPr>
          <w:spacing w:val="-1"/>
        </w:rPr>
        <w:t>no</w:t>
      </w:r>
      <w:r>
        <w:rPr>
          <w:spacing w:val="24"/>
        </w:rPr>
        <w:t xml:space="preserve"> </w:t>
      </w:r>
      <w:r>
        <w:rPr>
          <w:spacing w:val="-1"/>
        </w:rPr>
        <w:t>more</w:t>
      </w:r>
      <w:r>
        <w:rPr>
          <w:spacing w:val="24"/>
        </w:rPr>
        <w:t xml:space="preserve"> </w:t>
      </w:r>
      <w:r>
        <w:rPr>
          <w:spacing w:val="-1"/>
        </w:rPr>
        <w:t>onerous</w:t>
      </w:r>
      <w:r>
        <w:rPr>
          <w:spacing w:val="25"/>
        </w:rPr>
        <w:t xml:space="preserve"> </w:t>
      </w:r>
      <w:r>
        <w:rPr>
          <w:spacing w:val="-2"/>
        </w:rPr>
        <w:t>on</w:t>
      </w:r>
      <w:r>
        <w:rPr>
          <w:spacing w:val="24"/>
        </w:rPr>
        <w:t xml:space="preserve"> </w:t>
      </w:r>
      <w:r>
        <w:t>the</w:t>
      </w:r>
      <w:r>
        <w:rPr>
          <w:spacing w:val="24"/>
        </w:rPr>
        <w:t xml:space="preserve"> </w:t>
      </w:r>
      <w:r>
        <w:rPr>
          <w:spacing w:val="-2"/>
        </w:rPr>
        <w:t>Supplier</w:t>
      </w:r>
      <w:r>
        <w:rPr>
          <w:spacing w:val="34"/>
        </w:rPr>
        <w:t xml:space="preserve"> </w:t>
      </w:r>
      <w:r>
        <w:rPr>
          <w:spacing w:val="-1"/>
        </w:rPr>
        <w:t>than</w:t>
      </w:r>
      <w:r>
        <w:rPr>
          <w:spacing w:val="40"/>
        </w:rPr>
        <w:t xml:space="preserve"> </w:t>
      </w:r>
      <w:r>
        <w:rPr>
          <w:spacing w:val="-1"/>
        </w:rPr>
        <w:t>those</w:t>
      </w:r>
      <w:r>
        <w:rPr>
          <w:spacing w:val="40"/>
        </w:rPr>
        <w:t xml:space="preserve"> </w:t>
      </w:r>
      <w:r>
        <w:rPr>
          <w:spacing w:val="-1"/>
        </w:rPr>
        <w:t>imposed</w:t>
      </w:r>
      <w:r>
        <w:rPr>
          <w:spacing w:val="40"/>
        </w:rPr>
        <w:t xml:space="preserve"> </w:t>
      </w:r>
      <w:r>
        <w:rPr>
          <w:spacing w:val="-2"/>
        </w:rPr>
        <w:t>on</w:t>
      </w:r>
      <w:r>
        <w:rPr>
          <w:spacing w:val="40"/>
        </w:rPr>
        <w:t xml:space="preserve"> </w:t>
      </w:r>
      <w:r>
        <w:t>the</w:t>
      </w:r>
      <w:r>
        <w:rPr>
          <w:spacing w:val="40"/>
        </w:rPr>
        <w:t xml:space="preserve"> </w:t>
      </w:r>
      <w:r>
        <w:rPr>
          <w:spacing w:val="-1"/>
        </w:rPr>
        <w:t>Customer</w:t>
      </w:r>
      <w:r>
        <w:rPr>
          <w:spacing w:val="41"/>
        </w:rPr>
        <w:t xml:space="preserve"> </w:t>
      </w:r>
      <w:r>
        <w:rPr>
          <w:spacing w:val="-1"/>
        </w:rPr>
        <w:t>under</w:t>
      </w:r>
      <w:r>
        <w:rPr>
          <w:spacing w:val="40"/>
        </w:rPr>
        <w:t xml:space="preserve"> </w:t>
      </w:r>
      <w:r>
        <w:rPr>
          <w:spacing w:val="-1"/>
        </w:rPr>
        <w:t>Clauses</w:t>
      </w:r>
      <w:r>
        <w:rPr>
          <w:spacing w:val="42"/>
        </w:rPr>
        <w:t xml:space="preserve"> </w:t>
      </w:r>
      <w:hyperlink w:anchor="_bookmark231" w:history="1">
        <w:r>
          <w:rPr>
            <w:spacing w:val="-1"/>
          </w:rPr>
          <w:t>41</w:t>
        </w:r>
      </w:hyperlink>
      <w:r>
        <w:rPr>
          <w:spacing w:val="22"/>
        </w:rPr>
        <w:t xml:space="preserve"> </w:t>
      </w:r>
      <w:r>
        <w:rPr>
          <w:spacing w:val="-1"/>
        </w:rPr>
        <w:t>(Customer</w:t>
      </w:r>
      <w:r>
        <w:rPr>
          <w:spacing w:val="39"/>
        </w:rPr>
        <w:t xml:space="preserve"> </w:t>
      </w:r>
      <w:r>
        <w:rPr>
          <w:spacing w:val="-1"/>
        </w:rPr>
        <w:t>Termination</w:t>
      </w:r>
      <w:r>
        <w:rPr>
          <w:spacing w:val="37"/>
        </w:rPr>
        <w:t xml:space="preserve"> </w:t>
      </w:r>
      <w:r>
        <w:rPr>
          <w:spacing w:val="-1"/>
        </w:rPr>
        <w:t>Rights),</w:t>
      </w:r>
      <w:r>
        <w:rPr>
          <w:spacing w:val="41"/>
        </w:rPr>
        <w:t xml:space="preserve"> </w:t>
      </w:r>
      <w:hyperlink w:anchor="_bookmark245" w:history="1">
        <w:r>
          <w:rPr>
            <w:spacing w:val="-1"/>
          </w:rPr>
          <w:t>43</w:t>
        </w:r>
      </w:hyperlink>
      <w:r>
        <w:rPr>
          <w:spacing w:val="40"/>
        </w:rPr>
        <w:t xml:space="preserve"> </w:t>
      </w:r>
      <w:r>
        <w:rPr>
          <w:spacing w:val="-2"/>
        </w:rPr>
        <w:t>(Termination</w:t>
      </w:r>
      <w:r>
        <w:rPr>
          <w:spacing w:val="40"/>
        </w:rPr>
        <w:t xml:space="preserve"> </w:t>
      </w:r>
      <w:r>
        <w:rPr>
          <w:spacing w:val="-1"/>
        </w:rPr>
        <w:t>by</w:t>
      </w:r>
      <w:r>
        <w:rPr>
          <w:spacing w:val="40"/>
        </w:rPr>
        <w:t xml:space="preserve"> </w:t>
      </w:r>
      <w:r>
        <w:rPr>
          <w:spacing w:val="-1"/>
        </w:rPr>
        <w:t>Either</w:t>
      </w:r>
      <w:r>
        <w:rPr>
          <w:spacing w:val="48"/>
        </w:rPr>
        <w:t xml:space="preserve"> </w:t>
      </w:r>
      <w:r>
        <w:rPr>
          <w:spacing w:val="-1"/>
        </w:rPr>
        <w:t>Party)</w:t>
      </w:r>
      <w:r>
        <w:rPr>
          <w:spacing w:val="21"/>
        </w:rPr>
        <w:t xml:space="preserve"> </w:t>
      </w:r>
      <w:r>
        <w:rPr>
          <w:spacing w:val="-1"/>
        </w:rPr>
        <w:t>and</w:t>
      </w:r>
      <w:r>
        <w:rPr>
          <w:spacing w:val="20"/>
        </w:rPr>
        <w:t xml:space="preserve"> </w:t>
      </w:r>
      <w:hyperlink w:anchor="_bookmark249" w:history="1">
        <w:r>
          <w:rPr>
            <w:spacing w:val="-1"/>
          </w:rPr>
          <w:t>45</w:t>
        </w:r>
      </w:hyperlink>
      <w:r>
        <w:rPr>
          <w:spacing w:val="17"/>
        </w:rPr>
        <w:t xml:space="preserve"> </w:t>
      </w:r>
      <w:r>
        <w:rPr>
          <w:spacing w:val="-1"/>
        </w:rPr>
        <w:t>(Consequences</w:t>
      </w:r>
      <w:r>
        <w:rPr>
          <w:spacing w:val="20"/>
        </w:rPr>
        <w:t xml:space="preserve"> </w:t>
      </w:r>
      <w:r>
        <w:rPr>
          <w:spacing w:val="-2"/>
        </w:rPr>
        <w:t>of</w:t>
      </w:r>
      <w:r>
        <w:rPr>
          <w:spacing w:val="21"/>
        </w:rPr>
        <w:t xml:space="preserve"> </w:t>
      </w:r>
      <w:r>
        <w:rPr>
          <w:spacing w:val="-2"/>
        </w:rPr>
        <w:t>Expiry</w:t>
      </w:r>
      <w:r>
        <w:rPr>
          <w:spacing w:val="18"/>
        </w:rPr>
        <w:t xml:space="preserve"> </w:t>
      </w:r>
      <w:r>
        <w:rPr>
          <w:spacing w:val="-1"/>
        </w:rPr>
        <w:t>or</w:t>
      </w:r>
      <w:r>
        <w:rPr>
          <w:spacing w:val="19"/>
        </w:rPr>
        <w:t xml:space="preserve"> </w:t>
      </w:r>
      <w:r>
        <w:rPr>
          <w:spacing w:val="-1"/>
        </w:rPr>
        <w:t>Termination)</w:t>
      </w:r>
      <w:r>
        <w:rPr>
          <w:spacing w:val="21"/>
        </w:rPr>
        <w:t xml:space="preserve"> </w:t>
      </w:r>
      <w:r>
        <w:rPr>
          <w:spacing w:val="-2"/>
        </w:rPr>
        <w:t>of</w:t>
      </w:r>
      <w:r>
        <w:rPr>
          <w:spacing w:val="21"/>
        </w:rPr>
        <w:t xml:space="preserve"> </w:t>
      </w:r>
      <w:r>
        <w:rPr>
          <w:spacing w:val="-1"/>
        </w:rPr>
        <w:t>this</w:t>
      </w:r>
      <w:r>
        <w:rPr>
          <w:spacing w:val="35"/>
        </w:rPr>
        <w:t xml:space="preserve"> </w:t>
      </w:r>
      <w:r>
        <w:rPr>
          <w:spacing w:val="-2"/>
        </w:rPr>
        <w:t>Call</w:t>
      </w:r>
      <w:r>
        <w:t xml:space="preserve"> </w:t>
      </w:r>
      <w:r>
        <w:rPr>
          <w:spacing w:val="-1"/>
        </w:rPr>
        <w:t>Off</w:t>
      </w:r>
      <w:r>
        <w:rPr>
          <w:spacing w:val="2"/>
        </w:rPr>
        <w:t xml:space="preserve"> </w:t>
      </w:r>
      <w:r>
        <w:rPr>
          <w:spacing w:val="-2"/>
        </w:rPr>
        <w:t>Contract;</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3"/>
          <w:numId w:val="66"/>
        </w:numPr>
        <w:tabs>
          <w:tab w:val="left" w:pos="2595"/>
        </w:tabs>
        <w:spacing w:before="59"/>
        <w:ind w:left="2594" w:right="112"/>
        <w:jc w:val="both"/>
      </w:pPr>
      <w:r>
        <w:t>a</w:t>
      </w:r>
      <w:r>
        <w:rPr>
          <w:spacing w:val="31"/>
        </w:rPr>
        <w:t xml:space="preserve"> </w:t>
      </w:r>
      <w:r>
        <w:rPr>
          <w:spacing w:val="-2"/>
        </w:rPr>
        <w:t>provision</w:t>
      </w:r>
      <w:r>
        <w:rPr>
          <w:spacing w:val="32"/>
        </w:rPr>
        <w:t xml:space="preserve"> </w:t>
      </w:r>
      <w:r>
        <w:rPr>
          <w:spacing w:val="-1"/>
        </w:rPr>
        <w:t>restricting</w:t>
      </w:r>
      <w:r>
        <w:rPr>
          <w:spacing w:val="31"/>
        </w:rPr>
        <w:t xml:space="preserve"> </w:t>
      </w:r>
      <w:r>
        <w:rPr>
          <w:spacing w:val="-1"/>
        </w:rPr>
        <w:t>the</w:t>
      </w:r>
      <w:r>
        <w:rPr>
          <w:spacing w:val="31"/>
        </w:rPr>
        <w:t xml:space="preserve"> </w:t>
      </w:r>
      <w:r>
        <w:rPr>
          <w:spacing w:val="-1"/>
        </w:rPr>
        <w:t>ability</w:t>
      </w:r>
      <w:r>
        <w:rPr>
          <w:spacing w:val="30"/>
        </w:rPr>
        <w:t xml:space="preserve"> </w:t>
      </w:r>
      <w:r>
        <w:rPr>
          <w:spacing w:val="-1"/>
        </w:rPr>
        <w:t>of</w:t>
      </w:r>
      <w:r>
        <w:rPr>
          <w:spacing w:val="35"/>
        </w:rPr>
        <w:t xml:space="preserve"> </w:t>
      </w:r>
      <w:r>
        <w:rPr>
          <w:spacing w:val="-1"/>
        </w:rPr>
        <w:t>the</w:t>
      </w:r>
      <w:r>
        <w:rPr>
          <w:spacing w:val="31"/>
        </w:rPr>
        <w:t xml:space="preserve"> </w:t>
      </w:r>
      <w:r>
        <w:rPr>
          <w:spacing w:val="-1"/>
        </w:rPr>
        <w:t>Key</w:t>
      </w:r>
      <w:r>
        <w:rPr>
          <w:spacing w:val="32"/>
        </w:rPr>
        <w:t xml:space="preserve"> </w:t>
      </w:r>
      <w:r>
        <w:rPr>
          <w:spacing w:val="-1"/>
        </w:rPr>
        <w:t>Sub-Contractor</w:t>
      </w:r>
      <w:r>
        <w:rPr>
          <w:spacing w:val="30"/>
        </w:rPr>
        <w:t xml:space="preserve"> </w:t>
      </w:r>
      <w:r>
        <w:t>to</w:t>
      </w:r>
      <w:r>
        <w:rPr>
          <w:spacing w:val="51"/>
        </w:rPr>
        <w:t xml:space="preserve"> </w:t>
      </w:r>
      <w:r>
        <w:rPr>
          <w:spacing w:val="-1"/>
        </w:rPr>
        <w:t>Sub-Contract</w:t>
      </w:r>
      <w:r>
        <w:rPr>
          <w:spacing w:val="5"/>
        </w:rPr>
        <w:t xml:space="preserve"> </w:t>
      </w:r>
      <w:r>
        <w:rPr>
          <w:spacing w:val="-1"/>
        </w:rPr>
        <w:t>all</w:t>
      </w:r>
      <w:r>
        <w:rPr>
          <w:spacing w:val="3"/>
        </w:rPr>
        <w:t xml:space="preserve"> </w:t>
      </w:r>
      <w:r>
        <w:rPr>
          <w:spacing w:val="-1"/>
        </w:rPr>
        <w:t>or</w:t>
      </w:r>
      <w:r>
        <w:rPr>
          <w:spacing w:val="3"/>
        </w:rPr>
        <w:t xml:space="preserve"> </w:t>
      </w:r>
      <w:r>
        <w:rPr>
          <w:spacing w:val="-1"/>
        </w:rPr>
        <w:t>any</w:t>
      </w:r>
      <w:r>
        <w:rPr>
          <w:spacing w:val="2"/>
        </w:rPr>
        <w:t xml:space="preserve"> </w:t>
      </w:r>
      <w:r>
        <w:rPr>
          <w:spacing w:val="-1"/>
        </w:rPr>
        <w:t>part</w:t>
      </w:r>
      <w:r>
        <w:rPr>
          <w:spacing w:val="3"/>
        </w:rPr>
        <w:t xml:space="preserve"> </w:t>
      </w:r>
      <w:r>
        <w:rPr>
          <w:spacing w:val="-2"/>
        </w:rPr>
        <w:t>of</w:t>
      </w:r>
      <w:r>
        <w:rPr>
          <w:spacing w:val="5"/>
        </w:rPr>
        <w:t xml:space="preserve"> </w:t>
      </w:r>
      <w:r>
        <w:t>the</w:t>
      </w:r>
      <w:r>
        <w:rPr>
          <w:spacing w:val="2"/>
        </w:rPr>
        <w:t xml:space="preserve"> </w:t>
      </w:r>
      <w:r>
        <w:rPr>
          <w:spacing w:val="-2"/>
        </w:rPr>
        <w:t>provision</w:t>
      </w:r>
      <w:r>
        <w:rPr>
          <w:spacing w:val="4"/>
        </w:rPr>
        <w:t xml:space="preserve"> </w:t>
      </w:r>
      <w:r>
        <w:rPr>
          <w:spacing w:val="-2"/>
        </w:rPr>
        <w:t>of</w:t>
      </w:r>
      <w:r>
        <w:rPr>
          <w:spacing w:val="8"/>
        </w:rPr>
        <w:t xml:space="preserve"> </w:t>
      </w:r>
      <w:r>
        <w:rPr>
          <w:spacing w:val="-1"/>
        </w:rPr>
        <w:t>the</w:t>
      </w:r>
      <w:r>
        <w:t xml:space="preserve"> </w:t>
      </w:r>
      <w:r>
        <w:rPr>
          <w:spacing w:val="3"/>
        </w:rPr>
        <w:t xml:space="preserve"> </w:t>
      </w:r>
      <w:r>
        <w:rPr>
          <w:spacing w:val="-1"/>
        </w:rPr>
        <w:t>Goods</w:t>
      </w:r>
      <w:r>
        <w:rPr>
          <w:spacing w:val="36"/>
        </w:rPr>
        <w:t xml:space="preserve"> </w:t>
      </w:r>
      <w:r>
        <w:rPr>
          <w:spacing w:val="-1"/>
        </w:rPr>
        <w:t>and/or</w:t>
      </w:r>
      <w:r>
        <w:rPr>
          <w:spacing w:val="36"/>
        </w:rPr>
        <w:t xml:space="preserve"> </w:t>
      </w:r>
      <w:r>
        <w:rPr>
          <w:spacing w:val="-1"/>
        </w:rPr>
        <w:t>Services</w:t>
      </w:r>
      <w:r>
        <w:rPr>
          <w:spacing w:val="36"/>
        </w:rPr>
        <w:t xml:space="preserve"> </w:t>
      </w:r>
      <w:r>
        <w:rPr>
          <w:spacing w:val="-1"/>
        </w:rPr>
        <w:t>provided</w:t>
      </w:r>
      <w:r>
        <w:rPr>
          <w:spacing w:val="35"/>
        </w:rPr>
        <w:t xml:space="preserve"> </w:t>
      </w:r>
      <w:r>
        <w:t>to</w:t>
      </w:r>
      <w:r>
        <w:rPr>
          <w:spacing w:val="35"/>
        </w:rPr>
        <w:t xml:space="preserve"> </w:t>
      </w:r>
      <w:r>
        <w:t>the</w:t>
      </w:r>
      <w:r>
        <w:rPr>
          <w:spacing w:val="35"/>
        </w:rPr>
        <w:t xml:space="preserve"> </w:t>
      </w:r>
      <w:r>
        <w:rPr>
          <w:spacing w:val="-2"/>
        </w:rPr>
        <w:t>Supplier</w:t>
      </w:r>
      <w:r>
        <w:rPr>
          <w:spacing w:val="36"/>
        </w:rPr>
        <w:t xml:space="preserve"> </w:t>
      </w:r>
      <w:r>
        <w:rPr>
          <w:spacing w:val="-1"/>
        </w:rPr>
        <w:t>under</w:t>
      </w:r>
      <w:r>
        <w:rPr>
          <w:spacing w:val="37"/>
        </w:rPr>
        <w:t xml:space="preserve"> </w:t>
      </w:r>
      <w:r>
        <w:t>the</w:t>
      </w:r>
      <w:r>
        <w:rPr>
          <w:spacing w:val="35"/>
        </w:rPr>
        <w:t xml:space="preserve"> </w:t>
      </w:r>
      <w:r>
        <w:rPr>
          <w:spacing w:val="-1"/>
        </w:rPr>
        <w:t>Sub-</w:t>
      </w:r>
      <w:r>
        <w:rPr>
          <w:spacing w:val="37"/>
        </w:rPr>
        <w:t xml:space="preserve"> </w:t>
      </w:r>
      <w:r>
        <w:rPr>
          <w:spacing w:val="-1"/>
        </w:rPr>
        <w:t>Contract</w:t>
      </w:r>
      <w:r>
        <w:rPr>
          <w:spacing w:val="49"/>
        </w:rPr>
        <w:t xml:space="preserve"> </w:t>
      </w:r>
      <w:r>
        <w:rPr>
          <w:spacing w:val="-2"/>
        </w:rPr>
        <w:t>without</w:t>
      </w:r>
      <w:r>
        <w:rPr>
          <w:spacing w:val="46"/>
        </w:rPr>
        <w:t xml:space="preserve"> </w:t>
      </w:r>
      <w:r>
        <w:rPr>
          <w:spacing w:val="-1"/>
        </w:rPr>
        <w:t>first</w:t>
      </w:r>
      <w:r>
        <w:rPr>
          <w:spacing w:val="46"/>
        </w:rPr>
        <w:t xml:space="preserve"> </w:t>
      </w:r>
      <w:r>
        <w:rPr>
          <w:spacing w:val="-1"/>
        </w:rPr>
        <w:t>seeking</w:t>
      </w:r>
      <w:r>
        <w:rPr>
          <w:spacing w:val="47"/>
        </w:rPr>
        <w:t xml:space="preserve"> </w:t>
      </w:r>
      <w:r>
        <w:t>the</w:t>
      </w:r>
      <w:r>
        <w:rPr>
          <w:spacing w:val="48"/>
        </w:rPr>
        <w:t xml:space="preserve"> </w:t>
      </w:r>
      <w:r>
        <w:rPr>
          <w:spacing w:val="-1"/>
        </w:rPr>
        <w:t>written</w:t>
      </w:r>
      <w:r>
        <w:rPr>
          <w:spacing w:val="47"/>
        </w:rPr>
        <w:t xml:space="preserve"> </w:t>
      </w:r>
      <w:r>
        <w:rPr>
          <w:spacing w:val="-1"/>
        </w:rPr>
        <w:t>consent</w:t>
      </w:r>
      <w:r>
        <w:rPr>
          <w:spacing w:val="50"/>
        </w:rPr>
        <w:t xml:space="preserve"> </w:t>
      </w:r>
      <w:r>
        <w:rPr>
          <w:spacing w:val="-2"/>
        </w:rPr>
        <w:t>of</w:t>
      </w:r>
      <w:r>
        <w:rPr>
          <w:spacing w:val="49"/>
        </w:rPr>
        <w:t xml:space="preserve"> </w:t>
      </w:r>
      <w:r>
        <w:rPr>
          <w:spacing w:val="-1"/>
        </w:rPr>
        <w:t>the</w:t>
      </w:r>
      <w:r>
        <w:rPr>
          <w:spacing w:val="34"/>
        </w:rPr>
        <w:t xml:space="preserve"> </w:t>
      </w:r>
      <w:r>
        <w:rPr>
          <w:spacing w:val="-1"/>
        </w:rPr>
        <w:t>Customer;</w:t>
      </w:r>
    </w:p>
    <w:p w:rsidR="008918FA" w:rsidRDefault="008918FA" w:rsidP="008918FA">
      <w:pPr>
        <w:pStyle w:val="BodyText"/>
        <w:numPr>
          <w:ilvl w:val="3"/>
          <w:numId w:val="66"/>
        </w:numPr>
        <w:tabs>
          <w:tab w:val="left" w:pos="2595"/>
        </w:tabs>
        <w:ind w:left="2594" w:right="113"/>
        <w:jc w:val="both"/>
      </w:pPr>
      <w:r>
        <w:t>a</w:t>
      </w:r>
      <w:r>
        <w:rPr>
          <w:spacing w:val="39"/>
        </w:rPr>
        <w:t xml:space="preserve"> </w:t>
      </w:r>
      <w:r>
        <w:rPr>
          <w:spacing w:val="-2"/>
        </w:rPr>
        <w:t>provision,</w:t>
      </w:r>
      <w:r>
        <w:rPr>
          <w:spacing w:val="42"/>
        </w:rPr>
        <w:t xml:space="preserve"> </w:t>
      </w:r>
      <w:r>
        <w:rPr>
          <w:spacing w:val="-2"/>
        </w:rPr>
        <w:t>where</w:t>
      </w:r>
      <w:r>
        <w:rPr>
          <w:spacing w:val="39"/>
        </w:rPr>
        <w:t xml:space="preserve"> </w:t>
      </w:r>
      <w:r>
        <w:t>a</w:t>
      </w:r>
      <w:r>
        <w:rPr>
          <w:spacing w:val="41"/>
        </w:rPr>
        <w:t xml:space="preserve"> </w:t>
      </w:r>
      <w:r>
        <w:rPr>
          <w:spacing w:val="-2"/>
        </w:rPr>
        <w:t>provision</w:t>
      </w:r>
      <w:r>
        <w:rPr>
          <w:spacing w:val="41"/>
        </w:rPr>
        <w:t xml:space="preserve"> </w:t>
      </w:r>
      <w:r>
        <w:rPr>
          <w:spacing w:val="-1"/>
        </w:rPr>
        <w:t>in</w:t>
      </w:r>
      <w:r>
        <w:rPr>
          <w:spacing w:val="41"/>
        </w:rPr>
        <w:t xml:space="preserve"> </w:t>
      </w:r>
      <w:r>
        <w:rPr>
          <w:spacing w:val="-2"/>
        </w:rPr>
        <w:t>Call</w:t>
      </w:r>
      <w:r>
        <w:rPr>
          <w:spacing w:val="41"/>
        </w:rPr>
        <w:t xml:space="preserve"> </w:t>
      </w:r>
      <w:r>
        <w:t>Off</w:t>
      </w:r>
      <w:r>
        <w:rPr>
          <w:spacing w:val="42"/>
        </w:rPr>
        <w:t xml:space="preserve"> </w:t>
      </w:r>
      <w:r>
        <w:rPr>
          <w:spacing w:val="-2"/>
        </w:rPr>
        <w:t>Schedule</w:t>
      </w:r>
      <w:r>
        <w:rPr>
          <w:spacing w:val="38"/>
        </w:rPr>
        <w:t xml:space="preserve"> </w:t>
      </w:r>
      <w:r>
        <w:rPr>
          <w:spacing w:val="-1"/>
        </w:rPr>
        <w:t>11</w:t>
      </w:r>
      <w:r>
        <w:rPr>
          <w:spacing w:val="41"/>
        </w:rPr>
        <w:t xml:space="preserve"> </w:t>
      </w:r>
      <w:r>
        <w:t>(Staff</w:t>
      </w:r>
      <w:r>
        <w:rPr>
          <w:spacing w:val="66"/>
        </w:rPr>
        <w:t xml:space="preserve"> </w:t>
      </w:r>
      <w:r>
        <w:rPr>
          <w:spacing w:val="-1"/>
        </w:rPr>
        <w:t>Transfer)</w:t>
      </w:r>
      <w:r>
        <w:rPr>
          <w:spacing w:val="28"/>
        </w:rPr>
        <w:t xml:space="preserve"> </w:t>
      </w:r>
      <w:r>
        <w:rPr>
          <w:spacing w:val="-1"/>
        </w:rPr>
        <w:t>imposes</w:t>
      </w:r>
      <w:r>
        <w:rPr>
          <w:spacing w:val="27"/>
        </w:rPr>
        <w:t xml:space="preserve"> </w:t>
      </w:r>
      <w:r>
        <w:rPr>
          <w:spacing w:val="-1"/>
        </w:rPr>
        <w:t>an</w:t>
      </w:r>
      <w:r>
        <w:rPr>
          <w:spacing w:val="27"/>
        </w:rPr>
        <w:t xml:space="preserve"> </w:t>
      </w:r>
      <w:r>
        <w:rPr>
          <w:spacing w:val="-1"/>
        </w:rPr>
        <w:t>obligation</w:t>
      </w:r>
      <w:r>
        <w:rPr>
          <w:spacing w:val="27"/>
        </w:rPr>
        <w:t xml:space="preserve"> </w:t>
      </w:r>
      <w:r>
        <w:rPr>
          <w:spacing w:val="-1"/>
        </w:rPr>
        <w:t>on</w:t>
      </w:r>
      <w:r>
        <w:rPr>
          <w:spacing w:val="27"/>
        </w:rPr>
        <w:t xml:space="preserve"> </w:t>
      </w:r>
      <w:r>
        <w:t>the</w:t>
      </w:r>
      <w:r>
        <w:rPr>
          <w:spacing w:val="27"/>
        </w:rPr>
        <w:t xml:space="preserve"> </w:t>
      </w:r>
      <w:r>
        <w:rPr>
          <w:spacing w:val="-2"/>
        </w:rPr>
        <w:t>Supplier</w:t>
      </w:r>
      <w:r>
        <w:rPr>
          <w:spacing w:val="30"/>
        </w:rPr>
        <w:t xml:space="preserve"> </w:t>
      </w:r>
      <w:r>
        <w:t>to</w:t>
      </w:r>
      <w:r>
        <w:rPr>
          <w:spacing w:val="27"/>
        </w:rPr>
        <w:t xml:space="preserve"> </w:t>
      </w:r>
      <w:r>
        <w:rPr>
          <w:spacing w:val="-2"/>
        </w:rPr>
        <w:t>provide</w:t>
      </w:r>
      <w:r>
        <w:rPr>
          <w:spacing w:val="29"/>
        </w:rPr>
        <w:t xml:space="preserve"> </w:t>
      </w:r>
      <w:r>
        <w:rPr>
          <w:spacing w:val="-1"/>
        </w:rPr>
        <w:t>an</w:t>
      </w:r>
      <w:r>
        <w:rPr>
          <w:spacing w:val="50"/>
        </w:rPr>
        <w:t xml:space="preserve"> </w:t>
      </w:r>
      <w:r>
        <w:rPr>
          <w:spacing w:val="-1"/>
        </w:rPr>
        <w:t>indemnity,</w:t>
      </w:r>
      <w:r>
        <w:rPr>
          <w:spacing w:val="15"/>
        </w:rPr>
        <w:t xml:space="preserve"> </w:t>
      </w:r>
      <w:r>
        <w:rPr>
          <w:spacing w:val="-1"/>
        </w:rPr>
        <w:t>undertaking</w:t>
      </w:r>
      <w:r>
        <w:rPr>
          <w:spacing w:val="14"/>
        </w:rPr>
        <w:t xml:space="preserve"> </w:t>
      </w:r>
      <w:r>
        <w:rPr>
          <w:spacing w:val="-1"/>
        </w:rPr>
        <w:t>or</w:t>
      </w:r>
      <w:r>
        <w:rPr>
          <w:spacing w:val="15"/>
        </w:rPr>
        <w:t xml:space="preserve"> </w:t>
      </w:r>
      <w:r>
        <w:rPr>
          <w:spacing w:val="-1"/>
        </w:rPr>
        <w:t>warranty,</w:t>
      </w:r>
      <w:r>
        <w:rPr>
          <w:spacing w:val="15"/>
        </w:rPr>
        <w:t xml:space="preserve"> </w:t>
      </w:r>
      <w:r>
        <w:rPr>
          <w:spacing w:val="-1"/>
        </w:rPr>
        <w:t>requiring</w:t>
      </w:r>
      <w:r>
        <w:rPr>
          <w:spacing w:val="16"/>
        </w:rPr>
        <w:t xml:space="preserve"> </w:t>
      </w:r>
      <w:r>
        <w:rPr>
          <w:spacing w:val="-1"/>
        </w:rPr>
        <w:t>the</w:t>
      </w:r>
      <w:r>
        <w:rPr>
          <w:spacing w:val="14"/>
        </w:rPr>
        <w:t xml:space="preserve"> </w:t>
      </w:r>
      <w:r>
        <w:rPr>
          <w:spacing w:val="-1"/>
        </w:rPr>
        <w:t>Key</w:t>
      </w:r>
      <w:r>
        <w:rPr>
          <w:spacing w:val="13"/>
        </w:rPr>
        <w:t xml:space="preserve"> </w:t>
      </w:r>
      <w:r>
        <w:rPr>
          <w:spacing w:val="-1"/>
        </w:rPr>
        <w:t>Sub-</w:t>
      </w:r>
      <w:r>
        <w:rPr>
          <w:spacing w:val="26"/>
        </w:rPr>
        <w:t xml:space="preserve"> </w:t>
      </w:r>
      <w:r>
        <w:rPr>
          <w:spacing w:val="-1"/>
        </w:rPr>
        <w:t>Contractor</w:t>
      </w:r>
      <w:r>
        <w:rPr>
          <w:spacing w:val="28"/>
        </w:rPr>
        <w:t xml:space="preserve"> </w:t>
      </w:r>
      <w:r>
        <w:t>to</w:t>
      </w:r>
      <w:r>
        <w:rPr>
          <w:spacing w:val="27"/>
        </w:rPr>
        <w:t xml:space="preserve"> </w:t>
      </w:r>
      <w:r>
        <w:rPr>
          <w:spacing w:val="-2"/>
        </w:rPr>
        <w:t>provide</w:t>
      </w:r>
      <w:r>
        <w:rPr>
          <w:spacing w:val="27"/>
        </w:rPr>
        <w:t xml:space="preserve"> </w:t>
      </w:r>
      <w:r>
        <w:rPr>
          <w:spacing w:val="-1"/>
        </w:rPr>
        <w:t>such</w:t>
      </w:r>
      <w:r>
        <w:rPr>
          <w:spacing w:val="27"/>
        </w:rPr>
        <w:t xml:space="preserve"> </w:t>
      </w:r>
      <w:r>
        <w:rPr>
          <w:spacing w:val="-1"/>
        </w:rPr>
        <w:t>indemnity,</w:t>
      </w:r>
      <w:r>
        <w:rPr>
          <w:spacing w:val="28"/>
        </w:rPr>
        <w:t xml:space="preserve"> </w:t>
      </w:r>
      <w:r>
        <w:rPr>
          <w:spacing w:val="-1"/>
        </w:rPr>
        <w:t>undertaking</w:t>
      </w:r>
      <w:r>
        <w:rPr>
          <w:spacing w:val="29"/>
        </w:rPr>
        <w:t xml:space="preserve"> </w:t>
      </w:r>
      <w:r>
        <w:rPr>
          <w:spacing w:val="-1"/>
        </w:rPr>
        <w:t>or</w:t>
      </w:r>
      <w:r>
        <w:rPr>
          <w:spacing w:val="28"/>
        </w:rPr>
        <w:t xml:space="preserve"> </w:t>
      </w:r>
      <w:r>
        <w:rPr>
          <w:spacing w:val="-1"/>
        </w:rPr>
        <w:t>warranty</w:t>
      </w:r>
      <w:r>
        <w:rPr>
          <w:spacing w:val="35"/>
        </w:rPr>
        <w:t xml:space="preserve"> </w:t>
      </w:r>
      <w:r>
        <w:t>to</w:t>
      </w:r>
      <w:r>
        <w:rPr>
          <w:spacing w:val="12"/>
        </w:rPr>
        <w:t xml:space="preserve"> </w:t>
      </w:r>
      <w:r>
        <w:t>the</w:t>
      </w:r>
      <w:r>
        <w:rPr>
          <w:spacing w:val="10"/>
        </w:rPr>
        <w:t xml:space="preserve"> </w:t>
      </w:r>
      <w:r>
        <w:rPr>
          <w:spacing w:val="-1"/>
        </w:rPr>
        <w:t>Customer,</w:t>
      </w:r>
      <w:r>
        <w:rPr>
          <w:spacing w:val="14"/>
        </w:rPr>
        <w:t xml:space="preserve"> </w:t>
      </w:r>
      <w:r>
        <w:rPr>
          <w:spacing w:val="-2"/>
        </w:rPr>
        <w:t>Former</w:t>
      </w:r>
      <w:r>
        <w:rPr>
          <w:spacing w:val="11"/>
        </w:rPr>
        <w:t xml:space="preserve"> </w:t>
      </w:r>
      <w:r>
        <w:rPr>
          <w:spacing w:val="-2"/>
        </w:rPr>
        <w:t>Supplier</w:t>
      </w:r>
      <w:r>
        <w:rPr>
          <w:spacing w:val="14"/>
        </w:rPr>
        <w:t xml:space="preserve"> </w:t>
      </w:r>
      <w:r>
        <w:rPr>
          <w:spacing w:val="-1"/>
        </w:rPr>
        <w:t>or</w:t>
      </w:r>
      <w:r>
        <w:rPr>
          <w:spacing w:val="14"/>
        </w:rPr>
        <w:t xml:space="preserve"> </w:t>
      </w:r>
      <w:r>
        <w:t>the</w:t>
      </w:r>
      <w:r>
        <w:rPr>
          <w:spacing w:val="10"/>
        </w:rPr>
        <w:t xml:space="preserve"> </w:t>
      </w:r>
      <w:r>
        <w:rPr>
          <w:spacing w:val="-1"/>
        </w:rPr>
        <w:t>Replacement</w:t>
      </w:r>
      <w:r>
        <w:rPr>
          <w:spacing w:val="14"/>
        </w:rPr>
        <w:t xml:space="preserve"> </w:t>
      </w:r>
      <w:r>
        <w:rPr>
          <w:spacing w:val="-2"/>
        </w:rPr>
        <w:t>Supplier</w:t>
      </w:r>
      <w:r>
        <w:rPr>
          <w:spacing w:val="42"/>
        </w:rPr>
        <w:t xml:space="preserve"> </w:t>
      </w:r>
      <w:r>
        <w:rPr>
          <w:spacing w:val="-1"/>
        </w:rPr>
        <w:t>as</w:t>
      </w:r>
      <w:r>
        <w:rPr>
          <w:spacing w:val="1"/>
        </w:rPr>
        <w:t xml:space="preserve"> </w:t>
      </w:r>
      <w:r>
        <w:t>the</w:t>
      </w:r>
      <w:r>
        <w:rPr>
          <w:spacing w:val="-2"/>
        </w:rPr>
        <w:t xml:space="preserve"> </w:t>
      </w:r>
      <w:r>
        <w:rPr>
          <w:spacing w:val="-1"/>
        </w:rPr>
        <w:t>case</w:t>
      </w:r>
      <w:r>
        <w:rPr>
          <w:spacing w:val="-2"/>
        </w:rPr>
        <w:t xml:space="preserve"> </w:t>
      </w:r>
      <w:r>
        <w:rPr>
          <w:spacing w:val="-1"/>
        </w:rPr>
        <w:t>may</w:t>
      </w:r>
      <w:r>
        <w:rPr>
          <w:spacing w:val="-2"/>
        </w:rPr>
        <w:t xml:space="preserve"> be.</w:t>
      </w:r>
    </w:p>
    <w:p w:rsidR="008918FA" w:rsidRDefault="008918FA" w:rsidP="008918FA">
      <w:pPr>
        <w:pStyle w:val="Heading1"/>
        <w:numPr>
          <w:ilvl w:val="1"/>
          <w:numId w:val="66"/>
        </w:numPr>
        <w:tabs>
          <w:tab w:val="left" w:pos="894"/>
        </w:tabs>
        <w:ind w:left="893" w:hanging="564"/>
        <w:rPr>
          <w:b w:val="0"/>
          <w:bCs w:val="0"/>
        </w:rPr>
      </w:pPr>
      <w:r>
        <w:rPr>
          <w:spacing w:val="-1"/>
        </w:rPr>
        <w:t>Supply</w:t>
      </w:r>
      <w:r>
        <w:rPr>
          <w:spacing w:val="-4"/>
        </w:rPr>
        <w:t xml:space="preserve"> </w:t>
      </w:r>
      <w:r>
        <w:rPr>
          <w:spacing w:val="-1"/>
        </w:rPr>
        <w:t>Chain</w:t>
      </w:r>
      <w:r>
        <w:t xml:space="preserve"> </w:t>
      </w:r>
      <w:r>
        <w:rPr>
          <w:spacing w:val="-1"/>
        </w:rPr>
        <w:t>Protection</w:t>
      </w:r>
    </w:p>
    <w:p w:rsidR="008918FA" w:rsidRDefault="008918FA" w:rsidP="008918FA">
      <w:pPr>
        <w:pStyle w:val="BodyText"/>
        <w:numPr>
          <w:ilvl w:val="2"/>
          <w:numId w:val="66"/>
        </w:numPr>
        <w:tabs>
          <w:tab w:val="left" w:pos="1887"/>
        </w:tabs>
        <w:spacing w:before="124"/>
        <w:ind w:left="1886" w:hanging="993"/>
      </w:pPr>
      <w:r>
        <w:t>The</w:t>
      </w:r>
      <w:r>
        <w:rPr>
          <w:spacing w:val="-2"/>
        </w:rPr>
        <w:t xml:space="preserve"> Supplier</w:t>
      </w:r>
      <w:r>
        <w:rPr>
          <w:spacing w:val="2"/>
        </w:rPr>
        <w:t xml:space="preserve"> </w:t>
      </w:r>
      <w:r>
        <w:rPr>
          <w:spacing w:val="-1"/>
        </w:rPr>
        <w:t>shall</w:t>
      </w:r>
      <w:r>
        <w:t xml:space="preserve"> </w:t>
      </w:r>
      <w:r>
        <w:rPr>
          <w:spacing w:val="-1"/>
        </w:rPr>
        <w:t>ensure</w:t>
      </w:r>
      <w:r>
        <w:t xml:space="preserve"> </w:t>
      </w:r>
      <w:r>
        <w:rPr>
          <w:spacing w:val="-1"/>
        </w:rPr>
        <w:t>that</w:t>
      </w:r>
      <w:r>
        <w:rPr>
          <w:spacing w:val="2"/>
        </w:rPr>
        <w:t xml:space="preserve"> </w:t>
      </w:r>
      <w:r>
        <w:rPr>
          <w:spacing w:val="-1"/>
        </w:rPr>
        <w:t>all</w:t>
      </w:r>
      <w:r>
        <w:t xml:space="preserve"> </w:t>
      </w:r>
      <w:r>
        <w:rPr>
          <w:spacing w:val="-1"/>
        </w:rPr>
        <w:t>Sub-Contracts</w:t>
      </w:r>
      <w:r>
        <w:rPr>
          <w:spacing w:val="-4"/>
        </w:rPr>
        <w:t xml:space="preserve"> </w:t>
      </w:r>
      <w:r>
        <w:rPr>
          <w:spacing w:val="-1"/>
        </w:rPr>
        <w:t>contain</w:t>
      </w:r>
      <w:r>
        <w:t xml:space="preserve"> a </w:t>
      </w:r>
      <w:r>
        <w:rPr>
          <w:spacing w:val="-2"/>
        </w:rPr>
        <w:t>provision:</w:t>
      </w:r>
    </w:p>
    <w:p w:rsidR="008918FA" w:rsidRDefault="008918FA" w:rsidP="008918FA">
      <w:pPr>
        <w:pStyle w:val="BodyText"/>
        <w:numPr>
          <w:ilvl w:val="3"/>
          <w:numId w:val="66"/>
        </w:numPr>
        <w:tabs>
          <w:tab w:val="left" w:pos="2595"/>
        </w:tabs>
        <w:ind w:left="2594" w:right="115"/>
        <w:jc w:val="both"/>
      </w:pPr>
      <w:r>
        <w:rPr>
          <w:spacing w:val="-1"/>
        </w:rPr>
        <w:t>requiring</w:t>
      </w:r>
      <w:r>
        <w:rPr>
          <w:spacing w:val="34"/>
        </w:rPr>
        <w:t xml:space="preserve"> </w:t>
      </w:r>
      <w:r>
        <w:t>the</w:t>
      </w:r>
      <w:r>
        <w:rPr>
          <w:spacing w:val="34"/>
        </w:rPr>
        <w:t xml:space="preserve"> </w:t>
      </w:r>
      <w:r>
        <w:rPr>
          <w:spacing w:val="-2"/>
        </w:rPr>
        <w:t>Supplier</w:t>
      </w:r>
      <w:r>
        <w:rPr>
          <w:spacing w:val="35"/>
        </w:rPr>
        <w:t xml:space="preserve"> </w:t>
      </w:r>
      <w:r>
        <w:t>to</w:t>
      </w:r>
      <w:r>
        <w:rPr>
          <w:spacing w:val="34"/>
        </w:rPr>
        <w:t xml:space="preserve"> </w:t>
      </w:r>
      <w:r>
        <w:rPr>
          <w:spacing w:val="-1"/>
        </w:rPr>
        <w:t>pay</w:t>
      </w:r>
      <w:r>
        <w:rPr>
          <w:spacing w:val="32"/>
        </w:rPr>
        <w:t xml:space="preserve"> </w:t>
      </w:r>
      <w:r>
        <w:t>any</w:t>
      </w:r>
      <w:r>
        <w:rPr>
          <w:spacing w:val="34"/>
        </w:rPr>
        <w:t xml:space="preserve"> </w:t>
      </w:r>
      <w:r>
        <w:rPr>
          <w:spacing w:val="-1"/>
        </w:rPr>
        <w:t>undisputed</w:t>
      </w:r>
      <w:r>
        <w:rPr>
          <w:spacing w:val="35"/>
        </w:rPr>
        <w:t xml:space="preserve"> </w:t>
      </w:r>
      <w:r>
        <w:rPr>
          <w:spacing w:val="-1"/>
        </w:rPr>
        <w:t>sums</w:t>
      </w:r>
      <w:r>
        <w:rPr>
          <w:spacing w:val="34"/>
        </w:rPr>
        <w:t xml:space="preserve"> </w:t>
      </w:r>
      <w:r>
        <w:rPr>
          <w:spacing w:val="-2"/>
        </w:rPr>
        <w:t>which</w:t>
      </w:r>
      <w:r>
        <w:rPr>
          <w:spacing w:val="34"/>
        </w:rPr>
        <w:t xml:space="preserve"> </w:t>
      </w:r>
      <w:r>
        <w:rPr>
          <w:spacing w:val="-1"/>
        </w:rPr>
        <w:t>are</w:t>
      </w:r>
      <w:r>
        <w:rPr>
          <w:spacing w:val="45"/>
        </w:rPr>
        <w:t xml:space="preserve"> </w:t>
      </w:r>
      <w:r>
        <w:rPr>
          <w:spacing w:val="-1"/>
        </w:rPr>
        <w:t>due</w:t>
      </w:r>
      <w:r>
        <w:rPr>
          <w:spacing w:val="22"/>
        </w:rPr>
        <w:t xml:space="preserve"> </w:t>
      </w:r>
      <w:r>
        <w:t>from</w:t>
      </w:r>
      <w:r>
        <w:rPr>
          <w:spacing w:val="23"/>
        </w:rPr>
        <w:t xml:space="preserve"> </w:t>
      </w:r>
      <w:r>
        <w:rPr>
          <w:spacing w:val="-1"/>
        </w:rPr>
        <w:t>it</w:t>
      </w:r>
      <w:r>
        <w:rPr>
          <w:spacing w:val="21"/>
        </w:rPr>
        <w:t xml:space="preserve"> </w:t>
      </w:r>
      <w:r>
        <w:t>to</w:t>
      </w:r>
      <w:r>
        <w:rPr>
          <w:spacing w:val="22"/>
        </w:rPr>
        <w:t xml:space="preserve"> </w:t>
      </w:r>
      <w:r>
        <w:t>the</w:t>
      </w:r>
      <w:r>
        <w:rPr>
          <w:spacing w:val="22"/>
        </w:rPr>
        <w:t xml:space="preserve"> </w:t>
      </w:r>
      <w:r>
        <w:rPr>
          <w:spacing w:val="-1"/>
        </w:rPr>
        <w:t>Sub-Contractor</w:t>
      </w:r>
      <w:r>
        <w:rPr>
          <w:spacing w:val="23"/>
        </w:rPr>
        <w:t xml:space="preserve"> </w:t>
      </w:r>
      <w:r>
        <w:rPr>
          <w:spacing w:val="-2"/>
        </w:rPr>
        <w:t>within</w:t>
      </w:r>
      <w:r>
        <w:rPr>
          <w:spacing w:val="22"/>
        </w:rPr>
        <w:t xml:space="preserve"> </w:t>
      </w:r>
      <w:r>
        <w:t>a</w:t>
      </w:r>
      <w:r>
        <w:rPr>
          <w:spacing w:val="22"/>
        </w:rPr>
        <w:t xml:space="preserve"> </w:t>
      </w:r>
      <w:r>
        <w:rPr>
          <w:spacing w:val="-1"/>
        </w:rPr>
        <w:t>specified</w:t>
      </w:r>
      <w:r>
        <w:rPr>
          <w:spacing w:val="22"/>
        </w:rPr>
        <w:t xml:space="preserve"> </w:t>
      </w:r>
      <w:r>
        <w:rPr>
          <w:spacing w:val="-1"/>
        </w:rPr>
        <w:t>period</w:t>
      </w:r>
      <w:r>
        <w:rPr>
          <w:spacing w:val="22"/>
        </w:rPr>
        <w:t xml:space="preserve"> </w:t>
      </w:r>
      <w:r>
        <w:rPr>
          <w:spacing w:val="-1"/>
        </w:rPr>
        <w:t>not</w:t>
      </w:r>
      <w:r>
        <w:rPr>
          <w:spacing w:val="30"/>
        </w:rPr>
        <w:t xml:space="preserve"> </w:t>
      </w:r>
      <w:r>
        <w:rPr>
          <w:spacing w:val="-2"/>
        </w:rPr>
        <w:t>exceeding</w:t>
      </w:r>
      <w:r>
        <w:rPr>
          <w:spacing w:val="31"/>
        </w:rPr>
        <w:t xml:space="preserve"> </w:t>
      </w:r>
      <w:r>
        <w:rPr>
          <w:spacing w:val="-1"/>
        </w:rPr>
        <w:t>thirty</w:t>
      </w:r>
      <w:r>
        <w:rPr>
          <w:spacing w:val="27"/>
        </w:rPr>
        <w:t xml:space="preserve"> </w:t>
      </w:r>
      <w:r>
        <w:rPr>
          <w:spacing w:val="-1"/>
        </w:rPr>
        <w:t>(30)</w:t>
      </w:r>
      <w:r>
        <w:rPr>
          <w:spacing w:val="30"/>
        </w:rPr>
        <w:t xml:space="preserve"> </w:t>
      </w:r>
      <w:r>
        <w:rPr>
          <w:spacing w:val="-2"/>
        </w:rPr>
        <w:t>days</w:t>
      </w:r>
      <w:r>
        <w:rPr>
          <w:spacing w:val="30"/>
        </w:rPr>
        <w:t xml:space="preserve"> </w:t>
      </w:r>
      <w:r>
        <w:t>from</w:t>
      </w:r>
      <w:r>
        <w:rPr>
          <w:spacing w:val="30"/>
        </w:rPr>
        <w:t xml:space="preserve"> </w:t>
      </w:r>
      <w:r>
        <w:t>the</w:t>
      </w:r>
      <w:r>
        <w:rPr>
          <w:spacing w:val="29"/>
        </w:rPr>
        <w:t xml:space="preserve"> </w:t>
      </w:r>
      <w:r>
        <w:rPr>
          <w:spacing w:val="-1"/>
        </w:rPr>
        <w:t>receipt</w:t>
      </w:r>
      <w:r>
        <w:rPr>
          <w:spacing w:val="30"/>
        </w:rPr>
        <w:t xml:space="preserve"> </w:t>
      </w:r>
      <w:r>
        <w:rPr>
          <w:spacing w:val="-2"/>
        </w:rPr>
        <w:t>of</w:t>
      </w:r>
      <w:r>
        <w:rPr>
          <w:spacing w:val="33"/>
        </w:rPr>
        <w:t xml:space="preserve"> </w:t>
      </w:r>
      <w:r>
        <w:t>a</w:t>
      </w:r>
      <w:r>
        <w:rPr>
          <w:spacing w:val="27"/>
        </w:rPr>
        <w:t xml:space="preserve"> </w:t>
      </w:r>
      <w:r>
        <w:rPr>
          <w:spacing w:val="-2"/>
        </w:rPr>
        <w:t>Valid</w:t>
      </w:r>
      <w:r>
        <w:rPr>
          <w:spacing w:val="32"/>
        </w:rPr>
        <w:t xml:space="preserve"> </w:t>
      </w:r>
      <w:r>
        <w:rPr>
          <w:spacing w:val="-1"/>
        </w:rPr>
        <w:t>Invoice;</w:t>
      </w:r>
      <w:r>
        <w:rPr>
          <w:spacing w:val="57"/>
        </w:rPr>
        <w:t xml:space="preserve"> </w:t>
      </w:r>
      <w:r>
        <w:rPr>
          <w:spacing w:val="-1"/>
        </w:rPr>
        <w:t>and</w:t>
      </w:r>
    </w:p>
    <w:p w:rsidR="008918FA" w:rsidRDefault="008918FA" w:rsidP="008918FA">
      <w:pPr>
        <w:pStyle w:val="BodyText"/>
        <w:numPr>
          <w:ilvl w:val="3"/>
          <w:numId w:val="66"/>
        </w:numPr>
        <w:tabs>
          <w:tab w:val="left" w:pos="2595"/>
        </w:tabs>
        <w:ind w:left="2594" w:right="116"/>
        <w:jc w:val="both"/>
      </w:pPr>
      <w:r>
        <w:t>a</w:t>
      </w:r>
      <w:r>
        <w:rPr>
          <w:spacing w:val="36"/>
        </w:rPr>
        <w:t xml:space="preserve"> </w:t>
      </w:r>
      <w:r>
        <w:rPr>
          <w:spacing w:val="-1"/>
        </w:rPr>
        <w:t>right</w:t>
      </w:r>
      <w:r>
        <w:rPr>
          <w:spacing w:val="35"/>
        </w:rPr>
        <w:t xml:space="preserve"> </w:t>
      </w:r>
      <w:r>
        <w:t>for</w:t>
      </w:r>
      <w:r>
        <w:rPr>
          <w:spacing w:val="35"/>
        </w:rPr>
        <w:t xml:space="preserve"> </w:t>
      </w:r>
      <w:r>
        <w:t>the</w:t>
      </w:r>
      <w:r>
        <w:rPr>
          <w:spacing w:val="36"/>
        </w:rPr>
        <w:t xml:space="preserve"> </w:t>
      </w:r>
      <w:r>
        <w:rPr>
          <w:spacing w:val="-2"/>
        </w:rPr>
        <w:t>Customer</w:t>
      </w:r>
      <w:r>
        <w:rPr>
          <w:spacing w:val="38"/>
        </w:rPr>
        <w:t xml:space="preserve"> </w:t>
      </w:r>
      <w:r>
        <w:t>to</w:t>
      </w:r>
      <w:r>
        <w:rPr>
          <w:spacing w:val="36"/>
        </w:rPr>
        <w:t xml:space="preserve"> </w:t>
      </w:r>
      <w:r>
        <w:rPr>
          <w:spacing w:val="-2"/>
        </w:rPr>
        <w:t>publish</w:t>
      </w:r>
      <w:r>
        <w:rPr>
          <w:spacing w:val="38"/>
        </w:rPr>
        <w:t xml:space="preserve"> </w:t>
      </w:r>
      <w:r>
        <w:t>the</w:t>
      </w:r>
      <w:r>
        <w:rPr>
          <w:spacing w:val="36"/>
        </w:rPr>
        <w:t xml:space="preserve"> </w:t>
      </w:r>
      <w:r>
        <w:rPr>
          <w:spacing w:val="-2"/>
        </w:rPr>
        <w:t>Supplier’s</w:t>
      </w:r>
      <w:r>
        <w:rPr>
          <w:spacing w:val="37"/>
        </w:rPr>
        <w:t xml:space="preserve"> </w:t>
      </w:r>
      <w:r>
        <w:rPr>
          <w:spacing w:val="-1"/>
        </w:rPr>
        <w:t>compliance</w:t>
      </w:r>
      <w:r>
        <w:rPr>
          <w:spacing w:val="46"/>
        </w:rPr>
        <w:t xml:space="preserve"> </w:t>
      </w:r>
      <w:r>
        <w:rPr>
          <w:spacing w:val="-1"/>
        </w:rPr>
        <w:t>with</w:t>
      </w:r>
      <w:r>
        <w:rPr>
          <w:spacing w:val="49"/>
        </w:rPr>
        <w:t xml:space="preserve"> </w:t>
      </w:r>
      <w:r>
        <w:rPr>
          <w:spacing w:val="-1"/>
        </w:rPr>
        <w:t>its</w:t>
      </w:r>
      <w:r>
        <w:rPr>
          <w:spacing w:val="50"/>
        </w:rPr>
        <w:t xml:space="preserve"> </w:t>
      </w:r>
      <w:r>
        <w:rPr>
          <w:spacing w:val="-1"/>
        </w:rPr>
        <w:t>obligation</w:t>
      </w:r>
      <w:r>
        <w:rPr>
          <w:spacing w:val="49"/>
        </w:rPr>
        <w:t xml:space="preserve"> </w:t>
      </w:r>
      <w:r>
        <w:t>to</w:t>
      </w:r>
      <w:r>
        <w:rPr>
          <w:spacing w:val="47"/>
        </w:rPr>
        <w:t xml:space="preserve"> </w:t>
      </w:r>
      <w:r>
        <w:rPr>
          <w:spacing w:val="-1"/>
        </w:rPr>
        <w:t>pay</w:t>
      </w:r>
      <w:r>
        <w:rPr>
          <w:spacing w:val="47"/>
        </w:rPr>
        <w:t xml:space="preserve"> </w:t>
      </w:r>
      <w:r>
        <w:rPr>
          <w:spacing w:val="-1"/>
        </w:rPr>
        <w:t>undisputed</w:t>
      </w:r>
      <w:r>
        <w:rPr>
          <w:spacing w:val="49"/>
        </w:rPr>
        <w:t xml:space="preserve"> </w:t>
      </w:r>
      <w:r>
        <w:rPr>
          <w:spacing w:val="-1"/>
        </w:rPr>
        <w:t>invoices</w:t>
      </w:r>
      <w:r>
        <w:rPr>
          <w:spacing w:val="51"/>
        </w:rPr>
        <w:t xml:space="preserve"> </w:t>
      </w:r>
      <w:r>
        <w:rPr>
          <w:spacing w:val="-2"/>
        </w:rPr>
        <w:t>within</w:t>
      </w:r>
      <w:r>
        <w:rPr>
          <w:spacing w:val="49"/>
        </w:rPr>
        <w:t xml:space="preserve"> </w:t>
      </w:r>
      <w:r>
        <w:rPr>
          <w:spacing w:val="-1"/>
        </w:rPr>
        <w:t>the</w:t>
      </w:r>
      <w:r>
        <w:rPr>
          <w:spacing w:val="40"/>
        </w:rPr>
        <w:t xml:space="preserve"> </w:t>
      </w:r>
      <w:r>
        <w:rPr>
          <w:spacing w:val="-1"/>
        </w:rPr>
        <w:t>specified</w:t>
      </w:r>
      <w:r>
        <w:t xml:space="preserve"> </w:t>
      </w:r>
      <w:r>
        <w:rPr>
          <w:spacing w:val="-1"/>
        </w:rPr>
        <w:t>payment</w:t>
      </w:r>
      <w:r>
        <w:t xml:space="preserve"> </w:t>
      </w:r>
      <w:r>
        <w:rPr>
          <w:spacing w:val="-2"/>
        </w:rPr>
        <w:t>period.</w:t>
      </w:r>
    </w:p>
    <w:p w:rsidR="008918FA" w:rsidRDefault="008918FA" w:rsidP="008918FA">
      <w:pPr>
        <w:pStyle w:val="BodyText"/>
        <w:numPr>
          <w:ilvl w:val="2"/>
          <w:numId w:val="66"/>
        </w:numPr>
        <w:tabs>
          <w:tab w:val="left" w:pos="1887"/>
        </w:tabs>
        <w:ind w:left="1886" w:hanging="993"/>
      </w:pPr>
      <w:bookmarkStart w:id="177" w:name="_bookmark150"/>
      <w:bookmarkEnd w:id="177"/>
      <w:r>
        <w:t>The</w:t>
      </w:r>
      <w:r>
        <w:rPr>
          <w:spacing w:val="-2"/>
        </w:rPr>
        <w:t xml:space="preserve"> Supplier</w:t>
      </w:r>
      <w:r>
        <w:rPr>
          <w:spacing w:val="2"/>
        </w:rPr>
        <w:t xml:space="preserve"> </w:t>
      </w:r>
      <w:r>
        <w:rPr>
          <w:spacing w:val="-1"/>
        </w:rPr>
        <w:t>shall:</w:t>
      </w:r>
    </w:p>
    <w:p w:rsidR="008918FA" w:rsidRDefault="008918FA" w:rsidP="008918FA">
      <w:pPr>
        <w:pStyle w:val="BodyText"/>
        <w:numPr>
          <w:ilvl w:val="3"/>
          <w:numId w:val="66"/>
        </w:numPr>
        <w:tabs>
          <w:tab w:val="left" w:pos="2595"/>
        </w:tabs>
        <w:spacing w:before="121"/>
        <w:ind w:left="2594" w:right="114"/>
        <w:jc w:val="both"/>
      </w:pPr>
      <w:r>
        <w:rPr>
          <w:spacing w:val="-1"/>
        </w:rPr>
        <w:t>pay</w:t>
      </w:r>
      <w:r>
        <w:rPr>
          <w:spacing w:val="58"/>
        </w:rPr>
        <w:t xml:space="preserve"> </w:t>
      </w:r>
      <w:r>
        <w:rPr>
          <w:spacing w:val="-1"/>
        </w:rPr>
        <w:t>any</w:t>
      </w:r>
      <w:r>
        <w:rPr>
          <w:spacing w:val="58"/>
        </w:rPr>
        <w:t xml:space="preserve"> </w:t>
      </w:r>
      <w:r>
        <w:rPr>
          <w:spacing w:val="-1"/>
        </w:rPr>
        <w:t>undisputed</w:t>
      </w:r>
      <w:r>
        <w:rPr>
          <w:spacing w:val="60"/>
        </w:rPr>
        <w:t xml:space="preserve"> </w:t>
      </w:r>
      <w:r>
        <w:rPr>
          <w:spacing w:val="-1"/>
        </w:rPr>
        <w:t>sums</w:t>
      </w:r>
      <w:r>
        <w:t xml:space="preserve">  </w:t>
      </w:r>
      <w:r>
        <w:rPr>
          <w:spacing w:val="-2"/>
        </w:rPr>
        <w:t>which</w:t>
      </w:r>
      <w:r>
        <w:t xml:space="preserve">  </w:t>
      </w:r>
      <w:r>
        <w:rPr>
          <w:spacing w:val="-1"/>
        </w:rPr>
        <w:t>are</w:t>
      </w:r>
      <w:r>
        <w:rPr>
          <w:spacing w:val="60"/>
        </w:rPr>
        <w:t xml:space="preserve"> </w:t>
      </w:r>
      <w:r>
        <w:rPr>
          <w:spacing w:val="-1"/>
        </w:rPr>
        <w:t>due</w:t>
      </w:r>
      <w:r>
        <w:rPr>
          <w:spacing w:val="55"/>
        </w:rPr>
        <w:t xml:space="preserve"> </w:t>
      </w:r>
      <w:r>
        <w:rPr>
          <w:spacing w:val="-1"/>
        </w:rPr>
        <w:t>from</w:t>
      </w:r>
      <w:r>
        <w:t xml:space="preserve">  </w:t>
      </w:r>
      <w:r>
        <w:rPr>
          <w:spacing w:val="-1"/>
        </w:rPr>
        <w:t>it</w:t>
      </w:r>
      <w:r>
        <w:rPr>
          <w:spacing w:val="59"/>
        </w:rPr>
        <w:t xml:space="preserve"> </w:t>
      </w:r>
      <w:r>
        <w:t>to</w:t>
      </w:r>
      <w:r>
        <w:rPr>
          <w:spacing w:val="59"/>
        </w:rPr>
        <w:t xml:space="preserve"> </w:t>
      </w:r>
      <w:r>
        <w:t>a</w:t>
      </w:r>
      <w:r>
        <w:rPr>
          <w:spacing w:val="60"/>
        </w:rPr>
        <w:t xml:space="preserve"> </w:t>
      </w:r>
      <w:r>
        <w:rPr>
          <w:spacing w:val="-1"/>
        </w:rPr>
        <w:t>Sub-</w:t>
      </w:r>
      <w:r>
        <w:rPr>
          <w:spacing w:val="35"/>
        </w:rPr>
        <w:t xml:space="preserve"> </w:t>
      </w:r>
      <w:r>
        <w:rPr>
          <w:spacing w:val="-1"/>
        </w:rPr>
        <w:t>Contractor</w:t>
      </w:r>
      <w:r>
        <w:rPr>
          <w:spacing w:val="47"/>
        </w:rPr>
        <w:t xml:space="preserve"> </w:t>
      </w:r>
      <w:r>
        <w:rPr>
          <w:spacing w:val="-2"/>
        </w:rPr>
        <w:t>within</w:t>
      </w:r>
      <w:r>
        <w:rPr>
          <w:spacing w:val="46"/>
        </w:rPr>
        <w:t xml:space="preserve"> </w:t>
      </w:r>
      <w:r>
        <w:rPr>
          <w:spacing w:val="-1"/>
        </w:rPr>
        <w:t>thirty</w:t>
      </w:r>
      <w:r>
        <w:rPr>
          <w:spacing w:val="46"/>
        </w:rPr>
        <w:t xml:space="preserve"> </w:t>
      </w:r>
      <w:r>
        <w:rPr>
          <w:spacing w:val="-1"/>
        </w:rPr>
        <w:t>(30)</w:t>
      </w:r>
      <w:r>
        <w:rPr>
          <w:spacing w:val="47"/>
        </w:rPr>
        <w:t xml:space="preserve"> </w:t>
      </w:r>
      <w:r>
        <w:rPr>
          <w:spacing w:val="-2"/>
        </w:rPr>
        <w:t>days</w:t>
      </w:r>
      <w:r>
        <w:rPr>
          <w:spacing w:val="46"/>
        </w:rPr>
        <w:t xml:space="preserve"> </w:t>
      </w:r>
      <w:r>
        <w:t>from</w:t>
      </w:r>
      <w:r>
        <w:rPr>
          <w:spacing w:val="47"/>
        </w:rPr>
        <w:t xml:space="preserve"> </w:t>
      </w:r>
      <w:r>
        <w:t>the</w:t>
      </w:r>
      <w:r>
        <w:rPr>
          <w:spacing w:val="47"/>
        </w:rPr>
        <w:t xml:space="preserve"> </w:t>
      </w:r>
      <w:r>
        <w:rPr>
          <w:spacing w:val="-2"/>
        </w:rPr>
        <w:t>receipt</w:t>
      </w:r>
      <w:r>
        <w:rPr>
          <w:spacing w:val="47"/>
        </w:rPr>
        <w:t xml:space="preserve"> </w:t>
      </w:r>
      <w:r>
        <w:rPr>
          <w:spacing w:val="-1"/>
        </w:rPr>
        <w:t>of</w:t>
      </w:r>
      <w:r>
        <w:rPr>
          <w:spacing w:val="49"/>
        </w:rPr>
        <w:t xml:space="preserve"> </w:t>
      </w:r>
      <w:r>
        <w:t>a</w:t>
      </w:r>
      <w:r>
        <w:rPr>
          <w:spacing w:val="46"/>
        </w:rPr>
        <w:t xml:space="preserve"> </w:t>
      </w:r>
      <w:r>
        <w:rPr>
          <w:spacing w:val="-2"/>
        </w:rPr>
        <w:t>Valid</w:t>
      </w:r>
      <w:r>
        <w:rPr>
          <w:spacing w:val="55"/>
        </w:rPr>
        <w:t xml:space="preserve"> </w:t>
      </w:r>
      <w:r>
        <w:rPr>
          <w:spacing w:val="-1"/>
        </w:rPr>
        <w:t>Invoice;</w:t>
      </w:r>
    </w:p>
    <w:p w:rsidR="008918FA" w:rsidRDefault="008918FA" w:rsidP="008918FA">
      <w:pPr>
        <w:pStyle w:val="BodyText"/>
        <w:numPr>
          <w:ilvl w:val="3"/>
          <w:numId w:val="66"/>
        </w:numPr>
        <w:tabs>
          <w:tab w:val="left" w:pos="2595"/>
        </w:tabs>
        <w:spacing w:before="121"/>
        <w:ind w:left="2594" w:right="111"/>
        <w:jc w:val="both"/>
      </w:pPr>
      <w:r>
        <w:rPr>
          <w:spacing w:val="-1"/>
        </w:rPr>
        <w:t>include</w:t>
      </w:r>
      <w:r>
        <w:rPr>
          <w:spacing w:val="9"/>
        </w:rPr>
        <w:t xml:space="preserve"> </w:t>
      </w:r>
      <w:r>
        <w:rPr>
          <w:spacing w:val="-1"/>
        </w:rPr>
        <w:t>within</w:t>
      </w:r>
      <w:r>
        <w:rPr>
          <w:spacing w:val="9"/>
        </w:rPr>
        <w:t xml:space="preserve"> </w:t>
      </w:r>
      <w:r>
        <w:t>the</w:t>
      </w:r>
      <w:r>
        <w:rPr>
          <w:spacing w:val="9"/>
        </w:rPr>
        <w:t xml:space="preserve"> </w:t>
      </w:r>
      <w:r>
        <w:rPr>
          <w:spacing w:val="-1"/>
        </w:rPr>
        <w:t>Performance</w:t>
      </w:r>
      <w:r>
        <w:rPr>
          <w:spacing w:val="7"/>
        </w:rPr>
        <w:t xml:space="preserve"> </w:t>
      </w:r>
      <w:r>
        <w:rPr>
          <w:spacing w:val="-2"/>
        </w:rPr>
        <w:t>Monitoring</w:t>
      </w:r>
      <w:r>
        <w:rPr>
          <w:spacing w:val="12"/>
        </w:rPr>
        <w:t xml:space="preserve"> </w:t>
      </w:r>
      <w:r>
        <w:rPr>
          <w:spacing w:val="-1"/>
        </w:rPr>
        <w:t>Reports</w:t>
      </w:r>
      <w:r>
        <w:rPr>
          <w:spacing w:val="7"/>
        </w:rPr>
        <w:t xml:space="preserve"> </w:t>
      </w:r>
      <w:r>
        <w:rPr>
          <w:spacing w:val="-1"/>
        </w:rPr>
        <w:t>required</w:t>
      </w:r>
      <w:r>
        <w:rPr>
          <w:spacing w:val="26"/>
        </w:rPr>
        <w:t xml:space="preserve"> </w:t>
      </w:r>
      <w:r>
        <w:rPr>
          <w:spacing w:val="-1"/>
        </w:rPr>
        <w:t>under</w:t>
      </w:r>
      <w:r>
        <w:rPr>
          <w:spacing w:val="35"/>
        </w:rPr>
        <w:t xml:space="preserve"> </w:t>
      </w:r>
      <w:r>
        <w:rPr>
          <w:spacing w:val="-1"/>
        </w:rPr>
        <w:t>Part</w:t>
      </w:r>
      <w:r>
        <w:rPr>
          <w:spacing w:val="35"/>
        </w:rPr>
        <w:t xml:space="preserve"> </w:t>
      </w:r>
      <w:r>
        <w:t>B</w:t>
      </w:r>
      <w:r>
        <w:rPr>
          <w:spacing w:val="33"/>
        </w:rPr>
        <w:t xml:space="preserve"> </w:t>
      </w:r>
      <w:r>
        <w:rPr>
          <w:spacing w:val="-2"/>
        </w:rPr>
        <w:t>of</w:t>
      </w:r>
      <w:r>
        <w:rPr>
          <w:spacing w:val="38"/>
        </w:rPr>
        <w:t xml:space="preserve"> </w:t>
      </w:r>
      <w:r>
        <w:rPr>
          <w:spacing w:val="-2"/>
        </w:rPr>
        <w:t>Call</w:t>
      </w:r>
      <w:r>
        <w:rPr>
          <w:spacing w:val="33"/>
        </w:rPr>
        <w:t xml:space="preserve"> </w:t>
      </w:r>
      <w:r>
        <w:t>Off</w:t>
      </w:r>
      <w:r>
        <w:rPr>
          <w:spacing w:val="33"/>
        </w:rPr>
        <w:t xml:space="preserve"> </w:t>
      </w:r>
      <w:r>
        <w:rPr>
          <w:spacing w:val="-1"/>
        </w:rPr>
        <w:t>Schedule</w:t>
      </w:r>
      <w:r>
        <w:rPr>
          <w:spacing w:val="35"/>
        </w:rPr>
        <w:t xml:space="preserve"> </w:t>
      </w:r>
      <w:r>
        <w:t>6</w:t>
      </w:r>
      <w:r>
        <w:rPr>
          <w:spacing w:val="34"/>
        </w:rPr>
        <w:t xml:space="preserve"> </w:t>
      </w:r>
      <w:r>
        <w:rPr>
          <w:spacing w:val="-1"/>
        </w:rPr>
        <w:t>(Service</w:t>
      </w:r>
      <w:r>
        <w:rPr>
          <w:spacing w:val="34"/>
        </w:rPr>
        <w:t xml:space="preserve"> </w:t>
      </w:r>
      <w:r>
        <w:rPr>
          <w:spacing w:val="-1"/>
        </w:rPr>
        <w:t>Levels,</w:t>
      </w:r>
      <w:r>
        <w:rPr>
          <w:spacing w:val="36"/>
        </w:rPr>
        <w:t xml:space="preserve"> </w:t>
      </w:r>
      <w:r>
        <w:rPr>
          <w:spacing w:val="-1"/>
        </w:rPr>
        <w:t>Service</w:t>
      </w:r>
      <w:r>
        <w:rPr>
          <w:spacing w:val="30"/>
        </w:rPr>
        <w:t xml:space="preserve"> </w:t>
      </w:r>
      <w:r>
        <w:rPr>
          <w:spacing w:val="-1"/>
        </w:rPr>
        <w:t>Credits</w:t>
      </w:r>
      <w:r>
        <w:rPr>
          <w:spacing w:val="10"/>
        </w:rPr>
        <w:t xml:space="preserve"> </w:t>
      </w:r>
      <w:r>
        <w:rPr>
          <w:spacing w:val="-1"/>
        </w:rPr>
        <w:t>and</w:t>
      </w:r>
      <w:r>
        <w:rPr>
          <w:spacing w:val="10"/>
        </w:rPr>
        <w:t xml:space="preserve"> </w:t>
      </w:r>
      <w:r>
        <w:rPr>
          <w:spacing w:val="-1"/>
        </w:rPr>
        <w:t>Performance</w:t>
      </w:r>
      <w:r>
        <w:rPr>
          <w:spacing w:val="10"/>
        </w:rPr>
        <w:t xml:space="preserve"> </w:t>
      </w:r>
      <w:r>
        <w:rPr>
          <w:spacing w:val="-1"/>
        </w:rPr>
        <w:t>Monitoring)</w:t>
      </w:r>
      <w:r>
        <w:rPr>
          <w:spacing w:val="11"/>
        </w:rPr>
        <w:t xml:space="preserve"> </w:t>
      </w:r>
      <w:r>
        <w:t>a</w:t>
      </w:r>
      <w:r>
        <w:rPr>
          <w:spacing w:val="10"/>
        </w:rPr>
        <w:t xml:space="preserve"> </w:t>
      </w:r>
      <w:r>
        <w:rPr>
          <w:spacing w:val="-1"/>
        </w:rPr>
        <w:t>summary</w:t>
      </w:r>
      <w:r>
        <w:rPr>
          <w:spacing w:val="8"/>
        </w:rPr>
        <w:t xml:space="preserve"> </w:t>
      </w:r>
      <w:r>
        <w:rPr>
          <w:spacing w:val="-1"/>
        </w:rPr>
        <w:t>of</w:t>
      </w:r>
      <w:r>
        <w:rPr>
          <w:spacing w:val="14"/>
        </w:rPr>
        <w:t xml:space="preserve"> </w:t>
      </w:r>
      <w:r>
        <w:rPr>
          <w:spacing w:val="-1"/>
        </w:rPr>
        <w:t>its</w:t>
      </w:r>
      <w:r>
        <w:rPr>
          <w:spacing w:val="28"/>
        </w:rPr>
        <w:t xml:space="preserve"> </w:t>
      </w:r>
      <w:r>
        <w:rPr>
          <w:spacing w:val="-1"/>
        </w:rPr>
        <w:t>compliance</w:t>
      </w:r>
      <w:r>
        <w:rPr>
          <w:spacing w:val="41"/>
        </w:rPr>
        <w:t xml:space="preserve"> </w:t>
      </w:r>
      <w:r>
        <w:rPr>
          <w:spacing w:val="-2"/>
        </w:rPr>
        <w:t>with</w:t>
      </w:r>
      <w:r>
        <w:rPr>
          <w:spacing w:val="41"/>
        </w:rPr>
        <w:t xml:space="preserve"> </w:t>
      </w:r>
      <w:r>
        <w:rPr>
          <w:spacing w:val="-1"/>
        </w:rPr>
        <w:t>this</w:t>
      </w:r>
      <w:r>
        <w:rPr>
          <w:spacing w:val="41"/>
        </w:rPr>
        <w:t xml:space="preserve"> </w:t>
      </w:r>
      <w:r>
        <w:rPr>
          <w:spacing w:val="-2"/>
        </w:rPr>
        <w:t>Clause</w:t>
      </w:r>
      <w:r>
        <w:rPr>
          <w:spacing w:val="43"/>
        </w:rPr>
        <w:t xml:space="preserve"> </w:t>
      </w:r>
      <w:hyperlink w:anchor="_bookmark150" w:history="1">
        <w:r>
          <w:rPr>
            <w:spacing w:val="-1"/>
          </w:rPr>
          <w:t>29.3.2</w:t>
        </w:r>
      </w:hyperlink>
      <w:r>
        <w:rPr>
          <w:spacing w:val="-1"/>
        </w:rPr>
        <w:t>,</w:t>
      </w:r>
      <w:r>
        <w:rPr>
          <w:spacing w:val="40"/>
        </w:rPr>
        <w:t xml:space="preserve"> </w:t>
      </w:r>
      <w:r>
        <w:rPr>
          <w:spacing w:val="-1"/>
        </w:rPr>
        <w:t>such</w:t>
      </w:r>
      <w:r>
        <w:rPr>
          <w:spacing w:val="41"/>
        </w:rPr>
        <w:t xml:space="preserve"> </w:t>
      </w:r>
      <w:r>
        <w:rPr>
          <w:spacing w:val="-1"/>
        </w:rPr>
        <w:t>data</w:t>
      </w:r>
      <w:r>
        <w:rPr>
          <w:spacing w:val="40"/>
        </w:rPr>
        <w:t xml:space="preserve"> </w:t>
      </w:r>
      <w:r>
        <w:t>to</w:t>
      </w:r>
      <w:r>
        <w:rPr>
          <w:spacing w:val="41"/>
        </w:rPr>
        <w:t xml:space="preserve"> </w:t>
      </w:r>
      <w:r>
        <w:rPr>
          <w:spacing w:val="-1"/>
        </w:rPr>
        <w:t>be</w:t>
      </w:r>
      <w:r>
        <w:rPr>
          <w:spacing w:val="38"/>
        </w:rPr>
        <w:t xml:space="preserve"> </w:t>
      </w:r>
      <w:r>
        <w:rPr>
          <w:spacing w:val="-1"/>
        </w:rPr>
        <w:t>certified</w:t>
      </w:r>
      <w:r>
        <w:rPr>
          <w:spacing w:val="42"/>
        </w:rPr>
        <w:t xml:space="preserve"> </w:t>
      </w:r>
      <w:r>
        <w:rPr>
          <w:spacing w:val="-1"/>
        </w:rPr>
        <w:t>each</w:t>
      </w:r>
      <w:r>
        <w:rPr>
          <w:spacing w:val="-2"/>
        </w:rPr>
        <w:t xml:space="preserve"> </w:t>
      </w:r>
      <w:r>
        <w:rPr>
          <w:spacing w:val="-1"/>
        </w:rPr>
        <w:t>quarter by</w:t>
      </w:r>
      <w:r>
        <w:rPr>
          <w:spacing w:val="-2"/>
        </w:rPr>
        <w:t xml:space="preserve"> </w:t>
      </w:r>
      <w:r>
        <w:t xml:space="preserve">a </w:t>
      </w:r>
      <w:r>
        <w:rPr>
          <w:spacing w:val="-2"/>
        </w:rPr>
        <w:t>director</w:t>
      </w:r>
      <w:r>
        <w:rPr>
          <w:spacing w:val="2"/>
        </w:rPr>
        <w:t xml:space="preserve"> </w:t>
      </w:r>
      <w:r>
        <w:rPr>
          <w:spacing w:val="-2"/>
        </w:rPr>
        <w:t>of</w:t>
      </w:r>
      <w:r>
        <w:rPr>
          <w:spacing w:val="2"/>
        </w:rPr>
        <w:t xml:space="preserve"> </w:t>
      </w:r>
      <w:r>
        <w:t>the</w:t>
      </w:r>
      <w:r>
        <w:rPr>
          <w:spacing w:val="-2"/>
        </w:rPr>
        <w:t xml:space="preserve"> Supplier</w:t>
      </w:r>
      <w:r>
        <w:rPr>
          <w:spacing w:val="2"/>
        </w:rPr>
        <w:t xml:space="preserve"> </w:t>
      </w:r>
      <w:r>
        <w:rPr>
          <w:spacing w:val="-1"/>
        </w:rPr>
        <w:t>as</w:t>
      </w:r>
      <w:r>
        <w:rPr>
          <w:spacing w:val="-2"/>
        </w:rPr>
        <w:t xml:space="preserve"> </w:t>
      </w:r>
      <w:r>
        <w:rPr>
          <w:spacing w:val="-1"/>
        </w:rPr>
        <w:t>being</w:t>
      </w:r>
      <w:r>
        <w:t xml:space="preserve"> </w:t>
      </w:r>
      <w:r>
        <w:rPr>
          <w:spacing w:val="-1"/>
        </w:rPr>
        <w:t>accurate</w:t>
      </w:r>
      <w:r>
        <w:t xml:space="preserve"> </w:t>
      </w:r>
      <w:r>
        <w:rPr>
          <w:spacing w:val="-1"/>
        </w:rPr>
        <w:t>and</w:t>
      </w:r>
      <w:r>
        <w:rPr>
          <w:spacing w:val="54"/>
        </w:rPr>
        <w:t xml:space="preserve"> </w:t>
      </w:r>
      <w:r>
        <w:rPr>
          <w:spacing w:val="-1"/>
        </w:rPr>
        <w:t>not</w:t>
      </w:r>
      <w:r>
        <w:t xml:space="preserve"> </w:t>
      </w:r>
      <w:r>
        <w:rPr>
          <w:spacing w:val="-1"/>
        </w:rPr>
        <w:t>misleading.</w:t>
      </w:r>
    </w:p>
    <w:p w:rsidR="008918FA" w:rsidRDefault="008918FA" w:rsidP="008918FA">
      <w:pPr>
        <w:pStyle w:val="BodyText"/>
        <w:numPr>
          <w:ilvl w:val="2"/>
          <w:numId w:val="66"/>
        </w:numPr>
        <w:tabs>
          <w:tab w:val="left" w:pos="1887"/>
        </w:tabs>
        <w:ind w:left="1886" w:right="113"/>
        <w:jc w:val="both"/>
      </w:pPr>
      <w:r>
        <w:rPr>
          <w:spacing w:val="-1"/>
        </w:rPr>
        <w:t>Notwithstanding</w:t>
      </w:r>
      <w:r>
        <w:rPr>
          <w:spacing w:val="12"/>
        </w:rPr>
        <w:t xml:space="preserve"> </w:t>
      </w:r>
      <w:r>
        <w:rPr>
          <w:spacing w:val="-1"/>
        </w:rPr>
        <w:t>any</w:t>
      </w:r>
      <w:r>
        <w:rPr>
          <w:spacing w:val="8"/>
        </w:rPr>
        <w:t xml:space="preserve"> </w:t>
      </w:r>
      <w:r>
        <w:rPr>
          <w:spacing w:val="-2"/>
        </w:rPr>
        <w:t>provision</w:t>
      </w:r>
      <w:r>
        <w:rPr>
          <w:spacing w:val="10"/>
        </w:rPr>
        <w:t xml:space="preserve"> </w:t>
      </w:r>
      <w:r>
        <w:rPr>
          <w:spacing w:val="-1"/>
        </w:rPr>
        <w:t>of</w:t>
      </w:r>
      <w:r>
        <w:rPr>
          <w:spacing w:val="14"/>
        </w:rPr>
        <w:t xml:space="preserve"> </w:t>
      </w:r>
      <w:r>
        <w:rPr>
          <w:spacing w:val="-1"/>
        </w:rPr>
        <w:t>Clauses</w:t>
      </w:r>
      <w:r>
        <w:rPr>
          <w:spacing w:val="12"/>
        </w:rPr>
        <w:t xml:space="preserve"> </w:t>
      </w:r>
      <w:hyperlink w:anchor="_bookmark184" w:history="1">
        <w:r>
          <w:rPr>
            <w:spacing w:val="-1"/>
          </w:rPr>
          <w:t>34.3</w:t>
        </w:r>
      </w:hyperlink>
      <w:r>
        <w:rPr>
          <w:spacing w:val="10"/>
        </w:rPr>
        <w:t xml:space="preserve"> </w:t>
      </w:r>
      <w:r>
        <w:rPr>
          <w:spacing w:val="-2"/>
        </w:rPr>
        <w:t>(Confidentiality)</w:t>
      </w:r>
      <w:r>
        <w:rPr>
          <w:spacing w:val="11"/>
        </w:rPr>
        <w:t xml:space="preserve"> </w:t>
      </w:r>
      <w:r>
        <w:rPr>
          <w:spacing w:val="-1"/>
        </w:rPr>
        <w:t>and</w:t>
      </w:r>
      <w:r>
        <w:rPr>
          <w:spacing w:val="10"/>
        </w:rPr>
        <w:t xml:space="preserve"> </w:t>
      </w:r>
      <w:hyperlink w:anchor="_bookmark198" w:history="1">
        <w:r>
          <w:rPr>
            <w:spacing w:val="-1"/>
          </w:rPr>
          <w:t>35</w:t>
        </w:r>
      </w:hyperlink>
      <w:r>
        <w:rPr>
          <w:spacing w:val="62"/>
        </w:rPr>
        <w:t xml:space="preserve"> </w:t>
      </w:r>
      <w:r>
        <w:rPr>
          <w:spacing w:val="-1"/>
        </w:rPr>
        <w:t>(Publicity</w:t>
      </w:r>
      <w:r>
        <w:rPr>
          <w:spacing w:val="22"/>
        </w:rPr>
        <w:t xml:space="preserve"> </w:t>
      </w:r>
      <w:r>
        <w:rPr>
          <w:spacing w:val="-1"/>
        </w:rPr>
        <w:t>and</w:t>
      </w:r>
      <w:r>
        <w:rPr>
          <w:spacing w:val="24"/>
        </w:rPr>
        <w:t xml:space="preserve"> </w:t>
      </w:r>
      <w:r>
        <w:rPr>
          <w:spacing w:val="-1"/>
        </w:rPr>
        <w:t>Branding)</w:t>
      </w:r>
      <w:r>
        <w:rPr>
          <w:spacing w:val="24"/>
        </w:rPr>
        <w:t xml:space="preserve"> </w:t>
      </w:r>
      <w:r>
        <w:rPr>
          <w:spacing w:val="-1"/>
        </w:rPr>
        <w:t>if</w:t>
      </w:r>
      <w:r>
        <w:rPr>
          <w:spacing w:val="26"/>
        </w:rPr>
        <w:t xml:space="preserve"> </w:t>
      </w:r>
      <w:r>
        <w:t>the</w:t>
      </w:r>
      <w:r>
        <w:rPr>
          <w:spacing w:val="22"/>
        </w:rPr>
        <w:t xml:space="preserve"> </w:t>
      </w:r>
      <w:r>
        <w:rPr>
          <w:spacing w:val="-2"/>
        </w:rPr>
        <w:t>Supplier</w:t>
      </w:r>
      <w:r>
        <w:rPr>
          <w:spacing w:val="26"/>
        </w:rPr>
        <w:t xml:space="preserve"> </w:t>
      </w:r>
      <w:r>
        <w:rPr>
          <w:spacing w:val="-1"/>
        </w:rPr>
        <w:t>notifies</w:t>
      </w:r>
      <w:r>
        <w:rPr>
          <w:spacing w:val="22"/>
        </w:rPr>
        <w:t xml:space="preserve"> </w:t>
      </w:r>
      <w:r>
        <w:rPr>
          <w:spacing w:val="-1"/>
        </w:rPr>
        <w:t>the</w:t>
      </w:r>
      <w:r>
        <w:rPr>
          <w:spacing w:val="24"/>
        </w:rPr>
        <w:t xml:space="preserve"> </w:t>
      </w:r>
      <w:r>
        <w:rPr>
          <w:spacing w:val="-1"/>
        </w:rPr>
        <w:t>Customer</w:t>
      </w:r>
      <w:r>
        <w:rPr>
          <w:spacing w:val="23"/>
        </w:rPr>
        <w:t xml:space="preserve"> </w:t>
      </w:r>
      <w:r>
        <w:rPr>
          <w:spacing w:val="-1"/>
        </w:rPr>
        <w:t>that</w:t>
      </w:r>
      <w:r>
        <w:rPr>
          <w:spacing w:val="23"/>
        </w:rPr>
        <w:t xml:space="preserve"> </w:t>
      </w:r>
      <w:r>
        <w:rPr>
          <w:spacing w:val="-1"/>
        </w:rPr>
        <w:t>the</w:t>
      </w:r>
      <w:r>
        <w:rPr>
          <w:spacing w:val="48"/>
        </w:rPr>
        <w:t xml:space="preserve"> </w:t>
      </w:r>
      <w:r>
        <w:rPr>
          <w:spacing w:val="-2"/>
        </w:rPr>
        <w:t>Supplier</w:t>
      </w:r>
      <w:r>
        <w:rPr>
          <w:spacing w:val="8"/>
        </w:rPr>
        <w:t xml:space="preserve"> </w:t>
      </w:r>
      <w:r>
        <w:rPr>
          <w:spacing w:val="-1"/>
        </w:rPr>
        <w:t>has</w:t>
      </w:r>
      <w:r>
        <w:rPr>
          <w:spacing w:val="7"/>
        </w:rPr>
        <w:t xml:space="preserve"> </w:t>
      </w:r>
      <w:r>
        <w:rPr>
          <w:spacing w:val="-1"/>
        </w:rPr>
        <w:t>failed</w:t>
      </w:r>
      <w:r>
        <w:rPr>
          <w:spacing w:val="6"/>
        </w:rPr>
        <w:t xml:space="preserve"> </w:t>
      </w:r>
      <w:r>
        <w:t>to</w:t>
      </w:r>
      <w:r>
        <w:rPr>
          <w:spacing w:val="6"/>
        </w:rPr>
        <w:t xml:space="preserve"> </w:t>
      </w:r>
      <w:r>
        <w:rPr>
          <w:spacing w:val="-1"/>
        </w:rPr>
        <w:t>pay</w:t>
      </w:r>
      <w:r>
        <w:rPr>
          <w:spacing w:val="4"/>
        </w:rPr>
        <w:t xml:space="preserve"> </w:t>
      </w:r>
      <w:r>
        <w:rPr>
          <w:spacing w:val="-1"/>
        </w:rPr>
        <w:t>an</w:t>
      </w:r>
      <w:r>
        <w:rPr>
          <w:spacing w:val="6"/>
        </w:rPr>
        <w:t xml:space="preserve"> </w:t>
      </w:r>
      <w:r>
        <w:rPr>
          <w:spacing w:val="-1"/>
        </w:rPr>
        <w:t>undisputed</w:t>
      </w:r>
      <w:r>
        <w:rPr>
          <w:spacing w:val="6"/>
        </w:rPr>
        <w:t xml:space="preserve"> </w:t>
      </w:r>
      <w:r>
        <w:rPr>
          <w:spacing w:val="-1"/>
        </w:rPr>
        <w:t>Sub-Contractor’s</w:t>
      </w:r>
      <w:r>
        <w:rPr>
          <w:spacing w:val="7"/>
        </w:rPr>
        <w:t xml:space="preserve"> </w:t>
      </w:r>
      <w:r>
        <w:rPr>
          <w:spacing w:val="-2"/>
        </w:rPr>
        <w:t>invoice</w:t>
      </w:r>
      <w:r>
        <w:rPr>
          <w:spacing w:val="54"/>
        </w:rPr>
        <w:t xml:space="preserve"> </w:t>
      </w:r>
      <w:r>
        <w:rPr>
          <w:spacing w:val="-1"/>
        </w:rPr>
        <w:t>within</w:t>
      </w:r>
      <w:r>
        <w:rPr>
          <w:spacing w:val="17"/>
        </w:rPr>
        <w:t xml:space="preserve"> </w:t>
      </w:r>
      <w:r>
        <w:rPr>
          <w:spacing w:val="-1"/>
        </w:rPr>
        <w:t>thirty</w:t>
      </w:r>
      <w:r>
        <w:rPr>
          <w:spacing w:val="15"/>
        </w:rPr>
        <w:t xml:space="preserve"> </w:t>
      </w:r>
      <w:r>
        <w:rPr>
          <w:spacing w:val="-1"/>
        </w:rPr>
        <w:t>(30)</w:t>
      </w:r>
      <w:r>
        <w:rPr>
          <w:spacing w:val="19"/>
        </w:rPr>
        <w:t xml:space="preserve"> </w:t>
      </w:r>
      <w:r>
        <w:rPr>
          <w:spacing w:val="-2"/>
        </w:rPr>
        <w:t>days</w:t>
      </w:r>
      <w:r>
        <w:rPr>
          <w:spacing w:val="18"/>
        </w:rPr>
        <w:t xml:space="preserve"> </w:t>
      </w:r>
      <w:r>
        <w:rPr>
          <w:spacing w:val="-1"/>
        </w:rPr>
        <w:t>of</w:t>
      </w:r>
      <w:r>
        <w:rPr>
          <w:spacing w:val="19"/>
        </w:rPr>
        <w:t xml:space="preserve"> </w:t>
      </w:r>
      <w:r>
        <w:rPr>
          <w:spacing w:val="-1"/>
        </w:rPr>
        <w:t>receipt,</w:t>
      </w:r>
      <w:r>
        <w:rPr>
          <w:spacing w:val="19"/>
        </w:rPr>
        <w:t xml:space="preserve"> </w:t>
      </w:r>
      <w:r>
        <w:rPr>
          <w:spacing w:val="-1"/>
        </w:rPr>
        <w:t>or</w:t>
      </w:r>
      <w:r>
        <w:rPr>
          <w:spacing w:val="16"/>
        </w:rPr>
        <w:t xml:space="preserve"> </w:t>
      </w:r>
      <w:r>
        <w:t>the</w:t>
      </w:r>
      <w:r>
        <w:rPr>
          <w:spacing w:val="17"/>
        </w:rPr>
        <w:t xml:space="preserve"> </w:t>
      </w:r>
      <w:r>
        <w:rPr>
          <w:spacing w:val="-2"/>
        </w:rPr>
        <w:t>Customer</w:t>
      </w:r>
      <w:r>
        <w:rPr>
          <w:spacing w:val="19"/>
        </w:rPr>
        <w:t xml:space="preserve"> </w:t>
      </w:r>
      <w:r>
        <w:rPr>
          <w:spacing w:val="-1"/>
        </w:rPr>
        <w:t>otherwise</w:t>
      </w:r>
      <w:r>
        <w:rPr>
          <w:spacing w:val="18"/>
        </w:rPr>
        <w:t xml:space="preserve"> </w:t>
      </w:r>
      <w:r>
        <w:rPr>
          <w:spacing w:val="-1"/>
        </w:rPr>
        <w:t>discovers</w:t>
      </w:r>
      <w:r>
        <w:rPr>
          <w:spacing w:val="47"/>
        </w:rPr>
        <w:t xml:space="preserve"> </w:t>
      </w:r>
      <w:r>
        <w:t>the</w:t>
      </w:r>
      <w:r>
        <w:rPr>
          <w:spacing w:val="24"/>
        </w:rPr>
        <w:t xml:space="preserve"> </w:t>
      </w:r>
      <w:r>
        <w:rPr>
          <w:spacing w:val="-1"/>
        </w:rPr>
        <w:t>same,</w:t>
      </w:r>
      <w:r>
        <w:rPr>
          <w:spacing w:val="26"/>
        </w:rPr>
        <w:t xml:space="preserve"> </w:t>
      </w:r>
      <w:r>
        <w:t>the</w:t>
      </w:r>
      <w:r>
        <w:rPr>
          <w:spacing w:val="24"/>
        </w:rPr>
        <w:t xml:space="preserve"> </w:t>
      </w:r>
      <w:r>
        <w:rPr>
          <w:spacing w:val="-2"/>
        </w:rPr>
        <w:t>Customer</w:t>
      </w:r>
      <w:r>
        <w:rPr>
          <w:spacing w:val="23"/>
        </w:rPr>
        <w:t xml:space="preserve"> </w:t>
      </w:r>
      <w:r>
        <w:rPr>
          <w:spacing w:val="-1"/>
        </w:rPr>
        <w:t>shall</w:t>
      </w:r>
      <w:r>
        <w:rPr>
          <w:spacing w:val="24"/>
        </w:rPr>
        <w:t xml:space="preserve"> </w:t>
      </w:r>
      <w:r>
        <w:rPr>
          <w:spacing w:val="-1"/>
        </w:rPr>
        <w:t>be</w:t>
      </w:r>
      <w:r>
        <w:rPr>
          <w:spacing w:val="24"/>
        </w:rPr>
        <w:t xml:space="preserve"> </w:t>
      </w:r>
      <w:r>
        <w:rPr>
          <w:spacing w:val="-1"/>
        </w:rPr>
        <w:t>entitled</w:t>
      </w:r>
      <w:r>
        <w:rPr>
          <w:spacing w:val="24"/>
        </w:rPr>
        <w:t xml:space="preserve"> </w:t>
      </w:r>
      <w:r>
        <w:t>to</w:t>
      </w:r>
      <w:r>
        <w:rPr>
          <w:spacing w:val="24"/>
        </w:rPr>
        <w:t xml:space="preserve"> </w:t>
      </w:r>
      <w:r>
        <w:rPr>
          <w:spacing w:val="-1"/>
        </w:rPr>
        <w:t>publish</w:t>
      </w:r>
      <w:r>
        <w:rPr>
          <w:spacing w:val="25"/>
        </w:rPr>
        <w:t xml:space="preserve"> </w:t>
      </w:r>
      <w:r>
        <w:t>the</w:t>
      </w:r>
      <w:r>
        <w:rPr>
          <w:spacing w:val="24"/>
        </w:rPr>
        <w:t xml:space="preserve"> </w:t>
      </w:r>
      <w:r>
        <w:rPr>
          <w:spacing w:val="-1"/>
        </w:rPr>
        <w:t>details</w:t>
      </w:r>
      <w:r>
        <w:rPr>
          <w:spacing w:val="25"/>
        </w:rPr>
        <w:t xml:space="preserve"> </w:t>
      </w:r>
      <w:r>
        <w:rPr>
          <w:spacing w:val="-2"/>
        </w:rPr>
        <w:t>of</w:t>
      </w:r>
      <w:r>
        <w:rPr>
          <w:spacing w:val="28"/>
        </w:rPr>
        <w:t xml:space="preserve"> </w:t>
      </w:r>
      <w:r>
        <w:rPr>
          <w:spacing w:val="-1"/>
        </w:rPr>
        <w:t>the</w:t>
      </w:r>
      <w:r>
        <w:rPr>
          <w:spacing w:val="40"/>
        </w:rPr>
        <w:t xml:space="preserve"> </w:t>
      </w:r>
      <w:r>
        <w:rPr>
          <w:spacing w:val="-1"/>
        </w:rPr>
        <w:t>late</w:t>
      </w:r>
      <w:r>
        <w:rPr>
          <w:spacing w:val="53"/>
        </w:rPr>
        <w:t xml:space="preserve"> </w:t>
      </w:r>
      <w:r>
        <w:rPr>
          <w:spacing w:val="-1"/>
        </w:rPr>
        <w:t>or</w:t>
      </w:r>
      <w:r>
        <w:rPr>
          <w:spacing w:val="54"/>
        </w:rPr>
        <w:t xml:space="preserve"> </w:t>
      </w:r>
      <w:r>
        <w:rPr>
          <w:spacing w:val="-1"/>
        </w:rPr>
        <w:t>non-payment</w:t>
      </w:r>
      <w:r>
        <w:rPr>
          <w:spacing w:val="52"/>
        </w:rPr>
        <w:t xml:space="preserve"> </w:t>
      </w:r>
      <w:r>
        <w:rPr>
          <w:spacing w:val="-1"/>
        </w:rPr>
        <w:t>(including</w:t>
      </w:r>
      <w:r>
        <w:rPr>
          <w:spacing w:val="55"/>
        </w:rPr>
        <w:t xml:space="preserve"> </w:t>
      </w:r>
      <w:r>
        <w:rPr>
          <w:spacing w:val="-1"/>
        </w:rPr>
        <w:t>on</w:t>
      </w:r>
      <w:r>
        <w:rPr>
          <w:spacing w:val="53"/>
        </w:rPr>
        <w:t xml:space="preserve"> </w:t>
      </w:r>
      <w:r>
        <w:rPr>
          <w:spacing w:val="-1"/>
        </w:rPr>
        <w:t>government</w:t>
      </w:r>
      <w:r>
        <w:rPr>
          <w:spacing w:val="52"/>
        </w:rPr>
        <w:t xml:space="preserve"> </w:t>
      </w:r>
      <w:r>
        <w:rPr>
          <w:spacing w:val="-1"/>
        </w:rPr>
        <w:t>websites</w:t>
      </w:r>
      <w:r>
        <w:rPr>
          <w:spacing w:val="54"/>
        </w:rPr>
        <w:t xml:space="preserve"> </w:t>
      </w:r>
      <w:r>
        <w:rPr>
          <w:spacing w:val="-1"/>
        </w:rPr>
        <w:t>and</w:t>
      </w:r>
      <w:r>
        <w:rPr>
          <w:spacing w:val="53"/>
        </w:rPr>
        <w:t xml:space="preserve"> </w:t>
      </w:r>
      <w:r>
        <w:rPr>
          <w:spacing w:val="-1"/>
        </w:rPr>
        <w:t>in</w:t>
      </w:r>
      <w:r>
        <w:rPr>
          <w:spacing w:val="53"/>
        </w:rPr>
        <w:t xml:space="preserve"> </w:t>
      </w:r>
      <w:r>
        <w:rPr>
          <w:spacing w:val="-1"/>
        </w:rPr>
        <w:t>the</w:t>
      </w:r>
      <w:r>
        <w:rPr>
          <w:spacing w:val="22"/>
        </w:rPr>
        <w:t xml:space="preserve"> </w:t>
      </w:r>
      <w:r>
        <w:rPr>
          <w:spacing w:val="-1"/>
        </w:rPr>
        <w:t>press).</w:t>
      </w:r>
    </w:p>
    <w:p w:rsidR="008918FA" w:rsidRDefault="008918FA" w:rsidP="008918FA">
      <w:pPr>
        <w:pStyle w:val="Heading1"/>
        <w:numPr>
          <w:ilvl w:val="1"/>
          <w:numId w:val="66"/>
        </w:numPr>
        <w:tabs>
          <w:tab w:val="left" w:pos="893"/>
        </w:tabs>
        <w:ind w:left="892" w:hanging="564"/>
        <w:rPr>
          <w:b w:val="0"/>
          <w:bCs w:val="0"/>
        </w:rPr>
      </w:pPr>
      <w:bookmarkStart w:id="178" w:name="_bookmark151"/>
      <w:bookmarkEnd w:id="178"/>
      <w:r>
        <w:rPr>
          <w:spacing w:val="-1"/>
        </w:rPr>
        <w:t>Termination</w:t>
      </w:r>
      <w:r>
        <w:rPr>
          <w:spacing w:val="-2"/>
        </w:rPr>
        <w:t xml:space="preserve"> </w:t>
      </w:r>
      <w:r>
        <w:rPr>
          <w:spacing w:val="-1"/>
        </w:rPr>
        <w:t>of Sub-Contracts</w:t>
      </w:r>
    </w:p>
    <w:p w:rsidR="008918FA" w:rsidRDefault="008918FA" w:rsidP="008918FA">
      <w:pPr>
        <w:pStyle w:val="BodyText"/>
        <w:numPr>
          <w:ilvl w:val="2"/>
          <w:numId w:val="66"/>
        </w:numPr>
        <w:tabs>
          <w:tab w:val="left" w:pos="1887"/>
        </w:tabs>
        <w:spacing w:before="121"/>
        <w:ind w:left="1886"/>
      </w:pPr>
      <w:r>
        <w:t>The</w:t>
      </w:r>
      <w:r>
        <w:rPr>
          <w:spacing w:val="-2"/>
        </w:rPr>
        <w:t xml:space="preserve"> </w:t>
      </w:r>
      <w:r>
        <w:rPr>
          <w:spacing w:val="-1"/>
        </w:rPr>
        <w:t>Customer may</w:t>
      </w:r>
      <w:r>
        <w:rPr>
          <w:spacing w:val="-4"/>
        </w:rPr>
        <w:t xml:space="preserve"> </w:t>
      </w:r>
      <w:r>
        <w:rPr>
          <w:spacing w:val="-1"/>
        </w:rPr>
        <w:t>require</w:t>
      </w:r>
      <w:r>
        <w:rPr>
          <w:spacing w:val="-2"/>
        </w:rPr>
        <w:t xml:space="preserve"> </w:t>
      </w:r>
      <w:r>
        <w:t xml:space="preserve">the </w:t>
      </w:r>
      <w:r>
        <w:rPr>
          <w:spacing w:val="-2"/>
        </w:rPr>
        <w:t>Supplier</w:t>
      </w:r>
      <w:r>
        <w:rPr>
          <w:spacing w:val="-1"/>
        </w:rPr>
        <w:t xml:space="preserve"> </w:t>
      </w:r>
      <w:r>
        <w:t>to</w:t>
      </w:r>
      <w:r>
        <w:rPr>
          <w:spacing w:val="-2"/>
        </w:rPr>
        <w:t xml:space="preserve"> </w:t>
      </w:r>
      <w:r>
        <w:rPr>
          <w:spacing w:val="-1"/>
        </w:rPr>
        <w:t>terminate:</w:t>
      </w:r>
    </w:p>
    <w:p w:rsidR="008918FA" w:rsidRDefault="008918FA" w:rsidP="008918FA">
      <w:pPr>
        <w:pStyle w:val="BodyText"/>
        <w:numPr>
          <w:ilvl w:val="3"/>
          <w:numId w:val="66"/>
        </w:numPr>
        <w:tabs>
          <w:tab w:val="left" w:pos="2595"/>
        </w:tabs>
        <w:spacing w:before="121"/>
        <w:ind w:left="2954" w:hanging="1068"/>
      </w:pPr>
      <w:r>
        <w:t xml:space="preserve">a </w:t>
      </w:r>
      <w:r>
        <w:rPr>
          <w:spacing w:val="-1"/>
        </w:rPr>
        <w:t>Sub-Contract</w:t>
      </w:r>
      <w:r>
        <w:t xml:space="preserve"> </w:t>
      </w:r>
      <w:r>
        <w:rPr>
          <w:spacing w:val="-2"/>
        </w:rPr>
        <w:t>where:</w:t>
      </w:r>
    </w:p>
    <w:p w:rsidR="008918FA" w:rsidRDefault="008918FA" w:rsidP="008918FA">
      <w:pPr>
        <w:pStyle w:val="BodyText"/>
        <w:numPr>
          <w:ilvl w:val="4"/>
          <w:numId w:val="66"/>
        </w:numPr>
        <w:tabs>
          <w:tab w:val="left" w:pos="3164"/>
        </w:tabs>
        <w:ind w:left="3163" w:right="111"/>
        <w:jc w:val="both"/>
      </w:pPr>
      <w:r>
        <w:t>the</w:t>
      </w:r>
      <w:r>
        <w:rPr>
          <w:spacing w:val="3"/>
        </w:rPr>
        <w:t xml:space="preserve"> </w:t>
      </w:r>
      <w:r>
        <w:rPr>
          <w:spacing w:val="-1"/>
        </w:rPr>
        <w:t>acts</w:t>
      </w:r>
      <w:r>
        <w:rPr>
          <w:spacing w:val="3"/>
        </w:rPr>
        <w:t xml:space="preserve"> </w:t>
      </w:r>
      <w:r>
        <w:rPr>
          <w:spacing w:val="-1"/>
        </w:rPr>
        <w:t>or</w:t>
      </w:r>
      <w:r>
        <w:rPr>
          <w:spacing w:val="4"/>
        </w:rPr>
        <w:t xml:space="preserve"> </w:t>
      </w:r>
      <w:r>
        <w:rPr>
          <w:spacing w:val="-2"/>
        </w:rPr>
        <w:t>omissions</w:t>
      </w:r>
      <w:r>
        <w:rPr>
          <w:spacing w:val="3"/>
        </w:rPr>
        <w:t xml:space="preserve"> </w:t>
      </w:r>
      <w:r>
        <w:rPr>
          <w:spacing w:val="-2"/>
        </w:rPr>
        <w:t>of</w:t>
      </w:r>
      <w:r>
        <w:rPr>
          <w:spacing w:val="6"/>
        </w:rPr>
        <w:t xml:space="preserve"> </w:t>
      </w:r>
      <w:r>
        <w:rPr>
          <w:spacing w:val="-1"/>
        </w:rPr>
        <w:t>the</w:t>
      </w:r>
      <w:r>
        <w:rPr>
          <w:spacing w:val="3"/>
        </w:rPr>
        <w:t xml:space="preserve"> </w:t>
      </w:r>
      <w:r>
        <w:rPr>
          <w:spacing w:val="-2"/>
        </w:rPr>
        <w:t>relevant</w:t>
      </w:r>
      <w:r>
        <w:rPr>
          <w:spacing w:val="5"/>
        </w:rPr>
        <w:t xml:space="preserve"> </w:t>
      </w:r>
      <w:r>
        <w:rPr>
          <w:spacing w:val="-1"/>
        </w:rPr>
        <w:t>Sub-Contractor</w:t>
      </w:r>
      <w:r>
        <w:rPr>
          <w:spacing w:val="4"/>
        </w:rPr>
        <w:t xml:space="preserve"> </w:t>
      </w:r>
      <w:r>
        <w:rPr>
          <w:spacing w:val="-2"/>
        </w:rPr>
        <w:t>have</w:t>
      </w:r>
      <w:r>
        <w:rPr>
          <w:spacing w:val="55"/>
        </w:rPr>
        <w:t xml:space="preserve"> </w:t>
      </w:r>
      <w:r>
        <w:rPr>
          <w:spacing w:val="-1"/>
        </w:rPr>
        <w:t>caused</w:t>
      </w:r>
      <w:r>
        <w:t xml:space="preserve"> </w:t>
      </w:r>
      <w:r>
        <w:rPr>
          <w:spacing w:val="-1"/>
        </w:rPr>
        <w:t>or</w:t>
      </w:r>
      <w:r>
        <w:rPr>
          <w:spacing w:val="2"/>
        </w:rPr>
        <w:t xml:space="preserve"> </w:t>
      </w:r>
      <w:r>
        <w:rPr>
          <w:spacing w:val="-1"/>
        </w:rPr>
        <w:t>materially</w:t>
      </w:r>
      <w:r>
        <w:rPr>
          <w:spacing w:val="1"/>
        </w:rPr>
        <w:t xml:space="preserve"> </w:t>
      </w:r>
      <w:r>
        <w:rPr>
          <w:spacing w:val="-1"/>
        </w:rPr>
        <w:t>contributed</w:t>
      </w:r>
      <w:r>
        <w:t xml:space="preserve"> to the </w:t>
      </w:r>
      <w:r>
        <w:rPr>
          <w:spacing w:val="-2"/>
        </w:rPr>
        <w:t>Customer's</w:t>
      </w:r>
      <w:r>
        <w:rPr>
          <w:spacing w:val="1"/>
        </w:rPr>
        <w:t xml:space="preserve"> </w:t>
      </w:r>
      <w:r>
        <w:rPr>
          <w:spacing w:val="-1"/>
        </w:rPr>
        <w:t>right</w:t>
      </w:r>
      <w:r>
        <w:t xml:space="preserve"> </w:t>
      </w:r>
      <w:r>
        <w:rPr>
          <w:spacing w:val="-2"/>
        </w:rPr>
        <w:t>of</w:t>
      </w:r>
      <w:r>
        <w:rPr>
          <w:spacing w:val="51"/>
        </w:rPr>
        <w:t xml:space="preserve"> </w:t>
      </w:r>
      <w:r>
        <w:rPr>
          <w:spacing w:val="-1"/>
        </w:rPr>
        <w:t>termination</w:t>
      </w:r>
      <w:r>
        <w:rPr>
          <w:spacing w:val="13"/>
        </w:rPr>
        <w:t xml:space="preserve"> </w:t>
      </w:r>
      <w:r>
        <w:rPr>
          <w:spacing w:val="-1"/>
        </w:rPr>
        <w:t>pursuant</w:t>
      </w:r>
      <w:r>
        <w:rPr>
          <w:spacing w:val="15"/>
        </w:rPr>
        <w:t xml:space="preserve"> </w:t>
      </w:r>
      <w:r>
        <w:rPr>
          <w:spacing w:val="-2"/>
        </w:rPr>
        <w:t>any</w:t>
      </w:r>
      <w:r>
        <w:rPr>
          <w:spacing w:val="12"/>
        </w:rPr>
        <w:t xml:space="preserve"> </w:t>
      </w:r>
      <w:r>
        <w:rPr>
          <w:spacing w:val="-1"/>
        </w:rPr>
        <w:t>of</w:t>
      </w:r>
      <w:r>
        <w:rPr>
          <w:spacing w:val="15"/>
        </w:rPr>
        <w:t xml:space="preserve"> </w:t>
      </w:r>
      <w:r>
        <w:t>the</w:t>
      </w:r>
      <w:r>
        <w:rPr>
          <w:spacing w:val="11"/>
        </w:rPr>
        <w:t xml:space="preserve"> </w:t>
      </w:r>
      <w:r>
        <w:rPr>
          <w:spacing w:val="-1"/>
        </w:rPr>
        <w:t>termination</w:t>
      </w:r>
      <w:r>
        <w:rPr>
          <w:spacing w:val="11"/>
        </w:rPr>
        <w:t xml:space="preserve"> </w:t>
      </w:r>
      <w:r>
        <w:rPr>
          <w:spacing w:val="-1"/>
        </w:rPr>
        <w:t>events</w:t>
      </w:r>
      <w:r>
        <w:rPr>
          <w:spacing w:val="15"/>
        </w:rPr>
        <w:t xml:space="preserve"> </w:t>
      </w:r>
      <w:r>
        <w:rPr>
          <w:spacing w:val="-1"/>
        </w:rPr>
        <w:t>in</w:t>
      </w:r>
      <w:r>
        <w:rPr>
          <w:spacing w:val="23"/>
        </w:rPr>
        <w:t xml:space="preserve"> </w:t>
      </w:r>
      <w:r>
        <w:rPr>
          <w:spacing w:val="-2"/>
        </w:rPr>
        <w:t>Clause</w:t>
      </w:r>
      <w:r>
        <w:rPr>
          <w:spacing w:val="23"/>
        </w:rPr>
        <w:t xml:space="preserve"> </w:t>
      </w:r>
      <w:hyperlink w:anchor="_bookmark231" w:history="1">
        <w:r>
          <w:rPr>
            <w:spacing w:val="-1"/>
          </w:rPr>
          <w:t>41</w:t>
        </w:r>
      </w:hyperlink>
      <w:r>
        <w:rPr>
          <w:spacing w:val="22"/>
        </w:rPr>
        <w:t xml:space="preserve"> </w:t>
      </w:r>
      <w:r>
        <w:rPr>
          <w:spacing w:val="-1"/>
        </w:rPr>
        <w:t>(Customer</w:t>
      </w:r>
      <w:r>
        <w:rPr>
          <w:spacing w:val="19"/>
        </w:rPr>
        <w:t xml:space="preserve"> </w:t>
      </w:r>
      <w:r>
        <w:rPr>
          <w:spacing w:val="-1"/>
        </w:rPr>
        <w:t>Termination</w:t>
      </w:r>
      <w:r>
        <w:rPr>
          <w:spacing w:val="22"/>
        </w:rPr>
        <w:t xml:space="preserve"> </w:t>
      </w:r>
      <w:r>
        <w:rPr>
          <w:spacing w:val="-1"/>
        </w:rPr>
        <w:t>Rights)</w:t>
      </w:r>
      <w:r>
        <w:rPr>
          <w:spacing w:val="23"/>
        </w:rPr>
        <w:t xml:space="preserve"> </w:t>
      </w:r>
      <w:r>
        <w:rPr>
          <w:spacing w:val="-1"/>
        </w:rPr>
        <w:t>except</w:t>
      </w:r>
      <w:r>
        <w:rPr>
          <w:spacing w:val="23"/>
        </w:rPr>
        <w:t xml:space="preserve"> </w:t>
      </w:r>
      <w:r>
        <w:rPr>
          <w:spacing w:val="-2"/>
        </w:rPr>
        <w:t>Clause</w:t>
      </w:r>
    </w:p>
    <w:p w:rsidR="008918FA" w:rsidRDefault="00E32C6B" w:rsidP="008918FA">
      <w:pPr>
        <w:pStyle w:val="BodyText"/>
        <w:spacing w:before="0" w:line="252" w:lineRule="exact"/>
        <w:ind w:left="3163" w:firstLine="0"/>
      </w:pPr>
      <w:hyperlink w:anchor="_bookmark237" w:history="1">
        <w:r w:rsidR="008918FA">
          <w:rPr>
            <w:spacing w:val="-1"/>
          </w:rPr>
          <w:t>41.6</w:t>
        </w:r>
      </w:hyperlink>
      <w:r w:rsidR="008918FA">
        <w:rPr>
          <w:spacing w:val="-2"/>
        </w:rPr>
        <w:t xml:space="preserve"> </w:t>
      </w:r>
      <w:r w:rsidR="008918FA">
        <w:rPr>
          <w:spacing w:val="-1"/>
        </w:rPr>
        <w:t>(Termination</w:t>
      </w:r>
      <w:r w:rsidR="008918FA">
        <w:rPr>
          <w:spacing w:val="-6"/>
        </w:rPr>
        <w:t xml:space="preserve"> </w:t>
      </w:r>
      <w:r w:rsidR="008918FA">
        <w:rPr>
          <w:spacing w:val="-1"/>
        </w:rPr>
        <w:t>Without</w:t>
      </w:r>
      <w:r w:rsidR="008918FA">
        <w:rPr>
          <w:spacing w:val="2"/>
        </w:rPr>
        <w:t xml:space="preserve"> </w:t>
      </w:r>
      <w:r w:rsidR="008918FA">
        <w:rPr>
          <w:spacing w:val="-1"/>
        </w:rPr>
        <w:t>Cause);</w:t>
      </w:r>
      <w:r w:rsidR="008918FA">
        <w:t xml:space="preserve"> </w:t>
      </w:r>
      <w:r w:rsidR="008918FA">
        <w:rPr>
          <w:spacing w:val="-1"/>
        </w:rPr>
        <w:t>and/or</w:t>
      </w:r>
    </w:p>
    <w:p w:rsidR="008918FA" w:rsidRDefault="008918FA" w:rsidP="008918FA">
      <w:pPr>
        <w:pStyle w:val="BodyText"/>
        <w:numPr>
          <w:ilvl w:val="4"/>
          <w:numId w:val="66"/>
        </w:numPr>
        <w:tabs>
          <w:tab w:val="left" w:pos="3164"/>
        </w:tabs>
        <w:ind w:left="3163" w:right="111"/>
        <w:jc w:val="both"/>
      </w:pPr>
      <w:r>
        <w:t>the</w:t>
      </w:r>
      <w:r>
        <w:rPr>
          <w:spacing w:val="27"/>
        </w:rPr>
        <w:t xml:space="preserve"> </w:t>
      </w:r>
      <w:r>
        <w:rPr>
          <w:spacing w:val="-2"/>
        </w:rPr>
        <w:t>relevant</w:t>
      </w:r>
      <w:r>
        <w:rPr>
          <w:spacing w:val="28"/>
        </w:rPr>
        <w:t xml:space="preserve"> </w:t>
      </w:r>
      <w:r>
        <w:rPr>
          <w:spacing w:val="-1"/>
        </w:rPr>
        <w:t>Sub-Contractor</w:t>
      </w:r>
      <w:r>
        <w:rPr>
          <w:spacing w:val="28"/>
        </w:rPr>
        <w:t xml:space="preserve"> </w:t>
      </w:r>
      <w:r>
        <w:rPr>
          <w:spacing w:val="-1"/>
        </w:rPr>
        <w:t>or</w:t>
      </w:r>
      <w:r>
        <w:rPr>
          <w:spacing w:val="28"/>
        </w:rPr>
        <w:t xml:space="preserve"> </w:t>
      </w:r>
      <w:r>
        <w:rPr>
          <w:spacing w:val="-1"/>
        </w:rPr>
        <w:t>its</w:t>
      </w:r>
      <w:r>
        <w:rPr>
          <w:spacing w:val="27"/>
        </w:rPr>
        <w:t xml:space="preserve"> </w:t>
      </w:r>
      <w:r>
        <w:rPr>
          <w:spacing w:val="-1"/>
        </w:rPr>
        <w:t>Affiliates</w:t>
      </w:r>
      <w:r>
        <w:rPr>
          <w:spacing w:val="27"/>
        </w:rPr>
        <w:t xml:space="preserve"> </w:t>
      </w:r>
      <w:r>
        <w:rPr>
          <w:spacing w:val="-1"/>
        </w:rPr>
        <w:t>embarrassed</w:t>
      </w:r>
      <w:r>
        <w:rPr>
          <w:spacing w:val="35"/>
        </w:rPr>
        <w:t xml:space="preserve"> </w:t>
      </w:r>
      <w:r>
        <w:t>the</w:t>
      </w:r>
      <w:r>
        <w:rPr>
          <w:spacing w:val="4"/>
        </w:rPr>
        <w:t xml:space="preserve"> </w:t>
      </w:r>
      <w:r>
        <w:rPr>
          <w:spacing w:val="-1"/>
        </w:rPr>
        <w:t>Customer</w:t>
      </w:r>
      <w:r>
        <w:rPr>
          <w:spacing w:val="5"/>
        </w:rPr>
        <w:t xml:space="preserve"> </w:t>
      </w:r>
      <w:r>
        <w:rPr>
          <w:spacing w:val="-2"/>
        </w:rPr>
        <w:t>or</w:t>
      </w:r>
      <w:r>
        <w:rPr>
          <w:spacing w:val="6"/>
        </w:rPr>
        <w:t xml:space="preserve"> </w:t>
      </w:r>
      <w:r>
        <w:rPr>
          <w:spacing w:val="-2"/>
        </w:rPr>
        <w:t>otherwise</w:t>
      </w:r>
      <w:r>
        <w:rPr>
          <w:spacing w:val="4"/>
        </w:rPr>
        <w:t xml:space="preserve"> </w:t>
      </w:r>
      <w:r>
        <w:rPr>
          <w:spacing w:val="-1"/>
        </w:rPr>
        <w:t>brought</w:t>
      </w:r>
      <w:r>
        <w:rPr>
          <w:spacing w:val="5"/>
        </w:rPr>
        <w:t xml:space="preserve"> </w:t>
      </w:r>
      <w:r>
        <w:t>the</w:t>
      </w:r>
      <w:r>
        <w:rPr>
          <w:spacing w:val="4"/>
        </w:rPr>
        <w:t xml:space="preserve"> </w:t>
      </w:r>
      <w:r>
        <w:rPr>
          <w:spacing w:val="-2"/>
        </w:rPr>
        <w:t>Customer</w:t>
      </w:r>
      <w:r>
        <w:rPr>
          <w:spacing w:val="5"/>
        </w:rPr>
        <w:t xml:space="preserve"> </w:t>
      </w:r>
      <w:r>
        <w:rPr>
          <w:spacing w:val="-1"/>
        </w:rPr>
        <w:t>into</w:t>
      </w:r>
      <w:r>
        <w:rPr>
          <w:spacing w:val="43"/>
        </w:rPr>
        <w:t xml:space="preserve"> </w:t>
      </w:r>
      <w:r>
        <w:rPr>
          <w:spacing w:val="-1"/>
        </w:rPr>
        <w:t>disrepute</w:t>
      </w:r>
      <w:r>
        <w:rPr>
          <w:spacing w:val="48"/>
        </w:rPr>
        <w:t xml:space="preserve"> </w:t>
      </w:r>
      <w:r>
        <w:rPr>
          <w:spacing w:val="-1"/>
        </w:rPr>
        <w:t>by</w:t>
      </w:r>
      <w:r>
        <w:rPr>
          <w:spacing w:val="46"/>
        </w:rPr>
        <w:t xml:space="preserve"> </w:t>
      </w:r>
      <w:r>
        <w:rPr>
          <w:spacing w:val="-1"/>
        </w:rPr>
        <w:t>engaging</w:t>
      </w:r>
      <w:r>
        <w:rPr>
          <w:spacing w:val="51"/>
        </w:rPr>
        <w:t xml:space="preserve"> </w:t>
      </w:r>
      <w:r>
        <w:rPr>
          <w:spacing w:val="-1"/>
        </w:rPr>
        <w:t>in</w:t>
      </w:r>
      <w:r>
        <w:rPr>
          <w:spacing w:val="48"/>
        </w:rPr>
        <w:t xml:space="preserve"> </w:t>
      </w:r>
      <w:r>
        <w:rPr>
          <w:spacing w:val="-1"/>
        </w:rPr>
        <w:t>any</w:t>
      </w:r>
      <w:r>
        <w:rPr>
          <w:spacing w:val="46"/>
        </w:rPr>
        <w:t xml:space="preserve"> </w:t>
      </w:r>
      <w:r>
        <w:rPr>
          <w:spacing w:val="-1"/>
        </w:rPr>
        <w:t>act</w:t>
      </w:r>
      <w:r>
        <w:rPr>
          <w:spacing w:val="50"/>
        </w:rPr>
        <w:t xml:space="preserve"> </w:t>
      </w:r>
      <w:r>
        <w:rPr>
          <w:spacing w:val="-1"/>
        </w:rPr>
        <w:t>or</w:t>
      </w:r>
      <w:r>
        <w:rPr>
          <w:spacing w:val="50"/>
        </w:rPr>
        <w:t xml:space="preserve"> </w:t>
      </w:r>
      <w:r>
        <w:rPr>
          <w:spacing w:val="-1"/>
        </w:rPr>
        <w:t>omission</w:t>
      </w:r>
      <w:r>
        <w:rPr>
          <w:spacing w:val="51"/>
        </w:rPr>
        <w:t xml:space="preserve"> </w:t>
      </w:r>
      <w:r>
        <w:rPr>
          <w:spacing w:val="-1"/>
        </w:rPr>
        <w:t>which</w:t>
      </w:r>
      <w:r>
        <w:rPr>
          <w:spacing w:val="49"/>
        </w:rPr>
        <w:t xml:space="preserve"> </w:t>
      </w:r>
      <w:r>
        <w:rPr>
          <w:spacing w:val="-1"/>
        </w:rPr>
        <w:t>is</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spacing w:before="59"/>
        <w:ind w:left="3523" w:right="112" w:firstLine="0"/>
        <w:jc w:val="both"/>
      </w:pPr>
      <w:bookmarkStart w:id="179" w:name="G._UPROPERTY_MATTERS"/>
      <w:bookmarkEnd w:id="179"/>
      <w:r>
        <w:rPr>
          <w:spacing w:val="-1"/>
        </w:rPr>
        <w:t>reasonably</w:t>
      </w:r>
      <w:r>
        <w:rPr>
          <w:spacing w:val="26"/>
        </w:rPr>
        <w:t xml:space="preserve"> </w:t>
      </w:r>
      <w:r>
        <w:rPr>
          <w:spacing w:val="-1"/>
        </w:rPr>
        <w:t>likely</w:t>
      </w:r>
      <w:r>
        <w:rPr>
          <w:spacing w:val="26"/>
        </w:rPr>
        <w:t xml:space="preserve"> </w:t>
      </w:r>
      <w:r>
        <w:t>to</w:t>
      </w:r>
      <w:r>
        <w:rPr>
          <w:spacing w:val="28"/>
        </w:rPr>
        <w:t xml:space="preserve"> </w:t>
      </w:r>
      <w:r>
        <w:rPr>
          <w:spacing w:val="-2"/>
        </w:rPr>
        <w:t>diminish</w:t>
      </w:r>
      <w:r>
        <w:rPr>
          <w:spacing w:val="26"/>
        </w:rPr>
        <w:t xml:space="preserve"> </w:t>
      </w:r>
      <w:r>
        <w:t>the</w:t>
      </w:r>
      <w:r>
        <w:rPr>
          <w:spacing w:val="26"/>
        </w:rPr>
        <w:t xml:space="preserve"> </w:t>
      </w:r>
      <w:r>
        <w:rPr>
          <w:spacing w:val="-1"/>
        </w:rPr>
        <w:t>trust</w:t>
      </w:r>
      <w:r>
        <w:rPr>
          <w:spacing w:val="28"/>
        </w:rPr>
        <w:t xml:space="preserve"> </w:t>
      </w:r>
      <w:r>
        <w:rPr>
          <w:spacing w:val="-1"/>
        </w:rPr>
        <w:t>that</w:t>
      </w:r>
      <w:r>
        <w:rPr>
          <w:spacing w:val="1"/>
        </w:rPr>
        <w:t xml:space="preserve"> </w:t>
      </w:r>
      <w:r>
        <w:rPr>
          <w:spacing w:val="-1"/>
        </w:rPr>
        <w:t>the</w:t>
      </w:r>
      <w:r>
        <w:rPr>
          <w:spacing w:val="26"/>
        </w:rPr>
        <w:t xml:space="preserve"> </w:t>
      </w:r>
      <w:r>
        <w:rPr>
          <w:spacing w:val="-2"/>
        </w:rPr>
        <w:t>public</w:t>
      </w:r>
      <w:r>
        <w:rPr>
          <w:spacing w:val="45"/>
        </w:rPr>
        <w:t xml:space="preserve"> </w:t>
      </w:r>
      <w:r>
        <w:rPr>
          <w:spacing w:val="-1"/>
        </w:rPr>
        <w:t>places</w:t>
      </w:r>
      <w:r>
        <w:rPr>
          <w:spacing w:val="1"/>
        </w:rPr>
        <w:t xml:space="preserve"> </w:t>
      </w:r>
      <w:r>
        <w:rPr>
          <w:spacing w:val="-1"/>
        </w:rPr>
        <w:t>in</w:t>
      </w:r>
      <w:r>
        <w:t xml:space="preserve"> the </w:t>
      </w:r>
      <w:r>
        <w:rPr>
          <w:spacing w:val="-1"/>
        </w:rPr>
        <w:t>Customer,</w:t>
      </w:r>
      <w:r>
        <w:t xml:space="preserve"> </w:t>
      </w:r>
      <w:r>
        <w:rPr>
          <w:spacing w:val="-1"/>
        </w:rPr>
        <w:t>regardless</w:t>
      </w:r>
      <w:r>
        <w:rPr>
          <w:spacing w:val="1"/>
        </w:rPr>
        <w:t xml:space="preserve"> </w:t>
      </w:r>
      <w:r>
        <w:rPr>
          <w:spacing w:val="-2"/>
        </w:rPr>
        <w:t>of</w:t>
      </w:r>
      <w:r>
        <w:rPr>
          <w:spacing w:val="4"/>
        </w:rPr>
        <w:t xml:space="preserve"> </w:t>
      </w:r>
      <w:r>
        <w:rPr>
          <w:spacing w:val="-1"/>
        </w:rPr>
        <w:t>whether</w:t>
      </w:r>
      <w:r>
        <w:rPr>
          <w:spacing w:val="2"/>
        </w:rPr>
        <w:t xml:space="preserve"> </w:t>
      </w:r>
      <w:r>
        <w:rPr>
          <w:spacing w:val="-2"/>
        </w:rPr>
        <w:t>or</w:t>
      </w:r>
      <w:r>
        <w:rPr>
          <w:spacing w:val="-1"/>
        </w:rPr>
        <w:t xml:space="preserve"> not</w:t>
      </w:r>
      <w:r>
        <w:rPr>
          <w:spacing w:val="2"/>
        </w:rPr>
        <w:t xml:space="preserve"> </w:t>
      </w:r>
      <w:r>
        <w:rPr>
          <w:spacing w:val="-1"/>
        </w:rPr>
        <w:t>such</w:t>
      </w:r>
      <w:r>
        <w:rPr>
          <w:spacing w:val="28"/>
        </w:rPr>
        <w:t xml:space="preserve"> </w:t>
      </w:r>
      <w:r>
        <w:rPr>
          <w:spacing w:val="-1"/>
        </w:rPr>
        <w:t>act</w:t>
      </w:r>
      <w:r>
        <w:rPr>
          <w:spacing w:val="7"/>
        </w:rPr>
        <w:t xml:space="preserve"> </w:t>
      </w:r>
      <w:r>
        <w:rPr>
          <w:spacing w:val="-2"/>
        </w:rPr>
        <w:t>or</w:t>
      </w:r>
      <w:r>
        <w:rPr>
          <w:spacing w:val="7"/>
        </w:rPr>
        <w:t xml:space="preserve"> </w:t>
      </w:r>
      <w:r>
        <w:rPr>
          <w:spacing w:val="-2"/>
        </w:rPr>
        <w:t>omission</w:t>
      </w:r>
      <w:r>
        <w:rPr>
          <w:spacing w:val="5"/>
        </w:rPr>
        <w:t xml:space="preserve"> </w:t>
      </w:r>
      <w:r>
        <w:rPr>
          <w:spacing w:val="-1"/>
        </w:rPr>
        <w:t>is</w:t>
      </w:r>
      <w:r>
        <w:rPr>
          <w:spacing w:val="3"/>
        </w:rPr>
        <w:t xml:space="preserve"> </w:t>
      </w:r>
      <w:r>
        <w:rPr>
          <w:spacing w:val="-1"/>
        </w:rPr>
        <w:t>related</w:t>
      </w:r>
      <w:r>
        <w:rPr>
          <w:spacing w:val="5"/>
        </w:rPr>
        <w:t xml:space="preserve"> </w:t>
      </w:r>
      <w:r>
        <w:t>to</w:t>
      </w:r>
      <w:r>
        <w:rPr>
          <w:spacing w:val="3"/>
        </w:rPr>
        <w:t xml:space="preserve"> </w:t>
      </w:r>
      <w:r>
        <w:t>the</w:t>
      </w:r>
      <w:r>
        <w:rPr>
          <w:spacing w:val="3"/>
        </w:rPr>
        <w:t xml:space="preserve"> </w:t>
      </w:r>
      <w:r>
        <w:rPr>
          <w:spacing w:val="-1"/>
        </w:rPr>
        <w:t>Sub-Contractor’s</w:t>
      </w:r>
      <w:r>
        <w:rPr>
          <w:spacing w:val="29"/>
        </w:rPr>
        <w:t xml:space="preserve"> </w:t>
      </w:r>
      <w:r>
        <w:rPr>
          <w:spacing w:val="-1"/>
        </w:rPr>
        <w:t>obligations</w:t>
      </w:r>
      <w:r>
        <w:rPr>
          <w:spacing w:val="51"/>
        </w:rPr>
        <w:t xml:space="preserve"> </w:t>
      </w:r>
      <w:r>
        <w:rPr>
          <w:spacing w:val="-1"/>
        </w:rPr>
        <w:t>in</w:t>
      </w:r>
      <w:r>
        <w:rPr>
          <w:spacing w:val="51"/>
        </w:rPr>
        <w:t xml:space="preserve"> </w:t>
      </w:r>
      <w:r>
        <w:rPr>
          <w:spacing w:val="-1"/>
        </w:rPr>
        <w:t>relation</w:t>
      </w:r>
      <w:r>
        <w:rPr>
          <w:spacing w:val="51"/>
        </w:rPr>
        <w:t xml:space="preserve"> </w:t>
      </w:r>
      <w:r>
        <w:rPr>
          <w:spacing w:val="-1"/>
        </w:rPr>
        <w:t>to</w:t>
      </w:r>
      <w:r>
        <w:rPr>
          <w:spacing w:val="51"/>
        </w:rPr>
        <w:t xml:space="preserve"> </w:t>
      </w:r>
      <w:r>
        <w:t>the</w:t>
      </w:r>
      <w:r>
        <w:rPr>
          <w:spacing w:val="51"/>
        </w:rPr>
        <w:t xml:space="preserve"> </w:t>
      </w:r>
      <w:r>
        <w:rPr>
          <w:spacing w:val="-1"/>
        </w:rPr>
        <w:t>Goods</w:t>
      </w:r>
      <w:r>
        <w:rPr>
          <w:spacing w:val="51"/>
        </w:rPr>
        <w:t xml:space="preserve"> </w:t>
      </w:r>
      <w:r>
        <w:rPr>
          <w:spacing w:val="-1"/>
        </w:rPr>
        <w:t>and/or</w:t>
      </w:r>
      <w:r>
        <w:rPr>
          <w:spacing w:val="53"/>
        </w:rPr>
        <w:t xml:space="preserve"> </w:t>
      </w:r>
      <w:r>
        <w:rPr>
          <w:spacing w:val="-2"/>
        </w:rPr>
        <w:t>Services</w:t>
      </w:r>
      <w:r>
        <w:rPr>
          <w:spacing w:val="53"/>
        </w:rPr>
        <w:t xml:space="preserve"> </w:t>
      </w:r>
      <w:r>
        <w:rPr>
          <w:spacing w:val="-1"/>
        </w:rPr>
        <w:t>or</w:t>
      </w:r>
      <w:r>
        <w:rPr>
          <w:spacing w:val="33"/>
        </w:rPr>
        <w:t xml:space="preserve"> </w:t>
      </w:r>
      <w:r>
        <w:rPr>
          <w:spacing w:val="-1"/>
        </w:rPr>
        <w:t>otherwise;</w:t>
      </w:r>
      <w:r>
        <w:rPr>
          <w:spacing w:val="2"/>
        </w:rPr>
        <w:t xml:space="preserve"> </w:t>
      </w:r>
      <w:r>
        <w:rPr>
          <w:spacing w:val="-1"/>
        </w:rPr>
        <w:t>and/or</w:t>
      </w:r>
    </w:p>
    <w:p w:rsidR="008918FA" w:rsidRDefault="008918FA" w:rsidP="008918FA">
      <w:pPr>
        <w:pStyle w:val="BodyText"/>
        <w:numPr>
          <w:ilvl w:val="3"/>
          <w:numId w:val="66"/>
        </w:numPr>
        <w:tabs>
          <w:tab w:val="left" w:pos="2955"/>
        </w:tabs>
        <w:ind w:left="2954" w:right="115"/>
      </w:pPr>
      <w:r>
        <w:t>a</w:t>
      </w:r>
      <w:r>
        <w:rPr>
          <w:spacing w:val="17"/>
        </w:rPr>
        <w:t xml:space="preserve"> </w:t>
      </w:r>
      <w:r>
        <w:rPr>
          <w:spacing w:val="-1"/>
        </w:rPr>
        <w:t>Key</w:t>
      </w:r>
      <w:r>
        <w:rPr>
          <w:spacing w:val="18"/>
        </w:rPr>
        <w:t xml:space="preserve"> </w:t>
      </w:r>
      <w:r>
        <w:rPr>
          <w:spacing w:val="-1"/>
        </w:rPr>
        <w:t>Sub-Contract</w:t>
      </w:r>
      <w:r>
        <w:rPr>
          <w:spacing w:val="19"/>
        </w:rPr>
        <w:t xml:space="preserve"> </w:t>
      </w:r>
      <w:r>
        <w:rPr>
          <w:spacing w:val="-1"/>
        </w:rPr>
        <w:t>where</w:t>
      </w:r>
      <w:r>
        <w:rPr>
          <w:spacing w:val="17"/>
        </w:rPr>
        <w:t xml:space="preserve"> </w:t>
      </w:r>
      <w:r>
        <w:rPr>
          <w:spacing w:val="-1"/>
        </w:rPr>
        <w:t>there</w:t>
      </w:r>
      <w:r>
        <w:rPr>
          <w:spacing w:val="17"/>
        </w:rPr>
        <w:t xml:space="preserve"> </w:t>
      </w:r>
      <w:r>
        <w:rPr>
          <w:spacing w:val="-1"/>
        </w:rPr>
        <w:t>is</w:t>
      </w:r>
      <w:r>
        <w:rPr>
          <w:spacing w:val="18"/>
        </w:rPr>
        <w:t xml:space="preserve"> </w:t>
      </w:r>
      <w:r>
        <w:t>a</w:t>
      </w:r>
      <w:r>
        <w:rPr>
          <w:spacing w:val="17"/>
        </w:rPr>
        <w:t xml:space="preserve"> </w:t>
      </w:r>
      <w:r>
        <w:rPr>
          <w:spacing w:val="-1"/>
        </w:rPr>
        <w:t>Change</w:t>
      </w:r>
      <w:r>
        <w:rPr>
          <w:spacing w:val="17"/>
        </w:rPr>
        <w:t xml:space="preserve"> </w:t>
      </w:r>
      <w:r>
        <w:rPr>
          <w:spacing w:val="-2"/>
        </w:rPr>
        <w:t>of</w:t>
      </w:r>
      <w:r>
        <w:rPr>
          <w:spacing w:val="21"/>
        </w:rPr>
        <w:t xml:space="preserve"> </w:t>
      </w:r>
      <w:r>
        <w:rPr>
          <w:spacing w:val="-1"/>
        </w:rPr>
        <w:t>Control</w:t>
      </w:r>
      <w:r>
        <w:rPr>
          <w:spacing w:val="17"/>
        </w:rPr>
        <w:t xml:space="preserve"> </w:t>
      </w:r>
      <w:r>
        <w:rPr>
          <w:spacing w:val="-2"/>
        </w:rPr>
        <w:t>of</w:t>
      </w:r>
      <w:r>
        <w:rPr>
          <w:spacing w:val="21"/>
        </w:rPr>
        <w:t xml:space="preserve"> </w:t>
      </w:r>
      <w:r>
        <w:rPr>
          <w:spacing w:val="-1"/>
        </w:rPr>
        <w:t>the</w:t>
      </w:r>
      <w:r>
        <w:rPr>
          <w:spacing w:val="44"/>
        </w:rPr>
        <w:t xml:space="preserve"> </w:t>
      </w:r>
      <w:r>
        <w:rPr>
          <w:spacing w:val="-2"/>
        </w:rPr>
        <w:t>relevant</w:t>
      </w:r>
      <w:r>
        <w:rPr>
          <w:spacing w:val="2"/>
        </w:rPr>
        <w:t xml:space="preserve"> </w:t>
      </w:r>
      <w:r>
        <w:rPr>
          <w:spacing w:val="-1"/>
        </w:rPr>
        <w:t>Key</w:t>
      </w:r>
      <w:r>
        <w:rPr>
          <w:spacing w:val="-2"/>
        </w:rPr>
        <w:t xml:space="preserve"> </w:t>
      </w:r>
      <w:r>
        <w:rPr>
          <w:spacing w:val="-1"/>
        </w:rPr>
        <w:t>Sub-Contractor,</w:t>
      </w:r>
      <w:r>
        <w:rPr>
          <w:spacing w:val="2"/>
        </w:rPr>
        <w:t xml:space="preserve"> </w:t>
      </w:r>
      <w:r>
        <w:rPr>
          <w:spacing w:val="-2"/>
        </w:rPr>
        <w:t>unless:</w:t>
      </w:r>
    </w:p>
    <w:p w:rsidR="008918FA" w:rsidRDefault="008918FA" w:rsidP="008918FA">
      <w:pPr>
        <w:pStyle w:val="BodyText"/>
        <w:numPr>
          <w:ilvl w:val="4"/>
          <w:numId w:val="66"/>
        </w:numPr>
        <w:tabs>
          <w:tab w:val="left" w:pos="3523"/>
        </w:tabs>
        <w:spacing w:before="121"/>
        <w:ind w:left="3522" w:right="112"/>
        <w:jc w:val="both"/>
      </w:pPr>
      <w:r>
        <w:t>the</w:t>
      </w:r>
      <w:r>
        <w:rPr>
          <w:spacing w:val="43"/>
        </w:rPr>
        <w:t xml:space="preserve"> </w:t>
      </w:r>
      <w:r>
        <w:rPr>
          <w:spacing w:val="-2"/>
        </w:rPr>
        <w:t>Customer</w:t>
      </w:r>
      <w:r>
        <w:rPr>
          <w:spacing w:val="45"/>
        </w:rPr>
        <w:t xml:space="preserve"> </w:t>
      </w:r>
      <w:r>
        <w:rPr>
          <w:spacing w:val="-1"/>
        </w:rPr>
        <w:t>has</w:t>
      </w:r>
      <w:r>
        <w:rPr>
          <w:spacing w:val="39"/>
        </w:rPr>
        <w:t xml:space="preserve"> </w:t>
      </w:r>
      <w:r>
        <w:rPr>
          <w:spacing w:val="-1"/>
        </w:rPr>
        <w:t>given</w:t>
      </w:r>
      <w:r>
        <w:rPr>
          <w:spacing w:val="43"/>
        </w:rPr>
        <w:t xml:space="preserve"> </w:t>
      </w:r>
      <w:r>
        <w:rPr>
          <w:spacing w:val="-1"/>
        </w:rPr>
        <w:t>its</w:t>
      </w:r>
      <w:r>
        <w:rPr>
          <w:spacing w:val="44"/>
        </w:rPr>
        <w:t xml:space="preserve"> </w:t>
      </w:r>
      <w:r>
        <w:rPr>
          <w:spacing w:val="-2"/>
        </w:rPr>
        <w:t>prior</w:t>
      </w:r>
      <w:r>
        <w:rPr>
          <w:spacing w:val="45"/>
        </w:rPr>
        <w:t xml:space="preserve"> </w:t>
      </w:r>
      <w:r>
        <w:rPr>
          <w:spacing w:val="-1"/>
        </w:rPr>
        <w:t>written</w:t>
      </w:r>
      <w:r>
        <w:rPr>
          <w:spacing w:val="42"/>
        </w:rPr>
        <w:t xml:space="preserve"> </w:t>
      </w:r>
      <w:r>
        <w:rPr>
          <w:spacing w:val="-1"/>
        </w:rPr>
        <w:t>consent</w:t>
      </w:r>
      <w:r>
        <w:rPr>
          <w:spacing w:val="42"/>
        </w:rPr>
        <w:t xml:space="preserve"> </w:t>
      </w:r>
      <w:r>
        <w:t>to</w:t>
      </w:r>
      <w:r>
        <w:rPr>
          <w:spacing w:val="41"/>
        </w:rPr>
        <w:t xml:space="preserve"> </w:t>
      </w:r>
      <w:r>
        <w:rPr>
          <w:spacing w:val="-1"/>
        </w:rPr>
        <w:t>the</w:t>
      </w:r>
      <w:r>
        <w:rPr>
          <w:spacing w:val="44"/>
        </w:rPr>
        <w:t xml:space="preserve"> </w:t>
      </w:r>
      <w:r>
        <w:rPr>
          <w:spacing w:val="-1"/>
        </w:rPr>
        <w:t>particular</w:t>
      </w:r>
      <w:r>
        <w:rPr>
          <w:spacing w:val="45"/>
        </w:rPr>
        <w:t xml:space="preserve"> </w:t>
      </w:r>
      <w:r>
        <w:rPr>
          <w:spacing w:val="-1"/>
        </w:rPr>
        <w:t>Change</w:t>
      </w:r>
      <w:r>
        <w:rPr>
          <w:spacing w:val="43"/>
        </w:rPr>
        <w:t xml:space="preserve"> </w:t>
      </w:r>
      <w:r>
        <w:rPr>
          <w:spacing w:val="-2"/>
        </w:rPr>
        <w:t>of</w:t>
      </w:r>
      <w:r>
        <w:rPr>
          <w:spacing w:val="47"/>
        </w:rPr>
        <w:t xml:space="preserve"> </w:t>
      </w:r>
      <w:r>
        <w:rPr>
          <w:spacing w:val="-1"/>
        </w:rPr>
        <w:t>Control,</w:t>
      </w:r>
      <w:r>
        <w:rPr>
          <w:spacing w:val="45"/>
        </w:rPr>
        <w:t xml:space="preserve"> </w:t>
      </w:r>
      <w:r>
        <w:rPr>
          <w:spacing w:val="-2"/>
        </w:rPr>
        <w:t>which</w:t>
      </w:r>
      <w:r>
        <w:rPr>
          <w:spacing w:val="44"/>
        </w:rPr>
        <w:t xml:space="preserve"> </w:t>
      </w:r>
      <w:r>
        <w:rPr>
          <w:spacing w:val="-1"/>
        </w:rPr>
        <w:t>subsequently</w:t>
      </w:r>
      <w:r>
        <w:rPr>
          <w:spacing w:val="41"/>
        </w:rPr>
        <w:t xml:space="preserve"> </w:t>
      </w:r>
      <w:r>
        <w:rPr>
          <w:spacing w:val="-1"/>
        </w:rPr>
        <w:t>takes</w:t>
      </w:r>
      <w:r>
        <w:rPr>
          <w:spacing w:val="33"/>
        </w:rPr>
        <w:t xml:space="preserve"> </w:t>
      </w:r>
      <w:r>
        <w:rPr>
          <w:spacing w:val="-1"/>
        </w:rPr>
        <w:t>place</w:t>
      </w:r>
      <w:r>
        <w:rPr>
          <w:spacing w:val="1"/>
        </w:rPr>
        <w:t xml:space="preserve"> </w:t>
      </w:r>
      <w:r>
        <w:rPr>
          <w:spacing w:val="-1"/>
        </w:rPr>
        <w:t>as</w:t>
      </w:r>
      <w:r>
        <w:rPr>
          <w:spacing w:val="1"/>
        </w:rPr>
        <w:t xml:space="preserve"> </w:t>
      </w:r>
      <w:r>
        <w:rPr>
          <w:spacing w:val="-1"/>
        </w:rPr>
        <w:t>proposed;</w:t>
      </w:r>
      <w:r>
        <w:t xml:space="preserve"> </w:t>
      </w:r>
      <w:r>
        <w:rPr>
          <w:spacing w:val="-1"/>
        </w:rPr>
        <w:t>or</w:t>
      </w:r>
    </w:p>
    <w:p w:rsidR="008918FA" w:rsidRDefault="008918FA" w:rsidP="008918FA">
      <w:pPr>
        <w:pStyle w:val="BodyText"/>
        <w:numPr>
          <w:ilvl w:val="4"/>
          <w:numId w:val="66"/>
        </w:numPr>
        <w:tabs>
          <w:tab w:val="left" w:pos="3523"/>
        </w:tabs>
        <w:ind w:left="3522" w:right="116"/>
        <w:jc w:val="both"/>
      </w:pPr>
      <w:r>
        <w:t>the</w:t>
      </w:r>
      <w:r>
        <w:rPr>
          <w:spacing w:val="7"/>
        </w:rPr>
        <w:t xml:space="preserve"> </w:t>
      </w:r>
      <w:r>
        <w:rPr>
          <w:spacing w:val="-1"/>
        </w:rPr>
        <w:t>Customer</w:t>
      </w:r>
      <w:r>
        <w:rPr>
          <w:spacing w:val="9"/>
        </w:rPr>
        <w:t xml:space="preserve"> </w:t>
      </w:r>
      <w:r>
        <w:rPr>
          <w:spacing w:val="-1"/>
        </w:rPr>
        <w:t>has</w:t>
      </w:r>
      <w:r>
        <w:rPr>
          <w:spacing w:val="8"/>
        </w:rPr>
        <w:t xml:space="preserve"> </w:t>
      </w:r>
      <w:r>
        <w:rPr>
          <w:spacing w:val="-1"/>
        </w:rPr>
        <w:t>not</w:t>
      </w:r>
      <w:r>
        <w:rPr>
          <w:spacing w:val="9"/>
        </w:rPr>
        <w:t xml:space="preserve"> </w:t>
      </w:r>
      <w:r>
        <w:rPr>
          <w:spacing w:val="-2"/>
        </w:rPr>
        <w:t>served</w:t>
      </w:r>
      <w:r>
        <w:rPr>
          <w:spacing w:val="7"/>
        </w:rPr>
        <w:t xml:space="preserve"> </w:t>
      </w:r>
      <w:r>
        <w:rPr>
          <w:spacing w:val="-1"/>
        </w:rPr>
        <w:t>its</w:t>
      </w:r>
      <w:r>
        <w:rPr>
          <w:spacing w:val="8"/>
        </w:rPr>
        <w:t xml:space="preserve"> </w:t>
      </w:r>
      <w:r>
        <w:rPr>
          <w:spacing w:val="-1"/>
        </w:rPr>
        <w:t>notice</w:t>
      </w:r>
      <w:r>
        <w:rPr>
          <w:spacing w:val="8"/>
        </w:rPr>
        <w:t xml:space="preserve"> </w:t>
      </w:r>
      <w:r>
        <w:rPr>
          <w:spacing w:val="-1"/>
        </w:rPr>
        <w:t>of</w:t>
      </w:r>
      <w:r>
        <w:rPr>
          <w:spacing w:val="11"/>
        </w:rPr>
        <w:t xml:space="preserve"> </w:t>
      </w:r>
      <w:r>
        <w:rPr>
          <w:spacing w:val="-1"/>
        </w:rPr>
        <w:t>objection</w:t>
      </w:r>
      <w:r>
        <w:rPr>
          <w:spacing w:val="10"/>
        </w:rPr>
        <w:t xml:space="preserve"> </w:t>
      </w:r>
      <w:r>
        <w:rPr>
          <w:spacing w:val="-2"/>
        </w:rPr>
        <w:t>within</w:t>
      </w:r>
      <w:r>
        <w:rPr>
          <w:spacing w:val="37"/>
        </w:rPr>
        <w:t xml:space="preserve"> </w:t>
      </w:r>
      <w:r>
        <w:rPr>
          <w:spacing w:val="-1"/>
        </w:rPr>
        <w:t>six</w:t>
      </w:r>
      <w:r>
        <w:rPr>
          <w:spacing w:val="53"/>
        </w:rPr>
        <w:t xml:space="preserve"> </w:t>
      </w:r>
      <w:r>
        <w:rPr>
          <w:spacing w:val="-1"/>
        </w:rPr>
        <w:t>(6)</w:t>
      </w:r>
      <w:r>
        <w:rPr>
          <w:spacing w:val="57"/>
        </w:rPr>
        <w:t xml:space="preserve"> </w:t>
      </w:r>
      <w:r>
        <w:rPr>
          <w:spacing w:val="-1"/>
        </w:rPr>
        <w:t>months</w:t>
      </w:r>
      <w:r>
        <w:rPr>
          <w:spacing w:val="56"/>
        </w:rPr>
        <w:t xml:space="preserve"> </w:t>
      </w:r>
      <w:r>
        <w:rPr>
          <w:spacing w:val="-2"/>
        </w:rPr>
        <w:t>of</w:t>
      </w:r>
      <w:r>
        <w:rPr>
          <w:spacing w:val="57"/>
        </w:rPr>
        <w:t xml:space="preserve"> </w:t>
      </w:r>
      <w:r>
        <w:t>the</w:t>
      </w:r>
      <w:r>
        <w:rPr>
          <w:spacing w:val="55"/>
        </w:rPr>
        <w:t xml:space="preserve"> </w:t>
      </w:r>
      <w:r>
        <w:rPr>
          <w:spacing w:val="-1"/>
        </w:rPr>
        <w:t>later</w:t>
      </w:r>
      <w:r>
        <w:rPr>
          <w:spacing w:val="57"/>
        </w:rPr>
        <w:t xml:space="preserve"> </w:t>
      </w:r>
      <w:r>
        <w:rPr>
          <w:spacing w:val="-2"/>
        </w:rPr>
        <w:t>of</w:t>
      </w:r>
      <w:r>
        <w:rPr>
          <w:spacing w:val="58"/>
        </w:rPr>
        <w:t xml:space="preserve"> </w:t>
      </w:r>
      <w:r>
        <w:t>the</w:t>
      </w:r>
      <w:r>
        <w:rPr>
          <w:spacing w:val="55"/>
        </w:rPr>
        <w:t xml:space="preserve"> </w:t>
      </w:r>
      <w:r>
        <w:rPr>
          <w:spacing w:val="-1"/>
        </w:rPr>
        <w:t>date</w:t>
      </w:r>
      <w:r>
        <w:rPr>
          <w:spacing w:val="55"/>
        </w:rPr>
        <w:t xml:space="preserve"> </w:t>
      </w:r>
      <w:r>
        <w:t>the</w:t>
      </w:r>
      <w:r>
        <w:rPr>
          <w:spacing w:val="55"/>
        </w:rPr>
        <w:t xml:space="preserve"> </w:t>
      </w:r>
      <w:r>
        <w:rPr>
          <w:spacing w:val="-1"/>
        </w:rPr>
        <w:t>Change</w:t>
      </w:r>
      <w:r>
        <w:rPr>
          <w:spacing w:val="53"/>
        </w:rPr>
        <w:t xml:space="preserve"> </w:t>
      </w:r>
      <w:r>
        <w:rPr>
          <w:spacing w:val="-2"/>
        </w:rPr>
        <w:t>of</w:t>
      </w:r>
      <w:r>
        <w:rPr>
          <w:spacing w:val="25"/>
        </w:rPr>
        <w:t xml:space="preserve"> </w:t>
      </w:r>
      <w:r>
        <w:rPr>
          <w:spacing w:val="-1"/>
        </w:rPr>
        <w:t>Control</w:t>
      </w:r>
      <w:r>
        <w:rPr>
          <w:spacing w:val="47"/>
        </w:rPr>
        <w:t xml:space="preserve"> </w:t>
      </w:r>
      <w:r>
        <w:rPr>
          <w:spacing w:val="-1"/>
        </w:rPr>
        <w:t>took</w:t>
      </w:r>
      <w:r>
        <w:rPr>
          <w:spacing w:val="51"/>
        </w:rPr>
        <w:t xml:space="preserve"> </w:t>
      </w:r>
      <w:r>
        <w:rPr>
          <w:spacing w:val="-1"/>
        </w:rPr>
        <w:t>place</w:t>
      </w:r>
      <w:r>
        <w:rPr>
          <w:spacing w:val="49"/>
        </w:rPr>
        <w:t xml:space="preserve"> </w:t>
      </w:r>
      <w:r>
        <w:rPr>
          <w:spacing w:val="-1"/>
        </w:rPr>
        <w:t>or</w:t>
      </w:r>
      <w:r>
        <w:rPr>
          <w:spacing w:val="49"/>
        </w:rPr>
        <w:t xml:space="preserve"> </w:t>
      </w:r>
      <w:r>
        <w:rPr>
          <w:spacing w:val="-1"/>
        </w:rPr>
        <w:t>the</w:t>
      </w:r>
      <w:r>
        <w:rPr>
          <w:spacing w:val="48"/>
        </w:rPr>
        <w:t xml:space="preserve"> </w:t>
      </w:r>
      <w:r>
        <w:rPr>
          <w:spacing w:val="-1"/>
        </w:rPr>
        <w:t>date</w:t>
      </w:r>
      <w:r>
        <w:rPr>
          <w:spacing w:val="48"/>
        </w:rPr>
        <w:t xml:space="preserve"> </w:t>
      </w:r>
      <w:r>
        <w:rPr>
          <w:spacing w:val="-1"/>
        </w:rPr>
        <w:t>on</w:t>
      </w:r>
      <w:r>
        <w:rPr>
          <w:spacing w:val="52"/>
        </w:rPr>
        <w:t xml:space="preserve"> </w:t>
      </w:r>
      <w:r>
        <w:rPr>
          <w:spacing w:val="-2"/>
        </w:rPr>
        <w:t>which</w:t>
      </w:r>
      <w:r>
        <w:rPr>
          <w:spacing w:val="49"/>
        </w:rPr>
        <w:t xml:space="preserve"> </w:t>
      </w:r>
      <w:r>
        <w:t>the</w:t>
      </w:r>
      <w:r>
        <w:rPr>
          <w:spacing w:val="51"/>
        </w:rPr>
        <w:t xml:space="preserve"> </w:t>
      </w:r>
      <w:r>
        <w:rPr>
          <w:spacing w:val="-1"/>
        </w:rPr>
        <w:t>Customer</w:t>
      </w:r>
      <w:r>
        <w:rPr>
          <w:spacing w:val="20"/>
        </w:rPr>
        <w:t xml:space="preserve"> </w:t>
      </w:r>
      <w:r>
        <w:rPr>
          <w:spacing w:val="-2"/>
        </w:rPr>
        <w:t>was</w:t>
      </w:r>
      <w:r>
        <w:rPr>
          <w:spacing w:val="1"/>
        </w:rPr>
        <w:t xml:space="preserve"> </w:t>
      </w:r>
      <w:r>
        <w:rPr>
          <w:spacing w:val="-1"/>
        </w:rPr>
        <w:t>given</w:t>
      </w:r>
      <w:r>
        <w:t xml:space="preserve"> </w:t>
      </w:r>
      <w:r>
        <w:rPr>
          <w:spacing w:val="-1"/>
        </w:rPr>
        <w:t>notice</w:t>
      </w:r>
      <w:r>
        <w:rPr>
          <w:spacing w:val="1"/>
        </w:rPr>
        <w:t xml:space="preserve"> </w:t>
      </w:r>
      <w:r>
        <w:rPr>
          <w:spacing w:val="-2"/>
        </w:rPr>
        <w:t>of</w:t>
      </w:r>
      <w:r>
        <w:rPr>
          <w:spacing w:val="2"/>
        </w:rPr>
        <w:t xml:space="preserve"> </w:t>
      </w:r>
      <w:r>
        <w:t>the</w:t>
      </w:r>
      <w:r>
        <w:rPr>
          <w:spacing w:val="-4"/>
        </w:rPr>
        <w:t xml:space="preserve"> </w:t>
      </w:r>
      <w:r>
        <w:rPr>
          <w:spacing w:val="-1"/>
        </w:rPr>
        <w:t>Change</w:t>
      </w:r>
      <w:r>
        <w:t xml:space="preserve"> </w:t>
      </w:r>
      <w:r>
        <w:rPr>
          <w:spacing w:val="-2"/>
        </w:rPr>
        <w:t>of</w:t>
      </w:r>
      <w:r>
        <w:rPr>
          <w:spacing w:val="2"/>
        </w:rPr>
        <w:t xml:space="preserve"> </w:t>
      </w:r>
      <w:r>
        <w:rPr>
          <w:spacing w:val="-1"/>
        </w:rPr>
        <w:t>Control.</w:t>
      </w:r>
    </w:p>
    <w:p w:rsidR="008918FA" w:rsidRDefault="008918FA" w:rsidP="008918FA">
      <w:pPr>
        <w:pStyle w:val="Heading1"/>
        <w:numPr>
          <w:ilvl w:val="1"/>
          <w:numId w:val="66"/>
        </w:numPr>
        <w:tabs>
          <w:tab w:val="left" w:pos="1253"/>
        </w:tabs>
        <w:spacing w:before="119"/>
        <w:ind w:left="1252" w:hanging="564"/>
        <w:rPr>
          <w:b w:val="0"/>
          <w:bCs w:val="0"/>
        </w:rPr>
      </w:pPr>
      <w:r>
        <w:rPr>
          <w:spacing w:val="-1"/>
        </w:rPr>
        <w:t>Competitive</w:t>
      </w:r>
      <w:r>
        <w:t xml:space="preserve"> </w:t>
      </w:r>
      <w:r>
        <w:rPr>
          <w:spacing w:val="-1"/>
        </w:rPr>
        <w:t>Terms</w:t>
      </w:r>
    </w:p>
    <w:p w:rsidR="008918FA" w:rsidRDefault="008918FA" w:rsidP="008918FA">
      <w:pPr>
        <w:pStyle w:val="BodyText"/>
        <w:numPr>
          <w:ilvl w:val="2"/>
          <w:numId w:val="66"/>
        </w:numPr>
        <w:tabs>
          <w:tab w:val="left" w:pos="2246"/>
        </w:tabs>
        <w:spacing w:before="121"/>
        <w:ind w:left="2245" w:right="112" w:hanging="993"/>
        <w:jc w:val="both"/>
      </w:pPr>
      <w:bookmarkStart w:id="180" w:name="_bookmark152"/>
      <w:bookmarkEnd w:id="180"/>
      <w:r>
        <w:rPr>
          <w:spacing w:val="-1"/>
        </w:rPr>
        <w:t>If</w:t>
      </w:r>
      <w:r>
        <w:rPr>
          <w:spacing w:val="11"/>
        </w:rPr>
        <w:t xml:space="preserve"> </w:t>
      </w:r>
      <w:r>
        <w:t>the</w:t>
      </w:r>
      <w:r>
        <w:rPr>
          <w:spacing w:val="7"/>
        </w:rPr>
        <w:t xml:space="preserve"> </w:t>
      </w:r>
      <w:r>
        <w:rPr>
          <w:spacing w:val="-2"/>
        </w:rPr>
        <w:t>Customer</w:t>
      </w:r>
      <w:r>
        <w:rPr>
          <w:spacing w:val="9"/>
        </w:rPr>
        <w:t xml:space="preserve"> </w:t>
      </w:r>
      <w:r>
        <w:rPr>
          <w:spacing w:val="-1"/>
        </w:rPr>
        <w:t>is</w:t>
      </w:r>
      <w:r>
        <w:rPr>
          <w:spacing w:val="8"/>
        </w:rPr>
        <w:t xml:space="preserve"> </w:t>
      </w:r>
      <w:r>
        <w:rPr>
          <w:spacing w:val="-1"/>
        </w:rPr>
        <w:t>able</w:t>
      </w:r>
      <w:r>
        <w:rPr>
          <w:spacing w:val="7"/>
        </w:rPr>
        <w:t xml:space="preserve"> </w:t>
      </w:r>
      <w:r>
        <w:rPr>
          <w:spacing w:val="1"/>
        </w:rPr>
        <w:t>to</w:t>
      </w:r>
      <w:r>
        <w:rPr>
          <w:spacing w:val="7"/>
        </w:rPr>
        <w:t xml:space="preserve"> </w:t>
      </w:r>
      <w:r>
        <w:rPr>
          <w:spacing w:val="-1"/>
        </w:rPr>
        <w:t>obtain</w:t>
      </w:r>
      <w:r>
        <w:rPr>
          <w:spacing w:val="7"/>
        </w:rPr>
        <w:t xml:space="preserve"> </w:t>
      </w:r>
      <w:r>
        <w:t>from</w:t>
      </w:r>
      <w:r>
        <w:rPr>
          <w:spacing w:val="9"/>
        </w:rPr>
        <w:t xml:space="preserve"> </w:t>
      </w:r>
      <w:r>
        <w:rPr>
          <w:spacing w:val="-1"/>
        </w:rPr>
        <w:t>any</w:t>
      </w:r>
      <w:r>
        <w:rPr>
          <w:spacing w:val="5"/>
        </w:rPr>
        <w:t xml:space="preserve"> </w:t>
      </w:r>
      <w:r>
        <w:rPr>
          <w:spacing w:val="-1"/>
        </w:rPr>
        <w:t>Sub-Contractor</w:t>
      </w:r>
      <w:r>
        <w:rPr>
          <w:spacing w:val="9"/>
        </w:rPr>
        <w:t xml:space="preserve"> </w:t>
      </w:r>
      <w:r>
        <w:rPr>
          <w:spacing w:val="-1"/>
        </w:rPr>
        <w:t>or</w:t>
      </w:r>
      <w:r>
        <w:rPr>
          <w:spacing w:val="9"/>
        </w:rPr>
        <w:t xml:space="preserve"> </w:t>
      </w:r>
      <w:r>
        <w:rPr>
          <w:spacing w:val="-1"/>
        </w:rPr>
        <w:t>any</w:t>
      </w:r>
      <w:r>
        <w:rPr>
          <w:spacing w:val="5"/>
        </w:rPr>
        <w:t xml:space="preserve"> </w:t>
      </w:r>
      <w:r>
        <w:rPr>
          <w:spacing w:val="-1"/>
        </w:rPr>
        <w:t>other</w:t>
      </w:r>
      <w:r>
        <w:rPr>
          <w:spacing w:val="42"/>
        </w:rPr>
        <w:t xml:space="preserve"> </w:t>
      </w:r>
      <w:r>
        <w:rPr>
          <w:spacing w:val="-1"/>
        </w:rPr>
        <w:t>third</w:t>
      </w:r>
      <w:r>
        <w:rPr>
          <w:spacing w:val="11"/>
        </w:rPr>
        <w:t xml:space="preserve"> </w:t>
      </w:r>
      <w:r>
        <w:rPr>
          <w:spacing w:val="-1"/>
        </w:rPr>
        <w:t>party</w:t>
      </w:r>
      <w:r>
        <w:rPr>
          <w:spacing w:val="9"/>
        </w:rPr>
        <w:t xml:space="preserve"> </w:t>
      </w:r>
      <w:r>
        <w:rPr>
          <w:spacing w:val="-1"/>
        </w:rPr>
        <w:t>more</w:t>
      </w:r>
      <w:r>
        <w:rPr>
          <w:spacing w:val="9"/>
        </w:rPr>
        <w:t xml:space="preserve"> </w:t>
      </w:r>
      <w:r>
        <w:rPr>
          <w:spacing w:val="-1"/>
        </w:rPr>
        <w:t>favourable</w:t>
      </w:r>
      <w:r>
        <w:rPr>
          <w:spacing w:val="11"/>
        </w:rPr>
        <w:t xml:space="preserve"> </w:t>
      </w:r>
      <w:r>
        <w:rPr>
          <w:spacing w:val="-1"/>
        </w:rPr>
        <w:t>commercial</w:t>
      </w:r>
      <w:r>
        <w:rPr>
          <w:spacing w:val="11"/>
        </w:rPr>
        <w:t xml:space="preserve"> </w:t>
      </w:r>
      <w:r>
        <w:rPr>
          <w:spacing w:val="-1"/>
        </w:rPr>
        <w:t>terms</w:t>
      </w:r>
      <w:r>
        <w:rPr>
          <w:spacing w:val="9"/>
        </w:rPr>
        <w:t xml:space="preserve"> </w:t>
      </w:r>
      <w:r>
        <w:rPr>
          <w:spacing w:val="-2"/>
        </w:rPr>
        <w:t>with</w:t>
      </w:r>
      <w:r>
        <w:rPr>
          <w:spacing w:val="11"/>
        </w:rPr>
        <w:t xml:space="preserve"> </w:t>
      </w:r>
      <w:r>
        <w:rPr>
          <w:spacing w:val="-1"/>
        </w:rPr>
        <w:t>respect</w:t>
      </w:r>
      <w:r>
        <w:rPr>
          <w:spacing w:val="11"/>
        </w:rPr>
        <w:t xml:space="preserve"> </w:t>
      </w:r>
      <w:r>
        <w:t>to</w:t>
      </w:r>
      <w:r>
        <w:rPr>
          <w:spacing w:val="9"/>
        </w:rPr>
        <w:t xml:space="preserve"> </w:t>
      </w:r>
      <w:r>
        <w:rPr>
          <w:spacing w:val="-1"/>
        </w:rPr>
        <w:t>the</w:t>
      </w:r>
      <w:r>
        <w:rPr>
          <w:spacing w:val="40"/>
        </w:rPr>
        <w:t xml:space="preserve"> </w:t>
      </w:r>
      <w:r>
        <w:rPr>
          <w:spacing w:val="-1"/>
        </w:rPr>
        <w:t>supply</w:t>
      </w:r>
      <w:r>
        <w:rPr>
          <w:spacing w:val="17"/>
        </w:rPr>
        <w:t xml:space="preserve"> </w:t>
      </w:r>
      <w:r>
        <w:rPr>
          <w:spacing w:val="-1"/>
        </w:rPr>
        <w:t>of</w:t>
      </w:r>
      <w:r>
        <w:rPr>
          <w:spacing w:val="23"/>
        </w:rPr>
        <w:t xml:space="preserve"> </w:t>
      </w:r>
      <w:r>
        <w:rPr>
          <w:spacing w:val="-1"/>
        </w:rPr>
        <w:t>any</w:t>
      </w:r>
      <w:r>
        <w:rPr>
          <w:spacing w:val="17"/>
        </w:rPr>
        <w:t xml:space="preserve"> </w:t>
      </w:r>
      <w:r>
        <w:rPr>
          <w:spacing w:val="-1"/>
        </w:rPr>
        <w:t>materials,</w:t>
      </w:r>
      <w:r>
        <w:rPr>
          <w:spacing w:val="19"/>
        </w:rPr>
        <w:t xml:space="preserve"> </w:t>
      </w:r>
      <w:r>
        <w:rPr>
          <w:spacing w:val="-1"/>
        </w:rPr>
        <w:t>equipment,</w:t>
      </w:r>
      <w:r>
        <w:rPr>
          <w:spacing w:val="19"/>
        </w:rPr>
        <w:t xml:space="preserve"> </w:t>
      </w:r>
      <w:r>
        <w:rPr>
          <w:spacing w:val="-1"/>
        </w:rPr>
        <w:t>software,</w:t>
      </w:r>
      <w:r>
        <w:rPr>
          <w:spacing w:val="21"/>
        </w:rPr>
        <w:t xml:space="preserve"> </w:t>
      </w:r>
      <w:r>
        <w:rPr>
          <w:spacing w:val="-1"/>
        </w:rPr>
        <w:t>goods</w:t>
      </w:r>
      <w:r>
        <w:rPr>
          <w:spacing w:val="20"/>
        </w:rPr>
        <w:t xml:space="preserve"> </w:t>
      </w:r>
      <w:r>
        <w:rPr>
          <w:spacing w:val="-1"/>
        </w:rPr>
        <w:t>or</w:t>
      </w:r>
      <w:r>
        <w:rPr>
          <w:spacing w:val="21"/>
        </w:rPr>
        <w:t xml:space="preserve"> </w:t>
      </w:r>
      <w:r>
        <w:rPr>
          <w:spacing w:val="-1"/>
        </w:rPr>
        <w:t>services</w:t>
      </w:r>
      <w:r>
        <w:rPr>
          <w:spacing w:val="20"/>
        </w:rPr>
        <w:t xml:space="preserve"> </w:t>
      </w:r>
      <w:r>
        <w:rPr>
          <w:spacing w:val="-1"/>
        </w:rPr>
        <w:t>used</w:t>
      </w:r>
      <w:r>
        <w:rPr>
          <w:spacing w:val="39"/>
        </w:rPr>
        <w:t xml:space="preserve"> </w:t>
      </w:r>
      <w:r>
        <w:rPr>
          <w:spacing w:val="-1"/>
        </w:rPr>
        <w:t>by</w:t>
      </w:r>
      <w:r>
        <w:rPr>
          <w:spacing w:val="22"/>
        </w:rPr>
        <w:t xml:space="preserve"> </w:t>
      </w:r>
      <w:r>
        <w:t>the</w:t>
      </w:r>
      <w:r>
        <w:rPr>
          <w:spacing w:val="24"/>
        </w:rPr>
        <w:t xml:space="preserve"> </w:t>
      </w:r>
      <w:r>
        <w:rPr>
          <w:spacing w:val="-2"/>
        </w:rPr>
        <w:t>Supplier</w:t>
      </w:r>
      <w:r>
        <w:rPr>
          <w:spacing w:val="26"/>
        </w:rPr>
        <w:t xml:space="preserve"> </w:t>
      </w:r>
      <w:r>
        <w:rPr>
          <w:spacing w:val="-1"/>
        </w:rPr>
        <w:t>or</w:t>
      </w:r>
      <w:r>
        <w:rPr>
          <w:spacing w:val="23"/>
        </w:rPr>
        <w:t xml:space="preserve"> </w:t>
      </w:r>
      <w:r>
        <w:t>the</w:t>
      </w:r>
      <w:r>
        <w:rPr>
          <w:spacing w:val="24"/>
        </w:rPr>
        <w:t xml:space="preserve"> </w:t>
      </w:r>
      <w:r>
        <w:rPr>
          <w:spacing w:val="-2"/>
        </w:rPr>
        <w:t>Supplier</w:t>
      </w:r>
      <w:r>
        <w:rPr>
          <w:spacing w:val="26"/>
        </w:rPr>
        <w:t xml:space="preserve"> </w:t>
      </w:r>
      <w:r>
        <w:rPr>
          <w:spacing w:val="-1"/>
        </w:rPr>
        <w:t>Personnel</w:t>
      </w:r>
      <w:r>
        <w:rPr>
          <w:spacing w:val="24"/>
        </w:rPr>
        <w:t xml:space="preserve"> </w:t>
      </w:r>
      <w:r>
        <w:rPr>
          <w:spacing w:val="-1"/>
        </w:rPr>
        <w:t>in</w:t>
      </w:r>
      <w:r>
        <w:rPr>
          <w:spacing w:val="24"/>
        </w:rPr>
        <w:t xml:space="preserve"> </w:t>
      </w:r>
      <w:r>
        <w:t>the</w:t>
      </w:r>
      <w:r>
        <w:rPr>
          <w:spacing w:val="22"/>
        </w:rPr>
        <w:t xml:space="preserve"> </w:t>
      </w:r>
      <w:r>
        <w:rPr>
          <w:spacing w:val="-1"/>
        </w:rPr>
        <w:t>supply</w:t>
      </w:r>
      <w:r>
        <w:rPr>
          <w:spacing w:val="22"/>
        </w:rPr>
        <w:t xml:space="preserve"> </w:t>
      </w:r>
      <w:r>
        <w:rPr>
          <w:spacing w:val="-1"/>
        </w:rPr>
        <w:t>of</w:t>
      </w:r>
      <w:r>
        <w:rPr>
          <w:spacing w:val="26"/>
        </w:rPr>
        <w:t xml:space="preserve"> </w:t>
      </w:r>
      <w:r>
        <w:t>the</w:t>
      </w:r>
      <w:r>
        <w:rPr>
          <w:spacing w:val="25"/>
        </w:rPr>
        <w:t xml:space="preserve"> </w:t>
      </w:r>
      <w:r>
        <w:rPr>
          <w:spacing w:val="-1"/>
        </w:rPr>
        <w:t>Goods</w:t>
      </w:r>
      <w:r>
        <w:rPr>
          <w:spacing w:val="40"/>
        </w:rPr>
        <w:t xml:space="preserve"> </w:t>
      </w:r>
      <w:r>
        <w:rPr>
          <w:spacing w:val="-1"/>
        </w:rPr>
        <w:t>and/or Services,</w:t>
      </w:r>
      <w:r>
        <w:t xml:space="preserve"> </w:t>
      </w:r>
      <w:r>
        <w:rPr>
          <w:spacing w:val="-1"/>
        </w:rPr>
        <w:t>then</w:t>
      </w:r>
      <w:r>
        <w:rPr>
          <w:spacing w:val="-2"/>
        </w:rPr>
        <w:t xml:space="preserve"> </w:t>
      </w:r>
      <w:r>
        <w:t>the</w:t>
      </w:r>
      <w:r>
        <w:rPr>
          <w:spacing w:val="-2"/>
        </w:rPr>
        <w:t xml:space="preserve"> </w:t>
      </w:r>
      <w:r>
        <w:rPr>
          <w:spacing w:val="-1"/>
        </w:rPr>
        <w:t>Customer may:</w:t>
      </w:r>
    </w:p>
    <w:p w:rsidR="008918FA" w:rsidRDefault="008918FA" w:rsidP="008918FA">
      <w:pPr>
        <w:pStyle w:val="BodyText"/>
        <w:numPr>
          <w:ilvl w:val="3"/>
          <w:numId w:val="66"/>
        </w:numPr>
        <w:tabs>
          <w:tab w:val="left" w:pos="2954"/>
        </w:tabs>
        <w:ind w:left="2953" w:right="114"/>
        <w:jc w:val="both"/>
      </w:pPr>
      <w:r>
        <w:rPr>
          <w:spacing w:val="-1"/>
        </w:rPr>
        <w:t>require</w:t>
      </w:r>
      <w:r>
        <w:rPr>
          <w:spacing w:val="46"/>
        </w:rPr>
        <w:t xml:space="preserve"> </w:t>
      </w:r>
      <w:r>
        <w:t>the</w:t>
      </w:r>
      <w:r>
        <w:rPr>
          <w:spacing w:val="46"/>
        </w:rPr>
        <w:t xml:space="preserve"> </w:t>
      </w:r>
      <w:r>
        <w:rPr>
          <w:spacing w:val="-2"/>
        </w:rPr>
        <w:t>Supplier</w:t>
      </w:r>
      <w:r>
        <w:rPr>
          <w:spacing w:val="47"/>
        </w:rPr>
        <w:t xml:space="preserve"> </w:t>
      </w:r>
      <w:r>
        <w:t>to</w:t>
      </w:r>
      <w:r>
        <w:rPr>
          <w:spacing w:val="46"/>
        </w:rPr>
        <w:t xml:space="preserve"> </w:t>
      </w:r>
      <w:r>
        <w:rPr>
          <w:spacing w:val="-1"/>
        </w:rPr>
        <w:t>replace</w:t>
      </w:r>
      <w:r>
        <w:rPr>
          <w:spacing w:val="46"/>
        </w:rPr>
        <w:t xml:space="preserve"> </w:t>
      </w:r>
      <w:r>
        <w:rPr>
          <w:spacing w:val="-1"/>
        </w:rPr>
        <w:t>its</w:t>
      </w:r>
      <w:r>
        <w:rPr>
          <w:spacing w:val="46"/>
        </w:rPr>
        <w:t xml:space="preserve"> </w:t>
      </w:r>
      <w:r>
        <w:rPr>
          <w:spacing w:val="-2"/>
        </w:rPr>
        <w:t>existing</w:t>
      </w:r>
      <w:r>
        <w:rPr>
          <w:spacing w:val="49"/>
        </w:rPr>
        <w:t xml:space="preserve"> </w:t>
      </w:r>
      <w:r>
        <w:rPr>
          <w:spacing w:val="-1"/>
        </w:rPr>
        <w:t>commercial</w:t>
      </w:r>
      <w:r>
        <w:rPr>
          <w:spacing w:val="45"/>
        </w:rPr>
        <w:t xml:space="preserve"> </w:t>
      </w:r>
      <w:r>
        <w:rPr>
          <w:spacing w:val="-1"/>
        </w:rPr>
        <w:t>terms</w:t>
      </w:r>
      <w:r>
        <w:rPr>
          <w:spacing w:val="59"/>
        </w:rPr>
        <w:t xml:space="preserve"> </w:t>
      </w:r>
      <w:r>
        <w:rPr>
          <w:spacing w:val="-1"/>
        </w:rPr>
        <w:t>with</w:t>
      </w:r>
      <w:r>
        <w:rPr>
          <w:spacing w:val="46"/>
        </w:rPr>
        <w:t xml:space="preserve"> </w:t>
      </w:r>
      <w:r>
        <w:rPr>
          <w:spacing w:val="-1"/>
        </w:rPr>
        <w:t>its</w:t>
      </w:r>
      <w:r>
        <w:rPr>
          <w:spacing w:val="46"/>
        </w:rPr>
        <w:t xml:space="preserve"> </w:t>
      </w:r>
      <w:r>
        <w:rPr>
          <w:spacing w:val="-1"/>
        </w:rPr>
        <w:t>Sub-Contractor</w:t>
      </w:r>
      <w:r>
        <w:rPr>
          <w:spacing w:val="45"/>
        </w:rPr>
        <w:t xml:space="preserve"> </w:t>
      </w:r>
      <w:r>
        <w:rPr>
          <w:spacing w:val="-1"/>
        </w:rPr>
        <w:t>with</w:t>
      </w:r>
      <w:r>
        <w:rPr>
          <w:spacing w:val="46"/>
        </w:rPr>
        <w:t xml:space="preserve"> </w:t>
      </w:r>
      <w:r>
        <w:t>the</w:t>
      </w:r>
      <w:r>
        <w:rPr>
          <w:spacing w:val="46"/>
        </w:rPr>
        <w:t xml:space="preserve"> </w:t>
      </w:r>
      <w:r>
        <w:rPr>
          <w:spacing w:val="-1"/>
        </w:rPr>
        <w:t>more</w:t>
      </w:r>
      <w:r>
        <w:rPr>
          <w:spacing w:val="43"/>
        </w:rPr>
        <w:t xml:space="preserve"> </w:t>
      </w:r>
      <w:r>
        <w:rPr>
          <w:spacing w:val="-1"/>
        </w:rPr>
        <w:t>favourable</w:t>
      </w:r>
      <w:r>
        <w:rPr>
          <w:spacing w:val="47"/>
        </w:rPr>
        <w:t xml:space="preserve"> </w:t>
      </w:r>
      <w:r>
        <w:rPr>
          <w:spacing w:val="-1"/>
        </w:rPr>
        <w:t>commercial</w:t>
      </w:r>
      <w:r>
        <w:rPr>
          <w:spacing w:val="30"/>
        </w:rPr>
        <w:t xml:space="preserve"> </w:t>
      </w:r>
      <w:r>
        <w:rPr>
          <w:spacing w:val="-1"/>
        </w:rPr>
        <w:t>terms</w:t>
      </w:r>
      <w:r>
        <w:rPr>
          <w:spacing w:val="8"/>
        </w:rPr>
        <w:t xml:space="preserve"> </w:t>
      </w:r>
      <w:r>
        <w:rPr>
          <w:spacing w:val="-1"/>
        </w:rPr>
        <w:t>obtained</w:t>
      </w:r>
      <w:r>
        <w:rPr>
          <w:spacing w:val="7"/>
        </w:rPr>
        <w:t xml:space="preserve"> </w:t>
      </w:r>
      <w:r>
        <w:rPr>
          <w:spacing w:val="-1"/>
        </w:rPr>
        <w:t>by</w:t>
      </w:r>
      <w:r>
        <w:rPr>
          <w:spacing w:val="5"/>
        </w:rPr>
        <w:t xml:space="preserve"> </w:t>
      </w:r>
      <w:r>
        <w:t>the</w:t>
      </w:r>
      <w:r>
        <w:rPr>
          <w:spacing w:val="7"/>
        </w:rPr>
        <w:t xml:space="preserve"> </w:t>
      </w:r>
      <w:r>
        <w:rPr>
          <w:spacing w:val="-2"/>
        </w:rPr>
        <w:t>Customer</w:t>
      </w:r>
      <w:r>
        <w:rPr>
          <w:spacing w:val="9"/>
        </w:rPr>
        <w:t xml:space="preserve"> </w:t>
      </w:r>
      <w:r>
        <w:rPr>
          <w:spacing w:val="-1"/>
        </w:rPr>
        <w:t>in</w:t>
      </w:r>
      <w:r>
        <w:rPr>
          <w:spacing w:val="5"/>
        </w:rPr>
        <w:t xml:space="preserve"> </w:t>
      </w:r>
      <w:r>
        <w:rPr>
          <w:spacing w:val="-1"/>
        </w:rPr>
        <w:t>respect</w:t>
      </w:r>
      <w:r>
        <w:rPr>
          <w:spacing w:val="9"/>
        </w:rPr>
        <w:t xml:space="preserve"> </w:t>
      </w:r>
      <w:r>
        <w:rPr>
          <w:spacing w:val="-2"/>
        </w:rPr>
        <w:t>of</w:t>
      </w:r>
      <w:r>
        <w:rPr>
          <w:spacing w:val="9"/>
        </w:rPr>
        <w:t xml:space="preserve"> </w:t>
      </w:r>
      <w:r>
        <w:t>the</w:t>
      </w:r>
      <w:r>
        <w:rPr>
          <w:spacing w:val="5"/>
        </w:rPr>
        <w:t xml:space="preserve"> </w:t>
      </w:r>
      <w:r>
        <w:rPr>
          <w:spacing w:val="-2"/>
        </w:rPr>
        <w:t>relevant</w:t>
      </w:r>
      <w:r>
        <w:rPr>
          <w:spacing w:val="9"/>
        </w:rPr>
        <w:t xml:space="preserve"> </w:t>
      </w:r>
      <w:r>
        <w:rPr>
          <w:spacing w:val="-1"/>
        </w:rPr>
        <w:t>item;</w:t>
      </w:r>
      <w:r>
        <w:rPr>
          <w:spacing w:val="43"/>
        </w:rPr>
        <w:t xml:space="preserve"> </w:t>
      </w:r>
      <w:r>
        <w:rPr>
          <w:spacing w:val="-1"/>
        </w:rPr>
        <w:t>or</w:t>
      </w:r>
    </w:p>
    <w:p w:rsidR="008918FA" w:rsidRDefault="008918FA" w:rsidP="008918FA">
      <w:pPr>
        <w:pStyle w:val="BodyText"/>
        <w:numPr>
          <w:ilvl w:val="3"/>
          <w:numId w:val="66"/>
        </w:numPr>
        <w:tabs>
          <w:tab w:val="left" w:pos="2954"/>
        </w:tabs>
        <w:spacing w:before="121"/>
        <w:ind w:left="2953" w:right="114"/>
        <w:jc w:val="both"/>
      </w:pPr>
      <w:r>
        <w:rPr>
          <w:spacing w:val="-1"/>
        </w:rPr>
        <w:t>subject</w:t>
      </w:r>
      <w:r>
        <w:rPr>
          <w:spacing w:val="47"/>
        </w:rPr>
        <w:t xml:space="preserve"> </w:t>
      </w:r>
      <w:r>
        <w:t>to</w:t>
      </w:r>
      <w:r>
        <w:rPr>
          <w:spacing w:val="46"/>
        </w:rPr>
        <w:t xml:space="preserve"> </w:t>
      </w:r>
      <w:r>
        <w:rPr>
          <w:spacing w:val="-2"/>
        </w:rPr>
        <w:t>Clause</w:t>
      </w:r>
      <w:r>
        <w:rPr>
          <w:spacing w:val="46"/>
        </w:rPr>
        <w:t xml:space="preserve"> </w:t>
      </w:r>
      <w:hyperlink w:anchor="_bookmark151" w:history="1">
        <w:r>
          <w:rPr>
            <w:spacing w:val="-1"/>
          </w:rPr>
          <w:t>29.4</w:t>
        </w:r>
      </w:hyperlink>
      <w:r>
        <w:rPr>
          <w:spacing w:val="47"/>
        </w:rPr>
        <w:t xml:space="preserve"> </w:t>
      </w:r>
      <w:r>
        <w:rPr>
          <w:spacing w:val="-1"/>
        </w:rPr>
        <w:t>(Termination</w:t>
      </w:r>
      <w:r>
        <w:rPr>
          <w:spacing w:val="46"/>
        </w:rPr>
        <w:t xml:space="preserve"> </w:t>
      </w:r>
      <w:r>
        <w:rPr>
          <w:spacing w:val="-2"/>
        </w:rPr>
        <w:t>of</w:t>
      </w:r>
      <w:r>
        <w:rPr>
          <w:spacing w:val="49"/>
        </w:rPr>
        <w:t xml:space="preserve"> </w:t>
      </w:r>
      <w:r>
        <w:rPr>
          <w:spacing w:val="-1"/>
        </w:rPr>
        <w:t>Sub-Contracts),</w:t>
      </w:r>
      <w:r>
        <w:rPr>
          <w:spacing w:val="48"/>
        </w:rPr>
        <w:t xml:space="preserve"> </w:t>
      </w:r>
      <w:r>
        <w:rPr>
          <w:spacing w:val="-1"/>
        </w:rPr>
        <w:t>enter</w:t>
      </w:r>
      <w:r>
        <w:rPr>
          <w:spacing w:val="37"/>
        </w:rPr>
        <w:t xml:space="preserve"> </w:t>
      </w:r>
      <w:r>
        <w:rPr>
          <w:spacing w:val="-1"/>
        </w:rPr>
        <w:t>into</w:t>
      </w:r>
      <w:r>
        <w:t xml:space="preserve"> a </w:t>
      </w:r>
      <w:r>
        <w:rPr>
          <w:spacing w:val="-2"/>
        </w:rPr>
        <w:t>direct</w:t>
      </w:r>
      <w:r>
        <w:rPr>
          <w:spacing w:val="2"/>
        </w:rPr>
        <w:t xml:space="preserve"> </w:t>
      </w:r>
      <w:r>
        <w:rPr>
          <w:spacing w:val="-2"/>
        </w:rPr>
        <w:t>agreement</w:t>
      </w:r>
      <w:r>
        <w:t xml:space="preserve"> </w:t>
      </w:r>
      <w:r>
        <w:rPr>
          <w:spacing w:val="-1"/>
        </w:rPr>
        <w:t>with</w:t>
      </w:r>
      <w:r>
        <w:t xml:space="preserve"> </w:t>
      </w:r>
      <w:r>
        <w:rPr>
          <w:spacing w:val="-1"/>
        </w:rPr>
        <w:t>that</w:t>
      </w:r>
      <w:r>
        <w:t xml:space="preserve"> </w:t>
      </w:r>
      <w:r>
        <w:rPr>
          <w:spacing w:val="-1"/>
        </w:rPr>
        <w:t>Sub-Contractor</w:t>
      </w:r>
      <w:r>
        <w:rPr>
          <w:spacing w:val="-3"/>
        </w:rPr>
        <w:t xml:space="preserve"> </w:t>
      </w:r>
      <w:r>
        <w:rPr>
          <w:spacing w:val="-1"/>
        </w:rPr>
        <w:t>or</w:t>
      </w:r>
      <w:r>
        <w:rPr>
          <w:spacing w:val="2"/>
        </w:rPr>
        <w:t xml:space="preserve"> </w:t>
      </w:r>
      <w:r>
        <w:rPr>
          <w:spacing w:val="-1"/>
        </w:rPr>
        <w:t>third</w:t>
      </w:r>
      <w:r>
        <w:t xml:space="preserve"> </w:t>
      </w:r>
      <w:r>
        <w:rPr>
          <w:spacing w:val="-1"/>
        </w:rPr>
        <w:t>party</w:t>
      </w:r>
      <w:r>
        <w:rPr>
          <w:spacing w:val="-2"/>
        </w:rPr>
        <w:t xml:space="preserve"> </w:t>
      </w:r>
      <w:r>
        <w:rPr>
          <w:spacing w:val="-1"/>
        </w:rPr>
        <w:t>in</w:t>
      </w:r>
      <w:r>
        <w:rPr>
          <w:spacing w:val="53"/>
        </w:rPr>
        <w:t xml:space="preserve"> </w:t>
      </w:r>
      <w:r>
        <w:rPr>
          <w:spacing w:val="-1"/>
        </w:rPr>
        <w:t>respect</w:t>
      </w:r>
      <w:r>
        <w:t xml:space="preserve"> </w:t>
      </w:r>
      <w:r>
        <w:rPr>
          <w:spacing w:val="-2"/>
        </w:rPr>
        <w:t>of</w:t>
      </w:r>
      <w:r>
        <w:t xml:space="preserve"> the</w:t>
      </w:r>
      <w:r>
        <w:rPr>
          <w:spacing w:val="-2"/>
        </w:rPr>
        <w:t xml:space="preserve"> relevant</w:t>
      </w:r>
      <w:r>
        <w:rPr>
          <w:spacing w:val="2"/>
        </w:rPr>
        <w:t xml:space="preserve"> </w:t>
      </w:r>
      <w:r>
        <w:rPr>
          <w:spacing w:val="-1"/>
        </w:rPr>
        <w:t>item.</w:t>
      </w:r>
    </w:p>
    <w:p w:rsidR="008918FA" w:rsidRDefault="008918FA" w:rsidP="008918FA">
      <w:pPr>
        <w:pStyle w:val="BodyText"/>
        <w:numPr>
          <w:ilvl w:val="2"/>
          <w:numId w:val="66"/>
        </w:numPr>
        <w:tabs>
          <w:tab w:val="left" w:pos="2246"/>
        </w:tabs>
        <w:ind w:left="2245" w:right="113"/>
        <w:jc w:val="both"/>
      </w:pPr>
      <w:r>
        <w:rPr>
          <w:spacing w:val="-1"/>
        </w:rPr>
        <w:t>If</w:t>
      </w:r>
      <w:r>
        <w:rPr>
          <w:spacing w:val="28"/>
        </w:rPr>
        <w:t xml:space="preserve"> </w:t>
      </w:r>
      <w:r>
        <w:t>the</w:t>
      </w:r>
      <w:r>
        <w:rPr>
          <w:spacing w:val="27"/>
        </w:rPr>
        <w:t xml:space="preserve"> </w:t>
      </w:r>
      <w:r>
        <w:rPr>
          <w:spacing w:val="-2"/>
        </w:rPr>
        <w:t>Customer</w:t>
      </w:r>
      <w:r>
        <w:rPr>
          <w:spacing w:val="28"/>
        </w:rPr>
        <w:t xml:space="preserve"> </w:t>
      </w:r>
      <w:r>
        <w:rPr>
          <w:spacing w:val="-2"/>
        </w:rPr>
        <w:t>exercises</w:t>
      </w:r>
      <w:r>
        <w:rPr>
          <w:spacing w:val="27"/>
        </w:rPr>
        <w:t xml:space="preserve"> </w:t>
      </w:r>
      <w:r>
        <w:t>the</w:t>
      </w:r>
      <w:r>
        <w:rPr>
          <w:spacing w:val="27"/>
        </w:rPr>
        <w:t xml:space="preserve"> </w:t>
      </w:r>
      <w:r>
        <w:rPr>
          <w:spacing w:val="-1"/>
        </w:rPr>
        <w:t>option</w:t>
      </w:r>
      <w:r>
        <w:rPr>
          <w:spacing w:val="27"/>
        </w:rPr>
        <w:t xml:space="preserve"> </w:t>
      </w:r>
      <w:r>
        <w:rPr>
          <w:spacing w:val="-1"/>
        </w:rPr>
        <w:t>pursuant</w:t>
      </w:r>
      <w:r>
        <w:rPr>
          <w:spacing w:val="26"/>
        </w:rPr>
        <w:t xml:space="preserve"> </w:t>
      </w:r>
      <w:r>
        <w:rPr>
          <w:spacing w:val="-1"/>
        </w:rPr>
        <w:t>to</w:t>
      </w:r>
      <w:r>
        <w:rPr>
          <w:spacing w:val="27"/>
        </w:rPr>
        <w:t xml:space="preserve"> </w:t>
      </w:r>
      <w:r>
        <w:rPr>
          <w:spacing w:val="-2"/>
        </w:rPr>
        <w:t>Clause</w:t>
      </w:r>
      <w:r>
        <w:rPr>
          <w:spacing w:val="29"/>
        </w:rPr>
        <w:t xml:space="preserve"> </w:t>
      </w:r>
      <w:hyperlink w:anchor="_bookmark152" w:history="1">
        <w:r>
          <w:rPr>
            <w:spacing w:val="-1"/>
          </w:rPr>
          <w:t>29.5.1,</w:t>
        </w:r>
      </w:hyperlink>
      <w:r>
        <w:rPr>
          <w:spacing w:val="26"/>
        </w:rPr>
        <w:t xml:space="preserve"> </w:t>
      </w:r>
      <w:r>
        <w:rPr>
          <w:spacing w:val="-1"/>
        </w:rPr>
        <w:t>then</w:t>
      </w:r>
      <w:r>
        <w:rPr>
          <w:spacing w:val="50"/>
        </w:rPr>
        <w:t xml:space="preserve"> </w:t>
      </w:r>
      <w:r>
        <w:t>the</w:t>
      </w:r>
      <w:r>
        <w:rPr>
          <w:spacing w:val="27"/>
        </w:rPr>
        <w:t xml:space="preserve"> </w:t>
      </w:r>
      <w:r>
        <w:rPr>
          <w:spacing w:val="-2"/>
        </w:rPr>
        <w:t>Call</w:t>
      </w:r>
      <w:r>
        <w:rPr>
          <w:spacing w:val="26"/>
        </w:rPr>
        <w:t xml:space="preserve"> </w:t>
      </w:r>
      <w:r>
        <w:rPr>
          <w:spacing w:val="-1"/>
        </w:rPr>
        <w:t>Off</w:t>
      </w:r>
      <w:r>
        <w:rPr>
          <w:spacing w:val="28"/>
        </w:rPr>
        <w:t xml:space="preserve"> </w:t>
      </w:r>
      <w:r>
        <w:rPr>
          <w:spacing w:val="-2"/>
        </w:rPr>
        <w:t>Contract</w:t>
      </w:r>
      <w:r>
        <w:rPr>
          <w:spacing w:val="26"/>
        </w:rPr>
        <w:t xml:space="preserve"> </w:t>
      </w:r>
      <w:r>
        <w:rPr>
          <w:spacing w:val="-1"/>
        </w:rPr>
        <w:t>Charges</w:t>
      </w:r>
      <w:r>
        <w:rPr>
          <w:spacing w:val="27"/>
        </w:rPr>
        <w:t xml:space="preserve"> </w:t>
      </w:r>
      <w:r>
        <w:rPr>
          <w:spacing w:val="-1"/>
        </w:rPr>
        <w:t>shall</w:t>
      </w:r>
      <w:r>
        <w:rPr>
          <w:spacing w:val="26"/>
        </w:rPr>
        <w:t xml:space="preserve"> </w:t>
      </w:r>
      <w:r>
        <w:rPr>
          <w:spacing w:val="-1"/>
        </w:rPr>
        <w:t>be</w:t>
      </w:r>
      <w:r>
        <w:rPr>
          <w:spacing w:val="24"/>
        </w:rPr>
        <w:t xml:space="preserve"> </w:t>
      </w:r>
      <w:r>
        <w:rPr>
          <w:spacing w:val="-1"/>
        </w:rPr>
        <w:t>reduced</w:t>
      </w:r>
      <w:r>
        <w:rPr>
          <w:spacing w:val="22"/>
        </w:rPr>
        <w:t xml:space="preserve"> </w:t>
      </w:r>
      <w:r>
        <w:rPr>
          <w:spacing w:val="-1"/>
        </w:rPr>
        <w:t>by</w:t>
      </w:r>
      <w:r>
        <w:rPr>
          <w:spacing w:val="25"/>
        </w:rPr>
        <w:t xml:space="preserve"> </w:t>
      </w:r>
      <w:r>
        <w:rPr>
          <w:spacing w:val="-1"/>
        </w:rPr>
        <w:t>an</w:t>
      </w:r>
      <w:r>
        <w:rPr>
          <w:spacing w:val="27"/>
        </w:rPr>
        <w:t xml:space="preserve"> </w:t>
      </w:r>
      <w:r>
        <w:rPr>
          <w:spacing w:val="-1"/>
        </w:rPr>
        <w:t>amount</w:t>
      </w:r>
      <w:r>
        <w:rPr>
          <w:spacing w:val="26"/>
        </w:rPr>
        <w:t xml:space="preserve"> </w:t>
      </w:r>
      <w:r>
        <w:rPr>
          <w:spacing w:val="-1"/>
        </w:rPr>
        <w:t>that</w:t>
      </w:r>
      <w:r>
        <w:rPr>
          <w:spacing w:val="28"/>
        </w:rPr>
        <w:t xml:space="preserve"> </w:t>
      </w:r>
      <w:r>
        <w:rPr>
          <w:spacing w:val="-1"/>
        </w:rPr>
        <w:t>is</w:t>
      </w:r>
      <w:r>
        <w:rPr>
          <w:spacing w:val="49"/>
        </w:rPr>
        <w:t xml:space="preserve"> </w:t>
      </w:r>
      <w:r>
        <w:rPr>
          <w:spacing w:val="-1"/>
        </w:rPr>
        <w:t>agreed</w:t>
      </w:r>
      <w:r>
        <w:t xml:space="preserve"> </w:t>
      </w:r>
      <w:r>
        <w:rPr>
          <w:spacing w:val="-1"/>
        </w:rPr>
        <w:t>in</w:t>
      </w:r>
      <w:r>
        <w:t xml:space="preserve"> </w:t>
      </w:r>
      <w:r>
        <w:rPr>
          <w:spacing w:val="-1"/>
        </w:rPr>
        <w:t>accordance</w:t>
      </w:r>
      <w:r>
        <w:rPr>
          <w:spacing w:val="-2"/>
        </w:rPr>
        <w:t xml:space="preserve"> with</w:t>
      </w:r>
      <w:r>
        <w:t xml:space="preserve"> the</w:t>
      </w:r>
      <w:r>
        <w:rPr>
          <w:spacing w:val="-2"/>
        </w:rPr>
        <w:t xml:space="preserve"> </w:t>
      </w:r>
      <w:r>
        <w:rPr>
          <w:spacing w:val="-1"/>
        </w:rPr>
        <w:t>Variation</w:t>
      </w:r>
      <w:r>
        <w:t xml:space="preserve"> </w:t>
      </w:r>
      <w:r>
        <w:rPr>
          <w:spacing w:val="-2"/>
        </w:rPr>
        <w:t>Procedure.</w:t>
      </w:r>
    </w:p>
    <w:p w:rsidR="008918FA" w:rsidRDefault="008918FA" w:rsidP="008918FA">
      <w:pPr>
        <w:pStyle w:val="BodyText"/>
        <w:numPr>
          <w:ilvl w:val="2"/>
          <w:numId w:val="66"/>
        </w:numPr>
        <w:tabs>
          <w:tab w:val="left" w:pos="2246"/>
        </w:tabs>
        <w:ind w:left="2245" w:right="120"/>
        <w:jc w:val="both"/>
      </w:pPr>
      <w:r>
        <w:t>The</w:t>
      </w:r>
      <w:r>
        <w:rPr>
          <w:spacing w:val="10"/>
        </w:rPr>
        <w:t xml:space="preserve"> </w:t>
      </w:r>
      <w:r>
        <w:rPr>
          <w:spacing w:val="-1"/>
        </w:rPr>
        <w:t>Customer's</w:t>
      </w:r>
      <w:r>
        <w:rPr>
          <w:spacing w:val="10"/>
        </w:rPr>
        <w:t xml:space="preserve"> </w:t>
      </w:r>
      <w:r>
        <w:rPr>
          <w:spacing w:val="-1"/>
        </w:rPr>
        <w:t>right</w:t>
      </w:r>
      <w:r>
        <w:rPr>
          <w:spacing w:val="11"/>
        </w:rPr>
        <w:t xml:space="preserve"> </w:t>
      </w:r>
      <w:r>
        <w:t>to</w:t>
      </w:r>
      <w:r>
        <w:rPr>
          <w:spacing w:val="7"/>
        </w:rPr>
        <w:t xml:space="preserve"> </w:t>
      </w:r>
      <w:r>
        <w:rPr>
          <w:spacing w:val="-1"/>
        </w:rPr>
        <w:t>enter</w:t>
      </w:r>
      <w:r>
        <w:rPr>
          <w:spacing w:val="11"/>
        </w:rPr>
        <w:t xml:space="preserve"> </w:t>
      </w:r>
      <w:r>
        <w:rPr>
          <w:spacing w:val="-1"/>
        </w:rPr>
        <w:t>into</w:t>
      </w:r>
      <w:r>
        <w:rPr>
          <w:spacing w:val="10"/>
        </w:rPr>
        <w:t xml:space="preserve"> </w:t>
      </w:r>
      <w:r>
        <w:t>a</w:t>
      </w:r>
      <w:r>
        <w:rPr>
          <w:spacing w:val="10"/>
        </w:rPr>
        <w:t xml:space="preserve"> </w:t>
      </w:r>
      <w:r>
        <w:rPr>
          <w:spacing w:val="-1"/>
        </w:rPr>
        <w:t>direct</w:t>
      </w:r>
      <w:r>
        <w:rPr>
          <w:spacing w:val="12"/>
        </w:rPr>
        <w:t xml:space="preserve"> </w:t>
      </w:r>
      <w:r>
        <w:rPr>
          <w:spacing w:val="-1"/>
        </w:rPr>
        <w:t>agreement</w:t>
      </w:r>
      <w:r>
        <w:rPr>
          <w:spacing w:val="9"/>
        </w:rPr>
        <w:t xml:space="preserve"> </w:t>
      </w:r>
      <w:r>
        <w:t>for</w:t>
      </w:r>
      <w:r>
        <w:rPr>
          <w:spacing w:val="11"/>
        </w:rPr>
        <w:t xml:space="preserve"> </w:t>
      </w:r>
      <w:r>
        <w:t>the</w:t>
      </w:r>
      <w:r>
        <w:rPr>
          <w:spacing w:val="10"/>
        </w:rPr>
        <w:t xml:space="preserve"> </w:t>
      </w:r>
      <w:r>
        <w:rPr>
          <w:spacing w:val="-1"/>
        </w:rPr>
        <w:t>supply</w:t>
      </w:r>
      <w:r>
        <w:rPr>
          <w:spacing w:val="8"/>
        </w:rPr>
        <w:t xml:space="preserve"> </w:t>
      </w:r>
      <w:r>
        <w:rPr>
          <w:spacing w:val="-1"/>
        </w:rPr>
        <w:t>of</w:t>
      </w:r>
      <w:r>
        <w:rPr>
          <w:spacing w:val="28"/>
        </w:rPr>
        <w:t xml:space="preserve"> </w:t>
      </w:r>
      <w:r>
        <w:t>the</w:t>
      </w:r>
      <w:r>
        <w:rPr>
          <w:spacing w:val="-2"/>
        </w:rPr>
        <w:t xml:space="preserve"> relevant</w:t>
      </w:r>
      <w:r>
        <w:rPr>
          <w:spacing w:val="2"/>
        </w:rPr>
        <w:t xml:space="preserve"> </w:t>
      </w:r>
      <w:r>
        <w:rPr>
          <w:spacing w:val="-1"/>
        </w:rPr>
        <w:t>items</w:t>
      </w:r>
      <w:r>
        <w:rPr>
          <w:spacing w:val="-2"/>
        </w:rPr>
        <w:t xml:space="preserve"> </w:t>
      </w:r>
      <w:r>
        <w:rPr>
          <w:spacing w:val="-1"/>
        </w:rPr>
        <w:t>is</w:t>
      </w:r>
      <w:r>
        <w:rPr>
          <w:spacing w:val="1"/>
        </w:rPr>
        <w:t xml:space="preserve"> </w:t>
      </w:r>
      <w:r>
        <w:rPr>
          <w:spacing w:val="-2"/>
        </w:rPr>
        <w:t>subject</w:t>
      </w:r>
      <w:r>
        <w:t xml:space="preserve"> </w:t>
      </w:r>
      <w:r>
        <w:rPr>
          <w:spacing w:val="-1"/>
        </w:rPr>
        <w:t>to:</w:t>
      </w:r>
    </w:p>
    <w:p w:rsidR="008918FA" w:rsidRDefault="008918FA" w:rsidP="008918FA">
      <w:pPr>
        <w:pStyle w:val="BodyText"/>
        <w:numPr>
          <w:ilvl w:val="3"/>
          <w:numId w:val="66"/>
        </w:numPr>
        <w:tabs>
          <w:tab w:val="left" w:pos="2954"/>
        </w:tabs>
        <w:ind w:left="2953" w:right="117"/>
        <w:jc w:val="both"/>
      </w:pPr>
      <w:r>
        <w:t>the</w:t>
      </w:r>
      <w:r>
        <w:rPr>
          <w:spacing w:val="60"/>
        </w:rPr>
        <w:t xml:space="preserve"> </w:t>
      </w:r>
      <w:r>
        <w:rPr>
          <w:spacing w:val="-1"/>
        </w:rPr>
        <w:t>Customer</w:t>
      </w:r>
      <w:r>
        <w:t xml:space="preserve">  </w:t>
      </w:r>
      <w:r>
        <w:rPr>
          <w:spacing w:val="-1"/>
        </w:rPr>
        <w:t>shall</w:t>
      </w:r>
      <w:r>
        <w:rPr>
          <w:spacing w:val="59"/>
        </w:rPr>
        <w:t xml:space="preserve"> </w:t>
      </w:r>
      <w:r>
        <w:rPr>
          <w:spacing w:val="-1"/>
        </w:rPr>
        <w:t>make</w:t>
      </w:r>
      <w:r>
        <w:rPr>
          <w:spacing w:val="58"/>
        </w:rPr>
        <w:t xml:space="preserve"> </w:t>
      </w:r>
      <w:r>
        <w:t>the</w:t>
      </w:r>
      <w:r>
        <w:rPr>
          <w:spacing w:val="60"/>
        </w:rPr>
        <w:t xml:space="preserve"> </w:t>
      </w:r>
      <w:r>
        <w:rPr>
          <w:spacing w:val="-2"/>
        </w:rPr>
        <w:t>relevant</w:t>
      </w:r>
      <w:r>
        <w:rPr>
          <w:spacing w:val="1"/>
        </w:rPr>
        <w:t xml:space="preserve"> </w:t>
      </w:r>
      <w:r>
        <w:rPr>
          <w:spacing w:val="-1"/>
        </w:rPr>
        <w:t>item</w:t>
      </w:r>
      <w:r>
        <w:t xml:space="preserve">  </w:t>
      </w:r>
      <w:r>
        <w:rPr>
          <w:spacing w:val="-2"/>
        </w:rPr>
        <w:t>available</w:t>
      </w:r>
      <w:r>
        <w:rPr>
          <w:spacing w:val="60"/>
        </w:rPr>
        <w:t xml:space="preserve"> </w:t>
      </w:r>
      <w:r>
        <w:t>to</w:t>
      </w:r>
      <w:r>
        <w:rPr>
          <w:spacing w:val="60"/>
        </w:rPr>
        <w:t xml:space="preserve"> </w:t>
      </w:r>
      <w:r>
        <w:rPr>
          <w:spacing w:val="-1"/>
        </w:rPr>
        <w:t>the</w:t>
      </w:r>
      <w:r>
        <w:rPr>
          <w:spacing w:val="46"/>
        </w:rPr>
        <w:t xml:space="preserve"> </w:t>
      </w:r>
      <w:r>
        <w:rPr>
          <w:spacing w:val="-2"/>
        </w:rPr>
        <w:t>Supplier</w:t>
      </w:r>
      <w:r>
        <w:rPr>
          <w:spacing w:val="14"/>
        </w:rPr>
        <w:t xml:space="preserve"> </w:t>
      </w:r>
      <w:r>
        <w:rPr>
          <w:spacing w:val="-2"/>
        </w:rPr>
        <w:t>where</w:t>
      </w:r>
      <w:r>
        <w:rPr>
          <w:spacing w:val="10"/>
        </w:rPr>
        <w:t xml:space="preserve"> </w:t>
      </w:r>
      <w:r>
        <w:rPr>
          <w:spacing w:val="-1"/>
        </w:rPr>
        <w:t>this</w:t>
      </w:r>
      <w:r>
        <w:rPr>
          <w:spacing w:val="10"/>
        </w:rPr>
        <w:t xml:space="preserve"> </w:t>
      </w:r>
      <w:r>
        <w:rPr>
          <w:spacing w:val="-1"/>
        </w:rPr>
        <w:t>is</w:t>
      </w:r>
      <w:r>
        <w:rPr>
          <w:spacing w:val="10"/>
        </w:rPr>
        <w:t xml:space="preserve"> </w:t>
      </w:r>
      <w:r>
        <w:rPr>
          <w:spacing w:val="-1"/>
        </w:rPr>
        <w:t>necessary</w:t>
      </w:r>
      <w:r>
        <w:rPr>
          <w:spacing w:val="5"/>
        </w:rPr>
        <w:t xml:space="preserve"> </w:t>
      </w:r>
      <w:r>
        <w:t>for</w:t>
      </w:r>
      <w:r>
        <w:rPr>
          <w:spacing w:val="11"/>
        </w:rPr>
        <w:t xml:space="preserve"> </w:t>
      </w:r>
      <w:r>
        <w:t>the</w:t>
      </w:r>
      <w:r>
        <w:rPr>
          <w:spacing w:val="10"/>
        </w:rPr>
        <w:t xml:space="preserve"> </w:t>
      </w:r>
      <w:r>
        <w:rPr>
          <w:spacing w:val="-2"/>
        </w:rPr>
        <w:t>Supplier</w:t>
      </w:r>
      <w:r>
        <w:rPr>
          <w:spacing w:val="9"/>
        </w:rPr>
        <w:t xml:space="preserve"> </w:t>
      </w:r>
      <w:r>
        <w:t>to</w:t>
      </w:r>
      <w:r>
        <w:rPr>
          <w:spacing w:val="10"/>
        </w:rPr>
        <w:t xml:space="preserve"> </w:t>
      </w:r>
      <w:r>
        <w:rPr>
          <w:spacing w:val="-2"/>
        </w:rPr>
        <w:t>provide</w:t>
      </w:r>
      <w:r>
        <w:rPr>
          <w:spacing w:val="10"/>
        </w:rPr>
        <w:t xml:space="preserve"> </w:t>
      </w:r>
      <w:r>
        <w:rPr>
          <w:spacing w:val="-1"/>
        </w:rPr>
        <w:t>the</w:t>
      </w:r>
      <w:r>
        <w:rPr>
          <w:spacing w:val="76"/>
        </w:rPr>
        <w:t xml:space="preserve"> </w:t>
      </w:r>
      <w:r>
        <w:rPr>
          <w:spacing w:val="-1"/>
        </w:rPr>
        <w:t>Goods</w:t>
      </w:r>
      <w:r>
        <w:rPr>
          <w:spacing w:val="1"/>
        </w:rPr>
        <w:t xml:space="preserve"> </w:t>
      </w:r>
      <w:r>
        <w:rPr>
          <w:spacing w:val="-1"/>
        </w:rPr>
        <w:t>and/or Services;</w:t>
      </w:r>
      <w:r>
        <w:rPr>
          <w:spacing w:val="-3"/>
        </w:rPr>
        <w:t xml:space="preserve"> </w:t>
      </w:r>
      <w:r>
        <w:rPr>
          <w:spacing w:val="-1"/>
        </w:rPr>
        <w:t>and</w:t>
      </w:r>
    </w:p>
    <w:p w:rsidR="008918FA" w:rsidRDefault="008918FA" w:rsidP="008918FA">
      <w:pPr>
        <w:pStyle w:val="BodyText"/>
        <w:numPr>
          <w:ilvl w:val="3"/>
          <w:numId w:val="66"/>
        </w:numPr>
        <w:tabs>
          <w:tab w:val="left" w:pos="2954"/>
        </w:tabs>
        <w:ind w:left="2953" w:right="114"/>
        <w:jc w:val="both"/>
      </w:pPr>
      <w:r>
        <w:rPr>
          <w:spacing w:val="-1"/>
        </w:rPr>
        <w:t>any</w:t>
      </w:r>
      <w:r>
        <w:rPr>
          <w:spacing w:val="9"/>
        </w:rPr>
        <w:t xml:space="preserve"> </w:t>
      </w:r>
      <w:r>
        <w:rPr>
          <w:spacing w:val="-1"/>
        </w:rPr>
        <w:t>reduction</w:t>
      </w:r>
      <w:r>
        <w:rPr>
          <w:spacing w:val="11"/>
        </w:rPr>
        <w:t xml:space="preserve"> </w:t>
      </w:r>
      <w:r>
        <w:rPr>
          <w:spacing w:val="-1"/>
        </w:rPr>
        <w:t>in</w:t>
      </w:r>
      <w:r>
        <w:rPr>
          <w:spacing w:val="11"/>
        </w:rPr>
        <w:t xml:space="preserve"> </w:t>
      </w:r>
      <w:r>
        <w:t>the</w:t>
      </w:r>
      <w:r>
        <w:rPr>
          <w:spacing w:val="9"/>
        </w:rPr>
        <w:t xml:space="preserve"> </w:t>
      </w:r>
      <w:r>
        <w:rPr>
          <w:spacing w:val="-2"/>
        </w:rPr>
        <w:t>Call</w:t>
      </w:r>
      <w:r>
        <w:rPr>
          <w:spacing w:val="11"/>
        </w:rPr>
        <w:t xml:space="preserve"> </w:t>
      </w:r>
      <w:r>
        <w:rPr>
          <w:spacing w:val="-1"/>
        </w:rPr>
        <w:t>Off</w:t>
      </w:r>
      <w:r>
        <w:rPr>
          <w:spacing w:val="13"/>
        </w:rPr>
        <w:t xml:space="preserve"> </w:t>
      </w:r>
      <w:r>
        <w:rPr>
          <w:spacing w:val="-1"/>
        </w:rPr>
        <w:t>Contract</w:t>
      </w:r>
      <w:r>
        <w:rPr>
          <w:spacing w:val="11"/>
        </w:rPr>
        <w:t xml:space="preserve"> </w:t>
      </w:r>
      <w:r>
        <w:rPr>
          <w:spacing w:val="-2"/>
        </w:rPr>
        <w:t>Charges</w:t>
      </w:r>
      <w:r>
        <w:rPr>
          <w:spacing w:val="12"/>
        </w:rPr>
        <w:t xml:space="preserve"> </w:t>
      </w:r>
      <w:r>
        <w:rPr>
          <w:spacing w:val="-1"/>
        </w:rPr>
        <w:t>taking</w:t>
      </w:r>
      <w:r>
        <w:rPr>
          <w:spacing w:val="14"/>
        </w:rPr>
        <w:t xml:space="preserve"> </w:t>
      </w:r>
      <w:r>
        <w:rPr>
          <w:spacing w:val="-1"/>
        </w:rPr>
        <w:t>into</w:t>
      </w:r>
      <w:r>
        <w:rPr>
          <w:spacing w:val="29"/>
        </w:rPr>
        <w:t xml:space="preserve"> </w:t>
      </w:r>
      <w:r>
        <w:rPr>
          <w:spacing w:val="-1"/>
        </w:rPr>
        <w:t>account</w:t>
      </w:r>
      <w:r>
        <w:rPr>
          <w:spacing w:val="15"/>
        </w:rPr>
        <w:t xml:space="preserve"> </w:t>
      </w:r>
      <w:r>
        <w:rPr>
          <w:spacing w:val="-1"/>
        </w:rPr>
        <w:t>any</w:t>
      </w:r>
      <w:r>
        <w:rPr>
          <w:spacing w:val="12"/>
        </w:rPr>
        <w:t xml:space="preserve"> </w:t>
      </w:r>
      <w:r>
        <w:rPr>
          <w:spacing w:val="-1"/>
        </w:rPr>
        <w:t>unavoidable</w:t>
      </w:r>
      <w:r>
        <w:rPr>
          <w:spacing w:val="14"/>
        </w:rPr>
        <w:t xml:space="preserve"> </w:t>
      </w:r>
      <w:r>
        <w:rPr>
          <w:spacing w:val="-1"/>
        </w:rPr>
        <w:t>costs</w:t>
      </w:r>
      <w:r>
        <w:rPr>
          <w:spacing w:val="14"/>
        </w:rPr>
        <w:t xml:space="preserve"> </w:t>
      </w:r>
      <w:r>
        <w:rPr>
          <w:spacing w:val="-2"/>
        </w:rPr>
        <w:t>payable</w:t>
      </w:r>
      <w:r>
        <w:rPr>
          <w:spacing w:val="16"/>
        </w:rPr>
        <w:t xml:space="preserve"> </w:t>
      </w:r>
      <w:r>
        <w:rPr>
          <w:spacing w:val="1"/>
        </w:rPr>
        <w:t>by</w:t>
      </w:r>
      <w:r>
        <w:rPr>
          <w:spacing w:val="12"/>
        </w:rPr>
        <w:t xml:space="preserve"> </w:t>
      </w:r>
      <w:r>
        <w:t>the</w:t>
      </w:r>
      <w:r>
        <w:rPr>
          <w:spacing w:val="14"/>
        </w:rPr>
        <w:t xml:space="preserve"> </w:t>
      </w:r>
      <w:r>
        <w:rPr>
          <w:spacing w:val="-2"/>
        </w:rPr>
        <w:t>Supplier</w:t>
      </w:r>
      <w:r>
        <w:rPr>
          <w:spacing w:val="17"/>
        </w:rPr>
        <w:t xml:space="preserve"> </w:t>
      </w:r>
      <w:r>
        <w:rPr>
          <w:spacing w:val="-1"/>
        </w:rPr>
        <w:t>in</w:t>
      </w:r>
      <w:r>
        <w:rPr>
          <w:spacing w:val="45"/>
        </w:rPr>
        <w:t xml:space="preserve"> </w:t>
      </w:r>
      <w:r>
        <w:rPr>
          <w:spacing w:val="-1"/>
        </w:rPr>
        <w:t>respect</w:t>
      </w:r>
      <w:r>
        <w:rPr>
          <w:spacing w:val="8"/>
        </w:rPr>
        <w:t xml:space="preserve"> </w:t>
      </w:r>
      <w:r>
        <w:rPr>
          <w:spacing w:val="-2"/>
        </w:rPr>
        <w:t>of</w:t>
      </w:r>
      <w:r>
        <w:rPr>
          <w:spacing w:val="5"/>
        </w:rPr>
        <w:t xml:space="preserve"> </w:t>
      </w:r>
      <w:r>
        <w:t>the</w:t>
      </w:r>
      <w:r>
        <w:rPr>
          <w:spacing w:val="6"/>
        </w:rPr>
        <w:t xml:space="preserve"> </w:t>
      </w:r>
      <w:r>
        <w:rPr>
          <w:spacing w:val="-1"/>
        </w:rPr>
        <w:t>substituted</w:t>
      </w:r>
      <w:r>
        <w:rPr>
          <w:spacing w:val="6"/>
        </w:rPr>
        <w:t xml:space="preserve"> </w:t>
      </w:r>
      <w:r>
        <w:rPr>
          <w:spacing w:val="-1"/>
        </w:rPr>
        <w:t>item,</w:t>
      </w:r>
      <w:r>
        <w:rPr>
          <w:spacing w:val="5"/>
        </w:rPr>
        <w:t xml:space="preserve"> </w:t>
      </w:r>
      <w:r>
        <w:rPr>
          <w:spacing w:val="-2"/>
        </w:rPr>
        <w:t>including</w:t>
      </w:r>
      <w:r>
        <w:rPr>
          <w:spacing w:val="9"/>
        </w:rPr>
        <w:t xml:space="preserve"> </w:t>
      </w:r>
      <w:r>
        <w:rPr>
          <w:spacing w:val="-1"/>
        </w:rPr>
        <w:t>in</w:t>
      </w:r>
      <w:r>
        <w:rPr>
          <w:spacing w:val="6"/>
        </w:rPr>
        <w:t xml:space="preserve"> </w:t>
      </w:r>
      <w:r>
        <w:rPr>
          <w:spacing w:val="-1"/>
        </w:rPr>
        <w:t>respect</w:t>
      </w:r>
      <w:r>
        <w:rPr>
          <w:spacing w:val="8"/>
        </w:rPr>
        <w:t xml:space="preserve"> </w:t>
      </w:r>
      <w:r>
        <w:rPr>
          <w:spacing w:val="-2"/>
        </w:rPr>
        <w:t>of</w:t>
      </w:r>
      <w:r>
        <w:rPr>
          <w:spacing w:val="8"/>
        </w:rPr>
        <w:t xml:space="preserve"> </w:t>
      </w:r>
      <w:r>
        <w:rPr>
          <w:spacing w:val="-1"/>
        </w:rPr>
        <w:t>any</w:t>
      </w:r>
      <w:r>
        <w:rPr>
          <w:spacing w:val="38"/>
        </w:rPr>
        <w:t xml:space="preserve"> </w:t>
      </w:r>
      <w:r>
        <w:rPr>
          <w:spacing w:val="-2"/>
        </w:rPr>
        <w:t xml:space="preserve">licence </w:t>
      </w:r>
      <w:r>
        <w:t>fees</w:t>
      </w:r>
      <w:r>
        <w:rPr>
          <w:spacing w:val="1"/>
        </w:rPr>
        <w:t xml:space="preserve"> </w:t>
      </w:r>
      <w:r>
        <w:rPr>
          <w:spacing w:val="-2"/>
        </w:rPr>
        <w:t>or</w:t>
      </w:r>
      <w:r>
        <w:rPr>
          <w:spacing w:val="2"/>
        </w:rPr>
        <w:t xml:space="preserve"> </w:t>
      </w:r>
      <w:r>
        <w:rPr>
          <w:spacing w:val="-2"/>
        </w:rPr>
        <w:t xml:space="preserve">early </w:t>
      </w:r>
      <w:r>
        <w:rPr>
          <w:spacing w:val="-1"/>
        </w:rPr>
        <w:t>termination</w:t>
      </w:r>
      <w:r>
        <w:t xml:space="preserve"> </w:t>
      </w:r>
      <w:r>
        <w:rPr>
          <w:spacing w:val="-1"/>
        </w:rPr>
        <w:t>charges.</w:t>
      </w:r>
    </w:p>
    <w:p w:rsidR="008918FA" w:rsidRDefault="008918FA" w:rsidP="008918FA">
      <w:pPr>
        <w:pStyle w:val="Heading1"/>
        <w:numPr>
          <w:ilvl w:val="1"/>
          <w:numId w:val="66"/>
        </w:numPr>
        <w:tabs>
          <w:tab w:val="left" w:pos="1252"/>
        </w:tabs>
        <w:spacing w:before="119"/>
        <w:ind w:left="1251" w:hanging="564"/>
        <w:rPr>
          <w:b w:val="0"/>
          <w:bCs w:val="0"/>
        </w:rPr>
      </w:pPr>
      <w:r>
        <w:rPr>
          <w:spacing w:val="-1"/>
        </w:rPr>
        <w:t>Retention</w:t>
      </w:r>
      <w:r>
        <w:rPr>
          <w:spacing w:val="-2"/>
        </w:rPr>
        <w:t xml:space="preserve"> </w:t>
      </w:r>
      <w:r>
        <w:rPr>
          <w:spacing w:val="-1"/>
        </w:rPr>
        <w:t>of Legal</w:t>
      </w:r>
      <w:r>
        <w:rPr>
          <w:spacing w:val="-3"/>
        </w:rPr>
        <w:t xml:space="preserve"> </w:t>
      </w:r>
      <w:r>
        <w:rPr>
          <w:spacing w:val="-1"/>
        </w:rPr>
        <w:t>Obligations</w:t>
      </w:r>
    </w:p>
    <w:p w:rsidR="008918FA" w:rsidRDefault="008918FA" w:rsidP="008918FA">
      <w:pPr>
        <w:pStyle w:val="BodyText"/>
        <w:numPr>
          <w:ilvl w:val="2"/>
          <w:numId w:val="66"/>
        </w:numPr>
        <w:tabs>
          <w:tab w:val="left" w:pos="2246"/>
        </w:tabs>
        <w:spacing w:before="121"/>
        <w:ind w:left="2245" w:right="114"/>
        <w:jc w:val="both"/>
      </w:pPr>
      <w:r>
        <w:rPr>
          <w:spacing w:val="-1"/>
        </w:rPr>
        <w:t>Notwithstanding</w:t>
      </w:r>
      <w:r>
        <w:rPr>
          <w:spacing w:val="51"/>
        </w:rPr>
        <w:t xml:space="preserve"> </w:t>
      </w:r>
      <w:r>
        <w:t>the</w:t>
      </w:r>
      <w:r>
        <w:rPr>
          <w:spacing w:val="48"/>
        </w:rPr>
        <w:t xml:space="preserve"> </w:t>
      </w:r>
      <w:r>
        <w:rPr>
          <w:spacing w:val="-1"/>
        </w:rPr>
        <w:t>Supplier's</w:t>
      </w:r>
      <w:r>
        <w:rPr>
          <w:spacing w:val="49"/>
        </w:rPr>
        <w:t xml:space="preserve"> </w:t>
      </w:r>
      <w:r>
        <w:rPr>
          <w:spacing w:val="-1"/>
        </w:rPr>
        <w:t>right</w:t>
      </w:r>
      <w:r>
        <w:rPr>
          <w:spacing w:val="50"/>
        </w:rPr>
        <w:t xml:space="preserve"> </w:t>
      </w:r>
      <w:r>
        <w:t>to</w:t>
      </w:r>
      <w:r>
        <w:rPr>
          <w:spacing w:val="48"/>
        </w:rPr>
        <w:t xml:space="preserve"> </w:t>
      </w:r>
      <w:r>
        <w:rPr>
          <w:spacing w:val="-1"/>
        </w:rPr>
        <w:t>sub-contract</w:t>
      </w:r>
      <w:r>
        <w:rPr>
          <w:spacing w:val="50"/>
        </w:rPr>
        <w:t xml:space="preserve"> </w:t>
      </w:r>
      <w:r>
        <w:rPr>
          <w:spacing w:val="-1"/>
        </w:rPr>
        <w:t>pursuant</w:t>
      </w:r>
      <w:r>
        <w:rPr>
          <w:spacing w:val="51"/>
        </w:rPr>
        <w:t xml:space="preserve"> </w:t>
      </w:r>
      <w:r>
        <w:t>to</w:t>
      </w:r>
      <w:r>
        <w:rPr>
          <w:spacing w:val="48"/>
        </w:rPr>
        <w:t xml:space="preserve"> </w:t>
      </w:r>
      <w:r>
        <w:rPr>
          <w:spacing w:val="-1"/>
        </w:rPr>
        <w:t>this</w:t>
      </w:r>
      <w:r>
        <w:rPr>
          <w:spacing w:val="21"/>
        </w:rPr>
        <w:t xml:space="preserve"> </w:t>
      </w:r>
      <w:r>
        <w:rPr>
          <w:spacing w:val="-2"/>
        </w:rPr>
        <w:t>Clause</w:t>
      </w:r>
      <w:r>
        <w:rPr>
          <w:spacing w:val="50"/>
        </w:rPr>
        <w:t xml:space="preserve"> </w:t>
      </w:r>
      <w:hyperlink w:anchor="_bookmark145" w:history="1">
        <w:r>
          <w:rPr>
            <w:spacing w:val="-1"/>
          </w:rPr>
          <w:t>29</w:t>
        </w:r>
      </w:hyperlink>
      <w:r>
        <w:rPr>
          <w:spacing w:val="48"/>
        </w:rPr>
        <w:t xml:space="preserve"> </w:t>
      </w:r>
      <w:r>
        <w:rPr>
          <w:spacing w:val="-1"/>
        </w:rPr>
        <w:t>(Supply</w:t>
      </w:r>
      <w:r>
        <w:rPr>
          <w:spacing w:val="46"/>
        </w:rPr>
        <w:t xml:space="preserve"> </w:t>
      </w:r>
      <w:r>
        <w:rPr>
          <w:spacing w:val="-1"/>
        </w:rPr>
        <w:t>Chain</w:t>
      </w:r>
      <w:r>
        <w:rPr>
          <w:spacing w:val="49"/>
        </w:rPr>
        <w:t xml:space="preserve"> </w:t>
      </w:r>
      <w:r>
        <w:rPr>
          <w:spacing w:val="-1"/>
        </w:rPr>
        <w:t>Rights</w:t>
      </w:r>
      <w:r>
        <w:rPr>
          <w:spacing w:val="49"/>
        </w:rPr>
        <w:t xml:space="preserve"> </w:t>
      </w:r>
      <w:r>
        <w:rPr>
          <w:spacing w:val="-1"/>
        </w:rPr>
        <w:t>and</w:t>
      </w:r>
      <w:r>
        <w:rPr>
          <w:spacing w:val="48"/>
        </w:rPr>
        <w:t xml:space="preserve"> </w:t>
      </w:r>
      <w:r>
        <w:rPr>
          <w:spacing w:val="-1"/>
        </w:rPr>
        <w:t>Protection),</w:t>
      </w:r>
      <w:r>
        <w:rPr>
          <w:spacing w:val="48"/>
        </w:rPr>
        <w:t xml:space="preserve"> </w:t>
      </w:r>
      <w:r>
        <w:t>the</w:t>
      </w:r>
      <w:r>
        <w:rPr>
          <w:spacing w:val="48"/>
        </w:rPr>
        <w:t xml:space="preserve"> </w:t>
      </w:r>
      <w:r>
        <w:rPr>
          <w:spacing w:val="-2"/>
        </w:rPr>
        <w:t>Supplier</w:t>
      </w:r>
      <w:r>
        <w:rPr>
          <w:spacing w:val="49"/>
        </w:rPr>
        <w:t xml:space="preserve"> </w:t>
      </w:r>
      <w:r>
        <w:rPr>
          <w:spacing w:val="-1"/>
        </w:rPr>
        <w:t>shall</w:t>
      </w:r>
      <w:r>
        <w:rPr>
          <w:spacing w:val="47"/>
        </w:rPr>
        <w:t xml:space="preserve"> </w:t>
      </w:r>
      <w:r>
        <w:rPr>
          <w:spacing w:val="-1"/>
        </w:rPr>
        <w:t>remain</w:t>
      </w:r>
      <w:r>
        <w:rPr>
          <w:spacing w:val="36"/>
        </w:rPr>
        <w:t xml:space="preserve"> </w:t>
      </w:r>
      <w:r>
        <w:rPr>
          <w:spacing w:val="-1"/>
        </w:rPr>
        <w:t>responsible</w:t>
      </w:r>
      <w:r>
        <w:rPr>
          <w:spacing w:val="34"/>
        </w:rPr>
        <w:t xml:space="preserve"> </w:t>
      </w:r>
      <w:r>
        <w:t>for</w:t>
      </w:r>
      <w:r>
        <w:rPr>
          <w:spacing w:val="35"/>
        </w:rPr>
        <w:t xml:space="preserve"> </w:t>
      </w:r>
      <w:r>
        <w:rPr>
          <w:spacing w:val="-1"/>
        </w:rPr>
        <w:t>all</w:t>
      </w:r>
      <w:r>
        <w:rPr>
          <w:spacing w:val="36"/>
        </w:rPr>
        <w:t xml:space="preserve"> </w:t>
      </w:r>
      <w:r>
        <w:rPr>
          <w:spacing w:val="-1"/>
        </w:rPr>
        <w:t>acts</w:t>
      </w:r>
      <w:r>
        <w:rPr>
          <w:spacing w:val="37"/>
        </w:rPr>
        <w:t xml:space="preserve"> </w:t>
      </w:r>
      <w:r>
        <w:rPr>
          <w:spacing w:val="-1"/>
        </w:rPr>
        <w:t>and</w:t>
      </w:r>
      <w:r>
        <w:rPr>
          <w:spacing w:val="36"/>
        </w:rPr>
        <w:t xml:space="preserve"> </w:t>
      </w:r>
      <w:r>
        <w:rPr>
          <w:spacing w:val="-1"/>
        </w:rPr>
        <w:t>omissions</w:t>
      </w:r>
      <w:r>
        <w:rPr>
          <w:spacing w:val="40"/>
        </w:rPr>
        <w:t xml:space="preserve"> </w:t>
      </w:r>
      <w:r>
        <w:rPr>
          <w:spacing w:val="-2"/>
        </w:rPr>
        <w:t>of</w:t>
      </w:r>
      <w:r>
        <w:rPr>
          <w:spacing w:val="40"/>
        </w:rPr>
        <w:t xml:space="preserve"> </w:t>
      </w:r>
      <w:r>
        <w:rPr>
          <w:spacing w:val="-1"/>
        </w:rPr>
        <w:t>its</w:t>
      </w:r>
      <w:r>
        <w:rPr>
          <w:spacing w:val="38"/>
        </w:rPr>
        <w:t xml:space="preserve"> </w:t>
      </w:r>
      <w:r>
        <w:rPr>
          <w:spacing w:val="-1"/>
        </w:rPr>
        <w:t>Sub-Contractors</w:t>
      </w:r>
      <w:r>
        <w:rPr>
          <w:spacing w:val="35"/>
        </w:rPr>
        <w:t xml:space="preserve"> </w:t>
      </w:r>
      <w:r>
        <w:rPr>
          <w:spacing w:val="-1"/>
        </w:rPr>
        <w:t>and</w:t>
      </w:r>
      <w:r>
        <w:rPr>
          <w:spacing w:val="3"/>
        </w:rPr>
        <w:t xml:space="preserve"> </w:t>
      </w:r>
      <w:r>
        <w:t>the</w:t>
      </w:r>
      <w:r>
        <w:rPr>
          <w:spacing w:val="3"/>
        </w:rPr>
        <w:t xml:space="preserve"> </w:t>
      </w:r>
      <w:r>
        <w:rPr>
          <w:spacing w:val="-1"/>
        </w:rPr>
        <w:t>acts</w:t>
      </w:r>
      <w:r>
        <w:rPr>
          <w:spacing w:val="3"/>
        </w:rPr>
        <w:t xml:space="preserve"> </w:t>
      </w:r>
      <w:r>
        <w:rPr>
          <w:spacing w:val="-1"/>
        </w:rPr>
        <w:t>and</w:t>
      </w:r>
      <w:r>
        <w:rPr>
          <w:spacing w:val="3"/>
        </w:rPr>
        <w:t xml:space="preserve"> </w:t>
      </w:r>
      <w:r>
        <w:rPr>
          <w:spacing w:val="-2"/>
        </w:rPr>
        <w:t>omissions</w:t>
      </w:r>
      <w:r>
        <w:rPr>
          <w:spacing w:val="3"/>
        </w:rPr>
        <w:t xml:space="preserve"> </w:t>
      </w:r>
      <w:r>
        <w:rPr>
          <w:spacing w:val="-2"/>
        </w:rPr>
        <w:t>of</w:t>
      </w:r>
      <w:r>
        <w:rPr>
          <w:spacing w:val="4"/>
        </w:rPr>
        <w:t xml:space="preserve"> </w:t>
      </w:r>
      <w:r>
        <w:rPr>
          <w:spacing w:val="-1"/>
        </w:rPr>
        <w:t>those</w:t>
      </w:r>
      <w:r>
        <w:rPr>
          <w:spacing w:val="3"/>
        </w:rPr>
        <w:t xml:space="preserve"> </w:t>
      </w:r>
      <w:r>
        <w:rPr>
          <w:spacing w:val="-2"/>
        </w:rPr>
        <w:t>employed</w:t>
      </w:r>
      <w:r>
        <w:rPr>
          <w:spacing w:val="3"/>
        </w:rPr>
        <w:t xml:space="preserve"> </w:t>
      </w:r>
      <w:r>
        <w:rPr>
          <w:spacing w:val="-1"/>
        </w:rPr>
        <w:t>or</w:t>
      </w:r>
      <w:r>
        <w:rPr>
          <w:spacing w:val="2"/>
        </w:rPr>
        <w:t xml:space="preserve"> </w:t>
      </w:r>
      <w:r>
        <w:rPr>
          <w:spacing w:val="-1"/>
        </w:rPr>
        <w:t>engaged</w:t>
      </w:r>
      <w:r>
        <w:rPr>
          <w:spacing w:val="3"/>
        </w:rPr>
        <w:t xml:space="preserve"> </w:t>
      </w:r>
      <w:r>
        <w:rPr>
          <w:spacing w:val="-1"/>
        </w:rPr>
        <w:t>by</w:t>
      </w:r>
      <w:r>
        <w:rPr>
          <w:spacing w:val="1"/>
        </w:rPr>
        <w:t xml:space="preserve"> </w:t>
      </w:r>
      <w:r>
        <w:t>the</w:t>
      </w:r>
      <w:r>
        <w:rPr>
          <w:spacing w:val="4"/>
        </w:rPr>
        <w:t xml:space="preserve"> </w:t>
      </w:r>
      <w:r>
        <w:rPr>
          <w:spacing w:val="-1"/>
        </w:rPr>
        <w:t>Sub-</w:t>
      </w:r>
      <w:r>
        <w:rPr>
          <w:spacing w:val="53"/>
        </w:rPr>
        <w:t xml:space="preserve"> </w:t>
      </w:r>
      <w:r>
        <w:rPr>
          <w:spacing w:val="-1"/>
        </w:rPr>
        <w:t>Contractors</w:t>
      </w:r>
      <w:r>
        <w:rPr>
          <w:spacing w:val="-2"/>
        </w:rPr>
        <w:t xml:space="preserve"> </w:t>
      </w:r>
      <w:r>
        <w:rPr>
          <w:spacing w:val="-1"/>
        </w:rPr>
        <w:t>as</w:t>
      </w:r>
      <w:r>
        <w:rPr>
          <w:spacing w:val="1"/>
        </w:rPr>
        <w:t xml:space="preserve"> </w:t>
      </w:r>
      <w:r>
        <w:rPr>
          <w:spacing w:val="-2"/>
        </w:rPr>
        <w:t>if</w:t>
      </w:r>
      <w:r>
        <w:t xml:space="preserve"> </w:t>
      </w:r>
      <w:r>
        <w:rPr>
          <w:spacing w:val="-1"/>
        </w:rPr>
        <w:t>they</w:t>
      </w:r>
      <w:r>
        <w:rPr>
          <w:spacing w:val="-2"/>
        </w:rPr>
        <w:t xml:space="preserve"> </w:t>
      </w:r>
      <w:r>
        <w:rPr>
          <w:spacing w:val="-1"/>
        </w:rPr>
        <w:t>were</w:t>
      </w:r>
      <w:r>
        <w:t xml:space="preserve"> </w:t>
      </w:r>
      <w:r>
        <w:rPr>
          <w:spacing w:val="-1"/>
        </w:rPr>
        <w:t>its</w:t>
      </w:r>
      <w:r>
        <w:rPr>
          <w:spacing w:val="-2"/>
        </w:rPr>
        <w:t xml:space="preserve"> own.</w:t>
      </w:r>
    </w:p>
    <w:p w:rsidR="008918FA" w:rsidRDefault="008918FA" w:rsidP="008918FA">
      <w:pPr>
        <w:spacing w:before="8"/>
        <w:rPr>
          <w:rFonts w:ascii="Arial" w:eastAsia="Arial" w:hAnsi="Arial" w:cs="Arial"/>
          <w:sz w:val="20"/>
          <w:szCs w:val="20"/>
        </w:rPr>
      </w:pPr>
    </w:p>
    <w:p w:rsidR="008918FA" w:rsidRPr="001C1527" w:rsidRDefault="008918FA" w:rsidP="008918FA">
      <w:pPr>
        <w:pStyle w:val="Heading1"/>
        <w:tabs>
          <w:tab w:val="left" w:pos="686"/>
        </w:tabs>
        <w:spacing w:before="0"/>
        <w:ind w:left="118" w:firstLine="0"/>
        <w:rPr>
          <w:b w:val="0"/>
          <w:bCs w:val="0"/>
          <w:u w:val="single"/>
        </w:rPr>
      </w:pPr>
      <w:bookmarkStart w:id="181" w:name="_bookmark153"/>
      <w:bookmarkEnd w:id="181"/>
      <w:r>
        <w:rPr>
          <w:color w:val="C00000"/>
        </w:rPr>
        <w:t>G.</w:t>
      </w:r>
      <w:r>
        <w:rPr>
          <w:color w:val="C00000"/>
        </w:rPr>
        <w:tab/>
      </w:r>
      <w:r w:rsidRPr="001C1527">
        <w:rPr>
          <w:color w:val="C00000"/>
          <w:spacing w:val="-2"/>
          <w:u w:val="single" w:color="C00000"/>
        </w:rPr>
        <w:t>PROPERTY</w:t>
      </w:r>
      <w:r w:rsidRPr="001C1527">
        <w:rPr>
          <w:color w:val="C00000"/>
          <w:u w:val="single" w:color="C00000"/>
        </w:rPr>
        <w:t xml:space="preserve"> </w:t>
      </w:r>
      <w:r w:rsidRPr="001C1527">
        <w:rPr>
          <w:color w:val="C00000"/>
          <w:spacing w:val="-1"/>
          <w:u w:val="single" w:color="C00000"/>
        </w:rPr>
        <w:t>MATTERS</w:t>
      </w:r>
    </w:p>
    <w:p w:rsidR="008918FA" w:rsidRDefault="008918FA" w:rsidP="008918FA">
      <w:pPr>
        <w:sectPr w:rsidR="008918FA">
          <w:pgSz w:w="11910" w:h="16840"/>
          <w:pgMar w:top="1480" w:right="1300" w:bottom="1180" w:left="1320" w:header="0" w:footer="967" w:gutter="0"/>
          <w:cols w:space="720"/>
        </w:sectPr>
      </w:pPr>
    </w:p>
    <w:p w:rsidR="008918FA" w:rsidRDefault="008918FA" w:rsidP="008918FA">
      <w:pPr>
        <w:pStyle w:val="BodyText"/>
        <w:numPr>
          <w:ilvl w:val="0"/>
          <w:numId w:val="66"/>
        </w:numPr>
        <w:tabs>
          <w:tab w:val="left" w:pos="667"/>
        </w:tabs>
        <w:spacing w:before="58"/>
        <w:ind w:left="666" w:hanging="566"/>
        <w:rPr>
          <w:rFonts w:ascii="Times New Roman" w:eastAsia="Times New Roman" w:hAnsi="Times New Roman" w:cs="Times New Roman"/>
        </w:rPr>
      </w:pPr>
      <w:bookmarkStart w:id="182" w:name="31._CUSTOMER_PROPERTY"/>
      <w:bookmarkStart w:id="183" w:name="30._CUSTOMER_PREMISES"/>
      <w:bookmarkStart w:id="184" w:name="_bookmark154"/>
      <w:bookmarkEnd w:id="182"/>
      <w:bookmarkEnd w:id="183"/>
      <w:bookmarkEnd w:id="184"/>
      <w:r>
        <w:rPr>
          <w:rFonts w:ascii="Times New Roman"/>
          <w:spacing w:val="11"/>
        </w:rPr>
        <w:t>C</w:t>
      </w:r>
      <w:r>
        <w:rPr>
          <w:rFonts w:ascii="Times New Roman"/>
          <w:spacing w:val="-2"/>
        </w:rPr>
        <w:t>U</w:t>
      </w:r>
      <w:r>
        <w:rPr>
          <w:rFonts w:ascii="Times New Roman"/>
          <w:spacing w:val="26"/>
        </w:rPr>
        <w:t>S</w:t>
      </w:r>
      <w:r>
        <w:rPr>
          <w:rFonts w:ascii="Times New Roman"/>
          <w:spacing w:val="-3"/>
        </w:rPr>
        <w:t>T</w:t>
      </w:r>
      <w:r>
        <w:rPr>
          <w:rFonts w:ascii="Times New Roman"/>
          <w:spacing w:val="13"/>
        </w:rPr>
        <w:t>O</w:t>
      </w:r>
      <w:r>
        <w:rPr>
          <w:rFonts w:ascii="Times New Roman"/>
          <w:spacing w:val="-12"/>
        </w:rPr>
        <w:t>M</w:t>
      </w:r>
      <w:r>
        <w:rPr>
          <w:rFonts w:ascii="Times New Roman"/>
          <w:spacing w:val="11"/>
        </w:rPr>
        <w:t>E</w:t>
      </w:r>
      <w:r>
        <w:rPr>
          <w:rFonts w:ascii="Times New Roman"/>
        </w:rPr>
        <w:t>R</w:t>
      </w:r>
      <w:r>
        <w:rPr>
          <w:rFonts w:ascii="Times New Roman"/>
          <w:spacing w:val="18"/>
        </w:rPr>
        <w:t xml:space="preserve"> </w:t>
      </w:r>
      <w:r>
        <w:rPr>
          <w:rFonts w:ascii="Times New Roman"/>
          <w:spacing w:val="3"/>
        </w:rPr>
        <w:t>PREMIS</w:t>
      </w:r>
      <w:r>
        <w:rPr>
          <w:rFonts w:ascii="Times New Roman"/>
          <w:spacing w:val="-32"/>
        </w:rPr>
        <w:t xml:space="preserve"> </w:t>
      </w:r>
      <w:r>
        <w:rPr>
          <w:rFonts w:ascii="Times New Roman"/>
          <w:spacing w:val="11"/>
        </w:rPr>
        <w:t>ES</w:t>
      </w:r>
    </w:p>
    <w:p w:rsidR="008918FA" w:rsidRDefault="008918FA" w:rsidP="008918FA">
      <w:pPr>
        <w:spacing w:before="8"/>
        <w:rPr>
          <w:rFonts w:ascii="Times New Roman" w:eastAsia="Times New Roman" w:hAnsi="Times New Roman" w:cs="Times New Roman"/>
          <w:sz w:val="20"/>
          <w:szCs w:val="20"/>
        </w:rPr>
      </w:pPr>
    </w:p>
    <w:p w:rsidR="008918FA" w:rsidRDefault="008918FA" w:rsidP="008918FA">
      <w:pPr>
        <w:pStyle w:val="Heading1"/>
        <w:numPr>
          <w:ilvl w:val="1"/>
          <w:numId w:val="66"/>
        </w:numPr>
        <w:tabs>
          <w:tab w:val="left" w:pos="1233"/>
        </w:tabs>
        <w:spacing w:before="0"/>
        <w:ind w:hanging="564"/>
        <w:rPr>
          <w:b w:val="0"/>
          <w:bCs w:val="0"/>
        </w:rPr>
      </w:pPr>
      <w:r>
        <w:rPr>
          <w:spacing w:val="-1"/>
        </w:rPr>
        <w:t>Licence</w:t>
      </w:r>
      <w:r>
        <w:rPr>
          <w:spacing w:val="-2"/>
        </w:rPr>
        <w:t xml:space="preserve"> </w:t>
      </w:r>
      <w:r>
        <w:t xml:space="preserve">to </w:t>
      </w:r>
      <w:r>
        <w:rPr>
          <w:spacing w:val="-1"/>
        </w:rPr>
        <w:t>occupy</w:t>
      </w:r>
      <w:r>
        <w:rPr>
          <w:spacing w:val="-5"/>
        </w:rPr>
        <w:t xml:space="preserve"> </w:t>
      </w:r>
      <w:r>
        <w:rPr>
          <w:spacing w:val="-1"/>
        </w:rPr>
        <w:t>Customer Premises</w:t>
      </w:r>
    </w:p>
    <w:p w:rsidR="008918FA" w:rsidRDefault="008918FA" w:rsidP="008918FA">
      <w:pPr>
        <w:pStyle w:val="BodyText"/>
        <w:numPr>
          <w:ilvl w:val="2"/>
          <w:numId w:val="66"/>
        </w:numPr>
        <w:tabs>
          <w:tab w:val="left" w:pos="2227"/>
        </w:tabs>
        <w:spacing w:before="124"/>
        <w:ind w:right="113"/>
        <w:jc w:val="both"/>
      </w:pPr>
      <w:r>
        <w:rPr>
          <w:spacing w:val="-1"/>
        </w:rPr>
        <w:t>Any</w:t>
      </w:r>
      <w:r>
        <w:rPr>
          <w:spacing w:val="18"/>
        </w:rPr>
        <w:t xml:space="preserve"> </w:t>
      </w:r>
      <w:r>
        <w:rPr>
          <w:spacing w:val="-1"/>
        </w:rPr>
        <w:t>Customer</w:t>
      </w:r>
      <w:r>
        <w:rPr>
          <w:spacing w:val="21"/>
        </w:rPr>
        <w:t xml:space="preserve"> </w:t>
      </w:r>
      <w:r>
        <w:rPr>
          <w:spacing w:val="-1"/>
        </w:rPr>
        <w:t>Premises</w:t>
      </w:r>
      <w:r>
        <w:rPr>
          <w:spacing w:val="18"/>
        </w:rPr>
        <w:t xml:space="preserve"> </w:t>
      </w:r>
      <w:r>
        <w:rPr>
          <w:spacing w:val="-1"/>
        </w:rPr>
        <w:t>shall</w:t>
      </w:r>
      <w:r>
        <w:rPr>
          <w:spacing w:val="19"/>
        </w:rPr>
        <w:t xml:space="preserve"> </w:t>
      </w:r>
      <w:r>
        <w:rPr>
          <w:spacing w:val="-1"/>
        </w:rPr>
        <w:t>be</w:t>
      </w:r>
      <w:r>
        <w:rPr>
          <w:spacing w:val="20"/>
        </w:rPr>
        <w:t xml:space="preserve"> </w:t>
      </w:r>
      <w:r>
        <w:rPr>
          <w:spacing w:val="-1"/>
        </w:rPr>
        <w:t>made</w:t>
      </w:r>
      <w:r>
        <w:rPr>
          <w:spacing w:val="20"/>
        </w:rPr>
        <w:t xml:space="preserve"> </w:t>
      </w:r>
      <w:r>
        <w:rPr>
          <w:spacing w:val="-2"/>
        </w:rPr>
        <w:t>available</w:t>
      </w:r>
      <w:r>
        <w:rPr>
          <w:spacing w:val="22"/>
        </w:rPr>
        <w:t xml:space="preserve"> </w:t>
      </w:r>
      <w:r>
        <w:t>to</w:t>
      </w:r>
      <w:r>
        <w:rPr>
          <w:spacing w:val="20"/>
        </w:rPr>
        <w:t xml:space="preserve"> </w:t>
      </w:r>
      <w:r>
        <w:t>the</w:t>
      </w:r>
      <w:r>
        <w:rPr>
          <w:spacing w:val="17"/>
        </w:rPr>
        <w:t xml:space="preserve"> </w:t>
      </w:r>
      <w:r>
        <w:rPr>
          <w:spacing w:val="-2"/>
        </w:rPr>
        <w:t>Supplier</w:t>
      </w:r>
      <w:r>
        <w:rPr>
          <w:spacing w:val="21"/>
        </w:rPr>
        <w:t xml:space="preserve"> </w:t>
      </w:r>
      <w:r>
        <w:rPr>
          <w:spacing w:val="-1"/>
        </w:rPr>
        <w:t>on</w:t>
      </w:r>
      <w:r>
        <w:rPr>
          <w:spacing w:val="20"/>
        </w:rPr>
        <w:t xml:space="preserve"> </w:t>
      </w:r>
      <w:r>
        <w:t>a</w:t>
      </w:r>
      <w:r>
        <w:rPr>
          <w:spacing w:val="47"/>
        </w:rPr>
        <w:t xml:space="preserve"> </w:t>
      </w:r>
      <w:r>
        <w:rPr>
          <w:spacing w:val="-1"/>
        </w:rPr>
        <w:t>non-exclusive</w:t>
      </w:r>
      <w:r>
        <w:rPr>
          <w:spacing w:val="34"/>
        </w:rPr>
        <w:t xml:space="preserve"> </w:t>
      </w:r>
      <w:r>
        <w:rPr>
          <w:spacing w:val="-1"/>
        </w:rPr>
        <w:t>licence</w:t>
      </w:r>
      <w:r>
        <w:rPr>
          <w:spacing w:val="34"/>
        </w:rPr>
        <w:t xml:space="preserve"> </w:t>
      </w:r>
      <w:r>
        <w:rPr>
          <w:spacing w:val="-1"/>
        </w:rPr>
        <w:t>basis</w:t>
      </w:r>
      <w:r>
        <w:rPr>
          <w:spacing w:val="34"/>
        </w:rPr>
        <w:t xml:space="preserve"> </w:t>
      </w:r>
      <w:r>
        <w:t>free</w:t>
      </w:r>
      <w:r>
        <w:rPr>
          <w:spacing w:val="34"/>
        </w:rPr>
        <w:t xml:space="preserve"> </w:t>
      </w:r>
      <w:r>
        <w:rPr>
          <w:spacing w:val="-2"/>
        </w:rPr>
        <w:t>of</w:t>
      </w:r>
      <w:r>
        <w:rPr>
          <w:spacing w:val="38"/>
        </w:rPr>
        <w:t xml:space="preserve"> </w:t>
      </w:r>
      <w:r>
        <w:rPr>
          <w:spacing w:val="-1"/>
        </w:rPr>
        <w:t>charge</w:t>
      </w:r>
      <w:r>
        <w:rPr>
          <w:spacing w:val="34"/>
        </w:rPr>
        <w:t xml:space="preserve"> </w:t>
      </w:r>
      <w:r>
        <w:rPr>
          <w:spacing w:val="-1"/>
        </w:rPr>
        <w:t>and</w:t>
      </w:r>
      <w:r>
        <w:rPr>
          <w:spacing w:val="32"/>
        </w:rPr>
        <w:t xml:space="preserve"> </w:t>
      </w:r>
      <w:r>
        <w:rPr>
          <w:spacing w:val="-1"/>
        </w:rPr>
        <w:t>shall</w:t>
      </w:r>
      <w:r>
        <w:rPr>
          <w:spacing w:val="33"/>
        </w:rPr>
        <w:t xml:space="preserve"> </w:t>
      </w:r>
      <w:r>
        <w:rPr>
          <w:spacing w:val="-1"/>
        </w:rPr>
        <w:t>be</w:t>
      </w:r>
      <w:r>
        <w:rPr>
          <w:spacing w:val="36"/>
        </w:rPr>
        <w:t xml:space="preserve"> </w:t>
      </w:r>
      <w:r>
        <w:rPr>
          <w:spacing w:val="-1"/>
        </w:rPr>
        <w:t>used</w:t>
      </w:r>
      <w:r>
        <w:rPr>
          <w:spacing w:val="34"/>
        </w:rPr>
        <w:t xml:space="preserve"> </w:t>
      </w:r>
      <w:r>
        <w:rPr>
          <w:spacing w:val="-1"/>
        </w:rPr>
        <w:t>by</w:t>
      </w:r>
      <w:r>
        <w:rPr>
          <w:spacing w:val="34"/>
        </w:rPr>
        <w:t xml:space="preserve"> </w:t>
      </w:r>
      <w:r>
        <w:rPr>
          <w:spacing w:val="-1"/>
        </w:rPr>
        <w:t>the</w:t>
      </w:r>
      <w:r>
        <w:rPr>
          <w:spacing w:val="42"/>
        </w:rPr>
        <w:t xml:space="preserve"> </w:t>
      </w:r>
      <w:r>
        <w:rPr>
          <w:spacing w:val="-2"/>
        </w:rPr>
        <w:t>Supplier</w:t>
      </w:r>
      <w:r>
        <w:rPr>
          <w:spacing w:val="19"/>
        </w:rPr>
        <w:t xml:space="preserve"> </w:t>
      </w:r>
      <w:r>
        <w:rPr>
          <w:spacing w:val="-1"/>
        </w:rPr>
        <w:t>solely</w:t>
      </w:r>
      <w:r>
        <w:rPr>
          <w:spacing w:val="15"/>
        </w:rPr>
        <w:t xml:space="preserve"> </w:t>
      </w:r>
      <w:r>
        <w:t>for</w:t>
      </w:r>
      <w:r>
        <w:rPr>
          <w:spacing w:val="16"/>
        </w:rPr>
        <w:t xml:space="preserve"> </w:t>
      </w:r>
      <w:r>
        <w:t>the</w:t>
      </w:r>
      <w:r>
        <w:rPr>
          <w:spacing w:val="17"/>
        </w:rPr>
        <w:t xml:space="preserve"> </w:t>
      </w:r>
      <w:r>
        <w:rPr>
          <w:spacing w:val="-1"/>
        </w:rPr>
        <w:t>purpose</w:t>
      </w:r>
      <w:r>
        <w:rPr>
          <w:spacing w:val="18"/>
        </w:rPr>
        <w:t xml:space="preserve"> </w:t>
      </w:r>
      <w:r>
        <w:rPr>
          <w:spacing w:val="-2"/>
        </w:rPr>
        <w:t>of</w:t>
      </w:r>
      <w:r>
        <w:rPr>
          <w:spacing w:val="19"/>
        </w:rPr>
        <w:t xml:space="preserve"> </w:t>
      </w:r>
      <w:r>
        <w:rPr>
          <w:spacing w:val="-2"/>
        </w:rPr>
        <w:t>performing</w:t>
      </w:r>
      <w:r>
        <w:rPr>
          <w:spacing w:val="20"/>
        </w:rPr>
        <w:t xml:space="preserve"> </w:t>
      </w:r>
      <w:r>
        <w:rPr>
          <w:spacing w:val="-1"/>
        </w:rPr>
        <w:t>its</w:t>
      </w:r>
      <w:r>
        <w:rPr>
          <w:spacing w:val="13"/>
        </w:rPr>
        <w:t xml:space="preserve"> </w:t>
      </w:r>
      <w:r>
        <w:rPr>
          <w:spacing w:val="-1"/>
        </w:rPr>
        <w:t>obligations</w:t>
      </w:r>
      <w:r>
        <w:rPr>
          <w:spacing w:val="18"/>
        </w:rPr>
        <w:t xml:space="preserve"> </w:t>
      </w:r>
      <w:r>
        <w:rPr>
          <w:spacing w:val="-2"/>
        </w:rPr>
        <w:t>under</w:t>
      </w:r>
      <w:r>
        <w:rPr>
          <w:spacing w:val="19"/>
        </w:rPr>
        <w:t xml:space="preserve"> </w:t>
      </w:r>
      <w:r>
        <w:rPr>
          <w:spacing w:val="-1"/>
        </w:rPr>
        <w:t>this</w:t>
      </w:r>
      <w:r>
        <w:rPr>
          <w:spacing w:val="61"/>
        </w:rPr>
        <w:t xml:space="preserve"> </w:t>
      </w:r>
      <w:r>
        <w:rPr>
          <w:spacing w:val="-2"/>
        </w:rPr>
        <w:t>Call</w:t>
      </w:r>
      <w:r>
        <w:rPr>
          <w:spacing w:val="26"/>
        </w:rPr>
        <w:t xml:space="preserve"> </w:t>
      </w:r>
      <w:r>
        <w:t>Off</w:t>
      </w:r>
      <w:r>
        <w:rPr>
          <w:spacing w:val="28"/>
        </w:rPr>
        <w:t xml:space="preserve"> </w:t>
      </w:r>
      <w:r>
        <w:rPr>
          <w:spacing w:val="-1"/>
        </w:rPr>
        <w:t>Contract.</w:t>
      </w:r>
      <w:r>
        <w:rPr>
          <w:spacing w:val="26"/>
        </w:rPr>
        <w:t xml:space="preserve"> </w:t>
      </w:r>
      <w:r>
        <w:t>The</w:t>
      </w:r>
      <w:r>
        <w:rPr>
          <w:spacing w:val="27"/>
        </w:rPr>
        <w:t xml:space="preserve"> </w:t>
      </w:r>
      <w:r>
        <w:rPr>
          <w:spacing w:val="-2"/>
        </w:rPr>
        <w:t>Supplier</w:t>
      </w:r>
      <w:r>
        <w:rPr>
          <w:spacing w:val="28"/>
        </w:rPr>
        <w:t xml:space="preserve"> </w:t>
      </w:r>
      <w:r>
        <w:rPr>
          <w:spacing w:val="-1"/>
        </w:rPr>
        <w:t>shall</w:t>
      </w:r>
      <w:r>
        <w:rPr>
          <w:spacing w:val="26"/>
        </w:rPr>
        <w:t xml:space="preserve"> </w:t>
      </w:r>
      <w:r>
        <w:rPr>
          <w:spacing w:val="-1"/>
        </w:rPr>
        <w:t>have</w:t>
      </w:r>
      <w:r>
        <w:rPr>
          <w:spacing w:val="27"/>
        </w:rPr>
        <w:t xml:space="preserve"> </w:t>
      </w:r>
      <w:r>
        <w:t>the</w:t>
      </w:r>
      <w:r>
        <w:rPr>
          <w:spacing w:val="27"/>
        </w:rPr>
        <w:t xml:space="preserve"> </w:t>
      </w:r>
      <w:r>
        <w:rPr>
          <w:spacing w:val="-1"/>
        </w:rPr>
        <w:t>use</w:t>
      </w:r>
      <w:r>
        <w:rPr>
          <w:spacing w:val="27"/>
        </w:rPr>
        <w:t xml:space="preserve"> </w:t>
      </w:r>
      <w:r>
        <w:rPr>
          <w:spacing w:val="-2"/>
        </w:rPr>
        <w:t>of</w:t>
      </w:r>
      <w:r>
        <w:rPr>
          <w:spacing w:val="30"/>
        </w:rPr>
        <w:t xml:space="preserve"> </w:t>
      </w:r>
      <w:r>
        <w:rPr>
          <w:spacing w:val="-1"/>
        </w:rPr>
        <w:t>such</w:t>
      </w:r>
      <w:r>
        <w:rPr>
          <w:spacing w:val="27"/>
        </w:rPr>
        <w:t xml:space="preserve"> </w:t>
      </w:r>
      <w:r>
        <w:rPr>
          <w:spacing w:val="-1"/>
        </w:rPr>
        <w:t>Customer</w:t>
      </w:r>
      <w:r>
        <w:rPr>
          <w:spacing w:val="42"/>
        </w:rPr>
        <w:t xml:space="preserve"> </w:t>
      </w:r>
      <w:r>
        <w:rPr>
          <w:spacing w:val="-1"/>
        </w:rPr>
        <w:t>Premises</w:t>
      </w:r>
      <w:r>
        <w:rPr>
          <w:spacing w:val="49"/>
        </w:rPr>
        <w:t xml:space="preserve"> </w:t>
      </w:r>
      <w:r>
        <w:rPr>
          <w:spacing w:val="-1"/>
        </w:rPr>
        <w:t>as</w:t>
      </w:r>
      <w:r>
        <w:rPr>
          <w:spacing w:val="49"/>
        </w:rPr>
        <w:t xml:space="preserve"> </w:t>
      </w:r>
      <w:r>
        <w:rPr>
          <w:spacing w:val="-1"/>
        </w:rPr>
        <w:t>licensee</w:t>
      </w:r>
      <w:r>
        <w:rPr>
          <w:spacing w:val="48"/>
        </w:rPr>
        <w:t xml:space="preserve"> </w:t>
      </w:r>
      <w:r>
        <w:rPr>
          <w:spacing w:val="-2"/>
        </w:rPr>
        <w:t>and</w:t>
      </w:r>
      <w:r>
        <w:rPr>
          <w:spacing w:val="48"/>
        </w:rPr>
        <w:t xml:space="preserve"> </w:t>
      </w:r>
      <w:r>
        <w:rPr>
          <w:spacing w:val="-1"/>
        </w:rPr>
        <w:t>shall</w:t>
      </w:r>
      <w:r>
        <w:rPr>
          <w:spacing w:val="47"/>
        </w:rPr>
        <w:t xml:space="preserve"> </w:t>
      </w:r>
      <w:r>
        <w:rPr>
          <w:spacing w:val="-1"/>
        </w:rPr>
        <w:t>vacate</w:t>
      </w:r>
      <w:r>
        <w:rPr>
          <w:spacing w:val="48"/>
        </w:rPr>
        <w:t xml:space="preserve"> </w:t>
      </w:r>
      <w:r>
        <w:t>the</w:t>
      </w:r>
      <w:r>
        <w:rPr>
          <w:spacing w:val="49"/>
        </w:rPr>
        <w:t xml:space="preserve"> </w:t>
      </w:r>
      <w:r>
        <w:rPr>
          <w:spacing w:val="-1"/>
        </w:rPr>
        <w:t>same</w:t>
      </w:r>
      <w:r>
        <w:rPr>
          <w:spacing w:val="48"/>
        </w:rPr>
        <w:t xml:space="preserve"> </w:t>
      </w:r>
      <w:r>
        <w:rPr>
          <w:spacing w:val="-1"/>
        </w:rPr>
        <w:t>immediately</w:t>
      </w:r>
      <w:r>
        <w:rPr>
          <w:spacing w:val="46"/>
        </w:rPr>
        <w:t xml:space="preserve"> </w:t>
      </w:r>
      <w:r>
        <w:rPr>
          <w:spacing w:val="-1"/>
        </w:rPr>
        <w:t>upon</w:t>
      </w:r>
      <w:r>
        <w:rPr>
          <w:spacing w:val="26"/>
        </w:rPr>
        <w:t xml:space="preserve"> </w:t>
      </w:r>
      <w:r>
        <w:rPr>
          <w:spacing w:val="-1"/>
        </w:rPr>
        <w:t>completion,</w:t>
      </w:r>
      <w:r>
        <w:rPr>
          <w:spacing w:val="41"/>
        </w:rPr>
        <w:t xml:space="preserve"> </w:t>
      </w:r>
      <w:r>
        <w:rPr>
          <w:spacing w:val="-1"/>
        </w:rPr>
        <w:t>termination,</w:t>
      </w:r>
      <w:r>
        <w:rPr>
          <w:spacing w:val="41"/>
        </w:rPr>
        <w:t xml:space="preserve"> </w:t>
      </w:r>
      <w:r>
        <w:rPr>
          <w:spacing w:val="-2"/>
        </w:rPr>
        <w:t>expiry</w:t>
      </w:r>
      <w:r>
        <w:rPr>
          <w:spacing w:val="40"/>
        </w:rPr>
        <w:t xml:space="preserve"> </w:t>
      </w:r>
      <w:r>
        <w:rPr>
          <w:spacing w:val="-1"/>
        </w:rPr>
        <w:t>or</w:t>
      </w:r>
      <w:r>
        <w:rPr>
          <w:spacing w:val="44"/>
        </w:rPr>
        <w:t xml:space="preserve"> </w:t>
      </w:r>
      <w:r>
        <w:rPr>
          <w:spacing w:val="-1"/>
        </w:rPr>
        <w:t>abandonment</w:t>
      </w:r>
      <w:r>
        <w:rPr>
          <w:spacing w:val="44"/>
        </w:rPr>
        <w:t xml:space="preserve"> </w:t>
      </w:r>
      <w:r>
        <w:rPr>
          <w:spacing w:val="-2"/>
        </w:rPr>
        <w:t>of</w:t>
      </w:r>
      <w:r>
        <w:rPr>
          <w:spacing w:val="44"/>
        </w:rPr>
        <w:t xml:space="preserve"> </w:t>
      </w:r>
      <w:r>
        <w:rPr>
          <w:spacing w:val="-1"/>
        </w:rPr>
        <w:t>this</w:t>
      </w:r>
      <w:r>
        <w:rPr>
          <w:spacing w:val="44"/>
        </w:rPr>
        <w:t xml:space="preserve"> </w:t>
      </w:r>
      <w:r>
        <w:rPr>
          <w:spacing w:val="-2"/>
        </w:rPr>
        <w:t>Call</w:t>
      </w:r>
      <w:r>
        <w:rPr>
          <w:spacing w:val="39"/>
        </w:rPr>
        <w:t xml:space="preserve"> </w:t>
      </w:r>
      <w:r>
        <w:rPr>
          <w:spacing w:val="-1"/>
        </w:rPr>
        <w:t>Off</w:t>
      </w:r>
      <w:r>
        <w:rPr>
          <w:spacing w:val="45"/>
        </w:rPr>
        <w:t xml:space="preserve"> </w:t>
      </w:r>
      <w:r>
        <w:rPr>
          <w:spacing w:val="-1"/>
        </w:rPr>
        <w:t>Contract</w:t>
      </w:r>
      <w:r>
        <w:rPr>
          <w:spacing w:val="11"/>
        </w:rPr>
        <w:t xml:space="preserve"> </w:t>
      </w:r>
      <w:r>
        <w:rPr>
          <w:spacing w:val="-1"/>
        </w:rPr>
        <w:t>and</w:t>
      </w:r>
      <w:r>
        <w:rPr>
          <w:spacing w:val="10"/>
        </w:rPr>
        <w:t xml:space="preserve"> </w:t>
      </w:r>
      <w:r>
        <w:rPr>
          <w:spacing w:val="-1"/>
        </w:rPr>
        <w:t>in</w:t>
      </w:r>
      <w:r>
        <w:rPr>
          <w:spacing w:val="10"/>
        </w:rPr>
        <w:t xml:space="preserve"> </w:t>
      </w:r>
      <w:r>
        <w:rPr>
          <w:spacing w:val="-1"/>
        </w:rPr>
        <w:t>accordance</w:t>
      </w:r>
      <w:r>
        <w:rPr>
          <w:spacing w:val="10"/>
        </w:rPr>
        <w:t xml:space="preserve"> </w:t>
      </w:r>
      <w:r>
        <w:rPr>
          <w:spacing w:val="-2"/>
        </w:rPr>
        <w:t>with</w:t>
      </w:r>
      <w:r>
        <w:rPr>
          <w:spacing w:val="10"/>
        </w:rPr>
        <w:t xml:space="preserve"> </w:t>
      </w:r>
      <w:r>
        <w:rPr>
          <w:spacing w:val="-1"/>
        </w:rPr>
        <w:t>Call</w:t>
      </w:r>
      <w:r>
        <w:rPr>
          <w:spacing w:val="9"/>
        </w:rPr>
        <w:t xml:space="preserve"> </w:t>
      </w:r>
      <w:r>
        <w:t>Off</w:t>
      </w:r>
      <w:r>
        <w:rPr>
          <w:spacing w:val="11"/>
        </w:rPr>
        <w:t xml:space="preserve"> </w:t>
      </w:r>
      <w:r>
        <w:rPr>
          <w:spacing w:val="-1"/>
        </w:rPr>
        <w:t>Schedule</w:t>
      </w:r>
      <w:r>
        <w:rPr>
          <w:spacing w:val="10"/>
        </w:rPr>
        <w:t xml:space="preserve"> </w:t>
      </w:r>
      <w:r>
        <w:rPr>
          <w:spacing w:val="-1"/>
        </w:rPr>
        <w:t>10</w:t>
      </w:r>
      <w:r>
        <w:rPr>
          <w:spacing w:val="11"/>
        </w:rPr>
        <w:t xml:space="preserve"> </w:t>
      </w:r>
      <w:r>
        <w:rPr>
          <w:spacing w:val="-2"/>
        </w:rPr>
        <w:t>(Exit</w:t>
      </w:r>
      <w:r>
        <w:rPr>
          <w:spacing w:val="35"/>
        </w:rPr>
        <w:t xml:space="preserve"> </w:t>
      </w:r>
      <w:r>
        <w:rPr>
          <w:spacing w:val="-1"/>
        </w:rPr>
        <w:t>Management).</w:t>
      </w:r>
    </w:p>
    <w:p w:rsidR="008918FA" w:rsidRDefault="008918FA" w:rsidP="008918FA">
      <w:pPr>
        <w:pStyle w:val="BodyText"/>
        <w:numPr>
          <w:ilvl w:val="2"/>
          <w:numId w:val="66"/>
        </w:numPr>
        <w:tabs>
          <w:tab w:val="left" w:pos="2227"/>
        </w:tabs>
        <w:ind w:right="111"/>
        <w:jc w:val="both"/>
      </w:pPr>
      <w:r>
        <w:t>The</w:t>
      </w:r>
      <w:r>
        <w:rPr>
          <w:spacing w:val="58"/>
        </w:rPr>
        <w:t xml:space="preserve"> </w:t>
      </w:r>
      <w:r>
        <w:rPr>
          <w:spacing w:val="-2"/>
        </w:rPr>
        <w:t>Supplier</w:t>
      </w:r>
      <w:r>
        <w:rPr>
          <w:spacing w:val="59"/>
        </w:rPr>
        <w:t xml:space="preserve"> </w:t>
      </w:r>
      <w:r>
        <w:rPr>
          <w:spacing w:val="-1"/>
        </w:rPr>
        <w:t>shall</w:t>
      </w:r>
      <w:r>
        <w:rPr>
          <w:spacing w:val="57"/>
        </w:rPr>
        <w:t xml:space="preserve"> </w:t>
      </w:r>
      <w:r>
        <w:rPr>
          <w:spacing w:val="-2"/>
        </w:rPr>
        <w:t>limit</w:t>
      </w:r>
      <w:r>
        <w:rPr>
          <w:spacing w:val="59"/>
        </w:rPr>
        <w:t xml:space="preserve"> </w:t>
      </w:r>
      <w:r>
        <w:rPr>
          <w:spacing w:val="-1"/>
        </w:rPr>
        <w:t>access</w:t>
      </w:r>
      <w:r>
        <w:rPr>
          <w:spacing w:val="59"/>
        </w:rPr>
        <w:t xml:space="preserve"> </w:t>
      </w:r>
      <w:r>
        <w:t>to</w:t>
      </w:r>
      <w:r>
        <w:rPr>
          <w:spacing w:val="55"/>
        </w:rPr>
        <w:t xml:space="preserve"> </w:t>
      </w:r>
      <w:r>
        <w:t>the</w:t>
      </w:r>
      <w:r>
        <w:rPr>
          <w:spacing w:val="61"/>
        </w:rPr>
        <w:t xml:space="preserve"> </w:t>
      </w:r>
      <w:r>
        <w:rPr>
          <w:spacing w:val="-2"/>
        </w:rPr>
        <w:t>Customer</w:t>
      </w:r>
      <w:r>
        <w:rPr>
          <w:spacing w:val="59"/>
        </w:rPr>
        <w:t xml:space="preserve"> </w:t>
      </w:r>
      <w:r>
        <w:rPr>
          <w:spacing w:val="-1"/>
        </w:rPr>
        <w:t>Premises</w:t>
      </w:r>
      <w:r>
        <w:rPr>
          <w:spacing w:val="57"/>
        </w:rPr>
        <w:t xml:space="preserve"> </w:t>
      </w:r>
      <w:r>
        <w:t>to</w:t>
      </w:r>
      <w:r>
        <w:rPr>
          <w:spacing w:val="58"/>
        </w:rPr>
        <w:t xml:space="preserve"> </w:t>
      </w:r>
      <w:r>
        <w:rPr>
          <w:spacing w:val="-1"/>
        </w:rPr>
        <w:t>such</w:t>
      </w:r>
      <w:r>
        <w:rPr>
          <w:spacing w:val="56"/>
        </w:rPr>
        <w:t xml:space="preserve"> </w:t>
      </w:r>
      <w:r>
        <w:rPr>
          <w:spacing w:val="-2"/>
        </w:rPr>
        <w:t>Supplier</w:t>
      </w:r>
      <w:r>
        <w:rPr>
          <w:spacing w:val="39"/>
        </w:rPr>
        <w:t xml:space="preserve"> </w:t>
      </w:r>
      <w:r>
        <w:rPr>
          <w:spacing w:val="-1"/>
        </w:rPr>
        <w:t>Personnel</w:t>
      </w:r>
      <w:r>
        <w:rPr>
          <w:spacing w:val="38"/>
        </w:rPr>
        <w:t xml:space="preserve"> </w:t>
      </w:r>
      <w:r>
        <w:rPr>
          <w:spacing w:val="-1"/>
        </w:rPr>
        <w:t>as</w:t>
      </w:r>
      <w:r>
        <w:rPr>
          <w:spacing w:val="40"/>
        </w:rPr>
        <w:t xml:space="preserve"> </w:t>
      </w:r>
      <w:r>
        <w:rPr>
          <w:spacing w:val="-1"/>
        </w:rPr>
        <w:t>is</w:t>
      </w:r>
      <w:r>
        <w:rPr>
          <w:spacing w:val="38"/>
        </w:rPr>
        <w:t xml:space="preserve"> </w:t>
      </w:r>
      <w:r>
        <w:rPr>
          <w:spacing w:val="-1"/>
        </w:rPr>
        <w:t>necessary</w:t>
      </w:r>
      <w:r>
        <w:rPr>
          <w:spacing w:val="35"/>
        </w:rPr>
        <w:t xml:space="preserve"> </w:t>
      </w:r>
      <w:r>
        <w:t>to</w:t>
      </w:r>
      <w:r>
        <w:rPr>
          <w:spacing w:val="37"/>
        </w:rPr>
        <w:t xml:space="preserve"> </w:t>
      </w:r>
      <w:r>
        <w:rPr>
          <w:spacing w:val="-1"/>
        </w:rPr>
        <w:t>enable</w:t>
      </w:r>
      <w:r>
        <w:rPr>
          <w:spacing w:val="38"/>
        </w:rPr>
        <w:t xml:space="preserve"> </w:t>
      </w:r>
      <w:r>
        <w:rPr>
          <w:spacing w:val="-1"/>
        </w:rPr>
        <w:t>it</w:t>
      </w:r>
      <w:r>
        <w:rPr>
          <w:spacing w:val="39"/>
        </w:rPr>
        <w:t xml:space="preserve"> </w:t>
      </w:r>
      <w:r>
        <w:t>to</w:t>
      </w:r>
      <w:r>
        <w:rPr>
          <w:spacing w:val="37"/>
        </w:rPr>
        <w:t xml:space="preserve"> </w:t>
      </w:r>
      <w:r>
        <w:rPr>
          <w:spacing w:val="-1"/>
        </w:rPr>
        <w:t>perform</w:t>
      </w:r>
      <w:r>
        <w:rPr>
          <w:spacing w:val="39"/>
        </w:rPr>
        <w:t xml:space="preserve"> </w:t>
      </w:r>
      <w:r>
        <w:rPr>
          <w:spacing w:val="-1"/>
        </w:rPr>
        <w:t>its</w:t>
      </w:r>
      <w:r>
        <w:rPr>
          <w:spacing w:val="51"/>
        </w:rPr>
        <w:t xml:space="preserve"> </w:t>
      </w:r>
      <w:r>
        <w:rPr>
          <w:spacing w:val="-1"/>
        </w:rPr>
        <w:t>obligations</w:t>
      </w:r>
      <w:r>
        <w:rPr>
          <w:spacing w:val="61"/>
        </w:rPr>
        <w:t xml:space="preserve"> </w:t>
      </w:r>
      <w:r>
        <w:rPr>
          <w:spacing w:val="-1"/>
        </w:rPr>
        <w:t>under</w:t>
      </w:r>
      <w:r>
        <w:rPr>
          <w:spacing w:val="59"/>
        </w:rPr>
        <w:t xml:space="preserve"> </w:t>
      </w:r>
      <w:r>
        <w:rPr>
          <w:spacing w:val="-1"/>
        </w:rPr>
        <w:t>this</w:t>
      </w:r>
      <w:r>
        <w:rPr>
          <w:spacing w:val="58"/>
        </w:rPr>
        <w:t xml:space="preserve"> </w:t>
      </w:r>
      <w:r>
        <w:rPr>
          <w:spacing w:val="-2"/>
        </w:rPr>
        <w:t>Call</w:t>
      </w:r>
      <w:r>
        <w:rPr>
          <w:spacing w:val="59"/>
        </w:rPr>
        <w:t xml:space="preserve"> </w:t>
      </w:r>
      <w:r>
        <w:t>Off</w:t>
      </w:r>
      <w:r>
        <w:rPr>
          <w:spacing w:val="1"/>
        </w:rPr>
        <w:t xml:space="preserve"> </w:t>
      </w:r>
      <w:r>
        <w:rPr>
          <w:spacing w:val="-1"/>
        </w:rPr>
        <w:t>Contract</w:t>
      </w:r>
      <w:r>
        <w:rPr>
          <w:spacing w:val="1"/>
        </w:rPr>
        <w:t xml:space="preserve"> </w:t>
      </w:r>
      <w:r>
        <w:rPr>
          <w:spacing w:val="-1"/>
        </w:rPr>
        <w:t>and</w:t>
      </w:r>
      <w:r>
        <w:rPr>
          <w:spacing w:val="58"/>
        </w:rPr>
        <w:t xml:space="preserve"> </w:t>
      </w:r>
      <w:r>
        <w:rPr>
          <w:spacing w:val="-1"/>
        </w:rPr>
        <w:t>the</w:t>
      </w:r>
      <w:r>
        <w:rPr>
          <w:spacing w:val="60"/>
        </w:rPr>
        <w:t xml:space="preserve"> </w:t>
      </w:r>
      <w:r>
        <w:rPr>
          <w:spacing w:val="-2"/>
        </w:rPr>
        <w:t>Supplier</w:t>
      </w:r>
      <w:r>
        <w:t xml:space="preserve">  </w:t>
      </w:r>
      <w:r>
        <w:rPr>
          <w:spacing w:val="-1"/>
        </w:rPr>
        <w:t>shall</w:t>
      </w:r>
      <w:r>
        <w:rPr>
          <w:spacing w:val="60"/>
        </w:rPr>
        <w:t xml:space="preserve"> </w:t>
      </w:r>
      <w:r>
        <w:t>co-</w:t>
      </w:r>
      <w:r>
        <w:rPr>
          <w:spacing w:val="45"/>
        </w:rPr>
        <w:t xml:space="preserve"> </w:t>
      </w:r>
      <w:r>
        <w:rPr>
          <w:spacing w:val="-1"/>
        </w:rPr>
        <w:t>operate</w:t>
      </w:r>
      <w:r>
        <w:rPr>
          <w:spacing w:val="5"/>
        </w:rPr>
        <w:t xml:space="preserve"> </w:t>
      </w:r>
      <w:r>
        <w:rPr>
          <w:spacing w:val="-1"/>
        </w:rPr>
        <w:t>(and</w:t>
      </w:r>
      <w:r>
        <w:rPr>
          <w:spacing w:val="5"/>
        </w:rPr>
        <w:t xml:space="preserve"> </w:t>
      </w:r>
      <w:r>
        <w:rPr>
          <w:spacing w:val="-1"/>
        </w:rPr>
        <w:t>ensure</w:t>
      </w:r>
      <w:r>
        <w:rPr>
          <w:spacing w:val="5"/>
        </w:rPr>
        <w:t xml:space="preserve"> </w:t>
      </w:r>
      <w:r>
        <w:rPr>
          <w:spacing w:val="-1"/>
        </w:rPr>
        <w:t>that</w:t>
      </w:r>
      <w:r>
        <w:rPr>
          <w:spacing w:val="4"/>
        </w:rPr>
        <w:t xml:space="preserve"> </w:t>
      </w:r>
      <w:r>
        <w:t>the</w:t>
      </w:r>
      <w:r>
        <w:rPr>
          <w:spacing w:val="6"/>
        </w:rPr>
        <w:t xml:space="preserve"> </w:t>
      </w:r>
      <w:r>
        <w:rPr>
          <w:spacing w:val="-2"/>
        </w:rPr>
        <w:t>Supplier</w:t>
      </w:r>
      <w:r>
        <w:rPr>
          <w:spacing w:val="6"/>
        </w:rPr>
        <w:t xml:space="preserve"> </w:t>
      </w:r>
      <w:r>
        <w:rPr>
          <w:spacing w:val="-1"/>
        </w:rPr>
        <w:t>Personnel</w:t>
      </w:r>
      <w:r>
        <w:rPr>
          <w:spacing w:val="8"/>
        </w:rPr>
        <w:t xml:space="preserve"> </w:t>
      </w:r>
      <w:r>
        <w:rPr>
          <w:spacing w:val="-1"/>
        </w:rPr>
        <w:t>co-operate)</w:t>
      </w:r>
      <w:r>
        <w:rPr>
          <w:spacing w:val="6"/>
        </w:rPr>
        <w:t xml:space="preserve"> </w:t>
      </w:r>
      <w:r>
        <w:rPr>
          <w:spacing w:val="-2"/>
        </w:rPr>
        <w:t>with</w:t>
      </w:r>
      <w:r>
        <w:rPr>
          <w:spacing w:val="5"/>
        </w:rPr>
        <w:t xml:space="preserve"> </w:t>
      </w:r>
      <w:r>
        <w:rPr>
          <w:spacing w:val="-1"/>
        </w:rPr>
        <w:t>such</w:t>
      </w:r>
      <w:r>
        <w:rPr>
          <w:spacing w:val="54"/>
        </w:rPr>
        <w:t xml:space="preserve"> </w:t>
      </w:r>
      <w:r>
        <w:rPr>
          <w:spacing w:val="-1"/>
        </w:rPr>
        <w:t>other</w:t>
      </w:r>
      <w:r>
        <w:rPr>
          <w:spacing w:val="2"/>
        </w:rPr>
        <w:t xml:space="preserve"> </w:t>
      </w:r>
      <w:r>
        <w:rPr>
          <w:spacing w:val="-1"/>
        </w:rPr>
        <w:t>persons</w:t>
      </w:r>
      <w:r>
        <w:rPr>
          <w:spacing w:val="1"/>
        </w:rPr>
        <w:t xml:space="preserve"> </w:t>
      </w:r>
      <w:r>
        <w:rPr>
          <w:spacing w:val="-2"/>
        </w:rPr>
        <w:t>working</w:t>
      </w:r>
      <w:r>
        <w:rPr>
          <w:spacing w:val="3"/>
        </w:rPr>
        <w:t xml:space="preserve"> </w:t>
      </w:r>
      <w:r>
        <w:rPr>
          <w:spacing w:val="-1"/>
        </w:rPr>
        <w:t>concurrently</w:t>
      </w:r>
      <w:r>
        <w:rPr>
          <w:spacing w:val="-2"/>
        </w:rPr>
        <w:t xml:space="preserve"> </w:t>
      </w:r>
      <w:r>
        <w:rPr>
          <w:spacing w:val="-1"/>
        </w:rPr>
        <w:t>on</w:t>
      </w:r>
      <w:r>
        <w:t xml:space="preserve"> </w:t>
      </w:r>
      <w:r>
        <w:rPr>
          <w:spacing w:val="-1"/>
        </w:rPr>
        <w:t>such</w:t>
      </w:r>
      <w:r>
        <w:rPr>
          <w:spacing w:val="1"/>
        </w:rPr>
        <w:t xml:space="preserve"> </w:t>
      </w:r>
      <w:r>
        <w:rPr>
          <w:spacing w:val="-1"/>
        </w:rPr>
        <w:t>Customer</w:t>
      </w:r>
      <w:r>
        <w:rPr>
          <w:spacing w:val="2"/>
        </w:rPr>
        <w:t xml:space="preserve"> </w:t>
      </w:r>
      <w:r>
        <w:rPr>
          <w:spacing w:val="-1"/>
        </w:rPr>
        <w:t>Premises</w:t>
      </w:r>
      <w:r>
        <w:rPr>
          <w:spacing w:val="2"/>
        </w:rPr>
        <w:t xml:space="preserve"> </w:t>
      </w:r>
      <w:r>
        <w:rPr>
          <w:spacing w:val="-1"/>
        </w:rPr>
        <w:t>as</w:t>
      </w:r>
      <w:r>
        <w:rPr>
          <w:spacing w:val="1"/>
        </w:rPr>
        <w:t xml:space="preserve"> </w:t>
      </w:r>
      <w:r>
        <w:rPr>
          <w:spacing w:val="-1"/>
        </w:rPr>
        <w:t>the</w:t>
      </w:r>
      <w:r>
        <w:rPr>
          <w:spacing w:val="42"/>
        </w:rPr>
        <w:t xml:space="preserve"> </w:t>
      </w:r>
      <w:r>
        <w:rPr>
          <w:spacing w:val="-1"/>
        </w:rPr>
        <w:t>Customer may</w:t>
      </w:r>
      <w:r>
        <w:rPr>
          <w:spacing w:val="-2"/>
        </w:rPr>
        <w:t xml:space="preserve"> </w:t>
      </w:r>
      <w:r>
        <w:rPr>
          <w:spacing w:val="-1"/>
        </w:rPr>
        <w:t>reasonably</w:t>
      </w:r>
      <w:r>
        <w:rPr>
          <w:spacing w:val="-2"/>
        </w:rPr>
        <w:t xml:space="preserve"> </w:t>
      </w:r>
      <w:r>
        <w:rPr>
          <w:spacing w:val="-1"/>
        </w:rPr>
        <w:t>request.</w:t>
      </w:r>
    </w:p>
    <w:p w:rsidR="008918FA" w:rsidRDefault="008918FA" w:rsidP="008918FA">
      <w:pPr>
        <w:pStyle w:val="BodyText"/>
        <w:numPr>
          <w:ilvl w:val="2"/>
          <w:numId w:val="66"/>
        </w:numPr>
        <w:tabs>
          <w:tab w:val="left" w:pos="2227"/>
        </w:tabs>
        <w:spacing w:before="121"/>
        <w:ind w:right="111" w:hanging="993"/>
        <w:jc w:val="both"/>
      </w:pPr>
      <w:bookmarkStart w:id="185" w:name="_bookmark155"/>
      <w:bookmarkEnd w:id="185"/>
      <w:r>
        <w:rPr>
          <w:spacing w:val="-2"/>
        </w:rPr>
        <w:t>Save</w:t>
      </w:r>
      <w:r>
        <w:rPr>
          <w:spacing w:val="57"/>
        </w:rPr>
        <w:t xml:space="preserve"> </w:t>
      </w:r>
      <w:r>
        <w:rPr>
          <w:spacing w:val="-1"/>
        </w:rPr>
        <w:t>in</w:t>
      </w:r>
      <w:r>
        <w:rPr>
          <w:spacing w:val="54"/>
        </w:rPr>
        <w:t xml:space="preserve"> </w:t>
      </w:r>
      <w:r>
        <w:rPr>
          <w:spacing w:val="-1"/>
        </w:rPr>
        <w:t>relation</w:t>
      </w:r>
      <w:r>
        <w:rPr>
          <w:spacing w:val="54"/>
        </w:rPr>
        <w:t xml:space="preserve"> </w:t>
      </w:r>
      <w:r>
        <w:t>to</w:t>
      </w:r>
      <w:r>
        <w:rPr>
          <w:spacing w:val="54"/>
        </w:rPr>
        <w:t xml:space="preserve"> </w:t>
      </w:r>
      <w:r>
        <w:t>such</w:t>
      </w:r>
      <w:r>
        <w:rPr>
          <w:spacing w:val="55"/>
        </w:rPr>
        <w:t xml:space="preserve"> </w:t>
      </w:r>
      <w:r>
        <w:rPr>
          <w:spacing w:val="-1"/>
        </w:rPr>
        <w:t>actions</w:t>
      </w:r>
      <w:r>
        <w:rPr>
          <w:spacing w:val="55"/>
        </w:rPr>
        <w:t xml:space="preserve"> </w:t>
      </w:r>
      <w:r>
        <w:rPr>
          <w:spacing w:val="-1"/>
        </w:rPr>
        <w:t>identified</w:t>
      </w:r>
      <w:r>
        <w:rPr>
          <w:spacing w:val="53"/>
        </w:rPr>
        <w:t xml:space="preserve"> </w:t>
      </w:r>
      <w:r>
        <w:rPr>
          <w:spacing w:val="-1"/>
        </w:rPr>
        <w:t>by</w:t>
      </w:r>
      <w:r>
        <w:rPr>
          <w:spacing w:val="55"/>
        </w:rPr>
        <w:t xml:space="preserve"> </w:t>
      </w:r>
      <w:r>
        <w:t>the</w:t>
      </w:r>
      <w:r>
        <w:rPr>
          <w:spacing w:val="54"/>
        </w:rPr>
        <w:t xml:space="preserve"> </w:t>
      </w:r>
      <w:r>
        <w:rPr>
          <w:spacing w:val="-2"/>
        </w:rPr>
        <w:t>Supplier</w:t>
      </w:r>
      <w:r>
        <w:rPr>
          <w:spacing w:val="58"/>
        </w:rPr>
        <w:t xml:space="preserve"> </w:t>
      </w:r>
      <w:r>
        <w:rPr>
          <w:spacing w:val="-1"/>
        </w:rPr>
        <w:t>in</w:t>
      </w:r>
      <w:r>
        <w:rPr>
          <w:spacing w:val="41"/>
        </w:rPr>
        <w:t xml:space="preserve"> </w:t>
      </w:r>
      <w:r>
        <w:rPr>
          <w:spacing w:val="-1"/>
        </w:rPr>
        <w:t>accordance</w:t>
      </w:r>
      <w:r>
        <w:rPr>
          <w:spacing w:val="41"/>
        </w:rPr>
        <w:t xml:space="preserve"> </w:t>
      </w:r>
      <w:r>
        <w:rPr>
          <w:spacing w:val="-2"/>
        </w:rPr>
        <w:t>with</w:t>
      </w:r>
      <w:r>
        <w:rPr>
          <w:spacing w:val="41"/>
        </w:rPr>
        <w:t xml:space="preserve"> </w:t>
      </w:r>
      <w:r>
        <w:rPr>
          <w:spacing w:val="-2"/>
        </w:rPr>
        <w:t>Clause</w:t>
      </w:r>
      <w:r>
        <w:rPr>
          <w:spacing w:val="42"/>
        </w:rPr>
        <w:t xml:space="preserve"> </w:t>
      </w:r>
      <w:hyperlink w:anchor="_bookmark47" w:history="1">
        <w:r>
          <w:t>2</w:t>
        </w:r>
      </w:hyperlink>
      <w:r>
        <w:rPr>
          <w:spacing w:val="41"/>
        </w:rPr>
        <w:t xml:space="preserve"> </w:t>
      </w:r>
      <w:r>
        <w:rPr>
          <w:spacing w:val="-1"/>
        </w:rPr>
        <w:t>(Due</w:t>
      </w:r>
      <w:r>
        <w:rPr>
          <w:spacing w:val="41"/>
        </w:rPr>
        <w:t xml:space="preserve"> </w:t>
      </w:r>
      <w:r>
        <w:rPr>
          <w:spacing w:val="-2"/>
        </w:rPr>
        <w:t>Diligence)</w:t>
      </w:r>
      <w:r>
        <w:rPr>
          <w:spacing w:val="43"/>
        </w:rPr>
        <w:t xml:space="preserve"> </w:t>
      </w:r>
      <w:r>
        <w:rPr>
          <w:spacing w:val="-1"/>
        </w:rPr>
        <w:t>and</w:t>
      </w:r>
      <w:r>
        <w:rPr>
          <w:spacing w:val="39"/>
        </w:rPr>
        <w:t xml:space="preserve"> </w:t>
      </w:r>
      <w:r>
        <w:rPr>
          <w:spacing w:val="-1"/>
        </w:rPr>
        <w:t>set</w:t>
      </w:r>
      <w:r>
        <w:rPr>
          <w:spacing w:val="42"/>
        </w:rPr>
        <w:t xml:space="preserve"> </w:t>
      </w:r>
      <w:r>
        <w:rPr>
          <w:spacing w:val="-2"/>
        </w:rPr>
        <w:t>out</w:t>
      </w:r>
      <w:r>
        <w:rPr>
          <w:spacing w:val="42"/>
        </w:rPr>
        <w:t xml:space="preserve"> </w:t>
      </w:r>
      <w:r>
        <w:rPr>
          <w:spacing w:val="-1"/>
        </w:rPr>
        <w:t>in</w:t>
      </w:r>
      <w:r>
        <w:rPr>
          <w:spacing w:val="38"/>
        </w:rPr>
        <w:t xml:space="preserve"> </w:t>
      </w:r>
      <w:r>
        <w:t>the</w:t>
      </w:r>
      <w:r>
        <w:rPr>
          <w:spacing w:val="38"/>
        </w:rPr>
        <w:t xml:space="preserve"> </w:t>
      </w:r>
      <w:r>
        <w:rPr>
          <w:spacing w:val="-1"/>
        </w:rPr>
        <w:t>Order</w:t>
      </w:r>
      <w:r>
        <w:rPr>
          <w:spacing w:val="55"/>
        </w:rPr>
        <w:t xml:space="preserve"> </w:t>
      </w:r>
      <w:r>
        <w:rPr>
          <w:spacing w:val="-1"/>
        </w:rPr>
        <w:t>Form</w:t>
      </w:r>
      <w:r>
        <w:rPr>
          <w:spacing w:val="59"/>
        </w:rPr>
        <w:t xml:space="preserve"> </w:t>
      </w:r>
      <w:r>
        <w:rPr>
          <w:spacing w:val="-1"/>
        </w:rPr>
        <w:t>(or</w:t>
      </w:r>
      <w:r>
        <w:t xml:space="preserve"> </w:t>
      </w:r>
      <w:r>
        <w:rPr>
          <w:spacing w:val="-2"/>
        </w:rPr>
        <w:t>elsewhere</w:t>
      </w:r>
      <w:r>
        <w:rPr>
          <w:spacing w:val="60"/>
        </w:rPr>
        <w:t xml:space="preserve"> </w:t>
      </w:r>
      <w:r>
        <w:rPr>
          <w:spacing w:val="-1"/>
        </w:rPr>
        <w:t>in</w:t>
      </w:r>
      <w:r>
        <w:rPr>
          <w:spacing w:val="60"/>
        </w:rPr>
        <w:t xml:space="preserve"> </w:t>
      </w:r>
      <w:r>
        <w:rPr>
          <w:spacing w:val="-1"/>
        </w:rPr>
        <w:t>this</w:t>
      </w:r>
      <w:r>
        <w:t xml:space="preserve">  </w:t>
      </w:r>
      <w:r>
        <w:rPr>
          <w:spacing w:val="-2"/>
        </w:rPr>
        <w:t>Call</w:t>
      </w:r>
      <w:r>
        <w:rPr>
          <w:spacing w:val="59"/>
        </w:rPr>
        <w:t xml:space="preserve"> </w:t>
      </w:r>
      <w:r>
        <w:rPr>
          <w:spacing w:val="-1"/>
        </w:rPr>
        <w:t>Off</w:t>
      </w:r>
      <w:r>
        <w:rPr>
          <w:spacing w:val="3"/>
        </w:rPr>
        <w:t xml:space="preserve"> </w:t>
      </w:r>
      <w:r>
        <w:rPr>
          <w:spacing w:val="-1"/>
        </w:rPr>
        <w:t>Contract),</w:t>
      </w:r>
      <w:r>
        <w:rPr>
          <w:spacing w:val="59"/>
        </w:rPr>
        <w:t xml:space="preserve"> </w:t>
      </w:r>
      <w:r>
        <w:rPr>
          <w:spacing w:val="-1"/>
        </w:rPr>
        <w:t>should</w:t>
      </w:r>
      <w:r>
        <w:rPr>
          <w:spacing w:val="60"/>
        </w:rPr>
        <w:t xml:space="preserve"> </w:t>
      </w:r>
      <w:r>
        <w:t>the</w:t>
      </w:r>
      <w:r>
        <w:rPr>
          <w:spacing w:val="61"/>
        </w:rPr>
        <w:t xml:space="preserve"> </w:t>
      </w:r>
      <w:r>
        <w:rPr>
          <w:spacing w:val="-2"/>
        </w:rPr>
        <w:t>Supplier</w:t>
      </w:r>
      <w:r>
        <w:rPr>
          <w:spacing w:val="54"/>
        </w:rPr>
        <w:t xml:space="preserve"> </w:t>
      </w:r>
      <w:r>
        <w:rPr>
          <w:spacing w:val="-1"/>
        </w:rPr>
        <w:t>require</w:t>
      </w:r>
      <w:r>
        <w:rPr>
          <w:spacing w:val="48"/>
        </w:rPr>
        <w:t xml:space="preserve"> </w:t>
      </w:r>
      <w:r>
        <w:rPr>
          <w:spacing w:val="-1"/>
        </w:rPr>
        <w:t>modifications</w:t>
      </w:r>
      <w:r>
        <w:rPr>
          <w:spacing w:val="49"/>
        </w:rPr>
        <w:t xml:space="preserve"> </w:t>
      </w:r>
      <w:r>
        <w:t>to</w:t>
      </w:r>
      <w:r>
        <w:rPr>
          <w:spacing w:val="48"/>
        </w:rPr>
        <w:t xml:space="preserve"> </w:t>
      </w:r>
      <w:r>
        <w:t>the</w:t>
      </w:r>
      <w:r>
        <w:rPr>
          <w:spacing w:val="51"/>
        </w:rPr>
        <w:t xml:space="preserve"> </w:t>
      </w:r>
      <w:r>
        <w:rPr>
          <w:spacing w:val="-2"/>
        </w:rPr>
        <w:t>Customer</w:t>
      </w:r>
      <w:r>
        <w:rPr>
          <w:spacing w:val="52"/>
        </w:rPr>
        <w:t xml:space="preserve"> </w:t>
      </w:r>
      <w:r>
        <w:rPr>
          <w:spacing w:val="-2"/>
        </w:rPr>
        <w:t>Premises,</w:t>
      </w:r>
      <w:r>
        <w:rPr>
          <w:spacing w:val="52"/>
        </w:rPr>
        <w:t xml:space="preserve"> </w:t>
      </w:r>
      <w:r>
        <w:rPr>
          <w:spacing w:val="-1"/>
        </w:rPr>
        <w:t>such</w:t>
      </w:r>
      <w:r>
        <w:rPr>
          <w:spacing w:val="50"/>
        </w:rPr>
        <w:t xml:space="preserve"> </w:t>
      </w:r>
      <w:r>
        <w:rPr>
          <w:spacing w:val="-1"/>
        </w:rPr>
        <w:t>modifications</w:t>
      </w:r>
      <w:r>
        <w:rPr>
          <w:spacing w:val="50"/>
        </w:rPr>
        <w:t xml:space="preserve"> </w:t>
      </w:r>
      <w:r>
        <w:rPr>
          <w:spacing w:val="-1"/>
        </w:rPr>
        <w:t>shall</w:t>
      </w:r>
      <w:r>
        <w:rPr>
          <w:spacing w:val="17"/>
        </w:rPr>
        <w:t xml:space="preserve"> </w:t>
      </w:r>
      <w:r>
        <w:rPr>
          <w:spacing w:val="-1"/>
        </w:rPr>
        <w:t>be</w:t>
      </w:r>
      <w:r>
        <w:rPr>
          <w:spacing w:val="17"/>
        </w:rPr>
        <w:t xml:space="preserve"> </w:t>
      </w:r>
      <w:r>
        <w:rPr>
          <w:spacing w:val="-1"/>
        </w:rPr>
        <w:t>subject</w:t>
      </w:r>
      <w:r>
        <w:rPr>
          <w:spacing w:val="19"/>
        </w:rPr>
        <w:t xml:space="preserve"> </w:t>
      </w:r>
      <w:r>
        <w:t>to</w:t>
      </w:r>
      <w:r>
        <w:rPr>
          <w:spacing w:val="15"/>
        </w:rPr>
        <w:t xml:space="preserve"> </w:t>
      </w:r>
      <w:r>
        <w:rPr>
          <w:spacing w:val="-2"/>
        </w:rPr>
        <w:t>Approval</w:t>
      </w:r>
      <w:r>
        <w:rPr>
          <w:spacing w:val="17"/>
        </w:rPr>
        <w:t xml:space="preserve"> </w:t>
      </w:r>
      <w:r>
        <w:rPr>
          <w:spacing w:val="-1"/>
        </w:rPr>
        <w:t>and</w:t>
      </w:r>
      <w:r>
        <w:rPr>
          <w:spacing w:val="17"/>
        </w:rPr>
        <w:t xml:space="preserve"> </w:t>
      </w:r>
      <w:r>
        <w:rPr>
          <w:spacing w:val="-1"/>
        </w:rPr>
        <w:t>shall</w:t>
      </w:r>
      <w:r>
        <w:rPr>
          <w:spacing w:val="17"/>
        </w:rPr>
        <w:t xml:space="preserve"> </w:t>
      </w:r>
      <w:r>
        <w:rPr>
          <w:spacing w:val="-1"/>
        </w:rPr>
        <w:t>be</w:t>
      </w:r>
      <w:r>
        <w:rPr>
          <w:spacing w:val="17"/>
        </w:rPr>
        <w:t xml:space="preserve"> </w:t>
      </w:r>
      <w:r>
        <w:rPr>
          <w:spacing w:val="-1"/>
        </w:rPr>
        <w:t>carried</w:t>
      </w:r>
      <w:r>
        <w:rPr>
          <w:spacing w:val="17"/>
        </w:rPr>
        <w:t xml:space="preserve"> </w:t>
      </w:r>
      <w:r>
        <w:rPr>
          <w:spacing w:val="-1"/>
        </w:rPr>
        <w:t>out</w:t>
      </w:r>
      <w:r>
        <w:rPr>
          <w:spacing w:val="19"/>
        </w:rPr>
        <w:t xml:space="preserve"> </w:t>
      </w:r>
      <w:r>
        <w:rPr>
          <w:spacing w:val="-1"/>
        </w:rPr>
        <w:t>by</w:t>
      </w:r>
      <w:r>
        <w:rPr>
          <w:spacing w:val="15"/>
        </w:rPr>
        <w:t xml:space="preserve"> </w:t>
      </w:r>
      <w:r>
        <w:t>the</w:t>
      </w:r>
      <w:r>
        <w:rPr>
          <w:spacing w:val="17"/>
        </w:rPr>
        <w:t xml:space="preserve"> </w:t>
      </w:r>
      <w:r>
        <w:rPr>
          <w:spacing w:val="-2"/>
        </w:rPr>
        <w:t>Customer</w:t>
      </w:r>
      <w:r>
        <w:rPr>
          <w:spacing w:val="54"/>
        </w:rPr>
        <w:t xml:space="preserve"> </w:t>
      </w:r>
      <w:r>
        <w:rPr>
          <w:spacing w:val="-1"/>
        </w:rPr>
        <w:t>at</w:t>
      </w:r>
      <w:r>
        <w:rPr>
          <w:spacing w:val="61"/>
        </w:rPr>
        <w:t xml:space="preserve"> </w:t>
      </w:r>
      <w:r>
        <w:t>the</w:t>
      </w:r>
      <w:r>
        <w:rPr>
          <w:spacing w:val="59"/>
        </w:rPr>
        <w:t xml:space="preserve"> </w:t>
      </w:r>
      <w:r>
        <w:rPr>
          <w:spacing w:val="-1"/>
        </w:rPr>
        <w:t>Supplier's</w:t>
      </w:r>
      <w:r>
        <w:rPr>
          <w:spacing w:val="59"/>
        </w:rPr>
        <w:t xml:space="preserve"> </w:t>
      </w:r>
      <w:r>
        <w:rPr>
          <w:spacing w:val="-1"/>
        </w:rPr>
        <w:t>expense.</w:t>
      </w:r>
      <w:r>
        <w:rPr>
          <w:spacing w:val="58"/>
        </w:rPr>
        <w:t xml:space="preserve"> </w:t>
      </w:r>
      <w:r>
        <w:t>The</w:t>
      </w:r>
      <w:r>
        <w:rPr>
          <w:spacing w:val="59"/>
        </w:rPr>
        <w:t xml:space="preserve"> </w:t>
      </w:r>
      <w:r>
        <w:rPr>
          <w:spacing w:val="-1"/>
        </w:rPr>
        <w:t>Customer</w:t>
      </w:r>
      <w:r>
        <w:rPr>
          <w:spacing w:val="58"/>
        </w:rPr>
        <w:t xml:space="preserve"> </w:t>
      </w:r>
      <w:r>
        <w:rPr>
          <w:spacing w:val="-1"/>
        </w:rPr>
        <w:t>shall</w:t>
      </w:r>
      <w:r>
        <w:rPr>
          <w:spacing w:val="59"/>
        </w:rPr>
        <w:t xml:space="preserve"> </w:t>
      </w:r>
      <w:r>
        <w:rPr>
          <w:spacing w:val="-1"/>
        </w:rPr>
        <w:t>undertake</w:t>
      </w:r>
      <w:r>
        <w:rPr>
          <w:spacing w:val="59"/>
        </w:rPr>
        <w:t xml:space="preserve"> </w:t>
      </w:r>
      <w:r>
        <w:rPr>
          <w:spacing w:val="-1"/>
        </w:rPr>
        <w:t>any</w:t>
      </w:r>
      <w:r>
        <w:rPr>
          <w:spacing w:val="26"/>
        </w:rPr>
        <w:t xml:space="preserve"> </w:t>
      </w:r>
      <w:r>
        <w:rPr>
          <w:spacing w:val="-1"/>
        </w:rPr>
        <w:t>modification</w:t>
      </w:r>
      <w:r>
        <w:rPr>
          <w:spacing w:val="53"/>
        </w:rPr>
        <w:t xml:space="preserve"> </w:t>
      </w:r>
      <w:r>
        <w:rPr>
          <w:spacing w:val="-2"/>
        </w:rPr>
        <w:t>work</w:t>
      </w:r>
      <w:r>
        <w:rPr>
          <w:spacing w:val="56"/>
        </w:rPr>
        <w:t xml:space="preserve"> </w:t>
      </w:r>
      <w:r>
        <w:rPr>
          <w:spacing w:val="-2"/>
        </w:rPr>
        <w:t>which</w:t>
      </w:r>
      <w:r>
        <w:rPr>
          <w:spacing w:val="53"/>
        </w:rPr>
        <w:t xml:space="preserve"> </w:t>
      </w:r>
      <w:r>
        <w:rPr>
          <w:spacing w:val="-1"/>
        </w:rPr>
        <w:t>it</w:t>
      </w:r>
      <w:r>
        <w:rPr>
          <w:spacing w:val="55"/>
        </w:rPr>
        <w:t xml:space="preserve"> </w:t>
      </w:r>
      <w:r>
        <w:rPr>
          <w:spacing w:val="-1"/>
        </w:rPr>
        <w:t>approves</w:t>
      </w:r>
      <w:r>
        <w:rPr>
          <w:spacing w:val="53"/>
        </w:rPr>
        <w:t xml:space="preserve"> </w:t>
      </w:r>
      <w:r>
        <w:rPr>
          <w:spacing w:val="-1"/>
        </w:rPr>
        <w:t>pursuant</w:t>
      </w:r>
      <w:r>
        <w:rPr>
          <w:spacing w:val="52"/>
        </w:rPr>
        <w:t xml:space="preserve"> </w:t>
      </w:r>
      <w:r>
        <w:rPr>
          <w:spacing w:val="-1"/>
        </w:rPr>
        <w:t>to</w:t>
      </w:r>
      <w:r>
        <w:rPr>
          <w:spacing w:val="54"/>
        </w:rPr>
        <w:t xml:space="preserve"> </w:t>
      </w:r>
      <w:r>
        <w:rPr>
          <w:spacing w:val="-1"/>
        </w:rPr>
        <w:t>this</w:t>
      </w:r>
      <w:r>
        <w:rPr>
          <w:spacing w:val="53"/>
        </w:rPr>
        <w:t xml:space="preserve"> </w:t>
      </w:r>
      <w:r>
        <w:rPr>
          <w:spacing w:val="-2"/>
        </w:rPr>
        <w:t>Clause</w:t>
      </w:r>
      <w:r>
        <w:rPr>
          <w:spacing w:val="55"/>
        </w:rPr>
        <w:t xml:space="preserve"> </w:t>
      </w:r>
      <w:hyperlink w:anchor="_bookmark155" w:history="1">
        <w:r>
          <w:rPr>
            <w:spacing w:val="-1"/>
          </w:rPr>
          <w:t>30.1.3</w:t>
        </w:r>
      </w:hyperlink>
      <w:r>
        <w:rPr>
          <w:spacing w:val="37"/>
        </w:rPr>
        <w:t xml:space="preserve"> </w:t>
      </w:r>
      <w:r>
        <w:rPr>
          <w:spacing w:val="-1"/>
        </w:rPr>
        <w:t>without</w:t>
      </w:r>
      <w:r>
        <w:rPr>
          <w:spacing w:val="33"/>
        </w:rPr>
        <w:t xml:space="preserve"> </w:t>
      </w:r>
      <w:r>
        <w:rPr>
          <w:spacing w:val="-1"/>
        </w:rPr>
        <w:t>undue</w:t>
      </w:r>
      <w:r>
        <w:rPr>
          <w:spacing w:val="32"/>
        </w:rPr>
        <w:t xml:space="preserve"> </w:t>
      </w:r>
      <w:r>
        <w:rPr>
          <w:spacing w:val="-2"/>
        </w:rPr>
        <w:t>delay.</w:t>
      </w:r>
      <w:r>
        <w:rPr>
          <w:spacing w:val="33"/>
        </w:rPr>
        <w:t xml:space="preserve"> </w:t>
      </w:r>
      <w:r>
        <w:rPr>
          <w:spacing w:val="-2"/>
        </w:rPr>
        <w:t>Ownership</w:t>
      </w:r>
      <w:r>
        <w:rPr>
          <w:spacing w:val="31"/>
        </w:rPr>
        <w:t xml:space="preserve"> </w:t>
      </w:r>
      <w:r>
        <w:rPr>
          <w:spacing w:val="-1"/>
        </w:rPr>
        <w:t>of</w:t>
      </w:r>
      <w:r>
        <w:rPr>
          <w:spacing w:val="33"/>
        </w:rPr>
        <w:t xml:space="preserve"> </w:t>
      </w:r>
      <w:r>
        <w:rPr>
          <w:spacing w:val="-1"/>
        </w:rPr>
        <w:t>such</w:t>
      </w:r>
      <w:r>
        <w:rPr>
          <w:spacing w:val="30"/>
        </w:rPr>
        <w:t xml:space="preserve"> </w:t>
      </w:r>
      <w:r>
        <w:rPr>
          <w:spacing w:val="-1"/>
        </w:rPr>
        <w:t>modifications</w:t>
      </w:r>
      <w:r>
        <w:rPr>
          <w:spacing w:val="32"/>
        </w:rPr>
        <w:t xml:space="preserve"> </w:t>
      </w:r>
      <w:r>
        <w:rPr>
          <w:spacing w:val="-1"/>
        </w:rPr>
        <w:t>shall</w:t>
      </w:r>
      <w:r>
        <w:rPr>
          <w:spacing w:val="32"/>
        </w:rPr>
        <w:t xml:space="preserve"> </w:t>
      </w:r>
      <w:r>
        <w:rPr>
          <w:spacing w:val="-1"/>
        </w:rPr>
        <w:t>rest</w:t>
      </w:r>
      <w:r>
        <w:rPr>
          <w:spacing w:val="33"/>
        </w:rPr>
        <w:t xml:space="preserve"> </w:t>
      </w:r>
      <w:r>
        <w:rPr>
          <w:spacing w:val="-2"/>
        </w:rPr>
        <w:t>with</w:t>
      </w:r>
      <w:r>
        <w:rPr>
          <w:spacing w:val="41"/>
        </w:rPr>
        <w:t xml:space="preserve"> </w:t>
      </w:r>
      <w:r>
        <w:t xml:space="preserve">the </w:t>
      </w:r>
      <w:r>
        <w:rPr>
          <w:spacing w:val="-1"/>
        </w:rPr>
        <w:t>Customer.</w:t>
      </w:r>
    </w:p>
    <w:p w:rsidR="008918FA" w:rsidRDefault="008918FA" w:rsidP="008918FA">
      <w:pPr>
        <w:pStyle w:val="BodyText"/>
        <w:numPr>
          <w:ilvl w:val="2"/>
          <w:numId w:val="66"/>
        </w:numPr>
        <w:tabs>
          <w:tab w:val="left" w:pos="2227"/>
        </w:tabs>
        <w:ind w:right="112"/>
        <w:jc w:val="both"/>
      </w:pPr>
      <w:r>
        <w:t>The</w:t>
      </w:r>
      <w:r>
        <w:rPr>
          <w:spacing w:val="5"/>
        </w:rPr>
        <w:t xml:space="preserve"> </w:t>
      </w:r>
      <w:r>
        <w:rPr>
          <w:spacing w:val="-2"/>
        </w:rPr>
        <w:t>Supplier</w:t>
      </w:r>
      <w:r>
        <w:rPr>
          <w:spacing w:val="4"/>
        </w:rPr>
        <w:t xml:space="preserve"> </w:t>
      </w:r>
      <w:r>
        <w:rPr>
          <w:spacing w:val="-1"/>
        </w:rPr>
        <w:t>shall</w:t>
      </w:r>
      <w:r>
        <w:rPr>
          <w:spacing w:val="4"/>
        </w:rPr>
        <w:t xml:space="preserve"> </w:t>
      </w:r>
      <w:r>
        <w:rPr>
          <w:spacing w:val="-2"/>
        </w:rPr>
        <w:t>observe</w:t>
      </w:r>
      <w:r>
        <w:rPr>
          <w:spacing w:val="5"/>
        </w:rPr>
        <w:t xml:space="preserve"> </w:t>
      </w:r>
      <w:r>
        <w:rPr>
          <w:spacing w:val="-1"/>
        </w:rPr>
        <w:t>and</w:t>
      </w:r>
      <w:r>
        <w:rPr>
          <w:spacing w:val="5"/>
        </w:rPr>
        <w:t xml:space="preserve"> </w:t>
      </w:r>
      <w:r>
        <w:rPr>
          <w:spacing w:val="-1"/>
        </w:rPr>
        <w:t>comply</w:t>
      </w:r>
      <w:r>
        <w:rPr>
          <w:spacing w:val="3"/>
        </w:rPr>
        <w:t xml:space="preserve"> </w:t>
      </w:r>
      <w:r>
        <w:rPr>
          <w:spacing w:val="-2"/>
        </w:rPr>
        <w:t>with</w:t>
      </w:r>
      <w:r>
        <w:rPr>
          <w:spacing w:val="5"/>
        </w:rPr>
        <w:t xml:space="preserve"> </w:t>
      </w:r>
      <w:r>
        <w:rPr>
          <w:spacing w:val="-1"/>
        </w:rPr>
        <w:t>such</w:t>
      </w:r>
      <w:r>
        <w:rPr>
          <w:spacing w:val="5"/>
        </w:rPr>
        <w:t xml:space="preserve"> </w:t>
      </w:r>
      <w:r>
        <w:rPr>
          <w:spacing w:val="-1"/>
        </w:rPr>
        <w:t>rules</w:t>
      </w:r>
      <w:r>
        <w:rPr>
          <w:spacing w:val="5"/>
        </w:rPr>
        <w:t xml:space="preserve"> </w:t>
      </w:r>
      <w:r>
        <w:rPr>
          <w:spacing w:val="-1"/>
        </w:rPr>
        <w:t>and</w:t>
      </w:r>
      <w:r>
        <w:rPr>
          <w:spacing w:val="3"/>
        </w:rPr>
        <w:t xml:space="preserve"> </w:t>
      </w:r>
      <w:r>
        <w:rPr>
          <w:spacing w:val="-1"/>
        </w:rPr>
        <w:t>regulations</w:t>
      </w:r>
      <w:r>
        <w:rPr>
          <w:spacing w:val="54"/>
        </w:rPr>
        <w:t xml:space="preserve"> </w:t>
      </w:r>
      <w:r>
        <w:rPr>
          <w:spacing w:val="-1"/>
        </w:rPr>
        <w:t>as</w:t>
      </w:r>
      <w:r>
        <w:rPr>
          <w:spacing w:val="8"/>
        </w:rPr>
        <w:t xml:space="preserve"> </w:t>
      </w:r>
      <w:r>
        <w:rPr>
          <w:spacing w:val="-1"/>
        </w:rPr>
        <w:t>may</w:t>
      </w:r>
      <w:r>
        <w:rPr>
          <w:spacing w:val="5"/>
        </w:rPr>
        <w:t xml:space="preserve"> </w:t>
      </w:r>
      <w:r>
        <w:rPr>
          <w:spacing w:val="-1"/>
        </w:rPr>
        <w:t>be</w:t>
      </w:r>
      <w:r>
        <w:rPr>
          <w:spacing w:val="7"/>
        </w:rPr>
        <w:t xml:space="preserve"> </w:t>
      </w:r>
      <w:r>
        <w:rPr>
          <w:spacing w:val="-1"/>
        </w:rPr>
        <w:t>in</w:t>
      </w:r>
      <w:r>
        <w:rPr>
          <w:spacing w:val="7"/>
        </w:rPr>
        <w:t xml:space="preserve"> </w:t>
      </w:r>
      <w:r>
        <w:t>force</w:t>
      </w:r>
      <w:r>
        <w:rPr>
          <w:spacing w:val="8"/>
        </w:rPr>
        <w:t xml:space="preserve"> </w:t>
      </w:r>
      <w:r>
        <w:rPr>
          <w:spacing w:val="-2"/>
        </w:rPr>
        <w:t>at</w:t>
      </w:r>
      <w:r>
        <w:rPr>
          <w:spacing w:val="9"/>
        </w:rPr>
        <w:t xml:space="preserve"> </w:t>
      </w:r>
      <w:r>
        <w:rPr>
          <w:spacing w:val="-1"/>
        </w:rPr>
        <w:t>any</w:t>
      </w:r>
      <w:r>
        <w:rPr>
          <w:spacing w:val="5"/>
        </w:rPr>
        <w:t xml:space="preserve"> </w:t>
      </w:r>
      <w:r>
        <w:rPr>
          <w:spacing w:val="-1"/>
        </w:rPr>
        <w:t>time</w:t>
      </w:r>
      <w:r>
        <w:rPr>
          <w:spacing w:val="7"/>
        </w:rPr>
        <w:t xml:space="preserve"> </w:t>
      </w:r>
      <w:r>
        <w:t>for</w:t>
      </w:r>
      <w:r>
        <w:rPr>
          <w:spacing w:val="9"/>
        </w:rPr>
        <w:t xml:space="preserve"> </w:t>
      </w:r>
      <w:r>
        <w:t>the</w:t>
      </w:r>
      <w:r>
        <w:rPr>
          <w:spacing w:val="7"/>
        </w:rPr>
        <w:t xml:space="preserve"> </w:t>
      </w:r>
      <w:r>
        <w:rPr>
          <w:spacing w:val="-1"/>
        </w:rPr>
        <w:t>use</w:t>
      </w:r>
      <w:r>
        <w:rPr>
          <w:spacing w:val="8"/>
        </w:rPr>
        <w:t xml:space="preserve"> </w:t>
      </w:r>
      <w:r>
        <w:rPr>
          <w:spacing w:val="-2"/>
        </w:rPr>
        <w:t>of</w:t>
      </w:r>
      <w:r>
        <w:rPr>
          <w:spacing w:val="11"/>
        </w:rPr>
        <w:t xml:space="preserve"> </w:t>
      </w:r>
      <w:r>
        <w:rPr>
          <w:spacing w:val="-2"/>
        </w:rPr>
        <w:t>such</w:t>
      </w:r>
      <w:r>
        <w:rPr>
          <w:spacing w:val="7"/>
        </w:rPr>
        <w:t xml:space="preserve"> </w:t>
      </w:r>
      <w:r>
        <w:rPr>
          <w:spacing w:val="-1"/>
        </w:rPr>
        <w:t>Customer</w:t>
      </w:r>
      <w:r>
        <w:rPr>
          <w:spacing w:val="9"/>
        </w:rPr>
        <w:t xml:space="preserve"> </w:t>
      </w:r>
      <w:r>
        <w:rPr>
          <w:spacing w:val="-1"/>
        </w:rPr>
        <w:t>Premises</w:t>
      </w:r>
      <w:r>
        <w:rPr>
          <w:spacing w:val="33"/>
        </w:rPr>
        <w:t xml:space="preserve"> </w:t>
      </w:r>
      <w:r>
        <w:rPr>
          <w:spacing w:val="-1"/>
        </w:rPr>
        <w:t>and</w:t>
      </w:r>
      <w:r>
        <w:rPr>
          <w:spacing w:val="10"/>
        </w:rPr>
        <w:t xml:space="preserve"> </w:t>
      </w:r>
      <w:r>
        <w:rPr>
          <w:spacing w:val="-1"/>
        </w:rPr>
        <w:t>conduct</w:t>
      </w:r>
      <w:r>
        <w:rPr>
          <w:spacing w:val="9"/>
        </w:rPr>
        <w:t xml:space="preserve"> </w:t>
      </w:r>
      <w:r>
        <w:rPr>
          <w:spacing w:val="-2"/>
        </w:rPr>
        <w:t>of</w:t>
      </w:r>
      <w:r>
        <w:rPr>
          <w:spacing w:val="11"/>
        </w:rPr>
        <w:t xml:space="preserve"> </w:t>
      </w:r>
      <w:r>
        <w:rPr>
          <w:spacing w:val="-1"/>
        </w:rPr>
        <w:t>personnel</w:t>
      </w:r>
      <w:r>
        <w:rPr>
          <w:spacing w:val="9"/>
        </w:rPr>
        <w:t xml:space="preserve"> </w:t>
      </w:r>
      <w:r>
        <w:rPr>
          <w:spacing w:val="-1"/>
        </w:rPr>
        <w:t>at</w:t>
      </w:r>
      <w:r>
        <w:rPr>
          <w:spacing w:val="11"/>
        </w:rPr>
        <w:t xml:space="preserve"> </w:t>
      </w:r>
      <w:r>
        <w:rPr>
          <w:spacing w:val="-1"/>
        </w:rPr>
        <w:t>the</w:t>
      </w:r>
      <w:r>
        <w:rPr>
          <w:spacing w:val="10"/>
        </w:rPr>
        <w:t xml:space="preserve"> </w:t>
      </w:r>
      <w:r>
        <w:rPr>
          <w:spacing w:val="-2"/>
        </w:rPr>
        <w:t>Customer</w:t>
      </w:r>
      <w:r>
        <w:rPr>
          <w:spacing w:val="11"/>
        </w:rPr>
        <w:t xml:space="preserve"> </w:t>
      </w:r>
      <w:r>
        <w:rPr>
          <w:spacing w:val="-1"/>
        </w:rPr>
        <w:t>Premises</w:t>
      </w:r>
      <w:r>
        <w:rPr>
          <w:spacing w:val="10"/>
        </w:rPr>
        <w:t xml:space="preserve"> </w:t>
      </w:r>
      <w:r>
        <w:rPr>
          <w:spacing w:val="-1"/>
        </w:rPr>
        <w:t>as</w:t>
      </w:r>
      <w:r>
        <w:rPr>
          <w:spacing w:val="10"/>
        </w:rPr>
        <w:t xml:space="preserve"> </w:t>
      </w:r>
      <w:r>
        <w:rPr>
          <w:spacing w:val="-1"/>
        </w:rPr>
        <w:t>determined</w:t>
      </w:r>
      <w:r>
        <w:rPr>
          <w:spacing w:val="10"/>
        </w:rPr>
        <w:t xml:space="preserve"> </w:t>
      </w:r>
      <w:r>
        <w:rPr>
          <w:spacing w:val="-1"/>
        </w:rPr>
        <w:t>by</w:t>
      </w:r>
      <w:r>
        <w:rPr>
          <w:spacing w:val="28"/>
        </w:rPr>
        <w:t xml:space="preserve"> </w:t>
      </w:r>
      <w:r>
        <w:t>the</w:t>
      </w:r>
      <w:r>
        <w:rPr>
          <w:spacing w:val="36"/>
        </w:rPr>
        <w:t xml:space="preserve"> </w:t>
      </w:r>
      <w:r>
        <w:rPr>
          <w:spacing w:val="-1"/>
        </w:rPr>
        <w:t>Customer,</w:t>
      </w:r>
      <w:r>
        <w:rPr>
          <w:spacing w:val="38"/>
        </w:rPr>
        <w:t xml:space="preserve"> </w:t>
      </w:r>
      <w:r>
        <w:rPr>
          <w:spacing w:val="-1"/>
        </w:rPr>
        <w:t>and</w:t>
      </w:r>
      <w:r>
        <w:rPr>
          <w:spacing w:val="34"/>
        </w:rPr>
        <w:t xml:space="preserve"> </w:t>
      </w:r>
      <w:r>
        <w:t>the</w:t>
      </w:r>
      <w:r>
        <w:rPr>
          <w:spacing w:val="34"/>
        </w:rPr>
        <w:t xml:space="preserve"> </w:t>
      </w:r>
      <w:r>
        <w:rPr>
          <w:spacing w:val="-2"/>
        </w:rPr>
        <w:t>Supplier</w:t>
      </w:r>
      <w:r>
        <w:rPr>
          <w:spacing w:val="38"/>
        </w:rPr>
        <w:t xml:space="preserve"> </w:t>
      </w:r>
      <w:r>
        <w:rPr>
          <w:spacing w:val="-1"/>
        </w:rPr>
        <w:t>shall</w:t>
      </w:r>
      <w:r>
        <w:rPr>
          <w:spacing w:val="36"/>
        </w:rPr>
        <w:t xml:space="preserve"> </w:t>
      </w:r>
      <w:r>
        <w:rPr>
          <w:spacing w:val="-1"/>
        </w:rPr>
        <w:t>pay</w:t>
      </w:r>
      <w:r>
        <w:rPr>
          <w:spacing w:val="35"/>
        </w:rPr>
        <w:t xml:space="preserve"> </w:t>
      </w:r>
      <w:r>
        <w:t>for</w:t>
      </w:r>
      <w:r>
        <w:rPr>
          <w:spacing w:val="35"/>
        </w:rPr>
        <w:t xml:space="preserve"> </w:t>
      </w:r>
      <w:r>
        <w:rPr>
          <w:spacing w:val="-1"/>
        </w:rPr>
        <w:t>the</w:t>
      </w:r>
      <w:r>
        <w:rPr>
          <w:spacing w:val="34"/>
        </w:rPr>
        <w:t xml:space="preserve"> </w:t>
      </w:r>
      <w:r>
        <w:t>full</w:t>
      </w:r>
      <w:r>
        <w:rPr>
          <w:spacing w:val="36"/>
        </w:rPr>
        <w:t xml:space="preserve"> </w:t>
      </w:r>
      <w:r>
        <w:rPr>
          <w:spacing w:val="-1"/>
        </w:rPr>
        <w:t>cost</w:t>
      </w:r>
      <w:r>
        <w:rPr>
          <w:spacing w:val="38"/>
        </w:rPr>
        <w:t xml:space="preserve"> </w:t>
      </w:r>
      <w:r>
        <w:rPr>
          <w:spacing w:val="-2"/>
        </w:rPr>
        <w:t>of</w:t>
      </w:r>
      <w:r>
        <w:rPr>
          <w:spacing w:val="35"/>
        </w:rPr>
        <w:t xml:space="preserve"> </w:t>
      </w:r>
      <w:r>
        <w:rPr>
          <w:spacing w:val="-1"/>
        </w:rPr>
        <w:t>making</w:t>
      </w:r>
      <w:r>
        <w:rPr>
          <w:spacing w:val="34"/>
        </w:rPr>
        <w:t xml:space="preserve"> </w:t>
      </w:r>
      <w:r>
        <w:t>good</w:t>
      </w:r>
      <w:r>
        <w:rPr>
          <w:spacing w:val="38"/>
        </w:rPr>
        <w:t xml:space="preserve"> </w:t>
      </w:r>
      <w:r>
        <w:rPr>
          <w:spacing w:val="-1"/>
        </w:rPr>
        <w:t>any</w:t>
      </w:r>
      <w:r>
        <w:rPr>
          <w:spacing w:val="36"/>
        </w:rPr>
        <w:t xml:space="preserve"> </w:t>
      </w:r>
      <w:r>
        <w:rPr>
          <w:spacing w:val="-1"/>
        </w:rPr>
        <w:t>damage</w:t>
      </w:r>
      <w:r>
        <w:rPr>
          <w:spacing w:val="36"/>
        </w:rPr>
        <w:t xml:space="preserve"> </w:t>
      </w:r>
      <w:r>
        <w:rPr>
          <w:spacing w:val="-1"/>
        </w:rPr>
        <w:t>caused</w:t>
      </w:r>
      <w:r>
        <w:rPr>
          <w:spacing w:val="38"/>
        </w:rPr>
        <w:t xml:space="preserve"> </w:t>
      </w:r>
      <w:r>
        <w:rPr>
          <w:spacing w:val="-1"/>
        </w:rPr>
        <w:t>by</w:t>
      </w:r>
      <w:r>
        <w:rPr>
          <w:spacing w:val="36"/>
        </w:rPr>
        <w:t xml:space="preserve"> </w:t>
      </w:r>
      <w:r>
        <w:t>the</w:t>
      </w:r>
      <w:r>
        <w:rPr>
          <w:spacing w:val="40"/>
        </w:rPr>
        <w:t xml:space="preserve"> </w:t>
      </w:r>
      <w:r>
        <w:rPr>
          <w:spacing w:val="-2"/>
        </w:rPr>
        <w:t>Supplier</w:t>
      </w:r>
      <w:r>
        <w:rPr>
          <w:spacing w:val="41"/>
        </w:rPr>
        <w:t xml:space="preserve"> </w:t>
      </w:r>
      <w:r>
        <w:rPr>
          <w:spacing w:val="-1"/>
        </w:rPr>
        <w:t>Personnel</w:t>
      </w:r>
      <w:r>
        <w:rPr>
          <w:spacing w:val="39"/>
        </w:rPr>
        <w:t xml:space="preserve"> </w:t>
      </w:r>
      <w:r>
        <w:rPr>
          <w:spacing w:val="-1"/>
        </w:rPr>
        <w:t>other</w:t>
      </w:r>
      <w:r>
        <w:rPr>
          <w:spacing w:val="38"/>
        </w:rPr>
        <w:t xml:space="preserve"> </w:t>
      </w:r>
      <w:r>
        <w:rPr>
          <w:spacing w:val="-1"/>
        </w:rPr>
        <w:t>than</w:t>
      </w:r>
      <w:r>
        <w:rPr>
          <w:spacing w:val="36"/>
        </w:rPr>
        <w:t xml:space="preserve"> </w:t>
      </w:r>
      <w:r>
        <w:rPr>
          <w:spacing w:val="-1"/>
        </w:rPr>
        <w:t>fair</w:t>
      </w:r>
      <w:r>
        <w:rPr>
          <w:spacing w:val="41"/>
        </w:rPr>
        <w:t xml:space="preserve"> </w:t>
      </w:r>
      <w:r>
        <w:rPr>
          <w:spacing w:val="-2"/>
        </w:rPr>
        <w:t>wear</w:t>
      </w:r>
      <w:r>
        <w:rPr>
          <w:spacing w:val="30"/>
        </w:rPr>
        <w:t xml:space="preserve"> </w:t>
      </w:r>
      <w:r>
        <w:rPr>
          <w:spacing w:val="-1"/>
        </w:rPr>
        <w:t>and</w:t>
      </w:r>
      <w:r>
        <w:rPr>
          <w:spacing w:val="29"/>
        </w:rPr>
        <w:t xml:space="preserve"> </w:t>
      </w:r>
      <w:r>
        <w:rPr>
          <w:spacing w:val="-1"/>
        </w:rPr>
        <w:t>tear.</w:t>
      </w:r>
      <w:r>
        <w:rPr>
          <w:spacing w:val="28"/>
        </w:rPr>
        <w:t xml:space="preserve"> </w:t>
      </w:r>
      <w:r>
        <w:rPr>
          <w:spacing w:val="-1"/>
        </w:rPr>
        <w:t>For</w:t>
      </w:r>
      <w:r>
        <w:rPr>
          <w:spacing w:val="28"/>
        </w:rPr>
        <w:t xml:space="preserve"> </w:t>
      </w:r>
      <w:r>
        <w:t>the</w:t>
      </w:r>
      <w:r>
        <w:rPr>
          <w:spacing w:val="27"/>
        </w:rPr>
        <w:t xml:space="preserve"> </w:t>
      </w:r>
      <w:r>
        <w:rPr>
          <w:spacing w:val="-2"/>
        </w:rPr>
        <w:t>avoidance</w:t>
      </w:r>
      <w:r>
        <w:rPr>
          <w:spacing w:val="30"/>
        </w:rPr>
        <w:t xml:space="preserve"> </w:t>
      </w:r>
      <w:r>
        <w:rPr>
          <w:spacing w:val="-1"/>
        </w:rPr>
        <w:t>of</w:t>
      </w:r>
      <w:r>
        <w:rPr>
          <w:spacing w:val="33"/>
        </w:rPr>
        <w:t xml:space="preserve"> </w:t>
      </w:r>
      <w:r>
        <w:rPr>
          <w:spacing w:val="-1"/>
        </w:rPr>
        <w:t>doubt,</w:t>
      </w:r>
      <w:r>
        <w:rPr>
          <w:spacing w:val="28"/>
        </w:rPr>
        <w:t xml:space="preserve"> </w:t>
      </w:r>
      <w:r>
        <w:rPr>
          <w:spacing w:val="-1"/>
        </w:rPr>
        <w:t>damage</w:t>
      </w:r>
      <w:r>
        <w:rPr>
          <w:spacing w:val="29"/>
        </w:rPr>
        <w:t xml:space="preserve"> </w:t>
      </w:r>
      <w:r>
        <w:rPr>
          <w:spacing w:val="-1"/>
        </w:rPr>
        <w:t>includes</w:t>
      </w:r>
      <w:r>
        <w:rPr>
          <w:spacing w:val="30"/>
        </w:rPr>
        <w:t xml:space="preserve"> </w:t>
      </w:r>
      <w:r>
        <w:rPr>
          <w:spacing w:val="-2"/>
        </w:rPr>
        <w:t>without</w:t>
      </w:r>
      <w:r>
        <w:rPr>
          <w:spacing w:val="46"/>
        </w:rPr>
        <w:t xml:space="preserve"> </w:t>
      </w:r>
      <w:r>
        <w:rPr>
          <w:spacing w:val="-1"/>
        </w:rPr>
        <w:t>limitation</w:t>
      </w:r>
      <w:r>
        <w:rPr>
          <w:spacing w:val="17"/>
        </w:rPr>
        <w:t xml:space="preserve"> </w:t>
      </w:r>
      <w:r>
        <w:rPr>
          <w:spacing w:val="-1"/>
        </w:rPr>
        <w:t>damage</w:t>
      </w:r>
      <w:r>
        <w:rPr>
          <w:spacing w:val="15"/>
        </w:rPr>
        <w:t xml:space="preserve"> </w:t>
      </w:r>
      <w:r>
        <w:t>to</w:t>
      </w:r>
      <w:r>
        <w:rPr>
          <w:spacing w:val="15"/>
        </w:rPr>
        <w:t xml:space="preserve"> </w:t>
      </w:r>
      <w:r>
        <w:t>the</w:t>
      </w:r>
      <w:r>
        <w:rPr>
          <w:spacing w:val="12"/>
        </w:rPr>
        <w:t xml:space="preserve"> </w:t>
      </w:r>
      <w:r>
        <w:rPr>
          <w:spacing w:val="-1"/>
        </w:rPr>
        <w:t>fabric</w:t>
      </w:r>
      <w:r>
        <w:rPr>
          <w:spacing w:val="15"/>
        </w:rPr>
        <w:t xml:space="preserve"> </w:t>
      </w:r>
      <w:r>
        <w:rPr>
          <w:spacing w:val="-2"/>
        </w:rPr>
        <w:t>of</w:t>
      </w:r>
      <w:r>
        <w:rPr>
          <w:spacing w:val="20"/>
        </w:rPr>
        <w:t xml:space="preserve"> </w:t>
      </w:r>
      <w:r>
        <w:t>the</w:t>
      </w:r>
      <w:r>
        <w:rPr>
          <w:spacing w:val="17"/>
        </w:rPr>
        <w:t xml:space="preserve"> </w:t>
      </w:r>
      <w:r>
        <w:rPr>
          <w:spacing w:val="-2"/>
        </w:rPr>
        <w:t>buildings,</w:t>
      </w:r>
      <w:r>
        <w:rPr>
          <w:spacing w:val="16"/>
        </w:rPr>
        <w:t xml:space="preserve"> </w:t>
      </w:r>
      <w:r>
        <w:rPr>
          <w:spacing w:val="-1"/>
        </w:rPr>
        <w:t>plant,</w:t>
      </w:r>
      <w:r>
        <w:rPr>
          <w:spacing w:val="16"/>
        </w:rPr>
        <w:t xml:space="preserve"> </w:t>
      </w:r>
      <w:r>
        <w:rPr>
          <w:spacing w:val="-1"/>
        </w:rPr>
        <w:t>fixed</w:t>
      </w:r>
      <w:r>
        <w:rPr>
          <w:spacing w:val="17"/>
        </w:rPr>
        <w:t xml:space="preserve"> </w:t>
      </w:r>
      <w:r>
        <w:rPr>
          <w:spacing w:val="-1"/>
        </w:rPr>
        <w:t>equipment</w:t>
      </w:r>
      <w:r>
        <w:rPr>
          <w:spacing w:val="51"/>
        </w:rPr>
        <w:t xml:space="preserve"> </w:t>
      </w:r>
      <w:r>
        <w:rPr>
          <w:spacing w:val="-1"/>
        </w:rPr>
        <w:t>or fittings therein.</w:t>
      </w:r>
    </w:p>
    <w:p w:rsidR="008918FA" w:rsidRDefault="008918FA" w:rsidP="008918FA">
      <w:pPr>
        <w:pStyle w:val="BodyText"/>
        <w:numPr>
          <w:ilvl w:val="2"/>
          <w:numId w:val="66"/>
        </w:numPr>
        <w:tabs>
          <w:tab w:val="left" w:pos="2227"/>
        </w:tabs>
        <w:ind w:right="114"/>
        <w:jc w:val="both"/>
      </w:pPr>
      <w:r>
        <w:t xml:space="preserve">The </w:t>
      </w:r>
      <w:r>
        <w:rPr>
          <w:spacing w:val="-1"/>
        </w:rPr>
        <w:t>Parties</w:t>
      </w:r>
      <w:r>
        <w:rPr>
          <w:spacing w:val="1"/>
        </w:rPr>
        <w:t xml:space="preserve"> </w:t>
      </w:r>
      <w:r>
        <w:rPr>
          <w:spacing w:val="-1"/>
        </w:rPr>
        <w:t>agree</w:t>
      </w:r>
      <w:r>
        <w:t xml:space="preserve"> </w:t>
      </w:r>
      <w:r>
        <w:rPr>
          <w:spacing w:val="-1"/>
        </w:rPr>
        <w:t>that</w:t>
      </w:r>
      <w:r>
        <w:t xml:space="preserve"> </w:t>
      </w:r>
      <w:r>
        <w:rPr>
          <w:spacing w:val="-1"/>
        </w:rPr>
        <w:t>there</w:t>
      </w:r>
      <w:r>
        <w:t xml:space="preserve"> </w:t>
      </w:r>
      <w:r>
        <w:rPr>
          <w:spacing w:val="-1"/>
        </w:rPr>
        <w:t>is</w:t>
      </w:r>
      <w:r>
        <w:rPr>
          <w:spacing w:val="1"/>
        </w:rPr>
        <w:t xml:space="preserve"> </w:t>
      </w:r>
      <w:r>
        <w:rPr>
          <w:spacing w:val="-1"/>
        </w:rPr>
        <w:t>no</w:t>
      </w:r>
      <w:r>
        <w:t xml:space="preserve"> </w:t>
      </w:r>
      <w:r>
        <w:rPr>
          <w:spacing w:val="-1"/>
        </w:rPr>
        <w:t>intention</w:t>
      </w:r>
      <w:r>
        <w:t xml:space="preserve"> </w:t>
      </w:r>
      <w:r>
        <w:rPr>
          <w:spacing w:val="-1"/>
        </w:rPr>
        <w:t>on</w:t>
      </w:r>
      <w:r>
        <w:t xml:space="preserve"> the </w:t>
      </w:r>
      <w:r>
        <w:rPr>
          <w:spacing w:val="-1"/>
        </w:rPr>
        <w:t>part</w:t>
      </w:r>
      <w:r>
        <w:rPr>
          <w:spacing w:val="2"/>
        </w:rPr>
        <w:t xml:space="preserve"> </w:t>
      </w:r>
      <w:r>
        <w:rPr>
          <w:spacing w:val="-2"/>
        </w:rPr>
        <w:t>of</w:t>
      </w:r>
      <w:r>
        <w:rPr>
          <w:spacing w:val="4"/>
        </w:rPr>
        <w:t xml:space="preserve"> </w:t>
      </w:r>
      <w:r>
        <w:t xml:space="preserve">the </w:t>
      </w:r>
      <w:r>
        <w:rPr>
          <w:spacing w:val="-2"/>
        </w:rPr>
        <w:t>Customer</w:t>
      </w:r>
      <w:r>
        <w:rPr>
          <w:spacing w:val="49"/>
        </w:rPr>
        <w:t xml:space="preserve"> </w:t>
      </w:r>
      <w:r>
        <w:t>to</w:t>
      </w:r>
      <w:r>
        <w:rPr>
          <w:spacing w:val="10"/>
        </w:rPr>
        <w:t xml:space="preserve"> </w:t>
      </w:r>
      <w:r>
        <w:rPr>
          <w:spacing w:val="-1"/>
        </w:rPr>
        <w:t>create</w:t>
      </w:r>
      <w:r>
        <w:rPr>
          <w:spacing w:val="10"/>
        </w:rPr>
        <w:t xml:space="preserve"> </w:t>
      </w:r>
      <w:r>
        <w:t>a</w:t>
      </w:r>
      <w:r>
        <w:rPr>
          <w:spacing w:val="10"/>
        </w:rPr>
        <w:t xml:space="preserve"> </w:t>
      </w:r>
      <w:r>
        <w:rPr>
          <w:spacing w:val="-1"/>
        </w:rPr>
        <w:t>tenancy</w:t>
      </w:r>
      <w:r>
        <w:rPr>
          <w:spacing w:val="8"/>
        </w:rPr>
        <w:t xml:space="preserve"> </w:t>
      </w:r>
      <w:r>
        <w:rPr>
          <w:spacing w:val="-2"/>
        </w:rPr>
        <w:t>of</w:t>
      </w:r>
      <w:r>
        <w:rPr>
          <w:spacing w:val="14"/>
        </w:rPr>
        <w:t xml:space="preserve"> </w:t>
      </w:r>
      <w:r>
        <w:rPr>
          <w:spacing w:val="-1"/>
        </w:rPr>
        <w:t>any</w:t>
      </w:r>
      <w:r>
        <w:rPr>
          <w:spacing w:val="8"/>
        </w:rPr>
        <w:t xml:space="preserve"> </w:t>
      </w:r>
      <w:r>
        <w:rPr>
          <w:spacing w:val="-1"/>
        </w:rPr>
        <w:t>nature</w:t>
      </w:r>
      <w:r>
        <w:rPr>
          <w:spacing w:val="10"/>
        </w:rPr>
        <w:t xml:space="preserve"> </w:t>
      </w:r>
      <w:r>
        <w:rPr>
          <w:spacing w:val="-2"/>
        </w:rPr>
        <w:t>whatsoever</w:t>
      </w:r>
      <w:r>
        <w:rPr>
          <w:spacing w:val="11"/>
        </w:rPr>
        <w:t xml:space="preserve"> </w:t>
      </w:r>
      <w:r>
        <w:rPr>
          <w:spacing w:val="-1"/>
        </w:rPr>
        <w:t>in</w:t>
      </w:r>
      <w:r>
        <w:rPr>
          <w:spacing w:val="15"/>
        </w:rPr>
        <w:t xml:space="preserve"> </w:t>
      </w:r>
      <w:r>
        <w:rPr>
          <w:spacing w:val="-1"/>
        </w:rPr>
        <w:t>favour</w:t>
      </w:r>
      <w:r>
        <w:rPr>
          <w:spacing w:val="11"/>
        </w:rPr>
        <w:t xml:space="preserve"> </w:t>
      </w:r>
      <w:r>
        <w:rPr>
          <w:spacing w:val="-2"/>
        </w:rPr>
        <w:t>of</w:t>
      </w:r>
      <w:r>
        <w:rPr>
          <w:spacing w:val="14"/>
        </w:rPr>
        <w:t xml:space="preserve"> </w:t>
      </w:r>
      <w:r>
        <w:t>the</w:t>
      </w:r>
      <w:r>
        <w:rPr>
          <w:spacing w:val="10"/>
        </w:rPr>
        <w:t xml:space="preserve"> </w:t>
      </w:r>
      <w:r>
        <w:rPr>
          <w:spacing w:val="-2"/>
        </w:rPr>
        <w:t>Supplier</w:t>
      </w:r>
      <w:r>
        <w:rPr>
          <w:spacing w:val="60"/>
        </w:rPr>
        <w:t xml:space="preserve"> </w:t>
      </w:r>
      <w:r>
        <w:rPr>
          <w:spacing w:val="-1"/>
        </w:rPr>
        <w:t>or</w:t>
      </w:r>
      <w:r>
        <w:rPr>
          <w:spacing w:val="11"/>
        </w:rPr>
        <w:t xml:space="preserve"> </w:t>
      </w:r>
      <w:r>
        <w:t>the</w:t>
      </w:r>
      <w:r>
        <w:rPr>
          <w:spacing w:val="10"/>
        </w:rPr>
        <w:t xml:space="preserve"> </w:t>
      </w:r>
      <w:r>
        <w:rPr>
          <w:spacing w:val="-2"/>
        </w:rPr>
        <w:t>Supplier</w:t>
      </w:r>
      <w:r>
        <w:rPr>
          <w:spacing w:val="11"/>
        </w:rPr>
        <w:t xml:space="preserve"> </w:t>
      </w:r>
      <w:r>
        <w:rPr>
          <w:spacing w:val="-1"/>
        </w:rPr>
        <w:t>Personnel</w:t>
      </w:r>
      <w:r>
        <w:rPr>
          <w:spacing w:val="10"/>
        </w:rPr>
        <w:t xml:space="preserve"> </w:t>
      </w:r>
      <w:r>
        <w:rPr>
          <w:spacing w:val="-1"/>
        </w:rPr>
        <w:t>and</w:t>
      </w:r>
      <w:r>
        <w:rPr>
          <w:spacing w:val="10"/>
        </w:rPr>
        <w:t xml:space="preserve"> </w:t>
      </w:r>
      <w:r>
        <w:rPr>
          <w:spacing w:val="-1"/>
        </w:rPr>
        <w:t>that</w:t>
      </w:r>
      <w:r>
        <w:rPr>
          <w:spacing w:val="11"/>
        </w:rPr>
        <w:t xml:space="preserve"> </w:t>
      </w:r>
      <w:r>
        <w:rPr>
          <w:spacing w:val="-1"/>
        </w:rPr>
        <w:t>no</w:t>
      </w:r>
      <w:r>
        <w:rPr>
          <w:spacing w:val="10"/>
        </w:rPr>
        <w:t xml:space="preserve"> </w:t>
      </w:r>
      <w:r>
        <w:rPr>
          <w:spacing w:val="-1"/>
        </w:rPr>
        <w:t>such</w:t>
      </w:r>
      <w:r>
        <w:rPr>
          <w:spacing w:val="10"/>
        </w:rPr>
        <w:t xml:space="preserve"> </w:t>
      </w:r>
      <w:r>
        <w:rPr>
          <w:spacing w:val="-1"/>
        </w:rPr>
        <w:t>tenancy</w:t>
      </w:r>
      <w:r>
        <w:rPr>
          <w:spacing w:val="8"/>
        </w:rPr>
        <w:t xml:space="preserve"> </w:t>
      </w:r>
      <w:r>
        <w:rPr>
          <w:spacing w:val="-1"/>
        </w:rPr>
        <w:t>has</w:t>
      </w:r>
      <w:r>
        <w:rPr>
          <w:spacing w:val="10"/>
        </w:rPr>
        <w:t xml:space="preserve"> </w:t>
      </w:r>
      <w:r>
        <w:rPr>
          <w:spacing w:val="-1"/>
        </w:rPr>
        <w:t>or</w:t>
      </w:r>
      <w:r>
        <w:rPr>
          <w:spacing w:val="11"/>
        </w:rPr>
        <w:t xml:space="preserve"> </w:t>
      </w:r>
      <w:r>
        <w:rPr>
          <w:spacing w:val="-1"/>
        </w:rPr>
        <w:t>shall</w:t>
      </w:r>
      <w:r>
        <w:rPr>
          <w:spacing w:val="9"/>
        </w:rPr>
        <w:t xml:space="preserve"> </w:t>
      </w:r>
      <w:r>
        <w:rPr>
          <w:spacing w:val="-1"/>
        </w:rPr>
        <w:t>come</w:t>
      </w:r>
      <w:r>
        <w:rPr>
          <w:spacing w:val="47"/>
        </w:rPr>
        <w:t xml:space="preserve"> </w:t>
      </w:r>
      <w:r>
        <w:rPr>
          <w:spacing w:val="-1"/>
        </w:rPr>
        <w:t>into</w:t>
      </w:r>
      <w:r>
        <w:rPr>
          <w:spacing w:val="5"/>
        </w:rPr>
        <w:t xml:space="preserve"> </w:t>
      </w:r>
      <w:r>
        <w:rPr>
          <w:spacing w:val="-1"/>
        </w:rPr>
        <w:t>being</w:t>
      </w:r>
      <w:r>
        <w:rPr>
          <w:spacing w:val="7"/>
        </w:rPr>
        <w:t xml:space="preserve"> </w:t>
      </w:r>
      <w:r>
        <w:rPr>
          <w:spacing w:val="-1"/>
        </w:rPr>
        <w:t>and,</w:t>
      </w:r>
      <w:r>
        <w:rPr>
          <w:spacing w:val="7"/>
        </w:rPr>
        <w:t xml:space="preserve"> </w:t>
      </w:r>
      <w:r>
        <w:rPr>
          <w:spacing w:val="-2"/>
        </w:rPr>
        <w:t>notwithstanding</w:t>
      </w:r>
      <w:r>
        <w:rPr>
          <w:spacing w:val="7"/>
        </w:rPr>
        <w:t xml:space="preserve"> </w:t>
      </w:r>
      <w:r>
        <w:rPr>
          <w:spacing w:val="-1"/>
        </w:rPr>
        <w:t>any</w:t>
      </w:r>
      <w:r>
        <w:rPr>
          <w:spacing w:val="3"/>
        </w:rPr>
        <w:t xml:space="preserve"> </w:t>
      </w:r>
      <w:r>
        <w:rPr>
          <w:spacing w:val="-1"/>
        </w:rPr>
        <w:t>rights</w:t>
      </w:r>
      <w:r>
        <w:rPr>
          <w:spacing w:val="3"/>
        </w:rPr>
        <w:t xml:space="preserve"> </w:t>
      </w:r>
      <w:r>
        <w:rPr>
          <w:spacing w:val="-1"/>
        </w:rPr>
        <w:t>granted</w:t>
      </w:r>
      <w:r>
        <w:rPr>
          <w:spacing w:val="5"/>
        </w:rPr>
        <w:t xml:space="preserve"> </w:t>
      </w:r>
      <w:r>
        <w:rPr>
          <w:spacing w:val="-1"/>
        </w:rPr>
        <w:t>pursuant</w:t>
      </w:r>
      <w:r>
        <w:rPr>
          <w:spacing w:val="4"/>
        </w:rPr>
        <w:t xml:space="preserve"> </w:t>
      </w:r>
      <w:r>
        <w:t>to</w:t>
      </w:r>
      <w:r>
        <w:rPr>
          <w:spacing w:val="5"/>
        </w:rPr>
        <w:t xml:space="preserve"> </w:t>
      </w:r>
      <w:r>
        <w:rPr>
          <w:spacing w:val="-1"/>
        </w:rPr>
        <w:t>this</w:t>
      </w:r>
      <w:r>
        <w:rPr>
          <w:spacing w:val="5"/>
        </w:rPr>
        <w:t xml:space="preserve"> </w:t>
      </w:r>
      <w:r>
        <w:rPr>
          <w:spacing w:val="-2"/>
        </w:rPr>
        <w:t>Call</w:t>
      </w:r>
      <w:r>
        <w:rPr>
          <w:spacing w:val="65"/>
        </w:rPr>
        <w:t xml:space="preserve"> </w:t>
      </w:r>
      <w:r>
        <w:rPr>
          <w:spacing w:val="-1"/>
        </w:rPr>
        <w:t>Off</w:t>
      </w:r>
      <w:r>
        <w:rPr>
          <w:spacing w:val="42"/>
        </w:rPr>
        <w:t xml:space="preserve"> </w:t>
      </w:r>
      <w:r>
        <w:rPr>
          <w:spacing w:val="-1"/>
        </w:rPr>
        <w:t>Contract,</w:t>
      </w:r>
      <w:r>
        <w:rPr>
          <w:spacing w:val="42"/>
        </w:rPr>
        <w:t xml:space="preserve"> </w:t>
      </w:r>
      <w:r>
        <w:t>the</w:t>
      </w:r>
      <w:r>
        <w:rPr>
          <w:spacing w:val="38"/>
        </w:rPr>
        <w:t xml:space="preserve"> </w:t>
      </w:r>
      <w:r>
        <w:rPr>
          <w:spacing w:val="-1"/>
        </w:rPr>
        <w:t>Customer</w:t>
      </w:r>
      <w:r>
        <w:rPr>
          <w:spacing w:val="40"/>
        </w:rPr>
        <w:t xml:space="preserve"> </w:t>
      </w:r>
      <w:r>
        <w:rPr>
          <w:spacing w:val="-1"/>
        </w:rPr>
        <w:t>retains</w:t>
      </w:r>
      <w:r>
        <w:rPr>
          <w:spacing w:val="39"/>
        </w:rPr>
        <w:t xml:space="preserve"> </w:t>
      </w:r>
      <w:r>
        <w:t>the</w:t>
      </w:r>
      <w:r>
        <w:rPr>
          <w:spacing w:val="41"/>
        </w:rPr>
        <w:t xml:space="preserve"> </w:t>
      </w:r>
      <w:r>
        <w:rPr>
          <w:spacing w:val="-1"/>
        </w:rPr>
        <w:t>right</w:t>
      </w:r>
      <w:r>
        <w:rPr>
          <w:spacing w:val="43"/>
        </w:rPr>
        <w:t xml:space="preserve"> </w:t>
      </w:r>
      <w:r>
        <w:rPr>
          <w:spacing w:val="-2"/>
        </w:rPr>
        <w:t>at</w:t>
      </w:r>
      <w:r>
        <w:rPr>
          <w:spacing w:val="40"/>
        </w:rPr>
        <w:t xml:space="preserve"> </w:t>
      </w:r>
      <w:r>
        <w:rPr>
          <w:spacing w:val="-1"/>
        </w:rPr>
        <w:t>any</w:t>
      </w:r>
      <w:r>
        <w:rPr>
          <w:spacing w:val="39"/>
        </w:rPr>
        <w:t xml:space="preserve"> </w:t>
      </w:r>
      <w:r>
        <w:rPr>
          <w:spacing w:val="-1"/>
        </w:rPr>
        <w:t>time</w:t>
      </w:r>
      <w:r>
        <w:rPr>
          <w:spacing w:val="41"/>
        </w:rPr>
        <w:t xml:space="preserve"> </w:t>
      </w:r>
      <w:r>
        <w:t>to</w:t>
      </w:r>
      <w:r>
        <w:rPr>
          <w:spacing w:val="41"/>
        </w:rPr>
        <w:t xml:space="preserve"> </w:t>
      </w:r>
      <w:r>
        <w:rPr>
          <w:spacing w:val="-1"/>
        </w:rPr>
        <w:t>use</w:t>
      </w:r>
      <w:r>
        <w:rPr>
          <w:spacing w:val="41"/>
        </w:rPr>
        <w:t xml:space="preserve"> </w:t>
      </w:r>
      <w:r>
        <w:rPr>
          <w:spacing w:val="-1"/>
        </w:rPr>
        <w:t>any</w:t>
      </w:r>
      <w:r>
        <w:rPr>
          <w:spacing w:val="30"/>
        </w:rPr>
        <w:t xml:space="preserve"> </w:t>
      </w:r>
      <w:r>
        <w:rPr>
          <w:spacing w:val="-1"/>
        </w:rPr>
        <w:t>Customer</w:t>
      </w:r>
      <w:r>
        <w:rPr>
          <w:spacing w:val="2"/>
        </w:rPr>
        <w:t xml:space="preserve"> </w:t>
      </w:r>
      <w:r>
        <w:rPr>
          <w:spacing w:val="-1"/>
        </w:rPr>
        <w:t>Premises in</w:t>
      </w:r>
      <w:r>
        <w:t xml:space="preserve"> </w:t>
      </w:r>
      <w:r>
        <w:rPr>
          <w:spacing w:val="-2"/>
        </w:rPr>
        <w:t xml:space="preserve">any </w:t>
      </w:r>
      <w:r>
        <w:rPr>
          <w:spacing w:val="-1"/>
        </w:rPr>
        <w:t>manner</w:t>
      </w:r>
      <w:r>
        <w:rPr>
          <w:spacing w:val="2"/>
        </w:rPr>
        <w:t xml:space="preserve"> </w:t>
      </w:r>
      <w:r>
        <w:rPr>
          <w:spacing w:val="-2"/>
        </w:rPr>
        <w:t>it</w:t>
      </w:r>
      <w:r>
        <w:rPr>
          <w:spacing w:val="2"/>
        </w:rPr>
        <w:t xml:space="preserve"> </w:t>
      </w:r>
      <w:r>
        <w:rPr>
          <w:spacing w:val="-1"/>
        </w:rPr>
        <w:t>sees</w:t>
      </w:r>
      <w:r>
        <w:rPr>
          <w:spacing w:val="-4"/>
        </w:rPr>
        <w:t xml:space="preserve"> </w:t>
      </w:r>
      <w:r>
        <w:t>fit.</w:t>
      </w:r>
    </w:p>
    <w:p w:rsidR="008918FA" w:rsidRDefault="008918FA" w:rsidP="008918FA">
      <w:pPr>
        <w:pStyle w:val="Heading1"/>
        <w:numPr>
          <w:ilvl w:val="1"/>
          <w:numId w:val="66"/>
        </w:numPr>
        <w:tabs>
          <w:tab w:val="left" w:pos="1234"/>
        </w:tabs>
        <w:ind w:left="1233" w:hanging="564"/>
        <w:rPr>
          <w:b w:val="0"/>
          <w:bCs w:val="0"/>
        </w:rPr>
      </w:pPr>
      <w:r>
        <w:rPr>
          <w:spacing w:val="-1"/>
        </w:rPr>
        <w:t>Security</w:t>
      </w:r>
      <w:r>
        <w:rPr>
          <w:spacing w:val="-4"/>
        </w:rPr>
        <w:t xml:space="preserve"> </w:t>
      </w:r>
      <w:r>
        <w:rPr>
          <w:spacing w:val="-1"/>
        </w:rPr>
        <w:t>of</w:t>
      </w:r>
      <w:r>
        <w:rPr>
          <w:spacing w:val="2"/>
        </w:rPr>
        <w:t xml:space="preserve"> </w:t>
      </w:r>
      <w:r>
        <w:rPr>
          <w:spacing w:val="-1"/>
        </w:rPr>
        <w:t>Customer</w:t>
      </w:r>
      <w:r>
        <w:rPr>
          <w:spacing w:val="1"/>
        </w:rPr>
        <w:t xml:space="preserve"> </w:t>
      </w:r>
      <w:r>
        <w:rPr>
          <w:spacing w:val="-1"/>
        </w:rPr>
        <w:t>Premises</w:t>
      </w:r>
    </w:p>
    <w:p w:rsidR="008918FA" w:rsidRDefault="008918FA" w:rsidP="008918FA">
      <w:pPr>
        <w:pStyle w:val="BodyText"/>
        <w:numPr>
          <w:ilvl w:val="2"/>
          <w:numId w:val="66"/>
        </w:numPr>
        <w:tabs>
          <w:tab w:val="left" w:pos="2227"/>
        </w:tabs>
        <w:spacing w:before="121"/>
        <w:ind w:right="111" w:hanging="993"/>
        <w:jc w:val="both"/>
      </w:pPr>
      <w:r>
        <w:t>The</w:t>
      </w:r>
      <w:r>
        <w:rPr>
          <w:spacing w:val="22"/>
        </w:rPr>
        <w:t xml:space="preserve"> </w:t>
      </w:r>
      <w:r>
        <w:rPr>
          <w:spacing w:val="-2"/>
        </w:rPr>
        <w:t>Customer</w:t>
      </w:r>
      <w:r>
        <w:rPr>
          <w:spacing w:val="23"/>
        </w:rPr>
        <w:t xml:space="preserve"> </w:t>
      </w:r>
      <w:r>
        <w:rPr>
          <w:spacing w:val="-1"/>
        </w:rPr>
        <w:t>shall</w:t>
      </w:r>
      <w:r>
        <w:rPr>
          <w:spacing w:val="21"/>
        </w:rPr>
        <w:t xml:space="preserve"> </w:t>
      </w:r>
      <w:r>
        <w:rPr>
          <w:spacing w:val="-1"/>
        </w:rPr>
        <w:t>be</w:t>
      </w:r>
      <w:r>
        <w:rPr>
          <w:spacing w:val="20"/>
        </w:rPr>
        <w:t xml:space="preserve"> </w:t>
      </w:r>
      <w:r>
        <w:rPr>
          <w:spacing w:val="-1"/>
        </w:rPr>
        <w:t>responsible</w:t>
      </w:r>
      <w:r>
        <w:rPr>
          <w:spacing w:val="19"/>
        </w:rPr>
        <w:t xml:space="preserve"> </w:t>
      </w:r>
      <w:r>
        <w:t>for</w:t>
      </w:r>
      <w:r>
        <w:rPr>
          <w:spacing w:val="21"/>
        </w:rPr>
        <w:t xml:space="preserve"> </w:t>
      </w:r>
      <w:r>
        <w:rPr>
          <w:spacing w:val="-1"/>
        </w:rPr>
        <w:t>maintaining</w:t>
      </w:r>
      <w:r>
        <w:rPr>
          <w:spacing w:val="22"/>
        </w:rPr>
        <w:t xml:space="preserve"> </w:t>
      </w:r>
      <w:r>
        <w:t>the</w:t>
      </w:r>
      <w:r>
        <w:rPr>
          <w:spacing w:val="22"/>
        </w:rPr>
        <w:t xml:space="preserve"> </w:t>
      </w:r>
      <w:r>
        <w:rPr>
          <w:spacing w:val="-1"/>
        </w:rPr>
        <w:t>security</w:t>
      </w:r>
      <w:r>
        <w:rPr>
          <w:spacing w:val="20"/>
        </w:rPr>
        <w:t xml:space="preserve"> </w:t>
      </w:r>
      <w:r>
        <w:rPr>
          <w:spacing w:val="-2"/>
        </w:rPr>
        <w:t>of</w:t>
      </w:r>
      <w:r>
        <w:rPr>
          <w:spacing w:val="23"/>
        </w:rPr>
        <w:t xml:space="preserve"> </w:t>
      </w:r>
      <w:r>
        <w:rPr>
          <w:spacing w:val="-1"/>
        </w:rPr>
        <w:t>the</w:t>
      </w:r>
      <w:r>
        <w:rPr>
          <w:spacing w:val="36"/>
        </w:rPr>
        <w:t xml:space="preserve"> </w:t>
      </w:r>
      <w:r>
        <w:rPr>
          <w:spacing w:val="-1"/>
        </w:rPr>
        <w:t>Customer</w:t>
      </w:r>
      <w:r>
        <w:rPr>
          <w:spacing w:val="32"/>
        </w:rPr>
        <w:t xml:space="preserve"> </w:t>
      </w:r>
      <w:r>
        <w:rPr>
          <w:spacing w:val="-1"/>
        </w:rPr>
        <w:t>Premises</w:t>
      </w:r>
      <w:r>
        <w:rPr>
          <w:spacing w:val="31"/>
        </w:rPr>
        <w:t xml:space="preserve"> </w:t>
      </w:r>
      <w:r>
        <w:rPr>
          <w:spacing w:val="-1"/>
        </w:rPr>
        <w:t>in</w:t>
      </w:r>
      <w:r>
        <w:rPr>
          <w:spacing w:val="28"/>
        </w:rPr>
        <w:t xml:space="preserve"> </w:t>
      </w:r>
      <w:r>
        <w:rPr>
          <w:spacing w:val="-1"/>
        </w:rPr>
        <w:t>accordance</w:t>
      </w:r>
      <w:r>
        <w:rPr>
          <w:spacing w:val="31"/>
        </w:rPr>
        <w:t xml:space="preserve"> </w:t>
      </w:r>
      <w:r>
        <w:rPr>
          <w:spacing w:val="-2"/>
        </w:rPr>
        <w:t>with</w:t>
      </w:r>
      <w:r>
        <w:rPr>
          <w:spacing w:val="30"/>
        </w:rPr>
        <w:t xml:space="preserve"> </w:t>
      </w:r>
      <w:r>
        <w:t>the</w:t>
      </w:r>
      <w:r>
        <w:rPr>
          <w:spacing w:val="28"/>
        </w:rPr>
        <w:t xml:space="preserve"> </w:t>
      </w:r>
      <w:r>
        <w:rPr>
          <w:spacing w:val="-1"/>
        </w:rPr>
        <w:t>Security</w:t>
      </w:r>
      <w:r>
        <w:rPr>
          <w:spacing w:val="28"/>
        </w:rPr>
        <w:t xml:space="preserve"> </w:t>
      </w:r>
      <w:r>
        <w:rPr>
          <w:spacing w:val="-1"/>
        </w:rPr>
        <w:t>Policy.</w:t>
      </w:r>
      <w:r>
        <w:rPr>
          <w:spacing w:val="32"/>
        </w:rPr>
        <w:t xml:space="preserve"> </w:t>
      </w:r>
      <w:r>
        <w:t>The</w:t>
      </w:r>
      <w:r>
        <w:rPr>
          <w:spacing w:val="22"/>
        </w:rPr>
        <w:t xml:space="preserve"> </w:t>
      </w:r>
      <w:r>
        <w:rPr>
          <w:spacing w:val="-2"/>
        </w:rPr>
        <w:t>Supplier</w:t>
      </w:r>
      <w:r>
        <w:rPr>
          <w:spacing w:val="2"/>
        </w:rPr>
        <w:t xml:space="preserve"> </w:t>
      </w:r>
      <w:r>
        <w:rPr>
          <w:spacing w:val="-1"/>
        </w:rPr>
        <w:t>shall</w:t>
      </w:r>
      <w:r>
        <w:t xml:space="preserve"> </w:t>
      </w:r>
      <w:r>
        <w:rPr>
          <w:spacing w:val="-1"/>
        </w:rPr>
        <w:t>comply</w:t>
      </w:r>
      <w:r>
        <w:rPr>
          <w:spacing w:val="1"/>
        </w:rPr>
        <w:t xml:space="preserve"> </w:t>
      </w:r>
      <w:r w:rsidR="00514A63">
        <w:rPr>
          <w:spacing w:val="-1"/>
        </w:rPr>
        <w:t>with</w:t>
      </w:r>
      <w:r w:rsidR="00514A63">
        <w:t xml:space="preserve"> the</w:t>
      </w:r>
      <w:r>
        <w:rPr>
          <w:spacing w:val="61"/>
        </w:rPr>
        <w:t xml:space="preserve"> </w:t>
      </w:r>
      <w:r>
        <w:rPr>
          <w:spacing w:val="-1"/>
        </w:rPr>
        <w:t>Security</w:t>
      </w:r>
      <w:r>
        <w:rPr>
          <w:spacing w:val="59"/>
        </w:rPr>
        <w:t xml:space="preserve"> </w:t>
      </w:r>
      <w:r>
        <w:rPr>
          <w:spacing w:val="-2"/>
        </w:rPr>
        <w:t>Policy</w:t>
      </w:r>
      <w:r>
        <w:rPr>
          <w:spacing w:val="60"/>
        </w:rPr>
        <w:t xml:space="preserve"> </w:t>
      </w:r>
      <w:r w:rsidR="00514A63">
        <w:rPr>
          <w:spacing w:val="-1"/>
        </w:rPr>
        <w:t>and</w:t>
      </w:r>
      <w:r w:rsidR="00514A63">
        <w:t xml:space="preserve"> any</w:t>
      </w:r>
      <w:r>
        <w:rPr>
          <w:spacing w:val="59"/>
        </w:rPr>
        <w:t xml:space="preserve"> </w:t>
      </w:r>
      <w:r>
        <w:rPr>
          <w:spacing w:val="-1"/>
        </w:rPr>
        <w:t>other</w:t>
      </w:r>
      <w:r>
        <w:rPr>
          <w:spacing w:val="48"/>
        </w:rPr>
        <w:t xml:space="preserve"> </w:t>
      </w:r>
      <w:r>
        <w:rPr>
          <w:spacing w:val="-1"/>
        </w:rPr>
        <w:t>reasonable</w:t>
      </w:r>
      <w:r>
        <w:rPr>
          <w:spacing w:val="40"/>
        </w:rPr>
        <w:t xml:space="preserve"> </w:t>
      </w:r>
      <w:r>
        <w:rPr>
          <w:spacing w:val="-1"/>
        </w:rPr>
        <w:t>security</w:t>
      </w:r>
      <w:r>
        <w:rPr>
          <w:spacing w:val="38"/>
        </w:rPr>
        <w:t xml:space="preserve"> </w:t>
      </w:r>
      <w:r>
        <w:rPr>
          <w:spacing w:val="-1"/>
        </w:rPr>
        <w:t>requirements</w:t>
      </w:r>
      <w:r>
        <w:rPr>
          <w:spacing w:val="40"/>
        </w:rPr>
        <w:t xml:space="preserve"> </w:t>
      </w:r>
      <w:r>
        <w:rPr>
          <w:spacing w:val="-2"/>
        </w:rPr>
        <w:t>of</w:t>
      </w:r>
      <w:r>
        <w:rPr>
          <w:spacing w:val="41"/>
        </w:rPr>
        <w:t xml:space="preserve"> </w:t>
      </w:r>
      <w:r>
        <w:t>the</w:t>
      </w:r>
      <w:r>
        <w:rPr>
          <w:spacing w:val="37"/>
        </w:rPr>
        <w:t xml:space="preserve"> </w:t>
      </w:r>
      <w:r>
        <w:rPr>
          <w:spacing w:val="-2"/>
        </w:rPr>
        <w:t>Customer</w:t>
      </w:r>
      <w:r>
        <w:rPr>
          <w:spacing w:val="41"/>
        </w:rPr>
        <w:t xml:space="preserve"> </w:t>
      </w:r>
      <w:r>
        <w:rPr>
          <w:spacing w:val="-2"/>
        </w:rPr>
        <w:t>while</w:t>
      </w:r>
      <w:r>
        <w:rPr>
          <w:spacing w:val="41"/>
        </w:rPr>
        <w:t xml:space="preserve"> </w:t>
      </w:r>
      <w:r>
        <w:rPr>
          <w:spacing w:val="-1"/>
        </w:rPr>
        <w:t>on</w:t>
      </w:r>
      <w:r>
        <w:rPr>
          <w:spacing w:val="40"/>
        </w:rPr>
        <w:t xml:space="preserve"> </w:t>
      </w:r>
      <w:r>
        <w:rPr>
          <w:spacing w:val="-1"/>
        </w:rPr>
        <w:t>the</w:t>
      </w:r>
      <w:r>
        <w:rPr>
          <w:spacing w:val="34"/>
        </w:rPr>
        <w:t xml:space="preserve"> </w:t>
      </w:r>
      <w:r>
        <w:rPr>
          <w:spacing w:val="-1"/>
        </w:rPr>
        <w:t>Customer</w:t>
      </w:r>
      <w:r>
        <w:rPr>
          <w:spacing w:val="2"/>
        </w:rPr>
        <w:t xml:space="preserve"> </w:t>
      </w:r>
      <w:r>
        <w:rPr>
          <w:spacing w:val="-1"/>
        </w:rPr>
        <w:t>Premises.</w:t>
      </w:r>
    </w:p>
    <w:p w:rsidR="008918FA" w:rsidRDefault="008918FA" w:rsidP="008918FA">
      <w:pPr>
        <w:pStyle w:val="BodyText"/>
        <w:numPr>
          <w:ilvl w:val="2"/>
          <w:numId w:val="66"/>
        </w:numPr>
        <w:tabs>
          <w:tab w:val="left" w:pos="2227"/>
        </w:tabs>
        <w:ind w:right="110" w:hanging="993"/>
        <w:jc w:val="both"/>
      </w:pPr>
      <w:r>
        <w:t>The</w:t>
      </w:r>
      <w:r>
        <w:rPr>
          <w:spacing w:val="5"/>
        </w:rPr>
        <w:t xml:space="preserve"> </w:t>
      </w:r>
      <w:r>
        <w:rPr>
          <w:spacing w:val="-2"/>
        </w:rPr>
        <w:t>Customer</w:t>
      </w:r>
      <w:r>
        <w:rPr>
          <w:spacing w:val="6"/>
        </w:rPr>
        <w:t xml:space="preserve"> </w:t>
      </w:r>
      <w:r>
        <w:rPr>
          <w:spacing w:val="-1"/>
        </w:rPr>
        <w:t>shall</w:t>
      </w:r>
      <w:r>
        <w:rPr>
          <w:spacing w:val="4"/>
        </w:rPr>
        <w:t xml:space="preserve"> </w:t>
      </w:r>
      <w:r>
        <w:rPr>
          <w:spacing w:val="-1"/>
        </w:rPr>
        <w:t>afford</w:t>
      </w:r>
      <w:r>
        <w:rPr>
          <w:spacing w:val="5"/>
        </w:rPr>
        <w:t xml:space="preserve"> </w:t>
      </w:r>
      <w:r>
        <w:t>the</w:t>
      </w:r>
      <w:r>
        <w:rPr>
          <w:spacing w:val="5"/>
        </w:rPr>
        <w:t xml:space="preserve"> </w:t>
      </w:r>
      <w:r>
        <w:rPr>
          <w:spacing w:val="-2"/>
        </w:rPr>
        <w:t>Supplier</w:t>
      </w:r>
      <w:r>
        <w:rPr>
          <w:spacing w:val="6"/>
        </w:rPr>
        <w:t xml:space="preserve"> </w:t>
      </w:r>
      <w:r>
        <w:rPr>
          <w:spacing w:val="-1"/>
        </w:rPr>
        <w:t>upon</w:t>
      </w:r>
      <w:r>
        <w:rPr>
          <w:spacing w:val="7"/>
        </w:rPr>
        <w:t xml:space="preserve"> </w:t>
      </w:r>
      <w:r>
        <w:rPr>
          <w:spacing w:val="-2"/>
        </w:rPr>
        <w:t>Approval</w:t>
      </w:r>
      <w:r>
        <w:rPr>
          <w:spacing w:val="4"/>
        </w:rPr>
        <w:t xml:space="preserve"> </w:t>
      </w:r>
      <w:r w:rsidR="00514A63">
        <w:t>(</w:t>
      </w:r>
      <w:r w:rsidR="00514A63">
        <w:rPr>
          <w:spacing w:val="6"/>
        </w:rPr>
        <w:t>the</w:t>
      </w:r>
      <w:r>
        <w:rPr>
          <w:spacing w:val="5"/>
        </w:rPr>
        <w:t xml:space="preserve"> </w:t>
      </w:r>
      <w:r>
        <w:rPr>
          <w:spacing w:val="-1"/>
        </w:rPr>
        <w:t>decision</w:t>
      </w:r>
      <w:r>
        <w:rPr>
          <w:spacing w:val="5"/>
        </w:rPr>
        <w:t xml:space="preserve"> </w:t>
      </w:r>
      <w:r>
        <w:t>to</w:t>
      </w:r>
      <w:r>
        <w:rPr>
          <w:spacing w:val="55"/>
        </w:rPr>
        <w:t xml:space="preserve"> </w:t>
      </w:r>
      <w:r>
        <w:rPr>
          <w:spacing w:val="-1"/>
        </w:rPr>
        <w:t>Approve</w:t>
      </w:r>
      <w:r>
        <w:rPr>
          <w:spacing w:val="11"/>
        </w:rPr>
        <w:t xml:space="preserve"> </w:t>
      </w:r>
      <w:r>
        <w:rPr>
          <w:spacing w:val="-1"/>
        </w:rPr>
        <w:t>or</w:t>
      </w:r>
      <w:r>
        <w:rPr>
          <w:spacing w:val="13"/>
        </w:rPr>
        <w:t xml:space="preserve"> </w:t>
      </w:r>
      <w:r>
        <w:rPr>
          <w:spacing w:val="-1"/>
        </w:rPr>
        <w:t>not</w:t>
      </w:r>
      <w:r>
        <w:rPr>
          <w:spacing w:val="10"/>
        </w:rPr>
        <w:t xml:space="preserve"> </w:t>
      </w:r>
      <w:r>
        <w:rPr>
          <w:spacing w:val="-2"/>
        </w:rPr>
        <w:t>will</w:t>
      </w:r>
      <w:r>
        <w:rPr>
          <w:spacing w:val="11"/>
        </w:rPr>
        <w:t xml:space="preserve"> </w:t>
      </w:r>
      <w:r>
        <w:t>not</w:t>
      </w:r>
      <w:r>
        <w:rPr>
          <w:spacing w:val="13"/>
        </w:rPr>
        <w:t xml:space="preserve"> </w:t>
      </w:r>
      <w:r>
        <w:rPr>
          <w:spacing w:val="-1"/>
        </w:rPr>
        <w:t>be</w:t>
      </w:r>
      <w:r>
        <w:rPr>
          <w:spacing w:val="11"/>
        </w:rPr>
        <w:t xml:space="preserve"> </w:t>
      </w:r>
      <w:r>
        <w:rPr>
          <w:spacing w:val="-1"/>
        </w:rPr>
        <w:t>unreasonably</w:t>
      </w:r>
      <w:r>
        <w:rPr>
          <w:spacing w:val="9"/>
        </w:rPr>
        <w:t xml:space="preserve"> </w:t>
      </w:r>
      <w:r>
        <w:rPr>
          <w:spacing w:val="-1"/>
        </w:rPr>
        <w:t>withheld</w:t>
      </w:r>
      <w:r>
        <w:rPr>
          <w:spacing w:val="11"/>
        </w:rPr>
        <w:t xml:space="preserve"> </w:t>
      </w:r>
      <w:r>
        <w:rPr>
          <w:spacing w:val="-1"/>
        </w:rPr>
        <w:t>or</w:t>
      </w:r>
      <w:r>
        <w:rPr>
          <w:spacing w:val="13"/>
        </w:rPr>
        <w:t xml:space="preserve"> </w:t>
      </w:r>
      <w:r>
        <w:rPr>
          <w:spacing w:val="-2"/>
        </w:rPr>
        <w:t>delayed)</w:t>
      </w:r>
      <w:r>
        <w:rPr>
          <w:spacing w:val="15"/>
        </w:rPr>
        <w:t xml:space="preserve"> </w:t>
      </w:r>
      <w:r>
        <w:rPr>
          <w:spacing w:val="-1"/>
        </w:rPr>
        <w:t>an</w:t>
      </w:r>
      <w:r>
        <w:rPr>
          <w:spacing w:val="27"/>
        </w:rPr>
        <w:t xml:space="preserve"> </w:t>
      </w:r>
      <w:r>
        <w:rPr>
          <w:spacing w:val="-1"/>
        </w:rPr>
        <w:t>opportunity</w:t>
      </w:r>
      <w:r>
        <w:rPr>
          <w:spacing w:val="-2"/>
        </w:rPr>
        <w:t xml:space="preserve"> </w:t>
      </w:r>
      <w:r>
        <w:t>to</w:t>
      </w:r>
      <w:r>
        <w:rPr>
          <w:spacing w:val="-2"/>
        </w:rPr>
        <w:t xml:space="preserve"> inspect</w:t>
      </w:r>
      <w:r>
        <w:rPr>
          <w:spacing w:val="2"/>
        </w:rPr>
        <w:t xml:space="preserve"> </w:t>
      </w:r>
      <w:r>
        <w:rPr>
          <w:spacing w:val="-1"/>
        </w:rPr>
        <w:t>its</w:t>
      </w:r>
      <w:r>
        <w:rPr>
          <w:spacing w:val="-4"/>
        </w:rPr>
        <w:t xml:space="preserve"> </w:t>
      </w:r>
      <w:r>
        <w:rPr>
          <w:spacing w:val="-1"/>
        </w:rPr>
        <w:t>physical</w:t>
      </w:r>
      <w:r>
        <w:t xml:space="preserve"> </w:t>
      </w:r>
      <w:r>
        <w:rPr>
          <w:spacing w:val="-1"/>
        </w:rPr>
        <w:t>security</w:t>
      </w:r>
      <w:r>
        <w:rPr>
          <w:spacing w:val="-2"/>
        </w:rPr>
        <w:t xml:space="preserve"> </w:t>
      </w:r>
      <w:r>
        <w:rPr>
          <w:spacing w:val="-1"/>
        </w:rPr>
        <w:t>arrangements.</w:t>
      </w:r>
    </w:p>
    <w:p w:rsidR="008918FA" w:rsidRDefault="008918FA" w:rsidP="008918FA">
      <w:pPr>
        <w:pStyle w:val="BodyText"/>
        <w:numPr>
          <w:ilvl w:val="0"/>
          <w:numId w:val="66"/>
        </w:numPr>
        <w:tabs>
          <w:tab w:val="left" w:pos="667"/>
        </w:tabs>
        <w:spacing w:before="120"/>
        <w:ind w:left="667"/>
        <w:rPr>
          <w:rFonts w:ascii="Times New Roman" w:eastAsia="Times New Roman" w:hAnsi="Times New Roman" w:cs="Times New Roman"/>
        </w:rPr>
      </w:pPr>
      <w:bookmarkStart w:id="186" w:name="_bookmark156"/>
      <w:bookmarkEnd w:id="186"/>
      <w:r>
        <w:rPr>
          <w:rFonts w:ascii="Times New Roman"/>
          <w:spacing w:val="11"/>
        </w:rPr>
        <w:t>C</w:t>
      </w:r>
      <w:r>
        <w:rPr>
          <w:rFonts w:ascii="Times New Roman"/>
          <w:spacing w:val="-2"/>
        </w:rPr>
        <w:t>U</w:t>
      </w:r>
      <w:r>
        <w:rPr>
          <w:rFonts w:ascii="Times New Roman"/>
          <w:spacing w:val="26"/>
        </w:rPr>
        <w:t>S</w:t>
      </w:r>
      <w:r>
        <w:rPr>
          <w:rFonts w:ascii="Times New Roman"/>
          <w:spacing w:val="-3"/>
        </w:rPr>
        <w:t>T</w:t>
      </w:r>
      <w:r>
        <w:rPr>
          <w:rFonts w:ascii="Times New Roman"/>
          <w:spacing w:val="13"/>
        </w:rPr>
        <w:t>O</w:t>
      </w:r>
      <w:r>
        <w:rPr>
          <w:rFonts w:ascii="Times New Roman"/>
          <w:spacing w:val="-12"/>
        </w:rPr>
        <w:t>M</w:t>
      </w:r>
      <w:r>
        <w:rPr>
          <w:rFonts w:ascii="Times New Roman"/>
          <w:spacing w:val="11"/>
        </w:rPr>
        <w:t>E</w:t>
      </w:r>
      <w:r>
        <w:rPr>
          <w:rFonts w:ascii="Times New Roman"/>
        </w:rPr>
        <w:t>R</w:t>
      </w:r>
      <w:r>
        <w:rPr>
          <w:rFonts w:ascii="Times New Roman"/>
          <w:spacing w:val="18"/>
        </w:rPr>
        <w:t xml:space="preserve"> </w:t>
      </w:r>
      <w:r>
        <w:rPr>
          <w:rFonts w:ascii="Times New Roman"/>
          <w:spacing w:val="11"/>
        </w:rPr>
        <w:t>PROPERTY</w:t>
      </w:r>
    </w:p>
    <w:p w:rsidR="008918FA" w:rsidRDefault="008918FA" w:rsidP="008918FA">
      <w:pPr>
        <w:rPr>
          <w:rFonts w:ascii="Times New Roman" w:eastAsia="Times New Roman" w:hAnsi="Times New Roman" w:cs="Times New Roman"/>
        </w:rPr>
        <w:sectPr w:rsidR="008918FA">
          <w:pgSz w:w="11910" w:h="16840"/>
          <w:pgMar w:top="1480" w:right="1300" w:bottom="1180" w:left="1340" w:header="0" w:footer="967" w:gutter="0"/>
          <w:cols w:space="720"/>
        </w:sectPr>
      </w:pPr>
    </w:p>
    <w:p w:rsidR="008918FA" w:rsidRDefault="008918FA" w:rsidP="008918FA">
      <w:pPr>
        <w:pStyle w:val="BodyText"/>
        <w:numPr>
          <w:ilvl w:val="1"/>
          <w:numId w:val="66"/>
        </w:numPr>
        <w:tabs>
          <w:tab w:val="left" w:pos="1233"/>
        </w:tabs>
        <w:spacing w:before="59"/>
        <w:ind w:left="1028" w:right="111" w:hanging="360"/>
        <w:jc w:val="both"/>
      </w:pPr>
      <w:r>
        <w:rPr>
          <w:spacing w:val="-1"/>
        </w:rPr>
        <w:t>Where</w:t>
      </w:r>
      <w:r>
        <w:rPr>
          <w:spacing w:val="34"/>
        </w:rPr>
        <w:t xml:space="preserve"> </w:t>
      </w:r>
      <w:r>
        <w:t>the</w:t>
      </w:r>
      <w:r>
        <w:rPr>
          <w:spacing w:val="34"/>
        </w:rPr>
        <w:t xml:space="preserve"> </w:t>
      </w:r>
      <w:r>
        <w:rPr>
          <w:spacing w:val="-1"/>
        </w:rPr>
        <w:t>Customer</w:t>
      </w:r>
      <w:r>
        <w:rPr>
          <w:spacing w:val="35"/>
        </w:rPr>
        <w:t xml:space="preserve"> </w:t>
      </w:r>
      <w:r>
        <w:rPr>
          <w:spacing w:val="-2"/>
        </w:rPr>
        <w:t>issues</w:t>
      </w:r>
      <w:r>
        <w:rPr>
          <w:spacing w:val="35"/>
        </w:rPr>
        <w:t xml:space="preserve"> </w:t>
      </w:r>
      <w:r>
        <w:rPr>
          <w:spacing w:val="-1"/>
        </w:rPr>
        <w:t>Customer</w:t>
      </w:r>
      <w:r>
        <w:rPr>
          <w:spacing w:val="35"/>
        </w:rPr>
        <w:t xml:space="preserve"> </w:t>
      </w:r>
      <w:r>
        <w:rPr>
          <w:spacing w:val="-1"/>
        </w:rPr>
        <w:t>Property</w:t>
      </w:r>
      <w:r>
        <w:rPr>
          <w:spacing w:val="30"/>
        </w:rPr>
        <w:t xml:space="preserve"> </w:t>
      </w:r>
      <w:r>
        <w:t>free</w:t>
      </w:r>
      <w:r>
        <w:rPr>
          <w:spacing w:val="34"/>
        </w:rPr>
        <w:t xml:space="preserve"> </w:t>
      </w:r>
      <w:r>
        <w:rPr>
          <w:spacing w:val="-2"/>
        </w:rPr>
        <w:t>of</w:t>
      </w:r>
      <w:r>
        <w:rPr>
          <w:spacing w:val="39"/>
        </w:rPr>
        <w:t xml:space="preserve"> </w:t>
      </w:r>
      <w:r>
        <w:rPr>
          <w:spacing w:val="-1"/>
        </w:rPr>
        <w:t>charge</w:t>
      </w:r>
      <w:r>
        <w:rPr>
          <w:spacing w:val="34"/>
        </w:rPr>
        <w:t xml:space="preserve"> </w:t>
      </w:r>
      <w:r>
        <w:t>to</w:t>
      </w:r>
      <w:r>
        <w:rPr>
          <w:spacing w:val="34"/>
        </w:rPr>
        <w:t xml:space="preserve"> </w:t>
      </w:r>
      <w:r>
        <w:t>the</w:t>
      </w:r>
      <w:r>
        <w:rPr>
          <w:spacing w:val="34"/>
        </w:rPr>
        <w:t xml:space="preserve"> </w:t>
      </w:r>
      <w:r>
        <w:rPr>
          <w:spacing w:val="-2"/>
        </w:rPr>
        <w:t>Supplier</w:t>
      </w:r>
      <w:r>
        <w:rPr>
          <w:spacing w:val="56"/>
        </w:rPr>
        <w:t xml:space="preserve"> </w:t>
      </w:r>
      <w:r>
        <w:rPr>
          <w:spacing w:val="-1"/>
        </w:rPr>
        <w:t>such</w:t>
      </w:r>
      <w:r>
        <w:rPr>
          <w:spacing w:val="8"/>
        </w:rPr>
        <w:t xml:space="preserve"> </w:t>
      </w:r>
      <w:r>
        <w:rPr>
          <w:spacing w:val="-1"/>
        </w:rPr>
        <w:t>Customer</w:t>
      </w:r>
      <w:r>
        <w:rPr>
          <w:spacing w:val="9"/>
        </w:rPr>
        <w:t xml:space="preserve"> </w:t>
      </w:r>
      <w:r>
        <w:rPr>
          <w:spacing w:val="-1"/>
        </w:rPr>
        <w:t>Property</w:t>
      </w:r>
      <w:r>
        <w:rPr>
          <w:spacing w:val="6"/>
        </w:rPr>
        <w:t xml:space="preserve"> </w:t>
      </w:r>
      <w:r>
        <w:rPr>
          <w:spacing w:val="-1"/>
        </w:rPr>
        <w:t>shall</w:t>
      </w:r>
      <w:r>
        <w:rPr>
          <w:spacing w:val="7"/>
        </w:rPr>
        <w:t xml:space="preserve"> </w:t>
      </w:r>
      <w:r>
        <w:rPr>
          <w:spacing w:val="-1"/>
        </w:rPr>
        <w:t>be</w:t>
      </w:r>
      <w:r>
        <w:rPr>
          <w:spacing w:val="7"/>
        </w:rPr>
        <w:t xml:space="preserve"> </w:t>
      </w:r>
      <w:r>
        <w:rPr>
          <w:spacing w:val="-1"/>
        </w:rPr>
        <w:t>and</w:t>
      </w:r>
      <w:r>
        <w:rPr>
          <w:spacing w:val="7"/>
        </w:rPr>
        <w:t xml:space="preserve"> </w:t>
      </w:r>
      <w:r>
        <w:rPr>
          <w:spacing w:val="-1"/>
        </w:rPr>
        <w:t>remain</w:t>
      </w:r>
      <w:r>
        <w:rPr>
          <w:spacing w:val="7"/>
        </w:rPr>
        <w:t xml:space="preserve"> </w:t>
      </w:r>
      <w:r>
        <w:t>the</w:t>
      </w:r>
      <w:r>
        <w:rPr>
          <w:spacing w:val="5"/>
        </w:rPr>
        <w:t xml:space="preserve"> </w:t>
      </w:r>
      <w:r>
        <w:rPr>
          <w:spacing w:val="-1"/>
        </w:rPr>
        <w:t>property</w:t>
      </w:r>
      <w:r>
        <w:rPr>
          <w:spacing w:val="7"/>
        </w:rPr>
        <w:t xml:space="preserve"> </w:t>
      </w:r>
      <w:r>
        <w:rPr>
          <w:spacing w:val="-2"/>
        </w:rPr>
        <w:t>of</w:t>
      </w:r>
      <w:r>
        <w:rPr>
          <w:spacing w:val="9"/>
        </w:rPr>
        <w:t xml:space="preserve"> </w:t>
      </w:r>
      <w:r>
        <w:t>the</w:t>
      </w:r>
      <w:r>
        <w:rPr>
          <w:spacing w:val="7"/>
        </w:rPr>
        <w:t xml:space="preserve"> </w:t>
      </w:r>
      <w:r>
        <w:rPr>
          <w:spacing w:val="-2"/>
        </w:rPr>
        <w:t>Customer</w:t>
      </w:r>
      <w:r>
        <w:rPr>
          <w:spacing w:val="9"/>
        </w:rPr>
        <w:t xml:space="preserve"> </w:t>
      </w:r>
      <w:r>
        <w:rPr>
          <w:spacing w:val="-1"/>
        </w:rPr>
        <w:t>and</w:t>
      </w:r>
      <w:r>
        <w:rPr>
          <w:spacing w:val="7"/>
        </w:rPr>
        <w:t xml:space="preserve"> </w:t>
      </w:r>
      <w:r>
        <w:rPr>
          <w:spacing w:val="-1"/>
        </w:rPr>
        <w:t>the</w:t>
      </w:r>
      <w:r>
        <w:rPr>
          <w:spacing w:val="54"/>
        </w:rPr>
        <w:t xml:space="preserve"> </w:t>
      </w:r>
      <w:r>
        <w:rPr>
          <w:spacing w:val="-2"/>
        </w:rPr>
        <w:t>Supplier</w:t>
      </w:r>
      <w:r>
        <w:rPr>
          <w:spacing w:val="8"/>
        </w:rPr>
        <w:t xml:space="preserve"> </w:t>
      </w:r>
      <w:r>
        <w:rPr>
          <w:spacing w:val="-1"/>
        </w:rPr>
        <w:t>irrevocably</w:t>
      </w:r>
      <w:r>
        <w:rPr>
          <w:spacing w:val="7"/>
        </w:rPr>
        <w:t xml:space="preserve"> </w:t>
      </w:r>
      <w:r>
        <w:rPr>
          <w:spacing w:val="-1"/>
        </w:rPr>
        <w:t>licences</w:t>
      </w:r>
      <w:r>
        <w:rPr>
          <w:spacing w:val="7"/>
        </w:rPr>
        <w:t xml:space="preserve"> </w:t>
      </w:r>
      <w:r>
        <w:t>the</w:t>
      </w:r>
      <w:r>
        <w:rPr>
          <w:spacing w:val="6"/>
        </w:rPr>
        <w:t xml:space="preserve"> </w:t>
      </w:r>
      <w:r>
        <w:rPr>
          <w:spacing w:val="-2"/>
        </w:rPr>
        <w:t>Customer</w:t>
      </w:r>
      <w:r>
        <w:rPr>
          <w:spacing w:val="8"/>
        </w:rPr>
        <w:t xml:space="preserve"> </w:t>
      </w:r>
      <w:r>
        <w:rPr>
          <w:spacing w:val="-2"/>
        </w:rPr>
        <w:t>and</w:t>
      </w:r>
      <w:r>
        <w:rPr>
          <w:spacing w:val="6"/>
        </w:rPr>
        <w:t xml:space="preserve"> </w:t>
      </w:r>
      <w:r>
        <w:rPr>
          <w:spacing w:val="-1"/>
        </w:rPr>
        <w:t>its</w:t>
      </w:r>
      <w:r>
        <w:rPr>
          <w:spacing w:val="7"/>
        </w:rPr>
        <w:t xml:space="preserve"> </w:t>
      </w:r>
      <w:r>
        <w:rPr>
          <w:spacing w:val="-1"/>
        </w:rPr>
        <w:t>agents</w:t>
      </w:r>
      <w:r>
        <w:rPr>
          <w:spacing w:val="7"/>
        </w:rPr>
        <w:t xml:space="preserve"> </w:t>
      </w:r>
      <w:r>
        <w:t>to</w:t>
      </w:r>
      <w:r>
        <w:rPr>
          <w:spacing w:val="6"/>
        </w:rPr>
        <w:t xml:space="preserve"> </w:t>
      </w:r>
      <w:r>
        <w:rPr>
          <w:spacing w:val="-1"/>
        </w:rPr>
        <w:t>enter</w:t>
      </w:r>
      <w:r>
        <w:rPr>
          <w:spacing w:val="3"/>
        </w:rPr>
        <w:t xml:space="preserve"> </w:t>
      </w:r>
      <w:r>
        <w:rPr>
          <w:spacing w:val="-1"/>
        </w:rPr>
        <w:t>upon</w:t>
      </w:r>
      <w:r>
        <w:rPr>
          <w:spacing w:val="6"/>
        </w:rPr>
        <w:t xml:space="preserve"> </w:t>
      </w:r>
      <w:r>
        <w:rPr>
          <w:spacing w:val="-1"/>
        </w:rPr>
        <w:t>any</w:t>
      </w:r>
      <w:r>
        <w:rPr>
          <w:spacing w:val="50"/>
        </w:rPr>
        <w:t xml:space="preserve"> </w:t>
      </w:r>
      <w:r>
        <w:rPr>
          <w:spacing w:val="-1"/>
        </w:rPr>
        <w:t>premises</w:t>
      </w:r>
      <w:r>
        <w:rPr>
          <w:spacing w:val="41"/>
        </w:rPr>
        <w:t xml:space="preserve"> </w:t>
      </w:r>
      <w:r>
        <w:rPr>
          <w:spacing w:val="-2"/>
        </w:rPr>
        <w:t>of</w:t>
      </w:r>
      <w:r>
        <w:rPr>
          <w:spacing w:val="40"/>
        </w:rPr>
        <w:t xml:space="preserve"> </w:t>
      </w:r>
      <w:r>
        <w:t>the</w:t>
      </w:r>
      <w:r>
        <w:rPr>
          <w:spacing w:val="41"/>
        </w:rPr>
        <w:t xml:space="preserve"> </w:t>
      </w:r>
      <w:r>
        <w:rPr>
          <w:spacing w:val="-2"/>
        </w:rPr>
        <w:t>Supplier</w:t>
      </w:r>
      <w:r>
        <w:rPr>
          <w:spacing w:val="42"/>
        </w:rPr>
        <w:t xml:space="preserve"> </w:t>
      </w:r>
      <w:r>
        <w:rPr>
          <w:spacing w:val="-2"/>
        </w:rPr>
        <w:t>during</w:t>
      </w:r>
      <w:r>
        <w:rPr>
          <w:spacing w:val="43"/>
        </w:rPr>
        <w:t xml:space="preserve"> </w:t>
      </w:r>
      <w:r>
        <w:rPr>
          <w:spacing w:val="-1"/>
        </w:rPr>
        <w:t>normal</w:t>
      </w:r>
      <w:r>
        <w:rPr>
          <w:spacing w:val="40"/>
        </w:rPr>
        <w:t xml:space="preserve"> </w:t>
      </w:r>
      <w:r>
        <w:rPr>
          <w:spacing w:val="-2"/>
        </w:rPr>
        <w:t>business</w:t>
      </w:r>
      <w:r>
        <w:rPr>
          <w:spacing w:val="43"/>
        </w:rPr>
        <w:t xml:space="preserve"> </w:t>
      </w:r>
      <w:r>
        <w:rPr>
          <w:spacing w:val="-1"/>
        </w:rPr>
        <w:t>hours</w:t>
      </w:r>
      <w:r>
        <w:rPr>
          <w:spacing w:val="39"/>
        </w:rPr>
        <w:t xml:space="preserve"> </w:t>
      </w:r>
      <w:r>
        <w:rPr>
          <w:spacing w:val="-1"/>
        </w:rPr>
        <w:t>on</w:t>
      </w:r>
      <w:r>
        <w:rPr>
          <w:spacing w:val="41"/>
        </w:rPr>
        <w:t xml:space="preserve"> </w:t>
      </w:r>
      <w:r>
        <w:rPr>
          <w:spacing w:val="-1"/>
        </w:rPr>
        <w:t>reasonable</w:t>
      </w:r>
      <w:r>
        <w:rPr>
          <w:spacing w:val="38"/>
        </w:rPr>
        <w:t xml:space="preserve"> </w:t>
      </w:r>
      <w:r>
        <w:rPr>
          <w:spacing w:val="-1"/>
        </w:rPr>
        <w:t>notice</w:t>
      </w:r>
      <w:r>
        <w:rPr>
          <w:spacing w:val="46"/>
        </w:rPr>
        <w:t xml:space="preserve"> </w:t>
      </w:r>
      <w:r>
        <w:rPr>
          <w:spacing w:val="-1"/>
        </w:rPr>
        <w:t>to</w:t>
      </w:r>
      <w:r>
        <w:rPr>
          <w:spacing w:val="59"/>
        </w:rPr>
        <w:t xml:space="preserve"> </w:t>
      </w:r>
      <w:r>
        <w:rPr>
          <w:spacing w:val="-1"/>
        </w:rPr>
        <w:t>recover</w:t>
      </w:r>
      <w:r>
        <w:rPr>
          <w:spacing w:val="2"/>
        </w:rPr>
        <w:t xml:space="preserve"> </w:t>
      </w:r>
      <w:r>
        <w:rPr>
          <w:spacing w:val="-1"/>
        </w:rPr>
        <w:t>any</w:t>
      </w:r>
      <w:r>
        <w:rPr>
          <w:spacing w:val="-2"/>
        </w:rPr>
        <w:t xml:space="preserve"> </w:t>
      </w:r>
      <w:r>
        <w:rPr>
          <w:spacing w:val="-1"/>
        </w:rPr>
        <w:t>such</w:t>
      </w:r>
      <w:r>
        <w:rPr>
          <w:spacing w:val="1"/>
        </w:rPr>
        <w:t xml:space="preserve"> </w:t>
      </w:r>
      <w:r>
        <w:rPr>
          <w:spacing w:val="-2"/>
        </w:rPr>
        <w:t>Customer</w:t>
      </w:r>
      <w:r>
        <w:rPr>
          <w:spacing w:val="-1"/>
        </w:rPr>
        <w:t xml:space="preserve"> Property.</w:t>
      </w:r>
    </w:p>
    <w:p w:rsidR="008918FA" w:rsidRDefault="008918FA" w:rsidP="008918FA">
      <w:pPr>
        <w:pStyle w:val="BodyText"/>
        <w:numPr>
          <w:ilvl w:val="1"/>
          <w:numId w:val="66"/>
        </w:numPr>
        <w:tabs>
          <w:tab w:val="left" w:pos="1233"/>
        </w:tabs>
        <w:ind w:left="1028" w:right="112" w:hanging="360"/>
        <w:jc w:val="both"/>
      </w:pPr>
      <w:r>
        <w:t>The</w:t>
      </w:r>
      <w:r>
        <w:rPr>
          <w:spacing w:val="15"/>
        </w:rPr>
        <w:t xml:space="preserve"> </w:t>
      </w:r>
      <w:r>
        <w:rPr>
          <w:spacing w:val="-2"/>
        </w:rPr>
        <w:t>Supplier</w:t>
      </w:r>
      <w:r>
        <w:rPr>
          <w:spacing w:val="16"/>
        </w:rPr>
        <w:t xml:space="preserve"> </w:t>
      </w:r>
      <w:r>
        <w:rPr>
          <w:spacing w:val="-1"/>
        </w:rPr>
        <w:t>shall</w:t>
      </w:r>
      <w:r>
        <w:rPr>
          <w:spacing w:val="14"/>
        </w:rPr>
        <w:t xml:space="preserve"> </w:t>
      </w:r>
      <w:r>
        <w:rPr>
          <w:spacing w:val="-1"/>
        </w:rPr>
        <w:t>not</w:t>
      </w:r>
      <w:r>
        <w:rPr>
          <w:spacing w:val="16"/>
        </w:rPr>
        <w:t xml:space="preserve"> </w:t>
      </w:r>
      <w:r>
        <w:rPr>
          <w:spacing w:val="-1"/>
        </w:rPr>
        <w:t>in</w:t>
      </w:r>
      <w:r>
        <w:rPr>
          <w:spacing w:val="15"/>
        </w:rPr>
        <w:t xml:space="preserve"> </w:t>
      </w:r>
      <w:r>
        <w:rPr>
          <w:spacing w:val="-1"/>
        </w:rPr>
        <w:t>any</w:t>
      </w:r>
      <w:r>
        <w:rPr>
          <w:spacing w:val="13"/>
        </w:rPr>
        <w:t xml:space="preserve"> </w:t>
      </w:r>
      <w:r>
        <w:rPr>
          <w:spacing w:val="-1"/>
        </w:rPr>
        <w:t>circumstances</w:t>
      </w:r>
      <w:r>
        <w:rPr>
          <w:spacing w:val="15"/>
        </w:rPr>
        <w:t xml:space="preserve"> </w:t>
      </w:r>
      <w:r>
        <w:rPr>
          <w:spacing w:val="-2"/>
        </w:rPr>
        <w:t>have</w:t>
      </w:r>
      <w:r>
        <w:rPr>
          <w:spacing w:val="15"/>
        </w:rPr>
        <w:t xml:space="preserve"> </w:t>
      </w:r>
      <w:r>
        <w:t>a</w:t>
      </w:r>
      <w:r>
        <w:rPr>
          <w:spacing w:val="15"/>
        </w:rPr>
        <w:t xml:space="preserve"> </w:t>
      </w:r>
      <w:r>
        <w:rPr>
          <w:spacing w:val="-2"/>
        </w:rPr>
        <w:t>lien</w:t>
      </w:r>
      <w:r>
        <w:rPr>
          <w:spacing w:val="15"/>
        </w:rPr>
        <w:t xml:space="preserve"> </w:t>
      </w:r>
      <w:r>
        <w:rPr>
          <w:spacing w:val="-1"/>
        </w:rPr>
        <w:t>or</w:t>
      </w:r>
      <w:r>
        <w:rPr>
          <w:spacing w:val="16"/>
        </w:rPr>
        <w:t xml:space="preserve"> </w:t>
      </w:r>
      <w:r>
        <w:t>any</w:t>
      </w:r>
      <w:r>
        <w:rPr>
          <w:spacing w:val="13"/>
        </w:rPr>
        <w:t xml:space="preserve"> </w:t>
      </w:r>
      <w:r>
        <w:rPr>
          <w:spacing w:val="-1"/>
        </w:rPr>
        <w:t>other</w:t>
      </w:r>
      <w:r>
        <w:rPr>
          <w:spacing w:val="16"/>
        </w:rPr>
        <w:t xml:space="preserve"> </w:t>
      </w:r>
      <w:r>
        <w:rPr>
          <w:spacing w:val="-1"/>
        </w:rPr>
        <w:t>interest</w:t>
      </w:r>
      <w:r>
        <w:rPr>
          <w:spacing w:val="17"/>
        </w:rPr>
        <w:t xml:space="preserve"> </w:t>
      </w:r>
      <w:r>
        <w:rPr>
          <w:spacing w:val="-1"/>
        </w:rPr>
        <w:t>on</w:t>
      </w:r>
      <w:r>
        <w:rPr>
          <w:spacing w:val="64"/>
        </w:rPr>
        <w:t xml:space="preserve"> </w:t>
      </w:r>
      <w:r>
        <w:t>the</w:t>
      </w:r>
      <w:r>
        <w:rPr>
          <w:spacing w:val="29"/>
        </w:rPr>
        <w:t xml:space="preserve"> </w:t>
      </w:r>
      <w:r>
        <w:rPr>
          <w:spacing w:val="-1"/>
        </w:rPr>
        <w:t>Customer</w:t>
      </w:r>
      <w:r>
        <w:rPr>
          <w:spacing w:val="30"/>
        </w:rPr>
        <w:t xml:space="preserve"> </w:t>
      </w:r>
      <w:r>
        <w:rPr>
          <w:spacing w:val="-1"/>
        </w:rPr>
        <w:t>Property</w:t>
      </w:r>
      <w:r>
        <w:rPr>
          <w:spacing w:val="28"/>
        </w:rPr>
        <w:t xml:space="preserve"> </w:t>
      </w:r>
      <w:r>
        <w:rPr>
          <w:spacing w:val="-1"/>
        </w:rPr>
        <w:t>and</w:t>
      </w:r>
      <w:r>
        <w:rPr>
          <w:spacing w:val="29"/>
        </w:rPr>
        <w:t xml:space="preserve"> </w:t>
      </w:r>
      <w:r>
        <w:rPr>
          <w:spacing w:val="-1"/>
        </w:rPr>
        <w:t>at</w:t>
      </w:r>
      <w:r>
        <w:rPr>
          <w:spacing w:val="30"/>
        </w:rPr>
        <w:t xml:space="preserve"> </w:t>
      </w:r>
      <w:r>
        <w:rPr>
          <w:spacing w:val="-1"/>
        </w:rPr>
        <w:t>all</w:t>
      </w:r>
      <w:r>
        <w:rPr>
          <w:spacing w:val="28"/>
        </w:rPr>
        <w:t xml:space="preserve"> </w:t>
      </w:r>
      <w:r>
        <w:rPr>
          <w:spacing w:val="-1"/>
        </w:rPr>
        <w:t>times</w:t>
      </w:r>
      <w:r>
        <w:rPr>
          <w:spacing w:val="30"/>
        </w:rPr>
        <w:t xml:space="preserve"> </w:t>
      </w:r>
      <w:r>
        <w:t>the</w:t>
      </w:r>
      <w:r>
        <w:rPr>
          <w:spacing w:val="29"/>
        </w:rPr>
        <w:t xml:space="preserve"> </w:t>
      </w:r>
      <w:r>
        <w:rPr>
          <w:spacing w:val="-2"/>
        </w:rPr>
        <w:t>Supplier</w:t>
      </w:r>
      <w:r>
        <w:rPr>
          <w:spacing w:val="30"/>
        </w:rPr>
        <w:t xml:space="preserve"> </w:t>
      </w:r>
      <w:r>
        <w:rPr>
          <w:spacing w:val="-1"/>
        </w:rPr>
        <w:t>shall</w:t>
      </w:r>
      <w:r>
        <w:rPr>
          <w:spacing w:val="28"/>
        </w:rPr>
        <w:t xml:space="preserve"> </w:t>
      </w:r>
      <w:r>
        <w:rPr>
          <w:spacing w:val="-1"/>
        </w:rPr>
        <w:t>possess</w:t>
      </w:r>
      <w:r>
        <w:rPr>
          <w:spacing w:val="30"/>
        </w:rPr>
        <w:t xml:space="preserve"> </w:t>
      </w:r>
      <w:r>
        <w:t>the</w:t>
      </w:r>
      <w:r>
        <w:rPr>
          <w:spacing w:val="33"/>
        </w:rPr>
        <w:t xml:space="preserve"> </w:t>
      </w:r>
      <w:r>
        <w:rPr>
          <w:spacing w:val="-1"/>
        </w:rPr>
        <w:t>Customer</w:t>
      </w:r>
      <w:r>
        <w:rPr>
          <w:spacing w:val="41"/>
        </w:rPr>
        <w:t xml:space="preserve"> </w:t>
      </w:r>
      <w:r>
        <w:rPr>
          <w:spacing w:val="-1"/>
        </w:rPr>
        <w:t>Property as</w:t>
      </w:r>
      <w:r>
        <w:rPr>
          <w:spacing w:val="-4"/>
        </w:rPr>
        <w:t xml:space="preserve"> </w:t>
      </w:r>
      <w:r>
        <w:rPr>
          <w:spacing w:val="-1"/>
        </w:rPr>
        <w:t>fiduciary</w:t>
      </w:r>
      <w:r>
        <w:rPr>
          <w:spacing w:val="-2"/>
        </w:rPr>
        <w:t xml:space="preserve"> </w:t>
      </w:r>
      <w:r>
        <w:rPr>
          <w:spacing w:val="-1"/>
        </w:rPr>
        <w:t>agent</w:t>
      </w:r>
      <w:r>
        <w:rPr>
          <w:spacing w:val="2"/>
        </w:rPr>
        <w:t xml:space="preserve"> </w:t>
      </w:r>
      <w:r>
        <w:rPr>
          <w:spacing w:val="-1"/>
        </w:rPr>
        <w:t>and</w:t>
      </w:r>
      <w:r>
        <w:rPr>
          <w:spacing w:val="-2"/>
        </w:rPr>
        <w:t xml:space="preserve"> bailee</w:t>
      </w:r>
      <w:r>
        <w:t xml:space="preserve"> </w:t>
      </w:r>
      <w:r>
        <w:rPr>
          <w:spacing w:val="-2"/>
        </w:rPr>
        <w:t>of</w:t>
      </w:r>
      <w:r>
        <w:rPr>
          <w:spacing w:val="2"/>
        </w:rPr>
        <w:t xml:space="preserve"> </w:t>
      </w:r>
      <w:r>
        <w:t>the</w:t>
      </w:r>
      <w:r>
        <w:rPr>
          <w:spacing w:val="-2"/>
        </w:rPr>
        <w:t xml:space="preserve"> </w:t>
      </w:r>
      <w:r>
        <w:rPr>
          <w:spacing w:val="-1"/>
        </w:rPr>
        <w:t>Customer.</w:t>
      </w:r>
    </w:p>
    <w:p w:rsidR="008918FA" w:rsidRDefault="008918FA" w:rsidP="008918FA">
      <w:pPr>
        <w:pStyle w:val="BodyText"/>
        <w:numPr>
          <w:ilvl w:val="1"/>
          <w:numId w:val="66"/>
        </w:numPr>
        <w:tabs>
          <w:tab w:val="left" w:pos="1234"/>
        </w:tabs>
        <w:ind w:left="1029" w:right="110" w:hanging="360"/>
        <w:jc w:val="both"/>
      </w:pPr>
      <w:r>
        <w:t>The</w:t>
      </w:r>
      <w:r>
        <w:rPr>
          <w:spacing w:val="4"/>
        </w:rPr>
        <w:t xml:space="preserve"> </w:t>
      </w:r>
      <w:r>
        <w:rPr>
          <w:spacing w:val="-2"/>
        </w:rPr>
        <w:t>Supplier</w:t>
      </w:r>
      <w:r>
        <w:rPr>
          <w:spacing w:val="5"/>
        </w:rPr>
        <w:t xml:space="preserve"> </w:t>
      </w:r>
      <w:r>
        <w:rPr>
          <w:spacing w:val="-1"/>
        </w:rPr>
        <w:t>shall</w:t>
      </w:r>
      <w:r>
        <w:rPr>
          <w:spacing w:val="3"/>
        </w:rPr>
        <w:t xml:space="preserve"> </w:t>
      </w:r>
      <w:r>
        <w:t>take</w:t>
      </w:r>
      <w:r>
        <w:rPr>
          <w:spacing w:val="2"/>
        </w:rPr>
        <w:t xml:space="preserve"> </w:t>
      </w:r>
      <w:r>
        <w:rPr>
          <w:spacing w:val="-1"/>
        </w:rPr>
        <w:t>all</w:t>
      </w:r>
      <w:r>
        <w:rPr>
          <w:spacing w:val="6"/>
        </w:rPr>
        <w:t xml:space="preserve"> </w:t>
      </w:r>
      <w:r>
        <w:rPr>
          <w:spacing w:val="-1"/>
        </w:rPr>
        <w:t>reasonable</w:t>
      </w:r>
      <w:r>
        <w:rPr>
          <w:spacing w:val="4"/>
        </w:rPr>
        <w:t xml:space="preserve"> </w:t>
      </w:r>
      <w:r>
        <w:rPr>
          <w:spacing w:val="-1"/>
        </w:rPr>
        <w:t>steps</w:t>
      </w:r>
      <w:r>
        <w:rPr>
          <w:spacing w:val="4"/>
        </w:rPr>
        <w:t xml:space="preserve"> </w:t>
      </w:r>
      <w:r>
        <w:t>to</w:t>
      </w:r>
      <w:r>
        <w:rPr>
          <w:spacing w:val="4"/>
        </w:rPr>
        <w:t xml:space="preserve"> </w:t>
      </w:r>
      <w:r>
        <w:rPr>
          <w:spacing w:val="-1"/>
        </w:rPr>
        <w:t>ensure</w:t>
      </w:r>
      <w:r>
        <w:rPr>
          <w:spacing w:val="4"/>
        </w:rPr>
        <w:t xml:space="preserve"> </w:t>
      </w:r>
      <w:r>
        <w:rPr>
          <w:spacing w:val="-1"/>
        </w:rPr>
        <w:t>that</w:t>
      </w:r>
      <w:r>
        <w:rPr>
          <w:spacing w:val="5"/>
        </w:rPr>
        <w:t xml:space="preserve"> </w:t>
      </w:r>
      <w:r>
        <w:t>the</w:t>
      </w:r>
      <w:r>
        <w:rPr>
          <w:spacing w:val="4"/>
        </w:rPr>
        <w:t xml:space="preserve"> </w:t>
      </w:r>
      <w:r>
        <w:rPr>
          <w:spacing w:val="-1"/>
        </w:rPr>
        <w:t>title</w:t>
      </w:r>
      <w:r>
        <w:rPr>
          <w:spacing w:val="2"/>
        </w:rPr>
        <w:t xml:space="preserve"> </w:t>
      </w:r>
      <w:r>
        <w:rPr>
          <w:spacing w:val="-2"/>
        </w:rPr>
        <w:t>of</w:t>
      </w:r>
      <w:r>
        <w:rPr>
          <w:spacing w:val="8"/>
        </w:rPr>
        <w:t xml:space="preserve"> </w:t>
      </w:r>
      <w:r>
        <w:rPr>
          <w:spacing w:val="-1"/>
        </w:rPr>
        <w:t>the</w:t>
      </w:r>
      <w:r>
        <w:rPr>
          <w:spacing w:val="58"/>
        </w:rPr>
        <w:t xml:space="preserve"> </w:t>
      </w:r>
      <w:r>
        <w:rPr>
          <w:spacing w:val="-1"/>
        </w:rPr>
        <w:t>Customer</w:t>
      </w:r>
      <w:r>
        <w:rPr>
          <w:spacing w:val="35"/>
        </w:rPr>
        <w:t xml:space="preserve"> </w:t>
      </w:r>
      <w:r>
        <w:t>to</w:t>
      </w:r>
      <w:r>
        <w:rPr>
          <w:spacing w:val="34"/>
        </w:rPr>
        <w:t xml:space="preserve"> </w:t>
      </w:r>
      <w:r>
        <w:t>the</w:t>
      </w:r>
      <w:r>
        <w:rPr>
          <w:spacing w:val="34"/>
        </w:rPr>
        <w:t xml:space="preserve"> </w:t>
      </w:r>
      <w:r>
        <w:rPr>
          <w:spacing w:val="-1"/>
        </w:rPr>
        <w:t>Customer</w:t>
      </w:r>
      <w:r>
        <w:rPr>
          <w:spacing w:val="35"/>
        </w:rPr>
        <w:t xml:space="preserve"> </w:t>
      </w:r>
      <w:r>
        <w:rPr>
          <w:spacing w:val="-1"/>
        </w:rPr>
        <w:t>Property</w:t>
      </w:r>
      <w:r>
        <w:rPr>
          <w:spacing w:val="32"/>
        </w:rPr>
        <w:t xml:space="preserve"> </w:t>
      </w:r>
      <w:r>
        <w:rPr>
          <w:spacing w:val="-1"/>
        </w:rPr>
        <w:t>and</w:t>
      </w:r>
      <w:r>
        <w:rPr>
          <w:spacing w:val="34"/>
        </w:rPr>
        <w:t xml:space="preserve"> </w:t>
      </w:r>
      <w:r>
        <w:t>the</w:t>
      </w:r>
      <w:r>
        <w:rPr>
          <w:spacing w:val="35"/>
        </w:rPr>
        <w:t xml:space="preserve"> </w:t>
      </w:r>
      <w:r>
        <w:rPr>
          <w:spacing w:val="-2"/>
        </w:rPr>
        <w:t>exclusion</w:t>
      </w:r>
      <w:r>
        <w:rPr>
          <w:spacing w:val="36"/>
        </w:rPr>
        <w:t xml:space="preserve"> </w:t>
      </w:r>
      <w:r>
        <w:rPr>
          <w:spacing w:val="-1"/>
        </w:rPr>
        <w:t>of</w:t>
      </w:r>
      <w:r>
        <w:rPr>
          <w:spacing w:val="38"/>
        </w:rPr>
        <w:t xml:space="preserve"> </w:t>
      </w:r>
      <w:r>
        <w:rPr>
          <w:spacing w:val="-1"/>
        </w:rPr>
        <w:t>any</w:t>
      </w:r>
      <w:r>
        <w:rPr>
          <w:spacing w:val="32"/>
        </w:rPr>
        <w:t xml:space="preserve"> </w:t>
      </w:r>
      <w:r>
        <w:rPr>
          <w:spacing w:val="-1"/>
        </w:rPr>
        <w:t>such</w:t>
      </w:r>
      <w:r>
        <w:rPr>
          <w:spacing w:val="34"/>
        </w:rPr>
        <w:t xml:space="preserve"> </w:t>
      </w:r>
      <w:r>
        <w:t>lien</w:t>
      </w:r>
      <w:r>
        <w:rPr>
          <w:spacing w:val="34"/>
        </w:rPr>
        <w:t xml:space="preserve"> </w:t>
      </w:r>
      <w:r>
        <w:rPr>
          <w:spacing w:val="-1"/>
        </w:rPr>
        <w:t>or</w:t>
      </w:r>
      <w:r>
        <w:rPr>
          <w:spacing w:val="36"/>
        </w:rPr>
        <w:t xml:space="preserve"> </w:t>
      </w:r>
      <w:r>
        <w:rPr>
          <w:spacing w:val="-1"/>
        </w:rPr>
        <w:t>other</w:t>
      </w:r>
      <w:r>
        <w:rPr>
          <w:spacing w:val="46"/>
        </w:rPr>
        <w:t xml:space="preserve"> </w:t>
      </w:r>
      <w:r>
        <w:rPr>
          <w:spacing w:val="-1"/>
        </w:rPr>
        <w:t>interest</w:t>
      </w:r>
      <w:r>
        <w:rPr>
          <w:spacing w:val="55"/>
        </w:rPr>
        <w:t xml:space="preserve"> </w:t>
      </w:r>
      <w:r>
        <w:rPr>
          <w:spacing w:val="-1"/>
        </w:rPr>
        <w:t>are</w:t>
      </w:r>
      <w:r>
        <w:rPr>
          <w:spacing w:val="53"/>
        </w:rPr>
        <w:t xml:space="preserve"> </w:t>
      </w:r>
      <w:r>
        <w:rPr>
          <w:spacing w:val="-1"/>
        </w:rPr>
        <w:t>brought</w:t>
      </w:r>
      <w:r>
        <w:rPr>
          <w:spacing w:val="52"/>
        </w:rPr>
        <w:t xml:space="preserve"> </w:t>
      </w:r>
      <w:r>
        <w:t>to</w:t>
      </w:r>
      <w:r>
        <w:rPr>
          <w:spacing w:val="51"/>
        </w:rPr>
        <w:t xml:space="preserve"> </w:t>
      </w:r>
      <w:r>
        <w:t>the</w:t>
      </w:r>
      <w:r>
        <w:rPr>
          <w:spacing w:val="53"/>
        </w:rPr>
        <w:t xml:space="preserve"> </w:t>
      </w:r>
      <w:r>
        <w:rPr>
          <w:spacing w:val="-1"/>
        </w:rPr>
        <w:t>notice</w:t>
      </w:r>
      <w:r>
        <w:rPr>
          <w:spacing w:val="53"/>
        </w:rPr>
        <w:t xml:space="preserve"> </w:t>
      </w:r>
      <w:r>
        <w:rPr>
          <w:spacing w:val="-2"/>
        </w:rPr>
        <w:t>of</w:t>
      </w:r>
      <w:r>
        <w:rPr>
          <w:spacing w:val="58"/>
        </w:rPr>
        <w:t xml:space="preserve"> </w:t>
      </w:r>
      <w:r>
        <w:rPr>
          <w:spacing w:val="-1"/>
        </w:rPr>
        <w:t>all</w:t>
      </w:r>
      <w:r>
        <w:rPr>
          <w:spacing w:val="52"/>
        </w:rPr>
        <w:t xml:space="preserve"> </w:t>
      </w:r>
      <w:r>
        <w:rPr>
          <w:spacing w:val="-1"/>
        </w:rPr>
        <w:t>Sub-Contractors</w:t>
      </w:r>
      <w:r>
        <w:rPr>
          <w:spacing w:val="53"/>
        </w:rPr>
        <w:t xml:space="preserve"> </w:t>
      </w:r>
      <w:r>
        <w:rPr>
          <w:spacing w:val="-1"/>
        </w:rPr>
        <w:t>and</w:t>
      </w:r>
      <w:r>
        <w:rPr>
          <w:spacing w:val="53"/>
        </w:rPr>
        <w:t xml:space="preserve"> </w:t>
      </w:r>
      <w:r>
        <w:rPr>
          <w:spacing w:val="-1"/>
        </w:rPr>
        <w:t>other</w:t>
      </w:r>
      <w:r>
        <w:rPr>
          <w:spacing w:val="54"/>
        </w:rPr>
        <w:t xml:space="preserve"> </w:t>
      </w:r>
      <w:r>
        <w:rPr>
          <w:spacing w:val="-1"/>
        </w:rPr>
        <w:t>appropriate</w:t>
      </w:r>
      <w:r>
        <w:rPr>
          <w:spacing w:val="43"/>
        </w:rPr>
        <w:t xml:space="preserve"> </w:t>
      </w:r>
      <w:r>
        <w:rPr>
          <w:spacing w:val="-1"/>
        </w:rPr>
        <w:t>persons</w:t>
      </w:r>
      <w:r>
        <w:rPr>
          <w:spacing w:val="26"/>
        </w:rPr>
        <w:t xml:space="preserve"> </w:t>
      </w:r>
      <w:r>
        <w:rPr>
          <w:spacing w:val="-1"/>
        </w:rPr>
        <w:t>and</w:t>
      </w:r>
      <w:r>
        <w:rPr>
          <w:spacing w:val="26"/>
        </w:rPr>
        <w:t xml:space="preserve"> </w:t>
      </w:r>
      <w:r>
        <w:rPr>
          <w:spacing w:val="-1"/>
        </w:rPr>
        <w:t>shall,</w:t>
      </w:r>
      <w:r>
        <w:rPr>
          <w:spacing w:val="27"/>
        </w:rPr>
        <w:t xml:space="preserve"> </w:t>
      </w:r>
      <w:r>
        <w:rPr>
          <w:spacing w:val="-1"/>
        </w:rPr>
        <w:t>at</w:t>
      </w:r>
      <w:r>
        <w:rPr>
          <w:spacing w:val="25"/>
        </w:rPr>
        <w:t xml:space="preserve"> </w:t>
      </w:r>
      <w:r>
        <w:t>the</w:t>
      </w:r>
      <w:r>
        <w:rPr>
          <w:spacing w:val="26"/>
        </w:rPr>
        <w:t xml:space="preserve"> </w:t>
      </w:r>
      <w:r>
        <w:rPr>
          <w:spacing w:val="-1"/>
        </w:rPr>
        <w:t>Customer's</w:t>
      </w:r>
      <w:r>
        <w:rPr>
          <w:spacing w:val="26"/>
        </w:rPr>
        <w:t xml:space="preserve"> </w:t>
      </w:r>
      <w:r>
        <w:rPr>
          <w:spacing w:val="-1"/>
        </w:rPr>
        <w:t>request,</w:t>
      </w:r>
      <w:r>
        <w:rPr>
          <w:spacing w:val="27"/>
        </w:rPr>
        <w:t xml:space="preserve"> </w:t>
      </w:r>
      <w:r>
        <w:rPr>
          <w:spacing w:val="-1"/>
        </w:rPr>
        <w:t>store</w:t>
      </w:r>
      <w:r>
        <w:rPr>
          <w:spacing w:val="26"/>
        </w:rPr>
        <w:t xml:space="preserve"> </w:t>
      </w:r>
      <w:r>
        <w:t>the</w:t>
      </w:r>
      <w:r>
        <w:rPr>
          <w:spacing w:val="26"/>
        </w:rPr>
        <w:t xml:space="preserve"> </w:t>
      </w:r>
      <w:r>
        <w:rPr>
          <w:spacing w:val="-2"/>
        </w:rPr>
        <w:t>Customer</w:t>
      </w:r>
      <w:r>
        <w:rPr>
          <w:spacing w:val="24"/>
        </w:rPr>
        <w:t xml:space="preserve"> </w:t>
      </w:r>
      <w:r>
        <w:rPr>
          <w:spacing w:val="-1"/>
        </w:rPr>
        <w:t>Property</w:t>
      </w:r>
      <w:r>
        <w:rPr>
          <w:spacing w:val="43"/>
        </w:rPr>
        <w:t xml:space="preserve"> </w:t>
      </w:r>
      <w:r>
        <w:rPr>
          <w:spacing w:val="-1"/>
        </w:rPr>
        <w:t>separately</w:t>
      </w:r>
      <w:r>
        <w:rPr>
          <w:spacing w:val="3"/>
        </w:rPr>
        <w:t xml:space="preserve"> </w:t>
      </w:r>
      <w:r>
        <w:rPr>
          <w:spacing w:val="-1"/>
        </w:rPr>
        <w:t>and</w:t>
      </w:r>
      <w:r>
        <w:rPr>
          <w:spacing w:val="5"/>
        </w:rPr>
        <w:t xml:space="preserve"> </w:t>
      </w:r>
      <w:r>
        <w:rPr>
          <w:spacing w:val="-1"/>
        </w:rPr>
        <w:t>securely</w:t>
      </w:r>
      <w:r>
        <w:rPr>
          <w:spacing w:val="5"/>
        </w:rPr>
        <w:t xml:space="preserve"> </w:t>
      </w:r>
      <w:r>
        <w:rPr>
          <w:spacing w:val="-1"/>
        </w:rPr>
        <w:t>and</w:t>
      </w:r>
      <w:r>
        <w:rPr>
          <w:spacing w:val="5"/>
        </w:rPr>
        <w:t xml:space="preserve"> </w:t>
      </w:r>
      <w:r>
        <w:rPr>
          <w:spacing w:val="-1"/>
        </w:rPr>
        <w:t>ensure</w:t>
      </w:r>
      <w:r>
        <w:rPr>
          <w:spacing w:val="5"/>
        </w:rPr>
        <w:t xml:space="preserve"> </w:t>
      </w:r>
      <w:r>
        <w:rPr>
          <w:spacing w:val="-1"/>
        </w:rPr>
        <w:t>that</w:t>
      </w:r>
      <w:r>
        <w:rPr>
          <w:spacing w:val="7"/>
        </w:rPr>
        <w:t xml:space="preserve"> </w:t>
      </w:r>
      <w:r>
        <w:rPr>
          <w:spacing w:val="-1"/>
        </w:rPr>
        <w:t>it</w:t>
      </w:r>
      <w:r>
        <w:rPr>
          <w:spacing w:val="7"/>
        </w:rPr>
        <w:t xml:space="preserve"> </w:t>
      </w:r>
      <w:r>
        <w:rPr>
          <w:spacing w:val="-1"/>
        </w:rPr>
        <w:t>is</w:t>
      </w:r>
      <w:r>
        <w:rPr>
          <w:spacing w:val="5"/>
        </w:rPr>
        <w:t xml:space="preserve"> </w:t>
      </w:r>
      <w:r>
        <w:rPr>
          <w:spacing w:val="-1"/>
        </w:rPr>
        <w:t>clearly</w:t>
      </w:r>
      <w:r>
        <w:rPr>
          <w:spacing w:val="3"/>
        </w:rPr>
        <w:t xml:space="preserve"> </w:t>
      </w:r>
      <w:r>
        <w:rPr>
          <w:spacing w:val="-1"/>
        </w:rPr>
        <w:t>identifiable</w:t>
      </w:r>
      <w:r>
        <w:rPr>
          <w:spacing w:val="5"/>
        </w:rPr>
        <w:t xml:space="preserve"> </w:t>
      </w:r>
      <w:r>
        <w:rPr>
          <w:spacing w:val="-1"/>
        </w:rPr>
        <w:t>as</w:t>
      </w:r>
      <w:r>
        <w:rPr>
          <w:spacing w:val="5"/>
        </w:rPr>
        <w:t xml:space="preserve"> </w:t>
      </w:r>
      <w:r>
        <w:rPr>
          <w:spacing w:val="-1"/>
        </w:rPr>
        <w:t>belonging</w:t>
      </w:r>
      <w:r>
        <w:rPr>
          <w:spacing w:val="7"/>
        </w:rPr>
        <w:t xml:space="preserve"> </w:t>
      </w:r>
      <w:r>
        <w:t>to</w:t>
      </w:r>
      <w:r>
        <w:rPr>
          <w:spacing w:val="3"/>
        </w:rPr>
        <w:t xml:space="preserve"> </w:t>
      </w:r>
      <w:r>
        <w:rPr>
          <w:spacing w:val="-1"/>
        </w:rPr>
        <w:t>the</w:t>
      </w:r>
      <w:r>
        <w:rPr>
          <w:spacing w:val="50"/>
        </w:rPr>
        <w:t xml:space="preserve"> </w:t>
      </w:r>
      <w:r>
        <w:rPr>
          <w:spacing w:val="-1"/>
        </w:rPr>
        <w:t>Customer.</w:t>
      </w:r>
    </w:p>
    <w:p w:rsidR="008918FA" w:rsidRDefault="008918FA" w:rsidP="008918FA">
      <w:pPr>
        <w:pStyle w:val="BodyText"/>
        <w:numPr>
          <w:ilvl w:val="1"/>
          <w:numId w:val="66"/>
        </w:numPr>
        <w:tabs>
          <w:tab w:val="left" w:pos="1234"/>
        </w:tabs>
        <w:spacing w:before="121"/>
        <w:ind w:left="1029" w:right="118" w:hanging="360"/>
        <w:jc w:val="both"/>
      </w:pPr>
      <w:r>
        <w:t>The</w:t>
      </w:r>
      <w:r>
        <w:rPr>
          <w:spacing w:val="15"/>
        </w:rPr>
        <w:t xml:space="preserve"> </w:t>
      </w:r>
      <w:r>
        <w:rPr>
          <w:spacing w:val="-1"/>
        </w:rPr>
        <w:t>Customer</w:t>
      </w:r>
      <w:r>
        <w:rPr>
          <w:spacing w:val="16"/>
        </w:rPr>
        <w:t xml:space="preserve"> </w:t>
      </w:r>
      <w:r>
        <w:rPr>
          <w:spacing w:val="-1"/>
        </w:rPr>
        <w:t>Property</w:t>
      </w:r>
      <w:r>
        <w:rPr>
          <w:spacing w:val="13"/>
        </w:rPr>
        <w:t xml:space="preserve"> </w:t>
      </w:r>
      <w:r>
        <w:rPr>
          <w:spacing w:val="-1"/>
        </w:rPr>
        <w:t>shall</w:t>
      </w:r>
      <w:r>
        <w:rPr>
          <w:spacing w:val="14"/>
        </w:rPr>
        <w:t xml:space="preserve"> </w:t>
      </w:r>
      <w:r>
        <w:rPr>
          <w:spacing w:val="-1"/>
        </w:rPr>
        <w:t>be</w:t>
      </w:r>
      <w:r>
        <w:rPr>
          <w:spacing w:val="15"/>
        </w:rPr>
        <w:t xml:space="preserve"> </w:t>
      </w:r>
      <w:r>
        <w:rPr>
          <w:spacing w:val="-1"/>
        </w:rPr>
        <w:t>deemed</w:t>
      </w:r>
      <w:r>
        <w:rPr>
          <w:spacing w:val="15"/>
        </w:rPr>
        <w:t xml:space="preserve"> </w:t>
      </w:r>
      <w:r>
        <w:t>to</w:t>
      </w:r>
      <w:r>
        <w:rPr>
          <w:spacing w:val="15"/>
        </w:rPr>
        <w:t xml:space="preserve"> </w:t>
      </w:r>
      <w:r>
        <w:rPr>
          <w:spacing w:val="-1"/>
        </w:rPr>
        <w:t>be</w:t>
      </w:r>
      <w:r>
        <w:rPr>
          <w:spacing w:val="17"/>
        </w:rPr>
        <w:t xml:space="preserve"> </w:t>
      </w:r>
      <w:r>
        <w:t>in</w:t>
      </w:r>
      <w:r>
        <w:rPr>
          <w:spacing w:val="15"/>
        </w:rPr>
        <w:t xml:space="preserve"> </w:t>
      </w:r>
      <w:r>
        <w:t>good</w:t>
      </w:r>
      <w:r>
        <w:rPr>
          <w:spacing w:val="15"/>
        </w:rPr>
        <w:t xml:space="preserve"> </w:t>
      </w:r>
      <w:r>
        <w:rPr>
          <w:spacing w:val="-1"/>
        </w:rPr>
        <w:t>condition</w:t>
      </w:r>
      <w:r>
        <w:rPr>
          <w:spacing w:val="15"/>
        </w:rPr>
        <w:t xml:space="preserve"> </w:t>
      </w:r>
      <w:r>
        <w:rPr>
          <w:spacing w:val="-2"/>
        </w:rPr>
        <w:t>when</w:t>
      </w:r>
      <w:r>
        <w:rPr>
          <w:spacing w:val="17"/>
        </w:rPr>
        <w:t xml:space="preserve"> </w:t>
      </w:r>
      <w:r>
        <w:rPr>
          <w:spacing w:val="-2"/>
        </w:rPr>
        <w:t>received</w:t>
      </w:r>
      <w:r>
        <w:rPr>
          <w:spacing w:val="46"/>
        </w:rPr>
        <w:t xml:space="preserve"> </w:t>
      </w:r>
      <w:r>
        <w:rPr>
          <w:spacing w:val="-1"/>
        </w:rPr>
        <w:t>by</w:t>
      </w:r>
      <w:r>
        <w:rPr>
          <w:spacing w:val="5"/>
        </w:rPr>
        <w:t xml:space="preserve"> </w:t>
      </w:r>
      <w:r>
        <w:rPr>
          <w:spacing w:val="-1"/>
        </w:rPr>
        <w:t>or</w:t>
      </w:r>
      <w:r>
        <w:rPr>
          <w:spacing w:val="9"/>
        </w:rPr>
        <w:t xml:space="preserve"> </w:t>
      </w:r>
      <w:r>
        <w:rPr>
          <w:spacing w:val="-1"/>
        </w:rPr>
        <w:t>on</w:t>
      </w:r>
      <w:r>
        <w:rPr>
          <w:spacing w:val="7"/>
        </w:rPr>
        <w:t xml:space="preserve"> </w:t>
      </w:r>
      <w:r>
        <w:rPr>
          <w:spacing w:val="-1"/>
        </w:rPr>
        <w:t>behalf</w:t>
      </w:r>
      <w:r>
        <w:rPr>
          <w:spacing w:val="11"/>
        </w:rPr>
        <w:t xml:space="preserve"> </w:t>
      </w:r>
      <w:r>
        <w:rPr>
          <w:spacing w:val="-2"/>
        </w:rPr>
        <w:t>of</w:t>
      </w:r>
      <w:r>
        <w:rPr>
          <w:spacing w:val="9"/>
        </w:rPr>
        <w:t xml:space="preserve"> </w:t>
      </w:r>
      <w:r>
        <w:t>the</w:t>
      </w:r>
      <w:r>
        <w:rPr>
          <w:spacing w:val="7"/>
        </w:rPr>
        <w:t xml:space="preserve"> </w:t>
      </w:r>
      <w:r>
        <w:rPr>
          <w:spacing w:val="-2"/>
        </w:rPr>
        <w:t>Supplier</w:t>
      </w:r>
      <w:r>
        <w:rPr>
          <w:spacing w:val="9"/>
        </w:rPr>
        <w:t xml:space="preserve"> </w:t>
      </w:r>
      <w:r>
        <w:rPr>
          <w:spacing w:val="-1"/>
        </w:rPr>
        <w:t>unless</w:t>
      </w:r>
      <w:r>
        <w:rPr>
          <w:spacing w:val="8"/>
        </w:rPr>
        <w:t xml:space="preserve"> </w:t>
      </w:r>
      <w:r>
        <w:t>the</w:t>
      </w:r>
      <w:r>
        <w:rPr>
          <w:spacing w:val="7"/>
        </w:rPr>
        <w:t xml:space="preserve"> </w:t>
      </w:r>
      <w:r>
        <w:rPr>
          <w:spacing w:val="-1"/>
        </w:rPr>
        <w:t>Supplier</w:t>
      </w:r>
      <w:r>
        <w:rPr>
          <w:spacing w:val="9"/>
        </w:rPr>
        <w:t xml:space="preserve"> </w:t>
      </w:r>
      <w:r>
        <w:rPr>
          <w:spacing w:val="-1"/>
        </w:rPr>
        <w:t>notifies</w:t>
      </w:r>
      <w:r>
        <w:rPr>
          <w:spacing w:val="8"/>
        </w:rPr>
        <w:t xml:space="preserve"> </w:t>
      </w:r>
      <w:r>
        <w:t>the</w:t>
      </w:r>
      <w:r>
        <w:rPr>
          <w:spacing w:val="7"/>
        </w:rPr>
        <w:t xml:space="preserve"> </w:t>
      </w:r>
      <w:r>
        <w:rPr>
          <w:spacing w:val="-2"/>
        </w:rPr>
        <w:t>Customer</w:t>
      </w:r>
      <w:r>
        <w:rPr>
          <w:spacing w:val="9"/>
        </w:rPr>
        <w:t xml:space="preserve"> </w:t>
      </w:r>
      <w:r>
        <w:rPr>
          <w:spacing w:val="-2"/>
        </w:rPr>
        <w:t>otherwise</w:t>
      </w:r>
      <w:r>
        <w:rPr>
          <w:spacing w:val="54"/>
        </w:rPr>
        <w:t xml:space="preserve"> </w:t>
      </w:r>
      <w:r>
        <w:rPr>
          <w:spacing w:val="-1"/>
        </w:rPr>
        <w:t>within</w:t>
      </w:r>
      <w:r>
        <w:rPr>
          <w:spacing w:val="-2"/>
        </w:rPr>
        <w:t xml:space="preserve"> </w:t>
      </w:r>
      <w:r>
        <w:rPr>
          <w:spacing w:val="-1"/>
        </w:rPr>
        <w:t>five</w:t>
      </w:r>
      <w:r>
        <w:t xml:space="preserve"> </w:t>
      </w:r>
      <w:r>
        <w:rPr>
          <w:spacing w:val="-1"/>
        </w:rPr>
        <w:t>(5)</w:t>
      </w:r>
      <w:r>
        <w:rPr>
          <w:spacing w:val="-6"/>
        </w:rPr>
        <w:t xml:space="preserve"> </w:t>
      </w:r>
      <w:r>
        <w:rPr>
          <w:spacing w:val="-1"/>
        </w:rPr>
        <w:t>Working</w:t>
      </w:r>
      <w:r>
        <w:t xml:space="preserve"> </w:t>
      </w:r>
      <w:r>
        <w:rPr>
          <w:spacing w:val="-2"/>
        </w:rPr>
        <w:t>Days</w:t>
      </w:r>
      <w:r>
        <w:rPr>
          <w:spacing w:val="1"/>
        </w:rPr>
        <w:t xml:space="preserve"> </w:t>
      </w:r>
      <w:r>
        <w:rPr>
          <w:spacing w:val="-1"/>
        </w:rPr>
        <w:t>of</w:t>
      </w:r>
      <w:r>
        <w:rPr>
          <w:spacing w:val="2"/>
        </w:rPr>
        <w:t xml:space="preserve"> </w:t>
      </w:r>
      <w:r>
        <w:rPr>
          <w:spacing w:val="-1"/>
        </w:rPr>
        <w:t>receipt.</w:t>
      </w:r>
    </w:p>
    <w:p w:rsidR="008918FA" w:rsidRDefault="008918FA" w:rsidP="008918FA">
      <w:pPr>
        <w:pStyle w:val="BodyText"/>
        <w:numPr>
          <w:ilvl w:val="1"/>
          <w:numId w:val="66"/>
        </w:numPr>
        <w:tabs>
          <w:tab w:val="left" w:pos="1234"/>
        </w:tabs>
        <w:ind w:left="1029" w:right="114" w:hanging="360"/>
        <w:jc w:val="both"/>
      </w:pPr>
      <w:r>
        <w:t>The</w:t>
      </w:r>
      <w:r>
        <w:rPr>
          <w:spacing w:val="22"/>
        </w:rPr>
        <w:t xml:space="preserve"> </w:t>
      </w:r>
      <w:r>
        <w:rPr>
          <w:spacing w:val="-2"/>
        </w:rPr>
        <w:t>Supplier</w:t>
      </w:r>
      <w:r>
        <w:rPr>
          <w:spacing w:val="23"/>
        </w:rPr>
        <w:t xml:space="preserve"> </w:t>
      </w:r>
      <w:r>
        <w:rPr>
          <w:spacing w:val="-1"/>
        </w:rPr>
        <w:t>shall</w:t>
      </w:r>
      <w:r>
        <w:rPr>
          <w:spacing w:val="21"/>
        </w:rPr>
        <w:t xml:space="preserve"> </w:t>
      </w:r>
      <w:r>
        <w:rPr>
          <w:spacing w:val="-1"/>
        </w:rPr>
        <w:t>maintain</w:t>
      </w:r>
      <w:r>
        <w:rPr>
          <w:spacing w:val="22"/>
        </w:rPr>
        <w:t xml:space="preserve"> </w:t>
      </w:r>
      <w:r>
        <w:t>the</w:t>
      </w:r>
      <w:r>
        <w:rPr>
          <w:spacing w:val="24"/>
        </w:rPr>
        <w:t xml:space="preserve"> </w:t>
      </w:r>
      <w:r>
        <w:rPr>
          <w:spacing w:val="-1"/>
        </w:rPr>
        <w:t>Customer</w:t>
      </w:r>
      <w:r>
        <w:rPr>
          <w:spacing w:val="23"/>
        </w:rPr>
        <w:t xml:space="preserve"> </w:t>
      </w:r>
      <w:r>
        <w:rPr>
          <w:spacing w:val="-1"/>
        </w:rPr>
        <w:t>Property</w:t>
      </w:r>
      <w:r>
        <w:rPr>
          <w:spacing w:val="20"/>
        </w:rPr>
        <w:t xml:space="preserve"> </w:t>
      </w:r>
      <w:r>
        <w:rPr>
          <w:spacing w:val="-1"/>
        </w:rPr>
        <w:t>in</w:t>
      </w:r>
      <w:r>
        <w:rPr>
          <w:spacing w:val="22"/>
        </w:rPr>
        <w:t xml:space="preserve"> </w:t>
      </w:r>
      <w:r>
        <w:t>good</w:t>
      </w:r>
      <w:r>
        <w:rPr>
          <w:spacing w:val="22"/>
        </w:rPr>
        <w:t xml:space="preserve"> </w:t>
      </w:r>
      <w:r>
        <w:rPr>
          <w:spacing w:val="-1"/>
        </w:rPr>
        <w:t>order</w:t>
      </w:r>
      <w:r>
        <w:rPr>
          <w:spacing w:val="23"/>
        </w:rPr>
        <w:t xml:space="preserve"> </w:t>
      </w:r>
      <w:r>
        <w:rPr>
          <w:spacing w:val="-1"/>
        </w:rPr>
        <w:t>and</w:t>
      </w:r>
      <w:r>
        <w:rPr>
          <w:spacing w:val="22"/>
        </w:rPr>
        <w:t xml:space="preserve"> </w:t>
      </w:r>
      <w:r>
        <w:rPr>
          <w:spacing w:val="-1"/>
        </w:rPr>
        <w:t>condition</w:t>
      </w:r>
      <w:r>
        <w:rPr>
          <w:spacing w:val="45"/>
        </w:rPr>
        <w:t xml:space="preserve"> </w:t>
      </w:r>
      <w:r>
        <w:rPr>
          <w:spacing w:val="-2"/>
        </w:rPr>
        <w:t>(excluding</w:t>
      </w:r>
      <w:r>
        <w:rPr>
          <w:spacing w:val="4"/>
        </w:rPr>
        <w:t xml:space="preserve"> </w:t>
      </w:r>
      <w:r>
        <w:t>fair</w:t>
      </w:r>
      <w:r>
        <w:rPr>
          <w:spacing w:val="5"/>
        </w:rPr>
        <w:t xml:space="preserve"> </w:t>
      </w:r>
      <w:r>
        <w:rPr>
          <w:spacing w:val="-2"/>
        </w:rPr>
        <w:t>wear</w:t>
      </w:r>
      <w:r>
        <w:rPr>
          <w:spacing w:val="5"/>
        </w:rPr>
        <w:t xml:space="preserve"> </w:t>
      </w:r>
      <w:r>
        <w:rPr>
          <w:spacing w:val="-2"/>
        </w:rPr>
        <w:t>and</w:t>
      </w:r>
      <w:r>
        <w:rPr>
          <w:spacing w:val="4"/>
        </w:rPr>
        <w:t xml:space="preserve"> </w:t>
      </w:r>
      <w:r>
        <w:rPr>
          <w:spacing w:val="-1"/>
        </w:rPr>
        <w:t>tear)</w:t>
      </w:r>
      <w:r>
        <w:rPr>
          <w:spacing w:val="5"/>
        </w:rPr>
        <w:t xml:space="preserve"> </w:t>
      </w:r>
      <w:r>
        <w:rPr>
          <w:spacing w:val="-1"/>
        </w:rPr>
        <w:t>and</w:t>
      </w:r>
      <w:r>
        <w:rPr>
          <w:spacing w:val="2"/>
        </w:rPr>
        <w:t xml:space="preserve"> </w:t>
      </w:r>
      <w:r>
        <w:rPr>
          <w:spacing w:val="-1"/>
        </w:rPr>
        <w:t>shall</w:t>
      </w:r>
      <w:r>
        <w:rPr>
          <w:spacing w:val="3"/>
        </w:rPr>
        <w:t xml:space="preserve"> </w:t>
      </w:r>
      <w:r>
        <w:rPr>
          <w:spacing w:val="-1"/>
        </w:rPr>
        <w:t>use</w:t>
      </w:r>
      <w:r>
        <w:rPr>
          <w:spacing w:val="4"/>
        </w:rPr>
        <w:t xml:space="preserve"> </w:t>
      </w:r>
      <w:r>
        <w:rPr>
          <w:spacing w:val="-1"/>
        </w:rPr>
        <w:t>the</w:t>
      </w:r>
      <w:r>
        <w:rPr>
          <w:spacing w:val="4"/>
        </w:rPr>
        <w:t xml:space="preserve"> </w:t>
      </w:r>
      <w:r>
        <w:rPr>
          <w:spacing w:val="-1"/>
        </w:rPr>
        <w:t>Customer</w:t>
      </w:r>
      <w:r>
        <w:rPr>
          <w:spacing w:val="5"/>
        </w:rPr>
        <w:t xml:space="preserve"> </w:t>
      </w:r>
      <w:r>
        <w:rPr>
          <w:spacing w:val="-1"/>
        </w:rPr>
        <w:t>Property</w:t>
      </w:r>
      <w:r>
        <w:rPr>
          <w:spacing w:val="5"/>
        </w:rPr>
        <w:t xml:space="preserve"> </w:t>
      </w:r>
      <w:r>
        <w:rPr>
          <w:spacing w:val="-2"/>
        </w:rPr>
        <w:t>solely</w:t>
      </w:r>
      <w:r>
        <w:rPr>
          <w:spacing w:val="2"/>
        </w:rPr>
        <w:t xml:space="preserve"> </w:t>
      </w:r>
      <w:r>
        <w:rPr>
          <w:spacing w:val="-2"/>
        </w:rPr>
        <w:t>in</w:t>
      </w:r>
      <w:r>
        <w:rPr>
          <w:spacing w:val="47"/>
        </w:rPr>
        <w:t xml:space="preserve"> </w:t>
      </w:r>
      <w:r>
        <w:rPr>
          <w:spacing w:val="-1"/>
        </w:rPr>
        <w:t>connection</w:t>
      </w:r>
      <w:r>
        <w:t xml:space="preserve"> </w:t>
      </w:r>
      <w:r>
        <w:rPr>
          <w:spacing w:val="-2"/>
        </w:rPr>
        <w:t>with</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2"/>
        </w:rPr>
        <w:t>Contract</w:t>
      </w:r>
      <w:r>
        <w:rPr>
          <w:spacing w:val="2"/>
        </w:rPr>
        <w:t xml:space="preserve"> </w:t>
      </w:r>
      <w:r>
        <w:rPr>
          <w:spacing w:val="-1"/>
        </w:rPr>
        <w:t>and</w:t>
      </w:r>
      <w:r>
        <w:rPr>
          <w:spacing w:val="-4"/>
        </w:rPr>
        <w:t xml:space="preserve"> </w:t>
      </w:r>
      <w:r>
        <w:t>for</w:t>
      </w:r>
      <w:r>
        <w:rPr>
          <w:spacing w:val="2"/>
        </w:rPr>
        <w:t xml:space="preserve"> </w:t>
      </w:r>
      <w:r>
        <w:rPr>
          <w:spacing w:val="-2"/>
        </w:rPr>
        <w:t>no</w:t>
      </w:r>
      <w:r>
        <w:t xml:space="preserve"> </w:t>
      </w:r>
      <w:r>
        <w:rPr>
          <w:spacing w:val="-1"/>
        </w:rPr>
        <w:t>other purpose</w:t>
      </w:r>
      <w:r>
        <w:rPr>
          <w:spacing w:val="-2"/>
        </w:rPr>
        <w:t xml:space="preserve"> without</w:t>
      </w:r>
      <w:r>
        <w:rPr>
          <w:spacing w:val="2"/>
        </w:rPr>
        <w:t xml:space="preserve"> </w:t>
      </w:r>
      <w:r>
        <w:rPr>
          <w:spacing w:val="-2"/>
        </w:rPr>
        <w:t>Approval.</w:t>
      </w:r>
    </w:p>
    <w:p w:rsidR="008918FA" w:rsidRDefault="008918FA" w:rsidP="008918FA">
      <w:pPr>
        <w:pStyle w:val="BodyText"/>
        <w:numPr>
          <w:ilvl w:val="1"/>
          <w:numId w:val="66"/>
        </w:numPr>
        <w:tabs>
          <w:tab w:val="left" w:pos="1234"/>
        </w:tabs>
        <w:ind w:left="1029" w:right="112" w:hanging="360"/>
        <w:jc w:val="both"/>
      </w:pPr>
      <w:r>
        <w:t>The</w:t>
      </w:r>
      <w:r>
        <w:rPr>
          <w:spacing w:val="22"/>
        </w:rPr>
        <w:t xml:space="preserve"> </w:t>
      </w:r>
      <w:r>
        <w:rPr>
          <w:spacing w:val="-2"/>
        </w:rPr>
        <w:t>Supplier</w:t>
      </w:r>
      <w:r>
        <w:rPr>
          <w:spacing w:val="23"/>
        </w:rPr>
        <w:t xml:space="preserve"> </w:t>
      </w:r>
      <w:r>
        <w:rPr>
          <w:spacing w:val="-1"/>
        </w:rPr>
        <w:t>shall</w:t>
      </w:r>
      <w:r>
        <w:rPr>
          <w:spacing w:val="21"/>
        </w:rPr>
        <w:t xml:space="preserve"> </w:t>
      </w:r>
      <w:r>
        <w:rPr>
          <w:spacing w:val="-1"/>
        </w:rPr>
        <w:t>ensure</w:t>
      </w:r>
      <w:r>
        <w:rPr>
          <w:spacing w:val="22"/>
        </w:rPr>
        <w:t xml:space="preserve"> </w:t>
      </w:r>
      <w:r>
        <w:t>the</w:t>
      </w:r>
      <w:r>
        <w:rPr>
          <w:spacing w:val="22"/>
        </w:rPr>
        <w:t xml:space="preserve"> </w:t>
      </w:r>
      <w:r>
        <w:rPr>
          <w:spacing w:val="-1"/>
        </w:rPr>
        <w:t>security</w:t>
      </w:r>
      <w:r>
        <w:rPr>
          <w:spacing w:val="20"/>
        </w:rPr>
        <w:t xml:space="preserve"> </w:t>
      </w:r>
      <w:r>
        <w:rPr>
          <w:spacing w:val="-1"/>
        </w:rPr>
        <w:t>of</w:t>
      </w:r>
      <w:r>
        <w:rPr>
          <w:spacing w:val="26"/>
        </w:rPr>
        <w:t xml:space="preserve"> </w:t>
      </w:r>
      <w:r>
        <w:rPr>
          <w:spacing w:val="-1"/>
        </w:rPr>
        <w:t>all</w:t>
      </w:r>
      <w:r>
        <w:rPr>
          <w:spacing w:val="21"/>
        </w:rPr>
        <w:t xml:space="preserve"> </w:t>
      </w:r>
      <w:r>
        <w:t>the</w:t>
      </w:r>
      <w:r>
        <w:rPr>
          <w:spacing w:val="25"/>
        </w:rPr>
        <w:t xml:space="preserve"> </w:t>
      </w:r>
      <w:r>
        <w:rPr>
          <w:spacing w:val="-1"/>
        </w:rPr>
        <w:t>Customer</w:t>
      </w:r>
      <w:r>
        <w:rPr>
          <w:spacing w:val="23"/>
        </w:rPr>
        <w:t xml:space="preserve"> </w:t>
      </w:r>
      <w:r>
        <w:rPr>
          <w:spacing w:val="-1"/>
        </w:rPr>
        <w:t>Property</w:t>
      </w:r>
      <w:r>
        <w:rPr>
          <w:spacing w:val="23"/>
        </w:rPr>
        <w:t xml:space="preserve"> </w:t>
      </w:r>
      <w:r>
        <w:rPr>
          <w:spacing w:val="-2"/>
        </w:rPr>
        <w:t>whilst</w:t>
      </w:r>
      <w:r>
        <w:rPr>
          <w:spacing w:val="24"/>
        </w:rPr>
        <w:t xml:space="preserve"> </w:t>
      </w:r>
      <w:r>
        <w:rPr>
          <w:spacing w:val="-1"/>
        </w:rPr>
        <w:t>in</w:t>
      </w:r>
      <w:r>
        <w:rPr>
          <w:spacing w:val="22"/>
        </w:rPr>
        <w:t xml:space="preserve"> </w:t>
      </w:r>
      <w:r>
        <w:t>its</w:t>
      </w:r>
      <w:r>
        <w:rPr>
          <w:spacing w:val="55"/>
        </w:rPr>
        <w:t xml:space="preserve"> </w:t>
      </w:r>
      <w:r>
        <w:rPr>
          <w:spacing w:val="-1"/>
        </w:rPr>
        <w:t>possession,</w:t>
      </w:r>
      <w:r>
        <w:rPr>
          <w:spacing w:val="4"/>
        </w:rPr>
        <w:t xml:space="preserve"> </w:t>
      </w:r>
      <w:r>
        <w:rPr>
          <w:spacing w:val="-1"/>
        </w:rPr>
        <w:t>either</w:t>
      </w:r>
      <w:r>
        <w:rPr>
          <w:spacing w:val="4"/>
        </w:rPr>
        <w:t xml:space="preserve"> </w:t>
      </w:r>
      <w:r>
        <w:rPr>
          <w:spacing w:val="-1"/>
        </w:rPr>
        <w:t>on</w:t>
      </w:r>
      <w:r>
        <w:rPr>
          <w:spacing w:val="3"/>
        </w:rPr>
        <w:t xml:space="preserve"> </w:t>
      </w:r>
      <w:r>
        <w:rPr>
          <w:spacing w:val="-1"/>
        </w:rPr>
        <w:t>the</w:t>
      </w:r>
      <w:r>
        <w:rPr>
          <w:spacing w:val="4"/>
        </w:rPr>
        <w:t xml:space="preserve"> </w:t>
      </w:r>
      <w:r>
        <w:rPr>
          <w:spacing w:val="-1"/>
        </w:rPr>
        <w:t>Sites</w:t>
      </w:r>
      <w:r>
        <w:rPr>
          <w:spacing w:val="3"/>
        </w:rPr>
        <w:t xml:space="preserve"> </w:t>
      </w:r>
      <w:r>
        <w:rPr>
          <w:spacing w:val="-1"/>
        </w:rPr>
        <w:t>or</w:t>
      </w:r>
      <w:r>
        <w:rPr>
          <w:spacing w:val="4"/>
        </w:rPr>
        <w:t xml:space="preserve"> </w:t>
      </w:r>
      <w:r>
        <w:rPr>
          <w:spacing w:val="-1"/>
        </w:rPr>
        <w:t>elsewhere</w:t>
      </w:r>
      <w:r>
        <w:rPr>
          <w:spacing w:val="3"/>
        </w:rPr>
        <w:t xml:space="preserve"> </w:t>
      </w:r>
      <w:r>
        <w:rPr>
          <w:spacing w:val="-1"/>
        </w:rPr>
        <w:t>during</w:t>
      </w:r>
      <w:r>
        <w:rPr>
          <w:spacing w:val="5"/>
        </w:rPr>
        <w:t xml:space="preserve"> </w:t>
      </w:r>
      <w:r>
        <w:t>the</w:t>
      </w:r>
      <w:r>
        <w:rPr>
          <w:spacing w:val="3"/>
        </w:rPr>
        <w:t xml:space="preserve"> </w:t>
      </w:r>
      <w:r>
        <w:rPr>
          <w:spacing w:val="-1"/>
        </w:rPr>
        <w:t>supply</w:t>
      </w:r>
      <w:r>
        <w:rPr>
          <w:spacing w:val="1"/>
        </w:rPr>
        <w:t xml:space="preserve"> </w:t>
      </w:r>
      <w:r>
        <w:rPr>
          <w:spacing w:val="-1"/>
        </w:rPr>
        <w:t>of</w:t>
      </w:r>
      <w:r>
        <w:rPr>
          <w:spacing w:val="6"/>
        </w:rPr>
        <w:t xml:space="preserve"> </w:t>
      </w:r>
      <w:r>
        <w:t>the</w:t>
      </w:r>
      <w:r>
        <w:rPr>
          <w:spacing w:val="5"/>
        </w:rPr>
        <w:t xml:space="preserve"> </w:t>
      </w:r>
      <w:r>
        <w:rPr>
          <w:spacing w:val="-1"/>
        </w:rPr>
        <w:t>Goods</w:t>
      </w:r>
      <w:r>
        <w:rPr>
          <w:spacing w:val="3"/>
        </w:rPr>
        <w:t xml:space="preserve"> </w:t>
      </w:r>
      <w:r>
        <w:rPr>
          <w:spacing w:val="-1"/>
        </w:rPr>
        <w:t>and/or</w:t>
      </w:r>
      <w:r>
        <w:rPr>
          <w:spacing w:val="38"/>
        </w:rPr>
        <w:t xml:space="preserve"> </w:t>
      </w:r>
      <w:r>
        <w:rPr>
          <w:spacing w:val="-1"/>
        </w:rPr>
        <w:t>Services,</w:t>
      </w:r>
      <w:r>
        <w:rPr>
          <w:spacing w:val="33"/>
        </w:rPr>
        <w:t xml:space="preserve"> </w:t>
      </w:r>
      <w:r>
        <w:rPr>
          <w:spacing w:val="-1"/>
        </w:rPr>
        <w:t>in</w:t>
      </w:r>
      <w:r>
        <w:rPr>
          <w:spacing w:val="31"/>
        </w:rPr>
        <w:t xml:space="preserve"> </w:t>
      </w:r>
      <w:r>
        <w:rPr>
          <w:spacing w:val="-1"/>
        </w:rPr>
        <w:t>accordance</w:t>
      </w:r>
      <w:r>
        <w:rPr>
          <w:spacing w:val="32"/>
        </w:rPr>
        <w:t xml:space="preserve"> </w:t>
      </w:r>
      <w:r>
        <w:rPr>
          <w:spacing w:val="-1"/>
        </w:rPr>
        <w:t>with</w:t>
      </w:r>
      <w:r>
        <w:rPr>
          <w:spacing w:val="31"/>
        </w:rPr>
        <w:t xml:space="preserve"> </w:t>
      </w:r>
      <w:r>
        <w:t>the</w:t>
      </w:r>
      <w:r>
        <w:rPr>
          <w:spacing w:val="31"/>
        </w:rPr>
        <w:t xml:space="preserve"> </w:t>
      </w:r>
      <w:r>
        <w:rPr>
          <w:spacing w:val="-1"/>
        </w:rPr>
        <w:t>Customer's</w:t>
      </w:r>
      <w:r>
        <w:rPr>
          <w:spacing w:val="32"/>
        </w:rPr>
        <w:t xml:space="preserve"> </w:t>
      </w:r>
      <w:r>
        <w:rPr>
          <w:spacing w:val="-1"/>
        </w:rPr>
        <w:t>Security</w:t>
      </w:r>
      <w:r>
        <w:rPr>
          <w:spacing w:val="30"/>
        </w:rPr>
        <w:t xml:space="preserve"> </w:t>
      </w:r>
      <w:r>
        <w:rPr>
          <w:spacing w:val="-1"/>
        </w:rPr>
        <w:t>Policy</w:t>
      </w:r>
      <w:r>
        <w:rPr>
          <w:spacing w:val="30"/>
        </w:rPr>
        <w:t xml:space="preserve"> </w:t>
      </w:r>
      <w:r>
        <w:rPr>
          <w:spacing w:val="-1"/>
        </w:rPr>
        <w:t>and</w:t>
      </w:r>
      <w:r>
        <w:rPr>
          <w:spacing w:val="32"/>
        </w:rPr>
        <w:t xml:space="preserve"> </w:t>
      </w:r>
      <w:r>
        <w:t>the</w:t>
      </w:r>
      <w:r>
        <w:rPr>
          <w:spacing w:val="31"/>
        </w:rPr>
        <w:t xml:space="preserve"> </w:t>
      </w:r>
      <w:r>
        <w:rPr>
          <w:spacing w:val="-1"/>
        </w:rPr>
        <w:t>Customer’s</w:t>
      </w:r>
      <w:r>
        <w:rPr>
          <w:spacing w:val="33"/>
        </w:rPr>
        <w:t xml:space="preserve"> </w:t>
      </w:r>
      <w:r>
        <w:rPr>
          <w:spacing w:val="-1"/>
        </w:rPr>
        <w:t>reasonable</w:t>
      </w:r>
      <w:r>
        <w:t xml:space="preserve"> </w:t>
      </w:r>
      <w:r>
        <w:rPr>
          <w:spacing w:val="-1"/>
        </w:rPr>
        <w:t>security</w:t>
      </w:r>
      <w:r>
        <w:rPr>
          <w:spacing w:val="-2"/>
        </w:rPr>
        <w:t xml:space="preserve"> </w:t>
      </w:r>
      <w:r>
        <w:rPr>
          <w:spacing w:val="-1"/>
        </w:rPr>
        <w:t>requirements</w:t>
      </w:r>
      <w:r>
        <w:rPr>
          <w:spacing w:val="-4"/>
        </w:rPr>
        <w:t xml:space="preserve"> </w:t>
      </w:r>
      <w:r>
        <w:rPr>
          <w:spacing w:val="-1"/>
        </w:rPr>
        <w:t>from time</w:t>
      </w:r>
      <w:r>
        <w:rPr>
          <w:spacing w:val="-2"/>
        </w:rPr>
        <w:t xml:space="preserve"> </w:t>
      </w:r>
      <w:r>
        <w:t>to</w:t>
      </w:r>
      <w:r>
        <w:rPr>
          <w:spacing w:val="-2"/>
        </w:rPr>
        <w:t xml:space="preserve"> </w:t>
      </w:r>
      <w:r>
        <w:rPr>
          <w:spacing w:val="-1"/>
        </w:rPr>
        <w:t>time.</w:t>
      </w:r>
    </w:p>
    <w:p w:rsidR="008918FA" w:rsidRDefault="008918FA" w:rsidP="008918FA">
      <w:pPr>
        <w:pStyle w:val="BodyText"/>
        <w:numPr>
          <w:ilvl w:val="1"/>
          <w:numId w:val="66"/>
        </w:numPr>
        <w:tabs>
          <w:tab w:val="left" w:pos="1234"/>
        </w:tabs>
        <w:spacing w:before="121"/>
        <w:ind w:left="1029" w:right="111" w:hanging="360"/>
        <w:jc w:val="both"/>
      </w:pPr>
      <w:r>
        <w:t>The</w:t>
      </w:r>
      <w:r>
        <w:rPr>
          <w:spacing w:val="15"/>
        </w:rPr>
        <w:t xml:space="preserve"> </w:t>
      </w:r>
      <w:r>
        <w:rPr>
          <w:spacing w:val="-2"/>
        </w:rPr>
        <w:t>Supplier</w:t>
      </w:r>
      <w:r>
        <w:rPr>
          <w:spacing w:val="16"/>
        </w:rPr>
        <w:t xml:space="preserve"> </w:t>
      </w:r>
      <w:r>
        <w:rPr>
          <w:spacing w:val="-1"/>
        </w:rPr>
        <w:t>shall</w:t>
      </w:r>
      <w:r>
        <w:rPr>
          <w:spacing w:val="14"/>
        </w:rPr>
        <w:t xml:space="preserve"> </w:t>
      </w:r>
      <w:r>
        <w:rPr>
          <w:spacing w:val="-1"/>
        </w:rPr>
        <w:t>be</w:t>
      </w:r>
      <w:r>
        <w:rPr>
          <w:spacing w:val="15"/>
        </w:rPr>
        <w:t xml:space="preserve"> </w:t>
      </w:r>
      <w:r>
        <w:rPr>
          <w:spacing w:val="-1"/>
        </w:rPr>
        <w:t>liable</w:t>
      </w:r>
      <w:r>
        <w:rPr>
          <w:spacing w:val="15"/>
        </w:rPr>
        <w:t xml:space="preserve"> </w:t>
      </w:r>
      <w:r>
        <w:t>for</w:t>
      </w:r>
      <w:r>
        <w:rPr>
          <w:spacing w:val="16"/>
        </w:rPr>
        <w:t xml:space="preserve"> </w:t>
      </w:r>
      <w:r>
        <w:rPr>
          <w:spacing w:val="-1"/>
        </w:rPr>
        <w:t>all</w:t>
      </w:r>
      <w:r>
        <w:rPr>
          <w:spacing w:val="14"/>
        </w:rPr>
        <w:t xml:space="preserve"> </w:t>
      </w:r>
      <w:r>
        <w:rPr>
          <w:spacing w:val="-1"/>
        </w:rPr>
        <w:t>loss</w:t>
      </w:r>
      <w:r>
        <w:rPr>
          <w:spacing w:val="16"/>
        </w:rPr>
        <w:t xml:space="preserve"> </w:t>
      </w:r>
      <w:r>
        <w:t>of,</w:t>
      </w:r>
      <w:r>
        <w:rPr>
          <w:spacing w:val="16"/>
        </w:rPr>
        <w:t xml:space="preserve"> </w:t>
      </w:r>
      <w:r>
        <w:rPr>
          <w:spacing w:val="-2"/>
        </w:rPr>
        <w:t>or</w:t>
      </w:r>
      <w:r>
        <w:rPr>
          <w:spacing w:val="16"/>
        </w:rPr>
        <w:t xml:space="preserve"> </w:t>
      </w:r>
      <w:r>
        <w:rPr>
          <w:spacing w:val="-1"/>
        </w:rPr>
        <w:t>damage</w:t>
      </w:r>
      <w:r>
        <w:rPr>
          <w:spacing w:val="17"/>
        </w:rPr>
        <w:t xml:space="preserve"> </w:t>
      </w:r>
      <w:r>
        <w:t>to</w:t>
      </w:r>
      <w:r>
        <w:rPr>
          <w:spacing w:val="15"/>
        </w:rPr>
        <w:t xml:space="preserve"> </w:t>
      </w:r>
      <w:r>
        <w:t>the</w:t>
      </w:r>
      <w:r>
        <w:rPr>
          <w:spacing w:val="15"/>
        </w:rPr>
        <w:t xml:space="preserve"> </w:t>
      </w:r>
      <w:r>
        <w:rPr>
          <w:spacing w:val="-2"/>
        </w:rPr>
        <w:t>Customer</w:t>
      </w:r>
      <w:r>
        <w:rPr>
          <w:spacing w:val="16"/>
        </w:rPr>
        <w:t xml:space="preserve"> </w:t>
      </w:r>
      <w:r>
        <w:rPr>
          <w:spacing w:val="-2"/>
        </w:rPr>
        <w:t>Property,</w:t>
      </w:r>
      <w:r>
        <w:rPr>
          <w:spacing w:val="63"/>
        </w:rPr>
        <w:t xml:space="preserve"> </w:t>
      </w:r>
      <w:r>
        <w:rPr>
          <w:spacing w:val="-2"/>
        </w:rPr>
        <w:t>(excluding</w:t>
      </w:r>
      <w:r>
        <w:rPr>
          <w:spacing w:val="7"/>
        </w:rPr>
        <w:t xml:space="preserve"> </w:t>
      </w:r>
      <w:r>
        <w:t>fair</w:t>
      </w:r>
      <w:r>
        <w:rPr>
          <w:spacing w:val="6"/>
        </w:rPr>
        <w:t xml:space="preserve"> </w:t>
      </w:r>
      <w:r>
        <w:rPr>
          <w:spacing w:val="-2"/>
        </w:rPr>
        <w:t>wear</w:t>
      </w:r>
      <w:r>
        <w:rPr>
          <w:spacing w:val="6"/>
        </w:rPr>
        <w:t xml:space="preserve"> </w:t>
      </w:r>
      <w:r>
        <w:rPr>
          <w:spacing w:val="-1"/>
        </w:rPr>
        <w:t>and</w:t>
      </w:r>
      <w:r>
        <w:rPr>
          <w:spacing w:val="7"/>
        </w:rPr>
        <w:t xml:space="preserve"> </w:t>
      </w:r>
      <w:r>
        <w:rPr>
          <w:spacing w:val="-1"/>
        </w:rPr>
        <w:t>tear),</w:t>
      </w:r>
      <w:r>
        <w:rPr>
          <w:spacing w:val="7"/>
        </w:rPr>
        <w:t xml:space="preserve"> </w:t>
      </w:r>
      <w:r>
        <w:rPr>
          <w:spacing w:val="-1"/>
        </w:rPr>
        <w:t>unless</w:t>
      </w:r>
      <w:r>
        <w:rPr>
          <w:spacing w:val="6"/>
        </w:rPr>
        <w:t xml:space="preserve"> </w:t>
      </w:r>
      <w:r>
        <w:rPr>
          <w:spacing w:val="-1"/>
        </w:rPr>
        <w:t>such</w:t>
      </w:r>
      <w:r>
        <w:rPr>
          <w:spacing w:val="5"/>
        </w:rPr>
        <w:t xml:space="preserve"> </w:t>
      </w:r>
      <w:r>
        <w:rPr>
          <w:spacing w:val="-1"/>
        </w:rPr>
        <w:t>loss</w:t>
      </w:r>
      <w:r>
        <w:rPr>
          <w:spacing w:val="6"/>
        </w:rPr>
        <w:t xml:space="preserve"> </w:t>
      </w:r>
      <w:r>
        <w:rPr>
          <w:spacing w:val="-1"/>
        </w:rPr>
        <w:t>or</w:t>
      </w:r>
      <w:r>
        <w:rPr>
          <w:spacing w:val="6"/>
        </w:rPr>
        <w:t xml:space="preserve"> </w:t>
      </w:r>
      <w:r>
        <w:rPr>
          <w:spacing w:val="-1"/>
        </w:rPr>
        <w:t>damage</w:t>
      </w:r>
      <w:r>
        <w:rPr>
          <w:spacing w:val="5"/>
        </w:rPr>
        <w:t xml:space="preserve"> </w:t>
      </w:r>
      <w:r>
        <w:rPr>
          <w:spacing w:val="-2"/>
        </w:rPr>
        <w:t>was</w:t>
      </w:r>
      <w:r>
        <w:rPr>
          <w:spacing w:val="5"/>
        </w:rPr>
        <w:t xml:space="preserve"> </w:t>
      </w:r>
      <w:r>
        <w:t>solely</w:t>
      </w:r>
      <w:r>
        <w:rPr>
          <w:spacing w:val="3"/>
        </w:rPr>
        <w:t xml:space="preserve"> </w:t>
      </w:r>
      <w:r>
        <w:t>caused</w:t>
      </w:r>
      <w:r>
        <w:rPr>
          <w:spacing w:val="5"/>
        </w:rPr>
        <w:t xml:space="preserve"> </w:t>
      </w:r>
      <w:r>
        <w:rPr>
          <w:spacing w:val="-1"/>
        </w:rPr>
        <w:t>by</w:t>
      </w:r>
      <w:r>
        <w:rPr>
          <w:spacing w:val="9"/>
        </w:rPr>
        <w:t xml:space="preserve"> </w:t>
      </w:r>
      <w:r>
        <w:t>a</w:t>
      </w:r>
      <w:r>
        <w:rPr>
          <w:spacing w:val="47"/>
        </w:rPr>
        <w:t xml:space="preserve"> </w:t>
      </w:r>
      <w:r>
        <w:rPr>
          <w:spacing w:val="-1"/>
        </w:rPr>
        <w:t>Customer</w:t>
      </w:r>
      <w:r>
        <w:rPr>
          <w:spacing w:val="4"/>
        </w:rPr>
        <w:t xml:space="preserve"> </w:t>
      </w:r>
      <w:r>
        <w:rPr>
          <w:spacing w:val="-1"/>
        </w:rPr>
        <w:t>Cause.</w:t>
      </w:r>
      <w:r>
        <w:rPr>
          <w:spacing w:val="2"/>
        </w:rPr>
        <w:t xml:space="preserve"> </w:t>
      </w:r>
      <w:r>
        <w:t>The</w:t>
      </w:r>
      <w:r>
        <w:rPr>
          <w:spacing w:val="3"/>
        </w:rPr>
        <w:t xml:space="preserve"> </w:t>
      </w:r>
      <w:r>
        <w:rPr>
          <w:spacing w:val="-2"/>
        </w:rPr>
        <w:t>Supplier</w:t>
      </w:r>
      <w:r>
        <w:rPr>
          <w:spacing w:val="4"/>
        </w:rPr>
        <w:t xml:space="preserve"> </w:t>
      </w:r>
      <w:r>
        <w:rPr>
          <w:spacing w:val="-1"/>
        </w:rPr>
        <w:t>shall</w:t>
      </w:r>
      <w:r>
        <w:rPr>
          <w:spacing w:val="2"/>
        </w:rPr>
        <w:t xml:space="preserve"> </w:t>
      </w:r>
      <w:r>
        <w:rPr>
          <w:spacing w:val="-1"/>
        </w:rPr>
        <w:t>inform</w:t>
      </w:r>
      <w:r>
        <w:rPr>
          <w:spacing w:val="2"/>
        </w:rPr>
        <w:t xml:space="preserve"> </w:t>
      </w:r>
      <w:r>
        <w:t>the</w:t>
      </w:r>
      <w:r>
        <w:rPr>
          <w:spacing w:val="3"/>
        </w:rPr>
        <w:t xml:space="preserve"> </w:t>
      </w:r>
      <w:r>
        <w:rPr>
          <w:spacing w:val="-1"/>
        </w:rPr>
        <w:t>Customer</w:t>
      </w:r>
      <w:r>
        <w:rPr>
          <w:spacing w:val="4"/>
        </w:rPr>
        <w:t xml:space="preserve"> </w:t>
      </w:r>
      <w:r>
        <w:rPr>
          <w:spacing w:val="-1"/>
        </w:rPr>
        <w:t>immediately</w:t>
      </w:r>
      <w:r>
        <w:rPr>
          <w:spacing w:val="1"/>
        </w:rPr>
        <w:t xml:space="preserve"> </w:t>
      </w:r>
      <w:r>
        <w:rPr>
          <w:spacing w:val="-1"/>
        </w:rPr>
        <w:t>of</w:t>
      </w:r>
      <w:r>
        <w:rPr>
          <w:spacing w:val="4"/>
        </w:rPr>
        <w:t xml:space="preserve"> </w:t>
      </w:r>
      <w:r>
        <w:rPr>
          <w:spacing w:val="-1"/>
        </w:rPr>
        <w:t>becoming</w:t>
      </w:r>
      <w:r>
        <w:rPr>
          <w:spacing w:val="31"/>
        </w:rPr>
        <w:t xml:space="preserve"> </w:t>
      </w:r>
      <w:r>
        <w:rPr>
          <w:spacing w:val="-2"/>
        </w:rPr>
        <w:t>aware</w:t>
      </w:r>
      <w:r>
        <w:rPr>
          <w:spacing w:val="12"/>
        </w:rPr>
        <w:t xml:space="preserve"> </w:t>
      </w:r>
      <w:r>
        <w:rPr>
          <w:spacing w:val="-1"/>
        </w:rPr>
        <w:t>of</w:t>
      </w:r>
      <w:r>
        <w:rPr>
          <w:spacing w:val="16"/>
        </w:rPr>
        <w:t xml:space="preserve"> </w:t>
      </w:r>
      <w:r>
        <w:rPr>
          <w:spacing w:val="-1"/>
        </w:rPr>
        <w:t>any</w:t>
      </w:r>
      <w:r>
        <w:rPr>
          <w:spacing w:val="10"/>
        </w:rPr>
        <w:t xml:space="preserve"> </w:t>
      </w:r>
      <w:r>
        <w:rPr>
          <w:spacing w:val="-1"/>
        </w:rPr>
        <w:t>defects</w:t>
      </w:r>
      <w:r>
        <w:rPr>
          <w:spacing w:val="13"/>
        </w:rPr>
        <w:t xml:space="preserve"> </w:t>
      </w:r>
      <w:r>
        <w:rPr>
          <w:spacing w:val="-2"/>
        </w:rPr>
        <w:t>appearing</w:t>
      </w:r>
      <w:r>
        <w:rPr>
          <w:spacing w:val="15"/>
        </w:rPr>
        <w:t xml:space="preserve"> </w:t>
      </w:r>
      <w:r>
        <w:rPr>
          <w:spacing w:val="-1"/>
        </w:rPr>
        <w:t>in</w:t>
      </w:r>
      <w:r>
        <w:rPr>
          <w:spacing w:val="12"/>
        </w:rPr>
        <w:t xml:space="preserve"> </w:t>
      </w:r>
      <w:r>
        <w:rPr>
          <w:spacing w:val="-1"/>
        </w:rPr>
        <w:t>or</w:t>
      </w:r>
      <w:r>
        <w:rPr>
          <w:spacing w:val="14"/>
        </w:rPr>
        <w:t xml:space="preserve"> </w:t>
      </w:r>
      <w:r>
        <w:rPr>
          <w:spacing w:val="-1"/>
        </w:rPr>
        <w:t>losses</w:t>
      </w:r>
      <w:r>
        <w:rPr>
          <w:spacing w:val="13"/>
        </w:rPr>
        <w:t xml:space="preserve"> </w:t>
      </w:r>
      <w:r>
        <w:rPr>
          <w:spacing w:val="-2"/>
        </w:rPr>
        <w:t>or</w:t>
      </w:r>
      <w:r>
        <w:rPr>
          <w:spacing w:val="14"/>
        </w:rPr>
        <w:t xml:space="preserve"> </w:t>
      </w:r>
      <w:r>
        <w:rPr>
          <w:spacing w:val="-1"/>
        </w:rPr>
        <w:t>damage</w:t>
      </w:r>
      <w:r>
        <w:rPr>
          <w:spacing w:val="12"/>
        </w:rPr>
        <w:t xml:space="preserve"> </w:t>
      </w:r>
      <w:r>
        <w:rPr>
          <w:spacing w:val="-2"/>
        </w:rPr>
        <w:t>occurring</w:t>
      </w:r>
      <w:r>
        <w:rPr>
          <w:spacing w:val="15"/>
        </w:rPr>
        <w:t xml:space="preserve"> </w:t>
      </w:r>
      <w:r>
        <w:t>to</w:t>
      </w:r>
      <w:r>
        <w:rPr>
          <w:spacing w:val="10"/>
        </w:rPr>
        <w:t xml:space="preserve"> </w:t>
      </w:r>
      <w:r>
        <w:t>the</w:t>
      </w:r>
      <w:r>
        <w:rPr>
          <w:spacing w:val="10"/>
        </w:rPr>
        <w:t xml:space="preserve"> </w:t>
      </w:r>
      <w:r>
        <w:rPr>
          <w:spacing w:val="-1"/>
        </w:rPr>
        <w:t>Customer</w:t>
      </w:r>
      <w:r>
        <w:rPr>
          <w:spacing w:val="71"/>
        </w:rPr>
        <w:t xml:space="preserve"> </w:t>
      </w:r>
      <w:r>
        <w:rPr>
          <w:spacing w:val="-1"/>
        </w:rPr>
        <w:t>Property.</w:t>
      </w:r>
    </w:p>
    <w:p w:rsidR="008918FA" w:rsidRDefault="008918FA" w:rsidP="008918FA">
      <w:pPr>
        <w:pStyle w:val="BodyText"/>
        <w:numPr>
          <w:ilvl w:val="0"/>
          <w:numId w:val="66"/>
        </w:numPr>
        <w:tabs>
          <w:tab w:val="left" w:pos="668"/>
        </w:tabs>
        <w:spacing w:before="120"/>
        <w:ind w:left="667" w:hanging="566"/>
        <w:rPr>
          <w:rFonts w:ascii="Times New Roman" w:eastAsia="Times New Roman" w:hAnsi="Times New Roman" w:cs="Times New Roman"/>
        </w:rPr>
      </w:pPr>
      <w:bookmarkStart w:id="187" w:name="_bookmark157"/>
      <w:bookmarkEnd w:id="187"/>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LIER</w:t>
      </w:r>
      <w:r>
        <w:rPr>
          <w:rFonts w:ascii="Times New Roman"/>
          <w:spacing w:val="18"/>
        </w:rPr>
        <w:t xml:space="preserve"> </w:t>
      </w:r>
      <w:r>
        <w:rPr>
          <w:rFonts w:ascii="Times New Roman"/>
          <w:spacing w:val="3"/>
        </w:rPr>
        <w:t>EQUIPMENT</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5"/>
        </w:tabs>
        <w:spacing w:before="0"/>
        <w:ind w:left="1029" w:right="110" w:hanging="359"/>
        <w:jc w:val="both"/>
      </w:pPr>
      <w:r>
        <w:rPr>
          <w:spacing w:val="-2"/>
        </w:rPr>
        <w:t>Unless</w:t>
      </w:r>
      <w:r>
        <w:rPr>
          <w:spacing w:val="19"/>
        </w:rPr>
        <w:t xml:space="preserve"> </w:t>
      </w:r>
      <w:r>
        <w:rPr>
          <w:spacing w:val="-1"/>
        </w:rPr>
        <w:t>otherwise</w:t>
      </w:r>
      <w:r>
        <w:rPr>
          <w:spacing w:val="19"/>
        </w:rPr>
        <w:t xml:space="preserve"> </w:t>
      </w:r>
      <w:r>
        <w:rPr>
          <w:spacing w:val="-1"/>
        </w:rPr>
        <w:t>stated</w:t>
      </w:r>
      <w:r>
        <w:rPr>
          <w:spacing w:val="18"/>
        </w:rPr>
        <w:t xml:space="preserve"> </w:t>
      </w:r>
      <w:r>
        <w:rPr>
          <w:spacing w:val="-1"/>
        </w:rPr>
        <w:t>in</w:t>
      </w:r>
      <w:r>
        <w:rPr>
          <w:spacing w:val="18"/>
        </w:rPr>
        <w:t xml:space="preserve"> </w:t>
      </w:r>
      <w:r>
        <w:t>the</w:t>
      </w:r>
      <w:r>
        <w:rPr>
          <w:spacing w:val="16"/>
        </w:rPr>
        <w:t xml:space="preserve"> </w:t>
      </w:r>
      <w:r>
        <w:rPr>
          <w:spacing w:val="-1"/>
        </w:rPr>
        <w:t>Order</w:t>
      </w:r>
      <w:r>
        <w:rPr>
          <w:spacing w:val="20"/>
        </w:rPr>
        <w:t xml:space="preserve"> </w:t>
      </w:r>
      <w:r>
        <w:rPr>
          <w:spacing w:val="-1"/>
        </w:rPr>
        <w:t>Form</w:t>
      </w:r>
      <w:r>
        <w:rPr>
          <w:spacing w:val="19"/>
        </w:rPr>
        <w:t xml:space="preserve"> </w:t>
      </w:r>
      <w:r>
        <w:rPr>
          <w:spacing w:val="-1"/>
        </w:rPr>
        <w:t>(or</w:t>
      </w:r>
      <w:r>
        <w:rPr>
          <w:spacing w:val="20"/>
        </w:rPr>
        <w:t xml:space="preserve"> </w:t>
      </w:r>
      <w:r>
        <w:rPr>
          <w:spacing w:val="-2"/>
        </w:rPr>
        <w:t>elsewhere</w:t>
      </w:r>
      <w:r>
        <w:rPr>
          <w:spacing w:val="18"/>
        </w:rPr>
        <w:t xml:space="preserve"> </w:t>
      </w:r>
      <w:r>
        <w:rPr>
          <w:spacing w:val="-1"/>
        </w:rPr>
        <w:t>in</w:t>
      </w:r>
      <w:r>
        <w:rPr>
          <w:spacing w:val="18"/>
        </w:rPr>
        <w:t xml:space="preserve"> </w:t>
      </w:r>
      <w:r>
        <w:rPr>
          <w:spacing w:val="-1"/>
        </w:rPr>
        <w:t>this</w:t>
      </w:r>
      <w:r>
        <w:rPr>
          <w:spacing w:val="19"/>
        </w:rPr>
        <w:t xml:space="preserve"> </w:t>
      </w:r>
      <w:bookmarkStart w:id="188" w:name="32._SUPPLIER_EQUIPMENT"/>
      <w:bookmarkEnd w:id="188"/>
      <w:r>
        <w:rPr>
          <w:spacing w:val="-2"/>
        </w:rPr>
        <w:t>Call</w:t>
      </w:r>
      <w:r>
        <w:rPr>
          <w:spacing w:val="18"/>
        </w:rPr>
        <w:t xml:space="preserve"> </w:t>
      </w:r>
      <w:r>
        <w:rPr>
          <w:spacing w:val="-1"/>
        </w:rPr>
        <w:t>Off</w:t>
      </w:r>
      <w:r>
        <w:rPr>
          <w:spacing w:val="51"/>
        </w:rPr>
        <w:t xml:space="preserve"> </w:t>
      </w:r>
      <w:r>
        <w:rPr>
          <w:spacing w:val="-1"/>
        </w:rPr>
        <w:t>Contract),</w:t>
      </w:r>
      <w:r>
        <w:rPr>
          <w:spacing w:val="23"/>
        </w:rPr>
        <w:t xml:space="preserve"> </w:t>
      </w:r>
      <w:r>
        <w:t>the</w:t>
      </w:r>
      <w:r>
        <w:rPr>
          <w:spacing w:val="22"/>
        </w:rPr>
        <w:t xml:space="preserve"> </w:t>
      </w:r>
      <w:r>
        <w:rPr>
          <w:spacing w:val="-2"/>
        </w:rPr>
        <w:t>Supplier</w:t>
      </w:r>
      <w:r>
        <w:rPr>
          <w:spacing w:val="23"/>
        </w:rPr>
        <w:t xml:space="preserve"> </w:t>
      </w:r>
      <w:r>
        <w:rPr>
          <w:spacing w:val="-2"/>
        </w:rPr>
        <w:t>shall</w:t>
      </w:r>
      <w:r>
        <w:rPr>
          <w:spacing w:val="21"/>
        </w:rPr>
        <w:t xml:space="preserve"> </w:t>
      </w:r>
      <w:r>
        <w:rPr>
          <w:spacing w:val="-2"/>
        </w:rPr>
        <w:t>provide</w:t>
      </w:r>
      <w:r>
        <w:rPr>
          <w:spacing w:val="22"/>
        </w:rPr>
        <w:t xml:space="preserve"> </w:t>
      </w:r>
      <w:r>
        <w:t>all</w:t>
      </w:r>
      <w:r>
        <w:rPr>
          <w:spacing w:val="21"/>
        </w:rPr>
        <w:t xml:space="preserve"> </w:t>
      </w:r>
      <w:r>
        <w:t>the</w:t>
      </w:r>
      <w:r>
        <w:rPr>
          <w:spacing w:val="24"/>
        </w:rPr>
        <w:t xml:space="preserve"> </w:t>
      </w:r>
      <w:r>
        <w:rPr>
          <w:spacing w:val="-2"/>
        </w:rPr>
        <w:t>Supplier</w:t>
      </w:r>
      <w:r>
        <w:rPr>
          <w:spacing w:val="23"/>
        </w:rPr>
        <w:t xml:space="preserve"> </w:t>
      </w:r>
      <w:r>
        <w:rPr>
          <w:spacing w:val="-1"/>
        </w:rPr>
        <w:t>Equipment</w:t>
      </w:r>
      <w:r>
        <w:rPr>
          <w:spacing w:val="24"/>
        </w:rPr>
        <w:t xml:space="preserve"> </w:t>
      </w:r>
      <w:r>
        <w:rPr>
          <w:spacing w:val="-1"/>
        </w:rPr>
        <w:t>necessary</w:t>
      </w:r>
      <w:r>
        <w:rPr>
          <w:spacing w:val="20"/>
        </w:rPr>
        <w:t xml:space="preserve"> </w:t>
      </w:r>
      <w:r>
        <w:t>for</w:t>
      </w:r>
      <w:r>
        <w:rPr>
          <w:spacing w:val="21"/>
        </w:rPr>
        <w:t xml:space="preserve"> </w:t>
      </w:r>
      <w:r>
        <w:rPr>
          <w:spacing w:val="-1"/>
        </w:rPr>
        <w:t>the</w:t>
      </w:r>
      <w:r>
        <w:rPr>
          <w:spacing w:val="61"/>
        </w:rPr>
        <w:t xml:space="preserve"> </w:t>
      </w:r>
      <w:r>
        <w:rPr>
          <w:spacing w:val="-2"/>
        </w:rPr>
        <w:t>provision</w:t>
      </w:r>
      <w:r>
        <w:t xml:space="preserve"> </w:t>
      </w:r>
      <w:r>
        <w:rPr>
          <w:spacing w:val="-1"/>
        </w:rPr>
        <w:t>of</w:t>
      </w:r>
      <w:r>
        <w:rPr>
          <w:spacing w:val="2"/>
        </w:rPr>
        <w:t xml:space="preserve"> </w:t>
      </w:r>
      <w:r>
        <w:t>the</w:t>
      </w:r>
      <w:r>
        <w:rPr>
          <w:spacing w:val="-4"/>
        </w:rPr>
        <w:t xml:space="preserve"> </w:t>
      </w:r>
      <w:r>
        <w:rPr>
          <w:spacing w:val="-1"/>
        </w:rPr>
        <w:t>Goods</w:t>
      </w:r>
      <w:r>
        <w:rPr>
          <w:spacing w:val="1"/>
        </w:rPr>
        <w:t xml:space="preserve"> </w:t>
      </w:r>
      <w:r>
        <w:rPr>
          <w:spacing w:val="-1"/>
        </w:rPr>
        <w:t>and/or Services.</w:t>
      </w:r>
    </w:p>
    <w:p w:rsidR="008918FA" w:rsidRDefault="008918FA" w:rsidP="008918FA">
      <w:pPr>
        <w:pStyle w:val="BodyText"/>
        <w:numPr>
          <w:ilvl w:val="1"/>
          <w:numId w:val="66"/>
        </w:numPr>
        <w:tabs>
          <w:tab w:val="left" w:pos="1234"/>
        </w:tabs>
        <w:ind w:left="1029" w:right="114" w:hanging="360"/>
        <w:jc w:val="both"/>
      </w:pPr>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1"/>
        </w:rPr>
        <w:t>not</w:t>
      </w:r>
      <w:r>
        <w:rPr>
          <w:spacing w:val="7"/>
        </w:rPr>
        <w:t xml:space="preserve"> </w:t>
      </w:r>
      <w:r>
        <w:rPr>
          <w:spacing w:val="-1"/>
        </w:rPr>
        <w:t>deliver</w:t>
      </w:r>
      <w:r>
        <w:rPr>
          <w:spacing w:val="6"/>
        </w:rPr>
        <w:t xml:space="preserve"> </w:t>
      </w:r>
      <w:r>
        <w:rPr>
          <w:spacing w:val="-1"/>
        </w:rPr>
        <w:t>any</w:t>
      </w:r>
      <w:r>
        <w:rPr>
          <w:spacing w:val="6"/>
        </w:rPr>
        <w:t xml:space="preserve"> </w:t>
      </w:r>
      <w:r>
        <w:rPr>
          <w:spacing w:val="-2"/>
        </w:rPr>
        <w:t>Supplier</w:t>
      </w:r>
      <w:r>
        <w:rPr>
          <w:spacing w:val="6"/>
        </w:rPr>
        <w:t xml:space="preserve"> </w:t>
      </w:r>
      <w:r>
        <w:rPr>
          <w:spacing w:val="-1"/>
        </w:rPr>
        <w:t>Equipment</w:t>
      </w:r>
      <w:r>
        <w:rPr>
          <w:spacing w:val="7"/>
        </w:rPr>
        <w:t xml:space="preserve"> </w:t>
      </w:r>
      <w:r>
        <w:rPr>
          <w:spacing w:val="-1"/>
        </w:rPr>
        <w:t>nor</w:t>
      </w:r>
      <w:r>
        <w:rPr>
          <w:spacing w:val="6"/>
        </w:rPr>
        <w:t xml:space="preserve"> </w:t>
      </w:r>
      <w:r>
        <w:rPr>
          <w:spacing w:val="-1"/>
        </w:rPr>
        <w:t>begin</w:t>
      </w:r>
      <w:r>
        <w:rPr>
          <w:spacing w:val="5"/>
        </w:rPr>
        <w:t xml:space="preserve"> </w:t>
      </w:r>
      <w:r>
        <w:rPr>
          <w:spacing w:val="-1"/>
        </w:rPr>
        <w:t>any</w:t>
      </w:r>
      <w:r>
        <w:rPr>
          <w:spacing w:val="5"/>
        </w:rPr>
        <w:t xml:space="preserve"> </w:t>
      </w:r>
      <w:r>
        <w:rPr>
          <w:spacing w:val="-2"/>
        </w:rPr>
        <w:t>work</w:t>
      </w:r>
      <w:r>
        <w:rPr>
          <w:spacing w:val="5"/>
        </w:rPr>
        <w:t xml:space="preserve"> </w:t>
      </w:r>
      <w:r>
        <w:rPr>
          <w:spacing w:val="-1"/>
        </w:rPr>
        <w:t>on</w:t>
      </w:r>
      <w:r>
        <w:rPr>
          <w:spacing w:val="5"/>
        </w:rPr>
        <w:t xml:space="preserve"> </w:t>
      </w:r>
      <w:r>
        <w:rPr>
          <w:spacing w:val="-1"/>
        </w:rPr>
        <w:t>the</w:t>
      </w:r>
      <w:r>
        <w:rPr>
          <w:spacing w:val="76"/>
        </w:rPr>
        <w:t xml:space="preserve"> </w:t>
      </w:r>
      <w:r>
        <w:rPr>
          <w:spacing w:val="-1"/>
        </w:rPr>
        <w:t>Customer</w:t>
      </w:r>
      <w:r>
        <w:rPr>
          <w:spacing w:val="2"/>
        </w:rPr>
        <w:t xml:space="preserve"> </w:t>
      </w:r>
      <w:r>
        <w:rPr>
          <w:spacing w:val="-1"/>
        </w:rPr>
        <w:t xml:space="preserve">Premises </w:t>
      </w:r>
      <w:r>
        <w:rPr>
          <w:spacing w:val="-2"/>
        </w:rPr>
        <w:t>without</w:t>
      </w:r>
      <w:r>
        <w:rPr>
          <w:spacing w:val="2"/>
        </w:rPr>
        <w:t xml:space="preserve"> </w:t>
      </w:r>
      <w:r>
        <w:rPr>
          <w:spacing w:val="-2"/>
        </w:rPr>
        <w:t>obtaining</w:t>
      </w:r>
      <w:r>
        <w:t xml:space="preserve"> </w:t>
      </w:r>
      <w:r>
        <w:rPr>
          <w:spacing w:val="-2"/>
        </w:rPr>
        <w:t>Approval.</w:t>
      </w:r>
    </w:p>
    <w:p w:rsidR="008918FA" w:rsidRDefault="008918FA" w:rsidP="008918FA">
      <w:pPr>
        <w:pStyle w:val="BodyText"/>
        <w:numPr>
          <w:ilvl w:val="1"/>
          <w:numId w:val="66"/>
        </w:numPr>
        <w:tabs>
          <w:tab w:val="left" w:pos="1234"/>
        </w:tabs>
        <w:ind w:left="1029" w:right="110" w:hanging="360"/>
        <w:jc w:val="both"/>
      </w:pPr>
      <w:r>
        <w:t>The</w:t>
      </w:r>
      <w:r>
        <w:rPr>
          <w:spacing w:val="22"/>
        </w:rPr>
        <w:t xml:space="preserve"> </w:t>
      </w:r>
      <w:r>
        <w:rPr>
          <w:spacing w:val="-2"/>
        </w:rPr>
        <w:t>Supplier</w:t>
      </w:r>
      <w:r>
        <w:rPr>
          <w:spacing w:val="23"/>
        </w:rPr>
        <w:t xml:space="preserve"> </w:t>
      </w:r>
      <w:r>
        <w:rPr>
          <w:spacing w:val="-1"/>
        </w:rPr>
        <w:t>shall</w:t>
      </w:r>
      <w:r>
        <w:rPr>
          <w:spacing w:val="21"/>
        </w:rPr>
        <w:t xml:space="preserve"> </w:t>
      </w:r>
      <w:r>
        <w:rPr>
          <w:spacing w:val="-1"/>
        </w:rPr>
        <w:t>be</w:t>
      </w:r>
      <w:r>
        <w:rPr>
          <w:spacing w:val="22"/>
        </w:rPr>
        <w:t xml:space="preserve"> </w:t>
      </w:r>
      <w:r>
        <w:rPr>
          <w:spacing w:val="-1"/>
        </w:rPr>
        <w:t>solely</w:t>
      </w:r>
      <w:r>
        <w:rPr>
          <w:spacing w:val="20"/>
        </w:rPr>
        <w:t xml:space="preserve"> </w:t>
      </w:r>
      <w:r>
        <w:rPr>
          <w:spacing w:val="-1"/>
        </w:rPr>
        <w:t>responsible</w:t>
      </w:r>
      <w:r>
        <w:rPr>
          <w:spacing w:val="22"/>
        </w:rPr>
        <w:t xml:space="preserve"> </w:t>
      </w:r>
      <w:r>
        <w:t>for</w:t>
      </w:r>
      <w:r>
        <w:rPr>
          <w:spacing w:val="23"/>
        </w:rPr>
        <w:t xml:space="preserve"> </w:t>
      </w:r>
      <w:r>
        <w:t>the</w:t>
      </w:r>
      <w:r>
        <w:rPr>
          <w:spacing w:val="20"/>
        </w:rPr>
        <w:t xml:space="preserve"> </w:t>
      </w:r>
      <w:r>
        <w:rPr>
          <w:spacing w:val="-1"/>
        </w:rPr>
        <w:t>cost</w:t>
      </w:r>
      <w:r>
        <w:rPr>
          <w:spacing w:val="24"/>
        </w:rPr>
        <w:t xml:space="preserve"> </w:t>
      </w:r>
      <w:r>
        <w:rPr>
          <w:spacing w:val="-2"/>
        </w:rPr>
        <w:t>of</w:t>
      </w:r>
      <w:r>
        <w:rPr>
          <w:spacing w:val="26"/>
        </w:rPr>
        <w:t xml:space="preserve"> </w:t>
      </w:r>
      <w:r>
        <w:rPr>
          <w:spacing w:val="-1"/>
        </w:rPr>
        <w:t>carriage</w:t>
      </w:r>
      <w:r>
        <w:rPr>
          <w:spacing w:val="22"/>
        </w:rPr>
        <w:t xml:space="preserve"> </w:t>
      </w:r>
      <w:r>
        <w:rPr>
          <w:spacing w:val="-2"/>
        </w:rPr>
        <w:t>of</w:t>
      </w:r>
      <w:r>
        <w:rPr>
          <w:spacing w:val="23"/>
        </w:rPr>
        <w:t xml:space="preserve"> </w:t>
      </w:r>
      <w:r>
        <w:t>the</w:t>
      </w:r>
      <w:r>
        <w:rPr>
          <w:spacing w:val="26"/>
        </w:rPr>
        <w:t xml:space="preserve"> </w:t>
      </w:r>
      <w:r>
        <w:rPr>
          <w:spacing w:val="-2"/>
        </w:rPr>
        <w:t>Supplier</w:t>
      </w:r>
      <w:r>
        <w:rPr>
          <w:spacing w:val="66"/>
        </w:rPr>
        <w:t xml:space="preserve"> </w:t>
      </w:r>
      <w:r>
        <w:rPr>
          <w:spacing w:val="-1"/>
        </w:rPr>
        <w:t>Equipment</w:t>
      </w:r>
      <w:r>
        <w:rPr>
          <w:spacing w:val="41"/>
        </w:rPr>
        <w:t xml:space="preserve"> </w:t>
      </w:r>
      <w:r>
        <w:t>to</w:t>
      </w:r>
      <w:r>
        <w:rPr>
          <w:spacing w:val="36"/>
        </w:rPr>
        <w:t xml:space="preserve"> </w:t>
      </w:r>
      <w:r>
        <w:t>the</w:t>
      </w:r>
      <w:r>
        <w:rPr>
          <w:spacing w:val="39"/>
        </w:rPr>
        <w:t xml:space="preserve"> </w:t>
      </w:r>
      <w:r>
        <w:rPr>
          <w:spacing w:val="-1"/>
        </w:rPr>
        <w:t>Sites</w:t>
      </w:r>
      <w:r>
        <w:rPr>
          <w:spacing w:val="34"/>
        </w:rPr>
        <w:t xml:space="preserve"> </w:t>
      </w:r>
      <w:r>
        <w:rPr>
          <w:spacing w:val="-1"/>
        </w:rPr>
        <w:t>and/or</w:t>
      </w:r>
      <w:r>
        <w:rPr>
          <w:spacing w:val="40"/>
        </w:rPr>
        <w:t xml:space="preserve"> </w:t>
      </w:r>
      <w:r>
        <w:rPr>
          <w:spacing w:val="-1"/>
        </w:rPr>
        <w:t>any</w:t>
      </w:r>
      <w:r>
        <w:rPr>
          <w:spacing w:val="36"/>
        </w:rPr>
        <w:t xml:space="preserve"> </w:t>
      </w:r>
      <w:r>
        <w:rPr>
          <w:spacing w:val="-1"/>
        </w:rPr>
        <w:t>Customer</w:t>
      </w:r>
      <w:r>
        <w:rPr>
          <w:spacing w:val="41"/>
        </w:rPr>
        <w:t xml:space="preserve"> </w:t>
      </w:r>
      <w:r>
        <w:rPr>
          <w:spacing w:val="-1"/>
        </w:rPr>
        <w:t>Premises,</w:t>
      </w:r>
      <w:r>
        <w:rPr>
          <w:spacing w:val="40"/>
        </w:rPr>
        <w:t xml:space="preserve"> </w:t>
      </w:r>
      <w:r>
        <w:rPr>
          <w:spacing w:val="-2"/>
        </w:rPr>
        <w:t>including</w:t>
      </w:r>
      <w:r>
        <w:rPr>
          <w:spacing w:val="39"/>
        </w:rPr>
        <w:t xml:space="preserve"> </w:t>
      </w:r>
      <w:r>
        <w:rPr>
          <w:spacing w:val="-1"/>
        </w:rPr>
        <w:t>its</w:t>
      </w:r>
      <w:r>
        <w:rPr>
          <w:spacing w:val="39"/>
        </w:rPr>
        <w:t xml:space="preserve"> </w:t>
      </w:r>
      <w:r>
        <w:rPr>
          <w:spacing w:val="-1"/>
        </w:rPr>
        <w:t>off-loading,</w:t>
      </w:r>
      <w:r>
        <w:rPr>
          <w:spacing w:val="45"/>
        </w:rPr>
        <w:t xml:space="preserve"> </w:t>
      </w:r>
      <w:r>
        <w:rPr>
          <w:spacing w:val="-1"/>
        </w:rPr>
        <w:t>removal</w:t>
      </w:r>
      <w:r>
        <w:rPr>
          <w:spacing w:val="19"/>
        </w:rPr>
        <w:t xml:space="preserve"> </w:t>
      </w:r>
      <w:r>
        <w:rPr>
          <w:spacing w:val="-1"/>
        </w:rPr>
        <w:t>of</w:t>
      </w:r>
      <w:r>
        <w:rPr>
          <w:spacing w:val="23"/>
        </w:rPr>
        <w:t xml:space="preserve"> </w:t>
      </w:r>
      <w:r>
        <w:rPr>
          <w:spacing w:val="-1"/>
        </w:rPr>
        <w:t>all</w:t>
      </w:r>
      <w:r>
        <w:rPr>
          <w:spacing w:val="19"/>
        </w:rPr>
        <w:t xml:space="preserve"> </w:t>
      </w:r>
      <w:r>
        <w:rPr>
          <w:spacing w:val="-1"/>
        </w:rPr>
        <w:t>packaging</w:t>
      </w:r>
      <w:r>
        <w:rPr>
          <w:spacing w:val="20"/>
        </w:rPr>
        <w:t xml:space="preserve"> </w:t>
      </w:r>
      <w:r>
        <w:rPr>
          <w:spacing w:val="-1"/>
        </w:rPr>
        <w:t>and</w:t>
      </w:r>
      <w:r>
        <w:rPr>
          <w:spacing w:val="20"/>
        </w:rPr>
        <w:t xml:space="preserve"> </w:t>
      </w:r>
      <w:r>
        <w:rPr>
          <w:spacing w:val="-1"/>
        </w:rPr>
        <w:t>all</w:t>
      </w:r>
      <w:r>
        <w:rPr>
          <w:spacing w:val="19"/>
        </w:rPr>
        <w:t xml:space="preserve"> </w:t>
      </w:r>
      <w:r>
        <w:rPr>
          <w:spacing w:val="-1"/>
        </w:rPr>
        <w:t>other</w:t>
      </w:r>
      <w:r>
        <w:rPr>
          <w:spacing w:val="21"/>
        </w:rPr>
        <w:t xml:space="preserve"> </w:t>
      </w:r>
      <w:r>
        <w:rPr>
          <w:spacing w:val="-1"/>
        </w:rPr>
        <w:t>associated</w:t>
      </w:r>
      <w:r>
        <w:rPr>
          <w:spacing w:val="20"/>
        </w:rPr>
        <w:t xml:space="preserve"> </w:t>
      </w:r>
      <w:r>
        <w:rPr>
          <w:spacing w:val="-1"/>
        </w:rPr>
        <w:t>costs.</w:t>
      </w:r>
      <w:r>
        <w:rPr>
          <w:spacing w:val="42"/>
        </w:rPr>
        <w:t xml:space="preserve"> </w:t>
      </w:r>
      <w:r>
        <w:rPr>
          <w:spacing w:val="-2"/>
        </w:rPr>
        <w:t>Likewise</w:t>
      </w:r>
      <w:r>
        <w:rPr>
          <w:spacing w:val="20"/>
        </w:rPr>
        <w:t xml:space="preserve"> </w:t>
      </w:r>
      <w:r>
        <w:rPr>
          <w:spacing w:val="-1"/>
        </w:rPr>
        <w:t>on</w:t>
      </w:r>
      <w:r>
        <w:rPr>
          <w:spacing w:val="19"/>
        </w:rPr>
        <w:t xml:space="preserve"> </w:t>
      </w:r>
      <w:r>
        <w:rPr>
          <w:spacing w:val="1"/>
        </w:rPr>
        <w:t>the</w:t>
      </w:r>
      <w:r>
        <w:rPr>
          <w:spacing w:val="20"/>
        </w:rPr>
        <w:t xml:space="preserve"> </w:t>
      </w:r>
      <w:r>
        <w:rPr>
          <w:spacing w:val="-2"/>
        </w:rPr>
        <w:t>Call</w:t>
      </w:r>
      <w:r>
        <w:rPr>
          <w:spacing w:val="19"/>
        </w:rPr>
        <w:t xml:space="preserve"> </w:t>
      </w:r>
      <w:r>
        <w:rPr>
          <w:spacing w:val="-1"/>
        </w:rPr>
        <w:t>Off</w:t>
      </w:r>
      <w:r>
        <w:rPr>
          <w:spacing w:val="55"/>
        </w:rPr>
        <w:t xml:space="preserve"> </w:t>
      </w:r>
      <w:r>
        <w:rPr>
          <w:spacing w:val="-1"/>
        </w:rPr>
        <w:t>Expiry</w:t>
      </w:r>
      <w:r>
        <w:rPr>
          <w:spacing w:val="7"/>
        </w:rPr>
        <w:t xml:space="preserve"> </w:t>
      </w:r>
      <w:r>
        <w:rPr>
          <w:spacing w:val="-1"/>
        </w:rPr>
        <w:t>Date</w:t>
      </w:r>
      <w:r>
        <w:rPr>
          <w:spacing w:val="9"/>
        </w:rPr>
        <w:t xml:space="preserve"> </w:t>
      </w:r>
      <w:r>
        <w:t>the</w:t>
      </w:r>
      <w:r>
        <w:rPr>
          <w:spacing w:val="9"/>
        </w:rPr>
        <w:t xml:space="preserve"> </w:t>
      </w:r>
      <w:r>
        <w:rPr>
          <w:spacing w:val="-2"/>
        </w:rPr>
        <w:t>Supplier</w:t>
      </w:r>
      <w:r>
        <w:rPr>
          <w:spacing w:val="10"/>
        </w:rPr>
        <w:t xml:space="preserve"> </w:t>
      </w:r>
      <w:r>
        <w:rPr>
          <w:spacing w:val="-1"/>
        </w:rPr>
        <w:t>shall</w:t>
      </w:r>
      <w:r>
        <w:rPr>
          <w:spacing w:val="8"/>
        </w:rPr>
        <w:t xml:space="preserve"> </w:t>
      </w:r>
      <w:r>
        <w:rPr>
          <w:spacing w:val="-1"/>
        </w:rPr>
        <w:t>be</w:t>
      </w:r>
      <w:r>
        <w:rPr>
          <w:spacing w:val="9"/>
        </w:rPr>
        <w:t xml:space="preserve"> </w:t>
      </w:r>
      <w:r>
        <w:rPr>
          <w:spacing w:val="-1"/>
        </w:rPr>
        <w:t>responsible</w:t>
      </w:r>
      <w:r>
        <w:rPr>
          <w:spacing w:val="4"/>
        </w:rPr>
        <w:t xml:space="preserve"> </w:t>
      </w:r>
      <w:r>
        <w:t>for</w:t>
      </w:r>
      <w:r>
        <w:rPr>
          <w:spacing w:val="8"/>
        </w:rPr>
        <w:t xml:space="preserve"> </w:t>
      </w:r>
      <w:r>
        <w:t>the</w:t>
      </w:r>
      <w:r>
        <w:rPr>
          <w:spacing w:val="6"/>
        </w:rPr>
        <w:t xml:space="preserve"> </w:t>
      </w:r>
      <w:r>
        <w:rPr>
          <w:spacing w:val="-1"/>
        </w:rPr>
        <w:t>removal</w:t>
      </w:r>
      <w:r>
        <w:rPr>
          <w:spacing w:val="8"/>
        </w:rPr>
        <w:t xml:space="preserve"> </w:t>
      </w:r>
      <w:r>
        <w:rPr>
          <w:spacing w:val="-2"/>
        </w:rPr>
        <w:t>of</w:t>
      </w:r>
      <w:r>
        <w:rPr>
          <w:spacing w:val="13"/>
        </w:rPr>
        <w:t xml:space="preserve"> </w:t>
      </w:r>
      <w:r>
        <w:rPr>
          <w:spacing w:val="-1"/>
        </w:rPr>
        <w:t>all</w:t>
      </w:r>
      <w:r>
        <w:t xml:space="preserve"> </w:t>
      </w:r>
      <w:r>
        <w:rPr>
          <w:spacing w:val="8"/>
        </w:rPr>
        <w:t xml:space="preserve"> </w:t>
      </w:r>
      <w:r>
        <w:rPr>
          <w:spacing w:val="-2"/>
        </w:rPr>
        <w:t>relevant</w:t>
      </w:r>
      <w:r>
        <w:rPr>
          <w:spacing w:val="50"/>
        </w:rPr>
        <w:t xml:space="preserve"> </w:t>
      </w:r>
      <w:r>
        <w:rPr>
          <w:spacing w:val="-2"/>
        </w:rPr>
        <w:t>Supplier</w:t>
      </w:r>
      <w:r>
        <w:rPr>
          <w:spacing w:val="33"/>
        </w:rPr>
        <w:t xml:space="preserve"> </w:t>
      </w:r>
      <w:r>
        <w:rPr>
          <w:spacing w:val="-1"/>
        </w:rPr>
        <w:t>Equipment</w:t>
      </w:r>
      <w:r>
        <w:rPr>
          <w:spacing w:val="31"/>
        </w:rPr>
        <w:t xml:space="preserve"> </w:t>
      </w:r>
      <w:r>
        <w:rPr>
          <w:spacing w:val="-1"/>
        </w:rPr>
        <w:t>from</w:t>
      </w:r>
      <w:r>
        <w:rPr>
          <w:spacing w:val="33"/>
        </w:rPr>
        <w:t xml:space="preserve"> </w:t>
      </w:r>
      <w:r>
        <w:t>the</w:t>
      </w:r>
      <w:r>
        <w:rPr>
          <w:spacing w:val="31"/>
        </w:rPr>
        <w:t xml:space="preserve"> </w:t>
      </w:r>
      <w:r>
        <w:rPr>
          <w:spacing w:val="-1"/>
        </w:rPr>
        <w:t>Sites</w:t>
      </w:r>
      <w:r>
        <w:rPr>
          <w:spacing w:val="32"/>
        </w:rPr>
        <w:t xml:space="preserve"> </w:t>
      </w:r>
      <w:r>
        <w:rPr>
          <w:spacing w:val="-1"/>
        </w:rPr>
        <w:t>and/or</w:t>
      </w:r>
      <w:r>
        <w:rPr>
          <w:spacing w:val="33"/>
        </w:rPr>
        <w:t xml:space="preserve"> </w:t>
      </w:r>
      <w:r>
        <w:rPr>
          <w:spacing w:val="-1"/>
        </w:rPr>
        <w:t>any</w:t>
      </w:r>
      <w:r>
        <w:rPr>
          <w:spacing w:val="30"/>
        </w:rPr>
        <w:t xml:space="preserve"> </w:t>
      </w:r>
      <w:r>
        <w:rPr>
          <w:spacing w:val="-1"/>
        </w:rPr>
        <w:t>Customer</w:t>
      </w:r>
      <w:r>
        <w:rPr>
          <w:spacing w:val="34"/>
        </w:rPr>
        <w:t xml:space="preserve"> </w:t>
      </w:r>
      <w:r>
        <w:rPr>
          <w:spacing w:val="-1"/>
        </w:rPr>
        <w:t>Premises,</w:t>
      </w:r>
      <w:r>
        <w:rPr>
          <w:spacing w:val="33"/>
        </w:rPr>
        <w:t xml:space="preserve"> </w:t>
      </w:r>
      <w:r>
        <w:rPr>
          <w:spacing w:val="-2"/>
        </w:rPr>
        <w:t>including</w:t>
      </w:r>
      <w:r>
        <w:rPr>
          <w:spacing w:val="34"/>
        </w:rPr>
        <w:t xml:space="preserve"> </w:t>
      </w:r>
      <w:r>
        <w:rPr>
          <w:spacing w:val="-1"/>
        </w:rPr>
        <w:t>the</w:t>
      </w:r>
      <w:r>
        <w:rPr>
          <w:spacing w:val="64"/>
        </w:rPr>
        <w:t xml:space="preserve"> </w:t>
      </w:r>
      <w:r>
        <w:rPr>
          <w:spacing w:val="-1"/>
        </w:rPr>
        <w:t>cost</w:t>
      </w:r>
      <w:r>
        <w:rPr>
          <w:spacing w:val="2"/>
        </w:rPr>
        <w:t xml:space="preserve"> </w:t>
      </w:r>
      <w:r>
        <w:rPr>
          <w:spacing w:val="-2"/>
        </w:rPr>
        <w:t>of</w:t>
      </w:r>
      <w:r>
        <w:rPr>
          <w:spacing w:val="4"/>
        </w:rPr>
        <w:t xml:space="preserve"> </w:t>
      </w:r>
      <w:r>
        <w:rPr>
          <w:spacing w:val="-1"/>
        </w:rPr>
        <w:t>packing,</w:t>
      </w:r>
      <w:r>
        <w:rPr>
          <w:spacing w:val="2"/>
        </w:rPr>
        <w:t xml:space="preserve"> </w:t>
      </w:r>
      <w:r>
        <w:rPr>
          <w:spacing w:val="-1"/>
        </w:rPr>
        <w:t>carriage</w:t>
      </w:r>
      <w:r>
        <w:t xml:space="preserve"> </w:t>
      </w:r>
      <w:r>
        <w:rPr>
          <w:spacing w:val="-1"/>
        </w:rPr>
        <w:t>and</w:t>
      </w:r>
      <w:r>
        <w:t xml:space="preserve"> </w:t>
      </w:r>
      <w:r>
        <w:rPr>
          <w:spacing w:val="-1"/>
        </w:rPr>
        <w:t>making</w:t>
      </w:r>
      <w:r>
        <w:t xml:space="preserve"> good the </w:t>
      </w:r>
      <w:r>
        <w:rPr>
          <w:spacing w:val="-2"/>
        </w:rPr>
        <w:t>Sites</w:t>
      </w:r>
      <w:r>
        <w:rPr>
          <w:spacing w:val="2"/>
        </w:rPr>
        <w:t xml:space="preserve"> </w:t>
      </w:r>
      <w:r>
        <w:rPr>
          <w:spacing w:val="-1"/>
        </w:rPr>
        <w:t>and/or</w:t>
      </w:r>
      <w:r>
        <w:rPr>
          <w:spacing w:val="2"/>
        </w:rPr>
        <w:t xml:space="preserve"> </w:t>
      </w:r>
      <w:r>
        <w:t xml:space="preserve">the </w:t>
      </w:r>
      <w:r>
        <w:rPr>
          <w:spacing w:val="-1"/>
        </w:rPr>
        <w:t>Customer</w:t>
      </w:r>
      <w:r>
        <w:t xml:space="preserve"> </w:t>
      </w:r>
      <w:r>
        <w:rPr>
          <w:spacing w:val="-1"/>
        </w:rPr>
        <w:t>Premises</w:t>
      </w:r>
      <w:r>
        <w:rPr>
          <w:spacing w:val="43"/>
        </w:rPr>
        <w:t xml:space="preserve"> </w:t>
      </w:r>
      <w:r>
        <w:rPr>
          <w:spacing w:val="-2"/>
        </w:rPr>
        <w:t>following</w:t>
      </w:r>
      <w:r>
        <w:rPr>
          <w:spacing w:val="3"/>
        </w:rPr>
        <w:t xml:space="preserve"> </w:t>
      </w:r>
      <w:r>
        <w:rPr>
          <w:spacing w:val="-2"/>
        </w:rPr>
        <w:t>removal.</w:t>
      </w:r>
    </w:p>
    <w:p w:rsidR="008918FA" w:rsidRDefault="008918FA" w:rsidP="008918FA">
      <w:pPr>
        <w:pStyle w:val="BodyText"/>
        <w:numPr>
          <w:ilvl w:val="1"/>
          <w:numId w:val="66"/>
        </w:numPr>
        <w:tabs>
          <w:tab w:val="left" w:pos="1235"/>
        </w:tabs>
        <w:ind w:left="1030" w:right="111" w:hanging="360"/>
        <w:jc w:val="both"/>
      </w:pPr>
      <w:r>
        <w:rPr>
          <w:spacing w:val="-1"/>
        </w:rPr>
        <w:t>All</w:t>
      </w:r>
      <w:r>
        <w:rPr>
          <w:spacing w:val="4"/>
        </w:rPr>
        <w:t xml:space="preserve"> </w:t>
      </w:r>
      <w:r>
        <w:t>the</w:t>
      </w:r>
      <w:r>
        <w:rPr>
          <w:spacing w:val="5"/>
        </w:rPr>
        <w:t xml:space="preserve"> </w:t>
      </w:r>
      <w:r>
        <w:rPr>
          <w:spacing w:val="-1"/>
        </w:rPr>
        <w:t>Supplier's</w:t>
      </w:r>
      <w:r>
        <w:rPr>
          <w:spacing w:val="5"/>
        </w:rPr>
        <w:t xml:space="preserve"> </w:t>
      </w:r>
      <w:r>
        <w:rPr>
          <w:spacing w:val="-2"/>
        </w:rPr>
        <w:t>property,</w:t>
      </w:r>
      <w:r>
        <w:rPr>
          <w:spacing w:val="7"/>
        </w:rPr>
        <w:t xml:space="preserve"> </w:t>
      </w:r>
      <w:r>
        <w:rPr>
          <w:spacing w:val="-2"/>
        </w:rPr>
        <w:t>including</w:t>
      </w:r>
      <w:r>
        <w:rPr>
          <w:spacing w:val="9"/>
        </w:rPr>
        <w:t xml:space="preserve"> </w:t>
      </w:r>
      <w:r>
        <w:rPr>
          <w:spacing w:val="-2"/>
        </w:rPr>
        <w:t>Supplier</w:t>
      </w:r>
      <w:r>
        <w:rPr>
          <w:spacing w:val="6"/>
        </w:rPr>
        <w:t xml:space="preserve"> </w:t>
      </w:r>
      <w:r>
        <w:rPr>
          <w:spacing w:val="-1"/>
        </w:rPr>
        <w:t>Equipment,</w:t>
      </w:r>
      <w:r>
        <w:rPr>
          <w:spacing w:val="4"/>
        </w:rPr>
        <w:t xml:space="preserve"> </w:t>
      </w:r>
      <w:r>
        <w:rPr>
          <w:spacing w:val="-1"/>
        </w:rPr>
        <w:t>shall</w:t>
      </w:r>
      <w:r>
        <w:rPr>
          <w:spacing w:val="4"/>
        </w:rPr>
        <w:t xml:space="preserve"> </w:t>
      </w:r>
      <w:r>
        <w:rPr>
          <w:spacing w:val="-1"/>
        </w:rPr>
        <w:t>remain</w:t>
      </w:r>
      <w:r>
        <w:rPr>
          <w:spacing w:val="5"/>
        </w:rPr>
        <w:t xml:space="preserve"> </w:t>
      </w:r>
      <w:r>
        <w:rPr>
          <w:spacing w:val="-1"/>
        </w:rPr>
        <w:t>at</w:t>
      </w:r>
      <w:r>
        <w:rPr>
          <w:spacing w:val="4"/>
        </w:rPr>
        <w:t xml:space="preserve"> </w:t>
      </w:r>
      <w:r>
        <w:rPr>
          <w:spacing w:val="-1"/>
        </w:rPr>
        <w:t>the</w:t>
      </w:r>
      <w:r>
        <w:rPr>
          <w:spacing w:val="5"/>
        </w:rPr>
        <w:t xml:space="preserve"> </w:t>
      </w:r>
      <w:r>
        <w:rPr>
          <w:spacing w:val="-1"/>
        </w:rPr>
        <w:t>sole</w:t>
      </w:r>
      <w:r>
        <w:rPr>
          <w:spacing w:val="65"/>
        </w:rPr>
        <w:t xml:space="preserve"> </w:t>
      </w:r>
      <w:r>
        <w:rPr>
          <w:spacing w:val="-1"/>
        </w:rPr>
        <w:t>risk</w:t>
      </w:r>
      <w:r>
        <w:rPr>
          <w:spacing w:val="20"/>
        </w:rPr>
        <w:t xml:space="preserve"> </w:t>
      </w:r>
      <w:r>
        <w:rPr>
          <w:spacing w:val="-1"/>
        </w:rPr>
        <w:t>and</w:t>
      </w:r>
      <w:r>
        <w:rPr>
          <w:spacing w:val="17"/>
        </w:rPr>
        <w:t xml:space="preserve"> </w:t>
      </w:r>
      <w:r>
        <w:rPr>
          <w:spacing w:val="-1"/>
        </w:rPr>
        <w:t>responsibility</w:t>
      </w:r>
      <w:r>
        <w:rPr>
          <w:spacing w:val="18"/>
        </w:rPr>
        <w:t xml:space="preserve"> </w:t>
      </w:r>
      <w:r>
        <w:rPr>
          <w:spacing w:val="-1"/>
        </w:rPr>
        <w:t>of</w:t>
      </w:r>
      <w:r>
        <w:rPr>
          <w:spacing w:val="19"/>
        </w:rPr>
        <w:t xml:space="preserve"> </w:t>
      </w:r>
      <w:r>
        <w:t>the</w:t>
      </w:r>
      <w:r>
        <w:rPr>
          <w:spacing w:val="17"/>
        </w:rPr>
        <w:t xml:space="preserve"> </w:t>
      </w:r>
      <w:r>
        <w:rPr>
          <w:spacing w:val="-1"/>
        </w:rPr>
        <w:t>Supplier,</w:t>
      </w:r>
      <w:r>
        <w:rPr>
          <w:spacing w:val="19"/>
        </w:rPr>
        <w:t xml:space="preserve"> </w:t>
      </w:r>
      <w:r>
        <w:rPr>
          <w:spacing w:val="-1"/>
        </w:rPr>
        <w:t>except</w:t>
      </w:r>
      <w:r>
        <w:rPr>
          <w:spacing w:val="19"/>
        </w:rPr>
        <w:t xml:space="preserve"> </w:t>
      </w:r>
      <w:r>
        <w:rPr>
          <w:spacing w:val="-1"/>
        </w:rPr>
        <w:t>that</w:t>
      </w:r>
      <w:r>
        <w:rPr>
          <w:spacing w:val="19"/>
        </w:rPr>
        <w:t xml:space="preserve"> </w:t>
      </w:r>
      <w:r>
        <w:t>the</w:t>
      </w:r>
      <w:r>
        <w:rPr>
          <w:spacing w:val="17"/>
        </w:rPr>
        <w:t xml:space="preserve"> </w:t>
      </w:r>
      <w:r>
        <w:rPr>
          <w:spacing w:val="-1"/>
        </w:rPr>
        <w:t>Customer</w:t>
      </w:r>
      <w:r>
        <w:rPr>
          <w:spacing w:val="19"/>
        </w:rPr>
        <w:t xml:space="preserve"> </w:t>
      </w:r>
      <w:r>
        <w:rPr>
          <w:spacing w:val="-1"/>
        </w:rPr>
        <w:t>shall</w:t>
      </w:r>
      <w:r>
        <w:rPr>
          <w:spacing w:val="17"/>
        </w:rPr>
        <w:t xml:space="preserve"> </w:t>
      </w:r>
      <w:r>
        <w:rPr>
          <w:spacing w:val="-1"/>
        </w:rPr>
        <w:t>be</w:t>
      </w:r>
      <w:r>
        <w:rPr>
          <w:spacing w:val="21"/>
        </w:rPr>
        <w:t xml:space="preserve"> </w:t>
      </w:r>
      <w:r>
        <w:rPr>
          <w:spacing w:val="-2"/>
        </w:rPr>
        <w:t>liable</w:t>
      </w:r>
      <w:r>
        <w:rPr>
          <w:spacing w:val="17"/>
        </w:rPr>
        <w:t xml:space="preserve"> </w:t>
      </w:r>
      <w:r>
        <w:t>for</w:t>
      </w:r>
      <w:r>
        <w:rPr>
          <w:spacing w:val="28"/>
        </w:rPr>
        <w:t xml:space="preserve"> </w:t>
      </w:r>
      <w:r>
        <w:rPr>
          <w:spacing w:val="-1"/>
        </w:rPr>
        <w:t>loss</w:t>
      </w:r>
      <w:r>
        <w:rPr>
          <w:spacing w:val="11"/>
        </w:rPr>
        <w:t xml:space="preserve"> </w:t>
      </w:r>
      <w:r>
        <w:rPr>
          <w:spacing w:val="-1"/>
        </w:rPr>
        <w:t>of</w:t>
      </w:r>
      <w:r>
        <w:rPr>
          <w:spacing w:val="14"/>
        </w:rPr>
        <w:t xml:space="preserve"> </w:t>
      </w:r>
      <w:r>
        <w:rPr>
          <w:spacing w:val="-2"/>
        </w:rPr>
        <w:t>or</w:t>
      </w:r>
      <w:r>
        <w:rPr>
          <w:spacing w:val="11"/>
        </w:rPr>
        <w:t xml:space="preserve"> </w:t>
      </w:r>
      <w:r>
        <w:rPr>
          <w:spacing w:val="-1"/>
        </w:rPr>
        <w:t>damage</w:t>
      </w:r>
      <w:r>
        <w:rPr>
          <w:spacing w:val="7"/>
        </w:rPr>
        <w:t xml:space="preserve"> </w:t>
      </w:r>
      <w:r>
        <w:t>to</w:t>
      </w:r>
      <w:r>
        <w:rPr>
          <w:spacing w:val="10"/>
        </w:rPr>
        <w:t xml:space="preserve"> </w:t>
      </w:r>
      <w:r>
        <w:rPr>
          <w:spacing w:val="-2"/>
        </w:rPr>
        <w:t>any</w:t>
      </w:r>
      <w:r>
        <w:rPr>
          <w:spacing w:val="8"/>
        </w:rPr>
        <w:t xml:space="preserve"> </w:t>
      </w:r>
      <w:r>
        <w:rPr>
          <w:spacing w:val="-1"/>
        </w:rPr>
        <w:t>of</w:t>
      </w:r>
      <w:r>
        <w:rPr>
          <w:spacing w:val="14"/>
        </w:rPr>
        <w:t xml:space="preserve"> </w:t>
      </w:r>
      <w:r>
        <w:t>the</w:t>
      </w:r>
      <w:r>
        <w:rPr>
          <w:spacing w:val="10"/>
        </w:rPr>
        <w:t xml:space="preserve"> </w:t>
      </w:r>
      <w:r>
        <w:rPr>
          <w:spacing w:val="-1"/>
        </w:rPr>
        <w:t>Supplier's</w:t>
      </w:r>
      <w:r>
        <w:rPr>
          <w:spacing w:val="10"/>
        </w:rPr>
        <w:t xml:space="preserve"> </w:t>
      </w:r>
      <w:r>
        <w:rPr>
          <w:spacing w:val="-1"/>
        </w:rPr>
        <w:t>property</w:t>
      </w:r>
      <w:r>
        <w:rPr>
          <w:spacing w:val="8"/>
        </w:rPr>
        <w:t xml:space="preserve"> </w:t>
      </w:r>
      <w:r>
        <w:rPr>
          <w:spacing w:val="-1"/>
        </w:rPr>
        <w:t>located</w:t>
      </w:r>
      <w:r>
        <w:rPr>
          <w:spacing w:val="10"/>
        </w:rPr>
        <w:t xml:space="preserve"> </w:t>
      </w:r>
      <w:r>
        <w:rPr>
          <w:spacing w:val="-1"/>
        </w:rPr>
        <w:t>on</w:t>
      </w:r>
      <w:r>
        <w:rPr>
          <w:spacing w:val="10"/>
        </w:rPr>
        <w:t xml:space="preserve"> </w:t>
      </w:r>
      <w:r>
        <w:rPr>
          <w:spacing w:val="-1"/>
        </w:rPr>
        <w:t>Customer</w:t>
      </w:r>
      <w:r>
        <w:rPr>
          <w:spacing w:val="9"/>
        </w:rPr>
        <w:t xml:space="preserve"> </w:t>
      </w:r>
      <w:r>
        <w:rPr>
          <w:spacing w:val="-1"/>
        </w:rPr>
        <w:t>Premises</w:t>
      </w:r>
      <w:r>
        <w:rPr>
          <w:spacing w:val="41"/>
        </w:rPr>
        <w:t xml:space="preserve"> </w:t>
      </w:r>
      <w:r>
        <w:rPr>
          <w:spacing w:val="-1"/>
        </w:rPr>
        <w:t>which</w:t>
      </w:r>
      <w:r>
        <w:rPr>
          <w:spacing w:val="1"/>
        </w:rPr>
        <w:t xml:space="preserve"> </w:t>
      </w:r>
      <w:r>
        <w:rPr>
          <w:spacing w:val="-1"/>
        </w:rPr>
        <w:t>is</w:t>
      </w:r>
      <w:r>
        <w:rPr>
          <w:spacing w:val="1"/>
        </w:rPr>
        <w:t xml:space="preserve"> </w:t>
      </w:r>
      <w:r>
        <w:rPr>
          <w:spacing w:val="-1"/>
        </w:rPr>
        <w:t>due</w:t>
      </w:r>
      <w:r>
        <w:rPr>
          <w:spacing w:val="-2"/>
        </w:rPr>
        <w:t xml:space="preserve"> </w:t>
      </w:r>
      <w:r>
        <w:t>to</w:t>
      </w:r>
      <w:r>
        <w:rPr>
          <w:spacing w:val="-2"/>
        </w:rPr>
        <w:t xml:space="preserve"> </w:t>
      </w:r>
      <w:r>
        <w:t xml:space="preserve">the </w:t>
      </w:r>
      <w:r>
        <w:rPr>
          <w:spacing w:val="-2"/>
        </w:rPr>
        <w:t>negligent</w:t>
      </w:r>
      <w:r>
        <w:rPr>
          <w:spacing w:val="2"/>
        </w:rPr>
        <w:t xml:space="preserve"> </w:t>
      </w:r>
      <w:r>
        <w:rPr>
          <w:spacing w:val="-2"/>
        </w:rPr>
        <w:t>act</w:t>
      </w:r>
      <w:r>
        <w:rPr>
          <w:spacing w:val="2"/>
        </w:rPr>
        <w:t xml:space="preserve"> </w:t>
      </w:r>
      <w:r>
        <w:rPr>
          <w:spacing w:val="-2"/>
        </w:rPr>
        <w:t>or</w:t>
      </w:r>
      <w:r>
        <w:rPr>
          <w:spacing w:val="2"/>
        </w:rPr>
        <w:t xml:space="preserve"> </w:t>
      </w:r>
      <w:r>
        <w:rPr>
          <w:spacing w:val="-2"/>
        </w:rPr>
        <w:t>omission</w:t>
      </w:r>
      <w:r>
        <w:t xml:space="preserve"> </w:t>
      </w:r>
      <w:r>
        <w:rPr>
          <w:spacing w:val="-2"/>
        </w:rPr>
        <w:t>of</w:t>
      </w:r>
      <w:r>
        <w:t xml:space="preserve"> </w:t>
      </w:r>
      <w:r>
        <w:rPr>
          <w:spacing w:val="-1"/>
        </w:rPr>
        <w:t>the</w:t>
      </w:r>
      <w:r>
        <w:t xml:space="preserve"> </w:t>
      </w:r>
      <w:r>
        <w:rPr>
          <w:spacing w:val="-1"/>
        </w:rPr>
        <w:t>Customer.</w:t>
      </w:r>
    </w:p>
    <w:p w:rsidR="008918FA" w:rsidRDefault="008918FA" w:rsidP="008918FA">
      <w:pPr>
        <w:pStyle w:val="BodyText"/>
        <w:numPr>
          <w:ilvl w:val="1"/>
          <w:numId w:val="66"/>
        </w:numPr>
        <w:tabs>
          <w:tab w:val="left" w:pos="1235"/>
        </w:tabs>
        <w:spacing w:before="121"/>
        <w:ind w:left="1030" w:right="114" w:hanging="360"/>
        <w:jc w:val="both"/>
      </w:pPr>
      <w:r>
        <w:rPr>
          <w:spacing w:val="-1"/>
        </w:rPr>
        <w:t>Subject</w:t>
      </w:r>
      <w:r>
        <w:rPr>
          <w:spacing w:val="24"/>
        </w:rPr>
        <w:t xml:space="preserve"> </w:t>
      </w:r>
      <w:r>
        <w:t>to</w:t>
      </w:r>
      <w:r>
        <w:rPr>
          <w:spacing w:val="24"/>
        </w:rPr>
        <w:t xml:space="preserve"> </w:t>
      </w:r>
      <w:r>
        <w:rPr>
          <w:spacing w:val="-1"/>
        </w:rPr>
        <w:t>any</w:t>
      </w:r>
      <w:r>
        <w:rPr>
          <w:spacing w:val="22"/>
        </w:rPr>
        <w:t xml:space="preserve"> </w:t>
      </w:r>
      <w:r>
        <w:rPr>
          <w:spacing w:val="-1"/>
        </w:rPr>
        <w:t>express</w:t>
      </w:r>
      <w:r>
        <w:rPr>
          <w:spacing w:val="23"/>
        </w:rPr>
        <w:t xml:space="preserve"> </w:t>
      </w:r>
      <w:r>
        <w:rPr>
          <w:spacing w:val="-2"/>
        </w:rPr>
        <w:t>provision</w:t>
      </w:r>
      <w:r>
        <w:rPr>
          <w:spacing w:val="24"/>
        </w:rPr>
        <w:t xml:space="preserve"> </w:t>
      </w:r>
      <w:r>
        <w:rPr>
          <w:spacing w:val="-1"/>
        </w:rPr>
        <w:t>of</w:t>
      </w:r>
      <w:r>
        <w:rPr>
          <w:spacing w:val="26"/>
        </w:rPr>
        <w:t xml:space="preserve"> </w:t>
      </w:r>
      <w:r>
        <w:t>the</w:t>
      </w:r>
      <w:r>
        <w:rPr>
          <w:spacing w:val="24"/>
        </w:rPr>
        <w:t xml:space="preserve"> </w:t>
      </w:r>
      <w:r>
        <w:rPr>
          <w:spacing w:val="-2"/>
        </w:rPr>
        <w:t>BCDR</w:t>
      </w:r>
      <w:r>
        <w:rPr>
          <w:spacing w:val="24"/>
        </w:rPr>
        <w:t xml:space="preserve"> </w:t>
      </w:r>
      <w:r>
        <w:rPr>
          <w:spacing w:val="-1"/>
        </w:rPr>
        <w:t>Plan</w:t>
      </w:r>
      <w:r>
        <w:rPr>
          <w:spacing w:val="24"/>
        </w:rPr>
        <w:t xml:space="preserve"> </w:t>
      </w:r>
      <w:r>
        <w:t>to</w:t>
      </w:r>
      <w:r>
        <w:rPr>
          <w:spacing w:val="24"/>
        </w:rPr>
        <w:t xml:space="preserve"> </w:t>
      </w:r>
      <w:r>
        <w:t>the</w:t>
      </w:r>
      <w:r>
        <w:rPr>
          <w:spacing w:val="24"/>
        </w:rPr>
        <w:t xml:space="preserve"> </w:t>
      </w:r>
      <w:r>
        <w:rPr>
          <w:spacing w:val="-1"/>
        </w:rPr>
        <w:t>contrary,</w:t>
      </w:r>
      <w:r>
        <w:rPr>
          <w:spacing w:val="26"/>
        </w:rPr>
        <w:t xml:space="preserve"> </w:t>
      </w:r>
      <w:r>
        <w:t>the</w:t>
      </w:r>
      <w:r>
        <w:rPr>
          <w:spacing w:val="22"/>
        </w:rPr>
        <w:t xml:space="preserve"> </w:t>
      </w:r>
      <w:r>
        <w:rPr>
          <w:spacing w:val="-1"/>
        </w:rPr>
        <w:t>loss</w:t>
      </w:r>
      <w:r>
        <w:rPr>
          <w:spacing w:val="25"/>
        </w:rPr>
        <w:t xml:space="preserve"> </w:t>
      </w:r>
      <w:r>
        <w:rPr>
          <w:spacing w:val="-1"/>
        </w:rPr>
        <w:t>or</w:t>
      </w:r>
      <w:r>
        <w:rPr>
          <w:spacing w:val="36"/>
        </w:rPr>
        <w:t xml:space="preserve"> </w:t>
      </w:r>
      <w:r>
        <w:rPr>
          <w:spacing w:val="-1"/>
        </w:rPr>
        <w:t>destruction</w:t>
      </w:r>
      <w:r>
        <w:rPr>
          <w:spacing w:val="5"/>
        </w:rPr>
        <w:t xml:space="preserve"> </w:t>
      </w:r>
      <w:r>
        <w:t>for</w:t>
      </w:r>
      <w:r>
        <w:rPr>
          <w:spacing w:val="9"/>
        </w:rPr>
        <w:t xml:space="preserve"> </w:t>
      </w:r>
      <w:r>
        <w:rPr>
          <w:spacing w:val="-1"/>
        </w:rPr>
        <w:t>any</w:t>
      </w:r>
      <w:r>
        <w:rPr>
          <w:spacing w:val="6"/>
        </w:rPr>
        <w:t xml:space="preserve"> </w:t>
      </w:r>
      <w:r>
        <w:rPr>
          <w:spacing w:val="-1"/>
        </w:rPr>
        <w:t>reason</w:t>
      </w:r>
      <w:r>
        <w:rPr>
          <w:spacing w:val="7"/>
        </w:rPr>
        <w:t xml:space="preserve"> </w:t>
      </w:r>
      <w:r>
        <w:rPr>
          <w:spacing w:val="-1"/>
        </w:rPr>
        <w:t>of</w:t>
      </w:r>
      <w:r>
        <w:rPr>
          <w:spacing w:val="11"/>
        </w:rPr>
        <w:t xml:space="preserve"> </w:t>
      </w:r>
      <w:r>
        <w:rPr>
          <w:spacing w:val="-1"/>
        </w:rPr>
        <w:t>any</w:t>
      </w:r>
      <w:r>
        <w:rPr>
          <w:spacing w:val="5"/>
        </w:rPr>
        <w:t xml:space="preserve"> </w:t>
      </w:r>
      <w:r>
        <w:rPr>
          <w:spacing w:val="-2"/>
        </w:rPr>
        <w:t>Supplier</w:t>
      </w:r>
      <w:r>
        <w:rPr>
          <w:spacing w:val="9"/>
        </w:rPr>
        <w:t xml:space="preserve"> </w:t>
      </w:r>
      <w:r>
        <w:rPr>
          <w:spacing w:val="-1"/>
        </w:rPr>
        <w:t>Equipment</w:t>
      </w:r>
      <w:r>
        <w:rPr>
          <w:spacing w:val="11"/>
        </w:rPr>
        <w:t xml:space="preserve"> </w:t>
      </w:r>
      <w:r>
        <w:rPr>
          <w:spacing w:val="-1"/>
        </w:rPr>
        <w:t>shall</w:t>
      </w:r>
      <w:r>
        <w:rPr>
          <w:spacing w:val="7"/>
        </w:rPr>
        <w:t xml:space="preserve"> </w:t>
      </w:r>
      <w:r>
        <w:rPr>
          <w:spacing w:val="-1"/>
        </w:rPr>
        <w:t>not</w:t>
      </w:r>
      <w:r>
        <w:rPr>
          <w:spacing w:val="9"/>
        </w:rPr>
        <w:t xml:space="preserve"> </w:t>
      </w:r>
      <w:r>
        <w:rPr>
          <w:spacing w:val="-2"/>
        </w:rPr>
        <w:t>relieve</w:t>
      </w:r>
      <w:r>
        <w:rPr>
          <w:spacing w:val="7"/>
        </w:rPr>
        <w:t xml:space="preserve"> </w:t>
      </w:r>
      <w:r>
        <w:rPr>
          <w:spacing w:val="1"/>
        </w:rPr>
        <w:t>the</w:t>
      </w:r>
      <w:r>
        <w:rPr>
          <w:spacing w:val="7"/>
        </w:rPr>
        <w:t xml:space="preserve"> </w:t>
      </w:r>
      <w:r>
        <w:rPr>
          <w:spacing w:val="-2"/>
        </w:rPr>
        <w:t>Supplier</w:t>
      </w:r>
    </w:p>
    <w:p w:rsidR="008918FA" w:rsidRDefault="008918FA" w:rsidP="008918FA">
      <w:pPr>
        <w:jc w:val="both"/>
        <w:sectPr w:rsidR="008918FA">
          <w:pgSz w:w="11910" w:h="16840"/>
          <w:pgMar w:top="1480" w:right="1300" w:bottom="1180" w:left="1340" w:header="0" w:footer="967" w:gutter="0"/>
          <w:cols w:space="720"/>
        </w:sectPr>
      </w:pPr>
    </w:p>
    <w:p w:rsidR="008918FA" w:rsidRDefault="008918FA" w:rsidP="008918FA">
      <w:pPr>
        <w:pStyle w:val="BodyText"/>
        <w:spacing w:before="59"/>
        <w:ind w:left="1048" w:right="114" w:firstLine="0"/>
        <w:jc w:val="both"/>
      </w:pPr>
      <w:r>
        <w:rPr>
          <w:spacing w:val="-2"/>
        </w:rPr>
        <w:t>of</w:t>
      </w:r>
      <w:r>
        <w:rPr>
          <w:spacing w:val="28"/>
        </w:rPr>
        <w:t xml:space="preserve"> </w:t>
      </w:r>
      <w:r>
        <w:rPr>
          <w:spacing w:val="-1"/>
        </w:rPr>
        <w:t>its</w:t>
      </w:r>
      <w:r>
        <w:rPr>
          <w:spacing w:val="25"/>
        </w:rPr>
        <w:t xml:space="preserve"> </w:t>
      </w:r>
      <w:r>
        <w:rPr>
          <w:spacing w:val="-1"/>
        </w:rPr>
        <w:t>obligation</w:t>
      </w:r>
      <w:r>
        <w:rPr>
          <w:spacing w:val="22"/>
        </w:rPr>
        <w:t xml:space="preserve"> </w:t>
      </w:r>
      <w:r>
        <w:t>to</w:t>
      </w:r>
      <w:r>
        <w:rPr>
          <w:spacing w:val="24"/>
        </w:rPr>
        <w:t xml:space="preserve"> </w:t>
      </w:r>
      <w:r>
        <w:rPr>
          <w:spacing w:val="-2"/>
        </w:rPr>
        <w:t>supply</w:t>
      </w:r>
      <w:r>
        <w:rPr>
          <w:spacing w:val="22"/>
        </w:rPr>
        <w:t xml:space="preserve"> </w:t>
      </w:r>
      <w:r>
        <w:t>the</w:t>
      </w:r>
      <w:r>
        <w:rPr>
          <w:spacing w:val="26"/>
        </w:rPr>
        <w:t xml:space="preserve"> </w:t>
      </w:r>
      <w:r>
        <w:rPr>
          <w:spacing w:val="-1"/>
        </w:rPr>
        <w:t>Goods</w:t>
      </w:r>
      <w:r>
        <w:rPr>
          <w:spacing w:val="25"/>
        </w:rPr>
        <w:t xml:space="preserve"> </w:t>
      </w:r>
      <w:r>
        <w:rPr>
          <w:spacing w:val="-2"/>
        </w:rPr>
        <w:t>and/or</w:t>
      </w:r>
      <w:r>
        <w:rPr>
          <w:spacing w:val="26"/>
        </w:rPr>
        <w:t xml:space="preserve"> </w:t>
      </w:r>
      <w:r>
        <w:rPr>
          <w:spacing w:val="-2"/>
        </w:rPr>
        <w:t>Services</w:t>
      </w:r>
      <w:r>
        <w:rPr>
          <w:spacing w:val="26"/>
        </w:rPr>
        <w:t xml:space="preserve"> </w:t>
      </w:r>
      <w:r>
        <w:rPr>
          <w:spacing w:val="-1"/>
        </w:rPr>
        <w:t>in</w:t>
      </w:r>
      <w:r>
        <w:rPr>
          <w:spacing w:val="24"/>
        </w:rPr>
        <w:t xml:space="preserve"> </w:t>
      </w:r>
      <w:r>
        <w:rPr>
          <w:spacing w:val="-1"/>
        </w:rPr>
        <w:t>accordance</w:t>
      </w:r>
      <w:r>
        <w:rPr>
          <w:spacing w:val="25"/>
        </w:rPr>
        <w:t xml:space="preserve"> </w:t>
      </w:r>
      <w:r>
        <w:rPr>
          <w:spacing w:val="-2"/>
        </w:rPr>
        <w:t>with</w:t>
      </w:r>
      <w:r>
        <w:rPr>
          <w:spacing w:val="24"/>
        </w:rPr>
        <w:t xml:space="preserve"> </w:t>
      </w:r>
      <w:r>
        <w:rPr>
          <w:spacing w:val="-1"/>
        </w:rPr>
        <w:t>this</w:t>
      </w:r>
      <w:r>
        <w:rPr>
          <w:spacing w:val="26"/>
        </w:rPr>
        <w:t xml:space="preserve"> </w:t>
      </w:r>
      <w:r>
        <w:rPr>
          <w:spacing w:val="-2"/>
        </w:rPr>
        <w:t>Call</w:t>
      </w:r>
      <w:r>
        <w:rPr>
          <w:spacing w:val="65"/>
        </w:rPr>
        <w:t xml:space="preserve"> </w:t>
      </w:r>
      <w:r>
        <w:rPr>
          <w:spacing w:val="-1"/>
        </w:rPr>
        <w:t>Off</w:t>
      </w:r>
      <w:r>
        <w:rPr>
          <w:spacing w:val="2"/>
        </w:rPr>
        <w:t xml:space="preserve"> </w:t>
      </w:r>
      <w:r>
        <w:rPr>
          <w:spacing w:val="-1"/>
        </w:rPr>
        <w:t>Contract,</w:t>
      </w:r>
      <w:r>
        <w:t xml:space="preserve"> </w:t>
      </w:r>
      <w:r>
        <w:rPr>
          <w:spacing w:val="-2"/>
        </w:rPr>
        <w:t>including</w:t>
      </w:r>
      <w:r>
        <w:rPr>
          <w:spacing w:val="1"/>
        </w:rPr>
        <w:t xml:space="preserve"> </w:t>
      </w:r>
      <w:r>
        <w:rPr>
          <w:spacing w:val="-1"/>
        </w:rPr>
        <w:t>the</w:t>
      </w:r>
      <w:r>
        <w:t xml:space="preserve"> </w:t>
      </w:r>
      <w:r>
        <w:rPr>
          <w:spacing w:val="-2"/>
        </w:rPr>
        <w:t>Service</w:t>
      </w:r>
      <w:r>
        <w:rPr>
          <w:spacing w:val="1"/>
        </w:rPr>
        <w:t xml:space="preserve"> </w:t>
      </w:r>
      <w:r>
        <w:rPr>
          <w:spacing w:val="-2"/>
        </w:rPr>
        <w:t>Level</w:t>
      </w:r>
      <w:r>
        <w:t xml:space="preserve"> </w:t>
      </w:r>
      <w:r>
        <w:rPr>
          <w:spacing w:val="-1"/>
        </w:rPr>
        <w:t>Performance</w:t>
      </w:r>
      <w:r>
        <w:rPr>
          <w:spacing w:val="1"/>
        </w:rPr>
        <w:t xml:space="preserve"> </w:t>
      </w:r>
      <w:r>
        <w:rPr>
          <w:spacing w:val="-1"/>
        </w:rPr>
        <w:t>Measures.</w:t>
      </w:r>
    </w:p>
    <w:p w:rsidR="008918FA" w:rsidRDefault="008918FA" w:rsidP="008918FA">
      <w:pPr>
        <w:pStyle w:val="BodyText"/>
        <w:numPr>
          <w:ilvl w:val="1"/>
          <w:numId w:val="66"/>
        </w:numPr>
        <w:tabs>
          <w:tab w:val="left" w:pos="1253"/>
        </w:tabs>
        <w:spacing w:before="121"/>
        <w:ind w:left="1048" w:right="114" w:hanging="360"/>
        <w:jc w:val="both"/>
      </w:pPr>
      <w:r>
        <w:t>The</w:t>
      </w:r>
      <w:r>
        <w:rPr>
          <w:spacing w:val="36"/>
        </w:rPr>
        <w:t xml:space="preserve"> </w:t>
      </w:r>
      <w:r>
        <w:rPr>
          <w:spacing w:val="-2"/>
        </w:rPr>
        <w:t>Supplier</w:t>
      </w:r>
      <w:r>
        <w:rPr>
          <w:spacing w:val="38"/>
        </w:rPr>
        <w:t xml:space="preserve"> </w:t>
      </w:r>
      <w:r>
        <w:rPr>
          <w:spacing w:val="-1"/>
        </w:rPr>
        <w:t>shall</w:t>
      </w:r>
      <w:r>
        <w:rPr>
          <w:spacing w:val="36"/>
        </w:rPr>
        <w:t xml:space="preserve"> </w:t>
      </w:r>
      <w:r>
        <w:rPr>
          <w:spacing w:val="-1"/>
        </w:rPr>
        <w:t>maintain</w:t>
      </w:r>
      <w:r>
        <w:rPr>
          <w:spacing w:val="36"/>
        </w:rPr>
        <w:t xml:space="preserve"> </w:t>
      </w:r>
      <w:r>
        <w:rPr>
          <w:spacing w:val="-1"/>
        </w:rPr>
        <w:t>all</w:t>
      </w:r>
      <w:r>
        <w:rPr>
          <w:spacing w:val="36"/>
        </w:rPr>
        <w:t xml:space="preserve"> </w:t>
      </w:r>
      <w:r>
        <w:rPr>
          <w:spacing w:val="-2"/>
        </w:rPr>
        <w:t>Supplier</w:t>
      </w:r>
      <w:r>
        <w:rPr>
          <w:spacing w:val="39"/>
        </w:rPr>
        <w:t xml:space="preserve"> </w:t>
      </w:r>
      <w:r>
        <w:rPr>
          <w:spacing w:val="-1"/>
        </w:rPr>
        <w:t>Equipment</w:t>
      </w:r>
      <w:r>
        <w:rPr>
          <w:spacing w:val="39"/>
        </w:rPr>
        <w:t xml:space="preserve"> </w:t>
      </w:r>
      <w:r>
        <w:rPr>
          <w:spacing w:val="-2"/>
        </w:rPr>
        <w:t>within</w:t>
      </w:r>
      <w:r>
        <w:rPr>
          <w:spacing w:val="36"/>
        </w:rPr>
        <w:t xml:space="preserve"> </w:t>
      </w:r>
      <w:r>
        <w:t>the</w:t>
      </w:r>
      <w:r>
        <w:rPr>
          <w:spacing w:val="36"/>
        </w:rPr>
        <w:t xml:space="preserve"> </w:t>
      </w:r>
      <w:r>
        <w:rPr>
          <w:spacing w:val="-1"/>
        </w:rPr>
        <w:t>Sites</w:t>
      </w:r>
      <w:r>
        <w:rPr>
          <w:spacing w:val="37"/>
        </w:rPr>
        <w:t xml:space="preserve"> </w:t>
      </w:r>
      <w:r>
        <w:rPr>
          <w:spacing w:val="-1"/>
        </w:rPr>
        <w:t>and/or</w:t>
      </w:r>
      <w:r>
        <w:rPr>
          <w:spacing w:val="35"/>
        </w:rPr>
        <w:t xml:space="preserve"> </w:t>
      </w:r>
      <w:r>
        <w:rPr>
          <w:spacing w:val="-1"/>
        </w:rPr>
        <w:t>the</w:t>
      </w:r>
      <w:r>
        <w:rPr>
          <w:spacing w:val="58"/>
        </w:rPr>
        <w:t xml:space="preserve"> </w:t>
      </w:r>
      <w:r>
        <w:rPr>
          <w:spacing w:val="-1"/>
        </w:rPr>
        <w:t>Customer</w:t>
      </w:r>
      <w:r>
        <w:rPr>
          <w:spacing w:val="2"/>
        </w:rPr>
        <w:t xml:space="preserve"> </w:t>
      </w:r>
      <w:r>
        <w:rPr>
          <w:spacing w:val="-1"/>
        </w:rPr>
        <w:t>Premises</w:t>
      </w:r>
      <w:r>
        <w:rPr>
          <w:spacing w:val="-2"/>
        </w:rPr>
        <w:t xml:space="preserve"> </w:t>
      </w:r>
      <w:r>
        <w:rPr>
          <w:spacing w:val="-1"/>
        </w:rPr>
        <w:t>in</w:t>
      </w:r>
      <w:r>
        <w:t xml:space="preserve"> a</w:t>
      </w:r>
      <w:r>
        <w:rPr>
          <w:spacing w:val="-2"/>
        </w:rPr>
        <w:t xml:space="preserve"> </w:t>
      </w:r>
      <w:r>
        <w:rPr>
          <w:spacing w:val="-1"/>
        </w:rPr>
        <w:t>safe,</w:t>
      </w:r>
      <w:r>
        <w:t xml:space="preserve"> </w:t>
      </w:r>
      <w:r>
        <w:rPr>
          <w:spacing w:val="-1"/>
        </w:rPr>
        <w:t>serviceable</w:t>
      </w:r>
      <w:r>
        <w:t xml:space="preserve"> </w:t>
      </w:r>
      <w:r>
        <w:rPr>
          <w:spacing w:val="-1"/>
        </w:rPr>
        <w:t>and</w:t>
      </w:r>
      <w:r>
        <w:t xml:space="preserve"> </w:t>
      </w:r>
      <w:r>
        <w:rPr>
          <w:spacing w:val="-2"/>
        </w:rPr>
        <w:t>clean</w:t>
      </w:r>
      <w:r>
        <w:t xml:space="preserve"> </w:t>
      </w:r>
      <w:r>
        <w:rPr>
          <w:spacing w:val="-1"/>
        </w:rPr>
        <w:t>condition.</w:t>
      </w:r>
    </w:p>
    <w:p w:rsidR="008918FA" w:rsidRDefault="008918FA" w:rsidP="008918FA">
      <w:pPr>
        <w:pStyle w:val="BodyText"/>
        <w:numPr>
          <w:ilvl w:val="1"/>
          <w:numId w:val="66"/>
        </w:numPr>
        <w:tabs>
          <w:tab w:val="left" w:pos="1253"/>
        </w:tabs>
        <w:spacing w:before="121"/>
        <w:ind w:left="1048" w:right="116" w:hanging="360"/>
        <w:jc w:val="both"/>
      </w:pPr>
      <w:r>
        <w:t>The</w:t>
      </w:r>
      <w:r>
        <w:rPr>
          <w:spacing w:val="10"/>
        </w:rPr>
        <w:t xml:space="preserve"> </w:t>
      </w:r>
      <w:r>
        <w:rPr>
          <w:spacing w:val="-2"/>
        </w:rPr>
        <w:t>Supplier</w:t>
      </w:r>
      <w:r>
        <w:rPr>
          <w:spacing w:val="11"/>
        </w:rPr>
        <w:t xml:space="preserve"> </w:t>
      </w:r>
      <w:r>
        <w:rPr>
          <w:spacing w:val="-1"/>
        </w:rPr>
        <w:t>shall,</w:t>
      </w:r>
      <w:r>
        <w:rPr>
          <w:spacing w:val="11"/>
        </w:rPr>
        <w:t xml:space="preserve"> </w:t>
      </w:r>
      <w:r>
        <w:rPr>
          <w:spacing w:val="-1"/>
        </w:rPr>
        <w:t>at</w:t>
      </w:r>
      <w:r>
        <w:rPr>
          <w:spacing w:val="11"/>
        </w:rPr>
        <w:t xml:space="preserve"> </w:t>
      </w:r>
      <w:r>
        <w:rPr>
          <w:spacing w:val="-1"/>
        </w:rPr>
        <w:t>the</w:t>
      </w:r>
      <w:r>
        <w:rPr>
          <w:spacing w:val="10"/>
        </w:rPr>
        <w:t xml:space="preserve"> </w:t>
      </w:r>
      <w:r>
        <w:rPr>
          <w:spacing w:val="-1"/>
        </w:rPr>
        <w:t>Customer's</w:t>
      </w:r>
      <w:r>
        <w:rPr>
          <w:spacing w:val="11"/>
        </w:rPr>
        <w:t xml:space="preserve"> </w:t>
      </w:r>
      <w:r>
        <w:rPr>
          <w:spacing w:val="-1"/>
        </w:rPr>
        <w:t>written</w:t>
      </w:r>
      <w:r>
        <w:rPr>
          <w:spacing w:val="10"/>
        </w:rPr>
        <w:t xml:space="preserve"> </w:t>
      </w:r>
      <w:r>
        <w:rPr>
          <w:spacing w:val="-1"/>
        </w:rPr>
        <w:t>request,</w:t>
      </w:r>
      <w:r>
        <w:rPr>
          <w:spacing w:val="11"/>
        </w:rPr>
        <w:t xml:space="preserve"> </w:t>
      </w:r>
      <w:r>
        <w:rPr>
          <w:spacing w:val="-2"/>
        </w:rPr>
        <w:t>at</w:t>
      </w:r>
      <w:r>
        <w:rPr>
          <w:spacing w:val="11"/>
        </w:rPr>
        <w:t xml:space="preserve"> </w:t>
      </w:r>
      <w:r>
        <w:rPr>
          <w:spacing w:val="-1"/>
        </w:rPr>
        <w:t>its</w:t>
      </w:r>
      <w:r>
        <w:rPr>
          <w:spacing w:val="10"/>
        </w:rPr>
        <w:t xml:space="preserve"> </w:t>
      </w:r>
      <w:r>
        <w:rPr>
          <w:spacing w:val="-2"/>
        </w:rPr>
        <w:t>own</w:t>
      </w:r>
      <w:r>
        <w:rPr>
          <w:spacing w:val="10"/>
        </w:rPr>
        <w:t xml:space="preserve"> </w:t>
      </w:r>
      <w:r>
        <w:rPr>
          <w:spacing w:val="-2"/>
        </w:rPr>
        <w:t>expense</w:t>
      </w:r>
      <w:r>
        <w:rPr>
          <w:spacing w:val="13"/>
        </w:rPr>
        <w:t xml:space="preserve"> </w:t>
      </w:r>
      <w:r>
        <w:rPr>
          <w:spacing w:val="-1"/>
        </w:rPr>
        <w:t>and</w:t>
      </w:r>
      <w:r>
        <w:rPr>
          <w:spacing w:val="10"/>
        </w:rPr>
        <w:t xml:space="preserve"> </w:t>
      </w:r>
      <w:r>
        <w:rPr>
          <w:spacing w:val="-1"/>
        </w:rPr>
        <w:t>as</w:t>
      </w:r>
      <w:r>
        <w:rPr>
          <w:spacing w:val="58"/>
        </w:rPr>
        <w:t xml:space="preserve"> </w:t>
      </w:r>
      <w:r>
        <w:rPr>
          <w:spacing w:val="-1"/>
        </w:rPr>
        <w:t>soon</w:t>
      </w:r>
      <w:r>
        <w:t xml:space="preserve"> </w:t>
      </w:r>
      <w:r>
        <w:rPr>
          <w:spacing w:val="-1"/>
        </w:rPr>
        <w:t>as</w:t>
      </w:r>
      <w:r>
        <w:rPr>
          <w:spacing w:val="-2"/>
        </w:rPr>
        <w:t xml:space="preserve"> </w:t>
      </w:r>
      <w:r>
        <w:rPr>
          <w:spacing w:val="-1"/>
        </w:rPr>
        <w:t>reasonably</w:t>
      </w:r>
      <w:r>
        <w:rPr>
          <w:spacing w:val="-2"/>
        </w:rPr>
        <w:t xml:space="preserve"> </w:t>
      </w:r>
      <w:r>
        <w:rPr>
          <w:spacing w:val="-1"/>
        </w:rPr>
        <w:t>practicable:</w:t>
      </w:r>
    </w:p>
    <w:p w:rsidR="008918FA" w:rsidRDefault="008918FA" w:rsidP="008918FA">
      <w:pPr>
        <w:pStyle w:val="BodyText"/>
        <w:numPr>
          <w:ilvl w:val="2"/>
          <w:numId w:val="66"/>
        </w:numPr>
        <w:tabs>
          <w:tab w:val="left" w:pos="2247"/>
        </w:tabs>
        <w:ind w:left="2246" w:right="113"/>
        <w:jc w:val="both"/>
      </w:pPr>
      <w:r>
        <w:rPr>
          <w:spacing w:val="-1"/>
        </w:rPr>
        <w:t>remove</w:t>
      </w:r>
      <w:r>
        <w:rPr>
          <w:spacing w:val="27"/>
        </w:rPr>
        <w:t xml:space="preserve"> </w:t>
      </w:r>
      <w:r>
        <w:rPr>
          <w:spacing w:val="-1"/>
        </w:rPr>
        <w:t>from</w:t>
      </w:r>
      <w:r>
        <w:rPr>
          <w:spacing w:val="28"/>
        </w:rPr>
        <w:t xml:space="preserve"> </w:t>
      </w:r>
      <w:r>
        <w:t>the</w:t>
      </w:r>
      <w:r>
        <w:rPr>
          <w:spacing w:val="27"/>
        </w:rPr>
        <w:t xml:space="preserve"> </w:t>
      </w:r>
      <w:r>
        <w:rPr>
          <w:spacing w:val="-1"/>
        </w:rPr>
        <w:t>Customer</w:t>
      </w:r>
      <w:r>
        <w:rPr>
          <w:spacing w:val="28"/>
        </w:rPr>
        <w:t xml:space="preserve"> </w:t>
      </w:r>
      <w:r>
        <w:rPr>
          <w:spacing w:val="-1"/>
        </w:rPr>
        <w:t>Premises</w:t>
      </w:r>
      <w:r>
        <w:rPr>
          <w:spacing w:val="28"/>
        </w:rPr>
        <w:t xml:space="preserve"> </w:t>
      </w:r>
      <w:r>
        <w:rPr>
          <w:spacing w:val="-1"/>
        </w:rPr>
        <w:t>any</w:t>
      </w:r>
      <w:r>
        <w:rPr>
          <w:spacing w:val="25"/>
        </w:rPr>
        <w:t xml:space="preserve"> </w:t>
      </w:r>
      <w:r>
        <w:rPr>
          <w:spacing w:val="-1"/>
        </w:rPr>
        <w:t>Supplier</w:t>
      </w:r>
      <w:r>
        <w:rPr>
          <w:spacing w:val="28"/>
        </w:rPr>
        <w:t xml:space="preserve"> </w:t>
      </w:r>
      <w:r>
        <w:rPr>
          <w:spacing w:val="-1"/>
        </w:rPr>
        <w:t>Equipment</w:t>
      </w:r>
      <w:r>
        <w:rPr>
          <w:spacing w:val="29"/>
        </w:rPr>
        <w:t xml:space="preserve"> </w:t>
      </w:r>
      <w:r>
        <w:rPr>
          <w:spacing w:val="-1"/>
        </w:rPr>
        <w:t>or</w:t>
      </w:r>
      <w:r>
        <w:rPr>
          <w:spacing w:val="28"/>
        </w:rPr>
        <w:t xml:space="preserve"> </w:t>
      </w:r>
      <w:r>
        <w:rPr>
          <w:spacing w:val="-1"/>
        </w:rPr>
        <w:t>any</w:t>
      </w:r>
      <w:r>
        <w:rPr>
          <w:spacing w:val="22"/>
        </w:rPr>
        <w:t xml:space="preserve"> </w:t>
      </w:r>
      <w:r>
        <w:rPr>
          <w:spacing w:val="-1"/>
        </w:rPr>
        <w:t>component</w:t>
      </w:r>
      <w:r>
        <w:rPr>
          <w:spacing w:val="2"/>
        </w:rPr>
        <w:t xml:space="preserve"> </w:t>
      </w:r>
      <w:r>
        <w:rPr>
          <w:spacing w:val="-1"/>
        </w:rPr>
        <w:t>part</w:t>
      </w:r>
      <w:r>
        <w:rPr>
          <w:spacing w:val="4"/>
        </w:rPr>
        <w:t xml:space="preserve"> </w:t>
      </w:r>
      <w:r>
        <w:rPr>
          <w:spacing w:val="-2"/>
        </w:rPr>
        <w:t>of</w:t>
      </w:r>
      <w:r>
        <w:rPr>
          <w:spacing w:val="5"/>
        </w:rPr>
        <w:t xml:space="preserve"> </w:t>
      </w:r>
      <w:r>
        <w:rPr>
          <w:spacing w:val="-2"/>
        </w:rPr>
        <w:t>Supplier</w:t>
      </w:r>
      <w:r>
        <w:rPr>
          <w:spacing w:val="4"/>
        </w:rPr>
        <w:t xml:space="preserve"> </w:t>
      </w:r>
      <w:r>
        <w:rPr>
          <w:spacing w:val="-2"/>
        </w:rPr>
        <w:t>Equipment</w:t>
      </w:r>
      <w:r>
        <w:rPr>
          <w:spacing w:val="5"/>
        </w:rPr>
        <w:t xml:space="preserve"> </w:t>
      </w:r>
      <w:r>
        <w:rPr>
          <w:spacing w:val="-2"/>
        </w:rPr>
        <w:t>which</w:t>
      </w:r>
      <w:r>
        <w:rPr>
          <w:spacing w:val="3"/>
        </w:rPr>
        <w:t xml:space="preserve"> </w:t>
      </w:r>
      <w:r>
        <w:rPr>
          <w:spacing w:val="-1"/>
        </w:rPr>
        <w:t>in</w:t>
      </w:r>
      <w:r>
        <w:rPr>
          <w:spacing w:val="3"/>
        </w:rPr>
        <w:t xml:space="preserve"> </w:t>
      </w:r>
      <w:r>
        <w:t>the</w:t>
      </w:r>
      <w:r>
        <w:rPr>
          <w:spacing w:val="3"/>
        </w:rPr>
        <w:t xml:space="preserve"> </w:t>
      </w:r>
      <w:r>
        <w:rPr>
          <w:spacing w:val="-1"/>
        </w:rPr>
        <w:t>reasonable</w:t>
      </w:r>
      <w:r>
        <w:rPr>
          <w:spacing w:val="3"/>
        </w:rPr>
        <w:t xml:space="preserve"> </w:t>
      </w:r>
      <w:r>
        <w:rPr>
          <w:spacing w:val="-2"/>
        </w:rPr>
        <w:t>opinion</w:t>
      </w:r>
      <w:r>
        <w:rPr>
          <w:spacing w:val="56"/>
        </w:rPr>
        <w:t xml:space="preserve"> </w:t>
      </w:r>
      <w:r>
        <w:rPr>
          <w:spacing w:val="-2"/>
        </w:rPr>
        <w:t>of</w:t>
      </w:r>
      <w:r>
        <w:rPr>
          <w:spacing w:val="6"/>
        </w:rPr>
        <w:t xml:space="preserve"> </w:t>
      </w:r>
      <w:r>
        <w:t>the</w:t>
      </w:r>
      <w:r>
        <w:rPr>
          <w:spacing w:val="3"/>
        </w:rPr>
        <w:t xml:space="preserve"> </w:t>
      </w:r>
      <w:r>
        <w:rPr>
          <w:spacing w:val="-1"/>
        </w:rPr>
        <w:t>Customer</w:t>
      </w:r>
      <w:r>
        <w:rPr>
          <w:spacing w:val="4"/>
        </w:rPr>
        <w:t xml:space="preserve"> </w:t>
      </w:r>
      <w:r>
        <w:rPr>
          <w:spacing w:val="-1"/>
        </w:rPr>
        <w:t>is</w:t>
      </w:r>
      <w:r>
        <w:rPr>
          <w:spacing w:val="3"/>
        </w:rPr>
        <w:t xml:space="preserve"> </w:t>
      </w:r>
      <w:r>
        <w:rPr>
          <w:spacing w:val="-1"/>
        </w:rPr>
        <w:t>either</w:t>
      </w:r>
      <w:r>
        <w:rPr>
          <w:spacing w:val="2"/>
        </w:rPr>
        <w:t xml:space="preserve"> </w:t>
      </w:r>
      <w:r>
        <w:rPr>
          <w:spacing w:val="-1"/>
        </w:rPr>
        <w:t>hazardous,</w:t>
      </w:r>
      <w:r>
        <w:rPr>
          <w:spacing w:val="5"/>
        </w:rPr>
        <w:t xml:space="preserve"> </w:t>
      </w:r>
      <w:r>
        <w:rPr>
          <w:spacing w:val="-1"/>
        </w:rPr>
        <w:t>noxious</w:t>
      </w:r>
      <w:r>
        <w:rPr>
          <w:spacing w:val="3"/>
        </w:rPr>
        <w:t xml:space="preserve"> </w:t>
      </w:r>
      <w:r>
        <w:rPr>
          <w:spacing w:val="-1"/>
        </w:rPr>
        <w:t>or</w:t>
      </w:r>
      <w:r>
        <w:rPr>
          <w:spacing w:val="4"/>
        </w:rPr>
        <w:t xml:space="preserve"> </w:t>
      </w:r>
      <w:r>
        <w:t>not</w:t>
      </w:r>
      <w:r>
        <w:rPr>
          <w:spacing w:val="4"/>
        </w:rPr>
        <w:t xml:space="preserve"> </w:t>
      </w:r>
      <w:r>
        <w:rPr>
          <w:spacing w:val="-1"/>
        </w:rPr>
        <w:t>in</w:t>
      </w:r>
      <w:r>
        <w:rPr>
          <w:spacing w:val="3"/>
        </w:rPr>
        <w:t xml:space="preserve"> </w:t>
      </w:r>
      <w:r>
        <w:rPr>
          <w:spacing w:val="-1"/>
        </w:rPr>
        <w:t>accordance</w:t>
      </w:r>
      <w:r>
        <w:rPr>
          <w:spacing w:val="3"/>
        </w:rPr>
        <w:t xml:space="preserve"> </w:t>
      </w:r>
      <w:r>
        <w:rPr>
          <w:spacing w:val="-2"/>
        </w:rPr>
        <w:t>with</w:t>
      </w:r>
      <w:r>
        <w:rPr>
          <w:spacing w:val="27"/>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2"/>
        </w:rPr>
        <w:t>and</w:t>
      </w:r>
    </w:p>
    <w:p w:rsidR="008918FA" w:rsidRDefault="008918FA" w:rsidP="008918FA">
      <w:pPr>
        <w:pStyle w:val="BodyText"/>
        <w:numPr>
          <w:ilvl w:val="2"/>
          <w:numId w:val="66"/>
        </w:numPr>
        <w:tabs>
          <w:tab w:val="left" w:pos="2247"/>
        </w:tabs>
        <w:ind w:left="2246" w:right="116"/>
        <w:jc w:val="both"/>
      </w:pPr>
      <w:r>
        <w:rPr>
          <w:spacing w:val="-1"/>
        </w:rPr>
        <w:t>replace</w:t>
      </w:r>
      <w:r>
        <w:rPr>
          <w:spacing w:val="31"/>
        </w:rPr>
        <w:t xml:space="preserve"> </w:t>
      </w:r>
      <w:r>
        <w:rPr>
          <w:spacing w:val="-1"/>
        </w:rPr>
        <w:t>such</w:t>
      </w:r>
      <w:r>
        <w:rPr>
          <w:spacing w:val="31"/>
        </w:rPr>
        <w:t xml:space="preserve"> </w:t>
      </w:r>
      <w:r>
        <w:rPr>
          <w:spacing w:val="-2"/>
        </w:rPr>
        <w:t>Supplier</w:t>
      </w:r>
      <w:r>
        <w:rPr>
          <w:spacing w:val="29"/>
        </w:rPr>
        <w:t xml:space="preserve"> </w:t>
      </w:r>
      <w:r>
        <w:rPr>
          <w:spacing w:val="-1"/>
        </w:rPr>
        <w:t>Equipment</w:t>
      </w:r>
      <w:r>
        <w:rPr>
          <w:spacing w:val="33"/>
        </w:rPr>
        <w:t xml:space="preserve"> </w:t>
      </w:r>
      <w:r>
        <w:rPr>
          <w:spacing w:val="-1"/>
        </w:rPr>
        <w:t>or</w:t>
      </w:r>
      <w:r>
        <w:rPr>
          <w:spacing w:val="29"/>
        </w:rPr>
        <w:t xml:space="preserve"> </w:t>
      </w:r>
      <w:r>
        <w:rPr>
          <w:spacing w:val="-2"/>
        </w:rPr>
        <w:t>component</w:t>
      </w:r>
      <w:r>
        <w:rPr>
          <w:spacing w:val="32"/>
        </w:rPr>
        <w:t xml:space="preserve"> </w:t>
      </w:r>
      <w:r>
        <w:rPr>
          <w:spacing w:val="-1"/>
        </w:rPr>
        <w:t>part</w:t>
      </w:r>
      <w:r>
        <w:rPr>
          <w:spacing w:val="32"/>
        </w:rPr>
        <w:t xml:space="preserve"> </w:t>
      </w:r>
      <w:r>
        <w:rPr>
          <w:spacing w:val="-2"/>
        </w:rPr>
        <w:t>of</w:t>
      </w:r>
      <w:r>
        <w:rPr>
          <w:spacing w:val="32"/>
        </w:rPr>
        <w:t xml:space="preserve"> </w:t>
      </w:r>
      <w:r>
        <w:rPr>
          <w:spacing w:val="-2"/>
        </w:rPr>
        <w:t>Supplier</w:t>
      </w:r>
      <w:r>
        <w:rPr>
          <w:spacing w:val="54"/>
        </w:rPr>
        <w:t xml:space="preserve"> </w:t>
      </w:r>
      <w:r>
        <w:rPr>
          <w:spacing w:val="-1"/>
        </w:rPr>
        <w:t>Equipment</w:t>
      </w:r>
      <w:r>
        <w:rPr>
          <w:spacing w:val="2"/>
        </w:rPr>
        <w:t xml:space="preserve"> </w:t>
      </w:r>
      <w:r>
        <w:rPr>
          <w:spacing w:val="-2"/>
        </w:rPr>
        <w:t>with</w:t>
      </w:r>
      <w:r>
        <w:t xml:space="preserve"> a </w:t>
      </w:r>
      <w:r>
        <w:rPr>
          <w:spacing w:val="-1"/>
        </w:rPr>
        <w:t>suitable</w:t>
      </w:r>
      <w:r>
        <w:t xml:space="preserve"> </w:t>
      </w:r>
      <w:r>
        <w:rPr>
          <w:spacing w:val="-1"/>
        </w:rPr>
        <w:t>substitute</w:t>
      </w:r>
      <w:r>
        <w:rPr>
          <w:spacing w:val="-2"/>
        </w:rPr>
        <w:t xml:space="preserve"> </w:t>
      </w:r>
      <w:r>
        <w:rPr>
          <w:spacing w:val="-1"/>
        </w:rPr>
        <w:t xml:space="preserve">item </w:t>
      </w:r>
      <w:r>
        <w:rPr>
          <w:spacing w:val="-2"/>
        </w:rPr>
        <w:t>of</w:t>
      </w:r>
      <w:r>
        <w:rPr>
          <w:spacing w:val="2"/>
        </w:rPr>
        <w:t xml:space="preserve"> </w:t>
      </w:r>
      <w:r>
        <w:rPr>
          <w:spacing w:val="-2"/>
        </w:rPr>
        <w:t>Supplier</w:t>
      </w:r>
      <w:r>
        <w:rPr>
          <w:spacing w:val="2"/>
        </w:rPr>
        <w:t xml:space="preserve"> </w:t>
      </w:r>
      <w:r>
        <w:rPr>
          <w:spacing w:val="-1"/>
        </w:rPr>
        <w:t>Equipment.</w:t>
      </w:r>
    </w:p>
    <w:p w:rsidR="008918FA" w:rsidRDefault="008918FA" w:rsidP="008918FA">
      <w:pPr>
        <w:pStyle w:val="BodyText"/>
        <w:numPr>
          <w:ilvl w:val="1"/>
          <w:numId w:val="66"/>
        </w:numPr>
        <w:tabs>
          <w:tab w:val="left" w:pos="1254"/>
        </w:tabs>
        <w:spacing w:before="121"/>
        <w:ind w:left="1048" w:right="114" w:hanging="359"/>
        <w:jc w:val="both"/>
      </w:pPr>
      <w:bookmarkStart w:id="189" w:name="_bookmark158"/>
      <w:bookmarkEnd w:id="189"/>
      <w:r>
        <w:rPr>
          <w:spacing w:val="-1"/>
        </w:rPr>
        <w:t>For</w:t>
      </w:r>
      <w:r>
        <w:rPr>
          <w:spacing w:val="4"/>
        </w:rPr>
        <w:t xml:space="preserve"> </w:t>
      </w:r>
      <w:r>
        <w:t>the</w:t>
      </w:r>
      <w:r>
        <w:rPr>
          <w:spacing w:val="3"/>
        </w:rPr>
        <w:t xml:space="preserve"> </w:t>
      </w:r>
      <w:r>
        <w:rPr>
          <w:spacing w:val="-1"/>
        </w:rPr>
        <w:t>purposes</w:t>
      </w:r>
      <w:r>
        <w:rPr>
          <w:spacing w:val="3"/>
        </w:rPr>
        <w:t xml:space="preserve"> </w:t>
      </w:r>
      <w:r>
        <w:rPr>
          <w:spacing w:val="-2"/>
        </w:rPr>
        <w:t>of</w:t>
      </w:r>
      <w:r>
        <w:rPr>
          <w:spacing w:val="6"/>
        </w:rPr>
        <w:t xml:space="preserve"> </w:t>
      </w:r>
      <w:r>
        <w:rPr>
          <w:spacing w:val="-1"/>
        </w:rPr>
        <w:t>this</w:t>
      </w:r>
      <w:r>
        <w:rPr>
          <w:spacing w:val="1"/>
        </w:rPr>
        <w:t xml:space="preserve"> </w:t>
      </w:r>
      <w:r>
        <w:rPr>
          <w:spacing w:val="-2"/>
        </w:rPr>
        <w:t>Clause</w:t>
      </w:r>
      <w:r>
        <w:rPr>
          <w:spacing w:val="5"/>
        </w:rPr>
        <w:t xml:space="preserve"> </w:t>
      </w:r>
      <w:hyperlink w:anchor="_bookmark158" w:history="1">
        <w:r>
          <w:rPr>
            <w:spacing w:val="-1"/>
          </w:rPr>
          <w:t>32.8,</w:t>
        </w:r>
      </w:hyperlink>
      <w:r>
        <w:rPr>
          <w:spacing w:val="4"/>
        </w:rPr>
        <w:t xml:space="preserve"> </w:t>
      </w:r>
      <w:r>
        <w:rPr>
          <w:spacing w:val="-1"/>
        </w:rPr>
        <w:t>‘X’</w:t>
      </w:r>
      <w:r>
        <w:rPr>
          <w:spacing w:val="2"/>
        </w:rPr>
        <w:t xml:space="preserve"> </w:t>
      </w:r>
      <w:r>
        <w:rPr>
          <w:spacing w:val="-1"/>
        </w:rPr>
        <w:t>shall</w:t>
      </w:r>
      <w:r>
        <w:rPr>
          <w:spacing w:val="2"/>
        </w:rPr>
        <w:t xml:space="preserve"> </w:t>
      </w:r>
      <w:r>
        <w:rPr>
          <w:spacing w:val="-1"/>
        </w:rPr>
        <w:t>be</w:t>
      </w:r>
      <w:r>
        <w:rPr>
          <w:spacing w:val="7"/>
        </w:rPr>
        <w:t xml:space="preserve"> </w:t>
      </w:r>
      <w:r>
        <w:t>the</w:t>
      </w:r>
      <w:r>
        <w:rPr>
          <w:spacing w:val="3"/>
        </w:rPr>
        <w:t xml:space="preserve"> </w:t>
      </w:r>
      <w:r>
        <w:rPr>
          <w:spacing w:val="-1"/>
        </w:rPr>
        <w:t>number</w:t>
      </w:r>
      <w:r>
        <w:rPr>
          <w:spacing w:val="5"/>
        </w:rPr>
        <w:t xml:space="preserve"> </w:t>
      </w:r>
      <w:r>
        <w:rPr>
          <w:spacing w:val="-2"/>
        </w:rPr>
        <w:t>of</w:t>
      </w:r>
      <w:r>
        <w:rPr>
          <w:spacing w:val="6"/>
        </w:rPr>
        <w:t xml:space="preserve"> </w:t>
      </w:r>
      <w:r>
        <w:rPr>
          <w:spacing w:val="-2"/>
        </w:rPr>
        <w:t>Service</w:t>
      </w:r>
      <w:r>
        <w:rPr>
          <w:spacing w:val="4"/>
        </w:rPr>
        <w:t xml:space="preserve"> </w:t>
      </w:r>
      <w:r>
        <w:rPr>
          <w:spacing w:val="-2"/>
        </w:rPr>
        <w:t>Failures,</w:t>
      </w:r>
      <w:r>
        <w:rPr>
          <w:spacing w:val="72"/>
        </w:rPr>
        <w:t xml:space="preserve"> </w:t>
      </w:r>
      <w:r>
        <w:rPr>
          <w:spacing w:val="-1"/>
        </w:rPr>
        <w:t>and</w:t>
      </w:r>
      <w:r>
        <w:rPr>
          <w:spacing w:val="5"/>
        </w:rPr>
        <w:t xml:space="preserve"> </w:t>
      </w:r>
      <w:r>
        <w:rPr>
          <w:spacing w:val="-1"/>
        </w:rPr>
        <w:t>‘Y’</w:t>
      </w:r>
      <w:r>
        <w:rPr>
          <w:spacing w:val="7"/>
        </w:rPr>
        <w:t xml:space="preserve"> </w:t>
      </w:r>
      <w:r>
        <w:rPr>
          <w:spacing w:val="-1"/>
        </w:rPr>
        <w:t>shall</w:t>
      </w:r>
      <w:r>
        <w:rPr>
          <w:spacing w:val="7"/>
        </w:rPr>
        <w:t xml:space="preserve"> </w:t>
      </w:r>
      <w:r>
        <w:rPr>
          <w:spacing w:val="-1"/>
        </w:rPr>
        <w:t>be</w:t>
      </w:r>
      <w:r>
        <w:rPr>
          <w:spacing w:val="5"/>
        </w:rPr>
        <w:t xml:space="preserve"> </w:t>
      </w:r>
      <w:r>
        <w:t>the</w:t>
      </w:r>
      <w:r>
        <w:rPr>
          <w:spacing w:val="5"/>
        </w:rPr>
        <w:t xml:space="preserve"> </w:t>
      </w:r>
      <w:r>
        <w:rPr>
          <w:spacing w:val="-1"/>
        </w:rPr>
        <w:t>period</w:t>
      </w:r>
      <w:r>
        <w:rPr>
          <w:spacing w:val="5"/>
        </w:rPr>
        <w:t xml:space="preserve"> </w:t>
      </w:r>
      <w:r>
        <w:rPr>
          <w:spacing w:val="-1"/>
        </w:rPr>
        <w:t>in</w:t>
      </w:r>
      <w:r>
        <w:rPr>
          <w:spacing w:val="5"/>
        </w:rPr>
        <w:t xml:space="preserve"> </w:t>
      </w:r>
      <w:r>
        <w:rPr>
          <w:spacing w:val="-1"/>
        </w:rPr>
        <w:t>months,</w:t>
      </w:r>
      <w:r>
        <w:rPr>
          <w:spacing w:val="7"/>
        </w:rPr>
        <w:t xml:space="preserve"> </w:t>
      </w:r>
      <w:r>
        <w:rPr>
          <w:spacing w:val="-1"/>
        </w:rPr>
        <w:t>as</w:t>
      </w:r>
      <w:r>
        <w:rPr>
          <w:spacing w:val="5"/>
        </w:rPr>
        <w:t xml:space="preserve"> </w:t>
      </w:r>
      <w:r>
        <w:rPr>
          <w:spacing w:val="-1"/>
        </w:rPr>
        <w:t>respectively</w:t>
      </w:r>
      <w:r>
        <w:rPr>
          <w:spacing w:val="3"/>
        </w:rPr>
        <w:t xml:space="preserve"> </w:t>
      </w:r>
      <w:r>
        <w:rPr>
          <w:spacing w:val="-1"/>
        </w:rPr>
        <w:t>specified</w:t>
      </w:r>
      <w:r>
        <w:rPr>
          <w:spacing w:val="5"/>
        </w:rPr>
        <w:t xml:space="preserve"> </w:t>
      </w:r>
      <w:r>
        <w:t>for</w:t>
      </w:r>
      <w:r>
        <w:rPr>
          <w:spacing w:val="6"/>
        </w:rPr>
        <w:t xml:space="preserve"> </w:t>
      </w:r>
      <w:r>
        <w:rPr>
          <w:spacing w:val="-1"/>
        </w:rPr>
        <w:t>‘X’</w:t>
      </w:r>
      <w:r>
        <w:rPr>
          <w:spacing w:val="4"/>
        </w:rPr>
        <w:t xml:space="preserve"> </w:t>
      </w:r>
      <w:r>
        <w:rPr>
          <w:spacing w:val="-1"/>
        </w:rPr>
        <w:t>and</w:t>
      </w:r>
      <w:r>
        <w:rPr>
          <w:spacing w:val="3"/>
        </w:rPr>
        <w:t xml:space="preserve"> </w:t>
      </w:r>
      <w:r>
        <w:rPr>
          <w:spacing w:val="-1"/>
        </w:rPr>
        <w:t>‘Y’</w:t>
      </w:r>
      <w:r>
        <w:rPr>
          <w:spacing w:val="7"/>
        </w:rPr>
        <w:t xml:space="preserve"> </w:t>
      </w:r>
      <w:r>
        <w:rPr>
          <w:spacing w:val="-1"/>
        </w:rPr>
        <w:t>in</w:t>
      </w:r>
      <w:r>
        <w:rPr>
          <w:spacing w:val="5"/>
        </w:rPr>
        <w:t xml:space="preserve"> </w:t>
      </w:r>
      <w:r>
        <w:rPr>
          <w:spacing w:val="-1"/>
        </w:rPr>
        <w:t>the</w:t>
      </w:r>
      <w:r>
        <w:rPr>
          <w:spacing w:val="52"/>
        </w:rPr>
        <w:t xml:space="preserve"> </w:t>
      </w:r>
      <w:r>
        <w:rPr>
          <w:spacing w:val="-1"/>
        </w:rPr>
        <w:t>Order</w:t>
      </w:r>
      <w:r>
        <w:rPr>
          <w:spacing w:val="40"/>
        </w:rPr>
        <w:t xml:space="preserve"> </w:t>
      </w:r>
      <w:r>
        <w:rPr>
          <w:spacing w:val="-1"/>
        </w:rPr>
        <w:t>Form</w:t>
      </w:r>
      <w:r>
        <w:rPr>
          <w:spacing w:val="40"/>
        </w:rPr>
        <w:t xml:space="preserve"> </w:t>
      </w:r>
      <w:r>
        <w:rPr>
          <w:spacing w:val="-1"/>
        </w:rPr>
        <w:t>or</w:t>
      </w:r>
      <w:r>
        <w:rPr>
          <w:spacing w:val="40"/>
        </w:rPr>
        <w:t xml:space="preserve"> </w:t>
      </w:r>
      <w:r>
        <w:rPr>
          <w:spacing w:val="-2"/>
        </w:rPr>
        <w:t>elsewhere</w:t>
      </w:r>
      <w:r>
        <w:rPr>
          <w:spacing w:val="38"/>
        </w:rPr>
        <w:t xml:space="preserve"> </w:t>
      </w:r>
      <w:r>
        <w:rPr>
          <w:spacing w:val="-1"/>
        </w:rPr>
        <w:t>in</w:t>
      </w:r>
      <w:r>
        <w:rPr>
          <w:spacing w:val="38"/>
        </w:rPr>
        <w:t xml:space="preserve"> </w:t>
      </w:r>
      <w:r>
        <w:rPr>
          <w:spacing w:val="-1"/>
        </w:rPr>
        <w:t>this</w:t>
      </w:r>
      <w:r>
        <w:rPr>
          <w:spacing w:val="39"/>
        </w:rPr>
        <w:t xml:space="preserve"> </w:t>
      </w:r>
      <w:r>
        <w:rPr>
          <w:spacing w:val="-2"/>
        </w:rPr>
        <w:t>Call</w:t>
      </w:r>
      <w:r>
        <w:rPr>
          <w:spacing w:val="39"/>
        </w:rPr>
        <w:t xml:space="preserve"> </w:t>
      </w:r>
      <w:r>
        <w:rPr>
          <w:spacing w:val="-1"/>
        </w:rPr>
        <w:t>Off</w:t>
      </w:r>
      <w:r>
        <w:rPr>
          <w:spacing w:val="42"/>
        </w:rPr>
        <w:t xml:space="preserve"> </w:t>
      </w:r>
      <w:r>
        <w:rPr>
          <w:spacing w:val="-1"/>
        </w:rPr>
        <w:t>Contract.</w:t>
      </w:r>
      <w:r>
        <w:rPr>
          <w:spacing w:val="40"/>
        </w:rPr>
        <w:t xml:space="preserve"> </w:t>
      </w:r>
      <w:r>
        <w:rPr>
          <w:spacing w:val="-1"/>
        </w:rPr>
        <w:t>If</w:t>
      </w:r>
      <w:r>
        <w:rPr>
          <w:spacing w:val="40"/>
        </w:rPr>
        <w:t xml:space="preserve"> </w:t>
      </w:r>
      <w:r>
        <w:rPr>
          <w:spacing w:val="-1"/>
        </w:rPr>
        <w:t>this</w:t>
      </w:r>
      <w:r>
        <w:rPr>
          <w:spacing w:val="39"/>
        </w:rPr>
        <w:t xml:space="preserve"> </w:t>
      </w:r>
      <w:r>
        <w:rPr>
          <w:spacing w:val="-2"/>
        </w:rPr>
        <w:t>Clause</w:t>
      </w:r>
      <w:r>
        <w:rPr>
          <w:spacing w:val="39"/>
        </w:rPr>
        <w:t xml:space="preserve"> </w:t>
      </w:r>
      <w:r>
        <w:rPr>
          <w:spacing w:val="-1"/>
        </w:rPr>
        <w:t>is</w:t>
      </w:r>
      <w:r>
        <w:rPr>
          <w:spacing w:val="40"/>
        </w:rPr>
        <w:t xml:space="preserve"> </w:t>
      </w:r>
      <w:r>
        <w:rPr>
          <w:spacing w:val="-1"/>
        </w:rPr>
        <w:t>specified</w:t>
      </w:r>
      <w:r>
        <w:rPr>
          <w:spacing w:val="36"/>
        </w:rPr>
        <w:t xml:space="preserve"> </w:t>
      </w:r>
      <w:r>
        <w:t>to</w:t>
      </w:r>
      <w:r>
        <w:rPr>
          <w:spacing w:val="53"/>
        </w:rPr>
        <w:t xml:space="preserve"> </w:t>
      </w:r>
      <w:r>
        <w:rPr>
          <w:spacing w:val="-2"/>
        </w:rPr>
        <w:t>apply,</w:t>
      </w:r>
      <w:r>
        <w:rPr>
          <w:spacing w:val="2"/>
        </w:rPr>
        <w:t xml:space="preserve"> </w:t>
      </w:r>
      <w:r>
        <w:rPr>
          <w:spacing w:val="-1"/>
        </w:rPr>
        <w:t>and</w:t>
      </w:r>
      <w:r>
        <w:t xml:space="preserve"> </w:t>
      </w:r>
      <w:r>
        <w:rPr>
          <w:spacing w:val="-1"/>
        </w:rPr>
        <w:t>there</w:t>
      </w:r>
      <w:r>
        <w:t xml:space="preserve"> </w:t>
      </w:r>
      <w:r>
        <w:rPr>
          <w:spacing w:val="-1"/>
        </w:rPr>
        <w:t>are</w:t>
      </w:r>
      <w:r>
        <w:rPr>
          <w:spacing w:val="-2"/>
        </w:rPr>
        <w:t xml:space="preserve"> </w:t>
      </w:r>
      <w:r>
        <w:rPr>
          <w:spacing w:val="-1"/>
        </w:rPr>
        <w:t>no</w:t>
      </w:r>
      <w:r>
        <w:t xml:space="preserve"> </w:t>
      </w:r>
      <w:r>
        <w:rPr>
          <w:spacing w:val="-2"/>
        </w:rPr>
        <w:t>values</w:t>
      </w:r>
      <w:r>
        <w:rPr>
          <w:spacing w:val="1"/>
        </w:rPr>
        <w:t xml:space="preserve"> </w:t>
      </w:r>
      <w:r>
        <w:rPr>
          <w:spacing w:val="-1"/>
        </w:rPr>
        <w:t>specified</w:t>
      </w:r>
      <w:r>
        <w:rPr>
          <w:spacing w:val="-2"/>
        </w:rPr>
        <w:t xml:space="preserve"> </w:t>
      </w:r>
      <w:r>
        <w:t>for</w:t>
      </w:r>
      <w:r>
        <w:rPr>
          <w:spacing w:val="-1"/>
        </w:rPr>
        <w:t xml:space="preserve"> ‘X’</w:t>
      </w:r>
      <w:r>
        <w:t xml:space="preserve"> </w:t>
      </w:r>
      <w:r>
        <w:rPr>
          <w:spacing w:val="-1"/>
        </w:rPr>
        <w:t>and/or</w:t>
      </w:r>
      <w:r>
        <w:rPr>
          <w:spacing w:val="2"/>
        </w:rPr>
        <w:t xml:space="preserve"> </w:t>
      </w:r>
      <w:r>
        <w:rPr>
          <w:spacing w:val="-2"/>
        </w:rPr>
        <w:t>‘Y’,</w:t>
      </w:r>
      <w:r>
        <w:rPr>
          <w:spacing w:val="2"/>
        </w:rPr>
        <w:t xml:space="preserve"> </w:t>
      </w:r>
      <w:r>
        <w:rPr>
          <w:spacing w:val="-1"/>
        </w:rPr>
        <w:t>in</w:t>
      </w:r>
      <w:r>
        <w:t xml:space="preserve"> </w:t>
      </w:r>
      <w:r>
        <w:rPr>
          <w:spacing w:val="-1"/>
        </w:rPr>
        <w:t>default,</w:t>
      </w:r>
      <w:r>
        <w:rPr>
          <w:spacing w:val="2"/>
        </w:rPr>
        <w:t xml:space="preserve"> </w:t>
      </w:r>
      <w:r>
        <w:rPr>
          <w:spacing w:val="-1"/>
        </w:rPr>
        <w:t>‘X’</w:t>
      </w:r>
      <w:r>
        <w:t xml:space="preserve"> </w:t>
      </w:r>
      <w:r>
        <w:rPr>
          <w:spacing w:val="-2"/>
        </w:rPr>
        <w:t>shall</w:t>
      </w:r>
      <w:r>
        <w:t xml:space="preserve"> </w:t>
      </w:r>
      <w:r>
        <w:rPr>
          <w:spacing w:val="-1"/>
        </w:rPr>
        <w:t>be</w:t>
      </w:r>
      <w:r>
        <w:t xml:space="preserve"> </w:t>
      </w:r>
      <w:r>
        <w:rPr>
          <w:spacing w:val="-1"/>
        </w:rPr>
        <w:t>two</w:t>
      </w:r>
    </w:p>
    <w:p w:rsidR="008918FA" w:rsidRDefault="008918FA" w:rsidP="008918FA">
      <w:pPr>
        <w:pStyle w:val="BodyText"/>
        <w:spacing w:before="1"/>
        <w:ind w:left="1048" w:right="109" w:firstLine="0"/>
        <w:jc w:val="both"/>
      </w:pPr>
      <w:r>
        <w:rPr>
          <w:spacing w:val="-1"/>
        </w:rPr>
        <w:t>(2)</w:t>
      </w:r>
      <w:r>
        <w:rPr>
          <w:spacing w:val="47"/>
        </w:rPr>
        <w:t xml:space="preserve"> </w:t>
      </w:r>
      <w:r>
        <w:rPr>
          <w:spacing w:val="-1"/>
        </w:rPr>
        <w:t>and</w:t>
      </w:r>
      <w:r>
        <w:rPr>
          <w:spacing w:val="46"/>
        </w:rPr>
        <w:t xml:space="preserve"> </w:t>
      </w:r>
      <w:r>
        <w:rPr>
          <w:spacing w:val="-1"/>
        </w:rPr>
        <w:t>‘Y’</w:t>
      </w:r>
      <w:r>
        <w:rPr>
          <w:spacing w:val="45"/>
        </w:rPr>
        <w:t xml:space="preserve"> </w:t>
      </w:r>
      <w:r>
        <w:rPr>
          <w:spacing w:val="-1"/>
        </w:rPr>
        <w:t>shall</w:t>
      </w:r>
      <w:r>
        <w:rPr>
          <w:spacing w:val="45"/>
        </w:rPr>
        <w:t xml:space="preserve"> </w:t>
      </w:r>
      <w:r>
        <w:rPr>
          <w:spacing w:val="-1"/>
        </w:rPr>
        <w:t>be</w:t>
      </w:r>
      <w:r>
        <w:rPr>
          <w:spacing w:val="46"/>
        </w:rPr>
        <w:t xml:space="preserve"> </w:t>
      </w:r>
      <w:r>
        <w:rPr>
          <w:spacing w:val="-2"/>
        </w:rPr>
        <w:t>twelve</w:t>
      </w:r>
      <w:r>
        <w:rPr>
          <w:spacing w:val="46"/>
        </w:rPr>
        <w:t xml:space="preserve"> </w:t>
      </w:r>
      <w:r>
        <w:rPr>
          <w:spacing w:val="-1"/>
        </w:rPr>
        <w:t>(12).</w:t>
      </w:r>
      <w:r>
        <w:rPr>
          <w:spacing w:val="45"/>
        </w:rPr>
        <w:t xml:space="preserve"> </w:t>
      </w:r>
      <w:r>
        <w:t>Where</w:t>
      </w:r>
      <w:r>
        <w:rPr>
          <w:spacing w:val="46"/>
        </w:rPr>
        <w:t xml:space="preserve"> </w:t>
      </w:r>
      <w:r>
        <w:t>a</w:t>
      </w:r>
      <w:r>
        <w:rPr>
          <w:spacing w:val="43"/>
        </w:rPr>
        <w:t xml:space="preserve"> </w:t>
      </w:r>
      <w:r>
        <w:rPr>
          <w:spacing w:val="-1"/>
        </w:rPr>
        <w:t>failure</w:t>
      </w:r>
      <w:r>
        <w:rPr>
          <w:spacing w:val="46"/>
        </w:rPr>
        <w:t xml:space="preserve"> </w:t>
      </w:r>
      <w:r>
        <w:rPr>
          <w:spacing w:val="-2"/>
        </w:rPr>
        <w:t>of</w:t>
      </w:r>
      <w:r>
        <w:rPr>
          <w:spacing w:val="49"/>
        </w:rPr>
        <w:t xml:space="preserve"> </w:t>
      </w:r>
      <w:r>
        <w:rPr>
          <w:spacing w:val="-2"/>
        </w:rPr>
        <w:t>Supplier</w:t>
      </w:r>
      <w:r>
        <w:rPr>
          <w:spacing w:val="47"/>
        </w:rPr>
        <w:t xml:space="preserve"> </w:t>
      </w:r>
      <w:r>
        <w:rPr>
          <w:spacing w:val="-2"/>
        </w:rPr>
        <w:t>Equipment</w:t>
      </w:r>
      <w:r>
        <w:rPr>
          <w:spacing w:val="50"/>
        </w:rPr>
        <w:t xml:space="preserve"> </w:t>
      </w:r>
      <w:r>
        <w:rPr>
          <w:spacing w:val="-1"/>
        </w:rPr>
        <w:t>or</w:t>
      </w:r>
      <w:r>
        <w:rPr>
          <w:spacing w:val="47"/>
        </w:rPr>
        <w:t xml:space="preserve"> </w:t>
      </w:r>
      <w:r>
        <w:rPr>
          <w:spacing w:val="-1"/>
        </w:rPr>
        <w:t>any</w:t>
      </w:r>
      <w:r>
        <w:rPr>
          <w:spacing w:val="62"/>
        </w:rPr>
        <w:t xml:space="preserve"> </w:t>
      </w:r>
      <w:r>
        <w:rPr>
          <w:spacing w:val="-1"/>
        </w:rPr>
        <w:t>component</w:t>
      </w:r>
      <w:r>
        <w:rPr>
          <w:spacing w:val="7"/>
        </w:rPr>
        <w:t xml:space="preserve"> </w:t>
      </w:r>
      <w:r>
        <w:rPr>
          <w:spacing w:val="-1"/>
        </w:rPr>
        <w:t>part</w:t>
      </w:r>
      <w:r>
        <w:rPr>
          <w:spacing w:val="7"/>
        </w:rPr>
        <w:t xml:space="preserve"> </w:t>
      </w:r>
      <w:r>
        <w:rPr>
          <w:spacing w:val="-2"/>
        </w:rPr>
        <w:t>of</w:t>
      </w:r>
      <w:r>
        <w:rPr>
          <w:spacing w:val="10"/>
        </w:rPr>
        <w:t xml:space="preserve"> </w:t>
      </w:r>
      <w:r>
        <w:rPr>
          <w:spacing w:val="-2"/>
        </w:rPr>
        <w:t>Supplier</w:t>
      </w:r>
      <w:r>
        <w:rPr>
          <w:spacing w:val="6"/>
        </w:rPr>
        <w:t xml:space="preserve"> </w:t>
      </w:r>
      <w:r>
        <w:rPr>
          <w:spacing w:val="-1"/>
        </w:rPr>
        <w:t>Equipment</w:t>
      </w:r>
      <w:r>
        <w:rPr>
          <w:spacing w:val="7"/>
        </w:rPr>
        <w:t xml:space="preserve"> </w:t>
      </w:r>
      <w:r>
        <w:rPr>
          <w:spacing w:val="-1"/>
        </w:rPr>
        <w:t>causes</w:t>
      </w:r>
      <w:r>
        <w:rPr>
          <w:spacing w:val="6"/>
        </w:rPr>
        <w:t xml:space="preserve"> </w:t>
      </w:r>
      <w:r>
        <w:t>X</w:t>
      </w:r>
      <w:r>
        <w:rPr>
          <w:spacing w:val="5"/>
        </w:rPr>
        <w:t xml:space="preserve"> </w:t>
      </w:r>
      <w:r>
        <w:rPr>
          <w:spacing w:val="-1"/>
        </w:rPr>
        <w:t>or</w:t>
      </w:r>
      <w:r>
        <w:rPr>
          <w:spacing w:val="6"/>
        </w:rPr>
        <w:t xml:space="preserve"> </w:t>
      </w:r>
      <w:r>
        <w:rPr>
          <w:spacing w:val="-1"/>
        </w:rPr>
        <w:t>more</w:t>
      </w:r>
      <w:r>
        <w:rPr>
          <w:spacing w:val="5"/>
        </w:rPr>
        <w:t xml:space="preserve"> </w:t>
      </w:r>
      <w:r>
        <w:rPr>
          <w:spacing w:val="-2"/>
        </w:rPr>
        <w:t>Service</w:t>
      </w:r>
      <w:r>
        <w:rPr>
          <w:spacing w:val="5"/>
        </w:rPr>
        <w:t xml:space="preserve"> </w:t>
      </w:r>
      <w:r>
        <w:rPr>
          <w:spacing w:val="-1"/>
        </w:rPr>
        <w:t>Failures</w:t>
      </w:r>
      <w:r>
        <w:rPr>
          <w:spacing w:val="5"/>
        </w:rPr>
        <w:t xml:space="preserve"> </w:t>
      </w:r>
      <w:r>
        <w:rPr>
          <w:spacing w:val="-1"/>
        </w:rPr>
        <w:t>in</w:t>
      </w:r>
      <w:r>
        <w:rPr>
          <w:spacing w:val="5"/>
        </w:rPr>
        <w:t xml:space="preserve"> </w:t>
      </w:r>
      <w:r>
        <w:t>any</w:t>
      </w:r>
      <w:r>
        <w:rPr>
          <w:spacing w:val="5"/>
        </w:rPr>
        <w:t xml:space="preserve"> </w:t>
      </w:r>
      <w:r>
        <w:t>Y</w:t>
      </w:r>
      <w:r>
        <w:rPr>
          <w:spacing w:val="51"/>
        </w:rPr>
        <w:t xml:space="preserve"> </w:t>
      </w:r>
      <w:r>
        <w:rPr>
          <w:spacing w:val="-1"/>
        </w:rPr>
        <w:t>Month</w:t>
      </w:r>
      <w:r>
        <w:rPr>
          <w:spacing w:val="38"/>
        </w:rPr>
        <w:t xml:space="preserve"> </w:t>
      </w:r>
      <w:r>
        <w:rPr>
          <w:spacing w:val="-1"/>
        </w:rPr>
        <w:t>period,</w:t>
      </w:r>
      <w:r>
        <w:rPr>
          <w:spacing w:val="40"/>
        </w:rPr>
        <w:t xml:space="preserve"> </w:t>
      </w:r>
      <w:r>
        <w:t>the</w:t>
      </w:r>
      <w:r>
        <w:rPr>
          <w:spacing w:val="39"/>
        </w:rPr>
        <w:t xml:space="preserve"> </w:t>
      </w:r>
      <w:r>
        <w:rPr>
          <w:spacing w:val="-2"/>
        </w:rPr>
        <w:t>Supplier</w:t>
      </w:r>
      <w:r>
        <w:rPr>
          <w:spacing w:val="40"/>
        </w:rPr>
        <w:t xml:space="preserve"> </w:t>
      </w:r>
      <w:r>
        <w:rPr>
          <w:spacing w:val="-1"/>
        </w:rPr>
        <w:t>shall</w:t>
      </w:r>
      <w:r>
        <w:rPr>
          <w:spacing w:val="38"/>
        </w:rPr>
        <w:t xml:space="preserve"> </w:t>
      </w:r>
      <w:r>
        <w:t>notify</w:t>
      </w:r>
      <w:r>
        <w:rPr>
          <w:spacing w:val="36"/>
        </w:rPr>
        <w:t xml:space="preserve"> </w:t>
      </w:r>
      <w:r>
        <w:t>the</w:t>
      </w:r>
      <w:r>
        <w:rPr>
          <w:spacing w:val="39"/>
        </w:rPr>
        <w:t xml:space="preserve"> </w:t>
      </w:r>
      <w:r>
        <w:rPr>
          <w:spacing w:val="-2"/>
        </w:rPr>
        <w:t>Customer</w:t>
      </w:r>
      <w:r>
        <w:rPr>
          <w:spacing w:val="40"/>
        </w:rPr>
        <w:t xml:space="preserve"> </w:t>
      </w:r>
      <w:r>
        <w:rPr>
          <w:spacing w:val="-1"/>
        </w:rPr>
        <w:t>in</w:t>
      </w:r>
      <w:r>
        <w:rPr>
          <w:spacing w:val="38"/>
        </w:rPr>
        <w:t xml:space="preserve"> </w:t>
      </w:r>
      <w:r>
        <w:rPr>
          <w:spacing w:val="-2"/>
        </w:rPr>
        <w:t>writing</w:t>
      </w:r>
      <w:r>
        <w:rPr>
          <w:spacing w:val="41"/>
        </w:rPr>
        <w:t xml:space="preserve"> </w:t>
      </w:r>
      <w:r>
        <w:rPr>
          <w:spacing w:val="-1"/>
        </w:rPr>
        <w:t>and</w:t>
      </w:r>
      <w:r>
        <w:rPr>
          <w:spacing w:val="38"/>
        </w:rPr>
        <w:t xml:space="preserve"> </w:t>
      </w:r>
      <w:r>
        <w:rPr>
          <w:spacing w:val="-2"/>
        </w:rPr>
        <w:t>shall,</w:t>
      </w:r>
      <w:r>
        <w:rPr>
          <w:spacing w:val="40"/>
        </w:rPr>
        <w:t xml:space="preserve"> </w:t>
      </w:r>
      <w:r>
        <w:rPr>
          <w:spacing w:val="-1"/>
        </w:rPr>
        <w:t>at</w:t>
      </w:r>
      <w:r>
        <w:rPr>
          <w:spacing w:val="41"/>
        </w:rPr>
        <w:t xml:space="preserve"> </w:t>
      </w:r>
      <w:r>
        <w:rPr>
          <w:spacing w:val="-1"/>
        </w:rPr>
        <w:t>the</w:t>
      </w:r>
      <w:r>
        <w:rPr>
          <w:spacing w:val="58"/>
        </w:rPr>
        <w:t xml:space="preserve"> </w:t>
      </w:r>
      <w:r>
        <w:rPr>
          <w:spacing w:val="-1"/>
        </w:rPr>
        <w:t>Customer’s</w:t>
      </w:r>
      <w:r>
        <w:rPr>
          <w:spacing w:val="24"/>
        </w:rPr>
        <w:t xml:space="preserve"> </w:t>
      </w:r>
      <w:r>
        <w:rPr>
          <w:spacing w:val="-1"/>
        </w:rPr>
        <w:t>request</w:t>
      </w:r>
      <w:r>
        <w:rPr>
          <w:spacing w:val="23"/>
        </w:rPr>
        <w:t xml:space="preserve"> </w:t>
      </w:r>
      <w:r>
        <w:rPr>
          <w:spacing w:val="-1"/>
        </w:rPr>
        <w:t>(acting</w:t>
      </w:r>
      <w:r>
        <w:rPr>
          <w:spacing w:val="23"/>
        </w:rPr>
        <w:t xml:space="preserve"> </w:t>
      </w:r>
      <w:r>
        <w:rPr>
          <w:spacing w:val="-1"/>
        </w:rPr>
        <w:t>reasonably),</w:t>
      </w:r>
      <w:r>
        <w:rPr>
          <w:spacing w:val="22"/>
        </w:rPr>
        <w:t xml:space="preserve"> </w:t>
      </w:r>
      <w:r>
        <w:rPr>
          <w:spacing w:val="-2"/>
        </w:rPr>
        <w:t>replace</w:t>
      </w:r>
      <w:r>
        <w:rPr>
          <w:spacing w:val="23"/>
        </w:rPr>
        <w:t xml:space="preserve"> </w:t>
      </w:r>
      <w:r>
        <w:rPr>
          <w:spacing w:val="-1"/>
        </w:rPr>
        <w:t>such</w:t>
      </w:r>
      <w:r>
        <w:rPr>
          <w:spacing w:val="24"/>
        </w:rPr>
        <w:t xml:space="preserve"> </w:t>
      </w:r>
      <w:r>
        <w:rPr>
          <w:spacing w:val="-2"/>
        </w:rPr>
        <w:t>Supplier</w:t>
      </w:r>
      <w:r>
        <w:rPr>
          <w:spacing w:val="24"/>
        </w:rPr>
        <w:t xml:space="preserve"> </w:t>
      </w:r>
      <w:r>
        <w:rPr>
          <w:spacing w:val="-2"/>
        </w:rPr>
        <w:t>Equipment</w:t>
      </w:r>
      <w:r>
        <w:rPr>
          <w:spacing w:val="25"/>
        </w:rPr>
        <w:t xml:space="preserve"> </w:t>
      </w:r>
      <w:r>
        <w:rPr>
          <w:spacing w:val="-1"/>
        </w:rPr>
        <w:t>or</w:t>
      </w:r>
      <w:r>
        <w:rPr>
          <w:spacing w:val="59"/>
        </w:rPr>
        <w:t xml:space="preserve"> </w:t>
      </w:r>
      <w:r>
        <w:rPr>
          <w:spacing w:val="-1"/>
        </w:rPr>
        <w:t>component</w:t>
      </w:r>
      <w:r>
        <w:rPr>
          <w:spacing w:val="23"/>
        </w:rPr>
        <w:t xml:space="preserve"> </w:t>
      </w:r>
      <w:r>
        <w:rPr>
          <w:spacing w:val="-1"/>
        </w:rPr>
        <w:t>part</w:t>
      </w:r>
      <w:r>
        <w:rPr>
          <w:spacing w:val="23"/>
        </w:rPr>
        <w:t xml:space="preserve"> </w:t>
      </w:r>
      <w:r>
        <w:rPr>
          <w:spacing w:val="-1"/>
        </w:rPr>
        <w:t>thereof</w:t>
      </w:r>
      <w:r>
        <w:rPr>
          <w:spacing w:val="23"/>
        </w:rPr>
        <w:t xml:space="preserve"> </w:t>
      </w:r>
      <w:r>
        <w:rPr>
          <w:spacing w:val="-1"/>
        </w:rPr>
        <w:t>at</w:t>
      </w:r>
      <w:r>
        <w:rPr>
          <w:spacing w:val="23"/>
        </w:rPr>
        <w:t xml:space="preserve"> </w:t>
      </w:r>
      <w:r>
        <w:rPr>
          <w:spacing w:val="-1"/>
        </w:rPr>
        <w:t>its</w:t>
      </w:r>
      <w:r>
        <w:rPr>
          <w:spacing w:val="22"/>
        </w:rPr>
        <w:t xml:space="preserve"> </w:t>
      </w:r>
      <w:r>
        <w:rPr>
          <w:spacing w:val="-2"/>
        </w:rPr>
        <w:t>own</w:t>
      </w:r>
      <w:r>
        <w:rPr>
          <w:spacing w:val="22"/>
        </w:rPr>
        <w:t xml:space="preserve"> </w:t>
      </w:r>
      <w:r>
        <w:rPr>
          <w:spacing w:val="-1"/>
        </w:rPr>
        <w:t>cost</w:t>
      </w:r>
      <w:r>
        <w:rPr>
          <w:spacing w:val="26"/>
        </w:rPr>
        <w:t xml:space="preserve"> </w:t>
      </w:r>
      <w:r>
        <w:rPr>
          <w:spacing w:val="-2"/>
        </w:rPr>
        <w:t>with</w:t>
      </w:r>
      <w:r>
        <w:rPr>
          <w:spacing w:val="22"/>
        </w:rPr>
        <w:t xml:space="preserve"> </w:t>
      </w:r>
      <w:r>
        <w:t>a</w:t>
      </w:r>
      <w:r>
        <w:rPr>
          <w:spacing w:val="24"/>
        </w:rPr>
        <w:t xml:space="preserve"> </w:t>
      </w:r>
      <w:r>
        <w:t>new</w:t>
      </w:r>
      <w:r>
        <w:rPr>
          <w:spacing w:val="21"/>
        </w:rPr>
        <w:t xml:space="preserve"> </w:t>
      </w:r>
      <w:r>
        <w:rPr>
          <w:spacing w:val="-1"/>
        </w:rPr>
        <w:t>item</w:t>
      </w:r>
      <w:r>
        <w:rPr>
          <w:spacing w:val="23"/>
        </w:rPr>
        <w:t xml:space="preserve"> </w:t>
      </w:r>
      <w:r>
        <w:rPr>
          <w:spacing w:val="-1"/>
        </w:rPr>
        <w:t>of</w:t>
      </w:r>
      <w:r>
        <w:rPr>
          <w:spacing w:val="28"/>
        </w:rPr>
        <w:t xml:space="preserve"> </w:t>
      </w:r>
      <w:r>
        <w:rPr>
          <w:spacing w:val="-2"/>
        </w:rPr>
        <w:t>Supplier</w:t>
      </w:r>
      <w:r>
        <w:rPr>
          <w:spacing w:val="23"/>
        </w:rPr>
        <w:t xml:space="preserve"> </w:t>
      </w:r>
      <w:r>
        <w:rPr>
          <w:spacing w:val="-1"/>
        </w:rPr>
        <w:t>Equipment</w:t>
      </w:r>
      <w:r>
        <w:rPr>
          <w:spacing w:val="24"/>
        </w:rPr>
        <w:t xml:space="preserve"> </w:t>
      </w:r>
      <w:r>
        <w:rPr>
          <w:spacing w:val="-3"/>
        </w:rPr>
        <w:t>or</w:t>
      </w:r>
      <w:r>
        <w:rPr>
          <w:spacing w:val="48"/>
        </w:rPr>
        <w:t xml:space="preserve"> </w:t>
      </w:r>
      <w:r>
        <w:rPr>
          <w:spacing w:val="-1"/>
        </w:rPr>
        <w:t>component</w:t>
      </w:r>
      <w:r>
        <w:rPr>
          <w:spacing w:val="7"/>
        </w:rPr>
        <w:t xml:space="preserve"> </w:t>
      </w:r>
      <w:r>
        <w:rPr>
          <w:spacing w:val="-1"/>
        </w:rPr>
        <w:t>part</w:t>
      </w:r>
      <w:r>
        <w:rPr>
          <w:spacing w:val="7"/>
        </w:rPr>
        <w:t xml:space="preserve"> </w:t>
      </w:r>
      <w:r>
        <w:rPr>
          <w:spacing w:val="-1"/>
        </w:rPr>
        <w:t>thereof</w:t>
      </w:r>
      <w:r>
        <w:rPr>
          <w:spacing w:val="7"/>
        </w:rPr>
        <w:t xml:space="preserve"> </w:t>
      </w:r>
      <w:r>
        <w:rPr>
          <w:spacing w:val="-2"/>
        </w:rPr>
        <w:t>(of</w:t>
      </w:r>
      <w:r>
        <w:rPr>
          <w:spacing w:val="9"/>
        </w:rPr>
        <w:t xml:space="preserve"> </w:t>
      </w:r>
      <w:r>
        <w:t>the</w:t>
      </w:r>
      <w:r>
        <w:rPr>
          <w:spacing w:val="7"/>
        </w:rPr>
        <w:t xml:space="preserve"> </w:t>
      </w:r>
      <w:r>
        <w:rPr>
          <w:spacing w:val="-1"/>
        </w:rPr>
        <w:t>same</w:t>
      </w:r>
      <w:r>
        <w:rPr>
          <w:spacing w:val="5"/>
        </w:rPr>
        <w:t xml:space="preserve"> </w:t>
      </w:r>
      <w:r>
        <w:rPr>
          <w:spacing w:val="-1"/>
        </w:rPr>
        <w:t>specification</w:t>
      </w:r>
      <w:r>
        <w:rPr>
          <w:spacing w:val="5"/>
        </w:rPr>
        <w:t xml:space="preserve"> </w:t>
      </w:r>
      <w:r>
        <w:rPr>
          <w:spacing w:val="-1"/>
        </w:rPr>
        <w:t>or</w:t>
      </w:r>
      <w:r>
        <w:rPr>
          <w:spacing w:val="9"/>
        </w:rPr>
        <w:t xml:space="preserve"> </w:t>
      </w:r>
      <w:r>
        <w:rPr>
          <w:spacing w:val="-2"/>
        </w:rPr>
        <w:t>having</w:t>
      </w:r>
      <w:r>
        <w:rPr>
          <w:spacing w:val="7"/>
        </w:rPr>
        <w:t xml:space="preserve"> </w:t>
      </w:r>
      <w:r>
        <w:t>the</w:t>
      </w:r>
      <w:r>
        <w:rPr>
          <w:spacing w:val="5"/>
        </w:rPr>
        <w:t xml:space="preserve"> </w:t>
      </w:r>
      <w:r>
        <w:rPr>
          <w:spacing w:val="-1"/>
        </w:rPr>
        <w:t>same</w:t>
      </w:r>
      <w:r>
        <w:rPr>
          <w:spacing w:val="7"/>
        </w:rPr>
        <w:t xml:space="preserve"> </w:t>
      </w:r>
      <w:r>
        <w:rPr>
          <w:spacing w:val="-2"/>
        </w:rPr>
        <w:t>capability</w:t>
      </w:r>
      <w:r>
        <w:rPr>
          <w:spacing w:val="5"/>
        </w:rPr>
        <w:t xml:space="preserve"> </w:t>
      </w:r>
      <w:r>
        <w:rPr>
          <w:spacing w:val="-1"/>
        </w:rPr>
        <w:t>as</w:t>
      </w:r>
      <w:r>
        <w:rPr>
          <w:spacing w:val="48"/>
        </w:rPr>
        <w:t xml:space="preserve"> </w:t>
      </w:r>
      <w:r>
        <w:t xml:space="preserve">the </w:t>
      </w:r>
      <w:r>
        <w:rPr>
          <w:spacing w:val="-2"/>
        </w:rPr>
        <w:t>Supplier</w:t>
      </w:r>
      <w:r>
        <w:rPr>
          <w:spacing w:val="2"/>
        </w:rPr>
        <w:t xml:space="preserve"> </w:t>
      </w:r>
      <w:r>
        <w:rPr>
          <w:spacing w:val="-2"/>
        </w:rPr>
        <w:t xml:space="preserve">Equipment </w:t>
      </w:r>
      <w:r>
        <w:rPr>
          <w:spacing w:val="-1"/>
        </w:rPr>
        <w:t>being</w:t>
      </w:r>
      <w:r>
        <w:t xml:space="preserve"> </w:t>
      </w:r>
      <w:r>
        <w:rPr>
          <w:spacing w:val="-1"/>
        </w:rPr>
        <w:t>replaced).</w:t>
      </w:r>
    </w:p>
    <w:p w:rsidR="008918FA" w:rsidRDefault="008918FA" w:rsidP="008918FA">
      <w:pPr>
        <w:spacing w:before="3"/>
        <w:rPr>
          <w:rFonts w:ascii="Arial" w:eastAsia="Arial" w:hAnsi="Arial" w:cs="Arial"/>
          <w:sz w:val="14"/>
          <w:szCs w:val="14"/>
        </w:rPr>
      </w:pPr>
    </w:p>
    <w:p w:rsidR="008918FA" w:rsidRDefault="008918FA" w:rsidP="008918FA">
      <w:pPr>
        <w:pStyle w:val="Heading1"/>
        <w:tabs>
          <w:tab w:val="left" w:pos="686"/>
        </w:tabs>
        <w:spacing w:before="73"/>
        <w:ind w:left="119" w:firstLine="0"/>
        <w:rPr>
          <w:b w:val="0"/>
          <w:bCs w:val="0"/>
        </w:rPr>
      </w:pPr>
      <w:bookmarkStart w:id="190" w:name="_bookmark159"/>
      <w:bookmarkEnd w:id="190"/>
      <w:r>
        <w:rPr>
          <w:color w:val="C00000"/>
          <w:spacing w:val="-1"/>
        </w:rPr>
        <w:t>H.</w:t>
      </w:r>
      <w:r>
        <w:rPr>
          <w:color w:val="C00000"/>
          <w:spacing w:val="-1"/>
        </w:rPr>
        <w:tab/>
      </w:r>
      <w:r w:rsidRPr="001C1527">
        <w:rPr>
          <w:color w:val="C00000"/>
          <w:spacing w:val="-2"/>
          <w:u w:val="single"/>
        </w:rPr>
        <w:t>INTELLECTUAL</w:t>
      </w:r>
      <w:r w:rsidRPr="001C1527">
        <w:rPr>
          <w:color w:val="C00000"/>
          <w:u w:val="single"/>
        </w:rPr>
        <w:t xml:space="preserve"> </w:t>
      </w:r>
      <w:r w:rsidRPr="001C1527">
        <w:rPr>
          <w:color w:val="C00000"/>
          <w:spacing w:val="-1"/>
          <w:u w:val="single"/>
        </w:rPr>
        <w:t>PROPERTY</w:t>
      </w:r>
      <w:r w:rsidRPr="001C1527">
        <w:rPr>
          <w:color w:val="C00000"/>
          <w:spacing w:val="5"/>
          <w:u w:val="single"/>
        </w:rPr>
        <w:t xml:space="preserve"> </w:t>
      </w:r>
      <w:r w:rsidRPr="001C1527">
        <w:rPr>
          <w:color w:val="C00000"/>
          <w:spacing w:val="-2"/>
          <w:u w:val="single"/>
        </w:rPr>
        <w:t>AND</w:t>
      </w:r>
      <w:r w:rsidRPr="001C1527">
        <w:rPr>
          <w:color w:val="C00000"/>
          <w:u w:val="single"/>
        </w:rPr>
        <w:t xml:space="preserve"> </w:t>
      </w:r>
      <w:r w:rsidRPr="001C1527">
        <w:rPr>
          <w:color w:val="C00000"/>
          <w:spacing w:val="-1"/>
          <w:u w:val="single"/>
        </w:rPr>
        <w:t>INFORMATION</w:t>
      </w:r>
    </w:p>
    <w:p w:rsidR="008918FA" w:rsidRDefault="008918FA" w:rsidP="008918FA">
      <w:pPr>
        <w:spacing w:before="8"/>
        <w:rPr>
          <w:rFonts w:ascii="Arial" w:eastAsia="Arial" w:hAnsi="Arial" w:cs="Arial"/>
          <w:b/>
          <w:bCs/>
          <w:sz w:val="14"/>
          <w:szCs w:val="14"/>
        </w:rPr>
      </w:pPr>
    </w:p>
    <w:p w:rsidR="008918FA" w:rsidRDefault="008918FA" w:rsidP="008918FA">
      <w:pPr>
        <w:pStyle w:val="BodyText"/>
        <w:numPr>
          <w:ilvl w:val="0"/>
          <w:numId w:val="66"/>
        </w:numPr>
        <w:tabs>
          <w:tab w:val="left" w:pos="686"/>
        </w:tabs>
        <w:spacing w:before="72"/>
        <w:ind w:left="685" w:hanging="566"/>
        <w:rPr>
          <w:rFonts w:ascii="Times New Roman" w:eastAsia="Times New Roman" w:hAnsi="Times New Roman" w:cs="Times New Roman"/>
        </w:rPr>
      </w:pPr>
      <w:bookmarkStart w:id="191" w:name="_bookmark160"/>
      <w:bookmarkEnd w:id="191"/>
      <w:r>
        <w:rPr>
          <w:rFonts w:ascii="Times New Roman"/>
        </w:rPr>
        <w:t>INTELLECTUAL</w:t>
      </w:r>
      <w:r>
        <w:rPr>
          <w:rFonts w:ascii="Times New Roman"/>
          <w:spacing w:val="7"/>
        </w:rPr>
        <w:t xml:space="preserve"> </w:t>
      </w:r>
      <w:r>
        <w:rPr>
          <w:rFonts w:ascii="Times New Roman"/>
          <w:spacing w:val="11"/>
        </w:rPr>
        <w:t>PROPERTY</w:t>
      </w:r>
      <w:r>
        <w:rPr>
          <w:rFonts w:ascii="Times New Roman"/>
          <w:spacing w:val="-6"/>
        </w:rPr>
        <w:t xml:space="preserve"> </w:t>
      </w:r>
      <w:r>
        <w:rPr>
          <w:rFonts w:ascii="Times New Roman"/>
          <w:spacing w:val="1"/>
        </w:rPr>
        <w:t>RIGHTS</w:t>
      </w:r>
    </w:p>
    <w:p w:rsidR="008918FA" w:rsidRDefault="008918FA" w:rsidP="008918FA">
      <w:pPr>
        <w:spacing w:before="5"/>
        <w:rPr>
          <w:rFonts w:ascii="Times New Roman" w:eastAsia="Times New Roman" w:hAnsi="Times New Roman" w:cs="Times New Roman"/>
          <w:sz w:val="14"/>
          <w:szCs w:val="14"/>
        </w:rPr>
      </w:pPr>
    </w:p>
    <w:p w:rsidR="008918FA" w:rsidRDefault="008918FA" w:rsidP="008918FA">
      <w:pPr>
        <w:pStyle w:val="Heading1"/>
        <w:numPr>
          <w:ilvl w:val="1"/>
          <w:numId w:val="66"/>
        </w:numPr>
        <w:tabs>
          <w:tab w:val="left" w:pos="1253"/>
        </w:tabs>
        <w:spacing w:before="72"/>
        <w:ind w:left="1252" w:hanging="564"/>
        <w:rPr>
          <w:b w:val="0"/>
          <w:bCs w:val="0"/>
        </w:rPr>
      </w:pPr>
      <w:bookmarkStart w:id="192" w:name="_bookmark161"/>
      <w:bookmarkEnd w:id="192"/>
      <w:r>
        <w:rPr>
          <w:spacing w:val="-1"/>
        </w:rPr>
        <w:t>Allocation</w:t>
      </w:r>
      <w:r>
        <w:t xml:space="preserve"> </w:t>
      </w:r>
      <w:r>
        <w:rPr>
          <w:spacing w:val="-1"/>
        </w:rPr>
        <w:t>of title</w:t>
      </w:r>
      <w:r>
        <w:rPr>
          <w:spacing w:val="-2"/>
        </w:rPr>
        <w:t xml:space="preserve"> </w:t>
      </w:r>
      <w:r>
        <w:t>to</w:t>
      </w:r>
      <w:r>
        <w:rPr>
          <w:spacing w:val="-4"/>
        </w:rPr>
        <w:t xml:space="preserve"> </w:t>
      </w:r>
      <w:r>
        <w:t>IPR</w:t>
      </w:r>
    </w:p>
    <w:p w:rsidR="008918FA" w:rsidRDefault="008918FA" w:rsidP="008918FA">
      <w:pPr>
        <w:pStyle w:val="BodyText"/>
        <w:numPr>
          <w:ilvl w:val="2"/>
          <w:numId w:val="66"/>
        </w:numPr>
        <w:tabs>
          <w:tab w:val="left" w:pos="2247"/>
        </w:tabs>
        <w:spacing w:before="124"/>
        <w:ind w:left="2246"/>
      </w:pPr>
      <w:r>
        <w:rPr>
          <w:spacing w:val="-2"/>
        </w:rPr>
        <w:t>Save</w:t>
      </w:r>
      <w:r>
        <w:t xml:space="preserve"> </w:t>
      </w:r>
      <w:r>
        <w:rPr>
          <w:spacing w:val="-1"/>
        </w:rPr>
        <w:t>as</w:t>
      </w:r>
      <w:r>
        <w:rPr>
          <w:spacing w:val="1"/>
        </w:rPr>
        <w:t xml:space="preserve"> </w:t>
      </w:r>
      <w:r>
        <w:rPr>
          <w:spacing w:val="-1"/>
        </w:rPr>
        <w:t>expressly</w:t>
      </w:r>
      <w:r>
        <w:rPr>
          <w:spacing w:val="-2"/>
        </w:rPr>
        <w:t xml:space="preserve"> </w:t>
      </w:r>
      <w:r>
        <w:rPr>
          <w:spacing w:val="-1"/>
        </w:rPr>
        <w:t>granted</w:t>
      </w:r>
      <w:r>
        <w:t xml:space="preserve"> </w:t>
      </w:r>
      <w:r>
        <w:rPr>
          <w:spacing w:val="-2"/>
        </w:rPr>
        <w:t>elsewhere</w:t>
      </w:r>
      <w:r>
        <w:t xml:space="preserve"> </w:t>
      </w:r>
      <w:r>
        <w:rPr>
          <w:spacing w:val="-1"/>
        </w:rPr>
        <w:t>under t</w:t>
      </w:r>
      <w:bookmarkStart w:id="193" w:name="H._UINTELLECTUAL_PROPERTY_AND_INFORMATIO"/>
      <w:bookmarkEnd w:id="193"/>
      <w:r>
        <w:rPr>
          <w:spacing w:val="-1"/>
        </w:rPr>
        <w:t>his</w:t>
      </w:r>
      <w:r>
        <w:rPr>
          <w:spacing w:val="-2"/>
        </w:rPr>
        <w:t xml:space="preserve"> Call</w:t>
      </w:r>
      <w:r>
        <w:t xml:space="preserve"> </w:t>
      </w:r>
      <w:bookmarkStart w:id="194" w:name="33._INTELLECTUAL_PROPERTY_RIGHTS"/>
      <w:bookmarkEnd w:id="194"/>
      <w:r>
        <w:rPr>
          <w:spacing w:val="-1"/>
        </w:rPr>
        <w:t>Off</w:t>
      </w:r>
      <w:r>
        <w:rPr>
          <w:spacing w:val="2"/>
        </w:rPr>
        <w:t xml:space="preserve"> </w:t>
      </w:r>
      <w:r>
        <w:rPr>
          <w:spacing w:val="-1"/>
        </w:rPr>
        <w:t>Contract:</w:t>
      </w:r>
    </w:p>
    <w:p w:rsidR="008918FA" w:rsidRDefault="008918FA" w:rsidP="008918FA">
      <w:pPr>
        <w:pStyle w:val="BodyText"/>
        <w:numPr>
          <w:ilvl w:val="3"/>
          <w:numId w:val="66"/>
        </w:numPr>
        <w:tabs>
          <w:tab w:val="left" w:pos="2955"/>
        </w:tabs>
        <w:ind w:left="2954" w:right="113"/>
        <w:jc w:val="both"/>
      </w:pPr>
      <w:r>
        <w:t>the</w:t>
      </w:r>
      <w:r>
        <w:rPr>
          <w:spacing w:val="7"/>
        </w:rPr>
        <w:t xml:space="preserve"> </w:t>
      </w:r>
      <w:r>
        <w:rPr>
          <w:spacing w:val="-2"/>
        </w:rPr>
        <w:t>Customer</w:t>
      </w:r>
      <w:r>
        <w:rPr>
          <w:spacing w:val="9"/>
        </w:rPr>
        <w:t xml:space="preserve"> </w:t>
      </w:r>
      <w:r>
        <w:rPr>
          <w:spacing w:val="-1"/>
        </w:rPr>
        <w:t>shall</w:t>
      </w:r>
      <w:r>
        <w:rPr>
          <w:spacing w:val="7"/>
        </w:rPr>
        <w:t xml:space="preserve"> </w:t>
      </w:r>
      <w:r>
        <w:rPr>
          <w:spacing w:val="-2"/>
        </w:rPr>
        <w:t>not</w:t>
      </w:r>
      <w:r>
        <w:rPr>
          <w:spacing w:val="9"/>
        </w:rPr>
        <w:t xml:space="preserve"> </w:t>
      </w:r>
      <w:r>
        <w:rPr>
          <w:spacing w:val="-1"/>
        </w:rPr>
        <w:t>acquire</w:t>
      </w:r>
      <w:r>
        <w:rPr>
          <w:spacing w:val="5"/>
        </w:rPr>
        <w:t xml:space="preserve"> </w:t>
      </w:r>
      <w:r>
        <w:rPr>
          <w:spacing w:val="-1"/>
        </w:rPr>
        <w:t>any</w:t>
      </w:r>
      <w:r>
        <w:rPr>
          <w:spacing w:val="5"/>
        </w:rPr>
        <w:t xml:space="preserve"> </w:t>
      </w:r>
      <w:r>
        <w:rPr>
          <w:spacing w:val="-1"/>
        </w:rPr>
        <w:t>right,</w:t>
      </w:r>
      <w:r>
        <w:rPr>
          <w:spacing w:val="7"/>
        </w:rPr>
        <w:t xml:space="preserve"> </w:t>
      </w:r>
      <w:r>
        <w:rPr>
          <w:spacing w:val="-1"/>
        </w:rPr>
        <w:t>title</w:t>
      </w:r>
      <w:r>
        <w:rPr>
          <w:spacing w:val="7"/>
        </w:rPr>
        <w:t xml:space="preserve"> </w:t>
      </w:r>
      <w:r>
        <w:rPr>
          <w:spacing w:val="-1"/>
        </w:rPr>
        <w:t>or</w:t>
      </w:r>
      <w:r>
        <w:rPr>
          <w:spacing w:val="6"/>
        </w:rPr>
        <w:t xml:space="preserve"> </w:t>
      </w:r>
      <w:r>
        <w:rPr>
          <w:spacing w:val="-1"/>
        </w:rPr>
        <w:t>interest</w:t>
      </w:r>
      <w:r>
        <w:rPr>
          <w:spacing w:val="9"/>
        </w:rPr>
        <w:t xml:space="preserve"> </w:t>
      </w:r>
      <w:r>
        <w:rPr>
          <w:spacing w:val="-1"/>
        </w:rPr>
        <w:t>in</w:t>
      </w:r>
      <w:r>
        <w:rPr>
          <w:spacing w:val="7"/>
        </w:rPr>
        <w:t xml:space="preserve"> </w:t>
      </w:r>
      <w:r>
        <w:rPr>
          <w:spacing w:val="-2"/>
        </w:rPr>
        <w:t>or</w:t>
      </w:r>
      <w:r>
        <w:rPr>
          <w:spacing w:val="6"/>
        </w:rPr>
        <w:t xml:space="preserve"> </w:t>
      </w:r>
      <w:r>
        <w:t>to</w:t>
      </w:r>
      <w:r>
        <w:rPr>
          <w:spacing w:val="43"/>
        </w:rPr>
        <w:t xml:space="preserve"> </w:t>
      </w:r>
      <w:r>
        <w:t>the</w:t>
      </w:r>
      <w:r>
        <w:rPr>
          <w:spacing w:val="22"/>
        </w:rPr>
        <w:t xml:space="preserve"> </w:t>
      </w:r>
      <w:r>
        <w:rPr>
          <w:spacing w:val="-1"/>
        </w:rPr>
        <w:t>Intellectual</w:t>
      </w:r>
      <w:r>
        <w:rPr>
          <w:spacing w:val="21"/>
        </w:rPr>
        <w:t xml:space="preserve"> </w:t>
      </w:r>
      <w:r>
        <w:rPr>
          <w:spacing w:val="-1"/>
        </w:rPr>
        <w:t>Property</w:t>
      </w:r>
      <w:r>
        <w:rPr>
          <w:spacing w:val="20"/>
        </w:rPr>
        <w:t xml:space="preserve"> </w:t>
      </w:r>
      <w:r>
        <w:rPr>
          <w:spacing w:val="-1"/>
        </w:rPr>
        <w:t>Rights</w:t>
      </w:r>
      <w:r>
        <w:rPr>
          <w:spacing w:val="22"/>
        </w:rPr>
        <w:t xml:space="preserve"> </w:t>
      </w:r>
      <w:r>
        <w:rPr>
          <w:spacing w:val="-2"/>
        </w:rPr>
        <w:t>of</w:t>
      </w:r>
      <w:r>
        <w:rPr>
          <w:spacing w:val="23"/>
        </w:rPr>
        <w:t xml:space="preserve"> </w:t>
      </w:r>
      <w:r>
        <w:t>the</w:t>
      </w:r>
      <w:r>
        <w:rPr>
          <w:spacing w:val="22"/>
        </w:rPr>
        <w:t xml:space="preserve"> </w:t>
      </w:r>
      <w:r>
        <w:rPr>
          <w:spacing w:val="-2"/>
        </w:rPr>
        <w:t>Supplier</w:t>
      </w:r>
      <w:r>
        <w:rPr>
          <w:spacing w:val="23"/>
        </w:rPr>
        <w:t xml:space="preserve"> </w:t>
      </w:r>
      <w:r>
        <w:rPr>
          <w:spacing w:val="-1"/>
        </w:rPr>
        <w:t>or</w:t>
      </w:r>
      <w:r>
        <w:rPr>
          <w:spacing w:val="23"/>
        </w:rPr>
        <w:t xml:space="preserve"> </w:t>
      </w:r>
      <w:r>
        <w:rPr>
          <w:spacing w:val="-1"/>
        </w:rPr>
        <w:t>its</w:t>
      </w:r>
      <w:r>
        <w:rPr>
          <w:spacing w:val="22"/>
        </w:rPr>
        <w:t xml:space="preserve"> </w:t>
      </w:r>
      <w:r>
        <w:rPr>
          <w:spacing w:val="-1"/>
        </w:rPr>
        <w:t>licensors,</w:t>
      </w:r>
      <w:r>
        <w:rPr>
          <w:spacing w:val="48"/>
        </w:rPr>
        <w:t xml:space="preserve"> </w:t>
      </w:r>
      <w:r>
        <w:rPr>
          <w:spacing w:val="-1"/>
        </w:rPr>
        <w:t>including:</w:t>
      </w:r>
    </w:p>
    <w:p w:rsidR="008918FA" w:rsidRDefault="008918FA" w:rsidP="008918FA">
      <w:pPr>
        <w:pStyle w:val="BodyText"/>
        <w:numPr>
          <w:ilvl w:val="4"/>
          <w:numId w:val="66"/>
        </w:numPr>
        <w:tabs>
          <w:tab w:val="left" w:pos="3524"/>
        </w:tabs>
        <w:ind w:left="3523"/>
      </w:pPr>
      <w:r>
        <w:t xml:space="preserve">the </w:t>
      </w:r>
      <w:r>
        <w:rPr>
          <w:spacing w:val="-2"/>
        </w:rPr>
        <w:t>Supplier</w:t>
      </w:r>
      <w:r>
        <w:rPr>
          <w:spacing w:val="2"/>
        </w:rPr>
        <w:t xml:space="preserve"> </w:t>
      </w:r>
      <w:r>
        <w:rPr>
          <w:spacing w:val="-1"/>
        </w:rPr>
        <w:t>Background</w:t>
      </w:r>
      <w:r>
        <w:rPr>
          <w:spacing w:val="-2"/>
        </w:rPr>
        <w:t xml:space="preserve"> </w:t>
      </w:r>
      <w:r>
        <w:rPr>
          <w:spacing w:val="-1"/>
        </w:rPr>
        <w:t>IPR;</w:t>
      </w:r>
    </w:p>
    <w:p w:rsidR="008918FA" w:rsidRDefault="008918FA" w:rsidP="008918FA">
      <w:pPr>
        <w:pStyle w:val="BodyText"/>
        <w:numPr>
          <w:ilvl w:val="4"/>
          <w:numId w:val="66"/>
        </w:numPr>
        <w:tabs>
          <w:tab w:val="left" w:pos="3523"/>
        </w:tabs>
        <w:spacing w:before="121"/>
        <w:ind w:left="3523"/>
      </w:pPr>
      <w:r>
        <w:t>the</w:t>
      </w:r>
      <w:r>
        <w:rPr>
          <w:spacing w:val="-2"/>
        </w:rPr>
        <w:t xml:space="preserve"> </w:t>
      </w:r>
      <w:r>
        <w:rPr>
          <w:spacing w:val="-1"/>
        </w:rPr>
        <w:t>Third</w:t>
      </w:r>
      <w:r>
        <w:rPr>
          <w:spacing w:val="-2"/>
        </w:rPr>
        <w:t xml:space="preserve"> </w:t>
      </w:r>
      <w:r>
        <w:rPr>
          <w:spacing w:val="-1"/>
        </w:rPr>
        <w:t>Party</w:t>
      </w:r>
      <w:r>
        <w:rPr>
          <w:spacing w:val="-2"/>
        </w:rPr>
        <w:t xml:space="preserve"> </w:t>
      </w:r>
      <w:r>
        <w:rPr>
          <w:spacing w:val="-1"/>
        </w:rPr>
        <w:t>IPR;</w:t>
      </w:r>
    </w:p>
    <w:p w:rsidR="008918FA" w:rsidRDefault="008918FA" w:rsidP="008918FA">
      <w:pPr>
        <w:pStyle w:val="BodyText"/>
        <w:numPr>
          <w:ilvl w:val="4"/>
          <w:numId w:val="66"/>
        </w:numPr>
        <w:tabs>
          <w:tab w:val="left" w:pos="3523"/>
        </w:tabs>
        <w:ind w:left="3523"/>
      </w:pPr>
      <w:r>
        <w:t xml:space="preserve">the </w:t>
      </w:r>
      <w:r>
        <w:rPr>
          <w:spacing w:val="-1"/>
        </w:rPr>
        <w:t>Project</w:t>
      </w:r>
      <w:r>
        <w:rPr>
          <w:spacing w:val="2"/>
        </w:rPr>
        <w:t xml:space="preserve"> </w:t>
      </w:r>
      <w:r>
        <w:rPr>
          <w:spacing w:val="-1"/>
        </w:rPr>
        <w:t>Specific</w:t>
      </w:r>
      <w:r>
        <w:rPr>
          <w:spacing w:val="-2"/>
        </w:rPr>
        <w:t xml:space="preserve"> </w:t>
      </w:r>
      <w:r>
        <w:rPr>
          <w:spacing w:val="-1"/>
        </w:rPr>
        <w:t>IPR.</w:t>
      </w:r>
    </w:p>
    <w:p w:rsidR="008918FA" w:rsidRDefault="008918FA" w:rsidP="008918FA">
      <w:pPr>
        <w:pStyle w:val="BodyText"/>
        <w:numPr>
          <w:ilvl w:val="3"/>
          <w:numId w:val="66"/>
        </w:numPr>
        <w:tabs>
          <w:tab w:val="left" w:pos="2954"/>
        </w:tabs>
        <w:ind w:left="2954" w:right="115"/>
        <w:jc w:val="both"/>
      </w:pPr>
      <w:r>
        <w:t>the</w:t>
      </w:r>
      <w:r>
        <w:rPr>
          <w:spacing w:val="20"/>
        </w:rPr>
        <w:t xml:space="preserve"> </w:t>
      </w:r>
      <w:r>
        <w:rPr>
          <w:spacing w:val="-2"/>
        </w:rPr>
        <w:t>Supplier</w:t>
      </w:r>
      <w:r>
        <w:rPr>
          <w:spacing w:val="21"/>
        </w:rPr>
        <w:t xml:space="preserve"> </w:t>
      </w:r>
      <w:r>
        <w:rPr>
          <w:spacing w:val="-1"/>
        </w:rPr>
        <w:t>shall</w:t>
      </w:r>
      <w:r>
        <w:rPr>
          <w:spacing w:val="19"/>
        </w:rPr>
        <w:t xml:space="preserve"> </w:t>
      </w:r>
      <w:r>
        <w:rPr>
          <w:spacing w:val="-1"/>
        </w:rPr>
        <w:t>not</w:t>
      </w:r>
      <w:r>
        <w:rPr>
          <w:spacing w:val="19"/>
        </w:rPr>
        <w:t xml:space="preserve"> </w:t>
      </w:r>
      <w:r>
        <w:rPr>
          <w:spacing w:val="-1"/>
        </w:rPr>
        <w:t>acquire</w:t>
      </w:r>
      <w:r>
        <w:rPr>
          <w:spacing w:val="17"/>
        </w:rPr>
        <w:t xml:space="preserve"> </w:t>
      </w:r>
      <w:r>
        <w:rPr>
          <w:spacing w:val="-1"/>
        </w:rPr>
        <w:t>any</w:t>
      </w:r>
      <w:r>
        <w:rPr>
          <w:spacing w:val="18"/>
        </w:rPr>
        <w:t xml:space="preserve"> </w:t>
      </w:r>
      <w:r>
        <w:rPr>
          <w:spacing w:val="-1"/>
        </w:rPr>
        <w:t>right,</w:t>
      </w:r>
      <w:r>
        <w:rPr>
          <w:spacing w:val="19"/>
        </w:rPr>
        <w:t xml:space="preserve"> </w:t>
      </w:r>
      <w:r>
        <w:rPr>
          <w:spacing w:val="-1"/>
        </w:rPr>
        <w:t>title</w:t>
      </w:r>
      <w:r>
        <w:rPr>
          <w:spacing w:val="19"/>
        </w:rPr>
        <w:t xml:space="preserve"> </w:t>
      </w:r>
      <w:r>
        <w:rPr>
          <w:spacing w:val="-2"/>
        </w:rPr>
        <w:t>or</w:t>
      </w:r>
      <w:r>
        <w:rPr>
          <w:spacing w:val="21"/>
        </w:rPr>
        <w:t xml:space="preserve"> </w:t>
      </w:r>
      <w:r>
        <w:rPr>
          <w:spacing w:val="-2"/>
        </w:rPr>
        <w:t>interest</w:t>
      </w:r>
      <w:r>
        <w:rPr>
          <w:spacing w:val="21"/>
        </w:rPr>
        <w:t xml:space="preserve"> </w:t>
      </w:r>
      <w:r>
        <w:rPr>
          <w:spacing w:val="-1"/>
        </w:rPr>
        <w:t>in</w:t>
      </w:r>
      <w:r>
        <w:rPr>
          <w:spacing w:val="20"/>
        </w:rPr>
        <w:t xml:space="preserve"> </w:t>
      </w:r>
      <w:r>
        <w:rPr>
          <w:spacing w:val="-2"/>
        </w:rPr>
        <w:t>or</w:t>
      </w:r>
      <w:r>
        <w:rPr>
          <w:spacing w:val="21"/>
        </w:rPr>
        <w:t xml:space="preserve"> </w:t>
      </w:r>
      <w:r>
        <w:rPr>
          <w:spacing w:val="-1"/>
        </w:rPr>
        <w:t>to</w:t>
      </w:r>
      <w:r>
        <w:rPr>
          <w:spacing w:val="57"/>
        </w:rPr>
        <w:t xml:space="preserve"> </w:t>
      </w:r>
      <w:r>
        <w:t>the</w:t>
      </w:r>
      <w:r>
        <w:rPr>
          <w:spacing w:val="5"/>
        </w:rPr>
        <w:t xml:space="preserve"> </w:t>
      </w:r>
      <w:r>
        <w:rPr>
          <w:spacing w:val="-1"/>
        </w:rPr>
        <w:t>Intellectual</w:t>
      </w:r>
      <w:r>
        <w:rPr>
          <w:spacing w:val="4"/>
        </w:rPr>
        <w:t xml:space="preserve"> </w:t>
      </w:r>
      <w:r>
        <w:rPr>
          <w:spacing w:val="-1"/>
        </w:rPr>
        <w:t>Property</w:t>
      </w:r>
      <w:r>
        <w:rPr>
          <w:spacing w:val="5"/>
        </w:rPr>
        <w:t xml:space="preserve"> </w:t>
      </w:r>
      <w:r>
        <w:rPr>
          <w:spacing w:val="-1"/>
        </w:rPr>
        <w:t>Rights</w:t>
      </w:r>
      <w:r>
        <w:rPr>
          <w:spacing w:val="5"/>
        </w:rPr>
        <w:t xml:space="preserve"> </w:t>
      </w:r>
      <w:r>
        <w:rPr>
          <w:spacing w:val="-2"/>
        </w:rPr>
        <w:t>of</w:t>
      </w:r>
      <w:r>
        <w:rPr>
          <w:spacing w:val="9"/>
        </w:rPr>
        <w:t xml:space="preserve"> </w:t>
      </w:r>
      <w:r>
        <w:t>the</w:t>
      </w:r>
      <w:r>
        <w:rPr>
          <w:spacing w:val="5"/>
        </w:rPr>
        <w:t xml:space="preserve"> </w:t>
      </w:r>
      <w:r>
        <w:rPr>
          <w:spacing w:val="-2"/>
        </w:rPr>
        <w:t>Customer</w:t>
      </w:r>
      <w:r>
        <w:rPr>
          <w:spacing w:val="6"/>
        </w:rPr>
        <w:t xml:space="preserve"> </w:t>
      </w:r>
      <w:r>
        <w:rPr>
          <w:spacing w:val="-1"/>
        </w:rPr>
        <w:t>or</w:t>
      </w:r>
      <w:r>
        <w:rPr>
          <w:spacing w:val="6"/>
        </w:rPr>
        <w:t xml:space="preserve"> </w:t>
      </w:r>
      <w:r>
        <w:rPr>
          <w:spacing w:val="-1"/>
        </w:rPr>
        <w:t>its</w:t>
      </w:r>
      <w:r>
        <w:rPr>
          <w:spacing w:val="5"/>
        </w:rPr>
        <w:t xml:space="preserve"> </w:t>
      </w:r>
      <w:r>
        <w:rPr>
          <w:spacing w:val="-1"/>
        </w:rPr>
        <w:t>licensors,</w:t>
      </w:r>
      <w:r>
        <w:rPr>
          <w:spacing w:val="50"/>
        </w:rPr>
        <w:t xml:space="preserve"> </w:t>
      </w:r>
      <w:r>
        <w:rPr>
          <w:spacing w:val="-2"/>
        </w:rPr>
        <w:t>including</w:t>
      </w:r>
      <w:r>
        <w:rPr>
          <w:spacing w:val="3"/>
        </w:rPr>
        <w:t xml:space="preserve"> </w:t>
      </w:r>
      <w:r>
        <w:rPr>
          <w:spacing w:val="-1"/>
        </w:rPr>
        <w:t>the:</w:t>
      </w:r>
    </w:p>
    <w:p w:rsidR="008918FA" w:rsidRDefault="008918FA" w:rsidP="008918FA">
      <w:pPr>
        <w:pStyle w:val="BodyText"/>
        <w:numPr>
          <w:ilvl w:val="4"/>
          <w:numId w:val="66"/>
        </w:numPr>
        <w:tabs>
          <w:tab w:val="left" w:pos="3523"/>
        </w:tabs>
        <w:spacing w:before="121"/>
        <w:ind w:left="3522" w:hanging="568"/>
      </w:pPr>
      <w:r>
        <w:rPr>
          <w:spacing w:val="-1"/>
        </w:rPr>
        <w:t>Customer</w:t>
      </w:r>
      <w:r>
        <w:rPr>
          <w:spacing w:val="2"/>
        </w:rPr>
        <w:t xml:space="preserve"> </w:t>
      </w:r>
      <w:r>
        <w:rPr>
          <w:spacing w:val="-1"/>
        </w:rPr>
        <w:t>Background</w:t>
      </w:r>
      <w:r>
        <w:rPr>
          <w:spacing w:val="-2"/>
        </w:rPr>
        <w:t xml:space="preserve"> IPR;</w:t>
      </w:r>
      <w:r>
        <w:rPr>
          <w:spacing w:val="2"/>
        </w:rPr>
        <w:t xml:space="preserve"> </w:t>
      </w:r>
      <w:r>
        <w:rPr>
          <w:spacing w:val="-1"/>
        </w:rPr>
        <w:t>and</w:t>
      </w:r>
    </w:p>
    <w:p w:rsidR="008918FA" w:rsidRDefault="008918FA" w:rsidP="008918FA">
      <w:pPr>
        <w:pStyle w:val="BodyText"/>
        <w:numPr>
          <w:ilvl w:val="4"/>
          <w:numId w:val="66"/>
        </w:numPr>
        <w:tabs>
          <w:tab w:val="left" w:pos="3523"/>
        </w:tabs>
        <w:ind w:left="3522" w:hanging="568"/>
      </w:pPr>
      <w:r>
        <w:rPr>
          <w:spacing w:val="-1"/>
        </w:rPr>
        <w:t>Customer</w:t>
      </w:r>
      <w:r>
        <w:rPr>
          <w:spacing w:val="2"/>
        </w:rPr>
        <w:t xml:space="preserve"> </w:t>
      </w:r>
      <w:r>
        <w:rPr>
          <w:spacing w:val="-1"/>
        </w:rPr>
        <w:t>Data.</w:t>
      </w:r>
    </w:p>
    <w:p w:rsidR="008918FA" w:rsidRDefault="008918FA" w:rsidP="008918FA">
      <w:pPr>
        <w:pStyle w:val="BodyText"/>
        <w:numPr>
          <w:ilvl w:val="2"/>
          <w:numId w:val="66"/>
        </w:numPr>
        <w:tabs>
          <w:tab w:val="left" w:pos="2247"/>
        </w:tabs>
        <w:spacing w:before="121"/>
        <w:ind w:left="2246" w:right="113"/>
        <w:jc w:val="both"/>
      </w:pPr>
      <w:r>
        <w:rPr>
          <w:spacing w:val="-1"/>
        </w:rPr>
        <w:t>Where</w:t>
      </w:r>
      <w:r>
        <w:rPr>
          <w:spacing w:val="31"/>
        </w:rPr>
        <w:t xml:space="preserve"> </w:t>
      </w:r>
      <w:r>
        <w:rPr>
          <w:spacing w:val="-1"/>
        </w:rPr>
        <w:t>either</w:t>
      </w:r>
      <w:r>
        <w:rPr>
          <w:spacing w:val="33"/>
        </w:rPr>
        <w:t xml:space="preserve"> </w:t>
      </w:r>
      <w:r>
        <w:rPr>
          <w:spacing w:val="-1"/>
        </w:rPr>
        <w:t>Party</w:t>
      </w:r>
      <w:r>
        <w:rPr>
          <w:spacing w:val="30"/>
        </w:rPr>
        <w:t xml:space="preserve"> </w:t>
      </w:r>
      <w:r>
        <w:rPr>
          <w:spacing w:val="-1"/>
        </w:rPr>
        <w:t>acquires,</w:t>
      </w:r>
      <w:r>
        <w:rPr>
          <w:spacing w:val="33"/>
        </w:rPr>
        <w:t xml:space="preserve"> </w:t>
      </w:r>
      <w:r>
        <w:rPr>
          <w:spacing w:val="-1"/>
        </w:rPr>
        <w:t>by</w:t>
      </w:r>
      <w:r>
        <w:rPr>
          <w:spacing w:val="30"/>
        </w:rPr>
        <w:t xml:space="preserve"> </w:t>
      </w:r>
      <w:r>
        <w:rPr>
          <w:spacing w:val="-1"/>
        </w:rPr>
        <w:t>operation</w:t>
      </w:r>
      <w:r>
        <w:rPr>
          <w:spacing w:val="31"/>
        </w:rPr>
        <w:t xml:space="preserve"> </w:t>
      </w:r>
      <w:r>
        <w:rPr>
          <w:spacing w:val="-1"/>
        </w:rPr>
        <w:t>of</w:t>
      </w:r>
      <w:r>
        <w:rPr>
          <w:spacing w:val="35"/>
        </w:rPr>
        <w:t xml:space="preserve"> </w:t>
      </w:r>
      <w:r>
        <w:rPr>
          <w:spacing w:val="-2"/>
        </w:rPr>
        <w:t>Law,</w:t>
      </w:r>
      <w:r>
        <w:rPr>
          <w:spacing w:val="33"/>
        </w:rPr>
        <w:t xml:space="preserve"> </w:t>
      </w:r>
      <w:r>
        <w:rPr>
          <w:spacing w:val="-1"/>
        </w:rPr>
        <w:t>title</w:t>
      </w:r>
      <w:r>
        <w:rPr>
          <w:spacing w:val="32"/>
        </w:rPr>
        <w:t xml:space="preserve"> </w:t>
      </w:r>
      <w:r>
        <w:t>to</w:t>
      </w:r>
      <w:r>
        <w:rPr>
          <w:spacing w:val="31"/>
        </w:rPr>
        <w:t xml:space="preserve"> </w:t>
      </w:r>
      <w:r>
        <w:rPr>
          <w:spacing w:val="-1"/>
        </w:rPr>
        <w:t>Intellectual</w:t>
      </w:r>
      <w:r>
        <w:rPr>
          <w:spacing w:val="46"/>
        </w:rPr>
        <w:t xml:space="preserve"> </w:t>
      </w:r>
      <w:r>
        <w:rPr>
          <w:spacing w:val="-1"/>
        </w:rPr>
        <w:t>Property</w:t>
      </w:r>
      <w:r>
        <w:rPr>
          <w:spacing w:val="8"/>
        </w:rPr>
        <w:t xml:space="preserve"> </w:t>
      </w:r>
      <w:r>
        <w:rPr>
          <w:spacing w:val="-1"/>
        </w:rPr>
        <w:t>Rights</w:t>
      </w:r>
      <w:r>
        <w:rPr>
          <w:spacing w:val="8"/>
        </w:rPr>
        <w:t xml:space="preserve"> </w:t>
      </w:r>
      <w:r>
        <w:rPr>
          <w:spacing w:val="-1"/>
        </w:rPr>
        <w:t>that</w:t>
      </w:r>
      <w:r>
        <w:rPr>
          <w:spacing w:val="11"/>
        </w:rPr>
        <w:t xml:space="preserve"> </w:t>
      </w:r>
      <w:r>
        <w:rPr>
          <w:spacing w:val="-1"/>
        </w:rPr>
        <w:t>is</w:t>
      </w:r>
      <w:r>
        <w:rPr>
          <w:spacing w:val="10"/>
        </w:rPr>
        <w:t xml:space="preserve"> </w:t>
      </w:r>
      <w:r>
        <w:rPr>
          <w:spacing w:val="-1"/>
        </w:rPr>
        <w:t>inconsistent</w:t>
      </w:r>
      <w:r>
        <w:rPr>
          <w:spacing w:val="11"/>
        </w:rPr>
        <w:t xml:space="preserve"> </w:t>
      </w:r>
      <w:r>
        <w:rPr>
          <w:spacing w:val="-2"/>
        </w:rPr>
        <w:t>with</w:t>
      </w:r>
      <w:r>
        <w:rPr>
          <w:spacing w:val="10"/>
        </w:rPr>
        <w:t xml:space="preserve"> </w:t>
      </w:r>
      <w:r>
        <w:t>the</w:t>
      </w:r>
      <w:r>
        <w:rPr>
          <w:spacing w:val="10"/>
        </w:rPr>
        <w:t xml:space="preserve"> </w:t>
      </w:r>
      <w:r>
        <w:rPr>
          <w:spacing w:val="-2"/>
        </w:rPr>
        <w:t>allocation</w:t>
      </w:r>
      <w:r>
        <w:rPr>
          <w:spacing w:val="10"/>
        </w:rPr>
        <w:t xml:space="preserve"> </w:t>
      </w:r>
      <w:r>
        <w:rPr>
          <w:spacing w:val="-2"/>
        </w:rPr>
        <w:t>of</w:t>
      </w:r>
      <w:r>
        <w:rPr>
          <w:spacing w:val="11"/>
        </w:rPr>
        <w:t xml:space="preserve"> </w:t>
      </w:r>
      <w:r>
        <w:rPr>
          <w:spacing w:val="-1"/>
        </w:rPr>
        <w:t>title</w:t>
      </w:r>
      <w:r>
        <w:rPr>
          <w:spacing w:val="10"/>
        </w:rPr>
        <w:t xml:space="preserve"> </w:t>
      </w:r>
      <w:r>
        <w:rPr>
          <w:spacing w:val="-1"/>
        </w:rPr>
        <w:t>set</w:t>
      </w:r>
      <w:r>
        <w:rPr>
          <w:spacing w:val="9"/>
        </w:rPr>
        <w:t xml:space="preserve"> </w:t>
      </w:r>
      <w:r>
        <w:rPr>
          <w:spacing w:val="-1"/>
        </w:rPr>
        <w:t>out</w:t>
      </w:r>
      <w:r>
        <w:rPr>
          <w:spacing w:val="11"/>
        </w:rPr>
        <w:t xml:space="preserve"> </w:t>
      </w:r>
      <w:r>
        <w:rPr>
          <w:spacing w:val="-1"/>
        </w:rPr>
        <w:t>in</w:t>
      </w:r>
      <w:r>
        <w:rPr>
          <w:spacing w:val="59"/>
        </w:rPr>
        <w:t xml:space="preserve"> </w:t>
      </w:r>
      <w:r>
        <w:rPr>
          <w:spacing w:val="-2"/>
        </w:rPr>
        <w:t>Clause</w:t>
      </w:r>
      <w:r>
        <w:rPr>
          <w:spacing w:val="16"/>
        </w:rPr>
        <w:t xml:space="preserve"> </w:t>
      </w:r>
      <w:hyperlink w:anchor="_bookmark161" w:history="1">
        <w:r>
          <w:rPr>
            <w:spacing w:val="-1"/>
          </w:rPr>
          <w:t>33.1</w:t>
        </w:r>
      </w:hyperlink>
      <w:r>
        <w:rPr>
          <w:spacing w:val="-1"/>
        </w:rPr>
        <w:t>,</w:t>
      </w:r>
      <w:r>
        <w:rPr>
          <w:spacing w:val="16"/>
        </w:rPr>
        <w:t xml:space="preserve"> </w:t>
      </w:r>
      <w:r>
        <w:rPr>
          <w:spacing w:val="-1"/>
        </w:rPr>
        <w:t>it</w:t>
      </w:r>
      <w:r>
        <w:rPr>
          <w:spacing w:val="16"/>
        </w:rPr>
        <w:t xml:space="preserve"> </w:t>
      </w:r>
      <w:r>
        <w:rPr>
          <w:spacing w:val="-1"/>
        </w:rPr>
        <w:t>shall</w:t>
      </w:r>
      <w:r>
        <w:rPr>
          <w:spacing w:val="14"/>
        </w:rPr>
        <w:t xml:space="preserve"> </w:t>
      </w:r>
      <w:r>
        <w:rPr>
          <w:spacing w:val="-1"/>
        </w:rPr>
        <w:t>assign</w:t>
      </w:r>
      <w:r>
        <w:rPr>
          <w:spacing w:val="15"/>
        </w:rPr>
        <w:t xml:space="preserve"> </w:t>
      </w:r>
      <w:r>
        <w:rPr>
          <w:spacing w:val="-1"/>
        </w:rPr>
        <w:t>in</w:t>
      </w:r>
      <w:r>
        <w:rPr>
          <w:spacing w:val="15"/>
        </w:rPr>
        <w:t xml:space="preserve"> </w:t>
      </w:r>
      <w:r>
        <w:rPr>
          <w:spacing w:val="-2"/>
        </w:rPr>
        <w:t>writing</w:t>
      </w:r>
      <w:r>
        <w:rPr>
          <w:spacing w:val="17"/>
        </w:rPr>
        <w:t xml:space="preserve"> </w:t>
      </w:r>
      <w:r>
        <w:rPr>
          <w:spacing w:val="-1"/>
        </w:rPr>
        <w:t>such</w:t>
      </w:r>
      <w:r>
        <w:rPr>
          <w:spacing w:val="15"/>
        </w:rPr>
        <w:t xml:space="preserve"> </w:t>
      </w:r>
      <w:r>
        <w:rPr>
          <w:spacing w:val="-1"/>
        </w:rPr>
        <w:t>Intellectual</w:t>
      </w:r>
      <w:r>
        <w:rPr>
          <w:spacing w:val="14"/>
        </w:rPr>
        <w:t xml:space="preserve"> </w:t>
      </w:r>
      <w:r>
        <w:rPr>
          <w:spacing w:val="-1"/>
        </w:rPr>
        <w:t>Property</w:t>
      </w:r>
      <w:r>
        <w:rPr>
          <w:spacing w:val="13"/>
        </w:rPr>
        <w:t xml:space="preserve"> </w:t>
      </w:r>
      <w:r>
        <w:rPr>
          <w:spacing w:val="-1"/>
        </w:rPr>
        <w:t>Rights</w:t>
      </w:r>
      <w:r>
        <w:rPr>
          <w:spacing w:val="63"/>
        </w:rPr>
        <w:t xml:space="preserve"> </w:t>
      </w:r>
      <w:r>
        <w:rPr>
          <w:spacing w:val="-1"/>
        </w:rPr>
        <w:t>as</w:t>
      </w:r>
      <w:r>
        <w:rPr>
          <w:spacing w:val="15"/>
        </w:rPr>
        <w:t xml:space="preserve"> </w:t>
      </w:r>
      <w:r>
        <w:rPr>
          <w:spacing w:val="-1"/>
        </w:rPr>
        <w:t>it</w:t>
      </w:r>
      <w:r>
        <w:rPr>
          <w:spacing w:val="16"/>
        </w:rPr>
        <w:t xml:space="preserve"> </w:t>
      </w:r>
      <w:r>
        <w:rPr>
          <w:spacing w:val="-1"/>
        </w:rPr>
        <w:t>has</w:t>
      </w:r>
      <w:r>
        <w:rPr>
          <w:spacing w:val="15"/>
        </w:rPr>
        <w:t xml:space="preserve"> </w:t>
      </w:r>
      <w:r>
        <w:rPr>
          <w:spacing w:val="-1"/>
        </w:rPr>
        <w:t>acquired</w:t>
      </w:r>
      <w:r>
        <w:rPr>
          <w:spacing w:val="15"/>
        </w:rPr>
        <w:t xml:space="preserve"> </w:t>
      </w:r>
      <w:r>
        <w:t>to</w:t>
      </w:r>
      <w:r>
        <w:rPr>
          <w:spacing w:val="15"/>
        </w:rPr>
        <w:t xml:space="preserve"> </w:t>
      </w:r>
      <w:r>
        <w:t>the</w:t>
      </w:r>
      <w:r>
        <w:rPr>
          <w:spacing w:val="12"/>
        </w:rPr>
        <w:t xml:space="preserve"> </w:t>
      </w:r>
      <w:r>
        <w:rPr>
          <w:spacing w:val="-1"/>
        </w:rPr>
        <w:t>other</w:t>
      </w:r>
      <w:r>
        <w:rPr>
          <w:spacing w:val="16"/>
        </w:rPr>
        <w:t xml:space="preserve"> </w:t>
      </w:r>
      <w:r>
        <w:rPr>
          <w:spacing w:val="-1"/>
        </w:rPr>
        <w:t>Party</w:t>
      </w:r>
      <w:r>
        <w:rPr>
          <w:spacing w:val="13"/>
        </w:rPr>
        <w:t xml:space="preserve"> </w:t>
      </w:r>
      <w:r>
        <w:rPr>
          <w:spacing w:val="-1"/>
        </w:rPr>
        <w:t>on</w:t>
      </w:r>
      <w:r>
        <w:rPr>
          <w:spacing w:val="15"/>
        </w:rPr>
        <w:t xml:space="preserve"> </w:t>
      </w:r>
      <w:r>
        <w:t>the</w:t>
      </w:r>
      <w:r>
        <w:rPr>
          <w:spacing w:val="15"/>
        </w:rPr>
        <w:t xml:space="preserve"> </w:t>
      </w:r>
      <w:r>
        <w:rPr>
          <w:spacing w:val="-1"/>
        </w:rPr>
        <w:t>request</w:t>
      </w:r>
      <w:r>
        <w:rPr>
          <w:spacing w:val="17"/>
        </w:rPr>
        <w:t xml:space="preserve"> </w:t>
      </w:r>
      <w:r>
        <w:rPr>
          <w:spacing w:val="-2"/>
        </w:rPr>
        <w:t>of</w:t>
      </w:r>
      <w:r>
        <w:rPr>
          <w:spacing w:val="19"/>
        </w:rPr>
        <w:t xml:space="preserve"> </w:t>
      </w:r>
      <w:r>
        <w:t>the</w:t>
      </w:r>
      <w:r>
        <w:rPr>
          <w:spacing w:val="15"/>
        </w:rPr>
        <w:t xml:space="preserve"> </w:t>
      </w:r>
      <w:r>
        <w:rPr>
          <w:spacing w:val="-1"/>
        </w:rPr>
        <w:t>other</w:t>
      </w:r>
      <w:r>
        <w:rPr>
          <w:spacing w:val="16"/>
        </w:rPr>
        <w:t xml:space="preserve"> </w:t>
      </w:r>
      <w:r>
        <w:rPr>
          <w:spacing w:val="-1"/>
        </w:rPr>
        <w:t>Party</w:t>
      </w:r>
      <w:r>
        <w:rPr>
          <w:spacing w:val="49"/>
        </w:rPr>
        <w:t xml:space="preserve"> </w:t>
      </w:r>
      <w:r>
        <w:rPr>
          <w:spacing w:val="-1"/>
        </w:rPr>
        <w:t>(whenever</w:t>
      </w:r>
      <w:r>
        <w:rPr>
          <w:spacing w:val="2"/>
        </w:rPr>
        <w:t xml:space="preserve"> </w:t>
      </w:r>
      <w:r>
        <w:rPr>
          <w:spacing w:val="-1"/>
        </w:rPr>
        <w:t>made).</w:t>
      </w:r>
    </w:p>
    <w:p w:rsidR="008918FA" w:rsidRDefault="008918FA" w:rsidP="008918FA">
      <w:pPr>
        <w:jc w:val="both"/>
        <w:sectPr w:rsidR="008918FA">
          <w:pgSz w:w="11910" w:h="16840"/>
          <w:pgMar w:top="1480" w:right="1300" w:bottom="1180" w:left="1320" w:header="0" w:footer="967" w:gutter="0"/>
          <w:cols w:space="720"/>
        </w:sectPr>
      </w:pPr>
    </w:p>
    <w:p w:rsidR="008918FA" w:rsidRDefault="001C1527" w:rsidP="008918FA">
      <w:pPr>
        <w:pStyle w:val="BodyText"/>
        <w:numPr>
          <w:ilvl w:val="2"/>
          <w:numId w:val="66"/>
        </w:numPr>
        <w:tabs>
          <w:tab w:val="left" w:pos="1887"/>
        </w:tabs>
        <w:spacing w:before="59"/>
        <w:ind w:left="1886" w:right="114"/>
        <w:jc w:val="both"/>
      </w:pPr>
      <w:r>
        <w:rPr>
          <w:spacing w:val="-1"/>
        </w:rPr>
        <w:t>Neither</w:t>
      </w:r>
      <w:r>
        <w:rPr>
          <w:spacing w:val="59"/>
        </w:rPr>
        <w:t xml:space="preserve"> </w:t>
      </w:r>
      <w:r>
        <w:rPr>
          <w:spacing w:val="-1"/>
        </w:rPr>
        <w:t>Party</w:t>
      </w:r>
      <w:r>
        <w:rPr>
          <w:spacing w:val="56"/>
        </w:rPr>
        <w:t xml:space="preserve"> </w:t>
      </w:r>
      <w:r>
        <w:rPr>
          <w:spacing w:val="-1"/>
        </w:rPr>
        <w:t>shall</w:t>
      </w:r>
      <w:r>
        <w:rPr>
          <w:spacing w:val="57"/>
        </w:rPr>
        <w:t xml:space="preserve"> </w:t>
      </w:r>
      <w:r>
        <w:rPr>
          <w:spacing w:val="-1"/>
        </w:rPr>
        <w:t>have</w:t>
      </w:r>
      <w:r>
        <w:rPr>
          <w:spacing w:val="58"/>
        </w:rPr>
        <w:t xml:space="preserve"> </w:t>
      </w:r>
      <w:r>
        <w:rPr>
          <w:spacing w:val="-1"/>
        </w:rPr>
        <w:t>any</w:t>
      </w:r>
      <w:r>
        <w:rPr>
          <w:spacing w:val="56"/>
        </w:rPr>
        <w:t xml:space="preserve"> </w:t>
      </w:r>
      <w:r>
        <w:rPr>
          <w:spacing w:val="-1"/>
        </w:rPr>
        <w:t>right</w:t>
      </w:r>
      <w:r>
        <w:rPr>
          <w:spacing w:val="59"/>
        </w:rPr>
        <w:t xml:space="preserve"> </w:t>
      </w:r>
      <w:r>
        <w:rPr>
          <w:spacing w:val="-1"/>
        </w:rPr>
        <w:t>to</w:t>
      </w:r>
      <w:r>
        <w:rPr>
          <w:spacing w:val="59"/>
        </w:rPr>
        <w:t xml:space="preserve"> </w:t>
      </w:r>
      <w:r>
        <w:rPr>
          <w:spacing w:val="-1"/>
        </w:rPr>
        <w:t>use</w:t>
      </w:r>
      <w:r>
        <w:rPr>
          <w:spacing w:val="58"/>
        </w:rPr>
        <w:t xml:space="preserve"> </w:t>
      </w:r>
      <w:r>
        <w:rPr>
          <w:spacing w:val="-1"/>
        </w:rPr>
        <w:t>any</w:t>
      </w:r>
      <w:r>
        <w:rPr>
          <w:spacing w:val="56"/>
        </w:rPr>
        <w:t xml:space="preserve"> </w:t>
      </w:r>
      <w:r>
        <w:rPr>
          <w:spacing w:val="-2"/>
        </w:rPr>
        <w:t>of</w:t>
      </w:r>
      <w:r>
        <w:t xml:space="preserve"> the</w:t>
      </w:r>
      <w:r>
        <w:rPr>
          <w:spacing w:val="58"/>
        </w:rPr>
        <w:t xml:space="preserve"> </w:t>
      </w:r>
      <w:r>
        <w:rPr>
          <w:spacing w:val="-1"/>
        </w:rPr>
        <w:t>other</w:t>
      </w:r>
      <w:r>
        <w:rPr>
          <w:spacing w:val="59"/>
        </w:rPr>
        <w:t xml:space="preserve"> </w:t>
      </w:r>
      <w:r>
        <w:rPr>
          <w:spacing w:val="-1"/>
        </w:rPr>
        <w:t>Party’s names, logos nor</w:t>
      </w:r>
      <w:r w:rsidR="008918FA">
        <w:rPr>
          <w:spacing w:val="9"/>
        </w:rPr>
        <w:t xml:space="preserve"> </w:t>
      </w:r>
      <w:r w:rsidR="008918FA">
        <w:rPr>
          <w:spacing w:val="-1"/>
        </w:rPr>
        <w:t>trade</w:t>
      </w:r>
      <w:r w:rsidR="008918FA">
        <w:rPr>
          <w:spacing w:val="5"/>
        </w:rPr>
        <w:t xml:space="preserve"> </w:t>
      </w:r>
      <w:r w:rsidR="008918FA">
        <w:rPr>
          <w:spacing w:val="-1"/>
        </w:rPr>
        <w:t>marks</w:t>
      </w:r>
      <w:r w:rsidR="008918FA">
        <w:rPr>
          <w:spacing w:val="8"/>
        </w:rPr>
        <w:t xml:space="preserve"> </w:t>
      </w:r>
      <w:r w:rsidR="008918FA">
        <w:rPr>
          <w:spacing w:val="-1"/>
        </w:rPr>
        <w:t>on</w:t>
      </w:r>
      <w:r w:rsidR="008918FA">
        <w:rPr>
          <w:spacing w:val="7"/>
        </w:rPr>
        <w:t xml:space="preserve"> </w:t>
      </w:r>
      <w:r w:rsidR="008918FA">
        <w:rPr>
          <w:spacing w:val="-1"/>
        </w:rPr>
        <w:t>any</w:t>
      </w:r>
      <w:r w:rsidR="008918FA">
        <w:rPr>
          <w:spacing w:val="5"/>
        </w:rPr>
        <w:t xml:space="preserve"> </w:t>
      </w:r>
      <w:r w:rsidR="008918FA">
        <w:rPr>
          <w:spacing w:val="-2"/>
        </w:rPr>
        <w:t>of</w:t>
      </w:r>
      <w:r w:rsidR="008918FA">
        <w:rPr>
          <w:spacing w:val="11"/>
        </w:rPr>
        <w:t xml:space="preserve"> </w:t>
      </w:r>
      <w:r w:rsidR="008918FA">
        <w:rPr>
          <w:spacing w:val="-1"/>
        </w:rPr>
        <w:t>its</w:t>
      </w:r>
      <w:r w:rsidR="008918FA">
        <w:rPr>
          <w:spacing w:val="8"/>
        </w:rPr>
        <w:t xml:space="preserve"> </w:t>
      </w:r>
      <w:r w:rsidR="008918FA">
        <w:rPr>
          <w:spacing w:val="-1"/>
        </w:rPr>
        <w:t>products</w:t>
      </w:r>
      <w:r w:rsidR="008918FA">
        <w:rPr>
          <w:spacing w:val="8"/>
        </w:rPr>
        <w:t xml:space="preserve"> </w:t>
      </w:r>
      <w:r w:rsidR="008918FA">
        <w:rPr>
          <w:spacing w:val="-1"/>
        </w:rPr>
        <w:t>or</w:t>
      </w:r>
      <w:r w:rsidR="008918FA">
        <w:rPr>
          <w:spacing w:val="9"/>
        </w:rPr>
        <w:t xml:space="preserve"> </w:t>
      </w:r>
      <w:r w:rsidR="008918FA">
        <w:rPr>
          <w:spacing w:val="-2"/>
        </w:rPr>
        <w:t>services</w:t>
      </w:r>
      <w:r w:rsidR="008918FA">
        <w:rPr>
          <w:spacing w:val="8"/>
        </w:rPr>
        <w:t xml:space="preserve"> </w:t>
      </w:r>
      <w:r w:rsidR="008918FA">
        <w:rPr>
          <w:spacing w:val="-2"/>
        </w:rPr>
        <w:t>without</w:t>
      </w:r>
      <w:r w:rsidR="008918FA">
        <w:rPr>
          <w:spacing w:val="48"/>
        </w:rPr>
        <w:t xml:space="preserve"> </w:t>
      </w:r>
      <w:r w:rsidR="008918FA">
        <w:t xml:space="preserve">the </w:t>
      </w:r>
      <w:r w:rsidR="008918FA">
        <w:rPr>
          <w:spacing w:val="-1"/>
        </w:rPr>
        <w:t>other Party's</w:t>
      </w:r>
      <w:r w:rsidR="008918FA">
        <w:rPr>
          <w:spacing w:val="1"/>
        </w:rPr>
        <w:t xml:space="preserve"> </w:t>
      </w:r>
      <w:r w:rsidR="008918FA">
        <w:rPr>
          <w:spacing w:val="-2"/>
        </w:rPr>
        <w:t>prior</w:t>
      </w:r>
      <w:r w:rsidR="008918FA">
        <w:rPr>
          <w:spacing w:val="2"/>
        </w:rPr>
        <w:t xml:space="preserve"> </w:t>
      </w:r>
      <w:r w:rsidR="008918FA">
        <w:rPr>
          <w:spacing w:val="-1"/>
        </w:rPr>
        <w:t>written</w:t>
      </w:r>
      <w:r w:rsidR="008918FA">
        <w:rPr>
          <w:spacing w:val="-2"/>
        </w:rPr>
        <w:t xml:space="preserve"> </w:t>
      </w:r>
      <w:r w:rsidR="008918FA">
        <w:rPr>
          <w:spacing w:val="-1"/>
        </w:rPr>
        <w:t>consent.</w:t>
      </w:r>
    </w:p>
    <w:p w:rsidR="008918FA" w:rsidRDefault="008918FA" w:rsidP="008918FA">
      <w:pPr>
        <w:pStyle w:val="Heading1"/>
        <w:numPr>
          <w:ilvl w:val="1"/>
          <w:numId w:val="66"/>
        </w:numPr>
        <w:tabs>
          <w:tab w:val="left" w:pos="893"/>
        </w:tabs>
        <w:ind w:left="892" w:hanging="564"/>
        <w:rPr>
          <w:b w:val="0"/>
          <w:bCs w:val="0"/>
        </w:rPr>
      </w:pPr>
      <w:bookmarkStart w:id="195" w:name="_bookmark162"/>
      <w:bookmarkEnd w:id="195"/>
      <w:r>
        <w:rPr>
          <w:spacing w:val="-1"/>
        </w:rPr>
        <w:t>Licence</w:t>
      </w:r>
      <w:r>
        <w:t xml:space="preserve"> </w:t>
      </w:r>
      <w:r>
        <w:rPr>
          <w:spacing w:val="-1"/>
        </w:rPr>
        <w:t>granted</w:t>
      </w:r>
      <w:r>
        <w:t xml:space="preserve"> </w:t>
      </w:r>
      <w:r>
        <w:rPr>
          <w:spacing w:val="-1"/>
        </w:rPr>
        <w:t>by</w:t>
      </w:r>
      <w:r>
        <w:rPr>
          <w:spacing w:val="-4"/>
        </w:rPr>
        <w:t xml:space="preserve"> </w:t>
      </w:r>
      <w:r>
        <w:rPr>
          <w:spacing w:val="-1"/>
        </w:rPr>
        <w:t>the</w:t>
      </w:r>
      <w:r>
        <w:rPr>
          <w:spacing w:val="-2"/>
        </w:rPr>
        <w:t xml:space="preserve"> </w:t>
      </w:r>
      <w:r>
        <w:rPr>
          <w:spacing w:val="-1"/>
        </w:rPr>
        <w:t>Supplier: Project Specific</w:t>
      </w:r>
      <w:r>
        <w:rPr>
          <w:spacing w:val="-2"/>
        </w:rPr>
        <w:t xml:space="preserve"> </w:t>
      </w:r>
      <w:r>
        <w:t>IPR</w:t>
      </w:r>
    </w:p>
    <w:p w:rsidR="008918FA" w:rsidRDefault="008918FA" w:rsidP="008918FA">
      <w:pPr>
        <w:pStyle w:val="BodyText"/>
        <w:numPr>
          <w:ilvl w:val="2"/>
          <w:numId w:val="66"/>
        </w:numPr>
        <w:tabs>
          <w:tab w:val="left" w:pos="1887"/>
        </w:tabs>
        <w:spacing w:before="124"/>
        <w:ind w:left="1886" w:right="110" w:hanging="993"/>
        <w:jc w:val="both"/>
      </w:pPr>
      <w:bookmarkStart w:id="196" w:name="_bookmark163"/>
      <w:bookmarkEnd w:id="196"/>
      <w:r>
        <w:t>The</w:t>
      </w:r>
      <w:r>
        <w:rPr>
          <w:spacing w:val="3"/>
        </w:rPr>
        <w:t xml:space="preserve"> </w:t>
      </w:r>
      <w:r>
        <w:rPr>
          <w:spacing w:val="-2"/>
        </w:rPr>
        <w:t>Supplier</w:t>
      </w:r>
      <w:r>
        <w:rPr>
          <w:spacing w:val="4"/>
        </w:rPr>
        <w:t xml:space="preserve"> </w:t>
      </w:r>
      <w:r>
        <w:rPr>
          <w:spacing w:val="-1"/>
        </w:rPr>
        <w:t>hereby</w:t>
      </w:r>
      <w:r>
        <w:rPr>
          <w:spacing w:val="-2"/>
        </w:rPr>
        <w:t xml:space="preserve"> </w:t>
      </w:r>
      <w:r>
        <w:rPr>
          <w:spacing w:val="-1"/>
        </w:rPr>
        <w:t>grants</w:t>
      </w:r>
      <w:r>
        <w:rPr>
          <w:spacing w:val="3"/>
        </w:rPr>
        <w:t xml:space="preserve"> </w:t>
      </w:r>
      <w:r>
        <w:t>to the</w:t>
      </w:r>
      <w:r>
        <w:rPr>
          <w:spacing w:val="4"/>
        </w:rPr>
        <w:t xml:space="preserve"> </w:t>
      </w:r>
      <w:r>
        <w:rPr>
          <w:spacing w:val="-1"/>
        </w:rPr>
        <w:t>Customer,</w:t>
      </w:r>
      <w:r>
        <w:rPr>
          <w:spacing w:val="4"/>
        </w:rPr>
        <w:t xml:space="preserve"> </w:t>
      </w:r>
      <w:r>
        <w:rPr>
          <w:spacing w:val="-2"/>
        </w:rPr>
        <w:t>or</w:t>
      </w:r>
      <w:r>
        <w:rPr>
          <w:spacing w:val="4"/>
        </w:rPr>
        <w:t xml:space="preserve"> </w:t>
      </w:r>
      <w:r>
        <w:rPr>
          <w:spacing w:val="-2"/>
        </w:rPr>
        <w:t>shall</w:t>
      </w:r>
      <w:r>
        <w:rPr>
          <w:spacing w:val="2"/>
        </w:rPr>
        <w:t xml:space="preserve"> </w:t>
      </w:r>
      <w:r>
        <w:rPr>
          <w:spacing w:val="-1"/>
        </w:rPr>
        <w:t>procure</w:t>
      </w:r>
      <w:r>
        <w:rPr>
          <w:spacing w:val="3"/>
        </w:rPr>
        <w:t xml:space="preserve"> </w:t>
      </w:r>
      <w:r>
        <w:t>the</w:t>
      </w:r>
      <w:r>
        <w:rPr>
          <w:spacing w:val="3"/>
        </w:rPr>
        <w:t xml:space="preserve"> </w:t>
      </w:r>
      <w:r>
        <w:rPr>
          <w:spacing w:val="-2"/>
        </w:rPr>
        <w:t>direct</w:t>
      </w:r>
      <w:r>
        <w:rPr>
          <w:spacing w:val="58"/>
        </w:rPr>
        <w:t xml:space="preserve"> </w:t>
      </w:r>
      <w:r>
        <w:rPr>
          <w:spacing w:val="-1"/>
        </w:rPr>
        <w:t>grant</w:t>
      </w:r>
      <w:r>
        <w:rPr>
          <w:spacing w:val="38"/>
        </w:rPr>
        <w:t xml:space="preserve"> </w:t>
      </w:r>
      <w:r>
        <w:t>to</w:t>
      </w:r>
      <w:r>
        <w:rPr>
          <w:spacing w:val="36"/>
        </w:rPr>
        <w:t xml:space="preserve"> </w:t>
      </w:r>
      <w:r>
        <w:t>the</w:t>
      </w:r>
      <w:r>
        <w:rPr>
          <w:spacing w:val="36"/>
        </w:rPr>
        <w:t xml:space="preserve"> </w:t>
      </w:r>
      <w:r>
        <w:rPr>
          <w:spacing w:val="-2"/>
        </w:rPr>
        <w:t>Customer</w:t>
      </w:r>
      <w:r>
        <w:rPr>
          <w:spacing w:val="38"/>
        </w:rPr>
        <w:t xml:space="preserve"> </w:t>
      </w:r>
      <w:r>
        <w:t>of,</w:t>
      </w:r>
      <w:r>
        <w:rPr>
          <w:spacing w:val="38"/>
        </w:rPr>
        <w:t xml:space="preserve"> </w:t>
      </w:r>
      <w:r>
        <w:t>a</w:t>
      </w:r>
      <w:r>
        <w:rPr>
          <w:spacing w:val="36"/>
        </w:rPr>
        <w:t xml:space="preserve"> </w:t>
      </w:r>
      <w:r>
        <w:rPr>
          <w:spacing w:val="-1"/>
        </w:rPr>
        <w:t>perpetual,</w:t>
      </w:r>
      <w:r>
        <w:rPr>
          <w:spacing w:val="39"/>
        </w:rPr>
        <w:t xml:space="preserve"> </w:t>
      </w:r>
      <w:r>
        <w:rPr>
          <w:spacing w:val="-1"/>
        </w:rPr>
        <w:t>royalty-free,</w:t>
      </w:r>
      <w:r>
        <w:rPr>
          <w:spacing w:val="38"/>
        </w:rPr>
        <w:t xml:space="preserve"> </w:t>
      </w:r>
      <w:r>
        <w:rPr>
          <w:spacing w:val="-1"/>
        </w:rPr>
        <w:t>irrevocable,</w:t>
      </w:r>
      <w:r>
        <w:rPr>
          <w:spacing w:val="38"/>
        </w:rPr>
        <w:t xml:space="preserve"> </w:t>
      </w:r>
      <w:r>
        <w:rPr>
          <w:spacing w:val="-1"/>
        </w:rPr>
        <w:t>non-</w:t>
      </w:r>
      <w:r>
        <w:rPr>
          <w:spacing w:val="35"/>
        </w:rPr>
        <w:t xml:space="preserve"> </w:t>
      </w:r>
      <w:r>
        <w:rPr>
          <w:spacing w:val="-2"/>
        </w:rPr>
        <w:t>exclusive</w:t>
      </w:r>
      <w:r>
        <w:rPr>
          <w:spacing w:val="58"/>
        </w:rPr>
        <w:t xml:space="preserve"> </w:t>
      </w:r>
      <w:r>
        <w:rPr>
          <w:spacing w:val="-1"/>
        </w:rPr>
        <w:t>licence</w:t>
      </w:r>
      <w:r>
        <w:rPr>
          <w:spacing w:val="56"/>
        </w:rPr>
        <w:t xml:space="preserve"> </w:t>
      </w:r>
      <w:r>
        <w:t>to</w:t>
      </w:r>
      <w:r>
        <w:rPr>
          <w:spacing w:val="55"/>
        </w:rPr>
        <w:t xml:space="preserve"> </w:t>
      </w:r>
      <w:r>
        <w:t>use</w:t>
      </w:r>
      <w:r>
        <w:rPr>
          <w:spacing w:val="56"/>
        </w:rPr>
        <w:t xml:space="preserve"> </w:t>
      </w:r>
      <w:r>
        <w:t>the</w:t>
      </w:r>
      <w:r>
        <w:rPr>
          <w:spacing w:val="55"/>
        </w:rPr>
        <w:t xml:space="preserve"> </w:t>
      </w:r>
      <w:r>
        <w:rPr>
          <w:spacing w:val="-1"/>
        </w:rPr>
        <w:t>Project</w:t>
      </w:r>
      <w:r>
        <w:rPr>
          <w:spacing w:val="57"/>
        </w:rPr>
        <w:t xml:space="preserve"> </w:t>
      </w:r>
      <w:r>
        <w:rPr>
          <w:spacing w:val="-1"/>
        </w:rPr>
        <w:t>Specific</w:t>
      </w:r>
      <w:r>
        <w:rPr>
          <w:spacing w:val="57"/>
        </w:rPr>
        <w:t xml:space="preserve"> </w:t>
      </w:r>
      <w:r>
        <w:rPr>
          <w:spacing w:val="-1"/>
        </w:rPr>
        <w:t>IPR</w:t>
      </w:r>
      <w:r>
        <w:rPr>
          <w:spacing w:val="55"/>
        </w:rPr>
        <w:t xml:space="preserve"> </w:t>
      </w:r>
      <w:r>
        <w:rPr>
          <w:spacing w:val="-1"/>
        </w:rPr>
        <w:t>including</w:t>
      </w:r>
      <w:r>
        <w:rPr>
          <w:spacing w:val="58"/>
        </w:rPr>
        <w:t xml:space="preserve"> </w:t>
      </w:r>
      <w:r>
        <w:rPr>
          <w:spacing w:val="-1"/>
        </w:rPr>
        <w:t>but</w:t>
      </w:r>
      <w:r>
        <w:rPr>
          <w:spacing w:val="57"/>
        </w:rPr>
        <w:t xml:space="preserve"> </w:t>
      </w:r>
      <w:r>
        <w:rPr>
          <w:spacing w:val="-1"/>
        </w:rPr>
        <w:t>not</w:t>
      </w:r>
      <w:r>
        <w:rPr>
          <w:spacing w:val="36"/>
        </w:rPr>
        <w:t xml:space="preserve"> </w:t>
      </w:r>
      <w:r>
        <w:rPr>
          <w:spacing w:val="-1"/>
        </w:rPr>
        <w:t>limited</w:t>
      </w:r>
      <w:r>
        <w:rPr>
          <w:spacing w:val="29"/>
        </w:rPr>
        <w:t xml:space="preserve"> </w:t>
      </w:r>
      <w:r>
        <w:t>to</w:t>
      </w:r>
      <w:r>
        <w:rPr>
          <w:spacing w:val="29"/>
        </w:rPr>
        <w:t xml:space="preserve"> </w:t>
      </w:r>
      <w:r>
        <w:t>the</w:t>
      </w:r>
      <w:r>
        <w:rPr>
          <w:spacing w:val="29"/>
        </w:rPr>
        <w:t xml:space="preserve"> </w:t>
      </w:r>
      <w:r>
        <w:rPr>
          <w:spacing w:val="-1"/>
        </w:rPr>
        <w:t>right</w:t>
      </w:r>
      <w:r>
        <w:rPr>
          <w:spacing w:val="30"/>
        </w:rPr>
        <w:t xml:space="preserve"> </w:t>
      </w:r>
      <w:r>
        <w:t>to</w:t>
      </w:r>
      <w:r>
        <w:rPr>
          <w:spacing w:val="29"/>
        </w:rPr>
        <w:t xml:space="preserve"> </w:t>
      </w:r>
      <w:r>
        <w:rPr>
          <w:spacing w:val="-2"/>
        </w:rPr>
        <w:t>copy,</w:t>
      </w:r>
      <w:r>
        <w:rPr>
          <w:spacing w:val="30"/>
        </w:rPr>
        <w:t xml:space="preserve"> </w:t>
      </w:r>
      <w:r>
        <w:rPr>
          <w:spacing w:val="-1"/>
        </w:rPr>
        <w:t>adapt,</w:t>
      </w:r>
      <w:r>
        <w:rPr>
          <w:spacing w:val="30"/>
        </w:rPr>
        <w:t xml:space="preserve"> </w:t>
      </w:r>
      <w:r>
        <w:rPr>
          <w:spacing w:val="-2"/>
        </w:rPr>
        <w:t>publish</w:t>
      </w:r>
      <w:r>
        <w:rPr>
          <w:spacing w:val="30"/>
        </w:rPr>
        <w:t xml:space="preserve"> </w:t>
      </w:r>
      <w:r>
        <w:rPr>
          <w:spacing w:val="-1"/>
        </w:rPr>
        <w:t>and</w:t>
      </w:r>
      <w:r>
        <w:rPr>
          <w:spacing w:val="33"/>
        </w:rPr>
        <w:t xml:space="preserve"> </w:t>
      </w:r>
      <w:r>
        <w:rPr>
          <w:spacing w:val="-4"/>
        </w:rPr>
        <w:t>distribute</w:t>
      </w:r>
      <w:r>
        <w:rPr>
          <w:spacing w:val="24"/>
        </w:rPr>
        <w:t xml:space="preserve"> </w:t>
      </w:r>
      <w:r>
        <w:rPr>
          <w:spacing w:val="-3"/>
        </w:rPr>
        <w:t>such</w:t>
      </w:r>
      <w:r>
        <w:rPr>
          <w:spacing w:val="24"/>
        </w:rPr>
        <w:t xml:space="preserve"> </w:t>
      </w:r>
      <w:r>
        <w:rPr>
          <w:spacing w:val="-4"/>
        </w:rPr>
        <w:t>Project</w:t>
      </w:r>
      <w:r>
        <w:rPr>
          <w:spacing w:val="57"/>
        </w:rPr>
        <w:t xml:space="preserve"> </w:t>
      </w:r>
      <w:r>
        <w:rPr>
          <w:spacing w:val="-4"/>
        </w:rPr>
        <w:t>Specific</w:t>
      </w:r>
      <w:r>
        <w:rPr>
          <w:spacing w:val="-9"/>
        </w:rPr>
        <w:t xml:space="preserve"> </w:t>
      </w:r>
      <w:r>
        <w:rPr>
          <w:spacing w:val="-4"/>
        </w:rPr>
        <w:t>IPR.</w:t>
      </w:r>
    </w:p>
    <w:p w:rsidR="008918FA" w:rsidRDefault="008918FA" w:rsidP="008918FA">
      <w:pPr>
        <w:pStyle w:val="Heading1"/>
        <w:numPr>
          <w:ilvl w:val="1"/>
          <w:numId w:val="66"/>
        </w:numPr>
        <w:tabs>
          <w:tab w:val="left" w:pos="894"/>
        </w:tabs>
        <w:spacing w:before="119"/>
        <w:ind w:left="893" w:hanging="564"/>
        <w:rPr>
          <w:b w:val="0"/>
          <w:bCs w:val="0"/>
        </w:rPr>
      </w:pPr>
      <w:bookmarkStart w:id="197" w:name="_bookmark164"/>
      <w:bookmarkEnd w:id="197"/>
      <w:r>
        <w:rPr>
          <w:spacing w:val="-1"/>
        </w:rPr>
        <w:t>Licence</w:t>
      </w:r>
      <w:r>
        <w:t xml:space="preserve"> </w:t>
      </w:r>
      <w:r>
        <w:rPr>
          <w:spacing w:val="-1"/>
        </w:rPr>
        <w:t>granted</w:t>
      </w:r>
      <w:r>
        <w:t xml:space="preserve"> </w:t>
      </w:r>
      <w:r>
        <w:rPr>
          <w:spacing w:val="-1"/>
        </w:rPr>
        <w:t>by</w:t>
      </w:r>
      <w:r>
        <w:rPr>
          <w:spacing w:val="-4"/>
        </w:rPr>
        <w:t xml:space="preserve"> </w:t>
      </w:r>
      <w:r>
        <w:rPr>
          <w:spacing w:val="-1"/>
        </w:rPr>
        <w:t>the</w:t>
      </w:r>
      <w:r>
        <w:rPr>
          <w:spacing w:val="-2"/>
        </w:rPr>
        <w:t xml:space="preserve"> </w:t>
      </w:r>
      <w:r>
        <w:rPr>
          <w:spacing w:val="-1"/>
        </w:rPr>
        <w:t>Supplier: Supplier Background</w:t>
      </w:r>
      <w:r>
        <w:t xml:space="preserve"> IPR</w:t>
      </w:r>
    </w:p>
    <w:p w:rsidR="008918FA" w:rsidRDefault="008918FA" w:rsidP="008918FA">
      <w:pPr>
        <w:pStyle w:val="BodyText"/>
        <w:numPr>
          <w:ilvl w:val="2"/>
          <w:numId w:val="66"/>
        </w:numPr>
        <w:tabs>
          <w:tab w:val="left" w:pos="1888"/>
        </w:tabs>
        <w:spacing w:before="121"/>
        <w:ind w:left="1887" w:right="110"/>
        <w:jc w:val="both"/>
      </w:pPr>
      <w:r>
        <w:t>The</w:t>
      </w:r>
      <w:r>
        <w:rPr>
          <w:spacing w:val="27"/>
        </w:rPr>
        <w:t xml:space="preserve"> </w:t>
      </w:r>
      <w:r>
        <w:rPr>
          <w:spacing w:val="-2"/>
        </w:rPr>
        <w:t>Supplier</w:t>
      </w:r>
      <w:r>
        <w:rPr>
          <w:spacing w:val="28"/>
        </w:rPr>
        <w:t xml:space="preserve"> </w:t>
      </w:r>
      <w:r>
        <w:rPr>
          <w:spacing w:val="-1"/>
        </w:rPr>
        <w:t>hereby</w:t>
      </w:r>
      <w:r>
        <w:rPr>
          <w:spacing w:val="25"/>
        </w:rPr>
        <w:t xml:space="preserve"> </w:t>
      </w:r>
      <w:r>
        <w:rPr>
          <w:spacing w:val="-1"/>
        </w:rPr>
        <w:t>grants</w:t>
      </w:r>
      <w:r>
        <w:rPr>
          <w:spacing w:val="27"/>
        </w:rPr>
        <w:t xml:space="preserve"> </w:t>
      </w:r>
      <w:r>
        <w:t>to</w:t>
      </w:r>
      <w:r>
        <w:rPr>
          <w:spacing w:val="27"/>
        </w:rPr>
        <w:t xml:space="preserve"> </w:t>
      </w:r>
      <w:r>
        <w:t>the</w:t>
      </w:r>
      <w:r>
        <w:rPr>
          <w:spacing w:val="27"/>
        </w:rPr>
        <w:t xml:space="preserve"> </w:t>
      </w:r>
      <w:r>
        <w:rPr>
          <w:spacing w:val="-1"/>
        </w:rPr>
        <w:t>Customer</w:t>
      </w:r>
      <w:r>
        <w:rPr>
          <w:spacing w:val="28"/>
        </w:rPr>
        <w:t xml:space="preserve"> </w:t>
      </w:r>
      <w:r>
        <w:t>a</w:t>
      </w:r>
      <w:r>
        <w:rPr>
          <w:spacing w:val="27"/>
        </w:rPr>
        <w:t xml:space="preserve"> </w:t>
      </w:r>
      <w:r>
        <w:rPr>
          <w:spacing w:val="-1"/>
        </w:rPr>
        <w:t>perpetual,</w:t>
      </w:r>
      <w:r>
        <w:rPr>
          <w:spacing w:val="28"/>
        </w:rPr>
        <w:t xml:space="preserve"> </w:t>
      </w:r>
      <w:r>
        <w:rPr>
          <w:spacing w:val="-1"/>
        </w:rPr>
        <w:t>royalty-free</w:t>
      </w:r>
      <w:r>
        <w:rPr>
          <w:spacing w:val="51"/>
        </w:rPr>
        <w:t xml:space="preserve"> </w:t>
      </w:r>
      <w:r>
        <w:rPr>
          <w:spacing w:val="-1"/>
        </w:rPr>
        <w:t>and</w:t>
      </w:r>
      <w:r>
        <w:rPr>
          <w:spacing w:val="10"/>
        </w:rPr>
        <w:t xml:space="preserve"> </w:t>
      </w:r>
      <w:r>
        <w:rPr>
          <w:spacing w:val="-1"/>
        </w:rPr>
        <w:t>non-exclusive</w:t>
      </w:r>
      <w:r>
        <w:rPr>
          <w:spacing w:val="10"/>
        </w:rPr>
        <w:t xml:space="preserve"> </w:t>
      </w:r>
      <w:r>
        <w:rPr>
          <w:spacing w:val="-1"/>
        </w:rPr>
        <w:t>licence</w:t>
      </w:r>
      <w:r>
        <w:rPr>
          <w:spacing w:val="10"/>
        </w:rPr>
        <w:t xml:space="preserve"> </w:t>
      </w:r>
      <w:r>
        <w:t>to</w:t>
      </w:r>
      <w:r>
        <w:rPr>
          <w:spacing w:val="10"/>
        </w:rPr>
        <w:t xml:space="preserve"> </w:t>
      </w:r>
      <w:r>
        <w:rPr>
          <w:spacing w:val="-1"/>
        </w:rPr>
        <w:t>use</w:t>
      </w:r>
      <w:r>
        <w:rPr>
          <w:spacing w:val="11"/>
        </w:rPr>
        <w:t xml:space="preserve"> </w:t>
      </w:r>
      <w:bookmarkStart w:id="198" w:name="_bookmark165"/>
      <w:bookmarkEnd w:id="198"/>
      <w:r>
        <w:t>the</w:t>
      </w:r>
      <w:r>
        <w:rPr>
          <w:spacing w:val="10"/>
        </w:rPr>
        <w:t xml:space="preserve"> </w:t>
      </w:r>
      <w:r>
        <w:rPr>
          <w:spacing w:val="-2"/>
        </w:rPr>
        <w:t>Supplier</w:t>
      </w:r>
      <w:r>
        <w:rPr>
          <w:spacing w:val="11"/>
        </w:rPr>
        <w:t xml:space="preserve"> </w:t>
      </w:r>
      <w:r>
        <w:rPr>
          <w:spacing w:val="-1"/>
        </w:rPr>
        <w:t>Background</w:t>
      </w:r>
      <w:r>
        <w:rPr>
          <w:spacing w:val="10"/>
        </w:rPr>
        <w:t xml:space="preserve"> </w:t>
      </w:r>
      <w:r>
        <w:t>IPR</w:t>
      </w:r>
      <w:r>
        <w:rPr>
          <w:spacing w:val="7"/>
        </w:rPr>
        <w:t xml:space="preserve"> </w:t>
      </w:r>
      <w:r>
        <w:t>for</w:t>
      </w:r>
      <w:r>
        <w:rPr>
          <w:spacing w:val="11"/>
        </w:rPr>
        <w:t xml:space="preserve"> </w:t>
      </w:r>
      <w:r>
        <w:rPr>
          <w:spacing w:val="-1"/>
        </w:rPr>
        <w:t>any</w:t>
      </w:r>
      <w:r>
        <w:rPr>
          <w:spacing w:val="34"/>
        </w:rPr>
        <w:t xml:space="preserve"> </w:t>
      </w:r>
      <w:r>
        <w:rPr>
          <w:spacing w:val="-1"/>
        </w:rPr>
        <w:t>purpose</w:t>
      </w:r>
      <w:r>
        <w:rPr>
          <w:spacing w:val="43"/>
        </w:rPr>
        <w:t xml:space="preserve"> </w:t>
      </w:r>
      <w:r>
        <w:rPr>
          <w:spacing w:val="-1"/>
        </w:rPr>
        <w:t>relating</w:t>
      </w:r>
      <w:r>
        <w:rPr>
          <w:spacing w:val="42"/>
        </w:rPr>
        <w:t xml:space="preserve"> </w:t>
      </w:r>
      <w:r>
        <w:t>to</w:t>
      </w:r>
      <w:r>
        <w:rPr>
          <w:spacing w:val="40"/>
        </w:rPr>
        <w:t xml:space="preserve"> </w:t>
      </w:r>
      <w:r>
        <w:rPr>
          <w:spacing w:val="-1"/>
        </w:rPr>
        <w:t>the</w:t>
      </w:r>
      <w:r>
        <w:rPr>
          <w:spacing w:val="43"/>
        </w:rPr>
        <w:t xml:space="preserve"> </w:t>
      </w:r>
      <w:r>
        <w:rPr>
          <w:spacing w:val="-1"/>
        </w:rPr>
        <w:t>Goods</w:t>
      </w:r>
      <w:r>
        <w:rPr>
          <w:spacing w:val="43"/>
        </w:rPr>
        <w:t xml:space="preserve"> </w:t>
      </w:r>
      <w:r>
        <w:rPr>
          <w:spacing w:val="-1"/>
        </w:rPr>
        <w:t>and/or</w:t>
      </w:r>
      <w:r>
        <w:rPr>
          <w:spacing w:val="44"/>
        </w:rPr>
        <w:t xml:space="preserve"> </w:t>
      </w:r>
      <w:r>
        <w:rPr>
          <w:spacing w:val="-2"/>
        </w:rPr>
        <w:t>Services</w:t>
      </w:r>
      <w:r>
        <w:rPr>
          <w:spacing w:val="44"/>
        </w:rPr>
        <w:t xml:space="preserve"> </w:t>
      </w:r>
      <w:r>
        <w:rPr>
          <w:spacing w:val="-1"/>
        </w:rPr>
        <w:t>(or</w:t>
      </w:r>
      <w:r>
        <w:rPr>
          <w:spacing w:val="41"/>
        </w:rPr>
        <w:t xml:space="preserve"> </w:t>
      </w:r>
      <w:r>
        <w:rPr>
          <w:spacing w:val="-1"/>
        </w:rPr>
        <w:t>substantially</w:t>
      </w:r>
      <w:r>
        <w:rPr>
          <w:spacing w:val="41"/>
        </w:rPr>
        <w:t xml:space="preserve"> </w:t>
      </w:r>
      <w:r>
        <w:rPr>
          <w:spacing w:val="-1"/>
        </w:rPr>
        <w:t>equivalent</w:t>
      </w:r>
      <w:r>
        <w:rPr>
          <w:spacing w:val="41"/>
        </w:rPr>
        <w:t xml:space="preserve"> </w:t>
      </w:r>
      <w:r>
        <w:rPr>
          <w:spacing w:val="-1"/>
        </w:rPr>
        <w:t>goods</w:t>
      </w:r>
      <w:r>
        <w:rPr>
          <w:spacing w:val="36"/>
        </w:rPr>
        <w:t xml:space="preserve"> </w:t>
      </w:r>
      <w:r>
        <w:rPr>
          <w:spacing w:val="-1"/>
        </w:rPr>
        <w:t>and/or</w:t>
      </w:r>
      <w:r>
        <w:rPr>
          <w:spacing w:val="38"/>
        </w:rPr>
        <w:t xml:space="preserve"> </w:t>
      </w:r>
      <w:r>
        <w:rPr>
          <w:spacing w:val="-1"/>
        </w:rPr>
        <w:t>services)</w:t>
      </w:r>
      <w:r>
        <w:rPr>
          <w:spacing w:val="40"/>
        </w:rPr>
        <w:t xml:space="preserve"> </w:t>
      </w:r>
      <w:r>
        <w:rPr>
          <w:spacing w:val="-1"/>
        </w:rPr>
        <w:t>or</w:t>
      </w:r>
      <w:r>
        <w:rPr>
          <w:spacing w:val="38"/>
        </w:rPr>
        <w:t xml:space="preserve"> </w:t>
      </w:r>
      <w:r>
        <w:t>for</w:t>
      </w:r>
      <w:r>
        <w:rPr>
          <w:spacing w:val="40"/>
        </w:rPr>
        <w:t xml:space="preserve"> </w:t>
      </w:r>
      <w:r>
        <w:rPr>
          <w:spacing w:val="-1"/>
        </w:rPr>
        <w:t>any</w:t>
      </w:r>
      <w:r>
        <w:rPr>
          <w:spacing w:val="37"/>
        </w:rPr>
        <w:t xml:space="preserve"> </w:t>
      </w:r>
      <w:r>
        <w:rPr>
          <w:spacing w:val="-1"/>
        </w:rPr>
        <w:t>purpose</w:t>
      </w:r>
      <w:r>
        <w:rPr>
          <w:spacing w:val="39"/>
        </w:rPr>
        <w:t xml:space="preserve"> </w:t>
      </w:r>
      <w:r>
        <w:rPr>
          <w:spacing w:val="-1"/>
        </w:rPr>
        <w:t>relating</w:t>
      </w:r>
      <w:r>
        <w:rPr>
          <w:spacing w:val="39"/>
        </w:rPr>
        <w:t xml:space="preserve"> </w:t>
      </w:r>
      <w:r>
        <w:t>to</w:t>
      </w:r>
      <w:r>
        <w:rPr>
          <w:spacing w:val="36"/>
        </w:rPr>
        <w:t xml:space="preserve"> </w:t>
      </w:r>
      <w:r>
        <w:rPr>
          <w:spacing w:val="-1"/>
        </w:rPr>
        <w:t>the</w:t>
      </w:r>
      <w:r>
        <w:rPr>
          <w:spacing w:val="24"/>
        </w:rPr>
        <w:t xml:space="preserve"> </w:t>
      </w:r>
      <w:r>
        <w:rPr>
          <w:spacing w:val="-1"/>
        </w:rPr>
        <w:t>exercise</w:t>
      </w:r>
      <w:r>
        <w:rPr>
          <w:spacing w:val="59"/>
        </w:rPr>
        <w:t xml:space="preserve"> </w:t>
      </w:r>
      <w:r>
        <w:rPr>
          <w:spacing w:val="-2"/>
        </w:rPr>
        <w:t>of</w:t>
      </w:r>
      <w:r>
        <w:rPr>
          <w:spacing w:val="60"/>
        </w:rPr>
        <w:t xml:space="preserve"> </w:t>
      </w:r>
      <w:r>
        <w:t>the</w:t>
      </w:r>
      <w:r>
        <w:rPr>
          <w:spacing w:val="60"/>
        </w:rPr>
        <w:t xml:space="preserve"> </w:t>
      </w:r>
      <w:r>
        <w:rPr>
          <w:spacing w:val="-1"/>
        </w:rPr>
        <w:t>Customer’s</w:t>
      </w:r>
      <w:r>
        <w:rPr>
          <w:spacing w:val="57"/>
        </w:rPr>
        <w:t xml:space="preserve"> </w:t>
      </w:r>
      <w:r>
        <w:rPr>
          <w:spacing w:val="-1"/>
        </w:rPr>
        <w:t>(or,</w:t>
      </w:r>
      <w:r>
        <w:t xml:space="preserve"> </w:t>
      </w:r>
      <w:r>
        <w:rPr>
          <w:spacing w:val="-2"/>
        </w:rPr>
        <w:t>if</w:t>
      </w:r>
      <w:r>
        <w:rPr>
          <w:spacing w:val="58"/>
        </w:rPr>
        <w:t xml:space="preserve"> </w:t>
      </w:r>
      <w:r>
        <w:t>the</w:t>
      </w:r>
      <w:r>
        <w:rPr>
          <w:spacing w:val="59"/>
        </w:rPr>
        <w:t xml:space="preserve"> </w:t>
      </w:r>
      <w:r>
        <w:rPr>
          <w:spacing w:val="-2"/>
        </w:rPr>
        <w:t>Customer</w:t>
      </w:r>
      <w:r>
        <w:rPr>
          <w:spacing w:val="61"/>
        </w:rPr>
        <w:t xml:space="preserve"> </w:t>
      </w:r>
      <w:r>
        <w:rPr>
          <w:spacing w:val="-1"/>
        </w:rPr>
        <w:t>is</w:t>
      </w:r>
      <w:r>
        <w:rPr>
          <w:spacing w:val="59"/>
        </w:rPr>
        <w:t xml:space="preserve"> </w:t>
      </w:r>
      <w:r>
        <w:t>a</w:t>
      </w:r>
      <w:r>
        <w:rPr>
          <w:spacing w:val="57"/>
        </w:rPr>
        <w:t xml:space="preserve"> </w:t>
      </w:r>
      <w:r>
        <w:rPr>
          <w:spacing w:val="-2"/>
        </w:rPr>
        <w:t>Central</w:t>
      </w:r>
      <w:r>
        <w:rPr>
          <w:spacing w:val="30"/>
        </w:rPr>
        <w:t xml:space="preserve"> </w:t>
      </w:r>
      <w:r>
        <w:rPr>
          <w:spacing w:val="-1"/>
        </w:rPr>
        <w:t>Government</w:t>
      </w:r>
      <w:r>
        <w:rPr>
          <w:spacing w:val="11"/>
        </w:rPr>
        <w:t xml:space="preserve"> </w:t>
      </w:r>
      <w:r>
        <w:rPr>
          <w:spacing w:val="-2"/>
        </w:rPr>
        <w:t>Body,</w:t>
      </w:r>
      <w:r>
        <w:rPr>
          <w:spacing w:val="11"/>
        </w:rPr>
        <w:t xml:space="preserve"> </w:t>
      </w:r>
      <w:r>
        <w:rPr>
          <w:spacing w:val="-1"/>
        </w:rPr>
        <w:t>any</w:t>
      </w:r>
      <w:r>
        <w:rPr>
          <w:spacing w:val="10"/>
        </w:rPr>
        <w:t xml:space="preserve"> </w:t>
      </w:r>
      <w:r>
        <w:rPr>
          <w:spacing w:val="-1"/>
        </w:rPr>
        <w:t>other</w:t>
      </w:r>
      <w:r>
        <w:rPr>
          <w:spacing w:val="11"/>
        </w:rPr>
        <w:t xml:space="preserve"> </w:t>
      </w:r>
      <w:r>
        <w:rPr>
          <w:spacing w:val="-1"/>
        </w:rPr>
        <w:t>Central</w:t>
      </w:r>
      <w:r>
        <w:rPr>
          <w:spacing w:val="9"/>
        </w:rPr>
        <w:t xml:space="preserve"> </w:t>
      </w:r>
      <w:r>
        <w:rPr>
          <w:spacing w:val="-1"/>
        </w:rPr>
        <w:t>Government</w:t>
      </w:r>
      <w:r>
        <w:rPr>
          <w:spacing w:val="11"/>
        </w:rPr>
        <w:t xml:space="preserve"> </w:t>
      </w:r>
      <w:r>
        <w:rPr>
          <w:spacing w:val="-2"/>
        </w:rPr>
        <w:t>Body’s)</w:t>
      </w:r>
      <w:r>
        <w:rPr>
          <w:spacing w:val="12"/>
        </w:rPr>
        <w:t xml:space="preserve"> </w:t>
      </w:r>
      <w:r>
        <w:rPr>
          <w:spacing w:val="-1"/>
        </w:rPr>
        <w:t>business</w:t>
      </w:r>
      <w:r>
        <w:rPr>
          <w:spacing w:val="11"/>
        </w:rPr>
        <w:t xml:space="preserve"> </w:t>
      </w:r>
      <w:r>
        <w:rPr>
          <w:spacing w:val="-1"/>
        </w:rPr>
        <w:t>or</w:t>
      </w:r>
      <w:r>
        <w:rPr>
          <w:spacing w:val="32"/>
        </w:rPr>
        <w:t xml:space="preserve"> </w:t>
      </w:r>
      <w:r>
        <w:rPr>
          <w:spacing w:val="-1"/>
        </w:rPr>
        <w:t>function.</w:t>
      </w:r>
    </w:p>
    <w:p w:rsidR="008918FA" w:rsidRDefault="008918FA" w:rsidP="008918FA">
      <w:pPr>
        <w:pStyle w:val="BodyText"/>
        <w:numPr>
          <w:ilvl w:val="2"/>
          <w:numId w:val="66"/>
        </w:numPr>
        <w:tabs>
          <w:tab w:val="left" w:pos="1888"/>
        </w:tabs>
        <w:ind w:left="1886" w:right="111" w:hanging="993"/>
        <w:jc w:val="both"/>
      </w:pPr>
      <w:bookmarkStart w:id="199" w:name="_bookmark166"/>
      <w:bookmarkEnd w:id="199"/>
      <w:r>
        <w:rPr>
          <w:spacing w:val="-1"/>
        </w:rPr>
        <w:t>At</w:t>
      </w:r>
      <w:r>
        <w:rPr>
          <w:spacing w:val="4"/>
        </w:rPr>
        <w:t xml:space="preserve"> </w:t>
      </w:r>
      <w:r>
        <w:rPr>
          <w:spacing w:val="-1"/>
        </w:rPr>
        <w:t>any</w:t>
      </w:r>
      <w:r>
        <w:rPr>
          <w:spacing w:val="1"/>
        </w:rPr>
        <w:t xml:space="preserve"> </w:t>
      </w:r>
      <w:r>
        <w:rPr>
          <w:spacing w:val="-1"/>
        </w:rPr>
        <w:t>time</w:t>
      </w:r>
      <w:r>
        <w:rPr>
          <w:spacing w:val="3"/>
        </w:rPr>
        <w:t xml:space="preserve"> </w:t>
      </w:r>
      <w:r>
        <w:rPr>
          <w:spacing w:val="-1"/>
        </w:rPr>
        <w:t>during</w:t>
      </w:r>
      <w:r>
        <w:rPr>
          <w:spacing w:val="5"/>
        </w:rPr>
        <w:t xml:space="preserve"> </w:t>
      </w:r>
      <w:r>
        <w:t>the</w:t>
      </w:r>
      <w:r>
        <w:rPr>
          <w:spacing w:val="3"/>
        </w:rPr>
        <w:t xml:space="preserve"> </w:t>
      </w:r>
      <w:r>
        <w:rPr>
          <w:spacing w:val="-1"/>
        </w:rPr>
        <w:t>Call</w:t>
      </w:r>
      <w:r>
        <w:rPr>
          <w:spacing w:val="2"/>
        </w:rPr>
        <w:t xml:space="preserve"> </w:t>
      </w:r>
      <w:r>
        <w:t>Off</w:t>
      </w:r>
      <w:r>
        <w:rPr>
          <w:spacing w:val="6"/>
        </w:rPr>
        <w:t xml:space="preserve"> </w:t>
      </w:r>
      <w:r>
        <w:rPr>
          <w:spacing w:val="-2"/>
        </w:rPr>
        <w:t>Contract</w:t>
      </w:r>
      <w:r>
        <w:rPr>
          <w:spacing w:val="4"/>
        </w:rPr>
        <w:t xml:space="preserve"> </w:t>
      </w:r>
      <w:r>
        <w:rPr>
          <w:spacing w:val="-1"/>
        </w:rPr>
        <w:t>Period</w:t>
      </w:r>
      <w:r>
        <w:rPr>
          <w:spacing w:val="5"/>
        </w:rPr>
        <w:t xml:space="preserve"> </w:t>
      </w:r>
      <w:r>
        <w:rPr>
          <w:spacing w:val="-1"/>
        </w:rPr>
        <w:t>or</w:t>
      </w:r>
      <w:r>
        <w:rPr>
          <w:spacing w:val="4"/>
        </w:rPr>
        <w:t xml:space="preserve"> </w:t>
      </w:r>
      <w:r>
        <w:rPr>
          <w:spacing w:val="-2"/>
        </w:rPr>
        <w:t>following</w:t>
      </w:r>
      <w:r>
        <w:rPr>
          <w:spacing w:val="5"/>
        </w:rPr>
        <w:t xml:space="preserve"> </w:t>
      </w:r>
      <w:r>
        <w:t>the</w:t>
      </w:r>
      <w:r>
        <w:rPr>
          <w:spacing w:val="3"/>
        </w:rPr>
        <w:t xml:space="preserve"> </w:t>
      </w:r>
      <w:r>
        <w:rPr>
          <w:spacing w:val="-1"/>
        </w:rPr>
        <w:t>Call</w:t>
      </w:r>
      <w:r>
        <w:rPr>
          <w:spacing w:val="2"/>
        </w:rPr>
        <w:t xml:space="preserve"> </w:t>
      </w:r>
      <w:r>
        <w:rPr>
          <w:spacing w:val="-1"/>
        </w:rPr>
        <w:t>Off</w:t>
      </w:r>
      <w:r>
        <w:rPr>
          <w:spacing w:val="61"/>
        </w:rPr>
        <w:t xml:space="preserve"> </w:t>
      </w:r>
      <w:r>
        <w:rPr>
          <w:spacing w:val="-1"/>
        </w:rPr>
        <w:t>Expiry</w:t>
      </w:r>
      <w:r>
        <w:rPr>
          <w:spacing w:val="1"/>
        </w:rPr>
        <w:t xml:space="preserve"> </w:t>
      </w:r>
      <w:r>
        <w:rPr>
          <w:spacing w:val="-1"/>
        </w:rPr>
        <w:t>Date,</w:t>
      </w:r>
      <w:r>
        <w:rPr>
          <w:spacing w:val="4"/>
        </w:rPr>
        <w:t xml:space="preserve"> </w:t>
      </w:r>
      <w:r>
        <w:t>the</w:t>
      </w:r>
      <w:r>
        <w:rPr>
          <w:spacing w:val="3"/>
        </w:rPr>
        <w:t xml:space="preserve"> </w:t>
      </w:r>
      <w:r>
        <w:rPr>
          <w:spacing w:val="-2"/>
        </w:rPr>
        <w:t>Supplier</w:t>
      </w:r>
      <w:r>
        <w:rPr>
          <w:spacing w:val="2"/>
        </w:rPr>
        <w:t xml:space="preserve"> </w:t>
      </w:r>
      <w:r>
        <w:rPr>
          <w:spacing w:val="-1"/>
        </w:rPr>
        <w:t>may</w:t>
      </w:r>
      <w:r>
        <w:rPr>
          <w:spacing w:val="1"/>
        </w:rPr>
        <w:t xml:space="preserve"> </w:t>
      </w:r>
      <w:r>
        <w:rPr>
          <w:spacing w:val="-1"/>
        </w:rPr>
        <w:t>terminate</w:t>
      </w:r>
      <w:r>
        <w:rPr>
          <w:spacing w:val="3"/>
        </w:rPr>
        <w:t xml:space="preserve"> </w:t>
      </w:r>
      <w:r>
        <w:t>a</w:t>
      </w:r>
      <w:r>
        <w:rPr>
          <w:spacing w:val="3"/>
        </w:rPr>
        <w:t xml:space="preserve"> </w:t>
      </w:r>
      <w:r>
        <w:rPr>
          <w:spacing w:val="-1"/>
        </w:rPr>
        <w:t>licence</w:t>
      </w:r>
      <w:r>
        <w:rPr>
          <w:spacing w:val="1"/>
        </w:rPr>
        <w:t xml:space="preserve"> </w:t>
      </w:r>
      <w:r>
        <w:rPr>
          <w:spacing w:val="-1"/>
        </w:rPr>
        <w:t>granted</w:t>
      </w:r>
      <w:r>
        <w:rPr>
          <w:spacing w:val="3"/>
        </w:rPr>
        <w:t xml:space="preserve"> </w:t>
      </w:r>
      <w:r>
        <w:rPr>
          <w:spacing w:val="-1"/>
        </w:rPr>
        <w:t>in</w:t>
      </w:r>
      <w:r>
        <w:rPr>
          <w:spacing w:val="3"/>
        </w:rPr>
        <w:t xml:space="preserve"> </w:t>
      </w:r>
      <w:r>
        <w:rPr>
          <w:spacing w:val="-1"/>
        </w:rPr>
        <w:t>respect</w:t>
      </w:r>
      <w:r>
        <w:rPr>
          <w:spacing w:val="5"/>
        </w:rPr>
        <w:t xml:space="preserve"> </w:t>
      </w:r>
      <w:r>
        <w:rPr>
          <w:spacing w:val="-2"/>
        </w:rPr>
        <w:t>of</w:t>
      </w:r>
      <w:r>
        <w:rPr>
          <w:spacing w:val="49"/>
        </w:rPr>
        <w:t xml:space="preserve"> </w:t>
      </w:r>
      <w:r>
        <w:t>the</w:t>
      </w:r>
      <w:r>
        <w:rPr>
          <w:spacing w:val="12"/>
        </w:rPr>
        <w:t xml:space="preserve"> </w:t>
      </w:r>
      <w:r>
        <w:rPr>
          <w:spacing w:val="-2"/>
        </w:rPr>
        <w:t>Supplier</w:t>
      </w:r>
      <w:r>
        <w:rPr>
          <w:spacing w:val="14"/>
        </w:rPr>
        <w:t xml:space="preserve"> </w:t>
      </w:r>
      <w:r>
        <w:rPr>
          <w:spacing w:val="-1"/>
        </w:rPr>
        <w:t>Background</w:t>
      </w:r>
      <w:r>
        <w:rPr>
          <w:spacing w:val="10"/>
        </w:rPr>
        <w:t xml:space="preserve"> </w:t>
      </w:r>
      <w:r>
        <w:t>IPR</w:t>
      </w:r>
      <w:r>
        <w:rPr>
          <w:spacing w:val="12"/>
        </w:rPr>
        <w:t xml:space="preserve"> </w:t>
      </w:r>
      <w:r>
        <w:rPr>
          <w:spacing w:val="-1"/>
        </w:rPr>
        <w:t>under</w:t>
      </w:r>
      <w:r>
        <w:rPr>
          <w:spacing w:val="11"/>
        </w:rPr>
        <w:t xml:space="preserve"> </w:t>
      </w:r>
      <w:r>
        <w:rPr>
          <w:spacing w:val="-2"/>
        </w:rPr>
        <w:t>Clause</w:t>
      </w:r>
      <w:r>
        <w:rPr>
          <w:spacing w:val="15"/>
        </w:rPr>
        <w:t xml:space="preserve"> </w:t>
      </w:r>
      <w:hyperlink w:anchor="_bookmark165" w:history="1">
        <w:r>
          <w:rPr>
            <w:spacing w:val="-1"/>
          </w:rPr>
          <w:t>33.3.1</w:t>
        </w:r>
      </w:hyperlink>
      <w:r>
        <w:rPr>
          <w:spacing w:val="13"/>
        </w:rPr>
        <w:t xml:space="preserve"> </w:t>
      </w:r>
      <w:r>
        <w:rPr>
          <w:spacing w:val="-1"/>
        </w:rPr>
        <w:t>by</w:t>
      </w:r>
      <w:r>
        <w:rPr>
          <w:spacing w:val="10"/>
        </w:rPr>
        <w:t xml:space="preserve"> </w:t>
      </w:r>
      <w:r>
        <w:rPr>
          <w:spacing w:val="-1"/>
        </w:rPr>
        <w:t>giving</w:t>
      </w:r>
      <w:r>
        <w:rPr>
          <w:spacing w:val="15"/>
        </w:rPr>
        <w:t xml:space="preserve"> </w:t>
      </w:r>
      <w:r>
        <w:rPr>
          <w:spacing w:val="-1"/>
        </w:rPr>
        <w:t>thirty</w:t>
      </w:r>
      <w:r>
        <w:rPr>
          <w:spacing w:val="10"/>
        </w:rPr>
        <w:t xml:space="preserve"> </w:t>
      </w:r>
      <w:r>
        <w:rPr>
          <w:spacing w:val="-1"/>
        </w:rPr>
        <w:t>(30)</w:t>
      </w:r>
      <w:r>
        <w:rPr>
          <w:spacing w:val="39"/>
        </w:rPr>
        <w:t xml:space="preserve"> </w:t>
      </w:r>
      <w:r>
        <w:rPr>
          <w:spacing w:val="-2"/>
        </w:rPr>
        <w:t>days’</w:t>
      </w:r>
      <w:r>
        <w:rPr>
          <w:spacing w:val="2"/>
        </w:rPr>
        <w:t xml:space="preserve"> </w:t>
      </w:r>
      <w:r>
        <w:rPr>
          <w:spacing w:val="-1"/>
        </w:rPr>
        <w:t>notice</w:t>
      </w:r>
      <w:r>
        <w:rPr>
          <w:spacing w:val="3"/>
        </w:rPr>
        <w:t xml:space="preserve"> </w:t>
      </w:r>
      <w:r>
        <w:rPr>
          <w:spacing w:val="-1"/>
        </w:rPr>
        <w:t>in</w:t>
      </w:r>
      <w:r>
        <w:rPr>
          <w:spacing w:val="5"/>
        </w:rPr>
        <w:t xml:space="preserve"> </w:t>
      </w:r>
      <w:r>
        <w:rPr>
          <w:spacing w:val="-2"/>
        </w:rPr>
        <w:t>writing</w:t>
      </w:r>
      <w:r>
        <w:rPr>
          <w:spacing w:val="5"/>
        </w:rPr>
        <w:t xml:space="preserve"> </w:t>
      </w:r>
      <w:r>
        <w:rPr>
          <w:spacing w:val="-1"/>
        </w:rPr>
        <w:t>(or</w:t>
      </w:r>
      <w:r>
        <w:rPr>
          <w:spacing w:val="2"/>
        </w:rPr>
        <w:t xml:space="preserve"> </w:t>
      </w:r>
      <w:r>
        <w:rPr>
          <w:spacing w:val="-1"/>
        </w:rPr>
        <w:t>such</w:t>
      </w:r>
      <w:r>
        <w:rPr>
          <w:spacing w:val="3"/>
        </w:rPr>
        <w:t xml:space="preserve"> </w:t>
      </w:r>
      <w:r>
        <w:rPr>
          <w:spacing w:val="-1"/>
        </w:rPr>
        <w:t>other</w:t>
      </w:r>
      <w:r>
        <w:rPr>
          <w:spacing w:val="4"/>
        </w:rPr>
        <w:t xml:space="preserve"> </w:t>
      </w:r>
      <w:r>
        <w:rPr>
          <w:spacing w:val="-2"/>
        </w:rPr>
        <w:t>period</w:t>
      </w:r>
      <w:r>
        <w:rPr>
          <w:spacing w:val="3"/>
        </w:rPr>
        <w:t xml:space="preserve"> </w:t>
      </w:r>
      <w:r>
        <w:rPr>
          <w:spacing w:val="-1"/>
        </w:rPr>
        <w:t>as</w:t>
      </w:r>
      <w:r>
        <w:rPr>
          <w:spacing w:val="3"/>
        </w:rPr>
        <w:t xml:space="preserve"> </w:t>
      </w:r>
      <w:r>
        <w:rPr>
          <w:spacing w:val="-1"/>
        </w:rPr>
        <w:t>agreed</w:t>
      </w:r>
      <w:r>
        <w:rPr>
          <w:spacing w:val="3"/>
        </w:rPr>
        <w:t xml:space="preserve"> </w:t>
      </w:r>
      <w:r>
        <w:rPr>
          <w:spacing w:val="-1"/>
        </w:rPr>
        <w:t>by</w:t>
      </w:r>
      <w:r>
        <w:rPr>
          <w:spacing w:val="1"/>
        </w:rPr>
        <w:t xml:space="preserve"> </w:t>
      </w:r>
      <w:r>
        <w:t>the</w:t>
      </w:r>
      <w:r>
        <w:rPr>
          <w:spacing w:val="3"/>
        </w:rPr>
        <w:t xml:space="preserve"> </w:t>
      </w:r>
      <w:r>
        <w:rPr>
          <w:spacing w:val="-1"/>
        </w:rPr>
        <w:t>Parties)</w:t>
      </w:r>
      <w:r>
        <w:rPr>
          <w:spacing w:val="4"/>
        </w:rPr>
        <w:t xml:space="preserve"> </w:t>
      </w:r>
      <w:r>
        <w:rPr>
          <w:spacing w:val="-2"/>
        </w:rPr>
        <w:t>if</w:t>
      </w:r>
      <w:r>
        <w:rPr>
          <w:spacing w:val="59"/>
        </w:rPr>
        <w:t xml:space="preserve"> </w:t>
      </w:r>
      <w:r>
        <w:rPr>
          <w:spacing w:val="-1"/>
        </w:rPr>
        <w:t>there</w:t>
      </w:r>
      <w:r>
        <w:rPr>
          <w:spacing w:val="17"/>
        </w:rPr>
        <w:t xml:space="preserve"> </w:t>
      </w:r>
      <w:r>
        <w:rPr>
          <w:spacing w:val="-1"/>
        </w:rPr>
        <w:t>is</w:t>
      </w:r>
      <w:r>
        <w:rPr>
          <w:spacing w:val="18"/>
        </w:rPr>
        <w:t xml:space="preserve"> </w:t>
      </w:r>
      <w:r>
        <w:t>a</w:t>
      </w:r>
      <w:r>
        <w:rPr>
          <w:spacing w:val="17"/>
        </w:rPr>
        <w:t xml:space="preserve"> </w:t>
      </w:r>
      <w:r>
        <w:rPr>
          <w:spacing w:val="-2"/>
        </w:rPr>
        <w:t>Customer</w:t>
      </w:r>
      <w:r>
        <w:rPr>
          <w:spacing w:val="19"/>
        </w:rPr>
        <w:t xml:space="preserve"> </w:t>
      </w:r>
      <w:r>
        <w:rPr>
          <w:spacing w:val="-2"/>
        </w:rPr>
        <w:t>Cause</w:t>
      </w:r>
      <w:r>
        <w:rPr>
          <w:spacing w:val="18"/>
        </w:rPr>
        <w:t xml:space="preserve"> </w:t>
      </w:r>
      <w:r>
        <w:rPr>
          <w:spacing w:val="-2"/>
        </w:rPr>
        <w:t>which</w:t>
      </w:r>
      <w:r>
        <w:rPr>
          <w:spacing w:val="18"/>
        </w:rPr>
        <w:t xml:space="preserve"> </w:t>
      </w:r>
      <w:r>
        <w:rPr>
          <w:spacing w:val="-1"/>
        </w:rPr>
        <w:t>constitutes</w:t>
      </w:r>
      <w:r>
        <w:rPr>
          <w:spacing w:val="18"/>
        </w:rPr>
        <w:t xml:space="preserve"> </w:t>
      </w:r>
      <w:r>
        <w:t>a</w:t>
      </w:r>
      <w:r>
        <w:rPr>
          <w:spacing w:val="15"/>
        </w:rPr>
        <w:t xml:space="preserve"> </w:t>
      </w:r>
      <w:r>
        <w:rPr>
          <w:spacing w:val="-1"/>
        </w:rPr>
        <w:t>material</w:t>
      </w:r>
      <w:r>
        <w:rPr>
          <w:spacing w:val="17"/>
        </w:rPr>
        <w:t xml:space="preserve"> </w:t>
      </w:r>
      <w:r>
        <w:rPr>
          <w:spacing w:val="-1"/>
        </w:rPr>
        <w:t>breach</w:t>
      </w:r>
      <w:r>
        <w:rPr>
          <w:spacing w:val="18"/>
        </w:rPr>
        <w:t xml:space="preserve"> </w:t>
      </w:r>
      <w:r>
        <w:rPr>
          <w:spacing w:val="-2"/>
        </w:rPr>
        <w:t>of</w:t>
      </w:r>
      <w:r>
        <w:rPr>
          <w:spacing w:val="19"/>
        </w:rPr>
        <w:t xml:space="preserve"> </w:t>
      </w:r>
      <w:r>
        <w:rPr>
          <w:spacing w:val="-1"/>
        </w:rPr>
        <w:t>the</w:t>
      </w:r>
      <w:r>
        <w:rPr>
          <w:spacing w:val="60"/>
        </w:rPr>
        <w:t xml:space="preserve"> </w:t>
      </w:r>
      <w:r>
        <w:rPr>
          <w:spacing w:val="-1"/>
        </w:rPr>
        <w:t>terms</w:t>
      </w:r>
      <w:r>
        <w:rPr>
          <w:spacing w:val="2"/>
        </w:rPr>
        <w:t xml:space="preserve"> </w:t>
      </w:r>
      <w:r>
        <w:rPr>
          <w:spacing w:val="-2"/>
        </w:rPr>
        <w:t>of</w:t>
      </w:r>
      <w:r>
        <w:rPr>
          <w:spacing w:val="3"/>
        </w:rPr>
        <w:t xml:space="preserve"> </w:t>
      </w:r>
      <w:hyperlink w:anchor="_bookmark165" w:history="1">
        <w:r>
          <w:rPr>
            <w:spacing w:val="-1"/>
          </w:rPr>
          <w:t>33.3.1</w:t>
        </w:r>
      </w:hyperlink>
      <w:r>
        <w:rPr>
          <w:spacing w:val="2"/>
        </w:rPr>
        <w:t xml:space="preserve"> </w:t>
      </w:r>
      <w:r>
        <w:rPr>
          <w:spacing w:val="-2"/>
        </w:rPr>
        <w:t>which,</w:t>
      </w:r>
      <w:r>
        <w:rPr>
          <w:spacing w:val="3"/>
        </w:rPr>
        <w:t xml:space="preserve"> </w:t>
      </w:r>
      <w:r>
        <w:rPr>
          <w:spacing w:val="-1"/>
        </w:rPr>
        <w:t>if</w:t>
      </w:r>
      <w:r>
        <w:rPr>
          <w:spacing w:val="3"/>
        </w:rPr>
        <w:t xml:space="preserve"> </w:t>
      </w:r>
      <w:r>
        <w:t>the</w:t>
      </w:r>
      <w:r>
        <w:rPr>
          <w:spacing w:val="2"/>
        </w:rPr>
        <w:t xml:space="preserve"> </w:t>
      </w:r>
      <w:r>
        <w:rPr>
          <w:spacing w:val="-1"/>
        </w:rPr>
        <w:t>breach</w:t>
      </w:r>
      <w:r>
        <w:rPr>
          <w:spacing w:val="2"/>
        </w:rPr>
        <w:t xml:space="preserve"> </w:t>
      </w:r>
      <w:r>
        <w:rPr>
          <w:spacing w:val="-1"/>
        </w:rPr>
        <w:t>is</w:t>
      </w:r>
      <w:r>
        <w:rPr>
          <w:spacing w:val="2"/>
        </w:rPr>
        <w:t xml:space="preserve"> </w:t>
      </w:r>
      <w:r>
        <w:rPr>
          <w:spacing w:val="-2"/>
        </w:rPr>
        <w:t>capable</w:t>
      </w:r>
      <w:r>
        <w:rPr>
          <w:spacing w:val="2"/>
        </w:rPr>
        <w:t xml:space="preserve"> </w:t>
      </w:r>
      <w:r>
        <w:rPr>
          <w:spacing w:val="-1"/>
        </w:rPr>
        <w:t>of</w:t>
      </w:r>
      <w:r>
        <w:rPr>
          <w:spacing w:val="3"/>
        </w:rPr>
        <w:t xml:space="preserve"> </w:t>
      </w:r>
      <w:r>
        <w:rPr>
          <w:spacing w:val="-2"/>
        </w:rPr>
        <w:t>remedy,</w:t>
      </w:r>
      <w:r>
        <w:rPr>
          <w:spacing w:val="3"/>
        </w:rPr>
        <w:t xml:space="preserve"> </w:t>
      </w:r>
      <w:r>
        <w:rPr>
          <w:spacing w:val="-1"/>
        </w:rPr>
        <w:t>is</w:t>
      </w:r>
      <w:r>
        <w:rPr>
          <w:spacing w:val="2"/>
        </w:rPr>
        <w:t xml:space="preserve"> </w:t>
      </w:r>
      <w:r>
        <w:rPr>
          <w:spacing w:val="-1"/>
        </w:rPr>
        <w:t>not</w:t>
      </w:r>
      <w:r>
        <w:rPr>
          <w:spacing w:val="48"/>
        </w:rPr>
        <w:t xml:space="preserve"> </w:t>
      </w:r>
      <w:r>
        <w:rPr>
          <w:spacing w:val="-1"/>
        </w:rPr>
        <w:t>remedied</w:t>
      </w:r>
      <w:r>
        <w:rPr>
          <w:spacing w:val="12"/>
        </w:rPr>
        <w:t xml:space="preserve"> </w:t>
      </w:r>
      <w:r>
        <w:rPr>
          <w:spacing w:val="-2"/>
        </w:rPr>
        <w:t>within</w:t>
      </w:r>
      <w:r>
        <w:rPr>
          <w:spacing w:val="12"/>
        </w:rPr>
        <w:t xml:space="preserve"> </w:t>
      </w:r>
      <w:r>
        <w:rPr>
          <w:spacing w:val="-1"/>
        </w:rPr>
        <w:t>twenty</w:t>
      </w:r>
      <w:r>
        <w:rPr>
          <w:spacing w:val="10"/>
        </w:rPr>
        <w:t xml:space="preserve"> </w:t>
      </w:r>
      <w:r>
        <w:rPr>
          <w:spacing w:val="-1"/>
        </w:rPr>
        <w:t>(20)</w:t>
      </w:r>
      <w:r>
        <w:rPr>
          <w:spacing w:val="10"/>
        </w:rPr>
        <w:t xml:space="preserve"> </w:t>
      </w:r>
      <w:r>
        <w:rPr>
          <w:spacing w:val="-1"/>
        </w:rPr>
        <w:t>Working</w:t>
      </w:r>
      <w:r>
        <w:rPr>
          <w:spacing w:val="15"/>
        </w:rPr>
        <w:t xml:space="preserve"> </w:t>
      </w:r>
      <w:r>
        <w:rPr>
          <w:spacing w:val="-2"/>
        </w:rPr>
        <w:t>Days</w:t>
      </w:r>
      <w:r>
        <w:rPr>
          <w:spacing w:val="13"/>
        </w:rPr>
        <w:t xml:space="preserve"> </w:t>
      </w:r>
      <w:r>
        <w:rPr>
          <w:spacing w:val="-1"/>
        </w:rPr>
        <w:t>after</w:t>
      </w:r>
      <w:r>
        <w:rPr>
          <w:spacing w:val="12"/>
        </w:rPr>
        <w:t xml:space="preserve"> </w:t>
      </w:r>
      <w:r>
        <w:rPr>
          <w:spacing w:val="-1"/>
        </w:rPr>
        <w:t>the</w:t>
      </w:r>
      <w:r>
        <w:rPr>
          <w:spacing w:val="12"/>
        </w:rPr>
        <w:t xml:space="preserve"> </w:t>
      </w:r>
      <w:r>
        <w:rPr>
          <w:spacing w:val="-2"/>
        </w:rPr>
        <w:t>Supplier</w:t>
      </w:r>
      <w:r>
        <w:rPr>
          <w:spacing w:val="14"/>
        </w:rPr>
        <w:t xml:space="preserve"> </w:t>
      </w:r>
      <w:r>
        <w:rPr>
          <w:spacing w:val="-1"/>
        </w:rPr>
        <w:t>gives</w:t>
      </w:r>
      <w:r>
        <w:rPr>
          <w:spacing w:val="13"/>
        </w:rPr>
        <w:t xml:space="preserve"> </w:t>
      </w:r>
      <w:r>
        <w:rPr>
          <w:spacing w:val="-1"/>
        </w:rPr>
        <w:t>the</w:t>
      </w:r>
      <w:r>
        <w:rPr>
          <w:spacing w:val="58"/>
        </w:rPr>
        <w:t xml:space="preserve"> </w:t>
      </w:r>
      <w:r>
        <w:rPr>
          <w:spacing w:val="-1"/>
        </w:rPr>
        <w:t>Customer</w:t>
      </w:r>
      <w:r>
        <w:rPr>
          <w:spacing w:val="46"/>
        </w:rPr>
        <w:t xml:space="preserve"> </w:t>
      </w:r>
      <w:r>
        <w:rPr>
          <w:spacing w:val="-1"/>
        </w:rPr>
        <w:t>written</w:t>
      </w:r>
      <w:r>
        <w:rPr>
          <w:spacing w:val="42"/>
        </w:rPr>
        <w:t xml:space="preserve"> </w:t>
      </w:r>
      <w:r>
        <w:rPr>
          <w:spacing w:val="-1"/>
        </w:rPr>
        <w:t>notice</w:t>
      </w:r>
      <w:r>
        <w:rPr>
          <w:spacing w:val="45"/>
        </w:rPr>
        <w:t xml:space="preserve"> </w:t>
      </w:r>
      <w:r>
        <w:rPr>
          <w:spacing w:val="-1"/>
        </w:rPr>
        <w:t>specifying</w:t>
      </w:r>
      <w:r>
        <w:rPr>
          <w:spacing w:val="45"/>
        </w:rPr>
        <w:t xml:space="preserve"> </w:t>
      </w:r>
      <w:r>
        <w:t>the</w:t>
      </w:r>
      <w:r>
        <w:rPr>
          <w:spacing w:val="45"/>
        </w:rPr>
        <w:t xml:space="preserve"> </w:t>
      </w:r>
      <w:r>
        <w:rPr>
          <w:spacing w:val="-2"/>
        </w:rPr>
        <w:t>breach</w:t>
      </w:r>
      <w:r>
        <w:rPr>
          <w:spacing w:val="45"/>
        </w:rPr>
        <w:t xml:space="preserve"> </w:t>
      </w:r>
      <w:r>
        <w:rPr>
          <w:spacing w:val="-1"/>
        </w:rPr>
        <w:t>and</w:t>
      </w:r>
      <w:r>
        <w:rPr>
          <w:spacing w:val="43"/>
        </w:rPr>
        <w:t xml:space="preserve"> </w:t>
      </w:r>
      <w:r>
        <w:rPr>
          <w:spacing w:val="-1"/>
        </w:rPr>
        <w:t>requiring</w:t>
      </w:r>
      <w:r>
        <w:rPr>
          <w:spacing w:val="45"/>
        </w:rPr>
        <w:t xml:space="preserve"> </w:t>
      </w:r>
      <w:r>
        <w:rPr>
          <w:spacing w:val="-1"/>
        </w:rPr>
        <w:t>its</w:t>
      </w:r>
      <w:r>
        <w:rPr>
          <w:spacing w:val="27"/>
        </w:rPr>
        <w:t xml:space="preserve"> </w:t>
      </w:r>
      <w:r>
        <w:rPr>
          <w:spacing w:val="-1"/>
        </w:rPr>
        <w:t>remedy.</w:t>
      </w:r>
    </w:p>
    <w:p w:rsidR="008918FA" w:rsidRDefault="008918FA" w:rsidP="008918FA">
      <w:pPr>
        <w:pStyle w:val="BodyText"/>
        <w:numPr>
          <w:ilvl w:val="2"/>
          <w:numId w:val="66"/>
        </w:numPr>
        <w:tabs>
          <w:tab w:val="left" w:pos="1887"/>
        </w:tabs>
        <w:spacing w:before="121"/>
        <w:ind w:left="1886" w:right="112" w:hanging="993"/>
        <w:jc w:val="both"/>
      </w:pPr>
      <w:r>
        <w:t>In</w:t>
      </w:r>
      <w:r>
        <w:rPr>
          <w:spacing w:val="17"/>
        </w:rPr>
        <w:t xml:space="preserve"> </w:t>
      </w:r>
      <w:r>
        <w:t>the</w:t>
      </w:r>
      <w:r>
        <w:rPr>
          <w:spacing w:val="17"/>
        </w:rPr>
        <w:t xml:space="preserve"> </w:t>
      </w:r>
      <w:r>
        <w:rPr>
          <w:spacing w:val="-2"/>
        </w:rPr>
        <w:t>event</w:t>
      </w:r>
      <w:r>
        <w:rPr>
          <w:spacing w:val="16"/>
        </w:rPr>
        <w:t xml:space="preserve"> </w:t>
      </w:r>
      <w:r>
        <w:t>the</w:t>
      </w:r>
      <w:r>
        <w:rPr>
          <w:spacing w:val="17"/>
        </w:rPr>
        <w:t xml:space="preserve"> </w:t>
      </w:r>
      <w:r>
        <w:rPr>
          <w:spacing w:val="-1"/>
        </w:rPr>
        <w:t>licence</w:t>
      </w:r>
      <w:r>
        <w:rPr>
          <w:spacing w:val="18"/>
        </w:rPr>
        <w:t xml:space="preserve"> </w:t>
      </w:r>
      <w:r>
        <w:rPr>
          <w:spacing w:val="-2"/>
        </w:rPr>
        <w:t>of</w:t>
      </w:r>
      <w:r>
        <w:rPr>
          <w:spacing w:val="21"/>
        </w:rPr>
        <w:t xml:space="preserve"> </w:t>
      </w:r>
      <w:r>
        <w:t>the</w:t>
      </w:r>
      <w:r>
        <w:rPr>
          <w:spacing w:val="17"/>
        </w:rPr>
        <w:t xml:space="preserve"> </w:t>
      </w:r>
      <w:r>
        <w:rPr>
          <w:spacing w:val="-2"/>
        </w:rPr>
        <w:t>Supplier</w:t>
      </w:r>
      <w:r>
        <w:rPr>
          <w:spacing w:val="19"/>
        </w:rPr>
        <w:t xml:space="preserve"> </w:t>
      </w:r>
      <w:r>
        <w:rPr>
          <w:spacing w:val="-2"/>
        </w:rPr>
        <w:t>Background</w:t>
      </w:r>
      <w:r>
        <w:rPr>
          <w:spacing w:val="17"/>
        </w:rPr>
        <w:t xml:space="preserve"> </w:t>
      </w:r>
      <w:r>
        <w:t>IPR</w:t>
      </w:r>
      <w:r>
        <w:rPr>
          <w:spacing w:val="17"/>
        </w:rPr>
        <w:t xml:space="preserve"> </w:t>
      </w:r>
      <w:r>
        <w:rPr>
          <w:spacing w:val="-1"/>
        </w:rPr>
        <w:t>is</w:t>
      </w:r>
      <w:r>
        <w:rPr>
          <w:spacing w:val="18"/>
        </w:rPr>
        <w:t xml:space="preserve"> </w:t>
      </w:r>
      <w:r>
        <w:rPr>
          <w:spacing w:val="-1"/>
        </w:rPr>
        <w:t>terminated</w:t>
      </w:r>
      <w:r>
        <w:rPr>
          <w:spacing w:val="50"/>
        </w:rPr>
        <w:t xml:space="preserve"> </w:t>
      </w:r>
      <w:r>
        <w:rPr>
          <w:spacing w:val="-1"/>
        </w:rPr>
        <w:t>pursuant</w:t>
      </w:r>
      <w:r>
        <w:t xml:space="preserve"> to</w:t>
      </w:r>
      <w:r>
        <w:rPr>
          <w:spacing w:val="-2"/>
        </w:rPr>
        <w:t xml:space="preserve"> Clause</w:t>
      </w:r>
      <w:r>
        <w:rPr>
          <w:spacing w:val="2"/>
        </w:rPr>
        <w:t xml:space="preserve"> </w:t>
      </w:r>
      <w:hyperlink w:anchor="_bookmark166" w:history="1">
        <w:r>
          <w:rPr>
            <w:spacing w:val="-1"/>
          </w:rPr>
          <w:t>33.3.2</w:t>
        </w:r>
      </w:hyperlink>
      <w:r>
        <w:rPr>
          <w:spacing w:val="-1"/>
        </w:rPr>
        <w:t>,</w:t>
      </w:r>
      <w:r>
        <w:t xml:space="preserve"> the </w:t>
      </w:r>
      <w:r>
        <w:rPr>
          <w:spacing w:val="-2"/>
        </w:rPr>
        <w:t>Customer</w:t>
      </w:r>
      <w:r>
        <w:t xml:space="preserve"> </w:t>
      </w:r>
      <w:r>
        <w:rPr>
          <w:spacing w:val="-2"/>
        </w:rPr>
        <w:t>shall:</w:t>
      </w:r>
    </w:p>
    <w:p w:rsidR="008918FA" w:rsidRDefault="008918FA" w:rsidP="008918FA">
      <w:pPr>
        <w:pStyle w:val="BodyText"/>
        <w:numPr>
          <w:ilvl w:val="3"/>
          <w:numId w:val="66"/>
        </w:numPr>
        <w:tabs>
          <w:tab w:val="left" w:pos="2596"/>
        </w:tabs>
        <w:ind w:left="2594" w:hanging="707"/>
      </w:pPr>
      <w:r>
        <w:rPr>
          <w:spacing w:val="-4"/>
        </w:rPr>
        <w:t>immediately</w:t>
      </w:r>
      <w:r>
        <w:rPr>
          <w:spacing w:val="-3"/>
        </w:rPr>
        <w:t xml:space="preserve"> </w:t>
      </w:r>
      <w:r>
        <w:rPr>
          <w:spacing w:val="-1"/>
        </w:rPr>
        <w:t>cease</w:t>
      </w:r>
      <w:r>
        <w:rPr>
          <w:spacing w:val="1"/>
        </w:rPr>
        <w:t xml:space="preserve"> </w:t>
      </w:r>
      <w:r>
        <w:rPr>
          <w:spacing w:val="-1"/>
        </w:rPr>
        <w:t>all</w:t>
      </w:r>
      <w:r>
        <w:t xml:space="preserve"> </w:t>
      </w:r>
      <w:r>
        <w:rPr>
          <w:spacing w:val="-2"/>
        </w:rPr>
        <w:t>use</w:t>
      </w:r>
      <w:r>
        <w:t xml:space="preserve"> </w:t>
      </w:r>
      <w:r>
        <w:rPr>
          <w:spacing w:val="-2"/>
        </w:rPr>
        <w:t>of</w:t>
      </w:r>
      <w:r>
        <w:rPr>
          <w:spacing w:val="2"/>
        </w:rPr>
        <w:t xml:space="preserve"> </w:t>
      </w:r>
      <w:r>
        <w:t>the</w:t>
      </w:r>
      <w:r>
        <w:rPr>
          <w:spacing w:val="-2"/>
        </w:rPr>
        <w:t xml:space="preserve"> Supplier</w:t>
      </w:r>
      <w:r>
        <w:rPr>
          <w:spacing w:val="2"/>
        </w:rPr>
        <w:t xml:space="preserve"> </w:t>
      </w:r>
      <w:r>
        <w:rPr>
          <w:spacing w:val="-2"/>
        </w:rPr>
        <w:t>Background</w:t>
      </w:r>
      <w:r>
        <w:t xml:space="preserve"> </w:t>
      </w:r>
      <w:r>
        <w:rPr>
          <w:spacing w:val="-1"/>
        </w:rPr>
        <w:t>IPR;</w:t>
      </w:r>
    </w:p>
    <w:p w:rsidR="008918FA" w:rsidRDefault="008918FA" w:rsidP="008918FA">
      <w:pPr>
        <w:pStyle w:val="BodyText"/>
        <w:numPr>
          <w:ilvl w:val="3"/>
          <w:numId w:val="66"/>
        </w:numPr>
        <w:tabs>
          <w:tab w:val="left" w:pos="2596"/>
        </w:tabs>
        <w:spacing w:before="121"/>
        <w:ind w:left="2594" w:right="112" w:hanging="707"/>
        <w:jc w:val="both"/>
      </w:pPr>
      <w:r>
        <w:rPr>
          <w:spacing w:val="-1"/>
        </w:rPr>
        <w:t>at</w:t>
      </w:r>
      <w:r>
        <w:rPr>
          <w:spacing w:val="35"/>
        </w:rPr>
        <w:t xml:space="preserve"> </w:t>
      </w:r>
      <w:r>
        <w:t>the</w:t>
      </w:r>
      <w:r>
        <w:rPr>
          <w:spacing w:val="31"/>
        </w:rPr>
        <w:t xml:space="preserve"> </w:t>
      </w:r>
      <w:r>
        <w:rPr>
          <w:spacing w:val="-1"/>
        </w:rPr>
        <w:t>discretion</w:t>
      </w:r>
      <w:r>
        <w:rPr>
          <w:spacing w:val="34"/>
        </w:rPr>
        <w:t xml:space="preserve"> </w:t>
      </w:r>
      <w:r>
        <w:rPr>
          <w:spacing w:val="-2"/>
        </w:rPr>
        <w:t>of</w:t>
      </w:r>
      <w:r>
        <w:rPr>
          <w:spacing w:val="35"/>
        </w:rPr>
        <w:t xml:space="preserve"> </w:t>
      </w:r>
      <w:r>
        <w:t>the</w:t>
      </w:r>
      <w:r>
        <w:rPr>
          <w:spacing w:val="31"/>
        </w:rPr>
        <w:t xml:space="preserve"> </w:t>
      </w:r>
      <w:r>
        <w:rPr>
          <w:spacing w:val="-1"/>
        </w:rPr>
        <w:t>Supplier,</w:t>
      </w:r>
      <w:r>
        <w:rPr>
          <w:spacing w:val="35"/>
        </w:rPr>
        <w:t xml:space="preserve"> </w:t>
      </w:r>
      <w:r>
        <w:rPr>
          <w:spacing w:val="-1"/>
        </w:rPr>
        <w:t>return</w:t>
      </w:r>
      <w:r>
        <w:rPr>
          <w:spacing w:val="35"/>
        </w:rPr>
        <w:t xml:space="preserve"> </w:t>
      </w:r>
      <w:r>
        <w:rPr>
          <w:spacing w:val="-2"/>
        </w:rPr>
        <w:t>or</w:t>
      </w:r>
      <w:r>
        <w:rPr>
          <w:spacing w:val="35"/>
        </w:rPr>
        <w:t xml:space="preserve"> </w:t>
      </w:r>
      <w:r>
        <w:rPr>
          <w:spacing w:val="-1"/>
        </w:rPr>
        <w:t>destroy</w:t>
      </w:r>
      <w:r>
        <w:rPr>
          <w:spacing w:val="32"/>
        </w:rPr>
        <w:t xml:space="preserve"> </w:t>
      </w:r>
      <w:r>
        <w:rPr>
          <w:spacing w:val="-1"/>
        </w:rPr>
        <w:t>documents</w:t>
      </w:r>
      <w:r>
        <w:rPr>
          <w:spacing w:val="25"/>
        </w:rPr>
        <w:t xml:space="preserve"> </w:t>
      </w:r>
      <w:r>
        <w:rPr>
          <w:spacing w:val="-1"/>
        </w:rPr>
        <w:t>and</w:t>
      </w:r>
      <w:r>
        <w:rPr>
          <w:spacing w:val="46"/>
        </w:rPr>
        <w:t xml:space="preserve"> </w:t>
      </w:r>
      <w:r>
        <w:rPr>
          <w:spacing w:val="-3"/>
        </w:rPr>
        <w:t>other</w:t>
      </w:r>
      <w:r>
        <w:rPr>
          <w:spacing w:val="42"/>
        </w:rPr>
        <w:t xml:space="preserve"> </w:t>
      </w:r>
      <w:r>
        <w:rPr>
          <w:spacing w:val="-1"/>
        </w:rPr>
        <w:t>tangible</w:t>
      </w:r>
      <w:r>
        <w:rPr>
          <w:spacing w:val="46"/>
        </w:rPr>
        <w:t xml:space="preserve"> </w:t>
      </w:r>
      <w:r>
        <w:rPr>
          <w:spacing w:val="-2"/>
        </w:rPr>
        <w:t>materials</w:t>
      </w:r>
      <w:r>
        <w:rPr>
          <w:spacing w:val="46"/>
        </w:rPr>
        <w:t xml:space="preserve"> </w:t>
      </w:r>
      <w:r>
        <w:rPr>
          <w:spacing w:val="-1"/>
        </w:rPr>
        <w:t>that</w:t>
      </w:r>
      <w:r>
        <w:rPr>
          <w:spacing w:val="47"/>
        </w:rPr>
        <w:t xml:space="preserve"> </w:t>
      </w:r>
      <w:r>
        <w:rPr>
          <w:spacing w:val="-1"/>
        </w:rPr>
        <w:t>contain</w:t>
      </w:r>
      <w:r>
        <w:rPr>
          <w:spacing w:val="46"/>
        </w:rPr>
        <w:t xml:space="preserve"> </w:t>
      </w:r>
      <w:r>
        <w:rPr>
          <w:spacing w:val="-1"/>
        </w:rPr>
        <w:t>any</w:t>
      </w:r>
      <w:r>
        <w:rPr>
          <w:spacing w:val="45"/>
        </w:rPr>
        <w:t xml:space="preserve"> </w:t>
      </w:r>
      <w:r>
        <w:rPr>
          <w:spacing w:val="-1"/>
        </w:rPr>
        <w:t>of</w:t>
      </w:r>
      <w:r>
        <w:rPr>
          <w:spacing w:val="47"/>
        </w:rPr>
        <w:t xml:space="preserve"> </w:t>
      </w:r>
      <w:r>
        <w:t>the</w:t>
      </w:r>
      <w:r>
        <w:rPr>
          <w:spacing w:val="46"/>
        </w:rPr>
        <w:t xml:space="preserve"> </w:t>
      </w:r>
      <w:r>
        <w:rPr>
          <w:spacing w:val="-2"/>
        </w:rPr>
        <w:t>Supplier</w:t>
      </w:r>
      <w:r>
        <w:rPr>
          <w:spacing w:val="48"/>
        </w:rPr>
        <w:t xml:space="preserve"> </w:t>
      </w:r>
      <w:r>
        <w:rPr>
          <w:spacing w:val="-1"/>
        </w:rPr>
        <w:t>Background</w:t>
      </w:r>
      <w:r>
        <w:rPr>
          <w:spacing w:val="10"/>
        </w:rPr>
        <w:t xml:space="preserve"> </w:t>
      </w:r>
      <w:r>
        <w:rPr>
          <w:spacing w:val="-1"/>
        </w:rPr>
        <w:t>IPR,</w:t>
      </w:r>
      <w:r>
        <w:rPr>
          <w:spacing w:val="11"/>
        </w:rPr>
        <w:t xml:space="preserve"> </w:t>
      </w:r>
      <w:r>
        <w:rPr>
          <w:spacing w:val="-1"/>
        </w:rPr>
        <w:t>provided</w:t>
      </w:r>
      <w:r>
        <w:rPr>
          <w:spacing w:val="10"/>
        </w:rPr>
        <w:t xml:space="preserve"> </w:t>
      </w:r>
      <w:r>
        <w:rPr>
          <w:spacing w:val="-1"/>
        </w:rPr>
        <w:t>that</w:t>
      </w:r>
      <w:r>
        <w:rPr>
          <w:spacing w:val="11"/>
        </w:rPr>
        <w:t xml:space="preserve"> </w:t>
      </w:r>
      <w:r>
        <w:rPr>
          <w:spacing w:val="-2"/>
        </w:rPr>
        <w:t>if</w:t>
      </w:r>
      <w:r>
        <w:rPr>
          <w:spacing w:val="14"/>
        </w:rPr>
        <w:t xml:space="preserve"> </w:t>
      </w:r>
      <w:r>
        <w:t>the</w:t>
      </w:r>
      <w:r>
        <w:rPr>
          <w:spacing w:val="10"/>
        </w:rPr>
        <w:t xml:space="preserve"> </w:t>
      </w:r>
      <w:r>
        <w:rPr>
          <w:spacing w:val="-2"/>
        </w:rPr>
        <w:t>Supplier</w:t>
      </w:r>
      <w:r>
        <w:rPr>
          <w:spacing w:val="11"/>
        </w:rPr>
        <w:t xml:space="preserve"> </w:t>
      </w:r>
      <w:r>
        <w:rPr>
          <w:spacing w:val="-2"/>
        </w:rPr>
        <w:t>has</w:t>
      </w:r>
      <w:r>
        <w:rPr>
          <w:spacing w:val="10"/>
        </w:rPr>
        <w:t xml:space="preserve"> </w:t>
      </w:r>
      <w:r>
        <w:rPr>
          <w:spacing w:val="-1"/>
        </w:rPr>
        <w:t>not</w:t>
      </w:r>
      <w:r>
        <w:rPr>
          <w:spacing w:val="11"/>
        </w:rPr>
        <w:t xml:space="preserve"> </w:t>
      </w:r>
      <w:r>
        <w:rPr>
          <w:spacing w:val="-1"/>
        </w:rPr>
        <w:t>made</w:t>
      </w:r>
      <w:r>
        <w:rPr>
          <w:spacing w:val="10"/>
        </w:rPr>
        <w:t xml:space="preserve"> </w:t>
      </w:r>
      <w:r>
        <w:rPr>
          <w:spacing w:val="-1"/>
        </w:rPr>
        <w:t>an</w:t>
      </w:r>
      <w:r>
        <w:rPr>
          <w:spacing w:val="40"/>
        </w:rPr>
        <w:t xml:space="preserve"> </w:t>
      </w:r>
      <w:r>
        <w:rPr>
          <w:spacing w:val="-1"/>
        </w:rPr>
        <w:t>election</w:t>
      </w:r>
      <w:r>
        <w:rPr>
          <w:spacing w:val="19"/>
        </w:rPr>
        <w:t xml:space="preserve"> </w:t>
      </w:r>
      <w:r>
        <w:rPr>
          <w:spacing w:val="-1"/>
        </w:rPr>
        <w:t>within</w:t>
      </w:r>
      <w:r>
        <w:rPr>
          <w:spacing w:val="20"/>
        </w:rPr>
        <w:t xml:space="preserve"> </w:t>
      </w:r>
      <w:r>
        <w:t>six</w:t>
      </w:r>
      <w:r>
        <w:rPr>
          <w:spacing w:val="19"/>
        </w:rPr>
        <w:t xml:space="preserve"> </w:t>
      </w:r>
      <w:r>
        <w:rPr>
          <w:spacing w:val="-1"/>
        </w:rPr>
        <w:t>(6)</w:t>
      </w:r>
      <w:r>
        <w:rPr>
          <w:spacing w:val="21"/>
        </w:rPr>
        <w:t xml:space="preserve"> </w:t>
      </w:r>
      <w:r>
        <w:rPr>
          <w:spacing w:val="-1"/>
        </w:rPr>
        <w:t>months</w:t>
      </w:r>
      <w:r>
        <w:rPr>
          <w:spacing w:val="20"/>
        </w:rPr>
        <w:t xml:space="preserve"> </w:t>
      </w:r>
      <w:r>
        <w:rPr>
          <w:spacing w:val="-2"/>
        </w:rPr>
        <w:t>of</w:t>
      </w:r>
      <w:r>
        <w:rPr>
          <w:spacing w:val="23"/>
        </w:rPr>
        <w:t xml:space="preserve"> </w:t>
      </w:r>
      <w:r>
        <w:t>the</w:t>
      </w:r>
      <w:r>
        <w:rPr>
          <w:spacing w:val="17"/>
        </w:rPr>
        <w:t xml:space="preserve"> </w:t>
      </w:r>
      <w:r>
        <w:rPr>
          <w:spacing w:val="-1"/>
        </w:rPr>
        <w:t>termination</w:t>
      </w:r>
      <w:r>
        <w:rPr>
          <w:spacing w:val="20"/>
        </w:rPr>
        <w:t xml:space="preserve"> </w:t>
      </w:r>
      <w:r>
        <w:rPr>
          <w:spacing w:val="-2"/>
        </w:rPr>
        <w:t>of</w:t>
      </w:r>
      <w:r>
        <w:rPr>
          <w:spacing w:val="23"/>
        </w:rPr>
        <w:t xml:space="preserve"> </w:t>
      </w:r>
      <w:r>
        <w:t>the</w:t>
      </w:r>
      <w:r>
        <w:rPr>
          <w:spacing w:val="20"/>
        </w:rPr>
        <w:t xml:space="preserve"> </w:t>
      </w:r>
      <w:r>
        <w:rPr>
          <w:spacing w:val="-1"/>
        </w:rPr>
        <w:t>licence,</w:t>
      </w:r>
      <w:r>
        <w:rPr>
          <w:spacing w:val="27"/>
        </w:rPr>
        <w:t xml:space="preserve"> </w:t>
      </w:r>
      <w:r>
        <w:t>the</w:t>
      </w:r>
      <w:r>
        <w:rPr>
          <w:spacing w:val="38"/>
        </w:rPr>
        <w:t xml:space="preserve"> </w:t>
      </w:r>
      <w:r>
        <w:rPr>
          <w:spacing w:val="-2"/>
        </w:rPr>
        <w:t>Customer</w:t>
      </w:r>
      <w:r>
        <w:rPr>
          <w:spacing w:val="38"/>
        </w:rPr>
        <w:t xml:space="preserve"> </w:t>
      </w:r>
      <w:r>
        <w:rPr>
          <w:spacing w:val="-1"/>
        </w:rPr>
        <w:t>may</w:t>
      </w:r>
      <w:r>
        <w:rPr>
          <w:spacing w:val="36"/>
        </w:rPr>
        <w:t xml:space="preserve"> </w:t>
      </w:r>
      <w:r>
        <w:rPr>
          <w:spacing w:val="-1"/>
        </w:rPr>
        <w:t>destroy</w:t>
      </w:r>
      <w:r>
        <w:rPr>
          <w:spacing w:val="36"/>
        </w:rPr>
        <w:t xml:space="preserve"> </w:t>
      </w:r>
      <w:r>
        <w:t>the</w:t>
      </w:r>
      <w:r>
        <w:rPr>
          <w:spacing w:val="39"/>
        </w:rPr>
        <w:t xml:space="preserve"> </w:t>
      </w:r>
      <w:r>
        <w:rPr>
          <w:spacing w:val="-1"/>
        </w:rPr>
        <w:t>documents</w:t>
      </w:r>
      <w:r>
        <w:rPr>
          <w:spacing w:val="39"/>
        </w:rPr>
        <w:t xml:space="preserve"> </w:t>
      </w:r>
      <w:r>
        <w:rPr>
          <w:spacing w:val="-1"/>
        </w:rPr>
        <w:t>and</w:t>
      </w:r>
      <w:r>
        <w:rPr>
          <w:spacing w:val="35"/>
        </w:rPr>
        <w:t xml:space="preserve"> </w:t>
      </w:r>
      <w:r>
        <w:rPr>
          <w:spacing w:val="-1"/>
        </w:rPr>
        <w:t>other</w:t>
      </w:r>
      <w:r>
        <w:rPr>
          <w:spacing w:val="37"/>
        </w:rPr>
        <w:t xml:space="preserve"> </w:t>
      </w:r>
      <w:r>
        <w:rPr>
          <w:spacing w:val="-1"/>
        </w:rPr>
        <w:t>tangible</w:t>
      </w:r>
      <w:r>
        <w:rPr>
          <w:spacing w:val="35"/>
        </w:rPr>
        <w:t xml:space="preserve"> </w:t>
      </w:r>
      <w:r>
        <w:rPr>
          <w:spacing w:val="-1"/>
        </w:rPr>
        <w:t>materials</w:t>
      </w:r>
      <w:r>
        <w:rPr>
          <w:spacing w:val="1"/>
        </w:rPr>
        <w:t xml:space="preserve"> </w:t>
      </w:r>
      <w:r>
        <w:rPr>
          <w:spacing w:val="-1"/>
        </w:rPr>
        <w:t>that</w:t>
      </w:r>
      <w:r>
        <w:rPr>
          <w:spacing w:val="2"/>
        </w:rPr>
        <w:t xml:space="preserve"> </w:t>
      </w:r>
      <w:r>
        <w:rPr>
          <w:spacing w:val="-1"/>
        </w:rPr>
        <w:t>contain</w:t>
      </w:r>
      <w:r>
        <w:t xml:space="preserve"> </w:t>
      </w:r>
      <w:r>
        <w:rPr>
          <w:spacing w:val="-2"/>
        </w:rPr>
        <w:t xml:space="preserve">any </w:t>
      </w:r>
      <w:r>
        <w:rPr>
          <w:spacing w:val="-1"/>
        </w:rPr>
        <w:t>of</w:t>
      </w:r>
      <w:r>
        <w:rPr>
          <w:spacing w:val="2"/>
        </w:rPr>
        <w:t xml:space="preserve"> </w:t>
      </w:r>
      <w:r>
        <w:t>the</w:t>
      </w:r>
      <w:r>
        <w:rPr>
          <w:spacing w:val="-2"/>
        </w:rPr>
        <w:t xml:space="preserve"> Supplier</w:t>
      </w:r>
      <w:r>
        <w:rPr>
          <w:spacing w:val="2"/>
        </w:rPr>
        <w:t xml:space="preserve"> </w:t>
      </w:r>
      <w:r>
        <w:rPr>
          <w:spacing w:val="-2"/>
        </w:rPr>
        <w:t>Background</w:t>
      </w:r>
      <w:r>
        <w:t xml:space="preserve"> </w:t>
      </w:r>
      <w:r>
        <w:rPr>
          <w:spacing w:val="-1"/>
        </w:rPr>
        <w:t>IPR;</w:t>
      </w:r>
      <w:r>
        <w:t xml:space="preserve"> </w:t>
      </w:r>
      <w:r>
        <w:rPr>
          <w:spacing w:val="-1"/>
        </w:rPr>
        <w:t>and</w:t>
      </w:r>
    </w:p>
    <w:p w:rsidR="008918FA" w:rsidRDefault="008918FA" w:rsidP="008918FA">
      <w:pPr>
        <w:pStyle w:val="BodyText"/>
        <w:numPr>
          <w:ilvl w:val="3"/>
          <w:numId w:val="66"/>
        </w:numPr>
        <w:tabs>
          <w:tab w:val="left" w:pos="2595"/>
        </w:tabs>
        <w:ind w:left="2594" w:right="112"/>
        <w:jc w:val="both"/>
      </w:pPr>
      <w:r>
        <w:rPr>
          <w:spacing w:val="-1"/>
        </w:rPr>
        <w:t>ensure,</w:t>
      </w:r>
      <w:r>
        <w:rPr>
          <w:spacing w:val="5"/>
        </w:rPr>
        <w:t xml:space="preserve"> </w:t>
      </w:r>
      <w:r>
        <w:rPr>
          <w:spacing w:val="-1"/>
        </w:rPr>
        <w:t>so</w:t>
      </w:r>
      <w:r>
        <w:rPr>
          <w:spacing w:val="4"/>
        </w:rPr>
        <w:t xml:space="preserve"> </w:t>
      </w:r>
      <w:r>
        <w:t>far</w:t>
      </w:r>
      <w:r>
        <w:rPr>
          <w:spacing w:val="5"/>
        </w:rPr>
        <w:t xml:space="preserve"> </w:t>
      </w:r>
      <w:r>
        <w:rPr>
          <w:spacing w:val="-1"/>
        </w:rPr>
        <w:t>as</w:t>
      </w:r>
      <w:r>
        <w:rPr>
          <w:spacing w:val="4"/>
        </w:rPr>
        <w:t xml:space="preserve"> </w:t>
      </w:r>
      <w:r>
        <w:rPr>
          <w:spacing w:val="-2"/>
        </w:rPr>
        <w:t>reasonably</w:t>
      </w:r>
      <w:r>
        <w:rPr>
          <w:spacing w:val="4"/>
        </w:rPr>
        <w:t xml:space="preserve"> </w:t>
      </w:r>
      <w:r>
        <w:rPr>
          <w:spacing w:val="-1"/>
        </w:rPr>
        <w:t>practicable,</w:t>
      </w:r>
      <w:r>
        <w:rPr>
          <w:spacing w:val="8"/>
        </w:rPr>
        <w:t xml:space="preserve"> </w:t>
      </w:r>
      <w:r>
        <w:rPr>
          <w:spacing w:val="-1"/>
        </w:rPr>
        <w:t>that</w:t>
      </w:r>
      <w:r>
        <w:rPr>
          <w:spacing w:val="5"/>
        </w:rPr>
        <w:t xml:space="preserve"> </w:t>
      </w:r>
      <w:r>
        <w:rPr>
          <w:spacing w:val="-1"/>
        </w:rPr>
        <w:t>any</w:t>
      </w:r>
      <w:r>
        <w:rPr>
          <w:spacing w:val="6"/>
        </w:rPr>
        <w:t xml:space="preserve"> </w:t>
      </w:r>
      <w:r>
        <w:rPr>
          <w:spacing w:val="-2"/>
        </w:rPr>
        <w:t>Supplier</w:t>
      </w:r>
      <w:r>
        <w:rPr>
          <w:spacing w:val="50"/>
        </w:rPr>
        <w:t xml:space="preserve"> </w:t>
      </w:r>
      <w:r>
        <w:rPr>
          <w:spacing w:val="-1"/>
        </w:rPr>
        <w:t>Background</w:t>
      </w:r>
      <w:r>
        <w:rPr>
          <w:spacing w:val="18"/>
        </w:rPr>
        <w:t xml:space="preserve"> </w:t>
      </w:r>
      <w:r>
        <w:t>IPR</w:t>
      </w:r>
      <w:r>
        <w:rPr>
          <w:spacing w:val="20"/>
        </w:rPr>
        <w:t xml:space="preserve"> </w:t>
      </w:r>
      <w:r>
        <w:rPr>
          <w:spacing w:val="-1"/>
        </w:rPr>
        <w:t>that</w:t>
      </w:r>
      <w:r>
        <w:rPr>
          <w:spacing w:val="22"/>
        </w:rPr>
        <w:t xml:space="preserve"> </w:t>
      </w:r>
      <w:r>
        <w:rPr>
          <w:spacing w:val="-2"/>
        </w:rPr>
        <w:t>is</w:t>
      </w:r>
      <w:r>
        <w:rPr>
          <w:spacing w:val="21"/>
        </w:rPr>
        <w:t xml:space="preserve"> </w:t>
      </w:r>
      <w:r>
        <w:rPr>
          <w:spacing w:val="-1"/>
        </w:rPr>
        <w:t>held</w:t>
      </w:r>
      <w:r>
        <w:rPr>
          <w:spacing w:val="21"/>
        </w:rPr>
        <w:t xml:space="preserve"> </w:t>
      </w:r>
      <w:r>
        <w:rPr>
          <w:spacing w:val="-1"/>
        </w:rPr>
        <w:t>in</w:t>
      </w:r>
      <w:r>
        <w:rPr>
          <w:spacing w:val="21"/>
        </w:rPr>
        <w:t xml:space="preserve"> </w:t>
      </w:r>
      <w:r>
        <w:rPr>
          <w:spacing w:val="-1"/>
        </w:rPr>
        <w:t>electronic,</w:t>
      </w:r>
      <w:r>
        <w:rPr>
          <w:spacing w:val="23"/>
        </w:rPr>
        <w:t xml:space="preserve"> </w:t>
      </w:r>
      <w:r>
        <w:rPr>
          <w:spacing w:val="-1"/>
        </w:rPr>
        <w:t>digital</w:t>
      </w:r>
      <w:r>
        <w:rPr>
          <w:spacing w:val="21"/>
        </w:rPr>
        <w:t xml:space="preserve"> </w:t>
      </w:r>
      <w:r>
        <w:rPr>
          <w:spacing w:val="-2"/>
        </w:rPr>
        <w:t>or</w:t>
      </w:r>
      <w:r>
        <w:rPr>
          <w:spacing w:val="22"/>
        </w:rPr>
        <w:t xml:space="preserve"> </w:t>
      </w:r>
      <w:r>
        <w:rPr>
          <w:spacing w:val="-1"/>
        </w:rPr>
        <w:t>other</w:t>
      </w:r>
      <w:r>
        <w:rPr>
          <w:spacing w:val="29"/>
        </w:rPr>
        <w:t xml:space="preserve"> </w:t>
      </w:r>
      <w:r>
        <w:rPr>
          <w:spacing w:val="-1"/>
        </w:rPr>
        <w:t>machine-readable</w:t>
      </w:r>
      <w:r>
        <w:rPr>
          <w:spacing w:val="27"/>
        </w:rPr>
        <w:t xml:space="preserve"> </w:t>
      </w:r>
      <w:r>
        <w:t>form</w:t>
      </w:r>
      <w:r>
        <w:rPr>
          <w:spacing w:val="28"/>
        </w:rPr>
        <w:t xml:space="preserve"> </w:t>
      </w:r>
      <w:r>
        <w:rPr>
          <w:spacing w:val="-1"/>
        </w:rPr>
        <w:t>ceases</w:t>
      </w:r>
      <w:r>
        <w:rPr>
          <w:spacing w:val="30"/>
        </w:rPr>
        <w:t xml:space="preserve"> </w:t>
      </w:r>
      <w:r>
        <w:t>to</w:t>
      </w:r>
      <w:r>
        <w:rPr>
          <w:spacing w:val="29"/>
        </w:rPr>
        <w:t xml:space="preserve"> </w:t>
      </w:r>
      <w:r>
        <w:rPr>
          <w:spacing w:val="-1"/>
        </w:rPr>
        <w:t>be</w:t>
      </w:r>
      <w:r>
        <w:rPr>
          <w:spacing w:val="27"/>
        </w:rPr>
        <w:t xml:space="preserve"> </w:t>
      </w:r>
      <w:r>
        <w:rPr>
          <w:spacing w:val="-1"/>
        </w:rPr>
        <w:t>readily</w:t>
      </w:r>
      <w:r>
        <w:rPr>
          <w:spacing w:val="27"/>
        </w:rPr>
        <w:t xml:space="preserve"> </w:t>
      </w:r>
      <w:r>
        <w:rPr>
          <w:spacing w:val="-1"/>
        </w:rPr>
        <w:t>accessible</w:t>
      </w:r>
      <w:r>
        <w:rPr>
          <w:spacing w:val="29"/>
        </w:rPr>
        <w:t xml:space="preserve"> </w:t>
      </w:r>
      <w:r>
        <w:rPr>
          <w:spacing w:val="-1"/>
        </w:rPr>
        <w:t>(other</w:t>
      </w:r>
      <w:r>
        <w:rPr>
          <w:spacing w:val="28"/>
        </w:rPr>
        <w:t xml:space="preserve"> </w:t>
      </w:r>
      <w:r>
        <w:rPr>
          <w:spacing w:val="-1"/>
        </w:rPr>
        <w:t>than</w:t>
      </w:r>
      <w:r>
        <w:rPr>
          <w:spacing w:val="19"/>
        </w:rPr>
        <w:t xml:space="preserve"> </w:t>
      </w:r>
      <w:r>
        <w:rPr>
          <w:spacing w:val="-1"/>
        </w:rPr>
        <w:t>by</w:t>
      </w:r>
      <w:r>
        <w:rPr>
          <w:spacing w:val="18"/>
        </w:rPr>
        <w:t xml:space="preserve"> </w:t>
      </w:r>
      <w:r>
        <w:t>the</w:t>
      </w:r>
      <w:r>
        <w:rPr>
          <w:spacing w:val="17"/>
        </w:rPr>
        <w:t xml:space="preserve"> </w:t>
      </w:r>
      <w:r>
        <w:rPr>
          <w:spacing w:val="-1"/>
        </w:rPr>
        <w:t>information</w:t>
      </w:r>
      <w:r>
        <w:rPr>
          <w:spacing w:val="20"/>
        </w:rPr>
        <w:t xml:space="preserve"> </w:t>
      </w:r>
      <w:r>
        <w:rPr>
          <w:spacing w:val="-1"/>
        </w:rPr>
        <w:t>technology</w:t>
      </w:r>
      <w:r>
        <w:rPr>
          <w:spacing w:val="19"/>
        </w:rPr>
        <w:t xml:space="preserve"> </w:t>
      </w:r>
      <w:r>
        <w:rPr>
          <w:spacing w:val="-1"/>
        </w:rPr>
        <w:t>staff</w:t>
      </w:r>
      <w:r>
        <w:rPr>
          <w:spacing w:val="19"/>
        </w:rPr>
        <w:t xml:space="preserve"> </w:t>
      </w:r>
      <w:r>
        <w:rPr>
          <w:spacing w:val="-2"/>
        </w:rPr>
        <w:t>of</w:t>
      </w:r>
      <w:r>
        <w:rPr>
          <w:spacing w:val="21"/>
        </w:rPr>
        <w:t xml:space="preserve"> </w:t>
      </w:r>
      <w:r>
        <w:t>the</w:t>
      </w:r>
      <w:r>
        <w:rPr>
          <w:spacing w:val="17"/>
        </w:rPr>
        <w:t xml:space="preserve"> </w:t>
      </w:r>
      <w:r>
        <w:rPr>
          <w:spacing w:val="-1"/>
        </w:rPr>
        <w:t>Customer)</w:t>
      </w:r>
      <w:r>
        <w:rPr>
          <w:spacing w:val="16"/>
        </w:rPr>
        <w:t xml:space="preserve"> </w:t>
      </w:r>
      <w:r>
        <w:t>from</w:t>
      </w:r>
      <w:r>
        <w:rPr>
          <w:spacing w:val="29"/>
        </w:rPr>
        <w:t xml:space="preserve"> </w:t>
      </w:r>
      <w:r>
        <w:rPr>
          <w:spacing w:val="-1"/>
        </w:rPr>
        <w:t>any</w:t>
      </w:r>
      <w:r>
        <w:rPr>
          <w:spacing w:val="25"/>
        </w:rPr>
        <w:t xml:space="preserve"> </w:t>
      </w:r>
      <w:r>
        <w:rPr>
          <w:spacing w:val="-1"/>
        </w:rPr>
        <w:t>computer,</w:t>
      </w:r>
      <w:r>
        <w:rPr>
          <w:spacing w:val="28"/>
        </w:rPr>
        <w:t xml:space="preserve"> </w:t>
      </w:r>
      <w:r>
        <w:rPr>
          <w:spacing w:val="-2"/>
        </w:rPr>
        <w:t>word</w:t>
      </w:r>
      <w:r>
        <w:rPr>
          <w:spacing w:val="27"/>
        </w:rPr>
        <w:t xml:space="preserve"> </w:t>
      </w:r>
      <w:r>
        <w:rPr>
          <w:spacing w:val="-1"/>
        </w:rPr>
        <w:t>processor,</w:t>
      </w:r>
      <w:r>
        <w:rPr>
          <w:spacing w:val="28"/>
        </w:rPr>
        <w:t xml:space="preserve"> </w:t>
      </w:r>
      <w:r>
        <w:rPr>
          <w:spacing w:val="-2"/>
        </w:rPr>
        <w:t>voicemail</w:t>
      </w:r>
      <w:r>
        <w:rPr>
          <w:spacing w:val="26"/>
        </w:rPr>
        <w:t xml:space="preserve"> </w:t>
      </w:r>
      <w:r>
        <w:rPr>
          <w:spacing w:val="-1"/>
        </w:rPr>
        <w:t>system</w:t>
      </w:r>
      <w:r>
        <w:rPr>
          <w:spacing w:val="28"/>
        </w:rPr>
        <w:t xml:space="preserve"> </w:t>
      </w:r>
      <w:r>
        <w:rPr>
          <w:spacing w:val="-1"/>
        </w:rPr>
        <w:t>or</w:t>
      </w:r>
      <w:r>
        <w:rPr>
          <w:spacing w:val="28"/>
        </w:rPr>
        <w:t xml:space="preserve"> </w:t>
      </w:r>
      <w:r>
        <w:rPr>
          <w:spacing w:val="-1"/>
        </w:rPr>
        <w:t>any</w:t>
      </w:r>
      <w:r>
        <w:rPr>
          <w:spacing w:val="25"/>
        </w:rPr>
        <w:t xml:space="preserve"> </w:t>
      </w:r>
      <w:r>
        <w:rPr>
          <w:spacing w:val="-1"/>
        </w:rPr>
        <w:t>other</w:t>
      </w:r>
      <w:r>
        <w:rPr>
          <w:spacing w:val="56"/>
        </w:rPr>
        <w:t xml:space="preserve"> </w:t>
      </w:r>
      <w:r>
        <w:rPr>
          <w:spacing w:val="-2"/>
        </w:rPr>
        <w:t>device</w:t>
      </w:r>
      <w:r>
        <w:rPr>
          <w:spacing w:val="1"/>
        </w:rPr>
        <w:t xml:space="preserve"> </w:t>
      </w:r>
      <w:r>
        <w:rPr>
          <w:spacing w:val="-1"/>
        </w:rPr>
        <w:t>containing</w:t>
      </w:r>
      <w:r>
        <w:rPr>
          <w:spacing w:val="3"/>
        </w:rPr>
        <w:t xml:space="preserve"> </w:t>
      </w:r>
      <w:r>
        <w:rPr>
          <w:spacing w:val="-1"/>
        </w:rPr>
        <w:t>such</w:t>
      </w:r>
      <w:r>
        <w:rPr>
          <w:spacing w:val="-2"/>
        </w:rPr>
        <w:t xml:space="preserve"> Supplier</w:t>
      </w:r>
      <w:r>
        <w:rPr>
          <w:spacing w:val="2"/>
        </w:rPr>
        <w:t xml:space="preserve"> </w:t>
      </w:r>
      <w:r>
        <w:rPr>
          <w:spacing w:val="-1"/>
        </w:rPr>
        <w:t>Background</w:t>
      </w:r>
      <w:r>
        <w:rPr>
          <w:spacing w:val="-2"/>
        </w:rPr>
        <w:t xml:space="preserve"> </w:t>
      </w:r>
      <w:r>
        <w:t>IPR.</w:t>
      </w:r>
    </w:p>
    <w:p w:rsidR="008918FA" w:rsidRDefault="008918FA" w:rsidP="008918FA">
      <w:pPr>
        <w:pStyle w:val="Heading1"/>
        <w:numPr>
          <w:ilvl w:val="1"/>
          <w:numId w:val="66"/>
        </w:numPr>
        <w:tabs>
          <w:tab w:val="left" w:pos="894"/>
        </w:tabs>
        <w:spacing w:before="119"/>
        <w:ind w:left="893" w:hanging="564"/>
        <w:rPr>
          <w:b w:val="0"/>
          <w:bCs w:val="0"/>
        </w:rPr>
      </w:pPr>
      <w:r>
        <w:rPr>
          <w:spacing w:val="-1"/>
        </w:rPr>
        <w:t>Customer’s</w:t>
      </w:r>
      <w:r>
        <w:rPr>
          <w:spacing w:val="-2"/>
        </w:rPr>
        <w:t xml:space="preserve"> </w:t>
      </w:r>
      <w:r>
        <w:rPr>
          <w:spacing w:val="-1"/>
        </w:rPr>
        <w:t xml:space="preserve">right </w:t>
      </w:r>
      <w:r>
        <w:t xml:space="preserve">to </w:t>
      </w:r>
      <w:r>
        <w:rPr>
          <w:spacing w:val="-1"/>
        </w:rPr>
        <w:t>sub-license</w:t>
      </w:r>
    </w:p>
    <w:p w:rsidR="008918FA" w:rsidRDefault="008918FA" w:rsidP="008918FA">
      <w:pPr>
        <w:pStyle w:val="BodyText"/>
        <w:numPr>
          <w:ilvl w:val="2"/>
          <w:numId w:val="66"/>
        </w:numPr>
        <w:tabs>
          <w:tab w:val="left" w:pos="1887"/>
        </w:tabs>
        <w:spacing w:before="121"/>
        <w:ind w:left="1886" w:right="111" w:hanging="993"/>
        <w:jc w:val="both"/>
      </w:pPr>
      <w:r>
        <w:t>The</w:t>
      </w:r>
      <w:r>
        <w:rPr>
          <w:spacing w:val="15"/>
        </w:rPr>
        <w:t xml:space="preserve"> </w:t>
      </w:r>
      <w:r>
        <w:rPr>
          <w:spacing w:val="-2"/>
        </w:rPr>
        <w:t>Customer</w:t>
      </w:r>
      <w:r>
        <w:rPr>
          <w:spacing w:val="14"/>
        </w:rPr>
        <w:t xml:space="preserve"> </w:t>
      </w:r>
      <w:r>
        <w:rPr>
          <w:spacing w:val="-1"/>
        </w:rPr>
        <w:t>shall</w:t>
      </w:r>
      <w:r>
        <w:rPr>
          <w:spacing w:val="14"/>
        </w:rPr>
        <w:t xml:space="preserve"> </w:t>
      </w:r>
      <w:r>
        <w:rPr>
          <w:spacing w:val="-1"/>
        </w:rPr>
        <w:t>be</w:t>
      </w:r>
      <w:r>
        <w:rPr>
          <w:spacing w:val="12"/>
        </w:rPr>
        <w:t xml:space="preserve"> </w:t>
      </w:r>
      <w:r>
        <w:rPr>
          <w:spacing w:val="-1"/>
        </w:rPr>
        <w:t>freely</w:t>
      </w:r>
      <w:r>
        <w:rPr>
          <w:spacing w:val="13"/>
        </w:rPr>
        <w:t xml:space="preserve"> </w:t>
      </w:r>
      <w:r>
        <w:rPr>
          <w:spacing w:val="-1"/>
        </w:rPr>
        <w:t>entitled</w:t>
      </w:r>
      <w:r>
        <w:rPr>
          <w:spacing w:val="15"/>
        </w:rPr>
        <w:t xml:space="preserve"> </w:t>
      </w:r>
      <w:r>
        <w:t>to</w:t>
      </w:r>
      <w:r>
        <w:rPr>
          <w:spacing w:val="15"/>
        </w:rPr>
        <w:t xml:space="preserve"> </w:t>
      </w:r>
      <w:r>
        <w:rPr>
          <w:spacing w:val="-1"/>
        </w:rPr>
        <w:t>sub-license</w:t>
      </w:r>
      <w:r>
        <w:rPr>
          <w:spacing w:val="15"/>
        </w:rPr>
        <w:t xml:space="preserve"> </w:t>
      </w:r>
      <w:r>
        <w:t>the</w:t>
      </w:r>
      <w:r>
        <w:rPr>
          <w:spacing w:val="12"/>
        </w:rPr>
        <w:t xml:space="preserve"> </w:t>
      </w:r>
      <w:r>
        <w:rPr>
          <w:spacing w:val="-1"/>
        </w:rPr>
        <w:t>rights</w:t>
      </w:r>
      <w:r>
        <w:rPr>
          <w:spacing w:val="10"/>
        </w:rPr>
        <w:t xml:space="preserve"> </w:t>
      </w:r>
      <w:r>
        <w:rPr>
          <w:spacing w:val="-1"/>
        </w:rPr>
        <w:t>granted</w:t>
      </w:r>
      <w:r>
        <w:rPr>
          <w:spacing w:val="52"/>
        </w:rPr>
        <w:t xml:space="preserve"> </w:t>
      </w:r>
      <w:r>
        <w:t>to</w:t>
      </w:r>
      <w:r>
        <w:rPr>
          <w:spacing w:val="9"/>
        </w:rPr>
        <w:t xml:space="preserve"> </w:t>
      </w:r>
      <w:r>
        <w:rPr>
          <w:spacing w:val="-1"/>
        </w:rPr>
        <w:t>it</w:t>
      </w:r>
      <w:r>
        <w:rPr>
          <w:spacing w:val="8"/>
        </w:rPr>
        <w:t xml:space="preserve"> </w:t>
      </w:r>
      <w:r>
        <w:rPr>
          <w:spacing w:val="-1"/>
        </w:rPr>
        <w:t>pursuant</w:t>
      </w:r>
      <w:r>
        <w:rPr>
          <w:spacing w:val="8"/>
        </w:rPr>
        <w:t xml:space="preserve"> </w:t>
      </w:r>
      <w:r>
        <w:t>to</w:t>
      </w:r>
      <w:r>
        <w:rPr>
          <w:spacing w:val="9"/>
        </w:rPr>
        <w:t xml:space="preserve"> </w:t>
      </w:r>
      <w:r>
        <w:rPr>
          <w:spacing w:val="-2"/>
        </w:rPr>
        <w:t>Clause</w:t>
      </w:r>
      <w:r>
        <w:rPr>
          <w:spacing w:val="9"/>
        </w:rPr>
        <w:t xml:space="preserve"> </w:t>
      </w:r>
      <w:hyperlink w:anchor="_bookmark163" w:history="1">
        <w:r>
          <w:rPr>
            <w:spacing w:val="-1"/>
          </w:rPr>
          <w:t>33.2.1</w:t>
        </w:r>
      </w:hyperlink>
      <w:r>
        <w:rPr>
          <w:spacing w:val="9"/>
        </w:rPr>
        <w:t xml:space="preserve"> </w:t>
      </w:r>
      <w:r>
        <w:rPr>
          <w:spacing w:val="-1"/>
        </w:rPr>
        <w:t>(Licence</w:t>
      </w:r>
      <w:r>
        <w:rPr>
          <w:spacing w:val="7"/>
        </w:rPr>
        <w:t xml:space="preserve"> </w:t>
      </w:r>
      <w:r>
        <w:rPr>
          <w:spacing w:val="-1"/>
        </w:rPr>
        <w:t>granted</w:t>
      </w:r>
      <w:r>
        <w:rPr>
          <w:spacing w:val="9"/>
        </w:rPr>
        <w:t xml:space="preserve"> </w:t>
      </w:r>
      <w:r>
        <w:rPr>
          <w:spacing w:val="-1"/>
        </w:rPr>
        <w:t>by</w:t>
      </w:r>
      <w:r>
        <w:rPr>
          <w:spacing w:val="7"/>
        </w:rPr>
        <w:t xml:space="preserve"> </w:t>
      </w:r>
      <w:r>
        <w:t>the</w:t>
      </w:r>
      <w:r>
        <w:rPr>
          <w:spacing w:val="6"/>
        </w:rPr>
        <w:t xml:space="preserve"> </w:t>
      </w:r>
      <w:r>
        <w:rPr>
          <w:spacing w:val="-1"/>
        </w:rPr>
        <w:t>Supplier:</w:t>
      </w:r>
      <w:r>
        <w:rPr>
          <w:spacing w:val="33"/>
        </w:rPr>
        <w:t xml:space="preserve"> </w:t>
      </w:r>
      <w:r>
        <w:rPr>
          <w:spacing w:val="-1"/>
        </w:rPr>
        <w:t>Project</w:t>
      </w:r>
      <w:r>
        <w:rPr>
          <w:spacing w:val="2"/>
        </w:rPr>
        <w:t xml:space="preserve"> </w:t>
      </w:r>
      <w:r>
        <w:rPr>
          <w:spacing w:val="-1"/>
        </w:rPr>
        <w:t>Specific</w:t>
      </w:r>
      <w:r>
        <w:rPr>
          <w:spacing w:val="-2"/>
        </w:rPr>
        <w:t xml:space="preserve"> </w:t>
      </w:r>
      <w:r>
        <w:rPr>
          <w:spacing w:val="-1"/>
        </w:rPr>
        <w:t>IPR).</w:t>
      </w:r>
    </w:p>
    <w:p w:rsidR="008918FA" w:rsidRDefault="008918FA" w:rsidP="008918FA">
      <w:pPr>
        <w:pStyle w:val="BodyText"/>
        <w:numPr>
          <w:ilvl w:val="2"/>
          <w:numId w:val="66"/>
        </w:numPr>
        <w:tabs>
          <w:tab w:val="left" w:pos="1887"/>
        </w:tabs>
        <w:ind w:left="1886" w:hanging="993"/>
      </w:pPr>
      <w:r>
        <w:t>The</w:t>
      </w:r>
      <w:r>
        <w:rPr>
          <w:spacing w:val="-2"/>
        </w:rPr>
        <w:t xml:space="preserve"> </w:t>
      </w:r>
      <w:r>
        <w:rPr>
          <w:spacing w:val="-1"/>
        </w:rPr>
        <w:t>Customer may</w:t>
      </w:r>
      <w:r>
        <w:rPr>
          <w:spacing w:val="-2"/>
        </w:rPr>
        <w:t xml:space="preserve"> </w:t>
      </w:r>
      <w:r>
        <w:rPr>
          <w:spacing w:val="-1"/>
        </w:rPr>
        <w:t>sub-license:</w:t>
      </w:r>
    </w:p>
    <w:p w:rsidR="008918FA" w:rsidRDefault="008918FA" w:rsidP="008918FA">
      <w:pPr>
        <w:pStyle w:val="BodyText"/>
        <w:numPr>
          <w:ilvl w:val="3"/>
          <w:numId w:val="66"/>
        </w:numPr>
        <w:tabs>
          <w:tab w:val="left" w:pos="2596"/>
        </w:tabs>
        <w:spacing w:before="121"/>
        <w:ind w:left="2595" w:right="114"/>
        <w:jc w:val="both"/>
      </w:pPr>
      <w:r>
        <w:t>the</w:t>
      </w:r>
      <w:r>
        <w:rPr>
          <w:spacing w:val="10"/>
        </w:rPr>
        <w:t xml:space="preserve"> </w:t>
      </w:r>
      <w:r>
        <w:rPr>
          <w:spacing w:val="-1"/>
        </w:rPr>
        <w:t>rights</w:t>
      </w:r>
      <w:r>
        <w:rPr>
          <w:spacing w:val="8"/>
        </w:rPr>
        <w:t xml:space="preserve"> </w:t>
      </w:r>
      <w:r>
        <w:rPr>
          <w:spacing w:val="-1"/>
        </w:rPr>
        <w:t>granted</w:t>
      </w:r>
      <w:r>
        <w:rPr>
          <w:spacing w:val="10"/>
        </w:rPr>
        <w:t xml:space="preserve"> </w:t>
      </w:r>
      <w:r>
        <w:rPr>
          <w:spacing w:val="-2"/>
        </w:rPr>
        <w:t>under</w:t>
      </w:r>
      <w:r>
        <w:rPr>
          <w:spacing w:val="9"/>
        </w:rPr>
        <w:t xml:space="preserve"> </w:t>
      </w:r>
      <w:r>
        <w:rPr>
          <w:spacing w:val="-2"/>
        </w:rPr>
        <w:t>Clause</w:t>
      </w:r>
      <w:r>
        <w:rPr>
          <w:spacing w:val="11"/>
        </w:rPr>
        <w:t xml:space="preserve"> </w:t>
      </w:r>
      <w:hyperlink w:anchor="_bookmark165" w:history="1">
        <w:r>
          <w:rPr>
            <w:spacing w:val="-1"/>
          </w:rPr>
          <w:t>33.3.1</w:t>
        </w:r>
      </w:hyperlink>
      <w:r>
        <w:rPr>
          <w:spacing w:val="10"/>
        </w:rPr>
        <w:t xml:space="preserve"> </w:t>
      </w:r>
      <w:r>
        <w:rPr>
          <w:spacing w:val="-1"/>
        </w:rPr>
        <w:t>(Licence</w:t>
      </w:r>
      <w:r>
        <w:rPr>
          <w:spacing w:val="8"/>
        </w:rPr>
        <w:t xml:space="preserve"> </w:t>
      </w:r>
      <w:r>
        <w:rPr>
          <w:spacing w:val="-1"/>
        </w:rPr>
        <w:t>granted</w:t>
      </w:r>
      <w:r>
        <w:rPr>
          <w:spacing w:val="10"/>
        </w:rPr>
        <w:t xml:space="preserve"> </w:t>
      </w:r>
      <w:r>
        <w:rPr>
          <w:spacing w:val="-1"/>
        </w:rPr>
        <w:t>by</w:t>
      </w:r>
      <w:r>
        <w:rPr>
          <w:spacing w:val="8"/>
        </w:rPr>
        <w:t xml:space="preserve"> </w:t>
      </w:r>
      <w:r>
        <w:rPr>
          <w:spacing w:val="-1"/>
        </w:rPr>
        <w:t>the</w:t>
      </w:r>
      <w:r>
        <w:rPr>
          <w:spacing w:val="64"/>
        </w:rPr>
        <w:t xml:space="preserve"> </w:t>
      </w:r>
      <w:r>
        <w:rPr>
          <w:spacing w:val="-1"/>
        </w:rPr>
        <w:t>Supplier:</w:t>
      </w:r>
      <w:r>
        <w:rPr>
          <w:spacing w:val="35"/>
        </w:rPr>
        <w:t xml:space="preserve"> </w:t>
      </w:r>
      <w:r>
        <w:rPr>
          <w:spacing w:val="-2"/>
        </w:rPr>
        <w:t>Supplier</w:t>
      </w:r>
      <w:r>
        <w:rPr>
          <w:spacing w:val="35"/>
        </w:rPr>
        <w:t xml:space="preserve"> </w:t>
      </w:r>
      <w:r>
        <w:rPr>
          <w:spacing w:val="-1"/>
        </w:rPr>
        <w:t>Background</w:t>
      </w:r>
      <w:r>
        <w:rPr>
          <w:spacing w:val="34"/>
        </w:rPr>
        <w:t xml:space="preserve"> </w:t>
      </w:r>
      <w:r>
        <w:rPr>
          <w:spacing w:val="-1"/>
        </w:rPr>
        <w:t>IPR)</w:t>
      </w:r>
      <w:r>
        <w:rPr>
          <w:spacing w:val="36"/>
        </w:rPr>
        <w:t xml:space="preserve"> </w:t>
      </w:r>
      <w:r>
        <w:t>to</w:t>
      </w:r>
      <w:r>
        <w:rPr>
          <w:spacing w:val="31"/>
        </w:rPr>
        <w:t xml:space="preserve"> </w:t>
      </w:r>
      <w:r>
        <w:t>a</w:t>
      </w:r>
      <w:r>
        <w:rPr>
          <w:spacing w:val="31"/>
        </w:rPr>
        <w:t xml:space="preserve"> </w:t>
      </w:r>
      <w:r>
        <w:rPr>
          <w:spacing w:val="-1"/>
        </w:rPr>
        <w:t>third</w:t>
      </w:r>
      <w:r>
        <w:rPr>
          <w:spacing w:val="32"/>
        </w:rPr>
        <w:t xml:space="preserve"> </w:t>
      </w:r>
      <w:r>
        <w:rPr>
          <w:spacing w:val="-1"/>
        </w:rPr>
        <w:t>party</w:t>
      </w:r>
      <w:r>
        <w:rPr>
          <w:spacing w:val="32"/>
        </w:rPr>
        <w:t xml:space="preserve"> </w:t>
      </w:r>
      <w:r>
        <w:rPr>
          <w:spacing w:val="-2"/>
        </w:rPr>
        <w:t>(including</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spacing w:before="59"/>
        <w:ind w:left="2594" w:right="115" w:firstLine="0"/>
      </w:pPr>
      <w:r>
        <w:t xml:space="preserve">for  </w:t>
      </w:r>
      <w:r>
        <w:rPr>
          <w:spacing w:val="4"/>
        </w:rPr>
        <w:t xml:space="preserve"> </w:t>
      </w:r>
      <w:r>
        <w:t xml:space="preserve">the  </w:t>
      </w:r>
      <w:r>
        <w:rPr>
          <w:spacing w:val="5"/>
        </w:rPr>
        <w:t xml:space="preserve"> </w:t>
      </w:r>
      <w:r>
        <w:rPr>
          <w:spacing w:val="-2"/>
        </w:rPr>
        <w:t>avoidance</w:t>
      </w:r>
      <w:r>
        <w:t xml:space="preserve">  </w:t>
      </w:r>
      <w:r>
        <w:rPr>
          <w:spacing w:val="6"/>
        </w:rPr>
        <w:t xml:space="preserve"> </w:t>
      </w:r>
      <w:r>
        <w:rPr>
          <w:spacing w:val="-2"/>
        </w:rPr>
        <w:t>of</w:t>
      </w:r>
      <w:r>
        <w:t xml:space="preserve">  </w:t>
      </w:r>
      <w:r>
        <w:rPr>
          <w:spacing w:val="7"/>
        </w:rPr>
        <w:t xml:space="preserve"> </w:t>
      </w:r>
      <w:r>
        <w:rPr>
          <w:spacing w:val="-1"/>
        </w:rPr>
        <w:t>doubt,</w:t>
      </w:r>
      <w:r>
        <w:t xml:space="preserve">  </w:t>
      </w:r>
      <w:r>
        <w:rPr>
          <w:spacing w:val="4"/>
        </w:rPr>
        <w:t xml:space="preserve"> </w:t>
      </w:r>
      <w:r>
        <w:rPr>
          <w:spacing w:val="-1"/>
        </w:rPr>
        <w:t>any</w:t>
      </w:r>
      <w:r>
        <w:t xml:space="preserve">  </w:t>
      </w:r>
      <w:r>
        <w:rPr>
          <w:spacing w:val="3"/>
        </w:rPr>
        <w:t xml:space="preserve"> </w:t>
      </w:r>
      <w:r>
        <w:rPr>
          <w:spacing w:val="-1"/>
        </w:rPr>
        <w:t>Replacement</w:t>
      </w:r>
      <w:r>
        <w:t xml:space="preserve">  </w:t>
      </w:r>
      <w:r>
        <w:rPr>
          <w:spacing w:val="7"/>
        </w:rPr>
        <w:t xml:space="preserve"> </w:t>
      </w:r>
      <w:r>
        <w:rPr>
          <w:spacing w:val="-2"/>
        </w:rPr>
        <w:t>Supplier)</w:t>
      </w:r>
      <w:r>
        <w:rPr>
          <w:spacing w:val="41"/>
        </w:rPr>
        <w:t xml:space="preserve"> </w:t>
      </w:r>
      <w:r>
        <w:rPr>
          <w:spacing w:val="-2"/>
        </w:rPr>
        <w:t>provided</w:t>
      </w:r>
      <w:r>
        <w:t xml:space="preserve"> that:</w:t>
      </w:r>
    </w:p>
    <w:p w:rsidR="008918FA" w:rsidRDefault="008918FA" w:rsidP="008918FA">
      <w:pPr>
        <w:pStyle w:val="BodyText"/>
        <w:numPr>
          <w:ilvl w:val="4"/>
          <w:numId w:val="66"/>
        </w:numPr>
        <w:tabs>
          <w:tab w:val="left" w:pos="3164"/>
        </w:tabs>
        <w:spacing w:before="121"/>
        <w:ind w:left="3163" w:right="112"/>
        <w:jc w:val="both"/>
      </w:pPr>
      <w:r>
        <w:t xml:space="preserve">the </w:t>
      </w:r>
      <w:r>
        <w:rPr>
          <w:spacing w:val="-1"/>
        </w:rPr>
        <w:t>sub-licence</w:t>
      </w:r>
      <w:r>
        <w:rPr>
          <w:spacing w:val="1"/>
        </w:rPr>
        <w:t xml:space="preserve"> </w:t>
      </w:r>
      <w:r>
        <w:rPr>
          <w:spacing w:val="-1"/>
        </w:rPr>
        <w:t>is</w:t>
      </w:r>
      <w:r>
        <w:rPr>
          <w:spacing w:val="1"/>
        </w:rPr>
        <w:t xml:space="preserve"> </w:t>
      </w:r>
      <w:r>
        <w:rPr>
          <w:spacing w:val="-1"/>
        </w:rPr>
        <w:t>on</w:t>
      </w:r>
      <w:r>
        <w:t xml:space="preserve"> </w:t>
      </w:r>
      <w:r>
        <w:rPr>
          <w:spacing w:val="-1"/>
        </w:rPr>
        <w:t>terms</w:t>
      </w:r>
      <w:r>
        <w:rPr>
          <w:spacing w:val="1"/>
        </w:rPr>
        <w:t xml:space="preserve"> </w:t>
      </w:r>
      <w:r>
        <w:rPr>
          <w:spacing w:val="-1"/>
        </w:rPr>
        <w:t>no</w:t>
      </w:r>
      <w:r>
        <w:t xml:space="preserve"> </w:t>
      </w:r>
      <w:r>
        <w:rPr>
          <w:spacing w:val="-1"/>
        </w:rPr>
        <w:t>broader than</w:t>
      </w:r>
      <w:r>
        <w:t xml:space="preserve"> </w:t>
      </w:r>
      <w:r>
        <w:rPr>
          <w:spacing w:val="-1"/>
        </w:rPr>
        <w:t>those</w:t>
      </w:r>
      <w:r>
        <w:t xml:space="preserve"> </w:t>
      </w:r>
      <w:r>
        <w:rPr>
          <w:spacing w:val="-1"/>
        </w:rPr>
        <w:t>granted</w:t>
      </w:r>
      <w:r>
        <w:rPr>
          <w:spacing w:val="25"/>
        </w:rPr>
        <w:t xml:space="preserve"> </w:t>
      </w:r>
      <w:r>
        <w:t>to</w:t>
      </w:r>
      <w:r>
        <w:rPr>
          <w:spacing w:val="-2"/>
        </w:rPr>
        <w:t xml:space="preserve"> </w:t>
      </w:r>
      <w:r>
        <w:t xml:space="preserve">the </w:t>
      </w:r>
      <w:r>
        <w:rPr>
          <w:spacing w:val="-4"/>
        </w:rPr>
        <w:t>Customer;</w:t>
      </w:r>
      <w:r>
        <w:t xml:space="preserve"> </w:t>
      </w:r>
      <w:r>
        <w:rPr>
          <w:spacing w:val="-1"/>
        </w:rPr>
        <w:t>and</w:t>
      </w:r>
    </w:p>
    <w:p w:rsidR="008918FA" w:rsidRDefault="008918FA" w:rsidP="008918FA">
      <w:pPr>
        <w:pStyle w:val="BodyText"/>
        <w:numPr>
          <w:ilvl w:val="4"/>
          <w:numId w:val="66"/>
        </w:numPr>
        <w:tabs>
          <w:tab w:val="left" w:pos="3164"/>
        </w:tabs>
        <w:spacing w:before="121"/>
        <w:ind w:left="3162" w:right="112" w:hanging="568"/>
        <w:jc w:val="both"/>
      </w:pPr>
      <w:r>
        <w:t>the</w:t>
      </w:r>
      <w:r>
        <w:rPr>
          <w:spacing w:val="20"/>
        </w:rPr>
        <w:t xml:space="preserve"> </w:t>
      </w:r>
      <w:r>
        <w:rPr>
          <w:spacing w:val="-1"/>
        </w:rPr>
        <w:t>sub-licence</w:t>
      </w:r>
      <w:r>
        <w:rPr>
          <w:spacing w:val="20"/>
        </w:rPr>
        <w:t xml:space="preserve"> </w:t>
      </w:r>
      <w:r>
        <w:rPr>
          <w:spacing w:val="-1"/>
        </w:rPr>
        <w:t>only</w:t>
      </w:r>
      <w:r>
        <w:rPr>
          <w:spacing w:val="20"/>
        </w:rPr>
        <w:t xml:space="preserve"> </w:t>
      </w:r>
      <w:r>
        <w:rPr>
          <w:spacing w:val="-1"/>
        </w:rPr>
        <w:t>authorises</w:t>
      </w:r>
      <w:r>
        <w:rPr>
          <w:spacing w:val="20"/>
        </w:rPr>
        <w:t xml:space="preserve"> </w:t>
      </w:r>
      <w:r>
        <w:t>the</w:t>
      </w:r>
      <w:r>
        <w:rPr>
          <w:spacing w:val="20"/>
        </w:rPr>
        <w:t xml:space="preserve"> </w:t>
      </w:r>
      <w:r>
        <w:rPr>
          <w:spacing w:val="-1"/>
        </w:rPr>
        <w:t>third</w:t>
      </w:r>
      <w:r>
        <w:rPr>
          <w:spacing w:val="20"/>
        </w:rPr>
        <w:t xml:space="preserve"> </w:t>
      </w:r>
      <w:r>
        <w:rPr>
          <w:spacing w:val="-1"/>
        </w:rPr>
        <w:t>party</w:t>
      </w:r>
      <w:r>
        <w:rPr>
          <w:spacing w:val="17"/>
        </w:rPr>
        <w:t xml:space="preserve"> </w:t>
      </w:r>
      <w:r>
        <w:t>to</w:t>
      </w:r>
      <w:r>
        <w:rPr>
          <w:spacing w:val="17"/>
        </w:rPr>
        <w:t xml:space="preserve"> </w:t>
      </w:r>
      <w:r>
        <w:rPr>
          <w:spacing w:val="-1"/>
        </w:rPr>
        <w:t>use</w:t>
      </w:r>
      <w:r>
        <w:rPr>
          <w:spacing w:val="20"/>
        </w:rPr>
        <w:t xml:space="preserve"> </w:t>
      </w:r>
      <w:r>
        <w:rPr>
          <w:spacing w:val="-1"/>
        </w:rPr>
        <w:t>the</w:t>
      </w:r>
      <w:r>
        <w:rPr>
          <w:spacing w:val="36"/>
        </w:rPr>
        <w:t xml:space="preserve"> </w:t>
      </w:r>
      <w:r>
        <w:rPr>
          <w:spacing w:val="-1"/>
        </w:rPr>
        <w:t>rights</w:t>
      </w:r>
      <w:r>
        <w:rPr>
          <w:spacing w:val="32"/>
        </w:rPr>
        <w:t xml:space="preserve"> </w:t>
      </w:r>
      <w:r>
        <w:rPr>
          <w:spacing w:val="-1"/>
        </w:rPr>
        <w:t>licensed</w:t>
      </w:r>
      <w:r>
        <w:rPr>
          <w:spacing w:val="31"/>
        </w:rPr>
        <w:t xml:space="preserve"> </w:t>
      </w:r>
      <w:r>
        <w:rPr>
          <w:spacing w:val="-1"/>
        </w:rPr>
        <w:t>in</w:t>
      </w:r>
      <w:r>
        <w:rPr>
          <w:spacing w:val="31"/>
        </w:rPr>
        <w:t xml:space="preserve"> </w:t>
      </w:r>
      <w:r>
        <w:rPr>
          <w:spacing w:val="-1"/>
        </w:rPr>
        <w:t>Clause</w:t>
      </w:r>
      <w:r>
        <w:rPr>
          <w:spacing w:val="32"/>
        </w:rPr>
        <w:t xml:space="preserve"> </w:t>
      </w:r>
      <w:hyperlink w:anchor="_bookmark165" w:history="1">
        <w:r>
          <w:rPr>
            <w:spacing w:val="-1"/>
          </w:rPr>
          <w:t>33.3.1</w:t>
        </w:r>
      </w:hyperlink>
      <w:r>
        <w:rPr>
          <w:spacing w:val="-2"/>
        </w:rPr>
        <w:t xml:space="preserve"> </w:t>
      </w:r>
      <w:r>
        <w:rPr>
          <w:spacing w:val="-1"/>
        </w:rPr>
        <w:t>(Licence</w:t>
      </w:r>
      <w:r>
        <w:rPr>
          <w:spacing w:val="30"/>
        </w:rPr>
        <w:t xml:space="preserve"> </w:t>
      </w:r>
      <w:r>
        <w:rPr>
          <w:spacing w:val="-1"/>
        </w:rPr>
        <w:t>granted</w:t>
      </w:r>
      <w:r>
        <w:rPr>
          <w:spacing w:val="31"/>
        </w:rPr>
        <w:t xml:space="preserve"> </w:t>
      </w:r>
      <w:r>
        <w:rPr>
          <w:spacing w:val="-1"/>
        </w:rPr>
        <w:t>by</w:t>
      </w:r>
      <w:r>
        <w:rPr>
          <w:spacing w:val="30"/>
        </w:rPr>
        <w:t xml:space="preserve"> </w:t>
      </w:r>
      <w:r>
        <w:rPr>
          <w:spacing w:val="-1"/>
        </w:rPr>
        <w:t>the</w:t>
      </w:r>
      <w:r>
        <w:rPr>
          <w:spacing w:val="40"/>
        </w:rPr>
        <w:t xml:space="preserve"> </w:t>
      </w:r>
      <w:r>
        <w:rPr>
          <w:spacing w:val="-1"/>
        </w:rPr>
        <w:t>Supplier:</w:t>
      </w:r>
      <w:r>
        <w:rPr>
          <w:spacing w:val="19"/>
        </w:rPr>
        <w:t xml:space="preserve"> </w:t>
      </w:r>
      <w:r>
        <w:rPr>
          <w:spacing w:val="-2"/>
        </w:rPr>
        <w:t>Supplier</w:t>
      </w:r>
      <w:r>
        <w:rPr>
          <w:spacing w:val="19"/>
        </w:rPr>
        <w:t xml:space="preserve"> </w:t>
      </w:r>
      <w:r>
        <w:rPr>
          <w:spacing w:val="-1"/>
        </w:rPr>
        <w:t>Background</w:t>
      </w:r>
      <w:r>
        <w:rPr>
          <w:spacing w:val="17"/>
        </w:rPr>
        <w:t xml:space="preserve"> </w:t>
      </w:r>
      <w:r>
        <w:rPr>
          <w:spacing w:val="-1"/>
        </w:rPr>
        <w:t>IPR)</w:t>
      </w:r>
      <w:r>
        <w:rPr>
          <w:spacing w:val="17"/>
        </w:rPr>
        <w:t xml:space="preserve"> </w:t>
      </w:r>
      <w:r>
        <w:t>for</w:t>
      </w:r>
      <w:r>
        <w:rPr>
          <w:spacing w:val="19"/>
        </w:rPr>
        <w:t xml:space="preserve"> </w:t>
      </w:r>
      <w:r>
        <w:rPr>
          <w:spacing w:val="-1"/>
        </w:rPr>
        <w:t>purposes</w:t>
      </w:r>
      <w:r>
        <w:rPr>
          <w:spacing w:val="15"/>
        </w:rPr>
        <w:t xml:space="preserve"> </w:t>
      </w:r>
      <w:r>
        <w:rPr>
          <w:spacing w:val="-1"/>
        </w:rPr>
        <w:t>relating</w:t>
      </w:r>
      <w:r>
        <w:rPr>
          <w:spacing w:val="27"/>
        </w:rPr>
        <w:t xml:space="preserve"> </w:t>
      </w:r>
      <w:r>
        <w:t>to</w:t>
      </w:r>
      <w:r>
        <w:rPr>
          <w:spacing w:val="17"/>
        </w:rPr>
        <w:t xml:space="preserve"> </w:t>
      </w:r>
      <w:r>
        <w:t>the</w:t>
      </w:r>
      <w:r>
        <w:rPr>
          <w:spacing w:val="17"/>
        </w:rPr>
        <w:t xml:space="preserve"> </w:t>
      </w:r>
      <w:r>
        <w:rPr>
          <w:spacing w:val="-1"/>
        </w:rPr>
        <w:t>Goods</w:t>
      </w:r>
      <w:r>
        <w:rPr>
          <w:spacing w:val="18"/>
        </w:rPr>
        <w:t xml:space="preserve"> </w:t>
      </w:r>
      <w:r>
        <w:rPr>
          <w:spacing w:val="-1"/>
        </w:rPr>
        <w:t>and/or</w:t>
      </w:r>
      <w:r>
        <w:rPr>
          <w:spacing w:val="19"/>
        </w:rPr>
        <w:t xml:space="preserve"> </w:t>
      </w:r>
      <w:r>
        <w:rPr>
          <w:spacing w:val="-2"/>
        </w:rPr>
        <w:t>Services</w:t>
      </w:r>
      <w:r>
        <w:rPr>
          <w:spacing w:val="18"/>
        </w:rPr>
        <w:t xml:space="preserve"> </w:t>
      </w:r>
      <w:r>
        <w:rPr>
          <w:spacing w:val="-1"/>
        </w:rPr>
        <w:t>(or</w:t>
      </w:r>
      <w:r>
        <w:rPr>
          <w:spacing w:val="19"/>
        </w:rPr>
        <w:t xml:space="preserve"> </w:t>
      </w:r>
      <w:r>
        <w:rPr>
          <w:spacing w:val="-1"/>
        </w:rPr>
        <w:t>substantially</w:t>
      </w:r>
      <w:r>
        <w:rPr>
          <w:spacing w:val="15"/>
        </w:rPr>
        <w:t xml:space="preserve"> </w:t>
      </w:r>
      <w:r>
        <w:rPr>
          <w:spacing w:val="-1"/>
        </w:rPr>
        <w:t>equivalent</w:t>
      </w:r>
      <w:r>
        <w:rPr>
          <w:spacing w:val="36"/>
        </w:rPr>
        <w:t xml:space="preserve"> </w:t>
      </w:r>
      <w:r>
        <w:rPr>
          <w:spacing w:val="-1"/>
        </w:rPr>
        <w:t>goods</w:t>
      </w:r>
      <w:r>
        <w:rPr>
          <w:spacing w:val="20"/>
        </w:rPr>
        <w:t xml:space="preserve"> </w:t>
      </w:r>
      <w:r>
        <w:rPr>
          <w:spacing w:val="-1"/>
        </w:rPr>
        <w:t>and/or</w:t>
      </w:r>
      <w:r>
        <w:rPr>
          <w:spacing w:val="19"/>
        </w:rPr>
        <w:t xml:space="preserve"> </w:t>
      </w:r>
      <w:r>
        <w:rPr>
          <w:spacing w:val="-1"/>
        </w:rPr>
        <w:t>services)</w:t>
      </w:r>
      <w:r>
        <w:rPr>
          <w:spacing w:val="19"/>
        </w:rPr>
        <w:t xml:space="preserve"> </w:t>
      </w:r>
      <w:r>
        <w:rPr>
          <w:spacing w:val="-1"/>
        </w:rPr>
        <w:t>or</w:t>
      </w:r>
      <w:r>
        <w:rPr>
          <w:spacing w:val="19"/>
        </w:rPr>
        <w:t xml:space="preserve"> </w:t>
      </w:r>
      <w:r>
        <w:t>for</w:t>
      </w:r>
      <w:r>
        <w:rPr>
          <w:spacing w:val="21"/>
        </w:rPr>
        <w:t xml:space="preserve"> </w:t>
      </w:r>
      <w:r>
        <w:rPr>
          <w:spacing w:val="-1"/>
        </w:rPr>
        <w:t>any</w:t>
      </w:r>
      <w:r>
        <w:rPr>
          <w:spacing w:val="17"/>
        </w:rPr>
        <w:t xml:space="preserve"> </w:t>
      </w:r>
      <w:r>
        <w:rPr>
          <w:spacing w:val="-1"/>
        </w:rPr>
        <w:t>purpose</w:t>
      </w:r>
      <w:r>
        <w:rPr>
          <w:spacing w:val="20"/>
        </w:rPr>
        <w:t xml:space="preserve"> </w:t>
      </w:r>
      <w:r>
        <w:rPr>
          <w:spacing w:val="-1"/>
        </w:rPr>
        <w:t>relating</w:t>
      </w:r>
      <w:r>
        <w:rPr>
          <w:spacing w:val="21"/>
        </w:rPr>
        <w:t xml:space="preserve"> </w:t>
      </w:r>
      <w:r>
        <w:t>to</w:t>
      </w:r>
      <w:r>
        <w:rPr>
          <w:spacing w:val="20"/>
        </w:rPr>
        <w:t xml:space="preserve"> </w:t>
      </w:r>
      <w:r>
        <w:rPr>
          <w:spacing w:val="-2"/>
        </w:rPr>
        <w:t>the</w:t>
      </w:r>
      <w:r>
        <w:rPr>
          <w:spacing w:val="24"/>
        </w:rPr>
        <w:t xml:space="preserve"> </w:t>
      </w:r>
      <w:r>
        <w:rPr>
          <w:spacing w:val="-1"/>
        </w:rPr>
        <w:t>exercise</w:t>
      </w:r>
      <w:r>
        <w:rPr>
          <w:spacing w:val="16"/>
        </w:rPr>
        <w:t xml:space="preserve"> </w:t>
      </w:r>
      <w:r>
        <w:rPr>
          <w:spacing w:val="-1"/>
        </w:rPr>
        <w:t>of</w:t>
      </w:r>
      <w:r>
        <w:rPr>
          <w:spacing w:val="17"/>
        </w:rPr>
        <w:t xml:space="preserve"> </w:t>
      </w:r>
      <w:r>
        <w:t>the</w:t>
      </w:r>
      <w:r>
        <w:rPr>
          <w:spacing w:val="13"/>
        </w:rPr>
        <w:t xml:space="preserve"> </w:t>
      </w:r>
      <w:r>
        <w:rPr>
          <w:spacing w:val="-1"/>
        </w:rPr>
        <w:t>Customer’s</w:t>
      </w:r>
      <w:r>
        <w:rPr>
          <w:spacing w:val="14"/>
        </w:rPr>
        <w:t xml:space="preserve"> </w:t>
      </w:r>
      <w:r>
        <w:rPr>
          <w:spacing w:val="-1"/>
        </w:rPr>
        <w:t>(or,</w:t>
      </w:r>
      <w:r>
        <w:rPr>
          <w:spacing w:val="17"/>
        </w:rPr>
        <w:t xml:space="preserve"> </w:t>
      </w:r>
      <w:r>
        <w:rPr>
          <w:spacing w:val="-2"/>
        </w:rPr>
        <w:t>if</w:t>
      </w:r>
      <w:r>
        <w:rPr>
          <w:spacing w:val="17"/>
        </w:rPr>
        <w:t xml:space="preserve"> </w:t>
      </w:r>
      <w:r>
        <w:t>the</w:t>
      </w:r>
      <w:r>
        <w:rPr>
          <w:spacing w:val="16"/>
        </w:rPr>
        <w:t xml:space="preserve"> </w:t>
      </w:r>
      <w:r>
        <w:rPr>
          <w:spacing w:val="-2"/>
        </w:rPr>
        <w:t>Customer</w:t>
      </w:r>
      <w:r>
        <w:rPr>
          <w:spacing w:val="17"/>
        </w:rPr>
        <w:t xml:space="preserve"> </w:t>
      </w:r>
      <w:r>
        <w:rPr>
          <w:spacing w:val="-1"/>
        </w:rPr>
        <w:t>is</w:t>
      </w:r>
      <w:r>
        <w:rPr>
          <w:spacing w:val="14"/>
        </w:rPr>
        <w:t xml:space="preserve"> </w:t>
      </w:r>
      <w:r>
        <w:t>a</w:t>
      </w:r>
      <w:r>
        <w:rPr>
          <w:spacing w:val="23"/>
        </w:rPr>
        <w:t xml:space="preserve"> </w:t>
      </w:r>
      <w:r>
        <w:rPr>
          <w:spacing w:val="-1"/>
        </w:rPr>
        <w:t>Central</w:t>
      </w:r>
      <w:r>
        <w:rPr>
          <w:spacing w:val="2"/>
        </w:rPr>
        <w:t xml:space="preserve"> </w:t>
      </w:r>
      <w:r>
        <w:rPr>
          <w:spacing w:val="-1"/>
        </w:rPr>
        <w:t>Government</w:t>
      </w:r>
      <w:r>
        <w:rPr>
          <w:spacing w:val="4"/>
        </w:rPr>
        <w:t xml:space="preserve"> </w:t>
      </w:r>
      <w:r>
        <w:rPr>
          <w:spacing w:val="-2"/>
        </w:rPr>
        <w:t>Body,</w:t>
      </w:r>
      <w:r>
        <w:rPr>
          <w:spacing w:val="5"/>
        </w:rPr>
        <w:t xml:space="preserve"> </w:t>
      </w:r>
      <w:r>
        <w:rPr>
          <w:spacing w:val="-1"/>
        </w:rPr>
        <w:t>any</w:t>
      </w:r>
      <w:r>
        <w:rPr>
          <w:spacing w:val="1"/>
        </w:rPr>
        <w:t xml:space="preserve"> </w:t>
      </w:r>
      <w:r>
        <w:rPr>
          <w:spacing w:val="-1"/>
        </w:rPr>
        <w:t>other</w:t>
      </w:r>
      <w:r>
        <w:rPr>
          <w:spacing w:val="4"/>
        </w:rPr>
        <w:t xml:space="preserve"> </w:t>
      </w:r>
      <w:r>
        <w:rPr>
          <w:spacing w:val="-1"/>
        </w:rPr>
        <w:t>Central</w:t>
      </w:r>
      <w:r>
        <w:rPr>
          <w:spacing w:val="2"/>
        </w:rPr>
        <w:t xml:space="preserve"> </w:t>
      </w:r>
      <w:r>
        <w:rPr>
          <w:spacing w:val="-1"/>
        </w:rPr>
        <w:t>Government</w:t>
      </w:r>
      <w:r>
        <w:rPr>
          <w:spacing w:val="29"/>
        </w:rPr>
        <w:t xml:space="preserve"> </w:t>
      </w:r>
      <w:r>
        <w:rPr>
          <w:spacing w:val="-2"/>
        </w:rPr>
        <w:t>Body’s)</w:t>
      </w:r>
      <w:r>
        <w:rPr>
          <w:spacing w:val="2"/>
        </w:rPr>
        <w:t xml:space="preserve"> </w:t>
      </w:r>
      <w:r>
        <w:rPr>
          <w:spacing w:val="-1"/>
        </w:rPr>
        <w:t>business</w:t>
      </w:r>
      <w:r>
        <w:rPr>
          <w:spacing w:val="1"/>
        </w:rPr>
        <w:t xml:space="preserve"> </w:t>
      </w:r>
      <w:r>
        <w:rPr>
          <w:spacing w:val="-1"/>
        </w:rPr>
        <w:t>or</w:t>
      </w:r>
      <w:r>
        <w:rPr>
          <w:spacing w:val="-3"/>
        </w:rPr>
        <w:t xml:space="preserve"> </w:t>
      </w:r>
      <w:r>
        <w:rPr>
          <w:spacing w:val="-1"/>
        </w:rPr>
        <w:t>function;</w:t>
      </w:r>
      <w:r>
        <w:rPr>
          <w:spacing w:val="2"/>
        </w:rPr>
        <w:t xml:space="preserve"> </w:t>
      </w:r>
      <w:r>
        <w:rPr>
          <w:spacing w:val="-1"/>
        </w:rPr>
        <w:t>and</w:t>
      </w:r>
    </w:p>
    <w:p w:rsidR="008918FA" w:rsidRDefault="008918FA" w:rsidP="008918FA">
      <w:pPr>
        <w:pStyle w:val="BodyText"/>
        <w:numPr>
          <w:ilvl w:val="3"/>
          <w:numId w:val="66"/>
        </w:numPr>
        <w:tabs>
          <w:tab w:val="left" w:pos="2595"/>
        </w:tabs>
        <w:spacing w:before="121"/>
        <w:ind w:left="2593" w:right="112" w:hanging="707"/>
        <w:jc w:val="both"/>
      </w:pPr>
      <w:r>
        <w:t>the</w:t>
      </w:r>
      <w:r>
        <w:rPr>
          <w:spacing w:val="12"/>
        </w:rPr>
        <w:t xml:space="preserve"> </w:t>
      </w:r>
      <w:r>
        <w:rPr>
          <w:spacing w:val="-4"/>
        </w:rPr>
        <w:t>rights</w:t>
      </w:r>
      <w:r>
        <w:rPr>
          <w:spacing w:val="8"/>
        </w:rPr>
        <w:t xml:space="preserve"> </w:t>
      </w:r>
      <w:r>
        <w:rPr>
          <w:spacing w:val="-1"/>
        </w:rPr>
        <w:t>granted</w:t>
      </w:r>
      <w:r>
        <w:rPr>
          <w:spacing w:val="12"/>
        </w:rPr>
        <w:t xml:space="preserve"> </w:t>
      </w:r>
      <w:r>
        <w:rPr>
          <w:spacing w:val="-2"/>
        </w:rPr>
        <w:t>under</w:t>
      </w:r>
      <w:r>
        <w:rPr>
          <w:spacing w:val="11"/>
        </w:rPr>
        <w:t xml:space="preserve"> </w:t>
      </w:r>
      <w:r>
        <w:rPr>
          <w:spacing w:val="-2"/>
        </w:rPr>
        <w:t>Clause</w:t>
      </w:r>
      <w:r>
        <w:rPr>
          <w:spacing w:val="14"/>
        </w:rPr>
        <w:t xml:space="preserve"> </w:t>
      </w:r>
      <w:hyperlink w:anchor="_bookmark165" w:history="1">
        <w:r>
          <w:rPr>
            <w:spacing w:val="-1"/>
          </w:rPr>
          <w:t>33.3.1</w:t>
        </w:r>
      </w:hyperlink>
      <w:r>
        <w:rPr>
          <w:spacing w:val="13"/>
        </w:rPr>
        <w:t xml:space="preserve"> </w:t>
      </w:r>
      <w:r>
        <w:rPr>
          <w:spacing w:val="-1"/>
        </w:rPr>
        <w:t>(Licence</w:t>
      </w:r>
      <w:r>
        <w:rPr>
          <w:spacing w:val="10"/>
        </w:rPr>
        <w:t xml:space="preserve"> </w:t>
      </w:r>
      <w:r>
        <w:rPr>
          <w:spacing w:val="-1"/>
        </w:rPr>
        <w:t>granted</w:t>
      </w:r>
      <w:r>
        <w:rPr>
          <w:spacing w:val="12"/>
        </w:rPr>
        <w:t xml:space="preserve"> </w:t>
      </w:r>
      <w:r>
        <w:rPr>
          <w:spacing w:val="-1"/>
        </w:rPr>
        <w:t>by</w:t>
      </w:r>
      <w:r>
        <w:rPr>
          <w:spacing w:val="10"/>
        </w:rPr>
        <w:t xml:space="preserve"> </w:t>
      </w:r>
      <w:r>
        <w:rPr>
          <w:spacing w:val="-1"/>
        </w:rPr>
        <w:t>the</w:t>
      </w:r>
      <w:r>
        <w:rPr>
          <w:spacing w:val="66"/>
        </w:rPr>
        <w:t xml:space="preserve"> </w:t>
      </w:r>
      <w:r>
        <w:rPr>
          <w:spacing w:val="-1"/>
        </w:rPr>
        <w:t>Supplier:</w:t>
      </w:r>
      <w:r>
        <w:rPr>
          <w:spacing w:val="17"/>
        </w:rPr>
        <w:t xml:space="preserve"> </w:t>
      </w:r>
      <w:r>
        <w:rPr>
          <w:spacing w:val="-2"/>
        </w:rPr>
        <w:t>Supplier</w:t>
      </w:r>
      <w:r>
        <w:rPr>
          <w:spacing w:val="17"/>
        </w:rPr>
        <w:t xml:space="preserve"> </w:t>
      </w:r>
      <w:r>
        <w:rPr>
          <w:spacing w:val="-1"/>
        </w:rPr>
        <w:t>Background</w:t>
      </w:r>
      <w:r>
        <w:rPr>
          <w:spacing w:val="16"/>
        </w:rPr>
        <w:t xml:space="preserve"> </w:t>
      </w:r>
      <w:r>
        <w:rPr>
          <w:spacing w:val="-1"/>
        </w:rPr>
        <w:t>IPR)</w:t>
      </w:r>
      <w:r>
        <w:rPr>
          <w:spacing w:val="19"/>
        </w:rPr>
        <w:t xml:space="preserve"> </w:t>
      </w:r>
      <w:r>
        <w:t>to</w:t>
      </w:r>
      <w:r>
        <w:rPr>
          <w:spacing w:val="16"/>
        </w:rPr>
        <w:t xml:space="preserve"> </w:t>
      </w:r>
      <w:r>
        <w:rPr>
          <w:spacing w:val="-1"/>
        </w:rPr>
        <w:t>any</w:t>
      </w:r>
      <w:r>
        <w:rPr>
          <w:spacing w:val="14"/>
        </w:rPr>
        <w:t xml:space="preserve"> </w:t>
      </w:r>
      <w:r>
        <w:rPr>
          <w:spacing w:val="-1"/>
        </w:rPr>
        <w:t>Approved</w:t>
      </w:r>
      <w:r>
        <w:rPr>
          <w:spacing w:val="16"/>
        </w:rPr>
        <w:t xml:space="preserve"> </w:t>
      </w:r>
      <w:r>
        <w:rPr>
          <w:spacing w:val="-1"/>
        </w:rPr>
        <w:t>Sub-</w:t>
      </w:r>
      <w:r>
        <w:rPr>
          <w:spacing w:val="41"/>
        </w:rPr>
        <w:t xml:space="preserve"> </w:t>
      </w:r>
      <w:r>
        <w:rPr>
          <w:spacing w:val="-1"/>
        </w:rPr>
        <w:t>Licensee</w:t>
      </w:r>
      <w:r>
        <w:rPr>
          <w:spacing w:val="6"/>
        </w:rPr>
        <w:t xml:space="preserve"> </w:t>
      </w:r>
      <w:r>
        <w:t>to</w:t>
      </w:r>
      <w:r>
        <w:rPr>
          <w:spacing w:val="6"/>
        </w:rPr>
        <w:t xml:space="preserve"> </w:t>
      </w:r>
      <w:r>
        <w:t>the</w:t>
      </w:r>
      <w:r>
        <w:rPr>
          <w:spacing w:val="6"/>
        </w:rPr>
        <w:t xml:space="preserve"> </w:t>
      </w:r>
      <w:r>
        <w:rPr>
          <w:spacing w:val="-1"/>
        </w:rPr>
        <w:t>extent</w:t>
      </w:r>
      <w:r>
        <w:rPr>
          <w:spacing w:val="8"/>
        </w:rPr>
        <w:t xml:space="preserve"> </w:t>
      </w:r>
      <w:r>
        <w:rPr>
          <w:spacing w:val="-1"/>
        </w:rPr>
        <w:t>necessary</w:t>
      </w:r>
      <w:r>
        <w:rPr>
          <w:spacing w:val="4"/>
        </w:rPr>
        <w:t xml:space="preserve"> </w:t>
      </w:r>
      <w:r>
        <w:t>to</w:t>
      </w:r>
      <w:r>
        <w:rPr>
          <w:spacing w:val="6"/>
        </w:rPr>
        <w:t xml:space="preserve"> </w:t>
      </w:r>
      <w:r>
        <w:rPr>
          <w:spacing w:val="-1"/>
        </w:rPr>
        <w:t>use</w:t>
      </w:r>
      <w:r>
        <w:rPr>
          <w:spacing w:val="7"/>
        </w:rPr>
        <w:t xml:space="preserve"> </w:t>
      </w:r>
      <w:r>
        <w:t>and/or</w:t>
      </w:r>
      <w:r>
        <w:rPr>
          <w:spacing w:val="8"/>
        </w:rPr>
        <w:t xml:space="preserve"> </w:t>
      </w:r>
      <w:r>
        <w:rPr>
          <w:spacing w:val="-1"/>
        </w:rPr>
        <w:t>obtain</w:t>
      </w:r>
      <w:r>
        <w:rPr>
          <w:spacing w:val="6"/>
        </w:rPr>
        <w:t xml:space="preserve"> </w:t>
      </w:r>
      <w:r>
        <w:rPr>
          <w:spacing w:val="-1"/>
        </w:rPr>
        <w:t>the</w:t>
      </w:r>
      <w:r>
        <w:rPr>
          <w:spacing w:val="28"/>
        </w:rPr>
        <w:t xml:space="preserve"> </w:t>
      </w:r>
      <w:r>
        <w:rPr>
          <w:spacing w:val="-1"/>
        </w:rPr>
        <w:t>benefit</w:t>
      </w:r>
      <w:r>
        <w:rPr>
          <w:spacing w:val="7"/>
        </w:rPr>
        <w:t xml:space="preserve"> </w:t>
      </w:r>
      <w:r>
        <w:rPr>
          <w:spacing w:val="-2"/>
        </w:rPr>
        <w:t>of</w:t>
      </w:r>
      <w:r>
        <w:rPr>
          <w:spacing w:val="9"/>
        </w:rPr>
        <w:t xml:space="preserve"> </w:t>
      </w:r>
      <w:r>
        <w:t>the</w:t>
      </w:r>
      <w:r>
        <w:rPr>
          <w:spacing w:val="5"/>
        </w:rPr>
        <w:t xml:space="preserve"> </w:t>
      </w:r>
      <w:r>
        <w:rPr>
          <w:spacing w:val="-1"/>
        </w:rPr>
        <w:t>Project</w:t>
      </w:r>
      <w:r>
        <w:rPr>
          <w:spacing w:val="8"/>
        </w:rPr>
        <w:t xml:space="preserve"> </w:t>
      </w:r>
      <w:r>
        <w:rPr>
          <w:spacing w:val="-1"/>
        </w:rPr>
        <w:t>Specific</w:t>
      </w:r>
      <w:r>
        <w:rPr>
          <w:spacing w:val="5"/>
        </w:rPr>
        <w:t xml:space="preserve"> </w:t>
      </w:r>
      <w:r>
        <w:t>IPR</w:t>
      </w:r>
      <w:r>
        <w:rPr>
          <w:spacing w:val="4"/>
        </w:rPr>
        <w:t xml:space="preserve"> </w:t>
      </w:r>
      <w:r>
        <w:rPr>
          <w:spacing w:val="-2"/>
        </w:rPr>
        <w:t>provided</w:t>
      </w:r>
      <w:r>
        <w:rPr>
          <w:spacing w:val="5"/>
        </w:rPr>
        <w:t xml:space="preserve"> </w:t>
      </w:r>
      <w:r>
        <w:rPr>
          <w:spacing w:val="-1"/>
        </w:rPr>
        <w:t>that</w:t>
      </w:r>
      <w:r>
        <w:rPr>
          <w:spacing w:val="7"/>
        </w:rPr>
        <w:t xml:space="preserve"> </w:t>
      </w:r>
      <w:r>
        <w:rPr>
          <w:spacing w:val="-1"/>
        </w:rPr>
        <w:t>the</w:t>
      </w:r>
      <w:r>
        <w:rPr>
          <w:spacing w:val="6"/>
        </w:rPr>
        <w:t xml:space="preserve"> </w:t>
      </w:r>
      <w:r>
        <w:rPr>
          <w:spacing w:val="-2"/>
        </w:rPr>
        <w:t>sub-licence</w:t>
      </w:r>
      <w:r>
        <w:rPr>
          <w:spacing w:val="53"/>
        </w:rPr>
        <w:t xml:space="preserve"> </w:t>
      </w:r>
      <w:r>
        <w:rPr>
          <w:spacing w:val="-1"/>
        </w:rPr>
        <w:t>is</w:t>
      </w:r>
      <w:r>
        <w:rPr>
          <w:spacing w:val="1"/>
        </w:rPr>
        <w:t xml:space="preserve"> </w:t>
      </w:r>
      <w:r>
        <w:rPr>
          <w:spacing w:val="-1"/>
        </w:rPr>
        <w:t>on</w:t>
      </w:r>
      <w:r>
        <w:t xml:space="preserve"> </w:t>
      </w:r>
      <w:r>
        <w:rPr>
          <w:spacing w:val="-1"/>
        </w:rPr>
        <w:t>terms</w:t>
      </w:r>
      <w:r>
        <w:rPr>
          <w:spacing w:val="1"/>
        </w:rPr>
        <w:t xml:space="preserve"> </w:t>
      </w:r>
      <w:r>
        <w:rPr>
          <w:spacing w:val="-1"/>
        </w:rPr>
        <w:t>no</w:t>
      </w:r>
      <w:r>
        <w:rPr>
          <w:spacing w:val="-2"/>
        </w:rPr>
        <w:t xml:space="preserve"> </w:t>
      </w:r>
      <w:r>
        <w:rPr>
          <w:spacing w:val="-1"/>
        </w:rPr>
        <w:t>broader than</w:t>
      </w:r>
      <w:r>
        <w:t xml:space="preserve"> </w:t>
      </w:r>
      <w:r>
        <w:rPr>
          <w:spacing w:val="-1"/>
        </w:rPr>
        <w:t>those</w:t>
      </w:r>
      <w:r>
        <w:rPr>
          <w:spacing w:val="-4"/>
        </w:rPr>
        <w:t xml:space="preserve"> </w:t>
      </w:r>
      <w:r>
        <w:rPr>
          <w:spacing w:val="-1"/>
        </w:rPr>
        <w:t>granted</w:t>
      </w:r>
      <w:r>
        <w:rPr>
          <w:spacing w:val="-2"/>
        </w:rPr>
        <w:t xml:space="preserve"> </w:t>
      </w:r>
      <w:r>
        <w:t>to</w:t>
      </w:r>
      <w:r>
        <w:rPr>
          <w:spacing w:val="-2"/>
        </w:rPr>
        <w:t xml:space="preserve"> </w:t>
      </w:r>
      <w:r>
        <w:t>the</w:t>
      </w:r>
      <w:r>
        <w:rPr>
          <w:spacing w:val="-4"/>
        </w:rPr>
        <w:t xml:space="preserve"> </w:t>
      </w:r>
      <w:r>
        <w:rPr>
          <w:spacing w:val="-1"/>
        </w:rPr>
        <w:t>Customer.</w:t>
      </w:r>
    </w:p>
    <w:p w:rsidR="008918FA" w:rsidRDefault="008918FA" w:rsidP="008918FA">
      <w:pPr>
        <w:pStyle w:val="Heading1"/>
        <w:numPr>
          <w:ilvl w:val="1"/>
          <w:numId w:val="66"/>
        </w:numPr>
        <w:tabs>
          <w:tab w:val="left" w:pos="893"/>
        </w:tabs>
        <w:ind w:left="892" w:hanging="564"/>
        <w:rPr>
          <w:b w:val="0"/>
          <w:bCs w:val="0"/>
        </w:rPr>
      </w:pPr>
      <w:r>
        <w:rPr>
          <w:spacing w:val="-1"/>
        </w:rPr>
        <w:t>Customer’s</w:t>
      </w:r>
      <w:r>
        <w:rPr>
          <w:spacing w:val="-2"/>
        </w:rPr>
        <w:t xml:space="preserve"> </w:t>
      </w:r>
      <w:r>
        <w:rPr>
          <w:spacing w:val="-1"/>
        </w:rPr>
        <w:t xml:space="preserve">right </w:t>
      </w:r>
      <w:r>
        <w:t xml:space="preserve">to </w:t>
      </w:r>
      <w:r>
        <w:rPr>
          <w:spacing w:val="-1"/>
        </w:rPr>
        <w:t>assign/novate</w:t>
      </w:r>
      <w:r>
        <w:rPr>
          <w:spacing w:val="-2"/>
        </w:rPr>
        <w:t xml:space="preserve"> </w:t>
      </w:r>
      <w:r>
        <w:rPr>
          <w:spacing w:val="-1"/>
        </w:rPr>
        <w:t>licences</w:t>
      </w:r>
    </w:p>
    <w:p w:rsidR="008918FA" w:rsidRDefault="008918FA" w:rsidP="008918FA">
      <w:pPr>
        <w:pStyle w:val="BodyText"/>
        <w:numPr>
          <w:ilvl w:val="2"/>
          <w:numId w:val="66"/>
        </w:numPr>
        <w:tabs>
          <w:tab w:val="left" w:pos="1887"/>
        </w:tabs>
        <w:spacing w:before="121"/>
        <w:ind w:left="1886" w:right="115"/>
        <w:jc w:val="both"/>
      </w:pPr>
      <w:bookmarkStart w:id="200" w:name="_bookmark167"/>
      <w:bookmarkEnd w:id="200"/>
      <w:r>
        <w:t>The</w:t>
      </w:r>
      <w:r>
        <w:rPr>
          <w:spacing w:val="34"/>
        </w:rPr>
        <w:t xml:space="preserve"> </w:t>
      </w:r>
      <w:r>
        <w:rPr>
          <w:spacing w:val="-1"/>
        </w:rPr>
        <w:t>Customer</w:t>
      </w:r>
      <w:r>
        <w:rPr>
          <w:spacing w:val="35"/>
        </w:rPr>
        <w:t xml:space="preserve"> </w:t>
      </w:r>
      <w:r>
        <w:rPr>
          <w:spacing w:val="-1"/>
        </w:rPr>
        <w:t>shall</w:t>
      </w:r>
      <w:r>
        <w:rPr>
          <w:spacing w:val="33"/>
        </w:rPr>
        <w:t xml:space="preserve"> </w:t>
      </w:r>
      <w:r>
        <w:rPr>
          <w:spacing w:val="-1"/>
        </w:rPr>
        <w:t>be</w:t>
      </w:r>
      <w:r>
        <w:rPr>
          <w:spacing w:val="34"/>
        </w:rPr>
        <w:t xml:space="preserve"> </w:t>
      </w:r>
      <w:r>
        <w:rPr>
          <w:spacing w:val="-1"/>
        </w:rPr>
        <w:t>freely</w:t>
      </w:r>
      <w:r>
        <w:rPr>
          <w:spacing w:val="32"/>
        </w:rPr>
        <w:t xml:space="preserve"> </w:t>
      </w:r>
      <w:r>
        <w:rPr>
          <w:spacing w:val="-1"/>
        </w:rPr>
        <w:t>entitled</w:t>
      </w:r>
      <w:r>
        <w:rPr>
          <w:spacing w:val="34"/>
        </w:rPr>
        <w:t xml:space="preserve"> </w:t>
      </w:r>
      <w:r>
        <w:t>to</w:t>
      </w:r>
      <w:r>
        <w:rPr>
          <w:spacing w:val="35"/>
        </w:rPr>
        <w:t xml:space="preserve"> </w:t>
      </w:r>
      <w:r>
        <w:rPr>
          <w:spacing w:val="-1"/>
        </w:rPr>
        <w:t>assign,</w:t>
      </w:r>
      <w:r>
        <w:rPr>
          <w:spacing w:val="33"/>
        </w:rPr>
        <w:t xml:space="preserve"> </w:t>
      </w:r>
      <w:r>
        <w:rPr>
          <w:spacing w:val="-1"/>
        </w:rPr>
        <w:t>novate</w:t>
      </w:r>
      <w:r>
        <w:rPr>
          <w:spacing w:val="34"/>
        </w:rPr>
        <w:t xml:space="preserve"> </w:t>
      </w:r>
      <w:r>
        <w:rPr>
          <w:spacing w:val="-1"/>
        </w:rPr>
        <w:t>or</w:t>
      </w:r>
      <w:r>
        <w:rPr>
          <w:spacing w:val="35"/>
        </w:rPr>
        <w:t xml:space="preserve"> </w:t>
      </w:r>
      <w:r>
        <w:rPr>
          <w:spacing w:val="-2"/>
        </w:rPr>
        <w:t>otherwise</w:t>
      </w:r>
      <w:r>
        <w:rPr>
          <w:spacing w:val="50"/>
        </w:rPr>
        <w:t xml:space="preserve"> </w:t>
      </w:r>
      <w:r>
        <w:rPr>
          <w:spacing w:val="-1"/>
        </w:rPr>
        <w:t>transfer</w:t>
      </w:r>
      <w:r>
        <w:rPr>
          <w:spacing w:val="17"/>
        </w:rPr>
        <w:t xml:space="preserve"> </w:t>
      </w:r>
      <w:r>
        <w:rPr>
          <w:spacing w:val="-1"/>
        </w:rPr>
        <w:t>its</w:t>
      </w:r>
      <w:r>
        <w:rPr>
          <w:spacing w:val="16"/>
        </w:rPr>
        <w:t xml:space="preserve"> </w:t>
      </w:r>
      <w:r>
        <w:rPr>
          <w:spacing w:val="-1"/>
        </w:rPr>
        <w:t>rights</w:t>
      </w:r>
      <w:r>
        <w:rPr>
          <w:spacing w:val="19"/>
        </w:rPr>
        <w:t xml:space="preserve"> </w:t>
      </w:r>
      <w:r>
        <w:rPr>
          <w:spacing w:val="-1"/>
        </w:rPr>
        <w:t>and</w:t>
      </w:r>
      <w:r>
        <w:rPr>
          <w:spacing w:val="13"/>
        </w:rPr>
        <w:t xml:space="preserve"> </w:t>
      </w:r>
      <w:r>
        <w:rPr>
          <w:spacing w:val="-1"/>
        </w:rPr>
        <w:t>obligations</w:t>
      </w:r>
      <w:r>
        <w:rPr>
          <w:spacing w:val="19"/>
        </w:rPr>
        <w:t xml:space="preserve"> </w:t>
      </w:r>
      <w:r>
        <w:rPr>
          <w:spacing w:val="-2"/>
        </w:rPr>
        <w:t>under</w:t>
      </w:r>
      <w:r>
        <w:rPr>
          <w:spacing w:val="20"/>
        </w:rPr>
        <w:t xml:space="preserve"> </w:t>
      </w:r>
      <w:r>
        <w:t>the</w:t>
      </w:r>
      <w:r>
        <w:rPr>
          <w:spacing w:val="16"/>
        </w:rPr>
        <w:t xml:space="preserve"> </w:t>
      </w:r>
      <w:r>
        <w:rPr>
          <w:spacing w:val="-1"/>
        </w:rPr>
        <w:t>licence</w:t>
      </w:r>
      <w:r>
        <w:rPr>
          <w:spacing w:val="16"/>
        </w:rPr>
        <w:t xml:space="preserve"> </w:t>
      </w:r>
      <w:r>
        <w:rPr>
          <w:spacing w:val="-1"/>
        </w:rPr>
        <w:t>granted</w:t>
      </w:r>
      <w:r>
        <w:rPr>
          <w:spacing w:val="16"/>
        </w:rPr>
        <w:t xml:space="preserve"> </w:t>
      </w:r>
      <w:r>
        <w:t>to</w:t>
      </w:r>
      <w:r>
        <w:rPr>
          <w:spacing w:val="18"/>
        </w:rPr>
        <w:t xml:space="preserve"> </w:t>
      </w:r>
      <w:r>
        <w:rPr>
          <w:spacing w:val="-1"/>
        </w:rPr>
        <w:t>it</w:t>
      </w:r>
      <w:r>
        <w:rPr>
          <w:spacing w:val="49"/>
        </w:rPr>
        <w:t xml:space="preserve"> </w:t>
      </w:r>
      <w:r>
        <w:rPr>
          <w:spacing w:val="-1"/>
        </w:rPr>
        <w:t>pursuant</w:t>
      </w:r>
      <w:r>
        <w:rPr>
          <w:spacing w:val="59"/>
        </w:rPr>
        <w:t xml:space="preserve"> </w:t>
      </w:r>
      <w:r>
        <w:t>to</w:t>
      </w:r>
      <w:r>
        <w:rPr>
          <w:spacing w:val="60"/>
        </w:rPr>
        <w:t xml:space="preserve"> </w:t>
      </w:r>
      <w:r>
        <w:rPr>
          <w:spacing w:val="-2"/>
        </w:rPr>
        <w:t>Clause</w:t>
      </w:r>
      <w:r>
        <w:t xml:space="preserve"> </w:t>
      </w:r>
      <w:hyperlink w:anchor="_bookmark162" w:history="1">
        <w:r>
          <w:rPr>
            <w:spacing w:val="-1"/>
          </w:rPr>
          <w:t>33.2</w:t>
        </w:r>
      </w:hyperlink>
      <w:r>
        <w:rPr>
          <w:spacing w:val="60"/>
        </w:rPr>
        <w:t xml:space="preserve"> </w:t>
      </w:r>
      <w:r>
        <w:rPr>
          <w:spacing w:val="-1"/>
        </w:rPr>
        <w:t>(Licence</w:t>
      </w:r>
      <w:r>
        <w:rPr>
          <w:spacing w:val="58"/>
        </w:rPr>
        <w:t xml:space="preserve"> </w:t>
      </w:r>
      <w:r>
        <w:rPr>
          <w:spacing w:val="-1"/>
        </w:rPr>
        <w:t>granted</w:t>
      </w:r>
      <w:r>
        <w:rPr>
          <w:spacing w:val="60"/>
        </w:rPr>
        <w:t xml:space="preserve"> </w:t>
      </w:r>
      <w:r>
        <w:rPr>
          <w:spacing w:val="-1"/>
        </w:rPr>
        <w:t>by</w:t>
      </w:r>
      <w:r>
        <w:rPr>
          <w:spacing w:val="58"/>
        </w:rPr>
        <w:t xml:space="preserve"> </w:t>
      </w:r>
      <w:r>
        <w:t>the</w:t>
      </w:r>
      <w:r>
        <w:rPr>
          <w:spacing w:val="61"/>
        </w:rPr>
        <w:t xml:space="preserve"> </w:t>
      </w:r>
      <w:r>
        <w:rPr>
          <w:spacing w:val="-1"/>
        </w:rPr>
        <w:t>Supplier:</w:t>
      </w:r>
      <w:r>
        <w:rPr>
          <w:spacing w:val="1"/>
        </w:rPr>
        <w:t xml:space="preserve"> </w:t>
      </w:r>
      <w:r>
        <w:rPr>
          <w:spacing w:val="-1"/>
        </w:rPr>
        <w:t>Project</w:t>
      </w:r>
      <w:r>
        <w:rPr>
          <w:spacing w:val="36"/>
        </w:rPr>
        <w:t xml:space="preserve"> </w:t>
      </w:r>
      <w:r>
        <w:rPr>
          <w:spacing w:val="-1"/>
        </w:rPr>
        <w:t>Specific</w:t>
      </w:r>
      <w:r>
        <w:rPr>
          <w:spacing w:val="-2"/>
        </w:rPr>
        <w:t xml:space="preserve"> </w:t>
      </w:r>
      <w:r>
        <w:rPr>
          <w:spacing w:val="-1"/>
        </w:rPr>
        <w:t>IPR);</w:t>
      </w:r>
      <w:r>
        <w:rPr>
          <w:spacing w:val="2"/>
        </w:rPr>
        <w:t xml:space="preserve"> </w:t>
      </w:r>
      <w:r>
        <w:rPr>
          <w:spacing w:val="-1"/>
        </w:rPr>
        <w:t>and</w:t>
      </w:r>
    </w:p>
    <w:p w:rsidR="008918FA" w:rsidRDefault="008918FA" w:rsidP="008918FA">
      <w:pPr>
        <w:pStyle w:val="BodyText"/>
        <w:numPr>
          <w:ilvl w:val="2"/>
          <w:numId w:val="66"/>
        </w:numPr>
        <w:tabs>
          <w:tab w:val="left" w:pos="1887"/>
        </w:tabs>
        <w:ind w:left="1886" w:right="112"/>
        <w:jc w:val="both"/>
      </w:pPr>
      <w:bookmarkStart w:id="201" w:name="_bookmark168"/>
      <w:bookmarkEnd w:id="201"/>
      <w:r>
        <w:t>The</w:t>
      </w:r>
      <w:r>
        <w:rPr>
          <w:spacing w:val="19"/>
        </w:rPr>
        <w:t xml:space="preserve"> </w:t>
      </w:r>
      <w:r>
        <w:rPr>
          <w:spacing w:val="-2"/>
        </w:rPr>
        <w:t>Customer</w:t>
      </w:r>
      <w:r>
        <w:rPr>
          <w:spacing w:val="19"/>
        </w:rPr>
        <w:t xml:space="preserve"> </w:t>
      </w:r>
      <w:r>
        <w:rPr>
          <w:spacing w:val="-1"/>
        </w:rPr>
        <w:t>may</w:t>
      </w:r>
      <w:r>
        <w:rPr>
          <w:spacing w:val="18"/>
        </w:rPr>
        <w:t xml:space="preserve"> </w:t>
      </w:r>
      <w:r>
        <w:rPr>
          <w:spacing w:val="-1"/>
        </w:rPr>
        <w:t>assign,</w:t>
      </w:r>
      <w:r>
        <w:rPr>
          <w:spacing w:val="21"/>
        </w:rPr>
        <w:t xml:space="preserve"> </w:t>
      </w:r>
      <w:r>
        <w:rPr>
          <w:spacing w:val="-1"/>
        </w:rPr>
        <w:t>novate</w:t>
      </w:r>
      <w:r>
        <w:rPr>
          <w:spacing w:val="20"/>
        </w:rPr>
        <w:t xml:space="preserve"> </w:t>
      </w:r>
      <w:r>
        <w:rPr>
          <w:spacing w:val="-1"/>
        </w:rPr>
        <w:t>or</w:t>
      </w:r>
      <w:r>
        <w:rPr>
          <w:spacing w:val="19"/>
        </w:rPr>
        <w:t xml:space="preserve"> </w:t>
      </w:r>
      <w:r>
        <w:rPr>
          <w:spacing w:val="-2"/>
        </w:rPr>
        <w:t>otherwise</w:t>
      </w:r>
      <w:r>
        <w:rPr>
          <w:spacing w:val="20"/>
        </w:rPr>
        <w:t xml:space="preserve"> </w:t>
      </w:r>
      <w:r>
        <w:rPr>
          <w:spacing w:val="-1"/>
        </w:rPr>
        <w:t>transfer</w:t>
      </w:r>
      <w:r>
        <w:rPr>
          <w:spacing w:val="21"/>
        </w:rPr>
        <w:t xml:space="preserve"> </w:t>
      </w:r>
      <w:r>
        <w:rPr>
          <w:spacing w:val="-1"/>
        </w:rPr>
        <w:t>its</w:t>
      </w:r>
      <w:r>
        <w:rPr>
          <w:spacing w:val="18"/>
        </w:rPr>
        <w:t xml:space="preserve"> </w:t>
      </w:r>
      <w:r>
        <w:rPr>
          <w:spacing w:val="-1"/>
        </w:rPr>
        <w:t>rights</w:t>
      </w:r>
      <w:r>
        <w:rPr>
          <w:spacing w:val="20"/>
        </w:rPr>
        <w:t xml:space="preserve"> </w:t>
      </w:r>
      <w:r>
        <w:rPr>
          <w:spacing w:val="-1"/>
        </w:rPr>
        <w:t>and</w:t>
      </w:r>
      <w:r>
        <w:rPr>
          <w:spacing w:val="58"/>
        </w:rPr>
        <w:t xml:space="preserve"> </w:t>
      </w:r>
      <w:r>
        <w:rPr>
          <w:spacing w:val="-1"/>
        </w:rPr>
        <w:t>obligations</w:t>
      </w:r>
      <w:r>
        <w:rPr>
          <w:spacing w:val="3"/>
        </w:rPr>
        <w:t xml:space="preserve"> </w:t>
      </w:r>
      <w:r>
        <w:rPr>
          <w:spacing w:val="-1"/>
        </w:rPr>
        <w:t>under</w:t>
      </w:r>
      <w:r>
        <w:rPr>
          <w:spacing w:val="4"/>
        </w:rPr>
        <w:t xml:space="preserve"> </w:t>
      </w:r>
      <w:r>
        <w:t>the</w:t>
      </w:r>
      <w:r>
        <w:rPr>
          <w:spacing w:val="3"/>
        </w:rPr>
        <w:t xml:space="preserve"> </w:t>
      </w:r>
      <w:r>
        <w:rPr>
          <w:spacing w:val="-2"/>
        </w:rPr>
        <w:t>licence</w:t>
      </w:r>
      <w:r>
        <w:rPr>
          <w:spacing w:val="3"/>
        </w:rPr>
        <w:t xml:space="preserve"> </w:t>
      </w:r>
      <w:r>
        <w:rPr>
          <w:spacing w:val="-1"/>
        </w:rPr>
        <w:t>granted</w:t>
      </w:r>
      <w:r>
        <w:rPr>
          <w:spacing w:val="3"/>
        </w:rPr>
        <w:t xml:space="preserve"> </w:t>
      </w:r>
      <w:r>
        <w:rPr>
          <w:spacing w:val="-1"/>
        </w:rPr>
        <w:t>pursuant</w:t>
      </w:r>
      <w:r>
        <w:rPr>
          <w:spacing w:val="4"/>
        </w:rPr>
        <w:t xml:space="preserve"> </w:t>
      </w:r>
      <w:r>
        <w:t xml:space="preserve">to </w:t>
      </w:r>
      <w:r>
        <w:rPr>
          <w:spacing w:val="-2"/>
        </w:rPr>
        <w:t>Clause</w:t>
      </w:r>
      <w:r>
        <w:rPr>
          <w:spacing w:val="6"/>
        </w:rPr>
        <w:t xml:space="preserve"> </w:t>
      </w:r>
      <w:hyperlink w:anchor="_bookmark164" w:history="1">
        <w:r>
          <w:rPr>
            <w:spacing w:val="-1"/>
          </w:rPr>
          <w:t>33.3</w:t>
        </w:r>
      </w:hyperlink>
      <w:r>
        <w:rPr>
          <w:spacing w:val="3"/>
        </w:rPr>
        <w:t xml:space="preserve"> </w:t>
      </w:r>
      <w:r>
        <w:rPr>
          <w:spacing w:val="-1"/>
        </w:rPr>
        <w:t>(Licence</w:t>
      </w:r>
      <w:r>
        <w:rPr>
          <w:spacing w:val="48"/>
        </w:rPr>
        <w:t xml:space="preserve"> </w:t>
      </w:r>
      <w:r>
        <w:rPr>
          <w:spacing w:val="-1"/>
        </w:rPr>
        <w:t>granted</w:t>
      </w:r>
      <w:r>
        <w:rPr>
          <w:spacing w:val="-2"/>
        </w:rPr>
        <w:t xml:space="preserve"> </w:t>
      </w:r>
      <w:r>
        <w:rPr>
          <w:spacing w:val="-1"/>
        </w:rPr>
        <w:t>by</w:t>
      </w:r>
      <w:r>
        <w:rPr>
          <w:spacing w:val="-2"/>
        </w:rPr>
        <w:t xml:space="preserve"> </w:t>
      </w:r>
      <w:r>
        <w:t xml:space="preserve">the </w:t>
      </w:r>
      <w:r>
        <w:rPr>
          <w:spacing w:val="-2"/>
        </w:rPr>
        <w:t>Supplier:</w:t>
      </w:r>
      <w:r>
        <w:t xml:space="preserve"> </w:t>
      </w:r>
      <w:r>
        <w:rPr>
          <w:spacing w:val="-2"/>
        </w:rPr>
        <w:t>Supplier</w:t>
      </w:r>
      <w:r>
        <w:rPr>
          <w:spacing w:val="2"/>
        </w:rPr>
        <w:t xml:space="preserve"> </w:t>
      </w:r>
      <w:r>
        <w:rPr>
          <w:spacing w:val="-1"/>
        </w:rPr>
        <w:t>Background</w:t>
      </w:r>
      <w:r>
        <w:rPr>
          <w:spacing w:val="-2"/>
        </w:rPr>
        <w:t xml:space="preserve"> IPR)</w:t>
      </w:r>
      <w:r>
        <w:rPr>
          <w:spacing w:val="3"/>
        </w:rPr>
        <w:t xml:space="preserve"> </w:t>
      </w:r>
      <w:r>
        <w:rPr>
          <w:spacing w:val="-2"/>
        </w:rPr>
        <w:t>to:</w:t>
      </w:r>
    </w:p>
    <w:p w:rsidR="008918FA" w:rsidRDefault="008918FA" w:rsidP="008918FA">
      <w:pPr>
        <w:pStyle w:val="BodyText"/>
        <w:numPr>
          <w:ilvl w:val="3"/>
          <w:numId w:val="66"/>
        </w:numPr>
        <w:tabs>
          <w:tab w:val="left" w:pos="2594"/>
        </w:tabs>
        <w:ind w:left="2593" w:hanging="707"/>
      </w:pPr>
      <w:r>
        <w:t xml:space="preserve">a </w:t>
      </w:r>
      <w:r>
        <w:rPr>
          <w:spacing w:val="-1"/>
        </w:rPr>
        <w:t>Central</w:t>
      </w:r>
      <w:r>
        <w:rPr>
          <w:spacing w:val="-3"/>
        </w:rPr>
        <w:t xml:space="preserve"> </w:t>
      </w:r>
      <w:r>
        <w:rPr>
          <w:spacing w:val="-1"/>
        </w:rPr>
        <w:t>Government</w:t>
      </w:r>
      <w:r>
        <w:t xml:space="preserve"> </w:t>
      </w:r>
      <w:r>
        <w:rPr>
          <w:spacing w:val="-2"/>
        </w:rPr>
        <w:t>Body;</w:t>
      </w:r>
      <w:r>
        <w:rPr>
          <w:spacing w:val="2"/>
        </w:rPr>
        <w:t xml:space="preserve"> </w:t>
      </w:r>
      <w:r>
        <w:rPr>
          <w:spacing w:val="-1"/>
        </w:rPr>
        <w:t>or</w:t>
      </w:r>
    </w:p>
    <w:p w:rsidR="008918FA" w:rsidRDefault="008918FA" w:rsidP="008918FA">
      <w:pPr>
        <w:pStyle w:val="BodyText"/>
        <w:numPr>
          <w:ilvl w:val="3"/>
          <w:numId w:val="66"/>
        </w:numPr>
        <w:tabs>
          <w:tab w:val="left" w:pos="2594"/>
        </w:tabs>
        <w:spacing w:before="121"/>
        <w:ind w:left="2593" w:right="113" w:hanging="707"/>
        <w:jc w:val="both"/>
      </w:pPr>
      <w:r>
        <w:t>to</w:t>
      </w:r>
      <w:r>
        <w:rPr>
          <w:spacing w:val="12"/>
        </w:rPr>
        <w:t xml:space="preserve"> </w:t>
      </w:r>
      <w:r>
        <w:rPr>
          <w:spacing w:val="-1"/>
        </w:rPr>
        <w:t>any</w:t>
      </w:r>
      <w:r>
        <w:rPr>
          <w:spacing w:val="10"/>
        </w:rPr>
        <w:t xml:space="preserve"> </w:t>
      </w:r>
      <w:r>
        <w:rPr>
          <w:spacing w:val="-1"/>
        </w:rPr>
        <w:t>body</w:t>
      </w:r>
      <w:r>
        <w:rPr>
          <w:spacing w:val="10"/>
        </w:rPr>
        <w:t xml:space="preserve"> </w:t>
      </w:r>
      <w:r>
        <w:rPr>
          <w:spacing w:val="-1"/>
        </w:rPr>
        <w:t>(including</w:t>
      </w:r>
      <w:r>
        <w:rPr>
          <w:spacing w:val="15"/>
        </w:rPr>
        <w:t xml:space="preserve"> </w:t>
      </w:r>
      <w:r>
        <w:rPr>
          <w:spacing w:val="-1"/>
        </w:rPr>
        <w:t>any</w:t>
      </w:r>
      <w:r>
        <w:rPr>
          <w:spacing w:val="10"/>
        </w:rPr>
        <w:t xml:space="preserve"> </w:t>
      </w:r>
      <w:r>
        <w:rPr>
          <w:spacing w:val="-1"/>
        </w:rPr>
        <w:t>private</w:t>
      </w:r>
      <w:r>
        <w:rPr>
          <w:spacing w:val="12"/>
        </w:rPr>
        <w:t xml:space="preserve"> </w:t>
      </w:r>
      <w:r>
        <w:rPr>
          <w:spacing w:val="-1"/>
        </w:rPr>
        <w:t>sector</w:t>
      </w:r>
      <w:r>
        <w:rPr>
          <w:spacing w:val="14"/>
        </w:rPr>
        <w:t xml:space="preserve"> </w:t>
      </w:r>
      <w:r>
        <w:rPr>
          <w:spacing w:val="-2"/>
        </w:rPr>
        <w:t>body)</w:t>
      </w:r>
      <w:r>
        <w:rPr>
          <w:spacing w:val="11"/>
        </w:rPr>
        <w:t xml:space="preserve"> </w:t>
      </w:r>
      <w:r>
        <w:rPr>
          <w:spacing w:val="-1"/>
        </w:rPr>
        <w:t>which</w:t>
      </w:r>
      <w:r>
        <w:rPr>
          <w:spacing w:val="13"/>
        </w:rPr>
        <w:t xml:space="preserve"> </w:t>
      </w:r>
      <w:r>
        <w:rPr>
          <w:spacing w:val="-1"/>
        </w:rPr>
        <w:t>performs</w:t>
      </w:r>
      <w:r>
        <w:rPr>
          <w:spacing w:val="33"/>
        </w:rPr>
        <w:t xml:space="preserve"> </w:t>
      </w:r>
      <w:r>
        <w:rPr>
          <w:spacing w:val="-1"/>
        </w:rPr>
        <w:t>or</w:t>
      </w:r>
      <w:r>
        <w:rPr>
          <w:spacing w:val="51"/>
        </w:rPr>
        <w:t xml:space="preserve"> </w:t>
      </w:r>
      <w:r>
        <w:rPr>
          <w:spacing w:val="-1"/>
        </w:rPr>
        <w:t>carries</w:t>
      </w:r>
      <w:r>
        <w:rPr>
          <w:spacing w:val="50"/>
        </w:rPr>
        <w:t xml:space="preserve"> </w:t>
      </w:r>
      <w:r>
        <w:rPr>
          <w:spacing w:val="-1"/>
        </w:rPr>
        <w:t>on</w:t>
      </w:r>
      <w:r>
        <w:rPr>
          <w:spacing w:val="49"/>
        </w:rPr>
        <w:t xml:space="preserve"> </w:t>
      </w:r>
      <w:r>
        <w:rPr>
          <w:spacing w:val="-1"/>
        </w:rPr>
        <w:t>any</w:t>
      </w:r>
      <w:r>
        <w:rPr>
          <w:spacing w:val="47"/>
        </w:rPr>
        <w:t xml:space="preserve"> </w:t>
      </w:r>
      <w:r>
        <w:rPr>
          <w:spacing w:val="-1"/>
        </w:rPr>
        <w:t>of</w:t>
      </w:r>
      <w:r>
        <w:rPr>
          <w:spacing w:val="51"/>
        </w:rPr>
        <w:t xml:space="preserve"> </w:t>
      </w:r>
      <w:r>
        <w:t>the</w:t>
      </w:r>
      <w:r>
        <w:rPr>
          <w:spacing w:val="47"/>
        </w:rPr>
        <w:t xml:space="preserve"> </w:t>
      </w:r>
      <w:r>
        <w:rPr>
          <w:spacing w:val="-1"/>
        </w:rPr>
        <w:t>functions</w:t>
      </w:r>
      <w:r>
        <w:rPr>
          <w:spacing w:val="51"/>
        </w:rPr>
        <w:t xml:space="preserve"> </w:t>
      </w:r>
      <w:r>
        <w:rPr>
          <w:spacing w:val="-1"/>
        </w:rPr>
        <w:t>and/or</w:t>
      </w:r>
      <w:r>
        <w:rPr>
          <w:spacing w:val="48"/>
        </w:rPr>
        <w:t xml:space="preserve"> </w:t>
      </w:r>
      <w:r>
        <w:rPr>
          <w:spacing w:val="-1"/>
        </w:rPr>
        <w:t>activities</w:t>
      </w:r>
      <w:r>
        <w:rPr>
          <w:spacing w:val="50"/>
        </w:rPr>
        <w:t xml:space="preserve"> </w:t>
      </w:r>
      <w:r>
        <w:rPr>
          <w:spacing w:val="-1"/>
        </w:rPr>
        <w:t>that</w:t>
      </w:r>
      <w:r>
        <w:rPr>
          <w:spacing w:val="24"/>
        </w:rPr>
        <w:t xml:space="preserve"> </w:t>
      </w:r>
      <w:r>
        <w:rPr>
          <w:spacing w:val="-1"/>
        </w:rPr>
        <w:t>previously</w:t>
      </w:r>
      <w:r>
        <w:rPr>
          <w:spacing w:val="35"/>
        </w:rPr>
        <w:t xml:space="preserve"> </w:t>
      </w:r>
      <w:r>
        <w:rPr>
          <w:spacing w:val="-1"/>
        </w:rPr>
        <w:t>had</w:t>
      </w:r>
      <w:r>
        <w:rPr>
          <w:spacing w:val="37"/>
        </w:rPr>
        <w:t xml:space="preserve"> </w:t>
      </w:r>
      <w:r>
        <w:rPr>
          <w:spacing w:val="-1"/>
        </w:rPr>
        <w:t>been</w:t>
      </w:r>
      <w:r>
        <w:rPr>
          <w:spacing w:val="37"/>
        </w:rPr>
        <w:t xml:space="preserve"> </w:t>
      </w:r>
      <w:r>
        <w:rPr>
          <w:spacing w:val="-1"/>
        </w:rPr>
        <w:t>performed</w:t>
      </w:r>
      <w:r>
        <w:rPr>
          <w:spacing w:val="37"/>
        </w:rPr>
        <w:t xml:space="preserve"> </w:t>
      </w:r>
      <w:r>
        <w:rPr>
          <w:spacing w:val="-1"/>
        </w:rPr>
        <w:t>and/or</w:t>
      </w:r>
      <w:r>
        <w:rPr>
          <w:spacing w:val="39"/>
        </w:rPr>
        <w:t xml:space="preserve"> </w:t>
      </w:r>
      <w:r>
        <w:rPr>
          <w:spacing w:val="-2"/>
        </w:rPr>
        <w:t>carried</w:t>
      </w:r>
      <w:r>
        <w:rPr>
          <w:spacing w:val="37"/>
        </w:rPr>
        <w:t xml:space="preserve"> </w:t>
      </w:r>
      <w:r>
        <w:rPr>
          <w:spacing w:val="-1"/>
        </w:rPr>
        <w:t>on</w:t>
      </w:r>
      <w:r>
        <w:rPr>
          <w:spacing w:val="38"/>
        </w:rPr>
        <w:t xml:space="preserve"> </w:t>
      </w:r>
      <w:r>
        <w:rPr>
          <w:spacing w:val="-1"/>
        </w:rPr>
        <w:t>by</w:t>
      </w:r>
      <w:r>
        <w:rPr>
          <w:spacing w:val="35"/>
        </w:rPr>
        <w:t xml:space="preserve"> </w:t>
      </w:r>
      <w:r>
        <w:rPr>
          <w:spacing w:val="-1"/>
        </w:rPr>
        <w:t>the</w:t>
      </w:r>
      <w:r>
        <w:rPr>
          <w:spacing w:val="40"/>
        </w:rPr>
        <w:t xml:space="preserve"> </w:t>
      </w:r>
      <w:r>
        <w:rPr>
          <w:spacing w:val="-1"/>
        </w:rPr>
        <w:t>Customer.</w:t>
      </w:r>
    </w:p>
    <w:p w:rsidR="008918FA" w:rsidRDefault="008918FA" w:rsidP="008918FA">
      <w:pPr>
        <w:pStyle w:val="BodyText"/>
        <w:numPr>
          <w:ilvl w:val="2"/>
          <w:numId w:val="66"/>
        </w:numPr>
        <w:tabs>
          <w:tab w:val="left" w:pos="1887"/>
        </w:tabs>
        <w:ind w:left="1886" w:right="113"/>
        <w:jc w:val="both"/>
      </w:pPr>
      <w:bookmarkStart w:id="202" w:name="_bookmark169"/>
      <w:bookmarkEnd w:id="202"/>
      <w:r>
        <w:rPr>
          <w:spacing w:val="-1"/>
        </w:rPr>
        <w:t>Where</w:t>
      </w:r>
      <w:r>
        <w:t xml:space="preserve"> the </w:t>
      </w:r>
      <w:r>
        <w:rPr>
          <w:spacing w:val="-1"/>
        </w:rPr>
        <w:t>Customer</w:t>
      </w:r>
      <w:r>
        <w:rPr>
          <w:spacing w:val="2"/>
        </w:rPr>
        <w:t xml:space="preserve"> </w:t>
      </w:r>
      <w:r>
        <w:rPr>
          <w:spacing w:val="-1"/>
        </w:rPr>
        <w:t>is</w:t>
      </w:r>
      <w:r>
        <w:rPr>
          <w:spacing w:val="1"/>
        </w:rPr>
        <w:t xml:space="preserve"> </w:t>
      </w:r>
      <w:r>
        <w:t xml:space="preserve">a </w:t>
      </w:r>
      <w:r>
        <w:rPr>
          <w:spacing w:val="-1"/>
        </w:rPr>
        <w:t>Central</w:t>
      </w:r>
      <w:r>
        <w:t xml:space="preserve"> </w:t>
      </w:r>
      <w:r>
        <w:rPr>
          <w:spacing w:val="-1"/>
        </w:rPr>
        <w:t>Government</w:t>
      </w:r>
      <w:r>
        <w:rPr>
          <w:spacing w:val="2"/>
        </w:rPr>
        <w:t xml:space="preserve"> </w:t>
      </w:r>
      <w:r>
        <w:rPr>
          <w:spacing w:val="-2"/>
        </w:rPr>
        <w:t>Body,</w:t>
      </w:r>
      <w:r>
        <w:rPr>
          <w:spacing w:val="2"/>
        </w:rPr>
        <w:t xml:space="preserve"> </w:t>
      </w:r>
      <w:r>
        <w:t>any</w:t>
      </w:r>
      <w:r>
        <w:rPr>
          <w:spacing w:val="-2"/>
        </w:rPr>
        <w:t xml:space="preserve"> </w:t>
      </w:r>
      <w:r>
        <w:rPr>
          <w:spacing w:val="-1"/>
        </w:rPr>
        <w:t>change</w:t>
      </w:r>
      <w:r>
        <w:t xml:space="preserve"> </w:t>
      </w:r>
      <w:r>
        <w:rPr>
          <w:spacing w:val="-1"/>
        </w:rPr>
        <w:t>in</w:t>
      </w:r>
      <w:r>
        <w:t xml:space="preserve"> </w:t>
      </w:r>
      <w:r>
        <w:rPr>
          <w:spacing w:val="-1"/>
        </w:rPr>
        <w:t>the</w:t>
      </w:r>
      <w:r>
        <w:rPr>
          <w:spacing w:val="42"/>
        </w:rPr>
        <w:t xml:space="preserve"> </w:t>
      </w:r>
      <w:r>
        <w:rPr>
          <w:spacing w:val="-1"/>
        </w:rPr>
        <w:t>legal</w:t>
      </w:r>
      <w:r>
        <w:rPr>
          <w:spacing w:val="59"/>
        </w:rPr>
        <w:t xml:space="preserve"> </w:t>
      </w:r>
      <w:r>
        <w:rPr>
          <w:spacing w:val="-1"/>
        </w:rPr>
        <w:t>status</w:t>
      </w:r>
      <w:r>
        <w:t xml:space="preserve">  </w:t>
      </w:r>
      <w:r>
        <w:rPr>
          <w:spacing w:val="-2"/>
        </w:rPr>
        <w:t>of</w:t>
      </w:r>
      <w:r>
        <w:t xml:space="preserve"> the</w:t>
      </w:r>
      <w:r>
        <w:rPr>
          <w:spacing w:val="60"/>
        </w:rPr>
        <w:t xml:space="preserve"> </w:t>
      </w:r>
      <w:r>
        <w:rPr>
          <w:spacing w:val="-1"/>
        </w:rPr>
        <w:t>Customer</w:t>
      </w:r>
      <w:r>
        <w:t xml:space="preserve">  </w:t>
      </w:r>
      <w:r>
        <w:rPr>
          <w:spacing w:val="-2"/>
        </w:rPr>
        <w:t>which</w:t>
      </w:r>
      <w:r>
        <w:rPr>
          <w:spacing w:val="2"/>
        </w:rPr>
        <w:t xml:space="preserve"> </w:t>
      </w:r>
      <w:r>
        <w:rPr>
          <w:spacing w:val="-1"/>
        </w:rPr>
        <w:t>means</w:t>
      </w:r>
      <w:r>
        <w:t xml:space="preserve">  </w:t>
      </w:r>
      <w:r>
        <w:rPr>
          <w:spacing w:val="-1"/>
        </w:rPr>
        <w:t>that</w:t>
      </w:r>
      <w:r>
        <w:rPr>
          <w:spacing w:val="1"/>
        </w:rPr>
        <w:t xml:space="preserve"> </w:t>
      </w:r>
      <w:r>
        <w:rPr>
          <w:spacing w:val="-1"/>
        </w:rPr>
        <w:t>it</w:t>
      </w:r>
      <w:r>
        <w:rPr>
          <w:spacing w:val="1"/>
        </w:rPr>
        <w:t xml:space="preserve"> </w:t>
      </w:r>
      <w:r>
        <w:rPr>
          <w:spacing w:val="-1"/>
        </w:rPr>
        <w:t>ceases</w:t>
      </w:r>
      <w:r>
        <w:t xml:space="preserve">  to</w:t>
      </w:r>
      <w:r>
        <w:rPr>
          <w:spacing w:val="60"/>
        </w:rPr>
        <w:t xml:space="preserve"> </w:t>
      </w:r>
      <w:r>
        <w:rPr>
          <w:spacing w:val="-1"/>
        </w:rPr>
        <w:t>be</w:t>
      </w:r>
      <w:r>
        <w:rPr>
          <w:spacing w:val="60"/>
        </w:rPr>
        <w:t xml:space="preserve"> </w:t>
      </w:r>
      <w:r>
        <w:t>a</w:t>
      </w:r>
      <w:r>
        <w:rPr>
          <w:spacing w:val="47"/>
        </w:rPr>
        <w:t xml:space="preserve"> </w:t>
      </w:r>
      <w:r>
        <w:rPr>
          <w:spacing w:val="-1"/>
        </w:rPr>
        <w:t>Central</w:t>
      </w:r>
      <w:r>
        <w:rPr>
          <w:spacing w:val="38"/>
        </w:rPr>
        <w:t xml:space="preserve"> </w:t>
      </w:r>
      <w:r>
        <w:rPr>
          <w:spacing w:val="-1"/>
        </w:rPr>
        <w:t>Government</w:t>
      </w:r>
      <w:r>
        <w:rPr>
          <w:spacing w:val="40"/>
        </w:rPr>
        <w:t xml:space="preserve"> </w:t>
      </w:r>
      <w:r>
        <w:rPr>
          <w:spacing w:val="-2"/>
        </w:rPr>
        <w:t>Body</w:t>
      </w:r>
      <w:r>
        <w:rPr>
          <w:spacing w:val="37"/>
        </w:rPr>
        <w:t xml:space="preserve"> </w:t>
      </w:r>
      <w:r>
        <w:rPr>
          <w:spacing w:val="-1"/>
        </w:rPr>
        <w:t>shall</w:t>
      </w:r>
      <w:r>
        <w:rPr>
          <w:spacing w:val="38"/>
        </w:rPr>
        <w:t xml:space="preserve"> </w:t>
      </w:r>
      <w:r>
        <w:rPr>
          <w:spacing w:val="-1"/>
        </w:rPr>
        <w:t>not</w:t>
      </w:r>
      <w:r>
        <w:rPr>
          <w:spacing w:val="40"/>
        </w:rPr>
        <w:t xml:space="preserve"> </w:t>
      </w:r>
      <w:r>
        <w:rPr>
          <w:spacing w:val="-1"/>
        </w:rPr>
        <w:t>affect</w:t>
      </w:r>
      <w:r>
        <w:rPr>
          <w:spacing w:val="38"/>
        </w:rPr>
        <w:t xml:space="preserve"> </w:t>
      </w:r>
      <w:r>
        <w:t>the</w:t>
      </w:r>
      <w:r>
        <w:rPr>
          <w:spacing w:val="39"/>
        </w:rPr>
        <w:t xml:space="preserve"> </w:t>
      </w:r>
      <w:r>
        <w:rPr>
          <w:spacing w:val="-2"/>
        </w:rPr>
        <w:t>validity</w:t>
      </w:r>
      <w:r>
        <w:rPr>
          <w:spacing w:val="36"/>
        </w:rPr>
        <w:t xml:space="preserve"> </w:t>
      </w:r>
      <w:r>
        <w:rPr>
          <w:spacing w:val="-1"/>
        </w:rPr>
        <w:t>of</w:t>
      </w:r>
      <w:r>
        <w:rPr>
          <w:spacing w:val="42"/>
        </w:rPr>
        <w:t xml:space="preserve"> </w:t>
      </w:r>
      <w:r>
        <w:rPr>
          <w:spacing w:val="-1"/>
        </w:rPr>
        <w:t>any</w:t>
      </w:r>
      <w:r>
        <w:rPr>
          <w:spacing w:val="36"/>
        </w:rPr>
        <w:t xml:space="preserve"> </w:t>
      </w:r>
      <w:r>
        <w:rPr>
          <w:spacing w:val="-2"/>
        </w:rPr>
        <w:t>licence</w:t>
      </w:r>
      <w:r>
        <w:rPr>
          <w:spacing w:val="56"/>
        </w:rPr>
        <w:t xml:space="preserve"> </w:t>
      </w:r>
      <w:r>
        <w:rPr>
          <w:spacing w:val="-1"/>
        </w:rPr>
        <w:t>granted</w:t>
      </w:r>
      <w:r>
        <w:rPr>
          <w:spacing w:val="14"/>
        </w:rPr>
        <w:t xml:space="preserve"> </w:t>
      </w:r>
      <w:r>
        <w:rPr>
          <w:spacing w:val="-1"/>
        </w:rPr>
        <w:t>in</w:t>
      </w:r>
      <w:r>
        <w:rPr>
          <w:spacing w:val="14"/>
        </w:rPr>
        <w:t xml:space="preserve"> </w:t>
      </w:r>
      <w:r>
        <w:rPr>
          <w:spacing w:val="-2"/>
        </w:rPr>
        <w:t>Clause</w:t>
      </w:r>
      <w:r>
        <w:rPr>
          <w:spacing w:val="15"/>
        </w:rPr>
        <w:t xml:space="preserve"> </w:t>
      </w:r>
      <w:hyperlink w:anchor="_bookmark162" w:history="1">
        <w:r>
          <w:rPr>
            <w:spacing w:val="-1"/>
          </w:rPr>
          <w:t>33.2</w:t>
        </w:r>
      </w:hyperlink>
      <w:r>
        <w:rPr>
          <w:spacing w:val="11"/>
        </w:rPr>
        <w:t xml:space="preserve"> </w:t>
      </w:r>
      <w:r>
        <w:rPr>
          <w:spacing w:val="-1"/>
        </w:rPr>
        <w:t>(Licence</w:t>
      </w:r>
      <w:r>
        <w:rPr>
          <w:spacing w:val="12"/>
        </w:rPr>
        <w:t xml:space="preserve"> </w:t>
      </w:r>
      <w:r>
        <w:rPr>
          <w:spacing w:val="-1"/>
        </w:rPr>
        <w:t>granted</w:t>
      </w:r>
      <w:r>
        <w:rPr>
          <w:spacing w:val="11"/>
        </w:rPr>
        <w:t xml:space="preserve"> </w:t>
      </w:r>
      <w:r>
        <w:rPr>
          <w:spacing w:val="-1"/>
        </w:rPr>
        <w:t>by</w:t>
      </w:r>
      <w:r>
        <w:rPr>
          <w:spacing w:val="12"/>
        </w:rPr>
        <w:t xml:space="preserve"> </w:t>
      </w:r>
      <w:r>
        <w:rPr>
          <w:spacing w:val="-1"/>
        </w:rPr>
        <w:t>the</w:t>
      </w:r>
      <w:r>
        <w:rPr>
          <w:spacing w:val="14"/>
        </w:rPr>
        <w:t xml:space="preserve"> </w:t>
      </w:r>
      <w:r>
        <w:rPr>
          <w:spacing w:val="-1"/>
        </w:rPr>
        <w:t>Supplier:</w:t>
      </w:r>
      <w:r>
        <w:rPr>
          <w:spacing w:val="15"/>
        </w:rPr>
        <w:t xml:space="preserve"> </w:t>
      </w:r>
      <w:r>
        <w:rPr>
          <w:spacing w:val="-1"/>
        </w:rPr>
        <w:t>Project</w:t>
      </w:r>
      <w:r>
        <w:rPr>
          <w:spacing w:val="37"/>
        </w:rPr>
        <w:t xml:space="preserve"> </w:t>
      </w:r>
      <w:r>
        <w:rPr>
          <w:spacing w:val="-1"/>
        </w:rPr>
        <w:t>Specific</w:t>
      </w:r>
      <w:r>
        <w:rPr>
          <w:spacing w:val="34"/>
        </w:rPr>
        <w:t xml:space="preserve"> </w:t>
      </w:r>
      <w:r>
        <w:rPr>
          <w:spacing w:val="-1"/>
        </w:rPr>
        <w:t>IPR)</w:t>
      </w:r>
      <w:r>
        <w:rPr>
          <w:spacing w:val="38"/>
        </w:rPr>
        <w:t xml:space="preserve"> </w:t>
      </w:r>
      <w:r>
        <w:rPr>
          <w:spacing w:val="-1"/>
        </w:rPr>
        <w:t>and/or</w:t>
      </w:r>
      <w:r>
        <w:rPr>
          <w:spacing w:val="38"/>
        </w:rPr>
        <w:t xml:space="preserve"> </w:t>
      </w:r>
      <w:r>
        <w:rPr>
          <w:spacing w:val="-2"/>
        </w:rPr>
        <w:t>Clause</w:t>
      </w:r>
      <w:r>
        <w:rPr>
          <w:spacing w:val="37"/>
        </w:rPr>
        <w:t xml:space="preserve"> </w:t>
      </w:r>
      <w:hyperlink w:anchor="_bookmark164" w:history="1">
        <w:r>
          <w:rPr>
            <w:spacing w:val="-1"/>
          </w:rPr>
          <w:t>33.3</w:t>
        </w:r>
      </w:hyperlink>
      <w:r>
        <w:rPr>
          <w:spacing w:val="34"/>
        </w:rPr>
        <w:t xml:space="preserve"> </w:t>
      </w:r>
      <w:r>
        <w:rPr>
          <w:spacing w:val="-1"/>
        </w:rPr>
        <w:t>(Licences</w:t>
      </w:r>
      <w:r>
        <w:rPr>
          <w:spacing w:val="34"/>
        </w:rPr>
        <w:t xml:space="preserve"> </w:t>
      </w:r>
      <w:r>
        <w:rPr>
          <w:spacing w:val="-1"/>
        </w:rPr>
        <w:t>granted</w:t>
      </w:r>
      <w:r>
        <w:rPr>
          <w:spacing w:val="37"/>
        </w:rPr>
        <w:t xml:space="preserve"> </w:t>
      </w:r>
      <w:r>
        <w:rPr>
          <w:spacing w:val="-1"/>
        </w:rPr>
        <w:t>by</w:t>
      </w:r>
      <w:r>
        <w:rPr>
          <w:spacing w:val="34"/>
        </w:rPr>
        <w:t xml:space="preserve"> </w:t>
      </w:r>
      <w:r>
        <w:t>the</w:t>
      </w:r>
      <w:r>
        <w:rPr>
          <w:spacing w:val="36"/>
        </w:rPr>
        <w:t xml:space="preserve"> </w:t>
      </w:r>
      <w:r>
        <w:rPr>
          <w:spacing w:val="-1"/>
        </w:rPr>
        <w:t>Supplier:</w:t>
      </w:r>
      <w:r>
        <w:rPr>
          <w:spacing w:val="45"/>
        </w:rPr>
        <w:t xml:space="preserve"> </w:t>
      </w:r>
      <w:r>
        <w:rPr>
          <w:spacing w:val="-2"/>
        </w:rPr>
        <w:t>Supplier</w:t>
      </w:r>
      <w:r>
        <w:rPr>
          <w:spacing w:val="49"/>
        </w:rPr>
        <w:t xml:space="preserve"> </w:t>
      </w:r>
      <w:r>
        <w:rPr>
          <w:spacing w:val="-1"/>
        </w:rPr>
        <w:t>Background</w:t>
      </w:r>
      <w:r>
        <w:rPr>
          <w:spacing w:val="46"/>
        </w:rPr>
        <w:t xml:space="preserve"> </w:t>
      </w:r>
      <w:r>
        <w:rPr>
          <w:spacing w:val="-1"/>
        </w:rPr>
        <w:t>IPR).</w:t>
      </w:r>
      <w:r>
        <w:rPr>
          <w:spacing w:val="50"/>
        </w:rPr>
        <w:t xml:space="preserve"> </w:t>
      </w:r>
      <w:r>
        <w:rPr>
          <w:spacing w:val="-1"/>
        </w:rPr>
        <w:t>If</w:t>
      </w:r>
      <w:r>
        <w:rPr>
          <w:spacing w:val="47"/>
        </w:rPr>
        <w:t xml:space="preserve"> </w:t>
      </w:r>
      <w:r>
        <w:t>the</w:t>
      </w:r>
      <w:r>
        <w:rPr>
          <w:spacing w:val="48"/>
        </w:rPr>
        <w:t xml:space="preserve"> </w:t>
      </w:r>
      <w:r>
        <w:rPr>
          <w:spacing w:val="-1"/>
        </w:rPr>
        <w:t>Customer</w:t>
      </w:r>
      <w:r>
        <w:rPr>
          <w:spacing w:val="47"/>
        </w:rPr>
        <w:t xml:space="preserve"> </w:t>
      </w:r>
      <w:r>
        <w:rPr>
          <w:spacing w:val="-1"/>
        </w:rPr>
        <w:t>ceases</w:t>
      </w:r>
      <w:r>
        <w:rPr>
          <w:spacing w:val="50"/>
        </w:rPr>
        <w:t xml:space="preserve"> </w:t>
      </w:r>
      <w:r>
        <w:t>to</w:t>
      </w:r>
      <w:r>
        <w:rPr>
          <w:spacing w:val="49"/>
        </w:rPr>
        <w:t xml:space="preserve"> </w:t>
      </w:r>
      <w:r>
        <w:rPr>
          <w:spacing w:val="-1"/>
        </w:rPr>
        <w:t>be</w:t>
      </w:r>
      <w:r>
        <w:rPr>
          <w:spacing w:val="48"/>
        </w:rPr>
        <w:t xml:space="preserve"> </w:t>
      </w:r>
      <w:r>
        <w:t>a</w:t>
      </w:r>
      <w:r>
        <w:rPr>
          <w:spacing w:val="48"/>
        </w:rPr>
        <w:t xml:space="preserve"> </w:t>
      </w:r>
      <w:r>
        <w:rPr>
          <w:spacing w:val="-1"/>
        </w:rPr>
        <w:t>Central</w:t>
      </w:r>
      <w:r>
        <w:rPr>
          <w:spacing w:val="32"/>
        </w:rPr>
        <w:t xml:space="preserve"> </w:t>
      </w:r>
      <w:r>
        <w:rPr>
          <w:spacing w:val="-1"/>
        </w:rPr>
        <w:t>Government</w:t>
      </w:r>
      <w:r>
        <w:rPr>
          <w:spacing w:val="30"/>
        </w:rPr>
        <w:t xml:space="preserve"> </w:t>
      </w:r>
      <w:r>
        <w:rPr>
          <w:spacing w:val="-2"/>
        </w:rPr>
        <w:t>Body,</w:t>
      </w:r>
      <w:r>
        <w:rPr>
          <w:spacing w:val="30"/>
        </w:rPr>
        <w:t xml:space="preserve"> </w:t>
      </w:r>
      <w:r>
        <w:t>the</w:t>
      </w:r>
      <w:r>
        <w:rPr>
          <w:spacing w:val="29"/>
        </w:rPr>
        <w:t xml:space="preserve"> </w:t>
      </w:r>
      <w:r>
        <w:rPr>
          <w:spacing w:val="-1"/>
        </w:rPr>
        <w:t>successor</w:t>
      </w:r>
      <w:r>
        <w:rPr>
          <w:spacing w:val="30"/>
        </w:rPr>
        <w:t xml:space="preserve"> </w:t>
      </w:r>
      <w:r>
        <w:rPr>
          <w:spacing w:val="-1"/>
        </w:rPr>
        <w:t>body</w:t>
      </w:r>
      <w:r>
        <w:rPr>
          <w:spacing w:val="27"/>
        </w:rPr>
        <w:t xml:space="preserve"> </w:t>
      </w:r>
      <w:r>
        <w:t>to</w:t>
      </w:r>
      <w:r>
        <w:rPr>
          <w:spacing w:val="29"/>
        </w:rPr>
        <w:t xml:space="preserve"> </w:t>
      </w:r>
      <w:r>
        <w:t>the</w:t>
      </w:r>
      <w:r>
        <w:rPr>
          <w:spacing w:val="29"/>
        </w:rPr>
        <w:t xml:space="preserve"> </w:t>
      </w:r>
      <w:r>
        <w:rPr>
          <w:spacing w:val="-1"/>
        </w:rPr>
        <w:t>Customer</w:t>
      </w:r>
      <w:r>
        <w:rPr>
          <w:spacing w:val="30"/>
        </w:rPr>
        <w:t xml:space="preserve"> </w:t>
      </w:r>
      <w:r>
        <w:rPr>
          <w:spacing w:val="-1"/>
        </w:rPr>
        <w:t>shall</w:t>
      </w:r>
      <w:r>
        <w:rPr>
          <w:spacing w:val="28"/>
        </w:rPr>
        <w:t xml:space="preserve"> </w:t>
      </w:r>
      <w:r>
        <w:rPr>
          <w:spacing w:val="-1"/>
        </w:rPr>
        <w:t>still</w:t>
      </w:r>
      <w:r>
        <w:rPr>
          <w:spacing w:val="28"/>
        </w:rPr>
        <w:t xml:space="preserve"> </w:t>
      </w:r>
      <w:r>
        <w:rPr>
          <w:spacing w:val="-1"/>
        </w:rPr>
        <w:t>be</w:t>
      </w:r>
      <w:r>
        <w:rPr>
          <w:spacing w:val="28"/>
        </w:rPr>
        <w:t xml:space="preserve"> </w:t>
      </w:r>
      <w:r>
        <w:rPr>
          <w:spacing w:val="-1"/>
        </w:rPr>
        <w:t>entitled</w:t>
      </w:r>
      <w:r>
        <w:rPr>
          <w:spacing w:val="15"/>
        </w:rPr>
        <w:t xml:space="preserve"> </w:t>
      </w:r>
      <w:r>
        <w:t>to</w:t>
      </w:r>
      <w:r>
        <w:rPr>
          <w:spacing w:val="15"/>
        </w:rPr>
        <w:t xml:space="preserve"> </w:t>
      </w:r>
      <w:r>
        <w:t>the</w:t>
      </w:r>
      <w:r>
        <w:rPr>
          <w:spacing w:val="15"/>
        </w:rPr>
        <w:t xml:space="preserve"> </w:t>
      </w:r>
      <w:r>
        <w:rPr>
          <w:spacing w:val="-1"/>
        </w:rPr>
        <w:t>benefit</w:t>
      </w:r>
      <w:r>
        <w:rPr>
          <w:spacing w:val="16"/>
        </w:rPr>
        <w:t xml:space="preserve"> </w:t>
      </w:r>
      <w:r>
        <w:rPr>
          <w:spacing w:val="-2"/>
        </w:rPr>
        <w:t>of</w:t>
      </w:r>
      <w:r>
        <w:rPr>
          <w:spacing w:val="16"/>
        </w:rPr>
        <w:t xml:space="preserve"> </w:t>
      </w:r>
      <w:r>
        <w:t>the</w:t>
      </w:r>
      <w:r>
        <w:rPr>
          <w:spacing w:val="15"/>
        </w:rPr>
        <w:t xml:space="preserve"> </w:t>
      </w:r>
      <w:r>
        <w:rPr>
          <w:spacing w:val="-1"/>
        </w:rPr>
        <w:t>licences</w:t>
      </w:r>
      <w:r>
        <w:rPr>
          <w:spacing w:val="15"/>
        </w:rPr>
        <w:t xml:space="preserve"> </w:t>
      </w:r>
      <w:r>
        <w:rPr>
          <w:spacing w:val="-1"/>
        </w:rPr>
        <w:t>granted</w:t>
      </w:r>
      <w:r>
        <w:rPr>
          <w:spacing w:val="15"/>
        </w:rPr>
        <w:t xml:space="preserve"> </w:t>
      </w:r>
      <w:r>
        <w:rPr>
          <w:spacing w:val="-1"/>
        </w:rPr>
        <w:t>in</w:t>
      </w:r>
      <w:r>
        <w:rPr>
          <w:spacing w:val="17"/>
        </w:rPr>
        <w:t xml:space="preserve"> </w:t>
      </w:r>
      <w:r>
        <w:rPr>
          <w:spacing w:val="-2"/>
        </w:rPr>
        <w:t>Clause</w:t>
      </w:r>
      <w:r>
        <w:rPr>
          <w:spacing w:val="19"/>
        </w:rPr>
        <w:t xml:space="preserve"> </w:t>
      </w:r>
      <w:hyperlink w:anchor="_bookmark162" w:history="1">
        <w:r>
          <w:rPr>
            <w:spacing w:val="-1"/>
          </w:rPr>
          <w:t>33.2</w:t>
        </w:r>
      </w:hyperlink>
      <w:r>
        <w:rPr>
          <w:spacing w:val="15"/>
        </w:rPr>
        <w:t xml:space="preserve"> </w:t>
      </w:r>
      <w:r>
        <w:rPr>
          <w:spacing w:val="-1"/>
        </w:rPr>
        <w:t>(Licence</w:t>
      </w:r>
      <w:r>
        <w:rPr>
          <w:spacing w:val="44"/>
        </w:rPr>
        <w:t xml:space="preserve"> </w:t>
      </w:r>
      <w:r>
        <w:rPr>
          <w:spacing w:val="-1"/>
        </w:rPr>
        <w:t>granted</w:t>
      </w:r>
      <w:r>
        <w:rPr>
          <w:spacing w:val="26"/>
        </w:rPr>
        <w:t xml:space="preserve"> </w:t>
      </w:r>
      <w:r>
        <w:rPr>
          <w:spacing w:val="-1"/>
        </w:rPr>
        <w:t>by</w:t>
      </w:r>
      <w:r>
        <w:rPr>
          <w:spacing w:val="24"/>
        </w:rPr>
        <w:t xml:space="preserve"> </w:t>
      </w:r>
      <w:r>
        <w:t>the</w:t>
      </w:r>
      <w:r>
        <w:rPr>
          <w:spacing w:val="23"/>
        </w:rPr>
        <w:t xml:space="preserve"> </w:t>
      </w:r>
      <w:r>
        <w:rPr>
          <w:spacing w:val="-1"/>
        </w:rPr>
        <w:t>Supplier:</w:t>
      </w:r>
      <w:r>
        <w:rPr>
          <w:spacing w:val="27"/>
        </w:rPr>
        <w:t xml:space="preserve"> </w:t>
      </w:r>
      <w:r>
        <w:rPr>
          <w:spacing w:val="-2"/>
        </w:rPr>
        <w:t>Project</w:t>
      </w:r>
      <w:r>
        <w:rPr>
          <w:spacing w:val="27"/>
        </w:rPr>
        <w:t xml:space="preserve"> </w:t>
      </w:r>
      <w:r>
        <w:rPr>
          <w:spacing w:val="-1"/>
        </w:rPr>
        <w:t>Specific</w:t>
      </w:r>
      <w:r>
        <w:rPr>
          <w:spacing w:val="24"/>
        </w:rPr>
        <w:t xml:space="preserve"> </w:t>
      </w:r>
      <w:r>
        <w:rPr>
          <w:spacing w:val="-2"/>
        </w:rPr>
        <w:t>IPR)</w:t>
      </w:r>
      <w:r>
        <w:rPr>
          <w:spacing w:val="28"/>
        </w:rPr>
        <w:t xml:space="preserve"> </w:t>
      </w:r>
      <w:r>
        <w:rPr>
          <w:spacing w:val="-1"/>
        </w:rPr>
        <w:t>and</w:t>
      </w:r>
      <w:r>
        <w:rPr>
          <w:spacing w:val="26"/>
        </w:rPr>
        <w:t xml:space="preserve"> </w:t>
      </w:r>
      <w:r>
        <w:rPr>
          <w:spacing w:val="-2"/>
        </w:rPr>
        <w:t>Clause</w:t>
      </w:r>
      <w:r>
        <w:rPr>
          <w:spacing w:val="28"/>
        </w:rPr>
        <w:t xml:space="preserve"> </w:t>
      </w:r>
      <w:hyperlink w:anchor="_bookmark164" w:history="1">
        <w:r>
          <w:rPr>
            <w:spacing w:val="-1"/>
          </w:rPr>
          <w:t>33.3</w:t>
        </w:r>
      </w:hyperlink>
      <w:r>
        <w:rPr>
          <w:spacing w:val="47"/>
        </w:rPr>
        <w:t xml:space="preserve"> </w:t>
      </w:r>
      <w:r>
        <w:rPr>
          <w:spacing w:val="-1"/>
        </w:rPr>
        <w:t>(Licence</w:t>
      </w:r>
      <w:r>
        <w:rPr>
          <w:spacing w:val="-2"/>
        </w:rPr>
        <w:t xml:space="preserve"> </w:t>
      </w:r>
      <w:r>
        <w:rPr>
          <w:spacing w:val="-1"/>
        </w:rPr>
        <w:t>granted</w:t>
      </w:r>
      <w:r>
        <w:rPr>
          <w:spacing w:val="-2"/>
        </w:rPr>
        <w:t xml:space="preserve"> </w:t>
      </w:r>
      <w:r>
        <w:rPr>
          <w:spacing w:val="-1"/>
        </w:rPr>
        <w:t>by</w:t>
      </w:r>
      <w:r>
        <w:rPr>
          <w:spacing w:val="-2"/>
        </w:rPr>
        <w:t xml:space="preserve"> </w:t>
      </w:r>
      <w:r>
        <w:t>the</w:t>
      </w:r>
      <w:r>
        <w:rPr>
          <w:spacing w:val="-2"/>
        </w:rPr>
        <w:t xml:space="preserve"> </w:t>
      </w:r>
      <w:r>
        <w:rPr>
          <w:spacing w:val="-1"/>
        </w:rPr>
        <w:t>Supplier:</w:t>
      </w:r>
      <w:r>
        <w:rPr>
          <w:spacing w:val="2"/>
        </w:rPr>
        <w:t xml:space="preserve"> </w:t>
      </w:r>
      <w:r>
        <w:rPr>
          <w:spacing w:val="-2"/>
        </w:rPr>
        <w:t>Supplier</w:t>
      </w:r>
      <w:r>
        <w:rPr>
          <w:spacing w:val="2"/>
        </w:rPr>
        <w:t xml:space="preserve"> </w:t>
      </w:r>
      <w:r>
        <w:rPr>
          <w:spacing w:val="-1"/>
        </w:rPr>
        <w:t>Background</w:t>
      </w:r>
      <w:r>
        <w:rPr>
          <w:spacing w:val="-2"/>
        </w:rPr>
        <w:t xml:space="preserve"> </w:t>
      </w:r>
      <w:r>
        <w:t>IPR).</w:t>
      </w:r>
    </w:p>
    <w:p w:rsidR="008918FA" w:rsidRDefault="008918FA" w:rsidP="008918FA">
      <w:pPr>
        <w:pStyle w:val="BodyText"/>
        <w:numPr>
          <w:ilvl w:val="2"/>
          <w:numId w:val="66"/>
        </w:numPr>
        <w:tabs>
          <w:tab w:val="left" w:pos="1887"/>
        </w:tabs>
        <w:ind w:left="1886" w:right="111"/>
        <w:jc w:val="both"/>
      </w:pPr>
      <w:r>
        <w:rPr>
          <w:spacing w:val="-1"/>
        </w:rPr>
        <w:t>If</w:t>
      </w:r>
      <w:r>
        <w:rPr>
          <w:spacing w:val="30"/>
        </w:rPr>
        <w:t xml:space="preserve"> </w:t>
      </w:r>
      <w:r>
        <w:t>a</w:t>
      </w:r>
      <w:r>
        <w:rPr>
          <w:spacing w:val="27"/>
        </w:rPr>
        <w:t xml:space="preserve"> </w:t>
      </w:r>
      <w:r>
        <w:rPr>
          <w:spacing w:val="-1"/>
        </w:rPr>
        <w:t>licence</w:t>
      </w:r>
      <w:r>
        <w:rPr>
          <w:spacing w:val="27"/>
        </w:rPr>
        <w:t xml:space="preserve"> </w:t>
      </w:r>
      <w:r>
        <w:rPr>
          <w:spacing w:val="-1"/>
        </w:rPr>
        <w:t>granted</w:t>
      </w:r>
      <w:r>
        <w:rPr>
          <w:spacing w:val="27"/>
        </w:rPr>
        <w:t xml:space="preserve"> </w:t>
      </w:r>
      <w:r>
        <w:rPr>
          <w:spacing w:val="-1"/>
        </w:rPr>
        <w:t>in</w:t>
      </w:r>
      <w:r>
        <w:rPr>
          <w:spacing w:val="27"/>
        </w:rPr>
        <w:t xml:space="preserve"> </w:t>
      </w:r>
      <w:r>
        <w:rPr>
          <w:spacing w:val="-2"/>
        </w:rPr>
        <w:t>Clause</w:t>
      </w:r>
      <w:r>
        <w:rPr>
          <w:spacing w:val="29"/>
        </w:rPr>
        <w:t xml:space="preserve"> </w:t>
      </w:r>
      <w:hyperlink w:anchor="_bookmark162" w:history="1">
        <w:r>
          <w:rPr>
            <w:spacing w:val="-1"/>
          </w:rPr>
          <w:t>33.2</w:t>
        </w:r>
      </w:hyperlink>
      <w:r>
        <w:rPr>
          <w:spacing w:val="27"/>
        </w:rPr>
        <w:t xml:space="preserve"> </w:t>
      </w:r>
      <w:r>
        <w:rPr>
          <w:spacing w:val="-1"/>
        </w:rPr>
        <w:t>(Licence</w:t>
      </w:r>
      <w:r>
        <w:rPr>
          <w:spacing w:val="25"/>
        </w:rPr>
        <w:t xml:space="preserve"> </w:t>
      </w:r>
      <w:r>
        <w:rPr>
          <w:spacing w:val="-1"/>
        </w:rPr>
        <w:t>granted</w:t>
      </w:r>
      <w:r>
        <w:rPr>
          <w:spacing w:val="27"/>
        </w:rPr>
        <w:t xml:space="preserve"> </w:t>
      </w:r>
      <w:r>
        <w:rPr>
          <w:spacing w:val="-1"/>
        </w:rPr>
        <w:t>by</w:t>
      </w:r>
      <w:r>
        <w:rPr>
          <w:spacing w:val="25"/>
        </w:rPr>
        <w:t xml:space="preserve"> </w:t>
      </w:r>
      <w:r>
        <w:t>the</w:t>
      </w:r>
      <w:r>
        <w:rPr>
          <w:spacing w:val="27"/>
        </w:rPr>
        <w:t xml:space="preserve"> </w:t>
      </w:r>
      <w:r>
        <w:rPr>
          <w:spacing w:val="-1"/>
        </w:rPr>
        <w:t>Supplier:</w:t>
      </w:r>
      <w:r>
        <w:rPr>
          <w:spacing w:val="35"/>
        </w:rPr>
        <w:t xml:space="preserve"> </w:t>
      </w:r>
      <w:r>
        <w:rPr>
          <w:spacing w:val="-1"/>
        </w:rPr>
        <w:t>Project</w:t>
      </w:r>
      <w:r>
        <w:rPr>
          <w:spacing w:val="8"/>
        </w:rPr>
        <w:t xml:space="preserve"> </w:t>
      </w:r>
      <w:r>
        <w:rPr>
          <w:spacing w:val="-1"/>
        </w:rPr>
        <w:t>Specific</w:t>
      </w:r>
      <w:r>
        <w:rPr>
          <w:spacing w:val="7"/>
        </w:rPr>
        <w:t xml:space="preserve"> </w:t>
      </w:r>
      <w:r>
        <w:rPr>
          <w:spacing w:val="-1"/>
        </w:rPr>
        <w:t>IPR)</w:t>
      </w:r>
      <w:r>
        <w:rPr>
          <w:spacing w:val="8"/>
        </w:rPr>
        <w:t xml:space="preserve"> </w:t>
      </w:r>
      <w:r>
        <w:rPr>
          <w:spacing w:val="-1"/>
        </w:rPr>
        <w:t>and/or</w:t>
      </w:r>
      <w:r>
        <w:rPr>
          <w:spacing w:val="8"/>
        </w:rPr>
        <w:t xml:space="preserve"> </w:t>
      </w:r>
      <w:r>
        <w:rPr>
          <w:spacing w:val="-2"/>
        </w:rPr>
        <w:t>Clause</w:t>
      </w:r>
      <w:r>
        <w:rPr>
          <w:spacing w:val="7"/>
        </w:rPr>
        <w:t xml:space="preserve"> </w:t>
      </w:r>
      <w:hyperlink w:anchor="_bookmark164" w:history="1">
        <w:r>
          <w:rPr>
            <w:spacing w:val="-1"/>
          </w:rPr>
          <w:t>33.3</w:t>
        </w:r>
      </w:hyperlink>
      <w:r>
        <w:rPr>
          <w:spacing w:val="7"/>
        </w:rPr>
        <w:t xml:space="preserve"> </w:t>
      </w:r>
      <w:r>
        <w:rPr>
          <w:spacing w:val="-1"/>
        </w:rPr>
        <w:t>(Licence</w:t>
      </w:r>
      <w:r>
        <w:rPr>
          <w:spacing w:val="7"/>
        </w:rPr>
        <w:t xml:space="preserve"> </w:t>
      </w:r>
      <w:r>
        <w:rPr>
          <w:spacing w:val="-1"/>
        </w:rPr>
        <w:t>granted</w:t>
      </w:r>
      <w:r>
        <w:rPr>
          <w:spacing w:val="6"/>
        </w:rPr>
        <w:t xml:space="preserve"> </w:t>
      </w:r>
      <w:r>
        <w:rPr>
          <w:spacing w:val="-1"/>
        </w:rPr>
        <w:t>by</w:t>
      </w:r>
      <w:r>
        <w:rPr>
          <w:spacing w:val="4"/>
        </w:rPr>
        <w:t xml:space="preserve"> </w:t>
      </w:r>
      <w:r>
        <w:rPr>
          <w:spacing w:val="-1"/>
        </w:rPr>
        <w:t>the</w:t>
      </w:r>
      <w:r>
        <w:rPr>
          <w:spacing w:val="54"/>
        </w:rPr>
        <w:t xml:space="preserve"> </w:t>
      </w:r>
      <w:r>
        <w:rPr>
          <w:spacing w:val="-1"/>
        </w:rPr>
        <w:t>Supplier:</w:t>
      </w:r>
      <w:r>
        <w:rPr>
          <w:spacing w:val="30"/>
        </w:rPr>
        <w:t xml:space="preserve"> </w:t>
      </w:r>
      <w:r>
        <w:rPr>
          <w:spacing w:val="-2"/>
        </w:rPr>
        <w:t>Supplier</w:t>
      </w:r>
      <w:r>
        <w:rPr>
          <w:spacing w:val="30"/>
        </w:rPr>
        <w:t xml:space="preserve"> </w:t>
      </w:r>
      <w:r>
        <w:rPr>
          <w:spacing w:val="-1"/>
        </w:rPr>
        <w:t>Background</w:t>
      </w:r>
      <w:r>
        <w:rPr>
          <w:spacing w:val="29"/>
        </w:rPr>
        <w:t xml:space="preserve"> </w:t>
      </w:r>
      <w:r>
        <w:rPr>
          <w:spacing w:val="-1"/>
        </w:rPr>
        <w:t>IPR)</w:t>
      </w:r>
      <w:r>
        <w:rPr>
          <w:spacing w:val="31"/>
        </w:rPr>
        <w:t xml:space="preserve"> </w:t>
      </w:r>
      <w:r>
        <w:rPr>
          <w:spacing w:val="-1"/>
        </w:rPr>
        <w:t>is</w:t>
      </w:r>
      <w:r>
        <w:rPr>
          <w:spacing w:val="30"/>
        </w:rPr>
        <w:t xml:space="preserve"> </w:t>
      </w:r>
      <w:r>
        <w:rPr>
          <w:spacing w:val="-1"/>
        </w:rPr>
        <w:t>novated</w:t>
      </w:r>
      <w:r>
        <w:rPr>
          <w:spacing w:val="27"/>
        </w:rPr>
        <w:t xml:space="preserve"> </w:t>
      </w:r>
      <w:r>
        <w:rPr>
          <w:spacing w:val="-1"/>
        </w:rPr>
        <w:t>under</w:t>
      </w:r>
      <w:r>
        <w:rPr>
          <w:spacing w:val="30"/>
        </w:rPr>
        <w:t xml:space="preserve"> </w:t>
      </w:r>
      <w:r>
        <w:rPr>
          <w:spacing w:val="-1"/>
        </w:rPr>
        <w:t>Clauses</w:t>
      </w:r>
      <w:r>
        <w:rPr>
          <w:spacing w:val="30"/>
        </w:rPr>
        <w:t xml:space="preserve"> </w:t>
      </w:r>
      <w:hyperlink w:anchor="_bookmark167" w:history="1">
        <w:r>
          <w:rPr>
            <w:spacing w:val="-1"/>
          </w:rPr>
          <w:t>33.5.1</w:t>
        </w:r>
      </w:hyperlink>
      <w:r>
        <w:rPr>
          <w:spacing w:val="29"/>
        </w:rPr>
        <w:t xml:space="preserve"> </w:t>
      </w:r>
      <w:r>
        <w:rPr>
          <w:spacing w:val="-1"/>
        </w:rPr>
        <w:t>and/or</w:t>
      </w:r>
      <w:r>
        <w:rPr>
          <w:spacing w:val="2"/>
        </w:rPr>
        <w:t xml:space="preserve"> </w:t>
      </w:r>
      <w:hyperlink w:anchor="_bookmark168" w:history="1">
        <w:r>
          <w:rPr>
            <w:spacing w:val="-1"/>
          </w:rPr>
          <w:t>33.5.2</w:t>
        </w:r>
      </w:hyperlink>
      <w:r>
        <w:t xml:space="preserve"> </w:t>
      </w:r>
      <w:r>
        <w:rPr>
          <w:spacing w:val="-1"/>
        </w:rPr>
        <w:t>or</w:t>
      </w:r>
      <w:r>
        <w:rPr>
          <w:spacing w:val="2"/>
        </w:rPr>
        <w:t xml:space="preserve"> </w:t>
      </w:r>
      <w:r>
        <w:rPr>
          <w:spacing w:val="-1"/>
        </w:rPr>
        <w:t>there</w:t>
      </w:r>
      <w:r>
        <w:t xml:space="preserve"> </w:t>
      </w:r>
      <w:r>
        <w:rPr>
          <w:spacing w:val="-1"/>
        </w:rPr>
        <w:t>is</w:t>
      </w:r>
      <w:r>
        <w:rPr>
          <w:spacing w:val="1"/>
        </w:rPr>
        <w:t xml:space="preserve"> </w:t>
      </w:r>
      <w:r>
        <w:t xml:space="preserve">a </w:t>
      </w:r>
      <w:r>
        <w:rPr>
          <w:spacing w:val="-1"/>
        </w:rPr>
        <w:t>change</w:t>
      </w:r>
      <w:r>
        <w:t xml:space="preserve"> </w:t>
      </w:r>
      <w:r>
        <w:rPr>
          <w:spacing w:val="-2"/>
        </w:rPr>
        <w:t>of</w:t>
      </w:r>
      <w:r>
        <w:rPr>
          <w:spacing w:val="4"/>
        </w:rPr>
        <w:t xml:space="preserve"> </w:t>
      </w:r>
      <w:r>
        <w:t xml:space="preserve">the </w:t>
      </w:r>
      <w:r>
        <w:rPr>
          <w:spacing w:val="-1"/>
        </w:rPr>
        <w:t>Customer’s</w:t>
      </w:r>
      <w:r>
        <w:rPr>
          <w:spacing w:val="1"/>
        </w:rPr>
        <w:t xml:space="preserve"> </w:t>
      </w:r>
      <w:r>
        <w:rPr>
          <w:spacing w:val="-1"/>
        </w:rPr>
        <w:t>status</w:t>
      </w:r>
      <w:r>
        <w:rPr>
          <w:spacing w:val="1"/>
        </w:rPr>
        <w:t xml:space="preserve"> </w:t>
      </w:r>
      <w:r>
        <w:rPr>
          <w:spacing w:val="-1"/>
        </w:rPr>
        <w:t>pursuant</w:t>
      </w:r>
      <w:r>
        <w:rPr>
          <w:spacing w:val="2"/>
        </w:rPr>
        <w:t xml:space="preserve"> </w:t>
      </w:r>
      <w:r>
        <w:t>to</w:t>
      </w:r>
      <w:r>
        <w:rPr>
          <w:spacing w:val="45"/>
        </w:rPr>
        <w:t xml:space="preserve"> </w:t>
      </w:r>
      <w:r>
        <w:rPr>
          <w:spacing w:val="-2"/>
        </w:rPr>
        <w:t>Clause</w:t>
      </w:r>
      <w:r>
        <w:rPr>
          <w:spacing w:val="37"/>
        </w:rPr>
        <w:t xml:space="preserve"> </w:t>
      </w:r>
      <w:hyperlink w:anchor="_bookmark169" w:history="1">
        <w:r>
          <w:rPr>
            <w:spacing w:val="-1"/>
          </w:rPr>
          <w:t>33.5.3</w:t>
        </w:r>
      </w:hyperlink>
      <w:r>
        <w:rPr>
          <w:spacing w:val="34"/>
        </w:rPr>
        <w:t xml:space="preserve"> </w:t>
      </w:r>
      <w:r>
        <w:rPr>
          <w:spacing w:val="-1"/>
        </w:rPr>
        <w:t>(both</w:t>
      </w:r>
      <w:r>
        <w:rPr>
          <w:spacing w:val="34"/>
        </w:rPr>
        <w:t xml:space="preserve"> </w:t>
      </w:r>
      <w:r>
        <w:rPr>
          <w:spacing w:val="-1"/>
        </w:rPr>
        <w:t>such</w:t>
      </w:r>
      <w:r>
        <w:rPr>
          <w:spacing w:val="37"/>
        </w:rPr>
        <w:t xml:space="preserve"> </w:t>
      </w:r>
      <w:r>
        <w:rPr>
          <w:spacing w:val="-1"/>
        </w:rPr>
        <w:t>bodies</w:t>
      </w:r>
      <w:r>
        <w:rPr>
          <w:spacing w:val="37"/>
        </w:rPr>
        <w:t xml:space="preserve"> </w:t>
      </w:r>
      <w:r>
        <w:rPr>
          <w:spacing w:val="-2"/>
        </w:rPr>
        <w:t>being</w:t>
      </w:r>
      <w:r>
        <w:rPr>
          <w:spacing w:val="36"/>
        </w:rPr>
        <w:t xml:space="preserve"> </w:t>
      </w:r>
      <w:r>
        <w:rPr>
          <w:spacing w:val="-1"/>
        </w:rPr>
        <w:t>referred</w:t>
      </w:r>
      <w:r>
        <w:rPr>
          <w:spacing w:val="35"/>
        </w:rPr>
        <w:t xml:space="preserve"> </w:t>
      </w:r>
      <w:r>
        <w:t>to</w:t>
      </w:r>
      <w:r>
        <w:rPr>
          <w:spacing w:val="36"/>
        </w:rPr>
        <w:t xml:space="preserve"> </w:t>
      </w:r>
      <w:r>
        <w:rPr>
          <w:spacing w:val="-1"/>
        </w:rPr>
        <w:t>as</w:t>
      </w:r>
      <w:r>
        <w:rPr>
          <w:spacing w:val="34"/>
        </w:rPr>
        <w:t xml:space="preserve"> </w:t>
      </w:r>
      <w:r>
        <w:rPr>
          <w:spacing w:val="-1"/>
        </w:rPr>
        <w:t>the</w:t>
      </w:r>
      <w:r>
        <w:rPr>
          <w:spacing w:val="56"/>
        </w:rPr>
        <w:t xml:space="preserve"> </w:t>
      </w:r>
      <w:r>
        <w:rPr>
          <w:rFonts w:cs="Arial"/>
          <w:b/>
          <w:bCs/>
          <w:spacing w:val="-1"/>
        </w:rPr>
        <w:t>“Transferee”</w:t>
      </w:r>
      <w:r>
        <w:rPr>
          <w:spacing w:val="-1"/>
        </w:rPr>
        <w:t>),</w:t>
      </w:r>
      <w:r>
        <w:rPr>
          <w:spacing w:val="21"/>
        </w:rPr>
        <w:t xml:space="preserve"> </w:t>
      </w:r>
      <w:r>
        <w:t>the</w:t>
      </w:r>
      <w:r>
        <w:rPr>
          <w:spacing w:val="19"/>
        </w:rPr>
        <w:t xml:space="preserve"> </w:t>
      </w:r>
      <w:r>
        <w:rPr>
          <w:spacing w:val="-2"/>
        </w:rPr>
        <w:t>rights</w:t>
      </w:r>
      <w:r>
        <w:rPr>
          <w:spacing w:val="20"/>
        </w:rPr>
        <w:t xml:space="preserve"> </w:t>
      </w:r>
      <w:r>
        <w:rPr>
          <w:spacing w:val="-1"/>
        </w:rPr>
        <w:t>acquired</w:t>
      </w:r>
      <w:r>
        <w:rPr>
          <w:spacing w:val="19"/>
        </w:rPr>
        <w:t xml:space="preserve"> </w:t>
      </w:r>
      <w:r>
        <w:rPr>
          <w:spacing w:val="-1"/>
        </w:rPr>
        <w:t>by</w:t>
      </w:r>
      <w:r>
        <w:rPr>
          <w:spacing w:val="18"/>
        </w:rPr>
        <w:t xml:space="preserve"> </w:t>
      </w:r>
      <w:r>
        <w:t>the</w:t>
      </w:r>
      <w:r>
        <w:rPr>
          <w:spacing w:val="17"/>
        </w:rPr>
        <w:t xml:space="preserve"> </w:t>
      </w:r>
      <w:r>
        <w:rPr>
          <w:spacing w:val="-1"/>
        </w:rPr>
        <w:t>Transferee</w:t>
      </w:r>
      <w:r>
        <w:rPr>
          <w:spacing w:val="19"/>
        </w:rPr>
        <w:t xml:space="preserve"> </w:t>
      </w:r>
      <w:r>
        <w:rPr>
          <w:spacing w:val="-1"/>
        </w:rPr>
        <w:t>shall</w:t>
      </w:r>
      <w:r>
        <w:rPr>
          <w:spacing w:val="19"/>
        </w:rPr>
        <w:t xml:space="preserve"> </w:t>
      </w:r>
      <w:r>
        <w:rPr>
          <w:spacing w:val="-1"/>
        </w:rPr>
        <w:t>not</w:t>
      </w:r>
      <w:r>
        <w:rPr>
          <w:spacing w:val="21"/>
        </w:rPr>
        <w:t xml:space="preserve"> </w:t>
      </w:r>
      <w:r>
        <w:rPr>
          <w:spacing w:val="-1"/>
        </w:rPr>
        <w:t>extend</w:t>
      </w:r>
      <w:r>
        <w:rPr>
          <w:spacing w:val="34"/>
        </w:rPr>
        <w:t xml:space="preserve"> </w:t>
      </w:r>
      <w:r>
        <w:rPr>
          <w:spacing w:val="-2"/>
        </w:rPr>
        <w:t>beyond</w:t>
      </w:r>
      <w:r>
        <w:t xml:space="preserve"> </w:t>
      </w:r>
      <w:r>
        <w:rPr>
          <w:spacing w:val="-1"/>
        </w:rPr>
        <w:t>those</w:t>
      </w:r>
      <w:r>
        <w:rPr>
          <w:spacing w:val="1"/>
        </w:rPr>
        <w:t xml:space="preserve"> </w:t>
      </w:r>
      <w:r>
        <w:rPr>
          <w:spacing w:val="-2"/>
        </w:rPr>
        <w:t xml:space="preserve">previously </w:t>
      </w:r>
      <w:r>
        <w:rPr>
          <w:spacing w:val="-1"/>
        </w:rPr>
        <w:t>enjoyed</w:t>
      </w:r>
      <w:r>
        <w:t xml:space="preserve"> </w:t>
      </w:r>
      <w:r>
        <w:rPr>
          <w:spacing w:val="-1"/>
        </w:rPr>
        <w:t>by</w:t>
      </w:r>
      <w:r>
        <w:rPr>
          <w:spacing w:val="-2"/>
        </w:rPr>
        <w:t xml:space="preserve"> </w:t>
      </w:r>
      <w:r>
        <w:t xml:space="preserve">the </w:t>
      </w:r>
      <w:r>
        <w:rPr>
          <w:spacing w:val="-2"/>
        </w:rPr>
        <w:t>Customer.</w:t>
      </w:r>
    </w:p>
    <w:p w:rsidR="008918FA" w:rsidRDefault="008918FA" w:rsidP="008918FA">
      <w:pPr>
        <w:pStyle w:val="Heading1"/>
        <w:numPr>
          <w:ilvl w:val="1"/>
          <w:numId w:val="66"/>
        </w:numPr>
        <w:tabs>
          <w:tab w:val="left" w:pos="894"/>
        </w:tabs>
        <w:ind w:left="893" w:hanging="564"/>
        <w:rPr>
          <w:b w:val="0"/>
          <w:bCs w:val="0"/>
        </w:rPr>
      </w:pPr>
      <w:bookmarkStart w:id="203" w:name="_bookmark170"/>
      <w:bookmarkEnd w:id="203"/>
      <w:r>
        <w:rPr>
          <w:spacing w:val="-1"/>
        </w:rPr>
        <w:t>Third</w:t>
      </w:r>
      <w:r>
        <w:t xml:space="preserve"> </w:t>
      </w:r>
      <w:r>
        <w:rPr>
          <w:spacing w:val="-1"/>
        </w:rPr>
        <w:t>Party</w:t>
      </w:r>
      <w:r>
        <w:rPr>
          <w:spacing w:val="-4"/>
        </w:rPr>
        <w:t xml:space="preserve"> </w:t>
      </w:r>
      <w:r>
        <w:t>IPR</w:t>
      </w:r>
    </w:p>
    <w:p w:rsidR="008918FA" w:rsidRDefault="008918FA" w:rsidP="008918FA">
      <w:pPr>
        <w:sectPr w:rsidR="008918FA">
          <w:pgSz w:w="11910" w:h="16840"/>
          <w:pgMar w:top="1480" w:right="1300" w:bottom="1180" w:left="1680" w:header="0" w:footer="967" w:gutter="0"/>
          <w:cols w:space="720"/>
        </w:sectPr>
      </w:pPr>
    </w:p>
    <w:p w:rsidR="008918FA" w:rsidRDefault="008918FA" w:rsidP="008918FA">
      <w:pPr>
        <w:pStyle w:val="BodyText"/>
        <w:numPr>
          <w:ilvl w:val="2"/>
          <w:numId w:val="66"/>
        </w:numPr>
        <w:tabs>
          <w:tab w:val="left" w:pos="1887"/>
        </w:tabs>
        <w:spacing w:before="59"/>
        <w:ind w:left="1885" w:right="111" w:hanging="993"/>
        <w:jc w:val="both"/>
      </w:pPr>
      <w:r>
        <w:t>The</w:t>
      </w:r>
      <w:r>
        <w:rPr>
          <w:spacing w:val="15"/>
        </w:rPr>
        <w:t xml:space="preserve"> </w:t>
      </w:r>
      <w:r>
        <w:rPr>
          <w:spacing w:val="-2"/>
        </w:rPr>
        <w:t>Supplier</w:t>
      </w:r>
      <w:r>
        <w:rPr>
          <w:spacing w:val="14"/>
        </w:rPr>
        <w:t xml:space="preserve"> </w:t>
      </w:r>
      <w:r>
        <w:rPr>
          <w:spacing w:val="-1"/>
        </w:rPr>
        <w:t>shall</w:t>
      </w:r>
      <w:r>
        <w:rPr>
          <w:spacing w:val="14"/>
        </w:rPr>
        <w:t xml:space="preserve"> </w:t>
      </w:r>
      <w:r>
        <w:rPr>
          <w:spacing w:val="-1"/>
        </w:rPr>
        <w:t>procure</w:t>
      </w:r>
      <w:r>
        <w:rPr>
          <w:spacing w:val="15"/>
        </w:rPr>
        <w:t xml:space="preserve"> </w:t>
      </w:r>
      <w:r>
        <w:rPr>
          <w:spacing w:val="-1"/>
        </w:rPr>
        <w:t>that</w:t>
      </w:r>
      <w:r>
        <w:rPr>
          <w:spacing w:val="14"/>
        </w:rPr>
        <w:t xml:space="preserve"> </w:t>
      </w:r>
      <w:r>
        <w:t>the</w:t>
      </w:r>
      <w:r>
        <w:rPr>
          <w:spacing w:val="15"/>
        </w:rPr>
        <w:t xml:space="preserve"> </w:t>
      </w:r>
      <w:r>
        <w:rPr>
          <w:spacing w:val="-2"/>
        </w:rPr>
        <w:t>owners</w:t>
      </w:r>
      <w:r>
        <w:rPr>
          <w:spacing w:val="15"/>
        </w:rPr>
        <w:t xml:space="preserve"> </w:t>
      </w:r>
      <w:r>
        <w:rPr>
          <w:spacing w:val="-2"/>
        </w:rPr>
        <w:t>or</w:t>
      </w:r>
      <w:r>
        <w:rPr>
          <w:spacing w:val="16"/>
        </w:rPr>
        <w:t xml:space="preserve"> </w:t>
      </w:r>
      <w:r>
        <w:rPr>
          <w:spacing w:val="-1"/>
        </w:rPr>
        <w:t>the</w:t>
      </w:r>
      <w:r>
        <w:rPr>
          <w:spacing w:val="15"/>
        </w:rPr>
        <w:t xml:space="preserve"> </w:t>
      </w:r>
      <w:r>
        <w:rPr>
          <w:spacing w:val="-1"/>
        </w:rPr>
        <w:t>authorised</w:t>
      </w:r>
      <w:r>
        <w:rPr>
          <w:spacing w:val="12"/>
        </w:rPr>
        <w:t xml:space="preserve"> </w:t>
      </w:r>
      <w:r>
        <w:rPr>
          <w:spacing w:val="-1"/>
        </w:rPr>
        <w:t>licensors</w:t>
      </w:r>
      <w:r>
        <w:rPr>
          <w:spacing w:val="49"/>
        </w:rPr>
        <w:t xml:space="preserve"> </w:t>
      </w:r>
      <w:r>
        <w:rPr>
          <w:spacing w:val="-2"/>
        </w:rPr>
        <w:t>of</w:t>
      </w:r>
      <w:r>
        <w:rPr>
          <w:spacing w:val="11"/>
        </w:rPr>
        <w:t xml:space="preserve"> </w:t>
      </w:r>
      <w:r>
        <w:rPr>
          <w:spacing w:val="-1"/>
        </w:rPr>
        <w:t>any</w:t>
      </w:r>
      <w:r>
        <w:rPr>
          <w:spacing w:val="5"/>
        </w:rPr>
        <w:t xml:space="preserve"> </w:t>
      </w:r>
      <w:r>
        <w:rPr>
          <w:spacing w:val="-1"/>
        </w:rPr>
        <w:t>Third</w:t>
      </w:r>
      <w:r>
        <w:rPr>
          <w:spacing w:val="7"/>
        </w:rPr>
        <w:t xml:space="preserve"> </w:t>
      </w:r>
      <w:r>
        <w:rPr>
          <w:spacing w:val="-1"/>
        </w:rPr>
        <w:t>Party</w:t>
      </w:r>
      <w:r>
        <w:rPr>
          <w:spacing w:val="5"/>
        </w:rPr>
        <w:t xml:space="preserve"> </w:t>
      </w:r>
      <w:r>
        <w:t>IPR</w:t>
      </w:r>
      <w:r>
        <w:rPr>
          <w:spacing w:val="7"/>
        </w:rPr>
        <w:t xml:space="preserve"> </w:t>
      </w:r>
      <w:r>
        <w:t>grant</w:t>
      </w:r>
      <w:r>
        <w:rPr>
          <w:spacing w:val="9"/>
        </w:rPr>
        <w:t xml:space="preserve"> </w:t>
      </w:r>
      <w:r>
        <w:t>a</w:t>
      </w:r>
      <w:r>
        <w:rPr>
          <w:spacing w:val="7"/>
        </w:rPr>
        <w:t xml:space="preserve"> </w:t>
      </w:r>
      <w:r>
        <w:rPr>
          <w:spacing w:val="-1"/>
        </w:rPr>
        <w:t>direct</w:t>
      </w:r>
      <w:r>
        <w:rPr>
          <w:spacing w:val="9"/>
        </w:rPr>
        <w:t xml:space="preserve"> </w:t>
      </w:r>
      <w:r>
        <w:rPr>
          <w:spacing w:val="-1"/>
        </w:rPr>
        <w:t>licence</w:t>
      </w:r>
      <w:r>
        <w:rPr>
          <w:spacing w:val="8"/>
        </w:rPr>
        <w:t xml:space="preserve"> </w:t>
      </w:r>
      <w:r>
        <w:t>to</w:t>
      </w:r>
      <w:r>
        <w:rPr>
          <w:spacing w:val="7"/>
        </w:rPr>
        <w:t xml:space="preserve"> </w:t>
      </w:r>
      <w:r>
        <w:t>the</w:t>
      </w:r>
      <w:r>
        <w:rPr>
          <w:spacing w:val="7"/>
        </w:rPr>
        <w:t xml:space="preserve"> </w:t>
      </w:r>
      <w:r>
        <w:rPr>
          <w:spacing w:val="-1"/>
        </w:rPr>
        <w:t>Customer</w:t>
      </w:r>
      <w:r>
        <w:rPr>
          <w:spacing w:val="9"/>
        </w:rPr>
        <w:t xml:space="preserve"> </w:t>
      </w:r>
      <w:r>
        <w:rPr>
          <w:spacing w:val="-1"/>
        </w:rPr>
        <w:t>on</w:t>
      </w:r>
      <w:r>
        <w:rPr>
          <w:spacing w:val="7"/>
        </w:rPr>
        <w:t xml:space="preserve"> </w:t>
      </w:r>
      <w:r>
        <w:rPr>
          <w:spacing w:val="-1"/>
        </w:rPr>
        <w:t>terms</w:t>
      </w:r>
      <w:r>
        <w:rPr>
          <w:spacing w:val="43"/>
        </w:rPr>
        <w:t xml:space="preserve"> </w:t>
      </w:r>
      <w:r>
        <w:rPr>
          <w:spacing w:val="-1"/>
        </w:rPr>
        <w:t>at</w:t>
      </w:r>
      <w:r>
        <w:rPr>
          <w:spacing w:val="11"/>
        </w:rPr>
        <w:t xml:space="preserve"> </w:t>
      </w:r>
      <w:r>
        <w:rPr>
          <w:spacing w:val="-1"/>
        </w:rPr>
        <w:t>least</w:t>
      </w:r>
      <w:r>
        <w:rPr>
          <w:spacing w:val="12"/>
        </w:rPr>
        <w:t xml:space="preserve"> </w:t>
      </w:r>
      <w:r>
        <w:rPr>
          <w:spacing w:val="-2"/>
        </w:rPr>
        <w:t>equivalent</w:t>
      </w:r>
      <w:r>
        <w:rPr>
          <w:spacing w:val="11"/>
        </w:rPr>
        <w:t xml:space="preserve"> </w:t>
      </w:r>
      <w:r>
        <w:t>to</w:t>
      </w:r>
      <w:r>
        <w:rPr>
          <w:spacing w:val="7"/>
        </w:rPr>
        <w:t xml:space="preserve"> </w:t>
      </w:r>
      <w:r>
        <w:rPr>
          <w:spacing w:val="-1"/>
        </w:rPr>
        <w:t>those</w:t>
      </w:r>
      <w:r>
        <w:rPr>
          <w:spacing w:val="10"/>
        </w:rPr>
        <w:t xml:space="preserve"> </w:t>
      </w:r>
      <w:r>
        <w:rPr>
          <w:spacing w:val="-1"/>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2"/>
        </w:rPr>
        <w:t>Clause</w:t>
      </w:r>
      <w:r>
        <w:rPr>
          <w:spacing w:val="12"/>
        </w:rPr>
        <w:t xml:space="preserve"> </w:t>
      </w:r>
      <w:hyperlink w:anchor="_bookmark164" w:history="1">
        <w:r>
          <w:rPr>
            <w:spacing w:val="-2"/>
          </w:rPr>
          <w:t>33.3</w:t>
        </w:r>
      </w:hyperlink>
      <w:r>
        <w:rPr>
          <w:spacing w:val="10"/>
        </w:rPr>
        <w:t xml:space="preserve"> </w:t>
      </w:r>
      <w:r>
        <w:rPr>
          <w:spacing w:val="-1"/>
        </w:rPr>
        <w:t>(Licence</w:t>
      </w:r>
      <w:r>
        <w:rPr>
          <w:spacing w:val="8"/>
        </w:rPr>
        <w:t xml:space="preserve"> </w:t>
      </w:r>
      <w:r>
        <w:rPr>
          <w:spacing w:val="-1"/>
        </w:rPr>
        <w:t>granted</w:t>
      </w:r>
      <w:r>
        <w:rPr>
          <w:spacing w:val="10"/>
        </w:rPr>
        <w:t xml:space="preserve"> </w:t>
      </w:r>
      <w:r>
        <w:rPr>
          <w:spacing w:val="-1"/>
        </w:rPr>
        <w:t>by</w:t>
      </w:r>
      <w:r>
        <w:rPr>
          <w:spacing w:val="56"/>
        </w:rPr>
        <w:t xml:space="preserve"> </w:t>
      </w:r>
      <w:r>
        <w:t>the</w:t>
      </w:r>
      <w:r>
        <w:rPr>
          <w:spacing w:val="21"/>
        </w:rPr>
        <w:t xml:space="preserve"> </w:t>
      </w:r>
      <w:r>
        <w:rPr>
          <w:spacing w:val="-1"/>
        </w:rPr>
        <w:t>Supplier:</w:t>
      </w:r>
      <w:r>
        <w:rPr>
          <w:spacing w:val="22"/>
        </w:rPr>
        <w:t xml:space="preserve"> </w:t>
      </w:r>
      <w:r>
        <w:rPr>
          <w:spacing w:val="-1"/>
        </w:rPr>
        <w:t>Supplier</w:t>
      </w:r>
      <w:r>
        <w:rPr>
          <w:spacing w:val="22"/>
        </w:rPr>
        <w:t xml:space="preserve"> </w:t>
      </w:r>
      <w:r>
        <w:rPr>
          <w:spacing w:val="-1"/>
        </w:rPr>
        <w:t>Background</w:t>
      </w:r>
      <w:r>
        <w:rPr>
          <w:spacing w:val="21"/>
        </w:rPr>
        <w:t xml:space="preserve"> </w:t>
      </w:r>
      <w:r>
        <w:rPr>
          <w:spacing w:val="-1"/>
        </w:rPr>
        <w:t>IPR)</w:t>
      </w:r>
      <w:r>
        <w:rPr>
          <w:spacing w:val="22"/>
        </w:rPr>
        <w:t xml:space="preserve"> </w:t>
      </w:r>
      <w:r>
        <w:rPr>
          <w:spacing w:val="-1"/>
        </w:rPr>
        <w:t>and</w:t>
      </w:r>
      <w:r>
        <w:rPr>
          <w:spacing w:val="21"/>
        </w:rPr>
        <w:t xml:space="preserve"> </w:t>
      </w:r>
      <w:r>
        <w:rPr>
          <w:spacing w:val="-2"/>
        </w:rPr>
        <w:t>Clause</w:t>
      </w:r>
      <w:r>
        <w:rPr>
          <w:spacing w:val="1"/>
        </w:rPr>
        <w:t xml:space="preserve"> </w:t>
      </w:r>
      <w:hyperlink w:anchor="_bookmark168" w:history="1">
        <w:r>
          <w:rPr>
            <w:spacing w:val="-1"/>
          </w:rPr>
          <w:t>33.5.2</w:t>
        </w:r>
      </w:hyperlink>
      <w:r>
        <w:rPr>
          <w:spacing w:val="37"/>
        </w:rPr>
        <w:t xml:space="preserve"> </w:t>
      </w:r>
      <w:r>
        <w:rPr>
          <w:spacing w:val="-1"/>
        </w:rPr>
        <w:t>(Customer’s</w:t>
      </w:r>
      <w:r>
        <w:rPr>
          <w:spacing w:val="56"/>
        </w:rPr>
        <w:t xml:space="preserve"> </w:t>
      </w:r>
      <w:r>
        <w:rPr>
          <w:spacing w:val="-1"/>
        </w:rPr>
        <w:t>right</w:t>
      </w:r>
      <w:r>
        <w:rPr>
          <w:spacing w:val="55"/>
        </w:rPr>
        <w:t xml:space="preserve"> </w:t>
      </w:r>
      <w:r>
        <w:t>to</w:t>
      </w:r>
      <w:r>
        <w:rPr>
          <w:spacing w:val="55"/>
        </w:rPr>
        <w:t xml:space="preserve"> </w:t>
      </w:r>
      <w:r>
        <w:rPr>
          <w:spacing w:val="-1"/>
        </w:rPr>
        <w:t>assign/novate</w:t>
      </w:r>
      <w:r>
        <w:rPr>
          <w:spacing w:val="55"/>
        </w:rPr>
        <w:t xml:space="preserve"> </w:t>
      </w:r>
      <w:r>
        <w:rPr>
          <w:spacing w:val="-1"/>
        </w:rPr>
        <w:t>licences).</w:t>
      </w:r>
      <w:r>
        <w:rPr>
          <w:spacing w:val="57"/>
        </w:rPr>
        <w:t xml:space="preserve"> </w:t>
      </w:r>
      <w:r>
        <w:rPr>
          <w:spacing w:val="-1"/>
        </w:rPr>
        <w:t>If</w:t>
      </w:r>
      <w:r>
        <w:rPr>
          <w:spacing w:val="55"/>
        </w:rPr>
        <w:t xml:space="preserve"> </w:t>
      </w:r>
      <w:r>
        <w:t>the</w:t>
      </w:r>
      <w:r>
        <w:rPr>
          <w:spacing w:val="56"/>
        </w:rPr>
        <w:t xml:space="preserve"> </w:t>
      </w:r>
      <w:r>
        <w:rPr>
          <w:spacing w:val="-2"/>
        </w:rPr>
        <w:t>Supplier</w:t>
      </w:r>
      <w:r>
        <w:rPr>
          <w:spacing w:val="57"/>
        </w:rPr>
        <w:t xml:space="preserve"> </w:t>
      </w:r>
      <w:r>
        <w:rPr>
          <w:spacing w:val="-1"/>
        </w:rPr>
        <w:t>cannot</w:t>
      </w:r>
      <w:r>
        <w:rPr>
          <w:spacing w:val="38"/>
        </w:rPr>
        <w:t xml:space="preserve"> </w:t>
      </w:r>
      <w:r>
        <w:rPr>
          <w:spacing w:val="-1"/>
        </w:rPr>
        <w:t>obtain</w:t>
      </w:r>
      <w:r>
        <w:rPr>
          <w:spacing w:val="41"/>
        </w:rPr>
        <w:t xml:space="preserve"> </w:t>
      </w:r>
      <w:r>
        <w:t>for</w:t>
      </w:r>
      <w:r>
        <w:rPr>
          <w:spacing w:val="42"/>
        </w:rPr>
        <w:t xml:space="preserve"> </w:t>
      </w:r>
      <w:r>
        <w:t>the</w:t>
      </w:r>
      <w:r>
        <w:rPr>
          <w:spacing w:val="43"/>
        </w:rPr>
        <w:t xml:space="preserve"> </w:t>
      </w:r>
      <w:r>
        <w:rPr>
          <w:spacing w:val="-2"/>
        </w:rPr>
        <w:t>Customer</w:t>
      </w:r>
      <w:r>
        <w:rPr>
          <w:spacing w:val="42"/>
        </w:rPr>
        <w:t xml:space="preserve"> </w:t>
      </w:r>
      <w:r>
        <w:t>a</w:t>
      </w:r>
      <w:r>
        <w:rPr>
          <w:spacing w:val="43"/>
        </w:rPr>
        <w:t xml:space="preserve"> </w:t>
      </w:r>
      <w:r>
        <w:rPr>
          <w:spacing w:val="-1"/>
        </w:rPr>
        <w:t>licence</w:t>
      </w:r>
      <w:r>
        <w:rPr>
          <w:spacing w:val="44"/>
        </w:rPr>
        <w:t xml:space="preserve"> </w:t>
      </w:r>
      <w:r>
        <w:rPr>
          <w:spacing w:val="-1"/>
        </w:rPr>
        <w:t>materially</w:t>
      </w:r>
      <w:r>
        <w:rPr>
          <w:spacing w:val="45"/>
        </w:rPr>
        <w:t xml:space="preserve"> </w:t>
      </w:r>
      <w:r>
        <w:rPr>
          <w:spacing w:val="-1"/>
        </w:rPr>
        <w:t>in</w:t>
      </w:r>
      <w:r>
        <w:rPr>
          <w:spacing w:val="43"/>
        </w:rPr>
        <w:t xml:space="preserve"> </w:t>
      </w:r>
      <w:r>
        <w:rPr>
          <w:spacing w:val="-1"/>
        </w:rPr>
        <w:t>accordance</w:t>
      </w:r>
      <w:r>
        <w:rPr>
          <w:spacing w:val="44"/>
        </w:rPr>
        <w:t xml:space="preserve"> </w:t>
      </w:r>
      <w:r>
        <w:rPr>
          <w:spacing w:val="-2"/>
        </w:rPr>
        <w:t>with</w:t>
      </w:r>
      <w:r>
        <w:rPr>
          <w:spacing w:val="43"/>
        </w:rPr>
        <w:t xml:space="preserve"> </w:t>
      </w:r>
      <w:r>
        <w:rPr>
          <w:spacing w:val="-1"/>
        </w:rPr>
        <w:t>the</w:t>
      </w:r>
      <w:r>
        <w:rPr>
          <w:spacing w:val="38"/>
        </w:rPr>
        <w:t xml:space="preserve"> </w:t>
      </w:r>
      <w:r>
        <w:rPr>
          <w:spacing w:val="-1"/>
        </w:rPr>
        <w:t>licence</w:t>
      </w:r>
      <w:r>
        <w:rPr>
          <w:spacing w:val="3"/>
        </w:rPr>
        <w:t xml:space="preserve"> </w:t>
      </w:r>
      <w:r>
        <w:rPr>
          <w:spacing w:val="-1"/>
        </w:rPr>
        <w:t>terms</w:t>
      </w:r>
      <w:r>
        <w:rPr>
          <w:spacing w:val="3"/>
        </w:rPr>
        <w:t xml:space="preserve"> </w:t>
      </w:r>
      <w:r>
        <w:rPr>
          <w:spacing w:val="-1"/>
        </w:rPr>
        <w:t>set</w:t>
      </w:r>
      <w:r>
        <w:rPr>
          <w:spacing w:val="4"/>
        </w:rPr>
        <w:t xml:space="preserve"> </w:t>
      </w:r>
      <w:r>
        <w:rPr>
          <w:spacing w:val="-2"/>
        </w:rPr>
        <w:t>out</w:t>
      </w:r>
      <w:r>
        <w:rPr>
          <w:spacing w:val="4"/>
        </w:rPr>
        <w:t xml:space="preserve"> </w:t>
      </w:r>
      <w:r>
        <w:rPr>
          <w:spacing w:val="-1"/>
        </w:rPr>
        <w:t>in</w:t>
      </w:r>
      <w:r>
        <w:t xml:space="preserve"> </w:t>
      </w:r>
      <w:r>
        <w:rPr>
          <w:spacing w:val="-2"/>
        </w:rPr>
        <w:t>Clause</w:t>
      </w:r>
      <w:r>
        <w:rPr>
          <w:spacing w:val="4"/>
        </w:rPr>
        <w:t xml:space="preserve"> </w:t>
      </w:r>
      <w:hyperlink w:anchor="_bookmark164" w:history="1">
        <w:r>
          <w:rPr>
            <w:spacing w:val="-1"/>
          </w:rPr>
          <w:t>33.3</w:t>
        </w:r>
      </w:hyperlink>
      <w:r>
        <w:rPr>
          <w:spacing w:val="3"/>
        </w:rPr>
        <w:t xml:space="preserve"> </w:t>
      </w:r>
      <w:r>
        <w:rPr>
          <w:spacing w:val="-1"/>
        </w:rPr>
        <w:t>(Licences</w:t>
      </w:r>
      <w:r>
        <w:rPr>
          <w:spacing w:val="1"/>
        </w:rPr>
        <w:t xml:space="preserve"> </w:t>
      </w:r>
      <w:r>
        <w:rPr>
          <w:spacing w:val="-1"/>
        </w:rPr>
        <w:t>granted</w:t>
      </w:r>
      <w:r>
        <w:rPr>
          <w:spacing w:val="3"/>
        </w:rPr>
        <w:t xml:space="preserve"> </w:t>
      </w:r>
      <w:r>
        <w:rPr>
          <w:spacing w:val="-1"/>
        </w:rPr>
        <w:t>by</w:t>
      </w:r>
      <w:r>
        <w:rPr>
          <w:spacing w:val="1"/>
        </w:rPr>
        <w:t xml:space="preserve"> </w:t>
      </w:r>
      <w:r>
        <w:t>the</w:t>
      </w:r>
      <w:r>
        <w:rPr>
          <w:spacing w:val="3"/>
        </w:rPr>
        <w:t xml:space="preserve"> </w:t>
      </w:r>
      <w:r>
        <w:rPr>
          <w:spacing w:val="-1"/>
        </w:rPr>
        <w:t>Supplier:</w:t>
      </w:r>
      <w:r>
        <w:rPr>
          <w:spacing w:val="43"/>
        </w:rPr>
        <w:t xml:space="preserve"> </w:t>
      </w:r>
      <w:r>
        <w:rPr>
          <w:spacing w:val="-2"/>
        </w:rPr>
        <w:t>Supplier</w:t>
      </w:r>
      <w:r>
        <w:rPr>
          <w:spacing w:val="17"/>
        </w:rPr>
        <w:t xml:space="preserve"> </w:t>
      </w:r>
      <w:r>
        <w:rPr>
          <w:spacing w:val="-1"/>
        </w:rPr>
        <w:t>Background</w:t>
      </w:r>
      <w:r>
        <w:rPr>
          <w:spacing w:val="16"/>
        </w:rPr>
        <w:t xml:space="preserve"> </w:t>
      </w:r>
      <w:r>
        <w:rPr>
          <w:spacing w:val="-2"/>
        </w:rPr>
        <w:t>IPR)</w:t>
      </w:r>
      <w:r>
        <w:rPr>
          <w:spacing w:val="18"/>
        </w:rPr>
        <w:t xml:space="preserve"> </w:t>
      </w:r>
      <w:r>
        <w:rPr>
          <w:spacing w:val="-1"/>
        </w:rPr>
        <w:t>and</w:t>
      </w:r>
      <w:r>
        <w:rPr>
          <w:spacing w:val="16"/>
        </w:rPr>
        <w:t xml:space="preserve"> </w:t>
      </w:r>
      <w:r>
        <w:rPr>
          <w:spacing w:val="-2"/>
        </w:rPr>
        <w:t>Clause</w:t>
      </w:r>
      <w:r>
        <w:rPr>
          <w:spacing w:val="2"/>
        </w:rPr>
        <w:t xml:space="preserve"> </w:t>
      </w:r>
      <w:hyperlink w:anchor="_bookmark168" w:history="1">
        <w:r>
          <w:rPr>
            <w:spacing w:val="-1"/>
          </w:rPr>
          <w:t>33.5.2</w:t>
        </w:r>
      </w:hyperlink>
      <w:r>
        <w:rPr>
          <w:spacing w:val="14"/>
        </w:rPr>
        <w:t xml:space="preserve"> </w:t>
      </w:r>
      <w:r>
        <w:rPr>
          <w:spacing w:val="-1"/>
        </w:rPr>
        <w:t>(Customer’s</w:t>
      </w:r>
      <w:r>
        <w:rPr>
          <w:spacing w:val="16"/>
        </w:rPr>
        <w:t xml:space="preserve"> </w:t>
      </w:r>
      <w:r>
        <w:rPr>
          <w:spacing w:val="-1"/>
        </w:rPr>
        <w:t>right</w:t>
      </w:r>
      <w:r>
        <w:rPr>
          <w:spacing w:val="17"/>
        </w:rPr>
        <w:t xml:space="preserve"> </w:t>
      </w:r>
      <w:r>
        <w:t>to</w:t>
      </w:r>
      <w:r>
        <w:rPr>
          <w:spacing w:val="63"/>
        </w:rPr>
        <w:t xml:space="preserve"> </w:t>
      </w:r>
      <w:r>
        <w:rPr>
          <w:spacing w:val="-1"/>
        </w:rPr>
        <w:t>assign/novate</w:t>
      </w:r>
      <w:r>
        <w:rPr>
          <w:spacing w:val="43"/>
        </w:rPr>
        <w:t xml:space="preserve"> </w:t>
      </w:r>
      <w:r>
        <w:rPr>
          <w:spacing w:val="-1"/>
        </w:rPr>
        <w:t>licences)</w:t>
      </w:r>
      <w:r>
        <w:rPr>
          <w:spacing w:val="44"/>
        </w:rPr>
        <w:t xml:space="preserve"> </w:t>
      </w:r>
      <w:r>
        <w:rPr>
          <w:spacing w:val="-1"/>
        </w:rPr>
        <w:t>in</w:t>
      </w:r>
      <w:r>
        <w:rPr>
          <w:spacing w:val="43"/>
        </w:rPr>
        <w:t xml:space="preserve"> </w:t>
      </w:r>
      <w:r>
        <w:rPr>
          <w:spacing w:val="-1"/>
        </w:rPr>
        <w:t>respect</w:t>
      </w:r>
      <w:r>
        <w:rPr>
          <w:spacing w:val="45"/>
        </w:rPr>
        <w:t xml:space="preserve"> </w:t>
      </w:r>
      <w:r>
        <w:rPr>
          <w:spacing w:val="-2"/>
        </w:rPr>
        <w:t>of</w:t>
      </w:r>
      <w:r>
        <w:rPr>
          <w:spacing w:val="45"/>
        </w:rPr>
        <w:t xml:space="preserve"> </w:t>
      </w:r>
      <w:r>
        <w:rPr>
          <w:spacing w:val="-1"/>
        </w:rPr>
        <w:t>any</w:t>
      </w:r>
      <w:r>
        <w:rPr>
          <w:spacing w:val="41"/>
        </w:rPr>
        <w:t xml:space="preserve"> </w:t>
      </w:r>
      <w:r>
        <w:rPr>
          <w:spacing w:val="-1"/>
        </w:rPr>
        <w:t>such</w:t>
      </w:r>
      <w:r>
        <w:rPr>
          <w:spacing w:val="42"/>
        </w:rPr>
        <w:t xml:space="preserve"> </w:t>
      </w:r>
      <w:r>
        <w:rPr>
          <w:spacing w:val="-1"/>
        </w:rPr>
        <w:t>Third</w:t>
      </w:r>
      <w:r>
        <w:rPr>
          <w:spacing w:val="43"/>
        </w:rPr>
        <w:t xml:space="preserve"> </w:t>
      </w:r>
      <w:r>
        <w:rPr>
          <w:spacing w:val="-1"/>
        </w:rPr>
        <w:t>Party</w:t>
      </w:r>
      <w:r>
        <w:rPr>
          <w:spacing w:val="41"/>
        </w:rPr>
        <w:t xml:space="preserve"> </w:t>
      </w:r>
      <w:r>
        <w:rPr>
          <w:spacing w:val="-1"/>
        </w:rPr>
        <w:t>IPR,</w:t>
      </w:r>
      <w:r>
        <w:rPr>
          <w:spacing w:val="42"/>
        </w:rPr>
        <w:t xml:space="preserve"> </w:t>
      </w:r>
      <w:r>
        <w:rPr>
          <w:spacing w:val="-1"/>
        </w:rPr>
        <w:t>the</w:t>
      </w:r>
      <w:r>
        <w:rPr>
          <w:spacing w:val="44"/>
        </w:rPr>
        <w:t xml:space="preserve"> </w:t>
      </w:r>
      <w:r>
        <w:rPr>
          <w:spacing w:val="-2"/>
        </w:rPr>
        <w:t>Supplier</w:t>
      </w:r>
      <w:r>
        <w:rPr>
          <w:spacing w:val="2"/>
        </w:rPr>
        <w:t xml:space="preserve"> </w:t>
      </w:r>
      <w:r>
        <w:rPr>
          <w:spacing w:val="-1"/>
        </w:rPr>
        <w:t>shall:</w:t>
      </w:r>
    </w:p>
    <w:p w:rsidR="008918FA" w:rsidRDefault="008918FA" w:rsidP="008918FA">
      <w:pPr>
        <w:pStyle w:val="BodyText"/>
        <w:numPr>
          <w:ilvl w:val="3"/>
          <w:numId w:val="66"/>
        </w:numPr>
        <w:tabs>
          <w:tab w:val="left" w:pos="2594"/>
        </w:tabs>
        <w:ind w:left="2593" w:right="114"/>
        <w:jc w:val="both"/>
      </w:pPr>
      <w:r>
        <w:rPr>
          <w:spacing w:val="-1"/>
        </w:rPr>
        <w:t>notify</w:t>
      </w:r>
      <w:r>
        <w:rPr>
          <w:spacing w:val="56"/>
        </w:rPr>
        <w:t xml:space="preserve"> </w:t>
      </w:r>
      <w:r>
        <w:t>the</w:t>
      </w:r>
      <w:r>
        <w:rPr>
          <w:spacing w:val="58"/>
        </w:rPr>
        <w:t xml:space="preserve"> </w:t>
      </w:r>
      <w:r>
        <w:rPr>
          <w:spacing w:val="-1"/>
        </w:rPr>
        <w:t>Customer</w:t>
      </w:r>
      <w:r>
        <w:rPr>
          <w:spacing w:val="59"/>
        </w:rPr>
        <w:t xml:space="preserve"> </w:t>
      </w:r>
      <w:r>
        <w:rPr>
          <w:spacing w:val="-1"/>
        </w:rPr>
        <w:t>in</w:t>
      </w:r>
      <w:r>
        <w:rPr>
          <w:spacing w:val="55"/>
        </w:rPr>
        <w:t xml:space="preserve"> </w:t>
      </w:r>
      <w:r>
        <w:rPr>
          <w:spacing w:val="-2"/>
        </w:rPr>
        <w:t>writing</w:t>
      </w:r>
      <w:r>
        <w:rPr>
          <w:spacing w:val="60"/>
        </w:rPr>
        <w:t xml:space="preserve"> </w:t>
      </w:r>
      <w:r>
        <w:rPr>
          <w:spacing w:val="-1"/>
        </w:rPr>
        <w:t>giving</w:t>
      </w:r>
      <w:r>
        <w:rPr>
          <w:spacing w:val="60"/>
        </w:rPr>
        <w:t xml:space="preserve"> </w:t>
      </w:r>
      <w:r>
        <w:rPr>
          <w:spacing w:val="-1"/>
        </w:rPr>
        <w:t>details</w:t>
      </w:r>
      <w:r>
        <w:rPr>
          <w:spacing w:val="59"/>
        </w:rPr>
        <w:t xml:space="preserve"> </w:t>
      </w:r>
      <w:r>
        <w:rPr>
          <w:spacing w:val="-2"/>
        </w:rPr>
        <w:t>of</w:t>
      </w:r>
      <w:r>
        <w:rPr>
          <w:spacing w:val="59"/>
        </w:rPr>
        <w:t xml:space="preserve"> </w:t>
      </w:r>
      <w:r>
        <w:rPr>
          <w:spacing w:val="-2"/>
        </w:rPr>
        <w:t>what</w:t>
      </w:r>
      <w:r>
        <w:rPr>
          <w:spacing w:val="59"/>
        </w:rPr>
        <w:t xml:space="preserve"> </w:t>
      </w:r>
      <w:r>
        <w:rPr>
          <w:spacing w:val="-2"/>
        </w:rPr>
        <w:t>licence</w:t>
      </w:r>
      <w:r>
        <w:rPr>
          <w:spacing w:val="42"/>
        </w:rPr>
        <w:t xml:space="preserve"> </w:t>
      </w:r>
      <w:r>
        <w:rPr>
          <w:spacing w:val="-1"/>
        </w:rPr>
        <w:t>terms</w:t>
      </w:r>
      <w:r>
        <w:rPr>
          <w:spacing w:val="1"/>
        </w:rPr>
        <w:t xml:space="preserve"> </w:t>
      </w:r>
      <w:r>
        <w:rPr>
          <w:spacing w:val="-1"/>
        </w:rPr>
        <w:t>can</w:t>
      </w:r>
      <w:r>
        <w:t xml:space="preserve"> </w:t>
      </w:r>
      <w:r>
        <w:rPr>
          <w:spacing w:val="-1"/>
        </w:rPr>
        <w:t>be</w:t>
      </w:r>
      <w:r>
        <w:t xml:space="preserve"> </w:t>
      </w:r>
      <w:r>
        <w:rPr>
          <w:spacing w:val="-1"/>
        </w:rPr>
        <w:t>obtained</w:t>
      </w:r>
      <w:r>
        <w:rPr>
          <w:spacing w:val="-2"/>
        </w:rPr>
        <w:t xml:space="preserve"> </w:t>
      </w:r>
      <w:r>
        <w:rPr>
          <w:spacing w:val="-1"/>
        </w:rPr>
        <w:t>from</w:t>
      </w:r>
      <w:r>
        <w:rPr>
          <w:spacing w:val="2"/>
        </w:rPr>
        <w:t xml:space="preserve"> </w:t>
      </w:r>
      <w:r>
        <w:t xml:space="preserve">the </w:t>
      </w:r>
      <w:r>
        <w:rPr>
          <w:spacing w:val="-2"/>
        </w:rPr>
        <w:t>relevant</w:t>
      </w:r>
      <w:r>
        <w:rPr>
          <w:spacing w:val="2"/>
        </w:rPr>
        <w:t xml:space="preserve"> </w:t>
      </w:r>
      <w:r>
        <w:rPr>
          <w:spacing w:val="-1"/>
        </w:rPr>
        <w:t>third</w:t>
      </w:r>
      <w:r>
        <w:t xml:space="preserve"> </w:t>
      </w:r>
      <w:r>
        <w:rPr>
          <w:spacing w:val="-1"/>
        </w:rPr>
        <w:t>party</w:t>
      </w:r>
      <w:r>
        <w:rPr>
          <w:spacing w:val="-2"/>
        </w:rPr>
        <w:t xml:space="preserve"> </w:t>
      </w:r>
      <w:r>
        <w:rPr>
          <w:spacing w:val="-1"/>
        </w:rPr>
        <w:t>and</w:t>
      </w:r>
      <w:r>
        <w:rPr>
          <w:spacing w:val="3"/>
        </w:rPr>
        <w:t xml:space="preserve"> </w:t>
      </w:r>
      <w:r>
        <w:rPr>
          <w:spacing w:val="-2"/>
        </w:rPr>
        <w:t>whether</w:t>
      </w:r>
      <w:r>
        <w:rPr>
          <w:spacing w:val="52"/>
        </w:rPr>
        <w:t xml:space="preserve"> </w:t>
      </w:r>
      <w:r>
        <w:rPr>
          <w:spacing w:val="-1"/>
        </w:rPr>
        <w:t>there</w:t>
      </w:r>
      <w:r>
        <w:rPr>
          <w:spacing w:val="7"/>
        </w:rPr>
        <w:t xml:space="preserve"> </w:t>
      </w:r>
      <w:r>
        <w:rPr>
          <w:spacing w:val="-1"/>
        </w:rPr>
        <w:t>are</w:t>
      </w:r>
      <w:r>
        <w:rPr>
          <w:spacing w:val="7"/>
        </w:rPr>
        <w:t xml:space="preserve"> </w:t>
      </w:r>
      <w:r>
        <w:rPr>
          <w:spacing w:val="-1"/>
        </w:rPr>
        <w:t>alternative</w:t>
      </w:r>
      <w:r>
        <w:rPr>
          <w:spacing w:val="7"/>
        </w:rPr>
        <w:t xml:space="preserve"> </w:t>
      </w:r>
      <w:r>
        <w:rPr>
          <w:spacing w:val="-1"/>
        </w:rPr>
        <w:t>providers</w:t>
      </w:r>
      <w:r>
        <w:rPr>
          <w:spacing w:val="10"/>
        </w:rPr>
        <w:t xml:space="preserve"> </w:t>
      </w:r>
      <w:r>
        <w:rPr>
          <w:spacing w:val="-2"/>
        </w:rPr>
        <w:t>which</w:t>
      </w:r>
      <w:r>
        <w:rPr>
          <w:spacing w:val="8"/>
        </w:rPr>
        <w:t xml:space="preserve"> </w:t>
      </w:r>
      <w:r>
        <w:t>the</w:t>
      </w:r>
      <w:r>
        <w:rPr>
          <w:spacing w:val="7"/>
        </w:rPr>
        <w:t xml:space="preserve"> </w:t>
      </w:r>
      <w:r>
        <w:rPr>
          <w:spacing w:val="-1"/>
        </w:rPr>
        <w:t>Supplier</w:t>
      </w:r>
      <w:r>
        <w:rPr>
          <w:spacing w:val="9"/>
        </w:rPr>
        <w:t xml:space="preserve"> </w:t>
      </w:r>
      <w:r>
        <w:rPr>
          <w:spacing w:val="-1"/>
        </w:rPr>
        <w:t>could</w:t>
      </w:r>
      <w:r>
        <w:rPr>
          <w:spacing w:val="7"/>
        </w:rPr>
        <w:t xml:space="preserve"> </w:t>
      </w:r>
      <w:r>
        <w:rPr>
          <w:spacing w:val="-1"/>
        </w:rPr>
        <w:t>seek</w:t>
      </w:r>
      <w:r>
        <w:rPr>
          <w:spacing w:val="10"/>
        </w:rPr>
        <w:t xml:space="preserve"> </w:t>
      </w:r>
      <w:r>
        <w:t>to</w:t>
      </w:r>
      <w:r>
        <w:rPr>
          <w:spacing w:val="21"/>
        </w:rPr>
        <w:t xml:space="preserve"> </w:t>
      </w:r>
      <w:r>
        <w:rPr>
          <w:spacing w:val="-1"/>
        </w:rPr>
        <w:t>use;</w:t>
      </w:r>
      <w:r>
        <w:rPr>
          <w:spacing w:val="2"/>
        </w:rPr>
        <w:t xml:space="preserve"> </w:t>
      </w:r>
      <w:r>
        <w:rPr>
          <w:spacing w:val="-1"/>
        </w:rPr>
        <w:t>and</w:t>
      </w:r>
    </w:p>
    <w:p w:rsidR="008918FA" w:rsidRDefault="008918FA" w:rsidP="008918FA">
      <w:pPr>
        <w:pStyle w:val="BodyText"/>
        <w:numPr>
          <w:ilvl w:val="3"/>
          <w:numId w:val="66"/>
        </w:numPr>
        <w:tabs>
          <w:tab w:val="left" w:pos="2594"/>
        </w:tabs>
        <w:spacing w:before="121"/>
        <w:ind w:left="2593" w:right="115"/>
        <w:jc w:val="both"/>
      </w:pPr>
      <w:r>
        <w:rPr>
          <w:spacing w:val="-1"/>
        </w:rPr>
        <w:t>only</w:t>
      </w:r>
      <w:r>
        <w:rPr>
          <w:spacing w:val="36"/>
        </w:rPr>
        <w:t xml:space="preserve"> </w:t>
      </w:r>
      <w:r>
        <w:rPr>
          <w:spacing w:val="-1"/>
        </w:rPr>
        <w:t>use</w:t>
      </w:r>
      <w:r>
        <w:rPr>
          <w:spacing w:val="39"/>
        </w:rPr>
        <w:t xml:space="preserve"> </w:t>
      </w:r>
      <w:r>
        <w:rPr>
          <w:spacing w:val="-1"/>
        </w:rPr>
        <w:t>such</w:t>
      </w:r>
      <w:r>
        <w:rPr>
          <w:spacing w:val="39"/>
        </w:rPr>
        <w:t xml:space="preserve"> </w:t>
      </w:r>
      <w:r>
        <w:rPr>
          <w:spacing w:val="-1"/>
        </w:rPr>
        <w:t>Third</w:t>
      </w:r>
      <w:r>
        <w:rPr>
          <w:spacing w:val="38"/>
        </w:rPr>
        <w:t xml:space="preserve"> </w:t>
      </w:r>
      <w:r>
        <w:rPr>
          <w:spacing w:val="-1"/>
        </w:rPr>
        <w:t>Party</w:t>
      </w:r>
      <w:r>
        <w:rPr>
          <w:spacing w:val="36"/>
        </w:rPr>
        <w:t xml:space="preserve"> </w:t>
      </w:r>
      <w:r>
        <w:t>IPR</w:t>
      </w:r>
      <w:r>
        <w:rPr>
          <w:spacing w:val="39"/>
        </w:rPr>
        <w:t xml:space="preserve"> </w:t>
      </w:r>
      <w:r>
        <w:rPr>
          <w:spacing w:val="-2"/>
        </w:rPr>
        <w:t>if</w:t>
      </w:r>
      <w:r>
        <w:rPr>
          <w:spacing w:val="43"/>
        </w:rPr>
        <w:t xml:space="preserve"> </w:t>
      </w:r>
      <w:r>
        <w:t>the</w:t>
      </w:r>
      <w:r>
        <w:rPr>
          <w:spacing w:val="38"/>
        </w:rPr>
        <w:t xml:space="preserve"> </w:t>
      </w:r>
      <w:r>
        <w:rPr>
          <w:spacing w:val="-2"/>
        </w:rPr>
        <w:t>Customer</w:t>
      </w:r>
      <w:r>
        <w:rPr>
          <w:spacing w:val="37"/>
        </w:rPr>
        <w:t xml:space="preserve"> </w:t>
      </w:r>
      <w:r>
        <w:rPr>
          <w:spacing w:val="-1"/>
        </w:rPr>
        <w:t>Approves</w:t>
      </w:r>
      <w:r>
        <w:rPr>
          <w:spacing w:val="40"/>
        </w:rPr>
        <w:t xml:space="preserve"> </w:t>
      </w:r>
      <w:r>
        <w:rPr>
          <w:spacing w:val="-1"/>
        </w:rPr>
        <w:t>the</w:t>
      </w:r>
      <w:r>
        <w:rPr>
          <w:spacing w:val="34"/>
        </w:rPr>
        <w:t xml:space="preserve"> </w:t>
      </w:r>
      <w:r>
        <w:rPr>
          <w:spacing w:val="-1"/>
        </w:rPr>
        <w:t>terms</w:t>
      </w:r>
      <w:r>
        <w:rPr>
          <w:spacing w:val="1"/>
        </w:rPr>
        <w:t xml:space="preserve"> </w:t>
      </w:r>
      <w:r>
        <w:rPr>
          <w:spacing w:val="-2"/>
        </w:rPr>
        <w:t>of</w:t>
      </w:r>
      <w:r>
        <w:t xml:space="preserve"> the</w:t>
      </w:r>
      <w:r>
        <w:rPr>
          <w:spacing w:val="-2"/>
        </w:rPr>
        <w:t xml:space="preserve"> </w:t>
      </w:r>
      <w:r>
        <w:rPr>
          <w:spacing w:val="-1"/>
        </w:rPr>
        <w:t>licence</w:t>
      </w:r>
      <w:r>
        <w:rPr>
          <w:spacing w:val="-2"/>
        </w:rPr>
        <w:t xml:space="preserve"> </w:t>
      </w:r>
      <w:r>
        <w:t>from</w:t>
      </w:r>
      <w:r>
        <w:rPr>
          <w:spacing w:val="-1"/>
        </w:rPr>
        <w:t xml:space="preserve"> </w:t>
      </w:r>
      <w:r>
        <w:t>the</w:t>
      </w:r>
      <w:r>
        <w:rPr>
          <w:spacing w:val="-2"/>
        </w:rPr>
        <w:t xml:space="preserve"> relevant</w:t>
      </w:r>
      <w:r>
        <w:t xml:space="preserve"> </w:t>
      </w:r>
      <w:r>
        <w:rPr>
          <w:spacing w:val="-1"/>
        </w:rPr>
        <w:t>third</w:t>
      </w:r>
      <w:r>
        <w:t xml:space="preserve"> </w:t>
      </w:r>
      <w:r>
        <w:rPr>
          <w:spacing w:val="-1"/>
        </w:rPr>
        <w:t>party.</w:t>
      </w:r>
    </w:p>
    <w:p w:rsidR="008918FA" w:rsidRDefault="008918FA" w:rsidP="008918FA">
      <w:pPr>
        <w:pStyle w:val="Heading1"/>
        <w:numPr>
          <w:ilvl w:val="1"/>
          <w:numId w:val="66"/>
        </w:numPr>
        <w:tabs>
          <w:tab w:val="left" w:pos="892"/>
        </w:tabs>
        <w:spacing w:before="119"/>
        <w:ind w:left="891" w:hanging="564"/>
        <w:rPr>
          <w:b w:val="0"/>
          <w:bCs w:val="0"/>
        </w:rPr>
      </w:pPr>
      <w:bookmarkStart w:id="204" w:name="_bookmark171"/>
      <w:bookmarkEnd w:id="204"/>
      <w:r>
        <w:rPr>
          <w:spacing w:val="-1"/>
        </w:rPr>
        <w:t>Licence</w:t>
      </w:r>
      <w:r>
        <w:t xml:space="preserve"> </w:t>
      </w:r>
      <w:r>
        <w:rPr>
          <w:spacing w:val="-1"/>
        </w:rPr>
        <w:t>granted</w:t>
      </w:r>
      <w:r>
        <w:t xml:space="preserve"> </w:t>
      </w:r>
      <w:r>
        <w:rPr>
          <w:spacing w:val="-1"/>
        </w:rPr>
        <w:t>by</w:t>
      </w:r>
      <w:r>
        <w:rPr>
          <w:spacing w:val="-4"/>
        </w:rPr>
        <w:t xml:space="preserve"> </w:t>
      </w:r>
      <w:r>
        <w:rPr>
          <w:spacing w:val="-1"/>
        </w:rPr>
        <w:t>the</w:t>
      </w:r>
      <w:r>
        <w:rPr>
          <w:spacing w:val="-2"/>
        </w:rPr>
        <w:t xml:space="preserve"> </w:t>
      </w:r>
      <w:r>
        <w:rPr>
          <w:spacing w:val="-1"/>
        </w:rPr>
        <w:t>Customer</w:t>
      </w:r>
    </w:p>
    <w:p w:rsidR="008918FA" w:rsidRDefault="008918FA" w:rsidP="008918FA">
      <w:pPr>
        <w:pStyle w:val="BodyText"/>
        <w:numPr>
          <w:ilvl w:val="2"/>
          <w:numId w:val="66"/>
        </w:numPr>
        <w:tabs>
          <w:tab w:val="left" w:pos="1886"/>
        </w:tabs>
        <w:spacing w:before="121"/>
        <w:ind w:left="1885" w:right="113"/>
        <w:jc w:val="both"/>
      </w:pPr>
      <w:bookmarkStart w:id="205" w:name="_bookmark172"/>
      <w:bookmarkEnd w:id="205"/>
      <w:r>
        <w:t>The</w:t>
      </w:r>
      <w:r>
        <w:rPr>
          <w:spacing w:val="19"/>
        </w:rPr>
        <w:t xml:space="preserve"> </w:t>
      </w:r>
      <w:r>
        <w:rPr>
          <w:spacing w:val="-1"/>
        </w:rPr>
        <w:t>Customer</w:t>
      </w:r>
      <w:r>
        <w:rPr>
          <w:spacing w:val="20"/>
        </w:rPr>
        <w:t xml:space="preserve"> </w:t>
      </w:r>
      <w:r>
        <w:rPr>
          <w:spacing w:val="-1"/>
        </w:rPr>
        <w:t>hereby</w:t>
      </w:r>
      <w:r>
        <w:rPr>
          <w:spacing w:val="16"/>
        </w:rPr>
        <w:t xml:space="preserve"> </w:t>
      </w:r>
      <w:r>
        <w:rPr>
          <w:spacing w:val="-1"/>
        </w:rPr>
        <w:t>grants</w:t>
      </w:r>
      <w:r>
        <w:rPr>
          <w:spacing w:val="19"/>
        </w:rPr>
        <w:t xml:space="preserve"> </w:t>
      </w:r>
      <w:r>
        <w:t>to</w:t>
      </w:r>
      <w:r>
        <w:rPr>
          <w:spacing w:val="18"/>
        </w:rPr>
        <w:t xml:space="preserve"> </w:t>
      </w:r>
      <w:r>
        <w:t>the</w:t>
      </w:r>
      <w:r>
        <w:rPr>
          <w:spacing w:val="18"/>
        </w:rPr>
        <w:t xml:space="preserve"> </w:t>
      </w:r>
      <w:r>
        <w:rPr>
          <w:spacing w:val="-2"/>
        </w:rPr>
        <w:t>Supplier</w:t>
      </w:r>
      <w:r>
        <w:rPr>
          <w:spacing w:val="22"/>
        </w:rPr>
        <w:t xml:space="preserve"> </w:t>
      </w:r>
      <w:r>
        <w:t>a</w:t>
      </w:r>
      <w:r>
        <w:rPr>
          <w:spacing w:val="21"/>
        </w:rPr>
        <w:t xml:space="preserve"> </w:t>
      </w:r>
      <w:r>
        <w:rPr>
          <w:spacing w:val="-1"/>
        </w:rPr>
        <w:t>royalty-free,</w:t>
      </w:r>
      <w:r>
        <w:rPr>
          <w:spacing w:val="22"/>
        </w:rPr>
        <w:t xml:space="preserve"> </w:t>
      </w:r>
      <w:r>
        <w:rPr>
          <w:spacing w:val="-1"/>
        </w:rPr>
        <w:t>non-</w:t>
      </w:r>
      <w:r>
        <w:rPr>
          <w:spacing w:val="41"/>
        </w:rPr>
        <w:t xml:space="preserve"> </w:t>
      </w:r>
      <w:r>
        <w:rPr>
          <w:spacing w:val="-2"/>
        </w:rPr>
        <w:t>exclusive,</w:t>
      </w:r>
      <w:r>
        <w:rPr>
          <w:spacing w:val="16"/>
        </w:rPr>
        <w:t xml:space="preserve"> </w:t>
      </w:r>
      <w:r>
        <w:rPr>
          <w:spacing w:val="-1"/>
        </w:rPr>
        <w:t>non-transferable</w:t>
      </w:r>
      <w:r>
        <w:rPr>
          <w:spacing w:val="15"/>
        </w:rPr>
        <w:t xml:space="preserve"> </w:t>
      </w:r>
      <w:r>
        <w:rPr>
          <w:spacing w:val="-1"/>
        </w:rPr>
        <w:t>licence</w:t>
      </w:r>
      <w:r>
        <w:rPr>
          <w:spacing w:val="15"/>
        </w:rPr>
        <w:t xml:space="preserve"> </w:t>
      </w:r>
      <w:r>
        <w:rPr>
          <w:spacing w:val="-1"/>
        </w:rPr>
        <w:t>during</w:t>
      </w:r>
      <w:r>
        <w:rPr>
          <w:spacing w:val="17"/>
        </w:rPr>
        <w:t xml:space="preserve"> </w:t>
      </w:r>
      <w:r>
        <w:t>the</w:t>
      </w:r>
      <w:r>
        <w:rPr>
          <w:spacing w:val="15"/>
        </w:rPr>
        <w:t xml:space="preserve"> </w:t>
      </w:r>
      <w:r>
        <w:rPr>
          <w:spacing w:val="-2"/>
        </w:rPr>
        <w:t>Call</w:t>
      </w:r>
      <w:r>
        <w:rPr>
          <w:spacing w:val="14"/>
        </w:rPr>
        <w:t xml:space="preserve"> </w:t>
      </w:r>
      <w:r>
        <w:rPr>
          <w:spacing w:val="-1"/>
        </w:rPr>
        <w:t>Off</w:t>
      </w:r>
      <w:r>
        <w:rPr>
          <w:spacing w:val="19"/>
        </w:rPr>
        <w:t xml:space="preserve"> </w:t>
      </w:r>
      <w:r>
        <w:rPr>
          <w:spacing w:val="-2"/>
        </w:rPr>
        <w:t>Contract</w:t>
      </w:r>
      <w:r>
        <w:rPr>
          <w:spacing w:val="16"/>
        </w:rPr>
        <w:t xml:space="preserve"> </w:t>
      </w:r>
      <w:r>
        <w:rPr>
          <w:spacing w:val="-1"/>
        </w:rPr>
        <w:t>Period</w:t>
      </w:r>
      <w:r>
        <w:rPr>
          <w:spacing w:val="48"/>
        </w:rPr>
        <w:t xml:space="preserve"> </w:t>
      </w:r>
      <w:r>
        <w:t>to</w:t>
      </w:r>
      <w:r>
        <w:rPr>
          <w:spacing w:val="5"/>
        </w:rPr>
        <w:t xml:space="preserve"> </w:t>
      </w:r>
      <w:r>
        <w:rPr>
          <w:spacing w:val="-1"/>
        </w:rPr>
        <w:t>use</w:t>
      </w:r>
      <w:r>
        <w:rPr>
          <w:spacing w:val="5"/>
        </w:rPr>
        <w:t xml:space="preserve"> </w:t>
      </w:r>
      <w:r>
        <w:t>the</w:t>
      </w:r>
      <w:r>
        <w:rPr>
          <w:spacing w:val="5"/>
        </w:rPr>
        <w:t xml:space="preserve"> </w:t>
      </w:r>
      <w:r>
        <w:rPr>
          <w:spacing w:val="-1"/>
        </w:rPr>
        <w:t>Customer</w:t>
      </w:r>
      <w:r>
        <w:rPr>
          <w:spacing w:val="6"/>
        </w:rPr>
        <w:t xml:space="preserve"> </w:t>
      </w:r>
      <w:r>
        <w:rPr>
          <w:spacing w:val="-1"/>
        </w:rPr>
        <w:t>Background</w:t>
      </w:r>
      <w:r>
        <w:rPr>
          <w:spacing w:val="5"/>
        </w:rPr>
        <w:t xml:space="preserve"> </w:t>
      </w:r>
      <w:r>
        <w:t>IPR</w:t>
      </w:r>
      <w:r>
        <w:rPr>
          <w:spacing w:val="4"/>
        </w:rPr>
        <w:t xml:space="preserve"> </w:t>
      </w:r>
      <w:r>
        <w:rPr>
          <w:spacing w:val="-1"/>
        </w:rPr>
        <w:t>and</w:t>
      </w:r>
      <w:r>
        <w:rPr>
          <w:spacing w:val="5"/>
        </w:rPr>
        <w:t xml:space="preserve"> </w:t>
      </w:r>
      <w:r>
        <w:t>the</w:t>
      </w:r>
      <w:r>
        <w:rPr>
          <w:spacing w:val="5"/>
        </w:rPr>
        <w:t xml:space="preserve"> </w:t>
      </w:r>
      <w:r>
        <w:rPr>
          <w:spacing w:val="-1"/>
        </w:rPr>
        <w:t>Customer</w:t>
      </w:r>
      <w:r>
        <w:rPr>
          <w:spacing w:val="6"/>
        </w:rPr>
        <w:t xml:space="preserve"> </w:t>
      </w:r>
      <w:r>
        <w:rPr>
          <w:spacing w:val="-1"/>
        </w:rPr>
        <w:t>Data</w:t>
      </w:r>
      <w:r>
        <w:rPr>
          <w:spacing w:val="5"/>
        </w:rPr>
        <w:t xml:space="preserve"> </w:t>
      </w:r>
      <w:r>
        <w:rPr>
          <w:spacing w:val="-1"/>
        </w:rPr>
        <w:t>solely</w:t>
      </w:r>
      <w:r>
        <w:rPr>
          <w:spacing w:val="3"/>
        </w:rPr>
        <w:t xml:space="preserve"> </w:t>
      </w:r>
      <w:r>
        <w:t>to</w:t>
      </w:r>
      <w:r>
        <w:rPr>
          <w:spacing w:val="30"/>
        </w:rPr>
        <w:t xml:space="preserve"> </w:t>
      </w:r>
      <w:r>
        <w:t>the</w:t>
      </w:r>
      <w:r>
        <w:rPr>
          <w:spacing w:val="18"/>
        </w:rPr>
        <w:t xml:space="preserve"> </w:t>
      </w:r>
      <w:r>
        <w:rPr>
          <w:spacing w:val="-1"/>
        </w:rPr>
        <w:t>extent</w:t>
      </w:r>
      <w:r>
        <w:rPr>
          <w:spacing w:val="20"/>
        </w:rPr>
        <w:t xml:space="preserve"> </w:t>
      </w:r>
      <w:r>
        <w:rPr>
          <w:spacing w:val="-1"/>
        </w:rPr>
        <w:t>necessary</w:t>
      </w:r>
      <w:r>
        <w:rPr>
          <w:spacing w:val="14"/>
        </w:rPr>
        <w:t xml:space="preserve"> </w:t>
      </w:r>
      <w:r>
        <w:t>for</w:t>
      </w:r>
      <w:r>
        <w:rPr>
          <w:spacing w:val="20"/>
        </w:rPr>
        <w:t xml:space="preserve"> </w:t>
      </w:r>
      <w:r>
        <w:rPr>
          <w:spacing w:val="-2"/>
        </w:rPr>
        <w:t>providing</w:t>
      </w:r>
      <w:r>
        <w:rPr>
          <w:spacing w:val="22"/>
        </w:rPr>
        <w:t xml:space="preserve"> </w:t>
      </w:r>
      <w:r>
        <w:t>the</w:t>
      </w:r>
      <w:r>
        <w:rPr>
          <w:spacing w:val="16"/>
        </w:rPr>
        <w:t xml:space="preserve"> </w:t>
      </w:r>
      <w:r>
        <w:rPr>
          <w:spacing w:val="-1"/>
        </w:rPr>
        <w:t>Goods</w:t>
      </w:r>
      <w:r>
        <w:rPr>
          <w:spacing w:val="19"/>
        </w:rPr>
        <w:t xml:space="preserve"> </w:t>
      </w:r>
      <w:r>
        <w:rPr>
          <w:spacing w:val="-1"/>
        </w:rPr>
        <w:t>and/or</w:t>
      </w:r>
      <w:r>
        <w:rPr>
          <w:spacing w:val="20"/>
        </w:rPr>
        <w:t xml:space="preserve"> </w:t>
      </w:r>
      <w:r>
        <w:rPr>
          <w:spacing w:val="-2"/>
        </w:rPr>
        <w:t>Services</w:t>
      </w:r>
      <w:r>
        <w:rPr>
          <w:spacing w:val="19"/>
        </w:rPr>
        <w:t xml:space="preserve"> </w:t>
      </w:r>
      <w:r>
        <w:rPr>
          <w:spacing w:val="-2"/>
        </w:rPr>
        <w:t>in</w:t>
      </w:r>
      <w:r>
        <w:rPr>
          <w:spacing w:val="39"/>
        </w:rPr>
        <w:t xml:space="preserve"> </w:t>
      </w:r>
      <w:r>
        <w:rPr>
          <w:spacing w:val="-1"/>
        </w:rPr>
        <w:t>accordance</w:t>
      </w:r>
      <w:r>
        <w:rPr>
          <w:spacing w:val="5"/>
        </w:rPr>
        <w:t xml:space="preserve"> </w:t>
      </w:r>
      <w:r>
        <w:rPr>
          <w:spacing w:val="-2"/>
        </w:rPr>
        <w:t>with</w:t>
      </w:r>
      <w:r>
        <w:rPr>
          <w:spacing w:val="5"/>
        </w:rPr>
        <w:t xml:space="preserve"> </w:t>
      </w:r>
      <w:r>
        <w:rPr>
          <w:spacing w:val="-1"/>
        </w:rPr>
        <w:t>this</w:t>
      </w:r>
      <w:r>
        <w:rPr>
          <w:spacing w:val="5"/>
        </w:rPr>
        <w:t xml:space="preserve"> </w:t>
      </w:r>
      <w:r>
        <w:rPr>
          <w:spacing w:val="-2"/>
        </w:rPr>
        <w:t>Call</w:t>
      </w:r>
      <w:r>
        <w:rPr>
          <w:spacing w:val="4"/>
        </w:rPr>
        <w:t xml:space="preserve"> </w:t>
      </w:r>
      <w:r>
        <w:rPr>
          <w:spacing w:val="-1"/>
        </w:rPr>
        <w:t>Off</w:t>
      </w:r>
      <w:r>
        <w:rPr>
          <w:spacing w:val="7"/>
        </w:rPr>
        <w:t xml:space="preserve"> </w:t>
      </w:r>
      <w:r>
        <w:rPr>
          <w:spacing w:val="-1"/>
        </w:rPr>
        <w:t>Contract,</w:t>
      </w:r>
      <w:r>
        <w:rPr>
          <w:spacing w:val="7"/>
        </w:rPr>
        <w:t xml:space="preserve"> </w:t>
      </w:r>
      <w:r>
        <w:rPr>
          <w:spacing w:val="-2"/>
        </w:rPr>
        <w:t>including</w:t>
      </w:r>
      <w:r>
        <w:rPr>
          <w:spacing w:val="5"/>
        </w:rPr>
        <w:t xml:space="preserve"> </w:t>
      </w:r>
      <w:r>
        <w:rPr>
          <w:spacing w:val="-1"/>
        </w:rPr>
        <w:t>(but</w:t>
      </w:r>
      <w:r>
        <w:rPr>
          <w:spacing w:val="7"/>
        </w:rPr>
        <w:t xml:space="preserve"> </w:t>
      </w:r>
      <w:r>
        <w:rPr>
          <w:spacing w:val="-1"/>
        </w:rPr>
        <w:t>not</w:t>
      </w:r>
      <w:r>
        <w:rPr>
          <w:spacing w:val="7"/>
        </w:rPr>
        <w:t xml:space="preserve"> </w:t>
      </w:r>
      <w:r>
        <w:rPr>
          <w:spacing w:val="-1"/>
        </w:rPr>
        <w:t>limited</w:t>
      </w:r>
      <w:r>
        <w:rPr>
          <w:spacing w:val="3"/>
        </w:rPr>
        <w:t xml:space="preserve"> </w:t>
      </w:r>
      <w:r>
        <w:rPr>
          <w:spacing w:val="-1"/>
        </w:rPr>
        <w:t>to)</w:t>
      </w:r>
      <w:r>
        <w:rPr>
          <w:spacing w:val="6"/>
        </w:rPr>
        <w:t xml:space="preserve"> </w:t>
      </w:r>
      <w:r>
        <w:rPr>
          <w:spacing w:val="-1"/>
        </w:rPr>
        <w:t>the</w:t>
      </w:r>
      <w:r>
        <w:rPr>
          <w:spacing w:val="52"/>
        </w:rPr>
        <w:t xml:space="preserve"> </w:t>
      </w:r>
      <w:r>
        <w:rPr>
          <w:spacing w:val="-1"/>
        </w:rPr>
        <w:t>right</w:t>
      </w:r>
      <w:r>
        <w:t xml:space="preserve"> to</w:t>
      </w:r>
      <w:r>
        <w:rPr>
          <w:spacing w:val="-2"/>
        </w:rPr>
        <w:t xml:space="preserve"> </w:t>
      </w:r>
      <w:r>
        <w:rPr>
          <w:spacing w:val="-1"/>
        </w:rPr>
        <w:t>grant</w:t>
      </w:r>
      <w:r>
        <w:t xml:space="preserve"> </w:t>
      </w:r>
      <w:r>
        <w:rPr>
          <w:spacing w:val="-1"/>
        </w:rPr>
        <w:t>sub-licences</w:t>
      </w:r>
      <w:r>
        <w:rPr>
          <w:spacing w:val="1"/>
        </w:rPr>
        <w:t xml:space="preserve"> </w:t>
      </w:r>
      <w:r>
        <w:t>to</w:t>
      </w:r>
      <w:r>
        <w:rPr>
          <w:spacing w:val="-2"/>
        </w:rPr>
        <w:t xml:space="preserve"> </w:t>
      </w:r>
      <w:r>
        <w:rPr>
          <w:spacing w:val="-1"/>
        </w:rPr>
        <w:t>Sub-Contractors</w:t>
      </w:r>
      <w:r>
        <w:rPr>
          <w:spacing w:val="-2"/>
        </w:rPr>
        <w:t xml:space="preserve"> provided</w:t>
      </w:r>
      <w:r>
        <w:t xml:space="preserve"> that:</w:t>
      </w:r>
    </w:p>
    <w:p w:rsidR="008918FA" w:rsidRDefault="008918FA" w:rsidP="008918FA">
      <w:pPr>
        <w:pStyle w:val="BodyText"/>
        <w:numPr>
          <w:ilvl w:val="3"/>
          <w:numId w:val="66"/>
        </w:numPr>
        <w:tabs>
          <w:tab w:val="left" w:pos="2594"/>
        </w:tabs>
        <w:ind w:left="2592" w:right="115" w:hanging="707"/>
        <w:jc w:val="both"/>
      </w:pPr>
      <w:r>
        <w:rPr>
          <w:spacing w:val="-1"/>
        </w:rPr>
        <w:t>any</w:t>
      </w:r>
      <w:r>
        <w:rPr>
          <w:spacing w:val="32"/>
        </w:rPr>
        <w:t xml:space="preserve"> </w:t>
      </w:r>
      <w:r>
        <w:rPr>
          <w:spacing w:val="-1"/>
        </w:rPr>
        <w:t>relevant</w:t>
      </w:r>
      <w:r>
        <w:rPr>
          <w:spacing w:val="35"/>
        </w:rPr>
        <w:t xml:space="preserve"> </w:t>
      </w:r>
      <w:r>
        <w:rPr>
          <w:spacing w:val="-1"/>
        </w:rPr>
        <w:t>Sub-Contractor</w:t>
      </w:r>
      <w:r>
        <w:rPr>
          <w:spacing w:val="35"/>
        </w:rPr>
        <w:t xml:space="preserve"> </w:t>
      </w:r>
      <w:r>
        <w:rPr>
          <w:spacing w:val="-1"/>
        </w:rPr>
        <w:t>has</w:t>
      </w:r>
      <w:r>
        <w:rPr>
          <w:spacing w:val="34"/>
        </w:rPr>
        <w:t xml:space="preserve"> </w:t>
      </w:r>
      <w:r>
        <w:rPr>
          <w:spacing w:val="-1"/>
        </w:rPr>
        <w:t>entered</w:t>
      </w:r>
      <w:r>
        <w:rPr>
          <w:spacing w:val="34"/>
        </w:rPr>
        <w:t xml:space="preserve"> </w:t>
      </w:r>
      <w:r>
        <w:rPr>
          <w:spacing w:val="-1"/>
        </w:rPr>
        <w:t>into</w:t>
      </w:r>
      <w:r>
        <w:rPr>
          <w:spacing w:val="34"/>
        </w:rPr>
        <w:t xml:space="preserve"> </w:t>
      </w:r>
      <w:r>
        <w:t>a</w:t>
      </w:r>
      <w:r>
        <w:rPr>
          <w:spacing w:val="32"/>
        </w:rPr>
        <w:t xml:space="preserve"> </w:t>
      </w:r>
      <w:r>
        <w:rPr>
          <w:spacing w:val="-1"/>
        </w:rPr>
        <w:t>confidentiality</w:t>
      </w:r>
      <w:r>
        <w:rPr>
          <w:spacing w:val="35"/>
        </w:rPr>
        <w:t xml:space="preserve"> </w:t>
      </w:r>
      <w:r>
        <w:rPr>
          <w:spacing w:val="-4"/>
        </w:rPr>
        <w:t>undertaking</w:t>
      </w:r>
      <w:r>
        <w:rPr>
          <w:spacing w:val="22"/>
        </w:rPr>
        <w:t xml:space="preserve"> </w:t>
      </w:r>
      <w:r>
        <w:rPr>
          <w:spacing w:val="-2"/>
        </w:rPr>
        <w:t>with</w:t>
      </w:r>
      <w:r>
        <w:rPr>
          <w:spacing w:val="24"/>
        </w:rPr>
        <w:t xml:space="preserve"> </w:t>
      </w:r>
      <w:r>
        <w:t>the</w:t>
      </w:r>
      <w:r>
        <w:rPr>
          <w:spacing w:val="24"/>
        </w:rPr>
        <w:t xml:space="preserve"> </w:t>
      </w:r>
      <w:r>
        <w:rPr>
          <w:spacing w:val="-2"/>
        </w:rPr>
        <w:t>Supplier</w:t>
      </w:r>
      <w:r>
        <w:rPr>
          <w:spacing w:val="26"/>
        </w:rPr>
        <w:t xml:space="preserve"> </w:t>
      </w:r>
      <w:r>
        <w:rPr>
          <w:spacing w:val="-1"/>
        </w:rPr>
        <w:t>on</w:t>
      </w:r>
      <w:r>
        <w:rPr>
          <w:spacing w:val="24"/>
        </w:rPr>
        <w:t xml:space="preserve"> </w:t>
      </w:r>
      <w:r>
        <w:t>the</w:t>
      </w:r>
      <w:r>
        <w:rPr>
          <w:spacing w:val="24"/>
        </w:rPr>
        <w:t xml:space="preserve"> </w:t>
      </w:r>
      <w:r>
        <w:rPr>
          <w:spacing w:val="-1"/>
        </w:rPr>
        <w:t>same</w:t>
      </w:r>
      <w:r>
        <w:rPr>
          <w:spacing w:val="24"/>
        </w:rPr>
        <w:t xml:space="preserve"> </w:t>
      </w:r>
      <w:r>
        <w:rPr>
          <w:spacing w:val="-1"/>
        </w:rPr>
        <w:t>terms</w:t>
      </w:r>
      <w:r>
        <w:rPr>
          <w:spacing w:val="25"/>
        </w:rPr>
        <w:t xml:space="preserve"> </w:t>
      </w:r>
      <w:r>
        <w:rPr>
          <w:spacing w:val="-1"/>
        </w:rPr>
        <w:t>as</w:t>
      </w:r>
      <w:r>
        <w:rPr>
          <w:spacing w:val="25"/>
        </w:rPr>
        <w:t xml:space="preserve"> </w:t>
      </w:r>
      <w:r>
        <w:rPr>
          <w:spacing w:val="-1"/>
        </w:rPr>
        <w:t>set</w:t>
      </w:r>
      <w:r>
        <w:rPr>
          <w:spacing w:val="26"/>
        </w:rPr>
        <w:t xml:space="preserve"> </w:t>
      </w:r>
      <w:r>
        <w:rPr>
          <w:spacing w:val="-1"/>
        </w:rPr>
        <w:t>out</w:t>
      </w:r>
      <w:r>
        <w:rPr>
          <w:spacing w:val="26"/>
        </w:rPr>
        <w:t xml:space="preserve"> </w:t>
      </w:r>
      <w:r>
        <w:rPr>
          <w:spacing w:val="-1"/>
        </w:rPr>
        <w:t>in</w:t>
      </w:r>
      <w:r>
        <w:rPr>
          <w:spacing w:val="51"/>
        </w:rPr>
        <w:t xml:space="preserve"> </w:t>
      </w:r>
      <w:r>
        <w:rPr>
          <w:spacing w:val="-2"/>
        </w:rPr>
        <w:t>Clause</w:t>
      </w:r>
      <w:r>
        <w:rPr>
          <w:spacing w:val="2"/>
        </w:rPr>
        <w:t xml:space="preserve"> </w:t>
      </w:r>
      <w:hyperlink w:anchor="_bookmark184" w:history="1">
        <w:r>
          <w:rPr>
            <w:spacing w:val="-1"/>
          </w:rPr>
          <w:t>34.3</w:t>
        </w:r>
      </w:hyperlink>
      <w:r>
        <w:rPr>
          <w:spacing w:val="-2"/>
        </w:rPr>
        <w:t xml:space="preserve"> </w:t>
      </w:r>
      <w:r>
        <w:rPr>
          <w:spacing w:val="-1"/>
        </w:rPr>
        <w:t>(Confidentiality);</w:t>
      </w:r>
      <w:r>
        <w:rPr>
          <w:spacing w:val="2"/>
        </w:rPr>
        <w:t xml:space="preserve"> </w:t>
      </w:r>
      <w:r>
        <w:rPr>
          <w:spacing w:val="-1"/>
        </w:rPr>
        <w:t>and</w:t>
      </w:r>
    </w:p>
    <w:p w:rsidR="008918FA" w:rsidRDefault="008918FA" w:rsidP="008918FA">
      <w:pPr>
        <w:pStyle w:val="BodyText"/>
        <w:numPr>
          <w:ilvl w:val="3"/>
          <w:numId w:val="66"/>
        </w:numPr>
        <w:tabs>
          <w:tab w:val="left" w:pos="2593"/>
        </w:tabs>
        <w:spacing w:before="121"/>
        <w:ind w:left="2592" w:right="114"/>
        <w:jc w:val="both"/>
      </w:pPr>
      <w:r>
        <w:t>the</w:t>
      </w:r>
      <w:r>
        <w:rPr>
          <w:spacing w:val="40"/>
        </w:rPr>
        <w:t xml:space="preserve"> </w:t>
      </w:r>
      <w:r>
        <w:rPr>
          <w:spacing w:val="-2"/>
        </w:rPr>
        <w:t>Supplier</w:t>
      </w:r>
      <w:r>
        <w:rPr>
          <w:spacing w:val="41"/>
        </w:rPr>
        <w:t xml:space="preserve"> </w:t>
      </w:r>
      <w:r>
        <w:rPr>
          <w:spacing w:val="-1"/>
        </w:rPr>
        <w:t>shall</w:t>
      </w:r>
      <w:r>
        <w:rPr>
          <w:spacing w:val="39"/>
        </w:rPr>
        <w:t xml:space="preserve"> </w:t>
      </w:r>
      <w:r>
        <w:rPr>
          <w:spacing w:val="-1"/>
        </w:rPr>
        <w:t>not</w:t>
      </w:r>
      <w:r>
        <w:rPr>
          <w:spacing w:val="44"/>
        </w:rPr>
        <w:t xml:space="preserve"> </w:t>
      </w:r>
      <w:r>
        <w:rPr>
          <w:spacing w:val="-1"/>
        </w:rPr>
        <w:t>without</w:t>
      </w:r>
      <w:r>
        <w:rPr>
          <w:spacing w:val="41"/>
        </w:rPr>
        <w:t xml:space="preserve"> </w:t>
      </w:r>
      <w:r>
        <w:rPr>
          <w:spacing w:val="-1"/>
        </w:rPr>
        <w:t>Approval</w:t>
      </w:r>
      <w:r>
        <w:rPr>
          <w:spacing w:val="39"/>
        </w:rPr>
        <w:t xml:space="preserve"> </w:t>
      </w:r>
      <w:r>
        <w:rPr>
          <w:spacing w:val="-1"/>
        </w:rPr>
        <w:t>use</w:t>
      </w:r>
      <w:r>
        <w:rPr>
          <w:spacing w:val="44"/>
        </w:rPr>
        <w:t xml:space="preserve"> </w:t>
      </w:r>
      <w:r>
        <w:t>the</w:t>
      </w:r>
      <w:r>
        <w:rPr>
          <w:spacing w:val="40"/>
        </w:rPr>
        <w:t xml:space="preserve"> </w:t>
      </w:r>
      <w:r>
        <w:rPr>
          <w:spacing w:val="-1"/>
        </w:rPr>
        <w:t>licensed</w:t>
      </w:r>
      <w:r>
        <w:rPr>
          <w:spacing w:val="25"/>
        </w:rPr>
        <w:t xml:space="preserve"> </w:t>
      </w:r>
      <w:r>
        <w:rPr>
          <w:spacing w:val="-1"/>
        </w:rPr>
        <w:t>materials</w:t>
      </w:r>
      <w:r>
        <w:rPr>
          <w:spacing w:val="8"/>
        </w:rPr>
        <w:t xml:space="preserve"> </w:t>
      </w:r>
      <w:r>
        <w:t>for</w:t>
      </w:r>
      <w:r>
        <w:rPr>
          <w:spacing w:val="9"/>
        </w:rPr>
        <w:t xml:space="preserve"> </w:t>
      </w:r>
      <w:r>
        <w:rPr>
          <w:spacing w:val="-1"/>
        </w:rPr>
        <w:t>any</w:t>
      </w:r>
      <w:r>
        <w:rPr>
          <w:spacing w:val="8"/>
        </w:rPr>
        <w:t xml:space="preserve"> </w:t>
      </w:r>
      <w:r>
        <w:rPr>
          <w:spacing w:val="-1"/>
        </w:rPr>
        <w:t>other</w:t>
      </w:r>
      <w:r>
        <w:rPr>
          <w:spacing w:val="11"/>
        </w:rPr>
        <w:t xml:space="preserve"> </w:t>
      </w:r>
      <w:r>
        <w:rPr>
          <w:spacing w:val="-1"/>
        </w:rPr>
        <w:t>purpose</w:t>
      </w:r>
      <w:r>
        <w:rPr>
          <w:spacing w:val="10"/>
        </w:rPr>
        <w:t xml:space="preserve"> </w:t>
      </w:r>
      <w:r>
        <w:rPr>
          <w:spacing w:val="-1"/>
        </w:rPr>
        <w:t>or</w:t>
      </w:r>
      <w:r>
        <w:rPr>
          <w:spacing w:val="6"/>
        </w:rPr>
        <w:t xml:space="preserve"> </w:t>
      </w:r>
      <w:r>
        <w:t>for</w:t>
      </w:r>
      <w:r>
        <w:rPr>
          <w:spacing w:val="11"/>
        </w:rPr>
        <w:t xml:space="preserve"> </w:t>
      </w:r>
      <w:r>
        <w:t>the</w:t>
      </w:r>
      <w:r>
        <w:rPr>
          <w:spacing w:val="10"/>
        </w:rPr>
        <w:t xml:space="preserve"> </w:t>
      </w:r>
      <w:r>
        <w:rPr>
          <w:spacing w:val="-1"/>
        </w:rPr>
        <w:t>benefit</w:t>
      </w:r>
      <w:r>
        <w:rPr>
          <w:spacing w:val="9"/>
        </w:rPr>
        <w:t xml:space="preserve"> </w:t>
      </w:r>
      <w:r>
        <w:rPr>
          <w:spacing w:val="-2"/>
        </w:rPr>
        <w:t>of</w:t>
      </w:r>
      <w:r>
        <w:rPr>
          <w:spacing w:val="14"/>
        </w:rPr>
        <w:t xml:space="preserve"> </w:t>
      </w:r>
      <w:r>
        <w:rPr>
          <w:spacing w:val="-1"/>
        </w:rPr>
        <w:t>any</w:t>
      </w:r>
      <w:r>
        <w:rPr>
          <w:spacing w:val="8"/>
        </w:rPr>
        <w:t xml:space="preserve"> </w:t>
      </w:r>
      <w:r>
        <w:rPr>
          <w:spacing w:val="-1"/>
        </w:rPr>
        <w:t>person</w:t>
      </w:r>
      <w:r>
        <w:rPr>
          <w:spacing w:val="27"/>
        </w:rPr>
        <w:t xml:space="preserve"> </w:t>
      </w:r>
      <w:r>
        <w:rPr>
          <w:spacing w:val="-1"/>
        </w:rPr>
        <w:t>other than</w:t>
      </w:r>
      <w:r>
        <w:rPr>
          <w:spacing w:val="-2"/>
        </w:rPr>
        <w:t xml:space="preserve"> </w:t>
      </w:r>
      <w:r>
        <w:t>the</w:t>
      </w:r>
      <w:r>
        <w:rPr>
          <w:spacing w:val="-2"/>
        </w:rPr>
        <w:t xml:space="preserve"> </w:t>
      </w:r>
      <w:r>
        <w:rPr>
          <w:spacing w:val="-1"/>
        </w:rPr>
        <w:t>Customer.</w:t>
      </w:r>
    </w:p>
    <w:p w:rsidR="008918FA" w:rsidRDefault="008918FA" w:rsidP="008918FA">
      <w:pPr>
        <w:pStyle w:val="Heading1"/>
        <w:numPr>
          <w:ilvl w:val="1"/>
          <w:numId w:val="66"/>
        </w:numPr>
        <w:tabs>
          <w:tab w:val="left" w:pos="892"/>
        </w:tabs>
        <w:spacing w:before="119"/>
        <w:ind w:left="891" w:hanging="564"/>
        <w:rPr>
          <w:b w:val="0"/>
          <w:bCs w:val="0"/>
        </w:rPr>
      </w:pPr>
      <w:r>
        <w:rPr>
          <w:spacing w:val="-1"/>
        </w:rPr>
        <w:t>Termination</w:t>
      </w:r>
      <w:r>
        <w:rPr>
          <w:spacing w:val="-2"/>
        </w:rPr>
        <w:t xml:space="preserve"> </w:t>
      </w:r>
      <w:r>
        <w:rPr>
          <w:spacing w:val="-1"/>
        </w:rPr>
        <w:t>of licenses</w:t>
      </w:r>
    </w:p>
    <w:p w:rsidR="008918FA" w:rsidRDefault="008918FA" w:rsidP="008918FA">
      <w:pPr>
        <w:pStyle w:val="BodyText"/>
        <w:numPr>
          <w:ilvl w:val="2"/>
          <w:numId w:val="66"/>
        </w:numPr>
        <w:tabs>
          <w:tab w:val="left" w:pos="1886"/>
        </w:tabs>
        <w:spacing w:before="121"/>
        <w:ind w:left="1885" w:right="112"/>
        <w:jc w:val="both"/>
      </w:pPr>
      <w:r>
        <w:rPr>
          <w:spacing w:val="-1"/>
        </w:rPr>
        <w:t>Subject</w:t>
      </w:r>
      <w:r>
        <w:rPr>
          <w:spacing w:val="60"/>
        </w:rPr>
        <w:t xml:space="preserve"> </w:t>
      </w:r>
      <w:r>
        <w:t>to</w:t>
      </w:r>
      <w:r>
        <w:rPr>
          <w:spacing w:val="60"/>
        </w:rPr>
        <w:t xml:space="preserve"> </w:t>
      </w:r>
      <w:r>
        <w:rPr>
          <w:spacing w:val="-2"/>
        </w:rPr>
        <w:t>Clause</w:t>
      </w:r>
      <w:r>
        <w:t xml:space="preserve"> </w:t>
      </w:r>
      <w:hyperlink w:anchor="_bookmark164" w:history="1">
        <w:r>
          <w:rPr>
            <w:spacing w:val="-1"/>
          </w:rPr>
          <w:t>33.3</w:t>
        </w:r>
      </w:hyperlink>
      <w:r>
        <w:rPr>
          <w:spacing w:val="58"/>
        </w:rPr>
        <w:t xml:space="preserve"> </w:t>
      </w:r>
      <w:r>
        <w:rPr>
          <w:spacing w:val="-1"/>
        </w:rPr>
        <w:t>(Licence</w:t>
      </w:r>
      <w:r>
        <w:rPr>
          <w:spacing w:val="58"/>
        </w:rPr>
        <w:t xml:space="preserve"> </w:t>
      </w:r>
      <w:r>
        <w:rPr>
          <w:spacing w:val="-1"/>
        </w:rPr>
        <w:t>granted</w:t>
      </w:r>
      <w:r>
        <w:rPr>
          <w:spacing w:val="60"/>
        </w:rPr>
        <w:t xml:space="preserve"> </w:t>
      </w:r>
      <w:r>
        <w:rPr>
          <w:spacing w:val="-1"/>
        </w:rPr>
        <w:t>by</w:t>
      </w:r>
      <w:r>
        <w:rPr>
          <w:spacing w:val="58"/>
        </w:rPr>
        <w:t xml:space="preserve"> </w:t>
      </w:r>
      <w:r>
        <w:t>the</w:t>
      </w:r>
      <w:r>
        <w:rPr>
          <w:spacing w:val="61"/>
        </w:rPr>
        <w:t xml:space="preserve"> </w:t>
      </w:r>
      <w:r>
        <w:rPr>
          <w:spacing w:val="-1"/>
        </w:rPr>
        <w:t>Supplier:</w:t>
      </w:r>
      <w:r>
        <w:rPr>
          <w:spacing w:val="1"/>
        </w:rPr>
        <w:t xml:space="preserve"> </w:t>
      </w:r>
      <w:r>
        <w:rPr>
          <w:spacing w:val="-2"/>
        </w:rPr>
        <w:t>Supplier</w:t>
      </w:r>
      <w:r>
        <w:rPr>
          <w:spacing w:val="52"/>
        </w:rPr>
        <w:t xml:space="preserve"> </w:t>
      </w:r>
      <w:r>
        <w:rPr>
          <w:spacing w:val="-1"/>
        </w:rPr>
        <w:t>Background</w:t>
      </w:r>
      <w:r>
        <w:rPr>
          <w:spacing w:val="16"/>
        </w:rPr>
        <w:t xml:space="preserve"> </w:t>
      </w:r>
      <w:r>
        <w:rPr>
          <w:spacing w:val="-1"/>
        </w:rPr>
        <w:t>IPR),</w:t>
      </w:r>
      <w:r>
        <w:rPr>
          <w:spacing w:val="17"/>
        </w:rPr>
        <w:t xml:space="preserve"> </w:t>
      </w:r>
      <w:r>
        <w:rPr>
          <w:spacing w:val="-1"/>
        </w:rPr>
        <w:t>all</w:t>
      </w:r>
      <w:r>
        <w:rPr>
          <w:spacing w:val="15"/>
        </w:rPr>
        <w:t xml:space="preserve"> </w:t>
      </w:r>
      <w:r>
        <w:rPr>
          <w:spacing w:val="-1"/>
        </w:rPr>
        <w:t>licences</w:t>
      </w:r>
      <w:r>
        <w:rPr>
          <w:spacing w:val="14"/>
        </w:rPr>
        <w:t xml:space="preserve"> </w:t>
      </w:r>
      <w:r>
        <w:rPr>
          <w:spacing w:val="-1"/>
        </w:rPr>
        <w:t>granted</w:t>
      </w:r>
      <w:r>
        <w:rPr>
          <w:spacing w:val="16"/>
        </w:rPr>
        <w:t xml:space="preserve"> </w:t>
      </w:r>
      <w:r>
        <w:rPr>
          <w:spacing w:val="-1"/>
        </w:rPr>
        <w:t>pursuant</w:t>
      </w:r>
      <w:r>
        <w:rPr>
          <w:spacing w:val="17"/>
        </w:rPr>
        <w:t xml:space="preserve"> </w:t>
      </w:r>
      <w:r>
        <w:t>to</w:t>
      </w:r>
      <w:r>
        <w:rPr>
          <w:spacing w:val="14"/>
        </w:rPr>
        <w:t xml:space="preserve"> </w:t>
      </w:r>
      <w:r>
        <w:rPr>
          <w:spacing w:val="-1"/>
        </w:rPr>
        <w:t>this</w:t>
      </w:r>
      <w:r>
        <w:rPr>
          <w:spacing w:val="16"/>
        </w:rPr>
        <w:t xml:space="preserve"> </w:t>
      </w:r>
      <w:r>
        <w:rPr>
          <w:spacing w:val="-2"/>
        </w:rPr>
        <w:t>Clause</w:t>
      </w:r>
      <w:r>
        <w:rPr>
          <w:spacing w:val="3"/>
        </w:rPr>
        <w:t xml:space="preserve"> </w:t>
      </w:r>
      <w:hyperlink w:anchor="_bookmark160" w:history="1">
        <w:r>
          <w:rPr>
            <w:spacing w:val="-1"/>
          </w:rPr>
          <w:t>33</w:t>
        </w:r>
      </w:hyperlink>
      <w:r>
        <w:rPr>
          <w:spacing w:val="46"/>
        </w:rPr>
        <w:t xml:space="preserve"> </w:t>
      </w:r>
      <w:r>
        <w:rPr>
          <w:spacing w:val="-1"/>
        </w:rPr>
        <w:t>(Intellectual</w:t>
      </w:r>
      <w:r>
        <w:rPr>
          <w:spacing w:val="55"/>
        </w:rPr>
        <w:t xml:space="preserve"> </w:t>
      </w:r>
      <w:r>
        <w:rPr>
          <w:spacing w:val="-1"/>
        </w:rPr>
        <w:t>Property</w:t>
      </w:r>
      <w:r>
        <w:rPr>
          <w:spacing w:val="53"/>
        </w:rPr>
        <w:t xml:space="preserve"> </w:t>
      </w:r>
      <w:r>
        <w:rPr>
          <w:spacing w:val="-1"/>
        </w:rPr>
        <w:t>Rights)</w:t>
      </w:r>
      <w:r>
        <w:rPr>
          <w:spacing w:val="54"/>
        </w:rPr>
        <w:t xml:space="preserve"> </w:t>
      </w:r>
      <w:r>
        <w:rPr>
          <w:spacing w:val="-1"/>
        </w:rPr>
        <w:t>(other</w:t>
      </w:r>
      <w:r>
        <w:rPr>
          <w:spacing w:val="57"/>
        </w:rPr>
        <w:t xml:space="preserve"> </w:t>
      </w:r>
      <w:r>
        <w:rPr>
          <w:spacing w:val="-1"/>
        </w:rPr>
        <w:t>than</w:t>
      </w:r>
      <w:r>
        <w:rPr>
          <w:spacing w:val="55"/>
        </w:rPr>
        <w:t xml:space="preserve"> </w:t>
      </w:r>
      <w:r>
        <w:rPr>
          <w:spacing w:val="-1"/>
        </w:rPr>
        <w:t>those</w:t>
      </w:r>
      <w:r>
        <w:rPr>
          <w:spacing w:val="53"/>
        </w:rPr>
        <w:t xml:space="preserve"> </w:t>
      </w:r>
      <w:r>
        <w:rPr>
          <w:spacing w:val="-1"/>
        </w:rPr>
        <w:t>granted</w:t>
      </w:r>
      <w:r>
        <w:rPr>
          <w:spacing w:val="56"/>
        </w:rPr>
        <w:t xml:space="preserve"> </w:t>
      </w:r>
      <w:r>
        <w:rPr>
          <w:spacing w:val="-1"/>
        </w:rPr>
        <w:t>pursuant</w:t>
      </w:r>
      <w:r>
        <w:rPr>
          <w:spacing w:val="55"/>
        </w:rPr>
        <w:t xml:space="preserve"> </w:t>
      </w:r>
      <w:r>
        <w:t>to</w:t>
      </w:r>
      <w:r>
        <w:rPr>
          <w:spacing w:val="49"/>
        </w:rPr>
        <w:t xml:space="preserve"> </w:t>
      </w:r>
      <w:r>
        <w:rPr>
          <w:spacing w:val="-2"/>
        </w:rPr>
        <w:t>Clause</w:t>
      </w:r>
      <w:r>
        <w:rPr>
          <w:spacing w:val="12"/>
        </w:rPr>
        <w:t xml:space="preserve"> </w:t>
      </w:r>
      <w:hyperlink w:anchor="_bookmark170" w:history="1">
        <w:r>
          <w:rPr>
            <w:spacing w:val="-1"/>
          </w:rPr>
          <w:t>33.6</w:t>
        </w:r>
      </w:hyperlink>
      <w:r>
        <w:rPr>
          <w:spacing w:val="7"/>
        </w:rPr>
        <w:t xml:space="preserve"> </w:t>
      </w:r>
      <w:r>
        <w:rPr>
          <w:spacing w:val="-1"/>
        </w:rPr>
        <w:t>(Third</w:t>
      </w:r>
      <w:r>
        <w:rPr>
          <w:spacing w:val="6"/>
        </w:rPr>
        <w:t xml:space="preserve"> </w:t>
      </w:r>
      <w:r>
        <w:rPr>
          <w:spacing w:val="-1"/>
        </w:rPr>
        <w:t>Party</w:t>
      </w:r>
      <w:r>
        <w:rPr>
          <w:spacing w:val="7"/>
        </w:rPr>
        <w:t xml:space="preserve"> </w:t>
      </w:r>
      <w:r>
        <w:rPr>
          <w:spacing w:val="-1"/>
        </w:rPr>
        <w:t>IPR)</w:t>
      </w:r>
      <w:r>
        <w:rPr>
          <w:spacing w:val="8"/>
        </w:rPr>
        <w:t xml:space="preserve"> </w:t>
      </w:r>
      <w:r>
        <w:rPr>
          <w:spacing w:val="-1"/>
        </w:rPr>
        <w:t>and</w:t>
      </w:r>
      <w:r>
        <w:rPr>
          <w:spacing w:val="9"/>
        </w:rPr>
        <w:t xml:space="preserve"> </w:t>
      </w:r>
      <w:hyperlink w:anchor="_bookmark171" w:history="1">
        <w:r>
          <w:rPr>
            <w:spacing w:val="-1"/>
          </w:rPr>
          <w:t>33.7</w:t>
        </w:r>
      </w:hyperlink>
      <w:r>
        <w:rPr>
          <w:spacing w:val="7"/>
        </w:rPr>
        <w:t xml:space="preserve"> </w:t>
      </w:r>
      <w:r>
        <w:rPr>
          <w:spacing w:val="-1"/>
        </w:rPr>
        <w:t>(Licence</w:t>
      </w:r>
      <w:r>
        <w:rPr>
          <w:spacing w:val="7"/>
        </w:rPr>
        <w:t xml:space="preserve"> </w:t>
      </w:r>
      <w:r>
        <w:rPr>
          <w:spacing w:val="-1"/>
        </w:rPr>
        <w:t>granted</w:t>
      </w:r>
      <w:r>
        <w:rPr>
          <w:spacing w:val="9"/>
        </w:rPr>
        <w:t xml:space="preserve"> </w:t>
      </w:r>
      <w:r>
        <w:rPr>
          <w:spacing w:val="-1"/>
        </w:rPr>
        <w:t>by</w:t>
      </w:r>
      <w:r>
        <w:rPr>
          <w:spacing w:val="7"/>
        </w:rPr>
        <w:t xml:space="preserve"> </w:t>
      </w:r>
      <w:r>
        <w:rPr>
          <w:spacing w:val="-1"/>
        </w:rPr>
        <w:t>the</w:t>
      </w:r>
      <w:r>
        <w:rPr>
          <w:spacing w:val="55"/>
        </w:rPr>
        <w:t xml:space="preserve"> </w:t>
      </w:r>
      <w:r>
        <w:rPr>
          <w:spacing w:val="-1"/>
        </w:rPr>
        <w:t>Customer))</w:t>
      </w:r>
      <w:r>
        <w:rPr>
          <w:spacing w:val="2"/>
        </w:rPr>
        <w:t xml:space="preserve"> </w:t>
      </w:r>
      <w:r>
        <w:rPr>
          <w:spacing w:val="-1"/>
        </w:rPr>
        <w:t>shall</w:t>
      </w:r>
      <w:r>
        <w:t xml:space="preserve"> </w:t>
      </w:r>
      <w:r>
        <w:rPr>
          <w:spacing w:val="-2"/>
        </w:rPr>
        <w:t>survive</w:t>
      </w:r>
      <w:r>
        <w:rPr>
          <w:spacing w:val="3"/>
        </w:rPr>
        <w:t xml:space="preserve"> </w:t>
      </w:r>
      <w:r>
        <w:t xml:space="preserve">the </w:t>
      </w:r>
      <w:r>
        <w:rPr>
          <w:spacing w:val="-2"/>
        </w:rPr>
        <w:t>Call</w:t>
      </w:r>
      <w:r>
        <w:t xml:space="preserve"> </w:t>
      </w:r>
      <w:r>
        <w:rPr>
          <w:spacing w:val="-1"/>
        </w:rPr>
        <w:t>Off</w:t>
      </w:r>
      <w:r>
        <w:t xml:space="preserve"> </w:t>
      </w:r>
      <w:r>
        <w:rPr>
          <w:spacing w:val="-2"/>
        </w:rPr>
        <w:t xml:space="preserve">Expiry </w:t>
      </w:r>
      <w:r>
        <w:rPr>
          <w:spacing w:val="-1"/>
        </w:rPr>
        <w:t>Date.</w:t>
      </w:r>
    </w:p>
    <w:p w:rsidR="008918FA" w:rsidRDefault="008918FA" w:rsidP="008918FA">
      <w:pPr>
        <w:pStyle w:val="BodyText"/>
        <w:numPr>
          <w:ilvl w:val="2"/>
          <w:numId w:val="66"/>
        </w:numPr>
        <w:tabs>
          <w:tab w:val="left" w:pos="1886"/>
        </w:tabs>
        <w:ind w:left="1885" w:right="113" w:hanging="993"/>
        <w:jc w:val="both"/>
      </w:pPr>
      <w:r>
        <w:t>The</w:t>
      </w:r>
      <w:r>
        <w:rPr>
          <w:spacing w:val="31"/>
        </w:rPr>
        <w:t xml:space="preserve"> </w:t>
      </w:r>
      <w:r>
        <w:rPr>
          <w:spacing w:val="-2"/>
        </w:rPr>
        <w:t>Supplier</w:t>
      </w:r>
      <w:r>
        <w:rPr>
          <w:spacing w:val="33"/>
        </w:rPr>
        <w:t xml:space="preserve"> </w:t>
      </w:r>
      <w:r>
        <w:rPr>
          <w:spacing w:val="-1"/>
        </w:rPr>
        <w:t>shall,</w:t>
      </w:r>
      <w:r>
        <w:rPr>
          <w:spacing w:val="33"/>
        </w:rPr>
        <w:t xml:space="preserve"> </w:t>
      </w:r>
      <w:r>
        <w:rPr>
          <w:spacing w:val="-1"/>
        </w:rPr>
        <w:t>if</w:t>
      </w:r>
      <w:r>
        <w:rPr>
          <w:spacing w:val="35"/>
        </w:rPr>
        <w:t xml:space="preserve"> </w:t>
      </w:r>
      <w:r>
        <w:rPr>
          <w:spacing w:val="-1"/>
        </w:rPr>
        <w:t>requested</w:t>
      </w:r>
      <w:r>
        <w:rPr>
          <w:spacing w:val="31"/>
        </w:rPr>
        <w:t xml:space="preserve"> </w:t>
      </w:r>
      <w:r>
        <w:rPr>
          <w:spacing w:val="-1"/>
        </w:rPr>
        <w:t>by</w:t>
      </w:r>
      <w:r>
        <w:rPr>
          <w:spacing w:val="30"/>
        </w:rPr>
        <w:t xml:space="preserve"> </w:t>
      </w:r>
      <w:r>
        <w:t>the</w:t>
      </w:r>
      <w:r>
        <w:rPr>
          <w:spacing w:val="31"/>
        </w:rPr>
        <w:t xml:space="preserve"> </w:t>
      </w:r>
      <w:r>
        <w:rPr>
          <w:spacing w:val="-1"/>
        </w:rPr>
        <w:t>Customer</w:t>
      </w:r>
      <w:r>
        <w:rPr>
          <w:spacing w:val="34"/>
        </w:rPr>
        <w:t xml:space="preserve"> </w:t>
      </w:r>
      <w:r>
        <w:rPr>
          <w:spacing w:val="-1"/>
        </w:rPr>
        <w:t>in</w:t>
      </w:r>
      <w:r>
        <w:rPr>
          <w:spacing w:val="31"/>
        </w:rPr>
        <w:t xml:space="preserve"> </w:t>
      </w:r>
      <w:r>
        <w:rPr>
          <w:spacing w:val="-1"/>
        </w:rPr>
        <w:t>accordance</w:t>
      </w:r>
      <w:r>
        <w:rPr>
          <w:spacing w:val="32"/>
        </w:rPr>
        <w:t xml:space="preserve"> </w:t>
      </w:r>
      <w:r>
        <w:rPr>
          <w:spacing w:val="-2"/>
        </w:rPr>
        <w:t>with</w:t>
      </w:r>
      <w:r>
        <w:rPr>
          <w:spacing w:val="39"/>
        </w:rPr>
        <w:t xml:space="preserve"> </w:t>
      </w:r>
      <w:r>
        <w:rPr>
          <w:spacing w:val="-2"/>
        </w:rPr>
        <w:t>Call</w:t>
      </w:r>
      <w:r>
        <w:rPr>
          <w:spacing w:val="14"/>
        </w:rPr>
        <w:t xml:space="preserve"> </w:t>
      </w:r>
      <w:r>
        <w:t>Off</w:t>
      </w:r>
      <w:r>
        <w:rPr>
          <w:spacing w:val="19"/>
        </w:rPr>
        <w:t xml:space="preserve"> </w:t>
      </w:r>
      <w:r>
        <w:rPr>
          <w:spacing w:val="-2"/>
        </w:rPr>
        <w:t>Schedule</w:t>
      </w:r>
      <w:r>
        <w:rPr>
          <w:spacing w:val="15"/>
        </w:rPr>
        <w:t xml:space="preserve"> </w:t>
      </w:r>
      <w:r>
        <w:rPr>
          <w:spacing w:val="-1"/>
        </w:rPr>
        <w:t>10</w:t>
      </w:r>
      <w:r>
        <w:rPr>
          <w:spacing w:val="17"/>
        </w:rPr>
        <w:t xml:space="preserve"> </w:t>
      </w:r>
      <w:r>
        <w:rPr>
          <w:spacing w:val="-2"/>
        </w:rPr>
        <w:t>(Exit</w:t>
      </w:r>
      <w:r>
        <w:rPr>
          <w:spacing w:val="19"/>
        </w:rPr>
        <w:t xml:space="preserve"> </w:t>
      </w:r>
      <w:r>
        <w:rPr>
          <w:spacing w:val="-1"/>
        </w:rPr>
        <w:t>Management),</w:t>
      </w:r>
      <w:r>
        <w:rPr>
          <w:spacing w:val="14"/>
        </w:rPr>
        <w:t xml:space="preserve"> </w:t>
      </w:r>
      <w:r>
        <w:rPr>
          <w:spacing w:val="-1"/>
        </w:rPr>
        <w:t>grant</w:t>
      </w:r>
      <w:r>
        <w:rPr>
          <w:spacing w:val="16"/>
        </w:rPr>
        <w:t xml:space="preserve"> </w:t>
      </w:r>
      <w:r>
        <w:rPr>
          <w:spacing w:val="-1"/>
        </w:rPr>
        <w:t>(or</w:t>
      </w:r>
      <w:r>
        <w:rPr>
          <w:spacing w:val="16"/>
        </w:rPr>
        <w:t xml:space="preserve"> </w:t>
      </w:r>
      <w:r>
        <w:rPr>
          <w:spacing w:val="-1"/>
        </w:rPr>
        <w:t>procure</w:t>
      </w:r>
      <w:r>
        <w:rPr>
          <w:spacing w:val="12"/>
        </w:rPr>
        <w:t xml:space="preserve"> </w:t>
      </w:r>
      <w:r>
        <w:t>the</w:t>
      </w:r>
      <w:r>
        <w:rPr>
          <w:spacing w:val="12"/>
        </w:rPr>
        <w:t xml:space="preserve"> </w:t>
      </w:r>
      <w:r>
        <w:rPr>
          <w:spacing w:val="-1"/>
        </w:rPr>
        <w:t>grant)</w:t>
      </w:r>
      <w:r>
        <w:rPr>
          <w:spacing w:val="57"/>
        </w:rPr>
        <w:t xml:space="preserve"> </w:t>
      </w:r>
      <w:r>
        <w:t>to</w:t>
      </w:r>
      <w:r>
        <w:rPr>
          <w:spacing w:val="40"/>
        </w:rPr>
        <w:t xml:space="preserve"> </w:t>
      </w:r>
      <w:r>
        <w:t>the</w:t>
      </w:r>
      <w:r>
        <w:rPr>
          <w:spacing w:val="40"/>
        </w:rPr>
        <w:t xml:space="preserve"> </w:t>
      </w:r>
      <w:r>
        <w:rPr>
          <w:spacing w:val="-1"/>
        </w:rPr>
        <w:t>Replacement</w:t>
      </w:r>
      <w:r>
        <w:rPr>
          <w:spacing w:val="41"/>
        </w:rPr>
        <w:t xml:space="preserve"> </w:t>
      </w:r>
      <w:r>
        <w:rPr>
          <w:spacing w:val="-2"/>
        </w:rPr>
        <w:t>Supplier</w:t>
      </w:r>
      <w:r>
        <w:rPr>
          <w:spacing w:val="41"/>
        </w:rPr>
        <w:t xml:space="preserve"> </w:t>
      </w:r>
      <w:r>
        <w:rPr>
          <w:spacing w:val="-1"/>
        </w:rPr>
        <w:t>of</w:t>
      </w:r>
      <w:r>
        <w:rPr>
          <w:spacing w:val="44"/>
        </w:rPr>
        <w:t xml:space="preserve"> </w:t>
      </w:r>
      <w:r>
        <w:t>a</w:t>
      </w:r>
      <w:r>
        <w:rPr>
          <w:spacing w:val="40"/>
        </w:rPr>
        <w:t xml:space="preserve"> </w:t>
      </w:r>
      <w:r>
        <w:rPr>
          <w:spacing w:val="-1"/>
        </w:rPr>
        <w:t>licence</w:t>
      </w:r>
      <w:r>
        <w:rPr>
          <w:spacing w:val="41"/>
        </w:rPr>
        <w:t xml:space="preserve"> </w:t>
      </w:r>
      <w:r>
        <w:t>to</w:t>
      </w:r>
      <w:r>
        <w:rPr>
          <w:spacing w:val="40"/>
        </w:rPr>
        <w:t xml:space="preserve"> </w:t>
      </w:r>
      <w:r>
        <w:rPr>
          <w:spacing w:val="-1"/>
        </w:rPr>
        <w:t>use</w:t>
      </w:r>
      <w:r>
        <w:rPr>
          <w:spacing w:val="40"/>
        </w:rPr>
        <w:t xml:space="preserve"> </w:t>
      </w:r>
      <w:r>
        <w:rPr>
          <w:spacing w:val="-1"/>
        </w:rPr>
        <w:t>any</w:t>
      </w:r>
      <w:r>
        <w:rPr>
          <w:spacing w:val="40"/>
        </w:rPr>
        <w:t xml:space="preserve"> </w:t>
      </w:r>
      <w:r>
        <w:rPr>
          <w:spacing w:val="-2"/>
        </w:rPr>
        <w:t>Supplier</w:t>
      </w:r>
      <w:r>
        <w:rPr>
          <w:spacing w:val="32"/>
        </w:rPr>
        <w:t xml:space="preserve"> </w:t>
      </w:r>
      <w:r>
        <w:rPr>
          <w:spacing w:val="-1"/>
        </w:rPr>
        <w:t>Background</w:t>
      </w:r>
      <w:r>
        <w:rPr>
          <w:spacing w:val="22"/>
        </w:rPr>
        <w:t xml:space="preserve"> </w:t>
      </w:r>
      <w:r>
        <w:t>IPR</w:t>
      </w:r>
      <w:r>
        <w:rPr>
          <w:spacing w:val="24"/>
        </w:rPr>
        <w:t xml:space="preserve"> </w:t>
      </w:r>
      <w:r>
        <w:rPr>
          <w:spacing w:val="-1"/>
        </w:rPr>
        <w:t>and/or</w:t>
      </w:r>
      <w:r>
        <w:rPr>
          <w:spacing w:val="24"/>
        </w:rPr>
        <w:t xml:space="preserve"> </w:t>
      </w:r>
      <w:r>
        <w:rPr>
          <w:spacing w:val="-1"/>
        </w:rPr>
        <w:t>Third</w:t>
      </w:r>
      <w:r>
        <w:rPr>
          <w:spacing w:val="24"/>
        </w:rPr>
        <w:t xml:space="preserve"> </w:t>
      </w:r>
      <w:r>
        <w:rPr>
          <w:spacing w:val="-1"/>
        </w:rPr>
        <w:t>Party</w:t>
      </w:r>
      <w:r>
        <w:rPr>
          <w:spacing w:val="22"/>
        </w:rPr>
        <w:t xml:space="preserve"> </w:t>
      </w:r>
      <w:r>
        <w:t>IPR</w:t>
      </w:r>
      <w:r>
        <w:rPr>
          <w:spacing w:val="24"/>
        </w:rPr>
        <w:t xml:space="preserve"> </w:t>
      </w:r>
      <w:r>
        <w:rPr>
          <w:spacing w:val="-1"/>
        </w:rPr>
        <w:t>on</w:t>
      </w:r>
      <w:r>
        <w:rPr>
          <w:spacing w:val="22"/>
        </w:rPr>
        <w:t xml:space="preserve"> </w:t>
      </w:r>
      <w:r>
        <w:rPr>
          <w:spacing w:val="-1"/>
        </w:rPr>
        <w:t>terms</w:t>
      </w:r>
      <w:r>
        <w:rPr>
          <w:spacing w:val="25"/>
        </w:rPr>
        <w:t xml:space="preserve"> </w:t>
      </w:r>
      <w:r>
        <w:rPr>
          <w:spacing w:val="-1"/>
        </w:rPr>
        <w:t>equivalent</w:t>
      </w:r>
      <w:r>
        <w:rPr>
          <w:spacing w:val="26"/>
        </w:rPr>
        <w:t xml:space="preserve"> </w:t>
      </w:r>
      <w:r>
        <w:t>to</w:t>
      </w:r>
      <w:r>
        <w:rPr>
          <w:spacing w:val="22"/>
        </w:rPr>
        <w:t xml:space="preserve"> </w:t>
      </w:r>
      <w:r>
        <w:rPr>
          <w:spacing w:val="-1"/>
        </w:rPr>
        <w:t>those</w:t>
      </w:r>
      <w:r>
        <w:rPr>
          <w:spacing w:val="30"/>
        </w:rPr>
        <w:t xml:space="preserve"> </w:t>
      </w:r>
      <w:r>
        <w:rPr>
          <w:spacing w:val="-1"/>
        </w:rPr>
        <w:t>set</w:t>
      </w:r>
      <w:r>
        <w:rPr>
          <w:spacing w:val="3"/>
        </w:rPr>
        <w:t xml:space="preserve"> </w:t>
      </w:r>
      <w:r>
        <w:rPr>
          <w:spacing w:val="-1"/>
        </w:rPr>
        <w:t>out</w:t>
      </w:r>
      <w:r>
        <w:rPr>
          <w:spacing w:val="3"/>
        </w:rPr>
        <w:t xml:space="preserve"> </w:t>
      </w:r>
      <w:r>
        <w:rPr>
          <w:spacing w:val="-1"/>
        </w:rPr>
        <w:t>in</w:t>
      </w:r>
      <w:r>
        <w:rPr>
          <w:spacing w:val="2"/>
        </w:rPr>
        <w:t xml:space="preserve"> </w:t>
      </w:r>
      <w:r>
        <w:rPr>
          <w:spacing w:val="-2"/>
        </w:rPr>
        <w:t>Clause</w:t>
      </w:r>
      <w:r>
        <w:rPr>
          <w:spacing w:val="3"/>
        </w:rPr>
        <w:t xml:space="preserve"> </w:t>
      </w:r>
      <w:hyperlink w:anchor="_bookmark164" w:history="1">
        <w:r>
          <w:rPr>
            <w:spacing w:val="-1"/>
          </w:rPr>
          <w:t>33.3</w:t>
        </w:r>
      </w:hyperlink>
      <w:r>
        <w:rPr>
          <w:spacing w:val="60"/>
        </w:rPr>
        <w:t xml:space="preserve"> </w:t>
      </w:r>
      <w:r>
        <w:rPr>
          <w:spacing w:val="-1"/>
        </w:rPr>
        <w:t>(Licence</w:t>
      </w:r>
      <w:r>
        <w:rPr>
          <w:spacing w:val="2"/>
        </w:rPr>
        <w:t xml:space="preserve"> </w:t>
      </w:r>
      <w:r>
        <w:rPr>
          <w:spacing w:val="-1"/>
        </w:rPr>
        <w:t>granted</w:t>
      </w:r>
      <w:r>
        <w:rPr>
          <w:spacing w:val="2"/>
        </w:rPr>
        <w:t xml:space="preserve"> </w:t>
      </w:r>
      <w:r>
        <w:rPr>
          <w:spacing w:val="-1"/>
        </w:rPr>
        <w:t>by</w:t>
      </w:r>
      <w:r>
        <w:t xml:space="preserve"> the</w:t>
      </w:r>
      <w:r>
        <w:rPr>
          <w:spacing w:val="2"/>
        </w:rPr>
        <w:t xml:space="preserve"> </w:t>
      </w:r>
      <w:r>
        <w:rPr>
          <w:spacing w:val="-1"/>
        </w:rPr>
        <w:t>Supplier:</w:t>
      </w:r>
      <w:r>
        <w:rPr>
          <w:spacing w:val="3"/>
        </w:rPr>
        <w:t xml:space="preserve"> </w:t>
      </w:r>
      <w:r>
        <w:rPr>
          <w:spacing w:val="-2"/>
        </w:rPr>
        <w:t>Supplier</w:t>
      </w:r>
      <w:r>
        <w:rPr>
          <w:spacing w:val="44"/>
        </w:rPr>
        <w:t xml:space="preserve"> </w:t>
      </w:r>
      <w:r>
        <w:rPr>
          <w:spacing w:val="-1"/>
        </w:rPr>
        <w:t>Background</w:t>
      </w:r>
      <w:r>
        <w:rPr>
          <w:spacing w:val="46"/>
        </w:rPr>
        <w:t xml:space="preserve"> </w:t>
      </w:r>
      <w:r>
        <w:rPr>
          <w:spacing w:val="-1"/>
        </w:rPr>
        <w:t>IPR)</w:t>
      </w:r>
      <w:r>
        <w:rPr>
          <w:spacing w:val="47"/>
        </w:rPr>
        <w:t xml:space="preserve"> </w:t>
      </w:r>
      <w:r>
        <w:rPr>
          <w:spacing w:val="-1"/>
        </w:rPr>
        <w:t>subject</w:t>
      </w:r>
      <w:r>
        <w:rPr>
          <w:spacing w:val="48"/>
        </w:rPr>
        <w:t xml:space="preserve"> </w:t>
      </w:r>
      <w:r>
        <w:t>to</w:t>
      </w:r>
      <w:r>
        <w:rPr>
          <w:spacing w:val="46"/>
        </w:rPr>
        <w:t xml:space="preserve"> </w:t>
      </w:r>
      <w:r>
        <w:t>the</w:t>
      </w:r>
      <w:r>
        <w:rPr>
          <w:spacing w:val="46"/>
        </w:rPr>
        <w:t xml:space="preserve"> </w:t>
      </w:r>
      <w:r>
        <w:rPr>
          <w:spacing w:val="-2"/>
        </w:rPr>
        <w:t>Replacement</w:t>
      </w:r>
      <w:r>
        <w:rPr>
          <w:spacing w:val="45"/>
        </w:rPr>
        <w:t xml:space="preserve"> </w:t>
      </w:r>
      <w:r>
        <w:rPr>
          <w:spacing w:val="-2"/>
        </w:rPr>
        <w:t>Supplier</w:t>
      </w:r>
      <w:r>
        <w:rPr>
          <w:spacing w:val="48"/>
        </w:rPr>
        <w:t xml:space="preserve"> </w:t>
      </w:r>
      <w:r>
        <w:rPr>
          <w:spacing w:val="-1"/>
        </w:rPr>
        <w:t>entering</w:t>
      </w:r>
      <w:r>
        <w:rPr>
          <w:spacing w:val="48"/>
        </w:rPr>
        <w:t xml:space="preserve"> </w:t>
      </w:r>
      <w:r>
        <w:rPr>
          <w:spacing w:val="-1"/>
        </w:rPr>
        <w:t>into</w:t>
      </w:r>
      <w:r>
        <w:rPr>
          <w:spacing w:val="57"/>
        </w:rPr>
        <w:t xml:space="preserve"> </w:t>
      </w:r>
      <w:r>
        <w:rPr>
          <w:spacing w:val="-1"/>
        </w:rPr>
        <w:t>reasonable</w:t>
      </w:r>
      <w:r>
        <w:t xml:space="preserve"> </w:t>
      </w:r>
      <w:r>
        <w:rPr>
          <w:spacing w:val="-1"/>
        </w:rPr>
        <w:t>confidentiality</w:t>
      </w:r>
      <w:r>
        <w:rPr>
          <w:spacing w:val="-2"/>
        </w:rPr>
        <w:t xml:space="preserve"> </w:t>
      </w:r>
      <w:r>
        <w:rPr>
          <w:spacing w:val="-1"/>
        </w:rPr>
        <w:t>undertakings</w:t>
      </w:r>
      <w:r>
        <w:rPr>
          <w:spacing w:val="1"/>
        </w:rPr>
        <w:t xml:space="preserve"> </w:t>
      </w:r>
      <w:r>
        <w:rPr>
          <w:spacing w:val="-2"/>
        </w:rPr>
        <w:t>with</w:t>
      </w:r>
      <w:r>
        <w:t xml:space="preserve"> the</w:t>
      </w:r>
      <w:r>
        <w:rPr>
          <w:spacing w:val="-4"/>
        </w:rPr>
        <w:t xml:space="preserve"> </w:t>
      </w:r>
      <w:r>
        <w:rPr>
          <w:spacing w:val="-1"/>
        </w:rPr>
        <w:t>Supplier.</w:t>
      </w:r>
    </w:p>
    <w:p w:rsidR="008918FA" w:rsidRDefault="008918FA" w:rsidP="008918FA">
      <w:pPr>
        <w:pStyle w:val="BodyText"/>
        <w:numPr>
          <w:ilvl w:val="2"/>
          <w:numId w:val="66"/>
        </w:numPr>
        <w:tabs>
          <w:tab w:val="left" w:pos="1886"/>
        </w:tabs>
        <w:ind w:left="1885" w:right="114" w:hanging="993"/>
        <w:jc w:val="both"/>
      </w:pPr>
      <w:r>
        <w:t>The</w:t>
      </w:r>
      <w:r>
        <w:rPr>
          <w:spacing w:val="22"/>
        </w:rPr>
        <w:t xml:space="preserve"> </w:t>
      </w:r>
      <w:r>
        <w:rPr>
          <w:spacing w:val="-1"/>
        </w:rPr>
        <w:t>licence</w:t>
      </w:r>
      <w:r>
        <w:rPr>
          <w:spacing w:val="22"/>
        </w:rPr>
        <w:t xml:space="preserve"> </w:t>
      </w:r>
      <w:r>
        <w:rPr>
          <w:spacing w:val="-1"/>
        </w:rPr>
        <w:t>granted</w:t>
      </w:r>
      <w:r>
        <w:rPr>
          <w:spacing w:val="22"/>
        </w:rPr>
        <w:t xml:space="preserve"> </w:t>
      </w:r>
      <w:r>
        <w:rPr>
          <w:spacing w:val="-2"/>
        </w:rPr>
        <w:t>pursuant</w:t>
      </w:r>
      <w:r>
        <w:rPr>
          <w:spacing w:val="23"/>
        </w:rPr>
        <w:t xml:space="preserve"> </w:t>
      </w:r>
      <w:r>
        <w:t>to</w:t>
      </w:r>
      <w:r>
        <w:rPr>
          <w:spacing w:val="22"/>
        </w:rPr>
        <w:t xml:space="preserve"> </w:t>
      </w:r>
      <w:r>
        <w:rPr>
          <w:spacing w:val="-2"/>
        </w:rPr>
        <w:t>Clause</w:t>
      </w:r>
      <w:r>
        <w:rPr>
          <w:spacing w:val="24"/>
        </w:rPr>
        <w:t xml:space="preserve"> </w:t>
      </w:r>
      <w:hyperlink w:anchor="_bookmark171" w:history="1">
        <w:r>
          <w:rPr>
            <w:spacing w:val="-1"/>
          </w:rPr>
          <w:t>33.7</w:t>
        </w:r>
      </w:hyperlink>
      <w:r>
        <w:rPr>
          <w:spacing w:val="22"/>
        </w:rPr>
        <w:t xml:space="preserve"> </w:t>
      </w:r>
      <w:r>
        <w:rPr>
          <w:spacing w:val="-1"/>
        </w:rPr>
        <w:t>(Licence</w:t>
      </w:r>
      <w:r>
        <w:rPr>
          <w:spacing w:val="22"/>
        </w:rPr>
        <w:t xml:space="preserve"> </w:t>
      </w:r>
      <w:r>
        <w:rPr>
          <w:spacing w:val="-1"/>
        </w:rPr>
        <w:t>granted</w:t>
      </w:r>
      <w:r>
        <w:rPr>
          <w:spacing w:val="22"/>
        </w:rPr>
        <w:t xml:space="preserve"> </w:t>
      </w:r>
      <w:r>
        <w:rPr>
          <w:spacing w:val="-1"/>
        </w:rPr>
        <w:t>by</w:t>
      </w:r>
      <w:r>
        <w:rPr>
          <w:spacing w:val="20"/>
        </w:rPr>
        <w:t xml:space="preserve"> </w:t>
      </w:r>
      <w:r>
        <w:rPr>
          <w:spacing w:val="-1"/>
        </w:rPr>
        <w:t>the</w:t>
      </w:r>
      <w:r>
        <w:rPr>
          <w:spacing w:val="56"/>
        </w:rPr>
        <w:t xml:space="preserve"> </w:t>
      </w:r>
      <w:r>
        <w:rPr>
          <w:spacing w:val="-1"/>
        </w:rPr>
        <w:t>Customer</w:t>
      </w:r>
      <w:r>
        <w:rPr>
          <w:spacing w:val="4"/>
        </w:rPr>
        <w:t xml:space="preserve"> </w:t>
      </w:r>
      <w:r>
        <w:t>)</w:t>
      </w:r>
      <w:r>
        <w:rPr>
          <w:spacing w:val="7"/>
        </w:rPr>
        <w:t xml:space="preserve"> </w:t>
      </w:r>
      <w:r>
        <w:rPr>
          <w:spacing w:val="-1"/>
        </w:rPr>
        <w:t>and</w:t>
      </w:r>
      <w:r>
        <w:rPr>
          <w:spacing w:val="5"/>
        </w:rPr>
        <w:t xml:space="preserve"> </w:t>
      </w:r>
      <w:r>
        <w:rPr>
          <w:spacing w:val="-1"/>
        </w:rPr>
        <w:t>any</w:t>
      </w:r>
      <w:r>
        <w:rPr>
          <w:spacing w:val="3"/>
        </w:rPr>
        <w:t xml:space="preserve"> </w:t>
      </w:r>
      <w:r>
        <w:rPr>
          <w:spacing w:val="-2"/>
        </w:rPr>
        <w:t>sub-licence</w:t>
      </w:r>
      <w:r>
        <w:rPr>
          <w:spacing w:val="5"/>
        </w:rPr>
        <w:t xml:space="preserve"> </w:t>
      </w:r>
      <w:r>
        <w:rPr>
          <w:spacing w:val="-1"/>
        </w:rPr>
        <w:t>granted</w:t>
      </w:r>
      <w:r>
        <w:rPr>
          <w:spacing w:val="3"/>
        </w:rPr>
        <w:t xml:space="preserve"> </w:t>
      </w:r>
      <w:r>
        <w:rPr>
          <w:spacing w:val="-1"/>
        </w:rPr>
        <w:t>by</w:t>
      </w:r>
      <w:r>
        <w:rPr>
          <w:spacing w:val="3"/>
        </w:rPr>
        <w:t xml:space="preserve"> </w:t>
      </w:r>
      <w:r>
        <w:t>the</w:t>
      </w:r>
      <w:r>
        <w:rPr>
          <w:spacing w:val="5"/>
        </w:rPr>
        <w:t xml:space="preserve"> </w:t>
      </w:r>
      <w:r>
        <w:rPr>
          <w:spacing w:val="-2"/>
        </w:rPr>
        <w:t>Supplier</w:t>
      </w:r>
      <w:r>
        <w:rPr>
          <w:spacing w:val="6"/>
        </w:rPr>
        <w:t xml:space="preserve"> </w:t>
      </w:r>
      <w:r>
        <w:rPr>
          <w:spacing w:val="-1"/>
        </w:rPr>
        <w:t>in</w:t>
      </w:r>
      <w:r>
        <w:rPr>
          <w:spacing w:val="5"/>
        </w:rPr>
        <w:t xml:space="preserve"> </w:t>
      </w:r>
      <w:r>
        <w:rPr>
          <w:spacing w:val="-1"/>
        </w:rPr>
        <w:t>accordance</w:t>
      </w:r>
      <w:r>
        <w:rPr>
          <w:spacing w:val="46"/>
        </w:rPr>
        <w:t xml:space="preserve"> </w:t>
      </w:r>
      <w:r>
        <w:rPr>
          <w:spacing w:val="-1"/>
        </w:rPr>
        <w:t>with</w:t>
      </w:r>
      <w:r>
        <w:rPr>
          <w:spacing w:val="17"/>
        </w:rPr>
        <w:t xml:space="preserve"> </w:t>
      </w:r>
      <w:r>
        <w:rPr>
          <w:spacing w:val="-2"/>
        </w:rPr>
        <w:t>Clause</w:t>
      </w:r>
      <w:r>
        <w:rPr>
          <w:spacing w:val="19"/>
        </w:rPr>
        <w:t xml:space="preserve"> </w:t>
      </w:r>
      <w:hyperlink w:anchor="_bookmark172" w:history="1">
        <w:r>
          <w:rPr>
            <w:spacing w:val="-1"/>
          </w:rPr>
          <w:t>33.7.1</w:t>
        </w:r>
      </w:hyperlink>
      <w:r>
        <w:rPr>
          <w:spacing w:val="17"/>
        </w:rPr>
        <w:t xml:space="preserve"> </w:t>
      </w:r>
      <w:r>
        <w:rPr>
          <w:spacing w:val="-1"/>
        </w:rPr>
        <w:t>(Licence</w:t>
      </w:r>
      <w:r>
        <w:rPr>
          <w:spacing w:val="18"/>
        </w:rPr>
        <w:t xml:space="preserve"> </w:t>
      </w:r>
      <w:r>
        <w:rPr>
          <w:spacing w:val="-1"/>
        </w:rPr>
        <w:t>granted</w:t>
      </w:r>
      <w:r>
        <w:rPr>
          <w:spacing w:val="17"/>
        </w:rPr>
        <w:t xml:space="preserve"> </w:t>
      </w:r>
      <w:r>
        <w:rPr>
          <w:spacing w:val="-1"/>
        </w:rPr>
        <w:t>by</w:t>
      </w:r>
      <w:r>
        <w:rPr>
          <w:spacing w:val="15"/>
        </w:rPr>
        <w:t xml:space="preserve"> </w:t>
      </w:r>
      <w:r>
        <w:t>the</w:t>
      </w:r>
      <w:r>
        <w:rPr>
          <w:spacing w:val="17"/>
        </w:rPr>
        <w:t xml:space="preserve"> </w:t>
      </w:r>
      <w:r>
        <w:rPr>
          <w:spacing w:val="-1"/>
        </w:rPr>
        <w:t>Customer)</w:t>
      </w:r>
      <w:r>
        <w:rPr>
          <w:spacing w:val="19"/>
        </w:rPr>
        <w:t xml:space="preserve"> </w:t>
      </w:r>
      <w:r>
        <w:rPr>
          <w:spacing w:val="-1"/>
        </w:rPr>
        <w:t>shall</w:t>
      </w:r>
      <w:r>
        <w:rPr>
          <w:spacing w:val="17"/>
        </w:rPr>
        <w:t xml:space="preserve"> </w:t>
      </w:r>
      <w:r>
        <w:rPr>
          <w:spacing w:val="-1"/>
        </w:rPr>
        <w:t>terminate</w:t>
      </w:r>
      <w:r>
        <w:rPr>
          <w:spacing w:val="55"/>
        </w:rPr>
        <w:t xml:space="preserve"> </w:t>
      </w:r>
      <w:r>
        <w:rPr>
          <w:spacing w:val="-1"/>
        </w:rPr>
        <w:t>automatically</w:t>
      </w:r>
      <w:r>
        <w:rPr>
          <w:spacing w:val="-2"/>
        </w:rPr>
        <w:t xml:space="preserve"> </w:t>
      </w:r>
      <w:r>
        <w:rPr>
          <w:spacing w:val="-1"/>
        </w:rPr>
        <w:t>on</w:t>
      </w:r>
      <w:r>
        <w:t xml:space="preserve"> the </w:t>
      </w:r>
      <w:r>
        <w:rPr>
          <w:spacing w:val="-2"/>
        </w:rPr>
        <w:t>Call</w:t>
      </w:r>
      <w:r>
        <w:t xml:space="preserve"> </w:t>
      </w:r>
      <w:r>
        <w:rPr>
          <w:spacing w:val="-1"/>
        </w:rPr>
        <w:t>Off</w:t>
      </w:r>
      <w:r>
        <w:t xml:space="preserve"> </w:t>
      </w:r>
      <w:r>
        <w:rPr>
          <w:spacing w:val="-2"/>
        </w:rPr>
        <w:t xml:space="preserve">Expiry </w:t>
      </w:r>
      <w:r>
        <w:rPr>
          <w:spacing w:val="-1"/>
        </w:rPr>
        <w:t>Date</w:t>
      </w:r>
      <w:r>
        <w:rPr>
          <w:spacing w:val="1"/>
        </w:rPr>
        <w:t xml:space="preserve"> </w:t>
      </w:r>
      <w:r>
        <w:rPr>
          <w:spacing w:val="-1"/>
        </w:rPr>
        <w:t>and</w:t>
      </w:r>
      <w:r>
        <w:rPr>
          <w:spacing w:val="-2"/>
        </w:rPr>
        <w:t xml:space="preserve"> </w:t>
      </w:r>
      <w:r>
        <w:t>the</w:t>
      </w:r>
      <w:r>
        <w:rPr>
          <w:spacing w:val="-2"/>
        </w:rPr>
        <w:t xml:space="preserve"> Supplier</w:t>
      </w:r>
      <w:r>
        <w:rPr>
          <w:spacing w:val="2"/>
        </w:rPr>
        <w:t xml:space="preserve"> </w:t>
      </w:r>
      <w:r>
        <w:rPr>
          <w:spacing w:val="-1"/>
        </w:rPr>
        <w:t>shall:</w:t>
      </w:r>
    </w:p>
    <w:p w:rsidR="008918FA" w:rsidRDefault="008918FA" w:rsidP="008918FA">
      <w:pPr>
        <w:pStyle w:val="BodyText"/>
        <w:numPr>
          <w:ilvl w:val="3"/>
          <w:numId w:val="66"/>
        </w:numPr>
        <w:tabs>
          <w:tab w:val="left" w:pos="2594"/>
        </w:tabs>
        <w:spacing w:before="121"/>
        <w:ind w:left="2593" w:right="112"/>
        <w:jc w:val="both"/>
      </w:pPr>
      <w:r>
        <w:rPr>
          <w:spacing w:val="-1"/>
        </w:rPr>
        <w:t>immediately</w:t>
      </w:r>
      <w:r>
        <w:rPr>
          <w:spacing w:val="-2"/>
        </w:rPr>
        <w:t xml:space="preserve"> </w:t>
      </w:r>
      <w:r>
        <w:rPr>
          <w:spacing w:val="-1"/>
        </w:rPr>
        <w:t>cease</w:t>
      </w:r>
      <w:r>
        <w:rPr>
          <w:spacing w:val="1"/>
        </w:rPr>
        <w:t xml:space="preserve"> </w:t>
      </w:r>
      <w:r>
        <w:rPr>
          <w:spacing w:val="-1"/>
        </w:rPr>
        <w:t>all</w:t>
      </w:r>
      <w:r>
        <w:t xml:space="preserve"> </w:t>
      </w:r>
      <w:r>
        <w:rPr>
          <w:spacing w:val="-1"/>
        </w:rPr>
        <w:t>use</w:t>
      </w:r>
      <w:r>
        <w:rPr>
          <w:spacing w:val="1"/>
        </w:rPr>
        <w:t xml:space="preserve"> </w:t>
      </w:r>
      <w:r>
        <w:rPr>
          <w:spacing w:val="-2"/>
        </w:rPr>
        <w:t>of</w:t>
      </w:r>
      <w:r>
        <w:rPr>
          <w:spacing w:val="4"/>
        </w:rPr>
        <w:t xml:space="preserve"> </w:t>
      </w:r>
      <w:r>
        <w:t>the</w:t>
      </w:r>
      <w:r>
        <w:rPr>
          <w:spacing w:val="-2"/>
        </w:rPr>
        <w:t xml:space="preserve"> </w:t>
      </w:r>
      <w:r>
        <w:rPr>
          <w:spacing w:val="-1"/>
        </w:rPr>
        <w:t>Customer</w:t>
      </w:r>
      <w:r>
        <w:rPr>
          <w:spacing w:val="2"/>
        </w:rPr>
        <w:t xml:space="preserve"> </w:t>
      </w:r>
      <w:r>
        <w:rPr>
          <w:spacing w:val="-4"/>
        </w:rPr>
        <w:t>Background</w:t>
      </w:r>
      <w:r>
        <w:rPr>
          <w:spacing w:val="-1"/>
        </w:rPr>
        <w:t xml:space="preserve"> </w:t>
      </w:r>
      <w:r>
        <w:t xml:space="preserve">IPR </w:t>
      </w:r>
      <w:r>
        <w:rPr>
          <w:spacing w:val="-1"/>
        </w:rPr>
        <w:t>and</w:t>
      </w:r>
      <w:r>
        <w:rPr>
          <w:spacing w:val="20"/>
        </w:rPr>
        <w:t xml:space="preserve"> </w:t>
      </w:r>
      <w:r>
        <w:t xml:space="preserve">the </w:t>
      </w:r>
      <w:r>
        <w:rPr>
          <w:spacing w:val="-2"/>
        </w:rPr>
        <w:t>Customer</w:t>
      </w:r>
      <w:r>
        <w:rPr>
          <w:spacing w:val="2"/>
        </w:rPr>
        <w:t xml:space="preserve"> </w:t>
      </w:r>
      <w:r>
        <w:rPr>
          <w:spacing w:val="-1"/>
        </w:rPr>
        <w:t>Data</w:t>
      </w:r>
      <w:r>
        <w:rPr>
          <w:spacing w:val="-2"/>
        </w:rPr>
        <w:t xml:space="preserve"> </w:t>
      </w:r>
      <w:r>
        <w:rPr>
          <w:spacing w:val="-1"/>
        </w:rPr>
        <w:t>(as</w:t>
      </w:r>
      <w:r>
        <w:rPr>
          <w:spacing w:val="-2"/>
        </w:rPr>
        <w:t xml:space="preserve"> </w:t>
      </w:r>
      <w:r>
        <w:rPr>
          <w:spacing w:val="-1"/>
        </w:rPr>
        <w:t>the</w:t>
      </w:r>
      <w:r>
        <w:t xml:space="preserve"> </w:t>
      </w:r>
      <w:r>
        <w:rPr>
          <w:spacing w:val="-1"/>
        </w:rPr>
        <w:t>case</w:t>
      </w:r>
      <w:r>
        <w:rPr>
          <w:spacing w:val="-2"/>
        </w:rPr>
        <w:t xml:space="preserve"> </w:t>
      </w:r>
      <w:r>
        <w:rPr>
          <w:spacing w:val="-1"/>
        </w:rPr>
        <w:t>may</w:t>
      </w:r>
      <w:r>
        <w:rPr>
          <w:spacing w:val="-2"/>
        </w:rPr>
        <w:t xml:space="preserve"> </w:t>
      </w:r>
      <w:r>
        <w:rPr>
          <w:spacing w:val="-1"/>
        </w:rPr>
        <w:t>be);</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3"/>
          <w:numId w:val="66"/>
        </w:numPr>
        <w:tabs>
          <w:tab w:val="left" w:pos="2935"/>
        </w:tabs>
        <w:spacing w:before="59"/>
        <w:ind w:left="2934" w:right="112"/>
        <w:jc w:val="both"/>
      </w:pPr>
      <w:bookmarkStart w:id="206" w:name="34._SECURITY_AND_PROTECTION_OF_INFORMATI"/>
      <w:bookmarkEnd w:id="206"/>
      <w:r>
        <w:rPr>
          <w:spacing w:val="-1"/>
        </w:rPr>
        <w:t>at</w:t>
      </w:r>
      <w:r>
        <w:rPr>
          <w:spacing w:val="19"/>
        </w:rPr>
        <w:t xml:space="preserve"> </w:t>
      </w:r>
      <w:r>
        <w:t>the</w:t>
      </w:r>
      <w:r>
        <w:rPr>
          <w:spacing w:val="17"/>
        </w:rPr>
        <w:t xml:space="preserve"> </w:t>
      </w:r>
      <w:r>
        <w:rPr>
          <w:spacing w:val="-1"/>
        </w:rPr>
        <w:t>discretion</w:t>
      </w:r>
      <w:r>
        <w:rPr>
          <w:spacing w:val="17"/>
        </w:rPr>
        <w:t xml:space="preserve"> </w:t>
      </w:r>
      <w:r>
        <w:rPr>
          <w:spacing w:val="-2"/>
        </w:rPr>
        <w:t>of</w:t>
      </w:r>
      <w:r>
        <w:rPr>
          <w:spacing w:val="19"/>
        </w:rPr>
        <w:t xml:space="preserve"> </w:t>
      </w:r>
      <w:r>
        <w:t>the</w:t>
      </w:r>
      <w:r>
        <w:rPr>
          <w:spacing w:val="15"/>
        </w:rPr>
        <w:t xml:space="preserve"> </w:t>
      </w:r>
      <w:r>
        <w:rPr>
          <w:spacing w:val="-1"/>
        </w:rPr>
        <w:t>Customer,</w:t>
      </w:r>
      <w:r>
        <w:rPr>
          <w:spacing w:val="16"/>
        </w:rPr>
        <w:t xml:space="preserve"> </w:t>
      </w:r>
      <w:r>
        <w:rPr>
          <w:spacing w:val="-1"/>
        </w:rPr>
        <w:t>return</w:t>
      </w:r>
      <w:r>
        <w:rPr>
          <w:spacing w:val="17"/>
        </w:rPr>
        <w:t xml:space="preserve"> </w:t>
      </w:r>
      <w:r>
        <w:rPr>
          <w:spacing w:val="-1"/>
        </w:rPr>
        <w:t>or</w:t>
      </w:r>
      <w:r>
        <w:rPr>
          <w:spacing w:val="19"/>
        </w:rPr>
        <w:t xml:space="preserve"> </w:t>
      </w:r>
      <w:r>
        <w:rPr>
          <w:spacing w:val="-2"/>
        </w:rPr>
        <w:t>destroy</w:t>
      </w:r>
      <w:r>
        <w:rPr>
          <w:spacing w:val="15"/>
        </w:rPr>
        <w:t xml:space="preserve"> </w:t>
      </w:r>
      <w:r>
        <w:rPr>
          <w:spacing w:val="-1"/>
        </w:rPr>
        <w:t>documents</w:t>
      </w:r>
      <w:r>
        <w:rPr>
          <w:spacing w:val="41"/>
        </w:rPr>
        <w:t xml:space="preserve"> </w:t>
      </w:r>
      <w:r>
        <w:rPr>
          <w:spacing w:val="-1"/>
        </w:rPr>
        <w:t>and</w:t>
      </w:r>
      <w:r>
        <w:rPr>
          <w:spacing w:val="27"/>
        </w:rPr>
        <w:t xml:space="preserve"> </w:t>
      </w:r>
      <w:r>
        <w:rPr>
          <w:spacing w:val="-1"/>
        </w:rPr>
        <w:t>other</w:t>
      </w:r>
      <w:r>
        <w:rPr>
          <w:spacing w:val="28"/>
        </w:rPr>
        <w:t xml:space="preserve"> </w:t>
      </w:r>
      <w:r>
        <w:rPr>
          <w:spacing w:val="-1"/>
        </w:rPr>
        <w:t>tangible</w:t>
      </w:r>
      <w:r>
        <w:rPr>
          <w:spacing w:val="27"/>
        </w:rPr>
        <w:t xml:space="preserve"> </w:t>
      </w:r>
      <w:r>
        <w:rPr>
          <w:spacing w:val="-1"/>
        </w:rPr>
        <w:t>materials</w:t>
      </w:r>
      <w:r>
        <w:rPr>
          <w:spacing w:val="27"/>
        </w:rPr>
        <w:t xml:space="preserve"> </w:t>
      </w:r>
      <w:r>
        <w:rPr>
          <w:spacing w:val="-1"/>
        </w:rPr>
        <w:t>that</w:t>
      </w:r>
      <w:r>
        <w:rPr>
          <w:spacing w:val="28"/>
        </w:rPr>
        <w:t xml:space="preserve"> </w:t>
      </w:r>
      <w:r>
        <w:rPr>
          <w:spacing w:val="-1"/>
        </w:rPr>
        <w:t>contain</w:t>
      </w:r>
      <w:r>
        <w:rPr>
          <w:spacing w:val="27"/>
        </w:rPr>
        <w:t xml:space="preserve"> </w:t>
      </w:r>
      <w:r>
        <w:rPr>
          <w:spacing w:val="-1"/>
        </w:rPr>
        <w:t>any</w:t>
      </w:r>
      <w:r>
        <w:rPr>
          <w:spacing w:val="25"/>
        </w:rPr>
        <w:t xml:space="preserve"> </w:t>
      </w:r>
      <w:r>
        <w:rPr>
          <w:spacing w:val="-1"/>
        </w:rPr>
        <w:t>of</w:t>
      </w:r>
      <w:r>
        <w:rPr>
          <w:spacing w:val="30"/>
        </w:rPr>
        <w:t xml:space="preserve"> </w:t>
      </w:r>
      <w:r>
        <w:t>the</w:t>
      </w:r>
      <w:r>
        <w:rPr>
          <w:spacing w:val="27"/>
        </w:rPr>
        <w:t xml:space="preserve"> </w:t>
      </w:r>
      <w:r>
        <w:rPr>
          <w:spacing w:val="-1"/>
        </w:rPr>
        <w:t>Customer</w:t>
      </w:r>
      <w:r>
        <w:rPr>
          <w:spacing w:val="34"/>
        </w:rPr>
        <w:t xml:space="preserve"> </w:t>
      </w:r>
      <w:r>
        <w:rPr>
          <w:spacing w:val="-1"/>
        </w:rPr>
        <w:t>Background</w:t>
      </w:r>
      <w:r>
        <w:rPr>
          <w:spacing w:val="36"/>
        </w:rPr>
        <w:t xml:space="preserve"> </w:t>
      </w:r>
      <w:r>
        <w:t>IPR</w:t>
      </w:r>
      <w:r>
        <w:rPr>
          <w:spacing w:val="36"/>
        </w:rPr>
        <w:t xml:space="preserve"> </w:t>
      </w:r>
      <w:r>
        <w:rPr>
          <w:spacing w:val="-1"/>
        </w:rPr>
        <w:t>and</w:t>
      </w:r>
      <w:r>
        <w:rPr>
          <w:spacing w:val="36"/>
        </w:rPr>
        <w:t xml:space="preserve"> </w:t>
      </w:r>
      <w:r>
        <w:t>the</w:t>
      </w:r>
      <w:r>
        <w:rPr>
          <w:spacing w:val="36"/>
        </w:rPr>
        <w:t xml:space="preserve"> </w:t>
      </w:r>
      <w:r>
        <w:rPr>
          <w:spacing w:val="-1"/>
        </w:rPr>
        <w:t>Customer</w:t>
      </w:r>
      <w:r>
        <w:rPr>
          <w:spacing w:val="38"/>
        </w:rPr>
        <w:t xml:space="preserve"> </w:t>
      </w:r>
      <w:r>
        <w:rPr>
          <w:spacing w:val="-1"/>
        </w:rPr>
        <w:t>Data,</w:t>
      </w:r>
      <w:r>
        <w:rPr>
          <w:spacing w:val="38"/>
        </w:rPr>
        <w:t xml:space="preserve"> </w:t>
      </w:r>
      <w:r>
        <w:rPr>
          <w:spacing w:val="-2"/>
        </w:rPr>
        <w:t>provided</w:t>
      </w:r>
      <w:r>
        <w:rPr>
          <w:spacing w:val="37"/>
        </w:rPr>
        <w:t xml:space="preserve"> </w:t>
      </w:r>
      <w:r>
        <w:rPr>
          <w:spacing w:val="-1"/>
        </w:rPr>
        <w:t>that</w:t>
      </w:r>
      <w:r>
        <w:rPr>
          <w:spacing w:val="38"/>
        </w:rPr>
        <w:t xml:space="preserve"> </w:t>
      </w:r>
      <w:r>
        <w:rPr>
          <w:spacing w:val="-1"/>
        </w:rPr>
        <w:t>if</w:t>
      </w:r>
      <w:r>
        <w:rPr>
          <w:spacing w:val="40"/>
        </w:rPr>
        <w:t xml:space="preserve"> </w:t>
      </w:r>
      <w:r>
        <w:rPr>
          <w:spacing w:val="-2"/>
        </w:rPr>
        <w:t>the</w:t>
      </w:r>
      <w:r>
        <w:rPr>
          <w:spacing w:val="38"/>
        </w:rPr>
        <w:t xml:space="preserve"> </w:t>
      </w:r>
      <w:r>
        <w:rPr>
          <w:spacing w:val="-1"/>
        </w:rPr>
        <w:t>Customer</w:t>
      </w:r>
      <w:r>
        <w:rPr>
          <w:spacing w:val="40"/>
        </w:rPr>
        <w:t xml:space="preserve"> </w:t>
      </w:r>
      <w:r>
        <w:rPr>
          <w:spacing w:val="-1"/>
        </w:rPr>
        <w:t>has</w:t>
      </w:r>
      <w:r>
        <w:rPr>
          <w:spacing w:val="39"/>
        </w:rPr>
        <w:t xml:space="preserve"> </w:t>
      </w:r>
      <w:r>
        <w:rPr>
          <w:spacing w:val="-2"/>
        </w:rPr>
        <w:t>not</w:t>
      </w:r>
      <w:r>
        <w:rPr>
          <w:spacing w:val="40"/>
        </w:rPr>
        <w:t xml:space="preserve"> </w:t>
      </w:r>
      <w:r>
        <w:rPr>
          <w:spacing w:val="-1"/>
        </w:rPr>
        <w:t>made</w:t>
      </w:r>
      <w:r>
        <w:rPr>
          <w:spacing w:val="38"/>
        </w:rPr>
        <w:t xml:space="preserve"> </w:t>
      </w:r>
      <w:r>
        <w:rPr>
          <w:spacing w:val="-1"/>
        </w:rPr>
        <w:t>an</w:t>
      </w:r>
      <w:r>
        <w:rPr>
          <w:spacing w:val="38"/>
        </w:rPr>
        <w:t xml:space="preserve"> </w:t>
      </w:r>
      <w:r>
        <w:rPr>
          <w:spacing w:val="-1"/>
        </w:rPr>
        <w:t>election</w:t>
      </w:r>
      <w:r>
        <w:rPr>
          <w:spacing w:val="38"/>
        </w:rPr>
        <w:t xml:space="preserve"> </w:t>
      </w:r>
      <w:r>
        <w:rPr>
          <w:spacing w:val="-2"/>
        </w:rPr>
        <w:t>within</w:t>
      </w:r>
      <w:r>
        <w:rPr>
          <w:spacing w:val="40"/>
        </w:rPr>
        <w:t xml:space="preserve"> </w:t>
      </w:r>
      <w:r>
        <w:t>six</w:t>
      </w:r>
      <w:r>
        <w:rPr>
          <w:spacing w:val="39"/>
        </w:rPr>
        <w:t xml:space="preserve"> </w:t>
      </w:r>
      <w:r>
        <w:rPr>
          <w:spacing w:val="-1"/>
        </w:rPr>
        <w:t>months</w:t>
      </w:r>
      <w:r>
        <w:rPr>
          <w:spacing w:val="36"/>
        </w:rPr>
        <w:t xml:space="preserve"> </w:t>
      </w:r>
      <w:r>
        <w:rPr>
          <w:spacing w:val="-2"/>
        </w:rPr>
        <w:t>of</w:t>
      </w:r>
      <w:r>
        <w:rPr>
          <w:spacing w:val="40"/>
        </w:rPr>
        <w:t xml:space="preserve"> </w:t>
      </w:r>
      <w:r>
        <w:rPr>
          <w:spacing w:val="-1"/>
        </w:rPr>
        <w:t>the</w:t>
      </w:r>
      <w:r>
        <w:rPr>
          <w:spacing w:val="34"/>
        </w:rPr>
        <w:t xml:space="preserve"> </w:t>
      </w:r>
      <w:r>
        <w:rPr>
          <w:spacing w:val="-4"/>
        </w:rPr>
        <w:t>termination</w:t>
      </w:r>
      <w:r>
        <w:rPr>
          <w:spacing w:val="45"/>
        </w:rPr>
        <w:t xml:space="preserve"> </w:t>
      </w:r>
      <w:r>
        <w:rPr>
          <w:spacing w:val="-2"/>
        </w:rPr>
        <w:t>of</w:t>
      </w:r>
      <w:r>
        <w:rPr>
          <w:spacing w:val="48"/>
        </w:rPr>
        <w:t xml:space="preserve"> </w:t>
      </w:r>
      <w:r>
        <w:t>the</w:t>
      </w:r>
      <w:r>
        <w:rPr>
          <w:spacing w:val="47"/>
        </w:rPr>
        <w:t xml:space="preserve"> </w:t>
      </w:r>
      <w:r>
        <w:rPr>
          <w:spacing w:val="-1"/>
        </w:rPr>
        <w:t>licence,</w:t>
      </w:r>
      <w:r>
        <w:rPr>
          <w:spacing w:val="49"/>
        </w:rPr>
        <w:t xml:space="preserve"> </w:t>
      </w:r>
      <w:r>
        <w:t>the</w:t>
      </w:r>
      <w:r>
        <w:rPr>
          <w:spacing w:val="47"/>
        </w:rPr>
        <w:t xml:space="preserve"> </w:t>
      </w:r>
      <w:r>
        <w:rPr>
          <w:spacing w:val="-2"/>
        </w:rPr>
        <w:t>Supplier</w:t>
      </w:r>
      <w:r>
        <w:rPr>
          <w:spacing w:val="48"/>
        </w:rPr>
        <w:t xml:space="preserve"> </w:t>
      </w:r>
      <w:r>
        <w:rPr>
          <w:spacing w:val="-1"/>
        </w:rPr>
        <w:t>may</w:t>
      </w:r>
      <w:r>
        <w:rPr>
          <w:spacing w:val="46"/>
        </w:rPr>
        <w:t xml:space="preserve"> </w:t>
      </w:r>
      <w:r>
        <w:rPr>
          <w:spacing w:val="-1"/>
        </w:rPr>
        <w:t>destroy</w:t>
      </w:r>
      <w:r>
        <w:rPr>
          <w:spacing w:val="45"/>
        </w:rPr>
        <w:t xml:space="preserve"> </w:t>
      </w:r>
      <w:r>
        <w:rPr>
          <w:spacing w:val="-1"/>
        </w:rPr>
        <w:t>the</w:t>
      </w:r>
      <w:r>
        <w:rPr>
          <w:spacing w:val="46"/>
        </w:rPr>
        <w:t xml:space="preserve"> </w:t>
      </w:r>
      <w:r>
        <w:rPr>
          <w:spacing w:val="-1"/>
        </w:rPr>
        <w:t>documents</w:t>
      </w:r>
      <w:r>
        <w:rPr>
          <w:spacing w:val="15"/>
        </w:rPr>
        <w:t xml:space="preserve"> </w:t>
      </w:r>
      <w:r>
        <w:rPr>
          <w:spacing w:val="-1"/>
        </w:rPr>
        <w:t>and</w:t>
      </w:r>
      <w:r>
        <w:rPr>
          <w:spacing w:val="15"/>
        </w:rPr>
        <w:t xml:space="preserve"> </w:t>
      </w:r>
      <w:r>
        <w:rPr>
          <w:spacing w:val="-1"/>
        </w:rPr>
        <w:t>other</w:t>
      </w:r>
      <w:r>
        <w:rPr>
          <w:spacing w:val="14"/>
        </w:rPr>
        <w:t xml:space="preserve"> </w:t>
      </w:r>
      <w:r>
        <w:rPr>
          <w:spacing w:val="-1"/>
        </w:rPr>
        <w:t>tangible</w:t>
      </w:r>
      <w:r>
        <w:rPr>
          <w:spacing w:val="15"/>
        </w:rPr>
        <w:t xml:space="preserve"> </w:t>
      </w:r>
      <w:r>
        <w:rPr>
          <w:spacing w:val="-1"/>
        </w:rPr>
        <w:t>materials</w:t>
      </w:r>
      <w:r>
        <w:rPr>
          <w:spacing w:val="15"/>
        </w:rPr>
        <w:t xml:space="preserve"> </w:t>
      </w:r>
      <w:r>
        <w:rPr>
          <w:spacing w:val="-1"/>
        </w:rPr>
        <w:t>that</w:t>
      </w:r>
      <w:r>
        <w:rPr>
          <w:spacing w:val="16"/>
        </w:rPr>
        <w:t xml:space="preserve"> </w:t>
      </w:r>
      <w:r>
        <w:rPr>
          <w:spacing w:val="-1"/>
        </w:rPr>
        <w:t>contain</w:t>
      </w:r>
      <w:r>
        <w:rPr>
          <w:spacing w:val="15"/>
        </w:rPr>
        <w:t xml:space="preserve"> </w:t>
      </w:r>
      <w:r>
        <w:rPr>
          <w:spacing w:val="-1"/>
        </w:rPr>
        <w:t>any</w:t>
      </w:r>
      <w:r>
        <w:rPr>
          <w:spacing w:val="13"/>
        </w:rPr>
        <w:t xml:space="preserve"> </w:t>
      </w:r>
      <w:r>
        <w:rPr>
          <w:spacing w:val="-1"/>
        </w:rPr>
        <w:t>of</w:t>
      </w:r>
      <w:r>
        <w:rPr>
          <w:spacing w:val="16"/>
        </w:rPr>
        <w:t xml:space="preserve"> </w:t>
      </w:r>
      <w:r>
        <w:rPr>
          <w:spacing w:val="-1"/>
        </w:rPr>
        <w:t>the</w:t>
      </w:r>
      <w:r>
        <w:rPr>
          <w:spacing w:val="26"/>
        </w:rPr>
        <w:t xml:space="preserve"> </w:t>
      </w:r>
      <w:r>
        <w:rPr>
          <w:spacing w:val="-1"/>
        </w:rPr>
        <w:t>Customer</w:t>
      </w:r>
      <w:r>
        <w:rPr>
          <w:spacing w:val="2"/>
        </w:rPr>
        <w:t xml:space="preserve"> </w:t>
      </w:r>
      <w:r>
        <w:rPr>
          <w:spacing w:val="-1"/>
        </w:rPr>
        <w:t>Background</w:t>
      </w:r>
      <w:r>
        <w:rPr>
          <w:spacing w:val="-2"/>
        </w:rPr>
        <w:t xml:space="preserve"> </w:t>
      </w:r>
      <w:r>
        <w:rPr>
          <w:spacing w:val="-1"/>
        </w:rPr>
        <w:t>IPR</w:t>
      </w:r>
      <w:r>
        <w:t xml:space="preserve"> </w:t>
      </w:r>
      <w:r>
        <w:rPr>
          <w:spacing w:val="-1"/>
        </w:rPr>
        <w:t>and</w:t>
      </w:r>
      <w:r>
        <w:t xml:space="preserve"> the </w:t>
      </w:r>
      <w:r>
        <w:rPr>
          <w:spacing w:val="-2"/>
        </w:rPr>
        <w:t>Customer</w:t>
      </w:r>
      <w:r>
        <w:rPr>
          <w:spacing w:val="2"/>
        </w:rPr>
        <w:t xml:space="preserve"> </w:t>
      </w:r>
      <w:r>
        <w:rPr>
          <w:spacing w:val="-1"/>
        </w:rPr>
        <w:t>Data</w:t>
      </w:r>
      <w:r>
        <w:t xml:space="preserve"> </w:t>
      </w:r>
      <w:r>
        <w:rPr>
          <w:spacing w:val="-1"/>
        </w:rPr>
        <w:t>(as</w:t>
      </w:r>
      <w:r>
        <w:rPr>
          <w:spacing w:val="-2"/>
        </w:rPr>
        <w:t xml:space="preserve"> </w:t>
      </w:r>
      <w:r>
        <w:t xml:space="preserve">the </w:t>
      </w:r>
      <w:r>
        <w:rPr>
          <w:spacing w:val="-1"/>
        </w:rPr>
        <w:t>case</w:t>
      </w:r>
      <w:r>
        <w:rPr>
          <w:spacing w:val="22"/>
        </w:rPr>
        <w:t xml:space="preserve"> </w:t>
      </w:r>
      <w:r>
        <w:rPr>
          <w:spacing w:val="-1"/>
        </w:rPr>
        <w:t>may</w:t>
      </w:r>
      <w:r>
        <w:rPr>
          <w:spacing w:val="-2"/>
        </w:rPr>
        <w:t xml:space="preserve"> </w:t>
      </w:r>
      <w:r>
        <w:rPr>
          <w:spacing w:val="-1"/>
        </w:rPr>
        <w:t>be);</w:t>
      </w:r>
      <w:r>
        <w:t xml:space="preserve"> </w:t>
      </w:r>
      <w:r>
        <w:rPr>
          <w:spacing w:val="-1"/>
        </w:rPr>
        <w:t>and</w:t>
      </w:r>
    </w:p>
    <w:p w:rsidR="008918FA" w:rsidRDefault="008918FA" w:rsidP="008918FA">
      <w:pPr>
        <w:pStyle w:val="BodyText"/>
        <w:numPr>
          <w:ilvl w:val="3"/>
          <w:numId w:val="66"/>
        </w:numPr>
        <w:tabs>
          <w:tab w:val="left" w:pos="2934"/>
        </w:tabs>
        <w:ind w:left="2933" w:right="114" w:hanging="707"/>
        <w:jc w:val="both"/>
      </w:pPr>
      <w:r>
        <w:rPr>
          <w:spacing w:val="-1"/>
        </w:rPr>
        <w:t>ensure,</w:t>
      </w:r>
      <w:r>
        <w:rPr>
          <w:spacing w:val="38"/>
        </w:rPr>
        <w:t xml:space="preserve"> </w:t>
      </w:r>
      <w:r>
        <w:rPr>
          <w:spacing w:val="-2"/>
        </w:rPr>
        <w:t>so</w:t>
      </w:r>
      <w:r>
        <w:rPr>
          <w:spacing w:val="34"/>
        </w:rPr>
        <w:t xml:space="preserve"> </w:t>
      </w:r>
      <w:r>
        <w:t>far</w:t>
      </w:r>
      <w:r>
        <w:rPr>
          <w:spacing w:val="38"/>
        </w:rPr>
        <w:t xml:space="preserve"> </w:t>
      </w:r>
      <w:r>
        <w:rPr>
          <w:spacing w:val="-1"/>
        </w:rPr>
        <w:t>as</w:t>
      </w:r>
      <w:r>
        <w:rPr>
          <w:spacing w:val="37"/>
        </w:rPr>
        <w:t xml:space="preserve"> </w:t>
      </w:r>
      <w:r>
        <w:rPr>
          <w:spacing w:val="-2"/>
        </w:rPr>
        <w:t>reasonably</w:t>
      </w:r>
      <w:r>
        <w:rPr>
          <w:spacing w:val="34"/>
        </w:rPr>
        <w:t xml:space="preserve"> </w:t>
      </w:r>
      <w:r>
        <w:rPr>
          <w:spacing w:val="-1"/>
        </w:rPr>
        <w:t>practicable,</w:t>
      </w:r>
      <w:r>
        <w:rPr>
          <w:spacing w:val="38"/>
        </w:rPr>
        <w:t xml:space="preserve"> </w:t>
      </w:r>
      <w:r>
        <w:rPr>
          <w:spacing w:val="-1"/>
        </w:rPr>
        <w:t>that</w:t>
      </w:r>
      <w:r>
        <w:rPr>
          <w:spacing w:val="39"/>
        </w:rPr>
        <w:t xml:space="preserve"> </w:t>
      </w:r>
      <w:r>
        <w:rPr>
          <w:spacing w:val="-2"/>
        </w:rPr>
        <w:t>any</w:t>
      </w:r>
      <w:r>
        <w:rPr>
          <w:spacing w:val="11"/>
        </w:rPr>
        <w:t xml:space="preserve"> </w:t>
      </w:r>
      <w:r>
        <w:rPr>
          <w:spacing w:val="-1"/>
        </w:rPr>
        <w:t>Customer</w:t>
      </w:r>
      <w:r>
        <w:rPr>
          <w:spacing w:val="44"/>
        </w:rPr>
        <w:t xml:space="preserve"> </w:t>
      </w:r>
      <w:r>
        <w:rPr>
          <w:spacing w:val="-1"/>
        </w:rPr>
        <w:t>Background</w:t>
      </w:r>
      <w:r>
        <w:rPr>
          <w:spacing w:val="5"/>
        </w:rPr>
        <w:t xml:space="preserve"> </w:t>
      </w:r>
      <w:r>
        <w:t>IPR</w:t>
      </w:r>
      <w:r>
        <w:rPr>
          <w:spacing w:val="4"/>
        </w:rPr>
        <w:t xml:space="preserve"> </w:t>
      </w:r>
      <w:r>
        <w:rPr>
          <w:spacing w:val="-1"/>
        </w:rPr>
        <w:t>and</w:t>
      </w:r>
      <w:r>
        <w:rPr>
          <w:spacing w:val="5"/>
        </w:rPr>
        <w:t xml:space="preserve"> </w:t>
      </w:r>
      <w:r>
        <w:rPr>
          <w:spacing w:val="-1"/>
        </w:rPr>
        <w:t>Customer</w:t>
      </w:r>
      <w:r>
        <w:rPr>
          <w:spacing w:val="6"/>
        </w:rPr>
        <w:t xml:space="preserve"> </w:t>
      </w:r>
      <w:r>
        <w:rPr>
          <w:spacing w:val="-1"/>
        </w:rPr>
        <w:t>Data</w:t>
      </w:r>
      <w:r>
        <w:rPr>
          <w:spacing w:val="5"/>
        </w:rPr>
        <w:t xml:space="preserve"> </w:t>
      </w:r>
      <w:r>
        <w:rPr>
          <w:spacing w:val="-1"/>
        </w:rPr>
        <w:t>that</w:t>
      </w:r>
      <w:r>
        <w:rPr>
          <w:spacing w:val="7"/>
        </w:rPr>
        <w:t xml:space="preserve"> </w:t>
      </w:r>
      <w:r>
        <w:rPr>
          <w:spacing w:val="-1"/>
        </w:rPr>
        <w:t>are</w:t>
      </w:r>
      <w:r>
        <w:rPr>
          <w:spacing w:val="5"/>
        </w:rPr>
        <w:t xml:space="preserve"> </w:t>
      </w:r>
      <w:r>
        <w:rPr>
          <w:spacing w:val="-2"/>
        </w:rPr>
        <w:t>held</w:t>
      </w:r>
      <w:r>
        <w:rPr>
          <w:spacing w:val="5"/>
        </w:rPr>
        <w:t xml:space="preserve"> </w:t>
      </w:r>
      <w:r>
        <w:rPr>
          <w:spacing w:val="-1"/>
        </w:rPr>
        <w:t>in</w:t>
      </w:r>
      <w:r>
        <w:rPr>
          <w:spacing w:val="5"/>
        </w:rPr>
        <w:t xml:space="preserve"> </w:t>
      </w:r>
      <w:r>
        <w:rPr>
          <w:spacing w:val="-1"/>
        </w:rPr>
        <w:t>electronic,</w:t>
      </w:r>
      <w:r>
        <w:rPr>
          <w:spacing w:val="44"/>
        </w:rPr>
        <w:t xml:space="preserve"> </w:t>
      </w:r>
      <w:r>
        <w:rPr>
          <w:spacing w:val="-1"/>
        </w:rPr>
        <w:t>digital</w:t>
      </w:r>
      <w:r>
        <w:rPr>
          <w:spacing w:val="59"/>
        </w:rPr>
        <w:t xml:space="preserve"> </w:t>
      </w:r>
      <w:r>
        <w:rPr>
          <w:spacing w:val="-1"/>
        </w:rPr>
        <w:t>or</w:t>
      </w:r>
      <w:r>
        <w:t xml:space="preserve">  </w:t>
      </w:r>
      <w:r>
        <w:rPr>
          <w:spacing w:val="-1"/>
        </w:rPr>
        <w:t>other</w:t>
      </w:r>
      <w:r>
        <w:t xml:space="preserve"> </w:t>
      </w:r>
      <w:r>
        <w:rPr>
          <w:spacing w:val="-1"/>
        </w:rPr>
        <w:t>machine-readable</w:t>
      </w:r>
      <w:r>
        <w:rPr>
          <w:spacing w:val="58"/>
        </w:rPr>
        <w:t xml:space="preserve"> </w:t>
      </w:r>
      <w:r>
        <w:t>form</w:t>
      </w:r>
      <w:r>
        <w:rPr>
          <w:spacing w:val="1"/>
        </w:rPr>
        <w:t xml:space="preserve"> </w:t>
      </w:r>
      <w:r>
        <w:rPr>
          <w:spacing w:val="-4"/>
        </w:rPr>
        <w:t>ceases</w:t>
      </w:r>
      <w:r>
        <w:rPr>
          <w:spacing w:val="56"/>
        </w:rPr>
        <w:t xml:space="preserve"> </w:t>
      </w:r>
      <w:r>
        <w:t>to</w:t>
      </w:r>
      <w:r>
        <w:rPr>
          <w:spacing w:val="60"/>
        </w:rPr>
        <w:t xml:space="preserve"> </w:t>
      </w:r>
      <w:r>
        <w:rPr>
          <w:spacing w:val="-1"/>
        </w:rPr>
        <w:t>be</w:t>
      </w:r>
      <w:r>
        <w:rPr>
          <w:spacing w:val="60"/>
        </w:rPr>
        <w:t xml:space="preserve"> </w:t>
      </w:r>
      <w:r>
        <w:rPr>
          <w:spacing w:val="-1"/>
        </w:rPr>
        <w:t>readily</w:t>
      </w:r>
      <w:r>
        <w:rPr>
          <w:spacing w:val="39"/>
        </w:rPr>
        <w:t xml:space="preserve"> </w:t>
      </w:r>
      <w:r>
        <w:rPr>
          <w:spacing w:val="-1"/>
        </w:rPr>
        <w:t>accessible</w:t>
      </w:r>
      <w:r>
        <w:rPr>
          <w:spacing w:val="42"/>
        </w:rPr>
        <w:t xml:space="preserve"> </w:t>
      </w:r>
      <w:r>
        <w:rPr>
          <w:spacing w:val="-1"/>
        </w:rPr>
        <w:t>from</w:t>
      </w:r>
      <w:r>
        <w:rPr>
          <w:spacing w:val="44"/>
        </w:rPr>
        <w:t xml:space="preserve"> </w:t>
      </w:r>
      <w:r>
        <w:rPr>
          <w:spacing w:val="-1"/>
        </w:rPr>
        <w:t>any</w:t>
      </w:r>
      <w:r>
        <w:rPr>
          <w:spacing w:val="40"/>
        </w:rPr>
        <w:t xml:space="preserve"> </w:t>
      </w:r>
      <w:r>
        <w:rPr>
          <w:spacing w:val="-1"/>
        </w:rPr>
        <w:t>computer,</w:t>
      </w:r>
      <w:r>
        <w:rPr>
          <w:spacing w:val="44"/>
        </w:rPr>
        <w:t xml:space="preserve"> </w:t>
      </w:r>
      <w:r>
        <w:rPr>
          <w:spacing w:val="-2"/>
        </w:rPr>
        <w:t>word</w:t>
      </w:r>
      <w:r>
        <w:rPr>
          <w:spacing w:val="42"/>
        </w:rPr>
        <w:t xml:space="preserve"> </w:t>
      </w:r>
      <w:r>
        <w:rPr>
          <w:spacing w:val="-1"/>
        </w:rPr>
        <w:t>processor,</w:t>
      </w:r>
      <w:r>
        <w:rPr>
          <w:spacing w:val="44"/>
        </w:rPr>
        <w:t xml:space="preserve"> </w:t>
      </w:r>
      <w:r>
        <w:rPr>
          <w:spacing w:val="-2"/>
        </w:rPr>
        <w:t>voicemail</w:t>
      </w:r>
      <w:r>
        <w:rPr>
          <w:spacing w:val="45"/>
        </w:rPr>
        <w:t xml:space="preserve"> </w:t>
      </w:r>
      <w:r>
        <w:rPr>
          <w:spacing w:val="-1"/>
        </w:rPr>
        <w:t>system</w:t>
      </w:r>
      <w:r>
        <w:rPr>
          <w:spacing w:val="57"/>
        </w:rPr>
        <w:t xml:space="preserve"> </w:t>
      </w:r>
      <w:r>
        <w:rPr>
          <w:spacing w:val="-1"/>
        </w:rPr>
        <w:t>or</w:t>
      </w:r>
      <w:r>
        <w:rPr>
          <w:spacing w:val="57"/>
        </w:rPr>
        <w:t xml:space="preserve"> </w:t>
      </w:r>
      <w:r>
        <w:rPr>
          <w:spacing w:val="-1"/>
        </w:rPr>
        <w:t>any</w:t>
      </w:r>
      <w:r>
        <w:rPr>
          <w:spacing w:val="53"/>
        </w:rPr>
        <w:t xml:space="preserve"> </w:t>
      </w:r>
      <w:r>
        <w:rPr>
          <w:spacing w:val="-1"/>
        </w:rPr>
        <w:t>other</w:t>
      </w:r>
      <w:r>
        <w:rPr>
          <w:spacing w:val="57"/>
        </w:rPr>
        <w:t xml:space="preserve"> </w:t>
      </w:r>
      <w:r>
        <w:rPr>
          <w:spacing w:val="-2"/>
        </w:rPr>
        <w:t>device</w:t>
      </w:r>
      <w:r>
        <w:rPr>
          <w:spacing w:val="56"/>
        </w:rPr>
        <w:t xml:space="preserve"> </w:t>
      </w:r>
      <w:r>
        <w:rPr>
          <w:spacing w:val="-1"/>
        </w:rPr>
        <w:t>of</w:t>
      </w:r>
      <w:r>
        <w:rPr>
          <w:spacing w:val="59"/>
        </w:rPr>
        <w:t xml:space="preserve"> </w:t>
      </w:r>
      <w:r>
        <w:t>the</w:t>
      </w:r>
      <w:r>
        <w:rPr>
          <w:spacing w:val="56"/>
        </w:rPr>
        <w:t xml:space="preserve"> </w:t>
      </w:r>
      <w:r>
        <w:rPr>
          <w:spacing w:val="-2"/>
        </w:rPr>
        <w:t>Supplier</w:t>
      </w:r>
      <w:r>
        <w:rPr>
          <w:spacing w:val="57"/>
        </w:rPr>
        <w:t xml:space="preserve"> </w:t>
      </w:r>
      <w:r>
        <w:rPr>
          <w:spacing w:val="-1"/>
        </w:rPr>
        <w:t>containing</w:t>
      </w:r>
      <w:r>
        <w:rPr>
          <w:spacing w:val="58"/>
        </w:rPr>
        <w:t xml:space="preserve"> </w:t>
      </w:r>
      <w:r>
        <w:rPr>
          <w:spacing w:val="-1"/>
        </w:rPr>
        <w:t>such</w:t>
      </w:r>
      <w:r>
        <w:rPr>
          <w:spacing w:val="48"/>
        </w:rPr>
        <w:t xml:space="preserve"> </w:t>
      </w:r>
      <w:r>
        <w:rPr>
          <w:spacing w:val="-1"/>
        </w:rPr>
        <w:t>Customer</w:t>
      </w:r>
      <w:r>
        <w:rPr>
          <w:spacing w:val="2"/>
        </w:rPr>
        <w:t xml:space="preserve"> </w:t>
      </w:r>
      <w:r>
        <w:rPr>
          <w:spacing w:val="-1"/>
        </w:rPr>
        <w:t>Background</w:t>
      </w:r>
      <w:r>
        <w:rPr>
          <w:spacing w:val="-2"/>
        </w:rPr>
        <w:t xml:space="preserve"> </w:t>
      </w:r>
      <w:r>
        <w:rPr>
          <w:spacing w:val="-1"/>
        </w:rPr>
        <w:t>IPR</w:t>
      </w:r>
      <w:r>
        <w:t xml:space="preserve"> </w:t>
      </w:r>
      <w:r>
        <w:rPr>
          <w:spacing w:val="-1"/>
        </w:rPr>
        <w:t xml:space="preserve">and/or Customer </w:t>
      </w:r>
      <w:r>
        <w:rPr>
          <w:spacing w:val="-2"/>
        </w:rPr>
        <w:t>Data.</w:t>
      </w:r>
    </w:p>
    <w:p w:rsidR="008918FA" w:rsidRDefault="008918FA" w:rsidP="008918FA">
      <w:pPr>
        <w:pStyle w:val="Heading1"/>
        <w:numPr>
          <w:ilvl w:val="1"/>
          <w:numId w:val="66"/>
        </w:numPr>
        <w:tabs>
          <w:tab w:val="left" w:pos="1233"/>
        </w:tabs>
        <w:spacing w:before="119"/>
        <w:ind w:hanging="564"/>
        <w:rPr>
          <w:b w:val="0"/>
          <w:bCs w:val="0"/>
        </w:rPr>
      </w:pPr>
      <w:bookmarkStart w:id="207" w:name="_bookmark173"/>
      <w:bookmarkEnd w:id="207"/>
      <w:r>
        <w:t xml:space="preserve">IPR </w:t>
      </w:r>
      <w:r>
        <w:rPr>
          <w:spacing w:val="-1"/>
        </w:rPr>
        <w:t>Indemnity</w:t>
      </w:r>
    </w:p>
    <w:p w:rsidR="008918FA" w:rsidRDefault="008918FA" w:rsidP="008918FA">
      <w:pPr>
        <w:pStyle w:val="BodyText"/>
        <w:numPr>
          <w:ilvl w:val="2"/>
          <w:numId w:val="66"/>
        </w:numPr>
        <w:tabs>
          <w:tab w:val="left" w:pos="2227"/>
        </w:tabs>
        <w:spacing w:before="121"/>
        <w:ind w:right="111"/>
        <w:jc w:val="both"/>
      </w:pPr>
      <w:bookmarkStart w:id="208" w:name="_bookmark174"/>
      <w:bookmarkEnd w:id="208"/>
      <w:r>
        <w:t>The</w:t>
      </w:r>
      <w:r>
        <w:rPr>
          <w:spacing w:val="15"/>
        </w:rPr>
        <w:t xml:space="preserve"> </w:t>
      </w:r>
      <w:r>
        <w:rPr>
          <w:spacing w:val="-2"/>
        </w:rPr>
        <w:t>Supplier</w:t>
      </w:r>
      <w:r>
        <w:rPr>
          <w:spacing w:val="16"/>
        </w:rPr>
        <w:t xml:space="preserve"> </w:t>
      </w:r>
      <w:r>
        <w:rPr>
          <w:spacing w:val="-1"/>
        </w:rPr>
        <w:t>shall</w:t>
      </w:r>
      <w:r>
        <w:rPr>
          <w:spacing w:val="14"/>
        </w:rPr>
        <w:t xml:space="preserve"> </w:t>
      </w:r>
      <w:r>
        <w:rPr>
          <w:spacing w:val="-1"/>
        </w:rPr>
        <w:t>at</w:t>
      </w:r>
      <w:r>
        <w:rPr>
          <w:spacing w:val="16"/>
        </w:rPr>
        <w:t xml:space="preserve"> </w:t>
      </w:r>
      <w:r>
        <w:rPr>
          <w:spacing w:val="-1"/>
        </w:rPr>
        <w:t>during</w:t>
      </w:r>
      <w:r>
        <w:rPr>
          <w:spacing w:val="17"/>
        </w:rPr>
        <w:t xml:space="preserve"> </w:t>
      </w:r>
      <w:r>
        <w:rPr>
          <w:spacing w:val="-1"/>
        </w:rPr>
        <w:t>and</w:t>
      </w:r>
      <w:r>
        <w:rPr>
          <w:spacing w:val="15"/>
        </w:rPr>
        <w:t xml:space="preserve"> </w:t>
      </w:r>
      <w:r>
        <w:rPr>
          <w:spacing w:val="-1"/>
        </w:rPr>
        <w:t>after</w:t>
      </w:r>
      <w:r>
        <w:rPr>
          <w:spacing w:val="16"/>
        </w:rPr>
        <w:t xml:space="preserve"> </w:t>
      </w:r>
      <w:r>
        <w:t>the</w:t>
      </w:r>
      <w:r>
        <w:rPr>
          <w:spacing w:val="15"/>
        </w:rPr>
        <w:t xml:space="preserve"> </w:t>
      </w:r>
      <w:r>
        <w:rPr>
          <w:spacing w:val="-2"/>
        </w:rPr>
        <w:t>Call</w:t>
      </w:r>
      <w:r>
        <w:rPr>
          <w:spacing w:val="14"/>
        </w:rPr>
        <w:t xml:space="preserve"> </w:t>
      </w:r>
      <w:r>
        <w:rPr>
          <w:spacing w:val="-1"/>
        </w:rPr>
        <w:t>Off</w:t>
      </w:r>
      <w:r>
        <w:rPr>
          <w:spacing w:val="19"/>
        </w:rPr>
        <w:t xml:space="preserve"> </w:t>
      </w:r>
      <w:r>
        <w:rPr>
          <w:spacing w:val="-2"/>
        </w:rPr>
        <w:t>Contract</w:t>
      </w:r>
      <w:r>
        <w:rPr>
          <w:spacing w:val="16"/>
        </w:rPr>
        <w:t xml:space="preserve"> </w:t>
      </w:r>
      <w:r>
        <w:rPr>
          <w:spacing w:val="-1"/>
        </w:rPr>
        <w:t>Period,</w:t>
      </w:r>
      <w:r>
        <w:rPr>
          <w:spacing w:val="16"/>
        </w:rPr>
        <w:t xml:space="preserve"> </w:t>
      </w:r>
      <w:r>
        <w:rPr>
          <w:spacing w:val="-1"/>
        </w:rPr>
        <w:t>on</w:t>
      </w:r>
      <w:r>
        <w:rPr>
          <w:spacing w:val="56"/>
        </w:rPr>
        <w:t xml:space="preserve"> </w:t>
      </w:r>
      <w:r>
        <w:rPr>
          <w:spacing w:val="-1"/>
        </w:rPr>
        <w:t>written</w:t>
      </w:r>
      <w:r>
        <w:t xml:space="preserve"> </w:t>
      </w:r>
      <w:r>
        <w:rPr>
          <w:spacing w:val="-1"/>
        </w:rPr>
        <w:t>demand</w:t>
      </w:r>
      <w:r>
        <w:t xml:space="preserve"> </w:t>
      </w:r>
      <w:r>
        <w:rPr>
          <w:spacing w:val="-1"/>
        </w:rPr>
        <w:t xml:space="preserve">indemnify </w:t>
      </w:r>
      <w:r>
        <w:t xml:space="preserve">the </w:t>
      </w:r>
      <w:r>
        <w:rPr>
          <w:spacing w:val="-1"/>
        </w:rPr>
        <w:t>Customer</w:t>
      </w:r>
      <w:r>
        <w:rPr>
          <w:spacing w:val="2"/>
        </w:rPr>
        <w:t xml:space="preserve"> </w:t>
      </w:r>
      <w:r>
        <w:rPr>
          <w:spacing w:val="-1"/>
        </w:rPr>
        <w:t>against</w:t>
      </w:r>
      <w:r>
        <w:rPr>
          <w:spacing w:val="2"/>
        </w:rPr>
        <w:t xml:space="preserve"> </w:t>
      </w:r>
      <w:r>
        <w:rPr>
          <w:spacing w:val="-2"/>
        </w:rPr>
        <w:t>all</w:t>
      </w:r>
      <w:r>
        <w:t xml:space="preserve"> </w:t>
      </w:r>
      <w:r>
        <w:rPr>
          <w:spacing w:val="-1"/>
        </w:rPr>
        <w:t>Losses</w:t>
      </w:r>
      <w:r>
        <w:rPr>
          <w:spacing w:val="1"/>
        </w:rPr>
        <w:t xml:space="preserve"> </w:t>
      </w:r>
      <w:r>
        <w:rPr>
          <w:spacing w:val="-1"/>
        </w:rPr>
        <w:t>incurred</w:t>
      </w:r>
      <w:r>
        <w:t xml:space="preserve"> </w:t>
      </w:r>
      <w:r>
        <w:rPr>
          <w:spacing w:val="-1"/>
        </w:rPr>
        <w:t>by,</w:t>
      </w:r>
      <w:r>
        <w:rPr>
          <w:spacing w:val="29"/>
        </w:rPr>
        <w:t xml:space="preserve"> </w:t>
      </w:r>
      <w:r>
        <w:rPr>
          <w:spacing w:val="-2"/>
        </w:rPr>
        <w:t>awarded</w:t>
      </w:r>
      <w:r>
        <w:t xml:space="preserve"> </w:t>
      </w:r>
      <w:r>
        <w:rPr>
          <w:spacing w:val="-1"/>
        </w:rPr>
        <w:t>against</w:t>
      </w:r>
      <w:r>
        <w:t xml:space="preserve"> </w:t>
      </w:r>
      <w:r>
        <w:rPr>
          <w:spacing w:val="-1"/>
        </w:rPr>
        <w:t>or agreed</w:t>
      </w:r>
      <w:r>
        <w:t xml:space="preserve"> to</w:t>
      </w:r>
      <w:r>
        <w:rPr>
          <w:spacing w:val="-2"/>
        </w:rPr>
        <w:t xml:space="preserve"> </w:t>
      </w:r>
      <w:r>
        <w:rPr>
          <w:spacing w:val="-1"/>
        </w:rPr>
        <w:t>be</w:t>
      </w:r>
      <w:r>
        <w:t xml:space="preserve"> </w:t>
      </w:r>
      <w:r>
        <w:rPr>
          <w:spacing w:val="-1"/>
        </w:rPr>
        <w:t>paid</w:t>
      </w:r>
      <w:r>
        <w:t xml:space="preserve"> </w:t>
      </w:r>
      <w:r>
        <w:rPr>
          <w:spacing w:val="-1"/>
        </w:rPr>
        <w:t>by</w:t>
      </w:r>
      <w:r>
        <w:rPr>
          <w:spacing w:val="-2"/>
        </w:rPr>
        <w:t xml:space="preserve"> </w:t>
      </w:r>
      <w:r>
        <w:t>the</w:t>
      </w:r>
      <w:r>
        <w:rPr>
          <w:spacing w:val="-2"/>
        </w:rPr>
        <w:t xml:space="preserve"> </w:t>
      </w:r>
      <w:r>
        <w:rPr>
          <w:spacing w:val="-1"/>
        </w:rPr>
        <w:t>Customer</w:t>
      </w:r>
      <w:r>
        <w:rPr>
          <w:spacing w:val="1"/>
        </w:rPr>
        <w:t xml:space="preserve"> </w:t>
      </w:r>
      <w:r>
        <w:rPr>
          <w:spacing w:val="-1"/>
        </w:rPr>
        <w:t>(whether</w:t>
      </w:r>
      <w:r>
        <w:rPr>
          <w:spacing w:val="2"/>
        </w:rPr>
        <w:t xml:space="preserve"> </w:t>
      </w:r>
      <w:r>
        <w:rPr>
          <w:spacing w:val="-1"/>
        </w:rPr>
        <w:t>before</w:t>
      </w:r>
      <w:r>
        <w:rPr>
          <w:spacing w:val="33"/>
        </w:rPr>
        <w:t xml:space="preserve"> </w:t>
      </w:r>
      <w:r>
        <w:rPr>
          <w:spacing w:val="-1"/>
        </w:rPr>
        <w:t>or</w:t>
      </w:r>
      <w:r>
        <w:rPr>
          <w:spacing w:val="48"/>
        </w:rPr>
        <w:t xml:space="preserve"> </w:t>
      </w:r>
      <w:r>
        <w:rPr>
          <w:spacing w:val="-1"/>
        </w:rPr>
        <w:t>after</w:t>
      </w:r>
      <w:r>
        <w:rPr>
          <w:spacing w:val="46"/>
        </w:rPr>
        <w:t xml:space="preserve"> </w:t>
      </w:r>
      <w:r>
        <w:t>the</w:t>
      </w:r>
      <w:r>
        <w:rPr>
          <w:spacing w:val="45"/>
        </w:rPr>
        <w:t xml:space="preserve"> </w:t>
      </w:r>
      <w:r>
        <w:rPr>
          <w:spacing w:val="-1"/>
        </w:rPr>
        <w:t>making</w:t>
      </w:r>
      <w:r>
        <w:rPr>
          <w:spacing w:val="47"/>
        </w:rPr>
        <w:t xml:space="preserve"> </w:t>
      </w:r>
      <w:r>
        <w:rPr>
          <w:spacing w:val="-2"/>
        </w:rPr>
        <w:t>of</w:t>
      </w:r>
      <w:r>
        <w:rPr>
          <w:spacing w:val="49"/>
        </w:rPr>
        <w:t xml:space="preserve"> </w:t>
      </w:r>
      <w:r>
        <w:t>the</w:t>
      </w:r>
      <w:r>
        <w:rPr>
          <w:spacing w:val="47"/>
        </w:rPr>
        <w:t xml:space="preserve"> </w:t>
      </w:r>
      <w:r>
        <w:rPr>
          <w:spacing w:val="-1"/>
        </w:rPr>
        <w:t>demand</w:t>
      </w:r>
      <w:r>
        <w:rPr>
          <w:spacing w:val="48"/>
        </w:rPr>
        <w:t xml:space="preserve"> </w:t>
      </w:r>
      <w:r>
        <w:rPr>
          <w:spacing w:val="-2"/>
        </w:rPr>
        <w:t>pursuant</w:t>
      </w:r>
      <w:r>
        <w:rPr>
          <w:spacing w:val="49"/>
        </w:rPr>
        <w:t xml:space="preserve"> </w:t>
      </w:r>
      <w:r>
        <w:t>to</w:t>
      </w:r>
      <w:r>
        <w:rPr>
          <w:spacing w:val="45"/>
        </w:rPr>
        <w:t xml:space="preserve"> </w:t>
      </w:r>
      <w:r>
        <w:t>the</w:t>
      </w:r>
      <w:r>
        <w:rPr>
          <w:spacing w:val="47"/>
        </w:rPr>
        <w:t xml:space="preserve"> </w:t>
      </w:r>
      <w:r>
        <w:rPr>
          <w:spacing w:val="-1"/>
        </w:rPr>
        <w:t>indemnity</w:t>
      </w:r>
      <w:r>
        <w:rPr>
          <w:spacing w:val="33"/>
        </w:rPr>
        <w:t xml:space="preserve"> </w:t>
      </w:r>
      <w:r>
        <w:rPr>
          <w:spacing w:val="-1"/>
        </w:rPr>
        <w:t>hereunder)</w:t>
      </w:r>
      <w:r>
        <w:rPr>
          <w:spacing w:val="2"/>
        </w:rPr>
        <w:t xml:space="preserve"> </w:t>
      </w:r>
      <w:r>
        <w:rPr>
          <w:spacing w:val="-2"/>
        </w:rPr>
        <w:t xml:space="preserve">arising </w:t>
      </w:r>
      <w:r>
        <w:t>from</w:t>
      </w:r>
      <w:r>
        <w:rPr>
          <w:spacing w:val="-3"/>
        </w:rPr>
        <w:t xml:space="preserve"> </w:t>
      </w:r>
      <w:r>
        <w:rPr>
          <w:spacing w:val="-1"/>
        </w:rPr>
        <w:t>an</w:t>
      </w:r>
      <w:r>
        <w:t xml:space="preserve"> IPR </w:t>
      </w:r>
      <w:r>
        <w:rPr>
          <w:spacing w:val="-2"/>
        </w:rPr>
        <w:t>Claim.</w:t>
      </w:r>
    </w:p>
    <w:p w:rsidR="008918FA" w:rsidRDefault="008918FA" w:rsidP="008918FA">
      <w:pPr>
        <w:pStyle w:val="BodyText"/>
        <w:numPr>
          <w:ilvl w:val="2"/>
          <w:numId w:val="66"/>
        </w:numPr>
        <w:tabs>
          <w:tab w:val="left" w:pos="2227"/>
        </w:tabs>
        <w:ind w:right="117"/>
        <w:jc w:val="both"/>
      </w:pPr>
      <w:bookmarkStart w:id="209" w:name="_bookmark175"/>
      <w:bookmarkEnd w:id="209"/>
      <w:r>
        <w:rPr>
          <w:spacing w:val="-1"/>
        </w:rPr>
        <w:t>If</w:t>
      </w:r>
      <w:r>
        <w:rPr>
          <w:spacing w:val="16"/>
        </w:rPr>
        <w:t xml:space="preserve"> </w:t>
      </w:r>
      <w:r>
        <w:rPr>
          <w:spacing w:val="-1"/>
        </w:rPr>
        <w:t>an</w:t>
      </w:r>
      <w:r>
        <w:rPr>
          <w:spacing w:val="10"/>
        </w:rPr>
        <w:t xml:space="preserve"> </w:t>
      </w:r>
      <w:r>
        <w:t>IPR</w:t>
      </w:r>
      <w:r>
        <w:rPr>
          <w:spacing w:val="12"/>
        </w:rPr>
        <w:t xml:space="preserve"> </w:t>
      </w:r>
      <w:r>
        <w:rPr>
          <w:spacing w:val="-2"/>
        </w:rPr>
        <w:t>Claim</w:t>
      </w:r>
      <w:r>
        <w:rPr>
          <w:spacing w:val="14"/>
        </w:rPr>
        <w:t xml:space="preserve"> </w:t>
      </w:r>
      <w:r>
        <w:rPr>
          <w:spacing w:val="-1"/>
        </w:rPr>
        <w:t>is</w:t>
      </w:r>
      <w:r>
        <w:rPr>
          <w:spacing w:val="10"/>
        </w:rPr>
        <w:t xml:space="preserve"> </w:t>
      </w:r>
      <w:r>
        <w:rPr>
          <w:spacing w:val="-1"/>
        </w:rPr>
        <w:t>made,</w:t>
      </w:r>
      <w:r>
        <w:rPr>
          <w:spacing w:val="11"/>
        </w:rPr>
        <w:t xml:space="preserve"> </w:t>
      </w:r>
      <w:r>
        <w:rPr>
          <w:spacing w:val="-1"/>
        </w:rPr>
        <w:t>or</w:t>
      </w:r>
      <w:r>
        <w:rPr>
          <w:spacing w:val="11"/>
        </w:rPr>
        <w:t xml:space="preserve"> </w:t>
      </w:r>
      <w:r>
        <w:t>the</w:t>
      </w:r>
      <w:r>
        <w:rPr>
          <w:spacing w:val="12"/>
        </w:rPr>
        <w:t xml:space="preserve"> </w:t>
      </w:r>
      <w:r>
        <w:rPr>
          <w:spacing w:val="-2"/>
        </w:rPr>
        <w:t>Supplier</w:t>
      </w:r>
      <w:r>
        <w:rPr>
          <w:spacing w:val="14"/>
        </w:rPr>
        <w:t xml:space="preserve"> </w:t>
      </w:r>
      <w:r>
        <w:rPr>
          <w:spacing w:val="-2"/>
        </w:rPr>
        <w:t>anticipates</w:t>
      </w:r>
      <w:r>
        <w:rPr>
          <w:spacing w:val="13"/>
        </w:rPr>
        <w:t xml:space="preserve"> </w:t>
      </w:r>
      <w:r>
        <w:rPr>
          <w:spacing w:val="-1"/>
        </w:rPr>
        <w:t>that</w:t>
      </w:r>
      <w:r>
        <w:rPr>
          <w:spacing w:val="14"/>
        </w:rPr>
        <w:t xml:space="preserve"> </w:t>
      </w:r>
      <w:r>
        <w:rPr>
          <w:spacing w:val="-1"/>
        </w:rPr>
        <w:t>an</w:t>
      </w:r>
      <w:r>
        <w:rPr>
          <w:spacing w:val="10"/>
        </w:rPr>
        <w:t xml:space="preserve"> </w:t>
      </w:r>
      <w:r>
        <w:t>IPR</w:t>
      </w:r>
      <w:r>
        <w:rPr>
          <w:spacing w:val="12"/>
        </w:rPr>
        <w:t xml:space="preserve"> </w:t>
      </w:r>
      <w:r>
        <w:rPr>
          <w:spacing w:val="-2"/>
        </w:rPr>
        <w:t>Claim</w:t>
      </w:r>
      <w:r>
        <w:rPr>
          <w:spacing w:val="55"/>
        </w:rPr>
        <w:t xml:space="preserve"> </w:t>
      </w:r>
      <w:r>
        <w:rPr>
          <w:spacing w:val="-1"/>
        </w:rPr>
        <w:t>might</w:t>
      </w:r>
      <w:r>
        <w:rPr>
          <w:spacing w:val="11"/>
        </w:rPr>
        <w:t xml:space="preserve"> </w:t>
      </w:r>
      <w:r>
        <w:rPr>
          <w:spacing w:val="-1"/>
        </w:rPr>
        <w:t>be</w:t>
      </w:r>
      <w:r>
        <w:rPr>
          <w:spacing w:val="10"/>
        </w:rPr>
        <w:t xml:space="preserve"> </w:t>
      </w:r>
      <w:r>
        <w:rPr>
          <w:spacing w:val="-1"/>
        </w:rPr>
        <w:t>made,</w:t>
      </w:r>
      <w:r>
        <w:rPr>
          <w:spacing w:val="11"/>
        </w:rPr>
        <w:t xml:space="preserve"> </w:t>
      </w:r>
      <w:r>
        <w:t>the</w:t>
      </w:r>
      <w:r>
        <w:rPr>
          <w:spacing w:val="10"/>
        </w:rPr>
        <w:t xml:space="preserve"> </w:t>
      </w:r>
      <w:r>
        <w:rPr>
          <w:spacing w:val="-2"/>
        </w:rPr>
        <w:t>Supplier</w:t>
      </w:r>
      <w:r>
        <w:rPr>
          <w:spacing w:val="11"/>
        </w:rPr>
        <w:t xml:space="preserve"> </w:t>
      </w:r>
      <w:r>
        <w:rPr>
          <w:spacing w:val="-1"/>
        </w:rPr>
        <w:t>may,</w:t>
      </w:r>
      <w:r>
        <w:rPr>
          <w:spacing w:val="11"/>
        </w:rPr>
        <w:t xml:space="preserve"> </w:t>
      </w:r>
      <w:r>
        <w:rPr>
          <w:spacing w:val="-1"/>
        </w:rPr>
        <w:t>at</w:t>
      </w:r>
      <w:r>
        <w:rPr>
          <w:spacing w:val="11"/>
        </w:rPr>
        <w:t xml:space="preserve"> </w:t>
      </w:r>
      <w:r>
        <w:rPr>
          <w:spacing w:val="-1"/>
        </w:rPr>
        <w:t>its</w:t>
      </w:r>
      <w:r>
        <w:rPr>
          <w:spacing w:val="10"/>
        </w:rPr>
        <w:t xml:space="preserve"> </w:t>
      </w:r>
      <w:r>
        <w:rPr>
          <w:spacing w:val="-2"/>
        </w:rPr>
        <w:t>own</w:t>
      </w:r>
      <w:r>
        <w:rPr>
          <w:spacing w:val="10"/>
        </w:rPr>
        <w:t xml:space="preserve"> </w:t>
      </w:r>
      <w:r>
        <w:rPr>
          <w:spacing w:val="-1"/>
        </w:rPr>
        <w:t>expense</w:t>
      </w:r>
      <w:r>
        <w:rPr>
          <w:spacing w:val="10"/>
        </w:rPr>
        <w:t xml:space="preserve"> </w:t>
      </w:r>
      <w:r>
        <w:rPr>
          <w:spacing w:val="-1"/>
        </w:rPr>
        <w:t>and</w:t>
      </w:r>
      <w:r>
        <w:rPr>
          <w:spacing w:val="10"/>
        </w:rPr>
        <w:t xml:space="preserve"> </w:t>
      </w:r>
      <w:r>
        <w:rPr>
          <w:spacing w:val="-1"/>
        </w:rPr>
        <w:t>sole</w:t>
      </w:r>
      <w:r>
        <w:rPr>
          <w:spacing w:val="10"/>
        </w:rPr>
        <w:t xml:space="preserve"> </w:t>
      </w:r>
      <w:r>
        <w:rPr>
          <w:spacing w:val="-1"/>
        </w:rPr>
        <w:t>option,</w:t>
      </w:r>
      <w:r>
        <w:rPr>
          <w:spacing w:val="40"/>
        </w:rPr>
        <w:t xml:space="preserve"> </w:t>
      </w:r>
      <w:r>
        <w:rPr>
          <w:spacing w:val="-1"/>
        </w:rPr>
        <w:t>either:</w:t>
      </w:r>
    </w:p>
    <w:p w:rsidR="008918FA" w:rsidRDefault="008918FA" w:rsidP="008918FA">
      <w:pPr>
        <w:pStyle w:val="BodyText"/>
        <w:numPr>
          <w:ilvl w:val="3"/>
          <w:numId w:val="66"/>
        </w:numPr>
        <w:tabs>
          <w:tab w:val="left" w:pos="2935"/>
        </w:tabs>
        <w:ind w:left="2934" w:right="118"/>
      </w:pPr>
      <w:bookmarkStart w:id="210" w:name="_bookmark176"/>
      <w:bookmarkEnd w:id="210"/>
      <w:r>
        <w:rPr>
          <w:spacing w:val="-1"/>
        </w:rPr>
        <w:t>procure</w:t>
      </w:r>
      <w:r>
        <w:t xml:space="preserve"> </w:t>
      </w:r>
      <w:r>
        <w:rPr>
          <w:spacing w:val="26"/>
        </w:rPr>
        <w:t xml:space="preserve"> </w:t>
      </w:r>
      <w:r>
        <w:t xml:space="preserve">for </w:t>
      </w:r>
      <w:r>
        <w:rPr>
          <w:spacing w:val="29"/>
        </w:rPr>
        <w:t xml:space="preserve"> </w:t>
      </w:r>
      <w:r>
        <w:t xml:space="preserve">the </w:t>
      </w:r>
      <w:r>
        <w:rPr>
          <w:spacing w:val="30"/>
        </w:rPr>
        <w:t xml:space="preserve"> </w:t>
      </w:r>
      <w:r>
        <w:rPr>
          <w:spacing w:val="-2"/>
        </w:rPr>
        <w:t>Customer</w:t>
      </w:r>
      <w:r>
        <w:t xml:space="preserve"> </w:t>
      </w:r>
      <w:r>
        <w:rPr>
          <w:spacing w:val="29"/>
        </w:rPr>
        <w:t xml:space="preserve"> </w:t>
      </w:r>
      <w:r>
        <w:t xml:space="preserve">the </w:t>
      </w:r>
      <w:r>
        <w:rPr>
          <w:spacing w:val="29"/>
        </w:rPr>
        <w:t xml:space="preserve"> </w:t>
      </w:r>
      <w:r>
        <w:rPr>
          <w:spacing w:val="-1"/>
        </w:rPr>
        <w:t>right</w:t>
      </w:r>
      <w:r>
        <w:t xml:space="preserve"> </w:t>
      </w:r>
      <w:r>
        <w:rPr>
          <w:spacing w:val="30"/>
        </w:rPr>
        <w:t xml:space="preserve"> </w:t>
      </w:r>
      <w:r>
        <w:t xml:space="preserve">to </w:t>
      </w:r>
      <w:r>
        <w:rPr>
          <w:spacing w:val="28"/>
        </w:rPr>
        <w:t xml:space="preserve"> </w:t>
      </w:r>
      <w:r>
        <w:rPr>
          <w:spacing w:val="-1"/>
        </w:rPr>
        <w:t>continue</w:t>
      </w:r>
      <w:r>
        <w:t xml:space="preserve"> </w:t>
      </w:r>
      <w:r>
        <w:rPr>
          <w:spacing w:val="30"/>
        </w:rPr>
        <w:t xml:space="preserve"> </w:t>
      </w:r>
      <w:r>
        <w:rPr>
          <w:spacing w:val="-1"/>
        </w:rPr>
        <w:t>using</w:t>
      </w:r>
      <w:r>
        <w:t xml:space="preserve"> </w:t>
      </w:r>
      <w:r>
        <w:rPr>
          <w:spacing w:val="30"/>
        </w:rPr>
        <w:t xml:space="preserve"> </w:t>
      </w:r>
      <w:r>
        <w:rPr>
          <w:spacing w:val="-1"/>
        </w:rPr>
        <w:t>the</w:t>
      </w:r>
      <w:r>
        <w:rPr>
          <w:spacing w:val="36"/>
        </w:rPr>
        <w:t xml:space="preserve"> </w:t>
      </w:r>
      <w:r>
        <w:rPr>
          <w:spacing w:val="-2"/>
        </w:rPr>
        <w:t>relevant</w:t>
      </w:r>
      <w:r>
        <w:rPr>
          <w:spacing w:val="2"/>
        </w:rPr>
        <w:t xml:space="preserve"> </w:t>
      </w:r>
      <w:r>
        <w:rPr>
          <w:spacing w:val="-1"/>
        </w:rPr>
        <w:t xml:space="preserve">item </w:t>
      </w:r>
      <w:r>
        <w:rPr>
          <w:spacing w:val="-2"/>
        </w:rPr>
        <w:t>which</w:t>
      </w:r>
      <w:r>
        <w:rPr>
          <w:spacing w:val="1"/>
        </w:rPr>
        <w:t xml:space="preserve"> </w:t>
      </w:r>
      <w:r>
        <w:rPr>
          <w:spacing w:val="-1"/>
        </w:rPr>
        <w:t>is</w:t>
      </w:r>
      <w:r>
        <w:rPr>
          <w:spacing w:val="1"/>
        </w:rPr>
        <w:t xml:space="preserve"> </w:t>
      </w:r>
      <w:r>
        <w:rPr>
          <w:spacing w:val="-1"/>
        </w:rPr>
        <w:t>subject</w:t>
      </w:r>
      <w:r>
        <w:t xml:space="preserve"> to</w:t>
      </w:r>
      <w:r>
        <w:rPr>
          <w:spacing w:val="-2"/>
        </w:rPr>
        <w:t xml:space="preserve"> </w:t>
      </w:r>
      <w:r>
        <w:rPr>
          <w:spacing w:val="-1"/>
        </w:rPr>
        <w:t>the</w:t>
      </w:r>
      <w:r>
        <w:rPr>
          <w:spacing w:val="-2"/>
        </w:rPr>
        <w:t xml:space="preserve"> </w:t>
      </w:r>
      <w:r>
        <w:t xml:space="preserve">IPR </w:t>
      </w:r>
      <w:r>
        <w:rPr>
          <w:spacing w:val="-2"/>
        </w:rPr>
        <w:t>Claim;</w:t>
      </w:r>
      <w:r>
        <w:t xml:space="preserve"> </w:t>
      </w:r>
      <w:r>
        <w:rPr>
          <w:spacing w:val="-1"/>
        </w:rPr>
        <w:t>or</w:t>
      </w:r>
    </w:p>
    <w:p w:rsidR="008918FA" w:rsidRDefault="008918FA" w:rsidP="008918FA">
      <w:pPr>
        <w:pStyle w:val="BodyText"/>
        <w:numPr>
          <w:ilvl w:val="3"/>
          <w:numId w:val="66"/>
        </w:numPr>
        <w:tabs>
          <w:tab w:val="left" w:pos="2935"/>
          <w:tab w:val="left" w:pos="3860"/>
          <w:tab w:val="left" w:pos="4258"/>
          <w:tab w:val="left" w:pos="5110"/>
          <w:tab w:val="left" w:pos="5616"/>
          <w:tab w:val="left" w:pos="6602"/>
          <w:tab w:val="left" w:pos="7221"/>
          <w:tab w:val="left" w:pos="7814"/>
        </w:tabs>
        <w:ind w:left="2934" w:right="116"/>
      </w:pPr>
      <w:bookmarkStart w:id="211" w:name="_bookmark177"/>
      <w:bookmarkEnd w:id="211"/>
      <w:r>
        <w:rPr>
          <w:spacing w:val="-1"/>
        </w:rPr>
        <w:t>replace</w:t>
      </w:r>
      <w:r>
        <w:rPr>
          <w:spacing w:val="-1"/>
        </w:rPr>
        <w:tab/>
        <w:t>or</w:t>
      </w:r>
      <w:r>
        <w:rPr>
          <w:spacing w:val="-1"/>
        </w:rPr>
        <w:tab/>
        <w:t>modify</w:t>
      </w:r>
      <w:r>
        <w:rPr>
          <w:spacing w:val="-1"/>
        </w:rPr>
        <w:tab/>
      </w:r>
      <w:r>
        <w:rPr>
          <w:spacing w:val="-2"/>
        </w:rPr>
        <w:t>the</w:t>
      </w:r>
      <w:r>
        <w:rPr>
          <w:spacing w:val="-2"/>
        </w:rPr>
        <w:tab/>
      </w:r>
      <w:r>
        <w:rPr>
          <w:spacing w:val="-2"/>
          <w:w w:val="95"/>
        </w:rPr>
        <w:t>relevant</w:t>
      </w:r>
      <w:r>
        <w:rPr>
          <w:spacing w:val="-2"/>
          <w:w w:val="95"/>
        </w:rPr>
        <w:tab/>
      </w:r>
      <w:r>
        <w:rPr>
          <w:spacing w:val="-1"/>
        </w:rPr>
        <w:t>item</w:t>
      </w:r>
      <w:r>
        <w:rPr>
          <w:spacing w:val="-1"/>
        </w:rPr>
        <w:tab/>
      </w:r>
      <w:r>
        <w:rPr>
          <w:spacing w:val="-2"/>
        </w:rPr>
        <w:t>with</w:t>
      </w:r>
      <w:r>
        <w:rPr>
          <w:spacing w:val="-2"/>
        </w:rPr>
        <w:tab/>
      </w:r>
      <w:r>
        <w:rPr>
          <w:spacing w:val="-1"/>
        </w:rPr>
        <w:t>non-infringing</w:t>
      </w:r>
      <w:r>
        <w:rPr>
          <w:spacing w:val="43"/>
        </w:rPr>
        <w:t xml:space="preserve"> </w:t>
      </w:r>
      <w:r>
        <w:rPr>
          <w:spacing w:val="-1"/>
        </w:rPr>
        <w:t>substitutes</w:t>
      </w:r>
      <w:r>
        <w:rPr>
          <w:spacing w:val="1"/>
        </w:rPr>
        <w:t xml:space="preserve"> </w:t>
      </w:r>
      <w:r>
        <w:rPr>
          <w:spacing w:val="-2"/>
        </w:rPr>
        <w:t>provided</w:t>
      </w:r>
      <w:r>
        <w:t xml:space="preserve"> </w:t>
      </w:r>
      <w:r>
        <w:rPr>
          <w:spacing w:val="-1"/>
        </w:rPr>
        <w:t>that:</w:t>
      </w:r>
    </w:p>
    <w:p w:rsidR="008918FA" w:rsidRDefault="008918FA" w:rsidP="008918FA">
      <w:pPr>
        <w:pStyle w:val="BodyText"/>
        <w:numPr>
          <w:ilvl w:val="4"/>
          <w:numId w:val="66"/>
        </w:numPr>
        <w:tabs>
          <w:tab w:val="left" w:pos="3503"/>
        </w:tabs>
        <w:ind w:left="3502" w:right="111" w:hanging="568"/>
        <w:jc w:val="both"/>
      </w:pPr>
      <w:r>
        <w:t>the</w:t>
      </w:r>
      <w:r>
        <w:rPr>
          <w:spacing w:val="26"/>
        </w:rPr>
        <w:t xml:space="preserve"> </w:t>
      </w:r>
      <w:r>
        <w:rPr>
          <w:spacing w:val="-1"/>
        </w:rPr>
        <w:t>performance</w:t>
      </w:r>
      <w:r>
        <w:rPr>
          <w:spacing w:val="26"/>
        </w:rPr>
        <w:t xml:space="preserve"> </w:t>
      </w:r>
      <w:r>
        <w:rPr>
          <w:spacing w:val="-1"/>
        </w:rPr>
        <w:t>and</w:t>
      </w:r>
      <w:r>
        <w:rPr>
          <w:spacing w:val="23"/>
        </w:rPr>
        <w:t xml:space="preserve"> </w:t>
      </w:r>
      <w:r>
        <w:rPr>
          <w:spacing w:val="-1"/>
        </w:rPr>
        <w:t>functionality</w:t>
      </w:r>
      <w:r>
        <w:rPr>
          <w:spacing w:val="24"/>
        </w:rPr>
        <w:t xml:space="preserve"> </w:t>
      </w:r>
      <w:r>
        <w:rPr>
          <w:spacing w:val="-1"/>
        </w:rPr>
        <w:t>of</w:t>
      </w:r>
      <w:r>
        <w:rPr>
          <w:spacing w:val="29"/>
        </w:rPr>
        <w:t xml:space="preserve"> </w:t>
      </w:r>
      <w:r>
        <w:t>the</w:t>
      </w:r>
      <w:r>
        <w:rPr>
          <w:spacing w:val="26"/>
        </w:rPr>
        <w:t xml:space="preserve"> </w:t>
      </w:r>
      <w:r>
        <w:rPr>
          <w:spacing w:val="-1"/>
        </w:rPr>
        <w:t>replaced</w:t>
      </w:r>
      <w:r>
        <w:rPr>
          <w:spacing w:val="26"/>
        </w:rPr>
        <w:t xml:space="preserve"> </w:t>
      </w:r>
      <w:r>
        <w:rPr>
          <w:spacing w:val="-1"/>
        </w:rPr>
        <w:t>or</w:t>
      </w:r>
      <w:r>
        <w:rPr>
          <w:spacing w:val="24"/>
        </w:rPr>
        <w:t xml:space="preserve"> </w:t>
      </w:r>
      <w:r>
        <w:rPr>
          <w:spacing w:val="-1"/>
        </w:rPr>
        <w:t>modified</w:t>
      </w:r>
      <w:r>
        <w:rPr>
          <w:spacing w:val="46"/>
        </w:rPr>
        <w:t xml:space="preserve"> </w:t>
      </w:r>
      <w:r>
        <w:rPr>
          <w:spacing w:val="-1"/>
        </w:rPr>
        <w:t>item</w:t>
      </w:r>
      <w:r>
        <w:rPr>
          <w:spacing w:val="47"/>
        </w:rPr>
        <w:t xml:space="preserve"> </w:t>
      </w:r>
      <w:r>
        <w:rPr>
          <w:spacing w:val="-1"/>
        </w:rPr>
        <w:t>is</w:t>
      </w:r>
      <w:r>
        <w:rPr>
          <w:spacing w:val="46"/>
        </w:rPr>
        <w:t xml:space="preserve"> </w:t>
      </w:r>
      <w:r>
        <w:rPr>
          <w:spacing w:val="-1"/>
        </w:rPr>
        <w:t>at</w:t>
      </w:r>
      <w:r>
        <w:rPr>
          <w:spacing w:val="47"/>
        </w:rPr>
        <w:t xml:space="preserve"> </w:t>
      </w:r>
      <w:r>
        <w:rPr>
          <w:spacing w:val="-2"/>
        </w:rPr>
        <w:t>least</w:t>
      </w:r>
      <w:r>
        <w:rPr>
          <w:spacing w:val="47"/>
        </w:rPr>
        <w:t xml:space="preserve"> </w:t>
      </w:r>
      <w:r>
        <w:rPr>
          <w:spacing w:val="-1"/>
        </w:rPr>
        <w:t>equivalent</w:t>
      </w:r>
      <w:r>
        <w:rPr>
          <w:spacing w:val="47"/>
        </w:rPr>
        <w:t xml:space="preserve"> </w:t>
      </w:r>
      <w:r>
        <w:t>to</w:t>
      </w:r>
      <w:r>
        <w:rPr>
          <w:spacing w:val="48"/>
        </w:rPr>
        <w:t xml:space="preserve"> </w:t>
      </w:r>
      <w:r>
        <w:t>the</w:t>
      </w:r>
      <w:r>
        <w:rPr>
          <w:spacing w:val="46"/>
        </w:rPr>
        <w:t xml:space="preserve"> </w:t>
      </w:r>
      <w:r>
        <w:rPr>
          <w:spacing w:val="-1"/>
        </w:rPr>
        <w:t>performance</w:t>
      </w:r>
      <w:r>
        <w:rPr>
          <w:spacing w:val="30"/>
        </w:rPr>
        <w:t xml:space="preserve"> </w:t>
      </w:r>
      <w:r>
        <w:rPr>
          <w:spacing w:val="-1"/>
        </w:rPr>
        <w:t>and</w:t>
      </w:r>
      <w:r>
        <w:rPr>
          <w:spacing w:val="-2"/>
        </w:rPr>
        <w:t xml:space="preserve"> </w:t>
      </w:r>
      <w:r>
        <w:rPr>
          <w:spacing w:val="-1"/>
        </w:rPr>
        <w:t>functionality</w:t>
      </w:r>
      <w:r>
        <w:rPr>
          <w:spacing w:val="-2"/>
        </w:rPr>
        <w:t xml:space="preserve"> of</w:t>
      </w:r>
      <w:r>
        <w:rPr>
          <w:spacing w:val="2"/>
        </w:rPr>
        <w:t xml:space="preserve"> </w:t>
      </w:r>
      <w:r>
        <w:t xml:space="preserve">the </w:t>
      </w:r>
      <w:r>
        <w:rPr>
          <w:spacing w:val="-1"/>
        </w:rPr>
        <w:t>original</w:t>
      </w:r>
      <w:r>
        <w:t xml:space="preserve"> </w:t>
      </w:r>
      <w:r>
        <w:rPr>
          <w:spacing w:val="-1"/>
        </w:rPr>
        <w:t>item;</w:t>
      </w:r>
    </w:p>
    <w:p w:rsidR="008918FA" w:rsidRDefault="008918FA" w:rsidP="008918FA">
      <w:pPr>
        <w:pStyle w:val="BodyText"/>
        <w:numPr>
          <w:ilvl w:val="4"/>
          <w:numId w:val="66"/>
        </w:numPr>
        <w:tabs>
          <w:tab w:val="left" w:pos="3503"/>
        </w:tabs>
        <w:ind w:left="3502" w:right="115" w:hanging="568"/>
        <w:jc w:val="both"/>
      </w:pPr>
      <w:r>
        <w:t>the</w:t>
      </w:r>
      <w:r>
        <w:rPr>
          <w:spacing w:val="24"/>
        </w:rPr>
        <w:t xml:space="preserve"> </w:t>
      </w:r>
      <w:r>
        <w:rPr>
          <w:spacing w:val="-1"/>
        </w:rPr>
        <w:t>replaced</w:t>
      </w:r>
      <w:r>
        <w:rPr>
          <w:spacing w:val="22"/>
        </w:rPr>
        <w:t xml:space="preserve"> </w:t>
      </w:r>
      <w:r>
        <w:rPr>
          <w:spacing w:val="-1"/>
        </w:rPr>
        <w:t>or</w:t>
      </w:r>
      <w:r>
        <w:rPr>
          <w:spacing w:val="23"/>
        </w:rPr>
        <w:t xml:space="preserve"> </w:t>
      </w:r>
      <w:r>
        <w:rPr>
          <w:spacing w:val="-1"/>
        </w:rPr>
        <w:t>modified</w:t>
      </w:r>
      <w:r>
        <w:rPr>
          <w:spacing w:val="22"/>
        </w:rPr>
        <w:t xml:space="preserve"> </w:t>
      </w:r>
      <w:r>
        <w:rPr>
          <w:spacing w:val="-1"/>
        </w:rPr>
        <w:t>item</w:t>
      </w:r>
      <w:r>
        <w:rPr>
          <w:spacing w:val="23"/>
        </w:rPr>
        <w:t xml:space="preserve"> </w:t>
      </w:r>
      <w:r>
        <w:rPr>
          <w:spacing w:val="-1"/>
        </w:rPr>
        <w:t>does</w:t>
      </w:r>
      <w:r>
        <w:rPr>
          <w:spacing w:val="25"/>
        </w:rPr>
        <w:t xml:space="preserve"> </w:t>
      </w:r>
      <w:r>
        <w:rPr>
          <w:spacing w:val="-2"/>
        </w:rPr>
        <w:t>not</w:t>
      </w:r>
      <w:r>
        <w:rPr>
          <w:spacing w:val="26"/>
        </w:rPr>
        <w:t xml:space="preserve"> </w:t>
      </w:r>
      <w:r>
        <w:rPr>
          <w:spacing w:val="-2"/>
        </w:rPr>
        <w:t>have</w:t>
      </w:r>
      <w:r>
        <w:rPr>
          <w:spacing w:val="24"/>
        </w:rPr>
        <w:t xml:space="preserve"> </w:t>
      </w:r>
      <w:r>
        <w:rPr>
          <w:spacing w:val="-1"/>
        </w:rPr>
        <w:t>an</w:t>
      </w:r>
      <w:r>
        <w:rPr>
          <w:spacing w:val="22"/>
        </w:rPr>
        <w:t xml:space="preserve"> </w:t>
      </w:r>
      <w:r>
        <w:rPr>
          <w:spacing w:val="-2"/>
        </w:rPr>
        <w:t>adverse</w:t>
      </w:r>
      <w:r>
        <w:rPr>
          <w:spacing w:val="40"/>
        </w:rPr>
        <w:t xml:space="preserve"> </w:t>
      </w:r>
      <w:r>
        <w:rPr>
          <w:spacing w:val="-1"/>
        </w:rPr>
        <w:t>effect</w:t>
      </w:r>
      <w:r>
        <w:rPr>
          <w:spacing w:val="2"/>
        </w:rPr>
        <w:t xml:space="preserve"> </w:t>
      </w:r>
      <w:r>
        <w:rPr>
          <w:spacing w:val="-1"/>
        </w:rPr>
        <w:t>on</w:t>
      </w:r>
      <w:r>
        <w:rPr>
          <w:spacing w:val="-2"/>
        </w:rPr>
        <w:t xml:space="preserve"> </w:t>
      </w:r>
      <w:r>
        <w:rPr>
          <w:spacing w:val="-1"/>
        </w:rPr>
        <w:t>any</w:t>
      </w:r>
      <w:r>
        <w:rPr>
          <w:spacing w:val="-2"/>
        </w:rPr>
        <w:t xml:space="preserve"> </w:t>
      </w:r>
      <w:r>
        <w:rPr>
          <w:spacing w:val="-1"/>
        </w:rPr>
        <w:t>other</w:t>
      </w:r>
      <w:r>
        <w:t xml:space="preserve"> </w:t>
      </w:r>
      <w:r>
        <w:rPr>
          <w:spacing w:val="-1"/>
        </w:rPr>
        <w:t>Goods</w:t>
      </w:r>
      <w:r>
        <w:rPr>
          <w:spacing w:val="1"/>
        </w:rPr>
        <w:t xml:space="preserve"> </w:t>
      </w:r>
      <w:r>
        <w:rPr>
          <w:spacing w:val="-1"/>
        </w:rPr>
        <w:t>and/or</w:t>
      </w:r>
      <w:r>
        <w:rPr>
          <w:spacing w:val="2"/>
        </w:rPr>
        <w:t xml:space="preserve"> </w:t>
      </w:r>
      <w:r>
        <w:rPr>
          <w:spacing w:val="-2"/>
        </w:rPr>
        <w:t>Services;</w:t>
      </w:r>
    </w:p>
    <w:p w:rsidR="008918FA" w:rsidRDefault="008918FA" w:rsidP="008918FA">
      <w:pPr>
        <w:pStyle w:val="BodyText"/>
        <w:numPr>
          <w:ilvl w:val="4"/>
          <w:numId w:val="66"/>
        </w:numPr>
        <w:tabs>
          <w:tab w:val="left" w:pos="3503"/>
        </w:tabs>
        <w:ind w:left="3502" w:hanging="568"/>
      </w:pPr>
      <w:r>
        <w:rPr>
          <w:spacing w:val="-1"/>
        </w:rPr>
        <w:t>there</w:t>
      </w:r>
      <w:r>
        <w:rPr>
          <w:spacing w:val="-2"/>
        </w:rPr>
        <w:t xml:space="preserve"> </w:t>
      </w:r>
      <w:r>
        <w:rPr>
          <w:spacing w:val="-1"/>
        </w:rPr>
        <w:t>is</w:t>
      </w:r>
      <w:r>
        <w:rPr>
          <w:spacing w:val="1"/>
        </w:rPr>
        <w:t xml:space="preserve"> </w:t>
      </w:r>
      <w:r>
        <w:rPr>
          <w:spacing w:val="-1"/>
        </w:rPr>
        <w:t>no</w:t>
      </w:r>
      <w:r>
        <w:t xml:space="preserve"> </w:t>
      </w:r>
      <w:r>
        <w:rPr>
          <w:spacing w:val="-2"/>
        </w:rPr>
        <w:t>additional</w:t>
      </w:r>
      <w:r>
        <w:t xml:space="preserve"> </w:t>
      </w:r>
      <w:r>
        <w:rPr>
          <w:spacing w:val="-1"/>
        </w:rPr>
        <w:t>cost</w:t>
      </w:r>
      <w:r>
        <w:t xml:space="preserve"> to</w:t>
      </w:r>
      <w:r>
        <w:rPr>
          <w:spacing w:val="-2"/>
        </w:rPr>
        <w:t xml:space="preserve"> </w:t>
      </w:r>
      <w:r>
        <w:t>the</w:t>
      </w:r>
      <w:r>
        <w:rPr>
          <w:spacing w:val="1"/>
        </w:rPr>
        <w:t xml:space="preserve"> </w:t>
      </w:r>
      <w:r>
        <w:rPr>
          <w:spacing w:val="-1"/>
        </w:rPr>
        <w:t>Customer;</w:t>
      </w:r>
      <w:r>
        <w:t xml:space="preserve"> </w:t>
      </w:r>
      <w:r>
        <w:rPr>
          <w:spacing w:val="-1"/>
        </w:rPr>
        <w:t>and</w:t>
      </w:r>
    </w:p>
    <w:p w:rsidR="008918FA" w:rsidRDefault="008918FA" w:rsidP="008918FA">
      <w:pPr>
        <w:pStyle w:val="BodyText"/>
        <w:numPr>
          <w:ilvl w:val="4"/>
          <w:numId w:val="66"/>
        </w:numPr>
        <w:tabs>
          <w:tab w:val="left" w:pos="3503"/>
        </w:tabs>
        <w:ind w:left="3502" w:right="111" w:hanging="568"/>
        <w:jc w:val="both"/>
      </w:pPr>
      <w:r>
        <w:t>the</w:t>
      </w:r>
      <w:r>
        <w:rPr>
          <w:spacing w:val="43"/>
        </w:rPr>
        <w:t xml:space="preserve"> </w:t>
      </w:r>
      <w:r>
        <w:rPr>
          <w:spacing w:val="-1"/>
        </w:rPr>
        <w:t>terms</w:t>
      </w:r>
      <w:r>
        <w:rPr>
          <w:spacing w:val="44"/>
        </w:rPr>
        <w:t xml:space="preserve"> </w:t>
      </w:r>
      <w:r>
        <w:rPr>
          <w:spacing w:val="-1"/>
        </w:rPr>
        <w:t>and</w:t>
      </w:r>
      <w:r>
        <w:rPr>
          <w:spacing w:val="43"/>
        </w:rPr>
        <w:t xml:space="preserve"> </w:t>
      </w:r>
      <w:r>
        <w:rPr>
          <w:spacing w:val="-1"/>
        </w:rPr>
        <w:t>conditions</w:t>
      </w:r>
      <w:r>
        <w:rPr>
          <w:spacing w:val="44"/>
        </w:rPr>
        <w:t xml:space="preserve"> </w:t>
      </w:r>
      <w:r>
        <w:rPr>
          <w:spacing w:val="-2"/>
        </w:rPr>
        <w:t>of</w:t>
      </w:r>
      <w:r>
        <w:rPr>
          <w:spacing w:val="47"/>
        </w:rPr>
        <w:t xml:space="preserve"> </w:t>
      </w:r>
      <w:r>
        <w:rPr>
          <w:spacing w:val="-1"/>
        </w:rPr>
        <w:t>this</w:t>
      </w:r>
      <w:r>
        <w:rPr>
          <w:spacing w:val="44"/>
        </w:rPr>
        <w:t xml:space="preserve"> </w:t>
      </w:r>
      <w:r>
        <w:rPr>
          <w:spacing w:val="-2"/>
        </w:rPr>
        <w:t>Call</w:t>
      </w:r>
      <w:r>
        <w:rPr>
          <w:spacing w:val="44"/>
        </w:rPr>
        <w:t xml:space="preserve"> </w:t>
      </w:r>
      <w:r>
        <w:rPr>
          <w:spacing w:val="-1"/>
        </w:rPr>
        <w:t>Off</w:t>
      </w:r>
      <w:r>
        <w:rPr>
          <w:spacing w:val="47"/>
        </w:rPr>
        <w:t xml:space="preserve"> </w:t>
      </w:r>
      <w:r>
        <w:rPr>
          <w:spacing w:val="-2"/>
        </w:rPr>
        <w:t>Contract</w:t>
      </w:r>
      <w:r>
        <w:rPr>
          <w:spacing w:val="48"/>
        </w:rPr>
        <w:t xml:space="preserve"> </w:t>
      </w:r>
      <w:r>
        <w:rPr>
          <w:spacing w:val="-1"/>
        </w:rPr>
        <w:t>shall</w:t>
      </w:r>
      <w:r>
        <w:rPr>
          <w:spacing w:val="39"/>
        </w:rPr>
        <w:t xml:space="preserve"> </w:t>
      </w:r>
      <w:r>
        <w:rPr>
          <w:spacing w:val="-1"/>
        </w:rPr>
        <w:t>apply</w:t>
      </w:r>
      <w:r>
        <w:rPr>
          <w:spacing w:val="-2"/>
        </w:rPr>
        <w:t xml:space="preserve"> </w:t>
      </w:r>
      <w:r>
        <w:t>to the</w:t>
      </w:r>
      <w:r>
        <w:rPr>
          <w:spacing w:val="-2"/>
        </w:rPr>
        <w:t xml:space="preserve"> </w:t>
      </w:r>
      <w:r>
        <w:rPr>
          <w:spacing w:val="-1"/>
        </w:rPr>
        <w:t>replaced</w:t>
      </w:r>
      <w:r>
        <w:t xml:space="preserve"> </w:t>
      </w:r>
      <w:r>
        <w:rPr>
          <w:spacing w:val="-2"/>
        </w:rPr>
        <w:t>or</w:t>
      </w:r>
      <w:r>
        <w:rPr>
          <w:spacing w:val="-1"/>
        </w:rPr>
        <w:t xml:space="preserve"> modified Goods</w:t>
      </w:r>
      <w:r>
        <w:rPr>
          <w:spacing w:val="1"/>
        </w:rPr>
        <w:t xml:space="preserve"> </w:t>
      </w:r>
      <w:r>
        <w:rPr>
          <w:spacing w:val="-2"/>
        </w:rPr>
        <w:t>and/or</w:t>
      </w:r>
      <w:r>
        <w:rPr>
          <w:spacing w:val="2"/>
        </w:rPr>
        <w:t xml:space="preserve"> </w:t>
      </w:r>
      <w:r>
        <w:rPr>
          <w:spacing w:val="-2"/>
        </w:rPr>
        <w:t>Services.</w:t>
      </w:r>
    </w:p>
    <w:p w:rsidR="008918FA" w:rsidRDefault="008918FA" w:rsidP="008918FA">
      <w:pPr>
        <w:pStyle w:val="BodyText"/>
        <w:numPr>
          <w:ilvl w:val="2"/>
          <w:numId w:val="66"/>
        </w:numPr>
        <w:tabs>
          <w:tab w:val="left" w:pos="2227"/>
        </w:tabs>
        <w:ind w:left="2225" w:right="113" w:hanging="993"/>
        <w:jc w:val="both"/>
      </w:pPr>
      <w:bookmarkStart w:id="212" w:name="_bookmark178"/>
      <w:bookmarkEnd w:id="212"/>
      <w:r>
        <w:rPr>
          <w:spacing w:val="-1"/>
        </w:rPr>
        <w:t>If</w:t>
      </w:r>
      <w:r>
        <w:rPr>
          <w:spacing w:val="30"/>
        </w:rPr>
        <w:t xml:space="preserve"> </w:t>
      </w:r>
      <w:r>
        <w:t>the</w:t>
      </w:r>
      <w:r>
        <w:rPr>
          <w:spacing w:val="29"/>
        </w:rPr>
        <w:t xml:space="preserve"> </w:t>
      </w:r>
      <w:r>
        <w:rPr>
          <w:spacing w:val="-2"/>
        </w:rPr>
        <w:t>Supplier</w:t>
      </w:r>
      <w:r>
        <w:rPr>
          <w:spacing w:val="28"/>
        </w:rPr>
        <w:t xml:space="preserve"> </w:t>
      </w:r>
      <w:r>
        <w:rPr>
          <w:spacing w:val="-1"/>
        </w:rPr>
        <w:t>elects</w:t>
      </w:r>
      <w:r>
        <w:rPr>
          <w:spacing w:val="27"/>
        </w:rPr>
        <w:t xml:space="preserve"> </w:t>
      </w:r>
      <w:r>
        <w:t>to</w:t>
      </w:r>
      <w:r>
        <w:rPr>
          <w:spacing w:val="28"/>
        </w:rPr>
        <w:t xml:space="preserve"> </w:t>
      </w:r>
      <w:r>
        <w:rPr>
          <w:spacing w:val="-1"/>
        </w:rPr>
        <w:t>procure</w:t>
      </w:r>
      <w:r>
        <w:rPr>
          <w:spacing w:val="27"/>
        </w:rPr>
        <w:t xml:space="preserve"> </w:t>
      </w:r>
      <w:r>
        <w:t>a</w:t>
      </w:r>
      <w:r>
        <w:rPr>
          <w:spacing w:val="29"/>
        </w:rPr>
        <w:t xml:space="preserve"> </w:t>
      </w:r>
      <w:r>
        <w:rPr>
          <w:spacing w:val="-1"/>
        </w:rPr>
        <w:t>licence</w:t>
      </w:r>
      <w:r>
        <w:rPr>
          <w:spacing w:val="30"/>
        </w:rPr>
        <w:t xml:space="preserve"> </w:t>
      </w:r>
      <w:r>
        <w:rPr>
          <w:spacing w:val="-1"/>
        </w:rPr>
        <w:t>in</w:t>
      </w:r>
      <w:r>
        <w:rPr>
          <w:spacing w:val="29"/>
        </w:rPr>
        <w:t xml:space="preserve"> </w:t>
      </w:r>
      <w:r>
        <w:rPr>
          <w:spacing w:val="-2"/>
        </w:rPr>
        <w:t>accordance</w:t>
      </w:r>
      <w:r>
        <w:rPr>
          <w:spacing w:val="30"/>
        </w:rPr>
        <w:t xml:space="preserve"> </w:t>
      </w:r>
      <w:r>
        <w:rPr>
          <w:spacing w:val="-2"/>
        </w:rPr>
        <w:t>with</w:t>
      </w:r>
      <w:r>
        <w:rPr>
          <w:spacing w:val="29"/>
        </w:rPr>
        <w:t xml:space="preserve"> </w:t>
      </w:r>
      <w:r>
        <w:rPr>
          <w:spacing w:val="-2"/>
        </w:rPr>
        <w:t>Clause</w:t>
      </w:r>
      <w:hyperlink w:anchor="_bookmark176" w:history="1">
        <w:r>
          <w:rPr>
            <w:spacing w:val="58"/>
          </w:rPr>
          <w:t xml:space="preserve"> </w:t>
        </w:r>
        <w:r>
          <w:rPr>
            <w:spacing w:val="-1"/>
          </w:rPr>
          <w:t>33.9.2(a)</w:t>
        </w:r>
      </w:hyperlink>
      <w:r>
        <w:rPr>
          <w:spacing w:val="9"/>
        </w:rPr>
        <w:t xml:space="preserve"> </w:t>
      </w:r>
      <w:r>
        <w:rPr>
          <w:spacing w:val="-1"/>
        </w:rPr>
        <w:t>or</w:t>
      </w:r>
      <w:r>
        <w:rPr>
          <w:spacing w:val="6"/>
        </w:rPr>
        <w:t xml:space="preserve"> </w:t>
      </w:r>
      <w:r>
        <w:t>to</w:t>
      </w:r>
      <w:r>
        <w:rPr>
          <w:spacing w:val="8"/>
        </w:rPr>
        <w:t xml:space="preserve"> </w:t>
      </w:r>
      <w:r>
        <w:rPr>
          <w:spacing w:val="-1"/>
        </w:rPr>
        <w:t>modify</w:t>
      </w:r>
      <w:r>
        <w:rPr>
          <w:spacing w:val="5"/>
        </w:rPr>
        <w:t xml:space="preserve"> </w:t>
      </w:r>
      <w:r>
        <w:rPr>
          <w:spacing w:val="-1"/>
        </w:rPr>
        <w:t>or</w:t>
      </w:r>
      <w:r>
        <w:rPr>
          <w:spacing w:val="9"/>
        </w:rPr>
        <w:t xml:space="preserve"> </w:t>
      </w:r>
      <w:r>
        <w:rPr>
          <w:spacing w:val="-1"/>
        </w:rPr>
        <w:t>replace</w:t>
      </w:r>
      <w:r>
        <w:rPr>
          <w:spacing w:val="8"/>
        </w:rPr>
        <w:t xml:space="preserve"> </w:t>
      </w:r>
      <w:r>
        <w:rPr>
          <w:spacing w:val="-1"/>
        </w:rPr>
        <w:t>an</w:t>
      </w:r>
      <w:r>
        <w:rPr>
          <w:spacing w:val="7"/>
        </w:rPr>
        <w:t xml:space="preserve"> </w:t>
      </w:r>
      <w:r>
        <w:rPr>
          <w:spacing w:val="-1"/>
        </w:rPr>
        <w:t>item</w:t>
      </w:r>
      <w:r>
        <w:rPr>
          <w:spacing w:val="9"/>
        </w:rPr>
        <w:t xml:space="preserve"> </w:t>
      </w:r>
      <w:r>
        <w:rPr>
          <w:spacing w:val="-1"/>
        </w:rPr>
        <w:t>pursuant</w:t>
      </w:r>
      <w:r>
        <w:rPr>
          <w:spacing w:val="7"/>
        </w:rPr>
        <w:t xml:space="preserve"> </w:t>
      </w:r>
      <w:r>
        <w:t>to</w:t>
      </w:r>
      <w:r>
        <w:rPr>
          <w:spacing w:val="7"/>
        </w:rPr>
        <w:t xml:space="preserve"> </w:t>
      </w:r>
      <w:r>
        <w:rPr>
          <w:spacing w:val="-2"/>
        </w:rPr>
        <w:t>Clause</w:t>
      </w:r>
      <w:r>
        <w:rPr>
          <w:spacing w:val="10"/>
        </w:rPr>
        <w:t xml:space="preserve"> </w:t>
      </w:r>
      <w:hyperlink w:anchor="_bookmark177" w:history="1">
        <w:r>
          <w:rPr>
            <w:spacing w:val="-1"/>
          </w:rPr>
          <w:t>33.9.2(b)</w:t>
        </w:r>
      </w:hyperlink>
      <w:r>
        <w:rPr>
          <w:spacing w:val="-1"/>
        </w:rPr>
        <w:t>,</w:t>
      </w:r>
      <w:r>
        <w:rPr>
          <w:spacing w:val="55"/>
        </w:rPr>
        <w:t xml:space="preserve"> </w:t>
      </w:r>
      <w:r>
        <w:rPr>
          <w:spacing w:val="-1"/>
        </w:rPr>
        <w:t>but</w:t>
      </w:r>
      <w:r>
        <w:t xml:space="preserve"> </w:t>
      </w:r>
      <w:r>
        <w:rPr>
          <w:spacing w:val="-1"/>
        </w:rPr>
        <w:t>this</w:t>
      </w:r>
      <w:r>
        <w:rPr>
          <w:spacing w:val="1"/>
        </w:rPr>
        <w:t xml:space="preserve"> </w:t>
      </w:r>
      <w:r>
        <w:rPr>
          <w:spacing w:val="-1"/>
        </w:rPr>
        <w:t>has</w:t>
      </w:r>
      <w:r>
        <w:rPr>
          <w:spacing w:val="-2"/>
        </w:rPr>
        <w:t xml:space="preserve"> </w:t>
      </w:r>
      <w:r>
        <w:rPr>
          <w:spacing w:val="-1"/>
        </w:rPr>
        <w:t>not</w:t>
      </w:r>
      <w:r>
        <w:t xml:space="preserve"> </w:t>
      </w:r>
      <w:r>
        <w:rPr>
          <w:spacing w:val="-2"/>
        </w:rPr>
        <w:t>avoided</w:t>
      </w:r>
      <w:r>
        <w:t xml:space="preserve"> </w:t>
      </w:r>
      <w:r>
        <w:rPr>
          <w:spacing w:val="-1"/>
        </w:rPr>
        <w:t>or</w:t>
      </w:r>
      <w:r>
        <w:rPr>
          <w:spacing w:val="2"/>
        </w:rPr>
        <w:t xml:space="preserve"> </w:t>
      </w:r>
      <w:r>
        <w:rPr>
          <w:spacing w:val="-2"/>
        </w:rPr>
        <w:t>resolved</w:t>
      </w:r>
      <w:r>
        <w:t xml:space="preserve"> the</w:t>
      </w:r>
      <w:r>
        <w:rPr>
          <w:spacing w:val="-2"/>
        </w:rPr>
        <w:t xml:space="preserve"> </w:t>
      </w:r>
      <w:r>
        <w:t xml:space="preserve">IPR </w:t>
      </w:r>
      <w:r>
        <w:rPr>
          <w:spacing w:val="-2"/>
        </w:rPr>
        <w:t>Claim,</w:t>
      </w:r>
      <w:r>
        <w:t xml:space="preserve"> </w:t>
      </w:r>
      <w:r>
        <w:rPr>
          <w:spacing w:val="-1"/>
        </w:rPr>
        <w:t>then:</w:t>
      </w:r>
    </w:p>
    <w:p w:rsidR="008918FA" w:rsidRDefault="008918FA" w:rsidP="008918FA">
      <w:pPr>
        <w:pStyle w:val="BodyText"/>
        <w:numPr>
          <w:ilvl w:val="0"/>
          <w:numId w:val="64"/>
        </w:numPr>
        <w:tabs>
          <w:tab w:val="left" w:pos="3503"/>
        </w:tabs>
        <w:ind w:right="109"/>
        <w:jc w:val="both"/>
      </w:pPr>
      <w:r>
        <w:t>the</w:t>
      </w:r>
      <w:r>
        <w:rPr>
          <w:spacing w:val="60"/>
        </w:rPr>
        <w:t xml:space="preserve"> </w:t>
      </w:r>
      <w:r>
        <w:rPr>
          <w:spacing w:val="-1"/>
        </w:rPr>
        <w:t>Customer</w:t>
      </w:r>
      <w:r>
        <w:rPr>
          <w:spacing w:val="59"/>
        </w:rPr>
        <w:t xml:space="preserve"> </w:t>
      </w:r>
      <w:r>
        <w:rPr>
          <w:spacing w:val="-1"/>
        </w:rPr>
        <w:t>may</w:t>
      </w:r>
      <w:r>
        <w:rPr>
          <w:spacing w:val="58"/>
        </w:rPr>
        <w:t xml:space="preserve"> </w:t>
      </w:r>
      <w:r>
        <w:rPr>
          <w:spacing w:val="-1"/>
        </w:rPr>
        <w:t>terminate</w:t>
      </w:r>
      <w:r>
        <w:rPr>
          <w:spacing w:val="60"/>
        </w:rPr>
        <w:t xml:space="preserve"> </w:t>
      </w:r>
      <w:r>
        <w:rPr>
          <w:spacing w:val="-1"/>
        </w:rPr>
        <w:t>this</w:t>
      </w:r>
      <w:r>
        <w:t xml:space="preserve">  </w:t>
      </w:r>
      <w:r>
        <w:rPr>
          <w:spacing w:val="-2"/>
        </w:rPr>
        <w:t>Call</w:t>
      </w:r>
      <w:r>
        <w:rPr>
          <w:spacing w:val="60"/>
        </w:rPr>
        <w:t xml:space="preserve"> </w:t>
      </w:r>
      <w:r>
        <w:rPr>
          <w:spacing w:val="-1"/>
        </w:rPr>
        <w:t>Off</w:t>
      </w:r>
      <w:r>
        <w:rPr>
          <w:spacing w:val="1"/>
        </w:rPr>
        <w:t xml:space="preserve"> </w:t>
      </w:r>
      <w:r>
        <w:rPr>
          <w:spacing w:val="-2"/>
        </w:rPr>
        <w:t>Contract</w:t>
      </w:r>
      <w:r>
        <w:rPr>
          <w:spacing w:val="1"/>
        </w:rPr>
        <w:t xml:space="preserve"> </w:t>
      </w:r>
      <w:r>
        <w:rPr>
          <w:spacing w:val="-1"/>
        </w:rPr>
        <w:t>by</w:t>
      </w:r>
      <w:r>
        <w:rPr>
          <w:spacing w:val="45"/>
        </w:rPr>
        <w:t xml:space="preserve"> </w:t>
      </w:r>
      <w:r>
        <w:rPr>
          <w:spacing w:val="-1"/>
        </w:rPr>
        <w:t>written</w:t>
      </w:r>
      <w:r>
        <w:t xml:space="preserve"> </w:t>
      </w:r>
      <w:r>
        <w:rPr>
          <w:spacing w:val="-1"/>
        </w:rPr>
        <w:t>notice</w:t>
      </w:r>
      <w:r>
        <w:rPr>
          <w:spacing w:val="1"/>
        </w:rPr>
        <w:t xml:space="preserve"> </w:t>
      </w:r>
      <w:r>
        <w:rPr>
          <w:spacing w:val="-2"/>
        </w:rPr>
        <w:t>with</w:t>
      </w:r>
      <w:r>
        <w:t xml:space="preserve"> </w:t>
      </w:r>
      <w:r>
        <w:rPr>
          <w:spacing w:val="-2"/>
        </w:rPr>
        <w:t>immediate</w:t>
      </w:r>
      <w:r>
        <w:t xml:space="preserve"> </w:t>
      </w:r>
      <w:r>
        <w:rPr>
          <w:spacing w:val="-1"/>
        </w:rPr>
        <w:t>effect;</w:t>
      </w:r>
      <w:r>
        <w:t xml:space="preserve"> </w:t>
      </w:r>
      <w:r>
        <w:rPr>
          <w:spacing w:val="-1"/>
        </w:rPr>
        <w:t>and</w:t>
      </w:r>
    </w:p>
    <w:p w:rsidR="008918FA" w:rsidRDefault="008918FA" w:rsidP="008918FA">
      <w:pPr>
        <w:pStyle w:val="BodyText"/>
        <w:numPr>
          <w:ilvl w:val="0"/>
          <w:numId w:val="64"/>
        </w:numPr>
        <w:tabs>
          <w:tab w:val="left" w:pos="3503"/>
        </w:tabs>
        <w:ind w:right="112"/>
        <w:jc w:val="both"/>
      </w:pPr>
      <w:r>
        <w:rPr>
          <w:spacing w:val="-1"/>
        </w:rPr>
        <w:t>without</w:t>
      </w:r>
      <w:r>
        <w:t xml:space="preserve"> </w:t>
      </w:r>
      <w:r>
        <w:rPr>
          <w:spacing w:val="-1"/>
        </w:rPr>
        <w:t>prejudice</w:t>
      </w:r>
      <w:r>
        <w:t xml:space="preserve"> </w:t>
      </w:r>
      <w:r>
        <w:rPr>
          <w:spacing w:val="19"/>
        </w:rPr>
        <w:t xml:space="preserve"> </w:t>
      </w:r>
      <w:r>
        <w:t xml:space="preserve">to </w:t>
      </w:r>
      <w:r>
        <w:rPr>
          <w:spacing w:val="18"/>
        </w:rPr>
        <w:t xml:space="preserve"> </w:t>
      </w:r>
      <w:r>
        <w:t xml:space="preserve">the  </w:t>
      </w:r>
      <w:r>
        <w:rPr>
          <w:spacing w:val="18"/>
        </w:rPr>
        <w:t xml:space="preserve"> </w:t>
      </w:r>
      <w:r>
        <w:rPr>
          <w:spacing w:val="-1"/>
        </w:rPr>
        <w:t>indemnity</w:t>
      </w:r>
      <w:r>
        <w:t xml:space="preserve">  </w:t>
      </w:r>
      <w:r>
        <w:rPr>
          <w:spacing w:val="19"/>
        </w:rPr>
        <w:t xml:space="preserve"> </w:t>
      </w:r>
      <w:r>
        <w:rPr>
          <w:spacing w:val="-1"/>
        </w:rPr>
        <w:t>set</w:t>
      </w:r>
      <w:r>
        <w:t xml:space="preserve">  </w:t>
      </w:r>
      <w:r>
        <w:rPr>
          <w:spacing w:val="20"/>
        </w:rPr>
        <w:t xml:space="preserve"> </w:t>
      </w:r>
      <w:r>
        <w:rPr>
          <w:spacing w:val="-1"/>
        </w:rPr>
        <w:t>out</w:t>
      </w:r>
      <w:r>
        <w:t xml:space="preserve">  </w:t>
      </w:r>
      <w:r>
        <w:rPr>
          <w:spacing w:val="20"/>
        </w:rPr>
        <w:t xml:space="preserve"> </w:t>
      </w:r>
      <w:r>
        <w:rPr>
          <w:spacing w:val="-1"/>
        </w:rPr>
        <w:t>in</w:t>
      </w:r>
      <w:r>
        <w:rPr>
          <w:spacing w:val="29"/>
        </w:rPr>
        <w:t xml:space="preserve"> </w:t>
      </w:r>
      <w:r>
        <w:rPr>
          <w:spacing w:val="-2"/>
        </w:rPr>
        <w:t>Clause</w:t>
      </w:r>
      <w:r>
        <w:rPr>
          <w:spacing w:val="2"/>
        </w:rPr>
        <w:t xml:space="preserve"> </w:t>
      </w:r>
      <w:hyperlink w:anchor="_bookmark174" w:history="1">
        <w:r>
          <w:rPr>
            <w:spacing w:val="-1"/>
          </w:rPr>
          <w:t>33.9.1</w:t>
        </w:r>
      </w:hyperlink>
      <w:r>
        <w:rPr>
          <w:spacing w:val="-1"/>
        </w:rPr>
        <w:t>,</w:t>
      </w:r>
      <w:r>
        <w:rPr>
          <w:spacing w:val="21"/>
        </w:rPr>
        <w:t xml:space="preserve"> </w:t>
      </w:r>
      <w:r>
        <w:t>the</w:t>
      </w:r>
      <w:r>
        <w:rPr>
          <w:spacing w:val="20"/>
        </w:rPr>
        <w:t xml:space="preserve"> </w:t>
      </w:r>
      <w:r>
        <w:rPr>
          <w:spacing w:val="-2"/>
        </w:rPr>
        <w:t>Supplier</w:t>
      </w:r>
      <w:r>
        <w:rPr>
          <w:spacing w:val="21"/>
        </w:rPr>
        <w:t xml:space="preserve"> </w:t>
      </w:r>
      <w:r>
        <w:rPr>
          <w:spacing w:val="-1"/>
        </w:rPr>
        <w:t>shall</w:t>
      </w:r>
      <w:r>
        <w:rPr>
          <w:spacing w:val="19"/>
        </w:rPr>
        <w:t xml:space="preserve"> </w:t>
      </w:r>
      <w:r>
        <w:rPr>
          <w:spacing w:val="-1"/>
        </w:rPr>
        <w:t>be</w:t>
      </w:r>
      <w:r>
        <w:rPr>
          <w:spacing w:val="20"/>
        </w:rPr>
        <w:t xml:space="preserve"> </w:t>
      </w:r>
      <w:r>
        <w:rPr>
          <w:spacing w:val="-1"/>
        </w:rPr>
        <w:t>liable</w:t>
      </w:r>
      <w:r>
        <w:rPr>
          <w:spacing w:val="22"/>
        </w:rPr>
        <w:t xml:space="preserve"> </w:t>
      </w:r>
      <w:r>
        <w:t>for</w:t>
      </w:r>
      <w:r>
        <w:rPr>
          <w:spacing w:val="21"/>
        </w:rPr>
        <w:t xml:space="preserve"> </w:t>
      </w:r>
      <w:r>
        <w:rPr>
          <w:spacing w:val="-1"/>
        </w:rPr>
        <w:t>all</w:t>
      </w:r>
      <w:r>
        <w:rPr>
          <w:spacing w:val="31"/>
        </w:rPr>
        <w:t xml:space="preserve"> </w:t>
      </w:r>
      <w:r>
        <w:rPr>
          <w:spacing w:val="-1"/>
        </w:rPr>
        <w:t>reasonable</w:t>
      </w:r>
      <w:r>
        <w:rPr>
          <w:spacing w:val="3"/>
        </w:rPr>
        <w:t xml:space="preserve"> </w:t>
      </w:r>
      <w:r>
        <w:rPr>
          <w:spacing w:val="-1"/>
        </w:rPr>
        <w:t>and</w:t>
      </w:r>
      <w:r>
        <w:rPr>
          <w:spacing w:val="3"/>
        </w:rPr>
        <w:t xml:space="preserve"> </w:t>
      </w:r>
      <w:r>
        <w:rPr>
          <w:spacing w:val="-1"/>
        </w:rPr>
        <w:t>unavoidable</w:t>
      </w:r>
      <w:r>
        <w:rPr>
          <w:spacing w:val="3"/>
        </w:rPr>
        <w:t xml:space="preserve"> </w:t>
      </w:r>
      <w:r>
        <w:rPr>
          <w:spacing w:val="-1"/>
        </w:rPr>
        <w:t>costs</w:t>
      </w:r>
      <w:r>
        <w:rPr>
          <w:spacing w:val="3"/>
        </w:rPr>
        <w:t xml:space="preserve"> </w:t>
      </w:r>
      <w:r>
        <w:rPr>
          <w:spacing w:val="-1"/>
        </w:rPr>
        <w:t>of</w:t>
      </w:r>
      <w:r>
        <w:rPr>
          <w:spacing w:val="6"/>
        </w:rPr>
        <w:t xml:space="preserve"> </w:t>
      </w:r>
      <w:r>
        <w:t>the</w:t>
      </w:r>
      <w:r>
        <w:rPr>
          <w:spacing w:val="3"/>
        </w:rPr>
        <w:t xml:space="preserve"> </w:t>
      </w:r>
      <w:r>
        <w:rPr>
          <w:spacing w:val="-1"/>
        </w:rPr>
        <w:t>substitute</w:t>
      </w:r>
      <w:r>
        <w:rPr>
          <w:spacing w:val="5"/>
        </w:rPr>
        <w:t xml:space="preserve"> </w:t>
      </w:r>
      <w:r>
        <w:rPr>
          <w:spacing w:val="-1"/>
        </w:rPr>
        <w:t>goods</w:t>
      </w:r>
      <w:r>
        <w:rPr>
          <w:spacing w:val="33"/>
        </w:rPr>
        <w:t xml:space="preserve"> </w:t>
      </w:r>
      <w:r>
        <w:rPr>
          <w:spacing w:val="-1"/>
        </w:rPr>
        <w:t>and/or</w:t>
      </w:r>
      <w:r>
        <w:rPr>
          <w:spacing w:val="49"/>
        </w:rPr>
        <w:t xml:space="preserve"> </w:t>
      </w:r>
      <w:r>
        <w:rPr>
          <w:spacing w:val="-1"/>
        </w:rPr>
        <w:t>services</w:t>
      </w:r>
      <w:r>
        <w:rPr>
          <w:spacing w:val="51"/>
        </w:rPr>
        <w:t xml:space="preserve"> </w:t>
      </w:r>
      <w:r>
        <w:rPr>
          <w:spacing w:val="-2"/>
        </w:rPr>
        <w:t>including</w:t>
      </w:r>
      <w:r>
        <w:rPr>
          <w:spacing w:val="51"/>
        </w:rPr>
        <w:t xml:space="preserve"> </w:t>
      </w:r>
      <w:r>
        <w:t>the</w:t>
      </w:r>
      <w:r>
        <w:rPr>
          <w:spacing w:val="51"/>
        </w:rPr>
        <w:t xml:space="preserve"> </w:t>
      </w:r>
      <w:r>
        <w:rPr>
          <w:spacing w:val="-1"/>
        </w:rPr>
        <w:t>additional</w:t>
      </w:r>
      <w:r>
        <w:rPr>
          <w:spacing w:val="47"/>
        </w:rPr>
        <w:t xml:space="preserve"> </w:t>
      </w:r>
      <w:r>
        <w:rPr>
          <w:spacing w:val="-1"/>
        </w:rPr>
        <w:t>costs</w:t>
      </w:r>
      <w:r>
        <w:rPr>
          <w:spacing w:val="46"/>
        </w:rPr>
        <w:t xml:space="preserve"> </w:t>
      </w:r>
      <w:r>
        <w:rPr>
          <w:spacing w:val="-2"/>
        </w:rPr>
        <w:t>of</w:t>
      </w:r>
      <w:r>
        <w:rPr>
          <w:spacing w:val="37"/>
        </w:rPr>
        <w:t xml:space="preserve"> </w:t>
      </w:r>
      <w:r>
        <w:rPr>
          <w:spacing w:val="-1"/>
        </w:rPr>
        <w:t>procuring,</w:t>
      </w:r>
      <w:r>
        <w:rPr>
          <w:spacing w:val="1"/>
        </w:rPr>
        <w:t xml:space="preserve"> </w:t>
      </w:r>
      <w:r>
        <w:rPr>
          <w:spacing w:val="-1"/>
        </w:rPr>
        <w:t>implementing</w:t>
      </w:r>
      <w:r>
        <w:rPr>
          <w:spacing w:val="2"/>
        </w:rPr>
        <w:t xml:space="preserve"> </w:t>
      </w:r>
      <w:r>
        <w:rPr>
          <w:spacing w:val="-1"/>
        </w:rPr>
        <w:t>and</w:t>
      </w:r>
      <w:r>
        <w:rPr>
          <w:spacing w:val="2"/>
        </w:rPr>
        <w:t xml:space="preserve"> </w:t>
      </w:r>
      <w:r>
        <w:rPr>
          <w:spacing w:val="-2"/>
        </w:rPr>
        <w:t>maintaining</w:t>
      </w:r>
      <w:r>
        <w:rPr>
          <w:spacing w:val="4"/>
        </w:rPr>
        <w:t xml:space="preserve"> </w:t>
      </w:r>
      <w:r>
        <w:t>the</w:t>
      </w:r>
      <w:r>
        <w:rPr>
          <w:spacing w:val="60"/>
        </w:rPr>
        <w:t xml:space="preserve"> </w:t>
      </w:r>
      <w:r>
        <w:rPr>
          <w:spacing w:val="-1"/>
        </w:rPr>
        <w:t>substitute</w:t>
      </w:r>
      <w:r>
        <w:rPr>
          <w:spacing w:val="33"/>
        </w:rPr>
        <w:t xml:space="preserve"> </w:t>
      </w:r>
      <w:r>
        <w:rPr>
          <w:spacing w:val="-2"/>
        </w:rPr>
        <w:t>items.</w:t>
      </w:r>
    </w:p>
    <w:p w:rsidR="008918FA" w:rsidRDefault="008918FA" w:rsidP="008918FA">
      <w:pPr>
        <w:pStyle w:val="BodyText"/>
        <w:numPr>
          <w:ilvl w:val="0"/>
          <w:numId w:val="66"/>
        </w:numPr>
        <w:tabs>
          <w:tab w:val="left" w:pos="667"/>
        </w:tabs>
        <w:spacing w:before="120"/>
        <w:ind w:left="666" w:hanging="566"/>
        <w:rPr>
          <w:rFonts w:ascii="Times New Roman" w:eastAsia="Times New Roman" w:hAnsi="Times New Roman" w:cs="Times New Roman"/>
        </w:rPr>
      </w:pPr>
      <w:bookmarkStart w:id="213" w:name="_bookmark179"/>
      <w:bookmarkEnd w:id="213"/>
      <w:r>
        <w:rPr>
          <w:rFonts w:ascii="Times New Roman"/>
          <w:spacing w:val="4"/>
        </w:rPr>
        <w:t>SECURITY</w:t>
      </w:r>
      <w:r>
        <w:rPr>
          <w:rFonts w:ascii="Times New Roman"/>
          <w:spacing w:val="-1"/>
        </w:rPr>
        <w:t xml:space="preserve"> </w:t>
      </w:r>
      <w:r>
        <w:rPr>
          <w:rFonts w:ascii="Times New Roman"/>
          <w:spacing w:val="-2"/>
        </w:rPr>
        <w:t>AND</w:t>
      </w:r>
      <w:r>
        <w:rPr>
          <w:rFonts w:ascii="Times New Roman"/>
          <w:spacing w:val="6"/>
        </w:rPr>
        <w:t xml:space="preserve"> PROTECTION OF</w:t>
      </w:r>
      <w:r>
        <w:rPr>
          <w:rFonts w:ascii="Times New Roman"/>
          <w:spacing w:val="16"/>
        </w:rPr>
        <w:t xml:space="preserve"> </w:t>
      </w:r>
      <w:r>
        <w:rPr>
          <w:rFonts w:ascii="Times New Roman"/>
        </w:rPr>
        <w:t>INFORMATION</w:t>
      </w:r>
    </w:p>
    <w:p w:rsidR="008918FA" w:rsidRDefault="008918FA" w:rsidP="008918FA">
      <w:pPr>
        <w:rPr>
          <w:rFonts w:ascii="Times New Roman" w:eastAsia="Times New Roman" w:hAnsi="Times New Roman" w:cs="Times New Roman"/>
        </w:rPr>
        <w:sectPr w:rsidR="008918FA">
          <w:pgSz w:w="11910" w:h="16840"/>
          <w:pgMar w:top="1480" w:right="1300" w:bottom="1180" w:left="1340" w:header="0" w:footer="967" w:gutter="0"/>
          <w:cols w:space="720"/>
        </w:sectPr>
      </w:pPr>
    </w:p>
    <w:p w:rsidR="008918FA" w:rsidRDefault="008918FA" w:rsidP="008918FA">
      <w:pPr>
        <w:pStyle w:val="Heading1"/>
        <w:numPr>
          <w:ilvl w:val="1"/>
          <w:numId w:val="66"/>
        </w:numPr>
        <w:tabs>
          <w:tab w:val="left" w:pos="893"/>
        </w:tabs>
        <w:spacing w:before="57"/>
        <w:ind w:left="892" w:hanging="564"/>
        <w:rPr>
          <w:b w:val="0"/>
          <w:bCs w:val="0"/>
        </w:rPr>
      </w:pPr>
      <w:bookmarkStart w:id="214" w:name="_bookmark180"/>
      <w:bookmarkEnd w:id="214"/>
      <w:r>
        <w:rPr>
          <w:spacing w:val="-1"/>
        </w:rPr>
        <w:t>Security</w:t>
      </w:r>
      <w:r>
        <w:rPr>
          <w:spacing w:val="-4"/>
        </w:rPr>
        <w:t xml:space="preserve"> </w:t>
      </w:r>
      <w:r>
        <w:rPr>
          <w:spacing w:val="-1"/>
        </w:rPr>
        <w:t>Requirements</w:t>
      </w:r>
    </w:p>
    <w:p w:rsidR="008918FA" w:rsidRDefault="008918FA" w:rsidP="008918FA">
      <w:pPr>
        <w:pStyle w:val="BodyText"/>
        <w:numPr>
          <w:ilvl w:val="2"/>
          <w:numId w:val="66"/>
        </w:numPr>
        <w:tabs>
          <w:tab w:val="left" w:pos="1887"/>
        </w:tabs>
        <w:spacing w:before="121"/>
        <w:ind w:left="1886" w:right="111"/>
        <w:jc w:val="both"/>
      </w:pPr>
      <w:r>
        <w:t>The</w:t>
      </w:r>
      <w:r>
        <w:rPr>
          <w:spacing w:val="20"/>
        </w:rPr>
        <w:t xml:space="preserve"> </w:t>
      </w:r>
      <w:r>
        <w:rPr>
          <w:spacing w:val="-2"/>
        </w:rPr>
        <w:t>Supplier</w:t>
      </w:r>
      <w:r>
        <w:rPr>
          <w:spacing w:val="21"/>
        </w:rPr>
        <w:t xml:space="preserve"> </w:t>
      </w:r>
      <w:r>
        <w:rPr>
          <w:spacing w:val="-1"/>
        </w:rPr>
        <w:t>shall</w:t>
      </w:r>
      <w:r>
        <w:rPr>
          <w:spacing w:val="19"/>
        </w:rPr>
        <w:t xml:space="preserve"> </w:t>
      </w:r>
      <w:r>
        <w:rPr>
          <w:spacing w:val="-1"/>
        </w:rPr>
        <w:t>comply</w:t>
      </w:r>
      <w:r>
        <w:rPr>
          <w:spacing w:val="20"/>
        </w:rPr>
        <w:t xml:space="preserve"> </w:t>
      </w:r>
      <w:r>
        <w:rPr>
          <w:spacing w:val="-2"/>
        </w:rPr>
        <w:t>with</w:t>
      </w:r>
      <w:r>
        <w:rPr>
          <w:spacing w:val="20"/>
        </w:rPr>
        <w:t xml:space="preserve"> </w:t>
      </w:r>
      <w:r>
        <w:t>the</w:t>
      </w:r>
      <w:r>
        <w:rPr>
          <w:spacing w:val="20"/>
        </w:rPr>
        <w:t xml:space="preserve"> </w:t>
      </w:r>
      <w:r>
        <w:rPr>
          <w:spacing w:val="-1"/>
        </w:rPr>
        <w:t>Security</w:t>
      </w:r>
      <w:r>
        <w:rPr>
          <w:spacing w:val="18"/>
        </w:rPr>
        <w:t xml:space="preserve"> </w:t>
      </w:r>
      <w:r>
        <w:rPr>
          <w:spacing w:val="-1"/>
        </w:rPr>
        <w:t>Policy</w:t>
      </w:r>
      <w:r>
        <w:rPr>
          <w:spacing w:val="18"/>
        </w:rPr>
        <w:t xml:space="preserve"> </w:t>
      </w:r>
      <w:r>
        <w:rPr>
          <w:spacing w:val="-1"/>
        </w:rPr>
        <w:t>and</w:t>
      </w:r>
      <w:r>
        <w:rPr>
          <w:spacing w:val="20"/>
        </w:rPr>
        <w:t xml:space="preserve"> </w:t>
      </w:r>
      <w:r>
        <w:rPr>
          <w:spacing w:val="-1"/>
        </w:rPr>
        <w:t>the</w:t>
      </w:r>
      <w:r>
        <w:rPr>
          <w:spacing w:val="50"/>
        </w:rPr>
        <w:t xml:space="preserve"> </w:t>
      </w:r>
      <w:r>
        <w:rPr>
          <w:spacing w:val="-1"/>
        </w:rPr>
        <w:t>requirements</w:t>
      </w:r>
      <w:r>
        <w:rPr>
          <w:spacing w:val="32"/>
        </w:rPr>
        <w:t xml:space="preserve"> </w:t>
      </w:r>
      <w:r>
        <w:rPr>
          <w:spacing w:val="-2"/>
        </w:rPr>
        <w:t>of</w:t>
      </w:r>
      <w:r>
        <w:rPr>
          <w:spacing w:val="33"/>
        </w:rPr>
        <w:t xml:space="preserve"> </w:t>
      </w:r>
      <w:r>
        <w:rPr>
          <w:spacing w:val="-2"/>
        </w:rPr>
        <w:t>Call</w:t>
      </w:r>
      <w:r>
        <w:rPr>
          <w:spacing w:val="28"/>
        </w:rPr>
        <w:t xml:space="preserve"> </w:t>
      </w:r>
      <w:r>
        <w:rPr>
          <w:spacing w:val="-1"/>
        </w:rPr>
        <w:t>Off</w:t>
      </w:r>
      <w:r>
        <w:rPr>
          <w:spacing w:val="30"/>
        </w:rPr>
        <w:t xml:space="preserve"> </w:t>
      </w:r>
      <w:r>
        <w:rPr>
          <w:spacing w:val="-1"/>
        </w:rPr>
        <w:t>Schedule</w:t>
      </w:r>
      <w:r>
        <w:rPr>
          <w:spacing w:val="31"/>
        </w:rPr>
        <w:t xml:space="preserve"> </w:t>
      </w:r>
      <w:r>
        <w:t>8</w:t>
      </w:r>
      <w:r>
        <w:rPr>
          <w:spacing w:val="32"/>
        </w:rPr>
        <w:t xml:space="preserve"> </w:t>
      </w:r>
      <w:r>
        <w:rPr>
          <w:spacing w:val="-1"/>
        </w:rPr>
        <w:t>(Security)</w:t>
      </w:r>
      <w:r>
        <w:rPr>
          <w:spacing w:val="33"/>
        </w:rPr>
        <w:t xml:space="preserve"> </w:t>
      </w:r>
      <w:r>
        <w:rPr>
          <w:spacing w:val="-2"/>
        </w:rPr>
        <w:t>including</w:t>
      </w:r>
      <w:r>
        <w:rPr>
          <w:spacing w:val="35"/>
        </w:rPr>
        <w:t xml:space="preserve"> </w:t>
      </w:r>
      <w:r>
        <w:t>the</w:t>
      </w:r>
      <w:r>
        <w:rPr>
          <w:spacing w:val="29"/>
        </w:rPr>
        <w:t xml:space="preserve"> </w:t>
      </w:r>
      <w:r>
        <w:rPr>
          <w:spacing w:val="-1"/>
        </w:rPr>
        <w:t>Security</w:t>
      </w:r>
      <w:r>
        <w:rPr>
          <w:spacing w:val="39"/>
        </w:rPr>
        <w:t xml:space="preserve"> </w:t>
      </w:r>
      <w:r>
        <w:rPr>
          <w:spacing w:val="-1"/>
        </w:rPr>
        <w:t>Management</w:t>
      </w:r>
      <w:r>
        <w:rPr>
          <w:spacing w:val="58"/>
        </w:rPr>
        <w:t xml:space="preserve"> </w:t>
      </w:r>
      <w:r>
        <w:rPr>
          <w:spacing w:val="-1"/>
        </w:rPr>
        <w:t>Plan</w:t>
      </w:r>
      <w:r>
        <w:rPr>
          <w:spacing w:val="57"/>
        </w:rPr>
        <w:t xml:space="preserve"> </w:t>
      </w:r>
      <w:r>
        <w:rPr>
          <w:spacing w:val="-1"/>
        </w:rPr>
        <w:t>(if</w:t>
      </w:r>
      <w:r>
        <w:rPr>
          <w:spacing w:val="58"/>
        </w:rPr>
        <w:t xml:space="preserve"> </w:t>
      </w:r>
      <w:r>
        <w:rPr>
          <w:spacing w:val="-2"/>
        </w:rPr>
        <w:t>any)</w:t>
      </w:r>
      <w:r>
        <w:rPr>
          <w:spacing w:val="58"/>
        </w:rPr>
        <w:t xml:space="preserve"> </w:t>
      </w:r>
      <w:r>
        <w:rPr>
          <w:spacing w:val="-1"/>
        </w:rPr>
        <w:t>and</w:t>
      </w:r>
      <w:r>
        <w:rPr>
          <w:spacing w:val="57"/>
        </w:rPr>
        <w:t xml:space="preserve"> </w:t>
      </w:r>
      <w:r>
        <w:rPr>
          <w:spacing w:val="-1"/>
        </w:rPr>
        <w:t>shall</w:t>
      </w:r>
      <w:r>
        <w:rPr>
          <w:spacing w:val="56"/>
        </w:rPr>
        <w:t xml:space="preserve"> </w:t>
      </w:r>
      <w:r>
        <w:rPr>
          <w:spacing w:val="-1"/>
        </w:rPr>
        <w:t>ensure</w:t>
      </w:r>
      <w:r>
        <w:rPr>
          <w:spacing w:val="58"/>
        </w:rPr>
        <w:t xml:space="preserve"> </w:t>
      </w:r>
      <w:r>
        <w:rPr>
          <w:spacing w:val="-1"/>
        </w:rPr>
        <w:t>that</w:t>
      </w:r>
      <w:r>
        <w:rPr>
          <w:spacing w:val="58"/>
        </w:rPr>
        <w:t xml:space="preserve"> </w:t>
      </w:r>
      <w:r>
        <w:t>the</w:t>
      </w:r>
      <w:r>
        <w:rPr>
          <w:spacing w:val="59"/>
        </w:rPr>
        <w:t xml:space="preserve"> </w:t>
      </w:r>
      <w:r>
        <w:rPr>
          <w:spacing w:val="-1"/>
        </w:rPr>
        <w:t>Security</w:t>
      </w:r>
      <w:r>
        <w:rPr>
          <w:spacing w:val="43"/>
        </w:rPr>
        <w:t xml:space="preserve"> </w:t>
      </w:r>
      <w:r>
        <w:rPr>
          <w:spacing w:val="-1"/>
        </w:rPr>
        <w:t>Management</w:t>
      </w:r>
      <w:r>
        <w:rPr>
          <w:spacing w:val="47"/>
        </w:rPr>
        <w:t xml:space="preserve"> </w:t>
      </w:r>
      <w:r>
        <w:rPr>
          <w:spacing w:val="-1"/>
        </w:rPr>
        <w:t>Plan</w:t>
      </w:r>
      <w:r>
        <w:rPr>
          <w:spacing w:val="46"/>
        </w:rPr>
        <w:t xml:space="preserve"> </w:t>
      </w:r>
      <w:r>
        <w:rPr>
          <w:spacing w:val="-1"/>
        </w:rPr>
        <w:t>produced</w:t>
      </w:r>
      <w:r>
        <w:rPr>
          <w:spacing w:val="46"/>
        </w:rPr>
        <w:t xml:space="preserve"> </w:t>
      </w:r>
      <w:r>
        <w:rPr>
          <w:spacing w:val="-1"/>
        </w:rPr>
        <w:t>by</w:t>
      </w:r>
      <w:r>
        <w:rPr>
          <w:spacing w:val="44"/>
        </w:rPr>
        <w:t xml:space="preserve"> </w:t>
      </w:r>
      <w:r>
        <w:t>the</w:t>
      </w:r>
      <w:r>
        <w:rPr>
          <w:spacing w:val="46"/>
        </w:rPr>
        <w:t xml:space="preserve"> </w:t>
      </w:r>
      <w:r>
        <w:rPr>
          <w:spacing w:val="-1"/>
        </w:rPr>
        <w:t>Supplier</w:t>
      </w:r>
      <w:r>
        <w:rPr>
          <w:spacing w:val="47"/>
        </w:rPr>
        <w:t xml:space="preserve"> </w:t>
      </w:r>
      <w:r>
        <w:rPr>
          <w:spacing w:val="-1"/>
        </w:rPr>
        <w:t>fully</w:t>
      </w:r>
      <w:r>
        <w:rPr>
          <w:spacing w:val="45"/>
        </w:rPr>
        <w:t xml:space="preserve"> </w:t>
      </w:r>
      <w:r>
        <w:rPr>
          <w:spacing w:val="-1"/>
        </w:rPr>
        <w:t>complies</w:t>
      </w:r>
      <w:r>
        <w:rPr>
          <w:spacing w:val="49"/>
        </w:rPr>
        <w:t xml:space="preserve"> </w:t>
      </w:r>
      <w:r>
        <w:rPr>
          <w:spacing w:val="-1"/>
        </w:rPr>
        <w:t>with</w:t>
      </w:r>
      <w:r>
        <w:rPr>
          <w:spacing w:val="46"/>
        </w:rPr>
        <w:t xml:space="preserve"> </w:t>
      </w:r>
      <w:r>
        <w:rPr>
          <w:spacing w:val="-1"/>
        </w:rPr>
        <w:t>the</w:t>
      </w:r>
      <w:r>
        <w:rPr>
          <w:spacing w:val="32"/>
        </w:rPr>
        <w:t xml:space="preserve"> </w:t>
      </w:r>
      <w:r>
        <w:rPr>
          <w:spacing w:val="-1"/>
        </w:rPr>
        <w:t>Security</w:t>
      </w:r>
      <w:r>
        <w:rPr>
          <w:spacing w:val="-2"/>
        </w:rPr>
        <w:t xml:space="preserve"> Policy.</w:t>
      </w:r>
    </w:p>
    <w:p w:rsidR="008918FA" w:rsidRDefault="008918FA" w:rsidP="008918FA">
      <w:pPr>
        <w:pStyle w:val="BodyText"/>
        <w:numPr>
          <w:ilvl w:val="2"/>
          <w:numId w:val="66"/>
        </w:numPr>
        <w:tabs>
          <w:tab w:val="left" w:pos="1887"/>
        </w:tabs>
        <w:ind w:left="1886" w:right="114"/>
        <w:jc w:val="both"/>
      </w:pPr>
      <w:r>
        <w:t>The</w:t>
      </w:r>
      <w:r>
        <w:rPr>
          <w:spacing w:val="38"/>
        </w:rPr>
        <w:t xml:space="preserve"> </w:t>
      </w:r>
      <w:r>
        <w:rPr>
          <w:spacing w:val="-1"/>
        </w:rPr>
        <w:t>Customer</w:t>
      </w:r>
      <w:r>
        <w:rPr>
          <w:spacing w:val="40"/>
        </w:rPr>
        <w:t xml:space="preserve"> </w:t>
      </w:r>
      <w:r>
        <w:rPr>
          <w:spacing w:val="-1"/>
        </w:rPr>
        <w:t>shall</w:t>
      </w:r>
      <w:r>
        <w:rPr>
          <w:spacing w:val="38"/>
        </w:rPr>
        <w:t xml:space="preserve"> </w:t>
      </w:r>
      <w:r>
        <w:t>notify</w:t>
      </w:r>
      <w:r>
        <w:rPr>
          <w:spacing w:val="36"/>
        </w:rPr>
        <w:t xml:space="preserve"> </w:t>
      </w:r>
      <w:r>
        <w:t>the</w:t>
      </w:r>
      <w:r>
        <w:rPr>
          <w:spacing w:val="38"/>
        </w:rPr>
        <w:t xml:space="preserve"> </w:t>
      </w:r>
      <w:r>
        <w:rPr>
          <w:spacing w:val="-2"/>
        </w:rPr>
        <w:t>Supplier</w:t>
      </w:r>
      <w:r>
        <w:rPr>
          <w:spacing w:val="40"/>
        </w:rPr>
        <w:t xml:space="preserve"> </w:t>
      </w:r>
      <w:r>
        <w:rPr>
          <w:spacing w:val="-1"/>
        </w:rPr>
        <w:t>of</w:t>
      </w:r>
      <w:r>
        <w:rPr>
          <w:spacing w:val="43"/>
        </w:rPr>
        <w:t xml:space="preserve"> </w:t>
      </w:r>
      <w:r>
        <w:rPr>
          <w:spacing w:val="-1"/>
        </w:rPr>
        <w:t>any</w:t>
      </w:r>
      <w:r>
        <w:rPr>
          <w:spacing w:val="36"/>
        </w:rPr>
        <w:t xml:space="preserve"> </w:t>
      </w:r>
      <w:r>
        <w:rPr>
          <w:spacing w:val="-1"/>
        </w:rPr>
        <w:t>changes</w:t>
      </w:r>
      <w:r>
        <w:rPr>
          <w:spacing w:val="39"/>
        </w:rPr>
        <w:t xml:space="preserve"> </w:t>
      </w:r>
      <w:r>
        <w:rPr>
          <w:spacing w:val="-1"/>
        </w:rPr>
        <w:t>or</w:t>
      </w:r>
      <w:r>
        <w:rPr>
          <w:spacing w:val="40"/>
        </w:rPr>
        <w:t xml:space="preserve"> </w:t>
      </w:r>
      <w:r>
        <w:rPr>
          <w:spacing w:val="-1"/>
        </w:rPr>
        <w:t>proposed</w:t>
      </w:r>
      <w:r>
        <w:rPr>
          <w:spacing w:val="39"/>
        </w:rPr>
        <w:t xml:space="preserve"> </w:t>
      </w:r>
      <w:r>
        <w:rPr>
          <w:spacing w:val="-1"/>
        </w:rPr>
        <w:t>changes</w:t>
      </w:r>
      <w:r>
        <w:rPr>
          <w:spacing w:val="-2"/>
        </w:rPr>
        <w:t xml:space="preserve"> </w:t>
      </w:r>
      <w:r>
        <w:t>to</w:t>
      </w:r>
      <w:r>
        <w:rPr>
          <w:spacing w:val="-4"/>
        </w:rPr>
        <w:t xml:space="preserve"> </w:t>
      </w:r>
      <w:r>
        <w:t xml:space="preserve">the </w:t>
      </w:r>
      <w:r>
        <w:rPr>
          <w:spacing w:val="-1"/>
        </w:rPr>
        <w:t>Security</w:t>
      </w:r>
      <w:r>
        <w:rPr>
          <w:spacing w:val="-2"/>
        </w:rPr>
        <w:t xml:space="preserve"> </w:t>
      </w:r>
      <w:r>
        <w:rPr>
          <w:spacing w:val="-1"/>
        </w:rPr>
        <w:t>Policy.</w:t>
      </w:r>
    </w:p>
    <w:p w:rsidR="008918FA" w:rsidRDefault="008918FA" w:rsidP="008918FA">
      <w:pPr>
        <w:pStyle w:val="BodyText"/>
        <w:numPr>
          <w:ilvl w:val="2"/>
          <w:numId w:val="66"/>
        </w:numPr>
        <w:tabs>
          <w:tab w:val="left" w:pos="1887"/>
        </w:tabs>
        <w:ind w:left="1886" w:right="112"/>
        <w:jc w:val="both"/>
      </w:pPr>
      <w:r>
        <w:rPr>
          <w:spacing w:val="-1"/>
        </w:rPr>
        <w:t>If</w:t>
      </w:r>
      <w:r>
        <w:t xml:space="preserve"> the</w:t>
      </w:r>
      <w:r>
        <w:rPr>
          <w:spacing w:val="60"/>
        </w:rPr>
        <w:t xml:space="preserve"> </w:t>
      </w:r>
      <w:r>
        <w:rPr>
          <w:spacing w:val="-2"/>
        </w:rPr>
        <w:t>Supplier</w:t>
      </w:r>
      <w:r>
        <w:t xml:space="preserve"> </w:t>
      </w:r>
      <w:r>
        <w:rPr>
          <w:spacing w:val="-2"/>
        </w:rPr>
        <w:t>believes</w:t>
      </w:r>
      <w:r>
        <w:rPr>
          <w:spacing w:val="2"/>
        </w:rPr>
        <w:t xml:space="preserve"> </w:t>
      </w:r>
      <w:r>
        <w:rPr>
          <w:spacing w:val="-1"/>
        </w:rPr>
        <w:t>that</w:t>
      </w:r>
      <w:r>
        <w:rPr>
          <w:spacing w:val="1"/>
        </w:rPr>
        <w:t xml:space="preserve"> </w:t>
      </w:r>
      <w:r>
        <w:t>a</w:t>
      </w:r>
      <w:r>
        <w:rPr>
          <w:spacing w:val="60"/>
        </w:rPr>
        <w:t xml:space="preserve"> </w:t>
      </w:r>
      <w:r>
        <w:rPr>
          <w:spacing w:val="-1"/>
        </w:rPr>
        <w:t>change</w:t>
      </w:r>
      <w:r>
        <w:rPr>
          <w:spacing w:val="60"/>
        </w:rPr>
        <w:t xml:space="preserve"> </w:t>
      </w:r>
      <w:r>
        <w:rPr>
          <w:spacing w:val="-2"/>
        </w:rPr>
        <w:t>or</w:t>
      </w:r>
      <w:r>
        <w:t xml:space="preserve"> </w:t>
      </w:r>
      <w:r>
        <w:rPr>
          <w:spacing w:val="-1"/>
        </w:rPr>
        <w:t>proposed</w:t>
      </w:r>
      <w:r>
        <w:rPr>
          <w:spacing w:val="60"/>
        </w:rPr>
        <w:t xml:space="preserve"> </w:t>
      </w:r>
      <w:r>
        <w:rPr>
          <w:spacing w:val="-1"/>
        </w:rPr>
        <w:t>change</w:t>
      </w:r>
      <w:r>
        <w:rPr>
          <w:spacing w:val="58"/>
        </w:rPr>
        <w:t xml:space="preserve"> </w:t>
      </w:r>
      <w:r>
        <w:t>to</w:t>
      </w:r>
      <w:r>
        <w:rPr>
          <w:spacing w:val="58"/>
        </w:rPr>
        <w:t xml:space="preserve"> </w:t>
      </w:r>
      <w:r>
        <w:rPr>
          <w:spacing w:val="-1"/>
        </w:rPr>
        <w:t>the</w:t>
      </w:r>
      <w:r>
        <w:rPr>
          <w:spacing w:val="56"/>
        </w:rPr>
        <w:t xml:space="preserve"> </w:t>
      </w:r>
      <w:r>
        <w:rPr>
          <w:spacing w:val="-1"/>
        </w:rPr>
        <w:t>Security</w:t>
      </w:r>
      <w:r>
        <w:rPr>
          <w:spacing w:val="3"/>
        </w:rPr>
        <w:t xml:space="preserve"> </w:t>
      </w:r>
      <w:r>
        <w:rPr>
          <w:spacing w:val="-1"/>
        </w:rPr>
        <w:t>Policy</w:t>
      </w:r>
      <w:r>
        <w:rPr>
          <w:spacing w:val="5"/>
        </w:rPr>
        <w:t xml:space="preserve"> </w:t>
      </w:r>
      <w:r>
        <w:rPr>
          <w:spacing w:val="-2"/>
        </w:rPr>
        <w:t>will</w:t>
      </w:r>
      <w:r>
        <w:rPr>
          <w:spacing w:val="4"/>
        </w:rPr>
        <w:t xml:space="preserve"> </w:t>
      </w:r>
      <w:r>
        <w:rPr>
          <w:spacing w:val="-1"/>
        </w:rPr>
        <w:t>have</w:t>
      </w:r>
      <w:r>
        <w:rPr>
          <w:spacing w:val="7"/>
        </w:rPr>
        <w:t xml:space="preserve"> </w:t>
      </w:r>
      <w:r>
        <w:t>a</w:t>
      </w:r>
      <w:r>
        <w:rPr>
          <w:spacing w:val="5"/>
        </w:rPr>
        <w:t xml:space="preserve"> </w:t>
      </w:r>
      <w:r>
        <w:rPr>
          <w:spacing w:val="-1"/>
        </w:rPr>
        <w:t>material</w:t>
      </w:r>
      <w:r>
        <w:rPr>
          <w:spacing w:val="4"/>
        </w:rPr>
        <w:t xml:space="preserve"> </w:t>
      </w:r>
      <w:r>
        <w:rPr>
          <w:spacing w:val="-1"/>
        </w:rPr>
        <w:t>and</w:t>
      </w:r>
      <w:r>
        <w:rPr>
          <w:spacing w:val="5"/>
        </w:rPr>
        <w:t xml:space="preserve"> </w:t>
      </w:r>
      <w:r>
        <w:rPr>
          <w:spacing w:val="-1"/>
        </w:rPr>
        <w:t>unavoidable</w:t>
      </w:r>
      <w:r>
        <w:rPr>
          <w:spacing w:val="5"/>
        </w:rPr>
        <w:t xml:space="preserve"> </w:t>
      </w:r>
      <w:r>
        <w:rPr>
          <w:spacing w:val="-1"/>
        </w:rPr>
        <w:t>cost</w:t>
      </w:r>
      <w:r>
        <w:rPr>
          <w:spacing w:val="7"/>
        </w:rPr>
        <w:t xml:space="preserve"> </w:t>
      </w:r>
      <w:r>
        <w:rPr>
          <w:spacing w:val="-1"/>
        </w:rPr>
        <w:t>implication</w:t>
      </w:r>
      <w:r>
        <w:rPr>
          <w:spacing w:val="5"/>
        </w:rPr>
        <w:t xml:space="preserve"> </w:t>
      </w:r>
      <w:r>
        <w:t>to</w:t>
      </w:r>
      <w:r>
        <w:rPr>
          <w:spacing w:val="37"/>
        </w:rPr>
        <w:t xml:space="preserve"> </w:t>
      </w:r>
      <w:r>
        <w:t>the</w:t>
      </w:r>
      <w:r>
        <w:rPr>
          <w:spacing w:val="12"/>
        </w:rPr>
        <w:t xml:space="preserve"> </w:t>
      </w:r>
      <w:r>
        <w:rPr>
          <w:spacing w:val="-2"/>
        </w:rPr>
        <w:t>provision</w:t>
      </w:r>
      <w:r>
        <w:rPr>
          <w:spacing w:val="12"/>
        </w:rPr>
        <w:t xml:space="preserve"> </w:t>
      </w:r>
      <w:r>
        <w:rPr>
          <w:spacing w:val="-1"/>
        </w:rPr>
        <w:t>of</w:t>
      </w:r>
      <w:r>
        <w:rPr>
          <w:spacing w:val="14"/>
        </w:rPr>
        <w:t xml:space="preserve"> </w:t>
      </w:r>
      <w:r>
        <w:t>the</w:t>
      </w:r>
      <w:r>
        <w:rPr>
          <w:spacing w:val="12"/>
        </w:rPr>
        <w:t xml:space="preserve"> </w:t>
      </w:r>
      <w:r>
        <w:rPr>
          <w:spacing w:val="-1"/>
        </w:rPr>
        <w:t>Goods</w:t>
      </w:r>
      <w:r>
        <w:rPr>
          <w:spacing w:val="13"/>
        </w:rPr>
        <w:t xml:space="preserve"> </w:t>
      </w:r>
      <w:r>
        <w:rPr>
          <w:spacing w:val="-1"/>
        </w:rPr>
        <w:t>and/or</w:t>
      </w:r>
      <w:r>
        <w:rPr>
          <w:spacing w:val="14"/>
        </w:rPr>
        <w:t xml:space="preserve"> </w:t>
      </w:r>
      <w:r>
        <w:rPr>
          <w:spacing w:val="-1"/>
        </w:rPr>
        <w:t>Services</w:t>
      </w:r>
      <w:r>
        <w:rPr>
          <w:spacing w:val="14"/>
        </w:rPr>
        <w:t xml:space="preserve"> </w:t>
      </w:r>
      <w:r>
        <w:rPr>
          <w:spacing w:val="-1"/>
        </w:rPr>
        <w:t>it</w:t>
      </w:r>
      <w:r>
        <w:rPr>
          <w:spacing w:val="14"/>
        </w:rPr>
        <w:t xml:space="preserve"> </w:t>
      </w:r>
      <w:r>
        <w:rPr>
          <w:spacing w:val="-1"/>
        </w:rPr>
        <w:t>may</w:t>
      </w:r>
      <w:r>
        <w:rPr>
          <w:spacing w:val="10"/>
        </w:rPr>
        <w:t xml:space="preserve"> </w:t>
      </w:r>
      <w:r>
        <w:rPr>
          <w:spacing w:val="-1"/>
        </w:rPr>
        <w:t>propose</w:t>
      </w:r>
      <w:r>
        <w:rPr>
          <w:spacing w:val="13"/>
        </w:rPr>
        <w:t xml:space="preserve"> </w:t>
      </w:r>
      <w:r>
        <w:t>a</w:t>
      </w:r>
      <w:r>
        <w:rPr>
          <w:spacing w:val="12"/>
        </w:rPr>
        <w:t xml:space="preserve"> </w:t>
      </w:r>
      <w:r>
        <w:rPr>
          <w:spacing w:val="-1"/>
        </w:rPr>
        <w:t>Variation</w:t>
      </w:r>
      <w:r>
        <w:rPr>
          <w:spacing w:val="32"/>
        </w:rPr>
        <w:t xml:space="preserve"> </w:t>
      </w:r>
      <w:r>
        <w:t>to</w:t>
      </w:r>
      <w:r>
        <w:rPr>
          <w:spacing w:val="12"/>
        </w:rPr>
        <w:t xml:space="preserve"> </w:t>
      </w:r>
      <w:r>
        <w:t>the</w:t>
      </w:r>
      <w:r>
        <w:rPr>
          <w:spacing w:val="12"/>
        </w:rPr>
        <w:t xml:space="preserve"> </w:t>
      </w:r>
      <w:r>
        <w:rPr>
          <w:spacing w:val="-1"/>
        </w:rPr>
        <w:t>Customer.</w:t>
      </w:r>
      <w:r>
        <w:rPr>
          <w:spacing w:val="12"/>
        </w:rPr>
        <w:t xml:space="preserve"> </w:t>
      </w:r>
      <w:r>
        <w:t>In</w:t>
      </w:r>
      <w:r>
        <w:rPr>
          <w:spacing w:val="12"/>
        </w:rPr>
        <w:t xml:space="preserve"> </w:t>
      </w:r>
      <w:r>
        <w:rPr>
          <w:spacing w:val="-1"/>
        </w:rPr>
        <w:t>doing</w:t>
      </w:r>
      <w:r>
        <w:rPr>
          <w:spacing w:val="15"/>
        </w:rPr>
        <w:t xml:space="preserve"> </w:t>
      </w:r>
      <w:r>
        <w:rPr>
          <w:spacing w:val="-2"/>
        </w:rPr>
        <w:t>so,</w:t>
      </w:r>
      <w:r>
        <w:rPr>
          <w:spacing w:val="14"/>
        </w:rPr>
        <w:t xml:space="preserve"> </w:t>
      </w:r>
      <w:r>
        <w:t>the</w:t>
      </w:r>
      <w:r>
        <w:rPr>
          <w:spacing w:val="12"/>
        </w:rPr>
        <w:t xml:space="preserve"> </w:t>
      </w:r>
      <w:r>
        <w:rPr>
          <w:spacing w:val="-2"/>
        </w:rPr>
        <w:t>Supplier</w:t>
      </w:r>
      <w:r>
        <w:rPr>
          <w:spacing w:val="14"/>
        </w:rPr>
        <w:t xml:space="preserve"> </w:t>
      </w:r>
      <w:r>
        <w:rPr>
          <w:spacing w:val="-1"/>
        </w:rPr>
        <w:t>must</w:t>
      </w:r>
      <w:r>
        <w:rPr>
          <w:spacing w:val="12"/>
        </w:rPr>
        <w:t xml:space="preserve"> </w:t>
      </w:r>
      <w:r>
        <w:rPr>
          <w:spacing w:val="-1"/>
        </w:rPr>
        <w:t>support</w:t>
      </w:r>
      <w:r>
        <w:rPr>
          <w:spacing w:val="14"/>
        </w:rPr>
        <w:t xml:space="preserve"> </w:t>
      </w:r>
      <w:r>
        <w:rPr>
          <w:spacing w:val="-2"/>
        </w:rPr>
        <w:t>its</w:t>
      </w:r>
      <w:r>
        <w:rPr>
          <w:spacing w:val="13"/>
        </w:rPr>
        <w:t xml:space="preserve"> </w:t>
      </w:r>
      <w:r>
        <w:rPr>
          <w:spacing w:val="-1"/>
        </w:rPr>
        <w:t>request</w:t>
      </w:r>
      <w:r>
        <w:rPr>
          <w:spacing w:val="14"/>
        </w:rPr>
        <w:t xml:space="preserve"> </w:t>
      </w:r>
      <w:r>
        <w:rPr>
          <w:spacing w:val="-1"/>
        </w:rPr>
        <w:t>by</w:t>
      </w:r>
      <w:r>
        <w:rPr>
          <w:spacing w:val="34"/>
        </w:rPr>
        <w:t xml:space="preserve"> </w:t>
      </w:r>
      <w:r>
        <w:rPr>
          <w:spacing w:val="-2"/>
        </w:rPr>
        <w:t>providing</w:t>
      </w:r>
      <w:r>
        <w:rPr>
          <w:spacing w:val="20"/>
        </w:rPr>
        <w:t xml:space="preserve"> </w:t>
      </w:r>
      <w:r>
        <w:rPr>
          <w:spacing w:val="-2"/>
        </w:rPr>
        <w:t>evidence</w:t>
      </w:r>
      <w:r>
        <w:rPr>
          <w:spacing w:val="18"/>
        </w:rPr>
        <w:t xml:space="preserve"> </w:t>
      </w:r>
      <w:r>
        <w:rPr>
          <w:spacing w:val="-1"/>
        </w:rPr>
        <w:t>of</w:t>
      </w:r>
      <w:r>
        <w:rPr>
          <w:spacing w:val="21"/>
        </w:rPr>
        <w:t xml:space="preserve"> </w:t>
      </w:r>
      <w:r>
        <w:rPr>
          <w:spacing w:val="-1"/>
        </w:rPr>
        <w:t>the</w:t>
      </w:r>
      <w:r>
        <w:rPr>
          <w:spacing w:val="17"/>
        </w:rPr>
        <w:t xml:space="preserve"> </w:t>
      </w:r>
      <w:r>
        <w:rPr>
          <w:spacing w:val="-1"/>
        </w:rPr>
        <w:t>cause</w:t>
      </w:r>
      <w:r>
        <w:rPr>
          <w:spacing w:val="18"/>
        </w:rPr>
        <w:t xml:space="preserve"> </w:t>
      </w:r>
      <w:r>
        <w:rPr>
          <w:spacing w:val="-2"/>
        </w:rPr>
        <w:t>of</w:t>
      </w:r>
      <w:r>
        <w:rPr>
          <w:spacing w:val="21"/>
        </w:rPr>
        <w:t xml:space="preserve"> </w:t>
      </w:r>
      <w:r>
        <w:rPr>
          <w:spacing w:val="-1"/>
        </w:rPr>
        <w:t>any</w:t>
      </w:r>
      <w:r>
        <w:rPr>
          <w:spacing w:val="15"/>
        </w:rPr>
        <w:t xml:space="preserve"> </w:t>
      </w:r>
      <w:r>
        <w:rPr>
          <w:spacing w:val="-1"/>
        </w:rPr>
        <w:t>increased</w:t>
      </w:r>
      <w:r>
        <w:rPr>
          <w:spacing w:val="17"/>
        </w:rPr>
        <w:t xml:space="preserve"> </w:t>
      </w:r>
      <w:r>
        <w:rPr>
          <w:spacing w:val="-1"/>
        </w:rPr>
        <w:t>costs</w:t>
      </w:r>
      <w:r>
        <w:rPr>
          <w:spacing w:val="18"/>
        </w:rPr>
        <w:t xml:space="preserve"> </w:t>
      </w:r>
      <w:r>
        <w:rPr>
          <w:spacing w:val="-1"/>
        </w:rPr>
        <w:t>and</w:t>
      </w:r>
      <w:r>
        <w:rPr>
          <w:spacing w:val="15"/>
        </w:rPr>
        <w:t xml:space="preserve"> </w:t>
      </w:r>
      <w:r>
        <w:t>the</w:t>
      </w:r>
      <w:r>
        <w:rPr>
          <w:spacing w:val="17"/>
        </w:rPr>
        <w:t xml:space="preserve"> </w:t>
      </w:r>
      <w:r>
        <w:rPr>
          <w:spacing w:val="-1"/>
        </w:rPr>
        <w:t>steps</w:t>
      </w:r>
      <w:r>
        <w:rPr>
          <w:spacing w:val="50"/>
        </w:rPr>
        <w:t xml:space="preserve"> </w:t>
      </w:r>
      <w:r>
        <w:rPr>
          <w:spacing w:val="-1"/>
        </w:rPr>
        <w:t>that</w:t>
      </w:r>
      <w:r>
        <w:rPr>
          <w:spacing w:val="26"/>
        </w:rPr>
        <w:t xml:space="preserve"> </w:t>
      </w:r>
      <w:r>
        <w:rPr>
          <w:spacing w:val="-1"/>
        </w:rPr>
        <w:t>it</w:t>
      </w:r>
      <w:r>
        <w:rPr>
          <w:spacing w:val="26"/>
        </w:rPr>
        <w:t xml:space="preserve"> </w:t>
      </w:r>
      <w:r>
        <w:rPr>
          <w:spacing w:val="-1"/>
        </w:rPr>
        <w:t>has</w:t>
      </w:r>
      <w:r>
        <w:rPr>
          <w:spacing w:val="25"/>
        </w:rPr>
        <w:t xml:space="preserve"> </w:t>
      </w:r>
      <w:r>
        <w:rPr>
          <w:spacing w:val="-1"/>
        </w:rPr>
        <w:t>taken</w:t>
      </w:r>
      <w:r>
        <w:rPr>
          <w:spacing w:val="24"/>
        </w:rPr>
        <w:t xml:space="preserve"> </w:t>
      </w:r>
      <w:r>
        <w:t>to</w:t>
      </w:r>
      <w:r>
        <w:rPr>
          <w:spacing w:val="24"/>
        </w:rPr>
        <w:t xml:space="preserve"> </w:t>
      </w:r>
      <w:r>
        <w:rPr>
          <w:spacing w:val="-1"/>
        </w:rPr>
        <w:t>mitigate</w:t>
      </w:r>
      <w:r>
        <w:rPr>
          <w:spacing w:val="24"/>
        </w:rPr>
        <w:t xml:space="preserve"> </w:t>
      </w:r>
      <w:r>
        <w:rPr>
          <w:spacing w:val="-1"/>
        </w:rPr>
        <w:t>those</w:t>
      </w:r>
      <w:r>
        <w:rPr>
          <w:spacing w:val="25"/>
        </w:rPr>
        <w:t xml:space="preserve"> </w:t>
      </w:r>
      <w:r>
        <w:rPr>
          <w:spacing w:val="-1"/>
        </w:rPr>
        <w:t>costs.</w:t>
      </w:r>
      <w:r>
        <w:rPr>
          <w:spacing w:val="51"/>
        </w:rPr>
        <w:t xml:space="preserve"> </w:t>
      </w:r>
      <w:r>
        <w:rPr>
          <w:spacing w:val="-1"/>
        </w:rPr>
        <w:t>Any</w:t>
      </w:r>
      <w:r>
        <w:rPr>
          <w:spacing w:val="22"/>
        </w:rPr>
        <w:t xml:space="preserve"> </w:t>
      </w:r>
      <w:r>
        <w:t>change</w:t>
      </w:r>
      <w:r>
        <w:rPr>
          <w:spacing w:val="24"/>
        </w:rPr>
        <w:t xml:space="preserve"> </w:t>
      </w:r>
      <w:r>
        <w:t>to</w:t>
      </w:r>
      <w:r>
        <w:rPr>
          <w:spacing w:val="24"/>
        </w:rPr>
        <w:t xml:space="preserve"> </w:t>
      </w:r>
      <w:r>
        <w:t>the</w:t>
      </w:r>
      <w:r>
        <w:rPr>
          <w:spacing w:val="24"/>
        </w:rPr>
        <w:t xml:space="preserve"> </w:t>
      </w:r>
      <w:r>
        <w:rPr>
          <w:spacing w:val="-2"/>
        </w:rPr>
        <w:t>Call</w:t>
      </w:r>
      <w:r>
        <w:rPr>
          <w:spacing w:val="24"/>
        </w:rPr>
        <w:t xml:space="preserve"> </w:t>
      </w:r>
      <w:r>
        <w:rPr>
          <w:spacing w:val="-1"/>
        </w:rPr>
        <w:t>Off</w:t>
      </w:r>
      <w:r>
        <w:rPr>
          <w:spacing w:val="49"/>
        </w:rPr>
        <w:t xml:space="preserve"> </w:t>
      </w:r>
      <w:r>
        <w:rPr>
          <w:spacing w:val="-1"/>
        </w:rPr>
        <w:t>Contract</w:t>
      </w:r>
      <w:r>
        <w:rPr>
          <w:spacing w:val="2"/>
        </w:rPr>
        <w:t xml:space="preserve"> </w:t>
      </w:r>
      <w:r>
        <w:rPr>
          <w:spacing w:val="-1"/>
        </w:rPr>
        <w:t>Charges</w:t>
      </w:r>
      <w:r>
        <w:rPr>
          <w:spacing w:val="1"/>
        </w:rPr>
        <w:t xml:space="preserve"> </w:t>
      </w:r>
      <w:r>
        <w:rPr>
          <w:spacing w:val="-1"/>
        </w:rPr>
        <w:t>shall</w:t>
      </w:r>
      <w:r>
        <w:rPr>
          <w:spacing w:val="-3"/>
        </w:rPr>
        <w:t xml:space="preserve"> </w:t>
      </w:r>
      <w:r>
        <w:rPr>
          <w:spacing w:val="-1"/>
        </w:rPr>
        <w:t>then</w:t>
      </w:r>
      <w:r>
        <w:t xml:space="preserve"> </w:t>
      </w:r>
      <w:r>
        <w:rPr>
          <w:spacing w:val="-1"/>
        </w:rPr>
        <w:t>be</w:t>
      </w:r>
      <w:r>
        <w:t xml:space="preserve"> </w:t>
      </w:r>
      <w:r>
        <w:rPr>
          <w:spacing w:val="-1"/>
        </w:rPr>
        <w:t>subject</w:t>
      </w:r>
      <w:r>
        <w:t xml:space="preserve"> to</w:t>
      </w:r>
      <w:r>
        <w:rPr>
          <w:spacing w:val="-2"/>
        </w:rPr>
        <w:t xml:space="preserve"> </w:t>
      </w:r>
      <w:r>
        <w:t xml:space="preserve">the </w:t>
      </w:r>
      <w:r>
        <w:rPr>
          <w:spacing w:val="-2"/>
        </w:rPr>
        <w:t>Variation</w:t>
      </w:r>
      <w:r>
        <w:t xml:space="preserve"> </w:t>
      </w:r>
      <w:r>
        <w:rPr>
          <w:spacing w:val="-1"/>
        </w:rPr>
        <w:t>Procedure.</w:t>
      </w:r>
    </w:p>
    <w:p w:rsidR="008918FA" w:rsidRDefault="008918FA" w:rsidP="008918FA">
      <w:pPr>
        <w:pStyle w:val="BodyText"/>
        <w:numPr>
          <w:ilvl w:val="2"/>
          <w:numId w:val="66"/>
        </w:numPr>
        <w:tabs>
          <w:tab w:val="left" w:pos="1887"/>
        </w:tabs>
        <w:ind w:left="1886" w:right="112"/>
        <w:jc w:val="both"/>
      </w:pPr>
      <w:r>
        <w:rPr>
          <w:spacing w:val="-1"/>
        </w:rPr>
        <w:t>Until</w:t>
      </w:r>
      <w:r>
        <w:rPr>
          <w:spacing w:val="3"/>
        </w:rPr>
        <w:t xml:space="preserve"> </w:t>
      </w:r>
      <w:r>
        <w:rPr>
          <w:spacing w:val="-1"/>
        </w:rPr>
        <w:t>and/or</w:t>
      </w:r>
      <w:r>
        <w:rPr>
          <w:spacing w:val="5"/>
        </w:rPr>
        <w:t xml:space="preserve"> </w:t>
      </w:r>
      <w:r>
        <w:rPr>
          <w:spacing w:val="-1"/>
        </w:rPr>
        <w:t>unless</w:t>
      </w:r>
      <w:r>
        <w:rPr>
          <w:spacing w:val="5"/>
        </w:rPr>
        <w:t xml:space="preserve"> </w:t>
      </w:r>
      <w:r>
        <w:t>a</w:t>
      </w:r>
      <w:r>
        <w:rPr>
          <w:spacing w:val="4"/>
        </w:rPr>
        <w:t xml:space="preserve"> </w:t>
      </w:r>
      <w:r>
        <w:rPr>
          <w:spacing w:val="-1"/>
        </w:rPr>
        <w:t>change</w:t>
      </w:r>
      <w:r>
        <w:rPr>
          <w:spacing w:val="2"/>
        </w:rPr>
        <w:t xml:space="preserve"> </w:t>
      </w:r>
      <w:r>
        <w:t>to</w:t>
      </w:r>
      <w:r>
        <w:rPr>
          <w:spacing w:val="4"/>
        </w:rPr>
        <w:t xml:space="preserve"> </w:t>
      </w:r>
      <w:r>
        <w:t>the</w:t>
      </w:r>
      <w:r>
        <w:rPr>
          <w:spacing w:val="2"/>
        </w:rPr>
        <w:t xml:space="preserve"> </w:t>
      </w:r>
      <w:r>
        <w:rPr>
          <w:spacing w:val="-2"/>
        </w:rPr>
        <w:t>Call</w:t>
      </w:r>
      <w:r>
        <w:rPr>
          <w:spacing w:val="3"/>
        </w:rPr>
        <w:t xml:space="preserve"> </w:t>
      </w:r>
      <w:r>
        <w:rPr>
          <w:spacing w:val="-1"/>
        </w:rPr>
        <w:t>Off</w:t>
      </w:r>
      <w:r>
        <w:rPr>
          <w:spacing w:val="3"/>
        </w:rPr>
        <w:t xml:space="preserve"> </w:t>
      </w:r>
      <w:r>
        <w:rPr>
          <w:spacing w:val="-1"/>
        </w:rPr>
        <w:t>Contract</w:t>
      </w:r>
      <w:r>
        <w:rPr>
          <w:spacing w:val="5"/>
        </w:rPr>
        <w:t xml:space="preserve"> </w:t>
      </w:r>
      <w:r>
        <w:rPr>
          <w:spacing w:val="-1"/>
        </w:rPr>
        <w:t>Charges</w:t>
      </w:r>
      <w:r>
        <w:rPr>
          <w:spacing w:val="4"/>
        </w:rPr>
        <w:t xml:space="preserve"> </w:t>
      </w:r>
      <w:r>
        <w:rPr>
          <w:spacing w:val="-1"/>
        </w:rPr>
        <w:t>is</w:t>
      </w:r>
      <w:r>
        <w:rPr>
          <w:spacing w:val="31"/>
        </w:rPr>
        <w:t xml:space="preserve"> </w:t>
      </w:r>
      <w:r>
        <w:rPr>
          <w:spacing w:val="-1"/>
        </w:rPr>
        <w:t>agreed</w:t>
      </w:r>
      <w:r>
        <w:rPr>
          <w:spacing w:val="11"/>
        </w:rPr>
        <w:t xml:space="preserve"> </w:t>
      </w:r>
      <w:r>
        <w:rPr>
          <w:spacing w:val="-1"/>
        </w:rPr>
        <w:t>by</w:t>
      </w:r>
      <w:r>
        <w:rPr>
          <w:spacing w:val="9"/>
        </w:rPr>
        <w:t xml:space="preserve"> </w:t>
      </w:r>
      <w:r>
        <w:t>the</w:t>
      </w:r>
      <w:r>
        <w:rPr>
          <w:spacing w:val="11"/>
        </w:rPr>
        <w:t xml:space="preserve"> </w:t>
      </w:r>
      <w:r>
        <w:rPr>
          <w:spacing w:val="-1"/>
        </w:rPr>
        <w:t>Customer</w:t>
      </w:r>
      <w:r>
        <w:rPr>
          <w:spacing w:val="13"/>
        </w:rPr>
        <w:t xml:space="preserve"> </w:t>
      </w:r>
      <w:r>
        <w:rPr>
          <w:spacing w:val="-1"/>
        </w:rPr>
        <w:t>pursuant</w:t>
      </w:r>
      <w:r>
        <w:rPr>
          <w:spacing w:val="13"/>
        </w:rPr>
        <w:t xml:space="preserve"> </w:t>
      </w:r>
      <w:r>
        <w:t>to</w:t>
      </w:r>
      <w:r>
        <w:rPr>
          <w:spacing w:val="9"/>
        </w:rPr>
        <w:t xml:space="preserve"> </w:t>
      </w:r>
      <w:r>
        <w:t>the</w:t>
      </w:r>
      <w:r>
        <w:rPr>
          <w:spacing w:val="11"/>
        </w:rPr>
        <w:t xml:space="preserve"> </w:t>
      </w:r>
      <w:r>
        <w:rPr>
          <w:spacing w:val="-1"/>
        </w:rPr>
        <w:t>Variation</w:t>
      </w:r>
      <w:r>
        <w:rPr>
          <w:spacing w:val="11"/>
        </w:rPr>
        <w:t xml:space="preserve"> </w:t>
      </w:r>
      <w:r>
        <w:rPr>
          <w:spacing w:val="-1"/>
        </w:rPr>
        <w:t>Procedure</w:t>
      </w:r>
      <w:r>
        <w:rPr>
          <w:spacing w:val="11"/>
        </w:rPr>
        <w:t xml:space="preserve"> </w:t>
      </w:r>
      <w:r>
        <w:rPr>
          <w:spacing w:val="-1"/>
        </w:rPr>
        <w:t>the</w:t>
      </w:r>
      <w:r>
        <w:rPr>
          <w:spacing w:val="26"/>
        </w:rPr>
        <w:t xml:space="preserve"> </w:t>
      </w:r>
      <w:r>
        <w:rPr>
          <w:spacing w:val="-2"/>
        </w:rPr>
        <w:t>Supplier</w:t>
      </w:r>
      <w:r>
        <w:rPr>
          <w:spacing w:val="27"/>
        </w:rPr>
        <w:t xml:space="preserve"> </w:t>
      </w:r>
      <w:r>
        <w:rPr>
          <w:spacing w:val="-1"/>
        </w:rPr>
        <w:t>shall</w:t>
      </w:r>
      <w:r>
        <w:rPr>
          <w:spacing w:val="25"/>
        </w:rPr>
        <w:t xml:space="preserve"> </w:t>
      </w:r>
      <w:r>
        <w:rPr>
          <w:spacing w:val="-1"/>
        </w:rPr>
        <w:t>continue</w:t>
      </w:r>
      <w:r>
        <w:rPr>
          <w:spacing w:val="26"/>
        </w:rPr>
        <w:t xml:space="preserve"> </w:t>
      </w:r>
      <w:r>
        <w:t>to</w:t>
      </w:r>
      <w:r>
        <w:rPr>
          <w:spacing w:val="26"/>
        </w:rPr>
        <w:t xml:space="preserve"> </w:t>
      </w:r>
      <w:r>
        <w:rPr>
          <w:spacing w:val="-2"/>
        </w:rPr>
        <w:t>provide</w:t>
      </w:r>
      <w:r>
        <w:rPr>
          <w:spacing w:val="26"/>
        </w:rPr>
        <w:t xml:space="preserve"> </w:t>
      </w:r>
      <w:r>
        <w:t>the</w:t>
      </w:r>
      <w:r>
        <w:rPr>
          <w:spacing w:val="26"/>
        </w:rPr>
        <w:t xml:space="preserve"> </w:t>
      </w:r>
      <w:r>
        <w:rPr>
          <w:spacing w:val="-1"/>
        </w:rPr>
        <w:t>Goods</w:t>
      </w:r>
      <w:r>
        <w:rPr>
          <w:spacing w:val="24"/>
        </w:rPr>
        <w:t xml:space="preserve"> </w:t>
      </w:r>
      <w:r>
        <w:rPr>
          <w:spacing w:val="-1"/>
        </w:rPr>
        <w:t>and/or</w:t>
      </w:r>
      <w:r>
        <w:rPr>
          <w:spacing w:val="24"/>
        </w:rPr>
        <w:t xml:space="preserve"> </w:t>
      </w:r>
      <w:r>
        <w:rPr>
          <w:spacing w:val="-1"/>
        </w:rPr>
        <w:t>Services</w:t>
      </w:r>
      <w:r>
        <w:rPr>
          <w:spacing w:val="28"/>
        </w:rPr>
        <w:t xml:space="preserve"> </w:t>
      </w:r>
      <w:r>
        <w:rPr>
          <w:spacing w:val="-2"/>
        </w:rPr>
        <w:t>in</w:t>
      </w:r>
      <w:r>
        <w:rPr>
          <w:spacing w:val="43"/>
        </w:rPr>
        <w:t xml:space="preserve"> </w:t>
      </w:r>
      <w:r>
        <w:rPr>
          <w:spacing w:val="-1"/>
        </w:rPr>
        <w:t>accordance</w:t>
      </w:r>
      <w:r>
        <w:rPr>
          <w:spacing w:val="-2"/>
        </w:rPr>
        <w:t xml:space="preserve"> with</w:t>
      </w:r>
      <w:r>
        <w:t xml:space="preserve"> </w:t>
      </w:r>
      <w:r>
        <w:rPr>
          <w:spacing w:val="-1"/>
        </w:rPr>
        <w:t>its</w:t>
      </w:r>
      <w:r>
        <w:rPr>
          <w:spacing w:val="1"/>
        </w:rPr>
        <w:t xml:space="preserve"> </w:t>
      </w:r>
      <w:r>
        <w:rPr>
          <w:spacing w:val="-2"/>
        </w:rPr>
        <w:t>existing</w:t>
      </w:r>
      <w:r>
        <w:t xml:space="preserve"> </w:t>
      </w:r>
      <w:r>
        <w:rPr>
          <w:spacing w:val="-1"/>
        </w:rPr>
        <w:t>obligations.</w:t>
      </w:r>
    </w:p>
    <w:p w:rsidR="008918FA" w:rsidRDefault="008918FA" w:rsidP="008918FA">
      <w:pPr>
        <w:pStyle w:val="Heading1"/>
        <w:numPr>
          <w:ilvl w:val="1"/>
          <w:numId w:val="66"/>
        </w:numPr>
        <w:tabs>
          <w:tab w:val="left" w:pos="894"/>
        </w:tabs>
        <w:spacing w:before="119"/>
        <w:ind w:left="893" w:hanging="564"/>
        <w:rPr>
          <w:b w:val="0"/>
          <w:bCs w:val="0"/>
        </w:rPr>
      </w:pPr>
      <w:bookmarkStart w:id="215" w:name="_bookmark181"/>
      <w:bookmarkEnd w:id="215"/>
      <w:r>
        <w:rPr>
          <w:spacing w:val="-1"/>
        </w:rPr>
        <w:t>Protection</w:t>
      </w:r>
      <w:r>
        <w:t xml:space="preserve"> </w:t>
      </w:r>
      <w:r>
        <w:rPr>
          <w:spacing w:val="-2"/>
        </w:rPr>
        <w:t>of</w:t>
      </w:r>
      <w:r>
        <w:rPr>
          <w:spacing w:val="2"/>
        </w:rPr>
        <w:t xml:space="preserve"> </w:t>
      </w:r>
      <w:r>
        <w:rPr>
          <w:spacing w:val="-1"/>
        </w:rPr>
        <w:t>Customer Data</w:t>
      </w:r>
    </w:p>
    <w:p w:rsidR="008918FA" w:rsidRDefault="008918FA" w:rsidP="008918FA">
      <w:pPr>
        <w:pStyle w:val="BodyText"/>
        <w:numPr>
          <w:ilvl w:val="2"/>
          <w:numId w:val="66"/>
        </w:numPr>
        <w:tabs>
          <w:tab w:val="left" w:pos="1887"/>
        </w:tabs>
        <w:spacing w:before="121"/>
        <w:ind w:left="1886" w:right="118" w:hanging="993"/>
        <w:jc w:val="both"/>
      </w:pPr>
      <w:r>
        <w:t>The</w:t>
      </w:r>
      <w:r>
        <w:rPr>
          <w:spacing w:val="26"/>
        </w:rPr>
        <w:t xml:space="preserve"> </w:t>
      </w:r>
      <w:r>
        <w:rPr>
          <w:spacing w:val="-2"/>
        </w:rPr>
        <w:t>Supplier</w:t>
      </w:r>
      <w:r>
        <w:rPr>
          <w:spacing w:val="27"/>
        </w:rPr>
        <w:t xml:space="preserve"> </w:t>
      </w:r>
      <w:r>
        <w:rPr>
          <w:spacing w:val="-1"/>
        </w:rPr>
        <w:t>shall</w:t>
      </w:r>
      <w:r>
        <w:rPr>
          <w:spacing w:val="25"/>
        </w:rPr>
        <w:t xml:space="preserve"> </w:t>
      </w:r>
      <w:r>
        <w:rPr>
          <w:spacing w:val="-1"/>
        </w:rPr>
        <w:t>not</w:t>
      </w:r>
      <w:r>
        <w:rPr>
          <w:spacing w:val="27"/>
        </w:rPr>
        <w:t xml:space="preserve"> </w:t>
      </w:r>
      <w:r>
        <w:rPr>
          <w:spacing w:val="-1"/>
        </w:rPr>
        <w:t>delete</w:t>
      </w:r>
      <w:r>
        <w:rPr>
          <w:spacing w:val="26"/>
        </w:rPr>
        <w:t xml:space="preserve"> </w:t>
      </w:r>
      <w:r>
        <w:rPr>
          <w:spacing w:val="-1"/>
        </w:rPr>
        <w:t>or</w:t>
      </w:r>
      <w:r>
        <w:rPr>
          <w:spacing w:val="27"/>
        </w:rPr>
        <w:t xml:space="preserve"> </w:t>
      </w:r>
      <w:r>
        <w:rPr>
          <w:spacing w:val="-1"/>
        </w:rPr>
        <w:t>remove</w:t>
      </w:r>
      <w:r>
        <w:rPr>
          <w:spacing w:val="26"/>
        </w:rPr>
        <w:t xml:space="preserve"> </w:t>
      </w:r>
      <w:r>
        <w:rPr>
          <w:spacing w:val="-1"/>
        </w:rPr>
        <w:t>any</w:t>
      </w:r>
      <w:r>
        <w:rPr>
          <w:spacing w:val="24"/>
        </w:rPr>
        <w:t xml:space="preserve"> </w:t>
      </w:r>
      <w:r>
        <w:rPr>
          <w:spacing w:val="-1"/>
        </w:rPr>
        <w:t>proprietary</w:t>
      </w:r>
      <w:r>
        <w:rPr>
          <w:spacing w:val="24"/>
        </w:rPr>
        <w:t xml:space="preserve"> </w:t>
      </w:r>
      <w:r>
        <w:rPr>
          <w:spacing w:val="-1"/>
        </w:rPr>
        <w:t>notices</w:t>
      </w:r>
      <w:r>
        <w:rPr>
          <w:spacing w:val="47"/>
        </w:rPr>
        <w:t xml:space="preserve"> </w:t>
      </w:r>
      <w:r>
        <w:rPr>
          <w:spacing w:val="-1"/>
        </w:rPr>
        <w:t>contained</w:t>
      </w:r>
      <w:r>
        <w:t xml:space="preserve"> </w:t>
      </w:r>
      <w:r>
        <w:rPr>
          <w:spacing w:val="-2"/>
        </w:rPr>
        <w:t>within</w:t>
      </w:r>
      <w:r>
        <w:t xml:space="preserve"> </w:t>
      </w:r>
      <w:r>
        <w:rPr>
          <w:spacing w:val="-1"/>
        </w:rPr>
        <w:t>or relating</w:t>
      </w:r>
      <w:r>
        <w:t xml:space="preserve"> to</w:t>
      </w:r>
      <w:r>
        <w:rPr>
          <w:spacing w:val="-2"/>
        </w:rPr>
        <w:t xml:space="preserve"> </w:t>
      </w:r>
      <w:r>
        <w:t>the</w:t>
      </w:r>
      <w:r>
        <w:rPr>
          <w:spacing w:val="-2"/>
        </w:rPr>
        <w:t xml:space="preserve"> </w:t>
      </w:r>
      <w:r>
        <w:rPr>
          <w:spacing w:val="-1"/>
        </w:rPr>
        <w:t>Customer Data.</w:t>
      </w:r>
    </w:p>
    <w:p w:rsidR="008918FA" w:rsidRDefault="008918FA" w:rsidP="008918FA">
      <w:pPr>
        <w:pStyle w:val="BodyText"/>
        <w:numPr>
          <w:ilvl w:val="2"/>
          <w:numId w:val="66"/>
        </w:numPr>
        <w:tabs>
          <w:tab w:val="left" w:pos="1887"/>
        </w:tabs>
        <w:ind w:left="1886" w:right="112" w:hanging="993"/>
        <w:jc w:val="both"/>
      </w:pPr>
      <w:r>
        <w:t>The</w:t>
      </w:r>
      <w:r>
        <w:rPr>
          <w:spacing w:val="7"/>
        </w:rPr>
        <w:t xml:space="preserve"> </w:t>
      </w:r>
      <w:r>
        <w:rPr>
          <w:spacing w:val="-2"/>
        </w:rPr>
        <w:t>Supplier</w:t>
      </w:r>
      <w:r>
        <w:rPr>
          <w:spacing w:val="9"/>
        </w:rPr>
        <w:t xml:space="preserve"> </w:t>
      </w:r>
      <w:r>
        <w:rPr>
          <w:spacing w:val="-1"/>
        </w:rPr>
        <w:t>shall</w:t>
      </w:r>
      <w:r>
        <w:rPr>
          <w:spacing w:val="7"/>
        </w:rPr>
        <w:t xml:space="preserve"> </w:t>
      </w:r>
      <w:r>
        <w:rPr>
          <w:spacing w:val="-1"/>
        </w:rPr>
        <w:t>not</w:t>
      </w:r>
      <w:r>
        <w:rPr>
          <w:spacing w:val="9"/>
        </w:rPr>
        <w:t xml:space="preserve"> </w:t>
      </w:r>
      <w:r>
        <w:rPr>
          <w:spacing w:val="-1"/>
        </w:rPr>
        <w:t>store,</w:t>
      </w:r>
      <w:r>
        <w:rPr>
          <w:spacing w:val="9"/>
        </w:rPr>
        <w:t xml:space="preserve"> </w:t>
      </w:r>
      <w:r>
        <w:rPr>
          <w:spacing w:val="-1"/>
        </w:rPr>
        <w:t>copy,</w:t>
      </w:r>
      <w:r>
        <w:rPr>
          <w:spacing w:val="9"/>
        </w:rPr>
        <w:t xml:space="preserve"> </w:t>
      </w:r>
      <w:r>
        <w:rPr>
          <w:spacing w:val="-1"/>
        </w:rPr>
        <w:t>disclose,</w:t>
      </w:r>
      <w:r>
        <w:rPr>
          <w:spacing w:val="9"/>
        </w:rPr>
        <w:t xml:space="preserve"> </w:t>
      </w:r>
      <w:r>
        <w:rPr>
          <w:spacing w:val="-1"/>
        </w:rPr>
        <w:t>or</w:t>
      </w:r>
      <w:r>
        <w:rPr>
          <w:spacing w:val="9"/>
        </w:rPr>
        <w:t xml:space="preserve"> </w:t>
      </w:r>
      <w:r>
        <w:rPr>
          <w:spacing w:val="-2"/>
        </w:rPr>
        <w:t>use</w:t>
      </w:r>
      <w:r>
        <w:rPr>
          <w:spacing w:val="8"/>
        </w:rPr>
        <w:t xml:space="preserve"> </w:t>
      </w:r>
      <w:r>
        <w:t>the</w:t>
      </w:r>
      <w:r>
        <w:rPr>
          <w:spacing w:val="7"/>
        </w:rPr>
        <w:t xml:space="preserve"> </w:t>
      </w:r>
      <w:r>
        <w:rPr>
          <w:spacing w:val="-1"/>
        </w:rPr>
        <w:t>Customer</w:t>
      </w:r>
      <w:r>
        <w:rPr>
          <w:spacing w:val="9"/>
        </w:rPr>
        <w:t xml:space="preserve"> </w:t>
      </w:r>
      <w:r>
        <w:rPr>
          <w:spacing w:val="-1"/>
        </w:rPr>
        <w:t>Data</w:t>
      </w:r>
      <w:r>
        <w:rPr>
          <w:spacing w:val="43"/>
        </w:rPr>
        <w:t xml:space="preserve"> </w:t>
      </w:r>
      <w:r>
        <w:rPr>
          <w:spacing w:val="-1"/>
        </w:rPr>
        <w:t>except</w:t>
      </w:r>
      <w:r>
        <w:rPr>
          <w:spacing w:val="27"/>
        </w:rPr>
        <w:t xml:space="preserve"> </w:t>
      </w:r>
      <w:r>
        <w:rPr>
          <w:spacing w:val="-1"/>
        </w:rPr>
        <w:t>as</w:t>
      </w:r>
      <w:r>
        <w:rPr>
          <w:spacing w:val="26"/>
        </w:rPr>
        <w:t xml:space="preserve"> </w:t>
      </w:r>
      <w:r>
        <w:rPr>
          <w:spacing w:val="-1"/>
        </w:rPr>
        <w:t>necessary</w:t>
      </w:r>
      <w:r>
        <w:rPr>
          <w:spacing w:val="24"/>
        </w:rPr>
        <w:t xml:space="preserve"> </w:t>
      </w:r>
      <w:r>
        <w:t>for</w:t>
      </w:r>
      <w:r>
        <w:rPr>
          <w:spacing w:val="27"/>
        </w:rPr>
        <w:t xml:space="preserve"> </w:t>
      </w:r>
      <w:r>
        <w:t>the</w:t>
      </w:r>
      <w:r>
        <w:rPr>
          <w:spacing w:val="26"/>
        </w:rPr>
        <w:t xml:space="preserve"> </w:t>
      </w:r>
      <w:r>
        <w:rPr>
          <w:spacing w:val="-1"/>
        </w:rPr>
        <w:t>performance</w:t>
      </w:r>
      <w:r>
        <w:rPr>
          <w:spacing w:val="26"/>
        </w:rPr>
        <w:t xml:space="preserve"> </w:t>
      </w:r>
      <w:r>
        <w:rPr>
          <w:spacing w:val="-1"/>
        </w:rPr>
        <w:t>by</w:t>
      </w:r>
      <w:r>
        <w:rPr>
          <w:spacing w:val="24"/>
        </w:rPr>
        <w:t xml:space="preserve"> </w:t>
      </w:r>
      <w:r>
        <w:t>the</w:t>
      </w:r>
      <w:r>
        <w:rPr>
          <w:spacing w:val="26"/>
        </w:rPr>
        <w:t xml:space="preserve"> </w:t>
      </w:r>
      <w:r>
        <w:rPr>
          <w:spacing w:val="-2"/>
        </w:rPr>
        <w:t>Supplier</w:t>
      </w:r>
      <w:r>
        <w:rPr>
          <w:spacing w:val="27"/>
        </w:rPr>
        <w:t xml:space="preserve"> </w:t>
      </w:r>
      <w:r>
        <w:rPr>
          <w:spacing w:val="-1"/>
        </w:rPr>
        <w:t>of</w:t>
      </w:r>
      <w:r>
        <w:rPr>
          <w:spacing w:val="29"/>
        </w:rPr>
        <w:t xml:space="preserve"> </w:t>
      </w:r>
      <w:r>
        <w:rPr>
          <w:spacing w:val="-1"/>
        </w:rPr>
        <w:t>its</w:t>
      </w:r>
      <w:r>
        <w:rPr>
          <w:spacing w:val="37"/>
        </w:rPr>
        <w:t xml:space="preserve"> </w:t>
      </w:r>
      <w:r>
        <w:rPr>
          <w:spacing w:val="-1"/>
        </w:rPr>
        <w:t>obligations</w:t>
      </w:r>
      <w:r>
        <w:rPr>
          <w:spacing w:val="30"/>
        </w:rPr>
        <w:t xml:space="preserve"> </w:t>
      </w:r>
      <w:r>
        <w:rPr>
          <w:spacing w:val="-1"/>
        </w:rPr>
        <w:t>under</w:t>
      </w:r>
      <w:r>
        <w:rPr>
          <w:spacing w:val="30"/>
        </w:rPr>
        <w:t xml:space="preserve"> </w:t>
      </w:r>
      <w:r>
        <w:rPr>
          <w:spacing w:val="-1"/>
        </w:rPr>
        <w:t>this</w:t>
      </w:r>
      <w:r>
        <w:rPr>
          <w:spacing w:val="30"/>
        </w:rPr>
        <w:t xml:space="preserve"> </w:t>
      </w:r>
      <w:r>
        <w:rPr>
          <w:spacing w:val="-2"/>
        </w:rPr>
        <w:t>Call</w:t>
      </w:r>
      <w:r>
        <w:rPr>
          <w:spacing w:val="28"/>
        </w:rPr>
        <w:t xml:space="preserve"> </w:t>
      </w:r>
      <w:r>
        <w:t>Off</w:t>
      </w:r>
      <w:r>
        <w:rPr>
          <w:spacing w:val="33"/>
        </w:rPr>
        <w:t xml:space="preserve"> </w:t>
      </w:r>
      <w:r>
        <w:rPr>
          <w:spacing w:val="-2"/>
        </w:rPr>
        <w:t>Contract</w:t>
      </w:r>
      <w:r>
        <w:rPr>
          <w:spacing w:val="30"/>
        </w:rPr>
        <w:t xml:space="preserve"> </w:t>
      </w:r>
      <w:r>
        <w:rPr>
          <w:spacing w:val="-1"/>
        </w:rPr>
        <w:t>or</w:t>
      </w:r>
      <w:r>
        <w:rPr>
          <w:spacing w:val="30"/>
        </w:rPr>
        <w:t xml:space="preserve"> </w:t>
      </w:r>
      <w:r>
        <w:rPr>
          <w:spacing w:val="-1"/>
        </w:rPr>
        <w:t>as</w:t>
      </w:r>
      <w:r>
        <w:rPr>
          <w:spacing w:val="30"/>
        </w:rPr>
        <w:t xml:space="preserve"> </w:t>
      </w:r>
      <w:r>
        <w:rPr>
          <w:spacing w:val="-2"/>
        </w:rPr>
        <w:t>otherwise</w:t>
      </w:r>
      <w:r>
        <w:rPr>
          <w:spacing w:val="30"/>
        </w:rPr>
        <w:t xml:space="preserve"> </w:t>
      </w:r>
      <w:r>
        <w:rPr>
          <w:spacing w:val="-1"/>
        </w:rPr>
        <w:t>Approved</w:t>
      </w:r>
      <w:r>
        <w:rPr>
          <w:spacing w:val="29"/>
        </w:rPr>
        <w:t xml:space="preserve"> </w:t>
      </w:r>
      <w:r>
        <w:rPr>
          <w:spacing w:val="1"/>
        </w:rPr>
        <w:t>by</w:t>
      </w:r>
      <w:r>
        <w:rPr>
          <w:spacing w:val="55"/>
        </w:rPr>
        <w:t xml:space="preserve"> </w:t>
      </w:r>
      <w:r>
        <w:t xml:space="preserve">the </w:t>
      </w:r>
      <w:r>
        <w:rPr>
          <w:spacing w:val="-1"/>
        </w:rPr>
        <w:t>Customer.</w:t>
      </w:r>
    </w:p>
    <w:p w:rsidR="008918FA" w:rsidRDefault="008918FA" w:rsidP="008918FA">
      <w:pPr>
        <w:pStyle w:val="BodyText"/>
        <w:numPr>
          <w:ilvl w:val="2"/>
          <w:numId w:val="66"/>
        </w:numPr>
        <w:tabs>
          <w:tab w:val="left" w:pos="1887"/>
        </w:tabs>
        <w:spacing w:before="121"/>
        <w:ind w:left="1886" w:right="113" w:hanging="993"/>
        <w:jc w:val="both"/>
      </w:pPr>
      <w:bookmarkStart w:id="216" w:name="_bookmark182"/>
      <w:bookmarkEnd w:id="216"/>
      <w:r>
        <w:rPr>
          <w:spacing w:val="1"/>
        </w:rPr>
        <w:t>To</w:t>
      </w:r>
      <w:r>
        <w:rPr>
          <w:spacing w:val="10"/>
        </w:rPr>
        <w:t xml:space="preserve"> </w:t>
      </w:r>
      <w:r>
        <w:t>the</w:t>
      </w:r>
      <w:r>
        <w:rPr>
          <w:spacing w:val="12"/>
        </w:rPr>
        <w:t xml:space="preserve"> </w:t>
      </w:r>
      <w:r>
        <w:rPr>
          <w:spacing w:val="-1"/>
        </w:rPr>
        <w:t>extent</w:t>
      </w:r>
      <w:r>
        <w:rPr>
          <w:spacing w:val="14"/>
        </w:rPr>
        <w:t xml:space="preserve"> </w:t>
      </w:r>
      <w:r>
        <w:rPr>
          <w:spacing w:val="-1"/>
        </w:rPr>
        <w:t>that</w:t>
      </w:r>
      <w:r>
        <w:rPr>
          <w:spacing w:val="14"/>
        </w:rPr>
        <w:t xml:space="preserve"> </w:t>
      </w:r>
      <w:r>
        <w:t>the</w:t>
      </w:r>
      <w:r>
        <w:rPr>
          <w:spacing w:val="12"/>
        </w:rPr>
        <w:t xml:space="preserve"> </w:t>
      </w:r>
      <w:r>
        <w:rPr>
          <w:spacing w:val="-2"/>
        </w:rPr>
        <w:t>Customer</w:t>
      </w:r>
      <w:r>
        <w:rPr>
          <w:spacing w:val="14"/>
        </w:rPr>
        <w:t xml:space="preserve"> </w:t>
      </w:r>
      <w:r>
        <w:rPr>
          <w:spacing w:val="-1"/>
        </w:rPr>
        <w:t>Data</w:t>
      </w:r>
      <w:r>
        <w:rPr>
          <w:spacing w:val="12"/>
        </w:rPr>
        <w:t xml:space="preserve"> </w:t>
      </w:r>
      <w:r>
        <w:rPr>
          <w:spacing w:val="-1"/>
        </w:rPr>
        <w:t>is</w:t>
      </w:r>
      <w:r>
        <w:rPr>
          <w:spacing w:val="13"/>
        </w:rPr>
        <w:t xml:space="preserve"> </w:t>
      </w:r>
      <w:r>
        <w:rPr>
          <w:spacing w:val="-1"/>
        </w:rPr>
        <w:t>held</w:t>
      </w:r>
      <w:r>
        <w:rPr>
          <w:spacing w:val="12"/>
        </w:rPr>
        <w:t xml:space="preserve"> </w:t>
      </w:r>
      <w:r>
        <w:rPr>
          <w:spacing w:val="-1"/>
        </w:rPr>
        <w:t>and/or</w:t>
      </w:r>
      <w:r>
        <w:rPr>
          <w:spacing w:val="14"/>
        </w:rPr>
        <w:t xml:space="preserve"> </w:t>
      </w:r>
      <w:r>
        <w:rPr>
          <w:spacing w:val="-1"/>
        </w:rPr>
        <w:t>Processed</w:t>
      </w:r>
      <w:r>
        <w:rPr>
          <w:spacing w:val="12"/>
        </w:rPr>
        <w:t xml:space="preserve"> </w:t>
      </w:r>
      <w:r>
        <w:rPr>
          <w:spacing w:val="-1"/>
        </w:rPr>
        <w:t>by</w:t>
      </w:r>
      <w:r>
        <w:rPr>
          <w:spacing w:val="10"/>
        </w:rPr>
        <w:t xml:space="preserve"> </w:t>
      </w:r>
      <w:r>
        <w:rPr>
          <w:spacing w:val="-1"/>
        </w:rPr>
        <w:t>the</w:t>
      </w:r>
      <w:r>
        <w:rPr>
          <w:spacing w:val="34"/>
        </w:rPr>
        <w:t xml:space="preserve"> </w:t>
      </w:r>
      <w:r>
        <w:rPr>
          <w:spacing w:val="-1"/>
        </w:rPr>
        <w:t>Supplier,</w:t>
      </w:r>
      <w:r>
        <w:rPr>
          <w:spacing w:val="2"/>
        </w:rPr>
        <w:t xml:space="preserve"> </w:t>
      </w:r>
      <w:r>
        <w:t xml:space="preserve">the </w:t>
      </w:r>
      <w:r>
        <w:rPr>
          <w:spacing w:val="-2"/>
        </w:rPr>
        <w:t>Supplier</w:t>
      </w:r>
      <w:r>
        <w:rPr>
          <w:spacing w:val="2"/>
        </w:rPr>
        <w:t xml:space="preserve"> </w:t>
      </w:r>
      <w:r>
        <w:rPr>
          <w:spacing w:val="-1"/>
        </w:rPr>
        <w:t>shall</w:t>
      </w:r>
      <w:r>
        <w:t xml:space="preserve"> </w:t>
      </w:r>
      <w:r>
        <w:rPr>
          <w:spacing w:val="-1"/>
        </w:rPr>
        <w:t>supply</w:t>
      </w:r>
      <w:r>
        <w:rPr>
          <w:spacing w:val="-2"/>
        </w:rPr>
        <w:t xml:space="preserve"> </w:t>
      </w:r>
      <w:r>
        <w:rPr>
          <w:spacing w:val="-1"/>
        </w:rPr>
        <w:t>that</w:t>
      </w:r>
      <w:r>
        <w:rPr>
          <w:spacing w:val="2"/>
        </w:rPr>
        <w:t xml:space="preserve"> </w:t>
      </w:r>
      <w:r>
        <w:rPr>
          <w:spacing w:val="-1"/>
        </w:rPr>
        <w:t>Customer Data</w:t>
      </w:r>
      <w:r>
        <w:t xml:space="preserve"> to the </w:t>
      </w:r>
      <w:r>
        <w:rPr>
          <w:spacing w:val="-2"/>
        </w:rPr>
        <w:t>Customer</w:t>
      </w:r>
      <w:r>
        <w:rPr>
          <w:spacing w:val="53"/>
        </w:rPr>
        <w:t xml:space="preserve"> </w:t>
      </w:r>
      <w:r>
        <w:rPr>
          <w:spacing w:val="-1"/>
        </w:rPr>
        <w:t>as</w:t>
      </w:r>
      <w:r>
        <w:rPr>
          <w:spacing w:val="30"/>
        </w:rPr>
        <w:t xml:space="preserve"> </w:t>
      </w:r>
      <w:r>
        <w:rPr>
          <w:spacing w:val="-1"/>
        </w:rPr>
        <w:t>requested</w:t>
      </w:r>
      <w:r>
        <w:rPr>
          <w:spacing w:val="29"/>
        </w:rPr>
        <w:t xml:space="preserve"> </w:t>
      </w:r>
      <w:r>
        <w:rPr>
          <w:spacing w:val="-1"/>
        </w:rPr>
        <w:t>by</w:t>
      </w:r>
      <w:r>
        <w:rPr>
          <w:spacing w:val="27"/>
        </w:rPr>
        <w:t xml:space="preserve"> </w:t>
      </w:r>
      <w:r>
        <w:t>the</w:t>
      </w:r>
      <w:r>
        <w:rPr>
          <w:spacing w:val="29"/>
        </w:rPr>
        <w:t xml:space="preserve"> </w:t>
      </w:r>
      <w:r>
        <w:rPr>
          <w:spacing w:val="-1"/>
        </w:rPr>
        <w:t>Customer</w:t>
      </w:r>
      <w:r>
        <w:rPr>
          <w:spacing w:val="30"/>
        </w:rPr>
        <w:t xml:space="preserve"> </w:t>
      </w:r>
      <w:r>
        <w:rPr>
          <w:spacing w:val="-1"/>
        </w:rPr>
        <w:t>and</w:t>
      </w:r>
      <w:r>
        <w:rPr>
          <w:spacing w:val="29"/>
        </w:rPr>
        <w:t xml:space="preserve"> </w:t>
      </w:r>
      <w:r>
        <w:rPr>
          <w:spacing w:val="-1"/>
        </w:rPr>
        <w:t>in</w:t>
      </w:r>
      <w:r>
        <w:rPr>
          <w:spacing w:val="29"/>
        </w:rPr>
        <w:t xml:space="preserve"> </w:t>
      </w:r>
      <w:r>
        <w:t>the</w:t>
      </w:r>
      <w:r>
        <w:rPr>
          <w:spacing w:val="27"/>
        </w:rPr>
        <w:t xml:space="preserve"> </w:t>
      </w:r>
      <w:r>
        <w:rPr>
          <w:spacing w:val="-1"/>
        </w:rPr>
        <w:t>format</w:t>
      </w:r>
      <w:r>
        <w:rPr>
          <w:spacing w:val="30"/>
        </w:rPr>
        <w:t xml:space="preserve"> </w:t>
      </w:r>
      <w:r>
        <w:rPr>
          <w:spacing w:val="-2"/>
        </w:rPr>
        <w:t>(if</w:t>
      </w:r>
      <w:r>
        <w:rPr>
          <w:spacing w:val="33"/>
        </w:rPr>
        <w:t xml:space="preserve"> </w:t>
      </w:r>
      <w:r>
        <w:rPr>
          <w:spacing w:val="-2"/>
        </w:rPr>
        <w:t>any)</w:t>
      </w:r>
      <w:r>
        <w:rPr>
          <w:spacing w:val="30"/>
        </w:rPr>
        <w:t xml:space="preserve"> </w:t>
      </w:r>
      <w:r>
        <w:rPr>
          <w:spacing w:val="-1"/>
        </w:rPr>
        <w:t>specified</w:t>
      </w:r>
      <w:r>
        <w:rPr>
          <w:spacing w:val="29"/>
        </w:rPr>
        <w:t xml:space="preserve"> </w:t>
      </w:r>
      <w:r>
        <w:rPr>
          <w:spacing w:val="-1"/>
        </w:rPr>
        <w:t>in</w:t>
      </w:r>
      <w:r>
        <w:rPr>
          <w:spacing w:val="39"/>
        </w:rPr>
        <w:t xml:space="preserve"> </w:t>
      </w:r>
      <w:r>
        <w:rPr>
          <w:spacing w:val="-1"/>
        </w:rPr>
        <w:t>this</w:t>
      </w:r>
      <w:r>
        <w:rPr>
          <w:spacing w:val="27"/>
        </w:rPr>
        <w:t xml:space="preserve"> </w:t>
      </w:r>
      <w:r>
        <w:rPr>
          <w:spacing w:val="-2"/>
        </w:rPr>
        <w:t>Call</w:t>
      </w:r>
      <w:r>
        <w:rPr>
          <w:spacing w:val="26"/>
        </w:rPr>
        <w:t xml:space="preserve"> </w:t>
      </w:r>
      <w:r>
        <w:rPr>
          <w:spacing w:val="-1"/>
        </w:rPr>
        <w:t>Off</w:t>
      </w:r>
      <w:r>
        <w:rPr>
          <w:spacing w:val="28"/>
        </w:rPr>
        <w:t xml:space="preserve"> </w:t>
      </w:r>
      <w:r>
        <w:rPr>
          <w:spacing w:val="-2"/>
        </w:rPr>
        <w:t>Contract</w:t>
      </w:r>
      <w:r>
        <w:rPr>
          <w:spacing w:val="28"/>
        </w:rPr>
        <w:t xml:space="preserve"> </w:t>
      </w:r>
      <w:r>
        <w:rPr>
          <w:spacing w:val="-2"/>
        </w:rPr>
        <w:t>and</w:t>
      </w:r>
      <w:r>
        <w:rPr>
          <w:spacing w:val="27"/>
        </w:rPr>
        <w:t xml:space="preserve"> </w:t>
      </w:r>
      <w:r>
        <w:rPr>
          <w:spacing w:val="-1"/>
        </w:rPr>
        <w:t>in</w:t>
      </w:r>
      <w:r>
        <w:rPr>
          <w:spacing w:val="27"/>
        </w:rPr>
        <w:t xml:space="preserve"> </w:t>
      </w:r>
      <w:r>
        <w:rPr>
          <w:spacing w:val="-1"/>
        </w:rPr>
        <w:t>any</w:t>
      </w:r>
      <w:r>
        <w:rPr>
          <w:spacing w:val="25"/>
        </w:rPr>
        <w:t xml:space="preserve"> </w:t>
      </w:r>
      <w:r>
        <w:rPr>
          <w:spacing w:val="-2"/>
        </w:rPr>
        <w:t>event</w:t>
      </w:r>
      <w:r>
        <w:rPr>
          <w:spacing w:val="28"/>
        </w:rPr>
        <w:t xml:space="preserve"> </w:t>
      </w:r>
      <w:r>
        <w:rPr>
          <w:spacing w:val="-1"/>
        </w:rPr>
        <w:t>as</w:t>
      </w:r>
      <w:r>
        <w:rPr>
          <w:spacing w:val="27"/>
        </w:rPr>
        <w:t xml:space="preserve"> </w:t>
      </w:r>
      <w:r>
        <w:rPr>
          <w:spacing w:val="-1"/>
        </w:rPr>
        <w:t>specified</w:t>
      </w:r>
      <w:r>
        <w:rPr>
          <w:spacing w:val="27"/>
        </w:rPr>
        <w:t xml:space="preserve"> </w:t>
      </w:r>
      <w:r>
        <w:rPr>
          <w:spacing w:val="-1"/>
        </w:rPr>
        <w:t>by</w:t>
      </w:r>
      <w:r>
        <w:rPr>
          <w:spacing w:val="25"/>
        </w:rPr>
        <w:t xml:space="preserve"> </w:t>
      </w:r>
      <w:r>
        <w:t>the</w:t>
      </w:r>
      <w:r>
        <w:rPr>
          <w:spacing w:val="27"/>
        </w:rPr>
        <w:t xml:space="preserve"> </w:t>
      </w:r>
      <w:r>
        <w:rPr>
          <w:spacing w:val="-2"/>
        </w:rPr>
        <w:t>Customer</w:t>
      </w:r>
      <w:r>
        <w:rPr>
          <w:spacing w:val="61"/>
        </w:rPr>
        <w:t xml:space="preserve"> </w:t>
      </w:r>
      <w:r>
        <w:rPr>
          <w:spacing w:val="-1"/>
        </w:rPr>
        <w:t>from time</w:t>
      </w:r>
      <w:r>
        <w:rPr>
          <w:spacing w:val="-2"/>
        </w:rPr>
        <w:t xml:space="preserve"> </w:t>
      </w:r>
      <w:r>
        <w:t>to</w:t>
      </w:r>
      <w:r>
        <w:rPr>
          <w:spacing w:val="-2"/>
        </w:rPr>
        <w:t xml:space="preserve"> </w:t>
      </w:r>
      <w:r>
        <w:rPr>
          <w:spacing w:val="-1"/>
        </w:rPr>
        <w:t>time</w:t>
      </w:r>
      <w:r>
        <w:rPr>
          <w:spacing w:val="-2"/>
        </w:rPr>
        <w:t xml:space="preserve"> </w:t>
      </w:r>
      <w:r>
        <w:rPr>
          <w:spacing w:val="-1"/>
        </w:rPr>
        <w:t>in</w:t>
      </w:r>
      <w:r>
        <w:t xml:space="preserve"> </w:t>
      </w:r>
      <w:r>
        <w:rPr>
          <w:spacing w:val="-2"/>
        </w:rPr>
        <w:t>writing.</w:t>
      </w:r>
    </w:p>
    <w:p w:rsidR="008918FA" w:rsidRDefault="008918FA" w:rsidP="008918FA">
      <w:pPr>
        <w:pStyle w:val="BodyText"/>
        <w:numPr>
          <w:ilvl w:val="2"/>
          <w:numId w:val="66"/>
        </w:numPr>
        <w:tabs>
          <w:tab w:val="left" w:pos="1887"/>
        </w:tabs>
        <w:spacing w:before="121"/>
        <w:ind w:left="1886" w:right="114" w:hanging="993"/>
        <w:jc w:val="both"/>
      </w:pPr>
      <w:r>
        <w:t>The</w:t>
      </w:r>
      <w:r>
        <w:rPr>
          <w:spacing w:val="55"/>
        </w:rPr>
        <w:t xml:space="preserve"> </w:t>
      </w:r>
      <w:r>
        <w:rPr>
          <w:spacing w:val="-2"/>
        </w:rPr>
        <w:t>Supplier</w:t>
      </w:r>
      <w:r>
        <w:rPr>
          <w:spacing w:val="57"/>
        </w:rPr>
        <w:t xml:space="preserve"> </w:t>
      </w:r>
      <w:r>
        <w:rPr>
          <w:spacing w:val="-1"/>
        </w:rPr>
        <w:t>shall</w:t>
      </w:r>
      <w:r>
        <w:rPr>
          <w:spacing w:val="55"/>
        </w:rPr>
        <w:t xml:space="preserve"> </w:t>
      </w:r>
      <w:r>
        <w:rPr>
          <w:spacing w:val="-1"/>
        </w:rPr>
        <w:t>take</w:t>
      </w:r>
      <w:r>
        <w:rPr>
          <w:spacing w:val="53"/>
        </w:rPr>
        <w:t xml:space="preserve"> </w:t>
      </w:r>
      <w:r>
        <w:rPr>
          <w:spacing w:val="-1"/>
        </w:rPr>
        <w:t>responsibility</w:t>
      </w:r>
      <w:r>
        <w:rPr>
          <w:spacing w:val="53"/>
        </w:rPr>
        <w:t xml:space="preserve"> </w:t>
      </w:r>
      <w:r>
        <w:t>for</w:t>
      </w:r>
      <w:r>
        <w:rPr>
          <w:spacing w:val="57"/>
        </w:rPr>
        <w:t xml:space="preserve"> </w:t>
      </w:r>
      <w:r>
        <w:rPr>
          <w:spacing w:val="-2"/>
        </w:rPr>
        <w:t>preserving</w:t>
      </w:r>
      <w:r>
        <w:rPr>
          <w:spacing w:val="59"/>
        </w:rPr>
        <w:t xml:space="preserve"> </w:t>
      </w:r>
      <w:r>
        <w:t>the</w:t>
      </w:r>
      <w:r>
        <w:rPr>
          <w:spacing w:val="55"/>
        </w:rPr>
        <w:t xml:space="preserve"> </w:t>
      </w:r>
      <w:r>
        <w:rPr>
          <w:spacing w:val="-1"/>
        </w:rPr>
        <w:t>integrity</w:t>
      </w:r>
      <w:r>
        <w:rPr>
          <w:spacing w:val="53"/>
        </w:rPr>
        <w:t xml:space="preserve"> </w:t>
      </w:r>
      <w:r>
        <w:rPr>
          <w:spacing w:val="-2"/>
        </w:rPr>
        <w:t>of</w:t>
      </w:r>
      <w:r>
        <w:rPr>
          <w:spacing w:val="45"/>
        </w:rPr>
        <w:t xml:space="preserve"> </w:t>
      </w:r>
      <w:r>
        <w:rPr>
          <w:spacing w:val="-1"/>
        </w:rPr>
        <w:t>Customer</w:t>
      </w:r>
      <w:r>
        <w:rPr>
          <w:spacing w:val="61"/>
        </w:rPr>
        <w:t xml:space="preserve"> </w:t>
      </w:r>
      <w:r>
        <w:rPr>
          <w:spacing w:val="-1"/>
        </w:rPr>
        <w:t>Data</w:t>
      </w:r>
      <w:r>
        <w:rPr>
          <w:spacing w:val="60"/>
        </w:rPr>
        <w:t xml:space="preserve"> </w:t>
      </w:r>
      <w:r>
        <w:rPr>
          <w:spacing w:val="-1"/>
        </w:rPr>
        <w:t>and</w:t>
      </w:r>
      <w:r>
        <w:rPr>
          <w:spacing w:val="60"/>
        </w:rPr>
        <w:t xml:space="preserve"> </w:t>
      </w:r>
      <w:r>
        <w:rPr>
          <w:spacing w:val="-2"/>
        </w:rPr>
        <w:t>preventing</w:t>
      </w:r>
      <w:r>
        <w:rPr>
          <w:spacing w:val="2"/>
        </w:rPr>
        <w:t xml:space="preserve"> </w:t>
      </w:r>
      <w:r>
        <w:t>the</w:t>
      </w:r>
      <w:r>
        <w:rPr>
          <w:spacing w:val="60"/>
        </w:rPr>
        <w:t xml:space="preserve"> </w:t>
      </w:r>
      <w:r>
        <w:rPr>
          <w:spacing w:val="-1"/>
        </w:rPr>
        <w:t>corruption</w:t>
      </w:r>
      <w:r>
        <w:rPr>
          <w:spacing w:val="60"/>
        </w:rPr>
        <w:t xml:space="preserve"> </w:t>
      </w:r>
      <w:r>
        <w:rPr>
          <w:spacing w:val="-1"/>
        </w:rPr>
        <w:t>or</w:t>
      </w:r>
      <w:r>
        <w:t xml:space="preserve"> </w:t>
      </w:r>
      <w:r>
        <w:rPr>
          <w:spacing w:val="-1"/>
        </w:rPr>
        <w:t>loss</w:t>
      </w:r>
      <w:r>
        <w:t xml:space="preserve">  </w:t>
      </w:r>
      <w:r>
        <w:rPr>
          <w:spacing w:val="-2"/>
        </w:rPr>
        <w:t>of</w:t>
      </w:r>
      <w:r>
        <w:rPr>
          <w:spacing w:val="3"/>
        </w:rPr>
        <w:t xml:space="preserve"> </w:t>
      </w:r>
      <w:r>
        <w:rPr>
          <w:spacing w:val="-2"/>
        </w:rPr>
        <w:t>Customer</w:t>
      </w:r>
      <w:r>
        <w:rPr>
          <w:spacing w:val="45"/>
        </w:rPr>
        <w:t xml:space="preserve"> </w:t>
      </w:r>
      <w:r>
        <w:rPr>
          <w:spacing w:val="-1"/>
        </w:rPr>
        <w:t>Data.</w:t>
      </w:r>
    </w:p>
    <w:p w:rsidR="008918FA" w:rsidRDefault="008918FA" w:rsidP="008918FA">
      <w:pPr>
        <w:pStyle w:val="BodyText"/>
        <w:numPr>
          <w:ilvl w:val="2"/>
          <w:numId w:val="66"/>
        </w:numPr>
        <w:tabs>
          <w:tab w:val="left" w:pos="1887"/>
        </w:tabs>
        <w:spacing w:before="121"/>
        <w:ind w:left="1886" w:right="111" w:hanging="993"/>
        <w:jc w:val="both"/>
      </w:pPr>
      <w:r>
        <w:t>The</w:t>
      </w:r>
      <w:r>
        <w:rPr>
          <w:spacing w:val="17"/>
        </w:rPr>
        <w:t xml:space="preserve"> </w:t>
      </w:r>
      <w:r>
        <w:rPr>
          <w:spacing w:val="-2"/>
        </w:rPr>
        <w:t>Supplier</w:t>
      </w:r>
      <w:r>
        <w:rPr>
          <w:spacing w:val="19"/>
        </w:rPr>
        <w:t xml:space="preserve"> </w:t>
      </w:r>
      <w:r>
        <w:rPr>
          <w:spacing w:val="-2"/>
        </w:rPr>
        <w:t>shall</w:t>
      </w:r>
      <w:r>
        <w:rPr>
          <w:spacing w:val="17"/>
        </w:rPr>
        <w:t xml:space="preserve"> </w:t>
      </w:r>
      <w:r>
        <w:rPr>
          <w:spacing w:val="-1"/>
        </w:rPr>
        <w:t>perform</w:t>
      </w:r>
      <w:r>
        <w:rPr>
          <w:spacing w:val="19"/>
        </w:rPr>
        <w:t xml:space="preserve"> </w:t>
      </w:r>
      <w:r>
        <w:rPr>
          <w:spacing w:val="-1"/>
        </w:rPr>
        <w:t>secure</w:t>
      </w:r>
      <w:r>
        <w:rPr>
          <w:spacing w:val="17"/>
        </w:rPr>
        <w:t xml:space="preserve"> </w:t>
      </w:r>
      <w:r>
        <w:rPr>
          <w:spacing w:val="-1"/>
        </w:rPr>
        <w:t>back-ups</w:t>
      </w:r>
      <w:r>
        <w:rPr>
          <w:spacing w:val="18"/>
        </w:rPr>
        <w:t xml:space="preserve"> </w:t>
      </w:r>
      <w:r>
        <w:rPr>
          <w:spacing w:val="-2"/>
        </w:rPr>
        <w:t>of</w:t>
      </w:r>
      <w:r>
        <w:rPr>
          <w:spacing w:val="19"/>
        </w:rPr>
        <w:t xml:space="preserve"> </w:t>
      </w:r>
      <w:r>
        <w:rPr>
          <w:spacing w:val="-1"/>
        </w:rPr>
        <w:t>all</w:t>
      </w:r>
      <w:r>
        <w:rPr>
          <w:spacing w:val="14"/>
        </w:rPr>
        <w:t xml:space="preserve"> </w:t>
      </w:r>
      <w:r>
        <w:rPr>
          <w:spacing w:val="-1"/>
        </w:rPr>
        <w:t>Customer</w:t>
      </w:r>
      <w:r>
        <w:rPr>
          <w:spacing w:val="19"/>
        </w:rPr>
        <w:t xml:space="preserve"> </w:t>
      </w:r>
      <w:r>
        <w:rPr>
          <w:spacing w:val="-1"/>
        </w:rPr>
        <w:t>Data</w:t>
      </w:r>
      <w:r>
        <w:rPr>
          <w:spacing w:val="17"/>
        </w:rPr>
        <w:t xml:space="preserve"> </w:t>
      </w:r>
      <w:r>
        <w:rPr>
          <w:spacing w:val="-1"/>
        </w:rPr>
        <w:t>and</w:t>
      </w:r>
      <w:r>
        <w:rPr>
          <w:spacing w:val="34"/>
        </w:rPr>
        <w:t xml:space="preserve"> </w:t>
      </w:r>
      <w:r>
        <w:rPr>
          <w:spacing w:val="-1"/>
        </w:rPr>
        <w:t>shall</w:t>
      </w:r>
      <w:r>
        <w:rPr>
          <w:spacing w:val="44"/>
        </w:rPr>
        <w:t xml:space="preserve"> </w:t>
      </w:r>
      <w:r>
        <w:rPr>
          <w:spacing w:val="-1"/>
        </w:rPr>
        <w:t>ensure</w:t>
      </w:r>
      <w:r>
        <w:rPr>
          <w:spacing w:val="45"/>
        </w:rPr>
        <w:t xml:space="preserve"> </w:t>
      </w:r>
      <w:r>
        <w:rPr>
          <w:spacing w:val="-1"/>
        </w:rPr>
        <w:t>that</w:t>
      </w:r>
      <w:r>
        <w:rPr>
          <w:spacing w:val="46"/>
        </w:rPr>
        <w:t xml:space="preserve"> </w:t>
      </w:r>
      <w:r>
        <w:rPr>
          <w:spacing w:val="-1"/>
        </w:rPr>
        <w:t>up-to-date</w:t>
      </w:r>
      <w:r>
        <w:rPr>
          <w:spacing w:val="45"/>
        </w:rPr>
        <w:t xml:space="preserve"> </w:t>
      </w:r>
      <w:r>
        <w:rPr>
          <w:spacing w:val="-1"/>
        </w:rPr>
        <w:t>back-ups</w:t>
      </w:r>
      <w:r>
        <w:rPr>
          <w:spacing w:val="45"/>
        </w:rPr>
        <w:t xml:space="preserve"> </w:t>
      </w:r>
      <w:r>
        <w:rPr>
          <w:spacing w:val="-1"/>
        </w:rPr>
        <w:t>are</w:t>
      </w:r>
      <w:r>
        <w:rPr>
          <w:spacing w:val="45"/>
        </w:rPr>
        <w:t xml:space="preserve"> </w:t>
      </w:r>
      <w:r>
        <w:rPr>
          <w:spacing w:val="-1"/>
        </w:rPr>
        <w:t>stored</w:t>
      </w:r>
      <w:r>
        <w:rPr>
          <w:spacing w:val="46"/>
        </w:rPr>
        <w:t xml:space="preserve"> </w:t>
      </w:r>
      <w:r>
        <w:rPr>
          <w:spacing w:val="-1"/>
        </w:rPr>
        <w:t>off-site</w:t>
      </w:r>
      <w:r>
        <w:rPr>
          <w:spacing w:val="45"/>
        </w:rPr>
        <w:t xml:space="preserve"> </w:t>
      </w:r>
      <w:r>
        <w:rPr>
          <w:spacing w:val="-1"/>
        </w:rPr>
        <w:t>at</w:t>
      </w:r>
      <w:r>
        <w:rPr>
          <w:spacing w:val="46"/>
        </w:rPr>
        <w:t xml:space="preserve"> </w:t>
      </w:r>
      <w:r>
        <w:rPr>
          <w:spacing w:val="-1"/>
        </w:rPr>
        <w:t>an</w:t>
      </w:r>
      <w:r>
        <w:rPr>
          <w:spacing w:val="46"/>
        </w:rPr>
        <w:t xml:space="preserve"> </w:t>
      </w:r>
      <w:r>
        <w:rPr>
          <w:spacing w:val="-1"/>
        </w:rPr>
        <w:t>Approved</w:t>
      </w:r>
      <w:r>
        <w:rPr>
          <w:spacing w:val="38"/>
        </w:rPr>
        <w:t xml:space="preserve"> </w:t>
      </w:r>
      <w:r>
        <w:rPr>
          <w:spacing w:val="-1"/>
        </w:rPr>
        <w:t>location</w:t>
      </w:r>
      <w:r>
        <w:rPr>
          <w:spacing w:val="40"/>
        </w:rPr>
        <w:t xml:space="preserve"> </w:t>
      </w:r>
      <w:r>
        <w:rPr>
          <w:spacing w:val="-1"/>
        </w:rPr>
        <w:t>in</w:t>
      </w:r>
      <w:r>
        <w:rPr>
          <w:spacing w:val="39"/>
        </w:rPr>
        <w:t xml:space="preserve"> </w:t>
      </w:r>
      <w:r>
        <w:rPr>
          <w:spacing w:val="-1"/>
        </w:rPr>
        <w:t>accordance</w:t>
      </w:r>
      <w:r>
        <w:rPr>
          <w:spacing w:val="39"/>
        </w:rPr>
        <w:t xml:space="preserve"> </w:t>
      </w:r>
      <w:r>
        <w:rPr>
          <w:spacing w:val="-2"/>
        </w:rPr>
        <w:t>with</w:t>
      </w:r>
      <w:r>
        <w:rPr>
          <w:spacing w:val="39"/>
        </w:rPr>
        <w:t xml:space="preserve"> </w:t>
      </w:r>
      <w:r>
        <w:rPr>
          <w:spacing w:val="-1"/>
        </w:rPr>
        <w:t>any</w:t>
      </w:r>
      <w:r>
        <w:rPr>
          <w:spacing w:val="37"/>
        </w:rPr>
        <w:t xml:space="preserve"> </w:t>
      </w:r>
      <w:r>
        <w:rPr>
          <w:spacing w:val="-1"/>
        </w:rPr>
        <w:t>BCDR</w:t>
      </w:r>
      <w:r>
        <w:rPr>
          <w:spacing w:val="39"/>
        </w:rPr>
        <w:t xml:space="preserve"> </w:t>
      </w:r>
      <w:r>
        <w:rPr>
          <w:spacing w:val="-1"/>
        </w:rPr>
        <w:t>Plan</w:t>
      </w:r>
      <w:r>
        <w:rPr>
          <w:spacing w:val="39"/>
        </w:rPr>
        <w:t xml:space="preserve"> </w:t>
      </w:r>
      <w:r>
        <w:rPr>
          <w:spacing w:val="-1"/>
        </w:rPr>
        <w:t>or</w:t>
      </w:r>
      <w:r>
        <w:rPr>
          <w:spacing w:val="40"/>
        </w:rPr>
        <w:t xml:space="preserve"> </w:t>
      </w:r>
      <w:r>
        <w:rPr>
          <w:spacing w:val="-1"/>
        </w:rPr>
        <w:t>otherwise.</w:t>
      </w:r>
      <w:r>
        <w:rPr>
          <w:spacing w:val="27"/>
        </w:rPr>
        <w:t xml:space="preserve"> </w:t>
      </w:r>
      <w:r>
        <w:t>The</w:t>
      </w:r>
      <w:r>
        <w:rPr>
          <w:spacing w:val="58"/>
        </w:rPr>
        <w:t xml:space="preserve"> </w:t>
      </w:r>
      <w:r>
        <w:rPr>
          <w:spacing w:val="-2"/>
        </w:rPr>
        <w:t>Supplier</w:t>
      </w:r>
      <w:r>
        <w:rPr>
          <w:spacing w:val="59"/>
        </w:rPr>
        <w:t xml:space="preserve"> </w:t>
      </w:r>
      <w:r>
        <w:rPr>
          <w:spacing w:val="-1"/>
        </w:rPr>
        <w:t>shall</w:t>
      </w:r>
      <w:r>
        <w:rPr>
          <w:spacing w:val="57"/>
        </w:rPr>
        <w:t xml:space="preserve"> </w:t>
      </w:r>
      <w:r>
        <w:rPr>
          <w:spacing w:val="-1"/>
        </w:rPr>
        <w:t>ensure</w:t>
      </w:r>
      <w:r>
        <w:rPr>
          <w:spacing w:val="58"/>
        </w:rPr>
        <w:t xml:space="preserve"> </w:t>
      </w:r>
      <w:r>
        <w:rPr>
          <w:spacing w:val="-1"/>
        </w:rPr>
        <w:t>that</w:t>
      </w:r>
      <w:r>
        <w:rPr>
          <w:spacing w:val="59"/>
        </w:rPr>
        <w:t xml:space="preserve"> </w:t>
      </w:r>
      <w:r>
        <w:rPr>
          <w:spacing w:val="-1"/>
        </w:rPr>
        <w:t>such</w:t>
      </w:r>
      <w:r>
        <w:rPr>
          <w:spacing w:val="58"/>
        </w:rPr>
        <w:t xml:space="preserve"> </w:t>
      </w:r>
      <w:r>
        <w:rPr>
          <w:spacing w:val="-1"/>
        </w:rPr>
        <w:t>back-ups</w:t>
      </w:r>
      <w:r>
        <w:rPr>
          <w:spacing w:val="57"/>
        </w:rPr>
        <w:t xml:space="preserve"> </w:t>
      </w:r>
      <w:r>
        <w:rPr>
          <w:spacing w:val="-1"/>
        </w:rPr>
        <w:t>are</w:t>
      </w:r>
      <w:r>
        <w:rPr>
          <w:spacing w:val="58"/>
        </w:rPr>
        <w:t xml:space="preserve"> </w:t>
      </w:r>
      <w:r>
        <w:rPr>
          <w:spacing w:val="-2"/>
        </w:rPr>
        <w:t>available</w:t>
      </w:r>
      <w:r>
        <w:rPr>
          <w:spacing w:val="60"/>
        </w:rPr>
        <w:t xml:space="preserve"> </w:t>
      </w:r>
      <w:r>
        <w:t>to</w:t>
      </w:r>
      <w:r>
        <w:rPr>
          <w:spacing w:val="58"/>
        </w:rPr>
        <w:t xml:space="preserve"> </w:t>
      </w:r>
      <w:r>
        <w:rPr>
          <w:spacing w:val="-1"/>
        </w:rPr>
        <w:t>the</w:t>
      </w:r>
      <w:r>
        <w:rPr>
          <w:spacing w:val="70"/>
        </w:rPr>
        <w:t xml:space="preserve"> </w:t>
      </w:r>
      <w:r>
        <w:rPr>
          <w:spacing w:val="-1"/>
        </w:rPr>
        <w:t>Customer</w:t>
      </w:r>
      <w:r>
        <w:rPr>
          <w:spacing w:val="19"/>
        </w:rPr>
        <w:t xml:space="preserve"> </w:t>
      </w:r>
      <w:r>
        <w:rPr>
          <w:spacing w:val="-1"/>
        </w:rPr>
        <w:t>(or</w:t>
      </w:r>
      <w:r>
        <w:rPr>
          <w:spacing w:val="16"/>
        </w:rPr>
        <w:t xml:space="preserve"> </w:t>
      </w:r>
      <w:r>
        <w:t>to</w:t>
      </w:r>
      <w:r>
        <w:rPr>
          <w:spacing w:val="17"/>
        </w:rPr>
        <w:t xml:space="preserve"> </w:t>
      </w:r>
      <w:r>
        <w:rPr>
          <w:spacing w:val="-1"/>
        </w:rPr>
        <w:t>such</w:t>
      </w:r>
      <w:r>
        <w:rPr>
          <w:spacing w:val="18"/>
        </w:rPr>
        <w:t xml:space="preserve"> </w:t>
      </w:r>
      <w:r>
        <w:rPr>
          <w:spacing w:val="-1"/>
        </w:rPr>
        <w:t>other</w:t>
      </w:r>
      <w:r>
        <w:rPr>
          <w:spacing w:val="19"/>
        </w:rPr>
        <w:t xml:space="preserve"> </w:t>
      </w:r>
      <w:r>
        <w:rPr>
          <w:spacing w:val="-1"/>
        </w:rPr>
        <w:t>person</w:t>
      </w:r>
      <w:r>
        <w:rPr>
          <w:spacing w:val="17"/>
        </w:rPr>
        <w:t xml:space="preserve"> </w:t>
      </w:r>
      <w:r>
        <w:rPr>
          <w:spacing w:val="-1"/>
        </w:rPr>
        <w:t>as</w:t>
      </w:r>
      <w:r>
        <w:rPr>
          <w:spacing w:val="18"/>
        </w:rPr>
        <w:t xml:space="preserve"> </w:t>
      </w:r>
      <w:r>
        <w:t>the</w:t>
      </w:r>
      <w:r>
        <w:rPr>
          <w:spacing w:val="17"/>
        </w:rPr>
        <w:t xml:space="preserve"> </w:t>
      </w:r>
      <w:r>
        <w:rPr>
          <w:spacing w:val="-2"/>
        </w:rPr>
        <w:t>Customer</w:t>
      </w:r>
      <w:r>
        <w:rPr>
          <w:spacing w:val="16"/>
        </w:rPr>
        <w:t xml:space="preserve"> </w:t>
      </w:r>
      <w:r>
        <w:rPr>
          <w:spacing w:val="-1"/>
        </w:rPr>
        <w:t>may</w:t>
      </w:r>
      <w:r>
        <w:rPr>
          <w:spacing w:val="15"/>
        </w:rPr>
        <w:t xml:space="preserve"> </w:t>
      </w:r>
      <w:r>
        <w:rPr>
          <w:spacing w:val="-1"/>
        </w:rPr>
        <w:t>direct)</w:t>
      </w:r>
      <w:r>
        <w:rPr>
          <w:spacing w:val="19"/>
        </w:rPr>
        <w:t xml:space="preserve"> </w:t>
      </w:r>
      <w:r>
        <w:rPr>
          <w:spacing w:val="-1"/>
        </w:rPr>
        <w:t>at</w:t>
      </w:r>
      <w:r>
        <w:rPr>
          <w:spacing w:val="19"/>
        </w:rPr>
        <w:t xml:space="preserve"> </w:t>
      </w:r>
      <w:r>
        <w:rPr>
          <w:spacing w:val="-2"/>
        </w:rPr>
        <w:t>all</w:t>
      </w:r>
      <w:r>
        <w:rPr>
          <w:spacing w:val="47"/>
        </w:rPr>
        <w:t xml:space="preserve"> </w:t>
      </w:r>
      <w:r>
        <w:rPr>
          <w:spacing w:val="-1"/>
        </w:rPr>
        <w:t>times</w:t>
      </w:r>
      <w:r>
        <w:rPr>
          <w:spacing w:val="13"/>
        </w:rPr>
        <w:t xml:space="preserve"> </w:t>
      </w:r>
      <w:r>
        <w:rPr>
          <w:spacing w:val="-1"/>
        </w:rPr>
        <w:t>upon</w:t>
      </w:r>
      <w:r>
        <w:rPr>
          <w:spacing w:val="12"/>
        </w:rPr>
        <w:t xml:space="preserve"> </w:t>
      </w:r>
      <w:r>
        <w:rPr>
          <w:spacing w:val="-1"/>
        </w:rPr>
        <w:t>request</w:t>
      </w:r>
      <w:r>
        <w:rPr>
          <w:spacing w:val="14"/>
        </w:rPr>
        <w:t xml:space="preserve"> </w:t>
      </w:r>
      <w:r>
        <w:rPr>
          <w:spacing w:val="-1"/>
        </w:rPr>
        <w:t>and</w:t>
      </w:r>
      <w:r>
        <w:rPr>
          <w:spacing w:val="12"/>
        </w:rPr>
        <w:t xml:space="preserve"> </w:t>
      </w:r>
      <w:r>
        <w:rPr>
          <w:spacing w:val="-1"/>
        </w:rPr>
        <w:t>are</w:t>
      </w:r>
      <w:r>
        <w:rPr>
          <w:spacing w:val="12"/>
        </w:rPr>
        <w:t xml:space="preserve"> </w:t>
      </w:r>
      <w:r>
        <w:rPr>
          <w:spacing w:val="-2"/>
        </w:rPr>
        <w:t>delivered</w:t>
      </w:r>
      <w:r>
        <w:rPr>
          <w:spacing w:val="12"/>
        </w:rPr>
        <w:t xml:space="preserve"> </w:t>
      </w:r>
      <w:r>
        <w:t>to</w:t>
      </w:r>
      <w:r>
        <w:rPr>
          <w:spacing w:val="12"/>
        </w:rPr>
        <w:t xml:space="preserve"> </w:t>
      </w:r>
      <w:r>
        <w:t>the</w:t>
      </w:r>
      <w:r>
        <w:rPr>
          <w:spacing w:val="12"/>
        </w:rPr>
        <w:t xml:space="preserve"> </w:t>
      </w:r>
      <w:r>
        <w:rPr>
          <w:spacing w:val="-1"/>
        </w:rPr>
        <w:t>Customer</w:t>
      </w:r>
      <w:r>
        <w:rPr>
          <w:spacing w:val="14"/>
        </w:rPr>
        <w:t xml:space="preserve"> </w:t>
      </w:r>
      <w:r>
        <w:rPr>
          <w:spacing w:val="-1"/>
        </w:rPr>
        <w:t>at</w:t>
      </w:r>
      <w:r>
        <w:rPr>
          <w:spacing w:val="14"/>
        </w:rPr>
        <w:t xml:space="preserve"> </w:t>
      </w:r>
      <w:r>
        <w:rPr>
          <w:spacing w:val="-1"/>
        </w:rPr>
        <w:t>no</w:t>
      </w:r>
      <w:r>
        <w:rPr>
          <w:spacing w:val="12"/>
        </w:rPr>
        <w:t xml:space="preserve"> </w:t>
      </w:r>
      <w:r>
        <w:rPr>
          <w:spacing w:val="-1"/>
        </w:rPr>
        <w:t>less</w:t>
      </w:r>
      <w:r>
        <w:rPr>
          <w:spacing w:val="13"/>
        </w:rPr>
        <w:t xml:space="preserve"> </w:t>
      </w:r>
      <w:r>
        <w:rPr>
          <w:spacing w:val="-1"/>
        </w:rPr>
        <w:t>than</w:t>
      </w:r>
      <w:r>
        <w:rPr>
          <w:spacing w:val="54"/>
        </w:rPr>
        <w:t xml:space="preserve"> </w:t>
      </w:r>
      <w:r>
        <w:rPr>
          <w:spacing w:val="-1"/>
        </w:rPr>
        <w:t>six</w:t>
      </w:r>
      <w:r>
        <w:rPr>
          <w:spacing w:val="20"/>
        </w:rPr>
        <w:t xml:space="preserve"> </w:t>
      </w:r>
      <w:r>
        <w:rPr>
          <w:spacing w:val="-1"/>
        </w:rPr>
        <w:t>(6)</w:t>
      </w:r>
      <w:r>
        <w:rPr>
          <w:spacing w:val="21"/>
        </w:rPr>
        <w:t xml:space="preserve"> </w:t>
      </w:r>
      <w:r>
        <w:rPr>
          <w:spacing w:val="-1"/>
        </w:rPr>
        <w:t>Monthly</w:t>
      </w:r>
      <w:r>
        <w:rPr>
          <w:spacing w:val="20"/>
        </w:rPr>
        <w:t xml:space="preserve"> </w:t>
      </w:r>
      <w:r>
        <w:rPr>
          <w:spacing w:val="-1"/>
        </w:rPr>
        <w:t>intervals</w:t>
      </w:r>
      <w:r>
        <w:rPr>
          <w:spacing w:val="22"/>
        </w:rPr>
        <w:t xml:space="preserve"> </w:t>
      </w:r>
      <w:r>
        <w:rPr>
          <w:spacing w:val="-1"/>
        </w:rPr>
        <w:t>(or</w:t>
      </w:r>
      <w:r>
        <w:rPr>
          <w:spacing w:val="21"/>
        </w:rPr>
        <w:t xml:space="preserve"> </w:t>
      </w:r>
      <w:r>
        <w:rPr>
          <w:spacing w:val="-1"/>
        </w:rPr>
        <w:t>such</w:t>
      </w:r>
      <w:r>
        <w:rPr>
          <w:spacing w:val="20"/>
        </w:rPr>
        <w:t xml:space="preserve"> </w:t>
      </w:r>
      <w:r>
        <w:rPr>
          <w:spacing w:val="-1"/>
        </w:rPr>
        <w:t>other</w:t>
      </w:r>
      <w:r>
        <w:rPr>
          <w:spacing w:val="21"/>
        </w:rPr>
        <w:t xml:space="preserve"> </w:t>
      </w:r>
      <w:r>
        <w:rPr>
          <w:spacing w:val="-1"/>
        </w:rPr>
        <w:t>intervals</w:t>
      </w:r>
      <w:r>
        <w:rPr>
          <w:spacing w:val="20"/>
        </w:rPr>
        <w:t xml:space="preserve"> </w:t>
      </w:r>
      <w:r>
        <w:rPr>
          <w:spacing w:val="-1"/>
        </w:rPr>
        <w:t>as</w:t>
      </w:r>
      <w:r>
        <w:rPr>
          <w:spacing w:val="20"/>
        </w:rPr>
        <w:t xml:space="preserve"> </w:t>
      </w:r>
      <w:r>
        <w:rPr>
          <w:spacing w:val="-1"/>
        </w:rPr>
        <w:t>may</w:t>
      </w:r>
      <w:r>
        <w:rPr>
          <w:spacing w:val="18"/>
        </w:rPr>
        <w:t xml:space="preserve"> </w:t>
      </w:r>
      <w:r>
        <w:rPr>
          <w:spacing w:val="-1"/>
        </w:rPr>
        <w:t>be</w:t>
      </w:r>
      <w:r>
        <w:rPr>
          <w:spacing w:val="22"/>
        </w:rPr>
        <w:t xml:space="preserve"> </w:t>
      </w:r>
      <w:r>
        <w:rPr>
          <w:spacing w:val="-1"/>
        </w:rPr>
        <w:t>agreed</w:t>
      </w:r>
      <w:r>
        <w:rPr>
          <w:spacing w:val="20"/>
        </w:rPr>
        <w:t xml:space="preserve"> </w:t>
      </w:r>
      <w:r>
        <w:rPr>
          <w:spacing w:val="-1"/>
        </w:rPr>
        <w:t>in</w:t>
      </w:r>
      <w:r>
        <w:rPr>
          <w:spacing w:val="43"/>
        </w:rPr>
        <w:t xml:space="preserve"> </w:t>
      </w:r>
      <w:r>
        <w:rPr>
          <w:spacing w:val="-2"/>
        </w:rPr>
        <w:t>writing</w:t>
      </w:r>
      <w:r>
        <w:rPr>
          <w:spacing w:val="3"/>
        </w:rPr>
        <w:t xml:space="preserve"> </w:t>
      </w:r>
      <w:r>
        <w:rPr>
          <w:spacing w:val="-1"/>
        </w:rPr>
        <w:t>between</w:t>
      </w:r>
      <w:r>
        <w:t xml:space="preserve"> the</w:t>
      </w:r>
      <w:r>
        <w:rPr>
          <w:spacing w:val="-2"/>
        </w:rPr>
        <w:t xml:space="preserve"> </w:t>
      </w:r>
      <w:r>
        <w:rPr>
          <w:spacing w:val="-1"/>
        </w:rPr>
        <w:t>Parties).</w:t>
      </w:r>
    </w:p>
    <w:p w:rsidR="008918FA" w:rsidRDefault="008918FA" w:rsidP="008918FA">
      <w:pPr>
        <w:pStyle w:val="BodyText"/>
        <w:numPr>
          <w:ilvl w:val="2"/>
          <w:numId w:val="66"/>
        </w:numPr>
        <w:tabs>
          <w:tab w:val="left" w:pos="1887"/>
        </w:tabs>
        <w:ind w:left="1886" w:right="112" w:hanging="993"/>
        <w:jc w:val="both"/>
      </w:pPr>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1"/>
        </w:rPr>
        <w:t>ensure</w:t>
      </w:r>
      <w:r>
        <w:rPr>
          <w:spacing w:val="5"/>
        </w:rPr>
        <w:t xml:space="preserve"> </w:t>
      </w:r>
      <w:r>
        <w:rPr>
          <w:spacing w:val="-1"/>
        </w:rPr>
        <w:t>that</w:t>
      </w:r>
      <w:r>
        <w:rPr>
          <w:spacing w:val="7"/>
        </w:rPr>
        <w:t xml:space="preserve"> </w:t>
      </w:r>
      <w:r>
        <w:rPr>
          <w:spacing w:val="-1"/>
        </w:rPr>
        <w:t>any</w:t>
      </w:r>
      <w:r>
        <w:rPr>
          <w:spacing w:val="3"/>
        </w:rPr>
        <w:t xml:space="preserve"> </w:t>
      </w:r>
      <w:r>
        <w:rPr>
          <w:spacing w:val="-1"/>
        </w:rPr>
        <w:t>system</w:t>
      </w:r>
      <w:r>
        <w:rPr>
          <w:spacing w:val="6"/>
        </w:rPr>
        <w:t xml:space="preserve"> </w:t>
      </w:r>
      <w:r>
        <w:rPr>
          <w:spacing w:val="-1"/>
        </w:rPr>
        <w:t>on</w:t>
      </w:r>
      <w:r>
        <w:rPr>
          <w:spacing w:val="7"/>
        </w:rPr>
        <w:t xml:space="preserve"> </w:t>
      </w:r>
      <w:r>
        <w:rPr>
          <w:spacing w:val="-1"/>
        </w:rPr>
        <w:t>which</w:t>
      </w:r>
      <w:r>
        <w:rPr>
          <w:spacing w:val="5"/>
        </w:rPr>
        <w:t xml:space="preserve"> </w:t>
      </w:r>
      <w:r>
        <w:t>the</w:t>
      </w:r>
      <w:r>
        <w:rPr>
          <w:spacing w:val="5"/>
        </w:rPr>
        <w:t xml:space="preserve"> </w:t>
      </w:r>
      <w:r>
        <w:rPr>
          <w:spacing w:val="-2"/>
        </w:rPr>
        <w:t>Supplier</w:t>
      </w:r>
      <w:r>
        <w:rPr>
          <w:spacing w:val="6"/>
        </w:rPr>
        <w:t xml:space="preserve"> </w:t>
      </w:r>
      <w:r>
        <w:rPr>
          <w:spacing w:val="-2"/>
        </w:rPr>
        <w:t>holds</w:t>
      </w:r>
      <w:r>
        <w:rPr>
          <w:spacing w:val="60"/>
        </w:rPr>
        <w:t xml:space="preserve"> </w:t>
      </w:r>
      <w:r>
        <w:rPr>
          <w:spacing w:val="-1"/>
        </w:rPr>
        <w:t>any</w:t>
      </w:r>
      <w:r>
        <w:rPr>
          <w:spacing w:val="30"/>
        </w:rPr>
        <w:t xml:space="preserve"> </w:t>
      </w:r>
      <w:r>
        <w:rPr>
          <w:spacing w:val="-1"/>
        </w:rPr>
        <w:t>Customer</w:t>
      </w:r>
      <w:r>
        <w:rPr>
          <w:spacing w:val="33"/>
        </w:rPr>
        <w:t xml:space="preserve"> </w:t>
      </w:r>
      <w:r>
        <w:rPr>
          <w:spacing w:val="-1"/>
        </w:rPr>
        <w:t>Data,</w:t>
      </w:r>
      <w:r>
        <w:rPr>
          <w:spacing w:val="33"/>
        </w:rPr>
        <w:t xml:space="preserve"> </w:t>
      </w:r>
      <w:r>
        <w:rPr>
          <w:spacing w:val="-2"/>
        </w:rPr>
        <w:t>including</w:t>
      </w:r>
      <w:r>
        <w:rPr>
          <w:spacing w:val="34"/>
        </w:rPr>
        <w:t xml:space="preserve"> </w:t>
      </w:r>
      <w:r>
        <w:rPr>
          <w:spacing w:val="-1"/>
        </w:rPr>
        <w:t>back-up</w:t>
      </w:r>
      <w:r>
        <w:rPr>
          <w:spacing w:val="31"/>
        </w:rPr>
        <w:t xml:space="preserve"> </w:t>
      </w:r>
      <w:r>
        <w:rPr>
          <w:spacing w:val="-1"/>
        </w:rPr>
        <w:t>data,</w:t>
      </w:r>
      <w:r>
        <w:rPr>
          <w:spacing w:val="33"/>
        </w:rPr>
        <w:t xml:space="preserve"> </w:t>
      </w:r>
      <w:r>
        <w:rPr>
          <w:spacing w:val="-1"/>
        </w:rPr>
        <w:t>is</w:t>
      </w:r>
      <w:r>
        <w:rPr>
          <w:spacing w:val="32"/>
        </w:rPr>
        <w:t xml:space="preserve"> </w:t>
      </w:r>
      <w:r>
        <w:t>a</w:t>
      </w:r>
      <w:r>
        <w:rPr>
          <w:spacing w:val="32"/>
        </w:rPr>
        <w:t xml:space="preserve"> </w:t>
      </w:r>
      <w:r>
        <w:rPr>
          <w:spacing w:val="-1"/>
        </w:rPr>
        <w:t>secure</w:t>
      </w:r>
      <w:r>
        <w:rPr>
          <w:spacing w:val="31"/>
        </w:rPr>
        <w:t xml:space="preserve"> </w:t>
      </w:r>
      <w:r>
        <w:rPr>
          <w:spacing w:val="-1"/>
        </w:rPr>
        <w:t>system</w:t>
      </w:r>
      <w:r>
        <w:rPr>
          <w:spacing w:val="33"/>
        </w:rPr>
        <w:t xml:space="preserve"> </w:t>
      </w:r>
      <w:r>
        <w:rPr>
          <w:spacing w:val="-1"/>
        </w:rPr>
        <w:t>that</w:t>
      </w:r>
      <w:r>
        <w:rPr>
          <w:spacing w:val="53"/>
        </w:rPr>
        <w:t xml:space="preserve"> </w:t>
      </w:r>
      <w:r>
        <w:rPr>
          <w:spacing w:val="-1"/>
        </w:rPr>
        <w:t>complies</w:t>
      </w:r>
      <w:r>
        <w:rPr>
          <w:spacing w:val="25"/>
        </w:rPr>
        <w:t xml:space="preserve"> </w:t>
      </w:r>
      <w:r>
        <w:rPr>
          <w:spacing w:val="-1"/>
        </w:rPr>
        <w:t>with</w:t>
      </w:r>
      <w:r>
        <w:rPr>
          <w:spacing w:val="24"/>
        </w:rPr>
        <w:t xml:space="preserve"> </w:t>
      </w:r>
      <w:r>
        <w:t>the</w:t>
      </w:r>
      <w:r>
        <w:rPr>
          <w:spacing w:val="24"/>
        </w:rPr>
        <w:t xml:space="preserve"> </w:t>
      </w:r>
      <w:r>
        <w:rPr>
          <w:spacing w:val="-1"/>
        </w:rPr>
        <w:t>Security</w:t>
      </w:r>
      <w:r>
        <w:rPr>
          <w:spacing w:val="22"/>
        </w:rPr>
        <w:t xml:space="preserve"> </w:t>
      </w:r>
      <w:r>
        <w:rPr>
          <w:spacing w:val="-1"/>
        </w:rPr>
        <w:t>Policy</w:t>
      </w:r>
      <w:r>
        <w:rPr>
          <w:spacing w:val="22"/>
        </w:rPr>
        <w:t xml:space="preserve"> </w:t>
      </w:r>
      <w:r>
        <w:rPr>
          <w:spacing w:val="-1"/>
        </w:rPr>
        <w:t>and</w:t>
      </w:r>
      <w:r>
        <w:rPr>
          <w:spacing w:val="27"/>
        </w:rPr>
        <w:t xml:space="preserve"> </w:t>
      </w:r>
      <w:r>
        <w:t>the</w:t>
      </w:r>
      <w:r>
        <w:rPr>
          <w:spacing w:val="24"/>
        </w:rPr>
        <w:t xml:space="preserve"> </w:t>
      </w:r>
      <w:r>
        <w:rPr>
          <w:spacing w:val="-1"/>
        </w:rPr>
        <w:t>Security</w:t>
      </w:r>
      <w:r>
        <w:rPr>
          <w:spacing w:val="25"/>
        </w:rPr>
        <w:t xml:space="preserve"> </w:t>
      </w:r>
      <w:r>
        <w:rPr>
          <w:spacing w:val="-1"/>
        </w:rPr>
        <w:t>Management</w:t>
      </w:r>
      <w:r>
        <w:rPr>
          <w:spacing w:val="26"/>
        </w:rPr>
        <w:t xml:space="preserve"> </w:t>
      </w:r>
      <w:r>
        <w:rPr>
          <w:spacing w:val="-2"/>
        </w:rPr>
        <w:t>Plan</w:t>
      </w:r>
      <w:r>
        <w:rPr>
          <w:spacing w:val="36"/>
        </w:rPr>
        <w:t xml:space="preserve"> </w:t>
      </w:r>
      <w:r>
        <w:rPr>
          <w:spacing w:val="-2"/>
        </w:rPr>
        <w:t>(if</w:t>
      </w:r>
      <w:r>
        <w:rPr>
          <w:spacing w:val="4"/>
        </w:rPr>
        <w:t xml:space="preserve"> </w:t>
      </w:r>
      <w:r>
        <w:rPr>
          <w:spacing w:val="-1"/>
        </w:rPr>
        <w:t>any).</w:t>
      </w:r>
    </w:p>
    <w:p w:rsidR="008918FA" w:rsidRDefault="008918FA" w:rsidP="008918FA">
      <w:pPr>
        <w:pStyle w:val="BodyText"/>
        <w:numPr>
          <w:ilvl w:val="2"/>
          <w:numId w:val="66"/>
        </w:numPr>
        <w:tabs>
          <w:tab w:val="left" w:pos="1888"/>
        </w:tabs>
        <w:spacing w:before="121"/>
        <w:ind w:left="1887" w:right="110"/>
        <w:jc w:val="both"/>
      </w:pPr>
      <w:r>
        <w:rPr>
          <w:spacing w:val="-1"/>
        </w:rPr>
        <w:t>If</w:t>
      </w:r>
      <w:r>
        <w:rPr>
          <w:spacing w:val="26"/>
        </w:rPr>
        <w:t xml:space="preserve"> </w:t>
      </w:r>
      <w:r>
        <w:rPr>
          <w:spacing w:val="-2"/>
        </w:rPr>
        <w:t>at</w:t>
      </w:r>
      <w:r>
        <w:rPr>
          <w:spacing w:val="23"/>
        </w:rPr>
        <w:t xml:space="preserve"> </w:t>
      </w:r>
      <w:r>
        <w:rPr>
          <w:spacing w:val="-1"/>
        </w:rPr>
        <w:t>any</w:t>
      </w:r>
      <w:r>
        <w:rPr>
          <w:spacing w:val="20"/>
        </w:rPr>
        <w:t xml:space="preserve"> </w:t>
      </w:r>
      <w:r>
        <w:rPr>
          <w:spacing w:val="-1"/>
        </w:rPr>
        <w:t>time</w:t>
      </w:r>
      <w:r>
        <w:rPr>
          <w:spacing w:val="22"/>
        </w:rPr>
        <w:t xml:space="preserve"> </w:t>
      </w:r>
      <w:r>
        <w:t>the</w:t>
      </w:r>
      <w:r>
        <w:rPr>
          <w:spacing w:val="19"/>
        </w:rPr>
        <w:t xml:space="preserve"> </w:t>
      </w:r>
      <w:r>
        <w:rPr>
          <w:spacing w:val="-2"/>
        </w:rPr>
        <w:t>Supplier</w:t>
      </w:r>
      <w:r>
        <w:rPr>
          <w:spacing w:val="23"/>
        </w:rPr>
        <w:t xml:space="preserve"> </w:t>
      </w:r>
      <w:r>
        <w:rPr>
          <w:spacing w:val="-1"/>
        </w:rPr>
        <w:t>suspects</w:t>
      </w:r>
      <w:r>
        <w:rPr>
          <w:spacing w:val="22"/>
        </w:rPr>
        <w:t xml:space="preserve"> </w:t>
      </w:r>
      <w:r>
        <w:rPr>
          <w:spacing w:val="-1"/>
        </w:rPr>
        <w:t>or</w:t>
      </w:r>
      <w:r>
        <w:rPr>
          <w:spacing w:val="23"/>
        </w:rPr>
        <w:t xml:space="preserve"> </w:t>
      </w:r>
      <w:r>
        <w:rPr>
          <w:spacing w:val="-2"/>
        </w:rPr>
        <w:t>has</w:t>
      </w:r>
      <w:r>
        <w:rPr>
          <w:spacing w:val="22"/>
        </w:rPr>
        <w:t xml:space="preserve"> </w:t>
      </w:r>
      <w:r>
        <w:rPr>
          <w:spacing w:val="-1"/>
        </w:rPr>
        <w:t>reason</w:t>
      </w:r>
      <w:r>
        <w:rPr>
          <w:spacing w:val="22"/>
        </w:rPr>
        <w:t xml:space="preserve"> </w:t>
      </w:r>
      <w:r>
        <w:t>to</w:t>
      </w:r>
      <w:r>
        <w:rPr>
          <w:spacing w:val="22"/>
        </w:rPr>
        <w:t xml:space="preserve"> </w:t>
      </w:r>
      <w:r>
        <w:rPr>
          <w:spacing w:val="-2"/>
        </w:rPr>
        <w:t>believe</w:t>
      </w:r>
      <w:r>
        <w:rPr>
          <w:spacing w:val="22"/>
        </w:rPr>
        <w:t xml:space="preserve"> </w:t>
      </w:r>
      <w:r>
        <w:rPr>
          <w:spacing w:val="-1"/>
        </w:rPr>
        <w:t>that</w:t>
      </w:r>
      <w:r>
        <w:rPr>
          <w:spacing w:val="27"/>
        </w:rPr>
        <w:t xml:space="preserve"> </w:t>
      </w:r>
      <w:r>
        <w:t>the</w:t>
      </w:r>
      <w:r>
        <w:rPr>
          <w:spacing w:val="53"/>
        </w:rPr>
        <w:t xml:space="preserve"> </w:t>
      </w:r>
      <w:r>
        <w:rPr>
          <w:spacing w:val="-1"/>
        </w:rPr>
        <w:t>Customer</w:t>
      </w:r>
      <w:r>
        <w:rPr>
          <w:spacing w:val="2"/>
        </w:rPr>
        <w:t xml:space="preserve"> </w:t>
      </w:r>
      <w:r>
        <w:rPr>
          <w:spacing w:val="-1"/>
        </w:rPr>
        <w:t>Data</w:t>
      </w:r>
      <w:r>
        <w:t xml:space="preserve"> </w:t>
      </w:r>
      <w:r>
        <w:rPr>
          <w:spacing w:val="-1"/>
        </w:rPr>
        <w:t>is</w:t>
      </w:r>
      <w:r>
        <w:rPr>
          <w:spacing w:val="1"/>
        </w:rPr>
        <w:t xml:space="preserve"> </w:t>
      </w:r>
      <w:r>
        <w:rPr>
          <w:spacing w:val="-1"/>
        </w:rPr>
        <w:t>corrupted,</w:t>
      </w:r>
      <w:r>
        <w:rPr>
          <w:spacing w:val="2"/>
        </w:rPr>
        <w:t xml:space="preserve"> </w:t>
      </w:r>
      <w:r>
        <w:rPr>
          <w:spacing w:val="-1"/>
        </w:rPr>
        <w:t>lost</w:t>
      </w:r>
      <w:r>
        <w:rPr>
          <w:spacing w:val="2"/>
        </w:rPr>
        <w:t xml:space="preserve"> </w:t>
      </w:r>
      <w:r>
        <w:rPr>
          <w:spacing w:val="-1"/>
        </w:rPr>
        <w:t>or sufficiently</w:t>
      </w:r>
      <w:r>
        <w:rPr>
          <w:spacing w:val="-2"/>
        </w:rPr>
        <w:t xml:space="preserve"> </w:t>
      </w:r>
      <w:r>
        <w:rPr>
          <w:spacing w:val="-1"/>
        </w:rPr>
        <w:t>degraded</w:t>
      </w:r>
      <w:r>
        <w:rPr>
          <w:spacing w:val="1"/>
        </w:rPr>
        <w:t xml:space="preserve"> </w:t>
      </w:r>
      <w:r>
        <w:rPr>
          <w:spacing w:val="-1"/>
        </w:rPr>
        <w:t>in</w:t>
      </w:r>
      <w:r>
        <w:t xml:space="preserve"> </w:t>
      </w:r>
      <w:r>
        <w:rPr>
          <w:spacing w:val="-1"/>
        </w:rPr>
        <w:t>any</w:t>
      </w:r>
      <w:r>
        <w:rPr>
          <w:spacing w:val="1"/>
        </w:rPr>
        <w:t xml:space="preserve"> </w:t>
      </w:r>
      <w:r>
        <w:rPr>
          <w:spacing w:val="-1"/>
        </w:rPr>
        <w:t>way</w:t>
      </w:r>
      <w:r>
        <w:rPr>
          <w:spacing w:val="-2"/>
        </w:rPr>
        <w:t xml:space="preserve"> </w:t>
      </w:r>
      <w:r>
        <w:t>for</w:t>
      </w:r>
      <w:r>
        <w:rPr>
          <w:spacing w:val="35"/>
        </w:rPr>
        <w:t xml:space="preserve"> </w:t>
      </w:r>
      <w:r>
        <w:rPr>
          <w:spacing w:val="-1"/>
        </w:rPr>
        <w:t>any</w:t>
      </w:r>
      <w:r>
        <w:rPr>
          <w:spacing w:val="34"/>
        </w:rPr>
        <w:t xml:space="preserve"> </w:t>
      </w:r>
      <w:r>
        <w:rPr>
          <w:spacing w:val="-1"/>
        </w:rPr>
        <w:t>reason,</w:t>
      </w:r>
      <w:r>
        <w:rPr>
          <w:spacing w:val="38"/>
        </w:rPr>
        <w:t xml:space="preserve"> </w:t>
      </w:r>
      <w:r>
        <w:rPr>
          <w:spacing w:val="-1"/>
        </w:rPr>
        <w:t>then</w:t>
      </w:r>
      <w:r>
        <w:rPr>
          <w:spacing w:val="34"/>
        </w:rPr>
        <w:t xml:space="preserve"> </w:t>
      </w:r>
      <w:r>
        <w:t>the</w:t>
      </w:r>
      <w:r>
        <w:rPr>
          <w:spacing w:val="36"/>
        </w:rPr>
        <w:t xml:space="preserve"> </w:t>
      </w:r>
      <w:r>
        <w:rPr>
          <w:spacing w:val="-2"/>
        </w:rPr>
        <w:t>Supplier</w:t>
      </w:r>
      <w:r>
        <w:rPr>
          <w:spacing w:val="38"/>
        </w:rPr>
        <w:t xml:space="preserve"> </w:t>
      </w:r>
      <w:r>
        <w:rPr>
          <w:spacing w:val="-1"/>
        </w:rPr>
        <w:t>shall</w:t>
      </w:r>
      <w:r>
        <w:rPr>
          <w:spacing w:val="36"/>
        </w:rPr>
        <w:t xml:space="preserve"> </w:t>
      </w:r>
      <w:r>
        <w:t>notify</w:t>
      </w:r>
      <w:r>
        <w:rPr>
          <w:spacing w:val="35"/>
        </w:rPr>
        <w:t xml:space="preserve"> </w:t>
      </w:r>
      <w:r>
        <w:t>the</w:t>
      </w:r>
      <w:r>
        <w:rPr>
          <w:spacing w:val="34"/>
        </w:rPr>
        <w:t xml:space="preserve"> </w:t>
      </w:r>
      <w:r>
        <w:rPr>
          <w:spacing w:val="-1"/>
        </w:rPr>
        <w:t>Customer</w:t>
      </w:r>
      <w:r>
        <w:rPr>
          <w:spacing w:val="38"/>
        </w:rPr>
        <w:t xml:space="preserve"> </w:t>
      </w:r>
      <w:r>
        <w:rPr>
          <w:spacing w:val="-1"/>
        </w:rPr>
        <w:t>immediately</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spacing w:before="59"/>
        <w:ind w:right="115" w:firstLine="0"/>
      </w:pPr>
      <w:r>
        <w:rPr>
          <w:spacing w:val="-1"/>
        </w:rPr>
        <w:t>and</w:t>
      </w:r>
      <w:r>
        <w:rPr>
          <w:spacing w:val="12"/>
        </w:rPr>
        <w:t xml:space="preserve"> </w:t>
      </w:r>
      <w:r>
        <w:rPr>
          <w:spacing w:val="-1"/>
        </w:rPr>
        <w:t>inform</w:t>
      </w:r>
      <w:r>
        <w:rPr>
          <w:spacing w:val="11"/>
        </w:rPr>
        <w:t xml:space="preserve"> </w:t>
      </w:r>
      <w:r>
        <w:t>the</w:t>
      </w:r>
      <w:r>
        <w:rPr>
          <w:spacing w:val="12"/>
        </w:rPr>
        <w:t xml:space="preserve"> </w:t>
      </w:r>
      <w:r>
        <w:rPr>
          <w:spacing w:val="-2"/>
        </w:rPr>
        <w:t>Customer</w:t>
      </w:r>
      <w:r>
        <w:rPr>
          <w:spacing w:val="14"/>
        </w:rPr>
        <w:t xml:space="preserve"> </w:t>
      </w:r>
      <w:r>
        <w:rPr>
          <w:spacing w:val="-2"/>
        </w:rPr>
        <w:t>of</w:t>
      </w:r>
      <w:r>
        <w:rPr>
          <w:spacing w:val="16"/>
        </w:rPr>
        <w:t xml:space="preserve"> </w:t>
      </w:r>
      <w:r>
        <w:t>the</w:t>
      </w:r>
      <w:r>
        <w:rPr>
          <w:spacing w:val="10"/>
        </w:rPr>
        <w:t xml:space="preserve"> </w:t>
      </w:r>
      <w:r>
        <w:rPr>
          <w:spacing w:val="-1"/>
        </w:rPr>
        <w:t>remedial</w:t>
      </w:r>
      <w:r>
        <w:rPr>
          <w:spacing w:val="12"/>
        </w:rPr>
        <w:t xml:space="preserve"> </w:t>
      </w:r>
      <w:r>
        <w:rPr>
          <w:spacing w:val="-1"/>
        </w:rPr>
        <w:t>action</w:t>
      </w:r>
      <w:r>
        <w:rPr>
          <w:spacing w:val="12"/>
        </w:rPr>
        <w:t xml:space="preserve"> </w:t>
      </w:r>
      <w:r>
        <w:rPr>
          <w:spacing w:val="-1"/>
        </w:rPr>
        <w:t>the</w:t>
      </w:r>
      <w:r>
        <w:rPr>
          <w:spacing w:val="12"/>
        </w:rPr>
        <w:t xml:space="preserve"> </w:t>
      </w:r>
      <w:r>
        <w:rPr>
          <w:spacing w:val="-2"/>
        </w:rPr>
        <w:t>Supplier</w:t>
      </w:r>
      <w:r>
        <w:rPr>
          <w:spacing w:val="14"/>
        </w:rPr>
        <w:t xml:space="preserve"> </w:t>
      </w:r>
      <w:r>
        <w:rPr>
          <w:spacing w:val="-1"/>
        </w:rPr>
        <w:t>proposes</w:t>
      </w:r>
      <w:r>
        <w:rPr>
          <w:spacing w:val="53"/>
        </w:rPr>
        <w:t xml:space="preserve"> </w:t>
      </w:r>
      <w:r>
        <w:t>to</w:t>
      </w:r>
      <w:r>
        <w:rPr>
          <w:spacing w:val="-2"/>
        </w:rPr>
        <w:t xml:space="preserve"> </w:t>
      </w:r>
      <w:r>
        <w:rPr>
          <w:spacing w:val="-1"/>
        </w:rPr>
        <w:t>take.</w:t>
      </w:r>
    </w:p>
    <w:p w:rsidR="008918FA" w:rsidRDefault="008918FA" w:rsidP="008918FA">
      <w:pPr>
        <w:pStyle w:val="BodyText"/>
        <w:numPr>
          <w:ilvl w:val="2"/>
          <w:numId w:val="66"/>
        </w:numPr>
        <w:tabs>
          <w:tab w:val="left" w:pos="1887"/>
        </w:tabs>
        <w:spacing w:before="121"/>
        <w:ind w:left="1886" w:right="118"/>
      </w:pPr>
      <w:bookmarkStart w:id="217" w:name="_bookmark183"/>
      <w:bookmarkEnd w:id="217"/>
      <w:r>
        <w:rPr>
          <w:spacing w:val="-1"/>
        </w:rPr>
        <w:t>If</w:t>
      </w:r>
      <w:r>
        <w:rPr>
          <w:spacing w:val="38"/>
        </w:rPr>
        <w:t xml:space="preserve"> </w:t>
      </w:r>
      <w:r>
        <w:t>the</w:t>
      </w:r>
      <w:r>
        <w:rPr>
          <w:spacing w:val="36"/>
        </w:rPr>
        <w:t xml:space="preserve"> </w:t>
      </w:r>
      <w:r>
        <w:rPr>
          <w:spacing w:val="-2"/>
        </w:rPr>
        <w:t>Customer</w:t>
      </w:r>
      <w:r>
        <w:rPr>
          <w:spacing w:val="38"/>
        </w:rPr>
        <w:t xml:space="preserve"> </w:t>
      </w:r>
      <w:r>
        <w:rPr>
          <w:spacing w:val="-1"/>
        </w:rPr>
        <w:t>Data</w:t>
      </w:r>
      <w:r>
        <w:rPr>
          <w:spacing w:val="36"/>
        </w:rPr>
        <w:t xml:space="preserve"> </w:t>
      </w:r>
      <w:r>
        <w:rPr>
          <w:spacing w:val="-1"/>
        </w:rPr>
        <w:t>is</w:t>
      </w:r>
      <w:r>
        <w:rPr>
          <w:spacing w:val="34"/>
        </w:rPr>
        <w:t xml:space="preserve"> </w:t>
      </w:r>
      <w:r>
        <w:rPr>
          <w:spacing w:val="-1"/>
        </w:rPr>
        <w:t>corrupted,</w:t>
      </w:r>
      <w:r>
        <w:rPr>
          <w:spacing w:val="35"/>
        </w:rPr>
        <w:t xml:space="preserve"> </w:t>
      </w:r>
      <w:r>
        <w:rPr>
          <w:spacing w:val="-1"/>
        </w:rPr>
        <w:t>lost</w:t>
      </w:r>
      <w:r>
        <w:rPr>
          <w:spacing w:val="39"/>
        </w:rPr>
        <w:t xml:space="preserve"> </w:t>
      </w:r>
      <w:r>
        <w:rPr>
          <w:spacing w:val="-2"/>
        </w:rPr>
        <w:t>or</w:t>
      </w:r>
      <w:r>
        <w:rPr>
          <w:spacing w:val="38"/>
        </w:rPr>
        <w:t xml:space="preserve"> </w:t>
      </w:r>
      <w:r>
        <w:rPr>
          <w:spacing w:val="-1"/>
        </w:rPr>
        <w:t>sufficiently</w:t>
      </w:r>
      <w:r>
        <w:rPr>
          <w:spacing w:val="34"/>
        </w:rPr>
        <w:t xml:space="preserve"> </w:t>
      </w:r>
      <w:r>
        <w:rPr>
          <w:spacing w:val="-1"/>
        </w:rPr>
        <w:t>degraded</w:t>
      </w:r>
      <w:r>
        <w:rPr>
          <w:spacing w:val="36"/>
        </w:rPr>
        <w:t xml:space="preserve"> </w:t>
      </w:r>
      <w:r>
        <w:rPr>
          <w:spacing w:val="-1"/>
        </w:rPr>
        <w:t>as</w:t>
      </w:r>
      <w:r>
        <w:rPr>
          <w:spacing w:val="37"/>
        </w:rPr>
        <w:t xml:space="preserve"> </w:t>
      </w:r>
      <w:r>
        <w:t>a</w:t>
      </w:r>
      <w:r>
        <w:rPr>
          <w:spacing w:val="41"/>
        </w:rPr>
        <w:t xml:space="preserve"> </w:t>
      </w:r>
      <w:r>
        <w:rPr>
          <w:spacing w:val="-1"/>
        </w:rPr>
        <w:t>result</w:t>
      </w:r>
      <w:r>
        <w:rPr>
          <w:spacing w:val="2"/>
        </w:rPr>
        <w:t xml:space="preserve"> </w:t>
      </w:r>
      <w:r>
        <w:rPr>
          <w:spacing w:val="-2"/>
        </w:rPr>
        <w:t>of</w:t>
      </w:r>
      <w:r>
        <w:rPr>
          <w:spacing w:val="2"/>
        </w:rPr>
        <w:t xml:space="preserve"> </w:t>
      </w:r>
      <w:r>
        <w:t>a</w:t>
      </w:r>
      <w:r>
        <w:rPr>
          <w:spacing w:val="-2"/>
        </w:rPr>
        <w:t xml:space="preserve"> Default</w:t>
      </w:r>
      <w:r>
        <w:rPr>
          <w:spacing w:val="3"/>
        </w:rPr>
        <w:t xml:space="preserve"> </w:t>
      </w:r>
      <w:r>
        <w:rPr>
          <w:spacing w:val="-2"/>
        </w:rPr>
        <w:t>so</w:t>
      </w:r>
      <w:r>
        <w:rPr>
          <w:spacing w:val="1"/>
        </w:rPr>
        <w:t xml:space="preserve"> </w:t>
      </w:r>
      <w:r>
        <w:rPr>
          <w:spacing w:val="-1"/>
        </w:rPr>
        <w:t>as</w:t>
      </w:r>
      <w:r>
        <w:rPr>
          <w:spacing w:val="-2"/>
        </w:rPr>
        <w:t xml:space="preserve"> </w:t>
      </w:r>
      <w:r>
        <w:rPr>
          <w:spacing w:val="-1"/>
        </w:rPr>
        <w:t>to</w:t>
      </w:r>
      <w:r>
        <w:t xml:space="preserve"> </w:t>
      </w:r>
      <w:r>
        <w:rPr>
          <w:spacing w:val="-1"/>
        </w:rPr>
        <w:t>be</w:t>
      </w:r>
      <w:r>
        <w:t xml:space="preserve"> </w:t>
      </w:r>
      <w:r>
        <w:rPr>
          <w:spacing w:val="-2"/>
        </w:rPr>
        <w:t>unusable,</w:t>
      </w:r>
      <w:r>
        <w:t xml:space="preserve"> the </w:t>
      </w:r>
      <w:r>
        <w:rPr>
          <w:spacing w:val="-2"/>
        </w:rPr>
        <w:t>Supplier</w:t>
      </w:r>
      <w:r>
        <w:rPr>
          <w:spacing w:val="3"/>
        </w:rPr>
        <w:t xml:space="preserve"> </w:t>
      </w:r>
      <w:r>
        <w:rPr>
          <w:spacing w:val="-1"/>
        </w:rPr>
        <w:t>may:</w:t>
      </w:r>
    </w:p>
    <w:p w:rsidR="008918FA" w:rsidRDefault="008918FA" w:rsidP="008918FA">
      <w:pPr>
        <w:pStyle w:val="BodyText"/>
        <w:numPr>
          <w:ilvl w:val="3"/>
          <w:numId w:val="66"/>
        </w:numPr>
        <w:tabs>
          <w:tab w:val="left" w:pos="2595"/>
        </w:tabs>
        <w:spacing w:before="121"/>
        <w:ind w:left="2594" w:right="112"/>
        <w:jc w:val="both"/>
      </w:pPr>
      <w:r>
        <w:rPr>
          <w:spacing w:val="-1"/>
        </w:rPr>
        <w:t>require</w:t>
      </w:r>
      <w:r>
        <w:rPr>
          <w:spacing w:val="41"/>
        </w:rPr>
        <w:t xml:space="preserve"> </w:t>
      </w:r>
      <w:r>
        <w:t>the</w:t>
      </w:r>
      <w:r>
        <w:rPr>
          <w:spacing w:val="41"/>
        </w:rPr>
        <w:t xml:space="preserve"> </w:t>
      </w:r>
      <w:r>
        <w:rPr>
          <w:spacing w:val="-2"/>
        </w:rPr>
        <w:t>Supplier</w:t>
      </w:r>
      <w:r>
        <w:rPr>
          <w:spacing w:val="40"/>
        </w:rPr>
        <w:t xml:space="preserve"> </w:t>
      </w:r>
      <w:r>
        <w:rPr>
          <w:spacing w:val="-1"/>
        </w:rPr>
        <w:t>(at</w:t>
      </w:r>
      <w:r>
        <w:rPr>
          <w:spacing w:val="40"/>
        </w:rPr>
        <w:t xml:space="preserve"> </w:t>
      </w:r>
      <w:r>
        <w:t>the</w:t>
      </w:r>
      <w:r>
        <w:rPr>
          <w:spacing w:val="41"/>
        </w:rPr>
        <w:t xml:space="preserve"> </w:t>
      </w:r>
      <w:r>
        <w:rPr>
          <w:spacing w:val="-1"/>
        </w:rPr>
        <w:t>Supplier's</w:t>
      </w:r>
      <w:r>
        <w:rPr>
          <w:spacing w:val="41"/>
        </w:rPr>
        <w:t xml:space="preserve"> </w:t>
      </w:r>
      <w:r>
        <w:rPr>
          <w:spacing w:val="-2"/>
        </w:rPr>
        <w:t>expense)</w:t>
      </w:r>
      <w:r>
        <w:rPr>
          <w:spacing w:val="43"/>
        </w:rPr>
        <w:t xml:space="preserve"> </w:t>
      </w:r>
      <w:r>
        <w:t>to</w:t>
      </w:r>
      <w:r>
        <w:rPr>
          <w:spacing w:val="38"/>
        </w:rPr>
        <w:t xml:space="preserve"> </w:t>
      </w:r>
      <w:r>
        <w:rPr>
          <w:spacing w:val="-1"/>
        </w:rPr>
        <w:t>restore</w:t>
      </w:r>
      <w:r>
        <w:rPr>
          <w:spacing w:val="41"/>
        </w:rPr>
        <w:t xml:space="preserve"> </w:t>
      </w:r>
      <w:r>
        <w:rPr>
          <w:spacing w:val="-1"/>
        </w:rPr>
        <w:t>or</w:t>
      </w:r>
      <w:r>
        <w:rPr>
          <w:spacing w:val="46"/>
        </w:rPr>
        <w:t xml:space="preserve"> </w:t>
      </w:r>
      <w:r>
        <w:rPr>
          <w:spacing w:val="-1"/>
        </w:rPr>
        <w:t>procure</w:t>
      </w:r>
      <w:r>
        <w:rPr>
          <w:spacing w:val="27"/>
        </w:rPr>
        <w:t xml:space="preserve"> </w:t>
      </w:r>
      <w:r>
        <w:t>the</w:t>
      </w:r>
      <w:r>
        <w:rPr>
          <w:spacing w:val="24"/>
        </w:rPr>
        <w:t xml:space="preserve"> </w:t>
      </w:r>
      <w:r>
        <w:rPr>
          <w:spacing w:val="-1"/>
        </w:rPr>
        <w:t>restoration</w:t>
      </w:r>
      <w:r>
        <w:rPr>
          <w:spacing w:val="24"/>
        </w:rPr>
        <w:t xml:space="preserve"> </w:t>
      </w:r>
      <w:r>
        <w:rPr>
          <w:spacing w:val="-2"/>
        </w:rPr>
        <w:t>of</w:t>
      </w:r>
      <w:r>
        <w:rPr>
          <w:spacing w:val="30"/>
        </w:rPr>
        <w:t xml:space="preserve"> </w:t>
      </w:r>
      <w:r>
        <w:rPr>
          <w:spacing w:val="-1"/>
        </w:rPr>
        <w:t>Customer</w:t>
      </w:r>
      <w:r>
        <w:rPr>
          <w:spacing w:val="29"/>
        </w:rPr>
        <w:t xml:space="preserve"> </w:t>
      </w:r>
      <w:r>
        <w:rPr>
          <w:spacing w:val="-1"/>
        </w:rPr>
        <w:t>Data</w:t>
      </w:r>
      <w:r>
        <w:rPr>
          <w:spacing w:val="27"/>
        </w:rPr>
        <w:t xml:space="preserve"> </w:t>
      </w:r>
      <w:r>
        <w:t>to</w:t>
      </w:r>
      <w:r>
        <w:rPr>
          <w:spacing w:val="27"/>
        </w:rPr>
        <w:t xml:space="preserve"> </w:t>
      </w:r>
      <w:r>
        <w:t>the</w:t>
      </w:r>
      <w:r>
        <w:rPr>
          <w:spacing w:val="24"/>
        </w:rPr>
        <w:t xml:space="preserve"> </w:t>
      </w:r>
      <w:r>
        <w:rPr>
          <w:spacing w:val="-1"/>
        </w:rPr>
        <w:t>extent</w:t>
      </w:r>
      <w:r>
        <w:rPr>
          <w:spacing w:val="28"/>
        </w:rPr>
        <w:t xml:space="preserve"> </w:t>
      </w:r>
      <w:r>
        <w:rPr>
          <w:spacing w:val="-1"/>
        </w:rPr>
        <w:t>and</w:t>
      </w:r>
      <w:r>
        <w:rPr>
          <w:spacing w:val="27"/>
        </w:rPr>
        <w:t xml:space="preserve"> </w:t>
      </w:r>
      <w:r>
        <w:rPr>
          <w:spacing w:val="-1"/>
        </w:rPr>
        <w:t>in</w:t>
      </w:r>
      <w:r>
        <w:rPr>
          <w:spacing w:val="31"/>
        </w:rPr>
        <w:t xml:space="preserve"> </w:t>
      </w:r>
      <w:r>
        <w:rPr>
          <w:spacing w:val="-1"/>
        </w:rPr>
        <w:t>accordance</w:t>
      </w:r>
      <w:r>
        <w:rPr>
          <w:spacing w:val="13"/>
        </w:rPr>
        <w:t xml:space="preserve"> </w:t>
      </w:r>
      <w:r>
        <w:rPr>
          <w:spacing w:val="-2"/>
        </w:rPr>
        <w:t>with</w:t>
      </w:r>
      <w:r>
        <w:rPr>
          <w:spacing w:val="12"/>
        </w:rPr>
        <w:t xml:space="preserve"> </w:t>
      </w:r>
      <w:r>
        <w:t>the</w:t>
      </w:r>
      <w:r>
        <w:rPr>
          <w:spacing w:val="15"/>
        </w:rPr>
        <w:t xml:space="preserve"> </w:t>
      </w:r>
      <w:r>
        <w:rPr>
          <w:spacing w:val="-1"/>
        </w:rPr>
        <w:t>requirements</w:t>
      </w:r>
      <w:r>
        <w:rPr>
          <w:spacing w:val="13"/>
        </w:rPr>
        <w:t xml:space="preserve"> </w:t>
      </w:r>
      <w:r>
        <w:rPr>
          <w:spacing w:val="-1"/>
        </w:rPr>
        <w:t>specified</w:t>
      </w:r>
      <w:r>
        <w:rPr>
          <w:spacing w:val="10"/>
        </w:rPr>
        <w:t xml:space="preserve"> </w:t>
      </w:r>
      <w:r>
        <w:rPr>
          <w:spacing w:val="-1"/>
        </w:rPr>
        <w:t>in</w:t>
      </w:r>
      <w:r>
        <w:rPr>
          <w:spacing w:val="15"/>
        </w:rPr>
        <w:t xml:space="preserve"> </w:t>
      </w:r>
      <w:r>
        <w:rPr>
          <w:spacing w:val="-1"/>
        </w:rPr>
        <w:t>Call</w:t>
      </w:r>
      <w:r>
        <w:t xml:space="preserve"> </w:t>
      </w:r>
      <w:r>
        <w:rPr>
          <w:spacing w:val="14"/>
        </w:rPr>
        <w:t xml:space="preserve"> </w:t>
      </w:r>
      <w:r>
        <w:rPr>
          <w:spacing w:val="-1"/>
        </w:rPr>
        <w:t>Off</w:t>
      </w:r>
      <w:r>
        <w:rPr>
          <w:spacing w:val="33"/>
        </w:rPr>
        <w:t xml:space="preserve"> </w:t>
      </w:r>
      <w:r>
        <w:rPr>
          <w:spacing w:val="-1"/>
        </w:rPr>
        <w:t>Schedule</w:t>
      </w:r>
      <w:r>
        <w:rPr>
          <w:spacing w:val="20"/>
        </w:rPr>
        <w:t xml:space="preserve"> </w:t>
      </w:r>
      <w:r>
        <w:t xml:space="preserve">9 </w:t>
      </w:r>
      <w:r>
        <w:rPr>
          <w:spacing w:val="-1"/>
        </w:rPr>
        <w:t>(Business</w:t>
      </w:r>
      <w:r>
        <w:rPr>
          <w:spacing w:val="20"/>
        </w:rPr>
        <w:t xml:space="preserve"> </w:t>
      </w:r>
      <w:r>
        <w:rPr>
          <w:spacing w:val="-1"/>
        </w:rPr>
        <w:t>Continuity</w:t>
      </w:r>
      <w:r>
        <w:rPr>
          <w:spacing w:val="18"/>
        </w:rPr>
        <w:t xml:space="preserve"> </w:t>
      </w:r>
      <w:r>
        <w:rPr>
          <w:spacing w:val="-1"/>
        </w:rPr>
        <w:t>and</w:t>
      </w:r>
      <w:r>
        <w:rPr>
          <w:spacing w:val="19"/>
        </w:rPr>
        <w:t xml:space="preserve"> </w:t>
      </w:r>
      <w:r>
        <w:rPr>
          <w:spacing w:val="-1"/>
        </w:rPr>
        <w:t>Disaster</w:t>
      </w:r>
      <w:r>
        <w:rPr>
          <w:spacing w:val="21"/>
        </w:rPr>
        <w:t xml:space="preserve"> </w:t>
      </w:r>
      <w:r>
        <w:rPr>
          <w:spacing w:val="-2"/>
        </w:rPr>
        <w:t>Recovery)</w:t>
      </w:r>
      <w:r>
        <w:rPr>
          <w:spacing w:val="22"/>
        </w:rPr>
        <w:t xml:space="preserve"> </w:t>
      </w:r>
      <w:r>
        <w:rPr>
          <w:spacing w:val="-1"/>
        </w:rPr>
        <w:t>or</w:t>
      </w:r>
      <w:r>
        <w:rPr>
          <w:spacing w:val="21"/>
        </w:rPr>
        <w:t xml:space="preserve"> </w:t>
      </w:r>
      <w:r>
        <w:rPr>
          <w:spacing w:val="-1"/>
        </w:rPr>
        <w:t>as</w:t>
      </w:r>
      <w:r>
        <w:rPr>
          <w:spacing w:val="24"/>
        </w:rPr>
        <w:t xml:space="preserve"> </w:t>
      </w:r>
      <w:r>
        <w:rPr>
          <w:spacing w:val="-1"/>
        </w:rPr>
        <w:t>otherwise</w:t>
      </w:r>
      <w:r>
        <w:rPr>
          <w:spacing w:val="20"/>
        </w:rPr>
        <w:t xml:space="preserve"> </w:t>
      </w:r>
      <w:r>
        <w:rPr>
          <w:spacing w:val="-1"/>
        </w:rPr>
        <w:t>required</w:t>
      </w:r>
      <w:r>
        <w:rPr>
          <w:spacing w:val="19"/>
        </w:rPr>
        <w:t xml:space="preserve"> </w:t>
      </w:r>
      <w:r>
        <w:rPr>
          <w:spacing w:val="-1"/>
        </w:rPr>
        <w:t>by</w:t>
      </w:r>
      <w:r>
        <w:rPr>
          <w:spacing w:val="18"/>
        </w:rPr>
        <w:t xml:space="preserve"> </w:t>
      </w:r>
      <w:r>
        <w:rPr>
          <w:spacing w:val="-1"/>
        </w:rPr>
        <w:t>the</w:t>
      </w:r>
      <w:r>
        <w:rPr>
          <w:spacing w:val="20"/>
        </w:rPr>
        <w:t xml:space="preserve"> </w:t>
      </w:r>
      <w:r>
        <w:rPr>
          <w:spacing w:val="-1"/>
        </w:rPr>
        <w:t>Customer,</w:t>
      </w:r>
      <w:r>
        <w:rPr>
          <w:spacing w:val="22"/>
        </w:rPr>
        <w:t xml:space="preserve"> </w:t>
      </w:r>
      <w:r>
        <w:rPr>
          <w:spacing w:val="-1"/>
        </w:rPr>
        <w:t>and</w:t>
      </w:r>
      <w:r>
        <w:rPr>
          <w:spacing w:val="17"/>
        </w:rPr>
        <w:t xml:space="preserve"> </w:t>
      </w:r>
      <w:r>
        <w:t>the</w:t>
      </w:r>
      <w:r>
        <w:rPr>
          <w:spacing w:val="19"/>
        </w:rPr>
        <w:t xml:space="preserve"> </w:t>
      </w:r>
      <w:r>
        <w:rPr>
          <w:spacing w:val="-2"/>
        </w:rPr>
        <w:t>Supplier</w:t>
      </w:r>
      <w:r>
        <w:rPr>
          <w:spacing w:val="21"/>
        </w:rPr>
        <w:t xml:space="preserve"> </w:t>
      </w:r>
      <w:r>
        <w:rPr>
          <w:spacing w:val="-1"/>
        </w:rPr>
        <w:t>shall</w:t>
      </w:r>
      <w:r>
        <w:rPr>
          <w:spacing w:val="19"/>
        </w:rPr>
        <w:t xml:space="preserve"> </w:t>
      </w:r>
      <w:r>
        <w:rPr>
          <w:spacing w:val="-1"/>
        </w:rPr>
        <w:t>do</w:t>
      </w:r>
      <w:r>
        <w:rPr>
          <w:spacing w:val="36"/>
        </w:rPr>
        <w:t xml:space="preserve"> </w:t>
      </w:r>
      <w:r>
        <w:rPr>
          <w:spacing w:val="-1"/>
        </w:rPr>
        <w:t>so</w:t>
      </w:r>
      <w:r>
        <w:rPr>
          <w:spacing w:val="37"/>
        </w:rPr>
        <w:t xml:space="preserve"> </w:t>
      </w:r>
      <w:r>
        <w:rPr>
          <w:spacing w:val="-1"/>
        </w:rPr>
        <w:t>as</w:t>
      </w:r>
      <w:r>
        <w:rPr>
          <w:spacing w:val="37"/>
        </w:rPr>
        <w:t xml:space="preserve"> </w:t>
      </w:r>
      <w:r>
        <w:rPr>
          <w:spacing w:val="-1"/>
        </w:rPr>
        <w:t>soon</w:t>
      </w:r>
      <w:r>
        <w:rPr>
          <w:spacing w:val="36"/>
        </w:rPr>
        <w:t xml:space="preserve"> </w:t>
      </w:r>
      <w:r>
        <w:rPr>
          <w:spacing w:val="-1"/>
        </w:rPr>
        <w:t>as</w:t>
      </w:r>
      <w:r>
        <w:rPr>
          <w:spacing w:val="37"/>
        </w:rPr>
        <w:t xml:space="preserve"> </w:t>
      </w:r>
      <w:r>
        <w:rPr>
          <w:spacing w:val="-1"/>
        </w:rPr>
        <w:t>practicable</w:t>
      </w:r>
      <w:r>
        <w:rPr>
          <w:spacing w:val="36"/>
        </w:rPr>
        <w:t xml:space="preserve"> </w:t>
      </w:r>
      <w:r>
        <w:rPr>
          <w:spacing w:val="-1"/>
        </w:rPr>
        <w:t>but</w:t>
      </w:r>
      <w:r>
        <w:rPr>
          <w:spacing w:val="38"/>
        </w:rPr>
        <w:t xml:space="preserve"> </w:t>
      </w:r>
      <w:r>
        <w:rPr>
          <w:spacing w:val="-1"/>
        </w:rPr>
        <w:t>not</w:t>
      </w:r>
      <w:r>
        <w:rPr>
          <w:spacing w:val="39"/>
        </w:rPr>
        <w:t xml:space="preserve"> </w:t>
      </w:r>
      <w:r>
        <w:rPr>
          <w:spacing w:val="-1"/>
        </w:rPr>
        <w:t>later</w:t>
      </w:r>
      <w:r>
        <w:rPr>
          <w:spacing w:val="38"/>
        </w:rPr>
        <w:t xml:space="preserve"> </w:t>
      </w:r>
      <w:r>
        <w:rPr>
          <w:spacing w:val="-1"/>
        </w:rPr>
        <w:t>than</w:t>
      </w:r>
      <w:r>
        <w:rPr>
          <w:spacing w:val="34"/>
        </w:rPr>
        <w:t xml:space="preserve"> </w:t>
      </w:r>
      <w:r>
        <w:rPr>
          <w:spacing w:val="-1"/>
        </w:rPr>
        <w:t>five</w:t>
      </w:r>
      <w:r>
        <w:rPr>
          <w:spacing w:val="36"/>
        </w:rPr>
        <w:t xml:space="preserve"> </w:t>
      </w:r>
      <w:r>
        <w:rPr>
          <w:spacing w:val="-1"/>
        </w:rPr>
        <w:t>(5)</w:t>
      </w:r>
      <w:r>
        <w:rPr>
          <w:spacing w:val="33"/>
        </w:rPr>
        <w:t xml:space="preserve"> </w:t>
      </w:r>
      <w:r>
        <w:t>Working</w:t>
      </w:r>
      <w:r>
        <w:rPr>
          <w:spacing w:val="37"/>
        </w:rPr>
        <w:t xml:space="preserve"> </w:t>
      </w:r>
      <w:r>
        <w:rPr>
          <w:spacing w:val="-2"/>
        </w:rPr>
        <w:t>Days</w:t>
      </w:r>
      <w:r>
        <w:rPr>
          <w:spacing w:val="1"/>
        </w:rPr>
        <w:t xml:space="preserve"> </w:t>
      </w:r>
      <w:r>
        <w:t>from</w:t>
      </w:r>
      <w:r>
        <w:rPr>
          <w:spacing w:val="-1"/>
        </w:rPr>
        <w:t xml:space="preserve"> </w:t>
      </w:r>
      <w:r>
        <w:t>the</w:t>
      </w:r>
      <w:r>
        <w:rPr>
          <w:spacing w:val="-2"/>
        </w:rPr>
        <w:t xml:space="preserve"> </w:t>
      </w:r>
      <w:r>
        <w:rPr>
          <w:spacing w:val="-1"/>
        </w:rPr>
        <w:t>date</w:t>
      </w:r>
      <w:r>
        <w:t xml:space="preserve"> </w:t>
      </w:r>
      <w:r>
        <w:rPr>
          <w:spacing w:val="-2"/>
        </w:rPr>
        <w:t>of</w:t>
      </w:r>
      <w:r>
        <w:t xml:space="preserve"> </w:t>
      </w:r>
      <w:r>
        <w:rPr>
          <w:spacing w:val="-1"/>
        </w:rPr>
        <w:t>receipt</w:t>
      </w:r>
      <w:r>
        <w:rPr>
          <w:spacing w:val="2"/>
        </w:rPr>
        <w:t xml:space="preserve"> </w:t>
      </w:r>
      <w:r>
        <w:rPr>
          <w:spacing w:val="-2"/>
        </w:rPr>
        <w:t>of</w:t>
      </w:r>
      <w:r>
        <w:rPr>
          <w:spacing w:val="2"/>
        </w:rPr>
        <w:t xml:space="preserve"> </w:t>
      </w:r>
      <w:r>
        <w:rPr>
          <w:spacing w:val="-1"/>
        </w:rPr>
        <w:t>the</w:t>
      </w:r>
      <w:r>
        <w:t xml:space="preserve"> </w:t>
      </w:r>
      <w:r>
        <w:rPr>
          <w:spacing w:val="-2"/>
        </w:rPr>
        <w:t>Customer’s</w:t>
      </w:r>
      <w:r>
        <w:rPr>
          <w:spacing w:val="1"/>
        </w:rPr>
        <w:t xml:space="preserve"> </w:t>
      </w:r>
      <w:r>
        <w:rPr>
          <w:spacing w:val="-1"/>
        </w:rPr>
        <w:t>notice;</w:t>
      </w:r>
      <w:r>
        <w:rPr>
          <w:spacing w:val="2"/>
        </w:rPr>
        <w:t xml:space="preserve"> </w:t>
      </w:r>
      <w:r>
        <w:rPr>
          <w:spacing w:val="-1"/>
        </w:rPr>
        <w:t>and/or</w:t>
      </w:r>
    </w:p>
    <w:p w:rsidR="008918FA" w:rsidRDefault="008918FA" w:rsidP="008918FA">
      <w:pPr>
        <w:pStyle w:val="BodyText"/>
        <w:numPr>
          <w:ilvl w:val="3"/>
          <w:numId w:val="66"/>
        </w:numPr>
        <w:tabs>
          <w:tab w:val="left" w:pos="2595"/>
        </w:tabs>
        <w:ind w:left="2594" w:right="113"/>
        <w:jc w:val="both"/>
      </w:pPr>
      <w:r>
        <w:rPr>
          <w:spacing w:val="-1"/>
        </w:rPr>
        <w:t>itself</w:t>
      </w:r>
      <w:r>
        <w:rPr>
          <w:spacing w:val="26"/>
        </w:rPr>
        <w:t xml:space="preserve"> </w:t>
      </w:r>
      <w:r>
        <w:rPr>
          <w:spacing w:val="-1"/>
        </w:rPr>
        <w:t>restore</w:t>
      </w:r>
      <w:r>
        <w:rPr>
          <w:spacing w:val="22"/>
        </w:rPr>
        <w:t xml:space="preserve"> </w:t>
      </w:r>
      <w:r>
        <w:rPr>
          <w:spacing w:val="-1"/>
        </w:rPr>
        <w:t>or</w:t>
      </w:r>
      <w:r>
        <w:rPr>
          <w:spacing w:val="24"/>
        </w:rPr>
        <w:t xml:space="preserve"> </w:t>
      </w:r>
      <w:r>
        <w:rPr>
          <w:spacing w:val="-1"/>
        </w:rPr>
        <w:t>procure</w:t>
      </w:r>
      <w:r>
        <w:rPr>
          <w:spacing w:val="19"/>
        </w:rPr>
        <w:t xml:space="preserve"> </w:t>
      </w:r>
      <w:r>
        <w:t>the</w:t>
      </w:r>
      <w:r>
        <w:rPr>
          <w:spacing w:val="22"/>
        </w:rPr>
        <w:t xml:space="preserve"> </w:t>
      </w:r>
      <w:r>
        <w:rPr>
          <w:spacing w:val="-1"/>
        </w:rPr>
        <w:t>restoration</w:t>
      </w:r>
      <w:r>
        <w:rPr>
          <w:spacing w:val="22"/>
        </w:rPr>
        <w:t xml:space="preserve"> </w:t>
      </w:r>
      <w:r>
        <w:rPr>
          <w:spacing w:val="-1"/>
        </w:rPr>
        <w:t>of</w:t>
      </w:r>
      <w:r>
        <w:rPr>
          <w:spacing w:val="26"/>
        </w:rPr>
        <w:t xml:space="preserve"> </w:t>
      </w:r>
      <w:r>
        <w:rPr>
          <w:spacing w:val="-2"/>
        </w:rPr>
        <w:t>Customer</w:t>
      </w:r>
      <w:r>
        <w:rPr>
          <w:spacing w:val="24"/>
        </w:rPr>
        <w:t xml:space="preserve"> </w:t>
      </w:r>
      <w:r>
        <w:rPr>
          <w:spacing w:val="-1"/>
        </w:rPr>
        <w:t>Data,</w:t>
      </w:r>
      <w:r>
        <w:rPr>
          <w:spacing w:val="23"/>
        </w:rPr>
        <w:t xml:space="preserve"> </w:t>
      </w:r>
      <w:r>
        <w:rPr>
          <w:spacing w:val="-1"/>
        </w:rPr>
        <w:t>and</w:t>
      </w:r>
      <w:r>
        <w:rPr>
          <w:spacing w:val="32"/>
        </w:rPr>
        <w:t xml:space="preserve"> </w:t>
      </w:r>
      <w:r>
        <w:rPr>
          <w:spacing w:val="-1"/>
        </w:rPr>
        <w:t>shall</w:t>
      </w:r>
      <w:r>
        <w:rPr>
          <w:spacing w:val="22"/>
        </w:rPr>
        <w:t xml:space="preserve"> </w:t>
      </w:r>
      <w:r>
        <w:rPr>
          <w:spacing w:val="-1"/>
        </w:rPr>
        <w:t>be</w:t>
      </w:r>
      <w:r>
        <w:rPr>
          <w:spacing w:val="23"/>
        </w:rPr>
        <w:t xml:space="preserve"> </w:t>
      </w:r>
      <w:r>
        <w:rPr>
          <w:spacing w:val="-1"/>
        </w:rPr>
        <w:t>repaid</w:t>
      </w:r>
      <w:r>
        <w:rPr>
          <w:spacing w:val="23"/>
        </w:rPr>
        <w:t xml:space="preserve"> </w:t>
      </w:r>
      <w:r>
        <w:rPr>
          <w:spacing w:val="1"/>
        </w:rPr>
        <w:t>by</w:t>
      </w:r>
      <w:r>
        <w:rPr>
          <w:spacing w:val="21"/>
        </w:rPr>
        <w:t xml:space="preserve"> </w:t>
      </w:r>
      <w:r>
        <w:t>the</w:t>
      </w:r>
      <w:r>
        <w:rPr>
          <w:spacing w:val="26"/>
        </w:rPr>
        <w:t xml:space="preserve"> </w:t>
      </w:r>
      <w:r>
        <w:rPr>
          <w:spacing w:val="-2"/>
        </w:rPr>
        <w:t>Supplier</w:t>
      </w:r>
      <w:r>
        <w:rPr>
          <w:spacing w:val="24"/>
        </w:rPr>
        <w:t xml:space="preserve"> </w:t>
      </w:r>
      <w:r>
        <w:t>any</w:t>
      </w:r>
      <w:r>
        <w:rPr>
          <w:spacing w:val="21"/>
        </w:rPr>
        <w:t xml:space="preserve"> </w:t>
      </w:r>
      <w:r>
        <w:rPr>
          <w:spacing w:val="-1"/>
        </w:rPr>
        <w:t>reasonable</w:t>
      </w:r>
      <w:r>
        <w:rPr>
          <w:spacing w:val="23"/>
        </w:rPr>
        <w:t xml:space="preserve"> </w:t>
      </w:r>
      <w:r>
        <w:rPr>
          <w:spacing w:val="-1"/>
        </w:rPr>
        <w:t>expenses</w:t>
      </w:r>
      <w:r>
        <w:rPr>
          <w:spacing w:val="27"/>
        </w:rPr>
        <w:t xml:space="preserve"> </w:t>
      </w:r>
      <w:r>
        <w:rPr>
          <w:spacing w:val="-1"/>
        </w:rPr>
        <w:t>incurred</w:t>
      </w:r>
      <w:r>
        <w:rPr>
          <w:spacing w:val="31"/>
        </w:rPr>
        <w:t xml:space="preserve"> </w:t>
      </w:r>
      <w:r>
        <w:rPr>
          <w:spacing w:val="-1"/>
        </w:rPr>
        <w:t>in</w:t>
      </w:r>
      <w:r>
        <w:rPr>
          <w:spacing w:val="31"/>
        </w:rPr>
        <w:t xml:space="preserve"> </w:t>
      </w:r>
      <w:r>
        <w:rPr>
          <w:spacing w:val="-2"/>
        </w:rPr>
        <w:t>doing</w:t>
      </w:r>
      <w:r>
        <w:rPr>
          <w:spacing w:val="31"/>
        </w:rPr>
        <w:t xml:space="preserve"> </w:t>
      </w:r>
      <w:r>
        <w:rPr>
          <w:spacing w:val="-1"/>
        </w:rPr>
        <w:t>so</w:t>
      </w:r>
      <w:r>
        <w:rPr>
          <w:spacing w:val="30"/>
        </w:rPr>
        <w:t xml:space="preserve"> </w:t>
      </w:r>
      <w:r>
        <w:t>to</w:t>
      </w:r>
      <w:r>
        <w:rPr>
          <w:spacing w:val="29"/>
        </w:rPr>
        <w:t xml:space="preserve"> </w:t>
      </w:r>
      <w:r>
        <w:rPr>
          <w:spacing w:val="-1"/>
        </w:rPr>
        <w:t>the</w:t>
      </w:r>
      <w:r>
        <w:rPr>
          <w:spacing w:val="31"/>
        </w:rPr>
        <w:t xml:space="preserve"> </w:t>
      </w:r>
      <w:r>
        <w:rPr>
          <w:spacing w:val="-1"/>
        </w:rPr>
        <w:t>extent</w:t>
      </w:r>
      <w:r>
        <w:rPr>
          <w:spacing w:val="33"/>
        </w:rPr>
        <w:t xml:space="preserve"> </w:t>
      </w:r>
      <w:r>
        <w:rPr>
          <w:spacing w:val="-1"/>
        </w:rPr>
        <w:t>and</w:t>
      </w:r>
      <w:r>
        <w:rPr>
          <w:spacing w:val="29"/>
        </w:rPr>
        <w:t xml:space="preserve"> </w:t>
      </w:r>
      <w:r>
        <w:rPr>
          <w:spacing w:val="-1"/>
        </w:rPr>
        <w:t>in</w:t>
      </w:r>
      <w:r>
        <w:rPr>
          <w:spacing w:val="31"/>
        </w:rPr>
        <w:t xml:space="preserve"> </w:t>
      </w:r>
      <w:r>
        <w:rPr>
          <w:spacing w:val="-2"/>
        </w:rPr>
        <w:t>accordance</w:t>
      </w:r>
      <w:r>
        <w:rPr>
          <w:spacing w:val="33"/>
        </w:rPr>
        <w:t xml:space="preserve"> </w:t>
      </w:r>
      <w:r>
        <w:rPr>
          <w:spacing w:val="-2"/>
        </w:rPr>
        <w:t>with</w:t>
      </w:r>
      <w:r>
        <w:rPr>
          <w:spacing w:val="31"/>
        </w:rPr>
        <w:t xml:space="preserve"> </w:t>
      </w:r>
      <w:r>
        <w:rPr>
          <w:spacing w:val="-1"/>
        </w:rPr>
        <w:t>the</w:t>
      </w:r>
      <w:r>
        <w:rPr>
          <w:spacing w:val="48"/>
        </w:rPr>
        <w:t xml:space="preserve"> </w:t>
      </w:r>
      <w:r>
        <w:rPr>
          <w:spacing w:val="-1"/>
        </w:rPr>
        <w:t>requirements</w:t>
      </w:r>
      <w:r>
        <w:rPr>
          <w:spacing w:val="40"/>
        </w:rPr>
        <w:t xml:space="preserve"> </w:t>
      </w:r>
      <w:r>
        <w:rPr>
          <w:spacing w:val="-1"/>
        </w:rPr>
        <w:t>specified</w:t>
      </w:r>
      <w:r>
        <w:rPr>
          <w:spacing w:val="40"/>
        </w:rPr>
        <w:t xml:space="preserve"> </w:t>
      </w:r>
      <w:r>
        <w:rPr>
          <w:spacing w:val="-1"/>
        </w:rPr>
        <w:t>in</w:t>
      </w:r>
      <w:r>
        <w:rPr>
          <w:spacing w:val="44"/>
        </w:rPr>
        <w:t xml:space="preserve"> </w:t>
      </w:r>
      <w:r>
        <w:rPr>
          <w:spacing w:val="-2"/>
        </w:rPr>
        <w:t>Call</w:t>
      </w:r>
      <w:r>
        <w:rPr>
          <w:spacing w:val="42"/>
        </w:rPr>
        <w:t xml:space="preserve"> </w:t>
      </w:r>
      <w:r>
        <w:rPr>
          <w:spacing w:val="-1"/>
        </w:rPr>
        <w:t>Off</w:t>
      </w:r>
      <w:r>
        <w:rPr>
          <w:spacing w:val="44"/>
        </w:rPr>
        <w:t xml:space="preserve"> </w:t>
      </w:r>
      <w:r>
        <w:rPr>
          <w:spacing w:val="-1"/>
        </w:rPr>
        <w:t>Schedule</w:t>
      </w:r>
      <w:r>
        <w:rPr>
          <w:spacing w:val="40"/>
        </w:rPr>
        <w:t xml:space="preserve"> </w:t>
      </w:r>
      <w:r>
        <w:t>9</w:t>
      </w:r>
      <w:r>
        <w:rPr>
          <w:spacing w:val="43"/>
        </w:rPr>
        <w:t xml:space="preserve"> </w:t>
      </w:r>
      <w:r>
        <w:rPr>
          <w:spacing w:val="-1"/>
        </w:rPr>
        <w:t>(Business</w:t>
      </w:r>
      <w:r>
        <w:rPr>
          <w:spacing w:val="26"/>
        </w:rPr>
        <w:t xml:space="preserve"> </w:t>
      </w:r>
      <w:r>
        <w:rPr>
          <w:spacing w:val="-1"/>
        </w:rPr>
        <w:t>Continuity</w:t>
      </w:r>
      <w:r>
        <w:rPr>
          <w:spacing w:val="18"/>
        </w:rPr>
        <w:t xml:space="preserve"> </w:t>
      </w:r>
      <w:r>
        <w:rPr>
          <w:spacing w:val="-1"/>
        </w:rPr>
        <w:t>and</w:t>
      </w:r>
      <w:r>
        <w:rPr>
          <w:spacing w:val="20"/>
        </w:rPr>
        <w:t xml:space="preserve"> </w:t>
      </w:r>
      <w:r>
        <w:rPr>
          <w:spacing w:val="-1"/>
        </w:rPr>
        <w:t>Disaster</w:t>
      </w:r>
      <w:r>
        <w:rPr>
          <w:spacing w:val="21"/>
        </w:rPr>
        <w:t xml:space="preserve"> </w:t>
      </w:r>
      <w:r>
        <w:rPr>
          <w:spacing w:val="-2"/>
        </w:rPr>
        <w:t>Recovery)</w:t>
      </w:r>
      <w:r>
        <w:rPr>
          <w:spacing w:val="22"/>
        </w:rPr>
        <w:t xml:space="preserve"> </w:t>
      </w:r>
      <w:r>
        <w:rPr>
          <w:spacing w:val="-1"/>
        </w:rPr>
        <w:t>or</w:t>
      </w:r>
      <w:r>
        <w:rPr>
          <w:spacing w:val="21"/>
        </w:rPr>
        <w:t xml:space="preserve"> </w:t>
      </w:r>
      <w:r>
        <w:rPr>
          <w:spacing w:val="-1"/>
        </w:rPr>
        <w:t>as</w:t>
      </w:r>
      <w:r>
        <w:rPr>
          <w:spacing w:val="20"/>
        </w:rPr>
        <w:t xml:space="preserve"> </w:t>
      </w:r>
      <w:r>
        <w:rPr>
          <w:spacing w:val="-1"/>
        </w:rPr>
        <w:t>otherwise</w:t>
      </w:r>
      <w:r>
        <w:rPr>
          <w:spacing w:val="20"/>
        </w:rPr>
        <w:t xml:space="preserve"> </w:t>
      </w:r>
      <w:r>
        <w:rPr>
          <w:spacing w:val="-1"/>
        </w:rPr>
        <w:t>required</w:t>
      </w:r>
      <w:r>
        <w:rPr>
          <w:spacing w:val="20"/>
        </w:rPr>
        <w:t xml:space="preserve"> </w:t>
      </w:r>
      <w:r>
        <w:rPr>
          <w:spacing w:val="-1"/>
        </w:rPr>
        <w:t>by</w:t>
      </w:r>
      <w:r>
        <w:rPr>
          <w:spacing w:val="34"/>
        </w:rPr>
        <w:t xml:space="preserve"> </w:t>
      </w:r>
      <w:r>
        <w:t xml:space="preserve">the </w:t>
      </w:r>
      <w:r>
        <w:rPr>
          <w:spacing w:val="-1"/>
        </w:rPr>
        <w:t>Customer.</w:t>
      </w:r>
    </w:p>
    <w:p w:rsidR="008918FA" w:rsidRDefault="008918FA" w:rsidP="008918FA">
      <w:pPr>
        <w:pStyle w:val="Heading1"/>
        <w:numPr>
          <w:ilvl w:val="1"/>
          <w:numId w:val="66"/>
        </w:numPr>
        <w:tabs>
          <w:tab w:val="left" w:pos="893"/>
        </w:tabs>
        <w:ind w:left="892" w:hanging="564"/>
        <w:rPr>
          <w:b w:val="0"/>
          <w:bCs w:val="0"/>
        </w:rPr>
      </w:pPr>
      <w:bookmarkStart w:id="218" w:name="_bookmark184"/>
      <w:bookmarkEnd w:id="218"/>
      <w:r>
        <w:rPr>
          <w:spacing w:val="-1"/>
        </w:rPr>
        <w:t>Confidentiality</w:t>
      </w:r>
    </w:p>
    <w:p w:rsidR="008918FA" w:rsidRDefault="008918FA" w:rsidP="008918FA">
      <w:pPr>
        <w:pStyle w:val="BodyText"/>
        <w:numPr>
          <w:ilvl w:val="2"/>
          <w:numId w:val="66"/>
        </w:numPr>
        <w:tabs>
          <w:tab w:val="left" w:pos="1887"/>
        </w:tabs>
        <w:ind w:left="1886" w:right="115"/>
        <w:jc w:val="both"/>
      </w:pPr>
      <w:bookmarkStart w:id="219" w:name="_bookmark185"/>
      <w:bookmarkEnd w:id="219"/>
      <w:r>
        <w:rPr>
          <w:spacing w:val="-1"/>
        </w:rPr>
        <w:t>For</w:t>
      </w:r>
      <w:r>
        <w:rPr>
          <w:spacing w:val="45"/>
        </w:rPr>
        <w:t xml:space="preserve"> </w:t>
      </w:r>
      <w:r>
        <w:t>the</w:t>
      </w:r>
      <w:r>
        <w:rPr>
          <w:spacing w:val="43"/>
        </w:rPr>
        <w:t xml:space="preserve"> </w:t>
      </w:r>
      <w:r>
        <w:rPr>
          <w:spacing w:val="-1"/>
        </w:rPr>
        <w:t>purposes</w:t>
      </w:r>
      <w:r>
        <w:rPr>
          <w:spacing w:val="44"/>
        </w:rPr>
        <w:t xml:space="preserve"> </w:t>
      </w:r>
      <w:r>
        <w:rPr>
          <w:spacing w:val="-2"/>
        </w:rPr>
        <w:t>of</w:t>
      </w:r>
      <w:r>
        <w:rPr>
          <w:spacing w:val="45"/>
        </w:rPr>
        <w:t xml:space="preserve"> </w:t>
      </w:r>
      <w:r>
        <w:rPr>
          <w:spacing w:val="-1"/>
        </w:rPr>
        <w:t>this</w:t>
      </w:r>
      <w:r>
        <w:rPr>
          <w:spacing w:val="44"/>
        </w:rPr>
        <w:t xml:space="preserve"> </w:t>
      </w:r>
      <w:r>
        <w:rPr>
          <w:spacing w:val="-2"/>
        </w:rPr>
        <w:t>Clause</w:t>
      </w:r>
      <w:r>
        <w:rPr>
          <w:spacing w:val="45"/>
        </w:rPr>
        <w:t xml:space="preserve"> </w:t>
      </w:r>
      <w:hyperlink w:anchor="_bookmark184" w:history="1">
        <w:r>
          <w:rPr>
            <w:spacing w:val="-1"/>
          </w:rPr>
          <w:t>34.3</w:t>
        </w:r>
      </w:hyperlink>
      <w:r>
        <w:rPr>
          <w:spacing w:val="-1"/>
        </w:rPr>
        <w:t>,</w:t>
      </w:r>
      <w:r>
        <w:rPr>
          <w:spacing w:val="43"/>
        </w:rPr>
        <w:t xml:space="preserve"> </w:t>
      </w:r>
      <w:r>
        <w:t>the</w:t>
      </w:r>
      <w:r>
        <w:rPr>
          <w:spacing w:val="43"/>
        </w:rPr>
        <w:t xml:space="preserve"> </w:t>
      </w:r>
      <w:r>
        <w:rPr>
          <w:spacing w:val="-1"/>
        </w:rPr>
        <w:t>term</w:t>
      </w:r>
      <w:r>
        <w:rPr>
          <w:spacing w:val="43"/>
        </w:rPr>
        <w:t xml:space="preserve"> </w:t>
      </w:r>
      <w:r>
        <w:rPr>
          <w:rFonts w:cs="Arial"/>
          <w:b/>
          <w:bCs/>
          <w:spacing w:val="-1"/>
        </w:rPr>
        <w:t>“Disclosing</w:t>
      </w:r>
      <w:r>
        <w:rPr>
          <w:rFonts w:cs="Arial"/>
          <w:b/>
          <w:bCs/>
          <w:spacing w:val="43"/>
        </w:rPr>
        <w:t xml:space="preserve"> </w:t>
      </w:r>
      <w:r>
        <w:rPr>
          <w:rFonts w:cs="Arial"/>
          <w:b/>
          <w:bCs/>
          <w:spacing w:val="-2"/>
        </w:rPr>
        <w:t>Party”</w:t>
      </w:r>
      <w:r>
        <w:rPr>
          <w:rFonts w:cs="Arial"/>
          <w:b/>
          <w:bCs/>
          <w:spacing w:val="41"/>
        </w:rPr>
        <w:t xml:space="preserve"> </w:t>
      </w:r>
      <w:r>
        <w:rPr>
          <w:spacing w:val="-1"/>
        </w:rPr>
        <w:t>shall</w:t>
      </w:r>
      <w:r>
        <w:rPr>
          <w:spacing w:val="59"/>
        </w:rPr>
        <w:t xml:space="preserve"> </w:t>
      </w:r>
      <w:r>
        <w:rPr>
          <w:spacing w:val="-1"/>
        </w:rPr>
        <w:t>mean</w:t>
      </w:r>
      <w:r>
        <w:rPr>
          <w:spacing w:val="60"/>
        </w:rPr>
        <w:t xml:space="preserve"> </w:t>
      </w:r>
      <w:r>
        <w:t>a</w:t>
      </w:r>
      <w:r>
        <w:rPr>
          <w:spacing w:val="58"/>
        </w:rPr>
        <w:t xml:space="preserve"> </w:t>
      </w:r>
      <w:r>
        <w:rPr>
          <w:spacing w:val="-1"/>
        </w:rPr>
        <w:t>Party</w:t>
      </w:r>
      <w:r>
        <w:rPr>
          <w:spacing w:val="58"/>
        </w:rPr>
        <w:t xml:space="preserve"> </w:t>
      </w:r>
      <w:r>
        <w:rPr>
          <w:spacing w:val="-2"/>
        </w:rPr>
        <w:t>which</w:t>
      </w:r>
      <w:r w:rsidR="001C1527">
        <w:t xml:space="preserve"> </w:t>
      </w:r>
      <w:r>
        <w:rPr>
          <w:spacing w:val="-1"/>
        </w:rPr>
        <w:t>discloses</w:t>
      </w:r>
      <w:r>
        <w:t xml:space="preserve"> </w:t>
      </w:r>
      <w:r>
        <w:rPr>
          <w:spacing w:val="-2"/>
        </w:rPr>
        <w:t>or</w:t>
      </w:r>
      <w:r>
        <w:rPr>
          <w:spacing w:val="59"/>
        </w:rPr>
        <w:t xml:space="preserve"> </w:t>
      </w:r>
      <w:r>
        <w:rPr>
          <w:spacing w:val="-1"/>
        </w:rPr>
        <w:t>makes</w:t>
      </w:r>
      <w:r>
        <w:rPr>
          <w:spacing w:val="58"/>
        </w:rPr>
        <w:t xml:space="preserve"> </w:t>
      </w:r>
      <w:r>
        <w:rPr>
          <w:spacing w:val="-2"/>
        </w:rPr>
        <w:t>available</w:t>
      </w:r>
      <w:r>
        <w:rPr>
          <w:spacing w:val="61"/>
        </w:rPr>
        <w:t xml:space="preserve"> </w:t>
      </w:r>
      <w:r>
        <w:rPr>
          <w:spacing w:val="-1"/>
        </w:rPr>
        <w:t>directly</w:t>
      </w:r>
      <w:r>
        <w:rPr>
          <w:spacing w:val="58"/>
        </w:rPr>
        <w:t xml:space="preserve"> </w:t>
      </w:r>
      <w:r>
        <w:rPr>
          <w:spacing w:val="-1"/>
        </w:rPr>
        <w:t>or</w:t>
      </w:r>
      <w:r>
        <w:rPr>
          <w:spacing w:val="42"/>
        </w:rPr>
        <w:t xml:space="preserve"> </w:t>
      </w:r>
      <w:r>
        <w:rPr>
          <w:spacing w:val="-1"/>
        </w:rPr>
        <w:t>indirectly</w:t>
      </w:r>
      <w:r>
        <w:rPr>
          <w:spacing w:val="22"/>
        </w:rPr>
        <w:t xml:space="preserve"> </w:t>
      </w:r>
      <w:r>
        <w:rPr>
          <w:spacing w:val="-1"/>
        </w:rPr>
        <w:t>its</w:t>
      </w:r>
      <w:r>
        <w:rPr>
          <w:spacing w:val="25"/>
        </w:rPr>
        <w:t xml:space="preserve"> </w:t>
      </w:r>
      <w:r>
        <w:rPr>
          <w:spacing w:val="-1"/>
        </w:rPr>
        <w:t>Confidential</w:t>
      </w:r>
      <w:r>
        <w:rPr>
          <w:spacing w:val="24"/>
        </w:rPr>
        <w:t xml:space="preserve"> </w:t>
      </w:r>
      <w:r>
        <w:rPr>
          <w:spacing w:val="-1"/>
        </w:rPr>
        <w:t>Information</w:t>
      </w:r>
      <w:r>
        <w:rPr>
          <w:spacing w:val="24"/>
        </w:rPr>
        <w:t xml:space="preserve"> </w:t>
      </w:r>
      <w:r>
        <w:rPr>
          <w:spacing w:val="-1"/>
        </w:rPr>
        <w:t>and</w:t>
      </w:r>
      <w:r>
        <w:rPr>
          <w:spacing w:val="26"/>
        </w:rPr>
        <w:t xml:space="preserve"> </w:t>
      </w:r>
      <w:r>
        <w:rPr>
          <w:rFonts w:cs="Arial"/>
          <w:b/>
          <w:bCs/>
          <w:spacing w:val="-1"/>
        </w:rPr>
        <w:t>“Recipient”</w:t>
      </w:r>
      <w:r>
        <w:rPr>
          <w:rFonts w:cs="Arial"/>
          <w:b/>
          <w:bCs/>
          <w:spacing w:val="22"/>
        </w:rPr>
        <w:t xml:space="preserve"> </w:t>
      </w:r>
      <w:r>
        <w:rPr>
          <w:spacing w:val="-1"/>
        </w:rPr>
        <w:t>shall</w:t>
      </w:r>
      <w:r>
        <w:rPr>
          <w:spacing w:val="24"/>
        </w:rPr>
        <w:t xml:space="preserve"> </w:t>
      </w:r>
      <w:r>
        <w:rPr>
          <w:spacing w:val="-1"/>
        </w:rPr>
        <w:t>mean</w:t>
      </w:r>
      <w:r>
        <w:rPr>
          <w:spacing w:val="22"/>
        </w:rPr>
        <w:t xml:space="preserve"> </w:t>
      </w:r>
      <w:r>
        <w:rPr>
          <w:spacing w:val="-1"/>
        </w:rPr>
        <w:t>the</w:t>
      </w:r>
      <w:r>
        <w:rPr>
          <w:spacing w:val="34"/>
        </w:rPr>
        <w:t xml:space="preserve"> </w:t>
      </w:r>
      <w:r>
        <w:rPr>
          <w:spacing w:val="-1"/>
        </w:rPr>
        <w:t>Party</w:t>
      </w:r>
      <w:r>
        <w:rPr>
          <w:spacing w:val="26"/>
        </w:rPr>
        <w:t xml:space="preserve"> </w:t>
      </w:r>
      <w:r>
        <w:rPr>
          <w:spacing w:val="-2"/>
        </w:rPr>
        <w:t>which</w:t>
      </w:r>
      <w:r>
        <w:rPr>
          <w:spacing w:val="28"/>
        </w:rPr>
        <w:t xml:space="preserve"> </w:t>
      </w:r>
      <w:r>
        <w:rPr>
          <w:spacing w:val="-1"/>
        </w:rPr>
        <w:t>receives</w:t>
      </w:r>
      <w:r>
        <w:rPr>
          <w:spacing w:val="28"/>
        </w:rPr>
        <w:t xml:space="preserve"> </w:t>
      </w:r>
      <w:r>
        <w:rPr>
          <w:spacing w:val="-1"/>
        </w:rPr>
        <w:t>or</w:t>
      </w:r>
      <w:r>
        <w:rPr>
          <w:spacing w:val="29"/>
        </w:rPr>
        <w:t xml:space="preserve"> </w:t>
      </w:r>
      <w:r>
        <w:rPr>
          <w:spacing w:val="-1"/>
        </w:rPr>
        <w:t>obtains</w:t>
      </w:r>
      <w:r>
        <w:rPr>
          <w:spacing w:val="28"/>
        </w:rPr>
        <w:t xml:space="preserve"> </w:t>
      </w:r>
      <w:r>
        <w:rPr>
          <w:spacing w:val="-1"/>
        </w:rPr>
        <w:t>directly</w:t>
      </w:r>
      <w:r>
        <w:rPr>
          <w:spacing w:val="26"/>
        </w:rPr>
        <w:t xml:space="preserve"> </w:t>
      </w:r>
      <w:r>
        <w:rPr>
          <w:spacing w:val="-1"/>
        </w:rPr>
        <w:t>or</w:t>
      </w:r>
      <w:r>
        <w:rPr>
          <w:spacing w:val="29"/>
        </w:rPr>
        <w:t xml:space="preserve"> </w:t>
      </w:r>
      <w:r>
        <w:rPr>
          <w:spacing w:val="-2"/>
        </w:rPr>
        <w:t>indirectly</w:t>
      </w:r>
      <w:r>
        <w:rPr>
          <w:spacing w:val="26"/>
        </w:rPr>
        <w:t xml:space="preserve"> </w:t>
      </w:r>
      <w:r>
        <w:rPr>
          <w:spacing w:val="-1"/>
        </w:rPr>
        <w:t>Confidential</w:t>
      </w:r>
      <w:r>
        <w:rPr>
          <w:spacing w:val="36"/>
        </w:rPr>
        <w:t xml:space="preserve"> </w:t>
      </w:r>
      <w:r>
        <w:rPr>
          <w:spacing w:val="-1"/>
        </w:rPr>
        <w:t>Information.</w:t>
      </w:r>
    </w:p>
    <w:p w:rsidR="008918FA" w:rsidRDefault="008918FA" w:rsidP="008918FA">
      <w:pPr>
        <w:pStyle w:val="BodyText"/>
        <w:numPr>
          <w:ilvl w:val="2"/>
          <w:numId w:val="66"/>
        </w:numPr>
        <w:tabs>
          <w:tab w:val="left" w:pos="1887"/>
        </w:tabs>
        <w:spacing w:before="118"/>
        <w:ind w:left="1886" w:right="114"/>
        <w:jc w:val="both"/>
      </w:pPr>
      <w:bookmarkStart w:id="220" w:name="_bookmark186"/>
      <w:bookmarkEnd w:id="220"/>
      <w:r>
        <w:rPr>
          <w:spacing w:val="-1"/>
        </w:rPr>
        <w:t>Except</w:t>
      </w:r>
      <w:r>
        <w:rPr>
          <w:spacing w:val="16"/>
        </w:rPr>
        <w:t xml:space="preserve"> </w:t>
      </w:r>
      <w:r>
        <w:t>to</w:t>
      </w:r>
      <w:r>
        <w:rPr>
          <w:spacing w:val="15"/>
        </w:rPr>
        <w:t xml:space="preserve"> </w:t>
      </w:r>
      <w:r>
        <w:t>the</w:t>
      </w:r>
      <w:r>
        <w:rPr>
          <w:spacing w:val="15"/>
        </w:rPr>
        <w:t xml:space="preserve"> </w:t>
      </w:r>
      <w:r>
        <w:rPr>
          <w:spacing w:val="-2"/>
        </w:rPr>
        <w:t>extent</w:t>
      </w:r>
      <w:r>
        <w:rPr>
          <w:spacing w:val="16"/>
        </w:rPr>
        <w:t xml:space="preserve"> </w:t>
      </w:r>
      <w:r>
        <w:rPr>
          <w:spacing w:val="-2"/>
        </w:rPr>
        <w:t>set</w:t>
      </w:r>
      <w:r>
        <w:rPr>
          <w:spacing w:val="14"/>
        </w:rPr>
        <w:t xml:space="preserve"> </w:t>
      </w:r>
      <w:r>
        <w:rPr>
          <w:spacing w:val="-1"/>
        </w:rPr>
        <w:t>out</w:t>
      </w:r>
      <w:r>
        <w:rPr>
          <w:spacing w:val="16"/>
        </w:rPr>
        <w:t xml:space="preserve"> </w:t>
      </w:r>
      <w:r>
        <w:rPr>
          <w:spacing w:val="-1"/>
        </w:rPr>
        <w:t>in</w:t>
      </w:r>
      <w:r>
        <w:rPr>
          <w:spacing w:val="15"/>
        </w:rPr>
        <w:t xml:space="preserve"> </w:t>
      </w:r>
      <w:r>
        <w:rPr>
          <w:spacing w:val="-1"/>
        </w:rPr>
        <w:t>this</w:t>
      </w:r>
      <w:r>
        <w:rPr>
          <w:spacing w:val="15"/>
        </w:rPr>
        <w:t xml:space="preserve"> </w:t>
      </w:r>
      <w:r>
        <w:rPr>
          <w:spacing w:val="-2"/>
        </w:rPr>
        <w:t>Clause</w:t>
      </w:r>
      <w:r>
        <w:rPr>
          <w:spacing w:val="16"/>
        </w:rPr>
        <w:t xml:space="preserve"> </w:t>
      </w:r>
      <w:hyperlink w:anchor="_bookmark184" w:history="1">
        <w:r>
          <w:rPr>
            <w:spacing w:val="-1"/>
          </w:rPr>
          <w:t>34.3</w:t>
        </w:r>
      </w:hyperlink>
      <w:r>
        <w:rPr>
          <w:spacing w:val="15"/>
        </w:rPr>
        <w:t xml:space="preserve"> </w:t>
      </w:r>
      <w:r>
        <w:rPr>
          <w:spacing w:val="-2"/>
        </w:rPr>
        <w:t>or</w:t>
      </w:r>
      <w:r>
        <w:rPr>
          <w:spacing w:val="16"/>
        </w:rPr>
        <w:t xml:space="preserve"> </w:t>
      </w:r>
      <w:r>
        <w:rPr>
          <w:spacing w:val="-2"/>
        </w:rPr>
        <w:t>where</w:t>
      </w:r>
      <w:r>
        <w:rPr>
          <w:spacing w:val="15"/>
        </w:rPr>
        <w:t xml:space="preserve"> </w:t>
      </w:r>
      <w:r>
        <w:rPr>
          <w:spacing w:val="-1"/>
        </w:rPr>
        <w:t>disclosure</w:t>
      </w:r>
      <w:r>
        <w:rPr>
          <w:spacing w:val="15"/>
        </w:rPr>
        <w:t xml:space="preserve"> </w:t>
      </w:r>
      <w:r>
        <w:rPr>
          <w:spacing w:val="-1"/>
        </w:rPr>
        <w:t>is</w:t>
      </w:r>
      <w:r>
        <w:rPr>
          <w:spacing w:val="49"/>
        </w:rPr>
        <w:t xml:space="preserve"> </w:t>
      </w:r>
      <w:r>
        <w:rPr>
          <w:spacing w:val="-1"/>
        </w:rPr>
        <w:t>expressly</w:t>
      </w:r>
      <w:r>
        <w:rPr>
          <w:spacing w:val="23"/>
        </w:rPr>
        <w:t xml:space="preserve"> </w:t>
      </w:r>
      <w:r>
        <w:rPr>
          <w:spacing w:val="-1"/>
        </w:rPr>
        <w:t>permitted</w:t>
      </w:r>
      <w:r>
        <w:rPr>
          <w:spacing w:val="24"/>
        </w:rPr>
        <w:t xml:space="preserve"> </w:t>
      </w:r>
      <w:r>
        <w:rPr>
          <w:spacing w:val="-2"/>
        </w:rPr>
        <w:t>elsewhere</w:t>
      </w:r>
      <w:r>
        <w:rPr>
          <w:spacing w:val="24"/>
        </w:rPr>
        <w:t xml:space="preserve"> </w:t>
      </w:r>
      <w:r>
        <w:rPr>
          <w:spacing w:val="-1"/>
        </w:rPr>
        <w:t>in</w:t>
      </w:r>
      <w:r>
        <w:rPr>
          <w:spacing w:val="24"/>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28"/>
        </w:rPr>
        <w:t xml:space="preserve"> </w:t>
      </w:r>
      <w:r>
        <w:rPr>
          <w:spacing w:val="-1"/>
        </w:rPr>
        <w:t>Contract,</w:t>
      </w:r>
      <w:r>
        <w:rPr>
          <w:spacing w:val="25"/>
        </w:rPr>
        <w:t xml:space="preserve"> </w:t>
      </w:r>
      <w:r>
        <w:t>the</w:t>
      </w:r>
      <w:r>
        <w:rPr>
          <w:spacing w:val="24"/>
        </w:rPr>
        <w:t xml:space="preserve"> </w:t>
      </w:r>
      <w:r>
        <w:rPr>
          <w:spacing w:val="-2"/>
        </w:rPr>
        <w:t>Recipient</w:t>
      </w:r>
      <w:r>
        <w:rPr>
          <w:spacing w:val="52"/>
        </w:rPr>
        <w:t xml:space="preserve"> </w:t>
      </w:r>
      <w:r>
        <w:rPr>
          <w:spacing w:val="-2"/>
        </w:rPr>
        <w:t>shall:</w:t>
      </w:r>
    </w:p>
    <w:p w:rsidR="008918FA" w:rsidRDefault="008918FA" w:rsidP="008918FA">
      <w:pPr>
        <w:pStyle w:val="BodyText"/>
        <w:numPr>
          <w:ilvl w:val="3"/>
          <w:numId w:val="66"/>
        </w:numPr>
        <w:tabs>
          <w:tab w:val="left" w:pos="2594"/>
        </w:tabs>
        <w:spacing w:before="121"/>
        <w:ind w:left="2593" w:right="113" w:hanging="707"/>
        <w:jc w:val="both"/>
      </w:pPr>
      <w:r>
        <w:rPr>
          <w:spacing w:val="-1"/>
        </w:rPr>
        <w:t>treat</w:t>
      </w:r>
      <w:r>
        <w:rPr>
          <w:spacing w:val="35"/>
        </w:rPr>
        <w:t xml:space="preserve"> </w:t>
      </w:r>
      <w:r>
        <w:t>the</w:t>
      </w:r>
      <w:r>
        <w:rPr>
          <w:spacing w:val="31"/>
        </w:rPr>
        <w:t xml:space="preserve"> </w:t>
      </w:r>
      <w:r>
        <w:rPr>
          <w:spacing w:val="-2"/>
        </w:rPr>
        <w:t>Disclosing</w:t>
      </w:r>
      <w:r>
        <w:rPr>
          <w:spacing w:val="34"/>
        </w:rPr>
        <w:t xml:space="preserve"> </w:t>
      </w:r>
      <w:r>
        <w:rPr>
          <w:spacing w:val="-1"/>
        </w:rPr>
        <w:t>Party's</w:t>
      </w:r>
      <w:r>
        <w:rPr>
          <w:spacing w:val="34"/>
        </w:rPr>
        <w:t xml:space="preserve"> </w:t>
      </w:r>
      <w:r>
        <w:rPr>
          <w:spacing w:val="-1"/>
        </w:rPr>
        <w:t>Confidential</w:t>
      </w:r>
      <w:r>
        <w:rPr>
          <w:spacing w:val="33"/>
        </w:rPr>
        <w:t xml:space="preserve"> </w:t>
      </w:r>
      <w:r>
        <w:rPr>
          <w:spacing w:val="-1"/>
        </w:rPr>
        <w:t>Information</w:t>
      </w:r>
      <w:r>
        <w:rPr>
          <w:spacing w:val="34"/>
        </w:rPr>
        <w:t xml:space="preserve"> </w:t>
      </w:r>
      <w:r>
        <w:rPr>
          <w:spacing w:val="-1"/>
        </w:rPr>
        <w:t>as</w:t>
      </w:r>
      <w:r>
        <w:rPr>
          <w:spacing w:val="40"/>
        </w:rPr>
        <w:t xml:space="preserve"> </w:t>
      </w:r>
      <w:r>
        <w:rPr>
          <w:spacing w:val="-1"/>
        </w:rPr>
        <w:t>confidential</w:t>
      </w:r>
      <w:r>
        <w:rPr>
          <w:spacing w:val="9"/>
        </w:rPr>
        <w:t xml:space="preserve"> </w:t>
      </w:r>
      <w:r>
        <w:rPr>
          <w:spacing w:val="-1"/>
        </w:rPr>
        <w:t>and</w:t>
      </w:r>
      <w:r>
        <w:rPr>
          <w:spacing w:val="10"/>
        </w:rPr>
        <w:t xml:space="preserve"> </w:t>
      </w:r>
      <w:r>
        <w:t>keep</w:t>
      </w:r>
      <w:r>
        <w:rPr>
          <w:spacing w:val="10"/>
        </w:rPr>
        <w:t xml:space="preserve"> </w:t>
      </w:r>
      <w:r>
        <w:rPr>
          <w:spacing w:val="-1"/>
        </w:rPr>
        <w:t>it</w:t>
      </w:r>
      <w:r>
        <w:rPr>
          <w:spacing w:val="11"/>
        </w:rPr>
        <w:t xml:space="preserve"> </w:t>
      </w:r>
      <w:r>
        <w:rPr>
          <w:spacing w:val="-2"/>
        </w:rPr>
        <w:t>in</w:t>
      </w:r>
      <w:r>
        <w:rPr>
          <w:spacing w:val="10"/>
        </w:rPr>
        <w:t xml:space="preserve"> </w:t>
      </w:r>
      <w:r>
        <w:rPr>
          <w:spacing w:val="-1"/>
        </w:rPr>
        <w:t>secure</w:t>
      </w:r>
      <w:r>
        <w:rPr>
          <w:spacing w:val="10"/>
        </w:rPr>
        <w:t xml:space="preserve"> </w:t>
      </w:r>
      <w:r>
        <w:rPr>
          <w:spacing w:val="-1"/>
        </w:rPr>
        <w:t>custody</w:t>
      </w:r>
      <w:r>
        <w:rPr>
          <w:spacing w:val="8"/>
        </w:rPr>
        <w:t xml:space="preserve"> </w:t>
      </w:r>
      <w:r>
        <w:rPr>
          <w:spacing w:val="-1"/>
        </w:rPr>
        <w:t>(which</w:t>
      </w:r>
      <w:r>
        <w:rPr>
          <w:spacing w:val="10"/>
        </w:rPr>
        <w:t xml:space="preserve"> </w:t>
      </w:r>
      <w:r>
        <w:rPr>
          <w:spacing w:val="-1"/>
        </w:rPr>
        <w:t>is</w:t>
      </w:r>
      <w:r>
        <w:rPr>
          <w:spacing w:val="10"/>
        </w:rPr>
        <w:t xml:space="preserve"> </w:t>
      </w:r>
      <w:r>
        <w:rPr>
          <w:spacing w:val="-1"/>
        </w:rPr>
        <w:t>appropriate</w:t>
      </w:r>
      <w:r>
        <w:rPr>
          <w:spacing w:val="33"/>
        </w:rPr>
        <w:t xml:space="preserve"> </w:t>
      </w:r>
      <w:r>
        <w:rPr>
          <w:spacing w:val="-1"/>
        </w:rPr>
        <w:t>depending</w:t>
      </w:r>
      <w:r>
        <w:rPr>
          <w:spacing w:val="43"/>
        </w:rPr>
        <w:t xml:space="preserve"> </w:t>
      </w:r>
      <w:r>
        <w:rPr>
          <w:spacing w:val="-1"/>
        </w:rPr>
        <w:t>upon</w:t>
      </w:r>
      <w:r>
        <w:rPr>
          <w:spacing w:val="41"/>
        </w:rPr>
        <w:t xml:space="preserve"> </w:t>
      </w:r>
      <w:r>
        <w:t>the</w:t>
      </w:r>
      <w:r>
        <w:rPr>
          <w:spacing w:val="38"/>
        </w:rPr>
        <w:t xml:space="preserve"> </w:t>
      </w:r>
      <w:r>
        <w:rPr>
          <w:spacing w:val="-1"/>
        </w:rPr>
        <w:t>form</w:t>
      </w:r>
      <w:r>
        <w:rPr>
          <w:spacing w:val="42"/>
        </w:rPr>
        <w:t xml:space="preserve"> </w:t>
      </w:r>
      <w:r>
        <w:rPr>
          <w:spacing w:val="-1"/>
        </w:rPr>
        <w:t>in</w:t>
      </w:r>
      <w:r>
        <w:rPr>
          <w:spacing w:val="41"/>
        </w:rPr>
        <w:t xml:space="preserve"> </w:t>
      </w:r>
      <w:r>
        <w:rPr>
          <w:spacing w:val="-1"/>
        </w:rPr>
        <w:t>which</w:t>
      </w:r>
      <w:r>
        <w:rPr>
          <w:spacing w:val="41"/>
        </w:rPr>
        <w:t xml:space="preserve"> </w:t>
      </w:r>
      <w:r>
        <w:rPr>
          <w:spacing w:val="-1"/>
        </w:rPr>
        <w:t>such</w:t>
      </w:r>
      <w:r>
        <w:rPr>
          <w:spacing w:val="42"/>
        </w:rPr>
        <w:t xml:space="preserve"> </w:t>
      </w:r>
      <w:r>
        <w:rPr>
          <w:spacing w:val="-1"/>
        </w:rPr>
        <w:t>materials</w:t>
      </w:r>
      <w:r>
        <w:rPr>
          <w:spacing w:val="41"/>
        </w:rPr>
        <w:t xml:space="preserve"> </w:t>
      </w:r>
      <w:r>
        <w:rPr>
          <w:spacing w:val="-1"/>
        </w:rPr>
        <w:t>are</w:t>
      </w:r>
      <w:r>
        <w:rPr>
          <w:spacing w:val="41"/>
        </w:rPr>
        <w:t xml:space="preserve"> </w:t>
      </w:r>
      <w:r>
        <w:rPr>
          <w:spacing w:val="-1"/>
        </w:rPr>
        <w:t>stored</w:t>
      </w:r>
      <w:r>
        <w:rPr>
          <w:spacing w:val="22"/>
        </w:rPr>
        <w:t xml:space="preserve"> </w:t>
      </w:r>
      <w:r>
        <w:rPr>
          <w:spacing w:val="-1"/>
        </w:rPr>
        <w:t>and</w:t>
      </w:r>
      <w:r>
        <w:rPr>
          <w:spacing w:val="6"/>
        </w:rPr>
        <w:t xml:space="preserve"> </w:t>
      </w:r>
      <w:r>
        <w:t>the</w:t>
      </w:r>
      <w:r>
        <w:rPr>
          <w:spacing w:val="6"/>
        </w:rPr>
        <w:t xml:space="preserve"> </w:t>
      </w:r>
      <w:r>
        <w:rPr>
          <w:spacing w:val="-1"/>
        </w:rPr>
        <w:t>nature</w:t>
      </w:r>
      <w:r>
        <w:rPr>
          <w:spacing w:val="6"/>
        </w:rPr>
        <w:t xml:space="preserve"> </w:t>
      </w:r>
      <w:r>
        <w:rPr>
          <w:spacing w:val="-2"/>
        </w:rPr>
        <w:t>of</w:t>
      </w:r>
      <w:r>
        <w:rPr>
          <w:spacing w:val="8"/>
        </w:rPr>
        <w:t xml:space="preserve"> </w:t>
      </w:r>
      <w:r>
        <w:t>the</w:t>
      </w:r>
      <w:r>
        <w:rPr>
          <w:spacing w:val="4"/>
        </w:rPr>
        <w:t xml:space="preserve"> </w:t>
      </w:r>
      <w:r>
        <w:rPr>
          <w:spacing w:val="-1"/>
        </w:rPr>
        <w:t>Confidential</w:t>
      </w:r>
      <w:r>
        <w:rPr>
          <w:spacing w:val="6"/>
        </w:rPr>
        <w:t xml:space="preserve"> </w:t>
      </w:r>
      <w:r>
        <w:rPr>
          <w:spacing w:val="-1"/>
        </w:rPr>
        <w:t>Information</w:t>
      </w:r>
      <w:r>
        <w:rPr>
          <w:spacing w:val="4"/>
        </w:rPr>
        <w:t xml:space="preserve"> </w:t>
      </w:r>
      <w:r>
        <w:rPr>
          <w:spacing w:val="-1"/>
        </w:rPr>
        <w:t>contained</w:t>
      </w:r>
      <w:r>
        <w:t xml:space="preserve"> </w:t>
      </w:r>
      <w:r>
        <w:rPr>
          <w:spacing w:val="6"/>
        </w:rPr>
        <w:t xml:space="preserve"> </w:t>
      </w:r>
      <w:r>
        <w:rPr>
          <w:spacing w:val="-1"/>
        </w:rPr>
        <w:t>in</w:t>
      </w:r>
      <w:r>
        <w:rPr>
          <w:spacing w:val="35"/>
        </w:rPr>
        <w:t xml:space="preserve"> </w:t>
      </w:r>
      <w:r>
        <w:rPr>
          <w:spacing w:val="-1"/>
        </w:rPr>
        <w:t>those</w:t>
      </w:r>
      <w:r>
        <w:rPr>
          <w:spacing w:val="-2"/>
        </w:rPr>
        <w:t xml:space="preserve"> </w:t>
      </w:r>
      <w:r>
        <w:rPr>
          <w:spacing w:val="-1"/>
        </w:rPr>
        <w:t>materials);</w:t>
      </w:r>
      <w:r>
        <w:t xml:space="preserve"> </w:t>
      </w:r>
      <w:r>
        <w:rPr>
          <w:spacing w:val="-1"/>
        </w:rPr>
        <w:t>and</w:t>
      </w:r>
    </w:p>
    <w:p w:rsidR="008918FA" w:rsidRDefault="008918FA" w:rsidP="008918FA">
      <w:pPr>
        <w:pStyle w:val="BodyText"/>
        <w:numPr>
          <w:ilvl w:val="3"/>
          <w:numId w:val="66"/>
        </w:numPr>
        <w:tabs>
          <w:tab w:val="left" w:pos="2594"/>
        </w:tabs>
        <w:spacing w:before="121"/>
        <w:ind w:left="2594" w:right="112"/>
        <w:jc w:val="both"/>
      </w:pPr>
      <w:r>
        <w:rPr>
          <w:spacing w:val="-1"/>
        </w:rPr>
        <w:t>not</w:t>
      </w:r>
      <w:r>
        <w:rPr>
          <w:spacing w:val="38"/>
        </w:rPr>
        <w:t xml:space="preserve"> </w:t>
      </w:r>
      <w:r>
        <w:rPr>
          <w:spacing w:val="-1"/>
        </w:rPr>
        <w:t>disclose</w:t>
      </w:r>
      <w:r>
        <w:rPr>
          <w:spacing w:val="37"/>
        </w:rPr>
        <w:t xml:space="preserve"> </w:t>
      </w:r>
      <w:r>
        <w:t>the</w:t>
      </w:r>
      <w:r>
        <w:rPr>
          <w:spacing w:val="36"/>
        </w:rPr>
        <w:t xml:space="preserve"> </w:t>
      </w:r>
      <w:r>
        <w:rPr>
          <w:spacing w:val="-1"/>
        </w:rPr>
        <w:t>Disclosing</w:t>
      </w:r>
      <w:r>
        <w:rPr>
          <w:spacing w:val="40"/>
        </w:rPr>
        <w:t xml:space="preserve"> </w:t>
      </w:r>
      <w:r>
        <w:rPr>
          <w:spacing w:val="-1"/>
        </w:rPr>
        <w:t>Party's</w:t>
      </w:r>
      <w:r>
        <w:rPr>
          <w:spacing w:val="37"/>
        </w:rPr>
        <w:t xml:space="preserve"> </w:t>
      </w:r>
      <w:r>
        <w:rPr>
          <w:spacing w:val="-1"/>
        </w:rPr>
        <w:t>Confidential</w:t>
      </w:r>
      <w:r>
        <w:rPr>
          <w:spacing w:val="36"/>
        </w:rPr>
        <w:t xml:space="preserve"> </w:t>
      </w:r>
      <w:r>
        <w:rPr>
          <w:spacing w:val="-1"/>
        </w:rPr>
        <w:t>Information</w:t>
      </w:r>
      <w:r>
        <w:rPr>
          <w:spacing w:val="37"/>
        </w:rPr>
        <w:t xml:space="preserve"> </w:t>
      </w:r>
      <w:r>
        <w:t>to</w:t>
      </w:r>
      <w:r>
        <w:rPr>
          <w:spacing w:val="27"/>
        </w:rPr>
        <w:t xml:space="preserve"> </w:t>
      </w:r>
      <w:r>
        <w:rPr>
          <w:spacing w:val="-1"/>
        </w:rPr>
        <w:t>any</w:t>
      </w:r>
      <w:r>
        <w:rPr>
          <w:spacing w:val="34"/>
        </w:rPr>
        <w:t xml:space="preserve"> </w:t>
      </w:r>
      <w:r>
        <w:rPr>
          <w:spacing w:val="-1"/>
        </w:rPr>
        <w:t>other</w:t>
      </w:r>
      <w:r>
        <w:rPr>
          <w:spacing w:val="38"/>
        </w:rPr>
        <w:t xml:space="preserve"> </w:t>
      </w:r>
      <w:r>
        <w:rPr>
          <w:spacing w:val="-1"/>
        </w:rPr>
        <w:t>person</w:t>
      </w:r>
      <w:r>
        <w:rPr>
          <w:spacing w:val="36"/>
        </w:rPr>
        <w:t xml:space="preserve"> </w:t>
      </w:r>
      <w:r>
        <w:rPr>
          <w:spacing w:val="-1"/>
        </w:rPr>
        <w:t>except</w:t>
      </w:r>
      <w:r>
        <w:rPr>
          <w:spacing w:val="38"/>
        </w:rPr>
        <w:t xml:space="preserve"> </w:t>
      </w:r>
      <w:r>
        <w:rPr>
          <w:spacing w:val="-1"/>
        </w:rPr>
        <w:t>as</w:t>
      </w:r>
      <w:r>
        <w:rPr>
          <w:spacing w:val="37"/>
        </w:rPr>
        <w:t xml:space="preserve"> </w:t>
      </w:r>
      <w:r>
        <w:rPr>
          <w:spacing w:val="-1"/>
        </w:rPr>
        <w:t>expressly</w:t>
      </w:r>
      <w:r>
        <w:rPr>
          <w:spacing w:val="34"/>
        </w:rPr>
        <w:t xml:space="preserve"> </w:t>
      </w:r>
      <w:r>
        <w:rPr>
          <w:spacing w:val="-1"/>
        </w:rPr>
        <w:t>set</w:t>
      </w:r>
      <w:r>
        <w:rPr>
          <w:spacing w:val="39"/>
        </w:rPr>
        <w:t xml:space="preserve"> </w:t>
      </w:r>
      <w:r>
        <w:rPr>
          <w:spacing w:val="-1"/>
        </w:rPr>
        <w:t>out</w:t>
      </w:r>
      <w:r>
        <w:rPr>
          <w:spacing w:val="38"/>
        </w:rPr>
        <w:t xml:space="preserve"> </w:t>
      </w:r>
      <w:r>
        <w:t>in</w:t>
      </w:r>
      <w:r>
        <w:rPr>
          <w:spacing w:val="36"/>
        </w:rPr>
        <w:t xml:space="preserve"> </w:t>
      </w:r>
      <w:r>
        <w:rPr>
          <w:spacing w:val="-1"/>
        </w:rPr>
        <w:t>this</w:t>
      </w:r>
      <w:r>
        <w:rPr>
          <w:spacing w:val="37"/>
        </w:rPr>
        <w:t xml:space="preserve"> </w:t>
      </w:r>
      <w:r>
        <w:rPr>
          <w:spacing w:val="-2"/>
        </w:rPr>
        <w:t>Call</w:t>
      </w:r>
      <w:r>
        <w:rPr>
          <w:spacing w:val="38"/>
        </w:rPr>
        <w:t xml:space="preserve"> </w:t>
      </w:r>
      <w:r>
        <w:rPr>
          <w:spacing w:val="-1"/>
        </w:rPr>
        <w:t>Off</w:t>
      </w:r>
      <w:r>
        <w:rPr>
          <w:spacing w:val="45"/>
        </w:rPr>
        <w:t xml:space="preserve"> </w:t>
      </w:r>
      <w:r>
        <w:rPr>
          <w:spacing w:val="-1"/>
        </w:rPr>
        <w:t>Contract</w:t>
      </w:r>
      <w:r>
        <w:rPr>
          <w:spacing w:val="2"/>
        </w:rPr>
        <w:t xml:space="preserve"> </w:t>
      </w:r>
      <w:r>
        <w:rPr>
          <w:spacing w:val="-2"/>
        </w:rPr>
        <w:t>or</w:t>
      </w:r>
      <w:r>
        <w:rPr>
          <w:spacing w:val="2"/>
        </w:rPr>
        <w:t xml:space="preserve"> </w:t>
      </w:r>
      <w:r>
        <w:rPr>
          <w:spacing w:val="-2"/>
        </w:rPr>
        <w:t>without</w:t>
      </w:r>
      <w:r>
        <w:rPr>
          <w:spacing w:val="2"/>
        </w:rPr>
        <w:t xml:space="preserve"> </w:t>
      </w:r>
      <w:r>
        <w:rPr>
          <w:spacing w:val="-2"/>
        </w:rPr>
        <w:t>obtaining</w:t>
      </w:r>
      <w:r>
        <w:t xml:space="preserve"> the </w:t>
      </w:r>
      <w:r>
        <w:rPr>
          <w:spacing w:val="-1"/>
        </w:rPr>
        <w:t>owner's</w:t>
      </w:r>
      <w:r>
        <w:rPr>
          <w:spacing w:val="-2"/>
        </w:rPr>
        <w:t xml:space="preserve"> </w:t>
      </w:r>
      <w:r>
        <w:rPr>
          <w:spacing w:val="-1"/>
        </w:rPr>
        <w:t>prior written</w:t>
      </w:r>
      <w:r>
        <w:rPr>
          <w:spacing w:val="-2"/>
        </w:rPr>
        <w:t xml:space="preserve"> </w:t>
      </w:r>
      <w:r>
        <w:rPr>
          <w:spacing w:val="-1"/>
        </w:rPr>
        <w:t>consent;</w:t>
      </w:r>
    </w:p>
    <w:p w:rsidR="008918FA" w:rsidRDefault="008918FA" w:rsidP="008918FA">
      <w:pPr>
        <w:pStyle w:val="BodyText"/>
        <w:numPr>
          <w:ilvl w:val="3"/>
          <w:numId w:val="66"/>
        </w:numPr>
        <w:tabs>
          <w:tab w:val="left" w:pos="2595"/>
        </w:tabs>
        <w:spacing w:before="121"/>
        <w:ind w:left="2594" w:right="112"/>
        <w:jc w:val="both"/>
      </w:pPr>
      <w:r>
        <w:rPr>
          <w:spacing w:val="-1"/>
        </w:rPr>
        <w:t>not</w:t>
      </w:r>
      <w:r>
        <w:rPr>
          <w:spacing w:val="43"/>
        </w:rPr>
        <w:t xml:space="preserve"> </w:t>
      </w:r>
      <w:r>
        <w:rPr>
          <w:spacing w:val="-1"/>
        </w:rPr>
        <w:t>use</w:t>
      </w:r>
      <w:r>
        <w:rPr>
          <w:spacing w:val="42"/>
        </w:rPr>
        <w:t xml:space="preserve"> </w:t>
      </w:r>
      <w:r>
        <w:rPr>
          <w:spacing w:val="-1"/>
        </w:rPr>
        <w:t>or</w:t>
      </w:r>
      <w:r>
        <w:rPr>
          <w:spacing w:val="42"/>
        </w:rPr>
        <w:t xml:space="preserve"> </w:t>
      </w:r>
      <w:r>
        <w:rPr>
          <w:spacing w:val="-2"/>
        </w:rPr>
        <w:t>exploit</w:t>
      </w:r>
      <w:r>
        <w:rPr>
          <w:spacing w:val="43"/>
        </w:rPr>
        <w:t xml:space="preserve"> </w:t>
      </w:r>
      <w:r>
        <w:t>the</w:t>
      </w:r>
      <w:r>
        <w:rPr>
          <w:spacing w:val="41"/>
        </w:rPr>
        <w:t xml:space="preserve"> </w:t>
      </w:r>
      <w:r>
        <w:rPr>
          <w:spacing w:val="-2"/>
        </w:rPr>
        <w:t>Disclosing</w:t>
      </w:r>
      <w:r>
        <w:rPr>
          <w:spacing w:val="44"/>
        </w:rPr>
        <w:t xml:space="preserve"> </w:t>
      </w:r>
      <w:r>
        <w:rPr>
          <w:spacing w:val="-2"/>
        </w:rPr>
        <w:t>Party’s</w:t>
      </w:r>
      <w:r>
        <w:rPr>
          <w:spacing w:val="45"/>
        </w:rPr>
        <w:t xml:space="preserve"> </w:t>
      </w:r>
      <w:r>
        <w:rPr>
          <w:spacing w:val="-1"/>
        </w:rPr>
        <w:t>Confidential</w:t>
      </w:r>
      <w:r>
        <w:rPr>
          <w:spacing w:val="50"/>
        </w:rPr>
        <w:t xml:space="preserve"> </w:t>
      </w:r>
      <w:r>
        <w:rPr>
          <w:spacing w:val="-1"/>
        </w:rPr>
        <w:t>Information</w:t>
      </w:r>
      <w:r>
        <w:rPr>
          <w:spacing w:val="4"/>
        </w:rPr>
        <w:t xml:space="preserve"> </w:t>
      </w:r>
      <w:r>
        <w:rPr>
          <w:spacing w:val="-1"/>
        </w:rPr>
        <w:t>in</w:t>
      </w:r>
      <w:r>
        <w:rPr>
          <w:spacing w:val="4"/>
        </w:rPr>
        <w:t xml:space="preserve"> </w:t>
      </w:r>
      <w:r>
        <w:rPr>
          <w:spacing w:val="-1"/>
        </w:rPr>
        <w:t>any</w:t>
      </w:r>
      <w:r>
        <w:rPr>
          <w:spacing w:val="4"/>
        </w:rPr>
        <w:t xml:space="preserve"> </w:t>
      </w:r>
      <w:r>
        <w:rPr>
          <w:spacing w:val="-1"/>
        </w:rPr>
        <w:t>way</w:t>
      </w:r>
      <w:r>
        <w:rPr>
          <w:spacing w:val="4"/>
        </w:rPr>
        <w:t xml:space="preserve"> </w:t>
      </w:r>
      <w:r>
        <w:rPr>
          <w:spacing w:val="-1"/>
        </w:rPr>
        <w:t>except</w:t>
      </w:r>
      <w:r>
        <w:rPr>
          <w:spacing w:val="5"/>
        </w:rPr>
        <w:t xml:space="preserve"> </w:t>
      </w:r>
      <w:r>
        <w:t>for</w:t>
      </w:r>
      <w:r>
        <w:rPr>
          <w:spacing w:val="5"/>
        </w:rPr>
        <w:t xml:space="preserve"> </w:t>
      </w:r>
      <w:r>
        <w:rPr>
          <w:spacing w:val="-1"/>
        </w:rPr>
        <w:t>the</w:t>
      </w:r>
      <w:r>
        <w:rPr>
          <w:spacing w:val="5"/>
        </w:rPr>
        <w:t xml:space="preserve"> </w:t>
      </w:r>
      <w:r>
        <w:rPr>
          <w:spacing w:val="-1"/>
        </w:rPr>
        <w:t>purposes</w:t>
      </w:r>
      <w:r>
        <w:rPr>
          <w:spacing w:val="4"/>
        </w:rPr>
        <w:t xml:space="preserve"> </w:t>
      </w:r>
      <w:r>
        <w:rPr>
          <w:spacing w:val="-1"/>
        </w:rPr>
        <w:t>anticipated</w:t>
      </w:r>
      <w:r>
        <w:rPr>
          <w:spacing w:val="20"/>
        </w:rPr>
        <w:t xml:space="preserve"> </w:t>
      </w:r>
      <w:r>
        <w:rPr>
          <w:spacing w:val="-1"/>
        </w:rPr>
        <w:t>under 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and</w:t>
      </w:r>
    </w:p>
    <w:p w:rsidR="008918FA" w:rsidRDefault="008918FA" w:rsidP="008918FA">
      <w:pPr>
        <w:pStyle w:val="BodyText"/>
        <w:numPr>
          <w:ilvl w:val="3"/>
          <w:numId w:val="66"/>
        </w:numPr>
        <w:tabs>
          <w:tab w:val="left" w:pos="2594"/>
        </w:tabs>
        <w:ind w:left="2593" w:right="115" w:hanging="707"/>
        <w:jc w:val="both"/>
      </w:pPr>
      <w:r>
        <w:rPr>
          <w:spacing w:val="-1"/>
        </w:rPr>
        <w:t>immediately</w:t>
      </w:r>
      <w:r>
        <w:rPr>
          <w:spacing w:val="50"/>
        </w:rPr>
        <w:t xml:space="preserve"> </w:t>
      </w:r>
      <w:r>
        <w:t>notify</w:t>
      </w:r>
      <w:r>
        <w:rPr>
          <w:spacing w:val="50"/>
        </w:rPr>
        <w:t xml:space="preserve"> </w:t>
      </w:r>
      <w:r>
        <w:t>the</w:t>
      </w:r>
      <w:r>
        <w:rPr>
          <w:spacing w:val="49"/>
        </w:rPr>
        <w:t xml:space="preserve"> </w:t>
      </w:r>
      <w:r>
        <w:rPr>
          <w:spacing w:val="-2"/>
        </w:rPr>
        <w:t>Disclosing</w:t>
      </w:r>
      <w:r>
        <w:rPr>
          <w:spacing w:val="54"/>
        </w:rPr>
        <w:t xml:space="preserve"> </w:t>
      </w:r>
      <w:r>
        <w:rPr>
          <w:spacing w:val="-1"/>
        </w:rPr>
        <w:t>Party</w:t>
      </w:r>
      <w:r>
        <w:rPr>
          <w:spacing w:val="50"/>
        </w:rPr>
        <w:t xml:space="preserve"> </w:t>
      </w:r>
      <w:r>
        <w:rPr>
          <w:spacing w:val="-1"/>
        </w:rPr>
        <w:t>if</w:t>
      </w:r>
      <w:r>
        <w:rPr>
          <w:spacing w:val="55"/>
        </w:rPr>
        <w:t xml:space="preserve"> </w:t>
      </w:r>
      <w:r>
        <w:rPr>
          <w:spacing w:val="-1"/>
        </w:rPr>
        <w:t>it</w:t>
      </w:r>
      <w:r>
        <w:rPr>
          <w:spacing w:val="54"/>
        </w:rPr>
        <w:t xml:space="preserve"> </w:t>
      </w:r>
      <w:r>
        <w:rPr>
          <w:spacing w:val="-1"/>
        </w:rPr>
        <w:t>suspects</w:t>
      </w:r>
      <w:r>
        <w:rPr>
          <w:spacing w:val="52"/>
        </w:rPr>
        <w:t xml:space="preserve"> </w:t>
      </w:r>
      <w:r>
        <w:rPr>
          <w:spacing w:val="-1"/>
        </w:rPr>
        <w:t>or</w:t>
      </w:r>
      <w:r>
        <w:rPr>
          <w:spacing w:val="40"/>
        </w:rPr>
        <w:t xml:space="preserve"> </w:t>
      </w:r>
      <w:r>
        <w:rPr>
          <w:spacing w:val="-1"/>
        </w:rPr>
        <w:t>becomes</w:t>
      </w:r>
      <w:r>
        <w:rPr>
          <w:spacing w:val="37"/>
        </w:rPr>
        <w:t xml:space="preserve"> </w:t>
      </w:r>
      <w:r>
        <w:rPr>
          <w:spacing w:val="-2"/>
        </w:rPr>
        <w:t>aware</w:t>
      </w:r>
      <w:r>
        <w:rPr>
          <w:spacing w:val="38"/>
        </w:rPr>
        <w:t xml:space="preserve"> </w:t>
      </w:r>
      <w:r>
        <w:rPr>
          <w:spacing w:val="-2"/>
        </w:rPr>
        <w:t>of</w:t>
      </w:r>
      <w:r>
        <w:rPr>
          <w:spacing w:val="42"/>
        </w:rPr>
        <w:t xml:space="preserve"> </w:t>
      </w:r>
      <w:r>
        <w:rPr>
          <w:spacing w:val="-1"/>
        </w:rPr>
        <w:t>any</w:t>
      </w:r>
      <w:r>
        <w:rPr>
          <w:spacing w:val="34"/>
        </w:rPr>
        <w:t xml:space="preserve"> </w:t>
      </w:r>
      <w:r>
        <w:rPr>
          <w:spacing w:val="-1"/>
        </w:rPr>
        <w:t>unauthorised</w:t>
      </w:r>
      <w:r>
        <w:rPr>
          <w:spacing w:val="38"/>
        </w:rPr>
        <w:t xml:space="preserve"> </w:t>
      </w:r>
      <w:r>
        <w:rPr>
          <w:spacing w:val="-2"/>
        </w:rPr>
        <w:t>access,</w:t>
      </w:r>
      <w:r>
        <w:rPr>
          <w:spacing w:val="40"/>
        </w:rPr>
        <w:t xml:space="preserve"> </w:t>
      </w:r>
      <w:r>
        <w:rPr>
          <w:spacing w:val="-2"/>
        </w:rPr>
        <w:t>copying,</w:t>
      </w:r>
      <w:r>
        <w:rPr>
          <w:spacing w:val="41"/>
        </w:rPr>
        <w:t xml:space="preserve"> </w:t>
      </w:r>
      <w:r>
        <w:rPr>
          <w:spacing w:val="-1"/>
        </w:rPr>
        <w:t>use</w:t>
      </w:r>
      <w:r>
        <w:rPr>
          <w:spacing w:val="36"/>
        </w:rPr>
        <w:t xml:space="preserve"> </w:t>
      </w:r>
      <w:r>
        <w:rPr>
          <w:spacing w:val="-1"/>
        </w:rPr>
        <w:t>or</w:t>
      </w:r>
      <w:r>
        <w:rPr>
          <w:spacing w:val="54"/>
        </w:rPr>
        <w:t xml:space="preserve"> </w:t>
      </w:r>
      <w:r>
        <w:rPr>
          <w:spacing w:val="-1"/>
        </w:rPr>
        <w:t>disclosure</w:t>
      </w:r>
      <w:r>
        <w:rPr>
          <w:spacing w:val="49"/>
        </w:rPr>
        <w:t xml:space="preserve"> </w:t>
      </w:r>
      <w:r>
        <w:rPr>
          <w:spacing w:val="-1"/>
        </w:rPr>
        <w:t>in</w:t>
      </w:r>
      <w:r>
        <w:rPr>
          <w:spacing w:val="49"/>
        </w:rPr>
        <w:t xml:space="preserve"> </w:t>
      </w:r>
      <w:r>
        <w:rPr>
          <w:spacing w:val="-1"/>
        </w:rPr>
        <w:t>any</w:t>
      </w:r>
      <w:r>
        <w:rPr>
          <w:spacing w:val="47"/>
        </w:rPr>
        <w:t xml:space="preserve"> </w:t>
      </w:r>
      <w:r>
        <w:t>form</w:t>
      </w:r>
      <w:r>
        <w:rPr>
          <w:spacing w:val="51"/>
        </w:rPr>
        <w:t xml:space="preserve"> </w:t>
      </w:r>
      <w:r>
        <w:rPr>
          <w:spacing w:val="-2"/>
        </w:rPr>
        <w:t>of</w:t>
      </w:r>
      <w:r>
        <w:rPr>
          <w:spacing w:val="53"/>
        </w:rPr>
        <w:t xml:space="preserve"> </w:t>
      </w:r>
      <w:r>
        <w:rPr>
          <w:spacing w:val="-1"/>
        </w:rPr>
        <w:t>any</w:t>
      </w:r>
      <w:r>
        <w:rPr>
          <w:spacing w:val="47"/>
        </w:rPr>
        <w:t xml:space="preserve"> </w:t>
      </w:r>
      <w:r>
        <w:rPr>
          <w:spacing w:val="-2"/>
        </w:rPr>
        <w:t>of</w:t>
      </w:r>
      <w:r>
        <w:rPr>
          <w:spacing w:val="54"/>
        </w:rPr>
        <w:t xml:space="preserve"> </w:t>
      </w:r>
      <w:r>
        <w:t>the</w:t>
      </w:r>
      <w:r>
        <w:rPr>
          <w:spacing w:val="49"/>
        </w:rPr>
        <w:t xml:space="preserve"> </w:t>
      </w:r>
      <w:r>
        <w:rPr>
          <w:spacing w:val="-2"/>
        </w:rPr>
        <w:t>Disclosing</w:t>
      </w:r>
      <w:r>
        <w:rPr>
          <w:spacing w:val="52"/>
        </w:rPr>
        <w:t xml:space="preserve"> </w:t>
      </w:r>
      <w:r>
        <w:rPr>
          <w:spacing w:val="-1"/>
        </w:rPr>
        <w:t>Party’s</w:t>
      </w:r>
      <w:r>
        <w:rPr>
          <w:spacing w:val="29"/>
        </w:rPr>
        <w:t xml:space="preserve"> </w:t>
      </w:r>
      <w:r>
        <w:rPr>
          <w:spacing w:val="-1"/>
        </w:rPr>
        <w:t>Confidential</w:t>
      </w:r>
      <w:r>
        <w:t xml:space="preserve"> </w:t>
      </w:r>
      <w:r>
        <w:rPr>
          <w:spacing w:val="-1"/>
        </w:rPr>
        <w:t>Information.</w:t>
      </w:r>
    </w:p>
    <w:p w:rsidR="008918FA" w:rsidRDefault="008918FA" w:rsidP="008918FA">
      <w:pPr>
        <w:pStyle w:val="BodyText"/>
        <w:numPr>
          <w:ilvl w:val="2"/>
          <w:numId w:val="66"/>
        </w:numPr>
        <w:tabs>
          <w:tab w:val="left" w:pos="1886"/>
        </w:tabs>
        <w:spacing w:before="121"/>
        <w:ind w:left="1885" w:right="117" w:hanging="993"/>
        <w:jc w:val="both"/>
      </w:pPr>
      <w:r>
        <w:t>The</w:t>
      </w:r>
      <w:r>
        <w:rPr>
          <w:spacing w:val="12"/>
        </w:rPr>
        <w:t xml:space="preserve"> </w:t>
      </w:r>
      <w:r>
        <w:rPr>
          <w:spacing w:val="-2"/>
        </w:rPr>
        <w:t>Recipient</w:t>
      </w:r>
      <w:r>
        <w:rPr>
          <w:spacing w:val="14"/>
        </w:rPr>
        <w:t xml:space="preserve"> </w:t>
      </w:r>
      <w:r>
        <w:rPr>
          <w:spacing w:val="-1"/>
        </w:rPr>
        <w:t>shall</w:t>
      </w:r>
      <w:r>
        <w:rPr>
          <w:spacing w:val="12"/>
        </w:rPr>
        <w:t xml:space="preserve"> </w:t>
      </w:r>
      <w:r>
        <w:rPr>
          <w:spacing w:val="-1"/>
        </w:rPr>
        <w:t>be</w:t>
      </w:r>
      <w:r>
        <w:rPr>
          <w:spacing w:val="12"/>
        </w:rPr>
        <w:t xml:space="preserve"> </w:t>
      </w:r>
      <w:r>
        <w:rPr>
          <w:spacing w:val="-1"/>
        </w:rPr>
        <w:t>entitled</w:t>
      </w:r>
      <w:r>
        <w:rPr>
          <w:spacing w:val="12"/>
        </w:rPr>
        <w:t xml:space="preserve"> </w:t>
      </w:r>
      <w:r>
        <w:t>to</w:t>
      </w:r>
      <w:r>
        <w:rPr>
          <w:spacing w:val="12"/>
        </w:rPr>
        <w:t xml:space="preserve"> </w:t>
      </w:r>
      <w:r>
        <w:rPr>
          <w:spacing w:val="-1"/>
        </w:rPr>
        <w:t>disclose</w:t>
      </w:r>
      <w:r>
        <w:rPr>
          <w:spacing w:val="13"/>
        </w:rPr>
        <w:t xml:space="preserve"> </w:t>
      </w:r>
      <w:r>
        <w:t>the</w:t>
      </w:r>
      <w:r>
        <w:rPr>
          <w:spacing w:val="12"/>
        </w:rPr>
        <w:t xml:space="preserve"> </w:t>
      </w:r>
      <w:r>
        <w:rPr>
          <w:spacing w:val="-1"/>
        </w:rPr>
        <w:t>Confidential</w:t>
      </w:r>
      <w:r>
        <w:rPr>
          <w:spacing w:val="12"/>
        </w:rPr>
        <w:t xml:space="preserve"> </w:t>
      </w:r>
      <w:r>
        <w:rPr>
          <w:spacing w:val="-1"/>
        </w:rPr>
        <w:t>Information</w:t>
      </w:r>
      <w:r>
        <w:rPr>
          <w:spacing w:val="40"/>
        </w:rPr>
        <w:t xml:space="preserve"> </w:t>
      </w:r>
      <w:r>
        <w:rPr>
          <w:spacing w:val="-2"/>
        </w:rPr>
        <w:t>of</w:t>
      </w:r>
      <w:r>
        <w:rPr>
          <w:spacing w:val="2"/>
        </w:rPr>
        <w:t xml:space="preserve"> </w:t>
      </w:r>
      <w:r>
        <w:t xml:space="preserve">the </w:t>
      </w:r>
      <w:r>
        <w:rPr>
          <w:spacing w:val="-2"/>
        </w:rPr>
        <w:t>Disclosing</w:t>
      </w:r>
      <w:r>
        <w:t xml:space="preserve"> </w:t>
      </w:r>
      <w:r>
        <w:rPr>
          <w:spacing w:val="-1"/>
        </w:rPr>
        <w:t>Party</w:t>
      </w:r>
      <w:r>
        <w:rPr>
          <w:spacing w:val="-2"/>
        </w:rPr>
        <w:t xml:space="preserve"> </w:t>
      </w:r>
      <w:r>
        <w:rPr>
          <w:spacing w:val="-1"/>
        </w:rPr>
        <w:t>where:</w:t>
      </w:r>
    </w:p>
    <w:p w:rsidR="008918FA" w:rsidRDefault="008918FA" w:rsidP="008918FA">
      <w:pPr>
        <w:pStyle w:val="BodyText"/>
        <w:numPr>
          <w:ilvl w:val="3"/>
          <w:numId w:val="66"/>
        </w:numPr>
        <w:tabs>
          <w:tab w:val="left" w:pos="2594"/>
        </w:tabs>
        <w:spacing w:before="121"/>
        <w:ind w:left="2593" w:right="116"/>
        <w:jc w:val="both"/>
      </w:pPr>
      <w:r>
        <w:t>the</w:t>
      </w:r>
      <w:r>
        <w:rPr>
          <w:spacing w:val="41"/>
        </w:rPr>
        <w:t xml:space="preserve"> </w:t>
      </w:r>
      <w:r>
        <w:rPr>
          <w:spacing w:val="-2"/>
        </w:rPr>
        <w:t>Recipient</w:t>
      </w:r>
      <w:r>
        <w:rPr>
          <w:spacing w:val="43"/>
        </w:rPr>
        <w:t xml:space="preserve"> </w:t>
      </w:r>
      <w:r>
        <w:rPr>
          <w:spacing w:val="-1"/>
        </w:rPr>
        <w:t>is</w:t>
      </w:r>
      <w:r>
        <w:rPr>
          <w:spacing w:val="42"/>
        </w:rPr>
        <w:t xml:space="preserve"> </w:t>
      </w:r>
      <w:r>
        <w:rPr>
          <w:spacing w:val="-1"/>
        </w:rPr>
        <w:t>required</w:t>
      </w:r>
      <w:r>
        <w:rPr>
          <w:spacing w:val="41"/>
        </w:rPr>
        <w:t xml:space="preserve"> </w:t>
      </w:r>
      <w:r>
        <w:t>to</w:t>
      </w:r>
      <w:r>
        <w:rPr>
          <w:spacing w:val="41"/>
        </w:rPr>
        <w:t xml:space="preserve"> </w:t>
      </w:r>
      <w:r>
        <w:rPr>
          <w:spacing w:val="-1"/>
        </w:rPr>
        <w:t>disclose</w:t>
      </w:r>
      <w:r>
        <w:rPr>
          <w:spacing w:val="42"/>
        </w:rPr>
        <w:t xml:space="preserve"> </w:t>
      </w:r>
      <w:r>
        <w:t>the</w:t>
      </w:r>
      <w:r>
        <w:rPr>
          <w:spacing w:val="40"/>
        </w:rPr>
        <w:t xml:space="preserve"> </w:t>
      </w:r>
      <w:r>
        <w:rPr>
          <w:spacing w:val="-1"/>
        </w:rPr>
        <w:t>Confidential</w:t>
      </w:r>
      <w:r>
        <w:rPr>
          <w:spacing w:val="20"/>
        </w:rPr>
        <w:t xml:space="preserve"> </w:t>
      </w:r>
      <w:r>
        <w:rPr>
          <w:spacing w:val="-1"/>
        </w:rPr>
        <w:t>Information</w:t>
      </w:r>
      <w:r>
        <w:rPr>
          <w:spacing w:val="4"/>
        </w:rPr>
        <w:t xml:space="preserve"> </w:t>
      </w:r>
      <w:r>
        <w:rPr>
          <w:spacing w:val="-1"/>
        </w:rPr>
        <w:t>by</w:t>
      </w:r>
      <w:r>
        <w:rPr>
          <w:spacing w:val="2"/>
        </w:rPr>
        <w:t xml:space="preserve"> </w:t>
      </w:r>
      <w:r>
        <w:rPr>
          <w:spacing w:val="-1"/>
        </w:rPr>
        <w:t>Law,</w:t>
      </w:r>
      <w:r>
        <w:rPr>
          <w:spacing w:val="5"/>
        </w:rPr>
        <w:t xml:space="preserve"> </w:t>
      </w:r>
      <w:r>
        <w:rPr>
          <w:spacing w:val="-2"/>
        </w:rPr>
        <w:t>provided</w:t>
      </w:r>
      <w:r>
        <w:rPr>
          <w:spacing w:val="4"/>
        </w:rPr>
        <w:t xml:space="preserve"> </w:t>
      </w:r>
      <w:r>
        <w:rPr>
          <w:spacing w:val="-1"/>
        </w:rPr>
        <w:t>that</w:t>
      </w:r>
      <w:r>
        <w:rPr>
          <w:spacing w:val="5"/>
        </w:rPr>
        <w:t xml:space="preserve"> </w:t>
      </w:r>
      <w:r>
        <w:rPr>
          <w:spacing w:val="-1"/>
        </w:rPr>
        <w:t>Clause</w:t>
      </w:r>
      <w:r>
        <w:rPr>
          <w:spacing w:val="1"/>
        </w:rPr>
        <w:t xml:space="preserve"> </w:t>
      </w:r>
      <w:hyperlink w:anchor="_bookmark191" w:history="1">
        <w:r>
          <w:rPr>
            <w:spacing w:val="-1"/>
          </w:rPr>
          <w:t>34.5</w:t>
        </w:r>
      </w:hyperlink>
      <w:r>
        <w:rPr>
          <w:spacing w:val="4"/>
        </w:rPr>
        <w:t xml:space="preserve"> </w:t>
      </w:r>
      <w:r>
        <w:rPr>
          <w:spacing w:val="-1"/>
        </w:rPr>
        <w:t>(Freedom</w:t>
      </w:r>
      <w:r>
        <w:rPr>
          <w:spacing w:val="5"/>
        </w:rPr>
        <w:t xml:space="preserve"> </w:t>
      </w:r>
      <w:r>
        <w:rPr>
          <w:spacing w:val="-2"/>
        </w:rPr>
        <w:t>of</w:t>
      </w:r>
      <w:r>
        <w:rPr>
          <w:spacing w:val="49"/>
        </w:rPr>
        <w:t xml:space="preserve"> </w:t>
      </w:r>
      <w:r>
        <w:rPr>
          <w:spacing w:val="-1"/>
        </w:rPr>
        <w:t>Information)</w:t>
      </w:r>
      <w:r>
        <w:rPr>
          <w:spacing w:val="14"/>
        </w:rPr>
        <w:t xml:space="preserve"> </w:t>
      </w:r>
      <w:r>
        <w:rPr>
          <w:spacing w:val="-1"/>
        </w:rPr>
        <w:t>shall</w:t>
      </w:r>
      <w:r>
        <w:rPr>
          <w:spacing w:val="12"/>
        </w:rPr>
        <w:t xml:space="preserve"> </w:t>
      </w:r>
      <w:r>
        <w:rPr>
          <w:spacing w:val="-1"/>
        </w:rPr>
        <w:t>apply</w:t>
      </w:r>
      <w:r>
        <w:rPr>
          <w:spacing w:val="10"/>
        </w:rPr>
        <w:t xml:space="preserve"> </w:t>
      </w:r>
      <w:r>
        <w:rPr>
          <w:spacing w:val="-1"/>
        </w:rPr>
        <w:t>to</w:t>
      </w:r>
      <w:r>
        <w:rPr>
          <w:spacing w:val="12"/>
        </w:rPr>
        <w:t xml:space="preserve"> </w:t>
      </w:r>
      <w:r>
        <w:rPr>
          <w:spacing w:val="-1"/>
        </w:rPr>
        <w:t>disclosures</w:t>
      </w:r>
      <w:r>
        <w:rPr>
          <w:spacing w:val="13"/>
        </w:rPr>
        <w:t xml:space="preserve"> </w:t>
      </w:r>
      <w:r>
        <w:rPr>
          <w:spacing w:val="-1"/>
        </w:rPr>
        <w:t>required</w:t>
      </w:r>
      <w:r>
        <w:rPr>
          <w:spacing w:val="12"/>
        </w:rPr>
        <w:t xml:space="preserve"> </w:t>
      </w:r>
      <w:r>
        <w:rPr>
          <w:spacing w:val="-2"/>
        </w:rPr>
        <w:t>under</w:t>
      </w:r>
      <w:r>
        <w:rPr>
          <w:spacing w:val="14"/>
        </w:rPr>
        <w:t xml:space="preserve"> </w:t>
      </w:r>
      <w:r>
        <w:t>the</w:t>
      </w:r>
      <w:r>
        <w:rPr>
          <w:spacing w:val="10"/>
        </w:rPr>
        <w:t xml:space="preserve"> </w:t>
      </w:r>
      <w:r>
        <w:rPr>
          <w:spacing w:val="-1"/>
        </w:rPr>
        <w:t>FOIA</w:t>
      </w:r>
      <w:r>
        <w:rPr>
          <w:spacing w:val="29"/>
        </w:rPr>
        <w:t xml:space="preserve"> </w:t>
      </w:r>
      <w:r>
        <w:rPr>
          <w:spacing w:val="-1"/>
        </w:rPr>
        <w:t xml:space="preserve">or </w:t>
      </w:r>
      <w:r>
        <w:t xml:space="preserve">the </w:t>
      </w:r>
      <w:r>
        <w:rPr>
          <w:spacing w:val="-1"/>
        </w:rPr>
        <w:t>EIRs;</w:t>
      </w:r>
    </w:p>
    <w:p w:rsidR="008918FA" w:rsidRDefault="008918FA" w:rsidP="008918FA">
      <w:pPr>
        <w:pStyle w:val="BodyText"/>
        <w:numPr>
          <w:ilvl w:val="3"/>
          <w:numId w:val="66"/>
        </w:numPr>
        <w:tabs>
          <w:tab w:val="left" w:pos="2594"/>
        </w:tabs>
        <w:ind w:left="2593"/>
      </w:pPr>
      <w:r>
        <w:t xml:space="preserve">the </w:t>
      </w:r>
      <w:r>
        <w:rPr>
          <w:spacing w:val="-1"/>
        </w:rPr>
        <w:t>need</w:t>
      </w:r>
      <w:r>
        <w:rPr>
          <w:spacing w:val="-4"/>
        </w:rPr>
        <w:t xml:space="preserve"> </w:t>
      </w:r>
      <w:r>
        <w:t>for</w:t>
      </w:r>
      <w:r>
        <w:rPr>
          <w:spacing w:val="2"/>
        </w:rPr>
        <w:t xml:space="preserve"> </w:t>
      </w:r>
      <w:r>
        <w:rPr>
          <w:spacing w:val="-2"/>
        </w:rPr>
        <w:t>such</w:t>
      </w:r>
      <w:r>
        <w:rPr>
          <w:spacing w:val="1"/>
        </w:rPr>
        <w:t xml:space="preserve"> </w:t>
      </w:r>
      <w:r>
        <w:rPr>
          <w:spacing w:val="-2"/>
        </w:rPr>
        <w:t>disclosure</w:t>
      </w:r>
      <w:r>
        <w:t xml:space="preserve"> </w:t>
      </w:r>
      <w:r>
        <w:rPr>
          <w:spacing w:val="-1"/>
        </w:rPr>
        <w:t>arises</w:t>
      </w:r>
      <w:r>
        <w:rPr>
          <w:spacing w:val="1"/>
        </w:rPr>
        <w:t xml:space="preserve"> </w:t>
      </w:r>
      <w:r>
        <w:rPr>
          <w:spacing w:val="-2"/>
        </w:rPr>
        <w:t>out</w:t>
      </w:r>
      <w:r>
        <w:rPr>
          <w:spacing w:val="2"/>
        </w:rPr>
        <w:t xml:space="preserve"> </w:t>
      </w:r>
      <w:r>
        <w:rPr>
          <w:spacing w:val="-2"/>
        </w:rPr>
        <w:t>of</w:t>
      </w:r>
      <w:r>
        <w:rPr>
          <w:spacing w:val="2"/>
        </w:rPr>
        <w:t xml:space="preserve"> </w:t>
      </w:r>
      <w:r>
        <w:rPr>
          <w:spacing w:val="-2"/>
        </w:rPr>
        <w:t>or</w:t>
      </w:r>
      <w:r>
        <w:rPr>
          <w:spacing w:val="2"/>
        </w:rPr>
        <w:t xml:space="preserve"> </w:t>
      </w:r>
      <w:r>
        <w:rPr>
          <w:spacing w:val="-1"/>
        </w:rPr>
        <w:t>in</w:t>
      </w:r>
      <w:r>
        <w:rPr>
          <w:spacing w:val="-2"/>
        </w:rPr>
        <w:t xml:space="preserve"> </w:t>
      </w:r>
      <w:r>
        <w:rPr>
          <w:spacing w:val="-1"/>
        </w:rPr>
        <w:t>connection</w:t>
      </w:r>
      <w:r>
        <w:t xml:space="preserve"> </w:t>
      </w:r>
      <w:r>
        <w:rPr>
          <w:spacing w:val="-2"/>
        </w:rPr>
        <w:t>with:</w:t>
      </w:r>
    </w:p>
    <w:p w:rsidR="008918FA" w:rsidRDefault="008918FA" w:rsidP="008918FA">
      <w:pPr>
        <w:sectPr w:rsidR="008918FA">
          <w:pgSz w:w="11910" w:h="16840"/>
          <w:pgMar w:top="1480" w:right="1300" w:bottom="1180" w:left="1680" w:header="0" w:footer="967" w:gutter="0"/>
          <w:cols w:space="720"/>
        </w:sectPr>
      </w:pPr>
    </w:p>
    <w:p w:rsidR="008918FA" w:rsidRDefault="008918FA" w:rsidP="008918FA">
      <w:pPr>
        <w:pStyle w:val="BodyText"/>
        <w:numPr>
          <w:ilvl w:val="4"/>
          <w:numId w:val="66"/>
        </w:numPr>
        <w:tabs>
          <w:tab w:val="left" w:pos="3164"/>
        </w:tabs>
        <w:spacing w:before="59"/>
        <w:ind w:left="3163" w:right="115"/>
        <w:jc w:val="both"/>
      </w:pPr>
      <w:r>
        <w:rPr>
          <w:spacing w:val="-1"/>
        </w:rPr>
        <w:t>any</w:t>
      </w:r>
      <w:r>
        <w:rPr>
          <w:spacing w:val="41"/>
        </w:rPr>
        <w:t xml:space="preserve"> </w:t>
      </w:r>
      <w:r>
        <w:rPr>
          <w:spacing w:val="-1"/>
        </w:rPr>
        <w:t>legal</w:t>
      </w:r>
      <w:r>
        <w:rPr>
          <w:spacing w:val="43"/>
        </w:rPr>
        <w:t xml:space="preserve"> </w:t>
      </w:r>
      <w:r>
        <w:rPr>
          <w:spacing w:val="-1"/>
        </w:rPr>
        <w:t>challenge</w:t>
      </w:r>
      <w:r>
        <w:rPr>
          <w:spacing w:val="43"/>
        </w:rPr>
        <w:t xml:space="preserve"> </w:t>
      </w:r>
      <w:r>
        <w:rPr>
          <w:spacing w:val="-1"/>
        </w:rPr>
        <w:t>or</w:t>
      </w:r>
      <w:r>
        <w:rPr>
          <w:spacing w:val="42"/>
        </w:rPr>
        <w:t xml:space="preserve"> </w:t>
      </w:r>
      <w:r>
        <w:rPr>
          <w:spacing w:val="-1"/>
        </w:rPr>
        <w:t>potential</w:t>
      </w:r>
      <w:r>
        <w:rPr>
          <w:spacing w:val="43"/>
        </w:rPr>
        <w:t xml:space="preserve"> </w:t>
      </w:r>
      <w:r>
        <w:rPr>
          <w:spacing w:val="-1"/>
        </w:rPr>
        <w:t>legal</w:t>
      </w:r>
      <w:r>
        <w:rPr>
          <w:spacing w:val="43"/>
        </w:rPr>
        <w:t xml:space="preserve"> </w:t>
      </w:r>
      <w:r>
        <w:rPr>
          <w:spacing w:val="-1"/>
        </w:rPr>
        <w:t>challenge</w:t>
      </w:r>
      <w:r>
        <w:rPr>
          <w:spacing w:val="42"/>
        </w:rPr>
        <w:t xml:space="preserve"> </w:t>
      </w:r>
      <w:r>
        <w:rPr>
          <w:spacing w:val="-1"/>
        </w:rPr>
        <w:t>against</w:t>
      </w:r>
      <w:r>
        <w:rPr>
          <w:spacing w:val="46"/>
        </w:rPr>
        <w:t xml:space="preserve"> </w:t>
      </w:r>
      <w:r>
        <w:t>the</w:t>
      </w:r>
      <w:r>
        <w:rPr>
          <w:spacing w:val="7"/>
        </w:rPr>
        <w:t xml:space="preserve"> </w:t>
      </w:r>
      <w:r>
        <w:rPr>
          <w:spacing w:val="-1"/>
        </w:rPr>
        <w:t>Customer</w:t>
      </w:r>
      <w:r>
        <w:rPr>
          <w:spacing w:val="9"/>
        </w:rPr>
        <w:t xml:space="preserve"> </w:t>
      </w:r>
      <w:r>
        <w:rPr>
          <w:spacing w:val="-1"/>
        </w:rPr>
        <w:t>arising</w:t>
      </w:r>
      <w:r>
        <w:rPr>
          <w:spacing w:val="10"/>
        </w:rPr>
        <w:t xml:space="preserve"> </w:t>
      </w:r>
      <w:r>
        <w:rPr>
          <w:spacing w:val="-1"/>
        </w:rPr>
        <w:t>out</w:t>
      </w:r>
      <w:r>
        <w:rPr>
          <w:spacing w:val="7"/>
        </w:rPr>
        <w:t xml:space="preserve"> </w:t>
      </w:r>
      <w:r>
        <w:rPr>
          <w:spacing w:val="-1"/>
        </w:rPr>
        <w:t>of</w:t>
      </w:r>
      <w:r>
        <w:rPr>
          <w:spacing w:val="11"/>
        </w:rPr>
        <w:t xml:space="preserve"> </w:t>
      </w:r>
      <w:r>
        <w:rPr>
          <w:spacing w:val="-1"/>
        </w:rPr>
        <w:t>or</w:t>
      </w:r>
      <w:r>
        <w:rPr>
          <w:spacing w:val="9"/>
        </w:rPr>
        <w:t xml:space="preserve"> </w:t>
      </w:r>
      <w:r>
        <w:rPr>
          <w:spacing w:val="-1"/>
        </w:rPr>
        <w:t>in</w:t>
      </w:r>
      <w:r>
        <w:rPr>
          <w:spacing w:val="7"/>
        </w:rPr>
        <w:t xml:space="preserve"> </w:t>
      </w:r>
      <w:r>
        <w:rPr>
          <w:spacing w:val="-1"/>
        </w:rPr>
        <w:t>connection</w:t>
      </w:r>
      <w:r>
        <w:rPr>
          <w:spacing w:val="7"/>
        </w:rPr>
        <w:t xml:space="preserve"> </w:t>
      </w:r>
      <w:r>
        <w:rPr>
          <w:spacing w:val="-1"/>
        </w:rPr>
        <w:t>with</w:t>
      </w:r>
      <w:r>
        <w:rPr>
          <w:spacing w:val="10"/>
        </w:rPr>
        <w:t xml:space="preserve"> </w:t>
      </w:r>
      <w:r>
        <w:rPr>
          <w:spacing w:val="-1"/>
        </w:rPr>
        <w:t>this</w:t>
      </w:r>
      <w:r>
        <w:rPr>
          <w:spacing w:val="8"/>
        </w:rPr>
        <w:t xml:space="preserve"> </w:t>
      </w:r>
      <w:r>
        <w:rPr>
          <w:spacing w:val="-2"/>
        </w:rPr>
        <w:t>Call</w:t>
      </w:r>
      <w:r>
        <w:rPr>
          <w:spacing w:val="29"/>
        </w:rPr>
        <w:t xml:space="preserve"> </w:t>
      </w:r>
      <w:r>
        <w:rPr>
          <w:spacing w:val="-1"/>
        </w:rPr>
        <w:t>Off</w:t>
      </w:r>
      <w:r>
        <w:rPr>
          <w:spacing w:val="2"/>
        </w:rPr>
        <w:t xml:space="preserve"> </w:t>
      </w:r>
      <w:r>
        <w:rPr>
          <w:spacing w:val="-1"/>
        </w:rPr>
        <w:t>Contract;</w:t>
      </w:r>
    </w:p>
    <w:p w:rsidR="008918FA" w:rsidRDefault="008918FA" w:rsidP="008918FA">
      <w:pPr>
        <w:pStyle w:val="BodyText"/>
        <w:numPr>
          <w:ilvl w:val="4"/>
          <w:numId w:val="66"/>
        </w:numPr>
        <w:tabs>
          <w:tab w:val="left" w:pos="3164"/>
        </w:tabs>
        <w:ind w:left="3163" w:right="113"/>
        <w:jc w:val="both"/>
      </w:pPr>
      <w:r>
        <w:t>the</w:t>
      </w:r>
      <w:r>
        <w:rPr>
          <w:spacing w:val="57"/>
        </w:rPr>
        <w:t xml:space="preserve"> </w:t>
      </w:r>
      <w:r>
        <w:rPr>
          <w:spacing w:val="-1"/>
        </w:rPr>
        <w:t>examination</w:t>
      </w:r>
      <w:r>
        <w:rPr>
          <w:spacing w:val="57"/>
        </w:rPr>
        <w:t xml:space="preserve"> </w:t>
      </w:r>
      <w:r>
        <w:rPr>
          <w:spacing w:val="-1"/>
        </w:rPr>
        <w:t>and</w:t>
      </w:r>
      <w:r>
        <w:rPr>
          <w:spacing w:val="57"/>
        </w:rPr>
        <w:t xml:space="preserve"> </w:t>
      </w:r>
      <w:r>
        <w:rPr>
          <w:spacing w:val="-1"/>
        </w:rPr>
        <w:t>certification</w:t>
      </w:r>
      <w:r>
        <w:rPr>
          <w:spacing w:val="57"/>
        </w:rPr>
        <w:t xml:space="preserve"> </w:t>
      </w:r>
      <w:r>
        <w:rPr>
          <w:spacing w:val="-2"/>
        </w:rPr>
        <w:t>of</w:t>
      </w:r>
      <w:r>
        <w:rPr>
          <w:spacing w:val="60"/>
        </w:rPr>
        <w:t xml:space="preserve"> </w:t>
      </w:r>
      <w:r>
        <w:t>the</w:t>
      </w:r>
      <w:r>
        <w:rPr>
          <w:spacing w:val="57"/>
        </w:rPr>
        <w:t xml:space="preserve"> </w:t>
      </w:r>
      <w:r>
        <w:rPr>
          <w:spacing w:val="-2"/>
        </w:rPr>
        <w:t>Customer's</w:t>
      </w:r>
      <w:r>
        <w:rPr>
          <w:spacing w:val="31"/>
        </w:rPr>
        <w:t xml:space="preserve"> </w:t>
      </w:r>
      <w:r>
        <w:rPr>
          <w:spacing w:val="-1"/>
        </w:rPr>
        <w:t>accounts</w:t>
      </w:r>
      <w:r>
        <w:rPr>
          <w:spacing w:val="14"/>
        </w:rPr>
        <w:t xml:space="preserve"> </w:t>
      </w:r>
      <w:r>
        <w:rPr>
          <w:spacing w:val="-1"/>
        </w:rPr>
        <w:t>(provided</w:t>
      </w:r>
      <w:r>
        <w:rPr>
          <w:spacing w:val="16"/>
        </w:rPr>
        <w:t xml:space="preserve"> </w:t>
      </w:r>
      <w:r>
        <w:rPr>
          <w:spacing w:val="-1"/>
        </w:rPr>
        <w:t>that</w:t>
      </w:r>
      <w:r>
        <w:rPr>
          <w:spacing w:val="15"/>
        </w:rPr>
        <w:t xml:space="preserve"> </w:t>
      </w:r>
      <w:r>
        <w:t>the</w:t>
      </w:r>
      <w:r>
        <w:rPr>
          <w:spacing w:val="16"/>
        </w:rPr>
        <w:t xml:space="preserve"> </w:t>
      </w:r>
      <w:r>
        <w:rPr>
          <w:spacing w:val="-1"/>
        </w:rPr>
        <w:t>disclosure</w:t>
      </w:r>
      <w:r>
        <w:rPr>
          <w:spacing w:val="16"/>
        </w:rPr>
        <w:t xml:space="preserve"> </w:t>
      </w:r>
      <w:r>
        <w:rPr>
          <w:spacing w:val="-1"/>
        </w:rPr>
        <w:t>is</w:t>
      </w:r>
      <w:r>
        <w:rPr>
          <w:spacing w:val="14"/>
        </w:rPr>
        <w:t xml:space="preserve"> </w:t>
      </w:r>
      <w:r>
        <w:rPr>
          <w:spacing w:val="-1"/>
        </w:rPr>
        <w:t>made</w:t>
      </w:r>
      <w:r>
        <w:rPr>
          <w:spacing w:val="16"/>
        </w:rPr>
        <w:t xml:space="preserve"> </w:t>
      </w:r>
      <w:r>
        <w:rPr>
          <w:spacing w:val="-1"/>
        </w:rPr>
        <w:t>on</w:t>
      </w:r>
      <w:r>
        <w:rPr>
          <w:spacing w:val="16"/>
        </w:rPr>
        <w:t xml:space="preserve"> </w:t>
      </w:r>
      <w:r>
        <w:t>a</w:t>
      </w:r>
      <w:r>
        <w:rPr>
          <w:spacing w:val="21"/>
        </w:rPr>
        <w:t xml:space="preserve"> </w:t>
      </w:r>
      <w:r>
        <w:rPr>
          <w:spacing w:val="-1"/>
        </w:rPr>
        <w:t>confidential</w:t>
      </w:r>
      <w:r>
        <w:rPr>
          <w:spacing w:val="6"/>
        </w:rPr>
        <w:t xml:space="preserve"> </w:t>
      </w:r>
      <w:r>
        <w:rPr>
          <w:spacing w:val="-1"/>
        </w:rPr>
        <w:t>basis)</w:t>
      </w:r>
      <w:r>
        <w:rPr>
          <w:spacing w:val="8"/>
        </w:rPr>
        <w:t xml:space="preserve"> </w:t>
      </w:r>
      <w:r>
        <w:rPr>
          <w:spacing w:val="-1"/>
        </w:rPr>
        <w:t>or</w:t>
      </w:r>
      <w:r>
        <w:rPr>
          <w:spacing w:val="8"/>
        </w:rPr>
        <w:t xml:space="preserve"> </w:t>
      </w:r>
      <w:r>
        <w:t>for</w:t>
      </w:r>
      <w:r>
        <w:rPr>
          <w:spacing w:val="8"/>
        </w:rPr>
        <w:t xml:space="preserve"> </w:t>
      </w:r>
      <w:r>
        <w:rPr>
          <w:spacing w:val="-1"/>
        </w:rPr>
        <w:t>any</w:t>
      </w:r>
      <w:r>
        <w:rPr>
          <w:spacing w:val="4"/>
        </w:rPr>
        <w:t xml:space="preserve"> </w:t>
      </w:r>
      <w:r>
        <w:rPr>
          <w:spacing w:val="-1"/>
        </w:rPr>
        <w:t>examination</w:t>
      </w:r>
      <w:r>
        <w:rPr>
          <w:spacing w:val="6"/>
        </w:rPr>
        <w:t xml:space="preserve"> </w:t>
      </w:r>
      <w:r>
        <w:rPr>
          <w:spacing w:val="-1"/>
        </w:rPr>
        <w:t>pursuant</w:t>
      </w:r>
      <w:r>
        <w:rPr>
          <w:spacing w:val="8"/>
        </w:rPr>
        <w:t xml:space="preserve"> </w:t>
      </w:r>
      <w:r>
        <w:rPr>
          <w:spacing w:val="-1"/>
        </w:rPr>
        <w:t>to</w:t>
      </w:r>
      <w:r>
        <w:rPr>
          <w:spacing w:val="33"/>
        </w:rPr>
        <w:t xml:space="preserve"> </w:t>
      </w:r>
      <w:r>
        <w:rPr>
          <w:spacing w:val="-1"/>
        </w:rPr>
        <w:t>Section</w:t>
      </w:r>
      <w:r>
        <w:rPr>
          <w:spacing w:val="35"/>
        </w:rPr>
        <w:t xml:space="preserve"> </w:t>
      </w:r>
      <w:r>
        <w:rPr>
          <w:spacing w:val="-1"/>
        </w:rPr>
        <w:t>6(1)</w:t>
      </w:r>
      <w:r>
        <w:rPr>
          <w:spacing w:val="36"/>
        </w:rPr>
        <w:t xml:space="preserve"> </w:t>
      </w:r>
      <w:r>
        <w:rPr>
          <w:spacing w:val="-2"/>
        </w:rPr>
        <w:t>of</w:t>
      </w:r>
      <w:r>
        <w:rPr>
          <w:spacing w:val="36"/>
        </w:rPr>
        <w:t xml:space="preserve"> </w:t>
      </w:r>
      <w:r>
        <w:t>the</w:t>
      </w:r>
      <w:r>
        <w:rPr>
          <w:spacing w:val="35"/>
        </w:rPr>
        <w:t xml:space="preserve"> </w:t>
      </w:r>
      <w:r>
        <w:rPr>
          <w:spacing w:val="-2"/>
        </w:rPr>
        <w:t>National</w:t>
      </w:r>
      <w:r>
        <w:rPr>
          <w:spacing w:val="34"/>
        </w:rPr>
        <w:t xml:space="preserve"> </w:t>
      </w:r>
      <w:r>
        <w:rPr>
          <w:spacing w:val="-1"/>
        </w:rPr>
        <w:t>Audit</w:t>
      </w:r>
      <w:r>
        <w:rPr>
          <w:spacing w:val="36"/>
        </w:rPr>
        <w:t xml:space="preserve"> </w:t>
      </w:r>
      <w:r>
        <w:rPr>
          <w:spacing w:val="-1"/>
        </w:rPr>
        <w:t>Act</w:t>
      </w:r>
      <w:r>
        <w:rPr>
          <w:spacing w:val="38"/>
        </w:rPr>
        <w:t xml:space="preserve"> </w:t>
      </w:r>
      <w:r>
        <w:rPr>
          <w:spacing w:val="-1"/>
        </w:rPr>
        <w:t>1983</w:t>
      </w:r>
      <w:r>
        <w:rPr>
          <w:spacing w:val="35"/>
        </w:rPr>
        <w:t xml:space="preserve"> </w:t>
      </w:r>
      <w:r>
        <w:rPr>
          <w:spacing w:val="-1"/>
        </w:rPr>
        <w:t>of</w:t>
      </w:r>
      <w:r>
        <w:rPr>
          <w:spacing w:val="36"/>
        </w:rPr>
        <w:t xml:space="preserve"> </w:t>
      </w:r>
      <w:r>
        <w:rPr>
          <w:spacing w:val="-1"/>
        </w:rPr>
        <w:t>the</w:t>
      </w:r>
      <w:r>
        <w:rPr>
          <w:spacing w:val="34"/>
        </w:rPr>
        <w:t xml:space="preserve"> </w:t>
      </w:r>
      <w:r>
        <w:rPr>
          <w:spacing w:val="-1"/>
        </w:rPr>
        <w:t>economy,</w:t>
      </w:r>
      <w:r>
        <w:rPr>
          <w:spacing w:val="22"/>
        </w:rPr>
        <w:t xml:space="preserve"> </w:t>
      </w:r>
      <w:r>
        <w:rPr>
          <w:spacing w:val="-1"/>
        </w:rPr>
        <w:t>efficiency</w:t>
      </w:r>
      <w:r>
        <w:rPr>
          <w:spacing w:val="19"/>
        </w:rPr>
        <w:t xml:space="preserve"> </w:t>
      </w:r>
      <w:r>
        <w:rPr>
          <w:spacing w:val="-1"/>
        </w:rPr>
        <w:t>and</w:t>
      </w:r>
      <w:r>
        <w:rPr>
          <w:spacing w:val="21"/>
        </w:rPr>
        <w:t xml:space="preserve"> </w:t>
      </w:r>
      <w:r>
        <w:rPr>
          <w:spacing w:val="-1"/>
        </w:rPr>
        <w:t>effectiveness</w:t>
      </w:r>
      <w:r>
        <w:rPr>
          <w:spacing w:val="24"/>
        </w:rPr>
        <w:t xml:space="preserve"> </w:t>
      </w:r>
      <w:r>
        <w:rPr>
          <w:spacing w:val="-2"/>
        </w:rPr>
        <w:t>with</w:t>
      </w:r>
      <w:r>
        <w:rPr>
          <w:spacing w:val="23"/>
        </w:rPr>
        <w:t xml:space="preserve"> </w:t>
      </w:r>
      <w:r>
        <w:rPr>
          <w:spacing w:val="-2"/>
        </w:rPr>
        <w:t>which</w:t>
      </w:r>
      <w:r>
        <w:rPr>
          <w:spacing w:val="21"/>
        </w:rPr>
        <w:t xml:space="preserve"> </w:t>
      </w:r>
      <w:r>
        <w:rPr>
          <w:spacing w:val="-1"/>
        </w:rPr>
        <w:t>the</w:t>
      </w:r>
      <w:r>
        <w:rPr>
          <w:spacing w:val="34"/>
        </w:rPr>
        <w:t xml:space="preserve"> </w:t>
      </w:r>
      <w:r>
        <w:rPr>
          <w:spacing w:val="-1"/>
        </w:rPr>
        <w:t>Customer</w:t>
      </w:r>
      <w:r>
        <w:rPr>
          <w:spacing w:val="42"/>
        </w:rPr>
        <w:t xml:space="preserve"> </w:t>
      </w:r>
      <w:r>
        <w:rPr>
          <w:spacing w:val="-1"/>
        </w:rPr>
        <w:t>is</w:t>
      </w:r>
      <w:r>
        <w:rPr>
          <w:spacing w:val="39"/>
        </w:rPr>
        <w:t xml:space="preserve"> </w:t>
      </w:r>
      <w:r>
        <w:rPr>
          <w:spacing w:val="-1"/>
        </w:rPr>
        <w:t>making</w:t>
      </w:r>
      <w:r>
        <w:rPr>
          <w:spacing w:val="43"/>
        </w:rPr>
        <w:t xml:space="preserve"> </w:t>
      </w:r>
      <w:r>
        <w:rPr>
          <w:spacing w:val="-2"/>
        </w:rPr>
        <w:t>use</w:t>
      </w:r>
      <w:r>
        <w:rPr>
          <w:spacing w:val="41"/>
        </w:rPr>
        <w:t xml:space="preserve"> </w:t>
      </w:r>
      <w:r>
        <w:rPr>
          <w:spacing w:val="-2"/>
        </w:rPr>
        <w:t>of</w:t>
      </w:r>
      <w:r>
        <w:rPr>
          <w:spacing w:val="45"/>
        </w:rPr>
        <w:t xml:space="preserve"> </w:t>
      </w:r>
      <w:r>
        <w:rPr>
          <w:spacing w:val="-1"/>
        </w:rPr>
        <w:t>any</w:t>
      </w:r>
      <w:r>
        <w:rPr>
          <w:spacing w:val="38"/>
        </w:rPr>
        <w:t xml:space="preserve"> </w:t>
      </w:r>
      <w:r>
        <w:rPr>
          <w:spacing w:val="-1"/>
        </w:rPr>
        <w:t>Goods</w:t>
      </w:r>
      <w:r>
        <w:rPr>
          <w:spacing w:val="42"/>
        </w:rPr>
        <w:t xml:space="preserve"> </w:t>
      </w:r>
      <w:r>
        <w:rPr>
          <w:spacing w:val="-1"/>
        </w:rPr>
        <w:t>and/or</w:t>
      </w:r>
      <w:r>
        <w:rPr>
          <w:spacing w:val="37"/>
        </w:rPr>
        <w:t xml:space="preserve"> </w:t>
      </w:r>
      <w:r>
        <w:rPr>
          <w:spacing w:val="-1"/>
        </w:rPr>
        <w:t>Services</w:t>
      </w:r>
      <w:r>
        <w:rPr>
          <w:spacing w:val="30"/>
        </w:rPr>
        <w:t xml:space="preserve"> </w:t>
      </w:r>
      <w:r>
        <w:rPr>
          <w:spacing w:val="-2"/>
        </w:rPr>
        <w:t>provided</w:t>
      </w:r>
      <w:r>
        <w:t xml:space="preserve"> </w:t>
      </w:r>
      <w:r>
        <w:rPr>
          <w:spacing w:val="-1"/>
        </w:rPr>
        <w:t>under</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r>
        <w:t xml:space="preserve"> </w:t>
      </w:r>
      <w:r>
        <w:rPr>
          <w:spacing w:val="-1"/>
        </w:rPr>
        <w:t>or</w:t>
      </w:r>
    </w:p>
    <w:p w:rsidR="008918FA" w:rsidRDefault="008918FA" w:rsidP="008918FA">
      <w:pPr>
        <w:pStyle w:val="BodyText"/>
        <w:numPr>
          <w:ilvl w:val="4"/>
          <w:numId w:val="66"/>
        </w:numPr>
        <w:tabs>
          <w:tab w:val="left" w:pos="3164"/>
        </w:tabs>
        <w:ind w:left="3163" w:right="117"/>
        <w:jc w:val="both"/>
      </w:pPr>
      <w:r>
        <w:t>the</w:t>
      </w:r>
      <w:r>
        <w:rPr>
          <w:spacing w:val="6"/>
        </w:rPr>
        <w:t xml:space="preserve"> </w:t>
      </w:r>
      <w:r>
        <w:rPr>
          <w:spacing w:val="-1"/>
        </w:rPr>
        <w:t>conduct</w:t>
      </w:r>
      <w:r>
        <w:rPr>
          <w:spacing w:val="8"/>
        </w:rPr>
        <w:t xml:space="preserve"> </w:t>
      </w:r>
      <w:r>
        <w:rPr>
          <w:spacing w:val="-2"/>
        </w:rPr>
        <w:t>of</w:t>
      </w:r>
      <w:r>
        <w:rPr>
          <w:spacing w:val="8"/>
        </w:rPr>
        <w:t xml:space="preserve"> </w:t>
      </w:r>
      <w:r>
        <w:t>a</w:t>
      </w:r>
      <w:r>
        <w:rPr>
          <w:spacing w:val="6"/>
        </w:rPr>
        <w:t xml:space="preserve"> </w:t>
      </w:r>
      <w:r>
        <w:rPr>
          <w:spacing w:val="-2"/>
        </w:rPr>
        <w:t>Central</w:t>
      </w:r>
      <w:r>
        <w:rPr>
          <w:spacing w:val="6"/>
        </w:rPr>
        <w:t xml:space="preserve"> </w:t>
      </w:r>
      <w:r>
        <w:rPr>
          <w:spacing w:val="-1"/>
        </w:rPr>
        <w:t>Government</w:t>
      </w:r>
      <w:r>
        <w:rPr>
          <w:spacing w:val="8"/>
        </w:rPr>
        <w:t xml:space="preserve"> </w:t>
      </w:r>
      <w:r>
        <w:rPr>
          <w:spacing w:val="-1"/>
        </w:rPr>
        <w:t>Body</w:t>
      </w:r>
      <w:r>
        <w:rPr>
          <w:spacing w:val="4"/>
        </w:rPr>
        <w:t xml:space="preserve"> </w:t>
      </w:r>
      <w:r>
        <w:rPr>
          <w:spacing w:val="-1"/>
        </w:rPr>
        <w:t>review</w:t>
      </w:r>
      <w:r>
        <w:rPr>
          <w:spacing w:val="6"/>
        </w:rPr>
        <w:t xml:space="preserve"> </w:t>
      </w:r>
      <w:r>
        <w:rPr>
          <w:spacing w:val="-1"/>
        </w:rPr>
        <w:t>in</w:t>
      </w:r>
      <w:r>
        <w:rPr>
          <w:spacing w:val="25"/>
        </w:rPr>
        <w:t xml:space="preserve"> </w:t>
      </w:r>
      <w:r>
        <w:rPr>
          <w:spacing w:val="-1"/>
        </w:rPr>
        <w:t>respect</w:t>
      </w:r>
      <w:r>
        <w:t xml:space="preserve">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or</w:t>
      </w:r>
    </w:p>
    <w:p w:rsidR="008918FA" w:rsidRDefault="008918FA" w:rsidP="008918FA">
      <w:pPr>
        <w:pStyle w:val="BodyText"/>
        <w:numPr>
          <w:ilvl w:val="3"/>
          <w:numId w:val="66"/>
        </w:numPr>
        <w:tabs>
          <w:tab w:val="left" w:pos="2595"/>
        </w:tabs>
        <w:spacing w:before="121"/>
        <w:ind w:left="2594" w:right="114"/>
        <w:jc w:val="both"/>
      </w:pPr>
      <w:r>
        <w:t>the</w:t>
      </w:r>
      <w:r>
        <w:rPr>
          <w:spacing w:val="28"/>
        </w:rPr>
        <w:t xml:space="preserve"> </w:t>
      </w:r>
      <w:r>
        <w:rPr>
          <w:spacing w:val="-2"/>
        </w:rPr>
        <w:t>Recipient</w:t>
      </w:r>
      <w:r>
        <w:rPr>
          <w:spacing w:val="30"/>
        </w:rPr>
        <w:t xml:space="preserve"> </w:t>
      </w:r>
      <w:r>
        <w:rPr>
          <w:spacing w:val="-2"/>
        </w:rPr>
        <w:t>has</w:t>
      </w:r>
      <w:r>
        <w:rPr>
          <w:spacing w:val="28"/>
        </w:rPr>
        <w:t xml:space="preserve"> </w:t>
      </w:r>
      <w:r>
        <w:rPr>
          <w:spacing w:val="-2"/>
        </w:rPr>
        <w:t>reasonable</w:t>
      </w:r>
      <w:r>
        <w:rPr>
          <w:spacing w:val="28"/>
        </w:rPr>
        <w:t xml:space="preserve"> </w:t>
      </w:r>
      <w:r>
        <w:rPr>
          <w:spacing w:val="-1"/>
        </w:rPr>
        <w:t>grounds</w:t>
      </w:r>
      <w:r>
        <w:rPr>
          <w:spacing w:val="26"/>
        </w:rPr>
        <w:t xml:space="preserve"> </w:t>
      </w:r>
      <w:r>
        <w:t>to</w:t>
      </w:r>
      <w:r>
        <w:rPr>
          <w:spacing w:val="28"/>
        </w:rPr>
        <w:t xml:space="preserve"> </w:t>
      </w:r>
      <w:r>
        <w:rPr>
          <w:spacing w:val="-2"/>
        </w:rPr>
        <w:t>believe</w:t>
      </w:r>
      <w:r>
        <w:rPr>
          <w:spacing w:val="28"/>
        </w:rPr>
        <w:t xml:space="preserve"> </w:t>
      </w:r>
      <w:r>
        <w:rPr>
          <w:spacing w:val="-1"/>
        </w:rPr>
        <w:t>that</w:t>
      </w:r>
      <w:r>
        <w:rPr>
          <w:spacing w:val="27"/>
        </w:rPr>
        <w:t xml:space="preserve"> </w:t>
      </w:r>
      <w:r>
        <w:rPr>
          <w:spacing w:val="-1"/>
        </w:rPr>
        <w:t>the</w:t>
      </w:r>
      <w:r>
        <w:rPr>
          <w:spacing w:val="54"/>
        </w:rPr>
        <w:t xml:space="preserve"> </w:t>
      </w:r>
      <w:r>
        <w:rPr>
          <w:spacing w:val="-2"/>
        </w:rPr>
        <w:t>Disclosing</w:t>
      </w:r>
      <w:r>
        <w:rPr>
          <w:spacing w:val="55"/>
        </w:rPr>
        <w:t xml:space="preserve"> </w:t>
      </w:r>
      <w:r>
        <w:rPr>
          <w:spacing w:val="-1"/>
        </w:rPr>
        <w:t>Party</w:t>
      </w:r>
      <w:r>
        <w:rPr>
          <w:spacing w:val="51"/>
        </w:rPr>
        <w:t xml:space="preserve"> </w:t>
      </w:r>
      <w:r>
        <w:rPr>
          <w:spacing w:val="-1"/>
        </w:rPr>
        <w:t>is</w:t>
      </w:r>
      <w:r>
        <w:rPr>
          <w:spacing w:val="53"/>
        </w:rPr>
        <w:t xml:space="preserve"> </w:t>
      </w:r>
      <w:r>
        <w:rPr>
          <w:spacing w:val="-1"/>
        </w:rPr>
        <w:t>involved</w:t>
      </w:r>
      <w:r>
        <w:rPr>
          <w:spacing w:val="55"/>
        </w:rPr>
        <w:t xml:space="preserve"> </w:t>
      </w:r>
      <w:r>
        <w:rPr>
          <w:spacing w:val="-1"/>
        </w:rPr>
        <w:t>in</w:t>
      </w:r>
      <w:r>
        <w:rPr>
          <w:spacing w:val="53"/>
        </w:rPr>
        <w:t xml:space="preserve"> </w:t>
      </w:r>
      <w:r>
        <w:rPr>
          <w:spacing w:val="-1"/>
        </w:rPr>
        <w:t>activity</w:t>
      </w:r>
      <w:r>
        <w:rPr>
          <w:spacing w:val="53"/>
        </w:rPr>
        <w:t xml:space="preserve"> </w:t>
      </w:r>
      <w:r>
        <w:rPr>
          <w:spacing w:val="-1"/>
        </w:rPr>
        <w:t>that</w:t>
      </w:r>
      <w:r>
        <w:rPr>
          <w:spacing w:val="56"/>
        </w:rPr>
        <w:t xml:space="preserve"> </w:t>
      </w:r>
      <w:r>
        <w:rPr>
          <w:spacing w:val="-1"/>
        </w:rPr>
        <w:t>may</w:t>
      </w:r>
      <w:r>
        <w:rPr>
          <w:spacing w:val="51"/>
        </w:rPr>
        <w:t xml:space="preserve"> </w:t>
      </w:r>
      <w:r>
        <w:rPr>
          <w:spacing w:val="-1"/>
        </w:rPr>
        <w:t>constitute</w:t>
      </w:r>
      <w:r>
        <w:rPr>
          <w:spacing w:val="53"/>
        </w:rPr>
        <w:t xml:space="preserve"> </w:t>
      </w:r>
      <w:r>
        <w:t>a</w:t>
      </w:r>
      <w:r>
        <w:rPr>
          <w:spacing w:val="57"/>
        </w:rPr>
        <w:t xml:space="preserve"> </w:t>
      </w:r>
      <w:r>
        <w:rPr>
          <w:spacing w:val="-1"/>
        </w:rPr>
        <w:t>criminal</w:t>
      </w:r>
      <w:r>
        <w:rPr>
          <w:spacing w:val="14"/>
        </w:rPr>
        <w:t xml:space="preserve"> </w:t>
      </w:r>
      <w:r>
        <w:rPr>
          <w:spacing w:val="-1"/>
        </w:rPr>
        <w:t>offence</w:t>
      </w:r>
      <w:r>
        <w:rPr>
          <w:spacing w:val="15"/>
        </w:rPr>
        <w:t xml:space="preserve"> </w:t>
      </w:r>
      <w:r>
        <w:rPr>
          <w:spacing w:val="-1"/>
        </w:rPr>
        <w:t>under</w:t>
      </w:r>
      <w:r>
        <w:rPr>
          <w:spacing w:val="16"/>
        </w:rPr>
        <w:t xml:space="preserve"> </w:t>
      </w:r>
      <w:r>
        <w:rPr>
          <w:spacing w:val="-1"/>
        </w:rPr>
        <w:t>the</w:t>
      </w:r>
      <w:r>
        <w:rPr>
          <w:spacing w:val="15"/>
        </w:rPr>
        <w:t xml:space="preserve"> </w:t>
      </w:r>
      <w:r>
        <w:rPr>
          <w:spacing w:val="-1"/>
        </w:rPr>
        <w:t>Bribery</w:t>
      </w:r>
      <w:r>
        <w:rPr>
          <w:spacing w:val="13"/>
        </w:rPr>
        <w:t xml:space="preserve"> </w:t>
      </w:r>
      <w:r>
        <w:rPr>
          <w:spacing w:val="-1"/>
        </w:rPr>
        <w:t>Act</w:t>
      </w:r>
      <w:r>
        <w:rPr>
          <w:spacing w:val="17"/>
        </w:rPr>
        <w:t xml:space="preserve"> </w:t>
      </w:r>
      <w:r>
        <w:rPr>
          <w:spacing w:val="-1"/>
        </w:rPr>
        <w:t>2010</w:t>
      </w:r>
      <w:r>
        <w:rPr>
          <w:spacing w:val="15"/>
        </w:rPr>
        <w:t xml:space="preserve"> </w:t>
      </w:r>
      <w:r>
        <w:rPr>
          <w:spacing w:val="-1"/>
        </w:rPr>
        <w:t>and</w:t>
      </w:r>
      <w:r>
        <w:rPr>
          <w:spacing w:val="17"/>
        </w:rPr>
        <w:t xml:space="preserve"> </w:t>
      </w:r>
      <w:r>
        <w:t>the</w:t>
      </w:r>
      <w:r>
        <w:rPr>
          <w:spacing w:val="15"/>
        </w:rPr>
        <w:t xml:space="preserve"> </w:t>
      </w:r>
      <w:r>
        <w:rPr>
          <w:spacing w:val="-1"/>
        </w:rPr>
        <w:t>disclosure</w:t>
      </w:r>
      <w:r>
        <w:rPr>
          <w:spacing w:val="31"/>
        </w:rPr>
        <w:t xml:space="preserve"> </w:t>
      </w:r>
      <w:r>
        <w:rPr>
          <w:spacing w:val="-1"/>
        </w:rPr>
        <w:t>is</w:t>
      </w:r>
      <w:r>
        <w:rPr>
          <w:spacing w:val="1"/>
        </w:rPr>
        <w:t xml:space="preserve"> </w:t>
      </w:r>
      <w:r>
        <w:rPr>
          <w:spacing w:val="-1"/>
        </w:rPr>
        <w:t>being</w:t>
      </w:r>
      <w:r>
        <w:t xml:space="preserve"> </w:t>
      </w:r>
      <w:r>
        <w:rPr>
          <w:spacing w:val="-1"/>
        </w:rPr>
        <w:t>made</w:t>
      </w:r>
      <w:r>
        <w:rPr>
          <w:spacing w:val="-2"/>
        </w:rPr>
        <w:t xml:space="preserve"> </w:t>
      </w:r>
      <w:r>
        <w:t>to</w:t>
      </w:r>
      <w:r>
        <w:rPr>
          <w:spacing w:val="-2"/>
        </w:rPr>
        <w:t xml:space="preserve"> </w:t>
      </w:r>
      <w:r>
        <w:t>the</w:t>
      </w:r>
      <w:r>
        <w:rPr>
          <w:spacing w:val="-2"/>
        </w:rPr>
        <w:t xml:space="preserve"> Serious</w:t>
      </w:r>
      <w:r>
        <w:rPr>
          <w:spacing w:val="1"/>
        </w:rPr>
        <w:t xml:space="preserve"> </w:t>
      </w:r>
      <w:r>
        <w:rPr>
          <w:spacing w:val="-1"/>
        </w:rPr>
        <w:t>Fraud</w:t>
      </w:r>
      <w:r>
        <w:rPr>
          <w:spacing w:val="-2"/>
        </w:rPr>
        <w:t xml:space="preserve"> </w:t>
      </w:r>
      <w:r>
        <w:rPr>
          <w:spacing w:val="-1"/>
        </w:rPr>
        <w:t>Office.</w:t>
      </w:r>
    </w:p>
    <w:p w:rsidR="008918FA" w:rsidRDefault="008918FA" w:rsidP="008918FA">
      <w:pPr>
        <w:pStyle w:val="BodyText"/>
        <w:numPr>
          <w:ilvl w:val="2"/>
          <w:numId w:val="66"/>
        </w:numPr>
        <w:tabs>
          <w:tab w:val="left" w:pos="1887"/>
        </w:tabs>
        <w:spacing w:before="121"/>
        <w:ind w:left="1886" w:right="114"/>
        <w:jc w:val="both"/>
      </w:pPr>
      <w:r>
        <w:rPr>
          <w:spacing w:val="-1"/>
        </w:rPr>
        <w:t>If</w:t>
      </w:r>
      <w:r>
        <w:rPr>
          <w:spacing w:val="6"/>
        </w:rPr>
        <w:t xml:space="preserve"> </w:t>
      </w:r>
      <w:r>
        <w:t>the</w:t>
      </w:r>
      <w:r>
        <w:rPr>
          <w:spacing w:val="5"/>
        </w:rPr>
        <w:t xml:space="preserve"> </w:t>
      </w:r>
      <w:r>
        <w:rPr>
          <w:spacing w:val="-2"/>
        </w:rPr>
        <w:t>Recipient</w:t>
      </w:r>
      <w:r>
        <w:rPr>
          <w:spacing w:val="7"/>
        </w:rPr>
        <w:t xml:space="preserve"> </w:t>
      </w:r>
      <w:r>
        <w:rPr>
          <w:spacing w:val="-1"/>
        </w:rPr>
        <w:t>is</w:t>
      </w:r>
      <w:r>
        <w:rPr>
          <w:spacing w:val="3"/>
        </w:rPr>
        <w:t xml:space="preserve"> </w:t>
      </w:r>
      <w:r>
        <w:rPr>
          <w:spacing w:val="-1"/>
        </w:rPr>
        <w:t>required</w:t>
      </w:r>
      <w:r>
        <w:rPr>
          <w:spacing w:val="5"/>
        </w:rPr>
        <w:t xml:space="preserve"> </w:t>
      </w:r>
      <w:r>
        <w:rPr>
          <w:spacing w:val="-1"/>
        </w:rPr>
        <w:t>by</w:t>
      </w:r>
      <w:r>
        <w:rPr>
          <w:spacing w:val="3"/>
        </w:rPr>
        <w:t xml:space="preserve"> </w:t>
      </w:r>
      <w:r>
        <w:rPr>
          <w:spacing w:val="-1"/>
        </w:rPr>
        <w:t>Law</w:t>
      </w:r>
      <w:r>
        <w:rPr>
          <w:spacing w:val="2"/>
        </w:rPr>
        <w:t xml:space="preserve"> </w:t>
      </w:r>
      <w:r>
        <w:t>to</w:t>
      </w:r>
      <w:r>
        <w:rPr>
          <w:spacing w:val="5"/>
        </w:rPr>
        <w:t xml:space="preserve"> </w:t>
      </w:r>
      <w:r>
        <w:rPr>
          <w:spacing w:val="-1"/>
        </w:rPr>
        <w:t>make</w:t>
      </w:r>
      <w:r>
        <w:rPr>
          <w:spacing w:val="5"/>
        </w:rPr>
        <w:t xml:space="preserve"> </w:t>
      </w:r>
      <w:r>
        <w:t>a</w:t>
      </w:r>
      <w:r>
        <w:rPr>
          <w:spacing w:val="3"/>
        </w:rPr>
        <w:t xml:space="preserve"> </w:t>
      </w:r>
      <w:r>
        <w:rPr>
          <w:spacing w:val="-1"/>
        </w:rPr>
        <w:t>disclosure</w:t>
      </w:r>
      <w:r>
        <w:rPr>
          <w:spacing w:val="5"/>
        </w:rPr>
        <w:t xml:space="preserve"> </w:t>
      </w:r>
      <w:r>
        <w:rPr>
          <w:spacing w:val="-2"/>
        </w:rPr>
        <w:t>of</w:t>
      </w:r>
      <w:r>
        <w:rPr>
          <w:spacing w:val="7"/>
        </w:rPr>
        <w:t xml:space="preserve"> </w:t>
      </w:r>
      <w:r>
        <w:rPr>
          <w:spacing w:val="-1"/>
        </w:rPr>
        <w:t>Confidential</w:t>
      </w:r>
      <w:r>
        <w:rPr>
          <w:spacing w:val="38"/>
        </w:rPr>
        <w:t xml:space="preserve"> </w:t>
      </w:r>
      <w:r>
        <w:rPr>
          <w:spacing w:val="-1"/>
        </w:rPr>
        <w:t>Information,</w:t>
      </w:r>
      <w:r>
        <w:rPr>
          <w:spacing w:val="9"/>
        </w:rPr>
        <w:t xml:space="preserve"> </w:t>
      </w:r>
      <w:r>
        <w:t>the</w:t>
      </w:r>
      <w:r>
        <w:rPr>
          <w:spacing w:val="7"/>
        </w:rPr>
        <w:t xml:space="preserve"> </w:t>
      </w:r>
      <w:r>
        <w:rPr>
          <w:spacing w:val="-2"/>
        </w:rPr>
        <w:t>Recipient</w:t>
      </w:r>
      <w:r>
        <w:rPr>
          <w:spacing w:val="9"/>
        </w:rPr>
        <w:t xml:space="preserve"> </w:t>
      </w:r>
      <w:r>
        <w:rPr>
          <w:spacing w:val="-1"/>
        </w:rPr>
        <w:t>shall</w:t>
      </w:r>
      <w:r>
        <w:rPr>
          <w:spacing w:val="7"/>
        </w:rPr>
        <w:t xml:space="preserve"> </w:t>
      </w:r>
      <w:r>
        <w:rPr>
          <w:spacing w:val="-1"/>
        </w:rPr>
        <w:t>as</w:t>
      </w:r>
      <w:r>
        <w:rPr>
          <w:spacing w:val="8"/>
        </w:rPr>
        <w:t xml:space="preserve"> </w:t>
      </w:r>
      <w:r>
        <w:rPr>
          <w:spacing w:val="-1"/>
        </w:rPr>
        <w:t>soon</w:t>
      </w:r>
      <w:r>
        <w:rPr>
          <w:spacing w:val="10"/>
        </w:rPr>
        <w:t xml:space="preserve"> </w:t>
      </w:r>
      <w:r>
        <w:rPr>
          <w:spacing w:val="-1"/>
        </w:rPr>
        <w:t>as</w:t>
      </w:r>
      <w:r>
        <w:rPr>
          <w:spacing w:val="8"/>
        </w:rPr>
        <w:t xml:space="preserve"> </w:t>
      </w:r>
      <w:r>
        <w:rPr>
          <w:spacing w:val="-1"/>
        </w:rPr>
        <w:t>reasonably</w:t>
      </w:r>
      <w:r>
        <w:rPr>
          <w:spacing w:val="8"/>
        </w:rPr>
        <w:t xml:space="preserve"> </w:t>
      </w:r>
      <w:r>
        <w:rPr>
          <w:spacing w:val="-1"/>
        </w:rPr>
        <w:t>practicable</w:t>
      </w:r>
      <w:r>
        <w:rPr>
          <w:spacing w:val="7"/>
        </w:rPr>
        <w:t xml:space="preserve"> </w:t>
      </w:r>
      <w:r>
        <w:rPr>
          <w:spacing w:val="-1"/>
        </w:rPr>
        <w:t>and</w:t>
      </w:r>
      <w:r>
        <w:rPr>
          <w:spacing w:val="44"/>
        </w:rPr>
        <w:t xml:space="preserve"> </w:t>
      </w:r>
      <w:r>
        <w:t>to</w:t>
      </w:r>
      <w:r>
        <w:rPr>
          <w:spacing w:val="34"/>
        </w:rPr>
        <w:t xml:space="preserve"> </w:t>
      </w:r>
      <w:r>
        <w:t>the</w:t>
      </w:r>
      <w:r>
        <w:rPr>
          <w:spacing w:val="34"/>
        </w:rPr>
        <w:t xml:space="preserve"> </w:t>
      </w:r>
      <w:r>
        <w:rPr>
          <w:spacing w:val="-1"/>
        </w:rPr>
        <w:t>extent</w:t>
      </w:r>
      <w:r>
        <w:rPr>
          <w:spacing w:val="35"/>
        </w:rPr>
        <w:t xml:space="preserve"> </w:t>
      </w:r>
      <w:r>
        <w:rPr>
          <w:spacing w:val="-1"/>
        </w:rPr>
        <w:t>permitted</w:t>
      </w:r>
      <w:r>
        <w:rPr>
          <w:spacing w:val="31"/>
        </w:rPr>
        <w:t xml:space="preserve"> </w:t>
      </w:r>
      <w:r>
        <w:rPr>
          <w:spacing w:val="-1"/>
        </w:rPr>
        <w:t>by</w:t>
      </w:r>
      <w:r>
        <w:rPr>
          <w:spacing w:val="32"/>
        </w:rPr>
        <w:t xml:space="preserve"> </w:t>
      </w:r>
      <w:r>
        <w:t>Law</w:t>
      </w:r>
      <w:r>
        <w:rPr>
          <w:spacing w:val="33"/>
        </w:rPr>
        <w:t xml:space="preserve"> </w:t>
      </w:r>
      <w:r>
        <w:t>notify</w:t>
      </w:r>
      <w:r>
        <w:rPr>
          <w:spacing w:val="33"/>
        </w:rPr>
        <w:t xml:space="preserve"> </w:t>
      </w:r>
      <w:r>
        <w:t>the</w:t>
      </w:r>
      <w:r>
        <w:rPr>
          <w:spacing w:val="34"/>
        </w:rPr>
        <w:t xml:space="preserve"> </w:t>
      </w:r>
      <w:r>
        <w:rPr>
          <w:spacing w:val="-1"/>
        </w:rPr>
        <w:t>Disclosing</w:t>
      </w:r>
      <w:r>
        <w:rPr>
          <w:spacing w:val="36"/>
        </w:rPr>
        <w:t xml:space="preserve"> </w:t>
      </w:r>
      <w:r>
        <w:rPr>
          <w:spacing w:val="-1"/>
        </w:rPr>
        <w:t>Party</w:t>
      </w:r>
      <w:r>
        <w:rPr>
          <w:spacing w:val="32"/>
        </w:rPr>
        <w:t xml:space="preserve"> </w:t>
      </w:r>
      <w:r>
        <w:rPr>
          <w:spacing w:val="-2"/>
        </w:rPr>
        <w:t>of</w:t>
      </w:r>
      <w:r>
        <w:rPr>
          <w:spacing w:val="38"/>
        </w:rPr>
        <w:t xml:space="preserve"> </w:t>
      </w:r>
      <w:r>
        <w:t>the</w:t>
      </w:r>
      <w:r>
        <w:rPr>
          <w:spacing w:val="31"/>
        </w:rPr>
        <w:t xml:space="preserve"> </w:t>
      </w:r>
      <w:r>
        <w:t>full</w:t>
      </w:r>
      <w:r>
        <w:rPr>
          <w:spacing w:val="33"/>
        </w:rPr>
        <w:t xml:space="preserve"> </w:t>
      </w:r>
      <w:r>
        <w:rPr>
          <w:spacing w:val="-1"/>
        </w:rPr>
        <w:t>circumstances</w:t>
      </w:r>
      <w:r>
        <w:rPr>
          <w:spacing w:val="46"/>
        </w:rPr>
        <w:t xml:space="preserve"> </w:t>
      </w:r>
      <w:r>
        <w:rPr>
          <w:spacing w:val="-2"/>
        </w:rPr>
        <w:t>of</w:t>
      </w:r>
      <w:r>
        <w:rPr>
          <w:spacing w:val="47"/>
        </w:rPr>
        <w:t xml:space="preserve"> </w:t>
      </w:r>
      <w:r>
        <w:t>the</w:t>
      </w:r>
      <w:r>
        <w:rPr>
          <w:spacing w:val="46"/>
        </w:rPr>
        <w:t xml:space="preserve"> </w:t>
      </w:r>
      <w:r>
        <w:rPr>
          <w:spacing w:val="-1"/>
        </w:rPr>
        <w:t>required</w:t>
      </w:r>
      <w:r>
        <w:rPr>
          <w:spacing w:val="46"/>
        </w:rPr>
        <w:t xml:space="preserve"> </w:t>
      </w:r>
      <w:r>
        <w:rPr>
          <w:spacing w:val="-1"/>
        </w:rPr>
        <w:t>disclosure</w:t>
      </w:r>
      <w:r>
        <w:rPr>
          <w:spacing w:val="46"/>
        </w:rPr>
        <w:t xml:space="preserve"> </w:t>
      </w:r>
      <w:r>
        <w:rPr>
          <w:spacing w:val="-2"/>
        </w:rPr>
        <w:t>including</w:t>
      </w:r>
      <w:r>
        <w:rPr>
          <w:spacing w:val="48"/>
        </w:rPr>
        <w:t xml:space="preserve"> </w:t>
      </w:r>
      <w:r>
        <w:t>the</w:t>
      </w:r>
      <w:r>
        <w:rPr>
          <w:spacing w:val="47"/>
        </w:rPr>
        <w:t xml:space="preserve"> </w:t>
      </w:r>
      <w:r>
        <w:rPr>
          <w:spacing w:val="-2"/>
        </w:rPr>
        <w:t>relevant</w:t>
      </w:r>
      <w:r>
        <w:rPr>
          <w:spacing w:val="47"/>
        </w:rPr>
        <w:t xml:space="preserve"> </w:t>
      </w:r>
      <w:r>
        <w:rPr>
          <w:spacing w:val="-1"/>
        </w:rPr>
        <w:t>Law</w:t>
      </w:r>
      <w:r>
        <w:rPr>
          <w:spacing w:val="52"/>
        </w:rPr>
        <w:t xml:space="preserve"> </w:t>
      </w:r>
      <w:r>
        <w:rPr>
          <w:spacing w:val="-1"/>
        </w:rPr>
        <w:t>and/or</w:t>
      </w:r>
      <w:r>
        <w:rPr>
          <w:spacing w:val="26"/>
        </w:rPr>
        <w:t xml:space="preserve"> </w:t>
      </w:r>
      <w:r>
        <w:rPr>
          <w:spacing w:val="-1"/>
        </w:rPr>
        <w:t>regulatory</w:t>
      </w:r>
      <w:r>
        <w:rPr>
          <w:spacing w:val="22"/>
        </w:rPr>
        <w:t xml:space="preserve"> </w:t>
      </w:r>
      <w:r>
        <w:rPr>
          <w:spacing w:val="-1"/>
        </w:rPr>
        <w:t>body</w:t>
      </w:r>
      <w:r>
        <w:rPr>
          <w:spacing w:val="22"/>
        </w:rPr>
        <w:t xml:space="preserve"> </w:t>
      </w:r>
      <w:r>
        <w:rPr>
          <w:spacing w:val="-1"/>
        </w:rPr>
        <w:t>requiring</w:t>
      </w:r>
      <w:r>
        <w:rPr>
          <w:spacing w:val="27"/>
        </w:rPr>
        <w:t xml:space="preserve"> </w:t>
      </w:r>
      <w:r>
        <w:rPr>
          <w:spacing w:val="-1"/>
        </w:rPr>
        <w:t>such</w:t>
      </w:r>
      <w:r>
        <w:rPr>
          <w:spacing w:val="25"/>
        </w:rPr>
        <w:t xml:space="preserve"> </w:t>
      </w:r>
      <w:r>
        <w:rPr>
          <w:spacing w:val="-1"/>
        </w:rPr>
        <w:t>disclosure</w:t>
      </w:r>
      <w:r>
        <w:rPr>
          <w:spacing w:val="22"/>
        </w:rPr>
        <w:t xml:space="preserve"> </w:t>
      </w:r>
      <w:r>
        <w:rPr>
          <w:spacing w:val="-1"/>
        </w:rPr>
        <w:t>and</w:t>
      </w:r>
      <w:r>
        <w:rPr>
          <w:spacing w:val="24"/>
        </w:rPr>
        <w:t xml:space="preserve"> </w:t>
      </w:r>
      <w:r>
        <w:t>the</w:t>
      </w:r>
      <w:r>
        <w:rPr>
          <w:spacing w:val="24"/>
        </w:rPr>
        <w:t xml:space="preserve"> </w:t>
      </w:r>
      <w:r>
        <w:rPr>
          <w:spacing w:val="-1"/>
        </w:rPr>
        <w:t>Confidential</w:t>
      </w:r>
      <w:r>
        <w:rPr>
          <w:spacing w:val="40"/>
        </w:rPr>
        <w:t xml:space="preserve"> </w:t>
      </w:r>
      <w:r>
        <w:rPr>
          <w:spacing w:val="-1"/>
        </w:rPr>
        <w:t>Information</w:t>
      </w:r>
      <w:r>
        <w:t xml:space="preserve"> to</w:t>
      </w:r>
      <w:r>
        <w:rPr>
          <w:spacing w:val="-2"/>
        </w:rPr>
        <w:t xml:space="preserve"> which</w:t>
      </w:r>
      <w:r>
        <w:rPr>
          <w:spacing w:val="1"/>
        </w:rPr>
        <w:t xml:space="preserve"> </w:t>
      </w:r>
      <w:r>
        <w:rPr>
          <w:spacing w:val="-1"/>
        </w:rPr>
        <w:t>such</w:t>
      </w:r>
      <w:r>
        <w:t xml:space="preserve"> </w:t>
      </w:r>
      <w:r>
        <w:rPr>
          <w:spacing w:val="-1"/>
        </w:rPr>
        <w:t>disclosure</w:t>
      </w:r>
      <w:r>
        <w:t xml:space="preserve"> </w:t>
      </w:r>
      <w:r>
        <w:rPr>
          <w:spacing w:val="-2"/>
        </w:rPr>
        <w:t>would</w:t>
      </w:r>
      <w:r>
        <w:t xml:space="preserve"> </w:t>
      </w:r>
      <w:r>
        <w:rPr>
          <w:spacing w:val="-2"/>
        </w:rPr>
        <w:t>apply.</w:t>
      </w:r>
    </w:p>
    <w:p w:rsidR="008918FA" w:rsidRDefault="008918FA" w:rsidP="008918FA">
      <w:pPr>
        <w:pStyle w:val="BodyText"/>
        <w:numPr>
          <w:ilvl w:val="2"/>
          <w:numId w:val="66"/>
        </w:numPr>
        <w:tabs>
          <w:tab w:val="left" w:pos="1887"/>
        </w:tabs>
        <w:ind w:left="1886" w:right="118"/>
        <w:jc w:val="both"/>
      </w:pPr>
      <w:bookmarkStart w:id="221" w:name="_bookmark187"/>
      <w:bookmarkEnd w:id="221"/>
      <w:r>
        <w:rPr>
          <w:spacing w:val="-1"/>
        </w:rPr>
        <w:t>Subject</w:t>
      </w:r>
      <w:r>
        <w:rPr>
          <w:spacing w:val="24"/>
        </w:rPr>
        <w:t xml:space="preserve"> </w:t>
      </w:r>
      <w:r>
        <w:t>to</w:t>
      </w:r>
      <w:r>
        <w:rPr>
          <w:spacing w:val="24"/>
        </w:rPr>
        <w:t xml:space="preserve"> </w:t>
      </w:r>
      <w:r>
        <w:rPr>
          <w:spacing w:val="-1"/>
        </w:rPr>
        <w:t xml:space="preserve">Clauses </w:t>
      </w:r>
      <w:hyperlink w:anchor="_bookmark186" w:history="1">
        <w:r>
          <w:rPr>
            <w:spacing w:val="-1"/>
          </w:rPr>
          <w:t>34.3.2</w:t>
        </w:r>
      </w:hyperlink>
      <w:r>
        <w:rPr>
          <w:spacing w:val="24"/>
        </w:rPr>
        <w:t xml:space="preserve"> </w:t>
      </w:r>
      <w:r>
        <w:rPr>
          <w:spacing w:val="-1"/>
        </w:rPr>
        <w:t>and</w:t>
      </w:r>
      <w:r>
        <w:rPr>
          <w:spacing w:val="24"/>
        </w:rPr>
        <w:t xml:space="preserve"> </w:t>
      </w:r>
      <w:hyperlink w:anchor="_bookmark188" w:history="1">
        <w:r>
          <w:rPr>
            <w:spacing w:val="-1"/>
          </w:rPr>
          <w:t>34.3.7</w:t>
        </w:r>
      </w:hyperlink>
      <w:r>
        <w:rPr>
          <w:spacing w:val="-1"/>
        </w:rPr>
        <w:t>,</w:t>
      </w:r>
      <w:r>
        <w:rPr>
          <w:spacing w:val="23"/>
        </w:rPr>
        <w:t xml:space="preserve"> </w:t>
      </w:r>
      <w:r>
        <w:t>the</w:t>
      </w:r>
      <w:r>
        <w:rPr>
          <w:spacing w:val="24"/>
        </w:rPr>
        <w:t xml:space="preserve"> </w:t>
      </w:r>
      <w:r>
        <w:rPr>
          <w:spacing w:val="-2"/>
        </w:rPr>
        <w:t>Supplier</w:t>
      </w:r>
      <w:r>
        <w:rPr>
          <w:spacing w:val="26"/>
        </w:rPr>
        <w:t xml:space="preserve"> </w:t>
      </w:r>
      <w:r>
        <w:rPr>
          <w:spacing w:val="-1"/>
        </w:rPr>
        <w:t>may</w:t>
      </w:r>
      <w:r>
        <w:rPr>
          <w:spacing w:val="22"/>
        </w:rPr>
        <w:t xml:space="preserve"> </w:t>
      </w:r>
      <w:r>
        <w:rPr>
          <w:spacing w:val="-1"/>
        </w:rPr>
        <w:t>only</w:t>
      </w:r>
      <w:r>
        <w:rPr>
          <w:spacing w:val="22"/>
        </w:rPr>
        <w:t xml:space="preserve"> </w:t>
      </w:r>
      <w:r>
        <w:rPr>
          <w:spacing w:val="-2"/>
        </w:rPr>
        <w:t>disclose</w:t>
      </w:r>
      <w:r>
        <w:rPr>
          <w:spacing w:val="44"/>
        </w:rPr>
        <w:t xml:space="preserve"> </w:t>
      </w:r>
      <w:r>
        <w:t xml:space="preserve">the </w:t>
      </w:r>
      <w:r>
        <w:rPr>
          <w:spacing w:val="-1"/>
        </w:rPr>
        <w:t>Confidential</w:t>
      </w:r>
      <w:r>
        <w:t xml:space="preserve"> </w:t>
      </w:r>
      <w:r>
        <w:rPr>
          <w:spacing w:val="-1"/>
        </w:rPr>
        <w:t>Information</w:t>
      </w:r>
      <w:r>
        <w:t xml:space="preserve"> </w:t>
      </w:r>
      <w:r>
        <w:rPr>
          <w:spacing w:val="-2"/>
        </w:rPr>
        <w:t>of</w:t>
      </w:r>
      <w:r>
        <w:rPr>
          <w:spacing w:val="2"/>
        </w:rPr>
        <w:t xml:space="preserve"> </w:t>
      </w:r>
      <w:r>
        <w:t>the</w:t>
      </w:r>
      <w:r>
        <w:rPr>
          <w:spacing w:val="-2"/>
        </w:rPr>
        <w:t xml:space="preserve"> </w:t>
      </w:r>
      <w:r>
        <w:rPr>
          <w:spacing w:val="-1"/>
        </w:rPr>
        <w:t>Customer on</w:t>
      </w:r>
      <w:r>
        <w:t xml:space="preserve"> a</w:t>
      </w:r>
      <w:r>
        <w:rPr>
          <w:spacing w:val="-4"/>
        </w:rPr>
        <w:t xml:space="preserve"> </w:t>
      </w:r>
      <w:r>
        <w:rPr>
          <w:spacing w:val="-1"/>
        </w:rPr>
        <w:t>confidential</w:t>
      </w:r>
      <w:r>
        <w:t xml:space="preserve"> </w:t>
      </w:r>
      <w:r>
        <w:rPr>
          <w:spacing w:val="-1"/>
        </w:rPr>
        <w:t>basis</w:t>
      </w:r>
      <w:r>
        <w:rPr>
          <w:spacing w:val="-2"/>
        </w:rPr>
        <w:t xml:space="preserve"> </w:t>
      </w:r>
      <w:r>
        <w:rPr>
          <w:spacing w:val="-1"/>
        </w:rPr>
        <w:t>to:</w:t>
      </w:r>
    </w:p>
    <w:p w:rsidR="008918FA" w:rsidRDefault="008918FA" w:rsidP="008918FA">
      <w:pPr>
        <w:pStyle w:val="BodyText"/>
        <w:numPr>
          <w:ilvl w:val="3"/>
          <w:numId w:val="66"/>
        </w:numPr>
        <w:tabs>
          <w:tab w:val="left" w:pos="2595"/>
        </w:tabs>
        <w:spacing w:before="121"/>
        <w:ind w:left="2594" w:right="115"/>
        <w:jc w:val="both"/>
      </w:pPr>
      <w:r>
        <w:rPr>
          <w:spacing w:val="-2"/>
        </w:rPr>
        <w:t>Supplier</w:t>
      </w:r>
      <w:r>
        <w:rPr>
          <w:spacing w:val="11"/>
        </w:rPr>
        <w:t xml:space="preserve"> </w:t>
      </w:r>
      <w:r>
        <w:rPr>
          <w:spacing w:val="-1"/>
        </w:rPr>
        <w:t>Personnel</w:t>
      </w:r>
      <w:r>
        <w:rPr>
          <w:spacing w:val="13"/>
        </w:rPr>
        <w:t xml:space="preserve"> </w:t>
      </w:r>
      <w:r>
        <w:rPr>
          <w:spacing w:val="-2"/>
        </w:rPr>
        <w:t>who</w:t>
      </w:r>
      <w:r>
        <w:rPr>
          <w:spacing w:val="12"/>
        </w:rPr>
        <w:t xml:space="preserve"> </w:t>
      </w:r>
      <w:r>
        <w:rPr>
          <w:spacing w:val="-1"/>
        </w:rPr>
        <w:t>are</w:t>
      </w:r>
      <w:r>
        <w:rPr>
          <w:spacing w:val="10"/>
        </w:rPr>
        <w:t xml:space="preserve"> </w:t>
      </w:r>
      <w:r>
        <w:rPr>
          <w:spacing w:val="-1"/>
        </w:rPr>
        <w:t>directly</w:t>
      </w:r>
      <w:r>
        <w:rPr>
          <w:spacing w:val="8"/>
        </w:rPr>
        <w:t xml:space="preserve"> </w:t>
      </w:r>
      <w:r>
        <w:rPr>
          <w:spacing w:val="-2"/>
        </w:rPr>
        <w:t>involved</w:t>
      </w:r>
      <w:r>
        <w:rPr>
          <w:spacing w:val="12"/>
        </w:rPr>
        <w:t xml:space="preserve"> </w:t>
      </w:r>
      <w:r>
        <w:rPr>
          <w:spacing w:val="-1"/>
        </w:rPr>
        <w:t>in</w:t>
      </w:r>
      <w:r>
        <w:rPr>
          <w:spacing w:val="10"/>
        </w:rPr>
        <w:t xml:space="preserve"> </w:t>
      </w:r>
      <w:r>
        <w:t>the</w:t>
      </w:r>
      <w:r>
        <w:rPr>
          <w:spacing w:val="10"/>
        </w:rPr>
        <w:t xml:space="preserve"> </w:t>
      </w:r>
      <w:r>
        <w:rPr>
          <w:spacing w:val="-2"/>
        </w:rPr>
        <w:t>provision</w:t>
      </w:r>
      <w:r>
        <w:rPr>
          <w:spacing w:val="10"/>
        </w:rPr>
        <w:t xml:space="preserve"> </w:t>
      </w:r>
      <w:r>
        <w:rPr>
          <w:spacing w:val="-1"/>
        </w:rPr>
        <w:t>of</w:t>
      </w:r>
      <w:r>
        <w:rPr>
          <w:spacing w:val="62"/>
        </w:rPr>
        <w:t xml:space="preserve"> </w:t>
      </w:r>
      <w:r>
        <w:t>the</w:t>
      </w:r>
      <w:r>
        <w:rPr>
          <w:spacing w:val="24"/>
        </w:rPr>
        <w:t xml:space="preserve"> </w:t>
      </w:r>
      <w:r>
        <w:rPr>
          <w:spacing w:val="-1"/>
        </w:rPr>
        <w:t>Goods</w:t>
      </w:r>
      <w:r>
        <w:rPr>
          <w:spacing w:val="25"/>
        </w:rPr>
        <w:t xml:space="preserve"> </w:t>
      </w:r>
      <w:r>
        <w:rPr>
          <w:spacing w:val="-1"/>
        </w:rPr>
        <w:t>and/or</w:t>
      </w:r>
      <w:r>
        <w:rPr>
          <w:spacing w:val="26"/>
        </w:rPr>
        <w:t xml:space="preserve"> </w:t>
      </w:r>
      <w:r>
        <w:rPr>
          <w:spacing w:val="-2"/>
        </w:rPr>
        <w:t>Services</w:t>
      </w:r>
      <w:r>
        <w:rPr>
          <w:spacing w:val="26"/>
        </w:rPr>
        <w:t xml:space="preserve"> </w:t>
      </w:r>
      <w:r>
        <w:rPr>
          <w:spacing w:val="-1"/>
        </w:rPr>
        <w:t>and</w:t>
      </w:r>
      <w:r>
        <w:rPr>
          <w:spacing w:val="24"/>
        </w:rPr>
        <w:t xml:space="preserve"> </w:t>
      </w:r>
      <w:r>
        <w:rPr>
          <w:spacing w:val="-1"/>
        </w:rPr>
        <w:t>need</w:t>
      </w:r>
      <w:r>
        <w:rPr>
          <w:spacing w:val="22"/>
        </w:rPr>
        <w:t xml:space="preserve"> </w:t>
      </w:r>
      <w:r>
        <w:t>to</w:t>
      </w:r>
      <w:r>
        <w:rPr>
          <w:spacing w:val="22"/>
        </w:rPr>
        <w:t xml:space="preserve"> </w:t>
      </w:r>
      <w:r>
        <w:t>know</w:t>
      </w:r>
      <w:r>
        <w:rPr>
          <w:spacing w:val="21"/>
        </w:rPr>
        <w:t xml:space="preserve"> </w:t>
      </w:r>
      <w:r>
        <w:rPr>
          <w:spacing w:val="-1"/>
        </w:rPr>
        <w:t>the</w:t>
      </w:r>
      <w:r>
        <w:rPr>
          <w:spacing w:val="24"/>
        </w:rPr>
        <w:t xml:space="preserve"> </w:t>
      </w:r>
      <w:r>
        <w:rPr>
          <w:spacing w:val="-1"/>
        </w:rPr>
        <w:t>Confidential</w:t>
      </w:r>
      <w:r>
        <w:rPr>
          <w:spacing w:val="24"/>
        </w:rPr>
        <w:t xml:space="preserve"> </w:t>
      </w:r>
      <w:r>
        <w:rPr>
          <w:spacing w:val="-1"/>
        </w:rPr>
        <w:t>Information</w:t>
      </w:r>
      <w:r>
        <w:rPr>
          <w:spacing w:val="12"/>
        </w:rPr>
        <w:t xml:space="preserve"> </w:t>
      </w:r>
      <w:r>
        <w:t>to</w:t>
      </w:r>
      <w:r>
        <w:rPr>
          <w:spacing w:val="12"/>
        </w:rPr>
        <w:t xml:space="preserve"> </w:t>
      </w:r>
      <w:r>
        <w:rPr>
          <w:spacing w:val="-1"/>
        </w:rPr>
        <w:t>enable</w:t>
      </w:r>
      <w:r>
        <w:rPr>
          <w:spacing w:val="12"/>
        </w:rPr>
        <w:t xml:space="preserve"> </w:t>
      </w:r>
      <w:r>
        <w:rPr>
          <w:spacing w:val="-1"/>
        </w:rPr>
        <w:t>performance</w:t>
      </w:r>
      <w:r>
        <w:rPr>
          <w:spacing w:val="13"/>
        </w:rPr>
        <w:t xml:space="preserve"> </w:t>
      </w:r>
      <w:r>
        <w:rPr>
          <w:spacing w:val="-2"/>
        </w:rPr>
        <w:t>of</w:t>
      </w:r>
      <w:r>
        <w:rPr>
          <w:spacing w:val="14"/>
        </w:rPr>
        <w:t xml:space="preserve"> </w:t>
      </w:r>
      <w:r>
        <w:t>the</w:t>
      </w:r>
      <w:r>
        <w:rPr>
          <w:spacing w:val="12"/>
        </w:rPr>
        <w:t xml:space="preserve"> </w:t>
      </w:r>
      <w:r>
        <w:rPr>
          <w:spacing w:val="-1"/>
        </w:rPr>
        <w:t>Supplier’s</w:t>
      </w:r>
      <w:r>
        <w:rPr>
          <w:spacing w:val="13"/>
        </w:rPr>
        <w:t xml:space="preserve"> </w:t>
      </w:r>
      <w:r>
        <w:rPr>
          <w:spacing w:val="-1"/>
        </w:rPr>
        <w:t>obligations</w:t>
      </w:r>
      <w:r>
        <w:rPr>
          <w:spacing w:val="34"/>
        </w:rPr>
        <w:t xml:space="preserve"> </w:t>
      </w:r>
      <w:r>
        <w:rPr>
          <w:spacing w:val="-1"/>
        </w:rPr>
        <w:t>under 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and</w:t>
      </w:r>
    </w:p>
    <w:p w:rsidR="008918FA" w:rsidRDefault="008918FA" w:rsidP="008918FA">
      <w:pPr>
        <w:pStyle w:val="BodyText"/>
        <w:numPr>
          <w:ilvl w:val="3"/>
          <w:numId w:val="66"/>
        </w:numPr>
        <w:tabs>
          <w:tab w:val="left" w:pos="2594"/>
        </w:tabs>
        <w:ind w:left="2593" w:right="115" w:hanging="707"/>
        <w:jc w:val="both"/>
      </w:pPr>
      <w:r>
        <w:rPr>
          <w:spacing w:val="-1"/>
        </w:rPr>
        <w:t>its</w:t>
      </w:r>
      <w:r>
        <w:rPr>
          <w:spacing w:val="10"/>
        </w:rPr>
        <w:t xml:space="preserve"> </w:t>
      </w:r>
      <w:r>
        <w:rPr>
          <w:spacing w:val="-1"/>
        </w:rPr>
        <w:t>professional</w:t>
      </w:r>
      <w:r>
        <w:rPr>
          <w:spacing w:val="9"/>
        </w:rPr>
        <w:t xml:space="preserve"> </w:t>
      </w:r>
      <w:r>
        <w:rPr>
          <w:spacing w:val="-1"/>
        </w:rPr>
        <w:t>advisers</w:t>
      </w:r>
      <w:r>
        <w:rPr>
          <w:spacing w:val="8"/>
        </w:rPr>
        <w:t xml:space="preserve"> </w:t>
      </w:r>
      <w:r>
        <w:t>for</w:t>
      </w:r>
      <w:r>
        <w:rPr>
          <w:spacing w:val="9"/>
        </w:rPr>
        <w:t xml:space="preserve"> </w:t>
      </w:r>
      <w:r>
        <w:t>the</w:t>
      </w:r>
      <w:r>
        <w:rPr>
          <w:spacing w:val="10"/>
        </w:rPr>
        <w:t xml:space="preserve"> </w:t>
      </w:r>
      <w:r>
        <w:rPr>
          <w:spacing w:val="-1"/>
        </w:rPr>
        <w:t>purposes</w:t>
      </w:r>
      <w:r>
        <w:rPr>
          <w:spacing w:val="8"/>
        </w:rPr>
        <w:t xml:space="preserve"> </w:t>
      </w:r>
      <w:r>
        <w:rPr>
          <w:spacing w:val="-2"/>
        </w:rPr>
        <w:t>of</w:t>
      </w:r>
      <w:r>
        <w:rPr>
          <w:spacing w:val="11"/>
        </w:rPr>
        <w:t xml:space="preserve"> </w:t>
      </w:r>
      <w:r>
        <w:rPr>
          <w:spacing w:val="-2"/>
        </w:rPr>
        <w:t>obtaining</w:t>
      </w:r>
      <w:r>
        <w:rPr>
          <w:spacing w:val="12"/>
        </w:rPr>
        <w:t xml:space="preserve"> </w:t>
      </w:r>
      <w:r>
        <w:rPr>
          <w:spacing w:val="-2"/>
        </w:rPr>
        <w:t>advice</w:t>
      </w:r>
      <w:r>
        <w:rPr>
          <w:spacing w:val="10"/>
        </w:rPr>
        <w:t xml:space="preserve"> </w:t>
      </w:r>
      <w:r>
        <w:rPr>
          <w:spacing w:val="-1"/>
        </w:rPr>
        <w:t>in</w:t>
      </w:r>
      <w:r>
        <w:rPr>
          <w:spacing w:val="39"/>
        </w:rPr>
        <w:t xml:space="preserve"> </w:t>
      </w:r>
      <w:r>
        <w:rPr>
          <w:spacing w:val="-1"/>
        </w:rPr>
        <w:t>relation</w:t>
      </w:r>
      <w:r>
        <w:t xml:space="preserve"> to</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p>
    <w:p w:rsidR="008918FA" w:rsidRDefault="008918FA" w:rsidP="008918FA">
      <w:pPr>
        <w:pStyle w:val="BodyText"/>
        <w:numPr>
          <w:ilvl w:val="2"/>
          <w:numId w:val="66"/>
        </w:numPr>
        <w:tabs>
          <w:tab w:val="left" w:pos="1886"/>
        </w:tabs>
        <w:ind w:left="1885" w:right="113" w:hanging="993"/>
        <w:jc w:val="both"/>
      </w:pPr>
      <w:r>
        <w:rPr>
          <w:spacing w:val="-1"/>
        </w:rPr>
        <w:t>Where</w:t>
      </w:r>
      <w:r>
        <w:rPr>
          <w:spacing w:val="5"/>
        </w:rPr>
        <w:t xml:space="preserve"> </w:t>
      </w:r>
      <w:r>
        <w:t>the</w:t>
      </w:r>
      <w:r>
        <w:rPr>
          <w:spacing w:val="7"/>
        </w:rPr>
        <w:t xml:space="preserve"> </w:t>
      </w:r>
      <w:r>
        <w:rPr>
          <w:spacing w:val="-2"/>
        </w:rPr>
        <w:t>Supplier</w:t>
      </w:r>
      <w:r>
        <w:rPr>
          <w:spacing w:val="9"/>
        </w:rPr>
        <w:t xml:space="preserve"> </w:t>
      </w:r>
      <w:r>
        <w:rPr>
          <w:spacing w:val="-2"/>
        </w:rPr>
        <w:t>discloses</w:t>
      </w:r>
      <w:r>
        <w:rPr>
          <w:spacing w:val="8"/>
        </w:rPr>
        <w:t xml:space="preserve"> </w:t>
      </w:r>
      <w:r>
        <w:rPr>
          <w:spacing w:val="-1"/>
        </w:rPr>
        <w:t>Confidential</w:t>
      </w:r>
      <w:r>
        <w:rPr>
          <w:spacing w:val="7"/>
        </w:rPr>
        <w:t xml:space="preserve"> </w:t>
      </w:r>
      <w:r>
        <w:rPr>
          <w:spacing w:val="-1"/>
        </w:rPr>
        <w:t>Information</w:t>
      </w:r>
      <w:r>
        <w:rPr>
          <w:spacing w:val="7"/>
        </w:rPr>
        <w:t xml:space="preserve"> </w:t>
      </w:r>
      <w:r>
        <w:rPr>
          <w:spacing w:val="-2"/>
        </w:rPr>
        <w:t>of</w:t>
      </w:r>
      <w:r>
        <w:rPr>
          <w:spacing w:val="9"/>
        </w:rPr>
        <w:t xml:space="preserve"> </w:t>
      </w:r>
      <w:r>
        <w:t>the</w:t>
      </w:r>
      <w:r>
        <w:rPr>
          <w:spacing w:val="7"/>
        </w:rPr>
        <w:t xml:space="preserve"> </w:t>
      </w:r>
      <w:r>
        <w:rPr>
          <w:spacing w:val="-2"/>
        </w:rPr>
        <w:t>Customer</w:t>
      </w:r>
      <w:r>
        <w:rPr>
          <w:spacing w:val="63"/>
        </w:rPr>
        <w:t xml:space="preserve"> </w:t>
      </w:r>
      <w:r>
        <w:rPr>
          <w:spacing w:val="-1"/>
        </w:rPr>
        <w:t>pursuant</w:t>
      </w:r>
      <w:r>
        <w:rPr>
          <w:spacing w:val="19"/>
        </w:rPr>
        <w:t xml:space="preserve"> </w:t>
      </w:r>
      <w:r>
        <w:t>to</w:t>
      </w:r>
      <w:r>
        <w:rPr>
          <w:spacing w:val="17"/>
        </w:rPr>
        <w:t xml:space="preserve"> </w:t>
      </w:r>
      <w:r>
        <w:rPr>
          <w:spacing w:val="-1"/>
        </w:rPr>
        <w:t>this</w:t>
      </w:r>
      <w:r>
        <w:rPr>
          <w:spacing w:val="20"/>
        </w:rPr>
        <w:t xml:space="preserve"> </w:t>
      </w:r>
      <w:r>
        <w:rPr>
          <w:spacing w:val="-2"/>
        </w:rPr>
        <w:t>Clause</w:t>
      </w:r>
      <w:r>
        <w:rPr>
          <w:spacing w:val="20"/>
        </w:rPr>
        <w:t xml:space="preserve"> </w:t>
      </w:r>
      <w:hyperlink w:anchor="_bookmark187" w:history="1">
        <w:r>
          <w:rPr>
            <w:spacing w:val="-1"/>
          </w:rPr>
          <w:t>34.3.5</w:t>
        </w:r>
      </w:hyperlink>
      <w:r>
        <w:rPr>
          <w:spacing w:val="-1"/>
        </w:rPr>
        <w:t>,</w:t>
      </w:r>
      <w:r>
        <w:rPr>
          <w:spacing w:val="21"/>
        </w:rPr>
        <w:t xml:space="preserve"> </w:t>
      </w:r>
      <w:r>
        <w:rPr>
          <w:spacing w:val="-1"/>
        </w:rPr>
        <w:t>it</w:t>
      </w:r>
      <w:r>
        <w:rPr>
          <w:spacing w:val="21"/>
        </w:rPr>
        <w:t xml:space="preserve"> </w:t>
      </w:r>
      <w:r>
        <w:rPr>
          <w:spacing w:val="-1"/>
        </w:rPr>
        <w:t>shall</w:t>
      </w:r>
      <w:r>
        <w:rPr>
          <w:spacing w:val="19"/>
        </w:rPr>
        <w:t xml:space="preserve"> </w:t>
      </w:r>
      <w:r>
        <w:rPr>
          <w:spacing w:val="-1"/>
        </w:rPr>
        <w:t>remain</w:t>
      </w:r>
      <w:r>
        <w:rPr>
          <w:spacing w:val="19"/>
        </w:rPr>
        <w:t xml:space="preserve"> </w:t>
      </w:r>
      <w:r>
        <w:rPr>
          <w:spacing w:val="-1"/>
        </w:rPr>
        <w:t>responsible</w:t>
      </w:r>
      <w:r>
        <w:rPr>
          <w:spacing w:val="20"/>
        </w:rPr>
        <w:t xml:space="preserve"> </w:t>
      </w:r>
      <w:r>
        <w:rPr>
          <w:spacing w:val="-1"/>
        </w:rPr>
        <w:t>at</w:t>
      </w:r>
      <w:r>
        <w:rPr>
          <w:spacing w:val="21"/>
        </w:rPr>
        <w:t xml:space="preserve"> </w:t>
      </w:r>
      <w:r>
        <w:rPr>
          <w:spacing w:val="-1"/>
        </w:rPr>
        <w:t>all</w:t>
      </w:r>
      <w:r>
        <w:rPr>
          <w:spacing w:val="19"/>
        </w:rPr>
        <w:t xml:space="preserve"> </w:t>
      </w:r>
      <w:r>
        <w:rPr>
          <w:spacing w:val="-1"/>
        </w:rPr>
        <w:t>times</w:t>
      </w:r>
      <w:r>
        <w:rPr>
          <w:spacing w:val="36"/>
        </w:rPr>
        <w:t xml:space="preserve"> </w:t>
      </w:r>
      <w:r>
        <w:t>for</w:t>
      </w:r>
      <w:r>
        <w:rPr>
          <w:spacing w:val="2"/>
        </w:rPr>
        <w:t xml:space="preserve"> </w:t>
      </w:r>
      <w:r>
        <w:rPr>
          <w:spacing w:val="-2"/>
        </w:rPr>
        <w:t>compliance</w:t>
      </w:r>
      <w:r>
        <w:rPr>
          <w:spacing w:val="1"/>
        </w:rPr>
        <w:t xml:space="preserve"> </w:t>
      </w:r>
      <w:r>
        <w:rPr>
          <w:spacing w:val="-2"/>
        </w:rPr>
        <w:t>with</w:t>
      </w:r>
      <w:r>
        <w:t xml:space="preserve"> the </w:t>
      </w:r>
      <w:r>
        <w:rPr>
          <w:spacing w:val="-1"/>
        </w:rPr>
        <w:t>confidentiality</w:t>
      </w:r>
      <w:r>
        <w:rPr>
          <w:spacing w:val="-2"/>
        </w:rPr>
        <w:t xml:space="preserve"> </w:t>
      </w:r>
      <w:r>
        <w:rPr>
          <w:spacing w:val="-1"/>
        </w:rPr>
        <w:t>obligations</w:t>
      </w:r>
      <w:r>
        <w:rPr>
          <w:spacing w:val="1"/>
        </w:rPr>
        <w:t xml:space="preserve"> </w:t>
      </w:r>
      <w:r>
        <w:rPr>
          <w:spacing w:val="-1"/>
        </w:rPr>
        <w:t>set</w:t>
      </w:r>
      <w:r>
        <w:rPr>
          <w:spacing w:val="2"/>
        </w:rPr>
        <w:t xml:space="preserve"> </w:t>
      </w:r>
      <w:r>
        <w:rPr>
          <w:spacing w:val="-1"/>
        </w:rPr>
        <w:t>out</w:t>
      </w:r>
      <w:r>
        <w:rPr>
          <w:spacing w:val="2"/>
        </w:rPr>
        <w:t xml:space="preserve"> </w:t>
      </w:r>
      <w:r>
        <w:rPr>
          <w:spacing w:val="-1"/>
        </w:rPr>
        <w:t>in</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57"/>
        </w:rPr>
        <w:t xml:space="preserve"> </w:t>
      </w:r>
      <w:r>
        <w:rPr>
          <w:spacing w:val="-1"/>
        </w:rPr>
        <w:t>Contract</w:t>
      </w:r>
      <w:r>
        <w:rPr>
          <w:spacing w:val="2"/>
        </w:rPr>
        <w:t xml:space="preserve"> </w:t>
      </w:r>
      <w:r>
        <w:rPr>
          <w:spacing w:val="-1"/>
        </w:rPr>
        <w:t>by</w:t>
      </w:r>
      <w:r>
        <w:rPr>
          <w:spacing w:val="-2"/>
        </w:rPr>
        <w:t xml:space="preserve"> </w:t>
      </w:r>
      <w:r>
        <w:t>the</w:t>
      </w:r>
      <w:r>
        <w:rPr>
          <w:spacing w:val="-2"/>
        </w:rPr>
        <w:t xml:space="preserve"> </w:t>
      </w:r>
      <w:r>
        <w:rPr>
          <w:spacing w:val="-1"/>
        </w:rPr>
        <w:t>persons</w:t>
      </w:r>
      <w:r>
        <w:rPr>
          <w:spacing w:val="-2"/>
        </w:rPr>
        <w:t xml:space="preserve"> </w:t>
      </w:r>
      <w:r>
        <w:t xml:space="preserve">to </w:t>
      </w:r>
      <w:r>
        <w:rPr>
          <w:spacing w:val="-2"/>
        </w:rPr>
        <w:t>whom</w:t>
      </w:r>
      <w:r>
        <w:rPr>
          <w:spacing w:val="2"/>
        </w:rPr>
        <w:t xml:space="preserve"> </w:t>
      </w:r>
      <w:r>
        <w:rPr>
          <w:spacing w:val="-1"/>
        </w:rPr>
        <w:t>disclosure</w:t>
      </w:r>
      <w:r>
        <w:rPr>
          <w:spacing w:val="-2"/>
        </w:rPr>
        <w:t xml:space="preserve"> </w:t>
      </w:r>
      <w:r>
        <w:rPr>
          <w:spacing w:val="-1"/>
        </w:rPr>
        <w:t>has</w:t>
      </w:r>
      <w:r>
        <w:rPr>
          <w:spacing w:val="-4"/>
        </w:rPr>
        <w:t xml:space="preserve"> </w:t>
      </w:r>
      <w:r>
        <w:rPr>
          <w:spacing w:val="-1"/>
        </w:rPr>
        <w:t>been</w:t>
      </w:r>
      <w:r>
        <w:t xml:space="preserve"> </w:t>
      </w:r>
      <w:r>
        <w:rPr>
          <w:spacing w:val="-1"/>
        </w:rPr>
        <w:t>made.</w:t>
      </w:r>
    </w:p>
    <w:p w:rsidR="008918FA" w:rsidRDefault="008918FA" w:rsidP="008918FA">
      <w:pPr>
        <w:pStyle w:val="BodyText"/>
        <w:numPr>
          <w:ilvl w:val="2"/>
          <w:numId w:val="66"/>
        </w:numPr>
        <w:tabs>
          <w:tab w:val="left" w:pos="1886"/>
        </w:tabs>
        <w:spacing w:before="121"/>
        <w:ind w:left="1885" w:right="116" w:hanging="993"/>
        <w:jc w:val="both"/>
      </w:pPr>
      <w:bookmarkStart w:id="222" w:name="_bookmark188"/>
      <w:bookmarkEnd w:id="222"/>
      <w:r>
        <w:t>The</w:t>
      </w:r>
      <w:r>
        <w:rPr>
          <w:spacing w:val="42"/>
        </w:rPr>
        <w:t xml:space="preserve"> </w:t>
      </w:r>
      <w:r>
        <w:rPr>
          <w:spacing w:val="-2"/>
        </w:rPr>
        <w:t>Customer</w:t>
      </w:r>
      <w:r>
        <w:rPr>
          <w:spacing w:val="41"/>
        </w:rPr>
        <w:t xml:space="preserve"> </w:t>
      </w:r>
      <w:r>
        <w:rPr>
          <w:spacing w:val="-1"/>
        </w:rPr>
        <w:t>may</w:t>
      </w:r>
      <w:r>
        <w:rPr>
          <w:spacing w:val="40"/>
        </w:rPr>
        <w:t xml:space="preserve"> </w:t>
      </w:r>
      <w:r>
        <w:rPr>
          <w:spacing w:val="-1"/>
        </w:rPr>
        <w:t>disclose</w:t>
      </w:r>
      <w:r>
        <w:rPr>
          <w:spacing w:val="43"/>
        </w:rPr>
        <w:t xml:space="preserve"> </w:t>
      </w:r>
      <w:r>
        <w:t>the</w:t>
      </w:r>
      <w:r>
        <w:rPr>
          <w:spacing w:val="42"/>
        </w:rPr>
        <w:t xml:space="preserve"> </w:t>
      </w:r>
      <w:r>
        <w:rPr>
          <w:spacing w:val="-1"/>
        </w:rPr>
        <w:t>Confidential</w:t>
      </w:r>
      <w:r>
        <w:rPr>
          <w:spacing w:val="42"/>
        </w:rPr>
        <w:t xml:space="preserve"> </w:t>
      </w:r>
      <w:r>
        <w:rPr>
          <w:spacing w:val="-1"/>
        </w:rPr>
        <w:t>Information</w:t>
      </w:r>
      <w:r>
        <w:rPr>
          <w:spacing w:val="43"/>
        </w:rPr>
        <w:t xml:space="preserve"> </w:t>
      </w:r>
      <w:r>
        <w:rPr>
          <w:spacing w:val="-2"/>
        </w:rPr>
        <w:t>of</w:t>
      </w:r>
      <w:r>
        <w:rPr>
          <w:spacing w:val="44"/>
        </w:rPr>
        <w:t xml:space="preserve"> </w:t>
      </w:r>
      <w:r>
        <w:rPr>
          <w:spacing w:val="-1"/>
        </w:rPr>
        <w:t>the</w:t>
      </w:r>
      <w:r>
        <w:rPr>
          <w:spacing w:val="34"/>
        </w:rPr>
        <w:t xml:space="preserve"> </w:t>
      </w:r>
      <w:r>
        <w:rPr>
          <w:spacing w:val="-1"/>
        </w:rPr>
        <w:t>Supplier:</w:t>
      </w:r>
    </w:p>
    <w:p w:rsidR="008918FA" w:rsidRDefault="008918FA" w:rsidP="008918FA">
      <w:pPr>
        <w:pStyle w:val="BodyText"/>
        <w:numPr>
          <w:ilvl w:val="3"/>
          <w:numId w:val="66"/>
        </w:numPr>
        <w:tabs>
          <w:tab w:val="left" w:pos="2594"/>
        </w:tabs>
        <w:spacing w:before="121"/>
        <w:ind w:left="2593" w:right="116"/>
        <w:jc w:val="both"/>
      </w:pPr>
      <w:bookmarkStart w:id="223" w:name="_bookmark189"/>
      <w:bookmarkEnd w:id="223"/>
      <w:r>
        <w:t>to</w:t>
      </w:r>
      <w:r>
        <w:rPr>
          <w:spacing w:val="45"/>
        </w:rPr>
        <w:t xml:space="preserve"> </w:t>
      </w:r>
      <w:r>
        <w:rPr>
          <w:spacing w:val="-1"/>
        </w:rPr>
        <w:t>any</w:t>
      </w:r>
      <w:r>
        <w:rPr>
          <w:spacing w:val="43"/>
        </w:rPr>
        <w:t xml:space="preserve"> </w:t>
      </w:r>
      <w:r>
        <w:rPr>
          <w:spacing w:val="-1"/>
        </w:rPr>
        <w:t>Central</w:t>
      </w:r>
      <w:r>
        <w:rPr>
          <w:spacing w:val="44"/>
        </w:rPr>
        <w:t xml:space="preserve"> </w:t>
      </w:r>
      <w:r>
        <w:rPr>
          <w:spacing w:val="-1"/>
        </w:rPr>
        <w:t>Government</w:t>
      </w:r>
      <w:r>
        <w:rPr>
          <w:spacing w:val="46"/>
        </w:rPr>
        <w:t xml:space="preserve"> </w:t>
      </w:r>
      <w:r>
        <w:rPr>
          <w:spacing w:val="-1"/>
        </w:rPr>
        <w:t>Body</w:t>
      </w:r>
      <w:r>
        <w:rPr>
          <w:spacing w:val="43"/>
        </w:rPr>
        <w:t xml:space="preserve"> </w:t>
      </w:r>
      <w:r>
        <w:rPr>
          <w:spacing w:val="-1"/>
        </w:rPr>
        <w:t>on</w:t>
      </w:r>
      <w:r>
        <w:rPr>
          <w:spacing w:val="45"/>
        </w:rPr>
        <w:t xml:space="preserve"> </w:t>
      </w:r>
      <w:r>
        <w:t>the</w:t>
      </w:r>
      <w:r>
        <w:rPr>
          <w:spacing w:val="46"/>
        </w:rPr>
        <w:t xml:space="preserve"> </w:t>
      </w:r>
      <w:r>
        <w:rPr>
          <w:spacing w:val="-1"/>
        </w:rPr>
        <w:t>basis</w:t>
      </w:r>
      <w:r>
        <w:rPr>
          <w:spacing w:val="45"/>
        </w:rPr>
        <w:t xml:space="preserve"> </w:t>
      </w:r>
      <w:r>
        <w:rPr>
          <w:spacing w:val="-1"/>
        </w:rPr>
        <w:t>that</w:t>
      </w:r>
      <w:r>
        <w:rPr>
          <w:spacing w:val="46"/>
        </w:rPr>
        <w:t xml:space="preserve"> </w:t>
      </w:r>
      <w:r>
        <w:rPr>
          <w:spacing w:val="-1"/>
        </w:rPr>
        <w:t>the</w:t>
      </w:r>
      <w:r>
        <w:rPr>
          <w:spacing w:val="32"/>
        </w:rPr>
        <w:t xml:space="preserve"> </w:t>
      </w:r>
      <w:r>
        <w:rPr>
          <w:spacing w:val="-1"/>
        </w:rPr>
        <w:t>information</w:t>
      </w:r>
      <w:r>
        <w:rPr>
          <w:spacing w:val="46"/>
        </w:rPr>
        <w:t xml:space="preserve"> </w:t>
      </w:r>
      <w:r>
        <w:rPr>
          <w:spacing w:val="-1"/>
        </w:rPr>
        <w:t>may</w:t>
      </w:r>
      <w:r>
        <w:rPr>
          <w:spacing w:val="44"/>
        </w:rPr>
        <w:t xml:space="preserve"> </w:t>
      </w:r>
      <w:r>
        <w:rPr>
          <w:spacing w:val="-1"/>
        </w:rPr>
        <w:t>only</w:t>
      </w:r>
      <w:r>
        <w:rPr>
          <w:spacing w:val="46"/>
        </w:rPr>
        <w:t xml:space="preserve"> </w:t>
      </w:r>
      <w:r>
        <w:rPr>
          <w:spacing w:val="-1"/>
        </w:rPr>
        <w:t>be</w:t>
      </w:r>
      <w:r>
        <w:rPr>
          <w:spacing w:val="46"/>
        </w:rPr>
        <w:t xml:space="preserve"> </w:t>
      </w:r>
      <w:r>
        <w:rPr>
          <w:spacing w:val="-1"/>
        </w:rPr>
        <w:t>further</w:t>
      </w:r>
      <w:r>
        <w:rPr>
          <w:spacing w:val="47"/>
        </w:rPr>
        <w:t xml:space="preserve"> </w:t>
      </w:r>
      <w:r>
        <w:rPr>
          <w:spacing w:val="-1"/>
        </w:rPr>
        <w:t>disclosed</w:t>
      </w:r>
      <w:r>
        <w:rPr>
          <w:spacing w:val="46"/>
        </w:rPr>
        <w:t xml:space="preserve"> </w:t>
      </w:r>
      <w:r>
        <w:t>to</w:t>
      </w:r>
      <w:r>
        <w:rPr>
          <w:spacing w:val="47"/>
        </w:rPr>
        <w:t xml:space="preserve"> </w:t>
      </w:r>
      <w:r>
        <w:rPr>
          <w:spacing w:val="-1"/>
        </w:rPr>
        <w:t>Central</w:t>
      </w:r>
      <w:r>
        <w:rPr>
          <w:spacing w:val="28"/>
        </w:rPr>
        <w:t xml:space="preserve"> </w:t>
      </w:r>
      <w:r>
        <w:rPr>
          <w:spacing w:val="-1"/>
        </w:rPr>
        <w:t>Government</w:t>
      </w:r>
      <w:r>
        <w:rPr>
          <w:spacing w:val="2"/>
        </w:rPr>
        <w:t xml:space="preserve"> </w:t>
      </w:r>
      <w:r>
        <w:rPr>
          <w:spacing w:val="-2"/>
        </w:rPr>
        <w:t>Bodies;</w:t>
      </w:r>
    </w:p>
    <w:p w:rsidR="008918FA" w:rsidRDefault="008918FA" w:rsidP="008918FA">
      <w:pPr>
        <w:pStyle w:val="BodyText"/>
        <w:numPr>
          <w:ilvl w:val="3"/>
          <w:numId w:val="66"/>
        </w:numPr>
        <w:tabs>
          <w:tab w:val="left" w:pos="2594"/>
        </w:tabs>
        <w:spacing w:before="121"/>
        <w:ind w:left="2593" w:right="115"/>
        <w:jc w:val="both"/>
      </w:pPr>
      <w:r>
        <w:t>to</w:t>
      </w:r>
      <w:r>
        <w:rPr>
          <w:spacing w:val="2"/>
        </w:rPr>
        <w:t xml:space="preserve"> </w:t>
      </w:r>
      <w:r>
        <w:t>the</w:t>
      </w:r>
      <w:r>
        <w:rPr>
          <w:spacing w:val="60"/>
        </w:rPr>
        <w:t xml:space="preserve"> </w:t>
      </w:r>
      <w:r>
        <w:rPr>
          <w:spacing w:val="-1"/>
        </w:rPr>
        <w:t>British</w:t>
      </w:r>
      <w:r>
        <w:rPr>
          <w:spacing w:val="3"/>
        </w:rPr>
        <w:t xml:space="preserve"> </w:t>
      </w:r>
      <w:r>
        <w:rPr>
          <w:spacing w:val="-2"/>
        </w:rPr>
        <w:t>Parliament</w:t>
      </w:r>
      <w:r>
        <w:rPr>
          <w:spacing w:val="3"/>
        </w:rPr>
        <w:t xml:space="preserve"> </w:t>
      </w:r>
      <w:r>
        <w:rPr>
          <w:spacing w:val="-1"/>
        </w:rPr>
        <w:t>and</w:t>
      </w:r>
      <w:r>
        <w:rPr>
          <w:spacing w:val="2"/>
        </w:rPr>
        <w:t xml:space="preserve"> </w:t>
      </w:r>
      <w:r>
        <w:rPr>
          <w:spacing w:val="-1"/>
        </w:rPr>
        <w:t>any</w:t>
      </w:r>
      <w:r>
        <w:rPr>
          <w:spacing w:val="1"/>
        </w:rPr>
        <w:t xml:space="preserve"> </w:t>
      </w:r>
      <w:r>
        <w:rPr>
          <w:spacing w:val="-1"/>
        </w:rPr>
        <w:t>committees</w:t>
      </w:r>
      <w:r>
        <w:t xml:space="preserve">  </w:t>
      </w:r>
      <w:r>
        <w:rPr>
          <w:spacing w:val="-2"/>
        </w:rPr>
        <w:t>of</w:t>
      </w:r>
      <w:r>
        <w:rPr>
          <w:spacing w:val="3"/>
        </w:rPr>
        <w:t xml:space="preserve"> </w:t>
      </w:r>
      <w:r>
        <w:t>the</w:t>
      </w:r>
      <w:r>
        <w:rPr>
          <w:spacing w:val="2"/>
        </w:rPr>
        <w:t xml:space="preserve"> </w:t>
      </w:r>
      <w:r>
        <w:rPr>
          <w:spacing w:val="-2"/>
        </w:rPr>
        <w:t>British</w:t>
      </w:r>
      <w:r>
        <w:rPr>
          <w:spacing w:val="40"/>
        </w:rPr>
        <w:t xml:space="preserve"> </w:t>
      </w:r>
      <w:r>
        <w:rPr>
          <w:spacing w:val="-1"/>
        </w:rPr>
        <w:t>Parliament</w:t>
      </w:r>
      <w:r>
        <w:rPr>
          <w:spacing w:val="19"/>
        </w:rPr>
        <w:t xml:space="preserve"> </w:t>
      </w:r>
      <w:r>
        <w:rPr>
          <w:spacing w:val="-2"/>
        </w:rPr>
        <w:t>or</w:t>
      </w:r>
      <w:r>
        <w:rPr>
          <w:spacing w:val="19"/>
        </w:rPr>
        <w:t xml:space="preserve"> </w:t>
      </w:r>
      <w:r>
        <w:rPr>
          <w:spacing w:val="-2"/>
        </w:rPr>
        <w:t>if</w:t>
      </w:r>
      <w:r>
        <w:rPr>
          <w:spacing w:val="19"/>
        </w:rPr>
        <w:t xml:space="preserve"> </w:t>
      </w:r>
      <w:r>
        <w:rPr>
          <w:spacing w:val="-1"/>
        </w:rPr>
        <w:t>required</w:t>
      </w:r>
      <w:r>
        <w:rPr>
          <w:spacing w:val="15"/>
        </w:rPr>
        <w:t xml:space="preserve"> </w:t>
      </w:r>
      <w:r>
        <w:rPr>
          <w:spacing w:val="-1"/>
        </w:rPr>
        <w:t>by</w:t>
      </w:r>
      <w:r>
        <w:rPr>
          <w:spacing w:val="15"/>
        </w:rPr>
        <w:t xml:space="preserve"> </w:t>
      </w:r>
      <w:r>
        <w:rPr>
          <w:spacing w:val="-1"/>
        </w:rPr>
        <w:t>any</w:t>
      </w:r>
      <w:r>
        <w:rPr>
          <w:spacing w:val="15"/>
        </w:rPr>
        <w:t xml:space="preserve"> </w:t>
      </w:r>
      <w:r>
        <w:rPr>
          <w:spacing w:val="-1"/>
        </w:rPr>
        <w:t>British</w:t>
      </w:r>
      <w:r>
        <w:rPr>
          <w:spacing w:val="19"/>
        </w:rPr>
        <w:t xml:space="preserve"> </w:t>
      </w:r>
      <w:r>
        <w:rPr>
          <w:spacing w:val="-1"/>
        </w:rPr>
        <w:t>Parliamentary</w:t>
      </w:r>
      <w:r>
        <w:rPr>
          <w:spacing w:val="15"/>
        </w:rPr>
        <w:t xml:space="preserve"> </w:t>
      </w:r>
      <w:r>
        <w:rPr>
          <w:spacing w:val="-1"/>
        </w:rPr>
        <w:t>reporting</w:t>
      </w:r>
      <w:r>
        <w:rPr>
          <w:spacing w:val="25"/>
        </w:rPr>
        <w:t xml:space="preserve"> </w:t>
      </w:r>
      <w:r>
        <w:rPr>
          <w:spacing w:val="-1"/>
        </w:rPr>
        <w:t>requirement;</w:t>
      </w:r>
    </w:p>
    <w:p w:rsidR="008918FA" w:rsidRDefault="008918FA" w:rsidP="008918FA">
      <w:pPr>
        <w:pStyle w:val="BodyText"/>
        <w:numPr>
          <w:ilvl w:val="3"/>
          <w:numId w:val="66"/>
        </w:numPr>
        <w:tabs>
          <w:tab w:val="left" w:pos="2594"/>
        </w:tabs>
        <w:ind w:left="2593" w:right="116"/>
        <w:jc w:val="both"/>
      </w:pPr>
      <w:r>
        <w:t>to</w:t>
      </w:r>
      <w:r>
        <w:rPr>
          <w:spacing w:val="6"/>
        </w:rPr>
        <w:t xml:space="preserve"> </w:t>
      </w:r>
      <w:r>
        <w:t>the</w:t>
      </w:r>
      <w:r>
        <w:rPr>
          <w:spacing w:val="4"/>
        </w:rPr>
        <w:t xml:space="preserve"> </w:t>
      </w:r>
      <w:r>
        <w:rPr>
          <w:spacing w:val="-1"/>
        </w:rPr>
        <w:t>extent</w:t>
      </w:r>
      <w:r>
        <w:rPr>
          <w:spacing w:val="5"/>
        </w:rPr>
        <w:t xml:space="preserve"> </w:t>
      </w:r>
      <w:r>
        <w:rPr>
          <w:spacing w:val="-1"/>
        </w:rPr>
        <w:t>that</w:t>
      </w:r>
      <w:r>
        <w:rPr>
          <w:spacing w:val="8"/>
        </w:rPr>
        <w:t xml:space="preserve"> </w:t>
      </w:r>
      <w:r>
        <w:t>the</w:t>
      </w:r>
      <w:r>
        <w:rPr>
          <w:spacing w:val="2"/>
        </w:rPr>
        <w:t xml:space="preserve"> </w:t>
      </w:r>
      <w:r>
        <w:rPr>
          <w:spacing w:val="-1"/>
        </w:rPr>
        <w:t>Customer</w:t>
      </w:r>
      <w:r>
        <w:rPr>
          <w:spacing w:val="8"/>
        </w:rPr>
        <w:t xml:space="preserve"> </w:t>
      </w:r>
      <w:r>
        <w:rPr>
          <w:spacing w:val="-2"/>
        </w:rPr>
        <w:t>(acting</w:t>
      </w:r>
      <w:r>
        <w:rPr>
          <w:spacing w:val="6"/>
        </w:rPr>
        <w:t xml:space="preserve"> </w:t>
      </w:r>
      <w:r>
        <w:rPr>
          <w:spacing w:val="-2"/>
        </w:rPr>
        <w:t>reasonably)</w:t>
      </w:r>
      <w:r>
        <w:rPr>
          <w:spacing w:val="8"/>
        </w:rPr>
        <w:t xml:space="preserve"> </w:t>
      </w:r>
      <w:r>
        <w:rPr>
          <w:spacing w:val="-1"/>
        </w:rPr>
        <w:t>deems</w:t>
      </w:r>
      <w:r>
        <w:rPr>
          <w:spacing w:val="41"/>
        </w:rPr>
        <w:t xml:space="preserve"> </w:t>
      </w:r>
      <w:r>
        <w:rPr>
          <w:spacing w:val="-1"/>
        </w:rPr>
        <w:t>disclosure</w:t>
      </w:r>
      <w:r>
        <w:rPr>
          <w:spacing w:val="39"/>
        </w:rPr>
        <w:t xml:space="preserve"> </w:t>
      </w:r>
      <w:r>
        <w:rPr>
          <w:spacing w:val="-1"/>
        </w:rPr>
        <w:t>necessary</w:t>
      </w:r>
      <w:r>
        <w:rPr>
          <w:spacing w:val="36"/>
        </w:rPr>
        <w:t xml:space="preserve"> </w:t>
      </w:r>
      <w:r>
        <w:rPr>
          <w:spacing w:val="-1"/>
        </w:rPr>
        <w:t>or</w:t>
      </w:r>
      <w:r>
        <w:rPr>
          <w:spacing w:val="37"/>
        </w:rPr>
        <w:t xml:space="preserve"> </w:t>
      </w:r>
      <w:r>
        <w:rPr>
          <w:spacing w:val="-1"/>
        </w:rPr>
        <w:t>appropriate</w:t>
      </w:r>
      <w:r>
        <w:rPr>
          <w:spacing w:val="38"/>
        </w:rPr>
        <w:t xml:space="preserve"> </w:t>
      </w:r>
      <w:r>
        <w:rPr>
          <w:spacing w:val="-1"/>
        </w:rPr>
        <w:t>in</w:t>
      </w:r>
      <w:r>
        <w:rPr>
          <w:spacing w:val="38"/>
        </w:rPr>
        <w:t xml:space="preserve"> </w:t>
      </w:r>
      <w:r>
        <w:t>the</w:t>
      </w:r>
      <w:r>
        <w:rPr>
          <w:spacing w:val="38"/>
        </w:rPr>
        <w:t xml:space="preserve"> </w:t>
      </w:r>
      <w:r>
        <w:rPr>
          <w:spacing w:val="-1"/>
        </w:rPr>
        <w:t>course</w:t>
      </w:r>
      <w:r>
        <w:rPr>
          <w:spacing w:val="40"/>
        </w:rPr>
        <w:t xml:space="preserve"> </w:t>
      </w:r>
      <w:r>
        <w:rPr>
          <w:spacing w:val="-2"/>
        </w:rPr>
        <w:t>of</w:t>
      </w:r>
      <w:r>
        <w:rPr>
          <w:spacing w:val="42"/>
        </w:rPr>
        <w:t xml:space="preserve"> </w:t>
      </w:r>
      <w:r>
        <w:rPr>
          <w:spacing w:val="-1"/>
        </w:rPr>
        <w:t>carrying</w:t>
      </w:r>
      <w:r>
        <w:rPr>
          <w:spacing w:val="26"/>
        </w:rPr>
        <w:t xml:space="preserve"> </w:t>
      </w:r>
      <w:r>
        <w:rPr>
          <w:spacing w:val="-1"/>
        </w:rPr>
        <w:t>out</w:t>
      </w:r>
      <w:r>
        <w:rPr>
          <w:spacing w:val="2"/>
        </w:rPr>
        <w:t xml:space="preserve"> </w:t>
      </w:r>
      <w:r>
        <w:rPr>
          <w:spacing w:val="-1"/>
        </w:rPr>
        <w:t>its</w:t>
      </w:r>
      <w:r>
        <w:rPr>
          <w:spacing w:val="-2"/>
        </w:rPr>
        <w:t xml:space="preserve"> public </w:t>
      </w:r>
      <w:r>
        <w:rPr>
          <w:spacing w:val="-1"/>
        </w:rPr>
        <w:t>functions;</w:t>
      </w:r>
    </w:p>
    <w:p w:rsidR="008918FA" w:rsidRDefault="008918FA" w:rsidP="008918FA">
      <w:pPr>
        <w:pStyle w:val="BodyText"/>
        <w:numPr>
          <w:ilvl w:val="3"/>
          <w:numId w:val="66"/>
        </w:numPr>
        <w:tabs>
          <w:tab w:val="left" w:pos="2594"/>
        </w:tabs>
        <w:ind w:left="2593" w:right="115"/>
        <w:jc w:val="both"/>
      </w:pPr>
      <w:r>
        <w:rPr>
          <w:spacing w:val="-1"/>
        </w:rPr>
        <w:t>on</w:t>
      </w:r>
      <w:r>
        <w:rPr>
          <w:spacing w:val="51"/>
        </w:rPr>
        <w:t xml:space="preserve"> </w:t>
      </w:r>
      <w:r>
        <w:t>a</w:t>
      </w:r>
      <w:r>
        <w:rPr>
          <w:spacing w:val="51"/>
        </w:rPr>
        <w:t xml:space="preserve"> </w:t>
      </w:r>
      <w:r>
        <w:rPr>
          <w:spacing w:val="-1"/>
        </w:rPr>
        <w:t>confidential</w:t>
      </w:r>
      <w:r>
        <w:rPr>
          <w:spacing w:val="50"/>
        </w:rPr>
        <w:t xml:space="preserve"> </w:t>
      </w:r>
      <w:r>
        <w:rPr>
          <w:spacing w:val="-1"/>
        </w:rPr>
        <w:t>basis</w:t>
      </w:r>
      <w:r>
        <w:rPr>
          <w:spacing w:val="49"/>
        </w:rPr>
        <w:t xml:space="preserve"> </w:t>
      </w:r>
      <w:r>
        <w:t>to</w:t>
      </w:r>
      <w:r>
        <w:rPr>
          <w:spacing w:val="51"/>
        </w:rPr>
        <w:t xml:space="preserve"> </w:t>
      </w:r>
      <w:r>
        <w:t>a</w:t>
      </w:r>
      <w:r>
        <w:rPr>
          <w:spacing w:val="51"/>
        </w:rPr>
        <w:t xml:space="preserve"> </w:t>
      </w:r>
      <w:r>
        <w:rPr>
          <w:spacing w:val="-1"/>
        </w:rPr>
        <w:t>professional</w:t>
      </w:r>
      <w:r>
        <w:rPr>
          <w:spacing w:val="51"/>
        </w:rPr>
        <w:t xml:space="preserve"> </w:t>
      </w:r>
      <w:r>
        <w:rPr>
          <w:spacing w:val="-1"/>
        </w:rPr>
        <w:t>adviser,</w:t>
      </w:r>
      <w:r>
        <w:rPr>
          <w:spacing w:val="50"/>
        </w:rPr>
        <w:t xml:space="preserve"> </w:t>
      </w:r>
      <w:r>
        <w:rPr>
          <w:spacing w:val="-1"/>
        </w:rPr>
        <w:t>consultant,</w:t>
      </w:r>
      <w:r>
        <w:rPr>
          <w:spacing w:val="21"/>
        </w:rPr>
        <w:t xml:space="preserve"> </w:t>
      </w:r>
      <w:r>
        <w:rPr>
          <w:spacing w:val="-1"/>
        </w:rPr>
        <w:t>supplier</w:t>
      </w:r>
      <w:r>
        <w:rPr>
          <w:spacing w:val="39"/>
        </w:rPr>
        <w:t xml:space="preserve"> </w:t>
      </w:r>
      <w:r>
        <w:rPr>
          <w:spacing w:val="-1"/>
        </w:rPr>
        <w:t>or</w:t>
      </w:r>
      <w:r>
        <w:rPr>
          <w:spacing w:val="39"/>
        </w:rPr>
        <w:t xml:space="preserve"> </w:t>
      </w:r>
      <w:r>
        <w:rPr>
          <w:spacing w:val="-1"/>
        </w:rPr>
        <w:t>other</w:t>
      </w:r>
      <w:r>
        <w:rPr>
          <w:spacing w:val="39"/>
        </w:rPr>
        <w:t xml:space="preserve"> </w:t>
      </w:r>
      <w:r>
        <w:rPr>
          <w:spacing w:val="-1"/>
        </w:rPr>
        <w:t>person</w:t>
      </w:r>
      <w:r>
        <w:rPr>
          <w:spacing w:val="37"/>
        </w:rPr>
        <w:t xml:space="preserve"> </w:t>
      </w:r>
      <w:r>
        <w:rPr>
          <w:spacing w:val="-1"/>
        </w:rPr>
        <w:t>engaged</w:t>
      </w:r>
      <w:r>
        <w:rPr>
          <w:spacing w:val="37"/>
        </w:rPr>
        <w:t xml:space="preserve"> </w:t>
      </w:r>
      <w:r>
        <w:rPr>
          <w:spacing w:val="-1"/>
        </w:rPr>
        <w:t>by</w:t>
      </w:r>
      <w:r>
        <w:rPr>
          <w:spacing w:val="35"/>
        </w:rPr>
        <w:t xml:space="preserve"> </w:t>
      </w:r>
      <w:r>
        <w:rPr>
          <w:spacing w:val="-1"/>
        </w:rPr>
        <w:t>any</w:t>
      </w:r>
      <w:r>
        <w:rPr>
          <w:spacing w:val="36"/>
        </w:rPr>
        <w:t xml:space="preserve"> </w:t>
      </w:r>
      <w:r>
        <w:rPr>
          <w:spacing w:val="-1"/>
        </w:rPr>
        <w:t>of</w:t>
      </w:r>
      <w:r>
        <w:rPr>
          <w:spacing w:val="39"/>
        </w:rPr>
        <w:t xml:space="preserve"> </w:t>
      </w:r>
      <w:r>
        <w:t>the</w:t>
      </w:r>
      <w:r>
        <w:rPr>
          <w:spacing w:val="37"/>
        </w:rPr>
        <w:t xml:space="preserve"> </w:t>
      </w:r>
      <w:r>
        <w:rPr>
          <w:spacing w:val="-1"/>
        </w:rPr>
        <w:t>entities</w:t>
      </w:r>
      <w:r>
        <w:rPr>
          <w:spacing w:val="20"/>
        </w:rPr>
        <w:t xml:space="preserve"> </w:t>
      </w:r>
      <w:r>
        <w:rPr>
          <w:spacing w:val="-1"/>
        </w:rPr>
        <w:t>described</w:t>
      </w:r>
      <w:r>
        <w:t xml:space="preserve"> </w:t>
      </w:r>
      <w:r>
        <w:rPr>
          <w:spacing w:val="32"/>
        </w:rPr>
        <w:t xml:space="preserve"> </w:t>
      </w:r>
      <w:r>
        <w:rPr>
          <w:spacing w:val="-1"/>
        </w:rPr>
        <w:t>in</w:t>
      </w:r>
      <w:r>
        <w:t xml:space="preserve"> </w:t>
      </w:r>
      <w:r>
        <w:rPr>
          <w:spacing w:val="33"/>
        </w:rPr>
        <w:t xml:space="preserve"> </w:t>
      </w:r>
      <w:r>
        <w:rPr>
          <w:spacing w:val="-2"/>
        </w:rPr>
        <w:t>Clause</w:t>
      </w:r>
      <w:r>
        <w:rPr>
          <w:spacing w:val="2"/>
        </w:rPr>
        <w:t xml:space="preserve"> </w:t>
      </w:r>
      <w:hyperlink w:anchor="_bookmark189" w:history="1">
        <w:r>
          <w:rPr>
            <w:spacing w:val="-1"/>
          </w:rPr>
          <w:t>34.3.7(a)</w:t>
        </w:r>
      </w:hyperlink>
      <w:r>
        <w:t xml:space="preserve"> </w:t>
      </w:r>
      <w:r>
        <w:rPr>
          <w:spacing w:val="34"/>
        </w:rPr>
        <w:t xml:space="preserve"> </w:t>
      </w:r>
      <w:r>
        <w:rPr>
          <w:spacing w:val="-1"/>
        </w:rPr>
        <w:t>(including</w:t>
      </w:r>
      <w:r>
        <w:t xml:space="preserve"> </w:t>
      </w:r>
      <w:r>
        <w:rPr>
          <w:spacing w:val="35"/>
        </w:rPr>
        <w:t xml:space="preserve"> </w:t>
      </w:r>
      <w:r>
        <w:rPr>
          <w:spacing w:val="-1"/>
        </w:rPr>
        <w:t>any</w:t>
      </w:r>
      <w:r>
        <w:t xml:space="preserve"> </w:t>
      </w:r>
      <w:r>
        <w:rPr>
          <w:spacing w:val="30"/>
        </w:rPr>
        <w:t xml:space="preserve"> </w:t>
      </w:r>
      <w:r>
        <w:rPr>
          <w:spacing w:val="-1"/>
        </w:rPr>
        <w:t>benchmarking</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spacing w:before="59"/>
        <w:ind w:left="2594" w:right="115" w:firstLine="0"/>
      </w:pPr>
      <w:r>
        <w:rPr>
          <w:spacing w:val="-1"/>
        </w:rPr>
        <w:t>organisation)</w:t>
      </w:r>
      <w:r>
        <w:rPr>
          <w:spacing w:val="14"/>
        </w:rPr>
        <w:t xml:space="preserve"> </w:t>
      </w:r>
      <w:r>
        <w:t>for</w:t>
      </w:r>
      <w:r>
        <w:rPr>
          <w:spacing w:val="16"/>
        </w:rPr>
        <w:t xml:space="preserve"> </w:t>
      </w:r>
      <w:r>
        <w:rPr>
          <w:spacing w:val="-1"/>
        </w:rPr>
        <w:t>any</w:t>
      </w:r>
      <w:r>
        <w:rPr>
          <w:spacing w:val="13"/>
        </w:rPr>
        <w:t xml:space="preserve"> </w:t>
      </w:r>
      <w:r>
        <w:rPr>
          <w:spacing w:val="-1"/>
        </w:rPr>
        <w:t>purpose</w:t>
      </w:r>
      <w:r>
        <w:rPr>
          <w:spacing w:val="15"/>
        </w:rPr>
        <w:t xml:space="preserve"> </w:t>
      </w:r>
      <w:r>
        <w:rPr>
          <w:spacing w:val="-1"/>
        </w:rPr>
        <w:t>relating</w:t>
      </w:r>
      <w:r>
        <w:rPr>
          <w:spacing w:val="17"/>
        </w:rPr>
        <w:t xml:space="preserve"> </w:t>
      </w:r>
      <w:r>
        <w:t>to</w:t>
      </w:r>
      <w:r>
        <w:rPr>
          <w:spacing w:val="12"/>
        </w:rPr>
        <w:t xml:space="preserve"> </w:t>
      </w:r>
      <w:r>
        <w:rPr>
          <w:spacing w:val="-1"/>
        </w:rPr>
        <w:t>or</w:t>
      </w:r>
      <w:r>
        <w:rPr>
          <w:spacing w:val="16"/>
        </w:rPr>
        <w:t xml:space="preserve"> </w:t>
      </w:r>
      <w:r>
        <w:rPr>
          <w:spacing w:val="-2"/>
        </w:rPr>
        <w:t>connected</w:t>
      </w:r>
      <w:r>
        <w:rPr>
          <w:spacing w:val="15"/>
        </w:rPr>
        <w:t xml:space="preserve"> </w:t>
      </w:r>
      <w:r>
        <w:rPr>
          <w:spacing w:val="-2"/>
        </w:rPr>
        <w:t>with</w:t>
      </w:r>
      <w:r>
        <w:rPr>
          <w:spacing w:val="15"/>
        </w:rPr>
        <w:t xml:space="preserve"> </w:t>
      </w:r>
      <w:r>
        <w:rPr>
          <w:spacing w:val="-1"/>
        </w:rPr>
        <w:t>this</w:t>
      </w:r>
      <w:r>
        <w:rPr>
          <w:spacing w:val="41"/>
        </w:rPr>
        <w:t xml:space="preserve"> </w:t>
      </w:r>
      <w:r>
        <w:rPr>
          <w:spacing w:val="-2"/>
        </w:rPr>
        <w:t>Call</w:t>
      </w:r>
      <w:r>
        <w:t xml:space="preserve"> </w:t>
      </w:r>
      <w:r>
        <w:rPr>
          <w:spacing w:val="-1"/>
        </w:rPr>
        <w:t>Off</w:t>
      </w:r>
      <w:r>
        <w:rPr>
          <w:spacing w:val="2"/>
        </w:rPr>
        <w:t xml:space="preserve"> </w:t>
      </w:r>
      <w:r>
        <w:rPr>
          <w:spacing w:val="-2"/>
        </w:rPr>
        <w:t>Contract;</w:t>
      </w:r>
    </w:p>
    <w:p w:rsidR="008918FA" w:rsidRDefault="008918FA" w:rsidP="008918FA">
      <w:pPr>
        <w:pStyle w:val="BodyText"/>
        <w:numPr>
          <w:ilvl w:val="3"/>
          <w:numId w:val="66"/>
        </w:numPr>
        <w:tabs>
          <w:tab w:val="left" w:pos="2595"/>
        </w:tabs>
        <w:spacing w:before="121"/>
        <w:ind w:left="2594" w:right="114"/>
        <w:jc w:val="both"/>
      </w:pPr>
      <w:r>
        <w:rPr>
          <w:spacing w:val="-1"/>
        </w:rPr>
        <w:t>on</w:t>
      </w:r>
      <w:r>
        <w:rPr>
          <w:spacing w:val="43"/>
        </w:rPr>
        <w:t xml:space="preserve"> </w:t>
      </w:r>
      <w:r>
        <w:t>a</w:t>
      </w:r>
      <w:r>
        <w:rPr>
          <w:spacing w:val="43"/>
        </w:rPr>
        <w:t xml:space="preserve"> </w:t>
      </w:r>
      <w:r>
        <w:rPr>
          <w:spacing w:val="-1"/>
        </w:rPr>
        <w:t>confidential</w:t>
      </w:r>
      <w:r>
        <w:rPr>
          <w:spacing w:val="43"/>
        </w:rPr>
        <w:t xml:space="preserve"> </w:t>
      </w:r>
      <w:r>
        <w:rPr>
          <w:spacing w:val="-1"/>
        </w:rPr>
        <w:t>basis</w:t>
      </w:r>
      <w:r>
        <w:rPr>
          <w:spacing w:val="41"/>
        </w:rPr>
        <w:t xml:space="preserve"> </w:t>
      </w:r>
      <w:r>
        <w:t>for</w:t>
      </w:r>
      <w:r>
        <w:rPr>
          <w:spacing w:val="42"/>
        </w:rPr>
        <w:t xml:space="preserve"> </w:t>
      </w:r>
      <w:r>
        <w:t>the</w:t>
      </w:r>
      <w:r>
        <w:rPr>
          <w:spacing w:val="43"/>
        </w:rPr>
        <w:t xml:space="preserve"> </w:t>
      </w:r>
      <w:r>
        <w:rPr>
          <w:spacing w:val="-1"/>
        </w:rPr>
        <w:t>purpose</w:t>
      </w:r>
      <w:r>
        <w:rPr>
          <w:spacing w:val="45"/>
        </w:rPr>
        <w:t xml:space="preserve"> </w:t>
      </w:r>
      <w:r>
        <w:rPr>
          <w:spacing w:val="-2"/>
        </w:rPr>
        <w:t>of</w:t>
      </w:r>
      <w:r>
        <w:rPr>
          <w:spacing w:val="42"/>
        </w:rPr>
        <w:t xml:space="preserve"> </w:t>
      </w:r>
      <w:r>
        <w:t>the</w:t>
      </w:r>
      <w:r>
        <w:rPr>
          <w:spacing w:val="41"/>
        </w:rPr>
        <w:t xml:space="preserve"> </w:t>
      </w:r>
      <w:r>
        <w:rPr>
          <w:spacing w:val="-1"/>
        </w:rPr>
        <w:t>exercise</w:t>
      </w:r>
      <w:r>
        <w:rPr>
          <w:spacing w:val="44"/>
        </w:rPr>
        <w:t xml:space="preserve"> </w:t>
      </w:r>
      <w:r>
        <w:rPr>
          <w:spacing w:val="-2"/>
        </w:rPr>
        <w:t>of</w:t>
      </w:r>
      <w:r>
        <w:rPr>
          <w:spacing w:val="47"/>
        </w:rPr>
        <w:t xml:space="preserve"> </w:t>
      </w:r>
      <w:r>
        <w:rPr>
          <w:spacing w:val="-1"/>
        </w:rPr>
        <w:t>its</w:t>
      </w:r>
      <w:r>
        <w:rPr>
          <w:spacing w:val="29"/>
        </w:rPr>
        <w:t xml:space="preserve"> </w:t>
      </w:r>
      <w:r>
        <w:rPr>
          <w:spacing w:val="-1"/>
        </w:rPr>
        <w:t>rights</w:t>
      </w:r>
      <w:r>
        <w:rPr>
          <w:spacing w:val="1"/>
        </w:rPr>
        <w:t xml:space="preserve"> </w:t>
      </w:r>
      <w:r>
        <w:rPr>
          <w:spacing w:val="-2"/>
        </w:rPr>
        <w:t>under</w:t>
      </w:r>
      <w:r>
        <w:rPr>
          <w:spacing w:val="-1"/>
        </w:rPr>
        <w:t xml:space="preserve"> this</w:t>
      </w:r>
      <w:r>
        <w:rPr>
          <w:spacing w:val="1"/>
        </w:rPr>
        <w:t xml:space="preserve"> </w:t>
      </w:r>
      <w:r>
        <w:rPr>
          <w:spacing w:val="-2"/>
        </w:rPr>
        <w:t>Call</w:t>
      </w:r>
      <w:r>
        <w:rPr>
          <w:spacing w:val="-3"/>
        </w:rPr>
        <w:t xml:space="preserve"> </w:t>
      </w:r>
      <w:r>
        <w:rPr>
          <w:spacing w:val="-1"/>
        </w:rPr>
        <w:t>Off</w:t>
      </w:r>
      <w:r>
        <w:t xml:space="preserve"> </w:t>
      </w:r>
      <w:r>
        <w:rPr>
          <w:spacing w:val="-1"/>
        </w:rPr>
        <w:t>Contract;</w:t>
      </w:r>
      <w:r>
        <w:t xml:space="preserve"> </w:t>
      </w:r>
      <w:r>
        <w:rPr>
          <w:spacing w:val="-1"/>
        </w:rPr>
        <w:t>or</w:t>
      </w:r>
    </w:p>
    <w:p w:rsidR="008918FA" w:rsidRDefault="008918FA" w:rsidP="008918FA">
      <w:pPr>
        <w:pStyle w:val="BodyText"/>
        <w:numPr>
          <w:ilvl w:val="3"/>
          <w:numId w:val="66"/>
        </w:numPr>
        <w:tabs>
          <w:tab w:val="left" w:pos="2595"/>
        </w:tabs>
        <w:spacing w:before="121"/>
        <w:ind w:left="2594" w:right="114"/>
        <w:jc w:val="both"/>
      </w:pPr>
      <w:r>
        <w:t>to</w:t>
      </w:r>
      <w:r>
        <w:rPr>
          <w:spacing w:val="10"/>
        </w:rPr>
        <w:t xml:space="preserve"> </w:t>
      </w:r>
      <w:r>
        <w:t>a</w:t>
      </w:r>
      <w:r>
        <w:rPr>
          <w:spacing w:val="10"/>
        </w:rPr>
        <w:t xml:space="preserve"> </w:t>
      </w:r>
      <w:r>
        <w:rPr>
          <w:spacing w:val="-1"/>
        </w:rPr>
        <w:t>proposed</w:t>
      </w:r>
      <w:r>
        <w:rPr>
          <w:spacing w:val="10"/>
        </w:rPr>
        <w:t xml:space="preserve"> </w:t>
      </w:r>
      <w:r>
        <w:rPr>
          <w:spacing w:val="-1"/>
        </w:rPr>
        <w:t>transferee,</w:t>
      </w:r>
      <w:r>
        <w:rPr>
          <w:spacing w:val="11"/>
        </w:rPr>
        <w:t xml:space="preserve"> </w:t>
      </w:r>
      <w:r>
        <w:rPr>
          <w:spacing w:val="-1"/>
        </w:rPr>
        <w:t>assignee</w:t>
      </w:r>
      <w:r>
        <w:rPr>
          <w:spacing w:val="10"/>
        </w:rPr>
        <w:t xml:space="preserve"> </w:t>
      </w:r>
      <w:r>
        <w:rPr>
          <w:spacing w:val="-2"/>
        </w:rPr>
        <w:t>or</w:t>
      </w:r>
      <w:r>
        <w:rPr>
          <w:spacing w:val="11"/>
        </w:rPr>
        <w:t xml:space="preserve"> </w:t>
      </w:r>
      <w:r>
        <w:rPr>
          <w:spacing w:val="-1"/>
        </w:rPr>
        <w:t>novatee</w:t>
      </w:r>
      <w:r>
        <w:rPr>
          <w:spacing w:val="10"/>
        </w:rPr>
        <w:t xml:space="preserve"> </w:t>
      </w:r>
      <w:r>
        <w:t>of,</w:t>
      </w:r>
      <w:r>
        <w:rPr>
          <w:spacing w:val="9"/>
        </w:rPr>
        <w:t xml:space="preserve"> </w:t>
      </w:r>
      <w:r>
        <w:rPr>
          <w:spacing w:val="-1"/>
        </w:rPr>
        <w:t>or</w:t>
      </w:r>
      <w:r>
        <w:rPr>
          <w:spacing w:val="11"/>
        </w:rPr>
        <w:t xml:space="preserve"> </w:t>
      </w:r>
      <w:r>
        <w:rPr>
          <w:spacing w:val="-1"/>
        </w:rPr>
        <w:t>successor</w:t>
      </w:r>
      <w:r>
        <w:rPr>
          <w:spacing w:val="27"/>
        </w:rPr>
        <w:t xml:space="preserve"> </w:t>
      </w:r>
      <w:r>
        <w:rPr>
          <w:spacing w:val="-1"/>
        </w:rPr>
        <w:t>in</w:t>
      </w:r>
      <w:r>
        <w:t xml:space="preserve"> </w:t>
      </w:r>
      <w:r>
        <w:rPr>
          <w:spacing w:val="-1"/>
        </w:rPr>
        <w:t>title</w:t>
      </w:r>
      <w:r>
        <w:rPr>
          <w:spacing w:val="-2"/>
        </w:rPr>
        <w:t xml:space="preserve"> </w:t>
      </w:r>
      <w:r>
        <w:t>to</w:t>
      </w:r>
      <w:r>
        <w:rPr>
          <w:spacing w:val="-2"/>
        </w:rPr>
        <w:t xml:space="preserve"> </w:t>
      </w:r>
      <w:r>
        <w:t xml:space="preserve">the </w:t>
      </w:r>
      <w:r>
        <w:rPr>
          <w:spacing w:val="-1"/>
        </w:rPr>
        <w:t>Customer,</w:t>
      </w:r>
    </w:p>
    <w:p w:rsidR="008918FA" w:rsidRDefault="008918FA" w:rsidP="008918FA">
      <w:pPr>
        <w:pStyle w:val="BodyText"/>
        <w:numPr>
          <w:ilvl w:val="3"/>
          <w:numId w:val="66"/>
        </w:numPr>
        <w:tabs>
          <w:tab w:val="left" w:pos="2595"/>
        </w:tabs>
        <w:ind w:left="2594" w:right="113"/>
        <w:jc w:val="both"/>
      </w:pPr>
      <w:r>
        <w:rPr>
          <w:spacing w:val="-1"/>
        </w:rPr>
        <w:t>and</w:t>
      </w:r>
      <w:r>
        <w:rPr>
          <w:spacing w:val="15"/>
        </w:rPr>
        <w:t xml:space="preserve"> </w:t>
      </w:r>
      <w:r>
        <w:t>for</w:t>
      </w:r>
      <w:r>
        <w:rPr>
          <w:spacing w:val="16"/>
        </w:rPr>
        <w:t xml:space="preserve"> </w:t>
      </w:r>
      <w:r>
        <w:t>the</w:t>
      </w:r>
      <w:r>
        <w:rPr>
          <w:spacing w:val="15"/>
        </w:rPr>
        <w:t xml:space="preserve"> </w:t>
      </w:r>
      <w:r>
        <w:rPr>
          <w:spacing w:val="-1"/>
        </w:rPr>
        <w:t>purposes</w:t>
      </w:r>
      <w:r>
        <w:rPr>
          <w:spacing w:val="15"/>
        </w:rPr>
        <w:t xml:space="preserve"> </w:t>
      </w:r>
      <w:r>
        <w:rPr>
          <w:spacing w:val="-2"/>
        </w:rPr>
        <w:t>of</w:t>
      </w:r>
      <w:r>
        <w:rPr>
          <w:spacing w:val="16"/>
        </w:rPr>
        <w:t xml:space="preserve"> </w:t>
      </w:r>
      <w:r>
        <w:t>the</w:t>
      </w:r>
      <w:r>
        <w:rPr>
          <w:spacing w:val="12"/>
        </w:rPr>
        <w:t xml:space="preserve"> </w:t>
      </w:r>
      <w:r>
        <w:rPr>
          <w:spacing w:val="-1"/>
        </w:rPr>
        <w:t>foregoing,</w:t>
      </w:r>
      <w:r>
        <w:rPr>
          <w:spacing w:val="14"/>
        </w:rPr>
        <w:t xml:space="preserve"> </w:t>
      </w:r>
      <w:r>
        <w:rPr>
          <w:spacing w:val="-1"/>
        </w:rPr>
        <w:t>references</w:t>
      </w:r>
      <w:r>
        <w:rPr>
          <w:spacing w:val="15"/>
        </w:rPr>
        <w:t xml:space="preserve"> </w:t>
      </w:r>
      <w:r>
        <w:t>to</w:t>
      </w:r>
      <w:r>
        <w:rPr>
          <w:spacing w:val="15"/>
        </w:rPr>
        <w:t xml:space="preserve"> </w:t>
      </w:r>
      <w:r>
        <w:rPr>
          <w:spacing w:val="-1"/>
        </w:rPr>
        <w:t>disclosure</w:t>
      </w:r>
      <w:r>
        <w:rPr>
          <w:spacing w:val="33"/>
        </w:rPr>
        <w:t xml:space="preserve"> </w:t>
      </w:r>
      <w:r>
        <w:rPr>
          <w:spacing w:val="-1"/>
        </w:rPr>
        <w:t>on</w:t>
      </w:r>
      <w:r>
        <w:rPr>
          <w:spacing w:val="14"/>
        </w:rPr>
        <w:t xml:space="preserve"> </w:t>
      </w:r>
      <w:r>
        <w:t>a</w:t>
      </w:r>
      <w:r>
        <w:rPr>
          <w:spacing w:val="14"/>
        </w:rPr>
        <w:t xml:space="preserve"> </w:t>
      </w:r>
      <w:r>
        <w:rPr>
          <w:spacing w:val="-1"/>
        </w:rPr>
        <w:t>confidential</w:t>
      </w:r>
      <w:r>
        <w:rPr>
          <w:spacing w:val="13"/>
        </w:rPr>
        <w:t xml:space="preserve"> </w:t>
      </w:r>
      <w:r>
        <w:rPr>
          <w:spacing w:val="-1"/>
        </w:rPr>
        <w:t>basis</w:t>
      </w:r>
      <w:r>
        <w:rPr>
          <w:spacing w:val="14"/>
        </w:rPr>
        <w:t xml:space="preserve"> </w:t>
      </w:r>
      <w:r>
        <w:rPr>
          <w:spacing w:val="-1"/>
        </w:rPr>
        <w:t>shall</w:t>
      </w:r>
      <w:r>
        <w:rPr>
          <w:spacing w:val="13"/>
        </w:rPr>
        <w:t xml:space="preserve"> </w:t>
      </w:r>
      <w:r>
        <w:rPr>
          <w:spacing w:val="-1"/>
        </w:rPr>
        <w:t>mean</w:t>
      </w:r>
      <w:r>
        <w:rPr>
          <w:spacing w:val="13"/>
        </w:rPr>
        <w:t xml:space="preserve"> </w:t>
      </w:r>
      <w:r>
        <w:rPr>
          <w:spacing w:val="-1"/>
        </w:rPr>
        <w:t>disclosure</w:t>
      </w:r>
      <w:r>
        <w:rPr>
          <w:spacing w:val="11"/>
        </w:rPr>
        <w:t xml:space="preserve"> </w:t>
      </w:r>
      <w:r>
        <w:rPr>
          <w:spacing w:val="-1"/>
        </w:rPr>
        <w:t>subject</w:t>
      </w:r>
      <w:r>
        <w:rPr>
          <w:spacing w:val="13"/>
        </w:rPr>
        <w:t xml:space="preserve"> </w:t>
      </w:r>
      <w:r>
        <w:t>to</w:t>
      </w:r>
      <w:r>
        <w:rPr>
          <w:spacing w:val="14"/>
        </w:rPr>
        <w:t xml:space="preserve"> </w:t>
      </w:r>
      <w:r>
        <w:t>a</w:t>
      </w:r>
      <w:r>
        <w:rPr>
          <w:spacing w:val="25"/>
        </w:rPr>
        <w:t xml:space="preserve"> </w:t>
      </w:r>
      <w:r>
        <w:rPr>
          <w:spacing w:val="-1"/>
        </w:rPr>
        <w:t>confidentiality</w:t>
      </w:r>
      <w:r>
        <w:rPr>
          <w:spacing w:val="34"/>
        </w:rPr>
        <w:t xml:space="preserve"> </w:t>
      </w:r>
      <w:r>
        <w:rPr>
          <w:spacing w:val="-1"/>
        </w:rPr>
        <w:t>agreement</w:t>
      </w:r>
      <w:r>
        <w:rPr>
          <w:spacing w:val="38"/>
        </w:rPr>
        <w:t xml:space="preserve"> </w:t>
      </w:r>
      <w:r>
        <w:rPr>
          <w:spacing w:val="-1"/>
        </w:rPr>
        <w:t>or</w:t>
      </w:r>
      <w:r>
        <w:rPr>
          <w:spacing w:val="38"/>
        </w:rPr>
        <w:t xml:space="preserve"> </w:t>
      </w:r>
      <w:r>
        <w:rPr>
          <w:spacing w:val="-1"/>
        </w:rPr>
        <w:t>arrangement</w:t>
      </w:r>
      <w:r>
        <w:rPr>
          <w:spacing w:val="35"/>
        </w:rPr>
        <w:t xml:space="preserve"> </w:t>
      </w:r>
      <w:r>
        <w:rPr>
          <w:spacing w:val="-1"/>
        </w:rPr>
        <w:t>containing</w:t>
      </w:r>
      <w:r>
        <w:rPr>
          <w:spacing w:val="39"/>
        </w:rPr>
        <w:t xml:space="preserve"> </w:t>
      </w:r>
      <w:r>
        <w:rPr>
          <w:spacing w:val="-1"/>
        </w:rPr>
        <w:t>terms</w:t>
      </w:r>
      <w:r>
        <w:rPr>
          <w:spacing w:val="37"/>
        </w:rPr>
        <w:t xml:space="preserve"> </w:t>
      </w:r>
      <w:r>
        <w:rPr>
          <w:spacing w:val="-1"/>
        </w:rPr>
        <w:t>no</w:t>
      </w:r>
      <w:r>
        <w:rPr>
          <w:spacing w:val="29"/>
        </w:rPr>
        <w:t xml:space="preserve"> </w:t>
      </w:r>
      <w:r>
        <w:rPr>
          <w:spacing w:val="-1"/>
        </w:rPr>
        <w:t>less</w:t>
      </w:r>
      <w:r>
        <w:rPr>
          <w:spacing w:val="44"/>
        </w:rPr>
        <w:t xml:space="preserve"> </w:t>
      </w:r>
      <w:r>
        <w:rPr>
          <w:spacing w:val="-1"/>
        </w:rPr>
        <w:t>stringent</w:t>
      </w:r>
      <w:r>
        <w:rPr>
          <w:spacing w:val="45"/>
        </w:rPr>
        <w:t xml:space="preserve"> </w:t>
      </w:r>
      <w:r>
        <w:rPr>
          <w:spacing w:val="-1"/>
        </w:rPr>
        <w:t>than</w:t>
      </w:r>
      <w:r>
        <w:rPr>
          <w:spacing w:val="41"/>
        </w:rPr>
        <w:t xml:space="preserve"> </w:t>
      </w:r>
      <w:r>
        <w:rPr>
          <w:spacing w:val="-1"/>
        </w:rPr>
        <w:t>those</w:t>
      </w:r>
      <w:r>
        <w:rPr>
          <w:spacing w:val="43"/>
        </w:rPr>
        <w:t xml:space="preserve"> </w:t>
      </w:r>
      <w:r>
        <w:rPr>
          <w:spacing w:val="-1"/>
        </w:rPr>
        <w:t>placed</w:t>
      </w:r>
      <w:r>
        <w:rPr>
          <w:spacing w:val="43"/>
        </w:rPr>
        <w:t xml:space="preserve"> </w:t>
      </w:r>
      <w:r>
        <w:rPr>
          <w:spacing w:val="-1"/>
        </w:rPr>
        <w:t>on</w:t>
      </w:r>
      <w:r>
        <w:rPr>
          <w:spacing w:val="43"/>
        </w:rPr>
        <w:t xml:space="preserve"> </w:t>
      </w:r>
      <w:r>
        <w:t>the</w:t>
      </w:r>
      <w:r>
        <w:rPr>
          <w:spacing w:val="44"/>
        </w:rPr>
        <w:t xml:space="preserve"> </w:t>
      </w:r>
      <w:r>
        <w:rPr>
          <w:spacing w:val="-1"/>
        </w:rPr>
        <w:t>Customer</w:t>
      </w:r>
      <w:r>
        <w:rPr>
          <w:spacing w:val="45"/>
        </w:rPr>
        <w:t xml:space="preserve"> </w:t>
      </w:r>
      <w:r>
        <w:rPr>
          <w:spacing w:val="-1"/>
        </w:rPr>
        <w:t>under</w:t>
      </w:r>
      <w:r>
        <w:rPr>
          <w:spacing w:val="42"/>
        </w:rPr>
        <w:t xml:space="preserve"> </w:t>
      </w:r>
      <w:r>
        <w:rPr>
          <w:spacing w:val="-1"/>
        </w:rPr>
        <w:t>this</w:t>
      </w:r>
      <w:r>
        <w:rPr>
          <w:spacing w:val="33"/>
        </w:rPr>
        <w:t xml:space="preserve"> </w:t>
      </w:r>
      <w:r>
        <w:rPr>
          <w:spacing w:val="-2"/>
        </w:rPr>
        <w:t>Clause</w:t>
      </w:r>
      <w:r>
        <w:rPr>
          <w:spacing w:val="1"/>
        </w:rPr>
        <w:t xml:space="preserve"> </w:t>
      </w:r>
      <w:hyperlink w:anchor="_bookmark184" w:history="1">
        <w:r>
          <w:rPr>
            <w:spacing w:val="-1"/>
          </w:rPr>
          <w:t>34.3</w:t>
        </w:r>
      </w:hyperlink>
      <w:r>
        <w:rPr>
          <w:spacing w:val="-1"/>
        </w:rPr>
        <w:t>.</w:t>
      </w:r>
    </w:p>
    <w:p w:rsidR="008918FA" w:rsidRDefault="008918FA" w:rsidP="008918FA">
      <w:pPr>
        <w:pStyle w:val="BodyText"/>
        <w:numPr>
          <w:ilvl w:val="2"/>
          <w:numId w:val="66"/>
        </w:numPr>
        <w:tabs>
          <w:tab w:val="left" w:pos="1887"/>
        </w:tabs>
        <w:ind w:left="1886" w:right="113"/>
        <w:jc w:val="both"/>
      </w:pPr>
      <w:r>
        <w:rPr>
          <w:spacing w:val="-1"/>
        </w:rPr>
        <w:t>Nothing</w:t>
      </w:r>
      <w:r>
        <w:rPr>
          <w:spacing w:val="34"/>
        </w:rPr>
        <w:t xml:space="preserve"> </w:t>
      </w:r>
      <w:r>
        <w:rPr>
          <w:spacing w:val="-1"/>
        </w:rPr>
        <w:t>in</w:t>
      </w:r>
      <w:r>
        <w:rPr>
          <w:spacing w:val="29"/>
        </w:rPr>
        <w:t xml:space="preserve"> </w:t>
      </w:r>
      <w:r>
        <w:rPr>
          <w:spacing w:val="-1"/>
        </w:rPr>
        <w:t>this</w:t>
      </w:r>
      <w:r>
        <w:rPr>
          <w:spacing w:val="32"/>
        </w:rPr>
        <w:t xml:space="preserve"> </w:t>
      </w:r>
      <w:r>
        <w:rPr>
          <w:spacing w:val="-2"/>
        </w:rPr>
        <w:t>Clause</w:t>
      </w:r>
      <w:r>
        <w:rPr>
          <w:spacing w:val="2"/>
        </w:rPr>
        <w:t xml:space="preserve"> </w:t>
      </w:r>
      <w:hyperlink w:anchor="_bookmark184" w:history="1">
        <w:r>
          <w:rPr>
            <w:spacing w:val="-1"/>
          </w:rPr>
          <w:t>34.3</w:t>
        </w:r>
      </w:hyperlink>
      <w:r>
        <w:rPr>
          <w:spacing w:val="32"/>
        </w:rPr>
        <w:t xml:space="preserve"> </w:t>
      </w:r>
      <w:r>
        <w:rPr>
          <w:spacing w:val="-1"/>
        </w:rPr>
        <w:t>shall</w:t>
      </w:r>
      <w:r>
        <w:rPr>
          <w:spacing w:val="31"/>
        </w:rPr>
        <w:t xml:space="preserve"> </w:t>
      </w:r>
      <w:r>
        <w:rPr>
          <w:spacing w:val="-1"/>
        </w:rPr>
        <w:t>prevent</w:t>
      </w:r>
      <w:r>
        <w:rPr>
          <w:spacing w:val="33"/>
        </w:rPr>
        <w:t xml:space="preserve"> </w:t>
      </w:r>
      <w:r>
        <w:t>a</w:t>
      </w:r>
      <w:r>
        <w:rPr>
          <w:spacing w:val="31"/>
        </w:rPr>
        <w:t xml:space="preserve"> </w:t>
      </w:r>
      <w:r>
        <w:rPr>
          <w:spacing w:val="-2"/>
        </w:rPr>
        <w:t>Recipient</w:t>
      </w:r>
      <w:r>
        <w:rPr>
          <w:spacing w:val="31"/>
        </w:rPr>
        <w:t xml:space="preserve"> </w:t>
      </w:r>
      <w:r>
        <w:t>from</w:t>
      </w:r>
      <w:r>
        <w:rPr>
          <w:spacing w:val="33"/>
        </w:rPr>
        <w:t xml:space="preserve"> </w:t>
      </w:r>
      <w:r>
        <w:rPr>
          <w:spacing w:val="-2"/>
        </w:rPr>
        <w:t>using</w:t>
      </w:r>
      <w:r>
        <w:rPr>
          <w:spacing w:val="34"/>
        </w:rPr>
        <w:t xml:space="preserve"> </w:t>
      </w:r>
      <w:r>
        <w:rPr>
          <w:spacing w:val="-1"/>
        </w:rPr>
        <w:t>any</w:t>
      </w:r>
      <w:r>
        <w:rPr>
          <w:spacing w:val="38"/>
        </w:rPr>
        <w:t xml:space="preserve"> </w:t>
      </w:r>
      <w:r>
        <w:rPr>
          <w:spacing w:val="-1"/>
        </w:rPr>
        <w:t>techniques,</w:t>
      </w:r>
      <w:r>
        <w:rPr>
          <w:spacing w:val="14"/>
        </w:rPr>
        <w:t xml:space="preserve"> </w:t>
      </w:r>
      <w:r>
        <w:rPr>
          <w:spacing w:val="-1"/>
        </w:rPr>
        <w:t>ideas</w:t>
      </w:r>
      <w:r>
        <w:rPr>
          <w:spacing w:val="13"/>
        </w:rPr>
        <w:t xml:space="preserve"> </w:t>
      </w:r>
      <w:r>
        <w:rPr>
          <w:spacing w:val="-1"/>
        </w:rPr>
        <w:t>or</w:t>
      </w:r>
      <w:r>
        <w:rPr>
          <w:spacing w:val="14"/>
        </w:rPr>
        <w:t xml:space="preserve"> </w:t>
      </w:r>
      <w:r>
        <w:rPr>
          <w:spacing w:val="-2"/>
        </w:rPr>
        <w:t>Know-How</w:t>
      </w:r>
      <w:r>
        <w:rPr>
          <w:spacing w:val="9"/>
        </w:rPr>
        <w:t xml:space="preserve"> </w:t>
      </w:r>
      <w:r>
        <w:rPr>
          <w:spacing w:val="-1"/>
        </w:rPr>
        <w:t>gained</w:t>
      </w:r>
      <w:r>
        <w:rPr>
          <w:spacing w:val="12"/>
        </w:rPr>
        <w:t xml:space="preserve"> </w:t>
      </w:r>
      <w:r>
        <w:rPr>
          <w:spacing w:val="-1"/>
        </w:rPr>
        <w:t>during</w:t>
      </w:r>
      <w:r>
        <w:rPr>
          <w:spacing w:val="15"/>
        </w:rPr>
        <w:t xml:space="preserve"> </w:t>
      </w:r>
      <w:r>
        <w:rPr>
          <w:spacing w:val="-1"/>
        </w:rPr>
        <w:t>the</w:t>
      </w:r>
      <w:r>
        <w:rPr>
          <w:spacing w:val="12"/>
        </w:rPr>
        <w:t xml:space="preserve"> </w:t>
      </w:r>
      <w:r>
        <w:rPr>
          <w:spacing w:val="-1"/>
        </w:rPr>
        <w:t>performance</w:t>
      </w:r>
      <w:r>
        <w:rPr>
          <w:spacing w:val="13"/>
        </w:rPr>
        <w:t xml:space="preserve"> </w:t>
      </w:r>
      <w:r>
        <w:rPr>
          <w:spacing w:val="-2"/>
        </w:rPr>
        <w:t>of</w:t>
      </w:r>
      <w:r>
        <w:rPr>
          <w:spacing w:val="14"/>
        </w:rPr>
        <w:t xml:space="preserve"> </w:t>
      </w:r>
      <w:r>
        <w:rPr>
          <w:spacing w:val="-1"/>
        </w:rPr>
        <w:t>this</w:t>
      </w:r>
      <w:r>
        <w:rPr>
          <w:spacing w:val="47"/>
        </w:rPr>
        <w:t xml:space="preserve"> </w:t>
      </w:r>
      <w:r>
        <w:rPr>
          <w:spacing w:val="-2"/>
        </w:rPr>
        <w:t>Call</w:t>
      </w:r>
      <w:r>
        <w:rPr>
          <w:spacing w:val="4"/>
        </w:rPr>
        <w:t xml:space="preserve"> </w:t>
      </w:r>
      <w:r>
        <w:t>Off</w:t>
      </w:r>
      <w:r>
        <w:rPr>
          <w:spacing w:val="9"/>
        </w:rPr>
        <w:t xml:space="preserve"> </w:t>
      </w:r>
      <w:r>
        <w:rPr>
          <w:spacing w:val="-2"/>
        </w:rPr>
        <w:t>Contract</w:t>
      </w:r>
      <w:r>
        <w:rPr>
          <w:spacing w:val="7"/>
        </w:rPr>
        <w:t xml:space="preserve"> </w:t>
      </w:r>
      <w:r>
        <w:rPr>
          <w:spacing w:val="-1"/>
        </w:rPr>
        <w:t>in</w:t>
      </w:r>
      <w:r>
        <w:rPr>
          <w:spacing w:val="5"/>
        </w:rPr>
        <w:t xml:space="preserve"> </w:t>
      </w:r>
      <w:r>
        <w:t>the</w:t>
      </w:r>
      <w:r>
        <w:rPr>
          <w:spacing w:val="5"/>
        </w:rPr>
        <w:t xml:space="preserve"> </w:t>
      </w:r>
      <w:r>
        <w:rPr>
          <w:spacing w:val="-1"/>
        </w:rPr>
        <w:t>course</w:t>
      </w:r>
      <w:r>
        <w:rPr>
          <w:spacing w:val="5"/>
        </w:rPr>
        <w:t xml:space="preserve"> </w:t>
      </w:r>
      <w:r>
        <w:rPr>
          <w:spacing w:val="-2"/>
        </w:rPr>
        <w:t>of</w:t>
      </w:r>
      <w:r>
        <w:rPr>
          <w:spacing w:val="9"/>
        </w:rPr>
        <w:t xml:space="preserve"> </w:t>
      </w:r>
      <w:r>
        <w:rPr>
          <w:spacing w:val="-1"/>
        </w:rPr>
        <w:t>its</w:t>
      </w:r>
      <w:r>
        <w:rPr>
          <w:spacing w:val="5"/>
        </w:rPr>
        <w:t xml:space="preserve"> </w:t>
      </w:r>
      <w:r>
        <w:rPr>
          <w:spacing w:val="-1"/>
        </w:rPr>
        <w:t>normal</w:t>
      </w:r>
      <w:r>
        <w:rPr>
          <w:spacing w:val="4"/>
        </w:rPr>
        <w:t xml:space="preserve"> </w:t>
      </w:r>
      <w:r>
        <w:rPr>
          <w:spacing w:val="-1"/>
        </w:rPr>
        <w:t>business</w:t>
      </w:r>
      <w:r>
        <w:rPr>
          <w:spacing w:val="6"/>
        </w:rPr>
        <w:t xml:space="preserve"> </w:t>
      </w:r>
      <w:r>
        <w:t>to</w:t>
      </w:r>
      <w:r>
        <w:rPr>
          <w:spacing w:val="5"/>
        </w:rPr>
        <w:t xml:space="preserve"> </w:t>
      </w:r>
      <w:r>
        <w:t>the</w:t>
      </w:r>
      <w:r>
        <w:rPr>
          <w:spacing w:val="5"/>
        </w:rPr>
        <w:t xml:space="preserve"> </w:t>
      </w:r>
      <w:r>
        <w:rPr>
          <w:spacing w:val="-1"/>
        </w:rPr>
        <w:t>extent</w:t>
      </w:r>
      <w:r>
        <w:rPr>
          <w:spacing w:val="7"/>
        </w:rPr>
        <w:t xml:space="preserve"> </w:t>
      </w:r>
      <w:r>
        <w:rPr>
          <w:spacing w:val="-1"/>
        </w:rPr>
        <w:t>that</w:t>
      </w:r>
      <w:r>
        <w:rPr>
          <w:spacing w:val="47"/>
        </w:rPr>
        <w:t xml:space="preserve"> </w:t>
      </w:r>
      <w:r>
        <w:rPr>
          <w:spacing w:val="-1"/>
        </w:rPr>
        <w:t>this</w:t>
      </w:r>
      <w:r>
        <w:rPr>
          <w:spacing w:val="9"/>
        </w:rPr>
        <w:t xml:space="preserve"> </w:t>
      </w:r>
      <w:r>
        <w:rPr>
          <w:spacing w:val="-1"/>
        </w:rPr>
        <w:t>use</w:t>
      </w:r>
      <w:r>
        <w:rPr>
          <w:spacing w:val="9"/>
        </w:rPr>
        <w:t xml:space="preserve"> </w:t>
      </w:r>
      <w:r>
        <w:rPr>
          <w:spacing w:val="-1"/>
        </w:rPr>
        <w:t>does</w:t>
      </w:r>
      <w:r>
        <w:rPr>
          <w:spacing w:val="9"/>
        </w:rPr>
        <w:t xml:space="preserve"> </w:t>
      </w:r>
      <w:r>
        <w:rPr>
          <w:spacing w:val="-1"/>
        </w:rPr>
        <w:t>not</w:t>
      </w:r>
      <w:r>
        <w:rPr>
          <w:spacing w:val="10"/>
        </w:rPr>
        <w:t xml:space="preserve"> </w:t>
      </w:r>
      <w:r>
        <w:rPr>
          <w:spacing w:val="-2"/>
        </w:rPr>
        <w:t>result</w:t>
      </w:r>
      <w:r>
        <w:rPr>
          <w:spacing w:val="10"/>
        </w:rPr>
        <w:t xml:space="preserve"> </w:t>
      </w:r>
      <w:r>
        <w:rPr>
          <w:spacing w:val="-1"/>
        </w:rPr>
        <w:t>in</w:t>
      </w:r>
      <w:r>
        <w:rPr>
          <w:spacing w:val="9"/>
        </w:rPr>
        <w:t xml:space="preserve"> </w:t>
      </w:r>
      <w:r>
        <w:t>a</w:t>
      </w:r>
      <w:r>
        <w:rPr>
          <w:spacing w:val="9"/>
        </w:rPr>
        <w:t xml:space="preserve"> </w:t>
      </w:r>
      <w:r>
        <w:rPr>
          <w:spacing w:val="-1"/>
        </w:rPr>
        <w:t>disclosure</w:t>
      </w:r>
      <w:r>
        <w:rPr>
          <w:spacing w:val="9"/>
        </w:rPr>
        <w:t xml:space="preserve"> </w:t>
      </w:r>
      <w:r>
        <w:rPr>
          <w:spacing w:val="-1"/>
        </w:rPr>
        <w:t>of</w:t>
      </w:r>
      <w:r>
        <w:rPr>
          <w:spacing w:val="13"/>
        </w:rPr>
        <w:t xml:space="preserve"> </w:t>
      </w:r>
      <w:r>
        <w:rPr>
          <w:spacing w:val="-1"/>
        </w:rPr>
        <w:t>the</w:t>
      </w:r>
      <w:r>
        <w:rPr>
          <w:spacing w:val="9"/>
        </w:rPr>
        <w:t xml:space="preserve"> </w:t>
      </w:r>
      <w:r>
        <w:rPr>
          <w:spacing w:val="-2"/>
        </w:rPr>
        <w:t>Disclosing</w:t>
      </w:r>
      <w:r>
        <w:rPr>
          <w:spacing w:val="11"/>
        </w:rPr>
        <w:t xml:space="preserve"> </w:t>
      </w:r>
      <w:r>
        <w:rPr>
          <w:spacing w:val="-1"/>
        </w:rPr>
        <w:t>Party’s</w:t>
      </w:r>
      <w:r>
        <w:rPr>
          <w:spacing w:val="49"/>
        </w:rPr>
        <w:t xml:space="preserve"> </w:t>
      </w:r>
      <w:r>
        <w:rPr>
          <w:spacing w:val="-1"/>
        </w:rPr>
        <w:t>Confidential</w:t>
      </w:r>
      <w:r>
        <w:rPr>
          <w:spacing w:val="11"/>
        </w:rPr>
        <w:t xml:space="preserve"> </w:t>
      </w:r>
      <w:r>
        <w:rPr>
          <w:spacing w:val="-1"/>
        </w:rPr>
        <w:t>Information</w:t>
      </w:r>
      <w:r>
        <w:rPr>
          <w:spacing w:val="9"/>
        </w:rPr>
        <w:t xml:space="preserve"> </w:t>
      </w:r>
      <w:r>
        <w:rPr>
          <w:spacing w:val="-1"/>
        </w:rPr>
        <w:t>or</w:t>
      </w:r>
      <w:r>
        <w:rPr>
          <w:spacing w:val="13"/>
        </w:rPr>
        <w:t xml:space="preserve"> </w:t>
      </w:r>
      <w:r>
        <w:rPr>
          <w:spacing w:val="-1"/>
        </w:rPr>
        <w:t>an</w:t>
      </w:r>
      <w:r>
        <w:rPr>
          <w:spacing w:val="11"/>
        </w:rPr>
        <w:t xml:space="preserve"> </w:t>
      </w:r>
      <w:r>
        <w:rPr>
          <w:spacing w:val="-1"/>
        </w:rPr>
        <w:t>infringement</w:t>
      </w:r>
      <w:r>
        <w:rPr>
          <w:spacing w:val="13"/>
        </w:rPr>
        <w:t xml:space="preserve"> </w:t>
      </w:r>
      <w:r>
        <w:rPr>
          <w:spacing w:val="-2"/>
        </w:rPr>
        <w:t>of</w:t>
      </w:r>
      <w:r>
        <w:rPr>
          <w:spacing w:val="13"/>
        </w:rPr>
        <w:t xml:space="preserve"> </w:t>
      </w:r>
      <w:r>
        <w:rPr>
          <w:spacing w:val="-1"/>
        </w:rPr>
        <w:t>Intellectual</w:t>
      </w:r>
      <w:r>
        <w:rPr>
          <w:spacing w:val="11"/>
        </w:rPr>
        <w:t xml:space="preserve"> </w:t>
      </w:r>
      <w:r>
        <w:rPr>
          <w:spacing w:val="-1"/>
        </w:rPr>
        <w:t>Property</w:t>
      </w:r>
      <w:r>
        <w:rPr>
          <w:spacing w:val="43"/>
        </w:rPr>
        <w:t xml:space="preserve"> </w:t>
      </w:r>
      <w:r>
        <w:rPr>
          <w:spacing w:val="-1"/>
        </w:rPr>
        <w:t>Rights.</w:t>
      </w:r>
    </w:p>
    <w:p w:rsidR="008918FA" w:rsidRDefault="008918FA" w:rsidP="008918FA">
      <w:pPr>
        <w:pStyle w:val="BodyText"/>
        <w:numPr>
          <w:ilvl w:val="2"/>
          <w:numId w:val="66"/>
        </w:numPr>
        <w:tabs>
          <w:tab w:val="left" w:pos="1887"/>
        </w:tabs>
        <w:ind w:left="1885" w:right="111" w:hanging="993"/>
        <w:jc w:val="both"/>
      </w:pPr>
      <w:bookmarkStart w:id="224" w:name="_bookmark190"/>
      <w:bookmarkEnd w:id="224"/>
      <w:r>
        <w:t>In</w:t>
      </w:r>
      <w:r>
        <w:rPr>
          <w:spacing w:val="34"/>
        </w:rPr>
        <w:t xml:space="preserve"> </w:t>
      </w:r>
      <w:r>
        <w:t>the</w:t>
      </w:r>
      <w:r>
        <w:rPr>
          <w:spacing w:val="34"/>
        </w:rPr>
        <w:t xml:space="preserve"> </w:t>
      </w:r>
      <w:r>
        <w:rPr>
          <w:spacing w:val="-2"/>
        </w:rPr>
        <w:t>event</w:t>
      </w:r>
      <w:r>
        <w:rPr>
          <w:spacing w:val="35"/>
        </w:rPr>
        <w:t xml:space="preserve"> </w:t>
      </w:r>
      <w:r>
        <w:rPr>
          <w:spacing w:val="-1"/>
        </w:rPr>
        <w:t>that</w:t>
      </w:r>
      <w:r>
        <w:rPr>
          <w:spacing w:val="35"/>
        </w:rPr>
        <w:t xml:space="preserve"> </w:t>
      </w:r>
      <w:r>
        <w:t>the</w:t>
      </w:r>
      <w:r>
        <w:rPr>
          <w:spacing w:val="34"/>
        </w:rPr>
        <w:t xml:space="preserve"> </w:t>
      </w:r>
      <w:r>
        <w:rPr>
          <w:spacing w:val="-2"/>
        </w:rPr>
        <w:t>Supplier</w:t>
      </w:r>
      <w:r>
        <w:rPr>
          <w:spacing w:val="35"/>
        </w:rPr>
        <w:t xml:space="preserve"> </w:t>
      </w:r>
      <w:r>
        <w:rPr>
          <w:spacing w:val="-1"/>
        </w:rPr>
        <w:t>fails</w:t>
      </w:r>
      <w:r>
        <w:rPr>
          <w:spacing w:val="35"/>
        </w:rPr>
        <w:t xml:space="preserve"> </w:t>
      </w:r>
      <w:r>
        <w:t>to</w:t>
      </w:r>
      <w:r>
        <w:rPr>
          <w:spacing w:val="34"/>
        </w:rPr>
        <w:t xml:space="preserve"> </w:t>
      </w:r>
      <w:r>
        <w:rPr>
          <w:spacing w:val="-1"/>
        </w:rPr>
        <w:t>comply</w:t>
      </w:r>
      <w:r>
        <w:rPr>
          <w:spacing w:val="34"/>
        </w:rPr>
        <w:t xml:space="preserve"> </w:t>
      </w:r>
      <w:r>
        <w:rPr>
          <w:spacing w:val="-1"/>
        </w:rPr>
        <w:t>with</w:t>
      </w:r>
      <w:r>
        <w:rPr>
          <w:spacing w:val="34"/>
        </w:rPr>
        <w:t xml:space="preserve"> </w:t>
      </w:r>
      <w:r>
        <w:rPr>
          <w:spacing w:val="-1"/>
        </w:rPr>
        <w:t>Clauses</w:t>
      </w:r>
      <w:r>
        <w:rPr>
          <w:spacing w:val="35"/>
        </w:rPr>
        <w:t xml:space="preserve"> </w:t>
      </w:r>
      <w:hyperlink w:anchor="_bookmark186" w:history="1">
        <w:r>
          <w:rPr>
            <w:spacing w:val="-1"/>
          </w:rPr>
          <w:t>34.3.2</w:t>
        </w:r>
      </w:hyperlink>
      <w:r>
        <w:rPr>
          <w:spacing w:val="34"/>
        </w:rPr>
        <w:t xml:space="preserve"> </w:t>
      </w:r>
      <w:r>
        <w:t>to</w:t>
      </w:r>
      <w:r>
        <w:rPr>
          <w:spacing w:val="59"/>
        </w:rPr>
        <w:t xml:space="preserve"> </w:t>
      </w:r>
      <w:hyperlink w:anchor="_bookmark187" w:history="1">
        <w:r>
          <w:rPr>
            <w:spacing w:val="-1"/>
          </w:rPr>
          <w:t>34.3.5</w:t>
        </w:r>
      </w:hyperlink>
      <w:r>
        <w:rPr>
          <w:spacing w:val="-1"/>
        </w:rPr>
        <w:t>,</w:t>
      </w:r>
      <w:r>
        <w:rPr>
          <w:spacing w:val="8"/>
        </w:rPr>
        <w:t xml:space="preserve"> </w:t>
      </w:r>
      <w:r>
        <w:t>the</w:t>
      </w:r>
      <w:r>
        <w:rPr>
          <w:spacing w:val="6"/>
        </w:rPr>
        <w:t xml:space="preserve"> </w:t>
      </w:r>
      <w:r>
        <w:rPr>
          <w:spacing w:val="-2"/>
        </w:rPr>
        <w:t>Customer</w:t>
      </w:r>
      <w:r>
        <w:rPr>
          <w:spacing w:val="8"/>
        </w:rPr>
        <w:t xml:space="preserve"> </w:t>
      </w:r>
      <w:r>
        <w:rPr>
          <w:spacing w:val="-1"/>
        </w:rPr>
        <w:t>reserves</w:t>
      </w:r>
      <w:r>
        <w:rPr>
          <w:spacing w:val="7"/>
        </w:rPr>
        <w:t xml:space="preserve"> </w:t>
      </w:r>
      <w:r>
        <w:t>the</w:t>
      </w:r>
      <w:r>
        <w:rPr>
          <w:spacing w:val="6"/>
        </w:rPr>
        <w:t xml:space="preserve"> </w:t>
      </w:r>
      <w:r>
        <w:rPr>
          <w:spacing w:val="-1"/>
        </w:rPr>
        <w:t>right</w:t>
      </w:r>
      <w:r>
        <w:rPr>
          <w:spacing w:val="8"/>
        </w:rPr>
        <w:t xml:space="preserve"> </w:t>
      </w:r>
      <w:r>
        <w:t>to</w:t>
      </w:r>
      <w:r>
        <w:rPr>
          <w:spacing w:val="4"/>
        </w:rPr>
        <w:t xml:space="preserve"> </w:t>
      </w:r>
      <w:r>
        <w:rPr>
          <w:spacing w:val="-1"/>
        </w:rPr>
        <w:t>terminate</w:t>
      </w:r>
      <w:r>
        <w:rPr>
          <w:spacing w:val="4"/>
        </w:rPr>
        <w:t xml:space="preserve"> </w:t>
      </w:r>
      <w:r>
        <w:rPr>
          <w:spacing w:val="-1"/>
        </w:rPr>
        <w:t>this</w:t>
      </w:r>
      <w:r>
        <w:rPr>
          <w:spacing w:val="7"/>
        </w:rPr>
        <w:t xml:space="preserve"> </w:t>
      </w:r>
      <w:r>
        <w:rPr>
          <w:spacing w:val="-2"/>
        </w:rPr>
        <w:t>Call</w:t>
      </w:r>
      <w:r>
        <w:rPr>
          <w:spacing w:val="6"/>
        </w:rPr>
        <w:t xml:space="preserve"> </w:t>
      </w:r>
      <w:r>
        <w:rPr>
          <w:spacing w:val="-1"/>
        </w:rPr>
        <w:t>Off</w:t>
      </w:r>
      <w:r>
        <w:rPr>
          <w:spacing w:val="47"/>
        </w:rPr>
        <w:t xml:space="preserve"> </w:t>
      </w:r>
      <w:r>
        <w:rPr>
          <w:spacing w:val="-1"/>
        </w:rPr>
        <w:t>Contract</w:t>
      </w:r>
      <w:r>
        <w:t xml:space="preserve"> for</w:t>
      </w:r>
      <w:r>
        <w:rPr>
          <w:spacing w:val="-1"/>
        </w:rPr>
        <w:t xml:space="preserve"> material</w:t>
      </w:r>
      <w:r>
        <w:t xml:space="preserve"> </w:t>
      </w:r>
      <w:r>
        <w:rPr>
          <w:spacing w:val="-1"/>
        </w:rPr>
        <w:t>Default.</w:t>
      </w:r>
    </w:p>
    <w:p w:rsidR="008918FA" w:rsidRDefault="008918FA" w:rsidP="008918FA">
      <w:pPr>
        <w:pStyle w:val="Heading1"/>
        <w:numPr>
          <w:ilvl w:val="1"/>
          <w:numId w:val="66"/>
        </w:numPr>
        <w:tabs>
          <w:tab w:val="left" w:pos="955"/>
        </w:tabs>
        <w:ind w:left="954" w:hanging="626"/>
        <w:rPr>
          <w:b w:val="0"/>
          <w:bCs w:val="0"/>
        </w:rPr>
      </w:pPr>
      <w:r>
        <w:rPr>
          <w:spacing w:val="-1"/>
        </w:rPr>
        <w:t>Transparency</w:t>
      </w:r>
    </w:p>
    <w:p w:rsidR="008918FA" w:rsidRDefault="008918FA" w:rsidP="008918FA">
      <w:pPr>
        <w:pStyle w:val="BodyText"/>
        <w:numPr>
          <w:ilvl w:val="2"/>
          <w:numId w:val="66"/>
        </w:numPr>
        <w:tabs>
          <w:tab w:val="left" w:pos="1887"/>
        </w:tabs>
        <w:spacing w:before="124"/>
        <w:ind w:left="1886" w:right="113"/>
        <w:jc w:val="both"/>
      </w:pPr>
      <w:r>
        <w:t>The</w:t>
      </w:r>
      <w:r>
        <w:rPr>
          <w:spacing w:val="58"/>
        </w:rPr>
        <w:t xml:space="preserve"> </w:t>
      </w:r>
      <w:r>
        <w:rPr>
          <w:spacing w:val="-1"/>
        </w:rPr>
        <w:t>Parties</w:t>
      </w:r>
      <w:r>
        <w:rPr>
          <w:spacing w:val="58"/>
        </w:rPr>
        <w:t xml:space="preserve"> </w:t>
      </w:r>
      <w:r>
        <w:rPr>
          <w:spacing w:val="-1"/>
        </w:rPr>
        <w:t>acknowledge</w:t>
      </w:r>
      <w:r>
        <w:rPr>
          <w:spacing w:val="55"/>
        </w:rPr>
        <w:t xml:space="preserve"> </w:t>
      </w:r>
      <w:r>
        <w:rPr>
          <w:spacing w:val="-1"/>
        </w:rPr>
        <w:t>that,</w:t>
      </w:r>
      <w:r>
        <w:rPr>
          <w:spacing w:val="59"/>
        </w:rPr>
        <w:t xml:space="preserve"> </w:t>
      </w:r>
      <w:r>
        <w:rPr>
          <w:spacing w:val="-1"/>
        </w:rPr>
        <w:t>except</w:t>
      </w:r>
      <w:r>
        <w:rPr>
          <w:spacing w:val="57"/>
        </w:rPr>
        <w:t xml:space="preserve"> </w:t>
      </w:r>
      <w:r>
        <w:t>for</w:t>
      </w:r>
      <w:r>
        <w:rPr>
          <w:spacing w:val="59"/>
        </w:rPr>
        <w:t xml:space="preserve"> </w:t>
      </w:r>
      <w:r>
        <w:rPr>
          <w:spacing w:val="-1"/>
        </w:rPr>
        <w:t>any</w:t>
      </w:r>
      <w:r>
        <w:rPr>
          <w:spacing w:val="57"/>
        </w:rPr>
        <w:t xml:space="preserve"> </w:t>
      </w:r>
      <w:r>
        <w:rPr>
          <w:spacing w:val="-1"/>
        </w:rPr>
        <w:t>information</w:t>
      </w:r>
      <w:r>
        <w:rPr>
          <w:spacing w:val="58"/>
        </w:rPr>
        <w:t xml:space="preserve"> </w:t>
      </w:r>
      <w:r>
        <w:rPr>
          <w:spacing w:val="-2"/>
        </w:rPr>
        <w:t>which</w:t>
      </w:r>
      <w:r>
        <w:rPr>
          <w:spacing w:val="58"/>
        </w:rPr>
        <w:t xml:space="preserve"> </w:t>
      </w:r>
      <w:r>
        <w:rPr>
          <w:spacing w:val="-1"/>
        </w:rPr>
        <w:t>is</w:t>
      </w:r>
      <w:r>
        <w:rPr>
          <w:spacing w:val="23"/>
        </w:rPr>
        <w:t xml:space="preserve"> </w:t>
      </w:r>
      <w:r>
        <w:rPr>
          <w:spacing w:val="-1"/>
        </w:rPr>
        <w:t>exempt</w:t>
      </w:r>
      <w:r>
        <w:rPr>
          <w:spacing w:val="9"/>
        </w:rPr>
        <w:t xml:space="preserve"> </w:t>
      </w:r>
      <w:r>
        <w:t>from</w:t>
      </w:r>
      <w:r>
        <w:rPr>
          <w:spacing w:val="9"/>
        </w:rPr>
        <w:t xml:space="preserve"> </w:t>
      </w:r>
      <w:r>
        <w:rPr>
          <w:spacing w:val="-1"/>
        </w:rPr>
        <w:t>disclosure</w:t>
      </w:r>
      <w:r>
        <w:rPr>
          <w:spacing w:val="10"/>
        </w:rPr>
        <w:t xml:space="preserve"> </w:t>
      </w:r>
      <w:r>
        <w:rPr>
          <w:spacing w:val="-2"/>
        </w:rPr>
        <w:t>in</w:t>
      </w:r>
      <w:r>
        <w:rPr>
          <w:spacing w:val="10"/>
        </w:rPr>
        <w:t xml:space="preserve"> </w:t>
      </w:r>
      <w:r>
        <w:rPr>
          <w:spacing w:val="-1"/>
        </w:rPr>
        <w:t>accordance</w:t>
      </w:r>
      <w:r>
        <w:rPr>
          <w:spacing w:val="8"/>
        </w:rPr>
        <w:t xml:space="preserve"> </w:t>
      </w:r>
      <w:r>
        <w:rPr>
          <w:spacing w:val="-2"/>
        </w:rPr>
        <w:t>with</w:t>
      </w:r>
      <w:r>
        <w:rPr>
          <w:spacing w:val="10"/>
        </w:rPr>
        <w:t xml:space="preserve"> </w:t>
      </w:r>
      <w:r>
        <w:t>the</w:t>
      </w:r>
      <w:r>
        <w:rPr>
          <w:spacing w:val="10"/>
        </w:rPr>
        <w:t xml:space="preserve"> </w:t>
      </w:r>
      <w:r>
        <w:rPr>
          <w:spacing w:val="-2"/>
        </w:rPr>
        <w:t>provisions</w:t>
      </w:r>
      <w:r>
        <w:rPr>
          <w:spacing w:val="10"/>
        </w:rPr>
        <w:t xml:space="preserve"> </w:t>
      </w:r>
      <w:r>
        <w:rPr>
          <w:spacing w:val="-1"/>
        </w:rPr>
        <w:t>of</w:t>
      </w:r>
      <w:r>
        <w:rPr>
          <w:spacing w:val="11"/>
        </w:rPr>
        <w:t xml:space="preserve"> </w:t>
      </w:r>
      <w:r>
        <w:t>the</w:t>
      </w:r>
      <w:r>
        <w:rPr>
          <w:spacing w:val="10"/>
        </w:rPr>
        <w:t xml:space="preserve"> </w:t>
      </w:r>
      <w:r>
        <w:rPr>
          <w:spacing w:val="-1"/>
        </w:rPr>
        <w:t>FOIA,</w:t>
      </w:r>
      <w:r>
        <w:rPr>
          <w:spacing w:val="29"/>
        </w:rPr>
        <w:t xml:space="preserve"> </w:t>
      </w:r>
      <w:r>
        <w:t>the</w:t>
      </w:r>
      <w:r>
        <w:rPr>
          <w:spacing w:val="46"/>
        </w:rPr>
        <w:t xml:space="preserve"> </w:t>
      </w:r>
      <w:r>
        <w:rPr>
          <w:spacing w:val="-1"/>
        </w:rPr>
        <w:t>content</w:t>
      </w:r>
      <w:r>
        <w:rPr>
          <w:spacing w:val="47"/>
        </w:rPr>
        <w:t xml:space="preserve"> </w:t>
      </w:r>
      <w:r>
        <w:rPr>
          <w:spacing w:val="-2"/>
        </w:rPr>
        <w:t>of</w:t>
      </w:r>
      <w:r>
        <w:rPr>
          <w:spacing w:val="47"/>
        </w:rPr>
        <w:t xml:space="preserve"> </w:t>
      </w:r>
      <w:r>
        <w:rPr>
          <w:spacing w:val="-1"/>
        </w:rPr>
        <w:t>this</w:t>
      </w:r>
      <w:r>
        <w:rPr>
          <w:spacing w:val="46"/>
        </w:rPr>
        <w:t xml:space="preserve"> </w:t>
      </w:r>
      <w:r>
        <w:rPr>
          <w:spacing w:val="-2"/>
        </w:rPr>
        <w:t>Call</w:t>
      </w:r>
      <w:r>
        <w:rPr>
          <w:spacing w:val="45"/>
        </w:rPr>
        <w:t xml:space="preserve"> </w:t>
      </w:r>
      <w:r>
        <w:rPr>
          <w:spacing w:val="-1"/>
        </w:rPr>
        <w:t>Off</w:t>
      </w:r>
      <w:r>
        <w:rPr>
          <w:spacing w:val="47"/>
        </w:rPr>
        <w:t xml:space="preserve"> </w:t>
      </w:r>
      <w:r>
        <w:rPr>
          <w:spacing w:val="-1"/>
        </w:rPr>
        <w:t>Contract</w:t>
      </w:r>
      <w:r>
        <w:rPr>
          <w:spacing w:val="46"/>
        </w:rPr>
        <w:t xml:space="preserve"> </w:t>
      </w:r>
      <w:r>
        <w:rPr>
          <w:spacing w:val="-1"/>
        </w:rPr>
        <w:t>is</w:t>
      </w:r>
      <w:r>
        <w:rPr>
          <w:spacing w:val="46"/>
        </w:rPr>
        <w:t xml:space="preserve"> </w:t>
      </w:r>
      <w:r>
        <w:rPr>
          <w:spacing w:val="-1"/>
        </w:rPr>
        <w:t>not</w:t>
      </w:r>
      <w:r>
        <w:rPr>
          <w:spacing w:val="47"/>
        </w:rPr>
        <w:t xml:space="preserve"> </w:t>
      </w:r>
      <w:r>
        <w:rPr>
          <w:spacing w:val="-1"/>
        </w:rPr>
        <w:t>Confidential</w:t>
      </w:r>
      <w:r>
        <w:rPr>
          <w:spacing w:val="45"/>
        </w:rPr>
        <w:t xml:space="preserve"> </w:t>
      </w:r>
      <w:r>
        <w:rPr>
          <w:spacing w:val="-1"/>
        </w:rPr>
        <w:t>Information.</w:t>
      </w:r>
      <w:r>
        <w:rPr>
          <w:spacing w:val="30"/>
        </w:rPr>
        <w:t xml:space="preserve"> </w:t>
      </w:r>
      <w:r>
        <w:t>The</w:t>
      </w:r>
      <w:r>
        <w:rPr>
          <w:spacing w:val="19"/>
        </w:rPr>
        <w:t xml:space="preserve"> </w:t>
      </w:r>
      <w:r>
        <w:rPr>
          <w:spacing w:val="-1"/>
        </w:rPr>
        <w:t>Customer</w:t>
      </w:r>
      <w:r>
        <w:rPr>
          <w:spacing w:val="21"/>
        </w:rPr>
        <w:t xml:space="preserve"> </w:t>
      </w:r>
      <w:r>
        <w:rPr>
          <w:spacing w:val="-1"/>
        </w:rPr>
        <w:t>shall</w:t>
      </w:r>
      <w:r>
        <w:rPr>
          <w:spacing w:val="19"/>
        </w:rPr>
        <w:t xml:space="preserve"> </w:t>
      </w:r>
      <w:r>
        <w:rPr>
          <w:spacing w:val="-1"/>
        </w:rPr>
        <w:t>determine</w:t>
      </w:r>
      <w:r>
        <w:rPr>
          <w:spacing w:val="20"/>
        </w:rPr>
        <w:t xml:space="preserve"> </w:t>
      </w:r>
      <w:r>
        <w:rPr>
          <w:spacing w:val="-1"/>
        </w:rPr>
        <w:t>whether</w:t>
      </w:r>
      <w:r>
        <w:rPr>
          <w:spacing w:val="21"/>
        </w:rPr>
        <w:t xml:space="preserve"> </w:t>
      </w:r>
      <w:r>
        <w:rPr>
          <w:spacing w:val="-1"/>
        </w:rPr>
        <w:t>any</w:t>
      </w:r>
      <w:r>
        <w:rPr>
          <w:spacing w:val="18"/>
        </w:rPr>
        <w:t xml:space="preserve"> </w:t>
      </w:r>
      <w:r>
        <w:rPr>
          <w:spacing w:val="-1"/>
        </w:rPr>
        <w:t>of</w:t>
      </w:r>
      <w:r>
        <w:rPr>
          <w:spacing w:val="23"/>
        </w:rPr>
        <w:t xml:space="preserve"> </w:t>
      </w:r>
      <w:r>
        <w:rPr>
          <w:spacing w:val="-1"/>
        </w:rPr>
        <w:t>the</w:t>
      </w:r>
      <w:r>
        <w:rPr>
          <w:spacing w:val="20"/>
        </w:rPr>
        <w:t xml:space="preserve"> </w:t>
      </w:r>
      <w:r>
        <w:rPr>
          <w:spacing w:val="-1"/>
        </w:rPr>
        <w:t>content</w:t>
      </w:r>
      <w:r>
        <w:rPr>
          <w:spacing w:val="22"/>
        </w:rPr>
        <w:t xml:space="preserve"> </w:t>
      </w:r>
      <w:r>
        <w:rPr>
          <w:spacing w:val="-2"/>
        </w:rPr>
        <w:t>of</w:t>
      </w:r>
      <w:r>
        <w:rPr>
          <w:spacing w:val="23"/>
        </w:rPr>
        <w:t xml:space="preserve"> </w:t>
      </w:r>
      <w:r>
        <w:rPr>
          <w:spacing w:val="-1"/>
        </w:rPr>
        <w:t>this</w:t>
      </w:r>
      <w:r>
        <w:rPr>
          <w:spacing w:val="20"/>
        </w:rPr>
        <w:t xml:space="preserve"> </w:t>
      </w:r>
      <w:r>
        <w:rPr>
          <w:spacing w:val="-2"/>
        </w:rPr>
        <w:t>Call</w:t>
      </w:r>
      <w:r>
        <w:rPr>
          <w:spacing w:val="27"/>
        </w:rPr>
        <w:t xml:space="preserve"> </w:t>
      </w:r>
      <w:r>
        <w:rPr>
          <w:spacing w:val="-1"/>
        </w:rPr>
        <w:t>Off</w:t>
      </w:r>
      <w:r>
        <w:rPr>
          <w:spacing w:val="44"/>
        </w:rPr>
        <w:t xml:space="preserve"> </w:t>
      </w:r>
      <w:r>
        <w:rPr>
          <w:spacing w:val="-2"/>
        </w:rPr>
        <w:t>Contract</w:t>
      </w:r>
      <w:r>
        <w:rPr>
          <w:spacing w:val="44"/>
        </w:rPr>
        <w:t xml:space="preserve"> </w:t>
      </w:r>
      <w:r>
        <w:rPr>
          <w:spacing w:val="-1"/>
        </w:rPr>
        <w:t>is</w:t>
      </w:r>
      <w:r>
        <w:rPr>
          <w:spacing w:val="43"/>
        </w:rPr>
        <w:t xml:space="preserve"> </w:t>
      </w:r>
      <w:r>
        <w:rPr>
          <w:spacing w:val="-2"/>
        </w:rPr>
        <w:t>exempt</w:t>
      </w:r>
      <w:r>
        <w:rPr>
          <w:spacing w:val="41"/>
        </w:rPr>
        <w:t xml:space="preserve"> </w:t>
      </w:r>
      <w:r>
        <w:rPr>
          <w:spacing w:val="-1"/>
        </w:rPr>
        <w:t>from</w:t>
      </w:r>
      <w:r>
        <w:rPr>
          <w:spacing w:val="44"/>
        </w:rPr>
        <w:t xml:space="preserve"> </w:t>
      </w:r>
      <w:r>
        <w:rPr>
          <w:spacing w:val="-1"/>
        </w:rPr>
        <w:t>disclosure</w:t>
      </w:r>
      <w:r>
        <w:rPr>
          <w:spacing w:val="40"/>
        </w:rPr>
        <w:t xml:space="preserve"> </w:t>
      </w:r>
      <w:r>
        <w:rPr>
          <w:spacing w:val="-1"/>
        </w:rPr>
        <w:t>in</w:t>
      </w:r>
      <w:r>
        <w:rPr>
          <w:spacing w:val="43"/>
        </w:rPr>
        <w:t xml:space="preserve"> </w:t>
      </w:r>
      <w:r>
        <w:rPr>
          <w:spacing w:val="-1"/>
        </w:rPr>
        <w:t>accordance</w:t>
      </w:r>
      <w:r>
        <w:rPr>
          <w:spacing w:val="43"/>
        </w:rPr>
        <w:t xml:space="preserve"> </w:t>
      </w:r>
      <w:r>
        <w:rPr>
          <w:spacing w:val="-2"/>
        </w:rPr>
        <w:t>with</w:t>
      </w:r>
      <w:r>
        <w:rPr>
          <w:spacing w:val="42"/>
        </w:rPr>
        <w:t xml:space="preserve"> </w:t>
      </w:r>
      <w:r>
        <w:rPr>
          <w:spacing w:val="-1"/>
        </w:rPr>
        <w:t>the</w:t>
      </w:r>
      <w:r>
        <w:rPr>
          <w:spacing w:val="46"/>
        </w:rPr>
        <w:t xml:space="preserve"> </w:t>
      </w:r>
      <w:r>
        <w:rPr>
          <w:spacing w:val="-2"/>
        </w:rPr>
        <w:t>provisions</w:t>
      </w:r>
      <w:r>
        <w:rPr>
          <w:spacing w:val="5"/>
        </w:rPr>
        <w:t xml:space="preserve"> </w:t>
      </w:r>
      <w:r>
        <w:rPr>
          <w:spacing w:val="-1"/>
        </w:rPr>
        <w:t>of</w:t>
      </w:r>
      <w:r>
        <w:rPr>
          <w:spacing w:val="6"/>
        </w:rPr>
        <w:t xml:space="preserve"> </w:t>
      </w:r>
      <w:r>
        <w:t>the</w:t>
      </w:r>
      <w:r>
        <w:rPr>
          <w:spacing w:val="5"/>
        </w:rPr>
        <w:t xml:space="preserve"> </w:t>
      </w:r>
      <w:r>
        <w:rPr>
          <w:spacing w:val="-1"/>
        </w:rPr>
        <w:t>FOIA.</w:t>
      </w:r>
      <w:r>
        <w:rPr>
          <w:spacing w:val="2"/>
        </w:rPr>
        <w:t xml:space="preserve"> </w:t>
      </w:r>
      <w:r>
        <w:rPr>
          <w:spacing w:val="-1"/>
        </w:rPr>
        <w:t>The</w:t>
      </w:r>
      <w:r>
        <w:rPr>
          <w:spacing w:val="5"/>
        </w:rPr>
        <w:t xml:space="preserve"> </w:t>
      </w:r>
      <w:r>
        <w:rPr>
          <w:spacing w:val="-1"/>
        </w:rPr>
        <w:t>Customer</w:t>
      </w:r>
      <w:r>
        <w:rPr>
          <w:spacing w:val="4"/>
        </w:rPr>
        <w:t xml:space="preserve"> </w:t>
      </w:r>
      <w:r>
        <w:rPr>
          <w:spacing w:val="-1"/>
        </w:rPr>
        <w:t>may</w:t>
      </w:r>
      <w:r>
        <w:rPr>
          <w:spacing w:val="3"/>
        </w:rPr>
        <w:t xml:space="preserve"> </w:t>
      </w:r>
      <w:r>
        <w:rPr>
          <w:spacing w:val="-1"/>
        </w:rPr>
        <w:t>consult</w:t>
      </w:r>
      <w:r>
        <w:rPr>
          <w:spacing w:val="7"/>
        </w:rPr>
        <w:t xml:space="preserve"> </w:t>
      </w:r>
      <w:r>
        <w:rPr>
          <w:spacing w:val="-2"/>
        </w:rPr>
        <w:t>with</w:t>
      </w:r>
      <w:r>
        <w:rPr>
          <w:spacing w:val="5"/>
        </w:rPr>
        <w:t xml:space="preserve"> </w:t>
      </w:r>
      <w:r>
        <w:t>the</w:t>
      </w:r>
      <w:r>
        <w:rPr>
          <w:spacing w:val="7"/>
        </w:rPr>
        <w:t xml:space="preserve"> </w:t>
      </w:r>
      <w:r>
        <w:rPr>
          <w:spacing w:val="-2"/>
        </w:rPr>
        <w:t>Supplier</w:t>
      </w:r>
      <w:r>
        <w:rPr>
          <w:spacing w:val="6"/>
        </w:rPr>
        <w:t xml:space="preserve"> </w:t>
      </w:r>
      <w:r>
        <w:t>to</w:t>
      </w:r>
      <w:r>
        <w:rPr>
          <w:spacing w:val="59"/>
        </w:rPr>
        <w:t xml:space="preserve"> </w:t>
      </w:r>
      <w:r>
        <w:rPr>
          <w:spacing w:val="-1"/>
        </w:rPr>
        <w:t>inform</w:t>
      </w:r>
      <w:r>
        <w:rPr>
          <w:spacing w:val="42"/>
        </w:rPr>
        <w:t xml:space="preserve"> </w:t>
      </w:r>
      <w:r>
        <w:rPr>
          <w:spacing w:val="-1"/>
        </w:rPr>
        <w:t>its</w:t>
      </w:r>
      <w:r>
        <w:rPr>
          <w:spacing w:val="41"/>
        </w:rPr>
        <w:t xml:space="preserve"> </w:t>
      </w:r>
      <w:r>
        <w:rPr>
          <w:spacing w:val="-1"/>
        </w:rPr>
        <w:t>decision</w:t>
      </w:r>
      <w:r>
        <w:rPr>
          <w:spacing w:val="41"/>
        </w:rPr>
        <w:t xml:space="preserve"> </w:t>
      </w:r>
      <w:r>
        <w:rPr>
          <w:spacing w:val="-1"/>
        </w:rPr>
        <w:t>regarding</w:t>
      </w:r>
      <w:r>
        <w:rPr>
          <w:spacing w:val="43"/>
        </w:rPr>
        <w:t xml:space="preserve"> </w:t>
      </w:r>
      <w:r>
        <w:rPr>
          <w:spacing w:val="-1"/>
        </w:rPr>
        <w:t>any</w:t>
      </w:r>
      <w:r>
        <w:rPr>
          <w:spacing w:val="39"/>
        </w:rPr>
        <w:t xml:space="preserve"> </w:t>
      </w:r>
      <w:r>
        <w:rPr>
          <w:spacing w:val="-1"/>
        </w:rPr>
        <w:t>redactions</w:t>
      </w:r>
      <w:r>
        <w:rPr>
          <w:spacing w:val="41"/>
        </w:rPr>
        <w:t xml:space="preserve"> </w:t>
      </w:r>
      <w:r>
        <w:rPr>
          <w:spacing w:val="-1"/>
        </w:rPr>
        <w:t>but</w:t>
      </w:r>
      <w:r>
        <w:rPr>
          <w:spacing w:val="43"/>
        </w:rPr>
        <w:t xml:space="preserve"> </w:t>
      </w:r>
      <w:r>
        <w:rPr>
          <w:spacing w:val="-1"/>
        </w:rPr>
        <w:t>shall</w:t>
      </w:r>
      <w:r>
        <w:rPr>
          <w:spacing w:val="40"/>
        </w:rPr>
        <w:t xml:space="preserve"> </w:t>
      </w:r>
      <w:r>
        <w:rPr>
          <w:spacing w:val="-1"/>
        </w:rPr>
        <w:t>have</w:t>
      </w:r>
      <w:r>
        <w:rPr>
          <w:spacing w:val="41"/>
        </w:rPr>
        <w:t xml:space="preserve"> </w:t>
      </w:r>
      <w:r>
        <w:t>the</w:t>
      </w:r>
      <w:r>
        <w:rPr>
          <w:spacing w:val="41"/>
        </w:rPr>
        <w:t xml:space="preserve"> </w:t>
      </w:r>
      <w:r>
        <w:rPr>
          <w:spacing w:val="-1"/>
        </w:rPr>
        <w:t>final</w:t>
      </w:r>
      <w:r>
        <w:rPr>
          <w:spacing w:val="36"/>
        </w:rPr>
        <w:t xml:space="preserve"> </w:t>
      </w:r>
      <w:r>
        <w:rPr>
          <w:spacing w:val="-1"/>
        </w:rPr>
        <w:t>decision</w:t>
      </w:r>
      <w:r>
        <w:t xml:space="preserve"> </w:t>
      </w:r>
      <w:r>
        <w:rPr>
          <w:spacing w:val="-1"/>
        </w:rPr>
        <w:t>in</w:t>
      </w:r>
      <w:r>
        <w:t xml:space="preserve"> </w:t>
      </w:r>
      <w:r>
        <w:rPr>
          <w:spacing w:val="-1"/>
        </w:rPr>
        <w:t>its</w:t>
      </w:r>
      <w:r>
        <w:rPr>
          <w:spacing w:val="1"/>
        </w:rPr>
        <w:t xml:space="preserve"> </w:t>
      </w:r>
      <w:r>
        <w:rPr>
          <w:spacing w:val="-1"/>
        </w:rPr>
        <w:t>absolute</w:t>
      </w:r>
      <w:r>
        <w:t xml:space="preserve"> </w:t>
      </w:r>
      <w:r>
        <w:rPr>
          <w:spacing w:val="-2"/>
        </w:rPr>
        <w:t>discretion.</w:t>
      </w:r>
    </w:p>
    <w:p w:rsidR="008918FA" w:rsidRDefault="008918FA" w:rsidP="008918FA">
      <w:pPr>
        <w:pStyle w:val="BodyText"/>
        <w:numPr>
          <w:ilvl w:val="2"/>
          <w:numId w:val="66"/>
        </w:numPr>
        <w:tabs>
          <w:tab w:val="left" w:pos="1887"/>
        </w:tabs>
        <w:spacing w:before="121"/>
        <w:ind w:left="1886" w:right="112"/>
        <w:jc w:val="both"/>
      </w:pPr>
      <w:r>
        <w:rPr>
          <w:spacing w:val="-1"/>
        </w:rPr>
        <w:t>Notwithstanding</w:t>
      </w:r>
      <w:r>
        <w:rPr>
          <w:spacing w:val="16"/>
        </w:rPr>
        <w:t xml:space="preserve"> </w:t>
      </w:r>
      <w:r>
        <w:rPr>
          <w:spacing w:val="-1"/>
        </w:rPr>
        <w:t>any</w:t>
      </w:r>
      <w:r>
        <w:rPr>
          <w:spacing w:val="12"/>
        </w:rPr>
        <w:t xml:space="preserve"> </w:t>
      </w:r>
      <w:r>
        <w:rPr>
          <w:spacing w:val="-1"/>
        </w:rPr>
        <w:t>other</w:t>
      </w:r>
      <w:r>
        <w:rPr>
          <w:spacing w:val="15"/>
        </w:rPr>
        <w:t xml:space="preserve"> </w:t>
      </w:r>
      <w:r>
        <w:rPr>
          <w:spacing w:val="-2"/>
        </w:rPr>
        <w:t>provision</w:t>
      </w:r>
      <w:r>
        <w:rPr>
          <w:spacing w:val="14"/>
        </w:rPr>
        <w:t xml:space="preserve"> </w:t>
      </w:r>
      <w:r>
        <w:rPr>
          <w:spacing w:val="-2"/>
        </w:rPr>
        <w:t>of</w:t>
      </w:r>
      <w:r>
        <w:rPr>
          <w:spacing w:val="15"/>
        </w:rPr>
        <w:t xml:space="preserve"> </w:t>
      </w:r>
      <w:r>
        <w:rPr>
          <w:spacing w:val="-1"/>
        </w:rPr>
        <w:t>this</w:t>
      </w:r>
      <w:r>
        <w:rPr>
          <w:spacing w:val="14"/>
        </w:rPr>
        <w:t xml:space="preserve"> </w:t>
      </w:r>
      <w:r>
        <w:rPr>
          <w:spacing w:val="-2"/>
        </w:rPr>
        <w:t>Call</w:t>
      </w:r>
      <w:r>
        <w:rPr>
          <w:spacing w:val="13"/>
        </w:rPr>
        <w:t xml:space="preserve"> </w:t>
      </w:r>
      <w:r>
        <w:rPr>
          <w:spacing w:val="-1"/>
        </w:rPr>
        <w:t>Off</w:t>
      </w:r>
      <w:r>
        <w:rPr>
          <w:spacing w:val="15"/>
        </w:rPr>
        <w:t xml:space="preserve"> </w:t>
      </w:r>
      <w:r>
        <w:rPr>
          <w:spacing w:val="-1"/>
        </w:rPr>
        <w:t>Contract,</w:t>
      </w:r>
      <w:r>
        <w:rPr>
          <w:spacing w:val="13"/>
        </w:rPr>
        <w:t xml:space="preserve"> </w:t>
      </w:r>
      <w:r>
        <w:rPr>
          <w:spacing w:val="-1"/>
        </w:rPr>
        <w:t>the</w:t>
      </w:r>
      <w:r>
        <w:rPr>
          <w:spacing w:val="38"/>
        </w:rPr>
        <w:t xml:space="preserve"> </w:t>
      </w:r>
      <w:r>
        <w:rPr>
          <w:spacing w:val="-2"/>
        </w:rPr>
        <w:t>Supplier</w:t>
      </w:r>
      <w:r>
        <w:rPr>
          <w:spacing w:val="9"/>
        </w:rPr>
        <w:t xml:space="preserve"> </w:t>
      </w:r>
      <w:r>
        <w:rPr>
          <w:spacing w:val="-1"/>
        </w:rPr>
        <w:t>hereby</w:t>
      </w:r>
      <w:r>
        <w:rPr>
          <w:spacing w:val="5"/>
        </w:rPr>
        <w:t xml:space="preserve"> </w:t>
      </w:r>
      <w:r>
        <w:rPr>
          <w:spacing w:val="-1"/>
        </w:rPr>
        <w:t>gives</w:t>
      </w:r>
      <w:r>
        <w:rPr>
          <w:spacing w:val="8"/>
        </w:rPr>
        <w:t xml:space="preserve"> </w:t>
      </w:r>
      <w:r>
        <w:rPr>
          <w:spacing w:val="-1"/>
        </w:rPr>
        <w:t>his</w:t>
      </w:r>
      <w:r>
        <w:rPr>
          <w:spacing w:val="8"/>
        </w:rPr>
        <w:t xml:space="preserve"> </w:t>
      </w:r>
      <w:r>
        <w:rPr>
          <w:spacing w:val="-1"/>
        </w:rPr>
        <w:t>consent</w:t>
      </w:r>
      <w:r>
        <w:rPr>
          <w:spacing w:val="4"/>
        </w:rPr>
        <w:t xml:space="preserve"> </w:t>
      </w:r>
      <w:r>
        <w:t>for</w:t>
      </w:r>
      <w:r>
        <w:rPr>
          <w:spacing w:val="9"/>
        </w:rPr>
        <w:t xml:space="preserve"> </w:t>
      </w:r>
      <w:r>
        <w:t>the</w:t>
      </w:r>
      <w:r>
        <w:rPr>
          <w:spacing w:val="5"/>
        </w:rPr>
        <w:t xml:space="preserve"> </w:t>
      </w:r>
      <w:r>
        <w:rPr>
          <w:spacing w:val="-1"/>
        </w:rPr>
        <w:t>Customer</w:t>
      </w:r>
      <w:r>
        <w:rPr>
          <w:spacing w:val="6"/>
        </w:rPr>
        <w:t xml:space="preserve"> </w:t>
      </w:r>
      <w:r>
        <w:t>to</w:t>
      </w:r>
      <w:r>
        <w:rPr>
          <w:spacing w:val="7"/>
        </w:rPr>
        <w:t xml:space="preserve"> </w:t>
      </w:r>
      <w:r>
        <w:rPr>
          <w:spacing w:val="-2"/>
        </w:rPr>
        <w:t>publish</w:t>
      </w:r>
      <w:r>
        <w:rPr>
          <w:spacing w:val="8"/>
        </w:rPr>
        <w:t xml:space="preserve"> </w:t>
      </w:r>
      <w:r>
        <w:rPr>
          <w:spacing w:val="-1"/>
        </w:rPr>
        <w:t>this</w:t>
      </w:r>
      <w:r>
        <w:rPr>
          <w:spacing w:val="8"/>
        </w:rPr>
        <w:t xml:space="preserve"> </w:t>
      </w:r>
      <w:r>
        <w:rPr>
          <w:spacing w:val="-2"/>
        </w:rPr>
        <w:t>Call</w:t>
      </w:r>
      <w:r>
        <w:rPr>
          <w:spacing w:val="53"/>
        </w:rPr>
        <w:t xml:space="preserve"> </w:t>
      </w:r>
      <w:r>
        <w:rPr>
          <w:spacing w:val="-1"/>
        </w:rPr>
        <w:t>Off</w:t>
      </w:r>
      <w:r>
        <w:rPr>
          <w:spacing w:val="33"/>
        </w:rPr>
        <w:t xml:space="preserve"> </w:t>
      </w:r>
      <w:r>
        <w:rPr>
          <w:spacing w:val="-1"/>
        </w:rPr>
        <w:t>Contract</w:t>
      </w:r>
      <w:r>
        <w:rPr>
          <w:spacing w:val="33"/>
        </w:rPr>
        <w:t xml:space="preserve"> </w:t>
      </w:r>
      <w:r>
        <w:rPr>
          <w:spacing w:val="-1"/>
        </w:rPr>
        <w:t>in</w:t>
      </w:r>
      <w:r>
        <w:rPr>
          <w:spacing w:val="31"/>
        </w:rPr>
        <w:t xml:space="preserve"> </w:t>
      </w:r>
      <w:r>
        <w:rPr>
          <w:spacing w:val="-1"/>
        </w:rPr>
        <w:t>its</w:t>
      </w:r>
      <w:r>
        <w:rPr>
          <w:spacing w:val="32"/>
        </w:rPr>
        <w:t xml:space="preserve"> </w:t>
      </w:r>
      <w:r>
        <w:rPr>
          <w:spacing w:val="-1"/>
        </w:rPr>
        <w:t>entirety</w:t>
      </w:r>
      <w:r>
        <w:rPr>
          <w:spacing w:val="30"/>
        </w:rPr>
        <w:t xml:space="preserve"> </w:t>
      </w:r>
      <w:r>
        <w:rPr>
          <w:spacing w:val="-1"/>
        </w:rPr>
        <w:t>(but</w:t>
      </w:r>
      <w:r>
        <w:rPr>
          <w:spacing w:val="33"/>
        </w:rPr>
        <w:t xml:space="preserve"> </w:t>
      </w:r>
      <w:r>
        <w:rPr>
          <w:spacing w:val="-2"/>
        </w:rPr>
        <w:t>with</w:t>
      </w:r>
      <w:r>
        <w:rPr>
          <w:spacing w:val="31"/>
        </w:rPr>
        <w:t xml:space="preserve"> </w:t>
      </w:r>
      <w:r>
        <w:rPr>
          <w:spacing w:val="-1"/>
        </w:rPr>
        <w:t>any</w:t>
      </w:r>
      <w:r>
        <w:rPr>
          <w:spacing w:val="30"/>
        </w:rPr>
        <w:t xml:space="preserve"> </w:t>
      </w:r>
      <w:r>
        <w:rPr>
          <w:spacing w:val="-1"/>
        </w:rPr>
        <w:t>information</w:t>
      </w:r>
      <w:r>
        <w:rPr>
          <w:spacing w:val="32"/>
        </w:rPr>
        <w:t xml:space="preserve"> </w:t>
      </w:r>
      <w:r>
        <w:rPr>
          <w:spacing w:val="-2"/>
        </w:rPr>
        <w:t>which</w:t>
      </w:r>
      <w:r>
        <w:rPr>
          <w:spacing w:val="34"/>
        </w:rPr>
        <w:t xml:space="preserve"> </w:t>
      </w:r>
      <w:r>
        <w:rPr>
          <w:spacing w:val="-1"/>
        </w:rPr>
        <w:t>is</w:t>
      </w:r>
      <w:r>
        <w:rPr>
          <w:spacing w:val="32"/>
        </w:rPr>
        <w:t xml:space="preserve"> </w:t>
      </w:r>
      <w:r>
        <w:rPr>
          <w:spacing w:val="-2"/>
        </w:rPr>
        <w:t>exempt</w:t>
      </w:r>
      <w:r>
        <w:rPr>
          <w:spacing w:val="46"/>
        </w:rPr>
        <w:t xml:space="preserve"> </w:t>
      </w:r>
      <w:r>
        <w:rPr>
          <w:spacing w:val="-1"/>
        </w:rPr>
        <w:t>from</w:t>
      </w:r>
      <w:r>
        <w:rPr>
          <w:spacing w:val="44"/>
        </w:rPr>
        <w:t xml:space="preserve"> </w:t>
      </w:r>
      <w:r>
        <w:rPr>
          <w:spacing w:val="-1"/>
        </w:rPr>
        <w:t>disclosure</w:t>
      </w:r>
      <w:r>
        <w:rPr>
          <w:spacing w:val="42"/>
        </w:rPr>
        <w:t xml:space="preserve"> </w:t>
      </w:r>
      <w:r>
        <w:rPr>
          <w:spacing w:val="-1"/>
        </w:rPr>
        <w:t>in</w:t>
      </w:r>
      <w:r>
        <w:rPr>
          <w:spacing w:val="42"/>
        </w:rPr>
        <w:t xml:space="preserve"> </w:t>
      </w:r>
      <w:r>
        <w:rPr>
          <w:spacing w:val="-1"/>
        </w:rPr>
        <w:t>accordance</w:t>
      </w:r>
      <w:r>
        <w:rPr>
          <w:spacing w:val="43"/>
        </w:rPr>
        <w:t xml:space="preserve"> </w:t>
      </w:r>
      <w:r>
        <w:rPr>
          <w:spacing w:val="-2"/>
        </w:rPr>
        <w:t>with</w:t>
      </w:r>
      <w:r>
        <w:rPr>
          <w:spacing w:val="42"/>
        </w:rPr>
        <w:t xml:space="preserve"> </w:t>
      </w:r>
      <w:r>
        <w:t>the</w:t>
      </w:r>
      <w:r>
        <w:rPr>
          <w:spacing w:val="42"/>
        </w:rPr>
        <w:t xml:space="preserve"> </w:t>
      </w:r>
      <w:r>
        <w:rPr>
          <w:spacing w:val="-1"/>
        </w:rPr>
        <w:t>provisions</w:t>
      </w:r>
      <w:r>
        <w:rPr>
          <w:spacing w:val="44"/>
        </w:rPr>
        <w:t xml:space="preserve"> </w:t>
      </w:r>
      <w:r>
        <w:rPr>
          <w:spacing w:val="-1"/>
        </w:rPr>
        <w:t>of</w:t>
      </w:r>
      <w:r>
        <w:rPr>
          <w:spacing w:val="46"/>
        </w:rPr>
        <w:t xml:space="preserve"> </w:t>
      </w:r>
      <w:r>
        <w:t>the</w:t>
      </w:r>
      <w:r>
        <w:rPr>
          <w:spacing w:val="42"/>
        </w:rPr>
        <w:t xml:space="preserve"> </w:t>
      </w:r>
      <w:r>
        <w:rPr>
          <w:spacing w:val="-1"/>
        </w:rPr>
        <w:t>FOIA</w:t>
      </w:r>
      <w:r>
        <w:rPr>
          <w:spacing w:val="27"/>
        </w:rPr>
        <w:t xml:space="preserve"> </w:t>
      </w:r>
      <w:r>
        <w:rPr>
          <w:spacing w:val="-1"/>
        </w:rPr>
        <w:t>redacted),</w:t>
      </w:r>
      <w:r>
        <w:rPr>
          <w:spacing w:val="11"/>
        </w:rPr>
        <w:t xml:space="preserve"> </w:t>
      </w:r>
      <w:r>
        <w:rPr>
          <w:spacing w:val="-2"/>
        </w:rPr>
        <w:t>including</w:t>
      </w:r>
      <w:r>
        <w:rPr>
          <w:spacing w:val="12"/>
        </w:rPr>
        <w:t xml:space="preserve"> </w:t>
      </w:r>
      <w:r>
        <w:rPr>
          <w:spacing w:val="-1"/>
        </w:rPr>
        <w:t>any</w:t>
      </w:r>
      <w:r>
        <w:rPr>
          <w:spacing w:val="8"/>
        </w:rPr>
        <w:t xml:space="preserve"> </w:t>
      </w:r>
      <w:r>
        <w:rPr>
          <w:spacing w:val="-1"/>
        </w:rPr>
        <w:t>changes</w:t>
      </w:r>
      <w:r>
        <w:rPr>
          <w:spacing w:val="8"/>
        </w:rPr>
        <w:t xml:space="preserve"> </w:t>
      </w:r>
      <w:r>
        <w:t>to</w:t>
      </w:r>
      <w:r>
        <w:rPr>
          <w:spacing w:val="10"/>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1"/>
        </w:rPr>
        <w:t xml:space="preserve"> </w:t>
      </w:r>
      <w:r>
        <w:rPr>
          <w:spacing w:val="-1"/>
        </w:rPr>
        <w:t>Contract</w:t>
      </w:r>
      <w:r>
        <w:rPr>
          <w:spacing w:val="11"/>
        </w:rPr>
        <w:t xml:space="preserve"> </w:t>
      </w:r>
      <w:r>
        <w:rPr>
          <w:spacing w:val="-1"/>
        </w:rPr>
        <w:t>agreed</w:t>
      </w:r>
      <w:r>
        <w:rPr>
          <w:spacing w:val="7"/>
        </w:rPr>
        <w:t xml:space="preserve"> </w:t>
      </w:r>
      <w:r>
        <w:rPr>
          <w:spacing w:val="-1"/>
        </w:rPr>
        <w:t>from</w:t>
      </w:r>
      <w:r>
        <w:rPr>
          <w:spacing w:val="61"/>
        </w:rPr>
        <w:t xml:space="preserve"> </w:t>
      </w:r>
      <w:r>
        <w:rPr>
          <w:spacing w:val="-1"/>
        </w:rPr>
        <w:t>time</w:t>
      </w:r>
      <w:r>
        <w:rPr>
          <w:spacing w:val="-2"/>
        </w:rPr>
        <w:t xml:space="preserve"> </w:t>
      </w:r>
      <w:r>
        <w:t>to</w:t>
      </w:r>
      <w:r>
        <w:rPr>
          <w:spacing w:val="-2"/>
        </w:rPr>
        <w:t xml:space="preserve"> </w:t>
      </w:r>
      <w:r>
        <w:rPr>
          <w:spacing w:val="-1"/>
        </w:rPr>
        <w:t>time.</w:t>
      </w:r>
    </w:p>
    <w:p w:rsidR="008918FA" w:rsidRDefault="008918FA" w:rsidP="008918FA">
      <w:pPr>
        <w:pStyle w:val="BodyText"/>
        <w:numPr>
          <w:ilvl w:val="2"/>
          <w:numId w:val="66"/>
        </w:numPr>
        <w:tabs>
          <w:tab w:val="left" w:pos="1887"/>
        </w:tabs>
        <w:ind w:left="1886" w:right="114"/>
        <w:jc w:val="both"/>
      </w:pPr>
      <w:r>
        <w:t>The</w:t>
      </w:r>
      <w:r>
        <w:rPr>
          <w:spacing w:val="27"/>
        </w:rPr>
        <w:t xml:space="preserve"> </w:t>
      </w:r>
      <w:r>
        <w:rPr>
          <w:spacing w:val="-2"/>
        </w:rPr>
        <w:t>Supplier</w:t>
      </w:r>
      <w:r>
        <w:rPr>
          <w:spacing w:val="28"/>
        </w:rPr>
        <w:t xml:space="preserve"> </w:t>
      </w:r>
      <w:r>
        <w:rPr>
          <w:spacing w:val="-1"/>
        </w:rPr>
        <w:t>shall</w:t>
      </w:r>
      <w:r>
        <w:rPr>
          <w:spacing w:val="26"/>
        </w:rPr>
        <w:t xml:space="preserve"> </w:t>
      </w:r>
      <w:r>
        <w:rPr>
          <w:spacing w:val="-2"/>
        </w:rPr>
        <w:t>assist</w:t>
      </w:r>
      <w:r>
        <w:rPr>
          <w:spacing w:val="28"/>
        </w:rPr>
        <w:t xml:space="preserve"> </w:t>
      </w:r>
      <w:r>
        <w:rPr>
          <w:spacing w:val="-1"/>
        </w:rPr>
        <w:t>and</w:t>
      </w:r>
      <w:r>
        <w:rPr>
          <w:spacing w:val="27"/>
        </w:rPr>
        <w:t xml:space="preserve"> </w:t>
      </w:r>
      <w:r>
        <w:rPr>
          <w:spacing w:val="-1"/>
        </w:rPr>
        <w:t>cooperate</w:t>
      </w:r>
      <w:r>
        <w:rPr>
          <w:spacing w:val="24"/>
        </w:rPr>
        <w:t xml:space="preserve"> </w:t>
      </w:r>
      <w:r>
        <w:rPr>
          <w:spacing w:val="-2"/>
        </w:rPr>
        <w:t>with</w:t>
      </w:r>
      <w:r>
        <w:rPr>
          <w:spacing w:val="27"/>
        </w:rPr>
        <w:t xml:space="preserve"> </w:t>
      </w:r>
      <w:r>
        <w:t>the</w:t>
      </w:r>
      <w:r>
        <w:rPr>
          <w:spacing w:val="27"/>
        </w:rPr>
        <w:t xml:space="preserve"> </w:t>
      </w:r>
      <w:r>
        <w:rPr>
          <w:spacing w:val="-1"/>
        </w:rPr>
        <w:t>Customer</w:t>
      </w:r>
      <w:r>
        <w:rPr>
          <w:spacing w:val="26"/>
        </w:rPr>
        <w:t xml:space="preserve"> </w:t>
      </w:r>
      <w:r>
        <w:t>to</w:t>
      </w:r>
      <w:r>
        <w:rPr>
          <w:spacing w:val="27"/>
        </w:rPr>
        <w:t xml:space="preserve"> </w:t>
      </w:r>
      <w:r>
        <w:rPr>
          <w:spacing w:val="-1"/>
        </w:rPr>
        <w:t>enable</w:t>
      </w:r>
      <w:r>
        <w:rPr>
          <w:spacing w:val="47"/>
        </w:rPr>
        <w:t xml:space="preserve"> </w:t>
      </w:r>
      <w:r>
        <w:t xml:space="preserve">the </w:t>
      </w:r>
      <w:r>
        <w:rPr>
          <w:spacing w:val="-2"/>
        </w:rPr>
        <w:t>Customer</w:t>
      </w:r>
      <w:r>
        <w:rPr>
          <w:spacing w:val="-1"/>
        </w:rPr>
        <w:t xml:space="preserve"> </w:t>
      </w:r>
      <w:r>
        <w:t xml:space="preserve">to </w:t>
      </w:r>
      <w:r>
        <w:rPr>
          <w:spacing w:val="-2"/>
        </w:rPr>
        <w:t>publish 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Heading1"/>
        <w:numPr>
          <w:ilvl w:val="1"/>
          <w:numId w:val="66"/>
        </w:numPr>
        <w:tabs>
          <w:tab w:val="left" w:pos="893"/>
        </w:tabs>
        <w:ind w:left="892" w:hanging="564"/>
        <w:rPr>
          <w:b w:val="0"/>
          <w:bCs w:val="0"/>
        </w:rPr>
      </w:pPr>
      <w:bookmarkStart w:id="225" w:name="_bookmark191"/>
      <w:bookmarkEnd w:id="225"/>
      <w:r>
        <w:rPr>
          <w:spacing w:val="-1"/>
        </w:rPr>
        <w:t>Freedom</w:t>
      </w:r>
      <w:r>
        <w:rPr>
          <w:spacing w:val="1"/>
        </w:rPr>
        <w:t xml:space="preserve"> </w:t>
      </w:r>
      <w:r>
        <w:rPr>
          <w:spacing w:val="-2"/>
        </w:rPr>
        <w:t>of</w:t>
      </w:r>
      <w:r>
        <w:rPr>
          <w:spacing w:val="-1"/>
        </w:rPr>
        <w:t xml:space="preserve"> Information</w:t>
      </w:r>
    </w:p>
    <w:p w:rsidR="008918FA" w:rsidRDefault="008918FA" w:rsidP="008918FA">
      <w:pPr>
        <w:pStyle w:val="BodyText"/>
        <w:numPr>
          <w:ilvl w:val="2"/>
          <w:numId w:val="66"/>
        </w:numPr>
        <w:tabs>
          <w:tab w:val="left" w:pos="1887"/>
        </w:tabs>
        <w:spacing w:before="121"/>
        <w:ind w:left="1886" w:right="115"/>
        <w:jc w:val="both"/>
      </w:pPr>
      <w:r>
        <w:t>The</w:t>
      </w:r>
      <w:r>
        <w:rPr>
          <w:spacing w:val="28"/>
        </w:rPr>
        <w:t xml:space="preserve"> </w:t>
      </w:r>
      <w:r>
        <w:rPr>
          <w:spacing w:val="-2"/>
        </w:rPr>
        <w:t>Supplier</w:t>
      </w:r>
      <w:r>
        <w:rPr>
          <w:spacing w:val="29"/>
        </w:rPr>
        <w:t xml:space="preserve"> </w:t>
      </w:r>
      <w:r>
        <w:rPr>
          <w:spacing w:val="-1"/>
        </w:rPr>
        <w:t>acknowledges</w:t>
      </w:r>
      <w:r>
        <w:rPr>
          <w:spacing w:val="28"/>
        </w:rPr>
        <w:t xml:space="preserve"> </w:t>
      </w:r>
      <w:r>
        <w:rPr>
          <w:spacing w:val="-1"/>
        </w:rPr>
        <w:t>that</w:t>
      </w:r>
      <w:r>
        <w:rPr>
          <w:spacing w:val="30"/>
        </w:rPr>
        <w:t xml:space="preserve"> </w:t>
      </w:r>
      <w:r>
        <w:t>the</w:t>
      </w:r>
      <w:r>
        <w:rPr>
          <w:spacing w:val="28"/>
        </w:rPr>
        <w:t xml:space="preserve"> </w:t>
      </w:r>
      <w:r>
        <w:rPr>
          <w:spacing w:val="-2"/>
        </w:rPr>
        <w:t>Customer</w:t>
      </w:r>
      <w:r>
        <w:rPr>
          <w:spacing w:val="29"/>
        </w:rPr>
        <w:t xml:space="preserve"> </w:t>
      </w:r>
      <w:r>
        <w:rPr>
          <w:spacing w:val="-1"/>
        </w:rPr>
        <w:t>is</w:t>
      </w:r>
      <w:r>
        <w:rPr>
          <w:spacing w:val="28"/>
        </w:rPr>
        <w:t xml:space="preserve"> </w:t>
      </w:r>
      <w:r>
        <w:rPr>
          <w:spacing w:val="-1"/>
        </w:rPr>
        <w:t>subject</w:t>
      </w:r>
      <w:r>
        <w:rPr>
          <w:spacing w:val="30"/>
        </w:rPr>
        <w:t xml:space="preserve"> </w:t>
      </w:r>
      <w:r>
        <w:t>to</w:t>
      </w:r>
      <w:r>
        <w:rPr>
          <w:spacing w:val="28"/>
        </w:rPr>
        <w:t xml:space="preserve"> </w:t>
      </w:r>
      <w:r>
        <w:rPr>
          <w:spacing w:val="-1"/>
        </w:rPr>
        <w:t>the</w:t>
      </w:r>
      <w:r>
        <w:rPr>
          <w:spacing w:val="52"/>
        </w:rPr>
        <w:t xml:space="preserve"> </w:t>
      </w:r>
      <w:r>
        <w:rPr>
          <w:spacing w:val="-1"/>
        </w:rPr>
        <w:t>requirements</w:t>
      </w:r>
      <w:r>
        <w:rPr>
          <w:spacing w:val="-2"/>
        </w:rPr>
        <w:t xml:space="preserve"> of</w:t>
      </w:r>
      <w:r>
        <w:rPr>
          <w:spacing w:val="2"/>
        </w:rPr>
        <w:t xml:space="preserve"> </w:t>
      </w:r>
      <w:r>
        <w:t>the</w:t>
      </w:r>
      <w:r>
        <w:rPr>
          <w:spacing w:val="-2"/>
        </w:rPr>
        <w:t xml:space="preserve"> FOIA</w:t>
      </w:r>
      <w:r>
        <w:t xml:space="preserve"> </w:t>
      </w:r>
      <w:r>
        <w:rPr>
          <w:spacing w:val="-1"/>
        </w:rPr>
        <w:t>and</w:t>
      </w:r>
      <w:r>
        <w:t xml:space="preserve"> </w:t>
      </w:r>
      <w:r>
        <w:rPr>
          <w:spacing w:val="-1"/>
        </w:rPr>
        <w:t>the</w:t>
      </w:r>
      <w:r>
        <w:t xml:space="preserve"> </w:t>
      </w:r>
      <w:r>
        <w:rPr>
          <w:spacing w:val="-1"/>
        </w:rPr>
        <w:t>EIRs.</w:t>
      </w:r>
      <w:r>
        <w:t xml:space="preserve"> The</w:t>
      </w:r>
      <w:r>
        <w:rPr>
          <w:spacing w:val="-2"/>
        </w:rPr>
        <w:t xml:space="preserve"> Supplier</w:t>
      </w:r>
      <w:r>
        <w:rPr>
          <w:spacing w:val="2"/>
        </w:rPr>
        <w:t xml:space="preserve"> </w:t>
      </w:r>
      <w:r>
        <w:rPr>
          <w:spacing w:val="-1"/>
        </w:rPr>
        <w:t>shall:</w:t>
      </w:r>
    </w:p>
    <w:p w:rsidR="008918FA" w:rsidRDefault="008918FA" w:rsidP="008918FA">
      <w:pPr>
        <w:pStyle w:val="BodyText"/>
        <w:numPr>
          <w:ilvl w:val="3"/>
          <w:numId w:val="66"/>
        </w:numPr>
        <w:tabs>
          <w:tab w:val="left" w:pos="2595"/>
        </w:tabs>
        <w:ind w:left="2594" w:right="112"/>
        <w:jc w:val="both"/>
      </w:pPr>
      <w:r>
        <w:rPr>
          <w:spacing w:val="-2"/>
        </w:rPr>
        <w:t>provide</w:t>
      </w:r>
      <w:r>
        <w:rPr>
          <w:spacing w:val="2"/>
        </w:rPr>
        <w:t xml:space="preserve"> </w:t>
      </w:r>
      <w:r>
        <w:rPr>
          <w:spacing w:val="-1"/>
        </w:rPr>
        <w:t>all</w:t>
      </w:r>
      <w:r>
        <w:rPr>
          <w:spacing w:val="1"/>
        </w:rPr>
        <w:t xml:space="preserve"> </w:t>
      </w:r>
      <w:r>
        <w:rPr>
          <w:spacing w:val="-1"/>
        </w:rPr>
        <w:t>necessary</w:t>
      </w:r>
      <w:r>
        <w:rPr>
          <w:spacing w:val="2"/>
        </w:rPr>
        <w:t xml:space="preserve"> </w:t>
      </w:r>
      <w:r>
        <w:rPr>
          <w:spacing w:val="-1"/>
        </w:rPr>
        <w:t>assistance</w:t>
      </w:r>
      <w:r>
        <w:rPr>
          <w:spacing w:val="2"/>
        </w:rPr>
        <w:t xml:space="preserve"> </w:t>
      </w:r>
      <w:r>
        <w:rPr>
          <w:spacing w:val="-1"/>
        </w:rPr>
        <w:t>and</w:t>
      </w:r>
      <w:r>
        <w:t xml:space="preserve"> </w:t>
      </w:r>
      <w:r>
        <w:rPr>
          <w:spacing w:val="2"/>
        </w:rPr>
        <w:t xml:space="preserve"> </w:t>
      </w:r>
      <w:r>
        <w:rPr>
          <w:spacing w:val="-1"/>
        </w:rPr>
        <w:t>cooperation</w:t>
      </w:r>
      <w:r>
        <w:t xml:space="preserve"> </w:t>
      </w:r>
      <w:r>
        <w:rPr>
          <w:spacing w:val="2"/>
        </w:rPr>
        <w:t xml:space="preserve"> </w:t>
      </w:r>
      <w:r>
        <w:rPr>
          <w:spacing w:val="-1"/>
        </w:rPr>
        <w:t>as</w:t>
      </w:r>
      <w:r>
        <w:rPr>
          <w:spacing w:val="30"/>
        </w:rPr>
        <w:t xml:space="preserve"> </w:t>
      </w:r>
      <w:r>
        <w:rPr>
          <w:spacing w:val="-1"/>
        </w:rPr>
        <w:t>reasonably</w:t>
      </w:r>
      <w:r>
        <w:rPr>
          <w:spacing w:val="5"/>
        </w:rPr>
        <w:t xml:space="preserve"> </w:t>
      </w:r>
      <w:r>
        <w:rPr>
          <w:spacing w:val="-1"/>
        </w:rPr>
        <w:t>requested</w:t>
      </w:r>
      <w:r>
        <w:rPr>
          <w:spacing w:val="7"/>
        </w:rPr>
        <w:t xml:space="preserve"> </w:t>
      </w:r>
      <w:r>
        <w:rPr>
          <w:spacing w:val="-1"/>
        </w:rPr>
        <w:t>by</w:t>
      </w:r>
      <w:r>
        <w:rPr>
          <w:spacing w:val="5"/>
        </w:rPr>
        <w:t xml:space="preserve"> </w:t>
      </w:r>
      <w:r>
        <w:t>the</w:t>
      </w:r>
      <w:r>
        <w:rPr>
          <w:spacing w:val="7"/>
        </w:rPr>
        <w:t xml:space="preserve"> </w:t>
      </w:r>
      <w:r>
        <w:rPr>
          <w:spacing w:val="-1"/>
        </w:rPr>
        <w:t>Customer</w:t>
      </w:r>
      <w:r>
        <w:rPr>
          <w:spacing w:val="9"/>
        </w:rPr>
        <w:t xml:space="preserve"> </w:t>
      </w:r>
      <w:r>
        <w:t>to</w:t>
      </w:r>
      <w:r>
        <w:rPr>
          <w:spacing w:val="7"/>
        </w:rPr>
        <w:t xml:space="preserve"> </w:t>
      </w:r>
      <w:r>
        <w:rPr>
          <w:spacing w:val="-1"/>
        </w:rPr>
        <w:t>enable</w:t>
      </w:r>
      <w:r>
        <w:rPr>
          <w:spacing w:val="5"/>
        </w:rPr>
        <w:t xml:space="preserve"> </w:t>
      </w:r>
      <w:r>
        <w:t>the</w:t>
      </w:r>
      <w:r>
        <w:rPr>
          <w:spacing w:val="7"/>
        </w:rPr>
        <w:t xml:space="preserve"> </w:t>
      </w:r>
      <w:r>
        <w:rPr>
          <w:spacing w:val="-1"/>
        </w:rPr>
        <w:t>Customer</w:t>
      </w:r>
      <w:r>
        <w:rPr>
          <w:spacing w:val="32"/>
        </w:rPr>
        <w:t xml:space="preserve"> </w:t>
      </w:r>
      <w:r>
        <w:t>to</w:t>
      </w:r>
      <w:r>
        <w:rPr>
          <w:spacing w:val="27"/>
        </w:rPr>
        <w:t xml:space="preserve"> </w:t>
      </w:r>
      <w:r>
        <w:rPr>
          <w:spacing w:val="-1"/>
        </w:rPr>
        <w:t>comply</w:t>
      </w:r>
      <w:r>
        <w:rPr>
          <w:spacing w:val="25"/>
        </w:rPr>
        <w:t xml:space="preserve"> </w:t>
      </w:r>
      <w:r>
        <w:rPr>
          <w:spacing w:val="-1"/>
        </w:rPr>
        <w:t>with</w:t>
      </w:r>
      <w:r>
        <w:rPr>
          <w:spacing w:val="27"/>
        </w:rPr>
        <w:t xml:space="preserve"> </w:t>
      </w:r>
      <w:r>
        <w:rPr>
          <w:spacing w:val="-1"/>
        </w:rPr>
        <w:t>its</w:t>
      </w:r>
      <w:r>
        <w:rPr>
          <w:spacing w:val="27"/>
        </w:rPr>
        <w:t xml:space="preserve"> </w:t>
      </w:r>
      <w:r>
        <w:rPr>
          <w:spacing w:val="-1"/>
        </w:rPr>
        <w:t>Information</w:t>
      </w:r>
      <w:r>
        <w:rPr>
          <w:spacing w:val="27"/>
        </w:rPr>
        <w:t xml:space="preserve"> </w:t>
      </w:r>
      <w:r>
        <w:rPr>
          <w:spacing w:val="-1"/>
        </w:rPr>
        <w:t>disclosure</w:t>
      </w:r>
      <w:r>
        <w:rPr>
          <w:spacing w:val="27"/>
        </w:rPr>
        <w:t xml:space="preserve"> </w:t>
      </w:r>
      <w:r>
        <w:rPr>
          <w:spacing w:val="-1"/>
        </w:rPr>
        <w:t>obligations</w:t>
      </w:r>
      <w:r>
        <w:rPr>
          <w:spacing w:val="29"/>
        </w:rPr>
        <w:t xml:space="preserve"> </w:t>
      </w:r>
      <w:r>
        <w:rPr>
          <w:spacing w:val="-1"/>
        </w:rPr>
        <w:t>under</w:t>
      </w:r>
      <w:r>
        <w:rPr>
          <w:spacing w:val="28"/>
        </w:rPr>
        <w:t xml:space="preserve"> </w:t>
      </w:r>
      <w:r>
        <w:rPr>
          <w:spacing w:val="-1"/>
        </w:rPr>
        <w:t>the</w:t>
      </w:r>
      <w:r>
        <w:rPr>
          <w:spacing w:val="32"/>
        </w:rPr>
        <w:t xml:space="preserve"> </w:t>
      </w:r>
      <w:r>
        <w:t>FOIA</w:t>
      </w:r>
      <w:r>
        <w:rPr>
          <w:spacing w:val="-2"/>
        </w:rPr>
        <w:t xml:space="preserve"> </w:t>
      </w:r>
      <w:r>
        <w:rPr>
          <w:spacing w:val="-1"/>
        </w:rPr>
        <w:t>and</w:t>
      </w:r>
      <w:r>
        <w:t xml:space="preserve"> </w:t>
      </w:r>
      <w:r>
        <w:rPr>
          <w:spacing w:val="-2"/>
        </w:rPr>
        <w:t>EIRs;</w:t>
      </w:r>
    </w:p>
    <w:p w:rsidR="008918FA" w:rsidRDefault="008918FA" w:rsidP="008918FA">
      <w:pPr>
        <w:pStyle w:val="BodyText"/>
        <w:numPr>
          <w:ilvl w:val="3"/>
          <w:numId w:val="66"/>
        </w:numPr>
        <w:tabs>
          <w:tab w:val="left" w:pos="2594"/>
        </w:tabs>
        <w:ind w:left="2593" w:right="112" w:hanging="707"/>
        <w:jc w:val="both"/>
      </w:pPr>
      <w:r>
        <w:rPr>
          <w:spacing w:val="-1"/>
        </w:rPr>
        <w:t>transfer</w:t>
      </w:r>
      <w:r>
        <w:rPr>
          <w:spacing w:val="6"/>
        </w:rPr>
        <w:t xml:space="preserve"> </w:t>
      </w:r>
      <w:r>
        <w:t>to</w:t>
      </w:r>
      <w:r>
        <w:rPr>
          <w:spacing w:val="5"/>
        </w:rPr>
        <w:t xml:space="preserve"> </w:t>
      </w:r>
      <w:r>
        <w:t>the</w:t>
      </w:r>
      <w:r>
        <w:rPr>
          <w:spacing w:val="5"/>
        </w:rPr>
        <w:t xml:space="preserve"> </w:t>
      </w:r>
      <w:r>
        <w:rPr>
          <w:spacing w:val="-2"/>
        </w:rPr>
        <w:t>Customer</w:t>
      </w:r>
      <w:r>
        <w:rPr>
          <w:spacing w:val="4"/>
        </w:rPr>
        <w:t xml:space="preserve"> </w:t>
      </w:r>
      <w:r>
        <w:rPr>
          <w:spacing w:val="-1"/>
        </w:rPr>
        <w:t>all</w:t>
      </w:r>
      <w:r>
        <w:rPr>
          <w:spacing w:val="7"/>
        </w:rPr>
        <w:t xml:space="preserve"> </w:t>
      </w:r>
      <w:r>
        <w:rPr>
          <w:spacing w:val="-1"/>
        </w:rPr>
        <w:t>Requests</w:t>
      </w:r>
      <w:r>
        <w:rPr>
          <w:spacing w:val="3"/>
        </w:rPr>
        <w:t xml:space="preserve"> </w:t>
      </w:r>
      <w:r>
        <w:t>for</w:t>
      </w:r>
      <w:r>
        <w:rPr>
          <w:spacing w:val="6"/>
        </w:rPr>
        <w:t xml:space="preserve"> </w:t>
      </w:r>
      <w:r>
        <w:rPr>
          <w:spacing w:val="-1"/>
        </w:rPr>
        <w:t>Information</w:t>
      </w:r>
      <w:r>
        <w:rPr>
          <w:spacing w:val="7"/>
        </w:rPr>
        <w:t xml:space="preserve"> </w:t>
      </w:r>
      <w:r>
        <w:rPr>
          <w:spacing w:val="-1"/>
        </w:rPr>
        <w:t>relating</w:t>
      </w:r>
      <w:r>
        <w:rPr>
          <w:spacing w:val="7"/>
        </w:rPr>
        <w:t xml:space="preserve"> </w:t>
      </w:r>
      <w:r>
        <w:t>to</w:t>
      </w:r>
      <w:r>
        <w:rPr>
          <w:spacing w:val="49"/>
        </w:rPr>
        <w:t xml:space="preserve"> </w:t>
      </w:r>
      <w:r>
        <w:rPr>
          <w:spacing w:val="-1"/>
        </w:rPr>
        <w:t>this</w:t>
      </w:r>
      <w:r>
        <w:rPr>
          <w:spacing w:val="3"/>
        </w:rPr>
        <w:t xml:space="preserve"> </w:t>
      </w:r>
      <w:r>
        <w:rPr>
          <w:spacing w:val="-2"/>
        </w:rPr>
        <w:t>Call</w:t>
      </w:r>
      <w:r>
        <w:rPr>
          <w:spacing w:val="2"/>
        </w:rPr>
        <w:t xml:space="preserve"> </w:t>
      </w:r>
      <w:r>
        <w:rPr>
          <w:spacing w:val="-1"/>
        </w:rPr>
        <w:t>Off</w:t>
      </w:r>
      <w:r>
        <w:rPr>
          <w:spacing w:val="4"/>
        </w:rPr>
        <w:t xml:space="preserve"> </w:t>
      </w:r>
      <w:r>
        <w:rPr>
          <w:spacing w:val="-2"/>
        </w:rPr>
        <w:t>Contract</w:t>
      </w:r>
      <w:r>
        <w:rPr>
          <w:spacing w:val="3"/>
        </w:rPr>
        <w:t xml:space="preserve"> </w:t>
      </w:r>
      <w:r>
        <w:rPr>
          <w:spacing w:val="-1"/>
        </w:rPr>
        <w:t>that</w:t>
      </w:r>
      <w:r>
        <w:rPr>
          <w:spacing w:val="4"/>
        </w:rPr>
        <w:t xml:space="preserve"> </w:t>
      </w:r>
      <w:r>
        <w:rPr>
          <w:spacing w:val="-1"/>
        </w:rPr>
        <w:t>it</w:t>
      </w:r>
      <w:r>
        <w:rPr>
          <w:spacing w:val="2"/>
        </w:rPr>
        <w:t xml:space="preserve"> </w:t>
      </w:r>
      <w:r>
        <w:rPr>
          <w:spacing w:val="-1"/>
        </w:rPr>
        <w:t>receives</w:t>
      </w:r>
      <w:r>
        <w:rPr>
          <w:spacing w:val="3"/>
        </w:rPr>
        <w:t xml:space="preserve"> </w:t>
      </w:r>
      <w:r>
        <w:rPr>
          <w:spacing w:val="-1"/>
        </w:rPr>
        <w:t>as</w:t>
      </w:r>
      <w:r>
        <w:rPr>
          <w:spacing w:val="1"/>
        </w:rPr>
        <w:t xml:space="preserve"> </w:t>
      </w:r>
      <w:r>
        <w:rPr>
          <w:spacing w:val="-1"/>
        </w:rPr>
        <w:t>soon</w:t>
      </w:r>
      <w:r>
        <w:rPr>
          <w:spacing w:val="3"/>
        </w:rPr>
        <w:t xml:space="preserve"> </w:t>
      </w:r>
      <w:r>
        <w:rPr>
          <w:spacing w:val="-1"/>
        </w:rPr>
        <w:t>as</w:t>
      </w:r>
      <w:r>
        <w:rPr>
          <w:spacing w:val="1"/>
        </w:rPr>
        <w:t xml:space="preserve"> </w:t>
      </w:r>
      <w:r>
        <w:rPr>
          <w:spacing w:val="-1"/>
        </w:rPr>
        <w:t>practicable</w:t>
      </w:r>
      <w:r>
        <w:rPr>
          <w:spacing w:val="3"/>
        </w:rPr>
        <w:t xml:space="preserve"> </w:t>
      </w:r>
      <w:r>
        <w:rPr>
          <w:spacing w:val="-1"/>
        </w:rPr>
        <w:t>and</w:t>
      </w:r>
      <w:r>
        <w:rPr>
          <w:spacing w:val="38"/>
        </w:rPr>
        <w:t xml:space="preserve"> </w:t>
      </w:r>
      <w:r>
        <w:rPr>
          <w:spacing w:val="-1"/>
        </w:rPr>
        <w:t>in</w:t>
      </w:r>
      <w:r>
        <w:t xml:space="preserve"> </w:t>
      </w:r>
      <w:r>
        <w:rPr>
          <w:spacing w:val="-1"/>
        </w:rPr>
        <w:t>any</w:t>
      </w:r>
      <w:r>
        <w:rPr>
          <w:spacing w:val="-2"/>
        </w:rPr>
        <w:t xml:space="preserve"> event</w:t>
      </w:r>
      <w:r>
        <w:rPr>
          <w:spacing w:val="2"/>
        </w:rPr>
        <w:t xml:space="preserve"> </w:t>
      </w:r>
      <w:r>
        <w:rPr>
          <w:spacing w:val="-2"/>
        </w:rPr>
        <w:t>within</w:t>
      </w:r>
      <w:r>
        <w:t xml:space="preserve"> </w:t>
      </w:r>
      <w:r>
        <w:rPr>
          <w:spacing w:val="-1"/>
        </w:rPr>
        <w:t>two</w:t>
      </w:r>
      <w:r>
        <w:t xml:space="preserve"> </w:t>
      </w:r>
      <w:r>
        <w:rPr>
          <w:spacing w:val="-1"/>
        </w:rPr>
        <w:t>(2)</w:t>
      </w:r>
      <w:r>
        <w:rPr>
          <w:spacing w:val="-3"/>
        </w:rPr>
        <w:t xml:space="preserve"> </w:t>
      </w:r>
      <w:r>
        <w:rPr>
          <w:spacing w:val="-1"/>
        </w:rPr>
        <w:t>Working</w:t>
      </w:r>
      <w:r>
        <w:rPr>
          <w:spacing w:val="3"/>
        </w:rPr>
        <w:t xml:space="preserve"> </w:t>
      </w:r>
      <w:r>
        <w:rPr>
          <w:spacing w:val="-2"/>
        </w:rPr>
        <w:t>Days</w:t>
      </w:r>
      <w:r>
        <w:rPr>
          <w:spacing w:val="1"/>
        </w:rPr>
        <w:t xml:space="preserve"> </w:t>
      </w:r>
      <w:r>
        <w:rPr>
          <w:spacing w:val="-2"/>
        </w:rPr>
        <w:t>of</w:t>
      </w:r>
      <w:r>
        <w:t xml:space="preserve"> </w:t>
      </w:r>
      <w:r>
        <w:rPr>
          <w:spacing w:val="-1"/>
        </w:rPr>
        <w:t>receipt;</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3"/>
          <w:numId w:val="66"/>
        </w:numPr>
        <w:tabs>
          <w:tab w:val="left" w:pos="2595"/>
        </w:tabs>
        <w:spacing w:before="59"/>
        <w:ind w:left="2594" w:right="112"/>
        <w:jc w:val="both"/>
      </w:pPr>
      <w:r>
        <w:rPr>
          <w:spacing w:val="-2"/>
        </w:rPr>
        <w:t>provide</w:t>
      </w:r>
      <w:r>
        <w:t xml:space="preserve"> the </w:t>
      </w:r>
      <w:r>
        <w:rPr>
          <w:spacing w:val="-1"/>
        </w:rPr>
        <w:t xml:space="preserve">Customer </w:t>
      </w:r>
      <w:r>
        <w:rPr>
          <w:spacing w:val="-2"/>
        </w:rPr>
        <w:t>with</w:t>
      </w:r>
      <w:r>
        <w:t xml:space="preserve"> a </w:t>
      </w:r>
      <w:r>
        <w:rPr>
          <w:spacing w:val="-1"/>
        </w:rPr>
        <w:t>copy</w:t>
      </w:r>
      <w:r>
        <w:rPr>
          <w:spacing w:val="-2"/>
        </w:rPr>
        <w:t xml:space="preserve"> of</w:t>
      </w:r>
      <w:r>
        <w:rPr>
          <w:spacing w:val="2"/>
        </w:rPr>
        <w:t xml:space="preserve"> </w:t>
      </w:r>
      <w:r>
        <w:rPr>
          <w:spacing w:val="-1"/>
        </w:rPr>
        <w:t>all</w:t>
      </w:r>
      <w:r>
        <w:t xml:space="preserve"> </w:t>
      </w:r>
      <w:r>
        <w:rPr>
          <w:spacing w:val="-1"/>
        </w:rPr>
        <w:t>Information</w:t>
      </w:r>
      <w:r>
        <w:t xml:space="preserve"> </w:t>
      </w:r>
      <w:r>
        <w:rPr>
          <w:spacing w:val="-1"/>
        </w:rPr>
        <w:t>belonging</w:t>
      </w:r>
      <w:r>
        <w:t xml:space="preserve"> to</w:t>
      </w:r>
      <w:r>
        <w:rPr>
          <w:spacing w:val="33"/>
        </w:rPr>
        <w:t xml:space="preserve"> </w:t>
      </w:r>
      <w:r>
        <w:t>the</w:t>
      </w:r>
      <w:r>
        <w:rPr>
          <w:spacing w:val="5"/>
        </w:rPr>
        <w:t xml:space="preserve"> </w:t>
      </w:r>
      <w:r>
        <w:rPr>
          <w:spacing w:val="-1"/>
        </w:rPr>
        <w:t>Customer</w:t>
      </w:r>
      <w:r>
        <w:rPr>
          <w:spacing w:val="4"/>
        </w:rPr>
        <w:t xml:space="preserve"> </w:t>
      </w:r>
      <w:r>
        <w:rPr>
          <w:spacing w:val="-1"/>
        </w:rPr>
        <w:t>requested</w:t>
      </w:r>
      <w:r>
        <w:rPr>
          <w:spacing w:val="3"/>
        </w:rPr>
        <w:t xml:space="preserve"> </w:t>
      </w:r>
      <w:r>
        <w:rPr>
          <w:spacing w:val="-1"/>
        </w:rPr>
        <w:t>in</w:t>
      </w:r>
      <w:r>
        <w:rPr>
          <w:spacing w:val="5"/>
        </w:rPr>
        <w:t xml:space="preserve"> </w:t>
      </w:r>
      <w:r>
        <w:t>the</w:t>
      </w:r>
      <w:r>
        <w:rPr>
          <w:spacing w:val="5"/>
        </w:rPr>
        <w:t xml:space="preserve"> </w:t>
      </w:r>
      <w:r>
        <w:rPr>
          <w:spacing w:val="-1"/>
        </w:rPr>
        <w:t>Request</w:t>
      </w:r>
      <w:r>
        <w:rPr>
          <w:spacing w:val="4"/>
        </w:rPr>
        <w:t xml:space="preserve"> </w:t>
      </w:r>
      <w:r>
        <w:t>for</w:t>
      </w:r>
      <w:r>
        <w:rPr>
          <w:spacing w:val="4"/>
        </w:rPr>
        <w:t xml:space="preserve"> </w:t>
      </w:r>
      <w:r>
        <w:rPr>
          <w:spacing w:val="-1"/>
        </w:rPr>
        <w:t>Information</w:t>
      </w:r>
      <w:r>
        <w:rPr>
          <w:spacing w:val="5"/>
        </w:rPr>
        <w:t xml:space="preserve"> </w:t>
      </w:r>
      <w:r>
        <w:rPr>
          <w:spacing w:val="-2"/>
        </w:rPr>
        <w:t>which</w:t>
      </w:r>
      <w:r>
        <w:rPr>
          <w:spacing w:val="5"/>
        </w:rPr>
        <w:t xml:space="preserve"> </w:t>
      </w:r>
      <w:r>
        <w:rPr>
          <w:spacing w:val="-1"/>
        </w:rPr>
        <w:t>is</w:t>
      </w:r>
      <w:r>
        <w:rPr>
          <w:spacing w:val="23"/>
        </w:rPr>
        <w:t xml:space="preserve"> </w:t>
      </w:r>
      <w:r>
        <w:rPr>
          <w:spacing w:val="-1"/>
        </w:rPr>
        <w:t>in</w:t>
      </w:r>
      <w:r>
        <w:rPr>
          <w:spacing w:val="9"/>
        </w:rPr>
        <w:t xml:space="preserve"> </w:t>
      </w:r>
      <w:r>
        <w:rPr>
          <w:spacing w:val="-1"/>
        </w:rPr>
        <w:t>its</w:t>
      </w:r>
      <w:r>
        <w:rPr>
          <w:spacing w:val="9"/>
        </w:rPr>
        <w:t xml:space="preserve"> </w:t>
      </w:r>
      <w:r>
        <w:rPr>
          <w:spacing w:val="-1"/>
        </w:rPr>
        <w:t>possession</w:t>
      </w:r>
      <w:r>
        <w:rPr>
          <w:spacing w:val="9"/>
        </w:rPr>
        <w:t xml:space="preserve"> </w:t>
      </w:r>
      <w:r>
        <w:rPr>
          <w:spacing w:val="-1"/>
        </w:rPr>
        <w:t>or</w:t>
      </w:r>
      <w:r>
        <w:rPr>
          <w:spacing w:val="10"/>
        </w:rPr>
        <w:t xml:space="preserve"> </w:t>
      </w:r>
      <w:r>
        <w:rPr>
          <w:spacing w:val="-1"/>
        </w:rPr>
        <w:t>control</w:t>
      </w:r>
      <w:r>
        <w:rPr>
          <w:spacing w:val="8"/>
        </w:rPr>
        <w:t xml:space="preserve"> </w:t>
      </w:r>
      <w:r>
        <w:rPr>
          <w:spacing w:val="-1"/>
        </w:rPr>
        <w:t>in</w:t>
      </w:r>
      <w:r>
        <w:rPr>
          <w:spacing w:val="9"/>
        </w:rPr>
        <w:t xml:space="preserve"> </w:t>
      </w:r>
      <w:r>
        <w:t>the</w:t>
      </w:r>
      <w:r>
        <w:rPr>
          <w:spacing w:val="6"/>
        </w:rPr>
        <w:t xml:space="preserve"> </w:t>
      </w:r>
      <w:r>
        <w:t>form</w:t>
      </w:r>
      <w:r>
        <w:rPr>
          <w:spacing w:val="10"/>
        </w:rPr>
        <w:t xml:space="preserve"> </w:t>
      </w:r>
      <w:r>
        <w:rPr>
          <w:spacing w:val="-1"/>
        </w:rPr>
        <w:t>that</w:t>
      </w:r>
      <w:r>
        <w:rPr>
          <w:spacing w:val="10"/>
        </w:rPr>
        <w:t xml:space="preserve"> </w:t>
      </w:r>
      <w:r>
        <w:rPr>
          <w:spacing w:val="-1"/>
        </w:rPr>
        <w:t>the</w:t>
      </w:r>
      <w:r>
        <w:rPr>
          <w:spacing w:val="9"/>
        </w:rPr>
        <w:t xml:space="preserve"> </w:t>
      </w:r>
      <w:r>
        <w:rPr>
          <w:spacing w:val="-1"/>
        </w:rPr>
        <w:t>Customer</w:t>
      </w:r>
      <w:r>
        <w:rPr>
          <w:spacing w:val="25"/>
        </w:rPr>
        <w:t xml:space="preserve"> </w:t>
      </w:r>
      <w:r>
        <w:rPr>
          <w:spacing w:val="-1"/>
        </w:rPr>
        <w:t>requires</w:t>
      </w:r>
      <w:r>
        <w:rPr>
          <w:spacing w:val="25"/>
        </w:rPr>
        <w:t xml:space="preserve"> </w:t>
      </w:r>
      <w:r>
        <w:rPr>
          <w:spacing w:val="-2"/>
        </w:rPr>
        <w:t>within</w:t>
      </w:r>
      <w:r>
        <w:rPr>
          <w:spacing w:val="24"/>
        </w:rPr>
        <w:t xml:space="preserve"> </w:t>
      </w:r>
      <w:r>
        <w:rPr>
          <w:spacing w:val="-1"/>
        </w:rPr>
        <w:t>five</w:t>
      </w:r>
      <w:r>
        <w:rPr>
          <w:spacing w:val="24"/>
        </w:rPr>
        <w:t xml:space="preserve"> </w:t>
      </w:r>
      <w:r>
        <w:rPr>
          <w:spacing w:val="-1"/>
        </w:rPr>
        <w:t>(5)</w:t>
      </w:r>
      <w:r>
        <w:rPr>
          <w:spacing w:val="23"/>
        </w:rPr>
        <w:t xml:space="preserve"> </w:t>
      </w:r>
      <w:r>
        <w:rPr>
          <w:spacing w:val="-1"/>
        </w:rPr>
        <w:t>Working</w:t>
      </w:r>
      <w:r>
        <w:rPr>
          <w:spacing w:val="27"/>
        </w:rPr>
        <w:t xml:space="preserve"> </w:t>
      </w:r>
      <w:r>
        <w:rPr>
          <w:spacing w:val="-2"/>
        </w:rPr>
        <w:t>Days</w:t>
      </w:r>
      <w:r>
        <w:rPr>
          <w:spacing w:val="25"/>
        </w:rPr>
        <w:t xml:space="preserve"> </w:t>
      </w:r>
      <w:r>
        <w:rPr>
          <w:spacing w:val="-1"/>
        </w:rPr>
        <w:t>(or</w:t>
      </w:r>
      <w:r>
        <w:rPr>
          <w:spacing w:val="23"/>
        </w:rPr>
        <w:t xml:space="preserve"> </w:t>
      </w:r>
      <w:r>
        <w:rPr>
          <w:spacing w:val="-1"/>
        </w:rPr>
        <w:t>such</w:t>
      </w:r>
      <w:r>
        <w:rPr>
          <w:spacing w:val="22"/>
        </w:rPr>
        <w:t xml:space="preserve"> </w:t>
      </w:r>
      <w:r>
        <w:rPr>
          <w:spacing w:val="-1"/>
        </w:rPr>
        <w:t>other</w:t>
      </w:r>
      <w:r>
        <w:rPr>
          <w:spacing w:val="26"/>
        </w:rPr>
        <w:t xml:space="preserve"> </w:t>
      </w:r>
      <w:r>
        <w:rPr>
          <w:spacing w:val="-2"/>
        </w:rPr>
        <w:t>period</w:t>
      </w:r>
      <w:r>
        <w:rPr>
          <w:spacing w:val="24"/>
        </w:rPr>
        <w:t xml:space="preserve"> </w:t>
      </w:r>
      <w:r>
        <w:rPr>
          <w:spacing w:val="-1"/>
        </w:rPr>
        <w:t>as</w:t>
      </w:r>
      <w:r>
        <w:rPr>
          <w:spacing w:val="56"/>
        </w:rPr>
        <w:t xml:space="preserve"> </w:t>
      </w:r>
      <w:r>
        <w:t>the</w:t>
      </w:r>
      <w:r>
        <w:rPr>
          <w:spacing w:val="35"/>
        </w:rPr>
        <w:t xml:space="preserve"> </w:t>
      </w:r>
      <w:r>
        <w:rPr>
          <w:spacing w:val="-1"/>
        </w:rPr>
        <w:t>Customer</w:t>
      </w:r>
      <w:r>
        <w:rPr>
          <w:spacing w:val="34"/>
        </w:rPr>
        <w:t xml:space="preserve"> </w:t>
      </w:r>
      <w:r>
        <w:rPr>
          <w:spacing w:val="-1"/>
        </w:rPr>
        <w:t>may</w:t>
      </w:r>
      <w:r>
        <w:rPr>
          <w:spacing w:val="34"/>
        </w:rPr>
        <w:t xml:space="preserve"> </w:t>
      </w:r>
      <w:r>
        <w:rPr>
          <w:spacing w:val="-1"/>
        </w:rPr>
        <w:t>reasonably</w:t>
      </w:r>
      <w:r>
        <w:rPr>
          <w:spacing w:val="34"/>
        </w:rPr>
        <w:t xml:space="preserve"> </w:t>
      </w:r>
      <w:r>
        <w:rPr>
          <w:spacing w:val="-1"/>
        </w:rPr>
        <w:t>specify)</w:t>
      </w:r>
      <w:r>
        <w:rPr>
          <w:spacing w:val="36"/>
        </w:rPr>
        <w:t xml:space="preserve"> </w:t>
      </w:r>
      <w:r>
        <w:rPr>
          <w:spacing w:val="-1"/>
        </w:rPr>
        <w:t>of</w:t>
      </w:r>
      <w:r>
        <w:rPr>
          <w:spacing w:val="36"/>
        </w:rPr>
        <w:t xml:space="preserve"> </w:t>
      </w:r>
      <w:r>
        <w:rPr>
          <w:spacing w:val="-1"/>
        </w:rPr>
        <w:t>the</w:t>
      </w:r>
      <w:r>
        <w:rPr>
          <w:spacing w:val="36"/>
        </w:rPr>
        <w:t xml:space="preserve"> </w:t>
      </w:r>
      <w:r>
        <w:rPr>
          <w:spacing w:val="-1"/>
        </w:rPr>
        <w:t>Customer's</w:t>
      </w:r>
      <w:r>
        <w:rPr>
          <w:spacing w:val="29"/>
        </w:rPr>
        <w:t xml:space="preserve"> </w:t>
      </w:r>
      <w:r>
        <w:rPr>
          <w:spacing w:val="-1"/>
        </w:rPr>
        <w:t>request</w:t>
      </w:r>
      <w:r>
        <w:rPr>
          <w:spacing w:val="-2"/>
        </w:rPr>
        <w:t xml:space="preserve"> </w:t>
      </w:r>
      <w:r>
        <w:t>for</w:t>
      </w:r>
      <w:r>
        <w:rPr>
          <w:spacing w:val="2"/>
        </w:rPr>
        <w:t xml:space="preserve"> </w:t>
      </w:r>
      <w:r>
        <w:rPr>
          <w:spacing w:val="-2"/>
        </w:rPr>
        <w:t>such</w:t>
      </w:r>
      <w:r>
        <w:rPr>
          <w:spacing w:val="1"/>
        </w:rPr>
        <w:t xml:space="preserve"> </w:t>
      </w:r>
      <w:r>
        <w:rPr>
          <w:spacing w:val="-1"/>
        </w:rPr>
        <w:t>Information;</w:t>
      </w:r>
      <w:r>
        <w:rPr>
          <w:spacing w:val="2"/>
        </w:rPr>
        <w:t xml:space="preserve"> </w:t>
      </w:r>
      <w:r>
        <w:rPr>
          <w:spacing w:val="-1"/>
        </w:rPr>
        <w:t>and</w:t>
      </w:r>
    </w:p>
    <w:p w:rsidR="008918FA" w:rsidRDefault="008918FA" w:rsidP="008918FA">
      <w:pPr>
        <w:pStyle w:val="BodyText"/>
        <w:numPr>
          <w:ilvl w:val="3"/>
          <w:numId w:val="66"/>
        </w:numPr>
        <w:tabs>
          <w:tab w:val="left" w:pos="2594"/>
        </w:tabs>
        <w:ind w:left="2593" w:right="115" w:hanging="707"/>
        <w:jc w:val="both"/>
      </w:pPr>
      <w:r>
        <w:rPr>
          <w:spacing w:val="-1"/>
        </w:rPr>
        <w:t>not</w:t>
      </w:r>
      <w:r>
        <w:rPr>
          <w:spacing w:val="41"/>
        </w:rPr>
        <w:t xml:space="preserve"> </w:t>
      </w:r>
      <w:r>
        <w:rPr>
          <w:spacing w:val="-1"/>
        </w:rPr>
        <w:t>respond</w:t>
      </w:r>
      <w:r>
        <w:rPr>
          <w:spacing w:val="40"/>
        </w:rPr>
        <w:t xml:space="preserve"> </w:t>
      </w:r>
      <w:r>
        <w:rPr>
          <w:spacing w:val="-1"/>
        </w:rPr>
        <w:t>directly</w:t>
      </w:r>
      <w:r>
        <w:rPr>
          <w:spacing w:val="38"/>
        </w:rPr>
        <w:t xml:space="preserve"> </w:t>
      </w:r>
      <w:r>
        <w:t>to</w:t>
      </w:r>
      <w:r>
        <w:rPr>
          <w:spacing w:val="40"/>
        </w:rPr>
        <w:t xml:space="preserve"> </w:t>
      </w:r>
      <w:r>
        <w:t>a</w:t>
      </w:r>
      <w:r>
        <w:rPr>
          <w:spacing w:val="40"/>
        </w:rPr>
        <w:t xml:space="preserve"> </w:t>
      </w:r>
      <w:r>
        <w:rPr>
          <w:spacing w:val="-1"/>
        </w:rPr>
        <w:t>Request</w:t>
      </w:r>
      <w:r>
        <w:rPr>
          <w:spacing w:val="37"/>
        </w:rPr>
        <w:t xml:space="preserve"> </w:t>
      </w:r>
      <w:r>
        <w:t>for</w:t>
      </w:r>
      <w:r>
        <w:rPr>
          <w:spacing w:val="40"/>
        </w:rPr>
        <w:t xml:space="preserve"> </w:t>
      </w:r>
      <w:r>
        <w:rPr>
          <w:spacing w:val="-1"/>
        </w:rPr>
        <w:t>Information</w:t>
      </w:r>
      <w:r>
        <w:rPr>
          <w:spacing w:val="40"/>
        </w:rPr>
        <w:t xml:space="preserve"> </w:t>
      </w:r>
      <w:r>
        <w:rPr>
          <w:spacing w:val="-2"/>
        </w:rPr>
        <w:t>unless</w:t>
      </w:r>
      <w:r>
        <w:rPr>
          <w:spacing w:val="26"/>
        </w:rPr>
        <w:t xml:space="preserve"> </w:t>
      </w:r>
      <w:r>
        <w:rPr>
          <w:spacing w:val="-1"/>
        </w:rPr>
        <w:t>authorised</w:t>
      </w:r>
      <w:r>
        <w:t xml:space="preserve"> </w:t>
      </w:r>
      <w:r>
        <w:rPr>
          <w:spacing w:val="-1"/>
        </w:rPr>
        <w:t>in</w:t>
      </w:r>
      <w:r>
        <w:rPr>
          <w:spacing w:val="-2"/>
        </w:rPr>
        <w:t xml:space="preserve"> writing</w:t>
      </w:r>
      <w:r>
        <w:t xml:space="preserve"> to </w:t>
      </w:r>
      <w:r>
        <w:rPr>
          <w:spacing w:val="-2"/>
        </w:rPr>
        <w:t>do</w:t>
      </w:r>
      <w:r>
        <w:t xml:space="preserve"> </w:t>
      </w:r>
      <w:r>
        <w:rPr>
          <w:spacing w:val="-1"/>
        </w:rPr>
        <w:t>so</w:t>
      </w:r>
      <w:r>
        <w:rPr>
          <w:spacing w:val="1"/>
        </w:rPr>
        <w:t xml:space="preserve"> </w:t>
      </w:r>
      <w:r>
        <w:rPr>
          <w:spacing w:val="-1"/>
        </w:rPr>
        <w:t>by</w:t>
      </w:r>
      <w:r>
        <w:rPr>
          <w:spacing w:val="-2"/>
        </w:rPr>
        <w:t xml:space="preserve"> </w:t>
      </w:r>
      <w:r>
        <w:rPr>
          <w:spacing w:val="-1"/>
        </w:rPr>
        <w:t>the</w:t>
      </w:r>
      <w:r>
        <w:t xml:space="preserve"> </w:t>
      </w:r>
      <w:r>
        <w:rPr>
          <w:spacing w:val="-1"/>
        </w:rPr>
        <w:t>Customer.</w:t>
      </w:r>
    </w:p>
    <w:p w:rsidR="008918FA" w:rsidRDefault="008918FA" w:rsidP="008918FA">
      <w:pPr>
        <w:pStyle w:val="BodyText"/>
        <w:numPr>
          <w:ilvl w:val="2"/>
          <w:numId w:val="66"/>
        </w:numPr>
        <w:tabs>
          <w:tab w:val="left" w:pos="1886"/>
        </w:tabs>
        <w:ind w:left="1885" w:right="112" w:hanging="993"/>
        <w:jc w:val="both"/>
      </w:pPr>
      <w:r>
        <w:t>The</w:t>
      </w:r>
      <w:r>
        <w:rPr>
          <w:spacing w:val="15"/>
        </w:rPr>
        <w:t xml:space="preserve"> </w:t>
      </w:r>
      <w:r>
        <w:rPr>
          <w:spacing w:val="-2"/>
        </w:rPr>
        <w:t>Supplier</w:t>
      </w:r>
      <w:r>
        <w:rPr>
          <w:spacing w:val="16"/>
        </w:rPr>
        <w:t xml:space="preserve"> </w:t>
      </w:r>
      <w:r>
        <w:rPr>
          <w:spacing w:val="-1"/>
        </w:rPr>
        <w:t>acknowledges</w:t>
      </w:r>
      <w:r>
        <w:rPr>
          <w:spacing w:val="13"/>
        </w:rPr>
        <w:t xml:space="preserve"> </w:t>
      </w:r>
      <w:r>
        <w:rPr>
          <w:spacing w:val="-1"/>
        </w:rPr>
        <w:t>that</w:t>
      </w:r>
      <w:r>
        <w:rPr>
          <w:spacing w:val="16"/>
        </w:rPr>
        <w:t xml:space="preserve"> </w:t>
      </w:r>
      <w:r>
        <w:t>the</w:t>
      </w:r>
      <w:r>
        <w:rPr>
          <w:spacing w:val="12"/>
        </w:rPr>
        <w:t xml:space="preserve"> </w:t>
      </w:r>
      <w:r>
        <w:rPr>
          <w:spacing w:val="-1"/>
        </w:rPr>
        <w:t>Customer</w:t>
      </w:r>
      <w:r>
        <w:rPr>
          <w:spacing w:val="14"/>
        </w:rPr>
        <w:t xml:space="preserve"> </w:t>
      </w:r>
      <w:r>
        <w:rPr>
          <w:spacing w:val="-1"/>
        </w:rPr>
        <w:t>may</w:t>
      </w:r>
      <w:r>
        <w:rPr>
          <w:spacing w:val="13"/>
        </w:rPr>
        <w:t xml:space="preserve"> </w:t>
      </w:r>
      <w:r>
        <w:rPr>
          <w:spacing w:val="-1"/>
        </w:rPr>
        <w:t>be</w:t>
      </w:r>
      <w:r>
        <w:rPr>
          <w:spacing w:val="15"/>
        </w:rPr>
        <w:t xml:space="preserve"> </w:t>
      </w:r>
      <w:r>
        <w:rPr>
          <w:spacing w:val="-1"/>
        </w:rPr>
        <w:t>required</w:t>
      </w:r>
      <w:r>
        <w:rPr>
          <w:spacing w:val="15"/>
        </w:rPr>
        <w:t xml:space="preserve"> </w:t>
      </w:r>
      <w:r>
        <w:rPr>
          <w:spacing w:val="-2"/>
        </w:rPr>
        <w:t>under</w:t>
      </w:r>
      <w:r>
        <w:rPr>
          <w:spacing w:val="45"/>
        </w:rPr>
        <w:t xml:space="preserve"> </w:t>
      </w:r>
      <w:r>
        <w:t>the</w:t>
      </w:r>
      <w:r>
        <w:rPr>
          <w:spacing w:val="51"/>
        </w:rPr>
        <w:t xml:space="preserve"> </w:t>
      </w:r>
      <w:r>
        <w:rPr>
          <w:spacing w:val="-1"/>
        </w:rPr>
        <w:t>FOIA</w:t>
      </w:r>
      <w:r>
        <w:rPr>
          <w:spacing w:val="50"/>
        </w:rPr>
        <w:t xml:space="preserve"> </w:t>
      </w:r>
      <w:r>
        <w:rPr>
          <w:spacing w:val="-1"/>
        </w:rPr>
        <w:t>and</w:t>
      </w:r>
      <w:r>
        <w:rPr>
          <w:spacing w:val="51"/>
        </w:rPr>
        <w:t xml:space="preserve"> </w:t>
      </w:r>
      <w:r>
        <w:rPr>
          <w:spacing w:val="-1"/>
        </w:rPr>
        <w:t>EIRs</w:t>
      </w:r>
      <w:r>
        <w:rPr>
          <w:spacing w:val="51"/>
        </w:rPr>
        <w:t xml:space="preserve"> </w:t>
      </w:r>
      <w:r>
        <w:t>to</w:t>
      </w:r>
      <w:r>
        <w:rPr>
          <w:spacing w:val="51"/>
        </w:rPr>
        <w:t xml:space="preserve"> </w:t>
      </w:r>
      <w:r>
        <w:rPr>
          <w:spacing w:val="-1"/>
        </w:rPr>
        <w:t>disclose</w:t>
      </w:r>
      <w:r>
        <w:rPr>
          <w:spacing w:val="51"/>
        </w:rPr>
        <w:t xml:space="preserve"> </w:t>
      </w:r>
      <w:r>
        <w:rPr>
          <w:spacing w:val="-1"/>
        </w:rPr>
        <w:t>Information</w:t>
      </w:r>
      <w:r>
        <w:rPr>
          <w:spacing w:val="52"/>
        </w:rPr>
        <w:t xml:space="preserve"> </w:t>
      </w:r>
      <w:r>
        <w:rPr>
          <w:spacing w:val="-2"/>
        </w:rPr>
        <w:t>(including</w:t>
      </w:r>
      <w:r>
        <w:rPr>
          <w:spacing w:val="53"/>
        </w:rPr>
        <w:t xml:space="preserve"> </w:t>
      </w:r>
      <w:r>
        <w:rPr>
          <w:spacing w:val="-2"/>
        </w:rPr>
        <w:t>Commercially</w:t>
      </w:r>
      <w:r>
        <w:rPr>
          <w:spacing w:val="63"/>
        </w:rPr>
        <w:t xml:space="preserve"> </w:t>
      </w:r>
      <w:r>
        <w:rPr>
          <w:spacing w:val="-1"/>
        </w:rPr>
        <w:t>Sensitive</w:t>
      </w:r>
      <w:r>
        <w:rPr>
          <w:spacing w:val="7"/>
        </w:rPr>
        <w:t xml:space="preserve"> </w:t>
      </w:r>
      <w:r>
        <w:rPr>
          <w:spacing w:val="-1"/>
        </w:rPr>
        <w:t>Information)</w:t>
      </w:r>
      <w:r>
        <w:rPr>
          <w:spacing w:val="9"/>
        </w:rPr>
        <w:t xml:space="preserve"> </w:t>
      </w:r>
      <w:r>
        <w:rPr>
          <w:spacing w:val="-1"/>
        </w:rPr>
        <w:t>without</w:t>
      </w:r>
      <w:r>
        <w:rPr>
          <w:spacing w:val="9"/>
        </w:rPr>
        <w:t xml:space="preserve"> </w:t>
      </w:r>
      <w:r>
        <w:rPr>
          <w:spacing w:val="-1"/>
        </w:rPr>
        <w:t>consulting</w:t>
      </w:r>
      <w:r>
        <w:rPr>
          <w:spacing w:val="10"/>
        </w:rPr>
        <w:t xml:space="preserve"> </w:t>
      </w:r>
      <w:r>
        <w:rPr>
          <w:spacing w:val="-1"/>
        </w:rPr>
        <w:t>or</w:t>
      </w:r>
      <w:r>
        <w:rPr>
          <w:spacing w:val="9"/>
        </w:rPr>
        <w:t xml:space="preserve"> </w:t>
      </w:r>
      <w:r>
        <w:rPr>
          <w:spacing w:val="-2"/>
        </w:rPr>
        <w:t>obtaining</w:t>
      </w:r>
      <w:r>
        <w:rPr>
          <w:spacing w:val="10"/>
        </w:rPr>
        <w:t xml:space="preserve"> </w:t>
      </w:r>
      <w:r>
        <w:rPr>
          <w:spacing w:val="-1"/>
        </w:rPr>
        <w:t>consent</w:t>
      </w:r>
      <w:r>
        <w:rPr>
          <w:spacing w:val="7"/>
        </w:rPr>
        <w:t xml:space="preserve"> </w:t>
      </w:r>
      <w:r>
        <w:rPr>
          <w:spacing w:val="-1"/>
        </w:rPr>
        <w:t>from</w:t>
      </w:r>
      <w:r>
        <w:rPr>
          <w:spacing w:val="9"/>
        </w:rPr>
        <w:t xml:space="preserve"> </w:t>
      </w:r>
      <w:r>
        <w:rPr>
          <w:spacing w:val="-1"/>
        </w:rPr>
        <w:t>the</w:t>
      </w:r>
      <w:r>
        <w:rPr>
          <w:spacing w:val="50"/>
        </w:rPr>
        <w:t xml:space="preserve"> </w:t>
      </w:r>
      <w:r>
        <w:rPr>
          <w:spacing w:val="-1"/>
        </w:rPr>
        <w:t>Supplier.</w:t>
      </w:r>
      <w:r>
        <w:rPr>
          <w:spacing w:val="13"/>
        </w:rPr>
        <w:t xml:space="preserve"> </w:t>
      </w:r>
      <w:r>
        <w:t>The</w:t>
      </w:r>
      <w:r>
        <w:rPr>
          <w:spacing w:val="14"/>
        </w:rPr>
        <w:t xml:space="preserve"> </w:t>
      </w:r>
      <w:r>
        <w:rPr>
          <w:spacing w:val="-2"/>
        </w:rPr>
        <w:t>Customer</w:t>
      </w:r>
      <w:r>
        <w:rPr>
          <w:spacing w:val="15"/>
        </w:rPr>
        <w:t xml:space="preserve"> </w:t>
      </w:r>
      <w:r>
        <w:rPr>
          <w:spacing w:val="-1"/>
        </w:rPr>
        <w:t>shall</w:t>
      </w:r>
      <w:r>
        <w:rPr>
          <w:spacing w:val="13"/>
        </w:rPr>
        <w:t xml:space="preserve"> </w:t>
      </w:r>
      <w:r>
        <w:t>take</w:t>
      </w:r>
      <w:r>
        <w:rPr>
          <w:spacing w:val="11"/>
        </w:rPr>
        <w:t xml:space="preserve"> </w:t>
      </w:r>
      <w:r>
        <w:rPr>
          <w:spacing w:val="-1"/>
        </w:rPr>
        <w:t>reasonable</w:t>
      </w:r>
      <w:r>
        <w:rPr>
          <w:spacing w:val="11"/>
        </w:rPr>
        <w:t xml:space="preserve"> </w:t>
      </w:r>
      <w:r>
        <w:rPr>
          <w:spacing w:val="-1"/>
        </w:rPr>
        <w:t>steps</w:t>
      </w:r>
      <w:r>
        <w:rPr>
          <w:spacing w:val="12"/>
        </w:rPr>
        <w:t xml:space="preserve"> </w:t>
      </w:r>
      <w:r>
        <w:rPr>
          <w:spacing w:val="1"/>
        </w:rPr>
        <w:t>to</w:t>
      </w:r>
      <w:r>
        <w:rPr>
          <w:spacing w:val="14"/>
        </w:rPr>
        <w:t xml:space="preserve"> </w:t>
      </w:r>
      <w:r>
        <w:rPr>
          <w:spacing w:val="-1"/>
        </w:rPr>
        <w:t>notify</w:t>
      </w:r>
      <w:r>
        <w:rPr>
          <w:spacing w:val="12"/>
        </w:rPr>
        <w:t xml:space="preserve"> </w:t>
      </w:r>
      <w:r>
        <w:rPr>
          <w:spacing w:val="-1"/>
        </w:rPr>
        <w:t>the</w:t>
      </w:r>
      <w:r>
        <w:rPr>
          <w:spacing w:val="34"/>
        </w:rPr>
        <w:t xml:space="preserve"> </w:t>
      </w:r>
      <w:r>
        <w:rPr>
          <w:spacing w:val="-2"/>
        </w:rPr>
        <w:t>Supplier</w:t>
      </w:r>
      <w:r>
        <w:rPr>
          <w:spacing w:val="2"/>
        </w:rPr>
        <w:t xml:space="preserve"> </w:t>
      </w:r>
      <w:r>
        <w:rPr>
          <w:spacing w:val="-2"/>
        </w:rPr>
        <w:t>of</w:t>
      </w:r>
      <w:r>
        <w:rPr>
          <w:spacing w:val="4"/>
        </w:rPr>
        <w:t xml:space="preserve"> </w:t>
      </w:r>
      <w:r>
        <w:t>a</w:t>
      </w:r>
      <w:r>
        <w:rPr>
          <w:spacing w:val="-2"/>
        </w:rPr>
        <w:t xml:space="preserve"> </w:t>
      </w:r>
      <w:r>
        <w:rPr>
          <w:spacing w:val="-1"/>
        </w:rPr>
        <w:t>Request</w:t>
      </w:r>
      <w:r>
        <w:rPr>
          <w:spacing w:val="-2"/>
        </w:rPr>
        <w:t xml:space="preserve"> </w:t>
      </w:r>
      <w:r>
        <w:t>for</w:t>
      </w:r>
      <w:r>
        <w:rPr>
          <w:spacing w:val="-1"/>
        </w:rPr>
        <w:t xml:space="preserve"> Information</w:t>
      </w:r>
      <w:r>
        <w:rPr>
          <w:spacing w:val="-2"/>
        </w:rPr>
        <w:t xml:space="preserve"> </w:t>
      </w:r>
      <w:r>
        <w:rPr>
          <w:spacing w:val="-1"/>
        </w:rPr>
        <w:t>(in</w:t>
      </w:r>
      <w:r>
        <w:t xml:space="preserve"> </w:t>
      </w:r>
      <w:r>
        <w:rPr>
          <w:spacing w:val="-2"/>
        </w:rPr>
        <w:t>accordance</w:t>
      </w:r>
      <w:r>
        <w:rPr>
          <w:spacing w:val="1"/>
        </w:rPr>
        <w:t xml:space="preserve"> </w:t>
      </w:r>
      <w:r>
        <w:rPr>
          <w:spacing w:val="-2"/>
        </w:rPr>
        <w:t>with</w:t>
      </w:r>
      <w:r>
        <w:t xml:space="preserve"> the </w:t>
      </w:r>
      <w:r>
        <w:rPr>
          <w:spacing w:val="-1"/>
        </w:rPr>
        <w:t>Secretary</w:t>
      </w:r>
      <w:r>
        <w:rPr>
          <w:spacing w:val="55"/>
        </w:rPr>
        <w:t xml:space="preserve"> </w:t>
      </w:r>
      <w:r>
        <w:rPr>
          <w:spacing w:val="-2"/>
        </w:rPr>
        <w:t>of</w:t>
      </w:r>
      <w:r>
        <w:rPr>
          <w:spacing w:val="22"/>
        </w:rPr>
        <w:t xml:space="preserve"> </w:t>
      </w:r>
      <w:r>
        <w:rPr>
          <w:spacing w:val="-1"/>
        </w:rPr>
        <w:t>State’s</w:t>
      </w:r>
      <w:r>
        <w:rPr>
          <w:spacing w:val="19"/>
        </w:rPr>
        <w:t xml:space="preserve"> </w:t>
      </w:r>
      <w:r>
        <w:rPr>
          <w:spacing w:val="-1"/>
        </w:rPr>
        <w:t>Section</w:t>
      </w:r>
      <w:r>
        <w:rPr>
          <w:spacing w:val="18"/>
        </w:rPr>
        <w:t xml:space="preserve"> </w:t>
      </w:r>
      <w:r>
        <w:rPr>
          <w:spacing w:val="-1"/>
        </w:rPr>
        <w:t>45</w:t>
      </w:r>
      <w:r>
        <w:rPr>
          <w:spacing w:val="16"/>
        </w:rPr>
        <w:t xml:space="preserve"> </w:t>
      </w:r>
      <w:r>
        <w:rPr>
          <w:spacing w:val="-1"/>
        </w:rPr>
        <w:t>Code</w:t>
      </w:r>
      <w:r>
        <w:rPr>
          <w:spacing w:val="18"/>
        </w:rPr>
        <w:t xml:space="preserve"> </w:t>
      </w:r>
      <w:r>
        <w:rPr>
          <w:spacing w:val="-2"/>
        </w:rPr>
        <w:t>of</w:t>
      </w:r>
      <w:r>
        <w:rPr>
          <w:spacing w:val="22"/>
        </w:rPr>
        <w:t xml:space="preserve"> </w:t>
      </w:r>
      <w:r>
        <w:rPr>
          <w:spacing w:val="-1"/>
        </w:rPr>
        <w:t>Practice</w:t>
      </w:r>
      <w:r>
        <w:rPr>
          <w:spacing w:val="19"/>
        </w:rPr>
        <w:t xml:space="preserve"> </w:t>
      </w:r>
      <w:r>
        <w:rPr>
          <w:spacing w:val="-1"/>
        </w:rPr>
        <w:t>on</w:t>
      </w:r>
      <w:r>
        <w:rPr>
          <w:spacing w:val="20"/>
        </w:rPr>
        <w:t xml:space="preserve"> </w:t>
      </w:r>
      <w:r>
        <w:rPr>
          <w:spacing w:val="-1"/>
        </w:rPr>
        <w:t>the</w:t>
      </w:r>
      <w:r>
        <w:rPr>
          <w:spacing w:val="18"/>
        </w:rPr>
        <w:t xml:space="preserve"> </w:t>
      </w:r>
      <w:r>
        <w:rPr>
          <w:spacing w:val="-1"/>
        </w:rPr>
        <w:t>Discharge</w:t>
      </w:r>
      <w:r>
        <w:rPr>
          <w:spacing w:val="16"/>
        </w:rPr>
        <w:t xml:space="preserve"> </w:t>
      </w:r>
      <w:r>
        <w:rPr>
          <w:spacing w:val="-2"/>
        </w:rPr>
        <w:t>of</w:t>
      </w:r>
      <w:r>
        <w:rPr>
          <w:spacing w:val="20"/>
        </w:rPr>
        <w:t xml:space="preserve"> </w:t>
      </w:r>
      <w:r>
        <w:t>the</w:t>
      </w:r>
      <w:r>
        <w:rPr>
          <w:spacing w:val="31"/>
        </w:rPr>
        <w:t xml:space="preserve"> </w:t>
      </w:r>
      <w:r>
        <w:rPr>
          <w:spacing w:val="-1"/>
        </w:rPr>
        <w:t>Functions</w:t>
      </w:r>
      <w:r>
        <w:rPr>
          <w:spacing w:val="15"/>
        </w:rPr>
        <w:t xml:space="preserve"> </w:t>
      </w:r>
      <w:r>
        <w:rPr>
          <w:spacing w:val="-2"/>
        </w:rPr>
        <w:t>of</w:t>
      </w:r>
      <w:r>
        <w:rPr>
          <w:spacing w:val="16"/>
        </w:rPr>
        <w:t xml:space="preserve"> </w:t>
      </w:r>
      <w:r>
        <w:rPr>
          <w:spacing w:val="-2"/>
        </w:rPr>
        <w:t>Public</w:t>
      </w:r>
      <w:r>
        <w:rPr>
          <w:spacing w:val="15"/>
        </w:rPr>
        <w:t xml:space="preserve"> </w:t>
      </w:r>
      <w:r>
        <w:rPr>
          <w:spacing w:val="-1"/>
        </w:rPr>
        <w:t>Authorities</w:t>
      </w:r>
      <w:r>
        <w:rPr>
          <w:spacing w:val="15"/>
        </w:rPr>
        <w:t xml:space="preserve"> </w:t>
      </w:r>
      <w:r>
        <w:rPr>
          <w:spacing w:val="-1"/>
        </w:rPr>
        <w:t>under</w:t>
      </w:r>
      <w:r>
        <w:rPr>
          <w:spacing w:val="14"/>
        </w:rPr>
        <w:t xml:space="preserve"> </w:t>
      </w:r>
      <w:r>
        <w:rPr>
          <w:spacing w:val="-1"/>
        </w:rPr>
        <w:t>Part</w:t>
      </w:r>
      <w:r>
        <w:rPr>
          <w:spacing w:val="3"/>
        </w:rPr>
        <w:t xml:space="preserve"> </w:t>
      </w:r>
      <w:r>
        <w:t>1</w:t>
      </w:r>
      <w:r>
        <w:rPr>
          <w:spacing w:val="12"/>
        </w:rPr>
        <w:t xml:space="preserve"> </w:t>
      </w:r>
      <w:r>
        <w:rPr>
          <w:spacing w:val="-2"/>
        </w:rPr>
        <w:t>of</w:t>
      </w:r>
      <w:r>
        <w:rPr>
          <w:spacing w:val="16"/>
        </w:rPr>
        <w:t xml:space="preserve"> </w:t>
      </w:r>
      <w:r>
        <w:rPr>
          <w:spacing w:val="-1"/>
        </w:rPr>
        <w:t>the</w:t>
      </w:r>
      <w:r>
        <w:rPr>
          <w:spacing w:val="15"/>
        </w:rPr>
        <w:t xml:space="preserve"> </w:t>
      </w:r>
      <w:r>
        <w:rPr>
          <w:spacing w:val="-1"/>
        </w:rPr>
        <w:t>FOIA)</w:t>
      </w:r>
      <w:r>
        <w:rPr>
          <w:spacing w:val="14"/>
        </w:rPr>
        <w:t xml:space="preserve"> </w:t>
      </w:r>
      <w:r>
        <w:t>to</w:t>
      </w:r>
      <w:r>
        <w:rPr>
          <w:spacing w:val="12"/>
        </w:rPr>
        <w:t xml:space="preserve"> </w:t>
      </w:r>
      <w:r>
        <w:t>the</w:t>
      </w:r>
      <w:r>
        <w:rPr>
          <w:spacing w:val="15"/>
        </w:rPr>
        <w:t xml:space="preserve"> </w:t>
      </w:r>
      <w:r>
        <w:rPr>
          <w:spacing w:val="-2"/>
        </w:rPr>
        <w:t>extent</w:t>
      </w:r>
      <w:r>
        <w:rPr>
          <w:spacing w:val="43"/>
        </w:rPr>
        <w:t xml:space="preserve"> </w:t>
      </w:r>
      <w:r>
        <w:rPr>
          <w:spacing w:val="-1"/>
        </w:rPr>
        <w:t>that</w:t>
      </w:r>
      <w:r>
        <w:rPr>
          <w:spacing w:val="10"/>
        </w:rPr>
        <w:t xml:space="preserve"> </w:t>
      </w:r>
      <w:r>
        <w:rPr>
          <w:spacing w:val="-1"/>
        </w:rPr>
        <w:t>it</w:t>
      </w:r>
      <w:r>
        <w:rPr>
          <w:spacing w:val="8"/>
        </w:rPr>
        <w:t xml:space="preserve"> </w:t>
      </w:r>
      <w:r>
        <w:rPr>
          <w:spacing w:val="-1"/>
        </w:rPr>
        <w:t>is</w:t>
      </w:r>
      <w:r>
        <w:rPr>
          <w:spacing w:val="9"/>
        </w:rPr>
        <w:t xml:space="preserve"> </w:t>
      </w:r>
      <w:r>
        <w:rPr>
          <w:spacing w:val="-2"/>
        </w:rPr>
        <w:t>permissible</w:t>
      </w:r>
      <w:r>
        <w:rPr>
          <w:spacing w:val="9"/>
        </w:rPr>
        <w:t xml:space="preserve"> </w:t>
      </w:r>
      <w:r>
        <w:rPr>
          <w:spacing w:val="-1"/>
        </w:rPr>
        <w:t>and</w:t>
      </w:r>
      <w:r>
        <w:rPr>
          <w:spacing w:val="9"/>
        </w:rPr>
        <w:t xml:space="preserve"> </w:t>
      </w:r>
      <w:r>
        <w:rPr>
          <w:spacing w:val="-1"/>
        </w:rPr>
        <w:t>reasonably</w:t>
      </w:r>
      <w:r>
        <w:rPr>
          <w:spacing w:val="7"/>
        </w:rPr>
        <w:t xml:space="preserve"> </w:t>
      </w:r>
      <w:r>
        <w:rPr>
          <w:spacing w:val="-1"/>
        </w:rPr>
        <w:t>practical</w:t>
      </w:r>
      <w:r>
        <w:rPr>
          <w:spacing w:val="3"/>
        </w:rPr>
        <w:t xml:space="preserve"> </w:t>
      </w:r>
      <w:r>
        <w:t>for</w:t>
      </w:r>
      <w:r>
        <w:rPr>
          <w:spacing w:val="10"/>
        </w:rPr>
        <w:t xml:space="preserve"> </w:t>
      </w:r>
      <w:r>
        <w:rPr>
          <w:spacing w:val="-2"/>
        </w:rPr>
        <w:t>it</w:t>
      </w:r>
      <w:r>
        <w:rPr>
          <w:spacing w:val="10"/>
        </w:rPr>
        <w:t xml:space="preserve"> </w:t>
      </w:r>
      <w:r>
        <w:t>to</w:t>
      </w:r>
      <w:r>
        <w:rPr>
          <w:spacing w:val="9"/>
        </w:rPr>
        <w:t xml:space="preserve"> </w:t>
      </w:r>
      <w:r>
        <w:rPr>
          <w:spacing w:val="-1"/>
        </w:rPr>
        <w:t>do</w:t>
      </w:r>
      <w:r>
        <w:rPr>
          <w:spacing w:val="6"/>
        </w:rPr>
        <w:t xml:space="preserve"> </w:t>
      </w:r>
      <w:r>
        <w:rPr>
          <w:spacing w:val="-1"/>
        </w:rPr>
        <w:t>so</w:t>
      </w:r>
      <w:r>
        <w:rPr>
          <w:spacing w:val="9"/>
        </w:rPr>
        <w:t xml:space="preserve"> </w:t>
      </w:r>
      <w:r>
        <w:rPr>
          <w:spacing w:val="-2"/>
        </w:rPr>
        <w:t>but</w:t>
      </w:r>
      <w:r>
        <w:rPr>
          <w:spacing w:val="59"/>
        </w:rPr>
        <w:t xml:space="preserve"> </w:t>
      </w:r>
      <w:r>
        <w:rPr>
          <w:spacing w:val="-1"/>
        </w:rPr>
        <w:t>(notwithstanding</w:t>
      </w:r>
      <w:r>
        <w:rPr>
          <w:spacing w:val="11"/>
        </w:rPr>
        <w:t xml:space="preserve"> </w:t>
      </w:r>
      <w:r>
        <w:rPr>
          <w:spacing w:val="-1"/>
        </w:rPr>
        <w:t>any</w:t>
      </w:r>
      <w:r>
        <w:rPr>
          <w:spacing w:val="7"/>
        </w:rPr>
        <w:t xml:space="preserve"> </w:t>
      </w:r>
      <w:r>
        <w:rPr>
          <w:spacing w:val="-1"/>
        </w:rPr>
        <w:t>other</w:t>
      </w:r>
      <w:r>
        <w:rPr>
          <w:spacing w:val="10"/>
        </w:rPr>
        <w:t xml:space="preserve"> </w:t>
      </w:r>
      <w:r>
        <w:rPr>
          <w:spacing w:val="-2"/>
        </w:rPr>
        <w:t>provision</w:t>
      </w:r>
      <w:r>
        <w:rPr>
          <w:spacing w:val="9"/>
        </w:rPr>
        <w:t xml:space="preserve"> </w:t>
      </w:r>
      <w:r>
        <w:rPr>
          <w:spacing w:val="-1"/>
        </w:rPr>
        <w:t>in</w:t>
      </w:r>
      <w:r>
        <w:rPr>
          <w:spacing w:val="9"/>
        </w:rPr>
        <w:t xml:space="preserve"> </w:t>
      </w:r>
      <w:r>
        <w:rPr>
          <w:spacing w:val="-1"/>
        </w:rPr>
        <w:t>this</w:t>
      </w:r>
      <w:r>
        <w:rPr>
          <w:spacing w:val="9"/>
        </w:rPr>
        <w:t xml:space="preserve"> </w:t>
      </w:r>
      <w:r>
        <w:rPr>
          <w:spacing w:val="-1"/>
        </w:rPr>
        <w:t>Call</w:t>
      </w:r>
      <w:r>
        <w:rPr>
          <w:spacing w:val="8"/>
        </w:rPr>
        <w:t xml:space="preserve"> </w:t>
      </w:r>
      <w:r>
        <w:rPr>
          <w:spacing w:val="-1"/>
        </w:rPr>
        <w:t>Off</w:t>
      </w:r>
      <w:r>
        <w:rPr>
          <w:spacing w:val="13"/>
        </w:rPr>
        <w:t xml:space="preserve"> </w:t>
      </w:r>
      <w:r>
        <w:rPr>
          <w:spacing w:val="-1"/>
        </w:rPr>
        <w:t>Contract)</w:t>
      </w:r>
      <w:r>
        <w:rPr>
          <w:spacing w:val="8"/>
        </w:rPr>
        <w:t xml:space="preserve"> </w:t>
      </w:r>
      <w:r>
        <w:rPr>
          <w:spacing w:val="-1"/>
        </w:rPr>
        <w:t>the</w:t>
      </w:r>
      <w:r>
        <w:rPr>
          <w:spacing w:val="40"/>
        </w:rPr>
        <w:t xml:space="preserve"> </w:t>
      </w:r>
      <w:r>
        <w:rPr>
          <w:spacing w:val="-1"/>
        </w:rPr>
        <w:t>Customer</w:t>
      </w:r>
      <w:r>
        <w:rPr>
          <w:spacing w:val="4"/>
        </w:rPr>
        <w:t xml:space="preserve"> </w:t>
      </w:r>
      <w:r>
        <w:rPr>
          <w:spacing w:val="-1"/>
        </w:rPr>
        <w:t>shall</w:t>
      </w:r>
      <w:r>
        <w:rPr>
          <w:spacing w:val="2"/>
        </w:rPr>
        <w:t xml:space="preserve"> </w:t>
      </w:r>
      <w:r>
        <w:rPr>
          <w:spacing w:val="-1"/>
        </w:rPr>
        <w:t>be</w:t>
      </w:r>
      <w:r>
        <w:t xml:space="preserve"> </w:t>
      </w:r>
      <w:r>
        <w:rPr>
          <w:spacing w:val="-1"/>
        </w:rPr>
        <w:t>responsible</w:t>
      </w:r>
      <w:r>
        <w:rPr>
          <w:spacing w:val="3"/>
        </w:rPr>
        <w:t xml:space="preserve"> </w:t>
      </w:r>
      <w:r>
        <w:t>for</w:t>
      </w:r>
      <w:r>
        <w:rPr>
          <w:spacing w:val="4"/>
        </w:rPr>
        <w:t xml:space="preserve"> </w:t>
      </w:r>
      <w:r>
        <w:rPr>
          <w:spacing w:val="-2"/>
        </w:rPr>
        <w:t>determining</w:t>
      </w:r>
      <w:r>
        <w:rPr>
          <w:spacing w:val="5"/>
        </w:rPr>
        <w:t xml:space="preserve"> </w:t>
      </w:r>
      <w:r>
        <w:rPr>
          <w:spacing w:val="-1"/>
        </w:rPr>
        <w:t>in</w:t>
      </w:r>
      <w:r>
        <w:t xml:space="preserve"> </w:t>
      </w:r>
      <w:r>
        <w:rPr>
          <w:spacing w:val="-1"/>
        </w:rPr>
        <w:t>its</w:t>
      </w:r>
      <w:r>
        <w:rPr>
          <w:spacing w:val="3"/>
        </w:rPr>
        <w:t xml:space="preserve"> </w:t>
      </w:r>
      <w:r>
        <w:rPr>
          <w:spacing w:val="-1"/>
        </w:rPr>
        <w:t>absolute</w:t>
      </w:r>
      <w:r>
        <w:rPr>
          <w:spacing w:val="3"/>
        </w:rPr>
        <w:t xml:space="preserve"> </w:t>
      </w:r>
      <w:r>
        <w:rPr>
          <w:spacing w:val="-1"/>
        </w:rPr>
        <w:t>discretion</w:t>
      </w:r>
      <w:r>
        <w:rPr>
          <w:spacing w:val="36"/>
        </w:rPr>
        <w:t xml:space="preserve"> </w:t>
      </w:r>
      <w:r>
        <w:rPr>
          <w:spacing w:val="-1"/>
        </w:rPr>
        <w:t>whether</w:t>
      </w:r>
      <w:r>
        <w:rPr>
          <w:spacing w:val="17"/>
        </w:rPr>
        <w:t xml:space="preserve"> </w:t>
      </w:r>
      <w:r>
        <w:rPr>
          <w:spacing w:val="-1"/>
        </w:rPr>
        <w:t>any</w:t>
      </w:r>
      <w:r>
        <w:rPr>
          <w:spacing w:val="16"/>
        </w:rPr>
        <w:t xml:space="preserve"> </w:t>
      </w:r>
      <w:r>
        <w:rPr>
          <w:spacing w:val="-1"/>
        </w:rPr>
        <w:t>Commercially</w:t>
      </w:r>
      <w:r>
        <w:rPr>
          <w:spacing w:val="14"/>
        </w:rPr>
        <w:t xml:space="preserve"> </w:t>
      </w:r>
      <w:r>
        <w:rPr>
          <w:spacing w:val="-1"/>
        </w:rPr>
        <w:t>Sensitive</w:t>
      </w:r>
      <w:r>
        <w:rPr>
          <w:spacing w:val="16"/>
        </w:rPr>
        <w:t xml:space="preserve"> </w:t>
      </w:r>
      <w:r>
        <w:rPr>
          <w:spacing w:val="-1"/>
        </w:rPr>
        <w:t>Information</w:t>
      </w:r>
      <w:r>
        <w:rPr>
          <w:spacing w:val="16"/>
        </w:rPr>
        <w:t xml:space="preserve"> </w:t>
      </w:r>
      <w:r>
        <w:rPr>
          <w:spacing w:val="-1"/>
        </w:rPr>
        <w:t>and/or</w:t>
      </w:r>
      <w:r>
        <w:rPr>
          <w:spacing w:val="17"/>
        </w:rPr>
        <w:t xml:space="preserve"> </w:t>
      </w:r>
      <w:r>
        <w:rPr>
          <w:spacing w:val="-1"/>
        </w:rPr>
        <w:t>any</w:t>
      </w:r>
      <w:r>
        <w:rPr>
          <w:spacing w:val="14"/>
        </w:rPr>
        <w:t xml:space="preserve"> </w:t>
      </w:r>
      <w:r>
        <w:rPr>
          <w:spacing w:val="-1"/>
        </w:rPr>
        <w:t>other</w:t>
      </w:r>
      <w:r>
        <w:rPr>
          <w:spacing w:val="34"/>
        </w:rPr>
        <w:t xml:space="preserve"> </w:t>
      </w:r>
      <w:r>
        <w:rPr>
          <w:spacing w:val="-1"/>
        </w:rPr>
        <w:t>information</w:t>
      </w:r>
      <w:r>
        <w:rPr>
          <w:spacing w:val="51"/>
        </w:rPr>
        <w:t xml:space="preserve"> </w:t>
      </w:r>
      <w:r>
        <w:rPr>
          <w:spacing w:val="-1"/>
        </w:rPr>
        <w:t>is</w:t>
      </w:r>
      <w:r>
        <w:rPr>
          <w:spacing w:val="51"/>
        </w:rPr>
        <w:t xml:space="preserve"> </w:t>
      </w:r>
      <w:r>
        <w:rPr>
          <w:spacing w:val="-2"/>
        </w:rPr>
        <w:t>exempt</w:t>
      </w:r>
      <w:r>
        <w:rPr>
          <w:spacing w:val="50"/>
        </w:rPr>
        <w:t xml:space="preserve"> </w:t>
      </w:r>
      <w:r>
        <w:rPr>
          <w:spacing w:val="-1"/>
        </w:rPr>
        <w:t>from</w:t>
      </w:r>
      <w:r>
        <w:rPr>
          <w:spacing w:val="52"/>
        </w:rPr>
        <w:t xml:space="preserve"> </w:t>
      </w:r>
      <w:r>
        <w:rPr>
          <w:spacing w:val="-1"/>
        </w:rPr>
        <w:t>disclosure</w:t>
      </w:r>
      <w:r>
        <w:rPr>
          <w:spacing w:val="48"/>
        </w:rPr>
        <w:t xml:space="preserve"> </w:t>
      </w:r>
      <w:r>
        <w:rPr>
          <w:spacing w:val="-1"/>
        </w:rPr>
        <w:t>in</w:t>
      </w:r>
      <w:r>
        <w:rPr>
          <w:spacing w:val="51"/>
        </w:rPr>
        <w:t xml:space="preserve"> </w:t>
      </w:r>
      <w:r>
        <w:rPr>
          <w:spacing w:val="-2"/>
        </w:rPr>
        <w:t>accordance</w:t>
      </w:r>
      <w:r>
        <w:rPr>
          <w:spacing w:val="52"/>
        </w:rPr>
        <w:t xml:space="preserve"> </w:t>
      </w:r>
      <w:r>
        <w:rPr>
          <w:spacing w:val="-2"/>
        </w:rPr>
        <w:t>with</w:t>
      </w:r>
      <w:r>
        <w:rPr>
          <w:spacing w:val="51"/>
        </w:rPr>
        <w:t xml:space="preserve"> </w:t>
      </w:r>
      <w:r>
        <w:t>the</w:t>
      </w:r>
      <w:r>
        <w:rPr>
          <w:spacing w:val="51"/>
        </w:rPr>
        <w:t xml:space="preserve"> </w:t>
      </w:r>
      <w:r>
        <w:rPr>
          <w:spacing w:val="-1"/>
        </w:rPr>
        <w:t>FOIA</w:t>
      </w:r>
      <w:r>
        <w:rPr>
          <w:spacing w:val="55"/>
        </w:rPr>
        <w:t xml:space="preserve"> </w:t>
      </w:r>
      <w:r>
        <w:rPr>
          <w:spacing w:val="-1"/>
        </w:rPr>
        <w:t xml:space="preserve">and/or </w:t>
      </w:r>
      <w:r>
        <w:t>the</w:t>
      </w:r>
      <w:r>
        <w:rPr>
          <w:spacing w:val="-2"/>
        </w:rPr>
        <w:t xml:space="preserve"> </w:t>
      </w:r>
      <w:r>
        <w:rPr>
          <w:spacing w:val="-1"/>
        </w:rPr>
        <w:t>EIRs.</w:t>
      </w:r>
    </w:p>
    <w:p w:rsidR="008918FA" w:rsidRDefault="008918FA" w:rsidP="008918FA">
      <w:pPr>
        <w:pStyle w:val="Heading1"/>
        <w:numPr>
          <w:ilvl w:val="1"/>
          <w:numId w:val="66"/>
        </w:numPr>
        <w:tabs>
          <w:tab w:val="left" w:pos="893"/>
        </w:tabs>
        <w:spacing w:before="119"/>
        <w:ind w:left="892" w:hanging="564"/>
        <w:rPr>
          <w:b w:val="0"/>
          <w:bCs w:val="0"/>
        </w:rPr>
      </w:pPr>
      <w:bookmarkStart w:id="226" w:name="_bookmark192"/>
      <w:bookmarkEnd w:id="226"/>
      <w:r>
        <w:rPr>
          <w:spacing w:val="-1"/>
        </w:rPr>
        <w:t>Protection</w:t>
      </w:r>
      <w:r>
        <w:t xml:space="preserve"> </w:t>
      </w:r>
      <w:r>
        <w:rPr>
          <w:spacing w:val="-2"/>
        </w:rPr>
        <w:t>of</w:t>
      </w:r>
      <w:r>
        <w:rPr>
          <w:spacing w:val="2"/>
        </w:rPr>
        <w:t xml:space="preserve"> </w:t>
      </w:r>
      <w:r>
        <w:rPr>
          <w:spacing w:val="-1"/>
        </w:rPr>
        <w:t>Personal</w:t>
      </w:r>
      <w:r>
        <w:rPr>
          <w:spacing w:val="-3"/>
        </w:rPr>
        <w:t xml:space="preserve"> </w:t>
      </w:r>
      <w:r>
        <w:rPr>
          <w:spacing w:val="-1"/>
        </w:rPr>
        <w:t>Data</w:t>
      </w:r>
    </w:p>
    <w:p w:rsidR="008918FA" w:rsidRDefault="008918FA" w:rsidP="008918FA">
      <w:pPr>
        <w:pStyle w:val="BodyText"/>
        <w:numPr>
          <w:ilvl w:val="2"/>
          <w:numId w:val="66"/>
        </w:numPr>
        <w:tabs>
          <w:tab w:val="left" w:pos="1887"/>
        </w:tabs>
        <w:spacing w:before="121"/>
        <w:ind w:left="1886" w:right="114"/>
        <w:jc w:val="both"/>
      </w:pPr>
      <w:r>
        <w:rPr>
          <w:spacing w:val="-1"/>
        </w:rPr>
        <w:t>Where</w:t>
      </w:r>
      <w:r>
        <w:rPr>
          <w:spacing w:val="21"/>
        </w:rPr>
        <w:t xml:space="preserve"> </w:t>
      </w:r>
      <w:r>
        <w:rPr>
          <w:spacing w:val="-1"/>
        </w:rPr>
        <w:t>any</w:t>
      </w:r>
      <w:r>
        <w:rPr>
          <w:spacing w:val="19"/>
        </w:rPr>
        <w:t xml:space="preserve"> </w:t>
      </w:r>
      <w:r>
        <w:rPr>
          <w:spacing w:val="-1"/>
        </w:rPr>
        <w:t>Personal</w:t>
      </w:r>
      <w:r>
        <w:rPr>
          <w:spacing w:val="20"/>
        </w:rPr>
        <w:t xml:space="preserve"> </w:t>
      </w:r>
      <w:r>
        <w:rPr>
          <w:spacing w:val="-1"/>
        </w:rPr>
        <w:t>Data</w:t>
      </w:r>
      <w:r>
        <w:rPr>
          <w:spacing w:val="21"/>
        </w:rPr>
        <w:t xml:space="preserve"> </w:t>
      </w:r>
      <w:r>
        <w:rPr>
          <w:spacing w:val="-1"/>
        </w:rPr>
        <w:t>are</w:t>
      </w:r>
      <w:r>
        <w:rPr>
          <w:spacing w:val="21"/>
        </w:rPr>
        <w:t xml:space="preserve"> </w:t>
      </w:r>
      <w:r>
        <w:rPr>
          <w:spacing w:val="-1"/>
        </w:rPr>
        <w:t>Processed</w:t>
      </w:r>
      <w:r>
        <w:rPr>
          <w:spacing w:val="21"/>
        </w:rPr>
        <w:t xml:space="preserve"> </w:t>
      </w:r>
      <w:r>
        <w:rPr>
          <w:spacing w:val="-1"/>
        </w:rPr>
        <w:t>in</w:t>
      </w:r>
      <w:r>
        <w:rPr>
          <w:spacing w:val="21"/>
        </w:rPr>
        <w:t xml:space="preserve"> </w:t>
      </w:r>
      <w:r>
        <w:rPr>
          <w:spacing w:val="-1"/>
        </w:rPr>
        <w:t>connection</w:t>
      </w:r>
      <w:r>
        <w:rPr>
          <w:spacing w:val="21"/>
        </w:rPr>
        <w:t xml:space="preserve"> </w:t>
      </w:r>
      <w:r>
        <w:rPr>
          <w:spacing w:val="-2"/>
        </w:rPr>
        <w:t>with</w:t>
      </w:r>
      <w:r>
        <w:rPr>
          <w:spacing w:val="21"/>
        </w:rPr>
        <w:t xml:space="preserve"> </w:t>
      </w:r>
      <w:r>
        <w:rPr>
          <w:spacing w:val="-1"/>
        </w:rPr>
        <w:t>the</w:t>
      </w:r>
      <w:r>
        <w:rPr>
          <w:spacing w:val="44"/>
        </w:rPr>
        <w:t xml:space="preserve"> </w:t>
      </w:r>
      <w:r>
        <w:rPr>
          <w:spacing w:val="-1"/>
        </w:rPr>
        <w:t>exercise</w:t>
      </w:r>
      <w:r>
        <w:rPr>
          <w:spacing w:val="12"/>
        </w:rPr>
        <w:t xml:space="preserve"> </w:t>
      </w:r>
      <w:r>
        <w:rPr>
          <w:spacing w:val="-1"/>
        </w:rPr>
        <w:t>of</w:t>
      </w:r>
      <w:r>
        <w:rPr>
          <w:spacing w:val="15"/>
        </w:rPr>
        <w:t xml:space="preserve"> </w:t>
      </w:r>
      <w:r>
        <w:rPr>
          <w:spacing w:val="-1"/>
        </w:rPr>
        <w:t>the</w:t>
      </w:r>
      <w:r>
        <w:rPr>
          <w:spacing w:val="11"/>
        </w:rPr>
        <w:t xml:space="preserve"> </w:t>
      </w:r>
      <w:r>
        <w:rPr>
          <w:spacing w:val="-1"/>
        </w:rPr>
        <w:t>Parties’</w:t>
      </w:r>
      <w:r>
        <w:rPr>
          <w:spacing w:val="9"/>
        </w:rPr>
        <w:t xml:space="preserve"> </w:t>
      </w:r>
      <w:r>
        <w:rPr>
          <w:spacing w:val="-1"/>
        </w:rPr>
        <w:t>rights</w:t>
      </w:r>
      <w:r>
        <w:rPr>
          <w:spacing w:val="12"/>
        </w:rPr>
        <w:t xml:space="preserve"> </w:t>
      </w:r>
      <w:r>
        <w:rPr>
          <w:spacing w:val="-1"/>
        </w:rPr>
        <w:t>and</w:t>
      </w:r>
      <w:r>
        <w:rPr>
          <w:spacing w:val="11"/>
        </w:rPr>
        <w:t xml:space="preserve"> </w:t>
      </w:r>
      <w:r>
        <w:rPr>
          <w:spacing w:val="-1"/>
        </w:rPr>
        <w:t>obligations</w:t>
      </w:r>
      <w:r>
        <w:rPr>
          <w:spacing w:val="9"/>
        </w:rPr>
        <w:t xml:space="preserve"> </w:t>
      </w:r>
      <w:r>
        <w:rPr>
          <w:spacing w:val="-1"/>
        </w:rPr>
        <w:t>under</w:t>
      </w:r>
      <w:r>
        <w:rPr>
          <w:spacing w:val="13"/>
        </w:rPr>
        <w:t xml:space="preserve"> </w:t>
      </w:r>
      <w:r>
        <w:rPr>
          <w:spacing w:val="-1"/>
        </w:rPr>
        <w:t>this</w:t>
      </w:r>
      <w:r>
        <w:rPr>
          <w:spacing w:val="12"/>
        </w:rPr>
        <w:t xml:space="preserve"> </w:t>
      </w:r>
      <w:r>
        <w:rPr>
          <w:spacing w:val="-2"/>
        </w:rPr>
        <w:t>Call</w:t>
      </w:r>
      <w:r>
        <w:rPr>
          <w:spacing w:val="11"/>
        </w:rPr>
        <w:t xml:space="preserve"> </w:t>
      </w:r>
      <w:r>
        <w:rPr>
          <w:spacing w:val="-1"/>
        </w:rPr>
        <w:t>Off</w:t>
      </w:r>
      <w:r>
        <w:rPr>
          <w:spacing w:val="41"/>
        </w:rPr>
        <w:t xml:space="preserve"> </w:t>
      </w:r>
      <w:r>
        <w:rPr>
          <w:spacing w:val="-1"/>
        </w:rPr>
        <w:t>Contract,</w:t>
      </w:r>
      <w:r>
        <w:rPr>
          <w:spacing w:val="10"/>
        </w:rPr>
        <w:t xml:space="preserve"> </w:t>
      </w:r>
      <w:r>
        <w:t>the</w:t>
      </w:r>
      <w:r>
        <w:rPr>
          <w:spacing w:val="9"/>
        </w:rPr>
        <w:t xml:space="preserve"> </w:t>
      </w:r>
      <w:r>
        <w:rPr>
          <w:spacing w:val="-1"/>
        </w:rPr>
        <w:t>Parties</w:t>
      </w:r>
      <w:r>
        <w:rPr>
          <w:spacing w:val="9"/>
        </w:rPr>
        <w:t xml:space="preserve"> </w:t>
      </w:r>
      <w:r>
        <w:rPr>
          <w:spacing w:val="-1"/>
        </w:rPr>
        <w:t>acknowledge</w:t>
      </w:r>
      <w:r>
        <w:rPr>
          <w:spacing w:val="9"/>
        </w:rPr>
        <w:t xml:space="preserve"> </w:t>
      </w:r>
      <w:r>
        <w:rPr>
          <w:spacing w:val="-1"/>
        </w:rPr>
        <w:t>that</w:t>
      </w:r>
      <w:r>
        <w:rPr>
          <w:spacing w:val="10"/>
        </w:rPr>
        <w:t xml:space="preserve"> </w:t>
      </w:r>
      <w:r>
        <w:t>the</w:t>
      </w:r>
      <w:r>
        <w:rPr>
          <w:spacing w:val="9"/>
        </w:rPr>
        <w:t xml:space="preserve"> </w:t>
      </w:r>
      <w:r>
        <w:rPr>
          <w:spacing w:val="-2"/>
        </w:rPr>
        <w:t>Customer</w:t>
      </w:r>
      <w:r>
        <w:rPr>
          <w:spacing w:val="13"/>
        </w:rPr>
        <w:t xml:space="preserve"> </w:t>
      </w:r>
      <w:r>
        <w:rPr>
          <w:spacing w:val="-1"/>
        </w:rPr>
        <w:t>is</w:t>
      </w:r>
      <w:r>
        <w:rPr>
          <w:spacing w:val="9"/>
        </w:rPr>
        <w:t xml:space="preserve"> </w:t>
      </w:r>
      <w:r>
        <w:t>the</w:t>
      </w:r>
      <w:r>
        <w:rPr>
          <w:spacing w:val="9"/>
        </w:rPr>
        <w:t xml:space="preserve"> </w:t>
      </w:r>
      <w:r>
        <w:rPr>
          <w:spacing w:val="-1"/>
        </w:rPr>
        <w:t>Data</w:t>
      </w:r>
      <w:r>
        <w:rPr>
          <w:spacing w:val="39"/>
        </w:rPr>
        <w:t xml:space="preserve"> </w:t>
      </w:r>
      <w:r>
        <w:rPr>
          <w:spacing w:val="-1"/>
        </w:rPr>
        <w:t>Controller</w:t>
      </w:r>
      <w:r>
        <w:rPr>
          <w:spacing w:val="2"/>
        </w:rPr>
        <w:t xml:space="preserve"> </w:t>
      </w:r>
      <w:r>
        <w:rPr>
          <w:spacing w:val="-1"/>
        </w:rPr>
        <w:t>and</w:t>
      </w:r>
      <w:r>
        <w:rPr>
          <w:spacing w:val="-2"/>
        </w:rPr>
        <w:t xml:space="preserve"> </w:t>
      </w:r>
      <w:r>
        <w:rPr>
          <w:spacing w:val="-1"/>
        </w:rPr>
        <w:t>that</w:t>
      </w:r>
      <w:r>
        <w:t xml:space="preserve"> the </w:t>
      </w:r>
      <w:r>
        <w:rPr>
          <w:spacing w:val="-2"/>
        </w:rPr>
        <w:t>Supplier</w:t>
      </w:r>
      <w:r>
        <w:rPr>
          <w:spacing w:val="2"/>
        </w:rPr>
        <w:t xml:space="preserve"> </w:t>
      </w:r>
      <w:r>
        <w:rPr>
          <w:spacing w:val="-1"/>
        </w:rPr>
        <w:t>is</w:t>
      </w:r>
      <w:r>
        <w:rPr>
          <w:spacing w:val="1"/>
        </w:rPr>
        <w:t xml:space="preserve"> </w:t>
      </w:r>
      <w:r>
        <w:t>the</w:t>
      </w:r>
      <w:r>
        <w:rPr>
          <w:spacing w:val="-2"/>
        </w:rPr>
        <w:t xml:space="preserve"> </w:t>
      </w:r>
      <w:r>
        <w:rPr>
          <w:spacing w:val="-1"/>
        </w:rPr>
        <w:t>Data</w:t>
      </w:r>
      <w:r>
        <w:rPr>
          <w:spacing w:val="-2"/>
        </w:rPr>
        <w:t xml:space="preserve"> </w:t>
      </w:r>
      <w:r>
        <w:rPr>
          <w:spacing w:val="-1"/>
        </w:rPr>
        <w:t>Processor.</w:t>
      </w:r>
    </w:p>
    <w:p w:rsidR="008918FA" w:rsidRDefault="008918FA" w:rsidP="008918FA">
      <w:pPr>
        <w:pStyle w:val="BodyText"/>
        <w:numPr>
          <w:ilvl w:val="2"/>
          <w:numId w:val="66"/>
        </w:numPr>
        <w:tabs>
          <w:tab w:val="left" w:pos="1887"/>
        </w:tabs>
        <w:spacing w:before="121"/>
        <w:ind w:left="1886"/>
      </w:pPr>
      <w:bookmarkStart w:id="227" w:name="_bookmark193"/>
      <w:bookmarkEnd w:id="227"/>
      <w:r>
        <w:t>The</w:t>
      </w:r>
      <w:r>
        <w:rPr>
          <w:spacing w:val="-2"/>
        </w:rPr>
        <w:t xml:space="preserve"> Supplier</w:t>
      </w:r>
      <w:r>
        <w:rPr>
          <w:spacing w:val="2"/>
        </w:rPr>
        <w:t xml:space="preserve"> </w:t>
      </w:r>
      <w:r>
        <w:rPr>
          <w:spacing w:val="-1"/>
        </w:rPr>
        <w:t>shall:</w:t>
      </w:r>
    </w:p>
    <w:p w:rsidR="008918FA" w:rsidRDefault="008918FA" w:rsidP="008918FA">
      <w:pPr>
        <w:pStyle w:val="BodyText"/>
        <w:numPr>
          <w:ilvl w:val="3"/>
          <w:numId w:val="66"/>
        </w:numPr>
        <w:tabs>
          <w:tab w:val="left" w:pos="2594"/>
        </w:tabs>
        <w:ind w:left="2593" w:right="114" w:hanging="707"/>
        <w:jc w:val="both"/>
      </w:pPr>
      <w:r>
        <w:rPr>
          <w:spacing w:val="-1"/>
        </w:rPr>
        <w:t>Process</w:t>
      </w:r>
      <w:r>
        <w:rPr>
          <w:spacing w:val="8"/>
        </w:rPr>
        <w:t xml:space="preserve"> </w:t>
      </w:r>
      <w:r>
        <w:t>the</w:t>
      </w:r>
      <w:r>
        <w:rPr>
          <w:spacing w:val="7"/>
        </w:rPr>
        <w:t xml:space="preserve"> </w:t>
      </w:r>
      <w:r>
        <w:rPr>
          <w:spacing w:val="-1"/>
        </w:rPr>
        <w:t>Personal</w:t>
      </w:r>
      <w:r>
        <w:rPr>
          <w:spacing w:val="7"/>
        </w:rPr>
        <w:t xml:space="preserve"> </w:t>
      </w:r>
      <w:r>
        <w:rPr>
          <w:spacing w:val="-1"/>
        </w:rPr>
        <w:t>Data</w:t>
      </w:r>
      <w:r>
        <w:rPr>
          <w:spacing w:val="7"/>
        </w:rPr>
        <w:t xml:space="preserve"> </w:t>
      </w:r>
      <w:r>
        <w:rPr>
          <w:spacing w:val="-1"/>
        </w:rPr>
        <w:t>only</w:t>
      </w:r>
      <w:r>
        <w:rPr>
          <w:spacing w:val="8"/>
        </w:rPr>
        <w:t xml:space="preserve"> </w:t>
      </w:r>
      <w:r>
        <w:rPr>
          <w:spacing w:val="-1"/>
        </w:rPr>
        <w:t>in</w:t>
      </w:r>
      <w:r>
        <w:rPr>
          <w:spacing w:val="7"/>
        </w:rPr>
        <w:t xml:space="preserve"> </w:t>
      </w:r>
      <w:r>
        <w:rPr>
          <w:spacing w:val="-1"/>
        </w:rPr>
        <w:t>accordance</w:t>
      </w:r>
      <w:r>
        <w:rPr>
          <w:spacing w:val="10"/>
        </w:rPr>
        <w:t xml:space="preserve"> </w:t>
      </w:r>
      <w:r>
        <w:rPr>
          <w:spacing w:val="-1"/>
        </w:rPr>
        <w:t>with</w:t>
      </w:r>
      <w:r>
        <w:rPr>
          <w:spacing w:val="7"/>
        </w:rPr>
        <w:t xml:space="preserve"> </w:t>
      </w:r>
      <w:r>
        <w:rPr>
          <w:spacing w:val="-1"/>
        </w:rPr>
        <w:t>instructions</w:t>
      </w:r>
      <w:r>
        <w:rPr>
          <w:spacing w:val="30"/>
        </w:rPr>
        <w:t xml:space="preserve"> </w:t>
      </w:r>
      <w:r>
        <w:rPr>
          <w:spacing w:val="-1"/>
        </w:rPr>
        <w:t>from</w:t>
      </w:r>
      <w:r>
        <w:rPr>
          <w:spacing w:val="11"/>
        </w:rPr>
        <w:t xml:space="preserve"> </w:t>
      </w:r>
      <w:r>
        <w:t>the</w:t>
      </w:r>
      <w:r>
        <w:rPr>
          <w:spacing w:val="10"/>
        </w:rPr>
        <w:t xml:space="preserve"> </w:t>
      </w:r>
      <w:r>
        <w:rPr>
          <w:spacing w:val="-1"/>
        </w:rPr>
        <w:t>Customer</w:t>
      </w:r>
      <w:r>
        <w:rPr>
          <w:spacing w:val="9"/>
        </w:rPr>
        <w:t xml:space="preserve"> </w:t>
      </w:r>
      <w:r>
        <w:t>to</w:t>
      </w:r>
      <w:r>
        <w:rPr>
          <w:spacing w:val="10"/>
        </w:rPr>
        <w:t xml:space="preserve"> </w:t>
      </w:r>
      <w:r>
        <w:rPr>
          <w:spacing w:val="-1"/>
        </w:rPr>
        <w:t>perform</w:t>
      </w:r>
      <w:r>
        <w:rPr>
          <w:spacing w:val="11"/>
        </w:rPr>
        <w:t xml:space="preserve"> </w:t>
      </w:r>
      <w:r>
        <w:rPr>
          <w:spacing w:val="-1"/>
        </w:rPr>
        <w:t>its</w:t>
      </w:r>
      <w:r>
        <w:rPr>
          <w:spacing w:val="10"/>
        </w:rPr>
        <w:t xml:space="preserve"> </w:t>
      </w:r>
      <w:r>
        <w:rPr>
          <w:spacing w:val="-1"/>
        </w:rPr>
        <w:t>obligations</w:t>
      </w:r>
      <w:r>
        <w:rPr>
          <w:spacing w:val="10"/>
        </w:rPr>
        <w:t xml:space="preserve"> </w:t>
      </w:r>
      <w:r>
        <w:rPr>
          <w:spacing w:val="-2"/>
        </w:rPr>
        <w:t>under</w:t>
      </w:r>
      <w:r>
        <w:rPr>
          <w:spacing w:val="11"/>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39"/>
        </w:rPr>
        <w:t xml:space="preserve"> </w:t>
      </w:r>
      <w:r>
        <w:rPr>
          <w:spacing w:val="-1"/>
        </w:rPr>
        <w:t>Contract;</w:t>
      </w:r>
    </w:p>
    <w:p w:rsidR="008918FA" w:rsidRDefault="008918FA" w:rsidP="008918FA">
      <w:pPr>
        <w:pStyle w:val="BodyText"/>
        <w:numPr>
          <w:ilvl w:val="3"/>
          <w:numId w:val="66"/>
        </w:numPr>
        <w:tabs>
          <w:tab w:val="left" w:pos="2594"/>
        </w:tabs>
        <w:ind w:left="2593" w:right="112"/>
        <w:jc w:val="both"/>
      </w:pPr>
      <w:r>
        <w:rPr>
          <w:spacing w:val="-1"/>
        </w:rPr>
        <w:t>ensure</w:t>
      </w:r>
      <w:r>
        <w:rPr>
          <w:spacing w:val="5"/>
        </w:rPr>
        <w:t xml:space="preserve"> </w:t>
      </w:r>
      <w:r>
        <w:rPr>
          <w:spacing w:val="-1"/>
        </w:rPr>
        <w:t>that</w:t>
      </w:r>
      <w:r>
        <w:rPr>
          <w:spacing w:val="7"/>
        </w:rPr>
        <w:t xml:space="preserve"> </w:t>
      </w:r>
      <w:r>
        <w:rPr>
          <w:spacing w:val="-2"/>
        </w:rPr>
        <w:t>at</w:t>
      </w:r>
      <w:r>
        <w:rPr>
          <w:spacing w:val="7"/>
        </w:rPr>
        <w:t xml:space="preserve"> </w:t>
      </w:r>
      <w:r>
        <w:rPr>
          <w:spacing w:val="-1"/>
        </w:rPr>
        <w:t>all</w:t>
      </w:r>
      <w:r>
        <w:rPr>
          <w:spacing w:val="4"/>
        </w:rPr>
        <w:t xml:space="preserve"> </w:t>
      </w:r>
      <w:r>
        <w:rPr>
          <w:spacing w:val="-1"/>
        </w:rPr>
        <w:t>times</w:t>
      </w:r>
      <w:r>
        <w:rPr>
          <w:spacing w:val="5"/>
        </w:rPr>
        <w:t xml:space="preserve"> </w:t>
      </w:r>
      <w:r>
        <w:rPr>
          <w:spacing w:val="-1"/>
        </w:rPr>
        <w:t>it</w:t>
      </w:r>
      <w:r>
        <w:rPr>
          <w:spacing w:val="4"/>
        </w:rPr>
        <w:t xml:space="preserve"> </w:t>
      </w:r>
      <w:r>
        <w:rPr>
          <w:spacing w:val="-1"/>
        </w:rPr>
        <w:t>has</w:t>
      </w:r>
      <w:r>
        <w:rPr>
          <w:spacing w:val="5"/>
        </w:rPr>
        <w:t xml:space="preserve"> </w:t>
      </w:r>
      <w:r>
        <w:rPr>
          <w:spacing w:val="-1"/>
        </w:rPr>
        <w:t>in</w:t>
      </w:r>
      <w:r>
        <w:rPr>
          <w:spacing w:val="5"/>
        </w:rPr>
        <w:t xml:space="preserve"> </w:t>
      </w:r>
      <w:r>
        <w:rPr>
          <w:spacing w:val="-1"/>
        </w:rPr>
        <w:t>place</w:t>
      </w:r>
      <w:r>
        <w:rPr>
          <w:spacing w:val="5"/>
        </w:rPr>
        <w:t xml:space="preserve"> </w:t>
      </w:r>
      <w:r>
        <w:rPr>
          <w:spacing w:val="-1"/>
        </w:rPr>
        <w:t>appropriate</w:t>
      </w:r>
      <w:r>
        <w:rPr>
          <w:spacing w:val="3"/>
        </w:rPr>
        <w:t xml:space="preserve"> </w:t>
      </w:r>
      <w:r>
        <w:rPr>
          <w:spacing w:val="-1"/>
        </w:rPr>
        <w:t>technical</w:t>
      </w:r>
      <w:r>
        <w:rPr>
          <w:spacing w:val="4"/>
        </w:rPr>
        <w:t xml:space="preserve"> </w:t>
      </w:r>
      <w:r>
        <w:rPr>
          <w:spacing w:val="-1"/>
        </w:rPr>
        <w:t>and</w:t>
      </w:r>
      <w:r>
        <w:rPr>
          <w:spacing w:val="34"/>
        </w:rPr>
        <w:t xml:space="preserve"> </w:t>
      </w:r>
      <w:r>
        <w:rPr>
          <w:spacing w:val="-1"/>
        </w:rPr>
        <w:t>organisational</w:t>
      </w:r>
      <w:r>
        <w:rPr>
          <w:spacing w:val="34"/>
        </w:rPr>
        <w:t xml:space="preserve"> </w:t>
      </w:r>
      <w:r>
        <w:rPr>
          <w:spacing w:val="-1"/>
        </w:rPr>
        <w:t>measures</w:t>
      </w:r>
      <w:r>
        <w:rPr>
          <w:spacing w:val="35"/>
        </w:rPr>
        <w:t xml:space="preserve"> </w:t>
      </w:r>
      <w:r>
        <w:t>to</w:t>
      </w:r>
      <w:r>
        <w:rPr>
          <w:spacing w:val="35"/>
        </w:rPr>
        <w:t xml:space="preserve"> </w:t>
      </w:r>
      <w:r>
        <w:t>guard</w:t>
      </w:r>
      <w:r>
        <w:rPr>
          <w:spacing w:val="35"/>
        </w:rPr>
        <w:t xml:space="preserve"> </w:t>
      </w:r>
      <w:r>
        <w:rPr>
          <w:spacing w:val="-1"/>
        </w:rPr>
        <w:t>against</w:t>
      </w:r>
      <w:r>
        <w:rPr>
          <w:spacing w:val="37"/>
        </w:rPr>
        <w:t xml:space="preserve"> </w:t>
      </w:r>
      <w:r>
        <w:rPr>
          <w:spacing w:val="-1"/>
        </w:rPr>
        <w:t>unauthorised</w:t>
      </w:r>
      <w:r>
        <w:rPr>
          <w:spacing w:val="35"/>
        </w:rPr>
        <w:t xml:space="preserve"> </w:t>
      </w:r>
      <w:r>
        <w:rPr>
          <w:spacing w:val="-1"/>
        </w:rPr>
        <w:t>or</w:t>
      </w:r>
      <w:r>
        <w:rPr>
          <w:spacing w:val="20"/>
        </w:rPr>
        <w:t xml:space="preserve"> </w:t>
      </w:r>
      <w:r>
        <w:rPr>
          <w:spacing w:val="-1"/>
        </w:rPr>
        <w:t>unlawful</w:t>
      </w:r>
      <w:r>
        <w:rPr>
          <w:spacing w:val="3"/>
        </w:rPr>
        <w:t xml:space="preserve"> </w:t>
      </w:r>
      <w:r>
        <w:rPr>
          <w:spacing w:val="-2"/>
        </w:rPr>
        <w:t>Processing</w:t>
      </w:r>
      <w:r>
        <w:rPr>
          <w:spacing w:val="6"/>
        </w:rPr>
        <w:t xml:space="preserve"> </w:t>
      </w:r>
      <w:r>
        <w:rPr>
          <w:spacing w:val="-2"/>
        </w:rPr>
        <w:t>of</w:t>
      </w:r>
      <w:r>
        <w:rPr>
          <w:spacing w:val="3"/>
        </w:rPr>
        <w:t xml:space="preserve"> </w:t>
      </w:r>
      <w:r>
        <w:t>the</w:t>
      </w:r>
      <w:r>
        <w:rPr>
          <w:spacing w:val="4"/>
        </w:rPr>
        <w:t xml:space="preserve"> </w:t>
      </w:r>
      <w:r>
        <w:rPr>
          <w:spacing w:val="-1"/>
        </w:rPr>
        <w:t>Personal</w:t>
      </w:r>
      <w:r>
        <w:rPr>
          <w:spacing w:val="3"/>
        </w:rPr>
        <w:t xml:space="preserve"> </w:t>
      </w:r>
      <w:r>
        <w:rPr>
          <w:spacing w:val="-1"/>
        </w:rPr>
        <w:t>Data</w:t>
      </w:r>
      <w:r>
        <w:rPr>
          <w:spacing w:val="2"/>
        </w:rPr>
        <w:t xml:space="preserve"> </w:t>
      </w:r>
      <w:r>
        <w:rPr>
          <w:spacing w:val="-1"/>
        </w:rPr>
        <w:t>and/or</w:t>
      </w:r>
      <w:r>
        <w:t xml:space="preserve"> </w:t>
      </w:r>
      <w:r>
        <w:rPr>
          <w:spacing w:val="5"/>
        </w:rPr>
        <w:t xml:space="preserve"> </w:t>
      </w:r>
      <w:r>
        <w:rPr>
          <w:spacing w:val="-1"/>
        </w:rPr>
        <w:t>accidental</w:t>
      </w:r>
      <w:r>
        <w:rPr>
          <w:spacing w:val="36"/>
        </w:rPr>
        <w:t xml:space="preserve"> </w:t>
      </w:r>
      <w:r>
        <w:rPr>
          <w:spacing w:val="-1"/>
        </w:rPr>
        <w:t>loss,</w:t>
      </w:r>
      <w:r>
        <w:rPr>
          <w:spacing w:val="5"/>
        </w:rPr>
        <w:t xml:space="preserve"> </w:t>
      </w:r>
      <w:r>
        <w:rPr>
          <w:spacing w:val="-1"/>
        </w:rPr>
        <w:t>destruction,</w:t>
      </w:r>
      <w:r>
        <w:rPr>
          <w:spacing w:val="4"/>
        </w:rPr>
        <w:t xml:space="preserve"> </w:t>
      </w:r>
      <w:r>
        <w:rPr>
          <w:spacing w:val="-2"/>
        </w:rPr>
        <w:t>or</w:t>
      </w:r>
      <w:r>
        <w:rPr>
          <w:spacing w:val="4"/>
        </w:rPr>
        <w:t xml:space="preserve"> </w:t>
      </w:r>
      <w:r>
        <w:rPr>
          <w:spacing w:val="-1"/>
        </w:rPr>
        <w:t>damage</w:t>
      </w:r>
      <w:r>
        <w:t xml:space="preserve"> to the</w:t>
      </w:r>
      <w:r>
        <w:rPr>
          <w:spacing w:val="3"/>
        </w:rPr>
        <w:t xml:space="preserve"> </w:t>
      </w:r>
      <w:r>
        <w:rPr>
          <w:spacing w:val="-1"/>
        </w:rPr>
        <w:t>Personal</w:t>
      </w:r>
      <w:r>
        <w:rPr>
          <w:spacing w:val="2"/>
        </w:rPr>
        <w:t xml:space="preserve"> </w:t>
      </w:r>
      <w:r>
        <w:rPr>
          <w:spacing w:val="-1"/>
        </w:rPr>
        <w:t>Data,</w:t>
      </w:r>
      <w:r>
        <w:rPr>
          <w:spacing w:val="4"/>
        </w:rPr>
        <w:t xml:space="preserve"> </w:t>
      </w:r>
      <w:r>
        <w:rPr>
          <w:spacing w:val="-2"/>
        </w:rPr>
        <w:t>including</w:t>
      </w:r>
      <w:r>
        <w:rPr>
          <w:spacing w:val="3"/>
        </w:rPr>
        <w:t xml:space="preserve"> </w:t>
      </w:r>
      <w:r>
        <w:rPr>
          <w:spacing w:val="-1"/>
        </w:rPr>
        <w:t>the</w:t>
      </w:r>
      <w:r>
        <w:rPr>
          <w:spacing w:val="30"/>
        </w:rPr>
        <w:t xml:space="preserve"> </w:t>
      </w:r>
      <w:r>
        <w:rPr>
          <w:spacing w:val="-1"/>
        </w:rPr>
        <w:t>measures</w:t>
      </w:r>
      <w:r>
        <w:rPr>
          <w:spacing w:val="44"/>
        </w:rPr>
        <w:t xml:space="preserve"> </w:t>
      </w:r>
      <w:r>
        <w:rPr>
          <w:spacing w:val="-1"/>
        </w:rPr>
        <w:t>as</w:t>
      </w:r>
      <w:r>
        <w:rPr>
          <w:spacing w:val="46"/>
        </w:rPr>
        <w:t xml:space="preserve"> </w:t>
      </w:r>
      <w:r>
        <w:rPr>
          <w:spacing w:val="-1"/>
        </w:rPr>
        <w:t>are</w:t>
      </w:r>
      <w:r>
        <w:rPr>
          <w:spacing w:val="46"/>
        </w:rPr>
        <w:t xml:space="preserve"> </w:t>
      </w:r>
      <w:r>
        <w:rPr>
          <w:spacing w:val="-2"/>
        </w:rPr>
        <w:t>set</w:t>
      </w:r>
      <w:r>
        <w:rPr>
          <w:spacing w:val="47"/>
        </w:rPr>
        <w:t xml:space="preserve"> </w:t>
      </w:r>
      <w:r>
        <w:rPr>
          <w:spacing w:val="-1"/>
        </w:rPr>
        <w:t>out</w:t>
      </w:r>
      <w:r>
        <w:rPr>
          <w:spacing w:val="45"/>
        </w:rPr>
        <w:t xml:space="preserve"> </w:t>
      </w:r>
      <w:r>
        <w:rPr>
          <w:spacing w:val="-1"/>
        </w:rPr>
        <w:t>in</w:t>
      </w:r>
      <w:r>
        <w:rPr>
          <w:spacing w:val="46"/>
        </w:rPr>
        <w:t xml:space="preserve"> </w:t>
      </w:r>
      <w:r>
        <w:rPr>
          <w:spacing w:val="-1"/>
        </w:rPr>
        <w:t>Clauses</w:t>
      </w:r>
      <w:r>
        <w:rPr>
          <w:spacing w:val="49"/>
        </w:rPr>
        <w:t xml:space="preserve"> </w:t>
      </w:r>
      <w:hyperlink w:anchor="_bookmark180" w:history="1">
        <w:r>
          <w:rPr>
            <w:spacing w:val="-1"/>
          </w:rPr>
          <w:t>34.1</w:t>
        </w:r>
      </w:hyperlink>
      <w:r>
        <w:rPr>
          <w:spacing w:val="46"/>
        </w:rPr>
        <w:t xml:space="preserve"> </w:t>
      </w:r>
      <w:r>
        <w:rPr>
          <w:spacing w:val="-1"/>
        </w:rPr>
        <w:t>(Security</w:t>
      </w:r>
      <w:r>
        <w:rPr>
          <w:spacing w:val="23"/>
        </w:rPr>
        <w:t xml:space="preserve"> </w:t>
      </w:r>
      <w:r>
        <w:rPr>
          <w:spacing w:val="-1"/>
        </w:rPr>
        <w:t>Requirements)</w:t>
      </w:r>
      <w:r>
        <w:rPr>
          <w:spacing w:val="2"/>
        </w:rPr>
        <w:t xml:space="preserve"> </w:t>
      </w:r>
      <w:r>
        <w:rPr>
          <w:spacing w:val="-1"/>
        </w:rPr>
        <w:t>and</w:t>
      </w:r>
      <w:r>
        <w:rPr>
          <w:spacing w:val="-2"/>
        </w:rPr>
        <w:t xml:space="preserve"> </w:t>
      </w:r>
      <w:hyperlink w:anchor="_bookmark181" w:history="1">
        <w:r>
          <w:rPr>
            <w:spacing w:val="-1"/>
          </w:rPr>
          <w:t>34.2</w:t>
        </w:r>
      </w:hyperlink>
      <w:r>
        <w:rPr>
          <w:spacing w:val="-4"/>
        </w:rPr>
        <w:t xml:space="preserve"> </w:t>
      </w:r>
      <w:r>
        <w:rPr>
          <w:spacing w:val="-1"/>
        </w:rPr>
        <w:t>(Protection</w:t>
      </w:r>
      <w:r>
        <w:t xml:space="preserve"> </w:t>
      </w:r>
      <w:r>
        <w:rPr>
          <w:spacing w:val="-2"/>
        </w:rPr>
        <w:t>of</w:t>
      </w:r>
      <w:r>
        <w:rPr>
          <w:spacing w:val="2"/>
        </w:rPr>
        <w:t xml:space="preserve"> </w:t>
      </w:r>
      <w:r>
        <w:rPr>
          <w:spacing w:val="-2"/>
        </w:rPr>
        <w:t>Customer</w:t>
      </w:r>
      <w:r>
        <w:rPr>
          <w:spacing w:val="-1"/>
        </w:rPr>
        <w:t xml:space="preserve"> Data);</w:t>
      </w:r>
    </w:p>
    <w:p w:rsidR="008918FA" w:rsidRDefault="008918FA" w:rsidP="008918FA">
      <w:pPr>
        <w:pStyle w:val="BodyText"/>
        <w:numPr>
          <w:ilvl w:val="3"/>
          <w:numId w:val="66"/>
        </w:numPr>
        <w:tabs>
          <w:tab w:val="left" w:pos="2594"/>
        </w:tabs>
        <w:spacing w:before="121"/>
        <w:ind w:left="2593" w:right="114"/>
        <w:jc w:val="both"/>
      </w:pPr>
      <w:r>
        <w:rPr>
          <w:spacing w:val="-1"/>
        </w:rPr>
        <w:t>not</w:t>
      </w:r>
      <w:r>
        <w:rPr>
          <w:spacing w:val="19"/>
        </w:rPr>
        <w:t xml:space="preserve"> </w:t>
      </w:r>
      <w:r>
        <w:rPr>
          <w:spacing w:val="-1"/>
        </w:rPr>
        <w:t>disclose</w:t>
      </w:r>
      <w:r>
        <w:rPr>
          <w:spacing w:val="18"/>
        </w:rPr>
        <w:t xml:space="preserve"> </w:t>
      </w:r>
      <w:r>
        <w:rPr>
          <w:spacing w:val="-1"/>
        </w:rPr>
        <w:t>or</w:t>
      </w:r>
      <w:r>
        <w:rPr>
          <w:spacing w:val="19"/>
        </w:rPr>
        <w:t xml:space="preserve"> </w:t>
      </w:r>
      <w:r>
        <w:rPr>
          <w:spacing w:val="-1"/>
        </w:rPr>
        <w:t>transfer</w:t>
      </w:r>
      <w:r>
        <w:rPr>
          <w:spacing w:val="19"/>
        </w:rPr>
        <w:t xml:space="preserve"> </w:t>
      </w:r>
      <w:r>
        <w:rPr>
          <w:spacing w:val="-1"/>
        </w:rPr>
        <w:t>the</w:t>
      </w:r>
      <w:r>
        <w:rPr>
          <w:spacing w:val="17"/>
        </w:rPr>
        <w:t xml:space="preserve"> </w:t>
      </w:r>
      <w:r>
        <w:rPr>
          <w:spacing w:val="-1"/>
        </w:rPr>
        <w:t>Personal</w:t>
      </w:r>
      <w:r>
        <w:rPr>
          <w:spacing w:val="17"/>
        </w:rPr>
        <w:t xml:space="preserve"> </w:t>
      </w:r>
      <w:r>
        <w:rPr>
          <w:spacing w:val="-1"/>
        </w:rPr>
        <w:t>Data</w:t>
      </w:r>
      <w:r>
        <w:rPr>
          <w:spacing w:val="17"/>
        </w:rPr>
        <w:t xml:space="preserve"> </w:t>
      </w:r>
      <w:r>
        <w:t>to</w:t>
      </w:r>
      <w:r>
        <w:rPr>
          <w:spacing w:val="17"/>
        </w:rPr>
        <w:t xml:space="preserve"> </w:t>
      </w:r>
      <w:r>
        <w:t>any</w:t>
      </w:r>
      <w:r>
        <w:rPr>
          <w:spacing w:val="18"/>
        </w:rPr>
        <w:t xml:space="preserve"> </w:t>
      </w:r>
      <w:r>
        <w:rPr>
          <w:spacing w:val="-1"/>
        </w:rPr>
        <w:t>third</w:t>
      </w:r>
      <w:r>
        <w:rPr>
          <w:spacing w:val="17"/>
        </w:rPr>
        <w:t xml:space="preserve"> </w:t>
      </w:r>
      <w:r>
        <w:rPr>
          <w:spacing w:val="-1"/>
        </w:rPr>
        <w:t>party</w:t>
      </w:r>
      <w:r>
        <w:rPr>
          <w:spacing w:val="15"/>
        </w:rPr>
        <w:t xml:space="preserve"> </w:t>
      </w:r>
      <w:r>
        <w:rPr>
          <w:spacing w:val="-1"/>
        </w:rPr>
        <w:t>or</w:t>
      </w:r>
      <w:r>
        <w:rPr>
          <w:spacing w:val="40"/>
        </w:rPr>
        <w:t xml:space="preserve"> </w:t>
      </w:r>
      <w:r>
        <w:rPr>
          <w:spacing w:val="-2"/>
        </w:rPr>
        <w:t>Supplier</w:t>
      </w:r>
      <w:r>
        <w:rPr>
          <w:spacing w:val="45"/>
        </w:rPr>
        <w:t xml:space="preserve"> </w:t>
      </w:r>
      <w:r>
        <w:rPr>
          <w:spacing w:val="-1"/>
        </w:rPr>
        <w:t>Personnel</w:t>
      </w:r>
      <w:r>
        <w:rPr>
          <w:spacing w:val="43"/>
        </w:rPr>
        <w:t xml:space="preserve"> </w:t>
      </w:r>
      <w:r>
        <w:rPr>
          <w:spacing w:val="-1"/>
        </w:rPr>
        <w:t>unless</w:t>
      </w:r>
      <w:r>
        <w:rPr>
          <w:spacing w:val="44"/>
        </w:rPr>
        <w:t xml:space="preserve"> </w:t>
      </w:r>
      <w:r>
        <w:rPr>
          <w:spacing w:val="-1"/>
        </w:rPr>
        <w:t>necessary</w:t>
      </w:r>
      <w:r>
        <w:rPr>
          <w:spacing w:val="39"/>
        </w:rPr>
        <w:t xml:space="preserve"> </w:t>
      </w:r>
      <w:r>
        <w:t>for</w:t>
      </w:r>
      <w:r>
        <w:rPr>
          <w:spacing w:val="42"/>
        </w:rPr>
        <w:t xml:space="preserve"> </w:t>
      </w:r>
      <w:r>
        <w:t>the</w:t>
      </w:r>
      <w:r>
        <w:rPr>
          <w:spacing w:val="43"/>
        </w:rPr>
        <w:t xml:space="preserve"> </w:t>
      </w:r>
      <w:r>
        <w:rPr>
          <w:spacing w:val="-2"/>
        </w:rPr>
        <w:t>provision</w:t>
      </w:r>
      <w:r>
        <w:rPr>
          <w:spacing w:val="44"/>
        </w:rPr>
        <w:t xml:space="preserve"> </w:t>
      </w:r>
      <w:r>
        <w:rPr>
          <w:spacing w:val="-1"/>
        </w:rPr>
        <w:t>of</w:t>
      </w:r>
      <w:r>
        <w:rPr>
          <w:spacing w:val="47"/>
        </w:rPr>
        <w:t xml:space="preserve"> </w:t>
      </w:r>
      <w:r>
        <w:rPr>
          <w:spacing w:val="-1"/>
        </w:rPr>
        <w:t>the</w:t>
      </w:r>
      <w:r>
        <w:rPr>
          <w:spacing w:val="56"/>
        </w:rPr>
        <w:t xml:space="preserve"> </w:t>
      </w:r>
      <w:r>
        <w:rPr>
          <w:spacing w:val="-1"/>
        </w:rPr>
        <w:t>Goods</w:t>
      </w:r>
      <w:r>
        <w:rPr>
          <w:spacing w:val="44"/>
        </w:rPr>
        <w:t xml:space="preserve"> </w:t>
      </w:r>
      <w:r>
        <w:rPr>
          <w:spacing w:val="-1"/>
        </w:rPr>
        <w:t>and/or</w:t>
      </w:r>
      <w:r>
        <w:rPr>
          <w:spacing w:val="42"/>
        </w:rPr>
        <w:t xml:space="preserve"> </w:t>
      </w:r>
      <w:r>
        <w:rPr>
          <w:spacing w:val="-1"/>
        </w:rPr>
        <w:t>Services</w:t>
      </w:r>
      <w:r>
        <w:rPr>
          <w:spacing w:val="45"/>
        </w:rPr>
        <w:t xml:space="preserve"> </w:t>
      </w:r>
      <w:r>
        <w:rPr>
          <w:spacing w:val="-1"/>
        </w:rPr>
        <w:t>and,</w:t>
      </w:r>
      <w:r>
        <w:rPr>
          <w:spacing w:val="42"/>
        </w:rPr>
        <w:t xml:space="preserve"> </w:t>
      </w:r>
      <w:r>
        <w:t>for</w:t>
      </w:r>
      <w:r>
        <w:rPr>
          <w:spacing w:val="45"/>
        </w:rPr>
        <w:t xml:space="preserve"> </w:t>
      </w:r>
      <w:r>
        <w:rPr>
          <w:spacing w:val="-1"/>
        </w:rPr>
        <w:t>any</w:t>
      </w:r>
      <w:r>
        <w:rPr>
          <w:spacing w:val="41"/>
        </w:rPr>
        <w:t xml:space="preserve"> </w:t>
      </w:r>
      <w:r>
        <w:rPr>
          <w:spacing w:val="-1"/>
        </w:rPr>
        <w:t>disclosure</w:t>
      </w:r>
      <w:r>
        <w:rPr>
          <w:spacing w:val="42"/>
        </w:rPr>
        <w:t xml:space="preserve"> </w:t>
      </w:r>
      <w:r>
        <w:rPr>
          <w:spacing w:val="-1"/>
        </w:rPr>
        <w:t>or</w:t>
      </w:r>
      <w:r>
        <w:rPr>
          <w:spacing w:val="45"/>
        </w:rPr>
        <w:t xml:space="preserve"> </w:t>
      </w:r>
      <w:r>
        <w:rPr>
          <w:spacing w:val="-1"/>
        </w:rPr>
        <w:t>transfer</w:t>
      </w:r>
      <w:r>
        <w:rPr>
          <w:spacing w:val="42"/>
        </w:rPr>
        <w:t xml:space="preserve"> </w:t>
      </w:r>
      <w:r>
        <w:rPr>
          <w:spacing w:val="-2"/>
        </w:rPr>
        <w:t>of</w:t>
      </w:r>
      <w:r>
        <w:rPr>
          <w:spacing w:val="23"/>
        </w:rPr>
        <w:t xml:space="preserve"> </w:t>
      </w:r>
      <w:r>
        <w:rPr>
          <w:spacing w:val="-1"/>
        </w:rPr>
        <w:t>Personal</w:t>
      </w:r>
      <w:r>
        <w:rPr>
          <w:spacing w:val="30"/>
        </w:rPr>
        <w:t xml:space="preserve"> </w:t>
      </w:r>
      <w:r>
        <w:rPr>
          <w:spacing w:val="-1"/>
        </w:rPr>
        <w:t>Data</w:t>
      </w:r>
      <w:r>
        <w:rPr>
          <w:spacing w:val="28"/>
        </w:rPr>
        <w:t xml:space="preserve"> </w:t>
      </w:r>
      <w:r>
        <w:t>to</w:t>
      </w:r>
      <w:r>
        <w:rPr>
          <w:spacing w:val="30"/>
        </w:rPr>
        <w:t xml:space="preserve"> </w:t>
      </w:r>
      <w:r>
        <w:rPr>
          <w:spacing w:val="-2"/>
        </w:rPr>
        <w:t>any</w:t>
      </w:r>
      <w:r>
        <w:rPr>
          <w:spacing w:val="28"/>
        </w:rPr>
        <w:t xml:space="preserve"> </w:t>
      </w:r>
      <w:r>
        <w:rPr>
          <w:spacing w:val="-1"/>
        </w:rPr>
        <w:t>third</w:t>
      </w:r>
      <w:r>
        <w:rPr>
          <w:spacing w:val="28"/>
        </w:rPr>
        <w:t xml:space="preserve"> </w:t>
      </w:r>
      <w:r>
        <w:rPr>
          <w:spacing w:val="-1"/>
        </w:rPr>
        <w:t>party,</w:t>
      </w:r>
      <w:r>
        <w:rPr>
          <w:spacing w:val="32"/>
        </w:rPr>
        <w:t xml:space="preserve"> </w:t>
      </w:r>
      <w:r>
        <w:rPr>
          <w:spacing w:val="-1"/>
        </w:rPr>
        <w:t>obtain</w:t>
      </w:r>
      <w:r>
        <w:rPr>
          <w:spacing w:val="28"/>
        </w:rPr>
        <w:t xml:space="preserve"> </w:t>
      </w:r>
      <w:r>
        <w:rPr>
          <w:spacing w:val="-1"/>
        </w:rPr>
        <w:t>the</w:t>
      </w:r>
      <w:r>
        <w:rPr>
          <w:spacing w:val="30"/>
        </w:rPr>
        <w:t xml:space="preserve"> </w:t>
      </w:r>
      <w:r>
        <w:rPr>
          <w:spacing w:val="-1"/>
        </w:rPr>
        <w:t>prior</w:t>
      </w:r>
      <w:r>
        <w:rPr>
          <w:spacing w:val="29"/>
        </w:rPr>
        <w:t xml:space="preserve"> </w:t>
      </w:r>
      <w:r>
        <w:rPr>
          <w:spacing w:val="-1"/>
        </w:rPr>
        <w:t>written</w:t>
      </w:r>
      <w:r>
        <w:rPr>
          <w:spacing w:val="36"/>
        </w:rPr>
        <w:t xml:space="preserve"> </w:t>
      </w:r>
      <w:r>
        <w:rPr>
          <w:spacing w:val="-1"/>
        </w:rPr>
        <w:t>consent</w:t>
      </w:r>
      <w:r>
        <w:rPr>
          <w:spacing w:val="30"/>
        </w:rPr>
        <w:t xml:space="preserve"> </w:t>
      </w:r>
      <w:r>
        <w:rPr>
          <w:spacing w:val="-2"/>
        </w:rPr>
        <w:t>of</w:t>
      </w:r>
      <w:r>
        <w:rPr>
          <w:spacing w:val="29"/>
        </w:rPr>
        <w:t xml:space="preserve"> </w:t>
      </w:r>
      <w:r>
        <w:t>the</w:t>
      </w:r>
      <w:r>
        <w:rPr>
          <w:spacing w:val="28"/>
        </w:rPr>
        <w:t xml:space="preserve"> </w:t>
      </w:r>
      <w:r>
        <w:rPr>
          <w:spacing w:val="-1"/>
        </w:rPr>
        <w:t>Customer</w:t>
      </w:r>
      <w:r>
        <w:rPr>
          <w:spacing w:val="29"/>
        </w:rPr>
        <w:t xml:space="preserve"> </w:t>
      </w:r>
      <w:r>
        <w:rPr>
          <w:spacing w:val="-2"/>
        </w:rPr>
        <w:t>(save</w:t>
      </w:r>
      <w:r>
        <w:rPr>
          <w:spacing w:val="30"/>
        </w:rPr>
        <w:t xml:space="preserve"> </w:t>
      </w:r>
      <w:r>
        <w:rPr>
          <w:spacing w:val="-2"/>
        </w:rPr>
        <w:t>where</w:t>
      </w:r>
      <w:r>
        <w:rPr>
          <w:spacing w:val="28"/>
        </w:rPr>
        <w:t xml:space="preserve"> </w:t>
      </w:r>
      <w:r>
        <w:rPr>
          <w:spacing w:val="-1"/>
        </w:rPr>
        <w:t>such</w:t>
      </w:r>
      <w:r>
        <w:rPr>
          <w:spacing w:val="28"/>
        </w:rPr>
        <w:t xml:space="preserve"> </w:t>
      </w:r>
      <w:r>
        <w:rPr>
          <w:spacing w:val="-1"/>
        </w:rPr>
        <w:t>disclosure</w:t>
      </w:r>
      <w:r>
        <w:rPr>
          <w:spacing w:val="28"/>
        </w:rPr>
        <w:t xml:space="preserve"> </w:t>
      </w:r>
      <w:r>
        <w:rPr>
          <w:spacing w:val="-1"/>
        </w:rPr>
        <w:t>or</w:t>
      </w:r>
      <w:r>
        <w:rPr>
          <w:spacing w:val="34"/>
        </w:rPr>
        <w:t xml:space="preserve"> </w:t>
      </w:r>
      <w:r>
        <w:rPr>
          <w:spacing w:val="-1"/>
        </w:rPr>
        <w:t>transfer is</w:t>
      </w:r>
      <w:r>
        <w:rPr>
          <w:spacing w:val="1"/>
        </w:rPr>
        <w:t xml:space="preserve"> </w:t>
      </w:r>
      <w:r>
        <w:rPr>
          <w:spacing w:val="-1"/>
        </w:rPr>
        <w:t>specifically</w:t>
      </w:r>
      <w:r>
        <w:rPr>
          <w:spacing w:val="-2"/>
        </w:rPr>
        <w:t xml:space="preserve"> </w:t>
      </w:r>
      <w:r>
        <w:rPr>
          <w:spacing w:val="-1"/>
        </w:rPr>
        <w:t>authorised</w:t>
      </w:r>
      <w:r>
        <w:t xml:space="preserve"> </w:t>
      </w:r>
      <w:r>
        <w:rPr>
          <w:spacing w:val="-2"/>
        </w:rPr>
        <w:t>under</w:t>
      </w:r>
      <w:r>
        <w:rPr>
          <w:spacing w:val="-1"/>
        </w:rPr>
        <w:t xml:space="preserve"> 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3"/>
          <w:numId w:val="66"/>
        </w:numPr>
        <w:tabs>
          <w:tab w:val="left" w:pos="2594"/>
        </w:tabs>
        <w:ind w:left="2593" w:right="116"/>
        <w:jc w:val="both"/>
      </w:pPr>
      <w:r>
        <w:t>take</w:t>
      </w:r>
      <w:r>
        <w:rPr>
          <w:spacing w:val="31"/>
        </w:rPr>
        <w:t xml:space="preserve"> </w:t>
      </w:r>
      <w:r>
        <w:rPr>
          <w:spacing w:val="-1"/>
        </w:rPr>
        <w:t>reasonable</w:t>
      </w:r>
      <w:r>
        <w:rPr>
          <w:spacing w:val="31"/>
        </w:rPr>
        <w:t xml:space="preserve"> </w:t>
      </w:r>
      <w:r>
        <w:rPr>
          <w:spacing w:val="-1"/>
        </w:rPr>
        <w:t>steps</w:t>
      </w:r>
      <w:r>
        <w:rPr>
          <w:spacing w:val="32"/>
        </w:rPr>
        <w:t xml:space="preserve"> </w:t>
      </w:r>
      <w:r>
        <w:rPr>
          <w:spacing w:val="-1"/>
        </w:rPr>
        <w:t>to</w:t>
      </w:r>
      <w:r>
        <w:rPr>
          <w:spacing w:val="31"/>
        </w:rPr>
        <w:t xml:space="preserve"> </w:t>
      </w:r>
      <w:r>
        <w:rPr>
          <w:spacing w:val="-1"/>
        </w:rPr>
        <w:t>ensure</w:t>
      </w:r>
      <w:r>
        <w:rPr>
          <w:spacing w:val="31"/>
        </w:rPr>
        <w:t xml:space="preserve"> </w:t>
      </w:r>
      <w:r>
        <w:t>the</w:t>
      </w:r>
      <w:r>
        <w:rPr>
          <w:spacing w:val="31"/>
        </w:rPr>
        <w:t xml:space="preserve"> </w:t>
      </w:r>
      <w:r>
        <w:rPr>
          <w:spacing w:val="-2"/>
        </w:rPr>
        <w:t>reliability</w:t>
      </w:r>
      <w:r>
        <w:rPr>
          <w:spacing w:val="30"/>
        </w:rPr>
        <w:t xml:space="preserve"> </w:t>
      </w:r>
      <w:r>
        <w:t>and</w:t>
      </w:r>
      <w:r>
        <w:rPr>
          <w:spacing w:val="32"/>
        </w:rPr>
        <w:t xml:space="preserve"> </w:t>
      </w:r>
      <w:r>
        <w:rPr>
          <w:spacing w:val="-1"/>
        </w:rPr>
        <w:t>integrity</w:t>
      </w:r>
      <w:r>
        <w:rPr>
          <w:spacing w:val="30"/>
        </w:rPr>
        <w:t xml:space="preserve"> </w:t>
      </w:r>
      <w:r>
        <w:rPr>
          <w:spacing w:val="-1"/>
        </w:rPr>
        <w:t>of</w:t>
      </w:r>
      <w:r>
        <w:rPr>
          <w:spacing w:val="42"/>
        </w:rPr>
        <w:t xml:space="preserve"> </w:t>
      </w:r>
      <w:r>
        <w:rPr>
          <w:spacing w:val="-1"/>
        </w:rPr>
        <w:t>any</w:t>
      </w:r>
      <w:r>
        <w:rPr>
          <w:spacing w:val="10"/>
        </w:rPr>
        <w:t xml:space="preserve"> </w:t>
      </w:r>
      <w:r>
        <w:rPr>
          <w:spacing w:val="-1"/>
        </w:rPr>
        <w:t>Supplier</w:t>
      </w:r>
      <w:r>
        <w:rPr>
          <w:spacing w:val="14"/>
        </w:rPr>
        <w:t xml:space="preserve"> </w:t>
      </w:r>
      <w:r>
        <w:rPr>
          <w:spacing w:val="-1"/>
        </w:rPr>
        <w:t>Personnel</w:t>
      </w:r>
      <w:r>
        <w:rPr>
          <w:spacing w:val="14"/>
        </w:rPr>
        <w:t xml:space="preserve"> </w:t>
      </w:r>
      <w:r>
        <w:rPr>
          <w:spacing w:val="-2"/>
        </w:rPr>
        <w:t>who</w:t>
      </w:r>
      <w:r>
        <w:rPr>
          <w:spacing w:val="12"/>
        </w:rPr>
        <w:t xml:space="preserve"> </w:t>
      </w:r>
      <w:r>
        <w:rPr>
          <w:spacing w:val="-1"/>
        </w:rPr>
        <w:t>have</w:t>
      </w:r>
      <w:r>
        <w:rPr>
          <w:spacing w:val="12"/>
        </w:rPr>
        <w:t xml:space="preserve"> </w:t>
      </w:r>
      <w:r>
        <w:rPr>
          <w:spacing w:val="-1"/>
        </w:rPr>
        <w:t>access</w:t>
      </w:r>
      <w:r>
        <w:rPr>
          <w:spacing w:val="13"/>
        </w:rPr>
        <w:t xml:space="preserve"> </w:t>
      </w:r>
      <w:r>
        <w:t>to</w:t>
      </w:r>
      <w:r>
        <w:rPr>
          <w:spacing w:val="12"/>
        </w:rPr>
        <w:t xml:space="preserve"> </w:t>
      </w:r>
      <w:r>
        <w:t>the</w:t>
      </w:r>
      <w:r>
        <w:rPr>
          <w:spacing w:val="12"/>
        </w:rPr>
        <w:t xml:space="preserve"> </w:t>
      </w:r>
      <w:r>
        <w:rPr>
          <w:spacing w:val="-1"/>
        </w:rPr>
        <w:t>Personal</w:t>
      </w:r>
      <w:r>
        <w:rPr>
          <w:spacing w:val="12"/>
        </w:rPr>
        <w:t xml:space="preserve"> </w:t>
      </w:r>
      <w:r>
        <w:rPr>
          <w:spacing w:val="-1"/>
        </w:rPr>
        <w:t>Data</w:t>
      </w:r>
      <w:r>
        <w:rPr>
          <w:spacing w:val="35"/>
        </w:rPr>
        <w:t xml:space="preserve"> </w:t>
      </w:r>
      <w:r>
        <w:rPr>
          <w:spacing w:val="-1"/>
        </w:rPr>
        <w:t>and</w:t>
      </w:r>
      <w:r>
        <w:t xml:space="preserve"> </w:t>
      </w:r>
      <w:r>
        <w:rPr>
          <w:spacing w:val="-1"/>
        </w:rPr>
        <w:t>ensure</w:t>
      </w:r>
      <w:r>
        <w:rPr>
          <w:spacing w:val="-2"/>
        </w:rPr>
        <w:t xml:space="preserve"> </w:t>
      </w:r>
      <w:r>
        <w:rPr>
          <w:spacing w:val="-1"/>
        </w:rPr>
        <w:t>that</w:t>
      </w:r>
      <w:r>
        <w:t xml:space="preserve"> the</w:t>
      </w:r>
      <w:r>
        <w:rPr>
          <w:spacing w:val="-2"/>
        </w:rPr>
        <w:t xml:space="preserve"> Supplier</w:t>
      </w:r>
      <w:r>
        <w:rPr>
          <w:spacing w:val="2"/>
        </w:rPr>
        <w:t xml:space="preserve"> </w:t>
      </w:r>
      <w:r>
        <w:rPr>
          <w:spacing w:val="-1"/>
        </w:rPr>
        <w:t>Personnel:</w:t>
      </w:r>
    </w:p>
    <w:p w:rsidR="008918FA" w:rsidRDefault="008918FA" w:rsidP="008918FA">
      <w:pPr>
        <w:pStyle w:val="BodyText"/>
        <w:numPr>
          <w:ilvl w:val="4"/>
          <w:numId w:val="66"/>
        </w:numPr>
        <w:tabs>
          <w:tab w:val="left" w:pos="3163"/>
        </w:tabs>
        <w:ind w:left="3162" w:right="110"/>
        <w:jc w:val="both"/>
      </w:pPr>
      <w:r>
        <w:rPr>
          <w:spacing w:val="-1"/>
        </w:rPr>
        <w:t>are</w:t>
      </w:r>
      <w:r>
        <w:rPr>
          <w:spacing w:val="12"/>
        </w:rPr>
        <w:t xml:space="preserve"> </w:t>
      </w:r>
      <w:r>
        <w:rPr>
          <w:spacing w:val="-2"/>
        </w:rPr>
        <w:t>aware</w:t>
      </w:r>
      <w:r>
        <w:rPr>
          <w:spacing w:val="12"/>
        </w:rPr>
        <w:t xml:space="preserve"> </w:t>
      </w:r>
      <w:r>
        <w:rPr>
          <w:spacing w:val="-1"/>
        </w:rPr>
        <w:t>of</w:t>
      </w:r>
      <w:r>
        <w:rPr>
          <w:spacing w:val="16"/>
        </w:rPr>
        <w:t xml:space="preserve"> </w:t>
      </w:r>
      <w:r>
        <w:rPr>
          <w:spacing w:val="-1"/>
        </w:rPr>
        <w:t>and</w:t>
      </w:r>
      <w:r>
        <w:rPr>
          <w:spacing w:val="12"/>
        </w:rPr>
        <w:t xml:space="preserve"> </w:t>
      </w:r>
      <w:r>
        <w:rPr>
          <w:spacing w:val="-2"/>
        </w:rPr>
        <w:t>comply</w:t>
      </w:r>
      <w:r>
        <w:rPr>
          <w:spacing w:val="13"/>
        </w:rPr>
        <w:t xml:space="preserve"> </w:t>
      </w:r>
      <w:r>
        <w:rPr>
          <w:spacing w:val="-2"/>
        </w:rPr>
        <w:t>with</w:t>
      </w:r>
      <w:r>
        <w:rPr>
          <w:spacing w:val="12"/>
        </w:rPr>
        <w:t xml:space="preserve"> </w:t>
      </w:r>
      <w:r>
        <w:t>the</w:t>
      </w:r>
      <w:r>
        <w:rPr>
          <w:spacing w:val="12"/>
        </w:rPr>
        <w:t xml:space="preserve"> </w:t>
      </w:r>
      <w:r>
        <w:rPr>
          <w:spacing w:val="-2"/>
        </w:rPr>
        <w:t>Supplier’s</w:t>
      </w:r>
      <w:r>
        <w:rPr>
          <w:spacing w:val="13"/>
        </w:rPr>
        <w:t xml:space="preserve"> </w:t>
      </w:r>
      <w:r>
        <w:rPr>
          <w:spacing w:val="-1"/>
        </w:rPr>
        <w:t>duties</w:t>
      </w:r>
      <w:r>
        <w:rPr>
          <w:spacing w:val="13"/>
        </w:rPr>
        <w:t xml:space="preserve"> </w:t>
      </w:r>
      <w:r>
        <w:rPr>
          <w:spacing w:val="-1"/>
        </w:rPr>
        <w:t>under</w:t>
      </w:r>
      <w:r>
        <w:rPr>
          <w:spacing w:val="56"/>
        </w:rPr>
        <w:t xml:space="preserve"> </w:t>
      </w:r>
      <w:r>
        <w:rPr>
          <w:spacing w:val="-1"/>
        </w:rPr>
        <w:t>this</w:t>
      </w:r>
      <w:r>
        <w:rPr>
          <w:spacing w:val="52"/>
        </w:rPr>
        <w:t xml:space="preserve"> </w:t>
      </w:r>
      <w:r>
        <w:rPr>
          <w:spacing w:val="-2"/>
        </w:rPr>
        <w:t>Clause</w:t>
      </w:r>
      <w:r>
        <w:rPr>
          <w:spacing w:val="2"/>
        </w:rPr>
        <w:t xml:space="preserve"> </w:t>
      </w:r>
      <w:hyperlink w:anchor="_bookmark193" w:history="1">
        <w:r>
          <w:rPr>
            <w:spacing w:val="-1"/>
          </w:rPr>
          <w:t>34.6.2</w:t>
        </w:r>
      </w:hyperlink>
      <w:r>
        <w:rPr>
          <w:spacing w:val="52"/>
        </w:rPr>
        <w:t xml:space="preserve"> </w:t>
      </w:r>
      <w:r>
        <w:rPr>
          <w:spacing w:val="-2"/>
        </w:rPr>
        <w:t>and</w:t>
      </w:r>
      <w:r>
        <w:rPr>
          <w:spacing w:val="52"/>
        </w:rPr>
        <w:t xml:space="preserve"> </w:t>
      </w:r>
      <w:r>
        <w:rPr>
          <w:spacing w:val="-1"/>
        </w:rPr>
        <w:t>Clauses</w:t>
      </w:r>
      <w:r>
        <w:rPr>
          <w:spacing w:val="53"/>
        </w:rPr>
        <w:t xml:space="preserve"> </w:t>
      </w:r>
      <w:hyperlink w:anchor="_bookmark180" w:history="1">
        <w:r>
          <w:rPr>
            <w:spacing w:val="-1"/>
          </w:rPr>
          <w:t>34.1</w:t>
        </w:r>
      </w:hyperlink>
      <w:r>
        <w:rPr>
          <w:spacing w:val="52"/>
        </w:rPr>
        <w:t xml:space="preserve"> </w:t>
      </w:r>
      <w:r>
        <w:rPr>
          <w:spacing w:val="-1"/>
        </w:rPr>
        <w:t>(Security</w:t>
      </w:r>
      <w:r>
        <w:rPr>
          <w:spacing w:val="43"/>
        </w:rPr>
        <w:t xml:space="preserve"> </w:t>
      </w:r>
      <w:r>
        <w:rPr>
          <w:spacing w:val="-1"/>
        </w:rPr>
        <w:t>Requirements),</w:t>
      </w:r>
      <w:r>
        <w:t xml:space="preserve"> </w:t>
      </w:r>
      <w:r>
        <w:rPr>
          <w:spacing w:val="12"/>
        </w:rPr>
        <w:t xml:space="preserve"> </w:t>
      </w:r>
      <w:hyperlink w:anchor="_bookmark181" w:history="1">
        <w:r>
          <w:rPr>
            <w:spacing w:val="-1"/>
          </w:rPr>
          <w:t>34.2</w:t>
        </w:r>
      </w:hyperlink>
      <w:r>
        <w:t xml:space="preserve"> </w:t>
      </w:r>
      <w:r>
        <w:rPr>
          <w:spacing w:val="8"/>
        </w:rPr>
        <w:t xml:space="preserve"> </w:t>
      </w:r>
      <w:r>
        <w:rPr>
          <w:spacing w:val="-1"/>
        </w:rPr>
        <w:t>(Protection</w:t>
      </w:r>
      <w:r>
        <w:t xml:space="preserve"> </w:t>
      </w:r>
      <w:r>
        <w:rPr>
          <w:spacing w:val="10"/>
        </w:rPr>
        <w:t xml:space="preserve"> </w:t>
      </w:r>
      <w:r>
        <w:rPr>
          <w:spacing w:val="-1"/>
        </w:rPr>
        <w:t>of</w:t>
      </w:r>
      <w:r>
        <w:t xml:space="preserve"> </w:t>
      </w:r>
      <w:r>
        <w:rPr>
          <w:spacing w:val="14"/>
        </w:rPr>
        <w:t xml:space="preserve"> </w:t>
      </w:r>
      <w:r>
        <w:rPr>
          <w:spacing w:val="-2"/>
        </w:rPr>
        <w:t>Customer</w:t>
      </w:r>
      <w:r>
        <w:t xml:space="preserve">  </w:t>
      </w:r>
      <w:r>
        <w:rPr>
          <w:spacing w:val="11"/>
        </w:rPr>
        <w:t xml:space="preserve"> </w:t>
      </w:r>
      <w:r>
        <w:rPr>
          <w:spacing w:val="-1"/>
        </w:rPr>
        <w:t>Data)</w:t>
      </w:r>
      <w:r>
        <w:rPr>
          <w:spacing w:val="34"/>
        </w:rPr>
        <w:t xml:space="preserve"> </w:t>
      </w:r>
      <w:r>
        <w:rPr>
          <w:spacing w:val="-1"/>
        </w:rPr>
        <w:t>and</w:t>
      </w:r>
      <w:r>
        <w:rPr>
          <w:spacing w:val="1"/>
        </w:rPr>
        <w:t xml:space="preserve"> </w:t>
      </w:r>
      <w:hyperlink w:anchor="_bookmark184" w:history="1">
        <w:r>
          <w:rPr>
            <w:spacing w:val="-1"/>
          </w:rPr>
          <w:t>34.3</w:t>
        </w:r>
      </w:hyperlink>
      <w:r>
        <w:rPr>
          <w:spacing w:val="-2"/>
        </w:rPr>
        <w:t xml:space="preserve"> </w:t>
      </w:r>
      <w:r>
        <w:rPr>
          <w:spacing w:val="-1"/>
        </w:rPr>
        <w:t>(Confidentiality);</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4"/>
          <w:numId w:val="66"/>
        </w:numPr>
        <w:tabs>
          <w:tab w:val="left" w:pos="3164"/>
        </w:tabs>
        <w:spacing w:before="59"/>
        <w:ind w:left="3163" w:right="111"/>
        <w:jc w:val="both"/>
      </w:pPr>
      <w:r>
        <w:rPr>
          <w:spacing w:val="-1"/>
        </w:rPr>
        <w:t>are</w:t>
      </w:r>
      <w:r>
        <w:rPr>
          <w:spacing w:val="48"/>
        </w:rPr>
        <w:t xml:space="preserve"> </w:t>
      </w:r>
      <w:r>
        <w:rPr>
          <w:spacing w:val="-1"/>
        </w:rPr>
        <w:t>informed</w:t>
      </w:r>
      <w:r>
        <w:rPr>
          <w:spacing w:val="48"/>
        </w:rPr>
        <w:t xml:space="preserve"> </w:t>
      </w:r>
      <w:r>
        <w:rPr>
          <w:spacing w:val="-2"/>
        </w:rPr>
        <w:t>of</w:t>
      </w:r>
      <w:r>
        <w:rPr>
          <w:spacing w:val="49"/>
        </w:rPr>
        <w:t xml:space="preserve"> </w:t>
      </w:r>
      <w:r>
        <w:t>the</w:t>
      </w:r>
      <w:r>
        <w:rPr>
          <w:spacing w:val="48"/>
        </w:rPr>
        <w:t xml:space="preserve"> </w:t>
      </w:r>
      <w:r>
        <w:rPr>
          <w:spacing w:val="-1"/>
        </w:rPr>
        <w:t>confidential</w:t>
      </w:r>
      <w:r>
        <w:rPr>
          <w:spacing w:val="47"/>
        </w:rPr>
        <w:t xml:space="preserve"> </w:t>
      </w:r>
      <w:r>
        <w:rPr>
          <w:spacing w:val="-1"/>
        </w:rPr>
        <w:t>nature</w:t>
      </w:r>
      <w:r>
        <w:rPr>
          <w:spacing w:val="48"/>
        </w:rPr>
        <w:t xml:space="preserve"> </w:t>
      </w:r>
      <w:r>
        <w:rPr>
          <w:spacing w:val="-2"/>
        </w:rPr>
        <w:t>of</w:t>
      </w:r>
      <w:r>
        <w:rPr>
          <w:spacing w:val="53"/>
        </w:rPr>
        <w:t xml:space="preserve"> </w:t>
      </w:r>
      <w:r>
        <w:t>the</w:t>
      </w:r>
      <w:r>
        <w:rPr>
          <w:spacing w:val="46"/>
        </w:rPr>
        <w:t xml:space="preserve"> </w:t>
      </w:r>
      <w:r>
        <w:rPr>
          <w:spacing w:val="-1"/>
        </w:rPr>
        <w:t>Personal</w:t>
      </w:r>
      <w:r>
        <w:rPr>
          <w:spacing w:val="30"/>
        </w:rPr>
        <w:t xml:space="preserve"> </w:t>
      </w:r>
      <w:r>
        <w:rPr>
          <w:spacing w:val="-1"/>
        </w:rPr>
        <w:t>Data</w:t>
      </w:r>
      <w:r>
        <w:rPr>
          <w:spacing w:val="36"/>
        </w:rPr>
        <w:t xml:space="preserve"> </w:t>
      </w:r>
      <w:r>
        <w:rPr>
          <w:spacing w:val="-1"/>
        </w:rPr>
        <w:t>and</w:t>
      </w:r>
      <w:r>
        <w:rPr>
          <w:spacing w:val="36"/>
        </w:rPr>
        <w:t xml:space="preserve"> </w:t>
      </w:r>
      <w:r>
        <w:rPr>
          <w:spacing w:val="-1"/>
        </w:rPr>
        <w:t>do</w:t>
      </w:r>
      <w:r>
        <w:rPr>
          <w:spacing w:val="36"/>
        </w:rPr>
        <w:t xml:space="preserve"> </w:t>
      </w:r>
      <w:r>
        <w:rPr>
          <w:spacing w:val="-2"/>
        </w:rPr>
        <w:t>not</w:t>
      </w:r>
      <w:r>
        <w:rPr>
          <w:spacing w:val="38"/>
        </w:rPr>
        <w:t xml:space="preserve"> </w:t>
      </w:r>
      <w:r>
        <w:rPr>
          <w:spacing w:val="-2"/>
        </w:rPr>
        <w:t>publish,</w:t>
      </w:r>
      <w:r>
        <w:rPr>
          <w:spacing w:val="38"/>
        </w:rPr>
        <w:t xml:space="preserve"> </w:t>
      </w:r>
      <w:r>
        <w:rPr>
          <w:spacing w:val="-1"/>
        </w:rPr>
        <w:t>disclose</w:t>
      </w:r>
      <w:r>
        <w:rPr>
          <w:spacing w:val="37"/>
        </w:rPr>
        <w:t xml:space="preserve"> </w:t>
      </w:r>
      <w:r>
        <w:rPr>
          <w:spacing w:val="-2"/>
        </w:rPr>
        <w:t>or</w:t>
      </w:r>
      <w:r>
        <w:rPr>
          <w:spacing w:val="39"/>
        </w:rPr>
        <w:t xml:space="preserve"> </w:t>
      </w:r>
      <w:r>
        <w:rPr>
          <w:spacing w:val="-1"/>
        </w:rPr>
        <w:t>divulge</w:t>
      </w:r>
      <w:r>
        <w:rPr>
          <w:spacing w:val="36"/>
        </w:rPr>
        <w:t xml:space="preserve"> </w:t>
      </w:r>
      <w:r>
        <w:rPr>
          <w:spacing w:val="-2"/>
        </w:rPr>
        <w:t>any</w:t>
      </w:r>
      <w:r>
        <w:rPr>
          <w:spacing w:val="34"/>
        </w:rPr>
        <w:t xml:space="preserve"> </w:t>
      </w:r>
      <w:r>
        <w:rPr>
          <w:spacing w:val="-1"/>
        </w:rPr>
        <w:t>of</w:t>
      </w:r>
      <w:r>
        <w:rPr>
          <w:spacing w:val="38"/>
        </w:rPr>
        <w:t xml:space="preserve"> </w:t>
      </w:r>
      <w:r>
        <w:rPr>
          <w:spacing w:val="-1"/>
        </w:rPr>
        <w:t>the</w:t>
      </w:r>
      <w:r>
        <w:rPr>
          <w:spacing w:val="34"/>
        </w:rPr>
        <w:t xml:space="preserve"> </w:t>
      </w:r>
      <w:r>
        <w:rPr>
          <w:spacing w:val="-1"/>
        </w:rPr>
        <w:t>Personal</w:t>
      </w:r>
      <w:r>
        <w:rPr>
          <w:spacing w:val="7"/>
        </w:rPr>
        <w:t xml:space="preserve"> </w:t>
      </w:r>
      <w:r>
        <w:rPr>
          <w:spacing w:val="-1"/>
        </w:rPr>
        <w:t>Data</w:t>
      </w:r>
      <w:r>
        <w:rPr>
          <w:spacing w:val="7"/>
        </w:rPr>
        <w:t xml:space="preserve"> </w:t>
      </w:r>
      <w:r>
        <w:t>to</w:t>
      </w:r>
      <w:r>
        <w:rPr>
          <w:spacing w:val="7"/>
        </w:rPr>
        <w:t xml:space="preserve"> </w:t>
      </w:r>
      <w:r>
        <w:rPr>
          <w:spacing w:val="-1"/>
        </w:rPr>
        <w:t>any</w:t>
      </w:r>
      <w:r>
        <w:rPr>
          <w:spacing w:val="5"/>
        </w:rPr>
        <w:t xml:space="preserve"> </w:t>
      </w:r>
      <w:r>
        <w:t>third</w:t>
      </w:r>
      <w:r>
        <w:rPr>
          <w:spacing w:val="7"/>
        </w:rPr>
        <w:t xml:space="preserve"> </w:t>
      </w:r>
      <w:r>
        <w:rPr>
          <w:spacing w:val="-1"/>
        </w:rPr>
        <w:t>party</w:t>
      </w:r>
      <w:r>
        <w:rPr>
          <w:spacing w:val="5"/>
        </w:rPr>
        <w:t xml:space="preserve"> </w:t>
      </w:r>
      <w:r>
        <w:rPr>
          <w:spacing w:val="-1"/>
        </w:rPr>
        <w:t>unless</w:t>
      </w:r>
      <w:r>
        <w:rPr>
          <w:spacing w:val="8"/>
        </w:rPr>
        <w:t xml:space="preserve"> </w:t>
      </w:r>
      <w:r>
        <w:rPr>
          <w:spacing w:val="-1"/>
        </w:rPr>
        <w:t>directed</w:t>
      </w:r>
      <w:r>
        <w:rPr>
          <w:spacing w:val="7"/>
        </w:rPr>
        <w:t xml:space="preserve"> </w:t>
      </w:r>
      <w:r>
        <w:rPr>
          <w:spacing w:val="-1"/>
        </w:rPr>
        <w:t>in</w:t>
      </w:r>
      <w:r>
        <w:rPr>
          <w:spacing w:val="10"/>
        </w:rPr>
        <w:t xml:space="preserve"> </w:t>
      </w:r>
      <w:r>
        <w:rPr>
          <w:spacing w:val="-2"/>
        </w:rPr>
        <w:t>writing</w:t>
      </w:r>
      <w:r>
        <w:rPr>
          <w:spacing w:val="40"/>
        </w:rPr>
        <w:t xml:space="preserve"> </w:t>
      </w:r>
      <w:r>
        <w:t>to</w:t>
      </w:r>
      <w:r>
        <w:rPr>
          <w:spacing w:val="36"/>
        </w:rPr>
        <w:t xml:space="preserve"> </w:t>
      </w:r>
      <w:r>
        <w:rPr>
          <w:spacing w:val="-1"/>
        </w:rPr>
        <w:t>do</w:t>
      </w:r>
      <w:r>
        <w:rPr>
          <w:spacing w:val="36"/>
        </w:rPr>
        <w:t xml:space="preserve"> </w:t>
      </w:r>
      <w:r>
        <w:rPr>
          <w:spacing w:val="-1"/>
        </w:rPr>
        <w:t>so</w:t>
      </w:r>
      <w:r>
        <w:rPr>
          <w:spacing w:val="34"/>
        </w:rPr>
        <w:t xml:space="preserve"> </w:t>
      </w:r>
      <w:r>
        <w:rPr>
          <w:spacing w:val="-1"/>
        </w:rPr>
        <w:t>by</w:t>
      </w:r>
      <w:r>
        <w:rPr>
          <w:spacing w:val="34"/>
        </w:rPr>
        <w:t xml:space="preserve"> </w:t>
      </w:r>
      <w:r>
        <w:t>the</w:t>
      </w:r>
      <w:r>
        <w:rPr>
          <w:spacing w:val="36"/>
        </w:rPr>
        <w:t xml:space="preserve"> </w:t>
      </w:r>
      <w:r>
        <w:rPr>
          <w:spacing w:val="-2"/>
        </w:rPr>
        <w:t>Customer</w:t>
      </w:r>
      <w:r>
        <w:rPr>
          <w:spacing w:val="38"/>
        </w:rPr>
        <w:t xml:space="preserve"> </w:t>
      </w:r>
      <w:r>
        <w:rPr>
          <w:spacing w:val="-1"/>
        </w:rPr>
        <w:t>or</w:t>
      </w:r>
      <w:r>
        <w:rPr>
          <w:spacing w:val="36"/>
        </w:rPr>
        <w:t xml:space="preserve"> </w:t>
      </w:r>
      <w:r>
        <w:rPr>
          <w:spacing w:val="-1"/>
        </w:rPr>
        <w:t>as</w:t>
      </w:r>
      <w:r>
        <w:rPr>
          <w:spacing w:val="37"/>
        </w:rPr>
        <w:t xml:space="preserve"> </w:t>
      </w:r>
      <w:r>
        <w:rPr>
          <w:spacing w:val="-2"/>
        </w:rPr>
        <w:t>otherwise</w:t>
      </w:r>
      <w:r>
        <w:rPr>
          <w:spacing w:val="37"/>
        </w:rPr>
        <w:t xml:space="preserve"> </w:t>
      </w:r>
      <w:r>
        <w:rPr>
          <w:spacing w:val="-1"/>
        </w:rPr>
        <w:t>permitted</w:t>
      </w:r>
      <w:r>
        <w:rPr>
          <w:spacing w:val="34"/>
        </w:rPr>
        <w:t xml:space="preserve"> </w:t>
      </w:r>
      <w:r>
        <w:rPr>
          <w:spacing w:val="-1"/>
        </w:rPr>
        <w:t>by</w:t>
      </w:r>
      <w:r>
        <w:rPr>
          <w:spacing w:val="53"/>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2"/>
        </w:rPr>
        <w:t>and</w:t>
      </w:r>
    </w:p>
    <w:p w:rsidR="008918FA" w:rsidRDefault="008918FA" w:rsidP="008918FA">
      <w:pPr>
        <w:pStyle w:val="BodyText"/>
        <w:numPr>
          <w:ilvl w:val="4"/>
          <w:numId w:val="66"/>
        </w:numPr>
        <w:tabs>
          <w:tab w:val="left" w:pos="3164"/>
        </w:tabs>
        <w:ind w:left="3163" w:right="114"/>
        <w:jc w:val="both"/>
      </w:pPr>
      <w:r>
        <w:rPr>
          <w:spacing w:val="-2"/>
        </w:rPr>
        <w:t>have</w:t>
      </w:r>
      <w:r>
        <w:rPr>
          <w:spacing w:val="32"/>
        </w:rPr>
        <w:t xml:space="preserve"> </w:t>
      </w:r>
      <w:r>
        <w:rPr>
          <w:spacing w:val="-1"/>
        </w:rPr>
        <w:t>undergone</w:t>
      </w:r>
      <w:r>
        <w:rPr>
          <w:spacing w:val="32"/>
        </w:rPr>
        <w:t xml:space="preserve"> </w:t>
      </w:r>
      <w:r>
        <w:rPr>
          <w:spacing w:val="-1"/>
        </w:rPr>
        <w:t>adequate</w:t>
      </w:r>
      <w:r>
        <w:rPr>
          <w:spacing w:val="32"/>
        </w:rPr>
        <w:t xml:space="preserve"> </w:t>
      </w:r>
      <w:r>
        <w:rPr>
          <w:spacing w:val="-1"/>
        </w:rPr>
        <w:t>training</w:t>
      </w:r>
      <w:r>
        <w:rPr>
          <w:spacing w:val="35"/>
        </w:rPr>
        <w:t xml:space="preserve"> </w:t>
      </w:r>
      <w:r>
        <w:rPr>
          <w:spacing w:val="-1"/>
        </w:rPr>
        <w:t>in</w:t>
      </w:r>
      <w:r>
        <w:rPr>
          <w:spacing w:val="32"/>
        </w:rPr>
        <w:t xml:space="preserve"> </w:t>
      </w:r>
      <w:r>
        <w:t>the</w:t>
      </w:r>
      <w:r>
        <w:rPr>
          <w:spacing w:val="32"/>
        </w:rPr>
        <w:t xml:space="preserve"> </w:t>
      </w:r>
      <w:r>
        <w:rPr>
          <w:spacing w:val="-1"/>
        </w:rPr>
        <w:t>use,</w:t>
      </w:r>
      <w:r>
        <w:rPr>
          <w:spacing w:val="35"/>
        </w:rPr>
        <w:t xml:space="preserve"> </w:t>
      </w:r>
      <w:r>
        <w:rPr>
          <w:spacing w:val="-1"/>
        </w:rPr>
        <w:t>care,</w:t>
      </w:r>
      <w:r>
        <w:rPr>
          <w:spacing w:val="31"/>
        </w:rPr>
        <w:t xml:space="preserve"> </w:t>
      </w:r>
      <w:r>
        <w:rPr>
          <w:spacing w:val="-1"/>
        </w:rPr>
        <w:t>protection</w:t>
      </w:r>
      <w:r>
        <w:rPr>
          <w:spacing w:val="41"/>
        </w:rPr>
        <w:t xml:space="preserve"> </w:t>
      </w:r>
      <w:r>
        <w:rPr>
          <w:spacing w:val="-1"/>
        </w:rPr>
        <w:t>and</w:t>
      </w:r>
      <w:r>
        <w:rPr>
          <w:spacing w:val="41"/>
        </w:rPr>
        <w:t xml:space="preserve"> </w:t>
      </w:r>
      <w:r>
        <w:rPr>
          <w:spacing w:val="-2"/>
        </w:rPr>
        <w:t>handling</w:t>
      </w:r>
      <w:r>
        <w:rPr>
          <w:spacing w:val="43"/>
        </w:rPr>
        <w:t xml:space="preserve"> </w:t>
      </w:r>
      <w:r>
        <w:rPr>
          <w:spacing w:val="-1"/>
        </w:rPr>
        <w:t>of</w:t>
      </w:r>
      <w:r>
        <w:rPr>
          <w:spacing w:val="45"/>
        </w:rPr>
        <w:t xml:space="preserve"> </w:t>
      </w:r>
      <w:r>
        <w:rPr>
          <w:spacing w:val="-1"/>
        </w:rPr>
        <w:t>personal</w:t>
      </w:r>
      <w:r>
        <w:rPr>
          <w:spacing w:val="40"/>
        </w:rPr>
        <w:t xml:space="preserve"> </w:t>
      </w:r>
      <w:r>
        <w:rPr>
          <w:spacing w:val="-1"/>
        </w:rPr>
        <w:t>data</w:t>
      </w:r>
      <w:r>
        <w:rPr>
          <w:spacing w:val="41"/>
        </w:rPr>
        <w:t xml:space="preserve"> </w:t>
      </w:r>
      <w:r>
        <w:rPr>
          <w:spacing w:val="-1"/>
        </w:rPr>
        <w:t>(as</w:t>
      </w:r>
      <w:r>
        <w:rPr>
          <w:spacing w:val="42"/>
        </w:rPr>
        <w:t xml:space="preserve"> </w:t>
      </w:r>
      <w:r>
        <w:rPr>
          <w:spacing w:val="-1"/>
        </w:rPr>
        <w:t>defined</w:t>
      </w:r>
      <w:r>
        <w:rPr>
          <w:spacing w:val="41"/>
        </w:rPr>
        <w:t xml:space="preserve"> </w:t>
      </w:r>
      <w:r>
        <w:rPr>
          <w:spacing w:val="-1"/>
        </w:rPr>
        <w:t>in</w:t>
      </w:r>
      <w:r>
        <w:rPr>
          <w:spacing w:val="37"/>
        </w:rPr>
        <w:t xml:space="preserve"> </w:t>
      </w:r>
      <w:r>
        <w:t xml:space="preserve">the </w:t>
      </w:r>
      <w:r>
        <w:rPr>
          <w:spacing w:val="-2"/>
        </w:rPr>
        <w:t>DPA);</w:t>
      </w:r>
    </w:p>
    <w:p w:rsidR="008918FA" w:rsidRDefault="008918FA" w:rsidP="008918FA">
      <w:pPr>
        <w:pStyle w:val="BodyText"/>
        <w:numPr>
          <w:ilvl w:val="3"/>
          <w:numId w:val="66"/>
        </w:numPr>
        <w:tabs>
          <w:tab w:val="left" w:pos="2595"/>
        </w:tabs>
        <w:ind w:left="2594"/>
      </w:pPr>
      <w:bookmarkStart w:id="228" w:name="_bookmark194"/>
      <w:bookmarkEnd w:id="228"/>
      <w:r>
        <w:rPr>
          <w:spacing w:val="-1"/>
        </w:rPr>
        <w:t>notify</w:t>
      </w:r>
      <w:r>
        <w:rPr>
          <w:spacing w:val="-2"/>
        </w:rPr>
        <w:t xml:space="preserve"> </w:t>
      </w:r>
      <w:r>
        <w:t>the</w:t>
      </w:r>
      <w:r>
        <w:rPr>
          <w:spacing w:val="-2"/>
        </w:rPr>
        <w:t xml:space="preserve"> </w:t>
      </w:r>
      <w:r>
        <w:rPr>
          <w:spacing w:val="-1"/>
        </w:rPr>
        <w:t>Customer within</w:t>
      </w:r>
      <w:r>
        <w:rPr>
          <w:spacing w:val="-2"/>
        </w:rPr>
        <w:t xml:space="preserve"> </w:t>
      </w:r>
      <w:r>
        <w:rPr>
          <w:spacing w:val="-1"/>
        </w:rPr>
        <w:t>five</w:t>
      </w:r>
      <w:r>
        <w:t xml:space="preserve"> </w:t>
      </w:r>
      <w:r>
        <w:rPr>
          <w:spacing w:val="-1"/>
        </w:rPr>
        <w:t>(5)</w:t>
      </w:r>
      <w:r>
        <w:rPr>
          <w:spacing w:val="-6"/>
        </w:rPr>
        <w:t xml:space="preserve"> </w:t>
      </w:r>
      <w:r>
        <w:rPr>
          <w:spacing w:val="-1"/>
        </w:rPr>
        <w:t>Working</w:t>
      </w:r>
      <w:r>
        <w:rPr>
          <w:spacing w:val="3"/>
        </w:rPr>
        <w:t xml:space="preserve"> </w:t>
      </w:r>
      <w:r>
        <w:rPr>
          <w:spacing w:val="-2"/>
        </w:rPr>
        <w:t>Days</w:t>
      </w:r>
      <w:r>
        <w:rPr>
          <w:spacing w:val="1"/>
        </w:rPr>
        <w:t xml:space="preserve"> </w:t>
      </w:r>
      <w:r>
        <w:rPr>
          <w:spacing w:val="-2"/>
        </w:rPr>
        <w:t>if</w:t>
      </w:r>
      <w:r>
        <w:rPr>
          <w:spacing w:val="2"/>
        </w:rPr>
        <w:t xml:space="preserve"> </w:t>
      </w:r>
      <w:r>
        <w:rPr>
          <w:spacing w:val="-1"/>
        </w:rPr>
        <w:t xml:space="preserve">it </w:t>
      </w:r>
      <w:r>
        <w:rPr>
          <w:spacing w:val="-2"/>
        </w:rPr>
        <w:t>receives:</w:t>
      </w:r>
    </w:p>
    <w:p w:rsidR="008918FA" w:rsidRDefault="008918FA" w:rsidP="008918FA">
      <w:pPr>
        <w:pStyle w:val="BodyText"/>
        <w:numPr>
          <w:ilvl w:val="4"/>
          <w:numId w:val="66"/>
        </w:numPr>
        <w:tabs>
          <w:tab w:val="left" w:pos="3163"/>
        </w:tabs>
        <w:spacing w:before="121"/>
        <w:ind w:left="3162" w:right="112" w:hanging="568"/>
        <w:jc w:val="both"/>
      </w:pPr>
      <w:r>
        <w:rPr>
          <w:spacing w:val="-1"/>
        </w:rPr>
        <w:t>from</w:t>
      </w:r>
      <w:r>
        <w:rPr>
          <w:spacing w:val="9"/>
        </w:rPr>
        <w:t xml:space="preserve"> </w:t>
      </w:r>
      <w:r>
        <w:t>a</w:t>
      </w:r>
      <w:r>
        <w:rPr>
          <w:spacing w:val="7"/>
        </w:rPr>
        <w:t xml:space="preserve"> </w:t>
      </w:r>
      <w:r>
        <w:rPr>
          <w:spacing w:val="-1"/>
        </w:rPr>
        <w:t>Data</w:t>
      </w:r>
      <w:r>
        <w:rPr>
          <w:spacing w:val="7"/>
        </w:rPr>
        <w:t xml:space="preserve"> </w:t>
      </w:r>
      <w:r>
        <w:rPr>
          <w:spacing w:val="-1"/>
        </w:rPr>
        <w:t>Subject</w:t>
      </w:r>
      <w:r>
        <w:rPr>
          <w:spacing w:val="9"/>
        </w:rPr>
        <w:t xml:space="preserve"> </w:t>
      </w:r>
      <w:r>
        <w:rPr>
          <w:spacing w:val="-1"/>
        </w:rPr>
        <w:t>(or</w:t>
      </w:r>
      <w:r>
        <w:rPr>
          <w:spacing w:val="9"/>
        </w:rPr>
        <w:t xml:space="preserve"> </w:t>
      </w:r>
      <w:r>
        <w:rPr>
          <w:spacing w:val="-1"/>
        </w:rPr>
        <w:t>third</w:t>
      </w:r>
      <w:r>
        <w:rPr>
          <w:spacing w:val="7"/>
        </w:rPr>
        <w:t xml:space="preserve"> </w:t>
      </w:r>
      <w:r>
        <w:rPr>
          <w:spacing w:val="-1"/>
        </w:rPr>
        <w:t>party</w:t>
      </w:r>
      <w:r>
        <w:rPr>
          <w:spacing w:val="5"/>
        </w:rPr>
        <w:t xml:space="preserve"> </w:t>
      </w:r>
      <w:r>
        <w:rPr>
          <w:spacing w:val="-1"/>
        </w:rPr>
        <w:t>on</w:t>
      </w:r>
      <w:r>
        <w:rPr>
          <w:spacing w:val="7"/>
        </w:rPr>
        <w:t xml:space="preserve"> </w:t>
      </w:r>
      <w:r>
        <w:rPr>
          <w:spacing w:val="-1"/>
        </w:rPr>
        <w:t>their</w:t>
      </w:r>
      <w:r>
        <w:rPr>
          <w:spacing w:val="9"/>
        </w:rPr>
        <w:t xml:space="preserve"> </w:t>
      </w:r>
      <w:r>
        <w:rPr>
          <w:spacing w:val="-1"/>
        </w:rPr>
        <w:t>behalf)</w:t>
      </w:r>
      <w:r>
        <w:rPr>
          <w:spacing w:val="9"/>
        </w:rPr>
        <w:t xml:space="preserve"> </w:t>
      </w:r>
      <w:r>
        <w:t>a</w:t>
      </w:r>
      <w:r>
        <w:rPr>
          <w:spacing w:val="7"/>
        </w:rPr>
        <w:t xml:space="preserve"> </w:t>
      </w:r>
      <w:r>
        <w:rPr>
          <w:spacing w:val="-1"/>
        </w:rPr>
        <w:t>Data</w:t>
      </w:r>
      <w:r>
        <w:rPr>
          <w:spacing w:val="29"/>
        </w:rPr>
        <w:t xml:space="preserve"> </w:t>
      </w:r>
      <w:r>
        <w:rPr>
          <w:spacing w:val="-1"/>
        </w:rPr>
        <w:t>Subject</w:t>
      </w:r>
      <w:r>
        <w:rPr>
          <w:spacing w:val="42"/>
        </w:rPr>
        <w:t xml:space="preserve"> </w:t>
      </w:r>
      <w:r>
        <w:rPr>
          <w:spacing w:val="-1"/>
        </w:rPr>
        <w:t>Access</w:t>
      </w:r>
      <w:r>
        <w:rPr>
          <w:spacing w:val="41"/>
        </w:rPr>
        <w:t xml:space="preserve"> </w:t>
      </w:r>
      <w:r>
        <w:rPr>
          <w:spacing w:val="-2"/>
        </w:rPr>
        <w:t>Request</w:t>
      </w:r>
      <w:r>
        <w:rPr>
          <w:spacing w:val="42"/>
        </w:rPr>
        <w:t xml:space="preserve"> </w:t>
      </w:r>
      <w:r>
        <w:rPr>
          <w:spacing w:val="-1"/>
        </w:rPr>
        <w:t>(or</w:t>
      </w:r>
      <w:r>
        <w:rPr>
          <w:spacing w:val="41"/>
        </w:rPr>
        <w:t xml:space="preserve"> </w:t>
      </w:r>
      <w:r>
        <w:rPr>
          <w:spacing w:val="-1"/>
        </w:rPr>
        <w:t>purported</w:t>
      </w:r>
      <w:r>
        <w:rPr>
          <w:spacing w:val="40"/>
        </w:rPr>
        <w:t xml:space="preserve"> </w:t>
      </w:r>
      <w:r>
        <w:rPr>
          <w:spacing w:val="-1"/>
        </w:rPr>
        <w:t>Data</w:t>
      </w:r>
      <w:r>
        <w:rPr>
          <w:spacing w:val="37"/>
        </w:rPr>
        <w:t xml:space="preserve"> </w:t>
      </w:r>
      <w:r>
        <w:rPr>
          <w:spacing w:val="-1"/>
        </w:rPr>
        <w:t>Subject</w:t>
      </w:r>
      <w:r>
        <w:rPr>
          <w:spacing w:val="27"/>
        </w:rPr>
        <w:t xml:space="preserve"> </w:t>
      </w:r>
      <w:r>
        <w:rPr>
          <w:spacing w:val="-1"/>
        </w:rPr>
        <w:t>Access</w:t>
      </w:r>
      <w:r>
        <w:rPr>
          <w:spacing w:val="20"/>
        </w:rPr>
        <w:t xml:space="preserve"> </w:t>
      </w:r>
      <w:r>
        <w:rPr>
          <w:spacing w:val="-1"/>
        </w:rPr>
        <w:t>Request)</w:t>
      </w:r>
      <w:r>
        <w:rPr>
          <w:spacing w:val="21"/>
        </w:rPr>
        <w:t xml:space="preserve"> </w:t>
      </w:r>
      <w:r>
        <w:t>a</w:t>
      </w:r>
      <w:r>
        <w:rPr>
          <w:spacing w:val="20"/>
        </w:rPr>
        <w:t xml:space="preserve"> </w:t>
      </w:r>
      <w:r>
        <w:rPr>
          <w:spacing w:val="-1"/>
        </w:rPr>
        <w:t>request</w:t>
      </w:r>
      <w:r>
        <w:rPr>
          <w:spacing w:val="21"/>
        </w:rPr>
        <w:t xml:space="preserve"> </w:t>
      </w:r>
      <w:r>
        <w:t>to</w:t>
      </w:r>
      <w:r>
        <w:rPr>
          <w:spacing w:val="20"/>
        </w:rPr>
        <w:t xml:space="preserve"> </w:t>
      </w:r>
      <w:r>
        <w:rPr>
          <w:spacing w:val="-1"/>
        </w:rPr>
        <w:t>rectify,</w:t>
      </w:r>
      <w:r>
        <w:rPr>
          <w:spacing w:val="21"/>
        </w:rPr>
        <w:t xml:space="preserve"> </w:t>
      </w:r>
      <w:r>
        <w:rPr>
          <w:spacing w:val="-2"/>
        </w:rPr>
        <w:t>block</w:t>
      </w:r>
      <w:r>
        <w:rPr>
          <w:spacing w:val="22"/>
        </w:rPr>
        <w:t xml:space="preserve"> </w:t>
      </w:r>
      <w:r>
        <w:rPr>
          <w:spacing w:val="-1"/>
        </w:rPr>
        <w:t>or</w:t>
      </w:r>
      <w:r>
        <w:rPr>
          <w:spacing w:val="21"/>
        </w:rPr>
        <w:t xml:space="preserve"> </w:t>
      </w:r>
      <w:r>
        <w:rPr>
          <w:spacing w:val="-1"/>
        </w:rPr>
        <w:t>erase</w:t>
      </w:r>
      <w:r>
        <w:rPr>
          <w:spacing w:val="20"/>
        </w:rPr>
        <w:t xml:space="preserve"> </w:t>
      </w:r>
      <w:r>
        <w:rPr>
          <w:spacing w:val="-1"/>
        </w:rPr>
        <w:t>any</w:t>
      </w:r>
      <w:r>
        <w:rPr>
          <w:spacing w:val="28"/>
        </w:rPr>
        <w:t xml:space="preserve"> </w:t>
      </w:r>
      <w:r>
        <w:rPr>
          <w:spacing w:val="-1"/>
        </w:rPr>
        <w:t>Personal</w:t>
      </w:r>
      <w:r>
        <w:rPr>
          <w:spacing w:val="5"/>
        </w:rPr>
        <w:t xml:space="preserve"> </w:t>
      </w:r>
      <w:r>
        <w:rPr>
          <w:spacing w:val="-1"/>
        </w:rPr>
        <w:t>Data</w:t>
      </w:r>
      <w:r>
        <w:rPr>
          <w:spacing w:val="5"/>
        </w:rPr>
        <w:t xml:space="preserve"> </w:t>
      </w:r>
      <w:r>
        <w:rPr>
          <w:spacing w:val="-1"/>
        </w:rPr>
        <w:t>or</w:t>
      </w:r>
      <w:r>
        <w:rPr>
          <w:spacing w:val="7"/>
        </w:rPr>
        <w:t xml:space="preserve"> </w:t>
      </w:r>
      <w:r>
        <w:rPr>
          <w:spacing w:val="-1"/>
        </w:rPr>
        <w:t>any</w:t>
      </w:r>
      <w:r>
        <w:rPr>
          <w:spacing w:val="6"/>
        </w:rPr>
        <w:t xml:space="preserve"> </w:t>
      </w:r>
      <w:r>
        <w:rPr>
          <w:spacing w:val="-1"/>
        </w:rPr>
        <w:t>other</w:t>
      </w:r>
      <w:r>
        <w:rPr>
          <w:spacing w:val="7"/>
        </w:rPr>
        <w:t xml:space="preserve"> </w:t>
      </w:r>
      <w:r>
        <w:rPr>
          <w:spacing w:val="-1"/>
        </w:rPr>
        <w:t>request,</w:t>
      </w:r>
      <w:r>
        <w:rPr>
          <w:spacing w:val="7"/>
        </w:rPr>
        <w:t xml:space="preserve"> </w:t>
      </w:r>
      <w:r>
        <w:rPr>
          <w:spacing w:val="-2"/>
        </w:rPr>
        <w:t>complaint</w:t>
      </w:r>
      <w:r>
        <w:rPr>
          <w:spacing w:val="7"/>
        </w:rPr>
        <w:t xml:space="preserve"> </w:t>
      </w:r>
      <w:r>
        <w:rPr>
          <w:spacing w:val="-1"/>
        </w:rPr>
        <w:t>or</w:t>
      </w:r>
      <w:r>
        <w:rPr>
          <w:spacing w:val="36"/>
        </w:rPr>
        <w:t xml:space="preserve"> </w:t>
      </w:r>
      <w:r>
        <w:rPr>
          <w:spacing w:val="-1"/>
        </w:rPr>
        <w:t>communication</w:t>
      </w:r>
      <w:r>
        <w:rPr>
          <w:spacing w:val="37"/>
        </w:rPr>
        <w:t xml:space="preserve"> </w:t>
      </w:r>
      <w:r>
        <w:rPr>
          <w:spacing w:val="-1"/>
        </w:rPr>
        <w:t>relating</w:t>
      </w:r>
      <w:r>
        <w:rPr>
          <w:spacing w:val="37"/>
        </w:rPr>
        <w:t xml:space="preserve"> </w:t>
      </w:r>
      <w:r>
        <w:t>to</w:t>
      </w:r>
      <w:r>
        <w:rPr>
          <w:spacing w:val="35"/>
        </w:rPr>
        <w:t xml:space="preserve"> </w:t>
      </w:r>
      <w:r>
        <w:t>the</w:t>
      </w:r>
      <w:r>
        <w:rPr>
          <w:spacing w:val="37"/>
        </w:rPr>
        <w:t xml:space="preserve"> </w:t>
      </w:r>
      <w:r>
        <w:rPr>
          <w:spacing w:val="-1"/>
        </w:rPr>
        <w:t>Customer's</w:t>
      </w:r>
      <w:r>
        <w:rPr>
          <w:spacing w:val="37"/>
        </w:rPr>
        <w:t xml:space="preserve"> </w:t>
      </w:r>
      <w:r>
        <w:rPr>
          <w:spacing w:val="-1"/>
        </w:rPr>
        <w:t>obligations</w:t>
      </w:r>
      <w:r>
        <w:rPr>
          <w:spacing w:val="25"/>
        </w:rPr>
        <w:t xml:space="preserve"> </w:t>
      </w:r>
      <w:r>
        <w:rPr>
          <w:spacing w:val="-1"/>
        </w:rPr>
        <w:t xml:space="preserve">under </w:t>
      </w:r>
      <w:r>
        <w:t xml:space="preserve">the </w:t>
      </w:r>
      <w:r>
        <w:rPr>
          <w:spacing w:val="-1"/>
        </w:rPr>
        <w:t>DPA;</w:t>
      </w:r>
    </w:p>
    <w:p w:rsidR="008918FA" w:rsidRDefault="008918FA" w:rsidP="008918FA">
      <w:pPr>
        <w:pStyle w:val="BodyText"/>
        <w:numPr>
          <w:ilvl w:val="4"/>
          <w:numId w:val="66"/>
        </w:numPr>
        <w:tabs>
          <w:tab w:val="left" w:pos="3163"/>
        </w:tabs>
        <w:ind w:left="3162" w:right="114" w:hanging="568"/>
        <w:jc w:val="both"/>
      </w:pPr>
      <w:r>
        <w:rPr>
          <w:spacing w:val="-1"/>
        </w:rPr>
        <w:t>any</w:t>
      </w:r>
      <w:r>
        <w:rPr>
          <w:spacing w:val="49"/>
        </w:rPr>
        <w:t xml:space="preserve"> </w:t>
      </w:r>
      <w:r>
        <w:rPr>
          <w:spacing w:val="-1"/>
        </w:rPr>
        <w:t>communication</w:t>
      </w:r>
      <w:r>
        <w:rPr>
          <w:spacing w:val="48"/>
        </w:rPr>
        <w:t xml:space="preserve"> </w:t>
      </w:r>
      <w:r>
        <w:rPr>
          <w:spacing w:val="-1"/>
        </w:rPr>
        <w:t>from</w:t>
      </w:r>
      <w:r>
        <w:rPr>
          <w:spacing w:val="52"/>
        </w:rPr>
        <w:t xml:space="preserve"> </w:t>
      </w:r>
      <w:r>
        <w:t>the</w:t>
      </w:r>
      <w:r>
        <w:rPr>
          <w:spacing w:val="48"/>
        </w:rPr>
        <w:t xml:space="preserve"> </w:t>
      </w:r>
      <w:r>
        <w:rPr>
          <w:spacing w:val="-1"/>
        </w:rPr>
        <w:t>Information</w:t>
      </w:r>
      <w:r>
        <w:rPr>
          <w:spacing w:val="51"/>
        </w:rPr>
        <w:t xml:space="preserve"> </w:t>
      </w:r>
      <w:r>
        <w:rPr>
          <w:spacing w:val="-2"/>
        </w:rPr>
        <w:t>Commissioner</w:t>
      </w:r>
      <w:r>
        <w:rPr>
          <w:spacing w:val="40"/>
        </w:rPr>
        <w:t xml:space="preserve"> </w:t>
      </w:r>
      <w:r>
        <w:rPr>
          <w:spacing w:val="-1"/>
        </w:rPr>
        <w:t>or</w:t>
      </w:r>
      <w:r>
        <w:rPr>
          <w:spacing w:val="41"/>
        </w:rPr>
        <w:t xml:space="preserve"> </w:t>
      </w:r>
      <w:r>
        <w:rPr>
          <w:spacing w:val="-1"/>
        </w:rPr>
        <w:t>any</w:t>
      </w:r>
      <w:r>
        <w:rPr>
          <w:spacing w:val="38"/>
        </w:rPr>
        <w:t xml:space="preserve"> </w:t>
      </w:r>
      <w:r>
        <w:rPr>
          <w:spacing w:val="-1"/>
        </w:rPr>
        <w:t>other</w:t>
      </w:r>
      <w:r>
        <w:rPr>
          <w:spacing w:val="41"/>
        </w:rPr>
        <w:t xml:space="preserve"> </w:t>
      </w:r>
      <w:r>
        <w:rPr>
          <w:spacing w:val="-1"/>
        </w:rPr>
        <w:t>regulatory</w:t>
      </w:r>
      <w:r>
        <w:rPr>
          <w:spacing w:val="38"/>
        </w:rPr>
        <w:t xml:space="preserve"> </w:t>
      </w:r>
      <w:r>
        <w:rPr>
          <w:spacing w:val="-1"/>
        </w:rPr>
        <w:t>authority</w:t>
      </w:r>
      <w:r>
        <w:rPr>
          <w:spacing w:val="38"/>
        </w:rPr>
        <w:t xml:space="preserve"> </w:t>
      </w:r>
      <w:r>
        <w:rPr>
          <w:spacing w:val="-1"/>
        </w:rPr>
        <w:t>in</w:t>
      </w:r>
      <w:r>
        <w:rPr>
          <w:spacing w:val="42"/>
        </w:rPr>
        <w:t xml:space="preserve"> </w:t>
      </w:r>
      <w:r>
        <w:rPr>
          <w:spacing w:val="-1"/>
        </w:rPr>
        <w:t>connection</w:t>
      </w:r>
      <w:r>
        <w:rPr>
          <w:spacing w:val="41"/>
        </w:rPr>
        <w:t xml:space="preserve"> </w:t>
      </w:r>
      <w:r>
        <w:rPr>
          <w:spacing w:val="-1"/>
        </w:rPr>
        <w:t>with</w:t>
      </w:r>
      <w:r>
        <w:rPr>
          <w:spacing w:val="33"/>
        </w:rPr>
        <w:t xml:space="preserve"> </w:t>
      </w:r>
      <w:r>
        <w:rPr>
          <w:spacing w:val="-1"/>
        </w:rPr>
        <w:t>Personal</w:t>
      </w:r>
      <w:r>
        <w:t xml:space="preserve"> </w:t>
      </w:r>
      <w:r>
        <w:rPr>
          <w:spacing w:val="-1"/>
        </w:rPr>
        <w:t>Data;</w:t>
      </w:r>
      <w:r>
        <w:rPr>
          <w:spacing w:val="2"/>
        </w:rPr>
        <w:t xml:space="preserve"> </w:t>
      </w:r>
      <w:r>
        <w:rPr>
          <w:spacing w:val="-2"/>
        </w:rPr>
        <w:t>or</w:t>
      </w:r>
    </w:p>
    <w:p w:rsidR="008918FA" w:rsidRDefault="008918FA" w:rsidP="008918FA">
      <w:pPr>
        <w:pStyle w:val="BodyText"/>
        <w:numPr>
          <w:ilvl w:val="4"/>
          <w:numId w:val="66"/>
        </w:numPr>
        <w:tabs>
          <w:tab w:val="left" w:pos="3163"/>
        </w:tabs>
        <w:ind w:left="3162" w:right="113" w:hanging="568"/>
        <w:jc w:val="both"/>
      </w:pPr>
      <w:r>
        <w:t>a</w:t>
      </w:r>
      <w:r>
        <w:rPr>
          <w:spacing w:val="24"/>
        </w:rPr>
        <w:t xml:space="preserve"> </w:t>
      </w:r>
      <w:r>
        <w:rPr>
          <w:spacing w:val="-1"/>
        </w:rPr>
        <w:t>request</w:t>
      </w:r>
      <w:r>
        <w:rPr>
          <w:spacing w:val="24"/>
        </w:rPr>
        <w:t xml:space="preserve"> </w:t>
      </w:r>
      <w:r>
        <w:rPr>
          <w:spacing w:val="-1"/>
        </w:rPr>
        <w:t>from</w:t>
      </w:r>
      <w:r>
        <w:rPr>
          <w:spacing w:val="26"/>
        </w:rPr>
        <w:t xml:space="preserve"> </w:t>
      </w:r>
      <w:r>
        <w:rPr>
          <w:spacing w:val="-1"/>
        </w:rPr>
        <w:t>any</w:t>
      </w:r>
      <w:r>
        <w:rPr>
          <w:spacing w:val="22"/>
        </w:rPr>
        <w:t xml:space="preserve"> </w:t>
      </w:r>
      <w:r>
        <w:rPr>
          <w:spacing w:val="-1"/>
        </w:rPr>
        <w:t>third</w:t>
      </w:r>
      <w:r>
        <w:rPr>
          <w:spacing w:val="24"/>
        </w:rPr>
        <w:t xml:space="preserve"> </w:t>
      </w:r>
      <w:r>
        <w:rPr>
          <w:spacing w:val="-1"/>
        </w:rPr>
        <w:t>party</w:t>
      </w:r>
      <w:r>
        <w:rPr>
          <w:spacing w:val="22"/>
        </w:rPr>
        <w:t xml:space="preserve"> </w:t>
      </w:r>
      <w:r>
        <w:t>for</w:t>
      </w:r>
      <w:r>
        <w:rPr>
          <w:spacing w:val="26"/>
        </w:rPr>
        <w:t xml:space="preserve"> </w:t>
      </w:r>
      <w:r>
        <w:rPr>
          <w:spacing w:val="-1"/>
        </w:rPr>
        <w:t>disclosure</w:t>
      </w:r>
      <w:r>
        <w:rPr>
          <w:spacing w:val="24"/>
        </w:rPr>
        <w:t xml:space="preserve"> </w:t>
      </w:r>
      <w:r>
        <w:rPr>
          <w:spacing w:val="-2"/>
        </w:rPr>
        <w:t>of</w:t>
      </w:r>
      <w:r>
        <w:rPr>
          <w:spacing w:val="26"/>
        </w:rPr>
        <w:t xml:space="preserve"> </w:t>
      </w:r>
      <w:r>
        <w:rPr>
          <w:spacing w:val="-1"/>
        </w:rPr>
        <w:t>Personal</w:t>
      </w:r>
      <w:r>
        <w:rPr>
          <w:spacing w:val="36"/>
        </w:rPr>
        <w:t xml:space="preserve"> </w:t>
      </w:r>
      <w:r>
        <w:rPr>
          <w:spacing w:val="-1"/>
        </w:rPr>
        <w:t>Data</w:t>
      </w:r>
      <w:r>
        <w:rPr>
          <w:spacing w:val="27"/>
        </w:rPr>
        <w:t xml:space="preserve"> </w:t>
      </w:r>
      <w:r>
        <w:rPr>
          <w:spacing w:val="-2"/>
        </w:rPr>
        <w:t>where</w:t>
      </w:r>
      <w:r>
        <w:rPr>
          <w:spacing w:val="27"/>
        </w:rPr>
        <w:t xml:space="preserve"> </w:t>
      </w:r>
      <w:r>
        <w:rPr>
          <w:spacing w:val="-1"/>
        </w:rPr>
        <w:t>compliance</w:t>
      </w:r>
      <w:r>
        <w:rPr>
          <w:spacing w:val="32"/>
        </w:rPr>
        <w:t xml:space="preserve"> </w:t>
      </w:r>
      <w:r>
        <w:rPr>
          <w:spacing w:val="-1"/>
        </w:rPr>
        <w:t>with</w:t>
      </w:r>
      <w:r>
        <w:rPr>
          <w:spacing w:val="27"/>
        </w:rPr>
        <w:t xml:space="preserve"> </w:t>
      </w:r>
      <w:r>
        <w:rPr>
          <w:spacing w:val="-1"/>
        </w:rPr>
        <w:t>such</w:t>
      </w:r>
      <w:r>
        <w:rPr>
          <w:spacing w:val="27"/>
        </w:rPr>
        <w:t xml:space="preserve"> </w:t>
      </w:r>
      <w:r>
        <w:rPr>
          <w:spacing w:val="-1"/>
        </w:rPr>
        <w:t>request</w:t>
      </w:r>
      <w:r>
        <w:rPr>
          <w:spacing w:val="28"/>
        </w:rPr>
        <w:t xml:space="preserve"> </w:t>
      </w:r>
      <w:r>
        <w:rPr>
          <w:spacing w:val="-1"/>
        </w:rPr>
        <w:t>is</w:t>
      </w:r>
      <w:r>
        <w:rPr>
          <w:spacing w:val="27"/>
        </w:rPr>
        <w:t xml:space="preserve"> </w:t>
      </w:r>
      <w:r>
        <w:rPr>
          <w:spacing w:val="-1"/>
        </w:rPr>
        <w:t>required</w:t>
      </w:r>
      <w:r>
        <w:rPr>
          <w:spacing w:val="27"/>
        </w:rPr>
        <w:t xml:space="preserve"> </w:t>
      </w:r>
      <w:r>
        <w:rPr>
          <w:spacing w:val="-1"/>
        </w:rPr>
        <w:t>or</w:t>
      </w:r>
      <w:r>
        <w:rPr>
          <w:spacing w:val="30"/>
        </w:rPr>
        <w:t xml:space="preserve"> </w:t>
      </w:r>
      <w:r>
        <w:rPr>
          <w:spacing w:val="-1"/>
        </w:rPr>
        <w:t>purported</w:t>
      </w:r>
      <w:r>
        <w:rPr>
          <w:spacing w:val="-2"/>
        </w:rPr>
        <w:t xml:space="preserve"> </w:t>
      </w:r>
      <w:r>
        <w:t xml:space="preserve">to </w:t>
      </w:r>
      <w:r>
        <w:rPr>
          <w:spacing w:val="-1"/>
        </w:rPr>
        <w:t>be</w:t>
      </w:r>
      <w:r>
        <w:rPr>
          <w:spacing w:val="-2"/>
        </w:rPr>
        <w:t xml:space="preserve"> </w:t>
      </w:r>
      <w:r>
        <w:rPr>
          <w:spacing w:val="-1"/>
        </w:rPr>
        <w:t>required</w:t>
      </w:r>
      <w:r>
        <w:rPr>
          <w:spacing w:val="-4"/>
        </w:rPr>
        <w:t xml:space="preserve"> </w:t>
      </w:r>
      <w:r>
        <w:rPr>
          <w:spacing w:val="-1"/>
        </w:rPr>
        <w:t>by</w:t>
      </w:r>
      <w:r>
        <w:rPr>
          <w:spacing w:val="-2"/>
        </w:rPr>
        <w:t xml:space="preserve"> Law;</w:t>
      </w:r>
    </w:p>
    <w:p w:rsidR="008918FA" w:rsidRDefault="008918FA" w:rsidP="008918FA">
      <w:pPr>
        <w:pStyle w:val="BodyText"/>
        <w:numPr>
          <w:ilvl w:val="3"/>
          <w:numId w:val="66"/>
        </w:numPr>
        <w:tabs>
          <w:tab w:val="left" w:pos="2595"/>
        </w:tabs>
        <w:spacing w:before="121"/>
        <w:ind w:left="2594" w:right="113"/>
        <w:jc w:val="both"/>
      </w:pPr>
      <w:r>
        <w:rPr>
          <w:spacing w:val="-2"/>
        </w:rPr>
        <w:t>provide</w:t>
      </w:r>
      <w:r>
        <w:rPr>
          <w:spacing w:val="21"/>
        </w:rPr>
        <w:t xml:space="preserve"> </w:t>
      </w:r>
      <w:r>
        <w:t>the</w:t>
      </w:r>
      <w:r>
        <w:rPr>
          <w:spacing w:val="21"/>
        </w:rPr>
        <w:t xml:space="preserve"> </w:t>
      </w:r>
      <w:r>
        <w:rPr>
          <w:spacing w:val="-1"/>
        </w:rPr>
        <w:t>Customer</w:t>
      </w:r>
      <w:r>
        <w:rPr>
          <w:spacing w:val="20"/>
        </w:rPr>
        <w:t xml:space="preserve"> </w:t>
      </w:r>
      <w:r>
        <w:rPr>
          <w:spacing w:val="-1"/>
        </w:rPr>
        <w:t>with</w:t>
      </w:r>
      <w:r>
        <w:rPr>
          <w:spacing w:val="18"/>
        </w:rPr>
        <w:t xml:space="preserve"> </w:t>
      </w:r>
      <w:r>
        <w:t>full</w:t>
      </w:r>
      <w:r>
        <w:rPr>
          <w:spacing w:val="20"/>
        </w:rPr>
        <w:t xml:space="preserve"> </w:t>
      </w:r>
      <w:r>
        <w:rPr>
          <w:spacing w:val="-1"/>
        </w:rPr>
        <w:t>cooperation</w:t>
      </w:r>
      <w:r>
        <w:rPr>
          <w:spacing w:val="21"/>
        </w:rPr>
        <w:t xml:space="preserve"> </w:t>
      </w:r>
      <w:r>
        <w:rPr>
          <w:spacing w:val="-2"/>
        </w:rPr>
        <w:t>and</w:t>
      </w:r>
      <w:r>
        <w:rPr>
          <w:spacing w:val="21"/>
        </w:rPr>
        <w:t xml:space="preserve"> </w:t>
      </w:r>
      <w:r>
        <w:rPr>
          <w:spacing w:val="-1"/>
        </w:rPr>
        <w:t>assistance</w:t>
      </w:r>
      <w:r>
        <w:rPr>
          <w:spacing w:val="32"/>
        </w:rPr>
        <w:t xml:space="preserve"> </w:t>
      </w:r>
      <w:r>
        <w:rPr>
          <w:spacing w:val="-2"/>
        </w:rPr>
        <w:t>(within</w:t>
      </w:r>
      <w:r>
        <w:rPr>
          <w:spacing w:val="15"/>
        </w:rPr>
        <w:t xml:space="preserve"> </w:t>
      </w:r>
      <w:r>
        <w:t>the</w:t>
      </w:r>
      <w:r>
        <w:rPr>
          <w:spacing w:val="15"/>
        </w:rPr>
        <w:t xml:space="preserve"> </w:t>
      </w:r>
      <w:r>
        <w:rPr>
          <w:spacing w:val="-1"/>
        </w:rPr>
        <w:t>timescales</w:t>
      </w:r>
      <w:r>
        <w:rPr>
          <w:spacing w:val="15"/>
        </w:rPr>
        <w:t xml:space="preserve"> </w:t>
      </w:r>
      <w:r>
        <w:rPr>
          <w:spacing w:val="-1"/>
        </w:rPr>
        <w:t>reasonably</w:t>
      </w:r>
      <w:r>
        <w:rPr>
          <w:spacing w:val="13"/>
        </w:rPr>
        <w:t xml:space="preserve"> </w:t>
      </w:r>
      <w:r>
        <w:rPr>
          <w:spacing w:val="-1"/>
        </w:rPr>
        <w:t>required</w:t>
      </w:r>
      <w:r>
        <w:rPr>
          <w:spacing w:val="15"/>
        </w:rPr>
        <w:t xml:space="preserve"> </w:t>
      </w:r>
      <w:r>
        <w:rPr>
          <w:spacing w:val="-1"/>
        </w:rPr>
        <w:t>by</w:t>
      </w:r>
      <w:r>
        <w:rPr>
          <w:spacing w:val="13"/>
        </w:rPr>
        <w:t xml:space="preserve"> </w:t>
      </w:r>
      <w:r>
        <w:t>the</w:t>
      </w:r>
      <w:r>
        <w:rPr>
          <w:spacing w:val="15"/>
        </w:rPr>
        <w:t xml:space="preserve"> </w:t>
      </w:r>
      <w:r>
        <w:rPr>
          <w:spacing w:val="-1"/>
        </w:rPr>
        <w:t>Customer)</w:t>
      </w:r>
      <w:r>
        <w:rPr>
          <w:spacing w:val="16"/>
        </w:rPr>
        <w:t xml:space="preserve"> </w:t>
      </w:r>
      <w:r>
        <w:rPr>
          <w:spacing w:val="-1"/>
        </w:rPr>
        <w:t>in</w:t>
      </w:r>
      <w:r>
        <w:rPr>
          <w:spacing w:val="35"/>
        </w:rPr>
        <w:t xml:space="preserve"> </w:t>
      </w:r>
      <w:r>
        <w:rPr>
          <w:spacing w:val="-1"/>
        </w:rPr>
        <w:t>relation</w:t>
      </w:r>
      <w:r>
        <w:rPr>
          <w:spacing w:val="24"/>
        </w:rPr>
        <w:t xml:space="preserve"> </w:t>
      </w:r>
      <w:r>
        <w:t>to</w:t>
      </w:r>
      <w:r>
        <w:rPr>
          <w:spacing w:val="24"/>
        </w:rPr>
        <w:t xml:space="preserve"> </w:t>
      </w:r>
      <w:r>
        <w:rPr>
          <w:spacing w:val="-1"/>
        </w:rPr>
        <w:t>any</w:t>
      </w:r>
      <w:r>
        <w:rPr>
          <w:spacing w:val="22"/>
        </w:rPr>
        <w:t xml:space="preserve"> </w:t>
      </w:r>
      <w:r>
        <w:rPr>
          <w:spacing w:val="-1"/>
        </w:rPr>
        <w:t>complaint,</w:t>
      </w:r>
      <w:r>
        <w:rPr>
          <w:spacing w:val="26"/>
        </w:rPr>
        <w:t xml:space="preserve"> </w:t>
      </w:r>
      <w:r>
        <w:rPr>
          <w:spacing w:val="-1"/>
        </w:rPr>
        <w:t>communication</w:t>
      </w:r>
      <w:r>
        <w:rPr>
          <w:spacing w:val="24"/>
        </w:rPr>
        <w:t xml:space="preserve"> </w:t>
      </w:r>
      <w:r>
        <w:rPr>
          <w:spacing w:val="-1"/>
        </w:rPr>
        <w:t>or</w:t>
      </w:r>
      <w:r>
        <w:rPr>
          <w:spacing w:val="23"/>
        </w:rPr>
        <w:t xml:space="preserve"> </w:t>
      </w:r>
      <w:r>
        <w:rPr>
          <w:spacing w:val="-1"/>
        </w:rPr>
        <w:t>request</w:t>
      </w:r>
      <w:r>
        <w:rPr>
          <w:spacing w:val="24"/>
        </w:rPr>
        <w:t xml:space="preserve"> </w:t>
      </w:r>
      <w:r>
        <w:rPr>
          <w:spacing w:val="-1"/>
        </w:rPr>
        <w:t>made</w:t>
      </w:r>
      <w:r>
        <w:rPr>
          <w:spacing w:val="24"/>
        </w:rPr>
        <w:t xml:space="preserve"> </w:t>
      </w:r>
      <w:r>
        <w:rPr>
          <w:spacing w:val="-1"/>
        </w:rPr>
        <w:t>(as</w:t>
      </w:r>
      <w:r>
        <w:rPr>
          <w:spacing w:val="29"/>
        </w:rPr>
        <w:t xml:space="preserve"> </w:t>
      </w:r>
      <w:r>
        <w:rPr>
          <w:spacing w:val="-1"/>
        </w:rPr>
        <w:t>referred</w:t>
      </w:r>
      <w:r>
        <w:rPr>
          <w:spacing w:val="20"/>
        </w:rPr>
        <w:t xml:space="preserve"> </w:t>
      </w:r>
      <w:r>
        <w:t>to</w:t>
      </w:r>
      <w:r>
        <w:rPr>
          <w:spacing w:val="20"/>
        </w:rPr>
        <w:t xml:space="preserve"> </w:t>
      </w:r>
      <w:r>
        <w:rPr>
          <w:spacing w:val="-1"/>
        </w:rPr>
        <w:t>at</w:t>
      </w:r>
      <w:r>
        <w:rPr>
          <w:spacing w:val="21"/>
        </w:rPr>
        <w:t xml:space="preserve"> </w:t>
      </w:r>
      <w:r>
        <w:rPr>
          <w:spacing w:val="-2"/>
        </w:rPr>
        <w:t>Clause</w:t>
      </w:r>
      <w:r>
        <w:rPr>
          <w:spacing w:val="19"/>
        </w:rPr>
        <w:t xml:space="preserve"> </w:t>
      </w:r>
      <w:hyperlink w:anchor="_bookmark194" w:history="1">
        <w:r>
          <w:rPr>
            <w:spacing w:val="-1"/>
          </w:rPr>
          <w:t>34.6.2(e)</w:t>
        </w:r>
      </w:hyperlink>
      <w:r>
        <w:rPr>
          <w:spacing w:val="-1"/>
        </w:rPr>
        <w:t>),</w:t>
      </w:r>
      <w:r>
        <w:rPr>
          <w:spacing w:val="21"/>
        </w:rPr>
        <w:t xml:space="preserve"> </w:t>
      </w:r>
      <w:r>
        <w:rPr>
          <w:spacing w:val="-2"/>
        </w:rPr>
        <w:t>including</w:t>
      </w:r>
      <w:r>
        <w:rPr>
          <w:spacing w:val="20"/>
        </w:rPr>
        <w:t xml:space="preserve"> </w:t>
      </w:r>
      <w:r>
        <w:rPr>
          <w:spacing w:val="-1"/>
        </w:rPr>
        <w:t>by</w:t>
      </w:r>
      <w:r>
        <w:rPr>
          <w:spacing w:val="20"/>
        </w:rPr>
        <w:t xml:space="preserve"> </w:t>
      </w:r>
      <w:r>
        <w:rPr>
          <w:spacing w:val="-1"/>
        </w:rPr>
        <w:t>promptly</w:t>
      </w:r>
      <w:r>
        <w:rPr>
          <w:spacing w:val="59"/>
        </w:rPr>
        <w:t xml:space="preserve"> </w:t>
      </w:r>
      <w:r>
        <w:rPr>
          <w:spacing w:val="-1"/>
        </w:rPr>
        <w:t>providing:</w:t>
      </w:r>
    </w:p>
    <w:p w:rsidR="008918FA" w:rsidRDefault="008918FA" w:rsidP="008918FA">
      <w:pPr>
        <w:pStyle w:val="BodyText"/>
        <w:numPr>
          <w:ilvl w:val="4"/>
          <w:numId w:val="66"/>
        </w:numPr>
        <w:tabs>
          <w:tab w:val="left" w:pos="3163"/>
        </w:tabs>
        <w:spacing w:before="121"/>
        <w:ind w:left="3162" w:right="115" w:hanging="568"/>
        <w:jc w:val="both"/>
      </w:pPr>
      <w:r>
        <w:t>the</w:t>
      </w:r>
      <w:r>
        <w:rPr>
          <w:spacing w:val="3"/>
        </w:rPr>
        <w:t xml:space="preserve"> </w:t>
      </w:r>
      <w:r>
        <w:rPr>
          <w:spacing w:val="-1"/>
        </w:rPr>
        <w:t>Customer</w:t>
      </w:r>
      <w:r>
        <w:rPr>
          <w:spacing w:val="4"/>
        </w:rPr>
        <w:t xml:space="preserve"> </w:t>
      </w:r>
      <w:r>
        <w:rPr>
          <w:spacing w:val="-2"/>
        </w:rPr>
        <w:t>with</w:t>
      </w:r>
      <w:r>
        <w:rPr>
          <w:spacing w:val="3"/>
        </w:rPr>
        <w:t xml:space="preserve"> </w:t>
      </w:r>
      <w:r>
        <w:t>full</w:t>
      </w:r>
      <w:r>
        <w:rPr>
          <w:spacing w:val="2"/>
        </w:rPr>
        <w:t xml:space="preserve"> </w:t>
      </w:r>
      <w:r>
        <w:rPr>
          <w:spacing w:val="-2"/>
        </w:rPr>
        <w:t>details</w:t>
      </w:r>
      <w:r>
        <w:rPr>
          <w:spacing w:val="3"/>
        </w:rPr>
        <w:t xml:space="preserve"> </w:t>
      </w:r>
      <w:r>
        <w:rPr>
          <w:spacing w:val="-1"/>
        </w:rPr>
        <w:t>and</w:t>
      </w:r>
      <w:r>
        <w:rPr>
          <w:spacing w:val="3"/>
        </w:rPr>
        <w:t xml:space="preserve"> </w:t>
      </w:r>
      <w:r>
        <w:rPr>
          <w:spacing w:val="-1"/>
        </w:rPr>
        <w:t>copies</w:t>
      </w:r>
      <w:r>
        <w:rPr>
          <w:spacing w:val="3"/>
        </w:rPr>
        <w:t xml:space="preserve"> </w:t>
      </w:r>
      <w:r>
        <w:rPr>
          <w:spacing w:val="-1"/>
        </w:rPr>
        <w:t>of</w:t>
      </w:r>
      <w:r>
        <w:rPr>
          <w:spacing w:val="4"/>
        </w:rPr>
        <w:t xml:space="preserve"> </w:t>
      </w:r>
      <w:r>
        <w:t>the</w:t>
      </w:r>
      <w:r>
        <w:rPr>
          <w:spacing w:val="3"/>
        </w:rPr>
        <w:t xml:space="preserve"> </w:t>
      </w:r>
      <w:r>
        <w:rPr>
          <w:spacing w:val="-1"/>
        </w:rPr>
        <w:t>complaint,</w:t>
      </w:r>
      <w:r>
        <w:rPr>
          <w:spacing w:val="27"/>
        </w:rPr>
        <w:t xml:space="preserve"> </w:t>
      </w:r>
      <w:r>
        <w:rPr>
          <w:spacing w:val="-1"/>
        </w:rPr>
        <w:t>communication</w:t>
      </w:r>
      <w:r>
        <w:t xml:space="preserve"> </w:t>
      </w:r>
      <w:r>
        <w:rPr>
          <w:spacing w:val="-2"/>
        </w:rPr>
        <w:t>or</w:t>
      </w:r>
      <w:r>
        <w:rPr>
          <w:spacing w:val="-1"/>
        </w:rPr>
        <w:t xml:space="preserve"> request;</w:t>
      </w:r>
    </w:p>
    <w:p w:rsidR="008918FA" w:rsidRDefault="008918FA" w:rsidP="008918FA">
      <w:pPr>
        <w:pStyle w:val="BodyText"/>
        <w:numPr>
          <w:ilvl w:val="4"/>
          <w:numId w:val="66"/>
        </w:numPr>
        <w:tabs>
          <w:tab w:val="left" w:pos="3163"/>
        </w:tabs>
        <w:ind w:left="3162" w:right="112" w:hanging="568"/>
        <w:jc w:val="both"/>
      </w:pPr>
      <w:r>
        <w:rPr>
          <w:spacing w:val="-2"/>
        </w:rPr>
        <w:t>where</w:t>
      </w:r>
      <w:r>
        <w:rPr>
          <w:spacing w:val="47"/>
        </w:rPr>
        <w:t xml:space="preserve"> </w:t>
      </w:r>
      <w:r>
        <w:rPr>
          <w:spacing w:val="-1"/>
        </w:rPr>
        <w:t>applicable,</w:t>
      </w:r>
      <w:r>
        <w:rPr>
          <w:spacing w:val="49"/>
        </w:rPr>
        <w:t xml:space="preserve"> </w:t>
      </w:r>
      <w:r>
        <w:rPr>
          <w:spacing w:val="-1"/>
        </w:rPr>
        <w:t>such</w:t>
      </w:r>
      <w:r>
        <w:rPr>
          <w:spacing w:val="47"/>
        </w:rPr>
        <w:t xml:space="preserve"> </w:t>
      </w:r>
      <w:r>
        <w:rPr>
          <w:spacing w:val="-1"/>
        </w:rPr>
        <w:t>assistance</w:t>
      </w:r>
      <w:r>
        <w:rPr>
          <w:spacing w:val="47"/>
        </w:rPr>
        <w:t xml:space="preserve"> </w:t>
      </w:r>
      <w:r>
        <w:rPr>
          <w:spacing w:val="-1"/>
        </w:rPr>
        <w:t>as</w:t>
      </w:r>
      <w:r>
        <w:rPr>
          <w:spacing w:val="47"/>
        </w:rPr>
        <w:t xml:space="preserve"> </w:t>
      </w:r>
      <w:r>
        <w:rPr>
          <w:spacing w:val="-1"/>
        </w:rPr>
        <w:t>is</w:t>
      </w:r>
      <w:r>
        <w:rPr>
          <w:spacing w:val="47"/>
        </w:rPr>
        <w:t xml:space="preserve"> </w:t>
      </w:r>
      <w:r>
        <w:rPr>
          <w:spacing w:val="-1"/>
        </w:rPr>
        <w:t>reasonably</w:t>
      </w:r>
      <w:r>
        <w:rPr>
          <w:spacing w:val="27"/>
        </w:rPr>
        <w:t xml:space="preserve"> </w:t>
      </w:r>
      <w:r>
        <w:rPr>
          <w:spacing w:val="-1"/>
        </w:rPr>
        <w:t>requested</w:t>
      </w:r>
      <w:r>
        <w:rPr>
          <w:spacing w:val="48"/>
        </w:rPr>
        <w:t xml:space="preserve"> </w:t>
      </w:r>
      <w:r>
        <w:rPr>
          <w:spacing w:val="-1"/>
        </w:rPr>
        <w:t>by</w:t>
      </w:r>
      <w:r>
        <w:rPr>
          <w:spacing w:val="46"/>
        </w:rPr>
        <w:t xml:space="preserve"> </w:t>
      </w:r>
      <w:r>
        <w:t>the</w:t>
      </w:r>
      <w:r>
        <w:rPr>
          <w:spacing w:val="48"/>
        </w:rPr>
        <w:t xml:space="preserve"> </w:t>
      </w:r>
      <w:r>
        <w:rPr>
          <w:spacing w:val="-1"/>
        </w:rPr>
        <w:t>Customer</w:t>
      </w:r>
      <w:r>
        <w:rPr>
          <w:spacing w:val="49"/>
        </w:rPr>
        <w:t xml:space="preserve"> </w:t>
      </w:r>
      <w:r>
        <w:t>to</w:t>
      </w:r>
      <w:r>
        <w:rPr>
          <w:spacing w:val="48"/>
        </w:rPr>
        <w:t xml:space="preserve"> </w:t>
      </w:r>
      <w:r>
        <w:rPr>
          <w:spacing w:val="-1"/>
        </w:rPr>
        <w:t>enable</w:t>
      </w:r>
      <w:r>
        <w:rPr>
          <w:spacing w:val="48"/>
        </w:rPr>
        <w:t xml:space="preserve"> </w:t>
      </w:r>
      <w:r>
        <w:t>the</w:t>
      </w:r>
      <w:r>
        <w:rPr>
          <w:spacing w:val="49"/>
        </w:rPr>
        <w:t xml:space="preserve"> </w:t>
      </w:r>
      <w:r>
        <w:rPr>
          <w:spacing w:val="-1"/>
        </w:rPr>
        <w:t>Customer</w:t>
      </w:r>
      <w:r>
        <w:rPr>
          <w:spacing w:val="49"/>
        </w:rPr>
        <w:t xml:space="preserve"> </w:t>
      </w:r>
      <w:r>
        <w:rPr>
          <w:spacing w:val="-1"/>
        </w:rPr>
        <w:t>to</w:t>
      </w:r>
      <w:r>
        <w:rPr>
          <w:spacing w:val="23"/>
        </w:rPr>
        <w:t xml:space="preserve"> </w:t>
      </w:r>
      <w:r>
        <w:rPr>
          <w:spacing w:val="-1"/>
        </w:rPr>
        <w:t>comply</w:t>
      </w:r>
      <w:r>
        <w:rPr>
          <w:spacing w:val="20"/>
        </w:rPr>
        <w:t xml:space="preserve"> </w:t>
      </w:r>
      <w:r>
        <w:rPr>
          <w:spacing w:val="-2"/>
        </w:rPr>
        <w:t>with</w:t>
      </w:r>
      <w:r>
        <w:rPr>
          <w:spacing w:val="20"/>
        </w:rPr>
        <w:t xml:space="preserve"> </w:t>
      </w:r>
      <w:r>
        <w:t>the</w:t>
      </w:r>
      <w:r>
        <w:rPr>
          <w:spacing w:val="19"/>
        </w:rPr>
        <w:t xml:space="preserve"> </w:t>
      </w:r>
      <w:r>
        <w:rPr>
          <w:spacing w:val="-1"/>
        </w:rPr>
        <w:t>Data</w:t>
      </w:r>
      <w:r>
        <w:rPr>
          <w:spacing w:val="20"/>
        </w:rPr>
        <w:t xml:space="preserve"> </w:t>
      </w:r>
      <w:r>
        <w:rPr>
          <w:spacing w:val="-1"/>
        </w:rPr>
        <w:t>Subject</w:t>
      </w:r>
      <w:r>
        <w:rPr>
          <w:spacing w:val="22"/>
        </w:rPr>
        <w:t xml:space="preserve"> </w:t>
      </w:r>
      <w:r>
        <w:rPr>
          <w:spacing w:val="-1"/>
        </w:rPr>
        <w:t>Access</w:t>
      </w:r>
      <w:r>
        <w:rPr>
          <w:spacing w:val="20"/>
        </w:rPr>
        <w:t xml:space="preserve"> </w:t>
      </w:r>
      <w:r>
        <w:rPr>
          <w:spacing w:val="-1"/>
        </w:rPr>
        <w:t>Request</w:t>
      </w:r>
      <w:r>
        <w:rPr>
          <w:spacing w:val="19"/>
        </w:rPr>
        <w:t xml:space="preserve"> </w:t>
      </w:r>
      <w:r>
        <w:rPr>
          <w:spacing w:val="-1"/>
        </w:rPr>
        <w:t>within</w:t>
      </w:r>
      <w:r>
        <w:rPr>
          <w:spacing w:val="20"/>
        </w:rPr>
        <w:t xml:space="preserve"> </w:t>
      </w:r>
      <w:r>
        <w:rPr>
          <w:spacing w:val="-1"/>
        </w:rPr>
        <w:t>the</w:t>
      </w:r>
      <w:r>
        <w:rPr>
          <w:spacing w:val="30"/>
        </w:rPr>
        <w:t xml:space="preserve"> </w:t>
      </w:r>
      <w:r>
        <w:rPr>
          <w:spacing w:val="-2"/>
        </w:rPr>
        <w:t>relevant</w:t>
      </w:r>
      <w:r>
        <w:rPr>
          <w:spacing w:val="2"/>
        </w:rPr>
        <w:t xml:space="preserve"> </w:t>
      </w:r>
      <w:r>
        <w:rPr>
          <w:spacing w:val="-1"/>
        </w:rPr>
        <w:t>timescales</w:t>
      </w:r>
      <w:r>
        <w:rPr>
          <w:spacing w:val="1"/>
        </w:rPr>
        <w:t xml:space="preserve"> </w:t>
      </w:r>
      <w:r>
        <w:rPr>
          <w:spacing w:val="-2"/>
        </w:rPr>
        <w:t>set</w:t>
      </w:r>
      <w:r>
        <w:rPr>
          <w:spacing w:val="2"/>
        </w:rPr>
        <w:t xml:space="preserve"> </w:t>
      </w:r>
      <w:r>
        <w:rPr>
          <w:spacing w:val="-2"/>
        </w:rPr>
        <w:t>out</w:t>
      </w:r>
      <w:r>
        <w:rPr>
          <w:spacing w:val="2"/>
        </w:rPr>
        <w:t xml:space="preserve"> </w:t>
      </w:r>
      <w:r>
        <w:rPr>
          <w:spacing w:val="-1"/>
        </w:rPr>
        <w:t>in</w:t>
      </w:r>
      <w:r>
        <w:rPr>
          <w:spacing w:val="-2"/>
        </w:rPr>
        <w:t xml:space="preserve"> </w:t>
      </w:r>
      <w:r>
        <w:t>the</w:t>
      </w:r>
      <w:r>
        <w:rPr>
          <w:spacing w:val="1"/>
        </w:rPr>
        <w:t xml:space="preserve"> </w:t>
      </w:r>
      <w:r>
        <w:rPr>
          <w:spacing w:val="-1"/>
        </w:rPr>
        <w:t>DPA;</w:t>
      </w:r>
      <w:r>
        <w:t xml:space="preserve"> </w:t>
      </w:r>
      <w:r>
        <w:rPr>
          <w:spacing w:val="-1"/>
        </w:rPr>
        <w:t>and</w:t>
      </w:r>
    </w:p>
    <w:p w:rsidR="008918FA" w:rsidRDefault="008918FA" w:rsidP="008918FA">
      <w:pPr>
        <w:pStyle w:val="BodyText"/>
        <w:numPr>
          <w:ilvl w:val="4"/>
          <w:numId w:val="66"/>
        </w:numPr>
        <w:tabs>
          <w:tab w:val="left" w:pos="3163"/>
        </w:tabs>
        <w:ind w:left="3162" w:right="113" w:hanging="568"/>
        <w:jc w:val="both"/>
      </w:pPr>
      <w:r>
        <w:t>the</w:t>
      </w:r>
      <w:r>
        <w:rPr>
          <w:spacing w:val="9"/>
        </w:rPr>
        <w:t xml:space="preserve"> </w:t>
      </w:r>
      <w:r>
        <w:rPr>
          <w:spacing w:val="-1"/>
        </w:rPr>
        <w:t>Customer,</w:t>
      </w:r>
      <w:r>
        <w:rPr>
          <w:spacing w:val="10"/>
        </w:rPr>
        <w:t xml:space="preserve"> </w:t>
      </w:r>
      <w:r>
        <w:rPr>
          <w:spacing w:val="-1"/>
        </w:rPr>
        <w:t>on</w:t>
      </w:r>
      <w:r>
        <w:rPr>
          <w:spacing w:val="6"/>
        </w:rPr>
        <w:t xml:space="preserve"> </w:t>
      </w:r>
      <w:r>
        <w:rPr>
          <w:spacing w:val="-1"/>
        </w:rPr>
        <w:t>request</w:t>
      </w:r>
      <w:r>
        <w:rPr>
          <w:spacing w:val="11"/>
        </w:rPr>
        <w:t xml:space="preserve"> </w:t>
      </w:r>
      <w:r>
        <w:rPr>
          <w:spacing w:val="-1"/>
        </w:rPr>
        <w:t>by</w:t>
      </w:r>
      <w:r>
        <w:rPr>
          <w:spacing w:val="7"/>
        </w:rPr>
        <w:t xml:space="preserve"> </w:t>
      </w:r>
      <w:r>
        <w:t>the</w:t>
      </w:r>
      <w:r>
        <w:rPr>
          <w:spacing w:val="9"/>
        </w:rPr>
        <w:t xml:space="preserve"> </w:t>
      </w:r>
      <w:r>
        <w:rPr>
          <w:spacing w:val="-2"/>
        </w:rPr>
        <w:t>Customer,</w:t>
      </w:r>
      <w:r>
        <w:rPr>
          <w:spacing w:val="8"/>
        </w:rPr>
        <w:t xml:space="preserve"> </w:t>
      </w:r>
      <w:r>
        <w:rPr>
          <w:spacing w:val="-1"/>
        </w:rPr>
        <w:t>with</w:t>
      </w:r>
      <w:r>
        <w:rPr>
          <w:spacing w:val="9"/>
        </w:rPr>
        <w:t xml:space="preserve"> </w:t>
      </w:r>
      <w:r>
        <w:rPr>
          <w:spacing w:val="-1"/>
        </w:rPr>
        <w:t>any</w:t>
      </w:r>
      <w:r>
        <w:rPr>
          <w:spacing w:val="22"/>
        </w:rPr>
        <w:t xml:space="preserve"> </w:t>
      </w:r>
      <w:r>
        <w:rPr>
          <w:spacing w:val="-1"/>
        </w:rPr>
        <w:t>Personal</w:t>
      </w:r>
      <w:r>
        <w:t xml:space="preserve"> </w:t>
      </w:r>
      <w:r>
        <w:rPr>
          <w:spacing w:val="-1"/>
        </w:rPr>
        <w:t>Data</w:t>
      </w:r>
      <w:r>
        <w:rPr>
          <w:spacing w:val="-2"/>
        </w:rPr>
        <w:t xml:space="preserve"> </w:t>
      </w:r>
      <w:r>
        <w:rPr>
          <w:spacing w:val="-1"/>
        </w:rPr>
        <w:t>it</w:t>
      </w:r>
      <w:r>
        <w:rPr>
          <w:spacing w:val="2"/>
        </w:rPr>
        <w:t xml:space="preserve"> </w:t>
      </w:r>
      <w:r>
        <w:rPr>
          <w:spacing w:val="-1"/>
        </w:rPr>
        <w:t>holds</w:t>
      </w:r>
      <w:r>
        <w:rPr>
          <w:spacing w:val="-2"/>
        </w:rPr>
        <w:t xml:space="preserve"> </w:t>
      </w:r>
      <w:r>
        <w:rPr>
          <w:spacing w:val="-1"/>
        </w:rPr>
        <w:t>in</w:t>
      </w:r>
      <w:r>
        <w:rPr>
          <w:spacing w:val="-2"/>
        </w:rPr>
        <w:t xml:space="preserve"> </w:t>
      </w:r>
      <w:r>
        <w:rPr>
          <w:spacing w:val="-1"/>
        </w:rPr>
        <w:t>relation</w:t>
      </w:r>
      <w:r>
        <w:t xml:space="preserve"> to</w:t>
      </w:r>
      <w:r>
        <w:rPr>
          <w:spacing w:val="-2"/>
        </w:rPr>
        <w:t xml:space="preserve"> </w:t>
      </w:r>
      <w:r>
        <w:t xml:space="preserve">a </w:t>
      </w:r>
      <w:r>
        <w:rPr>
          <w:spacing w:val="-1"/>
        </w:rPr>
        <w:t>Data</w:t>
      </w:r>
      <w:r>
        <w:t xml:space="preserve"> </w:t>
      </w:r>
      <w:r>
        <w:rPr>
          <w:spacing w:val="-1"/>
        </w:rPr>
        <w:t>Subject;</w:t>
      </w:r>
      <w:r>
        <w:t xml:space="preserve"> </w:t>
      </w:r>
      <w:r>
        <w:rPr>
          <w:spacing w:val="-1"/>
        </w:rPr>
        <w:t>and</w:t>
      </w:r>
    </w:p>
    <w:p w:rsidR="008918FA" w:rsidRDefault="008918FA" w:rsidP="008918FA">
      <w:pPr>
        <w:pStyle w:val="BodyText"/>
        <w:numPr>
          <w:ilvl w:val="3"/>
          <w:numId w:val="66"/>
        </w:numPr>
        <w:tabs>
          <w:tab w:val="left" w:pos="2594"/>
        </w:tabs>
        <w:spacing w:before="121"/>
        <w:ind w:left="2593" w:right="115" w:hanging="707"/>
        <w:jc w:val="both"/>
      </w:pPr>
      <w:r>
        <w:rPr>
          <w:spacing w:val="-1"/>
        </w:rPr>
        <w:t>if</w:t>
      </w:r>
      <w:r>
        <w:rPr>
          <w:spacing w:val="33"/>
        </w:rPr>
        <w:t xml:space="preserve"> </w:t>
      </w:r>
      <w:r>
        <w:rPr>
          <w:spacing w:val="-1"/>
        </w:rPr>
        <w:t>requested</w:t>
      </w:r>
      <w:r>
        <w:rPr>
          <w:spacing w:val="31"/>
        </w:rPr>
        <w:t xml:space="preserve"> </w:t>
      </w:r>
      <w:r>
        <w:rPr>
          <w:spacing w:val="-1"/>
        </w:rPr>
        <w:t>by</w:t>
      </w:r>
      <w:r>
        <w:rPr>
          <w:spacing w:val="30"/>
        </w:rPr>
        <w:t xml:space="preserve"> </w:t>
      </w:r>
      <w:r>
        <w:t>the</w:t>
      </w:r>
      <w:r>
        <w:rPr>
          <w:spacing w:val="29"/>
        </w:rPr>
        <w:t xml:space="preserve"> </w:t>
      </w:r>
      <w:r>
        <w:rPr>
          <w:spacing w:val="-1"/>
        </w:rPr>
        <w:t>Customer,</w:t>
      </w:r>
      <w:r>
        <w:rPr>
          <w:spacing w:val="33"/>
        </w:rPr>
        <w:t xml:space="preserve"> </w:t>
      </w:r>
      <w:r>
        <w:rPr>
          <w:spacing w:val="-2"/>
        </w:rPr>
        <w:t>provide</w:t>
      </w:r>
      <w:r>
        <w:rPr>
          <w:spacing w:val="31"/>
        </w:rPr>
        <w:t xml:space="preserve"> </w:t>
      </w:r>
      <w:r>
        <w:t>a</w:t>
      </w:r>
      <w:r>
        <w:rPr>
          <w:spacing w:val="31"/>
        </w:rPr>
        <w:t xml:space="preserve"> </w:t>
      </w:r>
      <w:r>
        <w:rPr>
          <w:spacing w:val="-1"/>
        </w:rPr>
        <w:t>written</w:t>
      </w:r>
      <w:r>
        <w:rPr>
          <w:spacing w:val="31"/>
        </w:rPr>
        <w:t xml:space="preserve"> </w:t>
      </w:r>
      <w:r>
        <w:rPr>
          <w:spacing w:val="-1"/>
        </w:rPr>
        <w:t>description</w:t>
      </w:r>
      <w:r>
        <w:rPr>
          <w:spacing w:val="29"/>
        </w:rPr>
        <w:t xml:space="preserve"> </w:t>
      </w:r>
      <w:r>
        <w:rPr>
          <w:spacing w:val="-2"/>
        </w:rPr>
        <w:t>of</w:t>
      </w:r>
      <w:r>
        <w:rPr>
          <w:spacing w:val="33"/>
        </w:rPr>
        <w:t xml:space="preserve"> </w:t>
      </w:r>
      <w:r>
        <w:t>the</w:t>
      </w:r>
      <w:r>
        <w:rPr>
          <w:spacing w:val="27"/>
        </w:rPr>
        <w:t xml:space="preserve"> </w:t>
      </w:r>
      <w:r>
        <w:rPr>
          <w:spacing w:val="-1"/>
        </w:rPr>
        <w:t>measures</w:t>
      </w:r>
      <w:r>
        <w:rPr>
          <w:spacing w:val="25"/>
        </w:rPr>
        <w:t xml:space="preserve"> </w:t>
      </w:r>
      <w:r>
        <w:rPr>
          <w:spacing w:val="-1"/>
        </w:rPr>
        <w:t>that</w:t>
      </w:r>
      <w:r>
        <w:rPr>
          <w:spacing w:val="28"/>
        </w:rPr>
        <w:t xml:space="preserve"> </w:t>
      </w:r>
      <w:r>
        <w:rPr>
          <w:spacing w:val="-1"/>
        </w:rPr>
        <w:t>has</w:t>
      </w:r>
      <w:r>
        <w:rPr>
          <w:spacing w:val="25"/>
        </w:rPr>
        <w:t xml:space="preserve"> </w:t>
      </w:r>
      <w:r>
        <w:rPr>
          <w:spacing w:val="-1"/>
        </w:rPr>
        <w:t>taken</w:t>
      </w:r>
      <w:r>
        <w:rPr>
          <w:spacing w:val="27"/>
        </w:rPr>
        <w:t xml:space="preserve"> </w:t>
      </w:r>
      <w:r>
        <w:rPr>
          <w:spacing w:val="-1"/>
        </w:rPr>
        <w:t>and</w:t>
      </w:r>
      <w:r>
        <w:rPr>
          <w:spacing w:val="24"/>
        </w:rPr>
        <w:t xml:space="preserve"> </w:t>
      </w:r>
      <w:r>
        <w:rPr>
          <w:spacing w:val="-1"/>
        </w:rPr>
        <w:t>technical</w:t>
      </w:r>
      <w:r>
        <w:rPr>
          <w:spacing w:val="26"/>
        </w:rPr>
        <w:t xml:space="preserve"> </w:t>
      </w:r>
      <w:r>
        <w:rPr>
          <w:spacing w:val="-1"/>
        </w:rPr>
        <w:t>and</w:t>
      </w:r>
      <w:r>
        <w:rPr>
          <w:spacing w:val="27"/>
        </w:rPr>
        <w:t xml:space="preserve"> </w:t>
      </w:r>
      <w:r>
        <w:rPr>
          <w:spacing w:val="-1"/>
        </w:rPr>
        <w:t>organisational</w:t>
      </w:r>
      <w:r>
        <w:rPr>
          <w:spacing w:val="34"/>
        </w:rPr>
        <w:t xml:space="preserve"> </w:t>
      </w:r>
      <w:r>
        <w:rPr>
          <w:spacing w:val="-1"/>
        </w:rPr>
        <w:t>security</w:t>
      </w:r>
      <w:r>
        <w:rPr>
          <w:spacing w:val="13"/>
        </w:rPr>
        <w:t xml:space="preserve"> </w:t>
      </w:r>
      <w:r>
        <w:rPr>
          <w:spacing w:val="-1"/>
        </w:rPr>
        <w:t>measures</w:t>
      </w:r>
      <w:r>
        <w:rPr>
          <w:spacing w:val="15"/>
        </w:rPr>
        <w:t xml:space="preserve"> </w:t>
      </w:r>
      <w:r>
        <w:rPr>
          <w:spacing w:val="-1"/>
        </w:rPr>
        <w:t>in</w:t>
      </w:r>
      <w:r>
        <w:rPr>
          <w:spacing w:val="15"/>
        </w:rPr>
        <w:t xml:space="preserve"> </w:t>
      </w:r>
      <w:r>
        <w:rPr>
          <w:spacing w:val="-1"/>
        </w:rPr>
        <w:t>place,</w:t>
      </w:r>
      <w:r>
        <w:rPr>
          <w:spacing w:val="14"/>
        </w:rPr>
        <w:t xml:space="preserve"> </w:t>
      </w:r>
      <w:r>
        <w:t>for</w:t>
      </w:r>
      <w:r>
        <w:rPr>
          <w:spacing w:val="14"/>
        </w:rPr>
        <w:t xml:space="preserve"> </w:t>
      </w:r>
      <w:r>
        <w:t>the</w:t>
      </w:r>
      <w:r>
        <w:rPr>
          <w:spacing w:val="15"/>
        </w:rPr>
        <w:t xml:space="preserve"> </w:t>
      </w:r>
      <w:r>
        <w:rPr>
          <w:spacing w:val="-1"/>
        </w:rPr>
        <w:t>purpose</w:t>
      </w:r>
      <w:r>
        <w:rPr>
          <w:spacing w:val="13"/>
        </w:rPr>
        <w:t xml:space="preserve"> </w:t>
      </w:r>
      <w:r>
        <w:rPr>
          <w:spacing w:val="-2"/>
        </w:rPr>
        <w:t>of</w:t>
      </w:r>
      <w:r>
        <w:rPr>
          <w:spacing w:val="16"/>
        </w:rPr>
        <w:t xml:space="preserve"> </w:t>
      </w:r>
      <w:r>
        <w:rPr>
          <w:spacing w:val="-2"/>
        </w:rPr>
        <w:t>compliance</w:t>
      </w:r>
      <w:r>
        <w:rPr>
          <w:spacing w:val="15"/>
        </w:rPr>
        <w:t xml:space="preserve"> </w:t>
      </w:r>
      <w:r>
        <w:rPr>
          <w:spacing w:val="-2"/>
        </w:rPr>
        <w:t>with</w:t>
      </w:r>
      <w:r>
        <w:rPr>
          <w:spacing w:val="43"/>
        </w:rPr>
        <w:t xml:space="preserve"> </w:t>
      </w:r>
      <w:r>
        <w:rPr>
          <w:spacing w:val="-1"/>
        </w:rPr>
        <w:t>its</w:t>
      </w:r>
      <w:r>
        <w:rPr>
          <w:spacing w:val="8"/>
        </w:rPr>
        <w:t xml:space="preserve"> </w:t>
      </w:r>
      <w:r>
        <w:rPr>
          <w:spacing w:val="-1"/>
        </w:rPr>
        <w:t>obligations</w:t>
      </w:r>
      <w:r>
        <w:rPr>
          <w:spacing w:val="8"/>
        </w:rPr>
        <w:t xml:space="preserve"> </w:t>
      </w:r>
      <w:r>
        <w:rPr>
          <w:spacing w:val="-1"/>
        </w:rPr>
        <w:t>pursuant</w:t>
      </w:r>
      <w:r>
        <w:rPr>
          <w:spacing w:val="7"/>
        </w:rPr>
        <w:t xml:space="preserve"> </w:t>
      </w:r>
      <w:r>
        <w:rPr>
          <w:spacing w:val="-1"/>
        </w:rPr>
        <w:t>to</w:t>
      </w:r>
      <w:r>
        <w:rPr>
          <w:spacing w:val="7"/>
        </w:rPr>
        <w:t xml:space="preserve"> </w:t>
      </w:r>
      <w:r>
        <w:rPr>
          <w:spacing w:val="-1"/>
        </w:rPr>
        <w:t>this</w:t>
      </w:r>
      <w:r>
        <w:rPr>
          <w:spacing w:val="8"/>
        </w:rPr>
        <w:t xml:space="preserve"> </w:t>
      </w:r>
      <w:r>
        <w:rPr>
          <w:spacing w:val="-2"/>
        </w:rPr>
        <w:t>Clause</w:t>
      </w:r>
      <w:r>
        <w:rPr>
          <w:spacing w:val="3"/>
        </w:rPr>
        <w:t xml:space="preserve"> </w:t>
      </w:r>
      <w:hyperlink w:anchor="_bookmark193" w:history="1">
        <w:r>
          <w:rPr>
            <w:spacing w:val="-1"/>
          </w:rPr>
          <w:t>34.6.2</w:t>
        </w:r>
      </w:hyperlink>
      <w:r>
        <w:rPr>
          <w:spacing w:val="8"/>
        </w:rPr>
        <w:t xml:space="preserve"> </w:t>
      </w:r>
      <w:r>
        <w:rPr>
          <w:spacing w:val="-1"/>
        </w:rPr>
        <w:t>and</w:t>
      </w:r>
      <w:r>
        <w:rPr>
          <w:spacing w:val="5"/>
        </w:rPr>
        <w:t xml:space="preserve"> </w:t>
      </w:r>
      <w:r>
        <w:rPr>
          <w:spacing w:val="-2"/>
        </w:rPr>
        <w:t>provide</w:t>
      </w:r>
      <w:r>
        <w:rPr>
          <w:spacing w:val="7"/>
        </w:rPr>
        <w:t xml:space="preserve"> </w:t>
      </w:r>
      <w:r>
        <w:t>to</w:t>
      </w:r>
      <w:r>
        <w:rPr>
          <w:spacing w:val="7"/>
        </w:rPr>
        <w:t xml:space="preserve"> </w:t>
      </w:r>
      <w:r>
        <w:rPr>
          <w:spacing w:val="-1"/>
        </w:rPr>
        <w:t>the</w:t>
      </w:r>
      <w:r>
        <w:rPr>
          <w:spacing w:val="52"/>
        </w:rPr>
        <w:t xml:space="preserve"> </w:t>
      </w:r>
      <w:r>
        <w:rPr>
          <w:spacing w:val="-1"/>
        </w:rPr>
        <w:t>Customer</w:t>
      </w:r>
      <w:r>
        <w:rPr>
          <w:spacing w:val="9"/>
        </w:rPr>
        <w:t xml:space="preserve"> </w:t>
      </w:r>
      <w:r>
        <w:rPr>
          <w:spacing w:val="-1"/>
        </w:rPr>
        <w:t>copies</w:t>
      </w:r>
      <w:r>
        <w:rPr>
          <w:spacing w:val="8"/>
        </w:rPr>
        <w:t xml:space="preserve"> </w:t>
      </w:r>
      <w:r>
        <w:rPr>
          <w:spacing w:val="-2"/>
        </w:rPr>
        <w:t>of</w:t>
      </w:r>
      <w:r>
        <w:rPr>
          <w:spacing w:val="11"/>
        </w:rPr>
        <w:t xml:space="preserve"> </w:t>
      </w:r>
      <w:r>
        <w:rPr>
          <w:spacing w:val="-1"/>
        </w:rPr>
        <w:t>all</w:t>
      </w:r>
      <w:r>
        <w:rPr>
          <w:spacing w:val="7"/>
        </w:rPr>
        <w:t xml:space="preserve"> </w:t>
      </w:r>
      <w:r>
        <w:rPr>
          <w:spacing w:val="-1"/>
        </w:rPr>
        <w:t>documentation</w:t>
      </w:r>
      <w:r>
        <w:rPr>
          <w:spacing w:val="8"/>
        </w:rPr>
        <w:t xml:space="preserve"> </w:t>
      </w:r>
      <w:r>
        <w:rPr>
          <w:spacing w:val="-2"/>
        </w:rPr>
        <w:t>relevant</w:t>
      </w:r>
      <w:r>
        <w:rPr>
          <w:spacing w:val="9"/>
        </w:rPr>
        <w:t xml:space="preserve"> </w:t>
      </w:r>
      <w:r>
        <w:t>to</w:t>
      </w:r>
      <w:r>
        <w:rPr>
          <w:spacing w:val="8"/>
        </w:rPr>
        <w:t xml:space="preserve"> </w:t>
      </w:r>
      <w:r>
        <w:rPr>
          <w:spacing w:val="-1"/>
        </w:rPr>
        <w:t>such</w:t>
      </w:r>
      <w:r>
        <w:rPr>
          <w:spacing w:val="32"/>
        </w:rPr>
        <w:t xml:space="preserve"> </w:t>
      </w:r>
      <w:r>
        <w:rPr>
          <w:spacing w:val="-1"/>
        </w:rPr>
        <w:t>compliance</w:t>
      </w:r>
      <w:r>
        <w:rPr>
          <w:spacing w:val="15"/>
        </w:rPr>
        <w:t xml:space="preserve"> </w:t>
      </w:r>
      <w:r>
        <w:rPr>
          <w:spacing w:val="-1"/>
        </w:rPr>
        <w:t>including,</w:t>
      </w:r>
      <w:r>
        <w:rPr>
          <w:spacing w:val="16"/>
        </w:rPr>
        <w:t xml:space="preserve"> </w:t>
      </w:r>
      <w:r>
        <w:rPr>
          <w:spacing w:val="-1"/>
        </w:rPr>
        <w:t>protocols,</w:t>
      </w:r>
      <w:r>
        <w:rPr>
          <w:spacing w:val="17"/>
        </w:rPr>
        <w:t xml:space="preserve"> </w:t>
      </w:r>
      <w:r>
        <w:rPr>
          <w:spacing w:val="-1"/>
        </w:rPr>
        <w:t>procedures,</w:t>
      </w:r>
      <w:r>
        <w:rPr>
          <w:spacing w:val="14"/>
        </w:rPr>
        <w:t xml:space="preserve"> </w:t>
      </w:r>
      <w:r>
        <w:rPr>
          <w:spacing w:val="-1"/>
        </w:rPr>
        <w:t>guidance,</w:t>
      </w:r>
      <w:r>
        <w:rPr>
          <w:spacing w:val="16"/>
        </w:rPr>
        <w:t xml:space="preserve"> </w:t>
      </w:r>
      <w:r>
        <w:rPr>
          <w:spacing w:val="-2"/>
        </w:rPr>
        <w:t>training</w:t>
      </w:r>
      <w:r>
        <w:rPr>
          <w:spacing w:val="22"/>
        </w:rPr>
        <w:t xml:space="preserve"> </w:t>
      </w:r>
      <w:r>
        <w:rPr>
          <w:spacing w:val="-1"/>
        </w:rPr>
        <w:t>and</w:t>
      </w:r>
      <w:r>
        <w:t xml:space="preserve"> </w:t>
      </w:r>
      <w:r>
        <w:rPr>
          <w:spacing w:val="-2"/>
        </w:rPr>
        <w:t>manuals.</w:t>
      </w:r>
    </w:p>
    <w:p w:rsidR="008918FA" w:rsidRDefault="008918FA" w:rsidP="008918FA">
      <w:pPr>
        <w:pStyle w:val="BodyText"/>
        <w:numPr>
          <w:ilvl w:val="2"/>
          <w:numId w:val="66"/>
        </w:numPr>
        <w:tabs>
          <w:tab w:val="left" w:pos="1887"/>
        </w:tabs>
        <w:spacing w:before="121"/>
        <w:ind w:left="1886" w:right="114"/>
        <w:jc w:val="both"/>
      </w:pPr>
      <w:bookmarkStart w:id="229" w:name="_bookmark195"/>
      <w:bookmarkEnd w:id="229"/>
      <w:r>
        <w:t xml:space="preserve">The </w:t>
      </w:r>
      <w:r>
        <w:rPr>
          <w:spacing w:val="-2"/>
        </w:rPr>
        <w:t>Supplier</w:t>
      </w:r>
      <w:r>
        <w:rPr>
          <w:spacing w:val="-1"/>
        </w:rPr>
        <w:t xml:space="preserve"> shall</w:t>
      </w:r>
      <w:r>
        <w:t xml:space="preserve"> </w:t>
      </w:r>
      <w:r>
        <w:rPr>
          <w:spacing w:val="-1"/>
        </w:rPr>
        <w:t>not</w:t>
      </w:r>
      <w:r>
        <w:t xml:space="preserve"> </w:t>
      </w:r>
      <w:r>
        <w:rPr>
          <w:spacing w:val="-1"/>
        </w:rPr>
        <w:t>Process</w:t>
      </w:r>
      <w:r>
        <w:rPr>
          <w:spacing w:val="1"/>
        </w:rPr>
        <w:t xml:space="preserve"> </w:t>
      </w:r>
      <w:r>
        <w:rPr>
          <w:spacing w:val="-1"/>
        </w:rPr>
        <w:t xml:space="preserve">or </w:t>
      </w:r>
      <w:r>
        <w:rPr>
          <w:spacing w:val="-2"/>
        </w:rPr>
        <w:t>otherwise</w:t>
      </w:r>
      <w:r>
        <w:rPr>
          <w:spacing w:val="1"/>
        </w:rPr>
        <w:t xml:space="preserve"> </w:t>
      </w:r>
      <w:r>
        <w:rPr>
          <w:spacing w:val="-1"/>
        </w:rPr>
        <w:t>transfer</w:t>
      </w:r>
      <w:r>
        <w:rPr>
          <w:spacing w:val="2"/>
        </w:rPr>
        <w:t xml:space="preserve"> </w:t>
      </w:r>
      <w:r>
        <w:rPr>
          <w:spacing w:val="-1"/>
        </w:rPr>
        <w:t>any</w:t>
      </w:r>
      <w:r>
        <w:rPr>
          <w:spacing w:val="-2"/>
        </w:rPr>
        <w:t xml:space="preserve"> </w:t>
      </w:r>
      <w:r>
        <w:rPr>
          <w:spacing w:val="-1"/>
        </w:rPr>
        <w:t>Personal</w:t>
      </w:r>
      <w:r>
        <w:t xml:space="preserve"> </w:t>
      </w:r>
      <w:r>
        <w:rPr>
          <w:spacing w:val="-1"/>
        </w:rPr>
        <w:t>Data</w:t>
      </w:r>
      <w:r>
        <w:rPr>
          <w:spacing w:val="49"/>
        </w:rPr>
        <w:t xml:space="preserve"> </w:t>
      </w:r>
      <w:r>
        <w:rPr>
          <w:spacing w:val="-1"/>
        </w:rPr>
        <w:t>in</w:t>
      </w:r>
      <w:r>
        <w:rPr>
          <w:spacing w:val="60"/>
        </w:rPr>
        <w:t xml:space="preserve"> </w:t>
      </w:r>
      <w:r>
        <w:rPr>
          <w:spacing w:val="-1"/>
        </w:rPr>
        <w:t>or</w:t>
      </w:r>
      <w:r>
        <w:t xml:space="preserve"> to</w:t>
      </w:r>
      <w:r>
        <w:rPr>
          <w:spacing w:val="60"/>
        </w:rPr>
        <w:t xml:space="preserve"> </w:t>
      </w:r>
      <w:r>
        <w:rPr>
          <w:spacing w:val="-1"/>
        </w:rPr>
        <w:t>any</w:t>
      </w:r>
      <w:r>
        <w:rPr>
          <w:spacing w:val="58"/>
        </w:rPr>
        <w:t xml:space="preserve"> </w:t>
      </w:r>
      <w:r>
        <w:rPr>
          <w:spacing w:val="-1"/>
        </w:rPr>
        <w:t>country</w:t>
      </w:r>
      <w:r>
        <w:rPr>
          <w:spacing w:val="58"/>
        </w:rPr>
        <w:t xml:space="preserve"> </w:t>
      </w:r>
      <w:r>
        <w:rPr>
          <w:spacing w:val="-1"/>
        </w:rPr>
        <w:t>outside</w:t>
      </w:r>
      <w:r>
        <w:rPr>
          <w:spacing w:val="60"/>
        </w:rPr>
        <w:t xml:space="preserve"> </w:t>
      </w:r>
      <w:r>
        <w:t>the</w:t>
      </w:r>
      <w:r>
        <w:rPr>
          <w:spacing w:val="60"/>
        </w:rPr>
        <w:t xml:space="preserve"> </w:t>
      </w:r>
      <w:r>
        <w:rPr>
          <w:spacing w:val="-1"/>
        </w:rPr>
        <w:t>European</w:t>
      </w:r>
      <w:r>
        <w:rPr>
          <w:spacing w:val="61"/>
        </w:rPr>
        <w:t xml:space="preserve"> </w:t>
      </w:r>
      <w:r>
        <w:rPr>
          <w:spacing w:val="-2"/>
        </w:rPr>
        <w:t>Economic</w:t>
      </w:r>
      <w:r>
        <w:t xml:space="preserve"> </w:t>
      </w:r>
      <w:r>
        <w:rPr>
          <w:spacing w:val="-1"/>
        </w:rPr>
        <w:t>Area</w:t>
      </w:r>
      <w:r>
        <w:rPr>
          <w:spacing w:val="60"/>
        </w:rPr>
        <w:t xml:space="preserve"> </w:t>
      </w:r>
      <w:r>
        <w:rPr>
          <w:spacing w:val="-1"/>
        </w:rPr>
        <w:t>or</w:t>
      </w:r>
      <w:r>
        <w:rPr>
          <w:spacing w:val="59"/>
        </w:rPr>
        <w:t xml:space="preserve"> </w:t>
      </w:r>
      <w:r>
        <w:rPr>
          <w:spacing w:val="-1"/>
        </w:rPr>
        <w:t>any</w:t>
      </w:r>
      <w:r>
        <w:rPr>
          <w:spacing w:val="46"/>
        </w:rPr>
        <w:t xml:space="preserve"> </w:t>
      </w:r>
      <w:r>
        <w:rPr>
          <w:spacing w:val="-1"/>
        </w:rPr>
        <w:t>country</w:t>
      </w:r>
      <w:r>
        <w:rPr>
          <w:spacing w:val="59"/>
        </w:rPr>
        <w:t xml:space="preserve"> </w:t>
      </w:r>
      <w:r>
        <w:rPr>
          <w:spacing w:val="-1"/>
        </w:rPr>
        <w:t>which</w:t>
      </w:r>
      <w:r>
        <w:t xml:space="preserve"> </w:t>
      </w:r>
      <w:r>
        <w:rPr>
          <w:spacing w:val="-1"/>
        </w:rPr>
        <w:t>is</w:t>
      </w:r>
      <w:r>
        <w:rPr>
          <w:spacing w:val="2"/>
        </w:rPr>
        <w:t xml:space="preserve"> </w:t>
      </w:r>
      <w:r>
        <w:rPr>
          <w:spacing w:val="-1"/>
        </w:rPr>
        <w:t>not</w:t>
      </w:r>
      <w:r>
        <w:rPr>
          <w:spacing w:val="1"/>
        </w:rPr>
        <w:t xml:space="preserve"> </w:t>
      </w:r>
      <w:r>
        <w:rPr>
          <w:spacing w:val="-1"/>
        </w:rPr>
        <w:t>determined</w:t>
      </w:r>
      <w:r>
        <w:rPr>
          <w:spacing w:val="60"/>
        </w:rPr>
        <w:t xml:space="preserve"> </w:t>
      </w:r>
      <w:r>
        <w:t>to</w:t>
      </w:r>
      <w:r>
        <w:rPr>
          <w:spacing w:val="60"/>
        </w:rPr>
        <w:t xml:space="preserve"> </w:t>
      </w:r>
      <w:r>
        <w:rPr>
          <w:spacing w:val="-1"/>
        </w:rPr>
        <w:t>be</w:t>
      </w:r>
      <w:r>
        <w:rPr>
          <w:spacing w:val="1"/>
        </w:rPr>
        <w:t xml:space="preserve"> </w:t>
      </w:r>
      <w:r>
        <w:rPr>
          <w:spacing w:val="-1"/>
        </w:rPr>
        <w:t>adequate</w:t>
      </w:r>
      <w:r>
        <w:rPr>
          <w:spacing w:val="60"/>
        </w:rPr>
        <w:t xml:space="preserve"> </w:t>
      </w:r>
      <w:r>
        <w:rPr>
          <w:spacing w:val="-1"/>
        </w:rPr>
        <w:t>by</w:t>
      </w:r>
      <w:r>
        <w:rPr>
          <w:spacing w:val="58"/>
        </w:rPr>
        <w:t xml:space="preserve"> </w:t>
      </w:r>
      <w:r>
        <w:t>the</w:t>
      </w:r>
      <w:r>
        <w:rPr>
          <w:spacing w:val="60"/>
        </w:rPr>
        <w:t xml:space="preserve"> </w:t>
      </w:r>
      <w:r>
        <w:rPr>
          <w:spacing w:val="-1"/>
        </w:rPr>
        <w:t>European</w:t>
      </w:r>
      <w:r>
        <w:rPr>
          <w:spacing w:val="36"/>
        </w:rPr>
        <w:t xml:space="preserve"> </w:t>
      </w:r>
      <w:r>
        <w:rPr>
          <w:spacing w:val="-1"/>
        </w:rPr>
        <w:t>Commission</w:t>
      </w:r>
      <w:r>
        <w:rPr>
          <w:spacing w:val="27"/>
        </w:rPr>
        <w:t xml:space="preserve"> </w:t>
      </w:r>
      <w:r>
        <w:rPr>
          <w:spacing w:val="-1"/>
        </w:rPr>
        <w:t>pursuant</w:t>
      </w:r>
      <w:r>
        <w:rPr>
          <w:spacing w:val="28"/>
        </w:rPr>
        <w:t xml:space="preserve"> </w:t>
      </w:r>
      <w:r>
        <w:t>to</w:t>
      </w:r>
      <w:r>
        <w:rPr>
          <w:spacing w:val="24"/>
        </w:rPr>
        <w:t xml:space="preserve"> </w:t>
      </w:r>
      <w:r>
        <w:rPr>
          <w:spacing w:val="-1"/>
        </w:rPr>
        <w:t>Article</w:t>
      </w:r>
      <w:r>
        <w:rPr>
          <w:spacing w:val="27"/>
        </w:rPr>
        <w:t xml:space="preserve"> </w:t>
      </w:r>
      <w:r>
        <w:rPr>
          <w:spacing w:val="-1"/>
        </w:rPr>
        <w:t>25(6)</w:t>
      </w:r>
      <w:r>
        <w:rPr>
          <w:spacing w:val="28"/>
        </w:rPr>
        <w:t xml:space="preserve"> </w:t>
      </w:r>
      <w:r>
        <w:rPr>
          <w:spacing w:val="-2"/>
        </w:rPr>
        <w:t>of</w:t>
      </w:r>
      <w:r>
        <w:rPr>
          <w:spacing w:val="28"/>
        </w:rPr>
        <w:t xml:space="preserve"> </w:t>
      </w:r>
      <w:r>
        <w:rPr>
          <w:spacing w:val="-2"/>
        </w:rPr>
        <w:t>Directive</w:t>
      </w:r>
      <w:r>
        <w:rPr>
          <w:spacing w:val="27"/>
        </w:rPr>
        <w:t xml:space="preserve"> </w:t>
      </w:r>
      <w:r>
        <w:rPr>
          <w:spacing w:val="-1"/>
        </w:rPr>
        <w:t>95/46/EC</w:t>
      </w:r>
      <w:r>
        <w:rPr>
          <w:spacing w:val="26"/>
        </w:rPr>
        <w:t xml:space="preserve"> </w:t>
      </w:r>
      <w:r>
        <w:rPr>
          <w:spacing w:val="-1"/>
        </w:rPr>
        <w:t>(together</w:t>
      </w:r>
      <w:r>
        <w:rPr>
          <w:spacing w:val="51"/>
        </w:rPr>
        <w:t xml:space="preserve"> </w:t>
      </w:r>
      <w:r>
        <w:rPr>
          <w:spacing w:val="-1"/>
        </w:rPr>
        <w:t>“</w:t>
      </w:r>
      <w:r>
        <w:rPr>
          <w:rFonts w:cs="Arial"/>
          <w:b/>
          <w:bCs/>
          <w:spacing w:val="-1"/>
        </w:rPr>
        <w:t>Restricted</w:t>
      </w:r>
      <w:r>
        <w:rPr>
          <w:rFonts w:cs="Arial"/>
          <w:b/>
          <w:bCs/>
          <w:spacing w:val="36"/>
        </w:rPr>
        <w:t xml:space="preserve"> </w:t>
      </w:r>
      <w:r>
        <w:rPr>
          <w:rFonts w:cs="Arial"/>
          <w:b/>
          <w:bCs/>
          <w:spacing w:val="-1"/>
        </w:rPr>
        <w:t>Countries</w:t>
      </w:r>
      <w:r>
        <w:rPr>
          <w:spacing w:val="-1"/>
        </w:rPr>
        <w:t>”).</w:t>
      </w:r>
      <w:r>
        <w:rPr>
          <w:spacing w:val="40"/>
        </w:rPr>
        <w:t xml:space="preserve"> </w:t>
      </w:r>
      <w:r>
        <w:rPr>
          <w:spacing w:val="-1"/>
        </w:rPr>
        <w:t>If,</w:t>
      </w:r>
      <w:r>
        <w:rPr>
          <w:spacing w:val="38"/>
        </w:rPr>
        <w:t xml:space="preserve"> </w:t>
      </w:r>
      <w:r>
        <w:rPr>
          <w:spacing w:val="-1"/>
        </w:rPr>
        <w:t>after</w:t>
      </w:r>
      <w:r>
        <w:rPr>
          <w:spacing w:val="38"/>
        </w:rPr>
        <w:t xml:space="preserve"> </w:t>
      </w:r>
      <w:r>
        <w:t>the</w:t>
      </w:r>
      <w:r>
        <w:rPr>
          <w:spacing w:val="38"/>
        </w:rPr>
        <w:t xml:space="preserve"> </w:t>
      </w:r>
      <w:r>
        <w:rPr>
          <w:spacing w:val="-2"/>
        </w:rPr>
        <w:t>Call</w:t>
      </w:r>
      <w:r>
        <w:rPr>
          <w:spacing w:val="38"/>
        </w:rPr>
        <w:t xml:space="preserve"> </w:t>
      </w:r>
      <w:r>
        <w:rPr>
          <w:spacing w:val="-1"/>
        </w:rPr>
        <w:t>Off</w:t>
      </w:r>
      <w:r>
        <w:rPr>
          <w:spacing w:val="39"/>
        </w:rPr>
        <w:t xml:space="preserve"> </w:t>
      </w:r>
      <w:r>
        <w:rPr>
          <w:spacing w:val="-2"/>
        </w:rPr>
        <w:t>Commencement</w:t>
      </w:r>
      <w:r>
        <w:rPr>
          <w:spacing w:val="40"/>
        </w:rPr>
        <w:t xml:space="preserve"> </w:t>
      </w:r>
      <w:r>
        <w:rPr>
          <w:spacing w:val="-1"/>
        </w:rPr>
        <w:t>Date,</w:t>
      </w:r>
      <w:r>
        <w:rPr>
          <w:spacing w:val="47"/>
        </w:rPr>
        <w:t xml:space="preserve"> </w:t>
      </w:r>
      <w:r>
        <w:t>the</w:t>
      </w:r>
      <w:r>
        <w:rPr>
          <w:spacing w:val="22"/>
        </w:rPr>
        <w:t xml:space="preserve"> </w:t>
      </w:r>
      <w:r>
        <w:rPr>
          <w:spacing w:val="-2"/>
        </w:rPr>
        <w:t>Supplier</w:t>
      </w:r>
      <w:r>
        <w:rPr>
          <w:spacing w:val="23"/>
        </w:rPr>
        <w:t xml:space="preserve"> </w:t>
      </w:r>
      <w:r>
        <w:rPr>
          <w:spacing w:val="-1"/>
        </w:rPr>
        <w:t>or</w:t>
      </w:r>
      <w:r>
        <w:rPr>
          <w:spacing w:val="21"/>
        </w:rPr>
        <w:t xml:space="preserve"> </w:t>
      </w:r>
      <w:r>
        <w:rPr>
          <w:spacing w:val="-1"/>
        </w:rPr>
        <w:t>any</w:t>
      </w:r>
      <w:r>
        <w:rPr>
          <w:spacing w:val="20"/>
        </w:rPr>
        <w:t xml:space="preserve"> </w:t>
      </w:r>
      <w:r>
        <w:rPr>
          <w:spacing w:val="-1"/>
        </w:rPr>
        <w:t>Sub-Contractor</w:t>
      </w:r>
      <w:r>
        <w:rPr>
          <w:spacing w:val="21"/>
        </w:rPr>
        <w:t xml:space="preserve"> </w:t>
      </w:r>
      <w:r>
        <w:rPr>
          <w:spacing w:val="-2"/>
        </w:rPr>
        <w:t>wishes</w:t>
      </w:r>
      <w:r>
        <w:rPr>
          <w:spacing w:val="22"/>
        </w:rPr>
        <w:t xml:space="preserve"> </w:t>
      </w:r>
      <w:r>
        <w:t>to</w:t>
      </w:r>
      <w:r>
        <w:rPr>
          <w:spacing w:val="22"/>
        </w:rPr>
        <w:t xml:space="preserve"> </w:t>
      </w:r>
      <w:r>
        <w:rPr>
          <w:spacing w:val="-1"/>
        </w:rPr>
        <w:t>Process</w:t>
      </w:r>
      <w:r>
        <w:rPr>
          <w:spacing w:val="23"/>
        </w:rPr>
        <w:t xml:space="preserve"> </w:t>
      </w:r>
      <w:r>
        <w:rPr>
          <w:spacing w:val="-1"/>
        </w:rPr>
        <w:t>and/or</w:t>
      </w:r>
      <w:r>
        <w:rPr>
          <w:spacing w:val="21"/>
        </w:rPr>
        <w:t xml:space="preserve"> </w:t>
      </w:r>
      <w:r>
        <w:rPr>
          <w:spacing w:val="-1"/>
        </w:rPr>
        <w:t>transfer</w:t>
      </w:r>
      <w:r>
        <w:rPr>
          <w:spacing w:val="49"/>
        </w:rPr>
        <w:t xml:space="preserve"> </w:t>
      </w:r>
      <w:r>
        <w:rPr>
          <w:spacing w:val="-1"/>
        </w:rPr>
        <w:t>any</w:t>
      </w:r>
      <w:r>
        <w:rPr>
          <w:spacing w:val="15"/>
        </w:rPr>
        <w:t xml:space="preserve"> </w:t>
      </w:r>
      <w:r>
        <w:rPr>
          <w:spacing w:val="-1"/>
        </w:rPr>
        <w:t>Personal</w:t>
      </w:r>
      <w:r>
        <w:rPr>
          <w:spacing w:val="17"/>
        </w:rPr>
        <w:t xml:space="preserve"> </w:t>
      </w:r>
      <w:r>
        <w:rPr>
          <w:spacing w:val="-1"/>
        </w:rPr>
        <w:t>Data</w:t>
      </w:r>
      <w:r>
        <w:rPr>
          <w:spacing w:val="17"/>
        </w:rPr>
        <w:t xml:space="preserve"> </w:t>
      </w:r>
      <w:r>
        <w:rPr>
          <w:spacing w:val="-1"/>
        </w:rPr>
        <w:t>in</w:t>
      </w:r>
      <w:r>
        <w:rPr>
          <w:spacing w:val="17"/>
        </w:rPr>
        <w:t xml:space="preserve"> </w:t>
      </w:r>
      <w:r>
        <w:rPr>
          <w:spacing w:val="-1"/>
        </w:rPr>
        <w:t>or</w:t>
      </w:r>
      <w:r>
        <w:rPr>
          <w:spacing w:val="19"/>
        </w:rPr>
        <w:t xml:space="preserve"> </w:t>
      </w:r>
      <w:r>
        <w:t>to</w:t>
      </w:r>
      <w:r>
        <w:rPr>
          <w:spacing w:val="17"/>
        </w:rPr>
        <w:t xml:space="preserve"> </w:t>
      </w:r>
      <w:r>
        <w:rPr>
          <w:spacing w:val="-1"/>
        </w:rPr>
        <w:t>any</w:t>
      </w:r>
      <w:r>
        <w:rPr>
          <w:spacing w:val="15"/>
        </w:rPr>
        <w:t xml:space="preserve"> </w:t>
      </w:r>
      <w:r>
        <w:rPr>
          <w:spacing w:val="-1"/>
        </w:rPr>
        <w:t>outside</w:t>
      </w:r>
      <w:r>
        <w:rPr>
          <w:spacing w:val="17"/>
        </w:rPr>
        <w:t xml:space="preserve"> </w:t>
      </w:r>
      <w:r>
        <w:t>the</w:t>
      </w:r>
      <w:r>
        <w:rPr>
          <w:spacing w:val="17"/>
        </w:rPr>
        <w:t xml:space="preserve"> </w:t>
      </w:r>
      <w:r>
        <w:rPr>
          <w:spacing w:val="-1"/>
        </w:rPr>
        <w:t>European</w:t>
      </w:r>
      <w:r>
        <w:rPr>
          <w:spacing w:val="17"/>
        </w:rPr>
        <w:t xml:space="preserve"> </w:t>
      </w:r>
      <w:r>
        <w:rPr>
          <w:spacing w:val="-1"/>
        </w:rPr>
        <w:t>Economic</w:t>
      </w:r>
      <w:r>
        <w:rPr>
          <w:spacing w:val="18"/>
        </w:rPr>
        <w:t xml:space="preserve"> </w:t>
      </w:r>
      <w:r>
        <w:rPr>
          <w:spacing w:val="-1"/>
        </w:rPr>
        <w:t>Area,</w:t>
      </w:r>
      <w:r>
        <w:rPr>
          <w:spacing w:val="29"/>
        </w:rPr>
        <w:t xml:space="preserve"> </w:t>
      </w:r>
      <w:r>
        <w:t>the</w:t>
      </w:r>
      <w:r>
        <w:rPr>
          <w:spacing w:val="-2"/>
        </w:rPr>
        <w:t xml:space="preserve"> following</w:t>
      </w:r>
      <w:r>
        <w:rPr>
          <w:spacing w:val="3"/>
        </w:rPr>
        <w:t xml:space="preserve"> </w:t>
      </w:r>
      <w:r>
        <w:rPr>
          <w:spacing w:val="-2"/>
        </w:rPr>
        <w:t>provisions</w:t>
      </w:r>
      <w:r>
        <w:rPr>
          <w:spacing w:val="1"/>
        </w:rPr>
        <w:t xml:space="preserve"> </w:t>
      </w:r>
      <w:r>
        <w:rPr>
          <w:spacing w:val="-2"/>
        </w:rPr>
        <w:t>shall</w:t>
      </w:r>
      <w:r>
        <w:t xml:space="preserve"> </w:t>
      </w:r>
      <w:r>
        <w:rPr>
          <w:spacing w:val="-2"/>
        </w:rPr>
        <w:t>apply:</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3"/>
          <w:numId w:val="66"/>
        </w:numPr>
        <w:tabs>
          <w:tab w:val="left" w:pos="2595"/>
        </w:tabs>
        <w:spacing w:before="59"/>
        <w:ind w:left="2594" w:right="113"/>
        <w:jc w:val="both"/>
      </w:pPr>
      <w:r>
        <w:t>the</w:t>
      </w:r>
      <w:r>
        <w:rPr>
          <w:spacing w:val="7"/>
        </w:rPr>
        <w:t xml:space="preserve"> </w:t>
      </w:r>
      <w:r>
        <w:rPr>
          <w:spacing w:val="-2"/>
        </w:rPr>
        <w:t>Supplier</w:t>
      </w:r>
      <w:r>
        <w:rPr>
          <w:spacing w:val="9"/>
        </w:rPr>
        <w:t xml:space="preserve"> </w:t>
      </w:r>
      <w:r>
        <w:rPr>
          <w:spacing w:val="-1"/>
        </w:rPr>
        <w:t>shall</w:t>
      </w:r>
      <w:r>
        <w:rPr>
          <w:spacing w:val="7"/>
        </w:rPr>
        <w:t xml:space="preserve"> </w:t>
      </w:r>
      <w:r>
        <w:rPr>
          <w:spacing w:val="-1"/>
        </w:rPr>
        <w:t>propose</w:t>
      </w:r>
      <w:r>
        <w:rPr>
          <w:spacing w:val="7"/>
        </w:rPr>
        <w:t xml:space="preserve"> </w:t>
      </w:r>
      <w:r>
        <w:t>a</w:t>
      </w:r>
      <w:r>
        <w:rPr>
          <w:spacing w:val="9"/>
        </w:rPr>
        <w:t xml:space="preserve"> </w:t>
      </w:r>
      <w:r>
        <w:rPr>
          <w:spacing w:val="-1"/>
        </w:rPr>
        <w:t>Variation</w:t>
      </w:r>
      <w:r>
        <w:rPr>
          <w:spacing w:val="5"/>
        </w:rPr>
        <w:t xml:space="preserve"> </w:t>
      </w:r>
      <w:r>
        <w:t>to</w:t>
      </w:r>
      <w:r>
        <w:rPr>
          <w:spacing w:val="5"/>
        </w:rPr>
        <w:t xml:space="preserve"> </w:t>
      </w:r>
      <w:r>
        <w:t>the</w:t>
      </w:r>
      <w:r>
        <w:rPr>
          <w:spacing w:val="7"/>
        </w:rPr>
        <w:t xml:space="preserve"> </w:t>
      </w:r>
      <w:r>
        <w:rPr>
          <w:spacing w:val="-2"/>
        </w:rPr>
        <w:t>Customer</w:t>
      </w:r>
      <w:r>
        <w:rPr>
          <w:spacing w:val="9"/>
        </w:rPr>
        <w:t xml:space="preserve"> </w:t>
      </w:r>
      <w:r>
        <w:rPr>
          <w:spacing w:val="-2"/>
        </w:rPr>
        <w:t>which,</w:t>
      </w:r>
      <w:r>
        <w:rPr>
          <w:spacing w:val="9"/>
        </w:rPr>
        <w:t xml:space="preserve"> </w:t>
      </w:r>
      <w:r>
        <w:rPr>
          <w:spacing w:val="-2"/>
        </w:rPr>
        <w:t>if</w:t>
      </w:r>
      <w:r>
        <w:rPr>
          <w:spacing w:val="43"/>
        </w:rPr>
        <w:t xml:space="preserve"> </w:t>
      </w:r>
      <w:r>
        <w:rPr>
          <w:spacing w:val="-1"/>
        </w:rPr>
        <w:t>it</w:t>
      </w:r>
      <w:r>
        <w:rPr>
          <w:spacing w:val="16"/>
        </w:rPr>
        <w:t xml:space="preserve"> </w:t>
      </w:r>
      <w:r>
        <w:rPr>
          <w:spacing w:val="-1"/>
        </w:rPr>
        <w:t>is</w:t>
      </w:r>
      <w:r>
        <w:rPr>
          <w:spacing w:val="15"/>
        </w:rPr>
        <w:t xml:space="preserve"> </w:t>
      </w:r>
      <w:r>
        <w:rPr>
          <w:spacing w:val="-1"/>
        </w:rPr>
        <w:t>agreed</w:t>
      </w:r>
      <w:r>
        <w:rPr>
          <w:spacing w:val="12"/>
        </w:rPr>
        <w:t xml:space="preserve"> </w:t>
      </w:r>
      <w:r>
        <w:rPr>
          <w:spacing w:val="-1"/>
        </w:rPr>
        <w:t>by</w:t>
      </w:r>
      <w:r>
        <w:rPr>
          <w:spacing w:val="13"/>
        </w:rPr>
        <w:t xml:space="preserve"> </w:t>
      </w:r>
      <w:r>
        <w:t>the</w:t>
      </w:r>
      <w:r>
        <w:rPr>
          <w:spacing w:val="15"/>
        </w:rPr>
        <w:t xml:space="preserve"> </w:t>
      </w:r>
      <w:r>
        <w:rPr>
          <w:spacing w:val="-2"/>
        </w:rPr>
        <w:t>Customer,</w:t>
      </w:r>
      <w:r>
        <w:rPr>
          <w:spacing w:val="16"/>
        </w:rPr>
        <w:t xml:space="preserve"> </w:t>
      </w:r>
      <w:r>
        <w:rPr>
          <w:spacing w:val="-1"/>
        </w:rPr>
        <w:t>shall</w:t>
      </w:r>
      <w:r>
        <w:rPr>
          <w:spacing w:val="14"/>
        </w:rPr>
        <w:t xml:space="preserve"> </w:t>
      </w:r>
      <w:r>
        <w:rPr>
          <w:spacing w:val="-1"/>
        </w:rPr>
        <w:t>be</w:t>
      </w:r>
      <w:r>
        <w:rPr>
          <w:spacing w:val="15"/>
        </w:rPr>
        <w:t xml:space="preserve"> </w:t>
      </w:r>
      <w:r>
        <w:rPr>
          <w:spacing w:val="-2"/>
        </w:rPr>
        <w:t>dealt</w:t>
      </w:r>
      <w:r>
        <w:rPr>
          <w:spacing w:val="16"/>
        </w:rPr>
        <w:t xml:space="preserve"> </w:t>
      </w:r>
      <w:r>
        <w:rPr>
          <w:spacing w:val="-2"/>
        </w:rPr>
        <w:t>with</w:t>
      </w:r>
      <w:r>
        <w:rPr>
          <w:spacing w:val="15"/>
        </w:rPr>
        <w:t xml:space="preserve"> </w:t>
      </w:r>
      <w:r>
        <w:rPr>
          <w:spacing w:val="-1"/>
        </w:rPr>
        <w:t>in</w:t>
      </w:r>
      <w:r>
        <w:rPr>
          <w:spacing w:val="15"/>
        </w:rPr>
        <w:t xml:space="preserve"> </w:t>
      </w:r>
      <w:r>
        <w:rPr>
          <w:spacing w:val="-1"/>
        </w:rPr>
        <w:t>accordance</w:t>
      </w:r>
      <w:r>
        <w:rPr>
          <w:spacing w:val="42"/>
        </w:rPr>
        <w:t xml:space="preserve"> </w:t>
      </w:r>
      <w:r>
        <w:rPr>
          <w:spacing w:val="-1"/>
        </w:rPr>
        <w:t>with</w:t>
      </w:r>
      <w:r>
        <w:rPr>
          <w:spacing w:val="41"/>
        </w:rPr>
        <w:t xml:space="preserve"> </w:t>
      </w:r>
      <w:r>
        <w:t>the</w:t>
      </w:r>
      <w:r>
        <w:rPr>
          <w:spacing w:val="41"/>
        </w:rPr>
        <w:t xml:space="preserve"> </w:t>
      </w:r>
      <w:r>
        <w:rPr>
          <w:spacing w:val="-1"/>
        </w:rPr>
        <w:t>Variation</w:t>
      </w:r>
      <w:r>
        <w:rPr>
          <w:spacing w:val="41"/>
        </w:rPr>
        <w:t xml:space="preserve"> </w:t>
      </w:r>
      <w:r>
        <w:rPr>
          <w:spacing w:val="-1"/>
        </w:rPr>
        <w:t>Procedure</w:t>
      </w:r>
      <w:r>
        <w:rPr>
          <w:spacing w:val="39"/>
        </w:rPr>
        <w:t xml:space="preserve"> </w:t>
      </w:r>
      <w:r>
        <w:rPr>
          <w:spacing w:val="-1"/>
        </w:rPr>
        <w:t>and</w:t>
      </w:r>
      <w:r>
        <w:rPr>
          <w:spacing w:val="41"/>
        </w:rPr>
        <w:t xml:space="preserve"> </w:t>
      </w:r>
      <w:r>
        <w:rPr>
          <w:spacing w:val="-2"/>
        </w:rPr>
        <w:t>Clauses</w:t>
      </w:r>
      <w:r>
        <w:rPr>
          <w:spacing w:val="2"/>
        </w:rPr>
        <w:t xml:space="preserve"> </w:t>
      </w:r>
      <w:hyperlink w:anchor="_bookmark196" w:history="1">
        <w:r>
          <w:rPr>
            <w:spacing w:val="-1"/>
          </w:rPr>
          <w:t>34.6.3(b)</w:t>
        </w:r>
      </w:hyperlink>
      <w:r>
        <w:rPr>
          <w:spacing w:val="40"/>
        </w:rPr>
        <w:t xml:space="preserve"> </w:t>
      </w:r>
      <w:r>
        <w:t>to</w:t>
      </w:r>
      <w:r>
        <w:rPr>
          <w:spacing w:val="21"/>
        </w:rPr>
        <w:t xml:space="preserve"> </w:t>
      </w:r>
      <w:hyperlink w:anchor="_bookmark197" w:history="1">
        <w:r>
          <w:rPr>
            <w:spacing w:val="-1"/>
          </w:rPr>
          <w:t>34.6.3(c)</w:t>
        </w:r>
      </w:hyperlink>
      <w:r>
        <w:rPr>
          <w:spacing w:val="-1"/>
        </w:rPr>
        <w:t>;</w:t>
      </w:r>
    </w:p>
    <w:p w:rsidR="008918FA" w:rsidRDefault="008918FA" w:rsidP="008918FA">
      <w:pPr>
        <w:pStyle w:val="BodyText"/>
        <w:numPr>
          <w:ilvl w:val="3"/>
          <w:numId w:val="66"/>
        </w:numPr>
        <w:tabs>
          <w:tab w:val="left" w:pos="2595"/>
        </w:tabs>
        <w:spacing w:before="121"/>
        <w:ind w:left="2594" w:right="112"/>
        <w:jc w:val="both"/>
      </w:pPr>
      <w:bookmarkStart w:id="230" w:name="_bookmark196"/>
      <w:bookmarkEnd w:id="230"/>
      <w:r>
        <w:t>the</w:t>
      </w:r>
      <w:r>
        <w:rPr>
          <w:spacing w:val="20"/>
        </w:rPr>
        <w:t xml:space="preserve"> </w:t>
      </w:r>
      <w:r>
        <w:rPr>
          <w:spacing w:val="-2"/>
        </w:rPr>
        <w:t>Supplier</w:t>
      </w:r>
      <w:r>
        <w:rPr>
          <w:spacing w:val="21"/>
        </w:rPr>
        <w:t xml:space="preserve"> </w:t>
      </w:r>
      <w:r>
        <w:rPr>
          <w:spacing w:val="-1"/>
        </w:rPr>
        <w:t>shall</w:t>
      </w:r>
      <w:r>
        <w:rPr>
          <w:spacing w:val="21"/>
        </w:rPr>
        <w:t xml:space="preserve"> </w:t>
      </w:r>
      <w:r>
        <w:rPr>
          <w:spacing w:val="-1"/>
        </w:rPr>
        <w:t>set</w:t>
      </w:r>
      <w:r>
        <w:rPr>
          <w:spacing w:val="21"/>
        </w:rPr>
        <w:t xml:space="preserve"> </w:t>
      </w:r>
      <w:r>
        <w:t>out</w:t>
      </w:r>
      <w:r>
        <w:rPr>
          <w:spacing w:val="21"/>
        </w:rPr>
        <w:t xml:space="preserve"> </w:t>
      </w:r>
      <w:r>
        <w:rPr>
          <w:spacing w:val="-1"/>
        </w:rPr>
        <w:t>in</w:t>
      </w:r>
      <w:r>
        <w:rPr>
          <w:spacing w:val="20"/>
        </w:rPr>
        <w:t xml:space="preserve"> </w:t>
      </w:r>
      <w:r>
        <w:rPr>
          <w:spacing w:val="-1"/>
        </w:rPr>
        <w:t>its</w:t>
      </w:r>
      <w:r>
        <w:rPr>
          <w:spacing w:val="20"/>
        </w:rPr>
        <w:t xml:space="preserve"> </w:t>
      </w:r>
      <w:r>
        <w:rPr>
          <w:spacing w:val="-1"/>
        </w:rPr>
        <w:t>proposal</w:t>
      </w:r>
      <w:r>
        <w:rPr>
          <w:spacing w:val="19"/>
        </w:rPr>
        <w:t xml:space="preserve"> </w:t>
      </w:r>
      <w:r>
        <w:t>to</w:t>
      </w:r>
      <w:r>
        <w:rPr>
          <w:spacing w:val="19"/>
        </w:rPr>
        <w:t xml:space="preserve"> </w:t>
      </w:r>
      <w:r>
        <w:t>the</w:t>
      </w:r>
      <w:r>
        <w:rPr>
          <w:spacing w:val="20"/>
        </w:rPr>
        <w:t xml:space="preserve"> </w:t>
      </w:r>
      <w:r>
        <w:rPr>
          <w:spacing w:val="-1"/>
        </w:rPr>
        <w:t>Customer</w:t>
      </w:r>
      <w:r>
        <w:rPr>
          <w:spacing w:val="19"/>
        </w:rPr>
        <w:t xml:space="preserve"> </w:t>
      </w:r>
      <w:r>
        <w:t>for</w:t>
      </w:r>
      <w:r>
        <w:rPr>
          <w:spacing w:val="21"/>
        </w:rPr>
        <w:t xml:space="preserve"> </w:t>
      </w:r>
      <w:r>
        <w:t>a</w:t>
      </w:r>
      <w:r>
        <w:rPr>
          <w:spacing w:val="47"/>
        </w:rPr>
        <w:t xml:space="preserve"> </w:t>
      </w:r>
      <w:r>
        <w:rPr>
          <w:spacing w:val="-1"/>
        </w:rPr>
        <w:t>Variation</w:t>
      </w:r>
      <w:r>
        <w:t xml:space="preserve"> </w:t>
      </w:r>
      <w:r>
        <w:rPr>
          <w:spacing w:val="-1"/>
        </w:rPr>
        <w:t>details</w:t>
      </w:r>
      <w:r>
        <w:rPr>
          <w:spacing w:val="1"/>
        </w:rPr>
        <w:t xml:space="preserve"> </w:t>
      </w:r>
      <w:r>
        <w:rPr>
          <w:spacing w:val="-2"/>
        </w:rPr>
        <w:t>of</w:t>
      </w:r>
      <w:r>
        <w:t xml:space="preserve"> the</w:t>
      </w:r>
      <w:r>
        <w:rPr>
          <w:spacing w:val="-2"/>
        </w:rPr>
        <w:t xml:space="preserve"> </w:t>
      </w:r>
      <w:r>
        <w:rPr>
          <w:spacing w:val="-1"/>
        </w:rPr>
        <w:t>following:</w:t>
      </w:r>
    </w:p>
    <w:p w:rsidR="008918FA" w:rsidRDefault="008918FA" w:rsidP="008918FA">
      <w:pPr>
        <w:pStyle w:val="BodyText"/>
        <w:numPr>
          <w:ilvl w:val="4"/>
          <w:numId w:val="66"/>
        </w:numPr>
        <w:tabs>
          <w:tab w:val="left" w:pos="3164"/>
        </w:tabs>
        <w:ind w:left="3163" w:right="113"/>
        <w:jc w:val="both"/>
      </w:pPr>
      <w:r>
        <w:t>the</w:t>
      </w:r>
      <w:r>
        <w:rPr>
          <w:spacing w:val="4"/>
        </w:rPr>
        <w:t xml:space="preserve"> </w:t>
      </w:r>
      <w:r>
        <w:rPr>
          <w:spacing w:val="-1"/>
        </w:rPr>
        <w:t>Personal</w:t>
      </w:r>
      <w:r>
        <w:rPr>
          <w:spacing w:val="3"/>
        </w:rPr>
        <w:t xml:space="preserve"> </w:t>
      </w:r>
      <w:r>
        <w:rPr>
          <w:spacing w:val="-1"/>
        </w:rPr>
        <w:t>Data</w:t>
      </w:r>
      <w:r>
        <w:rPr>
          <w:spacing w:val="4"/>
        </w:rPr>
        <w:t xml:space="preserve"> </w:t>
      </w:r>
      <w:r>
        <w:rPr>
          <w:spacing w:val="-1"/>
        </w:rPr>
        <w:t>which</w:t>
      </w:r>
      <w:r>
        <w:rPr>
          <w:spacing w:val="4"/>
        </w:rPr>
        <w:t xml:space="preserve"> </w:t>
      </w:r>
      <w:r>
        <w:rPr>
          <w:spacing w:val="-1"/>
        </w:rPr>
        <w:t>will</w:t>
      </w:r>
      <w:r>
        <w:rPr>
          <w:spacing w:val="3"/>
        </w:rPr>
        <w:t xml:space="preserve"> </w:t>
      </w:r>
      <w:r>
        <w:rPr>
          <w:spacing w:val="-1"/>
        </w:rPr>
        <w:t>be</w:t>
      </w:r>
      <w:r>
        <w:rPr>
          <w:spacing w:val="4"/>
        </w:rPr>
        <w:t xml:space="preserve"> </w:t>
      </w:r>
      <w:r>
        <w:rPr>
          <w:spacing w:val="-1"/>
        </w:rPr>
        <w:t>transferred</w:t>
      </w:r>
      <w:r>
        <w:rPr>
          <w:spacing w:val="3"/>
        </w:rPr>
        <w:t xml:space="preserve"> </w:t>
      </w:r>
      <w:r>
        <w:rPr>
          <w:spacing w:val="-1"/>
        </w:rPr>
        <w:t>to</w:t>
      </w:r>
      <w:r>
        <w:rPr>
          <w:spacing w:val="4"/>
        </w:rPr>
        <w:t xml:space="preserve"> </w:t>
      </w:r>
      <w:r>
        <w:rPr>
          <w:spacing w:val="-1"/>
        </w:rPr>
        <w:t>and/or</w:t>
      </w:r>
      <w:r>
        <w:rPr>
          <w:spacing w:val="40"/>
        </w:rPr>
        <w:t xml:space="preserve"> </w:t>
      </w:r>
      <w:r>
        <w:rPr>
          <w:spacing w:val="-1"/>
        </w:rPr>
        <w:t>Processed</w:t>
      </w:r>
      <w:r>
        <w:t xml:space="preserve"> </w:t>
      </w:r>
      <w:r>
        <w:rPr>
          <w:spacing w:val="-1"/>
        </w:rPr>
        <w:t>in</w:t>
      </w:r>
      <w:r>
        <w:rPr>
          <w:spacing w:val="-2"/>
        </w:rPr>
        <w:t xml:space="preserve"> </w:t>
      </w:r>
      <w:r>
        <w:rPr>
          <w:spacing w:val="-1"/>
        </w:rPr>
        <w:t xml:space="preserve">or </w:t>
      </w:r>
      <w:r>
        <w:t>to</w:t>
      </w:r>
      <w:r>
        <w:rPr>
          <w:spacing w:val="-2"/>
        </w:rPr>
        <w:t xml:space="preserve"> </w:t>
      </w:r>
      <w:r>
        <w:rPr>
          <w:spacing w:val="-1"/>
        </w:rPr>
        <w:t>any</w:t>
      </w:r>
      <w:r>
        <w:rPr>
          <w:spacing w:val="-2"/>
        </w:rPr>
        <w:t xml:space="preserve"> </w:t>
      </w:r>
      <w:r>
        <w:rPr>
          <w:spacing w:val="-1"/>
        </w:rPr>
        <w:t>Restricted</w:t>
      </w:r>
      <w:r>
        <w:t xml:space="preserve"> </w:t>
      </w:r>
      <w:r>
        <w:rPr>
          <w:spacing w:val="-2"/>
        </w:rPr>
        <w:t>Countries;</w:t>
      </w:r>
    </w:p>
    <w:p w:rsidR="008918FA" w:rsidRDefault="008918FA" w:rsidP="008918FA">
      <w:pPr>
        <w:pStyle w:val="BodyText"/>
        <w:numPr>
          <w:ilvl w:val="4"/>
          <w:numId w:val="66"/>
        </w:numPr>
        <w:tabs>
          <w:tab w:val="left" w:pos="3164"/>
        </w:tabs>
        <w:ind w:left="3163" w:right="117"/>
        <w:jc w:val="both"/>
      </w:pPr>
      <w:r>
        <w:t>the</w:t>
      </w:r>
      <w:r>
        <w:rPr>
          <w:spacing w:val="29"/>
        </w:rPr>
        <w:t xml:space="preserve"> </w:t>
      </w:r>
      <w:r>
        <w:rPr>
          <w:spacing w:val="-1"/>
        </w:rPr>
        <w:t>Restricted</w:t>
      </w:r>
      <w:r>
        <w:rPr>
          <w:spacing w:val="27"/>
        </w:rPr>
        <w:t xml:space="preserve"> </w:t>
      </w:r>
      <w:r>
        <w:rPr>
          <w:spacing w:val="-2"/>
        </w:rPr>
        <w:t>Countries</w:t>
      </w:r>
      <w:r>
        <w:rPr>
          <w:spacing w:val="27"/>
        </w:rPr>
        <w:t xml:space="preserve"> </w:t>
      </w:r>
      <w:r>
        <w:t>to</w:t>
      </w:r>
      <w:r>
        <w:rPr>
          <w:spacing w:val="27"/>
        </w:rPr>
        <w:t xml:space="preserve"> </w:t>
      </w:r>
      <w:r>
        <w:rPr>
          <w:spacing w:val="-2"/>
        </w:rPr>
        <w:t>which</w:t>
      </w:r>
      <w:r>
        <w:rPr>
          <w:spacing w:val="30"/>
        </w:rPr>
        <w:t xml:space="preserve"> </w:t>
      </w:r>
      <w:r>
        <w:t>the</w:t>
      </w:r>
      <w:r>
        <w:rPr>
          <w:spacing w:val="29"/>
        </w:rPr>
        <w:t xml:space="preserve"> </w:t>
      </w:r>
      <w:r>
        <w:rPr>
          <w:spacing w:val="-1"/>
        </w:rPr>
        <w:t>Personal</w:t>
      </w:r>
      <w:r>
        <w:rPr>
          <w:spacing w:val="26"/>
        </w:rPr>
        <w:t xml:space="preserve"> </w:t>
      </w:r>
      <w:r>
        <w:rPr>
          <w:spacing w:val="-1"/>
        </w:rPr>
        <w:t>Data</w:t>
      </w:r>
      <w:r>
        <w:rPr>
          <w:spacing w:val="29"/>
        </w:rPr>
        <w:t xml:space="preserve"> </w:t>
      </w:r>
      <w:r>
        <w:rPr>
          <w:spacing w:val="-2"/>
        </w:rPr>
        <w:t>will</w:t>
      </w:r>
      <w:r>
        <w:rPr>
          <w:spacing w:val="37"/>
        </w:rPr>
        <w:t xml:space="preserve"> </w:t>
      </w:r>
      <w:r>
        <w:rPr>
          <w:spacing w:val="-1"/>
        </w:rPr>
        <w:t>be</w:t>
      </w:r>
      <w:r>
        <w:t xml:space="preserve"> </w:t>
      </w:r>
      <w:r>
        <w:rPr>
          <w:spacing w:val="-1"/>
        </w:rPr>
        <w:t>transferred</w:t>
      </w:r>
      <w:r>
        <w:rPr>
          <w:spacing w:val="-2"/>
        </w:rPr>
        <w:t xml:space="preserve"> </w:t>
      </w:r>
      <w:r>
        <w:rPr>
          <w:spacing w:val="-1"/>
        </w:rPr>
        <w:t>and/or</w:t>
      </w:r>
      <w:r>
        <w:rPr>
          <w:spacing w:val="2"/>
        </w:rPr>
        <w:t xml:space="preserve"> </w:t>
      </w:r>
      <w:r>
        <w:rPr>
          <w:spacing w:val="-2"/>
        </w:rPr>
        <w:t>Processed;</w:t>
      </w:r>
      <w:r>
        <w:t xml:space="preserve"> </w:t>
      </w:r>
      <w:r>
        <w:rPr>
          <w:spacing w:val="-1"/>
        </w:rPr>
        <w:t>and</w:t>
      </w:r>
    </w:p>
    <w:p w:rsidR="008918FA" w:rsidRDefault="008918FA" w:rsidP="008918FA">
      <w:pPr>
        <w:pStyle w:val="BodyText"/>
        <w:numPr>
          <w:ilvl w:val="4"/>
          <w:numId w:val="66"/>
        </w:numPr>
        <w:tabs>
          <w:tab w:val="left" w:pos="3164"/>
        </w:tabs>
        <w:ind w:left="3163" w:right="111"/>
        <w:jc w:val="both"/>
      </w:pPr>
      <w:r>
        <w:rPr>
          <w:spacing w:val="-1"/>
        </w:rPr>
        <w:t>any</w:t>
      </w:r>
      <w:r>
        <w:rPr>
          <w:spacing w:val="56"/>
        </w:rPr>
        <w:t xml:space="preserve"> </w:t>
      </w:r>
      <w:r>
        <w:rPr>
          <w:spacing w:val="-1"/>
        </w:rPr>
        <w:t>Sub-Contractors</w:t>
      </w:r>
      <w:r>
        <w:rPr>
          <w:spacing w:val="56"/>
        </w:rPr>
        <w:t xml:space="preserve"> </w:t>
      </w:r>
      <w:r>
        <w:rPr>
          <w:spacing w:val="-1"/>
        </w:rPr>
        <w:t>or</w:t>
      </w:r>
      <w:r>
        <w:rPr>
          <w:spacing w:val="57"/>
        </w:rPr>
        <w:t xml:space="preserve"> </w:t>
      </w:r>
      <w:r>
        <w:rPr>
          <w:spacing w:val="-1"/>
        </w:rPr>
        <w:t>other</w:t>
      </w:r>
      <w:r>
        <w:rPr>
          <w:spacing w:val="57"/>
        </w:rPr>
        <w:t xml:space="preserve"> </w:t>
      </w:r>
      <w:r>
        <w:rPr>
          <w:spacing w:val="-1"/>
        </w:rPr>
        <w:t>third</w:t>
      </w:r>
      <w:r>
        <w:rPr>
          <w:spacing w:val="55"/>
        </w:rPr>
        <w:t xml:space="preserve"> </w:t>
      </w:r>
      <w:r>
        <w:rPr>
          <w:spacing w:val="-1"/>
        </w:rPr>
        <w:t>parties</w:t>
      </w:r>
      <w:r>
        <w:rPr>
          <w:spacing w:val="58"/>
        </w:rPr>
        <w:t xml:space="preserve"> </w:t>
      </w:r>
      <w:r>
        <w:rPr>
          <w:spacing w:val="-2"/>
        </w:rPr>
        <w:t>who</w:t>
      </w:r>
      <w:r>
        <w:rPr>
          <w:spacing w:val="59"/>
        </w:rPr>
        <w:t xml:space="preserve"> </w:t>
      </w:r>
      <w:r>
        <w:rPr>
          <w:spacing w:val="-2"/>
        </w:rPr>
        <w:t>will</w:t>
      </w:r>
      <w:r>
        <w:rPr>
          <w:spacing w:val="57"/>
        </w:rPr>
        <w:t xml:space="preserve"> </w:t>
      </w:r>
      <w:r>
        <w:rPr>
          <w:spacing w:val="-1"/>
        </w:rPr>
        <w:t>be</w:t>
      </w:r>
      <w:r>
        <w:rPr>
          <w:spacing w:val="36"/>
        </w:rPr>
        <w:t xml:space="preserve"> </w:t>
      </w:r>
      <w:r>
        <w:rPr>
          <w:spacing w:val="-1"/>
        </w:rPr>
        <w:t>Processing</w:t>
      </w:r>
      <w:r>
        <w:rPr>
          <w:spacing w:val="34"/>
        </w:rPr>
        <w:t xml:space="preserve"> </w:t>
      </w:r>
      <w:r>
        <w:rPr>
          <w:spacing w:val="-1"/>
        </w:rPr>
        <w:t>and/or</w:t>
      </w:r>
      <w:r>
        <w:rPr>
          <w:spacing w:val="33"/>
        </w:rPr>
        <w:t xml:space="preserve"> </w:t>
      </w:r>
      <w:r>
        <w:rPr>
          <w:spacing w:val="-2"/>
        </w:rPr>
        <w:t>receiving</w:t>
      </w:r>
      <w:r>
        <w:rPr>
          <w:spacing w:val="34"/>
        </w:rPr>
        <w:t xml:space="preserve"> </w:t>
      </w:r>
      <w:r>
        <w:rPr>
          <w:spacing w:val="-1"/>
        </w:rPr>
        <w:t>Personal</w:t>
      </w:r>
      <w:r>
        <w:rPr>
          <w:spacing w:val="31"/>
        </w:rPr>
        <w:t xml:space="preserve"> </w:t>
      </w:r>
      <w:r>
        <w:rPr>
          <w:spacing w:val="-1"/>
        </w:rPr>
        <w:t>Data</w:t>
      </w:r>
      <w:r>
        <w:rPr>
          <w:spacing w:val="31"/>
        </w:rPr>
        <w:t xml:space="preserve"> </w:t>
      </w:r>
      <w:r>
        <w:rPr>
          <w:spacing w:val="-1"/>
        </w:rPr>
        <w:t>in</w:t>
      </w:r>
      <w:r>
        <w:rPr>
          <w:spacing w:val="31"/>
        </w:rPr>
        <w:t xml:space="preserve"> </w:t>
      </w:r>
      <w:r>
        <w:rPr>
          <w:spacing w:val="-1"/>
        </w:rPr>
        <w:t>Restricted</w:t>
      </w:r>
      <w:r>
        <w:rPr>
          <w:spacing w:val="35"/>
        </w:rPr>
        <w:t xml:space="preserve"> </w:t>
      </w:r>
      <w:r>
        <w:rPr>
          <w:spacing w:val="-1"/>
        </w:rPr>
        <w:t>Countries;</w:t>
      </w:r>
    </w:p>
    <w:p w:rsidR="008918FA" w:rsidRDefault="008918FA" w:rsidP="008918FA">
      <w:pPr>
        <w:pStyle w:val="BodyText"/>
        <w:numPr>
          <w:ilvl w:val="4"/>
          <w:numId w:val="66"/>
        </w:numPr>
        <w:tabs>
          <w:tab w:val="left" w:pos="3163"/>
        </w:tabs>
        <w:ind w:left="3162" w:right="112" w:hanging="568"/>
        <w:jc w:val="both"/>
      </w:pPr>
      <w:r>
        <w:rPr>
          <w:spacing w:val="-1"/>
        </w:rPr>
        <w:t>how</w:t>
      </w:r>
      <w:r>
        <w:rPr>
          <w:spacing w:val="44"/>
        </w:rPr>
        <w:t xml:space="preserve"> </w:t>
      </w:r>
      <w:r>
        <w:t>the</w:t>
      </w:r>
      <w:r>
        <w:rPr>
          <w:spacing w:val="47"/>
        </w:rPr>
        <w:t xml:space="preserve"> </w:t>
      </w:r>
      <w:r>
        <w:rPr>
          <w:spacing w:val="-2"/>
        </w:rPr>
        <w:t>Supplier</w:t>
      </w:r>
      <w:r>
        <w:rPr>
          <w:spacing w:val="48"/>
        </w:rPr>
        <w:t xml:space="preserve"> </w:t>
      </w:r>
      <w:r>
        <w:rPr>
          <w:spacing w:val="-2"/>
        </w:rPr>
        <w:t>will</w:t>
      </w:r>
      <w:r>
        <w:rPr>
          <w:spacing w:val="49"/>
        </w:rPr>
        <w:t xml:space="preserve"> </w:t>
      </w:r>
      <w:r>
        <w:rPr>
          <w:spacing w:val="-1"/>
        </w:rPr>
        <w:t>ensure</w:t>
      </w:r>
      <w:r>
        <w:rPr>
          <w:spacing w:val="45"/>
        </w:rPr>
        <w:t xml:space="preserve"> </w:t>
      </w:r>
      <w:r>
        <w:rPr>
          <w:spacing w:val="-1"/>
        </w:rPr>
        <w:t>an</w:t>
      </w:r>
      <w:r>
        <w:rPr>
          <w:spacing w:val="47"/>
        </w:rPr>
        <w:t xml:space="preserve"> </w:t>
      </w:r>
      <w:r>
        <w:rPr>
          <w:spacing w:val="-1"/>
        </w:rPr>
        <w:t>adequate</w:t>
      </w:r>
      <w:r>
        <w:rPr>
          <w:spacing w:val="46"/>
        </w:rPr>
        <w:t xml:space="preserve"> </w:t>
      </w:r>
      <w:r>
        <w:rPr>
          <w:spacing w:val="-2"/>
        </w:rPr>
        <w:t>level</w:t>
      </w:r>
      <w:r>
        <w:rPr>
          <w:spacing w:val="46"/>
        </w:rPr>
        <w:t xml:space="preserve"> </w:t>
      </w:r>
      <w:r>
        <w:rPr>
          <w:spacing w:val="-1"/>
        </w:rPr>
        <w:t>of</w:t>
      </w:r>
      <w:r>
        <w:rPr>
          <w:spacing w:val="40"/>
        </w:rPr>
        <w:t xml:space="preserve"> </w:t>
      </w:r>
      <w:r>
        <w:rPr>
          <w:spacing w:val="-1"/>
        </w:rPr>
        <w:t>protection</w:t>
      </w:r>
      <w:r>
        <w:rPr>
          <w:spacing w:val="9"/>
        </w:rPr>
        <w:t xml:space="preserve"> </w:t>
      </w:r>
      <w:r>
        <w:rPr>
          <w:spacing w:val="-1"/>
        </w:rPr>
        <w:t>and</w:t>
      </w:r>
      <w:r>
        <w:rPr>
          <w:spacing w:val="9"/>
        </w:rPr>
        <w:t xml:space="preserve"> </w:t>
      </w:r>
      <w:r>
        <w:rPr>
          <w:spacing w:val="-1"/>
        </w:rPr>
        <w:t>adequate</w:t>
      </w:r>
      <w:r>
        <w:rPr>
          <w:spacing w:val="9"/>
        </w:rPr>
        <w:t xml:space="preserve"> </w:t>
      </w:r>
      <w:r>
        <w:rPr>
          <w:spacing w:val="-1"/>
        </w:rPr>
        <w:t>safeguards</w:t>
      </w:r>
      <w:r>
        <w:rPr>
          <w:spacing w:val="9"/>
        </w:rPr>
        <w:t xml:space="preserve"> </w:t>
      </w:r>
      <w:r>
        <w:rPr>
          <w:spacing w:val="-1"/>
        </w:rPr>
        <w:t>in</w:t>
      </w:r>
      <w:r>
        <w:rPr>
          <w:spacing w:val="9"/>
        </w:rPr>
        <w:t xml:space="preserve"> </w:t>
      </w:r>
      <w:r>
        <w:rPr>
          <w:spacing w:val="-1"/>
        </w:rPr>
        <w:t>respect</w:t>
      </w:r>
      <w:r>
        <w:rPr>
          <w:spacing w:val="10"/>
        </w:rPr>
        <w:t xml:space="preserve"> </w:t>
      </w:r>
      <w:r>
        <w:rPr>
          <w:spacing w:val="-2"/>
        </w:rPr>
        <w:t>of</w:t>
      </w:r>
      <w:r>
        <w:rPr>
          <w:spacing w:val="13"/>
        </w:rPr>
        <w:t xml:space="preserve"> </w:t>
      </w:r>
      <w:r>
        <w:rPr>
          <w:spacing w:val="-1"/>
        </w:rPr>
        <w:t>the</w:t>
      </w:r>
      <w:r>
        <w:rPr>
          <w:spacing w:val="27"/>
        </w:rPr>
        <w:t xml:space="preserve"> </w:t>
      </w:r>
      <w:r>
        <w:rPr>
          <w:spacing w:val="-1"/>
        </w:rPr>
        <w:t>Personal</w:t>
      </w:r>
      <w:r>
        <w:t xml:space="preserve"> </w:t>
      </w:r>
      <w:r>
        <w:rPr>
          <w:spacing w:val="-1"/>
        </w:rPr>
        <w:t>Data</w:t>
      </w:r>
      <w:r>
        <w:t xml:space="preserve"> </w:t>
      </w:r>
      <w:r>
        <w:rPr>
          <w:spacing w:val="-1"/>
        </w:rPr>
        <w:t>that</w:t>
      </w:r>
      <w:r>
        <w:rPr>
          <w:spacing w:val="2"/>
        </w:rPr>
        <w:t xml:space="preserve"> </w:t>
      </w:r>
      <w:r>
        <w:rPr>
          <w:spacing w:val="-2"/>
        </w:rPr>
        <w:t>will</w:t>
      </w:r>
      <w:r>
        <w:t xml:space="preserve"> </w:t>
      </w:r>
      <w:r>
        <w:rPr>
          <w:spacing w:val="1"/>
        </w:rPr>
        <w:t>be</w:t>
      </w:r>
      <w:r>
        <w:t xml:space="preserve"> </w:t>
      </w:r>
      <w:r>
        <w:rPr>
          <w:spacing w:val="-1"/>
        </w:rPr>
        <w:t>Processed</w:t>
      </w:r>
      <w:r>
        <w:t xml:space="preserve"> </w:t>
      </w:r>
      <w:r>
        <w:rPr>
          <w:spacing w:val="-1"/>
        </w:rPr>
        <w:t>in</w:t>
      </w:r>
      <w:r>
        <w:t xml:space="preserve"> </w:t>
      </w:r>
      <w:r>
        <w:rPr>
          <w:spacing w:val="-1"/>
        </w:rPr>
        <w:t>and/or</w:t>
      </w:r>
      <w:r>
        <w:rPr>
          <w:spacing w:val="2"/>
        </w:rPr>
        <w:t xml:space="preserve"> </w:t>
      </w:r>
      <w:r>
        <w:rPr>
          <w:spacing w:val="-1"/>
        </w:rPr>
        <w:t>transferred</w:t>
      </w:r>
      <w:r>
        <w:rPr>
          <w:spacing w:val="28"/>
        </w:rPr>
        <w:t xml:space="preserve"> </w:t>
      </w:r>
      <w:r>
        <w:t>to</w:t>
      </w:r>
      <w:r>
        <w:rPr>
          <w:spacing w:val="36"/>
        </w:rPr>
        <w:t xml:space="preserve"> </w:t>
      </w:r>
      <w:r>
        <w:rPr>
          <w:spacing w:val="-1"/>
        </w:rPr>
        <w:t>Restricted</w:t>
      </w:r>
      <w:r>
        <w:rPr>
          <w:spacing w:val="36"/>
        </w:rPr>
        <w:t xml:space="preserve"> </w:t>
      </w:r>
      <w:r>
        <w:rPr>
          <w:spacing w:val="-1"/>
        </w:rPr>
        <w:t>Countries</w:t>
      </w:r>
      <w:r>
        <w:rPr>
          <w:spacing w:val="34"/>
        </w:rPr>
        <w:t xml:space="preserve"> </w:t>
      </w:r>
      <w:r>
        <w:rPr>
          <w:spacing w:val="-1"/>
        </w:rPr>
        <w:t>so</w:t>
      </w:r>
      <w:r>
        <w:rPr>
          <w:spacing w:val="37"/>
        </w:rPr>
        <w:t xml:space="preserve"> </w:t>
      </w:r>
      <w:r>
        <w:rPr>
          <w:spacing w:val="-1"/>
        </w:rPr>
        <w:t>as</w:t>
      </w:r>
      <w:r>
        <w:rPr>
          <w:spacing w:val="37"/>
        </w:rPr>
        <w:t xml:space="preserve"> </w:t>
      </w:r>
      <w:r>
        <w:t>to</w:t>
      </w:r>
      <w:r>
        <w:rPr>
          <w:spacing w:val="36"/>
        </w:rPr>
        <w:t xml:space="preserve"> </w:t>
      </w:r>
      <w:r>
        <w:rPr>
          <w:spacing w:val="-1"/>
        </w:rPr>
        <w:t>ensure</w:t>
      </w:r>
      <w:r>
        <w:rPr>
          <w:spacing w:val="37"/>
        </w:rPr>
        <w:t xml:space="preserve"> </w:t>
      </w:r>
      <w:r>
        <w:t>the</w:t>
      </w:r>
      <w:r>
        <w:rPr>
          <w:spacing w:val="36"/>
        </w:rPr>
        <w:t xml:space="preserve"> </w:t>
      </w:r>
      <w:r>
        <w:rPr>
          <w:spacing w:val="-1"/>
        </w:rPr>
        <w:t>Customer’s</w:t>
      </w:r>
      <w:r>
        <w:rPr>
          <w:spacing w:val="25"/>
        </w:rPr>
        <w:t xml:space="preserve"> </w:t>
      </w:r>
      <w:r>
        <w:rPr>
          <w:spacing w:val="-1"/>
        </w:rPr>
        <w:t>compliance</w:t>
      </w:r>
      <w:r>
        <w:rPr>
          <w:spacing w:val="1"/>
        </w:rPr>
        <w:t xml:space="preserve"> </w:t>
      </w:r>
      <w:r>
        <w:rPr>
          <w:spacing w:val="-2"/>
        </w:rPr>
        <w:t>with</w:t>
      </w:r>
      <w:r>
        <w:t xml:space="preserve"> the</w:t>
      </w:r>
      <w:r>
        <w:rPr>
          <w:spacing w:val="60"/>
        </w:rPr>
        <w:t xml:space="preserve"> </w:t>
      </w:r>
      <w:r>
        <w:rPr>
          <w:spacing w:val="-2"/>
        </w:rPr>
        <w:t>DPA;</w:t>
      </w:r>
    </w:p>
    <w:p w:rsidR="008918FA" w:rsidRDefault="008918FA" w:rsidP="008918FA">
      <w:pPr>
        <w:pStyle w:val="BodyText"/>
        <w:numPr>
          <w:ilvl w:val="3"/>
          <w:numId w:val="66"/>
        </w:numPr>
        <w:tabs>
          <w:tab w:val="left" w:pos="2595"/>
        </w:tabs>
        <w:ind w:left="2594" w:right="114"/>
        <w:jc w:val="both"/>
      </w:pPr>
      <w:bookmarkStart w:id="231" w:name="_bookmark197"/>
      <w:bookmarkEnd w:id="231"/>
      <w:r>
        <w:rPr>
          <w:spacing w:val="-1"/>
        </w:rPr>
        <w:t>in</w:t>
      </w:r>
      <w:r>
        <w:rPr>
          <w:spacing w:val="14"/>
        </w:rPr>
        <w:t xml:space="preserve"> </w:t>
      </w:r>
      <w:r>
        <w:rPr>
          <w:spacing w:val="-1"/>
        </w:rPr>
        <w:t>providing</w:t>
      </w:r>
      <w:r>
        <w:rPr>
          <w:spacing w:val="16"/>
        </w:rPr>
        <w:t xml:space="preserve"> </w:t>
      </w:r>
      <w:r>
        <w:rPr>
          <w:spacing w:val="-1"/>
        </w:rPr>
        <w:t>and</w:t>
      </w:r>
      <w:r>
        <w:rPr>
          <w:spacing w:val="13"/>
        </w:rPr>
        <w:t xml:space="preserve"> </w:t>
      </w:r>
      <w:r>
        <w:rPr>
          <w:spacing w:val="-1"/>
        </w:rPr>
        <w:t>evaluating</w:t>
      </w:r>
      <w:r>
        <w:rPr>
          <w:spacing w:val="16"/>
        </w:rPr>
        <w:t xml:space="preserve"> </w:t>
      </w:r>
      <w:r>
        <w:t>the</w:t>
      </w:r>
      <w:r>
        <w:rPr>
          <w:spacing w:val="14"/>
        </w:rPr>
        <w:t xml:space="preserve"> </w:t>
      </w:r>
      <w:r>
        <w:rPr>
          <w:spacing w:val="-1"/>
        </w:rPr>
        <w:t>Variation,</w:t>
      </w:r>
      <w:r>
        <w:rPr>
          <w:spacing w:val="15"/>
        </w:rPr>
        <w:t xml:space="preserve"> </w:t>
      </w:r>
      <w:r>
        <w:t>the</w:t>
      </w:r>
      <w:r>
        <w:rPr>
          <w:spacing w:val="11"/>
        </w:rPr>
        <w:t xml:space="preserve"> </w:t>
      </w:r>
      <w:r>
        <w:rPr>
          <w:spacing w:val="-1"/>
        </w:rPr>
        <w:t>Parties</w:t>
      </w:r>
      <w:r>
        <w:rPr>
          <w:spacing w:val="14"/>
        </w:rPr>
        <w:t xml:space="preserve"> </w:t>
      </w:r>
      <w:r>
        <w:rPr>
          <w:spacing w:val="-1"/>
        </w:rPr>
        <w:t>shall</w:t>
      </w:r>
      <w:r>
        <w:rPr>
          <w:spacing w:val="23"/>
        </w:rPr>
        <w:t xml:space="preserve"> </w:t>
      </w:r>
      <w:r>
        <w:rPr>
          <w:spacing w:val="-1"/>
        </w:rPr>
        <w:t>ensure</w:t>
      </w:r>
      <w:r>
        <w:rPr>
          <w:spacing w:val="29"/>
        </w:rPr>
        <w:t xml:space="preserve"> </w:t>
      </w:r>
      <w:r>
        <w:rPr>
          <w:spacing w:val="-1"/>
        </w:rPr>
        <w:t>that</w:t>
      </w:r>
      <w:r>
        <w:rPr>
          <w:spacing w:val="30"/>
        </w:rPr>
        <w:t xml:space="preserve"> </w:t>
      </w:r>
      <w:r>
        <w:rPr>
          <w:spacing w:val="-1"/>
        </w:rPr>
        <w:t>they</w:t>
      </w:r>
      <w:r>
        <w:rPr>
          <w:spacing w:val="27"/>
        </w:rPr>
        <w:t xml:space="preserve"> </w:t>
      </w:r>
      <w:r>
        <w:rPr>
          <w:spacing w:val="-2"/>
        </w:rPr>
        <w:t>have</w:t>
      </w:r>
      <w:r>
        <w:rPr>
          <w:spacing w:val="29"/>
        </w:rPr>
        <w:t xml:space="preserve"> </w:t>
      </w:r>
      <w:r>
        <w:rPr>
          <w:spacing w:val="-1"/>
        </w:rPr>
        <w:t>regard</w:t>
      </w:r>
      <w:r>
        <w:rPr>
          <w:spacing w:val="29"/>
        </w:rPr>
        <w:t xml:space="preserve"> </w:t>
      </w:r>
      <w:r>
        <w:t>to</w:t>
      </w:r>
      <w:r>
        <w:rPr>
          <w:spacing w:val="29"/>
        </w:rPr>
        <w:t xml:space="preserve"> </w:t>
      </w:r>
      <w:r>
        <w:rPr>
          <w:spacing w:val="-1"/>
        </w:rPr>
        <w:t>and</w:t>
      </w:r>
      <w:r>
        <w:rPr>
          <w:spacing w:val="29"/>
        </w:rPr>
        <w:t xml:space="preserve"> </w:t>
      </w:r>
      <w:r>
        <w:rPr>
          <w:spacing w:val="-2"/>
        </w:rPr>
        <w:t>comply</w:t>
      </w:r>
      <w:r>
        <w:rPr>
          <w:spacing w:val="30"/>
        </w:rPr>
        <w:t xml:space="preserve"> </w:t>
      </w:r>
      <w:r>
        <w:rPr>
          <w:spacing w:val="-2"/>
        </w:rPr>
        <w:t>with</w:t>
      </w:r>
      <w:r>
        <w:rPr>
          <w:spacing w:val="29"/>
        </w:rPr>
        <w:t xml:space="preserve"> </w:t>
      </w:r>
      <w:r>
        <w:rPr>
          <w:spacing w:val="-1"/>
        </w:rPr>
        <w:t>then-current</w:t>
      </w:r>
      <w:r>
        <w:rPr>
          <w:spacing w:val="50"/>
        </w:rPr>
        <w:t xml:space="preserve"> </w:t>
      </w:r>
      <w:r>
        <w:rPr>
          <w:spacing w:val="-1"/>
        </w:rPr>
        <w:t>Customer,</w:t>
      </w:r>
      <w:r>
        <w:rPr>
          <w:spacing w:val="45"/>
        </w:rPr>
        <w:t xml:space="preserve"> </w:t>
      </w:r>
      <w:r>
        <w:rPr>
          <w:spacing w:val="-1"/>
        </w:rPr>
        <w:t>Central</w:t>
      </w:r>
      <w:r>
        <w:rPr>
          <w:spacing w:val="43"/>
        </w:rPr>
        <w:t xml:space="preserve"> </w:t>
      </w:r>
      <w:r>
        <w:rPr>
          <w:spacing w:val="-1"/>
        </w:rPr>
        <w:t>Government</w:t>
      </w:r>
      <w:r>
        <w:rPr>
          <w:spacing w:val="45"/>
        </w:rPr>
        <w:t xml:space="preserve"> </w:t>
      </w:r>
      <w:r>
        <w:rPr>
          <w:spacing w:val="-1"/>
        </w:rPr>
        <w:t>Bodies</w:t>
      </w:r>
      <w:r>
        <w:rPr>
          <w:spacing w:val="44"/>
        </w:rPr>
        <w:t xml:space="preserve"> </w:t>
      </w:r>
      <w:r>
        <w:rPr>
          <w:spacing w:val="-2"/>
        </w:rPr>
        <w:t>and</w:t>
      </w:r>
      <w:r>
        <w:rPr>
          <w:spacing w:val="44"/>
        </w:rPr>
        <w:t xml:space="preserve"> </w:t>
      </w:r>
      <w:r>
        <w:rPr>
          <w:spacing w:val="-1"/>
        </w:rPr>
        <w:t>Information</w:t>
      </w:r>
      <w:r>
        <w:rPr>
          <w:spacing w:val="27"/>
        </w:rPr>
        <w:t xml:space="preserve"> </w:t>
      </w:r>
      <w:r>
        <w:rPr>
          <w:spacing w:val="-1"/>
        </w:rPr>
        <w:t>Commissioner</w:t>
      </w:r>
      <w:r>
        <w:rPr>
          <w:spacing w:val="9"/>
        </w:rPr>
        <w:t xml:space="preserve"> </w:t>
      </w:r>
      <w:r>
        <w:rPr>
          <w:spacing w:val="-1"/>
        </w:rPr>
        <w:t>Office</w:t>
      </w:r>
      <w:r>
        <w:rPr>
          <w:spacing w:val="10"/>
        </w:rPr>
        <w:t xml:space="preserve"> </w:t>
      </w:r>
      <w:r>
        <w:rPr>
          <w:spacing w:val="-2"/>
        </w:rPr>
        <w:t>policies,</w:t>
      </w:r>
      <w:r>
        <w:rPr>
          <w:spacing w:val="12"/>
        </w:rPr>
        <w:t xml:space="preserve"> </w:t>
      </w:r>
      <w:r>
        <w:rPr>
          <w:spacing w:val="-1"/>
        </w:rPr>
        <w:t>procedures,</w:t>
      </w:r>
      <w:r>
        <w:rPr>
          <w:spacing w:val="9"/>
        </w:rPr>
        <w:t xml:space="preserve"> </w:t>
      </w:r>
      <w:r>
        <w:rPr>
          <w:spacing w:val="-1"/>
        </w:rPr>
        <w:t>guidance</w:t>
      </w:r>
      <w:r>
        <w:rPr>
          <w:spacing w:val="10"/>
        </w:rPr>
        <w:t xml:space="preserve"> </w:t>
      </w:r>
      <w:r>
        <w:rPr>
          <w:spacing w:val="-1"/>
        </w:rPr>
        <w:t>and</w:t>
      </w:r>
      <w:r>
        <w:rPr>
          <w:spacing w:val="10"/>
        </w:rPr>
        <w:t xml:space="preserve"> </w:t>
      </w:r>
      <w:r>
        <w:rPr>
          <w:spacing w:val="-1"/>
        </w:rPr>
        <w:t>codes</w:t>
      </w:r>
      <w:r>
        <w:rPr>
          <w:spacing w:val="30"/>
        </w:rPr>
        <w:t xml:space="preserve"> </w:t>
      </w:r>
      <w:r>
        <w:rPr>
          <w:spacing w:val="-2"/>
        </w:rPr>
        <w:t>of</w:t>
      </w:r>
      <w:r>
        <w:rPr>
          <w:spacing w:val="6"/>
        </w:rPr>
        <w:t xml:space="preserve"> </w:t>
      </w:r>
      <w:r>
        <w:rPr>
          <w:spacing w:val="-1"/>
        </w:rPr>
        <w:t>practice</w:t>
      </w:r>
      <w:r>
        <w:rPr>
          <w:spacing w:val="3"/>
        </w:rPr>
        <w:t xml:space="preserve"> </w:t>
      </w:r>
      <w:r>
        <w:rPr>
          <w:spacing w:val="-2"/>
        </w:rPr>
        <w:t>on,</w:t>
      </w:r>
      <w:r>
        <w:rPr>
          <w:spacing w:val="4"/>
        </w:rPr>
        <w:t xml:space="preserve"> </w:t>
      </w:r>
      <w:r>
        <w:rPr>
          <w:spacing w:val="-1"/>
        </w:rPr>
        <w:t>and</w:t>
      </w:r>
      <w:r>
        <w:rPr>
          <w:spacing w:val="3"/>
        </w:rPr>
        <w:t xml:space="preserve"> </w:t>
      </w:r>
      <w:r>
        <w:rPr>
          <w:spacing w:val="-1"/>
        </w:rPr>
        <w:t>any</w:t>
      </w:r>
      <w:r>
        <w:rPr>
          <w:spacing w:val="1"/>
        </w:rPr>
        <w:t xml:space="preserve"> </w:t>
      </w:r>
      <w:r>
        <w:rPr>
          <w:spacing w:val="-1"/>
        </w:rPr>
        <w:t>approvals</w:t>
      </w:r>
      <w:r>
        <w:rPr>
          <w:spacing w:val="3"/>
        </w:rPr>
        <w:t xml:space="preserve"> </w:t>
      </w:r>
      <w:r>
        <w:rPr>
          <w:spacing w:val="-1"/>
        </w:rPr>
        <w:t>processes</w:t>
      </w:r>
      <w:r>
        <w:rPr>
          <w:spacing w:val="3"/>
        </w:rPr>
        <w:t xml:space="preserve"> </w:t>
      </w:r>
      <w:r>
        <w:rPr>
          <w:spacing w:val="-1"/>
        </w:rPr>
        <w:t>in</w:t>
      </w:r>
      <w:r>
        <w:rPr>
          <w:spacing w:val="3"/>
        </w:rPr>
        <w:t xml:space="preserve"> </w:t>
      </w:r>
      <w:r>
        <w:rPr>
          <w:spacing w:val="-1"/>
        </w:rPr>
        <w:t>connection</w:t>
      </w:r>
      <w:r>
        <w:rPr>
          <w:spacing w:val="3"/>
        </w:rPr>
        <w:t xml:space="preserve"> </w:t>
      </w:r>
      <w:r>
        <w:rPr>
          <w:spacing w:val="-2"/>
        </w:rPr>
        <w:t>with,</w:t>
      </w:r>
      <w:r>
        <w:rPr>
          <w:spacing w:val="38"/>
        </w:rPr>
        <w:t xml:space="preserve"> </w:t>
      </w:r>
      <w:r>
        <w:t>the</w:t>
      </w:r>
      <w:r>
        <w:rPr>
          <w:spacing w:val="2"/>
        </w:rPr>
        <w:t xml:space="preserve"> </w:t>
      </w:r>
      <w:r>
        <w:rPr>
          <w:spacing w:val="-1"/>
        </w:rPr>
        <w:t>Processing</w:t>
      </w:r>
      <w:r>
        <w:rPr>
          <w:spacing w:val="2"/>
        </w:rPr>
        <w:t xml:space="preserve"> </w:t>
      </w:r>
      <w:r>
        <w:rPr>
          <w:spacing w:val="-1"/>
        </w:rPr>
        <w:t>in</w:t>
      </w:r>
      <w:r>
        <w:rPr>
          <w:spacing w:val="2"/>
        </w:rPr>
        <w:t xml:space="preserve"> </w:t>
      </w:r>
      <w:r>
        <w:rPr>
          <w:spacing w:val="-1"/>
        </w:rPr>
        <w:t>and/or</w:t>
      </w:r>
      <w:r>
        <w:rPr>
          <w:spacing w:val="3"/>
        </w:rPr>
        <w:t xml:space="preserve"> </w:t>
      </w:r>
      <w:r>
        <w:rPr>
          <w:spacing w:val="-1"/>
        </w:rPr>
        <w:t>transfers</w:t>
      </w:r>
      <w:r>
        <w:rPr>
          <w:spacing w:val="61"/>
        </w:rPr>
        <w:t xml:space="preserve"> </w:t>
      </w:r>
      <w:r>
        <w:rPr>
          <w:spacing w:val="-2"/>
        </w:rPr>
        <w:t>of</w:t>
      </w:r>
      <w:r>
        <w:rPr>
          <w:spacing w:val="5"/>
        </w:rPr>
        <w:t xml:space="preserve"> </w:t>
      </w:r>
      <w:r>
        <w:rPr>
          <w:spacing w:val="-2"/>
        </w:rPr>
        <w:t>Personal</w:t>
      </w:r>
      <w:r>
        <w:rPr>
          <w:spacing w:val="1"/>
        </w:rPr>
        <w:t xml:space="preserve"> </w:t>
      </w:r>
      <w:r>
        <w:rPr>
          <w:spacing w:val="-1"/>
        </w:rPr>
        <w:t>Data</w:t>
      </w:r>
      <w:r>
        <w:rPr>
          <w:spacing w:val="2"/>
        </w:rPr>
        <w:t xml:space="preserve"> </w:t>
      </w:r>
      <w:r>
        <w:t>to</w:t>
      </w:r>
      <w:r>
        <w:rPr>
          <w:spacing w:val="60"/>
        </w:rPr>
        <w:t xml:space="preserve"> </w:t>
      </w:r>
      <w:r>
        <w:rPr>
          <w:spacing w:val="-1"/>
        </w:rPr>
        <w:t>any</w:t>
      </w:r>
      <w:r>
        <w:rPr>
          <w:spacing w:val="26"/>
        </w:rPr>
        <w:t xml:space="preserve"> </w:t>
      </w:r>
      <w:r>
        <w:rPr>
          <w:spacing w:val="-1"/>
        </w:rPr>
        <w:t>Restricted</w:t>
      </w:r>
      <w:r>
        <w:rPr>
          <w:spacing w:val="-2"/>
        </w:rPr>
        <w:t xml:space="preserve"> Countries;</w:t>
      </w:r>
      <w:r>
        <w:t xml:space="preserve"> </w:t>
      </w:r>
      <w:r>
        <w:rPr>
          <w:spacing w:val="-2"/>
        </w:rPr>
        <w:t>and</w:t>
      </w:r>
    </w:p>
    <w:p w:rsidR="008918FA" w:rsidRDefault="008918FA" w:rsidP="008918FA">
      <w:pPr>
        <w:pStyle w:val="BodyText"/>
        <w:numPr>
          <w:ilvl w:val="3"/>
          <w:numId w:val="66"/>
        </w:numPr>
        <w:tabs>
          <w:tab w:val="left" w:pos="2594"/>
        </w:tabs>
        <w:ind w:left="2593" w:right="115" w:hanging="707"/>
        <w:jc w:val="both"/>
      </w:pPr>
      <w:r>
        <w:t>the</w:t>
      </w:r>
      <w:r>
        <w:rPr>
          <w:spacing w:val="12"/>
        </w:rPr>
        <w:t xml:space="preserve"> </w:t>
      </w:r>
      <w:r>
        <w:rPr>
          <w:spacing w:val="-2"/>
        </w:rPr>
        <w:t>Supplier</w:t>
      </w:r>
      <w:r>
        <w:rPr>
          <w:spacing w:val="14"/>
        </w:rPr>
        <w:t xml:space="preserve"> </w:t>
      </w:r>
      <w:r>
        <w:rPr>
          <w:spacing w:val="-1"/>
        </w:rPr>
        <w:t>shall</w:t>
      </w:r>
      <w:r>
        <w:rPr>
          <w:spacing w:val="12"/>
        </w:rPr>
        <w:t xml:space="preserve"> </w:t>
      </w:r>
      <w:r>
        <w:rPr>
          <w:spacing w:val="-1"/>
        </w:rPr>
        <w:t>comply</w:t>
      </w:r>
      <w:r>
        <w:rPr>
          <w:spacing w:val="13"/>
        </w:rPr>
        <w:t xml:space="preserve"> </w:t>
      </w:r>
      <w:r>
        <w:rPr>
          <w:spacing w:val="-2"/>
        </w:rPr>
        <w:t>with</w:t>
      </w:r>
      <w:r>
        <w:rPr>
          <w:spacing w:val="12"/>
        </w:rPr>
        <w:t xml:space="preserve"> </w:t>
      </w:r>
      <w:r>
        <w:rPr>
          <w:spacing w:val="-1"/>
        </w:rPr>
        <w:t>such</w:t>
      </w:r>
      <w:r>
        <w:rPr>
          <w:spacing w:val="13"/>
        </w:rPr>
        <w:t xml:space="preserve"> </w:t>
      </w:r>
      <w:r>
        <w:rPr>
          <w:spacing w:val="-1"/>
        </w:rPr>
        <w:t>other</w:t>
      </w:r>
      <w:r>
        <w:rPr>
          <w:spacing w:val="11"/>
        </w:rPr>
        <w:t xml:space="preserve"> </w:t>
      </w:r>
      <w:r>
        <w:rPr>
          <w:spacing w:val="-1"/>
        </w:rPr>
        <w:t>instructions</w:t>
      </w:r>
      <w:r>
        <w:rPr>
          <w:spacing w:val="13"/>
        </w:rPr>
        <w:t xml:space="preserve"> </w:t>
      </w:r>
      <w:r>
        <w:rPr>
          <w:spacing w:val="-1"/>
        </w:rPr>
        <w:t>and</w:t>
      </w:r>
      <w:r>
        <w:rPr>
          <w:spacing w:val="12"/>
        </w:rPr>
        <w:t xml:space="preserve"> </w:t>
      </w:r>
      <w:r>
        <w:rPr>
          <w:spacing w:val="-1"/>
        </w:rPr>
        <w:t>shall</w:t>
      </w:r>
      <w:r>
        <w:rPr>
          <w:spacing w:val="37"/>
        </w:rPr>
        <w:t xml:space="preserve"> </w:t>
      </w:r>
      <w:r>
        <w:rPr>
          <w:spacing w:val="-1"/>
        </w:rPr>
        <w:t>carry</w:t>
      </w:r>
      <w:r>
        <w:rPr>
          <w:spacing w:val="51"/>
        </w:rPr>
        <w:t xml:space="preserve"> </w:t>
      </w:r>
      <w:r>
        <w:rPr>
          <w:spacing w:val="-1"/>
        </w:rPr>
        <w:t>out</w:t>
      </w:r>
      <w:r>
        <w:rPr>
          <w:spacing w:val="55"/>
        </w:rPr>
        <w:t xml:space="preserve"> </w:t>
      </w:r>
      <w:r>
        <w:rPr>
          <w:spacing w:val="-1"/>
        </w:rPr>
        <w:t>such</w:t>
      </w:r>
      <w:r>
        <w:rPr>
          <w:spacing w:val="53"/>
        </w:rPr>
        <w:t xml:space="preserve"> </w:t>
      </w:r>
      <w:r>
        <w:rPr>
          <w:spacing w:val="-1"/>
        </w:rPr>
        <w:t>other</w:t>
      </w:r>
      <w:r>
        <w:rPr>
          <w:spacing w:val="54"/>
        </w:rPr>
        <w:t xml:space="preserve"> </w:t>
      </w:r>
      <w:r>
        <w:rPr>
          <w:spacing w:val="-1"/>
        </w:rPr>
        <w:t>actions</w:t>
      </w:r>
      <w:r>
        <w:rPr>
          <w:spacing w:val="53"/>
        </w:rPr>
        <w:t xml:space="preserve"> </w:t>
      </w:r>
      <w:r>
        <w:rPr>
          <w:spacing w:val="-1"/>
        </w:rPr>
        <w:t>as</w:t>
      </w:r>
      <w:r>
        <w:rPr>
          <w:spacing w:val="53"/>
        </w:rPr>
        <w:t xml:space="preserve"> </w:t>
      </w:r>
      <w:r>
        <w:t>the</w:t>
      </w:r>
      <w:r>
        <w:rPr>
          <w:spacing w:val="54"/>
        </w:rPr>
        <w:t xml:space="preserve"> </w:t>
      </w:r>
      <w:r>
        <w:rPr>
          <w:spacing w:val="-2"/>
        </w:rPr>
        <w:t>Customer</w:t>
      </w:r>
      <w:r>
        <w:rPr>
          <w:spacing w:val="52"/>
        </w:rPr>
        <w:t xml:space="preserve"> </w:t>
      </w:r>
      <w:r>
        <w:rPr>
          <w:spacing w:val="-1"/>
        </w:rPr>
        <w:t>may</w:t>
      </w:r>
      <w:r>
        <w:rPr>
          <w:spacing w:val="51"/>
        </w:rPr>
        <w:t xml:space="preserve"> </w:t>
      </w:r>
      <w:r>
        <w:rPr>
          <w:spacing w:val="-1"/>
        </w:rPr>
        <w:t>notify</w:t>
      </w:r>
      <w:r>
        <w:rPr>
          <w:spacing w:val="51"/>
        </w:rPr>
        <w:t xml:space="preserve"> </w:t>
      </w:r>
      <w:r>
        <w:rPr>
          <w:spacing w:val="-1"/>
        </w:rPr>
        <w:t>in</w:t>
      </w:r>
      <w:r>
        <w:rPr>
          <w:spacing w:val="45"/>
        </w:rPr>
        <w:t xml:space="preserve"> </w:t>
      </w:r>
      <w:r>
        <w:rPr>
          <w:spacing w:val="-1"/>
        </w:rPr>
        <w:t>writing,</w:t>
      </w:r>
      <w:r>
        <w:rPr>
          <w:spacing w:val="2"/>
        </w:rPr>
        <w:t xml:space="preserve"> </w:t>
      </w:r>
      <w:r>
        <w:rPr>
          <w:spacing w:val="-2"/>
        </w:rPr>
        <w:t>including:</w:t>
      </w:r>
    </w:p>
    <w:p w:rsidR="008918FA" w:rsidRDefault="008918FA" w:rsidP="008918FA">
      <w:pPr>
        <w:pStyle w:val="BodyText"/>
        <w:numPr>
          <w:ilvl w:val="4"/>
          <w:numId w:val="66"/>
        </w:numPr>
        <w:tabs>
          <w:tab w:val="left" w:pos="3163"/>
        </w:tabs>
        <w:ind w:left="3162" w:right="113" w:hanging="568"/>
        <w:jc w:val="both"/>
      </w:pPr>
      <w:r>
        <w:rPr>
          <w:spacing w:val="-1"/>
        </w:rPr>
        <w:t>incorporating</w:t>
      </w:r>
      <w:r>
        <w:rPr>
          <w:spacing w:val="39"/>
        </w:rPr>
        <w:t xml:space="preserve"> </w:t>
      </w:r>
      <w:r>
        <w:rPr>
          <w:spacing w:val="-1"/>
        </w:rPr>
        <w:t>standard</w:t>
      </w:r>
      <w:r>
        <w:rPr>
          <w:spacing w:val="36"/>
        </w:rPr>
        <w:t xml:space="preserve"> </w:t>
      </w:r>
      <w:r>
        <w:rPr>
          <w:spacing w:val="-1"/>
        </w:rPr>
        <w:t>and/or</w:t>
      </w:r>
      <w:r>
        <w:rPr>
          <w:spacing w:val="38"/>
        </w:rPr>
        <w:t xml:space="preserve"> </w:t>
      </w:r>
      <w:r>
        <w:rPr>
          <w:spacing w:val="-1"/>
        </w:rPr>
        <w:t>model</w:t>
      </w:r>
      <w:r>
        <w:rPr>
          <w:spacing w:val="36"/>
        </w:rPr>
        <w:t xml:space="preserve"> </w:t>
      </w:r>
      <w:r>
        <w:rPr>
          <w:spacing w:val="-1"/>
        </w:rPr>
        <w:t>clauses</w:t>
      </w:r>
      <w:r>
        <w:rPr>
          <w:spacing w:val="37"/>
        </w:rPr>
        <w:t xml:space="preserve"> </w:t>
      </w:r>
      <w:r>
        <w:rPr>
          <w:spacing w:val="-1"/>
        </w:rPr>
        <w:t>(which</w:t>
      </w:r>
      <w:r>
        <w:rPr>
          <w:spacing w:val="37"/>
        </w:rPr>
        <w:t xml:space="preserve"> </w:t>
      </w:r>
      <w:r>
        <w:rPr>
          <w:spacing w:val="-1"/>
        </w:rPr>
        <w:t>are</w:t>
      </w:r>
      <w:r>
        <w:rPr>
          <w:spacing w:val="27"/>
        </w:rPr>
        <w:t xml:space="preserve"> </w:t>
      </w:r>
      <w:r>
        <w:rPr>
          <w:spacing w:val="-1"/>
        </w:rPr>
        <w:t>approved</w:t>
      </w:r>
      <w:r>
        <w:rPr>
          <w:spacing w:val="54"/>
        </w:rPr>
        <w:t xml:space="preserve"> </w:t>
      </w:r>
      <w:r>
        <w:rPr>
          <w:spacing w:val="-1"/>
        </w:rPr>
        <w:t>by</w:t>
      </w:r>
      <w:r>
        <w:rPr>
          <w:spacing w:val="52"/>
        </w:rPr>
        <w:t xml:space="preserve"> </w:t>
      </w:r>
      <w:r>
        <w:t>the</w:t>
      </w:r>
      <w:r>
        <w:rPr>
          <w:spacing w:val="54"/>
        </w:rPr>
        <w:t xml:space="preserve"> </w:t>
      </w:r>
      <w:r>
        <w:rPr>
          <w:spacing w:val="-1"/>
        </w:rPr>
        <w:t>European</w:t>
      </w:r>
      <w:r>
        <w:rPr>
          <w:spacing w:val="54"/>
        </w:rPr>
        <w:t xml:space="preserve"> </w:t>
      </w:r>
      <w:r>
        <w:rPr>
          <w:spacing w:val="-1"/>
        </w:rPr>
        <w:t>Commission</w:t>
      </w:r>
      <w:r>
        <w:rPr>
          <w:spacing w:val="54"/>
        </w:rPr>
        <w:t xml:space="preserve"> </w:t>
      </w:r>
      <w:r>
        <w:rPr>
          <w:spacing w:val="-1"/>
        </w:rPr>
        <w:t>as</w:t>
      </w:r>
      <w:r>
        <w:rPr>
          <w:spacing w:val="52"/>
        </w:rPr>
        <w:t xml:space="preserve"> </w:t>
      </w:r>
      <w:r>
        <w:rPr>
          <w:spacing w:val="-1"/>
        </w:rPr>
        <w:t>offering</w:t>
      </w:r>
      <w:r>
        <w:rPr>
          <w:spacing w:val="25"/>
        </w:rPr>
        <w:t xml:space="preserve"> </w:t>
      </w:r>
      <w:r>
        <w:rPr>
          <w:spacing w:val="-1"/>
        </w:rPr>
        <w:t>adequate</w:t>
      </w:r>
      <w:r>
        <w:rPr>
          <w:spacing w:val="36"/>
        </w:rPr>
        <w:t xml:space="preserve"> </w:t>
      </w:r>
      <w:r>
        <w:rPr>
          <w:spacing w:val="-1"/>
        </w:rPr>
        <w:t>safeguards</w:t>
      </w:r>
      <w:r>
        <w:rPr>
          <w:spacing w:val="34"/>
        </w:rPr>
        <w:t xml:space="preserve"> </w:t>
      </w:r>
      <w:r>
        <w:rPr>
          <w:spacing w:val="-2"/>
        </w:rPr>
        <w:t>under</w:t>
      </w:r>
      <w:r>
        <w:rPr>
          <w:spacing w:val="38"/>
        </w:rPr>
        <w:t xml:space="preserve"> </w:t>
      </w:r>
      <w:r>
        <w:t>the</w:t>
      </w:r>
      <w:r>
        <w:rPr>
          <w:spacing w:val="10"/>
        </w:rPr>
        <w:t xml:space="preserve"> </w:t>
      </w:r>
      <w:r>
        <w:rPr>
          <w:spacing w:val="-1"/>
        </w:rPr>
        <w:t>DPA)</w:t>
      </w:r>
      <w:r>
        <w:rPr>
          <w:spacing w:val="38"/>
        </w:rPr>
        <w:t xml:space="preserve"> </w:t>
      </w:r>
      <w:r>
        <w:rPr>
          <w:spacing w:val="-1"/>
        </w:rPr>
        <w:t>into</w:t>
      </w:r>
      <w:r>
        <w:rPr>
          <w:spacing w:val="36"/>
        </w:rPr>
        <w:t xml:space="preserve"> </w:t>
      </w:r>
      <w:r>
        <w:rPr>
          <w:spacing w:val="-1"/>
        </w:rPr>
        <w:t>this</w:t>
      </w:r>
      <w:r>
        <w:rPr>
          <w:spacing w:val="32"/>
        </w:rPr>
        <w:t xml:space="preserve"> </w:t>
      </w:r>
      <w:r>
        <w:rPr>
          <w:spacing w:val="-2"/>
        </w:rPr>
        <w:t>Call</w:t>
      </w:r>
      <w:r>
        <w:rPr>
          <w:spacing w:val="37"/>
        </w:rPr>
        <w:t xml:space="preserve"> </w:t>
      </w:r>
      <w:r>
        <w:rPr>
          <w:spacing w:val="-1"/>
        </w:rPr>
        <w:t>Off</w:t>
      </w:r>
      <w:r>
        <w:rPr>
          <w:spacing w:val="37"/>
        </w:rPr>
        <w:t xml:space="preserve"> </w:t>
      </w:r>
      <w:r>
        <w:rPr>
          <w:spacing w:val="-1"/>
        </w:rPr>
        <w:t>Contract</w:t>
      </w:r>
      <w:r>
        <w:rPr>
          <w:spacing w:val="61"/>
        </w:rPr>
        <w:t xml:space="preserve"> </w:t>
      </w:r>
      <w:r>
        <w:rPr>
          <w:spacing w:val="-1"/>
        </w:rPr>
        <w:t>or</w:t>
      </w:r>
      <w:r>
        <w:rPr>
          <w:spacing w:val="60"/>
        </w:rPr>
        <w:t xml:space="preserve"> </w:t>
      </w:r>
      <w:r>
        <w:t>a</w:t>
      </w:r>
      <w:r>
        <w:rPr>
          <w:spacing w:val="59"/>
        </w:rPr>
        <w:t xml:space="preserve"> </w:t>
      </w:r>
      <w:r>
        <w:rPr>
          <w:spacing w:val="-1"/>
        </w:rPr>
        <w:t>separate</w:t>
      </w:r>
      <w:r>
        <w:rPr>
          <w:spacing w:val="59"/>
        </w:rPr>
        <w:t xml:space="preserve"> </w:t>
      </w:r>
      <w:r>
        <w:rPr>
          <w:spacing w:val="-1"/>
        </w:rPr>
        <w:t>data</w:t>
      </w:r>
      <w:r>
        <w:rPr>
          <w:spacing w:val="59"/>
        </w:rPr>
        <w:t xml:space="preserve"> </w:t>
      </w:r>
      <w:r>
        <w:rPr>
          <w:spacing w:val="-1"/>
        </w:rPr>
        <w:t>processing</w:t>
      </w:r>
      <w:r>
        <w:t xml:space="preserve">  </w:t>
      </w:r>
      <w:r>
        <w:rPr>
          <w:spacing w:val="-2"/>
        </w:rPr>
        <w:t>agreement</w:t>
      </w:r>
      <w:r>
        <w:rPr>
          <w:spacing w:val="33"/>
        </w:rPr>
        <w:t xml:space="preserve"> </w:t>
      </w:r>
      <w:r>
        <w:rPr>
          <w:spacing w:val="-1"/>
        </w:rPr>
        <w:t>between</w:t>
      </w:r>
      <w:r>
        <w:t xml:space="preserve"> the </w:t>
      </w:r>
      <w:r>
        <w:rPr>
          <w:spacing w:val="-1"/>
        </w:rPr>
        <w:t>Parties;</w:t>
      </w:r>
      <w:r>
        <w:t xml:space="preserve"> </w:t>
      </w:r>
      <w:r>
        <w:rPr>
          <w:spacing w:val="-1"/>
        </w:rPr>
        <w:t>and</w:t>
      </w:r>
    </w:p>
    <w:p w:rsidR="008918FA" w:rsidRDefault="008918FA" w:rsidP="008918FA">
      <w:pPr>
        <w:pStyle w:val="BodyText"/>
        <w:numPr>
          <w:ilvl w:val="4"/>
          <w:numId w:val="66"/>
        </w:numPr>
        <w:tabs>
          <w:tab w:val="left" w:pos="3163"/>
        </w:tabs>
        <w:ind w:left="3162" w:right="113" w:hanging="568"/>
        <w:jc w:val="both"/>
      </w:pPr>
      <w:r>
        <w:rPr>
          <w:spacing w:val="-1"/>
        </w:rPr>
        <w:t>procuring</w:t>
      </w:r>
      <w:r>
        <w:rPr>
          <w:spacing w:val="3"/>
        </w:rPr>
        <w:t xml:space="preserve"> </w:t>
      </w:r>
      <w:r>
        <w:rPr>
          <w:spacing w:val="-1"/>
        </w:rPr>
        <w:t>that</w:t>
      </w:r>
      <w:r>
        <w:rPr>
          <w:spacing w:val="2"/>
        </w:rPr>
        <w:t xml:space="preserve"> </w:t>
      </w:r>
      <w:r>
        <w:rPr>
          <w:spacing w:val="-1"/>
        </w:rPr>
        <w:t>any</w:t>
      </w:r>
      <w:r>
        <w:rPr>
          <w:spacing w:val="-2"/>
        </w:rPr>
        <w:t xml:space="preserve"> </w:t>
      </w:r>
      <w:r>
        <w:rPr>
          <w:spacing w:val="-1"/>
        </w:rPr>
        <w:t>Sub-Contractor</w:t>
      </w:r>
      <w:r>
        <w:rPr>
          <w:spacing w:val="2"/>
        </w:rPr>
        <w:t xml:space="preserve"> </w:t>
      </w:r>
      <w:r>
        <w:rPr>
          <w:spacing w:val="-2"/>
        </w:rPr>
        <w:t>or</w:t>
      </w:r>
      <w:r>
        <w:rPr>
          <w:spacing w:val="2"/>
        </w:rPr>
        <w:t xml:space="preserve"> </w:t>
      </w:r>
      <w:r>
        <w:rPr>
          <w:spacing w:val="-1"/>
        </w:rPr>
        <w:t>other</w:t>
      </w:r>
      <w:r>
        <w:rPr>
          <w:spacing w:val="2"/>
        </w:rPr>
        <w:t xml:space="preserve"> </w:t>
      </w:r>
      <w:r>
        <w:rPr>
          <w:spacing w:val="-1"/>
        </w:rPr>
        <w:t>third</w:t>
      </w:r>
      <w:r>
        <w:t xml:space="preserve"> </w:t>
      </w:r>
      <w:r>
        <w:rPr>
          <w:spacing w:val="-1"/>
        </w:rPr>
        <w:t>party</w:t>
      </w:r>
      <w:r>
        <w:rPr>
          <w:spacing w:val="-2"/>
        </w:rPr>
        <w:t xml:space="preserve"> who</w:t>
      </w:r>
      <w:r>
        <w:rPr>
          <w:spacing w:val="28"/>
        </w:rPr>
        <w:t xml:space="preserve"> </w:t>
      </w:r>
      <w:r>
        <w:rPr>
          <w:spacing w:val="-2"/>
        </w:rPr>
        <w:t>will</w:t>
      </w:r>
      <w:r>
        <w:rPr>
          <w:spacing w:val="22"/>
        </w:rPr>
        <w:t xml:space="preserve"> </w:t>
      </w:r>
      <w:r>
        <w:rPr>
          <w:spacing w:val="-1"/>
        </w:rPr>
        <w:t>be</w:t>
      </w:r>
      <w:r>
        <w:rPr>
          <w:spacing w:val="26"/>
        </w:rPr>
        <w:t xml:space="preserve"> </w:t>
      </w:r>
      <w:r>
        <w:rPr>
          <w:spacing w:val="-1"/>
        </w:rPr>
        <w:t>Processing</w:t>
      </w:r>
      <w:r>
        <w:rPr>
          <w:spacing w:val="26"/>
        </w:rPr>
        <w:t xml:space="preserve"> </w:t>
      </w:r>
      <w:r>
        <w:rPr>
          <w:spacing w:val="-1"/>
        </w:rPr>
        <w:t>and/or</w:t>
      </w:r>
      <w:r>
        <w:rPr>
          <w:spacing w:val="24"/>
        </w:rPr>
        <w:t xml:space="preserve"> </w:t>
      </w:r>
      <w:r>
        <w:rPr>
          <w:spacing w:val="-2"/>
        </w:rPr>
        <w:t>receiving</w:t>
      </w:r>
      <w:r>
        <w:rPr>
          <w:spacing w:val="26"/>
        </w:rPr>
        <w:t xml:space="preserve"> </w:t>
      </w:r>
      <w:r>
        <w:rPr>
          <w:spacing w:val="-1"/>
        </w:rPr>
        <w:t>or</w:t>
      </w:r>
      <w:r>
        <w:rPr>
          <w:spacing w:val="24"/>
        </w:rPr>
        <w:t xml:space="preserve"> </w:t>
      </w:r>
      <w:r>
        <w:rPr>
          <w:spacing w:val="-1"/>
        </w:rPr>
        <w:t>accessing</w:t>
      </w:r>
      <w:r>
        <w:rPr>
          <w:spacing w:val="26"/>
        </w:rPr>
        <w:t xml:space="preserve"> </w:t>
      </w:r>
      <w:r>
        <w:rPr>
          <w:spacing w:val="-1"/>
        </w:rPr>
        <w:t>the</w:t>
      </w:r>
      <w:r>
        <w:rPr>
          <w:spacing w:val="31"/>
        </w:rPr>
        <w:t xml:space="preserve"> </w:t>
      </w:r>
      <w:r>
        <w:rPr>
          <w:spacing w:val="-1"/>
        </w:rPr>
        <w:t>Personal</w:t>
      </w:r>
      <w:r>
        <w:rPr>
          <w:spacing w:val="36"/>
        </w:rPr>
        <w:t xml:space="preserve"> </w:t>
      </w:r>
      <w:r>
        <w:rPr>
          <w:spacing w:val="-1"/>
        </w:rPr>
        <w:t>Data</w:t>
      </w:r>
      <w:r>
        <w:rPr>
          <w:spacing w:val="36"/>
        </w:rPr>
        <w:t xml:space="preserve"> </w:t>
      </w:r>
      <w:r>
        <w:rPr>
          <w:spacing w:val="-1"/>
        </w:rPr>
        <w:t>in</w:t>
      </w:r>
      <w:r>
        <w:rPr>
          <w:spacing w:val="36"/>
        </w:rPr>
        <w:t xml:space="preserve"> </w:t>
      </w:r>
      <w:r>
        <w:t>any</w:t>
      </w:r>
      <w:r>
        <w:rPr>
          <w:spacing w:val="34"/>
        </w:rPr>
        <w:t xml:space="preserve"> </w:t>
      </w:r>
      <w:r>
        <w:rPr>
          <w:spacing w:val="-1"/>
        </w:rPr>
        <w:t>Restricted</w:t>
      </w:r>
      <w:r>
        <w:rPr>
          <w:spacing w:val="36"/>
        </w:rPr>
        <w:t xml:space="preserve"> </w:t>
      </w:r>
      <w:r>
        <w:rPr>
          <w:spacing w:val="-1"/>
        </w:rPr>
        <w:t>Countries</w:t>
      </w:r>
      <w:r>
        <w:rPr>
          <w:spacing w:val="37"/>
        </w:rPr>
        <w:t xml:space="preserve"> </w:t>
      </w:r>
      <w:r>
        <w:rPr>
          <w:spacing w:val="-1"/>
        </w:rPr>
        <w:t>either</w:t>
      </w:r>
      <w:r>
        <w:rPr>
          <w:spacing w:val="39"/>
        </w:rPr>
        <w:t xml:space="preserve"> </w:t>
      </w:r>
      <w:r>
        <w:rPr>
          <w:spacing w:val="-1"/>
        </w:rPr>
        <w:t>enters</w:t>
      </w:r>
      <w:r>
        <w:rPr>
          <w:spacing w:val="35"/>
        </w:rPr>
        <w:t xml:space="preserve"> </w:t>
      </w:r>
      <w:r>
        <w:rPr>
          <w:spacing w:val="-1"/>
        </w:rPr>
        <w:t>into:</w:t>
      </w:r>
    </w:p>
    <w:p w:rsidR="008918FA" w:rsidRDefault="008918FA" w:rsidP="008918FA">
      <w:pPr>
        <w:pStyle w:val="BodyText"/>
        <w:numPr>
          <w:ilvl w:val="5"/>
          <w:numId w:val="66"/>
        </w:numPr>
        <w:tabs>
          <w:tab w:val="left" w:pos="4013"/>
        </w:tabs>
        <w:ind w:right="112"/>
        <w:jc w:val="both"/>
      </w:pPr>
      <w:r>
        <w:t>a</w:t>
      </w:r>
      <w:r>
        <w:rPr>
          <w:spacing w:val="26"/>
        </w:rPr>
        <w:t xml:space="preserve"> </w:t>
      </w:r>
      <w:r>
        <w:rPr>
          <w:spacing w:val="-1"/>
        </w:rPr>
        <w:t>direct</w:t>
      </w:r>
      <w:r>
        <w:rPr>
          <w:spacing w:val="28"/>
        </w:rPr>
        <w:t xml:space="preserve"> </w:t>
      </w:r>
      <w:r>
        <w:rPr>
          <w:spacing w:val="-1"/>
        </w:rPr>
        <w:t>data</w:t>
      </w:r>
      <w:r>
        <w:rPr>
          <w:spacing w:val="26"/>
        </w:rPr>
        <w:t xml:space="preserve"> </w:t>
      </w:r>
      <w:r>
        <w:rPr>
          <w:spacing w:val="-1"/>
        </w:rPr>
        <w:t>processing</w:t>
      </w:r>
      <w:r>
        <w:rPr>
          <w:spacing w:val="28"/>
        </w:rPr>
        <w:t xml:space="preserve"> </w:t>
      </w:r>
      <w:r>
        <w:rPr>
          <w:spacing w:val="-1"/>
        </w:rPr>
        <w:t>agreement</w:t>
      </w:r>
      <w:r>
        <w:rPr>
          <w:spacing w:val="27"/>
        </w:rPr>
        <w:t xml:space="preserve"> </w:t>
      </w:r>
      <w:r>
        <w:rPr>
          <w:spacing w:val="-2"/>
        </w:rPr>
        <w:t>with</w:t>
      </w:r>
      <w:r>
        <w:rPr>
          <w:spacing w:val="26"/>
        </w:rPr>
        <w:t xml:space="preserve"> </w:t>
      </w:r>
      <w:r>
        <w:rPr>
          <w:spacing w:val="-1"/>
        </w:rPr>
        <w:t>the</w:t>
      </w:r>
      <w:r>
        <w:rPr>
          <w:spacing w:val="29"/>
        </w:rPr>
        <w:t xml:space="preserve"> </w:t>
      </w:r>
      <w:r>
        <w:rPr>
          <w:spacing w:val="-1"/>
        </w:rPr>
        <w:t>Customer</w:t>
      </w:r>
      <w:r>
        <w:rPr>
          <w:spacing w:val="21"/>
        </w:rPr>
        <w:t xml:space="preserve"> </w:t>
      </w:r>
      <w:r>
        <w:rPr>
          <w:spacing w:val="-1"/>
        </w:rPr>
        <w:t>on</w:t>
      </w:r>
      <w:r>
        <w:rPr>
          <w:spacing w:val="20"/>
        </w:rPr>
        <w:t xml:space="preserve"> </w:t>
      </w:r>
      <w:r>
        <w:rPr>
          <w:spacing w:val="-1"/>
        </w:rPr>
        <w:t>such</w:t>
      </w:r>
      <w:r>
        <w:rPr>
          <w:spacing w:val="18"/>
        </w:rPr>
        <w:t xml:space="preserve"> </w:t>
      </w:r>
      <w:r>
        <w:rPr>
          <w:spacing w:val="-1"/>
        </w:rPr>
        <w:t>terms</w:t>
      </w:r>
      <w:r>
        <w:rPr>
          <w:spacing w:val="20"/>
        </w:rPr>
        <w:t xml:space="preserve"> </w:t>
      </w:r>
      <w:r>
        <w:rPr>
          <w:spacing w:val="-1"/>
        </w:rPr>
        <w:t>as</w:t>
      </w:r>
      <w:r>
        <w:rPr>
          <w:spacing w:val="20"/>
        </w:rPr>
        <w:t xml:space="preserve"> </w:t>
      </w:r>
      <w:r>
        <w:rPr>
          <w:spacing w:val="-1"/>
        </w:rPr>
        <w:t>may</w:t>
      </w:r>
      <w:r>
        <w:rPr>
          <w:spacing w:val="18"/>
        </w:rPr>
        <w:t xml:space="preserve"> </w:t>
      </w:r>
      <w:r>
        <w:rPr>
          <w:spacing w:val="-1"/>
        </w:rPr>
        <w:t>be</w:t>
      </w:r>
      <w:r>
        <w:rPr>
          <w:spacing w:val="19"/>
        </w:rPr>
        <w:t xml:space="preserve"> </w:t>
      </w:r>
      <w:r>
        <w:rPr>
          <w:spacing w:val="-1"/>
        </w:rPr>
        <w:t>required</w:t>
      </w:r>
      <w:r>
        <w:rPr>
          <w:spacing w:val="20"/>
        </w:rPr>
        <w:t xml:space="preserve"> </w:t>
      </w:r>
      <w:r>
        <w:rPr>
          <w:spacing w:val="-1"/>
        </w:rPr>
        <w:t>by</w:t>
      </w:r>
      <w:r>
        <w:rPr>
          <w:spacing w:val="27"/>
        </w:rPr>
        <w:t xml:space="preserve"> </w:t>
      </w:r>
      <w:r>
        <w:t xml:space="preserve">the </w:t>
      </w:r>
      <w:r>
        <w:rPr>
          <w:spacing w:val="-1"/>
        </w:rPr>
        <w:t>Customer;</w:t>
      </w:r>
      <w:r>
        <w:t xml:space="preserve"> </w:t>
      </w:r>
      <w:r>
        <w:rPr>
          <w:spacing w:val="-1"/>
        </w:rPr>
        <w:t>or</w:t>
      </w:r>
    </w:p>
    <w:p w:rsidR="008918FA" w:rsidRDefault="008918FA" w:rsidP="008918FA">
      <w:pPr>
        <w:pStyle w:val="BodyText"/>
        <w:numPr>
          <w:ilvl w:val="5"/>
          <w:numId w:val="66"/>
        </w:numPr>
        <w:tabs>
          <w:tab w:val="left" w:pos="4013"/>
        </w:tabs>
        <w:ind w:right="114"/>
        <w:jc w:val="both"/>
      </w:pPr>
      <w:r>
        <w:t>a</w:t>
      </w:r>
      <w:r>
        <w:rPr>
          <w:spacing w:val="43"/>
        </w:rPr>
        <w:t xml:space="preserve"> </w:t>
      </w:r>
      <w:r>
        <w:rPr>
          <w:spacing w:val="-1"/>
        </w:rPr>
        <w:t>data</w:t>
      </w:r>
      <w:r>
        <w:rPr>
          <w:spacing w:val="41"/>
        </w:rPr>
        <w:t xml:space="preserve"> </w:t>
      </w:r>
      <w:r>
        <w:rPr>
          <w:spacing w:val="-1"/>
        </w:rPr>
        <w:t>processing</w:t>
      </w:r>
      <w:r>
        <w:rPr>
          <w:spacing w:val="43"/>
        </w:rPr>
        <w:t xml:space="preserve"> </w:t>
      </w:r>
      <w:r>
        <w:rPr>
          <w:spacing w:val="-1"/>
        </w:rPr>
        <w:t>agreement</w:t>
      </w:r>
      <w:r>
        <w:rPr>
          <w:spacing w:val="42"/>
        </w:rPr>
        <w:t xml:space="preserve"> </w:t>
      </w:r>
      <w:r>
        <w:rPr>
          <w:spacing w:val="-2"/>
        </w:rPr>
        <w:t>with</w:t>
      </w:r>
      <w:r>
        <w:rPr>
          <w:spacing w:val="43"/>
        </w:rPr>
        <w:t xml:space="preserve"> </w:t>
      </w:r>
      <w:r>
        <w:t>the</w:t>
      </w:r>
      <w:r>
        <w:rPr>
          <w:spacing w:val="43"/>
        </w:rPr>
        <w:t xml:space="preserve"> </w:t>
      </w:r>
      <w:r>
        <w:rPr>
          <w:spacing w:val="-2"/>
        </w:rPr>
        <w:t>Supplier</w:t>
      </w:r>
      <w:r>
        <w:rPr>
          <w:spacing w:val="30"/>
        </w:rPr>
        <w:t xml:space="preserve"> </w:t>
      </w:r>
      <w:r>
        <w:rPr>
          <w:spacing w:val="-1"/>
        </w:rPr>
        <w:t>on</w:t>
      </w:r>
      <w:r>
        <w:rPr>
          <w:spacing w:val="38"/>
        </w:rPr>
        <w:t xml:space="preserve"> </w:t>
      </w:r>
      <w:r>
        <w:t>terms</w:t>
      </w:r>
      <w:r>
        <w:rPr>
          <w:spacing w:val="39"/>
        </w:rPr>
        <w:t xml:space="preserve"> </w:t>
      </w:r>
      <w:r>
        <w:rPr>
          <w:spacing w:val="-2"/>
        </w:rPr>
        <w:t>which</w:t>
      </w:r>
      <w:r>
        <w:rPr>
          <w:spacing w:val="39"/>
        </w:rPr>
        <w:t xml:space="preserve"> </w:t>
      </w:r>
      <w:r>
        <w:rPr>
          <w:spacing w:val="-1"/>
        </w:rPr>
        <w:t>are</w:t>
      </w:r>
      <w:r>
        <w:rPr>
          <w:spacing w:val="38"/>
        </w:rPr>
        <w:t xml:space="preserve"> </w:t>
      </w:r>
      <w:r>
        <w:rPr>
          <w:spacing w:val="-1"/>
        </w:rPr>
        <w:t>equivalent</w:t>
      </w:r>
      <w:r>
        <w:rPr>
          <w:spacing w:val="40"/>
        </w:rPr>
        <w:t xml:space="preserve"> </w:t>
      </w:r>
      <w:r>
        <w:t>to</w:t>
      </w:r>
      <w:r>
        <w:rPr>
          <w:spacing w:val="38"/>
        </w:rPr>
        <w:t xml:space="preserve"> </w:t>
      </w:r>
      <w:r>
        <w:rPr>
          <w:spacing w:val="-1"/>
        </w:rPr>
        <w:t>those</w:t>
      </w:r>
      <w:r>
        <w:rPr>
          <w:spacing w:val="40"/>
        </w:rPr>
        <w:t xml:space="preserve"> </w:t>
      </w:r>
      <w:r>
        <w:rPr>
          <w:spacing w:val="-1"/>
        </w:rPr>
        <w:t>agreed</w:t>
      </w:r>
      <w:r>
        <w:rPr>
          <w:spacing w:val="26"/>
        </w:rPr>
        <w:t xml:space="preserve"> </w:t>
      </w:r>
      <w:r>
        <w:rPr>
          <w:spacing w:val="-1"/>
        </w:rPr>
        <w:t>between</w:t>
      </w:r>
      <w:r>
        <w:rPr>
          <w:spacing w:val="46"/>
        </w:rPr>
        <w:t xml:space="preserve"> </w:t>
      </w:r>
      <w:r>
        <w:t>the</w:t>
      </w:r>
      <w:r>
        <w:rPr>
          <w:spacing w:val="46"/>
        </w:rPr>
        <w:t xml:space="preserve"> </w:t>
      </w:r>
      <w:r>
        <w:rPr>
          <w:spacing w:val="-1"/>
        </w:rPr>
        <w:t>Customer</w:t>
      </w:r>
      <w:r>
        <w:rPr>
          <w:spacing w:val="45"/>
        </w:rPr>
        <w:t xml:space="preserve"> </w:t>
      </w:r>
      <w:r>
        <w:rPr>
          <w:spacing w:val="-1"/>
        </w:rPr>
        <w:t>and</w:t>
      </w:r>
      <w:r>
        <w:rPr>
          <w:spacing w:val="46"/>
        </w:rPr>
        <w:t xml:space="preserve"> </w:t>
      </w:r>
      <w:r>
        <w:t>the</w:t>
      </w:r>
      <w:r>
        <w:rPr>
          <w:spacing w:val="46"/>
        </w:rPr>
        <w:t xml:space="preserve"> </w:t>
      </w:r>
      <w:r>
        <w:rPr>
          <w:spacing w:val="-2"/>
        </w:rPr>
        <w:t>Sub-Contractor</w:t>
      </w:r>
      <w:r>
        <w:rPr>
          <w:spacing w:val="32"/>
        </w:rPr>
        <w:t xml:space="preserve"> </w:t>
      </w:r>
      <w:r>
        <w:rPr>
          <w:spacing w:val="-1"/>
        </w:rPr>
        <w:t>relating</w:t>
      </w:r>
      <w:r>
        <w:rPr>
          <w:spacing w:val="48"/>
        </w:rPr>
        <w:t xml:space="preserve"> </w:t>
      </w:r>
      <w:r>
        <w:t>to</w:t>
      </w:r>
      <w:r>
        <w:rPr>
          <w:spacing w:val="48"/>
        </w:rPr>
        <w:t xml:space="preserve"> </w:t>
      </w:r>
      <w:r>
        <w:t>the</w:t>
      </w:r>
      <w:r>
        <w:rPr>
          <w:spacing w:val="46"/>
        </w:rPr>
        <w:t xml:space="preserve"> </w:t>
      </w:r>
      <w:r>
        <w:rPr>
          <w:spacing w:val="-2"/>
        </w:rPr>
        <w:t>relevant</w:t>
      </w:r>
      <w:r>
        <w:rPr>
          <w:spacing w:val="50"/>
        </w:rPr>
        <w:t xml:space="preserve"> </w:t>
      </w:r>
      <w:r>
        <w:rPr>
          <w:spacing w:val="-1"/>
        </w:rPr>
        <w:t>Personal</w:t>
      </w:r>
      <w:r>
        <w:rPr>
          <w:spacing w:val="47"/>
        </w:rPr>
        <w:t xml:space="preserve"> </w:t>
      </w:r>
      <w:r>
        <w:rPr>
          <w:spacing w:val="-1"/>
        </w:rPr>
        <w:t>Data</w:t>
      </w:r>
      <w:r>
        <w:rPr>
          <w:spacing w:val="48"/>
        </w:rPr>
        <w:t xml:space="preserve"> </w:t>
      </w:r>
      <w:r>
        <w:rPr>
          <w:spacing w:val="-1"/>
        </w:rPr>
        <w:t>transfer,</w:t>
      </w:r>
      <w:r>
        <w:rPr>
          <w:spacing w:val="39"/>
        </w:rPr>
        <w:t xml:space="preserve"> </w:t>
      </w:r>
      <w:r>
        <w:rPr>
          <w:spacing w:val="-1"/>
        </w:rPr>
        <w:t>and</w:t>
      </w:r>
    </w:p>
    <w:p w:rsidR="008918FA" w:rsidRDefault="008918FA" w:rsidP="008918FA">
      <w:pPr>
        <w:pStyle w:val="BodyText"/>
        <w:numPr>
          <w:ilvl w:val="4"/>
          <w:numId w:val="66"/>
        </w:numPr>
        <w:tabs>
          <w:tab w:val="left" w:pos="3163"/>
        </w:tabs>
        <w:ind w:left="3162" w:right="112"/>
        <w:jc w:val="both"/>
      </w:pPr>
      <w:r>
        <w:rPr>
          <w:spacing w:val="-1"/>
        </w:rPr>
        <w:t>in</w:t>
      </w:r>
      <w:r>
        <w:rPr>
          <w:spacing w:val="26"/>
        </w:rPr>
        <w:t xml:space="preserve"> </w:t>
      </w:r>
      <w:r>
        <w:rPr>
          <w:spacing w:val="-1"/>
        </w:rPr>
        <w:t>each</w:t>
      </w:r>
      <w:r>
        <w:rPr>
          <w:spacing w:val="26"/>
        </w:rPr>
        <w:t xml:space="preserve"> </w:t>
      </w:r>
      <w:r>
        <w:rPr>
          <w:spacing w:val="-1"/>
        </w:rPr>
        <w:t>case</w:t>
      </w:r>
      <w:r>
        <w:rPr>
          <w:spacing w:val="28"/>
        </w:rPr>
        <w:t xml:space="preserve"> </w:t>
      </w:r>
      <w:r>
        <w:rPr>
          <w:spacing w:val="-1"/>
        </w:rPr>
        <w:t>which</w:t>
      </w:r>
      <w:r>
        <w:rPr>
          <w:spacing w:val="26"/>
        </w:rPr>
        <w:t xml:space="preserve"> </w:t>
      </w:r>
      <w:r>
        <w:t>the</w:t>
      </w:r>
      <w:r>
        <w:rPr>
          <w:spacing w:val="26"/>
        </w:rPr>
        <w:t xml:space="preserve"> </w:t>
      </w:r>
      <w:r>
        <w:rPr>
          <w:spacing w:val="-2"/>
        </w:rPr>
        <w:t>Supplier</w:t>
      </w:r>
      <w:r>
        <w:rPr>
          <w:spacing w:val="27"/>
        </w:rPr>
        <w:t xml:space="preserve"> </w:t>
      </w:r>
      <w:r>
        <w:rPr>
          <w:spacing w:val="-1"/>
        </w:rPr>
        <w:t>acknowledges</w:t>
      </w:r>
      <w:r>
        <w:rPr>
          <w:spacing w:val="26"/>
        </w:rPr>
        <w:t xml:space="preserve"> </w:t>
      </w:r>
      <w:r>
        <w:rPr>
          <w:spacing w:val="-1"/>
        </w:rPr>
        <w:t>may</w:t>
      </w:r>
      <w:r>
        <w:rPr>
          <w:spacing w:val="41"/>
        </w:rPr>
        <w:t xml:space="preserve"> </w:t>
      </w:r>
      <w:r>
        <w:rPr>
          <w:spacing w:val="-1"/>
        </w:rPr>
        <w:t>include</w:t>
      </w:r>
      <w:r>
        <w:rPr>
          <w:spacing w:val="13"/>
        </w:rPr>
        <w:t xml:space="preserve"> </w:t>
      </w:r>
      <w:r>
        <w:t>the</w:t>
      </w:r>
      <w:r>
        <w:rPr>
          <w:spacing w:val="14"/>
        </w:rPr>
        <w:t xml:space="preserve"> </w:t>
      </w:r>
      <w:r>
        <w:rPr>
          <w:spacing w:val="-1"/>
        </w:rPr>
        <w:t>incorporation</w:t>
      </w:r>
      <w:r>
        <w:rPr>
          <w:spacing w:val="14"/>
        </w:rPr>
        <w:t xml:space="preserve"> </w:t>
      </w:r>
      <w:r>
        <w:rPr>
          <w:spacing w:val="-2"/>
        </w:rPr>
        <w:t>of</w:t>
      </w:r>
      <w:r>
        <w:rPr>
          <w:spacing w:val="15"/>
        </w:rPr>
        <w:t xml:space="preserve"> </w:t>
      </w:r>
      <w:r>
        <w:rPr>
          <w:spacing w:val="-1"/>
        </w:rPr>
        <w:t>model</w:t>
      </w:r>
      <w:r>
        <w:rPr>
          <w:spacing w:val="13"/>
        </w:rPr>
        <w:t xml:space="preserve"> </w:t>
      </w:r>
      <w:r>
        <w:rPr>
          <w:spacing w:val="-1"/>
        </w:rPr>
        <w:t>contract</w:t>
      </w:r>
      <w:r>
        <w:rPr>
          <w:spacing w:val="13"/>
        </w:rPr>
        <w:t xml:space="preserve"> </w:t>
      </w:r>
      <w:r>
        <w:rPr>
          <w:spacing w:val="-2"/>
        </w:rPr>
        <w:t>provisions</w:t>
      </w:r>
      <w:r>
        <w:rPr>
          <w:spacing w:val="22"/>
        </w:rPr>
        <w:t xml:space="preserve"> </w:t>
      </w:r>
      <w:r>
        <w:rPr>
          <w:spacing w:val="-2"/>
        </w:rPr>
        <w:t>(which</w:t>
      </w:r>
      <w:r>
        <w:rPr>
          <w:spacing w:val="58"/>
        </w:rPr>
        <w:t xml:space="preserve"> </w:t>
      </w:r>
      <w:r>
        <w:rPr>
          <w:spacing w:val="-1"/>
        </w:rPr>
        <w:t>are</w:t>
      </w:r>
      <w:r>
        <w:rPr>
          <w:spacing w:val="58"/>
        </w:rPr>
        <w:t xml:space="preserve"> </w:t>
      </w:r>
      <w:r>
        <w:rPr>
          <w:spacing w:val="-1"/>
        </w:rPr>
        <w:t>approved</w:t>
      </w:r>
      <w:r>
        <w:rPr>
          <w:spacing w:val="58"/>
        </w:rPr>
        <w:t xml:space="preserve"> </w:t>
      </w:r>
      <w:r>
        <w:rPr>
          <w:spacing w:val="1"/>
        </w:rPr>
        <w:t>by</w:t>
      </w:r>
      <w:r>
        <w:rPr>
          <w:spacing w:val="56"/>
        </w:rPr>
        <w:t xml:space="preserve"> </w:t>
      </w:r>
      <w:r>
        <w:t>the</w:t>
      </w:r>
      <w:r>
        <w:rPr>
          <w:spacing w:val="58"/>
        </w:rPr>
        <w:t xml:space="preserve"> </w:t>
      </w:r>
      <w:r>
        <w:rPr>
          <w:spacing w:val="-1"/>
        </w:rPr>
        <w:t>European</w:t>
      </w:r>
      <w:r>
        <w:rPr>
          <w:spacing w:val="58"/>
        </w:rPr>
        <w:t xml:space="preserve"> </w:t>
      </w:r>
      <w:r>
        <w:rPr>
          <w:spacing w:val="-1"/>
        </w:rPr>
        <w:t>Commission</w:t>
      </w:r>
      <w:r>
        <w:rPr>
          <w:spacing w:val="59"/>
        </w:rPr>
        <w:t xml:space="preserve"> </w:t>
      </w:r>
      <w:r>
        <w:rPr>
          <w:spacing w:val="-1"/>
        </w:rPr>
        <w:t>as</w:t>
      </w:r>
      <w:r>
        <w:rPr>
          <w:spacing w:val="29"/>
        </w:rPr>
        <w:t xml:space="preserve"> </w:t>
      </w:r>
      <w:r>
        <w:rPr>
          <w:spacing w:val="-1"/>
        </w:rPr>
        <w:t>offering</w:t>
      </w:r>
      <w:r>
        <w:t xml:space="preserve"> </w:t>
      </w:r>
      <w:r>
        <w:rPr>
          <w:spacing w:val="42"/>
        </w:rPr>
        <w:t xml:space="preserve"> </w:t>
      </w:r>
      <w:r>
        <w:rPr>
          <w:spacing w:val="-1"/>
        </w:rPr>
        <w:t>adequate</w:t>
      </w:r>
      <w:r>
        <w:t xml:space="preserve"> </w:t>
      </w:r>
      <w:r>
        <w:rPr>
          <w:spacing w:val="40"/>
        </w:rPr>
        <w:t xml:space="preserve"> </w:t>
      </w:r>
      <w:r>
        <w:rPr>
          <w:spacing w:val="-1"/>
        </w:rPr>
        <w:t>safeguards</w:t>
      </w:r>
      <w:r>
        <w:t xml:space="preserve"> </w:t>
      </w:r>
      <w:r>
        <w:rPr>
          <w:spacing w:val="40"/>
        </w:rPr>
        <w:t xml:space="preserve"> </w:t>
      </w:r>
      <w:r>
        <w:rPr>
          <w:spacing w:val="-1"/>
        </w:rPr>
        <w:t>under</w:t>
      </w:r>
      <w:r>
        <w:t xml:space="preserve"> </w:t>
      </w:r>
      <w:r>
        <w:rPr>
          <w:spacing w:val="41"/>
        </w:rPr>
        <w:t xml:space="preserve"> </w:t>
      </w:r>
      <w:r>
        <w:t xml:space="preserve">the    </w:t>
      </w:r>
      <w:r>
        <w:rPr>
          <w:spacing w:val="20"/>
        </w:rPr>
        <w:t xml:space="preserve"> </w:t>
      </w:r>
      <w:r>
        <w:rPr>
          <w:spacing w:val="-1"/>
        </w:rPr>
        <w:t>DPA)</w:t>
      </w:r>
      <w:r>
        <w:t xml:space="preserve"> </w:t>
      </w:r>
      <w:r>
        <w:rPr>
          <w:spacing w:val="41"/>
        </w:rPr>
        <w:t xml:space="preserve"> </w:t>
      </w:r>
      <w:r>
        <w:rPr>
          <w:spacing w:val="-1"/>
        </w:rPr>
        <w:t>and</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spacing w:before="59"/>
        <w:ind w:left="3523" w:right="113" w:firstLine="0"/>
        <w:jc w:val="both"/>
      </w:pPr>
      <w:r>
        <w:rPr>
          <w:spacing w:val="-1"/>
        </w:rPr>
        <w:t>technical</w:t>
      </w:r>
      <w:r>
        <w:rPr>
          <w:spacing w:val="9"/>
        </w:rPr>
        <w:t xml:space="preserve"> </w:t>
      </w:r>
      <w:r>
        <w:rPr>
          <w:spacing w:val="-1"/>
        </w:rPr>
        <w:t>and</w:t>
      </w:r>
      <w:r>
        <w:rPr>
          <w:spacing w:val="10"/>
        </w:rPr>
        <w:t xml:space="preserve"> </w:t>
      </w:r>
      <w:r>
        <w:rPr>
          <w:spacing w:val="-1"/>
        </w:rPr>
        <w:t>organisation</w:t>
      </w:r>
      <w:r>
        <w:rPr>
          <w:spacing w:val="10"/>
        </w:rPr>
        <w:t xml:space="preserve"> </w:t>
      </w:r>
      <w:r>
        <w:rPr>
          <w:spacing w:val="-1"/>
        </w:rPr>
        <w:t>measures</w:t>
      </w:r>
      <w:r>
        <w:rPr>
          <w:spacing w:val="10"/>
        </w:rPr>
        <w:t xml:space="preserve"> </w:t>
      </w:r>
      <w:r>
        <w:rPr>
          <w:spacing w:val="-2"/>
        </w:rPr>
        <w:t>which</w:t>
      </w:r>
      <w:r>
        <w:rPr>
          <w:spacing w:val="10"/>
        </w:rPr>
        <w:t xml:space="preserve"> </w:t>
      </w:r>
      <w:r>
        <w:t>the</w:t>
      </w:r>
      <w:r>
        <w:rPr>
          <w:spacing w:val="10"/>
        </w:rPr>
        <w:t xml:space="preserve"> </w:t>
      </w:r>
      <w:r>
        <w:rPr>
          <w:spacing w:val="-2"/>
        </w:rPr>
        <w:t>Customer</w:t>
      </w:r>
      <w:r>
        <w:rPr>
          <w:spacing w:val="31"/>
        </w:rPr>
        <w:t xml:space="preserve"> </w:t>
      </w:r>
      <w:r>
        <w:rPr>
          <w:spacing w:val="-1"/>
        </w:rPr>
        <w:t>deems</w:t>
      </w:r>
      <w:r>
        <w:rPr>
          <w:spacing w:val="25"/>
        </w:rPr>
        <w:t xml:space="preserve"> </w:t>
      </w:r>
      <w:r>
        <w:rPr>
          <w:spacing w:val="-1"/>
        </w:rPr>
        <w:t>necessary</w:t>
      </w:r>
      <w:r>
        <w:rPr>
          <w:spacing w:val="22"/>
        </w:rPr>
        <w:t xml:space="preserve"> </w:t>
      </w:r>
      <w:r>
        <w:t>for</w:t>
      </w:r>
      <w:r>
        <w:rPr>
          <w:spacing w:val="23"/>
        </w:rPr>
        <w:t xml:space="preserve"> </w:t>
      </w:r>
      <w:r>
        <w:rPr>
          <w:spacing w:val="-1"/>
        </w:rPr>
        <w:t>the</w:t>
      </w:r>
      <w:r>
        <w:rPr>
          <w:spacing w:val="24"/>
        </w:rPr>
        <w:t xml:space="preserve"> </w:t>
      </w:r>
      <w:r>
        <w:rPr>
          <w:spacing w:val="-1"/>
        </w:rPr>
        <w:t>purpose</w:t>
      </w:r>
      <w:r>
        <w:rPr>
          <w:spacing w:val="25"/>
        </w:rPr>
        <w:t xml:space="preserve"> </w:t>
      </w:r>
      <w:r>
        <w:rPr>
          <w:spacing w:val="-2"/>
        </w:rPr>
        <w:t>of</w:t>
      </w:r>
      <w:r>
        <w:rPr>
          <w:spacing w:val="28"/>
        </w:rPr>
        <w:t xml:space="preserve"> </w:t>
      </w:r>
      <w:r>
        <w:rPr>
          <w:spacing w:val="-1"/>
        </w:rPr>
        <w:t>protecting</w:t>
      </w:r>
      <w:r>
        <w:rPr>
          <w:spacing w:val="26"/>
        </w:rPr>
        <w:t xml:space="preserve"> </w:t>
      </w:r>
      <w:r>
        <w:rPr>
          <w:spacing w:val="-1"/>
        </w:rPr>
        <w:t>Personal</w:t>
      </w:r>
      <w:r>
        <w:rPr>
          <w:spacing w:val="26"/>
        </w:rPr>
        <w:t xml:space="preserve"> </w:t>
      </w:r>
      <w:r>
        <w:rPr>
          <w:spacing w:val="-1"/>
        </w:rPr>
        <w:t>Data.</w:t>
      </w:r>
    </w:p>
    <w:p w:rsidR="008918FA" w:rsidRDefault="008918FA" w:rsidP="008918FA">
      <w:pPr>
        <w:pStyle w:val="BodyText"/>
        <w:numPr>
          <w:ilvl w:val="2"/>
          <w:numId w:val="66"/>
        </w:numPr>
        <w:tabs>
          <w:tab w:val="left" w:pos="2247"/>
        </w:tabs>
        <w:ind w:left="2246" w:right="112"/>
        <w:jc w:val="both"/>
      </w:pPr>
      <w:r>
        <w:t>The</w:t>
      </w:r>
      <w:r>
        <w:rPr>
          <w:spacing w:val="35"/>
        </w:rPr>
        <w:t xml:space="preserve"> </w:t>
      </w:r>
      <w:r>
        <w:rPr>
          <w:spacing w:val="-2"/>
        </w:rPr>
        <w:t>Supplier</w:t>
      </w:r>
      <w:r>
        <w:rPr>
          <w:spacing w:val="36"/>
        </w:rPr>
        <w:t xml:space="preserve"> </w:t>
      </w:r>
      <w:r>
        <w:rPr>
          <w:spacing w:val="-1"/>
        </w:rPr>
        <w:t>shall</w:t>
      </w:r>
      <w:r>
        <w:rPr>
          <w:spacing w:val="34"/>
        </w:rPr>
        <w:t xml:space="preserve"> </w:t>
      </w:r>
      <w:r>
        <w:rPr>
          <w:spacing w:val="-2"/>
        </w:rPr>
        <w:t>use</w:t>
      </w:r>
      <w:r>
        <w:rPr>
          <w:spacing w:val="35"/>
        </w:rPr>
        <w:t xml:space="preserve"> </w:t>
      </w:r>
      <w:r>
        <w:rPr>
          <w:spacing w:val="-1"/>
        </w:rPr>
        <w:t>its</w:t>
      </w:r>
      <w:r>
        <w:rPr>
          <w:spacing w:val="35"/>
        </w:rPr>
        <w:t xml:space="preserve"> </w:t>
      </w:r>
      <w:r>
        <w:rPr>
          <w:spacing w:val="-1"/>
        </w:rPr>
        <w:t>reasonable</w:t>
      </w:r>
      <w:r>
        <w:rPr>
          <w:spacing w:val="35"/>
        </w:rPr>
        <w:t xml:space="preserve"> </w:t>
      </w:r>
      <w:r>
        <w:rPr>
          <w:spacing w:val="-2"/>
        </w:rPr>
        <w:t>endeavours</w:t>
      </w:r>
      <w:r>
        <w:rPr>
          <w:spacing w:val="36"/>
        </w:rPr>
        <w:t xml:space="preserve"> </w:t>
      </w:r>
      <w:r>
        <w:t>to</w:t>
      </w:r>
      <w:r>
        <w:rPr>
          <w:spacing w:val="35"/>
        </w:rPr>
        <w:t xml:space="preserve"> </w:t>
      </w:r>
      <w:r>
        <w:rPr>
          <w:spacing w:val="-2"/>
        </w:rPr>
        <w:t>assist</w:t>
      </w:r>
      <w:r>
        <w:rPr>
          <w:spacing w:val="36"/>
        </w:rPr>
        <w:t xml:space="preserve"> </w:t>
      </w:r>
      <w:r>
        <w:rPr>
          <w:spacing w:val="-1"/>
        </w:rPr>
        <w:t>the</w:t>
      </w:r>
      <w:r>
        <w:rPr>
          <w:spacing w:val="58"/>
        </w:rPr>
        <w:t xml:space="preserve"> </w:t>
      </w:r>
      <w:r>
        <w:rPr>
          <w:spacing w:val="-1"/>
        </w:rPr>
        <w:t>Customer</w:t>
      </w:r>
      <w:r>
        <w:rPr>
          <w:spacing w:val="16"/>
        </w:rPr>
        <w:t xml:space="preserve"> </w:t>
      </w:r>
      <w:r>
        <w:t>to</w:t>
      </w:r>
      <w:r>
        <w:rPr>
          <w:spacing w:val="15"/>
        </w:rPr>
        <w:t xml:space="preserve"> </w:t>
      </w:r>
      <w:r>
        <w:rPr>
          <w:spacing w:val="-2"/>
        </w:rPr>
        <w:t>comply</w:t>
      </w:r>
      <w:r>
        <w:rPr>
          <w:spacing w:val="13"/>
        </w:rPr>
        <w:t xml:space="preserve"> </w:t>
      </w:r>
      <w:r>
        <w:rPr>
          <w:spacing w:val="-1"/>
        </w:rPr>
        <w:t>with</w:t>
      </w:r>
      <w:r>
        <w:rPr>
          <w:spacing w:val="15"/>
        </w:rPr>
        <w:t xml:space="preserve"> </w:t>
      </w:r>
      <w:r>
        <w:rPr>
          <w:spacing w:val="-1"/>
        </w:rPr>
        <w:t>any</w:t>
      </w:r>
      <w:r>
        <w:rPr>
          <w:spacing w:val="13"/>
        </w:rPr>
        <w:t xml:space="preserve"> </w:t>
      </w:r>
      <w:r>
        <w:rPr>
          <w:spacing w:val="-1"/>
        </w:rPr>
        <w:t>obligations</w:t>
      </w:r>
      <w:r>
        <w:rPr>
          <w:spacing w:val="15"/>
        </w:rPr>
        <w:t xml:space="preserve"> </w:t>
      </w:r>
      <w:r>
        <w:rPr>
          <w:spacing w:val="-1"/>
        </w:rPr>
        <w:t>under</w:t>
      </w:r>
      <w:r>
        <w:rPr>
          <w:spacing w:val="14"/>
        </w:rPr>
        <w:t xml:space="preserve"> </w:t>
      </w:r>
      <w:r>
        <w:rPr>
          <w:spacing w:val="-1"/>
        </w:rPr>
        <w:t>the</w:t>
      </w:r>
      <w:r>
        <w:rPr>
          <w:spacing w:val="15"/>
        </w:rPr>
        <w:t xml:space="preserve"> </w:t>
      </w:r>
      <w:r>
        <w:rPr>
          <w:spacing w:val="-1"/>
        </w:rPr>
        <w:t>DPA</w:t>
      </w:r>
      <w:r>
        <w:rPr>
          <w:spacing w:val="14"/>
        </w:rPr>
        <w:t xml:space="preserve"> </w:t>
      </w:r>
      <w:r>
        <w:rPr>
          <w:spacing w:val="-1"/>
        </w:rPr>
        <w:t>and</w:t>
      </w:r>
      <w:r>
        <w:rPr>
          <w:spacing w:val="15"/>
        </w:rPr>
        <w:t xml:space="preserve"> </w:t>
      </w:r>
      <w:r>
        <w:rPr>
          <w:spacing w:val="-1"/>
        </w:rPr>
        <w:t>shall</w:t>
      </w:r>
      <w:r>
        <w:rPr>
          <w:spacing w:val="14"/>
        </w:rPr>
        <w:t xml:space="preserve"> </w:t>
      </w:r>
      <w:r>
        <w:rPr>
          <w:spacing w:val="-1"/>
        </w:rPr>
        <w:t>not</w:t>
      </w:r>
      <w:r>
        <w:rPr>
          <w:spacing w:val="36"/>
        </w:rPr>
        <w:t xml:space="preserve"> </w:t>
      </w:r>
      <w:r>
        <w:rPr>
          <w:spacing w:val="-1"/>
        </w:rPr>
        <w:t>perform</w:t>
      </w:r>
      <w:r>
        <w:rPr>
          <w:spacing w:val="9"/>
        </w:rPr>
        <w:t xml:space="preserve"> </w:t>
      </w:r>
      <w:r>
        <w:rPr>
          <w:spacing w:val="-1"/>
        </w:rPr>
        <w:t>its</w:t>
      </w:r>
      <w:r>
        <w:rPr>
          <w:spacing w:val="8"/>
        </w:rPr>
        <w:t xml:space="preserve"> </w:t>
      </w:r>
      <w:r>
        <w:rPr>
          <w:spacing w:val="-1"/>
        </w:rPr>
        <w:t>obligations</w:t>
      </w:r>
      <w:r>
        <w:rPr>
          <w:spacing w:val="8"/>
        </w:rPr>
        <w:t xml:space="preserve"> </w:t>
      </w:r>
      <w:r>
        <w:rPr>
          <w:spacing w:val="-2"/>
        </w:rPr>
        <w:t>under</w:t>
      </w:r>
      <w:r>
        <w:rPr>
          <w:spacing w:val="9"/>
        </w:rPr>
        <w:t xml:space="preserve"> </w:t>
      </w:r>
      <w:r>
        <w:rPr>
          <w:spacing w:val="-1"/>
        </w:rPr>
        <w:t>this</w:t>
      </w:r>
      <w:r>
        <w:rPr>
          <w:spacing w:val="8"/>
        </w:rPr>
        <w:t xml:space="preserve"> </w:t>
      </w:r>
      <w:r>
        <w:rPr>
          <w:spacing w:val="-2"/>
        </w:rPr>
        <w:t>Call</w:t>
      </w:r>
      <w:r>
        <w:rPr>
          <w:spacing w:val="7"/>
        </w:rPr>
        <w:t xml:space="preserve"> </w:t>
      </w:r>
      <w:r>
        <w:t>Off</w:t>
      </w:r>
      <w:r>
        <w:rPr>
          <w:spacing w:val="11"/>
        </w:rPr>
        <w:t xml:space="preserve"> </w:t>
      </w:r>
      <w:r>
        <w:rPr>
          <w:spacing w:val="-2"/>
        </w:rPr>
        <w:t>Contract</w:t>
      </w:r>
      <w:r>
        <w:rPr>
          <w:spacing w:val="9"/>
        </w:rPr>
        <w:t xml:space="preserve"> </w:t>
      </w:r>
      <w:r>
        <w:rPr>
          <w:spacing w:val="-1"/>
        </w:rPr>
        <w:t>in</w:t>
      </w:r>
      <w:r>
        <w:rPr>
          <w:spacing w:val="7"/>
        </w:rPr>
        <w:t xml:space="preserve"> </w:t>
      </w:r>
      <w:r>
        <w:rPr>
          <w:spacing w:val="-1"/>
        </w:rPr>
        <w:t>such</w:t>
      </w:r>
      <w:r>
        <w:rPr>
          <w:spacing w:val="8"/>
        </w:rPr>
        <w:t xml:space="preserve"> </w:t>
      </w:r>
      <w:r>
        <w:t>a</w:t>
      </w:r>
      <w:r>
        <w:rPr>
          <w:spacing w:val="10"/>
        </w:rPr>
        <w:t xml:space="preserve"> </w:t>
      </w:r>
      <w:r>
        <w:rPr>
          <w:spacing w:val="-1"/>
        </w:rPr>
        <w:t>way</w:t>
      </w:r>
      <w:r>
        <w:rPr>
          <w:spacing w:val="8"/>
        </w:rPr>
        <w:t xml:space="preserve"> </w:t>
      </w:r>
      <w:r>
        <w:rPr>
          <w:spacing w:val="-1"/>
        </w:rPr>
        <w:t>as</w:t>
      </w:r>
      <w:r>
        <w:rPr>
          <w:spacing w:val="8"/>
        </w:rPr>
        <w:t xml:space="preserve"> </w:t>
      </w:r>
      <w:r>
        <w:t>to</w:t>
      </w:r>
      <w:r>
        <w:rPr>
          <w:spacing w:val="61"/>
        </w:rPr>
        <w:t xml:space="preserve"> </w:t>
      </w:r>
      <w:r>
        <w:rPr>
          <w:spacing w:val="-1"/>
        </w:rPr>
        <w:t>cause</w:t>
      </w:r>
      <w:r>
        <w:rPr>
          <w:spacing w:val="3"/>
        </w:rPr>
        <w:t xml:space="preserve"> </w:t>
      </w:r>
      <w:r>
        <w:t>the</w:t>
      </w:r>
      <w:r>
        <w:rPr>
          <w:spacing w:val="3"/>
        </w:rPr>
        <w:t xml:space="preserve"> </w:t>
      </w:r>
      <w:r>
        <w:rPr>
          <w:spacing w:val="-1"/>
        </w:rPr>
        <w:t>Customer</w:t>
      </w:r>
      <w:r>
        <w:rPr>
          <w:spacing w:val="2"/>
        </w:rPr>
        <w:t xml:space="preserve"> </w:t>
      </w:r>
      <w:r>
        <w:t>to</w:t>
      </w:r>
      <w:r>
        <w:rPr>
          <w:spacing w:val="3"/>
        </w:rPr>
        <w:t xml:space="preserve"> </w:t>
      </w:r>
      <w:r>
        <w:rPr>
          <w:spacing w:val="-1"/>
        </w:rPr>
        <w:t>breach</w:t>
      </w:r>
      <w:r>
        <w:rPr>
          <w:spacing w:val="3"/>
        </w:rPr>
        <w:t xml:space="preserve"> </w:t>
      </w:r>
      <w:r>
        <w:rPr>
          <w:spacing w:val="-1"/>
        </w:rPr>
        <w:t>any</w:t>
      </w:r>
      <w:r>
        <w:rPr>
          <w:spacing w:val="1"/>
        </w:rPr>
        <w:t xml:space="preserve"> </w:t>
      </w:r>
      <w:r>
        <w:rPr>
          <w:spacing w:val="-1"/>
        </w:rPr>
        <w:t>of</w:t>
      </w:r>
      <w:r>
        <w:rPr>
          <w:spacing w:val="4"/>
        </w:rPr>
        <w:t xml:space="preserve"> </w:t>
      </w:r>
      <w:r>
        <w:t>the</w:t>
      </w:r>
      <w:r>
        <w:rPr>
          <w:spacing w:val="4"/>
        </w:rPr>
        <w:t xml:space="preserve"> </w:t>
      </w:r>
      <w:r>
        <w:rPr>
          <w:spacing w:val="-1"/>
        </w:rPr>
        <w:t>Customer’s</w:t>
      </w:r>
      <w:r>
        <w:rPr>
          <w:spacing w:val="3"/>
        </w:rPr>
        <w:t xml:space="preserve"> </w:t>
      </w:r>
      <w:r>
        <w:rPr>
          <w:spacing w:val="-1"/>
        </w:rPr>
        <w:t>obligations</w:t>
      </w:r>
      <w:r>
        <w:rPr>
          <w:spacing w:val="3"/>
        </w:rPr>
        <w:t xml:space="preserve"> </w:t>
      </w:r>
      <w:r>
        <w:rPr>
          <w:spacing w:val="-1"/>
        </w:rPr>
        <w:t>under</w:t>
      </w:r>
      <w:r>
        <w:rPr>
          <w:spacing w:val="29"/>
        </w:rPr>
        <w:t xml:space="preserve"> </w:t>
      </w:r>
      <w:r>
        <w:t>the</w:t>
      </w:r>
      <w:r>
        <w:rPr>
          <w:spacing w:val="34"/>
        </w:rPr>
        <w:t xml:space="preserve"> </w:t>
      </w:r>
      <w:r>
        <w:rPr>
          <w:spacing w:val="-1"/>
        </w:rPr>
        <w:t>DPA</w:t>
      </w:r>
      <w:r>
        <w:rPr>
          <w:spacing w:val="31"/>
        </w:rPr>
        <w:t xml:space="preserve"> </w:t>
      </w:r>
      <w:r>
        <w:t>to</w:t>
      </w:r>
      <w:r>
        <w:rPr>
          <w:spacing w:val="31"/>
        </w:rPr>
        <w:t xml:space="preserve"> </w:t>
      </w:r>
      <w:r>
        <w:t>the</w:t>
      </w:r>
      <w:r>
        <w:rPr>
          <w:spacing w:val="34"/>
        </w:rPr>
        <w:t xml:space="preserve"> </w:t>
      </w:r>
      <w:r>
        <w:rPr>
          <w:spacing w:val="-1"/>
        </w:rPr>
        <w:t>extent</w:t>
      </w:r>
      <w:r>
        <w:rPr>
          <w:spacing w:val="33"/>
        </w:rPr>
        <w:t xml:space="preserve"> </w:t>
      </w:r>
      <w:r>
        <w:rPr>
          <w:spacing w:val="-1"/>
        </w:rPr>
        <w:t>the</w:t>
      </w:r>
      <w:r>
        <w:rPr>
          <w:spacing w:val="34"/>
        </w:rPr>
        <w:t xml:space="preserve"> </w:t>
      </w:r>
      <w:r>
        <w:rPr>
          <w:spacing w:val="-2"/>
        </w:rPr>
        <w:t>Supplier</w:t>
      </w:r>
      <w:r>
        <w:rPr>
          <w:spacing w:val="36"/>
        </w:rPr>
        <w:t xml:space="preserve"> </w:t>
      </w:r>
      <w:r>
        <w:rPr>
          <w:spacing w:val="-1"/>
        </w:rPr>
        <w:t>is</w:t>
      </w:r>
      <w:r>
        <w:rPr>
          <w:spacing w:val="34"/>
        </w:rPr>
        <w:t xml:space="preserve"> </w:t>
      </w:r>
      <w:r>
        <w:rPr>
          <w:spacing w:val="-2"/>
        </w:rPr>
        <w:t>aware,</w:t>
      </w:r>
      <w:r>
        <w:rPr>
          <w:spacing w:val="35"/>
        </w:rPr>
        <w:t xml:space="preserve"> </w:t>
      </w:r>
      <w:r>
        <w:rPr>
          <w:spacing w:val="-2"/>
        </w:rPr>
        <w:t>or</w:t>
      </w:r>
      <w:r>
        <w:rPr>
          <w:spacing w:val="33"/>
        </w:rPr>
        <w:t xml:space="preserve"> </w:t>
      </w:r>
      <w:r>
        <w:rPr>
          <w:spacing w:val="-1"/>
        </w:rPr>
        <w:t>ought</w:t>
      </w:r>
      <w:r>
        <w:rPr>
          <w:spacing w:val="33"/>
        </w:rPr>
        <w:t xml:space="preserve"> </w:t>
      </w:r>
      <w:r>
        <w:rPr>
          <w:spacing w:val="-1"/>
        </w:rPr>
        <w:t>reasonably</w:t>
      </w:r>
      <w:r>
        <w:rPr>
          <w:spacing w:val="32"/>
        </w:rPr>
        <w:t xml:space="preserve"> </w:t>
      </w:r>
      <w:r>
        <w:t>to</w:t>
      </w:r>
      <w:r>
        <w:rPr>
          <w:spacing w:val="41"/>
        </w:rPr>
        <w:t xml:space="preserve"> </w:t>
      </w:r>
      <w:r>
        <w:rPr>
          <w:spacing w:val="-2"/>
        </w:rPr>
        <w:t>have</w:t>
      </w:r>
      <w:r>
        <w:rPr>
          <w:spacing w:val="42"/>
        </w:rPr>
        <w:t xml:space="preserve"> </w:t>
      </w:r>
      <w:r>
        <w:rPr>
          <w:spacing w:val="-1"/>
        </w:rPr>
        <w:t>been</w:t>
      </w:r>
      <w:r>
        <w:rPr>
          <w:spacing w:val="42"/>
        </w:rPr>
        <w:t xml:space="preserve"> </w:t>
      </w:r>
      <w:r>
        <w:rPr>
          <w:spacing w:val="-1"/>
        </w:rPr>
        <w:t>aware,</w:t>
      </w:r>
      <w:r>
        <w:rPr>
          <w:spacing w:val="44"/>
        </w:rPr>
        <w:t xml:space="preserve"> </w:t>
      </w:r>
      <w:r>
        <w:rPr>
          <w:spacing w:val="-1"/>
        </w:rPr>
        <w:t>that</w:t>
      </w:r>
      <w:r>
        <w:rPr>
          <w:spacing w:val="44"/>
        </w:rPr>
        <w:t xml:space="preserve"> </w:t>
      </w:r>
      <w:r>
        <w:t>the</w:t>
      </w:r>
      <w:r>
        <w:rPr>
          <w:spacing w:val="42"/>
        </w:rPr>
        <w:t xml:space="preserve"> </w:t>
      </w:r>
      <w:r>
        <w:rPr>
          <w:spacing w:val="-1"/>
        </w:rPr>
        <w:t>same</w:t>
      </w:r>
      <w:r>
        <w:rPr>
          <w:spacing w:val="42"/>
        </w:rPr>
        <w:t xml:space="preserve"> </w:t>
      </w:r>
      <w:r>
        <w:rPr>
          <w:spacing w:val="-2"/>
        </w:rPr>
        <w:t>would</w:t>
      </w:r>
      <w:r>
        <w:rPr>
          <w:spacing w:val="43"/>
        </w:rPr>
        <w:t xml:space="preserve"> </w:t>
      </w:r>
      <w:r>
        <w:rPr>
          <w:spacing w:val="-1"/>
        </w:rPr>
        <w:t>be</w:t>
      </w:r>
      <w:r>
        <w:rPr>
          <w:spacing w:val="45"/>
        </w:rPr>
        <w:t xml:space="preserve"> </w:t>
      </w:r>
      <w:r>
        <w:t>a</w:t>
      </w:r>
      <w:r>
        <w:rPr>
          <w:spacing w:val="42"/>
        </w:rPr>
        <w:t xml:space="preserve"> </w:t>
      </w:r>
      <w:r>
        <w:rPr>
          <w:spacing w:val="-1"/>
        </w:rPr>
        <w:t>breach</w:t>
      </w:r>
      <w:r>
        <w:rPr>
          <w:spacing w:val="43"/>
        </w:rPr>
        <w:t xml:space="preserve"> </w:t>
      </w:r>
      <w:r>
        <w:rPr>
          <w:spacing w:val="-2"/>
        </w:rPr>
        <w:t>of</w:t>
      </w:r>
      <w:r>
        <w:rPr>
          <w:spacing w:val="46"/>
        </w:rPr>
        <w:t xml:space="preserve"> </w:t>
      </w:r>
      <w:r>
        <w:rPr>
          <w:spacing w:val="-1"/>
        </w:rPr>
        <w:t>such</w:t>
      </w:r>
      <w:r>
        <w:rPr>
          <w:spacing w:val="28"/>
        </w:rPr>
        <w:t xml:space="preserve"> </w:t>
      </w:r>
      <w:r>
        <w:rPr>
          <w:spacing w:val="-1"/>
        </w:rPr>
        <w:t>obligations.</w:t>
      </w:r>
    </w:p>
    <w:p w:rsidR="008918FA" w:rsidRDefault="008918FA" w:rsidP="008918FA">
      <w:pPr>
        <w:pStyle w:val="BodyText"/>
        <w:numPr>
          <w:ilvl w:val="0"/>
          <w:numId w:val="66"/>
        </w:numPr>
        <w:tabs>
          <w:tab w:val="left" w:pos="687"/>
        </w:tabs>
        <w:spacing w:before="117"/>
        <w:rPr>
          <w:rFonts w:ascii="Times New Roman" w:eastAsia="Times New Roman" w:hAnsi="Times New Roman" w:cs="Times New Roman"/>
        </w:rPr>
      </w:pPr>
      <w:bookmarkStart w:id="232" w:name="_bookmark198"/>
      <w:bookmarkEnd w:id="232"/>
      <w:r>
        <w:rPr>
          <w:rFonts w:ascii="Times New Roman"/>
        </w:rPr>
        <w:t>P</w:t>
      </w:r>
      <w:r>
        <w:rPr>
          <w:rFonts w:ascii="Times New Roman"/>
          <w:spacing w:val="-32"/>
        </w:rPr>
        <w:t xml:space="preserve"> </w:t>
      </w:r>
      <w:r>
        <w:rPr>
          <w:rFonts w:ascii="Times New Roman"/>
          <w:spacing w:val="-1"/>
        </w:rPr>
        <w:t xml:space="preserve">UBLICITY </w:t>
      </w:r>
      <w:r>
        <w:rPr>
          <w:rFonts w:ascii="Times New Roman"/>
          <w:spacing w:val="-3"/>
        </w:rPr>
        <w:t>AND</w:t>
      </w:r>
      <w:r>
        <w:rPr>
          <w:rFonts w:ascii="Times New Roman"/>
          <w:spacing w:val="6"/>
        </w:rPr>
        <w:t xml:space="preserve"> </w:t>
      </w:r>
      <w:r>
        <w:rPr>
          <w:rFonts w:ascii="Times New Roman"/>
        </w:rPr>
        <w:t>BRA</w:t>
      </w:r>
      <w:bookmarkStart w:id="233" w:name="35._PUBLICITY_AND_BRANDING"/>
      <w:bookmarkEnd w:id="233"/>
      <w:r>
        <w:rPr>
          <w:rFonts w:ascii="Times New Roman"/>
        </w:rPr>
        <w:t>NDING</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53"/>
        </w:tabs>
        <w:spacing w:before="0"/>
        <w:ind w:left="1048" w:hanging="360"/>
      </w:pPr>
      <w:r>
        <w:t>The</w:t>
      </w:r>
      <w:r>
        <w:rPr>
          <w:spacing w:val="-2"/>
        </w:rPr>
        <w:t xml:space="preserve"> Supplier</w:t>
      </w:r>
      <w:r>
        <w:rPr>
          <w:spacing w:val="2"/>
        </w:rPr>
        <w:t xml:space="preserve"> </w:t>
      </w:r>
      <w:r>
        <w:rPr>
          <w:spacing w:val="-1"/>
        </w:rPr>
        <w:t>shall</w:t>
      </w:r>
      <w:r>
        <w:t xml:space="preserve"> </w:t>
      </w:r>
      <w:r>
        <w:rPr>
          <w:spacing w:val="-1"/>
        </w:rPr>
        <w:t>not:</w:t>
      </w:r>
    </w:p>
    <w:p w:rsidR="008918FA" w:rsidRDefault="008918FA" w:rsidP="008918FA">
      <w:pPr>
        <w:pStyle w:val="BodyText"/>
        <w:numPr>
          <w:ilvl w:val="2"/>
          <w:numId w:val="66"/>
        </w:numPr>
        <w:tabs>
          <w:tab w:val="left" w:pos="2247"/>
        </w:tabs>
        <w:spacing w:before="121"/>
        <w:ind w:left="2246" w:right="116"/>
        <w:jc w:val="both"/>
      </w:pPr>
      <w:r>
        <w:rPr>
          <w:spacing w:val="-1"/>
        </w:rPr>
        <w:t>make</w:t>
      </w:r>
      <w:r>
        <w:rPr>
          <w:spacing w:val="24"/>
        </w:rPr>
        <w:t xml:space="preserve"> </w:t>
      </w:r>
      <w:r>
        <w:rPr>
          <w:spacing w:val="-1"/>
        </w:rPr>
        <w:t>any</w:t>
      </w:r>
      <w:r>
        <w:rPr>
          <w:spacing w:val="22"/>
        </w:rPr>
        <w:t xml:space="preserve"> </w:t>
      </w:r>
      <w:r>
        <w:rPr>
          <w:spacing w:val="-1"/>
        </w:rPr>
        <w:t>press</w:t>
      </w:r>
      <w:r>
        <w:rPr>
          <w:spacing w:val="23"/>
        </w:rPr>
        <w:t xml:space="preserve"> </w:t>
      </w:r>
      <w:r>
        <w:rPr>
          <w:spacing w:val="-1"/>
        </w:rPr>
        <w:t>announcements</w:t>
      </w:r>
      <w:r>
        <w:rPr>
          <w:spacing w:val="25"/>
        </w:rPr>
        <w:t xml:space="preserve"> </w:t>
      </w:r>
      <w:r>
        <w:rPr>
          <w:spacing w:val="-1"/>
        </w:rPr>
        <w:t>or</w:t>
      </w:r>
      <w:r>
        <w:rPr>
          <w:spacing w:val="23"/>
        </w:rPr>
        <w:t xml:space="preserve"> </w:t>
      </w:r>
      <w:r>
        <w:rPr>
          <w:spacing w:val="-2"/>
        </w:rPr>
        <w:t>publicise</w:t>
      </w:r>
      <w:r>
        <w:rPr>
          <w:spacing w:val="25"/>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26"/>
        </w:rPr>
        <w:t xml:space="preserve"> </w:t>
      </w:r>
      <w:r>
        <w:rPr>
          <w:spacing w:val="-1"/>
        </w:rPr>
        <w:t>Contract</w:t>
      </w:r>
      <w:r>
        <w:rPr>
          <w:spacing w:val="24"/>
        </w:rPr>
        <w:t xml:space="preserve"> </w:t>
      </w:r>
      <w:r>
        <w:rPr>
          <w:spacing w:val="-1"/>
        </w:rPr>
        <w:t>in</w:t>
      </w:r>
      <w:r>
        <w:rPr>
          <w:spacing w:val="45"/>
        </w:rPr>
        <w:t xml:space="preserve"> </w:t>
      </w:r>
      <w:r>
        <w:rPr>
          <w:spacing w:val="-1"/>
        </w:rPr>
        <w:t>any</w:t>
      </w:r>
      <w:r>
        <w:rPr>
          <w:spacing w:val="-2"/>
        </w:rPr>
        <w:t xml:space="preserve"> way;</w:t>
      </w:r>
      <w:r>
        <w:rPr>
          <w:spacing w:val="2"/>
        </w:rPr>
        <w:t xml:space="preserve"> </w:t>
      </w:r>
      <w:r>
        <w:rPr>
          <w:spacing w:val="-1"/>
        </w:rPr>
        <w:t>or</w:t>
      </w:r>
    </w:p>
    <w:p w:rsidR="008918FA" w:rsidRDefault="008918FA" w:rsidP="008918FA">
      <w:pPr>
        <w:pStyle w:val="BodyText"/>
        <w:numPr>
          <w:ilvl w:val="2"/>
          <w:numId w:val="66"/>
        </w:numPr>
        <w:tabs>
          <w:tab w:val="left" w:pos="2247"/>
        </w:tabs>
        <w:spacing w:before="121"/>
        <w:ind w:left="2246" w:right="115"/>
        <w:jc w:val="both"/>
      </w:pPr>
      <w:r>
        <w:rPr>
          <w:spacing w:val="-1"/>
        </w:rPr>
        <w:t>use</w:t>
      </w:r>
      <w:r>
        <w:rPr>
          <w:spacing w:val="27"/>
        </w:rPr>
        <w:t xml:space="preserve"> </w:t>
      </w:r>
      <w:r>
        <w:t>the</w:t>
      </w:r>
      <w:r>
        <w:rPr>
          <w:spacing w:val="27"/>
        </w:rPr>
        <w:t xml:space="preserve"> </w:t>
      </w:r>
      <w:r>
        <w:rPr>
          <w:spacing w:val="-1"/>
        </w:rPr>
        <w:t>Customer's</w:t>
      </w:r>
      <w:r>
        <w:rPr>
          <w:spacing w:val="27"/>
        </w:rPr>
        <w:t xml:space="preserve"> </w:t>
      </w:r>
      <w:r>
        <w:rPr>
          <w:spacing w:val="-1"/>
        </w:rPr>
        <w:t>name</w:t>
      </w:r>
      <w:r>
        <w:rPr>
          <w:spacing w:val="27"/>
        </w:rPr>
        <w:t xml:space="preserve"> </w:t>
      </w:r>
      <w:r>
        <w:rPr>
          <w:spacing w:val="-1"/>
        </w:rPr>
        <w:t>or</w:t>
      </w:r>
      <w:r>
        <w:rPr>
          <w:spacing w:val="28"/>
        </w:rPr>
        <w:t xml:space="preserve"> </w:t>
      </w:r>
      <w:r>
        <w:rPr>
          <w:spacing w:val="-1"/>
        </w:rPr>
        <w:t>brand</w:t>
      </w:r>
      <w:r>
        <w:rPr>
          <w:spacing w:val="27"/>
        </w:rPr>
        <w:t xml:space="preserve"> </w:t>
      </w:r>
      <w:r>
        <w:rPr>
          <w:spacing w:val="-1"/>
        </w:rPr>
        <w:t>in</w:t>
      </w:r>
      <w:r>
        <w:rPr>
          <w:spacing w:val="27"/>
        </w:rPr>
        <w:t xml:space="preserve"> </w:t>
      </w:r>
      <w:r>
        <w:rPr>
          <w:spacing w:val="-1"/>
        </w:rPr>
        <w:t>any</w:t>
      </w:r>
      <w:r>
        <w:rPr>
          <w:spacing w:val="25"/>
        </w:rPr>
        <w:t xml:space="preserve"> </w:t>
      </w:r>
      <w:r>
        <w:rPr>
          <w:spacing w:val="-1"/>
        </w:rPr>
        <w:t>promotion</w:t>
      </w:r>
      <w:r>
        <w:rPr>
          <w:spacing w:val="27"/>
        </w:rPr>
        <w:t xml:space="preserve"> </w:t>
      </w:r>
      <w:r>
        <w:rPr>
          <w:spacing w:val="-1"/>
        </w:rPr>
        <w:t>or</w:t>
      </w:r>
      <w:r>
        <w:rPr>
          <w:spacing w:val="28"/>
        </w:rPr>
        <w:t xml:space="preserve"> </w:t>
      </w:r>
      <w:r>
        <w:rPr>
          <w:spacing w:val="-1"/>
        </w:rPr>
        <w:t>marketing</w:t>
      </w:r>
      <w:r>
        <w:rPr>
          <w:spacing w:val="29"/>
        </w:rPr>
        <w:t xml:space="preserve"> </w:t>
      </w:r>
      <w:r>
        <w:rPr>
          <w:spacing w:val="-1"/>
        </w:rPr>
        <w:t>or</w:t>
      </w:r>
      <w:r>
        <w:rPr>
          <w:spacing w:val="36"/>
        </w:rPr>
        <w:t xml:space="preserve"> </w:t>
      </w:r>
      <w:r>
        <w:rPr>
          <w:spacing w:val="-1"/>
        </w:rPr>
        <w:t>announcement</w:t>
      </w:r>
      <w:r>
        <w:t xml:space="preserve"> </w:t>
      </w:r>
      <w:r>
        <w:rPr>
          <w:spacing w:val="-2"/>
        </w:rPr>
        <w:t>of</w:t>
      </w:r>
      <w:r>
        <w:rPr>
          <w:spacing w:val="2"/>
        </w:rPr>
        <w:t xml:space="preserve"> </w:t>
      </w:r>
      <w:r>
        <w:rPr>
          <w:spacing w:val="-2"/>
        </w:rPr>
        <w:t>orders,</w:t>
      </w:r>
    </w:p>
    <w:p w:rsidR="008918FA" w:rsidRDefault="008918FA" w:rsidP="008918FA">
      <w:pPr>
        <w:pStyle w:val="BodyText"/>
        <w:numPr>
          <w:ilvl w:val="2"/>
          <w:numId w:val="66"/>
        </w:numPr>
        <w:tabs>
          <w:tab w:val="left" w:pos="2247"/>
        </w:tabs>
        <w:spacing w:before="121"/>
        <w:ind w:left="2246" w:right="118"/>
        <w:jc w:val="both"/>
      </w:pPr>
      <w:r>
        <w:rPr>
          <w:spacing w:val="-1"/>
        </w:rPr>
        <w:t>without</w:t>
      </w:r>
      <w:r>
        <w:rPr>
          <w:spacing w:val="9"/>
        </w:rPr>
        <w:t xml:space="preserve"> </w:t>
      </w:r>
      <w:r>
        <w:rPr>
          <w:spacing w:val="-1"/>
        </w:rPr>
        <w:t>Approval</w:t>
      </w:r>
      <w:r>
        <w:rPr>
          <w:spacing w:val="7"/>
        </w:rPr>
        <w:t xml:space="preserve"> </w:t>
      </w:r>
      <w:r>
        <w:t>(the</w:t>
      </w:r>
      <w:r>
        <w:rPr>
          <w:spacing w:val="7"/>
        </w:rPr>
        <w:t xml:space="preserve"> </w:t>
      </w:r>
      <w:r>
        <w:rPr>
          <w:spacing w:val="-1"/>
        </w:rPr>
        <w:t>decision</w:t>
      </w:r>
      <w:r>
        <w:rPr>
          <w:spacing w:val="7"/>
        </w:rPr>
        <w:t xml:space="preserve"> </w:t>
      </w:r>
      <w:r>
        <w:rPr>
          <w:spacing w:val="-1"/>
        </w:rPr>
        <w:t>of</w:t>
      </w:r>
      <w:r>
        <w:rPr>
          <w:spacing w:val="11"/>
        </w:rPr>
        <w:t xml:space="preserve"> </w:t>
      </w:r>
      <w:r>
        <w:t>the</w:t>
      </w:r>
      <w:r>
        <w:rPr>
          <w:spacing w:val="7"/>
        </w:rPr>
        <w:t xml:space="preserve"> </w:t>
      </w:r>
      <w:r>
        <w:rPr>
          <w:spacing w:val="-2"/>
        </w:rPr>
        <w:t>Customer</w:t>
      </w:r>
      <w:r>
        <w:rPr>
          <w:spacing w:val="9"/>
        </w:rPr>
        <w:t xml:space="preserve"> </w:t>
      </w:r>
      <w:r>
        <w:rPr>
          <w:spacing w:val="-1"/>
        </w:rPr>
        <w:t>to</w:t>
      </w:r>
      <w:r>
        <w:rPr>
          <w:spacing w:val="7"/>
        </w:rPr>
        <w:t xml:space="preserve"> </w:t>
      </w:r>
      <w:r>
        <w:rPr>
          <w:spacing w:val="-1"/>
        </w:rPr>
        <w:t>Approve</w:t>
      </w:r>
      <w:r>
        <w:rPr>
          <w:spacing w:val="7"/>
        </w:rPr>
        <w:t xml:space="preserve"> </w:t>
      </w:r>
      <w:r>
        <w:rPr>
          <w:spacing w:val="-1"/>
        </w:rPr>
        <w:t>or</w:t>
      </w:r>
      <w:r>
        <w:rPr>
          <w:spacing w:val="9"/>
        </w:rPr>
        <w:t xml:space="preserve"> </w:t>
      </w:r>
      <w:r>
        <w:rPr>
          <w:spacing w:val="-1"/>
        </w:rPr>
        <w:t>not</w:t>
      </w:r>
      <w:r>
        <w:rPr>
          <w:spacing w:val="9"/>
        </w:rPr>
        <w:t xml:space="preserve"> </w:t>
      </w:r>
      <w:r>
        <w:rPr>
          <w:spacing w:val="-1"/>
        </w:rPr>
        <w:t>shall</w:t>
      </w:r>
      <w:r>
        <w:rPr>
          <w:spacing w:val="27"/>
        </w:rPr>
        <w:t xml:space="preserve"> </w:t>
      </w:r>
      <w:r>
        <w:rPr>
          <w:spacing w:val="-1"/>
        </w:rPr>
        <w:t>not</w:t>
      </w:r>
      <w:r>
        <w:rPr>
          <w:spacing w:val="2"/>
        </w:rPr>
        <w:t xml:space="preserve"> </w:t>
      </w:r>
      <w:r>
        <w:rPr>
          <w:spacing w:val="-1"/>
        </w:rPr>
        <w:t>be</w:t>
      </w:r>
      <w:r>
        <w:rPr>
          <w:spacing w:val="-2"/>
        </w:rPr>
        <w:t xml:space="preserve"> </w:t>
      </w:r>
      <w:r>
        <w:rPr>
          <w:spacing w:val="-1"/>
        </w:rPr>
        <w:t>unreasonably</w:t>
      </w:r>
      <w:r>
        <w:rPr>
          <w:spacing w:val="-2"/>
        </w:rPr>
        <w:t xml:space="preserve"> withheld</w:t>
      </w:r>
      <w:r>
        <w:t xml:space="preserve"> </w:t>
      </w:r>
      <w:r>
        <w:rPr>
          <w:spacing w:val="-1"/>
        </w:rPr>
        <w:t>or</w:t>
      </w:r>
      <w:r>
        <w:rPr>
          <w:spacing w:val="2"/>
        </w:rPr>
        <w:t xml:space="preserve"> </w:t>
      </w:r>
      <w:r>
        <w:rPr>
          <w:spacing w:val="-2"/>
        </w:rPr>
        <w:t>delayed).</w:t>
      </w:r>
    </w:p>
    <w:p w:rsidR="008918FA" w:rsidRDefault="008918FA" w:rsidP="008918FA">
      <w:pPr>
        <w:pStyle w:val="BodyText"/>
        <w:numPr>
          <w:ilvl w:val="1"/>
          <w:numId w:val="66"/>
        </w:numPr>
        <w:tabs>
          <w:tab w:val="left" w:pos="1253"/>
        </w:tabs>
        <w:ind w:left="1048" w:right="110" w:hanging="360"/>
        <w:jc w:val="both"/>
      </w:pPr>
      <w:r>
        <w:rPr>
          <w:spacing w:val="-1"/>
        </w:rPr>
        <w:t>Each</w:t>
      </w:r>
      <w:r>
        <w:rPr>
          <w:spacing w:val="5"/>
        </w:rPr>
        <w:t xml:space="preserve"> </w:t>
      </w:r>
      <w:r>
        <w:rPr>
          <w:spacing w:val="-1"/>
        </w:rPr>
        <w:t>Party</w:t>
      </w:r>
      <w:r>
        <w:rPr>
          <w:spacing w:val="3"/>
        </w:rPr>
        <w:t xml:space="preserve"> </w:t>
      </w:r>
      <w:r>
        <w:rPr>
          <w:spacing w:val="-2"/>
        </w:rPr>
        <w:t>acknowledges</w:t>
      </w:r>
      <w:r>
        <w:rPr>
          <w:spacing w:val="5"/>
        </w:rPr>
        <w:t xml:space="preserve"> </w:t>
      </w:r>
      <w:r>
        <w:t>to</w:t>
      </w:r>
      <w:r>
        <w:rPr>
          <w:spacing w:val="3"/>
        </w:rPr>
        <w:t xml:space="preserve"> </w:t>
      </w:r>
      <w:r>
        <w:t>the</w:t>
      </w:r>
      <w:r>
        <w:rPr>
          <w:spacing w:val="3"/>
        </w:rPr>
        <w:t xml:space="preserve"> </w:t>
      </w:r>
      <w:r>
        <w:rPr>
          <w:spacing w:val="-1"/>
        </w:rPr>
        <w:t>other</w:t>
      </w:r>
      <w:r>
        <w:rPr>
          <w:spacing w:val="4"/>
        </w:rPr>
        <w:t xml:space="preserve"> </w:t>
      </w:r>
      <w:r>
        <w:rPr>
          <w:spacing w:val="-1"/>
        </w:rPr>
        <w:t>that</w:t>
      </w:r>
      <w:r>
        <w:rPr>
          <w:spacing w:val="4"/>
        </w:rPr>
        <w:t xml:space="preserve"> </w:t>
      </w:r>
      <w:r>
        <w:rPr>
          <w:spacing w:val="-1"/>
        </w:rPr>
        <w:t>nothing</w:t>
      </w:r>
      <w:r>
        <w:rPr>
          <w:spacing w:val="7"/>
        </w:rPr>
        <w:t xml:space="preserve"> </w:t>
      </w:r>
      <w:r>
        <w:rPr>
          <w:spacing w:val="-1"/>
        </w:rPr>
        <w:t>in</w:t>
      </w:r>
      <w:r>
        <w:rPr>
          <w:spacing w:val="3"/>
        </w:rPr>
        <w:t xml:space="preserve"> </w:t>
      </w:r>
      <w:r>
        <w:rPr>
          <w:spacing w:val="-1"/>
        </w:rPr>
        <w:t>this</w:t>
      </w:r>
      <w:r>
        <w:rPr>
          <w:spacing w:val="5"/>
        </w:rPr>
        <w:t xml:space="preserve"> </w:t>
      </w:r>
      <w:r>
        <w:rPr>
          <w:spacing w:val="-2"/>
        </w:rPr>
        <w:t>Call</w:t>
      </w:r>
      <w:r>
        <w:rPr>
          <w:spacing w:val="2"/>
        </w:rPr>
        <w:t xml:space="preserve"> </w:t>
      </w:r>
      <w:r>
        <w:rPr>
          <w:spacing w:val="-1"/>
        </w:rPr>
        <w:t>Off</w:t>
      </w:r>
      <w:r>
        <w:rPr>
          <w:spacing w:val="7"/>
        </w:rPr>
        <w:t xml:space="preserve"> </w:t>
      </w:r>
      <w:r>
        <w:rPr>
          <w:spacing w:val="-2"/>
        </w:rPr>
        <w:t>Contract</w:t>
      </w:r>
      <w:r>
        <w:rPr>
          <w:spacing w:val="7"/>
        </w:rPr>
        <w:t xml:space="preserve"> </w:t>
      </w:r>
      <w:r>
        <w:rPr>
          <w:spacing w:val="-1"/>
        </w:rPr>
        <w:t>either</w:t>
      </w:r>
      <w:r>
        <w:rPr>
          <w:spacing w:val="69"/>
        </w:rPr>
        <w:t xml:space="preserve"> </w:t>
      </w:r>
      <w:r>
        <w:rPr>
          <w:spacing w:val="-1"/>
        </w:rPr>
        <w:t>expressly</w:t>
      </w:r>
      <w:r>
        <w:rPr>
          <w:spacing w:val="5"/>
        </w:rPr>
        <w:t xml:space="preserve"> </w:t>
      </w:r>
      <w:r>
        <w:rPr>
          <w:spacing w:val="-1"/>
        </w:rPr>
        <w:t>or</w:t>
      </w:r>
      <w:r>
        <w:rPr>
          <w:spacing w:val="9"/>
        </w:rPr>
        <w:t xml:space="preserve"> </w:t>
      </w:r>
      <w:r>
        <w:rPr>
          <w:spacing w:val="-1"/>
        </w:rPr>
        <w:t>by</w:t>
      </w:r>
      <w:r>
        <w:rPr>
          <w:spacing w:val="5"/>
        </w:rPr>
        <w:t xml:space="preserve"> </w:t>
      </w:r>
      <w:r>
        <w:rPr>
          <w:spacing w:val="-1"/>
        </w:rPr>
        <w:t>implication</w:t>
      </w:r>
      <w:r>
        <w:rPr>
          <w:spacing w:val="7"/>
        </w:rPr>
        <w:t xml:space="preserve"> </w:t>
      </w:r>
      <w:r>
        <w:rPr>
          <w:spacing w:val="-1"/>
        </w:rPr>
        <w:t>constitutes</w:t>
      </w:r>
      <w:r>
        <w:rPr>
          <w:spacing w:val="8"/>
        </w:rPr>
        <w:t xml:space="preserve"> </w:t>
      </w:r>
      <w:r>
        <w:rPr>
          <w:spacing w:val="-1"/>
        </w:rPr>
        <w:t>an</w:t>
      </w:r>
      <w:r>
        <w:rPr>
          <w:spacing w:val="7"/>
        </w:rPr>
        <w:t xml:space="preserve"> </w:t>
      </w:r>
      <w:r>
        <w:rPr>
          <w:spacing w:val="-2"/>
        </w:rPr>
        <w:t>endorsement</w:t>
      </w:r>
      <w:r>
        <w:rPr>
          <w:spacing w:val="9"/>
        </w:rPr>
        <w:t xml:space="preserve"> </w:t>
      </w:r>
      <w:r>
        <w:rPr>
          <w:spacing w:val="-2"/>
        </w:rPr>
        <w:t>of</w:t>
      </w:r>
      <w:r>
        <w:rPr>
          <w:spacing w:val="9"/>
        </w:rPr>
        <w:t xml:space="preserve"> </w:t>
      </w:r>
      <w:r>
        <w:rPr>
          <w:spacing w:val="-1"/>
        </w:rPr>
        <w:t>any</w:t>
      </w:r>
      <w:r>
        <w:rPr>
          <w:spacing w:val="5"/>
        </w:rPr>
        <w:t xml:space="preserve"> </w:t>
      </w:r>
      <w:r>
        <w:rPr>
          <w:spacing w:val="-1"/>
        </w:rPr>
        <w:t>products</w:t>
      </w:r>
      <w:r>
        <w:rPr>
          <w:spacing w:val="8"/>
        </w:rPr>
        <w:t xml:space="preserve"> </w:t>
      </w:r>
      <w:r>
        <w:rPr>
          <w:spacing w:val="-2"/>
        </w:rPr>
        <w:t>or</w:t>
      </w:r>
      <w:r>
        <w:rPr>
          <w:spacing w:val="9"/>
        </w:rPr>
        <w:t xml:space="preserve"> </w:t>
      </w:r>
      <w:r>
        <w:rPr>
          <w:spacing w:val="-1"/>
        </w:rPr>
        <w:t>services</w:t>
      </w:r>
      <w:r>
        <w:rPr>
          <w:spacing w:val="57"/>
        </w:rPr>
        <w:t xml:space="preserve"> </w:t>
      </w:r>
      <w:r>
        <w:rPr>
          <w:spacing w:val="-2"/>
        </w:rPr>
        <w:t>of</w:t>
      </w:r>
      <w:r>
        <w:rPr>
          <w:spacing w:val="2"/>
        </w:rPr>
        <w:t xml:space="preserve"> </w:t>
      </w:r>
      <w:r>
        <w:t xml:space="preserve">the </w:t>
      </w:r>
      <w:r>
        <w:rPr>
          <w:spacing w:val="-1"/>
        </w:rPr>
        <w:t>other Party</w:t>
      </w:r>
      <w:r>
        <w:rPr>
          <w:spacing w:val="-4"/>
        </w:rPr>
        <w:t xml:space="preserve"> </w:t>
      </w:r>
      <w:r>
        <w:rPr>
          <w:spacing w:val="-1"/>
        </w:rPr>
        <w:t>(including</w:t>
      </w:r>
      <w:r>
        <w:t xml:space="preserve"> the</w:t>
      </w:r>
      <w:r>
        <w:rPr>
          <w:spacing w:val="-1"/>
        </w:rPr>
        <w:t xml:space="preserve"> Goods Services</w:t>
      </w:r>
      <w:r>
        <w:rPr>
          <w:spacing w:val="1"/>
        </w:rPr>
        <w:t xml:space="preserve"> </w:t>
      </w:r>
      <w:r>
        <w:rPr>
          <w:spacing w:val="-2"/>
        </w:rPr>
        <w:t>and</w:t>
      </w:r>
      <w:r>
        <w:t xml:space="preserve"> </w:t>
      </w:r>
      <w:r>
        <w:rPr>
          <w:spacing w:val="-2"/>
        </w:rPr>
        <w:t>Supplier</w:t>
      </w:r>
      <w:r>
        <w:rPr>
          <w:spacing w:val="2"/>
        </w:rPr>
        <w:t xml:space="preserve"> </w:t>
      </w:r>
      <w:r>
        <w:rPr>
          <w:spacing w:val="-1"/>
        </w:rPr>
        <w:t>Equipment) and</w:t>
      </w:r>
      <w:r>
        <w:t xml:space="preserve"> </w:t>
      </w:r>
      <w:r>
        <w:rPr>
          <w:spacing w:val="-1"/>
        </w:rPr>
        <w:t>each</w:t>
      </w:r>
      <w:r>
        <w:rPr>
          <w:spacing w:val="45"/>
        </w:rPr>
        <w:t xml:space="preserve"> </w:t>
      </w:r>
      <w:r>
        <w:rPr>
          <w:spacing w:val="-1"/>
        </w:rPr>
        <w:t>Party</w:t>
      </w:r>
      <w:r>
        <w:rPr>
          <w:spacing w:val="20"/>
        </w:rPr>
        <w:t xml:space="preserve"> </w:t>
      </w:r>
      <w:r>
        <w:rPr>
          <w:spacing w:val="-1"/>
        </w:rPr>
        <w:t>agrees</w:t>
      </w:r>
      <w:r>
        <w:rPr>
          <w:spacing w:val="22"/>
        </w:rPr>
        <w:t xml:space="preserve"> </w:t>
      </w:r>
      <w:r>
        <w:rPr>
          <w:spacing w:val="-1"/>
        </w:rPr>
        <w:t>not</w:t>
      </w:r>
      <w:r>
        <w:rPr>
          <w:spacing w:val="21"/>
        </w:rPr>
        <w:t xml:space="preserve"> </w:t>
      </w:r>
      <w:r>
        <w:t>to</w:t>
      </w:r>
      <w:r>
        <w:rPr>
          <w:spacing w:val="22"/>
        </w:rPr>
        <w:t xml:space="preserve"> </w:t>
      </w:r>
      <w:r>
        <w:rPr>
          <w:spacing w:val="-1"/>
        </w:rPr>
        <w:t>conduct</w:t>
      </w:r>
      <w:r>
        <w:rPr>
          <w:spacing w:val="24"/>
        </w:rPr>
        <w:t xml:space="preserve"> </w:t>
      </w:r>
      <w:r>
        <w:rPr>
          <w:spacing w:val="-1"/>
        </w:rPr>
        <w:t>itself</w:t>
      </w:r>
      <w:r>
        <w:rPr>
          <w:spacing w:val="26"/>
        </w:rPr>
        <w:t xml:space="preserve"> </w:t>
      </w:r>
      <w:r>
        <w:rPr>
          <w:spacing w:val="-1"/>
        </w:rPr>
        <w:t>in</w:t>
      </w:r>
      <w:r>
        <w:rPr>
          <w:spacing w:val="22"/>
        </w:rPr>
        <w:t xml:space="preserve"> </w:t>
      </w:r>
      <w:r>
        <w:rPr>
          <w:spacing w:val="-1"/>
        </w:rPr>
        <w:t>such</w:t>
      </w:r>
      <w:r>
        <w:rPr>
          <w:spacing w:val="22"/>
        </w:rPr>
        <w:t xml:space="preserve"> </w:t>
      </w:r>
      <w:r>
        <w:t>a</w:t>
      </w:r>
      <w:r>
        <w:rPr>
          <w:spacing w:val="24"/>
        </w:rPr>
        <w:t xml:space="preserve"> </w:t>
      </w:r>
      <w:r>
        <w:rPr>
          <w:spacing w:val="-1"/>
        </w:rPr>
        <w:t>way</w:t>
      </w:r>
      <w:r>
        <w:rPr>
          <w:spacing w:val="22"/>
        </w:rPr>
        <w:t xml:space="preserve"> </w:t>
      </w:r>
      <w:r>
        <w:rPr>
          <w:spacing w:val="-1"/>
        </w:rPr>
        <w:t>as</w:t>
      </w:r>
      <w:r>
        <w:rPr>
          <w:spacing w:val="22"/>
        </w:rPr>
        <w:t xml:space="preserve"> </w:t>
      </w:r>
      <w:r>
        <w:t>to</w:t>
      </w:r>
      <w:r>
        <w:rPr>
          <w:spacing w:val="22"/>
        </w:rPr>
        <w:t xml:space="preserve"> </w:t>
      </w:r>
      <w:r>
        <w:rPr>
          <w:spacing w:val="-1"/>
        </w:rPr>
        <w:t>imply</w:t>
      </w:r>
      <w:r>
        <w:rPr>
          <w:spacing w:val="22"/>
        </w:rPr>
        <w:t xml:space="preserve"> </w:t>
      </w:r>
      <w:r>
        <w:rPr>
          <w:spacing w:val="-1"/>
        </w:rPr>
        <w:t>or</w:t>
      </w:r>
      <w:r>
        <w:rPr>
          <w:spacing w:val="23"/>
        </w:rPr>
        <w:t xml:space="preserve"> </w:t>
      </w:r>
      <w:r>
        <w:rPr>
          <w:spacing w:val="-1"/>
        </w:rPr>
        <w:t>express</w:t>
      </w:r>
      <w:r>
        <w:rPr>
          <w:spacing w:val="23"/>
        </w:rPr>
        <w:t xml:space="preserve"> </w:t>
      </w:r>
      <w:r>
        <w:rPr>
          <w:spacing w:val="-1"/>
        </w:rPr>
        <w:t>any</w:t>
      </w:r>
      <w:r>
        <w:rPr>
          <w:spacing w:val="20"/>
        </w:rPr>
        <w:t xml:space="preserve"> </w:t>
      </w:r>
      <w:r>
        <w:rPr>
          <w:spacing w:val="-1"/>
        </w:rPr>
        <w:t>such</w:t>
      </w:r>
      <w:r>
        <w:rPr>
          <w:spacing w:val="48"/>
        </w:rPr>
        <w:t xml:space="preserve"> </w:t>
      </w:r>
      <w:r>
        <w:rPr>
          <w:spacing w:val="-1"/>
        </w:rPr>
        <w:t>approval</w:t>
      </w:r>
      <w:r>
        <w:t xml:space="preserve"> </w:t>
      </w:r>
      <w:r>
        <w:rPr>
          <w:spacing w:val="-1"/>
        </w:rPr>
        <w:t>or</w:t>
      </w:r>
      <w:r>
        <w:rPr>
          <w:spacing w:val="2"/>
        </w:rPr>
        <w:t xml:space="preserve"> </w:t>
      </w:r>
      <w:r>
        <w:rPr>
          <w:spacing w:val="-2"/>
        </w:rPr>
        <w:t>endorsement.</w:t>
      </w:r>
    </w:p>
    <w:p w:rsidR="008918FA" w:rsidRDefault="008918FA" w:rsidP="008918FA">
      <w:pPr>
        <w:spacing w:before="3"/>
        <w:rPr>
          <w:rFonts w:ascii="Arial" w:eastAsia="Arial" w:hAnsi="Arial" w:cs="Arial"/>
          <w:sz w:val="14"/>
          <w:szCs w:val="14"/>
        </w:rPr>
      </w:pPr>
    </w:p>
    <w:p w:rsidR="008918FA" w:rsidRDefault="008918FA" w:rsidP="008918FA">
      <w:pPr>
        <w:pStyle w:val="Heading1"/>
        <w:tabs>
          <w:tab w:val="left" w:pos="686"/>
        </w:tabs>
        <w:spacing w:before="73"/>
        <w:ind w:left="120" w:firstLine="0"/>
        <w:rPr>
          <w:b w:val="0"/>
          <w:bCs w:val="0"/>
        </w:rPr>
      </w:pPr>
      <w:bookmarkStart w:id="234" w:name="_bookmark199"/>
      <w:bookmarkEnd w:id="234"/>
      <w:r>
        <w:rPr>
          <w:color w:val="C00000"/>
        </w:rPr>
        <w:t>I.</w:t>
      </w:r>
      <w:r>
        <w:rPr>
          <w:color w:val="C00000"/>
        </w:rPr>
        <w:tab/>
      </w:r>
      <w:r w:rsidRPr="001C1527">
        <w:rPr>
          <w:color w:val="C00000"/>
          <w:spacing w:val="-1"/>
          <w:u w:val="single"/>
        </w:rPr>
        <w:t>LIABILITY</w:t>
      </w:r>
      <w:r w:rsidRPr="001C1527">
        <w:rPr>
          <w:color w:val="C00000"/>
          <w:spacing w:val="4"/>
          <w:u w:val="single"/>
        </w:rPr>
        <w:t xml:space="preserve"> </w:t>
      </w:r>
      <w:r w:rsidRPr="001C1527">
        <w:rPr>
          <w:color w:val="C00000"/>
          <w:spacing w:val="-3"/>
          <w:u w:val="single"/>
        </w:rPr>
        <w:t>AND</w:t>
      </w:r>
      <w:r w:rsidRPr="001C1527">
        <w:rPr>
          <w:color w:val="C00000"/>
          <w:u w:val="single"/>
        </w:rPr>
        <w:t xml:space="preserve"> </w:t>
      </w:r>
      <w:r w:rsidRPr="001C1527">
        <w:rPr>
          <w:color w:val="C00000"/>
          <w:spacing w:val="-1"/>
          <w:u w:val="single"/>
        </w:rPr>
        <w:t>INSURANCE</w:t>
      </w:r>
    </w:p>
    <w:p w:rsidR="008918FA" w:rsidRDefault="008918FA" w:rsidP="008918FA">
      <w:pPr>
        <w:spacing w:before="8"/>
        <w:rPr>
          <w:rFonts w:ascii="Arial" w:eastAsia="Arial" w:hAnsi="Arial" w:cs="Arial"/>
          <w:b/>
          <w:bCs/>
          <w:sz w:val="14"/>
          <w:szCs w:val="14"/>
        </w:rPr>
      </w:pPr>
    </w:p>
    <w:p w:rsidR="008918FA" w:rsidRDefault="008918FA" w:rsidP="008918FA">
      <w:pPr>
        <w:pStyle w:val="BodyText"/>
        <w:numPr>
          <w:ilvl w:val="0"/>
          <w:numId w:val="66"/>
        </w:numPr>
        <w:tabs>
          <w:tab w:val="left" w:pos="687"/>
        </w:tabs>
        <w:spacing w:before="72"/>
        <w:ind w:hanging="566"/>
        <w:rPr>
          <w:rFonts w:ascii="Times New Roman" w:eastAsia="Times New Roman" w:hAnsi="Times New Roman" w:cs="Times New Roman"/>
        </w:rPr>
      </w:pPr>
      <w:bookmarkStart w:id="235" w:name="_bookmark200"/>
      <w:bookmarkEnd w:id="235"/>
      <w:r>
        <w:rPr>
          <w:rFonts w:ascii="Times New Roman"/>
          <w:spacing w:val="-4"/>
        </w:rPr>
        <w:t>LIABILITY</w:t>
      </w:r>
    </w:p>
    <w:p w:rsidR="008918FA" w:rsidRDefault="008918FA" w:rsidP="008918FA">
      <w:pPr>
        <w:spacing w:before="5"/>
        <w:rPr>
          <w:rFonts w:ascii="Times New Roman" w:eastAsia="Times New Roman" w:hAnsi="Times New Roman" w:cs="Times New Roman"/>
          <w:sz w:val="14"/>
          <w:szCs w:val="14"/>
        </w:rPr>
      </w:pPr>
    </w:p>
    <w:p w:rsidR="008918FA" w:rsidRDefault="008918FA" w:rsidP="008918FA">
      <w:pPr>
        <w:pStyle w:val="Heading1"/>
        <w:numPr>
          <w:ilvl w:val="1"/>
          <w:numId w:val="66"/>
        </w:numPr>
        <w:tabs>
          <w:tab w:val="left" w:pos="1253"/>
        </w:tabs>
        <w:spacing w:before="72"/>
        <w:ind w:left="1252" w:hanging="564"/>
        <w:rPr>
          <w:b w:val="0"/>
          <w:bCs w:val="0"/>
        </w:rPr>
      </w:pPr>
      <w:bookmarkStart w:id="236" w:name="_bookmark201"/>
      <w:bookmarkEnd w:id="236"/>
      <w:r>
        <w:rPr>
          <w:spacing w:val="-1"/>
        </w:rPr>
        <w:t>Unlimited</w:t>
      </w:r>
      <w:r>
        <w:rPr>
          <w:spacing w:val="-2"/>
        </w:rPr>
        <w:t xml:space="preserve"> </w:t>
      </w:r>
      <w:r>
        <w:rPr>
          <w:spacing w:val="-1"/>
        </w:rPr>
        <w:t>Liability</w:t>
      </w:r>
    </w:p>
    <w:p w:rsidR="008918FA" w:rsidRDefault="008918FA" w:rsidP="008918FA">
      <w:pPr>
        <w:pStyle w:val="BodyText"/>
        <w:numPr>
          <w:ilvl w:val="2"/>
          <w:numId w:val="66"/>
        </w:numPr>
        <w:tabs>
          <w:tab w:val="left" w:pos="2247"/>
        </w:tabs>
        <w:spacing w:before="124"/>
        <w:ind w:left="2245" w:hanging="993"/>
      </w:pPr>
      <w:r>
        <w:rPr>
          <w:spacing w:val="-1"/>
        </w:rPr>
        <w:t>Neither</w:t>
      </w:r>
      <w:r>
        <w:rPr>
          <w:spacing w:val="2"/>
        </w:rPr>
        <w:t xml:space="preserve"> </w:t>
      </w:r>
      <w:r>
        <w:rPr>
          <w:spacing w:val="-1"/>
        </w:rPr>
        <w:t>Party</w:t>
      </w:r>
      <w:r>
        <w:rPr>
          <w:spacing w:val="-2"/>
        </w:rPr>
        <w:t xml:space="preserve"> excludes</w:t>
      </w:r>
      <w:r>
        <w:rPr>
          <w:spacing w:val="1"/>
        </w:rPr>
        <w:t xml:space="preserve"> </w:t>
      </w:r>
      <w:r>
        <w:rPr>
          <w:spacing w:val="-1"/>
        </w:rPr>
        <w:t>or</w:t>
      </w:r>
      <w:r>
        <w:rPr>
          <w:spacing w:val="2"/>
        </w:rPr>
        <w:t xml:space="preserve"> </w:t>
      </w:r>
      <w:r>
        <w:rPr>
          <w:spacing w:val="-1"/>
        </w:rPr>
        <w:t>limits</w:t>
      </w:r>
      <w:r>
        <w:rPr>
          <w:spacing w:val="-2"/>
        </w:rPr>
        <w:t xml:space="preserve"> </w:t>
      </w:r>
      <w:r>
        <w:rPr>
          <w:spacing w:val="-1"/>
        </w:rPr>
        <w:t>it</w:t>
      </w:r>
      <w:r>
        <w:rPr>
          <w:spacing w:val="2"/>
        </w:rPr>
        <w:t xml:space="preserve"> </w:t>
      </w:r>
      <w:r>
        <w:rPr>
          <w:spacing w:val="-2"/>
        </w:rPr>
        <w:t xml:space="preserve">liability </w:t>
      </w:r>
      <w:r>
        <w:t>for:</w:t>
      </w:r>
    </w:p>
    <w:p w:rsidR="008918FA" w:rsidRDefault="008918FA" w:rsidP="008918FA">
      <w:pPr>
        <w:pStyle w:val="BodyText"/>
        <w:numPr>
          <w:ilvl w:val="3"/>
          <w:numId w:val="66"/>
        </w:numPr>
        <w:tabs>
          <w:tab w:val="left" w:pos="2955"/>
        </w:tabs>
        <w:ind w:left="2954" w:right="112"/>
        <w:jc w:val="both"/>
      </w:pPr>
      <w:r>
        <w:rPr>
          <w:spacing w:val="-1"/>
        </w:rPr>
        <w:t>death</w:t>
      </w:r>
      <w:r>
        <w:rPr>
          <w:spacing w:val="15"/>
        </w:rPr>
        <w:t xml:space="preserve"> </w:t>
      </w:r>
      <w:r>
        <w:rPr>
          <w:spacing w:val="-1"/>
        </w:rPr>
        <w:t>or</w:t>
      </w:r>
      <w:r>
        <w:rPr>
          <w:spacing w:val="16"/>
        </w:rPr>
        <w:t xml:space="preserve"> </w:t>
      </w:r>
      <w:r>
        <w:rPr>
          <w:spacing w:val="-1"/>
        </w:rPr>
        <w:t>personal</w:t>
      </w:r>
      <w:r>
        <w:rPr>
          <w:spacing w:val="14"/>
        </w:rPr>
        <w:t xml:space="preserve"> </w:t>
      </w:r>
      <w:r>
        <w:rPr>
          <w:spacing w:val="-1"/>
        </w:rPr>
        <w:t>injury</w:t>
      </w:r>
      <w:r>
        <w:rPr>
          <w:spacing w:val="14"/>
        </w:rPr>
        <w:t xml:space="preserve"> </w:t>
      </w:r>
      <w:r>
        <w:rPr>
          <w:spacing w:val="-1"/>
        </w:rPr>
        <w:t>caused</w:t>
      </w:r>
      <w:r>
        <w:rPr>
          <w:spacing w:val="15"/>
        </w:rPr>
        <w:t xml:space="preserve"> </w:t>
      </w:r>
      <w:r>
        <w:rPr>
          <w:spacing w:val="-1"/>
        </w:rPr>
        <w:t>by</w:t>
      </w:r>
      <w:r>
        <w:rPr>
          <w:spacing w:val="13"/>
        </w:rPr>
        <w:t xml:space="preserve"> </w:t>
      </w:r>
      <w:r>
        <w:rPr>
          <w:spacing w:val="-1"/>
        </w:rPr>
        <w:t>its</w:t>
      </w:r>
      <w:r>
        <w:rPr>
          <w:spacing w:val="15"/>
        </w:rPr>
        <w:t xml:space="preserve"> </w:t>
      </w:r>
      <w:r>
        <w:rPr>
          <w:spacing w:val="-1"/>
        </w:rPr>
        <w:t>neg</w:t>
      </w:r>
      <w:bookmarkStart w:id="237" w:name="I._ULIABILITY_AND_INSURANCE"/>
      <w:bookmarkEnd w:id="237"/>
      <w:r>
        <w:rPr>
          <w:spacing w:val="-1"/>
        </w:rPr>
        <w:t>ligenc</w:t>
      </w:r>
      <w:bookmarkStart w:id="238" w:name="36._LIABILITY"/>
      <w:bookmarkEnd w:id="238"/>
      <w:r>
        <w:rPr>
          <w:spacing w:val="-1"/>
        </w:rPr>
        <w:t>e,</w:t>
      </w:r>
      <w:r>
        <w:rPr>
          <w:spacing w:val="16"/>
        </w:rPr>
        <w:t xml:space="preserve"> </w:t>
      </w:r>
      <w:r>
        <w:rPr>
          <w:spacing w:val="-1"/>
        </w:rPr>
        <w:t>or</w:t>
      </w:r>
      <w:r>
        <w:rPr>
          <w:spacing w:val="16"/>
        </w:rPr>
        <w:t xml:space="preserve"> </w:t>
      </w:r>
      <w:r>
        <w:rPr>
          <w:spacing w:val="-1"/>
        </w:rPr>
        <w:t>that</w:t>
      </w:r>
      <w:r>
        <w:rPr>
          <w:spacing w:val="16"/>
        </w:rPr>
        <w:t xml:space="preserve"> </w:t>
      </w:r>
      <w:r>
        <w:rPr>
          <w:spacing w:val="-2"/>
        </w:rPr>
        <w:t>of</w:t>
      </w:r>
      <w:r>
        <w:rPr>
          <w:spacing w:val="19"/>
        </w:rPr>
        <w:t xml:space="preserve"> </w:t>
      </w:r>
      <w:r>
        <w:rPr>
          <w:spacing w:val="-1"/>
        </w:rPr>
        <w:t>its</w:t>
      </w:r>
      <w:r>
        <w:rPr>
          <w:spacing w:val="43"/>
        </w:rPr>
        <w:t xml:space="preserve"> </w:t>
      </w:r>
      <w:r>
        <w:rPr>
          <w:spacing w:val="-2"/>
        </w:rPr>
        <w:t>employees,</w:t>
      </w:r>
      <w:r>
        <w:rPr>
          <w:spacing w:val="2"/>
        </w:rPr>
        <w:t xml:space="preserve"> </w:t>
      </w:r>
      <w:r>
        <w:rPr>
          <w:spacing w:val="-1"/>
        </w:rPr>
        <w:t>agents</w:t>
      </w:r>
      <w:r>
        <w:rPr>
          <w:spacing w:val="-2"/>
        </w:rPr>
        <w:t xml:space="preserve"> or</w:t>
      </w:r>
      <w:r>
        <w:rPr>
          <w:spacing w:val="2"/>
        </w:rPr>
        <w:t xml:space="preserve"> </w:t>
      </w:r>
      <w:r>
        <w:rPr>
          <w:spacing w:val="-1"/>
        </w:rPr>
        <w:t>Sub-Contractors</w:t>
      </w:r>
      <w:r>
        <w:rPr>
          <w:spacing w:val="-2"/>
        </w:rPr>
        <w:t xml:space="preserve"> </w:t>
      </w:r>
      <w:r>
        <w:rPr>
          <w:spacing w:val="-1"/>
        </w:rPr>
        <w:t>(as</w:t>
      </w:r>
      <w:r>
        <w:rPr>
          <w:spacing w:val="1"/>
        </w:rPr>
        <w:t xml:space="preserve"> </w:t>
      </w:r>
      <w:r>
        <w:rPr>
          <w:spacing w:val="-2"/>
        </w:rPr>
        <w:t>applicable);</w:t>
      </w:r>
    </w:p>
    <w:p w:rsidR="008918FA" w:rsidRDefault="008918FA" w:rsidP="008918FA">
      <w:pPr>
        <w:pStyle w:val="BodyText"/>
        <w:numPr>
          <w:ilvl w:val="3"/>
          <w:numId w:val="66"/>
        </w:numPr>
        <w:tabs>
          <w:tab w:val="left" w:pos="2955"/>
        </w:tabs>
        <w:spacing w:before="121"/>
        <w:ind w:left="2954"/>
      </w:pPr>
      <w:r>
        <w:rPr>
          <w:spacing w:val="-1"/>
        </w:rPr>
        <w:t>bribery</w:t>
      </w:r>
      <w:r>
        <w:rPr>
          <w:spacing w:val="-2"/>
        </w:rPr>
        <w:t xml:space="preserve"> </w:t>
      </w:r>
      <w:r>
        <w:rPr>
          <w:spacing w:val="-1"/>
        </w:rPr>
        <w:t>or</w:t>
      </w:r>
      <w:r>
        <w:rPr>
          <w:spacing w:val="2"/>
        </w:rPr>
        <w:t xml:space="preserve"> </w:t>
      </w:r>
      <w:r>
        <w:rPr>
          <w:spacing w:val="-1"/>
        </w:rPr>
        <w:t>Fraud</w:t>
      </w:r>
      <w:r>
        <w:t xml:space="preserve"> </w:t>
      </w:r>
      <w:r>
        <w:rPr>
          <w:spacing w:val="-1"/>
        </w:rPr>
        <w:t>by</w:t>
      </w:r>
      <w:r>
        <w:rPr>
          <w:spacing w:val="-2"/>
        </w:rPr>
        <w:t xml:space="preserve"> </w:t>
      </w:r>
      <w:r>
        <w:rPr>
          <w:spacing w:val="-1"/>
        </w:rPr>
        <w:t>it</w:t>
      </w:r>
      <w:r>
        <w:t xml:space="preserve"> </w:t>
      </w:r>
      <w:r>
        <w:rPr>
          <w:spacing w:val="-1"/>
        </w:rPr>
        <w:t>or its</w:t>
      </w:r>
      <w:r>
        <w:rPr>
          <w:spacing w:val="1"/>
        </w:rPr>
        <w:t xml:space="preserve"> </w:t>
      </w:r>
      <w:r>
        <w:rPr>
          <w:spacing w:val="-2"/>
        </w:rPr>
        <w:t>employees;</w:t>
      </w:r>
    </w:p>
    <w:p w:rsidR="008918FA" w:rsidRDefault="008918FA" w:rsidP="008918FA">
      <w:pPr>
        <w:pStyle w:val="BodyText"/>
        <w:numPr>
          <w:ilvl w:val="3"/>
          <w:numId w:val="66"/>
        </w:numPr>
        <w:tabs>
          <w:tab w:val="left" w:pos="2955"/>
        </w:tabs>
        <w:ind w:left="2954" w:right="113"/>
        <w:jc w:val="both"/>
      </w:pPr>
      <w:r>
        <w:rPr>
          <w:spacing w:val="-1"/>
        </w:rPr>
        <w:t>breach</w:t>
      </w:r>
      <w:r>
        <w:rPr>
          <w:spacing w:val="18"/>
        </w:rPr>
        <w:t xml:space="preserve"> </w:t>
      </w:r>
      <w:r>
        <w:rPr>
          <w:spacing w:val="-2"/>
        </w:rPr>
        <w:t>of</w:t>
      </w:r>
      <w:r>
        <w:rPr>
          <w:spacing w:val="19"/>
        </w:rPr>
        <w:t xml:space="preserve"> </w:t>
      </w:r>
      <w:r>
        <w:rPr>
          <w:spacing w:val="-1"/>
        </w:rPr>
        <w:t>any</w:t>
      </w:r>
      <w:r>
        <w:rPr>
          <w:spacing w:val="15"/>
        </w:rPr>
        <w:t xml:space="preserve"> </w:t>
      </w:r>
      <w:r>
        <w:rPr>
          <w:spacing w:val="-1"/>
        </w:rPr>
        <w:t>obligation</w:t>
      </w:r>
      <w:r>
        <w:rPr>
          <w:spacing w:val="15"/>
        </w:rPr>
        <w:t xml:space="preserve"> </w:t>
      </w:r>
      <w:r>
        <w:rPr>
          <w:spacing w:val="-1"/>
        </w:rPr>
        <w:t>as</w:t>
      </w:r>
      <w:r>
        <w:rPr>
          <w:spacing w:val="18"/>
        </w:rPr>
        <w:t xml:space="preserve"> </w:t>
      </w:r>
      <w:r>
        <w:t>to</w:t>
      </w:r>
      <w:r>
        <w:rPr>
          <w:spacing w:val="15"/>
        </w:rPr>
        <w:t xml:space="preserve"> </w:t>
      </w:r>
      <w:r>
        <w:rPr>
          <w:spacing w:val="-1"/>
        </w:rPr>
        <w:t>title</w:t>
      </w:r>
      <w:r>
        <w:rPr>
          <w:spacing w:val="17"/>
        </w:rPr>
        <w:t xml:space="preserve"> </w:t>
      </w:r>
      <w:r>
        <w:rPr>
          <w:spacing w:val="-2"/>
        </w:rPr>
        <w:t>implied</w:t>
      </w:r>
      <w:r>
        <w:rPr>
          <w:spacing w:val="17"/>
        </w:rPr>
        <w:t xml:space="preserve"> </w:t>
      </w:r>
      <w:r>
        <w:rPr>
          <w:spacing w:val="-1"/>
        </w:rPr>
        <w:t>by</w:t>
      </w:r>
      <w:r>
        <w:rPr>
          <w:spacing w:val="15"/>
        </w:rPr>
        <w:t xml:space="preserve"> </w:t>
      </w:r>
      <w:r>
        <w:rPr>
          <w:spacing w:val="-1"/>
        </w:rPr>
        <w:t>section</w:t>
      </w:r>
      <w:r>
        <w:rPr>
          <w:spacing w:val="17"/>
        </w:rPr>
        <w:t xml:space="preserve"> </w:t>
      </w:r>
      <w:r>
        <w:rPr>
          <w:spacing w:val="-1"/>
        </w:rPr>
        <w:t>12</w:t>
      </w:r>
      <w:r>
        <w:rPr>
          <w:spacing w:val="17"/>
        </w:rPr>
        <w:t xml:space="preserve"> </w:t>
      </w:r>
      <w:r>
        <w:rPr>
          <w:spacing w:val="-2"/>
        </w:rPr>
        <w:t>of</w:t>
      </w:r>
      <w:r>
        <w:rPr>
          <w:spacing w:val="19"/>
        </w:rPr>
        <w:t xml:space="preserve"> </w:t>
      </w:r>
      <w:r>
        <w:rPr>
          <w:spacing w:val="-1"/>
        </w:rPr>
        <w:t>the</w:t>
      </w:r>
      <w:r>
        <w:rPr>
          <w:spacing w:val="52"/>
        </w:rPr>
        <w:t xml:space="preserve"> </w:t>
      </w:r>
      <w:r>
        <w:rPr>
          <w:spacing w:val="-1"/>
        </w:rPr>
        <w:t>Sale</w:t>
      </w:r>
      <w:r>
        <w:rPr>
          <w:spacing w:val="31"/>
        </w:rPr>
        <w:t xml:space="preserve"> </w:t>
      </w:r>
      <w:r>
        <w:rPr>
          <w:spacing w:val="-1"/>
        </w:rPr>
        <w:t>of</w:t>
      </w:r>
      <w:r>
        <w:rPr>
          <w:spacing w:val="35"/>
        </w:rPr>
        <w:t xml:space="preserve"> </w:t>
      </w:r>
      <w:r>
        <w:rPr>
          <w:spacing w:val="-1"/>
        </w:rPr>
        <w:t>Goods</w:t>
      </w:r>
      <w:r>
        <w:rPr>
          <w:spacing w:val="32"/>
        </w:rPr>
        <w:t xml:space="preserve"> </w:t>
      </w:r>
      <w:r>
        <w:rPr>
          <w:spacing w:val="-1"/>
        </w:rPr>
        <w:t>Act</w:t>
      </w:r>
      <w:r>
        <w:rPr>
          <w:spacing w:val="33"/>
        </w:rPr>
        <w:t xml:space="preserve"> </w:t>
      </w:r>
      <w:r>
        <w:rPr>
          <w:spacing w:val="-1"/>
        </w:rPr>
        <w:t>1979</w:t>
      </w:r>
      <w:r>
        <w:rPr>
          <w:spacing w:val="29"/>
        </w:rPr>
        <w:t xml:space="preserve"> </w:t>
      </w:r>
      <w:r>
        <w:rPr>
          <w:spacing w:val="-1"/>
        </w:rPr>
        <w:t>or</w:t>
      </w:r>
      <w:r>
        <w:rPr>
          <w:spacing w:val="33"/>
        </w:rPr>
        <w:t xml:space="preserve"> </w:t>
      </w:r>
      <w:r>
        <w:rPr>
          <w:spacing w:val="-1"/>
        </w:rPr>
        <w:t>section</w:t>
      </w:r>
      <w:r>
        <w:rPr>
          <w:spacing w:val="31"/>
        </w:rPr>
        <w:t xml:space="preserve"> </w:t>
      </w:r>
      <w:r>
        <w:t>2</w:t>
      </w:r>
      <w:r>
        <w:rPr>
          <w:spacing w:val="32"/>
        </w:rPr>
        <w:t xml:space="preserve"> </w:t>
      </w:r>
      <w:r>
        <w:rPr>
          <w:spacing w:val="-2"/>
        </w:rPr>
        <w:t>of</w:t>
      </w:r>
      <w:r>
        <w:rPr>
          <w:spacing w:val="35"/>
        </w:rPr>
        <w:t xml:space="preserve"> </w:t>
      </w:r>
      <w:r>
        <w:t>the</w:t>
      </w:r>
      <w:r>
        <w:rPr>
          <w:spacing w:val="31"/>
        </w:rPr>
        <w:t xml:space="preserve"> </w:t>
      </w:r>
      <w:r>
        <w:rPr>
          <w:spacing w:val="-2"/>
        </w:rPr>
        <w:t>Supply</w:t>
      </w:r>
      <w:r>
        <w:rPr>
          <w:spacing w:val="30"/>
        </w:rPr>
        <w:t xml:space="preserve"> </w:t>
      </w:r>
      <w:r>
        <w:rPr>
          <w:spacing w:val="-1"/>
        </w:rPr>
        <w:t>of</w:t>
      </w:r>
      <w:r>
        <w:rPr>
          <w:spacing w:val="35"/>
        </w:rPr>
        <w:t xml:space="preserve"> </w:t>
      </w:r>
      <w:r>
        <w:rPr>
          <w:spacing w:val="-1"/>
        </w:rPr>
        <w:t>Goods</w:t>
      </w:r>
      <w:r>
        <w:rPr>
          <w:spacing w:val="32"/>
        </w:rPr>
        <w:t xml:space="preserve"> </w:t>
      </w:r>
      <w:r>
        <w:rPr>
          <w:spacing w:val="-1"/>
        </w:rPr>
        <w:t>and</w:t>
      </w:r>
      <w:r>
        <w:t xml:space="preserve"> </w:t>
      </w:r>
      <w:r>
        <w:rPr>
          <w:spacing w:val="-1"/>
        </w:rPr>
        <w:t>Services</w:t>
      </w:r>
      <w:r>
        <w:rPr>
          <w:spacing w:val="1"/>
        </w:rPr>
        <w:t xml:space="preserve"> </w:t>
      </w:r>
      <w:r>
        <w:rPr>
          <w:spacing w:val="-1"/>
        </w:rPr>
        <w:t>Act</w:t>
      </w:r>
      <w:r>
        <w:t xml:space="preserve"> </w:t>
      </w:r>
      <w:r>
        <w:rPr>
          <w:spacing w:val="-1"/>
        </w:rPr>
        <w:t>1982;</w:t>
      </w:r>
      <w:r>
        <w:t xml:space="preserve"> </w:t>
      </w:r>
      <w:r>
        <w:rPr>
          <w:spacing w:val="-2"/>
        </w:rPr>
        <w:t>or</w:t>
      </w:r>
    </w:p>
    <w:p w:rsidR="008918FA" w:rsidRDefault="008918FA" w:rsidP="008918FA">
      <w:pPr>
        <w:pStyle w:val="BodyText"/>
        <w:numPr>
          <w:ilvl w:val="3"/>
          <w:numId w:val="66"/>
        </w:numPr>
        <w:tabs>
          <w:tab w:val="left" w:pos="2954"/>
        </w:tabs>
        <w:ind w:left="2954" w:right="115"/>
        <w:jc w:val="both"/>
      </w:pPr>
      <w:r>
        <w:rPr>
          <w:spacing w:val="-1"/>
        </w:rPr>
        <w:t>any</w:t>
      </w:r>
      <w:r>
        <w:rPr>
          <w:spacing w:val="41"/>
        </w:rPr>
        <w:t xml:space="preserve"> </w:t>
      </w:r>
      <w:r>
        <w:rPr>
          <w:spacing w:val="-1"/>
        </w:rPr>
        <w:t>liability</w:t>
      </w:r>
      <w:r>
        <w:rPr>
          <w:spacing w:val="41"/>
        </w:rPr>
        <w:t xml:space="preserve"> </w:t>
      </w:r>
      <w:r>
        <w:t>to</w:t>
      </w:r>
      <w:r>
        <w:rPr>
          <w:spacing w:val="43"/>
        </w:rPr>
        <w:t xml:space="preserve"> </w:t>
      </w:r>
      <w:r>
        <w:t>the</w:t>
      </w:r>
      <w:r>
        <w:rPr>
          <w:spacing w:val="41"/>
        </w:rPr>
        <w:t xml:space="preserve"> </w:t>
      </w:r>
      <w:r>
        <w:rPr>
          <w:spacing w:val="-1"/>
        </w:rPr>
        <w:t>extent</w:t>
      </w:r>
      <w:r>
        <w:rPr>
          <w:spacing w:val="45"/>
        </w:rPr>
        <w:t xml:space="preserve"> </w:t>
      </w:r>
      <w:r>
        <w:rPr>
          <w:spacing w:val="-1"/>
        </w:rPr>
        <w:t>it</w:t>
      </w:r>
      <w:r>
        <w:rPr>
          <w:spacing w:val="42"/>
        </w:rPr>
        <w:t xml:space="preserve"> </w:t>
      </w:r>
      <w:r>
        <w:rPr>
          <w:spacing w:val="-1"/>
        </w:rPr>
        <w:t>cannot</w:t>
      </w:r>
      <w:r>
        <w:rPr>
          <w:spacing w:val="43"/>
        </w:rPr>
        <w:t xml:space="preserve"> </w:t>
      </w:r>
      <w:r>
        <w:rPr>
          <w:spacing w:val="-1"/>
        </w:rPr>
        <w:t>be</w:t>
      </w:r>
      <w:r>
        <w:rPr>
          <w:spacing w:val="43"/>
        </w:rPr>
        <w:t xml:space="preserve"> </w:t>
      </w:r>
      <w:r>
        <w:rPr>
          <w:spacing w:val="-2"/>
        </w:rPr>
        <w:t>excluded</w:t>
      </w:r>
      <w:r>
        <w:rPr>
          <w:spacing w:val="43"/>
        </w:rPr>
        <w:t xml:space="preserve"> </w:t>
      </w:r>
      <w:r>
        <w:rPr>
          <w:spacing w:val="-1"/>
        </w:rPr>
        <w:t>or</w:t>
      </w:r>
      <w:r>
        <w:rPr>
          <w:spacing w:val="45"/>
        </w:rPr>
        <w:t xml:space="preserve"> </w:t>
      </w:r>
      <w:r>
        <w:rPr>
          <w:spacing w:val="-1"/>
        </w:rPr>
        <w:t>limited</w:t>
      </w:r>
      <w:r>
        <w:rPr>
          <w:spacing w:val="41"/>
        </w:rPr>
        <w:t xml:space="preserve"> </w:t>
      </w:r>
      <w:r>
        <w:rPr>
          <w:spacing w:val="-1"/>
        </w:rPr>
        <w:t>by</w:t>
      </w:r>
      <w:r>
        <w:rPr>
          <w:spacing w:val="36"/>
        </w:rPr>
        <w:t xml:space="preserve"> </w:t>
      </w:r>
      <w:r>
        <w:rPr>
          <w:spacing w:val="-2"/>
        </w:rPr>
        <w:t>Law.</w:t>
      </w:r>
    </w:p>
    <w:p w:rsidR="008918FA" w:rsidRDefault="008918FA" w:rsidP="008918FA">
      <w:pPr>
        <w:pStyle w:val="BodyText"/>
        <w:numPr>
          <w:ilvl w:val="2"/>
          <w:numId w:val="66"/>
        </w:numPr>
        <w:tabs>
          <w:tab w:val="left" w:pos="2246"/>
        </w:tabs>
        <w:ind w:left="2245" w:right="113" w:hanging="993"/>
        <w:jc w:val="both"/>
      </w:pPr>
      <w:r>
        <w:t>The</w:t>
      </w:r>
      <w:r>
        <w:rPr>
          <w:spacing w:val="51"/>
        </w:rPr>
        <w:t xml:space="preserve"> </w:t>
      </w:r>
      <w:r>
        <w:rPr>
          <w:spacing w:val="-2"/>
        </w:rPr>
        <w:t>Supplier</w:t>
      </w:r>
      <w:r>
        <w:rPr>
          <w:spacing w:val="52"/>
        </w:rPr>
        <w:t xml:space="preserve"> </w:t>
      </w:r>
      <w:r>
        <w:rPr>
          <w:spacing w:val="-1"/>
        </w:rPr>
        <w:t>does</w:t>
      </w:r>
      <w:r>
        <w:rPr>
          <w:spacing w:val="49"/>
        </w:rPr>
        <w:t xml:space="preserve"> </w:t>
      </w:r>
      <w:r>
        <w:rPr>
          <w:spacing w:val="-1"/>
        </w:rPr>
        <w:t>not</w:t>
      </w:r>
      <w:r>
        <w:rPr>
          <w:spacing w:val="50"/>
        </w:rPr>
        <w:t xml:space="preserve"> </w:t>
      </w:r>
      <w:r>
        <w:rPr>
          <w:spacing w:val="-2"/>
        </w:rPr>
        <w:t>exclude</w:t>
      </w:r>
      <w:r>
        <w:rPr>
          <w:spacing w:val="51"/>
        </w:rPr>
        <w:t xml:space="preserve"> </w:t>
      </w:r>
      <w:r>
        <w:rPr>
          <w:spacing w:val="-1"/>
        </w:rPr>
        <w:t>or</w:t>
      </w:r>
      <w:r>
        <w:rPr>
          <w:spacing w:val="52"/>
        </w:rPr>
        <w:t xml:space="preserve"> </w:t>
      </w:r>
      <w:r>
        <w:rPr>
          <w:spacing w:val="-2"/>
        </w:rPr>
        <w:t>limit</w:t>
      </w:r>
      <w:r>
        <w:rPr>
          <w:spacing w:val="53"/>
        </w:rPr>
        <w:t xml:space="preserve"> </w:t>
      </w:r>
      <w:r>
        <w:rPr>
          <w:spacing w:val="-1"/>
        </w:rPr>
        <w:t>its</w:t>
      </w:r>
      <w:r>
        <w:rPr>
          <w:spacing w:val="51"/>
        </w:rPr>
        <w:t xml:space="preserve"> </w:t>
      </w:r>
      <w:r>
        <w:rPr>
          <w:spacing w:val="-1"/>
        </w:rPr>
        <w:t>liability</w:t>
      </w:r>
      <w:r>
        <w:rPr>
          <w:spacing w:val="49"/>
        </w:rPr>
        <w:t xml:space="preserve"> </w:t>
      </w:r>
      <w:r>
        <w:rPr>
          <w:spacing w:val="-1"/>
        </w:rPr>
        <w:t>in</w:t>
      </w:r>
      <w:r>
        <w:rPr>
          <w:spacing w:val="51"/>
        </w:rPr>
        <w:t xml:space="preserve"> </w:t>
      </w:r>
      <w:r>
        <w:rPr>
          <w:spacing w:val="-1"/>
        </w:rPr>
        <w:t>respect</w:t>
      </w:r>
      <w:r>
        <w:rPr>
          <w:spacing w:val="53"/>
        </w:rPr>
        <w:t xml:space="preserve"> </w:t>
      </w:r>
      <w:r>
        <w:rPr>
          <w:spacing w:val="-2"/>
        </w:rPr>
        <w:t>of</w:t>
      </w:r>
      <w:r>
        <w:rPr>
          <w:spacing w:val="52"/>
        </w:rPr>
        <w:t xml:space="preserve"> </w:t>
      </w:r>
      <w:r>
        <w:rPr>
          <w:spacing w:val="-1"/>
        </w:rPr>
        <w:t>the</w:t>
      </w:r>
      <w:r>
        <w:rPr>
          <w:spacing w:val="59"/>
        </w:rPr>
        <w:t xml:space="preserve"> </w:t>
      </w:r>
      <w:r>
        <w:rPr>
          <w:spacing w:val="-1"/>
        </w:rPr>
        <w:t>indemnity</w:t>
      </w:r>
      <w:r>
        <w:rPr>
          <w:spacing w:val="32"/>
        </w:rPr>
        <w:t xml:space="preserve"> </w:t>
      </w:r>
      <w:r>
        <w:rPr>
          <w:spacing w:val="-1"/>
        </w:rPr>
        <w:t>in</w:t>
      </w:r>
      <w:r>
        <w:rPr>
          <w:spacing w:val="36"/>
        </w:rPr>
        <w:t xml:space="preserve"> </w:t>
      </w:r>
      <w:r>
        <w:rPr>
          <w:spacing w:val="-2"/>
        </w:rPr>
        <w:t>Clause</w:t>
      </w:r>
      <w:r>
        <w:rPr>
          <w:spacing w:val="35"/>
        </w:rPr>
        <w:t xml:space="preserve"> </w:t>
      </w:r>
      <w:hyperlink w:anchor="_bookmark173" w:history="1">
        <w:r>
          <w:rPr>
            <w:spacing w:val="-1"/>
          </w:rPr>
          <w:t>33.9</w:t>
        </w:r>
      </w:hyperlink>
      <w:r>
        <w:rPr>
          <w:spacing w:val="34"/>
        </w:rPr>
        <w:t xml:space="preserve"> </w:t>
      </w:r>
      <w:r>
        <w:t>(IPR</w:t>
      </w:r>
      <w:r>
        <w:rPr>
          <w:spacing w:val="33"/>
        </w:rPr>
        <w:t xml:space="preserve"> </w:t>
      </w:r>
      <w:r>
        <w:rPr>
          <w:spacing w:val="-1"/>
        </w:rPr>
        <w:t>Indemnity)</w:t>
      </w:r>
      <w:r>
        <w:rPr>
          <w:spacing w:val="35"/>
        </w:rPr>
        <w:t xml:space="preserve"> </w:t>
      </w:r>
      <w:r>
        <w:rPr>
          <w:spacing w:val="-1"/>
        </w:rPr>
        <w:t>and</w:t>
      </w:r>
      <w:r>
        <w:rPr>
          <w:spacing w:val="35"/>
        </w:rPr>
        <w:t xml:space="preserve"> </w:t>
      </w:r>
      <w:r>
        <w:rPr>
          <w:spacing w:val="-1"/>
        </w:rPr>
        <w:t>in</w:t>
      </w:r>
      <w:r>
        <w:rPr>
          <w:spacing w:val="34"/>
        </w:rPr>
        <w:t xml:space="preserve"> </w:t>
      </w:r>
      <w:r>
        <w:rPr>
          <w:spacing w:val="-1"/>
        </w:rPr>
        <w:t>each</w:t>
      </w:r>
      <w:r>
        <w:rPr>
          <w:spacing w:val="34"/>
        </w:rPr>
        <w:t xml:space="preserve"> </w:t>
      </w:r>
      <w:r>
        <w:rPr>
          <w:spacing w:val="-1"/>
        </w:rPr>
        <w:t>case</w:t>
      </w:r>
      <w:r>
        <w:rPr>
          <w:spacing w:val="37"/>
        </w:rPr>
        <w:t xml:space="preserve"> </w:t>
      </w:r>
      <w:r>
        <w:rPr>
          <w:spacing w:val="-2"/>
        </w:rPr>
        <w:t>whether</w:t>
      </w:r>
      <w:r>
        <w:rPr>
          <w:spacing w:val="46"/>
        </w:rPr>
        <w:t xml:space="preserve"> </w:t>
      </w:r>
      <w:r>
        <w:rPr>
          <w:spacing w:val="-1"/>
        </w:rPr>
        <w:t>before</w:t>
      </w:r>
      <w:r>
        <w:rPr>
          <w:spacing w:val="53"/>
        </w:rPr>
        <w:t xml:space="preserve"> </w:t>
      </w:r>
      <w:r>
        <w:rPr>
          <w:spacing w:val="-2"/>
        </w:rPr>
        <w:t>or</w:t>
      </w:r>
      <w:r>
        <w:rPr>
          <w:spacing w:val="54"/>
        </w:rPr>
        <w:t xml:space="preserve"> </w:t>
      </w:r>
      <w:r>
        <w:rPr>
          <w:spacing w:val="-1"/>
        </w:rPr>
        <w:t>after</w:t>
      </w:r>
      <w:r>
        <w:rPr>
          <w:spacing w:val="54"/>
        </w:rPr>
        <w:t xml:space="preserve"> </w:t>
      </w:r>
      <w:r>
        <w:t>the</w:t>
      </w:r>
      <w:r>
        <w:rPr>
          <w:spacing w:val="51"/>
        </w:rPr>
        <w:t xml:space="preserve"> </w:t>
      </w:r>
      <w:r>
        <w:rPr>
          <w:spacing w:val="-1"/>
        </w:rPr>
        <w:t>making</w:t>
      </w:r>
      <w:r>
        <w:rPr>
          <w:spacing w:val="55"/>
        </w:rPr>
        <w:t xml:space="preserve"> </w:t>
      </w:r>
      <w:r>
        <w:rPr>
          <w:spacing w:val="-2"/>
        </w:rPr>
        <w:t>of</w:t>
      </w:r>
      <w:r>
        <w:rPr>
          <w:spacing w:val="55"/>
        </w:rPr>
        <w:t xml:space="preserve"> </w:t>
      </w:r>
      <w:r>
        <w:t>a</w:t>
      </w:r>
      <w:r>
        <w:rPr>
          <w:spacing w:val="54"/>
        </w:rPr>
        <w:t xml:space="preserve"> </w:t>
      </w:r>
      <w:r>
        <w:rPr>
          <w:spacing w:val="-1"/>
        </w:rPr>
        <w:t>demand</w:t>
      </w:r>
      <w:r>
        <w:rPr>
          <w:spacing w:val="53"/>
        </w:rPr>
        <w:t xml:space="preserve"> </w:t>
      </w:r>
      <w:r>
        <w:rPr>
          <w:spacing w:val="-2"/>
        </w:rPr>
        <w:t>pursuant</w:t>
      </w:r>
      <w:r>
        <w:rPr>
          <w:spacing w:val="55"/>
        </w:rPr>
        <w:t xml:space="preserve"> </w:t>
      </w:r>
      <w:r>
        <w:t>to</w:t>
      </w:r>
      <w:r>
        <w:rPr>
          <w:spacing w:val="51"/>
        </w:rPr>
        <w:t xml:space="preserve"> </w:t>
      </w:r>
      <w:r>
        <w:t>the</w:t>
      </w:r>
      <w:r>
        <w:rPr>
          <w:spacing w:val="53"/>
        </w:rPr>
        <w:t xml:space="preserve"> </w:t>
      </w:r>
      <w:r>
        <w:rPr>
          <w:spacing w:val="-1"/>
        </w:rPr>
        <w:t>indemnity</w:t>
      </w:r>
      <w:r>
        <w:rPr>
          <w:spacing w:val="29"/>
        </w:rPr>
        <w:t xml:space="preserve"> </w:t>
      </w:r>
      <w:r>
        <w:rPr>
          <w:spacing w:val="-1"/>
        </w:rPr>
        <w:t>therein.</w:t>
      </w:r>
    </w:p>
    <w:p w:rsidR="008918FA" w:rsidRDefault="008918FA" w:rsidP="008918FA">
      <w:pPr>
        <w:pStyle w:val="Heading1"/>
        <w:numPr>
          <w:ilvl w:val="1"/>
          <w:numId w:val="66"/>
        </w:numPr>
        <w:tabs>
          <w:tab w:val="left" w:pos="1253"/>
        </w:tabs>
        <w:ind w:left="1252" w:hanging="564"/>
        <w:rPr>
          <w:b w:val="0"/>
          <w:bCs w:val="0"/>
        </w:rPr>
      </w:pPr>
      <w:bookmarkStart w:id="239" w:name="_bookmark202"/>
      <w:bookmarkEnd w:id="239"/>
      <w:r>
        <w:rPr>
          <w:spacing w:val="-1"/>
        </w:rPr>
        <w:t>Financial</w:t>
      </w:r>
      <w:r>
        <w:rPr>
          <w:spacing w:val="2"/>
        </w:rPr>
        <w:t xml:space="preserve"> </w:t>
      </w:r>
      <w:r>
        <w:rPr>
          <w:spacing w:val="-1"/>
        </w:rPr>
        <w:t>Limits</w:t>
      </w:r>
    </w:p>
    <w:p w:rsidR="008918FA" w:rsidRDefault="008918FA" w:rsidP="008918FA">
      <w:pPr>
        <w:pStyle w:val="BodyText"/>
        <w:numPr>
          <w:ilvl w:val="2"/>
          <w:numId w:val="66"/>
        </w:numPr>
        <w:tabs>
          <w:tab w:val="left" w:pos="2247"/>
        </w:tabs>
        <w:spacing w:before="121"/>
        <w:ind w:left="2246" w:right="114"/>
        <w:jc w:val="both"/>
      </w:pPr>
      <w:r>
        <w:rPr>
          <w:spacing w:val="-1"/>
        </w:rPr>
        <w:t>Subject</w:t>
      </w:r>
      <w:r>
        <w:rPr>
          <w:spacing w:val="44"/>
        </w:rPr>
        <w:t xml:space="preserve"> </w:t>
      </w:r>
      <w:r>
        <w:t>to</w:t>
      </w:r>
      <w:r>
        <w:rPr>
          <w:spacing w:val="45"/>
        </w:rPr>
        <w:t xml:space="preserve"> </w:t>
      </w:r>
      <w:r>
        <w:rPr>
          <w:spacing w:val="-2"/>
        </w:rPr>
        <w:t>Clause</w:t>
      </w:r>
      <w:r>
        <w:rPr>
          <w:spacing w:val="46"/>
        </w:rPr>
        <w:t xml:space="preserve"> </w:t>
      </w:r>
      <w:hyperlink w:anchor="_bookmark201" w:history="1">
        <w:r>
          <w:rPr>
            <w:spacing w:val="-1"/>
          </w:rPr>
          <w:t>36.1</w:t>
        </w:r>
      </w:hyperlink>
      <w:r>
        <w:rPr>
          <w:spacing w:val="45"/>
        </w:rPr>
        <w:t xml:space="preserve"> </w:t>
      </w:r>
      <w:r>
        <w:rPr>
          <w:spacing w:val="-1"/>
        </w:rPr>
        <w:t>(Unlimited</w:t>
      </w:r>
      <w:r>
        <w:rPr>
          <w:spacing w:val="45"/>
        </w:rPr>
        <w:t xml:space="preserve"> </w:t>
      </w:r>
      <w:r>
        <w:rPr>
          <w:spacing w:val="-1"/>
        </w:rPr>
        <w:t>Liability),</w:t>
      </w:r>
      <w:r>
        <w:rPr>
          <w:spacing w:val="46"/>
        </w:rPr>
        <w:t xml:space="preserve"> </w:t>
      </w:r>
      <w:r>
        <w:t>the</w:t>
      </w:r>
      <w:r>
        <w:rPr>
          <w:spacing w:val="46"/>
        </w:rPr>
        <w:t xml:space="preserve"> </w:t>
      </w:r>
      <w:r>
        <w:rPr>
          <w:spacing w:val="-2"/>
        </w:rPr>
        <w:t>Supplier’s</w:t>
      </w:r>
      <w:r>
        <w:rPr>
          <w:spacing w:val="45"/>
        </w:rPr>
        <w:t xml:space="preserve"> </w:t>
      </w:r>
      <w:r>
        <w:rPr>
          <w:spacing w:val="-1"/>
        </w:rPr>
        <w:t>total</w:t>
      </w:r>
      <w:r>
        <w:rPr>
          <w:spacing w:val="50"/>
        </w:rPr>
        <w:t xml:space="preserve"> </w:t>
      </w:r>
      <w:r>
        <w:rPr>
          <w:spacing w:val="-1"/>
        </w:rPr>
        <w:t>aggregate</w:t>
      </w:r>
      <w:r>
        <w:rPr>
          <w:spacing w:val="-2"/>
        </w:rPr>
        <w:t xml:space="preserve"> liability:</w:t>
      </w:r>
    </w:p>
    <w:p w:rsidR="008918FA" w:rsidRDefault="008918FA" w:rsidP="008918FA">
      <w:pPr>
        <w:pStyle w:val="BodyText"/>
        <w:numPr>
          <w:ilvl w:val="3"/>
          <w:numId w:val="66"/>
        </w:numPr>
        <w:tabs>
          <w:tab w:val="left" w:pos="2954"/>
        </w:tabs>
        <w:ind w:left="2594" w:hanging="348"/>
      </w:pPr>
      <w:bookmarkStart w:id="240" w:name="_bookmark203"/>
      <w:bookmarkEnd w:id="240"/>
      <w:r>
        <w:rPr>
          <w:spacing w:val="-1"/>
        </w:rPr>
        <w:t>in</w:t>
      </w:r>
      <w:r>
        <w:t xml:space="preserve"> </w:t>
      </w:r>
      <w:r>
        <w:rPr>
          <w:spacing w:val="-1"/>
        </w:rPr>
        <w:t>respect</w:t>
      </w:r>
      <w:r>
        <w:rPr>
          <w:spacing w:val="2"/>
        </w:rPr>
        <w:t xml:space="preserve"> </w:t>
      </w:r>
      <w:r>
        <w:rPr>
          <w:spacing w:val="-2"/>
        </w:rPr>
        <w:t>of</w:t>
      </w:r>
      <w:r>
        <w:rPr>
          <w:spacing w:val="2"/>
        </w:rPr>
        <w:t xml:space="preserve"> </w:t>
      </w:r>
      <w:r>
        <w:rPr>
          <w:spacing w:val="-1"/>
        </w:rPr>
        <w:t>all:</w:t>
      </w:r>
    </w:p>
    <w:p w:rsidR="008918FA" w:rsidRDefault="008918FA" w:rsidP="008918FA">
      <w:pPr>
        <w:sectPr w:rsidR="008918FA">
          <w:pgSz w:w="11910" w:h="16840"/>
          <w:pgMar w:top="1480" w:right="1300" w:bottom="1180" w:left="1320" w:header="0" w:footer="967" w:gutter="0"/>
          <w:cols w:space="720"/>
        </w:sectPr>
      </w:pPr>
    </w:p>
    <w:p w:rsidR="008918FA" w:rsidRDefault="008918FA" w:rsidP="008918FA">
      <w:pPr>
        <w:pStyle w:val="BodyText"/>
        <w:numPr>
          <w:ilvl w:val="4"/>
          <w:numId w:val="66"/>
        </w:numPr>
        <w:tabs>
          <w:tab w:val="left" w:pos="3164"/>
        </w:tabs>
        <w:spacing w:before="59"/>
        <w:ind w:left="3163"/>
      </w:pPr>
      <w:r>
        <w:rPr>
          <w:spacing w:val="-2"/>
        </w:rPr>
        <w:t>Service</w:t>
      </w:r>
      <w:r>
        <w:rPr>
          <w:spacing w:val="1"/>
        </w:rPr>
        <w:t xml:space="preserve"> </w:t>
      </w:r>
      <w:r>
        <w:rPr>
          <w:spacing w:val="-1"/>
        </w:rPr>
        <w:t>Credits;</w:t>
      </w:r>
      <w:r>
        <w:t xml:space="preserve"> </w:t>
      </w:r>
      <w:r>
        <w:rPr>
          <w:spacing w:val="-1"/>
        </w:rPr>
        <w:t>and</w:t>
      </w:r>
    </w:p>
    <w:p w:rsidR="008918FA" w:rsidRDefault="008918FA" w:rsidP="008918FA">
      <w:pPr>
        <w:pStyle w:val="BodyText"/>
        <w:numPr>
          <w:ilvl w:val="4"/>
          <w:numId w:val="66"/>
        </w:numPr>
        <w:tabs>
          <w:tab w:val="left" w:pos="3164"/>
        </w:tabs>
        <w:ind w:left="3163"/>
      </w:pPr>
      <w:r>
        <w:rPr>
          <w:spacing w:val="-1"/>
        </w:rPr>
        <w:t>Compensation</w:t>
      </w:r>
      <w:r>
        <w:rPr>
          <w:spacing w:val="-2"/>
        </w:rPr>
        <w:t xml:space="preserve"> </w:t>
      </w:r>
      <w:r>
        <w:t>for</w:t>
      </w:r>
      <w:r>
        <w:rPr>
          <w:spacing w:val="-1"/>
        </w:rPr>
        <w:t xml:space="preserve"> </w:t>
      </w:r>
      <w:r>
        <w:rPr>
          <w:spacing w:val="-2"/>
        </w:rPr>
        <w:t>Critical</w:t>
      </w:r>
      <w:r>
        <w:t xml:space="preserve"> </w:t>
      </w:r>
      <w:r>
        <w:rPr>
          <w:spacing w:val="-2"/>
        </w:rPr>
        <w:t>Service</w:t>
      </w:r>
      <w:r>
        <w:rPr>
          <w:spacing w:val="1"/>
        </w:rPr>
        <w:t xml:space="preserve"> </w:t>
      </w:r>
      <w:r>
        <w:rPr>
          <w:spacing w:val="-2"/>
        </w:rPr>
        <w:t>Level</w:t>
      </w:r>
      <w:r>
        <w:t xml:space="preserve"> </w:t>
      </w:r>
      <w:r>
        <w:rPr>
          <w:spacing w:val="-2"/>
        </w:rPr>
        <w:t>Failure;</w:t>
      </w:r>
    </w:p>
    <w:p w:rsidR="008918FA" w:rsidRDefault="008918FA" w:rsidP="008918FA">
      <w:pPr>
        <w:pStyle w:val="BodyText"/>
        <w:spacing w:before="121"/>
        <w:ind w:left="2594" w:right="118" w:firstLine="0"/>
      </w:pPr>
      <w:r>
        <w:rPr>
          <w:spacing w:val="-1"/>
        </w:rPr>
        <w:t>incurred</w:t>
      </w:r>
      <w:r>
        <w:rPr>
          <w:spacing w:val="27"/>
        </w:rPr>
        <w:t xml:space="preserve"> </w:t>
      </w:r>
      <w:r>
        <w:rPr>
          <w:spacing w:val="-1"/>
        </w:rPr>
        <w:t>in</w:t>
      </w:r>
      <w:r>
        <w:rPr>
          <w:spacing w:val="27"/>
        </w:rPr>
        <w:t xml:space="preserve"> </w:t>
      </w:r>
      <w:r>
        <w:rPr>
          <w:spacing w:val="-1"/>
        </w:rPr>
        <w:t>any</w:t>
      </w:r>
      <w:r>
        <w:rPr>
          <w:spacing w:val="25"/>
        </w:rPr>
        <w:t xml:space="preserve"> </w:t>
      </w:r>
      <w:r>
        <w:rPr>
          <w:spacing w:val="-2"/>
        </w:rPr>
        <w:t>rolling</w:t>
      </w:r>
      <w:r>
        <w:rPr>
          <w:spacing w:val="30"/>
        </w:rPr>
        <w:t xml:space="preserve"> </w:t>
      </w:r>
      <w:r>
        <w:rPr>
          <w:spacing w:val="-1"/>
        </w:rPr>
        <w:t>period</w:t>
      </w:r>
      <w:r>
        <w:rPr>
          <w:spacing w:val="27"/>
        </w:rPr>
        <w:t xml:space="preserve"> </w:t>
      </w:r>
      <w:r>
        <w:rPr>
          <w:spacing w:val="-2"/>
        </w:rPr>
        <w:t>of</w:t>
      </w:r>
      <w:r>
        <w:rPr>
          <w:spacing w:val="30"/>
        </w:rPr>
        <w:t xml:space="preserve"> </w:t>
      </w:r>
      <w:r>
        <w:rPr>
          <w:spacing w:val="-1"/>
        </w:rPr>
        <w:t>12</w:t>
      </w:r>
      <w:r>
        <w:rPr>
          <w:spacing w:val="27"/>
        </w:rPr>
        <w:t xml:space="preserve"> </w:t>
      </w:r>
      <w:r>
        <w:rPr>
          <w:spacing w:val="-1"/>
        </w:rPr>
        <w:t>Months</w:t>
      </w:r>
      <w:r>
        <w:rPr>
          <w:spacing w:val="27"/>
        </w:rPr>
        <w:t xml:space="preserve"> </w:t>
      </w:r>
      <w:r>
        <w:rPr>
          <w:spacing w:val="-1"/>
        </w:rPr>
        <w:t>shall</w:t>
      </w:r>
      <w:r>
        <w:rPr>
          <w:spacing w:val="28"/>
        </w:rPr>
        <w:t xml:space="preserve"> </w:t>
      </w:r>
      <w:r>
        <w:rPr>
          <w:spacing w:val="-1"/>
        </w:rPr>
        <w:t>be</w:t>
      </w:r>
      <w:r>
        <w:rPr>
          <w:spacing w:val="27"/>
        </w:rPr>
        <w:t xml:space="preserve"> </w:t>
      </w:r>
      <w:r>
        <w:rPr>
          <w:spacing w:val="-1"/>
        </w:rPr>
        <w:t>subject</w:t>
      </w:r>
      <w:r>
        <w:rPr>
          <w:spacing w:val="29"/>
        </w:rPr>
        <w:t xml:space="preserve"> </w:t>
      </w:r>
      <w:r>
        <w:rPr>
          <w:spacing w:val="-1"/>
        </w:rPr>
        <w:t>in</w:t>
      </w:r>
      <w:r>
        <w:rPr>
          <w:spacing w:val="47"/>
        </w:rPr>
        <w:t xml:space="preserve"> </w:t>
      </w:r>
      <w:r>
        <w:rPr>
          <w:spacing w:val="-1"/>
        </w:rPr>
        <w:t>aggregate</w:t>
      </w:r>
      <w:r>
        <w:rPr>
          <w:spacing w:val="-2"/>
        </w:rPr>
        <w:t xml:space="preserve"> </w:t>
      </w:r>
      <w:r>
        <w:t>to</w:t>
      </w:r>
      <w:r>
        <w:rPr>
          <w:spacing w:val="-2"/>
        </w:rPr>
        <w:t xml:space="preserve"> </w:t>
      </w:r>
      <w:r>
        <w:t>the</w:t>
      </w:r>
      <w:r>
        <w:rPr>
          <w:spacing w:val="-2"/>
        </w:rPr>
        <w:t xml:space="preserve"> Service</w:t>
      </w:r>
      <w:r>
        <w:rPr>
          <w:spacing w:val="1"/>
        </w:rPr>
        <w:t xml:space="preserve"> </w:t>
      </w:r>
      <w:r>
        <w:rPr>
          <w:spacing w:val="-1"/>
        </w:rPr>
        <w:t>Credit</w:t>
      </w:r>
      <w:r>
        <w:t xml:space="preserve"> </w:t>
      </w:r>
      <w:r>
        <w:rPr>
          <w:spacing w:val="-2"/>
        </w:rPr>
        <w:t>Cap;</w:t>
      </w:r>
    </w:p>
    <w:p w:rsidR="008918FA" w:rsidRDefault="008918FA" w:rsidP="008918FA">
      <w:pPr>
        <w:pStyle w:val="BodyText"/>
        <w:numPr>
          <w:ilvl w:val="3"/>
          <w:numId w:val="66"/>
        </w:numPr>
        <w:tabs>
          <w:tab w:val="left" w:pos="2595"/>
        </w:tabs>
        <w:spacing w:before="121"/>
        <w:ind w:left="2594" w:right="112"/>
        <w:jc w:val="both"/>
      </w:pPr>
      <w:bookmarkStart w:id="241" w:name="_bookmark204"/>
      <w:bookmarkEnd w:id="241"/>
      <w:r>
        <w:rPr>
          <w:spacing w:val="-1"/>
        </w:rPr>
        <w:t>in</w:t>
      </w:r>
      <w:r>
        <w:t xml:space="preserve"> </w:t>
      </w:r>
      <w:r>
        <w:rPr>
          <w:spacing w:val="-1"/>
        </w:rPr>
        <w:t>respect</w:t>
      </w:r>
      <w:r>
        <w:t xml:space="preserve"> </w:t>
      </w:r>
      <w:r>
        <w:rPr>
          <w:spacing w:val="-2"/>
        </w:rPr>
        <w:t>of</w:t>
      </w:r>
      <w:r>
        <w:rPr>
          <w:spacing w:val="2"/>
        </w:rPr>
        <w:t xml:space="preserve"> </w:t>
      </w:r>
      <w:r>
        <w:rPr>
          <w:spacing w:val="-1"/>
        </w:rPr>
        <w:t>all</w:t>
      </w:r>
      <w:r>
        <w:t xml:space="preserve"> </w:t>
      </w:r>
      <w:r>
        <w:rPr>
          <w:spacing w:val="-1"/>
        </w:rPr>
        <w:t>other</w:t>
      </w:r>
      <w:r>
        <w:rPr>
          <w:spacing w:val="2"/>
        </w:rPr>
        <w:t xml:space="preserve"> </w:t>
      </w:r>
      <w:r>
        <w:rPr>
          <w:spacing w:val="-1"/>
        </w:rPr>
        <w:t>Losses</w:t>
      </w:r>
      <w:r>
        <w:rPr>
          <w:spacing w:val="1"/>
        </w:rPr>
        <w:t xml:space="preserve"> </w:t>
      </w:r>
      <w:r>
        <w:rPr>
          <w:spacing w:val="-1"/>
        </w:rPr>
        <w:t>incurred</w:t>
      </w:r>
      <w:r>
        <w:t xml:space="preserve"> </w:t>
      </w:r>
      <w:r>
        <w:rPr>
          <w:spacing w:val="-1"/>
        </w:rPr>
        <w:t>by</w:t>
      </w:r>
      <w:r>
        <w:rPr>
          <w:spacing w:val="-2"/>
        </w:rPr>
        <w:t xml:space="preserve"> </w:t>
      </w:r>
      <w:r>
        <w:t>the</w:t>
      </w:r>
      <w:r>
        <w:rPr>
          <w:spacing w:val="-2"/>
        </w:rPr>
        <w:t xml:space="preserve"> Customer</w:t>
      </w:r>
      <w:r>
        <w:rPr>
          <w:spacing w:val="2"/>
        </w:rPr>
        <w:t xml:space="preserve"> </w:t>
      </w:r>
      <w:r>
        <w:rPr>
          <w:spacing w:val="-2"/>
        </w:rPr>
        <w:t>under</w:t>
      </w:r>
      <w:r>
        <w:rPr>
          <w:spacing w:val="2"/>
        </w:rPr>
        <w:t xml:space="preserve"> </w:t>
      </w:r>
      <w:r>
        <w:rPr>
          <w:spacing w:val="-2"/>
        </w:rPr>
        <w:t>or</w:t>
      </w:r>
      <w:r>
        <w:rPr>
          <w:spacing w:val="39"/>
        </w:rPr>
        <w:t xml:space="preserve"> </w:t>
      </w:r>
      <w:r>
        <w:rPr>
          <w:spacing w:val="-1"/>
        </w:rPr>
        <w:t>in</w:t>
      </w:r>
      <w:r>
        <w:rPr>
          <w:spacing w:val="17"/>
        </w:rPr>
        <w:t xml:space="preserve"> </w:t>
      </w:r>
      <w:r>
        <w:rPr>
          <w:spacing w:val="-1"/>
        </w:rPr>
        <w:t>connection</w:t>
      </w:r>
      <w:r>
        <w:rPr>
          <w:spacing w:val="17"/>
        </w:rPr>
        <w:t xml:space="preserve"> </w:t>
      </w:r>
      <w:r>
        <w:rPr>
          <w:spacing w:val="-2"/>
        </w:rPr>
        <w:t>with</w:t>
      </w:r>
      <w:r>
        <w:rPr>
          <w:spacing w:val="17"/>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19"/>
        </w:rPr>
        <w:t xml:space="preserve"> </w:t>
      </w:r>
      <w:r>
        <w:rPr>
          <w:spacing w:val="-1"/>
        </w:rPr>
        <w:t>Contract</w:t>
      </w:r>
      <w:r>
        <w:rPr>
          <w:spacing w:val="17"/>
        </w:rPr>
        <w:t xml:space="preserve"> </w:t>
      </w:r>
      <w:r>
        <w:rPr>
          <w:spacing w:val="-1"/>
        </w:rPr>
        <w:t>as</w:t>
      </w:r>
      <w:r>
        <w:rPr>
          <w:spacing w:val="15"/>
        </w:rPr>
        <w:t xml:space="preserve"> </w:t>
      </w:r>
      <w:r>
        <w:t>a</w:t>
      </w:r>
      <w:r>
        <w:rPr>
          <w:spacing w:val="15"/>
        </w:rPr>
        <w:t xml:space="preserve"> </w:t>
      </w:r>
      <w:r>
        <w:rPr>
          <w:spacing w:val="-2"/>
        </w:rPr>
        <w:t>result</w:t>
      </w:r>
      <w:r>
        <w:rPr>
          <w:spacing w:val="19"/>
        </w:rPr>
        <w:t xml:space="preserve"> </w:t>
      </w:r>
      <w:r>
        <w:rPr>
          <w:spacing w:val="-2"/>
        </w:rPr>
        <w:t>of</w:t>
      </w:r>
      <w:r>
        <w:rPr>
          <w:spacing w:val="19"/>
        </w:rPr>
        <w:t xml:space="preserve"> </w:t>
      </w:r>
      <w:r>
        <w:rPr>
          <w:spacing w:val="-1"/>
        </w:rPr>
        <w:t>Defaults</w:t>
      </w:r>
      <w:r>
        <w:rPr>
          <w:spacing w:val="43"/>
        </w:rPr>
        <w:t xml:space="preserve"> </w:t>
      </w:r>
      <w:r>
        <w:rPr>
          <w:spacing w:val="-1"/>
        </w:rPr>
        <w:t>by</w:t>
      </w:r>
      <w:r>
        <w:rPr>
          <w:spacing w:val="-2"/>
        </w:rPr>
        <w:t xml:space="preserve"> </w:t>
      </w:r>
      <w:r>
        <w:t xml:space="preserve">the </w:t>
      </w:r>
      <w:r>
        <w:rPr>
          <w:spacing w:val="-2"/>
        </w:rPr>
        <w:t>Supplier</w:t>
      </w:r>
      <w:r>
        <w:rPr>
          <w:spacing w:val="2"/>
        </w:rPr>
        <w:t xml:space="preserve"> </w:t>
      </w:r>
      <w:r>
        <w:rPr>
          <w:spacing w:val="-1"/>
        </w:rPr>
        <w:t>shall</w:t>
      </w:r>
      <w:r>
        <w:t xml:space="preserve"> </w:t>
      </w:r>
      <w:r>
        <w:rPr>
          <w:spacing w:val="-1"/>
        </w:rPr>
        <w:t>in</w:t>
      </w:r>
      <w:r>
        <w:t xml:space="preserve"> </w:t>
      </w:r>
      <w:r>
        <w:rPr>
          <w:spacing w:val="-2"/>
        </w:rPr>
        <w:t>no</w:t>
      </w:r>
      <w:r>
        <w:t xml:space="preserve"> </w:t>
      </w:r>
      <w:r>
        <w:rPr>
          <w:spacing w:val="-2"/>
        </w:rPr>
        <w:t>event</w:t>
      </w:r>
      <w:r>
        <w:rPr>
          <w:spacing w:val="2"/>
        </w:rPr>
        <w:t xml:space="preserve"> </w:t>
      </w:r>
      <w:r>
        <w:rPr>
          <w:spacing w:val="-2"/>
        </w:rPr>
        <w:t>exceed:</w:t>
      </w:r>
    </w:p>
    <w:p w:rsidR="008918FA" w:rsidRDefault="008918FA" w:rsidP="008918FA">
      <w:pPr>
        <w:pStyle w:val="BodyText"/>
        <w:numPr>
          <w:ilvl w:val="4"/>
          <w:numId w:val="66"/>
        </w:numPr>
        <w:tabs>
          <w:tab w:val="left" w:pos="3163"/>
        </w:tabs>
        <w:spacing w:before="121"/>
        <w:ind w:left="3162" w:right="108" w:hanging="568"/>
        <w:jc w:val="both"/>
      </w:pPr>
      <w:bookmarkStart w:id="242" w:name="_bookmark205"/>
      <w:bookmarkEnd w:id="242"/>
      <w:r>
        <w:rPr>
          <w:spacing w:val="-1"/>
        </w:rPr>
        <w:t>in</w:t>
      </w:r>
      <w:r>
        <w:rPr>
          <w:spacing w:val="58"/>
        </w:rPr>
        <w:t xml:space="preserve"> </w:t>
      </w:r>
      <w:r>
        <w:rPr>
          <w:spacing w:val="-1"/>
        </w:rPr>
        <w:t>relation</w:t>
      </w:r>
      <w:r>
        <w:rPr>
          <w:spacing w:val="58"/>
        </w:rPr>
        <w:t xml:space="preserve"> </w:t>
      </w:r>
      <w:r>
        <w:t>to</w:t>
      </w:r>
      <w:r>
        <w:rPr>
          <w:spacing w:val="59"/>
        </w:rPr>
        <w:t xml:space="preserve"> </w:t>
      </w:r>
      <w:r>
        <w:rPr>
          <w:spacing w:val="-1"/>
        </w:rPr>
        <w:t>any</w:t>
      </w:r>
      <w:r>
        <w:rPr>
          <w:spacing w:val="58"/>
        </w:rPr>
        <w:t xml:space="preserve"> </w:t>
      </w:r>
      <w:r>
        <w:rPr>
          <w:spacing w:val="-1"/>
        </w:rPr>
        <w:t>Defaults</w:t>
      </w:r>
      <w:r>
        <w:rPr>
          <w:spacing w:val="59"/>
        </w:rPr>
        <w:t xml:space="preserve"> </w:t>
      </w:r>
      <w:r>
        <w:rPr>
          <w:spacing w:val="-1"/>
        </w:rPr>
        <w:t>occurring</w:t>
      </w:r>
      <w:r>
        <w:rPr>
          <w:spacing w:val="58"/>
        </w:rPr>
        <w:t xml:space="preserve"> </w:t>
      </w:r>
      <w:r>
        <w:t>from</w:t>
      </w:r>
      <w:r>
        <w:rPr>
          <w:spacing w:val="58"/>
        </w:rPr>
        <w:t xml:space="preserve"> </w:t>
      </w:r>
      <w:r>
        <w:t>the</w:t>
      </w:r>
      <w:r>
        <w:rPr>
          <w:spacing w:val="55"/>
        </w:rPr>
        <w:t xml:space="preserve"> </w:t>
      </w:r>
      <w:r>
        <w:rPr>
          <w:spacing w:val="-2"/>
        </w:rPr>
        <w:t>Call</w:t>
      </w:r>
      <w:r>
        <w:rPr>
          <w:spacing w:val="59"/>
        </w:rPr>
        <w:t xml:space="preserve"> </w:t>
      </w:r>
      <w:r>
        <w:t>Off</w:t>
      </w:r>
      <w:r>
        <w:rPr>
          <w:spacing w:val="24"/>
        </w:rPr>
        <w:t xml:space="preserve"> </w:t>
      </w:r>
      <w:r>
        <w:rPr>
          <w:spacing w:val="-1"/>
        </w:rPr>
        <w:t>Commencement</w:t>
      </w:r>
      <w:r>
        <w:rPr>
          <w:spacing w:val="11"/>
        </w:rPr>
        <w:t xml:space="preserve"> </w:t>
      </w:r>
      <w:r>
        <w:rPr>
          <w:spacing w:val="-1"/>
        </w:rPr>
        <w:t>Date</w:t>
      </w:r>
      <w:r>
        <w:rPr>
          <w:spacing w:val="6"/>
        </w:rPr>
        <w:t xml:space="preserve"> </w:t>
      </w:r>
      <w:r>
        <w:rPr>
          <w:spacing w:val="-1"/>
        </w:rPr>
        <w:t>to</w:t>
      </w:r>
      <w:r>
        <w:rPr>
          <w:spacing w:val="9"/>
        </w:rPr>
        <w:t xml:space="preserve"> </w:t>
      </w:r>
      <w:r>
        <w:t>the</w:t>
      </w:r>
      <w:r>
        <w:rPr>
          <w:spacing w:val="9"/>
        </w:rPr>
        <w:t xml:space="preserve"> </w:t>
      </w:r>
      <w:r>
        <w:rPr>
          <w:spacing w:val="-1"/>
        </w:rPr>
        <w:t>end</w:t>
      </w:r>
      <w:r>
        <w:rPr>
          <w:spacing w:val="9"/>
        </w:rPr>
        <w:t xml:space="preserve"> </w:t>
      </w:r>
      <w:r>
        <w:rPr>
          <w:spacing w:val="-1"/>
        </w:rPr>
        <w:t>of</w:t>
      </w:r>
      <w:r>
        <w:rPr>
          <w:spacing w:val="13"/>
        </w:rPr>
        <w:t xml:space="preserve"> </w:t>
      </w:r>
      <w:r>
        <w:t>the</w:t>
      </w:r>
      <w:r>
        <w:rPr>
          <w:spacing w:val="6"/>
        </w:rPr>
        <w:t xml:space="preserve"> </w:t>
      </w:r>
      <w:r>
        <w:rPr>
          <w:spacing w:val="-1"/>
        </w:rPr>
        <w:t>first</w:t>
      </w:r>
      <w:r>
        <w:rPr>
          <w:spacing w:val="8"/>
        </w:rPr>
        <w:t xml:space="preserve"> </w:t>
      </w:r>
      <w:r>
        <w:rPr>
          <w:spacing w:val="-2"/>
        </w:rPr>
        <w:t>Call</w:t>
      </w:r>
      <w:r>
        <w:rPr>
          <w:spacing w:val="8"/>
        </w:rPr>
        <w:t xml:space="preserve"> </w:t>
      </w:r>
      <w:r>
        <w:rPr>
          <w:spacing w:val="1"/>
        </w:rPr>
        <w:t>Off</w:t>
      </w:r>
      <w:r>
        <w:rPr>
          <w:spacing w:val="24"/>
        </w:rPr>
        <w:t xml:space="preserve"> </w:t>
      </w:r>
      <w:r>
        <w:rPr>
          <w:spacing w:val="-1"/>
        </w:rPr>
        <w:t>Contract</w:t>
      </w:r>
      <w:r>
        <w:rPr>
          <w:spacing w:val="38"/>
        </w:rPr>
        <w:t xml:space="preserve"> </w:t>
      </w:r>
      <w:r>
        <w:rPr>
          <w:spacing w:val="-1"/>
        </w:rPr>
        <w:t>Year,</w:t>
      </w:r>
      <w:r>
        <w:rPr>
          <w:spacing w:val="35"/>
        </w:rPr>
        <w:t xml:space="preserve"> </w:t>
      </w:r>
      <w:r>
        <w:t>the</w:t>
      </w:r>
      <w:r>
        <w:rPr>
          <w:spacing w:val="37"/>
        </w:rPr>
        <w:t xml:space="preserve"> </w:t>
      </w:r>
      <w:r>
        <w:rPr>
          <w:spacing w:val="-1"/>
        </w:rPr>
        <w:t>higher</w:t>
      </w:r>
      <w:r>
        <w:rPr>
          <w:spacing w:val="36"/>
        </w:rPr>
        <w:t xml:space="preserve"> </w:t>
      </w:r>
      <w:r>
        <w:rPr>
          <w:spacing w:val="-2"/>
        </w:rPr>
        <w:t>of</w:t>
      </w:r>
      <w:r>
        <w:rPr>
          <w:spacing w:val="38"/>
        </w:rPr>
        <w:t xml:space="preserve"> </w:t>
      </w:r>
      <w:r>
        <w:t>ten</w:t>
      </w:r>
      <w:r>
        <w:rPr>
          <w:spacing w:val="34"/>
        </w:rPr>
        <w:t xml:space="preserve"> </w:t>
      </w:r>
      <w:r>
        <w:rPr>
          <w:spacing w:val="-2"/>
        </w:rPr>
        <w:t>million</w:t>
      </w:r>
      <w:r>
        <w:rPr>
          <w:spacing w:val="37"/>
        </w:rPr>
        <w:t xml:space="preserve"> </w:t>
      </w:r>
      <w:r>
        <w:rPr>
          <w:spacing w:val="-1"/>
        </w:rPr>
        <w:t>pounds</w:t>
      </w:r>
      <w:r>
        <w:rPr>
          <w:spacing w:val="28"/>
        </w:rPr>
        <w:t xml:space="preserve"> </w:t>
      </w:r>
      <w:r>
        <w:rPr>
          <w:spacing w:val="-1"/>
        </w:rPr>
        <w:t>(£10,000,000)</w:t>
      </w:r>
      <w:r>
        <w:rPr>
          <w:spacing w:val="24"/>
        </w:rPr>
        <w:t xml:space="preserve"> </w:t>
      </w:r>
      <w:r>
        <w:rPr>
          <w:spacing w:val="-1"/>
        </w:rPr>
        <w:t>and</w:t>
      </w:r>
      <w:r>
        <w:rPr>
          <w:spacing w:val="24"/>
        </w:rPr>
        <w:t xml:space="preserve"> </w:t>
      </w:r>
      <w:r>
        <w:t>a</w:t>
      </w:r>
      <w:r>
        <w:rPr>
          <w:spacing w:val="22"/>
        </w:rPr>
        <w:t xml:space="preserve"> </w:t>
      </w:r>
      <w:r>
        <w:rPr>
          <w:spacing w:val="-2"/>
        </w:rPr>
        <w:t>sum</w:t>
      </w:r>
      <w:r>
        <w:rPr>
          <w:spacing w:val="26"/>
        </w:rPr>
        <w:t xml:space="preserve"> </w:t>
      </w:r>
      <w:r>
        <w:rPr>
          <w:spacing w:val="-1"/>
        </w:rPr>
        <w:t>equal</w:t>
      </w:r>
      <w:r>
        <w:rPr>
          <w:spacing w:val="21"/>
        </w:rPr>
        <w:t xml:space="preserve"> </w:t>
      </w:r>
      <w:r>
        <w:t>to</w:t>
      </w:r>
      <w:r>
        <w:rPr>
          <w:spacing w:val="24"/>
        </w:rPr>
        <w:t xml:space="preserve"> </w:t>
      </w:r>
      <w:r>
        <w:rPr>
          <w:spacing w:val="-1"/>
        </w:rPr>
        <w:t>one</w:t>
      </w:r>
      <w:r>
        <w:rPr>
          <w:spacing w:val="22"/>
        </w:rPr>
        <w:t xml:space="preserve"> </w:t>
      </w:r>
      <w:r>
        <w:rPr>
          <w:spacing w:val="-1"/>
        </w:rPr>
        <w:t>hundred</w:t>
      </w:r>
      <w:r>
        <w:rPr>
          <w:spacing w:val="22"/>
        </w:rPr>
        <w:t xml:space="preserve"> </w:t>
      </w:r>
      <w:r>
        <w:rPr>
          <w:spacing w:val="-1"/>
        </w:rPr>
        <w:t>and</w:t>
      </w:r>
      <w:r>
        <w:rPr>
          <w:spacing w:val="24"/>
        </w:rPr>
        <w:t xml:space="preserve"> </w:t>
      </w:r>
      <w:r>
        <w:t>fifty</w:t>
      </w:r>
      <w:r>
        <w:rPr>
          <w:spacing w:val="34"/>
        </w:rPr>
        <w:t xml:space="preserve"> </w:t>
      </w:r>
      <w:r>
        <w:rPr>
          <w:spacing w:val="-1"/>
        </w:rPr>
        <w:t>per</w:t>
      </w:r>
      <w:r>
        <w:rPr>
          <w:spacing w:val="4"/>
        </w:rPr>
        <w:t xml:space="preserve"> </w:t>
      </w:r>
      <w:r>
        <w:rPr>
          <w:spacing w:val="-1"/>
        </w:rPr>
        <w:t>cent</w:t>
      </w:r>
      <w:r>
        <w:rPr>
          <w:spacing w:val="2"/>
        </w:rPr>
        <w:t xml:space="preserve"> </w:t>
      </w:r>
      <w:r>
        <w:rPr>
          <w:spacing w:val="-1"/>
        </w:rPr>
        <w:t>(150%)</w:t>
      </w:r>
      <w:r>
        <w:rPr>
          <w:spacing w:val="4"/>
        </w:rPr>
        <w:t xml:space="preserve"> </w:t>
      </w:r>
      <w:r>
        <w:rPr>
          <w:spacing w:val="-2"/>
        </w:rPr>
        <w:t>of</w:t>
      </w:r>
      <w:r>
        <w:rPr>
          <w:spacing w:val="4"/>
        </w:rPr>
        <w:t xml:space="preserve"> </w:t>
      </w:r>
      <w:r>
        <w:t>the</w:t>
      </w:r>
      <w:r>
        <w:rPr>
          <w:spacing w:val="3"/>
        </w:rPr>
        <w:t xml:space="preserve"> </w:t>
      </w:r>
      <w:r>
        <w:rPr>
          <w:spacing w:val="-1"/>
        </w:rPr>
        <w:t>Estimated</w:t>
      </w:r>
      <w:r>
        <w:rPr>
          <w:spacing w:val="3"/>
        </w:rPr>
        <w:t xml:space="preserve"> </w:t>
      </w:r>
      <w:r>
        <w:rPr>
          <w:spacing w:val="-1"/>
        </w:rPr>
        <w:t>Year</w:t>
      </w:r>
      <w:r>
        <w:rPr>
          <w:spacing w:val="4"/>
        </w:rPr>
        <w:t xml:space="preserve"> </w:t>
      </w:r>
      <w:r>
        <w:t>1</w:t>
      </w:r>
      <w:r>
        <w:rPr>
          <w:spacing w:val="3"/>
        </w:rPr>
        <w:t xml:space="preserve"> </w:t>
      </w:r>
      <w:r>
        <w:rPr>
          <w:spacing w:val="-2"/>
        </w:rPr>
        <w:t>Call</w:t>
      </w:r>
      <w:r>
        <w:rPr>
          <w:spacing w:val="2"/>
        </w:rPr>
        <w:t xml:space="preserve"> </w:t>
      </w:r>
      <w:r>
        <w:rPr>
          <w:spacing w:val="-1"/>
        </w:rPr>
        <w:t>Off</w:t>
      </w:r>
      <w:r>
        <w:rPr>
          <w:spacing w:val="2"/>
        </w:rPr>
        <w:t xml:space="preserve"> </w:t>
      </w:r>
      <w:r>
        <w:rPr>
          <w:spacing w:val="-1"/>
        </w:rPr>
        <w:t>Contract</w:t>
      </w:r>
      <w:r>
        <w:rPr>
          <w:spacing w:val="25"/>
        </w:rPr>
        <w:t xml:space="preserve"> </w:t>
      </w:r>
      <w:r>
        <w:rPr>
          <w:spacing w:val="-1"/>
        </w:rPr>
        <w:t>Charges;</w:t>
      </w:r>
    </w:p>
    <w:p w:rsidR="008918FA" w:rsidRDefault="008918FA" w:rsidP="008918FA">
      <w:pPr>
        <w:pStyle w:val="BodyText"/>
        <w:numPr>
          <w:ilvl w:val="4"/>
          <w:numId w:val="66"/>
        </w:numPr>
        <w:tabs>
          <w:tab w:val="left" w:pos="3163"/>
        </w:tabs>
        <w:ind w:left="3161" w:right="109" w:hanging="568"/>
        <w:jc w:val="both"/>
      </w:pPr>
      <w:bookmarkStart w:id="243" w:name="_bookmark206"/>
      <w:bookmarkEnd w:id="243"/>
      <w:r>
        <w:rPr>
          <w:spacing w:val="-1"/>
        </w:rPr>
        <w:t>in</w:t>
      </w:r>
      <w:r>
        <w:rPr>
          <w:spacing w:val="27"/>
        </w:rPr>
        <w:t xml:space="preserve"> </w:t>
      </w:r>
      <w:r>
        <w:rPr>
          <w:spacing w:val="-1"/>
        </w:rPr>
        <w:t>relation</w:t>
      </w:r>
      <w:r>
        <w:rPr>
          <w:spacing w:val="27"/>
        </w:rPr>
        <w:t xml:space="preserve"> </w:t>
      </w:r>
      <w:r>
        <w:t>to</w:t>
      </w:r>
      <w:r>
        <w:rPr>
          <w:spacing w:val="27"/>
        </w:rPr>
        <w:t xml:space="preserve"> </w:t>
      </w:r>
      <w:r>
        <w:t>any</w:t>
      </w:r>
      <w:r>
        <w:rPr>
          <w:spacing w:val="26"/>
        </w:rPr>
        <w:t xml:space="preserve"> </w:t>
      </w:r>
      <w:r>
        <w:rPr>
          <w:spacing w:val="-1"/>
        </w:rPr>
        <w:t>Defaults</w:t>
      </w:r>
      <w:r>
        <w:rPr>
          <w:spacing w:val="27"/>
        </w:rPr>
        <w:t xml:space="preserve"> </w:t>
      </w:r>
      <w:r>
        <w:rPr>
          <w:spacing w:val="-1"/>
        </w:rPr>
        <w:t>occurring</w:t>
      </w:r>
      <w:r>
        <w:rPr>
          <w:spacing w:val="29"/>
        </w:rPr>
        <w:t xml:space="preserve"> </w:t>
      </w:r>
      <w:r>
        <w:rPr>
          <w:spacing w:val="-1"/>
        </w:rPr>
        <w:t>in</w:t>
      </w:r>
      <w:r>
        <w:rPr>
          <w:spacing w:val="27"/>
        </w:rPr>
        <w:t xml:space="preserve"> </w:t>
      </w:r>
      <w:r>
        <w:rPr>
          <w:spacing w:val="-1"/>
        </w:rPr>
        <w:t>each</w:t>
      </w:r>
      <w:r>
        <w:rPr>
          <w:spacing w:val="27"/>
        </w:rPr>
        <w:t xml:space="preserve"> </w:t>
      </w:r>
      <w:r>
        <w:rPr>
          <w:spacing w:val="-1"/>
        </w:rPr>
        <w:t>subsequent</w:t>
      </w:r>
      <w:r>
        <w:rPr>
          <w:spacing w:val="29"/>
        </w:rPr>
        <w:t xml:space="preserve"> </w:t>
      </w:r>
      <w:r>
        <w:rPr>
          <w:spacing w:val="-2"/>
        </w:rPr>
        <w:t>Call</w:t>
      </w:r>
      <w:r>
        <w:rPr>
          <w:spacing w:val="49"/>
        </w:rPr>
        <w:t xml:space="preserve"> </w:t>
      </w:r>
      <w:r>
        <w:t>Off</w:t>
      </w:r>
      <w:r>
        <w:rPr>
          <w:spacing w:val="51"/>
        </w:rPr>
        <w:t xml:space="preserve"> </w:t>
      </w:r>
      <w:r>
        <w:rPr>
          <w:spacing w:val="-1"/>
        </w:rPr>
        <w:t>Contract</w:t>
      </w:r>
      <w:r>
        <w:rPr>
          <w:spacing w:val="51"/>
        </w:rPr>
        <w:t xml:space="preserve"> </w:t>
      </w:r>
      <w:r>
        <w:rPr>
          <w:spacing w:val="-2"/>
        </w:rPr>
        <w:t>Year</w:t>
      </w:r>
      <w:r>
        <w:rPr>
          <w:spacing w:val="51"/>
        </w:rPr>
        <w:t xml:space="preserve"> </w:t>
      </w:r>
      <w:r>
        <w:rPr>
          <w:spacing w:val="-1"/>
        </w:rPr>
        <w:t>that</w:t>
      </w:r>
      <w:r>
        <w:rPr>
          <w:spacing w:val="51"/>
        </w:rPr>
        <w:t xml:space="preserve"> </w:t>
      </w:r>
      <w:r>
        <w:rPr>
          <w:spacing w:val="-1"/>
        </w:rPr>
        <w:t>commences</w:t>
      </w:r>
      <w:r>
        <w:rPr>
          <w:spacing w:val="50"/>
        </w:rPr>
        <w:t xml:space="preserve"> </w:t>
      </w:r>
      <w:r>
        <w:rPr>
          <w:spacing w:val="-2"/>
        </w:rPr>
        <w:t>during</w:t>
      </w:r>
      <w:r>
        <w:rPr>
          <w:spacing w:val="50"/>
        </w:rPr>
        <w:t xml:space="preserve"> </w:t>
      </w:r>
      <w:r>
        <w:rPr>
          <w:spacing w:val="-2"/>
        </w:rPr>
        <w:t>the</w:t>
      </w:r>
      <w:r>
        <w:rPr>
          <w:spacing w:val="34"/>
        </w:rPr>
        <w:t xml:space="preserve"> </w:t>
      </w:r>
      <w:r>
        <w:rPr>
          <w:spacing w:val="-1"/>
        </w:rPr>
        <w:t>remainder</w:t>
      </w:r>
      <w:r>
        <w:rPr>
          <w:spacing w:val="35"/>
        </w:rPr>
        <w:t xml:space="preserve"> </w:t>
      </w:r>
      <w:r>
        <w:rPr>
          <w:spacing w:val="-2"/>
        </w:rPr>
        <w:t>of</w:t>
      </w:r>
      <w:r>
        <w:rPr>
          <w:spacing w:val="35"/>
        </w:rPr>
        <w:t xml:space="preserve"> </w:t>
      </w:r>
      <w:r>
        <w:t>the</w:t>
      </w:r>
      <w:r>
        <w:rPr>
          <w:spacing w:val="34"/>
        </w:rPr>
        <w:t xml:space="preserve"> </w:t>
      </w:r>
      <w:r>
        <w:rPr>
          <w:spacing w:val="-2"/>
        </w:rPr>
        <w:t>Call</w:t>
      </w:r>
      <w:r>
        <w:rPr>
          <w:spacing w:val="33"/>
        </w:rPr>
        <w:t xml:space="preserve"> </w:t>
      </w:r>
      <w:r>
        <w:rPr>
          <w:spacing w:val="-1"/>
        </w:rPr>
        <w:t>Off</w:t>
      </w:r>
      <w:r>
        <w:rPr>
          <w:spacing w:val="35"/>
        </w:rPr>
        <w:t xml:space="preserve"> </w:t>
      </w:r>
      <w:r>
        <w:rPr>
          <w:spacing w:val="-1"/>
        </w:rPr>
        <w:t>Contract</w:t>
      </w:r>
      <w:r>
        <w:rPr>
          <w:spacing w:val="36"/>
        </w:rPr>
        <w:t xml:space="preserve"> </w:t>
      </w:r>
      <w:r>
        <w:rPr>
          <w:spacing w:val="-2"/>
        </w:rPr>
        <w:t>Period,</w:t>
      </w:r>
      <w:r>
        <w:rPr>
          <w:spacing w:val="36"/>
        </w:rPr>
        <w:t xml:space="preserve"> </w:t>
      </w:r>
      <w:r>
        <w:t>the</w:t>
      </w:r>
      <w:r>
        <w:rPr>
          <w:spacing w:val="32"/>
        </w:rPr>
        <w:t xml:space="preserve"> </w:t>
      </w:r>
      <w:r>
        <w:rPr>
          <w:spacing w:val="-1"/>
        </w:rPr>
        <w:t>higher</w:t>
      </w:r>
      <w:r>
        <w:rPr>
          <w:spacing w:val="33"/>
        </w:rPr>
        <w:t xml:space="preserve"> </w:t>
      </w:r>
      <w:r>
        <w:rPr>
          <w:spacing w:val="-3"/>
        </w:rPr>
        <w:t>of</w:t>
      </w:r>
      <w:r>
        <w:rPr>
          <w:spacing w:val="32"/>
        </w:rPr>
        <w:t xml:space="preserve"> </w:t>
      </w:r>
      <w:r>
        <w:t>ten</w:t>
      </w:r>
      <w:r>
        <w:rPr>
          <w:spacing w:val="32"/>
        </w:rPr>
        <w:t xml:space="preserve"> </w:t>
      </w:r>
      <w:r>
        <w:rPr>
          <w:spacing w:val="-2"/>
        </w:rPr>
        <w:t>million</w:t>
      </w:r>
      <w:r>
        <w:rPr>
          <w:spacing w:val="3"/>
        </w:rPr>
        <w:t xml:space="preserve"> </w:t>
      </w:r>
      <w:r>
        <w:rPr>
          <w:spacing w:val="-1"/>
        </w:rPr>
        <w:t>pounds</w:t>
      </w:r>
      <w:r>
        <w:rPr>
          <w:spacing w:val="32"/>
        </w:rPr>
        <w:t xml:space="preserve"> </w:t>
      </w:r>
      <w:r>
        <w:rPr>
          <w:spacing w:val="-1"/>
        </w:rPr>
        <w:t>(£10,000,000)</w:t>
      </w:r>
      <w:r>
        <w:rPr>
          <w:spacing w:val="33"/>
        </w:rPr>
        <w:t xml:space="preserve"> </w:t>
      </w:r>
      <w:r>
        <w:rPr>
          <w:spacing w:val="-1"/>
        </w:rPr>
        <w:t>in</w:t>
      </w:r>
      <w:r>
        <w:rPr>
          <w:spacing w:val="31"/>
        </w:rPr>
        <w:t xml:space="preserve"> </w:t>
      </w:r>
      <w:r>
        <w:rPr>
          <w:spacing w:val="-1"/>
        </w:rPr>
        <w:t>each</w:t>
      </w:r>
      <w:r>
        <w:rPr>
          <w:spacing w:val="32"/>
        </w:rPr>
        <w:t xml:space="preserve"> </w:t>
      </w:r>
      <w:r>
        <w:rPr>
          <w:spacing w:val="-1"/>
        </w:rPr>
        <w:t>such</w:t>
      </w:r>
      <w:r>
        <w:rPr>
          <w:spacing w:val="30"/>
        </w:rPr>
        <w:t xml:space="preserve"> </w:t>
      </w:r>
      <w:r>
        <w:rPr>
          <w:spacing w:val="-2"/>
        </w:rPr>
        <w:t>Call</w:t>
      </w:r>
      <w:r>
        <w:rPr>
          <w:spacing w:val="31"/>
        </w:rPr>
        <w:t xml:space="preserve"> </w:t>
      </w:r>
      <w:r>
        <w:rPr>
          <w:spacing w:val="-1"/>
        </w:rPr>
        <w:t>Off</w:t>
      </w:r>
      <w:r>
        <w:rPr>
          <w:spacing w:val="37"/>
        </w:rPr>
        <w:t xml:space="preserve"> </w:t>
      </w:r>
      <w:r>
        <w:rPr>
          <w:spacing w:val="-1"/>
        </w:rPr>
        <w:t>Contract</w:t>
      </w:r>
      <w:r>
        <w:rPr>
          <w:spacing w:val="23"/>
        </w:rPr>
        <w:t xml:space="preserve"> </w:t>
      </w:r>
      <w:r>
        <w:rPr>
          <w:spacing w:val="-1"/>
        </w:rPr>
        <w:t>Year</w:t>
      </w:r>
      <w:r>
        <w:rPr>
          <w:spacing w:val="24"/>
        </w:rPr>
        <w:t xml:space="preserve"> </w:t>
      </w:r>
      <w:r>
        <w:rPr>
          <w:spacing w:val="-1"/>
        </w:rPr>
        <w:t>and</w:t>
      </w:r>
      <w:r>
        <w:rPr>
          <w:spacing w:val="22"/>
        </w:rPr>
        <w:t xml:space="preserve"> </w:t>
      </w:r>
      <w:r>
        <w:t>a</w:t>
      </w:r>
      <w:r>
        <w:rPr>
          <w:spacing w:val="22"/>
        </w:rPr>
        <w:t xml:space="preserve"> </w:t>
      </w:r>
      <w:r>
        <w:rPr>
          <w:spacing w:val="-1"/>
        </w:rPr>
        <w:t>sum</w:t>
      </w:r>
      <w:r>
        <w:rPr>
          <w:spacing w:val="23"/>
        </w:rPr>
        <w:t xml:space="preserve"> </w:t>
      </w:r>
      <w:r>
        <w:rPr>
          <w:spacing w:val="-1"/>
        </w:rPr>
        <w:t>equal</w:t>
      </w:r>
      <w:r>
        <w:rPr>
          <w:spacing w:val="21"/>
        </w:rPr>
        <w:t xml:space="preserve"> </w:t>
      </w:r>
      <w:r>
        <w:t>to</w:t>
      </w:r>
      <w:r>
        <w:rPr>
          <w:spacing w:val="22"/>
        </w:rPr>
        <w:t xml:space="preserve"> </w:t>
      </w:r>
      <w:r>
        <w:rPr>
          <w:spacing w:val="-1"/>
        </w:rPr>
        <w:t>one</w:t>
      </w:r>
      <w:r>
        <w:rPr>
          <w:spacing w:val="22"/>
        </w:rPr>
        <w:t xml:space="preserve"> </w:t>
      </w:r>
      <w:r>
        <w:rPr>
          <w:spacing w:val="-1"/>
        </w:rPr>
        <w:t>hundred</w:t>
      </w:r>
      <w:r>
        <w:rPr>
          <w:spacing w:val="19"/>
        </w:rPr>
        <w:t xml:space="preserve"> </w:t>
      </w:r>
      <w:r>
        <w:rPr>
          <w:spacing w:val="-1"/>
        </w:rPr>
        <w:t>and</w:t>
      </w:r>
      <w:r>
        <w:rPr>
          <w:spacing w:val="23"/>
        </w:rPr>
        <w:t xml:space="preserve"> </w:t>
      </w:r>
      <w:r>
        <w:t>fifty</w:t>
      </w:r>
      <w:r>
        <w:rPr>
          <w:spacing w:val="26"/>
        </w:rPr>
        <w:t xml:space="preserve"> </w:t>
      </w:r>
      <w:r>
        <w:rPr>
          <w:spacing w:val="-1"/>
        </w:rPr>
        <w:t>percent</w:t>
      </w:r>
      <w:r>
        <w:rPr>
          <w:spacing w:val="14"/>
        </w:rPr>
        <w:t xml:space="preserve"> </w:t>
      </w:r>
      <w:r>
        <w:rPr>
          <w:spacing w:val="-1"/>
        </w:rPr>
        <w:t>(150%)</w:t>
      </w:r>
      <w:r>
        <w:rPr>
          <w:spacing w:val="17"/>
        </w:rPr>
        <w:t xml:space="preserve"> </w:t>
      </w:r>
      <w:r>
        <w:rPr>
          <w:spacing w:val="-2"/>
        </w:rPr>
        <w:t>of</w:t>
      </w:r>
      <w:r>
        <w:rPr>
          <w:spacing w:val="14"/>
        </w:rPr>
        <w:t xml:space="preserve"> </w:t>
      </w:r>
      <w:r>
        <w:t>the</w:t>
      </w:r>
      <w:r>
        <w:rPr>
          <w:spacing w:val="15"/>
        </w:rPr>
        <w:t xml:space="preserve"> </w:t>
      </w:r>
      <w:r>
        <w:rPr>
          <w:spacing w:val="-2"/>
        </w:rPr>
        <w:t>Call</w:t>
      </w:r>
      <w:r>
        <w:rPr>
          <w:spacing w:val="14"/>
        </w:rPr>
        <w:t xml:space="preserve"> </w:t>
      </w:r>
      <w:r>
        <w:rPr>
          <w:spacing w:val="-1"/>
        </w:rPr>
        <w:t>Off</w:t>
      </w:r>
      <w:r>
        <w:rPr>
          <w:spacing w:val="16"/>
        </w:rPr>
        <w:t xml:space="preserve"> </w:t>
      </w:r>
      <w:r>
        <w:rPr>
          <w:spacing w:val="-1"/>
        </w:rPr>
        <w:t>Contract</w:t>
      </w:r>
      <w:r>
        <w:rPr>
          <w:spacing w:val="17"/>
        </w:rPr>
        <w:t xml:space="preserve"> </w:t>
      </w:r>
      <w:r>
        <w:rPr>
          <w:spacing w:val="-1"/>
        </w:rPr>
        <w:t>Charges</w:t>
      </w:r>
      <w:r>
        <w:rPr>
          <w:spacing w:val="13"/>
        </w:rPr>
        <w:t xml:space="preserve"> </w:t>
      </w:r>
      <w:r>
        <w:rPr>
          <w:spacing w:val="-2"/>
        </w:rPr>
        <w:t>payable</w:t>
      </w:r>
      <w:r>
        <w:rPr>
          <w:spacing w:val="29"/>
        </w:rPr>
        <w:t xml:space="preserve"> </w:t>
      </w:r>
      <w:r>
        <w:t xml:space="preserve">to the </w:t>
      </w:r>
      <w:r>
        <w:rPr>
          <w:spacing w:val="-2"/>
        </w:rPr>
        <w:t>Supplier</w:t>
      </w:r>
      <w:r>
        <w:rPr>
          <w:spacing w:val="2"/>
        </w:rPr>
        <w:t xml:space="preserve"> </w:t>
      </w:r>
      <w:r>
        <w:rPr>
          <w:spacing w:val="-1"/>
        </w:rPr>
        <w:t>under</w:t>
      </w:r>
      <w:r>
        <w:rPr>
          <w:spacing w:val="2"/>
        </w:rPr>
        <w:t xml:space="preserve"> </w:t>
      </w:r>
      <w:r>
        <w:rPr>
          <w:spacing w:val="-1"/>
        </w:rPr>
        <w:t>this</w:t>
      </w:r>
      <w:r>
        <w:rPr>
          <w:spacing w:val="1"/>
        </w:rPr>
        <w:t xml:space="preserve"> </w:t>
      </w:r>
      <w:r>
        <w:rPr>
          <w:spacing w:val="-2"/>
        </w:rPr>
        <w:t>Call</w:t>
      </w:r>
      <w:r>
        <w:rPr>
          <w:spacing w:val="2"/>
        </w:rPr>
        <w:t xml:space="preserve"> </w:t>
      </w:r>
      <w:r>
        <w:t>Off</w:t>
      </w:r>
      <w:r>
        <w:rPr>
          <w:spacing w:val="2"/>
        </w:rPr>
        <w:t xml:space="preserve"> </w:t>
      </w:r>
      <w:r>
        <w:rPr>
          <w:spacing w:val="-1"/>
        </w:rPr>
        <w:t>Contract</w:t>
      </w:r>
      <w:r>
        <w:rPr>
          <w:spacing w:val="2"/>
        </w:rPr>
        <w:t xml:space="preserve"> </w:t>
      </w:r>
      <w:r>
        <w:rPr>
          <w:spacing w:val="-1"/>
        </w:rPr>
        <w:t>in</w:t>
      </w:r>
      <w:r>
        <w:t xml:space="preserve"> the </w:t>
      </w:r>
      <w:r>
        <w:rPr>
          <w:spacing w:val="-2"/>
        </w:rPr>
        <w:t>previous</w:t>
      </w:r>
      <w:r>
        <w:rPr>
          <w:spacing w:val="46"/>
        </w:rPr>
        <w:t xml:space="preserve"> </w:t>
      </w:r>
      <w:r>
        <w:rPr>
          <w:spacing w:val="-2"/>
        </w:rPr>
        <w:t>Call</w:t>
      </w:r>
      <w:r>
        <w:t xml:space="preserve"> </w:t>
      </w:r>
      <w:r>
        <w:rPr>
          <w:spacing w:val="-1"/>
        </w:rPr>
        <w:t>Off</w:t>
      </w:r>
      <w:r>
        <w:rPr>
          <w:spacing w:val="2"/>
        </w:rPr>
        <w:t xml:space="preserve"> </w:t>
      </w:r>
      <w:r>
        <w:rPr>
          <w:spacing w:val="-1"/>
        </w:rPr>
        <w:t>Contract</w:t>
      </w:r>
      <w:r>
        <w:t xml:space="preserve"> </w:t>
      </w:r>
      <w:r>
        <w:rPr>
          <w:spacing w:val="-1"/>
        </w:rPr>
        <w:t>Year;</w:t>
      </w:r>
      <w:r>
        <w:rPr>
          <w:spacing w:val="2"/>
        </w:rPr>
        <w:t xml:space="preserve"> </w:t>
      </w:r>
      <w:r>
        <w:rPr>
          <w:spacing w:val="-2"/>
        </w:rPr>
        <w:t>and</w:t>
      </w:r>
    </w:p>
    <w:p w:rsidR="008918FA" w:rsidRDefault="008918FA" w:rsidP="008918FA">
      <w:pPr>
        <w:pStyle w:val="BodyText"/>
        <w:numPr>
          <w:ilvl w:val="4"/>
          <w:numId w:val="66"/>
        </w:numPr>
        <w:tabs>
          <w:tab w:val="left" w:pos="3162"/>
        </w:tabs>
        <w:spacing w:before="121"/>
        <w:ind w:left="3161" w:right="112" w:hanging="568"/>
        <w:jc w:val="both"/>
      </w:pPr>
      <w:bookmarkStart w:id="244" w:name="_bookmark207"/>
      <w:bookmarkEnd w:id="244"/>
      <w:r>
        <w:rPr>
          <w:spacing w:val="-1"/>
        </w:rPr>
        <w:t>in</w:t>
      </w:r>
      <w:r>
        <w:rPr>
          <w:spacing w:val="9"/>
        </w:rPr>
        <w:t xml:space="preserve"> </w:t>
      </w:r>
      <w:r>
        <w:rPr>
          <w:spacing w:val="-1"/>
        </w:rPr>
        <w:t>relation</w:t>
      </w:r>
      <w:r>
        <w:rPr>
          <w:spacing w:val="9"/>
        </w:rPr>
        <w:t xml:space="preserve"> </w:t>
      </w:r>
      <w:r>
        <w:t>to</w:t>
      </w:r>
      <w:r>
        <w:rPr>
          <w:spacing w:val="9"/>
        </w:rPr>
        <w:t xml:space="preserve"> </w:t>
      </w:r>
      <w:r>
        <w:rPr>
          <w:spacing w:val="-1"/>
        </w:rPr>
        <w:t>any</w:t>
      </w:r>
      <w:r>
        <w:rPr>
          <w:spacing w:val="7"/>
        </w:rPr>
        <w:t xml:space="preserve"> </w:t>
      </w:r>
      <w:r>
        <w:rPr>
          <w:spacing w:val="-1"/>
        </w:rPr>
        <w:t>Defaults</w:t>
      </w:r>
      <w:r>
        <w:rPr>
          <w:spacing w:val="9"/>
        </w:rPr>
        <w:t xml:space="preserve"> </w:t>
      </w:r>
      <w:r>
        <w:rPr>
          <w:spacing w:val="-1"/>
        </w:rPr>
        <w:t>occurring</w:t>
      </w:r>
      <w:r>
        <w:rPr>
          <w:spacing w:val="9"/>
        </w:rPr>
        <w:t xml:space="preserve"> </w:t>
      </w:r>
      <w:r>
        <w:rPr>
          <w:spacing w:val="-1"/>
        </w:rPr>
        <w:t>in</w:t>
      </w:r>
      <w:r>
        <w:rPr>
          <w:spacing w:val="9"/>
        </w:rPr>
        <w:t xml:space="preserve"> </w:t>
      </w:r>
      <w:r>
        <w:rPr>
          <w:spacing w:val="-1"/>
        </w:rPr>
        <w:t>each</w:t>
      </w:r>
      <w:r>
        <w:rPr>
          <w:spacing w:val="7"/>
        </w:rPr>
        <w:t xml:space="preserve"> </w:t>
      </w:r>
      <w:r>
        <w:rPr>
          <w:spacing w:val="-2"/>
        </w:rPr>
        <w:t>Call</w:t>
      </w:r>
      <w:r>
        <w:rPr>
          <w:spacing w:val="8"/>
        </w:rPr>
        <w:t xml:space="preserve"> </w:t>
      </w:r>
      <w:r>
        <w:rPr>
          <w:spacing w:val="-1"/>
        </w:rPr>
        <w:t>Off</w:t>
      </w:r>
      <w:r>
        <w:rPr>
          <w:spacing w:val="25"/>
        </w:rPr>
        <w:t xml:space="preserve"> </w:t>
      </w:r>
      <w:r>
        <w:rPr>
          <w:spacing w:val="-1"/>
        </w:rPr>
        <w:t>Contract</w:t>
      </w:r>
      <w:r>
        <w:rPr>
          <w:spacing w:val="30"/>
        </w:rPr>
        <w:t xml:space="preserve"> </w:t>
      </w:r>
      <w:r>
        <w:rPr>
          <w:spacing w:val="-1"/>
        </w:rPr>
        <w:t>Year</w:t>
      </w:r>
      <w:r>
        <w:rPr>
          <w:spacing w:val="28"/>
        </w:rPr>
        <w:t xml:space="preserve"> </w:t>
      </w:r>
      <w:r>
        <w:rPr>
          <w:spacing w:val="-1"/>
        </w:rPr>
        <w:t>that</w:t>
      </w:r>
      <w:r>
        <w:rPr>
          <w:spacing w:val="28"/>
        </w:rPr>
        <w:t xml:space="preserve"> </w:t>
      </w:r>
      <w:r>
        <w:rPr>
          <w:spacing w:val="-1"/>
        </w:rPr>
        <w:t>commences</w:t>
      </w:r>
      <w:r>
        <w:rPr>
          <w:spacing w:val="30"/>
        </w:rPr>
        <w:t xml:space="preserve"> </w:t>
      </w:r>
      <w:r>
        <w:rPr>
          <w:spacing w:val="-1"/>
        </w:rPr>
        <w:t>after</w:t>
      </w:r>
      <w:r>
        <w:rPr>
          <w:spacing w:val="30"/>
        </w:rPr>
        <w:t xml:space="preserve"> </w:t>
      </w:r>
      <w:r>
        <w:t>the</w:t>
      </w:r>
      <w:r>
        <w:rPr>
          <w:spacing w:val="27"/>
        </w:rPr>
        <w:t xml:space="preserve"> </w:t>
      </w:r>
      <w:r>
        <w:rPr>
          <w:spacing w:val="-1"/>
        </w:rPr>
        <w:t>end</w:t>
      </w:r>
      <w:r>
        <w:rPr>
          <w:spacing w:val="29"/>
        </w:rPr>
        <w:t xml:space="preserve"> </w:t>
      </w:r>
      <w:r>
        <w:rPr>
          <w:spacing w:val="-2"/>
        </w:rPr>
        <w:t>of</w:t>
      </w:r>
      <w:r>
        <w:rPr>
          <w:spacing w:val="30"/>
        </w:rPr>
        <w:t xml:space="preserve"> </w:t>
      </w:r>
      <w:r>
        <w:t>the</w:t>
      </w:r>
      <w:r>
        <w:rPr>
          <w:spacing w:val="29"/>
        </w:rPr>
        <w:t xml:space="preserve"> </w:t>
      </w:r>
      <w:r>
        <w:rPr>
          <w:spacing w:val="-2"/>
        </w:rPr>
        <w:t>Call</w:t>
      </w:r>
      <w:r>
        <w:rPr>
          <w:spacing w:val="29"/>
        </w:rPr>
        <w:t xml:space="preserve"> </w:t>
      </w:r>
      <w:r>
        <w:rPr>
          <w:spacing w:val="-1"/>
        </w:rPr>
        <w:t>Off</w:t>
      </w:r>
      <w:r>
        <w:rPr>
          <w:spacing w:val="13"/>
        </w:rPr>
        <w:t xml:space="preserve"> </w:t>
      </w:r>
      <w:r>
        <w:rPr>
          <w:spacing w:val="-1"/>
        </w:rPr>
        <w:t>Contract</w:t>
      </w:r>
      <w:r>
        <w:rPr>
          <w:spacing w:val="13"/>
        </w:rPr>
        <w:t xml:space="preserve"> </w:t>
      </w:r>
      <w:r>
        <w:rPr>
          <w:spacing w:val="-2"/>
        </w:rPr>
        <w:t>Period,</w:t>
      </w:r>
      <w:r>
        <w:rPr>
          <w:spacing w:val="13"/>
        </w:rPr>
        <w:t xml:space="preserve"> </w:t>
      </w:r>
      <w:r>
        <w:rPr>
          <w:spacing w:val="-2"/>
        </w:rPr>
        <w:t>the</w:t>
      </w:r>
      <w:r>
        <w:rPr>
          <w:spacing w:val="11"/>
        </w:rPr>
        <w:t xml:space="preserve"> </w:t>
      </w:r>
      <w:r>
        <w:rPr>
          <w:spacing w:val="-1"/>
        </w:rPr>
        <w:t>higher</w:t>
      </w:r>
      <w:r>
        <w:rPr>
          <w:spacing w:val="13"/>
        </w:rPr>
        <w:t xml:space="preserve"> </w:t>
      </w:r>
      <w:r>
        <w:rPr>
          <w:spacing w:val="-2"/>
        </w:rPr>
        <w:t>of</w:t>
      </w:r>
      <w:r>
        <w:rPr>
          <w:spacing w:val="13"/>
        </w:rPr>
        <w:t xml:space="preserve"> </w:t>
      </w:r>
      <w:r>
        <w:t>ten</w:t>
      </w:r>
      <w:r>
        <w:rPr>
          <w:spacing w:val="9"/>
        </w:rPr>
        <w:t xml:space="preserve"> </w:t>
      </w:r>
      <w:r>
        <w:rPr>
          <w:spacing w:val="-2"/>
        </w:rPr>
        <w:t>million</w:t>
      </w:r>
      <w:r>
        <w:rPr>
          <w:spacing w:val="11"/>
        </w:rPr>
        <w:t xml:space="preserve"> </w:t>
      </w:r>
      <w:r>
        <w:rPr>
          <w:spacing w:val="-1"/>
        </w:rPr>
        <w:t>pounds</w:t>
      </w:r>
      <w:r>
        <w:rPr>
          <w:spacing w:val="36"/>
        </w:rPr>
        <w:t xml:space="preserve"> </w:t>
      </w:r>
      <w:r>
        <w:rPr>
          <w:spacing w:val="-1"/>
        </w:rPr>
        <w:t>(£10,000,000)</w:t>
      </w:r>
      <w:r>
        <w:rPr>
          <w:spacing w:val="19"/>
        </w:rPr>
        <w:t xml:space="preserve"> </w:t>
      </w:r>
      <w:r>
        <w:rPr>
          <w:spacing w:val="-1"/>
        </w:rPr>
        <w:t>in</w:t>
      </w:r>
      <w:r>
        <w:rPr>
          <w:spacing w:val="17"/>
        </w:rPr>
        <w:t xml:space="preserve"> </w:t>
      </w:r>
      <w:r>
        <w:rPr>
          <w:spacing w:val="-2"/>
        </w:rPr>
        <w:t>each</w:t>
      </w:r>
      <w:r>
        <w:rPr>
          <w:spacing w:val="18"/>
        </w:rPr>
        <w:t xml:space="preserve"> </w:t>
      </w:r>
      <w:r>
        <w:rPr>
          <w:spacing w:val="-2"/>
        </w:rPr>
        <w:t>such</w:t>
      </w:r>
      <w:r>
        <w:rPr>
          <w:spacing w:val="18"/>
        </w:rPr>
        <w:t xml:space="preserve"> </w:t>
      </w:r>
      <w:r>
        <w:rPr>
          <w:spacing w:val="-2"/>
        </w:rPr>
        <w:t>Call</w:t>
      </w:r>
      <w:r>
        <w:rPr>
          <w:spacing w:val="17"/>
        </w:rPr>
        <w:t xml:space="preserve"> </w:t>
      </w:r>
      <w:r>
        <w:rPr>
          <w:spacing w:val="-1"/>
        </w:rPr>
        <w:t>Off</w:t>
      </w:r>
      <w:r>
        <w:rPr>
          <w:spacing w:val="19"/>
        </w:rPr>
        <w:t xml:space="preserve"> </w:t>
      </w:r>
      <w:r>
        <w:rPr>
          <w:spacing w:val="-1"/>
        </w:rPr>
        <w:t>Contract</w:t>
      </w:r>
      <w:r>
        <w:rPr>
          <w:spacing w:val="17"/>
        </w:rPr>
        <w:t xml:space="preserve"> </w:t>
      </w:r>
      <w:r>
        <w:rPr>
          <w:spacing w:val="-1"/>
        </w:rPr>
        <w:t>Year</w:t>
      </w:r>
      <w:r>
        <w:rPr>
          <w:spacing w:val="19"/>
        </w:rPr>
        <w:t xml:space="preserve"> </w:t>
      </w:r>
      <w:r>
        <w:rPr>
          <w:spacing w:val="-1"/>
        </w:rPr>
        <w:t>and</w:t>
      </w:r>
      <w:r>
        <w:rPr>
          <w:spacing w:val="15"/>
        </w:rPr>
        <w:t xml:space="preserve"> </w:t>
      </w:r>
      <w:r>
        <w:t>a</w:t>
      </w:r>
      <w:r>
        <w:rPr>
          <w:spacing w:val="35"/>
        </w:rPr>
        <w:t xml:space="preserve"> </w:t>
      </w:r>
      <w:r>
        <w:rPr>
          <w:spacing w:val="-1"/>
        </w:rPr>
        <w:t>sum</w:t>
      </w:r>
      <w:r>
        <w:rPr>
          <w:spacing w:val="9"/>
        </w:rPr>
        <w:t xml:space="preserve"> </w:t>
      </w:r>
      <w:r>
        <w:rPr>
          <w:spacing w:val="-1"/>
        </w:rPr>
        <w:t>equal</w:t>
      </w:r>
      <w:r>
        <w:rPr>
          <w:spacing w:val="7"/>
        </w:rPr>
        <w:t xml:space="preserve"> </w:t>
      </w:r>
      <w:r>
        <w:t>to</w:t>
      </w:r>
      <w:r>
        <w:rPr>
          <w:spacing w:val="7"/>
        </w:rPr>
        <w:t xml:space="preserve"> </w:t>
      </w:r>
      <w:r>
        <w:rPr>
          <w:spacing w:val="-1"/>
        </w:rPr>
        <w:t>one</w:t>
      </w:r>
      <w:r>
        <w:rPr>
          <w:spacing w:val="8"/>
        </w:rPr>
        <w:t xml:space="preserve"> </w:t>
      </w:r>
      <w:r>
        <w:rPr>
          <w:spacing w:val="-2"/>
        </w:rPr>
        <w:t>hundred</w:t>
      </w:r>
      <w:r>
        <w:rPr>
          <w:spacing w:val="7"/>
        </w:rPr>
        <w:t xml:space="preserve"> </w:t>
      </w:r>
      <w:r>
        <w:rPr>
          <w:spacing w:val="-1"/>
        </w:rPr>
        <w:t>and</w:t>
      </w:r>
      <w:r>
        <w:rPr>
          <w:spacing w:val="6"/>
        </w:rPr>
        <w:t xml:space="preserve"> </w:t>
      </w:r>
      <w:r>
        <w:t>fifty</w:t>
      </w:r>
      <w:r>
        <w:rPr>
          <w:spacing w:val="6"/>
        </w:rPr>
        <w:t xml:space="preserve"> </w:t>
      </w:r>
      <w:r>
        <w:rPr>
          <w:spacing w:val="-1"/>
        </w:rPr>
        <w:t>percent</w:t>
      </w:r>
      <w:r>
        <w:rPr>
          <w:spacing w:val="9"/>
        </w:rPr>
        <w:t xml:space="preserve"> </w:t>
      </w:r>
      <w:r>
        <w:rPr>
          <w:spacing w:val="-1"/>
        </w:rPr>
        <w:t>(150%)</w:t>
      </w:r>
      <w:r>
        <w:rPr>
          <w:spacing w:val="9"/>
        </w:rPr>
        <w:t xml:space="preserve"> </w:t>
      </w:r>
      <w:r>
        <w:rPr>
          <w:spacing w:val="-2"/>
        </w:rPr>
        <w:t>of</w:t>
      </w:r>
      <w:r>
        <w:rPr>
          <w:spacing w:val="9"/>
        </w:rPr>
        <w:t xml:space="preserve"> </w:t>
      </w:r>
      <w:r>
        <w:rPr>
          <w:spacing w:val="-2"/>
        </w:rPr>
        <w:t>the</w:t>
      </w:r>
      <w:r>
        <w:rPr>
          <w:spacing w:val="36"/>
        </w:rPr>
        <w:t xml:space="preserve"> </w:t>
      </w:r>
      <w:r>
        <w:rPr>
          <w:spacing w:val="-2"/>
        </w:rPr>
        <w:t>Call</w:t>
      </w:r>
      <w:r>
        <w:rPr>
          <w:spacing w:val="24"/>
        </w:rPr>
        <w:t xml:space="preserve"> </w:t>
      </w:r>
      <w:r>
        <w:rPr>
          <w:spacing w:val="-1"/>
        </w:rPr>
        <w:t>Off</w:t>
      </w:r>
      <w:r>
        <w:rPr>
          <w:spacing w:val="26"/>
        </w:rPr>
        <w:t xml:space="preserve"> </w:t>
      </w:r>
      <w:r>
        <w:rPr>
          <w:spacing w:val="-1"/>
        </w:rPr>
        <w:t>Contract</w:t>
      </w:r>
      <w:r>
        <w:rPr>
          <w:spacing w:val="24"/>
        </w:rPr>
        <w:t xml:space="preserve"> </w:t>
      </w:r>
      <w:r>
        <w:rPr>
          <w:spacing w:val="-2"/>
        </w:rPr>
        <w:t>Charges</w:t>
      </w:r>
      <w:r>
        <w:rPr>
          <w:spacing w:val="25"/>
        </w:rPr>
        <w:t xml:space="preserve"> </w:t>
      </w:r>
      <w:r>
        <w:rPr>
          <w:spacing w:val="-2"/>
        </w:rPr>
        <w:t>payable</w:t>
      </w:r>
      <w:r>
        <w:rPr>
          <w:spacing w:val="26"/>
        </w:rPr>
        <w:t xml:space="preserve"> </w:t>
      </w:r>
      <w:r>
        <w:t>to</w:t>
      </w:r>
      <w:r>
        <w:rPr>
          <w:spacing w:val="24"/>
        </w:rPr>
        <w:t xml:space="preserve"> </w:t>
      </w:r>
      <w:r>
        <w:t>the</w:t>
      </w:r>
      <w:r>
        <w:rPr>
          <w:spacing w:val="22"/>
        </w:rPr>
        <w:t xml:space="preserve"> </w:t>
      </w:r>
      <w:r>
        <w:rPr>
          <w:spacing w:val="-2"/>
        </w:rPr>
        <w:t>Supplier</w:t>
      </w:r>
      <w:r>
        <w:rPr>
          <w:spacing w:val="26"/>
        </w:rPr>
        <w:t xml:space="preserve"> </w:t>
      </w:r>
      <w:r>
        <w:rPr>
          <w:spacing w:val="-2"/>
        </w:rPr>
        <w:t>under</w:t>
      </w:r>
      <w:r>
        <w:rPr>
          <w:spacing w:val="57"/>
        </w:rPr>
        <w:t xml:space="preserve"> </w:t>
      </w:r>
      <w:r>
        <w:rPr>
          <w:spacing w:val="-1"/>
        </w:rPr>
        <w:t>this</w:t>
      </w:r>
      <w:r>
        <w:rPr>
          <w:spacing w:val="39"/>
        </w:rPr>
        <w:t xml:space="preserve"> </w:t>
      </w:r>
      <w:r>
        <w:rPr>
          <w:spacing w:val="-2"/>
        </w:rPr>
        <w:t>Call</w:t>
      </w:r>
      <w:r>
        <w:rPr>
          <w:spacing w:val="38"/>
        </w:rPr>
        <w:t xml:space="preserve"> </w:t>
      </w:r>
      <w:r>
        <w:t>Off</w:t>
      </w:r>
      <w:r>
        <w:rPr>
          <w:spacing w:val="42"/>
        </w:rPr>
        <w:t xml:space="preserve"> </w:t>
      </w:r>
      <w:r>
        <w:rPr>
          <w:spacing w:val="-2"/>
        </w:rPr>
        <w:t>Contract</w:t>
      </w:r>
      <w:r>
        <w:rPr>
          <w:spacing w:val="40"/>
        </w:rPr>
        <w:t xml:space="preserve"> </w:t>
      </w:r>
      <w:r>
        <w:rPr>
          <w:spacing w:val="-1"/>
        </w:rPr>
        <w:t>in</w:t>
      </w:r>
      <w:r>
        <w:rPr>
          <w:spacing w:val="40"/>
        </w:rPr>
        <w:t xml:space="preserve"> </w:t>
      </w:r>
      <w:r>
        <w:t>the</w:t>
      </w:r>
      <w:r>
        <w:rPr>
          <w:spacing w:val="39"/>
        </w:rPr>
        <w:t xml:space="preserve"> </w:t>
      </w:r>
      <w:r>
        <w:rPr>
          <w:spacing w:val="-1"/>
        </w:rPr>
        <w:t>last</w:t>
      </w:r>
      <w:r>
        <w:rPr>
          <w:spacing w:val="42"/>
        </w:rPr>
        <w:t xml:space="preserve"> </w:t>
      </w:r>
      <w:r>
        <w:rPr>
          <w:spacing w:val="-2"/>
        </w:rPr>
        <w:t>Call</w:t>
      </w:r>
      <w:r>
        <w:rPr>
          <w:spacing w:val="38"/>
        </w:rPr>
        <w:t xml:space="preserve"> </w:t>
      </w:r>
      <w:r>
        <w:t>Off</w:t>
      </w:r>
      <w:r>
        <w:rPr>
          <w:spacing w:val="42"/>
        </w:rPr>
        <w:t xml:space="preserve"> </w:t>
      </w:r>
      <w:r>
        <w:rPr>
          <w:spacing w:val="-2"/>
        </w:rPr>
        <w:t>Contract</w:t>
      </w:r>
      <w:r>
        <w:rPr>
          <w:spacing w:val="42"/>
        </w:rPr>
        <w:t xml:space="preserve"> </w:t>
      </w:r>
      <w:r>
        <w:rPr>
          <w:spacing w:val="-2"/>
        </w:rPr>
        <w:t>Year</w:t>
      </w:r>
      <w:r>
        <w:rPr>
          <w:spacing w:val="48"/>
        </w:rPr>
        <w:t xml:space="preserve"> </w:t>
      </w:r>
      <w:r>
        <w:rPr>
          <w:spacing w:val="-1"/>
        </w:rPr>
        <w:t>commencing</w:t>
      </w:r>
      <w:r>
        <w:t xml:space="preserve"> </w:t>
      </w:r>
      <w:r>
        <w:rPr>
          <w:spacing w:val="-2"/>
        </w:rPr>
        <w:t>during</w:t>
      </w:r>
      <w:r>
        <w:t xml:space="preserve"> the</w:t>
      </w:r>
      <w:r>
        <w:rPr>
          <w:spacing w:val="-4"/>
        </w:rPr>
        <w:t xml:space="preserve"> </w:t>
      </w:r>
      <w:r>
        <w:rPr>
          <w:spacing w:val="-2"/>
        </w:rPr>
        <w:t>Call</w:t>
      </w:r>
      <w:r>
        <w:t xml:space="preserve"> </w:t>
      </w:r>
      <w:r>
        <w:rPr>
          <w:spacing w:val="-1"/>
        </w:rPr>
        <w:t>Off</w:t>
      </w:r>
      <w:r>
        <w:rPr>
          <w:spacing w:val="2"/>
        </w:rPr>
        <w:t xml:space="preserve"> </w:t>
      </w:r>
      <w:r>
        <w:rPr>
          <w:spacing w:val="-2"/>
        </w:rPr>
        <w:t>Contract</w:t>
      </w:r>
      <w:r>
        <w:rPr>
          <w:spacing w:val="1"/>
        </w:rPr>
        <w:t xml:space="preserve"> </w:t>
      </w:r>
      <w:r>
        <w:rPr>
          <w:spacing w:val="-1"/>
        </w:rPr>
        <w:t>Period.</w:t>
      </w:r>
    </w:p>
    <w:p w:rsidR="008918FA" w:rsidRDefault="008918FA" w:rsidP="008918FA">
      <w:pPr>
        <w:pStyle w:val="BodyText"/>
        <w:numPr>
          <w:ilvl w:val="2"/>
          <w:numId w:val="66"/>
        </w:numPr>
        <w:tabs>
          <w:tab w:val="left" w:pos="1886"/>
        </w:tabs>
        <w:spacing w:before="121"/>
        <w:ind w:left="1884" w:right="114" w:hanging="993"/>
        <w:jc w:val="both"/>
      </w:pPr>
      <w:bookmarkStart w:id="245" w:name="_bookmark208"/>
      <w:bookmarkEnd w:id="245"/>
      <w:r>
        <w:rPr>
          <w:spacing w:val="-1"/>
        </w:rPr>
        <w:t>Subject</w:t>
      </w:r>
      <w:r>
        <w:rPr>
          <w:spacing w:val="5"/>
        </w:rPr>
        <w:t xml:space="preserve"> </w:t>
      </w:r>
      <w:r>
        <w:rPr>
          <w:spacing w:val="-1"/>
        </w:rPr>
        <w:t>to</w:t>
      </w:r>
      <w:r>
        <w:rPr>
          <w:spacing w:val="3"/>
        </w:rPr>
        <w:t xml:space="preserve"> </w:t>
      </w:r>
      <w:r>
        <w:rPr>
          <w:spacing w:val="-1"/>
        </w:rPr>
        <w:t>Clauses</w:t>
      </w:r>
      <w:r>
        <w:rPr>
          <w:spacing w:val="3"/>
        </w:rPr>
        <w:t xml:space="preserve"> </w:t>
      </w:r>
      <w:hyperlink w:anchor="_bookmark201" w:history="1">
        <w:r>
          <w:rPr>
            <w:spacing w:val="-1"/>
          </w:rPr>
          <w:t>36.1</w:t>
        </w:r>
      </w:hyperlink>
      <w:r>
        <w:rPr>
          <w:spacing w:val="3"/>
        </w:rPr>
        <w:t xml:space="preserve"> </w:t>
      </w:r>
      <w:r>
        <w:rPr>
          <w:spacing w:val="-1"/>
        </w:rPr>
        <w:t>(Unlimited</w:t>
      </w:r>
      <w:r>
        <w:rPr>
          <w:spacing w:val="3"/>
        </w:rPr>
        <w:t xml:space="preserve"> </w:t>
      </w:r>
      <w:r>
        <w:rPr>
          <w:spacing w:val="-2"/>
        </w:rPr>
        <w:t>Liability)</w:t>
      </w:r>
      <w:r>
        <w:rPr>
          <w:spacing w:val="5"/>
        </w:rPr>
        <w:t xml:space="preserve"> </w:t>
      </w:r>
      <w:r>
        <w:rPr>
          <w:spacing w:val="-1"/>
        </w:rPr>
        <w:t>and</w:t>
      </w:r>
      <w:r>
        <w:rPr>
          <w:spacing w:val="5"/>
        </w:rPr>
        <w:t xml:space="preserve"> </w:t>
      </w:r>
      <w:hyperlink w:anchor="_bookmark202" w:history="1">
        <w:r>
          <w:rPr>
            <w:spacing w:val="-1"/>
          </w:rPr>
          <w:t>36.2</w:t>
        </w:r>
      </w:hyperlink>
      <w:r>
        <w:rPr>
          <w:spacing w:val="3"/>
        </w:rPr>
        <w:t xml:space="preserve"> </w:t>
      </w:r>
      <w:r>
        <w:rPr>
          <w:spacing w:val="-1"/>
        </w:rPr>
        <w:t>(Financial</w:t>
      </w:r>
      <w:r>
        <w:rPr>
          <w:spacing w:val="2"/>
        </w:rPr>
        <w:t xml:space="preserve"> </w:t>
      </w:r>
      <w:r>
        <w:rPr>
          <w:spacing w:val="-1"/>
        </w:rPr>
        <w:t>Limits)</w:t>
      </w:r>
      <w:r>
        <w:rPr>
          <w:spacing w:val="44"/>
        </w:rPr>
        <w:t xml:space="preserve"> </w:t>
      </w:r>
      <w:r>
        <w:rPr>
          <w:spacing w:val="-1"/>
        </w:rPr>
        <w:t>and</w:t>
      </w:r>
      <w:r>
        <w:rPr>
          <w:spacing w:val="31"/>
        </w:rPr>
        <w:t xml:space="preserve"> </w:t>
      </w:r>
      <w:r>
        <w:rPr>
          <w:spacing w:val="-2"/>
        </w:rPr>
        <w:t>without</w:t>
      </w:r>
      <w:r>
        <w:rPr>
          <w:spacing w:val="33"/>
        </w:rPr>
        <w:t xml:space="preserve"> </w:t>
      </w:r>
      <w:r>
        <w:rPr>
          <w:spacing w:val="-1"/>
        </w:rPr>
        <w:t>prejudice</w:t>
      </w:r>
      <w:r>
        <w:rPr>
          <w:spacing w:val="32"/>
        </w:rPr>
        <w:t xml:space="preserve"> </w:t>
      </w:r>
      <w:r>
        <w:t>to</w:t>
      </w:r>
      <w:r>
        <w:rPr>
          <w:spacing w:val="29"/>
        </w:rPr>
        <w:t xml:space="preserve"> </w:t>
      </w:r>
      <w:r>
        <w:rPr>
          <w:spacing w:val="-1"/>
        </w:rPr>
        <w:t>its</w:t>
      </w:r>
      <w:r>
        <w:rPr>
          <w:spacing w:val="32"/>
        </w:rPr>
        <w:t xml:space="preserve"> </w:t>
      </w:r>
      <w:r>
        <w:rPr>
          <w:spacing w:val="-1"/>
        </w:rPr>
        <w:t>obligation</w:t>
      </w:r>
      <w:r>
        <w:rPr>
          <w:spacing w:val="29"/>
        </w:rPr>
        <w:t xml:space="preserve"> </w:t>
      </w:r>
      <w:r>
        <w:t>to</w:t>
      </w:r>
      <w:r>
        <w:rPr>
          <w:spacing w:val="31"/>
        </w:rPr>
        <w:t xml:space="preserve"> </w:t>
      </w:r>
      <w:r>
        <w:rPr>
          <w:spacing w:val="-1"/>
        </w:rPr>
        <w:t>pay</w:t>
      </w:r>
      <w:r>
        <w:rPr>
          <w:spacing w:val="30"/>
        </w:rPr>
        <w:t xml:space="preserve"> </w:t>
      </w:r>
      <w:r>
        <w:t>the</w:t>
      </w:r>
      <w:r>
        <w:rPr>
          <w:spacing w:val="31"/>
        </w:rPr>
        <w:t xml:space="preserve"> </w:t>
      </w:r>
      <w:r>
        <w:rPr>
          <w:spacing w:val="-1"/>
        </w:rPr>
        <w:t>undisputed</w:t>
      </w:r>
      <w:r>
        <w:rPr>
          <w:spacing w:val="32"/>
        </w:rPr>
        <w:t xml:space="preserve"> </w:t>
      </w:r>
      <w:r>
        <w:rPr>
          <w:spacing w:val="-2"/>
        </w:rPr>
        <w:t>Call</w:t>
      </w:r>
      <w:r>
        <w:rPr>
          <w:spacing w:val="28"/>
        </w:rPr>
        <w:t xml:space="preserve"> </w:t>
      </w:r>
      <w:r>
        <w:rPr>
          <w:spacing w:val="-1"/>
        </w:rPr>
        <w:t>Off</w:t>
      </w:r>
      <w:r>
        <w:rPr>
          <w:spacing w:val="53"/>
        </w:rPr>
        <w:t xml:space="preserve"> </w:t>
      </w:r>
      <w:r>
        <w:rPr>
          <w:spacing w:val="-1"/>
        </w:rPr>
        <w:t>Contract</w:t>
      </w:r>
      <w:r>
        <w:rPr>
          <w:spacing w:val="39"/>
        </w:rPr>
        <w:t xml:space="preserve"> </w:t>
      </w:r>
      <w:r>
        <w:rPr>
          <w:spacing w:val="-1"/>
        </w:rPr>
        <w:t>Charges</w:t>
      </w:r>
      <w:r>
        <w:rPr>
          <w:spacing w:val="38"/>
        </w:rPr>
        <w:t xml:space="preserve"> </w:t>
      </w:r>
      <w:r>
        <w:rPr>
          <w:spacing w:val="-2"/>
        </w:rPr>
        <w:t>as</w:t>
      </w:r>
      <w:r>
        <w:rPr>
          <w:spacing w:val="35"/>
        </w:rPr>
        <w:t xml:space="preserve"> </w:t>
      </w:r>
      <w:r>
        <w:rPr>
          <w:spacing w:val="-1"/>
        </w:rPr>
        <w:t>and</w:t>
      </w:r>
      <w:r>
        <w:rPr>
          <w:spacing w:val="37"/>
        </w:rPr>
        <w:t xml:space="preserve"> </w:t>
      </w:r>
      <w:r>
        <w:rPr>
          <w:spacing w:val="-2"/>
        </w:rPr>
        <w:t>when</w:t>
      </w:r>
      <w:r>
        <w:rPr>
          <w:spacing w:val="37"/>
        </w:rPr>
        <w:t xml:space="preserve"> </w:t>
      </w:r>
      <w:r>
        <w:rPr>
          <w:spacing w:val="-1"/>
        </w:rPr>
        <w:t>they</w:t>
      </w:r>
      <w:r>
        <w:rPr>
          <w:spacing w:val="35"/>
        </w:rPr>
        <w:t xml:space="preserve"> </w:t>
      </w:r>
      <w:r>
        <w:t>fall</w:t>
      </w:r>
      <w:r>
        <w:rPr>
          <w:spacing w:val="38"/>
        </w:rPr>
        <w:t xml:space="preserve"> </w:t>
      </w:r>
      <w:r>
        <w:rPr>
          <w:spacing w:val="-1"/>
        </w:rPr>
        <w:t>due</w:t>
      </w:r>
      <w:r>
        <w:rPr>
          <w:spacing w:val="35"/>
        </w:rPr>
        <w:t xml:space="preserve"> </w:t>
      </w:r>
      <w:r>
        <w:t>for</w:t>
      </w:r>
      <w:r>
        <w:rPr>
          <w:spacing w:val="39"/>
        </w:rPr>
        <w:t xml:space="preserve"> </w:t>
      </w:r>
      <w:r>
        <w:rPr>
          <w:spacing w:val="-1"/>
        </w:rPr>
        <w:t>payment,</w:t>
      </w:r>
      <w:r>
        <w:rPr>
          <w:spacing w:val="36"/>
        </w:rPr>
        <w:t xml:space="preserve"> </w:t>
      </w:r>
      <w:r>
        <w:rPr>
          <w:spacing w:val="-1"/>
        </w:rPr>
        <w:t>the</w:t>
      </w:r>
      <w:r>
        <w:rPr>
          <w:spacing w:val="34"/>
        </w:rPr>
        <w:t xml:space="preserve"> </w:t>
      </w:r>
      <w:r>
        <w:rPr>
          <w:spacing w:val="-1"/>
        </w:rPr>
        <w:t>Customer's</w:t>
      </w:r>
      <w:r>
        <w:rPr>
          <w:spacing w:val="15"/>
        </w:rPr>
        <w:t xml:space="preserve"> </w:t>
      </w:r>
      <w:r>
        <w:rPr>
          <w:spacing w:val="-1"/>
        </w:rPr>
        <w:t>total</w:t>
      </w:r>
      <w:r>
        <w:rPr>
          <w:spacing w:val="17"/>
        </w:rPr>
        <w:t xml:space="preserve"> </w:t>
      </w:r>
      <w:r>
        <w:rPr>
          <w:spacing w:val="-1"/>
        </w:rPr>
        <w:t>aggregate</w:t>
      </w:r>
      <w:r>
        <w:rPr>
          <w:spacing w:val="17"/>
        </w:rPr>
        <w:t xml:space="preserve"> </w:t>
      </w:r>
      <w:r>
        <w:rPr>
          <w:spacing w:val="-2"/>
        </w:rPr>
        <w:t>liability</w:t>
      </w:r>
      <w:r>
        <w:rPr>
          <w:spacing w:val="15"/>
        </w:rPr>
        <w:t xml:space="preserve"> </w:t>
      </w:r>
      <w:r>
        <w:rPr>
          <w:spacing w:val="-1"/>
        </w:rPr>
        <w:t>in</w:t>
      </w:r>
      <w:r>
        <w:rPr>
          <w:spacing w:val="17"/>
        </w:rPr>
        <w:t xml:space="preserve"> </w:t>
      </w:r>
      <w:r>
        <w:rPr>
          <w:spacing w:val="-1"/>
        </w:rPr>
        <w:t>respect</w:t>
      </w:r>
      <w:r>
        <w:rPr>
          <w:spacing w:val="20"/>
        </w:rPr>
        <w:t xml:space="preserve"> </w:t>
      </w:r>
      <w:r>
        <w:rPr>
          <w:spacing w:val="-1"/>
        </w:rPr>
        <w:t>of</w:t>
      </w:r>
      <w:r>
        <w:rPr>
          <w:spacing w:val="19"/>
        </w:rPr>
        <w:t xml:space="preserve"> </w:t>
      </w:r>
      <w:r>
        <w:rPr>
          <w:spacing w:val="-1"/>
        </w:rPr>
        <w:t>all</w:t>
      </w:r>
      <w:r>
        <w:rPr>
          <w:spacing w:val="17"/>
        </w:rPr>
        <w:t xml:space="preserve"> </w:t>
      </w:r>
      <w:r>
        <w:rPr>
          <w:spacing w:val="-1"/>
        </w:rPr>
        <w:t>Losses</w:t>
      </w:r>
      <w:r>
        <w:rPr>
          <w:spacing w:val="18"/>
        </w:rPr>
        <w:t xml:space="preserve"> </w:t>
      </w:r>
      <w:r>
        <w:rPr>
          <w:spacing w:val="-1"/>
        </w:rPr>
        <w:t>as</w:t>
      </w:r>
      <w:r>
        <w:rPr>
          <w:spacing w:val="18"/>
        </w:rPr>
        <w:t xml:space="preserve"> </w:t>
      </w:r>
      <w:r>
        <w:t>a</w:t>
      </w:r>
      <w:r>
        <w:rPr>
          <w:spacing w:val="17"/>
        </w:rPr>
        <w:t xml:space="preserve"> </w:t>
      </w:r>
      <w:r>
        <w:rPr>
          <w:spacing w:val="-1"/>
        </w:rPr>
        <w:t>result</w:t>
      </w:r>
      <w:r>
        <w:rPr>
          <w:spacing w:val="45"/>
        </w:rPr>
        <w:t xml:space="preserve"> </w:t>
      </w:r>
      <w:r>
        <w:rPr>
          <w:spacing w:val="-2"/>
        </w:rPr>
        <w:t>of</w:t>
      </w:r>
      <w:r>
        <w:rPr>
          <w:spacing w:val="4"/>
        </w:rPr>
        <w:t xml:space="preserve"> </w:t>
      </w:r>
      <w:r>
        <w:rPr>
          <w:spacing w:val="-2"/>
        </w:rPr>
        <w:t>Customer</w:t>
      </w:r>
      <w:r>
        <w:rPr>
          <w:spacing w:val="2"/>
        </w:rPr>
        <w:t xml:space="preserve"> </w:t>
      </w:r>
      <w:r>
        <w:rPr>
          <w:spacing w:val="-1"/>
        </w:rPr>
        <w:t>Causes</w:t>
      </w:r>
      <w:r>
        <w:rPr>
          <w:spacing w:val="-2"/>
        </w:rPr>
        <w:t xml:space="preserve"> shall</w:t>
      </w:r>
      <w:r>
        <w:t xml:space="preserve"> </w:t>
      </w:r>
      <w:r>
        <w:rPr>
          <w:spacing w:val="-1"/>
        </w:rPr>
        <w:t>be</w:t>
      </w:r>
      <w:r>
        <w:t xml:space="preserve"> </w:t>
      </w:r>
      <w:r>
        <w:rPr>
          <w:spacing w:val="-1"/>
        </w:rPr>
        <w:t>limited</w:t>
      </w:r>
      <w:r>
        <w:rPr>
          <w:spacing w:val="-2"/>
        </w:rPr>
        <w:t xml:space="preserve"> </w:t>
      </w:r>
      <w:r>
        <w:rPr>
          <w:spacing w:val="-1"/>
        </w:rPr>
        <w:t>to:</w:t>
      </w:r>
    </w:p>
    <w:p w:rsidR="008918FA" w:rsidRDefault="008918FA" w:rsidP="008918FA">
      <w:pPr>
        <w:pStyle w:val="BodyText"/>
        <w:numPr>
          <w:ilvl w:val="3"/>
          <w:numId w:val="66"/>
        </w:numPr>
        <w:tabs>
          <w:tab w:val="left" w:pos="2593"/>
        </w:tabs>
        <w:spacing w:before="121"/>
        <w:ind w:left="2592" w:right="115"/>
        <w:jc w:val="both"/>
      </w:pPr>
      <w:bookmarkStart w:id="246" w:name="_bookmark209"/>
      <w:bookmarkEnd w:id="246"/>
      <w:r>
        <w:rPr>
          <w:spacing w:val="-1"/>
        </w:rPr>
        <w:t>in</w:t>
      </w:r>
      <w:r>
        <w:rPr>
          <w:spacing w:val="15"/>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Customer</w:t>
      </w:r>
      <w:r>
        <w:rPr>
          <w:spacing w:val="16"/>
        </w:rPr>
        <w:t xml:space="preserve"> </w:t>
      </w:r>
      <w:r>
        <w:rPr>
          <w:spacing w:val="-2"/>
        </w:rPr>
        <w:t>Causes</w:t>
      </w:r>
      <w:r>
        <w:rPr>
          <w:spacing w:val="15"/>
        </w:rPr>
        <w:t xml:space="preserve"> </w:t>
      </w:r>
      <w:r>
        <w:rPr>
          <w:spacing w:val="-2"/>
        </w:rPr>
        <w:t>occurring</w:t>
      </w:r>
      <w:r>
        <w:rPr>
          <w:spacing w:val="16"/>
        </w:rPr>
        <w:t xml:space="preserve"> </w:t>
      </w:r>
      <w:r>
        <w:rPr>
          <w:spacing w:val="-1"/>
        </w:rPr>
        <w:t>from</w:t>
      </w:r>
      <w:r>
        <w:rPr>
          <w:spacing w:val="16"/>
        </w:rPr>
        <w:t xml:space="preserve"> </w:t>
      </w:r>
      <w:r>
        <w:t>the</w:t>
      </w:r>
      <w:r>
        <w:rPr>
          <w:spacing w:val="12"/>
        </w:rPr>
        <w:t xml:space="preserve"> </w:t>
      </w:r>
      <w:r>
        <w:rPr>
          <w:spacing w:val="-2"/>
        </w:rPr>
        <w:t>Call</w:t>
      </w:r>
      <w:r>
        <w:rPr>
          <w:spacing w:val="12"/>
        </w:rPr>
        <w:t xml:space="preserve"> </w:t>
      </w:r>
      <w:r>
        <w:t>Off</w:t>
      </w:r>
      <w:r>
        <w:rPr>
          <w:spacing w:val="46"/>
        </w:rPr>
        <w:t xml:space="preserve"> </w:t>
      </w:r>
      <w:r>
        <w:rPr>
          <w:spacing w:val="-1"/>
        </w:rPr>
        <w:t>Commencement</w:t>
      </w:r>
      <w:r>
        <w:rPr>
          <w:spacing w:val="31"/>
        </w:rPr>
        <w:t xml:space="preserve"> </w:t>
      </w:r>
      <w:r>
        <w:rPr>
          <w:spacing w:val="-1"/>
        </w:rPr>
        <w:t>Date</w:t>
      </w:r>
      <w:r>
        <w:rPr>
          <w:spacing w:val="29"/>
        </w:rPr>
        <w:t xml:space="preserve"> </w:t>
      </w:r>
      <w:r>
        <w:t>to</w:t>
      </w:r>
      <w:r>
        <w:rPr>
          <w:spacing w:val="29"/>
        </w:rPr>
        <w:t xml:space="preserve"> </w:t>
      </w:r>
      <w:r>
        <w:t>the</w:t>
      </w:r>
      <w:r>
        <w:rPr>
          <w:spacing w:val="31"/>
        </w:rPr>
        <w:t xml:space="preserve"> </w:t>
      </w:r>
      <w:r>
        <w:rPr>
          <w:spacing w:val="-1"/>
        </w:rPr>
        <w:t>end</w:t>
      </w:r>
      <w:r>
        <w:rPr>
          <w:spacing w:val="31"/>
        </w:rPr>
        <w:t xml:space="preserve"> </w:t>
      </w:r>
      <w:r>
        <w:rPr>
          <w:spacing w:val="-2"/>
        </w:rPr>
        <w:t>of</w:t>
      </w:r>
      <w:r>
        <w:rPr>
          <w:spacing w:val="33"/>
        </w:rPr>
        <w:t xml:space="preserve"> </w:t>
      </w:r>
      <w:r>
        <w:t>the</w:t>
      </w:r>
      <w:r>
        <w:rPr>
          <w:spacing w:val="29"/>
        </w:rPr>
        <w:t xml:space="preserve"> </w:t>
      </w:r>
      <w:r>
        <w:rPr>
          <w:spacing w:val="-1"/>
        </w:rPr>
        <w:t>first</w:t>
      </w:r>
      <w:r>
        <w:rPr>
          <w:spacing w:val="33"/>
        </w:rPr>
        <w:t xml:space="preserve"> </w:t>
      </w:r>
      <w:r>
        <w:rPr>
          <w:spacing w:val="-2"/>
        </w:rPr>
        <w:t>Call</w:t>
      </w:r>
      <w:r>
        <w:rPr>
          <w:spacing w:val="31"/>
        </w:rPr>
        <w:t xml:space="preserve"> </w:t>
      </w:r>
      <w:r>
        <w:rPr>
          <w:spacing w:val="-1"/>
        </w:rPr>
        <w:t>Off</w:t>
      </w:r>
      <w:r>
        <w:rPr>
          <w:spacing w:val="34"/>
        </w:rPr>
        <w:t xml:space="preserve"> </w:t>
      </w:r>
      <w:r>
        <w:rPr>
          <w:spacing w:val="-2"/>
        </w:rPr>
        <w:t>Contract</w:t>
      </w:r>
      <w:r>
        <w:rPr>
          <w:spacing w:val="37"/>
        </w:rPr>
        <w:t xml:space="preserve"> </w:t>
      </w:r>
      <w:r>
        <w:rPr>
          <w:spacing w:val="-1"/>
        </w:rPr>
        <w:t>Year,</w:t>
      </w:r>
      <w:r>
        <w:rPr>
          <w:spacing w:val="35"/>
        </w:rPr>
        <w:t xml:space="preserve"> </w:t>
      </w:r>
      <w:r>
        <w:t>a</w:t>
      </w:r>
      <w:r>
        <w:rPr>
          <w:spacing w:val="34"/>
        </w:rPr>
        <w:t xml:space="preserve"> </w:t>
      </w:r>
      <w:r>
        <w:rPr>
          <w:spacing w:val="-2"/>
        </w:rPr>
        <w:t>sum</w:t>
      </w:r>
      <w:r>
        <w:rPr>
          <w:spacing w:val="35"/>
        </w:rPr>
        <w:t xml:space="preserve"> </w:t>
      </w:r>
      <w:r>
        <w:rPr>
          <w:spacing w:val="-1"/>
        </w:rPr>
        <w:t>equal</w:t>
      </w:r>
      <w:r>
        <w:rPr>
          <w:spacing w:val="33"/>
        </w:rPr>
        <w:t xml:space="preserve"> </w:t>
      </w:r>
      <w:r>
        <w:t>to</w:t>
      </w:r>
      <w:r>
        <w:rPr>
          <w:spacing w:val="31"/>
        </w:rPr>
        <w:t xml:space="preserve"> </w:t>
      </w:r>
      <w:r>
        <w:rPr>
          <w:spacing w:val="-1"/>
        </w:rPr>
        <w:t>the</w:t>
      </w:r>
      <w:r>
        <w:rPr>
          <w:spacing w:val="34"/>
        </w:rPr>
        <w:t xml:space="preserve"> </w:t>
      </w:r>
      <w:r>
        <w:rPr>
          <w:spacing w:val="-1"/>
        </w:rPr>
        <w:t>Estimated</w:t>
      </w:r>
      <w:r>
        <w:rPr>
          <w:spacing w:val="32"/>
        </w:rPr>
        <w:t xml:space="preserve"> </w:t>
      </w:r>
      <w:r>
        <w:rPr>
          <w:spacing w:val="-1"/>
        </w:rPr>
        <w:t>Year</w:t>
      </w:r>
      <w:r>
        <w:rPr>
          <w:spacing w:val="35"/>
        </w:rPr>
        <w:t xml:space="preserve"> </w:t>
      </w:r>
      <w:r>
        <w:t>1</w:t>
      </w:r>
      <w:r>
        <w:rPr>
          <w:spacing w:val="34"/>
        </w:rPr>
        <w:t xml:space="preserve"> </w:t>
      </w:r>
      <w:r>
        <w:rPr>
          <w:spacing w:val="-2"/>
        </w:rPr>
        <w:t>Call</w:t>
      </w:r>
      <w:r>
        <w:rPr>
          <w:spacing w:val="33"/>
        </w:rPr>
        <w:t xml:space="preserve"> </w:t>
      </w:r>
      <w:r>
        <w:rPr>
          <w:spacing w:val="-1"/>
        </w:rPr>
        <w:t>Off</w:t>
      </w:r>
      <w:r>
        <w:rPr>
          <w:spacing w:val="35"/>
        </w:rPr>
        <w:t xml:space="preserve"> </w:t>
      </w:r>
      <w:r>
        <w:rPr>
          <w:spacing w:val="-2"/>
        </w:rPr>
        <w:t>Contract</w:t>
      </w:r>
      <w:r>
        <w:rPr>
          <w:spacing w:val="54"/>
        </w:rPr>
        <w:t xml:space="preserve"> </w:t>
      </w:r>
      <w:r>
        <w:rPr>
          <w:spacing w:val="-1"/>
        </w:rPr>
        <w:t>Charges;</w:t>
      </w:r>
    </w:p>
    <w:p w:rsidR="008918FA" w:rsidRDefault="008918FA" w:rsidP="008918FA">
      <w:pPr>
        <w:pStyle w:val="BodyText"/>
        <w:numPr>
          <w:ilvl w:val="3"/>
          <w:numId w:val="66"/>
        </w:numPr>
        <w:tabs>
          <w:tab w:val="left" w:pos="2593"/>
        </w:tabs>
        <w:ind w:left="2592" w:right="114"/>
        <w:jc w:val="both"/>
      </w:pPr>
      <w:r>
        <w:rPr>
          <w:spacing w:val="-1"/>
        </w:rPr>
        <w:t>in</w:t>
      </w:r>
      <w:r>
        <w:rPr>
          <w:spacing w:val="8"/>
        </w:rPr>
        <w:t xml:space="preserve"> </w:t>
      </w:r>
      <w:r>
        <w:rPr>
          <w:spacing w:val="-1"/>
        </w:rPr>
        <w:t>relation</w:t>
      </w:r>
      <w:r>
        <w:rPr>
          <w:spacing w:val="8"/>
        </w:rPr>
        <w:t xml:space="preserve"> </w:t>
      </w:r>
      <w:r>
        <w:t>to</w:t>
      </w:r>
      <w:r>
        <w:rPr>
          <w:spacing w:val="8"/>
        </w:rPr>
        <w:t xml:space="preserve"> </w:t>
      </w:r>
      <w:r>
        <w:rPr>
          <w:spacing w:val="-1"/>
        </w:rPr>
        <w:t>any</w:t>
      </w:r>
      <w:r>
        <w:rPr>
          <w:spacing w:val="6"/>
        </w:rPr>
        <w:t xml:space="preserve"> </w:t>
      </w:r>
      <w:r>
        <w:rPr>
          <w:spacing w:val="-1"/>
        </w:rPr>
        <w:t>Customer</w:t>
      </w:r>
      <w:r>
        <w:rPr>
          <w:spacing w:val="9"/>
        </w:rPr>
        <w:t xml:space="preserve"> </w:t>
      </w:r>
      <w:r>
        <w:rPr>
          <w:spacing w:val="-1"/>
        </w:rPr>
        <w:t>Causes</w:t>
      </w:r>
      <w:r>
        <w:rPr>
          <w:spacing w:val="8"/>
        </w:rPr>
        <w:t xml:space="preserve"> </w:t>
      </w:r>
      <w:r>
        <w:rPr>
          <w:spacing w:val="-2"/>
        </w:rPr>
        <w:t>occurring</w:t>
      </w:r>
      <w:r>
        <w:rPr>
          <w:spacing w:val="10"/>
        </w:rPr>
        <w:t xml:space="preserve"> </w:t>
      </w:r>
      <w:r>
        <w:rPr>
          <w:spacing w:val="-1"/>
        </w:rPr>
        <w:t>in</w:t>
      </w:r>
      <w:r>
        <w:rPr>
          <w:spacing w:val="8"/>
        </w:rPr>
        <w:t xml:space="preserve"> </w:t>
      </w:r>
      <w:r>
        <w:rPr>
          <w:spacing w:val="-1"/>
        </w:rPr>
        <w:t>each</w:t>
      </w:r>
      <w:r>
        <w:rPr>
          <w:spacing w:val="24"/>
        </w:rPr>
        <w:t xml:space="preserve"> </w:t>
      </w:r>
      <w:r>
        <w:rPr>
          <w:spacing w:val="-1"/>
        </w:rPr>
        <w:t>subsequent</w:t>
      </w:r>
      <w:r>
        <w:rPr>
          <w:spacing w:val="19"/>
        </w:rPr>
        <w:t xml:space="preserve"> </w:t>
      </w:r>
      <w:r>
        <w:rPr>
          <w:spacing w:val="-2"/>
        </w:rPr>
        <w:t>Call</w:t>
      </w:r>
      <w:r>
        <w:rPr>
          <w:spacing w:val="17"/>
        </w:rPr>
        <w:t xml:space="preserve"> </w:t>
      </w:r>
      <w:r>
        <w:rPr>
          <w:spacing w:val="-1"/>
        </w:rPr>
        <w:t>Off</w:t>
      </w:r>
      <w:r>
        <w:rPr>
          <w:spacing w:val="21"/>
        </w:rPr>
        <w:t xml:space="preserve"> </w:t>
      </w:r>
      <w:r>
        <w:rPr>
          <w:spacing w:val="-2"/>
        </w:rPr>
        <w:t>Contract</w:t>
      </w:r>
      <w:r>
        <w:rPr>
          <w:spacing w:val="19"/>
        </w:rPr>
        <w:t xml:space="preserve"> </w:t>
      </w:r>
      <w:r>
        <w:rPr>
          <w:spacing w:val="-1"/>
        </w:rPr>
        <w:t>Year</w:t>
      </w:r>
      <w:r>
        <w:rPr>
          <w:spacing w:val="19"/>
        </w:rPr>
        <w:t xml:space="preserve"> </w:t>
      </w:r>
      <w:r>
        <w:rPr>
          <w:spacing w:val="-1"/>
        </w:rPr>
        <w:t>that</w:t>
      </w:r>
      <w:r>
        <w:rPr>
          <w:spacing w:val="19"/>
        </w:rPr>
        <w:t xml:space="preserve"> </w:t>
      </w:r>
      <w:r>
        <w:rPr>
          <w:spacing w:val="-1"/>
        </w:rPr>
        <w:t>commences</w:t>
      </w:r>
      <w:r>
        <w:rPr>
          <w:spacing w:val="18"/>
        </w:rPr>
        <w:t xml:space="preserve"> </w:t>
      </w:r>
      <w:r>
        <w:rPr>
          <w:spacing w:val="-1"/>
        </w:rPr>
        <w:t>during</w:t>
      </w:r>
      <w:r>
        <w:rPr>
          <w:spacing w:val="20"/>
        </w:rPr>
        <w:t xml:space="preserve"> </w:t>
      </w:r>
      <w:r>
        <w:rPr>
          <w:spacing w:val="-1"/>
        </w:rPr>
        <w:t>the</w:t>
      </w:r>
      <w:r>
        <w:rPr>
          <w:spacing w:val="42"/>
        </w:rPr>
        <w:t xml:space="preserve"> </w:t>
      </w:r>
      <w:r>
        <w:rPr>
          <w:spacing w:val="-1"/>
        </w:rPr>
        <w:t>remainder</w:t>
      </w:r>
      <w:r>
        <w:rPr>
          <w:spacing w:val="26"/>
        </w:rPr>
        <w:t xml:space="preserve"> </w:t>
      </w:r>
      <w:r>
        <w:rPr>
          <w:spacing w:val="-2"/>
        </w:rPr>
        <w:t>of</w:t>
      </w:r>
      <w:r>
        <w:rPr>
          <w:spacing w:val="28"/>
        </w:rPr>
        <w:t xml:space="preserve"> </w:t>
      </w:r>
      <w:r>
        <w:t>the</w:t>
      </w:r>
      <w:r>
        <w:rPr>
          <w:spacing w:val="27"/>
        </w:rPr>
        <w:t xml:space="preserve"> </w:t>
      </w:r>
      <w:r>
        <w:rPr>
          <w:spacing w:val="-2"/>
        </w:rPr>
        <w:t>Call</w:t>
      </w:r>
      <w:r>
        <w:rPr>
          <w:spacing w:val="26"/>
        </w:rPr>
        <w:t xml:space="preserve"> </w:t>
      </w:r>
      <w:r>
        <w:rPr>
          <w:spacing w:val="-2"/>
        </w:rPr>
        <w:t>Off</w:t>
      </w:r>
      <w:r>
        <w:rPr>
          <w:spacing w:val="28"/>
        </w:rPr>
        <w:t xml:space="preserve"> </w:t>
      </w:r>
      <w:r>
        <w:rPr>
          <w:spacing w:val="-1"/>
        </w:rPr>
        <w:t>Contract</w:t>
      </w:r>
      <w:r>
        <w:rPr>
          <w:spacing w:val="26"/>
        </w:rPr>
        <w:t xml:space="preserve"> </w:t>
      </w:r>
      <w:r>
        <w:rPr>
          <w:spacing w:val="-1"/>
        </w:rPr>
        <w:t>Period,</w:t>
      </w:r>
      <w:r>
        <w:rPr>
          <w:spacing w:val="27"/>
        </w:rPr>
        <w:t xml:space="preserve"> </w:t>
      </w:r>
      <w:r>
        <w:t>a</w:t>
      </w:r>
      <w:r>
        <w:rPr>
          <w:spacing w:val="27"/>
        </w:rPr>
        <w:t xml:space="preserve"> </w:t>
      </w:r>
      <w:r>
        <w:rPr>
          <w:spacing w:val="-1"/>
        </w:rPr>
        <w:t>sum</w:t>
      </w:r>
      <w:r>
        <w:rPr>
          <w:spacing w:val="28"/>
        </w:rPr>
        <w:t xml:space="preserve"> </w:t>
      </w:r>
      <w:r>
        <w:rPr>
          <w:spacing w:val="-1"/>
        </w:rPr>
        <w:t>equal</w:t>
      </w:r>
      <w:r>
        <w:rPr>
          <w:spacing w:val="26"/>
        </w:rPr>
        <w:t xml:space="preserve"> </w:t>
      </w:r>
      <w:r>
        <w:t>to</w:t>
      </w:r>
      <w:r>
        <w:rPr>
          <w:spacing w:val="24"/>
        </w:rPr>
        <w:t xml:space="preserve"> </w:t>
      </w:r>
      <w:r>
        <w:t>the</w:t>
      </w:r>
      <w:r>
        <w:rPr>
          <w:spacing w:val="25"/>
        </w:rPr>
        <w:t xml:space="preserve"> </w:t>
      </w:r>
      <w:r>
        <w:rPr>
          <w:spacing w:val="-2"/>
        </w:rPr>
        <w:t>Call</w:t>
      </w:r>
      <w:r>
        <w:rPr>
          <w:spacing w:val="38"/>
        </w:rPr>
        <w:t xml:space="preserve"> </w:t>
      </w:r>
      <w:r>
        <w:t>Off</w:t>
      </w:r>
      <w:r>
        <w:rPr>
          <w:spacing w:val="40"/>
        </w:rPr>
        <w:t xml:space="preserve"> </w:t>
      </w:r>
      <w:r>
        <w:rPr>
          <w:spacing w:val="-1"/>
        </w:rPr>
        <w:t>Contract</w:t>
      </w:r>
      <w:r>
        <w:rPr>
          <w:spacing w:val="40"/>
        </w:rPr>
        <w:t xml:space="preserve"> </w:t>
      </w:r>
      <w:r>
        <w:rPr>
          <w:spacing w:val="-2"/>
        </w:rPr>
        <w:t>Charges</w:t>
      </w:r>
      <w:r>
        <w:rPr>
          <w:spacing w:val="39"/>
        </w:rPr>
        <w:t xml:space="preserve"> </w:t>
      </w:r>
      <w:r>
        <w:rPr>
          <w:spacing w:val="-2"/>
        </w:rPr>
        <w:t>payable</w:t>
      </w:r>
      <w:r>
        <w:rPr>
          <w:spacing w:val="40"/>
        </w:rPr>
        <w:t xml:space="preserve"> </w:t>
      </w:r>
      <w:r>
        <w:t>to</w:t>
      </w:r>
      <w:r>
        <w:rPr>
          <w:spacing w:val="38"/>
        </w:rPr>
        <w:t xml:space="preserve"> </w:t>
      </w:r>
      <w:r>
        <w:t>the</w:t>
      </w:r>
      <w:r>
        <w:rPr>
          <w:spacing w:val="39"/>
        </w:rPr>
        <w:t xml:space="preserve"> </w:t>
      </w:r>
      <w:r>
        <w:rPr>
          <w:spacing w:val="-2"/>
        </w:rPr>
        <w:t>Supplier</w:t>
      </w:r>
      <w:r>
        <w:rPr>
          <w:spacing w:val="41"/>
        </w:rPr>
        <w:t xml:space="preserve"> </w:t>
      </w:r>
      <w:r>
        <w:rPr>
          <w:spacing w:val="-1"/>
        </w:rPr>
        <w:t>under</w:t>
      </w:r>
      <w:r>
        <w:rPr>
          <w:spacing w:val="40"/>
        </w:rPr>
        <w:t xml:space="preserve"> </w:t>
      </w:r>
      <w:r>
        <w:rPr>
          <w:spacing w:val="-1"/>
        </w:rPr>
        <w:t>this</w:t>
      </w:r>
      <w:r>
        <w:rPr>
          <w:spacing w:val="51"/>
        </w:rPr>
        <w:t xml:space="preserve"> </w:t>
      </w:r>
      <w:r>
        <w:rPr>
          <w:spacing w:val="-2"/>
        </w:rPr>
        <w:t>Call</w:t>
      </w:r>
      <w:r>
        <w:t xml:space="preserve"> </w:t>
      </w:r>
      <w:r>
        <w:rPr>
          <w:spacing w:val="-1"/>
        </w:rPr>
        <w:t>Off</w:t>
      </w:r>
      <w:r>
        <w:rPr>
          <w:spacing w:val="2"/>
        </w:rPr>
        <w:t xml:space="preserve"> </w:t>
      </w:r>
      <w:r>
        <w:rPr>
          <w:spacing w:val="-1"/>
        </w:rPr>
        <w:t>Contract</w:t>
      </w:r>
      <w:r>
        <w:t xml:space="preserve"> </w:t>
      </w:r>
      <w:r>
        <w:rPr>
          <w:spacing w:val="-1"/>
        </w:rPr>
        <w:t>in</w:t>
      </w:r>
      <w:r>
        <w:rPr>
          <w:spacing w:val="-2"/>
        </w:rPr>
        <w:t xml:space="preserve"> </w:t>
      </w:r>
      <w:r>
        <w:t xml:space="preserve">the </w:t>
      </w:r>
      <w:r>
        <w:rPr>
          <w:spacing w:val="-2"/>
        </w:rPr>
        <w:t>previous</w:t>
      </w:r>
      <w:r>
        <w:rPr>
          <w:spacing w:val="1"/>
        </w:rPr>
        <w:t xml:space="preserve"> </w:t>
      </w:r>
      <w:r>
        <w:rPr>
          <w:spacing w:val="-2"/>
        </w:rPr>
        <w:t>Call</w:t>
      </w:r>
      <w:r>
        <w:t xml:space="preserve"> </w:t>
      </w:r>
      <w:r>
        <w:rPr>
          <w:spacing w:val="-1"/>
        </w:rPr>
        <w:t>Off</w:t>
      </w:r>
      <w:r>
        <w:rPr>
          <w:spacing w:val="2"/>
        </w:rPr>
        <w:t xml:space="preserve"> </w:t>
      </w:r>
      <w:r>
        <w:rPr>
          <w:spacing w:val="-1"/>
        </w:rPr>
        <w:t>Contract</w:t>
      </w:r>
      <w:r>
        <w:t xml:space="preserve"> </w:t>
      </w:r>
      <w:r>
        <w:rPr>
          <w:spacing w:val="-1"/>
        </w:rPr>
        <w:t>Year;</w:t>
      </w:r>
      <w:r>
        <w:t xml:space="preserve"> </w:t>
      </w:r>
      <w:r>
        <w:rPr>
          <w:spacing w:val="-1"/>
        </w:rPr>
        <w:t>and</w:t>
      </w:r>
    </w:p>
    <w:p w:rsidR="008918FA" w:rsidRDefault="008918FA" w:rsidP="008918FA">
      <w:pPr>
        <w:pStyle w:val="BodyText"/>
        <w:numPr>
          <w:ilvl w:val="3"/>
          <w:numId w:val="66"/>
        </w:numPr>
        <w:tabs>
          <w:tab w:val="left" w:pos="2593"/>
        </w:tabs>
        <w:spacing w:before="121"/>
        <w:ind w:left="2592" w:right="114"/>
        <w:jc w:val="both"/>
      </w:pPr>
      <w:r>
        <w:rPr>
          <w:spacing w:val="-1"/>
        </w:rPr>
        <w:t>in</w:t>
      </w:r>
      <w:r>
        <w:rPr>
          <w:spacing w:val="24"/>
        </w:rPr>
        <w:t xml:space="preserve"> </w:t>
      </w:r>
      <w:r>
        <w:rPr>
          <w:spacing w:val="-1"/>
        </w:rPr>
        <w:t>relation</w:t>
      </w:r>
      <w:r>
        <w:rPr>
          <w:spacing w:val="24"/>
        </w:rPr>
        <w:t xml:space="preserve"> </w:t>
      </w:r>
      <w:r>
        <w:t>to</w:t>
      </w:r>
      <w:r>
        <w:rPr>
          <w:spacing w:val="25"/>
        </w:rPr>
        <w:t xml:space="preserve"> </w:t>
      </w:r>
      <w:r>
        <w:rPr>
          <w:spacing w:val="-1"/>
        </w:rPr>
        <w:t>any</w:t>
      </w:r>
      <w:r>
        <w:rPr>
          <w:spacing w:val="22"/>
        </w:rPr>
        <w:t xml:space="preserve"> </w:t>
      </w:r>
      <w:r>
        <w:rPr>
          <w:spacing w:val="-1"/>
        </w:rPr>
        <w:t>Customer</w:t>
      </w:r>
      <w:r>
        <w:rPr>
          <w:spacing w:val="26"/>
        </w:rPr>
        <w:t xml:space="preserve"> </w:t>
      </w:r>
      <w:r>
        <w:rPr>
          <w:spacing w:val="-1"/>
        </w:rPr>
        <w:t>Causes</w:t>
      </w:r>
      <w:r>
        <w:rPr>
          <w:spacing w:val="22"/>
        </w:rPr>
        <w:t xml:space="preserve"> </w:t>
      </w:r>
      <w:r>
        <w:rPr>
          <w:spacing w:val="-2"/>
        </w:rPr>
        <w:t>occurring</w:t>
      </w:r>
      <w:r>
        <w:rPr>
          <w:spacing w:val="27"/>
        </w:rPr>
        <w:t xml:space="preserve"> </w:t>
      </w:r>
      <w:r>
        <w:rPr>
          <w:spacing w:val="-2"/>
        </w:rPr>
        <w:t>in</w:t>
      </w:r>
      <w:r>
        <w:rPr>
          <w:spacing w:val="24"/>
        </w:rPr>
        <w:t xml:space="preserve"> </w:t>
      </w:r>
      <w:r>
        <w:rPr>
          <w:spacing w:val="-1"/>
        </w:rPr>
        <w:t>each</w:t>
      </w:r>
      <w:r>
        <w:rPr>
          <w:spacing w:val="25"/>
        </w:rPr>
        <w:t xml:space="preserve"> </w:t>
      </w:r>
      <w:r>
        <w:rPr>
          <w:spacing w:val="-2"/>
        </w:rPr>
        <w:t>Call</w:t>
      </w:r>
      <w:r>
        <w:rPr>
          <w:spacing w:val="24"/>
        </w:rPr>
        <w:t xml:space="preserve"> </w:t>
      </w:r>
      <w:r>
        <w:rPr>
          <w:spacing w:val="-1"/>
        </w:rPr>
        <w:t>Off</w:t>
      </w:r>
      <w:r>
        <w:rPr>
          <w:spacing w:val="41"/>
        </w:rPr>
        <w:t xml:space="preserve"> </w:t>
      </w:r>
      <w:r>
        <w:rPr>
          <w:spacing w:val="-1"/>
        </w:rPr>
        <w:t>Contract</w:t>
      </w:r>
      <w:r>
        <w:rPr>
          <w:spacing w:val="47"/>
        </w:rPr>
        <w:t xml:space="preserve"> </w:t>
      </w:r>
      <w:r>
        <w:rPr>
          <w:spacing w:val="-1"/>
        </w:rPr>
        <w:t>Year</w:t>
      </w:r>
      <w:r>
        <w:rPr>
          <w:spacing w:val="47"/>
        </w:rPr>
        <w:t xml:space="preserve"> </w:t>
      </w:r>
      <w:r>
        <w:rPr>
          <w:spacing w:val="-1"/>
        </w:rPr>
        <w:t>that</w:t>
      </w:r>
      <w:r>
        <w:rPr>
          <w:spacing w:val="47"/>
        </w:rPr>
        <w:t xml:space="preserve"> </w:t>
      </w:r>
      <w:r>
        <w:rPr>
          <w:spacing w:val="-1"/>
        </w:rPr>
        <w:t>commences</w:t>
      </w:r>
      <w:r>
        <w:rPr>
          <w:spacing w:val="46"/>
        </w:rPr>
        <w:t xml:space="preserve"> </w:t>
      </w:r>
      <w:r>
        <w:rPr>
          <w:spacing w:val="-1"/>
        </w:rPr>
        <w:t>after</w:t>
      </w:r>
      <w:r>
        <w:rPr>
          <w:spacing w:val="47"/>
        </w:rPr>
        <w:t xml:space="preserve"> </w:t>
      </w:r>
      <w:r>
        <w:t>the</w:t>
      </w:r>
      <w:r>
        <w:rPr>
          <w:spacing w:val="46"/>
        </w:rPr>
        <w:t xml:space="preserve"> </w:t>
      </w:r>
      <w:r>
        <w:rPr>
          <w:spacing w:val="-1"/>
        </w:rPr>
        <w:t>end</w:t>
      </w:r>
      <w:r>
        <w:rPr>
          <w:spacing w:val="47"/>
        </w:rPr>
        <w:t xml:space="preserve"> </w:t>
      </w:r>
      <w:r>
        <w:rPr>
          <w:spacing w:val="-1"/>
        </w:rPr>
        <w:t>of</w:t>
      </w:r>
      <w:r>
        <w:rPr>
          <w:spacing w:val="47"/>
        </w:rPr>
        <w:t xml:space="preserve"> </w:t>
      </w:r>
      <w:r>
        <w:t>the</w:t>
      </w:r>
      <w:r>
        <w:rPr>
          <w:spacing w:val="46"/>
        </w:rPr>
        <w:t xml:space="preserve"> </w:t>
      </w:r>
      <w:r>
        <w:rPr>
          <w:spacing w:val="-2"/>
        </w:rPr>
        <w:t>Call</w:t>
      </w:r>
      <w:r>
        <w:rPr>
          <w:spacing w:val="45"/>
        </w:rPr>
        <w:t xml:space="preserve"> </w:t>
      </w:r>
      <w:r>
        <w:rPr>
          <w:spacing w:val="-1"/>
        </w:rPr>
        <w:t>Off</w:t>
      </w:r>
      <w:r>
        <w:rPr>
          <w:spacing w:val="37"/>
        </w:rPr>
        <w:t xml:space="preserve"> </w:t>
      </w:r>
      <w:r>
        <w:rPr>
          <w:spacing w:val="-1"/>
        </w:rPr>
        <w:t>Contract</w:t>
      </w:r>
      <w:r>
        <w:rPr>
          <w:spacing w:val="19"/>
        </w:rPr>
        <w:t xml:space="preserve"> </w:t>
      </w:r>
      <w:r>
        <w:rPr>
          <w:spacing w:val="-1"/>
        </w:rPr>
        <w:t>Period,</w:t>
      </w:r>
      <w:r>
        <w:rPr>
          <w:spacing w:val="17"/>
        </w:rPr>
        <w:t xml:space="preserve"> </w:t>
      </w:r>
      <w:r>
        <w:t>a</w:t>
      </w:r>
      <w:r>
        <w:rPr>
          <w:spacing w:val="17"/>
        </w:rPr>
        <w:t xml:space="preserve"> </w:t>
      </w:r>
      <w:r>
        <w:rPr>
          <w:spacing w:val="-2"/>
        </w:rPr>
        <w:t>sum</w:t>
      </w:r>
      <w:r>
        <w:rPr>
          <w:spacing w:val="16"/>
        </w:rPr>
        <w:t xml:space="preserve"> </w:t>
      </w:r>
      <w:r>
        <w:rPr>
          <w:spacing w:val="-1"/>
        </w:rPr>
        <w:t>equal</w:t>
      </w:r>
      <w:r>
        <w:rPr>
          <w:spacing w:val="17"/>
        </w:rPr>
        <w:t xml:space="preserve"> </w:t>
      </w:r>
      <w:r>
        <w:rPr>
          <w:spacing w:val="-1"/>
        </w:rPr>
        <w:t>to</w:t>
      </w:r>
      <w:r>
        <w:rPr>
          <w:spacing w:val="17"/>
        </w:rPr>
        <w:t xml:space="preserve"> </w:t>
      </w:r>
      <w:r>
        <w:t>the</w:t>
      </w:r>
      <w:r>
        <w:rPr>
          <w:spacing w:val="15"/>
        </w:rPr>
        <w:t xml:space="preserve"> </w:t>
      </w:r>
      <w:r>
        <w:rPr>
          <w:spacing w:val="-2"/>
        </w:rPr>
        <w:t>Call</w:t>
      </w:r>
      <w:r>
        <w:rPr>
          <w:spacing w:val="17"/>
        </w:rPr>
        <w:t xml:space="preserve"> </w:t>
      </w:r>
      <w:r>
        <w:rPr>
          <w:spacing w:val="-1"/>
        </w:rPr>
        <w:t>Off</w:t>
      </w:r>
      <w:r>
        <w:rPr>
          <w:spacing w:val="19"/>
        </w:rPr>
        <w:t xml:space="preserve"> </w:t>
      </w:r>
      <w:r>
        <w:rPr>
          <w:spacing w:val="-1"/>
        </w:rPr>
        <w:t>Contract</w:t>
      </w:r>
      <w:r>
        <w:rPr>
          <w:spacing w:val="19"/>
        </w:rPr>
        <w:t xml:space="preserve"> </w:t>
      </w:r>
      <w:r>
        <w:rPr>
          <w:spacing w:val="-1"/>
        </w:rPr>
        <w:t>Charges</w:t>
      </w:r>
      <w:r>
        <w:rPr>
          <w:spacing w:val="28"/>
        </w:rPr>
        <w:t xml:space="preserve"> </w:t>
      </w:r>
      <w:r>
        <w:rPr>
          <w:spacing w:val="-2"/>
        </w:rPr>
        <w:t>payable</w:t>
      </w:r>
      <w:r>
        <w:rPr>
          <w:spacing w:val="22"/>
        </w:rPr>
        <w:t xml:space="preserve"> </w:t>
      </w:r>
      <w:r>
        <w:t>to</w:t>
      </w:r>
      <w:r>
        <w:rPr>
          <w:spacing w:val="22"/>
        </w:rPr>
        <w:t xml:space="preserve"> </w:t>
      </w:r>
      <w:r>
        <w:t>the</w:t>
      </w:r>
      <w:r>
        <w:rPr>
          <w:spacing w:val="22"/>
        </w:rPr>
        <w:t xml:space="preserve"> </w:t>
      </w:r>
      <w:r>
        <w:rPr>
          <w:spacing w:val="-2"/>
        </w:rPr>
        <w:t>Supplier</w:t>
      </w:r>
      <w:r>
        <w:rPr>
          <w:spacing w:val="24"/>
        </w:rPr>
        <w:t xml:space="preserve"> </w:t>
      </w:r>
      <w:r>
        <w:rPr>
          <w:spacing w:val="-1"/>
        </w:rPr>
        <w:t>under</w:t>
      </w:r>
      <w:r>
        <w:rPr>
          <w:spacing w:val="23"/>
        </w:rPr>
        <w:t xml:space="preserve"> </w:t>
      </w:r>
      <w:r>
        <w:rPr>
          <w:spacing w:val="-1"/>
        </w:rPr>
        <w:t>this</w:t>
      </w:r>
      <w:r>
        <w:rPr>
          <w:spacing w:val="22"/>
        </w:rPr>
        <w:t xml:space="preserve"> </w:t>
      </w:r>
      <w:r>
        <w:rPr>
          <w:spacing w:val="-2"/>
        </w:rPr>
        <w:t>Call</w:t>
      </w:r>
      <w:r>
        <w:rPr>
          <w:spacing w:val="21"/>
        </w:rPr>
        <w:t xml:space="preserve"> </w:t>
      </w:r>
      <w:r>
        <w:rPr>
          <w:spacing w:val="-1"/>
        </w:rPr>
        <w:t>Off</w:t>
      </w:r>
      <w:r>
        <w:rPr>
          <w:spacing w:val="23"/>
        </w:rPr>
        <w:t xml:space="preserve"> </w:t>
      </w:r>
      <w:r>
        <w:rPr>
          <w:spacing w:val="-2"/>
        </w:rPr>
        <w:t>Contract</w:t>
      </w:r>
      <w:r>
        <w:rPr>
          <w:spacing w:val="24"/>
        </w:rPr>
        <w:t xml:space="preserve"> </w:t>
      </w:r>
      <w:r>
        <w:rPr>
          <w:spacing w:val="-1"/>
        </w:rPr>
        <w:t>in</w:t>
      </w:r>
      <w:r>
        <w:rPr>
          <w:spacing w:val="22"/>
        </w:rPr>
        <w:t xml:space="preserve"> </w:t>
      </w:r>
      <w:r>
        <w:t>the</w:t>
      </w:r>
      <w:r>
        <w:rPr>
          <w:spacing w:val="22"/>
        </w:rPr>
        <w:t xml:space="preserve"> </w:t>
      </w:r>
      <w:r>
        <w:rPr>
          <w:spacing w:val="-2"/>
        </w:rPr>
        <w:t>last</w:t>
      </w:r>
      <w:r>
        <w:rPr>
          <w:spacing w:val="61"/>
        </w:rPr>
        <w:t xml:space="preserve"> </w:t>
      </w:r>
      <w:r>
        <w:rPr>
          <w:spacing w:val="-2"/>
        </w:rPr>
        <w:t>Call</w:t>
      </w:r>
      <w:r>
        <w:rPr>
          <w:spacing w:val="2"/>
        </w:rPr>
        <w:t xml:space="preserve"> </w:t>
      </w:r>
      <w:r>
        <w:rPr>
          <w:spacing w:val="-1"/>
        </w:rPr>
        <w:t>Off</w:t>
      </w:r>
      <w:r>
        <w:rPr>
          <w:spacing w:val="6"/>
        </w:rPr>
        <w:t xml:space="preserve"> </w:t>
      </w:r>
      <w:r>
        <w:rPr>
          <w:spacing w:val="-2"/>
        </w:rPr>
        <w:t>Contract</w:t>
      </w:r>
      <w:r>
        <w:rPr>
          <w:spacing w:val="4"/>
        </w:rPr>
        <w:t xml:space="preserve"> </w:t>
      </w:r>
      <w:r>
        <w:rPr>
          <w:spacing w:val="-1"/>
        </w:rPr>
        <w:t>Year</w:t>
      </w:r>
      <w:r>
        <w:rPr>
          <w:spacing w:val="2"/>
        </w:rPr>
        <w:t xml:space="preserve"> </w:t>
      </w:r>
      <w:r>
        <w:rPr>
          <w:spacing w:val="-2"/>
        </w:rPr>
        <w:t>commencing</w:t>
      </w:r>
      <w:r>
        <w:rPr>
          <w:spacing w:val="5"/>
        </w:rPr>
        <w:t xml:space="preserve"> </w:t>
      </w:r>
      <w:r>
        <w:rPr>
          <w:spacing w:val="-2"/>
        </w:rPr>
        <w:t>during</w:t>
      </w:r>
      <w:r>
        <w:rPr>
          <w:spacing w:val="5"/>
        </w:rPr>
        <w:t xml:space="preserve"> </w:t>
      </w:r>
      <w:r>
        <w:t xml:space="preserve">the </w:t>
      </w:r>
      <w:r>
        <w:rPr>
          <w:spacing w:val="-2"/>
        </w:rPr>
        <w:t>Call</w:t>
      </w:r>
      <w:r>
        <w:rPr>
          <w:spacing w:val="2"/>
        </w:rPr>
        <w:t xml:space="preserve"> </w:t>
      </w:r>
      <w:r>
        <w:rPr>
          <w:spacing w:val="-1"/>
        </w:rPr>
        <w:t>Off</w:t>
      </w:r>
      <w:r>
        <w:rPr>
          <w:spacing w:val="6"/>
        </w:rPr>
        <w:t xml:space="preserve"> </w:t>
      </w:r>
      <w:r>
        <w:rPr>
          <w:spacing w:val="-2"/>
        </w:rPr>
        <w:t>Contract</w:t>
      </w:r>
      <w:r>
        <w:rPr>
          <w:spacing w:val="72"/>
        </w:rPr>
        <w:t xml:space="preserve"> </w:t>
      </w:r>
      <w:r>
        <w:rPr>
          <w:spacing w:val="-1"/>
        </w:rPr>
        <w:t>Period.</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Heading1"/>
        <w:numPr>
          <w:ilvl w:val="1"/>
          <w:numId w:val="66"/>
        </w:numPr>
        <w:tabs>
          <w:tab w:val="left" w:pos="1253"/>
        </w:tabs>
        <w:spacing w:before="57"/>
        <w:ind w:left="1252" w:hanging="564"/>
        <w:rPr>
          <w:b w:val="0"/>
          <w:bCs w:val="0"/>
        </w:rPr>
      </w:pPr>
      <w:bookmarkStart w:id="247" w:name="37._INSURANCE"/>
      <w:bookmarkStart w:id="248" w:name="_bookmark210"/>
      <w:bookmarkEnd w:id="247"/>
      <w:bookmarkEnd w:id="248"/>
      <w:r>
        <w:rPr>
          <w:spacing w:val="-1"/>
        </w:rPr>
        <w:t>Non-recoverable</w:t>
      </w:r>
      <w:r>
        <w:t xml:space="preserve"> </w:t>
      </w:r>
      <w:r>
        <w:rPr>
          <w:spacing w:val="-2"/>
        </w:rPr>
        <w:t>Losses</w:t>
      </w:r>
    </w:p>
    <w:p w:rsidR="008918FA" w:rsidRDefault="008918FA" w:rsidP="008918FA">
      <w:pPr>
        <w:pStyle w:val="BodyText"/>
        <w:numPr>
          <w:ilvl w:val="2"/>
          <w:numId w:val="66"/>
        </w:numPr>
        <w:tabs>
          <w:tab w:val="left" w:pos="2247"/>
        </w:tabs>
        <w:spacing w:before="121"/>
        <w:ind w:left="2246" w:right="115"/>
      </w:pPr>
      <w:r>
        <w:rPr>
          <w:spacing w:val="-1"/>
        </w:rPr>
        <w:t>Subject</w:t>
      </w:r>
      <w:r>
        <w:rPr>
          <w:spacing w:val="9"/>
        </w:rPr>
        <w:t xml:space="preserve"> </w:t>
      </w:r>
      <w:r>
        <w:t>to</w:t>
      </w:r>
      <w:r>
        <w:rPr>
          <w:spacing w:val="7"/>
        </w:rPr>
        <w:t xml:space="preserve"> </w:t>
      </w:r>
      <w:r>
        <w:rPr>
          <w:spacing w:val="-2"/>
        </w:rPr>
        <w:t>Clause</w:t>
      </w:r>
      <w:r>
        <w:rPr>
          <w:spacing w:val="2"/>
        </w:rPr>
        <w:t xml:space="preserve"> </w:t>
      </w:r>
      <w:hyperlink w:anchor="_bookmark201" w:history="1">
        <w:r>
          <w:rPr>
            <w:spacing w:val="-1"/>
          </w:rPr>
          <w:t>36.1</w:t>
        </w:r>
      </w:hyperlink>
      <w:r>
        <w:rPr>
          <w:spacing w:val="8"/>
        </w:rPr>
        <w:t xml:space="preserve"> </w:t>
      </w:r>
      <w:r>
        <w:rPr>
          <w:spacing w:val="-2"/>
        </w:rPr>
        <w:t>(Unlimited</w:t>
      </w:r>
      <w:r>
        <w:rPr>
          <w:spacing w:val="10"/>
        </w:rPr>
        <w:t xml:space="preserve"> </w:t>
      </w:r>
      <w:r>
        <w:rPr>
          <w:spacing w:val="-2"/>
        </w:rPr>
        <w:t>Liability)</w:t>
      </w:r>
      <w:r>
        <w:rPr>
          <w:spacing w:val="11"/>
        </w:rPr>
        <w:t xml:space="preserve"> </w:t>
      </w:r>
      <w:r>
        <w:rPr>
          <w:spacing w:val="-1"/>
        </w:rPr>
        <w:t>neither</w:t>
      </w:r>
      <w:r>
        <w:rPr>
          <w:spacing w:val="11"/>
        </w:rPr>
        <w:t xml:space="preserve"> </w:t>
      </w:r>
      <w:r>
        <w:rPr>
          <w:spacing w:val="-1"/>
        </w:rPr>
        <w:t>Party</w:t>
      </w:r>
      <w:r>
        <w:rPr>
          <w:spacing w:val="8"/>
        </w:rPr>
        <w:t xml:space="preserve"> </w:t>
      </w:r>
      <w:r>
        <w:rPr>
          <w:spacing w:val="-1"/>
        </w:rPr>
        <w:t>shall</w:t>
      </w:r>
      <w:r>
        <w:rPr>
          <w:spacing w:val="9"/>
        </w:rPr>
        <w:t xml:space="preserve"> </w:t>
      </w:r>
      <w:r>
        <w:rPr>
          <w:spacing w:val="-1"/>
        </w:rPr>
        <w:t>be</w:t>
      </w:r>
      <w:r>
        <w:rPr>
          <w:spacing w:val="10"/>
        </w:rPr>
        <w:t xml:space="preserve"> </w:t>
      </w:r>
      <w:r>
        <w:rPr>
          <w:spacing w:val="-2"/>
        </w:rPr>
        <w:t>liable</w:t>
      </w:r>
      <w:r>
        <w:rPr>
          <w:spacing w:val="79"/>
        </w:rPr>
        <w:t xml:space="preserve"> </w:t>
      </w:r>
      <w:r>
        <w:t>to</w:t>
      </w:r>
      <w:r>
        <w:rPr>
          <w:spacing w:val="-2"/>
        </w:rPr>
        <w:t xml:space="preserve"> </w:t>
      </w:r>
      <w:r>
        <w:t xml:space="preserve">the </w:t>
      </w:r>
      <w:r>
        <w:rPr>
          <w:spacing w:val="-1"/>
        </w:rPr>
        <w:t>other Party</w:t>
      </w:r>
      <w:r>
        <w:rPr>
          <w:spacing w:val="-4"/>
        </w:rPr>
        <w:t xml:space="preserve"> </w:t>
      </w:r>
      <w:r>
        <w:t>for</w:t>
      </w:r>
      <w:r>
        <w:rPr>
          <w:spacing w:val="-1"/>
        </w:rPr>
        <w:t xml:space="preserve"> </w:t>
      </w:r>
      <w:r>
        <w:rPr>
          <w:spacing w:val="-2"/>
        </w:rPr>
        <w:t>any:</w:t>
      </w:r>
    </w:p>
    <w:p w:rsidR="008918FA" w:rsidRDefault="008918FA" w:rsidP="008918FA">
      <w:pPr>
        <w:pStyle w:val="BodyText"/>
        <w:numPr>
          <w:ilvl w:val="3"/>
          <w:numId w:val="66"/>
        </w:numPr>
        <w:tabs>
          <w:tab w:val="left" w:pos="2955"/>
        </w:tabs>
        <w:ind w:left="2953" w:hanging="707"/>
      </w:pPr>
      <w:r>
        <w:rPr>
          <w:spacing w:val="-1"/>
        </w:rPr>
        <w:t>indirect,</w:t>
      </w:r>
      <w:r>
        <w:t xml:space="preserve"> </w:t>
      </w:r>
      <w:r>
        <w:rPr>
          <w:spacing w:val="-1"/>
        </w:rPr>
        <w:t>special</w:t>
      </w:r>
      <w:r>
        <w:t xml:space="preserve"> </w:t>
      </w:r>
      <w:r>
        <w:rPr>
          <w:spacing w:val="-1"/>
        </w:rPr>
        <w:t>or consequential</w:t>
      </w:r>
      <w:r>
        <w:t xml:space="preserve"> </w:t>
      </w:r>
      <w:r>
        <w:rPr>
          <w:spacing w:val="-1"/>
        </w:rPr>
        <w:t>Loss;</w:t>
      </w:r>
    </w:p>
    <w:p w:rsidR="008918FA" w:rsidRDefault="008918FA" w:rsidP="008918FA">
      <w:pPr>
        <w:pStyle w:val="BodyText"/>
        <w:numPr>
          <w:ilvl w:val="3"/>
          <w:numId w:val="66"/>
        </w:numPr>
        <w:tabs>
          <w:tab w:val="left" w:pos="2954"/>
        </w:tabs>
        <w:spacing w:before="121"/>
        <w:ind w:left="2953" w:right="114" w:hanging="707"/>
        <w:jc w:val="both"/>
      </w:pPr>
      <w:r>
        <w:rPr>
          <w:spacing w:val="-1"/>
        </w:rPr>
        <w:t>loss</w:t>
      </w:r>
      <w:r>
        <w:rPr>
          <w:spacing w:val="17"/>
        </w:rPr>
        <w:t xml:space="preserve"> </w:t>
      </w:r>
      <w:r>
        <w:rPr>
          <w:spacing w:val="-1"/>
        </w:rPr>
        <w:t>of</w:t>
      </w:r>
      <w:r>
        <w:rPr>
          <w:spacing w:val="20"/>
        </w:rPr>
        <w:t xml:space="preserve"> </w:t>
      </w:r>
      <w:r>
        <w:rPr>
          <w:spacing w:val="-1"/>
        </w:rPr>
        <w:t>profits,</w:t>
      </w:r>
      <w:r>
        <w:rPr>
          <w:spacing w:val="17"/>
        </w:rPr>
        <w:t xml:space="preserve"> </w:t>
      </w:r>
      <w:r>
        <w:rPr>
          <w:spacing w:val="-1"/>
        </w:rPr>
        <w:t>turnover,</w:t>
      </w:r>
      <w:r>
        <w:rPr>
          <w:spacing w:val="19"/>
        </w:rPr>
        <w:t xml:space="preserve"> </w:t>
      </w:r>
      <w:r>
        <w:rPr>
          <w:spacing w:val="-1"/>
        </w:rPr>
        <w:t>savings,</w:t>
      </w:r>
      <w:r>
        <w:rPr>
          <w:spacing w:val="18"/>
        </w:rPr>
        <w:t xml:space="preserve"> </w:t>
      </w:r>
      <w:r>
        <w:rPr>
          <w:spacing w:val="-1"/>
        </w:rPr>
        <w:t>business</w:t>
      </w:r>
      <w:r>
        <w:rPr>
          <w:spacing w:val="17"/>
        </w:rPr>
        <w:t xml:space="preserve"> </w:t>
      </w:r>
      <w:r>
        <w:rPr>
          <w:spacing w:val="-1"/>
        </w:rPr>
        <w:t>opportunities</w:t>
      </w:r>
      <w:r>
        <w:rPr>
          <w:spacing w:val="16"/>
        </w:rPr>
        <w:t xml:space="preserve"> </w:t>
      </w:r>
      <w:r>
        <w:rPr>
          <w:spacing w:val="-1"/>
        </w:rPr>
        <w:t>or</w:t>
      </w:r>
      <w:r>
        <w:rPr>
          <w:spacing w:val="20"/>
        </w:rPr>
        <w:t xml:space="preserve"> </w:t>
      </w:r>
      <w:r>
        <w:rPr>
          <w:spacing w:val="-1"/>
        </w:rPr>
        <w:t>damage</w:t>
      </w:r>
      <w:r>
        <w:rPr>
          <w:spacing w:val="-2"/>
        </w:rPr>
        <w:t xml:space="preserve"> </w:t>
      </w:r>
      <w:r>
        <w:t>to</w:t>
      </w:r>
      <w:r>
        <w:rPr>
          <w:spacing w:val="-2"/>
        </w:rPr>
        <w:t xml:space="preserve"> goodwill</w:t>
      </w:r>
      <w:r>
        <w:t xml:space="preserve"> </w:t>
      </w:r>
      <w:r>
        <w:rPr>
          <w:spacing w:val="-1"/>
        </w:rPr>
        <w:t>(in</w:t>
      </w:r>
      <w:r>
        <w:t xml:space="preserve"> </w:t>
      </w:r>
      <w:r>
        <w:rPr>
          <w:spacing w:val="-1"/>
        </w:rPr>
        <w:t>each</w:t>
      </w:r>
      <w:r>
        <w:rPr>
          <w:spacing w:val="1"/>
        </w:rPr>
        <w:t xml:space="preserve"> </w:t>
      </w:r>
      <w:r>
        <w:rPr>
          <w:spacing w:val="-1"/>
        </w:rPr>
        <w:t>case</w:t>
      </w:r>
      <w:r>
        <w:rPr>
          <w:spacing w:val="-2"/>
        </w:rPr>
        <w:t xml:space="preserve"> </w:t>
      </w:r>
      <w:r>
        <w:rPr>
          <w:spacing w:val="-1"/>
        </w:rPr>
        <w:t>whether</w:t>
      </w:r>
      <w:r>
        <w:rPr>
          <w:spacing w:val="2"/>
        </w:rPr>
        <w:t xml:space="preserve"> </w:t>
      </w:r>
      <w:r>
        <w:rPr>
          <w:spacing w:val="-2"/>
        </w:rPr>
        <w:t>direct</w:t>
      </w:r>
      <w:r>
        <w:t xml:space="preserve"> </w:t>
      </w:r>
      <w:r>
        <w:rPr>
          <w:spacing w:val="-1"/>
        </w:rPr>
        <w:t>or</w:t>
      </w:r>
      <w:r>
        <w:rPr>
          <w:spacing w:val="2"/>
        </w:rPr>
        <w:t xml:space="preserve"> </w:t>
      </w:r>
      <w:r>
        <w:rPr>
          <w:spacing w:val="-1"/>
        </w:rPr>
        <w:t>indirect).</w:t>
      </w:r>
    </w:p>
    <w:p w:rsidR="008918FA" w:rsidRDefault="008918FA" w:rsidP="008918FA">
      <w:pPr>
        <w:pStyle w:val="Heading1"/>
        <w:numPr>
          <w:ilvl w:val="1"/>
          <w:numId w:val="66"/>
        </w:numPr>
        <w:tabs>
          <w:tab w:val="left" w:pos="1253"/>
        </w:tabs>
        <w:ind w:left="1252" w:hanging="564"/>
        <w:rPr>
          <w:b w:val="0"/>
          <w:bCs w:val="0"/>
        </w:rPr>
      </w:pPr>
      <w:r>
        <w:rPr>
          <w:spacing w:val="-1"/>
        </w:rPr>
        <w:t>Recoverable</w:t>
      </w:r>
      <w:r>
        <w:t xml:space="preserve"> </w:t>
      </w:r>
      <w:r>
        <w:rPr>
          <w:spacing w:val="-1"/>
        </w:rPr>
        <w:t>Losses</w:t>
      </w:r>
    </w:p>
    <w:p w:rsidR="008918FA" w:rsidRDefault="008918FA" w:rsidP="008918FA">
      <w:pPr>
        <w:pStyle w:val="BodyText"/>
        <w:numPr>
          <w:ilvl w:val="2"/>
          <w:numId w:val="66"/>
        </w:numPr>
        <w:tabs>
          <w:tab w:val="left" w:pos="2246"/>
        </w:tabs>
        <w:spacing w:before="124" w:line="252" w:lineRule="exact"/>
        <w:ind w:left="2245" w:hanging="993"/>
      </w:pPr>
      <w:r>
        <w:rPr>
          <w:spacing w:val="-1"/>
        </w:rPr>
        <w:t>Subject</w:t>
      </w:r>
      <w:r>
        <w:rPr>
          <w:spacing w:val="19"/>
        </w:rPr>
        <w:t xml:space="preserve"> </w:t>
      </w:r>
      <w:r>
        <w:t>to</w:t>
      </w:r>
      <w:r>
        <w:rPr>
          <w:spacing w:val="20"/>
        </w:rPr>
        <w:t xml:space="preserve"> </w:t>
      </w:r>
      <w:r>
        <w:rPr>
          <w:spacing w:val="-1"/>
        </w:rPr>
        <w:t>Clause</w:t>
      </w:r>
      <w:r>
        <w:rPr>
          <w:spacing w:val="20"/>
        </w:rPr>
        <w:t xml:space="preserve"> </w:t>
      </w:r>
      <w:hyperlink w:anchor="_bookmark202" w:history="1">
        <w:r>
          <w:rPr>
            <w:spacing w:val="-1"/>
          </w:rPr>
          <w:t>36.2</w:t>
        </w:r>
      </w:hyperlink>
      <w:r>
        <w:rPr>
          <w:spacing w:val="20"/>
        </w:rPr>
        <w:t xml:space="preserve"> </w:t>
      </w:r>
      <w:r>
        <w:rPr>
          <w:spacing w:val="-2"/>
        </w:rPr>
        <w:t>(Financial</w:t>
      </w:r>
      <w:r>
        <w:rPr>
          <w:spacing w:val="19"/>
        </w:rPr>
        <w:t xml:space="preserve"> </w:t>
      </w:r>
      <w:r>
        <w:rPr>
          <w:spacing w:val="-1"/>
        </w:rPr>
        <w:t>Limits),</w:t>
      </w:r>
      <w:r>
        <w:rPr>
          <w:spacing w:val="21"/>
        </w:rPr>
        <w:t xml:space="preserve"> </w:t>
      </w:r>
      <w:r>
        <w:rPr>
          <w:spacing w:val="-1"/>
        </w:rPr>
        <w:t>and</w:t>
      </w:r>
      <w:r>
        <w:rPr>
          <w:spacing w:val="20"/>
        </w:rPr>
        <w:t xml:space="preserve"> </w:t>
      </w:r>
      <w:r>
        <w:rPr>
          <w:spacing w:val="-1"/>
        </w:rPr>
        <w:t>notwithstanding</w:t>
      </w:r>
      <w:r>
        <w:rPr>
          <w:spacing w:val="22"/>
        </w:rPr>
        <w:t xml:space="preserve"> </w:t>
      </w:r>
      <w:r>
        <w:rPr>
          <w:spacing w:val="-2"/>
        </w:rPr>
        <w:t>Clause</w:t>
      </w:r>
    </w:p>
    <w:p w:rsidR="008918FA" w:rsidRDefault="00E32C6B" w:rsidP="008918FA">
      <w:pPr>
        <w:pStyle w:val="BodyText"/>
        <w:spacing w:before="0"/>
        <w:ind w:left="2245" w:right="113" w:firstLine="0"/>
        <w:jc w:val="both"/>
      </w:pPr>
      <w:hyperlink w:anchor="_bookmark210" w:history="1">
        <w:r w:rsidR="008918FA">
          <w:rPr>
            <w:spacing w:val="-1"/>
          </w:rPr>
          <w:t>36.3</w:t>
        </w:r>
      </w:hyperlink>
      <w:r w:rsidR="008918FA">
        <w:rPr>
          <w:spacing w:val="51"/>
        </w:rPr>
        <w:t xml:space="preserve"> </w:t>
      </w:r>
      <w:r w:rsidR="008918FA">
        <w:rPr>
          <w:spacing w:val="-1"/>
        </w:rPr>
        <w:t>(Non-recoverable</w:t>
      </w:r>
      <w:r w:rsidR="008918FA">
        <w:rPr>
          <w:spacing w:val="48"/>
        </w:rPr>
        <w:t xml:space="preserve"> </w:t>
      </w:r>
      <w:r w:rsidR="008918FA">
        <w:rPr>
          <w:spacing w:val="-1"/>
        </w:rPr>
        <w:t>Losses),</w:t>
      </w:r>
      <w:r w:rsidR="008918FA">
        <w:rPr>
          <w:spacing w:val="52"/>
        </w:rPr>
        <w:t xml:space="preserve"> </w:t>
      </w:r>
      <w:r w:rsidR="008918FA">
        <w:t>the</w:t>
      </w:r>
      <w:r w:rsidR="008918FA">
        <w:rPr>
          <w:spacing w:val="48"/>
        </w:rPr>
        <w:t xml:space="preserve"> </w:t>
      </w:r>
      <w:r w:rsidR="008918FA">
        <w:rPr>
          <w:spacing w:val="-2"/>
        </w:rPr>
        <w:t>Supplier</w:t>
      </w:r>
      <w:r w:rsidR="008918FA">
        <w:rPr>
          <w:spacing w:val="52"/>
        </w:rPr>
        <w:t xml:space="preserve"> </w:t>
      </w:r>
      <w:r w:rsidR="008918FA">
        <w:rPr>
          <w:spacing w:val="-1"/>
        </w:rPr>
        <w:t>acknowledges</w:t>
      </w:r>
      <w:r w:rsidR="008918FA">
        <w:rPr>
          <w:spacing w:val="49"/>
        </w:rPr>
        <w:t xml:space="preserve"> </w:t>
      </w:r>
      <w:r w:rsidR="008918FA">
        <w:rPr>
          <w:spacing w:val="-1"/>
        </w:rPr>
        <w:t>that</w:t>
      </w:r>
      <w:r w:rsidR="008918FA">
        <w:rPr>
          <w:spacing w:val="51"/>
        </w:rPr>
        <w:t xml:space="preserve"> </w:t>
      </w:r>
      <w:r w:rsidR="008918FA">
        <w:rPr>
          <w:spacing w:val="-1"/>
        </w:rPr>
        <w:t>the</w:t>
      </w:r>
      <w:r w:rsidR="008918FA">
        <w:rPr>
          <w:spacing w:val="36"/>
        </w:rPr>
        <w:t xml:space="preserve"> </w:t>
      </w:r>
      <w:r w:rsidR="008918FA">
        <w:rPr>
          <w:spacing w:val="-1"/>
        </w:rPr>
        <w:t>Customer</w:t>
      </w:r>
      <w:r w:rsidR="008918FA">
        <w:rPr>
          <w:spacing w:val="40"/>
        </w:rPr>
        <w:t xml:space="preserve"> </w:t>
      </w:r>
      <w:r w:rsidR="008918FA">
        <w:rPr>
          <w:spacing w:val="-1"/>
        </w:rPr>
        <w:t>may,</w:t>
      </w:r>
      <w:r w:rsidR="008918FA">
        <w:rPr>
          <w:spacing w:val="40"/>
        </w:rPr>
        <w:t xml:space="preserve"> </w:t>
      </w:r>
      <w:r w:rsidR="008918FA">
        <w:rPr>
          <w:spacing w:val="-2"/>
        </w:rPr>
        <w:t>amongst</w:t>
      </w:r>
      <w:r w:rsidR="008918FA">
        <w:rPr>
          <w:spacing w:val="40"/>
        </w:rPr>
        <w:t xml:space="preserve"> </w:t>
      </w:r>
      <w:r w:rsidR="008918FA">
        <w:rPr>
          <w:spacing w:val="-1"/>
        </w:rPr>
        <w:t>other</w:t>
      </w:r>
      <w:r w:rsidR="008918FA">
        <w:rPr>
          <w:spacing w:val="40"/>
        </w:rPr>
        <w:t xml:space="preserve"> </w:t>
      </w:r>
      <w:r w:rsidR="008918FA">
        <w:rPr>
          <w:spacing w:val="-1"/>
        </w:rPr>
        <w:t>things,</w:t>
      </w:r>
      <w:r w:rsidR="008918FA">
        <w:rPr>
          <w:spacing w:val="40"/>
        </w:rPr>
        <w:t xml:space="preserve"> </w:t>
      </w:r>
      <w:r w:rsidR="008918FA">
        <w:rPr>
          <w:spacing w:val="-1"/>
        </w:rPr>
        <w:t>recover</w:t>
      </w:r>
      <w:r w:rsidR="008918FA">
        <w:rPr>
          <w:spacing w:val="38"/>
        </w:rPr>
        <w:t xml:space="preserve"> </w:t>
      </w:r>
      <w:r w:rsidR="008918FA">
        <w:t>from</w:t>
      </w:r>
      <w:r w:rsidR="008918FA">
        <w:rPr>
          <w:spacing w:val="39"/>
        </w:rPr>
        <w:t xml:space="preserve"> </w:t>
      </w:r>
      <w:r w:rsidR="008918FA">
        <w:t>the</w:t>
      </w:r>
      <w:r w:rsidR="008918FA">
        <w:rPr>
          <w:spacing w:val="38"/>
        </w:rPr>
        <w:t xml:space="preserve"> </w:t>
      </w:r>
      <w:r w:rsidR="008918FA">
        <w:rPr>
          <w:spacing w:val="-2"/>
        </w:rPr>
        <w:t>Supplier</w:t>
      </w:r>
      <w:r w:rsidR="008918FA">
        <w:rPr>
          <w:spacing w:val="40"/>
        </w:rPr>
        <w:t xml:space="preserve"> </w:t>
      </w:r>
      <w:r w:rsidR="008918FA">
        <w:rPr>
          <w:spacing w:val="-1"/>
        </w:rPr>
        <w:t>the</w:t>
      </w:r>
      <w:r w:rsidR="008918FA">
        <w:rPr>
          <w:spacing w:val="38"/>
        </w:rPr>
        <w:t xml:space="preserve"> </w:t>
      </w:r>
      <w:r w:rsidR="008918FA">
        <w:rPr>
          <w:spacing w:val="-2"/>
        </w:rPr>
        <w:t>following</w:t>
      </w:r>
      <w:r w:rsidR="008918FA">
        <w:rPr>
          <w:spacing w:val="7"/>
        </w:rPr>
        <w:t xml:space="preserve"> </w:t>
      </w:r>
      <w:r w:rsidR="008918FA">
        <w:rPr>
          <w:spacing w:val="-1"/>
        </w:rPr>
        <w:t>Losses</w:t>
      </w:r>
      <w:r w:rsidR="008918FA">
        <w:rPr>
          <w:spacing w:val="5"/>
        </w:rPr>
        <w:t xml:space="preserve"> </w:t>
      </w:r>
      <w:r w:rsidR="008918FA">
        <w:rPr>
          <w:spacing w:val="-2"/>
        </w:rPr>
        <w:t>incurred</w:t>
      </w:r>
      <w:r w:rsidR="008918FA">
        <w:rPr>
          <w:spacing w:val="5"/>
        </w:rPr>
        <w:t xml:space="preserve"> </w:t>
      </w:r>
      <w:r w:rsidR="008918FA">
        <w:rPr>
          <w:spacing w:val="-1"/>
        </w:rPr>
        <w:t>by</w:t>
      </w:r>
      <w:r w:rsidR="008918FA">
        <w:rPr>
          <w:spacing w:val="3"/>
        </w:rPr>
        <w:t xml:space="preserve"> </w:t>
      </w:r>
      <w:r w:rsidR="008918FA">
        <w:t>the</w:t>
      </w:r>
      <w:r w:rsidR="008918FA">
        <w:rPr>
          <w:spacing w:val="5"/>
        </w:rPr>
        <w:t xml:space="preserve"> </w:t>
      </w:r>
      <w:r w:rsidR="008918FA">
        <w:rPr>
          <w:spacing w:val="-1"/>
        </w:rPr>
        <w:t>Customer</w:t>
      </w:r>
      <w:r w:rsidR="008918FA">
        <w:rPr>
          <w:spacing w:val="4"/>
        </w:rPr>
        <w:t xml:space="preserve"> </w:t>
      </w:r>
      <w:r w:rsidR="008918FA">
        <w:t>to</w:t>
      </w:r>
      <w:r w:rsidR="008918FA">
        <w:rPr>
          <w:spacing w:val="5"/>
        </w:rPr>
        <w:t xml:space="preserve"> </w:t>
      </w:r>
      <w:r w:rsidR="008918FA">
        <w:t>the</w:t>
      </w:r>
      <w:r w:rsidR="008918FA">
        <w:rPr>
          <w:spacing w:val="3"/>
        </w:rPr>
        <w:t xml:space="preserve"> </w:t>
      </w:r>
      <w:r w:rsidR="008918FA">
        <w:rPr>
          <w:spacing w:val="-1"/>
        </w:rPr>
        <w:t>extent</w:t>
      </w:r>
      <w:r w:rsidR="008918FA">
        <w:rPr>
          <w:spacing w:val="7"/>
        </w:rPr>
        <w:t xml:space="preserve"> </w:t>
      </w:r>
      <w:r w:rsidR="008918FA">
        <w:rPr>
          <w:spacing w:val="-1"/>
        </w:rPr>
        <w:t>that</w:t>
      </w:r>
      <w:r w:rsidR="008918FA">
        <w:rPr>
          <w:spacing w:val="7"/>
        </w:rPr>
        <w:t xml:space="preserve"> </w:t>
      </w:r>
      <w:r w:rsidR="008918FA">
        <w:rPr>
          <w:spacing w:val="-1"/>
        </w:rPr>
        <w:t>they</w:t>
      </w:r>
      <w:r w:rsidR="008918FA">
        <w:rPr>
          <w:spacing w:val="3"/>
        </w:rPr>
        <w:t xml:space="preserve"> </w:t>
      </w:r>
      <w:r w:rsidR="008918FA">
        <w:rPr>
          <w:spacing w:val="-1"/>
        </w:rPr>
        <w:t>arise</w:t>
      </w:r>
      <w:r w:rsidR="008918FA">
        <w:rPr>
          <w:spacing w:val="50"/>
        </w:rPr>
        <w:t xml:space="preserve"> </w:t>
      </w:r>
      <w:r w:rsidR="008918FA">
        <w:rPr>
          <w:spacing w:val="-1"/>
        </w:rPr>
        <w:t>as</w:t>
      </w:r>
      <w:r w:rsidR="008918FA">
        <w:rPr>
          <w:spacing w:val="1"/>
        </w:rPr>
        <w:t xml:space="preserve"> </w:t>
      </w:r>
      <w:r w:rsidR="008918FA">
        <w:t>a</w:t>
      </w:r>
      <w:r w:rsidR="008918FA">
        <w:rPr>
          <w:spacing w:val="-2"/>
        </w:rPr>
        <w:t xml:space="preserve"> </w:t>
      </w:r>
      <w:r w:rsidR="008918FA">
        <w:rPr>
          <w:spacing w:val="-1"/>
        </w:rPr>
        <w:t>result</w:t>
      </w:r>
      <w:r w:rsidR="008918FA">
        <w:t xml:space="preserve"> </w:t>
      </w:r>
      <w:r w:rsidR="008918FA">
        <w:rPr>
          <w:spacing w:val="-2"/>
        </w:rPr>
        <w:t>of</w:t>
      </w:r>
      <w:r w:rsidR="008918FA">
        <w:rPr>
          <w:spacing w:val="2"/>
        </w:rPr>
        <w:t xml:space="preserve"> </w:t>
      </w:r>
      <w:r w:rsidR="008918FA">
        <w:t xml:space="preserve">a </w:t>
      </w:r>
      <w:r w:rsidR="008918FA">
        <w:rPr>
          <w:spacing w:val="-2"/>
        </w:rPr>
        <w:t>Default</w:t>
      </w:r>
      <w:r w:rsidR="008918FA">
        <w:rPr>
          <w:spacing w:val="2"/>
        </w:rPr>
        <w:t xml:space="preserve"> </w:t>
      </w:r>
      <w:r w:rsidR="008918FA">
        <w:rPr>
          <w:spacing w:val="-2"/>
        </w:rPr>
        <w:t xml:space="preserve">by </w:t>
      </w:r>
      <w:r w:rsidR="008918FA">
        <w:t xml:space="preserve">the </w:t>
      </w:r>
      <w:r w:rsidR="008918FA">
        <w:rPr>
          <w:spacing w:val="-1"/>
        </w:rPr>
        <w:t>Supplier:</w:t>
      </w:r>
    </w:p>
    <w:p w:rsidR="008918FA" w:rsidRDefault="008918FA" w:rsidP="008918FA">
      <w:pPr>
        <w:pStyle w:val="BodyText"/>
        <w:numPr>
          <w:ilvl w:val="0"/>
          <w:numId w:val="63"/>
        </w:numPr>
        <w:tabs>
          <w:tab w:val="left" w:pos="2954"/>
        </w:tabs>
        <w:spacing w:before="121"/>
        <w:ind w:right="113"/>
        <w:jc w:val="both"/>
      </w:pPr>
      <w:r>
        <w:rPr>
          <w:spacing w:val="-1"/>
        </w:rPr>
        <w:t>any</w:t>
      </w:r>
      <w:r>
        <w:rPr>
          <w:spacing w:val="35"/>
        </w:rPr>
        <w:t xml:space="preserve"> </w:t>
      </w:r>
      <w:r>
        <w:rPr>
          <w:spacing w:val="-1"/>
        </w:rPr>
        <w:t>additional</w:t>
      </w:r>
      <w:r>
        <w:rPr>
          <w:spacing w:val="37"/>
        </w:rPr>
        <w:t xml:space="preserve"> </w:t>
      </w:r>
      <w:r>
        <w:rPr>
          <w:spacing w:val="-1"/>
        </w:rPr>
        <w:t>operational</w:t>
      </w:r>
      <w:r>
        <w:rPr>
          <w:spacing w:val="37"/>
        </w:rPr>
        <w:t xml:space="preserve"> </w:t>
      </w:r>
      <w:r>
        <w:rPr>
          <w:spacing w:val="-1"/>
        </w:rPr>
        <w:t>and/or</w:t>
      </w:r>
      <w:r>
        <w:rPr>
          <w:spacing w:val="39"/>
        </w:rPr>
        <w:t xml:space="preserve"> </w:t>
      </w:r>
      <w:r>
        <w:rPr>
          <w:spacing w:val="-2"/>
        </w:rPr>
        <w:t>administrative</w:t>
      </w:r>
      <w:r>
        <w:rPr>
          <w:spacing w:val="37"/>
        </w:rPr>
        <w:t xml:space="preserve"> </w:t>
      </w:r>
      <w:r>
        <w:rPr>
          <w:spacing w:val="-1"/>
        </w:rPr>
        <w:t>costs</w:t>
      </w:r>
      <w:r>
        <w:rPr>
          <w:spacing w:val="38"/>
        </w:rPr>
        <w:t xml:space="preserve"> </w:t>
      </w:r>
      <w:r>
        <w:rPr>
          <w:spacing w:val="-1"/>
        </w:rPr>
        <w:t>and</w:t>
      </w:r>
      <w:r>
        <w:rPr>
          <w:spacing w:val="54"/>
        </w:rPr>
        <w:t xml:space="preserve"> </w:t>
      </w:r>
      <w:r>
        <w:rPr>
          <w:spacing w:val="-1"/>
        </w:rPr>
        <w:t>expenses</w:t>
      </w:r>
      <w:r>
        <w:rPr>
          <w:spacing w:val="18"/>
        </w:rPr>
        <w:t xml:space="preserve"> </w:t>
      </w:r>
      <w:r>
        <w:rPr>
          <w:spacing w:val="-1"/>
        </w:rPr>
        <w:t>incurred</w:t>
      </w:r>
      <w:r>
        <w:rPr>
          <w:spacing w:val="17"/>
        </w:rPr>
        <w:t xml:space="preserve"> </w:t>
      </w:r>
      <w:r>
        <w:rPr>
          <w:spacing w:val="-1"/>
        </w:rPr>
        <w:t>by</w:t>
      </w:r>
      <w:r>
        <w:rPr>
          <w:spacing w:val="15"/>
        </w:rPr>
        <w:t xml:space="preserve"> </w:t>
      </w:r>
      <w:r>
        <w:rPr>
          <w:spacing w:val="1"/>
        </w:rPr>
        <w:t>the</w:t>
      </w:r>
      <w:r>
        <w:rPr>
          <w:spacing w:val="17"/>
        </w:rPr>
        <w:t xml:space="preserve"> </w:t>
      </w:r>
      <w:r>
        <w:rPr>
          <w:spacing w:val="-1"/>
        </w:rPr>
        <w:t>Customer,</w:t>
      </w:r>
      <w:r>
        <w:rPr>
          <w:spacing w:val="19"/>
        </w:rPr>
        <w:t xml:space="preserve"> </w:t>
      </w:r>
      <w:r>
        <w:rPr>
          <w:spacing w:val="-2"/>
        </w:rPr>
        <w:t>including</w:t>
      </w:r>
      <w:r>
        <w:rPr>
          <w:spacing w:val="20"/>
        </w:rPr>
        <w:t xml:space="preserve"> </w:t>
      </w:r>
      <w:r>
        <w:rPr>
          <w:spacing w:val="-1"/>
        </w:rPr>
        <w:t>costs</w:t>
      </w:r>
      <w:r>
        <w:rPr>
          <w:spacing w:val="18"/>
        </w:rPr>
        <w:t xml:space="preserve"> </w:t>
      </w:r>
      <w:r>
        <w:rPr>
          <w:spacing w:val="-1"/>
        </w:rPr>
        <w:t>relating</w:t>
      </w:r>
      <w:r>
        <w:rPr>
          <w:spacing w:val="20"/>
        </w:rPr>
        <w:t xml:space="preserve"> </w:t>
      </w:r>
      <w:r>
        <w:t>to</w:t>
      </w:r>
      <w:r>
        <w:rPr>
          <w:spacing w:val="33"/>
        </w:rPr>
        <w:t xml:space="preserve"> </w:t>
      </w:r>
      <w:r>
        <w:rPr>
          <w:spacing w:val="-1"/>
        </w:rPr>
        <w:t>time</w:t>
      </w:r>
      <w:r>
        <w:rPr>
          <w:spacing w:val="20"/>
        </w:rPr>
        <w:t xml:space="preserve"> </w:t>
      </w:r>
      <w:r>
        <w:rPr>
          <w:spacing w:val="-1"/>
        </w:rPr>
        <w:t>spent</w:t>
      </w:r>
      <w:r>
        <w:rPr>
          <w:spacing w:val="21"/>
        </w:rPr>
        <w:t xml:space="preserve"> </w:t>
      </w:r>
      <w:r>
        <w:rPr>
          <w:spacing w:val="-1"/>
        </w:rPr>
        <w:t>by</w:t>
      </w:r>
      <w:r>
        <w:rPr>
          <w:spacing w:val="18"/>
        </w:rPr>
        <w:t xml:space="preserve"> </w:t>
      </w:r>
      <w:r>
        <w:rPr>
          <w:spacing w:val="-1"/>
        </w:rPr>
        <w:t>or</w:t>
      </w:r>
      <w:r>
        <w:rPr>
          <w:spacing w:val="19"/>
        </w:rPr>
        <w:t xml:space="preserve"> </w:t>
      </w:r>
      <w:r>
        <w:rPr>
          <w:spacing w:val="-1"/>
        </w:rPr>
        <w:t>on</w:t>
      </w:r>
      <w:r>
        <w:rPr>
          <w:spacing w:val="19"/>
        </w:rPr>
        <w:t xml:space="preserve"> </w:t>
      </w:r>
      <w:r>
        <w:rPr>
          <w:spacing w:val="-2"/>
        </w:rPr>
        <w:t>behalf</w:t>
      </w:r>
      <w:r>
        <w:rPr>
          <w:spacing w:val="21"/>
        </w:rPr>
        <w:t xml:space="preserve"> </w:t>
      </w:r>
      <w:r>
        <w:rPr>
          <w:spacing w:val="-2"/>
        </w:rPr>
        <w:t>of</w:t>
      </w:r>
      <w:r>
        <w:rPr>
          <w:spacing w:val="21"/>
        </w:rPr>
        <w:t xml:space="preserve"> </w:t>
      </w:r>
      <w:r>
        <w:t>the</w:t>
      </w:r>
      <w:r>
        <w:rPr>
          <w:spacing w:val="20"/>
        </w:rPr>
        <w:t xml:space="preserve"> </w:t>
      </w:r>
      <w:r>
        <w:rPr>
          <w:spacing w:val="-2"/>
        </w:rPr>
        <w:t>Customer</w:t>
      </w:r>
      <w:r>
        <w:rPr>
          <w:spacing w:val="21"/>
        </w:rPr>
        <w:t xml:space="preserve"> </w:t>
      </w:r>
      <w:r>
        <w:rPr>
          <w:spacing w:val="-1"/>
        </w:rPr>
        <w:t>in</w:t>
      </w:r>
      <w:r>
        <w:rPr>
          <w:spacing w:val="19"/>
        </w:rPr>
        <w:t xml:space="preserve"> </w:t>
      </w:r>
      <w:r>
        <w:rPr>
          <w:spacing w:val="-2"/>
        </w:rPr>
        <w:t>dealing</w:t>
      </w:r>
      <w:r>
        <w:rPr>
          <w:spacing w:val="22"/>
        </w:rPr>
        <w:t xml:space="preserve"> </w:t>
      </w:r>
      <w:r>
        <w:rPr>
          <w:spacing w:val="-2"/>
        </w:rPr>
        <w:t>with</w:t>
      </w:r>
      <w:r>
        <w:rPr>
          <w:spacing w:val="20"/>
        </w:rPr>
        <w:t xml:space="preserve"> </w:t>
      </w:r>
      <w:r>
        <w:rPr>
          <w:spacing w:val="-1"/>
        </w:rPr>
        <w:t>the</w:t>
      </w:r>
      <w:r>
        <w:rPr>
          <w:spacing w:val="54"/>
        </w:rPr>
        <w:t xml:space="preserve"> </w:t>
      </w:r>
      <w:r>
        <w:rPr>
          <w:spacing w:val="-1"/>
        </w:rPr>
        <w:t>consequences</w:t>
      </w:r>
      <w:r>
        <w:rPr>
          <w:spacing w:val="1"/>
        </w:rPr>
        <w:t xml:space="preserve"> </w:t>
      </w:r>
      <w:r>
        <w:rPr>
          <w:spacing w:val="-2"/>
        </w:rPr>
        <w:t>of</w:t>
      </w:r>
      <w:r>
        <w:t xml:space="preserve"> the </w:t>
      </w:r>
      <w:r>
        <w:rPr>
          <w:spacing w:val="-2"/>
        </w:rPr>
        <w:t>Default;</w:t>
      </w:r>
    </w:p>
    <w:p w:rsidR="008918FA" w:rsidRDefault="008918FA" w:rsidP="008918FA">
      <w:pPr>
        <w:pStyle w:val="BodyText"/>
        <w:numPr>
          <w:ilvl w:val="0"/>
          <w:numId w:val="63"/>
        </w:numPr>
        <w:tabs>
          <w:tab w:val="left" w:pos="2954"/>
        </w:tabs>
        <w:spacing w:before="121"/>
      </w:pPr>
      <w:r>
        <w:rPr>
          <w:spacing w:val="-1"/>
        </w:rPr>
        <w:t>any</w:t>
      </w:r>
      <w:r>
        <w:rPr>
          <w:spacing w:val="-2"/>
        </w:rPr>
        <w:t xml:space="preserve"> </w:t>
      </w:r>
      <w:r>
        <w:rPr>
          <w:spacing w:val="-1"/>
        </w:rPr>
        <w:t>wasted</w:t>
      </w:r>
      <w:r>
        <w:t xml:space="preserve"> </w:t>
      </w:r>
      <w:r>
        <w:rPr>
          <w:spacing w:val="-1"/>
        </w:rPr>
        <w:t>expenditure</w:t>
      </w:r>
      <w:r>
        <w:t xml:space="preserve"> </w:t>
      </w:r>
      <w:r>
        <w:rPr>
          <w:spacing w:val="-1"/>
        </w:rPr>
        <w:t>or</w:t>
      </w:r>
      <w:r>
        <w:rPr>
          <w:spacing w:val="2"/>
        </w:rPr>
        <w:t xml:space="preserve"> </w:t>
      </w:r>
      <w:r>
        <w:rPr>
          <w:spacing w:val="-1"/>
        </w:rPr>
        <w:t>charges;</w:t>
      </w:r>
    </w:p>
    <w:p w:rsidR="008918FA" w:rsidRDefault="008918FA" w:rsidP="008918FA">
      <w:pPr>
        <w:pStyle w:val="BodyText"/>
        <w:numPr>
          <w:ilvl w:val="0"/>
          <w:numId w:val="63"/>
        </w:numPr>
        <w:tabs>
          <w:tab w:val="left" w:pos="2954"/>
        </w:tabs>
        <w:ind w:right="115"/>
        <w:jc w:val="both"/>
      </w:pPr>
      <w:r>
        <w:t>the</w:t>
      </w:r>
      <w:r>
        <w:rPr>
          <w:spacing w:val="4"/>
        </w:rPr>
        <w:t xml:space="preserve"> </w:t>
      </w:r>
      <w:r>
        <w:rPr>
          <w:spacing w:val="-1"/>
        </w:rPr>
        <w:t>additional</w:t>
      </w:r>
      <w:r>
        <w:rPr>
          <w:spacing w:val="3"/>
        </w:rPr>
        <w:t xml:space="preserve"> </w:t>
      </w:r>
      <w:r>
        <w:rPr>
          <w:spacing w:val="-1"/>
        </w:rPr>
        <w:t>cost</w:t>
      </w:r>
      <w:r>
        <w:rPr>
          <w:spacing w:val="6"/>
        </w:rPr>
        <w:t xml:space="preserve"> </w:t>
      </w:r>
      <w:r>
        <w:rPr>
          <w:spacing w:val="-2"/>
        </w:rPr>
        <w:t>of</w:t>
      </w:r>
      <w:r>
        <w:rPr>
          <w:spacing w:val="8"/>
        </w:rPr>
        <w:t xml:space="preserve"> </w:t>
      </w:r>
      <w:r>
        <w:rPr>
          <w:spacing w:val="-1"/>
        </w:rPr>
        <w:t>procuring</w:t>
      </w:r>
      <w:r>
        <w:rPr>
          <w:spacing w:val="6"/>
        </w:rPr>
        <w:t xml:space="preserve"> </w:t>
      </w:r>
      <w:r>
        <w:rPr>
          <w:spacing w:val="-1"/>
        </w:rPr>
        <w:t>Replacement</w:t>
      </w:r>
      <w:r>
        <w:rPr>
          <w:spacing w:val="3"/>
        </w:rPr>
        <w:t xml:space="preserve"> </w:t>
      </w:r>
      <w:r>
        <w:rPr>
          <w:spacing w:val="-1"/>
        </w:rPr>
        <w:t>Goods</w:t>
      </w:r>
      <w:r>
        <w:rPr>
          <w:spacing w:val="4"/>
        </w:rPr>
        <w:t xml:space="preserve"> </w:t>
      </w:r>
      <w:r>
        <w:rPr>
          <w:spacing w:val="-1"/>
        </w:rPr>
        <w:t>and/or</w:t>
      </w:r>
      <w:r>
        <w:rPr>
          <w:spacing w:val="21"/>
        </w:rPr>
        <w:t xml:space="preserve"> </w:t>
      </w:r>
      <w:r>
        <w:rPr>
          <w:spacing w:val="-1"/>
        </w:rPr>
        <w:t>Services</w:t>
      </w:r>
      <w:r>
        <w:rPr>
          <w:spacing w:val="9"/>
        </w:rPr>
        <w:t xml:space="preserve"> </w:t>
      </w:r>
      <w:r>
        <w:t>for</w:t>
      </w:r>
      <w:r>
        <w:rPr>
          <w:spacing w:val="8"/>
        </w:rPr>
        <w:t xml:space="preserve"> </w:t>
      </w:r>
      <w:r>
        <w:t>the</w:t>
      </w:r>
      <w:r>
        <w:rPr>
          <w:spacing w:val="9"/>
        </w:rPr>
        <w:t xml:space="preserve"> </w:t>
      </w:r>
      <w:r>
        <w:rPr>
          <w:spacing w:val="-2"/>
        </w:rPr>
        <w:t>remainder</w:t>
      </w:r>
      <w:r>
        <w:rPr>
          <w:spacing w:val="10"/>
        </w:rPr>
        <w:t xml:space="preserve"> </w:t>
      </w:r>
      <w:r>
        <w:rPr>
          <w:spacing w:val="-2"/>
        </w:rPr>
        <w:t>of</w:t>
      </w:r>
      <w:r>
        <w:rPr>
          <w:spacing w:val="13"/>
        </w:rPr>
        <w:t xml:space="preserve"> </w:t>
      </w:r>
      <w:r>
        <w:t>the</w:t>
      </w:r>
      <w:r>
        <w:rPr>
          <w:spacing w:val="9"/>
        </w:rPr>
        <w:t xml:space="preserve"> </w:t>
      </w:r>
      <w:r>
        <w:rPr>
          <w:spacing w:val="-2"/>
        </w:rPr>
        <w:t>Call</w:t>
      </w:r>
      <w:r>
        <w:rPr>
          <w:spacing w:val="8"/>
        </w:rPr>
        <w:t xml:space="preserve"> </w:t>
      </w:r>
      <w:r>
        <w:rPr>
          <w:spacing w:val="-1"/>
        </w:rPr>
        <w:t>Off</w:t>
      </w:r>
      <w:r>
        <w:rPr>
          <w:spacing w:val="10"/>
        </w:rPr>
        <w:t xml:space="preserve"> </w:t>
      </w:r>
      <w:r>
        <w:rPr>
          <w:spacing w:val="-2"/>
        </w:rPr>
        <w:t>Contract</w:t>
      </w:r>
      <w:r>
        <w:t xml:space="preserve"> </w:t>
      </w:r>
      <w:r>
        <w:rPr>
          <w:spacing w:val="10"/>
        </w:rPr>
        <w:t xml:space="preserve"> </w:t>
      </w:r>
      <w:r>
        <w:rPr>
          <w:spacing w:val="-1"/>
        </w:rPr>
        <w:t>Period</w:t>
      </w:r>
      <w:r>
        <w:rPr>
          <w:spacing w:val="44"/>
        </w:rPr>
        <w:t xml:space="preserve"> </w:t>
      </w:r>
      <w:r>
        <w:rPr>
          <w:spacing w:val="-1"/>
        </w:rPr>
        <w:t>and/or</w:t>
      </w:r>
      <w:r>
        <w:rPr>
          <w:spacing w:val="51"/>
        </w:rPr>
        <w:t xml:space="preserve"> </w:t>
      </w:r>
      <w:r>
        <w:rPr>
          <w:spacing w:val="-1"/>
        </w:rPr>
        <w:t>replacement</w:t>
      </w:r>
      <w:r>
        <w:rPr>
          <w:spacing w:val="51"/>
        </w:rPr>
        <w:t xml:space="preserve"> </w:t>
      </w:r>
      <w:r>
        <w:rPr>
          <w:spacing w:val="-2"/>
        </w:rPr>
        <w:t>Deliverables,</w:t>
      </w:r>
      <w:r>
        <w:rPr>
          <w:spacing w:val="51"/>
        </w:rPr>
        <w:t xml:space="preserve"> </w:t>
      </w:r>
      <w:r>
        <w:rPr>
          <w:spacing w:val="-1"/>
        </w:rPr>
        <w:t>which</w:t>
      </w:r>
      <w:r>
        <w:rPr>
          <w:spacing w:val="50"/>
        </w:rPr>
        <w:t xml:space="preserve"> </w:t>
      </w:r>
      <w:r>
        <w:rPr>
          <w:spacing w:val="-1"/>
        </w:rPr>
        <w:t>shall</w:t>
      </w:r>
      <w:r>
        <w:rPr>
          <w:spacing w:val="49"/>
        </w:rPr>
        <w:t xml:space="preserve"> </w:t>
      </w:r>
      <w:r>
        <w:rPr>
          <w:spacing w:val="-1"/>
        </w:rPr>
        <w:t>include</w:t>
      </w:r>
      <w:r>
        <w:rPr>
          <w:spacing w:val="52"/>
        </w:rPr>
        <w:t xml:space="preserve"> </w:t>
      </w:r>
      <w:r>
        <w:t>any</w:t>
      </w:r>
      <w:r>
        <w:rPr>
          <w:spacing w:val="37"/>
        </w:rPr>
        <w:t xml:space="preserve"> </w:t>
      </w:r>
      <w:r>
        <w:rPr>
          <w:spacing w:val="-1"/>
        </w:rPr>
        <w:t>incremental</w:t>
      </w:r>
      <w:r>
        <w:rPr>
          <w:spacing w:val="55"/>
        </w:rPr>
        <w:t xml:space="preserve"> </w:t>
      </w:r>
      <w:r>
        <w:rPr>
          <w:spacing w:val="-1"/>
        </w:rPr>
        <w:t>costs</w:t>
      </w:r>
      <w:r>
        <w:rPr>
          <w:spacing w:val="56"/>
        </w:rPr>
        <w:t xml:space="preserve"> </w:t>
      </w:r>
      <w:r>
        <w:rPr>
          <w:spacing w:val="-1"/>
        </w:rPr>
        <w:t>associated</w:t>
      </w:r>
      <w:r>
        <w:rPr>
          <w:spacing w:val="55"/>
        </w:rPr>
        <w:t xml:space="preserve"> </w:t>
      </w:r>
      <w:r>
        <w:rPr>
          <w:spacing w:val="-1"/>
        </w:rPr>
        <w:t>with</w:t>
      </w:r>
      <w:r>
        <w:rPr>
          <w:spacing w:val="55"/>
        </w:rPr>
        <w:t xml:space="preserve"> </w:t>
      </w:r>
      <w:r>
        <w:rPr>
          <w:spacing w:val="-1"/>
        </w:rPr>
        <w:t>such</w:t>
      </w:r>
      <w:r>
        <w:rPr>
          <w:spacing w:val="56"/>
        </w:rPr>
        <w:t xml:space="preserve"> </w:t>
      </w:r>
      <w:r>
        <w:rPr>
          <w:spacing w:val="-1"/>
        </w:rPr>
        <w:t>Replacement</w:t>
      </w:r>
      <w:r>
        <w:rPr>
          <w:spacing w:val="56"/>
        </w:rPr>
        <w:t xml:space="preserve"> </w:t>
      </w:r>
      <w:r>
        <w:rPr>
          <w:spacing w:val="-1"/>
        </w:rPr>
        <w:t>Goods</w:t>
      </w:r>
      <w:r>
        <w:rPr>
          <w:spacing w:val="34"/>
        </w:rPr>
        <w:t xml:space="preserve"> </w:t>
      </w:r>
      <w:r>
        <w:rPr>
          <w:spacing w:val="-1"/>
        </w:rPr>
        <w:t>and/or</w:t>
      </w:r>
      <w:r>
        <w:rPr>
          <w:spacing w:val="33"/>
        </w:rPr>
        <w:t xml:space="preserve"> </w:t>
      </w:r>
      <w:r>
        <w:rPr>
          <w:spacing w:val="-1"/>
        </w:rPr>
        <w:t>Services</w:t>
      </w:r>
      <w:r>
        <w:rPr>
          <w:spacing w:val="32"/>
        </w:rPr>
        <w:t xml:space="preserve"> </w:t>
      </w:r>
      <w:r>
        <w:rPr>
          <w:spacing w:val="-1"/>
        </w:rPr>
        <w:t>and/or</w:t>
      </w:r>
      <w:r>
        <w:rPr>
          <w:spacing w:val="33"/>
        </w:rPr>
        <w:t xml:space="preserve"> </w:t>
      </w:r>
      <w:r>
        <w:rPr>
          <w:spacing w:val="-1"/>
        </w:rPr>
        <w:t>replacement</w:t>
      </w:r>
      <w:r>
        <w:rPr>
          <w:spacing w:val="33"/>
        </w:rPr>
        <w:t xml:space="preserve"> </w:t>
      </w:r>
      <w:r>
        <w:rPr>
          <w:spacing w:val="-2"/>
        </w:rPr>
        <w:t>Deliverables</w:t>
      </w:r>
      <w:r>
        <w:rPr>
          <w:spacing w:val="34"/>
        </w:rPr>
        <w:t xml:space="preserve"> </w:t>
      </w:r>
      <w:r>
        <w:rPr>
          <w:spacing w:val="-2"/>
        </w:rPr>
        <w:t>above</w:t>
      </w:r>
      <w:r>
        <w:rPr>
          <w:spacing w:val="31"/>
        </w:rPr>
        <w:t xml:space="preserve"> </w:t>
      </w:r>
      <w:r>
        <w:rPr>
          <w:spacing w:val="-1"/>
        </w:rPr>
        <w:t>those</w:t>
      </w:r>
      <w:r>
        <w:rPr>
          <w:spacing w:val="42"/>
        </w:rPr>
        <w:t xml:space="preserve"> </w:t>
      </w:r>
      <w:r>
        <w:rPr>
          <w:spacing w:val="-1"/>
        </w:rPr>
        <w:t>which</w:t>
      </w:r>
      <w:r>
        <w:rPr>
          <w:spacing w:val="1"/>
        </w:rPr>
        <w:t xml:space="preserve"> </w:t>
      </w:r>
      <w:r>
        <w:rPr>
          <w:spacing w:val="-2"/>
        </w:rPr>
        <w:t>would</w:t>
      </w:r>
      <w:r>
        <w:t xml:space="preserve"> </w:t>
      </w:r>
      <w:r>
        <w:rPr>
          <w:spacing w:val="-1"/>
        </w:rPr>
        <w:t>have</w:t>
      </w:r>
      <w:r>
        <w:t xml:space="preserve"> </w:t>
      </w:r>
      <w:r>
        <w:rPr>
          <w:spacing w:val="-1"/>
        </w:rPr>
        <w:t>been</w:t>
      </w:r>
      <w:r>
        <w:rPr>
          <w:spacing w:val="1"/>
        </w:rPr>
        <w:t xml:space="preserve"> </w:t>
      </w:r>
      <w:r>
        <w:rPr>
          <w:spacing w:val="-2"/>
        </w:rPr>
        <w:t>payable</w:t>
      </w:r>
      <w:r>
        <w:t xml:space="preserve"> </w:t>
      </w:r>
      <w:r>
        <w:rPr>
          <w:spacing w:val="-1"/>
        </w:rPr>
        <w:t>under</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0"/>
          <w:numId w:val="63"/>
        </w:numPr>
        <w:tabs>
          <w:tab w:val="left" w:pos="2953"/>
        </w:tabs>
        <w:ind w:left="2952" w:right="120"/>
        <w:jc w:val="both"/>
      </w:pPr>
      <w:r>
        <w:rPr>
          <w:spacing w:val="-1"/>
        </w:rPr>
        <w:t>any</w:t>
      </w:r>
      <w:r>
        <w:rPr>
          <w:spacing w:val="14"/>
        </w:rPr>
        <w:t xml:space="preserve"> </w:t>
      </w:r>
      <w:r>
        <w:rPr>
          <w:spacing w:val="-1"/>
        </w:rPr>
        <w:t>compensation</w:t>
      </w:r>
      <w:r>
        <w:rPr>
          <w:spacing w:val="16"/>
        </w:rPr>
        <w:t xml:space="preserve"> </w:t>
      </w:r>
      <w:r>
        <w:rPr>
          <w:spacing w:val="-1"/>
        </w:rPr>
        <w:t>or</w:t>
      </w:r>
      <w:r>
        <w:rPr>
          <w:spacing w:val="17"/>
        </w:rPr>
        <w:t xml:space="preserve"> </w:t>
      </w:r>
      <w:r>
        <w:rPr>
          <w:spacing w:val="-1"/>
        </w:rPr>
        <w:t>interest</w:t>
      </w:r>
      <w:r>
        <w:rPr>
          <w:spacing w:val="17"/>
        </w:rPr>
        <w:t xml:space="preserve"> </w:t>
      </w:r>
      <w:r>
        <w:rPr>
          <w:spacing w:val="-1"/>
        </w:rPr>
        <w:t>paid</w:t>
      </w:r>
      <w:r>
        <w:rPr>
          <w:spacing w:val="16"/>
        </w:rPr>
        <w:t xml:space="preserve"> </w:t>
      </w:r>
      <w:r>
        <w:t>to</w:t>
      </w:r>
      <w:r>
        <w:rPr>
          <w:spacing w:val="16"/>
        </w:rPr>
        <w:t xml:space="preserve"> </w:t>
      </w:r>
      <w:r>
        <w:t>a</w:t>
      </w:r>
      <w:r>
        <w:rPr>
          <w:spacing w:val="16"/>
        </w:rPr>
        <w:t xml:space="preserve"> </w:t>
      </w:r>
      <w:r>
        <w:rPr>
          <w:spacing w:val="-1"/>
        </w:rPr>
        <w:t>third</w:t>
      </w:r>
      <w:r>
        <w:rPr>
          <w:spacing w:val="13"/>
        </w:rPr>
        <w:t xml:space="preserve"> </w:t>
      </w:r>
      <w:r>
        <w:rPr>
          <w:spacing w:val="-1"/>
        </w:rPr>
        <w:t>party</w:t>
      </w:r>
      <w:r>
        <w:rPr>
          <w:spacing w:val="14"/>
        </w:rPr>
        <w:t xml:space="preserve"> </w:t>
      </w:r>
      <w:r>
        <w:rPr>
          <w:spacing w:val="-1"/>
        </w:rPr>
        <w:t>by</w:t>
      </w:r>
      <w:r>
        <w:rPr>
          <w:spacing w:val="14"/>
        </w:rPr>
        <w:t xml:space="preserve"> </w:t>
      </w:r>
      <w:r>
        <w:rPr>
          <w:spacing w:val="-1"/>
        </w:rPr>
        <w:t>the</w:t>
      </w:r>
      <w:r>
        <w:rPr>
          <w:spacing w:val="38"/>
        </w:rPr>
        <w:t xml:space="preserve"> </w:t>
      </w:r>
      <w:r>
        <w:rPr>
          <w:spacing w:val="-1"/>
        </w:rPr>
        <w:t>Customer;</w:t>
      </w:r>
      <w:r>
        <w:t xml:space="preserve"> </w:t>
      </w:r>
      <w:r>
        <w:rPr>
          <w:spacing w:val="-1"/>
        </w:rPr>
        <w:t>and</w:t>
      </w:r>
    </w:p>
    <w:p w:rsidR="008918FA" w:rsidRDefault="008918FA" w:rsidP="008918FA">
      <w:pPr>
        <w:pStyle w:val="BodyText"/>
        <w:numPr>
          <w:ilvl w:val="0"/>
          <w:numId w:val="63"/>
        </w:numPr>
        <w:tabs>
          <w:tab w:val="left" w:pos="2953"/>
        </w:tabs>
        <w:ind w:left="2952" w:right="117"/>
        <w:jc w:val="both"/>
      </w:pPr>
      <w:r>
        <w:rPr>
          <w:spacing w:val="-1"/>
        </w:rPr>
        <w:t>any</w:t>
      </w:r>
      <w:r>
        <w:rPr>
          <w:spacing w:val="5"/>
        </w:rPr>
        <w:t xml:space="preserve"> </w:t>
      </w:r>
      <w:r>
        <w:rPr>
          <w:spacing w:val="-1"/>
        </w:rPr>
        <w:t>fine,</w:t>
      </w:r>
      <w:r>
        <w:rPr>
          <w:spacing w:val="9"/>
        </w:rPr>
        <w:t xml:space="preserve"> </w:t>
      </w:r>
      <w:r>
        <w:rPr>
          <w:spacing w:val="-1"/>
        </w:rPr>
        <w:t>penalty</w:t>
      </w:r>
      <w:r>
        <w:rPr>
          <w:spacing w:val="5"/>
        </w:rPr>
        <w:t xml:space="preserve"> </w:t>
      </w:r>
      <w:r>
        <w:rPr>
          <w:spacing w:val="-1"/>
        </w:rPr>
        <w:t>or</w:t>
      </w:r>
      <w:r>
        <w:rPr>
          <w:spacing w:val="9"/>
        </w:rPr>
        <w:t xml:space="preserve"> </w:t>
      </w:r>
      <w:r>
        <w:rPr>
          <w:spacing w:val="-1"/>
        </w:rPr>
        <w:t>costs</w:t>
      </w:r>
      <w:r>
        <w:rPr>
          <w:spacing w:val="8"/>
        </w:rPr>
        <w:t xml:space="preserve"> </w:t>
      </w:r>
      <w:r>
        <w:rPr>
          <w:spacing w:val="-1"/>
        </w:rPr>
        <w:t>incurred</w:t>
      </w:r>
      <w:r>
        <w:rPr>
          <w:spacing w:val="7"/>
        </w:rPr>
        <w:t xml:space="preserve"> </w:t>
      </w:r>
      <w:r>
        <w:rPr>
          <w:spacing w:val="-1"/>
        </w:rPr>
        <w:t>by</w:t>
      </w:r>
      <w:r>
        <w:rPr>
          <w:spacing w:val="5"/>
        </w:rPr>
        <w:t xml:space="preserve"> </w:t>
      </w:r>
      <w:r>
        <w:t>the</w:t>
      </w:r>
      <w:r>
        <w:rPr>
          <w:spacing w:val="7"/>
        </w:rPr>
        <w:t xml:space="preserve"> </w:t>
      </w:r>
      <w:r>
        <w:rPr>
          <w:spacing w:val="-1"/>
        </w:rPr>
        <w:t>Customer</w:t>
      </w:r>
      <w:r>
        <w:rPr>
          <w:spacing w:val="9"/>
        </w:rPr>
        <w:t xml:space="preserve"> </w:t>
      </w:r>
      <w:r>
        <w:rPr>
          <w:spacing w:val="-1"/>
        </w:rPr>
        <w:t>pursuant</w:t>
      </w:r>
      <w:r>
        <w:rPr>
          <w:spacing w:val="7"/>
        </w:rPr>
        <w:t xml:space="preserve"> </w:t>
      </w:r>
      <w:r>
        <w:t>to</w:t>
      </w:r>
      <w:r>
        <w:rPr>
          <w:spacing w:val="35"/>
        </w:rPr>
        <w:t xml:space="preserve"> </w:t>
      </w:r>
      <w:r>
        <w:rPr>
          <w:spacing w:val="-2"/>
        </w:rPr>
        <w:t>Law.</w:t>
      </w:r>
    </w:p>
    <w:p w:rsidR="008918FA" w:rsidRDefault="008918FA" w:rsidP="008918FA">
      <w:pPr>
        <w:pStyle w:val="Heading1"/>
        <w:numPr>
          <w:ilvl w:val="1"/>
          <w:numId w:val="66"/>
        </w:numPr>
        <w:tabs>
          <w:tab w:val="left" w:pos="1252"/>
        </w:tabs>
        <w:ind w:left="1251" w:hanging="564"/>
        <w:rPr>
          <w:b w:val="0"/>
          <w:bCs w:val="0"/>
        </w:rPr>
      </w:pPr>
      <w:r>
        <w:rPr>
          <w:spacing w:val="-1"/>
        </w:rPr>
        <w:t>Miscellaneous</w:t>
      </w:r>
    </w:p>
    <w:p w:rsidR="008918FA" w:rsidRDefault="008918FA" w:rsidP="008918FA">
      <w:pPr>
        <w:pStyle w:val="BodyText"/>
        <w:numPr>
          <w:ilvl w:val="2"/>
          <w:numId w:val="66"/>
        </w:numPr>
        <w:tabs>
          <w:tab w:val="left" w:pos="2246"/>
        </w:tabs>
        <w:spacing w:before="121"/>
        <w:ind w:left="2245" w:right="116"/>
        <w:jc w:val="both"/>
      </w:pPr>
      <w:r>
        <w:rPr>
          <w:spacing w:val="-1"/>
        </w:rPr>
        <w:t>Each</w:t>
      </w:r>
      <w:r>
        <w:rPr>
          <w:spacing w:val="5"/>
        </w:rPr>
        <w:t xml:space="preserve"> </w:t>
      </w:r>
      <w:r>
        <w:rPr>
          <w:spacing w:val="-1"/>
        </w:rPr>
        <w:t>Party</w:t>
      </w:r>
      <w:r>
        <w:rPr>
          <w:spacing w:val="3"/>
        </w:rPr>
        <w:t xml:space="preserve"> </w:t>
      </w:r>
      <w:r>
        <w:rPr>
          <w:spacing w:val="-1"/>
        </w:rPr>
        <w:t>shall</w:t>
      </w:r>
      <w:r>
        <w:rPr>
          <w:spacing w:val="4"/>
        </w:rPr>
        <w:t xml:space="preserve"> </w:t>
      </w:r>
      <w:r>
        <w:rPr>
          <w:spacing w:val="-1"/>
        </w:rPr>
        <w:t>use</w:t>
      </w:r>
      <w:r>
        <w:rPr>
          <w:spacing w:val="5"/>
        </w:rPr>
        <w:t xml:space="preserve"> </w:t>
      </w:r>
      <w:r>
        <w:t>all</w:t>
      </w:r>
      <w:r>
        <w:rPr>
          <w:spacing w:val="4"/>
        </w:rPr>
        <w:t xml:space="preserve"> </w:t>
      </w:r>
      <w:r>
        <w:rPr>
          <w:spacing w:val="-1"/>
        </w:rPr>
        <w:t>reasonable</w:t>
      </w:r>
      <w:r>
        <w:rPr>
          <w:spacing w:val="5"/>
        </w:rPr>
        <w:t xml:space="preserve"> </w:t>
      </w:r>
      <w:r>
        <w:rPr>
          <w:spacing w:val="-1"/>
        </w:rPr>
        <w:t>endeavours</w:t>
      </w:r>
      <w:r>
        <w:rPr>
          <w:spacing w:val="5"/>
        </w:rPr>
        <w:t xml:space="preserve"> </w:t>
      </w:r>
      <w:r>
        <w:t>to</w:t>
      </w:r>
      <w:r>
        <w:rPr>
          <w:spacing w:val="5"/>
        </w:rPr>
        <w:t xml:space="preserve"> </w:t>
      </w:r>
      <w:r>
        <w:rPr>
          <w:spacing w:val="-1"/>
        </w:rPr>
        <w:t>mitigate</w:t>
      </w:r>
      <w:r>
        <w:rPr>
          <w:spacing w:val="5"/>
        </w:rPr>
        <w:t xml:space="preserve"> </w:t>
      </w:r>
      <w:r>
        <w:rPr>
          <w:spacing w:val="-1"/>
        </w:rPr>
        <w:t>any</w:t>
      </w:r>
      <w:r>
        <w:rPr>
          <w:spacing w:val="3"/>
        </w:rPr>
        <w:t xml:space="preserve"> </w:t>
      </w:r>
      <w:r>
        <w:rPr>
          <w:spacing w:val="-1"/>
        </w:rPr>
        <w:t>loss</w:t>
      </w:r>
      <w:r>
        <w:rPr>
          <w:spacing w:val="6"/>
        </w:rPr>
        <w:t xml:space="preserve"> </w:t>
      </w:r>
      <w:r>
        <w:rPr>
          <w:spacing w:val="-1"/>
        </w:rPr>
        <w:t>or</w:t>
      </w:r>
      <w:r>
        <w:rPr>
          <w:spacing w:val="38"/>
        </w:rPr>
        <w:t xml:space="preserve"> </w:t>
      </w:r>
      <w:r>
        <w:rPr>
          <w:spacing w:val="-1"/>
        </w:rPr>
        <w:t>damage</w:t>
      </w:r>
      <w:r>
        <w:rPr>
          <w:spacing w:val="60"/>
        </w:rPr>
        <w:t xml:space="preserve"> </w:t>
      </w:r>
      <w:r>
        <w:rPr>
          <w:spacing w:val="-1"/>
        </w:rPr>
        <w:t>suffered</w:t>
      </w:r>
      <w:r>
        <w:rPr>
          <w:spacing w:val="60"/>
        </w:rPr>
        <w:t xml:space="preserve"> </w:t>
      </w:r>
      <w:r>
        <w:rPr>
          <w:spacing w:val="-1"/>
        </w:rPr>
        <w:t>arising</w:t>
      </w:r>
      <w:r>
        <w:rPr>
          <w:spacing w:val="2"/>
        </w:rPr>
        <w:t xml:space="preserve"> </w:t>
      </w:r>
      <w:r>
        <w:rPr>
          <w:spacing w:val="-1"/>
        </w:rPr>
        <w:t>out</w:t>
      </w:r>
      <w:r>
        <w:rPr>
          <w:spacing w:val="1"/>
        </w:rPr>
        <w:t xml:space="preserve"> </w:t>
      </w:r>
      <w:r>
        <w:rPr>
          <w:spacing w:val="-2"/>
        </w:rPr>
        <w:t>of</w:t>
      </w:r>
      <w:r>
        <w:rPr>
          <w:spacing w:val="3"/>
        </w:rPr>
        <w:t xml:space="preserve"> </w:t>
      </w:r>
      <w:r>
        <w:rPr>
          <w:spacing w:val="-1"/>
        </w:rPr>
        <w:t>or</w:t>
      </w:r>
      <w:r w:rsidR="001C1527">
        <w:t xml:space="preserve"> </w:t>
      </w:r>
      <w:r>
        <w:rPr>
          <w:spacing w:val="-1"/>
        </w:rPr>
        <w:t>in</w:t>
      </w:r>
      <w:r>
        <w:rPr>
          <w:spacing w:val="60"/>
        </w:rPr>
        <w:t xml:space="preserve"> </w:t>
      </w:r>
      <w:r>
        <w:rPr>
          <w:spacing w:val="-1"/>
        </w:rPr>
        <w:t>connection</w:t>
      </w:r>
      <w:r>
        <w:rPr>
          <w:spacing w:val="2"/>
        </w:rPr>
        <w:t xml:space="preserve"> </w:t>
      </w:r>
      <w:r>
        <w:rPr>
          <w:spacing w:val="-2"/>
        </w:rPr>
        <w:t>with</w:t>
      </w:r>
      <w:r>
        <w:rPr>
          <w:spacing w:val="2"/>
        </w:rPr>
        <w:t xml:space="preserve"> </w:t>
      </w:r>
      <w:r>
        <w:rPr>
          <w:spacing w:val="-1"/>
        </w:rPr>
        <w:t>this</w:t>
      </w:r>
      <w:r>
        <w:t xml:space="preserve"> </w:t>
      </w:r>
      <w:r>
        <w:rPr>
          <w:spacing w:val="-1"/>
        </w:rPr>
        <w:t>Call</w:t>
      </w:r>
      <w:r>
        <w:rPr>
          <w:spacing w:val="59"/>
        </w:rPr>
        <w:t xml:space="preserve"> </w:t>
      </w:r>
      <w:r>
        <w:rPr>
          <w:spacing w:val="-1"/>
        </w:rPr>
        <w:t>Off</w:t>
      </w:r>
      <w:r>
        <w:rPr>
          <w:spacing w:val="47"/>
        </w:rPr>
        <w:t xml:space="preserve"> </w:t>
      </w:r>
      <w:r>
        <w:rPr>
          <w:spacing w:val="-1"/>
        </w:rPr>
        <w:t>Contract.</w:t>
      </w:r>
    </w:p>
    <w:p w:rsidR="008918FA" w:rsidRDefault="008918FA" w:rsidP="008918FA">
      <w:pPr>
        <w:pStyle w:val="BodyText"/>
        <w:numPr>
          <w:ilvl w:val="2"/>
          <w:numId w:val="66"/>
        </w:numPr>
        <w:tabs>
          <w:tab w:val="left" w:pos="2246"/>
        </w:tabs>
        <w:spacing w:before="121"/>
        <w:ind w:left="2245" w:right="118"/>
        <w:jc w:val="both"/>
      </w:pPr>
      <w:r>
        <w:rPr>
          <w:spacing w:val="-1"/>
        </w:rPr>
        <w:t>Any</w:t>
      </w:r>
      <w:r>
        <w:rPr>
          <w:spacing w:val="10"/>
        </w:rPr>
        <w:t xml:space="preserve"> </w:t>
      </w:r>
      <w:r>
        <w:rPr>
          <w:spacing w:val="-1"/>
        </w:rPr>
        <w:t>Deductions</w:t>
      </w:r>
      <w:r>
        <w:rPr>
          <w:spacing w:val="13"/>
        </w:rPr>
        <w:t xml:space="preserve"> </w:t>
      </w:r>
      <w:r>
        <w:rPr>
          <w:spacing w:val="-1"/>
        </w:rPr>
        <w:t>shall</w:t>
      </w:r>
      <w:r>
        <w:rPr>
          <w:spacing w:val="14"/>
        </w:rPr>
        <w:t xml:space="preserve"> </w:t>
      </w:r>
      <w:r>
        <w:t>not</w:t>
      </w:r>
      <w:r>
        <w:rPr>
          <w:spacing w:val="14"/>
        </w:rPr>
        <w:t xml:space="preserve"> </w:t>
      </w:r>
      <w:r>
        <w:rPr>
          <w:spacing w:val="-1"/>
        </w:rPr>
        <w:t>be</w:t>
      </w:r>
      <w:r>
        <w:rPr>
          <w:spacing w:val="12"/>
        </w:rPr>
        <w:t xml:space="preserve"> </w:t>
      </w:r>
      <w:r>
        <w:rPr>
          <w:spacing w:val="-1"/>
        </w:rPr>
        <w:t>taken</w:t>
      </w:r>
      <w:r>
        <w:rPr>
          <w:spacing w:val="12"/>
        </w:rPr>
        <w:t xml:space="preserve"> </w:t>
      </w:r>
      <w:r>
        <w:rPr>
          <w:spacing w:val="-1"/>
        </w:rPr>
        <w:t>into</w:t>
      </w:r>
      <w:r>
        <w:rPr>
          <w:spacing w:val="12"/>
        </w:rPr>
        <w:t xml:space="preserve"> </w:t>
      </w:r>
      <w:r>
        <w:rPr>
          <w:spacing w:val="-1"/>
        </w:rPr>
        <w:t>consideration</w:t>
      </w:r>
      <w:r>
        <w:rPr>
          <w:spacing w:val="12"/>
        </w:rPr>
        <w:t xml:space="preserve"> </w:t>
      </w:r>
      <w:r>
        <w:rPr>
          <w:spacing w:val="-2"/>
        </w:rPr>
        <w:t>when</w:t>
      </w:r>
      <w:r>
        <w:rPr>
          <w:spacing w:val="12"/>
        </w:rPr>
        <w:t xml:space="preserve"> </w:t>
      </w:r>
      <w:r>
        <w:rPr>
          <w:spacing w:val="-1"/>
        </w:rPr>
        <w:t>calculating</w:t>
      </w:r>
      <w:r>
        <w:rPr>
          <w:spacing w:val="36"/>
        </w:rPr>
        <w:t xml:space="preserve"> </w:t>
      </w:r>
      <w:r>
        <w:t xml:space="preserve">the </w:t>
      </w:r>
      <w:r>
        <w:rPr>
          <w:spacing w:val="-2"/>
        </w:rPr>
        <w:t>Supplier’s</w:t>
      </w:r>
      <w:r>
        <w:rPr>
          <w:spacing w:val="1"/>
        </w:rPr>
        <w:t xml:space="preserve"> </w:t>
      </w:r>
      <w:r>
        <w:rPr>
          <w:spacing w:val="-2"/>
        </w:rPr>
        <w:t xml:space="preserve">liability </w:t>
      </w:r>
      <w:r>
        <w:rPr>
          <w:spacing w:val="-1"/>
        </w:rPr>
        <w:t>under</w:t>
      </w:r>
      <w:r>
        <w:rPr>
          <w:spacing w:val="2"/>
        </w:rPr>
        <w:t xml:space="preserve"> </w:t>
      </w:r>
      <w:r>
        <w:rPr>
          <w:spacing w:val="-2"/>
        </w:rPr>
        <w:t>Clause</w:t>
      </w:r>
      <w:r>
        <w:rPr>
          <w:spacing w:val="2"/>
        </w:rPr>
        <w:t xml:space="preserve"> </w:t>
      </w:r>
      <w:hyperlink w:anchor="_bookmark202" w:history="1">
        <w:r>
          <w:rPr>
            <w:spacing w:val="-1"/>
          </w:rPr>
          <w:t>36.2</w:t>
        </w:r>
      </w:hyperlink>
      <w:r>
        <w:rPr>
          <w:spacing w:val="-2"/>
        </w:rPr>
        <w:t xml:space="preserve"> </w:t>
      </w:r>
      <w:r>
        <w:rPr>
          <w:spacing w:val="-1"/>
        </w:rPr>
        <w:t>(Financial</w:t>
      </w:r>
      <w:r>
        <w:t xml:space="preserve"> </w:t>
      </w:r>
      <w:r>
        <w:rPr>
          <w:spacing w:val="-1"/>
        </w:rPr>
        <w:t>Limits).</w:t>
      </w:r>
    </w:p>
    <w:p w:rsidR="008918FA" w:rsidRDefault="008918FA" w:rsidP="008918FA">
      <w:pPr>
        <w:pStyle w:val="BodyText"/>
        <w:numPr>
          <w:ilvl w:val="0"/>
          <w:numId w:val="66"/>
        </w:numPr>
        <w:tabs>
          <w:tab w:val="left" w:pos="686"/>
        </w:tabs>
        <w:spacing w:before="117"/>
        <w:ind w:left="685" w:hanging="566"/>
        <w:rPr>
          <w:rFonts w:ascii="Times New Roman" w:eastAsia="Times New Roman" w:hAnsi="Times New Roman" w:cs="Times New Roman"/>
        </w:rPr>
      </w:pPr>
      <w:bookmarkStart w:id="249" w:name="_bookmark211"/>
      <w:bookmarkEnd w:id="249"/>
      <w:r>
        <w:rPr>
          <w:rFonts w:ascii="Times New Roman"/>
          <w:spacing w:val="-5"/>
        </w:rPr>
        <w:t>INS</w:t>
      </w:r>
      <w:r>
        <w:rPr>
          <w:rFonts w:ascii="Times New Roman"/>
          <w:spacing w:val="-32"/>
        </w:rPr>
        <w:t xml:space="preserve"> </w:t>
      </w:r>
      <w:r>
        <w:rPr>
          <w:rFonts w:ascii="Times New Roman"/>
          <w:spacing w:val="2"/>
        </w:rPr>
        <w:t>URANCE</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3"/>
        </w:tabs>
        <w:spacing w:before="0"/>
        <w:ind w:left="1048" w:right="115" w:hanging="361"/>
        <w:jc w:val="both"/>
      </w:pPr>
      <w:r>
        <w:rPr>
          <w:spacing w:val="-1"/>
        </w:rPr>
        <w:t>This</w:t>
      </w:r>
      <w:r>
        <w:rPr>
          <w:spacing w:val="5"/>
        </w:rPr>
        <w:t xml:space="preserve"> </w:t>
      </w:r>
      <w:r>
        <w:rPr>
          <w:spacing w:val="-2"/>
        </w:rPr>
        <w:t>Clause</w:t>
      </w:r>
      <w:r>
        <w:rPr>
          <w:spacing w:val="6"/>
        </w:rPr>
        <w:t xml:space="preserve"> </w:t>
      </w:r>
      <w:hyperlink w:anchor="_bookmark211" w:history="1">
        <w:r>
          <w:rPr>
            <w:spacing w:val="-1"/>
          </w:rPr>
          <w:t>37</w:t>
        </w:r>
      </w:hyperlink>
      <w:r>
        <w:rPr>
          <w:spacing w:val="5"/>
        </w:rPr>
        <w:t xml:space="preserve"> </w:t>
      </w:r>
      <w:r>
        <w:rPr>
          <w:spacing w:val="-2"/>
        </w:rPr>
        <w:t>will</w:t>
      </w:r>
      <w:r>
        <w:rPr>
          <w:spacing w:val="4"/>
        </w:rPr>
        <w:t xml:space="preserve"> </w:t>
      </w:r>
      <w:r>
        <w:t>only</w:t>
      </w:r>
      <w:r>
        <w:rPr>
          <w:spacing w:val="5"/>
        </w:rPr>
        <w:t xml:space="preserve"> </w:t>
      </w:r>
      <w:r>
        <w:rPr>
          <w:spacing w:val="-1"/>
        </w:rPr>
        <w:t>apply</w:t>
      </w:r>
      <w:r>
        <w:rPr>
          <w:spacing w:val="5"/>
        </w:rPr>
        <w:t xml:space="preserve"> </w:t>
      </w:r>
      <w:r>
        <w:rPr>
          <w:spacing w:val="-1"/>
        </w:rPr>
        <w:t>where</w:t>
      </w:r>
      <w:r>
        <w:rPr>
          <w:spacing w:val="5"/>
        </w:rPr>
        <w:t xml:space="preserve"> </w:t>
      </w:r>
      <w:r>
        <w:rPr>
          <w:spacing w:val="-1"/>
        </w:rPr>
        <w:t>specified</w:t>
      </w:r>
      <w:r>
        <w:rPr>
          <w:spacing w:val="5"/>
        </w:rPr>
        <w:t xml:space="preserve"> </w:t>
      </w:r>
      <w:r>
        <w:rPr>
          <w:spacing w:val="-1"/>
        </w:rPr>
        <w:t>in</w:t>
      </w:r>
      <w:r>
        <w:rPr>
          <w:spacing w:val="5"/>
        </w:rPr>
        <w:t xml:space="preserve"> </w:t>
      </w:r>
      <w:r>
        <w:t>the</w:t>
      </w:r>
      <w:r>
        <w:rPr>
          <w:spacing w:val="5"/>
        </w:rPr>
        <w:t xml:space="preserve"> </w:t>
      </w:r>
      <w:r>
        <w:rPr>
          <w:spacing w:val="-1"/>
        </w:rPr>
        <w:t>Order</w:t>
      </w:r>
      <w:r>
        <w:rPr>
          <w:spacing w:val="6"/>
        </w:rPr>
        <w:t xml:space="preserve"> </w:t>
      </w:r>
      <w:r>
        <w:rPr>
          <w:spacing w:val="-1"/>
        </w:rPr>
        <w:t>Form</w:t>
      </w:r>
      <w:r>
        <w:rPr>
          <w:spacing w:val="6"/>
        </w:rPr>
        <w:t xml:space="preserve"> </w:t>
      </w:r>
      <w:r>
        <w:rPr>
          <w:spacing w:val="-1"/>
        </w:rPr>
        <w:t>or</w:t>
      </w:r>
      <w:r>
        <w:rPr>
          <w:spacing w:val="9"/>
        </w:rPr>
        <w:t xml:space="preserve"> </w:t>
      </w:r>
      <w:r>
        <w:rPr>
          <w:spacing w:val="-2"/>
        </w:rPr>
        <w:t>elsewhere</w:t>
      </w:r>
      <w:r>
        <w:rPr>
          <w:spacing w:val="5"/>
        </w:rPr>
        <w:t xml:space="preserve"> </w:t>
      </w:r>
      <w:r>
        <w:rPr>
          <w:spacing w:val="-1"/>
        </w:rPr>
        <w:t>in</w:t>
      </w:r>
      <w:r>
        <w:rPr>
          <w:spacing w:val="59"/>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2"/>
        </w:rPr>
        <w:t>Contract.</w:t>
      </w:r>
    </w:p>
    <w:p w:rsidR="008918FA" w:rsidRDefault="008918FA" w:rsidP="008918FA">
      <w:pPr>
        <w:pStyle w:val="BodyText"/>
        <w:numPr>
          <w:ilvl w:val="1"/>
          <w:numId w:val="66"/>
        </w:numPr>
        <w:tabs>
          <w:tab w:val="left" w:pos="1253"/>
        </w:tabs>
        <w:spacing w:before="121"/>
        <w:ind w:left="1048" w:right="115" w:hanging="360"/>
        <w:jc w:val="both"/>
      </w:pPr>
      <w:bookmarkStart w:id="250" w:name="_bookmark212"/>
      <w:bookmarkEnd w:id="250"/>
      <w:r>
        <w:rPr>
          <w:spacing w:val="-1"/>
        </w:rPr>
        <w:t>Notwithstanding</w:t>
      </w:r>
      <w:r>
        <w:rPr>
          <w:spacing w:val="5"/>
        </w:rPr>
        <w:t xml:space="preserve"> </w:t>
      </w:r>
      <w:r>
        <w:rPr>
          <w:spacing w:val="-1"/>
        </w:rPr>
        <w:t>any</w:t>
      </w:r>
      <w:r>
        <w:rPr>
          <w:spacing w:val="1"/>
        </w:rPr>
        <w:t xml:space="preserve"> </w:t>
      </w:r>
      <w:r>
        <w:rPr>
          <w:spacing w:val="-1"/>
        </w:rPr>
        <w:t>benefit</w:t>
      </w:r>
      <w:r>
        <w:rPr>
          <w:spacing w:val="4"/>
        </w:rPr>
        <w:t xml:space="preserve"> </w:t>
      </w:r>
      <w:r>
        <w:t>to the</w:t>
      </w:r>
      <w:r>
        <w:rPr>
          <w:spacing w:val="3"/>
        </w:rPr>
        <w:t xml:space="preserve"> </w:t>
      </w:r>
      <w:r>
        <w:rPr>
          <w:spacing w:val="-2"/>
        </w:rPr>
        <w:t>Customer</w:t>
      </w:r>
      <w:r>
        <w:rPr>
          <w:spacing w:val="4"/>
        </w:rPr>
        <w:t xml:space="preserve"> </w:t>
      </w:r>
      <w:r>
        <w:rPr>
          <w:spacing w:val="-2"/>
        </w:rPr>
        <w:t>of</w:t>
      </w:r>
      <w:r>
        <w:rPr>
          <w:spacing w:val="4"/>
        </w:rPr>
        <w:t xml:space="preserve"> </w:t>
      </w:r>
      <w:r>
        <w:rPr>
          <w:spacing w:val="-1"/>
        </w:rPr>
        <w:t>the</w:t>
      </w:r>
      <w:r>
        <w:rPr>
          <w:spacing w:val="3"/>
        </w:rPr>
        <w:t xml:space="preserve"> </w:t>
      </w:r>
      <w:r>
        <w:rPr>
          <w:spacing w:val="-2"/>
        </w:rPr>
        <w:t>policy</w:t>
      </w:r>
      <w:r>
        <w:rPr>
          <w:spacing w:val="1"/>
        </w:rPr>
        <w:t xml:space="preserve"> </w:t>
      </w:r>
      <w:r>
        <w:rPr>
          <w:spacing w:val="-1"/>
        </w:rPr>
        <w:t>or</w:t>
      </w:r>
      <w:r>
        <w:rPr>
          <w:spacing w:val="4"/>
        </w:rPr>
        <w:t xml:space="preserve"> </w:t>
      </w:r>
      <w:r>
        <w:rPr>
          <w:spacing w:val="-2"/>
        </w:rPr>
        <w:t>policies</w:t>
      </w:r>
      <w:r>
        <w:rPr>
          <w:spacing w:val="3"/>
        </w:rPr>
        <w:t xml:space="preserve"> </w:t>
      </w:r>
      <w:r>
        <w:rPr>
          <w:spacing w:val="-1"/>
        </w:rPr>
        <w:t>of</w:t>
      </w:r>
      <w:r>
        <w:rPr>
          <w:spacing w:val="6"/>
        </w:rPr>
        <w:t xml:space="preserve"> </w:t>
      </w:r>
      <w:r>
        <w:rPr>
          <w:spacing w:val="-1"/>
        </w:rPr>
        <w:t>insurance</w:t>
      </w:r>
      <w:r>
        <w:rPr>
          <w:spacing w:val="58"/>
        </w:rPr>
        <w:t xml:space="preserve"> </w:t>
      </w:r>
      <w:r>
        <w:rPr>
          <w:spacing w:val="-1"/>
        </w:rPr>
        <w:t>referred</w:t>
      </w:r>
      <w:r>
        <w:rPr>
          <w:spacing w:val="38"/>
        </w:rPr>
        <w:t xml:space="preserve"> </w:t>
      </w:r>
      <w:r>
        <w:t>to</w:t>
      </w:r>
      <w:r>
        <w:rPr>
          <w:spacing w:val="38"/>
        </w:rPr>
        <w:t xml:space="preserve"> </w:t>
      </w:r>
      <w:r>
        <w:rPr>
          <w:spacing w:val="-1"/>
        </w:rPr>
        <w:t>in</w:t>
      </w:r>
      <w:r>
        <w:rPr>
          <w:spacing w:val="39"/>
        </w:rPr>
        <w:t xml:space="preserve"> </w:t>
      </w:r>
      <w:r>
        <w:rPr>
          <w:spacing w:val="-2"/>
        </w:rPr>
        <w:t>Clause</w:t>
      </w:r>
      <w:r>
        <w:rPr>
          <w:spacing w:val="39"/>
        </w:rPr>
        <w:t xml:space="preserve"> </w:t>
      </w:r>
      <w:r>
        <w:rPr>
          <w:spacing w:val="-1"/>
        </w:rPr>
        <w:t>28</w:t>
      </w:r>
      <w:r>
        <w:rPr>
          <w:spacing w:val="38"/>
        </w:rPr>
        <w:t xml:space="preserve"> </w:t>
      </w:r>
      <w:r>
        <w:rPr>
          <w:spacing w:val="-1"/>
        </w:rPr>
        <w:t>(Insurance)</w:t>
      </w:r>
      <w:r>
        <w:rPr>
          <w:spacing w:val="40"/>
        </w:rPr>
        <w:t xml:space="preserve"> </w:t>
      </w:r>
      <w:r>
        <w:rPr>
          <w:spacing w:val="-2"/>
        </w:rPr>
        <w:t>of</w:t>
      </w:r>
      <w:r>
        <w:rPr>
          <w:spacing w:val="41"/>
        </w:rPr>
        <w:t xml:space="preserve"> </w:t>
      </w:r>
      <w:r>
        <w:t>the</w:t>
      </w:r>
      <w:r>
        <w:rPr>
          <w:spacing w:val="38"/>
        </w:rPr>
        <w:t xml:space="preserve"> </w:t>
      </w:r>
      <w:r>
        <w:rPr>
          <w:spacing w:val="-2"/>
        </w:rPr>
        <w:t>Framework</w:t>
      </w:r>
      <w:r>
        <w:rPr>
          <w:spacing w:val="41"/>
        </w:rPr>
        <w:t xml:space="preserve"> </w:t>
      </w:r>
      <w:r>
        <w:rPr>
          <w:spacing w:val="-1"/>
        </w:rPr>
        <w:t>Agreement,</w:t>
      </w:r>
      <w:r>
        <w:rPr>
          <w:spacing w:val="40"/>
        </w:rPr>
        <w:t xml:space="preserve"> </w:t>
      </w:r>
      <w:r>
        <w:rPr>
          <w:spacing w:val="-1"/>
        </w:rPr>
        <w:t>the</w:t>
      </w:r>
      <w:r>
        <w:rPr>
          <w:spacing w:val="38"/>
        </w:rPr>
        <w:t xml:space="preserve"> </w:t>
      </w:r>
      <w:r>
        <w:rPr>
          <w:spacing w:val="-2"/>
        </w:rPr>
        <w:t>Supplier</w:t>
      </w:r>
      <w:r>
        <w:rPr>
          <w:spacing w:val="64"/>
        </w:rPr>
        <w:t xml:space="preserve"> </w:t>
      </w:r>
      <w:r>
        <w:rPr>
          <w:spacing w:val="-1"/>
        </w:rPr>
        <w:t>shall</w:t>
      </w:r>
      <w:r>
        <w:rPr>
          <w:spacing w:val="17"/>
        </w:rPr>
        <w:t xml:space="preserve"> </w:t>
      </w:r>
      <w:r>
        <w:rPr>
          <w:spacing w:val="-1"/>
        </w:rPr>
        <w:t>effect</w:t>
      </w:r>
      <w:r>
        <w:rPr>
          <w:spacing w:val="19"/>
        </w:rPr>
        <w:t xml:space="preserve"> </w:t>
      </w:r>
      <w:r>
        <w:rPr>
          <w:spacing w:val="-1"/>
        </w:rPr>
        <w:t>and</w:t>
      </w:r>
      <w:r>
        <w:rPr>
          <w:spacing w:val="17"/>
        </w:rPr>
        <w:t xml:space="preserve"> </w:t>
      </w:r>
      <w:r>
        <w:rPr>
          <w:spacing w:val="-1"/>
        </w:rPr>
        <w:t>maintain</w:t>
      </w:r>
      <w:r>
        <w:rPr>
          <w:spacing w:val="17"/>
        </w:rPr>
        <w:t xml:space="preserve"> </w:t>
      </w:r>
      <w:r>
        <w:rPr>
          <w:spacing w:val="-1"/>
        </w:rPr>
        <w:t>such</w:t>
      </w:r>
      <w:r>
        <w:rPr>
          <w:spacing w:val="15"/>
        </w:rPr>
        <w:t xml:space="preserve"> </w:t>
      </w:r>
      <w:r>
        <w:rPr>
          <w:spacing w:val="-1"/>
        </w:rPr>
        <w:t>further</w:t>
      </w:r>
      <w:r>
        <w:rPr>
          <w:spacing w:val="19"/>
        </w:rPr>
        <w:t xml:space="preserve"> </w:t>
      </w:r>
      <w:r>
        <w:rPr>
          <w:spacing w:val="-2"/>
        </w:rPr>
        <w:t>policy</w:t>
      </w:r>
      <w:r>
        <w:rPr>
          <w:spacing w:val="16"/>
        </w:rPr>
        <w:t xml:space="preserve"> </w:t>
      </w:r>
      <w:r>
        <w:rPr>
          <w:spacing w:val="-1"/>
        </w:rPr>
        <w:t>or</w:t>
      </w:r>
      <w:r>
        <w:rPr>
          <w:spacing w:val="19"/>
        </w:rPr>
        <w:t xml:space="preserve"> </w:t>
      </w:r>
      <w:r>
        <w:rPr>
          <w:spacing w:val="-2"/>
        </w:rPr>
        <w:t>policies</w:t>
      </w:r>
      <w:r>
        <w:rPr>
          <w:spacing w:val="20"/>
        </w:rPr>
        <w:t xml:space="preserve"> </w:t>
      </w:r>
      <w:r>
        <w:rPr>
          <w:spacing w:val="-1"/>
        </w:rPr>
        <w:t>of</w:t>
      </w:r>
      <w:r>
        <w:rPr>
          <w:spacing w:val="21"/>
        </w:rPr>
        <w:t xml:space="preserve"> </w:t>
      </w:r>
      <w:r>
        <w:rPr>
          <w:spacing w:val="-1"/>
        </w:rPr>
        <w:t>insurance</w:t>
      </w:r>
      <w:r>
        <w:rPr>
          <w:spacing w:val="18"/>
        </w:rPr>
        <w:t xml:space="preserve"> </w:t>
      </w:r>
      <w:r>
        <w:rPr>
          <w:spacing w:val="-1"/>
        </w:rPr>
        <w:t>or</w:t>
      </w:r>
      <w:r>
        <w:rPr>
          <w:spacing w:val="19"/>
        </w:rPr>
        <w:t xml:space="preserve"> </w:t>
      </w:r>
      <w:r>
        <w:rPr>
          <w:spacing w:val="-2"/>
        </w:rPr>
        <w:t>extensions</w:t>
      </w:r>
      <w:r>
        <w:rPr>
          <w:spacing w:val="80"/>
        </w:rPr>
        <w:t xml:space="preserve"> </w:t>
      </w:r>
      <w:r>
        <w:t>to</w:t>
      </w:r>
      <w:r>
        <w:rPr>
          <w:spacing w:val="53"/>
        </w:rPr>
        <w:t xml:space="preserve"> </w:t>
      </w:r>
      <w:r>
        <w:rPr>
          <w:spacing w:val="-1"/>
        </w:rPr>
        <w:t>such</w:t>
      </w:r>
      <w:r>
        <w:rPr>
          <w:spacing w:val="53"/>
        </w:rPr>
        <w:t xml:space="preserve"> </w:t>
      </w:r>
      <w:r>
        <w:rPr>
          <w:spacing w:val="-2"/>
        </w:rPr>
        <w:t>existing</w:t>
      </w:r>
      <w:r>
        <w:rPr>
          <w:spacing w:val="53"/>
        </w:rPr>
        <w:t xml:space="preserve"> </w:t>
      </w:r>
      <w:r>
        <w:rPr>
          <w:spacing w:val="-2"/>
        </w:rPr>
        <w:t>policy</w:t>
      </w:r>
      <w:r>
        <w:rPr>
          <w:spacing w:val="54"/>
        </w:rPr>
        <w:t xml:space="preserve"> </w:t>
      </w:r>
      <w:r>
        <w:rPr>
          <w:spacing w:val="-1"/>
        </w:rPr>
        <w:t>or</w:t>
      </w:r>
      <w:r>
        <w:rPr>
          <w:spacing w:val="54"/>
        </w:rPr>
        <w:t xml:space="preserve"> </w:t>
      </w:r>
      <w:r>
        <w:rPr>
          <w:spacing w:val="-2"/>
        </w:rPr>
        <w:t>policies</w:t>
      </w:r>
      <w:r>
        <w:rPr>
          <w:spacing w:val="53"/>
        </w:rPr>
        <w:t xml:space="preserve"> </w:t>
      </w:r>
      <w:r>
        <w:rPr>
          <w:spacing w:val="-2"/>
        </w:rPr>
        <w:t>of</w:t>
      </w:r>
      <w:r>
        <w:rPr>
          <w:spacing w:val="58"/>
        </w:rPr>
        <w:t xml:space="preserve"> </w:t>
      </w:r>
      <w:r>
        <w:rPr>
          <w:spacing w:val="-1"/>
        </w:rPr>
        <w:t>insurance</w:t>
      </w:r>
      <w:r>
        <w:rPr>
          <w:spacing w:val="51"/>
        </w:rPr>
        <w:t xml:space="preserve"> </w:t>
      </w:r>
      <w:r>
        <w:rPr>
          <w:spacing w:val="-1"/>
        </w:rPr>
        <w:t>procured</w:t>
      </w:r>
      <w:r>
        <w:rPr>
          <w:spacing w:val="51"/>
        </w:rPr>
        <w:t xml:space="preserve"> </w:t>
      </w:r>
      <w:r>
        <w:rPr>
          <w:spacing w:val="-1"/>
        </w:rPr>
        <w:t>under</w:t>
      </w:r>
      <w:r>
        <w:rPr>
          <w:spacing w:val="52"/>
        </w:rPr>
        <w:t xml:space="preserve"> </w:t>
      </w:r>
      <w:r>
        <w:t>the</w:t>
      </w:r>
      <w:r>
        <w:rPr>
          <w:spacing w:val="53"/>
        </w:rPr>
        <w:t xml:space="preserve"> </w:t>
      </w:r>
      <w:r>
        <w:rPr>
          <w:spacing w:val="-2"/>
        </w:rPr>
        <w:t>Framework</w:t>
      </w:r>
      <w:r>
        <w:rPr>
          <w:spacing w:val="71"/>
        </w:rPr>
        <w:t xml:space="preserve"> </w:t>
      </w:r>
      <w:r>
        <w:rPr>
          <w:spacing w:val="-1"/>
        </w:rPr>
        <w:t>Agreement</w:t>
      </w:r>
      <w:r>
        <w:rPr>
          <w:spacing w:val="9"/>
        </w:rPr>
        <w:t xml:space="preserve"> </w:t>
      </w:r>
      <w:r>
        <w:rPr>
          <w:spacing w:val="-1"/>
        </w:rPr>
        <w:t>in</w:t>
      </w:r>
      <w:r>
        <w:rPr>
          <w:spacing w:val="7"/>
        </w:rPr>
        <w:t xml:space="preserve"> </w:t>
      </w:r>
      <w:r>
        <w:rPr>
          <w:spacing w:val="-1"/>
        </w:rPr>
        <w:t>respect</w:t>
      </w:r>
      <w:r>
        <w:rPr>
          <w:spacing w:val="9"/>
        </w:rPr>
        <w:t xml:space="preserve"> </w:t>
      </w:r>
      <w:r>
        <w:rPr>
          <w:spacing w:val="-2"/>
        </w:rPr>
        <w:t>of</w:t>
      </w:r>
      <w:r>
        <w:rPr>
          <w:spacing w:val="9"/>
        </w:rPr>
        <w:t xml:space="preserve"> </w:t>
      </w:r>
      <w:r>
        <w:rPr>
          <w:spacing w:val="-1"/>
        </w:rPr>
        <w:t>all</w:t>
      </w:r>
      <w:r>
        <w:rPr>
          <w:spacing w:val="7"/>
        </w:rPr>
        <w:t xml:space="preserve"> </w:t>
      </w:r>
      <w:r>
        <w:rPr>
          <w:spacing w:val="-1"/>
        </w:rPr>
        <w:t>risks</w:t>
      </w:r>
      <w:r>
        <w:rPr>
          <w:spacing w:val="8"/>
        </w:rPr>
        <w:t xml:space="preserve"> </w:t>
      </w:r>
      <w:r>
        <w:rPr>
          <w:spacing w:val="-2"/>
        </w:rPr>
        <w:t>which</w:t>
      </w:r>
      <w:r>
        <w:rPr>
          <w:spacing w:val="8"/>
        </w:rPr>
        <w:t xml:space="preserve"> </w:t>
      </w:r>
      <w:r>
        <w:rPr>
          <w:spacing w:val="-1"/>
        </w:rPr>
        <w:t>may</w:t>
      </w:r>
      <w:r>
        <w:rPr>
          <w:spacing w:val="5"/>
        </w:rPr>
        <w:t xml:space="preserve"> </w:t>
      </w:r>
      <w:r>
        <w:rPr>
          <w:spacing w:val="-1"/>
        </w:rPr>
        <w:t>be</w:t>
      </w:r>
      <w:r>
        <w:rPr>
          <w:spacing w:val="10"/>
        </w:rPr>
        <w:t xml:space="preserve"> </w:t>
      </w:r>
      <w:r>
        <w:rPr>
          <w:spacing w:val="-1"/>
        </w:rPr>
        <w:t>incurred</w:t>
      </w:r>
      <w:r>
        <w:rPr>
          <w:spacing w:val="7"/>
        </w:rPr>
        <w:t xml:space="preserve"> </w:t>
      </w:r>
      <w:r>
        <w:rPr>
          <w:spacing w:val="-1"/>
        </w:rPr>
        <w:t>by</w:t>
      </w:r>
      <w:r>
        <w:rPr>
          <w:spacing w:val="5"/>
        </w:rPr>
        <w:t xml:space="preserve"> </w:t>
      </w:r>
      <w:r>
        <w:t>the</w:t>
      </w:r>
      <w:r>
        <w:rPr>
          <w:spacing w:val="7"/>
        </w:rPr>
        <w:t xml:space="preserve"> </w:t>
      </w:r>
      <w:r>
        <w:rPr>
          <w:spacing w:val="-2"/>
        </w:rPr>
        <w:t>Supplier</w:t>
      </w:r>
      <w:r>
        <w:rPr>
          <w:spacing w:val="9"/>
        </w:rPr>
        <w:t xml:space="preserve"> </w:t>
      </w:r>
      <w:r>
        <w:rPr>
          <w:spacing w:val="-1"/>
        </w:rPr>
        <w:t>arising</w:t>
      </w:r>
      <w:r>
        <w:rPr>
          <w:spacing w:val="10"/>
        </w:rPr>
        <w:t xml:space="preserve"> </w:t>
      </w:r>
      <w:r>
        <w:rPr>
          <w:spacing w:val="-2"/>
        </w:rPr>
        <w:t>out</w:t>
      </w:r>
      <w:r>
        <w:rPr>
          <w:spacing w:val="65"/>
        </w:rPr>
        <w:t xml:space="preserve"> </w:t>
      </w:r>
      <w:r>
        <w:rPr>
          <w:spacing w:val="-2"/>
        </w:rPr>
        <w:t>of</w:t>
      </w:r>
      <w:r>
        <w:rPr>
          <w:spacing w:val="4"/>
        </w:rPr>
        <w:t xml:space="preserve"> </w:t>
      </w:r>
      <w:r>
        <w:rPr>
          <w:spacing w:val="-1"/>
        </w:rPr>
        <w:t>its</w:t>
      </w:r>
      <w:r>
        <w:rPr>
          <w:spacing w:val="-2"/>
        </w:rPr>
        <w:t xml:space="preserve"> </w:t>
      </w:r>
      <w:r>
        <w:rPr>
          <w:spacing w:val="-1"/>
        </w:rPr>
        <w:t>performance</w:t>
      </w:r>
      <w:r>
        <w:rPr>
          <w:spacing w:val="-2"/>
        </w:rPr>
        <w:t xml:space="preserve"> of</w:t>
      </w:r>
      <w:r>
        <w:rPr>
          <w:spacing w:val="2"/>
        </w:rPr>
        <w:t xml:space="preserve"> </w:t>
      </w:r>
      <w:r>
        <w:rPr>
          <w:spacing w:val="-1"/>
        </w:rPr>
        <w:t>its</w:t>
      </w:r>
      <w:r>
        <w:rPr>
          <w:spacing w:val="-4"/>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1"/>
          <w:numId w:val="66"/>
        </w:numPr>
        <w:tabs>
          <w:tab w:val="left" w:pos="1253"/>
        </w:tabs>
        <w:ind w:left="1048" w:right="113" w:hanging="360"/>
        <w:jc w:val="both"/>
      </w:pPr>
      <w:r>
        <w:rPr>
          <w:spacing w:val="-1"/>
        </w:rPr>
        <w:t>Without</w:t>
      </w:r>
      <w:r>
        <w:rPr>
          <w:spacing w:val="4"/>
        </w:rPr>
        <w:t xml:space="preserve"> </w:t>
      </w:r>
      <w:r>
        <w:rPr>
          <w:spacing w:val="-1"/>
        </w:rPr>
        <w:t>limitation</w:t>
      </w:r>
      <w:r>
        <w:rPr>
          <w:spacing w:val="3"/>
        </w:rPr>
        <w:t xml:space="preserve"> </w:t>
      </w:r>
      <w:r>
        <w:t>to</w:t>
      </w:r>
      <w:r>
        <w:rPr>
          <w:spacing w:val="3"/>
        </w:rPr>
        <w:t xml:space="preserve"> </w:t>
      </w:r>
      <w:r>
        <w:t xml:space="preserve">the </w:t>
      </w:r>
      <w:r>
        <w:rPr>
          <w:spacing w:val="-1"/>
        </w:rPr>
        <w:t>generality</w:t>
      </w:r>
      <w:r>
        <w:rPr>
          <w:spacing w:val="1"/>
        </w:rPr>
        <w:t xml:space="preserve"> </w:t>
      </w:r>
      <w:r>
        <w:rPr>
          <w:spacing w:val="-1"/>
        </w:rPr>
        <w:t>of</w:t>
      </w:r>
      <w:r>
        <w:rPr>
          <w:spacing w:val="6"/>
        </w:rPr>
        <w:t xml:space="preserve"> </w:t>
      </w:r>
      <w:r>
        <w:rPr>
          <w:spacing w:val="-2"/>
        </w:rPr>
        <w:t>Clause</w:t>
      </w:r>
      <w:r>
        <w:rPr>
          <w:spacing w:val="5"/>
        </w:rPr>
        <w:t xml:space="preserve"> </w:t>
      </w:r>
      <w:hyperlink w:anchor="_bookmark212" w:history="1">
        <w:r>
          <w:rPr>
            <w:spacing w:val="-1"/>
          </w:rPr>
          <w:t>37.2</w:t>
        </w:r>
      </w:hyperlink>
      <w:r>
        <w:t xml:space="preserve"> the</w:t>
      </w:r>
      <w:r>
        <w:rPr>
          <w:spacing w:val="3"/>
        </w:rPr>
        <w:t xml:space="preserve"> </w:t>
      </w:r>
      <w:r>
        <w:rPr>
          <w:spacing w:val="-2"/>
        </w:rPr>
        <w:t>Supplier</w:t>
      </w:r>
      <w:r>
        <w:rPr>
          <w:spacing w:val="4"/>
        </w:rPr>
        <w:t xml:space="preserve"> </w:t>
      </w:r>
      <w:r>
        <w:rPr>
          <w:spacing w:val="-1"/>
        </w:rPr>
        <w:t>shall</w:t>
      </w:r>
      <w:r>
        <w:rPr>
          <w:spacing w:val="2"/>
        </w:rPr>
        <w:t xml:space="preserve"> </w:t>
      </w:r>
      <w:r>
        <w:rPr>
          <w:spacing w:val="-1"/>
        </w:rPr>
        <w:t>ensure</w:t>
      </w:r>
      <w:r>
        <w:rPr>
          <w:spacing w:val="3"/>
        </w:rPr>
        <w:t xml:space="preserve"> </w:t>
      </w:r>
      <w:r>
        <w:rPr>
          <w:spacing w:val="-1"/>
        </w:rPr>
        <w:t>that</w:t>
      </w:r>
      <w:r>
        <w:rPr>
          <w:spacing w:val="4"/>
        </w:rPr>
        <w:t xml:space="preserve"> </w:t>
      </w:r>
      <w:r>
        <w:rPr>
          <w:spacing w:val="-1"/>
        </w:rPr>
        <w:t>it</w:t>
      </w:r>
      <w:r>
        <w:rPr>
          <w:spacing w:val="61"/>
        </w:rPr>
        <w:t xml:space="preserve"> </w:t>
      </w:r>
      <w:r>
        <w:rPr>
          <w:spacing w:val="-1"/>
        </w:rPr>
        <w:t>maintains</w:t>
      </w:r>
      <w:r>
        <w:rPr>
          <w:spacing w:val="10"/>
        </w:rPr>
        <w:t xml:space="preserve"> </w:t>
      </w:r>
      <w:r>
        <w:t>the</w:t>
      </w:r>
      <w:r>
        <w:rPr>
          <w:spacing w:val="10"/>
        </w:rPr>
        <w:t xml:space="preserve"> </w:t>
      </w:r>
      <w:r>
        <w:rPr>
          <w:spacing w:val="-2"/>
        </w:rPr>
        <w:t>policy</w:t>
      </w:r>
      <w:r>
        <w:rPr>
          <w:spacing w:val="8"/>
        </w:rPr>
        <w:t xml:space="preserve"> </w:t>
      </w:r>
      <w:r>
        <w:rPr>
          <w:spacing w:val="-1"/>
        </w:rPr>
        <w:t>or</w:t>
      </w:r>
      <w:r>
        <w:rPr>
          <w:spacing w:val="11"/>
        </w:rPr>
        <w:t xml:space="preserve"> </w:t>
      </w:r>
      <w:r>
        <w:rPr>
          <w:spacing w:val="-2"/>
        </w:rPr>
        <w:t>policies</w:t>
      </w:r>
      <w:r>
        <w:rPr>
          <w:spacing w:val="10"/>
        </w:rPr>
        <w:t xml:space="preserve"> </w:t>
      </w:r>
      <w:r>
        <w:rPr>
          <w:spacing w:val="-1"/>
        </w:rPr>
        <w:t>of</w:t>
      </w:r>
      <w:r>
        <w:rPr>
          <w:spacing w:val="14"/>
        </w:rPr>
        <w:t xml:space="preserve"> </w:t>
      </w:r>
      <w:r>
        <w:rPr>
          <w:spacing w:val="-1"/>
        </w:rPr>
        <w:t>insurance</w:t>
      </w:r>
      <w:r>
        <w:rPr>
          <w:spacing w:val="8"/>
        </w:rPr>
        <w:t xml:space="preserve"> </w:t>
      </w:r>
      <w:r>
        <w:rPr>
          <w:spacing w:val="-1"/>
        </w:rPr>
        <w:t>as</w:t>
      </w:r>
      <w:r>
        <w:rPr>
          <w:spacing w:val="10"/>
        </w:rPr>
        <w:t xml:space="preserve"> </w:t>
      </w:r>
      <w:r>
        <w:rPr>
          <w:spacing w:val="-1"/>
        </w:rPr>
        <w:t>are</w:t>
      </w:r>
      <w:r>
        <w:rPr>
          <w:spacing w:val="10"/>
        </w:rPr>
        <w:t xml:space="preserve"> </w:t>
      </w:r>
      <w:r>
        <w:rPr>
          <w:spacing w:val="-1"/>
        </w:rPr>
        <w:t>stipulated</w:t>
      </w:r>
      <w:r>
        <w:rPr>
          <w:spacing w:val="10"/>
        </w:rPr>
        <w:t xml:space="preserve"> </w:t>
      </w:r>
      <w:r>
        <w:rPr>
          <w:spacing w:val="-1"/>
        </w:rPr>
        <w:t>in</w:t>
      </w:r>
      <w:r>
        <w:rPr>
          <w:spacing w:val="10"/>
        </w:rPr>
        <w:t xml:space="preserve"> </w:t>
      </w:r>
      <w:r>
        <w:rPr>
          <w:spacing w:val="-1"/>
        </w:rPr>
        <w:t>the</w:t>
      </w:r>
      <w:r>
        <w:rPr>
          <w:spacing w:val="10"/>
        </w:rPr>
        <w:t xml:space="preserve"> </w:t>
      </w:r>
      <w:r>
        <w:rPr>
          <w:spacing w:val="-1"/>
        </w:rPr>
        <w:t>Order</w:t>
      </w:r>
      <w:r>
        <w:rPr>
          <w:spacing w:val="11"/>
        </w:rPr>
        <w:t xml:space="preserve"> </w:t>
      </w:r>
      <w:r>
        <w:rPr>
          <w:spacing w:val="-1"/>
        </w:rPr>
        <w:t>Form</w:t>
      </w:r>
      <w:r>
        <w:rPr>
          <w:spacing w:val="11"/>
        </w:rPr>
        <w:t xml:space="preserve"> </w:t>
      </w:r>
      <w:r>
        <w:rPr>
          <w:spacing w:val="-1"/>
        </w:rPr>
        <w:t>or</w:t>
      </w:r>
      <w:r>
        <w:rPr>
          <w:spacing w:val="44"/>
        </w:rPr>
        <w:t xml:space="preserve"> </w:t>
      </w:r>
      <w:r>
        <w:rPr>
          <w:spacing w:val="-2"/>
        </w:rPr>
        <w:t>elsewhere</w:t>
      </w:r>
      <w:r>
        <w:t xml:space="preserve"> </w:t>
      </w:r>
      <w:r>
        <w:rPr>
          <w:spacing w:val="-1"/>
        </w:rPr>
        <w:t>in</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p>
    <w:p w:rsidR="008918FA" w:rsidRDefault="008918FA" w:rsidP="008918FA">
      <w:pPr>
        <w:jc w:val="both"/>
        <w:sectPr w:rsidR="008918FA">
          <w:pgSz w:w="11910" w:h="16840"/>
          <w:pgMar w:top="1480" w:right="1300" w:bottom="1180" w:left="1320" w:header="0" w:footer="967" w:gutter="0"/>
          <w:cols w:space="720"/>
        </w:sectPr>
      </w:pPr>
    </w:p>
    <w:p w:rsidR="008918FA" w:rsidRDefault="008918FA" w:rsidP="008918FA">
      <w:pPr>
        <w:pStyle w:val="BodyText"/>
        <w:numPr>
          <w:ilvl w:val="1"/>
          <w:numId w:val="66"/>
        </w:numPr>
        <w:tabs>
          <w:tab w:val="left" w:pos="1233"/>
        </w:tabs>
        <w:spacing w:before="59"/>
        <w:ind w:left="1028" w:right="118" w:hanging="360"/>
        <w:jc w:val="both"/>
      </w:pPr>
      <w:r>
        <w:t>The</w:t>
      </w:r>
      <w:r>
        <w:rPr>
          <w:spacing w:val="7"/>
        </w:rPr>
        <w:t xml:space="preserve"> </w:t>
      </w:r>
      <w:r>
        <w:rPr>
          <w:spacing w:val="-2"/>
        </w:rPr>
        <w:t>Supplier</w:t>
      </w:r>
      <w:r>
        <w:rPr>
          <w:spacing w:val="9"/>
        </w:rPr>
        <w:t xml:space="preserve"> </w:t>
      </w:r>
      <w:r>
        <w:rPr>
          <w:spacing w:val="-1"/>
        </w:rPr>
        <w:t>shall</w:t>
      </w:r>
      <w:r>
        <w:rPr>
          <w:spacing w:val="7"/>
        </w:rPr>
        <w:t xml:space="preserve"> </w:t>
      </w:r>
      <w:r>
        <w:rPr>
          <w:spacing w:val="-1"/>
        </w:rPr>
        <w:t>effect</w:t>
      </w:r>
      <w:r>
        <w:rPr>
          <w:spacing w:val="7"/>
        </w:rPr>
        <w:t xml:space="preserve"> </w:t>
      </w:r>
      <w:r>
        <w:rPr>
          <w:spacing w:val="-1"/>
        </w:rPr>
        <w:t>and</w:t>
      </w:r>
      <w:r>
        <w:rPr>
          <w:spacing w:val="7"/>
        </w:rPr>
        <w:t xml:space="preserve"> </w:t>
      </w:r>
      <w:r>
        <w:rPr>
          <w:spacing w:val="-1"/>
        </w:rPr>
        <w:t>maintain</w:t>
      </w:r>
      <w:r>
        <w:rPr>
          <w:spacing w:val="7"/>
        </w:rPr>
        <w:t xml:space="preserve"> </w:t>
      </w:r>
      <w:r>
        <w:t>the</w:t>
      </w:r>
      <w:r>
        <w:rPr>
          <w:spacing w:val="7"/>
        </w:rPr>
        <w:t xml:space="preserve"> </w:t>
      </w:r>
      <w:r>
        <w:rPr>
          <w:spacing w:val="-2"/>
        </w:rPr>
        <w:t>policy</w:t>
      </w:r>
      <w:r>
        <w:rPr>
          <w:spacing w:val="6"/>
        </w:rPr>
        <w:t xml:space="preserve"> </w:t>
      </w:r>
      <w:r>
        <w:rPr>
          <w:spacing w:val="-1"/>
        </w:rPr>
        <w:t>or</w:t>
      </w:r>
      <w:r>
        <w:rPr>
          <w:spacing w:val="9"/>
        </w:rPr>
        <w:t xml:space="preserve"> </w:t>
      </w:r>
      <w:r>
        <w:rPr>
          <w:spacing w:val="-2"/>
        </w:rPr>
        <w:t>policies</w:t>
      </w:r>
      <w:r>
        <w:rPr>
          <w:spacing w:val="8"/>
        </w:rPr>
        <w:t xml:space="preserve"> </w:t>
      </w:r>
      <w:r>
        <w:rPr>
          <w:spacing w:val="-1"/>
        </w:rPr>
        <w:t>of</w:t>
      </w:r>
      <w:r>
        <w:rPr>
          <w:spacing w:val="11"/>
        </w:rPr>
        <w:t xml:space="preserve"> </w:t>
      </w:r>
      <w:r>
        <w:rPr>
          <w:spacing w:val="-2"/>
        </w:rPr>
        <w:t>insurance</w:t>
      </w:r>
      <w:r>
        <w:rPr>
          <w:spacing w:val="8"/>
        </w:rPr>
        <w:t xml:space="preserve"> </w:t>
      </w:r>
      <w:r>
        <w:rPr>
          <w:spacing w:val="-1"/>
        </w:rPr>
        <w:t>referred</w:t>
      </w:r>
      <w:r>
        <w:rPr>
          <w:spacing w:val="76"/>
        </w:rPr>
        <w:t xml:space="preserve"> </w:t>
      </w:r>
      <w:r>
        <w:t xml:space="preserve">to  </w:t>
      </w:r>
      <w:r>
        <w:rPr>
          <w:spacing w:val="1"/>
        </w:rPr>
        <w:t xml:space="preserve"> </w:t>
      </w:r>
      <w:r>
        <w:rPr>
          <w:spacing w:val="-1"/>
        </w:rPr>
        <w:t>in</w:t>
      </w:r>
      <w:r>
        <w:rPr>
          <w:spacing w:val="-2"/>
        </w:rPr>
        <w:t xml:space="preserve"> </w:t>
      </w:r>
      <w:r>
        <w:rPr>
          <w:spacing w:val="-1"/>
        </w:rPr>
        <w:t>this</w:t>
      </w:r>
      <w:r>
        <w:rPr>
          <w:spacing w:val="1"/>
        </w:rPr>
        <w:t xml:space="preserve"> </w:t>
      </w:r>
      <w:r>
        <w:rPr>
          <w:spacing w:val="-2"/>
        </w:rPr>
        <w:t>Clause</w:t>
      </w:r>
      <w:r>
        <w:rPr>
          <w:spacing w:val="1"/>
        </w:rPr>
        <w:t xml:space="preserve"> </w:t>
      </w:r>
      <w:hyperlink w:anchor="_bookmark211" w:history="1">
        <w:r>
          <w:rPr>
            <w:spacing w:val="-1"/>
          </w:rPr>
          <w:t>37</w:t>
        </w:r>
      </w:hyperlink>
      <w:r>
        <w:rPr>
          <w:spacing w:val="-4"/>
        </w:rPr>
        <w:t xml:space="preserve"> </w:t>
      </w:r>
      <w:r>
        <w:t>for</w:t>
      </w:r>
      <w:r>
        <w:rPr>
          <w:spacing w:val="-1"/>
        </w:rPr>
        <w:t xml:space="preserve"> six</w:t>
      </w:r>
      <w:r>
        <w:rPr>
          <w:spacing w:val="-2"/>
        </w:rPr>
        <w:t xml:space="preserve"> </w:t>
      </w:r>
      <w:r>
        <w:t>(6)</w:t>
      </w:r>
      <w:r>
        <w:rPr>
          <w:spacing w:val="2"/>
        </w:rPr>
        <w:t xml:space="preserve"> </w:t>
      </w:r>
      <w:r>
        <w:rPr>
          <w:spacing w:val="-1"/>
        </w:rPr>
        <w:t>years</w:t>
      </w:r>
      <w:r>
        <w:rPr>
          <w:spacing w:val="1"/>
        </w:rPr>
        <w:t xml:space="preserve"> </w:t>
      </w:r>
      <w:r>
        <w:rPr>
          <w:spacing w:val="-1"/>
        </w:rPr>
        <w:t xml:space="preserve">after </w:t>
      </w:r>
      <w:r>
        <w:t>the</w:t>
      </w:r>
      <w:r>
        <w:rPr>
          <w:spacing w:val="-2"/>
        </w:rPr>
        <w:t xml:space="preserve"> Call</w:t>
      </w:r>
      <w:r>
        <w:t xml:space="preserve"> </w:t>
      </w:r>
      <w:r>
        <w:rPr>
          <w:spacing w:val="-1"/>
        </w:rPr>
        <w:t>Off</w:t>
      </w:r>
      <w:r>
        <w:rPr>
          <w:spacing w:val="2"/>
        </w:rPr>
        <w:t xml:space="preserve"> </w:t>
      </w:r>
      <w:r>
        <w:rPr>
          <w:spacing w:val="-2"/>
        </w:rPr>
        <w:t xml:space="preserve">Expiry </w:t>
      </w:r>
      <w:r>
        <w:rPr>
          <w:spacing w:val="-1"/>
        </w:rPr>
        <w:t>Date.</w:t>
      </w:r>
    </w:p>
    <w:p w:rsidR="008918FA" w:rsidRDefault="008918FA" w:rsidP="008918FA">
      <w:pPr>
        <w:pStyle w:val="BodyText"/>
        <w:numPr>
          <w:ilvl w:val="1"/>
          <w:numId w:val="66"/>
        </w:numPr>
        <w:tabs>
          <w:tab w:val="left" w:pos="1234"/>
        </w:tabs>
        <w:spacing w:before="121"/>
        <w:ind w:left="1029" w:right="111" w:hanging="360"/>
        <w:jc w:val="both"/>
      </w:pPr>
      <w:r>
        <w:t>The</w:t>
      </w:r>
      <w:r>
        <w:rPr>
          <w:spacing w:val="3"/>
        </w:rPr>
        <w:t xml:space="preserve"> </w:t>
      </w:r>
      <w:r>
        <w:rPr>
          <w:spacing w:val="-2"/>
        </w:rPr>
        <w:t>Supplier</w:t>
      </w:r>
      <w:r>
        <w:rPr>
          <w:spacing w:val="4"/>
        </w:rPr>
        <w:t xml:space="preserve"> </w:t>
      </w:r>
      <w:r>
        <w:rPr>
          <w:spacing w:val="-1"/>
        </w:rPr>
        <w:t>shall</w:t>
      </w:r>
      <w:r>
        <w:rPr>
          <w:spacing w:val="2"/>
        </w:rPr>
        <w:t xml:space="preserve"> </w:t>
      </w:r>
      <w:r>
        <w:rPr>
          <w:spacing w:val="-1"/>
        </w:rPr>
        <w:t>give</w:t>
      </w:r>
      <w:r>
        <w:rPr>
          <w:spacing w:val="3"/>
        </w:rPr>
        <w:t xml:space="preserve"> </w:t>
      </w:r>
      <w:r>
        <w:t>the</w:t>
      </w:r>
      <w:r>
        <w:rPr>
          <w:spacing w:val="3"/>
        </w:rPr>
        <w:t xml:space="preserve"> </w:t>
      </w:r>
      <w:r>
        <w:rPr>
          <w:spacing w:val="-1"/>
        </w:rPr>
        <w:t>Customer,</w:t>
      </w:r>
      <w:r>
        <w:rPr>
          <w:spacing w:val="4"/>
        </w:rPr>
        <w:t xml:space="preserve"> </w:t>
      </w:r>
      <w:r>
        <w:rPr>
          <w:spacing w:val="-1"/>
        </w:rPr>
        <w:t>on</w:t>
      </w:r>
      <w:r>
        <w:rPr>
          <w:spacing w:val="3"/>
        </w:rPr>
        <w:t xml:space="preserve"> </w:t>
      </w:r>
      <w:r>
        <w:rPr>
          <w:spacing w:val="-1"/>
        </w:rPr>
        <w:t>request,</w:t>
      </w:r>
      <w:r>
        <w:rPr>
          <w:spacing w:val="4"/>
        </w:rPr>
        <w:t xml:space="preserve"> </w:t>
      </w:r>
      <w:r>
        <w:rPr>
          <w:spacing w:val="-1"/>
        </w:rPr>
        <w:t>copies</w:t>
      </w:r>
      <w:r>
        <w:rPr>
          <w:spacing w:val="3"/>
        </w:rPr>
        <w:t xml:space="preserve"> </w:t>
      </w:r>
      <w:r>
        <w:rPr>
          <w:spacing w:val="-1"/>
        </w:rPr>
        <w:t>of</w:t>
      </w:r>
      <w:r>
        <w:rPr>
          <w:spacing w:val="6"/>
        </w:rPr>
        <w:t xml:space="preserve"> </w:t>
      </w:r>
      <w:r>
        <w:rPr>
          <w:spacing w:val="-1"/>
        </w:rPr>
        <w:t>all</w:t>
      </w:r>
      <w:r>
        <w:rPr>
          <w:spacing w:val="2"/>
        </w:rPr>
        <w:t xml:space="preserve"> </w:t>
      </w:r>
      <w:r>
        <w:rPr>
          <w:spacing w:val="-1"/>
        </w:rPr>
        <w:t>insurance</w:t>
      </w:r>
      <w:r>
        <w:rPr>
          <w:spacing w:val="3"/>
        </w:rPr>
        <w:t xml:space="preserve"> </w:t>
      </w:r>
      <w:r>
        <w:rPr>
          <w:spacing w:val="-2"/>
        </w:rPr>
        <w:t>policies</w:t>
      </w:r>
      <w:r>
        <w:rPr>
          <w:spacing w:val="50"/>
        </w:rPr>
        <w:t xml:space="preserve"> </w:t>
      </w:r>
      <w:r>
        <w:rPr>
          <w:spacing w:val="-1"/>
        </w:rPr>
        <w:t>referred</w:t>
      </w:r>
      <w:r>
        <w:rPr>
          <w:spacing w:val="17"/>
        </w:rPr>
        <w:t xml:space="preserve"> </w:t>
      </w:r>
      <w:r>
        <w:t>to</w:t>
      </w:r>
      <w:r>
        <w:rPr>
          <w:spacing w:val="17"/>
        </w:rPr>
        <w:t xml:space="preserve"> </w:t>
      </w:r>
      <w:r>
        <w:rPr>
          <w:spacing w:val="-1"/>
        </w:rPr>
        <w:t>in</w:t>
      </w:r>
      <w:r>
        <w:rPr>
          <w:spacing w:val="17"/>
        </w:rPr>
        <w:t xml:space="preserve"> </w:t>
      </w:r>
      <w:r>
        <w:rPr>
          <w:spacing w:val="-1"/>
        </w:rPr>
        <w:t>this</w:t>
      </w:r>
      <w:r>
        <w:rPr>
          <w:spacing w:val="18"/>
        </w:rPr>
        <w:t xml:space="preserve"> </w:t>
      </w:r>
      <w:r>
        <w:rPr>
          <w:spacing w:val="-2"/>
        </w:rPr>
        <w:t>Clause</w:t>
      </w:r>
      <w:r>
        <w:rPr>
          <w:spacing w:val="19"/>
        </w:rPr>
        <w:t xml:space="preserve"> </w:t>
      </w:r>
      <w:hyperlink w:anchor="_bookmark211" w:history="1">
        <w:r>
          <w:rPr>
            <w:spacing w:val="-1"/>
          </w:rPr>
          <w:t>37</w:t>
        </w:r>
      </w:hyperlink>
      <w:r>
        <w:rPr>
          <w:spacing w:val="17"/>
        </w:rPr>
        <w:t xml:space="preserve"> </w:t>
      </w:r>
      <w:r>
        <w:rPr>
          <w:spacing w:val="-1"/>
        </w:rPr>
        <w:t>or</w:t>
      </w:r>
      <w:r>
        <w:rPr>
          <w:spacing w:val="19"/>
        </w:rPr>
        <w:t xml:space="preserve"> </w:t>
      </w:r>
      <w:r>
        <w:t>a</w:t>
      </w:r>
      <w:r>
        <w:rPr>
          <w:spacing w:val="17"/>
        </w:rPr>
        <w:t xml:space="preserve"> </w:t>
      </w:r>
      <w:r>
        <w:rPr>
          <w:spacing w:val="-1"/>
        </w:rPr>
        <w:t>broker's</w:t>
      </w:r>
      <w:r>
        <w:rPr>
          <w:spacing w:val="18"/>
        </w:rPr>
        <w:t xml:space="preserve"> </w:t>
      </w:r>
      <w:r>
        <w:rPr>
          <w:spacing w:val="-2"/>
        </w:rPr>
        <w:t>verification</w:t>
      </w:r>
      <w:r>
        <w:rPr>
          <w:spacing w:val="17"/>
        </w:rPr>
        <w:t xml:space="preserve"> </w:t>
      </w:r>
      <w:r>
        <w:rPr>
          <w:spacing w:val="-2"/>
        </w:rPr>
        <w:t>of</w:t>
      </w:r>
      <w:r>
        <w:rPr>
          <w:spacing w:val="21"/>
        </w:rPr>
        <w:t xml:space="preserve"> </w:t>
      </w:r>
      <w:r>
        <w:rPr>
          <w:spacing w:val="-1"/>
        </w:rPr>
        <w:t>insurance</w:t>
      </w:r>
      <w:r>
        <w:rPr>
          <w:spacing w:val="18"/>
        </w:rPr>
        <w:t xml:space="preserve"> </w:t>
      </w:r>
      <w:r>
        <w:t>to</w:t>
      </w:r>
      <w:r>
        <w:rPr>
          <w:spacing w:val="17"/>
        </w:rPr>
        <w:t xml:space="preserve"> </w:t>
      </w:r>
      <w:r>
        <w:rPr>
          <w:spacing w:val="-1"/>
        </w:rPr>
        <w:t>demonstrate</w:t>
      </w:r>
      <w:r>
        <w:rPr>
          <w:spacing w:val="69"/>
        </w:rPr>
        <w:t xml:space="preserve"> </w:t>
      </w:r>
      <w:r>
        <w:rPr>
          <w:spacing w:val="-1"/>
        </w:rPr>
        <w:t>that</w:t>
      </w:r>
      <w:r>
        <w:rPr>
          <w:spacing w:val="26"/>
        </w:rPr>
        <w:t xml:space="preserve"> </w:t>
      </w:r>
      <w:r>
        <w:t>the</w:t>
      </w:r>
      <w:r>
        <w:rPr>
          <w:spacing w:val="27"/>
        </w:rPr>
        <w:t xml:space="preserve"> </w:t>
      </w:r>
      <w:r>
        <w:rPr>
          <w:spacing w:val="-1"/>
        </w:rPr>
        <w:t>appropriate</w:t>
      </w:r>
      <w:r>
        <w:rPr>
          <w:spacing w:val="27"/>
        </w:rPr>
        <w:t xml:space="preserve"> </w:t>
      </w:r>
      <w:r>
        <w:rPr>
          <w:spacing w:val="-2"/>
        </w:rPr>
        <w:t>cover</w:t>
      </w:r>
      <w:r>
        <w:rPr>
          <w:spacing w:val="28"/>
        </w:rPr>
        <w:t xml:space="preserve"> </w:t>
      </w:r>
      <w:r>
        <w:rPr>
          <w:spacing w:val="-1"/>
        </w:rPr>
        <w:t>is</w:t>
      </w:r>
      <w:r>
        <w:rPr>
          <w:spacing w:val="27"/>
        </w:rPr>
        <w:t xml:space="preserve"> </w:t>
      </w:r>
      <w:r>
        <w:rPr>
          <w:spacing w:val="-1"/>
        </w:rPr>
        <w:t>in</w:t>
      </w:r>
      <w:r>
        <w:rPr>
          <w:spacing w:val="27"/>
        </w:rPr>
        <w:t xml:space="preserve"> </w:t>
      </w:r>
      <w:r>
        <w:rPr>
          <w:spacing w:val="-1"/>
        </w:rPr>
        <w:t>place,</w:t>
      </w:r>
      <w:r>
        <w:rPr>
          <w:spacing w:val="28"/>
        </w:rPr>
        <w:t xml:space="preserve"> </w:t>
      </w:r>
      <w:r>
        <w:rPr>
          <w:spacing w:val="-1"/>
        </w:rPr>
        <w:t>together</w:t>
      </w:r>
      <w:r>
        <w:rPr>
          <w:spacing w:val="26"/>
        </w:rPr>
        <w:t xml:space="preserve"> </w:t>
      </w:r>
      <w:r>
        <w:rPr>
          <w:spacing w:val="-1"/>
        </w:rPr>
        <w:t>with</w:t>
      </w:r>
      <w:r>
        <w:rPr>
          <w:spacing w:val="27"/>
        </w:rPr>
        <w:t xml:space="preserve"> </w:t>
      </w:r>
      <w:r>
        <w:rPr>
          <w:spacing w:val="-1"/>
        </w:rPr>
        <w:t>receipts</w:t>
      </w:r>
      <w:r>
        <w:rPr>
          <w:spacing w:val="27"/>
        </w:rPr>
        <w:t xml:space="preserve"> </w:t>
      </w:r>
      <w:r>
        <w:rPr>
          <w:spacing w:val="-2"/>
        </w:rPr>
        <w:t>or</w:t>
      </w:r>
      <w:r>
        <w:rPr>
          <w:spacing w:val="28"/>
        </w:rPr>
        <w:t xml:space="preserve"> </w:t>
      </w:r>
      <w:r>
        <w:rPr>
          <w:spacing w:val="-1"/>
        </w:rPr>
        <w:t>other</w:t>
      </w:r>
      <w:r>
        <w:rPr>
          <w:spacing w:val="28"/>
        </w:rPr>
        <w:t xml:space="preserve"> </w:t>
      </w:r>
      <w:r>
        <w:rPr>
          <w:spacing w:val="-2"/>
        </w:rPr>
        <w:t>evidence</w:t>
      </w:r>
      <w:r>
        <w:rPr>
          <w:spacing w:val="27"/>
        </w:rPr>
        <w:t xml:space="preserve"> </w:t>
      </w:r>
      <w:r>
        <w:rPr>
          <w:spacing w:val="-2"/>
        </w:rPr>
        <w:t>of</w:t>
      </w:r>
      <w:r>
        <w:rPr>
          <w:spacing w:val="55"/>
        </w:rPr>
        <w:t xml:space="preserve"> </w:t>
      </w:r>
      <w:r>
        <w:rPr>
          <w:spacing w:val="-1"/>
        </w:rPr>
        <w:t>payment</w:t>
      </w:r>
      <w:r>
        <w:rPr>
          <w:spacing w:val="2"/>
        </w:rPr>
        <w:t xml:space="preserve"> </w:t>
      </w:r>
      <w:r>
        <w:rPr>
          <w:spacing w:val="-2"/>
        </w:rPr>
        <w:t>of</w:t>
      </w:r>
      <w:r>
        <w:t xml:space="preserve"> the </w:t>
      </w:r>
      <w:r>
        <w:rPr>
          <w:spacing w:val="-1"/>
        </w:rPr>
        <w:t>latest</w:t>
      </w:r>
      <w:r>
        <w:t xml:space="preserve"> </w:t>
      </w:r>
      <w:r>
        <w:rPr>
          <w:spacing w:val="-1"/>
        </w:rPr>
        <w:t>premiums</w:t>
      </w:r>
      <w:r>
        <w:rPr>
          <w:spacing w:val="-2"/>
        </w:rPr>
        <w:t xml:space="preserve"> </w:t>
      </w:r>
      <w:r>
        <w:rPr>
          <w:spacing w:val="-1"/>
        </w:rPr>
        <w:t>due</w:t>
      </w:r>
      <w:r>
        <w:t xml:space="preserve"> </w:t>
      </w:r>
      <w:r>
        <w:rPr>
          <w:spacing w:val="-2"/>
        </w:rPr>
        <w:t>under</w:t>
      </w:r>
      <w:r>
        <w:rPr>
          <w:spacing w:val="-1"/>
        </w:rPr>
        <w:t xml:space="preserve"> those</w:t>
      </w:r>
      <w:r>
        <w:rPr>
          <w:spacing w:val="-4"/>
        </w:rPr>
        <w:t xml:space="preserve"> </w:t>
      </w:r>
      <w:r>
        <w:rPr>
          <w:spacing w:val="-2"/>
        </w:rPr>
        <w:t>policies.</w:t>
      </w:r>
    </w:p>
    <w:p w:rsidR="008918FA" w:rsidRDefault="008918FA" w:rsidP="008918FA">
      <w:pPr>
        <w:pStyle w:val="BodyText"/>
        <w:numPr>
          <w:ilvl w:val="1"/>
          <w:numId w:val="66"/>
        </w:numPr>
        <w:tabs>
          <w:tab w:val="left" w:pos="1234"/>
        </w:tabs>
        <w:ind w:left="1029" w:right="110" w:hanging="360"/>
        <w:jc w:val="both"/>
      </w:pPr>
      <w:r>
        <w:rPr>
          <w:spacing w:val="-1"/>
        </w:rPr>
        <w:t>If,</w:t>
      </w:r>
      <w:r>
        <w:rPr>
          <w:spacing w:val="55"/>
        </w:rPr>
        <w:t xml:space="preserve"> </w:t>
      </w:r>
      <w:r>
        <w:t>for</w:t>
      </w:r>
      <w:r>
        <w:rPr>
          <w:spacing w:val="57"/>
        </w:rPr>
        <w:t xml:space="preserve"> </w:t>
      </w:r>
      <w:r>
        <w:rPr>
          <w:spacing w:val="-2"/>
        </w:rPr>
        <w:t>whatever</w:t>
      </w:r>
      <w:r>
        <w:rPr>
          <w:spacing w:val="57"/>
        </w:rPr>
        <w:t xml:space="preserve"> </w:t>
      </w:r>
      <w:r>
        <w:rPr>
          <w:spacing w:val="-1"/>
        </w:rPr>
        <w:t>reason,</w:t>
      </w:r>
      <w:r>
        <w:rPr>
          <w:spacing w:val="55"/>
        </w:rPr>
        <w:t xml:space="preserve"> </w:t>
      </w:r>
      <w:r>
        <w:t>the</w:t>
      </w:r>
      <w:r>
        <w:rPr>
          <w:spacing w:val="55"/>
        </w:rPr>
        <w:t xml:space="preserve"> </w:t>
      </w:r>
      <w:r>
        <w:rPr>
          <w:spacing w:val="-2"/>
        </w:rPr>
        <w:t>Supplier</w:t>
      </w:r>
      <w:r>
        <w:rPr>
          <w:spacing w:val="57"/>
        </w:rPr>
        <w:t xml:space="preserve"> </w:t>
      </w:r>
      <w:r>
        <w:rPr>
          <w:spacing w:val="-1"/>
        </w:rPr>
        <w:t>fails</w:t>
      </w:r>
      <w:r>
        <w:rPr>
          <w:spacing w:val="57"/>
        </w:rPr>
        <w:t xml:space="preserve"> </w:t>
      </w:r>
      <w:r>
        <w:t>to</w:t>
      </w:r>
      <w:r>
        <w:rPr>
          <w:spacing w:val="53"/>
        </w:rPr>
        <w:t xml:space="preserve"> </w:t>
      </w:r>
      <w:r>
        <w:rPr>
          <w:spacing w:val="-2"/>
        </w:rPr>
        <w:t>give</w:t>
      </w:r>
      <w:r>
        <w:rPr>
          <w:spacing w:val="55"/>
        </w:rPr>
        <w:t xml:space="preserve"> </w:t>
      </w:r>
      <w:r>
        <w:rPr>
          <w:spacing w:val="-1"/>
        </w:rPr>
        <w:t>effect</w:t>
      </w:r>
      <w:r>
        <w:rPr>
          <w:spacing w:val="57"/>
        </w:rPr>
        <w:t xml:space="preserve"> </w:t>
      </w:r>
      <w:r>
        <w:t>to</w:t>
      </w:r>
      <w:r>
        <w:rPr>
          <w:spacing w:val="55"/>
        </w:rPr>
        <w:t xml:space="preserve"> </w:t>
      </w:r>
      <w:r>
        <w:rPr>
          <w:spacing w:val="-1"/>
        </w:rPr>
        <w:t>and</w:t>
      </w:r>
      <w:r>
        <w:rPr>
          <w:spacing w:val="53"/>
        </w:rPr>
        <w:t xml:space="preserve"> </w:t>
      </w:r>
      <w:r>
        <w:rPr>
          <w:spacing w:val="-1"/>
        </w:rPr>
        <w:t>maintain</w:t>
      </w:r>
      <w:r>
        <w:rPr>
          <w:spacing w:val="56"/>
        </w:rPr>
        <w:t xml:space="preserve"> </w:t>
      </w:r>
      <w:r>
        <w:rPr>
          <w:spacing w:val="-1"/>
        </w:rPr>
        <w:t>the</w:t>
      </w:r>
      <w:r>
        <w:rPr>
          <w:spacing w:val="72"/>
        </w:rPr>
        <w:t xml:space="preserve"> </w:t>
      </w:r>
      <w:r>
        <w:rPr>
          <w:spacing w:val="-1"/>
        </w:rPr>
        <w:t>insurance</w:t>
      </w:r>
      <w:r>
        <w:rPr>
          <w:spacing w:val="35"/>
        </w:rPr>
        <w:t xml:space="preserve"> </w:t>
      </w:r>
      <w:r>
        <w:rPr>
          <w:spacing w:val="-2"/>
        </w:rPr>
        <w:t>policies</w:t>
      </w:r>
      <w:r>
        <w:rPr>
          <w:spacing w:val="35"/>
        </w:rPr>
        <w:t xml:space="preserve"> </w:t>
      </w:r>
      <w:r>
        <w:rPr>
          <w:spacing w:val="-1"/>
        </w:rPr>
        <w:t>required</w:t>
      </w:r>
      <w:r>
        <w:rPr>
          <w:spacing w:val="35"/>
        </w:rPr>
        <w:t xml:space="preserve"> </w:t>
      </w:r>
      <w:r>
        <w:rPr>
          <w:spacing w:val="-1"/>
        </w:rPr>
        <w:t>under</w:t>
      </w:r>
      <w:r>
        <w:rPr>
          <w:spacing w:val="36"/>
        </w:rPr>
        <w:t xml:space="preserve"> </w:t>
      </w:r>
      <w:r>
        <w:rPr>
          <w:spacing w:val="-1"/>
        </w:rPr>
        <w:t>this</w:t>
      </w:r>
      <w:r>
        <w:rPr>
          <w:spacing w:val="35"/>
        </w:rPr>
        <w:t xml:space="preserve"> </w:t>
      </w:r>
      <w:r>
        <w:rPr>
          <w:spacing w:val="-2"/>
        </w:rPr>
        <w:t>Clause</w:t>
      </w:r>
      <w:r>
        <w:rPr>
          <w:spacing w:val="36"/>
        </w:rPr>
        <w:t xml:space="preserve"> </w:t>
      </w:r>
      <w:hyperlink w:anchor="_bookmark211" w:history="1">
        <w:r>
          <w:rPr>
            <w:spacing w:val="-1"/>
          </w:rPr>
          <w:t>37</w:t>
        </w:r>
      </w:hyperlink>
      <w:r>
        <w:rPr>
          <w:spacing w:val="36"/>
        </w:rPr>
        <w:t xml:space="preserve"> </w:t>
      </w:r>
      <w:r>
        <w:t>the</w:t>
      </w:r>
      <w:r>
        <w:rPr>
          <w:spacing w:val="35"/>
        </w:rPr>
        <w:t xml:space="preserve"> </w:t>
      </w:r>
      <w:r>
        <w:rPr>
          <w:spacing w:val="-2"/>
        </w:rPr>
        <w:t>Customer</w:t>
      </w:r>
      <w:r>
        <w:rPr>
          <w:spacing w:val="34"/>
        </w:rPr>
        <w:t xml:space="preserve"> </w:t>
      </w:r>
      <w:r>
        <w:rPr>
          <w:spacing w:val="-1"/>
        </w:rPr>
        <w:t>may</w:t>
      </w:r>
      <w:r>
        <w:rPr>
          <w:spacing w:val="33"/>
        </w:rPr>
        <w:t xml:space="preserve"> </w:t>
      </w:r>
      <w:r>
        <w:t>make</w:t>
      </w:r>
      <w:r>
        <w:rPr>
          <w:spacing w:val="55"/>
        </w:rPr>
        <w:t xml:space="preserve"> </w:t>
      </w:r>
      <w:r>
        <w:rPr>
          <w:spacing w:val="-1"/>
        </w:rPr>
        <w:t>alternative</w:t>
      </w:r>
      <w:r>
        <w:rPr>
          <w:spacing w:val="10"/>
        </w:rPr>
        <w:t xml:space="preserve"> </w:t>
      </w:r>
      <w:r>
        <w:rPr>
          <w:spacing w:val="-1"/>
        </w:rPr>
        <w:t>arrangements</w:t>
      </w:r>
      <w:r>
        <w:rPr>
          <w:spacing w:val="8"/>
        </w:rPr>
        <w:t xml:space="preserve"> </w:t>
      </w:r>
      <w:r>
        <w:t>to</w:t>
      </w:r>
      <w:r>
        <w:rPr>
          <w:spacing w:val="10"/>
        </w:rPr>
        <w:t xml:space="preserve"> </w:t>
      </w:r>
      <w:r>
        <w:rPr>
          <w:spacing w:val="-1"/>
        </w:rPr>
        <w:t>protect</w:t>
      </w:r>
      <w:r>
        <w:rPr>
          <w:spacing w:val="11"/>
        </w:rPr>
        <w:t xml:space="preserve"> </w:t>
      </w:r>
      <w:r>
        <w:rPr>
          <w:spacing w:val="-1"/>
        </w:rPr>
        <w:t>its</w:t>
      </w:r>
      <w:r>
        <w:rPr>
          <w:spacing w:val="10"/>
        </w:rPr>
        <w:t xml:space="preserve"> </w:t>
      </w:r>
      <w:r>
        <w:rPr>
          <w:spacing w:val="-1"/>
        </w:rPr>
        <w:t>interests</w:t>
      </w:r>
      <w:r>
        <w:rPr>
          <w:spacing w:val="10"/>
        </w:rPr>
        <w:t xml:space="preserve"> </w:t>
      </w:r>
      <w:r>
        <w:rPr>
          <w:spacing w:val="-2"/>
        </w:rPr>
        <w:t>and</w:t>
      </w:r>
      <w:r>
        <w:rPr>
          <w:spacing w:val="10"/>
        </w:rPr>
        <w:t xml:space="preserve"> </w:t>
      </w:r>
      <w:r>
        <w:rPr>
          <w:spacing w:val="-1"/>
        </w:rPr>
        <w:t>may</w:t>
      </w:r>
      <w:r>
        <w:rPr>
          <w:spacing w:val="8"/>
        </w:rPr>
        <w:t xml:space="preserve"> </w:t>
      </w:r>
      <w:r>
        <w:rPr>
          <w:spacing w:val="-1"/>
        </w:rPr>
        <w:t>recover</w:t>
      </w:r>
      <w:r>
        <w:rPr>
          <w:spacing w:val="11"/>
        </w:rPr>
        <w:t xml:space="preserve"> </w:t>
      </w:r>
      <w:r>
        <w:t>the</w:t>
      </w:r>
      <w:r>
        <w:rPr>
          <w:spacing w:val="10"/>
        </w:rPr>
        <w:t xml:space="preserve"> </w:t>
      </w:r>
      <w:r>
        <w:rPr>
          <w:spacing w:val="-1"/>
        </w:rPr>
        <w:t>premium</w:t>
      </w:r>
      <w:r>
        <w:rPr>
          <w:spacing w:val="11"/>
        </w:rPr>
        <w:t xml:space="preserve"> </w:t>
      </w:r>
      <w:r>
        <w:rPr>
          <w:spacing w:val="-2"/>
        </w:rPr>
        <w:t>and</w:t>
      </w:r>
      <w:r>
        <w:rPr>
          <w:spacing w:val="49"/>
        </w:rPr>
        <w:t xml:space="preserve"> </w:t>
      </w:r>
      <w:r>
        <w:rPr>
          <w:spacing w:val="-1"/>
        </w:rPr>
        <w:t>other costs</w:t>
      </w:r>
      <w:r>
        <w:rPr>
          <w:spacing w:val="1"/>
        </w:rPr>
        <w:t xml:space="preserve"> </w:t>
      </w:r>
      <w:r>
        <w:rPr>
          <w:spacing w:val="-2"/>
        </w:rPr>
        <w:t>of</w:t>
      </w:r>
      <w:r>
        <w:rPr>
          <w:spacing w:val="2"/>
        </w:rPr>
        <w:t xml:space="preserve"> </w:t>
      </w:r>
      <w:r>
        <w:rPr>
          <w:spacing w:val="-2"/>
        </w:rPr>
        <w:t>such</w:t>
      </w:r>
      <w:r>
        <w:rPr>
          <w:spacing w:val="1"/>
        </w:rPr>
        <w:t xml:space="preserve"> </w:t>
      </w:r>
      <w:r>
        <w:rPr>
          <w:spacing w:val="-1"/>
        </w:rPr>
        <w:t>arrangements</w:t>
      </w:r>
      <w:r>
        <w:rPr>
          <w:spacing w:val="-2"/>
        </w:rPr>
        <w:t xml:space="preserve"> </w:t>
      </w:r>
      <w:r>
        <w:rPr>
          <w:spacing w:val="-1"/>
        </w:rPr>
        <w:t>as</w:t>
      </w:r>
      <w:r>
        <w:rPr>
          <w:spacing w:val="-2"/>
        </w:rPr>
        <w:t xml:space="preserve"> </w:t>
      </w:r>
      <w:r>
        <w:t xml:space="preserve">a </w:t>
      </w:r>
      <w:r>
        <w:rPr>
          <w:spacing w:val="-2"/>
        </w:rPr>
        <w:t>debt</w:t>
      </w:r>
      <w:r>
        <w:rPr>
          <w:spacing w:val="2"/>
        </w:rPr>
        <w:t xml:space="preserve"> </w:t>
      </w:r>
      <w:r>
        <w:rPr>
          <w:spacing w:val="-1"/>
        </w:rPr>
        <w:t>due</w:t>
      </w:r>
      <w:r>
        <w:rPr>
          <w:spacing w:val="-4"/>
        </w:rPr>
        <w:t xml:space="preserve"> </w:t>
      </w:r>
      <w:r>
        <w:rPr>
          <w:spacing w:val="-1"/>
        </w:rPr>
        <w:t xml:space="preserve">from </w:t>
      </w:r>
      <w:r>
        <w:t xml:space="preserve">the </w:t>
      </w:r>
      <w:r>
        <w:rPr>
          <w:spacing w:val="-1"/>
        </w:rPr>
        <w:t>Supplier.</w:t>
      </w:r>
    </w:p>
    <w:p w:rsidR="008918FA" w:rsidRDefault="008918FA" w:rsidP="008918FA">
      <w:pPr>
        <w:pStyle w:val="BodyText"/>
        <w:numPr>
          <w:ilvl w:val="1"/>
          <w:numId w:val="66"/>
        </w:numPr>
        <w:tabs>
          <w:tab w:val="left" w:pos="1235"/>
        </w:tabs>
        <w:ind w:left="1030" w:right="112" w:hanging="361"/>
        <w:jc w:val="both"/>
      </w:pPr>
      <w:r>
        <w:t>The</w:t>
      </w:r>
      <w:r>
        <w:rPr>
          <w:spacing w:val="43"/>
        </w:rPr>
        <w:t xml:space="preserve"> </w:t>
      </w:r>
      <w:r>
        <w:rPr>
          <w:spacing w:val="-2"/>
        </w:rPr>
        <w:t>provisions</w:t>
      </w:r>
      <w:r>
        <w:rPr>
          <w:spacing w:val="44"/>
        </w:rPr>
        <w:t xml:space="preserve"> </w:t>
      </w:r>
      <w:r>
        <w:rPr>
          <w:spacing w:val="-1"/>
        </w:rPr>
        <w:t>of</w:t>
      </w:r>
      <w:r>
        <w:rPr>
          <w:spacing w:val="47"/>
        </w:rPr>
        <w:t xml:space="preserve"> </w:t>
      </w:r>
      <w:r>
        <w:rPr>
          <w:spacing w:val="-1"/>
        </w:rPr>
        <w:t>any</w:t>
      </w:r>
      <w:r>
        <w:rPr>
          <w:spacing w:val="41"/>
        </w:rPr>
        <w:t xml:space="preserve"> </w:t>
      </w:r>
      <w:r>
        <w:rPr>
          <w:spacing w:val="-1"/>
        </w:rPr>
        <w:t>insurance</w:t>
      </w:r>
      <w:r>
        <w:rPr>
          <w:spacing w:val="44"/>
        </w:rPr>
        <w:t xml:space="preserve"> </w:t>
      </w:r>
      <w:r>
        <w:rPr>
          <w:spacing w:val="-1"/>
        </w:rPr>
        <w:t>or</w:t>
      </w:r>
      <w:r>
        <w:rPr>
          <w:spacing w:val="45"/>
        </w:rPr>
        <w:t xml:space="preserve"> </w:t>
      </w:r>
      <w:r>
        <w:t>the</w:t>
      </w:r>
      <w:r>
        <w:rPr>
          <w:spacing w:val="44"/>
        </w:rPr>
        <w:t xml:space="preserve"> </w:t>
      </w:r>
      <w:r>
        <w:rPr>
          <w:spacing w:val="-1"/>
        </w:rPr>
        <w:t>amount</w:t>
      </w:r>
      <w:r>
        <w:rPr>
          <w:spacing w:val="45"/>
        </w:rPr>
        <w:t xml:space="preserve"> </w:t>
      </w:r>
      <w:r>
        <w:rPr>
          <w:spacing w:val="-2"/>
        </w:rPr>
        <w:t>of</w:t>
      </w:r>
      <w:r>
        <w:rPr>
          <w:spacing w:val="47"/>
        </w:rPr>
        <w:t xml:space="preserve"> </w:t>
      </w:r>
      <w:r>
        <w:rPr>
          <w:spacing w:val="-1"/>
        </w:rPr>
        <w:t>cover</w:t>
      </w:r>
      <w:r>
        <w:rPr>
          <w:spacing w:val="45"/>
        </w:rPr>
        <w:t xml:space="preserve"> </w:t>
      </w:r>
      <w:r>
        <w:rPr>
          <w:spacing w:val="-1"/>
        </w:rPr>
        <w:t>shall</w:t>
      </w:r>
      <w:r>
        <w:rPr>
          <w:spacing w:val="43"/>
        </w:rPr>
        <w:t xml:space="preserve"> </w:t>
      </w:r>
      <w:r>
        <w:rPr>
          <w:spacing w:val="-1"/>
        </w:rPr>
        <w:t>not</w:t>
      </w:r>
      <w:r>
        <w:rPr>
          <w:spacing w:val="45"/>
        </w:rPr>
        <w:t xml:space="preserve"> </w:t>
      </w:r>
      <w:r>
        <w:rPr>
          <w:spacing w:val="-1"/>
        </w:rPr>
        <w:t>relieve</w:t>
      </w:r>
      <w:r>
        <w:rPr>
          <w:spacing w:val="44"/>
        </w:rPr>
        <w:t xml:space="preserve"> </w:t>
      </w:r>
      <w:r>
        <w:rPr>
          <w:spacing w:val="-1"/>
        </w:rPr>
        <w:t>the</w:t>
      </w:r>
      <w:r>
        <w:rPr>
          <w:spacing w:val="48"/>
        </w:rPr>
        <w:t xml:space="preserve"> </w:t>
      </w:r>
      <w:r>
        <w:rPr>
          <w:spacing w:val="-2"/>
        </w:rPr>
        <w:t>Supplier</w:t>
      </w:r>
      <w:r>
        <w:rPr>
          <w:spacing w:val="16"/>
        </w:rPr>
        <w:t xml:space="preserve"> </w:t>
      </w:r>
      <w:r>
        <w:rPr>
          <w:spacing w:val="-1"/>
        </w:rPr>
        <w:t>of</w:t>
      </w:r>
      <w:r>
        <w:rPr>
          <w:spacing w:val="16"/>
        </w:rPr>
        <w:t xml:space="preserve"> </w:t>
      </w:r>
      <w:r>
        <w:rPr>
          <w:spacing w:val="-1"/>
        </w:rPr>
        <w:t>any</w:t>
      </w:r>
      <w:r>
        <w:rPr>
          <w:spacing w:val="13"/>
        </w:rPr>
        <w:t xml:space="preserve"> </w:t>
      </w:r>
      <w:r>
        <w:rPr>
          <w:spacing w:val="-1"/>
        </w:rPr>
        <w:t>liability</w:t>
      </w:r>
      <w:r>
        <w:rPr>
          <w:spacing w:val="13"/>
        </w:rPr>
        <w:t xml:space="preserve"> </w:t>
      </w:r>
      <w:r>
        <w:rPr>
          <w:spacing w:val="-1"/>
        </w:rPr>
        <w:t>under</w:t>
      </w:r>
      <w:r>
        <w:rPr>
          <w:spacing w:val="16"/>
        </w:rPr>
        <w:t xml:space="preserve"> </w:t>
      </w:r>
      <w:r>
        <w:rPr>
          <w:spacing w:val="-1"/>
        </w:rPr>
        <w:t>this</w:t>
      </w:r>
      <w:r>
        <w:rPr>
          <w:spacing w:val="15"/>
        </w:rPr>
        <w:t xml:space="preserve"> </w:t>
      </w:r>
      <w:r>
        <w:rPr>
          <w:spacing w:val="-2"/>
        </w:rPr>
        <w:t>Call</w:t>
      </w:r>
      <w:r>
        <w:rPr>
          <w:spacing w:val="14"/>
        </w:rPr>
        <w:t xml:space="preserve"> </w:t>
      </w:r>
      <w:r>
        <w:rPr>
          <w:spacing w:val="-1"/>
        </w:rPr>
        <w:t>Off</w:t>
      </w:r>
      <w:r>
        <w:rPr>
          <w:spacing w:val="14"/>
        </w:rPr>
        <w:t xml:space="preserve"> </w:t>
      </w:r>
      <w:r>
        <w:rPr>
          <w:spacing w:val="-1"/>
        </w:rPr>
        <w:t>Contract.</w:t>
      </w:r>
      <w:r>
        <w:rPr>
          <w:spacing w:val="14"/>
        </w:rPr>
        <w:t xml:space="preserve"> </w:t>
      </w:r>
      <w:r>
        <w:rPr>
          <w:spacing w:val="-1"/>
        </w:rPr>
        <w:t>It</w:t>
      </w:r>
      <w:r>
        <w:rPr>
          <w:spacing w:val="16"/>
        </w:rPr>
        <w:t xml:space="preserve"> </w:t>
      </w:r>
      <w:r>
        <w:rPr>
          <w:spacing w:val="-1"/>
        </w:rPr>
        <w:t>shall</w:t>
      </w:r>
      <w:r>
        <w:rPr>
          <w:spacing w:val="14"/>
        </w:rPr>
        <w:t xml:space="preserve"> </w:t>
      </w:r>
      <w:r>
        <w:rPr>
          <w:spacing w:val="-1"/>
        </w:rPr>
        <w:t>be</w:t>
      </w:r>
      <w:r>
        <w:rPr>
          <w:spacing w:val="15"/>
        </w:rPr>
        <w:t xml:space="preserve"> </w:t>
      </w:r>
      <w:r>
        <w:t>the</w:t>
      </w:r>
      <w:r>
        <w:rPr>
          <w:spacing w:val="12"/>
        </w:rPr>
        <w:t xml:space="preserve"> </w:t>
      </w:r>
      <w:r>
        <w:rPr>
          <w:spacing w:val="-1"/>
        </w:rPr>
        <w:t>responsibility</w:t>
      </w:r>
      <w:r>
        <w:rPr>
          <w:spacing w:val="13"/>
        </w:rPr>
        <w:t xml:space="preserve"> </w:t>
      </w:r>
      <w:r>
        <w:rPr>
          <w:spacing w:val="-2"/>
        </w:rPr>
        <w:t>of</w:t>
      </w:r>
      <w:r>
        <w:rPr>
          <w:spacing w:val="53"/>
        </w:rPr>
        <w:t xml:space="preserve"> </w:t>
      </w:r>
      <w:r>
        <w:t>the</w:t>
      </w:r>
      <w:r>
        <w:rPr>
          <w:spacing w:val="24"/>
        </w:rPr>
        <w:t xml:space="preserve"> </w:t>
      </w:r>
      <w:r>
        <w:rPr>
          <w:spacing w:val="-2"/>
        </w:rPr>
        <w:t>Supplier</w:t>
      </w:r>
      <w:r>
        <w:rPr>
          <w:spacing w:val="26"/>
        </w:rPr>
        <w:t xml:space="preserve"> </w:t>
      </w:r>
      <w:r>
        <w:t>to</w:t>
      </w:r>
      <w:r>
        <w:rPr>
          <w:spacing w:val="22"/>
        </w:rPr>
        <w:t xml:space="preserve"> </w:t>
      </w:r>
      <w:r>
        <w:rPr>
          <w:spacing w:val="-1"/>
        </w:rPr>
        <w:t>determine</w:t>
      </w:r>
      <w:r>
        <w:rPr>
          <w:spacing w:val="24"/>
        </w:rPr>
        <w:t xml:space="preserve"> </w:t>
      </w:r>
      <w:r>
        <w:t>the</w:t>
      </w:r>
      <w:r>
        <w:rPr>
          <w:spacing w:val="24"/>
        </w:rPr>
        <w:t xml:space="preserve"> </w:t>
      </w:r>
      <w:r>
        <w:rPr>
          <w:spacing w:val="-1"/>
        </w:rPr>
        <w:t>amount</w:t>
      </w:r>
      <w:r>
        <w:rPr>
          <w:spacing w:val="23"/>
        </w:rPr>
        <w:t xml:space="preserve"> </w:t>
      </w:r>
      <w:r>
        <w:rPr>
          <w:spacing w:val="-2"/>
        </w:rPr>
        <w:t>of</w:t>
      </w:r>
      <w:r>
        <w:rPr>
          <w:spacing w:val="26"/>
        </w:rPr>
        <w:t xml:space="preserve"> </w:t>
      </w:r>
      <w:r>
        <w:rPr>
          <w:spacing w:val="-1"/>
        </w:rPr>
        <w:t>insurance</w:t>
      </w:r>
      <w:r>
        <w:rPr>
          <w:spacing w:val="25"/>
        </w:rPr>
        <w:t xml:space="preserve"> </w:t>
      </w:r>
      <w:r>
        <w:rPr>
          <w:spacing w:val="-1"/>
        </w:rPr>
        <w:t>cover</w:t>
      </w:r>
      <w:r>
        <w:rPr>
          <w:spacing w:val="26"/>
        </w:rPr>
        <w:t xml:space="preserve"> </w:t>
      </w:r>
      <w:r>
        <w:rPr>
          <w:spacing w:val="-1"/>
        </w:rPr>
        <w:t>that</w:t>
      </w:r>
      <w:r>
        <w:rPr>
          <w:spacing w:val="26"/>
        </w:rPr>
        <w:t xml:space="preserve"> </w:t>
      </w:r>
      <w:r>
        <w:rPr>
          <w:spacing w:val="-2"/>
        </w:rPr>
        <w:t>will</w:t>
      </w:r>
      <w:r>
        <w:rPr>
          <w:spacing w:val="24"/>
        </w:rPr>
        <w:t xml:space="preserve"> </w:t>
      </w:r>
      <w:r>
        <w:rPr>
          <w:spacing w:val="-1"/>
        </w:rPr>
        <w:t>be</w:t>
      </w:r>
      <w:r>
        <w:rPr>
          <w:spacing w:val="24"/>
        </w:rPr>
        <w:t xml:space="preserve"> </w:t>
      </w:r>
      <w:r>
        <w:rPr>
          <w:spacing w:val="-1"/>
        </w:rPr>
        <w:t>adequate</w:t>
      </w:r>
      <w:r>
        <w:rPr>
          <w:spacing w:val="24"/>
        </w:rPr>
        <w:t xml:space="preserve"> </w:t>
      </w:r>
      <w:r>
        <w:rPr>
          <w:spacing w:val="-1"/>
        </w:rPr>
        <w:t>to</w:t>
      </w:r>
      <w:r>
        <w:rPr>
          <w:spacing w:val="37"/>
        </w:rPr>
        <w:t xml:space="preserve"> </w:t>
      </w:r>
      <w:r>
        <w:rPr>
          <w:spacing w:val="-1"/>
        </w:rPr>
        <w:t>enable</w:t>
      </w:r>
      <w:r>
        <w:rPr>
          <w:spacing w:val="53"/>
        </w:rPr>
        <w:t xml:space="preserve"> </w:t>
      </w:r>
      <w:r>
        <w:t>the</w:t>
      </w:r>
      <w:r>
        <w:rPr>
          <w:spacing w:val="53"/>
        </w:rPr>
        <w:t xml:space="preserve"> </w:t>
      </w:r>
      <w:r>
        <w:rPr>
          <w:spacing w:val="-2"/>
        </w:rPr>
        <w:t>Supplier</w:t>
      </w:r>
      <w:r>
        <w:rPr>
          <w:spacing w:val="54"/>
        </w:rPr>
        <w:t xml:space="preserve"> </w:t>
      </w:r>
      <w:r>
        <w:t>to</w:t>
      </w:r>
      <w:r>
        <w:rPr>
          <w:spacing w:val="55"/>
        </w:rPr>
        <w:t xml:space="preserve"> </w:t>
      </w:r>
      <w:r>
        <w:rPr>
          <w:spacing w:val="-1"/>
        </w:rPr>
        <w:t>satisfy</w:t>
      </w:r>
      <w:r>
        <w:rPr>
          <w:spacing w:val="51"/>
        </w:rPr>
        <w:t xml:space="preserve"> </w:t>
      </w:r>
      <w:r>
        <w:rPr>
          <w:spacing w:val="-1"/>
        </w:rPr>
        <w:t>any</w:t>
      </w:r>
      <w:r>
        <w:rPr>
          <w:spacing w:val="53"/>
        </w:rPr>
        <w:t xml:space="preserve"> </w:t>
      </w:r>
      <w:r>
        <w:rPr>
          <w:spacing w:val="-1"/>
        </w:rPr>
        <w:t>liability</w:t>
      </w:r>
      <w:r>
        <w:rPr>
          <w:spacing w:val="54"/>
        </w:rPr>
        <w:t xml:space="preserve"> </w:t>
      </w:r>
      <w:r>
        <w:rPr>
          <w:spacing w:val="-1"/>
        </w:rPr>
        <w:t>in</w:t>
      </w:r>
      <w:r>
        <w:rPr>
          <w:spacing w:val="53"/>
        </w:rPr>
        <w:t xml:space="preserve"> </w:t>
      </w:r>
      <w:r>
        <w:rPr>
          <w:spacing w:val="-1"/>
        </w:rPr>
        <w:t>relation</w:t>
      </w:r>
      <w:r>
        <w:rPr>
          <w:spacing w:val="53"/>
        </w:rPr>
        <w:t xml:space="preserve"> </w:t>
      </w:r>
      <w:r>
        <w:t>to</w:t>
      </w:r>
      <w:r>
        <w:rPr>
          <w:spacing w:val="53"/>
        </w:rPr>
        <w:t xml:space="preserve"> </w:t>
      </w:r>
      <w:r>
        <w:t>the</w:t>
      </w:r>
      <w:r>
        <w:rPr>
          <w:spacing w:val="53"/>
        </w:rPr>
        <w:t xml:space="preserve"> </w:t>
      </w:r>
      <w:r>
        <w:rPr>
          <w:spacing w:val="-1"/>
        </w:rPr>
        <w:t>performance</w:t>
      </w:r>
      <w:r>
        <w:rPr>
          <w:spacing w:val="53"/>
        </w:rPr>
        <w:t xml:space="preserve"> </w:t>
      </w:r>
      <w:r>
        <w:rPr>
          <w:spacing w:val="-1"/>
        </w:rPr>
        <w:t>of</w:t>
      </w:r>
      <w:r>
        <w:rPr>
          <w:spacing w:val="58"/>
        </w:rPr>
        <w:t xml:space="preserve"> </w:t>
      </w:r>
      <w:r>
        <w:rPr>
          <w:spacing w:val="-2"/>
        </w:rPr>
        <w:t>its</w:t>
      </w:r>
      <w:r>
        <w:rPr>
          <w:spacing w:val="49"/>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1"/>
          <w:numId w:val="66"/>
        </w:numPr>
        <w:tabs>
          <w:tab w:val="left" w:pos="1235"/>
        </w:tabs>
        <w:ind w:left="1030" w:right="112" w:hanging="360"/>
        <w:jc w:val="both"/>
      </w:pPr>
      <w:r>
        <w:t>The</w:t>
      </w:r>
      <w:r>
        <w:rPr>
          <w:spacing w:val="27"/>
        </w:rPr>
        <w:t xml:space="preserve"> </w:t>
      </w:r>
      <w:r>
        <w:rPr>
          <w:spacing w:val="-2"/>
        </w:rPr>
        <w:t>Supplier</w:t>
      </w:r>
      <w:r>
        <w:rPr>
          <w:spacing w:val="26"/>
        </w:rPr>
        <w:t xml:space="preserve"> </w:t>
      </w:r>
      <w:r>
        <w:rPr>
          <w:spacing w:val="-1"/>
        </w:rPr>
        <w:t>shall</w:t>
      </w:r>
      <w:r>
        <w:rPr>
          <w:spacing w:val="26"/>
        </w:rPr>
        <w:t xml:space="preserve"> </w:t>
      </w:r>
      <w:r>
        <w:rPr>
          <w:spacing w:val="-1"/>
        </w:rPr>
        <w:t>ensure</w:t>
      </w:r>
      <w:r>
        <w:rPr>
          <w:spacing w:val="27"/>
        </w:rPr>
        <w:t xml:space="preserve"> </w:t>
      </w:r>
      <w:r>
        <w:rPr>
          <w:spacing w:val="-1"/>
        </w:rPr>
        <w:t>that</w:t>
      </w:r>
      <w:r>
        <w:rPr>
          <w:spacing w:val="26"/>
        </w:rPr>
        <w:t xml:space="preserve"> </w:t>
      </w:r>
      <w:r>
        <w:rPr>
          <w:spacing w:val="-1"/>
        </w:rPr>
        <w:t>nothing</w:t>
      </w:r>
      <w:r>
        <w:rPr>
          <w:spacing w:val="29"/>
        </w:rPr>
        <w:t xml:space="preserve"> </w:t>
      </w:r>
      <w:r>
        <w:rPr>
          <w:spacing w:val="-1"/>
        </w:rPr>
        <w:t>is</w:t>
      </w:r>
      <w:r>
        <w:rPr>
          <w:spacing w:val="25"/>
        </w:rPr>
        <w:t xml:space="preserve"> </w:t>
      </w:r>
      <w:r>
        <w:rPr>
          <w:spacing w:val="-1"/>
        </w:rPr>
        <w:t>done</w:t>
      </w:r>
      <w:r>
        <w:rPr>
          <w:spacing w:val="24"/>
        </w:rPr>
        <w:t xml:space="preserve"> </w:t>
      </w:r>
      <w:r>
        <w:rPr>
          <w:spacing w:val="-1"/>
        </w:rPr>
        <w:t>which</w:t>
      </w:r>
      <w:r>
        <w:rPr>
          <w:spacing w:val="27"/>
        </w:rPr>
        <w:t xml:space="preserve"> </w:t>
      </w:r>
      <w:r>
        <w:rPr>
          <w:spacing w:val="-1"/>
        </w:rPr>
        <w:t>would</w:t>
      </w:r>
      <w:r>
        <w:rPr>
          <w:spacing w:val="27"/>
        </w:rPr>
        <w:t xml:space="preserve"> </w:t>
      </w:r>
      <w:r>
        <w:rPr>
          <w:spacing w:val="-1"/>
        </w:rPr>
        <w:t>entitle</w:t>
      </w:r>
      <w:r>
        <w:rPr>
          <w:spacing w:val="30"/>
        </w:rPr>
        <w:t xml:space="preserve"> </w:t>
      </w:r>
      <w:r>
        <w:t>the</w:t>
      </w:r>
      <w:r>
        <w:rPr>
          <w:spacing w:val="24"/>
        </w:rPr>
        <w:t xml:space="preserve"> </w:t>
      </w:r>
      <w:r>
        <w:rPr>
          <w:spacing w:val="-2"/>
        </w:rPr>
        <w:t>relevant</w:t>
      </w:r>
      <w:r>
        <w:rPr>
          <w:spacing w:val="42"/>
        </w:rPr>
        <w:t xml:space="preserve"> </w:t>
      </w:r>
      <w:r>
        <w:rPr>
          <w:spacing w:val="-1"/>
        </w:rPr>
        <w:t>insurer</w:t>
      </w:r>
      <w:r>
        <w:rPr>
          <w:spacing w:val="59"/>
        </w:rPr>
        <w:t xml:space="preserve"> </w:t>
      </w:r>
      <w:r>
        <w:t>to</w:t>
      </w:r>
      <w:r>
        <w:rPr>
          <w:spacing w:val="55"/>
        </w:rPr>
        <w:t xml:space="preserve"> </w:t>
      </w:r>
      <w:r>
        <w:rPr>
          <w:spacing w:val="-1"/>
        </w:rPr>
        <w:t>cancel,</w:t>
      </w:r>
      <w:r>
        <w:rPr>
          <w:spacing w:val="57"/>
        </w:rPr>
        <w:t xml:space="preserve"> </w:t>
      </w:r>
      <w:r>
        <w:rPr>
          <w:spacing w:val="-1"/>
        </w:rPr>
        <w:t>rescind</w:t>
      </w:r>
      <w:r>
        <w:rPr>
          <w:spacing w:val="58"/>
        </w:rPr>
        <w:t xml:space="preserve"> </w:t>
      </w:r>
      <w:r>
        <w:rPr>
          <w:spacing w:val="-1"/>
        </w:rPr>
        <w:t>or</w:t>
      </w:r>
      <w:r>
        <w:rPr>
          <w:spacing w:val="59"/>
        </w:rPr>
        <w:t xml:space="preserve"> </w:t>
      </w:r>
      <w:r>
        <w:rPr>
          <w:spacing w:val="-1"/>
        </w:rPr>
        <w:t>suspend</w:t>
      </w:r>
      <w:r>
        <w:rPr>
          <w:spacing w:val="58"/>
        </w:rPr>
        <w:t xml:space="preserve"> </w:t>
      </w:r>
      <w:r>
        <w:rPr>
          <w:spacing w:val="-1"/>
        </w:rPr>
        <w:t>any</w:t>
      </w:r>
      <w:r>
        <w:rPr>
          <w:spacing w:val="57"/>
        </w:rPr>
        <w:t xml:space="preserve"> </w:t>
      </w:r>
      <w:r>
        <w:rPr>
          <w:spacing w:val="-2"/>
        </w:rPr>
        <w:t>insurance</w:t>
      </w:r>
      <w:r>
        <w:rPr>
          <w:spacing w:val="58"/>
        </w:rPr>
        <w:t xml:space="preserve"> </w:t>
      </w:r>
      <w:r>
        <w:rPr>
          <w:spacing w:val="-1"/>
        </w:rPr>
        <w:t>or</w:t>
      </w:r>
      <w:r>
        <w:rPr>
          <w:spacing w:val="57"/>
        </w:rPr>
        <w:t xml:space="preserve"> </w:t>
      </w:r>
      <w:r>
        <w:rPr>
          <w:spacing w:val="-1"/>
        </w:rPr>
        <w:t>cover,</w:t>
      </w:r>
      <w:r>
        <w:rPr>
          <w:spacing w:val="59"/>
        </w:rPr>
        <w:t xml:space="preserve"> </w:t>
      </w:r>
      <w:r>
        <w:rPr>
          <w:spacing w:val="-1"/>
        </w:rPr>
        <w:t>or</w:t>
      </w:r>
      <w:r>
        <w:rPr>
          <w:spacing w:val="57"/>
        </w:rPr>
        <w:t xml:space="preserve"> </w:t>
      </w:r>
      <w:r>
        <w:t>to</w:t>
      </w:r>
      <w:r>
        <w:rPr>
          <w:spacing w:val="55"/>
        </w:rPr>
        <w:t xml:space="preserve"> </w:t>
      </w:r>
      <w:r>
        <w:rPr>
          <w:spacing w:val="-1"/>
        </w:rPr>
        <w:t>treat</w:t>
      </w:r>
      <w:r>
        <w:rPr>
          <w:spacing w:val="60"/>
        </w:rPr>
        <w:t xml:space="preserve"> </w:t>
      </w:r>
      <w:r>
        <w:rPr>
          <w:spacing w:val="-1"/>
        </w:rPr>
        <w:t>any</w:t>
      </w:r>
      <w:r>
        <w:rPr>
          <w:spacing w:val="48"/>
        </w:rPr>
        <w:t xml:space="preserve"> </w:t>
      </w:r>
      <w:r>
        <w:rPr>
          <w:spacing w:val="-1"/>
        </w:rPr>
        <w:t>insurance,</w:t>
      </w:r>
      <w:r>
        <w:rPr>
          <w:spacing w:val="33"/>
        </w:rPr>
        <w:t xml:space="preserve"> </w:t>
      </w:r>
      <w:r>
        <w:rPr>
          <w:spacing w:val="-1"/>
        </w:rPr>
        <w:t>cover</w:t>
      </w:r>
      <w:r>
        <w:rPr>
          <w:spacing w:val="33"/>
        </w:rPr>
        <w:t xml:space="preserve"> </w:t>
      </w:r>
      <w:r>
        <w:rPr>
          <w:spacing w:val="-1"/>
        </w:rPr>
        <w:t>or</w:t>
      </w:r>
      <w:r>
        <w:rPr>
          <w:spacing w:val="33"/>
        </w:rPr>
        <w:t xml:space="preserve"> </w:t>
      </w:r>
      <w:r>
        <w:rPr>
          <w:spacing w:val="-1"/>
        </w:rPr>
        <w:t>claim</w:t>
      </w:r>
      <w:r>
        <w:rPr>
          <w:spacing w:val="33"/>
        </w:rPr>
        <w:t xml:space="preserve"> </w:t>
      </w:r>
      <w:r>
        <w:rPr>
          <w:spacing w:val="-1"/>
        </w:rPr>
        <w:t>as</w:t>
      </w:r>
      <w:r>
        <w:rPr>
          <w:spacing w:val="32"/>
        </w:rPr>
        <w:t xml:space="preserve"> </w:t>
      </w:r>
      <w:r>
        <w:rPr>
          <w:spacing w:val="-2"/>
        </w:rPr>
        <w:t>voided</w:t>
      </w:r>
      <w:r>
        <w:rPr>
          <w:spacing w:val="34"/>
        </w:rPr>
        <w:t xml:space="preserve"> </w:t>
      </w:r>
      <w:r>
        <w:rPr>
          <w:spacing w:val="-1"/>
        </w:rPr>
        <w:t>in</w:t>
      </w:r>
      <w:r>
        <w:rPr>
          <w:spacing w:val="35"/>
        </w:rPr>
        <w:t xml:space="preserve"> </w:t>
      </w:r>
      <w:r>
        <w:rPr>
          <w:spacing w:val="-1"/>
        </w:rPr>
        <w:t>whole</w:t>
      </w:r>
      <w:r>
        <w:rPr>
          <w:spacing w:val="31"/>
        </w:rPr>
        <w:t xml:space="preserve"> </w:t>
      </w:r>
      <w:r>
        <w:rPr>
          <w:spacing w:val="1"/>
        </w:rPr>
        <w:t>or</w:t>
      </w:r>
      <w:r>
        <w:rPr>
          <w:spacing w:val="33"/>
        </w:rPr>
        <w:t xml:space="preserve"> </w:t>
      </w:r>
      <w:r>
        <w:rPr>
          <w:spacing w:val="-1"/>
        </w:rPr>
        <w:t>part.</w:t>
      </w:r>
      <w:r>
        <w:rPr>
          <w:spacing w:val="34"/>
        </w:rPr>
        <w:t xml:space="preserve"> </w:t>
      </w:r>
      <w:r>
        <w:t>The</w:t>
      </w:r>
      <w:r>
        <w:rPr>
          <w:spacing w:val="31"/>
        </w:rPr>
        <w:t xml:space="preserve"> </w:t>
      </w:r>
      <w:r>
        <w:rPr>
          <w:spacing w:val="-2"/>
        </w:rPr>
        <w:t>Supplier</w:t>
      </w:r>
      <w:r>
        <w:rPr>
          <w:spacing w:val="33"/>
        </w:rPr>
        <w:t xml:space="preserve"> </w:t>
      </w:r>
      <w:r>
        <w:rPr>
          <w:spacing w:val="-1"/>
        </w:rPr>
        <w:t>shall</w:t>
      </w:r>
      <w:r>
        <w:rPr>
          <w:spacing w:val="32"/>
        </w:rPr>
        <w:t xml:space="preserve"> </w:t>
      </w:r>
      <w:r>
        <w:rPr>
          <w:spacing w:val="-1"/>
        </w:rPr>
        <w:t>use</w:t>
      </w:r>
      <w:r>
        <w:rPr>
          <w:spacing w:val="32"/>
        </w:rPr>
        <w:t xml:space="preserve"> </w:t>
      </w:r>
      <w:r>
        <w:t>all</w:t>
      </w:r>
      <w:r>
        <w:rPr>
          <w:spacing w:val="41"/>
        </w:rPr>
        <w:t xml:space="preserve"> </w:t>
      </w:r>
      <w:r>
        <w:rPr>
          <w:spacing w:val="-1"/>
        </w:rPr>
        <w:t>reasonable</w:t>
      </w:r>
      <w:r>
        <w:rPr>
          <w:spacing w:val="10"/>
        </w:rPr>
        <w:t xml:space="preserve"> </w:t>
      </w:r>
      <w:r>
        <w:rPr>
          <w:spacing w:val="-1"/>
        </w:rPr>
        <w:t>endeavours</w:t>
      </w:r>
      <w:r>
        <w:rPr>
          <w:spacing w:val="8"/>
        </w:rPr>
        <w:t xml:space="preserve"> </w:t>
      </w:r>
      <w:r>
        <w:rPr>
          <w:spacing w:val="-1"/>
        </w:rPr>
        <w:t>to</w:t>
      </w:r>
      <w:r>
        <w:rPr>
          <w:spacing w:val="10"/>
        </w:rPr>
        <w:t xml:space="preserve"> </w:t>
      </w:r>
      <w:r>
        <w:rPr>
          <w:spacing w:val="-1"/>
        </w:rPr>
        <w:t>notify</w:t>
      </w:r>
      <w:r>
        <w:rPr>
          <w:spacing w:val="8"/>
        </w:rPr>
        <w:t xml:space="preserve"> </w:t>
      </w:r>
      <w:r>
        <w:t>the</w:t>
      </w:r>
      <w:r>
        <w:rPr>
          <w:spacing w:val="7"/>
        </w:rPr>
        <w:t xml:space="preserve"> </w:t>
      </w:r>
      <w:r>
        <w:rPr>
          <w:spacing w:val="-1"/>
        </w:rPr>
        <w:t>Customer</w:t>
      </w:r>
      <w:r>
        <w:rPr>
          <w:spacing w:val="9"/>
        </w:rPr>
        <w:t xml:space="preserve"> </w:t>
      </w:r>
      <w:r>
        <w:rPr>
          <w:spacing w:val="-1"/>
        </w:rPr>
        <w:t>(subject</w:t>
      </w:r>
      <w:r>
        <w:rPr>
          <w:spacing w:val="9"/>
        </w:rPr>
        <w:t xml:space="preserve"> </w:t>
      </w:r>
      <w:r>
        <w:t>to</w:t>
      </w:r>
      <w:r>
        <w:rPr>
          <w:spacing w:val="7"/>
        </w:rPr>
        <w:t xml:space="preserve"> </w:t>
      </w:r>
      <w:r>
        <w:rPr>
          <w:spacing w:val="-1"/>
        </w:rPr>
        <w:t>third</w:t>
      </w:r>
      <w:r>
        <w:rPr>
          <w:spacing w:val="7"/>
        </w:rPr>
        <w:t xml:space="preserve"> </w:t>
      </w:r>
      <w:r>
        <w:rPr>
          <w:spacing w:val="-1"/>
        </w:rPr>
        <w:t>party</w:t>
      </w:r>
      <w:r>
        <w:rPr>
          <w:spacing w:val="8"/>
        </w:rPr>
        <w:t xml:space="preserve"> </w:t>
      </w:r>
      <w:r>
        <w:rPr>
          <w:spacing w:val="-1"/>
        </w:rPr>
        <w:t>confidentiality</w:t>
      </w:r>
      <w:r>
        <w:rPr>
          <w:spacing w:val="43"/>
        </w:rPr>
        <w:t xml:space="preserve"> </w:t>
      </w:r>
      <w:r>
        <w:rPr>
          <w:spacing w:val="-1"/>
        </w:rPr>
        <w:t>obligations)</w:t>
      </w:r>
      <w:r>
        <w:rPr>
          <w:spacing w:val="33"/>
        </w:rPr>
        <w:t xml:space="preserve"> </w:t>
      </w:r>
      <w:r>
        <w:rPr>
          <w:spacing w:val="-1"/>
        </w:rPr>
        <w:t>as</w:t>
      </w:r>
      <w:r>
        <w:rPr>
          <w:spacing w:val="32"/>
        </w:rPr>
        <w:t xml:space="preserve"> </w:t>
      </w:r>
      <w:r>
        <w:rPr>
          <w:spacing w:val="-1"/>
        </w:rPr>
        <w:t>soon</w:t>
      </w:r>
      <w:r>
        <w:rPr>
          <w:spacing w:val="31"/>
        </w:rPr>
        <w:t xml:space="preserve"> </w:t>
      </w:r>
      <w:r>
        <w:rPr>
          <w:spacing w:val="-1"/>
        </w:rPr>
        <w:t>as</w:t>
      </w:r>
      <w:r>
        <w:rPr>
          <w:spacing w:val="30"/>
        </w:rPr>
        <w:t xml:space="preserve"> </w:t>
      </w:r>
      <w:r>
        <w:rPr>
          <w:spacing w:val="-1"/>
        </w:rPr>
        <w:t>practicable</w:t>
      </w:r>
      <w:r>
        <w:rPr>
          <w:spacing w:val="31"/>
        </w:rPr>
        <w:t xml:space="preserve"> </w:t>
      </w:r>
      <w:r>
        <w:rPr>
          <w:spacing w:val="-2"/>
        </w:rPr>
        <w:t>when</w:t>
      </w:r>
      <w:r>
        <w:rPr>
          <w:spacing w:val="31"/>
        </w:rPr>
        <w:t xml:space="preserve"> </w:t>
      </w:r>
      <w:r>
        <w:rPr>
          <w:spacing w:val="-1"/>
        </w:rPr>
        <w:t>it</w:t>
      </w:r>
      <w:r>
        <w:rPr>
          <w:spacing w:val="33"/>
        </w:rPr>
        <w:t xml:space="preserve"> </w:t>
      </w:r>
      <w:r>
        <w:rPr>
          <w:spacing w:val="-1"/>
        </w:rPr>
        <w:t>becomes</w:t>
      </w:r>
      <w:r>
        <w:rPr>
          <w:spacing w:val="33"/>
        </w:rPr>
        <w:t xml:space="preserve"> </w:t>
      </w:r>
      <w:r>
        <w:rPr>
          <w:spacing w:val="-2"/>
        </w:rPr>
        <w:t>aware</w:t>
      </w:r>
      <w:r>
        <w:rPr>
          <w:spacing w:val="31"/>
        </w:rPr>
        <w:t xml:space="preserve"> </w:t>
      </w:r>
      <w:r>
        <w:rPr>
          <w:spacing w:val="-1"/>
        </w:rPr>
        <w:t>of</w:t>
      </w:r>
      <w:r>
        <w:rPr>
          <w:spacing w:val="35"/>
        </w:rPr>
        <w:t xml:space="preserve"> </w:t>
      </w:r>
      <w:r>
        <w:rPr>
          <w:spacing w:val="-1"/>
        </w:rPr>
        <w:t>any</w:t>
      </w:r>
      <w:r>
        <w:rPr>
          <w:spacing w:val="30"/>
        </w:rPr>
        <w:t xml:space="preserve"> </w:t>
      </w:r>
      <w:r>
        <w:rPr>
          <w:spacing w:val="-2"/>
        </w:rPr>
        <w:t>relevant</w:t>
      </w:r>
      <w:r>
        <w:rPr>
          <w:spacing w:val="33"/>
        </w:rPr>
        <w:t xml:space="preserve"> </w:t>
      </w:r>
      <w:r>
        <w:rPr>
          <w:spacing w:val="-1"/>
        </w:rPr>
        <w:t>fact,</w:t>
      </w:r>
      <w:r>
        <w:rPr>
          <w:spacing w:val="61"/>
        </w:rPr>
        <w:t xml:space="preserve"> </w:t>
      </w:r>
      <w:r>
        <w:rPr>
          <w:spacing w:val="-1"/>
        </w:rPr>
        <w:t>circumstance</w:t>
      </w:r>
      <w:r>
        <w:rPr>
          <w:spacing w:val="14"/>
        </w:rPr>
        <w:t xml:space="preserve"> </w:t>
      </w:r>
      <w:r>
        <w:rPr>
          <w:spacing w:val="-2"/>
        </w:rPr>
        <w:t>or</w:t>
      </w:r>
      <w:r>
        <w:rPr>
          <w:spacing w:val="13"/>
        </w:rPr>
        <w:t xml:space="preserve"> </w:t>
      </w:r>
      <w:r>
        <w:rPr>
          <w:spacing w:val="-1"/>
        </w:rPr>
        <w:t>matter</w:t>
      </w:r>
      <w:r>
        <w:rPr>
          <w:spacing w:val="13"/>
        </w:rPr>
        <w:t xml:space="preserve"> </w:t>
      </w:r>
      <w:r>
        <w:rPr>
          <w:spacing w:val="-2"/>
        </w:rPr>
        <w:t>which</w:t>
      </w:r>
      <w:r>
        <w:rPr>
          <w:spacing w:val="14"/>
        </w:rPr>
        <w:t xml:space="preserve"> </w:t>
      </w:r>
      <w:r>
        <w:rPr>
          <w:spacing w:val="-1"/>
        </w:rPr>
        <w:t>has</w:t>
      </w:r>
      <w:r>
        <w:rPr>
          <w:spacing w:val="14"/>
        </w:rPr>
        <w:t xml:space="preserve"> </w:t>
      </w:r>
      <w:r>
        <w:rPr>
          <w:spacing w:val="-1"/>
        </w:rPr>
        <w:t>caused,</w:t>
      </w:r>
      <w:r>
        <w:rPr>
          <w:spacing w:val="15"/>
        </w:rPr>
        <w:t xml:space="preserve"> </w:t>
      </w:r>
      <w:r>
        <w:rPr>
          <w:spacing w:val="-2"/>
        </w:rPr>
        <w:t>or</w:t>
      </w:r>
      <w:r>
        <w:rPr>
          <w:spacing w:val="12"/>
        </w:rPr>
        <w:t xml:space="preserve"> </w:t>
      </w:r>
      <w:r>
        <w:rPr>
          <w:spacing w:val="-1"/>
        </w:rPr>
        <w:t>is</w:t>
      </w:r>
      <w:r>
        <w:rPr>
          <w:spacing w:val="14"/>
        </w:rPr>
        <w:t xml:space="preserve"> </w:t>
      </w:r>
      <w:r>
        <w:rPr>
          <w:spacing w:val="-1"/>
        </w:rPr>
        <w:t>reasonably</w:t>
      </w:r>
      <w:r>
        <w:rPr>
          <w:spacing w:val="12"/>
        </w:rPr>
        <w:t xml:space="preserve"> </w:t>
      </w:r>
      <w:r>
        <w:rPr>
          <w:spacing w:val="-1"/>
        </w:rPr>
        <w:t>likely</w:t>
      </w:r>
      <w:r>
        <w:rPr>
          <w:spacing w:val="12"/>
        </w:rPr>
        <w:t xml:space="preserve"> </w:t>
      </w:r>
      <w:r>
        <w:t>to</w:t>
      </w:r>
      <w:r>
        <w:rPr>
          <w:spacing w:val="11"/>
        </w:rPr>
        <w:t xml:space="preserve"> </w:t>
      </w:r>
      <w:r>
        <w:rPr>
          <w:spacing w:val="-2"/>
        </w:rPr>
        <w:t>provide</w:t>
      </w:r>
      <w:r>
        <w:rPr>
          <w:spacing w:val="48"/>
        </w:rPr>
        <w:t xml:space="preserve"> </w:t>
      </w:r>
      <w:r>
        <w:rPr>
          <w:spacing w:val="-1"/>
        </w:rPr>
        <w:t>grounds</w:t>
      </w:r>
      <w:r>
        <w:rPr>
          <w:spacing w:val="20"/>
        </w:rPr>
        <w:t xml:space="preserve"> </w:t>
      </w:r>
      <w:r>
        <w:rPr>
          <w:spacing w:val="-1"/>
        </w:rPr>
        <w:t>to,</w:t>
      </w:r>
      <w:r>
        <w:rPr>
          <w:spacing w:val="21"/>
        </w:rPr>
        <w:t xml:space="preserve"> </w:t>
      </w:r>
      <w:r>
        <w:t>the</w:t>
      </w:r>
      <w:r>
        <w:rPr>
          <w:spacing w:val="20"/>
        </w:rPr>
        <w:t xml:space="preserve"> </w:t>
      </w:r>
      <w:r>
        <w:rPr>
          <w:spacing w:val="-2"/>
        </w:rPr>
        <w:t>relevant</w:t>
      </w:r>
      <w:r>
        <w:rPr>
          <w:spacing w:val="19"/>
        </w:rPr>
        <w:t xml:space="preserve"> </w:t>
      </w:r>
      <w:r>
        <w:rPr>
          <w:spacing w:val="-1"/>
        </w:rPr>
        <w:t>insurer</w:t>
      </w:r>
      <w:r>
        <w:rPr>
          <w:spacing w:val="21"/>
        </w:rPr>
        <w:t xml:space="preserve"> </w:t>
      </w:r>
      <w:r>
        <w:t>to</w:t>
      </w:r>
      <w:r>
        <w:rPr>
          <w:spacing w:val="17"/>
        </w:rPr>
        <w:t xml:space="preserve"> </w:t>
      </w:r>
      <w:r>
        <w:rPr>
          <w:spacing w:val="-1"/>
        </w:rPr>
        <w:t>give</w:t>
      </w:r>
      <w:r>
        <w:rPr>
          <w:spacing w:val="20"/>
        </w:rPr>
        <w:t xml:space="preserve"> </w:t>
      </w:r>
      <w:r>
        <w:rPr>
          <w:spacing w:val="-1"/>
        </w:rPr>
        <w:t>notice</w:t>
      </w:r>
      <w:r>
        <w:rPr>
          <w:spacing w:val="20"/>
        </w:rPr>
        <w:t xml:space="preserve"> </w:t>
      </w:r>
      <w:r>
        <w:t>to</w:t>
      </w:r>
      <w:r>
        <w:rPr>
          <w:spacing w:val="19"/>
        </w:rPr>
        <w:t xml:space="preserve"> </w:t>
      </w:r>
      <w:r>
        <w:rPr>
          <w:spacing w:val="-1"/>
        </w:rPr>
        <w:t>cancel,</w:t>
      </w:r>
      <w:r>
        <w:rPr>
          <w:spacing w:val="21"/>
        </w:rPr>
        <w:t xml:space="preserve"> </w:t>
      </w:r>
      <w:r>
        <w:rPr>
          <w:spacing w:val="-1"/>
        </w:rPr>
        <w:t>rescind,</w:t>
      </w:r>
      <w:r>
        <w:rPr>
          <w:spacing w:val="21"/>
        </w:rPr>
        <w:t xml:space="preserve"> </w:t>
      </w:r>
      <w:r>
        <w:rPr>
          <w:spacing w:val="-2"/>
        </w:rPr>
        <w:t>suspend</w:t>
      </w:r>
      <w:r>
        <w:rPr>
          <w:spacing w:val="20"/>
        </w:rPr>
        <w:t xml:space="preserve"> </w:t>
      </w:r>
      <w:r>
        <w:rPr>
          <w:spacing w:val="-1"/>
        </w:rPr>
        <w:t>or</w:t>
      </w:r>
      <w:r>
        <w:rPr>
          <w:spacing w:val="21"/>
        </w:rPr>
        <w:t xml:space="preserve"> </w:t>
      </w:r>
      <w:r>
        <w:rPr>
          <w:spacing w:val="-2"/>
        </w:rPr>
        <w:t>void</w:t>
      </w:r>
      <w:r>
        <w:rPr>
          <w:spacing w:val="61"/>
        </w:rPr>
        <w:t xml:space="preserve"> </w:t>
      </w:r>
      <w:r>
        <w:rPr>
          <w:spacing w:val="-1"/>
        </w:rPr>
        <w:t>any</w:t>
      </w:r>
      <w:r>
        <w:rPr>
          <w:spacing w:val="-2"/>
        </w:rPr>
        <w:t xml:space="preserve"> </w:t>
      </w:r>
      <w:r>
        <w:rPr>
          <w:spacing w:val="-1"/>
        </w:rPr>
        <w:t>insurance,</w:t>
      </w:r>
      <w:r>
        <w:rPr>
          <w:spacing w:val="2"/>
        </w:rPr>
        <w:t xml:space="preserve"> </w:t>
      </w:r>
      <w:r>
        <w:rPr>
          <w:spacing w:val="-2"/>
        </w:rPr>
        <w:t>or</w:t>
      </w:r>
      <w:r>
        <w:rPr>
          <w:spacing w:val="2"/>
        </w:rPr>
        <w:t xml:space="preserve"> </w:t>
      </w:r>
      <w:r>
        <w:rPr>
          <w:spacing w:val="-1"/>
        </w:rPr>
        <w:t>any</w:t>
      </w:r>
      <w:r>
        <w:rPr>
          <w:spacing w:val="-2"/>
        </w:rPr>
        <w:t xml:space="preserve"> cover</w:t>
      </w:r>
      <w:r>
        <w:rPr>
          <w:spacing w:val="2"/>
        </w:rPr>
        <w:t xml:space="preserve"> </w:t>
      </w:r>
      <w:r>
        <w:rPr>
          <w:spacing w:val="-1"/>
        </w:rPr>
        <w:t>or</w:t>
      </w:r>
      <w:r>
        <w:rPr>
          <w:spacing w:val="2"/>
        </w:rPr>
        <w:t xml:space="preserve"> </w:t>
      </w:r>
      <w:r>
        <w:rPr>
          <w:spacing w:val="-1"/>
        </w:rPr>
        <w:t>claim under any</w:t>
      </w:r>
      <w:r>
        <w:rPr>
          <w:spacing w:val="-2"/>
        </w:rPr>
        <w:t xml:space="preserve"> </w:t>
      </w:r>
      <w:r>
        <w:rPr>
          <w:spacing w:val="-1"/>
        </w:rPr>
        <w:t>insurance</w:t>
      </w:r>
      <w:r>
        <w:rPr>
          <w:spacing w:val="1"/>
        </w:rPr>
        <w:t xml:space="preserve"> </w:t>
      </w:r>
      <w:r>
        <w:rPr>
          <w:spacing w:val="-1"/>
        </w:rPr>
        <w:t>in</w:t>
      </w:r>
      <w:r>
        <w:rPr>
          <w:spacing w:val="-2"/>
        </w:rPr>
        <w:t xml:space="preserve"> whole</w:t>
      </w:r>
      <w:r>
        <w:t xml:space="preserve"> </w:t>
      </w:r>
      <w:r>
        <w:rPr>
          <w:spacing w:val="-1"/>
        </w:rPr>
        <w:t>or</w:t>
      </w:r>
      <w:r>
        <w:rPr>
          <w:spacing w:val="2"/>
        </w:rPr>
        <w:t xml:space="preserve"> </w:t>
      </w:r>
      <w:r>
        <w:rPr>
          <w:spacing w:val="-1"/>
        </w:rPr>
        <w:t>in</w:t>
      </w:r>
      <w:r>
        <w:t xml:space="preserve"> </w:t>
      </w:r>
      <w:r>
        <w:rPr>
          <w:spacing w:val="-2"/>
        </w:rPr>
        <w:t>part.</w:t>
      </w:r>
    </w:p>
    <w:p w:rsidR="008918FA" w:rsidRDefault="008918FA" w:rsidP="008918FA">
      <w:pPr>
        <w:spacing w:before="3"/>
        <w:rPr>
          <w:rFonts w:ascii="Arial" w:eastAsia="Arial" w:hAnsi="Arial" w:cs="Arial"/>
          <w:sz w:val="14"/>
          <w:szCs w:val="14"/>
        </w:rPr>
      </w:pPr>
    </w:p>
    <w:p w:rsidR="008918FA" w:rsidRDefault="008918FA" w:rsidP="008918FA">
      <w:pPr>
        <w:pStyle w:val="Heading1"/>
        <w:tabs>
          <w:tab w:val="left" w:pos="666"/>
        </w:tabs>
        <w:spacing w:before="73"/>
        <w:ind w:left="101" w:firstLine="0"/>
        <w:rPr>
          <w:b w:val="0"/>
          <w:bCs w:val="0"/>
        </w:rPr>
      </w:pPr>
      <w:bookmarkStart w:id="251" w:name="_bookmark213"/>
      <w:bookmarkEnd w:id="251"/>
      <w:r>
        <w:rPr>
          <w:color w:val="C00000"/>
          <w:spacing w:val="-1"/>
        </w:rPr>
        <w:t>J.</w:t>
      </w:r>
      <w:r>
        <w:rPr>
          <w:color w:val="C00000"/>
          <w:spacing w:val="-1"/>
        </w:rPr>
        <w:tab/>
      </w:r>
      <w:r w:rsidRPr="001C1527">
        <w:rPr>
          <w:color w:val="C00000"/>
          <w:spacing w:val="-1"/>
          <w:u w:val="single"/>
        </w:rPr>
        <w:t>REMEDIES</w:t>
      </w:r>
      <w:r w:rsidRPr="001C1527">
        <w:rPr>
          <w:color w:val="C00000"/>
          <w:spacing w:val="2"/>
          <w:u w:val="single"/>
        </w:rPr>
        <w:t xml:space="preserve"> </w:t>
      </w:r>
      <w:r w:rsidRPr="001C1527">
        <w:rPr>
          <w:color w:val="C00000"/>
          <w:spacing w:val="-3"/>
          <w:u w:val="single"/>
        </w:rPr>
        <w:t>AND</w:t>
      </w:r>
      <w:r w:rsidRPr="001C1527">
        <w:rPr>
          <w:color w:val="C00000"/>
          <w:u w:val="single"/>
        </w:rPr>
        <w:t xml:space="preserve"> </w:t>
      </w:r>
      <w:r w:rsidRPr="001C1527">
        <w:rPr>
          <w:color w:val="C00000"/>
          <w:spacing w:val="-1"/>
          <w:u w:val="single"/>
        </w:rPr>
        <w:t>RELIEF</w:t>
      </w:r>
    </w:p>
    <w:p w:rsidR="008918FA" w:rsidRDefault="008918FA" w:rsidP="008918FA">
      <w:pPr>
        <w:spacing w:before="8"/>
        <w:rPr>
          <w:rFonts w:ascii="Arial" w:eastAsia="Arial" w:hAnsi="Arial" w:cs="Arial"/>
          <w:b/>
          <w:bCs/>
          <w:sz w:val="14"/>
          <w:szCs w:val="14"/>
        </w:rPr>
      </w:pPr>
    </w:p>
    <w:p w:rsidR="008918FA" w:rsidRDefault="008918FA" w:rsidP="008918FA">
      <w:pPr>
        <w:pStyle w:val="BodyText"/>
        <w:numPr>
          <w:ilvl w:val="0"/>
          <w:numId w:val="66"/>
        </w:numPr>
        <w:tabs>
          <w:tab w:val="left" w:pos="668"/>
        </w:tabs>
        <w:spacing w:before="72"/>
        <w:ind w:left="667" w:hanging="566"/>
        <w:rPr>
          <w:rFonts w:ascii="Times New Roman" w:eastAsia="Times New Roman" w:hAnsi="Times New Roman" w:cs="Times New Roman"/>
        </w:rPr>
      </w:pPr>
      <w:bookmarkStart w:id="252" w:name="_bookmark214"/>
      <w:bookmarkEnd w:id="252"/>
      <w:r>
        <w:rPr>
          <w:rFonts w:ascii="Times New Roman"/>
          <w:spacing w:val="11"/>
        </w:rPr>
        <w:t>C</w:t>
      </w:r>
      <w:r>
        <w:rPr>
          <w:rFonts w:ascii="Times New Roman"/>
          <w:spacing w:val="-2"/>
        </w:rPr>
        <w:t>U</w:t>
      </w:r>
      <w:r>
        <w:rPr>
          <w:rFonts w:ascii="Times New Roman"/>
          <w:spacing w:val="26"/>
        </w:rPr>
        <w:t>S</w:t>
      </w:r>
      <w:r>
        <w:rPr>
          <w:rFonts w:ascii="Times New Roman"/>
          <w:spacing w:val="-3"/>
        </w:rPr>
        <w:t>T</w:t>
      </w:r>
      <w:r>
        <w:rPr>
          <w:rFonts w:ascii="Times New Roman"/>
          <w:spacing w:val="13"/>
        </w:rPr>
        <w:t>O</w:t>
      </w:r>
      <w:r>
        <w:rPr>
          <w:rFonts w:ascii="Times New Roman"/>
          <w:spacing w:val="-12"/>
        </w:rPr>
        <w:t>M</w:t>
      </w:r>
      <w:r>
        <w:rPr>
          <w:rFonts w:ascii="Times New Roman"/>
          <w:spacing w:val="11"/>
        </w:rPr>
        <w:t>E</w:t>
      </w:r>
      <w:r>
        <w:rPr>
          <w:rFonts w:ascii="Times New Roman"/>
        </w:rPr>
        <w:t>R</w:t>
      </w:r>
      <w:r>
        <w:rPr>
          <w:rFonts w:ascii="Times New Roman"/>
          <w:spacing w:val="18"/>
        </w:rPr>
        <w:t xml:space="preserve"> </w:t>
      </w:r>
      <w:r>
        <w:rPr>
          <w:rFonts w:ascii="Times New Roman"/>
          <w:spacing w:val="2"/>
        </w:rPr>
        <w:t>REMEDIES</w:t>
      </w:r>
      <w:r>
        <w:rPr>
          <w:rFonts w:ascii="Times New Roman"/>
          <w:spacing w:val="31"/>
        </w:rPr>
        <w:t xml:space="preserve"> </w:t>
      </w:r>
      <w:r>
        <w:rPr>
          <w:rFonts w:ascii="Times New Roman"/>
          <w:spacing w:val="8"/>
        </w:rPr>
        <w:t>FOR</w:t>
      </w:r>
      <w:r>
        <w:rPr>
          <w:rFonts w:ascii="Times New Roman"/>
          <w:spacing w:val="18"/>
        </w:rPr>
        <w:t xml:space="preserve"> </w:t>
      </w:r>
      <w:r>
        <w:rPr>
          <w:rFonts w:ascii="Times New Roman"/>
          <w:spacing w:val="1"/>
        </w:rPr>
        <w:t>DEFAULT</w:t>
      </w:r>
    </w:p>
    <w:p w:rsidR="008918FA" w:rsidRDefault="008918FA" w:rsidP="008918FA">
      <w:pPr>
        <w:spacing w:before="5"/>
        <w:rPr>
          <w:rFonts w:ascii="Times New Roman" w:eastAsia="Times New Roman" w:hAnsi="Times New Roman" w:cs="Times New Roman"/>
          <w:sz w:val="14"/>
          <w:szCs w:val="14"/>
        </w:rPr>
      </w:pPr>
    </w:p>
    <w:p w:rsidR="008918FA" w:rsidRDefault="008918FA" w:rsidP="008918FA">
      <w:pPr>
        <w:pStyle w:val="Heading1"/>
        <w:numPr>
          <w:ilvl w:val="1"/>
          <w:numId w:val="66"/>
        </w:numPr>
        <w:tabs>
          <w:tab w:val="left" w:pos="1233"/>
        </w:tabs>
        <w:spacing w:before="72"/>
        <w:ind w:hanging="564"/>
        <w:rPr>
          <w:b w:val="0"/>
          <w:bCs w:val="0"/>
        </w:rPr>
      </w:pPr>
      <w:r>
        <w:rPr>
          <w:spacing w:val="-1"/>
        </w:rPr>
        <w:t>Remedies</w:t>
      </w:r>
    </w:p>
    <w:p w:rsidR="008918FA" w:rsidRDefault="008918FA" w:rsidP="008918FA">
      <w:pPr>
        <w:pStyle w:val="BodyText"/>
        <w:numPr>
          <w:ilvl w:val="2"/>
          <w:numId w:val="66"/>
        </w:numPr>
        <w:tabs>
          <w:tab w:val="left" w:pos="2227"/>
        </w:tabs>
        <w:spacing w:before="124"/>
        <w:ind w:right="111"/>
        <w:jc w:val="both"/>
      </w:pPr>
      <w:r>
        <w:rPr>
          <w:spacing w:val="-1"/>
        </w:rPr>
        <w:t>Without</w:t>
      </w:r>
      <w:r>
        <w:rPr>
          <w:spacing w:val="22"/>
        </w:rPr>
        <w:t xml:space="preserve"> </w:t>
      </w:r>
      <w:r>
        <w:rPr>
          <w:spacing w:val="-1"/>
        </w:rPr>
        <w:t>prejudice</w:t>
      </w:r>
      <w:r>
        <w:rPr>
          <w:spacing w:val="21"/>
        </w:rPr>
        <w:t xml:space="preserve"> </w:t>
      </w:r>
      <w:r>
        <w:t>to</w:t>
      </w:r>
      <w:r>
        <w:rPr>
          <w:spacing w:val="21"/>
        </w:rPr>
        <w:t xml:space="preserve"> </w:t>
      </w:r>
      <w:r>
        <w:rPr>
          <w:spacing w:val="-2"/>
        </w:rPr>
        <w:t>any</w:t>
      </w:r>
      <w:r>
        <w:rPr>
          <w:spacing w:val="19"/>
        </w:rPr>
        <w:t xml:space="preserve"> </w:t>
      </w:r>
      <w:r>
        <w:rPr>
          <w:spacing w:val="-1"/>
        </w:rPr>
        <w:t>other</w:t>
      </w:r>
      <w:r>
        <w:rPr>
          <w:spacing w:val="22"/>
        </w:rPr>
        <w:t xml:space="preserve"> </w:t>
      </w:r>
      <w:r>
        <w:rPr>
          <w:spacing w:val="-1"/>
        </w:rPr>
        <w:t>right</w:t>
      </w:r>
      <w:r>
        <w:rPr>
          <w:spacing w:val="22"/>
        </w:rPr>
        <w:t xml:space="preserve"> </w:t>
      </w:r>
      <w:r>
        <w:rPr>
          <w:spacing w:val="-2"/>
        </w:rPr>
        <w:t>or</w:t>
      </w:r>
      <w:r>
        <w:rPr>
          <w:spacing w:val="22"/>
        </w:rPr>
        <w:t xml:space="preserve"> </w:t>
      </w:r>
      <w:r>
        <w:rPr>
          <w:spacing w:val="-2"/>
        </w:rPr>
        <w:t>r</w:t>
      </w:r>
      <w:bookmarkStart w:id="253" w:name="J._UREMEDIES_AND_RELIEF"/>
      <w:bookmarkEnd w:id="253"/>
      <w:r>
        <w:rPr>
          <w:spacing w:val="-2"/>
        </w:rPr>
        <w:t>eme</w:t>
      </w:r>
      <w:bookmarkStart w:id="254" w:name="38._CUSTOMER_REMEDIES_FOR_DEFAULT"/>
      <w:bookmarkEnd w:id="254"/>
      <w:r>
        <w:rPr>
          <w:spacing w:val="-2"/>
        </w:rPr>
        <w:t>dy</w:t>
      </w:r>
      <w:r>
        <w:rPr>
          <w:spacing w:val="19"/>
        </w:rPr>
        <w:t xml:space="preserve"> </w:t>
      </w:r>
      <w:r>
        <w:rPr>
          <w:spacing w:val="-1"/>
        </w:rPr>
        <w:t>of</w:t>
      </w:r>
      <w:r>
        <w:rPr>
          <w:spacing w:val="24"/>
        </w:rPr>
        <w:t xml:space="preserve"> </w:t>
      </w:r>
      <w:r>
        <w:t>the</w:t>
      </w:r>
      <w:r>
        <w:rPr>
          <w:spacing w:val="21"/>
        </w:rPr>
        <w:t xml:space="preserve"> </w:t>
      </w:r>
      <w:r>
        <w:rPr>
          <w:spacing w:val="-1"/>
        </w:rPr>
        <w:t>Customer</w:t>
      </w:r>
      <w:r>
        <w:rPr>
          <w:spacing w:val="42"/>
        </w:rPr>
        <w:t xml:space="preserve"> </w:t>
      </w:r>
      <w:r>
        <w:rPr>
          <w:spacing w:val="-1"/>
        </w:rPr>
        <w:t>howsoever</w:t>
      </w:r>
      <w:r>
        <w:rPr>
          <w:spacing w:val="27"/>
        </w:rPr>
        <w:t xml:space="preserve"> </w:t>
      </w:r>
      <w:r>
        <w:rPr>
          <w:spacing w:val="-1"/>
        </w:rPr>
        <w:t>arising</w:t>
      </w:r>
      <w:r>
        <w:rPr>
          <w:spacing w:val="29"/>
        </w:rPr>
        <w:t xml:space="preserve"> </w:t>
      </w:r>
      <w:r>
        <w:rPr>
          <w:spacing w:val="-2"/>
        </w:rPr>
        <w:t>(including</w:t>
      </w:r>
      <w:r>
        <w:rPr>
          <w:spacing w:val="28"/>
        </w:rPr>
        <w:t xml:space="preserve"> </w:t>
      </w:r>
      <w:r>
        <w:rPr>
          <w:spacing w:val="-1"/>
        </w:rPr>
        <w:t>under</w:t>
      </w:r>
      <w:r>
        <w:rPr>
          <w:spacing w:val="27"/>
        </w:rPr>
        <w:t xml:space="preserve"> </w:t>
      </w:r>
      <w:r>
        <w:rPr>
          <w:spacing w:val="-2"/>
        </w:rPr>
        <w:t>Call</w:t>
      </w:r>
      <w:r>
        <w:rPr>
          <w:spacing w:val="25"/>
        </w:rPr>
        <w:t xml:space="preserve"> </w:t>
      </w:r>
      <w:r>
        <w:rPr>
          <w:spacing w:val="-1"/>
        </w:rPr>
        <w:t>Off</w:t>
      </w:r>
      <w:r>
        <w:rPr>
          <w:spacing w:val="22"/>
        </w:rPr>
        <w:t xml:space="preserve"> </w:t>
      </w:r>
      <w:r>
        <w:rPr>
          <w:spacing w:val="-1"/>
        </w:rPr>
        <w:t>Schedule</w:t>
      </w:r>
      <w:r>
        <w:rPr>
          <w:spacing w:val="26"/>
        </w:rPr>
        <w:t xml:space="preserve"> </w:t>
      </w:r>
      <w:r>
        <w:t>6</w:t>
      </w:r>
      <w:r>
        <w:rPr>
          <w:spacing w:val="26"/>
        </w:rPr>
        <w:t xml:space="preserve"> </w:t>
      </w:r>
      <w:r>
        <w:rPr>
          <w:spacing w:val="-2"/>
        </w:rPr>
        <w:t>(Service</w:t>
      </w:r>
      <w:r>
        <w:rPr>
          <w:spacing w:val="46"/>
        </w:rPr>
        <w:t xml:space="preserve"> </w:t>
      </w:r>
      <w:r>
        <w:rPr>
          <w:spacing w:val="-2"/>
        </w:rPr>
        <w:t>Levels,</w:t>
      </w:r>
      <w:r>
        <w:rPr>
          <w:spacing w:val="33"/>
        </w:rPr>
        <w:t xml:space="preserve"> </w:t>
      </w:r>
      <w:r>
        <w:rPr>
          <w:spacing w:val="-2"/>
        </w:rPr>
        <w:t>Service</w:t>
      </w:r>
      <w:r>
        <w:rPr>
          <w:spacing w:val="32"/>
        </w:rPr>
        <w:t xml:space="preserve"> </w:t>
      </w:r>
      <w:r>
        <w:rPr>
          <w:spacing w:val="-1"/>
        </w:rPr>
        <w:t>Credits</w:t>
      </w:r>
      <w:r>
        <w:rPr>
          <w:spacing w:val="32"/>
        </w:rPr>
        <w:t xml:space="preserve"> </w:t>
      </w:r>
      <w:r>
        <w:rPr>
          <w:spacing w:val="-1"/>
        </w:rPr>
        <w:t>and</w:t>
      </w:r>
      <w:r>
        <w:rPr>
          <w:spacing w:val="31"/>
        </w:rPr>
        <w:t xml:space="preserve"> </w:t>
      </w:r>
      <w:r>
        <w:rPr>
          <w:spacing w:val="-1"/>
        </w:rPr>
        <w:t>Performance</w:t>
      </w:r>
      <w:r>
        <w:rPr>
          <w:spacing w:val="32"/>
        </w:rPr>
        <w:t xml:space="preserve"> </w:t>
      </w:r>
      <w:r>
        <w:rPr>
          <w:spacing w:val="-1"/>
        </w:rPr>
        <w:t>Monitoring))</w:t>
      </w:r>
      <w:r>
        <w:rPr>
          <w:spacing w:val="33"/>
        </w:rPr>
        <w:t xml:space="preserve"> </w:t>
      </w:r>
      <w:r>
        <w:rPr>
          <w:spacing w:val="-1"/>
        </w:rPr>
        <w:t>and</w:t>
      </w:r>
      <w:r>
        <w:rPr>
          <w:spacing w:val="32"/>
        </w:rPr>
        <w:t xml:space="preserve"> </w:t>
      </w:r>
      <w:r>
        <w:rPr>
          <w:spacing w:val="-1"/>
        </w:rPr>
        <w:t>subject</w:t>
      </w:r>
      <w:r>
        <w:rPr>
          <w:spacing w:val="33"/>
        </w:rPr>
        <w:t xml:space="preserve"> </w:t>
      </w:r>
      <w:r>
        <w:t>to</w:t>
      </w:r>
      <w:r>
        <w:rPr>
          <w:spacing w:val="41"/>
        </w:rPr>
        <w:t xml:space="preserve"> </w:t>
      </w:r>
      <w:r>
        <w:t>the</w:t>
      </w:r>
      <w:r>
        <w:rPr>
          <w:spacing w:val="60"/>
        </w:rPr>
        <w:t xml:space="preserve"> </w:t>
      </w:r>
      <w:r>
        <w:rPr>
          <w:spacing w:val="-2"/>
        </w:rPr>
        <w:t>exclusive</w:t>
      </w:r>
      <w:r>
        <w:t xml:space="preserve"> </w:t>
      </w:r>
      <w:r>
        <w:rPr>
          <w:spacing w:val="-1"/>
        </w:rPr>
        <w:t>financial</w:t>
      </w:r>
      <w:r>
        <w:rPr>
          <w:spacing w:val="59"/>
        </w:rPr>
        <w:t xml:space="preserve"> </w:t>
      </w:r>
      <w:r>
        <w:rPr>
          <w:spacing w:val="-1"/>
        </w:rPr>
        <w:t>remedy</w:t>
      </w:r>
      <w:r>
        <w:rPr>
          <w:spacing w:val="58"/>
        </w:rPr>
        <w:t xml:space="preserve"> </w:t>
      </w:r>
      <w:r>
        <w:rPr>
          <w:spacing w:val="-2"/>
        </w:rPr>
        <w:t>provisions</w:t>
      </w:r>
      <w:r>
        <w:t xml:space="preserve">  </w:t>
      </w:r>
      <w:r>
        <w:rPr>
          <w:spacing w:val="-1"/>
        </w:rPr>
        <w:t>in</w:t>
      </w:r>
      <w:r>
        <w:rPr>
          <w:spacing w:val="1"/>
        </w:rPr>
        <w:t xml:space="preserve"> </w:t>
      </w:r>
      <w:r>
        <w:rPr>
          <w:spacing w:val="-1"/>
        </w:rPr>
        <w:t>Clauses</w:t>
      </w:r>
      <w:r>
        <w:t xml:space="preserve">  </w:t>
      </w:r>
      <w:hyperlink w:anchor="_bookmark95" w:history="1">
        <w:r>
          <w:rPr>
            <w:spacing w:val="-1"/>
          </w:rPr>
          <w:t>13.5</w:t>
        </w:r>
      </w:hyperlink>
      <w:r>
        <w:rPr>
          <w:spacing w:val="60"/>
        </w:rPr>
        <w:t xml:space="preserve"> </w:t>
      </w:r>
      <w:r>
        <w:rPr>
          <w:spacing w:val="-2"/>
        </w:rPr>
        <w:t>(Service</w:t>
      </w:r>
      <w:r>
        <w:rPr>
          <w:spacing w:val="74"/>
        </w:rPr>
        <w:t xml:space="preserve"> </w:t>
      </w:r>
      <w:r>
        <w:rPr>
          <w:spacing w:val="-2"/>
        </w:rPr>
        <w:t>Levels</w:t>
      </w:r>
      <w:r>
        <w:rPr>
          <w:spacing w:val="2"/>
        </w:rPr>
        <w:t xml:space="preserve"> </w:t>
      </w:r>
      <w:r>
        <w:rPr>
          <w:spacing w:val="-1"/>
        </w:rPr>
        <w:t>and</w:t>
      </w:r>
      <w:r>
        <w:rPr>
          <w:spacing w:val="2"/>
        </w:rPr>
        <w:t xml:space="preserve"> </w:t>
      </w:r>
      <w:r>
        <w:rPr>
          <w:spacing w:val="-1"/>
        </w:rPr>
        <w:t>Service</w:t>
      </w:r>
      <w:r>
        <w:rPr>
          <w:spacing w:val="2"/>
        </w:rPr>
        <w:t xml:space="preserve"> </w:t>
      </w:r>
      <w:r>
        <w:rPr>
          <w:spacing w:val="-1"/>
        </w:rPr>
        <w:t>Credits)</w:t>
      </w:r>
      <w:r>
        <w:rPr>
          <w:spacing w:val="3"/>
        </w:rPr>
        <w:t xml:space="preserve"> </w:t>
      </w:r>
      <w:r>
        <w:rPr>
          <w:spacing w:val="-1"/>
        </w:rPr>
        <w:t>and</w:t>
      </w:r>
      <w:r>
        <w:rPr>
          <w:spacing w:val="2"/>
        </w:rPr>
        <w:t xml:space="preserve"> </w:t>
      </w:r>
      <w:hyperlink w:anchor="_bookmark62" w:history="1">
        <w:r>
          <w:rPr>
            <w:spacing w:val="-1"/>
          </w:rPr>
          <w:t>6.4.1(b)</w:t>
        </w:r>
      </w:hyperlink>
      <w:r>
        <w:rPr>
          <w:spacing w:val="4"/>
        </w:rPr>
        <w:t xml:space="preserve"> </w:t>
      </w:r>
      <w:r>
        <w:rPr>
          <w:spacing w:val="-1"/>
        </w:rPr>
        <w:t>(Delay</w:t>
      </w:r>
      <w:r>
        <w:rPr>
          <w:spacing w:val="61"/>
        </w:rPr>
        <w:t xml:space="preserve"> </w:t>
      </w:r>
      <w:r>
        <w:rPr>
          <w:spacing w:val="-1"/>
        </w:rPr>
        <w:t>Payments),</w:t>
      </w:r>
      <w:r>
        <w:rPr>
          <w:spacing w:val="3"/>
        </w:rPr>
        <w:t xml:space="preserve"> </w:t>
      </w:r>
      <w:r>
        <w:rPr>
          <w:spacing w:val="-2"/>
        </w:rPr>
        <w:t>if</w:t>
      </w:r>
      <w:r>
        <w:rPr>
          <w:spacing w:val="4"/>
        </w:rPr>
        <w:t xml:space="preserve"> </w:t>
      </w:r>
      <w:r>
        <w:t>the</w:t>
      </w:r>
      <w:r>
        <w:rPr>
          <w:spacing w:val="45"/>
        </w:rPr>
        <w:t xml:space="preserve"> </w:t>
      </w:r>
      <w:r>
        <w:rPr>
          <w:spacing w:val="-2"/>
        </w:rPr>
        <w:t>Supplier</w:t>
      </w:r>
      <w:r>
        <w:rPr>
          <w:spacing w:val="27"/>
        </w:rPr>
        <w:t xml:space="preserve"> </w:t>
      </w:r>
      <w:r>
        <w:rPr>
          <w:spacing w:val="-1"/>
        </w:rPr>
        <w:t>commits</w:t>
      </w:r>
      <w:r>
        <w:rPr>
          <w:spacing w:val="26"/>
        </w:rPr>
        <w:t xml:space="preserve"> </w:t>
      </w:r>
      <w:r>
        <w:rPr>
          <w:spacing w:val="-1"/>
        </w:rPr>
        <w:t>any</w:t>
      </w:r>
      <w:r>
        <w:rPr>
          <w:spacing w:val="24"/>
        </w:rPr>
        <w:t xml:space="preserve"> </w:t>
      </w:r>
      <w:r>
        <w:rPr>
          <w:spacing w:val="-1"/>
        </w:rPr>
        <w:t>Default</w:t>
      </w:r>
      <w:r>
        <w:rPr>
          <w:spacing w:val="27"/>
        </w:rPr>
        <w:t xml:space="preserve"> </w:t>
      </w:r>
      <w:r>
        <w:rPr>
          <w:spacing w:val="-2"/>
        </w:rPr>
        <w:t>of</w:t>
      </w:r>
      <w:r>
        <w:rPr>
          <w:spacing w:val="27"/>
        </w:rPr>
        <w:t xml:space="preserve"> </w:t>
      </w:r>
      <w:r>
        <w:rPr>
          <w:spacing w:val="-1"/>
        </w:rPr>
        <w:t>this</w:t>
      </w:r>
      <w:r>
        <w:rPr>
          <w:spacing w:val="26"/>
        </w:rPr>
        <w:t xml:space="preserve"> </w:t>
      </w:r>
      <w:r>
        <w:rPr>
          <w:spacing w:val="-2"/>
        </w:rPr>
        <w:t>Call</w:t>
      </w:r>
      <w:r>
        <w:rPr>
          <w:spacing w:val="25"/>
        </w:rPr>
        <w:t xml:space="preserve"> </w:t>
      </w:r>
      <w:r>
        <w:rPr>
          <w:spacing w:val="-2"/>
        </w:rPr>
        <w:t>Off</w:t>
      </w:r>
      <w:r>
        <w:rPr>
          <w:spacing w:val="27"/>
        </w:rPr>
        <w:t xml:space="preserve"> </w:t>
      </w:r>
      <w:r>
        <w:rPr>
          <w:spacing w:val="-1"/>
        </w:rPr>
        <w:t>Contract</w:t>
      </w:r>
      <w:r>
        <w:rPr>
          <w:spacing w:val="25"/>
        </w:rPr>
        <w:t xml:space="preserve"> </w:t>
      </w:r>
      <w:r>
        <w:rPr>
          <w:spacing w:val="-1"/>
        </w:rPr>
        <w:t>then</w:t>
      </w:r>
      <w:r>
        <w:rPr>
          <w:spacing w:val="23"/>
        </w:rPr>
        <w:t xml:space="preserve"> </w:t>
      </w:r>
      <w:r>
        <w:rPr>
          <w:spacing w:val="-1"/>
        </w:rPr>
        <w:t>the</w:t>
      </w:r>
      <w:r>
        <w:rPr>
          <w:spacing w:val="50"/>
        </w:rPr>
        <w:t xml:space="preserve"> </w:t>
      </w:r>
      <w:r>
        <w:rPr>
          <w:spacing w:val="-1"/>
        </w:rPr>
        <w:t>Customer</w:t>
      </w:r>
      <w:r>
        <w:rPr>
          <w:spacing w:val="16"/>
        </w:rPr>
        <w:t xml:space="preserve"> </w:t>
      </w:r>
      <w:r>
        <w:rPr>
          <w:spacing w:val="-1"/>
        </w:rPr>
        <w:t>may</w:t>
      </w:r>
      <w:r>
        <w:rPr>
          <w:spacing w:val="13"/>
        </w:rPr>
        <w:t xml:space="preserve"> </w:t>
      </w:r>
      <w:r>
        <w:rPr>
          <w:spacing w:val="-1"/>
        </w:rPr>
        <w:t>(whether</w:t>
      </w:r>
      <w:r>
        <w:rPr>
          <w:spacing w:val="16"/>
        </w:rPr>
        <w:t xml:space="preserve"> </w:t>
      </w:r>
      <w:r>
        <w:rPr>
          <w:spacing w:val="-1"/>
        </w:rPr>
        <w:t>or</w:t>
      </w:r>
      <w:r>
        <w:rPr>
          <w:spacing w:val="16"/>
        </w:rPr>
        <w:t xml:space="preserve"> </w:t>
      </w:r>
      <w:r>
        <w:rPr>
          <w:spacing w:val="-1"/>
        </w:rPr>
        <w:t>not</w:t>
      </w:r>
      <w:r>
        <w:rPr>
          <w:spacing w:val="16"/>
        </w:rPr>
        <w:t xml:space="preserve"> </w:t>
      </w:r>
      <w:r>
        <w:rPr>
          <w:spacing w:val="-1"/>
        </w:rPr>
        <w:t>any</w:t>
      </w:r>
      <w:r>
        <w:rPr>
          <w:spacing w:val="15"/>
        </w:rPr>
        <w:t xml:space="preserve"> </w:t>
      </w:r>
      <w:r>
        <w:rPr>
          <w:spacing w:val="-1"/>
        </w:rPr>
        <w:t>part</w:t>
      </w:r>
      <w:r>
        <w:rPr>
          <w:spacing w:val="16"/>
        </w:rPr>
        <w:t xml:space="preserve"> </w:t>
      </w:r>
      <w:r>
        <w:rPr>
          <w:spacing w:val="-1"/>
        </w:rPr>
        <w:t>of</w:t>
      </w:r>
      <w:r>
        <w:rPr>
          <w:spacing w:val="19"/>
        </w:rPr>
        <w:t xml:space="preserve"> </w:t>
      </w:r>
      <w:r>
        <w:t>the</w:t>
      </w:r>
      <w:r>
        <w:rPr>
          <w:spacing w:val="13"/>
        </w:rPr>
        <w:t xml:space="preserve"> </w:t>
      </w:r>
      <w:r>
        <w:rPr>
          <w:spacing w:val="-1"/>
        </w:rPr>
        <w:t>Goods</w:t>
      </w:r>
      <w:r>
        <w:rPr>
          <w:spacing w:val="15"/>
        </w:rPr>
        <w:t xml:space="preserve"> </w:t>
      </w:r>
      <w:r>
        <w:rPr>
          <w:spacing w:val="-1"/>
        </w:rPr>
        <w:t>and/or</w:t>
      </w:r>
      <w:r>
        <w:rPr>
          <w:spacing w:val="16"/>
        </w:rPr>
        <w:t xml:space="preserve"> </w:t>
      </w:r>
      <w:r>
        <w:rPr>
          <w:spacing w:val="-1"/>
        </w:rPr>
        <w:t>Services</w:t>
      </w:r>
      <w:r>
        <w:rPr>
          <w:spacing w:val="27"/>
        </w:rPr>
        <w:t xml:space="preserve"> </w:t>
      </w:r>
      <w:r>
        <w:rPr>
          <w:spacing w:val="-2"/>
        </w:rPr>
        <w:t>have</w:t>
      </w:r>
      <w:r>
        <w:t xml:space="preserve"> </w:t>
      </w:r>
      <w:r>
        <w:rPr>
          <w:spacing w:val="-1"/>
        </w:rPr>
        <w:t>been</w:t>
      </w:r>
      <w:r>
        <w:t xml:space="preserve"> </w:t>
      </w:r>
      <w:r>
        <w:rPr>
          <w:spacing w:val="-2"/>
        </w:rPr>
        <w:t>Delivered)</w:t>
      </w:r>
      <w:r>
        <w:rPr>
          <w:spacing w:val="2"/>
        </w:rPr>
        <w:t xml:space="preserve"> </w:t>
      </w:r>
      <w:r>
        <w:rPr>
          <w:spacing w:val="-1"/>
        </w:rPr>
        <w:t>do</w:t>
      </w:r>
      <w:r>
        <w:t xml:space="preserve"> </w:t>
      </w:r>
      <w:r>
        <w:rPr>
          <w:spacing w:val="-1"/>
        </w:rPr>
        <w:t>any</w:t>
      </w:r>
      <w:r>
        <w:rPr>
          <w:spacing w:val="-2"/>
        </w:rPr>
        <w:t xml:space="preserve"> of</w:t>
      </w:r>
      <w:r>
        <w:rPr>
          <w:spacing w:val="2"/>
        </w:rPr>
        <w:t xml:space="preserve"> </w:t>
      </w:r>
      <w:r>
        <w:t>the</w:t>
      </w:r>
      <w:r>
        <w:rPr>
          <w:spacing w:val="-2"/>
        </w:rPr>
        <w:t xml:space="preserve"> </w:t>
      </w:r>
      <w:r>
        <w:rPr>
          <w:spacing w:val="-1"/>
        </w:rPr>
        <w:t>following:</w:t>
      </w:r>
    </w:p>
    <w:p w:rsidR="008918FA" w:rsidRDefault="008918FA" w:rsidP="008918FA">
      <w:pPr>
        <w:pStyle w:val="BodyText"/>
        <w:numPr>
          <w:ilvl w:val="3"/>
          <w:numId w:val="66"/>
        </w:numPr>
        <w:tabs>
          <w:tab w:val="left" w:pos="2935"/>
        </w:tabs>
        <w:spacing w:before="121"/>
        <w:ind w:left="2934" w:right="113"/>
        <w:jc w:val="both"/>
      </w:pPr>
      <w:r>
        <w:rPr>
          <w:spacing w:val="-1"/>
        </w:rPr>
        <w:t>at</w:t>
      </w:r>
      <w:r>
        <w:rPr>
          <w:spacing w:val="28"/>
        </w:rPr>
        <w:t xml:space="preserve"> </w:t>
      </w:r>
      <w:r>
        <w:t>the</w:t>
      </w:r>
      <w:r>
        <w:rPr>
          <w:spacing w:val="24"/>
        </w:rPr>
        <w:t xml:space="preserve"> </w:t>
      </w:r>
      <w:r>
        <w:rPr>
          <w:spacing w:val="-1"/>
        </w:rPr>
        <w:t>Customer's</w:t>
      </w:r>
      <w:r>
        <w:rPr>
          <w:spacing w:val="27"/>
        </w:rPr>
        <w:t xml:space="preserve"> </w:t>
      </w:r>
      <w:r>
        <w:rPr>
          <w:spacing w:val="-2"/>
        </w:rPr>
        <w:t>option,</w:t>
      </w:r>
      <w:r>
        <w:rPr>
          <w:spacing w:val="26"/>
        </w:rPr>
        <w:t xml:space="preserve"> </w:t>
      </w:r>
      <w:r>
        <w:rPr>
          <w:spacing w:val="-1"/>
        </w:rPr>
        <w:t>give</w:t>
      </w:r>
      <w:r>
        <w:rPr>
          <w:spacing w:val="27"/>
        </w:rPr>
        <w:t xml:space="preserve"> </w:t>
      </w:r>
      <w:r>
        <w:t>the</w:t>
      </w:r>
      <w:r>
        <w:rPr>
          <w:spacing w:val="27"/>
        </w:rPr>
        <w:t xml:space="preserve"> </w:t>
      </w:r>
      <w:r>
        <w:rPr>
          <w:spacing w:val="-2"/>
        </w:rPr>
        <w:t>Supplier</w:t>
      </w:r>
      <w:r>
        <w:rPr>
          <w:spacing w:val="28"/>
        </w:rPr>
        <w:t xml:space="preserve"> </w:t>
      </w:r>
      <w:r>
        <w:t>the</w:t>
      </w:r>
      <w:r>
        <w:rPr>
          <w:spacing w:val="22"/>
        </w:rPr>
        <w:t xml:space="preserve"> </w:t>
      </w:r>
      <w:r>
        <w:rPr>
          <w:spacing w:val="-1"/>
        </w:rPr>
        <w:t>opportunity</w:t>
      </w:r>
      <w:r>
        <w:rPr>
          <w:spacing w:val="25"/>
        </w:rPr>
        <w:t xml:space="preserve"> </w:t>
      </w:r>
      <w:r>
        <w:rPr>
          <w:spacing w:val="-1"/>
        </w:rPr>
        <w:t>(at</w:t>
      </w:r>
      <w:r>
        <w:rPr>
          <w:spacing w:val="43"/>
        </w:rPr>
        <w:t xml:space="preserve"> </w:t>
      </w:r>
      <w:r>
        <w:t xml:space="preserve">the </w:t>
      </w:r>
      <w:r>
        <w:rPr>
          <w:spacing w:val="-1"/>
        </w:rPr>
        <w:t>Supplier's</w:t>
      </w:r>
      <w:r>
        <w:rPr>
          <w:spacing w:val="1"/>
        </w:rPr>
        <w:t xml:space="preserve"> </w:t>
      </w:r>
      <w:r>
        <w:rPr>
          <w:spacing w:val="-1"/>
        </w:rPr>
        <w:t>expense)</w:t>
      </w:r>
      <w:r>
        <w:rPr>
          <w:spacing w:val="2"/>
        </w:rPr>
        <w:t xml:space="preserve"> </w:t>
      </w:r>
      <w:r>
        <w:t xml:space="preserve">to </w:t>
      </w:r>
      <w:r>
        <w:rPr>
          <w:spacing w:val="-1"/>
        </w:rPr>
        <w:t>remedy</w:t>
      </w:r>
      <w:r>
        <w:rPr>
          <w:spacing w:val="-2"/>
        </w:rPr>
        <w:t xml:space="preserve"> </w:t>
      </w:r>
      <w:r>
        <w:t>the</w:t>
      </w:r>
      <w:r>
        <w:rPr>
          <w:spacing w:val="1"/>
        </w:rPr>
        <w:t xml:space="preserve"> </w:t>
      </w:r>
      <w:r>
        <w:rPr>
          <w:spacing w:val="-1"/>
        </w:rPr>
        <w:t>Default</w:t>
      </w:r>
      <w:r>
        <w:rPr>
          <w:spacing w:val="2"/>
        </w:rPr>
        <w:t xml:space="preserve"> </w:t>
      </w:r>
      <w:r>
        <w:rPr>
          <w:spacing w:val="-1"/>
        </w:rPr>
        <w:t>together</w:t>
      </w:r>
      <w:r>
        <w:rPr>
          <w:spacing w:val="2"/>
        </w:rPr>
        <w:t xml:space="preserve"> </w:t>
      </w:r>
      <w:r>
        <w:rPr>
          <w:spacing w:val="-2"/>
        </w:rPr>
        <w:t>with</w:t>
      </w:r>
      <w:r>
        <w:t xml:space="preserve"> any</w:t>
      </w:r>
      <w:r>
        <w:rPr>
          <w:spacing w:val="33"/>
        </w:rPr>
        <w:t xml:space="preserve"> </w:t>
      </w:r>
      <w:r>
        <w:rPr>
          <w:spacing w:val="-1"/>
        </w:rPr>
        <w:t>damage</w:t>
      </w:r>
      <w:r>
        <w:rPr>
          <w:spacing w:val="7"/>
        </w:rPr>
        <w:t xml:space="preserve"> </w:t>
      </w:r>
      <w:r>
        <w:rPr>
          <w:spacing w:val="-1"/>
        </w:rPr>
        <w:t>resulting</w:t>
      </w:r>
      <w:r>
        <w:rPr>
          <w:spacing w:val="7"/>
        </w:rPr>
        <w:t xml:space="preserve"> </w:t>
      </w:r>
      <w:r>
        <w:rPr>
          <w:spacing w:val="-1"/>
        </w:rPr>
        <w:t>from</w:t>
      </w:r>
      <w:r>
        <w:rPr>
          <w:spacing w:val="9"/>
        </w:rPr>
        <w:t xml:space="preserve"> </w:t>
      </w:r>
      <w:r>
        <w:rPr>
          <w:spacing w:val="-2"/>
        </w:rPr>
        <w:t>such</w:t>
      </w:r>
      <w:r>
        <w:rPr>
          <w:spacing w:val="8"/>
        </w:rPr>
        <w:t xml:space="preserve"> </w:t>
      </w:r>
      <w:r>
        <w:rPr>
          <w:spacing w:val="-1"/>
        </w:rPr>
        <w:t>Default</w:t>
      </w:r>
      <w:r>
        <w:rPr>
          <w:spacing w:val="9"/>
        </w:rPr>
        <w:t xml:space="preserve"> </w:t>
      </w:r>
      <w:r>
        <w:rPr>
          <w:spacing w:val="-1"/>
        </w:rPr>
        <w:t>(and</w:t>
      </w:r>
      <w:r>
        <w:rPr>
          <w:spacing w:val="7"/>
        </w:rPr>
        <w:t xml:space="preserve"> </w:t>
      </w:r>
      <w:r>
        <w:rPr>
          <w:spacing w:val="-2"/>
        </w:rPr>
        <w:t>where</w:t>
      </w:r>
      <w:r>
        <w:rPr>
          <w:spacing w:val="5"/>
        </w:rPr>
        <w:t xml:space="preserve"> </w:t>
      </w:r>
      <w:r>
        <w:rPr>
          <w:spacing w:val="-1"/>
        </w:rPr>
        <w:t>such</w:t>
      </w:r>
      <w:r>
        <w:rPr>
          <w:spacing w:val="9"/>
        </w:rPr>
        <w:t xml:space="preserve"> </w:t>
      </w:r>
      <w:r>
        <w:rPr>
          <w:spacing w:val="-1"/>
        </w:rPr>
        <w:t>Default</w:t>
      </w:r>
      <w:r>
        <w:rPr>
          <w:spacing w:val="9"/>
        </w:rPr>
        <w:t xml:space="preserve"> </w:t>
      </w:r>
      <w:r>
        <w:rPr>
          <w:spacing w:val="-2"/>
        </w:rPr>
        <w:t>is</w:t>
      </w:r>
      <w:r>
        <w:rPr>
          <w:spacing w:val="41"/>
        </w:rPr>
        <w:t xml:space="preserve"> </w:t>
      </w:r>
      <w:r>
        <w:rPr>
          <w:spacing w:val="-1"/>
        </w:rPr>
        <w:t>capable</w:t>
      </w:r>
      <w:r>
        <w:rPr>
          <w:spacing w:val="46"/>
        </w:rPr>
        <w:t xml:space="preserve"> </w:t>
      </w:r>
      <w:r>
        <w:rPr>
          <w:spacing w:val="-1"/>
        </w:rPr>
        <w:t>of</w:t>
      </w:r>
      <w:r>
        <w:rPr>
          <w:spacing w:val="49"/>
        </w:rPr>
        <w:t xml:space="preserve"> </w:t>
      </w:r>
      <w:r>
        <w:rPr>
          <w:spacing w:val="-2"/>
        </w:rPr>
        <w:t>remedy)</w:t>
      </w:r>
      <w:r>
        <w:rPr>
          <w:spacing w:val="47"/>
        </w:rPr>
        <w:t xml:space="preserve"> </w:t>
      </w:r>
      <w:r>
        <w:rPr>
          <w:spacing w:val="-1"/>
        </w:rPr>
        <w:t>or</w:t>
      </w:r>
      <w:r>
        <w:rPr>
          <w:spacing w:val="47"/>
        </w:rPr>
        <w:t xml:space="preserve"> </w:t>
      </w:r>
      <w:r>
        <w:rPr>
          <w:spacing w:val="-1"/>
        </w:rPr>
        <w:t>to</w:t>
      </w:r>
      <w:r>
        <w:rPr>
          <w:spacing w:val="46"/>
        </w:rPr>
        <w:t xml:space="preserve"> </w:t>
      </w:r>
      <w:r>
        <w:rPr>
          <w:spacing w:val="-1"/>
        </w:rPr>
        <w:t>supply</w:t>
      </w:r>
      <w:r>
        <w:rPr>
          <w:spacing w:val="46"/>
        </w:rPr>
        <w:t xml:space="preserve"> </w:t>
      </w:r>
      <w:r>
        <w:rPr>
          <w:spacing w:val="-1"/>
        </w:rPr>
        <w:t>Replacement</w:t>
      </w:r>
      <w:r>
        <w:rPr>
          <w:spacing w:val="48"/>
        </w:rPr>
        <w:t xml:space="preserve"> </w:t>
      </w:r>
      <w:r>
        <w:rPr>
          <w:spacing w:val="-1"/>
        </w:rPr>
        <w:t>Goods</w:t>
      </w:r>
      <w:r>
        <w:rPr>
          <w:spacing w:val="46"/>
        </w:rPr>
        <w:t xml:space="preserve"> </w:t>
      </w:r>
      <w:r>
        <w:rPr>
          <w:spacing w:val="-1"/>
        </w:rPr>
        <w:t>and/or</w:t>
      </w:r>
      <w:r>
        <w:rPr>
          <w:spacing w:val="31"/>
        </w:rPr>
        <w:t xml:space="preserve"> </w:t>
      </w:r>
      <w:r>
        <w:rPr>
          <w:spacing w:val="-1"/>
        </w:rPr>
        <w:t>Services</w:t>
      </w:r>
      <w:r>
        <w:rPr>
          <w:spacing w:val="6"/>
        </w:rPr>
        <w:t xml:space="preserve"> </w:t>
      </w:r>
      <w:r>
        <w:rPr>
          <w:spacing w:val="-1"/>
        </w:rPr>
        <w:t>and</w:t>
      </w:r>
      <w:r>
        <w:rPr>
          <w:spacing w:val="5"/>
        </w:rPr>
        <w:t xml:space="preserve"> </w:t>
      </w:r>
      <w:r>
        <w:rPr>
          <w:spacing w:val="-1"/>
        </w:rPr>
        <w:t>carry</w:t>
      </w:r>
      <w:r>
        <w:rPr>
          <w:spacing w:val="3"/>
        </w:rPr>
        <w:t xml:space="preserve"> </w:t>
      </w:r>
      <w:r>
        <w:rPr>
          <w:spacing w:val="-1"/>
        </w:rPr>
        <w:t>out</w:t>
      </w:r>
      <w:r>
        <w:rPr>
          <w:spacing w:val="4"/>
        </w:rPr>
        <w:t xml:space="preserve"> </w:t>
      </w:r>
      <w:r>
        <w:rPr>
          <w:spacing w:val="-2"/>
        </w:rPr>
        <w:t>any</w:t>
      </w:r>
      <w:r>
        <w:rPr>
          <w:spacing w:val="3"/>
        </w:rPr>
        <w:t xml:space="preserve"> </w:t>
      </w:r>
      <w:r>
        <w:rPr>
          <w:spacing w:val="-1"/>
        </w:rPr>
        <w:t>other</w:t>
      </w:r>
      <w:r>
        <w:rPr>
          <w:spacing w:val="6"/>
        </w:rPr>
        <w:t xml:space="preserve"> </w:t>
      </w:r>
      <w:r>
        <w:rPr>
          <w:spacing w:val="-1"/>
        </w:rPr>
        <w:t>necessary</w:t>
      </w:r>
      <w:r>
        <w:rPr>
          <w:spacing w:val="3"/>
        </w:rPr>
        <w:t xml:space="preserve"> </w:t>
      </w:r>
      <w:r>
        <w:rPr>
          <w:spacing w:val="-2"/>
        </w:rPr>
        <w:t>work</w:t>
      </w:r>
      <w:r>
        <w:rPr>
          <w:spacing w:val="5"/>
        </w:rPr>
        <w:t xml:space="preserve"> </w:t>
      </w:r>
      <w:r>
        <w:t>to</w:t>
      </w:r>
      <w:r>
        <w:rPr>
          <w:spacing w:val="5"/>
        </w:rPr>
        <w:t xml:space="preserve"> </w:t>
      </w:r>
      <w:r>
        <w:rPr>
          <w:spacing w:val="-1"/>
        </w:rPr>
        <w:t>ensure</w:t>
      </w:r>
      <w:r>
        <w:rPr>
          <w:spacing w:val="3"/>
        </w:rPr>
        <w:t xml:space="preserve"> </w:t>
      </w:r>
      <w:r>
        <w:rPr>
          <w:spacing w:val="-1"/>
        </w:rPr>
        <w:t>that</w:t>
      </w:r>
      <w:r>
        <w:rPr>
          <w:spacing w:val="38"/>
        </w:rPr>
        <w:t xml:space="preserve"> </w:t>
      </w:r>
      <w:r>
        <w:t>the</w:t>
      </w:r>
      <w:r>
        <w:rPr>
          <w:spacing w:val="34"/>
        </w:rPr>
        <w:t xml:space="preserve"> </w:t>
      </w:r>
      <w:r>
        <w:rPr>
          <w:spacing w:val="-1"/>
        </w:rPr>
        <w:t>terms</w:t>
      </w:r>
      <w:r>
        <w:rPr>
          <w:spacing w:val="32"/>
        </w:rPr>
        <w:t xml:space="preserve"> </w:t>
      </w:r>
      <w:r>
        <w:rPr>
          <w:spacing w:val="-2"/>
        </w:rPr>
        <w:t>of</w:t>
      </w:r>
      <w:r>
        <w:rPr>
          <w:spacing w:val="35"/>
        </w:rPr>
        <w:t xml:space="preserve"> </w:t>
      </w:r>
      <w:r>
        <w:rPr>
          <w:spacing w:val="-1"/>
        </w:rPr>
        <w:t>this</w:t>
      </w:r>
      <w:r>
        <w:rPr>
          <w:spacing w:val="34"/>
        </w:rPr>
        <w:t xml:space="preserve"> </w:t>
      </w:r>
      <w:r>
        <w:rPr>
          <w:spacing w:val="-2"/>
        </w:rPr>
        <w:t>Call</w:t>
      </w:r>
      <w:r>
        <w:rPr>
          <w:spacing w:val="33"/>
        </w:rPr>
        <w:t xml:space="preserve"> </w:t>
      </w:r>
      <w:r>
        <w:rPr>
          <w:spacing w:val="-1"/>
        </w:rPr>
        <w:t>Off</w:t>
      </w:r>
      <w:r>
        <w:rPr>
          <w:spacing w:val="35"/>
        </w:rPr>
        <w:t xml:space="preserve"> </w:t>
      </w:r>
      <w:r>
        <w:rPr>
          <w:spacing w:val="-2"/>
        </w:rPr>
        <w:t>Contract</w:t>
      </w:r>
      <w:r>
        <w:rPr>
          <w:spacing w:val="36"/>
        </w:rPr>
        <w:t xml:space="preserve"> </w:t>
      </w:r>
      <w:r>
        <w:rPr>
          <w:spacing w:val="-1"/>
        </w:rPr>
        <w:t>are</w:t>
      </w:r>
      <w:r>
        <w:rPr>
          <w:spacing w:val="31"/>
        </w:rPr>
        <w:t xml:space="preserve"> </w:t>
      </w:r>
      <w:r>
        <w:rPr>
          <w:spacing w:val="-1"/>
        </w:rPr>
        <w:t>fulfilled,</w:t>
      </w:r>
      <w:r>
        <w:rPr>
          <w:spacing w:val="35"/>
        </w:rPr>
        <w:t xml:space="preserve"> </w:t>
      </w:r>
      <w:r>
        <w:rPr>
          <w:spacing w:val="-1"/>
        </w:rPr>
        <w:t>in</w:t>
      </w:r>
      <w:r>
        <w:rPr>
          <w:spacing w:val="34"/>
        </w:rPr>
        <w:t xml:space="preserve"> </w:t>
      </w:r>
      <w:r>
        <w:rPr>
          <w:spacing w:val="-1"/>
        </w:rPr>
        <w:t>accordance</w:t>
      </w:r>
      <w:r>
        <w:rPr>
          <w:spacing w:val="46"/>
        </w:rPr>
        <w:t xml:space="preserve"> </w:t>
      </w:r>
      <w:r>
        <w:rPr>
          <w:spacing w:val="-1"/>
        </w:rPr>
        <w:t>with</w:t>
      </w:r>
      <w:r>
        <w:t xml:space="preserve"> the</w:t>
      </w:r>
      <w:r>
        <w:rPr>
          <w:spacing w:val="-2"/>
        </w:rPr>
        <w:t xml:space="preserve"> </w:t>
      </w:r>
      <w:r>
        <w:rPr>
          <w:spacing w:val="-1"/>
        </w:rPr>
        <w:t>Customer's</w:t>
      </w:r>
      <w:r>
        <w:rPr>
          <w:spacing w:val="1"/>
        </w:rPr>
        <w:t xml:space="preserve"> </w:t>
      </w:r>
      <w:r>
        <w:rPr>
          <w:spacing w:val="-2"/>
        </w:rPr>
        <w:t>instructions;</w:t>
      </w:r>
    </w:p>
    <w:p w:rsidR="008918FA" w:rsidRDefault="008918FA" w:rsidP="008918FA">
      <w:pPr>
        <w:pStyle w:val="BodyText"/>
        <w:numPr>
          <w:ilvl w:val="3"/>
          <w:numId w:val="66"/>
        </w:numPr>
        <w:tabs>
          <w:tab w:val="left" w:pos="2935"/>
        </w:tabs>
        <w:spacing w:before="121"/>
        <w:ind w:left="2934" w:right="112"/>
        <w:jc w:val="both"/>
      </w:pPr>
      <w:bookmarkStart w:id="255" w:name="_bookmark215"/>
      <w:bookmarkEnd w:id="255"/>
      <w:r>
        <w:rPr>
          <w:spacing w:val="-1"/>
        </w:rPr>
        <w:t>carry</w:t>
      </w:r>
      <w:r>
        <w:rPr>
          <w:spacing w:val="49"/>
        </w:rPr>
        <w:t xml:space="preserve"> </w:t>
      </w:r>
      <w:r>
        <w:rPr>
          <w:spacing w:val="-1"/>
        </w:rPr>
        <w:t>out,</w:t>
      </w:r>
      <w:r>
        <w:rPr>
          <w:spacing w:val="50"/>
        </w:rPr>
        <w:t xml:space="preserve"> </w:t>
      </w:r>
      <w:r>
        <w:rPr>
          <w:spacing w:val="-1"/>
        </w:rPr>
        <w:t>at</w:t>
      </w:r>
      <w:r>
        <w:rPr>
          <w:spacing w:val="50"/>
        </w:rPr>
        <w:t xml:space="preserve"> </w:t>
      </w:r>
      <w:r>
        <w:t>the</w:t>
      </w:r>
      <w:r>
        <w:rPr>
          <w:spacing w:val="51"/>
        </w:rPr>
        <w:t xml:space="preserve"> </w:t>
      </w:r>
      <w:r>
        <w:rPr>
          <w:spacing w:val="-1"/>
        </w:rPr>
        <w:t>Supplier's</w:t>
      </w:r>
      <w:r>
        <w:rPr>
          <w:spacing w:val="51"/>
        </w:rPr>
        <w:t xml:space="preserve"> </w:t>
      </w:r>
      <w:r>
        <w:rPr>
          <w:spacing w:val="-1"/>
        </w:rPr>
        <w:t>expense,</w:t>
      </w:r>
      <w:r>
        <w:rPr>
          <w:spacing w:val="52"/>
        </w:rPr>
        <w:t xml:space="preserve"> </w:t>
      </w:r>
      <w:r>
        <w:rPr>
          <w:spacing w:val="-1"/>
        </w:rPr>
        <w:t>any</w:t>
      </w:r>
      <w:r>
        <w:rPr>
          <w:spacing w:val="50"/>
        </w:rPr>
        <w:t xml:space="preserve"> </w:t>
      </w:r>
      <w:r>
        <w:rPr>
          <w:spacing w:val="-2"/>
        </w:rPr>
        <w:t>work</w:t>
      </w:r>
      <w:r>
        <w:rPr>
          <w:spacing w:val="51"/>
        </w:rPr>
        <w:t xml:space="preserve"> </w:t>
      </w:r>
      <w:r>
        <w:rPr>
          <w:spacing w:val="-1"/>
        </w:rPr>
        <w:t>necessary</w:t>
      </w:r>
      <w:r>
        <w:rPr>
          <w:spacing w:val="49"/>
        </w:rPr>
        <w:t xml:space="preserve"> </w:t>
      </w:r>
      <w:r>
        <w:t>to</w:t>
      </w:r>
      <w:r>
        <w:rPr>
          <w:spacing w:val="37"/>
        </w:rPr>
        <w:t xml:space="preserve"> </w:t>
      </w:r>
      <w:r>
        <w:rPr>
          <w:spacing w:val="-1"/>
        </w:rPr>
        <w:t>make</w:t>
      </w:r>
      <w:r>
        <w:rPr>
          <w:spacing w:val="27"/>
        </w:rPr>
        <w:t xml:space="preserve"> </w:t>
      </w:r>
      <w:r>
        <w:t>the</w:t>
      </w:r>
      <w:r>
        <w:rPr>
          <w:spacing w:val="24"/>
        </w:rPr>
        <w:t xml:space="preserve"> </w:t>
      </w:r>
      <w:r>
        <w:rPr>
          <w:spacing w:val="-2"/>
        </w:rPr>
        <w:t>provision</w:t>
      </w:r>
      <w:r>
        <w:rPr>
          <w:spacing w:val="27"/>
        </w:rPr>
        <w:t xml:space="preserve"> </w:t>
      </w:r>
      <w:r>
        <w:rPr>
          <w:spacing w:val="-1"/>
        </w:rPr>
        <w:t>of</w:t>
      </w:r>
      <w:r>
        <w:rPr>
          <w:spacing w:val="28"/>
        </w:rPr>
        <w:t xml:space="preserve"> </w:t>
      </w:r>
      <w:r>
        <w:rPr>
          <w:spacing w:val="-1"/>
        </w:rPr>
        <w:t>the</w:t>
      </w:r>
      <w:r>
        <w:rPr>
          <w:spacing w:val="27"/>
        </w:rPr>
        <w:t xml:space="preserve"> </w:t>
      </w:r>
      <w:r>
        <w:rPr>
          <w:spacing w:val="-1"/>
        </w:rPr>
        <w:t>Goods</w:t>
      </w:r>
      <w:r>
        <w:rPr>
          <w:spacing w:val="27"/>
        </w:rPr>
        <w:t xml:space="preserve"> </w:t>
      </w:r>
      <w:r>
        <w:rPr>
          <w:spacing w:val="-1"/>
        </w:rPr>
        <w:t>and/or</w:t>
      </w:r>
      <w:r>
        <w:rPr>
          <w:spacing w:val="29"/>
        </w:rPr>
        <w:t xml:space="preserve"> </w:t>
      </w:r>
      <w:r>
        <w:rPr>
          <w:spacing w:val="-1"/>
        </w:rPr>
        <w:t>Services</w:t>
      </w:r>
      <w:r>
        <w:rPr>
          <w:spacing w:val="27"/>
        </w:rPr>
        <w:t xml:space="preserve"> </w:t>
      </w:r>
      <w:r>
        <w:rPr>
          <w:spacing w:val="-1"/>
        </w:rPr>
        <w:t>comply</w:t>
      </w:r>
      <w:r>
        <w:rPr>
          <w:spacing w:val="25"/>
        </w:rPr>
        <w:t xml:space="preserve"> </w:t>
      </w:r>
      <w:r>
        <w:rPr>
          <w:spacing w:val="-1"/>
        </w:rPr>
        <w:t>with</w:t>
      </w:r>
      <w:r>
        <w:rPr>
          <w:spacing w:val="39"/>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2"/>
        </w:rPr>
        <w:t>Contract;</w:t>
      </w:r>
    </w:p>
    <w:p w:rsidR="008918FA" w:rsidRDefault="008918FA" w:rsidP="008918FA">
      <w:pPr>
        <w:pStyle w:val="BodyText"/>
        <w:numPr>
          <w:ilvl w:val="3"/>
          <w:numId w:val="66"/>
        </w:numPr>
        <w:tabs>
          <w:tab w:val="left" w:pos="2934"/>
        </w:tabs>
        <w:ind w:left="2934" w:right="112"/>
        <w:jc w:val="both"/>
      </w:pPr>
      <w:bookmarkStart w:id="256" w:name="_bookmark216"/>
      <w:bookmarkEnd w:id="256"/>
      <w:r>
        <w:rPr>
          <w:spacing w:val="-1"/>
        </w:rPr>
        <w:t>if</w:t>
      </w:r>
      <w:r>
        <w:rPr>
          <w:spacing w:val="42"/>
        </w:rPr>
        <w:t xml:space="preserve"> </w:t>
      </w:r>
      <w:r>
        <w:t>the</w:t>
      </w:r>
      <w:r>
        <w:rPr>
          <w:spacing w:val="41"/>
        </w:rPr>
        <w:t xml:space="preserve"> </w:t>
      </w:r>
      <w:r>
        <w:rPr>
          <w:spacing w:val="-2"/>
        </w:rPr>
        <w:t>Default</w:t>
      </w:r>
      <w:r>
        <w:rPr>
          <w:spacing w:val="42"/>
        </w:rPr>
        <w:t xml:space="preserve"> </w:t>
      </w:r>
      <w:r>
        <w:rPr>
          <w:spacing w:val="-1"/>
        </w:rPr>
        <w:t>is</w:t>
      </w:r>
      <w:r>
        <w:rPr>
          <w:spacing w:val="41"/>
        </w:rPr>
        <w:t xml:space="preserve"> </w:t>
      </w:r>
      <w:r>
        <w:t>a</w:t>
      </w:r>
      <w:r>
        <w:rPr>
          <w:spacing w:val="40"/>
        </w:rPr>
        <w:t xml:space="preserve"> </w:t>
      </w:r>
      <w:r>
        <w:rPr>
          <w:spacing w:val="-1"/>
        </w:rPr>
        <w:t>material</w:t>
      </w:r>
      <w:r>
        <w:rPr>
          <w:spacing w:val="40"/>
        </w:rPr>
        <w:t xml:space="preserve"> </w:t>
      </w:r>
      <w:r>
        <w:rPr>
          <w:spacing w:val="-1"/>
        </w:rPr>
        <w:t>Default</w:t>
      </w:r>
      <w:r>
        <w:rPr>
          <w:spacing w:val="43"/>
        </w:rPr>
        <w:t xml:space="preserve"> </w:t>
      </w:r>
      <w:r>
        <w:rPr>
          <w:spacing w:val="-1"/>
        </w:rPr>
        <w:t>that</w:t>
      </w:r>
      <w:r>
        <w:rPr>
          <w:spacing w:val="42"/>
        </w:rPr>
        <w:t xml:space="preserve"> </w:t>
      </w:r>
      <w:r>
        <w:rPr>
          <w:spacing w:val="-1"/>
        </w:rPr>
        <w:t>is</w:t>
      </w:r>
      <w:r>
        <w:rPr>
          <w:spacing w:val="41"/>
        </w:rPr>
        <w:t xml:space="preserve"> </w:t>
      </w:r>
      <w:r>
        <w:rPr>
          <w:spacing w:val="-2"/>
        </w:rPr>
        <w:t>capable</w:t>
      </w:r>
      <w:r>
        <w:rPr>
          <w:spacing w:val="41"/>
        </w:rPr>
        <w:t xml:space="preserve"> </w:t>
      </w:r>
      <w:r>
        <w:rPr>
          <w:spacing w:val="-1"/>
        </w:rPr>
        <w:t>of</w:t>
      </w:r>
      <w:r>
        <w:rPr>
          <w:spacing w:val="42"/>
        </w:rPr>
        <w:t xml:space="preserve"> </w:t>
      </w:r>
      <w:r>
        <w:rPr>
          <w:spacing w:val="-1"/>
        </w:rPr>
        <w:t>remedy</w:t>
      </w:r>
      <w:r>
        <w:rPr>
          <w:spacing w:val="30"/>
        </w:rPr>
        <w:t xml:space="preserve"> </w:t>
      </w:r>
      <w:r>
        <w:rPr>
          <w:spacing w:val="-1"/>
        </w:rPr>
        <w:t>(and</w:t>
      </w:r>
      <w:r>
        <w:rPr>
          <w:spacing w:val="46"/>
        </w:rPr>
        <w:t xml:space="preserve"> </w:t>
      </w:r>
      <w:r>
        <w:t>for</w:t>
      </w:r>
      <w:r>
        <w:rPr>
          <w:spacing w:val="49"/>
        </w:rPr>
        <w:t xml:space="preserve"> </w:t>
      </w:r>
      <w:r>
        <w:rPr>
          <w:spacing w:val="-1"/>
        </w:rPr>
        <w:t>these</w:t>
      </w:r>
      <w:r>
        <w:rPr>
          <w:spacing w:val="49"/>
        </w:rPr>
        <w:t xml:space="preserve"> </w:t>
      </w:r>
      <w:r>
        <w:rPr>
          <w:spacing w:val="-2"/>
        </w:rPr>
        <w:t>purposes</w:t>
      </w:r>
      <w:r>
        <w:rPr>
          <w:spacing w:val="49"/>
        </w:rPr>
        <w:t xml:space="preserve"> </w:t>
      </w:r>
      <w:r>
        <w:t>a</w:t>
      </w:r>
      <w:r>
        <w:rPr>
          <w:spacing w:val="48"/>
        </w:rPr>
        <w:t xml:space="preserve"> </w:t>
      </w:r>
      <w:r>
        <w:rPr>
          <w:spacing w:val="-1"/>
        </w:rPr>
        <w:t>material</w:t>
      </w:r>
      <w:r>
        <w:rPr>
          <w:spacing w:val="47"/>
        </w:rPr>
        <w:t xml:space="preserve"> </w:t>
      </w:r>
      <w:r>
        <w:rPr>
          <w:spacing w:val="-1"/>
        </w:rPr>
        <w:t>Default</w:t>
      </w:r>
      <w:r>
        <w:rPr>
          <w:spacing w:val="51"/>
        </w:rPr>
        <w:t xml:space="preserve"> </w:t>
      </w:r>
      <w:r>
        <w:rPr>
          <w:spacing w:val="-1"/>
        </w:rPr>
        <w:t>may</w:t>
      </w:r>
      <w:r>
        <w:rPr>
          <w:spacing w:val="46"/>
        </w:rPr>
        <w:t xml:space="preserve"> </w:t>
      </w:r>
      <w:r>
        <w:rPr>
          <w:spacing w:val="-1"/>
        </w:rPr>
        <w:t>be</w:t>
      </w:r>
      <w:r>
        <w:rPr>
          <w:spacing w:val="51"/>
        </w:rPr>
        <w:t xml:space="preserve"> </w:t>
      </w:r>
      <w:r>
        <w:t>a</w:t>
      </w:r>
      <w:r>
        <w:rPr>
          <w:spacing w:val="48"/>
        </w:rPr>
        <w:t xml:space="preserve"> </w:t>
      </w:r>
      <w:r>
        <w:rPr>
          <w:spacing w:val="-1"/>
        </w:rPr>
        <w:t>single</w:t>
      </w:r>
      <w:r>
        <w:rPr>
          <w:spacing w:val="55"/>
        </w:rPr>
        <w:t xml:space="preserve"> </w:t>
      </w:r>
      <w:r>
        <w:rPr>
          <w:spacing w:val="-1"/>
        </w:rPr>
        <w:t>material</w:t>
      </w:r>
      <w:r>
        <w:rPr>
          <w:spacing w:val="12"/>
        </w:rPr>
        <w:t xml:space="preserve"> </w:t>
      </w:r>
      <w:r>
        <w:rPr>
          <w:spacing w:val="-1"/>
        </w:rPr>
        <w:t>Default</w:t>
      </w:r>
      <w:r>
        <w:rPr>
          <w:spacing w:val="14"/>
        </w:rPr>
        <w:t xml:space="preserve"> </w:t>
      </w:r>
      <w:r>
        <w:rPr>
          <w:spacing w:val="-2"/>
        </w:rPr>
        <w:t>or</w:t>
      </w:r>
      <w:r>
        <w:rPr>
          <w:spacing w:val="14"/>
        </w:rPr>
        <w:t xml:space="preserve"> </w:t>
      </w:r>
      <w:r>
        <w:t>a</w:t>
      </w:r>
      <w:r>
        <w:rPr>
          <w:spacing w:val="12"/>
        </w:rPr>
        <w:t xml:space="preserve"> </w:t>
      </w:r>
      <w:r>
        <w:rPr>
          <w:spacing w:val="-1"/>
        </w:rPr>
        <w:t>number</w:t>
      </w:r>
      <w:r>
        <w:rPr>
          <w:spacing w:val="14"/>
        </w:rPr>
        <w:t xml:space="preserve"> </w:t>
      </w:r>
      <w:r>
        <w:rPr>
          <w:spacing w:val="-2"/>
        </w:rPr>
        <w:t>of</w:t>
      </w:r>
      <w:r>
        <w:rPr>
          <w:spacing w:val="14"/>
        </w:rPr>
        <w:t xml:space="preserve"> </w:t>
      </w:r>
      <w:r>
        <w:rPr>
          <w:spacing w:val="-1"/>
        </w:rPr>
        <w:t>Defaults</w:t>
      </w:r>
      <w:r>
        <w:rPr>
          <w:spacing w:val="13"/>
        </w:rPr>
        <w:t xml:space="preserve"> </w:t>
      </w:r>
      <w:r>
        <w:rPr>
          <w:spacing w:val="-2"/>
        </w:rPr>
        <w:t>or</w:t>
      </w:r>
      <w:r>
        <w:rPr>
          <w:spacing w:val="11"/>
        </w:rPr>
        <w:t xml:space="preserve"> </w:t>
      </w:r>
      <w:r>
        <w:rPr>
          <w:spacing w:val="-1"/>
        </w:rPr>
        <w:t>repeated</w:t>
      </w:r>
      <w:r>
        <w:rPr>
          <w:spacing w:val="12"/>
        </w:rPr>
        <w:t xml:space="preserve"> </w:t>
      </w:r>
      <w:r>
        <w:rPr>
          <w:spacing w:val="-1"/>
        </w:rPr>
        <w:t>Defaults</w:t>
      </w:r>
      <w:r>
        <w:rPr>
          <w:spacing w:val="15"/>
        </w:rPr>
        <w:t xml:space="preserve"> </w:t>
      </w:r>
      <w:r>
        <w:t>-</w:t>
      </w:r>
      <w:r>
        <w:rPr>
          <w:spacing w:val="30"/>
        </w:rPr>
        <w:t xml:space="preserve"> </w:t>
      </w:r>
      <w:r>
        <w:rPr>
          <w:spacing w:val="-1"/>
        </w:rPr>
        <w:t>whether</w:t>
      </w:r>
      <w:r>
        <w:rPr>
          <w:spacing w:val="26"/>
        </w:rPr>
        <w:t xml:space="preserve"> </w:t>
      </w:r>
      <w:r>
        <w:rPr>
          <w:spacing w:val="-1"/>
        </w:rPr>
        <w:t>of</w:t>
      </w:r>
      <w:r>
        <w:rPr>
          <w:spacing w:val="28"/>
        </w:rPr>
        <w:t xml:space="preserve"> </w:t>
      </w:r>
      <w:r>
        <w:t>the</w:t>
      </w:r>
      <w:r>
        <w:rPr>
          <w:spacing w:val="24"/>
        </w:rPr>
        <w:t xml:space="preserve"> </w:t>
      </w:r>
      <w:r>
        <w:rPr>
          <w:spacing w:val="-1"/>
        </w:rPr>
        <w:t>same</w:t>
      </w:r>
      <w:r>
        <w:rPr>
          <w:spacing w:val="24"/>
        </w:rPr>
        <w:t xml:space="preserve"> </w:t>
      </w:r>
      <w:r>
        <w:rPr>
          <w:spacing w:val="-1"/>
        </w:rPr>
        <w:t>or</w:t>
      </w:r>
      <w:r>
        <w:rPr>
          <w:spacing w:val="23"/>
        </w:rPr>
        <w:t xml:space="preserve"> </w:t>
      </w:r>
      <w:r>
        <w:rPr>
          <w:spacing w:val="-1"/>
        </w:rPr>
        <w:t>different</w:t>
      </w:r>
      <w:r>
        <w:rPr>
          <w:spacing w:val="26"/>
        </w:rPr>
        <w:t xml:space="preserve"> </w:t>
      </w:r>
      <w:r>
        <w:rPr>
          <w:spacing w:val="-1"/>
        </w:rPr>
        <w:t>obligations</w:t>
      </w:r>
      <w:r>
        <w:rPr>
          <w:spacing w:val="25"/>
        </w:rPr>
        <w:t xml:space="preserve"> </w:t>
      </w:r>
      <w:r>
        <w:rPr>
          <w:spacing w:val="-1"/>
        </w:rPr>
        <w:t>and</w:t>
      </w:r>
      <w:r>
        <w:rPr>
          <w:spacing w:val="22"/>
        </w:rPr>
        <w:t xml:space="preserve"> </w:t>
      </w:r>
      <w:r>
        <w:rPr>
          <w:spacing w:val="-1"/>
        </w:rPr>
        <w:t>regardless</w:t>
      </w:r>
      <w:r>
        <w:rPr>
          <w:spacing w:val="25"/>
        </w:rPr>
        <w:t xml:space="preserve"> </w:t>
      </w:r>
      <w:r>
        <w:rPr>
          <w:spacing w:val="-2"/>
        </w:rPr>
        <w:t>of</w:t>
      </w:r>
    </w:p>
    <w:p w:rsidR="008918FA" w:rsidRDefault="008918FA" w:rsidP="008918FA">
      <w:pPr>
        <w:jc w:val="both"/>
        <w:sectPr w:rsidR="008918FA">
          <w:pgSz w:w="11910" w:h="16840"/>
          <w:pgMar w:top="1480" w:right="1300" w:bottom="1180" w:left="1340" w:header="0" w:footer="967" w:gutter="0"/>
          <w:cols w:space="720"/>
        </w:sectPr>
      </w:pPr>
    </w:p>
    <w:p w:rsidR="008918FA" w:rsidRDefault="008918FA" w:rsidP="008918FA">
      <w:pPr>
        <w:pStyle w:val="BodyText"/>
        <w:spacing w:before="59"/>
        <w:ind w:left="2594" w:right="115" w:firstLine="0"/>
      </w:pPr>
      <w:r>
        <w:rPr>
          <w:spacing w:val="-1"/>
        </w:rPr>
        <w:t>whether</w:t>
      </w:r>
      <w:r>
        <w:rPr>
          <w:spacing w:val="57"/>
        </w:rPr>
        <w:t xml:space="preserve"> </w:t>
      </w:r>
      <w:r>
        <w:rPr>
          <w:spacing w:val="-1"/>
        </w:rPr>
        <w:t>such</w:t>
      </w:r>
      <w:r>
        <w:rPr>
          <w:spacing w:val="56"/>
        </w:rPr>
        <w:t xml:space="preserve"> </w:t>
      </w:r>
      <w:r>
        <w:rPr>
          <w:spacing w:val="-1"/>
        </w:rPr>
        <w:t>Defaults</w:t>
      </w:r>
      <w:r>
        <w:rPr>
          <w:spacing w:val="56"/>
        </w:rPr>
        <w:t xml:space="preserve"> </w:t>
      </w:r>
      <w:r>
        <w:rPr>
          <w:spacing w:val="-1"/>
        </w:rPr>
        <w:t>are</w:t>
      </w:r>
      <w:r>
        <w:rPr>
          <w:spacing w:val="55"/>
        </w:rPr>
        <w:t xml:space="preserve"> </w:t>
      </w:r>
      <w:r>
        <w:rPr>
          <w:spacing w:val="-1"/>
        </w:rPr>
        <w:t>remedied</w:t>
      </w:r>
      <w:r>
        <w:rPr>
          <w:spacing w:val="55"/>
        </w:rPr>
        <w:t xml:space="preserve"> </w:t>
      </w:r>
      <w:r>
        <w:t>-</w:t>
      </w:r>
      <w:r>
        <w:rPr>
          <w:spacing w:val="58"/>
        </w:rPr>
        <w:t xml:space="preserve"> </w:t>
      </w:r>
      <w:r>
        <w:rPr>
          <w:spacing w:val="-2"/>
        </w:rPr>
        <w:t>which</w:t>
      </w:r>
      <w:r>
        <w:rPr>
          <w:spacing w:val="57"/>
        </w:rPr>
        <w:t xml:space="preserve"> </w:t>
      </w:r>
      <w:r>
        <w:t>taken</w:t>
      </w:r>
      <w:r>
        <w:rPr>
          <w:spacing w:val="53"/>
        </w:rPr>
        <w:t xml:space="preserve"> </w:t>
      </w:r>
      <w:r>
        <w:rPr>
          <w:spacing w:val="-1"/>
        </w:rPr>
        <w:t>together</w:t>
      </w:r>
      <w:r>
        <w:rPr>
          <w:spacing w:val="31"/>
        </w:rPr>
        <w:t xml:space="preserve"> </w:t>
      </w:r>
      <w:r>
        <w:rPr>
          <w:spacing w:val="-1"/>
        </w:rPr>
        <w:t>constitute</w:t>
      </w:r>
      <w:r>
        <w:t xml:space="preserve"> a</w:t>
      </w:r>
      <w:r>
        <w:rPr>
          <w:spacing w:val="-2"/>
        </w:rPr>
        <w:t xml:space="preserve"> </w:t>
      </w:r>
      <w:r>
        <w:rPr>
          <w:spacing w:val="-1"/>
        </w:rPr>
        <w:t>material</w:t>
      </w:r>
      <w:r>
        <w:t xml:space="preserve"> </w:t>
      </w:r>
      <w:r>
        <w:rPr>
          <w:spacing w:val="-1"/>
        </w:rPr>
        <w:t>Default):</w:t>
      </w:r>
    </w:p>
    <w:p w:rsidR="008918FA" w:rsidRDefault="008918FA" w:rsidP="008918FA">
      <w:pPr>
        <w:pStyle w:val="BodyText"/>
        <w:numPr>
          <w:ilvl w:val="4"/>
          <w:numId w:val="66"/>
        </w:numPr>
        <w:tabs>
          <w:tab w:val="left" w:pos="3163"/>
        </w:tabs>
        <w:spacing w:before="121"/>
        <w:ind w:left="3162" w:right="114" w:hanging="568"/>
        <w:jc w:val="both"/>
      </w:pPr>
      <w:bookmarkStart w:id="257" w:name="_bookmark217"/>
      <w:bookmarkEnd w:id="257"/>
      <w:r>
        <w:rPr>
          <w:spacing w:val="-1"/>
        </w:rPr>
        <w:t>instruct</w:t>
      </w:r>
      <w:r>
        <w:rPr>
          <w:spacing w:val="16"/>
        </w:rPr>
        <w:t xml:space="preserve"> </w:t>
      </w:r>
      <w:r>
        <w:t>the</w:t>
      </w:r>
      <w:r>
        <w:rPr>
          <w:spacing w:val="12"/>
        </w:rPr>
        <w:t xml:space="preserve"> </w:t>
      </w:r>
      <w:r>
        <w:rPr>
          <w:spacing w:val="-2"/>
        </w:rPr>
        <w:t>Supplier</w:t>
      </w:r>
      <w:r>
        <w:rPr>
          <w:spacing w:val="16"/>
        </w:rPr>
        <w:t xml:space="preserve"> </w:t>
      </w:r>
      <w:r>
        <w:t>to</w:t>
      </w:r>
      <w:r>
        <w:rPr>
          <w:spacing w:val="15"/>
        </w:rPr>
        <w:t xml:space="preserve"> </w:t>
      </w:r>
      <w:r>
        <w:rPr>
          <w:spacing w:val="-2"/>
        </w:rPr>
        <w:t>comply</w:t>
      </w:r>
      <w:r>
        <w:rPr>
          <w:spacing w:val="15"/>
        </w:rPr>
        <w:t xml:space="preserve"> </w:t>
      </w:r>
      <w:r>
        <w:rPr>
          <w:spacing w:val="-1"/>
        </w:rPr>
        <w:t>with</w:t>
      </w:r>
      <w:r>
        <w:rPr>
          <w:spacing w:val="15"/>
        </w:rPr>
        <w:t xml:space="preserve"> </w:t>
      </w:r>
      <w:r>
        <w:t>the</w:t>
      </w:r>
      <w:r>
        <w:rPr>
          <w:spacing w:val="15"/>
        </w:rPr>
        <w:t xml:space="preserve"> </w:t>
      </w:r>
      <w:r>
        <w:rPr>
          <w:spacing w:val="-2"/>
        </w:rPr>
        <w:t>Rectification</w:t>
      </w:r>
      <w:r>
        <w:rPr>
          <w:spacing w:val="15"/>
        </w:rPr>
        <w:t xml:space="preserve"> </w:t>
      </w:r>
      <w:r>
        <w:rPr>
          <w:spacing w:val="-2"/>
        </w:rPr>
        <w:t>Plan</w:t>
      </w:r>
      <w:r>
        <w:rPr>
          <w:spacing w:val="56"/>
        </w:rPr>
        <w:t xml:space="preserve"> </w:t>
      </w:r>
      <w:r>
        <w:rPr>
          <w:spacing w:val="-1"/>
        </w:rPr>
        <w:t>Process;</w:t>
      </w:r>
    </w:p>
    <w:p w:rsidR="008918FA" w:rsidRDefault="008918FA" w:rsidP="008918FA">
      <w:pPr>
        <w:pStyle w:val="BodyText"/>
        <w:numPr>
          <w:ilvl w:val="4"/>
          <w:numId w:val="66"/>
        </w:numPr>
        <w:tabs>
          <w:tab w:val="left" w:pos="3163"/>
        </w:tabs>
        <w:spacing w:before="121"/>
        <w:ind w:left="3162" w:right="113" w:hanging="568"/>
        <w:jc w:val="both"/>
      </w:pPr>
      <w:bookmarkStart w:id="258" w:name="_bookmark218"/>
      <w:bookmarkEnd w:id="258"/>
      <w:r>
        <w:rPr>
          <w:spacing w:val="-1"/>
        </w:rPr>
        <w:t>suspend</w:t>
      </w:r>
      <w:r>
        <w:rPr>
          <w:spacing w:val="41"/>
        </w:rPr>
        <w:t xml:space="preserve"> </w:t>
      </w:r>
      <w:r>
        <w:rPr>
          <w:spacing w:val="-1"/>
        </w:rPr>
        <w:t>this</w:t>
      </w:r>
      <w:r>
        <w:rPr>
          <w:spacing w:val="42"/>
        </w:rPr>
        <w:t xml:space="preserve"> </w:t>
      </w:r>
      <w:r>
        <w:rPr>
          <w:spacing w:val="-2"/>
        </w:rPr>
        <w:t>Call</w:t>
      </w:r>
      <w:r>
        <w:rPr>
          <w:spacing w:val="40"/>
        </w:rPr>
        <w:t xml:space="preserve"> </w:t>
      </w:r>
      <w:r>
        <w:rPr>
          <w:spacing w:val="-1"/>
        </w:rPr>
        <w:t>Off</w:t>
      </w:r>
      <w:r>
        <w:rPr>
          <w:spacing w:val="42"/>
        </w:rPr>
        <w:t xml:space="preserve"> </w:t>
      </w:r>
      <w:r>
        <w:rPr>
          <w:spacing w:val="-2"/>
        </w:rPr>
        <w:t>Contract</w:t>
      </w:r>
      <w:r>
        <w:rPr>
          <w:spacing w:val="43"/>
        </w:rPr>
        <w:t xml:space="preserve"> </w:t>
      </w:r>
      <w:r>
        <w:rPr>
          <w:spacing w:val="-1"/>
        </w:rPr>
        <w:t>(whereupon</w:t>
      </w:r>
      <w:r>
        <w:rPr>
          <w:spacing w:val="41"/>
        </w:rPr>
        <w:t xml:space="preserve"> </w:t>
      </w:r>
      <w:r>
        <w:t>the</w:t>
      </w:r>
      <w:r>
        <w:rPr>
          <w:spacing w:val="37"/>
        </w:rPr>
        <w:t xml:space="preserve"> </w:t>
      </w:r>
      <w:r>
        <w:rPr>
          <w:spacing w:val="-2"/>
        </w:rPr>
        <w:t>relevant</w:t>
      </w:r>
      <w:r>
        <w:rPr>
          <w:spacing w:val="46"/>
        </w:rPr>
        <w:t xml:space="preserve"> </w:t>
      </w:r>
      <w:r>
        <w:rPr>
          <w:spacing w:val="-2"/>
        </w:rPr>
        <w:t>provisions</w:t>
      </w:r>
      <w:r>
        <w:rPr>
          <w:spacing w:val="18"/>
        </w:rPr>
        <w:t xml:space="preserve"> </w:t>
      </w:r>
      <w:r>
        <w:rPr>
          <w:spacing w:val="-1"/>
        </w:rPr>
        <w:t>of</w:t>
      </w:r>
      <w:r>
        <w:rPr>
          <w:spacing w:val="21"/>
        </w:rPr>
        <w:t xml:space="preserve"> </w:t>
      </w:r>
      <w:r>
        <w:rPr>
          <w:spacing w:val="-2"/>
        </w:rPr>
        <w:t>Clause</w:t>
      </w:r>
      <w:r>
        <w:rPr>
          <w:spacing w:val="18"/>
        </w:rPr>
        <w:t xml:space="preserve"> </w:t>
      </w:r>
      <w:hyperlink w:anchor="_bookmark247" w:history="1">
        <w:r>
          <w:rPr>
            <w:spacing w:val="-1"/>
          </w:rPr>
          <w:t>44</w:t>
        </w:r>
      </w:hyperlink>
      <w:r>
        <w:rPr>
          <w:spacing w:val="18"/>
        </w:rPr>
        <w:t xml:space="preserve"> </w:t>
      </w:r>
      <w:r>
        <w:rPr>
          <w:spacing w:val="-1"/>
        </w:rPr>
        <w:t>(Partial</w:t>
      </w:r>
      <w:r>
        <w:rPr>
          <w:spacing w:val="14"/>
        </w:rPr>
        <w:t xml:space="preserve"> </w:t>
      </w:r>
      <w:r>
        <w:rPr>
          <w:spacing w:val="-1"/>
        </w:rPr>
        <w:t>Termination,</w:t>
      </w:r>
      <w:r>
        <w:rPr>
          <w:spacing w:val="19"/>
        </w:rPr>
        <w:t xml:space="preserve"> </w:t>
      </w:r>
      <w:r>
        <w:rPr>
          <w:spacing w:val="-2"/>
        </w:rPr>
        <w:t>Suspension</w:t>
      </w:r>
      <w:r>
        <w:rPr>
          <w:spacing w:val="64"/>
        </w:rPr>
        <w:t xml:space="preserve"> </w:t>
      </w:r>
      <w:r>
        <w:rPr>
          <w:spacing w:val="-1"/>
        </w:rPr>
        <w:t>and</w:t>
      </w:r>
      <w:r>
        <w:rPr>
          <w:spacing w:val="27"/>
        </w:rPr>
        <w:t xml:space="preserve"> </w:t>
      </w:r>
      <w:r>
        <w:rPr>
          <w:spacing w:val="-1"/>
        </w:rPr>
        <w:t>Partial</w:t>
      </w:r>
      <w:r>
        <w:rPr>
          <w:spacing w:val="26"/>
        </w:rPr>
        <w:t xml:space="preserve"> </w:t>
      </w:r>
      <w:r>
        <w:rPr>
          <w:spacing w:val="-1"/>
        </w:rPr>
        <w:t>Suspension)</w:t>
      </w:r>
      <w:r>
        <w:rPr>
          <w:spacing w:val="29"/>
        </w:rPr>
        <w:t xml:space="preserve"> </w:t>
      </w:r>
      <w:r>
        <w:rPr>
          <w:spacing w:val="-1"/>
        </w:rPr>
        <w:t>shall</w:t>
      </w:r>
      <w:r>
        <w:rPr>
          <w:spacing w:val="26"/>
        </w:rPr>
        <w:t xml:space="preserve"> </w:t>
      </w:r>
      <w:r>
        <w:rPr>
          <w:spacing w:val="-1"/>
        </w:rPr>
        <w:t>apply)</w:t>
      </w:r>
      <w:r>
        <w:rPr>
          <w:spacing w:val="28"/>
        </w:rPr>
        <w:t xml:space="preserve"> </w:t>
      </w:r>
      <w:r>
        <w:rPr>
          <w:spacing w:val="-1"/>
        </w:rPr>
        <w:t>and</w:t>
      </w:r>
      <w:r>
        <w:rPr>
          <w:spacing w:val="28"/>
        </w:rPr>
        <w:t xml:space="preserve"> </w:t>
      </w:r>
      <w:r>
        <w:rPr>
          <w:spacing w:val="-1"/>
        </w:rPr>
        <w:t>step-in</w:t>
      </w:r>
      <w:r>
        <w:rPr>
          <w:spacing w:val="27"/>
        </w:rPr>
        <w:t xml:space="preserve"> </w:t>
      </w:r>
      <w:r>
        <w:t>to</w:t>
      </w:r>
      <w:r>
        <w:rPr>
          <w:spacing w:val="27"/>
        </w:rPr>
        <w:t xml:space="preserve"> </w:t>
      </w:r>
      <w:r>
        <w:rPr>
          <w:spacing w:val="-2"/>
        </w:rPr>
        <w:t>itself</w:t>
      </w:r>
      <w:r>
        <w:rPr>
          <w:spacing w:val="41"/>
        </w:rPr>
        <w:t xml:space="preserve"> </w:t>
      </w:r>
      <w:r>
        <w:rPr>
          <w:spacing w:val="-1"/>
        </w:rPr>
        <w:t>supply</w:t>
      </w:r>
      <w:r>
        <w:rPr>
          <w:spacing w:val="30"/>
        </w:rPr>
        <w:t xml:space="preserve"> </w:t>
      </w:r>
      <w:r>
        <w:rPr>
          <w:spacing w:val="-1"/>
        </w:rPr>
        <w:t>or</w:t>
      </w:r>
      <w:r>
        <w:rPr>
          <w:spacing w:val="33"/>
        </w:rPr>
        <w:t xml:space="preserve"> </w:t>
      </w:r>
      <w:r>
        <w:rPr>
          <w:spacing w:val="-1"/>
        </w:rPr>
        <w:t>procure</w:t>
      </w:r>
      <w:r>
        <w:rPr>
          <w:spacing w:val="31"/>
        </w:rPr>
        <w:t xml:space="preserve"> </w:t>
      </w:r>
      <w:r>
        <w:t>a</w:t>
      </w:r>
      <w:r>
        <w:rPr>
          <w:spacing w:val="29"/>
        </w:rPr>
        <w:t xml:space="preserve"> </w:t>
      </w:r>
      <w:r>
        <w:rPr>
          <w:spacing w:val="-1"/>
        </w:rPr>
        <w:t>third</w:t>
      </w:r>
      <w:r>
        <w:rPr>
          <w:spacing w:val="31"/>
        </w:rPr>
        <w:t xml:space="preserve"> </w:t>
      </w:r>
      <w:r>
        <w:rPr>
          <w:spacing w:val="-1"/>
        </w:rPr>
        <w:t>party</w:t>
      </w:r>
      <w:r>
        <w:rPr>
          <w:spacing w:val="30"/>
        </w:rPr>
        <w:t xml:space="preserve"> </w:t>
      </w:r>
      <w:r>
        <w:t>to</w:t>
      </w:r>
      <w:r>
        <w:rPr>
          <w:spacing w:val="31"/>
        </w:rPr>
        <w:t xml:space="preserve"> </w:t>
      </w:r>
      <w:r>
        <w:rPr>
          <w:spacing w:val="-1"/>
        </w:rPr>
        <w:t>supply</w:t>
      </w:r>
      <w:r>
        <w:rPr>
          <w:spacing w:val="30"/>
        </w:rPr>
        <w:t xml:space="preserve"> </w:t>
      </w:r>
      <w:r>
        <w:rPr>
          <w:spacing w:val="-1"/>
        </w:rPr>
        <w:t>(in</w:t>
      </w:r>
      <w:r>
        <w:rPr>
          <w:spacing w:val="31"/>
        </w:rPr>
        <w:t xml:space="preserve"> </w:t>
      </w:r>
      <w:r>
        <w:rPr>
          <w:spacing w:val="-1"/>
        </w:rPr>
        <w:t>whole</w:t>
      </w:r>
      <w:r>
        <w:rPr>
          <w:spacing w:val="31"/>
        </w:rPr>
        <w:t xml:space="preserve"> </w:t>
      </w:r>
      <w:r>
        <w:rPr>
          <w:spacing w:val="-1"/>
        </w:rPr>
        <w:t>or</w:t>
      </w:r>
      <w:r>
        <w:rPr>
          <w:spacing w:val="34"/>
        </w:rPr>
        <w:t xml:space="preserve"> </w:t>
      </w:r>
      <w:r>
        <w:rPr>
          <w:spacing w:val="-1"/>
        </w:rPr>
        <w:t>in</w:t>
      </w:r>
      <w:r>
        <w:rPr>
          <w:spacing w:val="31"/>
        </w:rPr>
        <w:t xml:space="preserve"> </w:t>
      </w:r>
      <w:r>
        <w:rPr>
          <w:spacing w:val="-1"/>
        </w:rPr>
        <w:t xml:space="preserve">part) </w:t>
      </w:r>
      <w:r>
        <w:t>the</w:t>
      </w:r>
      <w:r>
        <w:rPr>
          <w:spacing w:val="-2"/>
        </w:rPr>
        <w:t xml:space="preserve"> </w:t>
      </w:r>
      <w:r>
        <w:rPr>
          <w:spacing w:val="-1"/>
        </w:rPr>
        <w:t>Goods</w:t>
      </w:r>
      <w:r>
        <w:rPr>
          <w:spacing w:val="-2"/>
        </w:rPr>
        <w:t xml:space="preserve"> </w:t>
      </w:r>
      <w:r>
        <w:rPr>
          <w:spacing w:val="-1"/>
        </w:rPr>
        <w:t>and/or</w:t>
      </w:r>
      <w:r>
        <w:rPr>
          <w:spacing w:val="2"/>
        </w:rPr>
        <w:t xml:space="preserve"> </w:t>
      </w:r>
      <w:r>
        <w:rPr>
          <w:spacing w:val="-2"/>
        </w:rPr>
        <w:t>Services;</w:t>
      </w:r>
    </w:p>
    <w:p w:rsidR="008918FA" w:rsidRDefault="008918FA" w:rsidP="008918FA">
      <w:pPr>
        <w:pStyle w:val="BodyText"/>
        <w:numPr>
          <w:ilvl w:val="4"/>
          <w:numId w:val="66"/>
        </w:numPr>
        <w:tabs>
          <w:tab w:val="left" w:pos="3163"/>
        </w:tabs>
        <w:spacing w:before="121"/>
        <w:ind w:left="3161" w:right="112" w:hanging="568"/>
        <w:jc w:val="both"/>
      </w:pPr>
      <w:bookmarkStart w:id="259" w:name="_bookmark219"/>
      <w:bookmarkEnd w:id="259"/>
      <w:r>
        <w:rPr>
          <w:spacing w:val="-1"/>
        </w:rPr>
        <w:t>without</w:t>
      </w:r>
      <w:r>
        <w:rPr>
          <w:spacing w:val="33"/>
        </w:rPr>
        <w:t xml:space="preserve"> </w:t>
      </w:r>
      <w:r>
        <w:rPr>
          <w:spacing w:val="-1"/>
        </w:rPr>
        <w:t>terminating</w:t>
      </w:r>
      <w:r>
        <w:rPr>
          <w:spacing w:val="34"/>
        </w:rPr>
        <w:t xml:space="preserve"> </w:t>
      </w:r>
      <w:r>
        <w:rPr>
          <w:spacing w:val="-1"/>
        </w:rPr>
        <w:t>or</w:t>
      </w:r>
      <w:r>
        <w:rPr>
          <w:spacing w:val="33"/>
        </w:rPr>
        <w:t xml:space="preserve"> </w:t>
      </w:r>
      <w:r>
        <w:rPr>
          <w:spacing w:val="-2"/>
        </w:rPr>
        <w:t>suspending</w:t>
      </w:r>
      <w:r>
        <w:rPr>
          <w:spacing w:val="34"/>
        </w:rPr>
        <w:t xml:space="preserve"> </w:t>
      </w:r>
      <w:r>
        <w:t>the</w:t>
      </w:r>
      <w:r>
        <w:rPr>
          <w:spacing w:val="31"/>
        </w:rPr>
        <w:t xml:space="preserve"> </w:t>
      </w:r>
      <w:r>
        <w:rPr>
          <w:spacing w:val="-2"/>
        </w:rPr>
        <w:t>whole</w:t>
      </w:r>
      <w:r>
        <w:rPr>
          <w:spacing w:val="31"/>
        </w:rPr>
        <w:t xml:space="preserve"> </w:t>
      </w:r>
      <w:r>
        <w:rPr>
          <w:spacing w:val="-1"/>
        </w:rPr>
        <w:t>of</w:t>
      </w:r>
      <w:r>
        <w:rPr>
          <w:spacing w:val="36"/>
        </w:rPr>
        <w:t xml:space="preserve"> </w:t>
      </w:r>
      <w:r>
        <w:rPr>
          <w:spacing w:val="-1"/>
        </w:rPr>
        <w:t>this</w:t>
      </w:r>
      <w:r>
        <w:rPr>
          <w:spacing w:val="34"/>
        </w:rPr>
        <w:t xml:space="preserve"> </w:t>
      </w:r>
      <w:r>
        <w:rPr>
          <w:spacing w:val="-2"/>
        </w:rPr>
        <w:t>Call</w:t>
      </w:r>
      <w:r>
        <w:rPr>
          <w:spacing w:val="35"/>
        </w:rPr>
        <w:t xml:space="preserve"> </w:t>
      </w:r>
      <w:r>
        <w:rPr>
          <w:spacing w:val="-1"/>
        </w:rPr>
        <w:t>Off</w:t>
      </w:r>
      <w:r>
        <w:rPr>
          <w:spacing w:val="23"/>
        </w:rPr>
        <w:t xml:space="preserve"> </w:t>
      </w:r>
      <w:r>
        <w:rPr>
          <w:spacing w:val="-1"/>
        </w:rPr>
        <w:t>Contract,</w:t>
      </w:r>
      <w:r>
        <w:rPr>
          <w:spacing w:val="23"/>
        </w:rPr>
        <w:t xml:space="preserve"> </w:t>
      </w:r>
      <w:r>
        <w:rPr>
          <w:spacing w:val="-1"/>
        </w:rPr>
        <w:t>terminate</w:t>
      </w:r>
      <w:r>
        <w:rPr>
          <w:spacing w:val="20"/>
        </w:rPr>
        <w:t xml:space="preserve"> </w:t>
      </w:r>
      <w:r>
        <w:rPr>
          <w:spacing w:val="-1"/>
        </w:rPr>
        <w:t>or</w:t>
      </w:r>
      <w:r>
        <w:rPr>
          <w:spacing w:val="23"/>
        </w:rPr>
        <w:t xml:space="preserve"> </w:t>
      </w:r>
      <w:r>
        <w:rPr>
          <w:spacing w:val="-1"/>
        </w:rPr>
        <w:t>suspend</w:t>
      </w:r>
      <w:r>
        <w:rPr>
          <w:spacing w:val="22"/>
        </w:rPr>
        <w:t xml:space="preserve"> </w:t>
      </w:r>
      <w:r>
        <w:rPr>
          <w:spacing w:val="-1"/>
        </w:rPr>
        <w:t>this</w:t>
      </w:r>
      <w:r>
        <w:rPr>
          <w:spacing w:val="22"/>
        </w:rPr>
        <w:t xml:space="preserve"> </w:t>
      </w:r>
      <w:r>
        <w:rPr>
          <w:spacing w:val="-2"/>
        </w:rPr>
        <w:t>Call</w:t>
      </w:r>
      <w:r>
        <w:rPr>
          <w:spacing w:val="21"/>
        </w:rPr>
        <w:t xml:space="preserve"> </w:t>
      </w:r>
      <w:r>
        <w:rPr>
          <w:spacing w:val="-1"/>
        </w:rPr>
        <w:t>Off</w:t>
      </w:r>
      <w:r>
        <w:rPr>
          <w:spacing w:val="21"/>
        </w:rPr>
        <w:t xml:space="preserve"> </w:t>
      </w:r>
      <w:r>
        <w:rPr>
          <w:spacing w:val="-1"/>
        </w:rPr>
        <w:t>Contract</w:t>
      </w:r>
      <w:r>
        <w:rPr>
          <w:spacing w:val="33"/>
        </w:rPr>
        <w:t xml:space="preserve"> </w:t>
      </w:r>
      <w:r>
        <w:rPr>
          <w:spacing w:val="-1"/>
        </w:rPr>
        <w:t>in</w:t>
      </w:r>
      <w:r>
        <w:rPr>
          <w:spacing w:val="43"/>
        </w:rPr>
        <w:t xml:space="preserve"> </w:t>
      </w:r>
      <w:r>
        <w:rPr>
          <w:spacing w:val="-1"/>
        </w:rPr>
        <w:t>respect</w:t>
      </w:r>
      <w:r>
        <w:rPr>
          <w:spacing w:val="45"/>
        </w:rPr>
        <w:t xml:space="preserve"> </w:t>
      </w:r>
      <w:r>
        <w:rPr>
          <w:spacing w:val="-2"/>
        </w:rPr>
        <w:t>of</w:t>
      </w:r>
      <w:r>
        <w:rPr>
          <w:spacing w:val="47"/>
        </w:rPr>
        <w:t xml:space="preserve"> </w:t>
      </w:r>
      <w:r>
        <w:rPr>
          <w:spacing w:val="-1"/>
        </w:rPr>
        <w:t>part</w:t>
      </w:r>
      <w:r>
        <w:rPr>
          <w:spacing w:val="45"/>
        </w:rPr>
        <w:t xml:space="preserve"> </w:t>
      </w:r>
      <w:r>
        <w:rPr>
          <w:spacing w:val="-2"/>
        </w:rPr>
        <w:t>of</w:t>
      </w:r>
      <w:r>
        <w:rPr>
          <w:spacing w:val="47"/>
        </w:rPr>
        <w:t xml:space="preserve"> </w:t>
      </w:r>
      <w:r>
        <w:rPr>
          <w:spacing w:val="-1"/>
        </w:rPr>
        <w:t>the</w:t>
      </w:r>
      <w:r>
        <w:rPr>
          <w:spacing w:val="44"/>
        </w:rPr>
        <w:t xml:space="preserve"> </w:t>
      </w:r>
      <w:r>
        <w:rPr>
          <w:spacing w:val="-2"/>
        </w:rPr>
        <w:t>provision</w:t>
      </w:r>
      <w:r>
        <w:rPr>
          <w:spacing w:val="44"/>
        </w:rPr>
        <w:t xml:space="preserve"> </w:t>
      </w:r>
      <w:r>
        <w:rPr>
          <w:spacing w:val="-1"/>
        </w:rPr>
        <w:t>of</w:t>
      </w:r>
      <w:r>
        <w:rPr>
          <w:spacing w:val="47"/>
        </w:rPr>
        <w:t xml:space="preserve"> </w:t>
      </w:r>
      <w:r>
        <w:t>the</w:t>
      </w:r>
      <w:r>
        <w:rPr>
          <w:spacing w:val="44"/>
        </w:rPr>
        <w:t xml:space="preserve"> </w:t>
      </w:r>
      <w:r>
        <w:rPr>
          <w:spacing w:val="-1"/>
        </w:rPr>
        <w:t>Goods</w:t>
      </w:r>
      <w:r>
        <w:rPr>
          <w:spacing w:val="44"/>
        </w:rPr>
        <w:t xml:space="preserve"> </w:t>
      </w:r>
      <w:r>
        <w:rPr>
          <w:spacing w:val="-1"/>
        </w:rPr>
        <w:t>and/or</w:t>
      </w:r>
      <w:r>
        <w:rPr>
          <w:spacing w:val="35"/>
        </w:rPr>
        <w:t xml:space="preserve"> </w:t>
      </w:r>
      <w:r>
        <w:rPr>
          <w:spacing w:val="-1"/>
        </w:rPr>
        <w:t>Services</w:t>
      </w:r>
      <w:r>
        <w:rPr>
          <w:spacing w:val="40"/>
        </w:rPr>
        <w:t xml:space="preserve"> </w:t>
      </w:r>
      <w:r>
        <w:rPr>
          <w:spacing w:val="-1"/>
        </w:rPr>
        <w:t>only</w:t>
      </w:r>
      <w:r>
        <w:rPr>
          <w:spacing w:val="38"/>
        </w:rPr>
        <w:t xml:space="preserve"> </w:t>
      </w:r>
      <w:r>
        <w:rPr>
          <w:spacing w:val="-1"/>
        </w:rPr>
        <w:t>(whereupon</w:t>
      </w:r>
      <w:r>
        <w:rPr>
          <w:spacing w:val="41"/>
        </w:rPr>
        <w:t xml:space="preserve"> </w:t>
      </w:r>
      <w:r>
        <w:t>the</w:t>
      </w:r>
      <w:r>
        <w:rPr>
          <w:spacing w:val="40"/>
        </w:rPr>
        <w:t xml:space="preserve"> </w:t>
      </w:r>
      <w:r>
        <w:rPr>
          <w:spacing w:val="-2"/>
        </w:rPr>
        <w:t>relevant</w:t>
      </w:r>
      <w:r>
        <w:rPr>
          <w:spacing w:val="41"/>
        </w:rPr>
        <w:t xml:space="preserve"> </w:t>
      </w:r>
      <w:r>
        <w:rPr>
          <w:spacing w:val="-1"/>
        </w:rPr>
        <w:t>provisions</w:t>
      </w:r>
      <w:r>
        <w:rPr>
          <w:spacing w:val="38"/>
        </w:rPr>
        <w:t xml:space="preserve"> </w:t>
      </w:r>
      <w:r>
        <w:rPr>
          <w:spacing w:val="-2"/>
        </w:rPr>
        <w:t>of</w:t>
      </w:r>
      <w:r>
        <w:rPr>
          <w:spacing w:val="29"/>
        </w:rPr>
        <w:t xml:space="preserve"> </w:t>
      </w:r>
      <w:r>
        <w:rPr>
          <w:spacing w:val="-2"/>
        </w:rPr>
        <w:t>Clause</w:t>
      </w:r>
      <w:r>
        <w:rPr>
          <w:spacing w:val="49"/>
        </w:rPr>
        <w:t xml:space="preserve"> </w:t>
      </w:r>
      <w:hyperlink w:anchor="_bookmark247" w:history="1">
        <w:r>
          <w:rPr>
            <w:spacing w:val="-1"/>
          </w:rPr>
          <w:t>44</w:t>
        </w:r>
      </w:hyperlink>
      <w:r>
        <w:rPr>
          <w:spacing w:val="48"/>
        </w:rPr>
        <w:t xml:space="preserve"> </w:t>
      </w:r>
      <w:r>
        <w:rPr>
          <w:spacing w:val="-1"/>
        </w:rPr>
        <w:t>(Partial</w:t>
      </w:r>
      <w:r>
        <w:rPr>
          <w:spacing w:val="47"/>
        </w:rPr>
        <w:t xml:space="preserve"> </w:t>
      </w:r>
      <w:r>
        <w:rPr>
          <w:spacing w:val="-1"/>
        </w:rPr>
        <w:t>Termination,</w:t>
      </w:r>
      <w:r>
        <w:rPr>
          <w:spacing w:val="50"/>
        </w:rPr>
        <w:t xml:space="preserve"> </w:t>
      </w:r>
      <w:r>
        <w:rPr>
          <w:spacing w:val="-1"/>
        </w:rPr>
        <w:t>Suspension</w:t>
      </w:r>
      <w:r>
        <w:rPr>
          <w:spacing w:val="48"/>
        </w:rPr>
        <w:t xml:space="preserve"> </w:t>
      </w:r>
      <w:r>
        <w:rPr>
          <w:spacing w:val="-1"/>
        </w:rPr>
        <w:t>and</w:t>
      </w:r>
      <w:r>
        <w:rPr>
          <w:spacing w:val="48"/>
        </w:rPr>
        <w:t xml:space="preserve"> </w:t>
      </w:r>
      <w:r>
        <w:rPr>
          <w:spacing w:val="-1"/>
        </w:rPr>
        <w:t>Partial</w:t>
      </w:r>
      <w:r>
        <w:rPr>
          <w:spacing w:val="24"/>
        </w:rPr>
        <w:t xml:space="preserve"> </w:t>
      </w:r>
      <w:r>
        <w:rPr>
          <w:spacing w:val="-1"/>
        </w:rPr>
        <w:t>Suspension)</w:t>
      </w:r>
      <w:r>
        <w:rPr>
          <w:spacing w:val="50"/>
        </w:rPr>
        <w:t xml:space="preserve"> </w:t>
      </w:r>
      <w:r>
        <w:rPr>
          <w:spacing w:val="-1"/>
        </w:rPr>
        <w:t>shall</w:t>
      </w:r>
      <w:r>
        <w:rPr>
          <w:spacing w:val="47"/>
        </w:rPr>
        <w:t xml:space="preserve"> </w:t>
      </w:r>
      <w:r>
        <w:rPr>
          <w:spacing w:val="-1"/>
        </w:rPr>
        <w:t>apply)</w:t>
      </w:r>
      <w:r>
        <w:rPr>
          <w:spacing w:val="49"/>
        </w:rPr>
        <w:t xml:space="preserve"> </w:t>
      </w:r>
      <w:r>
        <w:rPr>
          <w:spacing w:val="-1"/>
        </w:rPr>
        <w:t>and</w:t>
      </w:r>
      <w:r>
        <w:rPr>
          <w:spacing w:val="48"/>
        </w:rPr>
        <w:t xml:space="preserve"> </w:t>
      </w:r>
      <w:r>
        <w:rPr>
          <w:spacing w:val="-1"/>
        </w:rPr>
        <w:t>step-in</w:t>
      </w:r>
      <w:r>
        <w:rPr>
          <w:spacing w:val="46"/>
        </w:rPr>
        <w:t xml:space="preserve"> </w:t>
      </w:r>
      <w:r>
        <w:t>to</w:t>
      </w:r>
      <w:r>
        <w:rPr>
          <w:spacing w:val="48"/>
        </w:rPr>
        <w:t xml:space="preserve"> </w:t>
      </w:r>
      <w:r>
        <w:rPr>
          <w:spacing w:val="-1"/>
        </w:rPr>
        <w:t>itself</w:t>
      </w:r>
      <w:r>
        <w:rPr>
          <w:spacing w:val="51"/>
        </w:rPr>
        <w:t xml:space="preserve"> </w:t>
      </w:r>
      <w:r>
        <w:rPr>
          <w:spacing w:val="-2"/>
        </w:rPr>
        <w:t>supply</w:t>
      </w:r>
      <w:r>
        <w:rPr>
          <w:spacing w:val="46"/>
        </w:rPr>
        <w:t xml:space="preserve"> </w:t>
      </w:r>
      <w:r>
        <w:rPr>
          <w:spacing w:val="-1"/>
        </w:rPr>
        <w:t>or</w:t>
      </w:r>
      <w:r>
        <w:rPr>
          <w:spacing w:val="22"/>
        </w:rPr>
        <w:t xml:space="preserve"> </w:t>
      </w:r>
      <w:r>
        <w:rPr>
          <w:spacing w:val="-1"/>
        </w:rPr>
        <w:t>procure</w:t>
      </w:r>
      <w:r>
        <w:rPr>
          <w:spacing w:val="22"/>
        </w:rPr>
        <w:t xml:space="preserve"> </w:t>
      </w:r>
      <w:r>
        <w:t>a</w:t>
      </w:r>
      <w:r>
        <w:rPr>
          <w:spacing w:val="24"/>
        </w:rPr>
        <w:t xml:space="preserve"> </w:t>
      </w:r>
      <w:r>
        <w:rPr>
          <w:spacing w:val="-1"/>
        </w:rPr>
        <w:t>third</w:t>
      </w:r>
      <w:r>
        <w:rPr>
          <w:spacing w:val="24"/>
        </w:rPr>
        <w:t xml:space="preserve"> </w:t>
      </w:r>
      <w:r>
        <w:rPr>
          <w:spacing w:val="-1"/>
        </w:rPr>
        <w:t>party</w:t>
      </w:r>
      <w:r>
        <w:rPr>
          <w:spacing w:val="22"/>
        </w:rPr>
        <w:t xml:space="preserve"> </w:t>
      </w:r>
      <w:r>
        <w:t>to</w:t>
      </w:r>
      <w:r>
        <w:rPr>
          <w:spacing w:val="19"/>
        </w:rPr>
        <w:t xml:space="preserve"> </w:t>
      </w:r>
      <w:r>
        <w:rPr>
          <w:spacing w:val="-1"/>
        </w:rPr>
        <w:t>supply</w:t>
      </w:r>
      <w:r>
        <w:rPr>
          <w:spacing w:val="24"/>
        </w:rPr>
        <w:t xml:space="preserve"> </w:t>
      </w:r>
      <w:r>
        <w:rPr>
          <w:spacing w:val="-1"/>
        </w:rPr>
        <w:t>(in</w:t>
      </w:r>
      <w:r>
        <w:rPr>
          <w:spacing w:val="24"/>
        </w:rPr>
        <w:t xml:space="preserve"> </w:t>
      </w:r>
      <w:r>
        <w:rPr>
          <w:spacing w:val="-1"/>
        </w:rPr>
        <w:t>whole</w:t>
      </w:r>
      <w:r>
        <w:rPr>
          <w:spacing w:val="24"/>
        </w:rPr>
        <w:t xml:space="preserve"> </w:t>
      </w:r>
      <w:r>
        <w:rPr>
          <w:spacing w:val="-1"/>
        </w:rPr>
        <w:t>or</w:t>
      </w:r>
      <w:r>
        <w:rPr>
          <w:spacing w:val="26"/>
        </w:rPr>
        <w:t xml:space="preserve"> </w:t>
      </w:r>
      <w:r>
        <w:rPr>
          <w:spacing w:val="-1"/>
        </w:rPr>
        <w:t>in</w:t>
      </w:r>
      <w:r>
        <w:rPr>
          <w:spacing w:val="24"/>
        </w:rPr>
        <w:t xml:space="preserve"> </w:t>
      </w:r>
      <w:r>
        <w:rPr>
          <w:spacing w:val="-1"/>
        </w:rPr>
        <w:t>part)</w:t>
      </w:r>
      <w:r>
        <w:rPr>
          <w:spacing w:val="24"/>
        </w:rPr>
        <w:t xml:space="preserve"> </w:t>
      </w:r>
      <w:r>
        <w:rPr>
          <w:spacing w:val="-1"/>
        </w:rPr>
        <w:t>such</w:t>
      </w:r>
      <w:r>
        <w:rPr>
          <w:spacing w:val="31"/>
        </w:rPr>
        <w:t xml:space="preserve"> </w:t>
      </w:r>
      <w:r>
        <w:rPr>
          <w:spacing w:val="-1"/>
        </w:rPr>
        <w:t>part</w:t>
      </w:r>
      <w:r>
        <w:t xml:space="preserve"> </w:t>
      </w:r>
      <w:r>
        <w:rPr>
          <w:spacing w:val="-2"/>
        </w:rPr>
        <w:t>of</w:t>
      </w:r>
      <w:r>
        <w:rPr>
          <w:spacing w:val="2"/>
        </w:rPr>
        <w:t xml:space="preserve"> </w:t>
      </w:r>
      <w:r>
        <w:t>the</w:t>
      </w:r>
      <w:r>
        <w:rPr>
          <w:spacing w:val="-2"/>
        </w:rPr>
        <w:t xml:space="preserve"> </w:t>
      </w:r>
      <w:r>
        <w:rPr>
          <w:spacing w:val="-1"/>
        </w:rPr>
        <w:t>Good</w:t>
      </w:r>
      <w:r>
        <w:rPr>
          <w:spacing w:val="-2"/>
        </w:rPr>
        <w:t xml:space="preserve"> </w:t>
      </w:r>
      <w:r>
        <w:rPr>
          <w:spacing w:val="-1"/>
        </w:rPr>
        <w:t>and/or</w:t>
      </w:r>
      <w:r>
        <w:rPr>
          <w:spacing w:val="-3"/>
        </w:rPr>
        <w:t xml:space="preserve"> </w:t>
      </w:r>
      <w:r>
        <w:rPr>
          <w:spacing w:val="-1"/>
        </w:rPr>
        <w:t>Services;</w:t>
      </w:r>
    </w:p>
    <w:p w:rsidR="008918FA" w:rsidRDefault="008918FA" w:rsidP="008918FA">
      <w:pPr>
        <w:pStyle w:val="BodyText"/>
        <w:numPr>
          <w:ilvl w:val="2"/>
          <w:numId w:val="66"/>
        </w:numPr>
        <w:tabs>
          <w:tab w:val="left" w:pos="1885"/>
        </w:tabs>
        <w:ind w:left="1884" w:right="113" w:hanging="993"/>
        <w:jc w:val="both"/>
      </w:pPr>
      <w:r>
        <w:rPr>
          <w:spacing w:val="-1"/>
        </w:rPr>
        <w:t>Where</w:t>
      </w:r>
      <w:r>
        <w:rPr>
          <w:spacing w:val="15"/>
        </w:rPr>
        <w:t xml:space="preserve"> </w:t>
      </w:r>
      <w:r>
        <w:t>the</w:t>
      </w:r>
      <w:r>
        <w:rPr>
          <w:spacing w:val="15"/>
        </w:rPr>
        <w:t xml:space="preserve"> </w:t>
      </w:r>
      <w:r>
        <w:rPr>
          <w:spacing w:val="-2"/>
        </w:rPr>
        <w:t>Customer</w:t>
      </w:r>
      <w:r>
        <w:rPr>
          <w:spacing w:val="16"/>
        </w:rPr>
        <w:t xml:space="preserve"> </w:t>
      </w:r>
      <w:r>
        <w:rPr>
          <w:spacing w:val="-1"/>
        </w:rPr>
        <w:t>exercises</w:t>
      </w:r>
      <w:r>
        <w:rPr>
          <w:spacing w:val="15"/>
        </w:rPr>
        <w:t xml:space="preserve"> </w:t>
      </w:r>
      <w:r>
        <w:rPr>
          <w:spacing w:val="-1"/>
        </w:rPr>
        <w:t>any</w:t>
      </w:r>
      <w:r>
        <w:rPr>
          <w:spacing w:val="13"/>
        </w:rPr>
        <w:t xml:space="preserve"> </w:t>
      </w:r>
      <w:r>
        <w:rPr>
          <w:spacing w:val="-1"/>
        </w:rPr>
        <w:t>of</w:t>
      </w:r>
      <w:r>
        <w:rPr>
          <w:spacing w:val="19"/>
        </w:rPr>
        <w:t xml:space="preserve"> </w:t>
      </w:r>
      <w:r>
        <w:rPr>
          <w:spacing w:val="-1"/>
        </w:rPr>
        <w:t>its</w:t>
      </w:r>
      <w:r>
        <w:rPr>
          <w:spacing w:val="15"/>
        </w:rPr>
        <w:t xml:space="preserve"> </w:t>
      </w:r>
      <w:r>
        <w:rPr>
          <w:spacing w:val="-1"/>
        </w:rPr>
        <w:t>step-in</w:t>
      </w:r>
      <w:r>
        <w:rPr>
          <w:spacing w:val="13"/>
        </w:rPr>
        <w:t xml:space="preserve"> </w:t>
      </w:r>
      <w:r>
        <w:rPr>
          <w:spacing w:val="-1"/>
        </w:rPr>
        <w:t>rights</w:t>
      </w:r>
      <w:r>
        <w:rPr>
          <w:spacing w:val="15"/>
        </w:rPr>
        <w:t xml:space="preserve"> </w:t>
      </w:r>
      <w:r>
        <w:rPr>
          <w:spacing w:val="-1"/>
        </w:rPr>
        <w:t>under</w:t>
      </w:r>
      <w:r>
        <w:rPr>
          <w:spacing w:val="17"/>
        </w:rPr>
        <w:t xml:space="preserve"> </w:t>
      </w:r>
      <w:r>
        <w:rPr>
          <w:spacing w:val="-1"/>
        </w:rPr>
        <w:t>Clauses</w:t>
      </w:r>
      <w:r>
        <w:rPr>
          <w:spacing w:val="43"/>
        </w:rPr>
        <w:t xml:space="preserve"> </w:t>
      </w:r>
      <w:hyperlink w:anchor="_bookmark218" w:history="1">
        <w:r>
          <w:rPr>
            <w:spacing w:val="-1"/>
          </w:rPr>
          <w:t>38.1.1(c)(ii)</w:t>
        </w:r>
      </w:hyperlink>
      <w:r>
        <w:rPr>
          <w:spacing w:val="2"/>
        </w:rPr>
        <w:t xml:space="preserve"> </w:t>
      </w:r>
      <w:r>
        <w:rPr>
          <w:spacing w:val="-1"/>
        </w:rPr>
        <w:t xml:space="preserve">or </w:t>
      </w:r>
      <w:hyperlink w:anchor="_bookmark219" w:history="1">
        <w:r>
          <w:rPr>
            <w:spacing w:val="-1"/>
          </w:rPr>
          <w:t>38.1.1(c)(iii),</w:t>
        </w:r>
      </w:hyperlink>
      <w:r>
        <w:rPr>
          <w:spacing w:val="2"/>
        </w:rPr>
        <w:t xml:space="preserve"> </w:t>
      </w:r>
      <w:r>
        <w:t>the</w:t>
      </w:r>
      <w:r>
        <w:rPr>
          <w:spacing w:val="-2"/>
        </w:rPr>
        <w:t xml:space="preserve"> </w:t>
      </w:r>
      <w:r>
        <w:rPr>
          <w:spacing w:val="-1"/>
        </w:rPr>
        <w:t>Customer shall</w:t>
      </w:r>
      <w:r>
        <w:t xml:space="preserve"> </w:t>
      </w:r>
      <w:r>
        <w:rPr>
          <w:spacing w:val="-2"/>
        </w:rPr>
        <w:t>have</w:t>
      </w:r>
      <w:r>
        <w:t xml:space="preserve"> the </w:t>
      </w:r>
      <w:r>
        <w:rPr>
          <w:spacing w:val="-1"/>
        </w:rPr>
        <w:t>right</w:t>
      </w:r>
      <w:r>
        <w:t xml:space="preserve"> to</w:t>
      </w:r>
      <w:r>
        <w:rPr>
          <w:spacing w:val="-2"/>
        </w:rPr>
        <w:t xml:space="preserve"> </w:t>
      </w:r>
      <w:r>
        <w:rPr>
          <w:spacing w:val="-1"/>
        </w:rPr>
        <w:t>charge</w:t>
      </w:r>
      <w:r>
        <w:rPr>
          <w:spacing w:val="31"/>
        </w:rPr>
        <w:t xml:space="preserve"> </w:t>
      </w:r>
      <w:r>
        <w:t>the</w:t>
      </w:r>
      <w:r>
        <w:rPr>
          <w:spacing w:val="60"/>
        </w:rPr>
        <w:t xml:space="preserve"> </w:t>
      </w:r>
      <w:r>
        <w:rPr>
          <w:spacing w:val="-2"/>
        </w:rPr>
        <w:t>Supplier</w:t>
      </w:r>
      <w:r>
        <w:t xml:space="preserve">  for </w:t>
      </w:r>
      <w:r>
        <w:rPr>
          <w:spacing w:val="-1"/>
        </w:rPr>
        <w:t>and</w:t>
      </w:r>
      <w:r>
        <w:rPr>
          <w:spacing w:val="60"/>
        </w:rPr>
        <w:t xml:space="preserve"> </w:t>
      </w:r>
      <w:r>
        <w:rPr>
          <w:spacing w:val="-1"/>
        </w:rPr>
        <w:t>the</w:t>
      </w:r>
      <w:r>
        <w:rPr>
          <w:spacing w:val="60"/>
        </w:rPr>
        <w:t xml:space="preserve"> </w:t>
      </w:r>
      <w:r>
        <w:rPr>
          <w:spacing w:val="-2"/>
        </w:rPr>
        <w:t>Supplier</w:t>
      </w:r>
      <w:r>
        <w:t xml:space="preserve">  </w:t>
      </w:r>
      <w:r>
        <w:rPr>
          <w:spacing w:val="-1"/>
        </w:rPr>
        <w:t>shall</w:t>
      </w:r>
      <w:r>
        <w:rPr>
          <w:spacing w:val="59"/>
        </w:rPr>
        <w:t xml:space="preserve"> </w:t>
      </w:r>
      <w:r>
        <w:rPr>
          <w:spacing w:val="-1"/>
        </w:rPr>
        <w:t>on</w:t>
      </w:r>
      <w:r>
        <w:rPr>
          <w:spacing w:val="2"/>
        </w:rPr>
        <w:t xml:space="preserve"> </w:t>
      </w:r>
      <w:r>
        <w:rPr>
          <w:spacing w:val="-1"/>
        </w:rPr>
        <w:t>demand</w:t>
      </w:r>
      <w:r>
        <w:rPr>
          <w:spacing w:val="60"/>
        </w:rPr>
        <w:t xml:space="preserve"> </w:t>
      </w:r>
      <w:r>
        <w:rPr>
          <w:spacing w:val="-1"/>
        </w:rPr>
        <w:t>pay</w:t>
      </w:r>
      <w:r>
        <w:rPr>
          <w:spacing w:val="58"/>
        </w:rPr>
        <w:t xml:space="preserve"> </w:t>
      </w:r>
      <w:r>
        <w:t>any</w:t>
      </w:r>
      <w:r>
        <w:rPr>
          <w:spacing w:val="59"/>
        </w:rPr>
        <w:t xml:space="preserve"> </w:t>
      </w:r>
      <w:r>
        <w:rPr>
          <w:spacing w:val="-1"/>
        </w:rPr>
        <w:t>costs</w:t>
      </w:r>
      <w:r>
        <w:rPr>
          <w:spacing w:val="69"/>
        </w:rPr>
        <w:t xml:space="preserve"> </w:t>
      </w:r>
      <w:r>
        <w:rPr>
          <w:spacing w:val="-1"/>
        </w:rPr>
        <w:t>reasonably</w:t>
      </w:r>
      <w:r>
        <w:rPr>
          <w:spacing w:val="43"/>
        </w:rPr>
        <w:t xml:space="preserve"> </w:t>
      </w:r>
      <w:r>
        <w:rPr>
          <w:spacing w:val="-1"/>
        </w:rPr>
        <w:t>incurred</w:t>
      </w:r>
      <w:r>
        <w:rPr>
          <w:spacing w:val="45"/>
        </w:rPr>
        <w:t xml:space="preserve"> </w:t>
      </w:r>
      <w:r>
        <w:rPr>
          <w:spacing w:val="-1"/>
        </w:rPr>
        <w:t>by</w:t>
      </w:r>
      <w:r>
        <w:rPr>
          <w:spacing w:val="43"/>
        </w:rPr>
        <w:t xml:space="preserve"> </w:t>
      </w:r>
      <w:r>
        <w:t>the</w:t>
      </w:r>
      <w:r>
        <w:rPr>
          <w:spacing w:val="45"/>
        </w:rPr>
        <w:t xml:space="preserve"> </w:t>
      </w:r>
      <w:r>
        <w:rPr>
          <w:spacing w:val="-1"/>
        </w:rPr>
        <w:t>Customer</w:t>
      </w:r>
      <w:r>
        <w:rPr>
          <w:spacing w:val="44"/>
        </w:rPr>
        <w:t xml:space="preserve"> </w:t>
      </w:r>
      <w:r>
        <w:rPr>
          <w:spacing w:val="-1"/>
        </w:rPr>
        <w:t>(including</w:t>
      </w:r>
      <w:r>
        <w:rPr>
          <w:spacing w:val="47"/>
        </w:rPr>
        <w:t xml:space="preserve"> </w:t>
      </w:r>
      <w:r>
        <w:rPr>
          <w:spacing w:val="-1"/>
        </w:rPr>
        <w:t>any</w:t>
      </w:r>
      <w:r>
        <w:rPr>
          <w:spacing w:val="44"/>
        </w:rPr>
        <w:t xml:space="preserve"> </w:t>
      </w:r>
      <w:r>
        <w:rPr>
          <w:spacing w:val="-1"/>
        </w:rPr>
        <w:t>reasonable</w:t>
      </w:r>
      <w:r>
        <w:rPr>
          <w:spacing w:val="21"/>
        </w:rPr>
        <w:t xml:space="preserve"> </w:t>
      </w:r>
      <w:r>
        <w:rPr>
          <w:spacing w:val="-1"/>
        </w:rPr>
        <w:t>administration</w:t>
      </w:r>
      <w:r>
        <w:rPr>
          <w:spacing w:val="12"/>
        </w:rPr>
        <w:t xml:space="preserve"> </w:t>
      </w:r>
      <w:r>
        <w:rPr>
          <w:spacing w:val="-1"/>
        </w:rPr>
        <w:t>costs)</w:t>
      </w:r>
      <w:r>
        <w:rPr>
          <w:spacing w:val="14"/>
        </w:rPr>
        <w:t xml:space="preserve"> </w:t>
      </w:r>
      <w:r>
        <w:rPr>
          <w:spacing w:val="-1"/>
        </w:rPr>
        <w:t>in</w:t>
      </w:r>
      <w:r>
        <w:rPr>
          <w:spacing w:val="12"/>
        </w:rPr>
        <w:t xml:space="preserve"> </w:t>
      </w:r>
      <w:r>
        <w:rPr>
          <w:spacing w:val="-1"/>
        </w:rPr>
        <w:t>respect</w:t>
      </w:r>
      <w:r>
        <w:rPr>
          <w:spacing w:val="14"/>
        </w:rPr>
        <w:t xml:space="preserve"> </w:t>
      </w:r>
      <w:r>
        <w:rPr>
          <w:spacing w:val="-2"/>
        </w:rPr>
        <w:t>of</w:t>
      </w:r>
      <w:r>
        <w:rPr>
          <w:spacing w:val="14"/>
        </w:rPr>
        <w:t xml:space="preserve"> </w:t>
      </w:r>
      <w:r>
        <w:t>the</w:t>
      </w:r>
      <w:r>
        <w:rPr>
          <w:spacing w:val="12"/>
        </w:rPr>
        <w:t xml:space="preserve"> </w:t>
      </w:r>
      <w:r>
        <w:rPr>
          <w:spacing w:val="-1"/>
        </w:rPr>
        <w:t>supply</w:t>
      </w:r>
      <w:r>
        <w:rPr>
          <w:spacing w:val="10"/>
        </w:rPr>
        <w:t xml:space="preserve"> </w:t>
      </w:r>
      <w:r>
        <w:rPr>
          <w:spacing w:val="-1"/>
        </w:rPr>
        <w:t>of</w:t>
      </w:r>
      <w:r>
        <w:rPr>
          <w:spacing w:val="16"/>
        </w:rPr>
        <w:t xml:space="preserve"> </w:t>
      </w:r>
      <w:r>
        <w:rPr>
          <w:spacing w:val="-2"/>
        </w:rPr>
        <w:t>any</w:t>
      </w:r>
      <w:r>
        <w:rPr>
          <w:spacing w:val="10"/>
        </w:rPr>
        <w:t xml:space="preserve"> </w:t>
      </w:r>
      <w:r>
        <w:rPr>
          <w:spacing w:val="-1"/>
        </w:rPr>
        <w:t>part</w:t>
      </w:r>
      <w:r>
        <w:rPr>
          <w:spacing w:val="14"/>
        </w:rPr>
        <w:t xml:space="preserve"> </w:t>
      </w:r>
      <w:r>
        <w:rPr>
          <w:spacing w:val="-2"/>
        </w:rPr>
        <w:t>of</w:t>
      </w:r>
      <w:r>
        <w:rPr>
          <w:spacing w:val="16"/>
        </w:rPr>
        <w:t xml:space="preserve"> </w:t>
      </w:r>
      <w:r>
        <w:t>the</w:t>
      </w:r>
      <w:r>
        <w:rPr>
          <w:spacing w:val="12"/>
        </w:rPr>
        <w:t xml:space="preserve"> </w:t>
      </w:r>
      <w:r>
        <w:rPr>
          <w:spacing w:val="-1"/>
        </w:rPr>
        <w:t>Goods</w:t>
      </w:r>
      <w:r>
        <w:rPr>
          <w:spacing w:val="30"/>
        </w:rPr>
        <w:t xml:space="preserve"> </w:t>
      </w:r>
      <w:r>
        <w:rPr>
          <w:spacing w:val="-1"/>
        </w:rPr>
        <w:t>and/or</w:t>
      </w:r>
      <w:r>
        <w:rPr>
          <w:spacing w:val="9"/>
        </w:rPr>
        <w:t xml:space="preserve"> </w:t>
      </w:r>
      <w:r>
        <w:rPr>
          <w:spacing w:val="-1"/>
        </w:rPr>
        <w:t>Services</w:t>
      </w:r>
      <w:r>
        <w:rPr>
          <w:spacing w:val="9"/>
        </w:rPr>
        <w:t xml:space="preserve"> </w:t>
      </w:r>
      <w:r>
        <w:rPr>
          <w:spacing w:val="-1"/>
        </w:rPr>
        <w:t>by</w:t>
      </w:r>
      <w:r>
        <w:rPr>
          <w:spacing w:val="5"/>
        </w:rPr>
        <w:t xml:space="preserve"> </w:t>
      </w:r>
      <w:r>
        <w:t>the</w:t>
      </w:r>
      <w:r>
        <w:rPr>
          <w:spacing w:val="7"/>
        </w:rPr>
        <w:t xml:space="preserve"> </w:t>
      </w:r>
      <w:r>
        <w:rPr>
          <w:spacing w:val="-1"/>
        </w:rPr>
        <w:t>Customer</w:t>
      </w:r>
      <w:r>
        <w:rPr>
          <w:spacing w:val="9"/>
        </w:rPr>
        <w:t xml:space="preserve"> </w:t>
      </w:r>
      <w:r>
        <w:rPr>
          <w:spacing w:val="-1"/>
        </w:rPr>
        <w:t>or</w:t>
      </w:r>
      <w:r>
        <w:rPr>
          <w:spacing w:val="9"/>
        </w:rPr>
        <w:t xml:space="preserve"> </w:t>
      </w:r>
      <w:r>
        <w:t>a</w:t>
      </w:r>
      <w:r>
        <w:rPr>
          <w:spacing w:val="7"/>
        </w:rPr>
        <w:t xml:space="preserve"> </w:t>
      </w:r>
      <w:r>
        <w:rPr>
          <w:spacing w:val="-1"/>
        </w:rPr>
        <w:t>third</w:t>
      </w:r>
      <w:r>
        <w:rPr>
          <w:spacing w:val="7"/>
        </w:rPr>
        <w:t xml:space="preserve"> </w:t>
      </w:r>
      <w:r>
        <w:rPr>
          <w:spacing w:val="-1"/>
        </w:rPr>
        <w:t>party</w:t>
      </w:r>
      <w:r>
        <w:rPr>
          <w:spacing w:val="8"/>
        </w:rPr>
        <w:t xml:space="preserve"> </w:t>
      </w:r>
      <w:r>
        <w:rPr>
          <w:spacing w:val="-1"/>
        </w:rPr>
        <w:t>and</w:t>
      </w:r>
      <w:r>
        <w:rPr>
          <w:spacing w:val="7"/>
        </w:rPr>
        <w:t xml:space="preserve"> </w:t>
      </w:r>
      <w:r>
        <w:rPr>
          <w:spacing w:val="-2"/>
        </w:rPr>
        <w:t>provided</w:t>
      </w:r>
      <w:r>
        <w:rPr>
          <w:spacing w:val="7"/>
        </w:rPr>
        <w:t xml:space="preserve"> </w:t>
      </w:r>
      <w:r>
        <w:rPr>
          <w:spacing w:val="-1"/>
        </w:rPr>
        <w:t>that</w:t>
      </w:r>
      <w:r>
        <w:rPr>
          <w:spacing w:val="9"/>
        </w:rPr>
        <w:t xml:space="preserve"> </w:t>
      </w:r>
      <w:r>
        <w:rPr>
          <w:spacing w:val="-1"/>
        </w:rPr>
        <w:t>the</w:t>
      </w:r>
      <w:r>
        <w:rPr>
          <w:spacing w:val="54"/>
        </w:rPr>
        <w:t xml:space="preserve"> </w:t>
      </w:r>
      <w:r>
        <w:rPr>
          <w:spacing w:val="-1"/>
        </w:rPr>
        <w:t>Customer</w:t>
      </w:r>
      <w:r>
        <w:rPr>
          <w:spacing w:val="38"/>
        </w:rPr>
        <w:t xml:space="preserve"> </w:t>
      </w:r>
      <w:r>
        <w:rPr>
          <w:spacing w:val="-1"/>
        </w:rPr>
        <w:t>uses</w:t>
      </w:r>
      <w:r>
        <w:rPr>
          <w:spacing w:val="37"/>
        </w:rPr>
        <w:t xml:space="preserve"> </w:t>
      </w:r>
      <w:r>
        <w:rPr>
          <w:spacing w:val="-1"/>
        </w:rPr>
        <w:t>its</w:t>
      </w:r>
      <w:r>
        <w:rPr>
          <w:spacing w:val="37"/>
        </w:rPr>
        <w:t xml:space="preserve"> </w:t>
      </w:r>
      <w:r>
        <w:rPr>
          <w:spacing w:val="-2"/>
        </w:rPr>
        <w:t>reasonable</w:t>
      </w:r>
      <w:r>
        <w:rPr>
          <w:spacing w:val="36"/>
        </w:rPr>
        <w:t xml:space="preserve"> </w:t>
      </w:r>
      <w:r>
        <w:rPr>
          <w:spacing w:val="-1"/>
        </w:rPr>
        <w:t>endeavours</w:t>
      </w:r>
      <w:r>
        <w:rPr>
          <w:spacing w:val="37"/>
        </w:rPr>
        <w:t xml:space="preserve"> </w:t>
      </w:r>
      <w:r>
        <w:t>to</w:t>
      </w:r>
      <w:r>
        <w:rPr>
          <w:spacing w:val="36"/>
        </w:rPr>
        <w:t xml:space="preserve"> </w:t>
      </w:r>
      <w:r>
        <w:rPr>
          <w:spacing w:val="-1"/>
        </w:rPr>
        <w:t>mitigate</w:t>
      </w:r>
      <w:r>
        <w:rPr>
          <w:spacing w:val="37"/>
        </w:rPr>
        <w:t xml:space="preserve"> </w:t>
      </w:r>
      <w:r>
        <w:rPr>
          <w:spacing w:val="-1"/>
        </w:rPr>
        <w:t>any</w:t>
      </w:r>
      <w:r>
        <w:rPr>
          <w:spacing w:val="34"/>
        </w:rPr>
        <w:t xml:space="preserve"> </w:t>
      </w:r>
      <w:r>
        <w:rPr>
          <w:spacing w:val="-1"/>
        </w:rPr>
        <w:t>additional</w:t>
      </w:r>
      <w:r>
        <w:rPr>
          <w:spacing w:val="57"/>
        </w:rPr>
        <w:t xml:space="preserve"> </w:t>
      </w:r>
      <w:r>
        <w:rPr>
          <w:spacing w:val="-1"/>
        </w:rPr>
        <w:t>expenditure</w:t>
      </w:r>
      <w:r>
        <w:rPr>
          <w:spacing w:val="18"/>
        </w:rPr>
        <w:t xml:space="preserve"> </w:t>
      </w:r>
      <w:r>
        <w:rPr>
          <w:spacing w:val="-1"/>
        </w:rPr>
        <w:t>in</w:t>
      </w:r>
      <w:r>
        <w:rPr>
          <w:spacing w:val="18"/>
        </w:rPr>
        <w:t xml:space="preserve"> </w:t>
      </w:r>
      <w:r>
        <w:rPr>
          <w:spacing w:val="-1"/>
        </w:rPr>
        <w:t>obtaining</w:t>
      </w:r>
      <w:r>
        <w:rPr>
          <w:spacing w:val="22"/>
        </w:rPr>
        <w:t xml:space="preserve"> </w:t>
      </w:r>
      <w:r>
        <w:rPr>
          <w:spacing w:val="-2"/>
        </w:rPr>
        <w:t>Replacement</w:t>
      </w:r>
      <w:r>
        <w:rPr>
          <w:spacing w:val="18"/>
        </w:rPr>
        <w:t xml:space="preserve"> </w:t>
      </w:r>
      <w:r>
        <w:rPr>
          <w:spacing w:val="-1"/>
        </w:rPr>
        <w:t>Goods</w:t>
      </w:r>
      <w:r>
        <w:rPr>
          <w:spacing w:val="17"/>
        </w:rPr>
        <w:t xml:space="preserve"> </w:t>
      </w:r>
      <w:r>
        <w:rPr>
          <w:spacing w:val="-1"/>
        </w:rPr>
        <w:t>and/or</w:t>
      </w:r>
      <w:r>
        <w:rPr>
          <w:spacing w:val="17"/>
        </w:rPr>
        <w:t xml:space="preserve"> </w:t>
      </w:r>
      <w:r>
        <w:rPr>
          <w:spacing w:val="-2"/>
        </w:rPr>
        <w:t>Replacement</w:t>
      </w:r>
      <w:r>
        <w:rPr>
          <w:spacing w:val="55"/>
        </w:rPr>
        <w:t xml:space="preserve"> </w:t>
      </w:r>
      <w:r>
        <w:rPr>
          <w:spacing w:val="-1"/>
        </w:rPr>
        <w:t>Services.</w:t>
      </w:r>
    </w:p>
    <w:p w:rsidR="008918FA" w:rsidRDefault="008918FA" w:rsidP="008918FA">
      <w:pPr>
        <w:pStyle w:val="Heading1"/>
        <w:numPr>
          <w:ilvl w:val="1"/>
          <w:numId w:val="66"/>
        </w:numPr>
        <w:tabs>
          <w:tab w:val="left" w:pos="892"/>
        </w:tabs>
        <w:spacing w:before="119"/>
        <w:ind w:left="891" w:hanging="564"/>
        <w:rPr>
          <w:b w:val="0"/>
          <w:bCs w:val="0"/>
        </w:rPr>
      </w:pPr>
      <w:bookmarkStart w:id="260" w:name="_bookmark220"/>
      <w:bookmarkEnd w:id="260"/>
      <w:r>
        <w:rPr>
          <w:spacing w:val="-1"/>
        </w:rPr>
        <w:t>Rectification</w:t>
      </w:r>
      <w:r>
        <w:t xml:space="preserve"> </w:t>
      </w:r>
      <w:r>
        <w:rPr>
          <w:spacing w:val="-1"/>
        </w:rPr>
        <w:t>Plan</w:t>
      </w:r>
      <w:r>
        <w:t xml:space="preserve"> </w:t>
      </w:r>
      <w:r>
        <w:rPr>
          <w:spacing w:val="-2"/>
        </w:rPr>
        <w:t>Process</w:t>
      </w:r>
    </w:p>
    <w:p w:rsidR="008918FA" w:rsidRDefault="008918FA" w:rsidP="008918FA">
      <w:pPr>
        <w:pStyle w:val="BodyText"/>
        <w:numPr>
          <w:ilvl w:val="2"/>
          <w:numId w:val="66"/>
        </w:numPr>
        <w:tabs>
          <w:tab w:val="left" w:pos="1885"/>
        </w:tabs>
        <w:spacing w:before="121"/>
        <w:ind w:left="1884" w:right="117" w:hanging="993"/>
        <w:jc w:val="both"/>
      </w:pPr>
      <w:r>
        <w:rPr>
          <w:spacing w:val="-1"/>
        </w:rPr>
        <w:t>Where</w:t>
      </w:r>
      <w:r>
        <w:rPr>
          <w:spacing w:val="38"/>
        </w:rPr>
        <w:t xml:space="preserve"> </w:t>
      </w:r>
      <w:r>
        <w:t>the</w:t>
      </w:r>
      <w:r>
        <w:rPr>
          <w:spacing w:val="38"/>
        </w:rPr>
        <w:t xml:space="preserve"> </w:t>
      </w:r>
      <w:r>
        <w:rPr>
          <w:spacing w:val="-1"/>
        </w:rPr>
        <w:t>Customer</w:t>
      </w:r>
      <w:r>
        <w:rPr>
          <w:spacing w:val="40"/>
        </w:rPr>
        <w:t xml:space="preserve"> </w:t>
      </w:r>
      <w:r>
        <w:rPr>
          <w:spacing w:val="-2"/>
        </w:rPr>
        <w:t>has</w:t>
      </w:r>
      <w:r>
        <w:rPr>
          <w:spacing w:val="39"/>
        </w:rPr>
        <w:t xml:space="preserve"> </w:t>
      </w:r>
      <w:r>
        <w:rPr>
          <w:spacing w:val="-1"/>
        </w:rPr>
        <w:t>instructed</w:t>
      </w:r>
      <w:r>
        <w:rPr>
          <w:spacing w:val="36"/>
        </w:rPr>
        <w:t xml:space="preserve"> </w:t>
      </w:r>
      <w:r>
        <w:t>the</w:t>
      </w:r>
      <w:r>
        <w:rPr>
          <w:spacing w:val="39"/>
        </w:rPr>
        <w:t xml:space="preserve"> </w:t>
      </w:r>
      <w:r>
        <w:rPr>
          <w:spacing w:val="-1"/>
        </w:rPr>
        <w:t>Supplier</w:t>
      </w:r>
      <w:r>
        <w:rPr>
          <w:spacing w:val="41"/>
        </w:rPr>
        <w:t xml:space="preserve"> </w:t>
      </w:r>
      <w:r>
        <w:t>to</w:t>
      </w:r>
      <w:r>
        <w:rPr>
          <w:spacing w:val="38"/>
        </w:rPr>
        <w:t xml:space="preserve"> </w:t>
      </w:r>
      <w:r>
        <w:rPr>
          <w:spacing w:val="-1"/>
        </w:rPr>
        <w:t>comply</w:t>
      </w:r>
      <w:r>
        <w:rPr>
          <w:spacing w:val="39"/>
        </w:rPr>
        <w:t xml:space="preserve"> </w:t>
      </w:r>
      <w:r>
        <w:rPr>
          <w:spacing w:val="-2"/>
        </w:rPr>
        <w:t>with</w:t>
      </w:r>
      <w:r>
        <w:rPr>
          <w:spacing w:val="39"/>
        </w:rPr>
        <w:t xml:space="preserve"> </w:t>
      </w:r>
      <w:r>
        <w:rPr>
          <w:spacing w:val="-1"/>
        </w:rPr>
        <w:t>the</w:t>
      </w:r>
      <w:r>
        <w:rPr>
          <w:spacing w:val="44"/>
        </w:rPr>
        <w:t xml:space="preserve"> </w:t>
      </w:r>
      <w:r>
        <w:rPr>
          <w:spacing w:val="-1"/>
        </w:rPr>
        <w:t>Rectification</w:t>
      </w:r>
      <w:r>
        <w:t xml:space="preserve"> </w:t>
      </w:r>
      <w:r>
        <w:rPr>
          <w:spacing w:val="-1"/>
        </w:rPr>
        <w:t>Plan</w:t>
      </w:r>
      <w:r>
        <w:t xml:space="preserve"> </w:t>
      </w:r>
      <w:r>
        <w:rPr>
          <w:spacing w:val="-2"/>
        </w:rPr>
        <w:t>Process</w:t>
      </w:r>
      <w:r>
        <w:rPr>
          <w:spacing w:val="2"/>
        </w:rPr>
        <w:t xml:space="preserve"> </w:t>
      </w:r>
      <w:r>
        <w:rPr>
          <w:spacing w:val="-1"/>
        </w:rPr>
        <w:t>pursuant</w:t>
      </w:r>
      <w:r>
        <w:t xml:space="preserve"> to</w:t>
      </w:r>
      <w:r>
        <w:rPr>
          <w:spacing w:val="-2"/>
        </w:rPr>
        <w:t xml:space="preserve"> Clause</w:t>
      </w:r>
      <w:r>
        <w:rPr>
          <w:spacing w:val="2"/>
        </w:rPr>
        <w:t xml:space="preserve"> </w:t>
      </w:r>
      <w:hyperlink w:anchor="_bookmark217" w:history="1">
        <w:r>
          <w:rPr>
            <w:spacing w:val="-1"/>
          </w:rPr>
          <w:t>38.1.1(c)(i)</w:t>
        </w:r>
      </w:hyperlink>
      <w:r>
        <w:rPr>
          <w:spacing w:val="-1"/>
        </w:rPr>
        <w:t>:</w:t>
      </w:r>
    </w:p>
    <w:p w:rsidR="008918FA" w:rsidRDefault="008918FA" w:rsidP="008918FA">
      <w:pPr>
        <w:pStyle w:val="BodyText"/>
        <w:numPr>
          <w:ilvl w:val="3"/>
          <w:numId w:val="66"/>
        </w:numPr>
        <w:tabs>
          <w:tab w:val="left" w:pos="2593"/>
        </w:tabs>
        <w:spacing w:before="121"/>
        <w:ind w:left="2592" w:right="115"/>
        <w:jc w:val="both"/>
      </w:pPr>
      <w:bookmarkStart w:id="261" w:name="_bookmark221"/>
      <w:bookmarkEnd w:id="261"/>
      <w:r>
        <w:t>the</w:t>
      </w:r>
      <w:r>
        <w:rPr>
          <w:spacing w:val="23"/>
        </w:rPr>
        <w:t xml:space="preserve"> </w:t>
      </w:r>
      <w:r>
        <w:rPr>
          <w:spacing w:val="-2"/>
        </w:rPr>
        <w:t>Supplier</w:t>
      </w:r>
      <w:r>
        <w:rPr>
          <w:spacing w:val="24"/>
        </w:rPr>
        <w:t xml:space="preserve"> </w:t>
      </w:r>
      <w:r>
        <w:rPr>
          <w:spacing w:val="-1"/>
        </w:rPr>
        <w:t>shall</w:t>
      </w:r>
      <w:r>
        <w:rPr>
          <w:spacing w:val="22"/>
        </w:rPr>
        <w:t xml:space="preserve"> </w:t>
      </w:r>
      <w:r>
        <w:rPr>
          <w:spacing w:val="-1"/>
        </w:rPr>
        <w:t>submit</w:t>
      </w:r>
      <w:r>
        <w:rPr>
          <w:spacing w:val="25"/>
        </w:rPr>
        <w:t xml:space="preserve"> </w:t>
      </w:r>
      <w:r>
        <w:t>a</w:t>
      </w:r>
      <w:r>
        <w:rPr>
          <w:spacing w:val="23"/>
        </w:rPr>
        <w:t xml:space="preserve"> </w:t>
      </w:r>
      <w:r>
        <w:rPr>
          <w:spacing w:val="-1"/>
        </w:rPr>
        <w:t>draft</w:t>
      </w:r>
      <w:r>
        <w:rPr>
          <w:spacing w:val="25"/>
        </w:rPr>
        <w:t xml:space="preserve"> </w:t>
      </w:r>
      <w:r>
        <w:rPr>
          <w:spacing w:val="-1"/>
        </w:rPr>
        <w:t>Rectification</w:t>
      </w:r>
      <w:r>
        <w:rPr>
          <w:spacing w:val="23"/>
        </w:rPr>
        <w:t xml:space="preserve"> </w:t>
      </w:r>
      <w:r>
        <w:rPr>
          <w:spacing w:val="-1"/>
        </w:rPr>
        <w:t>Plan</w:t>
      </w:r>
      <w:r>
        <w:rPr>
          <w:spacing w:val="23"/>
        </w:rPr>
        <w:t xml:space="preserve"> </w:t>
      </w:r>
      <w:r>
        <w:t>to</w:t>
      </w:r>
      <w:r>
        <w:rPr>
          <w:spacing w:val="21"/>
        </w:rPr>
        <w:t xml:space="preserve"> </w:t>
      </w:r>
      <w:r>
        <w:rPr>
          <w:spacing w:val="-1"/>
        </w:rPr>
        <w:t>the</w:t>
      </w:r>
      <w:r>
        <w:rPr>
          <w:spacing w:val="22"/>
        </w:rPr>
        <w:t xml:space="preserve"> </w:t>
      </w:r>
      <w:r>
        <w:rPr>
          <w:spacing w:val="-1"/>
        </w:rPr>
        <w:t>Customer</w:t>
      </w:r>
      <w:r>
        <w:rPr>
          <w:spacing w:val="11"/>
        </w:rPr>
        <w:t xml:space="preserve"> </w:t>
      </w:r>
      <w:r>
        <w:t>for</w:t>
      </w:r>
      <w:r>
        <w:rPr>
          <w:spacing w:val="14"/>
        </w:rPr>
        <w:t xml:space="preserve"> </w:t>
      </w:r>
      <w:r>
        <w:rPr>
          <w:spacing w:val="-1"/>
        </w:rPr>
        <w:t>it</w:t>
      </w:r>
      <w:r>
        <w:rPr>
          <w:spacing w:val="14"/>
        </w:rPr>
        <w:t xml:space="preserve"> </w:t>
      </w:r>
      <w:r>
        <w:t>to</w:t>
      </w:r>
      <w:r>
        <w:rPr>
          <w:spacing w:val="12"/>
        </w:rPr>
        <w:t xml:space="preserve"> </w:t>
      </w:r>
      <w:r>
        <w:rPr>
          <w:spacing w:val="-2"/>
        </w:rPr>
        <w:t>review</w:t>
      </w:r>
      <w:r>
        <w:rPr>
          <w:spacing w:val="12"/>
        </w:rPr>
        <w:t xml:space="preserve"> </w:t>
      </w:r>
      <w:r>
        <w:rPr>
          <w:spacing w:val="-1"/>
        </w:rPr>
        <w:t>as</w:t>
      </w:r>
      <w:r>
        <w:rPr>
          <w:spacing w:val="13"/>
        </w:rPr>
        <w:t xml:space="preserve"> </w:t>
      </w:r>
      <w:r>
        <w:rPr>
          <w:spacing w:val="-1"/>
        </w:rPr>
        <w:t>soon</w:t>
      </w:r>
      <w:r>
        <w:rPr>
          <w:spacing w:val="12"/>
        </w:rPr>
        <w:t xml:space="preserve"> </w:t>
      </w:r>
      <w:r>
        <w:rPr>
          <w:spacing w:val="-1"/>
        </w:rPr>
        <w:t>as</w:t>
      </w:r>
      <w:r>
        <w:rPr>
          <w:spacing w:val="13"/>
        </w:rPr>
        <w:t xml:space="preserve"> </w:t>
      </w:r>
      <w:r>
        <w:rPr>
          <w:spacing w:val="-1"/>
        </w:rPr>
        <w:t>possible</w:t>
      </w:r>
      <w:r>
        <w:rPr>
          <w:spacing w:val="12"/>
        </w:rPr>
        <w:t xml:space="preserve"> </w:t>
      </w:r>
      <w:r>
        <w:rPr>
          <w:spacing w:val="-1"/>
        </w:rPr>
        <w:t>and</w:t>
      </w:r>
      <w:r>
        <w:rPr>
          <w:spacing w:val="12"/>
        </w:rPr>
        <w:t xml:space="preserve"> </w:t>
      </w:r>
      <w:r>
        <w:rPr>
          <w:spacing w:val="-1"/>
        </w:rPr>
        <w:t>in</w:t>
      </w:r>
      <w:r>
        <w:rPr>
          <w:spacing w:val="12"/>
        </w:rPr>
        <w:t xml:space="preserve"> </w:t>
      </w:r>
      <w:r>
        <w:rPr>
          <w:spacing w:val="-1"/>
        </w:rPr>
        <w:t>any</w:t>
      </w:r>
      <w:r>
        <w:rPr>
          <w:spacing w:val="10"/>
        </w:rPr>
        <w:t xml:space="preserve"> </w:t>
      </w:r>
      <w:r>
        <w:rPr>
          <w:spacing w:val="-1"/>
        </w:rPr>
        <w:t>event</w:t>
      </w:r>
      <w:r>
        <w:rPr>
          <w:spacing w:val="28"/>
        </w:rPr>
        <w:t xml:space="preserve"> </w:t>
      </w:r>
      <w:r>
        <w:rPr>
          <w:spacing w:val="-1"/>
        </w:rPr>
        <w:t>within</w:t>
      </w:r>
      <w:r>
        <w:rPr>
          <w:spacing w:val="8"/>
        </w:rPr>
        <w:t xml:space="preserve"> </w:t>
      </w:r>
      <w:r>
        <w:t>the</w:t>
      </w:r>
      <w:r>
        <w:rPr>
          <w:spacing w:val="7"/>
        </w:rPr>
        <w:t xml:space="preserve"> </w:t>
      </w:r>
      <w:r>
        <w:rPr>
          <w:spacing w:val="-1"/>
        </w:rPr>
        <w:t>number</w:t>
      </w:r>
      <w:r>
        <w:rPr>
          <w:spacing w:val="9"/>
        </w:rPr>
        <w:t xml:space="preserve"> </w:t>
      </w:r>
      <w:r>
        <w:rPr>
          <w:spacing w:val="-2"/>
        </w:rPr>
        <w:t>of</w:t>
      </w:r>
      <w:r>
        <w:rPr>
          <w:spacing w:val="2"/>
        </w:rPr>
        <w:t xml:space="preserve"> </w:t>
      </w:r>
      <w:r>
        <w:rPr>
          <w:spacing w:val="-1"/>
        </w:rPr>
        <w:t>Working</w:t>
      </w:r>
      <w:r>
        <w:rPr>
          <w:spacing w:val="7"/>
        </w:rPr>
        <w:t xml:space="preserve"> </w:t>
      </w:r>
      <w:r>
        <w:rPr>
          <w:spacing w:val="-2"/>
        </w:rPr>
        <w:t>Days</w:t>
      </w:r>
      <w:r>
        <w:rPr>
          <w:spacing w:val="8"/>
        </w:rPr>
        <w:t xml:space="preserve"> </w:t>
      </w:r>
      <w:r>
        <w:rPr>
          <w:spacing w:val="-1"/>
        </w:rPr>
        <w:t>specified</w:t>
      </w:r>
      <w:r>
        <w:rPr>
          <w:spacing w:val="7"/>
        </w:rPr>
        <w:t xml:space="preserve"> </w:t>
      </w:r>
      <w:r>
        <w:rPr>
          <w:spacing w:val="-1"/>
        </w:rPr>
        <w:t>in</w:t>
      </w:r>
      <w:r>
        <w:rPr>
          <w:spacing w:val="7"/>
        </w:rPr>
        <w:t xml:space="preserve"> </w:t>
      </w:r>
      <w:r>
        <w:rPr>
          <w:spacing w:val="-1"/>
        </w:rPr>
        <w:t>the</w:t>
      </w:r>
      <w:r>
        <w:rPr>
          <w:spacing w:val="7"/>
        </w:rPr>
        <w:t xml:space="preserve"> </w:t>
      </w:r>
      <w:r>
        <w:rPr>
          <w:spacing w:val="-1"/>
        </w:rPr>
        <w:t>Order</w:t>
      </w:r>
      <w:r>
        <w:rPr>
          <w:spacing w:val="9"/>
        </w:rPr>
        <w:t xml:space="preserve"> </w:t>
      </w:r>
      <w:r>
        <w:rPr>
          <w:spacing w:val="-1"/>
        </w:rPr>
        <w:t>Form</w:t>
      </w:r>
      <w:r>
        <w:rPr>
          <w:spacing w:val="23"/>
        </w:rPr>
        <w:t xml:space="preserve"> </w:t>
      </w:r>
      <w:r>
        <w:rPr>
          <w:spacing w:val="-1"/>
        </w:rPr>
        <w:t>or</w:t>
      </w:r>
      <w:r>
        <w:rPr>
          <w:spacing w:val="23"/>
        </w:rPr>
        <w:t xml:space="preserve"> </w:t>
      </w:r>
      <w:r>
        <w:rPr>
          <w:spacing w:val="-2"/>
        </w:rPr>
        <w:t>elsewhere</w:t>
      </w:r>
      <w:r>
        <w:rPr>
          <w:spacing w:val="22"/>
        </w:rPr>
        <w:t xml:space="preserve"> </w:t>
      </w:r>
      <w:r>
        <w:rPr>
          <w:spacing w:val="-1"/>
        </w:rPr>
        <w:t>in</w:t>
      </w:r>
      <w:r>
        <w:rPr>
          <w:spacing w:val="22"/>
        </w:rPr>
        <w:t xml:space="preserve"> </w:t>
      </w:r>
      <w:r>
        <w:rPr>
          <w:spacing w:val="-1"/>
        </w:rPr>
        <w:t>this</w:t>
      </w:r>
      <w:r>
        <w:rPr>
          <w:spacing w:val="22"/>
        </w:rPr>
        <w:t xml:space="preserve"> </w:t>
      </w:r>
      <w:r>
        <w:rPr>
          <w:spacing w:val="-2"/>
        </w:rPr>
        <w:t>Call</w:t>
      </w:r>
      <w:r>
        <w:rPr>
          <w:spacing w:val="24"/>
        </w:rPr>
        <w:t xml:space="preserve"> </w:t>
      </w:r>
      <w:r>
        <w:rPr>
          <w:spacing w:val="-1"/>
        </w:rPr>
        <w:t>Off</w:t>
      </w:r>
      <w:r>
        <w:rPr>
          <w:spacing w:val="23"/>
        </w:rPr>
        <w:t xml:space="preserve"> </w:t>
      </w:r>
      <w:r>
        <w:rPr>
          <w:spacing w:val="-2"/>
        </w:rPr>
        <w:t>Contract</w:t>
      </w:r>
      <w:r>
        <w:rPr>
          <w:spacing w:val="25"/>
        </w:rPr>
        <w:t xml:space="preserve"> </w:t>
      </w:r>
      <w:r>
        <w:rPr>
          <w:spacing w:val="-1"/>
        </w:rPr>
        <w:t>(or</w:t>
      </w:r>
      <w:r>
        <w:rPr>
          <w:spacing w:val="23"/>
        </w:rPr>
        <w:t xml:space="preserve"> </w:t>
      </w:r>
      <w:r>
        <w:rPr>
          <w:spacing w:val="-1"/>
        </w:rPr>
        <w:t>such</w:t>
      </w:r>
      <w:r>
        <w:rPr>
          <w:spacing w:val="22"/>
        </w:rPr>
        <w:t xml:space="preserve"> </w:t>
      </w:r>
      <w:r>
        <w:rPr>
          <w:spacing w:val="-1"/>
        </w:rPr>
        <w:t>other</w:t>
      </w:r>
      <w:r>
        <w:rPr>
          <w:spacing w:val="23"/>
        </w:rPr>
        <w:t xml:space="preserve"> </w:t>
      </w:r>
      <w:r>
        <w:rPr>
          <w:spacing w:val="-2"/>
        </w:rPr>
        <w:t>period</w:t>
      </w:r>
      <w:r>
        <w:rPr>
          <w:spacing w:val="22"/>
        </w:rPr>
        <w:t xml:space="preserve"> </w:t>
      </w:r>
      <w:r>
        <w:rPr>
          <w:spacing w:val="-1"/>
        </w:rPr>
        <w:t>as</w:t>
      </w:r>
      <w:r>
        <w:rPr>
          <w:spacing w:val="60"/>
        </w:rPr>
        <w:t xml:space="preserve"> </w:t>
      </w:r>
      <w:r>
        <w:rPr>
          <w:spacing w:val="-1"/>
        </w:rPr>
        <w:t>may</w:t>
      </w:r>
      <w:r>
        <w:rPr>
          <w:spacing w:val="55"/>
        </w:rPr>
        <w:t xml:space="preserve"> </w:t>
      </w:r>
      <w:r>
        <w:rPr>
          <w:spacing w:val="-1"/>
        </w:rPr>
        <w:t>be</w:t>
      </w:r>
      <w:r>
        <w:rPr>
          <w:spacing w:val="57"/>
        </w:rPr>
        <w:t xml:space="preserve"> </w:t>
      </w:r>
      <w:r>
        <w:rPr>
          <w:spacing w:val="-1"/>
        </w:rPr>
        <w:t>agreed</w:t>
      </w:r>
      <w:r>
        <w:rPr>
          <w:spacing w:val="57"/>
        </w:rPr>
        <w:t xml:space="preserve"> </w:t>
      </w:r>
      <w:r>
        <w:rPr>
          <w:spacing w:val="-1"/>
        </w:rPr>
        <w:t>between</w:t>
      </w:r>
      <w:r>
        <w:rPr>
          <w:spacing w:val="57"/>
        </w:rPr>
        <w:t xml:space="preserve"> </w:t>
      </w:r>
      <w:r>
        <w:t>the</w:t>
      </w:r>
      <w:r>
        <w:rPr>
          <w:spacing w:val="57"/>
        </w:rPr>
        <w:t xml:space="preserve"> </w:t>
      </w:r>
      <w:r>
        <w:rPr>
          <w:spacing w:val="-1"/>
        </w:rPr>
        <w:t>Parties)</w:t>
      </w:r>
      <w:r>
        <w:rPr>
          <w:spacing w:val="56"/>
        </w:rPr>
        <w:t xml:space="preserve"> </w:t>
      </w:r>
      <w:r>
        <w:rPr>
          <w:spacing w:val="-1"/>
        </w:rPr>
        <w:t>from</w:t>
      </w:r>
      <w:r>
        <w:rPr>
          <w:spacing w:val="56"/>
        </w:rPr>
        <w:t xml:space="preserve"> </w:t>
      </w:r>
      <w:r>
        <w:t>the</w:t>
      </w:r>
      <w:r>
        <w:rPr>
          <w:spacing w:val="57"/>
        </w:rPr>
        <w:t xml:space="preserve"> </w:t>
      </w:r>
      <w:r>
        <w:rPr>
          <w:spacing w:val="-1"/>
        </w:rPr>
        <w:t>date</w:t>
      </w:r>
      <w:r>
        <w:rPr>
          <w:spacing w:val="54"/>
        </w:rPr>
        <w:t xml:space="preserve"> </w:t>
      </w:r>
      <w:r>
        <w:rPr>
          <w:spacing w:val="-2"/>
        </w:rPr>
        <w:t>of</w:t>
      </w:r>
      <w:r>
        <w:rPr>
          <w:spacing w:val="25"/>
        </w:rPr>
        <w:t xml:space="preserve"> </w:t>
      </w:r>
      <w:r>
        <w:rPr>
          <w:spacing w:val="-1"/>
        </w:rPr>
        <w:t>Customer’s</w:t>
      </w:r>
      <w:r>
        <w:rPr>
          <w:spacing w:val="12"/>
        </w:rPr>
        <w:t xml:space="preserve"> </w:t>
      </w:r>
      <w:r>
        <w:rPr>
          <w:spacing w:val="-1"/>
        </w:rPr>
        <w:t>instructions.</w:t>
      </w:r>
      <w:r>
        <w:rPr>
          <w:spacing w:val="23"/>
        </w:rPr>
        <w:t xml:space="preserve"> </w:t>
      </w:r>
      <w:r>
        <w:t>The</w:t>
      </w:r>
      <w:r>
        <w:rPr>
          <w:spacing w:val="11"/>
        </w:rPr>
        <w:t xml:space="preserve"> </w:t>
      </w:r>
      <w:r>
        <w:rPr>
          <w:spacing w:val="-2"/>
        </w:rPr>
        <w:t>Supplier</w:t>
      </w:r>
      <w:r>
        <w:rPr>
          <w:spacing w:val="13"/>
        </w:rPr>
        <w:t xml:space="preserve"> </w:t>
      </w:r>
      <w:r>
        <w:rPr>
          <w:spacing w:val="-1"/>
        </w:rPr>
        <w:t>shall</w:t>
      </w:r>
      <w:r>
        <w:rPr>
          <w:spacing w:val="11"/>
        </w:rPr>
        <w:t xml:space="preserve"> </w:t>
      </w:r>
      <w:r>
        <w:rPr>
          <w:spacing w:val="-1"/>
        </w:rPr>
        <w:t>submit</w:t>
      </w:r>
      <w:r>
        <w:rPr>
          <w:spacing w:val="13"/>
        </w:rPr>
        <w:t xml:space="preserve"> </w:t>
      </w:r>
      <w:r>
        <w:t>a</w:t>
      </w:r>
      <w:r>
        <w:rPr>
          <w:spacing w:val="11"/>
        </w:rPr>
        <w:t xml:space="preserve"> </w:t>
      </w:r>
      <w:r>
        <w:rPr>
          <w:spacing w:val="-1"/>
        </w:rPr>
        <w:t>draft</w:t>
      </w:r>
      <w:r>
        <w:rPr>
          <w:spacing w:val="37"/>
        </w:rPr>
        <w:t xml:space="preserve"> </w:t>
      </w:r>
      <w:r>
        <w:rPr>
          <w:spacing w:val="-1"/>
        </w:rPr>
        <w:t>Rectification</w:t>
      </w:r>
      <w:r>
        <w:rPr>
          <w:spacing w:val="35"/>
        </w:rPr>
        <w:t xml:space="preserve"> </w:t>
      </w:r>
      <w:r>
        <w:rPr>
          <w:spacing w:val="-1"/>
        </w:rPr>
        <w:t>Plan</w:t>
      </w:r>
      <w:r>
        <w:rPr>
          <w:spacing w:val="35"/>
        </w:rPr>
        <w:t xml:space="preserve"> </w:t>
      </w:r>
      <w:r>
        <w:rPr>
          <w:spacing w:val="-2"/>
        </w:rPr>
        <w:t>even</w:t>
      </w:r>
      <w:r>
        <w:rPr>
          <w:spacing w:val="35"/>
        </w:rPr>
        <w:t xml:space="preserve"> </w:t>
      </w:r>
      <w:r>
        <w:rPr>
          <w:spacing w:val="-1"/>
        </w:rPr>
        <w:t>if</w:t>
      </w:r>
      <w:r>
        <w:rPr>
          <w:spacing w:val="36"/>
        </w:rPr>
        <w:t xml:space="preserve"> </w:t>
      </w:r>
      <w:r>
        <w:t>the</w:t>
      </w:r>
      <w:r>
        <w:rPr>
          <w:spacing w:val="35"/>
        </w:rPr>
        <w:t xml:space="preserve"> </w:t>
      </w:r>
      <w:r>
        <w:rPr>
          <w:spacing w:val="-2"/>
        </w:rPr>
        <w:t>Supplier</w:t>
      </w:r>
      <w:r>
        <w:rPr>
          <w:spacing w:val="36"/>
        </w:rPr>
        <w:t xml:space="preserve"> </w:t>
      </w:r>
      <w:r>
        <w:rPr>
          <w:spacing w:val="-2"/>
        </w:rPr>
        <w:t>disputes</w:t>
      </w:r>
      <w:r>
        <w:rPr>
          <w:spacing w:val="36"/>
        </w:rPr>
        <w:t xml:space="preserve"> </w:t>
      </w:r>
      <w:r>
        <w:rPr>
          <w:spacing w:val="-1"/>
        </w:rPr>
        <w:t>that</w:t>
      </w:r>
      <w:r>
        <w:rPr>
          <w:spacing w:val="34"/>
        </w:rPr>
        <w:t xml:space="preserve"> </w:t>
      </w:r>
      <w:r>
        <w:rPr>
          <w:spacing w:val="-1"/>
        </w:rPr>
        <w:t>it</w:t>
      </w:r>
      <w:r>
        <w:rPr>
          <w:spacing w:val="36"/>
        </w:rPr>
        <w:t xml:space="preserve"> </w:t>
      </w:r>
      <w:r>
        <w:rPr>
          <w:spacing w:val="-1"/>
        </w:rPr>
        <w:t>is</w:t>
      </w:r>
      <w:r>
        <w:rPr>
          <w:spacing w:val="47"/>
        </w:rPr>
        <w:t xml:space="preserve"> </w:t>
      </w:r>
      <w:r>
        <w:rPr>
          <w:spacing w:val="-1"/>
        </w:rPr>
        <w:t>responsible</w:t>
      </w:r>
      <w:r>
        <w:rPr>
          <w:spacing w:val="-2"/>
        </w:rPr>
        <w:t xml:space="preserve"> </w:t>
      </w:r>
      <w:r>
        <w:t>for</w:t>
      </w:r>
      <w:r>
        <w:rPr>
          <w:spacing w:val="2"/>
        </w:rPr>
        <w:t xml:space="preserve"> </w:t>
      </w:r>
      <w:r>
        <w:t xml:space="preserve">the </w:t>
      </w:r>
      <w:r>
        <w:rPr>
          <w:spacing w:val="-2"/>
        </w:rPr>
        <w:t>Default</w:t>
      </w:r>
      <w:r>
        <w:rPr>
          <w:spacing w:val="2"/>
        </w:rPr>
        <w:t xml:space="preserve"> </w:t>
      </w:r>
      <w:r>
        <w:rPr>
          <w:spacing w:val="-1"/>
        </w:rPr>
        <w:t>giving</w:t>
      </w:r>
      <w:r>
        <w:rPr>
          <w:spacing w:val="3"/>
        </w:rPr>
        <w:t xml:space="preserve"> </w:t>
      </w:r>
      <w:r>
        <w:rPr>
          <w:spacing w:val="-1"/>
        </w:rPr>
        <w:t>rise</w:t>
      </w:r>
      <w:r>
        <w:rPr>
          <w:spacing w:val="1"/>
        </w:rPr>
        <w:t xml:space="preserve"> </w:t>
      </w:r>
      <w:r>
        <w:t xml:space="preserve">to the </w:t>
      </w:r>
      <w:r>
        <w:rPr>
          <w:spacing w:val="-2"/>
        </w:rPr>
        <w:t>Customer’s</w:t>
      </w:r>
      <w:r>
        <w:rPr>
          <w:spacing w:val="1"/>
        </w:rPr>
        <w:t xml:space="preserve"> </w:t>
      </w:r>
      <w:r>
        <w:rPr>
          <w:spacing w:val="-1"/>
        </w:rPr>
        <w:t>request</w:t>
      </w:r>
      <w:r>
        <w:rPr>
          <w:spacing w:val="41"/>
        </w:rPr>
        <w:t xml:space="preserve"> </w:t>
      </w:r>
      <w:r>
        <w:t>for</w:t>
      </w:r>
      <w:r>
        <w:rPr>
          <w:spacing w:val="-1"/>
        </w:rPr>
        <w:t xml:space="preserve"> </w:t>
      </w:r>
      <w:r>
        <w:t xml:space="preserve">a </w:t>
      </w:r>
      <w:r>
        <w:rPr>
          <w:spacing w:val="-1"/>
        </w:rPr>
        <w:t>draft</w:t>
      </w:r>
      <w:r>
        <w:rPr>
          <w:spacing w:val="2"/>
        </w:rPr>
        <w:t xml:space="preserve"> </w:t>
      </w:r>
      <w:r>
        <w:rPr>
          <w:spacing w:val="-1"/>
        </w:rPr>
        <w:t>Rectification</w:t>
      </w:r>
      <w:r>
        <w:t xml:space="preserve"> </w:t>
      </w:r>
      <w:r>
        <w:rPr>
          <w:spacing w:val="-2"/>
        </w:rPr>
        <w:t>Plan.</w:t>
      </w:r>
    </w:p>
    <w:p w:rsidR="008918FA" w:rsidRDefault="008918FA" w:rsidP="008918FA">
      <w:pPr>
        <w:pStyle w:val="BodyText"/>
        <w:numPr>
          <w:ilvl w:val="3"/>
          <w:numId w:val="66"/>
        </w:numPr>
        <w:tabs>
          <w:tab w:val="left" w:pos="2593"/>
        </w:tabs>
        <w:ind w:left="2592"/>
      </w:pPr>
      <w:r>
        <w:t xml:space="preserve">the </w:t>
      </w:r>
      <w:r>
        <w:rPr>
          <w:spacing w:val="-1"/>
        </w:rPr>
        <w:t>draft</w:t>
      </w:r>
      <w:r>
        <w:rPr>
          <w:spacing w:val="2"/>
        </w:rPr>
        <w:t xml:space="preserve"> </w:t>
      </w:r>
      <w:r>
        <w:rPr>
          <w:spacing w:val="-1"/>
        </w:rPr>
        <w:t>Rectification</w:t>
      </w:r>
      <w:r>
        <w:t xml:space="preserve"> </w:t>
      </w:r>
      <w:r>
        <w:rPr>
          <w:spacing w:val="-2"/>
        </w:rPr>
        <w:t>Plan</w:t>
      </w:r>
      <w:r>
        <w:t xml:space="preserve"> </w:t>
      </w:r>
      <w:r>
        <w:rPr>
          <w:spacing w:val="-1"/>
        </w:rPr>
        <w:t>shall</w:t>
      </w:r>
      <w:r>
        <w:t xml:space="preserve"> </w:t>
      </w:r>
      <w:r>
        <w:rPr>
          <w:spacing w:val="-1"/>
        </w:rPr>
        <w:t>set</w:t>
      </w:r>
      <w:r>
        <w:t xml:space="preserve"> </w:t>
      </w:r>
      <w:r>
        <w:rPr>
          <w:spacing w:val="-1"/>
        </w:rPr>
        <w:t>out:</w:t>
      </w:r>
    </w:p>
    <w:p w:rsidR="008918FA" w:rsidRDefault="008918FA" w:rsidP="008918FA">
      <w:pPr>
        <w:pStyle w:val="BodyText"/>
        <w:numPr>
          <w:ilvl w:val="4"/>
          <w:numId w:val="66"/>
        </w:numPr>
        <w:tabs>
          <w:tab w:val="left" w:pos="3161"/>
        </w:tabs>
        <w:spacing w:before="121"/>
        <w:ind w:left="3161" w:right="116"/>
        <w:jc w:val="both"/>
      </w:pPr>
      <w:r>
        <w:rPr>
          <w:spacing w:val="-1"/>
        </w:rPr>
        <w:t>full</w:t>
      </w:r>
      <w:r>
        <w:rPr>
          <w:spacing w:val="38"/>
        </w:rPr>
        <w:t xml:space="preserve"> </w:t>
      </w:r>
      <w:r>
        <w:rPr>
          <w:spacing w:val="-1"/>
        </w:rPr>
        <w:t>details</w:t>
      </w:r>
      <w:r>
        <w:rPr>
          <w:spacing w:val="39"/>
        </w:rPr>
        <w:t xml:space="preserve"> </w:t>
      </w:r>
      <w:r>
        <w:rPr>
          <w:spacing w:val="-1"/>
        </w:rPr>
        <w:t>of</w:t>
      </w:r>
      <w:r>
        <w:rPr>
          <w:spacing w:val="42"/>
        </w:rPr>
        <w:t xml:space="preserve"> </w:t>
      </w:r>
      <w:r>
        <w:t>the</w:t>
      </w:r>
      <w:r>
        <w:rPr>
          <w:spacing w:val="38"/>
        </w:rPr>
        <w:t xml:space="preserve"> </w:t>
      </w:r>
      <w:r>
        <w:rPr>
          <w:spacing w:val="-1"/>
        </w:rPr>
        <w:t>Default</w:t>
      </w:r>
      <w:r>
        <w:rPr>
          <w:spacing w:val="40"/>
        </w:rPr>
        <w:t xml:space="preserve"> </w:t>
      </w:r>
      <w:r>
        <w:rPr>
          <w:spacing w:val="-1"/>
        </w:rPr>
        <w:t>that</w:t>
      </w:r>
      <w:r>
        <w:rPr>
          <w:spacing w:val="40"/>
        </w:rPr>
        <w:t xml:space="preserve"> </w:t>
      </w:r>
      <w:r>
        <w:rPr>
          <w:spacing w:val="-1"/>
        </w:rPr>
        <w:t>has</w:t>
      </w:r>
      <w:r>
        <w:rPr>
          <w:spacing w:val="40"/>
        </w:rPr>
        <w:t xml:space="preserve"> </w:t>
      </w:r>
      <w:r>
        <w:rPr>
          <w:spacing w:val="-1"/>
        </w:rPr>
        <w:t>occurred,</w:t>
      </w:r>
      <w:r>
        <w:rPr>
          <w:spacing w:val="40"/>
        </w:rPr>
        <w:t xml:space="preserve"> </w:t>
      </w:r>
      <w:r>
        <w:rPr>
          <w:spacing w:val="-2"/>
        </w:rPr>
        <w:t>including</w:t>
      </w:r>
      <w:r>
        <w:rPr>
          <w:spacing w:val="41"/>
        </w:rPr>
        <w:t xml:space="preserve"> </w:t>
      </w:r>
      <w:r>
        <w:t>a</w:t>
      </w:r>
      <w:r>
        <w:rPr>
          <w:spacing w:val="35"/>
        </w:rPr>
        <w:t xml:space="preserve"> </w:t>
      </w:r>
      <w:r>
        <w:rPr>
          <w:spacing w:val="-1"/>
        </w:rPr>
        <w:t>root</w:t>
      </w:r>
      <w:r>
        <w:t xml:space="preserve"> </w:t>
      </w:r>
      <w:r>
        <w:rPr>
          <w:spacing w:val="-1"/>
        </w:rPr>
        <w:t>cause</w:t>
      </w:r>
      <w:r>
        <w:rPr>
          <w:spacing w:val="1"/>
        </w:rPr>
        <w:t xml:space="preserve"> </w:t>
      </w:r>
      <w:r>
        <w:rPr>
          <w:spacing w:val="-2"/>
        </w:rPr>
        <w:t>analysis;</w:t>
      </w:r>
    </w:p>
    <w:p w:rsidR="008918FA" w:rsidRDefault="008918FA" w:rsidP="008918FA">
      <w:pPr>
        <w:pStyle w:val="BodyText"/>
        <w:numPr>
          <w:ilvl w:val="4"/>
          <w:numId w:val="66"/>
        </w:numPr>
        <w:tabs>
          <w:tab w:val="left" w:pos="3161"/>
        </w:tabs>
        <w:spacing w:before="121"/>
        <w:ind w:left="3161"/>
      </w:pPr>
      <w:r>
        <w:t xml:space="preserve">the </w:t>
      </w:r>
      <w:r>
        <w:rPr>
          <w:spacing w:val="-1"/>
        </w:rPr>
        <w:t>actual</w:t>
      </w:r>
      <w:r>
        <w:t xml:space="preserve"> </w:t>
      </w:r>
      <w:r>
        <w:rPr>
          <w:spacing w:val="-1"/>
        </w:rPr>
        <w:t>or anticipated</w:t>
      </w:r>
      <w:r>
        <w:rPr>
          <w:spacing w:val="-2"/>
        </w:rPr>
        <w:t xml:space="preserve"> </w:t>
      </w:r>
      <w:r>
        <w:rPr>
          <w:spacing w:val="-1"/>
        </w:rPr>
        <w:t>effect</w:t>
      </w:r>
      <w:r>
        <w:rPr>
          <w:spacing w:val="2"/>
        </w:rPr>
        <w:t xml:space="preserve"> </w:t>
      </w:r>
      <w:r>
        <w:rPr>
          <w:spacing w:val="-2"/>
        </w:rPr>
        <w:t>of</w:t>
      </w:r>
      <w:r>
        <w:t xml:space="preserve"> the </w:t>
      </w:r>
      <w:r>
        <w:rPr>
          <w:spacing w:val="-2"/>
        </w:rPr>
        <w:t>Default;</w:t>
      </w:r>
      <w:r>
        <w:rPr>
          <w:spacing w:val="2"/>
        </w:rPr>
        <w:t xml:space="preserve"> </w:t>
      </w:r>
      <w:r>
        <w:rPr>
          <w:spacing w:val="-1"/>
        </w:rPr>
        <w:t>and</w:t>
      </w:r>
    </w:p>
    <w:p w:rsidR="008918FA" w:rsidRDefault="008918FA" w:rsidP="008918FA">
      <w:pPr>
        <w:pStyle w:val="BodyText"/>
        <w:numPr>
          <w:ilvl w:val="4"/>
          <w:numId w:val="66"/>
        </w:numPr>
        <w:tabs>
          <w:tab w:val="left" w:pos="3161"/>
        </w:tabs>
        <w:ind w:left="3160" w:right="111" w:hanging="568"/>
        <w:jc w:val="both"/>
      </w:pPr>
      <w:r>
        <w:t>the</w:t>
      </w:r>
      <w:r>
        <w:rPr>
          <w:spacing w:val="34"/>
        </w:rPr>
        <w:t xml:space="preserve"> </w:t>
      </w:r>
      <w:r>
        <w:rPr>
          <w:spacing w:val="-1"/>
        </w:rPr>
        <w:t>steps</w:t>
      </w:r>
      <w:r>
        <w:rPr>
          <w:spacing w:val="34"/>
        </w:rPr>
        <w:t xml:space="preserve"> </w:t>
      </w:r>
      <w:r>
        <w:rPr>
          <w:spacing w:val="-2"/>
        </w:rPr>
        <w:t>which</w:t>
      </w:r>
      <w:r>
        <w:rPr>
          <w:spacing w:val="34"/>
        </w:rPr>
        <w:t xml:space="preserve"> </w:t>
      </w:r>
      <w:r>
        <w:t>the</w:t>
      </w:r>
      <w:r>
        <w:rPr>
          <w:spacing w:val="34"/>
        </w:rPr>
        <w:t xml:space="preserve"> </w:t>
      </w:r>
      <w:r>
        <w:rPr>
          <w:spacing w:val="-2"/>
        </w:rPr>
        <w:t>Supplier</w:t>
      </w:r>
      <w:r>
        <w:rPr>
          <w:spacing w:val="35"/>
        </w:rPr>
        <w:t xml:space="preserve"> </w:t>
      </w:r>
      <w:r>
        <w:rPr>
          <w:spacing w:val="-1"/>
        </w:rPr>
        <w:t>proposes</w:t>
      </w:r>
      <w:r>
        <w:rPr>
          <w:spacing w:val="34"/>
        </w:rPr>
        <w:t xml:space="preserve"> </w:t>
      </w:r>
      <w:r>
        <w:t>to</w:t>
      </w:r>
      <w:r>
        <w:rPr>
          <w:spacing w:val="36"/>
        </w:rPr>
        <w:t xml:space="preserve"> </w:t>
      </w:r>
      <w:r>
        <w:rPr>
          <w:spacing w:val="-1"/>
        </w:rPr>
        <w:t>take</w:t>
      </w:r>
      <w:r>
        <w:rPr>
          <w:spacing w:val="34"/>
        </w:rPr>
        <w:t xml:space="preserve"> </w:t>
      </w:r>
      <w:r>
        <w:t>to</w:t>
      </w:r>
      <w:r>
        <w:rPr>
          <w:spacing w:val="34"/>
        </w:rPr>
        <w:t xml:space="preserve"> </w:t>
      </w:r>
      <w:r>
        <w:rPr>
          <w:spacing w:val="-1"/>
        </w:rPr>
        <w:t>rectify</w:t>
      </w:r>
      <w:r>
        <w:rPr>
          <w:spacing w:val="43"/>
        </w:rPr>
        <w:t xml:space="preserve"> </w:t>
      </w:r>
      <w:r>
        <w:t>the</w:t>
      </w:r>
      <w:r>
        <w:rPr>
          <w:spacing w:val="58"/>
        </w:rPr>
        <w:t xml:space="preserve"> </w:t>
      </w:r>
      <w:r>
        <w:rPr>
          <w:spacing w:val="-2"/>
        </w:rPr>
        <w:t>Default</w:t>
      </w:r>
      <w:r>
        <w:rPr>
          <w:spacing w:val="59"/>
        </w:rPr>
        <w:t xml:space="preserve"> </w:t>
      </w:r>
      <w:r>
        <w:rPr>
          <w:spacing w:val="-2"/>
        </w:rPr>
        <w:t>(if</w:t>
      </w:r>
      <w:r>
        <w:rPr>
          <w:spacing w:val="59"/>
        </w:rPr>
        <w:t xml:space="preserve"> </w:t>
      </w:r>
      <w:r>
        <w:rPr>
          <w:spacing w:val="-2"/>
        </w:rPr>
        <w:t>applicable)</w:t>
      </w:r>
      <w:r>
        <w:rPr>
          <w:spacing w:val="59"/>
        </w:rPr>
        <w:t xml:space="preserve"> </w:t>
      </w:r>
      <w:r>
        <w:rPr>
          <w:spacing w:val="-1"/>
        </w:rPr>
        <w:t>and</w:t>
      </w:r>
      <w:r>
        <w:rPr>
          <w:spacing w:val="57"/>
        </w:rPr>
        <w:t xml:space="preserve"> </w:t>
      </w:r>
      <w:r>
        <w:t>to</w:t>
      </w:r>
      <w:r>
        <w:rPr>
          <w:spacing w:val="58"/>
        </w:rPr>
        <w:t xml:space="preserve"> </w:t>
      </w:r>
      <w:r>
        <w:rPr>
          <w:spacing w:val="-2"/>
        </w:rPr>
        <w:t>prevent</w:t>
      </w:r>
      <w:r>
        <w:rPr>
          <w:spacing w:val="60"/>
        </w:rPr>
        <w:t xml:space="preserve"> </w:t>
      </w:r>
      <w:r>
        <w:rPr>
          <w:spacing w:val="-1"/>
        </w:rPr>
        <w:t>such</w:t>
      </w:r>
      <w:r>
        <w:rPr>
          <w:spacing w:val="56"/>
        </w:rPr>
        <w:t xml:space="preserve"> </w:t>
      </w:r>
      <w:r>
        <w:rPr>
          <w:spacing w:val="-2"/>
        </w:rPr>
        <w:t>Default</w:t>
      </w:r>
      <w:r>
        <w:rPr>
          <w:spacing w:val="67"/>
        </w:rPr>
        <w:t xml:space="preserve"> </w:t>
      </w:r>
      <w:r>
        <w:rPr>
          <w:spacing w:val="-1"/>
        </w:rPr>
        <w:t>from</w:t>
      </w:r>
      <w:r>
        <w:rPr>
          <w:spacing w:val="2"/>
        </w:rPr>
        <w:t xml:space="preserve"> </w:t>
      </w:r>
      <w:r>
        <w:rPr>
          <w:spacing w:val="-1"/>
        </w:rPr>
        <w:t>recurring,</w:t>
      </w:r>
      <w:r>
        <w:rPr>
          <w:spacing w:val="2"/>
        </w:rPr>
        <w:t xml:space="preserve"> </w:t>
      </w:r>
      <w:r>
        <w:rPr>
          <w:spacing w:val="-2"/>
        </w:rPr>
        <w:t>including</w:t>
      </w:r>
      <w:r>
        <w:t xml:space="preserve"> </w:t>
      </w:r>
      <w:r>
        <w:rPr>
          <w:spacing w:val="-1"/>
        </w:rPr>
        <w:t>timescales</w:t>
      </w:r>
      <w:r>
        <w:rPr>
          <w:spacing w:val="-2"/>
        </w:rPr>
        <w:t xml:space="preserve"> </w:t>
      </w:r>
      <w:r>
        <w:t>for</w:t>
      </w:r>
      <w:r>
        <w:rPr>
          <w:spacing w:val="2"/>
        </w:rPr>
        <w:t xml:space="preserve"> </w:t>
      </w:r>
      <w:r>
        <w:rPr>
          <w:spacing w:val="-1"/>
        </w:rPr>
        <w:t>such</w:t>
      </w:r>
      <w:r>
        <w:rPr>
          <w:spacing w:val="1"/>
        </w:rPr>
        <w:t xml:space="preserve"> </w:t>
      </w:r>
      <w:r>
        <w:rPr>
          <w:spacing w:val="-2"/>
        </w:rPr>
        <w:t>steps</w:t>
      </w:r>
      <w:r>
        <w:rPr>
          <w:spacing w:val="1"/>
        </w:rPr>
        <w:t xml:space="preserve"> </w:t>
      </w:r>
      <w:r>
        <w:rPr>
          <w:spacing w:val="-1"/>
        </w:rPr>
        <w:t>and</w:t>
      </w:r>
      <w:r>
        <w:rPr>
          <w:spacing w:val="-2"/>
        </w:rPr>
        <w:t xml:space="preserve"> </w:t>
      </w:r>
      <w:r>
        <w:t>for</w:t>
      </w:r>
      <w:r>
        <w:rPr>
          <w:spacing w:val="45"/>
        </w:rPr>
        <w:t xml:space="preserve"> </w:t>
      </w:r>
      <w:r>
        <w:t>the</w:t>
      </w:r>
      <w:r>
        <w:rPr>
          <w:spacing w:val="-2"/>
        </w:rPr>
        <w:t xml:space="preserve"> </w:t>
      </w:r>
      <w:r>
        <w:rPr>
          <w:spacing w:val="-1"/>
        </w:rPr>
        <w:t>rectification</w:t>
      </w:r>
      <w:r>
        <w:t xml:space="preserve"> </w:t>
      </w:r>
      <w:r>
        <w:rPr>
          <w:spacing w:val="-2"/>
        </w:rPr>
        <w:t>of</w:t>
      </w:r>
      <w:r>
        <w:t xml:space="preserve"> the</w:t>
      </w:r>
      <w:r>
        <w:rPr>
          <w:spacing w:val="1"/>
        </w:rPr>
        <w:t xml:space="preserve"> </w:t>
      </w:r>
      <w:r>
        <w:rPr>
          <w:spacing w:val="-2"/>
        </w:rPr>
        <w:t>Default</w:t>
      </w:r>
      <w:r>
        <w:t xml:space="preserve"> </w:t>
      </w:r>
      <w:r>
        <w:rPr>
          <w:spacing w:val="-1"/>
        </w:rPr>
        <w:t>(where</w:t>
      </w:r>
      <w:r>
        <w:t xml:space="preserve"> </w:t>
      </w:r>
      <w:r>
        <w:rPr>
          <w:spacing w:val="-1"/>
        </w:rPr>
        <w:t>applicable).</w:t>
      </w:r>
    </w:p>
    <w:p w:rsidR="008918FA" w:rsidRDefault="008918FA" w:rsidP="008918FA">
      <w:pPr>
        <w:pStyle w:val="BodyText"/>
        <w:numPr>
          <w:ilvl w:val="2"/>
          <w:numId w:val="66"/>
        </w:numPr>
        <w:tabs>
          <w:tab w:val="left" w:pos="1884"/>
        </w:tabs>
        <w:spacing w:before="121"/>
        <w:ind w:left="1883" w:right="116" w:hanging="993"/>
        <w:jc w:val="both"/>
      </w:pPr>
      <w:r>
        <w:t>The</w:t>
      </w:r>
      <w:r>
        <w:rPr>
          <w:spacing w:val="18"/>
        </w:rPr>
        <w:t xml:space="preserve"> </w:t>
      </w:r>
      <w:r>
        <w:rPr>
          <w:spacing w:val="-2"/>
        </w:rPr>
        <w:t>Supplier</w:t>
      </w:r>
      <w:r>
        <w:rPr>
          <w:spacing w:val="22"/>
        </w:rPr>
        <w:t xml:space="preserve"> </w:t>
      </w:r>
      <w:r>
        <w:rPr>
          <w:spacing w:val="-1"/>
        </w:rPr>
        <w:t>shall</w:t>
      </w:r>
      <w:r>
        <w:rPr>
          <w:spacing w:val="20"/>
        </w:rPr>
        <w:t xml:space="preserve"> </w:t>
      </w:r>
      <w:r>
        <w:rPr>
          <w:spacing w:val="-1"/>
        </w:rPr>
        <w:t>promptly</w:t>
      </w:r>
      <w:r>
        <w:rPr>
          <w:spacing w:val="19"/>
        </w:rPr>
        <w:t xml:space="preserve"> </w:t>
      </w:r>
      <w:r>
        <w:rPr>
          <w:spacing w:val="-2"/>
        </w:rPr>
        <w:t>provide</w:t>
      </w:r>
      <w:r>
        <w:rPr>
          <w:spacing w:val="21"/>
        </w:rPr>
        <w:t xml:space="preserve"> </w:t>
      </w:r>
      <w:r>
        <w:t>to</w:t>
      </w:r>
      <w:r>
        <w:rPr>
          <w:spacing w:val="18"/>
        </w:rPr>
        <w:t xml:space="preserve"> </w:t>
      </w:r>
      <w:r>
        <w:t>the</w:t>
      </w:r>
      <w:r>
        <w:rPr>
          <w:spacing w:val="18"/>
        </w:rPr>
        <w:t xml:space="preserve"> </w:t>
      </w:r>
      <w:r>
        <w:rPr>
          <w:spacing w:val="-1"/>
        </w:rPr>
        <w:t>Customer</w:t>
      </w:r>
      <w:r>
        <w:rPr>
          <w:spacing w:val="22"/>
        </w:rPr>
        <w:t xml:space="preserve"> </w:t>
      </w:r>
      <w:r>
        <w:rPr>
          <w:spacing w:val="-1"/>
        </w:rPr>
        <w:t>any</w:t>
      </w:r>
      <w:r>
        <w:rPr>
          <w:spacing w:val="16"/>
        </w:rPr>
        <w:t xml:space="preserve"> </w:t>
      </w:r>
      <w:r>
        <w:rPr>
          <w:spacing w:val="-1"/>
        </w:rPr>
        <w:t>further</w:t>
      </w:r>
      <w:r>
        <w:rPr>
          <w:spacing w:val="49"/>
        </w:rPr>
        <w:t xml:space="preserve"> </w:t>
      </w:r>
      <w:r>
        <w:rPr>
          <w:spacing w:val="-1"/>
        </w:rPr>
        <w:t>documentation</w:t>
      </w:r>
      <w:r>
        <w:rPr>
          <w:spacing w:val="53"/>
        </w:rPr>
        <w:t xml:space="preserve"> </w:t>
      </w:r>
      <w:r>
        <w:rPr>
          <w:spacing w:val="-1"/>
        </w:rPr>
        <w:t>that</w:t>
      </w:r>
      <w:r>
        <w:rPr>
          <w:spacing w:val="52"/>
        </w:rPr>
        <w:t xml:space="preserve"> </w:t>
      </w:r>
      <w:r>
        <w:t>the</w:t>
      </w:r>
      <w:r>
        <w:rPr>
          <w:spacing w:val="51"/>
        </w:rPr>
        <w:t xml:space="preserve"> </w:t>
      </w:r>
      <w:r>
        <w:rPr>
          <w:spacing w:val="-1"/>
        </w:rPr>
        <w:t>Customer</w:t>
      </w:r>
      <w:r>
        <w:rPr>
          <w:spacing w:val="54"/>
        </w:rPr>
        <w:t xml:space="preserve"> </w:t>
      </w:r>
      <w:r>
        <w:rPr>
          <w:spacing w:val="-1"/>
        </w:rPr>
        <w:t>requires</w:t>
      </w:r>
      <w:r>
        <w:rPr>
          <w:spacing w:val="53"/>
        </w:rPr>
        <w:t xml:space="preserve"> </w:t>
      </w:r>
      <w:r>
        <w:t>to</w:t>
      </w:r>
      <w:r>
        <w:rPr>
          <w:spacing w:val="48"/>
        </w:rPr>
        <w:t xml:space="preserve"> </w:t>
      </w:r>
      <w:r>
        <w:rPr>
          <w:spacing w:val="-1"/>
        </w:rPr>
        <w:t>assess</w:t>
      </w:r>
      <w:r>
        <w:rPr>
          <w:spacing w:val="55"/>
        </w:rPr>
        <w:t xml:space="preserve"> </w:t>
      </w:r>
      <w:r>
        <w:t>the</w:t>
      </w:r>
      <w:r>
        <w:rPr>
          <w:spacing w:val="51"/>
        </w:rPr>
        <w:t xml:space="preserve"> </w:t>
      </w:r>
      <w:r>
        <w:rPr>
          <w:spacing w:val="-2"/>
        </w:rPr>
        <w:t>Supplier’s</w:t>
      </w:r>
      <w:r>
        <w:rPr>
          <w:spacing w:val="39"/>
        </w:rPr>
        <w:t xml:space="preserve"> </w:t>
      </w:r>
      <w:r>
        <w:rPr>
          <w:spacing w:val="-1"/>
        </w:rPr>
        <w:t>root</w:t>
      </w:r>
      <w:r>
        <w:rPr>
          <w:spacing w:val="21"/>
        </w:rPr>
        <w:t xml:space="preserve"> </w:t>
      </w:r>
      <w:r>
        <w:rPr>
          <w:spacing w:val="-1"/>
        </w:rPr>
        <w:t>cause</w:t>
      </w:r>
      <w:r>
        <w:rPr>
          <w:spacing w:val="20"/>
        </w:rPr>
        <w:t xml:space="preserve"> </w:t>
      </w:r>
      <w:r>
        <w:rPr>
          <w:spacing w:val="-2"/>
        </w:rPr>
        <w:t>analysis.</w:t>
      </w:r>
      <w:r>
        <w:rPr>
          <w:spacing w:val="22"/>
        </w:rPr>
        <w:t xml:space="preserve"> </w:t>
      </w:r>
      <w:r>
        <w:rPr>
          <w:spacing w:val="-1"/>
        </w:rPr>
        <w:t>If</w:t>
      </w:r>
      <w:r>
        <w:rPr>
          <w:spacing w:val="21"/>
        </w:rPr>
        <w:t xml:space="preserve"> </w:t>
      </w:r>
      <w:r>
        <w:rPr>
          <w:spacing w:val="-1"/>
        </w:rPr>
        <w:t>the</w:t>
      </w:r>
      <w:r>
        <w:rPr>
          <w:spacing w:val="20"/>
        </w:rPr>
        <w:t xml:space="preserve"> </w:t>
      </w:r>
      <w:r>
        <w:rPr>
          <w:spacing w:val="-1"/>
        </w:rPr>
        <w:t>Parties</w:t>
      </w:r>
      <w:r>
        <w:rPr>
          <w:spacing w:val="20"/>
        </w:rPr>
        <w:t xml:space="preserve"> </w:t>
      </w:r>
      <w:r>
        <w:rPr>
          <w:spacing w:val="-1"/>
        </w:rPr>
        <w:t>do</w:t>
      </w:r>
      <w:r>
        <w:rPr>
          <w:spacing w:val="20"/>
        </w:rPr>
        <w:t xml:space="preserve"> </w:t>
      </w:r>
      <w:r>
        <w:rPr>
          <w:spacing w:val="-1"/>
        </w:rPr>
        <w:t>not</w:t>
      </w:r>
      <w:r>
        <w:rPr>
          <w:spacing w:val="21"/>
        </w:rPr>
        <w:t xml:space="preserve"> </w:t>
      </w:r>
      <w:r>
        <w:rPr>
          <w:spacing w:val="-1"/>
        </w:rPr>
        <w:t>agree</w:t>
      </w:r>
      <w:r>
        <w:rPr>
          <w:spacing w:val="20"/>
        </w:rPr>
        <w:t xml:space="preserve"> </w:t>
      </w:r>
      <w:r>
        <w:rPr>
          <w:spacing w:val="-2"/>
        </w:rPr>
        <w:t>on</w:t>
      </w:r>
      <w:r>
        <w:rPr>
          <w:spacing w:val="20"/>
        </w:rPr>
        <w:t xml:space="preserve"> </w:t>
      </w:r>
      <w:r>
        <w:t>the</w:t>
      </w:r>
      <w:r>
        <w:rPr>
          <w:spacing w:val="20"/>
        </w:rPr>
        <w:t xml:space="preserve"> </w:t>
      </w:r>
      <w:r>
        <w:rPr>
          <w:spacing w:val="-1"/>
        </w:rPr>
        <w:t>root</w:t>
      </w:r>
      <w:r>
        <w:rPr>
          <w:spacing w:val="21"/>
        </w:rPr>
        <w:t xml:space="preserve"> </w:t>
      </w:r>
      <w:r>
        <w:rPr>
          <w:spacing w:val="-1"/>
        </w:rPr>
        <w:t>cause</w:t>
      </w:r>
      <w:r>
        <w:rPr>
          <w:spacing w:val="20"/>
        </w:rPr>
        <w:t xml:space="preserve"> </w:t>
      </w:r>
      <w:r>
        <w:rPr>
          <w:spacing w:val="-1"/>
        </w:rPr>
        <w:t>set</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spacing w:before="59"/>
        <w:ind w:left="2246" w:right="112" w:firstLine="0"/>
        <w:jc w:val="both"/>
      </w:pPr>
      <w:r>
        <w:rPr>
          <w:spacing w:val="-1"/>
        </w:rPr>
        <w:t>out</w:t>
      </w:r>
      <w:r>
        <w:rPr>
          <w:spacing w:val="19"/>
        </w:rPr>
        <w:t xml:space="preserve"> </w:t>
      </w:r>
      <w:r>
        <w:rPr>
          <w:spacing w:val="-1"/>
        </w:rPr>
        <w:t>in</w:t>
      </w:r>
      <w:r>
        <w:rPr>
          <w:spacing w:val="17"/>
        </w:rPr>
        <w:t xml:space="preserve"> </w:t>
      </w:r>
      <w:r>
        <w:t>the</w:t>
      </w:r>
      <w:r>
        <w:rPr>
          <w:spacing w:val="17"/>
        </w:rPr>
        <w:t xml:space="preserve"> </w:t>
      </w:r>
      <w:r>
        <w:rPr>
          <w:spacing w:val="-1"/>
        </w:rPr>
        <w:t>draft</w:t>
      </w:r>
      <w:r>
        <w:rPr>
          <w:spacing w:val="19"/>
        </w:rPr>
        <w:t xml:space="preserve"> </w:t>
      </w:r>
      <w:r>
        <w:rPr>
          <w:spacing w:val="-2"/>
        </w:rPr>
        <w:t>Rectification</w:t>
      </w:r>
      <w:r>
        <w:rPr>
          <w:spacing w:val="17"/>
        </w:rPr>
        <w:t xml:space="preserve"> </w:t>
      </w:r>
      <w:r>
        <w:rPr>
          <w:spacing w:val="-1"/>
        </w:rPr>
        <w:t>Plan,</w:t>
      </w:r>
      <w:r>
        <w:rPr>
          <w:spacing w:val="19"/>
        </w:rPr>
        <w:t xml:space="preserve"> </w:t>
      </w:r>
      <w:r>
        <w:rPr>
          <w:spacing w:val="-1"/>
        </w:rPr>
        <w:t>either</w:t>
      </w:r>
      <w:r>
        <w:rPr>
          <w:spacing w:val="19"/>
        </w:rPr>
        <w:t xml:space="preserve"> </w:t>
      </w:r>
      <w:r>
        <w:rPr>
          <w:spacing w:val="-1"/>
        </w:rPr>
        <w:t>Party</w:t>
      </w:r>
      <w:r>
        <w:rPr>
          <w:spacing w:val="15"/>
        </w:rPr>
        <w:t xml:space="preserve"> </w:t>
      </w:r>
      <w:r>
        <w:rPr>
          <w:spacing w:val="-1"/>
        </w:rPr>
        <w:t>may</w:t>
      </w:r>
      <w:r>
        <w:rPr>
          <w:spacing w:val="15"/>
        </w:rPr>
        <w:t xml:space="preserve"> </w:t>
      </w:r>
      <w:r>
        <w:t>refer</w:t>
      </w:r>
      <w:r>
        <w:rPr>
          <w:spacing w:val="16"/>
        </w:rPr>
        <w:t xml:space="preserve"> </w:t>
      </w:r>
      <w:r>
        <w:t>the</w:t>
      </w:r>
      <w:r>
        <w:rPr>
          <w:spacing w:val="17"/>
        </w:rPr>
        <w:t xml:space="preserve"> </w:t>
      </w:r>
      <w:r>
        <w:rPr>
          <w:spacing w:val="-1"/>
        </w:rPr>
        <w:t>matter</w:t>
      </w:r>
      <w:r>
        <w:rPr>
          <w:spacing w:val="19"/>
        </w:rPr>
        <w:t xml:space="preserve"> </w:t>
      </w:r>
      <w:r>
        <w:t>to</w:t>
      </w:r>
      <w:r>
        <w:rPr>
          <w:spacing w:val="53"/>
        </w:rPr>
        <w:t xml:space="preserve"> </w:t>
      </w:r>
      <w:r>
        <w:rPr>
          <w:spacing w:val="-1"/>
        </w:rPr>
        <w:t>be</w:t>
      </w:r>
      <w:r>
        <w:rPr>
          <w:spacing w:val="5"/>
        </w:rPr>
        <w:t xml:space="preserve"> </w:t>
      </w:r>
      <w:r>
        <w:rPr>
          <w:spacing w:val="-1"/>
        </w:rPr>
        <w:t>determined</w:t>
      </w:r>
      <w:r>
        <w:rPr>
          <w:spacing w:val="5"/>
        </w:rPr>
        <w:t xml:space="preserve"> </w:t>
      </w:r>
      <w:r>
        <w:rPr>
          <w:spacing w:val="-1"/>
        </w:rPr>
        <w:t>by</w:t>
      </w:r>
      <w:r>
        <w:rPr>
          <w:spacing w:val="3"/>
        </w:rPr>
        <w:t xml:space="preserve"> </w:t>
      </w:r>
      <w:r>
        <w:rPr>
          <w:spacing w:val="-1"/>
        </w:rPr>
        <w:t>an</w:t>
      </w:r>
      <w:r>
        <w:rPr>
          <w:spacing w:val="5"/>
        </w:rPr>
        <w:t xml:space="preserve"> </w:t>
      </w:r>
      <w:r>
        <w:rPr>
          <w:spacing w:val="-1"/>
        </w:rPr>
        <w:t>expert</w:t>
      </w:r>
      <w:r>
        <w:rPr>
          <w:spacing w:val="7"/>
        </w:rP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1"/>
        </w:rPr>
        <w:t>paragraph</w:t>
      </w:r>
      <w:r>
        <w:rPr>
          <w:spacing w:val="1"/>
        </w:rPr>
        <w:t xml:space="preserve"> </w:t>
      </w:r>
      <w:hyperlink w:anchor="_bookmark418" w:history="1">
        <w:r>
          <w:t>5</w:t>
        </w:r>
      </w:hyperlink>
      <w:r>
        <w:rPr>
          <w:spacing w:val="5"/>
        </w:rPr>
        <w:t xml:space="preserve"> </w:t>
      </w:r>
      <w:r>
        <w:rPr>
          <w:spacing w:val="-2"/>
        </w:rPr>
        <w:t>of</w:t>
      </w:r>
      <w:r>
        <w:rPr>
          <w:spacing w:val="9"/>
        </w:rPr>
        <w:t xml:space="preserve"> </w:t>
      </w:r>
      <w:r>
        <w:rPr>
          <w:spacing w:val="-2"/>
        </w:rPr>
        <w:t>Call</w:t>
      </w:r>
      <w:r>
        <w:rPr>
          <w:spacing w:val="4"/>
        </w:rPr>
        <w:t xml:space="preserve"> </w:t>
      </w:r>
      <w:r>
        <w:rPr>
          <w:spacing w:val="-1"/>
        </w:rPr>
        <w:t>Off</w:t>
      </w:r>
      <w:r>
        <w:rPr>
          <w:spacing w:val="53"/>
        </w:rPr>
        <w:t xml:space="preserve"> </w:t>
      </w:r>
      <w:r>
        <w:rPr>
          <w:spacing w:val="-1"/>
        </w:rPr>
        <w:t>Schedule</w:t>
      </w:r>
      <w:r>
        <w:rPr>
          <w:spacing w:val="1"/>
        </w:rPr>
        <w:t xml:space="preserve"> </w:t>
      </w:r>
      <w:r>
        <w:rPr>
          <w:spacing w:val="-1"/>
        </w:rPr>
        <w:t>12</w:t>
      </w:r>
      <w:r>
        <w:t xml:space="preserve"> </w:t>
      </w:r>
      <w:r>
        <w:rPr>
          <w:spacing w:val="-1"/>
        </w:rPr>
        <w:t>(Dispute</w:t>
      </w:r>
      <w:r>
        <w:rPr>
          <w:spacing w:val="-2"/>
        </w:rPr>
        <w:t xml:space="preserve"> Resolution</w:t>
      </w:r>
      <w:r>
        <w:t xml:space="preserve"> </w:t>
      </w:r>
      <w:r>
        <w:rPr>
          <w:spacing w:val="-1"/>
        </w:rPr>
        <w:t>Procedure).</w:t>
      </w:r>
    </w:p>
    <w:p w:rsidR="008918FA" w:rsidRDefault="008918FA" w:rsidP="008918FA">
      <w:pPr>
        <w:pStyle w:val="BodyText"/>
        <w:numPr>
          <w:ilvl w:val="2"/>
          <w:numId w:val="66"/>
        </w:numPr>
        <w:tabs>
          <w:tab w:val="left" w:pos="2247"/>
        </w:tabs>
        <w:ind w:left="2246" w:right="113"/>
        <w:jc w:val="both"/>
      </w:pPr>
      <w:r>
        <w:t>The</w:t>
      </w:r>
      <w:r>
        <w:rPr>
          <w:spacing w:val="24"/>
        </w:rPr>
        <w:t xml:space="preserve"> </w:t>
      </w:r>
      <w:r>
        <w:rPr>
          <w:spacing w:val="-2"/>
        </w:rPr>
        <w:t>Customer</w:t>
      </w:r>
      <w:r>
        <w:rPr>
          <w:spacing w:val="23"/>
        </w:rPr>
        <w:t xml:space="preserve"> </w:t>
      </w:r>
      <w:r>
        <w:rPr>
          <w:spacing w:val="-1"/>
        </w:rPr>
        <w:t>may</w:t>
      </w:r>
      <w:r>
        <w:rPr>
          <w:spacing w:val="22"/>
        </w:rPr>
        <w:t xml:space="preserve"> </w:t>
      </w:r>
      <w:r>
        <w:rPr>
          <w:spacing w:val="-1"/>
        </w:rPr>
        <w:t>reject</w:t>
      </w:r>
      <w:r>
        <w:rPr>
          <w:spacing w:val="26"/>
        </w:rPr>
        <w:t xml:space="preserve"> </w:t>
      </w:r>
      <w:r>
        <w:rPr>
          <w:spacing w:val="-1"/>
        </w:rPr>
        <w:t>the</w:t>
      </w:r>
      <w:r>
        <w:rPr>
          <w:spacing w:val="24"/>
        </w:rPr>
        <w:t xml:space="preserve"> </w:t>
      </w:r>
      <w:r>
        <w:rPr>
          <w:spacing w:val="-1"/>
        </w:rPr>
        <w:t>draft</w:t>
      </w:r>
      <w:r>
        <w:rPr>
          <w:spacing w:val="23"/>
        </w:rPr>
        <w:t xml:space="preserve"> </w:t>
      </w:r>
      <w:r>
        <w:rPr>
          <w:spacing w:val="-1"/>
        </w:rPr>
        <w:t>Rectification</w:t>
      </w:r>
      <w:r>
        <w:rPr>
          <w:spacing w:val="24"/>
        </w:rPr>
        <w:t xml:space="preserve"> </w:t>
      </w:r>
      <w:r>
        <w:rPr>
          <w:spacing w:val="-1"/>
        </w:rPr>
        <w:t>Plan</w:t>
      </w:r>
      <w:r>
        <w:rPr>
          <w:spacing w:val="24"/>
        </w:rPr>
        <w:t xml:space="preserve"> </w:t>
      </w:r>
      <w:r>
        <w:rPr>
          <w:spacing w:val="-1"/>
        </w:rPr>
        <w:t>by</w:t>
      </w:r>
      <w:r>
        <w:rPr>
          <w:spacing w:val="22"/>
        </w:rPr>
        <w:t xml:space="preserve"> </w:t>
      </w:r>
      <w:r>
        <w:rPr>
          <w:spacing w:val="-1"/>
        </w:rPr>
        <w:t>notice</w:t>
      </w:r>
      <w:r>
        <w:rPr>
          <w:spacing w:val="24"/>
        </w:rPr>
        <w:t xml:space="preserve"> </w:t>
      </w:r>
      <w:r>
        <w:t>to</w:t>
      </w:r>
      <w:r>
        <w:rPr>
          <w:spacing w:val="24"/>
        </w:rPr>
        <w:t xml:space="preserve"> </w:t>
      </w:r>
      <w:r>
        <w:rPr>
          <w:spacing w:val="-2"/>
        </w:rPr>
        <w:t>the</w:t>
      </w:r>
      <w:r>
        <w:rPr>
          <w:spacing w:val="44"/>
        </w:rPr>
        <w:t xml:space="preserve"> </w:t>
      </w:r>
      <w:r>
        <w:rPr>
          <w:spacing w:val="-2"/>
        </w:rPr>
        <w:t>Supplier</w:t>
      </w:r>
      <w:r>
        <w:rPr>
          <w:spacing w:val="35"/>
        </w:rPr>
        <w:t xml:space="preserve"> </w:t>
      </w:r>
      <w:r>
        <w:rPr>
          <w:spacing w:val="-1"/>
        </w:rPr>
        <w:t>if,</w:t>
      </w:r>
      <w:r>
        <w:rPr>
          <w:spacing w:val="35"/>
        </w:rPr>
        <w:t xml:space="preserve"> </w:t>
      </w:r>
      <w:r>
        <w:rPr>
          <w:spacing w:val="-1"/>
        </w:rPr>
        <w:t>acting</w:t>
      </w:r>
      <w:r>
        <w:rPr>
          <w:spacing w:val="34"/>
        </w:rPr>
        <w:t xml:space="preserve"> </w:t>
      </w:r>
      <w:r>
        <w:rPr>
          <w:spacing w:val="-2"/>
        </w:rPr>
        <w:t>reasonably,</w:t>
      </w:r>
      <w:r>
        <w:rPr>
          <w:spacing w:val="35"/>
        </w:rPr>
        <w:t xml:space="preserve"> </w:t>
      </w:r>
      <w:r>
        <w:rPr>
          <w:spacing w:val="-1"/>
        </w:rPr>
        <w:t>it</w:t>
      </w:r>
      <w:r>
        <w:rPr>
          <w:spacing w:val="35"/>
        </w:rPr>
        <w:t xml:space="preserve"> </w:t>
      </w:r>
      <w:r>
        <w:rPr>
          <w:spacing w:val="-1"/>
        </w:rPr>
        <w:t>considers</w:t>
      </w:r>
      <w:r>
        <w:rPr>
          <w:spacing w:val="32"/>
        </w:rPr>
        <w:t xml:space="preserve"> </w:t>
      </w:r>
      <w:r>
        <w:rPr>
          <w:spacing w:val="-1"/>
        </w:rPr>
        <w:t>that</w:t>
      </w:r>
      <w:r>
        <w:rPr>
          <w:spacing w:val="34"/>
        </w:rPr>
        <w:t xml:space="preserve"> </w:t>
      </w:r>
      <w:r>
        <w:rPr>
          <w:spacing w:val="-1"/>
        </w:rPr>
        <w:t>the</w:t>
      </w:r>
      <w:r>
        <w:rPr>
          <w:spacing w:val="34"/>
        </w:rPr>
        <w:t xml:space="preserve"> </w:t>
      </w:r>
      <w:r>
        <w:rPr>
          <w:spacing w:val="-1"/>
        </w:rPr>
        <w:t>draft</w:t>
      </w:r>
      <w:r>
        <w:rPr>
          <w:spacing w:val="35"/>
        </w:rPr>
        <w:t xml:space="preserve"> </w:t>
      </w:r>
      <w:r>
        <w:rPr>
          <w:spacing w:val="-1"/>
        </w:rPr>
        <w:t>Rectification</w:t>
      </w:r>
      <w:r>
        <w:rPr>
          <w:spacing w:val="52"/>
        </w:rPr>
        <w:t xml:space="preserve"> </w:t>
      </w:r>
      <w:r>
        <w:rPr>
          <w:spacing w:val="-1"/>
        </w:rPr>
        <w:t>Plan</w:t>
      </w:r>
      <w:r>
        <w:t xml:space="preserve"> </w:t>
      </w:r>
      <w:r>
        <w:rPr>
          <w:spacing w:val="-1"/>
        </w:rPr>
        <w:t>is</w:t>
      </w:r>
      <w:r>
        <w:rPr>
          <w:spacing w:val="1"/>
        </w:rPr>
        <w:t xml:space="preserve"> </w:t>
      </w:r>
      <w:r>
        <w:rPr>
          <w:spacing w:val="-1"/>
        </w:rPr>
        <w:t>inadequate,</w:t>
      </w:r>
      <w:r>
        <w:rPr>
          <w:spacing w:val="-3"/>
        </w:rPr>
        <w:t xml:space="preserve"> </w:t>
      </w:r>
      <w:r>
        <w:t>for</w:t>
      </w:r>
      <w:r>
        <w:rPr>
          <w:spacing w:val="2"/>
        </w:rPr>
        <w:t xml:space="preserve"> </w:t>
      </w:r>
      <w:r>
        <w:rPr>
          <w:spacing w:val="-2"/>
        </w:rPr>
        <w:t>example</w:t>
      </w:r>
      <w:r>
        <w:t xml:space="preserve"> </w:t>
      </w:r>
      <w:r>
        <w:rPr>
          <w:spacing w:val="-1"/>
        </w:rPr>
        <w:t>because</w:t>
      </w:r>
      <w:r>
        <w:rPr>
          <w:spacing w:val="1"/>
        </w:rPr>
        <w:t xml:space="preserve"> </w:t>
      </w:r>
      <w:r>
        <w:rPr>
          <w:spacing w:val="-1"/>
        </w:rPr>
        <w:t>the</w:t>
      </w:r>
      <w:r>
        <w:t xml:space="preserve"> </w:t>
      </w:r>
      <w:r>
        <w:rPr>
          <w:spacing w:val="-1"/>
        </w:rPr>
        <w:t>draft</w:t>
      </w:r>
      <w:r>
        <w:rPr>
          <w:spacing w:val="2"/>
        </w:rPr>
        <w:t xml:space="preserve"> </w:t>
      </w:r>
      <w:r>
        <w:rPr>
          <w:spacing w:val="-1"/>
        </w:rPr>
        <w:t>Rectification</w:t>
      </w:r>
      <w:r>
        <w:t xml:space="preserve"> </w:t>
      </w:r>
      <w:r>
        <w:rPr>
          <w:spacing w:val="-2"/>
        </w:rPr>
        <w:t>Plan:</w:t>
      </w:r>
    </w:p>
    <w:p w:rsidR="008918FA" w:rsidRDefault="008918FA" w:rsidP="008918FA">
      <w:pPr>
        <w:pStyle w:val="BodyText"/>
        <w:numPr>
          <w:ilvl w:val="3"/>
          <w:numId w:val="66"/>
        </w:numPr>
        <w:tabs>
          <w:tab w:val="left" w:pos="2954"/>
        </w:tabs>
        <w:ind w:left="2953" w:hanging="707"/>
      </w:pPr>
      <w:r>
        <w:rPr>
          <w:spacing w:val="-1"/>
        </w:rPr>
        <w:t>is</w:t>
      </w:r>
      <w:r>
        <w:rPr>
          <w:spacing w:val="1"/>
        </w:rPr>
        <w:t xml:space="preserve"> </w:t>
      </w:r>
      <w:r>
        <w:rPr>
          <w:spacing w:val="-1"/>
        </w:rPr>
        <w:t>insufficiently</w:t>
      </w:r>
      <w:r>
        <w:rPr>
          <w:spacing w:val="-2"/>
        </w:rPr>
        <w:t xml:space="preserve"> </w:t>
      </w:r>
      <w:r>
        <w:rPr>
          <w:spacing w:val="-1"/>
        </w:rPr>
        <w:t>detailed</w:t>
      </w:r>
      <w:r>
        <w:t xml:space="preserve"> </w:t>
      </w:r>
      <w:r>
        <w:rPr>
          <w:spacing w:val="-1"/>
        </w:rPr>
        <w:t>to</w:t>
      </w:r>
      <w:r>
        <w:t xml:space="preserve"> </w:t>
      </w:r>
      <w:r>
        <w:rPr>
          <w:spacing w:val="-1"/>
        </w:rPr>
        <w:t>be</w:t>
      </w:r>
      <w:r>
        <w:t xml:space="preserve"> </w:t>
      </w:r>
      <w:r>
        <w:rPr>
          <w:spacing w:val="-1"/>
        </w:rPr>
        <w:t>capable</w:t>
      </w:r>
      <w:r>
        <w:rPr>
          <w:spacing w:val="-2"/>
        </w:rPr>
        <w:t xml:space="preserve"> of</w:t>
      </w:r>
      <w:r>
        <w:rPr>
          <w:spacing w:val="2"/>
        </w:rPr>
        <w:t xml:space="preserve"> </w:t>
      </w:r>
      <w:r>
        <w:rPr>
          <w:spacing w:val="-1"/>
        </w:rPr>
        <w:t>proper</w:t>
      </w:r>
      <w:r>
        <w:rPr>
          <w:spacing w:val="2"/>
        </w:rPr>
        <w:t xml:space="preserve"> </w:t>
      </w:r>
      <w:r>
        <w:rPr>
          <w:spacing w:val="-2"/>
        </w:rPr>
        <w:t>evaluation;</w:t>
      </w:r>
    </w:p>
    <w:p w:rsidR="008918FA" w:rsidRDefault="008918FA" w:rsidP="008918FA">
      <w:pPr>
        <w:pStyle w:val="BodyText"/>
        <w:numPr>
          <w:ilvl w:val="3"/>
          <w:numId w:val="66"/>
        </w:numPr>
        <w:tabs>
          <w:tab w:val="left" w:pos="2954"/>
        </w:tabs>
        <w:spacing w:before="121"/>
        <w:ind w:left="2953"/>
      </w:pPr>
      <w:r>
        <w:rPr>
          <w:spacing w:val="-2"/>
        </w:rPr>
        <w:t>will</w:t>
      </w:r>
      <w:r>
        <w:t xml:space="preserve"> take</w:t>
      </w:r>
      <w:r>
        <w:rPr>
          <w:spacing w:val="-2"/>
        </w:rPr>
        <w:t xml:space="preserve"> </w:t>
      </w:r>
      <w:r>
        <w:t>too</w:t>
      </w:r>
      <w:r>
        <w:rPr>
          <w:spacing w:val="-2"/>
        </w:rPr>
        <w:t xml:space="preserve"> </w:t>
      </w:r>
      <w:r>
        <w:rPr>
          <w:spacing w:val="-1"/>
        </w:rPr>
        <w:t>long</w:t>
      </w:r>
      <w:r>
        <w:t xml:space="preserve"> to</w:t>
      </w:r>
      <w:r>
        <w:rPr>
          <w:spacing w:val="-2"/>
        </w:rPr>
        <w:t xml:space="preserve"> complete;</w:t>
      </w:r>
    </w:p>
    <w:p w:rsidR="008918FA" w:rsidRDefault="008918FA" w:rsidP="008918FA">
      <w:pPr>
        <w:pStyle w:val="BodyText"/>
        <w:numPr>
          <w:ilvl w:val="3"/>
          <w:numId w:val="66"/>
        </w:numPr>
        <w:tabs>
          <w:tab w:val="left" w:pos="2954"/>
        </w:tabs>
        <w:ind w:left="2953"/>
      </w:pPr>
      <w:r>
        <w:rPr>
          <w:spacing w:val="-2"/>
        </w:rPr>
        <w:t>will</w:t>
      </w:r>
      <w:r>
        <w:t xml:space="preserve"> </w:t>
      </w:r>
      <w:r>
        <w:rPr>
          <w:spacing w:val="-1"/>
        </w:rPr>
        <w:t>not</w:t>
      </w:r>
      <w:r>
        <w:rPr>
          <w:spacing w:val="2"/>
        </w:rPr>
        <w:t xml:space="preserve"> </w:t>
      </w:r>
      <w:r>
        <w:rPr>
          <w:spacing w:val="-1"/>
        </w:rPr>
        <w:t>prevent</w:t>
      </w:r>
      <w:r>
        <w:t xml:space="preserve"> </w:t>
      </w:r>
      <w:r>
        <w:rPr>
          <w:spacing w:val="-1"/>
        </w:rPr>
        <w:t>reoccurrence</w:t>
      </w:r>
      <w:r>
        <w:rPr>
          <w:spacing w:val="1"/>
        </w:rPr>
        <w:t xml:space="preserve"> </w:t>
      </w:r>
      <w:r>
        <w:rPr>
          <w:spacing w:val="-2"/>
        </w:rPr>
        <w:t>of</w:t>
      </w:r>
      <w:r>
        <w:rPr>
          <w:spacing w:val="2"/>
        </w:rPr>
        <w:t xml:space="preserve"> </w:t>
      </w:r>
      <w:r>
        <w:t>the</w:t>
      </w:r>
      <w:r>
        <w:rPr>
          <w:spacing w:val="-2"/>
        </w:rPr>
        <w:t xml:space="preserve"> </w:t>
      </w:r>
      <w:r>
        <w:rPr>
          <w:spacing w:val="-1"/>
        </w:rPr>
        <w:t>Default;</w:t>
      </w:r>
      <w:r>
        <w:t xml:space="preserve"> </w:t>
      </w:r>
      <w:r>
        <w:rPr>
          <w:spacing w:val="-2"/>
        </w:rPr>
        <w:t>and/or</w:t>
      </w:r>
    </w:p>
    <w:p w:rsidR="008918FA" w:rsidRDefault="008918FA" w:rsidP="008918FA">
      <w:pPr>
        <w:pStyle w:val="BodyText"/>
        <w:numPr>
          <w:ilvl w:val="3"/>
          <w:numId w:val="66"/>
        </w:numPr>
        <w:tabs>
          <w:tab w:val="left" w:pos="2954"/>
        </w:tabs>
        <w:spacing w:before="121"/>
        <w:ind w:left="2953" w:right="114"/>
        <w:jc w:val="both"/>
      </w:pPr>
      <w:r>
        <w:rPr>
          <w:spacing w:val="-2"/>
        </w:rPr>
        <w:t>will</w:t>
      </w:r>
      <w:r>
        <w:rPr>
          <w:spacing w:val="7"/>
        </w:rPr>
        <w:t xml:space="preserve"> </w:t>
      </w:r>
      <w:r>
        <w:t>rectify</w:t>
      </w:r>
      <w:r>
        <w:rPr>
          <w:spacing w:val="5"/>
        </w:rPr>
        <w:t xml:space="preserve"> </w:t>
      </w:r>
      <w:r>
        <w:t>the</w:t>
      </w:r>
      <w:r>
        <w:rPr>
          <w:spacing w:val="7"/>
        </w:rPr>
        <w:t xml:space="preserve"> </w:t>
      </w:r>
      <w:r>
        <w:rPr>
          <w:spacing w:val="-2"/>
        </w:rPr>
        <w:t>Default</w:t>
      </w:r>
      <w:r>
        <w:rPr>
          <w:spacing w:val="9"/>
        </w:rPr>
        <w:t xml:space="preserve"> </w:t>
      </w:r>
      <w:r>
        <w:rPr>
          <w:spacing w:val="-2"/>
        </w:rPr>
        <w:t>but</w:t>
      </w:r>
      <w:r>
        <w:rPr>
          <w:spacing w:val="9"/>
        </w:rPr>
        <w:t xml:space="preserve"> </w:t>
      </w:r>
      <w:r>
        <w:rPr>
          <w:spacing w:val="-1"/>
        </w:rPr>
        <w:t>in</w:t>
      </w:r>
      <w:r>
        <w:rPr>
          <w:spacing w:val="7"/>
        </w:rPr>
        <w:t xml:space="preserve"> </w:t>
      </w:r>
      <w:r>
        <w:t>a</w:t>
      </w:r>
      <w:r>
        <w:rPr>
          <w:spacing w:val="7"/>
        </w:rPr>
        <w:t xml:space="preserve"> </w:t>
      </w:r>
      <w:r>
        <w:rPr>
          <w:spacing w:val="-1"/>
        </w:rPr>
        <w:t>manner</w:t>
      </w:r>
      <w:r>
        <w:rPr>
          <w:spacing w:val="9"/>
        </w:rPr>
        <w:t xml:space="preserve"> </w:t>
      </w:r>
      <w:r>
        <w:rPr>
          <w:spacing w:val="-2"/>
        </w:rPr>
        <w:t>which</w:t>
      </w:r>
      <w:r>
        <w:rPr>
          <w:spacing w:val="8"/>
        </w:rPr>
        <w:t xml:space="preserve"> </w:t>
      </w:r>
      <w:r>
        <w:rPr>
          <w:spacing w:val="-1"/>
        </w:rPr>
        <w:t>is</w:t>
      </w:r>
      <w:r>
        <w:rPr>
          <w:spacing w:val="8"/>
        </w:rPr>
        <w:t xml:space="preserve"> </w:t>
      </w:r>
      <w:r>
        <w:rPr>
          <w:spacing w:val="-1"/>
        </w:rPr>
        <w:t>unacceptable</w:t>
      </w:r>
      <w:r>
        <w:rPr>
          <w:spacing w:val="7"/>
        </w:rPr>
        <w:t xml:space="preserve"> </w:t>
      </w:r>
      <w:r>
        <w:t>to</w:t>
      </w:r>
      <w:r>
        <w:rPr>
          <w:spacing w:val="33"/>
        </w:rPr>
        <w:t xml:space="preserve"> </w:t>
      </w:r>
      <w:r>
        <w:t xml:space="preserve">the </w:t>
      </w:r>
      <w:r>
        <w:rPr>
          <w:spacing w:val="-1"/>
        </w:rPr>
        <w:t>Customer.</w:t>
      </w:r>
    </w:p>
    <w:p w:rsidR="008918FA" w:rsidRDefault="008918FA" w:rsidP="008918FA">
      <w:pPr>
        <w:pStyle w:val="BodyText"/>
        <w:numPr>
          <w:ilvl w:val="2"/>
          <w:numId w:val="66"/>
        </w:numPr>
        <w:tabs>
          <w:tab w:val="left" w:pos="2246"/>
        </w:tabs>
        <w:ind w:left="2245" w:right="112" w:hanging="993"/>
        <w:jc w:val="both"/>
      </w:pPr>
      <w:r>
        <w:t>The</w:t>
      </w:r>
      <w:r>
        <w:rPr>
          <w:spacing w:val="10"/>
        </w:rPr>
        <w:t xml:space="preserve"> </w:t>
      </w:r>
      <w:r>
        <w:rPr>
          <w:spacing w:val="-2"/>
        </w:rPr>
        <w:t>Customer</w:t>
      </w:r>
      <w:r>
        <w:rPr>
          <w:spacing w:val="11"/>
        </w:rPr>
        <w:t xml:space="preserve"> </w:t>
      </w:r>
      <w:r>
        <w:rPr>
          <w:spacing w:val="-1"/>
        </w:rPr>
        <w:t>shall</w:t>
      </w:r>
      <w:r>
        <w:rPr>
          <w:spacing w:val="9"/>
        </w:rPr>
        <w:t xml:space="preserve"> </w:t>
      </w:r>
      <w:r>
        <w:rPr>
          <w:spacing w:val="-1"/>
        </w:rPr>
        <w:t>notify</w:t>
      </w:r>
      <w:r>
        <w:rPr>
          <w:spacing w:val="8"/>
        </w:rPr>
        <w:t xml:space="preserve"> </w:t>
      </w:r>
      <w:r>
        <w:t>the</w:t>
      </w:r>
      <w:r>
        <w:rPr>
          <w:spacing w:val="10"/>
        </w:rPr>
        <w:t xml:space="preserve"> </w:t>
      </w:r>
      <w:r>
        <w:rPr>
          <w:spacing w:val="-2"/>
        </w:rPr>
        <w:t>Supplier</w:t>
      </w:r>
      <w:r>
        <w:rPr>
          <w:spacing w:val="14"/>
        </w:rPr>
        <w:t xml:space="preserve"> </w:t>
      </w:r>
      <w:r>
        <w:rPr>
          <w:spacing w:val="-1"/>
        </w:rPr>
        <w:t>whether</w:t>
      </w:r>
      <w:r>
        <w:rPr>
          <w:spacing w:val="11"/>
        </w:rPr>
        <w:t xml:space="preserve"> </w:t>
      </w:r>
      <w:r>
        <w:rPr>
          <w:spacing w:val="-1"/>
        </w:rPr>
        <w:t>it</w:t>
      </w:r>
      <w:r>
        <w:rPr>
          <w:spacing w:val="11"/>
        </w:rPr>
        <w:t xml:space="preserve"> </w:t>
      </w:r>
      <w:r>
        <w:rPr>
          <w:spacing w:val="-1"/>
        </w:rPr>
        <w:t>consents</w:t>
      </w:r>
      <w:r>
        <w:rPr>
          <w:spacing w:val="10"/>
        </w:rPr>
        <w:t xml:space="preserve"> </w:t>
      </w:r>
      <w:r>
        <w:t>to</w:t>
      </w:r>
      <w:r>
        <w:rPr>
          <w:spacing w:val="7"/>
        </w:rPr>
        <w:t xml:space="preserve"> </w:t>
      </w:r>
      <w:r>
        <w:t>the</w:t>
      </w:r>
      <w:r>
        <w:rPr>
          <w:spacing w:val="10"/>
        </w:rPr>
        <w:t xml:space="preserve"> </w:t>
      </w:r>
      <w:r>
        <w:rPr>
          <w:spacing w:val="-1"/>
        </w:rPr>
        <w:t>draft</w:t>
      </w:r>
      <w:r>
        <w:rPr>
          <w:spacing w:val="57"/>
        </w:rPr>
        <w:t xml:space="preserve"> </w:t>
      </w:r>
      <w:r>
        <w:rPr>
          <w:spacing w:val="-1"/>
        </w:rPr>
        <w:t>Rectification</w:t>
      </w:r>
      <w:r>
        <w:rPr>
          <w:spacing w:val="22"/>
        </w:rPr>
        <w:t xml:space="preserve"> </w:t>
      </w:r>
      <w:r>
        <w:rPr>
          <w:spacing w:val="-1"/>
        </w:rPr>
        <w:t>Plan</w:t>
      </w:r>
      <w:r>
        <w:rPr>
          <w:spacing w:val="22"/>
        </w:rPr>
        <w:t xml:space="preserve"> </w:t>
      </w:r>
      <w:r>
        <w:rPr>
          <w:spacing w:val="-1"/>
        </w:rPr>
        <w:t>as</w:t>
      </w:r>
      <w:r>
        <w:rPr>
          <w:spacing w:val="22"/>
        </w:rPr>
        <w:t xml:space="preserve"> </w:t>
      </w:r>
      <w:r>
        <w:rPr>
          <w:spacing w:val="-1"/>
        </w:rPr>
        <w:t>soon</w:t>
      </w:r>
      <w:r>
        <w:rPr>
          <w:spacing w:val="22"/>
        </w:rPr>
        <w:t xml:space="preserve"> </w:t>
      </w:r>
      <w:r>
        <w:rPr>
          <w:spacing w:val="-1"/>
        </w:rPr>
        <w:t>as</w:t>
      </w:r>
      <w:r>
        <w:rPr>
          <w:spacing w:val="22"/>
        </w:rPr>
        <w:t xml:space="preserve"> </w:t>
      </w:r>
      <w:r>
        <w:rPr>
          <w:spacing w:val="-1"/>
        </w:rPr>
        <w:t>reasonably</w:t>
      </w:r>
      <w:r>
        <w:rPr>
          <w:spacing w:val="20"/>
        </w:rPr>
        <w:t xml:space="preserve"> </w:t>
      </w:r>
      <w:r>
        <w:rPr>
          <w:spacing w:val="-1"/>
        </w:rPr>
        <w:t>practicable.</w:t>
      </w:r>
      <w:r>
        <w:rPr>
          <w:spacing w:val="23"/>
        </w:rPr>
        <w:t xml:space="preserve"> </w:t>
      </w:r>
      <w:r>
        <w:rPr>
          <w:spacing w:val="-1"/>
        </w:rPr>
        <w:t>If</w:t>
      </w:r>
      <w:r>
        <w:rPr>
          <w:spacing w:val="26"/>
        </w:rPr>
        <w:t xml:space="preserve"> </w:t>
      </w:r>
      <w:r>
        <w:t>the</w:t>
      </w:r>
      <w:r>
        <w:rPr>
          <w:spacing w:val="22"/>
        </w:rPr>
        <w:t xml:space="preserve"> </w:t>
      </w:r>
      <w:r>
        <w:rPr>
          <w:spacing w:val="-2"/>
        </w:rPr>
        <w:t>Customer</w:t>
      </w:r>
      <w:r>
        <w:rPr>
          <w:spacing w:val="41"/>
        </w:rPr>
        <w:t xml:space="preserve"> </w:t>
      </w:r>
      <w:r>
        <w:rPr>
          <w:spacing w:val="-1"/>
        </w:rPr>
        <w:t>rejects</w:t>
      </w:r>
      <w:r>
        <w:rPr>
          <w:spacing w:val="5"/>
        </w:rPr>
        <w:t xml:space="preserve"> </w:t>
      </w:r>
      <w:r>
        <w:t>the</w:t>
      </w:r>
      <w:r>
        <w:rPr>
          <w:spacing w:val="5"/>
        </w:rPr>
        <w:t xml:space="preserve"> </w:t>
      </w:r>
      <w:r>
        <w:rPr>
          <w:spacing w:val="-1"/>
        </w:rPr>
        <w:t>draft</w:t>
      </w:r>
      <w:r>
        <w:rPr>
          <w:spacing w:val="7"/>
        </w:rPr>
        <w:t xml:space="preserve"> </w:t>
      </w:r>
      <w:r>
        <w:rPr>
          <w:spacing w:val="-1"/>
        </w:rPr>
        <w:t>Rectification</w:t>
      </w:r>
      <w:r>
        <w:rPr>
          <w:spacing w:val="5"/>
        </w:rPr>
        <w:t xml:space="preserve"> </w:t>
      </w:r>
      <w:r>
        <w:rPr>
          <w:spacing w:val="-1"/>
        </w:rPr>
        <w:t>Plan,</w:t>
      </w:r>
      <w:r>
        <w:rPr>
          <w:spacing w:val="7"/>
        </w:rPr>
        <w:t xml:space="preserve"> </w:t>
      </w:r>
      <w:r>
        <w:t>the</w:t>
      </w:r>
      <w:r>
        <w:rPr>
          <w:spacing w:val="5"/>
        </w:rPr>
        <w:t xml:space="preserve"> </w:t>
      </w:r>
      <w:r>
        <w:rPr>
          <w:spacing w:val="-1"/>
        </w:rPr>
        <w:t>Customer</w:t>
      </w:r>
      <w:r>
        <w:rPr>
          <w:spacing w:val="4"/>
        </w:rPr>
        <w:t xml:space="preserve"> </w:t>
      </w:r>
      <w:r>
        <w:rPr>
          <w:spacing w:val="-1"/>
        </w:rPr>
        <w:t>shall</w:t>
      </w:r>
      <w:r>
        <w:rPr>
          <w:spacing w:val="4"/>
        </w:rPr>
        <w:t xml:space="preserve"> </w:t>
      </w:r>
      <w:r>
        <w:rPr>
          <w:spacing w:val="-1"/>
        </w:rPr>
        <w:t>give</w:t>
      </w:r>
      <w:r>
        <w:rPr>
          <w:spacing w:val="5"/>
        </w:rPr>
        <w:t xml:space="preserve"> </w:t>
      </w:r>
      <w:r>
        <w:rPr>
          <w:spacing w:val="-1"/>
        </w:rPr>
        <w:t>reasons</w:t>
      </w:r>
      <w:r>
        <w:rPr>
          <w:spacing w:val="5"/>
        </w:rPr>
        <w:t xml:space="preserve"> </w:t>
      </w:r>
      <w:r>
        <w:t>for</w:t>
      </w:r>
      <w:r>
        <w:rPr>
          <w:spacing w:val="23"/>
        </w:rPr>
        <w:t xml:space="preserve"> </w:t>
      </w:r>
      <w:r>
        <w:rPr>
          <w:spacing w:val="-1"/>
        </w:rPr>
        <w:t>its</w:t>
      </w:r>
      <w:r>
        <w:rPr>
          <w:spacing w:val="10"/>
        </w:rPr>
        <w:t xml:space="preserve"> </w:t>
      </w:r>
      <w:r>
        <w:rPr>
          <w:spacing w:val="-1"/>
        </w:rPr>
        <w:t>decision</w:t>
      </w:r>
      <w:r>
        <w:rPr>
          <w:spacing w:val="10"/>
        </w:rPr>
        <w:t xml:space="preserve"> </w:t>
      </w:r>
      <w:r>
        <w:rPr>
          <w:spacing w:val="-1"/>
        </w:rPr>
        <w:t>and</w:t>
      </w:r>
      <w:r>
        <w:rPr>
          <w:spacing w:val="10"/>
        </w:rPr>
        <w:t xml:space="preserve"> </w:t>
      </w:r>
      <w:r>
        <w:t>the</w:t>
      </w:r>
      <w:r>
        <w:rPr>
          <w:spacing w:val="7"/>
        </w:rPr>
        <w:t xml:space="preserve"> </w:t>
      </w:r>
      <w:r>
        <w:rPr>
          <w:spacing w:val="-2"/>
        </w:rPr>
        <w:t>Supplier</w:t>
      </w:r>
      <w:r>
        <w:rPr>
          <w:spacing w:val="11"/>
        </w:rPr>
        <w:t xml:space="preserve"> </w:t>
      </w:r>
      <w:r>
        <w:rPr>
          <w:spacing w:val="-1"/>
        </w:rPr>
        <w:t>shall</w:t>
      </w:r>
      <w:r>
        <w:rPr>
          <w:spacing w:val="9"/>
        </w:rPr>
        <w:t xml:space="preserve"> </w:t>
      </w:r>
      <w:r>
        <w:t>take</w:t>
      </w:r>
      <w:r>
        <w:rPr>
          <w:spacing w:val="9"/>
        </w:rPr>
        <w:t xml:space="preserve"> </w:t>
      </w:r>
      <w:r>
        <w:t>the</w:t>
      </w:r>
      <w:r>
        <w:rPr>
          <w:spacing w:val="7"/>
        </w:rPr>
        <w:t xml:space="preserve"> </w:t>
      </w:r>
      <w:r>
        <w:rPr>
          <w:spacing w:val="-1"/>
        </w:rPr>
        <w:t>reasons</w:t>
      </w:r>
      <w:r>
        <w:rPr>
          <w:spacing w:val="10"/>
        </w:rPr>
        <w:t xml:space="preserve"> </w:t>
      </w:r>
      <w:r>
        <w:rPr>
          <w:spacing w:val="-1"/>
        </w:rPr>
        <w:t>into</w:t>
      </w:r>
      <w:r>
        <w:rPr>
          <w:spacing w:val="10"/>
        </w:rPr>
        <w:t xml:space="preserve"> </w:t>
      </w:r>
      <w:r>
        <w:rPr>
          <w:spacing w:val="-1"/>
        </w:rPr>
        <w:t>account</w:t>
      </w:r>
      <w:r>
        <w:rPr>
          <w:spacing w:val="11"/>
        </w:rPr>
        <w:t xml:space="preserve"> </w:t>
      </w:r>
      <w:r>
        <w:rPr>
          <w:spacing w:val="-1"/>
        </w:rPr>
        <w:t>in</w:t>
      </w:r>
      <w:r>
        <w:rPr>
          <w:spacing w:val="10"/>
        </w:rPr>
        <w:t xml:space="preserve"> </w:t>
      </w:r>
      <w:r>
        <w:rPr>
          <w:spacing w:val="-1"/>
        </w:rPr>
        <w:t>the</w:t>
      </w:r>
      <w:r>
        <w:rPr>
          <w:spacing w:val="35"/>
        </w:rPr>
        <w:t xml:space="preserve"> </w:t>
      </w:r>
      <w:r>
        <w:rPr>
          <w:spacing w:val="-1"/>
        </w:rPr>
        <w:t>preparation</w:t>
      </w:r>
      <w:r>
        <w:rPr>
          <w:spacing w:val="27"/>
        </w:rPr>
        <w:t xml:space="preserve"> </w:t>
      </w:r>
      <w:r>
        <w:rPr>
          <w:spacing w:val="-1"/>
        </w:rPr>
        <w:t>of</w:t>
      </w:r>
      <w:r>
        <w:rPr>
          <w:spacing w:val="30"/>
        </w:rPr>
        <w:t xml:space="preserve"> </w:t>
      </w:r>
      <w:r>
        <w:t>a</w:t>
      </w:r>
      <w:r>
        <w:rPr>
          <w:spacing w:val="27"/>
        </w:rPr>
        <w:t xml:space="preserve"> </w:t>
      </w:r>
      <w:r>
        <w:rPr>
          <w:spacing w:val="-1"/>
        </w:rPr>
        <w:t>revised</w:t>
      </w:r>
      <w:r>
        <w:rPr>
          <w:spacing w:val="27"/>
        </w:rPr>
        <w:t xml:space="preserve"> </w:t>
      </w:r>
      <w:r>
        <w:rPr>
          <w:spacing w:val="-1"/>
        </w:rPr>
        <w:t>Rectification</w:t>
      </w:r>
      <w:r>
        <w:rPr>
          <w:spacing w:val="27"/>
        </w:rPr>
        <w:t xml:space="preserve"> </w:t>
      </w:r>
      <w:r>
        <w:rPr>
          <w:spacing w:val="-1"/>
        </w:rPr>
        <w:t>Plan.</w:t>
      </w:r>
      <w:r>
        <w:rPr>
          <w:spacing w:val="28"/>
        </w:rPr>
        <w:t xml:space="preserve"> </w:t>
      </w:r>
      <w:r>
        <w:t>The</w:t>
      </w:r>
      <w:r>
        <w:rPr>
          <w:spacing w:val="27"/>
        </w:rPr>
        <w:t xml:space="preserve"> </w:t>
      </w:r>
      <w:r>
        <w:rPr>
          <w:spacing w:val="-2"/>
        </w:rPr>
        <w:t>Supplier</w:t>
      </w:r>
      <w:r>
        <w:rPr>
          <w:spacing w:val="28"/>
        </w:rPr>
        <w:t xml:space="preserve"> </w:t>
      </w:r>
      <w:r>
        <w:rPr>
          <w:spacing w:val="-1"/>
        </w:rPr>
        <w:t>shall</w:t>
      </w:r>
      <w:r>
        <w:rPr>
          <w:spacing w:val="28"/>
        </w:rPr>
        <w:t xml:space="preserve"> </w:t>
      </w:r>
      <w:r>
        <w:rPr>
          <w:spacing w:val="-1"/>
        </w:rPr>
        <w:t>submit</w:t>
      </w:r>
      <w:r>
        <w:rPr>
          <w:spacing w:val="33"/>
        </w:rPr>
        <w:t xml:space="preserve"> </w:t>
      </w:r>
      <w:r>
        <w:t>the</w:t>
      </w:r>
      <w:r>
        <w:rPr>
          <w:spacing w:val="29"/>
        </w:rPr>
        <w:t xml:space="preserve"> </w:t>
      </w:r>
      <w:r>
        <w:rPr>
          <w:spacing w:val="-1"/>
        </w:rPr>
        <w:t>revised</w:t>
      </w:r>
      <w:r>
        <w:rPr>
          <w:spacing w:val="29"/>
        </w:rPr>
        <w:t xml:space="preserve"> </w:t>
      </w:r>
      <w:r>
        <w:rPr>
          <w:spacing w:val="-1"/>
        </w:rPr>
        <w:t>draft</w:t>
      </w:r>
      <w:r>
        <w:rPr>
          <w:spacing w:val="30"/>
        </w:rPr>
        <w:t xml:space="preserve"> </w:t>
      </w:r>
      <w:r>
        <w:rPr>
          <w:spacing w:val="-2"/>
        </w:rPr>
        <w:t>of</w:t>
      </w:r>
      <w:r>
        <w:rPr>
          <w:spacing w:val="30"/>
        </w:rPr>
        <w:t xml:space="preserve"> </w:t>
      </w:r>
      <w:r>
        <w:t>the</w:t>
      </w:r>
      <w:r>
        <w:rPr>
          <w:spacing w:val="27"/>
        </w:rPr>
        <w:t xml:space="preserve"> </w:t>
      </w:r>
      <w:r>
        <w:rPr>
          <w:spacing w:val="-1"/>
        </w:rPr>
        <w:t>Rectification</w:t>
      </w:r>
      <w:r>
        <w:rPr>
          <w:spacing w:val="29"/>
        </w:rPr>
        <w:t xml:space="preserve"> </w:t>
      </w:r>
      <w:r>
        <w:rPr>
          <w:spacing w:val="-1"/>
        </w:rPr>
        <w:t>Plan</w:t>
      </w:r>
      <w:r>
        <w:rPr>
          <w:spacing w:val="29"/>
        </w:rPr>
        <w:t xml:space="preserve"> </w:t>
      </w:r>
      <w:r>
        <w:t>to</w:t>
      </w:r>
      <w:r>
        <w:rPr>
          <w:spacing w:val="29"/>
        </w:rPr>
        <w:t xml:space="preserve"> </w:t>
      </w:r>
      <w:r>
        <w:t>the</w:t>
      </w:r>
      <w:r>
        <w:rPr>
          <w:spacing w:val="27"/>
        </w:rPr>
        <w:t xml:space="preserve"> </w:t>
      </w:r>
      <w:r>
        <w:rPr>
          <w:spacing w:val="-1"/>
        </w:rPr>
        <w:t>Customer</w:t>
      </w:r>
      <w:r>
        <w:rPr>
          <w:spacing w:val="28"/>
        </w:rPr>
        <w:t xml:space="preserve"> </w:t>
      </w:r>
      <w:r>
        <w:t>for</w:t>
      </w:r>
      <w:r>
        <w:rPr>
          <w:spacing w:val="30"/>
        </w:rPr>
        <w:t xml:space="preserve"> </w:t>
      </w:r>
      <w:r>
        <w:rPr>
          <w:spacing w:val="-2"/>
        </w:rPr>
        <w:t>review</w:t>
      </w:r>
      <w:r>
        <w:rPr>
          <w:spacing w:val="30"/>
        </w:rPr>
        <w:t xml:space="preserve"> </w:t>
      </w:r>
      <w:r>
        <w:rPr>
          <w:spacing w:val="-1"/>
        </w:rPr>
        <w:t>within</w:t>
      </w:r>
      <w:r>
        <w:rPr>
          <w:spacing w:val="15"/>
        </w:rPr>
        <w:t xml:space="preserve"> </w:t>
      </w:r>
      <w:r>
        <w:rPr>
          <w:spacing w:val="-1"/>
        </w:rPr>
        <w:t>five</w:t>
      </w:r>
      <w:r>
        <w:rPr>
          <w:spacing w:val="15"/>
        </w:rPr>
        <w:t xml:space="preserve"> </w:t>
      </w:r>
      <w:r>
        <w:t>(5)</w:t>
      </w:r>
      <w:r>
        <w:rPr>
          <w:spacing w:val="11"/>
        </w:rPr>
        <w:t xml:space="preserve"> </w:t>
      </w:r>
      <w:r>
        <w:rPr>
          <w:spacing w:val="-1"/>
        </w:rPr>
        <w:t>Working</w:t>
      </w:r>
      <w:r>
        <w:rPr>
          <w:spacing w:val="17"/>
        </w:rPr>
        <w:t xml:space="preserve"> </w:t>
      </w:r>
      <w:r>
        <w:rPr>
          <w:spacing w:val="-2"/>
        </w:rPr>
        <w:t>Days</w:t>
      </w:r>
      <w:r>
        <w:rPr>
          <w:spacing w:val="15"/>
        </w:rPr>
        <w:t xml:space="preserve"> </w:t>
      </w:r>
      <w:r>
        <w:rPr>
          <w:spacing w:val="-1"/>
        </w:rPr>
        <w:t>(or</w:t>
      </w:r>
      <w:r>
        <w:rPr>
          <w:spacing w:val="16"/>
        </w:rPr>
        <w:t xml:space="preserve"> </w:t>
      </w:r>
      <w:r>
        <w:rPr>
          <w:spacing w:val="-1"/>
        </w:rPr>
        <w:t>such</w:t>
      </w:r>
      <w:r>
        <w:rPr>
          <w:spacing w:val="15"/>
        </w:rPr>
        <w:t xml:space="preserve"> </w:t>
      </w:r>
      <w:r>
        <w:rPr>
          <w:spacing w:val="-1"/>
        </w:rPr>
        <w:t>other</w:t>
      </w:r>
      <w:r>
        <w:rPr>
          <w:spacing w:val="16"/>
        </w:rPr>
        <w:t xml:space="preserve"> </w:t>
      </w:r>
      <w:r>
        <w:rPr>
          <w:spacing w:val="-2"/>
        </w:rPr>
        <w:t>period</w:t>
      </w:r>
      <w:r>
        <w:rPr>
          <w:spacing w:val="15"/>
        </w:rPr>
        <w:t xml:space="preserve"> </w:t>
      </w:r>
      <w:r>
        <w:rPr>
          <w:spacing w:val="-1"/>
        </w:rPr>
        <w:t>as</w:t>
      </w:r>
      <w:r>
        <w:rPr>
          <w:spacing w:val="15"/>
        </w:rPr>
        <w:t xml:space="preserve"> </w:t>
      </w:r>
      <w:r>
        <w:rPr>
          <w:spacing w:val="-1"/>
        </w:rPr>
        <w:t>agreed</w:t>
      </w:r>
      <w:r>
        <w:rPr>
          <w:spacing w:val="15"/>
        </w:rPr>
        <w:t xml:space="preserve"> </w:t>
      </w:r>
      <w:r>
        <w:rPr>
          <w:spacing w:val="-2"/>
        </w:rPr>
        <w:t>between</w:t>
      </w:r>
      <w:r>
        <w:rPr>
          <w:spacing w:val="54"/>
        </w:rPr>
        <w:t xml:space="preserve"> </w:t>
      </w:r>
      <w:r>
        <w:t xml:space="preserve">the </w:t>
      </w:r>
      <w:r>
        <w:rPr>
          <w:spacing w:val="-1"/>
        </w:rPr>
        <w:t>Parties)</w:t>
      </w:r>
      <w:r>
        <w:t xml:space="preserve"> </w:t>
      </w:r>
      <w:r>
        <w:rPr>
          <w:spacing w:val="-2"/>
        </w:rPr>
        <w:t>of</w:t>
      </w:r>
      <w:r>
        <w:rPr>
          <w:spacing w:val="2"/>
        </w:rPr>
        <w:t xml:space="preserve"> </w:t>
      </w:r>
      <w:r>
        <w:t>the</w:t>
      </w:r>
      <w:r>
        <w:rPr>
          <w:spacing w:val="-2"/>
        </w:rPr>
        <w:t xml:space="preserve"> </w:t>
      </w:r>
      <w:r>
        <w:rPr>
          <w:spacing w:val="-1"/>
        </w:rPr>
        <w:t>Customer’s</w:t>
      </w:r>
      <w:r>
        <w:rPr>
          <w:spacing w:val="1"/>
        </w:rPr>
        <w:t xml:space="preserve"> </w:t>
      </w:r>
      <w:r>
        <w:rPr>
          <w:spacing w:val="-2"/>
        </w:rPr>
        <w:t>notice</w:t>
      </w:r>
      <w:r>
        <w:rPr>
          <w:spacing w:val="1"/>
        </w:rPr>
        <w:t xml:space="preserve"> </w:t>
      </w:r>
      <w:r>
        <w:rPr>
          <w:spacing w:val="-1"/>
        </w:rPr>
        <w:t>rejecting</w:t>
      </w:r>
      <w:r>
        <w:t xml:space="preserve"> the</w:t>
      </w:r>
      <w:r>
        <w:rPr>
          <w:spacing w:val="-4"/>
        </w:rPr>
        <w:t xml:space="preserve"> </w:t>
      </w:r>
      <w:r>
        <w:rPr>
          <w:spacing w:val="-1"/>
        </w:rPr>
        <w:t>first</w:t>
      </w:r>
      <w:r>
        <w:rPr>
          <w:spacing w:val="2"/>
        </w:rPr>
        <w:t xml:space="preserve"> </w:t>
      </w:r>
      <w:r>
        <w:rPr>
          <w:spacing w:val="-1"/>
        </w:rPr>
        <w:t>draft.</w:t>
      </w:r>
    </w:p>
    <w:p w:rsidR="008918FA" w:rsidRDefault="008918FA" w:rsidP="008918FA">
      <w:pPr>
        <w:pStyle w:val="BodyText"/>
        <w:numPr>
          <w:ilvl w:val="2"/>
          <w:numId w:val="66"/>
        </w:numPr>
        <w:tabs>
          <w:tab w:val="left" w:pos="2246"/>
        </w:tabs>
        <w:spacing w:before="121"/>
        <w:ind w:left="2245" w:right="116" w:hanging="993"/>
        <w:jc w:val="both"/>
      </w:pPr>
      <w:r>
        <w:rPr>
          <w:spacing w:val="-1"/>
        </w:rPr>
        <w:t>If</w:t>
      </w:r>
      <w:r>
        <w:rPr>
          <w:spacing w:val="30"/>
        </w:rPr>
        <w:t xml:space="preserve"> </w:t>
      </w:r>
      <w:r>
        <w:t>the</w:t>
      </w:r>
      <w:r>
        <w:rPr>
          <w:spacing w:val="29"/>
        </w:rPr>
        <w:t xml:space="preserve"> </w:t>
      </w:r>
      <w:r>
        <w:rPr>
          <w:spacing w:val="-2"/>
        </w:rPr>
        <w:t>Customer</w:t>
      </w:r>
      <w:r>
        <w:rPr>
          <w:spacing w:val="30"/>
        </w:rPr>
        <w:t xml:space="preserve"> </w:t>
      </w:r>
      <w:r>
        <w:rPr>
          <w:spacing w:val="-1"/>
        </w:rPr>
        <w:t>consents</w:t>
      </w:r>
      <w:r>
        <w:rPr>
          <w:spacing w:val="30"/>
        </w:rPr>
        <w:t xml:space="preserve"> </w:t>
      </w:r>
      <w:r>
        <w:t>to</w:t>
      </w:r>
      <w:r>
        <w:rPr>
          <w:spacing w:val="27"/>
        </w:rPr>
        <w:t xml:space="preserve"> </w:t>
      </w:r>
      <w:r>
        <w:t>the</w:t>
      </w:r>
      <w:r>
        <w:rPr>
          <w:spacing w:val="29"/>
        </w:rPr>
        <w:t xml:space="preserve"> </w:t>
      </w:r>
      <w:r>
        <w:rPr>
          <w:spacing w:val="-1"/>
        </w:rPr>
        <w:t>Rectification</w:t>
      </w:r>
      <w:r>
        <w:rPr>
          <w:spacing w:val="29"/>
        </w:rPr>
        <w:t xml:space="preserve"> </w:t>
      </w:r>
      <w:r>
        <w:rPr>
          <w:spacing w:val="-1"/>
        </w:rPr>
        <w:t>Plan,</w:t>
      </w:r>
      <w:r>
        <w:rPr>
          <w:spacing w:val="30"/>
        </w:rPr>
        <w:t xml:space="preserve"> </w:t>
      </w:r>
      <w:r>
        <w:t>the</w:t>
      </w:r>
      <w:r>
        <w:rPr>
          <w:spacing w:val="27"/>
        </w:rPr>
        <w:t xml:space="preserve"> </w:t>
      </w:r>
      <w:r>
        <w:rPr>
          <w:spacing w:val="-2"/>
        </w:rPr>
        <w:t>Supplier</w:t>
      </w:r>
      <w:r>
        <w:rPr>
          <w:spacing w:val="30"/>
        </w:rPr>
        <w:t xml:space="preserve"> </w:t>
      </w:r>
      <w:r>
        <w:rPr>
          <w:spacing w:val="-1"/>
        </w:rPr>
        <w:t>shall</w:t>
      </w:r>
      <w:r>
        <w:rPr>
          <w:spacing w:val="35"/>
        </w:rPr>
        <w:t xml:space="preserve"> </w:t>
      </w:r>
      <w:r>
        <w:rPr>
          <w:spacing w:val="-1"/>
        </w:rPr>
        <w:t>immediately</w:t>
      </w:r>
      <w:r>
        <w:rPr>
          <w:spacing w:val="-2"/>
        </w:rPr>
        <w:t xml:space="preserve"> </w:t>
      </w:r>
      <w:r>
        <w:rPr>
          <w:spacing w:val="-1"/>
        </w:rPr>
        <w:t>start</w:t>
      </w:r>
      <w:r>
        <w:t xml:space="preserve"> </w:t>
      </w:r>
      <w:r>
        <w:rPr>
          <w:spacing w:val="-2"/>
        </w:rPr>
        <w:t>work</w:t>
      </w:r>
      <w:r>
        <w:rPr>
          <w:spacing w:val="1"/>
        </w:rPr>
        <w:t xml:space="preserve"> </w:t>
      </w:r>
      <w:r>
        <w:rPr>
          <w:spacing w:val="-2"/>
        </w:rPr>
        <w:t>on</w:t>
      </w:r>
      <w:r>
        <w:t xml:space="preserve"> the</w:t>
      </w:r>
      <w:r>
        <w:rPr>
          <w:spacing w:val="-2"/>
        </w:rPr>
        <w:t xml:space="preserve"> </w:t>
      </w:r>
      <w:r>
        <w:rPr>
          <w:spacing w:val="-1"/>
        </w:rPr>
        <w:t>actions</w:t>
      </w:r>
      <w:r>
        <w:rPr>
          <w:spacing w:val="-2"/>
        </w:rPr>
        <w:t xml:space="preserve"> </w:t>
      </w:r>
      <w:r>
        <w:rPr>
          <w:spacing w:val="-1"/>
        </w:rPr>
        <w:t>set</w:t>
      </w:r>
      <w:r>
        <w:t xml:space="preserve"> </w:t>
      </w:r>
      <w:r>
        <w:rPr>
          <w:spacing w:val="-2"/>
        </w:rPr>
        <w:t>out</w:t>
      </w:r>
      <w:r>
        <w:rPr>
          <w:spacing w:val="2"/>
        </w:rPr>
        <w:t xml:space="preserve"> </w:t>
      </w:r>
      <w:r>
        <w:rPr>
          <w:spacing w:val="-1"/>
        </w:rPr>
        <w:t>in</w:t>
      </w:r>
      <w:r>
        <w:rPr>
          <w:spacing w:val="-2"/>
        </w:rPr>
        <w:t xml:space="preserve"> </w:t>
      </w:r>
      <w:r>
        <w:rPr>
          <w:spacing w:val="-1"/>
        </w:rPr>
        <w:t>the</w:t>
      </w:r>
      <w:r>
        <w:t xml:space="preserve"> </w:t>
      </w:r>
      <w:r>
        <w:rPr>
          <w:spacing w:val="-1"/>
        </w:rPr>
        <w:t>Rectification</w:t>
      </w:r>
      <w:r>
        <w:t xml:space="preserve"> </w:t>
      </w:r>
      <w:r>
        <w:rPr>
          <w:spacing w:val="-2"/>
        </w:rPr>
        <w:t>Plan.</w:t>
      </w:r>
    </w:p>
    <w:p w:rsidR="008918FA" w:rsidRDefault="008918FA" w:rsidP="008918FA">
      <w:pPr>
        <w:pStyle w:val="BodyText"/>
        <w:numPr>
          <w:ilvl w:val="0"/>
          <w:numId w:val="66"/>
        </w:numPr>
        <w:tabs>
          <w:tab w:val="left" w:pos="686"/>
        </w:tabs>
        <w:spacing w:before="120"/>
        <w:ind w:left="685" w:hanging="566"/>
        <w:rPr>
          <w:rFonts w:ascii="Times New Roman" w:eastAsia="Times New Roman" w:hAnsi="Times New Roman" w:cs="Times New Roman"/>
        </w:rPr>
      </w:pPr>
      <w:bookmarkStart w:id="262" w:name="_bookmark222"/>
      <w:bookmarkEnd w:id="262"/>
      <w:r>
        <w:rPr>
          <w:rFonts w:ascii="Times New Roman"/>
          <w:spacing w:val="8"/>
        </w:rPr>
        <w:t>SUPPLIER</w:t>
      </w:r>
      <w:r>
        <w:rPr>
          <w:rFonts w:ascii="Times New Roman"/>
          <w:spacing w:val="18"/>
        </w:rPr>
        <w:t xml:space="preserve"> </w:t>
      </w:r>
      <w:r>
        <w:rPr>
          <w:rFonts w:ascii="Times New Roman"/>
          <w:spacing w:val="3"/>
        </w:rPr>
        <w:t>RELIEF</w:t>
      </w:r>
      <w:r>
        <w:rPr>
          <w:rFonts w:ascii="Times New Roman"/>
          <w:spacing w:val="19"/>
        </w:rPr>
        <w:t xml:space="preserve"> </w:t>
      </w:r>
      <w:r>
        <w:rPr>
          <w:rFonts w:ascii="Times New Roman"/>
          <w:spacing w:val="-2"/>
        </w:rPr>
        <w:t>DUE</w:t>
      </w:r>
      <w:r>
        <w:rPr>
          <w:rFonts w:ascii="Times New Roman"/>
          <w:spacing w:val="18"/>
        </w:rPr>
        <w:t xml:space="preserve"> </w:t>
      </w:r>
      <w:r>
        <w:rPr>
          <w:rFonts w:ascii="Times New Roman"/>
          <w:spacing w:val="-2"/>
        </w:rPr>
        <w:t>TO</w:t>
      </w:r>
      <w:r>
        <w:rPr>
          <w:rFonts w:ascii="Times New Roman"/>
          <w:spacing w:val="20"/>
        </w:rPr>
        <w:t xml:space="preserve"> </w:t>
      </w:r>
      <w:r>
        <w:rPr>
          <w:rFonts w:ascii="Times New Roman"/>
          <w:spacing w:val="3"/>
        </w:rPr>
        <w:t>CUS</w:t>
      </w:r>
      <w:r>
        <w:rPr>
          <w:rFonts w:ascii="Times New Roman"/>
          <w:spacing w:val="-32"/>
        </w:rPr>
        <w:t xml:space="preserve"> </w:t>
      </w:r>
      <w:r>
        <w:rPr>
          <w:rFonts w:ascii="Times New Roman"/>
          <w:spacing w:val="1"/>
        </w:rPr>
        <w:t>TOMER</w:t>
      </w:r>
      <w:r>
        <w:rPr>
          <w:rFonts w:ascii="Times New Roman"/>
          <w:spacing w:val="18"/>
        </w:rPr>
        <w:t xml:space="preserve"> </w:t>
      </w:r>
      <w:r>
        <w:rPr>
          <w:rFonts w:ascii="Times New Roman"/>
          <w:spacing w:val="6"/>
        </w:rPr>
        <w:t>CAUSE</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53"/>
        </w:tabs>
        <w:spacing w:before="0"/>
        <w:ind w:left="689" w:hanging="1"/>
      </w:pPr>
      <w:bookmarkStart w:id="263" w:name="_bookmark223"/>
      <w:bookmarkEnd w:id="263"/>
      <w:r>
        <w:rPr>
          <w:spacing w:val="-1"/>
        </w:rPr>
        <w:t>If</w:t>
      </w:r>
      <w:r>
        <w:rPr>
          <w:spacing w:val="2"/>
        </w:rPr>
        <w:t xml:space="preserve"> </w:t>
      </w:r>
      <w:r>
        <w:t>the</w:t>
      </w:r>
      <w:r>
        <w:rPr>
          <w:spacing w:val="-2"/>
        </w:rPr>
        <w:t xml:space="preserve"> Supplier</w:t>
      </w:r>
      <w:r>
        <w:rPr>
          <w:spacing w:val="2"/>
        </w:rPr>
        <w:t xml:space="preserve"> </w:t>
      </w:r>
      <w:r>
        <w:rPr>
          <w:spacing w:val="-1"/>
        </w:rPr>
        <w:t>has</w:t>
      </w:r>
      <w:r>
        <w:rPr>
          <w:spacing w:val="-4"/>
        </w:rPr>
        <w:t xml:space="preserve"> </w:t>
      </w:r>
      <w:r>
        <w:rPr>
          <w:spacing w:val="-1"/>
        </w:rPr>
        <w:t>failed</w:t>
      </w:r>
      <w:r>
        <w:rPr>
          <w:spacing w:val="-2"/>
        </w:rPr>
        <w:t xml:space="preserve"> </w:t>
      </w:r>
      <w:r>
        <w:rPr>
          <w:spacing w:val="-1"/>
        </w:rPr>
        <w:t>to:</w:t>
      </w:r>
    </w:p>
    <w:p w:rsidR="008918FA" w:rsidRDefault="008918FA" w:rsidP="008918FA">
      <w:pPr>
        <w:pStyle w:val="BodyText"/>
        <w:numPr>
          <w:ilvl w:val="2"/>
          <w:numId w:val="66"/>
        </w:numPr>
        <w:tabs>
          <w:tab w:val="left" w:pos="2246"/>
        </w:tabs>
        <w:ind w:left="2245" w:hanging="993"/>
      </w:pPr>
      <w:r>
        <w:rPr>
          <w:spacing w:val="-2"/>
        </w:rPr>
        <w:t>Achieve</w:t>
      </w:r>
      <w:r>
        <w:t xml:space="preserve"> a </w:t>
      </w:r>
      <w:r>
        <w:rPr>
          <w:spacing w:val="-1"/>
        </w:rPr>
        <w:t>Milestone</w:t>
      </w:r>
      <w:r>
        <w:t xml:space="preserve"> </w:t>
      </w:r>
      <w:r>
        <w:rPr>
          <w:spacing w:val="-1"/>
        </w:rPr>
        <w:t>by</w:t>
      </w:r>
      <w:r>
        <w:rPr>
          <w:spacing w:val="-2"/>
        </w:rPr>
        <w:t xml:space="preserve"> </w:t>
      </w:r>
      <w:r>
        <w:rPr>
          <w:spacing w:val="-1"/>
        </w:rPr>
        <w:t>its</w:t>
      </w:r>
      <w:r>
        <w:rPr>
          <w:spacing w:val="1"/>
        </w:rPr>
        <w:t xml:space="preserve"> </w:t>
      </w:r>
      <w:r>
        <w:rPr>
          <w:spacing w:val="-2"/>
        </w:rPr>
        <w:t>Milestone</w:t>
      </w:r>
      <w:r>
        <w:t xml:space="preserve"> </w:t>
      </w:r>
      <w:r>
        <w:rPr>
          <w:spacing w:val="-1"/>
        </w:rPr>
        <w:t>Date;</w:t>
      </w:r>
    </w:p>
    <w:p w:rsidR="008918FA" w:rsidRDefault="008918FA" w:rsidP="008918FA">
      <w:pPr>
        <w:pStyle w:val="BodyText"/>
        <w:numPr>
          <w:ilvl w:val="2"/>
          <w:numId w:val="66"/>
        </w:numPr>
        <w:tabs>
          <w:tab w:val="left" w:pos="2246"/>
        </w:tabs>
        <w:spacing w:before="121"/>
        <w:ind w:left="2245" w:right="118" w:hanging="993"/>
        <w:jc w:val="both"/>
      </w:pPr>
      <w:r>
        <w:rPr>
          <w:spacing w:val="-2"/>
        </w:rPr>
        <w:t>provide</w:t>
      </w:r>
      <w:r>
        <w:rPr>
          <w:spacing w:val="53"/>
        </w:rPr>
        <w:t xml:space="preserve"> </w:t>
      </w:r>
      <w:r>
        <w:t>the</w:t>
      </w:r>
      <w:r>
        <w:rPr>
          <w:spacing w:val="53"/>
        </w:rPr>
        <w:t xml:space="preserve"> </w:t>
      </w:r>
      <w:r>
        <w:rPr>
          <w:spacing w:val="-1"/>
        </w:rPr>
        <w:t>Goods</w:t>
      </w:r>
      <w:r>
        <w:rPr>
          <w:spacing w:val="53"/>
        </w:rPr>
        <w:t xml:space="preserve"> </w:t>
      </w:r>
      <w:r>
        <w:rPr>
          <w:spacing w:val="-1"/>
        </w:rPr>
        <w:t>and/or</w:t>
      </w:r>
      <w:r>
        <w:rPr>
          <w:spacing w:val="54"/>
        </w:rPr>
        <w:t xml:space="preserve"> </w:t>
      </w:r>
      <w:r>
        <w:rPr>
          <w:spacing w:val="-1"/>
        </w:rPr>
        <w:t>Services</w:t>
      </w:r>
      <w:r>
        <w:rPr>
          <w:spacing w:val="54"/>
        </w:rPr>
        <w:t xml:space="preserve"> </w:t>
      </w:r>
      <w:r>
        <w:rPr>
          <w:spacing w:val="-1"/>
        </w:rPr>
        <w:t>in</w:t>
      </w:r>
      <w:r>
        <w:rPr>
          <w:spacing w:val="53"/>
        </w:rPr>
        <w:t xml:space="preserve"> </w:t>
      </w:r>
      <w:bookmarkStart w:id="264" w:name="39._SUPPLIER_RELIEF_DUE_TO_CUSTOMER_CAUS"/>
      <w:bookmarkEnd w:id="264"/>
      <w:r>
        <w:rPr>
          <w:spacing w:val="-1"/>
        </w:rPr>
        <w:t>accordance</w:t>
      </w:r>
      <w:r>
        <w:rPr>
          <w:spacing w:val="54"/>
        </w:rPr>
        <w:t xml:space="preserve"> </w:t>
      </w:r>
      <w:r>
        <w:rPr>
          <w:spacing w:val="-1"/>
        </w:rPr>
        <w:t>with</w:t>
      </w:r>
      <w:r>
        <w:rPr>
          <w:spacing w:val="53"/>
        </w:rPr>
        <w:t xml:space="preserve"> </w:t>
      </w:r>
      <w:r>
        <w:t>the</w:t>
      </w:r>
      <w:r>
        <w:rPr>
          <w:spacing w:val="53"/>
        </w:rPr>
        <w:t xml:space="preserve"> </w:t>
      </w:r>
      <w:r>
        <w:rPr>
          <w:spacing w:val="-2"/>
        </w:rPr>
        <w:t>Service</w:t>
      </w:r>
      <w:r>
        <w:rPr>
          <w:spacing w:val="36"/>
        </w:rPr>
        <w:t xml:space="preserve"> </w:t>
      </w:r>
      <w:r>
        <w:rPr>
          <w:spacing w:val="-2"/>
        </w:rPr>
        <w:t>Levels;</w:t>
      </w:r>
    </w:p>
    <w:p w:rsidR="008918FA" w:rsidRDefault="008918FA" w:rsidP="008918FA">
      <w:pPr>
        <w:pStyle w:val="BodyText"/>
        <w:numPr>
          <w:ilvl w:val="2"/>
          <w:numId w:val="66"/>
        </w:numPr>
        <w:tabs>
          <w:tab w:val="left" w:pos="2246"/>
        </w:tabs>
        <w:spacing w:before="121" w:line="353" w:lineRule="auto"/>
        <w:ind w:left="2245" w:right="1717" w:hanging="993"/>
      </w:pPr>
      <w:r>
        <w:rPr>
          <w:spacing w:val="-1"/>
        </w:rPr>
        <w:t>comply</w:t>
      </w:r>
      <w:r>
        <w:rPr>
          <w:spacing w:val="-2"/>
        </w:rPr>
        <w:t xml:space="preserve"> with</w:t>
      </w:r>
      <w:r>
        <w:t xml:space="preserve"> </w:t>
      </w:r>
      <w:r>
        <w:rPr>
          <w:spacing w:val="-1"/>
        </w:rPr>
        <w:t>its</w:t>
      </w:r>
      <w:r>
        <w:rPr>
          <w:spacing w:val="1"/>
        </w:rPr>
        <w:t xml:space="preserve"> </w:t>
      </w:r>
      <w:r>
        <w:rPr>
          <w:spacing w:val="-1"/>
        </w:rPr>
        <w:t>obligations</w:t>
      </w:r>
      <w:r>
        <w:rPr>
          <w:spacing w:val="1"/>
        </w:rPr>
        <w:t xml:space="preserve"> </w:t>
      </w:r>
      <w:r>
        <w:rPr>
          <w:spacing w:val="-1"/>
        </w:rPr>
        <w:t>under this</w:t>
      </w:r>
      <w:r>
        <w:rPr>
          <w:spacing w:val="-2"/>
        </w:rPr>
        <w:t xml:space="preserve"> Call</w:t>
      </w:r>
      <w:r>
        <w:t xml:space="preserve"> </w:t>
      </w:r>
      <w:r>
        <w:rPr>
          <w:spacing w:val="-1"/>
        </w:rPr>
        <w:t>Off</w:t>
      </w:r>
      <w:r>
        <w:rPr>
          <w:spacing w:val="2"/>
        </w:rPr>
        <w:t xml:space="preserve"> </w:t>
      </w:r>
      <w:r>
        <w:rPr>
          <w:spacing w:val="-1"/>
        </w:rPr>
        <w:t>Contract,</w:t>
      </w:r>
      <w:r>
        <w:rPr>
          <w:spacing w:val="35"/>
        </w:rPr>
        <w:t xml:space="preserve"> </w:t>
      </w:r>
      <w:r>
        <w:rPr>
          <w:spacing w:val="-1"/>
        </w:rPr>
        <w:t>(each</w:t>
      </w:r>
      <w:r>
        <w:rPr>
          <w:spacing w:val="1"/>
        </w:rPr>
        <w:t xml:space="preserve"> </w:t>
      </w:r>
      <w:r>
        <w:t>a</w:t>
      </w:r>
      <w:r>
        <w:rPr>
          <w:spacing w:val="-2"/>
        </w:rPr>
        <w:t xml:space="preserve"> </w:t>
      </w:r>
      <w:r>
        <w:rPr>
          <w:spacing w:val="-1"/>
        </w:rPr>
        <w:t>“Supplier</w:t>
      </w:r>
      <w:r>
        <w:rPr>
          <w:spacing w:val="2"/>
        </w:rPr>
        <w:t xml:space="preserve"> </w:t>
      </w:r>
      <w:r>
        <w:rPr>
          <w:spacing w:val="-2"/>
        </w:rPr>
        <w:t>Non-Performance”),</w:t>
      </w:r>
    </w:p>
    <w:p w:rsidR="008918FA" w:rsidRDefault="008918FA" w:rsidP="008918FA">
      <w:pPr>
        <w:pStyle w:val="BodyText"/>
        <w:spacing w:before="3"/>
        <w:ind w:left="1252" w:right="117" w:firstLine="0"/>
        <w:jc w:val="both"/>
      </w:pPr>
      <w:r>
        <w:rPr>
          <w:spacing w:val="-1"/>
        </w:rPr>
        <w:t>and</w:t>
      </w:r>
      <w:r>
        <w:rPr>
          <w:spacing w:val="33"/>
        </w:rPr>
        <w:t xml:space="preserve"> </w:t>
      </w:r>
      <w:r>
        <w:rPr>
          <w:spacing w:val="-1"/>
        </w:rPr>
        <w:t>can</w:t>
      </w:r>
      <w:r>
        <w:rPr>
          <w:spacing w:val="32"/>
        </w:rPr>
        <w:t xml:space="preserve"> </w:t>
      </w:r>
      <w:r>
        <w:rPr>
          <w:spacing w:val="-1"/>
        </w:rPr>
        <w:t>demonstrate</w:t>
      </w:r>
      <w:r>
        <w:rPr>
          <w:spacing w:val="28"/>
        </w:rPr>
        <w:t xml:space="preserve"> </w:t>
      </w:r>
      <w:r>
        <w:rPr>
          <w:spacing w:val="-1"/>
        </w:rPr>
        <w:t>that</w:t>
      </w:r>
      <w:r>
        <w:rPr>
          <w:spacing w:val="32"/>
        </w:rPr>
        <w:t xml:space="preserve"> </w:t>
      </w:r>
      <w:r>
        <w:t>the</w:t>
      </w:r>
      <w:r>
        <w:rPr>
          <w:spacing w:val="32"/>
        </w:rPr>
        <w:t xml:space="preserve"> </w:t>
      </w:r>
      <w:r>
        <w:rPr>
          <w:spacing w:val="-2"/>
        </w:rPr>
        <w:t>Supplier</w:t>
      </w:r>
      <w:r>
        <w:rPr>
          <w:spacing w:val="34"/>
        </w:rPr>
        <w:t xml:space="preserve"> </w:t>
      </w:r>
      <w:r>
        <w:rPr>
          <w:spacing w:val="-1"/>
        </w:rPr>
        <w:t>Non-Performance</w:t>
      </w:r>
      <w:r>
        <w:rPr>
          <w:spacing w:val="30"/>
        </w:rPr>
        <w:t xml:space="preserve"> </w:t>
      </w:r>
      <w:r>
        <w:rPr>
          <w:spacing w:val="-2"/>
        </w:rPr>
        <w:t>would</w:t>
      </w:r>
      <w:r>
        <w:rPr>
          <w:spacing w:val="33"/>
        </w:rPr>
        <w:t xml:space="preserve"> </w:t>
      </w:r>
      <w:r>
        <w:rPr>
          <w:spacing w:val="-1"/>
        </w:rPr>
        <w:t>not</w:t>
      </w:r>
      <w:r>
        <w:rPr>
          <w:spacing w:val="34"/>
        </w:rPr>
        <w:t xml:space="preserve"> </w:t>
      </w:r>
      <w:r>
        <w:rPr>
          <w:spacing w:val="-1"/>
        </w:rPr>
        <w:t>have</w:t>
      </w:r>
      <w:r>
        <w:rPr>
          <w:spacing w:val="45"/>
        </w:rPr>
        <w:t xml:space="preserve"> </w:t>
      </w:r>
      <w:r>
        <w:rPr>
          <w:spacing w:val="-1"/>
        </w:rPr>
        <w:t>occurred</w:t>
      </w:r>
      <w:r>
        <w:rPr>
          <w:spacing w:val="44"/>
        </w:rPr>
        <w:t xml:space="preserve"> </w:t>
      </w:r>
      <w:r>
        <w:rPr>
          <w:spacing w:val="-2"/>
        </w:rPr>
        <w:t>but</w:t>
      </w:r>
      <w:r>
        <w:rPr>
          <w:spacing w:val="42"/>
        </w:rPr>
        <w:t xml:space="preserve"> </w:t>
      </w:r>
      <w:r>
        <w:t>for</w:t>
      </w:r>
      <w:r>
        <w:rPr>
          <w:spacing w:val="45"/>
        </w:rPr>
        <w:t xml:space="preserve"> </w:t>
      </w:r>
      <w:r>
        <w:t>a</w:t>
      </w:r>
      <w:r>
        <w:rPr>
          <w:spacing w:val="43"/>
        </w:rPr>
        <w:t xml:space="preserve"> </w:t>
      </w:r>
      <w:r>
        <w:rPr>
          <w:spacing w:val="-1"/>
        </w:rPr>
        <w:t>Customer</w:t>
      </w:r>
      <w:r>
        <w:rPr>
          <w:spacing w:val="45"/>
        </w:rPr>
        <w:t xml:space="preserve"> </w:t>
      </w:r>
      <w:r>
        <w:rPr>
          <w:spacing w:val="-1"/>
        </w:rPr>
        <w:t>Cause,</w:t>
      </w:r>
      <w:r>
        <w:rPr>
          <w:spacing w:val="42"/>
        </w:rPr>
        <w:t xml:space="preserve"> </w:t>
      </w:r>
      <w:r>
        <w:rPr>
          <w:spacing w:val="-1"/>
        </w:rPr>
        <w:t>then</w:t>
      </w:r>
      <w:r>
        <w:rPr>
          <w:spacing w:val="44"/>
        </w:rPr>
        <w:t xml:space="preserve"> </w:t>
      </w:r>
      <w:r>
        <w:rPr>
          <w:spacing w:val="-1"/>
        </w:rPr>
        <w:t>(subject</w:t>
      </w:r>
      <w:r>
        <w:rPr>
          <w:spacing w:val="45"/>
        </w:rPr>
        <w:t xml:space="preserve"> </w:t>
      </w:r>
      <w:r>
        <w:t>to</w:t>
      </w:r>
      <w:r>
        <w:rPr>
          <w:spacing w:val="43"/>
        </w:rPr>
        <w:t xml:space="preserve"> </w:t>
      </w:r>
      <w:r>
        <w:t>the</w:t>
      </w:r>
      <w:r>
        <w:rPr>
          <w:spacing w:val="43"/>
        </w:rPr>
        <w:t xml:space="preserve"> </w:t>
      </w:r>
      <w:r>
        <w:rPr>
          <w:spacing w:val="-2"/>
        </w:rPr>
        <w:t>Supplier</w:t>
      </w:r>
      <w:r>
        <w:rPr>
          <w:spacing w:val="42"/>
        </w:rPr>
        <w:t xml:space="preserve"> </w:t>
      </w:r>
      <w:r>
        <w:rPr>
          <w:spacing w:val="-1"/>
        </w:rPr>
        <w:t>fulfilling</w:t>
      </w:r>
      <w:r>
        <w:rPr>
          <w:spacing w:val="46"/>
        </w:rPr>
        <w:t xml:space="preserve"> </w:t>
      </w:r>
      <w:r>
        <w:rPr>
          <w:spacing w:val="-1"/>
        </w:rPr>
        <w:t>its</w:t>
      </w:r>
      <w:r>
        <w:rPr>
          <w:spacing w:val="51"/>
        </w:rPr>
        <w:t xml:space="preserve"> </w:t>
      </w:r>
      <w:r>
        <w:rPr>
          <w:spacing w:val="-1"/>
        </w:rPr>
        <w:t>obligations</w:t>
      </w:r>
      <w:r>
        <w:rPr>
          <w:spacing w:val="1"/>
        </w:rPr>
        <w:t xml:space="preserve"> </w:t>
      </w:r>
      <w:r>
        <w:rPr>
          <w:spacing w:val="-1"/>
        </w:rPr>
        <w:t>in</w:t>
      </w:r>
      <w:r>
        <w:t xml:space="preserve"> </w:t>
      </w:r>
      <w:r>
        <w:rPr>
          <w:spacing w:val="-2"/>
        </w:rPr>
        <w:t xml:space="preserve">Clause </w:t>
      </w:r>
      <w:hyperlink w:anchor="_bookmark107" w:history="1">
        <w:r>
          <w:rPr>
            <w:spacing w:val="-1"/>
          </w:rPr>
          <w:t>17</w:t>
        </w:r>
      </w:hyperlink>
      <w:r>
        <w:rPr>
          <w:spacing w:val="-1"/>
        </w:rPr>
        <w:t xml:space="preserve"> (Supplier</w:t>
      </w:r>
      <w:r>
        <w:rPr>
          <w:spacing w:val="2"/>
        </w:rPr>
        <w:t xml:space="preserve"> </w:t>
      </w:r>
      <w:r>
        <w:rPr>
          <w:spacing w:val="-1"/>
        </w:rPr>
        <w:t>Notification</w:t>
      </w:r>
      <w:r>
        <w:t xml:space="preserve"> </w:t>
      </w:r>
      <w:r>
        <w:rPr>
          <w:spacing w:val="-2"/>
        </w:rPr>
        <w:t>of</w:t>
      </w:r>
      <w:r>
        <w:t xml:space="preserve"> </w:t>
      </w:r>
      <w:r>
        <w:rPr>
          <w:spacing w:val="-1"/>
        </w:rPr>
        <w:t>Customer</w:t>
      </w:r>
      <w:r>
        <w:rPr>
          <w:spacing w:val="2"/>
        </w:rPr>
        <w:t xml:space="preserve"> </w:t>
      </w:r>
      <w:r>
        <w:rPr>
          <w:spacing w:val="-2"/>
        </w:rPr>
        <w:t>Cause)):</w:t>
      </w:r>
    </w:p>
    <w:p w:rsidR="008918FA" w:rsidRDefault="008918FA" w:rsidP="008918FA">
      <w:pPr>
        <w:pStyle w:val="BodyText"/>
        <w:numPr>
          <w:ilvl w:val="3"/>
          <w:numId w:val="66"/>
        </w:numPr>
        <w:tabs>
          <w:tab w:val="left" w:pos="2954"/>
        </w:tabs>
        <w:spacing w:before="121"/>
        <w:ind w:left="2953" w:right="114"/>
        <w:jc w:val="both"/>
      </w:pPr>
      <w:r>
        <w:t>the</w:t>
      </w:r>
      <w:r>
        <w:rPr>
          <w:spacing w:val="12"/>
        </w:rPr>
        <w:t xml:space="preserve"> </w:t>
      </w:r>
      <w:r>
        <w:rPr>
          <w:spacing w:val="-2"/>
        </w:rPr>
        <w:t>Supplier</w:t>
      </w:r>
      <w:r>
        <w:rPr>
          <w:spacing w:val="14"/>
        </w:rPr>
        <w:t xml:space="preserve"> </w:t>
      </w:r>
      <w:r>
        <w:rPr>
          <w:spacing w:val="-1"/>
        </w:rPr>
        <w:t>shall</w:t>
      </w:r>
      <w:r>
        <w:rPr>
          <w:spacing w:val="12"/>
        </w:rPr>
        <w:t xml:space="preserve"> </w:t>
      </w:r>
      <w:r>
        <w:rPr>
          <w:spacing w:val="-1"/>
        </w:rPr>
        <w:t>not</w:t>
      </w:r>
      <w:r>
        <w:rPr>
          <w:spacing w:val="14"/>
        </w:rPr>
        <w:t xml:space="preserve"> </w:t>
      </w:r>
      <w:r>
        <w:rPr>
          <w:spacing w:val="-1"/>
        </w:rPr>
        <w:t>be</w:t>
      </w:r>
      <w:r>
        <w:rPr>
          <w:spacing w:val="12"/>
        </w:rPr>
        <w:t xml:space="preserve"> </w:t>
      </w:r>
      <w:r>
        <w:rPr>
          <w:spacing w:val="-1"/>
        </w:rPr>
        <w:t>treated</w:t>
      </w:r>
      <w:r>
        <w:rPr>
          <w:spacing w:val="12"/>
        </w:rPr>
        <w:t xml:space="preserve"> </w:t>
      </w:r>
      <w:r>
        <w:rPr>
          <w:spacing w:val="-1"/>
        </w:rPr>
        <w:t>as</w:t>
      </w:r>
      <w:r>
        <w:rPr>
          <w:spacing w:val="13"/>
        </w:rPr>
        <w:t xml:space="preserve"> </w:t>
      </w:r>
      <w:r>
        <w:rPr>
          <w:spacing w:val="-1"/>
        </w:rPr>
        <w:t>being</w:t>
      </w:r>
      <w:r>
        <w:rPr>
          <w:spacing w:val="15"/>
        </w:rPr>
        <w:t xml:space="preserve"> </w:t>
      </w:r>
      <w:r>
        <w:rPr>
          <w:spacing w:val="-1"/>
        </w:rPr>
        <w:t>in</w:t>
      </w:r>
      <w:r>
        <w:rPr>
          <w:spacing w:val="12"/>
        </w:rPr>
        <w:t xml:space="preserve"> </w:t>
      </w:r>
      <w:r>
        <w:rPr>
          <w:spacing w:val="-1"/>
        </w:rPr>
        <w:t>breach</w:t>
      </w:r>
      <w:r>
        <w:rPr>
          <w:spacing w:val="13"/>
        </w:rPr>
        <w:t xml:space="preserve"> </w:t>
      </w:r>
      <w:r>
        <w:rPr>
          <w:spacing w:val="-2"/>
        </w:rPr>
        <w:t>of</w:t>
      </w:r>
      <w:r>
        <w:rPr>
          <w:spacing w:val="16"/>
        </w:rPr>
        <w:t xml:space="preserve"> </w:t>
      </w:r>
      <w:r>
        <w:rPr>
          <w:spacing w:val="-1"/>
        </w:rPr>
        <w:t>this</w:t>
      </w:r>
      <w:r>
        <w:rPr>
          <w:spacing w:val="13"/>
        </w:rPr>
        <w:t xml:space="preserve"> </w:t>
      </w:r>
      <w:r>
        <w:rPr>
          <w:spacing w:val="-2"/>
        </w:rPr>
        <w:t>Call</w:t>
      </w:r>
      <w:r>
        <w:rPr>
          <w:spacing w:val="41"/>
        </w:rPr>
        <w:t xml:space="preserve"> </w:t>
      </w:r>
      <w:r>
        <w:rPr>
          <w:spacing w:val="-1"/>
        </w:rPr>
        <w:t>Off</w:t>
      </w:r>
      <w:r>
        <w:rPr>
          <w:spacing w:val="4"/>
        </w:rPr>
        <w:t xml:space="preserve"> </w:t>
      </w:r>
      <w:r>
        <w:rPr>
          <w:spacing w:val="-2"/>
        </w:rPr>
        <w:t>Contract</w:t>
      </w:r>
      <w:r>
        <w:rPr>
          <w:spacing w:val="2"/>
        </w:rPr>
        <w:t xml:space="preserve"> </w:t>
      </w:r>
      <w:r>
        <w:t>to the</w:t>
      </w:r>
      <w:r>
        <w:rPr>
          <w:spacing w:val="3"/>
        </w:rPr>
        <w:t xml:space="preserve"> </w:t>
      </w:r>
      <w:r>
        <w:rPr>
          <w:spacing w:val="-2"/>
        </w:rPr>
        <w:t>extent</w:t>
      </w:r>
      <w:r>
        <w:rPr>
          <w:spacing w:val="4"/>
        </w:rPr>
        <w:t xml:space="preserve"> </w:t>
      </w:r>
      <w:r>
        <w:t xml:space="preserve">the </w:t>
      </w:r>
      <w:r>
        <w:rPr>
          <w:spacing w:val="-2"/>
        </w:rPr>
        <w:t>Supplier</w:t>
      </w:r>
      <w:r>
        <w:rPr>
          <w:spacing w:val="4"/>
        </w:rPr>
        <w:t xml:space="preserve"> </w:t>
      </w:r>
      <w:r>
        <w:rPr>
          <w:spacing w:val="-1"/>
        </w:rPr>
        <w:t>can</w:t>
      </w:r>
      <w:r>
        <w:t xml:space="preserve"> </w:t>
      </w:r>
      <w:r>
        <w:rPr>
          <w:spacing w:val="-1"/>
        </w:rPr>
        <w:t>demonstrate</w:t>
      </w:r>
      <w:r>
        <w:t xml:space="preserve"> </w:t>
      </w:r>
      <w:r>
        <w:rPr>
          <w:spacing w:val="-1"/>
        </w:rPr>
        <w:t>that</w:t>
      </w:r>
      <w:r>
        <w:rPr>
          <w:spacing w:val="2"/>
        </w:rPr>
        <w:t xml:space="preserve"> </w:t>
      </w:r>
      <w:r>
        <w:rPr>
          <w:spacing w:val="-1"/>
        </w:rPr>
        <w:t>the</w:t>
      </w:r>
      <w:r>
        <w:rPr>
          <w:spacing w:val="64"/>
        </w:rPr>
        <w:t xml:space="preserve"> </w:t>
      </w:r>
      <w:r>
        <w:rPr>
          <w:spacing w:val="-2"/>
        </w:rPr>
        <w:t>Supplier</w:t>
      </w:r>
      <w:r>
        <w:rPr>
          <w:spacing w:val="58"/>
        </w:rPr>
        <w:t xml:space="preserve"> </w:t>
      </w:r>
      <w:r>
        <w:rPr>
          <w:spacing w:val="-1"/>
        </w:rPr>
        <w:t>Non-Performance</w:t>
      </w:r>
      <w:r>
        <w:rPr>
          <w:spacing w:val="58"/>
        </w:rPr>
        <w:t xml:space="preserve"> </w:t>
      </w:r>
      <w:r>
        <w:rPr>
          <w:spacing w:val="-2"/>
        </w:rPr>
        <w:t>was</w:t>
      </w:r>
      <w:r>
        <w:rPr>
          <w:spacing w:val="57"/>
        </w:rPr>
        <w:t xml:space="preserve"> </w:t>
      </w:r>
      <w:r>
        <w:rPr>
          <w:spacing w:val="-1"/>
        </w:rPr>
        <w:t>caused</w:t>
      </w:r>
      <w:r>
        <w:rPr>
          <w:spacing w:val="57"/>
        </w:rPr>
        <w:t xml:space="preserve"> </w:t>
      </w:r>
      <w:r>
        <w:rPr>
          <w:spacing w:val="-1"/>
        </w:rPr>
        <w:t>by</w:t>
      </w:r>
      <w:r>
        <w:rPr>
          <w:spacing w:val="57"/>
        </w:rPr>
        <w:t xml:space="preserve"> </w:t>
      </w:r>
      <w:r>
        <w:t>the</w:t>
      </w:r>
      <w:r>
        <w:rPr>
          <w:spacing w:val="57"/>
        </w:rPr>
        <w:t xml:space="preserve"> </w:t>
      </w:r>
      <w:r>
        <w:rPr>
          <w:spacing w:val="-1"/>
        </w:rPr>
        <w:t>Customer</w:t>
      </w:r>
      <w:r>
        <w:rPr>
          <w:spacing w:val="30"/>
        </w:rPr>
        <w:t xml:space="preserve"> </w:t>
      </w:r>
      <w:r>
        <w:rPr>
          <w:spacing w:val="-1"/>
        </w:rPr>
        <w:t>Cause;</w:t>
      </w:r>
    </w:p>
    <w:p w:rsidR="008918FA" w:rsidRDefault="008918FA" w:rsidP="008918FA">
      <w:pPr>
        <w:pStyle w:val="BodyText"/>
        <w:numPr>
          <w:ilvl w:val="3"/>
          <w:numId w:val="66"/>
        </w:numPr>
        <w:tabs>
          <w:tab w:val="left" w:pos="2954"/>
        </w:tabs>
        <w:ind w:left="2953" w:right="112"/>
        <w:jc w:val="both"/>
      </w:pPr>
      <w:r>
        <w:t>the</w:t>
      </w:r>
      <w:r>
        <w:rPr>
          <w:spacing w:val="36"/>
        </w:rPr>
        <w:t xml:space="preserve"> </w:t>
      </w:r>
      <w:r>
        <w:rPr>
          <w:spacing w:val="-1"/>
        </w:rPr>
        <w:t>Customer</w:t>
      </w:r>
      <w:r>
        <w:rPr>
          <w:spacing w:val="35"/>
        </w:rPr>
        <w:t xml:space="preserve"> </w:t>
      </w:r>
      <w:r>
        <w:rPr>
          <w:spacing w:val="-1"/>
        </w:rPr>
        <w:t>shall</w:t>
      </w:r>
      <w:r>
        <w:rPr>
          <w:spacing w:val="36"/>
        </w:rPr>
        <w:t xml:space="preserve"> </w:t>
      </w:r>
      <w:r>
        <w:rPr>
          <w:spacing w:val="-1"/>
        </w:rPr>
        <w:t>not</w:t>
      </w:r>
      <w:r>
        <w:rPr>
          <w:spacing w:val="35"/>
        </w:rPr>
        <w:t xml:space="preserve"> </w:t>
      </w:r>
      <w:r>
        <w:rPr>
          <w:spacing w:val="-1"/>
        </w:rPr>
        <w:t>be</w:t>
      </w:r>
      <w:r>
        <w:rPr>
          <w:spacing w:val="36"/>
        </w:rPr>
        <w:t xml:space="preserve"> </w:t>
      </w:r>
      <w:r>
        <w:rPr>
          <w:spacing w:val="-1"/>
        </w:rPr>
        <w:t>entitled</w:t>
      </w:r>
      <w:r>
        <w:rPr>
          <w:spacing w:val="36"/>
        </w:rPr>
        <w:t xml:space="preserve"> </w:t>
      </w:r>
      <w:r>
        <w:t>to</w:t>
      </w:r>
      <w:r>
        <w:rPr>
          <w:spacing w:val="37"/>
        </w:rPr>
        <w:t xml:space="preserve"> </w:t>
      </w:r>
      <w:r>
        <w:rPr>
          <w:spacing w:val="-1"/>
        </w:rPr>
        <w:t>exercise</w:t>
      </w:r>
      <w:r>
        <w:rPr>
          <w:spacing w:val="34"/>
        </w:rPr>
        <w:t xml:space="preserve"> </w:t>
      </w:r>
      <w:r>
        <w:rPr>
          <w:spacing w:val="-1"/>
        </w:rPr>
        <w:t>any</w:t>
      </w:r>
      <w:r>
        <w:rPr>
          <w:spacing w:val="34"/>
        </w:rPr>
        <w:t xml:space="preserve"> </w:t>
      </w:r>
      <w:r>
        <w:t>rights</w:t>
      </w:r>
      <w:r>
        <w:rPr>
          <w:spacing w:val="34"/>
        </w:rPr>
        <w:t xml:space="preserve"> </w:t>
      </w:r>
      <w:r>
        <w:rPr>
          <w:spacing w:val="-1"/>
        </w:rPr>
        <w:t>that</w:t>
      </w:r>
      <w:r>
        <w:rPr>
          <w:spacing w:val="22"/>
        </w:rPr>
        <w:t xml:space="preserve"> </w:t>
      </w:r>
      <w:r>
        <w:rPr>
          <w:spacing w:val="-1"/>
        </w:rPr>
        <w:t>may</w:t>
      </w:r>
      <w:r>
        <w:rPr>
          <w:spacing w:val="2"/>
        </w:rPr>
        <w:t xml:space="preserve"> </w:t>
      </w:r>
      <w:r>
        <w:rPr>
          <w:spacing w:val="-1"/>
        </w:rPr>
        <w:t>arise</w:t>
      </w:r>
      <w:r>
        <w:rPr>
          <w:spacing w:val="4"/>
        </w:rPr>
        <w:t xml:space="preserve"> </w:t>
      </w:r>
      <w:r>
        <w:rPr>
          <w:spacing w:val="-1"/>
        </w:rPr>
        <w:t>as</w:t>
      </w:r>
      <w:r>
        <w:rPr>
          <w:spacing w:val="4"/>
        </w:rPr>
        <w:t xml:space="preserve"> </w:t>
      </w:r>
      <w:r>
        <w:t>a</w:t>
      </w:r>
      <w:r>
        <w:rPr>
          <w:spacing w:val="4"/>
        </w:rPr>
        <w:t xml:space="preserve"> </w:t>
      </w:r>
      <w:r>
        <w:rPr>
          <w:spacing w:val="-1"/>
        </w:rPr>
        <w:t>result</w:t>
      </w:r>
      <w:r>
        <w:rPr>
          <w:spacing w:val="8"/>
        </w:rPr>
        <w:t xml:space="preserve"> </w:t>
      </w:r>
      <w:r>
        <w:rPr>
          <w:spacing w:val="-2"/>
        </w:rPr>
        <w:t>of</w:t>
      </w:r>
      <w:r>
        <w:rPr>
          <w:spacing w:val="8"/>
        </w:rPr>
        <w:t xml:space="preserve"> </w:t>
      </w:r>
      <w:r>
        <w:rPr>
          <w:spacing w:val="-1"/>
        </w:rPr>
        <w:t>that</w:t>
      </w:r>
      <w:r>
        <w:rPr>
          <w:spacing w:val="6"/>
        </w:rPr>
        <w:t xml:space="preserve"> </w:t>
      </w:r>
      <w:r>
        <w:rPr>
          <w:spacing w:val="-2"/>
        </w:rPr>
        <w:t>Supplier</w:t>
      </w:r>
      <w:r>
        <w:rPr>
          <w:spacing w:val="5"/>
        </w:rPr>
        <w:t xml:space="preserve"> </w:t>
      </w:r>
      <w:r>
        <w:rPr>
          <w:spacing w:val="-1"/>
        </w:rPr>
        <w:t>Non-Performance</w:t>
      </w:r>
      <w:r>
        <w:rPr>
          <w:spacing w:val="3"/>
        </w:rPr>
        <w:t xml:space="preserve"> </w:t>
      </w:r>
      <w:r>
        <w:t>to</w:t>
      </w:r>
      <w:r>
        <w:rPr>
          <w:spacing w:val="47"/>
        </w:rPr>
        <w:t xml:space="preserve"> </w:t>
      </w:r>
      <w:r>
        <w:rPr>
          <w:spacing w:val="-1"/>
        </w:rPr>
        <w:t>terminate</w:t>
      </w:r>
      <w:r>
        <w:rPr>
          <w:spacing w:val="61"/>
        </w:rPr>
        <w:t xml:space="preserve"> </w:t>
      </w:r>
      <w:r>
        <w:rPr>
          <w:spacing w:val="-1"/>
        </w:rPr>
        <w:t>this</w:t>
      </w:r>
      <w:r>
        <w:rPr>
          <w:spacing w:val="1"/>
        </w:rPr>
        <w:t xml:space="preserve"> </w:t>
      </w:r>
      <w:r>
        <w:rPr>
          <w:spacing w:val="-2"/>
        </w:rPr>
        <w:t>Call</w:t>
      </w:r>
      <w:r>
        <w:t xml:space="preserve"> </w:t>
      </w:r>
      <w:r>
        <w:rPr>
          <w:spacing w:val="-1"/>
        </w:rPr>
        <w:t>Off</w:t>
      </w:r>
      <w:r>
        <w:rPr>
          <w:spacing w:val="4"/>
        </w:rPr>
        <w:t xml:space="preserve"> </w:t>
      </w:r>
      <w:r>
        <w:rPr>
          <w:spacing w:val="-2"/>
        </w:rPr>
        <w:t>Contract</w:t>
      </w:r>
      <w:r>
        <w:rPr>
          <w:spacing w:val="2"/>
        </w:rPr>
        <w:t xml:space="preserve"> </w:t>
      </w:r>
      <w:r>
        <w:rPr>
          <w:spacing w:val="-1"/>
        </w:rPr>
        <w:t>pursuant</w:t>
      </w:r>
      <w:r>
        <w:rPr>
          <w:spacing w:val="2"/>
        </w:rPr>
        <w:t xml:space="preserve"> </w:t>
      </w:r>
      <w:r>
        <w:rPr>
          <w:spacing w:val="-1"/>
        </w:rPr>
        <w:t>to</w:t>
      </w:r>
      <w:r>
        <w:t xml:space="preserve">  </w:t>
      </w:r>
      <w:r>
        <w:rPr>
          <w:spacing w:val="-2"/>
        </w:rPr>
        <w:t>Clause</w:t>
      </w:r>
      <w:r>
        <w:rPr>
          <w:spacing w:val="1"/>
        </w:rPr>
        <w:t xml:space="preserve"> </w:t>
      </w:r>
      <w:hyperlink w:anchor="_bookmark231" w:history="1">
        <w:r>
          <w:rPr>
            <w:spacing w:val="-1"/>
          </w:rPr>
          <w:t>41</w:t>
        </w:r>
      </w:hyperlink>
      <w:r>
        <w:rPr>
          <w:spacing w:val="48"/>
        </w:rPr>
        <w:t xml:space="preserve"> </w:t>
      </w:r>
      <w:r>
        <w:rPr>
          <w:spacing w:val="-1"/>
        </w:rPr>
        <w:t>(Customer</w:t>
      </w:r>
      <w:r>
        <w:rPr>
          <w:spacing w:val="7"/>
        </w:rPr>
        <w:t xml:space="preserve"> </w:t>
      </w:r>
      <w:r>
        <w:rPr>
          <w:spacing w:val="-1"/>
        </w:rPr>
        <w:t>Termination</w:t>
      </w:r>
      <w:r>
        <w:rPr>
          <w:spacing w:val="8"/>
        </w:rPr>
        <w:t xml:space="preserve"> </w:t>
      </w:r>
      <w:r>
        <w:rPr>
          <w:spacing w:val="-1"/>
        </w:rPr>
        <w:t>Rights)</w:t>
      </w:r>
      <w:r>
        <w:rPr>
          <w:spacing w:val="9"/>
        </w:rPr>
        <w:t xml:space="preserve"> </w:t>
      </w:r>
      <w:r>
        <w:rPr>
          <w:spacing w:val="-1"/>
        </w:rPr>
        <w:t>except</w:t>
      </w:r>
      <w:r>
        <w:rPr>
          <w:spacing w:val="7"/>
        </w:rPr>
        <w:t xml:space="preserve"> </w:t>
      </w:r>
      <w:r>
        <w:rPr>
          <w:spacing w:val="-2"/>
        </w:rPr>
        <w:t>Clause</w:t>
      </w:r>
      <w:r>
        <w:t xml:space="preserve"> </w:t>
      </w:r>
      <w:r>
        <w:rPr>
          <w:spacing w:val="10"/>
        </w:rPr>
        <w:t xml:space="preserve"> </w:t>
      </w:r>
      <w:hyperlink w:anchor="_bookmark237" w:history="1">
        <w:r>
          <w:rPr>
            <w:spacing w:val="-1"/>
          </w:rPr>
          <w:t>41.6</w:t>
        </w:r>
      </w:hyperlink>
      <w:r>
        <w:rPr>
          <w:spacing w:val="29"/>
        </w:rPr>
        <w:t xml:space="preserve"> </w:t>
      </w:r>
      <w:r>
        <w:rPr>
          <w:spacing w:val="-1"/>
        </w:rPr>
        <w:t>(Termination</w:t>
      </w:r>
      <w:r>
        <w:rPr>
          <w:spacing w:val="-4"/>
        </w:rPr>
        <w:t xml:space="preserve"> </w:t>
      </w:r>
      <w:r>
        <w:rPr>
          <w:spacing w:val="-1"/>
        </w:rPr>
        <w:t>Without</w:t>
      </w:r>
      <w:r>
        <w:t xml:space="preserve"> </w:t>
      </w:r>
      <w:r>
        <w:rPr>
          <w:spacing w:val="-1"/>
        </w:rPr>
        <w:t>Cause);</w:t>
      </w:r>
    </w:p>
    <w:p w:rsidR="008918FA" w:rsidRDefault="008918FA" w:rsidP="008918FA">
      <w:pPr>
        <w:pStyle w:val="BodyText"/>
        <w:numPr>
          <w:ilvl w:val="3"/>
          <w:numId w:val="66"/>
        </w:numPr>
        <w:tabs>
          <w:tab w:val="left" w:pos="2954"/>
        </w:tabs>
        <w:ind w:left="2953" w:right="113"/>
        <w:jc w:val="both"/>
      </w:pPr>
      <w:r>
        <w:rPr>
          <w:spacing w:val="-2"/>
        </w:rPr>
        <w:t>where</w:t>
      </w:r>
      <w:r>
        <w:rPr>
          <w:spacing w:val="27"/>
        </w:rPr>
        <w:t xml:space="preserve"> </w:t>
      </w:r>
      <w:r>
        <w:t>the</w:t>
      </w:r>
      <w:r>
        <w:rPr>
          <w:spacing w:val="27"/>
        </w:rPr>
        <w:t xml:space="preserve"> </w:t>
      </w:r>
      <w:r>
        <w:rPr>
          <w:spacing w:val="-1"/>
        </w:rPr>
        <w:t>Supplier</w:t>
      </w:r>
      <w:r>
        <w:rPr>
          <w:spacing w:val="28"/>
        </w:rPr>
        <w:t xml:space="preserve"> </w:t>
      </w:r>
      <w:r>
        <w:rPr>
          <w:spacing w:val="-1"/>
        </w:rPr>
        <w:t>Non-Performance</w:t>
      </w:r>
      <w:r>
        <w:rPr>
          <w:spacing w:val="27"/>
        </w:rPr>
        <w:t xml:space="preserve"> </w:t>
      </w:r>
      <w:r>
        <w:rPr>
          <w:spacing w:val="-1"/>
        </w:rPr>
        <w:t>constitutes</w:t>
      </w:r>
      <w:r>
        <w:rPr>
          <w:spacing w:val="27"/>
        </w:rPr>
        <w:t xml:space="preserve"> </w:t>
      </w:r>
      <w:r>
        <w:t>the</w:t>
      </w:r>
      <w:r>
        <w:rPr>
          <w:spacing w:val="24"/>
        </w:rPr>
        <w:t xml:space="preserve"> </w:t>
      </w:r>
      <w:r>
        <w:rPr>
          <w:spacing w:val="-1"/>
        </w:rPr>
        <w:t>failure</w:t>
      </w:r>
      <w:r>
        <w:rPr>
          <w:spacing w:val="27"/>
        </w:rPr>
        <w:t xml:space="preserve"> </w:t>
      </w:r>
      <w:r>
        <w:t>to</w:t>
      </w:r>
      <w:r>
        <w:rPr>
          <w:spacing w:val="41"/>
        </w:rPr>
        <w:t xml:space="preserve"> </w:t>
      </w:r>
      <w:r>
        <w:rPr>
          <w:spacing w:val="-2"/>
        </w:rPr>
        <w:t>Achieve</w:t>
      </w:r>
      <w:r>
        <w:t xml:space="preserve"> a </w:t>
      </w:r>
      <w:r>
        <w:rPr>
          <w:spacing w:val="-1"/>
        </w:rPr>
        <w:t>Milestone</w:t>
      </w:r>
      <w:r>
        <w:t xml:space="preserve"> </w:t>
      </w:r>
      <w:r>
        <w:rPr>
          <w:spacing w:val="-1"/>
        </w:rPr>
        <w:t>by</w:t>
      </w:r>
      <w:r>
        <w:rPr>
          <w:spacing w:val="-2"/>
        </w:rPr>
        <w:t xml:space="preserve"> </w:t>
      </w:r>
      <w:r>
        <w:rPr>
          <w:spacing w:val="-1"/>
        </w:rPr>
        <w:t>its</w:t>
      </w:r>
      <w:r>
        <w:rPr>
          <w:spacing w:val="1"/>
        </w:rPr>
        <w:t xml:space="preserve"> </w:t>
      </w:r>
      <w:r>
        <w:rPr>
          <w:spacing w:val="-2"/>
        </w:rPr>
        <w:t>Milestone</w:t>
      </w:r>
      <w:r>
        <w:t xml:space="preserve"> </w:t>
      </w:r>
      <w:r>
        <w:rPr>
          <w:spacing w:val="-1"/>
        </w:rPr>
        <w:t>Date:</w:t>
      </w:r>
    </w:p>
    <w:p w:rsidR="008918FA" w:rsidRDefault="008918FA" w:rsidP="008918FA">
      <w:pPr>
        <w:pStyle w:val="BodyText"/>
        <w:numPr>
          <w:ilvl w:val="4"/>
          <w:numId w:val="66"/>
        </w:numPr>
        <w:tabs>
          <w:tab w:val="left" w:pos="3523"/>
        </w:tabs>
        <w:ind w:left="3522" w:right="111"/>
        <w:jc w:val="both"/>
      </w:pPr>
      <w:r>
        <w:t>the</w:t>
      </w:r>
      <w:r>
        <w:rPr>
          <w:spacing w:val="17"/>
        </w:rPr>
        <w:t xml:space="preserve"> </w:t>
      </w:r>
      <w:r>
        <w:rPr>
          <w:spacing w:val="-2"/>
        </w:rPr>
        <w:t>Milestone</w:t>
      </w:r>
      <w:r>
        <w:rPr>
          <w:spacing w:val="17"/>
        </w:rPr>
        <w:t xml:space="preserve"> </w:t>
      </w:r>
      <w:r>
        <w:rPr>
          <w:spacing w:val="-1"/>
        </w:rPr>
        <w:t>Date</w:t>
      </w:r>
      <w:r>
        <w:rPr>
          <w:spacing w:val="17"/>
        </w:rPr>
        <w:t xml:space="preserve"> </w:t>
      </w:r>
      <w:r>
        <w:rPr>
          <w:spacing w:val="-1"/>
        </w:rPr>
        <w:t>shall</w:t>
      </w:r>
      <w:r>
        <w:rPr>
          <w:spacing w:val="17"/>
        </w:rPr>
        <w:t xml:space="preserve"> </w:t>
      </w:r>
      <w:r>
        <w:rPr>
          <w:spacing w:val="-1"/>
        </w:rPr>
        <w:t>be</w:t>
      </w:r>
      <w:r>
        <w:rPr>
          <w:spacing w:val="17"/>
        </w:rPr>
        <w:t xml:space="preserve"> </w:t>
      </w:r>
      <w:r>
        <w:rPr>
          <w:spacing w:val="-1"/>
        </w:rPr>
        <w:t>postponed</w:t>
      </w:r>
      <w:r>
        <w:rPr>
          <w:spacing w:val="15"/>
        </w:rPr>
        <w:t xml:space="preserve"> </w:t>
      </w:r>
      <w:r>
        <w:rPr>
          <w:spacing w:val="-1"/>
        </w:rPr>
        <w:t>by</w:t>
      </w:r>
      <w:r>
        <w:rPr>
          <w:spacing w:val="15"/>
        </w:rPr>
        <w:t xml:space="preserve"> </w:t>
      </w:r>
      <w:r>
        <w:t>a</w:t>
      </w:r>
      <w:r>
        <w:rPr>
          <w:spacing w:val="17"/>
        </w:rPr>
        <w:t xml:space="preserve"> </w:t>
      </w:r>
      <w:r>
        <w:rPr>
          <w:spacing w:val="-2"/>
        </w:rPr>
        <w:t>period</w:t>
      </w:r>
      <w:r>
        <w:rPr>
          <w:spacing w:val="17"/>
        </w:rPr>
        <w:t xml:space="preserve"> </w:t>
      </w:r>
      <w:r>
        <w:rPr>
          <w:spacing w:val="-1"/>
        </w:rPr>
        <w:t>equal</w:t>
      </w:r>
      <w:r>
        <w:rPr>
          <w:spacing w:val="46"/>
        </w:rPr>
        <w:t xml:space="preserve"> </w:t>
      </w:r>
      <w:r>
        <w:t>to</w:t>
      </w:r>
      <w:r>
        <w:rPr>
          <w:spacing w:val="19"/>
        </w:rPr>
        <w:t xml:space="preserve"> </w:t>
      </w:r>
      <w:r>
        <w:t>the</w:t>
      </w:r>
      <w:r>
        <w:rPr>
          <w:spacing w:val="20"/>
        </w:rPr>
        <w:t xml:space="preserve"> </w:t>
      </w:r>
      <w:r>
        <w:rPr>
          <w:spacing w:val="-1"/>
        </w:rPr>
        <w:t>period</w:t>
      </w:r>
      <w:r>
        <w:rPr>
          <w:spacing w:val="20"/>
        </w:rPr>
        <w:t xml:space="preserve"> </w:t>
      </w:r>
      <w:r>
        <w:rPr>
          <w:spacing w:val="-2"/>
        </w:rPr>
        <w:t>of</w:t>
      </w:r>
      <w:r>
        <w:rPr>
          <w:spacing w:val="23"/>
        </w:rPr>
        <w:t xml:space="preserve"> </w:t>
      </w:r>
      <w:r>
        <w:rPr>
          <w:spacing w:val="-2"/>
        </w:rPr>
        <w:t>Delay</w:t>
      </w:r>
      <w:r>
        <w:rPr>
          <w:spacing w:val="20"/>
        </w:rPr>
        <w:t xml:space="preserve"> </w:t>
      </w:r>
      <w:r>
        <w:rPr>
          <w:spacing w:val="-1"/>
        </w:rPr>
        <w:t>that</w:t>
      </w:r>
      <w:r>
        <w:rPr>
          <w:spacing w:val="21"/>
        </w:rPr>
        <w:t xml:space="preserve"> </w:t>
      </w:r>
      <w:r>
        <w:t>the</w:t>
      </w:r>
      <w:r>
        <w:rPr>
          <w:spacing w:val="19"/>
        </w:rPr>
        <w:t xml:space="preserve"> </w:t>
      </w:r>
      <w:r>
        <w:rPr>
          <w:spacing w:val="-2"/>
        </w:rPr>
        <w:t>Supplier</w:t>
      </w:r>
      <w:r>
        <w:rPr>
          <w:spacing w:val="21"/>
        </w:rPr>
        <w:t xml:space="preserve"> </w:t>
      </w:r>
      <w:r>
        <w:rPr>
          <w:spacing w:val="-1"/>
        </w:rPr>
        <w:t>can</w:t>
      </w:r>
      <w:r>
        <w:rPr>
          <w:spacing w:val="19"/>
        </w:rPr>
        <w:t xml:space="preserve"> </w:t>
      </w:r>
      <w:r>
        <w:rPr>
          <w:spacing w:val="-1"/>
        </w:rPr>
        <w:t>demonstrate</w:t>
      </w:r>
      <w:r>
        <w:rPr>
          <w:spacing w:val="53"/>
        </w:rPr>
        <w:t xml:space="preserve"> </w:t>
      </w:r>
      <w:r>
        <w:rPr>
          <w:spacing w:val="-2"/>
        </w:rPr>
        <w:t>was</w:t>
      </w:r>
      <w:r>
        <w:rPr>
          <w:spacing w:val="1"/>
        </w:rPr>
        <w:t xml:space="preserve"> </w:t>
      </w:r>
      <w:r>
        <w:rPr>
          <w:spacing w:val="-1"/>
        </w:rPr>
        <w:t>caused</w:t>
      </w:r>
      <w:r>
        <w:t xml:space="preserve"> </w:t>
      </w:r>
      <w:r>
        <w:rPr>
          <w:spacing w:val="-1"/>
        </w:rPr>
        <w:t>by</w:t>
      </w:r>
      <w:r>
        <w:rPr>
          <w:spacing w:val="-2"/>
        </w:rPr>
        <w:t xml:space="preserve"> </w:t>
      </w:r>
      <w:r>
        <w:t xml:space="preserve">the </w:t>
      </w:r>
      <w:r>
        <w:rPr>
          <w:spacing w:val="-2"/>
        </w:rPr>
        <w:t>Customer</w:t>
      </w:r>
      <w:r>
        <w:t xml:space="preserve"> </w:t>
      </w:r>
      <w:r>
        <w:rPr>
          <w:spacing w:val="-1"/>
        </w:rPr>
        <w:t>Cause;</w:t>
      </w:r>
    </w:p>
    <w:p w:rsidR="008918FA" w:rsidRDefault="008918FA" w:rsidP="008918FA">
      <w:pPr>
        <w:jc w:val="both"/>
        <w:sectPr w:rsidR="008918FA">
          <w:pgSz w:w="11910" w:h="16840"/>
          <w:pgMar w:top="1480" w:right="1300" w:bottom="1180" w:left="1320" w:header="0" w:footer="967" w:gutter="0"/>
          <w:cols w:space="720"/>
        </w:sectPr>
      </w:pPr>
    </w:p>
    <w:p w:rsidR="008918FA" w:rsidRDefault="008918FA" w:rsidP="008918FA">
      <w:pPr>
        <w:pStyle w:val="BodyText"/>
        <w:numPr>
          <w:ilvl w:val="4"/>
          <w:numId w:val="66"/>
        </w:numPr>
        <w:tabs>
          <w:tab w:val="left" w:pos="3164"/>
        </w:tabs>
        <w:spacing w:before="59"/>
        <w:ind w:left="3163" w:right="113"/>
        <w:jc w:val="both"/>
      </w:pPr>
      <w:r>
        <w:rPr>
          <w:spacing w:val="-1"/>
        </w:rPr>
        <w:t>if</w:t>
      </w:r>
      <w:r>
        <w:rPr>
          <w:spacing w:val="57"/>
        </w:rPr>
        <w:t xml:space="preserve"> </w:t>
      </w:r>
      <w:r>
        <w:t>the</w:t>
      </w:r>
      <w:r>
        <w:rPr>
          <w:spacing w:val="56"/>
        </w:rPr>
        <w:t xml:space="preserve"> </w:t>
      </w:r>
      <w:r>
        <w:rPr>
          <w:spacing w:val="-1"/>
        </w:rPr>
        <w:t>Customer,</w:t>
      </w:r>
      <w:r>
        <w:rPr>
          <w:spacing w:val="57"/>
        </w:rPr>
        <w:t xml:space="preserve"> </w:t>
      </w:r>
      <w:r>
        <w:rPr>
          <w:spacing w:val="-1"/>
        </w:rPr>
        <w:t>acting</w:t>
      </w:r>
      <w:r>
        <w:rPr>
          <w:spacing w:val="58"/>
        </w:rPr>
        <w:t xml:space="preserve"> </w:t>
      </w:r>
      <w:r>
        <w:rPr>
          <w:spacing w:val="-1"/>
        </w:rPr>
        <w:t>reasonably,</w:t>
      </w:r>
      <w:r>
        <w:rPr>
          <w:spacing w:val="57"/>
        </w:rPr>
        <w:t xml:space="preserve"> </w:t>
      </w:r>
      <w:r>
        <w:rPr>
          <w:spacing w:val="-1"/>
        </w:rPr>
        <w:t>considers</w:t>
      </w:r>
      <w:r>
        <w:rPr>
          <w:spacing w:val="56"/>
        </w:rPr>
        <w:t xml:space="preserve"> </w:t>
      </w:r>
      <w:r>
        <w:rPr>
          <w:spacing w:val="-2"/>
        </w:rPr>
        <w:t>it</w:t>
      </w:r>
      <w:r>
        <w:rPr>
          <w:spacing w:val="24"/>
        </w:rPr>
        <w:t xml:space="preserve"> </w:t>
      </w:r>
      <w:r>
        <w:rPr>
          <w:spacing w:val="-1"/>
        </w:rPr>
        <w:t>appropriate,</w:t>
      </w:r>
      <w:r>
        <w:rPr>
          <w:spacing w:val="40"/>
        </w:rPr>
        <w:t xml:space="preserve"> </w:t>
      </w:r>
      <w:r>
        <w:t>the</w:t>
      </w:r>
      <w:r>
        <w:rPr>
          <w:spacing w:val="38"/>
        </w:rPr>
        <w:t xml:space="preserve"> </w:t>
      </w:r>
      <w:r>
        <w:rPr>
          <w:spacing w:val="-1"/>
        </w:rPr>
        <w:t>Implementation</w:t>
      </w:r>
      <w:r>
        <w:rPr>
          <w:spacing w:val="39"/>
        </w:rPr>
        <w:t xml:space="preserve"> </w:t>
      </w:r>
      <w:r>
        <w:rPr>
          <w:spacing w:val="-1"/>
        </w:rPr>
        <w:t>Plan</w:t>
      </w:r>
      <w:r>
        <w:rPr>
          <w:spacing w:val="38"/>
        </w:rPr>
        <w:t xml:space="preserve"> </w:t>
      </w:r>
      <w:r>
        <w:rPr>
          <w:spacing w:val="-1"/>
        </w:rPr>
        <w:t>shall</w:t>
      </w:r>
      <w:r>
        <w:rPr>
          <w:spacing w:val="38"/>
        </w:rPr>
        <w:t xml:space="preserve"> </w:t>
      </w:r>
      <w:r>
        <w:rPr>
          <w:spacing w:val="-1"/>
        </w:rPr>
        <w:t>be</w:t>
      </w:r>
      <w:r>
        <w:rPr>
          <w:spacing w:val="38"/>
        </w:rPr>
        <w:t xml:space="preserve"> </w:t>
      </w:r>
      <w:r>
        <w:rPr>
          <w:spacing w:val="-1"/>
        </w:rPr>
        <w:t>amended</w:t>
      </w:r>
      <w:r>
        <w:rPr>
          <w:spacing w:val="20"/>
        </w:rPr>
        <w:t xml:space="preserve"> </w:t>
      </w:r>
      <w:r>
        <w:t>to</w:t>
      </w:r>
      <w:r>
        <w:rPr>
          <w:spacing w:val="31"/>
        </w:rPr>
        <w:t xml:space="preserve"> </w:t>
      </w:r>
      <w:r>
        <w:rPr>
          <w:spacing w:val="-1"/>
        </w:rPr>
        <w:t>reflect</w:t>
      </w:r>
      <w:r>
        <w:rPr>
          <w:spacing w:val="33"/>
        </w:rPr>
        <w:t xml:space="preserve"> </w:t>
      </w:r>
      <w:r>
        <w:rPr>
          <w:spacing w:val="-1"/>
        </w:rPr>
        <w:t>any</w:t>
      </w:r>
      <w:r>
        <w:rPr>
          <w:spacing w:val="30"/>
        </w:rPr>
        <w:t xml:space="preserve"> </w:t>
      </w:r>
      <w:r>
        <w:rPr>
          <w:spacing w:val="-1"/>
        </w:rPr>
        <w:t>consequential</w:t>
      </w:r>
      <w:r>
        <w:rPr>
          <w:spacing w:val="31"/>
        </w:rPr>
        <w:t xml:space="preserve"> </w:t>
      </w:r>
      <w:r>
        <w:rPr>
          <w:spacing w:val="-2"/>
        </w:rPr>
        <w:t>revisions</w:t>
      </w:r>
      <w:r>
        <w:rPr>
          <w:spacing w:val="32"/>
        </w:rPr>
        <w:t xml:space="preserve"> </w:t>
      </w:r>
      <w:r>
        <w:rPr>
          <w:spacing w:val="-1"/>
        </w:rPr>
        <w:t>required</w:t>
      </w:r>
      <w:r>
        <w:rPr>
          <w:spacing w:val="31"/>
        </w:rPr>
        <w:t xml:space="preserve"> </w:t>
      </w:r>
      <w:r>
        <w:t>to</w:t>
      </w:r>
      <w:r>
        <w:rPr>
          <w:spacing w:val="33"/>
        </w:rPr>
        <w:t xml:space="preserve"> </w:t>
      </w:r>
      <w:r>
        <w:rPr>
          <w:spacing w:val="-1"/>
        </w:rPr>
        <w:t>subsequent</w:t>
      </w:r>
      <w:r>
        <w:rPr>
          <w:spacing w:val="16"/>
        </w:rPr>
        <w:t xml:space="preserve"> </w:t>
      </w:r>
      <w:r>
        <w:rPr>
          <w:spacing w:val="-2"/>
        </w:rPr>
        <w:t>Milestone</w:t>
      </w:r>
      <w:r>
        <w:rPr>
          <w:spacing w:val="15"/>
        </w:rPr>
        <w:t xml:space="preserve"> </w:t>
      </w:r>
      <w:r>
        <w:t>Dates</w:t>
      </w:r>
      <w:r>
        <w:rPr>
          <w:spacing w:val="15"/>
        </w:rPr>
        <w:t xml:space="preserve"> </w:t>
      </w:r>
      <w:r>
        <w:rPr>
          <w:spacing w:val="-1"/>
        </w:rPr>
        <w:t>resulting</w:t>
      </w:r>
      <w:r>
        <w:rPr>
          <w:spacing w:val="15"/>
        </w:rPr>
        <w:t xml:space="preserve"> </w:t>
      </w:r>
      <w:r>
        <w:rPr>
          <w:spacing w:val="-1"/>
        </w:rPr>
        <w:t>from</w:t>
      </w:r>
      <w:r>
        <w:rPr>
          <w:spacing w:val="16"/>
        </w:rPr>
        <w:t xml:space="preserve"> </w:t>
      </w:r>
      <w:r>
        <w:t>the</w:t>
      </w:r>
      <w:r>
        <w:rPr>
          <w:spacing w:val="12"/>
        </w:rPr>
        <w:t xml:space="preserve"> </w:t>
      </w:r>
      <w:r>
        <w:rPr>
          <w:spacing w:val="-1"/>
        </w:rPr>
        <w:t>Customer</w:t>
      </w:r>
      <w:r>
        <w:rPr>
          <w:spacing w:val="31"/>
        </w:rPr>
        <w:t xml:space="preserve"> </w:t>
      </w:r>
      <w:r>
        <w:rPr>
          <w:spacing w:val="-1"/>
        </w:rPr>
        <w:t>Cause;</w:t>
      </w:r>
    </w:p>
    <w:p w:rsidR="008918FA" w:rsidRDefault="008918FA" w:rsidP="008918FA">
      <w:pPr>
        <w:pStyle w:val="BodyText"/>
        <w:numPr>
          <w:ilvl w:val="4"/>
          <w:numId w:val="66"/>
        </w:numPr>
        <w:tabs>
          <w:tab w:val="left" w:pos="3164"/>
        </w:tabs>
        <w:ind w:left="3163" w:right="111"/>
        <w:jc w:val="both"/>
      </w:pPr>
      <w:r>
        <w:rPr>
          <w:spacing w:val="-1"/>
        </w:rPr>
        <w:t>if</w:t>
      </w:r>
      <w:r>
        <w:rPr>
          <w:spacing w:val="2"/>
        </w:rPr>
        <w:t xml:space="preserve"> </w:t>
      </w:r>
      <w:r>
        <w:rPr>
          <w:spacing w:val="-1"/>
        </w:rPr>
        <w:t>failure</w:t>
      </w:r>
      <w:r>
        <w:t xml:space="preserve"> to</w:t>
      </w:r>
      <w:r>
        <w:rPr>
          <w:spacing w:val="3"/>
        </w:rPr>
        <w:t xml:space="preserve"> </w:t>
      </w:r>
      <w:r>
        <w:rPr>
          <w:spacing w:val="-2"/>
        </w:rPr>
        <w:t>Achieve</w:t>
      </w:r>
      <w:r>
        <w:rPr>
          <w:spacing w:val="3"/>
        </w:rPr>
        <w:t xml:space="preserve"> </w:t>
      </w:r>
      <w:r>
        <w:t>a</w:t>
      </w:r>
      <w:r>
        <w:rPr>
          <w:spacing w:val="3"/>
        </w:rPr>
        <w:t xml:space="preserve"> </w:t>
      </w:r>
      <w:r>
        <w:rPr>
          <w:spacing w:val="-1"/>
        </w:rPr>
        <w:t>Milestone</w:t>
      </w:r>
      <w:r>
        <w:rPr>
          <w:spacing w:val="3"/>
        </w:rPr>
        <w:t xml:space="preserve"> </w:t>
      </w:r>
      <w:r>
        <w:rPr>
          <w:spacing w:val="-1"/>
        </w:rPr>
        <w:t>attracts</w:t>
      </w:r>
      <w:r>
        <w:rPr>
          <w:spacing w:val="3"/>
        </w:rPr>
        <w:t xml:space="preserve"> </w:t>
      </w:r>
      <w:r>
        <w:t xml:space="preserve">a </w:t>
      </w:r>
      <w:r>
        <w:rPr>
          <w:spacing w:val="-2"/>
        </w:rPr>
        <w:t>Delay</w:t>
      </w:r>
      <w:r>
        <w:rPr>
          <w:spacing w:val="1"/>
        </w:rPr>
        <w:t xml:space="preserve"> </w:t>
      </w:r>
      <w:r>
        <w:rPr>
          <w:spacing w:val="-1"/>
        </w:rPr>
        <w:t>Payment,</w:t>
      </w:r>
      <w:r>
        <w:rPr>
          <w:spacing w:val="43"/>
        </w:rPr>
        <w:t xml:space="preserve"> </w:t>
      </w:r>
      <w:r>
        <w:t>the</w:t>
      </w:r>
      <w:r>
        <w:rPr>
          <w:spacing w:val="17"/>
        </w:rPr>
        <w:t xml:space="preserve"> </w:t>
      </w:r>
      <w:r>
        <w:rPr>
          <w:spacing w:val="-2"/>
        </w:rPr>
        <w:t>Supplier</w:t>
      </w:r>
      <w:r>
        <w:rPr>
          <w:spacing w:val="19"/>
        </w:rPr>
        <w:t xml:space="preserve"> </w:t>
      </w:r>
      <w:r>
        <w:rPr>
          <w:spacing w:val="-1"/>
        </w:rPr>
        <w:t>shall</w:t>
      </w:r>
      <w:r>
        <w:rPr>
          <w:spacing w:val="17"/>
        </w:rPr>
        <w:t xml:space="preserve"> </w:t>
      </w:r>
      <w:r>
        <w:rPr>
          <w:spacing w:val="-2"/>
        </w:rPr>
        <w:t>have</w:t>
      </w:r>
      <w:r>
        <w:rPr>
          <w:spacing w:val="15"/>
        </w:rPr>
        <w:t xml:space="preserve"> </w:t>
      </w:r>
      <w:r>
        <w:rPr>
          <w:spacing w:val="-1"/>
        </w:rPr>
        <w:t>no</w:t>
      </w:r>
      <w:r>
        <w:rPr>
          <w:spacing w:val="17"/>
        </w:rPr>
        <w:t xml:space="preserve"> </w:t>
      </w:r>
      <w:r>
        <w:rPr>
          <w:spacing w:val="-1"/>
        </w:rPr>
        <w:t>liability</w:t>
      </w:r>
      <w:r>
        <w:rPr>
          <w:spacing w:val="15"/>
        </w:rPr>
        <w:t xml:space="preserve"> </w:t>
      </w:r>
      <w:r>
        <w:t>to</w:t>
      </w:r>
      <w:r>
        <w:rPr>
          <w:spacing w:val="17"/>
        </w:rPr>
        <w:t xml:space="preserve"> </w:t>
      </w:r>
      <w:r>
        <w:rPr>
          <w:spacing w:val="-1"/>
        </w:rPr>
        <w:t>pay</w:t>
      </w:r>
      <w:r>
        <w:rPr>
          <w:spacing w:val="15"/>
        </w:rPr>
        <w:t xml:space="preserve"> </w:t>
      </w:r>
      <w:r>
        <w:rPr>
          <w:spacing w:val="-1"/>
        </w:rPr>
        <w:t>any</w:t>
      </w:r>
      <w:r>
        <w:rPr>
          <w:spacing w:val="15"/>
        </w:rPr>
        <w:t xml:space="preserve"> </w:t>
      </w:r>
      <w:r>
        <w:rPr>
          <w:spacing w:val="-1"/>
        </w:rPr>
        <w:t>such</w:t>
      </w:r>
      <w:r>
        <w:rPr>
          <w:spacing w:val="19"/>
        </w:rPr>
        <w:t xml:space="preserve"> </w:t>
      </w:r>
      <w:r>
        <w:rPr>
          <w:spacing w:val="-2"/>
        </w:rPr>
        <w:t>Delay</w:t>
      </w:r>
      <w:r>
        <w:rPr>
          <w:spacing w:val="43"/>
        </w:rPr>
        <w:t xml:space="preserve"> </w:t>
      </w:r>
      <w:r>
        <w:rPr>
          <w:spacing w:val="-1"/>
        </w:rPr>
        <w:t>Payment</w:t>
      </w:r>
      <w:r>
        <w:rPr>
          <w:spacing w:val="19"/>
        </w:rPr>
        <w:t xml:space="preserve"> </w:t>
      </w:r>
      <w:r>
        <w:rPr>
          <w:spacing w:val="-1"/>
        </w:rPr>
        <w:t>associated</w:t>
      </w:r>
      <w:r>
        <w:rPr>
          <w:spacing w:val="17"/>
        </w:rPr>
        <w:t xml:space="preserve"> </w:t>
      </w:r>
      <w:r>
        <w:rPr>
          <w:spacing w:val="-2"/>
        </w:rPr>
        <w:t>with</w:t>
      </w:r>
      <w:r>
        <w:rPr>
          <w:spacing w:val="17"/>
        </w:rPr>
        <w:t xml:space="preserve"> </w:t>
      </w:r>
      <w:r>
        <w:t>the</w:t>
      </w:r>
      <w:r>
        <w:rPr>
          <w:spacing w:val="18"/>
        </w:rPr>
        <w:t xml:space="preserve"> </w:t>
      </w:r>
      <w:r>
        <w:rPr>
          <w:spacing w:val="-1"/>
        </w:rPr>
        <w:t>Milestone</w:t>
      </w:r>
      <w:r>
        <w:rPr>
          <w:spacing w:val="17"/>
        </w:rPr>
        <w:t xml:space="preserve"> </w:t>
      </w:r>
      <w:r>
        <w:t>to</w:t>
      </w:r>
      <w:r>
        <w:rPr>
          <w:spacing w:val="17"/>
        </w:rPr>
        <w:t xml:space="preserve"> </w:t>
      </w:r>
      <w:r>
        <w:t>the</w:t>
      </w:r>
      <w:r>
        <w:rPr>
          <w:spacing w:val="17"/>
        </w:rPr>
        <w:t xml:space="preserve"> </w:t>
      </w:r>
      <w:r>
        <w:rPr>
          <w:spacing w:val="-2"/>
        </w:rPr>
        <w:t>extent</w:t>
      </w:r>
      <w:r>
        <w:rPr>
          <w:spacing w:val="19"/>
        </w:rPr>
        <w:t xml:space="preserve"> </w:t>
      </w:r>
      <w:r>
        <w:rPr>
          <w:spacing w:val="-1"/>
        </w:rPr>
        <w:t>that</w:t>
      </w:r>
      <w:r>
        <w:rPr>
          <w:spacing w:val="31"/>
        </w:rPr>
        <w:t xml:space="preserve"> </w:t>
      </w:r>
      <w:r>
        <w:t>the</w:t>
      </w:r>
      <w:r>
        <w:rPr>
          <w:spacing w:val="40"/>
        </w:rPr>
        <w:t xml:space="preserve"> </w:t>
      </w:r>
      <w:r>
        <w:rPr>
          <w:spacing w:val="-2"/>
        </w:rPr>
        <w:t>Supplier</w:t>
      </w:r>
      <w:r>
        <w:rPr>
          <w:spacing w:val="41"/>
        </w:rPr>
        <w:t xml:space="preserve"> </w:t>
      </w:r>
      <w:r>
        <w:rPr>
          <w:spacing w:val="-1"/>
        </w:rPr>
        <w:t>can</w:t>
      </w:r>
      <w:r>
        <w:rPr>
          <w:spacing w:val="37"/>
        </w:rPr>
        <w:t xml:space="preserve"> </w:t>
      </w:r>
      <w:r>
        <w:rPr>
          <w:spacing w:val="-1"/>
        </w:rPr>
        <w:t>demonstrate</w:t>
      </w:r>
      <w:r>
        <w:rPr>
          <w:spacing w:val="37"/>
        </w:rPr>
        <w:t xml:space="preserve"> </w:t>
      </w:r>
      <w:r>
        <w:rPr>
          <w:spacing w:val="-1"/>
        </w:rPr>
        <w:t>that</w:t>
      </w:r>
      <w:r>
        <w:rPr>
          <w:spacing w:val="39"/>
        </w:rPr>
        <w:t xml:space="preserve"> </w:t>
      </w:r>
      <w:r>
        <w:rPr>
          <w:spacing w:val="-1"/>
        </w:rPr>
        <w:t>such</w:t>
      </w:r>
      <w:r>
        <w:rPr>
          <w:spacing w:val="38"/>
        </w:rPr>
        <w:t xml:space="preserve"> </w:t>
      </w:r>
      <w:r>
        <w:rPr>
          <w:spacing w:val="-1"/>
        </w:rPr>
        <w:t>failure</w:t>
      </w:r>
      <w:r>
        <w:rPr>
          <w:spacing w:val="41"/>
        </w:rPr>
        <w:t xml:space="preserve"> </w:t>
      </w:r>
      <w:r>
        <w:rPr>
          <w:spacing w:val="-2"/>
        </w:rPr>
        <w:t>was</w:t>
      </w:r>
      <w:r>
        <w:rPr>
          <w:spacing w:val="42"/>
        </w:rPr>
        <w:t xml:space="preserve"> </w:t>
      </w:r>
      <w:r>
        <w:rPr>
          <w:spacing w:val="-1"/>
        </w:rPr>
        <w:t>caused</w:t>
      </w:r>
      <w:r>
        <w:t xml:space="preserve"> </w:t>
      </w:r>
      <w:r>
        <w:rPr>
          <w:spacing w:val="-1"/>
        </w:rPr>
        <w:t>by</w:t>
      </w:r>
      <w:r>
        <w:rPr>
          <w:spacing w:val="-2"/>
        </w:rPr>
        <w:t xml:space="preserve"> </w:t>
      </w:r>
      <w:r>
        <w:t>the</w:t>
      </w:r>
      <w:r>
        <w:rPr>
          <w:spacing w:val="-2"/>
        </w:rPr>
        <w:t xml:space="preserve"> </w:t>
      </w:r>
      <w:r>
        <w:rPr>
          <w:spacing w:val="-1"/>
        </w:rPr>
        <w:t>Customer</w:t>
      </w:r>
      <w:r>
        <w:rPr>
          <w:spacing w:val="-3"/>
        </w:rPr>
        <w:t xml:space="preserve"> </w:t>
      </w:r>
      <w:r>
        <w:rPr>
          <w:spacing w:val="-1"/>
        </w:rPr>
        <w:t>Cause;</w:t>
      </w:r>
      <w:r>
        <w:rPr>
          <w:spacing w:val="2"/>
        </w:rPr>
        <w:t xml:space="preserve"> </w:t>
      </w:r>
      <w:r>
        <w:rPr>
          <w:spacing w:val="-1"/>
        </w:rPr>
        <w:t>and/or</w:t>
      </w:r>
    </w:p>
    <w:p w:rsidR="008918FA" w:rsidRDefault="008918FA" w:rsidP="008918FA">
      <w:pPr>
        <w:pStyle w:val="BodyText"/>
        <w:numPr>
          <w:ilvl w:val="3"/>
          <w:numId w:val="66"/>
        </w:numPr>
        <w:tabs>
          <w:tab w:val="left" w:pos="2595"/>
        </w:tabs>
        <w:ind w:left="2594" w:right="115"/>
      </w:pPr>
      <w:r>
        <w:rPr>
          <w:spacing w:val="-2"/>
        </w:rPr>
        <w:t>where</w:t>
      </w:r>
      <w:r>
        <w:t xml:space="preserve"> </w:t>
      </w:r>
      <w:r>
        <w:rPr>
          <w:spacing w:val="21"/>
        </w:rPr>
        <w:t xml:space="preserve"> </w:t>
      </w:r>
      <w:r>
        <w:t xml:space="preserve">the </w:t>
      </w:r>
      <w:r>
        <w:rPr>
          <w:spacing w:val="21"/>
        </w:rPr>
        <w:t xml:space="preserve"> </w:t>
      </w:r>
      <w:r>
        <w:rPr>
          <w:spacing w:val="-2"/>
        </w:rPr>
        <w:t>Supplier</w:t>
      </w:r>
      <w:r>
        <w:t xml:space="preserve"> </w:t>
      </w:r>
      <w:r>
        <w:rPr>
          <w:spacing w:val="22"/>
        </w:rPr>
        <w:t xml:space="preserve"> </w:t>
      </w:r>
      <w:r>
        <w:rPr>
          <w:spacing w:val="-1"/>
        </w:rPr>
        <w:t>Non-Performance</w:t>
      </w:r>
      <w:r>
        <w:t xml:space="preserve"> </w:t>
      </w:r>
      <w:r>
        <w:rPr>
          <w:spacing w:val="21"/>
        </w:rPr>
        <w:t xml:space="preserve"> </w:t>
      </w:r>
      <w:r>
        <w:rPr>
          <w:spacing w:val="-1"/>
        </w:rPr>
        <w:t>constitutes</w:t>
      </w:r>
      <w:r>
        <w:t xml:space="preserve"> </w:t>
      </w:r>
      <w:r>
        <w:rPr>
          <w:spacing w:val="22"/>
        </w:rPr>
        <w:t xml:space="preserve"> </w:t>
      </w:r>
      <w:r>
        <w:t xml:space="preserve">a </w:t>
      </w:r>
      <w:r>
        <w:rPr>
          <w:spacing w:val="21"/>
        </w:rPr>
        <w:t xml:space="preserve"> </w:t>
      </w:r>
      <w:r>
        <w:rPr>
          <w:spacing w:val="-1"/>
        </w:rPr>
        <w:t>Service</w:t>
      </w:r>
      <w:r>
        <w:rPr>
          <w:spacing w:val="31"/>
        </w:rPr>
        <w:t xml:space="preserve"> </w:t>
      </w:r>
      <w:r>
        <w:rPr>
          <w:spacing w:val="-2"/>
        </w:rPr>
        <w:t>Level</w:t>
      </w:r>
      <w:r>
        <w:t xml:space="preserve"> </w:t>
      </w:r>
      <w:r>
        <w:rPr>
          <w:spacing w:val="-2"/>
        </w:rPr>
        <w:t>Failure:</w:t>
      </w:r>
    </w:p>
    <w:p w:rsidR="008918FA" w:rsidRDefault="008918FA" w:rsidP="008918FA">
      <w:pPr>
        <w:pStyle w:val="BodyText"/>
        <w:numPr>
          <w:ilvl w:val="4"/>
          <w:numId w:val="66"/>
        </w:numPr>
        <w:tabs>
          <w:tab w:val="left" w:pos="3164"/>
        </w:tabs>
        <w:spacing w:before="121"/>
        <w:ind w:left="3163"/>
      </w:pPr>
      <w:r>
        <w:t xml:space="preserve">the </w:t>
      </w:r>
      <w:r>
        <w:rPr>
          <w:spacing w:val="-2"/>
        </w:rPr>
        <w:t>Supplier</w:t>
      </w:r>
      <w:r>
        <w:rPr>
          <w:spacing w:val="2"/>
        </w:rPr>
        <w:t xml:space="preserve"> </w:t>
      </w:r>
      <w:r>
        <w:rPr>
          <w:spacing w:val="-1"/>
        </w:rPr>
        <w:t>shall</w:t>
      </w:r>
      <w:r>
        <w:t xml:space="preserve"> </w:t>
      </w:r>
      <w:r>
        <w:rPr>
          <w:spacing w:val="-2"/>
        </w:rPr>
        <w:t>not</w:t>
      </w:r>
      <w:r>
        <w:rPr>
          <w:spacing w:val="2"/>
        </w:rPr>
        <w:t xml:space="preserve"> </w:t>
      </w:r>
      <w:r>
        <w:rPr>
          <w:spacing w:val="-1"/>
        </w:rPr>
        <w:t>be</w:t>
      </w:r>
      <w:r>
        <w:rPr>
          <w:spacing w:val="-4"/>
        </w:rPr>
        <w:t xml:space="preserve"> </w:t>
      </w:r>
      <w:r>
        <w:rPr>
          <w:spacing w:val="-2"/>
        </w:rPr>
        <w:t>liable</w:t>
      </w:r>
      <w:r>
        <w:t xml:space="preserve"> to </w:t>
      </w:r>
      <w:r>
        <w:rPr>
          <w:spacing w:val="-1"/>
        </w:rPr>
        <w:t>accrue</w:t>
      </w:r>
      <w:r>
        <w:rPr>
          <w:spacing w:val="-2"/>
        </w:rPr>
        <w:t xml:space="preserve"> Service </w:t>
      </w:r>
      <w:r>
        <w:rPr>
          <w:spacing w:val="-1"/>
        </w:rPr>
        <w:t>Credits;</w:t>
      </w:r>
    </w:p>
    <w:p w:rsidR="008918FA" w:rsidRDefault="008918FA" w:rsidP="008918FA">
      <w:pPr>
        <w:pStyle w:val="BodyText"/>
        <w:numPr>
          <w:ilvl w:val="4"/>
          <w:numId w:val="66"/>
        </w:numPr>
        <w:tabs>
          <w:tab w:val="left" w:pos="3164"/>
        </w:tabs>
        <w:ind w:left="3163" w:right="110"/>
        <w:jc w:val="both"/>
      </w:pPr>
      <w:r>
        <w:t>the</w:t>
      </w:r>
      <w:r>
        <w:rPr>
          <w:spacing w:val="27"/>
        </w:rPr>
        <w:t xml:space="preserve"> </w:t>
      </w:r>
      <w:r>
        <w:rPr>
          <w:spacing w:val="-1"/>
        </w:rPr>
        <w:t>Customer</w:t>
      </w:r>
      <w:r>
        <w:rPr>
          <w:spacing w:val="28"/>
        </w:rPr>
        <w:t xml:space="preserve"> </w:t>
      </w:r>
      <w:r>
        <w:rPr>
          <w:spacing w:val="-1"/>
        </w:rPr>
        <w:t>shall</w:t>
      </w:r>
      <w:r>
        <w:rPr>
          <w:spacing w:val="26"/>
        </w:rPr>
        <w:t xml:space="preserve"> </w:t>
      </w:r>
      <w:r>
        <w:rPr>
          <w:spacing w:val="-1"/>
        </w:rPr>
        <w:t>not</w:t>
      </w:r>
      <w:r>
        <w:rPr>
          <w:spacing w:val="30"/>
        </w:rPr>
        <w:t xml:space="preserve"> </w:t>
      </w:r>
      <w:r>
        <w:rPr>
          <w:spacing w:val="-1"/>
        </w:rPr>
        <w:t>be</w:t>
      </w:r>
      <w:r>
        <w:rPr>
          <w:spacing w:val="27"/>
        </w:rPr>
        <w:t xml:space="preserve"> </w:t>
      </w:r>
      <w:r>
        <w:rPr>
          <w:spacing w:val="-1"/>
        </w:rPr>
        <w:t>entitled</w:t>
      </w:r>
      <w:r>
        <w:rPr>
          <w:spacing w:val="27"/>
        </w:rPr>
        <w:t xml:space="preserve"> </w:t>
      </w:r>
      <w:r>
        <w:t>to</w:t>
      </w:r>
      <w:r>
        <w:rPr>
          <w:spacing w:val="28"/>
        </w:rPr>
        <w:t xml:space="preserve"> </w:t>
      </w:r>
      <w:r>
        <w:rPr>
          <w:spacing w:val="-1"/>
        </w:rPr>
        <w:t>any</w:t>
      </w:r>
      <w:r>
        <w:rPr>
          <w:spacing w:val="27"/>
        </w:rPr>
        <w:t xml:space="preserve"> </w:t>
      </w:r>
      <w:r>
        <w:rPr>
          <w:spacing w:val="-1"/>
        </w:rPr>
        <w:t>Compensation</w:t>
      </w:r>
      <w:r>
        <w:rPr>
          <w:spacing w:val="25"/>
        </w:rPr>
        <w:t xml:space="preserve"> </w:t>
      </w:r>
      <w:r>
        <w:t>for</w:t>
      </w:r>
      <w:r>
        <w:rPr>
          <w:spacing w:val="47"/>
        </w:rPr>
        <w:t xml:space="preserve"> </w:t>
      </w:r>
      <w:r>
        <w:rPr>
          <w:spacing w:val="-1"/>
        </w:rPr>
        <w:t>Critical</w:t>
      </w:r>
      <w:r>
        <w:rPr>
          <w:spacing w:val="45"/>
        </w:rPr>
        <w:t xml:space="preserve"> </w:t>
      </w:r>
      <w:r>
        <w:rPr>
          <w:spacing w:val="-2"/>
        </w:rPr>
        <w:t>Service</w:t>
      </w:r>
      <w:r>
        <w:rPr>
          <w:spacing w:val="46"/>
        </w:rPr>
        <w:t xml:space="preserve"> </w:t>
      </w:r>
      <w:r>
        <w:rPr>
          <w:spacing w:val="-1"/>
        </w:rPr>
        <w:t>Level</w:t>
      </w:r>
      <w:r>
        <w:rPr>
          <w:spacing w:val="45"/>
        </w:rPr>
        <w:t xml:space="preserve"> </w:t>
      </w:r>
      <w:r>
        <w:rPr>
          <w:spacing w:val="-1"/>
        </w:rPr>
        <w:t>Failure</w:t>
      </w:r>
      <w:r>
        <w:rPr>
          <w:spacing w:val="47"/>
        </w:rPr>
        <w:t xml:space="preserve"> </w:t>
      </w:r>
      <w:r>
        <w:rPr>
          <w:spacing w:val="-1"/>
        </w:rPr>
        <w:t>pursuant</w:t>
      </w:r>
      <w:r>
        <w:rPr>
          <w:spacing w:val="47"/>
        </w:rPr>
        <w:t xml:space="preserve"> </w:t>
      </w:r>
      <w:r>
        <w:t>to</w:t>
      </w:r>
      <w:r>
        <w:rPr>
          <w:spacing w:val="44"/>
        </w:rPr>
        <w:t xml:space="preserve"> </w:t>
      </w:r>
      <w:r>
        <w:rPr>
          <w:spacing w:val="-2"/>
        </w:rPr>
        <w:t>Clause</w:t>
      </w:r>
      <w:r>
        <w:rPr>
          <w:spacing w:val="2"/>
        </w:rPr>
        <w:t xml:space="preserve"> </w:t>
      </w:r>
      <w:hyperlink w:anchor="_bookmark99" w:history="1">
        <w:r>
          <w:rPr>
            <w:spacing w:val="-1"/>
          </w:rPr>
          <w:t>14</w:t>
        </w:r>
      </w:hyperlink>
      <w:r>
        <w:rPr>
          <w:spacing w:val="38"/>
        </w:rPr>
        <w:t xml:space="preserve"> </w:t>
      </w:r>
      <w:r>
        <w:rPr>
          <w:spacing w:val="-1"/>
        </w:rPr>
        <w:t>(Critical</w:t>
      </w:r>
      <w:r>
        <w:t xml:space="preserve"> </w:t>
      </w:r>
      <w:r>
        <w:rPr>
          <w:spacing w:val="-2"/>
        </w:rPr>
        <w:t>Service</w:t>
      </w:r>
      <w:r>
        <w:rPr>
          <w:spacing w:val="1"/>
        </w:rPr>
        <w:t xml:space="preserve"> </w:t>
      </w:r>
      <w:r>
        <w:rPr>
          <w:spacing w:val="-2"/>
        </w:rPr>
        <w:t>Level</w:t>
      </w:r>
      <w:r>
        <w:t xml:space="preserve"> </w:t>
      </w:r>
      <w:r>
        <w:rPr>
          <w:spacing w:val="-1"/>
        </w:rPr>
        <w:t>Failure);</w:t>
      </w:r>
      <w:r>
        <w:rPr>
          <w:spacing w:val="2"/>
        </w:rPr>
        <w:t xml:space="preserve"> </w:t>
      </w:r>
      <w:r>
        <w:rPr>
          <w:spacing w:val="-1"/>
        </w:rPr>
        <w:t>and</w:t>
      </w:r>
    </w:p>
    <w:p w:rsidR="008918FA" w:rsidRDefault="008918FA" w:rsidP="008918FA">
      <w:pPr>
        <w:pStyle w:val="BodyText"/>
        <w:numPr>
          <w:ilvl w:val="4"/>
          <w:numId w:val="66"/>
        </w:numPr>
        <w:tabs>
          <w:tab w:val="left" w:pos="3164"/>
        </w:tabs>
        <w:spacing w:before="121"/>
        <w:ind w:left="3163" w:right="112"/>
        <w:jc w:val="both"/>
      </w:pPr>
      <w:r>
        <w:t>the</w:t>
      </w:r>
      <w:r>
        <w:rPr>
          <w:spacing w:val="41"/>
        </w:rPr>
        <w:t xml:space="preserve"> </w:t>
      </w:r>
      <w:r>
        <w:rPr>
          <w:spacing w:val="-2"/>
        </w:rPr>
        <w:t>Supplier</w:t>
      </w:r>
      <w:r>
        <w:rPr>
          <w:spacing w:val="42"/>
        </w:rPr>
        <w:t xml:space="preserve"> </w:t>
      </w:r>
      <w:r>
        <w:rPr>
          <w:spacing w:val="-1"/>
        </w:rPr>
        <w:t>shall</w:t>
      </w:r>
      <w:r>
        <w:rPr>
          <w:spacing w:val="40"/>
        </w:rPr>
        <w:t xml:space="preserve"> </w:t>
      </w:r>
      <w:r>
        <w:rPr>
          <w:spacing w:val="-1"/>
        </w:rPr>
        <w:t>be</w:t>
      </w:r>
      <w:r>
        <w:rPr>
          <w:spacing w:val="41"/>
        </w:rPr>
        <w:t xml:space="preserve"> </w:t>
      </w:r>
      <w:r>
        <w:rPr>
          <w:spacing w:val="-1"/>
        </w:rPr>
        <w:t>entitled</w:t>
      </w:r>
      <w:r>
        <w:rPr>
          <w:spacing w:val="41"/>
        </w:rPr>
        <w:t xml:space="preserve"> </w:t>
      </w:r>
      <w:r>
        <w:t>to</w:t>
      </w:r>
      <w:r>
        <w:rPr>
          <w:spacing w:val="41"/>
        </w:rPr>
        <w:t xml:space="preserve"> </w:t>
      </w:r>
      <w:r>
        <w:rPr>
          <w:spacing w:val="-2"/>
        </w:rPr>
        <w:t>invoice</w:t>
      </w:r>
      <w:r>
        <w:rPr>
          <w:spacing w:val="40"/>
        </w:rPr>
        <w:t xml:space="preserve"> </w:t>
      </w:r>
      <w:r>
        <w:t>for</w:t>
      </w:r>
      <w:r>
        <w:rPr>
          <w:spacing w:val="40"/>
        </w:rPr>
        <w:t xml:space="preserve"> </w:t>
      </w:r>
      <w:r>
        <w:t>the</w:t>
      </w:r>
      <w:r>
        <w:rPr>
          <w:spacing w:val="41"/>
        </w:rPr>
        <w:t xml:space="preserve"> </w:t>
      </w:r>
      <w:r>
        <w:rPr>
          <w:spacing w:val="-2"/>
        </w:rPr>
        <w:t>Call</w:t>
      </w:r>
      <w:r>
        <w:rPr>
          <w:spacing w:val="38"/>
        </w:rPr>
        <w:t xml:space="preserve"> </w:t>
      </w:r>
      <w:r>
        <w:rPr>
          <w:spacing w:val="-1"/>
        </w:rPr>
        <w:t>Off</w:t>
      </w:r>
      <w:r>
        <w:rPr>
          <w:spacing w:val="45"/>
        </w:rPr>
        <w:t xml:space="preserve"> </w:t>
      </w:r>
      <w:r>
        <w:rPr>
          <w:spacing w:val="-1"/>
        </w:rPr>
        <w:t>Contract</w:t>
      </w:r>
      <w:r>
        <w:rPr>
          <w:spacing w:val="17"/>
        </w:rPr>
        <w:t xml:space="preserve"> </w:t>
      </w:r>
      <w:r>
        <w:rPr>
          <w:spacing w:val="-1"/>
        </w:rPr>
        <w:t>Charges</w:t>
      </w:r>
      <w:r>
        <w:rPr>
          <w:spacing w:val="13"/>
        </w:rPr>
        <w:t xml:space="preserve"> </w:t>
      </w:r>
      <w:r>
        <w:t>for</w:t>
      </w:r>
      <w:r>
        <w:rPr>
          <w:spacing w:val="16"/>
        </w:rPr>
        <w:t xml:space="preserve"> </w:t>
      </w:r>
      <w:r>
        <w:rPr>
          <w:spacing w:val="-1"/>
        </w:rPr>
        <w:t>the</w:t>
      </w:r>
      <w:r>
        <w:rPr>
          <w:spacing w:val="15"/>
        </w:rPr>
        <w:t xml:space="preserve"> </w:t>
      </w:r>
      <w:r>
        <w:rPr>
          <w:spacing w:val="-2"/>
        </w:rPr>
        <w:t>provision</w:t>
      </w:r>
      <w:r>
        <w:rPr>
          <w:spacing w:val="17"/>
        </w:rPr>
        <w:t xml:space="preserve"> </w:t>
      </w:r>
      <w:r>
        <w:rPr>
          <w:spacing w:val="-1"/>
        </w:rPr>
        <w:t>of</w:t>
      </w:r>
      <w:r>
        <w:rPr>
          <w:spacing w:val="19"/>
        </w:rPr>
        <w:t xml:space="preserve"> </w:t>
      </w:r>
      <w:r>
        <w:t>the</w:t>
      </w:r>
      <w:r>
        <w:rPr>
          <w:spacing w:val="15"/>
        </w:rPr>
        <w:t xml:space="preserve"> </w:t>
      </w:r>
      <w:r>
        <w:rPr>
          <w:spacing w:val="-2"/>
        </w:rPr>
        <w:t>relevant</w:t>
      </w:r>
      <w:r>
        <w:rPr>
          <w:spacing w:val="16"/>
        </w:rPr>
        <w:t xml:space="preserve"> </w:t>
      </w:r>
      <w:r>
        <w:rPr>
          <w:spacing w:val="-1"/>
        </w:rPr>
        <w:t>Goods</w:t>
      </w:r>
      <w:r>
        <w:rPr>
          <w:spacing w:val="47"/>
        </w:rPr>
        <w:t xml:space="preserve"> </w:t>
      </w:r>
      <w:r>
        <w:rPr>
          <w:spacing w:val="-1"/>
        </w:rPr>
        <w:t>and/or Services</w:t>
      </w:r>
      <w:r>
        <w:rPr>
          <w:spacing w:val="1"/>
        </w:rPr>
        <w:t xml:space="preserve"> </w:t>
      </w:r>
      <w:r>
        <w:rPr>
          <w:spacing w:val="-1"/>
        </w:rPr>
        <w:t>affected</w:t>
      </w:r>
      <w:r>
        <w:rPr>
          <w:spacing w:val="-4"/>
        </w:rPr>
        <w:t xml:space="preserve"> </w:t>
      </w:r>
      <w:r>
        <w:rPr>
          <w:spacing w:val="-1"/>
        </w:rPr>
        <w:t>by</w:t>
      </w:r>
      <w:r>
        <w:rPr>
          <w:spacing w:val="-2"/>
        </w:rPr>
        <w:t xml:space="preserve"> </w:t>
      </w:r>
      <w:r>
        <w:t xml:space="preserve">the </w:t>
      </w:r>
      <w:r>
        <w:rPr>
          <w:spacing w:val="-1"/>
        </w:rPr>
        <w:t>Customer</w:t>
      </w:r>
      <w:r>
        <w:t xml:space="preserve"> </w:t>
      </w:r>
      <w:r>
        <w:rPr>
          <w:spacing w:val="-2"/>
        </w:rPr>
        <w:t>Cause,</w:t>
      </w:r>
    </w:p>
    <w:p w:rsidR="008918FA" w:rsidRDefault="008918FA" w:rsidP="008918FA">
      <w:pPr>
        <w:pStyle w:val="BodyText"/>
        <w:numPr>
          <w:ilvl w:val="4"/>
          <w:numId w:val="66"/>
        </w:numPr>
        <w:tabs>
          <w:tab w:val="left" w:pos="3164"/>
        </w:tabs>
        <w:spacing w:before="121"/>
        <w:ind w:left="3163" w:right="113"/>
        <w:jc w:val="both"/>
      </w:pPr>
      <w:r>
        <w:rPr>
          <w:spacing w:val="-1"/>
        </w:rPr>
        <w:t>in</w:t>
      </w:r>
      <w:r>
        <w:rPr>
          <w:spacing w:val="49"/>
        </w:rPr>
        <w:t xml:space="preserve"> </w:t>
      </w:r>
      <w:r>
        <w:rPr>
          <w:spacing w:val="-1"/>
        </w:rPr>
        <w:t>each</w:t>
      </w:r>
      <w:r>
        <w:rPr>
          <w:spacing w:val="50"/>
        </w:rPr>
        <w:t xml:space="preserve"> </w:t>
      </w:r>
      <w:r>
        <w:rPr>
          <w:spacing w:val="-1"/>
        </w:rPr>
        <w:t>case,</w:t>
      </w:r>
      <w:r>
        <w:rPr>
          <w:spacing w:val="49"/>
        </w:rPr>
        <w:t xml:space="preserve"> </w:t>
      </w:r>
      <w:r>
        <w:t>to</w:t>
      </w:r>
      <w:r>
        <w:rPr>
          <w:spacing w:val="47"/>
        </w:rPr>
        <w:t xml:space="preserve"> </w:t>
      </w:r>
      <w:r>
        <w:t>the</w:t>
      </w:r>
      <w:r>
        <w:rPr>
          <w:spacing w:val="47"/>
        </w:rPr>
        <w:t xml:space="preserve"> </w:t>
      </w:r>
      <w:r>
        <w:rPr>
          <w:spacing w:val="-1"/>
        </w:rPr>
        <w:t>extent</w:t>
      </w:r>
      <w:r>
        <w:rPr>
          <w:spacing w:val="51"/>
        </w:rPr>
        <w:t xml:space="preserve"> </w:t>
      </w:r>
      <w:r>
        <w:rPr>
          <w:spacing w:val="-1"/>
        </w:rPr>
        <w:t>that</w:t>
      </w:r>
      <w:r>
        <w:rPr>
          <w:spacing w:val="50"/>
        </w:rPr>
        <w:t xml:space="preserve"> </w:t>
      </w:r>
      <w:r>
        <w:t>the</w:t>
      </w:r>
      <w:r>
        <w:rPr>
          <w:spacing w:val="49"/>
        </w:rPr>
        <w:t xml:space="preserve"> </w:t>
      </w:r>
      <w:r>
        <w:rPr>
          <w:spacing w:val="-2"/>
        </w:rPr>
        <w:t>Supplier</w:t>
      </w:r>
      <w:r>
        <w:rPr>
          <w:spacing w:val="51"/>
        </w:rPr>
        <w:t xml:space="preserve"> </w:t>
      </w:r>
      <w:r>
        <w:rPr>
          <w:spacing w:val="-1"/>
        </w:rPr>
        <w:t>can</w:t>
      </w:r>
      <w:r>
        <w:rPr>
          <w:spacing w:val="29"/>
        </w:rPr>
        <w:t xml:space="preserve"> </w:t>
      </w:r>
      <w:r>
        <w:rPr>
          <w:spacing w:val="-1"/>
        </w:rPr>
        <w:t>demonstrate</w:t>
      </w:r>
      <w:r>
        <w:rPr>
          <w:spacing w:val="38"/>
        </w:rPr>
        <w:t xml:space="preserve"> </w:t>
      </w:r>
      <w:r>
        <w:rPr>
          <w:spacing w:val="-1"/>
        </w:rPr>
        <w:t>that</w:t>
      </w:r>
      <w:r>
        <w:rPr>
          <w:spacing w:val="42"/>
        </w:rPr>
        <w:t xml:space="preserve"> </w:t>
      </w:r>
      <w:r>
        <w:t>the</w:t>
      </w:r>
      <w:r>
        <w:rPr>
          <w:spacing w:val="38"/>
        </w:rPr>
        <w:t xml:space="preserve"> </w:t>
      </w:r>
      <w:r>
        <w:rPr>
          <w:spacing w:val="-2"/>
        </w:rPr>
        <w:t>Service</w:t>
      </w:r>
      <w:r>
        <w:rPr>
          <w:spacing w:val="41"/>
        </w:rPr>
        <w:t xml:space="preserve"> </w:t>
      </w:r>
      <w:r>
        <w:rPr>
          <w:spacing w:val="-1"/>
        </w:rPr>
        <w:t>Level</w:t>
      </w:r>
      <w:r>
        <w:rPr>
          <w:spacing w:val="40"/>
        </w:rPr>
        <w:t xml:space="preserve"> </w:t>
      </w:r>
      <w:r>
        <w:rPr>
          <w:spacing w:val="-1"/>
        </w:rPr>
        <w:t>Failure</w:t>
      </w:r>
      <w:r>
        <w:rPr>
          <w:spacing w:val="43"/>
        </w:rPr>
        <w:t xml:space="preserve"> </w:t>
      </w:r>
      <w:r>
        <w:rPr>
          <w:spacing w:val="-1"/>
        </w:rPr>
        <w:t>was</w:t>
      </w:r>
      <w:r>
        <w:rPr>
          <w:spacing w:val="42"/>
        </w:rPr>
        <w:t xml:space="preserve"> </w:t>
      </w:r>
      <w:r>
        <w:rPr>
          <w:spacing w:val="-1"/>
        </w:rPr>
        <w:t>caused</w:t>
      </w:r>
      <w:r>
        <w:rPr>
          <w:spacing w:val="33"/>
        </w:rPr>
        <w:t xml:space="preserve"> </w:t>
      </w:r>
      <w:r>
        <w:rPr>
          <w:spacing w:val="-1"/>
        </w:rPr>
        <w:t>by</w:t>
      </w:r>
      <w:r>
        <w:rPr>
          <w:spacing w:val="-2"/>
        </w:rPr>
        <w:t xml:space="preserve"> </w:t>
      </w:r>
      <w:r>
        <w:t xml:space="preserve">the </w:t>
      </w:r>
      <w:r>
        <w:rPr>
          <w:spacing w:val="-1"/>
        </w:rPr>
        <w:t>Customer</w:t>
      </w:r>
      <w:r>
        <w:t xml:space="preserve"> </w:t>
      </w:r>
      <w:r>
        <w:rPr>
          <w:spacing w:val="-2"/>
        </w:rPr>
        <w:t>Cause.</w:t>
      </w:r>
    </w:p>
    <w:p w:rsidR="008918FA" w:rsidRDefault="008918FA" w:rsidP="008918FA">
      <w:pPr>
        <w:pStyle w:val="BodyText"/>
        <w:numPr>
          <w:ilvl w:val="1"/>
          <w:numId w:val="66"/>
        </w:numPr>
        <w:tabs>
          <w:tab w:val="left" w:pos="894"/>
        </w:tabs>
        <w:ind w:left="689" w:right="113" w:hanging="360"/>
        <w:jc w:val="both"/>
      </w:pPr>
      <w:r>
        <w:t>In</w:t>
      </w:r>
      <w:r>
        <w:rPr>
          <w:spacing w:val="34"/>
        </w:rPr>
        <w:t xml:space="preserve"> </w:t>
      </w:r>
      <w:r>
        <w:rPr>
          <w:spacing w:val="-1"/>
        </w:rPr>
        <w:t>order</w:t>
      </w:r>
      <w:r>
        <w:rPr>
          <w:spacing w:val="35"/>
        </w:rPr>
        <w:t xml:space="preserve"> </w:t>
      </w:r>
      <w:r>
        <w:t>to</w:t>
      </w:r>
      <w:r>
        <w:rPr>
          <w:spacing w:val="31"/>
        </w:rPr>
        <w:t xml:space="preserve"> </w:t>
      </w:r>
      <w:r>
        <w:rPr>
          <w:spacing w:val="-1"/>
        </w:rPr>
        <w:t>claim</w:t>
      </w:r>
      <w:r>
        <w:rPr>
          <w:spacing w:val="35"/>
        </w:rPr>
        <w:t xml:space="preserve"> </w:t>
      </w:r>
      <w:r>
        <w:rPr>
          <w:spacing w:val="-1"/>
        </w:rPr>
        <w:t>any</w:t>
      </w:r>
      <w:r>
        <w:rPr>
          <w:spacing w:val="32"/>
        </w:rPr>
        <w:t xml:space="preserve"> </w:t>
      </w:r>
      <w:r>
        <w:rPr>
          <w:spacing w:val="-2"/>
        </w:rPr>
        <w:t>of</w:t>
      </w:r>
      <w:r>
        <w:rPr>
          <w:spacing w:val="35"/>
        </w:rPr>
        <w:t xml:space="preserve"> </w:t>
      </w:r>
      <w:r>
        <w:t>the</w:t>
      </w:r>
      <w:r>
        <w:rPr>
          <w:spacing w:val="35"/>
        </w:rPr>
        <w:t xml:space="preserve"> </w:t>
      </w:r>
      <w:r>
        <w:rPr>
          <w:spacing w:val="-1"/>
        </w:rPr>
        <w:t>rights</w:t>
      </w:r>
      <w:r>
        <w:rPr>
          <w:spacing w:val="34"/>
        </w:rPr>
        <w:t xml:space="preserve"> </w:t>
      </w:r>
      <w:r>
        <w:rPr>
          <w:spacing w:val="-1"/>
        </w:rPr>
        <w:t>and/or</w:t>
      </w:r>
      <w:r>
        <w:rPr>
          <w:spacing w:val="33"/>
        </w:rPr>
        <w:t xml:space="preserve"> </w:t>
      </w:r>
      <w:r>
        <w:rPr>
          <w:spacing w:val="-1"/>
        </w:rPr>
        <w:t>relief</w:t>
      </w:r>
      <w:r>
        <w:rPr>
          <w:spacing w:val="33"/>
        </w:rPr>
        <w:t xml:space="preserve"> </w:t>
      </w:r>
      <w:r>
        <w:rPr>
          <w:spacing w:val="-1"/>
        </w:rPr>
        <w:t>referred</w:t>
      </w:r>
      <w:r>
        <w:rPr>
          <w:spacing w:val="31"/>
        </w:rPr>
        <w:t xml:space="preserve"> </w:t>
      </w:r>
      <w:r>
        <w:t>to</w:t>
      </w:r>
      <w:r>
        <w:rPr>
          <w:spacing w:val="34"/>
        </w:rPr>
        <w:t xml:space="preserve"> </w:t>
      </w:r>
      <w:r>
        <w:rPr>
          <w:spacing w:val="-1"/>
        </w:rPr>
        <w:t>in</w:t>
      </w:r>
      <w:r>
        <w:rPr>
          <w:spacing w:val="35"/>
        </w:rPr>
        <w:t xml:space="preserve"> </w:t>
      </w:r>
      <w:r>
        <w:rPr>
          <w:spacing w:val="-2"/>
        </w:rPr>
        <w:t>Clause</w:t>
      </w:r>
      <w:r>
        <w:rPr>
          <w:spacing w:val="36"/>
        </w:rPr>
        <w:t xml:space="preserve"> </w:t>
      </w:r>
      <w:hyperlink w:anchor="_bookmark223" w:history="1">
        <w:r>
          <w:rPr>
            <w:spacing w:val="-1"/>
          </w:rPr>
          <w:t>39.1</w:t>
        </w:r>
      </w:hyperlink>
      <w:r>
        <w:rPr>
          <w:spacing w:val="-1"/>
        </w:rPr>
        <w:t>,</w:t>
      </w:r>
      <w:r>
        <w:rPr>
          <w:spacing w:val="33"/>
        </w:rPr>
        <w:t xml:space="preserve"> </w:t>
      </w:r>
      <w:r>
        <w:rPr>
          <w:spacing w:val="-1"/>
        </w:rPr>
        <w:t>the</w:t>
      </w:r>
      <w:r>
        <w:rPr>
          <w:spacing w:val="44"/>
        </w:rPr>
        <w:t xml:space="preserve"> </w:t>
      </w:r>
      <w:r>
        <w:rPr>
          <w:spacing w:val="-2"/>
        </w:rPr>
        <w:t>Supplier</w:t>
      </w:r>
      <w:r>
        <w:rPr>
          <w:spacing w:val="2"/>
        </w:rPr>
        <w:t xml:space="preserve"> </w:t>
      </w:r>
      <w:r>
        <w:rPr>
          <w:spacing w:val="-1"/>
        </w:rPr>
        <w:t>shall:</w:t>
      </w:r>
    </w:p>
    <w:p w:rsidR="008918FA" w:rsidRDefault="008918FA" w:rsidP="008918FA">
      <w:pPr>
        <w:pStyle w:val="BodyText"/>
        <w:numPr>
          <w:ilvl w:val="2"/>
          <w:numId w:val="66"/>
        </w:numPr>
        <w:tabs>
          <w:tab w:val="left" w:pos="1887"/>
        </w:tabs>
        <w:spacing w:before="121"/>
        <w:ind w:left="1886" w:right="113" w:hanging="993"/>
        <w:jc w:val="both"/>
      </w:pPr>
      <w:r>
        <w:rPr>
          <w:spacing w:val="-1"/>
        </w:rPr>
        <w:t>comply</w:t>
      </w:r>
      <w:r>
        <w:rPr>
          <w:spacing w:val="22"/>
        </w:rPr>
        <w:t xml:space="preserve"> </w:t>
      </w:r>
      <w:r>
        <w:rPr>
          <w:spacing w:val="-1"/>
        </w:rPr>
        <w:t>with</w:t>
      </w:r>
      <w:r>
        <w:rPr>
          <w:spacing w:val="24"/>
        </w:rPr>
        <w:t xml:space="preserve"> </w:t>
      </w:r>
      <w:r>
        <w:rPr>
          <w:spacing w:val="-1"/>
        </w:rPr>
        <w:t>its</w:t>
      </w:r>
      <w:r>
        <w:rPr>
          <w:spacing w:val="25"/>
        </w:rPr>
        <w:t xml:space="preserve"> </w:t>
      </w:r>
      <w:r>
        <w:rPr>
          <w:spacing w:val="-1"/>
        </w:rPr>
        <w:t>obligations</w:t>
      </w:r>
      <w:r>
        <w:rPr>
          <w:spacing w:val="25"/>
        </w:rPr>
        <w:t xml:space="preserve"> </w:t>
      </w:r>
      <w:r>
        <w:rPr>
          <w:spacing w:val="-1"/>
        </w:rPr>
        <w:t>under</w:t>
      </w:r>
      <w:r>
        <w:rPr>
          <w:spacing w:val="26"/>
        </w:rPr>
        <w:t xml:space="preserve"> </w:t>
      </w:r>
      <w:r>
        <w:rPr>
          <w:spacing w:val="-2"/>
        </w:rPr>
        <w:t>Clause</w:t>
      </w:r>
      <w:r>
        <w:rPr>
          <w:spacing w:val="27"/>
        </w:rPr>
        <w:t xml:space="preserve"> </w:t>
      </w:r>
      <w:hyperlink w:anchor="_bookmark107" w:history="1">
        <w:r>
          <w:rPr>
            <w:spacing w:val="-1"/>
          </w:rPr>
          <w:t>17</w:t>
        </w:r>
      </w:hyperlink>
      <w:r>
        <w:rPr>
          <w:spacing w:val="22"/>
        </w:rPr>
        <w:t xml:space="preserve"> </w:t>
      </w:r>
      <w:r>
        <w:rPr>
          <w:spacing w:val="-1"/>
        </w:rPr>
        <w:t>(Notification</w:t>
      </w:r>
      <w:r>
        <w:rPr>
          <w:spacing w:val="24"/>
        </w:rPr>
        <w:t xml:space="preserve"> </w:t>
      </w:r>
      <w:r>
        <w:rPr>
          <w:spacing w:val="-2"/>
        </w:rPr>
        <w:t>of</w:t>
      </w:r>
      <w:r>
        <w:rPr>
          <w:spacing w:val="26"/>
        </w:rPr>
        <w:t xml:space="preserve"> </w:t>
      </w:r>
      <w:r>
        <w:rPr>
          <w:spacing w:val="-1"/>
        </w:rPr>
        <w:t>Customer</w:t>
      </w:r>
      <w:r>
        <w:rPr>
          <w:spacing w:val="34"/>
        </w:rPr>
        <w:t xml:space="preserve"> </w:t>
      </w:r>
      <w:r>
        <w:rPr>
          <w:spacing w:val="-1"/>
        </w:rPr>
        <w:t>Cause);</w:t>
      </w:r>
      <w:r>
        <w:t xml:space="preserve"> </w:t>
      </w:r>
      <w:r>
        <w:rPr>
          <w:spacing w:val="-1"/>
        </w:rPr>
        <w:t>and</w:t>
      </w:r>
    </w:p>
    <w:p w:rsidR="008918FA" w:rsidRDefault="008918FA" w:rsidP="008918FA">
      <w:pPr>
        <w:pStyle w:val="BodyText"/>
        <w:numPr>
          <w:ilvl w:val="2"/>
          <w:numId w:val="66"/>
        </w:numPr>
        <w:tabs>
          <w:tab w:val="left" w:pos="1887"/>
        </w:tabs>
        <w:spacing w:before="123" w:line="237" w:lineRule="auto"/>
        <w:ind w:left="1886" w:right="114" w:hanging="993"/>
        <w:jc w:val="both"/>
      </w:pPr>
      <w:bookmarkStart w:id="265" w:name="_bookmark224"/>
      <w:bookmarkEnd w:id="265"/>
      <w:r>
        <w:rPr>
          <w:spacing w:val="-1"/>
        </w:rPr>
        <w:t>within</w:t>
      </w:r>
      <w:r>
        <w:rPr>
          <w:spacing w:val="2"/>
        </w:rPr>
        <w:t xml:space="preserve"> </w:t>
      </w:r>
      <w:r>
        <w:t>ten</w:t>
      </w:r>
      <w:r>
        <w:rPr>
          <w:spacing w:val="2"/>
        </w:rPr>
        <w:t xml:space="preserve"> </w:t>
      </w:r>
      <w:r>
        <w:rPr>
          <w:spacing w:val="-1"/>
        </w:rPr>
        <w:t>(10)</w:t>
      </w:r>
      <w:r>
        <w:rPr>
          <w:spacing w:val="-6"/>
        </w:rPr>
        <w:t xml:space="preserve"> </w:t>
      </w:r>
      <w:r>
        <w:rPr>
          <w:spacing w:val="-1"/>
        </w:rPr>
        <w:t>Working</w:t>
      </w:r>
      <w:r>
        <w:rPr>
          <w:spacing w:val="2"/>
        </w:rPr>
        <w:t xml:space="preserve"> </w:t>
      </w:r>
      <w:r>
        <w:rPr>
          <w:spacing w:val="-2"/>
        </w:rPr>
        <w:t>Days</w:t>
      </w:r>
      <w:r>
        <w:rPr>
          <w:spacing w:val="2"/>
        </w:rPr>
        <w:t xml:space="preserve"> </w:t>
      </w:r>
      <w:r>
        <w:rPr>
          <w:spacing w:val="-1"/>
        </w:rPr>
        <w:t>of</w:t>
      </w:r>
      <w:r>
        <w:rPr>
          <w:spacing w:val="3"/>
        </w:rPr>
        <w:t xml:space="preserve"> </w:t>
      </w:r>
      <w:r>
        <w:rPr>
          <w:spacing w:val="-2"/>
        </w:rPr>
        <w:t>becoming</w:t>
      </w:r>
      <w:r>
        <w:rPr>
          <w:spacing w:val="2"/>
        </w:rPr>
        <w:t xml:space="preserve"> </w:t>
      </w:r>
      <w:r>
        <w:rPr>
          <w:spacing w:val="-2"/>
        </w:rPr>
        <w:t>aware</w:t>
      </w:r>
      <w:r>
        <w:rPr>
          <w:spacing w:val="2"/>
        </w:rPr>
        <w:t xml:space="preserve"> </w:t>
      </w:r>
      <w:r>
        <w:rPr>
          <w:spacing w:val="-1"/>
        </w:rPr>
        <w:t>that</w:t>
      </w:r>
      <w:r>
        <w:rPr>
          <w:spacing w:val="3"/>
        </w:rPr>
        <w:t xml:space="preserve"> </w:t>
      </w:r>
      <w:r>
        <w:t>a</w:t>
      </w:r>
      <w:r>
        <w:rPr>
          <w:spacing w:val="60"/>
        </w:rPr>
        <w:t xml:space="preserve"> </w:t>
      </w:r>
      <w:r>
        <w:rPr>
          <w:spacing w:val="-1"/>
        </w:rPr>
        <w:t>Customer</w:t>
      </w:r>
      <w:r>
        <w:rPr>
          <w:spacing w:val="42"/>
        </w:rPr>
        <w:t xml:space="preserve"> </w:t>
      </w:r>
      <w:r>
        <w:rPr>
          <w:spacing w:val="-1"/>
        </w:rPr>
        <w:t>Cause</w:t>
      </w:r>
      <w:r>
        <w:rPr>
          <w:spacing w:val="15"/>
        </w:rPr>
        <w:t xml:space="preserve"> </w:t>
      </w:r>
      <w:r>
        <w:rPr>
          <w:spacing w:val="-1"/>
        </w:rPr>
        <w:t>has</w:t>
      </w:r>
      <w:r>
        <w:rPr>
          <w:spacing w:val="15"/>
        </w:rPr>
        <w:t xml:space="preserve"> </w:t>
      </w:r>
      <w:r>
        <w:rPr>
          <w:spacing w:val="-1"/>
        </w:rPr>
        <w:t>caused,</w:t>
      </w:r>
      <w:r>
        <w:rPr>
          <w:spacing w:val="16"/>
        </w:rPr>
        <w:t xml:space="preserve"> </w:t>
      </w:r>
      <w:r>
        <w:rPr>
          <w:spacing w:val="-2"/>
        </w:rPr>
        <w:t>or</w:t>
      </w:r>
      <w:r>
        <w:rPr>
          <w:spacing w:val="16"/>
        </w:rPr>
        <w:t xml:space="preserve"> </w:t>
      </w:r>
      <w:r>
        <w:rPr>
          <w:spacing w:val="-1"/>
        </w:rPr>
        <w:t>is</w:t>
      </w:r>
      <w:r>
        <w:rPr>
          <w:spacing w:val="13"/>
        </w:rPr>
        <w:t xml:space="preserve"> </w:t>
      </w:r>
      <w:r>
        <w:rPr>
          <w:spacing w:val="-1"/>
        </w:rPr>
        <w:t>likely</w:t>
      </w:r>
      <w:r>
        <w:rPr>
          <w:spacing w:val="13"/>
        </w:rPr>
        <w:t xml:space="preserve"> </w:t>
      </w:r>
      <w:r>
        <w:t>to</w:t>
      </w:r>
      <w:r>
        <w:rPr>
          <w:spacing w:val="15"/>
        </w:rPr>
        <w:t xml:space="preserve"> </w:t>
      </w:r>
      <w:r>
        <w:rPr>
          <w:spacing w:val="-1"/>
        </w:rPr>
        <w:t>cause,</w:t>
      </w:r>
      <w:r>
        <w:rPr>
          <w:spacing w:val="16"/>
        </w:rPr>
        <w:t xml:space="preserve"> </w:t>
      </w:r>
      <w:r>
        <w:t>a</w:t>
      </w:r>
      <w:r>
        <w:rPr>
          <w:spacing w:val="15"/>
        </w:rPr>
        <w:t xml:space="preserve"> </w:t>
      </w:r>
      <w:r>
        <w:rPr>
          <w:spacing w:val="-2"/>
        </w:rPr>
        <w:t>Supplier</w:t>
      </w:r>
      <w:r>
        <w:rPr>
          <w:spacing w:val="16"/>
        </w:rPr>
        <w:t xml:space="preserve"> </w:t>
      </w:r>
      <w:r>
        <w:rPr>
          <w:spacing w:val="-1"/>
        </w:rPr>
        <w:t>Non-Performance,</w:t>
      </w:r>
      <w:r>
        <w:rPr>
          <w:spacing w:val="25"/>
        </w:rPr>
        <w:t xml:space="preserve"> </w:t>
      </w:r>
      <w:r>
        <w:rPr>
          <w:spacing w:val="-1"/>
        </w:rPr>
        <w:t>give</w:t>
      </w:r>
      <w:r>
        <w:t xml:space="preserve"> the </w:t>
      </w:r>
      <w:r>
        <w:rPr>
          <w:spacing w:val="-2"/>
        </w:rPr>
        <w:t>Customer</w:t>
      </w:r>
      <w:r>
        <w:t xml:space="preserve"> </w:t>
      </w:r>
      <w:r>
        <w:rPr>
          <w:spacing w:val="-1"/>
        </w:rPr>
        <w:t>notice</w:t>
      </w:r>
      <w:r>
        <w:rPr>
          <w:spacing w:val="1"/>
        </w:rPr>
        <w:t xml:space="preserve"> </w:t>
      </w:r>
      <w:r>
        <w:t>(a</w:t>
      </w:r>
      <w:r>
        <w:rPr>
          <w:spacing w:val="-2"/>
        </w:rPr>
        <w:t xml:space="preserve"> </w:t>
      </w:r>
      <w:r>
        <w:rPr>
          <w:spacing w:val="-1"/>
        </w:rPr>
        <w:t>“</w:t>
      </w:r>
      <w:r>
        <w:rPr>
          <w:rFonts w:cs="Arial"/>
          <w:b/>
          <w:bCs/>
          <w:spacing w:val="-1"/>
        </w:rPr>
        <w:t>Relief Notice</w:t>
      </w:r>
      <w:r>
        <w:rPr>
          <w:spacing w:val="-1"/>
        </w:rPr>
        <w:t>”)</w:t>
      </w:r>
      <w:r>
        <w:rPr>
          <w:spacing w:val="2"/>
        </w:rPr>
        <w:t xml:space="preserve"> </w:t>
      </w:r>
      <w:r>
        <w:rPr>
          <w:spacing w:val="-1"/>
        </w:rPr>
        <w:t>setting</w:t>
      </w:r>
      <w:r>
        <w:t xml:space="preserve"> </w:t>
      </w:r>
      <w:r>
        <w:rPr>
          <w:spacing w:val="-1"/>
        </w:rPr>
        <w:t>out</w:t>
      </w:r>
      <w:r>
        <w:t xml:space="preserve"> </w:t>
      </w:r>
      <w:r>
        <w:rPr>
          <w:spacing w:val="-1"/>
        </w:rPr>
        <w:t>details</w:t>
      </w:r>
      <w:r>
        <w:rPr>
          <w:spacing w:val="1"/>
        </w:rPr>
        <w:t xml:space="preserve"> </w:t>
      </w:r>
      <w:r>
        <w:rPr>
          <w:spacing w:val="-1"/>
        </w:rPr>
        <w:t>of:</w:t>
      </w:r>
    </w:p>
    <w:p w:rsidR="008918FA" w:rsidRDefault="008918FA" w:rsidP="008918FA">
      <w:pPr>
        <w:pStyle w:val="BodyText"/>
        <w:numPr>
          <w:ilvl w:val="3"/>
          <w:numId w:val="66"/>
        </w:numPr>
        <w:tabs>
          <w:tab w:val="left" w:pos="2595"/>
        </w:tabs>
        <w:spacing w:before="124"/>
        <w:ind w:left="2594"/>
      </w:pPr>
      <w:r>
        <w:t xml:space="preserve">the </w:t>
      </w:r>
      <w:r>
        <w:rPr>
          <w:spacing w:val="-2"/>
        </w:rPr>
        <w:t>Supplier</w:t>
      </w:r>
      <w:r>
        <w:rPr>
          <w:spacing w:val="2"/>
        </w:rPr>
        <w:t xml:space="preserve"> </w:t>
      </w:r>
      <w:r>
        <w:rPr>
          <w:spacing w:val="-1"/>
        </w:rPr>
        <w:t>Non-Performance;</w:t>
      </w:r>
    </w:p>
    <w:p w:rsidR="008918FA" w:rsidRDefault="008918FA" w:rsidP="008918FA">
      <w:pPr>
        <w:pStyle w:val="BodyText"/>
        <w:numPr>
          <w:ilvl w:val="3"/>
          <w:numId w:val="66"/>
        </w:numPr>
        <w:tabs>
          <w:tab w:val="left" w:pos="2595"/>
        </w:tabs>
        <w:ind w:left="2594" w:right="115"/>
      </w:pPr>
      <w:r>
        <w:t>the</w:t>
      </w:r>
      <w:r>
        <w:rPr>
          <w:spacing w:val="31"/>
        </w:rPr>
        <w:t xml:space="preserve"> </w:t>
      </w:r>
      <w:r>
        <w:rPr>
          <w:spacing w:val="-1"/>
        </w:rPr>
        <w:t>Customer</w:t>
      </w:r>
      <w:r>
        <w:rPr>
          <w:spacing w:val="30"/>
        </w:rPr>
        <w:t xml:space="preserve"> </w:t>
      </w:r>
      <w:r>
        <w:rPr>
          <w:spacing w:val="-1"/>
        </w:rPr>
        <w:t>Cause</w:t>
      </w:r>
      <w:r>
        <w:rPr>
          <w:spacing w:val="32"/>
        </w:rPr>
        <w:t xml:space="preserve"> </w:t>
      </w:r>
      <w:r>
        <w:rPr>
          <w:spacing w:val="-2"/>
        </w:rPr>
        <w:t>and</w:t>
      </w:r>
      <w:r>
        <w:rPr>
          <w:spacing w:val="31"/>
        </w:rPr>
        <w:t xml:space="preserve"> </w:t>
      </w:r>
      <w:r>
        <w:rPr>
          <w:spacing w:val="-1"/>
        </w:rPr>
        <w:t>its</w:t>
      </w:r>
      <w:r>
        <w:rPr>
          <w:spacing w:val="32"/>
        </w:rPr>
        <w:t xml:space="preserve"> </w:t>
      </w:r>
      <w:r>
        <w:rPr>
          <w:spacing w:val="-1"/>
        </w:rPr>
        <w:t>effect</w:t>
      </w:r>
      <w:r>
        <w:rPr>
          <w:spacing w:val="31"/>
        </w:rPr>
        <w:t xml:space="preserve"> </w:t>
      </w:r>
      <w:r>
        <w:rPr>
          <w:spacing w:val="-1"/>
        </w:rPr>
        <w:t>on</w:t>
      </w:r>
      <w:r>
        <w:rPr>
          <w:spacing w:val="32"/>
        </w:rPr>
        <w:t xml:space="preserve"> </w:t>
      </w:r>
      <w:r>
        <w:t>the</w:t>
      </w:r>
      <w:r>
        <w:rPr>
          <w:spacing w:val="30"/>
        </w:rPr>
        <w:t xml:space="preserve"> </w:t>
      </w:r>
      <w:r>
        <w:rPr>
          <w:spacing w:val="-2"/>
        </w:rPr>
        <w:t>Supplier’s</w:t>
      </w:r>
      <w:r>
        <w:rPr>
          <w:spacing w:val="32"/>
        </w:rPr>
        <w:t xml:space="preserve"> </w:t>
      </w:r>
      <w:r>
        <w:rPr>
          <w:spacing w:val="-1"/>
        </w:rPr>
        <w:t>ability</w:t>
      </w:r>
      <w:r>
        <w:rPr>
          <w:spacing w:val="30"/>
        </w:rPr>
        <w:t xml:space="preserve"> </w:t>
      </w:r>
      <w:r>
        <w:t>to</w:t>
      </w:r>
      <w:r>
        <w:rPr>
          <w:spacing w:val="43"/>
        </w:rPr>
        <w:t xml:space="preserve"> </w:t>
      </w:r>
      <w:r>
        <w:rPr>
          <w:spacing w:val="-1"/>
        </w:rPr>
        <w:t>meet</w:t>
      </w:r>
      <w:r>
        <w:t xml:space="preserve"> </w:t>
      </w:r>
      <w:r>
        <w:rPr>
          <w:spacing w:val="-1"/>
        </w:rPr>
        <w:t>its</w:t>
      </w:r>
      <w:r>
        <w:rPr>
          <w:spacing w:val="-2"/>
        </w:rPr>
        <w:t xml:space="preserve"> </w:t>
      </w:r>
      <w:r>
        <w:rPr>
          <w:spacing w:val="-1"/>
        </w:rPr>
        <w:t>obligations</w:t>
      </w:r>
      <w:r>
        <w:rPr>
          <w:spacing w:val="-2"/>
        </w:rPr>
        <w:t xml:space="preserve"> under</w:t>
      </w:r>
      <w:r>
        <w:rPr>
          <w:spacing w:val="-1"/>
        </w:rPr>
        <w:t xml:space="preserve"> 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2"/>
        </w:rPr>
        <w:t>and</w:t>
      </w:r>
    </w:p>
    <w:p w:rsidR="008918FA" w:rsidRDefault="008918FA" w:rsidP="008918FA">
      <w:pPr>
        <w:pStyle w:val="BodyText"/>
        <w:numPr>
          <w:ilvl w:val="3"/>
          <w:numId w:val="66"/>
        </w:numPr>
        <w:tabs>
          <w:tab w:val="left" w:pos="2595"/>
        </w:tabs>
        <w:ind w:left="2594"/>
      </w:pPr>
      <w:r>
        <w:t>the</w:t>
      </w:r>
      <w:r>
        <w:rPr>
          <w:spacing w:val="-2"/>
        </w:rPr>
        <w:t xml:space="preserve"> </w:t>
      </w:r>
      <w:r>
        <w:rPr>
          <w:spacing w:val="-1"/>
        </w:rPr>
        <w:t>relief</w:t>
      </w:r>
      <w:r>
        <w:rPr>
          <w:spacing w:val="2"/>
        </w:rPr>
        <w:t xml:space="preserve"> </w:t>
      </w:r>
      <w:r>
        <w:rPr>
          <w:spacing w:val="-1"/>
        </w:rPr>
        <w:t>claimed</w:t>
      </w:r>
      <w:r>
        <w:rPr>
          <w:spacing w:val="-2"/>
        </w:rPr>
        <w:t xml:space="preserve"> </w:t>
      </w:r>
      <w:r>
        <w:rPr>
          <w:spacing w:val="-1"/>
        </w:rPr>
        <w:t>by</w:t>
      </w:r>
      <w:r>
        <w:rPr>
          <w:spacing w:val="-2"/>
        </w:rPr>
        <w:t xml:space="preserve"> </w:t>
      </w:r>
      <w:r>
        <w:t>the</w:t>
      </w:r>
      <w:r>
        <w:rPr>
          <w:spacing w:val="-2"/>
        </w:rPr>
        <w:t xml:space="preserve"> </w:t>
      </w:r>
      <w:r>
        <w:rPr>
          <w:spacing w:val="-1"/>
        </w:rPr>
        <w:t>Supplier.</w:t>
      </w:r>
    </w:p>
    <w:p w:rsidR="008918FA" w:rsidRDefault="008918FA" w:rsidP="008918FA">
      <w:pPr>
        <w:pStyle w:val="BodyText"/>
        <w:numPr>
          <w:ilvl w:val="1"/>
          <w:numId w:val="66"/>
        </w:numPr>
        <w:tabs>
          <w:tab w:val="left" w:pos="893"/>
        </w:tabs>
        <w:ind w:left="688" w:right="112" w:hanging="360"/>
        <w:jc w:val="both"/>
      </w:pPr>
      <w:r>
        <w:rPr>
          <w:spacing w:val="-2"/>
        </w:rPr>
        <w:t>Following</w:t>
      </w:r>
      <w:r>
        <w:rPr>
          <w:spacing w:val="30"/>
        </w:rPr>
        <w:t xml:space="preserve"> </w:t>
      </w:r>
      <w:r>
        <w:t>the</w:t>
      </w:r>
      <w:r>
        <w:rPr>
          <w:spacing w:val="28"/>
        </w:rPr>
        <w:t xml:space="preserve"> </w:t>
      </w:r>
      <w:r>
        <w:rPr>
          <w:spacing w:val="-1"/>
        </w:rPr>
        <w:t>receipt</w:t>
      </w:r>
      <w:r>
        <w:rPr>
          <w:spacing w:val="27"/>
        </w:rPr>
        <w:t xml:space="preserve"> </w:t>
      </w:r>
      <w:r>
        <w:rPr>
          <w:spacing w:val="-1"/>
        </w:rPr>
        <w:t>of</w:t>
      </w:r>
      <w:r>
        <w:rPr>
          <w:spacing w:val="32"/>
        </w:rPr>
        <w:t xml:space="preserve"> </w:t>
      </w:r>
      <w:r>
        <w:t>a</w:t>
      </w:r>
      <w:r>
        <w:rPr>
          <w:spacing w:val="28"/>
        </w:rPr>
        <w:t xml:space="preserve"> </w:t>
      </w:r>
      <w:r>
        <w:rPr>
          <w:spacing w:val="-2"/>
        </w:rPr>
        <w:t>Relief</w:t>
      </w:r>
      <w:r>
        <w:rPr>
          <w:spacing w:val="32"/>
        </w:rPr>
        <w:t xml:space="preserve"> </w:t>
      </w:r>
      <w:r>
        <w:rPr>
          <w:spacing w:val="-1"/>
        </w:rPr>
        <w:t>Notice,</w:t>
      </w:r>
      <w:r>
        <w:rPr>
          <w:spacing w:val="30"/>
        </w:rPr>
        <w:t xml:space="preserve"> </w:t>
      </w:r>
      <w:r>
        <w:rPr>
          <w:spacing w:val="-1"/>
        </w:rPr>
        <w:t>the</w:t>
      </w:r>
      <w:r>
        <w:rPr>
          <w:spacing w:val="28"/>
        </w:rPr>
        <w:t xml:space="preserve"> </w:t>
      </w:r>
      <w:r>
        <w:rPr>
          <w:spacing w:val="-1"/>
        </w:rPr>
        <w:t>Customer</w:t>
      </w:r>
      <w:r>
        <w:rPr>
          <w:spacing w:val="30"/>
        </w:rPr>
        <w:t xml:space="preserve"> </w:t>
      </w:r>
      <w:r>
        <w:rPr>
          <w:spacing w:val="-1"/>
        </w:rPr>
        <w:t>shall</w:t>
      </w:r>
      <w:r>
        <w:rPr>
          <w:spacing w:val="27"/>
        </w:rPr>
        <w:t xml:space="preserve"> </w:t>
      </w:r>
      <w:r>
        <w:rPr>
          <w:spacing w:val="-1"/>
        </w:rPr>
        <w:t>as</w:t>
      </w:r>
      <w:r>
        <w:rPr>
          <w:spacing w:val="28"/>
        </w:rPr>
        <w:t xml:space="preserve"> </w:t>
      </w:r>
      <w:r>
        <w:rPr>
          <w:spacing w:val="-1"/>
        </w:rPr>
        <w:t>soon</w:t>
      </w:r>
      <w:r>
        <w:rPr>
          <w:spacing w:val="28"/>
        </w:rPr>
        <w:t xml:space="preserve"> </w:t>
      </w:r>
      <w:r>
        <w:rPr>
          <w:spacing w:val="-1"/>
        </w:rPr>
        <w:t>as</w:t>
      </w:r>
      <w:r>
        <w:rPr>
          <w:spacing w:val="38"/>
        </w:rPr>
        <w:t xml:space="preserve"> </w:t>
      </w:r>
      <w:r>
        <w:rPr>
          <w:spacing w:val="-1"/>
        </w:rPr>
        <w:t>reasonably</w:t>
      </w:r>
      <w:r>
        <w:rPr>
          <w:spacing w:val="27"/>
        </w:rPr>
        <w:t xml:space="preserve"> </w:t>
      </w:r>
      <w:r>
        <w:rPr>
          <w:spacing w:val="-1"/>
        </w:rPr>
        <w:t>practicable</w:t>
      </w:r>
      <w:r>
        <w:rPr>
          <w:spacing w:val="29"/>
        </w:rPr>
        <w:t xml:space="preserve"> </w:t>
      </w:r>
      <w:r>
        <w:rPr>
          <w:spacing w:val="-1"/>
        </w:rPr>
        <w:t>consider</w:t>
      </w:r>
      <w:r>
        <w:rPr>
          <w:spacing w:val="30"/>
        </w:rPr>
        <w:t xml:space="preserve"> </w:t>
      </w:r>
      <w:r>
        <w:t>the</w:t>
      </w:r>
      <w:r>
        <w:rPr>
          <w:spacing w:val="29"/>
        </w:rPr>
        <w:t xml:space="preserve"> </w:t>
      </w:r>
      <w:r>
        <w:rPr>
          <w:spacing w:val="-1"/>
        </w:rPr>
        <w:t>nature</w:t>
      </w:r>
      <w:r>
        <w:rPr>
          <w:spacing w:val="29"/>
        </w:rPr>
        <w:t xml:space="preserve"> </w:t>
      </w:r>
      <w:r>
        <w:rPr>
          <w:spacing w:val="-2"/>
        </w:rPr>
        <w:t>of</w:t>
      </w:r>
      <w:r>
        <w:rPr>
          <w:spacing w:val="30"/>
        </w:rPr>
        <w:t xml:space="preserve"> </w:t>
      </w:r>
      <w:r>
        <w:rPr>
          <w:spacing w:val="-1"/>
        </w:rPr>
        <w:t>the</w:t>
      </w:r>
      <w:r>
        <w:rPr>
          <w:spacing w:val="29"/>
        </w:rPr>
        <w:t xml:space="preserve"> </w:t>
      </w:r>
      <w:r>
        <w:rPr>
          <w:spacing w:val="-2"/>
        </w:rPr>
        <w:t>Supplier</w:t>
      </w:r>
      <w:r>
        <w:rPr>
          <w:spacing w:val="30"/>
        </w:rPr>
        <w:t xml:space="preserve"> </w:t>
      </w:r>
      <w:r>
        <w:rPr>
          <w:spacing w:val="-1"/>
        </w:rPr>
        <w:t>Non-Performance</w:t>
      </w:r>
      <w:r>
        <w:rPr>
          <w:spacing w:val="30"/>
        </w:rPr>
        <w:t xml:space="preserve"> </w:t>
      </w:r>
      <w:r>
        <w:rPr>
          <w:spacing w:val="-1"/>
        </w:rPr>
        <w:t>and</w:t>
      </w:r>
      <w:r>
        <w:rPr>
          <w:spacing w:val="48"/>
        </w:rPr>
        <w:t xml:space="preserve"> </w:t>
      </w:r>
      <w:r>
        <w:t>the</w:t>
      </w:r>
      <w:r>
        <w:rPr>
          <w:spacing w:val="5"/>
        </w:rPr>
        <w:t xml:space="preserve"> </w:t>
      </w:r>
      <w:r>
        <w:rPr>
          <w:spacing w:val="-1"/>
        </w:rPr>
        <w:t>alleged</w:t>
      </w:r>
      <w:r>
        <w:rPr>
          <w:spacing w:val="5"/>
        </w:rPr>
        <w:t xml:space="preserve"> </w:t>
      </w:r>
      <w:r>
        <w:rPr>
          <w:spacing w:val="-1"/>
        </w:rPr>
        <w:t>Customer</w:t>
      </w:r>
      <w:r>
        <w:rPr>
          <w:spacing w:val="7"/>
        </w:rPr>
        <w:t xml:space="preserve"> </w:t>
      </w:r>
      <w:r>
        <w:rPr>
          <w:spacing w:val="-1"/>
        </w:rPr>
        <w:t>Cause</w:t>
      </w:r>
      <w:r>
        <w:rPr>
          <w:spacing w:val="5"/>
        </w:rPr>
        <w:t xml:space="preserve"> </w:t>
      </w:r>
      <w:r>
        <w:rPr>
          <w:spacing w:val="-1"/>
        </w:rPr>
        <w:t>and</w:t>
      </w:r>
      <w:r>
        <w:rPr>
          <w:spacing w:val="7"/>
        </w:rPr>
        <w:t xml:space="preserve"> </w:t>
      </w:r>
      <w:r>
        <w:rPr>
          <w:spacing w:val="-1"/>
        </w:rPr>
        <w:t>whether</w:t>
      </w:r>
      <w:r>
        <w:rPr>
          <w:spacing w:val="6"/>
        </w:rPr>
        <w:t xml:space="preserve"> </w:t>
      </w:r>
      <w:r>
        <w:rPr>
          <w:spacing w:val="-1"/>
        </w:rPr>
        <w:t>it</w:t>
      </w:r>
      <w:r>
        <w:rPr>
          <w:spacing w:val="7"/>
        </w:rPr>
        <w:t xml:space="preserve"> </w:t>
      </w:r>
      <w:r>
        <w:rPr>
          <w:spacing w:val="-1"/>
        </w:rPr>
        <w:t>agrees</w:t>
      </w:r>
      <w:r>
        <w:rPr>
          <w:spacing w:val="5"/>
        </w:rPr>
        <w:t xml:space="preserve"> </w:t>
      </w:r>
      <w:r>
        <w:rPr>
          <w:spacing w:val="-1"/>
        </w:rPr>
        <w:t>with</w:t>
      </w:r>
      <w:r>
        <w:rPr>
          <w:spacing w:val="5"/>
        </w:rPr>
        <w:t xml:space="preserve"> </w:t>
      </w:r>
      <w:r>
        <w:t>the</w:t>
      </w:r>
      <w:r>
        <w:rPr>
          <w:spacing w:val="5"/>
        </w:rPr>
        <w:t xml:space="preserve"> </w:t>
      </w:r>
      <w:r>
        <w:rPr>
          <w:spacing w:val="-2"/>
        </w:rPr>
        <w:t>Supplier’s</w:t>
      </w:r>
      <w:r>
        <w:rPr>
          <w:spacing w:val="5"/>
        </w:rPr>
        <w:t xml:space="preserve"> </w:t>
      </w:r>
      <w:r>
        <w:rPr>
          <w:spacing w:val="-1"/>
        </w:rPr>
        <w:t>assessment</w:t>
      </w:r>
      <w:r>
        <w:rPr>
          <w:spacing w:val="39"/>
        </w:rPr>
        <w:t xml:space="preserve"> </w:t>
      </w:r>
      <w:r>
        <w:rPr>
          <w:spacing w:val="-1"/>
        </w:rPr>
        <w:t>set</w:t>
      </w:r>
      <w:r>
        <w:rPr>
          <w:spacing w:val="11"/>
        </w:rPr>
        <w:t xml:space="preserve"> </w:t>
      </w:r>
      <w:r>
        <w:rPr>
          <w:spacing w:val="-1"/>
        </w:rPr>
        <w:t>out</w:t>
      </w:r>
      <w:r>
        <w:rPr>
          <w:spacing w:val="11"/>
        </w:rPr>
        <w:t xml:space="preserve"> </w:t>
      </w:r>
      <w:r>
        <w:rPr>
          <w:spacing w:val="-1"/>
        </w:rPr>
        <w:t>in</w:t>
      </w:r>
      <w:r>
        <w:rPr>
          <w:spacing w:val="10"/>
        </w:rPr>
        <w:t xml:space="preserve"> </w:t>
      </w:r>
      <w:r>
        <w:rPr>
          <w:spacing w:val="-1"/>
        </w:rPr>
        <w:t>the</w:t>
      </w:r>
      <w:r>
        <w:rPr>
          <w:spacing w:val="10"/>
        </w:rPr>
        <w:t xml:space="preserve"> </w:t>
      </w:r>
      <w:r>
        <w:rPr>
          <w:spacing w:val="-2"/>
        </w:rPr>
        <w:t>Relief</w:t>
      </w:r>
      <w:r>
        <w:rPr>
          <w:spacing w:val="14"/>
        </w:rPr>
        <w:t xml:space="preserve"> </w:t>
      </w:r>
      <w:r>
        <w:rPr>
          <w:spacing w:val="-2"/>
        </w:rPr>
        <w:t>Notice</w:t>
      </w:r>
      <w:r>
        <w:rPr>
          <w:spacing w:val="10"/>
        </w:rPr>
        <w:t xml:space="preserve"> </w:t>
      </w:r>
      <w:r>
        <w:rPr>
          <w:spacing w:val="-1"/>
        </w:rPr>
        <w:t>as</w:t>
      </w:r>
      <w:r>
        <w:rPr>
          <w:spacing w:val="10"/>
        </w:rPr>
        <w:t xml:space="preserve"> </w:t>
      </w:r>
      <w:r>
        <w:t>to</w:t>
      </w:r>
      <w:r>
        <w:rPr>
          <w:spacing w:val="10"/>
        </w:rPr>
        <w:t xml:space="preserve"> </w:t>
      </w:r>
      <w:r>
        <w:rPr>
          <w:spacing w:val="-1"/>
        </w:rPr>
        <w:t>the</w:t>
      </w:r>
      <w:r>
        <w:rPr>
          <w:spacing w:val="10"/>
        </w:rPr>
        <w:t xml:space="preserve"> </w:t>
      </w:r>
      <w:r>
        <w:rPr>
          <w:spacing w:val="-1"/>
        </w:rPr>
        <w:t>effect</w:t>
      </w:r>
      <w:r>
        <w:rPr>
          <w:spacing w:val="12"/>
        </w:rPr>
        <w:t xml:space="preserve"> </w:t>
      </w:r>
      <w:r>
        <w:rPr>
          <w:spacing w:val="-2"/>
        </w:rPr>
        <w:t>of</w:t>
      </w:r>
      <w:r>
        <w:rPr>
          <w:spacing w:val="11"/>
        </w:rPr>
        <w:t xml:space="preserve"> </w:t>
      </w:r>
      <w:r>
        <w:t>the</w:t>
      </w:r>
      <w:r>
        <w:rPr>
          <w:spacing w:val="7"/>
        </w:rPr>
        <w:t xml:space="preserve"> </w:t>
      </w:r>
      <w:r>
        <w:rPr>
          <w:spacing w:val="-2"/>
        </w:rPr>
        <w:t>relevant</w:t>
      </w:r>
      <w:r>
        <w:rPr>
          <w:spacing w:val="11"/>
        </w:rPr>
        <w:t xml:space="preserve"> </w:t>
      </w:r>
      <w:r>
        <w:rPr>
          <w:spacing w:val="-1"/>
        </w:rPr>
        <w:t>Customer</w:t>
      </w:r>
      <w:r>
        <w:rPr>
          <w:spacing w:val="13"/>
        </w:rPr>
        <w:t xml:space="preserve"> </w:t>
      </w:r>
      <w:r>
        <w:rPr>
          <w:spacing w:val="-1"/>
        </w:rPr>
        <w:t>Cause</w:t>
      </w:r>
      <w:r>
        <w:rPr>
          <w:spacing w:val="10"/>
        </w:rPr>
        <w:t xml:space="preserve"> </w:t>
      </w:r>
      <w:r>
        <w:rPr>
          <w:spacing w:val="-1"/>
        </w:rPr>
        <w:t>and</w:t>
      </w:r>
      <w:r>
        <w:rPr>
          <w:spacing w:val="10"/>
        </w:rPr>
        <w:t xml:space="preserve"> </w:t>
      </w:r>
      <w:r>
        <w:rPr>
          <w:spacing w:val="-2"/>
        </w:rPr>
        <w:t>its</w:t>
      </w:r>
      <w:r>
        <w:rPr>
          <w:spacing w:val="61"/>
        </w:rPr>
        <w:t xml:space="preserve"> </w:t>
      </w:r>
      <w:r>
        <w:rPr>
          <w:spacing w:val="-1"/>
        </w:rPr>
        <w:t>entitlement</w:t>
      </w:r>
      <w:r>
        <w:t xml:space="preserve"> to</w:t>
      </w:r>
      <w:r>
        <w:rPr>
          <w:spacing w:val="-2"/>
        </w:rPr>
        <w:t xml:space="preserve"> </w:t>
      </w:r>
      <w:r>
        <w:rPr>
          <w:spacing w:val="-1"/>
        </w:rPr>
        <w:t>relief,</w:t>
      </w:r>
      <w:r>
        <w:t xml:space="preserve"> </w:t>
      </w:r>
      <w:r>
        <w:rPr>
          <w:spacing w:val="-1"/>
        </w:rPr>
        <w:t>consulting</w:t>
      </w:r>
      <w:r>
        <w:rPr>
          <w:spacing w:val="3"/>
        </w:rPr>
        <w:t xml:space="preserve"> </w:t>
      </w:r>
      <w:r>
        <w:rPr>
          <w:spacing w:val="-2"/>
        </w:rPr>
        <w:t>with</w:t>
      </w:r>
      <w:r>
        <w:t xml:space="preserve"> the</w:t>
      </w:r>
      <w:r>
        <w:rPr>
          <w:spacing w:val="-2"/>
        </w:rPr>
        <w:t xml:space="preserve"> Supplier</w:t>
      </w:r>
      <w:r>
        <w:rPr>
          <w:spacing w:val="2"/>
        </w:rPr>
        <w:t xml:space="preserve"> </w:t>
      </w:r>
      <w:r>
        <w:rPr>
          <w:spacing w:val="-2"/>
        </w:rPr>
        <w:t>where</w:t>
      </w:r>
      <w:r>
        <w:t xml:space="preserve"> </w:t>
      </w:r>
      <w:r>
        <w:rPr>
          <w:spacing w:val="-1"/>
        </w:rPr>
        <w:t>necessary.</w:t>
      </w:r>
    </w:p>
    <w:p w:rsidR="008918FA" w:rsidRDefault="008918FA" w:rsidP="008918FA">
      <w:pPr>
        <w:pStyle w:val="BodyText"/>
        <w:numPr>
          <w:ilvl w:val="1"/>
          <w:numId w:val="66"/>
        </w:numPr>
        <w:tabs>
          <w:tab w:val="left" w:pos="893"/>
        </w:tabs>
        <w:ind w:left="688" w:right="118" w:hanging="360"/>
        <w:jc w:val="both"/>
      </w:pPr>
      <w:r>
        <w:rPr>
          <w:spacing w:val="-1"/>
        </w:rPr>
        <w:t>Without</w:t>
      </w:r>
      <w:r>
        <w:rPr>
          <w:spacing w:val="24"/>
        </w:rPr>
        <w:t xml:space="preserve"> </w:t>
      </w:r>
      <w:r>
        <w:rPr>
          <w:spacing w:val="-1"/>
        </w:rPr>
        <w:t>prejudice</w:t>
      </w:r>
      <w:r>
        <w:rPr>
          <w:spacing w:val="22"/>
        </w:rPr>
        <w:t xml:space="preserve"> </w:t>
      </w:r>
      <w:r>
        <w:t>to</w:t>
      </w:r>
      <w:r>
        <w:rPr>
          <w:spacing w:val="22"/>
        </w:rPr>
        <w:t xml:space="preserve"> </w:t>
      </w:r>
      <w:r>
        <w:rPr>
          <w:spacing w:val="-1"/>
        </w:rPr>
        <w:t>Clauses</w:t>
      </w:r>
      <w:r>
        <w:rPr>
          <w:spacing w:val="1"/>
        </w:rPr>
        <w:t xml:space="preserve"> </w:t>
      </w:r>
      <w:hyperlink w:anchor="_bookmark75" w:history="1">
        <w:r>
          <w:t>8.5</w:t>
        </w:r>
      </w:hyperlink>
      <w:r>
        <w:rPr>
          <w:spacing w:val="-2"/>
        </w:rPr>
        <w:t xml:space="preserve"> (Continuing</w:t>
      </w:r>
      <w:r>
        <w:rPr>
          <w:spacing w:val="24"/>
        </w:rPr>
        <w:t xml:space="preserve"> </w:t>
      </w:r>
      <w:r>
        <w:rPr>
          <w:spacing w:val="-1"/>
        </w:rPr>
        <w:t>obligation</w:t>
      </w:r>
      <w:r>
        <w:rPr>
          <w:spacing w:val="22"/>
        </w:rPr>
        <w:t xml:space="preserve"> </w:t>
      </w:r>
      <w:r>
        <w:t>to</w:t>
      </w:r>
      <w:r>
        <w:rPr>
          <w:spacing w:val="22"/>
        </w:rPr>
        <w:t xml:space="preserve"> </w:t>
      </w:r>
      <w:r>
        <w:rPr>
          <w:spacing w:val="-2"/>
        </w:rPr>
        <w:t>provide</w:t>
      </w:r>
      <w:r>
        <w:rPr>
          <w:spacing w:val="22"/>
        </w:rPr>
        <w:t xml:space="preserve"> </w:t>
      </w:r>
      <w:r>
        <w:t>the</w:t>
      </w:r>
      <w:r>
        <w:rPr>
          <w:spacing w:val="22"/>
        </w:rPr>
        <w:t xml:space="preserve"> </w:t>
      </w:r>
      <w:r>
        <w:rPr>
          <w:spacing w:val="-2"/>
        </w:rPr>
        <w:t>Services)</w:t>
      </w:r>
      <w:r>
        <w:rPr>
          <w:spacing w:val="64"/>
        </w:rPr>
        <w:t xml:space="preserve"> </w:t>
      </w:r>
      <w:r>
        <w:rPr>
          <w:spacing w:val="-1"/>
        </w:rPr>
        <w:t>and</w:t>
      </w:r>
      <w:r>
        <w:rPr>
          <w:spacing w:val="1"/>
        </w:rPr>
        <w:t xml:space="preserve"> </w:t>
      </w:r>
      <w:hyperlink w:anchor="_bookmark89" w:history="1">
        <w:r>
          <w:rPr>
            <w:spacing w:val="-1"/>
          </w:rPr>
          <w:t>9.10</w:t>
        </w:r>
      </w:hyperlink>
      <w:r>
        <w:rPr>
          <w:spacing w:val="-2"/>
        </w:rPr>
        <w:t xml:space="preserve"> (Continuing</w:t>
      </w:r>
      <w:r>
        <w:rPr>
          <w:spacing w:val="3"/>
        </w:rPr>
        <w:t xml:space="preserve"> </w:t>
      </w:r>
      <w:r>
        <w:rPr>
          <w:spacing w:val="-2"/>
        </w:rPr>
        <w:t>obligation</w:t>
      </w:r>
      <w:r>
        <w:t xml:space="preserve"> to</w:t>
      </w:r>
      <w:r>
        <w:rPr>
          <w:spacing w:val="-2"/>
        </w:rPr>
        <w:t xml:space="preserve"> provide</w:t>
      </w:r>
      <w:r>
        <w:t xml:space="preserve"> the</w:t>
      </w:r>
      <w:r>
        <w:rPr>
          <w:spacing w:val="-2"/>
        </w:rPr>
        <w:t xml:space="preserve"> </w:t>
      </w:r>
      <w:r>
        <w:rPr>
          <w:spacing w:val="-1"/>
        </w:rPr>
        <w:t>Goods),</w:t>
      </w:r>
      <w:r>
        <w:t xml:space="preserve"> </w:t>
      </w:r>
      <w:r>
        <w:rPr>
          <w:spacing w:val="-2"/>
        </w:rPr>
        <w:t>if</w:t>
      </w:r>
      <w:r>
        <w:rPr>
          <w:spacing w:val="4"/>
        </w:rPr>
        <w:t xml:space="preserve"> </w:t>
      </w:r>
      <w:r>
        <w:t>a</w:t>
      </w:r>
      <w:r>
        <w:rPr>
          <w:spacing w:val="-2"/>
        </w:rPr>
        <w:t xml:space="preserve"> </w:t>
      </w:r>
      <w:r>
        <w:rPr>
          <w:spacing w:val="-1"/>
        </w:rPr>
        <w:t>Dispute</w:t>
      </w:r>
      <w:r>
        <w:rPr>
          <w:spacing w:val="-2"/>
        </w:rPr>
        <w:t xml:space="preserve"> </w:t>
      </w:r>
      <w:r>
        <w:rPr>
          <w:spacing w:val="-1"/>
        </w:rPr>
        <w:t>arises</w:t>
      </w:r>
      <w:r>
        <w:rPr>
          <w:spacing w:val="-4"/>
        </w:rPr>
        <w:t xml:space="preserve"> </w:t>
      </w:r>
      <w:r>
        <w:rPr>
          <w:spacing w:val="-1"/>
        </w:rPr>
        <w:t>as</w:t>
      </w:r>
      <w:r>
        <w:rPr>
          <w:spacing w:val="1"/>
        </w:rPr>
        <w:t xml:space="preserve"> </w:t>
      </w:r>
      <w:r>
        <w:rPr>
          <w:spacing w:val="-1"/>
        </w:rPr>
        <w:t>to:</w:t>
      </w:r>
    </w:p>
    <w:p w:rsidR="008918FA" w:rsidRDefault="008918FA" w:rsidP="008918FA">
      <w:pPr>
        <w:pStyle w:val="BodyText"/>
        <w:numPr>
          <w:ilvl w:val="2"/>
          <w:numId w:val="66"/>
        </w:numPr>
        <w:tabs>
          <w:tab w:val="left" w:pos="1887"/>
        </w:tabs>
        <w:ind w:left="1886" w:right="114" w:hanging="993"/>
        <w:jc w:val="both"/>
      </w:pPr>
      <w:r>
        <w:rPr>
          <w:spacing w:val="-1"/>
        </w:rPr>
        <w:t>whether</w:t>
      </w:r>
      <w:r>
        <w:rPr>
          <w:spacing w:val="16"/>
        </w:rPr>
        <w:t xml:space="preserve"> </w:t>
      </w:r>
      <w:r>
        <w:t>a</w:t>
      </w:r>
      <w:r>
        <w:rPr>
          <w:spacing w:val="15"/>
        </w:rPr>
        <w:t xml:space="preserve"> </w:t>
      </w:r>
      <w:r>
        <w:rPr>
          <w:spacing w:val="-1"/>
        </w:rPr>
        <w:t>Supplier</w:t>
      </w:r>
      <w:r>
        <w:rPr>
          <w:spacing w:val="16"/>
        </w:rPr>
        <w:t xml:space="preserve"> </w:t>
      </w:r>
      <w:r>
        <w:rPr>
          <w:spacing w:val="-1"/>
        </w:rPr>
        <w:t>Non-Performance</w:t>
      </w:r>
      <w:r>
        <w:rPr>
          <w:spacing w:val="15"/>
        </w:rPr>
        <w:t xml:space="preserve"> </w:t>
      </w:r>
      <w:r>
        <w:rPr>
          <w:spacing w:val="-2"/>
        </w:rPr>
        <w:t>would</w:t>
      </w:r>
      <w:r>
        <w:rPr>
          <w:spacing w:val="15"/>
        </w:rPr>
        <w:t xml:space="preserve"> </w:t>
      </w:r>
      <w:r>
        <w:rPr>
          <w:spacing w:val="-1"/>
        </w:rPr>
        <w:t>not</w:t>
      </w:r>
      <w:r>
        <w:rPr>
          <w:spacing w:val="19"/>
        </w:rPr>
        <w:t xml:space="preserve"> </w:t>
      </w:r>
      <w:r>
        <w:rPr>
          <w:spacing w:val="-2"/>
        </w:rPr>
        <w:t>have</w:t>
      </w:r>
      <w:r>
        <w:rPr>
          <w:spacing w:val="15"/>
        </w:rPr>
        <w:t xml:space="preserve"> </w:t>
      </w:r>
      <w:r>
        <w:rPr>
          <w:spacing w:val="-1"/>
        </w:rPr>
        <w:t>occurred</w:t>
      </w:r>
      <w:r>
        <w:rPr>
          <w:spacing w:val="15"/>
        </w:rPr>
        <w:t xml:space="preserve"> </w:t>
      </w:r>
      <w:r>
        <w:rPr>
          <w:spacing w:val="-1"/>
        </w:rPr>
        <w:t>but</w:t>
      </w:r>
      <w:r>
        <w:rPr>
          <w:spacing w:val="14"/>
        </w:rPr>
        <w:t xml:space="preserve"> </w:t>
      </w:r>
      <w:r>
        <w:t>for</w:t>
      </w:r>
      <w:r>
        <w:rPr>
          <w:spacing w:val="38"/>
        </w:rPr>
        <w:t xml:space="preserve"> </w:t>
      </w:r>
      <w:r>
        <w:t xml:space="preserve">a </w:t>
      </w:r>
      <w:r>
        <w:rPr>
          <w:spacing w:val="-1"/>
        </w:rPr>
        <w:t>Customer</w:t>
      </w:r>
      <w:r>
        <w:t xml:space="preserve"> </w:t>
      </w:r>
      <w:r>
        <w:rPr>
          <w:spacing w:val="-1"/>
        </w:rPr>
        <w:t>Cause;</w:t>
      </w:r>
      <w:r>
        <w:t xml:space="preserve"> </w:t>
      </w:r>
      <w:r>
        <w:rPr>
          <w:spacing w:val="-2"/>
        </w:rPr>
        <w:t>and/or</w:t>
      </w:r>
    </w:p>
    <w:p w:rsidR="008918FA" w:rsidRDefault="008918FA" w:rsidP="008918FA">
      <w:pPr>
        <w:pStyle w:val="BodyText"/>
        <w:numPr>
          <w:ilvl w:val="2"/>
          <w:numId w:val="66"/>
        </w:numPr>
        <w:tabs>
          <w:tab w:val="left" w:pos="1887"/>
        </w:tabs>
        <w:ind w:left="1886"/>
      </w:pPr>
      <w:r>
        <w:t xml:space="preserve">the </w:t>
      </w:r>
      <w:r>
        <w:rPr>
          <w:spacing w:val="-1"/>
        </w:rPr>
        <w:t>nature</w:t>
      </w:r>
      <w:r>
        <w:rPr>
          <w:spacing w:val="-2"/>
        </w:rPr>
        <w:t xml:space="preserve"> </w:t>
      </w:r>
      <w:r>
        <w:rPr>
          <w:spacing w:val="-1"/>
        </w:rPr>
        <w:t>and/or</w:t>
      </w:r>
      <w:r>
        <w:rPr>
          <w:spacing w:val="2"/>
        </w:rPr>
        <w:t xml:space="preserve"> </w:t>
      </w:r>
      <w:r>
        <w:rPr>
          <w:spacing w:val="-2"/>
        </w:rPr>
        <w:t>extent</w:t>
      </w:r>
      <w:r>
        <w:t xml:space="preserve"> </w:t>
      </w:r>
      <w:r>
        <w:rPr>
          <w:spacing w:val="-2"/>
        </w:rPr>
        <w:t>of</w:t>
      </w:r>
      <w:r>
        <w:rPr>
          <w:spacing w:val="2"/>
        </w:rPr>
        <w:t xml:space="preserve"> </w:t>
      </w:r>
      <w:r>
        <w:t>the</w:t>
      </w:r>
      <w:r>
        <w:rPr>
          <w:spacing w:val="-2"/>
        </w:rPr>
        <w:t xml:space="preserve"> </w:t>
      </w:r>
      <w:r>
        <w:rPr>
          <w:spacing w:val="-1"/>
        </w:rPr>
        <w:t>relief</w:t>
      </w:r>
      <w:r>
        <w:rPr>
          <w:spacing w:val="2"/>
        </w:rPr>
        <w:t xml:space="preserve"> </w:t>
      </w:r>
      <w:r>
        <w:rPr>
          <w:spacing w:val="-1"/>
        </w:rPr>
        <w:t>claimed</w:t>
      </w:r>
      <w:r>
        <w:rPr>
          <w:spacing w:val="-2"/>
        </w:rPr>
        <w:t xml:space="preserve"> </w:t>
      </w:r>
      <w:r>
        <w:rPr>
          <w:spacing w:val="-1"/>
        </w:rPr>
        <w:t>by</w:t>
      </w:r>
      <w:r>
        <w:rPr>
          <w:spacing w:val="-2"/>
        </w:rPr>
        <w:t xml:space="preserve"> </w:t>
      </w:r>
      <w:r>
        <w:rPr>
          <w:spacing w:val="-1"/>
        </w:rPr>
        <w:t>the</w:t>
      </w:r>
      <w:r>
        <w:t xml:space="preserve"> </w:t>
      </w:r>
      <w:r>
        <w:rPr>
          <w:spacing w:val="-1"/>
        </w:rPr>
        <w:t>Supplier,</w:t>
      </w:r>
    </w:p>
    <w:p w:rsidR="008918FA" w:rsidRDefault="008918FA" w:rsidP="008918FA">
      <w:pPr>
        <w:pStyle w:val="BodyText"/>
        <w:spacing w:before="121"/>
        <w:ind w:left="892" w:right="116" w:firstLine="0"/>
        <w:jc w:val="both"/>
      </w:pPr>
      <w:r>
        <w:rPr>
          <w:spacing w:val="-1"/>
        </w:rPr>
        <w:t>either</w:t>
      </w:r>
      <w:r>
        <w:rPr>
          <w:spacing w:val="9"/>
        </w:rPr>
        <w:t xml:space="preserve"> </w:t>
      </w:r>
      <w:r>
        <w:rPr>
          <w:spacing w:val="-1"/>
        </w:rPr>
        <w:t>Party</w:t>
      </w:r>
      <w:r>
        <w:rPr>
          <w:spacing w:val="5"/>
        </w:rPr>
        <w:t xml:space="preserve"> </w:t>
      </w:r>
      <w:r>
        <w:rPr>
          <w:spacing w:val="-1"/>
        </w:rPr>
        <w:t>may</w:t>
      </w:r>
      <w:r>
        <w:rPr>
          <w:spacing w:val="5"/>
        </w:rPr>
        <w:t xml:space="preserve"> </w:t>
      </w:r>
      <w:r>
        <w:rPr>
          <w:spacing w:val="-1"/>
        </w:rPr>
        <w:t>refer</w:t>
      </w:r>
      <w:r>
        <w:rPr>
          <w:spacing w:val="9"/>
        </w:rPr>
        <w:t xml:space="preserve"> </w:t>
      </w:r>
      <w:r>
        <w:rPr>
          <w:spacing w:val="-1"/>
        </w:rPr>
        <w:t>the</w:t>
      </w:r>
      <w:r>
        <w:rPr>
          <w:spacing w:val="8"/>
        </w:rPr>
        <w:t xml:space="preserve"> </w:t>
      </w:r>
      <w:r>
        <w:rPr>
          <w:spacing w:val="-1"/>
        </w:rPr>
        <w:t>Dispute</w:t>
      </w:r>
      <w:r>
        <w:rPr>
          <w:spacing w:val="7"/>
        </w:rPr>
        <w:t xml:space="preserve"> </w:t>
      </w:r>
      <w:r>
        <w:t>to</w:t>
      </w:r>
      <w:r>
        <w:rPr>
          <w:spacing w:val="7"/>
        </w:rPr>
        <w:t xml:space="preserve"> </w:t>
      </w:r>
      <w:r>
        <w:t>the</w:t>
      </w:r>
      <w:r>
        <w:rPr>
          <w:spacing w:val="7"/>
        </w:rPr>
        <w:t xml:space="preserve"> </w:t>
      </w:r>
      <w:r>
        <w:rPr>
          <w:spacing w:val="-1"/>
        </w:rPr>
        <w:t>Dispute</w:t>
      </w:r>
      <w:r>
        <w:rPr>
          <w:spacing w:val="7"/>
        </w:rPr>
        <w:t xml:space="preserve"> </w:t>
      </w:r>
      <w:r>
        <w:rPr>
          <w:spacing w:val="-1"/>
        </w:rPr>
        <w:t>Resolution</w:t>
      </w:r>
      <w:r>
        <w:rPr>
          <w:spacing w:val="7"/>
        </w:rPr>
        <w:t xml:space="preserve"> </w:t>
      </w:r>
      <w:r>
        <w:rPr>
          <w:spacing w:val="-1"/>
        </w:rPr>
        <w:t>Procedure.</w:t>
      </w:r>
      <w:r>
        <w:rPr>
          <w:spacing w:val="11"/>
        </w:rPr>
        <w:t xml:space="preserve"> </w:t>
      </w:r>
      <w:r>
        <w:rPr>
          <w:spacing w:val="-2"/>
        </w:rPr>
        <w:t>Pending</w:t>
      </w:r>
      <w:r>
        <w:rPr>
          <w:spacing w:val="52"/>
        </w:rPr>
        <w:t xml:space="preserve"> </w:t>
      </w:r>
      <w:r>
        <w:t xml:space="preserve">the </w:t>
      </w:r>
      <w:r>
        <w:rPr>
          <w:spacing w:val="-1"/>
        </w:rPr>
        <w:t>resolution</w:t>
      </w:r>
      <w:r>
        <w:t xml:space="preserve"> </w:t>
      </w:r>
      <w:r>
        <w:rPr>
          <w:spacing w:val="-2"/>
        </w:rPr>
        <w:t>of</w:t>
      </w:r>
      <w:r>
        <w:rPr>
          <w:spacing w:val="4"/>
        </w:rPr>
        <w:t xml:space="preserve"> </w:t>
      </w:r>
      <w:r>
        <w:rPr>
          <w:spacing w:val="-1"/>
        </w:rPr>
        <w:t>the</w:t>
      </w:r>
      <w:r>
        <w:t xml:space="preserve"> </w:t>
      </w:r>
      <w:r>
        <w:rPr>
          <w:spacing w:val="-1"/>
        </w:rPr>
        <w:t>Dispute,</w:t>
      </w:r>
      <w:r>
        <w:rPr>
          <w:spacing w:val="2"/>
        </w:rPr>
        <w:t xml:space="preserve"> </w:t>
      </w:r>
      <w:r>
        <w:rPr>
          <w:spacing w:val="-1"/>
        </w:rPr>
        <w:t>both</w:t>
      </w:r>
      <w:r>
        <w:t xml:space="preserve"> </w:t>
      </w:r>
      <w:r>
        <w:rPr>
          <w:spacing w:val="-1"/>
        </w:rPr>
        <w:t>Parties</w:t>
      </w:r>
      <w:r>
        <w:rPr>
          <w:spacing w:val="1"/>
        </w:rPr>
        <w:t xml:space="preserve"> </w:t>
      </w:r>
      <w:r>
        <w:rPr>
          <w:spacing w:val="-1"/>
        </w:rPr>
        <w:t>shall</w:t>
      </w:r>
      <w:r>
        <w:t xml:space="preserve"> </w:t>
      </w:r>
      <w:r>
        <w:rPr>
          <w:spacing w:val="-1"/>
        </w:rPr>
        <w:t>continue</w:t>
      </w:r>
      <w:r>
        <w:t xml:space="preserve"> to </w:t>
      </w:r>
      <w:r>
        <w:rPr>
          <w:spacing w:val="-1"/>
        </w:rPr>
        <w:t>resolve</w:t>
      </w:r>
      <w:r>
        <w:t xml:space="preserve"> the </w:t>
      </w:r>
      <w:r>
        <w:rPr>
          <w:spacing w:val="-1"/>
        </w:rPr>
        <w:t>causes</w:t>
      </w:r>
      <w:r>
        <w:rPr>
          <w:spacing w:val="1"/>
        </w:rPr>
        <w:t xml:space="preserve"> </w:t>
      </w:r>
      <w:r>
        <w:t>of,</w:t>
      </w:r>
      <w:r>
        <w:rPr>
          <w:spacing w:val="43"/>
        </w:rPr>
        <w:t xml:space="preserve"> </w:t>
      </w:r>
      <w:r>
        <w:rPr>
          <w:spacing w:val="-1"/>
        </w:rPr>
        <w:t>and</w:t>
      </w:r>
      <w:r>
        <w:t xml:space="preserve"> </w:t>
      </w:r>
      <w:r>
        <w:rPr>
          <w:spacing w:val="-1"/>
        </w:rPr>
        <w:t>mitigate</w:t>
      </w:r>
      <w:r>
        <w:rPr>
          <w:spacing w:val="-2"/>
        </w:rPr>
        <w:t xml:space="preserve"> </w:t>
      </w:r>
      <w:r>
        <w:t xml:space="preserve">the </w:t>
      </w:r>
      <w:r>
        <w:rPr>
          <w:spacing w:val="-1"/>
        </w:rPr>
        <w:t>effects</w:t>
      </w:r>
      <w:r>
        <w:rPr>
          <w:spacing w:val="-4"/>
        </w:rPr>
        <w:t xml:space="preserve"> </w:t>
      </w:r>
      <w:r>
        <w:t>of, the</w:t>
      </w:r>
      <w:r>
        <w:rPr>
          <w:spacing w:val="-2"/>
        </w:rPr>
        <w:t xml:space="preserve"> Supplier</w:t>
      </w:r>
      <w:r>
        <w:rPr>
          <w:spacing w:val="2"/>
        </w:rPr>
        <w:t xml:space="preserve"> </w:t>
      </w:r>
      <w:r>
        <w:rPr>
          <w:spacing w:val="-1"/>
        </w:rPr>
        <w:t>Non-Performance.</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1"/>
          <w:numId w:val="66"/>
        </w:numPr>
        <w:tabs>
          <w:tab w:val="left" w:pos="1253"/>
        </w:tabs>
        <w:spacing w:before="59"/>
        <w:ind w:left="1048" w:right="111" w:hanging="360"/>
        <w:jc w:val="both"/>
      </w:pPr>
      <w:r>
        <w:rPr>
          <w:spacing w:val="-1"/>
        </w:rPr>
        <w:t>Any</w:t>
      </w:r>
      <w:r>
        <w:rPr>
          <w:spacing w:val="56"/>
        </w:rPr>
        <w:t xml:space="preserve"> </w:t>
      </w:r>
      <w:r>
        <w:rPr>
          <w:spacing w:val="-1"/>
        </w:rPr>
        <w:t>Variation</w:t>
      </w:r>
      <w:r>
        <w:rPr>
          <w:spacing w:val="58"/>
        </w:rPr>
        <w:t xml:space="preserve"> </w:t>
      </w:r>
      <w:r>
        <w:rPr>
          <w:spacing w:val="-1"/>
        </w:rPr>
        <w:t>that</w:t>
      </w:r>
      <w:r>
        <w:rPr>
          <w:spacing w:val="57"/>
        </w:rPr>
        <w:t xml:space="preserve"> </w:t>
      </w:r>
      <w:r>
        <w:rPr>
          <w:spacing w:val="-1"/>
        </w:rPr>
        <w:t>is</w:t>
      </w:r>
      <w:r>
        <w:rPr>
          <w:spacing w:val="56"/>
        </w:rPr>
        <w:t xml:space="preserve"> </w:t>
      </w:r>
      <w:r>
        <w:rPr>
          <w:spacing w:val="-1"/>
        </w:rPr>
        <w:t>required</w:t>
      </w:r>
      <w:r>
        <w:rPr>
          <w:spacing w:val="55"/>
        </w:rPr>
        <w:t xml:space="preserve"> </w:t>
      </w:r>
      <w:r>
        <w:t>to</w:t>
      </w:r>
      <w:r>
        <w:rPr>
          <w:spacing w:val="55"/>
        </w:rPr>
        <w:t xml:space="preserve"> </w:t>
      </w:r>
      <w:r>
        <w:t>the</w:t>
      </w:r>
      <w:r>
        <w:rPr>
          <w:spacing w:val="56"/>
        </w:rPr>
        <w:t xml:space="preserve"> </w:t>
      </w:r>
      <w:r>
        <w:rPr>
          <w:spacing w:val="-1"/>
        </w:rPr>
        <w:t>Implementation</w:t>
      </w:r>
      <w:r>
        <w:rPr>
          <w:spacing w:val="58"/>
        </w:rPr>
        <w:t xml:space="preserve"> </w:t>
      </w:r>
      <w:r>
        <w:rPr>
          <w:spacing w:val="-1"/>
        </w:rPr>
        <w:t>Plan</w:t>
      </w:r>
      <w:r>
        <w:rPr>
          <w:spacing w:val="58"/>
        </w:rPr>
        <w:t xml:space="preserve"> </w:t>
      </w:r>
      <w:r>
        <w:rPr>
          <w:spacing w:val="-2"/>
        </w:rPr>
        <w:t>or</w:t>
      </w:r>
      <w:r>
        <w:rPr>
          <w:spacing w:val="57"/>
        </w:rPr>
        <w:t xml:space="preserve"> </w:t>
      </w:r>
      <w:r>
        <w:t>to</w:t>
      </w:r>
      <w:r>
        <w:rPr>
          <w:spacing w:val="55"/>
        </w:rPr>
        <w:t xml:space="preserve"> </w:t>
      </w:r>
      <w:r>
        <w:t>the</w:t>
      </w:r>
      <w:r>
        <w:rPr>
          <w:spacing w:val="60"/>
        </w:rPr>
        <w:t xml:space="preserve"> </w:t>
      </w:r>
      <w:r>
        <w:rPr>
          <w:spacing w:val="-2"/>
        </w:rPr>
        <w:t>Call</w:t>
      </w:r>
      <w:r>
        <w:rPr>
          <w:spacing w:val="58"/>
        </w:rPr>
        <w:t xml:space="preserve"> </w:t>
      </w:r>
      <w:r>
        <w:rPr>
          <w:spacing w:val="-1"/>
        </w:rPr>
        <w:t>Off</w:t>
      </w:r>
      <w:r>
        <w:rPr>
          <w:spacing w:val="33"/>
        </w:rPr>
        <w:t xml:space="preserve"> </w:t>
      </w:r>
      <w:r>
        <w:rPr>
          <w:spacing w:val="-1"/>
        </w:rPr>
        <w:t>Contract</w:t>
      </w:r>
      <w:r>
        <w:rPr>
          <w:spacing w:val="21"/>
        </w:rPr>
        <w:t xml:space="preserve"> </w:t>
      </w:r>
      <w:r>
        <w:rPr>
          <w:spacing w:val="-1"/>
        </w:rPr>
        <w:t>Charges</w:t>
      </w:r>
      <w:r>
        <w:rPr>
          <w:spacing w:val="20"/>
        </w:rPr>
        <w:t xml:space="preserve"> </w:t>
      </w:r>
      <w:r>
        <w:rPr>
          <w:spacing w:val="-1"/>
        </w:rPr>
        <w:t>pursuant</w:t>
      </w:r>
      <w:r>
        <w:rPr>
          <w:spacing w:val="21"/>
        </w:rPr>
        <w:t xml:space="preserve"> </w:t>
      </w:r>
      <w:r>
        <w:t>to</w:t>
      </w:r>
      <w:r>
        <w:rPr>
          <w:spacing w:val="19"/>
        </w:rPr>
        <w:t xml:space="preserve"> </w:t>
      </w:r>
      <w:r>
        <w:rPr>
          <w:spacing w:val="-1"/>
        </w:rPr>
        <w:t>this</w:t>
      </w:r>
      <w:r>
        <w:rPr>
          <w:spacing w:val="20"/>
        </w:rPr>
        <w:t xml:space="preserve"> </w:t>
      </w:r>
      <w:r>
        <w:rPr>
          <w:spacing w:val="-2"/>
        </w:rPr>
        <w:t>Clause</w:t>
      </w:r>
      <w:r>
        <w:rPr>
          <w:spacing w:val="2"/>
        </w:rPr>
        <w:t xml:space="preserve"> </w:t>
      </w:r>
      <w:hyperlink w:anchor="_bookmark222" w:history="1">
        <w:r>
          <w:rPr>
            <w:spacing w:val="-1"/>
          </w:rPr>
          <w:t>39</w:t>
        </w:r>
      </w:hyperlink>
      <w:r>
        <w:rPr>
          <w:spacing w:val="20"/>
        </w:rPr>
        <w:t xml:space="preserve"> </w:t>
      </w:r>
      <w:r>
        <w:rPr>
          <w:spacing w:val="-2"/>
        </w:rPr>
        <w:t>shall</w:t>
      </w:r>
      <w:r>
        <w:rPr>
          <w:spacing w:val="19"/>
        </w:rPr>
        <w:t xml:space="preserve"> </w:t>
      </w:r>
      <w:r>
        <w:rPr>
          <w:spacing w:val="-1"/>
        </w:rPr>
        <w:t>be</w:t>
      </w:r>
      <w:r>
        <w:rPr>
          <w:spacing w:val="19"/>
        </w:rPr>
        <w:t xml:space="preserve"> </w:t>
      </w:r>
      <w:r>
        <w:rPr>
          <w:spacing w:val="-1"/>
        </w:rPr>
        <w:t>implemented</w:t>
      </w:r>
      <w:r>
        <w:rPr>
          <w:spacing w:val="20"/>
        </w:rPr>
        <w:t xml:space="preserve"> </w:t>
      </w:r>
      <w:r>
        <w:rPr>
          <w:spacing w:val="-1"/>
        </w:rPr>
        <w:t>in</w:t>
      </w:r>
      <w:r>
        <w:rPr>
          <w:spacing w:val="20"/>
        </w:rPr>
        <w:t xml:space="preserve"> </w:t>
      </w:r>
      <w:r>
        <w:rPr>
          <w:spacing w:val="-1"/>
        </w:rPr>
        <w:t>accordance</w:t>
      </w:r>
      <w:r>
        <w:rPr>
          <w:spacing w:val="51"/>
        </w:rPr>
        <w:t xml:space="preserve"> </w:t>
      </w:r>
      <w:r>
        <w:rPr>
          <w:spacing w:val="-1"/>
        </w:rPr>
        <w:t>with</w:t>
      </w:r>
      <w:r>
        <w:t xml:space="preserve"> the</w:t>
      </w:r>
      <w:r>
        <w:rPr>
          <w:spacing w:val="-2"/>
        </w:rPr>
        <w:t xml:space="preserve"> </w:t>
      </w:r>
      <w:r>
        <w:rPr>
          <w:spacing w:val="-1"/>
        </w:rPr>
        <w:t>Variation</w:t>
      </w:r>
      <w:r>
        <w:t xml:space="preserve"> </w:t>
      </w:r>
      <w:r>
        <w:rPr>
          <w:spacing w:val="-2"/>
        </w:rPr>
        <w:t>Procedure.</w:t>
      </w:r>
    </w:p>
    <w:p w:rsidR="008918FA" w:rsidRDefault="008918FA" w:rsidP="008918FA">
      <w:pPr>
        <w:pStyle w:val="BodyText"/>
        <w:numPr>
          <w:ilvl w:val="0"/>
          <w:numId w:val="66"/>
        </w:numPr>
        <w:tabs>
          <w:tab w:val="left" w:pos="686"/>
        </w:tabs>
        <w:spacing w:before="117"/>
        <w:ind w:left="685" w:hanging="566"/>
        <w:rPr>
          <w:rFonts w:ascii="Times New Roman" w:eastAsia="Times New Roman" w:hAnsi="Times New Roman" w:cs="Times New Roman"/>
        </w:rPr>
      </w:pPr>
      <w:bookmarkStart w:id="266" w:name="_bookmark225"/>
      <w:bookmarkEnd w:id="266"/>
      <w:r>
        <w:rPr>
          <w:rFonts w:ascii="Times New Roman"/>
          <w:spacing w:val="9"/>
        </w:rPr>
        <w:t>FO</w:t>
      </w:r>
      <w:bookmarkStart w:id="267" w:name="40._FORCE_MAJEURE"/>
      <w:bookmarkEnd w:id="267"/>
      <w:r>
        <w:rPr>
          <w:rFonts w:ascii="Times New Roman"/>
          <w:spacing w:val="9"/>
        </w:rPr>
        <w:t>RCE</w:t>
      </w:r>
      <w:r>
        <w:rPr>
          <w:rFonts w:ascii="Times New Roman"/>
          <w:spacing w:val="18"/>
        </w:rPr>
        <w:t xml:space="preserve"> </w:t>
      </w:r>
      <w:r>
        <w:rPr>
          <w:rFonts w:ascii="Times New Roman"/>
          <w:spacing w:val="-7"/>
        </w:rPr>
        <w:t>MAJ</w:t>
      </w:r>
      <w:r>
        <w:rPr>
          <w:rFonts w:ascii="Times New Roman"/>
          <w:spacing w:val="-19"/>
        </w:rPr>
        <w:t xml:space="preserve"> </w:t>
      </w:r>
      <w:r>
        <w:rPr>
          <w:rFonts w:ascii="Times New Roman"/>
          <w:spacing w:val="5"/>
        </w:rPr>
        <w:t>EURE</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3"/>
        </w:tabs>
        <w:spacing w:before="0"/>
        <w:ind w:left="1048" w:right="112" w:hanging="360"/>
        <w:jc w:val="both"/>
      </w:pPr>
      <w:r>
        <w:rPr>
          <w:spacing w:val="-1"/>
        </w:rPr>
        <w:t>Subject</w:t>
      </w:r>
      <w:r>
        <w:rPr>
          <w:spacing w:val="53"/>
        </w:rPr>
        <w:t xml:space="preserve"> </w:t>
      </w:r>
      <w:r>
        <w:t>to</w:t>
      </w:r>
      <w:r>
        <w:rPr>
          <w:spacing w:val="53"/>
        </w:rPr>
        <w:t xml:space="preserve"> </w:t>
      </w:r>
      <w:r>
        <w:t>the</w:t>
      </w:r>
      <w:r>
        <w:rPr>
          <w:spacing w:val="51"/>
        </w:rPr>
        <w:t xml:space="preserve"> </w:t>
      </w:r>
      <w:r>
        <w:rPr>
          <w:spacing w:val="-1"/>
        </w:rPr>
        <w:t>remainder</w:t>
      </w:r>
      <w:r>
        <w:rPr>
          <w:spacing w:val="54"/>
        </w:rPr>
        <w:t xml:space="preserve"> </w:t>
      </w:r>
      <w:r>
        <w:rPr>
          <w:spacing w:val="-2"/>
        </w:rPr>
        <w:t>of</w:t>
      </w:r>
      <w:r>
        <w:rPr>
          <w:spacing w:val="54"/>
        </w:rPr>
        <w:t xml:space="preserve"> </w:t>
      </w:r>
      <w:r>
        <w:rPr>
          <w:spacing w:val="-1"/>
        </w:rPr>
        <w:t>this</w:t>
      </w:r>
      <w:r>
        <w:rPr>
          <w:spacing w:val="53"/>
        </w:rPr>
        <w:t xml:space="preserve"> </w:t>
      </w:r>
      <w:r>
        <w:rPr>
          <w:spacing w:val="-2"/>
        </w:rPr>
        <w:t>Clause</w:t>
      </w:r>
      <w:r>
        <w:rPr>
          <w:spacing w:val="54"/>
        </w:rPr>
        <w:t xml:space="preserve"> </w:t>
      </w:r>
      <w:hyperlink w:anchor="_bookmark225" w:history="1">
        <w:r>
          <w:rPr>
            <w:spacing w:val="-1"/>
          </w:rPr>
          <w:t>40</w:t>
        </w:r>
      </w:hyperlink>
      <w:r>
        <w:rPr>
          <w:spacing w:val="54"/>
        </w:rPr>
        <w:t xml:space="preserve"> </w:t>
      </w:r>
      <w:r>
        <w:rPr>
          <w:spacing w:val="-1"/>
        </w:rPr>
        <w:t>(and,</w:t>
      </w:r>
      <w:r>
        <w:rPr>
          <w:spacing w:val="55"/>
        </w:rPr>
        <w:t xml:space="preserve"> </w:t>
      </w:r>
      <w:r>
        <w:rPr>
          <w:spacing w:val="-1"/>
        </w:rPr>
        <w:t>in</w:t>
      </w:r>
      <w:r>
        <w:rPr>
          <w:spacing w:val="53"/>
        </w:rPr>
        <w:t xml:space="preserve"> </w:t>
      </w:r>
      <w:r>
        <w:rPr>
          <w:spacing w:val="-1"/>
        </w:rPr>
        <w:t>relation</w:t>
      </w:r>
      <w:r>
        <w:rPr>
          <w:spacing w:val="53"/>
        </w:rPr>
        <w:t xml:space="preserve"> </w:t>
      </w:r>
      <w:r>
        <w:t>to</w:t>
      </w:r>
      <w:r>
        <w:rPr>
          <w:spacing w:val="51"/>
        </w:rPr>
        <w:t xml:space="preserve"> </w:t>
      </w:r>
      <w:r>
        <w:t>the</w:t>
      </w:r>
      <w:r>
        <w:rPr>
          <w:spacing w:val="54"/>
        </w:rPr>
        <w:t xml:space="preserve"> </w:t>
      </w:r>
      <w:r>
        <w:rPr>
          <w:spacing w:val="-2"/>
        </w:rPr>
        <w:t>Supplier,</w:t>
      </w:r>
      <w:r>
        <w:rPr>
          <w:spacing w:val="45"/>
        </w:rPr>
        <w:t xml:space="preserve"> </w:t>
      </w:r>
      <w:r>
        <w:rPr>
          <w:spacing w:val="-1"/>
        </w:rPr>
        <w:t>subject</w:t>
      </w:r>
      <w:r>
        <w:rPr>
          <w:spacing w:val="40"/>
        </w:rPr>
        <w:t xml:space="preserve"> </w:t>
      </w:r>
      <w:r>
        <w:t>to</w:t>
      </w:r>
      <w:r>
        <w:rPr>
          <w:spacing w:val="38"/>
        </w:rPr>
        <w:t xml:space="preserve"> </w:t>
      </w:r>
      <w:r>
        <w:rPr>
          <w:spacing w:val="-1"/>
        </w:rPr>
        <w:t>its</w:t>
      </w:r>
      <w:r>
        <w:rPr>
          <w:spacing w:val="39"/>
        </w:rPr>
        <w:t xml:space="preserve"> </w:t>
      </w:r>
      <w:r>
        <w:rPr>
          <w:spacing w:val="-2"/>
        </w:rPr>
        <w:t>compliance</w:t>
      </w:r>
      <w:r>
        <w:rPr>
          <w:spacing w:val="39"/>
        </w:rPr>
        <w:t xml:space="preserve"> </w:t>
      </w:r>
      <w:r>
        <w:rPr>
          <w:spacing w:val="-2"/>
        </w:rPr>
        <w:t>with</w:t>
      </w:r>
      <w:r>
        <w:rPr>
          <w:spacing w:val="40"/>
        </w:rPr>
        <w:t xml:space="preserve"> </w:t>
      </w:r>
      <w:r>
        <w:t>any</w:t>
      </w:r>
      <w:r>
        <w:rPr>
          <w:spacing w:val="37"/>
        </w:rPr>
        <w:t xml:space="preserve"> </w:t>
      </w:r>
      <w:r>
        <w:rPr>
          <w:spacing w:val="-1"/>
        </w:rPr>
        <w:t>obligations</w:t>
      </w:r>
      <w:r>
        <w:rPr>
          <w:spacing w:val="40"/>
        </w:rPr>
        <w:t xml:space="preserve"> </w:t>
      </w:r>
      <w:r>
        <w:rPr>
          <w:spacing w:val="-1"/>
        </w:rPr>
        <w:t>in</w:t>
      </w:r>
      <w:r>
        <w:rPr>
          <w:spacing w:val="38"/>
        </w:rPr>
        <w:t xml:space="preserve"> </w:t>
      </w:r>
      <w:r>
        <w:rPr>
          <w:spacing w:val="-2"/>
        </w:rPr>
        <w:t>Clause</w:t>
      </w:r>
      <w:r>
        <w:rPr>
          <w:spacing w:val="39"/>
        </w:rPr>
        <w:t xml:space="preserve"> </w:t>
      </w:r>
      <w:hyperlink w:anchor="_bookmark102" w:history="1">
        <w:r>
          <w:rPr>
            <w:spacing w:val="-1"/>
          </w:rPr>
          <w:t>15</w:t>
        </w:r>
      </w:hyperlink>
      <w:r>
        <w:rPr>
          <w:spacing w:val="2"/>
        </w:rPr>
        <w:t xml:space="preserve"> </w:t>
      </w:r>
      <w:r>
        <w:rPr>
          <w:spacing w:val="-1"/>
        </w:rPr>
        <w:t>(Business</w:t>
      </w:r>
      <w:r>
        <w:rPr>
          <w:spacing w:val="37"/>
        </w:rPr>
        <w:t xml:space="preserve"> </w:t>
      </w:r>
      <w:r>
        <w:rPr>
          <w:spacing w:val="-1"/>
        </w:rPr>
        <w:t>Continuity</w:t>
      </w:r>
      <w:r>
        <w:rPr>
          <w:spacing w:val="57"/>
        </w:rPr>
        <w:t xml:space="preserve"> </w:t>
      </w:r>
      <w:r>
        <w:rPr>
          <w:spacing w:val="-1"/>
        </w:rPr>
        <w:t>and</w:t>
      </w:r>
      <w:r>
        <w:rPr>
          <w:spacing w:val="3"/>
        </w:rPr>
        <w:t xml:space="preserve"> </w:t>
      </w:r>
      <w:r>
        <w:rPr>
          <w:spacing w:val="-1"/>
        </w:rPr>
        <w:t>Disaster</w:t>
      </w:r>
      <w:r>
        <w:rPr>
          <w:spacing w:val="4"/>
        </w:rPr>
        <w:t xml:space="preserve"> </w:t>
      </w:r>
      <w:r>
        <w:rPr>
          <w:spacing w:val="-1"/>
        </w:rPr>
        <w:t>Recovery)),</w:t>
      </w:r>
      <w:r>
        <w:rPr>
          <w:spacing w:val="2"/>
        </w:rPr>
        <w:t xml:space="preserve"> </w:t>
      </w:r>
      <w:r>
        <w:t>a</w:t>
      </w:r>
      <w:r>
        <w:rPr>
          <w:spacing w:val="3"/>
        </w:rPr>
        <w:t xml:space="preserve"> </w:t>
      </w:r>
      <w:r>
        <w:t>Party</w:t>
      </w:r>
      <w:r>
        <w:rPr>
          <w:spacing w:val="1"/>
        </w:rPr>
        <w:t xml:space="preserve"> </w:t>
      </w:r>
      <w:r>
        <w:rPr>
          <w:spacing w:val="-1"/>
        </w:rPr>
        <w:t>may</w:t>
      </w:r>
      <w:r>
        <w:rPr>
          <w:spacing w:val="1"/>
        </w:rPr>
        <w:t xml:space="preserve"> </w:t>
      </w:r>
      <w:r>
        <w:rPr>
          <w:spacing w:val="-1"/>
        </w:rPr>
        <w:t>claim</w:t>
      </w:r>
      <w:r>
        <w:rPr>
          <w:spacing w:val="2"/>
        </w:rPr>
        <w:t xml:space="preserve"> </w:t>
      </w:r>
      <w:r>
        <w:rPr>
          <w:spacing w:val="-1"/>
        </w:rPr>
        <w:t>relief</w:t>
      </w:r>
      <w:r>
        <w:rPr>
          <w:spacing w:val="2"/>
        </w:rPr>
        <w:t xml:space="preserve"> </w:t>
      </w:r>
      <w:r>
        <w:rPr>
          <w:spacing w:val="-1"/>
        </w:rPr>
        <w:t>under</w:t>
      </w:r>
      <w:r>
        <w:rPr>
          <w:spacing w:val="4"/>
        </w:rPr>
        <w:t xml:space="preserve"> </w:t>
      </w:r>
      <w:r>
        <w:rPr>
          <w:spacing w:val="-1"/>
        </w:rPr>
        <w:t>this</w:t>
      </w:r>
      <w:r>
        <w:rPr>
          <w:spacing w:val="3"/>
        </w:rPr>
        <w:t xml:space="preserve"> </w:t>
      </w:r>
      <w:r>
        <w:rPr>
          <w:spacing w:val="-2"/>
        </w:rPr>
        <w:t>Clause</w:t>
      </w:r>
      <w:r>
        <w:rPr>
          <w:spacing w:val="5"/>
        </w:rPr>
        <w:t xml:space="preserve"> </w:t>
      </w:r>
      <w:hyperlink w:anchor="_bookmark225" w:history="1">
        <w:r>
          <w:rPr>
            <w:spacing w:val="-1"/>
          </w:rPr>
          <w:t>40</w:t>
        </w:r>
      </w:hyperlink>
      <w:r>
        <w:rPr>
          <w:spacing w:val="-2"/>
        </w:rPr>
        <w:t xml:space="preserve"> </w:t>
      </w:r>
      <w:r>
        <w:rPr>
          <w:spacing w:val="-1"/>
        </w:rPr>
        <w:t>from</w:t>
      </w:r>
      <w:r>
        <w:rPr>
          <w:spacing w:val="4"/>
        </w:rPr>
        <w:t xml:space="preserve"> </w:t>
      </w:r>
      <w:r>
        <w:rPr>
          <w:spacing w:val="-1"/>
        </w:rPr>
        <w:t>liability</w:t>
      </w:r>
      <w:r>
        <w:rPr>
          <w:spacing w:val="33"/>
        </w:rPr>
        <w:t xml:space="preserve"> </w:t>
      </w:r>
      <w:r>
        <w:t>for</w:t>
      </w:r>
      <w:r>
        <w:rPr>
          <w:spacing w:val="-1"/>
        </w:rPr>
        <w:t xml:space="preserve"> failure</w:t>
      </w:r>
      <w:r>
        <w:rPr>
          <w:spacing w:val="-2"/>
        </w:rPr>
        <w:t xml:space="preserve"> </w:t>
      </w:r>
      <w:r>
        <w:t xml:space="preserve">to </w:t>
      </w:r>
      <w:r>
        <w:rPr>
          <w:spacing w:val="-1"/>
        </w:rPr>
        <w:t>meet</w:t>
      </w:r>
      <w:r>
        <w:rPr>
          <w:spacing w:val="2"/>
        </w:rPr>
        <w:t xml:space="preserve"> </w:t>
      </w:r>
      <w:r>
        <w:rPr>
          <w:spacing w:val="-1"/>
        </w:rPr>
        <w:t>its</w:t>
      </w:r>
      <w:r>
        <w:rPr>
          <w:spacing w:val="1"/>
        </w:rPr>
        <w:t xml:space="preserve"> </w:t>
      </w:r>
      <w:r>
        <w:rPr>
          <w:spacing w:val="-1"/>
        </w:rPr>
        <w:t>obligations</w:t>
      </w:r>
      <w:r>
        <w:rPr>
          <w:spacing w:val="1"/>
        </w:rPr>
        <w:t xml:space="preserve"> </w:t>
      </w:r>
      <w:r>
        <w:rPr>
          <w:spacing w:val="-1"/>
        </w:rPr>
        <w:t>under</w:t>
      </w:r>
      <w:r>
        <w:rPr>
          <w:spacing w:val="2"/>
        </w:rPr>
        <w:t xml:space="preserve"> </w:t>
      </w:r>
      <w:r>
        <w:rPr>
          <w:spacing w:val="-1"/>
        </w:rPr>
        <w:t>this</w:t>
      </w:r>
      <w:r>
        <w:rPr>
          <w:spacing w:val="1"/>
        </w:rPr>
        <w:t xml:space="preserve"> </w:t>
      </w:r>
      <w:r>
        <w:rPr>
          <w:spacing w:val="-2"/>
        </w:rPr>
        <w:t>Call</w:t>
      </w:r>
      <w:r>
        <w:t xml:space="preserve"> Off</w:t>
      </w:r>
      <w:r>
        <w:rPr>
          <w:spacing w:val="2"/>
        </w:rPr>
        <w:t xml:space="preserve"> </w:t>
      </w:r>
      <w:r>
        <w:rPr>
          <w:spacing w:val="-1"/>
        </w:rPr>
        <w:t>Contract</w:t>
      </w:r>
      <w:r>
        <w:t xml:space="preserve"> for</w:t>
      </w:r>
      <w:r>
        <w:rPr>
          <w:spacing w:val="2"/>
        </w:rPr>
        <w:t xml:space="preserve"> </w:t>
      </w:r>
      <w:r>
        <w:rPr>
          <w:spacing w:val="-1"/>
        </w:rPr>
        <w:t>as</w:t>
      </w:r>
      <w:r>
        <w:rPr>
          <w:spacing w:val="1"/>
        </w:rPr>
        <w:t xml:space="preserve"> </w:t>
      </w:r>
      <w:r>
        <w:rPr>
          <w:spacing w:val="-2"/>
        </w:rPr>
        <w:t>long</w:t>
      </w:r>
      <w:r>
        <w:rPr>
          <w:spacing w:val="3"/>
        </w:rPr>
        <w:t xml:space="preserve"> </w:t>
      </w:r>
      <w:r>
        <w:rPr>
          <w:spacing w:val="-1"/>
        </w:rPr>
        <w:t>as</w:t>
      </w:r>
      <w:r>
        <w:rPr>
          <w:spacing w:val="-2"/>
        </w:rPr>
        <w:t xml:space="preserve"> </w:t>
      </w:r>
      <w:r>
        <w:rPr>
          <w:spacing w:val="-1"/>
        </w:rPr>
        <w:t>and</w:t>
      </w:r>
      <w:r>
        <w:t xml:space="preserve"> </w:t>
      </w:r>
      <w:r>
        <w:rPr>
          <w:spacing w:val="-1"/>
        </w:rPr>
        <w:t>only</w:t>
      </w:r>
      <w:r>
        <w:rPr>
          <w:spacing w:val="43"/>
        </w:rPr>
        <w:t xml:space="preserve"> </w:t>
      </w:r>
      <w:r>
        <w:t>to</w:t>
      </w:r>
      <w:r>
        <w:rPr>
          <w:spacing w:val="41"/>
        </w:rPr>
        <w:t xml:space="preserve"> </w:t>
      </w:r>
      <w:r>
        <w:t>the</w:t>
      </w:r>
      <w:r>
        <w:rPr>
          <w:spacing w:val="43"/>
        </w:rPr>
        <w:t xml:space="preserve"> </w:t>
      </w:r>
      <w:r>
        <w:rPr>
          <w:spacing w:val="-1"/>
        </w:rPr>
        <w:t>extent</w:t>
      </w:r>
      <w:r>
        <w:rPr>
          <w:spacing w:val="42"/>
        </w:rPr>
        <w:t xml:space="preserve"> </w:t>
      </w:r>
      <w:r>
        <w:rPr>
          <w:spacing w:val="-1"/>
        </w:rPr>
        <w:t>that</w:t>
      </w:r>
      <w:r>
        <w:rPr>
          <w:spacing w:val="42"/>
        </w:rPr>
        <w:t xml:space="preserve"> </w:t>
      </w:r>
      <w:r>
        <w:t>the</w:t>
      </w:r>
      <w:r>
        <w:rPr>
          <w:spacing w:val="43"/>
        </w:rPr>
        <w:t xml:space="preserve"> </w:t>
      </w:r>
      <w:r>
        <w:rPr>
          <w:spacing w:val="-1"/>
        </w:rPr>
        <w:t>performance</w:t>
      </w:r>
      <w:r>
        <w:rPr>
          <w:spacing w:val="41"/>
        </w:rPr>
        <w:t xml:space="preserve"> </w:t>
      </w:r>
      <w:r>
        <w:rPr>
          <w:spacing w:val="-2"/>
        </w:rPr>
        <w:t>of</w:t>
      </w:r>
      <w:r>
        <w:rPr>
          <w:spacing w:val="46"/>
        </w:rPr>
        <w:t xml:space="preserve"> </w:t>
      </w:r>
      <w:r>
        <w:rPr>
          <w:spacing w:val="-1"/>
        </w:rPr>
        <w:t>those</w:t>
      </w:r>
      <w:r>
        <w:rPr>
          <w:spacing w:val="44"/>
        </w:rPr>
        <w:t xml:space="preserve"> </w:t>
      </w:r>
      <w:r>
        <w:rPr>
          <w:spacing w:val="-1"/>
        </w:rPr>
        <w:t>obligations</w:t>
      </w:r>
      <w:r>
        <w:rPr>
          <w:spacing w:val="44"/>
        </w:rPr>
        <w:t xml:space="preserve"> </w:t>
      </w:r>
      <w:r>
        <w:rPr>
          <w:spacing w:val="-1"/>
        </w:rPr>
        <w:t>is</w:t>
      </w:r>
      <w:r>
        <w:rPr>
          <w:spacing w:val="41"/>
        </w:rPr>
        <w:t xml:space="preserve"> </w:t>
      </w:r>
      <w:r>
        <w:rPr>
          <w:spacing w:val="-1"/>
        </w:rPr>
        <w:t>directly</w:t>
      </w:r>
      <w:r>
        <w:rPr>
          <w:spacing w:val="41"/>
        </w:rPr>
        <w:t xml:space="preserve"> </w:t>
      </w:r>
      <w:r>
        <w:rPr>
          <w:spacing w:val="-1"/>
        </w:rPr>
        <w:t>affected</w:t>
      </w:r>
      <w:r>
        <w:rPr>
          <w:spacing w:val="43"/>
        </w:rPr>
        <w:t xml:space="preserve"> </w:t>
      </w:r>
      <w:r>
        <w:rPr>
          <w:spacing w:val="-1"/>
        </w:rPr>
        <w:t>by</w:t>
      </w:r>
      <w:r>
        <w:rPr>
          <w:spacing w:val="42"/>
        </w:rPr>
        <w:t xml:space="preserve"> </w:t>
      </w:r>
      <w:r>
        <w:t>a</w:t>
      </w:r>
      <w:r>
        <w:rPr>
          <w:spacing w:val="29"/>
        </w:rPr>
        <w:t xml:space="preserve"> </w:t>
      </w:r>
      <w:r>
        <w:rPr>
          <w:spacing w:val="-1"/>
        </w:rPr>
        <w:t>Force</w:t>
      </w:r>
      <w:r>
        <w:rPr>
          <w:spacing w:val="14"/>
        </w:rPr>
        <w:t xml:space="preserve"> </w:t>
      </w:r>
      <w:r>
        <w:rPr>
          <w:spacing w:val="-1"/>
        </w:rPr>
        <w:t>Majeure</w:t>
      </w:r>
      <w:r>
        <w:rPr>
          <w:spacing w:val="14"/>
        </w:rPr>
        <w:t xml:space="preserve"> </w:t>
      </w:r>
      <w:r>
        <w:rPr>
          <w:spacing w:val="-1"/>
        </w:rPr>
        <w:t>Event.</w:t>
      </w:r>
      <w:r>
        <w:rPr>
          <w:spacing w:val="17"/>
        </w:rPr>
        <w:t xml:space="preserve"> </w:t>
      </w:r>
      <w:r>
        <w:rPr>
          <w:spacing w:val="-1"/>
        </w:rPr>
        <w:t>Any</w:t>
      </w:r>
      <w:r>
        <w:rPr>
          <w:spacing w:val="11"/>
        </w:rPr>
        <w:t xml:space="preserve"> </w:t>
      </w:r>
      <w:r>
        <w:rPr>
          <w:spacing w:val="-1"/>
        </w:rPr>
        <w:t>failure</w:t>
      </w:r>
      <w:r>
        <w:rPr>
          <w:spacing w:val="13"/>
        </w:rPr>
        <w:t xml:space="preserve"> </w:t>
      </w:r>
      <w:r>
        <w:rPr>
          <w:spacing w:val="-1"/>
        </w:rPr>
        <w:t>or</w:t>
      </w:r>
      <w:r>
        <w:rPr>
          <w:spacing w:val="15"/>
        </w:rPr>
        <w:t xml:space="preserve"> </w:t>
      </w:r>
      <w:r>
        <w:rPr>
          <w:spacing w:val="-1"/>
        </w:rPr>
        <w:t>delay</w:t>
      </w:r>
      <w:r>
        <w:rPr>
          <w:spacing w:val="11"/>
        </w:rPr>
        <w:t xml:space="preserve"> </w:t>
      </w:r>
      <w:r>
        <w:rPr>
          <w:spacing w:val="1"/>
        </w:rPr>
        <w:t>by</w:t>
      </w:r>
      <w:r>
        <w:rPr>
          <w:spacing w:val="11"/>
        </w:rPr>
        <w:t xml:space="preserve"> </w:t>
      </w:r>
      <w:r>
        <w:t>the</w:t>
      </w:r>
      <w:r>
        <w:rPr>
          <w:spacing w:val="14"/>
        </w:rPr>
        <w:t xml:space="preserve"> </w:t>
      </w:r>
      <w:r>
        <w:rPr>
          <w:spacing w:val="-1"/>
        </w:rPr>
        <w:t>Supplier</w:t>
      </w:r>
      <w:r>
        <w:rPr>
          <w:spacing w:val="15"/>
        </w:rPr>
        <w:t xml:space="preserve"> </w:t>
      </w:r>
      <w:r>
        <w:rPr>
          <w:spacing w:val="-1"/>
        </w:rPr>
        <w:t>in</w:t>
      </w:r>
      <w:r>
        <w:rPr>
          <w:spacing w:val="16"/>
        </w:rPr>
        <w:t xml:space="preserve"> </w:t>
      </w:r>
      <w:r>
        <w:rPr>
          <w:spacing w:val="-1"/>
        </w:rPr>
        <w:t>performing</w:t>
      </w:r>
      <w:r>
        <w:rPr>
          <w:spacing w:val="16"/>
        </w:rPr>
        <w:t xml:space="preserve"> </w:t>
      </w:r>
      <w:r>
        <w:rPr>
          <w:spacing w:val="-2"/>
        </w:rPr>
        <w:t>its</w:t>
      </w:r>
      <w:r>
        <w:rPr>
          <w:spacing w:val="41"/>
        </w:rPr>
        <w:t xml:space="preserve"> </w:t>
      </w:r>
      <w:r>
        <w:rPr>
          <w:spacing w:val="-1"/>
        </w:rPr>
        <w:t>obligations</w:t>
      </w:r>
      <w:r>
        <w:rPr>
          <w:spacing w:val="15"/>
        </w:rPr>
        <w:t xml:space="preserve"> </w:t>
      </w:r>
      <w:r>
        <w:rPr>
          <w:spacing w:val="-1"/>
        </w:rPr>
        <w:t>under</w:t>
      </w:r>
      <w:r>
        <w:rPr>
          <w:spacing w:val="16"/>
        </w:rPr>
        <w:t xml:space="preserve"> </w:t>
      </w:r>
      <w:r>
        <w:rPr>
          <w:spacing w:val="-1"/>
        </w:rPr>
        <w:t>this</w:t>
      </w:r>
      <w:r>
        <w:rPr>
          <w:spacing w:val="15"/>
        </w:rPr>
        <w:t xml:space="preserve"> </w:t>
      </w:r>
      <w:r>
        <w:rPr>
          <w:spacing w:val="-2"/>
        </w:rPr>
        <w:t>Call</w:t>
      </w:r>
      <w:r>
        <w:rPr>
          <w:spacing w:val="14"/>
        </w:rPr>
        <w:t xml:space="preserve"> </w:t>
      </w:r>
      <w:r>
        <w:t>Off</w:t>
      </w:r>
      <w:r>
        <w:rPr>
          <w:spacing w:val="19"/>
        </w:rPr>
        <w:t xml:space="preserve"> </w:t>
      </w:r>
      <w:r>
        <w:rPr>
          <w:spacing w:val="-2"/>
        </w:rPr>
        <w:t>Contract</w:t>
      </w:r>
      <w:r>
        <w:rPr>
          <w:spacing w:val="16"/>
        </w:rPr>
        <w:t xml:space="preserve"> </w:t>
      </w:r>
      <w:r>
        <w:rPr>
          <w:spacing w:val="-2"/>
        </w:rPr>
        <w:t>which</w:t>
      </w:r>
      <w:r>
        <w:rPr>
          <w:spacing w:val="18"/>
        </w:rPr>
        <w:t xml:space="preserve"> </w:t>
      </w:r>
      <w:r>
        <w:rPr>
          <w:spacing w:val="-1"/>
        </w:rPr>
        <w:t>results</w:t>
      </w:r>
      <w:r>
        <w:rPr>
          <w:spacing w:val="13"/>
        </w:rPr>
        <w:t xml:space="preserve"> </w:t>
      </w:r>
      <w:r>
        <w:t>from</w:t>
      </w:r>
      <w:r>
        <w:rPr>
          <w:spacing w:val="16"/>
        </w:rPr>
        <w:t xml:space="preserve"> </w:t>
      </w:r>
      <w:r>
        <w:t>a</w:t>
      </w:r>
      <w:r>
        <w:rPr>
          <w:spacing w:val="15"/>
        </w:rPr>
        <w:t xml:space="preserve"> </w:t>
      </w:r>
      <w:r>
        <w:rPr>
          <w:spacing w:val="-1"/>
        </w:rPr>
        <w:t>failure</w:t>
      </w:r>
      <w:r>
        <w:rPr>
          <w:spacing w:val="15"/>
        </w:rPr>
        <w:t xml:space="preserve"> </w:t>
      </w:r>
      <w:r>
        <w:rPr>
          <w:spacing w:val="-1"/>
        </w:rPr>
        <w:t>or</w:t>
      </w:r>
      <w:r>
        <w:rPr>
          <w:spacing w:val="16"/>
        </w:rPr>
        <w:t xml:space="preserve"> </w:t>
      </w:r>
      <w:r>
        <w:rPr>
          <w:spacing w:val="-2"/>
        </w:rPr>
        <w:t>delay</w:t>
      </w:r>
      <w:r>
        <w:rPr>
          <w:spacing w:val="15"/>
        </w:rPr>
        <w:t xml:space="preserve"> </w:t>
      </w:r>
      <w:r>
        <w:rPr>
          <w:spacing w:val="-1"/>
        </w:rPr>
        <w:t>by</w:t>
      </w:r>
      <w:r>
        <w:rPr>
          <w:spacing w:val="15"/>
        </w:rPr>
        <w:t xml:space="preserve"> </w:t>
      </w:r>
      <w:r>
        <w:rPr>
          <w:spacing w:val="-1"/>
        </w:rPr>
        <w:t>an</w:t>
      </w:r>
      <w:r>
        <w:rPr>
          <w:spacing w:val="64"/>
        </w:rPr>
        <w:t xml:space="preserve"> </w:t>
      </w:r>
      <w:r>
        <w:rPr>
          <w:spacing w:val="-1"/>
        </w:rPr>
        <w:t>agent,</w:t>
      </w:r>
      <w:r>
        <w:rPr>
          <w:spacing w:val="40"/>
        </w:rPr>
        <w:t xml:space="preserve"> </w:t>
      </w:r>
      <w:r>
        <w:rPr>
          <w:spacing w:val="-1"/>
        </w:rPr>
        <w:t>Sub-Contractor</w:t>
      </w:r>
      <w:r>
        <w:rPr>
          <w:spacing w:val="40"/>
        </w:rPr>
        <w:t xml:space="preserve"> </w:t>
      </w:r>
      <w:r>
        <w:rPr>
          <w:spacing w:val="-2"/>
        </w:rPr>
        <w:t>or</w:t>
      </w:r>
      <w:r>
        <w:rPr>
          <w:spacing w:val="40"/>
        </w:rPr>
        <w:t xml:space="preserve"> </w:t>
      </w:r>
      <w:r>
        <w:rPr>
          <w:spacing w:val="-1"/>
        </w:rPr>
        <w:t>supplier</w:t>
      </w:r>
      <w:r>
        <w:rPr>
          <w:spacing w:val="40"/>
        </w:rPr>
        <w:t xml:space="preserve"> </w:t>
      </w:r>
      <w:r>
        <w:rPr>
          <w:spacing w:val="-1"/>
        </w:rPr>
        <w:t>shall</w:t>
      </w:r>
      <w:r>
        <w:rPr>
          <w:spacing w:val="38"/>
        </w:rPr>
        <w:t xml:space="preserve"> </w:t>
      </w:r>
      <w:r>
        <w:rPr>
          <w:spacing w:val="-1"/>
        </w:rPr>
        <w:t>be</w:t>
      </w:r>
      <w:r>
        <w:rPr>
          <w:spacing w:val="38"/>
        </w:rPr>
        <w:t xml:space="preserve"> </w:t>
      </w:r>
      <w:r>
        <w:rPr>
          <w:spacing w:val="-1"/>
        </w:rPr>
        <w:t>regarded</w:t>
      </w:r>
      <w:r>
        <w:rPr>
          <w:spacing w:val="39"/>
        </w:rPr>
        <w:t xml:space="preserve"> </w:t>
      </w:r>
      <w:r>
        <w:rPr>
          <w:spacing w:val="-1"/>
        </w:rPr>
        <w:t>as</w:t>
      </w:r>
      <w:r>
        <w:rPr>
          <w:spacing w:val="39"/>
        </w:rPr>
        <w:t xml:space="preserve"> </w:t>
      </w:r>
      <w:r>
        <w:rPr>
          <w:spacing w:val="-1"/>
        </w:rPr>
        <w:t>due</w:t>
      </w:r>
      <w:r>
        <w:rPr>
          <w:spacing w:val="38"/>
        </w:rPr>
        <w:t xml:space="preserve"> </w:t>
      </w:r>
      <w:r>
        <w:t>to</w:t>
      </w:r>
      <w:r>
        <w:rPr>
          <w:spacing w:val="38"/>
        </w:rPr>
        <w:t xml:space="preserve"> </w:t>
      </w:r>
      <w:r>
        <w:t>a</w:t>
      </w:r>
      <w:r>
        <w:rPr>
          <w:spacing w:val="38"/>
        </w:rPr>
        <w:t xml:space="preserve"> </w:t>
      </w:r>
      <w:r>
        <w:rPr>
          <w:spacing w:val="-1"/>
        </w:rPr>
        <w:t>Force</w:t>
      </w:r>
      <w:r>
        <w:rPr>
          <w:spacing w:val="36"/>
        </w:rPr>
        <w:t xml:space="preserve"> </w:t>
      </w:r>
      <w:r>
        <w:rPr>
          <w:spacing w:val="-1"/>
        </w:rPr>
        <w:t>Majeure</w:t>
      </w:r>
      <w:r>
        <w:rPr>
          <w:spacing w:val="43"/>
        </w:rPr>
        <w:t xml:space="preserve"> </w:t>
      </w:r>
      <w:r>
        <w:rPr>
          <w:spacing w:val="-2"/>
        </w:rPr>
        <w:t>Event</w:t>
      </w:r>
      <w:r>
        <w:rPr>
          <w:spacing w:val="35"/>
        </w:rPr>
        <w:t xml:space="preserve"> </w:t>
      </w:r>
      <w:r>
        <w:rPr>
          <w:spacing w:val="-1"/>
        </w:rPr>
        <w:t>only</w:t>
      </w:r>
      <w:r>
        <w:rPr>
          <w:spacing w:val="32"/>
        </w:rPr>
        <w:t xml:space="preserve"> </w:t>
      </w:r>
      <w:r>
        <w:rPr>
          <w:spacing w:val="-1"/>
        </w:rPr>
        <w:t>if</w:t>
      </w:r>
      <w:r>
        <w:rPr>
          <w:spacing w:val="38"/>
        </w:rPr>
        <w:t xml:space="preserve"> </w:t>
      </w:r>
      <w:r>
        <w:rPr>
          <w:spacing w:val="-1"/>
        </w:rPr>
        <w:t>that</w:t>
      </w:r>
      <w:r>
        <w:rPr>
          <w:spacing w:val="35"/>
        </w:rPr>
        <w:t xml:space="preserve"> </w:t>
      </w:r>
      <w:r>
        <w:rPr>
          <w:spacing w:val="-1"/>
        </w:rPr>
        <w:t>agent,</w:t>
      </w:r>
      <w:r>
        <w:rPr>
          <w:spacing w:val="33"/>
        </w:rPr>
        <w:t xml:space="preserve"> </w:t>
      </w:r>
      <w:r>
        <w:rPr>
          <w:spacing w:val="-1"/>
        </w:rPr>
        <w:t>Sub-Contractor</w:t>
      </w:r>
      <w:r>
        <w:rPr>
          <w:spacing w:val="35"/>
        </w:rPr>
        <w:t xml:space="preserve"> </w:t>
      </w:r>
      <w:r>
        <w:rPr>
          <w:spacing w:val="-2"/>
        </w:rPr>
        <w:t>or</w:t>
      </w:r>
      <w:r>
        <w:rPr>
          <w:spacing w:val="36"/>
        </w:rPr>
        <w:t xml:space="preserve"> </w:t>
      </w:r>
      <w:r>
        <w:rPr>
          <w:spacing w:val="-2"/>
        </w:rPr>
        <w:t>supplier</w:t>
      </w:r>
      <w:r>
        <w:rPr>
          <w:spacing w:val="35"/>
        </w:rPr>
        <w:t xml:space="preserve"> </w:t>
      </w:r>
      <w:r>
        <w:rPr>
          <w:spacing w:val="-1"/>
        </w:rPr>
        <w:t>is</w:t>
      </w:r>
      <w:r>
        <w:rPr>
          <w:spacing w:val="34"/>
        </w:rPr>
        <w:t xml:space="preserve"> </w:t>
      </w:r>
      <w:r>
        <w:rPr>
          <w:spacing w:val="-1"/>
        </w:rPr>
        <w:t>itself</w:t>
      </w:r>
      <w:r>
        <w:rPr>
          <w:spacing w:val="38"/>
        </w:rPr>
        <w:t xml:space="preserve"> </w:t>
      </w:r>
      <w:r>
        <w:rPr>
          <w:spacing w:val="-1"/>
        </w:rPr>
        <w:t>impeded</w:t>
      </w:r>
      <w:r>
        <w:rPr>
          <w:spacing w:val="31"/>
        </w:rPr>
        <w:t xml:space="preserve"> </w:t>
      </w:r>
      <w:r>
        <w:rPr>
          <w:spacing w:val="-1"/>
        </w:rPr>
        <w:t>by</w:t>
      </w:r>
      <w:r>
        <w:rPr>
          <w:spacing w:val="32"/>
        </w:rPr>
        <w:t xml:space="preserve"> </w:t>
      </w:r>
      <w:r>
        <w:t>a</w:t>
      </w:r>
      <w:r>
        <w:rPr>
          <w:spacing w:val="35"/>
        </w:rPr>
        <w:t xml:space="preserve"> </w:t>
      </w:r>
      <w:r>
        <w:rPr>
          <w:spacing w:val="-1"/>
        </w:rPr>
        <w:t>Force</w:t>
      </w:r>
      <w:r>
        <w:rPr>
          <w:spacing w:val="37"/>
        </w:rPr>
        <w:t xml:space="preserve"> </w:t>
      </w:r>
      <w:r>
        <w:rPr>
          <w:spacing w:val="-1"/>
        </w:rPr>
        <w:t>Majeure</w:t>
      </w:r>
      <w:r>
        <w:t xml:space="preserve"> </w:t>
      </w:r>
      <w:r>
        <w:rPr>
          <w:spacing w:val="-2"/>
        </w:rPr>
        <w:t>Event</w:t>
      </w:r>
      <w:r>
        <w:t xml:space="preserve"> from</w:t>
      </w:r>
      <w:r>
        <w:rPr>
          <w:spacing w:val="-1"/>
        </w:rPr>
        <w:t xml:space="preserve"> complying</w:t>
      </w:r>
      <w:r>
        <w:rPr>
          <w:spacing w:val="3"/>
        </w:rPr>
        <w:t xml:space="preserve"> </w:t>
      </w:r>
      <w:r>
        <w:rPr>
          <w:spacing w:val="-2"/>
        </w:rPr>
        <w:t>with</w:t>
      </w:r>
      <w:r>
        <w:t xml:space="preserve"> </w:t>
      </w:r>
      <w:r>
        <w:rPr>
          <w:spacing w:val="-1"/>
        </w:rPr>
        <w:t>an</w:t>
      </w:r>
      <w:r>
        <w:t xml:space="preserve"> </w:t>
      </w:r>
      <w:r>
        <w:rPr>
          <w:spacing w:val="-1"/>
        </w:rPr>
        <w:t>obligation</w:t>
      </w:r>
      <w:r>
        <w:rPr>
          <w:spacing w:val="-2"/>
        </w:rPr>
        <w:t xml:space="preserve"> </w:t>
      </w:r>
      <w:r>
        <w:t>to</w:t>
      </w:r>
      <w:r>
        <w:rPr>
          <w:spacing w:val="-2"/>
        </w:rPr>
        <w:t xml:space="preserve"> </w:t>
      </w:r>
      <w:r>
        <w:t xml:space="preserve">the </w:t>
      </w:r>
      <w:r>
        <w:rPr>
          <w:spacing w:val="-1"/>
        </w:rPr>
        <w:t>Supplier.</w:t>
      </w:r>
    </w:p>
    <w:p w:rsidR="008918FA" w:rsidRDefault="008918FA" w:rsidP="008918FA">
      <w:pPr>
        <w:pStyle w:val="BodyText"/>
        <w:numPr>
          <w:ilvl w:val="1"/>
          <w:numId w:val="66"/>
        </w:numPr>
        <w:tabs>
          <w:tab w:val="left" w:pos="1253"/>
        </w:tabs>
        <w:spacing w:before="121"/>
        <w:ind w:left="1048" w:right="113" w:hanging="360"/>
        <w:jc w:val="both"/>
      </w:pPr>
      <w:r>
        <w:t>The</w:t>
      </w:r>
      <w:r>
        <w:rPr>
          <w:spacing w:val="11"/>
        </w:rPr>
        <w:t xml:space="preserve"> </w:t>
      </w:r>
      <w:r>
        <w:rPr>
          <w:spacing w:val="-1"/>
        </w:rPr>
        <w:t>Affected</w:t>
      </w:r>
      <w:r>
        <w:rPr>
          <w:spacing w:val="11"/>
        </w:rPr>
        <w:t xml:space="preserve"> </w:t>
      </w:r>
      <w:r>
        <w:rPr>
          <w:spacing w:val="-1"/>
        </w:rPr>
        <w:t>Party</w:t>
      </w:r>
      <w:r>
        <w:rPr>
          <w:spacing w:val="9"/>
        </w:rPr>
        <w:t xml:space="preserve"> </w:t>
      </w:r>
      <w:r>
        <w:rPr>
          <w:spacing w:val="-1"/>
        </w:rPr>
        <w:t>shall</w:t>
      </w:r>
      <w:r>
        <w:rPr>
          <w:spacing w:val="11"/>
        </w:rPr>
        <w:t xml:space="preserve"> </w:t>
      </w:r>
      <w:r>
        <w:rPr>
          <w:spacing w:val="-1"/>
        </w:rPr>
        <w:t>as</w:t>
      </w:r>
      <w:r>
        <w:rPr>
          <w:spacing w:val="12"/>
        </w:rPr>
        <w:t xml:space="preserve"> </w:t>
      </w:r>
      <w:r>
        <w:rPr>
          <w:spacing w:val="-1"/>
        </w:rPr>
        <w:t>soon</w:t>
      </w:r>
      <w:r>
        <w:rPr>
          <w:spacing w:val="11"/>
        </w:rPr>
        <w:t xml:space="preserve"> </w:t>
      </w:r>
      <w:r>
        <w:rPr>
          <w:spacing w:val="-1"/>
        </w:rPr>
        <w:t>as</w:t>
      </w:r>
      <w:r>
        <w:rPr>
          <w:spacing w:val="12"/>
        </w:rPr>
        <w:t xml:space="preserve"> </w:t>
      </w:r>
      <w:r>
        <w:rPr>
          <w:spacing w:val="-1"/>
        </w:rPr>
        <w:t>reasonably</w:t>
      </w:r>
      <w:r>
        <w:rPr>
          <w:spacing w:val="10"/>
        </w:rPr>
        <w:t xml:space="preserve"> </w:t>
      </w:r>
      <w:r>
        <w:rPr>
          <w:spacing w:val="-1"/>
        </w:rPr>
        <w:t>practicable</w:t>
      </w:r>
      <w:r>
        <w:rPr>
          <w:spacing w:val="11"/>
        </w:rPr>
        <w:t xml:space="preserve"> </w:t>
      </w:r>
      <w:r>
        <w:rPr>
          <w:spacing w:val="-1"/>
        </w:rPr>
        <w:t>issue</w:t>
      </w:r>
      <w:r>
        <w:rPr>
          <w:spacing w:val="13"/>
        </w:rPr>
        <w:t xml:space="preserve"> </w:t>
      </w:r>
      <w:r>
        <w:t>a</w:t>
      </w:r>
      <w:r>
        <w:rPr>
          <w:spacing w:val="11"/>
        </w:rPr>
        <w:t xml:space="preserve"> </w:t>
      </w:r>
      <w:r>
        <w:rPr>
          <w:spacing w:val="-1"/>
        </w:rPr>
        <w:t>Force</w:t>
      </w:r>
      <w:r>
        <w:rPr>
          <w:spacing w:val="38"/>
        </w:rPr>
        <w:t xml:space="preserve"> </w:t>
      </w:r>
      <w:r>
        <w:rPr>
          <w:spacing w:val="-1"/>
        </w:rPr>
        <w:t>Majeure</w:t>
      </w:r>
      <w:r>
        <w:t xml:space="preserve"> </w:t>
      </w:r>
      <w:r>
        <w:rPr>
          <w:spacing w:val="-1"/>
        </w:rPr>
        <w:t>Notice,</w:t>
      </w:r>
      <w:r>
        <w:rPr>
          <w:spacing w:val="2"/>
        </w:rPr>
        <w:t xml:space="preserve"> </w:t>
      </w:r>
      <w:r>
        <w:rPr>
          <w:spacing w:val="-1"/>
        </w:rPr>
        <w:t>which</w:t>
      </w:r>
      <w:r>
        <w:rPr>
          <w:spacing w:val="1"/>
        </w:rPr>
        <w:t xml:space="preserve"> </w:t>
      </w:r>
      <w:r>
        <w:rPr>
          <w:spacing w:val="-1"/>
        </w:rPr>
        <w:t>shall</w:t>
      </w:r>
      <w:r>
        <w:t xml:space="preserve"> </w:t>
      </w:r>
      <w:r>
        <w:rPr>
          <w:spacing w:val="-1"/>
        </w:rPr>
        <w:t>include</w:t>
      </w:r>
      <w:r>
        <w:t xml:space="preserve"> </w:t>
      </w:r>
      <w:r>
        <w:rPr>
          <w:spacing w:val="-1"/>
        </w:rPr>
        <w:t>details</w:t>
      </w:r>
      <w:r>
        <w:rPr>
          <w:spacing w:val="1"/>
        </w:rPr>
        <w:t xml:space="preserve"> </w:t>
      </w:r>
      <w:r>
        <w:rPr>
          <w:spacing w:val="-1"/>
        </w:rPr>
        <w:t>of</w:t>
      </w:r>
      <w:r>
        <w:rPr>
          <w:spacing w:val="4"/>
        </w:rPr>
        <w:t xml:space="preserve"> </w:t>
      </w:r>
      <w:r>
        <w:t>the</w:t>
      </w:r>
      <w:r>
        <w:rPr>
          <w:spacing w:val="-2"/>
        </w:rPr>
        <w:t xml:space="preserve"> </w:t>
      </w:r>
      <w:r>
        <w:rPr>
          <w:spacing w:val="-1"/>
        </w:rPr>
        <w:t>Force</w:t>
      </w:r>
      <w:r>
        <w:rPr>
          <w:spacing w:val="1"/>
        </w:rPr>
        <w:t xml:space="preserve"> </w:t>
      </w:r>
      <w:r>
        <w:rPr>
          <w:spacing w:val="-1"/>
        </w:rPr>
        <w:t>Majeure</w:t>
      </w:r>
      <w:r>
        <w:t xml:space="preserve"> </w:t>
      </w:r>
      <w:r>
        <w:rPr>
          <w:spacing w:val="-1"/>
        </w:rPr>
        <w:t>Event,</w:t>
      </w:r>
      <w:r>
        <w:rPr>
          <w:spacing w:val="2"/>
        </w:rPr>
        <w:t xml:space="preserve"> </w:t>
      </w:r>
      <w:r>
        <w:rPr>
          <w:spacing w:val="-1"/>
        </w:rPr>
        <w:t>its</w:t>
      </w:r>
      <w:r>
        <w:rPr>
          <w:spacing w:val="-2"/>
        </w:rPr>
        <w:t xml:space="preserve"> </w:t>
      </w:r>
      <w:r>
        <w:rPr>
          <w:spacing w:val="-1"/>
        </w:rPr>
        <w:t>effect</w:t>
      </w:r>
      <w:r>
        <w:rPr>
          <w:spacing w:val="2"/>
        </w:rPr>
        <w:t xml:space="preserve"> </w:t>
      </w:r>
      <w:r>
        <w:rPr>
          <w:spacing w:val="-1"/>
        </w:rPr>
        <w:t>on</w:t>
      </w:r>
      <w:r>
        <w:rPr>
          <w:spacing w:val="46"/>
        </w:rPr>
        <w:t xml:space="preserve"> </w:t>
      </w:r>
      <w:r>
        <w:t>the</w:t>
      </w:r>
      <w:r>
        <w:rPr>
          <w:spacing w:val="10"/>
        </w:rPr>
        <w:t xml:space="preserve"> </w:t>
      </w:r>
      <w:r>
        <w:rPr>
          <w:spacing w:val="-1"/>
        </w:rPr>
        <w:t>obligations</w:t>
      </w:r>
      <w:r>
        <w:rPr>
          <w:spacing w:val="10"/>
        </w:rPr>
        <w:t xml:space="preserve"> </w:t>
      </w:r>
      <w:r>
        <w:rPr>
          <w:spacing w:val="-2"/>
        </w:rPr>
        <w:t>of</w:t>
      </w:r>
      <w:r>
        <w:rPr>
          <w:spacing w:val="11"/>
        </w:rPr>
        <w:t xml:space="preserve"> </w:t>
      </w:r>
      <w:r>
        <w:t>the</w:t>
      </w:r>
      <w:r>
        <w:rPr>
          <w:spacing w:val="10"/>
        </w:rPr>
        <w:t xml:space="preserve"> </w:t>
      </w:r>
      <w:r>
        <w:rPr>
          <w:spacing w:val="-1"/>
        </w:rPr>
        <w:t>Affected</w:t>
      </w:r>
      <w:r>
        <w:rPr>
          <w:spacing w:val="10"/>
        </w:rPr>
        <w:t xml:space="preserve"> </w:t>
      </w:r>
      <w:r>
        <w:rPr>
          <w:spacing w:val="-1"/>
        </w:rPr>
        <w:t>Party</w:t>
      </w:r>
      <w:r>
        <w:rPr>
          <w:spacing w:val="8"/>
        </w:rPr>
        <w:t xml:space="preserve"> </w:t>
      </w:r>
      <w:r>
        <w:rPr>
          <w:spacing w:val="-1"/>
        </w:rPr>
        <w:t>and</w:t>
      </w:r>
      <w:r>
        <w:rPr>
          <w:spacing w:val="10"/>
        </w:rPr>
        <w:t xml:space="preserve"> </w:t>
      </w:r>
      <w:r>
        <w:rPr>
          <w:spacing w:val="-1"/>
        </w:rPr>
        <w:t>any</w:t>
      </w:r>
      <w:r>
        <w:rPr>
          <w:spacing w:val="8"/>
        </w:rPr>
        <w:t xml:space="preserve"> </w:t>
      </w:r>
      <w:r>
        <w:rPr>
          <w:spacing w:val="-1"/>
        </w:rPr>
        <w:t>action</w:t>
      </w:r>
      <w:r>
        <w:rPr>
          <w:spacing w:val="10"/>
        </w:rPr>
        <w:t xml:space="preserve"> </w:t>
      </w:r>
      <w:r>
        <w:t>the</w:t>
      </w:r>
      <w:r>
        <w:rPr>
          <w:spacing w:val="10"/>
        </w:rPr>
        <w:t xml:space="preserve"> </w:t>
      </w:r>
      <w:r>
        <w:rPr>
          <w:spacing w:val="-1"/>
        </w:rPr>
        <w:t>Affected</w:t>
      </w:r>
      <w:r>
        <w:rPr>
          <w:spacing w:val="10"/>
        </w:rPr>
        <w:t xml:space="preserve"> </w:t>
      </w:r>
      <w:r>
        <w:rPr>
          <w:spacing w:val="-1"/>
        </w:rPr>
        <w:t>Party</w:t>
      </w:r>
      <w:r>
        <w:rPr>
          <w:spacing w:val="8"/>
        </w:rPr>
        <w:t xml:space="preserve"> </w:t>
      </w:r>
      <w:r>
        <w:rPr>
          <w:spacing w:val="-1"/>
        </w:rPr>
        <w:t>proposes</w:t>
      </w:r>
      <w:r>
        <w:rPr>
          <w:spacing w:val="10"/>
        </w:rPr>
        <w:t xml:space="preserve"> </w:t>
      </w:r>
      <w:r>
        <w:rPr>
          <w:spacing w:val="-1"/>
        </w:rPr>
        <w:t>to</w:t>
      </w:r>
      <w:r>
        <w:rPr>
          <w:spacing w:val="33"/>
        </w:rPr>
        <w:t xml:space="preserve"> </w:t>
      </w:r>
      <w:r>
        <w:t>take</w:t>
      </w:r>
      <w:r>
        <w:rPr>
          <w:spacing w:val="-2"/>
        </w:rPr>
        <w:t xml:space="preserve"> </w:t>
      </w:r>
      <w:r>
        <w:t>to</w:t>
      </w:r>
      <w:r>
        <w:rPr>
          <w:spacing w:val="-2"/>
        </w:rPr>
        <w:t xml:space="preserve"> </w:t>
      </w:r>
      <w:r>
        <w:rPr>
          <w:spacing w:val="-1"/>
        </w:rPr>
        <w:t>mitigate</w:t>
      </w:r>
      <w:r>
        <w:rPr>
          <w:spacing w:val="-2"/>
        </w:rPr>
        <w:t xml:space="preserve"> </w:t>
      </w:r>
      <w:r>
        <w:rPr>
          <w:spacing w:val="-1"/>
        </w:rPr>
        <w:t>its</w:t>
      </w:r>
      <w:r>
        <w:rPr>
          <w:spacing w:val="-2"/>
        </w:rPr>
        <w:t xml:space="preserve"> </w:t>
      </w:r>
      <w:r>
        <w:rPr>
          <w:spacing w:val="-1"/>
        </w:rPr>
        <w:t>effect.</w:t>
      </w:r>
    </w:p>
    <w:p w:rsidR="008918FA" w:rsidRDefault="008918FA" w:rsidP="008918FA">
      <w:pPr>
        <w:pStyle w:val="BodyText"/>
        <w:numPr>
          <w:ilvl w:val="1"/>
          <w:numId w:val="66"/>
        </w:numPr>
        <w:tabs>
          <w:tab w:val="left" w:pos="1253"/>
        </w:tabs>
        <w:ind w:left="1048" w:right="114" w:hanging="360"/>
        <w:jc w:val="both"/>
      </w:pPr>
      <w:r>
        <w:rPr>
          <w:spacing w:val="-1"/>
        </w:rPr>
        <w:t>If</w:t>
      </w:r>
      <w:r>
        <w:rPr>
          <w:spacing w:val="26"/>
        </w:rPr>
        <w:t xml:space="preserve"> </w:t>
      </w:r>
      <w:r>
        <w:t>the</w:t>
      </w:r>
      <w:r>
        <w:rPr>
          <w:spacing w:val="22"/>
        </w:rPr>
        <w:t xml:space="preserve"> </w:t>
      </w:r>
      <w:r>
        <w:rPr>
          <w:spacing w:val="-2"/>
        </w:rPr>
        <w:t>Supplier</w:t>
      </w:r>
      <w:r>
        <w:rPr>
          <w:spacing w:val="23"/>
        </w:rPr>
        <w:t xml:space="preserve"> </w:t>
      </w:r>
      <w:r>
        <w:rPr>
          <w:spacing w:val="-1"/>
        </w:rPr>
        <w:t>is</w:t>
      </w:r>
      <w:r>
        <w:rPr>
          <w:spacing w:val="22"/>
        </w:rPr>
        <w:t xml:space="preserve"> </w:t>
      </w:r>
      <w:r>
        <w:t>the</w:t>
      </w:r>
      <w:r>
        <w:rPr>
          <w:spacing w:val="22"/>
        </w:rPr>
        <w:t xml:space="preserve"> </w:t>
      </w:r>
      <w:r>
        <w:rPr>
          <w:spacing w:val="-1"/>
        </w:rPr>
        <w:t>Affected</w:t>
      </w:r>
      <w:r>
        <w:rPr>
          <w:spacing w:val="22"/>
        </w:rPr>
        <w:t xml:space="preserve"> </w:t>
      </w:r>
      <w:r>
        <w:rPr>
          <w:spacing w:val="-1"/>
        </w:rPr>
        <w:t>Party,</w:t>
      </w:r>
      <w:r>
        <w:rPr>
          <w:spacing w:val="23"/>
        </w:rPr>
        <w:t xml:space="preserve"> </w:t>
      </w:r>
      <w:r>
        <w:rPr>
          <w:spacing w:val="-1"/>
        </w:rPr>
        <w:t>it</w:t>
      </w:r>
      <w:r>
        <w:rPr>
          <w:spacing w:val="23"/>
        </w:rPr>
        <w:t xml:space="preserve"> </w:t>
      </w:r>
      <w:r>
        <w:rPr>
          <w:spacing w:val="-1"/>
        </w:rPr>
        <w:t>shall</w:t>
      </w:r>
      <w:r>
        <w:rPr>
          <w:spacing w:val="21"/>
        </w:rPr>
        <w:t xml:space="preserve"> </w:t>
      </w:r>
      <w:r>
        <w:rPr>
          <w:spacing w:val="-1"/>
        </w:rPr>
        <w:t>not</w:t>
      </w:r>
      <w:r>
        <w:rPr>
          <w:spacing w:val="26"/>
        </w:rPr>
        <w:t xml:space="preserve"> </w:t>
      </w:r>
      <w:r>
        <w:rPr>
          <w:spacing w:val="-1"/>
        </w:rPr>
        <w:t>be</w:t>
      </w:r>
      <w:r>
        <w:rPr>
          <w:spacing w:val="22"/>
        </w:rPr>
        <w:t xml:space="preserve"> </w:t>
      </w:r>
      <w:r>
        <w:rPr>
          <w:spacing w:val="-1"/>
        </w:rPr>
        <w:t>entitled</w:t>
      </w:r>
      <w:r>
        <w:rPr>
          <w:spacing w:val="22"/>
        </w:rPr>
        <w:t xml:space="preserve"> </w:t>
      </w:r>
      <w:r>
        <w:t>to</w:t>
      </w:r>
      <w:r>
        <w:rPr>
          <w:spacing w:val="22"/>
        </w:rPr>
        <w:t xml:space="preserve"> </w:t>
      </w:r>
      <w:r>
        <w:rPr>
          <w:spacing w:val="-1"/>
        </w:rPr>
        <w:t>claim</w:t>
      </w:r>
      <w:r>
        <w:rPr>
          <w:spacing w:val="23"/>
        </w:rPr>
        <w:t xml:space="preserve"> </w:t>
      </w:r>
      <w:r>
        <w:rPr>
          <w:spacing w:val="-1"/>
        </w:rPr>
        <w:t>relief</w:t>
      </w:r>
      <w:r>
        <w:rPr>
          <w:spacing w:val="26"/>
        </w:rPr>
        <w:t xml:space="preserve"> </w:t>
      </w:r>
      <w:r>
        <w:rPr>
          <w:spacing w:val="-2"/>
        </w:rPr>
        <w:t>under</w:t>
      </w:r>
      <w:r>
        <w:rPr>
          <w:spacing w:val="61"/>
        </w:rPr>
        <w:t xml:space="preserve"> </w:t>
      </w:r>
      <w:r>
        <w:rPr>
          <w:spacing w:val="-1"/>
        </w:rPr>
        <w:t>this</w:t>
      </w:r>
      <w:r>
        <w:rPr>
          <w:spacing w:val="56"/>
        </w:rPr>
        <w:t xml:space="preserve"> </w:t>
      </w:r>
      <w:r>
        <w:rPr>
          <w:spacing w:val="-2"/>
        </w:rPr>
        <w:t>Clause</w:t>
      </w:r>
      <w:r>
        <w:rPr>
          <w:spacing w:val="2"/>
        </w:rPr>
        <w:t xml:space="preserve"> </w:t>
      </w:r>
      <w:hyperlink w:anchor="_bookmark225" w:history="1">
        <w:r>
          <w:rPr>
            <w:spacing w:val="-1"/>
          </w:rPr>
          <w:t>40</w:t>
        </w:r>
      </w:hyperlink>
      <w:r>
        <w:rPr>
          <w:spacing w:val="53"/>
        </w:rPr>
        <w:t xml:space="preserve"> </w:t>
      </w:r>
      <w:r>
        <w:t>to</w:t>
      </w:r>
      <w:r>
        <w:rPr>
          <w:spacing w:val="53"/>
        </w:rPr>
        <w:t xml:space="preserve"> </w:t>
      </w:r>
      <w:r>
        <w:t>the</w:t>
      </w:r>
      <w:r>
        <w:rPr>
          <w:spacing w:val="55"/>
        </w:rPr>
        <w:t xml:space="preserve"> </w:t>
      </w:r>
      <w:r>
        <w:rPr>
          <w:spacing w:val="-2"/>
        </w:rPr>
        <w:t>extent</w:t>
      </w:r>
      <w:r>
        <w:rPr>
          <w:spacing w:val="57"/>
        </w:rPr>
        <w:t xml:space="preserve"> </w:t>
      </w:r>
      <w:r>
        <w:rPr>
          <w:spacing w:val="-1"/>
        </w:rPr>
        <w:t>that</w:t>
      </w:r>
      <w:r>
        <w:rPr>
          <w:spacing w:val="57"/>
        </w:rPr>
        <w:t xml:space="preserve"> </w:t>
      </w:r>
      <w:r>
        <w:rPr>
          <w:spacing w:val="-2"/>
        </w:rPr>
        <w:t>consequences</w:t>
      </w:r>
      <w:r>
        <w:rPr>
          <w:spacing w:val="57"/>
        </w:rPr>
        <w:t xml:space="preserve"> </w:t>
      </w:r>
      <w:r>
        <w:rPr>
          <w:spacing w:val="-2"/>
        </w:rPr>
        <w:t>of</w:t>
      </w:r>
      <w:r>
        <w:rPr>
          <w:spacing w:val="57"/>
        </w:rPr>
        <w:t xml:space="preserve"> </w:t>
      </w:r>
      <w:r>
        <w:t>the</w:t>
      </w:r>
      <w:r>
        <w:rPr>
          <w:spacing w:val="53"/>
        </w:rPr>
        <w:t xml:space="preserve"> </w:t>
      </w:r>
      <w:r>
        <w:rPr>
          <w:spacing w:val="-2"/>
        </w:rPr>
        <w:t>relevant</w:t>
      </w:r>
      <w:r>
        <w:rPr>
          <w:spacing w:val="57"/>
        </w:rPr>
        <w:t xml:space="preserve"> </w:t>
      </w:r>
      <w:r>
        <w:rPr>
          <w:spacing w:val="-1"/>
        </w:rPr>
        <w:t>Force</w:t>
      </w:r>
      <w:r>
        <w:rPr>
          <w:spacing w:val="53"/>
        </w:rPr>
        <w:t xml:space="preserve"> </w:t>
      </w:r>
      <w:r>
        <w:rPr>
          <w:spacing w:val="-1"/>
        </w:rPr>
        <w:t>Majeure</w:t>
      </w:r>
      <w:r>
        <w:rPr>
          <w:spacing w:val="73"/>
        </w:rPr>
        <w:t xml:space="preserve"> </w:t>
      </w:r>
      <w:r>
        <w:rPr>
          <w:spacing w:val="-1"/>
        </w:rPr>
        <w:t>Event:</w:t>
      </w:r>
    </w:p>
    <w:p w:rsidR="008918FA" w:rsidRDefault="008918FA" w:rsidP="008918FA">
      <w:pPr>
        <w:pStyle w:val="BodyText"/>
        <w:numPr>
          <w:ilvl w:val="2"/>
          <w:numId w:val="66"/>
        </w:numPr>
        <w:tabs>
          <w:tab w:val="left" w:pos="2247"/>
        </w:tabs>
        <w:spacing w:before="121"/>
        <w:ind w:left="2246" w:right="117"/>
        <w:jc w:val="both"/>
      </w:pPr>
      <w:r>
        <w:rPr>
          <w:spacing w:val="-1"/>
        </w:rPr>
        <w:t>are</w:t>
      </w:r>
      <w:r>
        <w:rPr>
          <w:spacing w:val="27"/>
        </w:rPr>
        <w:t xml:space="preserve"> </w:t>
      </w:r>
      <w:r>
        <w:rPr>
          <w:spacing w:val="-1"/>
        </w:rPr>
        <w:t>capable</w:t>
      </w:r>
      <w:r>
        <w:rPr>
          <w:spacing w:val="27"/>
        </w:rPr>
        <w:t xml:space="preserve"> </w:t>
      </w:r>
      <w:r>
        <w:rPr>
          <w:spacing w:val="-1"/>
        </w:rPr>
        <w:t>of</w:t>
      </w:r>
      <w:r>
        <w:rPr>
          <w:spacing w:val="30"/>
        </w:rPr>
        <w:t xml:space="preserve"> </w:t>
      </w:r>
      <w:r>
        <w:rPr>
          <w:spacing w:val="-1"/>
        </w:rPr>
        <w:t>being</w:t>
      </w:r>
      <w:r>
        <w:rPr>
          <w:spacing w:val="27"/>
        </w:rPr>
        <w:t xml:space="preserve"> </w:t>
      </w:r>
      <w:r>
        <w:rPr>
          <w:spacing w:val="-1"/>
        </w:rPr>
        <w:t>mitigated</w:t>
      </w:r>
      <w:r>
        <w:rPr>
          <w:spacing w:val="27"/>
        </w:rPr>
        <w:t xml:space="preserve"> </w:t>
      </w:r>
      <w:r>
        <w:rPr>
          <w:spacing w:val="-1"/>
        </w:rPr>
        <w:t>by</w:t>
      </w:r>
      <w:r>
        <w:rPr>
          <w:spacing w:val="25"/>
        </w:rPr>
        <w:t xml:space="preserve"> </w:t>
      </w:r>
      <w:r>
        <w:t>any</w:t>
      </w:r>
      <w:r>
        <w:rPr>
          <w:spacing w:val="25"/>
        </w:rPr>
        <w:t xml:space="preserve"> </w:t>
      </w:r>
      <w:r>
        <w:rPr>
          <w:spacing w:val="-1"/>
        </w:rPr>
        <w:t>of</w:t>
      </w:r>
      <w:r>
        <w:rPr>
          <w:spacing w:val="30"/>
        </w:rPr>
        <w:t xml:space="preserve"> </w:t>
      </w:r>
      <w:r>
        <w:t>the</w:t>
      </w:r>
      <w:r>
        <w:rPr>
          <w:spacing w:val="27"/>
        </w:rPr>
        <w:t xml:space="preserve"> </w:t>
      </w:r>
      <w:r>
        <w:rPr>
          <w:spacing w:val="-2"/>
        </w:rPr>
        <w:t>provision</w:t>
      </w:r>
      <w:r>
        <w:rPr>
          <w:spacing w:val="29"/>
        </w:rPr>
        <w:t xml:space="preserve"> </w:t>
      </w:r>
      <w:r>
        <w:rPr>
          <w:spacing w:val="-1"/>
        </w:rPr>
        <w:t>of</w:t>
      </w:r>
      <w:r>
        <w:rPr>
          <w:spacing w:val="30"/>
        </w:rPr>
        <w:t xml:space="preserve"> </w:t>
      </w:r>
      <w:r>
        <w:rPr>
          <w:spacing w:val="-1"/>
        </w:rPr>
        <w:t>any</w:t>
      </w:r>
      <w:r>
        <w:rPr>
          <w:spacing w:val="25"/>
        </w:rPr>
        <w:t xml:space="preserve"> </w:t>
      </w:r>
      <w:r>
        <w:rPr>
          <w:spacing w:val="-1"/>
        </w:rPr>
        <w:t>Goods</w:t>
      </w:r>
      <w:r>
        <w:rPr>
          <w:spacing w:val="44"/>
        </w:rPr>
        <w:t xml:space="preserve"> </w:t>
      </w:r>
      <w:r>
        <w:rPr>
          <w:spacing w:val="-1"/>
        </w:rPr>
        <w:t>and/or</w:t>
      </w:r>
      <w:r>
        <w:rPr>
          <w:spacing w:val="35"/>
        </w:rPr>
        <w:t xml:space="preserve"> </w:t>
      </w:r>
      <w:r>
        <w:rPr>
          <w:spacing w:val="-1"/>
        </w:rPr>
        <w:t>Services,</w:t>
      </w:r>
      <w:r>
        <w:rPr>
          <w:spacing w:val="35"/>
        </w:rPr>
        <w:t xml:space="preserve"> </w:t>
      </w:r>
      <w:r>
        <w:rPr>
          <w:spacing w:val="-2"/>
        </w:rPr>
        <w:t>including</w:t>
      </w:r>
      <w:r>
        <w:rPr>
          <w:spacing w:val="37"/>
        </w:rPr>
        <w:t xml:space="preserve"> </w:t>
      </w:r>
      <w:r>
        <w:rPr>
          <w:spacing w:val="-1"/>
        </w:rPr>
        <w:t>any</w:t>
      </w:r>
      <w:r>
        <w:rPr>
          <w:spacing w:val="32"/>
        </w:rPr>
        <w:t xml:space="preserve"> </w:t>
      </w:r>
      <w:r>
        <w:rPr>
          <w:spacing w:val="-2"/>
        </w:rPr>
        <w:t>BCDR</w:t>
      </w:r>
      <w:r>
        <w:rPr>
          <w:spacing w:val="33"/>
        </w:rPr>
        <w:t xml:space="preserve"> </w:t>
      </w:r>
      <w:r>
        <w:rPr>
          <w:spacing w:val="-1"/>
        </w:rPr>
        <w:t>Services,</w:t>
      </w:r>
      <w:r>
        <w:rPr>
          <w:spacing w:val="36"/>
        </w:rPr>
        <w:t xml:space="preserve"> </w:t>
      </w:r>
      <w:r>
        <w:rPr>
          <w:spacing w:val="-1"/>
        </w:rPr>
        <w:t>but</w:t>
      </w:r>
      <w:r>
        <w:rPr>
          <w:spacing w:val="36"/>
        </w:rPr>
        <w:t xml:space="preserve"> </w:t>
      </w:r>
      <w:r>
        <w:t>the</w:t>
      </w:r>
      <w:r>
        <w:rPr>
          <w:spacing w:val="34"/>
        </w:rPr>
        <w:t xml:space="preserve"> </w:t>
      </w:r>
      <w:r>
        <w:rPr>
          <w:spacing w:val="-2"/>
        </w:rPr>
        <w:t>Supplier</w:t>
      </w:r>
      <w:r>
        <w:rPr>
          <w:spacing w:val="35"/>
        </w:rPr>
        <w:t xml:space="preserve"> </w:t>
      </w:r>
      <w:r>
        <w:rPr>
          <w:spacing w:val="-1"/>
        </w:rPr>
        <w:t>has</w:t>
      </w:r>
      <w:r>
        <w:rPr>
          <w:spacing w:val="54"/>
        </w:rPr>
        <w:t xml:space="preserve"> </w:t>
      </w:r>
      <w:r>
        <w:rPr>
          <w:spacing w:val="-1"/>
        </w:rPr>
        <w:t>failed</w:t>
      </w:r>
      <w:r>
        <w:t xml:space="preserve"> to </w:t>
      </w:r>
      <w:r>
        <w:rPr>
          <w:spacing w:val="-1"/>
        </w:rPr>
        <w:t>do</w:t>
      </w:r>
      <w:r>
        <w:rPr>
          <w:spacing w:val="-2"/>
        </w:rPr>
        <w:t xml:space="preserve"> so;</w:t>
      </w:r>
      <w:r>
        <w:rPr>
          <w:spacing w:val="2"/>
        </w:rPr>
        <w:t xml:space="preserve"> </w:t>
      </w:r>
      <w:r>
        <w:rPr>
          <w:spacing w:val="-1"/>
        </w:rPr>
        <w:t>and/or</w:t>
      </w:r>
    </w:p>
    <w:p w:rsidR="008918FA" w:rsidRDefault="008918FA" w:rsidP="008918FA">
      <w:pPr>
        <w:pStyle w:val="BodyText"/>
        <w:numPr>
          <w:ilvl w:val="2"/>
          <w:numId w:val="66"/>
        </w:numPr>
        <w:tabs>
          <w:tab w:val="left" w:pos="2247"/>
        </w:tabs>
        <w:spacing w:before="121"/>
        <w:ind w:left="2246" w:right="114"/>
        <w:jc w:val="both"/>
      </w:pPr>
      <w:r>
        <w:rPr>
          <w:spacing w:val="-1"/>
        </w:rPr>
        <w:t>should</w:t>
      </w:r>
      <w:r>
        <w:rPr>
          <w:spacing w:val="41"/>
        </w:rPr>
        <w:t xml:space="preserve"> </w:t>
      </w:r>
      <w:r>
        <w:rPr>
          <w:spacing w:val="-2"/>
        </w:rPr>
        <w:t>have</w:t>
      </w:r>
      <w:r>
        <w:rPr>
          <w:spacing w:val="43"/>
        </w:rPr>
        <w:t xml:space="preserve"> </w:t>
      </w:r>
      <w:r>
        <w:rPr>
          <w:spacing w:val="-1"/>
        </w:rPr>
        <w:t>been</w:t>
      </w:r>
      <w:r>
        <w:rPr>
          <w:spacing w:val="41"/>
        </w:rPr>
        <w:t xml:space="preserve"> </w:t>
      </w:r>
      <w:r>
        <w:rPr>
          <w:spacing w:val="-1"/>
        </w:rPr>
        <w:t>foreseen</w:t>
      </w:r>
      <w:r>
        <w:rPr>
          <w:spacing w:val="41"/>
        </w:rPr>
        <w:t xml:space="preserve"> </w:t>
      </w:r>
      <w:r>
        <w:rPr>
          <w:spacing w:val="-1"/>
        </w:rPr>
        <w:t>and</w:t>
      </w:r>
      <w:r>
        <w:rPr>
          <w:spacing w:val="41"/>
        </w:rPr>
        <w:t xml:space="preserve"> </w:t>
      </w:r>
      <w:r>
        <w:rPr>
          <w:spacing w:val="-1"/>
        </w:rPr>
        <w:t>prevented</w:t>
      </w:r>
      <w:r>
        <w:rPr>
          <w:spacing w:val="41"/>
        </w:rPr>
        <w:t xml:space="preserve"> </w:t>
      </w:r>
      <w:r>
        <w:rPr>
          <w:spacing w:val="-1"/>
        </w:rPr>
        <w:t>or</w:t>
      </w:r>
      <w:r>
        <w:rPr>
          <w:spacing w:val="43"/>
        </w:rPr>
        <w:t xml:space="preserve"> </w:t>
      </w:r>
      <w:r>
        <w:rPr>
          <w:spacing w:val="-2"/>
        </w:rPr>
        <w:t>avoided</w:t>
      </w:r>
      <w:r>
        <w:rPr>
          <w:spacing w:val="41"/>
        </w:rPr>
        <w:t xml:space="preserve"> </w:t>
      </w:r>
      <w:r>
        <w:rPr>
          <w:spacing w:val="1"/>
        </w:rPr>
        <w:t>by</w:t>
      </w:r>
      <w:r>
        <w:rPr>
          <w:spacing w:val="41"/>
        </w:rPr>
        <w:t xml:space="preserve"> </w:t>
      </w:r>
      <w:r>
        <w:t>a</w:t>
      </w:r>
      <w:r>
        <w:rPr>
          <w:spacing w:val="41"/>
        </w:rPr>
        <w:t xml:space="preserve"> </w:t>
      </w:r>
      <w:r>
        <w:rPr>
          <w:spacing w:val="-1"/>
        </w:rPr>
        <w:t>prudent</w:t>
      </w:r>
      <w:r>
        <w:rPr>
          <w:spacing w:val="38"/>
        </w:rPr>
        <w:t xml:space="preserve"> </w:t>
      </w:r>
      <w:r>
        <w:rPr>
          <w:spacing w:val="-2"/>
        </w:rPr>
        <w:t>provider</w:t>
      </w:r>
      <w:r>
        <w:rPr>
          <w:spacing w:val="2"/>
        </w:rPr>
        <w:t xml:space="preserve"> </w:t>
      </w:r>
      <w:r>
        <w:rPr>
          <w:spacing w:val="-2"/>
        </w:rPr>
        <w:t>of</w:t>
      </w:r>
      <w:r>
        <w:rPr>
          <w:spacing w:val="2"/>
        </w:rPr>
        <w:t xml:space="preserve"> </w:t>
      </w:r>
      <w:r>
        <w:rPr>
          <w:spacing w:val="-1"/>
        </w:rPr>
        <w:t>goods</w:t>
      </w:r>
      <w:r>
        <w:rPr>
          <w:spacing w:val="-2"/>
        </w:rPr>
        <w:t xml:space="preserve"> </w:t>
      </w:r>
      <w:r>
        <w:rPr>
          <w:spacing w:val="-1"/>
        </w:rPr>
        <w:t>and/or</w:t>
      </w:r>
      <w:r>
        <w:t xml:space="preserve"> </w:t>
      </w:r>
      <w:r>
        <w:rPr>
          <w:spacing w:val="-1"/>
        </w:rPr>
        <w:t>services</w:t>
      </w:r>
      <w:r>
        <w:rPr>
          <w:spacing w:val="1"/>
        </w:rPr>
        <w:t xml:space="preserve"> </w:t>
      </w:r>
      <w:r>
        <w:rPr>
          <w:spacing w:val="-1"/>
        </w:rPr>
        <w:t>similar</w:t>
      </w:r>
      <w:r>
        <w:rPr>
          <w:spacing w:val="2"/>
        </w:rPr>
        <w:t xml:space="preserve"> </w:t>
      </w:r>
      <w:r>
        <w:t>to</w:t>
      </w:r>
      <w:r>
        <w:rPr>
          <w:spacing w:val="-2"/>
        </w:rPr>
        <w:t xml:space="preserve"> </w:t>
      </w:r>
      <w:r>
        <w:t>the</w:t>
      </w:r>
      <w:r>
        <w:rPr>
          <w:spacing w:val="-4"/>
        </w:rPr>
        <w:t xml:space="preserve"> </w:t>
      </w:r>
      <w:r>
        <w:rPr>
          <w:spacing w:val="-1"/>
        </w:rPr>
        <w:t>Goods</w:t>
      </w:r>
      <w:r>
        <w:rPr>
          <w:spacing w:val="1"/>
        </w:rPr>
        <w:t xml:space="preserve"> </w:t>
      </w:r>
      <w:r>
        <w:rPr>
          <w:spacing w:val="-1"/>
        </w:rPr>
        <w:t>and/or</w:t>
      </w:r>
      <w:r>
        <w:rPr>
          <w:spacing w:val="2"/>
        </w:rPr>
        <w:t xml:space="preserve"> </w:t>
      </w:r>
      <w:r>
        <w:rPr>
          <w:spacing w:val="-2"/>
        </w:rPr>
        <w:t>Services,</w:t>
      </w:r>
      <w:r>
        <w:rPr>
          <w:spacing w:val="47"/>
        </w:rPr>
        <w:t xml:space="preserve"> </w:t>
      </w:r>
      <w:r>
        <w:rPr>
          <w:spacing w:val="-1"/>
        </w:rPr>
        <w:t>operating</w:t>
      </w:r>
      <w:r>
        <w:t xml:space="preserve"> to</w:t>
      </w:r>
      <w:r>
        <w:rPr>
          <w:spacing w:val="-2"/>
        </w:rPr>
        <w:t xml:space="preserve"> </w:t>
      </w:r>
      <w:r>
        <w:t>the</w:t>
      </w:r>
      <w:r>
        <w:rPr>
          <w:spacing w:val="-2"/>
        </w:rPr>
        <w:t xml:space="preserve"> </w:t>
      </w:r>
      <w:r>
        <w:rPr>
          <w:spacing w:val="-1"/>
        </w:rPr>
        <w:t>standards</w:t>
      </w:r>
      <w:r>
        <w:rPr>
          <w:spacing w:val="1"/>
        </w:rPr>
        <w:t xml:space="preserve"> </w:t>
      </w:r>
      <w:r>
        <w:rPr>
          <w:spacing w:val="-1"/>
        </w:rPr>
        <w:t>required</w:t>
      </w:r>
      <w:r>
        <w:rPr>
          <w:spacing w:val="-2"/>
        </w:rPr>
        <w:t xml:space="preserve"> </w:t>
      </w:r>
      <w:r>
        <w:rPr>
          <w:spacing w:val="-1"/>
        </w:rPr>
        <w:t>by</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1"/>
          <w:numId w:val="66"/>
        </w:numPr>
        <w:tabs>
          <w:tab w:val="left" w:pos="1254"/>
        </w:tabs>
        <w:ind w:left="1049" w:right="113" w:hanging="360"/>
        <w:jc w:val="both"/>
      </w:pPr>
      <w:r>
        <w:rPr>
          <w:spacing w:val="-1"/>
        </w:rPr>
        <w:t>Subject</w:t>
      </w:r>
      <w:r>
        <w:rPr>
          <w:spacing w:val="2"/>
        </w:rPr>
        <w:t xml:space="preserve"> </w:t>
      </w:r>
      <w:r>
        <w:t xml:space="preserve">to </w:t>
      </w:r>
      <w:r>
        <w:rPr>
          <w:spacing w:val="-2"/>
        </w:rPr>
        <w:t>Clause</w:t>
      </w:r>
      <w:r>
        <w:rPr>
          <w:spacing w:val="1"/>
        </w:rPr>
        <w:t xml:space="preserve"> </w:t>
      </w:r>
      <w:hyperlink w:anchor="_bookmark226" w:history="1">
        <w:r>
          <w:rPr>
            <w:spacing w:val="-1"/>
          </w:rPr>
          <w:t>40.5</w:t>
        </w:r>
      </w:hyperlink>
      <w:r>
        <w:rPr>
          <w:spacing w:val="-1"/>
        </w:rPr>
        <w:t>,</w:t>
      </w:r>
      <w:r>
        <w:t xml:space="preserve"> </w:t>
      </w:r>
      <w:r>
        <w:rPr>
          <w:spacing w:val="-1"/>
        </w:rPr>
        <w:t>as</w:t>
      </w:r>
      <w:r>
        <w:rPr>
          <w:spacing w:val="1"/>
        </w:rPr>
        <w:t xml:space="preserve"> </w:t>
      </w:r>
      <w:r>
        <w:rPr>
          <w:spacing w:val="-1"/>
        </w:rPr>
        <w:t>soon</w:t>
      </w:r>
      <w:r>
        <w:t xml:space="preserve"> </w:t>
      </w:r>
      <w:r>
        <w:rPr>
          <w:spacing w:val="-1"/>
        </w:rPr>
        <w:t>as</w:t>
      </w:r>
      <w:r>
        <w:rPr>
          <w:spacing w:val="1"/>
        </w:rPr>
        <w:t xml:space="preserve"> </w:t>
      </w:r>
      <w:r>
        <w:rPr>
          <w:spacing w:val="-1"/>
        </w:rPr>
        <w:t>practicable</w:t>
      </w:r>
      <w:r>
        <w:t xml:space="preserve"> after</w:t>
      </w:r>
      <w:r>
        <w:rPr>
          <w:spacing w:val="2"/>
        </w:rPr>
        <w:t xml:space="preserve"> </w:t>
      </w:r>
      <w:r>
        <w:t xml:space="preserve">the </w:t>
      </w:r>
      <w:r>
        <w:rPr>
          <w:spacing w:val="-1"/>
        </w:rPr>
        <w:t>Affected</w:t>
      </w:r>
      <w:r>
        <w:t xml:space="preserve"> </w:t>
      </w:r>
      <w:r>
        <w:rPr>
          <w:spacing w:val="-1"/>
        </w:rPr>
        <w:t>Party</w:t>
      </w:r>
      <w:r>
        <w:rPr>
          <w:spacing w:val="-2"/>
        </w:rPr>
        <w:t xml:space="preserve"> </w:t>
      </w:r>
      <w:r>
        <w:rPr>
          <w:spacing w:val="-1"/>
        </w:rPr>
        <w:t>issues</w:t>
      </w:r>
      <w:r>
        <w:rPr>
          <w:spacing w:val="1"/>
        </w:rPr>
        <w:t xml:space="preserve"> </w:t>
      </w:r>
      <w:r>
        <w:rPr>
          <w:spacing w:val="-1"/>
        </w:rPr>
        <w:t>the</w:t>
      </w:r>
      <w:r>
        <w:rPr>
          <w:spacing w:val="56"/>
        </w:rPr>
        <w:t xml:space="preserve"> </w:t>
      </w:r>
      <w:r>
        <w:rPr>
          <w:spacing w:val="-1"/>
        </w:rPr>
        <w:t>Force</w:t>
      </w:r>
      <w:r>
        <w:rPr>
          <w:spacing w:val="18"/>
        </w:rPr>
        <w:t xml:space="preserve"> </w:t>
      </w:r>
      <w:r>
        <w:rPr>
          <w:spacing w:val="-1"/>
        </w:rPr>
        <w:t>Majeure</w:t>
      </w:r>
      <w:r>
        <w:rPr>
          <w:spacing w:val="17"/>
        </w:rPr>
        <w:t xml:space="preserve"> </w:t>
      </w:r>
      <w:r>
        <w:rPr>
          <w:spacing w:val="-1"/>
        </w:rPr>
        <w:t>Notice,</w:t>
      </w:r>
      <w:r>
        <w:rPr>
          <w:spacing w:val="19"/>
        </w:rPr>
        <w:t xml:space="preserve"> </w:t>
      </w:r>
      <w:r>
        <w:rPr>
          <w:spacing w:val="-1"/>
        </w:rPr>
        <w:t>and</w:t>
      </w:r>
      <w:r>
        <w:rPr>
          <w:spacing w:val="17"/>
        </w:rPr>
        <w:t xml:space="preserve"> </w:t>
      </w:r>
      <w:r>
        <w:rPr>
          <w:spacing w:val="-1"/>
        </w:rPr>
        <w:t>at</w:t>
      </w:r>
      <w:r>
        <w:rPr>
          <w:spacing w:val="19"/>
        </w:rPr>
        <w:t xml:space="preserve"> </w:t>
      </w:r>
      <w:r>
        <w:rPr>
          <w:spacing w:val="-1"/>
        </w:rPr>
        <w:t>regular</w:t>
      </w:r>
      <w:r>
        <w:rPr>
          <w:spacing w:val="19"/>
        </w:rPr>
        <w:t xml:space="preserve"> </w:t>
      </w:r>
      <w:r>
        <w:rPr>
          <w:spacing w:val="-2"/>
        </w:rPr>
        <w:t>intervals</w:t>
      </w:r>
      <w:r>
        <w:rPr>
          <w:spacing w:val="18"/>
        </w:rPr>
        <w:t xml:space="preserve"> </w:t>
      </w:r>
      <w:r>
        <w:rPr>
          <w:spacing w:val="-1"/>
        </w:rPr>
        <w:t>thereafter,</w:t>
      </w:r>
      <w:r>
        <w:rPr>
          <w:spacing w:val="19"/>
        </w:rPr>
        <w:t xml:space="preserve"> </w:t>
      </w:r>
      <w:r>
        <w:t>the</w:t>
      </w:r>
      <w:r>
        <w:rPr>
          <w:spacing w:val="17"/>
        </w:rPr>
        <w:t xml:space="preserve"> </w:t>
      </w:r>
      <w:r>
        <w:rPr>
          <w:spacing w:val="-1"/>
        </w:rPr>
        <w:t>Parties</w:t>
      </w:r>
      <w:r>
        <w:rPr>
          <w:spacing w:val="18"/>
        </w:rPr>
        <w:t xml:space="preserve"> </w:t>
      </w:r>
      <w:r>
        <w:rPr>
          <w:spacing w:val="-1"/>
        </w:rPr>
        <w:t>shall</w:t>
      </w:r>
      <w:r>
        <w:rPr>
          <w:spacing w:val="17"/>
        </w:rPr>
        <w:t xml:space="preserve"> </w:t>
      </w:r>
      <w:r>
        <w:rPr>
          <w:spacing w:val="-1"/>
        </w:rPr>
        <w:t>consult</w:t>
      </w:r>
      <w:r>
        <w:rPr>
          <w:spacing w:val="59"/>
        </w:rPr>
        <w:t xml:space="preserve"> </w:t>
      </w:r>
      <w:r>
        <w:rPr>
          <w:spacing w:val="-1"/>
        </w:rPr>
        <w:t>in</w:t>
      </w:r>
      <w:r>
        <w:rPr>
          <w:spacing w:val="17"/>
        </w:rPr>
        <w:t xml:space="preserve"> </w:t>
      </w:r>
      <w:r>
        <w:t>good</w:t>
      </w:r>
      <w:r>
        <w:rPr>
          <w:spacing w:val="17"/>
        </w:rPr>
        <w:t xml:space="preserve"> </w:t>
      </w:r>
      <w:r>
        <w:t>faith</w:t>
      </w:r>
      <w:r>
        <w:rPr>
          <w:spacing w:val="17"/>
        </w:rPr>
        <w:t xml:space="preserve"> </w:t>
      </w:r>
      <w:r>
        <w:rPr>
          <w:spacing w:val="-1"/>
        </w:rPr>
        <w:t>and</w:t>
      </w:r>
      <w:r>
        <w:rPr>
          <w:spacing w:val="17"/>
        </w:rPr>
        <w:t xml:space="preserve"> </w:t>
      </w:r>
      <w:r>
        <w:rPr>
          <w:spacing w:val="-1"/>
        </w:rPr>
        <w:t>use</w:t>
      </w:r>
      <w:r>
        <w:rPr>
          <w:spacing w:val="18"/>
        </w:rPr>
        <w:t xml:space="preserve"> </w:t>
      </w:r>
      <w:r>
        <w:rPr>
          <w:spacing w:val="-1"/>
        </w:rPr>
        <w:t>reasonable</w:t>
      </w:r>
      <w:r>
        <w:rPr>
          <w:spacing w:val="17"/>
        </w:rPr>
        <w:t xml:space="preserve"> </w:t>
      </w:r>
      <w:r>
        <w:rPr>
          <w:spacing w:val="-1"/>
        </w:rPr>
        <w:t>endeavours</w:t>
      </w:r>
      <w:r>
        <w:rPr>
          <w:spacing w:val="18"/>
        </w:rPr>
        <w:t xml:space="preserve"> </w:t>
      </w:r>
      <w:r>
        <w:t>to</w:t>
      </w:r>
      <w:r>
        <w:rPr>
          <w:spacing w:val="20"/>
        </w:rPr>
        <w:t xml:space="preserve"> </w:t>
      </w:r>
      <w:r>
        <w:t>agree</w:t>
      </w:r>
      <w:r>
        <w:rPr>
          <w:spacing w:val="17"/>
        </w:rPr>
        <w:t xml:space="preserve"> </w:t>
      </w:r>
      <w:r>
        <w:rPr>
          <w:spacing w:val="-1"/>
        </w:rPr>
        <w:t>any</w:t>
      </w:r>
      <w:r>
        <w:rPr>
          <w:spacing w:val="15"/>
        </w:rPr>
        <w:t xml:space="preserve"> </w:t>
      </w:r>
      <w:r>
        <w:rPr>
          <w:spacing w:val="-1"/>
        </w:rPr>
        <w:t>steps</w:t>
      </w:r>
      <w:r>
        <w:rPr>
          <w:spacing w:val="18"/>
        </w:rPr>
        <w:t xml:space="preserve"> </w:t>
      </w:r>
      <w:r>
        <w:t>to</w:t>
      </w:r>
      <w:r>
        <w:rPr>
          <w:spacing w:val="17"/>
        </w:rPr>
        <w:t xml:space="preserve"> </w:t>
      </w:r>
      <w:r>
        <w:rPr>
          <w:spacing w:val="-1"/>
        </w:rPr>
        <w:t>be</w:t>
      </w:r>
      <w:r>
        <w:rPr>
          <w:spacing w:val="17"/>
        </w:rPr>
        <w:t xml:space="preserve"> </w:t>
      </w:r>
      <w:r>
        <w:t>taken</w:t>
      </w:r>
      <w:r>
        <w:rPr>
          <w:spacing w:val="17"/>
        </w:rPr>
        <w:t xml:space="preserve"> </w:t>
      </w:r>
      <w:r>
        <w:rPr>
          <w:spacing w:val="-1"/>
        </w:rPr>
        <w:t>and</w:t>
      </w:r>
      <w:r>
        <w:rPr>
          <w:spacing w:val="22"/>
        </w:rPr>
        <w:t xml:space="preserve"> </w:t>
      </w:r>
      <w:r>
        <w:rPr>
          <w:spacing w:val="-1"/>
        </w:rPr>
        <w:t>an</w:t>
      </w:r>
      <w:r>
        <w:rPr>
          <w:spacing w:val="3"/>
        </w:rPr>
        <w:t xml:space="preserve"> </w:t>
      </w:r>
      <w:r>
        <w:rPr>
          <w:spacing w:val="-1"/>
        </w:rPr>
        <w:t>appropriate</w:t>
      </w:r>
      <w:r>
        <w:rPr>
          <w:spacing w:val="3"/>
        </w:rPr>
        <w:t xml:space="preserve"> </w:t>
      </w:r>
      <w:r>
        <w:rPr>
          <w:spacing w:val="-1"/>
        </w:rPr>
        <w:t>timetable</w:t>
      </w:r>
      <w:r>
        <w:t xml:space="preserve"> </w:t>
      </w:r>
      <w:r>
        <w:rPr>
          <w:spacing w:val="-1"/>
        </w:rPr>
        <w:t>in</w:t>
      </w:r>
      <w:r>
        <w:rPr>
          <w:spacing w:val="5"/>
        </w:rPr>
        <w:t xml:space="preserve"> </w:t>
      </w:r>
      <w:r>
        <w:rPr>
          <w:spacing w:val="-2"/>
        </w:rPr>
        <w:t>which</w:t>
      </w:r>
      <w:r>
        <w:rPr>
          <w:spacing w:val="3"/>
        </w:rPr>
        <w:t xml:space="preserve"> </w:t>
      </w:r>
      <w:r>
        <w:rPr>
          <w:spacing w:val="-1"/>
        </w:rPr>
        <w:t>those</w:t>
      </w:r>
      <w:r>
        <w:rPr>
          <w:spacing w:val="3"/>
        </w:rPr>
        <w:t xml:space="preserve"> </w:t>
      </w:r>
      <w:r>
        <w:rPr>
          <w:spacing w:val="-1"/>
        </w:rPr>
        <w:t>steps</w:t>
      </w:r>
      <w:r>
        <w:rPr>
          <w:spacing w:val="3"/>
        </w:rPr>
        <w:t xml:space="preserve"> </w:t>
      </w:r>
      <w:r>
        <w:rPr>
          <w:spacing w:val="-1"/>
        </w:rPr>
        <w:t>should</w:t>
      </w:r>
      <w:r>
        <w:rPr>
          <w:spacing w:val="3"/>
        </w:rPr>
        <w:t xml:space="preserve"> </w:t>
      </w:r>
      <w:r>
        <w:rPr>
          <w:spacing w:val="-1"/>
        </w:rPr>
        <w:t>be</w:t>
      </w:r>
      <w:r>
        <w:rPr>
          <w:spacing w:val="3"/>
        </w:rPr>
        <w:t xml:space="preserve"> </w:t>
      </w:r>
      <w:r>
        <w:rPr>
          <w:spacing w:val="-1"/>
        </w:rPr>
        <w:t>taken,</w:t>
      </w:r>
      <w:r>
        <w:rPr>
          <w:spacing w:val="4"/>
        </w:rPr>
        <w:t xml:space="preserve"> </w:t>
      </w:r>
      <w:r>
        <w:t>to</w:t>
      </w:r>
      <w:r>
        <w:rPr>
          <w:spacing w:val="3"/>
        </w:rPr>
        <w:t xml:space="preserve"> </w:t>
      </w:r>
      <w:r>
        <w:rPr>
          <w:spacing w:val="-1"/>
        </w:rPr>
        <w:t>enable</w:t>
      </w:r>
      <w:r>
        <w:rPr>
          <w:spacing w:val="3"/>
        </w:rPr>
        <w:t xml:space="preserve"> </w:t>
      </w:r>
      <w:r>
        <w:rPr>
          <w:spacing w:val="-1"/>
        </w:rPr>
        <w:t>continued</w:t>
      </w:r>
      <w:r>
        <w:rPr>
          <w:spacing w:val="52"/>
        </w:rPr>
        <w:t xml:space="preserve"> </w:t>
      </w:r>
      <w:r>
        <w:rPr>
          <w:spacing w:val="-2"/>
        </w:rPr>
        <w:t>provision</w:t>
      </w:r>
      <w:r>
        <w:t xml:space="preserve"> </w:t>
      </w:r>
      <w:r>
        <w:rPr>
          <w:spacing w:val="-1"/>
        </w:rPr>
        <w:t>of</w:t>
      </w:r>
      <w:r>
        <w:rPr>
          <w:spacing w:val="2"/>
        </w:rPr>
        <w:t xml:space="preserve"> </w:t>
      </w:r>
      <w:r>
        <w:t>the</w:t>
      </w:r>
      <w:r>
        <w:rPr>
          <w:spacing w:val="-4"/>
        </w:rPr>
        <w:t xml:space="preserve"> </w:t>
      </w:r>
      <w:r>
        <w:rPr>
          <w:spacing w:val="-1"/>
        </w:rPr>
        <w:t>Goods</w:t>
      </w:r>
      <w:r>
        <w:rPr>
          <w:spacing w:val="1"/>
        </w:rPr>
        <w:t xml:space="preserve"> </w:t>
      </w:r>
      <w:r>
        <w:rPr>
          <w:spacing w:val="-1"/>
        </w:rPr>
        <w:t>and/or Services</w:t>
      </w:r>
      <w:r>
        <w:rPr>
          <w:spacing w:val="2"/>
        </w:rPr>
        <w:t xml:space="preserve"> </w:t>
      </w:r>
      <w:r>
        <w:rPr>
          <w:spacing w:val="-1"/>
        </w:rPr>
        <w:t>affected</w:t>
      </w:r>
      <w:r>
        <w:rPr>
          <w:spacing w:val="-2"/>
        </w:rPr>
        <w:t xml:space="preserve"> by </w:t>
      </w:r>
      <w:r>
        <w:t xml:space="preserve">the </w:t>
      </w:r>
      <w:r>
        <w:rPr>
          <w:spacing w:val="-1"/>
        </w:rPr>
        <w:t>Force</w:t>
      </w:r>
      <w:r>
        <w:rPr>
          <w:spacing w:val="-2"/>
        </w:rPr>
        <w:t xml:space="preserve"> </w:t>
      </w:r>
      <w:r>
        <w:rPr>
          <w:spacing w:val="-1"/>
        </w:rPr>
        <w:t>Majeure</w:t>
      </w:r>
      <w:r>
        <w:t xml:space="preserve"> </w:t>
      </w:r>
      <w:r>
        <w:rPr>
          <w:spacing w:val="-1"/>
        </w:rPr>
        <w:t>Event.</w:t>
      </w:r>
    </w:p>
    <w:p w:rsidR="008918FA" w:rsidRDefault="008918FA" w:rsidP="008918FA">
      <w:pPr>
        <w:pStyle w:val="BodyText"/>
        <w:numPr>
          <w:ilvl w:val="1"/>
          <w:numId w:val="66"/>
        </w:numPr>
        <w:tabs>
          <w:tab w:val="left" w:pos="1254"/>
        </w:tabs>
        <w:ind w:left="1049" w:right="111" w:hanging="360"/>
        <w:jc w:val="both"/>
      </w:pPr>
      <w:bookmarkStart w:id="268" w:name="_bookmark226"/>
      <w:bookmarkEnd w:id="268"/>
      <w:r>
        <w:t>The</w:t>
      </w:r>
      <w:r>
        <w:rPr>
          <w:spacing w:val="15"/>
        </w:rPr>
        <w:t xml:space="preserve"> </w:t>
      </w:r>
      <w:r>
        <w:rPr>
          <w:spacing w:val="-1"/>
        </w:rPr>
        <w:t>Parties</w:t>
      </w:r>
      <w:r>
        <w:rPr>
          <w:spacing w:val="15"/>
        </w:rPr>
        <w:t xml:space="preserve"> </w:t>
      </w:r>
      <w:r>
        <w:rPr>
          <w:spacing w:val="-1"/>
        </w:rPr>
        <w:t>shall</w:t>
      </w:r>
      <w:r>
        <w:rPr>
          <w:spacing w:val="14"/>
        </w:rPr>
        <w:t xml:space="preserve"> </w:t>
      </w:r>
      <w:r>
        <w:rPr>
          <w:spacing w:val="-1"/>
        </w:rPr>
        <w:t>at</w:t>
      </w:r>
      <w:r>
        <w:rPr>
          <w:spacing w:val="16"/>
        </w:rPr>
        <w:t xml:space="preserve"> </w:t>
      </w:r>
      <w:r>
        <w:rPr>
          <w:spacing w:val="-1"/>
        </w:rPr>
        <w:t>all</w:t>
      </w:r>
      <w:r>
        <w:rPr>
          <w:spacing w:val="14"/>
        </w:rPr>
        <w:t xml:space="preserve"> </w:t>
      </w:r>
      <w:r>
        <w:rPr>
          <w:spacing w:val="-1"/>
        </w:rPr>
        <w:t>times</w:t>
      </w:r>
      <w:r>
        <w:rPr>
          <w:spacing w:val="13"/>
        </w:rPr>
        <w:t xml:space="preserve"> </w:t>
      </w:r>
      <w:r>
        <w:rPr>
          <w:spacing w:val="-2"/>
        </w:rPr>
        <w:t>following</w:t>
      </w:r>
      <w:r>
        <w:rPr>
          <w:spacing w:val="17"/>
        </w:rPr>
        <w:t xml:space="preserve"> </w:t>
      </w:r>
      <w:r>
        <w:t>the</w:t>
      </w:r>
      <w:r>
        <w:rPr>
          <w:spacing w:val="15"/>
        </w:rPr>
        <w:t xml:space="preserve"> </w:t>
      </w:r>
      <w:r>
        <w:rPr>
          <w:spacing w:val="-1"/>
        </w:rPr>
        <w:t>occurrence</w:t>
      </w:r>
      <w:r>
        <w:rPr>
          <w:spacing w:val="15"/>
        </w:rPr>
        <w:t xml:space="preserve"> </w:t>
      </w:r>
      <w:r>
        <w:rPr>
          <w:spacing w:val="-2"/>
        </w:rPr>
        <w:t>of</w:t>
      </w:r>
      <w:r>
        <w:rPr>
          <w:spacing w:val="19"/>
        </w:rPr>
        <w:t xml:space="preserve"> </w:t>
      </w:r>
      <w:r>
        <w:t>a</w:t>
      </w:r>
      <w:r>
        <w:rPr>
          <w:spacing w:val="15"/>
        </w:rPr>
        <w:t xml:space="preserve"> </w:t>
      </w:r>
      <w:r>
        <w:rPr>
          <w:spacing w:val="-1"/>
        </w:rPr>
        <w:t>Force</w:t>
      </w:r>
      <w:r>
        <w:rPr>
          <w:spacing w:val="15"/>
        </w:rPr>
        <w:t xml:space="preserve"> </w:t>
      </w:r>
      <w:r>
        <w:rPr>
          <w:spacing w:val="-1"/>
        </w:rPr>
        <w:t>Majeure</w:t>
      </w:r>
      <w:r>
        <w:rPr>
          <w:spacing w:val="12"/>
        </w:rPr>
        <w:t xml:space="preserve"> </w:t>
      </w:r>
      <w:r>
        <w:rPr>
          <w:spacing w:val="-2"/>
        </w:rPr>
        <w:t>Event</w:t>
      </w:r>
      <w:r>
        <w:rPr>
          <w:spacing w:val="34"/>
        </w:rPr>
        <w:t xml:space="preserve"> </w:t>
      </w:r>
      <w:r>
        <w:rPr>
          <w:spacing w:val="-1"/>
        </w:rPr>
        <w:t>and</w:t>
      </w:r>
      <w:r>
        <w:rPr>
          <w:spacing w:val="20"/>
        </w:rPr>
        <w:t xml:space="preserve"> </w:t>
      </w:r>
      <w:r>
        <w:rPr>
          <w:spacing w:val="-1"/>
        </w:rPr>
        <w:t>during</w:t>
      </w:r>
      <w:r>
        <w:rPr>
          <w:spacing w:val="22"/>
        </w:rPr>
        <w:t xml:space="preserve"> </w:t>
      </w:r>
      <w:r>
        <w:rPr>
          <w:spacing w:val="-1"/>
        </w:rPr>
        <w:t>its</w:t>
      </w:r>
      <w:r>
        <w:rPr>
          <w:spacing w:val="20"/>
        </w:rPr>
        <w:t xml:space="preserve"> </w:t>
      </w:r>
      <w:r>
        <w:rPr>
          <w:spacing w:val="-1"/>
        </w:rPr>
        <w:t>subsistence</w:t>
      </w:r>
      <w:r>
        <w:rPr>
          <w:spacing w:val="20"/>
        </w:rPr>
        <w:t xml:space="preserve"> </w:t>
      </w:r>
      <w:r>
        <w:rPr>
          <w:spacing w:val="-1"/>
        </w:rPr>
        <w:t>use</w:t>
      </w:r>
      <w:r>
        <w:rPr>
          <w:spacing w:val="20"/>
        </w:rPr>
        <w:t xml:space="preserve"> </w:t>
      </w:r>
      <w:r>
        <w:rPr>
          <w:spacing w:val="-1"/>
        </w:rPr>
        <w:t>their</w:t>
      </w:r>
      <w:r>
        <w:rPr>
          <w:spacing w:val="21"/>
        </w:rPr>
        <w:t xml:space="preserve"> </w:t>
      </w:r>
      <w:r>
        <w:rPr>
          <w:spacing w:val="-1"/>
        </w:rPr>
        <w:t>respective</w:t>
      </w:r>
      <w:r>
        <w:rPr>
          <w:spacing w:val="21"/>
        </w:rPr>
        <w:t xml:space="preserve"> </w:t>
      </w:r>
      <w:r>
        <w:rPr>
          <w:spacing w:val="-1"/>
        </w:rPr>
        <w:t>reasonable</w:t>
      </w:r>
      <w:r>
        <w:rPr>
          <w:spacing w:val="19"/>
        </w:rPr>
        <w:t xml:space="preserve"> </w:t>
      </w:r>
      <w:r>
        <w:rPr>
          <w:spacing w:val="-1"/>
        </w:rPr>
        <w:t>endeavours</w:t>
      </w:r>
      <w:r>
        <w:rPr>
          <w:spacing w:val="20"/>
        </w:rPr>
        <w:t xml:space="preserve"> </w:t>
      </w:r>
      <w:r>
        <w:t>to</w:t>
      </w:r>
      <w:r>
        <w:rPr>
          <w:spacing w:val="20"/>
        </w:rPr>
        <w:t xml:space="preserve"> </w:t>
      </w:r>
      <w:r>
        <w:rPr>
          <w:spacing w:val="-2"/>
        </w:rPr>
        <w:t>prevent</w:t>
      </w:r>
      <w:r>
        <w:rPr>
          <w:spacing w:val="32"/>
        </w:rPr>
        <w:t xml:space="preserve"> </w:t>
      </w:r>
      <w:r>
        <w:rPr>
          <w:spacing w:val="-1"/>
        </w:rPr>
        <w:t>and</w:t>
      </w:r>
      <w:r>
        <w:rPr>
          <w:spacing w:val="41"/>
        </w:rPr>
        <w:t xml:space="preserve"> </w:t>
      </w:r>
      <w:r>
        <w:rPr>
          <w:spacing w:val="-1"/>
        </w:rPr>
        <w:t>mitigate</w:t>
      </w:r>
      <w:r>
        <w:rPr>
          <w:spacing w:val="38"/>
        </w:rPr>
        <w:t xml:space="preserve"> </w:t>
      </w:r>
      <w:r>
        <w:t>the</w:t>
      </w:r>
      <w:r>
        <w:rPr>
          <w:spacing w:val="41"/>
        </w:rPr>
        <w:t xml:space="preserve"> </w:t>
      </w:r>
      <w:r>
        <w:rPr>
          <w:spacing w:val="-1"/>
        </w:rPr>
        <w:t>effects</w:t>
      </w:r>
      <w:r>
        <w:rPr>
          <w:spacing w:val="39"/>
        </w:rPr>
        <w:t xml:space="preserve"> </w:t>
      </w:r>
      <w:r>
        <w:rPr>
          <w:spacing w:val="-2"/>
        </w:rPr>
        <w:t>of</w:t>
      </w:r>
      <w:r>
        <w:rPr>
          <w:spacing w:val="45"/>
        </w:rPr>
        <w:t xml:space="preserve"> </w:t>
      </w:r>
      <w:r>
        <w:rPr>
          <w:spacing w:val="-1"/>
        </w:rPr>
        <w:t>the</w:t>
      </w:r>
      <w:r>
        <w:rPr>
          <w:spacing w:val="41"/>
        </w:rPr>
        <w:t xml:space="preserve"> </w:t>
      </w:r>
      <w:r>
        <w:rPr>
          <w:spacing w:val="-1"/>
        </w:rPr>
        <w:t>Force</w:t>
      </w:r>
      <w:r>
        <w:rPr>
          <w:spacing w:val="40"/>
        </w:rPr>
        <w:t xml:space="preserve"> </w:t>
      </w:r>
      <w:r>
        <w:rPr>
          <w:spacing w:val="-1"/>
        </w:rPr>
        <w:t>Majeure</w:t>
      </w:r>
      <w:r>
        <w:rPr>
          <w:spacing w:val="38"/>
        </w:rPr>
        <w:t xml:space="preserve"> </w:t>
      </w:r>
      <w:r>
        <w:rPr>
          <w:spacing w:val="-1"/>
        </w:rPr>
        <w:t>Event.</w:t>
      </w:r>
      <w:r>
        <w:rPr>
          <w:spacing w:val="38"/>
        </w:rPr>
        <w:t xml:space="preserve"> </w:t>
      </w:r>
      <w:r>
        <w:t>Where</w:t>
      </w:r>
      <w:r>
        <w:rPr>
          <w:spacing w:val="38"/>
        </w:rPr>
        <w:t xml:space="preserve"> </w:t>
      </w:r>
      <w:r>
        <w:t>the</w:t>
      </w:r>
      <w:r>
        <w:rPr>
          <w:spacing w:val="41"/>
        </w:rPr>
        <w:t xml:space="preserve"> </w:t>
      </w:r>
      <w:r>
        <w:rPr>
          <w:spacing w:val="-2"/>
        </w:rPr>
        <w:t>Supplier</w:t>
      </w:r>
      <w:r>
        <w:rPr>
          <w:spacing w:val="42"/>
        </w:rPr>
        <w:t xml:space="preserve"> </w:t>
      </w:r>
      <w:r>
        <w:rPr>
          <w:spacing w:val="-1"/>
        </w:rPr>
        <w:t>is</w:t>
      </w:r>
      <w:r>
        <w:rPr>
          <w:spacing w:val="42"/>
        </w:rPr>
        <w:t xml:space="preserve"> </w:t>
      </w:r>
      <w:r>
        <w:rPr>
          <w:spacing w:val="-1"/>
        </w:rPr>
        <w:t>the</w:t>
      </w:r>
      <w:r>
        <w:rPr>
          <w:spacing w:val="48"/>
        </w:rPr>
        <w:t xml:space="preserve"> </w:t>
      </w:r>
      <w:r>
        <w:rPr>
          <w:spacing w:val="-1"/>
        </w:rPr>
        <w:t>Affected</w:t>
      </w:r>
      <w:r>
        <w:rPr>
          <w:spacing w:val="17"/>
        </w:rPr>
        <w:t xml:space="preserve"> </w:t>
      </w:r>
      <w:r>
        <w:rPr>
          <w:spacing w:val="-1"/>
        </w:rPr>
        <w:t>Party,</w:t>
      </w:r>
      <w:r>
        <w:rPr>
          <w:spacing w:val="19"/>
        </w:rPr>
        <w:t xml:space="preserve"> </w:t>
      </w:r>
      <w:r>
        <w:rPr>
          <w:spacing w:val="-1"/>
        </w:rPr>
        <w:t>it</w:t>
      </w:r>
      <w:r>
        <w:rPr>
          <w:spacing w:val="16"/>
        </w:rPr>
        <w:t xml:space="preserve"> </w:t>
      </w:r>
      <w:r>
        <w:rPr>
          <w:spacing w:val="-1"/>
        </w:rPr>
        <w:t>shall</w:t>
      </w:r>
      <w:r>
        <w:rPr>
          <w:spacing w:val="17"/>
        </w:rPr>
        <w:t xml:space="preserve"> </w:t>
      </w:r>
      <w:r>
        <w:t>take</w:t>
      </w:r>
      <w:r>
        <w:rPr>
          <w:spacing w:val="15"/>
        </w:rPr>
        <w:t xml:space="preserve"> </w:t>
      </w:r>
      <w:r>
        <w:rPr>
          <w:spacing w:val="-1"/>
        </w:rPr>
        <w:t>all</w:t>
      </w:r>
      <w:r>
        <w:rPr>
          <w:spacing w:val="17"/>
        </w:rPr>
        <w:t xml:space="preserve"> </w:t>
      </w:r>
      <w:r>
        <w:rPr>
          <w:spacing w:val="-1"/>
        </w:rPr>
        <w:t>steps</w:t>
      </w:r>
      <w:r>
        <w:rPr>
          <w:spacing w:val="15"/>
        </w:rPr>
        <w:t xml:space="preserve"> </w:t>
      </w:r>
      <w:r>
        <w:rPr>
          <w:spacing w:val="-1"/>
        </w:rPr>
        <w:t>in</w:t>
      </w:r>
      <w:r>
        <w:rPr>
          <w:spacing w:val="17"/>
        </w:rPr>
        <w:t xml:space="preserve"> </w:t>
      </w:r>
      <w:r>
        <w:rPr>
          <w:spacing w:val="-1"/>
        </w:rPr>
        <w:t>accordance</w:t>
      </w:r>
      <w:r>
        <w:rPr>
          <w:spacing w:val="18"/>
        </w:rPr>
        <w:t xml:space="preserve"> </w:t>
      </w:r>
      <w:r>
        <w:rPr>
          <w:spacing w:val="-2"/>
        </w:rPr>
        <w:t>with</w:t>
      </w:r>
      <w:r>
        <w:rPr>
          <w:spacing w:val="17"/>
        </w:rPr>
        <w:t xml:space="preserve"> </w:t>
      </w:r>
      <w:r>
        <w:rPr>
          <w:spacing w:val="-1"/>
        </w:rPr>
        <w:t>Good</w:t>
      </w:r>
      <w:r>
        <w:rPr>
          <w:spacing w:val="15"/>
        </w:rPr>
        <w:t xml:space="preserve"> </w:t>
      </w:r>
      <w:r>
        <w:rPr>
          <w:spacing w:val="-1"/>
        </w:rPr>
        <w:t>Industry</w:t>
      </w:r>
      <w:r>
        <w:rPr>
          <w:spacing w:val="15"/>
        </w:rPr>
        <w:t xml:space="preserve"> </w:t>
      </w:r>
      <w:r>
        <w:rPr>
          <w:spacing w:val="-1"/>
        </w:rPr>
        <w:t>Practice</w:t>
      </w:r>
      <w:r>
        <w:rPr>
          <w:spacing w:val="15"/>
        </w:rPr>
        <w:t xml:space="preserve"> </w:t>
      </w:r>
      <w:r>
        <w:rPr>
          <w:spacing w:val="-1"/>
        </w:rPr>
        <w:t>to</w:t>
      </w:r>
      <w:r>
        <w:rPr>
          <w:spacing w:val="47"/>
        </w:rPr>
        <w:t xml:space="preserve"> </w:t>
      </w:r>
      <w:r>
        <w:rPr>
          <w:spacing w:val="-1"/>
        </w:rPr>
        <w:t>overcome</w:t>
      </w:r>
      <w:r>
        <w:t xml:space="preserve"> </w:t>
      </w:r>
      <w:r>
        <w:rPr>
          <w:spacing w:val="-2"/>
        </w:rPr>
        <w:t>or</w:t>
      </w:r>
      <w:r>
        <w:rPr>
          <w:spacing w:val="-1"/>
        </w:rPr>
        <w:t xml:space="preserve"> minimise</w:t>
      </w:r>
      <w:r>
        <w:rPr>
          <w:spacing w:val="1"/>
        </w:rPr>
        <w:t xml:space="preserve"> </w:t>
      </w:r>
      <w:r>
        <w:rPr>
          <w:spacing w:val="-1"/>
        </w:rPr>
        <w:t>the</w:t>
      </w:r>
      <w:r>
        <w:t xml:space="preserve"> </w:t>
      </w:r>
      <w:r>
        <w:rPr>
          <w:spacing w:val="-1"/>
        </w:rPr>
        <w:t>consequences</w:t>
      </w:r>
      <w:r>
        <w:rPr>
          <w:spacing w:val="-2"/>
        </w:rPr>
        <w:t xml:space="preserve"> of</w:t>
      </w:r>
      <w:r>
        <w:rPr>
          <w:spacing w:val="2"/>
        </w:rPr>
        <w:t xml:space="preserve"> </w:t>
      </w:r>
      <w:r>
        <w:t>the</w:t>
      </w:r>
      <w:r>
        <w:rPr>
          <w:spacing w:val="-2"/>
        </w:rPr>
        <w:t xml:space="preserve"> </w:t>
      </w:r>
      <w:r>
        <w:rPr>
          <w:spacing w:val="-1"/>
        </w:rPr>
        <w:t>Force</w:t>
      </w:r>
      <w:r>
        <w:rPr>
          <w:spacing w:val="1"/>
        </w:rPr>
        <w:t xml:space="preserve"> </w:t>
      </w:r>
      <w:r>
        <w:rPr>
          <w:spacing w:val="-1"/>
        </w:rPr>
        <w:t>Majeure</w:t>
      </w:r>
      <w:r>
        <w:t xml:space="preserve"> </w:t>
      </w:r>
      <w:r>
        <w:rPr>
          <w:spacing w:val="-1"/>
        </w:rPr>
        <w:t>Event.</w:t>
      </w:r>
    </w:p>
    <w:p w:rsidR="008918FA" w:rsidRDefault="008918FA" w:rsidP="008918FA">
      <w:pPr>
        <w:pStyle w:val="BodyText"/>
        <w:numPr>
          <w:ilvl w:val="1"/>
          <w:numId w:val="66"/>
        </w:numPr>
        <w:tabs>
          <w:tab w:val="left" w:pos="1254"/>
        </w:tabs>
        <w:ind w:left="1253" w:hanging="564"/>
      </w:pPr>
      <w:r>
        <w:rPr>
          <w:spacing w:val="-1"/>
        </w:rPr>
        <w:t>Where,</w:t>
      </w:r>
      <w:r>
        <w:rPr>
          <w:spacing w:val="2"/>
        </w:rPr>
        <w:t xml:space="preserve"> </w:t>
      </w:r>
      <w:r>
        <w:rPr>
          <w:spacing w:val="-1"/>
        </w:rPr>
        <w:t>as</w:t>
      </w:r>
      <w:r>
        <w:rPr>
          <w:spacing w:val="-2"/>
        </w:rPr>
        <w:t xml:space="preserve"> </w:t>
      </w:r>
      <w:r>
        <w:t>a</w:t>
      </w:r>
      <w:r>
        <w:rPr>
          <w:spacing w:val="-2"/>
        </w:rPr>
        <w:t xml:space="preserve"> </w:t>
      </w:r>
      <w:r>
        <w:rPr>
          <w:spacing w:val="-1"/>
        </w:rPr>
        <w:t>result</w:t>
      </w:r>
      <w:r>
        <w:t xml:space="preserve"> </w:t>
      </w:r>
      <w:r>
        <w:rPr>
          <w:spacing w:val="-2"/>
        </w:rPr>
        <w:t>of</w:t>
      </w:r>
      <w:r>
        <w:rPr>
          <w:spacing w:val="2"/>
        </w:rPr>
        <w:t xml:space="preserve"> </w:t>
      </w:r>
      <w:r>
        <w:t xml:space="preserve">a </w:t>
      </w:r>
      <w:r>
        <w:rPr>
          <w:spacing w:val="-1"/>
        </w:rPr>
        <w:t>Force</w:t>
      </w:r>
      <w:r>
        <w:rPr>
          <w:spacing w:val="1"/>
        </w:rPr>
        <w:t xml:space="preserve"> </w:t>
      </w:r>
      <w:r>
        <w:rPr>
          <w:spacing w:val="-1"/>
        </w:rPr>
        <w:t>Majeure</w:t>
      </w:r>
      <w:r>
        <w:rPr>
          <w:spacing w:val="-2"/>
        </w:rPr>
        <w:t xml:space="preserve"> </w:t>
      </w:r>
      <w:r>
        <w:rPr>
          <w:spacing w:val="-1"/>
        </w:rPr>
        <w:t>Event:</w:t>
      </w:r>
    </w:p>
    <w:p w:rsidR="008918FA" w:rsidRDefault="008918FA" w:rsidP="008918FA">
      <w:pPr>
        <w:pStyle w:val="BodyText"/>
        <w:numPr>
          <w:ilvl w:val="2"/>
          <w:numId w:val="66"/>
        </w:numPr>
        <w:tabs>
          <w:tab w:val="left" w:pos="2248"/>
        </w:tabs>
        <w:spacing w:before="121"/>
        <w:ind w:left="2247" w:right="111"/>
        <w:jc w:val="both"/>
      </w:pPr>
      <w:r>
        <w:rPr>
          <w:spacing w:val="-1"/>
        </w:rPr>
        <w:t>an</w:t>
      </w:r>
      <w:r>
        <w:rPr>
          <w:spacing w:val="3"/>
        </w:rPr>
        <w:t xml:space="preserve"> </w:t>
      </w:r>
      <w:r>
        <w:rPr>
          <w:spacing w:val="-1"/>
        </w:rPr>
        <w:t>Affected</w:t>
      </w:r>
      <w:r>
        <w:rPr>
          <w:spacing w:val="3"/>
        </w:rPr>
        <w:t xml:space="preserve"> </w:t>
      </w:r>
      <w:r>
        <w:rPr>
          <w:spacing w:val="-1"/>
        </w:rPr>
        <w:t>Party</w:t>
      </w:r>
      <w:r>
        <w:rPr>
          <w:spacing w:val="1"/>
        </w:rPr>
        <w:t xml:space="preserve"> </w:t>
      </w:r>
      <w:r>
        <w:rPr>
          <w:spacing w:val="-1"/>
        </w:rPr>
        <w:t>fails</w:t>
      </w:r>
      <w:r>
        <w:rPr>
          <w:spacing w:val="1"/>
        </w:rPr>
        <w:t xml:space="preserve"> </w:t>
      </w:r>
      <w:r>
        <w:t xml:space="preserve">to </w:t>
      </w:r>
      <w:r>
        <w:rPr>
          <w:spacing w:val="-1"/>
        </w:rPr>
        <w:t>perform</w:t>
      </w:r>
      <w:r>
        <w:rPr>
          <w:spacing w:val="4"/>
        </w:rPr>
        <w:t xml:space="preserve"> </w:t>
      </w:r>
      <w:r>
        <w:rPr>
          <w:spacing w:val="-2"/>
        </w:rPr>
        <w:t>its</w:t>
      </w:r>
      <w:r>
        <w:rPr>
          <w:spacing w:val="3"/>
        </w:rPr>
        <w:t xml:space="preserve"> </w:t>
      </w:r>
      <w:r>
        <w:rPr>
          <w:spacing w:val="-1"/>
        </w:rPr>
        <w:t>obligations</w:t>
      </w:r>
      <w:r>
        <w:rPr>
          <w:spacing w:val="3"/>
        </w:rPr>
        <w:t xml:space="preserve"> </w:t>
      </w:r>
      <w:r>
        <w:rPr>
          <w:spacing w:val="-1"/>
        </w:rPr>
        <w:t>in</w:t>
      </w:r>
      <w:r>
        <w:rPr>
          <w:spacing w:val="3"/>
        </w:rPr>
        <w:t xml:space="preserve"> </w:t>
      </w:r>
      <w:r>
        <w:rPr>
          <w:spacing w:val="-1"/>
        </w:rPr>
        <w:t>accordance</w:t>
      </w:r>
      <w:r>
        <w:rPr>
          <w:spacing w:val="3"/>
        </w:rPr>
        <w:t xml:space="preserve"> </w:t>
      </w:r>
      <w:r>
        <w:rPr>
          <w:spacing w:val="-2"/>
        </w:rPr>
        <w:t>with</w:t>
      </w:r>
      <w:r>
        <w:rPr>
          <w:spacing w:val="3"/>
        </w:rPr>
        <w:t xml:space="preserve"> </w:t>
      </w:r>
      <w:r>
        <w:rPr>
          <w:spacing w:val="-1"/>
        </w:rPr>
        <w:t>this</w:t>
      </w:r>
      <w:r>
        <w:rPr>
          <w:spacing w:val="53"/>
        </w:rPr>
        <w:t xml:space="preserve"> </w:t>
      </w:r>
      <w:r>
        <w:rPr>
          <w:spacing w:val="-2"/>
        </w:rPr>
        <w:t>Call</w:t>
      </w:r>
      <w:r>
        <w:rPr>
          <w:spacing w:val="36"/>
        </w:rPr>
        <w:t xml:space="preserve"> </w:t>
      </w:r>
      <w:r>
        <w:t>Off</w:t>
      </w:r>
      <w:r>
        <w:rPr>
          <w:spacing w:val="38"/>
        </w:rPr>
        <w:t xml:space="preserve"> </w:t>
      </w:r>
      <w:r>
        <w:rPr>
          <w:spacing w:val="-1"/>
        </w:rPr>
        <w:t>Contract,</w:t>
      </w:r>
      <w:r>
        <w:rPr>
          <w:spacing w:val="35"/>
        </w:rPr>
        <w:t xml:space="preserve"> </w:t>
      </w:r>
      <w:r>
        <w:rPr>
          <w:spacing w:val="-1"/>
        </w:rPr>
        <w:t>then</w:t>
      </w:r>
      <w:r>
        <w:rPr>
          <w:spacing w:val="34"/>
        </w:rPr>
        <w:t xml:space="preserve"> </w:t>
      </w:r>
      <w:r>
        <w:rPr>
          <w:spacing w:val="-1"/>
        </w:rPr>
        <w:t>during</w:t>
      </w:r>
      <w:r>
        <w:rPr>
          <w:spacing w:val="36"/>
        </w:rPr>
        <w:t xml:space="preserve"> </w:t>
      </w:r>
      <w:r>
        <w:t>the</w:t>
      </w:r>
      <w:r>
        <w:rPr>
          <w:spacing w:val="36"/>
        </w:rPr>
        <w:t xml:space="preserve"> </w:t>
      </w:r>
      <w:r>
        <w:rPr>
          <w:spacing w:val="-1"/>
        </w:rPr>
        <w:t>continuance</w:t>
      </w:r>
      <w:r>
        <w:rPr>
          <w:spacing w:val="35"/>
        </w:rPr>
        <w:t xml:space="preserve"> </w:t>
      </w:r>
      <w:r>
        <w:rPr>
          <w:spacing w:val="-2"/>
        </w:rPr>
        <w:t>of</w:t>
      </w:r>
      <w:r>
        <w:rPr>
          <w:spacing w:val="40"/>
        </w:rPr>
        <w:t xml:space="preserve"> </w:t>
      </w:r>
      <w:r>
        <w:t>the</w:t>
      </w:r>
      <w:r>
        <w:rPr>
          <w:spacing w:val="36"/>
        </w:rPr>
        <w:t xml:space="preserve"> </w:t>
      </w:r>
      <w:r>
        <w:rPr>
          <w:spacing w:val="-1"/>
        </w:rPr>
        <w:t>Force</w:t>
      </w:r>
      <w:r>
        <w:rPr>
          <w:spacing w:val="37"/>
        </w:rPr>
        <w:t xml:space="preserve"> </w:t>
      </w:r>
      <w:r>
        <w:rPr>
          <w:spacing w:val="-1"/>
        </w:rPr>
        <w:t>Majeure</w:t>
      </w:r>
      <w:r>
        <w:rPr>
          <w:spacing w:val="27"/>
        </w:rPr>
        <w:t xml:space="preserve"> </w:t>
      </w:r>
      <w:r>
        <w:rPr>
          <w:spacing w:val="-1"/>
        </w:rPr>
        <w:t>Event:</w:t>
      </w:r>
    </w:p>
    <w:p w:rsidR="008918FA" w:rsidRDefault="008918FA" w:rsidP="008918FA">
      <w:pPr>
        <w:pStyle w:val="BodyText"/>
        <w:numPr>
          <w:ilvl w:val="3"/>
          <w:numId w:val="66"/>
        </w:numPr>
        <w:tabs>
          <w:tab w:val="left" w:pos="2956"/>
        </w:tabs>
        <w:spacing w:before="121"/>
        <w:ind w:left="2954" w:right="109" w:hanging="707"/>
        <w:jc w:val="both"/>
      </w:pPr>
      <w:bookmarkStart w:id="269" w:name="_bookmark227"/>
      <w:bookmarkEnd w:id="269"/>
      <w:r>
        <w:t>the</w:t>
      </w:r>
      <w:r>
        <w:rPr>
          <w:spacing w:val="38"/>
        </w:rPr>
        <w:t xml:space="preserve"> </w:t>
      </w:r>
      <w:r>
        <w:rPr>
          <w:spacing w:val="-1"/>
        </w:rPr>
        <w:t>other</w:t>
      </w:r>
      <w:r>
        <w:rPr>
          <w:spacing w:val="40"/>
        </w:rPr>
        <w:t xml:space="preserve"> </w:t>
      </w:r>
      <w:r>
        <w:rPr>
          <w:spacing w:val="-1"/>
        </w:rPr>
        <w:t>Party</w:t>
      </w:r>
      <w:r>
        <w:rPr>
          <w:spacing w:val="36"/>
        </w:rPr>
        <w:t xml:space="preserve"> </w:t>
      </w:r>
      <w:r>
        <w:rPr>
          <w:spacing w:val="-1"/>
        </w:rPr>
        <w:t>shall</w:t>
      </w:r>
      <w:r>
        <w:rPr>
          <w:spacing w:val="38"/>
        </w:rPr>
        <w:t xml:space="preserve"> </w:t>
      </w:r>
      <w:r>
        <w:rPr>
          <w:spacing w:val="-1"/>
        </w:rPr>
        <w:t>not</w:t>
      </w:r>
      <w:r>
        <w:rPr>
          <w:spacing w:val="40"/>
        </w:rPr>
        <w:t xml:space="preserve"> </w:t>
      </w:r>
      <w:r>
        <w:rPr>
          <w:spacing w:val="-1"/>
        </w:rPr>
        <w:t>be</w:t>
      </w:r>
      <w:r>
        <w:rPr>
          <w:spacing w:val="39"/>
        </w:rPr>
        <w:t xml:space="preserve"> </w:t>
      </w:r>
      <w:r>
        <w:rPr>
          <w:spacing w:val="-1"/>
        </w:rPr>
        <w:t>entitled</w:t>
      </w:r>
      <w:r>
        <w:rPr>
          <w:spacing w:val="39"/>
        </w:rPr>
        <w:t xml:space="preserve"> </w:t>
      </w:r>
      <w:r>
        <w:t>to</w:t>
      </w:r>
      <w:r>
        <w:rPr>
          <w:spacing w:val="39"/>
        </w:rPr>
        <w:t xml:space="preserve"> </w:t>
      </w:r>
      <w:r>
        <w:rPr>
          <w:spacing w:val="-1"/>
        </w:rPr>
        <w:t>exercise</w:t>
      </w:r>
      <w:r>
        <w:rPr>
          <w:spacing w:val="36"/>
        </w:rPr>
        <w:t xml:space="preserve"> </w:t>
      </w:r>
      <w:r>
        <w:rPr>
          <w:spacing w:val="-1"/>
        </w:rPr>
        <w:t>any</w:t>
      </w:r>
      <w:r>
        <w:rPr>
          <w:spacing w:val="39"/>
        </w:rPr>
        <w:t xml:space="preserve"> </w:t>
      </w:r>
      <w:r>
        <w:t>rights</w:t>
      </w:r>
      <w:r>
        <w:rPr>
          <w:spacing w:val="36"/>
        </w:rPr>
        <w:t xml:space="preserve"> </w:t>
      </w:r>
      <w:r>
        <w:rPr>
          <w:spacing w:val="1"/>
        </w:rPr>
        <w:t>to</w:t>
      </w:r>
      <w:r>
        <w:rPr>
          <w:spacing w:val="31"/>
        </w:rPr>
        <w:t xml:space="preserve"> </w:t>
      </w:r>
      <w:r>
        <w:rPr>
          <w:spacing w:val="-1"/>
        </w:rPr>
        <w:t>terminate</w:t>
      </w:r>
      <w:r>
        <w:rPr>
          <w:spacing w:val="5"/>
        </w:rPr>
        <w:t xml:space="preserve"> </w:t>
      </w:r>
      <w:r>
        <w:rPr>
          <w:spacing w:val="-1"/>
        </w:rPr>
        <w:t>this</w:t>
      </w:r>
      <w:r>
        <w:rPr>
          <w:spacing w:val="6"/>
        </w:rPr>
        <w:t xml:space="preserve"> </w:t>
      </w:r>
      <w:r>
        <w:rPr>
          <w:spacing w:val="-2"/>
        </w:rPr>
        <w:t>Call</w:t>
      </w:r>
      <w:r>
        <w:rPr>
          <w:spacing w:val="4"/>
        </w:rPr>
        <w:t xml:space="preserve"> </w:t>
      </w:r>
      <w:r>
        <w:rPr>
          <w:spacing w:val="-1"/>
        </w:rPr>
        <w:t>Off</w:t>
      </w:r>
      <w:r>
        <w:rPr>
          <w:spacing w:val="9"/>
        </w:rPr>
        <w:t xml:space="preserve"> </w:t>
      </w:r>
      <w:r>
        <w:rPr>
          <w:spacing w:val="-2"/>
        </w:rPr>
        <w:t>Contract</w:t>
      </w:r>
      <w:r>
        <w:rPr>
          <w:spacing w:val="7"/>
        </w:rPr>
        <w:t xml:space="preserve"> </w:t>
      </w:r>
      <w:r>
        <w:rPr>
          <w:spacing w:val="-1"/>
        </w:rPr>
        <w:t>in</w:t>
      </w:r>
      <w:r>
        <w:rPr>
          <w:spacing w:val="5"/>
        </w:rPr>
        <w:t xml:space="preserve"> </w:t>
      </w:r>
      <w:r>
        <w:rPr>
          <w:spacing w:val="-1"/>
        </w:rPr>
        <w:t>whole</w:t>
      </w:r>
      <w:r>
        <w:rPr>
          <w:spacing w:val="5"/>
        </w:rPr>
        <w:t xml:space="preserve"> </w:t>
      </w:r>
      <w:r>
        <w:rPr>
          <w:spacing w:val="-1"/>
        </w:rPr>
        <w:t>or</w:t>
      </w:r>
      <w:r>
        <w:rPr>
          <w:spacing w:val="6"/>
        </w:rPr>
        <w:t xml:space="preserve"> </w:t>
      </w:r>
      <w:r>
        <w:rPr>
          <w:spacing w:val="-1"/>
        </w:rPr>
        <w:t>in</w:t>
      </w:r>
      <w:r>
        <w:rPr>
          <w:spacing w:val="7"/>
        </w:rPr>
        <w:t xml:space="preserve"> </w:t>
      </w:r>
      <w:r>
        <w:rPr>
          <w:spacing w:val="-1"/>
        </w:rPr>
        <w:t>part</w:t>
      </w:r>
      <w:r>
        <w:rPr>
          <w:spacing w:val="7"/>
        </w:rPr>
        <w:t xml:space="preserve"> </w:t>
      </w:r>
      <w:r>
        <w:rPr>
          <w:spacing w:val="-1"/>
        </w:rPr>
        <w:t>as</w:t>
      </w:r>
      <w:r>
        <w:rPr>
          <w:spacing w:val="5"/>
        </w:rPr>
        <w:t xml:space="preserve"> </w:t>
      </w:r>
      <w:r>
        <w:t>a</w:t>
      </w:r>
      <w:r>
        <w:rPr>
          <w:spacing w:val="5"/>
        </w:rPr>
        <w:t xml:space="preserve"> </w:t>
      </w:r>
      <w:r>
        <w:rPr>
          <w:spacing w:val="-1"/>
        </w:rPr>
        <w:t>result</w:t>
      </w:r>
      <w:r>
        <w:rPr>
          <w:spacing w:val="7"/>
        </w:rPr>
        <w:t xml:space="preserve"> </w:t>
      </w:r>
      <w:r>
        <w:rPr>
          <w:spacing w:val="-2"/>
        </w:rPr>
        <w:t>of</w:t>
      </w:r>
      <w:r>
        <w:rPr>
          <w:spacing w:val="55"/>
        </w:rPr>
        <w:t xml:space="preserve"> </w:t>
      </w:r>
      <w:r>
        <w:rPr>
          <w:spacing w:val="-1"/>
        </w:rPr>
        <w:t>such</w:t>
      </w:r>
      <w:r>
        <w:rPr>
          <w:spacing w:val="18"/>
        </w:rPr>
        <w:t xml:space="preserve"> </w:t>
      </w:r>
      <w:r>
        <w:rPr>
          <w:spacing w:val="-1"/>
        </w:rPr>
        <w:t>failure</w:t>
      </w:r>
      <w:r>
        <w:rPr>
          <w:spacing w:val="17"/>
        </w:rPr>
        <w:t xml:space="preserve"> </w:t>
      </w:r>
      <w:r>
        <w:rPr>
          <w:spacing w:val="-1"/>
        </w:rPr>
        <w:t>unless</w:t>
      </w:r>
      <w:r>
        <w:rPr>
          <w:spacing w:val="19"/>
        </w:rPr>
        <w:t xml:space="preserve"> </w:t>
      </w:r>
      <w:r>
        <w:t>the</w:t>
      </w:r>
      <w:r>
        <w:rPr>
          <w:spacing w:val="20"/>
        </w:rPr>
        <w:t xml:space="preserve"> </w:t>
      </w:r>
      <w:r>
        <w:rPr>
          <w:spacing w:val="-2"/>
        </w:rPr>
        <w:t>provision</w:t>
      </w:r>
      <w:r>
        <w:rPr>
          <w:spacing w:val="19"/>
        </w:rPr>
        <w:t xml:space="preserve"> </w:t>
      </w:r>
      <w:r>
        <w:rPr>
          <w:spacing w:val="-1"/>
        </w:rPr>
        <w:t>of</w:t>
      </w:r>
      <w:r>
        <w:rPr>
          <w:spacing w:val="21"/>
        </w:rPr>
        <w:t xml:space="preserve"> </w:t>
      </w:r>
      <w:r>
        <w:t>the</w:t>
      </w:r>
      <w:r>
        <w:rPr>
          <w:spacing w:val="18"/>
        </w:rPr>
        <w:t xml:space="preserve"> </w:t>
      </w:r>
      <w:r>
        <w:rPr>
          <w:spacing w:val="-1"/>
        </w:rPr>
        <w:t>Goods</w:t>
      </w:r>
      <w:r>
        <w:rPr>
          <w:spacing w:val="20"/>
        </w:rPr>
        <w:t xml:space="preserve"> </w:t>
      </w:r>
      <w:r>
        <w:rPr>
          <w:spacing w:val="-1"/>
        </w:rPr>
        <w:t>and/or</w:t>
      </w:r>
      <w:r>
        <w:rPr>
          <w:spacing w:val="18"/>
        </w:rPr>
        <w:t xml:space="preserve"> </w:t>
      </w:r>
      <w:r>
        <w:rPr>
          <w:spacing w:val="-1"/>
        </w:rPr>
        <w:t>Services</w:t>
      </w:r>
      <w:r>
        <w:rPr>
          <w:spacing w:val="31"/>
        </w:rPr>
        <w:t xml:space="preserve"> </w:t>
      </w:r>
      <w:r>
        <w:rPr>
          <w:spacing w:val="-1"/>
        </w:rPr>
        <w:t>is</w:t>
      </w:r>
      <w:r>
        <w:rPr>
          <w:spacing w:val="3"/>
        </w:rPr>
        <w:t xml:space="preserve"> </w:t>
      </w:r>
      <w:r>
        <w:rPr>
          <w:spacing w:val="-1"/>
        </w:rPr>
        <w:t>materially</w:t>
      </w:r>
      <w:r>
        <w:rPr>
          <w:spacing w:val="1"/>
        </w:rPr>
        <w:t xml:space="preserve"> </w:t>
      </w:r>
      <w:r>
        <w:rPr>
          <w:spacing w:val="-1"/>
        </w:rPr>
        <w:t>impacted</w:t>
      </w:r>
      <w:r>
        <w:rPr>
          <w:spacing w:val="3"/>
        </w:rPr>
        <w:t xml:space="preserve"> </w:t>
      </w:r>
      <w:r>
        <w:rPr>
          <w:spacing w:val="-1"/>
        </w:rPr>
        <w:t>by</w:t>
      </w:r>
      <w:r>
        <w:rPr>
          <w:spacing w:val="3"/>
        </w:rPr>
        <w:t xml:space="preserve"> </w:t>
      </w:r>
      <w:r>
        <w:t>a</w:t>
      </w:r>
      <w:r>
        <w:rPr>
          <w:spacing w:val="4"/>
        </w:rPr>
        <w:t xml:space="preserve"> </w:t>
      </w:r>
      <w:r>
        <w:rPr>
          <w:spacing w:val="-1"/>
        </w:rPr>
        <w:t>Force</w:t>
      </w:r>
      <w:r>
        <w:rPr>
          <w:spacing w:val="5"/>
        </w:rPr>
        <w:t xml:space="preserve"> </w:t>
      </w:r>
      <w:r>
        <w:rPr>
          <w:spacing w:val="-1"/>
        </w:rPr>
        <w:t>Majeure</w:t>
      </w:r>
      <w:r>
        <w:rPr>
          <w:spacing w:val="3"/>
        </w:rPr>
        <w:t xml:space="preserve"> </w:t>
      </w:r>
      <w:r>
        <w:rPr>
          <w:spacing w:val="-2"/>
        </w:rPr>
        <w:t>Event</w:t>
      </w:r>
      <w:r>
        <w:rPr>
          <w:spacing w:val="7"/>
        </w:rPr>
        <w:t xml:space="preserve"> </w:t>
      </w:r>
      <w:r>
        <w:rPr>
          <w:spacing w:val="-2"/>
        </w:rPr>
        <w:t>which</w:t>
      </w:r>
      <w:r>
        <w:rPr>
          <w:spacing w:val="6"/>
        </w:rPr>
        <w:t xml:space="preserve"> </w:t>
      </w:r>
      <w:r>
        <w:rPr>
          <w:spacing w:val="-1"/>
        </w:rPr>
        <w:t>endures</w:t>
      </w:r>
      <w:r>
        <w:rPr>
          <w:spacing w:val="32"/>
        </w:rPr>
        <w:t xml:space="preserve"> </w:t>
      </w:r>
      <w:r>
        <w:t>for</w:t>
      </w:r>
      <w:r>
        <w:rPr>
          <w:spacing w:val="-1"/>
        </w:rPr>
        <w:t xml:space="preserve"> </w:t>
      </w:r>
      <w:r>
        <w:t xml:space="preserve">a </w:t>
      </w:r>
      <w:r>
        <w:rPr>
          <w:spacing w:val="-1"/>
        </w:rPr>
        <w:t>continuous</w:t>
      </w:r>
      <w:r>
        <w:rPr>
          <w:spacing w:val="1"/>
        </w:rPr>
        <w:t xml:space="preserve"> </w:t>
      </w:r>
      <w:r>
        <w:rPr>
          <w:spacing w:val="-2"/>
        </w:rPr>
        <w:t>period</w:t>
      </w:r>
      <w:r>
        <w:t xml:space="preserve"> </w:t>
      </w:r>
      <w:r>
        <w:rPr>
          <w:spacing w:val="-2"/>
        </w:rPr>
        <w:t>of</w:t>
      </w:r>
      <w:r>
        <w:t xml:space="preserve"> </w:t>
      </w:r>
      <w:r>
        <w:rPr>
          <w:spacing w:val="-1"/>
        </w:rPr>
        <w:t>more</w:t>
      </w:r>
      <w:r>
        <w:rPr>
          <w:spacing w:val="-2"/>
        </w:rPr>
        <w:t xml:space="preserve"> </w:t>
      </w:r>
      <w:r>
        <w:rPr>
          <w:spacing w:val="-1"/>
        </w:rPr>
        <w:t>than ninety</w:t>
      </w:r>
      <w:r>
        <w:rPr>
          <w:spacing w:val="-2"/>
        </w:rPr>
        <w:t xml:space="preserve"> </w:t>
      </w:r>
      <w:r>
        <w:rPr>
          <w:spacing w:val="-1"/>
        </w:rPr>
        <w:t>(90)</w:t>
      </w:r>
      <w:r>
        <w:rPr>
          <w:spacing w:val="2"/>
        </w:rPr>
        <w:t xml:space="preserve"> </w:t>
      </w:r>
      <w:r>
        <w:rPr>
          <w:spacing w:val="-2"/>
        </w:rPr>
        <w:t>days;</w:t>
      </w:r>
      <w:r>
        <w:rPr>
          <w:spacing w:val="2"/>
        </w:rPr>
        <w:t xml:space="preserve"> </w:t>
      </w:r>
      <w:r>
        <w:rPr>
          <w:spacing w:val="-1"/>
        </w:rPr>
        <w:t>and</w:t>
      </w:r>
    </w:p>
    <w:p w:rsidR="008918FA" w:rsidRDefault="008918FA" w:rsidP="008918FA">
      <w:pPr>
        <w:jc w:val="both"/>
        <w:sectPr w:rsidR="008918FA">
          <w:pgSz w:w="11910" w:h="16840"/>
          <w:pgMar w:top="1480" w:right="1300" w:bottom="1180" w:left="1320" w:header="0" w:footer="967" w:gutter="0"/>
          <w:cols w:space="720"/>
        </w:sectPr>
      </w:pPr>
    </w:p>
    <w:p w:rsidR="008918FA" w:rsidRDefault="008918FA" w:rsidP="008918FA">
      <w:pPr>
        <w:pStyle w:val="BodyText"/>
        <w:numPr>
          <w:ilvl w:val="3"/>
          <w:numId w:val="66"/>
        </w:numPr>
        <w:tabs>
          <w:tab w:val="left" w:pos="2935"/>
        </w:tabs>
        <w:spacing w:before="59"/>
        <w:ind w:left="2933" w:right="112" w:hanging="707"/>
        <w:jc w:val="both"/>
      </w:pPr>
      <w:bookmarkStart w:id="270" w:name="41._CUSTOMER_TERMINATION_RIGHTS"/>
      <w:bookmarkStart w:id="271" w:name="K._UTERMINATION_AND_EXIT_MANAGEMENT"/>
      <w:bookmarkEnd w:id="270"/>
      <w:bookmarkEnd w:id="271"/>
      <w:r>
        <w:t>the</w:t>
      </w:r>
      <w:r>
        <w:rPr>
          <w:spacing w:val="37"/>
        </w:rPr>
        <w:t xml:space="preserve"> </w:t>
      </w:r>
      <w:r>
        <w:rPr>
          <w:spacing w:val="-2"/>
        </w:rPr>
        <w:t>Supplier</w:t>
      </w:r>
      <w:r>
        <w:rPr>
          <w:spacing w:val="39"/>
        </w:rPr>
        <w:t xml:space="preserve"> </w:t>
      </w:r>
      <w:r>
        <w:rPr>
          <w:spacing w:val="-1"/>
        </w:rPr>
        <w:t>shall</w:t>
      </w:r>
      <w:r>
        <w:rPr>
          <w:spacing w:val="37"/>
        </w:rPr>
        <w:t xml:space="preserve"> </w:t>
      </w:r>
      <w:r>
        <w:rPr>
          <w:spacing w:val="-1"/>
        </w:rPr>
        <w:t>not</w:t>
      </w:r>
      <w:r>
        <w:rPr>
          <w:spacing w:val="36"/>
        </w:rPr>
        <w:t xml:space="preserve"> </w:t>
      </w:r>
      <w:r>
        <w:rPr>
          <w:spacing w:val="-1"/>
        </w:rPr>
        <w:t>be</w:t>
      </w:r>
      <w:r>
        <w:rPr>
          <w:spacing w:val="37"/>
        </w:rPr>
        <w:t xml:space="preserve"> </w:t>
      </w:r>
      <w:r>
        <w:rPr>
          <w:spacing w:val="-2"/>
        </w:rPr>
        <w:t>liable</w:t>
      </w:r>
      <w:r>
        <w:rPr>
          <w:spacing w:val="37"/>
        </w:rPr>
        <w:t xml:space="preserve"> </w:t>
      </w:r>
      <w:r>
        <w:t>for</w:t>
      </w:r>
      <w:r>
        <w:rPr>
          <w:spacing w:val="37"/>
        </w:rPr>
        <w:t xml:space="preserve"> </w:t>
      </w:r>
      <w:r>
        <w:rPr>
          <w:spacing w:val="-1"/>
        </w:rPr>
        <w:t>any</w:t>
      </w:r>
      <w:r>
        <w:rPr>
          <w:spacing w:val="35"/>
        </w:rPr>
        <w:t xml:space="preserve"> </w:t>
      </w:r>
      <w:r>
        <w:rPr>
          <w:spacing w:val="-1"/>
        </w:rPr>
        <w:t>Default</w:t>
      </w:r>
      <w:r>
        <w:rPr>
          <w:spacing w:val="40"/>
        </w:rPr>
        <w:t xml:space="preserve"> </w:t>
      </w:r>
      <w:r>
        <w:rPr>
          <w:spacing w:val="-1"/>
        </w:rPr>
        <w:t>and</w:t>
      </w:r>
      <w:r>
        <w:rPr>
          <w:spacing w:val="35"/>
        </w:rPr>
        <w:t xml:space="preserve"> </w:t>
      </w:r>
      <w:r>
        <w:rPr>
          <w:spacing w:val="-1"/>
        </w:rPr>
        <w:t>the</w:t>
      </w:r>
      <w:r>
        <w:rPr>
          <w:spacing w:val="42"/>
        </w:rPr>
        <w:t xml:space="preserve"> </w:t>
      </w:r>
      <w:r>
        <w:rPr>
          <w:spacing w:val="-1"/>
        </w:rPr>
        <w:t>Customer</w:t>
      </w:r>
      <w:r>
        <w:rPr>
          <w:spacing w:val="6"/>
        </w:rPr>
        <w:t xml:space="preserve"> </w:t>
      </w:r>
      <w:r>
        <w:rPr>
          <w:spacing w:val="-1"/>
        </w:rPr>
        <w:t>shall</w:t>
      </w:r>
      <w:r>
        <w:rPr>
          <w:spacing w:val="4"/>
        </w:rPr>
        <w:t xml:space="preserve"> </w:t>
      </w:r>
      <w:r>
        <w:rPr>
          <w:spacing w:val="-1"/>
        </w:rPr>
        <w:t>not</w:t>
      </w:r>
      <w:r>
        <w:rPr>
          <w:spacing w:val="4"/>
        </w:rPr>
        <w:t xml:space="preserve"> </w:t>
      </w:r>
      <w:r>
        <w:rPr>
          <w:spacing w:val="-1"/>
        </w:rPr>
        <w:t>be</w:t>
      </w:r>
      <w:r>
        <w:rPr>
          <w:spacing w:val="5"/>
        </w:rPr>
        <w:t xml:space="preserve"> </w:t>
      </w:r>
      <w:r>
        <w:rPr>
          <w:spacing w:val="-2"/>
        </w:rPr>
        <w:t>liable</w:t>
      </w:r>
      <w:r>
        <w:rPr>
          <w:spacing w:val="3"/>
        </w:rPr>
        <w:t xml:space="preserve"> </w:t>
      </w:r>
      <w:r>
        <w:t>for</w:t>
      </w:r>
      <w:r>
        <w:rPr>
          <w:spacing w:val="6"/>
        </w:rPr>
        <w:t xml:space="preserve"> </w:t>
      </w:r>
      <w:r>
        <w:rPr>
          <w:spacing w:val="-1"/>
        </w:rPr>
        <w:t>any</w:t>
      </w:r>
      <w:r>
        <w:rPr>
          <w:spacing w:val="3"/>
        </w:rPr>
        <w:t xml:space="preserve"> </w:t>
      </w:r>
      <w:r>
        <w:rPr>
          <w:spacing w:val="-2"/>
        </w:rPr>
        <w:t>Customer</w:t>
      </w:r>
      <w:r>
        <w:rPr>
          <w:spacing w:val="6"/>
        </w:rPr>
        <w:t xml:space="preserve"> </w:t>
      </w:r>
      <w:r>
        <w:rPr>
          <w:spacing w:val="-2"/>
        </w:rPr>
        <w:t>Cause</w:t>
      </w:r>
      <w:r>
        <w:rPr>
          <w:spacing w:val="8"/>
        </w:rPr>
        <w:t xml:space="preserve"> </w:t>
      </w:r>
      <w:r>
        <w:rPr>
          <w:spacing w:val="-2"/>
        </w:rPr>
        <w:t>arising</w:t>
      </w:r>
      <w:r>
        <w:rPr>
          <w:spacing w:val="7"/>
        </w:rPr>
        <w:t xml:space="preserve"> </w:t>
      </w:r>
      <w:r>
        <w:rPr>
          <w:spacing w:val="-1"/>
        </w:rPr>
        <w:t>as</w:t>
      </w:r>
      <w:r>
        <w:rPr>
          <w:spacing w:val="57"/>
        </w:rPr>
        <w:t xml:space="preserve"> </w:t>
      </w:r>
      <w:r>
        <w:t xml:space="preserve">a </w:t>
      </w:r>
      <w:r>
        <w:rPr>
          <w:spacing w:val="-1"/>
        </w:rPr>
        <w:t>result</w:t>
      </w:r>
      <w:r>
        <w:t xml:space="preserve"> </w:t>
      </w:r>
      <w:r>
        <w:rPr>
          <w:spacing w:val="-2"/>
        </w:rPr>
        <w:t>of</w:t>
      </w:r>
      <w:r>
        <w:rPr>
          <w:spacing w:val="2"/>
        </w:rPr>
        <w:t xml:space="preserve"> </w:t>
      </w:r>
      <w:r>
        <w:rPr>
          <w:spacing w:val="-1"/>
        </w:rPr>
        <w:t>such</w:t>
      </w:r>
      <w:r>
        <w:rPr>
          <w:spacing w:val="-4"/>
        </w:rPr>
        <w:t xml:space="preserve"> </w:t>
      </w:r>
      <w:r>
        <w:rPr>
          <w:spacing w:val="-1"/>
        </w:rPr>
        <w:t>failure;</w:t>
      </w:r>
    </w:p>
    <w:p w:rsidR="008918FA" w:rsidRDefault="008918FA" w:rsidP="008918FA">
      <w:pPr>
        <w:pStyle w:val="BodyText"/>
        <w:numPr>
          <w:ilvl w:val="2"/>
          <w:numId w:val="66"/>
        </w:numPr>
        <w:tabs>
          <w:tab w:val="left" w:pos="2226"/>
        </w:tabs>
        <w:ind w:left="2225" w:right="118" w:hanging="993"/>
      </w:pPr>
      <w:r>
        <w:t>the</w:t>
      </w:r>
      <w:r>
        <w:rPr>
          <w:spacing w:val="10"/>
        </w:rPr>
        <w:t xml:space="preserve"> </w:t>
      </w:r>
      <w:r>
        <w:rPr>
          <w:spacing w:val="-2"/>
        </w:rPr>
        <w:t>Supplier</w:t>
      </w:r>
      <w:r>
        <w:rPr>
          <w:spacing w:val="9"/>
        </w:rPr>
        <w:t xml:space="preserve"> </w:t>
      </w:r>
      <w:r>
        <w:rPr>
          <w:spacing w:val="-1"/>
        </w:rPr>
        <w:t>fails</w:t>
      </w:r>
      <w:r>
        <w:rPr>
          <w:spacing w:val="8"/>
        </w:rPr>
        <w:t xml:space="preserve"> </w:t>
      </w:r>
      <w:r>
        <w:t>to</w:t>
      </w:r>
      <w:r>
        <w:rPr>
          <w:spacing w:val="10"/>
        </w:rPr>
        <w:t xml:space="preserve"> </w:t>
      </w:r>
      <w:r>
        <w:rPr>
          <w:spacing w:val="-1"/>
        </w:rPr>
        <w:t>perform</w:t>
      </w:r>
      <w:r>
        <w:rPr>
          <w:spacing w:val="11"/>
        </w:rPr>
        <w:t xml:space="preserve"> </w:t>
      </w:r>
      <w:r>
        <w:rPr>
          <w:spacing w:val="-1"/>
        </w:rPr>
        <w:t>its</w:t>
      </w:r>
      <w:r>
        <w:rPr>
          <w:spacing w:val="10"/>
        </w:rPr>
        <w:t xml:space="preserve"> </w:t>
      </w:r>
      <w:r>
        <w:rPr>
          <w:spacing w:val="-1"/>
        </w:rPr>
        <w:t>obligations</w:t>
      </w:r>
      <w:r>
        <w:rPr>
          <w:spacing w:val="10"/>
        </w:rPr>
        <w:t xml:space="preserve"> </w:t>
      </w:r>
      <w:r>
        <w:t>in</w:t>
      </w:r>
      <w:r>
        <w:rPr>
          <w:spacing w:val="10"/>
        </w:rPr>
        <w:t xml:space="preserve"> </w:t>
      </w:r>
      <w:r>
        <w:rPr>
          <w:spacing w:val="-1"/>
        </w:rPr>
        <w:t>accordance</w:t>
      </w:r>
      <w:r>
        <w:rPr>
          <w:spacing w:val="10"/>
        </w:rPr>
        <w:t xml:space="preserve"> </w:t>
      </w:r>
      <w:r>
        <w:rPr>
          <w:spacing w:val="-2"/>
        </w:rPr>
        <w:t>with</w:t>
      </w:r>
      <w:r>
        <w:rPr>
          <w:spacing w:val="10"/>
        </w:rPr>
        <w:t xml:space="preserve"> </w:t>
      </w:r>
      <w:r>
        <w:rPr>
          <w:spacing w:val="-1"/>
        </w:rPr>
        <w:t>this</w:t>
      </w:r>
      <w:r>
        <w:rPr>
          <w:spacing w:val="10"/>
        </w:rPr>
        <w:t xml:space="preserve"> </w:t>
      </w:r>
      <w:r>
        <w:rPr>
          <w:spacing w:val="-2"/>
        </w:rPr>
        <w:t>Call</w:t>
      </w:r>
      <w:r>
        <w:rPr>
          <w:spacing w:val="43"/>
        </w:rPr>
        <w:t xml:space="preserve"> </w:t>
      </w:r>
      <w:r>
        <w:rPr>
          <w:spacing w:val="-1"/>
        </w:rPr>
        <w:t>Off</w:t>
      </w:r>
      <w:r>
        <w:rPr>
          <w:spacing w:val="2"/>
        </w:rPr>
        <w:t xml:space="preserve"> </w:t>
      </w:r>
      <w:r>
        <w:rPr>
          <w:spacing w:val="-1"/>
        </w:rPr>
        <w:t>Contract:</w:t>
      </w:r>
    </w:p>
    <w:p w:rsidR="008918FA" w:rsidRDefault="008918FA" w:rsidP="008918FA">
      <w:pPr>
        <w:pStyle w:val="BodyText"/>
        <w:numPr>
          <w:ilvl w:val="3"/>
          <w:numId w:val="66"/>
        </w:numPr>
        <w:tabs>
          <w:tab w:val="left" w:pos="2934"/>
        </w:tabs>
        <w:ind w:left="2934" w:hanging="709"/>
      </w:pPr>
      <w:r>
        <w:t xml:space="preserve">the </w:t>
      </w:r>
      <w:r>
        <w:rPr>
          <w:spacing w:val="-2"/>
        </w:rPr>
        <w:t>Customer</w:t>
      </w:r>
      <w:r>
        <w:rPr>
          <w:spacing w:val="2"/>
        </w:rPr>
        <w:t xml:space="preserve"> </w:t>
      </w:r>
      <w:r>
        <w:rPr>
          <w:spacing w:val="-1"/>
        </w:rPr>
        <w:t>shall</w:t>
      </w:r>
      <w:r>
        <w:t xml:space="preserve"> </w:t>
      </w:r>
      <w:r>
        <w:rPr>
          <w:spacing w:val="-2"/>
        </w:rPr>
        <w:t>not</w:t>
      </w:r>
      <w:r>
        <w:rPr>
          <w:spacing w:val="2"/>
        </w:rPr>
        <w:t xml:space="preserve"> </w:t>
      </w:r>
      <w:r>
        <w:rPr>
          <w:spacing w:val="-2"/>
        </w:rPr>
        <w:t>be</w:t>
      </w:r>
      <w:r>
        <w:t xml:space="preserve"> </w:t>
      </w:r>
      <w:r>
        <w:rPr>
          <w:spacing w:val="-1"/>
        </w:rPr>
        <w:t>entitled:</w:t>
      </w:r>
    </w:p>
    <w:p w:rsidR="008918FA" w:rsidRDefault="008918FA" w:rsidP="008918FA">
      <w:pPr>
        <w:pStyle w:val="BodyText"/>
        <w:numPr>
          <w:ilvl w:val="4"/>
          <w:numId w:val="66"/>
        </w:numPr>
        <w:tabs>
          <w:tab w:val="left" w:pos="3503"/>
        </w:tabs>
        <w:ind w:left="3502" w:right="111"/>
        <w:jc w:val="both"/>
      </w:pPr>
      <w:r>
        <w:rPr>
          <w:spacing w:val="-1"/>
        </w:rPr>
        <w:t>during</w:t>
      </w:r>
      <w:r>
        <w:rPr>
          <w:spacing w:val="58"/>
        </w:rPr>
        <w:t xml:space="preserve"> </w:t>
      </w:r>
      <w:r>
        <w:t>the</w:t>
      </w:r>
      <w:r>
        <w:rPr>
          <w:spacing w:val="55"/>
        </w:rPr>
        <w:t xml:space="preserve"> </w:t>
      </w:r>
      <w:r>
        <w:rPr>
          <w:spacing w:val="-1"/>
        </w:rPr>
        <w:t>continuance</w:t>
      </w:r>
      <w:r>
        <w:rPr>
          <w:spacing w:val="56"/>
        </w:rPr>
        <w:t xml:space="preserve"> </w:t>
      </w:r>
      <w:r>
        <w:rPr>
          <w:spacing w:val="-2"/>
        </w:rPr>
        <w:t>of</w:t>
      </w:r>
      <w:r>
        <w:rPr>
          <w:spacing w:val="59"/>
        </w:rPr>
        <w:t xml:space="preserve"> </w:t>
      </w:r>
      <w:r>
        <w:t>the</w:t>
      </w:r>
      <w:r>
        <w:rPr>
          <w:spacing w:val="58"/>
        </w:rPr>
        <w:t xml:space="preserve"> </w:t>
      </w:r>
      <w:r>
        <w:rPr>
          <w:spacing w:val="-1"/>
        </w:rPr>
        <w:t>Force</w:t>
      </w:r>
      <w:r>
        <w:rPr>
          <w:spacing w:val="56"/>
        </w:rPr>
        <w:t xml:space="preserve"> </w:t>
      </w:r>
      <w:r>
        <w:rPr>
          <w:spacing w:val="-1"/>
        </w:rPr>
        <w:t>Majeure</w:t>
      </w:r>
      <w:r>
        <w:rPr>
          <w:spacing w:val="56"/>
        </w:rPr>
        <w:t xml:space="preserve"> </w:t>
      </w:r>
      <w:r>
        <w:rPr>
          <w:spacing w:val="-2"/>
        </w:rPr>
        <w:t>Event</w:t>
      </w:r>
      <w:r>
        <w:rPr>
          <w:spacing w:val="1"/>
        </w:rPr>
        <w:t xml:space="preserve"> </w:t>
      </w:r>
      <w:r>
        <w:t>to</w:t>
      </w:r>
      <w:r>
        <w:rPr>
          <w:spacing w:val="23"/>
        </w:rPr>
        <w:t xml:space="preserve"> </w:t>
      </w:r>
      <w:r>
        <w:rPr>
          <w:spacing w:val="-1"/>
        </w:rPr>
        <w:t>exercise</w:t>
      </w:r>
      <w:r>
        <w:rPr>
          <w:spacing w:val="19"/>
        </w:rPr>
        <w:t xml:space="preserve"> </w:t>
      </w:r>
      <w:r>
        <w:rPr>
          <w:spacing w:val="-1"/>
        </w:rPr>
        <w:t>its</w:t>
      </w:r>
      <w:r>
        <w:rPr>
          <w:spacing w:val="19"/>
        </w:rPr>
        <w:t xml:space="preserve"> </w:t>
      </w:r>
      <w:r>
        <w:rPr>
          <w:spacing w:val="-1"/>
        </w:rPr>
        <w:t>step-in</w:t>
      </w:r>
      <w:r>
        <w:rPr>
          <w:spacing w:val="19"/>
        </w:rPr>
        <w:t xml:space="preserve"> </w:t>
      </w:r>
      <w:r>
        <w:rPr>
          <w:spacing w:val="-1"/>
        </w:rPr>
        <w:t>rights</w:t>
      </w:r>
      <w:r>
        <w:rPr>
          <w:spacing w:val="19"/>
        </w:rPr>
        <w:t xml:space="preserve"> </w:t>
      </w:r>
      <w:r>
        <w:rPr>
          <w:spacing w:val="-1"/>
        </w:rPr>
        <w:t>under</w:t>
      </w:r>
      <w:r>
        <w:rPr>
          <w:spacing w:val="20"/>
        </w:rPr>
        <w:t xml:space="preserve"> </w:t>
      </w:r>
      <w:r>
        <w:rPr>
          <w:spacing w:val="-2"/>
        </w:rPr>
        <w:t>Clause</w:t>
      </w:r>
      <w:r>
        <w:rPr>
          <w:spacing w:val="2"/>
        </w:rPr>
        <w:t xml:space="preserve"> </w:t>
      </w:r>
      <w:hyperlink w:anchor="_bookmark215" w:history="1">
        <w:r>
          <w:rPr>
            <w:spacing w:val="-1"/>
          </w:rPr>
          <w:t>38.1.1(b)</w:t>
        </w:r>
      </w:hyperlink>
      <w:r>
        <w:rPr>
          <w:spacing w:val="20"/>
        </w:rPr>
        <w:t xml:space="preserve"> </w:t>
      </w:r>
      <w:r>
        <w:rPr>
          <w:spacing w:val="-1"/>
        </w:rPr>
        <w:t>and</w:t>
      </w:r>
      <w:r>
        <w:rPr>
          <w:spacing w:val="28"/>
        </w:rPr>
        <w:t xml:space="preserve"> </w:t>
      </w:r>
      <w:hyperlink w:anchor="_bookmark216" w:history="1">
        <w:r>
          <w:rPr>
            <w:spacing w:val="-1"/>
          </w:rPr>
          <w:t>38.1.1(c)</w:t>
        </w:r>
      </w:hyperlink>
      <w:r>
        <w:rPr>
          <w:spacing w:val="-1"/>
        </w:rPr>
        <w:t xml:space="preserve"> (Customer</w:t>
      </w:r>
      <w:r>
        <w:rPr>
          <w:spacing w:val="26"/>
        </w:rPr>
        <w:t xml:space="preserve"> </w:t>
      </w:r>
      <w:r>
        <w:rPr>
          <w:spacing w:val="-2"/>
        </w:rPr>
        <w:t>Remedies</w:t>
      </w:r>
      <w:r>
        <w:rPr>
          <w:spacing w:val="22"/>
        </w:rPr>
        <w:t xml:space="preserve"> </w:t>
      </w:r>
      <w:r>
        <w:t>for</w:t>
      </w:r>
      <w:r>
        <w:rPr>
          <w:spacing w:val="26"/>
        </w:rPr>
        <w:t xml:space="preserve"> </w:t>
      </w:r>
      <w:r>
        <w:rPr>
          <w:spacing w:val="-1"/>
        </w:rPr>
        <w:t>Default)</w:t>
      </w:r>
      <w:r>
        <w:rPr>
          <w:spacing w:val="23"/>
        </w:rPr>
        <w:t xml:space="preserve"> </w:t>
      </w:r>
      <w:r>
        <w:rPr>
          <w:spacing w:val="-1"/>
        </w:rPr>
        <w:t>as</w:t>
      </w:r>
      <w:r>
        <w:rPr>
          <w:spacing w:val="25"/>
        </w:rPr>
        <w:t xml:space="preserve"> </w:t>
      </w:r>
      <w:r>
        <w:t>a</w:t>
      </w:r>
      <w:r>
        <w:rPr>
          <w:spacing w:val="22"/>
        </w:rPr>
        <w:t xml:space="preserve"> </w:t>
      </w:r>
      <w:r>
        <w:rPr>
          <w:spacing w:val="-1"/>
        </w:rPr>
        <w:t>result</w:t>
      </w:r>
      <w:r>
        <w:rPr>
          <w:spacing w:val="21"/>
        </w:rPr>
        <w:t xml:space="preserve"> </w:t>
      </w:r>
      <w:r>
        <w:rPr>
          <w:spacing w:val="-2"/>
        </w:rPr>
        <w:t>of</w:t>
      </w:r>
      <w:r>
        <w:rPr>
          <w:spacing w:val="35"/>
        </w:rPr>
        <w:t xml:space="preserve"> </w:t>
      </w:r>
      <w:r>
        <w:rPr>
          <w:spacing w:val="-1"/>
        </w:rPr>
        <w:t>such</w:t>
      </w:r>
      <w:r>
        <w:rPr>
          <w:spacing w:val="-2"/>
        </w:rPr>
        <w:t xml:space="preserve"> </w:t>
      </w:r>
      <w:r>
        <w:rPr>
          <w:spacing w:val="-1"/>
        </w:rPr>
        <w:t>failure;</w:t>
      </w:r>
    </w:p>
    <w:p w:rsidR="008918FA" w:rsidRDefault="008918FA" w:rsidP="008918FA">
      <w:pPr>
        <w:pStyle w:val="BodyText"/>
        <w:numPr>
          <w:ilvl w:val="4"/>
          <w:numId w:val="66"/>
        </w:numPr>
        <w:tabs>
          <w:tab w:val="left" w:pos="3503"/>
        </w:tabs>
        <w:ind w:left="3502" w:right="112" w:hanging="568"/>
        <w:jc w:val="both"/>
      </w:pPr>
      <w:r>
        <w:t>to</w:t>
      </w:r>
      <w:r>
        <w:rPr>
          <w:spacing w:val="7"/>
        </w:rPr>
        <w:t xml:space="preserve"> </w:t>
      </w:r>
      <w:r>
        <w:rPr>
          <w:spacing w:val="-2"/>
        </w:rPr>
        <w:t>receive</w:t>
      </w:r>
      <w:r>
        <w:rPr>
          <w:spacing w:val="7"/>
        </w:rPr>
        <w:t xml:space="preserve"> </w:t>
      </w:r>
      <w:r>
        <w:rPr>
          <w:spacing w:val="-1"/>
        </w:rPr>
        <w:t>Delay</w:t>
      </w:r>
      <w:r>
        <w:rPr>
          <w:spacing w:val="5"/>
        </w:rPr>
        <w:t xml:space="preserve"> </w:t>
      </w:r>
      <w:r>
        <w:rPr>
          <w:spacing w:val="-1"/>
        </w:rPr>
        <w:t>Payments</w:t>
      </w:r>
      <w:r>
        <w:rPr>
          <w:spacing w:val="8"/>
        </w:rPr>
        <w:t xml:space="preserve"> </w:t>
      </w:r>
      <w:r>
        <w:rPr>
          <w:spacing w:val="-1"/>
        </w:rPr>
        <w:t>pursuant</w:t>
      </w:r>
      <w:r>
        <w:rPr>
          <w:spacing w:val="7"/>
        </w:rPr>
        <w:t xml:space="preserve"> </w:t>
      </w:r>
      <w:r>
        <w:t>to</w:t>
      </w:r>
      <w:r>
        <w:rPr>
          <w:spacing w:val="5"/>
        </w:rPr>
        <w:t xml:space="preserve"> </w:t>
      </w:r>
      <w:r>
        <w:rPr>
          <w:spacing w:val="-1"/>
        </w:rPr>
        <w:t>Clause</w:t>
      </w:r>
      <w:r>
        <w:rPr>
          <w:spacing w:val="7"/>
        </w:rPr>
        <w:t xml:space="preserve"> </w:t>
      </w:r>
      <w:hyperlink w:anchor="_bookmark60" w:history="1">
        <w:r>
          <w:rPr>
            <w:spacing w:val="-1"/>
          </w:rPr>
          <w:t>6.4</w:t>
        </w:r>
      </w:hyperlink>
      <w:r>
        <w:rPr>
          <w:spacing w:val="7"/>
        </w:rPr>
        <w:t xml:space="preserve"> </w:t>
      </w:r>
      <w:r>
        <w:rPr>
          <w:spacing w:val="-1"/>
        </w:rPr>
        <w:t>(Delay</w:t>
      </w:r>
      <w:r>
        <w:rPr>
          <w:spacing w:val="29"/>
        </w:rPr>
        <w:t xml:space="preserve"> </w:t>
      </w:r>
      <w:r>
        <w:rPr>
          <w:spacing w:val="-1"/>
        </w:rPr>
        <w:t>Payments)</w:t>
      </w:r>
      <w:r>
        <w:rPr>
          <w:spacing w:val="5"/>
        </w:rPr>
        <w:t xml:space="preserve"> </w:t>
      </w:r>
      <w:r>
        <w:t>to</w:t>
      </w:r>
      <w:r>
        <w:rPr>
          <w:spacing w:val="4"/>
        </w:rPr>
        <w:t xml:space="preserve"> </w:t>
      </w:r>
      <w:r>
        <w:t>the</w:t>
      </w:r>
      <w:r>
        <w:rPr>
          <w:spacing w:val="4"/>
        </w:rPr>
        <w:t xml:space="preserve"> </w:t>
      </w:r>
      <w:r>
        <w:rPr>
          <w:spacing w:val="-1"/>
        </w:rPr>
        <w:t>extent</w:t>
      </w:r>
      <w:r>
        <w:rPr>
          <w:spacing w:val="5"/>
        </w:rPr>
        <w:t xml:space="preserve"> </w:t>
      </w:r>
      <w:r>
        <w:rPr>
          <w:spacing w:val="-1"/>
        </w:rPr>
        <w:t>that</w:t>
      </w:r>
      <w:r>
        <w:rPr>
          <w:spacing w:val="5"/>
        </w:rPr>
        <w:t xml:space="preserve"> </w:t>
      </w:r>
      <w:r>
        <w:t>the</w:t>
      </w:r>
      <w:r>
        <w:rPr>
          <w:spacing w:val="4"/>
        </w:rPr>
        <w:t xml:space="preserve"> </w:t>
      </w:r>
      <w:r>
        <w:rPr>
          <w:spacing w:val="-2"/>
        </w:rPr>
        <w:t>Achievement</w:t>
      </w:r>
      <w:r>
        <w:rPr>
          <w:spacing w:val="5"/>
        </w:rPr>
        <w:t xml:space="preserve"> </w:t>
      </w:r>
      <w:r>
        <w:rPr>
          <w:spacing w:val="-2"/>
        </w:rPr>
        <w:t>of</w:t>
      </w:r>
      <w:r>
        <w:rPr>
          <w:spacing w:val="8"/>
        </w:rPr>
        <w:t xml:space="preserve"> </w:t>
      </w:r>
      <w:r>
        <w:rPr>
          <w:spacing w:val="-1"/>
        </w:rPr>
        <w:t>any</w:t>
      </w:r>
      <w:r>
        <w:rPr>
          <w:spacing w:val="36"/>
        </w:rPr>
        <w:t xml:space="preserve"> </w:t>
      </w:r>
      <w:r>
        <w:rPr>
          <w:spacing w:val="-1"/>
        </w:rPr>
        <w:t>Milestone</w:t>
      </w:r>
      <w:r>
        <w:t xml:space="preserve"> </w:t>
      </w:r>
      <w:r>
        <w:rPr>
          <w:spacing w:val="-1"/>
        </w:rPr>
        <w:t>is</w:t>
      </w:r>
      <w:r>
        <w:rPr>
          <w:spacing w:val="1"/>
        </w:rPr>
        <w:t xml:space="preserve"> </w:t>
      </w:r>
      <w:r>
        <w:rPr>
          <w:spacing w:val="-1"/>
        </w:rPr>
        <w:t>affected</w:t>
      </w:r>
      <w:r>
        <w:rPr>
          <w:spacing w:val="-2"/>
        </w:rPr>
        <w:t xml:space="preserve"> </w:t>
      </w:r>
      <w:r>
        <w:rPr>
          <w:spacing w:val="-1"/>
        </w:rPr>
        <w:t>by</w:t>
      </w:r>
      <w:r>
        <w:rPr>
          <w:spacing w:val="-2"/>
        </w:rPr>
        <w:t xml:space="preserve"> </w:t>
      </w:r>
      <w:r>
        <w:rPr>
          <w:spacing w:val="-1"/>
        </w:rPr>
        <w:t>the</w:t>
      </w:r>
      <w:r>
        <w:t xml:space="preserve"> </w:t>
      </w:r>
      <w:r>
        <w:rPr>
          <w:spacing w:val="-1"/>
        </w:rPr>
        <w:t>Force</w:t>
      </w:r>
      <w:r>
        <w:rPr>
          <w:spacing w:val="-2"/>
        </w:rPr>
        <w:t xml:space="preserve"> </w:t>
      </w:r>
      <w:r>
        <w:rPr>
          <w:spacing w:val="-1"/>
        </w:rPr>
        <w:t>Majeure</w:t>
      </w:r>
      <w:r>
        <w:t xml:space="preserve"> </w:t>
      </w:r>
      <w:r>
        <w:rPr>
          <w:spacing w:val="-1"/>
        </w:rPr>
        <w:t>Event;</w:t>
      </w:r>
      <w:r>
        <w:t xml:space="preserve"> </w:t>
      </w:r>
      <w:r>
        <w:rPr>
          <w:spacing w:val="-1"/>
        </w:rPr>
        <w:t>and</w:t>
      </w:r>
    </w:p>
    <w:p w:rsidR="008918FA" w:rsidRDefault="008918FA" w:rsidP="008918FA">
      <w:pPr>
        <w:pStyle w:val="BodyText"/>
        <w:numPr>
          <w:ilvl w:val="4"/>
          <w:numId w:val="66"/>
        </w:numPr>
        <w:tabs>
          <w:tab w:val="left" w:pos="3503"/>
        </w:tabs>
        <w:ind w:left="3502" w:right="111"/>
        <w:jc w:val="both"/>
      </w:pPr>
      <w:r>
        <w:t>to</w:t>
      </w:r>
      <w:r>
        <w:rPr>
          <w:spacing w:val="34"/>
        </w:rPr>
        <w:t xml:space="preserve"> </w:t>
      </w:r>
      <w:r>
        <w:rPr>
          <w:spacing w:val="-1"/>
        </w:rPr>
        <w:t>receive</w:t>
      </w:r>
      <w:r>
        <w:rPr>
          <w:spacing w:val="34"/>
        </w:rPr>
        <w:t xml:space="preserve"> </w:t>
      </w:r>
      <w:r>
        <w:rPr>
          <w:spacing w:val="-2"/>
        </w:rPr>
        <w:t>Service</w:t>
      </w:r>
      <w:r>
        <w:rPr>
          <w:spacing w:val="34"/>
        </w:rPr>
        <w:t xml:space="preserve"> </w:t>
      </w:r>
      <w:r>
        <w:rPr>
          <w:spacing w:val="-1"/>
        </w:rPr>
        <w:t>Credits</w:t>
      </w:r>
      <w:r>
        <w:rPr>
          <w:spacing w:val="35"/>
        </w:rPr>
        <w:t xml:space="preserve"> </w:t>
      </w:r>
      <w:r>
        <w:rPr>
          <w:spacing w:val="-1"/>
        </w:rPr>
        <w:t>or</w:t>
      </w:r>
      <w:r>
        <w:rPr>
          <w:spacing w:val="35"/>
        </w:rPr>
        <w:t xml:space="preserve"> </w:t>
      </w:r>
      <w:r>
        <w:rPr>
          <w:spacing w:val="-2"/>
        </w:rPr>
        <w:t>withhold</w:t>
      </w:r>
      <w:r>
        <w:rPr>
          <w:spacing w:val="34"/>
        </w:rPr>
        <w:t xml:space="preserve"> </w:t>
      </w:r>
      <w:r>
        <w:rPr>
          <w:spacing w:val="-1"/>
        </w:rPr>
        <w:t>and</w:t>
      </w:r>
      <w:r>
        <w:rPr>
          <w:spacing w:val="35"/>
        </w:rPr>
        <w:t xml:space="preserve"> </w:t>
      </w:r>
      <w:r>
        <w:rPr>
          <w:spacing w:val="-1"/>
        </w:rPr>
        <w:t>retain</w:t>
      </w:r>
      <w:r>
        <w:rPr>
          <w:spacing w:val="34"/>
        </w:rPr>
        <w:t xml:space="preserve"> </w:t>
      </w:r>
      <w:r>
        <w:rPr>
          <w:spacing w:val="-1"/>
        </w:rPr>
        <w:t>any</w:t>
      </w:r>
      <w:r>
        <w:rPr>
          <w:spacing w:val="32"/>
        </w:rPr>
        <w:t xml:space="preserve"> </w:t>
      </w:r>
      <w:r>
        <w:rPr>
          <w:spacing w:val="-1"/>
        </w:rPr>
        <w:t>of</w:t>
      </w:r>
      <w:r>
        <w:rPr>
          <w:spacing w:val="48"/>
        </w:rPr>
        <w:t xml:space="preserve"> </w:t>
      </w:r>
      <w:r>
        <w:t>the</w:t>
      </w:r>
      <w:r>
        <w:rPr>
          <w:spacing w:val="32"/>
        </w:rPr>
        <w:t xml:space="preserve"> </w:t>
      </w:r>
      <w:r>
        <w:rPr>
          <w:spacing w:val="-2"/>
        </w:rPr>
        <w:t>Call</w:t>
      </w:r>
      <w:r>
        <w:rPr>
          <w:spacing w:val="32"/>
        </w:rPr>
        <w:t xml:space="preserve"> </w:t>
      </w:r>
      <w:r>
        <w:t>Off</w:t>
      </w:r>
      <w:r>
        <w:rPr>
          <w:spacing w:val="36"/>
        </w:rPr>
        <w:t xml:space="preserve"> </w:t>
      </w:r>
      <w:r>
        <w:rPr>
          <w:spacing w:val="-2"/>
        </w:rPr>
        <w:t>Contract</w:t>
      </w:r>
      <w:r>
        <w:rPr>
          <w:spacing w:val="35"/>
        </w:rPr>
        <w:t xml:space="preserve"> </w:t>
      </w:r>
      <w:r>
        <w:rPr>
          <w:spacing w:val="-1"/>
        </w:rPr>
        <w:t>Charges</w:t>
      </w:r>
      <w:r>
        <w:rPr>
          <w:spacing w:val="33"/>
        </w:rPr>
        <w:t xml:space="preserve"> </w:t>
      </w:r>
      <w:r>
        <w:rPr>
          <w:spacing w:val="-1"/>
        </w:rPr>
        <w:t>as</w:t>
      </w:r>
      <w:r>
        <w:rPr>
          <w:spacing w:val="33"/>
        </w:rPr>
        <w:t xml:space="preserve"> </w:t>
      </w:r>
      <w:r>
        <w:rPr>
          <w:spacing w:val="-1"/>
        </w:rPr>
        <w:t>Compensation</w:t>
      </w:r>
      <w:r>
        <w:rPr>
          <w:spacing w:val="34"/>
        </w:rPr>
        <w:t xml:space="preserve"> </w:t>
      </w:r>
      <w:r>
        <w:rPr>
          <w:spacing w:val="-2"/>
        </w:rPr>
        <w:t>for</w:t>
      </w:r>
      <w:r>
        <w:rPr>
          <w:spacing w:val="34"/>
        </w:rPr>
        <w:t xml:space="preserve"> </w:t>
      </w:r>
      <w:r>
        <w:rPr>
          <w:spacing w:val="-1"/>
        </w:rPr>
        <w:t>Critical</w:t>
      </w:r>
      <w:r>
        <w:t xml:space="preserve"> </w:t>
      </w:r>
      <w:r>
        <w:rPr>
          <w:spacing w:val="36"/>
        </w:rPr>
        <w:t xml:space="preserve"> </w:t>
      </w:r>
      <w:r>
        <w:rPr>
          <w:spacing w:val="-2"/>
        </w:rPr>
        <w:t>Service</w:t>
      </w:r>
      <w:r>
        <w:t xml:space="preserve"> </w:t>
      </w:r>
      <w:r>
        <w:rPr>
          <w:spacing w:val="37"/>
        </w:rPr>
        <w:t xml:space="preserve"> </w:t>
      </w:r>
      <w:r>
        <w:rPr>
          <w:spacing w:val="-2"/>
        </w:rPr>
        <w:t>Level</w:t>
      </w:r>
      <w:r>
        <w:t xml:space="preserve">  </w:t>
      </w:r>
      <w:r>
        <w:rPr>
          <w:spacing w:val="38"/>
        </w:rPr>
        <w:t xml:space="preserve"> </w:t>
      </w:r>
      <w:r>
        <w:rPr>
          <w:spacing w:val="-1"/>
        </w:rPr>
        <w:t>Failure</w:t>
      </w:r>
      <w:r>
        <w:t xml:space="preserve">  </w:t>
      </w:r>
      <w:r>
        <w:rPr>
          <w:spacing w:val="38"/>
        </w:rPr>
        <w:t xml:space="preserve"> </w:t>
      </w:r>
      <w:r>
        <w:rPr>
          <w:spacing w:val="-1"/>
        </w:rPr>
        <w:t>pursuant</w:t>
      </w:r>
      <w:r>
        <w:t xml:space="preserve">  </w:t>
      </w:r>
      <w:r>
        <w:rPr>
          <w:spacing w:val="35"/>
        </w:rPr>
        <w:t xml:space="preserve"> </w:t>
      </w:r>
      <w:r>
        <w:t xml:space="preserve">to  </w:t>
      </w:r>
      <w:r>
        <w:rPr>
          <w:spacing w:val="34"/>
        </w:rPr>
        <w:t xml:space="preserve"> </w:t>
      </w:r>
      <w:r>
        <w:rPr>
          <w:spacing w:val="-2"/>
        </w:rPr>
        <w:t>Clause</w:t>
      </w:r>
      <w:hyperlink w:anchor="_bookmark99" w:history="1">
        <w:r>
          <w:rPr>
            <w:spacing w:val="36"/>
          </w:rPr>
          <w:t xml:space="preserve"> </w:t>
        </w:r>
        <w:r>
          <w:rPr>
            <w:spacing w:val="-1"/>
          </w:rPr>
          <w:t>14</w:t>
        </w:r>
      </w:hyperlink>
      <w:r>
        <w:t xml:space="preserve"> </w:t>
      </w:r>
      <w:r>
        <w:rPr>
          <w:spacing w:val="-1"/>
        </w:rPr>
        <w:t>(Critical</w:t>
      </w:r>
      <w:r>
        <w:rPr>
          <w:spacing w:val="3"/>
        </w:rPr>
        <w:t xml:space="preserve"> </w:t>
      </w:r>
      <w:r>
        <w:rPr>
          <w:spacing w:val="-2"/>
        </w:rPr>
        <w:t>Service</w:t>
      </w:r>
      <w:r>
        <w:rPr>
          <w:spacing w:val="4"/>
        </w:rPr>
        <w:t xml:space="preserve"> </w:t>
      </w:r>
      <w:r>
        <w:rPr>
          <w:spacing w:val="-2"/>
        </w:rPr>
        <w:t>Level</w:t>
      </w:r>
      <w:r>
        <w:rPr>
          <w:spacing w:val="4"/>
        </w:rPr>
        <w:t xml:space="preserve"> </w:t>
      </w:r>
      <w:r>
        <w:rPr>
          <w:spacing w:val="-1"/>
        </w:rPr>
        <w:t>Failure)</w:t>
      </w:r>
      <w:r>
        <w:rPr>
          <w:spacing w:val="6"/>
        </w:rPr>
        <w:t xml:space="preserve"> </w:t>
      </w:r>
      <w:r>
        <w:t>to</w:t>
      </w:r>
      <w:r>
        <w:rPr>
          <w:spacing w:val="2"/>
        </w:rPr>
        <w:t xml:space="preserve"> </w:t>
      </w:r>
      <w:r>
        <w:t>the</w:t>
      </w:r>
      <w:r>
        <w:rPr>
          <w:spacing w:val="4"/>
        </w:rPr>
        <w:t xml:space="preserve"> </w:t>
      </w:r>
      <w:r>
        <w:rPr>
          <w:spacing w:val="-2"/>
        </w:rPr>
        <w:t>extent</w:t>
      </w:r>
      <w:r>
        <w:rPr>
          <w:spacing w:val="5"/>
        </w:rPr>
        <w:t xml:space="preserve"> </w:t>
      </w:r>
      <w:r>
        <w:rPr>
          <w:spacing w:val="-1"/>
        </w:rPr>
        <w:t>that</w:t>
      </w:r>
      <w:r>
        <w:rPr>
          <w:spacing w:val="5"/>
        </w:rPr>
        <w:t xml:space="preserve"> </w:t>
      </w:r>
      <w:r>
        <w:t>a</w:t>
      </w:r>
      <w:r>
        <w:rPr>
          <w:spacing w:val="43"/>
        </w:rPr>
        <w:t xml:space="preserve"> </w:t>
      </w:r>
      <w:r>
        <w:rPr>
          <w:spacing w:val="-2"/>
        </w:rPr>
        <w:t>Service</w:t>
      </w:r>
      <w:r>
        <w:rPr>
          <w:spacing w:val="8"/>
        </w:rPr>
        <w:t xml:space="preserve"> </w:t>
      </w:r>
      <w:r>
        <w:rPr>
          <w:spacing w:val="-1"/>
        </w:rPr>
        <w:t>Level</w:t>
      </w:r>
      <w:r>
        <w:rPr>
          <w:spacing w:val="7"/>
        </w:rPr>
        <w:t xml:space="preserve"> </w:t>
      </w:r>
      <w:r>
        <w:rPr>
          <w:spacing w:val="-1"/>
        </w:rPr>
        <w:t>Failure</w:t>
      </w:r>
      <w:r>
        <w:rPr>
          <w:spacing w:val="8"/>
        </w:rPr>
        <w:t xml:space="preserve"> </w:t>
      </w:r>
      <w:r>
        <w:rPr>
          <w:spacing w:val="-1"/>
        </w:rPr>
        <w:t>or</w:t>
      </w:r>
      <w:r>
        <w:rPr>
          <w:spacing w:val="11"/>
        </w:rPr>
        <w:t xml:space="preserve"> </w:t>
      </w:r>
      <w:r>
        <w:rPr>
          <w:spacing w:val="-1"/>
        </w:rPr>
        <w:t>Critical</w:t>
      </w:r>
      <w:r>
        <w:rPr>
          <w:spacing w:val="7"/>
        </w:rPr>
        <w:t xml:space="preserve"> </w:t>
      </w:r>
      <w:r>
        <w:rPr>
          <w:spacing w:val="-2"/>
        </w:rPr>
        <w:t>Service</w:t>
      </w:r>
      <w:r>
        <w:rPr>
          <w:spacing w:val="8"/>
        </w:rPr>
        <w:t xml:space="preserve"> </w:t>
      </w:r>
      <w:r>
        <w:rPr>
          <w:spacing w:val="-1"/>
        </w:rPr>
        <w:t>Level</w:t>
      </w:r>
      <w:r>
        <w:rPr>
          <w:spacing w:val="9"/>
        </w:rPr>
        <w:t xml:space="preserve"> </w:t>
      </w:r>
      <w:r>
        <w:rPr>
          <w:spacing w:val="-1"/>
        </w:rPr>
        <w:t>Failure</w:t>
      </w:r>
      <w:r>
        <w:rPr>
          <w:spacing w:val="9"/>
        </w:rPr>
        <w:t xml:space="preserve"> </w:t>
      </w:r>
      <w:r>
        <w:rPr>
          <w:spacing w:val="-1"/>
        </w:rPr>
        <w:t>has</w:t>
      </w:r>
      <w:r>
        <w:rPr>
          <w:spacing w:val="52"/>
        </w:rPr>
        <w:t xml:space="preserve"> </w:t>
      </w:r>
      <w:r>
        <w:rPr>
          <w:spacing w:val="-1"/>
        </w:rPr>
        <w:t>been</w:t>
      </w:r>
      <w:r>
        <w:t xml:space="preserve"> </w:t>
      </w:r>
      <w:r>
        <w:rPr>
          <w:spacing w:val="-1"/>
        </w:rPr>
        <w:t>caused</w:t>
      </w:r>
      <w:r>
        <w:rPr>
          <w:spacing w:val="-2"/>
        </w:rPr>
        <w:t xml:space="preserve"> </w:t>
      </w:r>
      <w:r>
        <w:rPr>
          <w:spacing w:val="-1"/>
        </w:rPr>
        <w:t>by</w:t>
      </w:r>
      <w:r>
        <w:rPr>
          <w:spacing w:val="-2"/>
        </w:rPr>
        <w:t xml:space="preserve"> </w:t>
      </w:r>
      <w:r>
        <w:t xml:space="preserve">the </w:t>
      </w:r>
      <w:r>
        <w:rPr>
          <w:spacing w:val="-2"/>
        </w:rPr>
        <w:t>Force</w:t>
      </w:r>
      <w:r>
        <w:t xml:space="preserve"> </w:t>
      </w:r>
      <w:r>
        <w:rPr>
          <w:spacing w:val="-1"/>
        </w:rPr>
        <w:t>Majeure</w:t>
      </w:r>
      <w:r>
        <w:t xml:space="preserve"> </w:t>
      </w:r>
      <w:r>
        <w:rPr>
          <w:spacing w:val="-1"/>
        </w:rPr>
        <w:t>Event;</w:t>
      </w:r>
      <w:r>
        <w:t xml:space="preserve"> </w:t>
      </w:r>
      <w:r>
        <w:rPr>
          <w:spacing w:val="-1"/>
        </w:rPr>
        <w:t>and</w:t>
      </w:r>
    </w:p>
    <w:p w:rsidR="008918FA" w:rsidRDefault="008918FA" w:rsidP="008918FA">
      <w:pPr>
        <w:pStyle w:val="BodyText"/>
        <w:numPr>
          <w:ilvl w:val="3"/>
          <w:numId w:val="66"/>
        </w:numPr>
        <w:tabs>
          <w:tab w:val="left" w:pos="2935"/>
        </w:tabs>
        <w:spacing w:before="121"/>
        <w:ind w:left="2934" w:right="112"/>
        <w:jc w:val="both"/>
      </w:pPr>
      <w:r>
        <w:t>the</w:t>
      </w:r>
      <w:r>
        <w:rPr>
          <w:spacing w:val="10"/>
        </w:rPr>
        <w:t xml:space="preserve"> </w:t>
      </w:r>
      <w:r>
        <w:rPr>
          <w:spacing w:val="-2"/>
        </w:rPr>
        <w:t>Supplier</w:t>
      </w:r>
      <w:r>
        <w:rPr>
          <w:spacing w:val="11"/>
        </w:rPr>
        <w:t xml:space="preserve"> </w:t>
      </w:r>
      <w:r>
        <w:rPr>
          <w:spacing w:val="-1"/>
        </w:rPr>
        <w:t>shall</w:t>
      </w:r>
      <w:r>
        <w:rPr>
          <w:spacing w:val="9"/>
        </w:rPr>
        <w:t xml:space="preserve"> </w:t>
      </w:r>
      <w:r>
        <w:rPr>
          <w:spacing w:val="-1"/>
        </w:rPr>
        <w:t>be</w:t>
      </w:r>
      <w:r>
        <w:rPr>
          <w:spacing w:val="10"/>
        </w:rPr>
        <w:t xml:space="preserve"> </w:t>
      </w:r>
      <w:r>
        <w:rPr>
          <w:spacing w:val="-1"/>
        </w:rPr>
        <w:t>entitled</w:t>
      </w:r>
      <w:r>
        <w:rPr>
          <w:spacing w:val="10"/>
        </w:rPr>
        <w:t xml:space="preserve"> </w:t>
      </w:r>
      <w:r>
        <w:t>to</w:t>
      </w:r>
      <w:r>
        <w:rPr>
          <w:spacing w:val="10"/>
        </w:rPr>
        <w:t xml:space="preserve"> </w:t>
      </w:r>
      <w:r>
        <w:rPr>
          <w:spacing w:val="-1"/>
        </w:rPr>
        <w:t>receive</w:t>
      </w:r>
      <w:r>
        <w:rPr>
          <w:spacing w:val="10"/>
        </w:rPr>
        <w:t xml:space="preserve"> </w:t>
      </w:r>
      <w:r>
        <w:rPr>
          <w:spacing w:val="-1"/>
        </w:rPr>
        <w:t>payment</w:t>
      </w:r>
      <w:r>
        <w:rPr>
          <w:spacing w:val="11"/>
        </w:rPr>
        <w:t xml:space="preserve"> </w:t>
      </w:r>
      <w:r>
        <w:rPr>
          <w:spacing w:val="-2"/>
        </w:rPr>
        <w:t>of</w:t>
      </w:r>
      <w:r>
        <w:rPr>
          <w:spacing w:val="14"/>
        </w:rPr>
        <w:t xml:space="preserve"> </w:t>
      </w:r>
      <w:r>
        <w:t>the</w:t>
      </w:r>
      <w:r>
        <w:rPr>
          <w:spacing w:val="10"/>
        </w:rPr>
        <w:t xml:space="preserve"> </w:t>
      </w:r>
      <w:r>
        <w:rPr>
          <w:spacing w:val="-2"/>
        </w:rPr>
        <w:t>Call</w:t>
      </w:r>
      <w:r>
        <w:rPr>
          <w:spacing w:val="9"/>
        </w:rPr>
        <w:t xml:space="preserve"> </w:t>
      </w:r>
      <w:r>
        <w:rPr>
          <w:spacing w:val="-1"/>
        </w:rPr>
        <w:t>Off</w:t>
      </w:r>
      <w:r>
        <w:rPr>
          <w:spacing w:val="45"/>
        </w:rPr>
        <w:t xml:space="preserve"> </w:t>
      </w:r>
      <w:r>
        <w:rPr>
          <w:spacing w:val="-1"/>
        </w:rPr>
        <w:t>Contract</w:t>
      </w:r>
      <w:r>
        <w:rPr>
          <w:spacing w:val="31"/>
        </w:rPr>
        <w:t xml:space="preserve"> </w:t>
      </w:r>
      <w:r>
        <w:rPr>
          <w:spacing w:val="-1"/>
        </w:rPr>
        <w:t>Charges</w:t>
      </w:r>
      <w:r>
        <w:rPr>
          <w:spacing w:val="30"/>
        </w:rPr>
        <w:t xml:space="preserve"> </w:t>
      </w:r>
      <w:r>
        <w:rPr>
          <w:spacing w:val="-1"/>
        </w:rPr>
        <w:t>(or</w:t>
      </w:r>
      <w:r>
        <w:rPr>
          <w:spacing w:val="30"/>
        </w:rPr>
        <w:t xml:space="preserve"> </w:t>
      </w:r>
      <w:r>
        <w:t>a</w:t>
      </w:r>
      <w:r>
        <w:rPr>
          <w:spacing w:val="27"/>
        </w:rPr>
        <w:t xml:space="preserve"> </w:t>
      </w:r>
      <w:r>
        <w:rPr>
          <w:spacing w:val="-1"/>
        </w:rPr>
        <w:t>proportional</w:t>
      </w:r>
      <w:r>
        <w:rPr>
          <w:spacing w:val="28"/>
        </w:rPr>
        <w:t xml:space="preserve"> </w:t>
      </w:r>
      <w:r>
        <w:rPr>
          <w:spacing w:val="-1"/>
        </w:rPr>
        <w:t>payment</w:t>
      </w:r>
      <w:r>
        <w:rPr>
          <w:spacing w:val="30"/>
        </w:rPr>
        <w:t xml:space="preserve"> </w:t>
      </w:r>
      <w:r>
        <w:rPr>
          <w:spacing w:val="-2"/>
        </w:rPr>
        <w:t>of</w:t>
      </w:r>
      <w:r>
        <w:rPr>
          <w:spacing w:val="30"/>
        </w:rPr>
        <w:t xml:space="preserve"> </w:t>
      </w:r>
      <w:r>
        <w:rPr>
          <w:spacing w:val="-1"/>
        </w:rPr>
        <w:t>them)</w:t>
      </w:r>
      <w:r>
        <w:rPr>
          <w:spacing w:val="30"/>
        </w:rPr>
        <w:t xml:space="preserve"> </w:t>
      </w:r>
      <w:r>
        <w:rPr>
          <w:spacing w:val="-1"/>
        </w:rPr>
        <w:t>only</w:t>
      </w:r>
      <w:r>
        <w:rPr>
          <w:spacing w:val="27"/>
        </w:rPr>
        <w:t xml:space="preserve"> </w:t>
      </w:r>
      <w:r>
        <w:t>to</w:t>
      </w:r>
      <w:r>
        <w:rPr>
          <w:spacing w:val="30"/>
        </w:rPr>
        <w:t xml:space="preserve"> </w:t>
      </w:r>
      <w:r>
        <w:t>the</w:t>
      </w:r>
      <w:r>
        <w:rPr>
          <w:spacing w:val="5"/>
        </w:rPr>
        <w:t xml:space="preserve"> </w:t>
      </w:r>
      <w:r>
        <w:rPr>
          <w:spacing w:val="-1"/>
        </w:rPr>
        <w:t>extent</w:t>
      </w:r>
      <w:r>
        <w:rPr>
          <w:spacing w:val="4"/>
        </w:rPr>
        <w:t xml:space="preserve"> </w:t>
      </w:r>
      <w:r>
        <w:rPr>
          <w:spacing w:val="-1"/>
        </w:rPr>
        <w:t>that</w:t>
      </w:r>
      <w:r>
        <w:rPr>
          <w:spacing w:val="4"/>
        </w:rPr>
        <w:t xml:space="preserve"> </w:t>
      </w:r>
      <w:r>
        <w:t>the</w:t>
      </w:r>
      <w:r>
        <w:rPr>
          <w:spacing w:val="3"/>
        </w:rPr>
        <w:t xml:space="preserve"> </w:t>
      </w:r>
      <w:r>
        <w:rPr>
          <w:spacing w:val="-1"/>
        </w:rPr>
        <w:t>Goods</w:t>
      </w:r>
      <w:r>
        <w:rPr>
          <w:spacing w:val="5"/>
        </w:rPr>
        <w:t xml:space="preserve"> </w:t>
      </w:r>
      <w:r>
        <w:rPr>
          <w:spacing w:val="-1"/>
        </w:rPr>
        <w:t>and/or</w:t>
      </w:r>
      <w:r>
        <w:rPr>
          <w:spacing w:val="6"/>
        </w:rPr>
        <w:t xml:space="preserve"> </w:t>
      </w:r>
      <w:r>
        <w:rPr>
          <w:spacing w:val="-2"/>
        </w:rPr>
        <w:t>Services</w:t>
      </w:r>
      <w:r>
        <w:rPr>
          <w:spacing w:val="6"/>
        </w:rPr>
        <w:t xml:space="preserve"> </w:t>
      </w:r>
      <w:r>
        <w:rPr>
          <w:spacing w:val="-1"/>
        </w:rPr>
        <w:t>(or</w:t>
      </w:r>
      <w:r>
        <w:rPr>
          <w:spacing w:val="6"/>
        </w:rPr>
        <w:t xml:space="preserve"> </w:t>
      </w:r>
      <w:r>
        <w:rPr>
          <w:spacing w:val="-2"/>
        </w:rPr>
        <w:t>part</w:t>
      </w:r>
      <w:r>
        <w:rPr>
          <w:spacing w:val="7"/>
        </w:rPr>
        <w:t xml:space="preserve"> </w:t>
      </w:r>
      <w:r>
        <w:rPr>
          <w:spacing w:val="-2"/>
        </w:rPr>
        <w:t>of</w:t>
      </w:r>
      <w:r>
        <w:rPr>
          <w:spacing w:val="6"/>
        </w:rPr>
        <w:t xml:space="preserve"> </w:t>
      </w:r>
      <w:r>
        <w:t>the</w:t>
      </w:r>
      <w:r>
        <w:rPr>
          <w:spacing w:val="3"/>
        </w:rPr>
        <w:t xml:space="preserve"> </w:t>
      </w:r>
      <w:r>
        <w:rPr>
          <w:spacing w:val="-1"/>
        </w:rPr>
        <w:t>Goods</w:t>
      </w:r>
      <w:r>
        <w:rPr>
          <w:spacing w:val="42"/>
        </w:rPr>
        <w:t xml:space="preserve"> </w:t>
      </w:r>
      <w:r>
        <w:rPr>
          <w:spacing w:val="-1"/>
        </w:rPr>
        <w:t>and/or</w:t>
      </w:r>
      <w:r>
        <w:rPr>
          <w:spacing w:val="2"/>
        </w:rPr>
        <w:t xml:space="preserve"> </w:t>
      </w:r>
      <w:r>
        <w:rPr>
          <w:spacing w:val="-1"/>
        </w:rPr>
        <w:t>Services)</w:t>
      </w:r>
      <w:r>
        <w:rPr>
          <w:spacing w:val="2"/>
        </w:rPr>
        <w:t xml:space="preserve"> </w:t>
      </w:r>
      <w:r>
        <w:rPr>
          <w:spacing w:val="-1"/>
        </w:rPr>
        <w:t>continue</w:t>
      </w:r>
      <w:r>
        <w:t xml:space="preserve"> to </w:t>
      </w:r>
      <w:r>
        <w:rPr>
          <w:spacing w:val="-1"/>
        </w:rPr>
        <w:t>be</w:t>
      </w:r>
      <w:r>
        <w:t xml:space="preserve"> </w:t>
      </w:r>
      <w:r>
        <w:rPr>
          <w:spacing w:val="-2"/>
        </w:rPr>
        <w:t>provided</w:t>
      </w:r>
      <w:r>
        <w:rPr>
          <w:spacing w:val="1"/>
        </w:rPr>
        <w:t xml:space="preserve"> </w:t>
      </w:r>
      <w:r>
        <w:rPr>
          <w:spacing w:val="-1"/>
        </w:rPr>
        <w:t>in</w:t>
      </w:r>
      <w:r>
        <w:t xml:space="preserve"> </w:t>
      </w:r>
      <w:r>
        <w:rPr>
          <w:spacing w:val="-1"/>
        </w:rPr>
        <w:t>accordance</w:t>
      </w:r>
      <w:r>
        <w:rPr>
          <w:spacing w:val="1"/>
        </w:rPr>
        <w:t xml:space="preserve"> </w:t>
      </w:r>
      <w:r>
        <w:rPr>
          <w:spacing w:val="-2"/>
        </w:rPr>
        <w:t>with</w:t>
      </w:r>
      <w:r>
        <w:t xml:space="preserve"> </w:t>
      </w:r>
      <w:r>
        <w:rPr>
          <w:spacing w:val="-1"/>
        </w:rPr>
        <w:t>the</w:t>
      </w:r>
      <w:r>
        <w:rPr>
          <w:spacing w:val="44"/>
        </w:rPr>
        <w:t xml:space="preserve"> </w:t>
      </w:r>
      <w:r>
        <w:rPr>
          <w:spacing w:val="-1"/>
        </w:rPr>
        <w:t>terms</w:t>
      </w:r>
      <w:r>
        <w:rPr>
          <w:spacing w:val="53"/>
        </w:rPr>
        <w:t xml:space="preserve"> </w:t>
      </w:r>
      <w:r>
        <w:rPr>
          <w:spacing w:val="-2"/>
        </w:rPr>
        <w:t>of</w:t>
      </w:r>
      <w:r>
        <w:rPr>
          <w:spacing w:val="52"/>
        </w:rPr>
        <w:t xml:space="preserve"> </w:t>
      </w:r>
      <w:r>
        <w:rPr>
          <w:spacing w:val="-1"/>
        </w:rPr>
        <w:t>this</w:t>
      </w:r>
      <w:r>
        <w:rPr>
          <w:spacing w:val="53"/>
        </w:rPr>
        <w:t xml:space="preserve"> </w:t>
      </w:r>
      <w:r>
        <w:rPr>
          <w:spacing w:val="-2"/>
        </w:rPr>
        <w:t>Call</w:t>
      </w:r>
      <w:r>
        <w:rPr>
          <w:spacing w:val="52"/>
        </w:rPr>
        <w:t xml:space="preserve"> </w:t>
      </w:r>
      <w:r>
        <w:rPr>
          <w:spacing w:val="-1"/>
        </w:rPr>
        <w:t>Off</w:t>
      </w:r>
      <w:r>
        <w:rPr>
          <w:spacing w:val="50"/>
        </w:rPr>
        <w:t xml:space="preserve"> </w:t>
      </w:r>
      <w:r>
        <w:rPr>
          <w:spacing w:val="-1"/>
        </w:rPr>
        <w:t>Contract</w:t>
      </w:r>
      <w:r>
        <w:rPr>
          <w:spacing w:val="55"/>
        </w:rPr>
        <w:t xml:space="preserve"> </w:t>
      </w:r>
      <w:r>
        <w:rPr>
          <w:spacing w:val="-2"/>
        </w:rPr>
        <w:t>during</w:t>
      </w:r>
      <w:r>
        <w:rPr>
          <w:spacing w:val="54"/>
        </w:rPr>
        <w:t xml:space="preserve"> </w:t>
      </w:r>
      <w:r>
        <w:t>the</w:t>
      </w:r>
      <w:r>
        <w:rPr>
          <w:spacing w:val="51"/>
        </w:rPr>
        <w:t xml:space="preserve"> </w:t>
      </w:r>
      <w:r>
        <w:rPr>
          <w:spacing w:val="-1"/>
        </w:rPr>
        <w:t>occurrence</w:t>
      </w:r>
      <w:r>
        <w:rPr>
          <w:spacing w:val="51"/>
        </w:rPr>
        <w:t xml:space="preserve"> </w:t>
      </w:r>
      <w:r>
        <w:rPr>
          <w:spacing w:val="-2"/>
        </w:rPr>
        <w:t>of</w:t>
      </w:r>
      <w:r>
        <w:rPr>
          <w:spacing w:val="55"/>
        </w:rPr>
        <w:t xml:space="preserve"> </w:t>
      </w:r>
      <w:r>
        <w:rPr>
          <w:spacing w:val="-1"/>
        </w:rPr>
        <w:t>the</w:t>
      </w:r>
      <w:r>
        <w:rPr>
          <w:spacing w:val="44"/>
        </w:rPr>
        <w:t xml:space="preserve"> </w:t>
      </w:r>
      <w:r>
        <w:rPr>
          <w:spacing w:val="-1"/>
        </w:rPr>
        <w:t>Force</w:t>
      </w:r>
      <w:r>
        <w:rPr>
          <w:spacing w:val="1"/>
        </w:rPr>
        <w:t xml:space="preserve"> </w:t>
      </w:r>
      <w:r>
        <w:rPr>
          <w:spacing w:val="-1"/>
        </w:rPr>
        <w:t>Majeure</w:t>
      </w:r>
      <w:r>
        <w:rPr>
          <w:spacing w:val="-2"/>
        </w:rPr>
        <w:t xml:space="preserve"> </w:t>
      </w:r>
      <w:r>
        <w:rPr>
          <w:spacing w:val="-1"/>
        </w:rPr>
        <w:t>Event.</w:t>
      </w:r>
    </w:p>
    <w:p w:rsidR="008918FA" w:rsidRDefault="008918FA" w:rsidP="008918FA">
      <w:pPr>
        <w:pStyle w:val="BodyText"/>
        <w:numPr>
          <w:ilvl w:val="1"/>
          <w:numId w:val="66"/>
        </w:numPr>
        <w:tabs>
          <w:tab w:val="left" w:pos="1233"/>
        </w:tabs>
        <w:ind w:left="1028" w:right="112" w:hanging="360"/>
        <w:jc w:val="both"/>
      </w:pPr>
      <w:bookmarkStart w:id="272" w:name="_bookmark228"/>
      <w:bookmarkEnd w:id="272"/>
      <w:r>
        <w:t>The</w:t>
      </w:r>
      <w:r>
        <w:rPr>
          <w:spacing w:val="27"/>
        </w:rPr>
        <w:t xml:space="preserve"> </w:t>
      </w:r>
      <w:r>
        <w:rPr>
          <w:spacing w:val="-1"/>
        </w:rPr>
        <w:t>Affected</w:t>
      </w:r>
      <w:r>
        <w:rPr>
          <w:spacing w:val="27"/>
        </w:rPr>
        <w:t xml:space="preserve"> </w:t>
      </w:r>
      <w:r>
        <w:rPr>
          <w:spacing w:val="-1"/>
        </w:rPr>
        <w:t>Party</w:t>
      </w:r>
      <w:r>
        <w:rPr>
          <w:spacing w:val="25"/>
        </w:rPr>
        <w:t xml:space="preserve"> </w:t>
      </w:r>
      <w:r>
        <w:rPr>
          <w:spacing w:val="-1"/>
        </w:rPr>
        <w:t>shall</w:t>
      </w:r>
      <w:r>
        <w:rPr>
          <w:spacing w:val="28"/>
        </w:rPr>
        <w:t xml:space="preserve"> </w:t>
      </w:r>
      <w:r>
        <w:t>notify</w:t>
      </w:r>
      <w:r>
        <w:rPr>
          <w:spacing w:val="25"/>
        </w:rPr>
        <w:t xml:space="preserve"> </w:t>
      </w:r>
      <w:r>
        <w:t>the</w:t>
      </w:r>
      <w:r>
        <w:rPr>
          <w:spacing w:val="27"/>
        </w:rPr>
        <w:t xml:space="preserve"> </w:t>
      </w:r>
      <w:r>
        <w:rPr>
          <w:spacing w:val="-1"/>
        </w:rPr>
        <w:t>other</w:t>
      </w:r>
      <w:r>
        <w:rPr>
          <w:spacing w:val="28"/>
        </w:rPr>
        <w:t xml:space="preserve"> </w:t>
      </w:r>
      <w:r>
        <w:rPr>
          <w:spacing w:val="-1"/>
        </w:rPr>
        <w:t>Party</w:t>
      </w:r>
      <w:r>
        <w:rPr>
          <w:spacing w:val="25"/>
        </w:rPr>
        <w:t xml:space="preserve"> </w:t>
      </w:r>
      <w:r>
        <w:rPr>
          <w:spacing w:val="-1"/>
        </w:rPr>
        <w:t>as</w:t>
      </w:r>
      <w:r>
        <w:rPr>
          <w:spacing w:val="27"/>
        </w:rPr>
        <w:t xml:space="preserve"> </w:t>
      </w:r>
      <w:r>
        <w:rPr>
          <w:spacing w:val="-1"/>
        </w:rPr>
        <w:t>soon</w:t>
      </w:r>
      <w:r>
        <w:rPr>
          <w:spacing w:val="27"/>
        </w:rPr>
        <w:t xml:space="preserve"> </w:t>
      </w:r>
      <w:r>
        <w:rPr>
          <w:spacing w:val="-1"/>
        </w:rPr>
        <w:t>as</w:t>
      </w:r>
      <w:r>
        <w:rPr>
          <w:spacing w:val="27"/>
        </w:rPr>
        <w:t xml:space="preserve"> </w:t>
      </w:r>
      <w:r>
        <w:rPr>
          <w:spacing w:val="-1"/>
        </w:rPr>
        <w:t>practicable</w:t>
      </w:r>
      <w:r>
        <w:rPr>
          <w:spacing w:val="27"/>
        </w:rPr>
        <w:t xml:space="preserve"> </w:t>
      </w:r>
      <w:r>
        <w:t>after</w:t>
      </w:r>
      <w:r>
        <w:rPr>
          <w:spacing w:val="28"/>
        </w:rPr>
        <w:t xml:space="preserve"> </w:t>
      </w:r>
      <w:r>
        <w:rPr>
          <w:spacing w:val="-1"/>
        </w:rPr>
        <w:t>the</w:t>
      </w:r>
      <w:r>
        <w:rPr>
          <w:spacing w:val="44"/>
        </w:rPr>
        <w:t xml:space="preserve"> </w:t>
      </w:r>
      <w:r>
        <w:rPr>
          <w:spacing w:val="-1"/>
        </w:rPr>
        <w:t>Force</w:t>
      </w:r>
      <w:r>
        <w:rPr>
          <w:spacing w:val="1"/>
        </w:rPr>
        <w:t xml:space="preserve"> </w:t>
      </w:r>
      <w:r>
        <w:rPr>
          <w:spacing w:val="-1"/>
        </w:rPr>
        <w:t>Majeure</w:t>
      </w:r>
      <w:r>
        <w:t xml:space="preserve"> </w:t>
      </w:r>
      <w:r>
        <w:rPr>
          <w:spacing w:val="-2"/>
        </w:rPr>
        <w:t>Event</w:t>
      </w:r>
      <w:r>
        <w:t xml:space="preserve"> </w:t>
      </w:r>
      <w:r>
        <w:rPr>
          <w:spacing w:val="-1"/>
        </w:rPr>
        <w:t>ceases</w:t>
      </w:r>
      <w:r>
        <w:rPr>
          <w:spacing w:val="1"/>
        </w:rPr>
        <w:t xml:space="preserve"> </w:t>
      </w:r>
      <w:r>
        <w:rPr>
          <w:spacing w:val="-1"/>
        </w:rPr>
        <w:t>or no</w:t>
      </w:r>
      <w:r>
        <w:t xml:space="preserve"> </w:t>
      </w:r>
      <w:r>
        <w:rPr>
          <w:spacing w:val="-1"/>
        </w:rPr>
        <w:t>longer causes</w:t>
      </w:r>
      <w:r>
        <w:rPr>
          <w:spacing w:val="1"/>
        </w:rPr>
        <w:t xml:space="preserve"> </w:t>
      </w:r>
      <w:r>
        <w:t>the</w:t>
      </w:r>
      <w:r>
        <w:rPr>
          <w:spacing w:val="-2"/>
        </w:rPr>
        <w:t xml:space="preserve"> </w:t>
      </w:r>
      <w:r>
        <w:rPr>
          <w:spacing w:val="-1"/>
        </w:rPr>
        <w:t>Affected</w:t>
      </w:r>
      <w:r>
        <w:rPr>
          <w:spacing w:val="-2"/>
        </w:rPr>
        <w:t xml:space="preserve"> </w:t>
      </w:r>
      <w:r>
        <w:rPr>
          <w:spacing w:val="-1"/>
        </w:rPr>
        <w:t>Party</w:t>
      </w:r>
      <w:r>
        <w:rPr>
          <w:spacing w:val="-2"/>
        </w:rPr>
        <w:t xml:space="preserve"> </w:t>
      </w:r>
      <w:r>
        <w:t xml:space="preserve">to </w:t>
      </w:r>
      <w:r>
        <w:rPr>
          <w:spacing w:val="-2"/>
        </w:rPr>
        <w:t>be</w:t>
      </w:r>
      <w:r>
        <w:t xml:space="preserve"> </w:t>
      </w:r>
      <w:r>
        <w:rPr>
          <w:spacing w:val="-1"/>
        </w:rPr>
        <w:t>unable</w:t>
      </w:r>
      <w:r>
        <w:t xml:space="preserve"> </w:t>
      </w:r>
      <w:r>
        <w:rPr>
          <w:spacing w:val="-1"/>
        </w:rPr>
        <w:t>to</w:t>
      </w:r>
      <w:r>
        <w:rPr>
          <w:spacing w:val="37"/>
        </w:rPr>
        <w:t xml:space="preserve"> </w:t>
      </w:r>
      <w:r>
        <w:rPr>
          <w:spacing w:val="-1"/>
        </w:rPr>
        <w:t>comply</w:t>
      </w:r>
      <w:r>
        <w:rPr>
          <w:spacing w:val="-2"/>
        </w:rPr>
        <w:t xml:space="preserve"> with</w:t>
      </w:r>
      <w:r>
        <w:t xml:space="preserve"> </w:t>
      </w:r>
      <w:r>
        <w:rPr>
          <w:spacing w:val="-1"/>
        </w:rPr>
        <w:t>its</w:t>
      </w:r>
      <w:r>
        <w:rPr>
          <w:spacing w:val="1"/>
        </w:rPr>
        <w:t xml:space="preserve"> </w:t>
      </w:r>
      <w:r>
        <w:rPr>
          <w:spacing w:val="-1"/>
        </w:rPr>
        <w:t>obligations</w:t>
      </w:r>
      <w:r>
        <w:rPr>
          <w:spacing w:val="1"/>
        </w:rPr>
        <w:t xml:space="preserve"> </w:t>
      </w:r>
      <w:r>
        <w:rPr>
          <w:spacing w:val="-1"/>
        </w:rPr>
        <w:t>under this</w:t>
      </w:r>
      <w:r>
        <w:rPr>
          <w:spacing w:val="-2"/>
        </w:rPr>
        <w:t xml:space="preserve"> Call</w:t>
      </w:r>
      <w:r>
        <w:t xml:space="preserve"> </w:t>
      </w:r>
      <w:r>
        <w:rPr>
          <w:spacing w:val="-1"/>
        </w:rPr>
        <w:t>Off</w:t>
      </w:r>
      <w:r>
        <w:rPr>
          <w:spacing w:val="2"/>
        </w:rPr>
        <w:t xml:space="preserve"> </w:t>
      </w:r>
      <w:r>
        <w:rPr>
          <w:spacing w:val="-1"/>
        </w:rPr>
        <w:t>Contract.</w:t>
      </w:r>
    </w:p>
    <w:p w:rsidR="008918FA" w:rsidRDefault="008918FA" w:rsidP="008918FA">
      <w:pPr>
        <w:pStyle w:val="BodyText"/>
        <w:numPr>
          <w:ilvl w:val="1"/>
          <w:numId w:val="66"/>
        </w:numPr>
        <w:tabs>
          <w:tab w:val="left" w:pos="1234"/>
        </w:tabs>
        <w:ind w:left="1029" w:right="114" w:hanging="360"/>
        <w:jc w:val="both"/>
      </w:pPr>
      <w:r>
        <w:rPr>
          <w:spacing w:val="-2"/>
        </w:rPr>
        <w:t>Relief</w:t>
      </w:r>
      <w:r>
        <w:rPr>
          <w:spacing w:val="11"/>
        </w:rPr>
        <w:t xml:space="preserve"> </w:t>
      </w:r>
      <w:r>
        <w:t>from</w:t>
      </w:r>
      <w:r>
        <w:rPr>
          <w:spacing w:val="11"/>
        </w:rPr>
        <w:t xml:space="preserve"> </w:t>
      </w:r>
      <w:r>
        <w:rPr>
          <w:spacing w:val="-2"/>
        </w:rPr>
        <w:t>liability</w:t>
      </w:r>
      <w:r>
        <w:rPr>
          <w:spacing w:val="10"/>
        </w:rPr>
        <w:t xml:space="preserve"> </w:t>
      </w:r>
      <w:r>
        <w:t>for</w:t>
      </w:r>
      <w:r>
        <w:rPr>
          <w:spacing w:val="11"/>
        </w:rPr>
        <w:t xml:space="preserve"> </w:t>
      </w:r>
      <w:r>
        <w:rPr>
          <w:spacing w:val="-1"/>
        </w:rPr>
        <w:t>the</w:t>
      </w:r>
      <w:r>
        <w:rPr>
          <w:spacing w:val="10"/>
        </w:rPr>
        <w:t xml:space="preserve"> </w:t>
      </w:r>
      <w:r>
        <w:t>Affected</w:t>
      </w:r>
      <w:r>
        <w:rPr>
          <w:spacing w:val="10"/>
        </w:rPr>
        <w:t xml:space="preserve"> </w:t>
      </w:r>
      <w:r>
        <w:rPr>
          <w:spacing w:val="-1"/>
        </w:rPr>
        <w:t>Party</w:t>
      </w:r>
      <w:r>
        <w:rPr>
          <w:spacing w:val="8"/>
        </w:rPr>
        <w:t xml:space="preserve"> </w:t>
      </w:r>
      <w:r>
        <w:rPr>
          <w:spacing w:val="-1"/>
        </w:rPr>
        <w:t>under</w:t>
      </w:r>
      <w:r>
        <w:rPr>
          <w:spacing w:val="11"/>
        </w:rPr>
        <w:t xml:space="preserve"> </w:t>
      </w:r>
      <w:r>
        <w:rPr>
          <w:spacing w:val="-2"/>
        </w:rPr>
        <w:t>this</w:t>
      </w:r>
      <w:r>
        <w:rPr>
          <w:spacing w:val="11"/>
        </w:rPr>
        <w:t xml:space="preserve"> </w:t>
      </w:r>
      <w:r>
        <w:rPr>
          <w:spacing w:val="-2"/>
        </w:rPr>
        <w:t>Clause</w:t>
      </w:r>
      <w:r>
        <w:rPr>
          <w:spacing w:val="2"/>
        </w:rPr>
        <w:t xml:space="preserve"> </w:t>
      </w:r>
      <w:hyperlink w:anchor="_bookmark225" w:history="1">
        <w:r>
          <w:rPr>
            <w:spacing w:val="-1"/>
          </w:rPr>
          <w:t>40</w:t>
        </w:r>
      </w:hyperlink>
      <w:r>
        <w:rPr>
          <w:spacing w:val="10"/>
        </w:rPr>
        <w:t xml:space="preserve"> </w:t>
      </w:r>
      <w:r>
        <w:rPr>
          <w:spacing w:val="-1"/>
        </w:rPr>
        <w:t>shall</w:t>
      </w:r>
      <w:r>
        <w:rPr>
          <w:spacing w:val="9"/>
        </w:rPr>
        <w:t xml:space="preserve"> </w:t>
      </w:r>
      <w:r>
        <w:rPr>
          <w:spacing w:val="-1"/>
        </w:rPr>
        <w:t>end</w:t>
      </w:r>
      <w:r>
        <w:rPr>
          <w:spacing w:val="15"/>
        </w:rPr>
        <w:t xml:space="preserve"> </w:t>
      </w:r>
      <w:r>
        <w:rPr>
          <w:spacing w:val="-1"/>
        </w:rPr>
        <w:t>as</w:t>
      </w:r>
      <w:r>
        <w:rPr>
          <w:spacing w:val="10"/>
        </w:rPr>
        <w:t xml:space="preserve"> </w:t>
      </w:r>
      <w:r>
        <w:rPr>
          <w:spacing w:val="-1"/>
        </w:rPr>
        <w:t>soon</w:t>
      </w:r>
      <w:r>
        <w:rPr>
          <w:spacing w:val="60"/>
        </w:rPr>
        <w:t xml:space="preserve"> </w:t>
      </w:r>
      <w:r>
        <w:rPr>
          <w:spacing w:val="-1"/>
        </w:rPr>
        <w:t>as</w:t>
      </w:r>
      <w:r>
        <w:rPr>
          <w:spacing w:val="25"/>
        </w:rPr>
        <w:t xml:space="preserve"> </w:t>
      </w:r>
      <w:r>
        <w:t>the</w:t>
      </w:r>
      <w:r>
        <w:rPr>
          <w:spacing w:val="24"/>
        </w:rPr>
        <w:t xml:space="preserve"> </w:t>
      </w:r>
      <w:r>
        <w:rPr>
          <w:spacing w:val="-1"/>
        </w:rPr>
        <w:t>Force</w:t>
      </w:r>
      <w:r>
        <w:rPr>
          <w:spacing w:val="25"/>
        </w:rPr>
        <w:t xml:space="preserve"> </w:t>
      </w:r>
      <w:r>
        <w:rPr>
          <w:spacing w:val="-1"/>
        </w:rPr>
        <w:t>Majeure</w:t>
      </w:r>
      <w:r>
        <w:rPr>
          <w:spacing w:val="24"/>
        </w:rPr>
        <w:t xml:space="preserve"> </w:t>
      </w:r>
      <w:r>
        <w:rPr>
          <w:spacing w:val="-2"/>
        </w:rPr>
        <w:t>Event</w:t>
      </w:r>
      <w:r>
        <w:rPr>
          <w:spacing w:val="26"/>
        </w:rPr>
        <w:t xml:space="preserve"> </w:t>
      </w:r>
      <w:r>
        <w:rPr>
          <w:spacing w:val="-1"/>
        </w:rPr>
        <w:t>no</w:t>
      </w:r>
      <w:r>
        <w:rPr>
          <w:spacing w:val="24"/>
        </w:rPr>
        <w:t xml:space="preserve"> </w:t>
      </w:r>
      <w:r>
        <w:rPr>
          <w:spacing w:val="-1"/>
        </w:rPr>
        <w:t>longer</w:t>
      </w:r>
      <w:r>
        <w:rPr>
          <w:spacing w:val="26"/>
        </w:rPr>
        <w:t xml:space="preserve"> </w:t>
      </w:r>
      <w:r>
        <w:rPr>
          <w:spacing w:val="-1"/>
        </w:rPr>
        <w:t>causes</w:t>
      </w:r>
      <w:r>
        <w:rPr>
          <w:spacing w:val="22"/>
        </w:rPr>
        <w:t xml:space="preserve"> </w:t>
      </w:r>
      <w:r>
        <w:rPr>
          <w:spacing w:val="-1"/>
        </w:rPr>
        <w:t>the</w:t>
      </w:r>
      <w:r>
        <w:rPr>
          <w:spacing w:val="24"/>
        </w:rPr>
        <w:t xml:space="preserve"> </w:t>
      </w:r>
      <w:r>
        <w:rPr>
          <w:spacing w:val="-1"/>
        </w:rPr>
        <w:t>Affected</w:t>
      </w:r>
      <w:r>
        <w:rPr>
          <w:spacing w:val="24"/>
        </w:rPr>
        <w:t xml:space="preserve"> </w:t>
      </w:r>
      <w:r>
        <w:rPr>
          <w:spacing w:val="-1"/>
        </w:rPr>
        <w:t>Party</w:t>
      </w:r>
      <w:r>
        <w:rPr>
          <w:spacing w:val="22"/>
        </w:rPr>
        <w:t xml:space="preserve"> </w:t>
      </w:r>
      <w:r>
        <w:t>to</w:t>
      </w:r>
      <w:r>
        <w:rPr>
          <w:spacing w:val="24"/>
        </w:rPr>
        <w:t xml:space="preserve"> </w:t>
      </w:r>
      <w:r>
        <w:rPr>
          <w:spacing w:val="-1"/>
        </w:rPr>
        <w:t>be</w:t>
      </w:r>
      <w:r>
        <w:rPr>
          <w:spacing w:val="22"/>
        </w:rPr>
        <w:t xml:space="preserve"> </w:t>
      </w:r>
      <w:r>
        <w:rPr>
          <w:spacing w:val="-1"/>
        </w:rPr>
        <w:t>unable</w:t>
      </w:r>
      <w:r>
        <w:rPr>
          <w:spacing w:val="24"/>
        </w:rPr>
        <w:t xml:space="preserve"> </w:t>
      </w:r>
      <w:r>
        <w:t>to</w:t>
      </w:r>
      <w:r>
        <w:rPr>
          <w:spacing w:val="49"/>
        </w:rPr>
        <w:t xml:space="preserve"> </w:t>
      </w:r>
      <w:r>
        <w:rPr>
          <w:spacing w:val="-1"/>
        </w:rPr>
        <w:t>comply</w:t>
      </w:r>
      <w:r>
        <w:rPr>
          <w:spacing w:val="10"/>
        </w:rPr>
        <w:t xml:space="preserve"> </w:t>
      </w:r>
      <w:r>
        <w:rPr>
          <w:spacing w:val="-2"/>
        </w:rPr>
        <w:t>with</w:t>
      </w:r>
      <w:r>
        <w:rPr>
          <w:spacing w:val="10"/>
        </w:rPr>
        <w:t xml:space="preserve"> </w:t>
      </w:r>
      <w:r>
        <w:rPr>
          <w:spacing w:val="-1"/>
        </w:rPr>
        <w:t>its</w:t>
      </w:r>
      <w:r>
        <w:rPr>
          <w:spacing w:val="10"/>
        </w:rPr>
        <w:t xml:space="preserve"> </w:t>
      </w:r>
      <w:r>
        <w:rPr>
          <w:spacing w:val="-1"/>
        </w:rPr>
        <w:t>obligations</w:t>
      </w:r>
      <w:r>
        <w:rPr>
          <w:spacing w:val="10"/>
        </w:rPr>
        <w:t xml:space="preserve"> </w:t>
      </w:r>
      <w:r>
        <w:rPr>
          <w:spacing w:val="-1"/>
        </w:rPr>
        <w:t>under</w:t>
      </w:r>
      <w:r>
        <w:rPr>
          <w:spacing w:val="11"/>
        </w:rPr>
        <w:t xml:space="preserve"> </w:t>
      </w:r>
      <w:r>
        <w:rPr>
          <w:spacing w:val="-1"/>
        </w:rPr>
        <w:t>this</w:t>
      </w:r>
      <w:r>
        <w:rPr>
          <w:spacing w:val="11"/>
        </w:rPr>
        <w:t xml:space="preserve"> </w:t>
      </w:r>
      <w:r>
        <w:rPr>
          <w:spacing w:val="-2"/>
        </w:rPr>
        <w:t>Call</w:t>
      </w:r>
      <w:r>
        <w:rPr>
          <w:spacing w:val="9"/>
        </w:rPr>
        <w:t xml:space="preserve"> </w:t>
      </w:r>
      <w:r>
        <w:t>Off</w:t>
      </w:r>
      <w:r>
        <w:rPr>
          <w:spacing w:val="11"/>
        </w:rPr>
        <w:t xml:space="preserve"> </w:t>
      </w:r>
      <w:r>
        <w:rPr>
          <w:spacing w:val="-2"/>
        </w:rPr>
        <w:t>Contract</w:t>
      </w:r>
      <w:r>
        <w:rPr>
          <w:spacing w:val="12"/>
        </w:rPr>
        <w:t xml:space="preserve"> </w:t>
      </w:r>
      <w:r>
        <w:rPr>
          <w:spacing w:val="-1"/>
        </w:rPr>
        <w:t>and</w:t>
      </w:r>
      <w:r>
        <w:rPr>
          <w:spacing w:val="10"/>
        </w:rPr>
        <w:t xml:space="preserve"> </w:t>
      </w:r>
      <w:r>
        <w:rPr>
          <w:spacing w:val="-1"/>
        </w:rPr>
        <w:t>shall</w:t>
      </w:r>
      <w:r>
        <w:rPr>
          <w:spacing w:val="9"/>
        </w:rPr>
        <w:t xml:space="preserve"> </w:t>
      </w:r>
      <w:r>
        <w:rPr>
          <w:spacing w:val="-1"/>
        </w:rPr>
        <w:t>not</w:t>
      </w:r>
      <w:r>
        <w:rPr>
          <w:spacing w:val="11"/>
        </w:rPr>
        <w:t xml:space="preserve"> </w:t>
      </w:r>
      <w:r>
        <w:rPr>
          <w:spacing w:val="-1"/>
        </w:rPr>
        <w:t>be</w:t>
      </w:r>
      <w:r>
        <w:rPr>
          <w:spacing w:val="10"/>
        </w:rPr>
        <w:t xml:space="preserve"> </w:t>
      </w:r>
      <w:r>
        <w:rPr>
          <w:spacing w:val="-1"/>
        </w:rPr>
        <w:t>dependent</w:t>
      </w:r>
      <w:r>
        <w:rPr>
          <w:spacing w:val="60"/>
        </w:rPr>
        <w:t xml:space="preserve"> </w:t>
      </w:r>
      <w:r>
        <w:rPr>
          <w:spacing w:val="-1"/>
        </w:rPr>
        <w:t>on</w:t>
      </w:r>
      <w:r>
        <w:t xml:space="preserve"> the</w:t>
      </w:r>
      <w:r>
        <w:rPr>
          <w:spacing w:val="-2"/>
        </w:rPr>
        <w:t xml:space="preserve"> </w:t>
      </w:r>
      <w:r>
        <w:rPr>
          <w:spacing w:val="-1"/>
        </w:rPr>
        <w:t>serving</w:t>
      </w:r>
      <w:r>
        <w:t xml:space="preserve"> </w:t>
      </w:r>
      <w:r>
        <w:rPr>
          <w:spacing w:val="-2"/>
        </w:rPr>
        <w:t>of</w:t>
      </w:r>
      <w:r>
        <w:rPr>
          <w:spacing w:val="2"/>
        </w:rPr>
        <w:t xml:space="preserve"> </w:t>
      </w:r>
      <w:r>
        <w:rPr>
          <w:spacing w:val="-1"/>
        </w:rPr>
        <w:t>notice</w:t>
      </w:r>
      <w:r>
        <w:rPr>
          <w:spacing w:val="-4"/>
        </w:rPr>
        <w:t xml:space="preserve"> </w:t>
      </w:r>
      <w:r>
        <w:rPr>
          <w:spacing w:val="-1"/>
        </w:rPr>
        <w:t>under</w:t>
      </w:r>
      <w:r>
        <w:rPr>
          <w:spacing w:val="2"/>
        </w:rPr>
        <w:t xml:space="preserve"> </w:t>
      </w:r>
      <w:r>
        <w:rPr>
          <w:spacing w:val="-2"/>
        </w:rPr>
        <w:t>Clause</w:t>
      </w:r>
      <w:r>
        <w:rPr>
          <w:spacing w:val="2"/>
        </w:rPr>
        <w:t xml:space="preserve"> </w:t>
      </w:r>
      <w:hyperlink w:anchor="_bookmark228" w:history="1">
        <w:r>
          <w:rPr>
            <w:spacing w:val="-1"/>
          </w:rPr>
          <w:t>40.7</w:t>
        </w:r>
      </w:hyperlink>
      <w:r>
        <w:rPr>
          <w:spacing w:val="-1"/>
        </w:rPr>
        <w:t>.</w:t>
      </w:r>
    </w:p>
    <w:p w:rsidR="008918FA" w:rsidRDefault="008918FA" w:rsidP="008918FA">
      <w:pPr>
        <w:spacing w:before="3"/>
        <w:rPr>
          <w:rFonts w:ascii="Arial" w:eastAsia="Arial" w:hAnsi="Arial" w:cs="Arial"/>
          <w:sz w:val="14"/>
          <w:szCs w:val="14"/>
        </w:rPr>
      </w:pPr>
    </w:p>
    <w:p w:rsidR="008918FA" w:rsidRDefault="008918FA" w:rsidP="008918FA">
      <w:pPr>
        <w:pStyle w:val="Heading1"/>
        <w:tabs>
          <w:tab w:val="left" w:pos="666"/>
        </w:tabs>
        <w:spacing w:before="73"/>
        <w:ind w:left="100" w:firstLine="0"/>
        <w:rPr>
          <w:b w:val="0"/>
          <w:bCs w:val="0"/>
        </w:rPr>
      </w:pPr>
      <w:bookmarkStart w:id="273" w:name="_bookmark229"/>
      <w:bookmarkEnd w:id="273"/>
      <w:r>
        <w:rPr>
          <w:color w:val="C00000"/>
          <w:spacing w:val="-1"/>
        </w:rPr>
        <w:t>K.</w:t>
      </w:r>
      <w:r>
        <w:rPr>
          <w:color w:val="C00000"/>
          <w:spacing w:val="-1"/>
        </w:rPr>
        <w:tab/>
      </w:r>
      <w:r w:rsidRPr="001C1527">
        <w:rPr>
          <w:color w:val="C00000"/>
          <w:spacing w:val="-1"/>
          <w:u w:val="single"/>
        </w:rPr>
        <w:t>TERMINATION</w:t>
      </w:r>
      <w:r w:rsidRPr="001C1527">
        <w:rPr>
          <w:color w:val="C00000"/>
          <w:spacing w:val="2"/>
          <w:u w:val="single"/>
        </w:rPr>
        <w:t xml:space="preserve"> </w:t>
      </w:r>
      <w:r w:rsidRPr="001C1527">
        <w:rPr>
          <w:color w:val="C00000"/>
          <w:spacing w:val="-2"/>
          <w:u w:val="single"/>
        </w:rPr>
        <w:t>AND</w:t>
      </w:r>
      <w:r w:rsidRPr="001C1527">
        <w:rPr>
          <w:color w:val="C00000"/>
          <w:u w:val="single"/>
        </w:rPr>
        <w:t xml:space="preserve"> </w:t>
      </w:r>
      <w:r w:rsidRPr="001C1527">
        <w:rPr>
          <w:color w:val="C00000"/>
          <w:spacing w:val="-1"/>
          <w:u w:val="single"/>
        </w:rPr>
        <w:t>EXIT</w:t>
      </w:r>
      <w:r w:rsidRPr="001C1527">
        <w:rPr>
          <w:color w:val="C00000"/>
          <w:spacing w:val="-2"/>
          <w:u w:val="single"/>
        </w:rPr>
        <w:t xml:space="preserve"> </w:t>
      </w:r>
      <w:r w:rsidRPr="001C1527">
        <w:rPr>
          <w:color w:val="C00000"/>
          <w:spacing w:val="-1"/>
          <w:u w:val="single"/>
        </w:rPr>
        <w:t>MANAGEMENT</w:t>
      </w:r>
    </w:p>
    <w:p w:rsidR="008918FA" w:rsidRDefault="008918FA" w:rsidP="008918FA">
      <w:pPr>
        <w:spacing w:before="6"/>
        <w:rPr>
          <w:rFonts w:ascii="Arial" w:eastAsia="Arial" w:hAnsi="Arial" w:cs="Arial"/>
          <w:b/>
          <w:bCs/>
          <w:sz w:val="14"/>
          <w:szCs w:val="14"/>
        </w:rPr>
      </w:pPr>
    </w:p>
    <w:p w:rsidR="008918FA" w:rsidRDefault="008918FA" w:rsidP="008918FA">
      <w:pPr>
        <w:pStyle w:val="BodyText"/>
        <w:numPr>
          <w:ilvl w:val="0"/>
          <w:numId w:val="66"/>
        </w:numPr>
        <w:tabs>
          <w:tab w:val="left" w:pos="667"/>
        </w:tabs>
        <w:spacing w:before="72"/>
        <w:ind w:left="667"/>
        <w:rPr>
          <w:rFonts w:ascii="Times New Roman" w:eastAsia="Times New Roman" w:hAnsi="Times New Roman" w:cs="Times New Roman"/>
        </w:rPr>
      </w:pPr>
      <w:bookmarkStart w:id="274" w:name="_bookmark230"/>
      <w:bookmarkEnd w:id="274"/>
      <w:r>
        <w:rPr>
          <w:rFonts w:ascii="Times New Roman"/>
          <w:spacing w:val="3"/>
        </w:rPr>
        <w:t>CUS</w:t>
      </w:r>
      <w:r>
        <w:rPr>
          <w:rFonts w:ascii="Times New Roman"/>
          <w:spacing w:val="-29"/>
        </w:rPr>
        <w:t xml:space="preserve"> </w:t>
      </w:r>
      <w:r>
        <w:rPr>
          <w:rFonts w:ascii="Times New Roman"/>
          <w:spacing w:val="1"/>
        </w:rPr>
        <w:t>TOMER</w:t>
      </w:r>
      <w:r>
        <w:rPr>
          <w:rFonts w:ascii="Times New Roman"/>
          <w:spacing w:val="18"/>
        </w:rPr>
        <w:t xml:space="preserve"> </w:t>
      </w:r>
      <w:bookmarkStart w:id="275" w:name="_bookmark231"/>
      <w:bookmarkEnd w:id="275"/>
      <w:r>
        <w:rPr>
          <w:rFonts w:ascii="Times New Roman"/>
          <w:spacing w:val="-1"/>
        </w:rPr>
        <w:t>TERMINATION</w:t>
      </w:r>
      <w:r>
        <w:rPr>
          <w:rFonts w:ascii="Times New Roman"/>
          <w:spacing w:val="6"/>
        </w:rPr>
        <w:t xml:space="preserve"> </w:t>
      </w:r>
      <w:r>
        <w:rPr>
          <w:rFonts w:ascii="Times New Roman"/>
        </w:rPr>
        <w:t>RIGHTS</w:t>
      </w:r>
    </w:p>
    <w:p w:rsidR="008918FA" w:rsidRDefault="008918FA" w:rsidP="008918FA">
      <w:pPr>
        <w:spacing w:before="8"/>
        <w:rPr>
          <w:rFonts w:ascii="Times New Roman" w:eastAsia="Times New Roman" w:hAnsi="Times New Roman" w:cs="Times New Roman"/>
          <w:sz w:val="14"/>
          <w:szCs w:val="14"/>
        </w:rPr>
      </w:pPr>
    </w:p>
    <w:p w:rsidR="008918FA" w:rsidRDefault="008918FA" w:rsidP="008918FA">
      <w:pPr>
        <w:pStyle w:val="Heading1"/>
        <w:numPr>
          <w:ilvl w:val="1"/>
          <w:numId w:val="66"/>
        </w:numPr>
        <w:tabs>
          <w:tab w:val="left" w:pos="1233"/>
        </w:tabs>
        <w:spacing w:before="72"/>
        <w:ind w:hanging="564"/>
        <w:rPr>
          <w:b w:val="0"/>
          <w:bCs w:val="0"/>
        </w:rPr>
      </w:pPr>
      <w:bookmarkStart w:id="276" w:name="_bookmark232"/>
      <w:bookmarkEnd w:id="276"/>
      <w:r>
        <w:rPr>
          <w:spacing w:val="-1"/>
        </w:rPr>
        <w:t>Termination</w:t>
      </w:r>
      <w:r>
        <w:rPr>
          <w:spacing w:val="-2"/>
        </w:rPr>
        <w:t xml:space="preserve"> </w:t>
      </w:r>
      <w:r>
        <w:t>in</w:t>
      </w:r>
      <w:r>
        <w:rPr>
          <w:spacing w:val="-2"/>
        </w:rPr>
        <w:t xml:space="preserve"> </w:t>
      </w:r>
      <w:r>
        <w:rPr>
          <w:spacing w:val="-1"/>
        </w:rPr>
        <w:t>Relation</w:t>
      </w:r>
      <w:r>
        <w:rPr>
          <w:spacing w:val="-2"/>
        </w:rPr>
        <w:t xml:space="preserve"> </w:t>
      </w:r>
      <w:r>
        <w:t>to</w:t>
      </w:r>
      <w:r>
        <w:rPr>
          <w:spacing w:val="-2"/>
        </w:rPr>
        <w:t xml:space="preserve"> </w:t>
      </w:r>
      <w:r>
        <w:rPr>
          <w:spacing w:val="-1"/>
        </w:rPr>
        <w:t>Guarantee</w:t>
      </w:r>
    </w:p>
    <w:p w:rsidR="008918FA" w:rsidRDefault="008918FA" w:rsidP="008918FA">
      <w:pPr>
        <w:pStyle w:val="BodyText"/>
        <w:numPr>
          <w:ilvl w:val="2"/>
          <w:numId w:val="66"/>
        </w:numPr>
        <w:tabs>
          <w:tab w:val="left" w:pos="2227"/>
        </w:tabs>
        <w:spacing w:before="121"/>
        <w:ind w:right="114"/>
        <w:jc w:val="both"/>
      </w:pPr>
      <w:r>
        <w:rPr>
          <w:spacing w:val="-1"/>
        </w:rPr>
        <w:t>Where</w:t>
      </w:r>
      <w:r>
        <w:rPr>
          <w:spacing w:val="7"/>
        </w:rPr>
        <w:t xml:space="preserve"> </w:t>
      </w:r>
      <w:r>
        <w:rPr>
          <w:spacing w:val="-1"/>
        </w:rPr>
        <w:t>this</w:t>
      </w:r>
      <w:r>
        <w:rPr>
          <w:spacing w:val="8"/>
        </w:rPr>
        <w:t xml:space="preserve"> </w:t>
      </w:r>
      <w:r>
        <w:rPr>
          <w:spacing w:val="-2"/>
        </w:rPr>
        <w:t>Call</w:t>
      </w:r>
      <w:r>
        <w:rPr>
          <w:spacing w:val="7"/>
        </w:rPr>
        <w:t xml:space="preserve"> </w:t>
      </w:r>
      <w:r>
        <w:rPr>
          <w:spacing w:val="-1"/>
        </w:rPr>
        <w:t>Off</w:t>
      </w:r>
      <w:r>
        <w:rPr>
          <w:spacing w:val="9"/>
        </w:rPr>
        <w:t xml:space="preserve"> </w:t>
      </w:r>
      <w:r>
        <w:rPr>
          <w:spacing w:val="-1"/>
        </w:rPr>
        <w:t>Contract</w:t>
      </w:r>
      <w:r>
        <w:rPr>
          <w:spacing w:val="9"/>
        </w:rPr>
        <w:t xml:space="preserve"> </w:t>
      </w:r>
      <w:r>
        <w:rPr>
          <w:spacing w:val="-1"/>
        </w:rPr>
        <w:t>is</w:t>
      </w:r>
      <w:r>
        <w:rPr>
          <w:spacing w:val="8"/>
        </w:rPr>
        <w:t xml:space="preserve"> </w:t>
      </w:r>
      <w:r>
        <w:rPr>
          <w:spacing w:val="-1"/>
        </w:rPr>
        <w:t>conditional</w:t>
      </w:r>
      <w:r>
        <w:rPr>
          <w:spacing w:val="7"/>
        </w:rPr>
        <w:t xml:space="preserve"> </w:t>
      </w:r>
      <w:r>
        <w:rPr>
          <w:spacing w:val="-1"/>
        </w:rPr>
        <w:t>upon</w:t>
      </w:r>
      <w:r>
        <w:rPr>
          <w:spacing w:val="7"/>
        </w:rPr>
        <w:t xml:space="preserve"> </w:t>
      </w:r>
      <w:r>
        <w:rPr>
          <w:spacing w:val="-1"/>
        </w:rPr>
        <w:t>the</w:t>
      </w:r>
      <w:r>
        <w:rPr>
          <w:spacing w:val="7"/>
        </w:rPr>
        <w:t xml:space="preserve"> </w:t>
      </w:r>
      <w:r>
        <w:rPr>
          <w:spacing w:val="-2"/>
        </w:rPr>
        <w:t>Supplier</w:t>
      </w:r>
      <w:r>
        <w:rPr>
          <w:spacing w:val="9"/>
        </w:rPr>
        <w:t xml:space="preserve"> </w:t>
      </w:r>
      <w:r>
        <w:rPr>
          <w:spacing w:val="-1"/>
        </w:rPr>
        <w:t>procuring</w:t>
      </w:r>
      <w:r>
        <w:rPr>
          <w:spacing w:val="46"/>
        </w:rPr>
        <w:t xml:space="preserve"> </w:t>
      </w:r>
      <w:r>
        <w:t>a</w:t>
      </w:r>
      <w:r>
        <w:rPr>
          <w:spacing w:val="31"/>
        </w:rPr>
        <w:t xml:space="preserve"> </w:t>
      </w:r>
      <w:r>
        <w:rPr>
          <w:spacing w:val="-2"/>
        </w:rPr>
        <w:t>Call</w:t>
      </w:r>
      <w:r>
        <w:rPr>
          <w:spacing w:val="31"/>
        </w:rPr>
        <w:t xml:space="preserve"> </w:t>
      </w:r>
      <w:r>
        <w:rPr>
          <w:spacing w:val="-1"/>
        </w:rPr>
        <w:t>Off</w:t>
      </w:r>
      <w:r>
        <w:rPr>
          <w:spacing w:val="30"/>
        </w:rPr>
        <w:t xml:space="preserve"> </w:t>
      </w:r>
      <w:r>
        <w:rPr>
          <w:spacing w:val="-1"/>
        </w:rPr>
        <w:t>Guarantee</w:t>
      </w:r>
      <w:r>
        <w:rPr>
          <w:spacing w:val="29"/>
        </w:rPr>
        <w:t xml:space="preserve"> </w:t>
      </w:r>
      <w:r>
        <w:rPr>
          <w:spacing w:val="-1"/>
        </w:rPr>
        <w:t>pursuant</w:t>
      </w:r>
      <w:r>
        <w:rPr>
          <w:spacing w:val="30"/>
        </w:rPr>
        <w:t xml:space="preserve"> </w:t>
      </w:r>
      <w:r>
        <w:t>to</w:t>
      </w:r>
      <w:r>
        <w:rPr>
          <w:spacing w:val="29"/>
        </w:rPr>
        <w:t xml:space="preserve"> </w:t>
      </w:r>
      <w:r>
        <w:rPr>
          <w:spacing w:val="-2"/>
        </w:rPr>
        <w:t>Clause</w:t>
      </w:r>
      <w:r>
        <w:rPr>
          <w:spacing w:val="32"/>
        </w:rPr>
        <w:t xml:space="preserve"> </w:t>
      </w:r>
      <w:hyperlink w:anchor="_bookmark52" w:history="1">
        <w:r>
          <w:t>4</w:t>
        </w:r>
      </w:hyperlink>
      <w:r>
        <w:rPr>
          <w:spacing w:val="30"/>
        </w:rPr>
        <w:t xml:space="preserve"> </w:t>
      </w:r>
      <w:r>
        <w:rPr>
          <w:spacing w:val="-1"/>
        </w:rPr>
        <w:t>(Call</w:t>
      </w:r>
      <w:r>
        <w:rPr>
          <w:spacing w:val="32"/>
        </w:rPr>
        <w:t xml:space="preserve"> </w:t>
      </w:r>
      <w:r>
        <w:rPr>
          <w:spacing w:val="-1"/>
        </w:rPr>
        <w:t>Off</w:t>
      </w:r>
      <w:r>
        <w:rPr>
          <w:spacing w:val="30"/>
        </w:rPr>
        <w:t xml:space="preserve"> </w:t>
      </w:r>
      <w:r>
        <w:rPr>
          <w:spacing w:val="-1"/>
        </w:rPr>
        <w:t>Guarantee),</w:t>
      </w:r>
      <w:r>
        <w:rPr>
          <w:spacing w:val="30"/>
        </w:rPr>
        <w:t xml:space="preserve"> </w:t>
      </w:r>
      <w:r>
        <w:rPr>
          <w:spacing w:val="-1"/>
        </w:rPr>
        <w:t>the</w:t>
      </w:r>
      <w:r>
        <w:rPr>
          <w:spacing w:val="42"/>
        </w:rPr>
        <w:t xml:space="preserve"> </w:t>
      </w:r>
      <w:r>
        <w:rPr>
          <w:spacing w:val="-1"/>
        </w:rPr>
        <w:t>Customer</w:t>
      </w:r>
      <w:r>
        <w:rPr>
          <w:spacing w:val="11"/>
        </w:rPr>
        <w:t xml:space="preserve"> </w:t>
      </w:r>
      <w:r>
        <w:rPr>
          <w:spacing w:val="-1"/>
        </w:rPr>
        <w:t>may</w:t>
      </w:r>
      <w:r>
        <w:rPr>
          <w:spacing w:val="8"/>
        </w:rPr>
        <w:t xml:space="preserve"> </w:t>
      </w:r>
      <w:r>
        <w:rPr>
          <w:spacing w:val="-1"/>
        </w:rPr>
        <w:t>terminate</w:t>
      </w:r>
      <w:r>
        <w:rPr>
          <w:spacing w:val="10"/>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4"/>
        </w:rPr>
        <w:t xml:space="preserve"> </w:t>
      </w:r>
      <w:r>
        <w:rPr>
          <w:spacing w:val="-2"/>
        </w:rPr>
        <w:t>Contract</w:t>
      </w:r>
      <w:r>
        <w:rPr>
          <w:spacing w:val="11"/>
        </w:rPr>
        <w:t xml:space="preserve"> </w:t>
      </w:r>
      <w:r>
        <w:rPr>
          <w:spacing w:val="-1"/>
        </w:rPr>
        <w:t>by</w:t>
      </w:r>
      <w:r>
        <w:rPr>
          <w:spacing w:val="8"/>
        </w:rPr>
        <w:t xml:space="preserve"> </w:t>
      </w:r>
      <w:r>
        <w:rPr>
          <w:spacing w:val="-1"/>
        </w:rPr>
        <w:t>issuing</w:t>
      </w:r>
      <w:r>
        <w:t xml:space="preserve"> </w:t>
      </w:r>
      <w:r>
        <w:rPr>
          <w:spacing w:val="12"/>
        </w:rPr>
        <w:t xml:space="preserve"> </w:t>
      </w:r>
      <w:r>
        <w:t>a</w:t>
      </w:r>
      <w:r>
        <w:rPr>
          <w:spacing w:val="41"/>
        </w:rPr>
        <w:t xml:space="preserve"> </w:t>
      </w:r>
      <w:r>
        <w:rPr>
          <w:spacing w:val="-1"/>
        </w:rPr>
        <w:t>Termination</w:t>
      </w:r>
      <w:r>
        <w:rPr>
          <w:spacing w:val="-2"/>
        </w:rPr>
        <w:t xml:space="preserve"> </w:t>
      </w:r>
      <w:r>
        <w:rPr>
          <w:spacing w:val="-1"/>
        </w:rPr>
        <w:t>Notice</w:t>
      </w:r>
      <w:r>
        <w:rPr>
          <w:spacing w:val="-2"/>
        </w:rPr>
        <w:t xml:space="preserve"> </w:t>
      </w:r>
      <w:r>
        <w:t>to</w:t>
      </w:r>
      <w:r>
        <w:rPr>
          <w:spacing w:val="-2"/>
        </w:rPr>
        <w:t xml:space="preserve"> </w:t>
      </w:r>
      <w:r>
        <w:rPr>
          <w:spacing w:val="-1"/>
        </w:rPr>
        <w:t>the</w:t>
      </w:r>
      <w:r>
        <w:t xml:space="preserve"> </w:t>
      </w:r>
      <w:r>
        <w:rPr>
          <w:spacing w:val="-2"/>
        </w:rPr>
        <w:t>Supplier</w:t>
      </w:r>
      <w:r>
        <w:rPr>
          <w:spacing w:val="2"/>
        </w:rPr>
        <w:t xml:space="preserve"> </w:t>
      </w:r>
      <w:r>
        <w:rPr>
          <w:spacing w:val="-2"/>
        </w:rPr>
        <w:t>where:</w:t>
      </w:r>
    </w:p>
    <w:p w:rsidR="008918FA" w:rsidRDefault="008918FA" w:rsidP="008918FA">
      <w:pPr>
        <w:pStyle w:val="BodyText"/>
        <w:numPr>
          <w:ilvl w:val="3"/>
          <w:numId w:val="66"/>
        </w:numPr>
        <w:tabs>
          <w:tab w:val="left" w:pos="2935"/>
        </w:tabs>
        <w:ind w:left="2934" w:right="118"/>
      </w:pPr>
      <w:r>
        <w:t>the</w:t>
      </w:r>
      <w:r>
        <w:rPr>
          <w:spacing w:val="3"/>
        </w:rPr>
        <w:t xml:space="preserve"> </w:t>
      </w:r>
      <w:r>
        <w:rPr>
          <w:spacing w:val="-2"/>
        </w:rPr>
        <w:t>Call</w:t>
      </w:r>
      <w:r>
        <w:rPr>
          <w:spacing w:val="2"/>
        </w:rPr>
        <w:t xml:space="preserve"> </w:t>
      </w:r>
      <w:r>
        <w:rPr>
          <w:spacing w:val="-1"/>
        </w:rPr>
        <w:t>Off</w:t>
      </w:r>
      <w:r>
        <w:rPr>
          <w:spacing w:val="2"/>
        </w:rPr>
        <w:t xml:space="preserve"> </w:t>
      </w:r>
      <w:r>
        <w:rPr>
          <w:spacing w:val="-1"/>
        </w:rPr>
        <w:t>Guarantor</w:t>
      </w:r>
      <w:r>
        <w:rPr>
          <w:spacing w:val="4"/>
        </w:rPr>
        <w:t xml:space="preserve"> </w:t>
      </w:r>
      <w:r>
        <w:rPr>
          <w:spacing w:val="-2"/>
        </w:rPr>
        <w:t>withdraws</w:t>
      </w:r>
      <w:r>
        <w:rPr>
          <w:spacing w:val="3"/>
        </w:rPr>
        <w:t xml:space="preserve"> </w:t>
      </w:r>
      <w:r>
        <w:t>the</w:t>
      </w:r>
      <w:r>
        <w:rPr>
          <w:spacing w:val="3"/>
        </w:rPr>
        <w:t xml:space="preserve"> </w:t>
      </w:r>
      <w:r>
        <w:rPr>
          <w:spacing w:val="-2"/>
        </w:rPr>
        <w:t>Call</w:t>
      </w:r>
      <w:r>
        <w:rPr>
          <w:spacing w:val="2"/>
        </w:rPr>
        <w:t xml:space="preserve"> </w:t>
      </w:r>
      <w:r>
        <w:rPr>
          <w:spacing w:val="-2"/>
        </w:rPr>
        <w:t>Off</w:t>
      </w:r>
      <w:r>
        <w:rPr>
          <w:spacing w:val="2"/>
        </w:rPr>
        <w:t xml:space="preserve"> </w:t>
      </w:r>
      <w:r>
        <w:rPr>
          <w:spacing w:val="-1"/>
        </w:rPr>
        <w:t>Guarantee</w:t>
      </w:r>
      <w:r>
        <w:t xml:space="preserve"> for</w:t>
      </w:r>
      <w:r>
        <w:rPr>
          <w:spacing w:val="2"/>
        </w:rPr>
        <w:t xml:space="preserve"> </w:t>
      </w:r>
      <w:r>
        <w:rPr>
          <w:spacing w:val="-1"/>
        </w:rPr>
        <w:t>any</w:t>
      </w:r>
      <w:r>
        <w:rPr>
          <w:spacing w:val="44"/>
        </w:rPr>
        <w:t xml:space="preserve"> </w:t>
      </w:r>
      <w:r>
        <w:rPr>
          <w:spacing w:val="-1"/>
        </w:rPr>
        <w:t>reason</w:t>
      </w:r>
      <w:r>
        <w:t xml:space="preserve"> </w:t>
      </w:r>
      <w:r>
        <w:rPr>
          <w:spacing w:val="-1"/>
        </w:rPr>
        <w:t>whatsoever;</w:t>
      </w:r>
    </w:p>
    <w:p w:rsidR="008918FA" w:rsidRDefault="008918FA" w:rsidP="008918FA">
      <w:pPr>
        <w:pStyle w:val="BodyText"/>
        <w:numPr>
          <w:ilvl w:val="3"/>
          <w:numId w:val="66"/>
        </w:numPr>
        <w:tabs>
          <w:tab w:val="left" w:pos="2935"/>
        </w:tabs>
        <w:spacing w:before="121"/>
        <w:ind w:left="2934" w:right="117"/>
      </w:pPr>
      <w:r>
        <w:t>the</w:t>
      </w:r>
      <w:r>
        <w:rPr>
          <w:spacing w:val="7"/>
        </w:rPr>
        <w:t xml:space="preserve"> </w:t>
      </w:r>
      <w:r>
        <w:rPr>
          <w:spacing w:val="-2"/>
        </w:rPr>
        <w:t>Call</w:t>
      </w:r>
      <w:r>
        <w:rPr>
          <w:spacing w:val="7"/>
        </w:rPr>
        <w:t xml:space="preserve"> </w:t>
      </w:r>
      <w:r>
        <w:rPr>
          <w:spacing w:val="-1"/>
        </w:rPr>
        <w:t>Off</w:t>
      </w:r>
      <w:r>
        <w:rPr>
          <w:spacing w:val="7"/>
        </w:rPr>
        <w:t xml:space="preserve"> </w:t>
      </w:r>
      <w:r>
        <w:rPr>
          <w:spacing w:val="-1"/>
        </w:rPr>
        <w:t>Guarantor</w:t>
      </w:r>
      <w:r>
        <w:rPr>
          <w:spacing w:val="9"/>
        </w:rPr>
        <w:t xml:space="preserve"> </w:t>
      </w:r>
      <w:r>
        <w:rPr>
          <w:spacing w:val="-1"/>
        </w:rPr>
        <w:t>is</w:t>
      </w:r>
      <w:r>
        <w:rPr>
          <w:spacing w:val="5"/>
        </w:rPr>
        <w:t xml:space="preserve"> </w:t>
      </w:r>
      <w:r>
        <w:rPr>
          <w:spacing w:val="-1"/>
        </w:rPr>
        <w:t>in</w:t>
      </w:r>
      <w:r>
        <w:rPr>
          <w:spacing w:val="7"/>
        </w:rPr>
        <w:t xml:space="preserve"> </w:t>
      </w:r>
      <w:r>
        <w:rPr>
          <w:spacing w:val="-1"/>
        </w:rPr>
        <w:t>breach</w:t>
      </w:r>
      <w:r>
        <w:rPr>
          <w:spacing w:val="8"/>
        </w:rPr>
        <w:t xml:space="preserve"> </w:t>
      </w:r>
      <w:r>
        <w:rPr>
          <w:spacing w:val="-1"/>
        </w:rPr>
        <w:t>or</w:t>
      </w:r>
      <w:r>
        <w:rPr>
          <w:spacing w:val="6"/>
        </w:rPr>
        <w:t xml:space="preserve"> </w:t>
      </w:r>
      <w:r>
        <w:rPr>
          <w:spacing w:val="-1"/>
        </w:rPr>
        <w:t>anticipatory</w:t>
      </w:r>
      <w:r>
        <w:rPr>
          <w:spacing w:val="5"/>
        </w:rPr>
        <w:t xml:space="preserve"> </w:t>
      </w:r>
      <w:r>
        <w:rPr>
          <w:spacing w:val="-1"/>
        </w:rPr>
        <w:t>breach</w:t>
      </w:r>
      <w:r>
        <w:rPr>
          <w:spacing w:val="8"/>
        </w:rPr>
        <w:t xml:space="preserve"> </w:t>
      </w:r>
      <w:r>
        <w:rPr>
          <w:spacing w:val="-2"/>
        </w:rPr>
        <w:t>of</w:t>
      </w:r>
      <w:r>
        <w:rPr>
          <w:spacing w:val="9"/>
        </w:rPr>
        <w:t xml:space="preserve"> </w:t>
      </w:r>
      <w:r>
        <w:rPr>
          <w:spacing w:val="-1"/>
        </w:rPr>
        <w:t>the</w:t>
      </w:r>
      <w:r>
        <w:rPr>
          <w:spacing w:val="40"/>
        </w:rPr>
        <w:t xml:space="preserve"> </w:t>
      </w:r>
      <w:r>
        <w:rPr>
          <w:spacing w:val="-2"/>
        </w:rPr>
        <w:t>Call</w:t>
      </w:r>
      <w:r>
        <w:t xml:space="preserve"> </w:t>
      </w:r>
      <w:r>
        <w:rPr>
          <w:spacing w:val="-1"/>
        </w:rPr>
        <w:t>Off</w:t>
      </w:r>
      <w:r>
        <w:t xml:space="preserve"> </w:t>
      </w:r>
      <w:r>
        <w:rPr>
          <w:spacing w:val="-1"/>
        </w:rPr>
        <w:t>Guarantee;</w:t>
      </w:r>
    </w:p>
    <w:p w:rsidR="008918FA" w:rsidRDefault="008918FA" w:rsidP="008918FA">
      <w:pPr>
        <w:pStyle w:val="BodyText"/>
        <w:numPr>
          <w:ilvl w:val="3"/>
          <w:numId w:val="66"/>
        </w:numPr>
        <w:tabs>
          <w:tab w:val="left" w:pos="2934"/>
        </w:tabs>
        <w:spacing w:before="121"/>
        <w:ind w:left="2934" w:right="118"/>
      </w:pPr>
      <w:r>
        <w:rPr>
          <w:spacing w:val="-1"/>
        </w:rPr>
        <w:t>an</w:t>
      </w:r>
      <w:r>
        <w:t xml:space="preserve"> </w:t>
      </w:r>
      <w:r>
        <w:rPr>
          <w:spacing w:val="-1"/>
        </w:rPr>
        <w:t xml:space="preserve">Insolvency </w:t>
      </w:r>
      <w:r>
        <w:rPr>
          <w:spacing w:val="-2"/>
        </w:rPr>
        <w:t>Event</w:t>
      </w:r>
      <w:r>
        <w:rPr>
          <w:spacing w:val="2"/>
        </w:rPr>
        <w:t xml:space="preserve"> </w:t>
      </w:r>
      <w:r>
        <w:rPr>
          <w:spacing w:val="-1"/>
        </w:rPr>
        <w:t>occurs</w:t>
      </w:r>
      <w:r>
        <w:rPr>
          <w:spacing w:val="1"/>
        </w:rPr>
        <w:t xml:space="preserve"> </w:t>
      </w:r>
      <w:r>
        <w:rPr>
          <w:spacing w:val="-1"/>
        </w:rPr>
        <w:t>in</w:t>
      </w:r>
      <w:r>
        <w:rPr>
          <w:spacing w:val="-2"/>
        </w:rPr>
        <w:t xml:space="preserve"> </w:t>
      </w:r>
      <w:r>
        <w:rPr>
          <w:spacing w:val="-1"/>
        </w:rPr>
        <w:t>respect</w:t>
      </w:r>
      <w:r>
        <w:t xml:space="preserve"> </w:t>
      </w:r>
      <w:r>
        <w:rPr>
          <w:spacing w:val="-2"/>
        </w:rPr>
        <w:t>of</w:t>
      </w:r>
      <w:r>
        <w:rPr>
          <w:spacing w:val="2"/>
        </w:rPr>
        <w:t xml:space="preserve"> </w:t>
      </w:r>
      <w:r>
        <w:t>the</w:t>
      </w:r>
      <w:r>
        <w:rPr>
          <w:spacing w:val="-2"/>
        </w:rPr>
        <w:t xml:space="preserve"> Call</w:t>
      </w:r>
      <w:r>
        <w:t xml:space="preserve"> </w:t>
      </w:r>
      <w:r>
        <w:rPr>
          <w:spacing w:val="-1"/>
        </w:rPr>
        <w:t>Off</w:t>
      </w:r>
      <w:r>
        <w:t xml:space="preserve"> </w:t>
      </w:r>
      <w:r>
        <w:rPr>
          <w:spacing w:val="-1"/>
        </w:rPr>
        <w:t>Guarantor;</w:t>
      </w:r>
      <w:r>
        <w:rPr>
          <w:spacing w:val="43"/>
        </w:rPr>
        <w:t xml:space="preserve"> </w:t>
      </w:r>
      <w:r>
        <w:rPr>
          <w:spacing w:val="-1"/>
        </w:rPr>
        <w:t>or</w:t>
      </w:r>
    </w:p>
    <w:p w:rsidR="008918FA" w:rsidRDefault="008918FA" w:rsidP="008918FA">
      <w:pPr>
        <w:sectPr w:rsidR="008918FA">
          <w:pgSz w:w="11910" w:h="16840"/>
          <w:pgMar w:top="1480" w:right="1300" w:bottom="1180" w:left="1340" w:header="0" w:footer="967" w:gutter="0"/>
          <w:cols w:space="720"/>
        </w:sectPr>
      </w:pPr>
    </w:p>
    <w:p w:rsidR="008918FA" w:rsidRDefault="008918FA" w:rsidP="008918FA">
      <w:pPr>
        <w:pStyle w:val="BodyText"/>
        <w:numPr>
          <w:ilvl w:val="3"/>
          <w:numId w:val="66"/>
        </w:numPr>
        <w:tabs>
          <w:tab w:val="left" w:pos="2595"/>
        </w:tabs>
        <w:spacing w:before="59"/>
        <w:ind w:left="2594" w:right="116"/>
        <w:jc w:val="both"/>
      </w:pPr>
      <w:r>
        <w:t>the</w:t>
      </w:r>
      <w:r>
        <w:rPr>
          <w:spacing w:val="41"/>
        </w:rPr>
        <w:t xml:space="preserve"> </w:t>
      </w:r>
      <w:r>
        <w:rPr>
          <w:spacing w:val="-2"/>
        </w:rPr>
        <w:t>Call</w:t>
      </w:r>
      <w:r>
        <w:rPr>
          <w:spacing w:val="40"/>
        </w:rPr>
        <w:t xml:space="preserve"> </w:t>
      </w:r>
      <w:r>
        <w:t>Off</w:t>
      </w:r>
      <w:r>
        <w:rPr>
          <w:spacing w:val="42"/>
        </w:rPr>
        <w:t xml:space="preserve"> </w:t>
      </w:r>
      <w:r>
        <w:rPr>
          <w:spacing w:val="-1"/>
        </w:rPr>
        <w:t>Guarantee</w:t>
      </w:r>
      <w:r>
        <w:rPr>
          <w:spacing w:val="41"/>
        </w:rPr>
        <w:t xml:space="preserve"> </w:t>
      </w:r>
      <w:r>
        <w:rPr>
          <w:spacing w:val="-1"/>
        </w:rPr>
        <w:t>becomes</w:t>
      </w:r>
      <w:r>
        <w:rPr>
          <w:spacing w:val="41"/>
        </w:rPr>
        <w:t xml:space="preserve"> </w:t>
      </w:r>
      <w:r>
        <w:rPr>
          <w:spacing w:val="-2"/>
        </w:rPr>
        <w:t>invalid</w:t>
      </w:r>
      <w:r>
        <w:rPr>
          <w:spacing w:val="43"/>
        </w:rPr>
        <w:t xml:space="preserve"> </w:t>
      </w:r>
      <w:r>
        <w:rPr>
          <w:spacing w:val="-1"/>
        </w:rPr>
        <w:t>or</w:t>
      </w:r>
      <w:r>
        <w:rPr>
          <w:spacing w:val="43"/>
        </w:rPr>
        <w:t xml:space="preserve"> </w:t>
      </w:r>
      <w:r>
        <w:rPr>
          <w:spacing w:val="-1"/>
        </w:rPr>
        <w:t>unenforceable</w:t>
      </w:r>
      <w:r>
        <w:rPr>
          <w:spacing w:val="38"/>
        </w:rPr>
        <w:t xml:space="preserve"> </w:t>
      </w:r>
      <w:r>
        <w:t>for</w:t>
      </w:r>
      <w:r>
        <w:rPr>
          <w:spacing w:val="47"/>
        </w:rPr>
        <w:t xml:space="preserve"> </w:t>
      </w:r>
      <w:r>
        <w:rPr>
          <w:spacing w:val="-1"/>
        </w:rPr>
        <w:t>any</w:t>
      </w:r>
      <w:r>
        <w:rPr>
          <w:spacing w:val="-2"/>
        </w:rPr>
        <w:t xml:space="preserve"> </w:t>
      </w:r>
      <w:r>
        <w:rPr>
          <w:spacing w:val="-1"/>
        </w:rPr>
        <w:t>reason</w:t>
      </w:r>
      <w:r>
        <w:t xml:space="preserve"> </w:t>
      </w:r>
      <w:r>
        <w:rPr>
          <w:spacing w:val="-1"/>
        </w:rPr>
        <w:t>whatsoever,</w:t>
      </w:r>
    </w:p>
    <w:p w:rsidR="008918FA" w:rsidRDefault="008918FA" w:rsidP="008918FA">
      <w:pPr>
        <w:pStyle w:val="BodyText"/>
        <w:spacing w:before="121"/>
        <w:ind w:right="118" w:firstLine="0"/>
      </w:pPr>
      <w:r>
        <w:rPr>
          <w:spacing w:val="-1"/>
        </w:rPr>
        <w:t>and</w:t>
      </w:r>
      <w:r>
        <w:t xml:space="preserve"> </w:t>
      </w:r>
      <w:r>
        <w:rPr>
          <w:spacing w:val="-1"/>
        </w:rPr>
        <w:t>in</w:t>
      </w:r>
      <w:r>
        <w:t xml:space="preserve"> </w:t>
      </w:r>
      <w:r>
        <w:rPr>
          <w:spacing w:val="-1"/>
        </w:rPr>
        <w:t>each</w:t>
      </w:r>
      <w:r>
        <w:rPr>
          <w:spacing w:val="1"/>
        </w:rPr>
        <w:t xml:space="preserve"> </w:t>
      </w:r>
      <w:r>
        <w:rPr>
          <w:spacing w:val="-1"/>
        </w:rPr>
        <w:t>case</w:t>
      </w:r>
      <w:r>
        <w:rPr>
          <w:spacing w:val="1"/>
        </w:rPr>
        <w:t xml:space="preserve"> </w:t>
      </w:r>
      <w:r>
        <w:t xml:space="preserve">the </w:t>
      </w:r>
      <w:r>
        <w:rPr>
          <w:spacing w:val="-2"/>
        </w:rPr>
        <w:t>Call</w:t>
      </w:r>
      <w:r>
        <w:t xml:space="preserve"> </w:t>
      </w:r>
      <w:r>
        <w:rPr>
          <w:spacing w:val="-1"/>
        </w:rPr>
        <w:t>Off</w:t>
      </w:r>
      <w:r>
        <w:rPr>
          <w:spacing w:val="2"/>
        </w:rPr>
        <w:t xml:space="preserve"> </w:t>
      </w:r>
      <w:r>
        <w:rPr>
          <w:spacing w:val="-1"/>
        </w:rPr>
        <w:t>Guarantee</w:t>
      </w:r>
      <w:r>
        <w:rPr>
          <w:spacing w:val="-2"/>
        </w:rPr>
        <w:t xml:space="preserve"> </w:t>
      </w:r>
      <w:r>
        <w:rPr>
          <w:spacing w:val="-1"/>
        </w:rPr>
        <w:t>(as</w:t>
      </w:r>
      <w:r>
        <w:rPr>
          <w:spacing w:val="1"/>
        </w:rPr>
        <w:t xml:space="preserve"> </w:t>
      </w:r>
      <w:r>
        <w:rPr>
          <w:spacing w:val="-2"/>
        </w:rPr>
        <w:t>applicable)</w:t>
      </w:r>
      <w:r>
        <w:rPr>
          <w:spacing w:val="2"/>
        </w:rPr>
        <w:t xml:space="preserve"> </w:t>
      </w:r>
      <w:r>
        <w:rPr>
          <w:spacing w:val="-1"/>
        </w:rPr>
        <w:t>is</w:t>
      </w:r>
      <w:r>
        <w:rPr>
          <w:spacing w:val="1"/>
        </w:rPr>
        <w:t xml:space="preserve"> </w:t>
      </w:r>
      <w:r>
        <w:rPr>
          <w:spacing w:val="-1"/>
        </w:rPr>
        <w:t>not</w:t>
      </w:r>
      <w:r>
        <w:rPr>
          <w:spacing w:val="2"/>
        </w:rPr>
        <w:t xml:space="preserve"> </w:t>
      </w:r>
      <w:r>
        <w:rPr>
          <w:spacing w:val="-1"/>
        </w:rPr>
        <w:t>replaced</w:t>
      </w:r>
      <w:r>
        <w:rPr>
          <w:spacing w:val="53"/>
        </w:rPr>
        <w:t xml:space="preserve"> </w:t>
      </w:r>
      <w:r>
        <w:rPr>
          <w:spacing w:val="-1"/>
        </w:rPr>
        <w:t>by</w:t>
      </w:r>
      <w:r>
        <w:rPr>
          <w:spacing w:val="-2"/>
        </w:rPr>
        <w:t xml:space="preserve"> </w:t>
      </w:r>
      <w:r>
        <w:rPr>
          <w:spacing w:val="-1"/>
        </w:rPr>
        <w:t>an</w:t>
      </w:r>
      <w:r>
        <w:t xml:space="preserve"> </w:t>
      </w:r>
      <w:r>
        <w:rPr>
          <w:spacing w:val="-1"/>
        </w:rPr>
        <w:t>alternative</w:t>
      </w:r>
      <w:r>
        <w:rPr>
          <w:spacing w:val="-2"/>
        </w:rPr>
        <w:t xml:space="preserve"> </w:t>
      </w:r>
      <w:r>
        <w:rPr>
          <w:spacing w:val="-1"/>
        </w:rPr>
        <w:t>guarantee</w:t>
      </w:r>
      <w:r>
        <w:t xml:space="preserve"> </w:t>
      </w:r>
      <w:r>
        <w:rPr>
          <w:spacing w:val="-1"/>
        </w:rPr>
        <w:t>agreement</w:t>
      </w:r>
      <w:r>
        <w:t xml:space="preserve"> </w:t>
      </w:r>
      <w:r>
        <w:rPr>
          <w:spacing w:val="-1"/>
        </w:rPr>
        <w:t>acceptable</w:t>
      </w:r>
      <w:r>
        <w:t xml:space="preserve"> to</w:t>
      </w:r>
      <w:r>
        <w:rPr>
          <w:spacing w:val="-2"/>
        </w:rPr>
        <w:t xml:space="preserve"> </w:t>
      </w:r>
      <w:r>
        <w:t>the</w:t>
      </w:r>
      <w:r>
        <w:rPr>
          <w:spacing w:val="-2"/>
        </w:rPr>
        <w:t xml:space="preserve"> </w:t>
      </w:r>
      <w:r>
        <w:rPr>
          <w:spacing w:val="-1"/>
        </w:rPr>
        <w:t>Customer;</w:t>
      </w:r>
      <w:r>
        <w:rPr>
          <w:spacing w:val="2"/>
        </w:rPr>
        <w:t xml:space="preserve"> </w:t>
      </w:r>
      <w:r>
        <w:rPr>
          <w:spacing w:val="-3"/>
        </w:rPr>
        <w:t>or</w:t>
      </w:r>
    </w:p>
    <w:p w:rsidR="008918FA" w:rsidRDefault="008918FA" w:rsidP="008918FA">
      <w:pPr>
        <w:pStyle w:val="BodyText"/>
        <w:numPr>
          <w:ilvl w:val="3"/>
          <w:numId w:val="66"/>
        </w:numPr>
        <w:tabs>
          <w:tab w:val="left" w:pos="2594"/>
        </w:tabs>
        <w:spacing w:before="121"/>
        <w:ind w:left="2593" w:right="115" w:hanging="707"/>
        <w:jc w:val="both"/>
      </w:pPr>
      <w:r>
        <w:t>the</w:t>
      </w:r>
      <w:r>
        <w:rPr>
          <w:spacing w:val="4"/>
        </w:rPr>
        <w:t xml:space="preserve"> </w:t>
      </w:r>
      <w:r>
        <w:rPr>
          <w:spacing w:val="-2"/>
        </w:rPr>
        <w:t>Supplier</w:t>
      </w:r>
      <w:r>
        <w:rPr>
          <w:spacing w:val="3"/>
        </w:rPr>
        <w:t xml:space="preserve"> </w:t>
      </w:r>
      <w:r>
        <w:rPr>
          <w:spacing w:val="-1"/>
        </w:rPr>
        <w:t>fails</w:t>
      </w:r>
      <w:r>
        <w:rPr>
          <w:spacing w:val="4"/>
        </w:rPr>
        <w:t xml:space="preserve"> </w:t>
      </w:r>
      <w:r>
        <w:t>to</w:t>
      </w:r>
      <w:r>
        <w:rPr>
          <w:spacing w:val="4"/>
        </w:rPr>
        <w:t xml:space="preserve"> </w:t>
      </w:r>
      <w:r>
        <w:rPr>
          <w:spacing w:val="-2"/>
        </w:rPr>
        <w:t>provide</w:t>
      </w:r>
      <w:r>
        <w:rPr>
          <w:spacing w:val="4"/>
        </w:rPr>
        <w:t xml:space="preserve"> </w:t>
      </w:r>
      <w:r>
        <w:t>the</w:t>
      </w:r>
      <w:r>
        <w:rPr>
          <w:spacing w:val="4"/>
        </w:rPr>
        <w:t xml:space="preserve"> </w:t>
      </w:r>
      <w:r>
        <w:rPr>
          <w:spacing w:val="-1"/>
        </w:rPr>
        <w:t>documentation</w:t>
      </w:r>
      <w:r>
        <w:rPr>
          <w:spacing w:val="4"/>
        </w:rPr>
        <w:t xml:space="preserve"> </w:t>
      </w:r>
      <w:r>
        <w:rPr>
          <w:spacing w:val="-1"/>
        </w:rPr>
        <w:t>required</w:t>
      </w:r>
      <w:r>
        <w:rPr>
          <w:spacing w:val="4"/>
        </w:rPr>
        <w:t xml:space="preserve"> </w:t>
      </w:r>
      <w:r>
        <w:rPr>
          <w:spacing w:val="-1"/>
        </w:rPr>
        <w:t>by</w:t>
      </w:r>
      <w:r>
        <w:rPr>
          <w:spacing w:val="44"/>
        </w:rPr>
        <w:t xml:space="preserve"> </w:t>
      </w:r>
      <w:r>
        <w:rPr>
          <w:spacing w:val="-2"/>
        </w:rPr>
        <w:t>Clause</w:t>
      </w:r>
      <w:r>
        <w:rPr>
          <w:spacing w:val="1"/>
        </w:rPr>
        <w:t xml:space="preserve"> </w:t>
      </w:r>
      <w:hyperlink w:anchor="_bookmark53" w:history="1">
        <w:r>
          <w:t>4.1</w:t>
        </w:r>
      </w:hyperlink>
      <w:r>
        <w:t xml:space="preserve"> </w:t>
      </w:r>
      <w:r>
        <w:rPr>
          <w:spacing w:val="-1"/>
        </w:rPr>
        <w:t>by</w:t>
      </w:r>
      <w:r>
        <w:rPr>
          <w:spacing w:val="-2"/>
        </w:rPr>
        <w:t xml:space="preserve"> </w:t>
      </w:r>
      <w:r>
        <w:rPr>
          <w:spacing w:val="-1"/>
        </w:rPr>
        <w:t>the</w:t>
      </w:r>
      <w:r>
        <w:t xml:space="preserve"> </w:t>
      </w:r>
      <w:r>
        <w:rPr>
          <w:spacing w:val="-1"/>
        </w:rPr>
        <w:t>date</w:t>
      </w:r>
      <w:r>
        <w:t xml:space="preserve"> </w:t>
      </w:r>
      <w:r>
        <w:rPr>
          <w:spacing w:val="-2"/>
        </w:rPr>
        <w:t>so</w:t>
      </w:r>
      <w:r>
        <w:t xml:space="preserve"> </w:t>
      </w:r>
      <w:r>
        <w:rPr>
          <w:spacing w:val="-1"/>
        </w:rPr>
        <w:t>specified</w:t>
      </w:r>
      <w:r>
        <w:t xml:space="preserve"> </w:t>
      </w:r>
      <w:r>
        <w:rPr>
          <w:spacing w:val="-1"/>
        </w:rPr>
        <w:t>by</w:t>
      </w:r>
      <w:r>
        <w:rPr>
          <w:spacing w:val="-2"/>
        </w:rPr>
        <w:t xml:space="preserve"> </w:t>
      </w:r>
      <w:r>
        <w:rPr>
          <w:spacing w:val="-1"/>
        </w:rPr>
        <w:t>the</w:t>
      </w:r>
      <w:r>
        <w:t xml:space="preserve"> </w:t>
      </w:r>
      <w:r>
        <w:rPr>
          <w:spacing w:val="-2"/>
        </w:rPr>
        <w:t>Customer.</w:t>
      </w:r>
    </w:p>
    <w:p w:rsidR="008918FA" w:rsidRDefault="008918FA" w:rsidP="008918FA">
      <w:pPr>
        <w:rPr>
          <w:rFonts w:ascii="Arial" w:eastAsia="Arial" w:hAnsi="Arial" w:cs="Arial"/>
        </w:rPr>
      </w:pPr>
    </w:p>
    <w:p w:rsidR="008918FA" w:rsidRDefault="008918FA" w:rsidP="008918FA">
      <w:pPr>
        <w:spacing w:before="8"/>
        <w:rPr>
          <w:rFonts w:ascii="Arial" w:eastAsia="Arial" w:hAnsi="Arial" w:cs="Arial"/>
          <w:sz w:val="20"/>
          <w:szCs w:val="20"/>
        </w:rPr>
      </w:pPr>
    </w:p>
    <w:p w:rsidR="008918FA" w:rsidRDefault="008918FA" w:rsidP="008918FA">
      <w:pPr>
        <w:pStyle w:val="Heading1"/>
        <w:numPr>
          <w:ilvl w:val="1"/>
          <w:numId w:val="66"/>
        </w:numPr>
        <w:tabs>
          <w:tab w:val="left" w:pos="893"/>
        </w:tabs>
        <w:spacing w:before="0"/>
        <w:ind w:left="892" w:hanging="564"/>
        <w:rPr>
          <w:b w:val="0"/>
          <w:bCs w:val="0"/>
        </w:rPr>
      </w:pPr>
      <w:bookmarkStart w:id="277" w:name="_bookmark233"/>
      <w:bookmarkEnd w:id="277"/>
      <w:r>
        <w:rPr>
          <w:spacing w:val="-1"/>
        </w:rPr>
        <w:t>Termination</w:t>
      </w:r>
      <w:r>
        <w:rPr>
          <w:spacing w:val="-2"/>
        </w:rPr>
        <w:t xml:space="preserve"> </w:t>
      </w:r>
      <w:r>
        <w:rPr>
          <w:spacing w:val="-1"/>
        </w:rPr>
        <w:t>on</w:t>
      </w:r>
      <w:r>
        <w:rPr>
          <w:spacing w:val="-2"/>
        </w:rPr>
        <w:t xml:space="preserve"> </w:t>
      </w:r>
      <w:r>
        <w:rPr>
          <w:spacing w:val="-1"/>
        </w:rPr>
        <w:t>Material</w:t>
      </w:r>
      <w:r>
        <w:rPr>
          <w:spacing w:val="2"/>
        </w:rPr>
        <w:t xml:space="preserve"> </w:t>
      </w:r>
      <w:r>
        <w:rPr>
          <w:spacing w:val="-1"/>
        </w:rPr>
        <w:t>Default</w:t>
      </w:r>
    </w:p>
    <w:p w:rsidR="008918FA" w:rsidRDefault="008918FA" w:rsidP="008918FA">
      <w:pPr>
        <w:pStyle w:val="BodyText"/>
        <w:numPr>
          <w:ilvl w:val="2"/>
          <w:numId w:val="66"/>
        </w:numPr>
        <w:tabs>
          <w:tab w:val="left" w:pos="1887"/>
        </w:tabs>
        <w:spacing w:before="121"/>
        <w:ind w:left="1885" w:right="114" w:hanging="993"/>
        <w:jc w:val="both"/>
      </w:pPr>
      <w:bookmarkStart w:id="278" w:name="_bookmark234"/>
      <w:bookmarkEnd w:id="278"/>
      <w:r>
        <w:t>The</w:t>
      </w:r>
      <w:r>
        <w:rPr>
          <w:spacing w:val="5"/>
        </w:rPr>
        <w:t xml:space="preserve"> </w:t>
      </w:r>
      <w:r>
        <w:rPr>
          <w:spacing w:val="-2"/>
        </w:rPr>
        <w:t>Customer</w:t>
      </w:r>
      <w:r>
        <w:rPr>
          <w:spacing w:val="6"/>
        </w:rPr>
        <w:t xml:space="preserve"> </w:t>
      </w:r>
      <w:r>
        <w:rPr>
          <w:spacing w:val="-1"/>
        </w:rPr>
        <w:t>may</w:t>
      </w:r>
      <w:r>
        <w:rPr>
          <w:spacing w:val="3"/>
        </w:rPr>
        <w:t xml:space="preserve"> </w:t>
      </w:r>
      <w:r>
        <w:rPr>
          <w:spacing w:val="-1"/>
        </w:rPr>
        <w:t>terminate</w:t>
      </w:r>
      <w:r>
        <w:rPr>
          <w:spacing w:val="5"/>
        </w:rPr>
        <w:t xml:space="preserve"> </w:t>
      </w:r>
      <w:r>
        <w:rPr>
          <w:spacing w:val="-1"/>
        </w:rPr>
        <w:t>this</w:t>
      </w:r>
      <w:r>
        <w:rPr>
          <w:spacing w:val="7"/>
        </w:rPr>
        <w:t xml:space="preserve"> </w:t>
      </w:r>
      <w:r>
        <w:rPr>
          <w:spacing w:val="-2"/>
        </w:rPr>
        <w:t>Call</w:t>
      </w:r>
      <w:r>
        <w:rPr>
          <w:spacing w:val="4"/>
        </w:rPr>
        <w:t xml:space="preserve"> </w:t>
      </w:r>
      <w:r>
        <w:rPr>
          <w:spacing w:val="-1"/>
        </w:rPr>
        <w:t>Off</w:t>
      </w:r>
      <w:r>
        <w:rPr>
          <w:spacing w:val="9"/>
        </w:rPr>
        <w:t xml:space="preserve"> </w:t>
      </w:r>
      <w:r>
        <w:rPr>
          <w:spacing w:val="-2"/>
        </w:rPr>
        <w:t>Contract</w:t>
      </w:r>
      <w:r>
        <w:rPr>
          <w:spacing w:val="6"/>
        </w:rPr>
        <w:t xml:space="preserve"> </w:t>
      </w:r>
      <w:r>
        <w:t>for</w:t>
      </w:r>
      <w:r>
        <w:rPr>
          <w:spacing w:val="7"/>
        </w:rPr>
        <w:t xml:space="preserve"> </w:t>
      </w:r>
      <w:r>
        <w:rPr>
          <w:spacing w:val="-1"/>
        </w:rPr>
        <w:t>material</w:t>
      </w:r>
      <w:r>
        <w:rPr>
          <w:spacing w:val="5"/>
        </w:rPr>
        <w:t xml:space="preserve"> </w:t>
      </w:r>
      <w:r>
        <w:rPr>
          <w:spacing w:val="-2"/>
        </w:rPr>
        <w:t>Default</w:t>
      </w:r>
      <w:r>
        <w:rPr>
          <w:spacing w:val="69"/>
        </w:rPr>
        <w:t xml:space="preserve"> </w:t>
      </w:r>
      <w:r>
        <w:rPr>
          <w:spacing w:val="-1"/>
        </w:rPr>
        <w:t>by</w:t>
      </w:r>
      <w:r>
        <w:rPr>
          <w:spacing w:val="-2"/>
        </w:rPr>
        <w:t xml:space="preserve"> </w:t>
      </w:r>
      <w:r>
        <w:rPr>
          <w:spacing w:val="-1"/>
        </w:rPr>
        <w:t>issuing</w:t>
      </w:r>
      <w:r>
        <w:rPr>
          <w:spacing w:val="3"/>
        </w:rPr>
        <w:t xml:space="preserve"> </w:t>
      </w:r>
      <w:r>
        <w:t>a</w:t>
      </w:r>
      <w:r>
        <w:rPr>
          <w:spacing w:val="-2"/>
        </w:rPr>
        <w:t xml:space="preserve"> </w:t>
      </w:r>
      <w:r>
        <w:rPr>
          <w:spacing w:val="-1"/>
        </w:rPr>
        <w:t>Termination</w:t>
      </w:r>
      <w:r>
        <w:rPr>
          <w:spacing w:val="-2"/>
        </w:rPr>
        <w:t xml:space="preserve"> </w:t>
      </w:r>
      <w:r>
        <w:rPr>
          <w:spacing w:val="-1"/>
        </w:rPr>
        <w:t>Notice</w:t>
      </w:r>
      <w:r>
        <w:rPr>
          <w:spacing w:val="1"/>
        </w:rPr>
        <w:t xml:space="preserve"> </w:t>
      </w:r>
      <w:r>
        <w:t>to</w:t>
      </w:r>
      <w:r>
        <w:rPr>
          <w:spacing w:val="-2"/>
        </w:rPr>
        <w:t xml:space="preserve"> </w:t>
      </w:r>
      <w:r>
        <w:t>the</w:t>
      </w:r>
      <w:r>
        <w:rPr>
          <w:spacing w:val="-2"/>
        </w:rPr>
        <w:t xml:space="preserve"> Supplier</w:t>
      </w:r>
      <w:r>
        <w:rPr>
          <w:spacing w:val="2"/>
        </w:rPr>
        <w:t xml:space="preserve"> </w:t>
      </w:r>
      <w:r>
        <w:rPr>
          <w:spacing w:val="-2"/>
        </w:rPr>
        <w:t>where:</w:t>
      </w:r>
    </w:p>
    <w:p w:rsidR="008918FA" w:rsidRDefault="008918FA" w:rsidP="008918FA">
      <w:pPr>
        <w:pStyle w:val="BodyText"/>
        <w:numPr>
          <w:ilvl w:val="3"/>
          <w:numId w:val="66"/>
        </w:numPr>
        <w:tabs>
          <w:tab w:val="left" w:pos="2594"/>
        </w:tabs>
        <w:ind w:left="2593"/>
      </w:pPr>
      <w:r>
        <w:t xml:space="preserve">the </w:t>
      </w:r>
      <w:r>
        <w:rPr>
          <w:spacing w:val="-2"/>
        </w:rPr>
        <w:t>Supplier</w:t>
      </w:r>
      <w:r>
        <w:rPr>
          <w:spacing w:val="2"/>
        </w:rPr>
        <w:t xml:space="preserve"> </w:t>
      </w:r>
      <w:r>
        <w:rPr>
          <w:spacing w:val="-1"/>
        </w:rPr>
        <w:t>commits</w:t>
      </w:r>
      <w:r>
        <w:rPr>
          <w:spacing w:val="-2"/>
        </w:rPr>
        <w:t xml:space="preserve"> </w:t>
      </w:r>
      <w:r>
        <w:t>a</w:t>
      </w:r>
      <w:r>
        <w:rPr>
          <w:spacing w:val="-2"/>
        </w:rPr>
        <w:t xml:space="preserve"> </w:t>
      </w:r>
      <w:r>
        <w:rPr>
          <w:spacing w:val="-1"/>
        </w:rPr>
        <w:t>Critical</w:t>
      </w:r>
      <w:r>
        <w:t xml:space="preserve"> </w:t>
      </w:r>
      <w:r>
        <w:rPr>
          <w:spacing w:val="-2"/>
        </w:rPr>
        <w:t>Service</w:t>
      </w:r>
      <w:r>
        <w:rPr>
          <w:spacing w:val="1"/>
        </w:rPr>
        <w:t xml:space="preserve"> </w:t>
      </w:r>
      <w:r>
        <w:rPr>
          <w:spacing w:val="-2"/>
        </w:rPr>
        <w:t>Level</w:t>
      </w:r>
      <w:r>
        <w:t xml:space="preserve"> </w:t>
      </w:r>
      <w:r>
        <w:rPr>
          <w:spacing w:val="-1"/>
        </w:rPr>
        <w:t>Failure;</w:t>
      </w:r>
    </w:p>
    <w:p w:rsidR="008918FA" w:rsidRDefault="008918FA" w:rsidP="008918FA">
      <w:pPr>
        <w:pStyle w:val="BodyText"/>
        <w:numPr>
          <w:ilvl w:val="3"/>
          <w:numId w:val="66"/>
        </w:numPr>
        <w:tabs>
          <w:tab w:val="left" w:pos="2594"/>
        </w:tabs>
        <w:ind w:left="2593" w:right="116"/>
        <w:jc w:val="both"/>
      </w:pPr>
      <w:r>
        <w:t>the</w:t>
      </w:r>
      <w:r>
        <w:rPr>
          <w:spacing w:val="7"/>
        </w:rPr>
        <w:t xml:space="preserve"> </w:t>
      </w:r>
      <w:r>
        <w:rPr>
          <w:spacing w:val="-1"/>
        </w:rPr>
        <w:t>representation</w:t>
      </w:r>
      <w:r>
        <w:rPr>
          <w:spacing w:val="7"/>
        </w:rPr>
        <w:t xml:space="preserve"> </w:t>
      </w:r>
      <w:r>
        <w:rPr>
          <w:spacing w:val="-1"/>
        </w:rPr>
        <w:t>and</w:t>
      </w:r>
      <w:r>
        <w:rPr>
          <w:spacing w:val="7"/>
        </w:rPr>
        <w:t xml:space="preserve"> </w:t>
      </w:r>
      <w:r>
        <w:rPr>
          <w:spacing w:val="-1"/>
        </w:rPr>
        <w:t>warranty</w:t>
      </w:r>
      <w:r>
        <w:rPr>
          <w:spacing w:val="5"/>
        </w:rPr>
        <w:t xml:space="preserve"> </w:t>
      </w:r>
      <w:r>
        <w:rPr>
          <w:spacing w:val="-1"/>
        </w:rPr>
        <w:t>given</w:t>
      </w:r>
      <w:r>
        <w:rPr>
          <w:spacing w:val="7"/>
        </w:rPr>
        <w:t xml:space="preserve"> </w:t>
      </w:r>
      <w:r>
        <w:rPr>
          <w:spacing w:val="1"/>
        </w:rPr>
        <w:t>by</w:t>
      </w:r>
      <w:r>
        <w:rPr>
          <w:spacing w:val="8"/>
        </w:rPr>
        <w:t xml:space="preserve"> </w:t>
      </w:r>
      <w:r>
        <w:t>the</w:t>
      </w:r>
      <w:r>
        <w:rPr>
          <w:spacing w:val="7"/>
        </w:rPr>
        <w:t xml:space="preserve"> </w:t>
      </w:r>
      <w:r>
        <w:rPr>
          <w:spacing w:val="-2"/>
        </w:rPr>
        <w:t>Supplier</w:t>
      </w:r>
      <w:r>
        <w:rPr>
          <w:spacing w:val="9"/>
        </w:rPr>
        <w:t xml:space="preserve"> </w:t>
      </w:r>
      <w:r>
        <w:rPr>
          <w:spacing w:val="-1"/>
        </w:rPr>
        <w:t>pursuant</w:t>
      </w:r>
      <w:r>
        <w:rPr>
          <w:spacing w:val="36"/>
        </w:rPr>
        <w:t xml:space="preserve"> </w:t>
      </w:r>
      <w:r>
        <w:t>to</w:t>
      </w:r>
      <w:r>
        <w:rPr>
          <w:spacing w:val="12"/>
        </w:rPr>
        <w:t xml:space="preserve"> </w:t>
      </w:r>
      <w:r>
        <w:rPr>
          <w:spacing w:val="-2"/>
        </w:rPr>
        <w:t>Clause</w:t>
      </w:r>
      <w:r>
        <w:rPr>
          <w:spacing w:val="13"/>
        </w:rPr>
        <w:t xml:space="preserve"> </w:t>
      </w:r>
      <w:hyperlink w:anchor="_bookmark51" w:history="1">
        <w:r>
          <w:rPr>
            <w:spacing w:val="-1"/>
          </w:rPr>
          <w:t>3.2.5</w:t>
        </w:r>
      </w:hyperlink>
      <w:r>
        <w:rPr>
          <w:spacing w:val="12"/>
        </w:rPr>
        <w:t xml:space="preserve"> </w:t>
      </w:r>
      <w:r>
        <w:rPr>
          <w:spacing w:val="-1"/>
        </w:rPr>
        <w:t>(Representations</w:t>
      </w:r>
      <w:r>
        <w:rPr>
          <w:spacing w:val="13"/>
        </w:rPr>
        <w:t xml:space="preserve"> </w:t>
      </w:r>
      <w:r>
        <w:rPr>
          <w:spacing w:val="-1"/>
        </w:rPr>
        <w:t>and</w:t>
      </w:r>
      <w:r>
        <w:rPr>
          <w:spacing w:val="5"/>
        </w:rPr>
        <w:t xml:space="preserve"> </w:t>
      </w:r>
      <w:r>
        <w:rPr>
          <w:spacing w:val="-1"/>
        </w:rPr>
        <w:t>Warranties)</w:t>
      </w:r>
      <w:r>
        <w:rPr>
          <w:spacing w:val="15"/>
        </w:rPr>
        <w:t xml:space="preserve"> </w:t>
      </w:r>
      <w:r>
        <w:rPr>
          <w:spacing w:val="-1"/>
        </w:rPr>
        <w:t>is</w:t>
      </w:r>
      <w:r>
        <w:rPr>
          <w:spacing w:val="10"/>
        </w:rPr>
        <w:t xml:space="preserve"> </w:t>
      </w:r>
      <w:r>
        <w:rPr>
          <w:spacing w:val="-2"/>
        </w:rPr>
        <w:t>materially</w:t>
      </w:r>
      <w:r>
        <w:rPr>
          <w:spacing w:val="53"/>
        </w:rPr>
        <w:t xml:space="preserve"> </w:t>
      </w:r>
      <w:r>
        <w:rPr>
          <w:spacing w:val="-1"/>
        </w:rPr>
        <w:t>untrue</w:t>
      </w:r>
      <w:r>
        <w:rPr>
          <w:spacing w:val="7"/>
        </w:rPr>
        <w:t xml:space="preserve"> </w:t>
      </w:r>
      <w:r>
        <w:rPr>
          <w:spacing w:val="-2"/>
        </w:rPr>
        <w:t>or</w:t>
      </w:r>
      <w:r>
        <w:rPr>
          <w:spacing w:val="6"/>
        </w:rPr>
        <w:t xml:space="preserve"> </w:t>
      </w:r>
      <w:r>
        <w:rPr>
          <w:spacing w:val="-1"/>
        </w:rPr>
        <w:t>misleading,</w:t>
      </w:r>
      <w:r>
        <w:rPr>
          <w:spacing w:val="9"/>
        </w:rPr>
        <w:t xml:space="preserve"> </w:t>
      </w:r>
      <w:r>
        <w:rPr>
          <w:spacing w:val="-2"/>
        </w:rPr>
        <w:t>and</w:t>
      </w:r>
      <w:r>
        <w:rPr>
          <w:spacing w:val="7"/>
        </w:rPr>
        <w:t xml:space="preserve"> </w:t>
      </w:r>
      <w:r>
        <w:t>the</w:t>
      </w:r>
      <w:r>
        <w:rPr>
          <w:spacing w:val="7"/>
        </w:rPr>
        <w:t xml:space="preserve"> </w:t>
      </w:r>
      <w:r>
        <w:rPr>
          <w:spacing w:val="-2"/>
        </w:rPr>
        <w:t>Supplier</w:t>
      </w:r>
      <w:r>
        <w:rPr>
          <w:spacing w:val="6"/>
        </w:rPr>
        <w:t xml:space="preserve"> </w:t>
      </w:r>
      <w:r>
        <w:rPr>
          <w:spacing w:val="-1"/>
        </w:rPr>
        <w:t>fails</w:t>
      </w:r>
      <w:r>
        <w:rPr>
          <w:spacing w:val="8"/>
        </w:rPr>
        <w:t xml:space="preserve"> </w:t>
      </w:r>
      <w:r>
        <w:t>to</w:t>
      </w:r>
      <w:r>
        <w:rPr>
          <w:spacing w:val="5"/>
        </w:rPr>
        <w:t xml:space="preserve"> </w:t>
      </w:r>
      <w:r>
        <w:rPr>
          <w:spacing w:val="-2"/>
        </w:rPr>
        <w:t>provide</w:t>
      </w:r>
      <w:r>
        <w:rPr>
          <w:spacing w:val="7"/>
        </w:rPr>
        <w:t xml:space="preserve"> </w:t>
      </w:r>
      <w:r>
        <w:rPr>
          <w:spacing w:val="-1"/>
        </w:rPr>
        <w:t>details</w:t>
      </w:r>
      <w:r>
        <w:rPr>
          <w:spacing w:val="8"/>
        </w:rPr>
        <w:t xml:space="preserve"> </w:t>
      </w:r>
      <w:r>
        <w:rPr>
          <w:spacing w:val="-1"/>
        </w:rPr>
        <w:t>of</w:t>
      </w:r>
      <w:r>
        <w:rPr>
          <w:spacing w:val="42"/>
        </w:rPr>
        <w:t xml:space="preserve"> </w:t>
      </w:r>
      <w:r>
        <w:rPr>
          <w:spacing w:val="-1"/>
        </w:rPr>
        <w:t>proposed</w:t>
      </w:r>
      <w:r>
        <w:rPr>
          <w:spacing w:val="22"/>
        </w:rPr>
        <w:t xml:space="preserve"> </w:t>
      </w:r>
      <w:r>
        <w:rPr>
          <w:spacing w:val="-1"/>
        </w:rPr>
        <w:t>mitigating</w:t>
      </w:r>
      <w:r>
        <w:rPr>
          <w:spacing w:val="22"/>
        </w:rPr>
        <w:t xml:space="preserve"> </w:t>
      </w:r>
      <w:r>
        <w:rPr>
          <w:spacing w:val="-1"/>
        </w:rPr>
        <w:t>factors</w:t>
      </w:r>
      <w:r>
        <w:rPr>
          <w:spacing w:val="22"/>
        </w:rPr>
        <w:t xml:space="preserve"> </w:t>
      </w:r>
      <w:r>
        <w:rPr>
          <w:spacing w:val="-2"/>
        </w:rPr>
        <w:t>which</w:t>
      </w:r>
      <w:r>
        <w:rPr>
          <w:spacing w:val="22"/>
        </w:rPr>
        <w:t xml:space="preserve"> </w:t>
      </w:r>
      <w:r>
        <w:rPr>
          <w:spacing w:val="-1"/>
        </w:rPr>
        <w:t>in</w:t>
      </w:r>
      <w:r>
        <w:rPr>
          <w:spacing w:val="24"/>
        </w:rPr>
        <w:t xml:space="preserve"> </w:t>
      </w:r>
      <w:r>
        <w:t>the</w:t>
      </w:r>
      <w:r>
        <w:rPr>
          <w:spacing w:val="22"/>
        </w:rPr>
        <w:t xml:space="preserve"> </w:t>
      </w:r>
      <w:r>
        <w:rPr>
          <w:spacing w:val="-1"/>
        </w:rPr>
        <w:t>reasonable</w:t>
      </w:r>
      <w:r>
        <w:rPr>
          <w:spacing w:val="22"/>
        </w:rPr>
        <w:t xml:space="preserve"> </w:t>
      </w:r>
      <w:r>
        <w:rPr>
          <w:spacing w:val="-2"/>
        </w:rPr>
        <w:t>opinion</w:t>
      </w:r>
      <w:r>
        <w:rPr>
          <w:spacing w:val="22"/>
        </w:rPr>
        <w:t xml:space="preserve"> </w:t>
      </w:r>
      <w:r>
        <w:rPr>
          <w:spacing w:val="-1"/>
        </w:rPr>
        <w:t>of</w:t>
      </w:r>
      <w:r>
        <w:rPr>
          <w:spacing w:val="34"/>
        </w:rPr>
        <w:t xml:space="preserve"> </w:t>
      </w:r>
      <w:r>
        <w:t xml:space="preserve">the </w:t>
      </w:r>
      <w:r>
        <w:rPr>
          <w:spacing w:val="-2"/>
        </w:rPr>
        <w:t>Customer</w:t>
      </w:r>
      <w:r>
        <w:rPr>
          <w:spacing w:val="2"/>
        </w:rPr>
        <w:t xml:space="preserve"> </w:t>
      </w:r>
      <w:r>
        <w:rPr>
          <w:spacing w:val="-1"/>
        </w:rPr>
        <w:t>are</w:t>
      </w:r>
      <w:r>
        <w:t xml:space="preserve"> </w:t>
      </w:r>
      <w:r>
        <w:rPr>
          <w:spacing w:val="-2"/>
        </w:rPr>
        <w:t>acceptable;</w:t>
      </w:r>
    </w:p>
    <w:p w:rsidR="008918FA" w:rsidRDefault="008918FA" w:rsidP="008918FA">
      <w:pPr>
        <w:pStyle w:val="BodyText"/>
        <w:numPr>
          <w:ilvl w:val="3"/>
          <w:numId w:val="66"/>
        </w:numPr>
        <w:tabs>
          <w:tab w:val="left" w:pos="2594"/>
        </w:tabs>
        <w:spacing w:before="121"/>
        <w:ind w:left="2593" w:right="115"/>
        <w:jc w:val="both"/>
      </w:pPr>
      <w:r>
        <w:rPr>
          <w:spacing w:val="-1"/>
        </w:rPr>
        <w:t>as</w:t>
      </w:r>
      <w:r>
        <w:rPr>
          <w:spacing w:val="15"/>
        </w:rPr>
        <w:t xml:space="preserve"> </w:t>
      </w:r>
      <w:r>
        <w:t>a</w:t>
      </w:r>
      <w:r>
        <w:rPr>
          <w:spacing w:val="15"/>
        </w:rPr>
        <w:t xml:space="preserve"> </w:t>
      </w:r>
      <w:r>
        <w:rPr>
          <w:spacing w:val="-1"/>
        </w:rPr>
        <w:t>result</w:t>
      </w:r>
      <w:r>
        <w:rPr>
          <w:spacing w:val="16"/>
        </w:rPr>
        <w:t xml:space="preserve"> </w:t>
      </w:r>
      <w:r>
        <w:rPr>
          <w:spacing w:val="-2"/>
        </w:rPr>
        <w:t>of</w:t>
      </w:r>
      <w:r>
        <w:rPr>
          <w:spacing w:val="19"/>
        </w:rPr>
        <w:t xml:space="preserve"> </w:t>
      </w:r>
      <w:r>
        <w:rPr>
          <w:spacing w:val="-1"/>
        </w:rPr>
        <w:t>any</w:t>
      </w:r>
      <w:r>
        <w:rPr>
          <w:spacing w:val="13"/>
        </w:rPr>
        <w:t xml:space="preserve"> </w:t>
      </w:r>
      <w:r>
        <w:rPr>
          <w:spacing w:val="-1"/>
        </w:rPr>
        <w:t>Defaults,</w:t>
      </w:r>
      <w:r>
        <w:rPr>
          <w:spacing w:val="14"/>
        </w:rPr>
        <w:t xml:space="preserve"> </w:t>
      </w:r>
      <w:r>
        <w:t>the</w:t>
      </w:r>
      <w:r>
        <w:rPr>
          <w:spacing w:val="15"/>
        </w:rPr>
        <w:t xml:space="preserve"> </w:t>
      </w:r>
      <w:r>
        <w:rPr>
          <w:spacing w:val="-1"/>
        </w:rPr>
        <w:t>Customer</w:t>
      </w:r>
      <w:r>
        <w:rPr>
          <w:spacing w:val="16"/>
        </w:rPr>
        <w:t xml:space="preserve"> </w:t>
      </w:r>
      <w:r>
        <w:rPr>
          <w:spacing w:val="-1"/>
        </w:rPr>
        <w:t>incurs</w:t>
      </w:r>
      <w:r>
        <w:rPr>
          <w:spacing w:val="13"/>
        </w:rPr>
        <w:t xml:space="preserve"> </w:t>
      </w:r>
      <w:r>
        <w:rPr>
          <w:spacing w:val="-1"/>
        </w:rPr>
        <w:t>Losses</w:t>
      </w:r>
      <w:r>
        <w:rPr>
          <w:spacing w:val="15"/>
        </w:rPr>
        <w:t xml:space="preserve"> </w:t>
      </w:r>
      <w:r>
        <w:rPr>
          <w:spacing w:val="-1"/>
        </w:rPr>
        <w:t>in</w:t>
      </w:r>
      <w:r>
        <w:rPr>
          <w:spacing w:val="15"/>
        </w:rPr>
        <w:t xml:space="preserve"> </w:t>
      </w:r>
      <w:r>
        <w:rPr>
          <w:spacing w:val="-1"/>
        </w:rPr>
        <w:t>any</w:t>
      </w:r>
      <w:r>
        <w:rPr>
          <w:spacing w:val="24"/>
        </w:rPr>
        <w:t xml:space="preserve"> </w:t>
      </w:r>
      <w:r>
        <w:rPr>
          <w:spacing w:val="-1"/>
        </w:rPr>
        <w:t>Contract</w:t>
      </w:r>
      <w:r>
        <w:rPr>
          <w:spacing w:val="14"/>
        </w:rPr>
        <w:t xml:space="preserve"> </w:t>
      </w:r>
      <w:r>
        <w:rPr>
          <w:spacing w:val="-1"/>
        </w:rPr>
        <w:t>Year</w:t>
      </w:r>
      <w:r>
        <w:rPr>
          <w:spacing w:val="11"/>
        </w:rPr>
        <w:t xml:space="preserve"> </w:t>
      </w:r>
      <w:r>
        <w:rPr>
          <w:spacing w:val="-2"/>
        </w:rPr>
        <w:t>which</w:t>
      </w:r>
      <w:r>
        <w:rPr>
          <w:spacing w:val="13"/>
        </w:rPr>
        <w:t xml:space="preserve"> </w:t>
      </w:r>
      <w:r>
        <w:rPr>
          <w:spacing w:val="-1"/>
        </w:rPr>
        <w:t>exceed</w:t>
      </w:r>
      <w:r>
        <w:rPr>
          <w:spacing w:val="12"/>
        </w:rPr>
        <w:t xml:space="preserve"> </w:t>
      </w:r>
      <w:r>
        <w:rPr>
          <w:spacing w:val="-1"/>
        </w:rPr>
        <w:t>80%</w:t>
      </w:r>
      <w:r>
        <w:rPr>
          <w:spacing w:val="13"/>
        </w:rPr>
        <w:t xml:space="preserve"> </w:t>
      </w:r>
      <w:r>
        <w:rPr>
          <w:spacing w:val="-2"/>
        </w:rPr>
        <w:t>of</w:t>
      </w:r>
      <w:r>
        <w:rPr>
          <w:spacing w:val="11"/>
        </w:rPr>
        <w:t xml:space="preserve"> </w:t>
      </w:r>
      <w:r>
        <w:t>the</w:t>
      </w:r>
      <w:r>
        <w:rPr>
          <w:spacing w:val="12"/>
        </w:rPr>
        <w:t xml:space="preserve"> </w:t>
      </w:r>
      <w:r>
        <w:rPr>
          <w:spacing w:val="-2"/>
        </w:rPr>
        <w:t>value</w:t>
      </w:r>
      <w:r>
        <w:rPr>
          <w:spacing w:val="12"/>
        </w:rPr>
        <w:t xml:space="preserve"> </w:t>
      </w:r>
      <w:r>
        <w:rPr>
          <w:spacing w:val="-2"/>
        </w:rPr>
        <w:t>of</w:t>
      </w:r>
      <w:r>
        <w:rPr>
          <w:spacing w:val="14"/>
        </w:rPr>
        <w:t xml:space="preserve"> </w:t>
      </w:r>
      <w:r>
        <w:t>the</w:t>
      </w:r>
      <w:r>
        <w:rPr>
          <w:spacing w:val="12"/>
        </w:rPr>
        <w:t xml:space="preserve"> </w:t>
      </w:r>
      <w:r>
        <w:rPr>
          <w:spacing w:val="-2"/>
        </w:rPr>
        <w:t>Supplier’s</w:t>
      </w:r>
      <w:r>
        <w:rPr>
          <w:spacing w:val="43"/>
        </w:rPr>
        <w:t xml:space="preserve"> </w:t>
      </w:r>
      <w:r>
        <w:rPr>
          <w:spacing w:val="-1"/>
        </w:rPr>
        <w:t>aggregate</w:t>
      </w:r>
      <w:r>
        <w:rPr>
          <w:spacing w:val="15"/>
        </w:rPr>
        <w:t xml:space="preserve"> </w:t>
      </w:r>
      <w:r>
        <w:rPr>
          <w:spacing w:val="-1"/>
        </w:rPr>
        <w:t>annual</w:t>
      </w:r>
      <w:r>
        <w:rPr>
          <w:spacing w:val="14"/>
        </w:rPr>
        <w:t xml:space="preserve"> </w:t>
      </w:r>
      <w:r>
        <w:rPr>
          <w:spacing w:val="-2"/>
        </w:rPr>
        <w:t>liability</w:t>
      </w:r>
      <w:r>
        <w:rPr>
          <w:spacing w:val="13"/>
        </w:rPr>
        <w:t xml:space="preserve"> </w:t>
      </w:r>
      <w:r>
        <w:rPr>
          <w:spacing w:val="-2"/>
        </w:rPr>
        <w:t>limit</w:t>
      </w:r>
      <w:r>
        <w:rPr>
          <w:spacing w:val="16"/>
        </w:rPr>
        <w:t xml:space="preserve"> </w:t>
      </w:r>
      <w:r>
        <w:t>for</w:t>
      </w:r>
      <w:r>
        <w:rPr>
          <w:spacing w:val="14"/>
        </w:rPr>
        <w:t xml:space="preserve"> </w:t>
      </w:r>
      <w:r>
        <w:rPr>
          <w:spacing w:val="-1"/>
        </w:rPr>
        <w:t>that</w:t>
      </w:r>
      <w:r>
        <w:rPr>
          <w:spacing w:val="14"/>
        </w:rPr>
        <w:t xml:space="preserve"> </w:t>
      </w:r>
      <w:r>
        <w:rPr>
          <w:spacing w:val="-1"/>
        </w:rPr>
        <w:t>Contract</w:t>
      </w:r>
      <w:r>
        <w:rPr>
          <w:spacing w:val="14"/>
        </w:rPr>
        <w:t xml:space="preserve"> </w:t>
      </w:r>
      <w:r>
        <w:rPr>
          <w:spacing w:val="-1"/>
        </w:rPr>
        <w:t>Year</w:t>
      </w:r>
      <w:r>
        <w:rPr>
          <w:spacing w:val="16"/>
        </w:rPr>
        <w:t xml:space="preserve"> </w:t>
      </w:r>
      <w:r>
        <w:rPr>
          <w:spacing w:val="-1"/>
        </w:rPr>
        <w:t>as</w:t>
      </w:r>
      <w:r>
        <w:rPr>
          <w:spacing w:val="15"/>
        </w:rPr>
        <w:t xml:space="preserve"> </w:t>
      </w:r>
      <w:r>
        <w:rPr>
          <w:spacing w:val="-2"/>
        </w:rPr>
        <w:t>set</w:t>
      </w:r>
      <w:r>
        <w:rPr>
          <w:spacing w:val="16"/>
        </w:rPr>
        <w:t xml:space="preserve"> </w:t>
      </w:r>
      <w:r>
        <w:rPr>
          <w:spacing w:val="-2"/>
        </w:rPr>
        <w:t>out</w:t>
      </w:r>
      <w:r>
        <w:rPr>
          <w:spacing w:val="55"/>
        </w:rPr>
        <w:t xml:space="preserve"> </w:t>
      </w:r>
      <w:r>
        <w:rPr>
          <w:spacing w:val="-1"/>
        </w:rPr>
        <w:t>in</w:t>
      </w:r>
      <w:r>
        <w:t xml:space="preserve"> </w:t>
      </w:r>
      <w:r>
        <w:rPr>
          <w:spacing w:val="-1"/>
        </w:rPr>
        <w:t>Clauses</w:t>
      </w:r>
      <w:r>
        <w:rPr>
          <w:spacing w:val="1"/>
        </w:rPr>
        <w:t xml:space="preserve"> </w:t>
      </w:r>
      <w:hyperlink w:anchor="_bookmark203" w:history="1">
        <w:r>
          <w:rPr>
            <w:spacing w:val="-1"/>
          </w:rPr>
          <w:t>36.2.1(a)</w:t>
        </w:r>
      </w:hyperlink>
      <w:r>
        <w:rPr>
          <w:spacing w:val="2"/>
        </w:rPr>
        <w:t xml:space="preserve"> </w:t>
      </w:r>
      <w:r>
        <w:rPr>
          <w:spacing w:val="-1"/>
        </w:rPr>
        <w:t>and</w:t>
      </w:r>
      <w:r>
        <w:rPr>
          <w:spacing w:val="-2"/>
        </w:rPr>
        <w:t xml:space="preserve"> </w:t>
      </w:r>
      <w:hyperlink w:anchor="_bookmark204" w:history="1">
        <w:r>
          <w:rPr>
            <w:spacing w:val="-1"/>
          </w:rPr>
          <w:t>36.2.1(b)</w:t>
        </w:r>
      </w:hyperlink>
      <w:r>
        <w:t xml:space="preserve"> </w:t>
      </w:r>
      <w:r>
        <w:rPr>
          <w:spacing w:val="-2"/>
        </w:rPr>
        <w:t>(Liability);</w:t>
      </w:r>
    </w:p>
    <w:p w:rsidR="008918FA" w:rsidRDefault="008918FA" w:rsidP="008918FA">
      <w:pPr>
        <w:pStyle w:val="BodyText"/>
        <w:numPr>
          <w:ilvl w:val="3"/>
          <w:numId w:val="66"/>
        </w:numPr>
        <w:tabs>
          <w:tab w:val="left" w:pos="2594"/>
        </w:tabs>
        <w:ind w:left="2593" w:right="111"/>
        <w:jc w:val="both"/>
      </w:pPr>
      <w:r>
        <w:t>the</w:t>
      </w:r>
      <w:r>
        <w:rPr>
          <w:spacing w:val="7"/>
        </w:rPr>
        <w:t xml:space="preserve"> </w:t>
      </w:r>
      <w:r>
        <w:rPr>
          <w:spacing w:val="-1"/>
        </w:rPr>
        <w:t>Customer</w:t>
      </w:r>
      <w:r>
        <w:rPr>
          <w:spacing w:val="9"/>
        </w:rPr>
        <w:t xml:space="preserve"> </w:t>
      </w:r>
      <w:r>
        <w:rPr>
          <w:spacing w:val="-1"/>
        </w:rPr>
        <w:t>expressly</w:t>
      </w:r>
      <w:r>
        <w:rPr>
          <w:spacing w:val="5"/>
        </w:rPr>
        <w:t xml:space="preserve"> </w:t>
      </w:r>
      <w:r>
        <w:rPr>
          <w:spacing w:val="-1"/>
        </w:rPr>
        <w:t>reserves</w:t>
      </w:r>
      <w:r>
        <w:rPr>
          <w:spacing w:val="8"/>
        </w:rPr>
        <w:t xml:space="preserve"> </w:t>
      </w:r>
      <w:r>
        <w:t>the</w:t>
      </w:r>
      <w:r>
        <w:rPr>
          <w:spacing w:val="7"/>
        </w:rPr>
        <w:t xml:space="preserve"> </w:t>
      </w:r>
      <w:r>
        <w:rPr>
          <w:spacing w:val="-1"/>
        </w:rPr>
        <w:t>right</w:t>
      </w:r>
      <w:r>
        <w:rPr>
          <w:spacing w:val="9"/>
        </w:rPr>
        <w:t xml:space="preserve"> </w:t>
      </w:r>
      <w:r>
        <w:t>to</w:t>
      </w:r>
      <w:r>
        <w:rPr>
          <w:spacing w:val="5"/>
        </w:rPr>
        <w:t xml:space="preserve"> </w:t>
      </w:r>
      <w:r>
        <w:rPr>
          <w:spacing w:val="-1"/>
        </w:rPr>
        <w:t>terminate</w:t>
      </w:r>
      <w:r>
        <w:rPr>
          <w:spacing w:val="7"/>
        </w:rPr>
        <w:t xml:space="preserve"> </w:t>
      </w:r>
      <w:r>
        <w:rPr>
          <w:spacing w:val="-1"/>
        </w:rPr>
        <w:t>this</w:t>
      </w:r>
      <w:r>
        <w:rPr>
          <w:spacing w:val="8"/>
        </w:rPr>
        <w:t xml:space="preserve"> </w:t>
      </w:r>
      <w:r>
        <w:rPr>
          <w:spacing w:val="-2"/>
        </w:rPr>
        <w:t>Call</w:t>
      </w:r>
      <w:r>
        <w:rPr>
          <w:spacing w:val="27"/>
        </w:rPr>
        <w:t xml:space="preserve"> </w:t>
      </w:r>
      <w:r>
        <w:rPr>
          <w:spacing w:val="-1"/>
        </w:rPr>
        <w:t>Off</w:t>
      </w:r>
      <w:r>
        <w:rPr>
          <w:spacing w:val="33"/>
        </w:rPr>
        <w:t xml:space="preserve"> </w:t>
      </w:r>
      <w:r>
        <w:rPr>
          <w:spacing w:val="-1"/>
        </w:rPr>
        <w:t>Contract</w:t>
      </w:r>
      <w:r>
        <w:rPr>
          <w:spacing w:val="29"/>
        </w:rPr>
        <w:t xml:space="preserve"> </w:t>
      </w:r>
      <w:r>
        <w:t>for</w:t>
      </w:r>
      <w:r>
        <w:rPr>
          <w:spacing w:val="33"/>
        </w:rPr>
        <w:t xml:space="preserve"> </w:t>
      </w:r>
      <w:r>
        <w:rPr>
          <w:spacing w:val="-1"/>
        </w:rPr>
        <w:t>material</w:t>
      </w:r>
      <w:r>
        <w:rPr>
          <w:spacing w:val="29"/>
        </w:rPr>
        <w:t xml:space="preserve"> </w:t>
      </w:r>
      <w:r>
        <w:rPr>
          <w:spacing w:val="-1"/>
        </w:rPr>
        <w:t>Default,</w:t>
      </w:r>
      <w:r>
        <w:rPr>
          <w:spacing w:val="33"/>
        </w:rPr>
        <w:t xml:space="preserve"> </w:t>
      </w:r>
      <w:r>
        <w:rPr>
          <w:spacing w:val="-2"/>
        </w:rPr>
        <w:t>including</w:t>
      </w:r>
      <w:r>
        <w:rPr>
          <w:spacing w:val="34"/>
        </w:rPr>
        <w:t xml:space="preserve"> </w:t>
      </w:r>
      <w:r>
        <w:rPr>
          <w:spacing w:val="-1"/>
        </w:rPr>
        <w:t>pursuant</w:t>
      </w:r>
      <w:r>
        <w:rPr>
          <w:spacing w:val="33"/>
        </w:rPr>
        <w:t xml:space="preserve"> </w:t>
      </w:r>
      <w:r>
        <w:t>to</w:t>
      </w:r>
      <w:r>
        <w:rPr>
          <w:spacing w:val="32"/>
        </w:rPr>
        <w:t xml:space="preserve"> </w:t>
      </w:r>
      <w:r>
        <w:rPr>
          <w:spacing w:val="-1"/>
        </w:rPr>
        <w:t>any</w:t>
      </w:r>
      <w:r>
        <w:rPr>
          <w:spacing w:val="30"/>
        </w:rPr>
        <w:t xml:space="preserve"> </w:t>
      </w:r>
      <w:r>
        <w:rPr>
          <w:spacing w:val="-1"/>
        </w:rPr>
        <w:t>of</w:t>
      </w:r>
      <w:r>
        <w:rPr>
          <w:spacing w:val="44"/>
        </w:rPr>
        <w:t xml:space="preserve"> </w:t>
      </w:r>
      <w:r>
        <w:t>the</w:t>
      </w:r>
      <w:r>
        <w:rPr>
          <w:spacing w:val="52"/>
        </w:rPr>
        <w:t xml:space="preserve"> </w:t>
      </w:r>
      <w:r>
        <w:rPr>
          <w:spacing w:val="-1"/>
        </w:rPr>
        <w:t>following</w:t>
      </w:r>
      <w:r>
        <w:rPr>
          <w:spacing w:val="57"/>
        </w:rPr>
        <w:t xml:space="preserve"> </w:t>
      </w:r>
      <w:r>
        <w:rPr>
          <w:spacing w:val="-1"/>
        </w:rPr>
        <w:t>Clauses:</w:t>
      </w:r>
      <w:r>
        <w:rPr>
          <w:spacing w:val="57"/>
        </w:rPr>
        <w:t xml:space="preserve"> </w:t>
      </w:r>
      <w:hyperlink w:anchor="_bookmark59" w:history="1">
        <w:r>
          <w:t>6.2.3</w:t>
        </w:r>
      </w:hyperlink>
      <w:r>
        <w:rPr>
          <w:spacing w:val="54"/>
        </w:rPr>
        <w:t xml:space="preserve"> </w:t>
      </w:r>
      <w:r>
        <w:rPr>
          <w:spacing w:val="-1"/>
        </w:rPr>
        <w:t>(Implementation</w:t>
      </w:r>
      <w:r>
        <w:rPr>
          <w:spacing w:val="52"/>
        </w:rPr>
        <w:t xml:space="preserve"> </w:t>
      </w:r>
      <w:r>
        <w:rPr>
          <w:spacing w:val="-1"/>
        </w:rPr>
        <w:t>Plan),</w:t>
      </w:r>
      <w:r>
        <w:rPr>
          <w:spacing w:val="57"/>
        </w:rPr>
        <w:t xml:space="preserve"> </w:t>
      </w:r>
      <w:hyperlink w:anchor="_bookmark74" w:history="1">
        <w:r>
          <w:t>8.3.2</w:t>
        </w:r>
      </w:hyperlink>
      <w:r>
        <w:rPr>
          <w:spacing w:val="23"/>
        </w:rPr>
        <w:t xml:space="preserve"> </w:t>
      </w:r>
      <w:r>
        <w:rPr>
          <w:spacing w:val="-1"/>
        </w:rPr>
        <w:t>(Services),</w:t>
      </w:r>
      <w:r>
        <w:rPr>
          <w:spacing w:val="33"/>
        </w:rPr>
        <w:t xml:space="preserve"> </w:t>
      </w:r>
      <w:hyperlink w:anchor="_bookmark83" w:history="1">
        <w:r>
          <w:rPr>
            <w:spacing w:val="-1"/>
          </w:rPr>
          <w:t>9.3.2</w:t>
        </w:r>
      </w:hyperlink>
      <w:r>
        <w:rPr>
          <w:spacing w:val="29"/>
        </w:rPr>
        <w:t xml:space="preserve"> </w:t>
      </w:r>
      <w:r>
        <w:rPr>
          <w:spacing w:val="-1"/>
        </w:rPr>
        <w:t>and</w:t>
      </w:r>
      <w:r>
        <w:rPr>
          <w:spacing w:val="32"/>
        </w:rPr>
        <w:t xml:space="preserve"> </w:t>
      </w:r>
      <w:hyperlink w:anchor="_bookmark86" w:history="1">
        <w:r>
          <w:rPr>
            <w:spacing w:val="-1"/>
          </w:rPr>
          <w:t>9.5.1</w:t>
        </w:r>
      </w:hyperlink>
      <w:r>
        <w:rPr>
          <w:spacing w:val="31"/>
        </w:rPr>
        <w:t xml:space="preserve"> </w:t>
      </w:r>
      <w:r>
        <w:rPr>
          <w:spacing w:val="-1"/>
        </w:rPr>
        <w:t>(Goods),</w:t>
      </w:r>
      <w:r>
        <w:rPr>
          <w:spacing w:val="33"/>
        </w:rPr>
        <w:t xml:space="preserve"> </w:t>
      </w:r>
      <w:r>
        <w:rPr>
          <w:spacing w:val="-1"/>
        </w:rPr>
        <w:t>10.2</w:t>
      </w:r>
      <w:r>
        <w:rPr>
          <w:spacing w:val="29"/>
        </w:rPr>
        <w:t xml:space="preserve"> </w:t>
      </w:r>
      <w:r>
        <w:rPr>
          <w:spacing w:val="-1"/>
        </w:rPr>
        <w:t>(Installation</w:t>
      </w:r>
      <w:r>
        <w:rPr>
          <w:spacing w:val="27"/>
        </w:rPr>
        <w:t xml:space="preserve"> </w:t>
      </w:r>
      <w:r>
        <w:t>Works),</w:t>
      </w:r>
    </w:p>
    <w:p w:rsidR="008918FA" w:rsidRDefault="00E32C6B" w:rsidP="008918FA">
      <w:pPr>
        <w:pStyle w:val="BodyText"/>
        <w:spacing w:before="1"/>
        <w:ind w:left="2593" w:right="111" w:firstLine="0"/>
        <w:jc w:val="both"/>
      </w:pPr>
      <w:hyperlink w:anchor="_bookmark100" w:history="1">
        <w:r w:rsidR="008918FA">
          <w:rPr>
            <w:spacing w:val="-1"/>
          </w:rPr>
          <w:t>14.1</w:t>
        </w:r>
      </w:hyperlink>
      <w:r w:rsidR="008918FA">
        <w:rPr>
          <w:spacing w:val="9"/>
        </w:rPr>
        <w:t xml:space="preserve"> </w:t>
      </w:r>
      <w:r w:rsidR="008918FA">
        <w:rPr>
          <w:spacing w:val="-1"/>
        </w:rPr>
        <w:t>(Critical</w:t>
      </w:r>
      <w:r w:rsidR="008918FA">
        <w:rPr>
          <w:spacing w:val="8"/>
        </w:rPr>
        <w:t xml:space="preserve"> </w:t>
      </w:r>
      <w:r w:rsidR="008918FA">
        <w:rPr>
          <w:spacing w:val="-2"/>
        </w:rPr>
        <w:t>Service</w:t>
      </w:r>
      <w:r w:rsidR="008918FA">
        <w:rPr>
          <w:spacing w:val="10"/>
        </w:rPr>
        <w:t xml:space="preserve"> </w:t>
      </w:r>
      <w:r w:rsidR="008918FA">
        <w:rPr>
          <w:spacing w:val="-2"/>
        </w:rPr>
        <w:t>Level</w:t>
      </w:r>
      <w:r w:rsidR="008918FA">
        <w:rPr>
          <w:spacing w:val="9"/>
        </w:rPr>
        <w:t xml:space="preserve"> </w:t>
      </w:r>
      <w:r w:rsidR="008918FA">
        <w:rPr>
          <w:spacing w:val="-1"/>
        </w:rPr>
        <w:t>Failure),</w:t>
      </w:r>
      <w:r w:rsidR="008918FA">
        <w:rPr>
          <w:spacing w:val="11"/>
        </w:rPr>
        <w:t xml:space="preserve"> </w:t>
      </w:r>
      <w:hyperlink w:anchor="_bookmark105" w:history="1">
        <w:r w:rsidR="008918FA">
          <w:rPr>
            <w:spacing w:val="-1"/>
          </w:rPr>
          <w:t>16.4</w:t>
        </w:r>
      </w:hyperlink>
      <w:r w:rsidR="008918FA">
        <w:rPr>
          <w:spacing w:val="9"/>
        </w:rPr>
        <w:t xml:space="preserve"> </w:t>
      </w:r>
      <w:r w:rsidR="008918FA">
        <w:rPr>
          <w:spacing w:val="-2"/>
        </w:rPr>
        <w:t>(Disruption),</w:t>
      </w:r>
      <w:r w:rsidR="008918FA">
        <w:rPr>
          <w:spacing w:val="11"/>
        </w:rPr>
        <w:t xml:space="preserve"> </w:t>
      </w:r>
      <w:hyperlink w:anchor="_bookmark117" w:history="1">
        <w:r w:rsidR="008918FA">
          <w:rPr>
            <w:spacing w:val="-1"/>
          </w:rPr>
          <w:t>21.5</w:t>
        </w:r>
      </w:hyperlink>
      <w:r w:rsidR="008918FA">
        <w:rPr>
          <w:spacing w:val="65"/>
        </w:rPr>
        <w:t xml:space="preserve"> </w:t>
      </w:r>
      <w:r w:rsidR="008918FA">
        <w:rPr>
          <w:spacing w:val="-1"/>
        </w:rPr>
        <w:t>(Records,</w:t>
      </w:r>
      <w:r w:rsidR="008918FA">
        <w:rPr>
          <w:spacing w:val="21"/>
        </w:rPr>
        <w:t xml:space="preserve"> </w:t>
      </w:r>
      <w:r w:rsidR="008918FA">
        <w:rPr>
          <w:spacing w:val="-1"/>
        </w:rPr>
        <w:t>Audit</w:t>
      </w:r>
      <w:r w:rsidR="008918FA">
        <w:rPr>
          <w:spacing w:val="19"/>
        </w:rPr>
        <w:t xml:space="preserve"> </w:t>
      </w:r>
      <w:r w:rsidR="008918FA">
        <w:rPr>
          <w:spacing w:val="-1"/>
        </w:rPr>
        <w:t>Access</w:t>
      </w:r>
      <w:r w:rsidR="008918FA">
        <w:rPr>
          <w:spacing w:val="16"/>
        </w:rPr>
        <w:t xml:space="preserve"> </w:t>
      </w:r>
      <w:r w:rsidR="008918FA">
        <w:rPr>
          <w:spacing w:val="-1"/>
        </w:rPr>
        <w:t>and</w:t>
      </w:r>
      <w:r w:rsidR="008918FA">
        <w:rPr>
          <w:spacing w:val="19"/>
        </w:rPr>
        <w:t xml:space="preserve"> </w:t>
      </w:r>
      <w:r w:rsidR="008918FA">
        <w:rPr>
          <w:spacing w:val="-1"/>
        </w:rPr>
        <w:t>Open</w:t>
      </w:r>
      <w:r w:rsidR="008918FA">
        <w:rPr>
          <w:spacing w:val="17"/>
        </w:rPr>
        <w:t xml:space="preserve"> </w:t>
      </w:r>
      <w:r w:rsidR="008918FA">
        <w:rPr>
          <w:spacing w:val="-2"/>
        </w:rPr>
        <w:t>Book</w:t>
      </w:r>
      <w:r w:rsidR="008918FA">
        <w:rPr>
          <w:spacing w:val="22"/>
        </w:rPr>
        <w:t xml:space="preserve"> </w:t>
      </w:r>
      <w:r w:rsidR="008918FA">
        <w:rPr>
          <w:spacing w:val="-2"/>
        </w:rPr>
        <w:t>Data),</w:t>
      </w:r>
      <w:r w:rsidR="008918FA">
        <w:rPr>
          <w:spacing w:val="40"/>
        </w:rPr>
        <w:t xml:space="preserve"> </w:t>
      </w:r>
      <w:hyperlink w:anchor="_bookmark134" w:history="1">
        <w:r w:rsidR="008918FA">
          <w:rPr>
            <w:spacing w:val="-1"/>
          </w:rPr>
          <w:t>24</w:t>
        </w:r>
      </w:hyperlink>
      <w:r w:rsidR="008918FA">
        <w:rPr>
          <w:spacing w:val="20"/>
        </w:rPr>
        <w:t xml:space="preserve"> </w:t>
      </w:r>
      <w:r w:rsidR="008918FA">
        <w:rPr>
          <w:spacing w:val="-1"/>
        </w:rPr>
        <w:t>(Promoting</w:t>
      </w:r>
      <w:r w:rsidR="008918FA">
        <w:rPr>
          <w:spacing w:val="35"/>
        </w:rPr>
        <w:t xml:space="preserve"> </w:t>
      </w:r>
      <w:r w:rsidR="008918FA">
        <w:t>Tax</w:t>
      </w:r>
      <w:r w:rsidR="008918FA">
        <w:rPr>
          <w:spacing w:val="8"/>
        </w:rPr>
        <w:t xml:space="preserve"> </w:t>
      </w:r>
      <w:r w:rsidR="008918FA">
        <w:rPr>
          <w:spacing w:val="-1"/>
        </w:rPr>
        <w:t>Compliance),</w:t>
      </w:r>
      <w:r w:rsidR="008918FA">
        <w:rPr>
          <w:spacing w:val="11"/>
        </w:rPr>
        <w:t xml:space="preserve"> </w:t>
      </w:r>
      <w:hyperlink w:anchor="_bookmark190" w:history="1">
        <w:r w:rsidR="008918FA">
          <w:rPr>
            <w:spacing w:val="-1"/>
          </w:rPr>
          <w:t>34.3.9</w:t>
        </w:r>
      </w:hyperlink>
      <w:r w:rsidR="008918FA">
        <w:rPr>
          <w:spacing w:val="8"/>
        </w:rPr>
        <w:t xml:space="preserve"> </w:t>
      </w:r>
      <w:r w:rsidR="008918FA">
        <w:rPr>
          <w:spacing w:val="-1"/>
        </w:rPr>
        <w:t>(Confidentiality),</w:t>
      </w:r>
      <w:r w:rsidR="008918FA">
        <w:rPr>
          <w:spacing w:val="12"/>
        </w:rPr>
        <w:t xml:space="preserve"> </w:t>
      </w:r>
      <w:hyperlink w:anchor="_bookmark266" w:history="1">
        <w:r w:rsidR="008918FA">
          <w:rPr>
            <w:spacing w:val="-1"/>
          </w:rPr>
          <w:t>50.6.2</w:t>
        </w:r>
      </w:hyperlink>
      <w:r w:rsidR="008918FA">
        <w:rPr>
          <w:spacing w:val="8"/>
        </w:rPr>
        <w:t xml:space="preserve"> </w:t>
      </w:r>
      <w:r w:rsidR="008918FA">
        <w:rPr>
          <w:spacing w:val="-1"/>
        </w:rPr>
        <w:t>(Prevention</w:t>
      </w:r>
      <w:r w:rsidR="008918FA">
        <w:rPr>
          <w:spacing w:val="10"/>
        </w:rPr>
        <w:t xml:space="preserve"> </w:t>
      </w:r>
      <w:r w:rsidR="008918FA">
        <w:rPr>
          <w:spacing w:val="-2"/>
        </w:rPr>
        <w:t>of</w:t>
      </w:r>
      <w:r w:rsidR="008918FA">
        <w:rPr>
          <w:spacing w:val="27"/>
        </w:rPr>
        <w:t xml:space="preserve"> </w:t>
      </w:r>
      <w:r w:rsidR="008918FA">
        <w:rPr>
          <w:spacing w:val="-1"/>
        </w:rPr>
        <w:t>Fraud</w:t>
      </w:r>
      <w:r w:rsidR="008918FA">
        <w:t xml:space="preserve"> </w:t>
      </w:r>
      <w:r w:rsidR="008918FA">
        <w:rPr>
          <w:spacing w:val="-1"/>
        </w:rPr>
        <w:t>and</w:t>
      </w:r>
      <w:r w:rsidR="008918FA">
        <w:rPr>
          <w:spacing w:val="-2"/>
        </w:rPr>
        <w:t xml:space="preserve"> </w:t>
      </w:r>
      <w:r w:rsidR="008918FA">
        <w:rPr>
          <w:spacing w:val="-1"/>
        </w:rPr>
        <w:t>Bribery);</w:t>
      </w:r>
    </w:p>
    <w:p w:rsidR="008918FA" w:rsidRDefault="008918FA" w:rsidP="008918FA">
      <w:pPr>
        <w:pStyle w:val="BodyText"/>
        <w:numPr>
          <w:ilvl w:val="3"/>
          <w:numId w:val="66"/>
        </w:numPr>
        <w:tabs>
          <w:tab w:val="left" w:pos="2594"/>
        </w:tabs>
        <w:ind w:left="2593" w:right="113" w:hanging="707"/>
        <w:jc w:val="both"/>
      </w:pPr>
      <w:r>
        <w:t>the</w:t>
      </w:r>
      <w:r>
        <w:rPr>
          <w:spacing w:val="16"/>
        </w:rPr>
        <w:t xml:space="preserve"> </w:t>
      </w:r>
      <w:r>
        <w:rPr>
          <w:spacing w:val="-2"/>
        </w:rPr>
        <w:t>Supplier</w:t>
      </w:r>
      <w:r>
        <w:rPr>
          <w:spacing w:val="17"/>
        </w:rPr>
        <w:t xml:space="preserve"> </w:t>
      </w:r>
      <w:r>
        <w:rPr>
          <w:spacing w:val="-1"/>
        </w:rPr>
        <w:t>commits</w:t>
      </w:r>
      <w:r>
        <w:rPr>
          <w:spacing w:val="15"/>
        </w:rPr>
        <w:t xml:space="preserve"> </w:t>
      </w:r>
      <w:r>
        <w:rPr>
          <w:spacing w:val="-1"/>
        </w:rPr>
        <w:t>any</w:t>
      </w:r>
      <w:r>
        <w:rPr>
          <w:spacing w:val="14"/>
        </w:rPr>
        <w:t xml:space="preserve"> </w:t>
      </w:r>
      <w:r>
        <w:rPr>
          <w:spacing w:val="-1"/>
        </w:rPr>
        <w:t>material</w:t>
      </w:r>
      <w:r>
        <w:rPr>
          <w:spacing w:val="15"/>
        </w:rPr>
        <w:t xml:space="preserve"> </w:t>
      </w:r>
      <w:r>
        <w:rPr>
          <w:spacing w:val="-1"/>
        </w:rPr>
        <w:t>Default</w:t>
      </w:r>
      <w:r>
        <w:rPr>
          <w:spacing w:val="18"/>
        </w:rPr>
        <w:t xml:space="preserve"> </w:t>
      </w:r>
      <w:r>
        <w:rPr>
          <w:spacing w:val="-2"/>
        </w:rPr>
        <w:t>of</w:t>
      </w:r>
      <w:r>
        <w:rPr>
          <w:spacing w:val="17"/>
        </w:rPr>
        <w:t xml:space="preserve"> </w:t>
      </w:r>
      <w:r>
        <w:rPr>
          <w:spacing w:val="-1"/>
        </w:rPr>
        <w:t>this</w:t>
      </w:r>
      <w:r>
        <w:rPr>
          <w:spacing w:val="16"/>
        </w:rPr>
        <w:t xml:space="preserve"> </w:t>
      </w:r>
      <w:r>
        <w:rPr>
          <w:spacing w:val="-2"/>
        </w:rPr>
        <w:t>Call</w:t>
      </w:r>
      <w:r>
        <w:rPr>
          <w:spacing w:val="13"/>
        </w:rPr>
        <w:t xml:space="preserve"> </w:t>
      </w:r>
      <w:r>
        <w:t>Off</w:t>
      </w:r>
      <w:r>
        <w:rPr>
          <w:spacing w:val="46"/>
        </w:rPr>
        <w:t xml:space="preserve"> </w:t>
      </w:r>
      <w:r>
        <w:rPr>
          <w:spacing w:val="-1"/>
        </w:rPr>
        <w:t>Contract</w:t>
      </w:r>
      <w:r>
        <w:rPr>
          <w:spacing w:val="49"/>
        </w:rPr>
        <w:t xml:space="preserve"> </w:t>
      </w:r>
      <w:r>
        <w:rPr>
          <w:spacing w:val="-2"/>
        </w:rPr>
        <w:t>which</w:t>
      </w:r>
      <w:r>
        <w:rPr>
          <w:spacing w:val="47"/>
        </w:rPr>
        <w:t xml:space="preserve"> </w:t>
      </w:r>
      <w:r>
        <w:rPr>
          <w:spacing w:val="-1"/>
        </w:rPr>
        <w:t>is</w:t>
      </w:r>
      <w:r>
        <w:rPr>
          <w:spacing w:val="47"/>
        </w:rPr>
        <w:t xml:space="preserve"> </w:t>
      </w:r>
      <w:r>
        <w:rPr>
          <w:spacing w:val="-1"/>
        </w:rPr>
        <w:t>not,</w:t>
      </w:r>
      <w:r>
        <w:rPr>
          <w:spacing w:val="49"/>
        </w:rPr>
        <w:t xml:space="preserve"> </w:t>
      </w:r>
      <w:r>
        <w:rPr>
          <w:spacing w:val="-1"/>
        </w:rPr>
        <w:t>in</w:t>
      </w:r>
      <w:r>
        <w:rPr>
          <w:spacing w:val="47"/>
        </w:rPr>
        <w:t xml:space="preserve"> </w:t>
      </w:r>
      <w:r>
        <w:t>the</w:t>
      </w:r>
      <w:r>
        <w:rPr>
          <w:spacing w:val="47"/>
        </w:rPr>
        <w:t xml:space="preserve"> </w:t>
      </w:r>
      <w:r>
        <w:rPr>
          <w:spacing w:val="-1"/>
        </w:rPr>
        <w:t>reasonable</w:t>
      </w:r>
      <w:r>
        <w:rPr>
          <w:spacing w:val="48"/>
        </w:rPr>
        <w:t xml:space="preserve"> </w:t>
      </w:r>
      <w:r>
        <w:rPr>
          <w:spacing w:val="-2"/>
        </w:rPr>
        <w:t>opinion</w:t>
      </w:r>
      <w:r>
        <w:rPr>
          <w:spacing w:val="47"/>
        </w:rPr>
        <w:t xml:space="preserve"> </w:t>
      </w:r>
      <w:r>
        <w:rPr>
          <w:spacing w:val="-1"/>
        </w:rPr>
        <w:t>of</w:t>
      </w:r>
      <w:r>
        <w:rPr>
          <w:spacing w:val="48"/>
        </w:rPr>
        <w:t xml:space="preserve"> </w:t>
      </w:r>
      <w:r>
        <w:rPr>
          <w:spacing w:val="-1"/>
        </w:rPr>
        <w:t>the</w:t>
      </w:r>
      <w:r>
        <w:rPr>
          <w:spacing w:val="30"/>
        </w:rPr>
        <w:t xml:space="preserve"> </w:t>
      </w:r>
      <w:r>
        <w:rPr>
          <w:spacing w:val="-1"/>
        </w:rPr>
        <w:t>Customer,</w:t>
      </w:r>
      <w:r>
        <w:t xml:space="preserve"> </w:t>
      </w:r>
      <w:r>
        <w:rPr>
          <w:spacing w:val="-1"/>
        </w:rPr>
        <w:t>capable</w:t>
      </w:r>
      <w:r>
        <w:t xml:space="preserve"> </w:t>
      </w:r>
      <w:r>
        <w:rPr>
          <w:spacing w:val="-2"/>
        </w:rPr>
        <w:t>of</w:t>
      </w:r>
      <w:r>
        <w:t xml:space="preserve"> </w:t>
      </w:r>
      <w:r>
        <w:rPr>
          <w:spacing w:val="-1"/>
        </w:rPr>
        <w:t>remedy;</w:t>
      </w:r>
      <w:r>
        <w:rPr>
          <w:spacing w:val="2"/>
        </w:rPr>
        <w:t xml:space="preserve"> </w:t>
      </w:r>
      <w:r>
        <w:rPr>
          <w:spacing w:val="-1"/>
        </w:rPr>
        <w:t>and/or</w:t>
      </w:r>
    </w:p>
    <w:p w:rsidR="008918FA" w:rsidRDefault="008918FA" w:rsidP="008918FA">
      <w:pPr>
        <w:pStyle w:val="BodyText"/>
        <w:numPr>
          <w:ilvl w:val="3"/>
          <w:numId w:val="66"/>
        </w:numPr>
        <w:tabs>
          <w:tab w:val="left" w:pos="2595"/>
        </w:tabs>
        <w:spacing w:before="121"/>
        <w:ind w:left="2594" w:right="111"/>
        <w:jc w:val="both"/>
      </w:pPr>
      <w:r>
        <w:t>the</w:t>
      </w:r>
      <w:r>
        <w:rPr>
          <w:spacing w:val="46"/>
        </w:rPr>
        <w:t xml:space="preserve"> </w:t>
      </w:r>
      <w:r>
        <w:rPr>
          <w:spacing w:val="-2"/>
        </w:rPr>
        <w:t>Supplier</w:t>
      </w:r>
      <w:r>
        <w:rPr>
          <w:spacing w:val="47"/>
        </w:rPr>
        <w:t xml:space="preserve"> </w:t>
      </w:r>
      <w:r>
        <w:rPr>
          <w:spacing w:val="-1"/>
        </w:rPr>
        <w:t>commits</w:t>
      </w:r>
      <w:r>
        <w:rPr>
          <w:spacing w:val="46"/>
        </w:rPr>
        <w:t xml:space="preserve"> </w:t>
      </w:r>
      <w:r>
        <w:t>a</w:t>
      </w:r>
      <w:r>
        <w:rPr>
          <w:spacing w:val="43"/>
        </w:rPr>
        <w:t xml:space="preserve"> </w:t>
      </w:r>
      <w:r>
        <w:rPr>
          <w:spacing w:val="-1"/>
        </w:rPr>
        <w:t>Default,</w:t>
      </w:r>
      <w:r>
        <w:rPr>
          <w:spacing w:val="47"/>
        </w:rPr>
        <w:t xml:space="preserve"> </w:t>
      </w:r>
      <w:r>
        <w:rPr>
          <w:spacing w:val="-2"/>
        </w:rPr>
        <w:t>including</w:t>
      </w:r>
      <w:r>
        <w:rPr>
          <w:spacing w:val="48"/>
        </w:rPr>
        <w:t xml:space="preserve"> </w:t>
      </w:r>
      <w:r>
        <w:t>a</w:t>
      </w:r>
      <w:r>
        <w:rPr>
          <w:spacing w:val="47"/>
        </w:rPr>
        <w:t xml:space="preserve"> </w:t>
      </w:r>
      <w:r>
        <w:rPr>
          <w:spacing w:val="-1"/>
        </w:rPr>
        <w:t>material</w:t>
      </w:r>
      <w:r>
        <w:rPr>
          <w:spacing w:val="45"/>
        </w:rPr>
        <w:t xml:space="preserve"> </w:t>
      </w:r>
      <w:r>
        <w:rPr>
          <w:spacing w:val="-1"/>
        </w:rPr>
        <w:t>Default,</w:t>
      </w:r>
      <w:r>
        <w:rPr>
          <w:spacing w:val="57"/>
        </w:rPr>
        <w:t xml:space="preserve"> </w:t>
      </w:r>
      <w:r>
        <w:rPr>
          <w:spacing w:val="-1"/>
        </w:rPr>
        <w:t>which</w:t>
      </w:r>
      <w:r>
        <w:rPr>
          <w:spacing w:val="13"/>
        </w:rPr>
        <w:t xml:space="preserve"> </w:t>
      </w:r>
      <w:r>
        <w:rPr>
          <w:spacing w:val="-1"/>
        </w:rPr>
        <w:t>in</w:t>
      </w:r>
      <w:r>
        <w:rPr>
          <w:spacing w:val="12"/>
        </w:rPr>
        <w:t xml:space="preserve"> </w:t>
      </w:r>
      <w:r>
        <w:t>the</w:t>
      </w:r>
      <w:r>
        <w:rPr>
          <w:spacing w:val="12"/>
        </w:rPr>
        <w:t xml:space="preserve"> </w:t>
      </w:r>
      <w:r>
        <w:rPr>
          <w:spacing w:val="-2"/>
        </w:rPr>
        <w:t>opinion</w:t>
      </w:r>
      <w:r>
        <w:rPr>
          <w:spacing w:val="12"/>
        </w:rPr>
        <w:t xml:space="preserve"> </w:t>
      </w:r>
      <w:r>
        <w:rPr>
          <w:spacing w:val="-2"/>
        </w:rPr>
        <w:t>of</w:t>
      </w:r>
      <w:r>
        <w:rPr>
          <w:spacing w:val="14"/>
        </w:rPr>
        <w:t xml:space="preserve"> </w:t>
      </w:r>
      <w:r>
        <w:rPr>
          <w:spacing w:val="-1"/>
        </w:rPr>
        <w:t>the</w:t>
      </w:r>
      <w:r>
        <w:rPr>
          <w:spacing w:val="12"/>
        </w:rPr>
        <w:t xml:space="preserve"> </w:t>
      </w:r>
      <w:r>
        <w:rPr>
          <w:spacing w:val="-1"/>
        </w:rPr>
        <w:t>Customer</w:t>
      </w:r>
      <w:r>
        <w:rPr>
          <w:spacing w:val="14"/>
        </w:rPr>
        <w:t xml:space="preserve"> </w:t>
      </w:r>
      <w:r>
        <w:rPr>
          <w:spacing w:val="-1"/>
        </w:rPr>
        <w:t>is</w:t>
      </w:r>
      <w:r>
        <w:rPr>
          <w:spacing w:val="10"/>
        </w:rPr>
        <w:t xml:space="preserve"> </w:t>
      </w:r>
      <w:r>
        <w:rPr>
          <w:spacing w:val="-2"/>
        </w:rPr>
        <w:t>remediable</w:t>
      </w:r>
      <w:r>
        <w:rPr>
          <w:spacing w:val="12"/>
        </w:rPr>
        <w:t xml:space="preserve"> </w:t>
      </w:r>
      <w:r>
        <w:rPr>
          <w:spacing w:val="-1"/>
        </w:rPr>
        <w:t>but</w:t>
      </w:r>
      <w:r>
        <w:rPr>
          <w:spacing w:val="14"/>
        </w:rPr>
        <w:t xml:space="preserve"> </w:t>
      </w:r>
      <w:r>
        <w:rPr>
          <w:spacing w:val="-1"/>
        </w:rPr>
        <w:t>has</w:t>
      </w:r>
      <w:r>
        <w:rPr>
          <w:spacing w:val="13"/>
        </w:rPr>
        <w:t xml:space="preserve"> </w:t>
      </w:r>
      <w:r>
        <w:rPr>
          <w:spacing w:val="-2"/>
        </w:rPr>
        <w:t>not</w:t>
      </w:r>
      <w:r>
        <w:rPr>
          <w:spacing w:val="43"/>
        </w:rPr>
        <w:t xml:space="preserve"> </w:t>
      </w:r>
      <w:r>
        <w:rPr>
          <w:spacing w:val="-1"/>
        </w:rPr>
        <w:t>remedied</w:t>
      </w:r>
      <w:r>
        <w:rPr>
          <w:spacing w:val="41"/>
        </w:rPr>
        <w:t xml:space="preserve"> </w:t>
      </w:r>
      <w:r>
        <w:rPr>
          <w:spacing w:val="-1"/>
        </w:rPr>
        <w:t>such</w:t>
      </w:r>
      <w:r>
        <w:rPr>
          <w:spacing w:val="42"/>
        </w:rPr>
        <w:t xml:space="preserve"> </w:t>
      </w:r>
      <w:r>
        <w:rPr>
          <w:spacing w:val="-1"/>
        </w:rPr>
        <w:t>Default</w:t>
      </w:r>
      <w:r>
        <w:rPr>
          <w:spacing w:val="41"/>
        </w:rPr>
        <w:t xml:space="preserve"> </w:t>
      </w:r>
      <w:r>
        <w:rPr>
          <w:spacing w:val="-1"/>
        </w:rPr>
        <w:t>to</w:t>
      </w:r>
      <w:r>
        <w:rPr>
          <w:spacing w:val="41"/>
        </w:rPr>
        <w:t xml:space="preserve"> </w:t>
      </w:r>
      <w:r>
        <w:t>the</w:t>
      </w:r>
      <w:r>
        <w:rPr>
          <w:spacing w:val="41"/>
        </w:rPr>
        <w:t xml:space="preserve"> </w:t>
      </w:r>
      <w:r>
        <w:rPr>
          <w:spacing w:val="-1"/>
        </w:rPr>
        <w:t>satisfaction</w:t>
      </w:r>
      <w:r>
        <w:rPr>
          <w:spacing w:val="41"/>
        </w:rPr>
        <w:t xml:space="preserve"> </w:t>
      </w:r>
      <w:r>
        <w:rPr>
          <w:spacing w:val="-2"/>
        </w:rPr>
        <w:t>of</w:t>
      </w:r>
      <w:r>
        <w:rPr>
          <w:spacing w:val="46"/>
        </w:rPr>
        <w:t xml:space="preserve"> </w:t>
      </w:r>
      <w:r>
        <w:t>the</w:t>
      </w:r>
      <w:r>
        <w:rPr>
          <w:spacing w:val="38"/>
        </w:rPr>
        <w:t xml:space="preserve"> </w:t>
      </w:r>
      <w:r>
        <w:rPr>
          <w:spacing w:val="-1"/>
        </w:rPr>
        <w:t>Customer</w:t>
      </w:r>
      <w:r>
        <w:rPr>
          <w:spacing w:val="44"/>
        </w:rPr>
        <w:t xml:space="preserve"> </w:t>
      </w:r>
      <w:r>
        <w:rPr>
          <w:spacing w:val="-1"/>
        </w:rPr>
        <w:t>in</w:t>
      </w:r>
      <w:r>
        <w:rPr>
          <w:spacing w:val="27"/>
        </w:rPr>
        <w:t xml:space="preserve"> </w:t>
      </w:r>
      <w:r>
        <w:rPr>
          <w:spacing w:val="-1"/>
        </w:rPr>
        <w:t>accordance</w:t>
      </w:r>
      <w:r>
        <w:rPr>
          <w:spacing w:val="-2"/>
        </w:rPr>
        <w:t xml:space="preserve"> with</w:t>
      </w:r>
      <w:r>
        <w:t xml:space="preserve"> the</w:t>
      </w:r>
      <w:r>
        <w:rPr>
          <w:spacing w:val="1"/>
        </w:rPr>
        <w:t xml:space="preserve"> </w:t>
      </w:r>
      <w:r>
        <w:rPr>
          <w:spacing w:val="-1"/>
        </w:rPr>
        <w:t>Rectification</w:t>
      </w:r>
      <w:r>
        <w:t xml:space="preserve"> </w:t>
      </w:r>
      <w:r>
        <w:rPr>
          <w:spacing w:val="-1"/>
        </w:rPr>
        <w:t>Plan</w:t>
      </w:r>
      <w:r>
        <w:t xml:space="preserve"> </w:t>
      </w:r>
      <w:r>
        <w:rPr>
          <w:spacing w:val="-2"/>
        </w:rPr>
        <w:t>Process;</w:t>
      </w:r>
    </w:p>
    <w:p w:rsidR="008918FA" w:rsidRDefault="008918FA" w:rsidP="008918FA">
      <w:pPr>
        <w:pStyle w:val="BodyText"/>
        <w:ind w:right="115" w:hanging="994"/>
        <w:jc w:val="both"/>
      </w:pPr>
      <w:r>
        <w:rPr>
          <w:spacing w:val="-1"/>
        </w:rPr>
        <w:t>41.2.2</w:t>
      </w:r>
      <w:r>
        <w:rPr>
          <w:spacing w:val="11"/>
        </w:rPr>
        <w:t xml:space="preserve"> </w:t>
      </w:r>
      <w:r>
        <w:rPr>
          <w:spacing w:val="-1"/>
        </w:rPr>
        <w:t>For</w:t>
      </w:r>
      <w:r>
        <w:rPr>
          <w:spacing w:val="21"/>
        </w:rPr>
        <w:t xml:space="preserve"> </w:t>
      </w:r>
      <w:r>
        <w:t>the</w:t>
      </w:r>
      <w:r>
        <w:rPr>
          <w:spacing w:val="19"/>
        </w:rPr>
        <w:t xml:space="preserve"> </w:t>
      </w:r>
      <w:r>
        <w:rPr>
          <w:spacing w:val="-1"/>
        </w:rPr>
        <w:t>purpose</w:t>
      </w:r>
      <w:r>
        <w:rPr>
          <w:spacing w:val="20"/>
        </w:rPr>
        <w:t xml:space="preserve"> </w:t>
      </w:r>
      <w:r>
        <w:rPr>
          <w:spacing w:val="-2"/>
        </w:rPr>
        <w:t>of</w:t>
      </w:r>
      <w:r>
        <w:rPr>
          <w:spacing w:val="23"/>
        </w:rPr>
        <w:t xml:space="preserve"> </w:t>
      </w:r>
      <w:r>
        <w:rPr>
          <w:spacing w:val="-2"/>
        </w:rPr>
        <w:t>Clause</w:t>
      </w:r>
      <w:r>
        <w:rPr>
          <w:spacing w:val="20"/>
        </w:rPr>
        <w:t xml:space="preserve"> </w:t>
      </w:r>
      <w:hyperlink w:anchor="_bookmark234" w:history="1">
        <w:r>
          <w:rPr>
            <w:spacing w:val="-1"/>
          </w:rPr>
          <w:t>41.2.1</w:t>
        </w:r>
      </w:hyperlink>
      <w:r>
        <w:rPr>
          <w:spacing w:val="-1"/>
        </w:rPr>
        <w:t>,</w:t>
      </w:r>
      <w:r>
        <w:rPr>
          <w:spacing w:val="22"/>
        </w:rPr>
        <w:t xml:space="preserve"> </w:t>
      </w:r>
      <w:r>
        <w:t>a</w:t>
      </w:r>
      <w:r>
        <w:rPr>
          <w:spacing w:val="20"/>
        </w:rPr>
        <w:t xml:space="preserve"> </w:t>
      </w:r>
      <w:r>
        <w:rPr>
          <w:spacing w:val="-1"/>
        </w:rPr>
        <w:t>material</w:t>
      </w:r>
      <w:r>
        <w:rPr>
          <w:spacing w:val="19"/>
        </w:rPr>
        <w:t xml:space="preserve"> </w:t>
      </w:r>
      <w:r>
        <w:rPr>
          <w:spacing w:val="-1"/>
        </w:rPr>
        <w:t>Default</w:t>
      </w:r>
      <w:r>
        <w:rPr>
          <w:spacing w:val="21"/>
        </w:rPr>
        <w:t xml:space="preserve"> </w:t>
      </w:r>
      <w:r>
        <w:rPr>
          <w:spacing w:val="-1"/>
        </w:rPr>
        <w:t>may</w:t>
      </w:r>
      <w:r>
        <w:rPr>
          <w:spacing w:val="18"/>
        </w:rPr>
        <w:t xml:space="preserve"> </w:t>
      </w:r>
      <w:r>
        <w:rPr>
          <w:spacing w:val="-1"/>
        </w:rPr>
        <w:t>be</w:t>
      </w:r>
      <w:r>
        <w:rPr>
          <w:spacing w:val="20"/>
        </w:rPr>
        <w:t xml:space="preserve"> </w:t>
      </w:r>
      <w:r>
        <w:t>a</w:t>
      </w:r>
      <w:r>
        <w:rPr>
          <w:spacing w:val="20"/>
        </w:rPr>
        <w:t xml:space="preserve"> </w:t>
      </w:r>
      <w:r>
        <w:rPr>
          <w:spacing w:val="-1"/>
        </w:rPr>
        <w:t>single</w:t>
      </w:r>
      <w:r>
        <w:rPr>
          <w:spacing w:val="57"/>
        </w:rPr>
        <w:t xml:space="preserve"> </w:t>
      </w:r>
      <w:r>
        <w:rPr>
          <w:spacing w:val="-1"/>
        </w:rPr>
        <w:t>material</w:t>
      </w:r>
      <w:r>
        <w:rPr>
          <w:spacing w:val="4"/>
        </w:rPr>
        <w:t xml:space="preserve"> </w:t>
      </w:r>
      <w:r>
        <w:rPr>
          <w:spacing w:val="-1"/>
        </w:rPr>
        <w:t>Default</w:t>
      </w:r>
      <w:r>
        <w:rPr>
          <w:spacing w:val="7"/>
        </w:rPr>
        <w:t xml:space="preserve"> </w:t>
      </w:r>
      <w:r>
        <w:rPr>
          <w:spacing w:val="-2"/>
        </w:rPr>
        <w:t>or</w:t>
      </w:r>
      <w:r>
        <w:rPr>
          <w:spacing w:val="6"/>
        </w:rPr>
        <w:t xml:space="preserve"> </w:t>
      </w:r>
      <w:r>
        <w:t>a</w:t>
      </w:r>
      <w:r>
        <w:rPr>
          <w:spacing w:val="3"/>
        </w:rPr>
        <w:t xml:space="preserve"> </w:t>
      </w:r>
      <w:r>
        <w:rPr>
          <w:spacing w:val="-1"/>
        </w:rPr>
        <w:t>number</w:t>
      </w:r>
      <w:r>
        <w:rPr>
          <w:spacing w:val="4"/>
        </w:rPr>
        <w:t xml:space="preserve"> </w:t>
      </w:r>
      <w:r>
        <w:rPr>
          <w:spacing w:val="-2"/>
        </w:rPr>
        <w:t>of</w:t>
      </w:r>
      <w:r>
        <w:rPr>
          <w:spacing w:val="7"/>
        </w:rPr>
        <w:t xml:space="preserve"> </w:t>
      </w:r>
      <w:r>
        <w:rPr>
          <w:spacing w:val="-1"/>
        </w:rPr>
        <w:t>Defaults</w:t>
      </w:r>
      <w:r>
        <w:rPr>
          <w:spacing w:val="3"/>
        </w:rPr>
        <w:t xml:space="preserve"> </w:t>
      </w:r>
      <w:r>
        <w:rPr>
          <w:spacing w:val="-1"/>
        </w:rPr>
        <w:t>or</w:t>
      </w:r>
      <w:r>
        <w:rPr>
          <w:spacing w:val="4"/>
        </w:rPr>
        <w:t xml:space="preserve"> </w:t>
      </w:r>
      <w:r>
        <w:rPr>
          <w:spacing w:val="-1"/>
        </w:rPr>
        <w:t>repeated</w:t>
      </w:r>
      <w:r>
        <w:rPr>
          <w:spacing w:val="5"/>
        </w:rPr>
        <w:t xml:space="preserve"> </w:t>
      </w:r>
      <w:r>
        <w:rPr>
          <w:spacing w:val="-1"/>
        </w:rPr>
        <w:t>Defaults</w:t>
      </w:r>
      <w:r>
        <w:rPr>
          <w:spacing w:val="3"/>
        </w:rPr>
        <w:t xml:space="preserve"> </w:t>
      </w:r>
      <w:r>
        <w:rPr>
          <w:spacing w:val="-1"/>
        </w:rPr>
        <w:t>(whether</w:t>
      </w:r>
      <w:r>
        <w:rPr>
          <w:spacing w:val="24"/>
        </w:rPr>
        <w:t xml:space="preserve"> </w:t>
      </w:r>
      <w:r>
        <w:rPr>
          <w:spacing w:val="-2"/>
        </w:rPr>
        <w:t>of</w:t>
      </w:r>
      <w:r>
        <w:rPr>
          <w:spacing w:val="45"/>
        </w:rPr>
        <w:t xml:space="preserve"> </w:t>
      </w:r>
      <w:r>
        <w:t>the</w:t>
      </w:r>
      <w:r>
        <w:rPr>
          <w:spacing w:val="39"/>
        </w:rPr>
        <w:t xml:space="preserve"> </w:t>
      </w:r>
      <w:r>
        <w:rPr>
          <w:spacing w:val="-1"/>
        </w:rPr>
        <w:t>same</w:t>
      </w:r>
      <w:r>
        <w:rPr>
          <w:spacing w:val="41"/>
        </w:rPr>
        <w:t xml:space="preserve"> </w:t>
      </w:r>
      <w:r>
        <w:rPr>
          <w:spacing w:val="-2"/>
        </w:rPr>
        <w:t>or</w:t>
      </w:r>
      <w:r>
        <w:rPr>
          <w:spacing w:val="42"/>
        </w:rPr>
        <w:t xml:space="preserve"> </w:t>
      </w:r>
      <w:r>
        <w:rPr>
          <w:spacing w:val="-1"/>
        </w:rPr>
        <w:t>different</w:t>
      </w:r>
      <w:r>
        <w:rPr>
          <w:spacing w:val="40"/>
        </w:rPr>
        <w:t xml:space="preserve"> </w:t>
      </w:r>
      <w:r>
        <w:rPr>
          <w:spacing w:val="-1"/>
        </w:rPr>
        <w:t>obligations</w:t>
      </w:r>
      <w:r>
        <w:rPr>
          <w:spacing w:val="41"/>
        </w:rPr>
        <w:t xml:space="preserve"> </w:t>
      </w:r>
      <w:r>
        <w:rPr>
          <w:spacing w:val="-1"/>
        </w:rPr>
        <w:t>and</w:t>
      </w:r>
      <w:r>
        <w:rPr>
          <w:spacing w:val="40"/>
        </w:rPr>
        <w:t xml:space="preserve"> </w:t>
      </w:r>
      <w:r>
        <w:rPr>
          <w:spacing w:val="-1"/>
        </w:rPr>
        <w:t>regardless</w:t>
      </w:r>
      <w:r>
        <w:rPr>
          <w:spacing w:val="41"/>
        </w:rPr>
        <w:t xml:space="preserve"> </w:t>
      </w:r>
      <w:r>
        <w:rPr>
          <w:spacing w:val="-2"/>
        </w:rPr>
        <w:t>of</w:t>
      </w:r>
      <w:r>
        <w:rPr>
          <w:spacing w:val="45"/>
        </w:rPr>
        <w:t xml:space="preserve"> </w:t>
      </w:r>
      <w:r>
        <w:rPr>
          <w:spacing w:val="-1"/>
        </w:rPr>
        <w:t>whether</w:t>
      </w:r>
      <w:r>
        <w:rPr>
          <w:spacing w:val="42"/>
        </w:rPr>
        <w:t xml:space="preserve"> </w:t>
      </w:r>
      <w:r>
        <w:rPr>
          <w:spacing w:val="-2"/>
        </w:rPr>
        <w:t>such</w:t>
      </w:r>
      <w:r>
        <w:rPr>
          <w:spacing w:val="34"/>
        </w:rPr>
        <w:t xml:space="preserve"> </w:t>
      </w:r>
      <w:r>
        <w:rPr>
          <w:spacing w:val="-1"/>
        </w:rPr>
        <w:t>Defaults</w:t>
      </w:r>
      <w:r>
        <w:rPr>
          <w:spacing w:val="9"/>
        </w:rPr>
        <w:t xml:space="preserve"> </w:t>
      </w:r>
      <w:r>
        <w:rPr>
          <w:spacing w:val="-1"/>
        </w:rPr>
        <w:t>are</w:t>
      </w:r>
      <w:r>
        <w:rPr>
          <w:spacing w:val="6"/>
        </w:rPr>
        <w:t xml:space="preserve"> </w:t>
      </w:r>
      <w:r>
        <w:rPr>
          <w:spacing w:val="-1"/>
        </w:rPr>
        <w:t>remedied)</w:t>
      </w:r>
      <w:r>
        <w:rPr>
          <w:spacing w:val="8"/>
        </w:rPr>
        <w:t xml:space="preserve"> </w:t>
      </w:r>
      <w:r>
        <w:rPr>
          <w:spacing w:val="-2"/>
        </w:rPr>
        <w:t>which</w:t>
      </w:r>
      <w:r>
        <w:rPr>
          <w:spacing w:val="9"/>
        </w:rPr>
        <w:t xml:space="preserve"> </w:t>
      </w:r>
      <w:r>
        <w:t>taken</w:t>
      </w:r>
      <w:r>
        <w:rPr>
          <w:spacing w:val="9"/>
        </w:rPr>
        <w:t xml:space="preserve"> </w:t>
      </w:r>
      <w:r>
        <w:rPr>
          <w:spacing w:val="-1"/>
        </w:rPr>
        <w:t>together</w:t>
      </w:r>
      <w:r>
        <w:rPr>
          <w:spacing w:val="5"/>
        </w:rPr>
        <w:t xml:space="preserve"> </w:t>
      </w:r>
      <w:r>
        <w:rPr>
          <w:spacing w:val="-1"/>
        </w:rPr>
        <w:t>constitute</w:t>
      </w:r>
      <w:r>
        <w:rPr>
          <w:spacing w:val="9"/>
        </w:rPr>
        <w:t xml:space="preserve"> </w:t>
      </w:r>
      <w:r>
        <w:t>a</w:t>
      </w:r>
      <w:r>
        <w:rPr>
          <w:spacing w:val="6"/>
        </w:rPr>
        <w:t xml:space="preserve"> </w:t>
      </w:r>
      <w:r>
        <w:rPr>
          <w:spacing w:val="-1"/>
        </w:rPr>
        <w:t>material</w:t>
      </w:r>
      <w:r>
        <w:rPr>
          <w:spacing w:val="36"/>
        </w:rPr>
        <w:t xml:space="preserve"> </w:t>
      </w:r>
      <w:r>
        <w:rPr>
          <w:spacing w:val="-1"/>
        </w:rPr>
        <w:t>Default.</w:t>
      </w:r>
    </w:p>
    <w:p w:rsidR="008918FA" w:rsidRDefault="008918FA" w:rsidP="008918FA">
      <w:pPr>
        <w:pStyle w:val="Heading1"/>
        <w:numPr>
          <w:ilvl w:val="1"/>
          <w:numId w:val="62"/>
        </w:numPr>
        <w:tabs>
          <w:tab w:val="left" w:pos="893"/>
        </w:tabs>
        <w:ind w:hanging="564"/>
        <w:jc w:val="left"/>
        <w:rPr>
          <w:b w:val="0"/>
          <w:bCs w:val="0"/>
        </w:rPr>
      </w:pPr>
      <w:bookmarkStart w:id="279" w:name="_bookmark235"/>
      <w:bookmarkEnd w:id="279"/>
      <w:r>
        <w:rPr>
          <w:spacing w:val="-1"/>
        </w:rPr>
        <w:t>Termination</w:t>
      </w:r>
      <w:r>
        <w:rPr>
          <w:spacing w:val="-2"/>
        </w:rPr>
        <w:t xml:space="preserve"> </w:t>
      </w:r>
      <w:r>
        <w:t>in</w:t>
      </w:r>
      <w:r>
        <w:rPr>
          <w:spacing w:val="-2"/>
        </w:rPr>
        <w:t xml:space="preserve"> </w:t>
      </w:r>
      <w:r>
        <w:rPr>
          <w:spacing w:val="-1"/>
        </w:rPr>
        <w:t>Relation</w:t>
      </w:r>
      <w:r>
        <w:rPr>
          <w:spacing w:val="-2"/>
        </w:rPr>
        <w:t xml:space="preserve"> </w:t>
      </w:r>
      <w:r>
        <w:t>to</w:t>
      </w:r>
      <w:r>
        <w:rPr>
          <w:spacing w:val="-2"/>
        </w:rPr>
        <w:t xml:space="preserve"> </w:t>
      </w:r>
      <w:r>
        <w:rPr>
          <w:spacing w:val="-1"/>
        </w:rPr>
        <w:t>Financial</w:t>
      </w:r>
      <w:r>
        <w:t xml:space="preserve"> </w:t>
      </w:r>
      <w:r>
        <w:rPr>
          <w:spacing w:val="-1"/>
        </w:rPr>
        <w:t>Standing</w:t>
      </w:r>
    </w:p>
    <w:p w:rsidR="008918FA" w:rsidRDefault="008918FA" w:rsidP="008918FA">
      <w:pPr>
        <w:pStyle w:val="BodyText"/>
        <w:numPr>
          <w:ilvl w:val="2"/>
          <w:numId w:val="62"/>
        </w:numPr>
        <w:tabs>
          <w:tab w:val="left" w:pos="1887"/>
        </w:tabs>
        <w:spacing w:before="124"/>
        <w:ind w:right="114"/>
        <w:jc w:val="both"/>
      </w:pPr>
      <w:r>
        <w:t>The</w:t>
      </w:r>
      <w:r>
        <w:rPr>
          <w:spacing w:val="13"/>
        </w:rPr>
        <w:t xml:space="preserve"> </w:t>
      </w:r>
      <w:r>
        <w:rPr>
          <w:spacing w:val="-2"/>
        </w:rPr>
        <w:t>Customer</w:t>
      </w:r>
      <w:r>
        <w:rPr>
          <w:spacing w:val="15"/>
        </w:rPr>
        <w:t xml:space="preserve"> </w:t>
      </w:r>
      <w:r>
        <w:rPr>
          <w:spacing w:val="-1"/>
        </w:rPr>
        <w:t>may</w:t>
      </w:r>
      <w:r>
        <w:rPr>
          <w:spacing w:val="12"/>
        </w:rPr>
        <w:t xml:space="preserve"> </w:t>
      </w:r>
      <w:r>
        <w:rPr>
          <w:spacing w:val="-1"/>
        </w:rPr>
        <w:t>terminate</w:t>
      </w:r>
      <w:r>
        <w:rPr>
          <w:spacing w:val="13"/>
        </w:rPr>
        <w:t xml:space="preserve"> </w:t>
      </w:r>
      <w:r>
        <w:rPr>
          <w:spacing w:val="-1"/>
        </w:rPr>
        <w:t>this</w:t>
      </w:r>
      <w:r>
        <w:rPr>
          <w:spacing w:val="14"/>
        </w:rPr>
        <w:t xml:space="preserve"> </w:t>
      </w:r>
      <w:r>
        <w:rPr>
          <w:spacing w:val="-2"/>
        </w:rPr>
        <w:t>Call</w:t>
      </w:r>
      <w:r>
        <w:rPr>
          <w:spacing w:val="13"/>
        </w:rPr>
        <w:t xml:space="preserve"> </w:t>
      </w:r>
      <w:r>
        <w:rPr>
          <w:spacing w:val="-1"/>
        </w:rPr>
        <w:t>Off</w:t>
      </w:r>
      <w:r>
        <w:rPr>
          <w:spacing w:val="17"/>
        </w:rPr>
        <w:t xml:space="preserve"> </w:t>
      </w:r>
      <w:r>
        <w:rPr>
          <w:spacing w:val="-2"/>
        </w:rPr>
        <w:t>Contract</w:t>
      </w:r>
      <w:r>
        <w:rPr>
          <w:spacing w:val="15"/>
        </w:rPr>
        <w:t xml:space="preserve"> </w:t>
      </w:r>
      <w:r>
        <w:rPr>
          <w:spacing w:val="-1"/>
        </w:rPr>
        <w:t>by</w:t>
      </w:r>
      <w:r>
        <w:rPr>
          <w:spacing w:val="12"/>
        </w:rPr>
        <w:t xml:space="preserve"> </w:t>
      </w:r>
      <w:r>
        <w:rPr>
          <w:spacing w:val="-1"/>
        </w:rPr>
        <w:t>issuing</w:t>
      </w:r>
      <w:r>
        <w:rPr>
          <w:spacing w:val="16"/>
        </w:rPr>
        <w:t xml:space="preserve"> </w:t>
      </w:r>
      <w:r>
        <w:t>a</w:t>
      </w:r>
      <w:r>
        <w:rPr>
          <w:spacing w:val="59"/>
        </w:rPr>
        <w:t xml:space="preserve"> </w:t>
      </w:r>
      <w:r>
        <w:rPr>
          <w:spacing w:val="-1"/>
        </w:rPr>
        <w:t>Termination</w:t>
      </w:r>
      <w:r>
        <w:rPr>
          <w:spacing w:val="17"/>
        </w:rPr>
        <w:t xml:space="preserve"> </w:t>
      </w:r>
      <w:r>
        <w:rPr>
          <w:spacing w:val="-2"/>
        </w:rPr>
        <w:t>Notice</w:t>
      </w:r>
      <w:r>
        <w:rPr>
          <w:spacing w:val="18"/>
        </w:rPr>
        <w:t xml:space="preserve"> </w:t>
      </w:r>
      <w:r>
        <w:t>to</w:t>
      </w:r>
      <w:r>
        <w:rPr>
          <w:spacing w:val="15"/>
        </w:rPr>
        <w:t xml:space="preserve"> </w:t>
      </w:r>
      <w:r>
        <w:rPr>
          <w:spacing w:val="-1"/>
        </w:rPr>
        <w:t>the</w:t>
      </w:r>
      <w:r>
        <w:rPr>
          <w:spacing w:val="17"/>
        </w:rPr>
        <w:t xml:space="preserve"> </w:t>
      </w:r>
      <w:r>
        <w:rPr>
          <w:spacing w:val="-2"/>
        </w:rPr>
        <w:t>Supplier</w:t>
      </w:r>
      <w:r>
        <w:rPr>
          <w:spacing w:val="19"/>
        </w:rPr>
        <w:t xml:space="preserve"> </w:t>
      </w:r>
      <w:r>
        <w:rPr>
          <w:spacing w:val="-2"/>
        </w:rPr>
        <w:t>where</w:t>
      </w:r>
      <w:r>
        <w:rPr>
          <w:spacing w:val="17"/>
        </w:rPr>
        <w:t xml:space="preserve"> </w:t>
      </w:r>
      <w:r>
        <w:rPr>
          <w:spacing w:val="-1"/>
        </w:rPr>
        <w:t>in</w:t>
      </w:r>
      <w:r>
        <w:rPr>
          <w:spacing w:val="17"/>
        </w:rPr>
        <w:t xml:space="preserve"> </w:t>
      </w:r>
      <w:r>
        <w:t>the</w:t>
      </w:r>
      <w:r>
        <w:rPr>
          <w:spacing w:val="15"/>
        </w:rPr>
        <w:t xml:space="preserve"> </w:t>
      </w:r>
      <w:r>
        <w:rPr>
          <w:spacing w:val="-1"/>
        </w:rPr>
        <w:t>reasonable</w:t>
      </w:r>
      <w:r>
        <w:rPr>
          <w:spacing w:val="17"/>
        </w:rPr>
        <w:t xml:space="preserve"> </w:t>
      </w:r>
      <w:r>
        <w:rPr>
          <w:spacing w:val="-2"/>
        </w:rPr>
        <w:t>opinion</w:t>
      </w:r>
      <w:r>
        <w:rPr>
          <w:spacing w:val="17"/>
        </w:rPr>
        <w:t xml:space="preserve"> </w:t>
      </w:r>
      <w:r>
        <w:rPr>
          <w:spacing w:val="-3"/>
        </w:rPr>
        <w:t>of</w:t>
      </w:r>
      <w:r>
        <w:rPr>
          <w:spacing w:val="58"/>
        </w:rPr>
        <w:t xml:space="preserve"> </w:t>
      </w:r>
      <w:r>
        <w:t>the</w:t>
      </w:r>
      <w:r>
        <w:rPr>
          <w:spacing w:val="38"/>
        </w:rPr>
        <w:t xml:space="preserve"> </w:t>
      </w:r>
      <w:r>
        <w:rPr>
          <w:spacing w:val="-1"/>
        </w:rPr>
        <w:t>Customer</w:t>
      </w:r>
      <w:r>
        <w:rPr>
          <w:spacing w:val="38"/>
        </w:rPr>
        <w:t xml:space="preserve"> </w:t>
      </w:r>
      <w:r>
        <w:rPr>
          <w:spacing w:val="-1"/>
        </w:rPr>
        <w:t>there</w:t>
      </w:r>
      <w:r>
        <w:rPr>
          <w:spacing w:val="39"/>
        </w:rPr>
        <w:t xml:space="preserve"> </w:t>
      </w:r>
      <w:r>
        <w:rPr>
          <w:spacing w:val="-1"/>
        </w:rPr>
        <w:t>is</w:t>
      </w:r>
      <w:r>
        <w:rPr>
          <w:spacing w:val="39"/>
        </w:rPr>
        <w:t xml:space="preserve"> </w:t>
      </w:r>
      <w:r>
        <w:t>a</w:t>
      </w:r>
      <w:r>
        <w:rPr>
          <w:spacing w:val="36"/>
        </w:rPr>
        <w:t xml:space="preserve"> </w:t>
      </w:r>
      <w:r>
        <w:rPr>
          <w:spacing w:val="-1"/>
        </w:rPr>
        <w:t>material</w:t>
      </w:r>
      <w:r>
        <w:rPr>
          <w:spacing w:val="38"/>
        </w:rPr>
        <w:t xml:space="preserve"> </w:t>
      </w:r>
      <w:r>
        <w:rPr>
          <w:spacing w:val="-1"/>
        </w:rPr>
        <w:t>detrimental</w:t>
      </w:r>
      <w:r>
        <w:rPr>
          <w:spacing w:val="39"/>
        </w:rPr>
        <w:t xml:space="preserve"> </w:t>
      </w:r>
      <w:r>
        <w:rPr>
          <w:spacing w:val="-1"/>
        </w:rPr>
        <w:t>change</w:t>
      </w:r>
      <w:r>
        <w:rPr>
          <w:spacing w:val="38"/>
        </w:rPr>
        <w:t xml:space="preserve"> </w:t>
      </w:r>
      <w:r>
        <w:rPr>
          <w:spacing w:val="-1"/>
        </w:rPr>
        <w:t>in</w:t>
      </w:r>
      <w:r>
        <w:rPr>
          <w:spacing w:val="36"/>
        </w:rPr>
        <w:t xml:space="preserve"> </w:t>
      </w:r>
      <w:r>
        <w:t>the</w:t>
      </w:r>
      <w:r>
        <w:rPr>
          <w:spacing w:val="36"/>
        </w:rPr>
        <w:t xml:space="preserve"> </w:t>
      </w:r>
      <w:r>
        <w:rPr>
          <w:spacing w:val="-1"/>
        </w:rPr>
        <w:t>financial</w:t>
      </w:r>
      <w:r>
        <w:rPr>
          <w:spacing w:val="28"/>
        </w:rPr>
        <w:t xml:space="preserve"> </w:t>
      </w:r>
      <w:r>
        <w:rPr>
          <w:spacing w:val="-1"/>
        </w:rPr>
        <w:t>standing</w:t>
      </w:r>
      <w:r>
        <w:t xml:space="preserve"> </w:t>
      </w:r>
      <w:r>
        <w:rPr>
          <w:spacing w:val="-1"/>
        </w:rPr>
        <w:t xml:space="preserve">and/or </w:t>
      </w:r>
      <w:r>
        <w:t>the</w:t>
      </w:r>
      <w:r>
        <w:rPr>
          <w:spacing w:val="-2"/>
        </w:rPr>
        <w:t xml:space="preserve"> </w:t>
      </w:r>
      <w:r>
        <w:rPr>
          <w:spacing w:val="-1"/>
        </w:rPr>
        <w:t>credit</w:t>
      </w:r>
      <w:r>
        <w:t xml:space="preserve"> </w:t>
      </w:r>
      <w:r>
        <w:rPr>
          <w:spacing w:val="-1"/>
        </w:rPr>
        <w:t>rating</w:t>
      </w:r>
      <w:r>
        <w:rPr>
          <w:spacing w:val="3"/>
        </w:rPr>
        <w:t xml:space="preserve"> </w:t>
      </w:r>
      <w:r>
        <w:rPr>
          <w:spacing w:val="-2"/>
        </w:rPr>
        <w:t>of</w:t>
      </w:r>
      <w:r>
        <w:t xml:space="preserve"> the </w:t>
      </w:r>
      <w:r>
        <w:rPr>
          <w:spacing w:val="-2"/>
        </w:rPr>
        <w:t>Supplier</w:t>
      </w:r>
      <w:r>
        <w:rPr>
          <w:spacing w:val="-1"/>
        </w:rPr>
        <w:t xml:space="preserve"> which:</w:t>
      </w:r>
    </w:p>
    <w:p w:rsidR="008918FA" w:rsidRDefault="008918FA" w:rsidP="008918FA">
      <w:pPr>
        <w:pStyle w:val="BodyText"/>
        <w:numPr>
          <w:ilvl w:val="3"/>
          <w:numId w:val="62"/>
        </w:numPr>
        <w:tabs>
          <w:tab w:val="left" w:pos="2595"/>
        </w:tabs>
        <w:ind w:right="116"/>
        <w:jc w:val="both"/>
      </w:pPr>
      <w:r>
        <w:rPr>
          <w:spacing w:val="-1"/>
        </w:rPr>
        <w:t>adversely</w:t>
      </w:r>
      <w:r>
        <w:rPr>
          <w:spacing w:val="13"/>
        </w:rPr>
        <w:t xml:space="preserve"> </w:t>
      </w:r>
      <w:r>
        <w:rPr>
          <w:spacing w:val="-1"/>
        </w:rPr>
        <w:t>impacts</w:t>
      </w:r>
      <w:r>
        <w:rPr>
          <w:spacing w:val="13"/>
        </w:rPr>
        <w:t xml:space="preserve"> </w:t>
      </w:r>
      <w:r>
        <w:rPr>
          <w:spacing w:val="-1"/>
        </w:rPr>
        <w:t>on</w:t>
      </w:r>
      <w:r>
        <w:rPr>
          <w:spacing w:val="12"/>
        </w:rPr>
        <w:t xml:space="preserve"> </w:t>
      </w:r>
      <w:r>
        <w:rPr>
          <w:spacing w:val="-1"/>
        </w:rPr>
        <w:t>the</w:t>
      </w:r>
      <w:r>
        <w:rPr>
          <w:spacing w:val="12"/>
        </w:rPr>
        <w:t xml:space="preserve"> </w:t>
      </w:r>
      <w:r>
        <w:rPr>
          <w:spacing w:val="-1"/>
        </w:rPr>
        <w:t>Supplier's</w:t>
      </w:r>
      <w:r>
        <w:rPr>
          <w:spacing w:val="13"/>
        </w:rPr>
        <w:t xml:space="preserve"> </w:t>
      </w:r>
      <w:r>
        <w:rPr>
          <w:spacing w:val="-1"/>
        </w:rPr>
        <w:t>ability</w:t>
      </w:r>
      <w:r>
        <w:rPr>
          <w:spacing w:val="10"/>
        </w:rPr>
        <w:t xml:space="preserve"> </w:t>
      </w:r>
      <w:r>
        <w:t>to</w:t>
      </w:r>
      <w:r>
        <w:rPr>
          <w:spacing w:val="12"/>
        </w:rPr>
        <w:t xml:space="preserve"> </w:t>
      </w:r>
      <w:r>
        <w:rPr>
          <w:spacing w:val="-1"/>
        </w:rPr>
        <w:t>supply</w:t>
      </w:r>
      <w:r>
        <w:rPr>
          <w:spacing w:val="10"/>
        </w:rPr>
        <w:t xml:space="preserve"> </w:t>
      </w:r>
      <w:r>
        <w:t>the</w:t>
      </w:r>
      <w:r>
        <w:rPr>
          <w:spacing w:val="12"/>
        </w:rPr>
        <w:t xml:space="preserve"> </w:t>
      </w:r>
      <w:r>
        <w:rPr>
          <w:spacing w:val="-1"/>
        </w:rPr>
        <w:t>Goods</w:t>
      </w:r>
      <w:r>
        <w:rPr>
          <w:spacing w:val="22"/>
        </w:rPr>
        <w:t xml:space="preserve"> </w:t>
      </w:r>
      <w:r>
        <w:rPr>
          <w:spacing w:val="-1"/>
        </w:rPr>
        <w:t>and/or Services</w:t>
      </w:r>
      <w:r>
        <w:rPr>
          <w:spacing w:val="1"/>
        </w:rPr>
        <w:t xml:space="preserve"> </w:t>
      </w:r>
      <w:r>
        <w:rPr>
          <w:spacing w:val="-1"/>
        </w:rPr>
        <w:t>under this</w:t>
      </w:r>
      <w:r>
        <w:rPr>
          <w:spacing w:val="1"/>
        </w:rPr>
        <w:t xml:space="preserve"> </w:t>
      </w:r>
      <w:r>
        <w:rPr>
          <w:spacing w:val="-2"/>
        </w:rPr>
        <w:t>Call</w:t>
      </w:r>
      <w:r>
        <w:t xml:space="preserve"> </w:t>
      </w:r>
      <w:r>
        <w:rPr>
          <w:spacing w:val="-1"/>
        </w:rPr>
        <w:t>Off</w:t>
      </w:r>
      <w:r>
        <w:rPr>
          <w:spacing w:val="2"/>
        </w:rPr>
        <w:t xml:space="preserve"> </w:t>
      </w:r>
      <w:r>
        <w:rPr>
          <w:spacing w:val="-2"/>
        </w:rPr>
        <w:t>Contract;</w:t>
      </w:r>
      <w:r>
        <w:rPr>
          <w:spacing w:val="2"/>
        </w:rPr>
        <w:t xml:space="preserve"> </w:t>
      </w:r>
      <w:r>
        <w:rPr>
          <w:spacing w:val="-2"/>
        </w:rPr>
        <w:t>or</w:t>
      </w:r>
    </w:p>
    <w:p w:rsidR="008918FA" w:rsidRDefault="008918FA" w:rsidP="008918FA">
      <w:pPr>
        <w:jc w:val="both"/>
        <w:sectPr w:rsidR="008918FA">
          <w:pgSz w:w="11910" w:h="16840"/>
          <w:pgMar w:top="1480" w:right="1300" w:bottom="1180" w:left="1680" w:header="0" w:footer="967" w:gutter="0"/>
          <w:cols w:space="720"/>
        </w:sectPr>
      </w:pPr>
    </w:p>
    <w:p w:rsidR="008918FA" w:rsidRDefault="008918FA" w:rsidP="008918FA">
      <w:pPr>
        <w:pStyle w:val="BodyText"/>
        <w:numPr>
          <w:ilvl w:val="3"/>
          <w:numId w:val="62"/>
        </w:numPr>
        <w:tabs>
          <w:tab w:val="left" w:pos="2935"/>
        </w:tabs>
        <w:spacing w:before="59"/>
        <w:ind w:left="2934" w:right="113"/>
        <w:jc w:val="both"/>
      </w:pPr>
      <w:bookmarkStart w:id="280" w:name="42._SUPPLIER_TERMINATION_RIGHTS"/>
      <w:bookmarkEnd w:id="280"/>
      <w:r>
        <w:rPr>
          <w:spacing w:val="-1"/>
        </w:rPr>
        <w:t>could</w:t>
      </w:r>
      <w:r>
        <w:rPr>
          <w:spacing w:val="36"/>
        </w:rPr>
        <w:t xml:space="preserve"> </w:t>
      </w:r>
      <w:r>
        <w:rPr>
          <w:spacing w:val="-1"/>
        </w:rPr>
        <w:t>reasonably</w:t>
      </w:r>
      <w:r>
        <w:rPr>
          <w:spacing w:val="34"/>
        </w:rPr>
        <w:t xml:space="preserve"> </w:t>
      </w:r>
      <w:r>
        <w:rPr>
          <w:spacing w:val="-1"/>
        </w:rPr>
        <w:t>be</w:t>
      </w:r>
      <w:r>
        <w:rPr>
          <w:spacing w:val="39"/>
        </w:rPr>
        <w:t xml:space="preserve"> </w:t>
      </w:r>
      <w:r>
        <w:rPr>
          <w:spacing w:val="-1"/>
        </w:rPr>
        <w:t>expected</w:t>
      </w:r>
      <w:r>
        <w:rPr>
          <w:spacing w:val="36"/>
        </w:rPr>
        <w:t xml:space="preserve"> </w:t>
      </w:r>
      <w:r>
        <w:t>to</w:t>
      </w:r>
      <w:r>
        <w:rPr>
          <w:spacing w:val="36"/>
        </w:rPr>
        <w:t xml:space="preserve"> </w:t>
      </w:r>
      <w:r>
        <w:rPr>
          <w:spacing w:val="-2"/>
        </w:rPr>
        <w:t>have</w:t>
      </w:r>
      <w:r>
        <w:rPr>
          <w:spacing w:val="36"/>
        </w:rPr>
        <w:t xml:space="preserve"> </w:t>
      </w:r>
      <w:r>
        <w:rPr>
          <w:spacing w:val="-1"/>
        </w:rPr>
        <w:t>an</w:t>
      </w:r>
      <w:r>
        <w:rPr>
          <w:spacing w:val="37"/>
        </w:rPr>
        <w:t xml:space="preserve"> </w:t>
      </w:r>
      <w:r>
        <w:rPr>
          <w:spacing w:val="-1"/>
        </w:rPr>
        <w:t>adverse</w:t>
      </w:r>
      <w:r>
        <w:rPr>
          <w:spacing w:val="37"/>
        </w:rPr>
        <w:t xml:space="preserve"> </w:t>
      </w:r>
      <w:r>
        <w:rPr>
          <w:spacing w:val="-1"/>
        </w:rPr>
        <w:t>impact</w:t>
      </w:r>
      <w:r>
        <w:rPr>
          <w:spacing w:val="38"/>
        </w:rPr>
        <w:t xml:space="preserve"> </w:t>
      </w:r>
      <w:r>
        <w:rPr>
          <w:spacing w:val="-1"/>
        </w:rPr>
        <w:t>on</w:t>
      </w:r>
      <w:r>
        <w:rPr>
          <w:spacing w:val="46"/>
        </w:rPr>
        <w:t xml:space="preserve"> </w:t>
      </w:r>
      <w:r>
        <w:t>the</w:t>
      </w:r>
      <w:r>
        <w:rPr>
          <w:spacing w:val="7"/>
        </w:rPr>
        <w:t xml:space="preserve"> </w:t>
      </w:r>
      <w:r>
        <w:rPr>
          <w:spacing w:val="-1"/>
        </w:rPr>
        <w:t>Suppliers</w:t>
      </w:r>
      <w:r>
        <w:rPr>
          <w:spacing w:val="8"/>
        </w:rPr>
        <w:t xml:space="preserve"> </w:t>
      </w:r>
      <w:r>
        <w:rPr>
          <w:spacing w:val="-1"/>
        </w:rPr>
        <w:t>ability</w:t>
      </w:r>
      <w:r>
        <w:rPr>
          <w:spacing w:val="5"/>
        </w:rPr>
        <w:t xml:space="preserve"> </w:t>
      </w:r>
      <w:r>
        <w:t>to</w:t>
      </w:r>
      <w:r>
        <w:rPr>
          <w:spacing w:val="7"/>
        </w:rPr>
        <w:t xml:space="preserve"> </w:t>
      </w:r>
      <w:r>
        <w:rPr>
          <w:spacing w:val="-1"/>
        </w:rPr>
        <w:t>supply</w:t>
      </w:r>
      <w:r>
        <w:rPr>
          <w:spacing w:val="5"/>
        </w:rPr>
        <w:t xml:space="preserve"> </w:t>
      </w:r>
      <w:r>
        <w:t>the</w:t>
      </w:r>
      <w:r>
        <w:rPr>
          <w:spacing w:val="7"/>
        </w:rPr>
        <w:t xml:space="preserve"> </w:t>
      </w:r>
      <w:r>
        <w:rPr>
          <w:spacing w:val="-1"/>
        </w:rPr>
        <w:t>Goods</w:t>
      </w:r>
      <w:r>
        <w:rPr>
          <w:spacing w:val="8"/>
        </w:rPr>
        <w:t xml:space="preserve"> </w:t>
      </w:r>
      <w:r>
        <w:rPr>
          <w:spacing w:val="-1"/>
        </w:rPr>
        <w:t>and/or</w:t>
      </w:r>
      <w:r>
        <w:rPr>
          <w:spacing w:val="6"/>
        </w:rPr>
        <w:t xml:space="preserve"> </w:t>
      </w:r>
      <w:r>
        <w:rPr>
          <w:spacing w:val="-1"/>
        </w:rPr>
        <w:t>Services</w:t>
      </w:r>
      <w:r>
        <w:rPr>
          <w:spacing w:val="10"/>
        </w:rPr>
        <w:t xml:space="preserve"> </w:t>
      </w:r>
      <w:r>
        <w:rPr>
          <w:spacing w:val="-1"/>
        </w:rPr>
        <w:t>under</w:t>
      </w:r>
      <w:r>
        <w:rPr>
          <w:spacing w:val="28"/>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p>
    <w:p w:rsidR="008918FA" w:rsidRDefault="008918FA" w:rsidP="008918FA">
      <w:pPr>
        <w:pStyle w:val="Heading1"/>
        <w:numPr>
          <w:ilvl w:val="1"/>
          <w:numId w:val="62"/>
        </w:numPr>
        <w:tabs>
          <w:tab w:val="left" w:pos="1233"/>
        </w:tabs>
        <w:ind w:left="1232" w:hanging="564"/>
        <w:jc w:val="left"/>
        <w:rPr>
          <w:b w:val="0"/>
          <w:bCs w:val="0"/>
        </w:rPr>
      </w:pPr>
      <w:bookmarkStart w:id="281" w:name="_bookmark236"/>
      <w:bookmarkEnd w:id="281"/>
      <w:r>
        <w:rPr>
          <w:spacing w:val="-1"/>
        </w:rPr>
        <w:t>Termination</w:t>
      </w:r>
      <w:r>
        <w:rPr>
          <w:spacing w:val="-2"/>
        </w:rPr>
        <w:t xml:space="preserve"> </w:t>
      </w:r>
      <w:r>
        <w:rPr>
          <w:spacing w:val="-1"/>
        </w:rPr>
        <w:t>on</w:t>
      </w:r>
      <w:r>
        <w:rPr>
          <w:spacing w:val="-2"/>
        </w:rPr>
        <w:t xml:space="preserve"> </w:t>
      </w:r>
      <w:r>
        <w:rPr>
          <w:spacing w:val="-1"/>
        </w:rPr>
        <w:t>Insolvency</w:t>
      </w:r>
    </w:p>
    <w:p w:rsidR="008918FA" w:rsidRDefault="008918FA" w:rsidP="008918FA">
      <w:pPr>
        <w:pStyle w:val="BodyText"/>
        <w:numPr>
          <w:ilvl w:val="2"/>
          <w:numId w:val="62"/>
        </w:numPr>
        <w:tabs>
          <w:tab w:val="left" w:pos="2227"/>
        </w:tabs>
        <w:spacing w:before="124"/>
        <w:ind w:left="2226" w:right="114"/>
        <w:jc w:val="both"/>
      </w:pPr>
      <w:r>
        <w:t>The</w:t>
      </w:r>
      <w:r>
        <w:rPr>
          <w:spacing w:val="13"/>
        </w:rPr>
        <w:t xml:space="preserve"> </w:t>
      </w:r>
      <w:r>
        <w:rPr>
          <w:spacing w:val="-2"/>
        </w:rPr>
        <w:t>Customer</w:t>
      </w:r>
      <w:r>
        <w:rPr>
          <w:spacing w:val="15"/>
        </w:rPr>
        <w:t xml:space="preserve"> </w:t>
      </w:r>
      <w:r>
        <w:rPr>
          <w:spacing w:val="-1"/>
        </w:rPr>
        <w:t>may</w:t>
      </w:r>
      <w:r>
        <w:rPr>
          <w:spacing w:val="12"/>
        </w:rPr>
        <w:t xml:space="preserve"> </w:t>
      </w:r>
      <w:r>
        <w:rPr>
          <w:spacing w:val="-1"/>
        </w:rPr>
        <w:t>terminate</w:t>
      </w:r>
      <w:r>
        <w:rPr>
          <w:spacing w:val="13"/>
        </w:rPr>
        <w:t xml:space="preserve"> </w:t>
      </w:r>
      <w:r>
        <w:rPr>
          <w:spacing w:val="-1"/>
        </w:rPr>
        <w:t>this</w:t>
      </w:r>
      <w:r>
        <w:rPr>
          <w:spacing w:val="14"/>
        </w:rPr>
        <w:t xml:space="preserve"> </w:t>
      </w:r>
      <w:r>
        <w:rPr>
          <w:spacing w:val="-2"/>
        </w:rPr>
        <w:t>Call</w:t>
      </w:r>
      <w:r>
        <w:rPr>
          <w:spacing w:val="13"/>
        </w:rPr>
        <w:t xml:space="preserve"> </w:t>
      </w:r>
      <w:r>
        <w:rPr>
          <w:spacing w:val="-1"/>
        </w:rPr>
        <w:t>Off</w:t>
      </w:r>
      <w:r>
        <w:rPr>
          <w:spacing w:val="17"/>
        </w:rPr>
        <w:t xml:space="preserve"> </w:t>
      </w:r>
      <w:r>
        <w:rPr>
          <w:spacing w:val="-2"/>
        </w:rPr>
        <w:t>Contract</w:t>
      </w:r>
      <w:r>
        <w:rPr>
          <w:spacing w:val="15"/>
        </w:rPr>
        <w:t xml:space="preserve"> </w:t>
      </w:r>
      <w:r>
        <w:rPr>
          <w:spacing w:val="-1"/>
        </w:rPr>
        <w:t>by</w:t>
      </w:r>
      <w:r>
        <w:rPr>
          <w:spacing w:val="12"/>
        </w:rPr>
        <w:t xml:space="preserve"> </w:t>
      </w:r>
      <w:r>
        <w:rPr>
          <w:spacing w:val="-1"/>
        </w:rPr>
        <w:t>issuing</w:t>
      </w:r>
      <w:r>
        <w:rPr>
          <w:spacing w:val="16"/>
        </w:rPr>
        <w:t xml:space="preserve"> </w:t>
      </w:r>
      <w:r>
        <w:t>a</w:t>
      </w:r>
      <w:r>
        <w:rPr>
          <w:spacing w:val="59"/>
        </w:rPr>
        <w:t xml:space="preserve"> </w:t>
      </w:r>
      <w:r>
        <w:rPr>
          <w:spacing w:val="-1"/>
        </w:rPr>
        <w:t>Termination</w:t>
      </w:r>
      <w:r>
        <w:t xml:space="preserve"> </w:t>
      </w:r>
      <w:r>
        <w:rPr>
          <w:spacing w:val="-1"/>
        </w:rPr>
        <w:t>Notice</w:t>
      </w:r>
      <w:r>
        <w:rPr>
          <w:spacing w:val="1"/>
        </w:rPr>
        <w:t xml:space="preserve"> </w:t>
      </w:r>
      <w:r>
        <w:t>to</w:t>
      </w:r>
      <w:r>
        <w:rPr>
          <w:spacing w:val="-2"/>
        </w:rPr>
        <w:t xml:space="preserve"> </w:t>
      </w:r>
      <w:r>
        <w:rPr>
          <w:spacing w:val="-1"/>
        </w:rPr>
        <w:t>the</w:t>
      </w:r>
      <w:r>
        <w:t xml:space="preserve"> </w:t>
      </w:r>
      <w:r>
        <w:rPr>
          <w:spacing w:val="-2"/>
        </w:rPr>
        <w:t>Supplier</w:t>
      </w:r>
      <w:r>
        <w:rPr>
          <w:spacing w:val="5"/>
        </w:rPr>
        <w:t xml:space="preserve"> </w:t>
      </w:r>
      <w:r>
        <w:rPr>
          <w:spacing w:val="-2"/>
        </w:rPr>
        <w:t>where</w:t>
      </w:r>
      <w:r>
        <w:t xml:space="preserve"> </w:t>
      </w:r>
      <w:r>
        <w:rPr>
          <w:spacing w:val="-1"/>
        </w:rPr>
        <w:t>an</w:t>
      </w:r>
      <w:r>
        <w:t xml:space="preserve"> </w:t>
      </w:r>
      <w:r>
        <w:rPr>
          <w:spacing w:val="-1"/>
        </w:rPr>
        <w:t>Insolvency</w:t>
      </w:r>
      <w:r>
        <w:rPr>
          <w:spacing w:val="-2"/>
        </w:rPr>
        <w:t xml:space="preserve"> </w:t>
      </w:r>
      <w:r>
        <w:rPr>
          <w:spacing w:val="-1"/>
        </w:rPr>
        <w:t>Event</w:t>
      </w:r>
      <w:r>
        <w:rPr>
          <w:spacing w:val="2"/>
        </w:rPr>
        <w:t xml:space="preserve"> </w:t>
      </w:r>
      <w:r>
        <w:rPr>
          <w:spacing w:val="-1"/>
        </w:rPr>
        <w:t>affecting</w:t>
      </w:r>
      <w:r>
        <w:rPr>
          <w:spacing w:val="57"/>
        </w:rPr>
        <w:t xml:space="preserve"> </w:t>
      </w:r>
      <w:r>
        <w:t xml:space="preserve">the </w:t>
      </w:r>
      <w:r>
        <w:rPr>
          <w:spacing w:val="-2"/>
        </w:rPr>
        <w:t>Supplier</w:t>
      </w:r>
      <w:r>
        <w:rPr>
          <w:spacing w:val="2"/>
        </w:rPr>
        <w:t xml:space="preserve"> </w:t>
      </w:r>
      <w:r>
        <w:rPr>
          <w:spacing w:val="-2"/>
        </w:rPr>
        <w:t>occurs.</w:t>
      </w:r>
    </w:p>
    <w:p w:rsidR="008918FA" w:rsidRDefault="008918FA" w:rsidP="008918FA">
      <w:pPr>
        <w:pStyle w:val="Heading1"/>
        <w:numPr>
          <w:ilvl w:val="1"/>
          <w:numId w:val="62"/>
        </w:numPr>
        <w:tabs>
          <w:tab w:val="left" w:pos="1234"/>
        </w:tabs>
        <w:spacing w:before="119"/>
        <w:ind w:left="1233" w:hanging="564"/>
        <w:jc w:val="left"/>
        <w:rPr>
          <w:b w:val="0"/>
          <w:bCs w:val="0"/>
        </w:rPr>
      </w:pPr>
      <w:r>
        <w:rPr>
          <w:spacing w:val="-1"/>
        </w:rPr>
        <w:t>Termination</w:t>
      </w:r>
      <w:r>
        <w:rPr>
          <w:spacing w:val="-2"/>
        </w:rPr>
        <w:t xml:space="preserve"> </w:t>
      </w:r>
      <w:r>
        <w:rPr>
          <w:spacing w:val="-1"/>
        </w:rPr>
        <w:t>on</w:t>
      </w:r>
      <w:r>
        <w:t xml:space="preserve"> </w:t>
      </w:r>
      <w:r>
        <w:rPr>
          <w:spacing w:val="-2"/>
        </w:rPr>
        <w:t>Change</w:t>
      </w:r>
      <w:r>
        <w:t xml:space="preserve"> </w:t>
      </w:r>
      <w:r>
        <w:rPr>
          <w:spacing w:val="-1"/>
        </w:rPr>
        <w:t>of Control</w:t>
      </w:r>
    </w:p>
    <w:p w:rsidR="008918FA" w:rsidRDefault="008918FA" w:rsidP="008918FA">
      <w:pPr>
        <w:pStyle w:val="BodyText"/>
        <w:numPr>
          <w:ilvl w:val="2"/>
          <w:numId w:val="62"/>
        </w:numPr>
        <w:tabs>
          <w:tab w:val="left" w:pos="2227"/>
        </w:tabs>
        <w:spacing w:before="121"/>
        <w:ind w:left="2226" w:right="114" w:hanging="993"/>
        <w:jc w:val="both"/>
      </w:pPr>
      <w:r>
        <w:t>The</w:t>
      </w:r>
      <w:r>
        <w:rPr>
          <w:spacing w:val="31"/>
        </w:rPr>
        <w:t xml:space="preserve"> </w:t>
      </w:r>
      <w:r>
        <w:rPr>
          <w:spacing w:val="-2"/>
        </w:rPr>
        <w:t>Supplier</w:t>
      </w:r>
      <w:r>
        <w:rPr>
          <w:spacing w:val="33"/>
        </w:rPr>
        <w:t xml:space="preserve"> </w:t>
      </w:r>
      <w:r>
        <w:rPr>
          <w:spacing w:val="-1"/>
        </w:rPr>
        <w:t>shall</w:t>
      </w:r>
      <w:r>
        <w:rPr>
          <w:spacing w:val="31"/>
        </w:rPr>
        <w:t xml:space="preserve"> </w:t>
      </w:r>
      <w:r>
        <w:t>notify</w:t>
      </w:r>
      <w:r>
        <w:rPr>
          <w:spacing w:val="30"/>
        </w:rPr>
        <w:t xml:space="preserve"> </w:t>
      </w:r>
      <w:r>
        <w:t>the</w:t>
      </w:r>
      <w:r>
        <w:rPr>
          <w:spacing w:val="31"/>
        </w:rPr>
        <w:t xml:space="preserve"> </w:t>
      </w:r>
      <w:r>
        <w:rPr>
          <w:spacing w:val="-1"/>
        </w:rPr>
        <w:t>Customer</w:t>
      </w:r>
      <w:r>
        <w:rPr>
          <w:spacing w:val="33"/>
        </w:rPr>
        <w:t xml:space="preserve"> </w:t>
      </w:r>
      <w:r>
        <w:rPr>
          <w:spacing w:val="-1"/>
        </w:rPr>
        <w:t>immediately</w:t>
      </w:r>
      <w:r>
        <w:rPr>
          <w:spacing w:val="32"/>
        </w:rPr>
        <w:t xml:space="preserve"> </w:t>
      </w:r>
      <w:r>
        <w:rPr>
          <w:spacing w:val="-1"/>
        </w:rPr>
        <w:t>if</w:t>
      </w:r>
      <w:r>
        <w:rPr>
          <w:spacing w:val="36"/>
        </w:rPr>
        <w:t xml:space="preserve"> </w:t>
      </w:r>
      <w:r>
        <w:t>the</w:t>
      </w:r>
      <w:r>
        <w:rPr>
          <w:spacing w:val="31"/>
        </w:rPr>
        <w:t xml:space="preserve"> </w:t>
      </w:r>
      <w:r>
        <w:rPr>
          <w:spacing w:val="-2"/>
        </w:rPr>
        <w:t>Supplier</w:t>
      </w:r>
      <w:r>
        <w:rPr>
          <w:spacing w:val="34"/>
        </w:rPr>
        <w:t xml:space="preserve"> </w:t>
      </w:r>
      <w:r>
        <w:rPr>
          <w:spacing w:val="-2"/>
        </w:rPr>
        <w:t>is</w:t>
      </w:r>
      <w:r>
        <w:rPr>
          <w:spacing w:val="35"/>
        </w:rPr>
        <w:t xml:space="preserve"> </w:t>
      </w:r>
      <w:r>
        <w:rPr>
          <w:spacing w:val="-1"/>
        </w:rPr>
        <w:t>intending</w:t>
      </w:r>
      <w:r>
        <w:rPr>
          <w:spacing w:val="18"/>
        </w:rPr>
        <w:t xml:space="preserve"> </w:t>
      </w:r>
      <w:r>
        <w:t>to</w:t>
      </w:r>
      <w:r>
        <w:rPr>
          <w:spacing w:val="16"/>
        </w:rPr>
        <w:t xml:space="preserve"> </w:t>
      </w:r>
      <w:r>
        <w:rPr>
          <w:spacing w:val="-1"/>
        </w:rPr>
        <w:t>undergo,</w:t>
      </w:r>
      <w:r>
        <w:rPr>
          <w:spacing w:val="15"/>
        </w:rPr>
        <w:t xml:space="preserve"> </w:t>
      </w:r>
      <w:r>
        <w:rPr>
          <w:spacing w:val="-1"/>
        </w:rPr>
        <w:t>undergoes</w:t>
      </w:r>
      <w:r>
        <w:rPr>
          <w:spacing w:val="16"/>
        </w:rPr>
        <w:t xml:space="preserve"> </w:t>
      </w:r>
      <w:r>
        <w:rPr>
          <w:spacing w:val="-1"/>
        </w:rPr>
        <w:t>or</w:t>
      </w:r>
      <w:r>
        <w:rPr>
          <w:spacing w:val="17"/>
        </w:rPr>
        <w:t xml:space="preserve"> </w:t>
      </w:r>
      <w:r>
        <w:rPr>
          <w:spacing w:val="-1"/>
        </w:rPr>
        <w:t>has</w:t>
      </w:r>
      <w:r>
        <w:rPr>
          <w:spacing w:val="16"/>
        </w:rPr>
        <w:t xml:space="preserve"> </w:t>
      </w:r>
      <w:r>
        <w:rPr>
          <w:spacing w:val="-1"/>
        </w:rPr>
        <w:t>undergone</w:t>
      </w:r>
      <w:r>
        <w:rPr>
          <w:spacing w:val="17"/>
        </w:rPr>
        <w:t xml:space="preserve"> </w:t>
      </w:r>
      <w:r>
        <w:t>a</w:t>
      </w:r>
      <w:r>
        <w:rPr>
          <w:spacing w:val="16"/>
        </w:rPr>
        <w:t xml:space="preserve"> </w:t>
      </w:r>
      <w:r>
        <w:rPr>
          <w:spacing w:val="-1"/>
        </w:rPr>
        <w:t>Change</w:t>
      </w:r>
      <w:r>
        <w:rPr>
          <w:spacing w:val="16"/>
        </w:rPr>
        <w:t xml:space="preserve"> </w:t>
      </w:r>
      <w:r>
        <w:rPr>
          <w:spacing w:val="-2"/>
        </w:rPr>
        <w:t>of</w:t>
      </w:r>
      <w:r>
        <w:rPr>
          <w:spacing w:val="29"/>
        </w:rPr>
        <w:t xml:space="preserve"> </w:t>
      </w:r>
      <w:r>
        <w:rPr>
          <w:spacing w:val="-1"/>
        </w:rPr>
        <w:t>Control</w:t>
      </w:r>
      <w:r>
        <w:rPr>
          <w:spacing w:val="4"/>
        </w:rPr>
        <w:t xml:space="preserve"> </w:t>
      </w:r>
      <w:r>
        <w:rPr>
          <w:spacing w:val="-1"/>
        </w:rPr>
        <w:t>and</w:t>
      </w:r>
      <w:r>
        <w:rPr>
          <w:spacing w:val="5"/>
        </w:rPr>
        <w:t xml:space="preserve"> </w:t>
      </w:r>
      <w:r>
        <w:rPr>
          <w:spacing w:val="-2"/>
        </w:rPr>
        <w:t>provided</w:t>
      </w:r>
      <w:r>
        <w:rPr>
          <w:spacing w:val="6"/>
        </w:rPr>
        <w:t xml:space="preserve"> </w:t>
      </w:r>
      <w:r>
        <w:t>this</w:t>
      </w:r>
      <w:r>
        <w:rPr>
          <w:spacing w:val="5"/>
        </w:rPr>
        <w:t xml:space="preserve"> </w:t>
      </w:r>
      <w:r>
        <w:rPr>
          <w:spacing w:val="-1"/>
        </w:rPr>
        <w:t>does</w:t>
      </w:r>
      <w:r>
        <w:rPr>
          <w:spacing w:val="5"/>
        </w:rPr>
        <w:t xml:space="preserve"> </w:t>
      </w:r>
      <w:r>
        <w:rPr>
          <w:spacing w:val="-1"/>
        </w:rPr>
        <w:t>not</w:t>
      </w:r>
      <w:r>
        <w:rPr>
          <w:spacing w:val="7"/>
        </w:rPr>
        <w:t xml:space="preserve"> </w:t>
      </w:r>
      <w:r>
        <w:rPr>
          <w:spacing w:val="-1"/>
        </w:rPr>
        <w:t>contravene</w:t>
      </w:r>
      <w:r>
        <w:rPr>
          <w:spacing w:val="5"/>
        </w:rPr>
        <w:t xml:space="preserve"> </w:t>
      </w:r>
      <w:r>
        <w:rPr>
          <w:spacing w:val="-1"/>
        </w:rPr>
        <w:t>any</w:t>
      </w:r>
      <w:r>
        <w:rPr>
          <w:spacing w:val="3"/>
        </w:rPr>
        <w:t xml:space="preserve"> </w:t>
      </w:r>
      <w:r>
        <w:t>Law</w:t>
      </w:r>
      <w:r>
        <w:rPr>
          <w:spacing w:val="4"/>
        </w:rPr>
        <w:t xml:space="preserve"> </w:t>
      </w:r>
      <w:r>
        <w:rPr>
          <w:spacing w:val="-1"/>
        </w:rPr>
        <w:t>shall</w:t>
      </w:r>
      <w:r>
        <w:rPr>
          <w:spacing w:val="4"/>
        </w:rPr>
        <w:t xml:space="preserve"> </w:t>
      </w:r>
      <w:r>
        <w:t>notify</w:t>
      </w:r>
      <w:r>
        <w:rPr>
          <w:spacing w:val="3"/>
        </w:rPr>
        <w:t xml:space="preserve"> </w:t>
      </w:r>
      <w:r>
        <w:rPr>
          <w:spacing w:val="-1"/>
        </w:rPr>
        <w:t>the</w:t>
      </w:r>
      <w:r>
        <w:rPr>
          <w:spacing w:val="44"/>
        </w:rPr>
        <w:t xml:space="preserve"> </w:t>
      </w:r>
      <w:r>
        <w:rPr>
          <w:spacing w:val="-1"/>
        </w:rPr>
        <w:t>Customer</w:t>
      </w:r>
      <w:r>
        <w:rPr>
          <w:spacing w:val="17"/>
        </w:rPr>
        <w:t xml:space="preserve"> </w:t>
      </w:r>
      <w:r>
        <w:rPr>
          <w:spacing w:val="-1"/>
        </w:rPr>
        <w:t>immediately</w:t>
      </w:r>
      <w:r>
        <w:rPr>
          <w:spacing w:val="14"/>
        </w:rPr>
        <w:t xml:space="preserve"> </w:t>
      </w:r>
      <w:r>
        <w:rPr>
          <w:spacing w:val="-1"/>
        </w:rPr>
        <w:t>in</w:t>
      </w:r>
      <w:r>
        <w:rPr>
          <w:spacing w:val="18"/>
        </w:rPr>
        <w:t xml:space="preserve"> </w:t>
      </w:r>
      <w:r>
        <w:rPr>
          <w:spacing w:val="-2"/>
        </w:rPr>
        <w:t>writing</w:t>
      </w:r>
      <w:r>
        <w:rPr>
          <w:spacing w:val="18"/>
        </w:rPr>
        <w:t xml:space="preserve"> </w:t>
      </w:r>
      <w:r>
        <w:rPr>
          <w:spacing w:val="-2"/>
        </w:rPr>
        <w:t>of</w:t>
      </w:r>
      <w:r>
        <w:rPr>
          <w:spacing w:val="20"/>
        </w:rPr>
        <w:t xml:space="preserve"> </w:t>
      </w:r>
      <w:r>
        <w:rPr>
          <w:spacing w:val="-1"/>
        </w:rPr>
        <w:t>any</w:t>
      </w:r>
      <w:r>
        <w:rPr>
          <w:spacing w:val="14"/>
        </w:rPr>
        <w:t xml:space="preserve"> </w:t>
      </w:r>
      <w:r>
        <w:rPr>
          <w:spacing w:val="-1"/>
        </w:rPr>
        <w:t>circumstances</w:t>
      </w:r>
      <w:r>
        <w:rPr>
          <w:spacing w:val="16"/>
        </w:rPr>
        <w:t xml:space="preserve"> </w:t>
      </w:r>
      <w:r>
        <w:rPr>
          <w:spacing w:val="-1"/>
        </w:rPr>
        <w:t>suggesting</w:t>
      </w:r>
      <w:r>
        <w:rPr>
          <w:spacing w:val="39"/>
        </w:rPr>
        <w:t xml:space="preserve"> </w:t>
      </w:r>
      <w:r>
        <w:rPr>
          <w:spacing w:val="-1"/>
        </w:rPr>
        <w:t>and/or</w:t>
      </w:r>
      <w:r>
        <w:rPr>
          <w:spacing w:val="32"/>
        </w:rPr>
        <w:t xml:space="preserve"> </w:t>
      </w:r>
      <w:r>
        <w:rPr>
          <w:spacing w:val="-2"/>
        </w:rPr>
        <w:t>explaining</w:t>
      </w:r>
      <w:r>
        <w:rPr>
          <w:spacing w:val="34"/>
        </w:rPr>
        <w:t xml:space="preserve"> </w:t>
      </w:r>
      <w:r>
        <w:rPr>
          <w:spacing w:val="-1"/>
        </w:rPr>
        <w:t>that</w:t>
      </w:r>
      <w:r>
        <w:rPr>
          <w:spacing w:val="30"/>
        </w:rPr>
        <w:t xml:space="preserve"> </w:t>
      </w:r>
      <w:r>
        <w:t>a</w:t>
      </w:r>
      <w:r>
        <w:rPr>
          <w:spacing w:val="30"/>
        </w:rPr>
        <w:t xml:space="preserve"> </w:t>
      </w:r>
      <w:r>
        <w:rPr>
          <w:spacing w:val="-1"/>
        </w:rPr>
        <w:t>Change</w:t>
      </w:r>
      <w:r>
        <w:rPr>
          <w:spacing w:val="30"/>
        </w:rPr>
        <w:t xml:space="preserve"> </w:t>
      </w:r>
      <w:r>
        <w:rPr>
          <w:spacing w:val="-2"/>
        </w:rPr>
        <w:t>of</w:t>
      </w:r>
      <w:r>
        <w:rPr>
          <w:spacing w:val="32"/>
        </w:rPr>
        <w:t xml:space="preserve"> </w:t>
      </w:r>
      <w:r>
        <w:rPr>
          <w:spacing w:val="-1"/>
        </w:rPr>
        <w:t>Control</w:t>
      </w:r>
      <w:r>
        <w:rPr>
          <w:spacing w:val="30"/>
        </w:rPr>
        <w:t xml:space="preserve"> </w:t>
      </w:r>
      <w:r>
        <w:rPr>
          <w:spacing w:val="-2"/>
        </w:rPr>
        <w:t>is</w:t>
      </w:r>
      <w:r>
        <w:rPr>
          <w:spacing w:val="31"/>
        </w:rPr>
        <w:t xml:space="preserve"> </w:t>
      </w:r>
      <w:r>
        <w:rPr>
          <w:spacing w:val="-1"/>
        </w:rPr>
        <w:t>planned</w:t>
      </w:r>
      <w:r>
        <w:rPr>
          <w:spacing w:val="31"/>
        </w:rPr>
        <w:t xml:space="preserve"> </w:t>
      </w:r>
      <w:r>
        <w:rPr>
          <w:spacing w:val="-1"/>
        </w:rPr>
        <w:t>or</w:t>
      </w:r>
      <w:r>
        <w:rPr>
          <w:spacing w:val="33"/>
        </w:rPr>
        <w:t xml:space="preserve"> </w:t>
      </w:r>
      <w:r>
        <w:rPr>
          <w:spacing w:val="-1"/>
        </w:rPr>
        <w:t>is</w:t>
      </w:r>
      <w:r>
        <w:rPr>
          <w:spacing w:val="31"/>
        </w:rPr>
        <w:t xml:space="preserve"> </w:t>
      </w:r>
      <w:r>
        <w:rPr>
          <w:spacing w:val="-2"/>
        </w:rPr>
        <w:t>in</w:t>
      </w:r>
      <w:r>
        <w:rPr>
          <w:spacing w:val="39"/>
        </w:rPr>
        <w:t xml:space="preserve"> </w:t>
      </w:r>
      <w:r>
        <w:rPr>
          <w:spacing w:val="-1"/>
        </w:rPr>
        <w:t>contemplation</w:t>
      </w:r>
      <w:r>
        <w:rPr>
          <w:spacing w:val="34"/>
        </w:rPr>
        <w:t xml:space="preserve"> </w:t>
      </w:r>
      <w:r>
        <w:rPr>
          <w:spacing w:val="-1"/>
        </w:rPr>
        <w:t>or</w:t>
      </w:r>
      <w:r>
        <w:rPr>
          <w:spacing w:val="35"/>
        </w:rPr>
        <w:t xml:space="preserve"> </w:t>
      </w:r>
      <w:r>
        <w:rPr>
          <w:spacing w:val="-1"/>
        </w:rPr>
        <w:t>has</w:t>
      </w:r>
      <w:r>
        <w:rPr>
          <w:spacing w:val="34"/>
        </w:rPr>
        <w:t xml:space="preserve"> </w:t>
      </w:r>
      <w:r>
        <w:rPr>
          <w:spacing w:val="-1"/>
        </w:rPr>
        <w:t>taken</w:t>
      </w:r>
      <w:r>
        <w:rPr>
          <w:spacing w:val="34"/>
        </w:rPr>
        <w:t xml:space="preserve"> </w:t>
      </w:r>
      <w:r>
        <w:rPr>
          <w:spacing w:val="-1"/>
        </w:rPr>
        <w:t>place.</w:t>
      </w:r>
      <w:r>
        <w:rPr>
          <w:spacing w:val="33"/>
        </w:rPr>
        <w:t xml:space="preserve"> </w:t>
      </w:r>
      <w:r>
        <w:t>The</w:t>
      </w:r>
      <w:r>
        <w:rPr>
          <w:spacing w:val="34"/>
        </w:rPr>
        <w:t xml:space="preserve"> </w:t>
      </w:r>
      <w:r>
        <w:rPr>
          <w:spacing w:val="-2"/>
        </w:rPr>
        <w:t>Customer</w:t>
      </w:r>
      <w:r>
        <w:rPr>
          <w:spacing w:val="36"/>
        </w:rPr>
        <w:t xml:space="preserve"> </w:t>
      </w:r>
      <w:r>
        <w:rPr>
          <w:spacing w:val="-1"/>
        </w:rPr>
        <w:t>may</w:t>
      </w:r>
      <w:r>
        <w:rPr>
          <w:spacing w:val="32"/>
        </w:rPr>
        <w:t xml:space="preserve"> </w:t>
      </w:r>
      <w:r>
        <w:rPr>
          <w:spacing w:val="-1"/>
        </w:rPr>
        <w:t>terminate</w:t>
      </w:r>
      <w:r>
        <w:rPr>
          <w:spacing w:val="34"/>
        </w:rPr>
        <w:t xml:space="preserve"> </w:t>
      </w:r>
      <w:r>
        <w:rPr>
          <w:spacing w:val="-1"/>
        </w:rPr>
        <w:t>this</w:t>
      </w:r>
      <w:r>
        <w:rPr>
          <w:spacing w:val="55"/>
        </w:rPr>
        <w:t xml:space="preserve"> </w:t>
      </w:r>
      <w:r>
        <w:rPr>
          <w:spacing w:val="-2"/>
        </w:rPr>
        <w:t>Call</w:t>
      </w:r>
      <w:r>
        <w:rPr>
          <w:spacing w:val="4"/>
        </w:rPr>
        <w:t xml:space="preserve"> </w:t>
      </w:r>
      <w:r>
        <w:t>Off</w:t>
      </w:r>
      <w:r>
        <w:rPr>
          <w:spacing w:val="7"/>
        </w:rPr>
        <w:t xml:space="preserve"> </w:t>
      </w:r>
      <w:r>
        <w:rPr>
          <w:spacing w:val="-2"/>
        </w:rPr>
        <w:t>Contract</w:t>
      </w:r>
      <w:r>
        <w:rPr>
          <w:spacing w:val="7"/>
        </w:rPr>
        <w:t xml:space="preserve"> </w:t>
      </w:r>
      <w:r>
        <w:rPr>
          <w:spacing w:val="-1"/>
        </w:rPr>
        <w:t>by</w:t>
      </w:r>
      <w:r>
        <w:rPr>
          <w:spacing w:val="3"/>
        </w:rPr>
        <w:t xml:space="preserve"> </w:t>
      </w:r>
      <w:r>
        <w:rPr>
          <w:spacing w:val="-1"/>
        </w:rPr>
        <w:t>issuing</w:t>
      </w:r>
      <w:r>
        <w:rPr>
          <w:spacing w:val="7"/>
        </w:rPr>
        <w:t xml:space="preserve"> </w:t>
      </w:r>
      <w:r>
        <w:t>a</w:t>
      </w:r>
      <w:r>
        <w:rPr>
          <w:spacing w:val="3"/>
        </w:rPr>
        <w:t xml:space="preserve"> </w:t>
      </w:r>
      <w:r>
        <w:rPr>
          <w:spacing w:val="-1"/>
        </w:rPr>
        <w:t>Termination</w:t>
      </w:r>
      <w:r>
        <w:rPr>
          <w:spacing w:val="5"/>
        </w:rPr>
        <w:t xml:space="preserve"> </w:t>
      </w:r>
      <w:r>
        <w:rPr>
          <w:spacing w:val="-1"/>
        </w:rPr>
        <w:t>Notice</w:t>
      </w:r>
      <w:r>
        <w:rPr>
          <w:spacing w:val="3"/>
        </w:rPr>
        <w:t xml:space="preserve"> </w:t>
      </w:r>
      <w:r>
        <w:t>to</w:t>
      </w:r>
      <w:r>
        <w:rPr>
          <w:spacing w:val="5"/>
        </w:rPr>
        <w:t xml:space="preserve"> </w:t>
      </w:r>
      <w:r>
        <w:t>the</w:t>
      </w:r>
      <w:r>
        <w:rPr>
          <w:spacing w:val="5"/>
        </w:rPr>
        <w:t xml:space="preserve"> </w:t>
      </w:r>
      <w:r>
        <w:rPr>
          <w:spacing w:val="-2"/>
        </w:rPr>
        <w:t>Supplier</w:t>
      </w:r>
      <w:r>
        <w:rPr>
          <w:spacing w:val="9"/>
        </w:rPr>
        <w:t xml:space="preserve"> </w:t>
      </w:r>
      <w:r>
        <w:rPr>
          <w:spacing w:val="-2"/>
        </w:rPr>
        <w:t>within</w:t>
      </w:r>
      <w:r>
        <w:rPr>
          <w:spacing w:val="49"/>
        </w:rPr>
        <w:t xml:space="preserve"> </w:t>
      </w:r>
      <w:r>
        <w:rPr>
          <w:spacing w:val="-1"/>
        </w:rPr>
        <w:t>six</w:t>
      </w:r>
      <w:r>
        <w:rPr>
          <w:spacing w:val="-2"/>
        </w:rPr>
        <w:t xml:space="preserve"> </w:t>
      </w:r>
      <w:r>
        <w:rPr>
          <w:spacing w:val="-1"/>
        </w:rPr>
        <w:t>(6)</w:t>
      </w:r>
      <w:r>
        <w:rPr>
          <w:spacing w:val="2"/>
        </w:rPr>
        <w:t xml:space="preserve"> </w:t>
      </w:r>
      <w:r>
        <w:rPr>
          <w:spacing w:val="-1"/>
        </w:rPr>
        <w:t>Months</w:t>
      </w:r>
      <w:r>
        <w:rPr>
          <w:spacing w:val="1"/>
        </w:rPr>
        <w:t xml:space="preserve"> </w:t>
      </w:r>
      <w:r>
        <w:rPr>
          <w:spacing w:val="-1"/>
        </w:rPr>
        <w:t>of:</w:t>
      </w:r>
    </w:p>
    <w:p w:rsidR="008918FA" w:rsidRDefault="008918FA" w:rsidP="008918FA">
      <w:pPr>
        <w:pStyle w:val="BodyText"/>
        <w:numPr>
          <w:ilvl w:val="3"/>
          <w:numId w:val="62"/>
        </w:numPr>
        <w:tabs>
          <w:tab w:val="left" w:pos="2935"/>
        </w:tabs>
        <w:spacing w:before="121"/>
        <w:ind w:left="2934" w:right="115"/>
        <w:jc w:val="both"/>
      </w:pPr>
      <w:r>
        <w:rPr>
          <w:spacing w:val="-1"/>
        </w:rPr>
        <w:t>being</w:t>
      </w:r>
      <w:r>
        <w:rPr>
          <w:spacing w:val="20"/>
        </w:rPr>
        <w:t xml:space="preserve"> </w:t>
      </w:r>
      <w:r>
        <w:rPr>
          <w:spacing w:val="-1"/>
        </w:rPr>
        <w:t>notified</w:t>
      </w:r>
      <w:r>
        <w:rPr>
          <w:spacing w:val="17"/>
        </w:rPr>
        <w:t xml:space="preserve"> </w:t>
      </w:r>
      <w:r>
        <w:rPr>
          <w:spacing w:val="-1"/>
        </w:rPr>
        <w:t>in</w:t>
      </w:r>
      <w:r>
        <w:rPr>
          <w:spacing w:val="17"/>
        </w:rPr>
        <w:t xml:space="preserve"> </w:t>
      </w:r>
      <w:r>
        <w:rPr>
          <w:spacing w:val="-2"/>
        </w:rPr>
        <w:t>writing</w:t>
      </w:r>
      <w:r>
        <w:rPr>
          <w:spacing w:val="20"/>
        </w:rPr>
        <w:t xml:space="preserve"> </w:t>
      </w:r>
      <w:r>
        <w:rPr>
          <w:spacing w:val="-1"/>
        </w:rPr>
        <w:t>that</w:t>
      </w:r>
      <w:r>
        <w:rPr>
          <w:spacing w:val="19"/>
        </w:rPr>
        <w:t xml:space="preserve"> </w:t>
      </w:r>
      <w:r>
        <w:t>a</w:t>
      </w:r>
      <w:r>
        <w:rPr>
          <w:spacing w:val="17"/>
        </w:rPr>
        <w:t xml:space="preserve"> </w:t>
      </w:r>
      <w:r>
        <w:rPr>
          <w:spacing w:val="-1"/>
        </w:rPr>
        <w:t>Change</w:t>
      </w:r>
      <w:r>
        <w:rPr>
          <w:spacing w:val="17"/>
        </w:rPr>
        <w:t xml:space="preserve"> </w:t>
      </w:r>
      <w:r>
        <w:rPr>
          <w:spacing w:val="-2"/>
        </w:rPr>
        <w:t>of</w:t>
      </w:r>
      <w:r>
        <w:rPr>
          <w:spacing w:val="21"/>
        </w:rPr>
        <w:t xml:space="preserve"> </w:t>
      </w:r>
      <w:r>
        <w:rPr>
          <w:spacing w:val="-1"/>
        </w:rPr>
        <w:t>Control</w:t>
      </w:r>
      <w:r>
        <w:rPr>
          <w:spacing w:val="15"/>
        </w:rPr>
        <w:t xml:space="preserve"> </w:t>
      </w:r>
      <w:r>
        <w:rPr>
          <w:spacing w:val="-1"/>
        </w:rPr>
        <w:t>is</w:t>
      </w:r>
      <w:r>
        <w:rPr>
          <w:spacing w:val="18"/>
        </w:rPr>
        <w:t xml:space="preserve"> </w:t>
      </w:r>
      <w:r>
        <w:rPr>
          <w:spacing w:val="-1"/>
        </w:rPr>
        <w:t>planned</w:t>
      </w:r>
      <w:r>
        <w:rPr>
          <w:spacing w:val="17"/>
        </w:rPr>
        <w:t xml:space="preserve"> </w:t>
      </w:r>
      <w:r>
        <w:rPr>
          <w:spacing w:val="-1"/>
        </w:rPr>
        <w:t>or</w:t>
      </w:r>
      <w:r>
        <w:rPr>
          <w:spacing w:val="26"/>
        </w:rPr>
        <w:t xml:space="preserve"> </w:t>
      </w:r>
      <w:r>
        <w:rPr>
          <w:spacing w:val="-1"/>
        </w:rPr>
        <w:t>in</w:t>
      </w:r>
      <w:r>
        <w:t xml:space="preserve"> </w:t>
      </w:r>
      <w:r>
        <w:rPr>
          <w:spacing w:val="-1"/>
        </w:rPr>
        <w:t>contemplation</w:t>
      </w:r>
      <w:r>
        <w:rPr>
          <w:spacing w:val="1"/>
        </w:rPr>
        <w:t xml:space="preserve"> </w:t>
      </w:r>
      <w:r>
        <w:rPr>
          <w:spacing w:val="-1"/>
        </w:rPr>
        <w:t>or has</w:t>
      </w:r>
      <w:r>
        <w:rPr>
          <w:spacing w:val="-4"/>
        </w:rPr>
        <w:t xml:space="preserve"> </w:t>
      </w:r>
      <w:r>
        <w:rPr>
          <w:spacing w:val="-1"/>
        </w:rPr>
        <w:t>occurred;</w:t>
      </w:r>
      <w:r>
        <w:rPr>
          <w:spacing w:val="2"/>
        </w:rPr>
        <w:t xml:space="preserve"> </w:t>
      </w:r>
      <w:r>
        <w:rPr>
          <w:spacing w:val="-3"/>
        </w:rPr>
        <w:t>or</w:t>
      </w:r>
    </w:p>
    <w:p w:rsidR="008918FA" w:rsidRDefault="008918FA" w:rsidP="008918FA">
      <w:pPr>
        <w:pStyle w:val="BodyText"/>
        <w:numPr>
          <w:ilvl w:val="3"/>
          <w:numId w:val="62"/>
        </w:numPr>
        <w:tabs>
          <w:tab w:val="left" w:pos="2935"/>
        </w:tabs>
        <w:ind w:left="2934" w:right="114"/>
        <w:jc w:val="both"/>
      </w:pPr>
      <w:r>
        <w:rPr>
          <w:spacing w:val="-2"/>
        </w:rPr>
        <w:t>where</w:t>
      </w:r>
      <w:r>
        <w:rPr>
          <w:spacing w:val="37"/>
        </w:rPr>
        <w:t xml:space="preserve"> </w:t>
      </w:r>
      <w:r>
        <w:rPr>
          <w:spacing w:val="-1"/>
        </w:rPr>
        <w:t>no</w:t>
      </w:r>
      <w:r>
        <w:rPr>
          <w:spacing w:val="40"/>
        </w:rPr>
        <w:t xml:space="preserve"> </w:t>
      </w:r>
      <w:r>
        <w:rPr>
          <w:spacing w:val="-1"/>
        </w:rPr>
        <w:t>notification</w:t>
      </w:r>
      <w:r>
        <w:rPr>
          <w:spacing w:val="35"/>
        </w:rPr>
        <w:t xml:space="preserve"> </w:t>
      </w:r>
      <w:r>
        <w:rPr>
          <w:spacing w:val="-1"/>
        </w:rPr>
        <w:t>has</w:t>
      </w:r>
      <w:r>
        <w:rPr>
          <w:spacing w:val="38"/>
        </w:rPr>
        <w:t xml:space="preserve"> </w:t>
      </w:r>
      <w:r>
        <w:rPr>
          <w:spacing w:val="-1"/>
        </w:rPr>
        <w:t>been</w:t>
      </w:r>
      <w:r>
        <w:rPr>
          <w:spacing w:val="37"/>
        </w:rPr>
        <w:t xml:space="preserve"> </w:t>
      </w:r>
      <w:r>
        <w:rPr>
          <w:spacing w:val="-1"/>
        </w:rPr>
        <w:t>made,</w:t>
      </w:r>
      <w:r>
        <w:rPr>
          <w:spacing w:val="39"/>
        </w:rPr>
        <w:t xml:space="preserve"> </w:t>
      </w:r>
      <w:r>
        <w:t>the</w:t>
      </w:r>
      <w:r>
        <w:rPr>
          <w:spacing w:val="38"/>
        </w:rPr>
        <w:t xml:space="preserve"> </w:t>
      </w:r>
      <w:r>
        <w:rPr>
          <w:spacing w:val="-1"/>
        </w:rPr>
        <w:t>date</w:t>
      </w:r>
      <w:r>
        <w:rPr>
          <w:spacing w:val="37"/>
        </w:rPr>
        <w:t xml:space="preserve"> </w:t>
      </w:r>
      <w:r>
        <w:rPr>
          <w:spacing w:val="-1"/>
        </w:rPr>
        <w:t>that</w:t>
      </w:r>
      <w:r>
        <w:rPr>
          <w:spacing w:val="39"/>
        </w:rPr>
        <w:t xml:space="preserve"> </w:t>
      </w:r>
      <w:r>
        <w:rPr>
          <w:spacing w:val="-1"/>
        </w:rPr>
        <w:t>the</w:t>
      </w:r>
      <w:r>
        <w:rPr>
          <w:spacing w:val="48"/>
        </w:rPr>
        <w:t xml:space="preserve"> </w:t>
      </w:r>
      <w:r>
        <w:rPr>
          <w:spacing w:val="-1"/>
        </w:rPr>
        <w:t>Customer</w:t>
      </w:r>
      <w:r>
        <w:rPr>
          <w:spacing w:val="14"/>
        </w:rPr>
        <w:t xml:space="preserve"> </w:t>
      </w:r>
      <w:r>
        <w:rPr>
          <w:spacing w:val="-1"/>
        </w:rPr>
        <w:t>becomes</w:t>
      </w:r>
      <w:r>
        <w:rPr>
          <w:spacing w:val="13"/>
        </w:rPr>
        <w:t xml:space="preserve"> </w:t>
      </w:r>
      <w:r>
        <w:rPr>
          <w:spacing w:val="-2"/>
        </w:rPr>
        <w:t>aware</w:t>
      </w:r>
      <w:r>
        <w:rPr>
          <w:spacing w:val="13"/>
        </w:rPr>
        <w:t xml:space="preserve"> </w:t>
      </w:r>
      <w:r>
        <w:rPr>
          <w:spacing w:val="-1"/>
        </w:rPr>
        <w:t>that</w:t>
      </w:r>
      <w:r>
        <w:rPr>
          <w:spacing w:val="14"/>
        </w:rPr>
        <w:t xml:space="preserve"> </w:t>
      </w:r>
      <w:r>
        <w:t>a</w:t>
      </w:r>
      <w:r>
        <w:rPr>
          <w:spacing w:val="12"/>
        </w:rPr>
        <w:t xml:space="preserve"> </w:t>
      </w:r>
      <w:r>
        <w:rPr>
          <w:spacing w:val="-1"/>
        </w:rPr>
        <w:t>Change</w:t>
      </w:r>
      <w:r>
        <w:rPr>
          <w:spacing w:val="12"/>
        </w:rPr>
        <w:t xml:space="preserve"> </w:t>
      </w:r>
      <w:r>
        <w:rPr>
          <w:spacing w:val="-2"/>
        </w:rPr>
        <w:t>of</w:t>
      </w:r>
      <w:r>
        <w:rPr>
          <w:spacing w:val="16"/>
        </w:rPr>
        <w:t xml:space="preserve"> </w:t>
      </w:r>
      <w:r>
        <w:rPr>
          <w:spacing w:val="-1"/>
        </w:rPr>
        <w:t>Control</w:t>
      </w:r>
      <w:r>
        <w:rPr>
          <w:spacing w:val="13"/>
        </w:rPr>
        <w:t xml:space="preserve"> </w:t>
      </w:r>
      <w:r>
        <w:rPr>
          <w:spacing w:val="-1"/>
        </w:rPr>
        <w:t>is</w:t>
      </w:r>
      <w:r>
        <w:rPr>
          <w:spacing w:val="13"/>
        </w:rPr>
        <w:t xml:space="preserve"> </w:t>
      </w:r>
      <w:r>
        <w:rPr>
          <w:spacing w:val="-2"/>
        </w:rPr>
        <w:t>planned</w:t>
      </w:r>
      <w:r>
        <w:rPr>
          <w:spacing w:val="40"/>
        </w:rPr>
        <w:t xml:space="preserve"> </w:t>
      </w:r>
      <w:r>
        <w:rPr>
          <w:spacing w:val="-1"/>
        </w:rPr>
        <w:t>or</w:t>
      </w:r>
      <w:r>
        <w:rPr>
          <w:spacing w:val="2"/>
        </w:rPr>
        <w:t xml:space="preserve"> </w:t>
      </w:r>
      <w:r>
        <w:rPr>
          <w:spacing w:val="-1"/>
        </w:rPr>
        <w:t>is</w:t>
      </w:r>
      <w:r>
        <w:rPr>
          <w:spacing w:val="1"/>
        </w:rPr>
        <w:t xml:space="preserve"> </w:t>
      </w:r>
      <w:r>
        <w:rPr>
          <w:spacing w:val="-1"/>
        </w:rPr>
        <w:t>in</w:t>
      </w:r>
      <w:r>
        <w:rPr>
          <w:spacing w:val="-2"/>
        </w:rPr>
        <w:t xml:space="preserve"> </w:t>
      </w:r>
      <w:r>
        <w:rPr>
          <w:spacing w:val="-1"/>
        </w:rPr>
        <w:t>contemplation</w:t>
      </w:r>
      <w:r>
        <w:rPr>
          <w:spacing w:val="1"/>
        </w:rPr>
        <w:t xml:space="preserve"> </w:t>
      </w:r>
      <w:r>
        <w:rPr>
          <w:spacing w:val="-2"/>
        </w:rPr>
        <w:t>or</w:t>
      </w:r>
      <w:r>
        <w:rPr>
          <w:spacing w:val="-1"/>
        </w:rPr>
        <w:t xml:space="preserve"> has</w:t>
      </w:r>
      <w:r>
        <w:rPr>
          <w:spacing w:val="1"/>
        </w:rPr>
        <w:t xml:space="preserve"> </w:t>
      </w:r>
      <w:r>
        <w:rPr>
          <w:spacing w:val="-1"/>
        </w:rPr>
        <w:t>occurred,</w:t>
      </w:r>
    </w:p>
    <w:p w:rsidR="008918FA" w:rsidRDefault="008918FA" w:rsidP="008918FA">
      <w:pPr>
        <w:pStyle w:val="BodyText"/>
        <w:spacing w:before="121"/>
        <w:ind w:left="2226" w:right="117" w:firstLine="0"/>
      </w:pPr>
      <w:r>
        <w:rPr>
          <w:spacing w:val="-1"/>
        </w:rPr>
        <w:t>but</w:t>
      </w:r>
      <w:r>
        <w:rPr>
          <w:spacing w:val="7"/>
        </w:rPr>
        <w:t xml:space="preserve"> </w:t>
      </w:r>
      <w:r>
        <w:rPr>
          <w:spacing w:val="-1"/>
        </w:rPr>
        <w:t>shall</w:t>
      </w:r>
      <w:r>
        <w:rPr>
          <w:spacing w:val="4"/>
        </w:rPr>
        <w:t xml:space="preserve"> </w:t>
      </w:r>
      <w:r>
        <w:rPr>
          <w:spacing w:val="-1"/>
        </w:rPr>
        <w:t>not</w:t>
      </w:r>
      <w:r>
        <w:rPr>
          <w:spacing w:val="7"/>
        </w:rPr>
        <w:t xml:space="preserve"> </w:t>
      </w:r>
      <w:r>
        <w:rPr>
          <w:spacing w:val="-1"/>
        </w:rPr>
        <w:t>be</w:t>
      </w:r>
      <w:r>
        <w:rPr>
          <w:spacing w:val="6"/>
        </w:rPr>
        <w:t xml:space="preserve"> </w:t>
      </w:r>
      <w:r>
        <w:rPr>
          <w:spacing w:val="-1"/>
        </w:rPr>
        <w:t>permitted</w:t>
      </w:r>
      <w:r>
        <w:rPr>
          <w:spacing w:val="5"/>
        </w:rPr>
        <w:t xml:space="preserve"> </w:t>
      </w:r>
      <w:r>
        <w:t>to</w:t>
      </w:r>
      <w:r>
        <w:rPr>
          <w:spacing w:val="5"/>
        </w:rPr>
        <w:t xml:space="preserve"> </w:t>
      </w:r>
      <w:r>
        <w:rPr>
          <w:spacing w:val="-1"/>
        </w:rPr>
        <w:t>terminate</w:t>
      </w:r>
      <w:r>
        <w:rPr>
          <w:spacing w:val="5"/>
        </w:rPr>
        <w:t xml:space="preserve"> </w:t>
      </w:r>
      <w:r>
        <w:rPr>
          <w:spacing w:val="-2"/>
        </w:rPr>
        <w:t>where</w:t>
      </w:r>
      <w:r>
        <w:rPr>
          <w:spacing w:val="5"/>
        </w:rPr>
        <w:t xml:space="preserve"> </w:t>
      </w:r>
      <w:r>
        <w:rPr>
          <w:spacing w:val="-1"/>
        </w:rPr>
        <w:t>an</w:t>
      </w:r>
      <w:r>
        <w:rPr>
          <w:spacing w:val="7"/>
        </w:rPr>
        <w:t xml:space="preserve"> </w:t>
      </w:r>
      <w:r>
        <w:rPr>
          <w:spacing w:val="-1"/>
        </w:rPr>
        <w:t>Approval</w:t>
      </w:r>
      <w:r>
        <w:rPr>
          <w:spacing w:val="7"/>
        </w:rPr>
        <w:t xml:space="preserve"> </w:t>
      </w:r>
      <w:r>
        <w:rPr>
          <w:spacing w:val="-2"/>
        </w:rPr>
        <w:t>was</w:t>
      </w:r>
      <w:r>
        <w:rPr>
          <w:spacing w:val="5"/>
        </w:rPr>
        <w:t xml:space="preserve"> </w:t>
      </w:r>
      <w:r>
        <w:rPr>
          <w:spacing w:val="-1"/>
        </w:rPr>
        <w:t>granted</w:t>
      </w:r>
      <w:r>
        <w:rPr>
          <w:spacing w:val="52"/>
        </w:rPr>
        <w:t xml:space="preserve"> </w:t>
      </w:r>
      <w:r>
        <w:rPr>
          <w:spacing w:val="-1"/>
        </w:rPr>
        <w:t xml:space="preserve">prior </w:t>
      </w:r>
      <w:r>
        <w:t>to</w:t>
      </w:r>
      <w:r>
        <w:rPr>
          <w:spacing w:val="-2"/>
        </w:rPr>
        <w:t xml:space="preserve"> </w:t>
      </w:r>
      <w:r>
        <w:t xml:space="preserve">the </w:t>
      </w:r>
      <w:r>
        <w:rPr>
          <w:spacing w:val="-1"/>
        </w:rPr>
        <w:t>Change</w:t>
      </w:r>
      <w:r>
        <w:rPr>
          <w:spacing w:val="-2"/>
        </w:rPr>
        <w:t xml:space="preserve"> of</w:t>
      </w:r>
      <w:r>
        <w:rPr>
          <w:spacing w:val="2"/>
        </w:rPr>
        <w:t xml:space="preserve"> </w:t>
      </w:r>
      <w:r>
        <w:rPr>
          <w:spacing w:val="-1"/>
        </w:rPr>
        <w:t>Control.</w:t>
      </w:r>
    </w:p>
    <w:p w:rsidR="008918FA" w:rsidRDefault="008918FA" w:rsidP="008918FA">
      <w:pPr>
        <w:pStyle w:val="Heading1"/>
        <w:numPr>
          <w:ilvl w:val="1"/>
          <w:numId w:val="62"/>
        </w:numPr>
        <w:tabs>
          <w:tab w:val="left" w:pos="1233"/>
        </w:tabs>
        <w:ind w:left="1232" w:hanging="564"/>
        <w:jc w:val="left"/>
        <w:rPr>
          <w:b w:val="0"/>
          <w:bCs w:val="0"/>
        </w:rPr>
      </w:pPr>
      <w:bookmarkStart w:id="282" w:name="_bookmark237"/>
      <w:bookmarkEnd w:id="282"/>
      <w:r>
        <w:rPr>
          <w:spacing w:val="-1"/>
        </w:rPr>
        <w:t>Termination</w:t>
      </w:r>
      <w:r>
        <w:rPr>
          <w:spacing w:val="-2"/>
        </w:rPr>
        <w:t xml:space="preserve"> </w:t>
      </w:r>
      <w:r>
        <w:rPr>
          <w:spacing w:val="-1"/>
        </w:rPr>
        <w:t>Without</w:t>
      </w:r>
      <w:r>
        <w:rPr>
          <w:spacing w:val="1"/>
        </w:rPr>
        <w:t xml:space="preserve"> </w:t>
      </w:r>
      <w:r>
        <w:rPr>
          <w:spacing w:val="-2"/>
        </w:rPr>
        <w:t>Cause</w:t>
      </w:r>
    </w:p>
    <w:p w:rsidR="008918FA" w:rsidRDefault="008918FA" w:rsidP="008918FA">
      <w:pPr>
        <w:pStyle w:val="BodyText"/>
        <w:numPr>
          <w:ilvl w:val="2"/>
          <w:numId w:val="62"/>
        </w:numPr>
        <w:tabs>
          <w:tab w:val="left" w:pos="2227"/>
        </w:tabs>
        <w:spacing w:before="124"/>
        <w:ind w:left="2226" w:right="113"/>
        <w:jc w:val="both"/>
      </w:pPr>
      <w:bookmarkStart w:id="283" w:name="_bookmark238"/>
      <w:bookmarkEnd w:id="283"/>
      <w:r>
        <w:t>The</w:t>
      </w:r>
      <w:r>
        <w:rPr>
          <w:spacing w:val="5"/>
        </w:rPr>
        <w:t xml:space="preserve"> </w:t>
      </w:r>
      <w:r>
        <w:rPr>
          <w:spacing w:val="-2"/>
        </w:rPr>
        <w:t>Customer</w:t>
      </w:r>
      <w:r>
        <w:rPr>
          <w:spacing w:val="6"/>
        </w:rPr>
        <w:t xml:space="preserve"> </w:t>
      </w:r>
      <w:r>
        <w:rPr>
          <w:spacing w:val="-2"/>
        </w:rPr>
        <w:t>shall</w:t>
      </w:r>
      <w:r>
        <w:rPr>
          <w:spacing w:val="4"/>
        </w:rPr>
        <w:t xml:space="preserve"> </w:t>
      </w:r>
      <w:r>
        <w:rPr>
          <w:spacing w:val="-1"/>
        </w:rPr>
        <w:t>have</w:t>
      </w:r>
      <w:r>
        <w:rPr>
          <w:spacing w:val="5"/>
        </w:rPr>
        <w:t xml:space="preserve"> </w:t>
      </w:r>
      <w:r>
        <w:t>the</w:t>
      </w:r>
      <w:r>
        <w:rPr>
          <w:spacing w:val="3"/>
        </w:rPr>
        <w:t xml:space="preserve"> </w:t>
      </w:r>
      <w:r>
        <w:rPr>
          <w:spacing w:val="-1"/>
        </w:rPr>
        <w:t>right</w:t>
      </w:r>
      <w:r>
        <w:rPr>
          <w:spacing w:val="4"/>
        </w:rPr>
        <w:t xml:space="preserve"> </w:t>
      </w:r>
      <w:r>
        <w:t>to</w:t>
      </w:r>
      <w:r>
        <w:rPr>
          <w:spacing w:val="3"/>
        </w:rPr>
        <w:t xml:space="preserve"> </w:t>
      </w:r>
      <w:r>
        <w:rPr>
          <w:spacing w:val="-1"/>
        </w:rPr>
        <w:t>terminate</w:t>
      </w:r>
      <w:r>
        <w:rPr>
          <w:spacing w:val="3"/>
        </w:rPr>
        <w:t xml:space="preserve"> </w:t>
      </w:r>
      <w:r>
        <w:rPr>
          <w:spacing w:val="-1"/>
        </w:rPr>
        <w:t>this</w:t>
      </w:r>
      <w:r>
        <w:rPr>
          <w:spacing w:val="5"/>
        </w:rPr>
        <w:t xml:space="preserve"> </w:t>
      </w:r>
      <w:r>
        <w:rPr>
          <w:spacing w:val="-2"/>
        </w:rPr>
        <w:t>Call</w:t>
      </w:r>
      <w:r>
        <w:rPr>
          <w:spacing w:val="4"/>
        </w:rPr>
        <w:t xml:space="preserve"> </w:t>
      </w:r>
      <w:r>
        <w:rPr>
          <w:spacing w:val="-1"/>
        </w:rPr>
        <w:t>Off</w:t>
      </w:r>
      <w:r>
        <w:rPr>
          <w:spacing w:val="7"/>
        </w:rPr>
        <w:t xml:space="preserve"> </w:t>
      </w:r>
      <w:r>
        <w:rPr>
          <w:spacing w:val="-1"/>
        </w:rPr>
        <w:t>Contract</w:t>
      </w:r>
      <w:r>
        <w:rPr>
          <w:spacing w:val="5"/>
        </w:rPr>
        <w:t xml:space="preserve"> </w:t>
      </w:r>
      <w:r>
        <w:rPr>
          <w:spacing w:val="-1"/>
        </w:rPr>
        <w:t>at</w:t>
      </w:r>
      <w:r>
        <w:rPr>
          <w:spacing w:val="53"/>
        </w:rPr>
        <w:t xml:space="preserve"> </w:t>
      </w:r>
      <w:r>
        <w:rPr>
          <w:spacing w:val="-1"/>
        </w:rPr>
        <w:t>any</w:t>
      </w:r>
      <w:r>
        <w:rPr>
          <w:spacing w:val="10"/>
        </w:rPr>
        <w:t xml:space="preserve"> </w:t>
      </w:r>
      <w:r>
        <w:rPr>
          <w:spacing w:val="-1"/>
        </w:rPr>
        <w:t>time</w:t>
      </w:r>
      <w:r>
        <w:rPr>
          <w:spacing w:val="12"/>
        </w:rPr>
        <w:t xml:space="preserve"> </w:t>
      </w:r>
      <w:r>
        <w:rPr>
          <w:spacing w:val="-1"/>
        </w:rPr>
        <w:t>by</w:t>
      </w:r>
      <w:r>
        <w:rPr>
          <w:spacing w:val="11"/>
        </w:rPr>
        <w:t xml:space="preserve"> </w:t>
      </w:r>
      <w:r>
        <w:rPr>
          <w:spacing w:val="-1"/>
        </w:rPr>
        <w:t>issuing</w:t>
      </w:r>
      <w:r>
        <w:rPr>
          <w:spacing w:val="15"/>
        </w:rPr>
        <w:t xml:space="preserve"> </w:t>
      </w:r>
      <w:r>
        <w:t>a</w:t>
      </w:r>
      <w:r>
        <w:rPr>
          <w:spacing w:val="7"/>
        </w:rPr>
        <w:t xml:space="preserve"> </w:t>
      </w:r>
      <w:r>
        <w:rPr>
          <w:spacing w:val="-1"/>
        </w:rPr>
        <w:t>Termination</w:t>
      </w:r>
      <w:r>
        <w:rPr>
          <w:spacing w:val="12"/>
        </w:rPr>
        <w:t xml:space="preserve"> </w:t>
      </w:r>
      <w:r>
        <w:rPr>
          <w:spacing w:val="-2"/>
        </w:rPr>
        <w:t>Notice</w:t>
      </w:r>
      <w:r>
        <w:rPr>
          <w:spacing w:val="13"/>
        </w:rPr>
        <w:t xml:space="preserve"> </w:t>
      </w:r>
      <w:r>
        <w:t>to</w:t>
      </w:r>
      <w:r>
        <w:rPr>
          <w:spacing w:val="10"/>
        </w:rPr>
        <w:t xml:space="preserve"> </w:t>
      </w:r>
      <w:r>
        <w:t>the</w:t>
      </w:r>
      <w:r>
        <w:rPr>
          <w:spacing w:val="7"/>
        </w:rPr>
        <w:t xml:space="preserve"> </w:t>
      </w:r>
      <w:r>
        <w:rPr>
          <w:spacing w:val="-2"/>
        </w:rPr>
        <w:t>Supplier</w:t>
      </w:r>
      <w:r>
        <w:rPr>
          <w:spacing w:val="14"/>
        </w:rPr>
        <w:t xml:space="preserve"> </w:t>
      </w:r>
      <w:r>
        <w:rPr>
          <w:spacing w:val="-1"/>
        </w:rPr>
        <w:t>giving</w:t>
      </w:r>
      <w:r>
        <w:rPr>
          <w:spacing w:val="17"/>
        </w:rPr>
        <w:t xml:space="preserve"> </w:t>
      </w:r>
      <w:r>
        <w:rPr>
          <w:spacing w:val="-1"/>
        </w:rPr>
        <w:t>written</w:t>
      </w:r>
      <w:r>
        <w:rPr>
          <w:spacing w:val="49"/>
        </w:rPr>
        <w:t xml:space="preserve"> </w:t>
      </w:r>
      <w:r>
        <w:rPr>
          <w:spacing w:val="-1"/>
        </w:rPr>
        <w:t>notice</w:t>
      </w:r>
      <w:r>
        <w:rPr>
          <w:spacing w:val="1"/>
        </w:rPr>
        <w:t xml:space="preserve"> </w:t>
      </w:r>
      <w:r>
        <w:rPr>
          <w:spacing w:val="-2"/>
        </w:rPr>
        <w:t>of</w:t>
      </w:r>
      <w:r>
        <w:rPr>
          <w:spacing w:val="4"/>
        </w:rPr>
        <w:t xml:space="preserve"> </w:t>
      </w:r>
      <w:r>
        <w:rPr>
          <w:spacing w:val="-2"/>
        </w:rPr>
        <w:t>at</w:t>
      </w:r>
      <w:r>
        <w:rPr>
          <w:spacing w:val="2"/>
        </w:rPr>
        <w:t xml:space="preserve"> </w:t>
      </w:r>
      <w:r>
        <w:rPr>
          <w:spacing w:val="-1"/>
        </w:rPr>
        <w:t>least</w:t>
      </w:r>
      <w:r>
        <w:t xml:space="preserve"> the </w:t>
      </w:r>
      <w:r>
        <w:rPr>
          <w:spacing w:val="-1"/>
        </w:rPr>
        <w:t>number</w:t>
      </w:r>
      <w:r>
        <w:rPr>
          <w:spacing w:val="2"/>
        </w:rPr>
        <w:t xml:space="preserve"> </w:t>
      </w:r>
      <w:r>
        <w:rPr>
          <w:spacing w:val="-2"/>
        </w:rPr>
        <w:t>of</w:t>
      </w:r>
      <w:r>
        <w:rPr>
          <w:spacing w:val="2"/>
        </w:rPr>
        <w:t xml:space="preserve"> </w:t>
      </w:r>
      <w:r>
        <w:rPr>
          <w:spacing w:val="-2"/>
        </w:rPr>
        <w:t>days</w:t>
      </w:r>
      <w:r>
        <w:rPr>
          <w:spacing w:val="1"/>
        </w:rPr>
        <w:t xml:space="preserve"> </w:t>
      </w:r>
      <w:r>
        <w:rPr>
          <w:spacing w:val="-1"/>
        </w:rPr>
        <w:t>stipulated,</w:t>
      </w:r>
      <w:r>
        <w:rPr>
          <w:spacing w:val="-3"/>
        </w:rPr>
        <w:t xml:space="preserve"> </w:t>
      </w:r>
      <w:r>
        <w:t>for</w:t>
      </w:r>
      <w:r>
        <w:rPr>
          <w:spacing w:val="-1"/>
        </w:rPr>
        <w:t xml:space="preserve"> </w:t>
      </w:r>
      <w:r>
        <w:t xml:space="preserve">the </w:t>
      </w:r>
      <w:r>
        <w:rPr>
          <w:spacing w:val="-1"/>
        </w:rPr>
        <w:t>purposes</w:t>
      </w:r>
      <w:r>
        <w:rPr>
          <w:spacing w:val="1"/>
        </w:rPr>
        <w:t xml:space="preserve"> </w:t>
      </w:r>
      <w:r>
        <w:rPr>
          <w:spacing w:val="-2"/>
        </w:rPr>
        <w:t>of</w:t>
      </w:r>
      <w:r>
        <w:rPr>
          <w:spacing w:val="2"/>
        </w:rPr>
        <w:t xml:space="preserve"> </w:t>
      </w:r>
      <w:r>
        <w:rPr>
          <w:spacing w:val="-1"/>
        </w:rPr>
        <w:t>this</w:t>
      </w:r>
      <w:r>
        <w:rPr>
          <w:spacing w:val="29"/>
        </w:rPr>
        <w:t xml:space="preserve"> </w:t>
      </w:r>
      <w:r>
        <w:rPr>
          <w:spacing w:val="-2"/>
        </w:rPr>
        <w:t>Clause</w:t>
      </w:r>
      <w:r>
        <w:rPr>
          <w:spacing w:val="1"/>
        </w:rPr>
        <w:t xml:space="preserve"> </w:t>
      </w:r>
      <w:hyperlink w:anchor="_bookmark238" w:history="1">
        <w:r>
          <w:rPr>
            <w:spacing w:val="-1"/>
          </w:rPr>
          <w:t>41.6.1</w:t>
        </w:r>
      </w:hyperlink>
      <w:r>
        <w:rPr>
          <w:spacing w:val="-1"/>
        </w:rPr>
        <w:t>,</w:t>
      </w:r>
      <w:r>
        <w:rPr>
          <w:spacing w:val="2"/>
        </w:rPr>
        <w:t xml:space="preserve"> </w:t>
      </w:r>
      <w:r>
        <w:rPr>
          <w:spacing w:val="-1"/>
        </w:rPr>
        <w:t>in</w:t>
      </w:r>
      <w:r>
        <w:rPr>
          <w:spacing w:val="-2"/>
        </w:rPr>
        <w:t xml:space="preserve"> </w:t>
      </w:r>
      <w:r>
        <w:t>the</w:t>
      </w:r>
      <w:r>
        <w:rPr>
          <w:spacing w:val="-2"/>
        </w:rPr>
        <w:t xml:space="preserve"> Order</w:t>
      </w:r>
      <w:r>
        <w:rPr>
          <w:spacing w:val="2"/>
        </w:rPr>
        <w:t xml:space="preserve"> </w:t>
      </w:r>
      <w:r>
        <w:rPr>
          <w:spacing w:val="-1"/>
        </w:rPr>
        <w:t xml:space="preserve">Form or </w:t>
      </w:r>
      <w:r>
        <w:rPr>
          <w:spacing w:val="-2"/>
        </w:rPr>
        <w:t>elsewhere</w:t>
      </w:r>
      <w:r>
        <w:t xml:space="preserve"> </w:t>
      </w:r>
      <w:r>
        <w:rPr>
          <w:spacing w:val="-1"/>
        </w:rPr>
        <w:t>in</w:t>
      </w:r>
      <w:r>
        <w:t xml:space="preserve"> </w:t>
      </w:r>
      <w:r>
        <w:rPr>
          <w:spacing w:val="-2"/>
        </w:rPr>
        <w:t>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Heading1"/>
        <w:numPr>
          <w:ilvl w:val="1"/>
          <w:numId w:val="62"/>
        </w:numPr>
        <w:tabs>
          <w:tab w:val="left" w:pos="1233"/>
        </w:tabs>
        <w:ind w:left="1232" w:hanging="564"/>
        <w:jc w:val="left"/>
        <w:rPr>
          <w:b w:val="0"/>
          <w:bCs w:val="0"/>
        </w:rPr>
      </w:pPr>
      <w:bookmarkStart w:id="284" w:name="_bookmark239"/>
      <w:bookmarkEnd w:id="284"/>
      <w:r>
        <w:rPr>
          <w:spacing w:val="-1"/>
        </w:rPr>
        <w:t>Termination</w:t>
      </w:r>
      <w:r>
        <w:rPr>
          <w:spacing w:val="-2"/>
        </w:rPr>
        <w:t xml:space="preserve"> </w:t>
      </w:r>
      <w:r>
        <w:t>in</w:t>
      </w:r>
      <w:r>
        <w:rPr>
          <w:spacing w:val="-2"/>
        </w:rPr>
        <w:t xml:space="preserve"> </w:t>
      </w:r>
      <w:r>
        <w:rPr>
          <w:spacing w:val="-1"/>
        </w:rPr>
        <w:t>Relation</w:t>
      </w:r>
      <w:r>
        <w:rPr>
          <w:spacing w:val="-2"/>
        </w:rPr>
        <w:t xml:space="preserve"> </w:t>
      </w:r>
      <w:r>
        <w:t>to</w:t>
      </w:r>
      <w:r>
        <w:rPr>
          <w:spacing w:val="-2"/>
        </w:rPr>
        <w:t xml:space="preserve"> </w:t>
      </w:r>
      <w:r>
        <w:rPr>
          <w:spacing w:val="-1"/>
        </w:rPr>
        <w:t>Framework</w:t>
      </w:r>
      <w:r>
        <w:t xml:space="preserve"> </w:t>
      </w:r>
      <w:r>
        <w:rPr>
          <w:spacing w:val="-2"/>
        </w:rPr>
        <w:t>Agreement</w:t>
      </w:r>
    </w:p>
    <w:p w:rsidR="008918FA" w:rsidRDefault="008918FA" w:rsidP="008918FA">
      <w:pPr>
        <w:pStyle w:val="BodyText"/>
        <w:numPr>
          <w:ilvl w:val="2"/>
          <w:numId w:val="62"/>
        </w:numPr>
        <w:tabs>
          <w:tab w:val="left" w:pos="2227"/>
        </w:tabs>
        <w:spacing w:before="124"/>
        <w:ind w:left="2226" w:right="114"/>
        <w:jc w:val="both"/>
      </w:pPr>
      <w:r>
        <w:t xml:space="preserve">The </w:t>
      </w:r>
      <w:r>
        <w:rPr>
          <w:spacing w:val="-2"/>
        </w:rPr>
        <w:t>Customer</w:t>
      </w:r>
      <w:r>
        <w:rPr>
          <w:spacing w:val="2"/>
        </w:rPr>
        <w:t xml:space="preserve"> </w:t>
      </w:r>
      <w:r>
        <w:rPr>
          <w:spacing w:val="-1"/>
        </w:rPr>
        <w:t>may</w:t>
      </w:r>
      <w:r>
        <w:rPr>
          <w:spacing w:val="-2"/>
        </w:rPr>
        <w:t xml:space="preserve"> </w:t>
      </w:r>
      <w:r>
        <w:rPr>
          <w:spacing w:val="-1"/>
        </w:rPr>
        <w:t>terminate</w:t>
      </w:r>
      <w: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1"/>
        </w:rPr>
        <w:t>Contract</w:t>
      </w:r>
      <w:r>
        <w:rPr>
          <w:spacing w:val="3"/>
        </w:rPr>
        <w:t xml:space="preserve"> </w:t>
      </w:r>
      <w:r>
        <w:rPr>
          <w:spacing w:val="-1"/>
        </w:rPr>
        <w:t>by</w:t>
      </w:r>
      <w:r>
        <w:rPr>
          <w:spacing w:val="-2"/>
        </w:rPr>
        <w:t xml:space="preserve"> </w:t>
      </w:r>
      <w:r>
        <w:rPr>
          <w:spacing w:val="-1"/>
        </w:rPr>
        <w:t>giving</w:t>
      </w:r>
      <w:r>
        <w:rPr>
          <w:spacing w:val="3"/>
        </w:rPr>
        <w:t xml:space="preserve"> </w:t>
      </w:r>
      <w:r>
        <w:rPr>
          <w:spacing w:val="-1"/>
        </w:rPr>
        <w:t>by</w:t>
      </w:r>
      <w:r>
        <w:rPr>
          <w:spacing w:val="-2"/>
        </w:rPr>
        <w:t xml:space="preserve"> issuing</w:t>
      </w:r>
      <w:r>
        <w:rPr>
          <w:spacing w:val="54"/>
        </w:rPr>
        <w:t xml:space="preserve"> </w:t>
      </w:r>
      <w:r>
        <w:t>a</w:t>
      </w:r>
      <w:r>
        <w:rPr>
          <w:spacing w:val="34"/>
        </w:rPr>
        <w:t xml:space="preserve"> </w:t>
      </w:r>
      <w:r>
        <w:rPr>
          <w:spacing w:val="-1"/>
        </w:rPr>
        <w:t>Termination</w:t>
      </w:r>
      <w:r>
        <w:rPr>
          <w:spacing w:val="34"/>
        </w:rPr>
        <w:t xml:space="preserve"> </w:t>
      </w:r>
      <w:r>
        <w:rPr>
          <w:spacing w:val="-1"/>
        </w:rPr>
        <w:t>Notice</w:t>
      </w:r>
      <w:r>
        <w:rPr>
          <w:spacing w:val="34"/>
        </w:rPr>
        <w:t xml:space="preserve"> </w:t>
      </w:r>
      <w:r>
        <w:t>to</w:t>
      </w:r>
      <w:r>
        <w:rPr>
          <w:spacing w:val="31"/>
        </w:rPr>
        <w:t xml:space="preserve"> </w:t>
      </w:r>
      <w:r>
        <w:t>the</w:t>
      </w:r>
      <w:r>
        <w:rPr>
          <w:spacing w:val="34"/>
        </w:rPr>
        <w:t xml:space="preserve"> </w:t>
      </w:r>
      <w:r>
        <w:rPr>
          <w:spacing w:val="-2"/>
        </w:rPr>
        <w:t>Supplier</w:t>
      </w:r>
      <w:r>
        <w:rPr>
          <w:spacing w:val="35"/>
        </w:rPr>
        <w:t xml:space="preserve"> </w:t>
      </w:r>
      <w:r>
        <w:t>if</w:t>
      </w:r>
      <w:r>
        <w:rPr>
          <w:spacing w:val="39"/>
        </w:rPr>
        <w:t xml:space="preserve"> </w:t>
      </w:r>
      <w:r>
        <w:t>the</w:t>
      </w:r>
      <w:r>
        <w:rPr>
          <w:spacing w:val="34"/>
        </w:rPr>
        <w:t xml:space="preserve"> </w:t>
      </w:r>
      <w:r>
        <w:rPr>
          <w:spacing w:val="-2"/>
        </w:rPr>
        <w:t>Framework</w:t>
      </w:r>
      <w:r>
        <w:rPr>
          <w:spacing w:val="37"/>
        </w:rPr>
        <w:t xml:space="preserve"> </w:t>
      </w:r>
      <w:r>
        <w:rPr>
          <w:spacing w:val="-1"/>
        </w:rPr>
        <w:t>Agreement</w:t>
      </w:r>
      <w:r>
        <w:rPr>
          <w:spacing w:val="35"/>
        </w:rPr>
        <w:t xml:space="preserve"> </w:t>
      </w:r>
      <w:r>
        <w:rPr>
          <w:spacing w:val="-1"/>
        </w:rPr>
        <w:t>is</w:t>
      </w:r>
      <w:r>
        <w:rPr>
          <w:spacing w:val="45"/>
        </w:rPr>
        <w:t xml:space="preserve"> </w:t>
      </w:r>
      <w:r>
        <w:rPr>
          <w:spacing w:val="-1"/>
        </w:rPr>
        <w:t>terminated</w:t>
      </w:r>
      <w:r>
        <w:rPr>
          <w:spacing w:val="-2"/>
        </w:rPr>
        <w:t xml:space="preserve"> </w:t>
      </w:r>
      <w:r>
        <w:t>for</w:t>
      </w:r>
      <w:r>
        <w:rPr>
          <w:spacing w:val="-1"/>
        </w:rPr>
        <w:t xml:space="preserve"> any</w:t>
      </w:r>
      <w:r>
        <w:rPr>
          <w:spacing w:val="-2"/>
        </w:rPr>
        <w:t xml:space="preserve"> </w:t>
      </w:r>
      <w:r>
        <w:rPr>
          <w:spacing w:val="-1"/>
        </w:rPr>
        <w:t>reason</w:t>
      </w:r>
      <w:r>
        <w:t xml:space="preserve"> </w:t>
      </w:r>
      <w:r>
        <w:rPr>
          <w:spacing w:val="-1"/>
        </w:rPr>
        <w:t>whatsoever.</w:t>
      </w:r>
    </w:p>
    <w:p w:rsidR="008918FA" w:rsidRDefault="008918FA" w:rsidP="008918FA">
      <w:pPr>
        <w:pStyle w:val="Heading1"/>
        <w:numPr>
          <w:ilvl w:val="1"/>
          <w:numId w:val="62"/>
        </w:numPr>
        <w:tabs>
          <w:tab w:val="left" w:pos="1234"/>
        </w:tabs>
        <w:ind w:left="1233" w:hanging="564"/>
        <w:jc w:val="left"/>
        <w:rPr>
          <w:b w:val="0"/>
          <w:bCs w:val="0"/>
        </w:rPr>
      </w:pPr>
      <w:bookmarkStart w:id="285" w:name="_bookmark240"/>
      <w:bookmarkEnd w:id="285"/>
      <w:r>
        <w:rPr>
          <w:spacing w:val="-1"/>
        </w:rPr>
        <w:t>Termination</w:t>
      </w:r>
      <w:r>
        <w:rPr>
          <w:spacing w:val="-2"/>
        </w:rPr>
        <w:t xml:space="preserve"> </w:t>
      </w:r>
      <w:r>
        <w:t>In</w:t>
      </w:r>
      <w:r>
        <w:rPr>
          <w:spacing w:val="-2"/>
        </w:rPr>
        <w:t xml:space="preserve"> </w:t>
      </w:r>
      <w:r>
        <w:rPr>
          <w:spacing w:val="-1"/>
        </w:rPr>
        <w:t>Relation</w:t>
      </w:r>
      <w:r>
        <w:rPr>
          <w:spacing w:val="-2"/>
        </w:rPr>
        <w:t xml:space="preserve"> </w:t>
      </w:r>
      <w:r>
        <w:t>to</w:t>
      </w:r>
      <w:r>
        <w:rPr>
          <w:spacing w:val="-2"/>
        </w:rPr>
        <w:t xml:space="preserve"> </w:t>
      </w:r>
      <w:r>
        <w:rPr>
          <w:spacing w:val="-1"/>
        </w:rPr>
        <w:t>Benchmarking</w:t>
      </w:r>
    </w:p>
    <w:p w:rsidR="008918FA" w:rsidRDefault="008918FA" w:rsidP="008918FA">
      <w:pPr>
        <w:pStyle w:val="BodyText"/>
        <w:numPr>
          <w:ilvl w:val="2"/>
          <w:numId w:val="62"/>
        </w:numPr>
        <w:tabs>
          <w:tab w:val="left" w:pos="2227"/>
        </w:tabs>
        <w:spacing w:before="121"/>
        <w:ind w:left="2227" w:right="110"/>
        <w:jc w:val="both"/>
      </w:pPr>
      <w:r>
        <w:t>The</w:t>
      </w:r>
      <w:r>
        <w:rPr>
          <w:spacing w:val="13"/>
        </w:rPr>
        <w:t xml:space="preserve"> </w:t>
      </w:r>
      <w:r>
        <w:rPr>
          <w:spacing w:val="-2"/>
        </w:rPr>
        <w:t>Customer</w:t>
      </w:r>
      <w:r>
        <w:rPr>
          <w:spacing w:val="15"/>
        </w:rPr>
        <w:t xml:space="preserve"> </w:t>
      </w:r>
      <w:r>
        <w:rPr>
          <w:spacing w:val="-1"/>
        </w:rPr>
        <w:t>may</w:t>
      </w:r>
      <w:r>
        <w:rPr>
          <w:spacing w:val="12"/>
        </w:rPr>
        <w:t xml:space="preserve"> </w:t>
      </w:r>
      <w:r>
        <w:rPr>
          <w:spacing w:val="-1"/>
        </w:rPr>
        <w:t>terminate</w:t>
      </w:r>
      <w:r>
        <w:rPr>
          <w:spacing w:val="13"/>
        </w:rPr>
        <w:t xml:space="preserve"> </w:t>
      </w:r>
      <w:r>
        <w:rPr>
          <w:spacing w:val="-1"/>
        </w:rPr>
        <w:t>this</w:t>
      </w:r>
      <w:r>
        <w:rPr>
          <w:spacing w:val="14"/>
        </w:rPr>
        <w:t xml:space="preserve"> </w:t>
      </w:r>
      <w:r>
        <w:rPr>
          <w:spacing w:val="-2"/>
        </w:rPr>
        <w:t>Call</w:t>
      </w:r>
      <w:r>
        <w:rPr>
          <w:spacing w:val="13"/>
        </w:rPr>
        <w:t xml:space="preserve"> </w:t>
      </w:r>
      <w:r>
        <w:rPr>
          <w:spacing w:val="-1"/>
        </w:rPr>
        <w:t>Off</w:t>
      </w:r>
      <w:r>
        <w:rPr>
          <w:spacing w:val="17"/>
        </w:rPr>
        <w:t xml:space="preserve"> </w:t>
      </w:r>
      <w:r>
        <w:rPr>
          <w:spacing w:val="-2"/>
        </w:rPr>
        <w:t>Contract</w:t>
      </w:r>
      <w:r>
        <w:rPr>
          <w:spacing w:val="15"/>
        </w:rPr>
        <w:t xml:space="preserve"> </w:t>
      </w:r>
      <w:r>
        <w:rPr>
          <w:spacing w:val="-1"/>
        </w:rPr>
        <w:t>by</w:t>
      </w:r>
      <w:r>
        <w:rPr>
          <w:spacing w:val="13"/>
        </w:rPr>
        <w:t xml:space="preserve"> </w:t>
      </w:r>
      <w:r>
        <w:rPr>
          <w:spacing w:val="-1"/>
        </w:rPr>
        <w:t>issuing</w:t>
      </w:r>
      <w:r>
        <w:rPr>
          <w:spacing w:val="16"/>
        </w:rPr>
        <w:t xml:space="preserve"> </w:t>
      </w:r>
      <w:r>
        <w:t>a</w:t>
      </w:r>
      <w:r>
        <w:rPr>
          <w:spacing w:val="59"/>
        </w:rPr>
        <w:t xml:space="preserve"> </w:t>
      </w:r>
      <w:r>
        <w:rPr>
          <w:spacing w:val="-1"/>
        </w:rPr>
        <w:t>Termination</w:t>
      </w:r>
      <w:r>
        <w:rPr>
          <w:spacing w:val="41"/>
        </w:rPr>
        <w:t xml:space="preserve"> </w:t>
      </w:r>
      <w:r>
        <w:rPr>
          <w:spacing w:val="-2"/>
        </w:rPr>
        <w:t>Notice</w:t>
      </w:r>
      <w:r>
        <w:rPr>
          <w:spacing w:val="41"/>
        </w:rPr>
        <w:t xml:space="preserve"> </w:t>
      </w:r>
      <w:r>
        <w:t>to</w:t>
      </w:r>
      <w:r>
        <w:rPr>
          <w:spacing w:val="38"/>
        </w:rPr>
        <w:t xml:space="preserve"> </w:t>
      </w:r>
      <w:r>
        <w:rPr>
          <w:spacing w:val="-1"/>
        </w:rPr>
        <w:t>the</w:t>
      </w:r>
      <w:r>
        <w:rPr>
          <w:spacing w:val="41"/>
        </w:rPr>
        <w:t xml:space="preserve"> </w:t>
      </w:r>
      <w:r>
        <w:rPr>
          <w:spacing w:val="-2"/>
        </w:rPr>
        <w:t>Supplier</w:t>
      </w:r>
      <w:r>
        <w:rPr>
          <w:spacing w:val="44"/>
        </w:rPr>
        <w:t xml:space="preserve"> </w:t>
      </w:r>
      <w:r>
        <w:rPr>
          <w:spacing w:val="-1"/>
        </w:rPr>
        <w:t>if</w:t>
      </w:r>
      <w:r>
        <w:rPr>
          <w:spacing w:val="42"/>
        </w:rPr>
        <w:t xml:space="preserve"> </w:t>
      </w:r>
      <w:r>
        <w:t>the</w:t>
      </w:r>
      <w:r>
        <w:rPr>
          <w:spacing w:val="39"/>
        </w:rPr>
        <w:t xml:space="preserve"> </w:t>
      </w:r>
      <w:r>
        <w:rPr>
          <w:spacing w:val="-2"/>
        </w:rPr>
        <w:t>Supplier</w:t>
      </w:r>
      <w:r>
        <w:rPr>
          <w:spacing w:val="42"/>
        </w:rPr>
        <w:t xml:space="preserve"> </w:t>
      </w:r>
      <w:r>
        <w:rPr>
          <w:spacing w:val="-1"/>
        </w:rPr>
        <w:t>refuses</w:t>
      </w:r>
      <w:r>
        <w:rPr>
          <w:spacing w:val="41"/>
        </w:rPr>
        <w:t xml:space="preserve"> </w:t>
      </w:r>
      <w:r>
        <w:rPr>
          <w:spacing w:val="-2"/>
        </w:rPr>
        <w:t>or</w:t>
      </w:r>
      <w:r>
        <w:rPr>
          <w:spacing w:val="41"/>
        </w:rPr>
        <w:t xml:space="preserve"> </w:t>
      </w:r>
      <w:r>
        <w:rPr>
          <w:spacing w:val="-1"/>
        </w:rPr>
        <w:t>fails</w:t>
      </w:r>
      <w:r>
        <w:rPr>
          <w:spacing w:val="39"/>
        </w:rPr>
        <w:t xml:space="preserve"> </w:t>
      </w:r>
      <w:r>
        <w:t>to</w:t>
      </w:r>
      <w:r>
        <w:rPr>
          <w:spacing w:val="65"/>
        </w:rPr>
        <w:t xml:space="preserve"> </w:t>
      </w:r>
      <w:r>
        <w:rPr>
          <w:spacing w:val="-1"/>
        </w:rPr>
        <w:t>comply</w:t>
      </w:r>
      <w:r>
        <w:rPr>
          <w:spacing w:val="14"/>
        </w:rPr>
        <w:t xml:space="preserve"> </w:t>
      </w:r>
      <w:r>
        <w:rPr>
          <w:spacing w:val="-2"/>
        </w:rPr>
        <w:t>with</w:t>
      </w:r>
      <w:r>
        <w:rPr>
          <w:spacing w:val="14"/>
        </w:rPr>
        <w:t xml:space="preserve"> </w:t>
      </w:r>
      <w:r>
        <w:rPr>
          <w:spacing w:val="-1"/>
        </w:rPr>
        <w:t>its</w:t>
      </w:r>
      <w:r>
        <w:rPr>
          <w:spacing w:val="14"/>
        </w:rPr>
        <w:t xml:space="preserve"> </w:t>
      </w:r>
      <w:r>
        <w:rPr>
          <w:spacing w:val="-1"/>
        </w:rPr>
        <w:t>obligations</w:t>
      </w:r>
      <w:r>
        <w:rPr>
          <w:spacing w:val="14"/>
        </w:rPr>
        <w:t xml:space="preserve"> </w:t>
      </w:r>
      <w:r>
        <w:rPr>
          <w:spacing w:val="-1"/>
        </w:rPr>
        <w:t>as</w:t>
      </w:r>
      <w:r>
        <w:rPr>
          <w:spacing w:val="14"/>
        </w:rPr>
        <w:t xml:space="preserve"> </w:t>
      </w:r>
      <w:r>
        <w:rPr>
          <w:spacing w:val="-1"/>
        </w:rPr>
        <w:t>set</w:t>
      </w:r>
      <w:r>
        <w:rPr>
          <w:spacing w:val="15"/>
        </w:rPr>
        <w:t xml:space="preserve"> </w:t>
      </w:r>
      <w:r>
        <w:rPr>
          <w:spacing w:val="-1"/>
        </w:rPr>
        <w:t>out</w:t>
      </w:r>
      <w:r>
        <w:rPr>
          <w:spacing w:val="15"/>
        </w:rPr>
        <w:t xml:space="preserve"> </w:t>
      </w:r>
      <w:r>
        <w:rPr>
          <w:spacing w:val="-1"/>
        </w:rPr>
        <w:t>in</w:t>
      </w:r>
      <w:r>
        <w:rPr>
          <w:spacing w:val="14"/>
        </w:rPr>
        <w:t xml:space="preserve"> </w:t>
      </w:r>
      <w:r>
        <w:rPr>
          <w:spacing w:val="-1"/>
        </w:rPr>
        <w:t>paragraphs</w:t>
      </w:r>
      <w:r>
        <w:rPr>
          <w:spacing w:val="14"/>
        </w:rPr>
        <w:t xml:space="preserve"> </w:t>
      </w:r>
      <w:r>
        <w:t>1</w:t>
      </w:r>
      <w:r>
        <w:rPr>
          <w:spacing w:val="13"/>
        </w:rPr>
        <w:t xml:space="preserve"> </w:t>
      </w:r>
      <w:r>
        <w:rPr>
          <w:spacing w:val="-1"/>
        </w:rPr>
        <w:t>and</w:t>
      </w:r>
      <w:r>
        <w:rPr>
          <w:spacing w:val="13"/>
        </w:rPr>
        <w:t xml:space="preserve"> </w:t>
      </w:r>
      <w:r>
        <w:t>2</w:t>
      </w:r>
      <w:r>
        <w:rPr>
          <w:spacing w:val="14"/>
        </w:rPr>
        <w:t xml:space="preserve"> </w:t>
      </w:r>
      <w:r>
        <w:rPr>
          <w:spacing w:val="-1"/>
        </w:rPr>
        <w:t>of</w:t>
      </w:r>
      <w:r>
        <w:rPr>
          <w:spacing w:val="42"/>
        </w:rPr>
        <w:t xml:space="preserve"> </w:t>
      </w:r>
      <w:r>
        <w:rPr>
          <w:spacing w:val="-2"/>
        </w:rPr>
        <w:t>Framework</w:t>
      </w:r>
      <w:r>
        <w:rPr>
          <w:spacing w:val="61"/>
        </w:rPr>
        <w:t xml:space="preserve"> </w:t>
      </w:r>
      <w:r>
        <w:rPr>
          <w:spacing w:val="-1"/>
        </w:rPr>
        <w:t>Schedule</w:t>
      </w:r>
      <w:r>
        <w:rPr>
          <w:spacing w:val="58"/>
        </w:rPr>
        <w:t xml:space="preserve"> </w:t>
      </w:r>
      <w:r>
        <w:rPr>
          <w:spacing w:val="-1"/>
        </w:rPr>
        <w:t>12</w:t>
      </w:r>
      <w:r>
        <w:rPr>
          <w:spacing w:val="59"/>
        </w:rPr>
        <w:t xml:space="preserve"> </w:t>
      </w:r>
      <w:r>
        <w:rPr>
          <w:spacing w:val="-1"/>
        </w:rPr>
        <w:t>(Continuous</w:t>
      </w:r>
      <w:r>
        <w:rPr>
          <w:spacing w:val="56"/>
        </w:rPr>
        <w:t xml:space="preserve"> </w:t>
      </w:r>
      <w:r>
        <w:rPr>
          <w:spacing w:val="-1"/>
        </w:rPr>
        <w:t>Improvement</w:t>
      </w:r>
      <w:r>
        <w:rPr>
          <w:spacing w:val="59"/>
        </w:rPr>
        <w:t xml:space="preserve"> </w:t>
      </w:r>
      <w:r>
        <w:rPr>
          <w:spacing w:val="-1"/>
        </w:rPr>
        <w:t>and</w:t>
      </w:r>
      <w:r>
        <w:rPr>
          <w:spacing w:val="28"/>
        </w:rPr>
        <w:t xml:space="preserve"> </w:t>
      </w:r>
      <w:r>
        <w:rPr>
          <w:spacing w:val="-1"/>
        </w:rPr>
        <w:t>Benchmarking).</w:t>
      </w:r>
    </w:p>
    <w:p w:rsidR="008918FA" w:rsidRDefault="008918FA" w:rsidP="008918FA">
      <w:pPr>
        <w:pStyle w:val="Heading1"/>
        <w:numPr>
          <w:ilvl w:val="1"/>
          <w:numId w:val="62"/>
        </w:numPr>
        <w:tabs>
          <w:tab w:val="left" w:pos="1234"/>
        </w:tabs>
        <w:ind w:left="1233" w:hanging="564"/>
        <w:jc w:val="left"/>
        <w:rPr>
          <w:b w:val="0"/>
          <w:bCs w:val="0"/>
        </w:rPr>
      </w:pPr>
      <w:bookmarkStart w:id="286" w:name="_bookmark241"/>
      <w:bookmarkEnd w:id="286"/>
      <w:r>
        <w:rPr>
          <w:spacing w:val="-1"/>
        </w:rPr>
        <w:t>Termination</w:t>
      </w:r>
      <w:r>
        <w:rPr>
          <w:spacing w:val="-2"/>
        </w:rPr>
        <w:t xml:space="preserve"> </w:t>
      </w:r>
      <w:r>
        <w:t>in</w:t>
      </w:r>
      <w:r>
        <w:rPr>
          <w:spacing w:val="-2"/>
        </w:rPr>
        <w:t xml:space="preserve"> </w:t>
      </w:r>
      <w:r>
        <w:rPr>
          <w:spacing w:val="-1"/>
        </w:rPr>
        <w:t>Relation</w:t>
      </w:r>
      <w:r>
        <w:rPr>
          <w:spacing w:val="-2"/>
        </w:rPr>
        <w:t xml:space="preserve"> </w:t>
      </w:r>
      <w:r>
        <w:t>to</w:t>
      </w:r>
      <w:r>
        <w:rPr>
          <w:spacing w:val="-2"/>
        </w:rPr>
        <w:t xml:space="preserve"> </w:t>
      </w:r>
      <w:r>
        <w:rPr>
          <w:spacing w:val="-1"/>
        </w:rPr>
        <w:t>Variation</w:t>
      </w:r>
    </w:p>
    <w:p w:rsidR="008918FA" w:rsidRDefault="008918FA" w:rsidP="008918FA">
      <w:pPr>
        <w:pStyle w:val="BodyText"/>
        <w:numPr>
          <w:ilvl w:val="2"/>
          <w:numId w:val="62"/>
        </w:numPr>
        <w:tabs>
          <w:tab w:val="left" w:pos="2228"/>
        </w:tabs>
        <w:spacing w:before="124"/>
        <w:ind w:left="2227" w:right="113"/>
        <w:jc w:val="both"/>
      </w:pPr>
      <w:r>
        <w:t>The</w:t>
      </w:r>
      <w:r>
        <w:rPr>
          <w:spacing w:val="13"/>
        </w:rPr>
        <w:t xml:space="preserve"> </w:t>
      </w:r>
      <w:r>
        <w:rPr>
          <w:spacing w:val="-2"/>
        </w:rPr>
        <w:t>Customer</w:t>
      </w:r>
      <w:r>
        <w:rPr>
          <w:spacing w:val="15"/>
        </w:rPr>
        <w:t xml:space="preserve"> </w:t>
      </w:r>
      <w:r>
        <w:rPr>
          <w:spacing w:val="-1"/>
        </w:rPr>
        <w:t>may</w:t>
      </w:r>
      <w:r>
        <w:rPr>
          <w:spacing w:val="12"/>
        </w:rPr>
        <w:t xml:space="preserve"> </w:t>
      </w:r>
      <w:r>
        <w:rPr>
          <w:spacing w:val="-1"/>
        </w:rPr>
        <w:t>terminate</w:t>
      </w:r>
      <w:r>
        <w:rPr>
          <w:spacing w:val="13"/>
        </w:rPr>
        <w:t xml:space="preserve"> </w:t>
      </w:r>
      <w:r>
        <w:rPr>
          <w:spacing w:val="-1"/>
        </w:rPr>
        <w:t>this</w:t>
      </w:r>
      <w:r>
        <w:rPr>
          <w:spacing w:val="14"/>
        </w:rPr>
        <w:t xml:space="preserve"> </w:t>
      </w:r>
      <w:r>
        <w:rPr>
          <w:spacing w:val="-2"/>
        </w:rPr>
        <w:t>Call</w:t>
      </w:r>
      <w:r>
        <w:rPr>
          <w:spacing w:val="13"/>
        </w:rPr>
        <w:t xml:space="preserve"> </w:t>
      </w:r>
      <w:r>
        <w:rPr>
          <w:spacing w:val="-1"/>
        </w:rPr>
        <w:t>Off</w:t>
      </w:r>
      <w:r>
        <w:rPr>
          <w:spacing w:val="17"/>
        </w:rPr>
        <w:t xml:space="preserve"> </w:t>
      </w:r>
      <w:r>
        <w:rPr>
          <w:spacing w:val="-2"/>
        </w:rPr>
        <w:t>Contract</w:t>
      </w:r>
      <w:r>
        <w:rPr>
          <w:spacing w:val="15"/>
        </w:rPr>
        <w:t xml:space="preserve"> </w:t>
      </w:r>
      <w:r>
        <w:rPr>
          <w:spacing w:val="-1"/>
        </w:rPr>
        <w:t>by</w:t>
      </w:r>
      <w:r>
        <w:rPr>
          <w:spacing w:val="12"/>
        </w:rPr>
        <w:t xml:space="preserve"> </w:t>
      </w:r>
      <w:r>
        <w:rPr>
          <w:spacing w:val="-1"/>
        </w:rPr>
        <w:t>issuing</w:t>
      </w:r>
      <w:r>
        <w:rPr>
          <w:spacing w:val="16"/>
        </w:rPr>
        <w:t xml:space="preserve"> </w:t>
      </w:r>
      <w:r>
        <w:t>a</w:t>
      </w:r>
      <w:r>
        <w:rPr>
          <w:spacing w:val="59"/>
        </w:rPr>
        <w:t xml:space="preserve"> </w:t>
      </w:r>
      <w:r>
        <w:rPr>
          <w:spacing w:val="-1"/>
        </w:rPr>
        <w:t>Termination</w:t>
      </w:r>
      <w:r>
        <w:rPr>
          <w:spacing w:val="10"/>
        </w:rPr>
        <w:t xml:space="preserve"> </w:t>
      </w:r>
      <w:r>
        <w:rPr>
          <w:spacing w:val="-1"/>
        </w:rPr>
        <w:t>Notice</w:t>
      </w:r>
      <w:r>
        <w:rPr>
          <w:spacing w:val="11"/>
        </w:rPr>
        <w:t xml:space="preserve"> </w:t>
      </w:r>
      <w:r>
        <w:t>to</w:t>
      </w:r>
      <w:r>
        <w:rPr>
          <w:spacing w:val="7"/>
        </w:rPr>
        <w:t xml:space="preserve"> </w:t>
      </w:r>
      <w:r>
        <w:rPr>
          <w:spacing w:val="-1"/>
        </w:rPr>
        <w:t>the</w:t>
      </w:r>
      <w:r>
        <w:rPr>
          <w:spacing w:val="10"/>
        </w:rPr>
        <w:t xml:space="preserve"> </w:t>
      </w:r>
      <w:r>
        <w:rPr>
          <w:spacing w:val="-2"/>
        </w:rPr>
        <w:t>Supplier</w:t>
      </w:r>
      <w:r>
        <w:rPr>
          <w:spacing w:val="12"/>
        </w:rPr>
        <w:t xml:space="preserve"> </w:t>
      </w:r>
      <w:r>
        <w:t>for</w:t>
      </w:r>
      <w:r>
        <w:rPr>
          <w:spacing w:val="9"/>
        </w:rPr>
        <w:t xml:space="preserve"> </w:t>
      </w:r>
      <w:r>
        <w:rPr>
          <w:spacing w:val="-1"/>
        </w:rPr>
        <w:t>failure</w:t>
      </w:r>
      <w:r>
        <w:rPr>
          <w:spacing w:val="10"/>
        </w:rPr>
        <w:t xml:space="preserve"> </w:t>
      </w:r>
      <w:r>
        <w:rPr>
          <w:spacing w:val="-2"/>
        </w:rPr>
        <w:t>of</w:t>
      </w:r>
      <w:r>
        <w:rPr>
          <w:spacing w:val="14"/>
        </w:rPr>
        <w:t xml:space="preserve"> </w:t>
      </w:r>
      <w:r>
        <w:rPr>
          <w:spacing w:val="-1"/>
        </w:rPr>
        <w:t>the</w:t>
      </w:r>
      <w:r>
        <w:rPr>
          <w:spacing w:val="10"/>
        </w:rPr>
        <w:t xml:space="preserve"> </w:t>
      </w:r>
      <w:r>
        <w:rPr>
          <w:spacing w:val="-1"/>
        </w:rPr>
        <w:t>Parties</w:t>
      </w:r>
      <w:r>
        <w:rPr>
          <w:spacing w:val="10"/>
        </w:rPr>
        <w:t xml:space="preserve"> </w:t>
      </w:r>
      <w:r>
        <w:t>to</w:t>
      </w:r>
      <w:r>
        <w:rPr>
          <w:spacing w:val="10"/>
        </w:rPr>
        <w:t xml:space="preserve"> </w:t>
      </w:r>
      <w:r>
        <w:rPr>
          <w:spacing w:val="-1"/>
        </w:rPr>
        <w:t>agree</w:t>
      </w:r>
      <w:r>
        <w:rPr>
          <w:spacing w:val="10"/>
        </w:rPr>
        <w:t xml:space="preserve"> </w:t>
      </w:r>
      <w:r>
        <w:rPr>
          <w:spacing w:val="-1"/>
        </w:rPr>
        <w:t>or</w:t>
      </w:r>
      <w:r>
        <w:rPr>
          <w:spacing w:val="52"/>
        </w:rPr>
        <w:t xml:space="preserve"> </w:t>
      </w:r>
      <w:r>
        <w:t>the</w:t>
      </w:r>
      <w:r>
        <w:rPr>
          <w:spacing w:val="12"/>
        </w:rPr>
        <w:t xml:space="preserve"> </w:t>
      </w:r>
      <w:r>
        <w:rPr>
          <w:spacing w:val="-2"/>
        </w:rPr>
        <w:t>Supplier</w:t>
      </w:r>
      <w:r>
        <w:rPr>
          <w:spacing w:val="14"/>
        </w:rPr>
        <w:t xml:space="preserve"> </w:t>
      </w:r>
      <w:r>
        <w:t>to</w:t>
      </w:r>
      <w:r>
        <w:rPr>
          <w:spacing w:val="12"/>
        </w:rPr>
        <w:t xml:space="preserve"> </w:t>
      </w:r>
      <w:r>
        <w:rPr>
          <w:spacing w:val="-2"/>
        </w:rPr>
        <w:t>implement</w:t>
      </w:r>
      <w:r>
        <w:rPr>
          <w:spacing w:val="14"/>
        </w:rPr>
        <w:t xml:space="preserve"> </w:t>
      </w:r>
      <w:r>
        <w:t>a</w:t>
      </w:r>
      <w:r>
        <w:rPr>
          <w:spacing w:val="12"/>
        </w:rPr>
        <w:t xml:space="preserve"> </w:t>
      </w:r>
      <w:r>
        <w:rPr>
          <w:spacing w:val="-1"/>
        </w:rPr>
        <w:t>Variation</w:t>
      </w:r>
      <w:r>
        <w:rPr>
          <w:spacing w:val="12"/>
        </w:rPr>
        <w:t xml:space="preserve"> </w:t>
      </w:r>
      <w:r>
        <w:rPr>
          <w:spacing w:val="-1"/>
        </w:rPr>
        <w:t>in</w:t>
      </w:r>
      <w:r>
        <w:rPr>
          <w:spacing w:val="12"/>
        </w:rPr>
        <w:t xml:space="preserve"> </w:t>
      </w:r>
      <w:r>
        <w:rPr>
          <w:spacing w:val="-1"/>
        </w:rPr>
        <w:t>accordance</w:t>
      </w:r>
      <w:r>
        <w:rPr>
          <w:spacing w:val="13"/>
        </w:rPr>
        <w:t xml:space="preserve"> </w:t>
      </w:r>
      <w:r>
        <w:rPr>
          <w:spacing w:val="-1"/>
        </w:rPr>
        <w:t>with</w:t>
      </w:r>
      <w:r>
        <w:rPr>
          <w:spacing w:val="12"/>
        </w:rPr>
        <w:t xml:space="preserve"> </w:t>
      </w:r>
      <w:r>
        <w:t>the</w:t>
      </w:r>
      <w:r>
        <w:rPr>
          <w:spacing w:val="12"/>
        </w:rPr>
        <w:t xml:space="preserve"> </w:t>
      </w:r>
      <w:r>
        <w:rPr>
          <w:spacing w:val="-1"/>
        </w:rPr>
        <w:t>Variation</w:t>
      </w:r>
      <w:r>
        <w:rPr>
          <w:spacing w:val="42"/>
        </w:rPr>
        <w:t xml:space="preserve"> </w:t>
      </w:r>
      <w:r>
        <w:rPr>
          <w:spacing w:val="-1"/>
        </w:rPr>
        <w:t>Procedure.</w:t>
      </w:r>
    </w:p>
    <w:p w:rsidR="008918FA" w:rsidRDefault="008918FA" w:rsidP="008918FA">
      <w:pPr>
        <w:pStyle w:val="BodyText"/>
        <w:numPr>
          <w:ilvl w:val="0"/>
          <w:numId w:val="66"/>
        </w:numPr>
        <w:tabs>
          <w:tab w:val="left" w:pos="668"/>
        </w:tabs>
        <w:spacing w:before="120"/>
        <w:ind w:left="667" w:hanging="566"/>
        <w:rPr>
          <w:rFonts w:ascii="Times New Roman" w:eastAsia="Times New Roman" w:hAnsi="Times New Roman" w:cs="Times New Roman"/>
        </w:rPr>
      </w:pPr>
      <w:bookmarkStart w:id="287" w:name="_bookmark242"/>
      <w:bookmarkEnd w:id="287"/>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LIER</w:t>
      </w:r>
      <w:r>
        <w:rPr>
          <w:rFonts w:ascii="Times New Roman"/>
          <w:spacing w:val="18"/>
        </w:rPr>
        <w:t xml:space="preserve"> </w:t>
      </w:r>
      <w:r>
        <w:rPr>
          <w:rFonts w:ascii="Times New Roman"/>
          <w:spacing w:val="-1"/>
        </w:rPr>
        <w:t>TERMINATION</w:t>
      </w:r>
      <w:r>
        <w:rPr>
          <w:rFonts w:ascii="Times New Roman"/>
          <w:spacing w:val="6"/>
        </w:rPr>
        <w:t xml:space="preserve"> </w:t>
      </w:r>
      <w:r>
        <w:rPr>
          <w:rFonts w:ascii="Times New Roman"/>
        </w:rPr>
        <w:t>RIGHTS</w:t>
      </w:r>
    </w:p>
    <w:p w:rsidR="008918FA" w:rsidRDefault="008918FA" w:rsidP="008918FA">
      <w:pPr>
        <w:spacing w:before="8"/>
        <w:rPr>
          <w:rFonts w:ascii="Times New Roman" w:eastAsia="Times New Roman" w:hAnsi="Times New Roman" w:cs="Times New Roman"/>
          <w:sz w:val="20"/>
          <w:szCs w:val="20"/>
        </w:rPr>
      </w:pPr>
    </w:p>
    <w:p w:rsidR="008918FA" w:rsidRDefault="008918FA" w:rsidP="008918FA">
      <w:pPr>
        <w:pStyle w:val="Heading1"/>
        <w:numPr>
          <w:ilvl w:val="1"/>
          <w:numId w:val="66"/>
        </w:numPr>
        <w:tabs>
          <w:tab w:val="left" w:pos="1235"/>
        </w:tabs>
        <w:spacing w:before="0"/>
        <w:ind w:left="1234"/>
        <w:rPr>
          <w:b w:val="0"/>
          <w:bCs w:val="0"/>
        </w:rPr>
      </w:pPr>
      <w:bookmarkStart w:id="288" w:name="_bookmark243"/>
      <w:bookmarkEnd w:id="288"/>
      <w:r>
        <w:rPr>
          <w:spacing w:val="-1"/>
        </w:rPr>
        <w:t>Termination</w:t>
      </w:r>
      <w:r>
        <w:rPr>
          <w:spacing w:val="-2"/>
        </w:rPr>
        <w:t xml:space="preserve"> </w:t>
      </w:r>
      <w:r>
        <w:rPr>
          <w:spacing w:val="-1"/>
        </w:rPr>
        <w:t>on</w:t>
      </w:r>
      <w:r>
        <w:t xml:space="preserve"> </w:t>
      </w:r>
      <w:r>
        <w:rPr>
          <w:spacing w:val="-2"/>
        </w:rPr>
        <w:t>Customer</w:t>
      </w:r>
      <w:r>
        <w:rPr>
          <w:spacing w:val="1"/>
        </w:rPr>
        <w:t xml:space="preserve"> </w:t>
      </w:r>
      <w:r>
        <w:rPr>
          <w:spacing w:val="-1"/>
        </w:rPr>
        <w:t>Cause</w:t>
      </w:r>
      <w:r>
        <w:rPr>
          <w:spacing w:val="-2"/>
        </w:rPr>
        <w:t xml:space="preserve"> </w:t>
      </w:r>
      <w:r>
        <w:rPr>
          <w:spacing w:val="-1"/>
        </w:rPr>
        <w:t>for</w:t>
      </w:r>
      <w:r>
        <w:rPr>
          <w:spacing w:val="1"/>
        </w:rPr>
        <w:t xml:space="preserve"> </w:t>
      </w:r>
      <w:r>
        <w:rPr>
          <w:spacing w:val="-1"/>
        </w:rPr>
        <w:t>Failure</w:t>
      </w:r>
      <w:r>
        <w:rPr>
          <w:spacing w:val="-2"/>
        </w:rPr>
        <w:t xml:space="preserve"> </w:t>
      </w:r>
      <w:r>
        <w:rPr>
          <w:spacing w:val="-1"/>
        </w:rPr>
        <w:t>to</w:t>
      </w:r>
      <w:r>
        <w:t xml:space="preserve"> Pay</w:t>
      </w:r>
    </w:p>
    <w:p w:rsidR="008918FA" w:rsidRDefault="008918FA" w:rsidP="008918FA">
      <w:pPr>
        <w:sectPr w:rsidR="008918FA">
          <w:pgSz w:w="11910" w:h="16840"/>
          <w:pgMar w:top="1480" w:right="1300" w:bottom="1180" w:left="1340" w:header="0" w:footer="967" w:gutter="0"/>
          <w:cols w:space="720"/>
        </w:sectPr>
      </w:pPr>
    </w:p>
    <w:p w:rsidR="008918FA" w:rsidRDefault="008918FA" w:rsidP="008918FA">
      <w:pPr>
        <w:pStyle w:val="BodyText"/>
        <w:numPr>
          <w:ilvl w:val="2"/>
          <w:numId w:val="66"/>
        </w:numPr>
        <w:tabs>
          <w:tab w:val="left" w:pos="2247"/>
        </w:tabs>
        <w:spacing w:before="59"/>
        <w:ind w:left="2246" w:right="114"/>
        <w:jc w:val="both"/>
      </w:pPr>
      <w:bookmarkStart w:id="289" w:name="_bookmark244"/>
      <w:bookmarkEnd w:id="289"/>
      <w:r>
        <w:t>The</w:t>
      </w:r>
      <w:r>
        <w:rPr>
          <w:spacing w:val="31"/>
        </w:rPr>
        <w:t xml:space="preserve"> </w:t>
      </w:r>
      <w:r>
        <w:rPr>
          <w:spacing w:val="-2"/>
        </w:rPr>
        <w:t>Supplier</w:t>
      </w:r>
      <w:r>
        <w:rPr>
          <w:spacing w:val="30"/>
        </w:rPr>
        <w:t xml:space="preserve"> </w:t>
      </w:r>
      <w:r>
        <w:rPr>
          <w:spacing w:val="-1"/>
        </w:rPr>
        <w:t>may,</w:t>
      </w:r>
      <w:r>
        <w:rPr>
          <w:spacing w:val="33"/>
        </w:rPr>
        <w:t xml:space="preserve"> </w:t>
      </w:r>
      <w:r>
        <w:rPr>
          <w:spacing w:val="-1"/>
        </w:rPr>
        <w:t>by</w:t>
      </w:r>
      <w:r>
        <w:rPr>
          <w:spacing w:val="30"/>
        </w:rPr>
        <w:t xml:space="preserve"> </w:t>
      </w:r>
      <w:r>
        <w:rPr>
          <w:spacing w:val="-1"/>
        </w:rPr>
        <w:t>issuing</w:t>
      </w:r>
      <w:r>
        <w:rPr>
          <w:spacing w:val="34"/>
        </w:rPr>
        <w:t xml:space="preserve"> </w:t>
      </w:r>
      <w:r>
        <w:t>a</w:t>
      </w:r>
      <w:r>
        <w:rPr>
          <w:spacing w:val="29"/>
        </w:rPr>
        <w:t xml:space="preserve"> </w:t>
      </w:r>
      <w:r>
        <w:rPr>
          <w:spacing w:val="-1"/>
        </w:rPr>
        <w:t>Termination</w:t>
      </w:r>
      <w:r>
        <w:rPr>
          <w:spacing w:val="31"/>
        </w:rPr>
        <w:t xml:space="preserve"> </w:t>
      </w:r>
      <w:r>
        <w:rPr>
          <w:spacing w:val="-2"/>
        </w:rPr>
        <w:t>Notice</w:t>
      </w:r>
      <w:r>
        <w:rPr>
          <w:spacing w:val="32"/>
        </w:rPr>
        <w:t xml:space="preserve"> </w:t>
      </w:r>
      <w:r>
        <w:t>to</w:t>
      </w:r>
      <w:r>
        <w:rPr>
          <w:spacing w:val="32"/>
        </w:rPr>
        <w:t xml:space="preserve"> </w:t>
      </w:r>
      <w:r>
        <w:t>the</w:t>
      </w:r>
      <w:r>
        <w:rPr>
          <w:spacing w:val="34"/>
        </w:rPr>
        <w:t xml:space="preserve"> </w:t>
      </w:r>
      <w:r>
        <w:rPr>
          <w:spacing w:val="-2"/>
        </w:rPr>
        <w:t>Customer,</w:t>
      </w:r>
      <w:r>
        <w:rPr>
          <w:spacing w:val="43"/>
        </w:rPr>
        <w:t xml:space="preserve"> </w:t>
      </w:r>
      <w:r>
        <w:rPr>
          <w:spacing w:val="-1"/>
        </w:rPr>
        <w:t>terminate</w:t>
      </w:r>
      <w:r>
        <w:rPr>
          <w:spacing w:val="23"/>
        </w:rPr>
        <w:t xml:space="preserve"> </w:t>
      </w:r>
      <w:r>
        <w:rPr>
          <w:spacing w:val="-1"/>
        </w:rPr>
        <w:t>this</w:t>
      </w:r>
      <w:r>
        <w:rPr>
          <w:spacing w:val="24"/>
        </w:rPr>
        <w:t xml:space="preserve"> </w:t>
      </w:r>
      <w:r>
        <w:rPr>
          <w:spacing w:val="-2"/>
        </w:rPr>
        <w:t>Call</w:t>
      </w:r>
      <w:r>
        <w:rPr>
          <w:spacing w:val="22"/>
        </w:rPr>
        <w:t xml:space="preserve"> </w:t>
      </w:r>
      <w:r>
        <w:rPr>
          <w:spacing w:val="-1"/>
        </w:rPr>
        <w:t>Off</w:t>
      </w:r>
      <w:r>
        <w:rPr>
          <w:spacing w:val="25"/>
        </w:rPr>
        <w:t xml:space="preserve"> </w:t>
      </w:r>
      <w:r>
        <w:rPr>
          <w:spacing w:val="-1"/>
        </w:rPr>
        <w:t>Contract</w:t>
      </w:r>
      <w:r>
        <w:rPr>
          <w:spacing w:val="25"/>
        </w:rPr>
        <w:t xml:space="preserve"> </w:t>
      </w:r>
      <w:r>
        <w:rPr>
          <w:spacing w:val="-2"/>
        </w:rPr>
        <w:t>if</w:t>
      </w:r>
      <w:r>
        <w:rPr>
          <w:spacing w:val="24"/>
        </w:rPr>
        <w:t xml:space="preserve"> </w:t>
      </w:r>
      <w:r>
        <w:t>the</w:t>
      </w:r>
      <w:r>
        <w:rPr>
          <w:spacing w:val="23"/>
        </w:rPr>
        <w:t xml:space="preserve"> </w:t>
      </w:r>
      <w:r>
        <w:rPr>
          <w:spacing w:val="-1"/>
        </w:rPr>
        <w:t>Customer</w:t>
      </w:r>
      <w:r>
        <w:rPr>
          <w:spacing w:val="22"/>
        </w:rPr>
        <w:t xml:space="preserve"> </w:t>
      </w:r>
      <w:r>
        <w:rPr>
          <w:spacing w:val="-1"/>
        </w:rPr>
        <w:t>fails</w:t>
      </w:r>
      <w:r>
        <w:rPr>
          <w:spacing w:val="24"/>
        </w:rPr>
        <w:t xml:space="preserve"> </w:t>
      </w:r>
      <w:r>
        <w:t>to</w:t>
      </w:r>
      <w:r>
        <w:rPr>
          <w:spacing w:val="23"/>
        </w:rPr>
        <w:t xml:space="preserve"> </w:t>
      </w:r>
      <w:r>
        <w:rPr>
          <w:spacing w:val="-1"/>
        </w:rPr>
        <w:t>pay</w:t>
      </w:r>
      <w:r>
        <w:rPr>
          <w:spacing w:val="21"/>
        </w:rPr>
        <w:t xml:space="preserve"> </w:t>
      </w:r>
      <w:r>
        <w:rPr>
          <w:spacing w:val="-1"/>
        </w:rPr>
        <w:t>an</w:t>
      </w:r>
      <w:r>
        <w:rPr>
          <w:spacing w:val="40"/>
        </w:rPr>
        <w:t xml:space="preserve"> </w:t>
      </w:r>
      <w:r>
        <w:rPr>
          <w:spacing w:val="-1"/>
        </w:rPr>
        <w:t>undisputed</w:t>
      </w:r>
      <w:r>
        <w:rPr>
          <w:spacing w:val="10"/>
        </w:rPr>
        <w:t xml:space="preserve"> </w:t>
      </w:r>
      <w:r>
        <w:rPr>
          <w:spacing w:val="-1"/>
        </w:rPr>
        <w:t>sum</w:t>
      </w:r>
      <w:r>
        <w:rPr>
          <w:spacing w:val="11"/>
        </w:rPr>
        <w:t xml:space="preserve"> </w:t>
      </w:r>
      <w:r>
        <w:rPr>
          <w:spacing w:val="-1"/>
        </w:rPr>
        <w:t>due</w:t>
      </w:r>
      <w:r>
        <w:rPr>
          <w:spacing w:val="10"/>
        </w:rPr>
        <w:t xml:space="preserve"> </w:t>
      </w:r>
      <w:r>
        <w:t>to</w:t>
      </w:r>
      <w:r>
        <w:rPr>
          <w:spacing w:val="7"/>
        </w:rPr>
        <w:t xml:space="preserve"> </w:t>
      </w:r>
      <w:r>
        <w:rPr>
          <w:spacing w:val="-1"/>
        </w:rPr>
        <w:t>the</w:t>
      </w:r>
      <w:r>
        <w:rPr>
          <w:spacing w:val="10"/>
        </w:rPr>
        <w:t xml:space="preserve"> </w:t>
      </w:r>
      <w:r>
        <w:rPr>
          <w:spacing w:val="-2"/>
        </w:rPr>
        <w:t>Supplier</w:t>
      </w:r>
      <w:r>
        <w:rPr>
          <w:spacing w:val="11"/>
        </w:rPr>
        <w:t xml:space="preserve"> </w:t>
      </w:r>
      <w:r>
        <w:rPr>
          <w:spacing w:val="-1"/>
        </w:rPr>
        <w:t>under</w:t>
      </w:r>
      <w:r>
        <w:rPr>
          <w:spacing w:val="11"/>
        </w:rPr>
        <w:t xml:space="preserve"> </w:t>
      </w:r>
      <w:r>
        <w:rPr>
          <w:spacing w:val="-1"/>
        </w:rPr>
        <w:t>this</w:t>
      </w:r>
      <w:r>
        <w:rPr>
          <w:spacing w:val="10"/>
        </w:rPr>
        <w:t xml:space="preserve"> </w:t>
      </w:r>
      <w:r>
        <w:rPr>
          <w:spacing w:val="-2"/>
        </w:rPr>
        <w:t>Call</w:t>
      </w:r>
      <w:r>
        <w:rPr>
          <w:spacing w:val="9"/>
        </w:rPr>
        <w:t xml:space="preserve"> </w:t>
      </w:r>
      <w:r>
        <w:t>Off</w:t>
      </w:r>
      <w:r>
        <w:rPr>
          <w:spacing w:val="11"/>
        </w:rPr>
        <w:t xml:space="preserve"> </w:t>
      </w:r>
      <w:r>
        <w:rPr>
          <w:spacing w:val="-1"/>
        </w:rPr>
        <w:t>Contract</w:t>
      </w:r>
      <w:r>
        <w:rPr>
          <w:spacing w:val="12"/>
        </w:rPr>
        <w:t xml:space="preserve"> </w:t>
      </w:r>
      <w:r>
        <w:rPr>
          <w:spacing w:val="-2"/>
        </w:rPr>
        <w:t>which</w:t>
      </w:r>
      <w:r>
        <w:rPr>
          <w:spacing w:val="46"/>
        </w:rPr>
        <w:t xml:space="preserve"> </w:t>
      </w:r>
      <w:r>
        <w:rPr>
          <w:spacing w:val="-1"/>
        </w:rPr>
        <w:t>in</w:t>
      </w:r>
      <w:r>
        <w:rPr>
          <w:spacing w:val="58"/>
        </w:rPr>
        <w:t xml:space="preserve"> </w:t>
      </w:r>
      <w:r>
        <w:rPr>
          <w:spacing w:val="-1"/>
        </w:rPr>
        <w:t>aggregate</w:t>
      </w:r>
      <w:r>
        <w:rPr>
          <w:spacing w:val="58"/>
        </w:rPr>
        <w:t xml:space="preserve"> </w:t>
      </w:r>
      <w:r>
        <w:rPr>
          <w:spacing w:val="-1"/>
        </w:rPr>
        <w:t>exceeds</w:t>
      </w:r>
      <w:r>
        <w:rPr>
          <w:spacing w:val="59"/>
        </w:rPr>
        <w:t xml:space="preserve"> </w:t>
      </w:r>
      <w:r>
        <w:t>the</w:t>
      </w:r>
      <w:r>
        <w:rPr>
          <w:spacing w:val="58"/>
        </w:rPr>
        <w:t xml:space="preserve"> </w:t>
      </w:r>
      <w:r>
        <w:rPr>
          <w:spacing w:val="-1"/>
        </w:rPr>
        <w:t>amount</w:t>
      </w:r>
      <w:r>
        <w:rPr>
          <w:spacing w:val="59"/>
        </w:rPr>
        <w:t xml:space="preserve"> </w:t>
      </w:r>
      <w:r>
        <w:rPr>
          <w:spacing w:val="-1"/>
        </w:rPr>
        <w:t>stipulated</w:t>
      </w:r>
      <w:r>
        <w:rPr>
          <w:spacing w:val="58"/>
        </w:rPr>
        <w:t xml:space="preserve"> </w:t>
      </w:r>
      <w:r>
        <w:rPr>
          <w:spacing w:val="-1"/>
        </w:rPr>
        <w:t>in</w:t>
      </w:r>
      <w:r>
        <w:rPr>
          <w:spacing w:val="59"/>
        </w:rPr>
        <w:t xml:space="preserve"> </w:t>
      </w:r>
      <w:r>
        <w:t>the</w:t>
      </w:r>
      <w:r>
        <w:rPr>
          <w:spacing w:val="58"/>
        </w:rPr>
        <w:t xml:space="preserve"> </w:t>
      </w:r>
      <w:r>
        <w:rPr>
          <w:spacing w:val="-1"/>
        </w:rPr>
        <w:t>Order</w:t>
      </w:r>
      <w:r>
        <w:rPr>
          <w:spacing w:val="59"/>
        </w:rPr>
        <w:t xml:space="preserve"> </w:t>
      </w:r>
      <w:r>
        <w:rPr>
          <w:spacing w:val="-1"/>
        </w:rPr>
        <w:t>Form</w:t>
      </w:r>
      <w:r>
        <w:rPr>
          <w:spacing w:val="59"/>
        </w:rPr>
        <w:t xml:space="preserve"> </w:t>
      </w:r>
      <w:r>
        <w:rPr>
          <w:spacing w:val="-1"/>
        </w:rPr>
        <w:t>or</w:t>
      </w:r>
      <w:r>
        <w:rPr>
          <w:spacing w:val="34"/>
        </w:rPr>
        <w:t xml:space="preserve"> </w:t>
      </w:r>
      <w:r>
        <w:rPr>
          <w:spacing w:val="-2"/>
        </w:rPr>
        <w:t>elsewhere</w:t>
      </w:r>
      <w:r>
        <w:rPr>
          <w:spacing w:val="51"/>
        </w:rPr>
        <w:t xml:space="preserve"> </w:t>
      </w:r>
      <w:r>
        <w:rPr>
          <w:spacing w:val="-1"/>
        </w:rPr>
        <w:t>in</w:t>
      </w:r>
      <w:r>
        <w:rPr>
          <w:spacing w:val="48"/>
        </w:rPr>
        <w:t xml:space="preserve"> </w:t>
      </w:r>
      <w:r>
        <w:rPr>
          <w:spacing w:val="-1"/>
        </w:rPr>
        <w:t>this</w:t>
      </w:r>
      <w:r>
        <w:rPr>
          <w:spacing w:val="49"/>
        </w:rPr>
        <w:t xml:space="preserve"> </w:t>
      </w:r>
      <w:r>
        <w:rPr>
          <w:spacing w:val="-1"/>
        </w:rPr>
        <w:t>Call</w:t>
      </w:r>
      <w:r>
        <w:rPr>
          <w:spacing w:val="50"/>
        </w:rPr>
        <w:t xml:space="preserve"> </w:t>
      </w:r>
      <w:r>
        <w:rPr>
          <w:spacing w:val="-1"/>
        </w:rPr>
        <w:t>Off</w:t>
      </w:r>
      <w:r>
        <w:rPr>
          <w:spacing w:val="52"/>
        </w:rPr>
        <w:t xml:space="preserve"> </w:t>
      </w:r>
      <w:r>
        <w:rPr>
          <w:spacing w:val="-2"/>
        </w:rPr>
        <w:t>Contract</w:t>
      </w:r>
      <w:r>
        <w:rPr>
          <w:spacing w:val="49"/>
        </w:rPr>
        <w:t xml:space="preserve"> </w:t>
      </w:r>
      <w:r>
        <w:t>for</w:t>
      </w:r>
      <w:r>
        <w:rPr>
          <w:spacing w:val="50"/>
        </w:rPr>
        <w:t xml:space="preserve"> </w:t>
      </w:r>
      <w:r>
        <w:t>the</w:t>
      </w:r>
      <w:r>
        <w:rPr>
          <w:spacing w:val="48"/>
        </w:rPr>
        <w:t xml:space="preserve"> </w:t>
      </w:r>
      <w:r>
        <w:rPr>
          <w:spacing w:val="-1"/>
        </w:rPr>
        <w:t>purposes</w:t>
      </w:r>
      <w:r>
        <w:rPr>
          <w:spacing w:val="49"/>
        </w:rPr>
        <w:t xml:space="preserve"> </w:t>
      </w:r>
      <w:r>
        <w:rPr>
          <w:spacing w:val="-2"/>
        </w:rPr>
        <w:t>of</w:t>
      </w:r>
      <w:r>
        <w:rPr>
          <w:spacing w:val="52"/>
        </w:rPr>
        <w:t xml:space="preserve"> </w:t>
      </w:r>
      <w:r>
        <w:rPr>
          <w:spacing w:val="-1"/>
        </w:rPr>
        <w:t>this</w:t>
      </w:r>
      <w:r>
        <w:rPr>
          <w:spacing w:val="49"/>
        </w:rPr>
        <w:t xml:space="preserve"> </w:t>
      </w:r>
      <w:r>
        <w:rPr>
          <w:spacing w:val="-2"/>
        </w:rPr>
        <w:t>Clause</w:t>
      </w:r>
    </w:p>
    <w:p w:rsidR="008918FA" w:rsidRDefault="008918FA" w:rsidP="008918FA">
      <w:pPr>
        <w:numPr>
          <w:ilvl w:val="2"/>
          <w:numId w:val="61"/>
        </w:numPr>
        <w:tabs>
          <w:tab w:val="left" w:pos="2936"/>
        </w:tabs>
        <w:ind w:right="111" w:firstLine="0"/>
        <w:jc w:val="both"/>
        <w:rPr>
          <w:rFonts w:ascii="Arial" w:eastAsia="Arial" w:hAnsi="Arial" w:cs="Arial"/>
        </w:rPr>
      </w:pPr>
      <w:r>
        <w:rPr>
          <w:rFonts w:ascii="Arial" w:eastAsia="Arial" w:hAnsi="Arial" w:cs="Arial"/>
          <w:spacing w:val="-1"/>
        </w:rPr>
        <w:t>(the</w:t>
      </w:r>
      <w:r>
        <w:rPr>
          <w:rFonts w:ascii="Arial" w:eastAsia="Arial" w:hAnsi="Arial" w:cs="Arial"/>
          <w:spacing w:val="12"/>
        </w:rPr>
        <w:t xml:space="preserve"> </w:t>
      </w:r>
      <w:r>
        <w:rPr>
          <w:rFonts w:ascii="Arial" w:eastAsia="Arial" w:hAnsi="Arial" w:cs="Arial"/>
          <w:b/>
          <w:bCs/>
          <w:spacing w:val="-1"/>
        </w:rPr>
        <w:t>“Undisputed</w:t>
      </w:r>
      <w:r>
        <w:rPr>
          <w:rFonts w:ascii="Arial" w:eastAsia="Arial" w:hAnsi="Arial" w:cs="Arial"/>
          <w:b/>
          <w:bCs/>
          <w:spacing w:val="12"/>
        </w:rPr>
        <w:t xml:space="preserve"> </w:t>
      </w:r>
      <w:r>
        <w:rPr>
          <w:rFonts w:ascii="Arial" w:eastAsia="Arial" w:hAnsi="Arial" w:cs="Arial"/>
          <w:b/>
          <w:bCs/>
          <w:spacing w:val="-1"/>
        </w:rPr>
        <w:t>Sums</w:t>
      </w:r>
      <w:r>
        <w:rPr>
          <w:rFonts w:ascii="Arial" w:eastAsia="Arial" w:hAnsi="Arial" w:cs="Arial"/>
          <w:b/>
          <w:bCs/>
          <w:spacing w:val="12"/>
        </w:rPr>
        <w:t xml:space="preserve"> </w:t>
      </w:r>
      <w:r>
        <w:rPr>
          <w:rFonts w:ascii="Arial" w:eastAsia="Arial" w:hAnsi="Arial" w:cs="Arial"/>
          <w:b/>
          <w:bCs/>
          <w:spacing w:val="-1"/>
        </w:rPr>
        <w:t>Limit”),</w:t>
      </w:r>
      <w:r>
        <w:rPr>
          <w:rFonts w:ascii="Arial" w:eastAsia="Arial" w:hAnsi="Arial" w:cs="Arial"/>
          <w:b/>
          <w:bCs/>
          <w:spacing w:val="14"/>
        </w:rPr>
        <w:t xml:space="preserve"> </w:t>
      </w:r>
      <w:r>
        <w:rPr>
          <w:rFonts w:ascii="Arial" w:eastAsia="Arial" w:hAnsi="Arial" w:cs="Arial"/>
          <w:spacing w:val="-1"/>
        </w:rPr>
        <w:t>and</w:t>
      </w:r>
      <w:r>
        <w:rPr>
          <w:rFonts w:ascii="Arial" w:eastAsia="Arial" w:hAnsi="Arial" w:cs="Arial"/>
          <w:spacing w:val="13"/>
        </w:rPr>
        <w:t xml:space="preserve"> </w:t>
      </w:r>
      <w:r>
        <w:rPr>
          <w:rFonts w:ascii="Arial" w:eastAsia="Arial" w:hAnsi="Arial" w:cs="Arial"/>
          <w:spacing w:val="-1"/>
        </w:rPr>
        <w:t>the</w:t>
      </w:r>
      <w:r>
        <w:rPr>
          <w:rFonts w:ascii="Arial" w:eastAsia="Arial" w:hAnsi="Arial" w:cs="Arial"/>
          <w:spacing w:val="12"/>
        </w:rPr>
        <w:t xml:space="preserve"> </w:t>
      </w:r>
      <w:r>
        <w:rPr>
          <w:rFonts w:ascii="Arial" w:eastAsia="Arial" w:hAnsi="Arial" w:cs="Arial"/>
          <w:spacing w:val="-1"/>
        </w:rPr>
        <w:t>said</w:t>
      </w:r>
      <w:r>
        <w:rPr>
          <w:rFonts w:ascii="Arial" w:eastAsia="Arial" w:hAnsi="Arial" w:cs="Arial"/>
          <w:spacing w:val="12"/>
        </w:rPr>
        <w:t xml:space="preserve"> </w:t>
      </w:r>
      <w:r>
        <w:rPr>
          <w:rFonts w:ascii="Arial" w:eastAsia="Arial" w:hAnsi="Arial" w:cs="Arial"/>
          <w:spacing w:val="-1"/>
        </w:rPr>
        <w:t>undisputed</w:t>
      </w:r>
      <w:r>
        <w:rPr>
          <w:rFonts w:ascii="Arial" w:eastAsia="Arial" w:hAnsi="Arial" w:cs="Arial"/>
          <w:spacing w:val="12"/>
        </w:rPr>
        <w:t xml:space="preserve"> </w:t>
      </w:r>
      <w:r>
        <w:rPr>
          <w:rFonts w:ascii="Arial" w:eastAsia="Arial" w:hAnsi="Arial" w:cs="Arial"/>
          <w:spacing w:val="-1"/>
        </w:rPr>
        <w:t>sum</w:t>
      </w:r>
      <w:r>
        <w:rPr>
          <w:rFonts w:ascii="Arial" w:eastAsia="Arial" w:hAnsi="Arial" w:cs="Arial"/>
          <w:spacing w:val="31"/>
        </w:rPr>
        <w:t xml:space="preserve"> </w:t>
      </w:r>
      <w:r>
        <w:rPr>
          <w:rFonts w:ascii="Arial" w:eastAsia="Arial" w:hAnsi="Arial" w:cs="Arial"/>
          <w:spacing w:val="-1"/>
        </w:rPr>
        <w:t>due</w:t>
      </w:r>
      <w:r>
        <w:rPr>
          <w:rFonts w:ascii="Arial" w:eastAsia="Arial" w:hAnsi="Arial" w:cs="Arial"/>
          <w:spacing w:val="1"/>
        </w:rPr>
        <w:t xml:space="preserve"> </w:t>
      </w:r>
      <w:r>
        <w:rPr>
          <w:rFonts w:ascii="Arial" w:eastAsia="Arial" w:hAnsi="Arial" w:cs="Arial"/>
          <w:spacing w:val="-1"/>
        </w:rPr>
        <w:t>remains</w:t>
      </w:r>
      <w:r>
        <w:rPr>
          <w:rFonts w:ascii="Arial" w:eastAsia="Arial" w:hAnsi="Arial" w:cs="Arial"/>
          <w:spacing w:val="1"/>
        </w:rPr>
        <w:t xml:space="preserve"> </w:t>
      </w:r>
      <w:r>
        <w:rPr>
          <w:rFonts w:ascii="Arial" w:eastAsia="Arial" w:hAnsi="Arial" w:cs="Arial"/>
          <w:spacing w:val="-1"/>
        </w:rPr>
        <w:t xml:space="preserve">outstanding </w:t>
      </w:r>
      <w:r>
        <w:rPr>
          <w:rFonts w:ascii="Arial" w:eastAsia="Arial" w:hAnsi="Arial" w:cs="Arial"/>
        </w:rPr>
        <w:t>for</w:t>
      </w:r>
      <w:r>
        <w:rPr>
          <w:rFonts w:ascii="Arial" w:eastAsia="Arial" w:hAnsi="Arial" w:cs="Arial"/>
          <w:spacing w:val="-3"/>
        </w:rPr>
        <w:t xml:space="preserve"> </w:t>
      </w:r>
      <w:r>
        <w:rPr>
          <w:rFonts w:ascii="Arial" w:eastAsia="Arial" w:hAnsi="Arial" w:cs="Arial"/>
        </w:rPr>
        <w:t>forty</w:t>
      </w:r>
      <w:r>
        <w:rPr>
          <w:rFonts w:ascii="Arial" w:eastAsia="Arial" w:hAnsi="Arial" w:cs="Arial"/>
          <w:spacing w:val="-1"/>
        </w:rPr>
        <w:t xml:space="preserve"> (40)</w:t>
      </w:r>
      <w:r>
        <w:rPr>
          <w:rFonts w:ascii="Arial" w:eastAsia="Arial" w:hAnsi="Arial" w:cs="Arial"/>
          <w:spacing w:val="-5"/>
        </w:rPr>
        <w:t xml:space="preserve"> </w:t>
      </w:r>
      <w:r>
        <w:rPr>
          <w:rFonts w:ascii="Arial" w:eastAsia="Arial" w:hAnsi="Arial" w:cs="Arial"/>
          <w:spacing w:val="-1"/>
        </w:rPr>
        <w:t>Working</w:t>
      </w:r>
      <w:r>
        <w:rPr>
          <w:rFonts w:ascii="Arial" w:eastAsia="Arial" w:hAnsi="Arial" w:cs="Arial"/>
        </w:rPr>
        <w:t xml:space="preserve"> </w:t>
      </w:r>
      <w:r>
        <w:rPr>
          <w:rFonts w:ascii="Arial" w:eastAsia="Arial" w:hAnsi="Arial" w:cs="Arial"/>
          <w:spacing w:val="-2"/>
        </w:rPr>
        <w:t>Days</w:t>
      </w:r>
      <w:r>
        <w:rPr>
          <w:rFonts w:ascii="Arial" w:eastAsia="Arial" w:hAnsi="Arial" w:cs="Arial"/>
          <w:spacing w:val="1"/>
        </w:rPr>
        <w:t xml:space="preserve"> </w:t>
      </w:r>
      <w:r>
        <w:rPr>
          <w:rFonts w:ascii="Arial" w:eastAsia="Arial" w:hAnsi="Arial" w:cs="Arial"/>
        </w:rPr>
        <w:t xml:space="preserve">(the </w:t>
      </w:r>
      <w:r>
        <w:rPr>
          <w:rFonts w:ascii="Arial" w:eastAsia="Arial" w:hAnsi="Arial" w:cs="Arial"/>
          <w:b/>
          <w:bCs/>
          <w:spacing w:val="-1"/>
        </w:rPr>
        <w:t>“Undisputed</w:t>
      </w:r>
      <w:r>
        <w:rPr>
          <w:rFonts w:ascii="Arial" w:eastAsia="Arial" w:hAnsi="Arial" w:cs="Arial"/>
          <w:b/>
          <w:bCs/>
          <w:spacing w:val="26"/>
        </w:rPr>
        <w:t xml:space="preserve"> </w:t>
      </w:r>
      <w:r>
        <w:rPr>
          <w:rFonts w:ascii="Arial" w:eastAsia="Arial" w:hAnsi="Arial" w:cs="Arial"/>
          <w:b/>
          <w:bCs/>
          <w:spacing w:val="-1"/>
        </w:rPr>
        <w:t>Sums</w:t>
      </w:r>
      <w:r>
        <w:rPr>
          <w:rFonts w:ascii="Arial" w:eastAsia="Arial" w:hAnsi="Arial" w:cs="Arial"/>
          <w:b/>
          <w:bCs/>
          <w:spacing w:val="36"/>
        </w:rPr>
        <w:t xml:space="preserve"> </w:t>
      </w:r>
      <w:r>
        <w:rPr>
          <w:rFonts w:ascii="Arial" w:eastAsia="Arial" w:hAnsi="Arial" w:cs="Arial"/>
          <w:b/>
          <w:bCs/>
          <w:spacing w:val="-1"/>
        </w:rPr>
        <w:t>Time</w:t>
      </w:r>
      <w:r>
        <w:rPr>
          <w:rFonts w:ascii="Arial" w:eastAsia="Arial" w:hAnsi="Arial" w:cs="Arial"/>
          <w:b/>
          <w:bCs/>
          <w:spacing w:val="36"/>
        </w:rPr>
        <w:t xml:space="preserve"> </w:t>
      </w:r>
      <w:r>
        <w:rPr>
          <w:rFonts w:ascii="Arial" w:eastAsia="Arial" w:hAnsi="Arial" w:cs="Arial"/>
          <w:b/>
          <w:bCs/>
          <w:spacing w:val="-1"/>
        </w:rPr>
        <w:t>Period”</w:t>
      </w:r>
      <w:r>
        <w:rPr>
          <w:rFonts w:ascii="Arial" w:eastAsia="Arial" w:hAnsi="Arial" w:cs="Arial"/>
          <w:spacing w:val="-1"/>
        </w:rPr>
        <w:t>)</w:t>
      </w:r>
      <w:r>
        <w:rPr>
          <w:rFonts w:ascii="Arial" w:eastAsia="Arial" w:hAnsi="Arial" w:cs="Arial"/>
          <w:spacing w:val="38"/>
        </w:rPr>
        <w:t xml:space="preserve"> </w:t>
      </w:r>
      <w:r>
        <w:rPr>
          <w:rFonts w:ascii="Arial" w:eastAsia="Arial" w:hAnsi="Arial" w:cs="Arial"/>
          <w:spacing w:val="-1"/>
        </w:rPr>
        <w:t>after</w:t>
      </w:r>
      <w:r>
        <w:rPr>
          <w:rFonts w:ascii="Arial" w:eastAsia="Arial" w:hAnsi="Arial" w:cs="Arial"/>
          <w:spacing w:val="38"/>
        </w:rPr>
        <w:t xml:space="preserve"> </w:t>
      </w:r>
      <w:r>
        <w:rPr>
          <w:rFonts w:ascii="Arial" w:eastAsia="Arial" w:hAnsi="Arial" w:cs="Arial"/>
        </w:rPr>
        <w:t>the</w:t>
      </w:r>
      <w:r>
        <w:rPr>
          <w:rFonts w:ascii="Arial" w:eastAsia="Arial" w:hAnsi="Arial" w:cs="Arial"/>
          <w:spacing w:val="36"/>
        </w:rPr>
        <w:t xml:space="preserve"> </w:t>
      </w:r>
      <w:r>
        <w:rPr>
          <w:rFonts w:ascii="Arial" w:eastAsia="Arial" w:hAnsi="Arial" w:cs="Arial"/>
          <w:spacing w:val="-1"/>
        </w:rPr>
        <w:t>receipt</w:t>
      </w:r>
      <w:r>
        <w:rPr>
          <w:rFonts w:ascii="Arial" w:eastAsia="Arial" w:hAnsi="Arial" w:cs="Arial"/>
          <w:spacing w:val="38"/>
        </w:rPr>
        <w:t xml:space="preserve"> </w:t>
      </w:r>
      <w:r>
        <w:rPr>
          <w:rFonts w:ascii="Arial" w:eastAsia="Arial" w:hAnsi="Arial" w:cs="Arial"/>
          <w:spacing w:val="-1"/>
        </w:rPr>
        <w:t>by</w:t>
      </w:r>
      <w:r>
        <w:rPr>
          <w:rFonts w:ascii="Arial" w:eastAsia="Arial" w:hAnsi="Arial" w:cs="Arial"/>
          <w:spacing w:val="35"/>
        </w:rPr>
        <w:t xml:space="preserve"> </w:t>
      </w:r>
      <w:r>
        <w:rPr>
          <w:rFonts w:ascii="Arial" w:eastAsia="Arial" w:hAnsi="Arial" w:cs="Arial"/>
        </w:rPr>
        <w:t>the</w:t>
      </w:r>
      <w:r>
        <w:rPr>
          <w:rFonts w:ascii="Arial" w:eastAsia="Arial" w:hAnsi="Arial" w:cs="Arial"/>
          <w:spacing w:val="36"/>
        </w:rPr>
        <w:t xml:space="preserve"> </w:t>
      </w:r>
      <w:r>
        <w:rPr>
          <w:rFonts w:ascii="Arial" w:eastAsia="Arial" w:hAnsi="Arial" w:cs="Arial"/>
          <w:spacing w:val="-1"/>
        </w:rPr>
        <w:t>Customer</w:t>
      </w:r>
      <w:r>
        <w:rPr>
          <w:rFonts w:ascii="Arial" w:eastAsia="Arial" w:hAnsi="Arial" w:cs="Arial"/>
          <w:spacing w:val="38"/>
        </w:rPr>
        <w:t xml:space="preserve"> </w:t>
      </w:r>
      <w:r>
        <w:rPr>
          <w:rFonts w:ascii="Arial" w:eastAsia="Arial" w:hAnsi="Arial" w:cs="Arial"/>
          <w:spacing w:val="-2"/>
        </w:rPr>
        <w:t>of</w:t>
      </w:r>
      <w:r>
        <w:rPr>
          <w:rFonts w:ascii="Arial" w:eastAsia="Arial" w:hAnsi="Arial" w:cs="Arial"/>
          <w:spacing w:val="40"/>
        </w:rPr>
        <w:t xml:space="preserve"> </w:t>
      </w:r>
      <w:r>
        <w:rPr>
          <w:rFonts w:ascii="Arial" w:eastAsia="Arial" w:hAnsi="Arial" w:cs="Arial"/>
        </w:rPr>
        <w:t>a</w:t>
      </w:r>
      <w:r>
        <w:rPr>
          <w:rFonts w:ascii="Arial" w:eastAsia="Arial" w:hAnsi="Arial" w:cs="Arial"/>
          <w:spacing w:val="36"/>
        </w:rPr>
        <w:t xml:space="preserve"> </w:t>
      </w:r>
      <w:r>
        <w:rPr>
          <w:rFonts w:ascii="Arial" w:eastAsia="Arial" w:hAnsi="Arial" w:cs="Arial"/>
          <w:spacing w:val="-1"/>
        </w:rPr>
        <w:t>written</w:t>
      </w:r>
      <w:r>
        <w:rPr>
          <w:rFonts w:ascii="Arial" w:eastAsia="Arial" w:hAnsi="Arial" w:cs="Arial"/>
          <w:spacing w:val="30"/>
        </w:rPr>
        <w:t xml:space="preserve"> </w:t>
      </w:r>
      <w:r>
        <w:rPr>
          <w:rFonts w:ascii="Arial" w:eastAsia="Arial" w:hAnsi="Arial" w:cs="Arial"/>
          <w:spacing w:val="-1"/>
        </w:rPr>
        <w:t>notice</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2"/>
        </w:rPr>
        <w:t>non-payment</w:t>
      </w:r>
      <w:r>
        <w:rPr>
          <w:rFonts w:ascii="Arial" w:eastAsia="Arial" w:hAnsi="Arial" w:cs="Arial"/>
        </w:rPr>
        <w:t xml:space="preserve"> </w:t>
      </w:r>
      <w:r>
        <w:rPr>
          <w:rFonts w:ascii="Arial" w:eastAsia="Arial" w:hAnsi="Arial" w:cs="Arial"/>
          <w:spacing w:val="-1"/>
        </w:rPr>
        <w:t xml:space="preserve">from </w:t>
      </w:r>
      <w:r>
        <w:rPr>
          <w:rFonts w:ascii="Arial" w:eastAsia="Arial" w:hAnsi="Arial" w:cs="Arial"/>
        </w:rPr>
        <w:t xml:space="preserve">the </w:t>
      </w:r>
      <w:r>
        <w:rPr>
          <w:rFonts w:ascii="Arial" w:eastAsia="Arial" w:hAnsi="Arial" w:cs="Arial"/>
          <w:spacing w:val="-2"/>
        </w:rPr>
        <w:t>Supplier</w:t>
      </w:r>
      <w:r>
        <w:rPr>
          <w:rFonts w:ascii="Arial" w:eastAsia="Arial" w:hAnsi="Arial" w:cs="Arial"/>
          <w:spacing w:val="-1"/>
        </w:rPr>
        <w:t xml:space="preserve"> </w:t>
      </w:r>
      <w:r>
        <w:rPr>
          <w:rFonts w:ascii="Arial" w:eastAsia="Arial" w:hAnsi="Arial" w:cs="Arial"/>
          <w:spacing w:val="-2"/>
        </w:rPr>
        <w:t>specifying:</w:t>
      </w:r>
    </w:p>
    <w:p w:rsidR="008918FA" w:rsidRDefault="008918FA" w:rsidP="008918FA">
      <w:pPr>
        <w:pStyle w:val="BodyText"/>
        <w:numPr>
          <w:ilvl w:val="0"/>
          <w:numId w:val="60"/>
        </w:numPr>
        <w:tabs>
          <w:tab w:val="left" w:pos="2955"/>
        </w:tabs>
        <w:spacing w:before="121"/>
        <w:jc w:val="both"/>
      </w:pPr>
      <w:r>
        <w:t xml:space="preserve">the </w:t>
      </w:r>
      <w:r>
        <w:rPr>
          <w:spacing w:val="-2"/>
        </w:rPr>
        <w:t>Customer’s</w:t>
      </w:r>
      <w:r>
        <w:rPr>
          <w:spacing w:val="-1"/>
        </w:rPr>
        <w:t xml:space="preserve"> failure</w:t>
      </w:r>
      <w:r>
        <w:t xml:space="preserve"> to</w:t>
      </w:r>
      <w:r>
        <w:rPr>
          <w:spacing w:val="-4"/>
        </w:rPr>
        <w:t xml:space="preserve"> </w:t>
      </w:r>
      <w:r>
        <w:rPr>
          <w:spacing w:val="-2"/>
        </w:rPr>
        <w:t>pay;</w:t>
      </w:r>
      <w:r>
        <w:rPr>
          <w:spacing w:val="2"/>
        </w:rPr>
        <w:t xml:space="preserve"> </w:t>
      </w:r>
      <w:r>
        <w:rPr>
          <w:spacing w:val="-1"/>
        </w:rPr>
        <w:t>and</w:t>
      </w:r>
    </w:p>
    <w:p w:rsidR="008918FA" w:rsidRDefault="008918FA" w:rsidP="008918FA">
      <w:pPr>
        <w:pStyle w:val="BodyText"/>
        <w:numPr>
          <w:ilvl w:val="0"/>
          <w:numId w:val="60"/>
        </w:numPr>
        <w:tabs>
          <w:tab w:val="left" w:pos="2955"/>
        </w:tabs>
        <w:jc w:val="both"/>
      </w:pPr>
      <w:r>
        <w:t xml:space="preserve">the </w:t>
      </w:r>
      <w:r>
        <w:rPr>
          <w:spacing w:val="-2"/>
        </w:rPr>
        <w:t>correct</w:t>
      </w:r>
      <w:r>
        <w:rPr>
          <w:spacing w:val="2"/>
        </w:rPr>
        <w:t xml:space="preserve"> </w:t>
      </w:r>
      <w:r>
        <w:rPr>
          <w:spacing w:val="-1"/>
        </w:rPr>
        <w:t>overdue</w:t>
      </w:r>
      <w:r>
        <w:rPr>
          <w:spacing w:val="-2"/>
        </w:rPr>
        <w:t xml:space="preserve"> </w:t>
      </w:r>
      <w:r>
        <w:rPr>
          <w:spacing w:val="-1"/>
        </w:rPr>
        <w:t>and</w:t>
      </w:r>
      <w:r>
        <w:rPr>
          <w:spacing w:val="-2"/>
        </w:rPr>
        <w:t xml:space="preserve"> </w:t>
      </w:r>
      <w:r>
        <w:rPr>
          <w:spacing w:val="-1"/>
        </w:rPr>
        <w:t>undisputed</w:t>
      </w:r>
      <w:r>
        <w:t xml:space="preserve"> </w:t>
      </w:r>
      <w:r>
        <w:rPr>
          <w:spacing w:val="-1"/>
        </w:rPr>
        <w:t>sum;</w:t>
      </w:r>
      <w:r>
        <w:t xml:space="preserve"> </w:t>
      </w:r>
      <w:r>
        <w:rPr>
          <w:spacing w:val="-1"/>
        </w:rPr>
        <w:t>and</w:t>
      </w:r>
    </w:p>
    <w:p w:rsidR="008918FA" w:rsidRDefault="008918FA" w:rsidP="008918FA">
      <w:pPr>
        <w:pStyle w:val="BodyText"/>
        <w:numPr>
          <w:ilvl w:val="0"/>
          <w:numId w:val="60"/>
        </w:numPr>
        <w:tabs>
          <w:tab w:val="left" w:pos="2955"/>
        </w:tabs>
        <w:jc w:val="both"/>
      </w:pPr>
      <w:r>
        <w:t>the</w:t>
      </w:r>
      <w:r>
        <w:rPr>
          <w:spacing w:val="-2"/>
        </w:rPr>
        <w:t xml:space="preserve"> </w:t>
      </w:r>
      <w:r>
        <w:rPr>
          <w:spacing w:val="-1"/>
        </w:rPr>
        <w:t>reasons</w:t>
      </w:r>
      <w:r>
        <w:rPr>
          <w:spacing w:val="1"/>
        </w:rPr>
        <w:t xml:space="preserve"> </w:t>
      </w:r>
      <w:r>
        <w:rPr>
          <w:spacing w:val="-2"/>
        </w:rPr>
        <w:t xml:space="preserve">why </w:t>
      </w:r>
      <w:r>
        <w:t xml:space="preserve">the </w:t>
      </w:r>
      <w:r>
        <w:rPr>
          <w:spacing w:val="-1"/>
        </w:rPr>
        <w:t>undisputed</w:t>
      </w:r>
      <w:r>
        <w:t xml:space="preserve"> </w:t>
      </w:r>
      <w:r>
        <w:rPr>
          <w:spacing w:val="-2"/>
        </w:rPr>
        <w:t>sum</w:t>
      </w:r>
      <w:r>
        <w:rPr>
          <w:spacing w:val="-1"/>
        </w:rPr>
        <w:t xml:space="preserve"> is</w:t>
      </w:r>
      <w:r>
        <w:rPr>
          <w:spacing w:val="1"/>
        </w:rPr>
        <w:t xml:space="preserve"> </w:t>
      </w:r>
      <w:r>
        <w:rPr>
          <w:spacing w:val="-1"/>
        </w:rPr>
        <w:t>due;</w:t>
      </w:r>
      <w:r>
        <w:rPr>
          <w:spacing w:val="2"/>
        </w:rPr>
        <w:t xml:space="preserve"> </w:t>
      </w:r>
      <w:r>
        <w:rPr>
          <w:spacing w:val="-1"/>
        </w:rPr>
        <w:t>and</w:t>
      </w:r>
    </w:p>
    <w:p w:rsidR="008918FA" w:rsidRDefault="008918FA" w:rsidP="008918FA">
      <w:pPr>
        <w:pStyle w:val="BodyText"/>
        <w:numPr>
          <w:ilvl w:val="0"/>
          <w:numId w:val="60"/>
        </w:numPr>
        <w:tabs>
          <w:tab w:val="left" w:pos="2955"/>
        </w:tabs>
        <w:spacing w:before="121"/>
        <w:ind w:right="115"/>
      </w:pPr>
      <w:r>
        <w:t>the</w:t>
      </w:r>
      <w:r>
        <w:rPr>
          <w:spacing w:val="20"/>
        </w:rPr>
        <w:t xml:space="preserve"> </w:t>
      </w:r>
      <w:r>
        <w:rPr>
          <w:spacing w:val="-1"/>
        </w:rPr>
        <w:t>requirement</w:t>
      </w:r>
      <w:r>
        <w:rPr>
          <w:spacing w:val="21"/>
        </w:rPr>
        <w:t xml:space="preserve"> </w:t>
      </w:r>
      <w:r>
        <w:rPr>
          <w:spacing w:val="-1"/>
        </w:rPr>
        <w:t>on</w:t>
      </w:r>
      <w:r>
        <w:rPr>
          <w:spacing w:val="17"/>
        </w:rPr>
        <w:t xml:space="preserve"> </w:t>
      </w:r>
      <w:r>
        <w:t>the</w:t>
      </w:r>
      <w:r>
        <w:rPr>
          <w:spacing w:val="17"/>
        </w:rPr>
        <w:t xml:space="preserve"> </w:t>
      </w:r>
      <w:r>
        <w:rPr>
          <w:spacing w:val="-1"/>
        </w:rPr>
        <w:t>Customer</w:t>
      </w:r>
      <w:r>
        <w:rPr>
          <w:spacing w:val="21"/>
        </w:rPr>
        <w:t xml:space="preserve"> </w:t>
      </w:r>
      <w:r>
        <w:t>to</w:t>
      </w:r>
      <w:r>
        <w:rPr>
          <w:spacing w:val="17"/>
        </w:rPr>
        <w:t xml:space="preserve"> </w:t>
      </w:r>
      <w:r>
        <w:rPr>
          <w:spacing w:val="-1"/>
        </w:rPr>
        <w:t>remedy</w:t>
      </w:r>
      <w:r>
        <w:rPr>
          <w:spacing w:val="17"/>
        </w:rPr>
        <w:t xml:space="preserve"> </w:t>
      </w:r>
      <w:r>
        <w:t>the</w:t>
      </w:r>
      <w:r>
        <w:rPr>
          <w:spacing w:val="15"/>
        </w:rPr>
        <w:t xml:space="preserve"> </w:t>
      </w:r>
      <w:r>
        <w:rPr>
          <w:spacing w:val="-1"/>
        </w:rPr>
        <w:t>failure</w:t>
      </w:r>
      <w:r>
        <w:rPr>
          <w:spacing w:val="20"/>
        </w:rPr>
        <w:t xml:space="preserve"> </w:t>
      </w:r>
      <w:r>
        <w:t>to</w:t>
      </w:r>
      <w:r>
        <w:rPr>
          <w:spacing w:val="19"/>
        </w:rPr>
        <w:t xml:space="preserve"> </w:t>
      </w:r>
      <w:r>
        <w:rPr>
          <w:spacing w:val="-2"/>
        </w:rPr>
        <w:t>pay;</w:t>
      </w:r>
      <w:r>
        <w:rPr>
          <w:spacing w:val="25"/>
        </w:rPr>
        <w:t xml:space="preserve"> </w:t>
      </w:r>
      <w:r>
        <w:rPr>
          <w:spacing w:val="-1"/>
        </w:rPr>
        <w:t>and</w:t>
      </w:r>
    </w:p>
    <w:p w:rsidR="008918FA" w:rsidRDefault="008918FA" w:rsidP="008918FA">
      <w:pPr>
        <w:pStyle w:val="BodyText"/>
        <w:spacing w:before="121"/>
        <w:ind w:left="2245" w:right="115" w:firstLine="0"/>
        <w:jc w:val="both"/>
      </w:pPr>
      <w:r>
        <w:rPr>
          <w:spacing w:val="-1"/>
        </w:rPr>
        <w:t>this</w:t>
      </w:r>
      <w:r>
        <w:rPr>
          <w:spacing w:val="18"/>
        </w:rPr>
        <w:t xml:space="preserve"> </w:t>
      </w:r>
      <w:r>
        <w:rPr>
          <w:spacing w:val="-2"/>
        </w:rPr>
        <w:t>Call</w:t>
      </w:r>
      <w:r>
        <w:rPr>
          <w:spacing w:val="17"/>
        </w:rPr>
        <w:t xml:space="preserve"> </w:t>
      </w:r>
      <w:r>
        <w:t>Off</w:t>
      </w:r>
      <w:r>
        <w:rPr>
          <w:spacing w:val="19"/>
        </w:rPr>
        <w:t xml:space="preserve"> </w:t>
      </w:r>
      <w:r>
        <w:rPr>
          <w:spacing w:val="-1"/>
        </w:rPr>
        <w:t>Contract</w:t>
      </w:r>
      <w:r>
        <w:rPr>
          <w:spacing w:val="19"/>
        </w:rPr>
        <w:t xml:space="preserve"> </w:t>
      </w:r>
      <w:r>
        <w:rPr>
          <w:spacing w:val="-2"/>
        </w:rPr>
        <w:t>shall</w:t>
      </w:r>
      <w:r>
        <w:rPr>
          <w:spacing w:val="17"/>
        </w:rPr>
        <w:t xml:space="preserve"> </w:t>
      </w:r>
      <w:r>
        <w:rPr>
          <w:spacing w:val="-1"/>
        </w:rPr>
        <w:t>then</w:t>
      </w:r>
      <w:r>
        <w:rPr>
          <w:spacing w:val="17"/>
        </w:rPr>
        <w:t xml:space="preserve"> </w:t>
      </w:r>
      <w:r>
        <w:rPr>
          <w:spacing w:val="-1"/>
        </w:rPr>
        <w:t>terminate</w:t>
      </w:r>
      <w:r>
        <w:rPr>
          <w:spacing w:val="17"/>
        </w:rPr>
        <w:t xml:space="preserve"> </w:t>
      </w:r>
      <w:r>
        <w:rPr>
          <w:spacing w:val="-1"/>
        </w:rPr>
        <w:t>on</w:t>
      </w:r>
      <w:r>
        <w:rPr>
          <w:spacing w:val="15"/>
        </w:rPr>
        <w:t xml:space="preserve"> </w:t>
      </w:r>
      <w:r>
        <w:t>the</w:t>
      </w:r>
      <w:r>
        <w:rPr>
          <w:spacing w:val="15"/>
        </w:rPr>
        <w:t xml:space="preserve"> </w:t>
      </w:r>
      <w:r>
        <w:rPr>
          <w:spacing w:val="-1"/>
        </w:rPr>
        <w:t>date</w:t>
      </w:r>
      <w:r>
        <w:rPr>
          <w:spacing w:val="17"/>
        </w:rPr>
        <w:t xml:space="preserve"> </w:t>
      </w:r>
      <w:r>
        <w:rPr>
          <w:spacing w:val="-1"/>
        </w:rPr>
        <w:t>specified</w:t>
      </w:r>
      <w:r>
        <w:rPr>
          <w:spacing w:val="17"/>
        </w:rPr>
        <w:t xml:space="preserve"> </w:t>
      </w:r>
      <w:r>
        <w:rPr>
          <w:spacing w:val="-1"/>
        </w:rPr>
        <w:t>in</w:t>
      </w:r>
      <w:r>
        <w:rPr>
          <w:spacing w:val="17"/>
        </w:rPr>
        <w:t xml:space="preserve"> </w:t>
      </w:r>
      <w:r>
        <w:rPr>
          <w:spacing w:val="-1"/>
        </w:rPr>
        <w:t>the</w:t>
      </w:r>
      <w:r>
        <w:rPr>
          <w:spacing w:val="54"/>
        </w:rPr>
        <w:t xml:space="preserve"> </w:t>
      </w:r>
      <w:r>
        <w:rPr>
          <w:spacing w:val="-1"/>
        </w:rPr>
        <w:t>Termination</w:t>
      </w:r>
      <w:r>
        <w:rPr>
          <w:spacing w:val="24"/>
        </w:rPr>
        <w:t xml:space="preserve"> </w:t>
      </w:r>
      <w:r>
        <w:rPr>
          <w:spacing w:val="-1"/>
        </w:rPr>
        <w:t>Notice</w:t>
      </w:r>
      <w:r>
        <w:rPr>
          <w:spacing w:val="25"/>
        </w:rPr>
        <w:t xml:space="preserve"> </w:t>
      </w:r>
      <w:r>
        <w:rPr>
          <w:spacing w:val="-1"/>
        </w:rPr>
        <w:t>(which</w:t>
      </w:r>
      <w:r>
        <w:rPr>
          <w:spacing w:val="25"/>
        </w:rPr>
        <w:t xml:space="preserve"> </w:t>
      </w:r>
      <w:r>
        <w:rPr>
          <w:spacing w:val="-1"/>
        </w:rPr>
        <w:t>shall</w:t>
      </w:r>
      <w:r>
        <w:rPr>
          <w:spacing w:val="24"/>
        </w:rPr>
        <w:t xml:space="preserve"> </w:t>
      </w:r>
      <w:r>
        <w:rPr>
          <w:spacing w:val="-1"/>
        </w:rPr>
        <w:t>not</w:t>
      </w:r>
      <w:r>
        <w:rPr>
          <w:spacing w:val="26"/>
        </w:rPr>
        <w:t xml:space="preserve"> </w:t>
      </w:r>
      <w:r>
        <w:rPr>
          <w:spacing w:val="-1"/>
        </w:rPr>
        <w:t>be</w:t>
      </w:r>
      <w:r>
        <w:rPr>
          <w:spacing w:val="24"/>
        </w:rPr>
        <w:t xml:space="preserve"> </w:t>
      </w:r>
      <w:r>
        <w:rPr>
          <w:spacing w:val="-1"/>
        </w:rPr>
        <w:t>less</w:t>
      </w:r>
      <w:r>
        <w:rPr>
          <w:spacing w:val="26"/>
        </w:rPr>
        <w:t xml:space="preserve"> </w:t>
      </w:r>
      <w:r>
        <w:t>than</w:t>
      </w:r>
      <w:r>
        <w:rPr>
          <w:spacing w:val="24"/>
        </w:rPr>
        <w:t xml:space="preserve"> </w:t>
      </w:r>
      <w:r>
        <w:rPr>
          <w:spacing w:val="-1"/>
        </w:rPr>
        <w:t>twenty</w:t>
      </w:r>
      <w:r>
        <w:rPr>
          <w:spacing w:val="25"/>
        </w:rPr>
        <w:t xml:space="preserve"> </w:t>
      </w:r>
      <w:r>
        <w:rPr>
          <w:spacing w:val="-1"/>
        </w:rPr>
        <w:t>(20)</w:t>
      </w:r>
      <w:r>
        <w:rPr>
          <w:spacing w:val="-3"/>
        </w:rPr>
        <w:t xml:space="preserve"> </w:t>
      </w:r>
      <w:r>
        <w:rPr>
          <w:spacing w:val="-1"/>
        </w:rPr>
        <w:t>Working</w:t>
      </w:r>
      <w:r>
        <w:rPr>
          <w:spacing w:val="30"/>
        </w:rPr>
        <w:t xml:space="preserve"> </w:t>
      </w:r>
      <w:r>
        <w:rPr>
          <w:spacing w:val="-2"/>
        </w:rPr>
        <w:t>Days</w:t>
      </w:r>
      <w:r>
        <w:rPr>
          <w:spacing w:val="22"/>
        </w:rPr>
        <w:t xml:space="preserve"> </w:t>
      </w:r>
      <w:r>
        <w:t>from</w:t>
      </w:r>
      <w:r>
        <w:rPr>
          <w:spacing w:val="21"/>
        </w:rPr>
        <w:t xml:space="preserve"> </w:t>
      </w:r>
      <w:r>
        <w:t>the</w:t>
      </w:r>
      <w:r>
        <w:rPr>
          <w:spacing w:val="22"/>
        </w:rPr>
        <w:t xml:space="preserve"> </w:t>
      </w:r>
      <w:r>
        <w:rPr>
          <w:spacing w:val="-1"/>
        </w:rPr>
        <w:t>date</w:t>
      </w:r>
      <w:r>
        <w:rPr>
          <w:spacing w:val="22"/>
        </w:rPr>
        <w:t xml:space="preserve"> </w:t>
      </w:r>
      <w:r>
        <w:rPr>
          <w:spacing w:val="-2"/>
        </w:rPr>
        <w:t>of</w:t>
      </w:r>
      <w:r>
        <w:rPr>
          <w:spacing w:val="21"/>
        </w:rPr>
        <w:t xml:space="preserve"> </w:t>
      </w:r>
      <w:r>
        <w:rPr>
          <w:spacing w:val="-1"/>
        </w:rPr>
        <w:t>the</w:t>
      </w:r>
      <w:r>
        <w:rPr>
          <w:spacing w:val="22"/>
        </w:rPr>
        <w:t xml:space="preserve"> </w:t>
      </w:r>
      <w:r>
        <w:rPr>
          <w:spacing w:val="-1"/>
        </w:rPr>
        <w:t>issue</w:t>
      </w:r>
      <w:r>
        <w:rPr>
          <w:spacing w:val="22"/>
        </w:rPr>
        <w:t xml:space="preserve"> </w:t>
      </w:r>
      <w:r>
        <w:rPr>
          <w:spacing w:val="-2"/>
        </w:rPr>
        <w:t>of</w:t>
      </w:r>
      <w:r>
        <w:rPr>
          <w:spacing w:val="26"/>
        </w:rPr>
        <w:t xml:space="preserve"> </w:t>
      </w:r>
      <w:r>
        <w:t>the</w:t>
      </w:r>
      <w:r>
        <w:rPr>
          <w:spacing w:val="17"/>
        </w:rPr>
        <w:t xml:space="preserve"> </w:t>
      </w:r>
      <w:r>
        <w:rPr>
          <w:spacing w:val="-1"/>
        </w:rPr>
        <w:t>Termination</w:t>
      </w:r>
      <w:r>
        <w:rPr>
          <w:spacing w:val="22"/>
        </w:rPr>
        <w:t xml:space="preserve"> </w:t>
      </w:r>
      <w:r>
        <w:rPr>
          <w:spacing w:val="-1"/>
        </w:rPr>
        <w:t>Notice),</w:t>
      </w:r>
      <w:r>
        <w:rPr>
          <w:spacing w:val="23"/>
        </w:rPr>
        <w:t xml:space="preserve"> </w:t>
      </w:r>
      <w:r>
        <w:rPr>
          <w:spacing w:val="-1"/>
        </w:rPr>
        <w:t>save</w:t>
      </w:r>
      <w:r>
        <w:rPr>
          <w:spacing w:val="22"/>
        </w:rPr>
        <w:t xml:space="preserve"> </w:t>
      </w:r>
      <w:r>
        <w:rPr>
          <w:spacing w:val="-1"/>
        </w:rPr>
        <w:t>that</w:t>
      </w:r>
      <w:r>
        <w:rPr>
          <w:spacing w:val="35"/>
        </w:rPr>
        <w:t xml:space="preserve"> </w:t>
      </w:r>
      <w:r>
        <w:rPr>
          <w:spacing w:val="-1"/>
        </w:rPr>
        <w:t>such</w:t>
      </w:r>
      <w:r>
        <w:rPr>
          <w:spacing w:val="8"/>
        </w:rPr>
        <w:t xml:space="preserve"> </w:t>
      </w:r>
      <w:r>
        <w:rPr>
          <w:spacing w:val="-1"/>
        </w:rPr>
        <w:t>right</w:t>
      </w:r>
      <w:r>
        <w:rPr>
          <w:spacing w:val="9"/>
        </w:rPr>
        <w:t xml:space="preserve"> </w:t>
      </w:r>
      <w:r>
        <w:rPr>
          <w:spacing w:val="-2"/>
        </w:rPr>
        <w:t>of</w:t>
      </w:r>
      <w:r>
        <w:rPr>
          <w:spacing w:val="9"/>
        </w:rPr>
        <w:t xml:space="preserve"> </w:t>
      </w:r>
      <w:r>
        <w:rPr>
          <w:spacing w:val="-1"/>
        </w:rPr>
        <w:t>termination</w:t>
      </w:r>
      <w:r>
        <w:rPr>
          <w:spacing w:val="5"/>
        </w:rPr>
        <w:t xml:space="preserve"> </w:t>
      </w:r>
      <w:r>
        <w:rPr>
          <w:spacing w:val="-1"/>
        </w:rPr>
        <w:t>shall</w:t>
      </w:r>
      <w:r>
        <w:rPr>
          <w:spacing w:val="7"/>
        </w:rPr>
        <w:t xml:space="preserve"> </w:t>
      </w:r>
      <w:r>
        <w:rPr>
          <w:spacing w:val="-1"/>
        </w:rPr>
        <w:t>not</w:t>
      </w:r>
      <w:r>
        <w:rPr>
          <w:spacing w:val="9"/>
        </w:rPr>
        <w:t xml:space="preserve"> </w:t>
      </w:r>
      <w:r>
        <w:rPr>
          <w:spacing w:val="-1"/>
        </w:rPr>
        <w:t>apply</w:t>
      </w:r>
      <w:r>
        <w:rPr>
          <w:spacing w:val="8"/>
        </w:rPr>
        <w:t xml:space="preserve"> </w:t>
      </w:r>
      <w:r>
        <w:rPr>
          <w:spacing w:val="-2"/>
        </w:rPr>
        <w:t>where</w:t>
      </w:r>
      <w:r>
        <w:rPr>
          <w:spacing w:val="7"/>
        </w:rPr>
        <w:t xml:space="preserve"> </w:t>
      </w:r>
      <w:r>
        <w:t>the</w:t>
      </w:r>
      <w:r>
        <w:rPr>
          <w:spacing w:val="5"/>
        </w:rPr>
        <w:t xml:space="preserve"> </w:t>
      </w:r>
      <w:r>
        <w:rPr>
          <w:spacing w:val="-1"/>
        </w:rPr>
        <w:t>failure</w:t>
      </w:r>
      <w:r>
        <w:rPr>
          <w:spacing w:val="7"/>
        </w:rPr>
        <w:t xml:space="preserve"> </w:t>
      </w:r>
      <w:r>
        <w:t>to</w:t>
      </w:r>
      <w:r>
        <w:rPr>
          <w:spacing w:val="7"/>
        </w:rPr>
        <w:t xml:space="preserve"> </w:t>
      </w:r>
      <w:r>
        <w:rPr>
          <w:spacing w:val="-1"/>
        </w:rPr>
        <w:t>pay</w:t>
      </w:r>
      <w:r>
        <w:rPr>
          <w:spacing w:val="5"/>
        </w:rPr>
        <w:t xml:space="preserve"> </w:t>
      </w:r>
      <w:r>
        <w:rPr>
          <w:spacing w:val="-1"/>
        </w:rPr>
        <w:t>is</w:t>
      </w:r>
      <w:r>
        <w:rPr>
          <w:spacing w:val="8"/>
        </w:rPr>
        <w:t xml:space="preserve"> </w:t>
      </w:r>
      <w:r>
        <w:rPr>
          <w:spacing w:val="-1"/>
        </w:rPr>
        <w:t>due</w:t>
      </w:r>
      <w:r>
        <w:rPr>
          <w:spacing w:val="40"/>
        </w:rPr>
        <w:t xml:space="preserve"> </w:t>
      </w:r>
      <w:r>
        <w:t>to</w:t>
      </w:r>
      <w:r>
        <w:rPr>
          <w:spacing w:val="9"/>
        </w:rPr>
        <w:t xml:space="preserve"> </w:t>
      </w:r>
      <w:r>
        <w:t>the</w:t>
      </w:r>
      <w:r>
        <w:rPr>
          <w:spacing w:val="9"/>
        </w:rPr>
        <w:t xml:space="preserve"> </w:t>
      </w:r>
      <w:r>
        <w:rPr>
          <w:spacing w:val="-1"/>
        </w:rPr>
        <w:t>Customer</w:t>
      </w:r>
      <w:r>
        <w:rPr>
          <w:spacing w:val="10"/>
        </w:rPr>
        <w:t xml:space="preserve"> </w:t>
      </w:r>
      <w:r>
        <w:rPr>
          <w:spacing w:val="-2"/>
        </w:rPr>
        <w:t>exercising</w:t>
      </w:r>
      <w:r>
        <w:rPr>
          <w:spacing w:val="11"/>
        </w:rPr>
        <w:t xml:space="preserve"> </w:t>
      </w:r>
      <w:r>
        <w:rPr>
          <w:spacing w:val="-1"/>
        </w:rPr>
        <w:t>its</w:t>
      </w:r>
      <w:r>
        <w:rPr>
          <w:spacing w:val="9"/>
        </w:rPr>
        <w:t xml:space="preserve"> </w:t>
      </w:r>
      <w:r>
        <w:rPr>
          <w:spacing w:val="-1"/>
        </w:rPr>
        <w:t>rights</w:t>
      </w:r>
      <w:r>
        <w:rPr>
          <w:spacing w:val="9"/>
        </w:rPr>
        <w:t xml:space="preserve"> </w:t>
      </w:r>
      <w:r>
        <w:rPr>
          <w:spacing w:val="-1"/>
        </w:rPr>
        <w:t>under</w:t>
      </w:r>
      <w:r>
        <w:rPr>
          <w:spacing w:val="8"/>
        </w:rPr>
        <w:t xml:space="preserve"> </w:t>
      </w:r>
      <w:r>
        <w:rPr>
          <w:spacing w:val="-1"/>
        </w:rPr>
        <w:t>this</w:t>
      </w:r>
      <w:r>
        <w:rPr>
          <w:spacing w:val="9"/>
        </w:rPr>
        <w:t xml:space="preserve"> </w:t>
      </w:r>
      <w:r>
        <w:rPr>
          <w:spacing w:val="-2"/>
        </w:rPr>
        <w:t>Call</w:t>
      </w:r>
      <w:r>
        <w:rPr>
          <w:spacing w:val="8"/>
        </w:rPr>
        <w:t xml:space="preserve"> </w:t>
      </w:r>
      <w:r>
        <w:t>Off</w:t>
      </w:r>
      <w:r>
        <w:rPr>
          <w:spacing w:val="13"/>
        </w:rPr>
        <w:t xml:space="preserve"> </w:t>
      </w:r>
      <w:r>
        <w:rPr>
          <w:spacing w:val="-2"/>
        </w:rPr>
        <w:t>Contract</w:t>
      </w:r>
      <w:r>
        <w:rPr>
          <w:spacing w:val="53"/>
        </w:rPr>
        <w:t xml:space="preserve"> </w:t>
      </w:r>
      <w:r>
        <w:rPr>
          <w:spacing w:val="-2"/>
        </w:rPr>
        <w:t>including</w:t>
      </w:r>
      <w:r>
        <w:rPr>
          <w:spacing w:val="3"/>
        </w:rPr>
        <w:t xml:space="preserve"> </w:t>
      </w:r>
      <w:r>
        <w:rPr>
          <w:spacing w:val="-2"/>
        </w:rPr>
        <w:t>Clause</w:t>
      </w:r>
      <w:r>
        <w:rPr>
          <w:spacing w:val="1"/>
        </w:rPr>
        <w:t xml:space="preserve"> </w:t>
      </w:r>
      <w:hyperlink w:anchor="_bookmark129" w:history="1">
        <w:r>
          <w:rPr>
            <w:spacing w:val="-1"/>
          </w:rPr>
          <w:t>23.3</w:t>
        </w:r>
      </w:hyperlink>
      <w:r>
        <w:rPr>
          <w:spacing w:val="-1"/>
        </w:rPr>
        <w:t xml:space="preserve"> (Retention</w:t>
      </w:r>
      <w:r>
        <w:t xml:space="preserve"> </w:t>
      </w:r>
      <w:r>
        <w:rPr>
          <w:spacing w:val="-1"/>
        </w:rPr>
        <w:t>and</w:t>
      </w:r>
      <w:r>
        <w:rPr>
          <w:spacing w:val="-2"/>
        </w:rPr>
        <w:t xml:space="preserve"> </w:t>
      </w:r>
      <w:r>
        <w:rPr>
          <w:spacing w:val="-1"/>
        </w:rPr>
        <w:t>Set</w:t>
      </w:r>
      <w:r>
        <w:t xml:space="preserve"> </w:t>
      </w:r>
      <w:r>
        <w:rPr>
          <w:spacing w:val="-1"/>
        </w:rPr>
        <w:t>off).</w:t>
      </w:r>
    </w:p>
    <w:p w:rsidR="008918FA" w:rsidRDefault="008918FA" w:rsidP="008918FA">
      <w:pPr>
        <w:pStyle w:val="BodyText"/>
        <w:numPr>
          <w:ilvl w:val="2"/>
          <w:numId w:val="61"/>
        </w:numPr>
        <w:tabs>
          <w:tab w:val="left" w:pos="2246"/>
        </w:tabs>
        <w:ind w:left="2245" w:right="114" w:hanging="993"/>
        <w:jc w:val="both"/>
      </w:pPr>
      <w:r>
        <w:t>The</w:t>
      </w:r>
      <w:r>
        <w:rPr>
          <w:spacing w:val="21"/>
        </w:rPr>
        <w:t xml:space="preserve"> </w:t>
      </w:r>
      <w:r>
        <w:rPr>
          <w:spacing w:val="-2"/>
        </w:rPr>
        <w:t>Supplier</w:t>
      </w:r>
      <w:r>
        <w:rPr>
          <w:spacing w:val="22"/>
        </w:rPr>
        <w:t xml:space="preserve"> </w:t>
      </w:r>
      <w:r>
        <w:rPr>
          <w:spacing w:val="-1"/>
        </w:rPr>
        <w:t>shall</w:t>
      </w:r>
      <w:r>
        <w:rPr>
          <w:spacing w:val="20"/>
        </w:rPr>
        <w:t xml:space="preserve"> </w:t>
      </w:r>
      <w:r>
        <w:rPr>
          <w:spacing w:val="-1"/>
        </w:rPr>
        <w:t>not</w:t>
      </w:r>
      <w:r>
        <w:rPr>
          <w:spacing w:val="22"/>
        </w:rPr>
        <w:t xml:space="preserve"> </w:t>
      </w:r>
      <w:r>
        <w:rPr>
          <w:spacing w:val="-1"/>
        </w:rPr>
        <w:t>suspend</w:t>
      </w:r>
      <w:r>
        <w:rPr>
          <w:spacing w:val="21"/>
        </w:rPr>
        <w:t xml:space="preserve"> </w:t>
      </w:r>
      <w:r>
        <w:t>the</w:t>
      </w:r>
      <w:r>
        <w:rPr>
          <w:spacing w:val="21"/>
        </w:rPr>
        <w:t xml:space="preserve"> </w:t>
      </w:r>
      <w:r>
        <w:rPr>
          <w:spacing w:val="-1"/>
        </w:rPr>
        <w:t>supply</w:t>
      </w:r>
      <w:r>
        <w:rPr>
          <w:spacing w:val="21"/>
        </w:rPr>
        <w:t xml:space="preserve"> </w:t>
      </w:r>
      <w:r>
        <w:rPr>
          <w:spacing w:val="-2"/>
        </w:rPr>
        <w:t>of</w:t>
      </w:r>
      <w:r>
        <w:rPr>
          <w:spacing w:val="24"/>
        </w:rPr>
        <w:t xml:space="preserve"> </w:t>
      </w:r>
      <w:r>
        <w:t>the</w:t>
      </w:r>
      <w:r>
        <w:rPr>
          <w:spacing w:val="21"/>
        </w:rPr>
        <w:t xml:space="preserve"> </w:t>
      </w:r>
      <w:r>
        <w:rPr>
          <w:spacing w:val="-1"/>
        </w:rPr>
        <w:t>Goods</w:t>
      </w:r>
      <w:r>
        <w:rPr>
          <w:spacing w:val="21"/>
        </w:rPr>
        <w:t xml:space="preserve"> </w:t>
      </w:r>
      <w:r>
        <w:rPr>
          <w:spacing w:val="-1"/>
        </w:rPr>
        <w:t>and/or</w:t>
      </w:r>
      <w:r>
        <w:rPr>
          <w:spacing w:val="33"/>
        </w:rPr>
        <w:t xml:space="preserve"> </w:t>
      </w:r>
      <w:r>
        <w:rPr>
          <w:spacing w:val="-1"/>
        </w:rPr>
        <w:t>Services</w:t>
      </w:r>
      <w:r>
        <w:rPr>
          <w:spacing w:val="11"/>
        </w:rPr>
        <w:t xml:space="preserve"> </w:t>
      </w:r>
      <w:r>
        <w:t>for</w:t>
      </w:r>
      <w:r>
        <w:rPr>
          <w:spacing w:val="9"/>
        </w:rPr>
        <w:t xml:space="preserve"> </w:t>
      </w:r>
      <w:r>
        <w:rPr>
          <w:spacing w:val="-1"/>
        </w:rPr>
        <w:t>failure</w:t>
      </w:r>
      <w:r>
        <w:rPr>
          <w:spacing w:val="10"/>
        </w:rPr>
        <w:t xml:space="preserve"> </w:t>
      </w:r>
      <w:r>
        <w:rPr>
          <w:spacing w:val="-2"/>
        </w:rPr>
        <w:t>of</w:t>
      </w:r>
      <w:r>
        <w:rPr>
          <w:spacing w:val="14"/>
        </w:rPr>
        <w:t xml:space="preserve"> </w:t>
      </w:r>
      <w:r>
        <w:rPr>
          <w:spacing w:val="-1"/>
        </w:rPr>
        <w:t>the</w:t>
      </w:r>
      <w:r>
        <w:rPr>
          <w:spacing w:val="10"/>
        </w:rPr>
        <w:t xml:space="preserve"> </w:t>
      </w:r>
      <w:r>
        <w:rPr>
          <w:spacing w:val="-1"/>
        </w:rPr>
        <w:t>Customer</w:t>
      </w:r>
      <w:r>
        <w:rPr>
          <w:spacing w:val="9"/>
        </w:rPr>
        <w:t xml:space="preserve"> </w:t>
      </w:r>
      <w:r>
        <w:t>to</w:t>
      </w:r>
      <w:r>
        <w:rPr>
          <w:spacing w:val="10"/>
        </w:rPr>
        <w:t xml:space="preserve"> </w:t>
      </w:r>
      <w:r>
        <w:rPr>
          <w:spacing w:val="-1"/>
        </w:rPr>
        <w:t>pay</w:t>
      </w:r>
      <w:r>
        <w:rPr>
          <w:spacing w:val="8"/>
        </w:rPr>
        <w:t xml:space="preserve"> </w:t>
      </w:r>
      <w:r>
        <w:rPr>
          <w:spacing w:val="-1"/>
        </w:rPr>
        <w:t>undisputed</w:t>
      </w:r>
      <w:r>
        <w:rPr>
          <w:spacing w:val="10"/>
        </w:rPr>
        <w:t xml:space="preserve"> </w:t>
      </w:r>
      <w:r>
        <w:rPr>
          <w:spacing w:val="-1"/>
        </w:rPr>
        <w:t>sums</w:t>
      </w:r>
      <w:r>
        <w:rPr>
          <w:spacing w:val="10"/>
        </w:rPr>
        <w:t xml:space="preserve"> </w:t>
      </w:r>
      <w:r>
        <w:rPr>
          <w:spacing w:val="-2"/>
        </w:rPr>
        <w:t>of</w:t>
      </w:r>
      <w:r>
        <w:rPr>
          <w:spacing w:val="11"/>
        </w:rPr>
        <w:t xml:space="preserve"> </w:t>
      </w:r>
      <w:r>
        <w:rPr>
          <w:spacing w:val="-1"/>
        </w:rPr>
        <w:t>money</w:t>
      </w:r>
      <w:r>
        <w:rPr>
          <w:spacing w:val="38"/>
        </w:rPr>
        <w:t xml:space="preserve"> </w:t>
      </w:r>
      <w:r>
        <w:rPr>
          <w:spacing w:val="-1"/>
        </w:rPr>
        <w:t>(whether</w:t>
      </w:r>
      <w:r>
        <w:rPr>
          <w:spacing w:val="2"/>
        </w:rPr>
        <w:t xml:space="preserve"> </w:t>
      </w:r>
      <w:r>
        <w:rPr>
          <w:spacing w:val="-1"/>
        </w:rPr>
        <w:t>in</w:t>
      </w:r>
      <w:r>
        <w:t xml:space="preserve"> </w:t>
      </w:r>
      <w:r>
        <w:rPr>
          <w:spacing w:val="-2"/>
        </w:rPr>
        <w:t>whole</w:t>
      </w:r>
      <w:r>
        <w:t xml:space="preserve"> </w:t>
      </w:r>
      <w:r>
        <w:rPr>
          <w:spacing w:val="-1"/>
        </w:rPr>
        <w:t>or</w:t>
      </w:r>
      <w:r>
        <w:rPr>
          <w:spacing w:val="2"/>
        </w:rPr>
        <w:t xml:space="preserve"> </w:t>
      </w:r>
      <w:r>
        <w:rPr>
          <w:spacing w:val="-1"/>
        </w:rPr>
        <w:t>in</w:t>
      </w:r>
      <w:r>
        <w:t xml:space="preserve"> </w:t>
      </w:r>
      <w:r>
        <w:rPr>
          <w:spacing w:val="-1"/>
        </w:rPr>
        <w:t>part).</w:t>
      </w:r>
    </w:p>
    <w:p w:rsidR="008918FA" w:rsidRDefault="008918FA" w:rsidP="008918FA">
      <w:pPr>
        <w:pStyle w:val="BodyText"/>
        <w:numPr>
          <w:ilvl w:val="0"/>
          <w:numId w:val="66"/>
        </w:numPr>
        <w:tabs>
          <w:tab w:val="left" w:pos="686"/>
        </w:tabs>
        <w:spacing w:before="117"/>
        <w:ind w:left="685" w:hanging="566"/>
        <w:rPr>
          <w:rFonts w:ascii="Times New Roman" w:eastAsia="Times New Roman" w:hAnsi="Times New Roman" w:cs="Times New Roman"/>
        </w:rPr>
      </w:pPr>
      <w:bookmarkStart w:id="290" w:name="_bookmark245"/>
      <w:bookmarkEnd w:id="290"/>
      <w:r>
        <w:rPr>
          <w:rFonts w:ascii="Times New Roman"/>
          <w:spacing w:val="-1"/>
        </w:rPr>
        <w:t>TERMINATION</w:t>
      </w:r>
      <w:r>
        <w:rPr>
          <w:rFonts w:ascii="Times New Roman"/>
          <w:spacing w:val="6"/>
        </w:rPr>
        <w:t xml:space="preserve"> </w:t>
      </w:r>
      <w:r>
        <w:rPr>
          <w:rFonts w:ascii="Times New Roman"/>
          <w:spacing w:val="5"/>
        </w:rPr>
        <w:t>BY</w:t>
      </w:r>
      <w:r>
        <w:rPr>
          <w:rFonts w:ascii="Times New Roman"/>
          <w:spacing w:val="-6"/>
        </w:rPr>
        <w:t xml:space="preserve"> </w:t>
      </w:r>
      <w:r>
        <w:rPr>
          <w:rFonts w:ascii="Times New Roman"/>
          <w:spacing w:val="1"/>
        </w:rPr>
        <w:t>EITHER</w:t>
      </w:r>
      <w:r>
        <w:rPr>
          <w:rFonts w:ascii="Times New Roman"/>
          <w:spacing w:val="18"/>
        </w:rPr>
        <w:t xml:space="preserve"> </w:t>
      </w:r>
      <w:r>
        <w:rPr>
          <w:rFonts w:ascii="Times New Roman"/>
        </w:rPr>
        <w:t>P</w:t>
      </w:r>
      <w:r>
        <w:rPr>
          <w:rFonts w:ascii="Times New Roman"/>
          <w:spacing w:val="-29"/>
        </w:rPr>
        <w:t xml:space="preserve"> </w:t>
      </w:r>
      <w:r>
        <w:rPr>
          <w:rFonts w:ascii="Times New Roman"/>
          <w:spacing w:val="1"/>
        </w:rPr>
        <w:t>ARTY</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Heading1"/>
        <w:numPr>
          <w:ilvl w:val="1"/>
          <w:numId w:val="66"/>
        </w:numPr>
        <w:tabs>
          <w:tab w:val="left" w:pos="1253"/>
        </w:tabs>
        <w:spacing w:before="0"/>
        <w:ind w:left="1252" w:hanging="564"/>
        <w:rPr>
          <w:b w:val="0"/>
          <w:bCs w:val="0"/>
        </w:rPr>
      </w:pPr>
      <w:bookmarkStart w:id="291" w:name="_bookmark246"/>
      <w:bookmarkEnd w:id="291"/>
      <w:r>
        <w:rPr>
          <w:spacing w:val="-1"/>
        </w:rPr>
        <w:t>Termination</w:t>
      </w:r>
      <w:r>
        <w:rPr>
          <w:spacing w:val="-2"/>
        </w:rPr>
        <w:t xml:space="preserve"> </w:t>
      </w:r>
      <w:r>
        <w:rPr>
          <w:spacing w:val="-1"/>
        </w:rPr>
        <w:t>for</w:t>
      </w:r>
      <w:r>
        <w:rPr>
          <w:spacing w:val="1"/>
        </w:rPr>
        <w:t xml:space="preserve"> </w:t>
      </w:r>
      <w:r>
        <w:rPr>
          <w:spacing w:val="-1"/>
        </w:rPr>
        <w:t>continuing</w:t>
      </w:r>
      <w:r>
        <w:t xml:space="preserve"> </w:t>
      </w:r>
      <w:r>
        <w:rPr>
          <w:spacing w:val="-1"/>
        </w:rPr>
        <w:t>Force</w:t>
      </w:r>
      <w:r>
        <w:rPr>
          <w:spacing w:val="-4"/>
        </w:rPr>
        <w:t xml:space="preserve"> </w:t>
      </w:r>
      <w:r>
        <w:rPr>
          <w:spacing w:val="-1"/>
        </w:rPr>
        <w:t>Majeure</w:t>
      </w:r>
      <w:r>
        <w:t xml:space="preserve"> </w:t>
      </w:r>
      <w:r>
        <w:rPr>
          <w:spacing w:val="-2"/>
        </w:rPr>
        <w:t>Event</w:t>
      </w:r>
    </w:p>
    <w:p w:rsidR="008918FA" w:rsidRDefault="008918FA" w:rsidP="008918FA">
      <w:pPr>
        <w:pStyle w:val="BodyText"/>
        <w:numPr>
          <w:ilvl w:val="2"/>
          <w:numId w:val="66"/>
        </w:numPr>
        <w:tabs>
          <w:tab w:val="left" w:pos="2246"/>
        </w:tabs>
        <w:spacing w:before="121"/>
        <w:ind w:left="2245" w:right="115" w:hanging="993"/>
        <w:jc w:val="both"/>
      </w:pPr>
      <w:r>
        <w:rPr>
          <w:spacing w:val="-1"/>
        </w:rPr>
        <w:t>Either</w:t>
      </w:r>
      <w:r>
        <w:rPr>
          <w:spacing w:val="2"/>
        </w:rPr>
        <w:t xml:space="preserve"> </w:t>
      </w:r>
      <w:r>
        <w:rPr>
          <w:spacing w:val="-1"/>
        </w:rPr>
        <w:t>Party</w:t>
      </w:r>
      <w:r>
        <w:rPr>
          <w:spacing w:val="-2"/>
        </w:rPr>
        <w:t xml:space="preserve"> </w:t>
      </w:r>
      <w:r>
        <w:rPr>
          <w:spacing w:val="-1"/>
        </w:rPr>
        <w:t>may,</w:t>
      </w:r>
      <w:r>
        <w:rPr>
          <w:spacing w:val="2"/>
        </w:rPr>
        <w:t xml:space="preserve"> </w:t>
      </w:r>
      <w:r>
        <w:rPr>
          <w:spacing w:val="-2"/>
        </w:rPr>
        <w:t>by,</w:t>
      </w:r>
      <w:r>
        <w:rPr>
          <w:spacing w:val="2"/>
        </w:rPr>
        <w:t xml:space="preserve"> </w:t>
      </w:r>
      <w:r>
        <w:rPr>
          <w:spacing w:val="-1"/>
        </w:rPr>
        <w:t>by</w:t>
      </w:r>
      <w:r>
        <w:rPr>
          <w:spacing w:val="-2"/>
        </w:rPr>
        <w:t xml:space="preserve"> issuing</w:t>
      </w:r>
      <w:r>
        <w:rPr>
          <w:spacing w:val="3"/>
        </w:rPr>
        <w:t xml:space="preserve"> </w:t>
      </w:r>
      <w:r>
        <w:t>a</w:t>
      </w:r>
      <w:r>
        <w:rPr>
          <w:spacing w:val="-4"/>
        </w:rPr>
        <w:t xml:space="preserve"> </w:t>
      </w:r>
      <w:r>
        <w:rPr>
          <w:spacing w:val="-1"/>
        </w:rPr>
        <w:t>Termination</w:t>
      </w:r>
      <w:r>
        <w:t xml:space="preserve"> </w:t>
      </w:r>
      <w:bookmarkStart w:id="292" w:name="43._TERMINATION_BY_EITHER_PARTY"/>
      <w:bookmarkEnd w:id="292"/>
      <w:r>
        <w:rPr>
          <w:spacing w:val="-2"/>
        </w:rPr>
        <w:t>Notice</w:t>
      </w:r>
      <w:r>
        <w:rPr>
          <w:spacing w:val="1"/>
        </w:rPr>
        <w:t xml:space="preserve"> </w:t>
      </w:r>
      <w:r>
        <w:t>to</w:t>
      </w:r>
      <w:r>
        <w:rPr>
          <w:spacing w:val="-2"/>
        </w:rPr>
        <w:t xml:space="preserve"> </w:t>
      </w:r>
      <w:r>
        <w:t xml:space="preserve">the </w:t>
      </w:r>
      <w:r>
        <w:rPr>
          <w:spacing w:val="-1"/>
        </w:rPr>
        <w:t>other Party</w:t>
      </w:r>
      <w:r>
        <w:rPr>
          <w:spacing w:val="45"/>
        </w:rPr>
        <w:t xml:space="preserve"> </w:t>
      </w:r>
      <w:r>
        <w:rPr>
          <w:spacing w:val="-1"/>
        </w:rPr>
        <w:t>terminate</w:t>
      </w:r>
      <w:r>
        <w:rPr>
          <w:spacing w:val="10"/>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4"/>
        </w:rPr>
        <w:t xml:space="preserve"> </w:t>
      </w:r>
      <w:r>
        <w:rPr>
          <w:spacing w:val="-2"/>
        </w:rPr>
        <w:t>Contract</w:t>
      </w:r>
      <w:r>
        <w:rPr>
          <w:spacing w:val="11"/>
        </w:rPr>
        <w:t xml:space="preserve"> </w:t>
      </w:r>
      <w:r>
        <w:rPr>
          <w:spacing w:val="-1"/>
        </w:rPr>
        <w:t>if,</w:t>
      </w:r>
      <w:r>
        <w:rPr>
          <w:spacing w:val="11"/>
        </w:rPr>
        <w:t xml:space="preserve"> </w:t>
      </w:r>
      <w:r>
        <w:rPr>
          <w:spacing w:val="-1"/>
        </w:rPr>
        <w:t>in</w:t>
      </w:r>
      <w:r>
        <w:rPr>
          <w:spacing w:val="10"/>
        </w:rPr>
        <w:t xml:space="preserve"> </w:t>
      </w:r>
      <w:r>
        <w:rPr>
          <w:spacing w:val="-1"/>
        </w:rPr>
        <w:t>accordance</w:t>
      </w:r>
      <w:r>
        <w:rPr>
          <w:spacing w:val="8"/>
        </w:rPr>
        <w:t xml:space="preserve"> </w:t>
      </w:r>
      <w:r>
        <w:rPr>
          <w:spacing w:val="-1"/>
        </w:rPr>
        <w:t>with</w:t>
      </w:r>
      <w:r>
        <w:rPr>
          <w:spacing w:val="10"/>
        </w:rPr>
        <w:t xml:space="preserve"> </w:t>
      </w:r>
      <w:r>
        <w:rPr>
          <w:spacing w:val="-2"/>
        </w:rPr>
        <w:t>Clause</w:t>
      </w:r>
      <w:r>
        <w:rPr>
          <w:spacing w:val="10"/>
        </w:rPr>
        <w:t xml:space="preserve"> </w:t>
      </w:r>
      <w:hyperlink w:anchor="_bookmark227" w:history="1">
        <w:r>
          <w:rPr>
            <w:spacing w:val="-1"/>
          </w:rPr>
          <w:t>40.6.1(a)</w:t>
        </w:r>
      </w:hyperlink>
      <w:r>
        <w:rPr>
          <w:spacing w:val="64"/>
        </w:rPr>
        <w:t xml:space="preserve"> </w:t>
      </w:r>
      <w:r>
        <w:rPr>
          <w:spacing w:val="-1"/>
        </w:rPr>
        <w:t>(Force</w:t>
      </w:r>
      <w:r>
        <w:rPr>
          <w:spacing w:val="-2"/>
        </w:rPr>
        <w:t xml:space="preserve"> </w:t>
      </w:r>
      <w:r>
        <w:rPr>
          <w:spacing w:val="-1"/>
        </w:rPr>
        <w:t>Majeure).</w:t>
      </w:r>
    </w:p>
    <w:p w:rsidR="008918FA" w:rsidRDefault="008918FA" w:rsidP="008918FA">
      <w:pPr>
        <w:pStyle w:val="BodyText"/>
        <w:numPr>
          <w:ilvl w:val="0"/>
          <w:numId w:val="66"/>
        </w:numPr>
        <w:tabs>
          <w:tab w:val="left" w:pos="686"/>
        </w:tabs>
        <w:spacing w:before="117"/>
        <w:ind w:left="685" w:hanging="566"/>
        <w:rPr>
          <w:rFonts w:ascii="Times New Roman" w:eastAsia="Times New Roman" w:hAnsi="Times New Roman" w:cs="Times New Roman"/>
        </w:rPr>
      </w:pPr>
      <w:bookmarkStart w:id="293" w:name="_bookmark247"/>
      <w:bookmarkEnd w:id="293"/>
      <w:r>
        <w:rPr>
          <w:rFonts w:ascii="Times New Roman"/>
        </w:rPr>
        <w:t>P</w:t>
      </w:r>
      <w:r>
        <w:rPr>
          <w:rFonts w:ascii="Times New Roman"/>
          <w:spacing w:val="-29"/>
        </w:rPr>
        <w:t xml:space="preserve"> </w:t>
      </w:r>
      <w:r>
        <w:rPr>
          <w:rFonts w:ascii="Times New Roman"/>
          <w:spacing w:val="-2"/>
        </w:rPr>
        <w:t>ARTIAL</w:t>
      </w:r>
      <w:r>
        <w:rPr>
          <w:rFonts w:ascii="Times New Roman"/>
          <w:spacing w:val="9"/>
        </w:rPr>
        <w:t xml:space="preserve"> </w:t>
      </w:r>
      <w:r>
        <w:rPr>
          <w:rFonts w:ascii="Times New Roman"/>
          <w:spacing w:val="-1"/>
        </w:rPr>
        <w:t>TERMINATION,</w:t>
      </w:r>
      <w:r>
        <w:rPr>
          <w:rFonts w:ascii="Times New Roman"/>
          <w:spacing w:val="14"/>
        </w:rPr>
        <w:t xml:space="preserve"> </w:t>
      </w:r>
      <w:r>
        <w:rPr>
          <w:rFonts w:ascii="Times New Roman"/>
        </w:rPr>
        <w:t>S</w:t>
      </w:r>
      <w:r>
        <w:rPr>
          <w:rFonts w:ascii="Times New Roman"/>
          <w:spacing w:val="-32"/>
        </w:rPr>
        <w:t xml:space="preserve"> </w:t>
      </w:r>
      <w:r>
        <w:rPr>
          <w:rFonts w:ascii="Times New Roman"/>
          <w:spacing w:val="8"/>
        </w:rPr>
        <w:t>USPENS</w:t>
      </w:r>
      <w:r>
        <w:rPr>
          <w:rFonts w:ascii="Times New Roman"/>
          <w:spacing w:val="-32"/>
        </w:rPr>
        <w:t xml:space="preserve"> </w:t>
      </w:r>
      <w:r>
        <w:rPr>
          <w:rFonts w:ascii="Times New Roman"/>
        </w:rPr>
        <w:t>ION</w:t>
      </w:r>
      <w:r>
        <w:rPr>
          <w:rFonts w:ascii="Times New Roman"/>
          <w:spacing w:val="8"/>
        </w:rPr>
        <w:t xml:space="preserve"> </w:t>
      </w:r>
      <w:r>
        <w:rPr>
          <w:rFonts w:ascii="Times New Roman"/>
          <w:spacing w:val="-4"/>
        </w:rPr>
        <w:t>AND</w:t>
      </w:r>
      <w:r>
        <w:rPr>
          <w:rFonts w:ascii="Times New Roman"/>
          <w:spacing w:val="8"/>
        </w:rPr>
        <w:t xml:space="preserve"> </w:t>
      </w:r>
      <w:r>
        <w:rPr>
          <w:rFonts w:ascii="Times New Roman"/>
          <w:spacing w:val="26"/>
        </w:rPr>
        <w:t>P</w:t>
      </w:r>
      <w:r>
        <w:rPr>
          <w:rFonts w:ascii="Times New Roman"/>
          <w:spacing w:val="-6"/>
        </w:rPr>
        <w:t>A</w:t>
      </w:r>
      <w:r>
        <w:rPr>
          <w:rFonts w:ascii="Times New Roman"/>
          <w:spacing w:val="13"/>
        </w:rPr>
        <w:t>R</w:t>
      </w:r>
      <w:r>
        <w:rPr>
          <w:rFonts w:ascii="Times New Roman"/>
          <w:spacing w:val="-3"/>
        </w:rPr>
        <w:t>T</w:t>
      </w:r>
      <w:r>
        <w:rPr>
          <w:rFonts w:ascii="Times New Roman"/>
          <w:spacing w:val="-7"/>
        </w:rPr>
        <w:t>I</w:t>
      </w:r>
      <w:r>
        <w:rPr>
          <w:rFonts w:ascii="Times New Roman"/>
          <w:spacing w:val="-6"/>
        </w:rPr>
        <w:t>A</w:t>
      </w:r>
      <w:r>
        <w:rPr>
          <w:rFonts w:ascii="Times New Roman"/>
        </w:rPr>
        <w:t>L</w:t>
      </w:r>
      <w:r>
        <w:rPr>
          <w:rFonts w:ascii="Times New Roman"/>
          <w:spacing w:val="7"/>
        </w:rPr>
        <w:t xml:space="preserve"> </w:t>
      </w:r>
      <w:r>
        <w:rPr>
          <w:rFonts w:ascii="Times New Roman"/>
        </w:rPr>
        <w:t>S</w:t>
      </w:r>
      <w:r>
        <w:rPr>
          <w:rFonts w:ascii="Times New Roman"/>
          <w:spacing w:val="-32"/>
        </w:rPr>
        <w:t xml:space="preserve"> </w:t>
      </w:r>
      <w:r>
        <w:rPr>
          <w:rFonts w:ascii="Times New Roman"/>
          <w:spacing w:val="-1"/>
        </w:rPr>
        <w:t>US</w:t>
      </w:r>
      <w:r>
        <w:rPr>
          <w:rFonts w:ascii="Times New Roman"/>
          <w:spacing w:val="-32"/>
        </w:rPr>
        <w:t xml:space="preserve"> </w:t>
      </w:r>
      <w:r>
        <w:rPr>
          <w:rFonts w:ascii="Times New Roman"/>
          <w:spacing w:val="8"/>
        </w:rPr>
        <w:t>PENS</w:t>
      </w:r>
      <w:r>
        <w:rPr>
          <w:rFonts w:ascii="Times New Roman"/>
          <w:spacing w:val="-32"/>
        </w:rPr>
        <w:t xml:space="preserve"> </w:t>
      </w:r>
      <w:r>
        <w:rPr>
          <w:rFonts w:ascii="Times New Roman"/>
        </w:rPr>
        <w: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3"/>
        </w:tabs>
        <w:spacing w:before="0"/>
        <w:ind w:left="1048" w:right="112" w:hanging="360"/>
        <w:jc w:val="both"/>
      </w:pPr>
      <w:bookmarkStart w:id="294" w:name="_bookmark248"/>
      <w:bookmarkEnd w:id="294"/>
      <w:r>
        <w:rPr>
          <w:spacing w:val="-1"/>
        </w:rPr>
        <w:t>Where</w:t>
      </w:r>
      <w:r>
        <w:rPr>
          <w:spacing w:val="9"/>
        </w:rPr>
        <w:t xml:space="preserve"> </w:t>
      </w:r>
      <w:r>
        <w:t>the</w:t>
      </w:r>
      <w:r>
        <w:rPr>
          <w:spacing w:val="11"/>
        </w:rPr>
        <w:t xml:space="preserve"> </w:t>
      </w:r>
      <w:r>
        <w:rPr>
          <w:spacing w:val="-2"/>
        </w:rPr>
        <w:t>Customer</w:t>
      </w:r>
      <w:r>
        <w:rPr>
          <w:spacing w:val="13"/>
        </w:rPr>
        <w:t xml:space="preserve"> </w:t>
      </w:r>
      <w:r>
        <w:rPr>
          <w:spacing w:val="-2"/>
        </w:rPr>
        <w:t>has</w:t>
      </w:r>
      <w:r>
        <w:rPr>
          <w:spacing w:val="12"/>
        </w:rPr>
        <w:t xml:space="preserve"> </w:t>
      </w:r>
      <w:r>
        <w:t>the</w:t>
      </w:r>
      <w:r>
        <w:rPr>
          <w:spacing w:val="9"/>
        </w:rPr>
        <w:t xml:space="preserve"> </w:t>
      </w:r>
      <w:r>
        <w:rPr>
          <w:spacing w:val="-1"/>
        </w:rPr>
        <w:t>right</w:t>
      </w:r>
      <w:r>
        <w:rPr>
          <w:spacing w:val="10"/>
        </w:rPr>
        <w:t xml:space="preserve"> </w:t>
      </w:r>
      <w:r>
        <w:t>to</w:t>
      </w:r>
      <w:r>
        <w:rPr>
          <w:spacing w:val="11"/>
        </w:rPr>
        <w:t xml:space="preserve"> </w:t>
      </w:r>
      <w:r>
        <w:rPr>
          <w:spacing w:val="-1"/>
        </w:rPr>
        <w:t>terminate</w:t>
      </w:r>
      <w:r>
        <w:rPr>
          <w:spacing w:val="11"/>
        </w:rPr>
        <w:t xml:space="preserve"> </w:t>
      </w:r>
      <w:r>
        <w:rPr>
          <w:spacing w:val="-1"/>
        </w:rPr>
        <w:t>this</w:t>
      </w:r>
      <w:r>
        <w:rPr>
          <w:spacing w:val="12"/>
        </w:rPr>
        <w:t xml:space="preserve"> </w:t>
      </w:r>
      <w:r>
        <w:rPr>
          <w:spacing w:val="-2"/>
        </w:rPr>
        <w:t>Call</w:t>
      </w:r>
      <w:r>
        <w:rPr>
          <w:spacing w:val="11"/>
        </w:rPr>
        <w:t xml:space="preserve"> </w:t>
      </w:r>
      <w:r>
        <w:rPr>
          <w:spacing w:val="-1"/>
        </w:rPr>
        <w:t>Off</w:t>
      </w:r>
      <w:r>
        <w:rPr>
          <w:spacing w:val="13"/>
        </w:rPr>
        <w:t xml:space="preserve"> </w:t>
      </w:r>
      <w:r>
        <w:rPr>
          <w:spacing w:val="-1"/>
        </w:rPr>
        <w:t>Contra</w:t>
      </w:r>
      <w:bookmarkStart w:id="295" w:name="44._PARTIAL_TERMINATION,_SUSPENSION_AND_"/>
      <w:bookmarkEnd w:id="295"/>
      <w:r>
        <w:rPr>
          <w:spacing w:val="-1"/>
        </w:rPr>
        <w:t>ct,</w:t>
      </w:r>
      <w:r>
        <w:rPr>
          <w:spacing w:val="10"/>
        </w:rPr>
        <w:t xml:space="preserve"> </w:t>
      </w:r>
      <w:r>
        <w:rPr>
          <w:spacing w:val="-1"/>
        </w:rPr>
        <w:t>the</w:t>
      </w:r>
      <w:r>
        <w:rPr>
          <w:spacing w:val="56"/>
        </w:rPr>
        <w:t xml:space="preserve"> </w:t>
      </w:r>
      <w:r>
        <w:rPr>
          <w:spacing w:val="-1"/>
        </w:rPr>
        <w:t>Customer</w:t>
      </w:r>
      <w:r>
        <w:rPr>
          <w:spacing w:val="57"/>
        </w:rPr>
        <w:t xml:space="preserve"> </w:t>
      </w:r>
      <w:r>
        <w:rPr>
          <w:spacing w:val="-1"/>
        </w:rPr>
        <w:t>shall</w:t>
      </w:r>
      <w:r>
        <w:rPr>
          <w:spacing w:val="55"/>
        </w:rPr>
        <w:t xml:space="preserve"> </w:t>
      </w:r>
      <w:r>
        <w:rPr>
          <w:spacing w:val="-1"/>
        </w:rPr>
        <w:t>be</w:t>
      </w:r>
      <w:r>
        <w:rPr>
          <w:spacing w:val="56"/>
        </w:rPr>
        <w:t xml:space="preserve"> </w:t>
      </w:r>
      <w:r>
        <w:rPr>
          <w:spacing w:val="-1"/>
        </w:rPr>
        <w:t>entitled</w:t>
      </w:r>
      <w:r>
        <w:rPr>
          <w:spacing w:val="55"/>
        </w:rPr>
        <w:t xml:space="preserve"> </w:t>
      </w:r>
      <w:r>
        <w:t>to</w:t>
      </w:r>
      <w:r>
        <w:rPr>
          <w:spacing w:val="55"/>
        </w:rPr>
        <w:t xml:space="preserve"> </w:t>
      </w:r>
      <w:r>
        <w:rPr>
          <w:spacing w:val="-1"/>
        </w:rPr>
        <w:t>terminate</w:t>
      </w:r>
      <w:r>
        <w:rPr>
          <w:spacing w:val="53"/>
        </w:rPr>
        <w:t xml:space="preserve"> </w:t>
      </w:r>
      <w:r>
        <w:rPr>
          <w:spacing w:val="-1"/>
        </w:rPr>
        <w:t>or</w:t>
      </w:r>
      <w:r>
        <w:rPr>
          <w:spacing w:val="58"/>
        </w:rPr>
        <w:t xml:space="preserve"> </w:t>
      </w:r>
      <w:r>
        <w:rPr>
          <w:spacing w:val="-2"/>
        </w:rPr>
        <w:t>suspend</w:t>
      </w:r>
      <w:r>
        <w:rPr>
          <w:spacing w:val="56"/>
        </w:rPr>
        <w:t xml:space="preserve"> </w:t>
      </w:r>
      <w:r>
        <w:rPr>
          <w:spacing w:val="-1"/>
        </w:rPr>
        <w:t>all</w:t>
      </w:r>
      <w:r>
        <w:rPr>
          <w:spacing w:val="55"/>
        </w:rPr>
        <w:t xml:space="preserve"> </w:t>
      </w:r>
      <w:r>
        <w:rPr>
          <w:spacing w:val="-1"/>
        </w:rPr>
        <w:t>or</w:t>
      </w:r>
      <w:r>
        <w:rPr>
          <w:spacing w:val="57"/>
        </w:rPr>
        <w:t xml:space="preserve"> </w:t>
      </w:r>
      <w:r>
        <w:rPr>
          <w:spacing w:val="-1"/>
        </w:rPr>
        <w:t>part</w:t>
      </w:r>
      <w:r>
        <w:rPr>
          <w:spacing w:val="55"/>
        </w:rPr>
        <w:t xml:space="preserve"> </w:t>
      </w:r>
      <w:r>
        <w:rPr>
          <w:spacing w:val="-2"/>
        </w:rPr>
        <w:t>of</w:t>
      </w:r>
      <w:r>
        <w:rPr>
          <w:spacing w:val="57"/>
        </w:rPr>
        <w:t xml:space="preserve"> </w:t>
      </w:r>
      <w:r>
        <w:rPr>
          <w:spacing w:val="-1"/>
        </w:rPr>
        <w:t>this</w:t>
      </w:r>
      <w:r>
        <w:rPr>
          <w:spacing w:val="55"/>
        </w:rPr>
        <w:t xml:space="preserve"> </w:t>
      </w:r>
      <w:r>
        <w:rPr>
          <w:spacing w:val="-2"/>
        </w:rPr>
        <w:t>Call</w:t>
      </w:r>
      <w:r>
        <w:rPr>
          <w:spacing w:val="55"/>
        </w:rPr>
        <w:t xml:space="preserve"> </w:t>
      </w:r>
      <w:r>
        <w:rPr>
          <w:spacing w:val="-1"/>
        </w:rPr>
        <w:t>Off</w:t>
      </w:r>
      <w:r>
        <w:rPr>
          <w:spacing w:val="49"/>
        </w:rPr>
        <w:t xml:space="preserve"> </w:t>
      </w:r>
      <w:r>
        <w:rPr>
          <w:spacing w:val="-1"/>
        </w:rPr>
        <w:t>Contract</w:t>
      </w:r>
      <w:r>
        <w:rPr>
          <w:spacing w:val="16"/>
        </w:rPr>
        <w:t xml:space="preserve"> </w:t>
      </w:r>
      <w:r>
        <w:rPr>
          <w:spacing w:val="-2"/>
        </w:rPr>
        <w:t>provided</w:t>
      </w:r>
      <w:r>
        <w:rPr>
          <w:spacing w:val="15"/>
        </w:rPr>
        <w:t xml:space="preserve"> </w:t>
      </w:r>
      <w:r>
        <w:rPr>
          <w:spacing w:val="-1"/>
        </w:rPr>
        <w:t>always</w:t>
      </w:r>
      <w:r>
        <w:rPr>
          <w:spacing w:val="16"/>
        </w:rPr>
        <w:t xml:space="preserve"> </w:t>
      </w:r>
      <w:r>
        <w:t>that,</w:t>
      </w:r>
      <w:r>
        <w:rPr>
          <w:spacing w:val="16"/>
        </w:rPr>
        <w:t xml:space="preserve"> </w:t>
      </w:r>
      <w:r>
        <w:rPr>
          <w:spacing w:val="-2"/>
        </w:rPr>
        <w:t>if</w:t>
      </w:r>
      <w:r>
        <w:rPr>
          <w:spacing w:val="19"/>
        </w:rPr>
        <w:t xml:space="preserve"> </w:t>
      </w:r>
      <w:r>
        <w:t>the</w:t>
      </w:r>
      <w:r>
        <w:rPr>
          <w:spacing w:val="15"/>
        </w:rPr>
        <w:t xml:space="preserve"> </w:t>
      </w:r>
      <w:r>
        <w:rPr>
          <w:spacing w:val="-2"/>
        </w:rPr>
        <w:t>Customer</w:t>
      </w:r>
      <w:r>
        <w:rPr>
          <w:spacing w:val="16"/>
        </w:rPr>
        <w:t xml:space="preserve"> </w:t>
      </w:r>
      <w:r>
        <w:rPr>
          <w:spacing w:val="-1"/>
        </w:rPr>
        <w:t>elects</w:t>
      </w:r>
      <w:r>
        <w:rPr>
          <w:spacing w:val="15"/>
        </w:rPr>
        <w:t xml:space="preserve"> </w:t>
      </w:r>
      <w:r>
        <w:t>to</w:t>
      </w:r>
      <w:r>
        <w:rPr>
          <w:spacing w:val="15"/>
        </w:rPr>
        <w:t xml:space="preserve"> </w:t>
      </w:r>
      <w:r>
        <w:rPr>
          <w:spacing w:val="-1"/>
        </w:rPr>
        <w:t>terminate</w:t>
      </w:r>
      <w:r>
        <w:rPr>
          <w:spacing w:val="15"/>
        </w:rPr>
        <w:t xml:space="preserve"> </w:t>
      </w:r>
      <w:r>
        <w:rPr>
          <w:spacing w:val="-1"/>
        </w:rPr>
        <w:t>or</w:t>
      </w:r>
      <w:r>
        <w:rPr>
          <w:spacing w:val="16"/>
        </w:rPr>
        <w:t xml:space="preserve"> </w:t>
      </w:r>
      <w:r>
        <w:rPr>
          <w:spacing w:val="-1"/>
        </w:rPr>
        <w:t>suspend</w:t>
      </w:r>
      <w:r>
        <w:rPr>
          <w:spacing w:val="15"/>
        </w:rPr>
        <w:t xml:space="preserve"> </w:t>
      </w:r>
      <w:r>
        <w:rPr>
          <w:spacing w:val="-1"/>
        </w:rPr>
        <w:t>this</w:t>
      </w:r>
      <w:r>
        <w:rPr>
          <w:spacing w:val="59"/>
        </w:rPr>
        <w:t xml:space="preserve"> </w:t>
      </w:r>
      <w:r>
        <w:rPr>
          <w:spacing w:val="-2"/>
        </w:rPr>
        <w:t>Call</w:t>
      </w:r>
      <w:r>
        <w:rPr>
          <w:spacing w:val="55"/>
        </w:rPr>
        <w:t xml:space="preserve"> </w:t>
      </w:r>
      <w:r>
        <w:t>Off</w:t>
      </w:r>
      <w:r>
        <w:rPr>
          <w:spacing w:val="57"/>
        </w:rPr>
        <w:t xml:space="preserve"> </w:t>
      </w:r>
      <w:r>
        <w:rPr>
          <w:spacing w:val="-2"/>
        </w:rPr>
        <w:t>Contract</w:t>
      </w:r>
      <w:r>
        <w:rPr>
          <w:spacing w:val="57"/>
        </w:rPr>
        <w:t xml:space="preserve"> </w:t>
      </w:r>
      <w:r>
        <w:rPr>
          <w:spacing w:val="-1"/>
        </w:rPr>
        <w:t>in</w:t>
      </w:r>
      <w:r>
        <w:rPr>
          <w:spacing w:val="55"/>
        </w:rPr>
        <w:t xml:space="preserve"> </w:t>
      </w:r>
      <w:r>
        <w:rPr>
          <w:spacing w:val="-2"/>
        </w:rPr>
        <w:t>part,</w:t>
      </w:r>
      <w:r>
        <w:rPr>
          <w:spacing w:val="57"/>
        </w:rPr>
        <w:t xml:space="preserve"> </w:t>
      </w:r>
      <w:r>
        <w:t>the</w:t>
      </w:r>
      <w:r>
        <w:rPr>
          <w:spacing w:val="55"/>
        </w:rPr>
        <w:t xml:space="preserve"> </w:t>
      </w:r>
      <w:r>
        <w:rPr>
          <w:spacing w:val="-2"/>
        </w:rPr>
        <w:t>parts</w:t>
      </w:r>
      <w:r>
        <w:rPr>
          <w:spacing w:val="57"/>
        </w:rPr>
        <w:t xml:space="preserve"> </w:t>
      </w:r>
      <w:r>
        <w:rPr>
          <w:spacing w:val="-2"/>
        </w:rPr>
        <w:t>of</w:t>
      </w:r>
      <w:r>
        <w:rPr>
          <w:spacing w:val="57"/>
        </w:rPr>
        <w:t xml:space="preserve"> </w:t>
      </w:r>
      <w:r>
        <w:rPr>
          <w:spacing w:val="-1"/>
        </w:rPr>
        <w:t>this</w:t>
      </w:r>
      <w:r>
        <w:rPr>
          <w:spacing w:val="56"/>
        </w:rPr>
        <w:t xml:space="preserve"> </w:t>
      </w:r>
      <w:r>
        <w:rPr>
          <w:spacing w:val="-2"/>
        </w:rPr>
        <w:t>Call</w:t>
      </w:r>
      <w:r>
        <w:rPr>
          <w:spacing w:val="55"/>
        </w:rPr>
        <w:t xml:space="preserve"> </w:t>
      </w:r>
      <w:r>
        <w:rPr>
          <w:spacing w:val="-1"/>
        </w:rPr>
        <w:t>Off</w:t>
      </w:r>
      <w:r>
        <w:rPr>
          <w:spacing w:val="57"/>
        </w:rPr>
        <w:t xml:space="preserve"> </w:t>
      </w:r>
      <w:r>
        <w:rPr>
          <w:spacing w:val="-1"/>
        </w:rPr>
        <w:t>Contract</w:t>
      </w:r>
      <w:r>
        <w:rPr>
          <w:spacing w:val="57"/>
        </w:rPr>
        <w:t xml:space="preserve"> </w:t>
      </w:r>
      <w:r>
        <w:rPr>
          <w:spacing w:val="-2"/>
        </w:rPr>
        <w:t>not</w:t>
      </w:r>
      <w:r>
        <w:rPr>
          <w:spacing w:val="56"/>
        </w:rPr>
        <w:t xml:space="preserve"> </w:t>
      </w:r>
      <w:r>
        <w:rPr>
          <w:spacing w:val="-1"/>
        </w:rPr>
        <w:t>terminated</w:t>
      </w:r>
      <w:r>
        <w:rPr>
          <w:spacing w:val="55"/>
        </w:rPr>
        <w:t xml:space="preserve"> </w:t>
      </w:r>
      <w:r>
        <w:rPr>
          <w:spacing w:val="-3"/>
        </w:rPr>
        <w:t>or</w:t>
      </w:r>
      <w:r>
        <w:rPr>
          <w:spacing w:val="64"/>
        </w:rPr>
        <w:t xml:space="preserve"> </w:t>
      </w:r>
      <w:r>
        <w:rPr>
          <w:spacing w:val="-1"/>
        </w:rPr>
        <w:t>suspended</w:t>
      </w:r>
      <w:r>
        <w:rPr>
          <w:spacing w:val="1"/>
        </w:rPr>
        <w:t xml:space="preserve"> </w:t>
      </w:r>
      <w:r>
        <w:rPr>
          <w:spacing w:val="-1"/>
        </w:rPr>
        <w:t>can,</w:t>
      </w:r>
      <w:r>
        <w:rPr>
          <w:spacing w:val="2"/>
        </w:rPr>
        <w:t xml:space="preserve"> </w:t>
      </w:r>
      <w:r>
        <w:rPr>
          <w:spacing w:val="-1"/>
        </w:rPr>
        <w:t>in</w:t>
      </w:r>
      <w:r>
        <w:t xml:space="preserve"> the </w:t>
      </w:r>
      <w:r>
        <w:rPr>
          <w:spacing w:val="-2"/>
        </w:rPr>
        <w:t>Customer’s</w:t>
      </w:r>
      <w:r>
        <w:rPr>
          <w:spacing w:val="1"/>
        </w:rPr>
        <w:t xml:space="preserve"> </w:t>
      </w:r>
      <w:r>
        <w:rPr>
          <w:spacing w:val="-1"/>
        </w:rPr>
        <w:t>reasonable</w:t>
      </w:r>
      <w:r>
        <w:t xml:space="preserve"> </w:t>
      </w:r>
      <w:r>
        <w:rPr>
          <w:spacing w:val="-2"/>
        </w:rPr>
        <w:t>opinion,</w:t>
      </w:r>
      <w:r>
        <w:rPr>
          <w:spacing w:val="2"/>
        </w:rPr>
        <w:t xml:space="preserve"> </w:t>
      </w:r>
      <w:r>
        <w:rPr>
          <w:spacing w:val="-1"/>
        </w:rPr>
        <w:t>operate</w:t>
      </w:r>
      <w:r>
        <w:t xml:space="preserve"> </w:t>
      </w:r>
      <w:r>
        <w:rPr>
          <w:spacing w:val="-1"/>
        </w:rPr>
        <w:t>effectively</w:t>
      </w:r>
      <w:r>
        <w:rPr>
          <w:spacing w:val="1"/>
        </w:rPr>
        <w:t xml:space="preserve"> </w:t>
      </w:r>
      <w:r>
        <w:t xml:space="preserve">to </w:t>
      </w:r>
      <w:r>
        <w:rPr>
          <w:spacing w:val="-2"/>
        </w:rPr>
        <w:t>deliver</w:t>
      </w:r>
      <w:r>
        <w:rPr>
          <w:spacing w:val="62"/>
        </w:rPr>
        <w:t xml:space="preserve"> </w:t>
      </w:r>
      <w:r>
        <w:t xml:space="preserve">the </w:t>
      </w:r>
      <w:r>
        <w:rPr>
          <w:spacing w:val="-1"/>
        </w:rPr>
        <w:t>intended</w:t>
      </w:r>
      <w:r>
        <w:rPr>
          <w:spacing w:val="-2"/>
        </w:rPr>
        <w:t xml:space="preserve"> </w:t>
      </w:r>
      <w:r>
        <w:rPr>
          <w:spacing w:val="-1"/>
        </w:rPr>
        <w:t>purpose</w:t>
      </w:r>
      <w:r>
        <w:rPr>
          <w:spacing w:val="1"/>
        </w:rPr>
        <w:t xml:space="preserve"> </w:t>
      </w:r>
      <w:r>
        <w:rPr>
          <w:spacing w:val="-2"/>
        </w:rPr>
        <w:t>of</w:t>
      </w:r>
      <w:r>
        <w:t xml:space="preserve"> </w:t>
      </w:r>
      <w:r>
        <w:rPr>
          <w:spacing w:val="-1"/>
        </w:rPr>
        <w:t>the</w:t>
      </w:r>
      <w:r>
        <w:t xml:space="preserve"> </w:t>
      </w:r>
      <w:r>
        <w:rPr>
          <w:spacing w:val="-2"/>
        </w:rPr>
        <w:t>surviving</w:t>
      </w:r>
      <w:r>
        <w:rPr>
          <w:spacing w:val="3"/>
        </w:rPr>
        <w:t xml:space="preserve"> </w:t>
      </w:r>
      <w:r>
        <w:rPr>
          <w:spacing w:val="-1"/>
        </w:rPr>
        <w:t>parts</w:t>
      </w:r>
      <w:r>
        <w:rPr>
          <w:spacing w:val="1"/>
        </w:rPr>
        <w:t xml:space="preserve"> </w:t>
      </w:r>
      <w:r>
        <w:rPr>
          <w:spacing w:val="-2"/>
        </w:rPr>
        <w:t>of</w:t>
      </w:r>
      <w: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p>
    <w:p w:rsidR="008918FA" w:rsidRDefault="008918FA" w:rsidP="008918FA">
      <w:pPr>
        <w:pStyle w:val="BodyText"/>
        <w:numPr>
          <w:ilvl w:val="1"/>
          <w:numId w:val="66"/>
        </w:numPr>
        <w:tabs>
          <w:tab w:val="left" w:pos="1253"/>
        </w:tabs>
        <w:ind w:left="1048" w:right="112" w:hanging="360"/>
        <w:jc w:val="both"/>
      </w:pPr>
      <w:r>
        <w:rPr>
          <w:spacing w:val="-1"/>
        </w:rPr>
        <w:t>Any</w:t>
      </w:r>
      <w:r>
        <w:rPr>
          <w:spacing w:val="36"/>
        </w:rPr>
        <w:t xml:space="preserve"> </w:t>
      </w:r>
      <w:r>
        <w:rPr>
          <w:spacing w:val="-1"/>
        </w:rPr>
        <w:t>suspension</w:t>
      </w:r>
      <w:r>
        <w:rPr>
          <w:spacing w:val="39"/>
        </w:rPr>
        <w:t xml:space="preserve"> </w:t>
      </w:r>
      <w:r>
        <w:rPr>
          <w:spacing w:val="-1"/>
        </w:rPr>
        <w:t>of</w:t>
      </w:r>
      <w:r>
        <w:rPr>
          <w:spacing w:val="40"/>
        </w:rPr>
        <w:t xml:space="preserve"> </w:t>
      </w:r>
      <w:r>
        <w:rPr>
          <w:spacing w:val="-1"/>
        </w:rPr>
        <w:t>this</w:t>
      </w:r>
      <w:r>
        <w:rPr>
          <w:spacing w:val="37"/>
        </w:rPr>
        <w:t xml:space="preserve"> </w:t>
      </w:r>
      <w:r>
        <w:rPr>
          <w:spacing w:val="-2"/>
        </w:rPr>
        <w:t>Call</w:t>
      </w:r>
      <w:r>
        <w:rPr>
          <w:spacing w:val="38"/>
        </w:rPr>
        <w:t xml:space="preserve"> </w:t>
      </w:r>
      <w:r>
        <w:rPr>
          <w:spacing w:val="-1"/>
        </w:rPr>
        <w:t>Off</w:t>
      </w:r>
      <w:r>
        <w:rPr>
          <w:spacing w:val="42"/>
        </w:rPr>
        <w:t xml:space="preserve"> </w:t>
      </w:r>
      <w:r>
        <w:rPr>
          <w:spacing w:val="-2"/>
        </w:rPr>
        <w:t>Contract</w:t>
      </w:r>
      <w:r>
        <w:rPr>
          <w:spacing w:val="41"/>
        </w:rPr>
        <w:t xml:space="preserve"> </w:t>
      </w:r>
      <w:r>
        <w:rPr>
          <w:spacing w:val="-2"/>
        </w:rPr>
        <w:t>under</w:t>
      </w:r>
      <w:r>
        <w:rPr>
          <w:spacing w:val="37"/>
        </w:rPr>
        <w:t xml:space="preserve"> </w:t>
      </w:r>
      <w:r>
        <w:rPr>
          <w:spacing w:val="-2"/>
        </w:rPr>
        <w:t>Clause</w:t>
      </w:r>
      <w:r>
        <w:rPr>
          <w:spacing w:val="41"/>
        </w:rPr>
        <w:t xml:space="preserve"> </w:t>
      </w:r>
      <w:hyperlink w:anchor="_bookmark248" w:history="1">
        <w:r>
          <w:rPr>
            <w:spacing w:val="-1"/>
          </w:rPr>
          <w:t>44.1</w:t>
        </w:r>
      </w:hyperlink>
      <w:r>
        <w:rPr>
          <w:spacing w:val="39"/>
        </w:rPr>
        <w:t xml:space="preserve"> </w:t>
      </w:r>
      <w:r>
        <w:rPr>
          <w:spacing w:val="-1"/>
        </w:rPr>
        <w:t>shall</w:t>
      </w:r>
      <w:r>
        <w:rPr>
          <w:spacing w:val="38"/>
        </w:rPr>
        <w:t xml:space="preserve"> </w:t>
      </w:r>
      <w:r>
        <w:rPr>
          <w:spacing w:val="-1"/>
        </w:rPr>
        <w:t>be</w:t>
      </w:r>
      <w:r>
        <w:rPr>
          <w:spacing w:val="37"/>
        </w:rPr>
        <w:t xml:space="preserve"> </w:t>
      </w:r>
      <w:r>
        <w:rPr>
          <w:spacing w:val="-1"/>
        </w:rPr>
        <w:t>for</w:t>
      </w:r>
      <w:r>
        <w:rPr>
          <w:spacing w:val="41"/>
        </w:rPr>
        <w:t xml:space="preserve"> </w:t>
      </w:r>
      <w:r>
        <w:rPr>
          <w:spacing w:val="-1"/>
        </w:rPr>
        <w:t>such</w:t>
      </w:r>
      <w:r>
        <w:rPr>
          <w:spacing w:val="68"/>
        </w:rPr>
        <w:t xml:space="preserve"> </w:t>
      </w:r>
      <w:r>
        <w:rPr>
          <w:spacing w:val="-1"/>
        </w:rPr>
        <w:t>period</w:t>
      </w:r>
      <w:r>
        <w:rPr>
          <w:spacing w:val="28"/>
        </w:rPr>
        <w:t xml:space="preserve"> </w:t>
      </w:r>
      <w:r>
        <w:rPr>
          <w:spacing w:val="-1"/>
        </w:rPr>
        <w:t>as</w:t>
      </w:r>
      <w:r>
        <w:rPr>
          <w:spacing w:val="28"/>
        </w:rPr>
        <w:t xml:space="preserve"> </w:t>
      </w:r>
      <w:r>
        <w:t>the</w:t>
      </w:r>
      <w:r>
        <w:rPr>
          <w:spacing w:val="28"/>
        </w:rPr>
        <w:t xml:space="preserve"> </w:t>
      </w:r>
      <w:r>
        <w:rPr>
          <w:spacing w:val="-2"/>
        </w:rPr>
        <w:t>Customer</w:t>
      </w:r>
      <w:r>
        <w:rPr>
          <w:spacing w:val="29"/>
        </w:rPr>
        <w:t xml:space="preserve"> </w:t>
      </w:r>
      <w:r>
        <w:rPr>
          <w:spacing w:val="-1"/>
        </w:rPr>
        <w:t>may</w:t>
      </w:r>
      <w:r>
        <w:rPr>
          <w:spacing w:val="26"/>
        </w:rPr>
        <w:t xml:space="preserve"> </w:t>
      </w:r>
      <w:r>
        <w:rPr>
          <w:spacing w:val="-1"/>
        </w:rPr>
        <w:t>specify</w:t>
      </w:r>
      <w:r>
        <w:rPr>
          <w:spacing w:val="26"/>
        </w:rPr>
        <w:t xml:space="preserve"> </w:t>
      </w:r>
      <w:r>
        <w:rPr>
          <w:spacing w:val="-1"/>
        </w:rPr>
        <w:t>and</w:t>
      </w:r>
      <w:r>
        <w:rPr>
          <w:spacing w:val="28"/>
        </w:rPr>
        <w:t xml:space="preserve"> </w:t>
      </w:r>
      <w:r>
        <w:rPr>
          <w:spacing w:val="-1"/>
        </w:rPr>
        <w:t>without</w:t>
      </w:r>
      <w:r>
        <w:rPr>
          <w:spacing w:val="30"/>
        </w:rPr>
        <w:t xml:space="preserve"> </w:t>
      </w:r>
      <w:r>
        <w:rPr>
          <w:spacing w:val="-1"/>
        </w:rPr>
        <w:t>prejudice</w:t>
      </w:r>
      <w:r>
        <w:rPr>
          <w:spacing w:val="28"/>
        </w:rPr>
        <w:t xml:space="preserve"> </w:t>
      </w:r>
      <w:r>
        <w:t>to</w:t>
      </w:r>
      <w:r>
        <w:rPr>
          <w:spacing w:val="26"/>
        </w:rPr>
        <w:t xml:space="preserve"> </w:t>
      </w:r>
      <w:r>
        <w:rPr>
          <w:spacing w:val="-1"/>
        </w:rPr>
        <w:t>any</w:t>
      </w:r>
      <w:r>
        <w:rPr>
          <w:spacing w:val="26"/>
        </w:rPr>
        <w:t xml:space="preserve"> </w:t>
      </w:r>
      <w:r>
        <w:rPr>
          <w:spacing w:val="-1"/>
        </w:rPr>
        <w:t>right</w:t>
      </w:r>
      <w:r>
        <w:rPr>
          <w:spacing w:val="27"/>
        </w:rPr>
        <w:t xml:space="preserve"> </w:t>
      </w:r>
      <w:r>
        <w:rPr>
          <w:spacing w:val="-2"/>
        </w:rPr>
        <w:t>of</w:t>
      </w:r>
      <w:r>
        <w:rPr>
          <w:spacing w:val="45"/>
        </w:rPr>
        <w:t xml:space="preserve"> </w:t>
      </w:r>
      <w:r>
        <w:rPr>
          <w:spacing w:val="-1"/>
        </w:rPr>
        <w:t>termination</w:t>
      </w:r>
      <w:r>
        <w:t xml:space="preserve"> </w:t>
      </w:r>
      <w:r>
        <w:rPr>
          <w:spacing w:val="-2"/>
        </w:rPr>
        <w:t>which</w:t>
      </w:r>
      <w:r>
        <w:rPr>
          <w:spacing w:val="1"/>
        </w:rPr>
        <w:t xml:space="preserve"> </w:t>
      </w:r>
      <w:r>
        <w:rPr>
          <w:spacing w:val="-1"/>
        </w:rPr>
        <w:t>has</w:t>
      </w:r>
      <w:r>
        <w:rPr>
          <w:spacing w:val="1"/>
        </w:rPr>
        <w:t xml:space="preserve"> </w:t>
      </w:r>
      <w:r>
        <w:rPr>
          <w:spacing w:val="-2"/>
        </w:rPr>
        <w:t xml:space="preserve">already </w:t>
      </w:r>
      <w:r>
        <w:rPr>
          <w:spacing w:val="-1"/>
        </w:rPr>
        <w:t>accrued,</w:t>
      </w:r>
      <w:r>
        <w:t xml:space="preserve"> </w:t>
      </w:r>
      <w:r>
        <w:rPr>
          <w:spacing w:val="-1"/>
        </w:rPr>
        <w:t>or subsequently</w:t>
      </w:r>
      <w:r>
        <w:rPr>
          <w:spacing w:val="-2"/>
        </w:rPr>
        <w:t xml:space="preserve"> </w:t>
      </w:r>
      <w:r>
        <w:rPr>
          <w:spacing w:val="-1"/>
        </w:rPr>
        <w:t>accrues,</w:t>
      </w:r>
      <w:r>
        <w:t xml:space="preserve"> </w:t>
      </w:r>
      <w:r>
        <w:rPr>
          <w:spacing w:val="-1"/>
        </w:rPr>
        <w:t>to</w:t>
      </w:r>
      <w:r>
        <w:rPr>
          <w:spacing w:val="-2"/>
        </w:rPr>
        <w:t xml:space="preserve"> </w:t>
      </w:r>
      <w:r>
        <w:t xml:space="preserve">the </w:t>
      </w:r>
      <w:r>
        <w:rPr>
          <w:spacing w:val="-1"/>
        </w:rPr>
        <w:t>Customer.</w:t>
      </w:r>
    </w:p>
    <w:p w:rsidR="008918FA" w:rsidRDefault="008918FA" w:rsidP="008918FA">
      <w:pPr>
        <w:pStyle w:val="BodyText"/>
        <w:numPr>
          <w:ilvl w:val="1"/>
          <w:numId w:val="66"/>
        </w:numPr>
        <w:tabs>
          <w:tab w:val="left" w:pos="1254"/>
        </w:tabs>
        <w:spacing w:before="121"/>
        <w:ind w:left="1048" w:right="112" w:hanging="359"/>
        <w:jc w:val="both"/>
      </w:pPr>
      <w:r>
        <w:t>The</w:t>
      </w:r>
      <w:r>
        <w:rPr>
          <w:spacing w:val="41"/>
        </w:rPr>
        <w:t xml:space="preserve"> </w:t>
      </w:r>
      <w:r>
        <w:rPr>
          <w:spacing w:val="-1"/>
        </w:rPr>
        <w:t>Parties</w:t>
      </w:r>
      <w:r>
        <w:rPr>
          <w:spacing w:val="42"/>
        </w:rPr>
        <w:t xml:space="preserve"> </w:t>
      </w:r>
      <w:r>
        <w:rPr>
          <w:spacing w:val="-1"/>
        </w:rPr>
        <w:t>shall</w:t>
      </w:r>
      <w:r>
        <w:rPr>
          <w:spacing w:val="41"/>
        </w:rPr>
        <w:t xml:space="preserve"> </w:t>
      </w:r>
      <w:r>
        <w:rPr>
          <w:spacing w:val="-1"/>
        </w:rPr>
        <w:t>seek</w:t>
      </w:r>
      <w:r>
        <w:rPr>
          <w:spacing w:val="41"/>
        </w:rPr>
        <w:t xml:space="preserve"> </w:t>
      </w:r>
      <w:r>
        <w:t>to</w:t>
      </w:r>
      <w:r>
        <w:rPr>
          <w:spacing w:val="41"/>
        </w:rPr>
        <w:t xml:space="preserve"> </w:t>
      </w:r>
      <w:r>
        <w:rPr>
          <w:spacing w:val="-1"/>
        </w:rPr>
        <w:t>agree</w:t>
      </w:r>
      <w:r>
        <w:rPr>
          <w:spacing w:val="41"/>
        </w:rPr>
        <w:t xml:space="preserve"> </w:t>
      </w:r>
      <w:r>
        <w:t>the</w:t>
      </w:r>
      <w:r>
        <w:rPr>
          <w:spacing w:val="42"/>
        </w:rPr>
        <w:t xml:space="preserve"> </w:t>
      </w:r>
      <w:r>
        <w:rPr>
          <w:spacing w:val="-1"/>
        </w:rPr>
        <w:t>effect</w:t>
      </w:r>
      <w:r>
        <w:rPr>
          <w:spacing w:val="42"/>
        </w:rPr>
        <w:t xml:space="preserve"> </w:t>
      </w:r>
      <w:r>
        <w:rPr>
          <w:spacing w:val="-2"/>
        </w:rPr>
        <w:t>of</w:t>
      </w:r>
      <w:r>
        <w:rPr>
          <w:spacing w:val="45"/>
        </w:rPr>
        <w:t xml:space="preserve"> </w:t>
      </w:r>
      <w:r>
        <w:rPr>
          <w:spacing w:val="-1"/>
        </w:rPr>
        <w:t>any</w:t>
      </w:r>
      <w:r>
        <w:rPr>
          <w:spacing w:val="39"/>
        </w:rPr>
        <w:t xml:space="preserve"> </w:t>
      </w:r>
      <w:r>
        <w:rPr>
          <w:spacing w:val="-1"/>
        </w:rPr>
        <w:t>Variation</w:t>
      </w:r>
      <w:r>
        <w:rPr>
          <w:spacing w:val="42"/>
        </w:rPr>
        <w:t xml:space="preserve"> </w:t>
      </w:r>
      <w:r>
        <w:rPr>
          <w:spacing w:val="-1"/>
        </w:rPr>
        <w:t>necessitated</w:t>
      </w:r>
      <w:r>
        <w:rPr>
          <w:spacing w:val="41"/>
        </w:rPr>
        <w:t xml:space="preserve"> </w:t>
      </w:r>
      <w:r>
        <w:rPr>
          <w:spacing w:val="-1"/>
        </w:rPr>
        <w:t>by</w:t>
      </w:r>
      <w:r>
        <w:rPr>
          <w:spacing w:val="42"/>
        </w:rPr>
        <w:t xml:space="preserve"> </w:t>
      </w:r>
      <w:r>
        <w:t>a</w:t>
      </w:r>
      <w:r>
        <w:rPr>
          <w:spacing w:val="37"/>
        </w:rPr>
        <w:t xml:space="preserve"> </w:t>
      </w:r>
      <w:r>
        <w:rPr>
          <w:spacing w:val="-1"/>
        </w:rPr>
        <w:t>partial</w:t>
      </w:r>
      <w:r>
        <w:rPr>
          <w:spacing w:val="25"/>
        </w:rPr>
        <w:t xml:space="preserve"> </w:t>
      </w:r>
      <w:r>
        <w:rPr>
          <w:spacing w:val="-1"/>
        </w:rPr>
        <w:t>termination,</w:t>
      </w:r>
      <w:r>
        <w:rPr>
          <w:spacing w:val="27"/>
        </w:rPr>
        <w:t xml:space="preserve"> </w:t>
      </w:r>
      <w:r>
        <w:rPr>
          <w:spacing w:val="-1"/>
        </w:rPr>
        <w:t>suspension</w:t>
      </w:r>
      <w:r>
        <w:rPr>
          <w:spacing w:val="26"/>
        </w:rPr>
        <w:t xml:space="preserve"> </w:t>
      </w:r>
      <w:r>
        <w:rPr>
          <w:spacing w:val="-1"/>
        </w:rPr>
        <w:t>or</w:t>
      </w:r>
      <w:r>
        <w:rPr>
          <w:spacing w:val="27"/>
        </w:rPr>
        <w:t xml:space="preserve"> </w:t>
      </w:r>
      <w:r>
        <w:rPr>
          <w:spacing w:val="-1"/>
        </w:rPr>
        <w:t>partial</w:t>
      </w:r>
      <w:r>
        <w:rPr>
          <w:spacing w:val="25"/>
        </w:rPr>
        <w:t xml:space="preserve"> </w:t>
      </w:r>
      <w:r>
        <w:rPr>
          <w:spacing w:val="-1"/>
        </w:rPr>
        <w:t>suspension</w:t>
      </w:r>
      <w:r>
        <w:rPr>
          <w:spacing w:val="26"/>
        </w:rPr>
        <w:t xml:space="preserve"> </w:t>
      </w:r>
      <w:r>
        <w:rPr>
          <w:spacing w:val="-1"/>
        </w:rPr>
        <w:t>in</w:t>
      </w:r>
      <w:r>
        <w:rPr>
          <w:spacing w:val="26"/>
        </w:rPr>
        <w:t xml:space="preserve"> </w:t>
      </w:r>
      <w:r>
        <w:rPr>
          <w:spacing w:val="-1"/>
        </w:rPr>
        <w:t>accordance</w:t>
      </w:r>
      <w:r>
        <w:rPr>
          <w:spacing w:val="28"/>
        </w:rPr>
        <w:t xml:space="preserve"> </w:t>
      </w:r>
      <w:r>
        <w:rPr>
          <w:spacing w:val="-2"/>
        </w:rPr>
        <w:t>with</w:t>
      </w:r>
      <w:r>
        <w:rPr>
          <w:spacing w:val="26"/>
        </w:rPr>
        <w:t xml:space="preserve"> </w:t>
      </w:r>
      <w:r>
        <w:rPr>
          <w:spacing w:val="-1"/>
        </w:rPr>
        <w:t>the</w:t>
      </w:r>
      <w:r>
        <w:rPr>
          <w:spacing w:val="48"/>
        </w:rPr>
        <w:t xml:space="preserve"> </w:t>
      </w:r>
      <w:r>
        <w:rPr>
          <w:spacing w:val="-1"/>
        </w:rPr>
        <w:t>Variation</w:t>
      </w:r>
      <w:r>
        <w:rPr>
          <w:spacing w:val="13"/>
        </w:rPr>
        <w:t xml:space="preserve"> </w:t>
      </w:r>
      <w:r>
        <w:rPr>
          <w:spacing w:val="-1"/>
        </w:rPr>
        <w:t>Procedure,</w:t>
      </w:r>
      <w:r>
        <w:rPr>
          <w:spacing w:val="14"/>
        </w:rPr>
        <w:t xml:space="preserve"> </w:t>
      </w:r>
      <w:r>
        <w:rPr>
          <w:spacing w:val="-2"/>
        </w:rPr>
        <w:t>including</w:t>
      </w:r>
      <w:r>
        <w:rPr>
          <w:spacing w:val="12"/>
        </w:rPr>
        <w:t xml:space="preserve"> </w:t>
      </w:r>
      <w:r>
        <w:t>the</w:t>
      </w:r>
      <w:r>
        <w:rPr>
          <w:spacing w:val="12"/>
        </w:rPr>
        <w:t xml:space="preserve"> </w:t>
      </w:r>
      <w:r>
        <w:rPr>
          <w:spacing w:val="-1"/>
        </w:rPr>
        <w:t>effect</w:t>
      </w:r>
      <w:r>
        <w:rPr>
          <w:spacing w:val="11"/>
        </w:rPr>
        <w:t xml:space="preserve"> </w:t>
      </w:r>
      <w:r>
        <w:rPr>
          <w:spacing w:val="-1"/>
        </w:rPr>
        <w:t>that</w:t>
      </w:r>
      <w:r>
        <w:rPr>
          <w:spacing w:val="11"/>
        </w:rPr>
        <w:t xml:space="preserve"> </w:t>
      </w:r>
      <w:r>
        <w:t>the</w:t>
      </w:r>
      <w:r>
        <w:rPr>
          <w:spacing w:val="7"/>
        </w:rPr>
        <w:t xml:space="preserve"> </w:t>
      </w:r>
      <w:r>
        <w:rPr>
          <w:spacing w:val="-1"/>
        </w:rPr>
        <w:t>partial</w:t>
      </w:r>
      <w:r>
        <w:rPr>
          <w:spacing w:val="12"/>
        </w:rPr>
        <w:t xml:space="preserve"> </w:t>
      </w:r>
      <w:r>
        <w:rPr>
          <w:spacing w:val="-1"/>
        </w:rPr>
        <w:t>termination,</w:t>
      </w:r>
      <w:r>
        <w:rPr>
          <w:spacing w:val="14"/>
        </w:rPr>
        <w:t xml:space="preserve"> </w:t>
      </w:r>
      <w:r>
        <w:rPr>
          <w:spacing w:val="-1"/>
        </w:rPr>
        <w:t>suspension</w:t>
      </w:r>
      <w:r>
        <w:rPr>
          <w:spacing w:val="12"/>
        </w:rPr>
        <w:t xml:space="preserve"> </w:t>
      </w:r>
      <w:r>
        <w:rPr>
          <w:spacing w:val="-1"/>
        </w:rPr>
        <w:t>or</w:t>
      </w:r>
      <w:r>
        <w:rPr>
          <w:spacing w:val="34"/>
        </w:rPr>
        <w:t xml:space="preserve"> </w:t>
      </w:r>
      <w:r>
        <w:rPr>
          <w:spacing w:val="-1"/>
        </w:rPr>
        <w:t>partial</w:t>
      </w:r>
      <w:r>
        <w:rPr>
          <w:spacing w:val="14"/>
        </w:rPr>
        <w:t xml:space="preserve"> </w:t>
      </w:r>
      <w:r>
        <w:rPr>
          <w:spacing w:val="-1"/>
        </w:rPr>
        <w:t>suspension</w:t>
      </w:r>
      <w:r>
        <w:rPr>
          <w:spacing w:val="15"/>
        </w:rPr>
        <w:t xml:space="preserve"> </w:t>
      </w:r>
      <w:r>
        <w:rPr>
          <w:spacing w:val="-1"/>
        </w:rPr>
        <w:t>may</w:t>
      </w:r>
      <w:r>
        <w:rPr>
          <w:spacing w:val="15"/>
        </w:rPr>
        <w:t xml:space="preserve"> </w:t>
      </w:r>
      <w:r>
        <w:rPr>
          <w:spacing w:val="-2"/>
        </w:rPr>
        <w:t>have</w:t>
      </w:r>
      <w:r>
        <w:rPr>
          <w:spacing w:val="15"/>
        </w:rPr>
        <w:t xml:space="preserve"> </w:t>
      </w:r>
      <w:r>
        <w:rPr>
          <w:spacing w:val="-1"/>
        </w:rPr>
        <w:t>on</w:t>
      </w:r>
      <w:r>
        <w:rPr>
          <w:spacing w:val="15"/>
        </w:rPr>
        <w:t xml:space="preserve"> </w:t>
      </w:r>
      <w:r>
        <w:t>the</w:t>
      </w:r>
      <w:r>
        <w:rPr>
          <w:spacing w:val="15"/>
        </w:rPr>
        <w:t xml:space="preserve"> </w:t>
      </w:r>
      <w:r>
        <w:rPr>
          <w:spacing w:val="-1"/>
        </w:rPr>
        <w:t>provision</w:t>
      </w:r>
      <w:r>
        <w:rPr>
          <w:spacing w:val="15"/>
        </w:rPr>
        <w:t xml:space="preserve"> </w:t>
      </w:r>
      <w:r>
        <w:rPr>
          <w:spacing w:val="-1"/>
        </w:rPr>
        <w:t>of</w:t>
      </w:r>
      <w:r>
        <w:rPr>
          <w:spacing w:val="19"/>
        </w:rPr>
        <w:t xml:space="preserve"> </w:t>
      </w:r>
      <w:r>
        <w:rPr>
          <w:spacing w:val="-1"/>
        </w:rPr>
        <w:t>any</w:t>
      </w:r>
      <w:r>
        <w:rPr>
          <w:spacing w:val="13"/>
        </w:rPr>
        <w:t xml:space="preserve"> </w:t>
      </w:r>
      <w:r>
        <w:rPr>
          <w:spacing w:val="-1"/>
        </w:rPr>
        <w:t>other</w:t>
      </w:r>
      <w:r>
        <w:rPr>
          <w:spacing w:val="16"/>
        </w:rPr>
        <w:t xml:space="preserve"> </w:t>
      </w:r>
      <w:r>
        <w:rPr>
          <w:spacing w:val="-1"/>
        </w:rPr>
        <w:t>Goods</w:t>
      </w:r>
      <w:r>
        <w:rPr>
          <w:spacing w:val="15"/>
        </w:rPr>
        <w:t xml:space="preserve"> </w:t>
      </w:r>
      <w:r>
        <w:rPr>
          <w:spacing w:val="-1"/>
        </w:rPr>
        <w:t>and/or</w:t>
      </w:r>
      <w:r>
        <w:rPr>
          <w:spacing w:val="14"/>
        </w:rPr>
        <w:t xml:space="preserve"> </w:t>
      </w:r>
      <w:r>
        <w:rPr>
          <w:spacing w:val="-1"/>
        </w:rPr>
        <w:t>Services</w:t>
      </w:r>
      <w:r>
        <w:rPr>
          <w:spacing w:val="51"/>
        </w:rPr>
        <w:t xml:space="preserve"> </w:t>
      </w:r>
      <w:r>
        <w:rPr>
          <w:spacing w:val="-1"/>
        </w:rPr>
        <w:t>and</w:t>
      </w:r>
      <w:r>
        <w:rPr>
          <w:spacing w:val="17"/>
        </w:rPr>
        <w:t xml:space="preserve"> </w:t>
      </w:r>
      <w:r>
        <w:t>the</w:t>
      </w:r>
      <w:r>
        <w:rPr>
          <w:spacing w:val="17"/>
        </w:rPr>
        <w:t xml:space="preserve"> </w:t>
      </w:r>
      <w:r>
        <w:rPr>
          <w:spacing w:val="-2"/>
        </w:rPr>
        <w:t>Call</w:t>
      </w:r>
      <w:r>
        <w:rPr>
          <w:spacing w:val="14"/>
        </w:rPr>
        <w:t xml:space="preserve"> </w:t>
      </w:r>
      <w:r>
        <w:rPr>
          <w:spacing w:val="-1"/>
        </w:rPr>
        <w:t>Off</w:t>
      </w:r>
      <w:r>
        <w:rPr>
          <w:spacing w:val="19"/>
        </w:rPr>
        <w:t xml:space="preserve"> </w:t>
      </w:r>
      <w:r>
        <w:rPr>
          <w:spacing w:val="-2"/>
        </w:rPr>
        <w:t>Contract</w:t>
      </w:r>
      <w:r>
        <w:rPr>
          <w:spacing w:val="19"/>
        </w:rPr>
        <w:t xml:space="preserve"> </w:t>
      </w:r>
      <w:r>
        <w:rPr>
          <w:spacing w:val="-1"/>
        </w:rPr>
        <w:t>Charges,</w:t>
      </w:r>
      <w:r>
        <w:rPr>
          <w:spacing w:val="19"/>
        </w:rPr>
        <w:t xml:space="preserve"> </w:t>
      </w:r>
      <w:r>
        <w:rPr>
          <w:spacing w:val="-2"/>
        </w:rPr>
        <w:t>provided</w:t>
      </w:r>
      <w:r>
        <w:rPr>
          <w:spacing w:val="17"/>
        </w:rPr>
        <w:t xml:space="preserve"> </w:t>
      </w:r>
      <w:r>
        <w:rPr>
          <w:spacing w:val="-1"/>
        </w:rPr>
        <w:t>that</w:t>
      </w:r>
      <w:r>
        <w:rPr>
          <w:spacing w:val="18"/>
        </w:rPr>
        <w:t xml:space="preserve"> </w:t>
      </w:r>
      <w:r>
        <w:t>the</w:t>
      </w:r>
      <w:r>
        <w:rPr>
          <w:spacing w:val="17"/>
        </w:rPr>
        <w:t xml:space="preserve"> </w:t>
      </w:r>
      <w:r>
        <w:rPr>
          <w:spacing w:val="-2"/>
        </w:rPr>
        <w:t>Supplier</w:t>
      </w:r>
      <w:r>
        <w:rPr>
          <w:spacing w:val="16"/>
        </w:rPr>
        <w:t xml:space="preserve"> </w:t>
      </w:r>
      <w:r>
        <w:rPr>
          <w:spacing w:val="-1"/>
        </w:rPr>
        <w:t>shall</w:t>
      </w:r>
      <w:r>
        <w:rPr>
          <w:spacing w:val="17"/>
        </w:rPr>
        <w:t xml:space="preserve"> </w:t>
      </w:r>
      <w:r>
        <w:rPr>
          <w:spacing w:val="-1"/>
        </w:rPr>
        <w:t>not</w:t>
      </w:r>
      <w:r>
        <w:rPr>
          <w:spacing w:val="19"/>
        </w:rPr>
        <w:t xml:space="preserve"> </w:t>
      </w:r>
      <w:r>
        <w:rPr>
          <w:spacing w:val="-2"/>
        </w:rPr>
        <w:t>be</w:t>
      </w:r>
      <w:r>
        <w:rPr>
          <w:spacing w:val="17"/>
        </w:rPr>
        <w:t xml:space="preserve"> </w:t>
      </w:r>
      <w:r>
        <w:rPr>
          <w:spacing w:val="-1"/>
        </w:rPr>
        <w:t>entitled</w:t>
      </w:r>
      <w:r>
        <w:rPr>
          <w:spacing w:val="63"/>
        </w:rPr>
        <w:t xml:space="preserve"> </w:t>
      </w:r>
      <w:r>
        <w:t>to:</w:t>
      </w:r>
    </w:p>
    <w:p w:rsidR="008918FA" w:rsidRDefault="008918FA" w:rsidP="008918FA">
      <w:pPr>
        <w:pStyle w:val="BodyText"/>
        <w:numPr>
          <w:ilvl w:val="2"/>
          <w:numId w:val="66"/>
        </w:numPr>
        <w:tabs>
          <w:tab w:val="left" w:pos="2247"/>
        </w:tabs>
        <w:ind w:left="2246" w:right="112"/>
        <w:jc w:val="both"/>
      </w:pPr>
      <w:r>
        <w:rPr>
          <w:spacing w:val="-1"/>
        </w:rPr>
        <w:t>an</w:t>
      </w:r>
      <w:r>
        <w:rPr>
          <w:spacing w:val="3"/>
        </w:rPr>
        <w:t xml:space="preserve"> </w:t>
      </w:r>
      <w:r>
        <w:rPr>
          <w:spacing w:val="-1"/>
        </w:rPr>
        <w:t>increase</w:t>
      </w:r>
      <w:r>
        <w:rPr>
          <w:spacing w:val="3"/>
        </w:rPr>
        <w:t xml:space="preserve"> </w:t>
      </w:r>
      <w:r>
        <w:rPr>
          <w:spacing w:val="-1"/>
        </w:rPr>
        <w:t>in</w:t>
      </w:r>
      <w:r>
        <w:rPr>
          <w:spacing w:val="3"/>
        </w:rPr>
        <w:t xml:space="preserve"> </w:t>
      </w:r>
      <w:r>
        <w:t xml:space="preserve">the </w:t>
      </w:r>
      <w:r>
        <w:rPr>
          <w:spacing w:val="-2"/>
        </w:rPr>
        <w:t>Call</w:t>
      </w:r>
      <w:r>
        <w:rPr>
          <w:spacing w:val="2"/>
        </w:rPr>
        <w:t xml:space="preserve"> </w:t>
      </w:r>
      <w:r>
        <w:t>Off</w:t>
      </w:r>
      <w:r>
        <w:rPr>
          <w:spacing w:val="4"/>
        </w:rPr>
        <w:t xml:space="preserve"> </w:t>
      </w:r>
      <w:r>
        <w:rPr>
          <w:spacing w:val="-2"/>
        </w:rPr>
        <w:t>Contract</w:t>
      </w:r>
      <w:r>
        <w:rPr>
          <w:spacing w:val="4"/>
        </w:rPr>
        <w:t xml:space="preserve"> </w:t>
      </w:r>
      <w:r>
        <w:rPr>
          <w:spacing w:val="-1"/>
        </w:rPr>
        <w:t>Charges</w:t>
      </w:r>
      <w:r>
        <w:rPr>
          <w:spacing w:val="1"/>
        </w:rPr>
        <w:t xml:space="preserve"> </w:t>
      </w:r>
      <w:r>
        <w:rPr>
          <w:spacing w:val="-1"/>
        </w:rPr>
        <w:t>in</w:t>
      </w:r>
      <w:r>
        <w:rPr>
          <w:spacing w:val="3"/>
        </w:rPr>
        <w:t xml:space="preserve"> </w:t>
      </w:r>
      <w:r>
        <w:rPr>
          <w:spacing w:val="-1"/>
        </w:rPr>
        <w:t>respect</w:t>
      </w:r>
      <w:r>
        <w:rPr>
          <w:spacing w:val="5"/>
        </w:rPr>
        <w:t xml:space="preserve"> </w:t>
      </w:r>
      <w:r>
        <w:rPr>
          <w:spacing w:val="-2"/>
        </w:rPr>
        <w:t>of</w:t>
      </w:r>
      <w:r>
        <w:rPr>
          <w:spacing w:val="4"/>
        </w:rPr>
        <w:t xml:space="preserve"> </w:t>
      </w:r>
      <w:r>
        <w:t xml:space="preserve">the </w:t>
      </w:r>
      <w:r>
        <w:rPr>
          <w:spacing w:val="-2"/>
        </w:rPr>
        <w:t>provision</w:t>
      </w:r>
      <w:r>
        <w:rPr>
          <w:spacing w:val="52"/>
        </w:rPr>
        <w:t xml:space="preserve"> </w:t>
      </w:r>
      <w:r>
        <w:rPr>
          <w:spacing w:val="-2"/>
        </w:rPr>
        <w:t>of</w:t>
      </w:r>
      <w:r>
        <w:rPr>
          <w:spacing w:val="52"/>
        </w:rPr>
        <w:t xml:space="preserve"> </w:t>
      </w:r>
      <w:r>
        <w:t>the</w:t>
      </w:r>
      <w:r>
        <w:rPr>
          <w:spacing w:val="48"/>
        </w:rPr>
        <w:t xml:space="preserve"> </w:t>
      </w:r>
      <w:r>
        <w:rPr>
          <w:spacing w:val="-1"/>
        </w:rPr>
        <w:t>Goods</w:t>
      </w:r>
      <w:r>
        <w:rPr>
          <w:spacing w:val="49"/>
        </w:rPr>
        <w:t xml:space="preserve"> </w:t>
      </w:r>
      <w:r>
        <w:rPr>
          <w:spacing w:val="-1"/>
        </w:rPr>
        <w:t>and/or</w:t>
      </w:r>
      <w:r>
        <w:rPr>
          <w:spacing w:val="49"/>
        </w:rPr>
        <w:t xml:space="preserve"> </w:t>
      </w:r>
      <w:r>
        <w:rPr>
          <w:spacing w:val="-2"/>
        </w:rPr>
        <w:t>Services</w:t>
      </w:r>
      <w:r>
        <w:rPr>
          <w:spacing w:val="49"/>
        </w:rPr>
        <w:t xml:space="preserve"> </w:t>
      </w:r>
      <w:r>
        <w:rPr>
          <w:spacing w:val="-1"/>
        </w:rPr>
        <w:t>that</w:t>
      </w:r>
      <w:r>
        <w:rPr>
          <w:spacing w:val="50"/>
        </w:rPr>
        <w:t xml:space="preserve"> </w:t>
      </w:r>
      <w:r>
        <w:rPr>
          <w:spacing w:val="-2"/>
        </w:rPr>
        <w:t>have</w:t>
      </w:r>
      <w:r>
        <w:rPr>
          <w:spacing w:val="49"/>
        </w:rPr>
        <w:t xml:space="preserve"> </w:t>
      </w:r>
      <w:r>
        <w:rPr>
          <w:spacing w:val="-1"/>
        </w:rPr>
        <w:t>not</w:t>
      </w:r>
      <w:r>
        <w:rPr>
          <w:spacing w:val="50"/>
        </w:rPr>
        <w:t xml:space="preserve"> </w:t>
      </w:r>
      <w:r>
        <w:t>been</w:t>
      </w:r>
      <w:r>
        <w:rPr>
          <w:spacing w:val="48"/>
        </w:rPr>
        <w:t xml:space="preserve"> </w:t>
      </w:r>
      <w:r>
        <w:rPr>
          <w:spacing w:val="-1"/>
        </w:rPr>
        <w:t>terminated</w:t>
      </w:r>
      <w:r>
        <w:rPr>
          <w:spacing w:val="48"/>
        </w:rPr>
        <w:t xml:space="preserve"> </w:t>
      </w:r>
      <w:r>
        <w:rPr>
          <w:spacing w:val="-1"/>
        </w:rPr>
        <w:t>if</w:t>
      </w:r>
      <w:r>
        <w:rPr>
          <w:spacing w:val="49"/>
        </w:rPr>
        <w:t xml:space="preserve"> </w:t>
      </w:r>
      <w:r>
        <w:rPr>
          <w:spacing w:val="-1"/>
        </w:rPr>
        <w:t>the</w:t>
      </w:r>
      <w:r>
        <w:rPr>
          <w:spacing w:val="46"/>
        </w:rPr>
        <w:t xml:space="preserve"> </w:t>
      </w:r>
      <w:r>
        <w:rPr>
          <w:spacing w:val="-1"/>
        </w:rPr>
        <w:t>partial</w:t>
      </w:r>
      <w:r>
        <w:rPr>
          <w:spacing w:val="14"/>
        </w:rPr>
        <w:t xml:space="preserve"> </w:t>
      </w:r>
      <w:r>
        <w:rPr>
          <w:spacing w:val="-1"/>
        </w:rPr>
        <w:t>termination</w:t>
      </w:r>
      <w:r>
        <w:rPr>
          <w:spacing w:val="15"/>
        </w:rPr>
        <w:t xml:space="preserve"> </w:t>
      </w:r>
      <w:r>
        <w:rPr>
          <w:spacing w:val="-1"/>
        </w:rPr>
        <w:t>arises</w:t>
      </w:r>
      <w:r>
        <w:rPr>
          <w:spacing w:val="13"/>
        </w:rPr>
        <w:t xml:space="preserve"> </w:t>
      </w:r>
      <w:r>
        <w:rPr>
          <w:spacing w:val="-1"/>
        </w:rPr>
        <w:t>due</w:t>
      </w:r>
      <w:r>
        <w:rPr>
          <w:spacing w:val="15"/>
        </w:rPr>
        <w:t xml:space="preserve"> </w:t>
      </w:r>
      <w:r>
        <w:t>to</w:t>
      </w:r>
      <w:r>
        <w:rPr>
          <w:spacing w:val="12"/>
        </w:rPr>
        <w:t xml:space="preserve"> </w:t>
      </w:r>
      <w:r>
        <w:t>the</w:t>
      </w:r>
      <w:r>
        <w:rPr>
          <w:spacing w:val="12"/>
        </w:rPr>
        <w:t xml:space="preserve"> </w:t>
      </w:r>
      <w:r>
        <w:rPr>
          <w:spacing w:val="-1"/>
        </w:rPr>
        <w:t>exercise</w:t>
      </w:r>
      <w:r>
        <w:rPr>
          <w:spacing w:val="15"/>
        </w:rPr>
        <w:t xml:space="preserve"> </w:t>
      </w:r>
      <w:r>
        <w:rPr>
          <w:spacing w:val="-2"/>
        </w:rPr>
        <w:t>of</w:t>
      </w:r>
      <w:r>
        <w:rPr>
          <w:spacing w:val="16"/>
        </w:rPr>
        <w:t xml:space="preserve"> </w:t>
      </w:r>
      <w:r>
        <w:rPr>
          <w:spacing w:val="-2"/>
        </w:rPr>
        <w:t>any</w:t>
      </w:r>
      <w:r>
        <w:rPr>
          <w:spacing w:val="13"/>
        </w:rPr>
        <w:t xml:space="preserve"> </w:t>
      </w:r>
      <w:r>
        <w:rPr>
          <w:spacing w:val="-1"/>
        </w:rPr>
        <w:t>of</w:t>
      </w:r>
      <w:r>
        <w:rPr>
          <w:spacing w:val="16"/>
        </w:rPr>
        <w:t xml:space="preserve"> </w:t>
      </w:r>
      <w:r>
        <w:t>the</w:t>
      </w:r>
      <w:r>
        <w:rPr>
          <w:spacing w:val="12"/>
        </w:rPr>
        <w:t xml:space="preserve"> </w:t>
      </w:r>
      <w:r>
        <w:rPr>
          <w:spacing w:val="-1"/>
        </w:rPr>
        <w:t>Customer’s</w:t>
      </w:r>
    </w:p>
    <w:p w:rsidR="008918FA" w:rsidRDefault="008918FA" w:rsidP="008918FA">
      <w:pPr>
        <w:jc w:val="both"/>
        <w:sectPr w:rsidR="008918FA">
          <w:pgSz w:w="11910" w:h="16840"/>
          <w:pgMar w:top="1480" w:right="1300" w:bottom="1180" w:left="1320" w:header="0" w:footer="967" w:gutter="0"/>
          <w:cols w:space="720"/>
        </w:sectPr>
      </w:pPr>
    </w:p>
    <w:p w:rsidR="008918FA" w:rsidRDefault="008918FA" w:rsidP="008918FA">
      <w:pPr>
        <w:pStyle w:val="BodyText"/>
        <w:spacing w:before="59"/>
        <w:ind w:left="2226" w:right="119" w:firstLine="0"/>
        <w:jc w:val="both"/>
      </w:pPr>
      <w:r>
        <w:rPr>
          <w:spacing w:val="-1"/>
        </w:rPr>
        <w:t>termination</w:t>
      </w:r>
      <w:r>
        <w:rPr>
          <w:spacing w:val="9"/>
        </w:rPr>
        <w:t xml:space="preserve"> </w:t>
      </w:r>
      <w:r>
        <w:rPr>
          <w:spacing w:val="-1"/>
        </w:rPr>
        <w:t>rights</w:t>
      </w:r>
      <w:r>
        <w:rPr>
          <w:spacing w:val="9"/>
        </w:rPr>
        <w:t xml:space="preserve"> </w:t>
      </w:r>
      <w:r>
        <w:rPr>
          <w:spacing w:val="-1"/>
        </w:rPr>
        <w:t>under</w:t>
      </w:r>
      <w:r>
        <w:rPr>
          <w:spacing w:val="8"/>
        </w:rPr>
        <w:t xml:space="preserve"> </w:t>
      </w:r>
      <w:r>
        <w:rPr>
          <w:spacing w:val="-2"/>
        </w:rPr>
        <w:t>Clause</w:t>
      </w:r>
      <w:r>
        <w:rPr>
          <w:spacing w:val="9"/>
        </w:rPr>
        <w:t xml:space="preserve"> </w:t>
      </w:r>
      <w:hyperlink w:anchor="_bookmark231" w:history="1">
        <w:r>
          <w:rPr>
            <w:spacing w:val="-1"/>
          </w:rPr>
          <w:t>41</w:t>
        </w:r>
      </w:hyperlink>
      <w:r>
        <w:rPr>
          <w:spacing w:val="10"/>
        </w:rPr>
        <w:t xml:space="preserve"> </w:t>
      </w:r>
      <w:r>
        <w:rPr>
          <w:spacing w:val="-1"/>
        </w:rPr>
        <w:t>(Customer</w:t>
      </w:r>
      <w:r>
        <w:rPr>
          <w:spacing w:val="8"/>
        </w:rPr>
        <w:t xml:space="preserve"> </w:t>
      </w:r>
      <w:r>
        <w:rPr>
          <w:spacing w:val="-1"/>
        </w:rPr>
        <w:t>Termination</w:t>
      </w:r>
      <w:r>
        <w:rPr>
          <w:spacing w:val="9"/>
        </w:rPr>
        <w:t xml:space="preserve"> </w:t>
      </w:r>
      <w:r>
        <w:rPr>
          <w:spacing w:val="-2"/>
        </w:rPr>
        <w:t>Rights)</w:t>
      </w:r>
      <w:r>
        <w:rPr>
          <w:spacing w:val="32"/>
        </w:rPr>
        <w:t xml:space="preserve"> </w:t>
      </w:r>
      <w:r>
        <w:rPr>
          <w:spacing w:val="-1"/>
        </w:rPr>
        <w:t>except</w:t>
      </w:r>
      <w:r>
        <w:rPr>
          <w:spacing w:val="2"/>
        </w:rPr>
        <w:t xml:space="preserve"> </w:t>
      </w:r>
      <w:r>
        <w:rPr>
          <w:spacing w:val="-2"/>
        </w:rPr>
        <w:t>Clause</w:t>
      </w:r>
      <w:r>
        <w:rPr>
          <w:spacing w:val="1"/>
        </w:rPr>
        <w:t xml:space="preserve"> </w:t>
      </w:r>
      <w:hyperlink w:anchor="_bookmark237" w:history="1">
        <w:r>
          <w:rPr>
            <w:spacing w:val="-1"/>
          </w:rPr>
          <w:t>41.6</w:t>
        </w:r>
      </w:hyperlink>
      <w:r>
        <w:rPr>
          <w:spacing w:val="-1"/>
        </w:rPr>
        <w:t xml:space="preserve"> (Termination</w:t>
      </w:r>
      <w:r>
        <w:rPr>
          <w:spacing w:val="-4"/>
        </w:rPr>
        <w:t xml:space="preserve"> </w:t>
      </w:r>
      <w:r>
        <w:rPr>
          <w:spacing w:val="-1"/>
        </w:rPr>
        <w:t>Without</w:t>
      </w:r>
      <w:r>
        <w:t xml:space="preserve"> </w:t>
      </w:r>
      <w:r>
        <w:rPr>
          <w:spacing w:val="-1"/>
        </w:rPr>
        <w:t>Cause);</w:t>
      </w:r>
      <w:r>
        <w:rPr>
          <w:spacing w:val="2"/>
        </w:rPr>
        <w:t xml:space="preserve"> </w:t>
      </w:r>
      <w:r>
        <w:rPr>
          <w:spacing w:val="-1"/>
        </w:rPr>
        <w:t>and</w:t>
      </w:r>
    </w:p>
    <w:p w:rsidR="008918FA" w:rsidRDefault="008918FA" w:rsidP="008918FA">
      <w:pPr>
        <w:pStyle w:val="BodyText"/>
        <w:numPr>
          <w:ilvl w:val="2"/>
          <w:numId w:val="66"/>
        </w:numPr>
        <w:tabs>
          <w:tab w:val="left" w:pos="2227"/>
        </w:tabs>
        <w:spacing w:before="121"/>
      </w:pPr>
      <w:r>
        <w:rPr>
          <w:spacing w:val="-1"/>
        </w:rPr>
        <w:t>reject</w:t>
      </w:r>
      <w:r>
        <w:t xml:space="preserve"> the </w:t>
      </w:r>
      <w:r>
        <w:rPr>
          <w:spacing w:val="-1"/>
        </w:rPr>
        <w:t>Variation.</w:t>
      </w:r>
    </w:p>
    <w:p w:rsidR="008918FA" w:rsidRDefault="008918FA" w:rsidP="008918FA">
      <w:pPr>
        <w:pStyle w:val="BodyText"/>
        <w:numPr>
          <w:ilvl w:val="0"/>
          <w:numId w:val="66"/>
        </w:numPr>
        <w:tabs>
          <w:tab w:val="left" w:pos="667"/>
        </w:tabs>
        <w:spacing w:before="117"/>
        <w:ind w:left="666" w:hanging="566"/>
        <w:rPr>
          <w:rFonts w:ascii="Times New Roman" w:eastAsia="Times New Roman" w:hAnsi="Times New Roman" w:cs="Times New Roman"/>
        </w:rPr>
      </w:pPr>
      <w:bookmarkStart w:id="296" w:name="_bookmark249"/>
      <w:bookmarkEnd w:id="296"/>
      <w:r>
        <w:rPr>
          <w:rFonts w:ascii="Times New Roman"/>
          <w:spacing w:val="5"/>
        </w:rPr>
        <w:t>CO</w:t>
      </w:r>
      <w:bookmarkStart w:id="297" w:name="45._CONSEQUENCES_OF_EXPIRY_OR_TERMINATIO"/>
      <w:bookmarkEnd w:id="297"/>
      <w:r>
        <w:rPr>
          <w:rFonts w:ascii="Times New Roman"/>
          <w:spacing w:val="5"/>
        </w:rPr>
        <w:t>NS</w:t>
      </w:r>
      <w:r>
        <w:rPr>
          <w:rFonts w:ascii="Times New Roman"/>
          <w:spacing w:val="-32"/>
        </w:rPr>
        <w:t xml:space="preserve"> </w:t>
      </w:r>
      <w:r>
        <w:rPr>
          <w:rFonts w:ascii="Times New Roman"/>
          <w:spacing w:val="6"/>
        </w:rPr>
        <w:t>EQUENCES</w:t>
      </w:r>
      <w:r>
        <w:rPr>
          <w:rFonts w:ascii="Times New Roman"/>
          <w:spacing w:val="31"/>
        </w:rPr>
        <w:t xml:space="preserve"> </w:t>
      </w:r>
      <w:r>
        <w:rPr>
          <w:rFonts w:ascii="Times New Roman"/>
          <w:spacing w:val="6"/>
        </w:rPr>
        <w:t>OF</w:t>
      </w:r>
      <w:r>
        <w:rPr>
          <w:rFonts w:ascii="Times New Roman"/>
          <w:spacing w:val="19"/>
        </w:rPr>
        <w:t xml:space="preserve"> </w:t>
      </w:r>
      <w:r>
        <w:rPr>
          <w:rFonts w:ascii="Times New Roman"/>
          <w:spacing w:val="9"/>
        </w:rPr>
        <w:t>E</w:t>
      </w:r>
      <w:r>
        <w:rPr>
          <w:rFonts w:ascii="Times New Roman"/>
          <w:spacing w:val="-14"/>
        </w:rPr>
        <w:t>X</w:t>
      </w:r>
      <w:r>
        <w:rPr>
          <w:rFonts w:ascii="Times New Roman"/>
          <w:spacing w:val="23"/>
        </w:rPr>
        <w:t>P</w:t>
      </w:r>
      <w:r>
        <w:rPr>
          <w:rFonts w:ascii="Times New Roman"/>
          <w:spacing w:val="-12"/>
        </w:rPr>
        <w:t>I</w:t>
      </w:r>
      <w:r>
        <w:rPr>
          <w:rFonts w:ascii="Times New Roman"/>
          <w:spacing w:val="11"/>
        </w:rPr>
        <w:t>R</w:t>
      </w:r>
      <w:r>
        <w:rPr>
          <w:rFonts w:ascii="Times New Roman"/>
        </w:rPr>
        <w:t>Y</w:t>
      </w:r>
      <w:r>
        <w:rPr>
          <w:rFonts w:ascii="Times New Roman"/>
          <w:spacing w:val="-6"/>
        </w:rPr>
        <w:t xml:space="preserve"> </w:t>
      </w:r>
      <w:r>
        <w:rPr>
          <w:rFonts w:ascii="Times New Roman"/>
          <w:spacing w:val="6"/>
        </w:rPr>
        <w:t>OR</w:t>
      </w:r>
      <w:r>
        <w:rPr>
          <w:rFonts w:ascii="Times New Roman"/>
          <w:spacing w:val="18"/>
        </w:rPr>
        <w:t xml:space="preserve"> </w:t>
      </w:r>
      <w:r>
        <w:rPr>
          <w:rFonts w:ascii="Times New Roman"/>
          <w:spacing w:val="-1"/>
        </w:rPr>
        <w:t>TERMINATION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Heading1"/>
        <w:numPr>
          <w:ilvl w:val="1"/>
          <w:numId w:val="66"/>
        </w:numPr>
        <w:tabs>
          <w:tab w:val="left" w:pos="1233"/>
        </w:tabs>
        <w:spacing w:before="0"/>
        <w:ind w:right="110" w:hanging="566"/>
        <w:jc w:val="both"/>
        <w:rPr>
          <w:b w:val="0"/>
          <w:bCs w:val="0"/>
        </w:rPr>
      </w:pPr>
      <w:bookmarkStart w:id="298" w:name="_bookmark250"/>
      <w:bookmarkEnd w:id="298"/>
      <w:r>
        <w:rPr>
          <w:spacing w:val="-1"/>
        </w:rPr>
        <w:t>Consequences</w:t>
      </w:r>
      <w:r>
        <w:rPr>
          <w:spacing w:val="22"/>
        </w:rPr>
        <w:t xml:space="preserve"> </w:t>
      </w:r>
      <w:r>
        <w:rPr>
          <w:spacing w:val="-1"/>
        </w:rPr>
        <w:t>of</w:t>
      </w:r>
      <w:r>
        <w:rPr>
          <w:spacing w:val="23"/>
        </w:rPr>
        <w:t xml:space="preserve"> </w:t>
      </w:r>
      <w:r>
        <w:rPr>
          <w:spacing w:val="-1"/>
        </w:rPr>
        <w:t>termination</w:t>
      </w:r>
      <w:r>
        <w:rPr>
          <w:spacing w:val="22"/>
        </w:rPr>
        <w:t xml:space="preserve"> </w:t>
      </w:r>
      <w:r>
        <w:rPr>
          <w:spacing w:val="-1"/>
        </w:rPr>
        <w:t>under</w:t>
      </w:r>
      <w:r>
        <w:rPr>
          <w:spacing w:val="23"/>
        </w:rPr>
        <w:t xml:space="preserve"> </w:t>
      </w:r>
      <w:r>
        <w:rPr>
          <w:spacing w:val="-1"/>
        </w:rPr>
        <w:t>Clauses</w:t>
      </w:r>
      <w:r>
        <w:rPr>
          <w:spacing w:val="20"/>
        </w:rPr>
        <w:t xml:space="preserve"> </w:t>
      </w:r>
      <w:hyperlink w:anchor="_bookmark232" w:history="1">
        <w:r>
          <w:rPr>
            <w:spacing w:val="-1"/>
          </w:rPr>
          <w:t>41.1</w:t>
        </w:r>
      </w:hyperlink>
      <w:r>
        <w:rPr>
          <w:spacing w:val="22"/>
        </w:rPr>
        <w:t xml:space="preserve"> </w:t>
      </w:r>
      <w:r>
        <w:rPr>
          <w:spacing w:val="-1"/>
        </w:rPr>
        <w:t>(Termination</w:t>
      </w:r>
      <w:r>
        <w:rPr>
          <w:spacing w:val="22"/>
        </w:rPr>
        <w:t xml:space="preserve"> </w:t>
      </w:r>
      <w:r>
        <w:t>in</w:t>
      </w:r>
      <w:r>
        <w:rPr>
          <w:spacing w:val="19"/>
        </w:rPr>
        <w:t xml:space="preserve"> </w:t>
      </w:r>
      <w:r>
        <w:rPr>
          <w:spacing w:val="-1"/>
        </w:rPr>
        <w:t>Relation</w:t>
      </w:r>
      <w:r>
        <w:rPr>
          <w:spacing w:val="24"/>
        </w:rPr>
        <w:t xml:space="preserve"> </w:t>
      </w:r>
      <w:r>
        <w:t>to</w:t>
      </w:r>
      <w:r>
        <w:rPr>
          <w:spacing w:val="24"/>
        </w:rPr>
        <w:t xml:space="preserve"> </w:t>
      </w:r>
      <w:r>
        <w:rPr>
          <w:spacing w:val="-1"/>
        </w:rPr>
        <w:t>Guarantee),</w:t>
      </w:r>
      <w:r>
        <w:rPr>
          <w:spacing w:val="26"/>
        </w:rPr>
        <w:t xml:space="preserve"> </w:t>
      </w:r>
      <w:hyperlink w:anchor="_bookmark233" w:history="1">
        <w:r>
          <w:rPr>
            <w:spacing w:val="-1"/>
          </w:rPr>
          <w:t>41.2</w:t>
        </w:r>
      </w:hyperlink>
      <w:r>
        <w:rPr>
          <w:spacing w:val="27"/>
        </w:rPr>
        <w:t xml:space="preserve"> </w:t>
      </w:r>
      <w:r>
        <w:rPr>
          <w:spacing w:val="-1"/>
        </w:rPr>
        <w:t>(Termination</w:t>
      </w:r>
      <w:r>
        <w:rPr>
          <w:spacing w:val="24"/>
        </w:rPr>
        <w:t xml:space="preserve"> </w:t>
      </w:r>
      <w:r>
        <w:rPr>
          <w:spacing w:val="-1"/>
        </w:rPr>
        <w:t>on</w:t>
      </w:r>
      <w:r>
        <w:rPr>
          <w:spacing w:val="24"/>
        </w:rPr>
        <w:t xml:space="preserve"> </w:t>
      </w:r>
      <w:r>
        <w:rPr>
          <w:spacing w:val="-1"/>
        </w:rPr>
        <w:t>Material</w:t>
      </w:r>
      <w:r>
        <w:rPr>
          <w:spacing w:val="26"/>
        </w:rPr>
        <w:t xml:space="preserve"> </w:t>
      </w:r>
      <w:r>
        <w:rPr>
          <w:spacing w:val="-1"/>
        </w:rPr>
        <w:t>Default),</w:t>
      </w:r>
      <w:r>
        <w:rPr>
          <w:spacing w:val="26"/>
        </w:rPr>
        <w:t xml:space="preserve"> </w:t>
      </w:r>
      <w:hyperlink w:anchor="_bookmark235" w:history="1">
        <w:r>
          <w:rPr>
            <w:spacing w:val="-1"/>
          </w:rPr>
          <w:t>41.3</w:t>
        </w:r>
      </w:hyperlink>
      <w:r>
        <w:rPr>
          <w:spacing w:val="24"/>
        </w:rPr>
        <w:t xml:space="preserve"> </w:t>
      </w:r>
      <w:r>
        <w:rPr>
          <w:spacing w:val="-1"/>
        </w:rPr>
        <w:t>(Termination</w:t>
      </w:r>
      <w:r>
        <w:rPr>
          <w:spacing w:val="24"/>
        </w:rPr>
        <w:t xml:space="preserve"> </w:t>
      </w:r>
      <w:r>
        <w:t>in</w:t>
      </w:r>
      <w:r>
        <w:rPr>
          <w:spacing w:val="47"/>
        </w:rPr>
        <w:t xml:space="preserve"> </w:t>
      </w:r>
      <w:r>
        <w:rPr>
          <w:spacing w:val="-1"/>
        </w:rPr>
        <w:t>Relation</w:t>
      </w:r>
      <w:r>
        <w:rPr>
          <w:spacing w:val="3"/>
        </w:rPr>
        <w:t xml:space="preserve"> </w:t>
      </w:r>
      <w:r>
        <w:t>to</w:t>
      </w:r>
      <w:r>
        <w:rPr>
          <w:spacing w:val="5"/>
        </w:rPr>
        <w:t xml:space="preserve"> </w:t>
      </w:r>
      <w:r>
        <w:rPr>
          <w:spacing w:val="-1"/>
        </w:rPr>
        <w:t>Financial</w:t>
      </w:r>
      <w:r>
        <w:rPr>
          <w:spacing w:val="7"/>
        </w:rPr>
        <w:t xml:space="preserve"> </w:t>
      </w:r>
      <w:r>
        <w:rPr>
          <w:spacing w:val="-2"/>
        </w:rPr>
        <w:t>Standing),</w:t>
      </w:r>
      <w:r>
        <w:rPr>
          <w:spacing w:val="6"/>
        </w:rPr>
        <w:t xml:space="preserve"> </w:t>
      </w:r>
      <w:hyperlink w:anchor="_bookmark239" w:history="1">
        <w:r>
          <w:rPr>
            <w:spacing w:val="-1"/>
          </w:rPr>
          <w:t>41.7</w:t>
        </w:r>
      </w:hyperlink>
      <w:r>
        <w:rPr>
          <w:spacing w:val="5"/>
        </w:rPr>
        <w:t xml:space="preserve"> </w:t>
      </w:r>
      <w:r>
        <w:rPr>
          <w:spacing w:val="-1"/>
        </w:rPr>
        <w:t>(Termination</w:t>
      </w:r>
      <w:r>
        <w:rPr>
          <w:spacing w:val="5"/>
        </w:rPr>
        <w:t xml:space="preserve"> </w:t>
      </w:r>
      <w:r>
        <w:t>in</w:t>
      </w:r>
      <w:r>
        <w:rPr>
          <w:spacing w:val="5"/>
        </w:rPr>
        <w:t xml:space="preserve"> </w:t>
      </w:r>
      <w:r>
        <w:rPr>
          <w:spacing w:val="-1"/>
        </w:rPr>
        <w:t>Relation</w:t>
      </w:r>
      <w:r>
        <w:rPr>
          <w:spacing w:val="3"/>
        </w:rPr>
        <w:t xml:space="preserve"> </w:t>
      </w:r>
      <w:r>
        <w:t>to</w:t>
      </w:r>
      <w:r>
        <w:rPr>
          <w:spacing w:val="5"/>
        </w:rPr>
        <w:t xml:space="preserve"> </w:t>
      </w:r>
      <w:r>
        <w:rPr>
          <w:spacing w:val="-1"/>
        </w:rPr>
        <w:t>Framework</w:t>
      </w:r>
      <w:r>
        <w:rPr>
          <w:spacing w:val="61"/>
        </w:rPr>
        <w:t xml:space="preserve"> </w:t>
      </w:r>
      <w:r>
        <w:rPr>
          <w:spacing w:val="-1"/>
        </w:rPr>
        <w:t>Agreement),</w:t>
      </w:r>
      <w:r>
        <w:rPr>
          <w:spacing w:val="25"/>
        </w:rPr>
        <w:t xml:space="preserve"> </w:t>
      </w:r>
      <w:hyperlink w:anchor="_bookmark240" w:history="1">
        <w:r>
          <w:rPr>
            <w:spacing w:val="-1"/>
          </w:rPr>
          <w:t>41.8</w:t>
        </w:r>
      </w:hyperlink>
      <w:r>
        <w:rPr>
          <w:spacing w:val="23"/>
        </w:rPr>
        <w:t xml:space="preserve"> </w:t>
      </w:r>
      <w:r>
        <w:rPr>
          <w:spacing w:val="-1"/>
        </w:rPr>
        <w:t>(Termination</w:t>
      </w:r>
      <w:r>
        <w:rPr>
          <w:spacing w:val="23"/>
        </w:rPr>
        <w:t xml:space="preserve"> </w:t>
      </w:r>
      <w:r>
        <w:t>in</w:t>
      </w:r>
      <w:r>
        <w:rPr>
          <w:spacing w:val="23"/>
        </w:rPr>
        <w:t xml:space="preserve"> </w:t>
      </w:r>
      <w:r>
        <w:rPr>
          <w:spacing w:val="-1"/>
        </w:rPr>
        <w:t>Relation</w:t>
      </w:r>
      <w:r>
        <w:rPr>
          <w:spacing w:val="21"/>
        </w:rPr>
        <w:t xml:space="preserve"> </w:t>
      </w:r>
      <w:r>
        <w:t>to</w:t>
      </w:r>
      <w:r>
        <w:rPr>
          <w:spacing w:val="23"/>
        </w:rPr>
        <w:t xml:space="preserve"> </w:t>
      </w:r>
      <w:r>
        <w:rPr>
          <w:spacing w:val="-1"/>
        </w:rPr>
        <w:t>Benchmarking)</w:t>
      </w:r>
      <w:r>
        <w:rPr>
          <w:spacing w:val="24"/>
        </w:rPr>
        <w:t xml:space="preserve"> </w:t>
      </w:r>
      <w:r>
        <w:rPr>
          <w:spacing w:val="-1"/>
        </w:rPr>
        <w:t>and</w:t>
      </w:r>
      <w:r>
        <w:rPr>
          <w:spacing w:val="23"/>
        </w:rPr>
        <w:t xml:space="preserve"> </w:t>
      </w:r>
      <w:hyperlink w:anchor="_bookmark241" w:history="1">
        <w:r>
          <w:rPr>
            <w:spacing w:val="-1"/>
          </w:rPr>
          <w:t>41.9</w:t>
        </w:r>
      </w:hyperlink>
      <w:r>
        <w:rPr>
          <w:spacing w:val="37"/>
        </w:rPr>
        <w:t xml:space="preserve"> </w:t>
      </w:r>
      <w:r>
        <w:rPr>
          <w:spacing w:val="-1"/>
        </w:rPr>
        <w:t>(Termination</w:t>
      </w:r>
      <w:r>
        <w:rPr>
          <w:spacing w:val="-2"/>
        </w:rPr>
        <w:t xml:space="preserve"> </w:t>
      </w:r>
      <w:r>
        <w:t xml:space="preserve">in </w:t>
      </w:r>
      <w:r>
        <w:rPr>
          <w:spacing w:val="-2"/>
        </w:rPr>
        <w:t>Relation</w:t>
      </w:r>
      <w:r>
        <w:t xml:space="preserve"> to</w:t>
      </w:r>
      <w:r>
        <w:rPr>
          <w:spacing w:val="-2"/>
        </w:rPr>
        <w:t xml:space="preserve"> </w:t>
      </w:r>
      <w:r>
        <w:rPr>
          <w:spacing w:val="-1"/>
        </w:rPr>
        <w:t>Variation)</w:t>
      </w:r>
    </w:p>
    <w:p w:rsidR="008918FA" w:rsidRDefault="008918FA" w:rsidP="008918FA">
      <w:pPr>
        <w:pStyle w:val="BodyText"/>
        <w:numPr>
          <w:ilvl w:val="2"/>
          <w:numId w:val="66"/>
        </w:numPr>
        <w:tabs>
          <w:tab w:val="left" w:pos="2227"/>
        </w:tabs>
        <w:spacing w:before="124"/>
        <w:ind w:hanging="993"/>
      </w:pPr>
      <w:r>
        <w:rPr>
          <w:spacing w:val="-1"/>
        </w:rPr>
        <w:t>Where</w:t>
      </w:r>
      <w:r>
        <w:rPr>
          <w:spacing w:val="-2"/>
        </w:rPr>
        <w:t xml:space="preserve"> </w:t>
      </w:r>
      <w:r>
        <w:t>the</w:t>
      </w:r>
      <w:r>
        <w:rPr>
          <w:spacing w:val="-2"/>
        </w:rPr>
        <w:t xml:space="preserve"> </w:t>
      </w:r>
      <w:r>
        <w:rPr>
          <w:spacing w:val="-1"/>
        </w:rPr>
        <w:t>Customer:</w:t>
      </w:r>
    </w:p>
    <w:p w:rsidR="008918FA" w:rsidRDefault="008918FA" w:rsidP="008918FA">
      <w:pPr>
        <w:pStyle w:val="BodyText"/>
        <w:numPr>
          <w:ilvl w:val="3"/>
          <w:numId w:val="66"/>
        </w:numPr>
        <w:tabs>
          <w:tab w:val="left" w:pos="2935"/>
        </w:tabs>
        <w:ind w:left="2934" w:right="112"/>
        <w:jc w:val="both"/>
      </w:pPr>
      <w:r>
        <w:rPr>
          <w:spacing w:val="-1"/>
        </w:rPr>
        <w:t>terminates</w:t>
      </w:r>
      <w:r>
        <w:rPr>
          <w:spacing w:val="8"/>
        </w:rPr>
        <w:t xml:space="preserve"> </w:t>
      </w:r>
      <w:r>
        <w:rPr>
          <w:spacing w:val="-1"/>
        </w:rPr>
        <w:t>(in</w:t>
      </w:r>
      <w:r>
        <w:rPr>
          <w:spacing w:val="10"/>
        </w:rPr>
        <w:t xml:space="preserve"> </w:t>
      </w:r>
      <w:r>
        <w:rPr>
          <w:spacing w:val="-2"/>
        </w:rPr>
        <w:t>whole</w:t>
      </w:r>
      <w:r>
        <w:rPr>
          <w:spacing w:val="10"/>
        </w:rPr>
        <w:t xml:space="preserve"> </w:t>
      </w:r>
      <w:r>
        <w:rPr>
          <w:spacing w:val="-1"/>
        </w:rPr>
        <w:t>or</w:t>
      </w:r>
      <w:r>
        <w:rPr>
          <w:spacing w:val="11"/>
        </w:rPr>
        <w:t xml:space="preserve"> </w:t>
      </w:r>
      <w:r>
        <w:rPr>
          <w:spacing w:val="-1"/>
        </w:rPr>
        <w:t>in</w:t>
      </w:r>
      <w:r>
        <w:rPr>
          <w:spacing w:val="10"/>
        </w:rPr>
        <w:t xml:space="preserve"> </w:t>
      </w:r>
      <w:r>
        <w:rPr>
          <w:spacing w:val="-1"/>
        </w:rPr>
        <w:t>part)</w:t>
      </w:r>
      <w:r>
        <w:rPr>
          <w:spacing w:val="10"/>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1"/>
        </w:rPr>
        <w:t xml:space="preserve"> </w:t>
      </w:r>
      <w:r>
        <w:rPr>
          <w:spacing w:val="-1"/>
        </w:rPr>
        <w:t>Contract</w:t>
      </w:r>
      <w:r>
        <w:rPr>
          <w:spacing w:val="12"/>
        </w:rPr>
        <w:t xml:space="preserve"> </w:t>
      </w:r>
      <w:r>
        <w:rPr>
          <w:spacing w:val="-2"/>
        </w:rPr>
        <w:t>under</w:t>
      </w:r>
      <w:r>
        <w:rPr>
          <w:spacing w:val="11"/>
        </w:rPr>
        <w:t xml:space="preserve"> </w:t>
      </w:r>
      <w:r>
        <w:rPr>
          <w:spacing w:val="-1"/>
        </w:rPr>
        <w:t>any</w:t>
      </w:r>
      <w:r>
        <w:rPr>
          <w:spacing w:val="40"/>
        </w:rPr>
        <w:t xml:space="preserve"> </w:t>
      </w:r>
      <w:r>
        <w:rPr>
          <w:spacing w:val="-2"/>
        </w:rPr>
        <w:t>of</w:t>
      </w:r>
      <w:r>
        <w:rPr>
          <w:spacing w:val="2"/>
        </w:rPr>
        <w:t xml:space="preserve"> </w:t>
      </w:r>
      <w:r>
        <w:t xml:space="preserve">the </w:t>
      </w:r>
      <w:r>
        <w:rPr>
          <w:spacing w:val="-1"/>
        </w:rPr>
        <w:t>Clauses referred</w:t>
      </w:r>
      <w:r>
        <w:rPr>
          <w:spacing w:val="-2"/>
        </w:rPr>
        <w:t xml:space="preserve"> </w:t>
      </w:r>
      <w:r>
        <w:rPr>
          <w:spacing w:val="-1"/>
        </w:rPr>
        <w:t>to</w:t>
      </w:r>
      <w:r>
        <w:t xml:space="preserve"> </w:t>
      </w:r>
      <w:r>
        <w:rPr>
          <w:spacing w:val="-1"/>
        </w:rPr>
        <w:t>in</w:t>
      </w:r>
      <w:r>
        <w:t xml:space="preserve"> </w:t>
      </w:r>
      <w:r>
        <w:rPr>
          <w:spacing w:val="-2"/>
        </w:rPr>
        <w:t>Clause</w:t>
      </w:r>
      <w:r>
        <w:rPr>
          <w:spacing w:val="1"/>
        </w:rPr>
        <w:t xml:space="preserve"> </w:t>
      </w:r>
      <w:hyperlink w:anchor="_bookmark250" w:history="1">
        <w:r>
          <w:rPr>
            <w:spacing w:val="-1"/>
          </w:rPr>
          <w:t>45.1</w:t>
        </w:r>
      </w:hyperlink>
      <w:r>
        <w:rPr>
          <w:spacing w:val="-1"/>
        </w:rPr>
        <w:t>; and</w:t>
      </w:r>
    </w:p>
    <w:p w:rsidR="008918FA" w:rsidRDefault="008918FA" w:rsidP="008918FA">
      <w:pPr>
        <w:pStyle w:val="BodyText"/>
        <w:numPr>
          <w:ilvl w:val="3"/>
          <w:numId w:val="66"/>
        </w:numPr>
        <w:tabs>
          <w:tab w:val="left" w:pos="2935"/>
        </w:tabs>
        <w:spacing w:before="121"/>
        <w:ind w:left="2934" w:right="112"/>
        <w:jc w:val="both"/>
      </w:pPr>
      <w:r>
        <w:rPr>
          <w:spacing w:val="-1"/>
        </w:rPr>
        <w:t>then</w:t>
      </w:r>
      <w:r>
        <w:rPr>
          <w:spacing w:val="41"/>
        </w:rPr>
        <w:t xml:space="preserve"> </w:t>
      </w:r>
      <w:r>
        <w:rPr>
          <w:spacing w:val="-1"/>
        </w:rPr>
        <w:t>makes</w:t>
      </w:r>
      <w:r>
        <w:rPr>
          <w:spacing w:val="44"/>
        </w:rPr>
        <w:t xml:space="preserve"> </w:t>
      </w:r>
      <w:r>
        <w:rPr>
          <w:spacing w:val="-1"/>
        </w:rPr>
        <w:t>other</w:t>
      </w:r>
      <w:r>
        <w:rPr>
          <w:spacing w:val="42"/>
        </w:rPr>
        <w:t xml:space="preserve"> </w:t>
      </w:r>
      <w:r>
        <w:rPr>
          <w:spacing w:val="-1"/>
        </w:rPr>
        <w:t>arrangements</w:t>
      </w:r>
      <w:r>
        <w:rPr>
          <w:spacing w:val="39"/>
        </w:rPr>
        <w:t xml:space="preserve"> </w:t>
      </w:r>
      <w:r>
        <w:t>for</w:t>
      </w:r>
      <w:r>
        <w:rPr>
          <w:spacing w:val="42"/>
        </w:rPr>
        <w:t xml:space="preserve"> </w:t>
      </w:r>
      <w:r>
        <w:t>the</w:t>
      </w:r>
      <w:r>
        <w:rPr>
          <w:spacing w:val="43"/>
        </w:rPr>
        <w:t xml:space="preserve"> </w:t>
      </w:r>
      <w:r>
        <w:rPr>
          <w:spacing w:val="-1"/>
        </w:rPr>
        <w:t>supply</w:t>
      </w:r>
      <w:r>
        <w:rPr>
          <w:spacing w:val="42"/>
        </w:rPr>
        <w:t xml:space="preserve"> </w:t>
      </w:r>
      <w:r>
        <w:rPr>
          <w:spacing w:val="-2"/>
        </w:rPr>
        <w:t>of</w:t>
      </w:r>
      <w:r>
        <w:rPr>
          <w:spacing w:val="45"/>
        </w:rPr>
        <w:t xml:space="preserve"> </w:t>
      </w:r>
      <w:r>
        <w:t>the</w:t>
      </w:r>
      <w:r>
        <w:rPr>
          <w:spacing w:val="43"/>
        </w:rPr>
        <w:t xml:space="preserve"> </w:t>
      </w:r>
      <w:r>
        <w:rPr>
          <w:spacing w:val="-1"/>
        </w:rPr>
        <w:t>Goods</w:t>
      </w:r>
      <w:r>
        <w:rPr>
          <w:spacing w:val="32"/>
        </w:rPr>
        <w:t xml:space="preserve"> </w:t>
      </w:r>
      <w:r>
        <w:rPr>
          <w:spacing w:val="-1"/>
        </w:rPr>
        <w:t>and/or</w:t>
      </w:r>
      <w:r>
        <w:t xml:space="preserve"> </w:t>
      </w:r>
      <w:r>
        <w:rPr>
          <w:spacing w:val="-1"/>
        </w:rPr>
        <w:t>Services,</w:t>
      </w:r>
    </w:p>
    <w:p w:rsidR="008918FA" w:rsidRDefault="008918FA" w:rsidP="008918FA">
      <w:pPr>
        <w:pStyle w:val="BodyText"/>
        <w:spacing w:before="121"/>
        <w:ind w:left="2226" w:right="112" w:firstLine="0"/>
        <w:jc w:val="both"/>
      </w:pPr>
      <w:r>
        <w:t>the</w:t>
      </w:r>
      <w:r>
        <w:rPr>
          <w:spacing w:val="6"/>
        </w:rPr>
        <w:t xml:space="preserve"> </w:t>
      </w:r>
      <w:r>
        <w:rPr>
          <w:spacing w:val="-1"/>
        </w:rPr>
        <w:t>Customer</w:t>
      </w:r>
      <w:r>
        <w:rPr>
          <w:spacing w:val="8"/>
        </w:rPr>
        <w:t xml:space="preserve"> </w:t>
      </w:r>
      <w:r>
        <w:rPr>
          <w:spacing w:val="-1"/>
        </w:rPr>
        <w:t>may</w:t>
      </w:r>
      <w:r>
        <w:rPr>
          <w:spacing w:val="4"/>
        </w:rPr>
        <w:t xml:space="preserve"> </w:t>
      </w:r>
      <w:r>
        <w:rPr>
          <w:spacing w:val="-1"/>
        </w:rPr>
        <w:t>recover</w:t>
      </w:r>
      <w:r>
        <w:rPr>
          <w:spacing w:val="8"/>
        </w:rPr>
        <w:t xml:space="preserve"> </w:t>
      </w:r>
      <w:r>
        <w:t>from</w:t>
      </w:r>
      <w:r>
        <w:rPr>
          <w:spacing w:val="8"/>
        </w:rPr>
        <w:t xml:space="preserve"> </w:t>
      </w:r>
      <w:r>
        <w:t>the</w:t>
      </w:r>
      <w:r>
        <w:rPr>
          <w:spacing w:val="6"/>
        </w:rPr>
        <w:t xml:space="preserve"> </w:t>
      </w:r>
      <w:r>
        <w:rPr>
          <w:spacing w:val="-2"/>
        </w:rPr>
        <w:t>Supplier</w:t>
      </w:r>
      <w:r>
        <w:rPr>
          <w:spacing w:val="8"/>
        </w:rPr>
        <w:t xml:space="preserve"> </w:t>
      </w:r>
      <w:r>
        <w:t>the</w:t>
      </w:r>
      <w:r>
        <w:rPr>
          <w:spacing w:val="6"/>
        </w:rPr>
        <w:t xml:space="preserve"> </w:t>
      </w:r>
      <w:r>
        <w:rPr>
          <w:spacing w:val="-1"/>
        </w:rPr>
        <w:t>cost</w:t>
      </w:r>
      <w:r>
        <w:rPr>
          <w:spacing w:val="8"/>
        </w:rPr>
        <w:t xml:space="preserve"> </w:t>
      </w:r>
      <w:r>
        <w:rPr>
          <w:spacing w:val="-1"/>
        </w:rPr>
        <w:t>reasonably</w:t>
      </w:r>
      <w:r>
        <w:rPr>
          <w:spacing w:val="31"/>
        </w:rPr>
        <w:t xml:space="preserve"> </w:t>
      </w:r>
      <w:r>
        <w:rPr>
          <w:spacing w:val="-1"/>
        </w:rPr>
        <w:t>incurred</w:t>
      </w:r>
      <w:r>
        <w:rPr>
          <w:spacing w:val="23"/>
        </w:rPr>
        <w:t xml:space="preserve"> </w:t>
      </w:r>
      <w:r>
        <w:rPr>
          <w:spacing w:val="-2"/>
        </w:rPr>
        <w:t>of</w:t>
      </w:r>
      <w:r>
        <w:rPr>
          <w:spacing w:val="24"/>
        </w:rPr>
        <w:t xml:space="preserve"> </w:t>
      </w:r>
      <w:r>
        <w:rPr>
          <w:spacing w:val="-1"/>
        </w:rPr>
        <w:t>making</w:t>
      </w:r>
      <w:r>
        <w:rPr>
          <w:spacing w:val="23"/>
        </w:rPr>
        <w:t xml:space="preserve"> </w:t>
      </w:r>
      <w:r>
        <w:rPr>
          <w:spacing w:val="-1"/>
        </w:rPr>
        <w:t>those</w:t>
      </w:r>
      <w:r>
        <w:rPr>
          <w:spacing w:val="24"/>
        </w:rPr>
        <w:t xml:space="preserve"> </w:t>
      </w:r>
      <w:r>
        <w:rPr>
          <w:spacing w:val="-1"/>
        </w:rPr>
        <w:t>other</w:t>
      </w:r>
      <w:r>
        <w:rPr>
          <w:spacing w:val="24"/>
        </w:rPr>
        <w:t xml:space="preserve"> </w:t>
      </w:r>
      <w:r>
        <w:rPr>
          <w:spacing w:val="-1"/>
        </w:rPr>
        <w:t>arrangements</w:t>
      </w:r>
      <w:r>
        <w:rPr>
          <w:spacing w:val="21"/>
        </w:rPr>
        <w:t xml:space="preserve"> </w:t>
      </w:r>
      <w:r>
        <w:rPr>
          <w:spacing w:val="-1"/>
        </w:rPr>
        <w:t>and</w:t>
      </w:r>
      <w:r>
        <w:rPr>
          <w:spacing w:val="23"/>
        </w:rPr>
        <w:t xml:space="preserve"> </w:t>
      </w:r>
      <w:r>
        <w:rPr>
          <w:spacing w:val="-1"/>
        </w:rPr>
        <w:t>any</w:t>
      </w:r>
      <w:r>
        <w:rPr>
          <w:spacing w:val="21"/>
        </w:rPr>
        <w:t xml:space="preserve"> </w:t>
      </w:r>
      <w:r>
        <w:rPr>
          <w:spacing w:val="-1"/>
        </w:rPr>
        <w:t>additional</w:t>
      </w:r>
      <w:r>
        <w:rPr>
          <w:spacing w:val="36"/>
        </w:rPr>
        <w:t xml:space="preserve"> </w:t>
      </w:r>
      <w:r>
        <w:rPr>
          <w:spacing w:val="-1"/>
        </w:rPr>
        <w:t>expenditure</w:t>
      </w:r>
      <w:r>
        <w:rPr>
          <w:spacing w:val="10"/>
        </w:rPr>
        <w:t xml:space="preserve"> </w:t>
      </w:r>
      <w:r>
        <w:rPr>
          <w:spacing w:val="-1"/>
        </w:rPr>
        <w:t>incurred</w:t>
      </w:r>
      <w:r>
        <w:rPr>
          <w:spacing w:val="10"/>
        </w:rPr>
        <w:t xml:space="preserve"> </w:t>
      </w:r>
      <w:r>
        <w:rPr>
          <w:spacing w:val="-1"/>
        </w:rPr>
        <w:t>by</w:t>
      </w:r>
      <w:r>
        <w:rPr>
          <w:spacing w:val="8"/>
        </w:rPr>
        <w:t xml:space="preserve"> </w:t>
      </w:r>
      <w:r>
        <w:t>the</w:t>
      </w:r>
      <w:r>
        <w:rPr>
          <w:spacing w:val="10"/>
        </w:rPr>
        <w:t xml:space="preserve"> </w:t>
      </w:r>
      <w:r>
        <w:rPr>
          <w:spacing w:val="-1"/>
        </w:rPr>
        <w:t>Customer</w:t>
      </w:r>
      <w:r>
        <w:rPr>
          <w:spacing w:val="11"/>
        </w:rPr>
        <w:t xml:space="preserve"> </w:t>
      </w:r>
      <w:r>
        <w:rPr>
          <w:spacing w:val="-1"/>
        </w:rPr>
        <w:t>throughout</w:t>
      </w:r>
      <w:r>
        <w:rPr>
          <w:spacing w:val="9"/>
        </w:rPr>
        <w:t xml:space="preserve"> </w:t>
      </w:r>
      <w:r>
        <w:t>the</w:t>
      </w:r>
      <w:r>
        <w:rPr>
          <w:spacing w:val="10"/>
        </w:rPr>
        <w:t xml:space="preserve"> </w:t>
      </w:r>
      <w:r>
        <w:rPr>
          <w:spacing w:val="-1"/>
        </w:rPr>
        <w:t>remainder</w:t>
      </w:r>
      <w:r>
        <w:rPr>
          <w:spacing w:val="11"/>
        </w:rPr>
        <w:t xml:space="preserve"> </w:t>
      </w:r>
      <w:r>
        <w:rPr>
          <w:spacing w:val="-2"/>
        </w:rPr>
        <w:t>of</w:t>
      </w:r>
      <w:r>
        <w:rPr>
          <w:spacing w:val="11"/>
        </w:rPr>
        <w:t xml:space="preserve"> </w:t>
      </w:r>
      <w:r>
        <w:rPr>
          <w:spacing w:val="-1"/>
        </w:rPr>
        <w:t>the</w:t>
      </w:r>
      <w:r>
        <w:rPr>
          <w:spacing w:val="24"/>
        </w:rPr>
        <w:t xml:space="preserve"> </w:t>
      </w:r>
      <w:r>
        <w:rPr>
          <w:spacing w:val="-2"/>
        </w:rPr>
        <w:t>Call</w:t>
      </w:r>
      <w:r>
        <w:rPr>
          <w:spacing w:val="46"/>
        </w:rPr>
        <w:t xml:space="preserve"> </w:t>
      </w:r>
      <w:r>
        <w:t>Off</w:t>
      </w:r>
      <w:r>
        <w:rPr>
          <w:spacing w:val="49"/>
        </w:rPr>
        <w:t xml:space="preserve"> </w:t>
      </w:r>
      <w:r>
        <w:rPr>
          <w:spacing w:val="-2"/>
        </w:rPr>
        <w:t>Contract</w:t>
      </w:r>
      <w:r>
        <w:rPr>
          <w:spacing w:val="49"/>
        </w:rPr>
        <w:t xml:space="preserve"> </w:t>
      </w:r>
      <w:r>
        <w:rPr>
          <w:spacing w:val="-2"/>
        </w:rPr>
        <w:t>Period</w:t>
      </w:r>
      <w:r>
        <w:rPr>
          <w:spacing w:val="47"/>
        </w:rPr>
        <w:t xml:space="preserve"> </w:t>
      </w:r>
      <w:r>
        <w:rPr>
          <w:spacing w:val="-2"/>
        </w:rPr>
        <w:t>provided</w:t>
      </w:r>
      <w:r>
        <w:rPr>
          <w:spacing w:val="47"/>
        </w:rPr>
        <w:t xml:space="preserve"> </w:t>
      </w:r>
      <w:r>
        <w:rPr>
          <w:spacing w:val="-1"/>
        </w:rPr>
        <w:t>that</w:t>
      </w:r>
      <w:r>
        <w:rPr>
          <w:spacing w:val="49"/>
        </w:rPr>
        <w:t xml:space="preserve"> </w:t>
      </w:r>
      <w:r>
        <w:rPr>
          <w:spacing w:val="-1"/>
        </w:rPr>
        <w:t>Customer</w:t>
      </w:r>
      <w:r>
        <w:rPr>
          <w:spacing w:val="49"/>
        </w:rPr>
        <w:t xml:space="preserve"> </w:t>
      </w:r>
      <w:r>
        <w:rPr>
          <w:spacing w:val="-1"/>
        </w:rPr>
        <w:t>shall</w:t>
      </w:r>
      <w:r>
        <w:rPr>
          <w:spacing w:val="46"/>
        </w:rPr>
        <w:t xml:space="preserve"> </w:t>
      </w:r>
      <w:r>
        <w:rPr>
          <w:spacing w:val="-1"/>
        </w:rPr>
        <w:t>take</w:t>
      </w:r>
      <w:r>
        <w:rPr>
          <w:spacing w:val="47"/>
        </w:rPr>
        <w:t xml:space="preserve"> </w:t>
      </w:r>
      <w:r>
        <w:rPr>
          <w:spacing w:val="-1"/>
        </w:rPr>
        <w:t>all</w:t>
      </w:r>
      <w:r>
        <w:rPr>
          <w:spacing w:val="59"/>
        </w:rPr>
        <w:t xml:space="preserve"> </w:t>
      </w:r>
      <w:r>
        <w:rPr>
          <w:spacing w:val="-1"/>
        </w:rPr>
        <w:t>reasonable</w:t>
      </w:r>
      <w:r>
        <w:rPr>
          <w:spacing w:val="41"/>
        </w:rPr>
        <w:t xml:space="preserve"> </w:t>
      </w:r>
      <w:r>
        <w:rPr>
          <w:spacing w:val="-1"/>
        </w:rPr>
        <w:t>steps</w:t>
      </w:r>
      <w:r>
        <w:rPr>
          <w:spacing w:val="41"/>
        </w:rPr>
        <w:t xml:space="preserve"> </w:t>
      </w:r>
      <w:r>
        <w:t>to</w:t>
      </w:r>
      <w:r>
        <w:rPr>
          <w:spacing w:val="38"/>
        </w:rPr>
        <w:t xml:space="preserve"> </w:t>
      </w:r>
      <w:r>
        <w:rPr>
          <w:spacing w:val="-1"/>
        </w:rPr>
        <w:t>mitigate</w:t>
      </w:r>
      <w:r>
        <w:rPr>
          <w:spacing w:val="41"/>
        </w:rPr>
        <w:t xml:space="preserve"> </w:t>
      </w:r>
      <w:r>
        <w:rPr>
          <w:spacing w:val="-1"/>
        </w:rPr>
        <w:t>such</w:t>
      </w:r>
      <w:r>
        <w:rPr>
          <w:spacing w:val="41"/>
        </w:rPr>
        <w:t xml:space="preserve"> </w:t>
      </w:r>
      <w:r>
        <w:rPr>
          <w:spacing w:val="-2"/>
        </w:rPr>
        <w:t>additional</w:t>
      </w:r>
      <w:r>
        <w:rPr>
          <w:spacing w:val="40"/>
        </w:rPr>
        <w:t xml:space="preserve"> </w:t>
      </w:r>
      <w:r>
        <w:rPr>
          <w:spacing w:val="-1"/>
        </w:rPr>
        <w:t>expenditure.</w:t>
      </w:r>
      <w:r>
        <w:rPr>
          <w:spacing w:val="44"/>
        </w:rPr>
        <w:t xml:space="preserve"> </w:t>
      </w:r>
      <w:r>
        <w:rPr>
          <w:spacing w:val="-1"/>
        </w:rPr>
        <w:t>No</w:t>
      </w:r>
      <w:r>
        <w:rPr>
          <w:spacing w:val="39"/>
        </w:rPr>
        <w:t xml:space="preserve"> </w:t>
      </w:r>
      <w:r>
        <w:rPr>
          <w:spacing w:val="-1"/>
        </w:rPr>
        <w:t>further</w:t>
      </w:r>
      <w:r>
        <w:rPr>
          <w:spacing w:val="44"/>
        </w:rPr>
        <w:t xml:space="preserve"> </w:t>
      </w:r>
      <w:r>
        <w:rPr>
          <w:spacing w:val="-1"/>
        </w:rPr>
        <w:t>payments</w:t>
      </w:r>
      <w:r>
        <w:rPr>
          <w:spacing w:val="30"/>
        </w:rPr>
        <w:t xml:space="preserve"> </w:t>
      </w:r>
      <w:r>
        <w:rPr>
          <w:spacing w:val="-1"/>
        </w:rPr>
        <w:t>shall</w:t>
      </w:r>
      <w:r>
        <w:rPr>
          <w:spacing w:val="28"/>
        </w:rPr>
        <w:t xml:space="preserve"> </w:t>
      </w:r>
      <w:r>
        <w:rPr>
          <w:spacing w:val="-1"/>
        </w:rPr>
        <w:t>be</w:t>
      </w:r>
      <w:r>
        <w:rPr>
          <w:spacing w:val="29"/>
        </w:rPr>
        <w:t xml:space="preserve"> </w:t>
      </w:r>
      <w:r>
        <w:rPr>
          <w:spacing w:val="-1"/>
        </w:rPr>
        <w:t>payable</w:t>
      </w:r>
      <w:r>
        <w:rPr>
          <w:spacing w:val="29"/>
        </w:rPr>
        <w:t xml:space="preserve"> </w:t>
      </w:r>
      <w:r>
        <w:rPr>
          <w:spacing w:val="-1"/>
        </w:rPr>
        <w:t>by</w:t>
      </w:r>
      <w:r>
        <w:rPr>
          <w:spacing w:val="27"/>
        </w:rPr>
        <w:t xml:space="preserve"> </w:t>
      </w:r>
      <w:r>
        <w:t>the</w:t>
      </w:r>
      <w:r>
        <w:rPr>
          <w:spacing w:val="29"/>
        </w:rPr>
        <w:t xml:space="preserve"> </w:t>
      </w:r>
      <w:r>
        <w:rPr>
          <w:spacing w:val="-1"/>
        </w:rPr>
        <w:t>Customer</w:t>
      </w:r>
      <w:r>
        <w:rPr>
          <w:spacing w:val="32"/>
        </w:rPr>
        <w:t xml:space="preserve"> </w:t>
      </w:r>
      <w:r>
        <w:t>to</w:t>
      </w:r>
      <w:r>
        <w:rPr>
          <w:spacing w:val="27"/>
        </w:rPr>
        <w:t xml:space="preserve"> </w:t>
      </w:r>
      <w:r>
        <w:t>the</w:t>
      </w:r>
      <w:r>
        <w:rPr>
          <w:spacing w:val="29"/>
        </w:rPr>
        <w:t xml:space="preserve"> </w:t>
      </w:r>
      <w:r>
        <w:rPr>
          <w:spacing w:val="-2"/>
        </w:rPr>
        <w:t>Supplier</w:t>
      </w:r>
      <w:r>
        <w:rPr>
          <w:spacing w:val="30"/>
        </w:rPr>
        <w:t xml:space="preserve"> </w:t>
      </w:r>
      <w:r>
        <w:rPr>
          <w:spacing w:val="-1"/>
        </w:rPr>
        <w:t>until</w:t>
      </w:r>
      <w:r>
        <w:rPr>
          <w:spacing w:val="28"/>
        </w:rPr>
        <w:t xml:space="preserve"> </w:t>
      </w:r>
      <w:r>
        <w:rPr>
          <w:spacing w:val="-1"/>
        </w:rPr>
        <w:t>the</w:t>
      </w:r>
      <w:r>
        <w:rPr>
          <w:spacing w:val="42"/>
        </w:rPr>
        <w:t xml:space="preserve"> </w:t>
      </w:r>
      <w:r>
        <w:rPr>
          <w:spacing w:val="-1"/>
        </w:rPr>
        <w:t>Customer</w:t>
      </w:r>
      <w:r>
        <w:rPr>
          <w:spacing w:val="39"/>
        </w:rPr>
        <w:t xml:space="preserve"> </w:t>
      </w:r>
      <w:r>
        <w:rPr>
          <w:spacing w:val="-1"/>
        </w:rPr>
        <w:t>has</w:t>
      </w:r>
      <w:r>
        <w:rPr>
          <w:spacing w:val="38"/>
        </w:rPr>
        <w:t xml:space="preserve"> </w:t>
      </w:r>
      <w:r>
        <w:rPr>
          <w:spacing w:val="-1"/>
        </w:rPr>
        <w:t>established</w:t>
      </w:r>
      <w:r>
        <w:rPr>
          <w:spacing w:val="37"/>
        </w:rPr>
        <w:t xml:space="preserve"> </w:t>
      </w:r>
      <w:r>
        <w:t>the</w:t>
      </w:r>
      <w:r>
        <w:rPr>
          <w:spacing w:val="37"/>
        </w:rPr>
        <w:t xml:space="preserve"> </w:t>
      </w:r>
      <w:r>
        <w:rPr>
          <w:spacing w:val="-1"/>
        </w:rPr>
        <w:t>final</w:t>
      </w:r>
      <w:r>
        <w:rPr>
          <w:spacing w:val="37"/>
        </w:rPr>
        <w:t xml:space="preserve"> </w:t>
      </w:r>
      <w:r>
        <w:rPr>
          <w:spacing w:val="-1"/>
        </w:rPr>
        <w:t>cost</w:t>
      </w:r>
      <w:r>
        <w:rPr>
          <w:spacing w:val="39"/>
        </w:rPr>
        <w:t xml:space="preserve"> </w:t>
      </w:r>
      <w:r>
        <w:rPr>
          <w:spacing w:val="-2"/>
        </w:rPr>
        <w:t>of</w:t>
      </w:r>
      <w:r>
        <w:rPr>
          <w:spacing w:val="40"/>
        </w:rPr>
        <w:t xml:space="preserve"> </w:t>
      </w:r>
      <w:r>
        <w:rPr>
          <w:spacing w:val="-1"/>
        </w:rPr>
        <w:t>making</w:t>
      </w:r>
      <w:r>
        <w:rPr>
          <w:spacing w:val="40"/>
        </w:rPr>
        <w:t xml:space="preserve"> </w:t>
      </w:r>
      <w:r>
        <w:rPr>
          <w:spacing w:val="-1"/>
        </w:rPr>
        <w:t>those</w:t>
      </w:r>
      <w:r>
        <w:rPr>
          <w:spacing w:val="38"/>
        </w:rPr>
        <w:t xml:space="preserve"> </w:t>
      </w:r>
      <w:r>
        <w:rPr>
          <w:spacing w:val="-1"/>
        </w:rPr>
        <w:t>other</w:t>
      </w:r>
      <w:r>
        <w:rPr>
          <w:spacing w:val="35"/>
        </w:rPr>
        <w:t xml:space="preserve"> </w:t>
      </w:r>
      <w:r>
        <w:rPr>
          <w:spacing w:val="-1"/>
        </w:rPr>
        <w:t>arrangements.</w:t>
      </w:r>
    </w:p>
    <w:p w:rsidR="008918FA" w:rsidRDefault="008918FA" w:rsidP="008918FA">
      <w:pPr>
        <w:pStyle w:val="Heading1"/>
        <w:numPr>
          <w:ilvl w:val="1"/>
          <w:numId w:val="66"/>
        </w:numPr>
        <w:tabs>
          <w:tab w:val="left" w:pos="1233"/>
        </w:tabs>
        <w:ind w:right="112" w:hanging="566"/>
        <w:jc w:val="both"/>
        <w:rPr>
          <w:b w:val="0"/>
          <w:bCs w:val="0"/>
        </w:rPr>
      </w:pPr>
      <w:r>
        <w:rPr>
          <w:spacing w:val="-1"/>
        </w:rPr>
        <w:t>Consequences</w:t>
      </w:r>
      <w:r>
        <w:rPr>
          <w:spacing w:val="11"/>
        </w:rPr>
        <w:t xml:space="preserve"> </w:t>
      </w:r>
      <w:r>
        <w:rPr>
          <w:spacing w:val="-1"/>
        </w:rPr>
        <w:t>of</w:t>
      </w:r>
      <w:r>
        <w:rPr>
          <w:spacing w:val="13"/>
        </w:rPr>
        <w:t xml:space="preserve"> </w:t>
      </w:r>
      <w:r>
        <w:rPr>
          <w:spacing w:val="-1"/>
        </w:rPr>
        <w:t>termination</w:t>
      </w:r>
      <w:r>
        <w:rPr>
          <w:spacing w:val="11"/>
        </w:rPr>
        <w:t xml:space="preserve"> </w:t>
      </w:r>
      <w:r>
        <w:rPr>
          <w:spacing w:val="-1"/>
        </w:rPr>
        <w:t>under</w:t>
      </w:r>
      <w:r>
        <w:rPr>
          <w:spacing w:val="12"/>
        </w:rPr>
        <w:t xml:space="preserve"> </w:t>
      </w:r>
      <w:r>
        <w:rPr>
          <w:spacing w:val="-1"/>
        </w:rPr>
        <w:t>Clauses</w:t>
      </w:r>
      <w:r>
        <w:rPr>
          <w:spacing w:val="11"/>
        </w:rPr>
        <w:t xml:space="preserve"> </w:t>
      </w:r>
      <w:hyperlink w:anchor="_bookmark237" w:history="1">
        <w:r>
          <w:rPr>
            <w:spacing w:val="-1"/>
          </w:rPr>
          <w:t>41.6</w:t>
        </w:r>
      </w:hyperlink>
      <w:r>
        <w:rPr>
          <w:spacing w:val="11"/>
        </w:rPr>
        <w:t xml:space="preserve"> </w:t>
      </w:r>
      <w:r>
        <w:rPr>
          <w:spacing w:val="-1"/>
        </w:rPr>
        <w:t>(Termination</w:t>
      </w:r>
      <w:r>
        <w:rPr>
          <w:spacing w:val="11"/>
        </w:rPr>
        <w:t xml:space="preserve"> </w:t>
      </w:r>
      <w:r>
        <w:rPr>
          <w:spacing w:val="-1"/>
        </w:rPr>
        <w:t>without</w:t>
      </w:r>
      <w:r>
        <w:rPr>
          <w:spacing w:val="38"/>
        </w:rPr>
        <w:t xml:space="preserve"> </w:t>
      </w:r>
      <w:r>
        <w:rPr>
          <w:spacing w:val="-1"/>
        </w:rPr>
        <w:t>Cause)</w:t>
      </w:r>
      <w:r>
        <w:rPr>
          <w:spacing w:val="2"/>
        </w:rPr>
        <w:t xml:space="preserve"> </w:t>
      </w:r>
      <w:r>
        <w:rPr>
          <w:spacing w:val="-1"/>
        </w:rPr>
        <w:t>and</w:t>
      </w:r>
      <w:r>
        <w:t xml:space="preserve"> </w:t>
      </w:r>
      <w:hyperlink w:anchor="_bookmark243" w:history="1">
        <w:r>
          <w:rPr>
            <w:spacing w:val="-1"/>
          </w:rPr>
          <w:t>42.1</w:t>
        </w:r>
      </w:hyperlink>
      <w:r>
        <w:rPr>
          <w:spacing w:val="-2"/>
        </w:rPr>
        <w:t xml:space="preserve"> </w:t>
      </w:r>
      <w:r>
        <w:rPr>
          <w:spacing w:val="-1"/>
        </w:rPr>
        <w:t>(Termination</w:t>
      </w:r>
      <w:r>
        <w:rPr>
          <w:spacing w:val="-2"/>
        </w:rPr>
        <w:t xml:space="preserve"> </w:t>
      </w:r>
      <w:r>
        <w:rPr>
          <w:spacing w:val="-1"/>
        </w:rPr>
        <w:t>on</w:t>
      </w:r>
      <w:r>
        <w:t xml:space="preserve"> </w:t>
      </w:r>
      <w:r>
        <w:rPr>
          <w:spacing w:val="-1"/>
        </w:rPr>
        <w:t xml:space="preserve">Customer </w:t>
      </w:r>
      <w:r>
        <w:rPr>
          <w:spacing w:val="-2"/>
        </w:rPr>
        <w:t>Cause</w:t>
      </w:r>
      <w:r>
        <w:t xml:space="preserve"> </w:t>
      </w:r>
      <w:r>
        <w:rPr>
          <w:spacing w:val="-1"/>
        </w:rPr>
        <w:t>for Failure</w:t>
      </w:r>
      <w:r>
        <w:rPr>
          <w:spacing w:val="-2"/>
        </w:rPr>
        <w:t xml:space="preserve"> </w:t>
      </w:r>
      <w:r>
        <w:t>to</w:t>
      </w:r>
      <w:r>
        <w:rPr>
          <w:spacing w:val="-2"/>
        </w:rPr>
        <w:t xml:space="preserve"> Pay)</w:t>
      </w:r>
    </w:p>
    <w:p w:rsidR="008918FA" w:rsidRDefault="008918FA" w:rsidP="008918FA">
      <w:pPr>
        <w:pStyle w:val="BodyText"/>
        <w:numPr>
          <w:ilvl w:val="2"/>
          <w:numId w:val="66"/>
        </w:numPr>
        <w:tabs>
          <w:tab w:val="left" w:pos="2227"/>
        </w:tabs>
        <w:spacing w:before="124"/>
      </w:pPr>
      <w:bookmarkStart w:id="299" w:name="_bookmark251"/>
      <w:bookmarkEnd w:id="299"/>
      <w:r>
        <w:rPr>
          <w:spacing w:val="-1"/>
        </w:rPr>
        <w:t>Where:</w:t>
      </w:r>
    </w:p>
    <w:p w:rsidR="008918FA" w:rsidRDefault="008918FA" w:rsidP="008918FA">
      <w:pPr>
        <w:pStyle w:val="BodyText"/>
        <w:numPr>
          <w:ilvl w:val="3"/>
          <w:numId w:val="66"/>
        </w:numPr>
        <w:tabs>
          <w:tab w:val="left" w:pos="2935"/>
        </w:tabs>
        <w:ind w:left="2934" w:right="115"/>
        <w:jc w:val="both"/>
      </w:pPr>
      <w:r>
        <w:t>the</w:t>
      </w:r>
      <w:r>
        <w:rPr>
          <w:spacing w:val="4"/>
        </w:rPr>
        <w:t xml:space="preserve"> </w:t>
      </w:r>
      <w:r>
        <w:rPr>
          <w:spacing w:val="-1"/>
        </w:rPr>
        <w:t>Customer</w:t>
      </w:r>
      <w:r>
        <w:rPr>
          <w:spacing w:val="5"/>
        </w:rPr>
        <w:t xml:space="preserve"> </w:t>
      </w:r>
      <w:r>
        <w:rPr>
          <w:spacing w:val="-1"/>
        </w:rPr>
        <w:t>terminates</w:t>
      </w:r>
      <w:r>
        <w:rPr>
          <w:spacing w:val="5"/>
        </w:rPr>
        <w:t xml:space="preserve"> </w:t>
      </w:r>
      <w:r>
        <w:rPr>
          <w:spacing w:val="-1"/>
        </w:rPr>
        <w:t>(in</w:t>
      </w:r>
      <w:r>
        <w:rPr>
          <w:spacing w:val="4"/>
        </w:rPr>
        <w:t xml:space="preserve"> </w:t>
      </w:r>
      <w:r>
        <w:rPr>
          <w:spacing w:val="-1"/>
        </w:rPr>
        <w:t>whole</w:t>
      </w:r>
      <w:r>
        <w:rPr>
          <w:spacing w:val="4"/>
        </w:rPr>
        <w:t xml:space="preserve"> </w:t>
      </w:r>
      <w:r>
        <w:rPr>
          <w:spacing w:val="-1"/>
        </w:rPr>
        <w:t>or</w:t>
      </w:r>
      <w:r>
        <w:rPr>
          <w:spacing w:val="5"/>
        </w:rPr>
        <w:t xml:space="preserve"> </w:t>
      </w:r>
      <w:r>
        <w:rPr>
          <w:spacing w:val="-1"/>
        </w:rPr>
        <w:t>in</w:t>
      </w:r>
      <w:r>
        <w:rPr>
          <w:spacing w:val="4"/>
        </w:rPr>
        <w:t xml:space="preserve"> </w:t>
      </w:r>
      <w:r>
        <w:rPr>
          <w:spacing w:val="-1"/>
        </w:rPr>
        <w:t>part)</w:t>
      </w:r>
      <w:r>
        <w:rPr>
          <w:spacing w:val="4"/>
        </w:rPr>
        <w:t xml:space="preserve"> </w:t>
      </w:r>
      <w:r>
        <w:rPr>
          <w:spacing w:val="-1"/>
        </w:rPr>
        <w:t>this</w:t>
      </w:r>
      <w:r>
        <w:rPr>
          <w:spacing w:val="4"/>
        </w:rPr>
        <w:t xml:space="preserve"> </w:t>
      </w:r>
      <w:r>
        <w:rPr>
          <w:spacing w:val="-2"/>
        </w:rPr>
        <w:t>Call</w:t>
      </w:r>
      <w:r>
        <w:rPr>
          <w:spacing w:val="3"/>
        </w:rPr>
        <w:t xml:space="preserve"> </w:t>
      </w:r>
      <w:r>
        <w:t>Off</w:t>
      </w:r>
      <w:r>
        <w:rPr>
          <w:spacing w:val="29"/>
        </w:rPr>
        <w:t xml:space="preserve"> </w:t>
      </w:r>
      <w:r>
        <w:rPr>
          <w:spacing w:val="-1"/>
        </w:rPr>
        <w:t>Contract</w:t>
      </w:r>
      <w:r>
        <w:rPr>
          <w:spacing w:val="2"/>
        </w:rPr>
        <w:t xml:space="preserve"> </w:t>
      </w:r>
      <w:r>
        <w:rPr>
          <w:spacing w:val="-2"/>
        </w:rPr>
        <w:t>under</w:t>
      </w:r>
      <w:r>
        <w:rPr>
          <w:spacing w:val="2"/>
        </w:rPr>
        <w:t xml:space="preserve"> </w:t>
      </w:r>
      <w:r>
        <w:rPr>
          <w:spacing w:val="-2"/>
        </w:rPr>
        <w:t>Clause</w:t>
      </w:r>
      <w:r>
        <w:rPr>
          <w:spacing w:val="2"/>
        </w:rPr>
        <w:t xml:space="preserve"> </w:t>
      </w:r>
      <w:hyperlink w:anchor="_bookmark237" w:history="1">
        <w:r>
          <w:rPr>
            <w:spacing w:val="-1"/>
          </w:rPr>
          <w:t>41.6</w:t>
        </w:r>
      </w:hyperlink>
      <w:r>
        <w:rPr>
          <w:spacing w:val="-2"/>
        </w:rPr>
        <w:t xml:space="preserve"> </w:t>
      </w:r>
      <w:r>
        <w:rPr>
          <w:spacing w:val="-1"/>
        </w:rPr>
        <w:t>(Termination</w:t>
      </w:r>
      <w:r>
        <w:t xml:space="preserve"> </w:t>
      </w:r>
      <w:r>
        <w:rPr>
          <w:spacing w:val="-2"/>
        </w:rPr>
        <w:t>without</w:t>
      </w:r>
      <w:r>
        <w:t xml:space="preserve"> </w:t>
      </w:r>
      <w:r>
        <w:rPr>
          <w:spacing w:val="-1"/>
        </w:rPr>
        <w:t>Cause);</w:t>
      </w:r>
      <w:r>
        <w:t xml:space="preserve"> </w:t>
      </w:r>
      <w:r>
        <w:rPr>
          <w:spacing w:val="-1"/>
        </w:rPr>
        <w:t>or</w:t>
      </w:r>
    </w:p>
    <w:p w:rsidR="008918FA" w:rsidRDefault="008918FA" w:rsidP="008918FA">
      <w:pPr>
        <w:pStyle w:val="BodyText"/>
        <w:numPr>
          <w:ilvl w:val="3"/>
          <w:numId w:val="66"/>
        </w:numPr>
        <w:tabs>
          <w:tab w:val="left" w:pos="2935"/>
        </w:tabs>
        <w:ind w:left="2934" w:right="111"/>
        <w:jc w:val="both"/>
      </w:pPr>
      <w:r>
        <w:t>the</w:t>
      </w:r>
      <w:r>
        <w:rPr>
          <w:spacing w:val="26"/>
        </w:rPr>
        <w:t xml:space="preserve"> </w:t>
      </w:r>
      <w:r>
        <w:rPr>
          <w:spacing w:val="-2"/>
        </w:rPr>
        <w:t>Supplier</w:t>
      </w:r>
      <w:r>
        <w:rPr>
          <w:spacing w:val="27"/>
        </w:rPr>
        <w:t xml:space="preserve"> </w:t>
      </w:r>
      <w:r>
        <w:rPr>
          <w:spacing w:val="-1"/>
        </w:rPr>
        <w:t>terminates</w:t>
      </w:r>
      <w:r>
        <w:rPr>
          <w:spacing w:val="24"/>
        </w:rPr>
        <w:t xml:space="preserve"> </w:t>
      </w:r>
      <w:r>
        <w:rPr>
          <w:spacing w:val="-1"/>
        </w:rPr>
        <w:t>this</w:t>
      </w:r>
      <w:r>
        <w:rPr>
          <w:spacing w:val="26"/>
        </w:rPr>
        <w:t xml:space="preserve"> </w:t>
      </w:r>
      <w:r>
        <w:rPr>
          <w:spacing w:val="-2"/>
        </w:rPr>
        <w:t>Call</w:t>
      </w:r>
      <w:r>
        <w:rPr>
          <w:spacing w:val="25"/>
        </w:rPr>
        <w:t xml:space="preserve"> </w:t>
      </w:r>
      <w:r>
        <w:rPr>
          <w:spacing w:val="-1"/>
        </w:rPr>
        <w:t>Off</w:t>
      </w:r>
      <w:r>
        <w:rPr>
          <w:spacing w:val="29"/>
        </w:rPr>
        <w:t xml:space="preserve"> </w:t>
      </w:r>
      <w:r>
        <w:rPr>
          <w:spacing w:val="-2"/>
        </w:rPr>
        <w:t>Contract</w:t>
      </w:r>
      <w:r>
        <w:rPr>
          <w:spacing w:val="25"/>
        </w:rPr>
        <w:t xml:space="preserve"> </w:t>
      </w:r>
      <w:r>
        <w:rPr>
          <w:spacing w:val="-1"/>
        </w:rPr>
        <w:t>pursuant</w:t>
      </w:r>
      <w:r>
        <w:rPr>
          <w:spacing w:val="25"/>
        </w:rPr>
        <w:t xml:space="preserve"> </w:t>
      </w:r>
      <w:r>
        <w:t>to</w:t>
      </w:r>
      <w:r>
        <w:rPr>
          <w:spacing w:val="59"/>
        </w:rPr>
        <w:t xml:space="preserve"> </w:t>
      </w:r>
      <w:r>
        <w:rPr>
          <w:spacing w:val="-2"/>
        </w:rPr>
        <w:t>Clause</w:t>
      </w:r>
      <w:r>
        <w:rPr>
          <w:spacing w:val="54"/>
        </w:rPr>
        <w:t xml:space="preserve"> </w:t>
      </w:r>
      <w:hyperlink w:anchor="_bookmark243" w:history="1">
        <w:r>
          <w:rPr>
            <w:spacing w:val="-1"/>
          </w:rPr>
          <w:t>42.1</w:t>
        </w:r>
      </w:hyperlink>
      <w:r>
        <w:rPr>
          <w:spacing w:val="53"/>
        </w:rPr>
        <w:t xml:space="preserve"> </w:t>
      </w:r>
      <w:r>
        <w:rPr>
          <w:spacing w:val="-1"/>
        </w:rPr>
        <w:t>(Termination</w:t>
      </w:r>
      <w:r>
        <w:rPr>
          <w:spacing w:val="53"/>
        </w:rPr>
        <w:t xml:space="preserve"> </w:t>
      </w:r>
      <w:r>
        <w:rPr>
          <w:spacing w:val="-1"/>
        </w:rPr>
        <w:t>on</w:t>
      </w:r>
      <w:r>
        <w:rPr>
          <w:spacing w:val="53"/>
        </w:rPr>
        <w:t xml:space="preserve"> </w:t>
      </w:r>
      <w:r>
        <w:rPr>
          <w:spacing w:val="-1"/>
        </w:rPr>
        <w:t>Customer</w:t>
      </w:r>
      <w:r>
        <w:rPr>
          <w:spacing w:val="54"/>
        </w:rPr>
        <w:t xml:space="preserve"> </w:t>
      </w:r>
      <w:r>
        <w:rPr>
          <w:spacing w:val="-1"/>
        </w:rPr>
        <w:t>Cause</w:t>
      </w:r>
      <w:r>
        <w:rPr>
          <w:spacing w:val="52"/>
        </w:rPr>
        <w:t xml:space="preserve"> </w:t>
      </w:r>
      <w:r>
        <w:t>for</w:t>
      </w:r>
      <w:r>
        <w:rPr>
          <w:spacing w:val="55"/>
        </w:rPr>
        <w:t xml:space="preserve"> </w:t>
      </w:r>
      <w:r>
        <w:rPr>
          <w:spacing w:val="-1"/>
        </w:rPr>
        <w:t>Failure</w:t>
      </w:r>
      <w:r>
        <w:rPr>
          <w:spacing w:val="53"/>
        </w:rPr>
        <w:t xml:space="preserve"> </w:t>
      </w:r>
      <w:r>
        <w:t>to</w:t>
      </w:r>
      <w:r>
        <w:rPr>
          <w:spacing w:val="25"/>
        </w:rPr>
        <w:t xml:space="preserve"> </w:t>
      </w:r>
      <w:r>
        <w:rPr>
          <w:spacing w:val="-1"/>
        </w:rPr>
        <w:t>Pay),</w:t>
      </w:r>
    </w:p>
    <w:p w:rsidR="008918FA" w:rsidRDefault="008918FA" w:rsidP="008918FA">
      <w:pPr>
        <w:pStyle w:val="BodyText"/>
        <w:ind w:left="2226" w:right="112" w:firstLine="0"/>
        <w:jc w:val="both"/>
      </w:pPr>
      <w:r>
        <w:t>the</w:t>
      </w:r>
      <w:r>
        <w:rPr>
          <w:spacing w:val="7"/>
        </w:rPr>
        <w:t xml:space="preserve"> </w:t>
      </w:r>
      <w:r>
        <w:rPr>
          <w:spacing w:val="-1"/>
        </w:rPr>
        <w:t>Customer</w:t>
      </w:r>
      <w:r>
        <w:rPr>
          <w:spacing w:val="9"/>
        </w:rPr>
        <w:t xml:space="preserve"> </w:t>
      </w:r>
      <w:r>
        <w:rPr>
          <w:spacing w:val="-1"/>
        </w:rPr>
        <w:t>shall</w:t>
      </w:r>
      <w:r>
        <w:rPr>
          <w:spacing w:val="7"/>
        </w:rPr>
        <w:t xml:space="preserve"> </w:t>
      </w:r>
      <w:r>
        <w:rPr>
          <w:spacing w:val="-1"/>
        </w:rPr>
        <w:t>indemnify</w:t>
      </w:r>
      <w:r>
        <w:rPr>
          <w:spacing w:val="5"/>
        </w:rPr>
        <w:t xml:space="preserve"> </w:t>
      </w:r>
      <w:r>
        <w:t>the</w:t>
      </w:r>
      <w:r>
        <w:rPr>
          <w:spacing w:val="7"/>
        </w:rPr>
        <w:t xml:space="preserve"> </w:t>
      </w:r>
      <w:r>
        <w:rPr>
          <w:spacing w:val="-2"/>
        </w:rPr>
        <w:t>Supplier</w:t>
      </w:r>
      <w:r>
        <w:rPr>
          <w:spacing w:val="9"/>
        </w:rPr>
        <w:t xml:space="preserve"> </w:t>
      </w:r>
      <w:r>
        <w:rPr>
          <w:spacing w:val="-1"/>
        </w:rPr>
        <w:t>against</w:t>
      </w:r>
      <w:r>
        <w:rPr>
          <w:spacing w:val="9"/>
        </w:rPr>
        <w:t xml:space="preserve"> </w:t>
      </w:r>
      <w:r>
        <w:rPr>
          <w:spacing w:val="-1"/>
        </w:rPr>
        <w:t>any</w:t>
      </w:r>
      <w:r>
        <w:rPr>
          <w:spacing w:val="5"/>
        </w:rPr>
        <w:t xml:space="preserve"> </w:t>
      </w:r>
      <w:r>
        <w:rPr>
          <w:spacing w:val="-1"/>
        </w:rPr>
        <w:t>reasonable</w:t>
      </w:r>
      <w:r>
        <w:rPr>
          <w:spacing w:val="7"/>
        </w:rPr>
        <w:t xml:space="preserve"> </w:t>
      </w:r>
      <w:r>
        <w:rPr>
          <w:spacing w:val="-1"/>
        </w:rPr>
        <w:t>and</w:t>
      </w:r>
      <w:r>
        <w:rPr>
          <w:spacing w:val="46"/>
        </w:rPr>
        <w:t xml:space="preserve"> </w:t>
      </w:r>
      <w:r>
        <w:rPr>
          <w:spacing w:val="-1"/>
        </w:rPr>
        <w:t>proven</w:t>
      </w:r>
      <w:r>
        <w:rPr>
          <w:spacing w:val="30"/>
        </w:rPr>
        <w:t xml:space="preserve"> </w:t>
      </w:r>
      <w:r>
        <w:rPr>
          <w:spacing w:val="-1"/>
        </w:rPr>
        <w:t>Losses</w:t>
      </w:r>
      <w:r>
        <w:rPr>
          <w:spacing w:val="30"/>
        </w:rPr>
        <w:t xml:space="preserve"> </w:t>
      </w:r>
      <w:r>
        <w:rPr>
          <w:spacing w:val="-2"/>
        </w:rPr>
        <w:t>which</w:t>
      </w:r>
      <w:r>
        <w:rPr>
          <w:spacing w:val="30"/>
        </w:rPr>
        <w:t xml:space="preserve"> </w:t>
      </w:r>
      <w:r>
        <w:rPr>
          <w:spacing w:val="-2"/>
        </w:rPr>
        <w:t>would</w:t>
      </w:r>
      <w:r>
        <w:rPr>
          <w:spacing w:val="29"/>
        </w:rPr>
        <w:t xml:space="preserve"> </w:t>
      </w:r>
      <w:r>
        <w:rPr>
          <w:spacing w:val="-1"/>
        </w:rPr>
        <w:t>otherwise</w:t>
      </w:r>
      <w:r>
        <w:rPr>
          <w:spacing w:val="30"/>
        </w:rPr>
        <w:t xml:space="preserve"> </w:t>
      </w:r>
      <w:r>
        <w:rPr>
          <w:spacing w:val="-1"/>
        </w:rPr>
        <w:t>represent</w:t>
      </w:r>
      <w:r>
        <w:rPr>
          <w:spacing w:val="30"/>
        </w:rPr>
        <w:t xml:space="preserve"> </w:t>
      </w:r>
      <w:r>
        <w:rPr>
          <w:spacing w:val="-1"/>
        </w:rPr>
        <w:t>an</w:t>
      </w:r>
      <w:r>
        <w:rPr>
          <w:spacing w:val="29"/>
        </w:rPr>
        <w:t xml:space="preserve"> </w:t>
      </w:r>
      <w:r>
        <w:rPr>
          <w:spacing w:val="-2"/>
        </w:rPr>
        <w:t>unavoidable</w:t>
      </w:r>
      <w:r>
        <w:rPr>
          <w:spacing w:val="29"/>
        </w:rPr>
        <w:t xml:space="preserve"> </w:t>
      </w:r>
      <w:r>
        <w:rPr>
          <w:spacing w:val="-2"/>
        </w:rPr>
        <w:t>loss</w:t>
      </w:r>
      <w:r>
        <w:rPr>
          <w:spacing w:val="44"/>
        </w:rPr>
        <w:t xml:space="preserve"> </w:t>
      </w:r>
      <w:r>
        <w:rPr>
          <w:spacing w:val="-1"/>
        </w:rPr>
        <w:t>by</w:t>
      </w:r>
      <w:r>
        <w:rPr>
          <w:spacing w:val="20"/>
        </w:rPr>
        <w:t xml:space="preserve"> </w:t>
      </w:r>
      <w:r>
        <w:t>the</w:t>
      </w:r>
      <w:r>
        <w:rPr>
          <w:spacing w:val="22"/>
        </w:rPr>
        <w:t xml:space="preserve"> </w:t>
      </w:r>
      <w:r>
        <w:rPr>
          <w:spacing w:val="-2"/>
        </w:rPr>
        <w:t>Supplier</w:t>
      </w:r>
      <w:r>
        <w:rPr>
          <w:spacing w:val="23"/>
        </w:rPr>
        <w:t xml:space="preserve"> </w:t>
      </w:r>
      <w:r>
        <w:rPr>
          <w:spacing w:val="-1"/>
        </w:rPr>
        <w:t>by</w:t>
      </w:r>
      <w:r>
        <w:rPr>
          <w:spacing w:val="20"/>
        </w:rPr>
        <w:t xml:space="preserve"> </w:t>
      </w:r>
      <w:r>
        <w:rPr>
          <w:spacing w:val="-1"/>
        </w:rPr>
        <w:t>reason</w:t>
      </w:r>
      <w:r>
        <w:rPr>
          <w:spacing w:val="22"/>
        </w:rPr>
        <w:t xml:space="preserve"> </w:t>
      </w:r>
      <w:r>
        <w:rPr>
          <w:spacing w:val="-2"/>
        </w:rPr>
        <w:t>of</w:t>
      </w:r>
      <w:r>
        <w:rPr>
          <w:spacing w:val="26"/>
        </w:rPr>
        <w:t xml:space="preserve"> </w:t>
      </w:r>
      <w:r>
        <w:t>the</w:t>
      </w:r>
      <w:r>
        <w:rPr>
          <w:spacing w:val="19"/>
        </w:rPr>
        <w:t xml:space="preserve"> </w:t>
      </w:r>
      <w:r>
        <w:rPr>
          <w:spacing w:val="-1"/>
        </w:rPr>
        <w:t>termination</w:t>
      </w:r>
      <w:r>
        <w:rPr>
          <w:spacing w:val="22"/>
        </w:rPr>
        <w:t xml:space="preserve"> </w:t>
      </w:r>
      <w:r>
        <w:rPr>
          <w:spacing w:val="-2"/>
        </w:rPr>
        <w:t>of</w:t>
      </w:r>
      <w:r>
        <w:rPr>
          <w:spacing w:val="21"/>
        </w:rPr>
        <w:t xml:space="preserve"> </w:t>
      </w:r>
      <w:r>
        <w:rPr>
          <w:spacing w:val="-1"/>
        </w:rPr>
        <w:t>this</w:t>
      </w:r>
      <w:r>
        <w:rPr>
          <w:spacing w:val="22"/>
        </w:rPr>
        <w:t xml:space="preserve"> </w:t>
      </w:r>
      <w:r>
        <w:rPr>
          <w:spacing w:val="-2"/>
        </w:rPr>
        <w:t>Call</w:t>
      </w:r>
      <w:r>
        <w:rPr>
          <w:spacing w:val="21"/>
        </w:rPr>
        <w:t xml:space="preserve"> </w:t>
      </w:r>
      <w:r>
        <w:rPr>
          <w:spacing w:val="-1"/>
        </w:rPr>
        <w:t>Off</w:t>
      </w:r>
      <w:r>
        <w:rPr>
          <w:spacing w:val="23"/>
        </w:rPr>
        <w:t xml:space="preserve"> </w:t>
      </w:r>
      <w:r>
        <w:rPr>
          <w:spacing w:val="-1"/>
        </w:rPr>
        <w:t>Contract,</w:t>
      </w:r>
      <w:r>
        <w:rPr>
          <w:spacing w:val="51"/>
        </w:rPr>
        <w:t xml:space="preserve"> </w:t>
      </w:r>
      <w:r>
        <w:rPr>
          <w:spacing w:val="-2"/>
        </w:rPr>
        <w:t>provided</w:t>
      </w:r>
      <w:r>
        <w:rPr>
          <w:spacing w:val="20"/>
        </w:rPr>
        <w:t xml:space="preserve"> </w:t>
      </w:r>
      <w:r>
        <w:rPr>
          <w:spacing w:val="-1"/>
        </w:rPr>
        <w:t>that</w:t>
      </w:r>
      <w:r>
        <w:rPr>
          <w:spacing w:val="21"/>
        </w:rPr>
        <w:t xml:space="preserve"> </w:t>
      </w:r>
      <w:r>
        <w:t>the</w:t>
      </w:r>
      <w:r>
        <w:rPr>
          <w:spacing w:val="19"/>
        </w:rPr>
        <w:t xml:space="preserve"> </w:t>
      </w:r>
      <w:r>
        <w:rPr>
          <w:spacing w:val="-2"/>
        </w:rPr>
        <w:t>Supplier</w:t>
      </w:r>
      <w:r>
        <w:rPr>
          <w:spacing w:val="21"/>
        </w:rPr>
        <w:t xml:space="preserve"> </w:t>
      </w:r>
      <w:r>
        <w:rPr>
          <w:spacing w:val="-1"/>
        </w:rPr>
        <w:t>takes</w:t>
      </w:r>
      <w:r>
        <w:rPr>
          <w:spacing w:val="20"/>
        </w:rPr>
        <w:t xml:space="preserve"> </w:t>
      </w:r>
      <w:r>
        <w:rPr>
          <w:spacing w:val="-1"/>
        </w:rPr>
        <w:t>all</w:t>
      </w:r>
      <w:r>
        <w:rPr>
          <w:spacing w:val="19"/>
        </w:rPr>
        <w:t xml:space="preserve"> </w:t>
      </w:r>
      <w:r>
        <w:rPr>
          <w:spacing w:val="-1"/>
        </w:rPr>
        <w:t>reasonable</w:t>
      </w:r>
      <w:r>
        <w:rPr>
          <w:spacing w:val="20"/>
        </w:rPr>
        <w:t xml:space="preserve"> </w:t>
      </w:r>
      <w:r>
        <w:rPr>
          <w:spacing w:val="-1"/>
        </w:rPr>
        <w:t>steps</w:t>
      </w:r>
      <w:r>
        <w:rPr>
          <w:spacing w:val="20"/>
        </w:rPr>
        <w:t xml:space="preserve"> </w:t>
      </w:r>
      <w:r>
        <w:t>to</w:t>
      </w:r>
      <w:r>
        <w:rPr>
          <w:spacing w:val="17"/>
        </w:rPr>
        <w:t xml:space="preserve"> </w:t>
      </w:r>
      <w:r>
        <w:rPr>
          <w:spacing w:val="-1"/>
        </w:rPr>
        <w:t>mitigate</w:t>
      </w:r>
      <w:r>
        <w:rPr>
          <w:spacing w:val="20"/>
        </w:rPr>
        <w:t xml:space="preserve"> </w:t>
      </w:r>
      <w:r>
        <w:rPr>
          <w:spacing w:val="-1"/>
        </w:rPr>
        <w:t>such</w:t>
      </w:r>
      <w:r>
        <w:rPr>
          <w:spacing w:val="66"/>
        </w:rPr>
        <w:t xml:space="preserve"> </w:t>
      </w:r>
      <w:r>
        <w:rPr>
          <w:spacing w:val="-1"/>
        </w:rPr>
        <w:t>Losses.</w:t>
      </w:r>
      <w:r>
        <w:rPr>
          <w:spacing w:val="35"/>
        </w:rPr>
        <w:t xml:space="preserve"> </w:t>
      </w:r>
      <w:r>
        <w:t>The</w:t>
      </w:r>
      <w:r>
        <w:rPr>
          <w:spacing w:val="36"/>
        </w:rPr>
        <w:t xml:space="preserve"> </w:t>
      </w:r>
      <w:r>
        <w:rPr>
          <w:spacing w:val="-2"/>
        </w:rPr>
        <w:t>Supplier</w:t>
      </w:r>
      <w:r>
        <w:rPr>
          <w:spacing w:val="38"/>
        </w:rPr>
        <w:t xml:space="preserve"> </w:t>
      </w:r>
      <w:r>
        <w:rPr>
          <w:spacing w:val="-2"/>
        </w:rPr>
        <w:t>shall</w:t>
      </w:r>
      <w:r>
        <w:rPr>
          <w:spacing w:val="36"/>
        </w:rPr>
        <w:t xml:space="preserve"> </w:t>
      </w:r>
      <w:r>
        <w:rPr>
          <w:spacing w:val="-1"/>
        </w:rPr>
        <w:t>submit</w:t>
      </w:r>
      <w:r>
        <w:rPr>
          <w:spacing w:val="38"/>
        </w:rPr>
        <w:t xml:space="preserve"> </w:t>
      </w:r>
      <w:r>
        <w:t>a</w:t>
      </w:r>
      <w:r>
        <w:rPr>
          <w:spacing w:val="34"/>
        </w:rPr>
        <w:t xml:space="preserve"> </w:t>
      </w:r>
      <w:r>
        <w:rPr>
          <w:spacing w:val="-1"/>
        </w:rPr>
        <w:t>fully</w:t>
      </w:r>
      <w:r>
        <w:rPr>
          <w:spacing w:val="35"/>
        </w:rPr>
        <w:t xml:space="preserve"> </w:t>
      </w:r>
      <w:r>
        <w:rPr>
          <w:spacing w:val="-1"/>
        </w:rPr>
        <w:t>itemised</w:t>
      </w:r>
      <w:r>
        <w:rPr>
          <w:spacing w:val="36"/>
        </w:rPr>
        <w:t xml:space="preserve"> </w:t>
      </w:r>
      <w:r>
        <w:rPr>
          <w:spacing w:val="-1"/>
        </w:rPr>
        <w:t>and</w:t>
      </w:r>
      <w:r>
        <w:rPr>
          <w:spacing w:val="36"/>
        </w:rPr>
        <w:t xml:space="preserve"> </w:t>
      </w:r>
      <w:r>
        <w:rPr>
          <w:spacing w:val="-1"/>
        </w:rPr>
        <w:t>costed</w:t>
      </w:r>
      <w:r>
        <w:rPr>
          <w:spacing w:val="35"/>
        </w:rPr>
        <w:t xml:space="preserve"> </w:t>
      </w:r>
      <w:r>
        <w:rPr>
          <w:spacing w:val="-2"/>
        </w:rPr>
        <w:t>list</w:t>
      </w:r>
      <w:r>
        <w:rPr>
          <w:spacing w:val="36"/>
        </w:rPr>
        <w:t xml:space="preserve"> </w:t>
      </w:r>
      <w:r>
        <w:rPr>
          <w:spacing w:val="-2"/>
        </w:rPr>
        <w:t>of</w:t>
      </w:r>
      <w:r>
        <w:rPr>
          <w:spacing w:val="61"/>
        </w:rPr>
        <w:t xml:space="preserve"> </w:t>
      </w:r>
      <w:r>
        <w:rPr>
          <w:spacing w:val="-1"/>
        </w:rPr>
        <w:t>such</w:t>
      </w:r>
      <w:r>
        <w:rPr>
          <w:spacing w:val="8"/>
        </w:rPr>
        <w:t xml:space="preserve"> </w:t>
      </w:r>
      <w:r>
        <w:rPr>
          <w:spacing w:val="-1"/>
        </w:rPr>
        <w:t>Losses,</w:t>
      </w:r>
      <w:r>
        <w:rPr>
          <w:spacing w:val="9"/>
        </w:rPr>
        <w:t xml:space="preserve"> </w:t>
      </w:r>
      <w:r>
        <w:rPr>
          <w:spacing w:val="-2"/>
        </w:rPr>
        <w:t>with</w:t>
      </w:r>
      <w:r>
        <w:rPr>
          <w:spacing w:val="7"/>
        </w:rPr>
        <w:t xml:space="preserve"> </w:t>
      </w:r>
      <w:r>
        <w:rPr>
          <w:spacing w:val="-1"/>
        </w:rPr>
        <w:t>supporting</w:t>
      </w:r>
      <w:r>
        <w:rPr>
          <w:spacing w:val="10"/>
        </w:rPr>
        <w:t xml:space="preserve"> </w:t>
      </w:r>
      <w:r>
        <w:rPr>
          <w:spacing w:val="-2"/>
        </w:rPr>
        <w:t>evidence</w:t>
      </w:r>
      <w:r>
        <w:rPr>
          <w:spacing w:val="8"/>
        </w:rPr>
        <w:t xml:space="preserve"> </w:t>
      </w:r>
      <w:r>
        <w:rPr>
          <w:spacing w:val="-2"/>
        </w:rPr>
        <w:t>including</w:t>
      </w:r>
      <w:r>
        <w:rPr>
          <w:spacing w:val="7"/>
        </w:rPr>
        <w:t xml:space="preserve"> </w:t>
      </w:r>
      <w:r>
        <w:rPr>
          <w:spacing w:val="-1"/>
        </w:rPr>
        <w:t>such</w:t>
      </w:r>
      <w:r>
        <w:rPr>
          <w:spacing w:val="5"/>
        </w:rPr>
        <w:t xml:space="preserve"> </w:t>
      </w:r>
      <w:r>
        <w:rPr>
          <w:spacing w:val="-1"/>
        </w:rPr>
        <w:t>further</w:t>
      </w:r>
      <w:r>
        <w:rPr>
          <w:spacing w:val="9"/>
        </w:rPr>
        <w:t xml:space="preserve"> </w:t>
      </w:r>
      <w:r>
        <w:rPr>
          <w:spacing w:val="-2"/>
        </w:rPr>
        <w:t>evidence</w:t>
      </w:r>
      <w:r>
        <w:rPr>
          <w:spacing w:val="64"/>
        </w:rPr>
        <w:t xml:space="preserve"> </w:t>
      </w:r>
      <w:r>
        <w:rPr>
          <w:spacing w:val="-1"/>
        </w:rPr>
        <w:t>as</w:t>
      </w:r>
      <w:r>
        <w:rPr>
          <w:spacing w:val="13"/>
        </w:rPr>
        <w:t xml:space="preserve"> </w:t>
      </w:r>
      <w:r>
        <w:t>the</w:t>
      </w:r>
      <w:r>
        <w:rPr>
          <w:spacing w:val="12"/>
        </w:rPr>
        <w:t xml:space="preserve"> </w:t>
      </w:r>
      <w:r>
        <w:rPr>
          <w:spacing w:val="-1"/>
        </w:rPr>
        <w:t>Customer</w:t>
      </w:r>
      <w:r>
        <w:rPr>
          <w:spacing w:val="11"/>
        </w:rPr>
        <w:t xml:space="preserve"> </w:t>
      </w:r>
      <w:r>
        <w:rPr>
          <w:spacing w:val="-1"/>
        </w:rPr>
        <w:t>may</w:t>
      </w:r>
      <w:r>
        <w:rPr>
          <w:spacing w:val="10"/>
        </w:rPr>
        <w:t xml:space="preserve"> </w:t>
      </w:r>
      <w:r>
        <w:rPr>
          <w:spacing w:val="-1"/>
        </w:rPr>
        <w:t>require,</w:t>
      </w:r>
      <w:r>
        <w:rPr>
          <w:spacing w:val="14"/>
        </w:rPr>
        <w:t xml:space="preserve"> </w:t>
      </w:r>
      <w:r>
        <w:rPr>
          <w:spacing w:val="-1"/>
        </w:rPr>
        <w:t>reasonably</w:t>
      </w:r>
      <w:r>
        <w:rPr>
          <w:spacing w:val="10"/>
        </w:rPr>
        <w:t xml:space="preserve"> </w:t>
      </w:r>
      <w:r>
        <w:rPr>
          <w:spacing w:val="-1"/>
        </w:rPr>
        <w:t>and</w:t>
      </w:r>
      <w:r>
        <w:rPr>
          <w:spacing w:val="12"/>
        </w:rPr>
        <w:t xml:space="preserve"> </w:t>
      </w:r>
      <w:r>
        <w:rPr>
          <w:spacing w:val="-1"/>
        </w:rPr>
        <w:t>actually</w:t>
      </w:r>
      <w:r>
        <w:rPr>
          <w:spacing w:val="13"/>
        </w:rPr>
        <w:t xml:space="preserve"> </w:t>
      </w:r>
      <w:r>
        <w:rPr>
          <w:spacing w:val="-1"/>
        </w:rPr>
        <w:t>incurred</w:t>
      </w:r>
      <w:r>
        <w:rPr>
          <w:spacing w:val="12"/>
        </w:rPr>
        <w:t xml:space="preserve"> </w:t>
      </w:r>
      <w:r>
        <w:rPr>
          <w:spacing w:val="-1"/>
        </w:rPr>
        <w:t>by</w:t>
      </w:r>
      <w:r>
        <w:rPr>
          <w:spacing w:val="10"/>
        </w:rPr>
        <w:t xml:space="preserve"> </w:t>
      </w:r>
      <w:r>
        <w:rPr>
          <w:spacing w:val="-1"/>
        </w:rPr>
        <w:t>the</w:t>
      </w:r>
      <w:r>
        <w:rPr>
          <w:spacing w:val="34"/>
        </w:rPr>
        <w:t xml:space="preserve"> </w:t>
      </w:r>
      <w:r>
        <w:rPr>
          <w:spacing w:val="-2"/>
        </w:rPr>
        <w:t>Supplier</w:t>
      </w:r>
      <w:r>
        <w:rPr>
          <w:spacing w:val="54"/>
        </w:rPr>
        <w:t xml:space="preserve"> </w:t>
      </w:r>
      <w:r>
        <w:rPr>
          <w:spacing w:val="-1"/>
        </w:rPr>
        <w:t>as</w:t>
      </w:r>
      <w:r>
        <w:rPr>
          <w:spacing w:val="53"/>
        </w:rPr>
        <w:t xml:space="preserve"> </w:t>
      </w:r>
      <w:r>
        <w:t>a</w:t>
      </w:r>
      <w:r>
        <w:rPr>
          <w:spacing w:val="53"/>
        </w:rPr>
        <w:t xml:space="preserve"> </w:t>
      </w:r>
      <w:r>
        <w:rPr>
          <w:spacing w:val="-1"/>
        </w:rPr>
        <w:t>result</w:t>
      </w:r>
      <w:r>
        <w:rPr>
          <w:spacing w:val="55"/>
        </w:rPr>
        <w:t xml:space="preserve"> </w:t>
      </w:r>
      <w:r>
        <w:rPr>
          <w:spacing w:val="-1"/>
        </w:rPr>
        <w:t>of</w:t>
      </w:r>
      <w:r>
        <w:rPr>
          <w:spacing w:val="55"/>
        </w:rPr>
        <w:t xml:space="preserve"> </w:t>
      </w:r>
      <w:r>
        <w:rPr>
          <w:spacing w:val="-1"/>
        </w:rPr>
        <w:t>termination</w:t>
      </w:r>
      <w:r>
        <w:rPr>
          <w:spacing w:val="53"/>
        </w:rPr>
        <w:t xml:space="preserve"> </w:t>
      </w:r>
      <w:r>
        <w:rPr>
          <w:spacing w:val="-1"/>
        </w:rPr>
        <w:t>under</w:t>
      </w:r>
      <w:r>
        <w:rPr>
          <w:spacing w:val="55"/>
        </w:rPr>
        <w:t xml:space="preserve"> </w:t>
      </w:r>
      <w:r>
        <w:rPr>
          <w:spacing w:val="-2"/>
        </w:rPr>
        <w:t>Clause</w:t>
      </w:r>
      <w:r>
        <w:rPr>
          <w:spacing w:val="55"/>
        </w:rPr>
        <w:t xml:space="preserve"> </w:t>
      </w:r>
      <w:hyperlink w:anchor="_bookmark237" w:history="1">
        <w:r>
          <w:rPr>
            <w:spacing w:val="-1"/>
          </w:rPr>
          <w:t>41.6</w:t>
        </w:r>
      </w:hyperlink>
      <w:r>
        <w:rPr>
          <w:spacing w:val="53"/>
        </w:rPr>
        <w:t xml:space="preserve"> </w:t>
      </w:r>
      <w:r>
        <w:rPr>
          <w:spacing w:val="-1"/>
        </w:rPr>
        <w:t>(Termination</w:t>
      </w:r>
      <w:r>
        <w:rPr>
          <w:spacing w:val="48"/>
        </w:rPr>
        <w:t xml:space="preserve"> </w:t>
      </w:r>
      <w:r>
        <w:rPr>
          <w:spacing w:val="-1"/>
        </w:rPr>
        <w:t>without</w:t>
      </w:r>
      <w:r>
        <w:rPr>
          <w:spacing w:val="2"/>
        </w:rPr>
        <w:t xml:space="preserve"> </w:t>
      </w:r>
      <w:r>
        <w:rPr>
          <w:spacing w:val="-2"/>
        </w:rPr>
        <w:t>Cause).</w:t>
      </w:r>
    </w:p>
    <w:p w:rsidR="008918FA" w:rsidRDefault="008918FA" w:rsidP="008918FA">
      <w:pPr>
        <w:pStyle w:val="BodyText"/>
        <w:numPr>
          <w:ilvl w:val="2"/>
          <w:numId w:val="66"/>
        </w:numPr>
        <w:tabs>
          <w:tab w:val="left" w:pos="2227"/>
        </w:tabs>
        <w:ind w:right="117"/>
      </w:pPr>
      <w:r>
        <w:t>The</w:t>
      </w:r>
      <w:r>
        <w:rPr>
          <w:spacing w:val="12"/>
        </w:rPr>
        <w:t xml:space="preserve"> </w:t>
      </w:r>
      <w:r>
        <w:rPr>
          <w:spacing w:val="-1"/>
        </w:rPr>
        <w:t>Customer</w:t>
      </w:r>
      <w:r>
        <w:rPr>
          <w:spacing w:val="14"/>
        </w:rPr>
        <w:t xml:space="preserve"> </w:t>
      </w:r>
      <w:r>
        <w:rPr>
          <w:spacing w:val="-1"/>
        </w:rPr>
        <w:t>shall</w:t>
      </w:r>
      <w:r>
        <w:rPr>
          <w:spacing w:val="12"/>
        </w:rPr>
        <w:t xml:space="preserve"> </w:t>
      </w:r>
      <w:r>
        <w:rPr>
          <w:spacing w:val="-1"/>
        </w:rPr>
        <w:t>not</w:t>
      </w:r>
      <w:r>
        <w:rPr>
          <w:spacing w:val="14"/>
        </w:rPr>
        <w:t xml:space="preserve"> </w:t>
      </w:r>
      <w:r>
        <w:rPr>
          <w:spacing w:val="-1"/>
        </w:rPr>
        <w:t>be</w:t>
      </w:r>
      <w:r>
        <w:rPr>
          <w:spacing w:val="12"/>
        </w:rPr>
        <w:t xml:space="preserve"> </w:t>
      </w:r>
      <w:r>
        <w:rPr>
          <w:spacing w:val="-2"/>
        </w:rPr>
        <w:t>liable</w:t>
      </w:r>
      <w:r>
        <w:rPr>
          <w:spacing w:val="15"/>
        </w:rPr>
        <w:t xml:space="preserve"> </w:t>
      </w:r>
      <w:r>
        <w:rPr>
          <w:spacing w:val="-1"/>
        </w:rPr>
        <w:t>under</w:t>
      </w:r>
      <w:r>
        <w:rPr>
          <w:spacing w:val="14"/>
        </w:rPr>
        <w:t xml:space="preserve"> </w:t>
      </w:r>
      <w:r>
        <w:rPr>
          <w:spacing w:val="-2"/>
        </w:rPr>
        <w:t>Clause</w:t>
      </w:r>
      <w:r>
        <w:rPr>
          <w:spacing w:val="17"/>
        </w:rPr>
        <w:t xml:space="preserve"> </w:t>
      </w:r>
      <w:hyperlink w:anchor="_bookmark251" w:history="1">
        <w:r>
          <w:t>45.2.1</w:t>
        </w:r>
      </w:hyperlink>
      <w:r>
        <w:rPr>
          <w:spacing w:val="12"/>
        </w:rPr>
        <w:t xml:space="preserve"> </w:t>
      </w:r>
      <w:r>
        <w:t>to</w:t>
      </w:r>
      <w:r>
        <w:rPr>
          <w:spacing w:val="12"/>
        </w:rPr>
        <w:t xml:space="preserve"> </w:t>
      </w:r>
      <w:r>
        <w:rPr>
          <w:spacing w:val="-1"/>
        </w:rPr>
        <w:t>pay</w:t>
      </w:r>
      <w:r>
        <w:rPr>
          <w:spacing w:val="10"/>
        </w:rPr>
        <w:t xml:space="preserve"> </w:t>
      </w:r>
      <w:r>
        <w:rPr>
          <w:spacing w:val="-1"/>
        </w:rPr>
        <w:t>any</w:t>
      </w:r>
      <w:r>
        <w:rPr>
          <w:spacing w:val="13"/>
        </w:rPr>
        <w:t xml:space="preserve"> </w:t>
      </w:r>
      <w:r>
        <w:rPr>
          <w:spacing w:val="-1"/>
        </w:rPr>
        <w:t>sum</w:t>
      </w:r>
      <w:r>
        <w:rPr>
          <w:spacing w:val="45"/>
        </w:rPr>
        <w:t xml:space="preserve"> </w:t>
      </w:r>
      <w:r>
        <w:rPr>
          <w:spacing w:val="-1"/>
        </w:rPr>
        <w:t>which:</w:t>
      </w:r>
    </w:p>
    <w:p w:rsidR="008918FA" w:rsidRDefault="008918FA" w:rsidP="008918FA">
      <w:pPr>
        <w:pStyle w:val="BodyText"/>
        <w:numPr>
          <w:ilvl w:val="3"/>
          <w:numId w:val="66"/>
        </w:numPr>
        <w:tabs>
          <w:tab w:val="left" w:pos="2934"/>
        </w:tabs>
        <w:spacing w:before="121"/>
        <w:ind w:left="2933" w:right="114" w:hanging="707"/>
        <w:jc w:val="both"/>
      </w:pPr>
      <w:r>
        <w:rPr>
          <w:spacing w:val="-2"/>
        </w:rPr>
        <w:t>was</w:t>
      </w:r>
      <w:r>
        <w:rPr>
          <w:spacing w:val="37"/>
        </w:rPr>
        <w:t xml:space="preserve"> </w:t>
      </w:r>
      <w:r>
        <w:rPr>
          <w:spacing w:val="-1"/>
        </w:rPr>
        <w:t>claimable</w:t>
      </w:r>
      <w:r>
        <w:rPr>
          <w:spacing w:val="36"/>
        </w:rPr>
        <w:t xml:space="preserve"> </w:t>
      </w:r>
      <w:r>
        <w:rPr>
          <w:spacing w:val="-1"/>
        </w:rPr>
        <w:t>under</w:t>
      </w:r>
      <w:r>
        <w:rPr>
          <w:spacing w:val="38"/>
        </w:rPr>
        <w:t xml:space="preserve"> </w:t>
      </w:r>
      <w:r>
        <w:rPr>
          <w:spacing w:val="-1"/>
        </w:rPr>
        <w:t>insurance</w:t>
      </w:r>
      <w:r>
        <w:rPr>
          <w:spacing w:val="37"/>
        </w:rPr>
        <w:t xml:space="preserve"> </w:t>
      </w:r>
      <w:r>
        <w:rPr>
          <w:spacing w:val="-1"/>
        </w:rPr>
        <w:t>held</w:t>
      </w:r>
      <w:r>
        <w:rPr>
          <w:spacing w:val="36"/>
        </w:rPr>
        <w:t xml:space="preserve"> </w:t>
      </w:r>
      <w:r>
        <w:rPr>
          <w:spacing w:val="-1"/>
        </w:rPr>
        <w:t>by</w:t>
      </w:r>
      <w:r>
        <w:rPr>
          <w:spacing w:val="34"/>
        </w:rPr>
        <w:t xml:space="preserve"> </w:t>
      </w:r>
      <w:r>
        <w:t>the</w:t>
      </w:r>
      <w:r>
        <w:rPr>
          <w:spacing w:val="37"/>
        </w:rPr>
        <w:t xml:space="preserve"> </w:t>
      </w:r>
      <w:r>
        <w:rPr>
          <w:spacing w:val="-2"/>
        </w:rPr>
        <w:t>Supplier,</w:t>
      </w:r>
      <w:r>
        <w:rPr>
          <w:spacing w:val="38"/>
        </w:rPr>
        <w:t xml:space="preserve"> </w:t>
      </w:r>
      <w:r>
        <w:rPr>
          <w:spacing w:val="-1"/>
        </w:rPr>
        <w:t>and</w:t>
      </w:r>
      <w:r>
        <w:rPr>
          <w:spacing w:val="36"/>
        </w:rPr>
        <w:t xml:space="preserve"> </w:t>
      </w:r>
      <w:r>
        <w:rPr>
          <w:spacing w:val="-1"/>
        </w:rPr>
        <w:t>the</w:t>
      </w:r>
      <w:r>
        <w:rPr>
          <w:spacing w:val="36"/>
        </w:rPr>
        <w:t xml:space="preserve"> </w:t>
      </w:r>
      <w:r>
        <w:rPr>
          <w:spacing w:val="-2"/>
        </w:rPr>
        <w:t>Supplier</w:t>
      </w:r>
      <w:r>
        <w:rPr>
          <w:spacing w:val="42"/>
        </w:rPr>
        <w:t xml:space="preserve"> </w:t>
      </w:r>
      <w:r>
        <w:rPr>
          <w:spacing w:val="-1"/>
        </w:rPr>
        <w:t>has</w:t>
      </w:r>
      <w:r>
        <w:rPr>
          <w:spacing w:val="41"/>
        </w:rPr>
        <w:t xml:space="preserve"> </w:t>
      </w:r>
      <w:r>
        <w:rPr>
          <w:spacing w:val="-1"/>
        </w:rPr>
        <w:t>failed</w:t>
      </w:r>
      <w:r>
        <w:rPr>
          <w:spacing w:val="41"/>
        </w:rPr>
        <w:t xml:space="preserve"> </w:t>
      </w:r>
      <w:r>
        <w:t>to</w:t>
      </w:r>
      <w:r>
        <w:rPr>
          <w:spacing w:val="38"/>
        </w:rPr>
        <w:t xml:space="preserve"> </w:t>
      </w:r>
      <w:r>
        <w:rPr>
          <w:spacing w:val="-1"/>
        </w:rPr>
        <w:t>make</w:t>
      </w:r>
      <w:r>
        <w:rPr>
          <w:spacing w:val="41"/>
        </w:rPr>
        <w:t xml:space="preserve"> </w:t>
      </w:r>
      <w:r>
        <w:t>a</w:t>
      </w:r>
      <w:r>
        <w:rPr>
          <w:spacing w:val="41"/>
        </w:rPr>
        <w:t xml:space="preserve"> </w:t>
      </w:r>
      <w:r>
        <w:rPr>
          <w:spacing w:val="-1"/>
        </w:rPr>
        <w:t>claim</w:t>
      </w:r>
      <w:r>
        <w:rPr>
          <w:spacing w:val="43"/>
        </w:rPr>
        <w:t xml:space="preserve"> </w:t>
      </w:r>
      <w:r>
        <w:rPr>
          <w:spacing w:val="-1"/>
        </w:rPr>
        <w:t>on</w:t>
      </w:r>
      <w:r>
        <w:rPr>
          <w:spacing w:val="41"/>
        </w:rPr>
        <w:t xml:space="preserve"> </w:t>
      </w:r>
      <w:r>
        <w:rPr>
          <w:spacing w:val="-1"/>
        </w:rPr>
        <w:t>its</w:t>
      </w:r>
      <w:r>
        <w:rPr>
          <w:spacing w:val="41"/>
        </w:rPr>
        <w:t xml:space="preserve"> </w:t>
      </w:r>
      <w:r>
        <w:rPr>
          <w:spacing w:val="-1"/>
        </w:rPr>
        <w:t>insurance,</w:t>
      </w:r>
      <w:r>
        <w:rPr>
          <w:spacing w:val="42"/>
        </w:rPr>
        <w:t xml:space="preserve"> </w:t>
      </w:r>
      <w:r>
        <w:rPr>
          <w:spacing w:val="-2"/>
        </w:rPr>
        <w:t>or</w:t>
      </w:r>
      <w:r>
        <w:rPr>
          <w:spacing w:val="42"/>
        </w:rPr>
        <w:t xml:space="preserve"> </w:t>
      </w:r>
      <w:r>
        <w:rPr>
          <w:spacing w:val="-1"/>
        </w:rPr>
        <w:t>has</w:t>
      </w:r>
      <w:r>
        <w:rPr>
          <w:spacing w:val="44"/>
        </w:rPr>
        <w:t xml:space="preserve"> </w:t>
      </w:r>
      <w:r>
        <w:rPr>
          <w:spacing w:val="-1"/>
        </w:rPr>
        <w:t>failed</w:t>
      </w:r>
      <w:r>
        <w:rPr>
          <w:spacing w:val="21"/>
        </w:rPr>
        <w:t xml:space="preserve"> </w:t>
      </w:r>
      <w:r>
        <w:t>to</w:t>
      </w:r>
      <w:r>
        <w:rPr>
          <w:spacing w:val="18"/>
        </w:rPr>
        <w:t xml:space="preserve"> </w:t>
      </w:r>
      <w:r>
        <w:rPr>
          <w:spacing w:val="-1"/>
        </w:rPr>
        <w:t>make</w:t>
      </w:r>
      <w:r>
        <w:rPr>
          <w:spacing w:val="18"/>
        </w:rPr>
        <w:t xml:space="preserve"> </w:t>
      </w:r>
      <w:r>
        <w:t>a</w:t>
      </w:r>
      <w:r>
        <w:rPr>
          <w:spacing w:val="21"/>
        </w:rPr>
        <w:t xml:space="preserve"> </w:t>
      </w:r>
      <w:r>
        <w:rPr>
          <w:spacing w:val="-1"/>
        </w:rPr>
        <w:t>claim</w:t>
      </w:r>
      <w:r>
        <w:rPr>
          <w:spacing w:val="20"/>
        </w:rPr>
        <w:t xml:space="preserve"> </w:t>
      </w:r>
      <w:r>
        <w:rPr>
          <w:spacing w:val="-1"/>
        </w:rPr>
        <w:t>in</w:t>
      </w:r>
      <w:r>
        <w:rPr>
          <w:spacing w:val="21"/>
        </w:rPr>
        <w:t xml:space="preserve"> </w:t>
      </w:r>
      <w:r>
        <w:rPr>
          <w:spacing w:val="-1"/>
        </w:rPr>
        <w:t>accordance</w:t>
      </w:r>
      <w:r>
        <w:rPr>
          <w:spacing w:val="21"/>
        </w:rPr>
        <w:t xml:space="preserve"> </w:t>
      </w:r>
      <w:r>
        <w:rPr>
          <w:spacing w:val="-2"/>
        </w:rPr>
        <w:t>with</w:t>
      </w:r>
      <w:r>
        <w:rPr>
          <w:spacing w:val="21"/>
        </w:rPr>
        <w:t xml:space="preserve"> </w:t>
      </w:r>
      <w:r>
        <w:rPr>
          <w:spacing w:val="-1"/>
        </w:rPr>
        <w:t>the</w:t>
      </w:r>
      <w:r>
        <w:rPr>
          <w:spacing w:val="21"/>
        </w:rPr>
        <w:t xml:space="preserve"> </w:t>
      </w:r>
      <w:r>
        <w:rPr>
          <w:spacing w:val="-1"/>
        </w:rPr>
        <w:t>procedural</w:t>
      </w:r>
      <w:r>
        <w:rPr>
          <w:spacing w:val="22"/>
        </w:rPr>
        <w:t xml:space="preserve"> </w:t>
      </w:r>
      <w:r>
        <w:rPr>
          <w:spacing w:val="-1"/>
        </w:rPr>
        <w:t>requirements</w:t>
      </w:r>
      <w:r>
        <w:rPr>
          <w:spacing w:val="-2"/>
        </w:rPr>
        <w:t xml:space="preserve"> of</w:t>
      </w:r>
      <w:r>
        <w:rPr>
          <w:spacing w:val="2"/>
        </w:rPr>
        <w:t xml:space="preserve"> </w:t>
      </w:r>
      <w:r>
        <w:t>the</w:t>
      </w:r>
      <w:r>
        <w:rPr>
          <w:spacing w:val="-2"/>
        </w:rPr>
        <w:t xml:space="preserve"> </w:t>
      </w:r>
      <w:r>
        <w:rPr>
          <w:spacing w:val="-1"/>
        </w:rPr>
        <w:t>insurance</w:t>
      </w:r>
      <w:r>
        <w:rPr>
          <w:spacing w:val="1"/>
        </w:rPr>
        <w:t xml:space="preserve"> </w:t>
      </w:r>
      <w:r>
        <w:rPr>
          <w:spacing w:val="-2"/>
        </w:rPr>
        <w:t>policy;</w:t>
      </w:r>
      <w:r>
        <w:rPr>
          <w:spacing w:val="2"/>
        </w:rPr>
        <w:t xml:space="preserve"> </w:t>
      </w:r>
      <w:r>
        <w:rPr>
          <w:spacing w:val="-1"/>
        </w:rPr>
        <w:t>or</w:t>
      </w:r>
    </w:p>
    <w:p w:rsidR="008918FA" w:rsidRDefault="008918FA" w:rsidP="008918FA">
      <w:pPr>
        <w:pStyle w:val="BodyText"/>
        <w:numPr>
          <w:ilvl w:val="3"/>
          <w:numId w:val="66"/>
        </w:numPr>
        <w:tabs>
          <w:tab w:val="left" w:pos="2934"/>
        </w:tabs>
        <w:ind w:left="2933" w:right="116" w:hanging="707"/>
        <w:jc w:val="both"/>
      </w:pPr>
      <w:r>
        <w:rPr>
          <w:spacing w:val="-2"/>
        </w:rPr>
        <w:t>when</w:t>
      </w:r>
      <w:r>
        <w:rPr>
          <w:spacing w:val="7"/>
        </w:rPr>
        <w:t xml:space="preserve"> </w:t>
      </w:r>
      <w:r>
        <w:rPr>
          <w:spacing w:val="-1"/>
        </w:rPr>
        <w:t>added</w:t>
      </w:r>
      <w:r>
        <w:rPr>
          <w:spacing w:val="7"/>
        </w:rPr>
        <w:t xml:space="preserve"> </w:t>
      </w:r>
      <w:r>
        <w:t>to</w:t>
      </w:r>
      <w:r>
        <w:rPr>
          <w:spacing w:val="7"/>
        </w:rPr>
        <w:t xml:space="preserve"> </w:t>
      </w:r>
      <w:r>
        <w:rPr>
          <w:spacing w:val="-1"/>
        </w:rPr>
        <w:t>any</w:t>
      </w:r>
      <w:r>
        <w:rPr>
          <w:spacing w:val="5"/>
        </w:rPr>
        <w:t xml:space="preserve"> </w:t>
      </w:r>
      <w:r>
        <w:rPr>
          <w:spacing w:val="-1"/>
        </w:rPr>
        <w:t>sums</w:t>
      </w:r>
      <w:r>
        <w:rPr>
          <w:spacing w:val="8"/>
        </w:rPr>
        <w:t xml:space="preserve"> </w:t>
      </w:r>
      <w:r>
        <w:rPr>
          <w:spacing w:val="-1"/>
        </w:rPr>
        <w:t>paid</w:t>
      </w:r>
      <w:r>
        <w:rPr>
          <w:spacing w:val="7"/>
        </w:rPr>
        <w:t xml:space="preserve"> </w:t>
      </w:r>
      <w:r>
        <w:rPr>
          <w:spacing w:val="-1"/>
        </w:rPr>
        <w:t>or</w:t>
      </w:r>
      <w:r>
        <w:rPr>
          <w:spacing w:val="9"/>
        </w:rPr>
        <w:t xml:space="preserve"> </w:t>
      </w:r>
      <w:r>
        <w:rPr>
          <w:spacing w:val="-1"/>
        </w:rPr>
        <w:t>due</w:t>
      </w:r>
      <w:r>
        <w:rPr>
          <w:spacing w:val="7"/>
        </w:rPr>
        <w:t xml:space="preserve"> </w:t>
      </w:r>
      <w:r>
        <w:t>to</w:t>
      </w:r>
      <w:r>
        <w:rPr>
          <w:spacing w:val="5"/>
        </w:rPr>
        <w:t xml:space="preserve"> </w:t>
      </w:r>
      <w:r>
        <w:t>the</w:t>
      </w:r>
      <w:r>
        <w:rPr>
          <w:spacing w:val="7"/>
        </w:rPr>
        <w:t xml:space="preserve"> </w:t>
      </w:r>
      <w:r>
        <w:rPr>
          <w:spacing w:val="-2"/>
        </w:rPr>
        <w:t>Supplier</w:t>
      </w:r>
      <w:r>
        <w:rPr>
          <w:spacing w:val="9"/>
        </w:rPr>
        <w:t xml:space="preserve"> </w:t>
      </w:r>
      <w:r>
        <w:rPr>
          <w:spacing w:val="-1"/>
        </w:rPr>
        <w:t>under</w:t>
      </w:r>
      <w:r>
        <w:rPr>
          <w:spacing w:val="9"/>
        </w:rPr>
        <w:t xml:space="preserve"> </w:t>
      </w:r>
      <w:r>
        <w:rPr>
          <w:spacing w:val="-1"/>
        </w:rPr>
        <w:t>this</w:t>
      </w:r>
      <w:r>
        <w:rPr>
          <w:spacing w:val="43"/>
        </w:rPr>
        <w:t xml:space="preserve"> </w:t>
      </w:r>
      <w:r>
        <w:rPr>
          <w:spacing w:val="-2"/>
        </w:rPr>
        <w:t>Call</w:t>
      </w:r>
      <w:r>
        <w:rPr>
          <w:spacing w:val="17"/>
        </w:rPr>
        <w:t xml:space="preserve"> </w:t>
      </w:r>
      <w:r>
        <w:rPr>
          <w:spacing w:val="-1"/>
        </w:rPr>
        <w:t>Off</w:t>
      </w:r>
      <w:r>
        <w:rPr>
          <w:spacing w:val="21"/>
        </w:rPr>
        <w:t xml:space="preserve"> </w:t>
      </w:r>
      <w:r>
        <w:rPr>
          <w:spacing w:val="-1"/>
        </w:rPr>
        <w:t>Contract,</w:t>
      </w:r>
      <w:r>
        <w:rPr>
          <w:spacing w:val="16"/>
        </w:rPr>
        <w:t xml:space="preserve"> </w:t>
      </w:r>
      <w:r>
        <w:rPr>
          <w:spacing w:val="-1"/>
        </w:rPr>
        <w:t>exceeds</w:t>
      </w:r>
      <w:r>
        <w:rPr>
          <w:spacing w:val="18"/>
        </w:rPr>
        <w:t xml:space="preserve"> </w:t>
      </w:r>
      <w:r>
        <w:t>the</w:t>
      </w:r>
      <w:r>
        <w:rPr>
          <w:spacing w:val="15"/>
        </w:rPr>
        <w:t xml:space="preserve"> </w:t>
      </w:r>
      <w:r>
        <w:t>total</w:t>
      </w:r>
      <w:r>
        <w:rPr>
          <w:spacing w:val="17"/>
        </w:rPr>
        <w:t xml:space="preserve"> </w:t>
      </w:r>
      <w:r>
        <w:rPr>
          <w:spacing w:val="-2"/>
        </w:rPr>
        <w:t>sum</w:t>
      </w:r>
      <w:r>
        <w:rPr>
          <w:spacing w:val="16"/>
        </w:rPr>
        <w:t xml:space="preserve"> </w:t>
      </w:r>
      <w:r>
        <w:rPr>
          <w:spacing w:val="-1"/>
        </w:rPr>
        <w:t>that</w:t>
      </w:r>
      <w:r>
        <w:rPr>
          <w:spacing w:val="16"/>
        </w:rPr>
        <w:t xml:space="preserve"> </w:t>
      </w:r>
      <w:r>
        <w:rPr>
          <w:spacing w:val="-2"/>
        </w:rPr>
        <w:t>would</w:t>
      </w:r>
      <w:r>
        <w:rPr>
          <w:spacing w:val="17"/>
        </w:rPr>
        <w:t xml:space="preserve"> </w:t>
      </w:r>
      <w:r>
        <w:rPr>
          <w:spacing w:val="-2"/>
        </w:rPr>
        <w:t>have</w:t>
      </w:r>
      <w:r>
        <w:rPr>
          <w:spacing w:val="17"/>
        </w:rPr>
        <w:t xml:space="preserve"> </w:t>
      </w:r>
      <w:r>
        <w:rPr>
          <w:spacing w:val="-1"/>
        </w:rPr>
        <w:t>been</w:t>
      </w:r>
    </w:p>
    <w:p w:rsidR="008918FA" w:rsidRDefault="008918FA" w:rsidP="008918FA">
      <w:pPr>
        <w:jc w:val="both"/>
        <w:sectPr w:rsidR="008918FA">
          <w:pgSz w:w="11910" w:h="16840"/>
          <w:pgMar w:top="1480" w:right="1300" w:bottom="1180" w:left="1340" w:header="0" w:footer="967" w:gutter="0"/>
          <w:cols w:space="720"/>
        </w:sectPr>
      </w:pPr>
    </w:p>
    <w:p w:rsidR="008918FA" w:rsidRDefault="008918FA" w:rsidP="008918FA">
      <w:pPr>
        <w:pStyle w:val="BodyText"/>
        <w:spacing w:before="59"/>
        <w:ind w:left="2934" w:right="114" w:firstLine="0"/>
        <w:jc w:val="both"/>
      </w:pPr>
      <w:bookmarkStart w:id="300" w:name="46._COMPLIANCE"/>
      <w:bookmarkStart w:id="301" w:name="L._UMISCELLANEOUS_AND_GOVERNING_LAW"/>
      <w:bookmarkEnd w:id="300"/>
      <w:bookmarkEnd w:id="301"/>
      <w:r>
        <w:rPr>
          <w:spacing w:val="-2"/>
        </w:rPr>
        <w:t>payable</w:t>
      </w:r>
      <w:r>
        <w:rPr>
          <w:spacing w:val="31"/>
        </w:rPr>
        <w:t xml:space="preserve"> </w:t>
      </w:r>
      <w:r>
        <w:t>to</w:t>
      </w:r>
      <w:r>
        <w:rPr>
          <w:spacing w:val="31"/>
        </w:rPr>
        <w:t xml:space="preserve"> </w:t>
      </w:r>
      <w:r>
        <w:t>the</w:t>
      </w:r>
      <w:r>
        <w:rPr>
          <w:spacing w:val="31"/>
        </w:rPr>
        <w:t xml:space="preserve"> </w:t>
      </w:r>
      <w:r>
        <w:rPr>
          <w:spacing w:val="-2"/>
        </w:rPr>
        <w:t>Supplier</w:t>
      </w:r>
      <w:r>
        <w:rPr>
          <w:spacing w:val="33"/>
        </w:rPr>
        <w:t xml:space="preserve"> </w:t>
      </w:r>
      <w:r>
        <w:rPr>
          <w:spacing w:val="-1"/>
        </w:rPr>
        <w:t>if</w:t>
      </w:r>
      <w:r>
        <w:rPr>
          <w:spacing w:val="33"/>
        </w:rPr>
        <w:t xml:space="preserve"> </w:t>
      </w:r>
      <w:r>
        <w:rPr>
          <w:spacing w:val="-1"/>
        </w:rPr>
        <w:t>this</w:t>
      </w:r>
      <w:r>
        <w:rPr>
          <w:spacing w:val="33"/>
        </w:rPr>
        <w:t xml:space="preserve"> </w:t>
      </w:r>
      <w:r>
        <w:rPr>
          <w:spacing w:val="-2"/>
        </w:rPr>
        <w:t>Call</w:t>
      </w:r>
      <w:r>
        <w:rPr>
          <w:spacing w:val="32"/>
        </w:rPr>
        <w:t xml:space="preserve"> </w:t>
      </w:r>
      <w:r>
        <w:rPr>
          <w:spacing w:val="-1"/>
        </w:rPr>
        <w:t>Off</w:t>
      </w:r>
      <w:r>
        <w:rPr>
          <w:spacing w:val="35"/>
        </w:rPr>
        <w:t xml:space="preserve"> </w:t>
      </w:r>
      <w:r>
        <w:rPr>
          <w:spacing w:val="-2"/>
        </w:rPr>
        <w:t>Contract</w:t>
      </w:r>
      <w:r>
        <w:rPr>
          <w:spacing w:val="30"/>
        </w:rPr>
        <w:t xml:space="preserve"> </w:t>
      </w:r>
      <w:r>
        <w:rPr>
          <w:spacing w:val="-1"/>
        </w:rPr>
        <w:t>had</w:t>
      </w:r>
      <w:r>
        <w:rPr>
          <w:spacing w:val="31"/>
        </w:rPr>
        <w:t xml:space="preserve"> </w:t>
      </w:r>
      <w:r>
        <w:rPr>
          <w:spacing w:val="-1"/>
        </w:rPr>
        <w:t>not</w:t>
      </w:r>
      <w:r>
        <w:rPr>
          <w:spacing w:val="33"/>
        </w:rPr>
        <w:t xml:space="preserve"> </w:t>
      </w:r>
      <w:r>
        <w:rPr>
          <w:spacing w:val="-1"/>
        </w:rPr>
        <w:t>been</w:t>
      </w:r>
      <w:r>
        <w:rPr>
          <w:spacing w:val="58"/>
        </w:rPr>
        <w:t xml:space="preserve"> </w:t>
      </w:r>
      <w:r>
        <w:rPr>
          <w:spacing w:val="-1"/>
        </w:rPr>
        <w:t>terminated.</w:t>
      </w:r>
    </w:p>
    <w:p w:rsidR="008918FA" w:rsidRDefault="008918FA" w:rsidP="008918FA">
      <w:pPr>
        <w:pStyle w:val="Heading1"/>
        <w:numPr>
          <w:ilvl w:val="1"/>
          <w:numId w:val="66"/>
        </w:numPr>
        <w:tabs>
          <w:tab w:val="left" w:pos="1233"/>
          <w:tab w:val="left" w:pos="3020"/>
          <w:tab w:val="left" w:pos="3452"/>
          <w:tab w:val="left" w:pos="4873"/>
          <w:tab w:val="left" w:pos="5708"/>
          <w:tab w:val="left" w:pos="6651"/>
          <w:tab w:val="left" w:pos="7304"/>
          <w:tab w:val="left" w:pos="8857"/>
        </w:tabs>
        <w:spacing w:before="119"/>
        <w:ind w:right="112" w:hanging="566"/>
        <w:rPr>
          <w:b w:val="0"/>
          <w:bCs w:val="0"/>
        </w:rPr>
      </w:pPr>
      <w:r>
        <w:rPr>
          <w:spacing w:val="-1"/>
        </w:rPr>
        <w:t>Consequences</w:t>
      </w:r>
      <w:r>
        <w:rPr>
          <w:spacing w:val="-1"/>
        </w:rPr>
        <w:tab/>
        <w:t>of</w:t>
      </w:r>
      <w:r>
        <w:rPr>
          <w:spacing w:val="-1"/>
        </w:rPr>
        <w:tab/>
      </w:r>
      <w:r>
        <w:rPr>
          <w:spacing w:val="-1"/>
          <w:w w:val="95"/>
        </w:rPr>
        <w:t>termination</w:t>
      </w:r>
      <w:r>
        <w:rPr>
          <w:spacing w:val="-1"/>
          <w:w w:val="95"/>
        </w:rPr>
        <w:tab/>
        <w:t>under</w:t>
      </w:r>
      <w:r>
        <w:rPr>
          <w:spacing w:val="-1"/>
          <w:w w:val="95"/>
        </w:rPr>
        <w:tab/>
        <w:t>Clause</w:t>
      </w:r>
      <w:r>
        <w:rPr>
          <w:spacing w:val="-1"/>
          <w:w w:val="95"/>
        </w:rPr>
        <w:tab/>
      </w:r>
      <w:hyperlink w:anchor="_bookmark246" w:history="1">
        <w:r>
          <w:rPr>
            <w:spacing w:val="-1"/>
          </w:rPr>
          <w:t>43.1</w:t>
        </w:r>
      </w:hyperlink>
      <w:r>
        <w:rPr>
          <w:spacing w:val="-1"/>
        </w:rPr>
        <w:tab/>
        <w:t>(Termination</w:t>
      </w:r>
      <w:r>
        <w:rPr>
          <w:spacing w:val="-1"/>
        </w:rPr>
        <w:tab/>
        <w:t>for</w:t>
      </w:r>
      <w:r>
        <w:rPr>
          <w:spacing w:val="24"/>
        </w:rPr>
        <w:t xml:space="preserve"> </w:t>
      </w:r>
      <w:r>
        <w:rPr>
          <w:spacing w:val="-1"/>
        </w:rPr>
        <w:t>Continuing</w:t>
      </w:r>
      <w:r>
        <w:rPr>
          <w:spacing w:val="-2"/>
        </w:rPr>
        <w:t xml:space="preserve"> </w:t>
      </w:r>
      <w:r>
        <w:rPr>
          <w:spacing w:val="-1"/>
        </w:rPr>
        <w:t>Force</w:t>
      </w:r>
      <w:r>
        <w:rPr>
          <w:spacing w:val="-2"/>
        </w:rPr>
        <w:t xml:space="preserve"> </w:t>
      </w:r>
      <w:r>
        <w:rPr>
          <w:spacing w:val="-1"/>
        </w:rPr>
        <w:t>Majeure</w:t>
      </w:r>
      <w:r>
        <w:t xml:space="preserve"> </w:t>
      </w:r>
      <w:r>
        <w:rPr>
          <w:spacing w:val="-1"/>
        </w:rPr>
        <w:t>Event)</w:t>
      </w:r>
    </w:p>
    <w:p w:rsidR="008918FA" w:rsidRDefault="008918FA" w:rsidP="008918FA">
      <w:pPr>
        <w:pStyle w:val="BodyText"/>
        <w:numPr>
          <w:ilvl w:val="2"/>
          <w:numId w:val="66"/>
        </w:numPr>
        <w:tabs>
          <w:tab w:val="left" w:pos="2227"/>
        </w:tabs>
        <w:spacing w:before="124"/>
        <w:ind w:right="114"/>
        <w:jc w:val="both"/>
      </w:pPr>
      <w:r>
        <w:t>The</w:t>
      </w:r>
      <w:r>
        <w:rPr>
          <w:spacing w:val="3"/>
        </w:rPr>
        <w:t xml:space="preserve"> </w:t>
      </w:r>
      <w:r>
        <w:rPr>
          <w:spacing w:val="-1"/>
        </w:rPr>
        <w:t>costs</w:t>
      </w:r>
      <w:r>
        <w:rPr>
          <w:spacing w:val="3"/>
        </w:rPr>
        <w:t xml:space="preserve"> </w:t>
      </w:r>
      <w:r>
        <w:rPr>
          <w:spacing w:val="-2"/>
        </w:rPr>
        <w:t>of</w:t>
      </w:r>
      <w:r>
        <w:rPr>
          <w:spacing w:val="2"/>
        </w:rPr>
        <w:t xml:space="preserve"> </w:t>
      </w:r>
      <w:r>
        <w:rPr>
          <w:spacing w:val="-1"/>
        </w:rPr>
        <w:t>termination</w:t>
      </w:r>
      <w:r>
        <w:t xml:space="preserve"> </w:t>
      </w:r>
      <w:r>
        <w:rPr>
          <w:spacing w:val="-1"/>
        </w:rPr>
        <w:t>incurred</w:t>
      </w:r>
      <w:r>
        <w:rPr>
          <w:spacing w:val="3"/>
        </w:rPr>
        <w:t xml:space="preserve"> </w:t>
      </w:r>
      <w:r>
        <w:rPr>
          <w:spacing w:val="-1"/>
        </w:rPr>
        <w:t>by</w:t>
      </w:r>
      <w:r>
        <w:rPr>
          <w:spacing w:val="1"/>
        </w:rPr>
        <w:t xml:space="preserve"> </w:t>
      </w:r>
      <w:r>
        <w:t>the</w:t>
      </w:r>
      <w:r>
        <w:rPr>
          <w:spacing w:val="3"/>
        </w:rPr>
        <w:t xml:space="preserve"> </w:t>
      </w:r>
      <w:r>
        <w:rPr>
          <w:spacing w:val="-1"/>
        </w:rPr>
        <w:t>Parties</w:t>
      </w:r>
      <w:r>
        <w:rPr>
          <w:spacing w:val="3"/>
        </w:rPr>
        <w:t xml:space="preserve"> </w:t>
      </w:r>
      <w:r>
        <w:rPr>
          <w:spacing w:val="-2"/>
        </w:rPr>
        <w:t>shall</w:t>
      </w:r>
      <w:r>
        <w:rPr>
          <w:spacing w:val="2"/>
        </w:rPr>
        <w:t xml:space="preserve"> </w:t>
      </w:r>
      <w:r>
        <w:rPr>
          <w:spacing w:val="-2"/>
        </w:rPr>
        <w:t>lie</w:t>
      </w:r>
      <w:r>
        <w:rPr>
          <w:spacing w:val="5"/>
        </w:rPr>
        <w:t xml:space="preserve"> </w:t>
      </w:r>
      <w:r>
        <w:rPr>
          <w:spacing w:val="-2"/>
        </w:rPr>
        <w:t>where</w:t>
      </w:r>
      <w:r>
        <w:rPr>
          <w:spacing w:val="3"/>
        </w:rPr>
        <w:t xml:space="preserve"> </w:t>
      </w:r>
      <w:r>
        <w:rPr>
          <w:spacing w:val="-1"/>
        </w:rPr>
        <w:t>they</w:t>
      </w:r>
      <w:r>
        <w:rPr>
          <w:spacing w:val="1"/>
        </w:rPr>
        <w:t xml:space="preserve"> </w:t>
      </w:r>
      <w:r>
        <w:t>fall</w:t>
      </w:r>
      <w:r>
        <w:rPr>
          <w:spacing w:val="47"/>
        </w:rPr>
        <w:t xml:space="preserve"> </w:t>
      </w:r>
      <w:r>
        <w:rPr>
          <w:spacing w:val="-1"/>
        </w:rPr>
        <w:t>if</w:t>
      </w:r>
      <w:r>
        <w:rPr>
          <w:spacing w:val="35"/>
        </w:rPr>
        <w:t xml:space="preserve"> </w:t>
      </w:r>
      <w:r>
        <w:rPr>
          <w:spacing w:val="-1"/>
        </w:rPr>
        <w:t>either</w:t>
      </w:r>
      <w:r>
        <w:rPr>
          <w:spacing w:val="33"/>
        </w:rPr>
        <w:t xml:space="preserve"> </w:t>
      </w:r>
      <w:r>
        <w:rPr>
          <w:spacing w:val="-1"/>
        </w:rPr>
        <w:t>Party</w:t>
      </w:r>
      <w:r>
        <w:rPr>
          <w:spacing w:val="30"/>
        </w:rPr>
        <w:t xml:space="preserve"> </w:t>
      </w:r>
      <w:r>
        <w:rPr>
          <w:spacing w:val="-1"/>
        </w:rPr>
        <w:t>terminates</w:t>
      </w:r>
      <w:r>
        <w:rPr>
          <w:spacing w:val="32"/>
        </w:rPr>
        <w:t xml:space="preserve"> </w:t>
      </w:r>
      <w:r>
        <w:rPr>
          <w:spacing w:val="-1"/>
        </w:rPr>
        <w:t>or</w:t>
      </w:r>
      <w:r>
        <w:rPr>
          <w:spacing w:val="33"/>
        </w:rPr>
        <w:t xml:space="preserve"> </w:t>
      </w:r>
      <w:r>
        <w:rPr>
          <w:spacing w:val="-1"/>
        </w:rPr>
        <w:t>partially</w:t>
      </w:r>
      <w:r>
        <w:rPr>
          <w:spacing w:val="30"/>
        </w:rPr>
        <w:t xml:space="preserve"> </w:t>
      </w:r>
      <w:r>
        <w:rPr>
          <w:spacing w:val="-1"/>
        </w:rPr>
        <w:t>terminates</w:t>
      </w:r>
      <w:r>
        <w:rPr>
          <w:spacing w:val="30"/>
        </w:rPr>
        <w:t xml:space="preserve"> </w:t>
      </w:r>
      <w:r>
        <w:rPr>
          <w:spacing w:val="-1"/>
        </w:rPr>
        <w:t>this</w:t>
      </w:r>
      <w:r>
        <w:rPr>
          <w:spacing w:val="32"/>
        </w:rPr>
        <w:t xml:space="preserve"> </w:t>
      </w:r>
      <w:r>
        <w:rPr>
          <w:spacing w:val="-1"/>
        </w:rPr>
        <w:t>Agreement</w:t>
      </w:r>
      <w:r>
        <w:rPr>
          <w:spacing w:val="30"/>
        </w:rPr>
        <w:t xml:space="preserve"> </w:t>
      </w:r>
      <w:r>
        <w:t>for</w:t>
      </w:r>
      <w:r>
        <w:rPr>
          <w:spacing w:val="34"/>
        </w:rPr>
        <w:t xml:space="preserve"> </w:t>
      </w:r>
      <w:r>
        <w:t>a</w:t>
      </w:r>
      <w:r>
        <w:rPr>
          <w:spacing w:val="41"/>
        </w:rPr>
        <w:t xml:space="preserve"> </w:t>
      </w:r>
      <w:r>
        <w:rPr>
          <w:spacing w:val="-1"/>
        </w:rPr>
        <w:t>continuing</w:t>
      </w:r>
      <w:r>
        <w:rPr>
          <w:spacing w:val="17"/>
        </w:rPr>
        <w:t xml:space="preserve"> </w:t>
      </w:r>
      <w:r>
        <w:rPr>
          <w:spacing w:val="-1"/>
        </w:rPr>
        <w:t>Force</w:t>
      </w:r>
      <w:r>
        <w:rPr>
          <w:spacing w:val="15"/>
        </w:rPr>
        <w:t xml:space="preserve"> </w:t>
      </w:r>
      <w:r>
        <w:rPr>
          <w:spacing w:val="-2"/>
        </w:rPr>
        <w:t>Majeure</w:t>
      </w:r>
      <w:r>
        <w:rPr>
          <w:spacing w:val="15"/>
        </w:rPr>
        <w:t xml:space="preserve"> </w:t>
      </w:r>
      <w:r>
        <w:rPr>
          <w:spacing w:val="-2"/>
        </w:rPr>
        <w:t>Event</w:t>
      </w:r>
      <w:r>
        <w:rPr>
          <w:spacing w:val="16"/>
        </w:rPr>
        <w:t xml:space="preserve"> </w:t>
      </w:r>
      <w:r>
        <w:rPr>
          <w:spacing w:val="-1"/>
        </w:rPr>
        <w:t>pursuant</w:t>
      </w:r>
      <w:r>
        <w:rPr>
          <w:spacing w:val="14"/>
        </w:rPr>
        <w:t xml:space="preserve"> </w:t>
      </w:r>
      <w:r>
        <w:t>to</w:t>
      </w:r>
      <w:r>
        <w:rPr>
          <w:spacing w:val="15"/>
        </w:rPr>
        <w:t xml:space="preserve"> </w:t>
      </w:r>
      <w:r>
        <w:rPr>
          <w:spacing w:val="-2"/>
        </w:rPr>
        <w:t>Clause</w:t>
      </w:r>
      <w:r>
        <w:rPr>
          <w:spacing w:val="15"/>
        </w:rPr>
        <w:t xml:space="preserve"> </w:t>
      </w:r>
      <w:hyperlink w:anchor="_bookmark246" w:history="1">
        <w:r>
          <w:rPr>
            <w:spacing w:val="-1"/>
          </w:rPr>
          <w:t>43.1</w:t>
        </w:r>
      </w:hyperlink>
      <w:r>
        <w:rPr>
          <w:spacing w:val="17"/>
        </w:rPr>
        <w:t xml:space="preserve"> </w:t>
      </w:r>
      <w:r>
        <w:rPr>
          <w:spacing w:val="-2"/>
        </w:rPr>
        <w:t>(Termination</w:t>
      </w:r>
      <w:r>
        <w:rPr>
          <w:spacing w:val="70"/>
        </w:rPr>
        <w:t xml:space="preserve"> </w:t>
      </w:r>
      <w:r>
        <w:t>for</w:t>
      </w:r>
      <w:r>
        <w:rPr>
          <w:spacing w:val="-1"/>
        </w:rPr>
        <w:t xml:space="preserve"> Continuing</w:t>
      </w:r>
      <w:r>
        <w:t xml:space="preserve"> </w:t>
      </w:r>
      <w:r>
        <w:rPr>
          <w:spacing w:val="-1"/>
        </w:rPr>
        <w:t>Force</w:t>
      </w:r>
      <w:r>
        <w:rPr>
          <w:spacing w:val="-2"/>
        </w:rPr>
        <w:t xml:space="preserve"> </w:t>
      </w:r>
      <w:r>
        <w:rPr>
          <w:spacing w:val="-1"/>
        </w:rPr>
        <w:t>Majeure</w:t>
      </w:r>
      <w:r>
        <w:t xml:space="preserve"> </w:t>
      </w:r>
      <w:r>
        <w:rPr>
          <w:spacing w:val="-1"/>
        </w:rPr>
        <w:t>Event).</w:t>
      </w:r>
    </w:p>
    <w:p w:rsidR="008918FA" w:rsidRDefault="008918FA" w:rsidP="008918FA">
      <w:pPr>
        <w:pStyle w:val="Heading1"/>
        <w:numPr>
          <w:ilvl w:val="1"/>
          <w:numId w:val="66"/>
        </w:numPr>
        <w:tabs>
          <w:tab w:val="left" w:pos="1233"/>
        </w:tabs>
        <w:ind w:hanging="566"/>
        <w:rPr>
          <w:b w:val="0"/>
          <w:bCs w:val="0"/>
        </w:rPr>
      </w:pPr>
      <w:r>
        <w:rPr>
          <w:spacing w:val="-1"/>
        </w:rPr>
        <w:t>Consequences</w:t>
      </w:r>
      <w:r>
        <w:t xml:space="preserve"> </w:t>
      </w:r>
      <w:r>
        <w:rPr>
          <w:spacing w:val="-1"/>
        </w:rPr>
        <w:t>of</w:t>
      </w:r>
      <w:r>
        <w:rPr>
          <w:spacing w:val="2"/>
        </w:rPr>
        <w:t xml:space="preserve"> </w:t>
      </w:r>
      <w:r>
        <w:rPr>
          <w:spacing w:val="-1"/>
        </w:rPr>
        <w:t>Termination</w:t>
      </w:r>
      <w:r>
        <w:rPr>
          <w:spacing w:val="-2"/>
        </w:rPr>
        <w:t xml:space="preserve"> </w:t>
      </w:r>
      <w:r>
        <w:rPr>
          <w:spacing w:val="-1"/>
        </w:rPr>
        <w:t>for</w:t>
      </w:r>
      <w:r>
        <w:rPr>
          <w:spacing w:val="3"/>
        </w:rPr>
        <w:t xml:space="preserve"> </w:t>
      </w:r>
      <w:r>
        <w:rPr>
          <w:spacing w:val="-3"/>
        </w:rPr>
        <w:t>Any</w:t>
      </w:r>
      <w:r>
        <w:rPr>
          <w:spacing w:val="-4"/>
        </w:rPr>
        <w:t xml:space="preserve"> </w:t>
      </w:r>
      <w:r>
        <w:rPr>
          <w:spacing w:val="-2"/>
        </w:rPr>
        <w:t>Reason</w:t>
      </w:r>
    </w:p>
    <w:p w:rsidR="008918FA" w:rsidRDefault="008918FA" w:rsidP="008918FA">
      <w:pPr>
        <w:pStyle w:val="BodyText"/>
        <w:numPr>
          <w:ilvl w:val="2"/>
          <w:numId w:val="66"/>
        </w:numPr>
        <w:tabs>
          <w:tab w:val="left" w:pos="2227"/>
        </w:tabs>
        <w:spacing w:before="124"/>
      </w:pPr>
      <w:r>
        <w:rPr>
          <w:spacing w:val="-2"/>
        </w:rPr>
        <w:t>Save</w:t>
      </w:r>
      <w:r>
        <w:t xml:space="preserve"> </w:t>
      </w:r>
      <w:r>
        <w:rPr>
          <w:spacing w:val="-1"/>
        </w:rPr>
        <w:t>as</w:t>
      </w:r>
      <w:r>
        <w:rPr>
          <w:spacing w:val="1"/>
        </w:rPr>
        <w:t xml:space="preserve"> </w:t>
      </w:r>
      <w:r>
        <w:rPr>
          <w:spacing w:val="-1"/>
        </w:rPr>
        <w:t>otherwise</w:t>
      </w:r>
      <w:r>
        <w:rPr>
          <w:spacing w:val="1"/>
        </w:rPr>
        <w:t xml:space="preserve"> </w:t>
      </w:r>
      <w:r>
        <w:rPr>
          <w:spacing w:val="-1"/>
        </w:rPr>
        <w:t>expressly</w:t>
      </w:r>
      <w:r>
        <w:rPr>
          <w:spacing w:val="-2"/>
        </w:rPr>
        <w:t xml:space="preserve"> provided</w:t>
      </w:r>
      <w:r>
        <w:t xml:space="preserve"> </w:t>
      </w:r>
      <w:r>
        <w:rPr>
          <w:spacing w:val="-1"/>
        </w:rPr>
        <w:t>in</w:t>
      </w:r>
      <w:r>
        <w:t xml:space="preserve"> </w:t>
      </w:r>
      <w:r>
        <w:rPr>
          <w:spacing w:val="-1"/>
        </w:rPr>
        <w:t>this</w:t>
      </w:r>
      <w:r>
        <w:rPr>
          <w:spacing w:val="1"/>
        </w:rPr>
        <w:t xml:space="preserve"> </w:t>
      </w:r>
      <w:r>
        <w:rPr>
          <w:spacing w:val="-2"/>
        </w:rPr>
        <w:t>Call</w:t>
      </w:r>
      <w:r>
        <w:t xml:space="preserve"> </w:t>
      </w:r>
      <w:r>
        <w:rPr>
          <w:spacing w:val="-1"/>
        </w:rPr>
        <w:t>Off</w:t>
      </w:r>
      <w:r>
        <w:rPr>
          <w:spacing w:val="3"/>
        </w:rPr>
        <w:t xml:space="preserve"> </w:t>
      </w:r>
      <w:r>
        <w:rPr>
          <w:spacing w:val="-1"/>
        </w:rPr>
        <w:t>Contract:</w:t>
      </w:r>
    </w:p>
    <w:p w:rsidR="008918FA" w:rsidRDefault="008918FA" w:rsidP="008918FA">
      <w:pPr>
        <w:pStyle w:val="BodyText"/>
        <w:numPr>
          <w:ilvl w:val="3"/>
          <w:numId w:val="66"/>
        </w:numPr>
        <w:tabs>
          <w:tab w:val="left" w:pos="2935"/>
        </w:tabs>
        <w:ind w:left="2934" w:right="115"/>
        <w:jc w:val="both"/>
      </w:pPr>
      <w:r>
        <w:rPr>
          <w:spacing w:val="-1"/>
        </w:rPr>
        <w:t>termination</w:t>
      </w:r>
      <w:r>
        <w:rPr>
          <w:spacing w:val="29"/>
        </w:rPr>
        <w:t xml:space="preserve"> </w:t>
      </w:r>
      <w:r>
        <w:rPr>
          <w:spacing w:val="-1"/>
        </w:rPr>
        <w:t>or</w:t>
      </w:r>
      <w:r>
        <w:rPr>
          <w:spacing w:val="30"/>
        </w:rPr>
        <w:t xml:space="preserve"> </w:t>
      </w:r>
      <w:r>
        <w:rPr>
          <w:spacing w:val="-2"/>
        </w:rPr>
        <w:t>expiry</w:t>
      </w:r>
      <w:r>
        <w:rPr>
          <w:spacing w:val="30"/>
        </w:rPr>
        <w:t xml:space="preserve"> </w:t>
      </w:r>
      <w:r>
        <w:rPr>
          <w:spacing w:val="-1"/>
        </w:rPr>
        <w:t>of</w:t>
      </w:r>
      <w:r>
        <w:rPr>
          <w:spacing w:val="30"/>
        </w:rPr>
        <w:t xml:space="preserve"> </w:t>
      </w:r>
      <w:r>
        <w:rPr>
          <w:spacing w:val="-1"/>
        </w:rPr>
        <w:t>this</w:t>
      </w:r>
      <w:r>
        <w:rPr>
          <w:spacing w:val="30"/>
        </w:rPr>
        <w:t xml:space="preserve"> </w:t>
      </w:r>
      <w:r>
        <w:rPr>
          <w:spacing w:val="-2"/>
        </w:rPr>
        <w:t>Call</w:t>
      </w:r>
      <w:r>
        <w:rPr>
          <w:spacing w:val="28"/>
        </w:rPr>
        <w:t xml:space="preserve"> </w:t>
      </w:r>
      <w:r>
        <w:t>Off</w:t>
      </w:r>
      <w:r>
        <w:rPr>
          <w:spacing w:val="33"/>
        </w:rPr>
        <w:t xml:space="preserve"> </w:t>
      </w:r>
      <w:r>
        <w:rPr>
          <w:spacing w:val="-2"/>
        </w:rPr>
        <w:t>Contract</w:t>
      </w:r>
      <w:r>
        <w:rPr>
          <w:spacing w:val="30"/>
        </w:rPr>
        <w:t xml:space="preserve"> </w:t>
      </w:r>
      <w:r>
        <w:rPr>
          <w:spacing w:val="-1"/>
        </w:rPr>
        <w:t>shall</w:t>
      </w:r>
      <w:r>
        <w:rPr>
          <w:spacing w:val="28"/>
        </w:rPr>
        <w:t xml:space="preserve"> </w:t>
      </w:r>
      <w:r>
        <w:rPr>
          <w:spacing w:val="-1"/>
        </w:rPr>
        <w:t>be</w:t>
      </w:r>
      <w:r>
        <w:rPr>
          <w:spacing w:val="31"/>
        </w:rPr>
        <w:t xml:space="preserve"> </w:t>
      </w:r>
      <w:r>
        <w:rPr>
          <w:spacing w:val="-1"/>
        </w:rPr>
        <w:t>without</w:t>
      </w:r>
      <w:r>
        <w:rPr>
          <w:spacing w:val="50"/>
        </w:rPr>
        <w:t xml:space="preserve"> </w:t>
      </w:r>
      <w:r>
        <w:rPr>
          <w:spacing w:val="-1"/>
        </w:rPr>
        <w:t>prejudice</w:t>
      </w:r>
      <w:r>
        <w:rPr>
          <w:spacing w:val="22"/>
        </w:rPr>
        <w:t xml:space="preserve"> </w:t>
      </w:r>
      <w:r>
        <w:t>to</w:t>
      </w:r>
      <w:r>
        <w:rPr>
          <w:spacing w:val="24"/>
        </w:rPr>
        <w:t xml:space="preserve"> </w:t>
      </w:r>
      <w:r>
        <w:rPr>
          <w:spacing w:val="-1"/>
        </w:rPr>
        <w:t>any</w:t>
      </w:r>
      <w:r>
        <w:rPr>
          <w:spacing w:val="22"/>
        </w:rPr>
        <w:t xml:space="preserve"> </w:t>
      </w:r>
      <w:r>
        <w:rPr>
          <w:spacing w:val="-1"/>
        </w:rPr>
        <w:t>rights,</w:t>
      </w:r>
      <w:r>
        <w:rPr>
          <w:spacing w:val="26"/>
        </w:rPr>
        <w:t xml:space="preserve"> </w:t>
      </w:r>
      <w:r>
        <w:rPr>
          <w:spacing w:val="-1"/>
        </w:rPr>
        <w:t>remedies</w:t>
      </w:r>
      <w:r>
        <w:rPr>
          <w:spacing w:val="25"/>
        </w:rPr>
        <w:t xml:space="preserve"> </w:t>
      </w:r>
      <w:r>
        <w:rPr>
          <w:spacing w:val="-1"/>
        </w:rPr>
        <w:t>or</w:t>
      </w:r>
      <w:r>
        <w:rPr>
          <w:spacing w:val="26"/>
        </w:rPr>
        <w:t xml:space="preserve"> </w:t>
      </w:r>
      <w:r>
        <w:rPr>
          <w:spacing w:val="-1"/>
        </w:rPr>
        <w:t>obligations</w:t>
      </w:r>
      <w:r>
        <w:rPr>
          <w:spacing w:val="22"/>
        </w:rPr>
        <w:t xml:space="preserve"> </w:t>
      </w:r>
      <w:r>
        <w:rPr>
          <w:spacing w:val="-1"/>
        </w:rPr>
        <w:t>accrued</w:t>
      </w:r>
      <w:r>
        <w:rPr>
          <w:spacing w:val="24"/>
        </w:rPr>
        <w:t xml:space="preserve"> </w:t>
      </w:r>
      <w:r>
        <w:rPr>
          <w:spacing w:val="-2"/>
        </w:rPr>
        <w:t>under</w:t>
      </w:r>
      <w:r>
        <w:rPr>
          <w:spacing w:val="33"/>
        </w:rPr>
        <w:t xml:space="preserve"> </w:t>
      </w:r>
      <w:r>
        <w:rPr>
          <w:spacing w:val="-1"/>
        </w:rPr>
        <w:t>this</w:t>
      </w:r>
      <w:r>
        <w:rPr>
          <w:spacing w:val="4"/>
        </w:rPr>
        <w:t xml:space="preserve"> </w:t>
      </w:r>
      <w:r>
        <w:rPr>
          <w:spacing w:val="-2"/>
        </w:rPr>
        <w:t>Call</w:t>
      </w:r>
      <w:r>
        <w:rPr>
          <w:spacing w:val="3"/>
        </w:rPr>
        <w:t xml:space="preserve"> </w:t>
      </w:r>
      <w:r>
        <w:rPr>
          <w:spacing w:val="-1"/>
        </w:rPr>
        <w:t>Off</w:t>
      </w:r>
      <w:r>
        <w:rPr>
          <w:spacing w:val="5"/>
        </w:rPr>
        <w:t xml:space="preserve"> </w:t>
      </w:r>
      <w:r>
        <w:rPr>
          <w:spacing w:val="-1"/>
        </w:rPr>
        <w:t>Contract</w:t>
      </w:r>
      <w:r>
        <w:rPr>
          <w:spacing w:val="1"/>
        </w:rPr>
        <w:t xml:space="preserve"> </w:t>
      </w:r>
      <w:r>
        <w:rPr>
          <w:spacing w:val="-1"/>
        </w:rPr>
        <w:t>prior</w:t>
      </w:r>
      <w:r>
        <w:rPr>
          <w:spacing w:val="5"/>
        </w:rPr>
        <w:t xml:space="preserve"> </w:t>
      </w:r>
      <w:r>
        <w:t>to</w:t>
      </w:r>
      <w:r>
        <w:rPr>
          <w:spacing w:val="2"/>
        </w:rPr>
        <w:t xml:space="preserve"> </w:t>
      </w:r>
      <w:r>
        <w:rPr>
          <w:spacing w:val="-1"/>
        </w:rPr>
        <w:t>termination</w:t>
      </w:r>
      <w:r>
        <w:rPr>
          <w:spacing w:val="4"/>
        </w:rPr>
        <w:t xml:space="preserve"> </w:t>
      </w:r>
      <w:r>
        <w:rPr>
          <w:spacing w:val="-2"/>
        </w:rPr>
        <w:t>or</w:t>
      </w:r>
      <w:r>
        <w:rPr>
          <w:spacing w:val="3"/>
        </w:rPr>
        <w:t xml:space="preserve"> </w:t>
      </w:r>
      <w:r>
        <w:rPr>
          <w:spacing w:val="-1"/>
        </w:rPr>
        <w:t>expiration</w:t>
      </w:r>
      <w:r>
        <w:rPr>
          <w:spacing w:val="4"/>
        </w:rPr>
        <w:t xml:space="preserve"> </w:t>
      </w:r>
      <w:r>
        <w:rPr>
          <w:spacing w:val="-1"/>
        </w:rPr>
        <w:t>and</w:t>
      </w:r>
      <w:r>
        <w:rPr>
          <w:spacing w:val="24"/>
        </w:rPr>
        <w:t xml:space="preserve"> </w:t>
      </w:r>
      <w:r>
        <w:rPr>
          <w:spacing w:val="-1"/>
        </w:rPr>
        <w:t>nothing</w:t>
      </w:r>
      <w:r>
        <w:rPr>
          <w:spacing w:val="60"/>
        </w:rPr>
        <w:t xml:space="preserve"> </w:t>
      </w:r>
      <w:r>
        <w:rPr>
          <w:spacing w:val="-1"/>
        </w:rPr>
        <w:t>in</w:t>
      </w:r>
      <w:r>
        <w:rPr>
          <w:spacing w:val="60"/>
        </w:rPr>
        <w:t xml:space="preserve"> </w:t>
      </w:r>
      <w:r>
        <w:rPr>
          <w:spacing w:val="-1"/>
        </w:rPr>
        <w:t>this</w:t>
      </w:r>
      <w:r>
        <w:rPr>
          <w:spacing w:val="59"/>
        </w:rPr>
        <w:t xml:space="preserve"> </w:t>
      </w:r>
      <w:r>
        <w:rPr>
          <w:spacing w:val="-2"/>
        </w:rPr>
        <w:t>Call</w:t>
      </w:r>
      <w:r>
        <w:rPr>
          <w:spacing w:val="59"/>
        </w:rPr>
        <w:t xml:space="preserve"> </w:t>
      </w:r>
      <w:r>
        <w:rPr>
          <w:spacing w:val="-1"/>
        </w:rPr>
        <w:t>Off</w:t>
      </w:r>
      <w:r>
        <w:rPr>
          <w:spacing w:val="59"/>
        </w:rPr>
        <w:t xml:space="preserve"> </w:t>
      </w:r>
      <w:r>
        <w:rPr>
          <w:spacing w:val="-1"/>
        </w:rPr>
        <w:t>Contract</w:t>
      </w:r>
      <w:r>
        <w:rPr>
          <w:spacing w:val="59"/>
        </w:rPr>
        <w:t xml:space="preserve"> </w:t>
      </w:r>
      <w:r>
        <w:rPr>
          <w:spacing w:val="-1"/>
        </w:rPr>
        <w:t>shall</w:t>
      </w:r>
      <w:r>
        <w:rPr>
          <w:spacing w:val="60"/>
        </w:rPr>
        <w:t xml:space="preserve"> </w:t>
      </w:r>
      <w:r>
        <w:rPr>
          <w:spacing w:val="-1"/>
        </w:rPr>
        <w:t>prejudice</w:t>
      </w:r>
      <w:r>
        <w:rPr>
          <w:spacing w:val="60"/>
        </w:rPr>
        <w:t xml:space="preserve"> </w:t>
      </w:r>
      <w:r>
        <w:t>the</w:t>
      </w:r>
      <w:r>
        <w:rPr>
          <w:spacing w:val="58"/>
        </w:rPr>
        <w:t xml:space="preserve"> </w:t>
      </w:r>
      <w:r>
        <w:rPr>
          <w:spacing w:val="-1"/>
        </w:rPr>
        <w:t>right</w:t>
      </w:r>
      <w:r>
        <w:rPr>
          <w:spacing w:val="59"/>
        </w:rPr>
        <w:t xml:space="preserve"> </w:t>
      </w:r>
      <w:r>
        <w:rPr>
          <w:spacing w:val="-2"/>
        </w:rPr>
        <w:t>of</w:t>
      </w:r>
      <w:r>
        <w:rPr>
          <w:spacing w:val="31"/>
        </w:rPr>
        <w:t xml:space="preserve"> </w:t>
      </w:r>
      <w:r>
        <w:rPr>
          <w:spacing w:val="-1"/>
        </w:rPr>
        <w:t>either</w:t>
      </w:r>
      <w:r>
        <w:rPr>
          <w:spacing w:val="30"/>
        </w:rPr>
        <w:t xml:space="preserve"> </w:t>
      </w:r>
      <w:r>
        <w:rPr>
          <w:spacing w:val="-1"/>
        </w:rPr>
        <w:t>Party</w:t>
      </w:r>
      <w:r>
        <w:rPr>
          <w:spacing w:val="27"/>
        </w:rPr>
        <w:t xml:space="preserve"> </w:t>
      </w:r>
      <w:r>
        <w:t>to</w:t>
      </w:r>
      <w:r>
        <w:rPr>
          <w:spacing w:val="29"/>
        </w:rPr>
        <w:t xml:space="preserve"> </w:t>
      </w:r>
      <w:r>
        <w:rPr>
          <w:spacing w:val="-1"/>
        </w:rPr>
        <w:t>recover</w:t>
      </w:r>
      <w:r>
        <w:rPr>
          <w:spacing w:val="30"/>
        </w:rPr>
        <w:t xml:space="preserve"> </w:t>
      </w:r>
      <w:r>
        <w:rPr>
          <w:spacing w:val="-1"/>
        </w:rPr>
        <w:t>any</w:t>
      </w:r>
      <w:r>
        <w:rPr>
          <w:spacing w:val="27"/>
        </w:rPr>
        <w:t xml:space="preserve"> </w:t>
      </w:r>
      <w:r>
        <w:rPr>
          <w:spacing w:val="-1"/>
        </w:rPr>
        <w:t>amount</w:t>
      </w:r>
      <w:r>
        <w:rPr>
          <w:spacing w:val="30"/>
        </w:rPr>
        <w:t xml:space="preserve"> </w:t>
      </w:r>
      <w:r>
        <w:rPr>
          <w:spacing w:val="-1"/>
        </w:rPr>
        <w:t>outstanding</w:t>
      </w:r>
      <w:r>
        <w:rPr>
          <w:spacing w:val="29"/>
        </w:rPr>
        <w:t xml:space="preserve"> </w:t>
      </w:r>
      <w:r>
        <w:rPr>
          <w:spacing w:val="-1"/>
        </w:rPr>
        <w:t>at</w:t>
      </w:r>
      <w:r>
        <w:rPr>
          <w:spacing w:val="30"/>
        </w:rPr>
        <w:t xml:space="preserve"> </w:t>
      </w:r>
      <w:r>
        <w:t>the</w:t>
      </w:r>
      <w:r>
        <w:rPr>
          <w:spacing w:val="29"/>
        </w:rPr>
        <w:t xml:space="preserve"> </w:t>
      </w:r>
      <w:r>
        <w:rPr>
          <w:spacing w:val="-1"/>
        </w:rPr>
        <w:t>time</w:t>
      </w:r>
      <w:r>
        <w:rPr>
          <w:spacing w:val="29"/>
        </w:rPr>
        <w:t xml:space="preserve"> </w:t>
      </w:r>
      <w:r>
        <w:rPr>
          <w:spacing w:val="-2"/>
        </w:rPr>
        <w:t>of</w:t>
      </w:r>
      <w:r>
        <w:rPr>
          <w:spacing w:val="37"/>
        </w:rPr>
        <w:t xml:space="preserve"> </w:t>
      </w:r>
      <w:r>
        <w:rPr>
          <w:spacing w:val="-1"/>
        </w:rPr>
        <w:t>such</w:t>
      </w:r>
      <w:r>
        <w:rPr>
          <w:spacing w:val="1"/>
        </w:rPr>
        <w:t xml:space="preserve"> </w:t>
      </w:r>
      <w:r>
        <w:rPr>
          <w:spacing w:val="-1"/>
        </w:rPr>
        <w:t>termination</w:t>
      </w:r>
      <w:r>
        <w:t xml:space="preserve"> </w:t>
      </w:r>
      <w:r>
        <w:rPr>
          <w:spacing w:val="-1"/>
        </w:rPr>
        <w:t xml:space="preserve">or </w:t>
      </w:r>
      <w:r>
        <w:rPr>
          <w:spacing w:val="-2"/>
        </w:rPr>
        <w:t>expiry;</w:t>
      </w:r>
      <w:r>
        <w:rPr>
          <w:spacing w:val="2"/>
        </w:rPr>
        <w:t xml:space="preserve"> </w:t>
      </w:r>
      <w:r>
        <w:rPr>
          <w:spacing w:val="-1"/>
        </w:rPr>
        <w:t>and</w:t>
      </w:r>
    </w:p>
    <w:p w:rsidR="008918FA" w:rsidRDefault="008918FA" w:rsidP="008918FA">
      <w:pPr>
        <w:pStyle w:val="BodyText"/>
        <w:numPr>
          <w:ilvl w:val="3"/>
          <w:numId w:val="66"/>
        </w:numPr>
        <w:tabs>
          <w:tab w:val="left" w:pos="2934"/>
        </w:tabs>
        <w:spacing w:before="121"/>
        <w:ind w:left="2933" w:right="112" w:hanging="707"/>
        <w:jc w:val="both"/>
      </w:pPr>
      <w:r>
        <w:rPr>
          <w:spacing w:val="-1"/>
        </w:rPr>
        <w:t>termination</w:t>
      </w:r>
      <w:r>
        <w:rPr>
          <w:spacing w:val="42"/>
        </w:rPr>
        <w:t xml:space="preserve"> </w:t>
      </w:r>
      <w:r>
        <w:rPr>
          <w:spacing w:val="-2"/>
        </w:rPr>
        <w:t>of</w:t>
      </w:r>
      <w:r>
        <w:rPr>
          <w:spacing w:val="46"/>
        </w:rPr>
        <w:t xml:space="preserve"> </w:t>
      </w:r>
      <w:r>
        <w:rPr>
          <w:spacing w:val="-1"/>
        </w:rPr>
        <w:t>this</w:t>
      </w:r>
      <w:r>
        <w:rPr>
          <w:spacing w:val="43"/>
        </w:rPr>
        <w:t xml:space="preserve"> </w:t>
      </w:r>
      <w:r>
        <w:rPr>
          <w:spacing w:val="-2"/>
        </w:rPr>
        <w:t>Call</w:t>
      </w:r>
      <w:r>
        <w:rPr>
          <w:spacing w:val="42"/>
        </w:rPr>
        <w:t xml:space="preserve"> </w:t>
      </w:r>
      <w:r>
        <w:rPr>
          <w:spacing w:val="-1"/>
        </w:rPr>
        <w:t>Off</w:t>
      </w:r>
      <w:r>
        <w:rPr>
          <w:spacing w:val="46"/>
        </w:rPr>
        <w:t xml:space="preserve"> </w:t>
      </w:r>
      <w:r>
        <w:rPr>
          <w:spacing w:val="-1"/>
        </w:rPr>
        <w:t>Contract</w:t>
      </w:r>
      <w:r>
        <w:rPr>
          <w:spacing w:val="44"/>
        </w:rPr>
        <w:t xml:space="preserve"> </w:t>
      </w:r>
      <w:r>
        <w:rPr>
          <w:spacing w:val="-1"/>
        </w:rPr>
        <w:t>shall</w:t>
      </w:r>
      <w:r>
        <w:rPr>
          <w:spacing w:val="43"/>
        </w:rPr>
        <w:t xml:space="preserve"> </w:t>
      </w:r>
      <w:r>
        <w:rPr>
          <w:spacing w:val="-2"/>
        </w:rPr>
        <w:t>not</w:t>
      </w:r>
      <w:r>
        <w:rPr>
          <w:spacing w:val="44"/>
        </w:rPr>
        <w:t xml:space="preserve"> </w:t>
      </w:r>
      <w:r>
        <w:rPr>
          <w:spacing w:val="-1"/>
        </w:rPr>
        <w:t>affect</w:t>
      </w:r>
      <w:r>
        <w:rPr>
          <w:spacing w:val="44"/>
        </w:rPr>
        <w:t xml:space="preserve"> </w:t>
      </w:r>
      <w:r>
        <w:rPr>
          <w:spacing w:val="-1"/>
        </w:rPr>
        <w:t>the</w:t>
      </w:r>
      <w:r>
        <w:rPr>
          <w:spacing w:val="38"/>
        </w:rPr>
        <w:t xml:space="preserve"> </w:t>
      </w:r>
      <w:r>
        <w:rPr>
          <w:spacing w:val="-1"/>
        </w:rPr>
        <w:t>continuing</w:t>
      </w:r>
      <w:r>
        <w:rPr>
          <w:spacing w:val="41"/>
        </w:rPr>
        <w:t xml:space="preserve"> </w:t>
      </w:r>
      <w:r>
        <w:rPr>
          <w:spacing w:val="-1"/>
        </w:rPr>
        <w:t>rights,</w:t>
      </w:r>
      <w:r>
        <w:rPr>
          <w:spacing w:val="42"/>
        </w:rPr>
        <w:t xml:space="preserve"> </w:t>
      </w:r>
      <w:r>
        <w:rPr>
          <w:spacing w:val="-2"/>
        </w:rPr>
        <w:t>remedies</w:t>
      </w:r>
      <w:r>
        <w:rPr>
          <w:spacing w:val="41"/>
        </w:rPr>
        <w:t xml:space="preserve"> </w:t>
      </w:r>
      <w:r>
        <w:rPr>
          <w:spacing w:val="-1"/>
        </w:rPr>
        <w:t>or</w:t>
      </w:r>
      <w:r>
        <w:rPr>
          <w:spacing w:val="42"/>
        </w:rPr>
        <w:t xml:space="preserve"> </w:t>
      </w:r>
      <w:r>
        <w:rPr>
          <w:spacing w:val="-1"/>
        </w:rPr>
        <w:t>obligations</w:t>
      </w:r>
      <w:r>
        <w:rPr>
          <w:spacing w:val="41"/>
        </w:rPr>
        <w:t xml:space="preserve"> </w:t>
      </w:r>
      <w:r>
        <w:rPr>
          <w:spacing w:val="-2"/>
        </w:rPr>
        <w:t>of</w:t>
      </w:r>
      <w:r>
        <w:rPr>
          <w:spacing w:val="42"/>
        </w:rPr>
        <w:t xml:space="preserve"> </w:t>
      </w:r>
      <w:r>
        <w:t>the</w:t>
      </w:r>
      <w:r>
        <w:rPr>
          <w:spacing w:val="39"/>
        </w:rPr>
        <w:t xml:space="preserve"> </w:t>
      </w:r>
      <w:r>
        <w:rPr>
          <w:spacing w:val="-1"/>
        </w:rPr>
        <w:t>Customer</w:t>
      </w:r>
      <w:r>
        <w:rPr>
          <w:spacing w:val="42"/>
        </w:rPr>
        <w:t xml:space="preserve"> </w:t>
      </w:r>
      <w:r>
        <w:rPr>
          <w:spacing w:val="-1"/>
        </w:rPr>
        <w:t>or</w:t>
      </w:r>
      <w:r>
        <w:rPr>
          <w:spacing w:val="28"/>
        </w:rPr>
        <w:t xml:space="preserve"> </w:t>
      </w:r>
      <w:r>
        <w:t>the</w:t>
      </w:r>
      <w:r>
        <w:rPr>
          <w:spacing w:val="12"/>
        </w:rPr>
        <w:t xml:space="preserve"> </w:t>
      </w:r>
      <w:r>
        <w:rPr>
          <w:spacing w:val="-2"/>
        </w:rPr>
        <w:t>Supplier</w:t>
      </w:r>
      <w:r>
        <w:rPr>
          <w:spacing w:val="14"/>
        </w:rPr>
        <w:t xml:space="preserve"> </w:t>
      </w:r>
      <w:r>
        <w:rPr>
          <w:spacing w:val="-1"/>
        </w:rPr>
        <w:t>under</w:t>
      </w:r>
      <w:r>
        <w:rPr>
          <w:spacing w:val="11"/>
        </w:rPr>
        <w:t xml:space="preserve"> </w:t>
      </w:r>
      <w:r>
        <w:rPr>
          <w:spacing w:val="-1"/>
        </w:rPr>
        <w:t>Clauses</w:t>
      </w:r>
      <w:r>
        <w:rPr>
          <w:spacing w:val="14"/>
        </w:rPr>
        <w:t xml:space="preserve"> </w:t>
      </w:r>
      <w:hyperlink w:anchor="_bookmark115" w:history="1">
        <w:r>
          <w:rPr>
            <w:spacing w:val="-1"/>
          </w:rPr>
          <w:t>21</w:t>
        </w:r>
      </w:hyperlink>
      <w:r>
        <w:rPr>
          <w:spacing w:val="-2"/>
        </w:rPr>
        <w:t xml:space="preserve"> </w:t>
      </w:r>
      <w:r>
        <w:rPr>
          <w:spacing w:val="-1"/>
        </w:rPr>
        <w:t>(Records,</w:t>
      </w:r>
      <w:r>
        <w:rPr>
          <w:spacing w:val="14"/>
        </w:rPr>
        <w:t xml:space="preserve"> </w:t>
      </w:r>
      <w:r>
        <w:rPr>
          <w:spacing w:val="-1"/>
        </w:rPr>
        <w:t>Audit</w:t>
      </w:r>
      <w:r>
        <w:rPr>
          <w:spacing w:val="11"/>
        </w:rPr>
        <w:t xml:space="preserve"> </w:t>
      </w:r>
      <w:r>
        <w:rPr>
          <w:spacing w:val="-1"/>
        </w:rPr>
        <w:t>Access</w:t>
      </w:r>
      <w:r>
        <w:rPr>
          <w:spacing w:val="13"/>
        </w:rPr>
        <w:t xml:space="preserve"> </w:t>
      </w:r>
      <w:r>
        <w:t>&amp;</w:t>
      </w:r>
      <w:r>
        <w:rPr>
          <w:spacing w:val="9"/>
        </w:rPr>
        <w:t xml:space="preserve"> </w:t>
      </w:r>
      <w:r>
        <w:rPr>
          <w:spacing w:val="-1"/>
        </w:rPr>
        <w:t>Open</w:t>
      </w:r>
      <w:r>
        <w:rPr>
          <w:spacing w:val="28"/>
        </w:rPr>
        <w:t xml:space="preserve"> </w:t>
      </w:r>
      <w:r>
        <w:rPr>
          <w:spacing w:val="-1"/>
        </w:rPr>
        <w:t>Book</w:t>
      </w:r>
      <w:r>
        <w:t xml:space="preserve">       </w:t>
      </w:r>
      <w:r>
        <w:rPr>
          <w:spacing w:val="36"/>
        </w:rPr>
        <w:t xml:space="preserve"> </w:t>
      </w:r>
      <w:r>
        <w:rPr>
          <w:spacing w:val="-1"/>
        </w:rPr>
        <w:t>Data),</w:t>
      </w:r>
      <w:r>
        <w:t xml:space="preserve">       </w:t>
      </w:r>
      <w:r>
        <w:rPr>
          <w:spacing w:val="34"/>
        </w:rPr>
        <w:t xml:space="preserve"> </w:t>
      </w:r>
      <w:hyperlink w:anchor="_bookmark160" w:history="1">
        <w:r>
          <w:rPr>
            <w:spacing w:val="-1"/>
          </w:rPr>
          <w:t>33</w:t>
        </w:r>
      </w:hyperlink>
      <w:r>
        <w:rPr>
          <w:spacing w:val="-4"/>
        </w:rPr>
        <w:t xml:space="preserve"> </w:t>
      </w:r>
      <w:r>
        <w:rPr>
          <w:spacing w:val="-1"/>
        </w:rPr>
        <w:t>(Intellectual</w:t>
      </w:r>
      <w:r>
        <w:t xml:space="preserve">       </w:t>
      </w:r>
      <w:r>
        <w:rPr>
          <w:spacing w:val="32"/>
        </w:rPr>
        <w:t xml:space="preserve"> </w:t>
      </w:r>
      <w:r>
        <w:rPr>
          <w:spacing w:val="-1"/>
        </w:rPr>
        <w:t>Property</w:t>
      </w:r>
      <w:r>
        <w:t xml:space="preserve">       </w:t>
      </w:r>
      <w:r>
        <w:rPr>
          <w:spacing w:val="31"/>
        </w:rPr>
        <w:t xml:space="preserve"> </w:t>
      </w:r>
      <w:r>
        <w:rPr>
          <w:spacing w:val="-1"/>
        </w:rPr>
        <w:t>Rights),</w:t>
      </w:r>
    </w:p>
    <w:p w:rsidR="008918FA" w:rsidRDefault="00E32C6B" w:rsidP="008918FA">
      <w:pPr>
        <w:pStyle w:val="BodyText"/>
        <w:spacing w:before="0" w:line="252" w:lineRule="exact"/>
        <w:ind w:left="2934" w:firstLine="0"/>
        <w:jc w:val="both"/>
      </w:pPr>
      <w:hyperlink w:anchor="_bookmark184" w:history="1">
        <w:r w:rsidR="008918FA">
          <w:rPr>
            <w:spacing w:val="-1"/>
          </w:rPr>
          <w:t>34.3</w:t>
        </w:r>
      </w:hyperlink>
      <w:r w:rsidR="008918FA">
        <w:rPr>
          <w:spacing w:val="-2"/>
        </w:rPr>
        <w:t xml:space="preserve"> </w:t>
      </w:r>
      <w:r w:rsidR="008918FA">
        <w:rPr>
          <w:spacing w:val="-1"/>
        </w:rPr>
        <w:t>(Confidentiality),</w:t>
      </w:r>
      <w:r w:rsidR="008918FA">
        <w:t xml:space="preserve">      </w:t>
      </w:r>
      <w:r w:rsidR="008918FA">
        <w:rPr>
          <w:spacing w:val="17"/>
        </w:rPr>
        <w:t xml:space="preserve"> </w:t>
      </w:r>
      <w:hyperlink w:anchor="_bookmark191" w:history="1">
        <w:r w:rsidR="008918FA">
          <w:rPr>
            <w:spacing w:val="-1"/>
          </w:rPr>
          <w:t>34.5</w:t>
        </w:r>
      </w:hyperlink>
      <w:r w:rsidR="008918FA">
        <w:rPr>
          <w:spacing w:val="-2"/>
        </w:rPr>
        <w:t xml:space="preserve"> </w:t>
      </w:r>
      <w:r w:rsidR="008918FA">
        <w:rPr>
          <w:spacing w:val="-1"/>
        </w:rPr>
        <w:t>(Freedom</w:t>
      </w:r>
      <w:r w:rsidR="008918FA">
        <w:t xml:space="preserve">      </w:t>
      </w:r>
      <w:r w:rsidR="008918FA">
        <w:rPr>
          <w:spacing w:val="16"/>
        </w:rPr>
        <w:t xml:space="preserve"> </w:t>
      </w:r>
      <w:r w:rsidR="008918FA">
        <w:rPr>
          <w:spacing w:val="-2"/>
        </w:rPr>
        <w:t>of</w:t>
      </w:r>
      <w:r w:rsidR="008918FA">
        <w:t xml:space="preserve">      </w:t>
      </w:r>
      <w:r w:rsidR="008918FA">
        <w:rPr>
          <w:spacing w:val="19"/>
        </w:rPr>
        <w:t xml:space="preserve"> </w:t>
      </w:r>
      <w:r w:rsidR="008918FA">
        <w:rPr>
          <w:spacing w:val="-1"/>
        </w:rPr>
        <w:t>Information)</w:t>
      </w:r>
    </w:p>
    <w:p w:rsidR="008918FA" w:rsidRDefault="00E32C6B" w:rsidP="008918FA">
      <w:pPr>
        <w:pStyle w:val="BodyText"/>
        <w:spacing w:before="1"/>
        <w:ind w:left="2934" w:right="110" w:hanging="1"/>
        <w:jc w:val="both"/>
      </w:pPr>
      <w:hyperlink w:anchor="_bookmark192" w:history="1">
        <w:r w:rsidR="008918FA">
          <w:rPr>
            <w:spacing w:val="-1"/>
          </w:rPr>
          <w:t>34.6</w:t>
        </w:r>
      </w:hyperlink>
      <w:r w:rsidR="008918FA">
        <w:rPr>
          <w:spacing w:val="-2"/>
        </w:rPr>
        <w:t xml:space="preserve"> </w:t>
      </w:r>
      <w:r w:rsidR="008918FA">
        <w:rPr>
          <w:spacing w:val="-1"/>
        </w:rPr>
        <w:t>(Protection</w:t>
      </w:r>
      <w:r w:rsidR="008918FA">
        <w:rPr>
          <w:spacing w:val="59"/>
        </w:rPr>
        <w:t xml:space="preserve"> </w:t>
      </w:r>
      <w:r w:rsidR="008918FA">
        <w:rPr>
          <w:spacing w:val="-2"/>
        </w:rPr>
        <w:t>of</w:t>
      </w:r>
      <w:r w:rsidR="008918FA">
        <w:rPr>
          <w:spacing w:val="59"/>
        </w:rPr>
        <w:t xml:space="preserve"> </w:t>
      </w:r>
      <w:r w:rsidR="008918FA">
        <w:rPr>
          <w:spacing w:val="-1"/>
        </w:rPr>
        <w:t>Personal</w:t>
      </w:r>
      <w:r w:rsidR="008918FA">
        <w:rPr>
          <w:spacing w:val="58"/>
        </w:rPr>
        <w:t xml:space="preserve"> </w:t>
      </w:r>
      <w:r w:rsidR="008918FA">
        <w:rPr>
          <w:spacing w:val="-1"/>
        </w:rPr>
        <w:t>Data),</w:t>
      </w:r>
      <w:r w:rsidR="008918FA">
        <w:t xml:space="preserve">  </w:t>
      </w:r>
      <w:hyperlink w:anchor="_bookmark200" w:history="1">
        <w:r w:rsidR="008918FA">
          <w:rPr>
            <w:spacing w:val="-1"/>
          </w:rPr>
          <w:t>36</w:t>
        </w:r>
      </w:hyperlink>
      <w:r w:rsidR="008918FA">
        <w:rPr>
          <w:spacing w:val="-2"/>
        </w:rPr>
        <w:t xml:space="preserve"> (Liability),</w:t>
      </w:r>
      <w:r w:rsidR="008918FA">
        <w:t xml:space="preserve">  </w:t>
      </w:r>
      <w:hyperlink w:anchor="_bookmark249" w:history="1">
        <w:r w:rsidR="008918FA">
          <w:rPr>
            <w:spacing w:val="-1"/>
          </w:rPr>
          <w:t>45</w:t>
        </w:r>
      </w:hyperlink>
      <w:r w:rsidR="008918FA">
        <w:rPr>
          <w:spacing w:val="46"/>
        </w:rPr>
        <w:t xml:space="preserve"> </w:t>
      </w:r>
      <w:r w:rsidR="008918FA">
        <w:rPr>
          <w:spacing w:val="-1"/>
        </w:rPr>
        <w:t>(Consequences</w:t>
      </w:r>
      <w:r w:rsidR="008918FA">
        <w:rPr>
          <w:spacing w:val="34"/>
        </w:rPr>
        <w:t xml:space="preserve"> </w:t>
      </w:r>
      <w:r w:rsidR="008918FA">
        <w:rPr>
          <w:spacing w:val="-2"/>
        </w:rPr>
        <w:t>of</w:t>
      </w:r>
      <w:r w:rsidR="008918FA">
        <w:rPr>
          <w:spacing w:val="38"/>
        </w:rPr>
        <w:t xml:space="preserve"> </w:t>
      </w:r>
      <w:r w:rsidR="008918FA">
        <w:rPr>
          <w:spacing w:val="-1"/>
        </w:rPr>
        <w:t>Expiry</w:t>
      </w:r>
      <w:r w:rsidR="008918FA">
        <w:rPr>
          <w:spacing w:val="32"/>
        </w:rPr>
        <w:t xml:space="preserve"> </w:t>
      </w:r>
      <w:r w:rsidR="008918FA">
        <w:rPr>
          <w:spacing w:val="-1"/>
        </w:rPr>
        <w:t>or</w:t>
      </w:r>
      <w:r w:rsidR="008918FA">
        <w:rPr>
          <w:spacing w:val="35"/>
        </w:rPr>
        <w:t xml:space="preserve"> </w:t>
      </w:r>
      <w:r w:rsidR="008918FA">
        <w:rPr>
          <w:spacing w:val="-1"/>
        </w:rPr>
        <w:t>Termination),</w:t>
      </w:r>
      <w:r w:rsidR="008918FA">
        <w:rPr>
          <w:spacing w:val="35"/>
        </w:rPr>
        <w:t xml:space="preserve"> </w:t>
      </w:r>
      <w:hyperlink w:anchor="_bookmark267" w:history="1">
        <w:r w:rsidR="008918FA">
          <w:rPr>
            <w:spacing w:val="-1"/>
          </w:rPr>
          <w:t>51</w:t>
        </w:r>
      </w:hyperlink>
      <w:r w:rsidR="008918FA">
        <w:rPr>
          <w:spacing w:val="-2"/>
        </w:rPr>
        <w:t xml:space="preserve"> </w:t>
      </w:r>
      <w:r w:rsidR="008918FA">
        <w:rPr>
          <w:spacing w:val="-1"/>
        </w:rPr>
        <w:t>(Severance),</w:t>
      </w:r>
      <w:r w:rsidR="008918FA">
        <w:rPr>
          <w:spacing w:val="36"/>
        </w:rPr>
        <w:t xml:space="preserve"> </w:t>
      </w:r>
      <w:hyperlink w:anchor="_bookmark271" w:history="1">
        <w:r w:rsidR="008918FA">
          <w:rPr>
            <w:spacing w:val="-1"/>
          </w:rPr>
          <w:t>53</w:t>
        </w:r>
      </w:hyperlink>
      <w:r w:rsidR="008918FA">
        <w:rPr>
          <w:spacing w:val="24"/>
        </w:rPr>
        <w:t xml:space="preserve"> </w:t>
      </w:r>
      <w:r w:rsidR="008918FA">
        <w:rPr>
          <w:spacing w:val="-1"/>
        </w:rPr>
        <w:t>(Entire</w:t>
      </w:r>
      <w:r w:rsidR="008918FA">
        <w:rPr>
          <w:spacing w:val="44"/>
        </w:rPr>
        <w:t xml:space="preserve"> </w:t>
      </w:r>
      <w:r w:rsidR="008918FA">
        <w:rPr>
          <w:spacing w:val="-1"/>
        </w:rPr>
        <w:t>Agreement),</w:t>
      </w:r>
      <w:r w:rsidR="008918FA">
        <w:rPr>
          <w:spacing w:val="45"/>
        </w:rPr>
        <w:t xml:space="preserve"> </w:t>
      </w:r>
      <w:hyperlink w:anchor="_bookmark272" w:history="1">
        <w:r w:rsidR="008918FA">
          <w:rPr>
            <w:spacing w:val="-2"/>
          </w:rPr>
          <w:t>54</w:t>
        </w:r>
      </w:hyperlink>
      <w:r w:rsidR="008918FA">
        <w:rPr>
          <w:spacing w:val="1"/>
        </w:rPr>
        <w:t xml:space="preserve"> </w:t>
      </w:r>
      <w:r w:rsidR="008918FA">
        <w:rPr>
          <w:spacing w:val="-1"/>
        </w:rPr>
        <w:t>(Third</w:t>
      </w:r>
      <w:r w:rsidR="008918FA">
        <w:rPr>
          <w:spacing w:val="44"/>
        </w:rPr>
        <w:t xml:space="preserve"> </w:t>
      </w:r>
      <w:r w:rsidR="008918FA">
        <w:rPr>
          <w:spacing w:val="-1"/>
        </w:rPr>
        <w:t>Party</w:t>
      </w:r>
      <w:r w:rsidR="008918FA">
        <w:rPr>
          <w:spacing w:val="42"/>
        </w:rPr>
        <w:t xml:space="preserve"> </w:t>
      </w:r>
      <w:r w:rsidR="008918FA">
        <w:rPr>
          <w:spacing w:val="-1"/>
        </w:rPr>
        <w:t>Rights)</w:t>
      </w:r>
      <w:r w:rsidR="008918FA">
        <w:rPr>
          <w:spacing w:val="42"/>
        </w:rPr>
        <w:t xml:space="preserve"> </w:t>
      </w:r>
      <w:hyperlink w:anchor="_bookmark279" w:history="1">
        <w:r w:rsidR="008918FA">
          <w:rPr>
            <w:spacing w:val="-1"/>
          </w:rPr>
          <w:t>56</w:t>
        </w:r>
      </w:hyperlink>
      <w:r w:rsidR="008918FA">
        <w:rPr>
          <w:spacing w:val="1"/>
        </w:rPr>
        <w:t xml:space="preserve"> </w:t>
      </w:r>
      <w:r w:rsidR="008918FA">
        <w:rPr>
          <w:spacing w:val="-1"/>
        </w:rPr>
        <w:t>(Dispute</w:t>
      </w:r>
      <w:r w:rsidR="008918FA">
        <w:rPr>
          <w:spacing w:val="31"/>
        </w:rPr>
        <w:t xml:space="preserve"> </w:t>
      </w:r>
      <w:r w:rsidR="008918FA">
        <w:rPr>
          <w:spacing w:val="-1"/>
        </w:rPr>
        <w:t>Resolution)</w:t>
      </w:r>
      <w:r w:rsidR="008918FA">
        <w:rPr>
          <w:spacing w:val="33"/>
        </w:rPr>
        <w:t xml:space="preserve"> </w:t>
      </w:r>
      <w:r w:rsidR="008918FA">
        <w:rPr>
          <w:spacing w:val="-1"/>
        </w:rPr>
        <w:t>and</w:t>
      </w:r>
      <w:r w:rsidR="008918FA">
        <w:rPr>
          <w:spacing w:val="31"/>
        </w:rPr>
        <w:t xml:space="preserve"> </w:t>
      </w:r>
      <w:hyperlink w:anchor="_bookmark280" w:history="1">
        <w:r w:rsidR="008918FA">
          <w:rPr>
            <w:spacing w:val="-1"/>
          </w:rPr>
          <w:t>57</w:t>
        </w:r>
      </w:hyperlink>
      <w:r w:rsidR="008918FA">
        <w:rPr>
          <w:spacing w:val="1"/>
        </w:rPr>
        <w:t xml:space="preserve"> </w:t>
      </w:r>
      <w:r w:rsidR="008918FA">
        <w:rPr>
          <w:spacing w:val="-1"/>
        </w:rPr>
        <w:t>(Governing</w:t>
      </w:r>
      <w:r w:rsidR="008918FA">
        <w:rPr>
          <w:spacing w:val="34"/>
        </w:rPr>
        <w:t xml:space="preserve"> </w:t>
      </w:r>
      <w:r w:rsidR="008918FA">
        <w:rPr>
          <w:spacing w:val="-1"/>
        </w:rPr>
        <w:t>Law</w:t>
      </w:r>
      <w:r w:rsidR="008918FA">
        <w:rPr>
          <w:spacing w:val="28"/>
        </w:rPr>
        <w:t xml:space="preserve"> </w:t>
      </w:r>
      <w:r w:rsidR="008918FA">
        <w:rPr>
          <w:spacing w:val="-1"/>
        </w:rPr>
        <w:t>and</w:t>
      </w:r>
      <w:r w:rsidR="008918FA">
        <w:rPr>
          <w:spacing w:val="31"/>
        </w:rPr>
        <w:t xml:space="preserve"> </w:t>
      </w:r>
      <w:r w:rsidR="008918FA">
        <w:rPr>
          <w:spacing w:val="-1"/>
        </w:rPr>
        <w:t>Jurisdiction),</w:t>
      </w:r>
      <w:r w:rsidR="008918FA">
        <w:rPr>
          <w:spacing w:val="33"/>
        </w:rPr>
        <w:t xml:space="preserve"> </w:t>
      </w:r>
      <w:r w:rsidR="008918FA">
        <w:rPr>
          <w:spacing w:val="-1"/>
        </w:rPr>
        <w:t>and</w:t>
      </w:r>
      <w:r w:rsidR="008918FA">
        <w:rPr>
          <w:spacing w:val="31"/>
        </w:rPr>
        <w:t xml:space="preserve"> </w:t>
      </w:r>
      <w:r w:rsidR="008918FA">
        <w:rPr>
          <w:spacing w:val="-1"/>
        </w:rPr>
        <w:t>the</w:t>
      </w:r>
      <w:r w:rsidR="008918FA">
        <w:rPr>
          <w:spacing w:val="32"/>
        </w:rPr>
        <w:t xml:space="preserve"> </w:t>
      </w:r>
      <w:r w:rsidR="008918FA">
        <w:rPr>
          <w:spacing w:val="-2"/>
        </w:rPr>
        <w:t>provisions</w:t>
      </w:r>
      <w:r w:rsidR="008918FA">
        <w:rPr>
          <w:spacing w:val="55"/>
        </w:rPr>
        <w:t xml:space="preserve"> </w:t>
      </w:r>
      <w:r w:rsidR="008918FA">
        <w:rPr>
          <w:spacing w:val="-1"/>
        </w:rPr>
        <w:t>of</w:t>
      </w:r>
      <w:r w:rsidR="008918FA">
        <w:rPr>
          <w:spacing w:val="59"/>
        </w:rPr>
        <w:t xml:space="preserve"> </w:t>
      </w:r>
      <w:r w:rsidR="008918FA">
        <w:rPr>
          <w:spacing w:val="-2"/>
        </w:rPr>
        <w:t>Call</w:t>
      </w:r>
      <w:r w:rsidR="008918FA">
        <w:rPr>
          <w:spacing w:val="53"/>
        </w:rPr>
        <w:t xml:space="preserve"> </w:t>
      </w:r>
      <w:r w:rsidR="008918FA">
        <w:rPr>
          <w:spacing w:val="-1"/>
        </w:rPr>
        <w:t>Off</w:t>
      </w:r>
      <w:r w:rsidR="008918FA">
        <w:rPr>
          <w:spacing w:val="56"/>
        </w:rPr>
        <w:t xml:space="preserve"> </w:t>
      </w:r>
      <w:r w:rsidR="008918FA">
        <w:rPr>
          <w:spacing w:val="-1"/>
        </w:rPr>
        <w:t>Schedule</w:t>
      </w:r>
      <w:r w:rsidR="008918FA">
        <w:rPr>
          <w:spacing w:val="54"/>
        </w:rPr>
        <w:t xml:space="preserve"> </w:t>
      </w:r>
      <w:r w:rsidR="008918FA">
        <w:t>1</w:t>
      </w:r>
      <w:r w:rsidR="008918FA">
        <w:rPr>
          <w:spacing w:val="54"/>
        </w:rPr>
        <w:t xml:space="preserve"> </w:t>
      </w:r>
      <w:r w:rsidR="008918FA">
        <w:rPr>
          <w:spacing w:val="-1"/>
        </w:rPr>
        <w:t>(Definitions),</w:t>
      </w:r>
      <w:r w:rsidR="008918FA">
        <w:rPr>
          <w:spacing w:val="57"/>
        </w:rPr>
        <w:t xml:space="preserve"> </w:t>
      </w:r>
      <w:r w:rsidR="008918FA">
        <w:rPr>
          <w:spacing w:val="-2"/>
        </w:rPr>
        <w:t>Call</w:t>
      </w:r>
      <w:r w:rsidR="008918FA">
        <w:rPr>
          <w:spacing w:val="51"/>
        </w:rPr>
        <w:t xml:space="preserve"> </w:t>
      </w:r>
      <w:r w:rsidR="008918FA">
        <w:rPr>
          <w:spacing w:val="-1"/>
        </w:rPr>
        <w:t>Off</w:t>
      </w:r>
      <w:r w:rsidR="008918FA">
        <w:rPr>
          <w:spacing w:val="53"/>
        </w:rPr>
        <w:t xml:space="preserve"> </w:t>
      </w:r>
      <w:r w:rsidR="008918FA">
        <w:rPr>
          <w:spacing w:val="-1"/>
        </w:rPr>
        <w:t>Schedule</w:t>
      </w:r>
      <w:r w:rsidR="008918FA">
        <w:rPr>
          <w:spacing w:val="27"/>
        </w:rPr>
        <w:t xml:space="preserve"> </w:t>
      </w:r>
      <w:r w:rsidR="008918FA">
        <w:t>3</w:t>
      </w:r>
      <w:r w:rsidR="008918FA">
        <w:rPr>
          <w:spacing w:val="27"/>
        </w:rPr>
        <w:t xml:space="preserve"> </w:t>
      </w:r>
      <w:r w:rsidR="008918FA">
        <w:rPr>
          <w:spacing w:val="-1"/>
        </w:rPr>
        <w:t>(Call</w:t>
      </w:r>
      <w:r w:rsidR="008918FA">
        <w:rPr>
          <w:spacing w:val="26"/>
        </w:rPr>
        <w:t xml:space="preserve"> </w:t>
      </w:r>
      <w:r w:rsidR="008918FA">
        <w:rPr>
          <w:spacing w:val="-1"/>
        </w:rPr>
        <w:t>Off</w:t>
      </w:r>
      <w:r w:rsidR="008918FA">
        <w:rPr>
          <w:spacing w:val="26"/>
        </w:rPr>
        <w:t xml:space="preserve"> </w:t>
      </w:r>
      <w:r w:rsidR="008918FA">
        <w:rPr>
          <w:spacing w:val="-1"/>
        </w:rPr>
        <w:t>Contract</w:t>
      </w:r>
      <w:r w:rsidR="008918FA">
        <w:rPr>
          <w:spacing w:val="28"/>
        </w:rPr>
        <w:t xml:space="preserve"> </w:t>
      </w:r>
      <w:r w:rsidR="008918FA">
        <w:rPr>
          <w:spacing w:val="-2"/>
        </w:rPr>
        <w:t>Charges,</w:t>
      </w:r>
      <w:r w:rsidR="008918FA">
        <w:rPr>
          <w:spacing w:val="26"/>
        </w:rPr>
        <w:t xml:space="preserve"> </w:t>
      </w:r>
      <w:r w:rsidR="008918FA">
        <w:rPr>
          <w:spacing w:val="-1"/>
        </w:rPr>
        <w:t>Payment</w:t>
      </w:r>
      <w:r w:rsidR="008918FA">
        <w:rPr>
          <w:spacing w:val="28"/>
        </w:rPr>
        <w:t xml:space="preserve"> </w:t>
      </w:r>
      <w:r w:rsidR="008918FA">
        <w:rPr>
          <w:spacing w:val="-1"/>
        </w:rPr>
        <w:t>and</w:t>
      </w:r>
      <w:r w:rsidR="008918FA">
        <w:rPr>
          <w:spacing w:val="22"/>
        </w:rPr>
        <w:t xml:space="preserve"> </w:t>
      </w:r>
      <w:r w:rsidR="008918FA">
        <w:rPr>
          <w:spacing w:val="-1"/>
        </w:rPr>
        <w:t>Invoicing),</w:t>
      </w:r>
      <w:r w:rsidR="008918FA">
        <w:rPr>
          <w:spacing w:val="45"/>
        </w:rPr>
        <w:t xml:space="preserve"> </w:t>
      </w:r>
      <w:r w:rsidR="008918FA">
        <w:rPr>
          <w:spacing w:val="-2"/>
        </w:rPr>
        <w:t>Call</w:t>
      </w:r>
      <w:r w:rsidR="008918FA">
        <w:rPr>
          <w:spacing w:val="43"/>
        </w:rPr>
        <w:t xml:space="preserve"> </w:t>
      </w:r>
      <w:r w:rsidR="008918FA">
        <w:rPr>
          <w:spacing w:val="-1"/>
        </w:rPr>
        <w:t>Off</w:t>
      </w:r>
      <w:r w:rsidR="008918FA">
        <w:rPr>
          <w:spacing w:val="45"/>
        </w:rPr>
        <w:t xml:space="preserve"> </w:t>
      </w:r>
      <w:r w:rsidR="008918FA">
        <w:rPr>
          <w:spacing w:val="-2"/>
        </w:rPr>
        <w:t>Schedule</w:t>
      </w:r>
      <w:r w:rsidR="008918FA">
        <w:rPr>
          <w:spacing w:val="43"/>
        </w:rPr>
        <w:t xml:space="preserve"> </w:t>
      </w:r>
      <w:r w:rsidR="008918FA">
        <w:rPr>
          <w:spacing w:val="-1"/>
        </w:rPr>
        <w:t>10</w:t>
      </w:r>
      <w:r w:rsidR="008918FA">
        <w:rPr>
          <w:spacing w:val="43"/>
        </w:rPr>
        <w:t xml:space="preserve"> </w:t>
      </w:r>
      <w:r w:rsidR="008918FA">
        <w:rPr>
          <w:spacing w:val="-2"/>
        </w:rPr>
        <w:t>(Exit</w:t>
      </w:r>
      <w:r w:rsidR="008918FA">
        <w:rPr>
          <w:spacing w:val="47"/>
        </w:rPr>
        <w:t xml:space="preserve"> </w:t>
      </w:r>
      <w:r w:rsidR="008918FA">
        <w:rPr>
          <w:spacing w:val="-1"/>
        </w:rPr>
        <w:t>Management),</w:t>
      </w:r>
      <w:r w:rsidR="008918FA">
        <w:rPr>
          <w:spacing w:val="46"/>
        </w:rPr>
        <w:t xml:space="preserve"> </w:t>
      </w:r>
      <w:r w:rsidR="008918FA">
        <w:rPr>
          <w:spacing w:val="-2"/>
        </w:rPr>
        <w:t>Call</w:t>
      </w:r>
      <w:r w:rsidR="008918FA">
        <w:rPr>
          <w:spacing w:val="43"/>
        </w:rPr>
        <w:t xml:space="preserve"> </w:t>
      </w:r>
      <w:r w:rsidR="008918FA">
        <w:rPr>
          <w:spacing w:val="-1"/>
        </w:rPr>
        <w:t>Off</w:t>
      </w:r>
      <w:r w:rsidR="008918FA">
        <w:rPr>
          <w:spacing w:val="59"/>
        </w:rPr>
        <w:t xml:space="preserve"> </w:t>
      </w:r>
      <w:r w:rsidR="008918FA">
        <w:rPr>
          <w:spacing w:val="-1"/>
        </w:rPr>
        <w:t>Schedule</w:t>
      </w:r>
      <w:r w:rsidR="008918FA">
        <w:rPr>
          <w:spacing w:val="53"/>
        </w:rPr>
        <w:t xml:space="preserve"> </w:t>
      </w:r>
      <w:r w:rsidR="008918FA">
        <w:rPr>
          <w:spacing w:val="-1"/>
        </w:rPr>
        <w:t>11</w:t>
      </w:r>
      <w:r w:rsidR="008918FA">
        <w:rPr>
          <w:spacing w:val="53"/>
        </w:rPr>
        <w:t xml:space="preserve"> </w:t>
      </w:r>
      <w:r w:rsidR="008918FA">
        <w:rPr>
          <w:spacing w:val="-1"/>
        </w:rPr>
        <w:t>(Staff</w:t>
      </w:r>
      <w:r w:rsidR="008918FA">
        <w:rPr>
          <w:spacing w:val="52"/>
        </w:rPr>
        <w:t xml:space="preserve"> </w:t>
      </w:r>
      <w:r w:rsidR="008918FA">
        <w:rPr>
          <w:spacing w:val="-1"/>
        </w:rPr>
        <w:t>Transfer),</w:t>
      </w:r>
      <w:r w:rsidR="008918FA">
        <w:rPr>
          <w:spacing w:val="55"/>
        </w:rPr>
        <w:t xml:space="preserve"> </w:t>
      </w:r>
      <w:r w:rsidR="008918FA">
        <w:rPr>
          <w:spacing w:val="-2"/>
        </w:rPr>
        <w:t>Call</w:t>
      </w:r>
      <w:r w:rsidR="008918FA">
        <w:rPr>
          <w:spacing w:val="52"/>
        </w:rPr>
        <w:t xml:space="preserve"> </w:t>
      </w:r>
      <w:r w:rsidR="008918FA">
        <w:rPr>
          <w:spacing w:val="-1"/>
        </w:rPr>
        <w:t>Off</w:t>
      </w:r>
      <w:r w:rsidR="008918FA">
        <w:rPr>
          <w:spacing w:val="55"/>
        </w:rPr>
        <w:t xml:space="preserve"> </w:t>
      </w:r>
      <w:r w:rsidR="008918FA">
        <w:rPr>
          <w:spacing w:val="-2"/>
        </w:rPr>
        <w:t>Schedule</w:t>
      </w:r>
      <w:r w:rsidR="008918FA">
        <w:rPr>
          <w:spacing w:val="54"/>
        </w:rPr>
        <w:t xml:space="preserve"> </w:t>
      </w:r>
      <w:r w:rsidR="008918FA">
        <w:rPr>
          <w:spacing w:val="-1"/>
        </w:rPr>
        <w:t>12</w:t>
      </w:r>
      <w:r w:rsidR="008918FA">
        <w:rPr>
          <w:spacing w:val="54"/>
        </w:rPr>
        <w:t xml:space="preserve"> </w:t>
      </w:r>
      <w:r w:rsidR="008918FA">
        <w:rPr>
          <w:spacing w:val="-1"/>
        </w:rPr>
        <w:t>(Dispute</w:t>
      </w:r>
      <w:r w:rsidR="008918FA">
        <w:rPr>
          <w:spacing w:val="51"/>
        </w:rPr>
        <w:t xml:space="preserve"> </w:t>
      </w:r>
      <w:r w:rsidR="008918FA">
        <w:rPr>
          <w:spacing w:val="-1"/>
        </w:rPr>
        <w:t>Resolution</w:t>
      </w:r>
      <w:r w:rsidR="008918FA">
        <w:rPr>
          <w:spacing w:val="27"/>
        </w:rPr>
        <w:t xml:space="preserve"> </w:t>
      </w:r>
      <w:r w:rsidR="008918FA">
        <w:rPr>
          <w:spacing w:val="-1"/>
        </w:rPr>
        <w:t>Procedure)</w:t>
      </w:r>
      <w:r w:rsidR="008918FA">
        <w:rPr>
          <w:spacing w:val="29"/>
        </w:rPr>
        <w:t xml:space="preserve"> </w:t>
      </w:r>
      <w:r w:rsidR="008918FA">
        <w:rPr>
          <w:spacing w:val="-2"/>
        </w:rPr>
        <w:t>and,</w:t>
      </w:r>
      <w:r w:rsidR="008918FA">
        <w:rPr>
          <w:spacing w:val="28"/>
        </w:rPr>
        <w:t xml:space="preserve"> </w:t>
      </w:r>
      <w:r w:rsidR="008918FA">
        <w:rPr>
          <w:spacing w:val="-2"/>
        </w:rPr>
        <w:t>without</w:t>
      </w:r>
      <w:r w:rsidR="008918FA">
        <w:rPr>
          <w:spacing w:val="28"/>
        </w:rPr>
        <w:t xml:space="preserve"> </w:t>
      </w:r>
      <w:r w:rsidR="008918FA">
        <w:rPr>
          <w:spacing w:val="-1"/>
        </w:rPr>
        <w:t>limitation</w:t>
      </w:r>
      <w:r w:rsidR="008918FA">
        <w:rPr>
          <w:spacing w:val="27"/>
        </w:rPr>
        <w:t xml:space="preserve"> </w:t>
      </w:r>
      <w:r w:rsidR="008918FA">
        <w:t>to</w:t>
      </w:r>
      <w:r w:rsidR="008918FA">
        <w:rPr>
          <w:spacing w:val="27"/>
        </w:rPr>
        <w:t xml:space="preserve"> </w:t>
      </w:r>
      <w:r w:rsidR="008918FA">
        <w:t>the</w:t>
      </w:r>
      <w:r w:rsidR="008918FA">
        <w:rPr>
          <w:spacing w:val="24"/>
        </w:rPr>
        <w:t xml:space="preserve"> </w:t>
      </w:r>
      <w:r w:rsidR="008918FA">
        <w:rPr>
          <w:spacing w:val="-1"/>
        </w:rPr>
        <w:t>foregoing,</w:t>
      </w:r>
      <w:r w:rsidR="008918FA">
        <w:rPr>
          <w:spacing w:val="40"/>
        </w:rPr>
        <w:t xml:space="preserve"> </w:t>
      </w:r>
      <w:r w:rsidR="008918FA">
        <w:rPr>
          <w:spacing w:val="-1"/>
        </w:rPr>
        <w:t>any</w:t>
      </w:r>
      <w:r w:rsidR="008918FA">
        <w:rPr>
          <w:spacing w:val="13"/>
        </w:rPr>
        <w:t xml:space="preserve"> </w:t>
      </w:r>
      <w:r w:rsidR="008918FA">
        <w:rPr>
          <w:spacing w:val="-1"/>
        </w:rPr>
        <w:t>other</w:t>
      </w:r>
      <w:r w:rsidR="008918FA">
        <w:rPr>
          <w:spacing w:val="16"/>
        </w:rPr>
        <w:t xml:space="preserve"> </w:t>
      </w:r>
      <w:r w:rsidR="008918FA">
        <w:rPr>
          <w:spacing w:val="-2"/>
        </w:rPr>
        <w:t>provision</w:t>
      </w:r>
      <w:r w:rsidR="008918FA">
        <w:rPr>
          <w:spacing w:val="15"/>
        </w:rPr>
        <w:t xml:space="preserve"> </w:t>
      </w:r>
      <w:r w:rsidR="008918FA">
        <w:rPr>
          <w:spacing w:val="-2"/>
        </w:rPr>
        <w:t>of</w:t>
      </w:r>
      <w:r w:rsidR="008918FA">
        <w:rPr>
          <w:spacing w:val="16"/>
        </w:rPr>
        <w:t xml:space="preserve"> </w:t>
      </w:r>
      <w:r w:rsidR="008918FA">
        <w:rPr>
          <w:spacing w:val="-1"/>
        </w:rPr>
        <w:t>this</w:t>
      </w:r>
      <w:r w:rsidR="008918FA">
        <w:rPr>
          <w:spacing w:val="16"/>
        </w:rPr>
        <w:t xml:space="preserve"> </w:t>
      </w:r>
      <w:r w:rsidR="008918FA">
        <w:rPr>
          <w:spacing w:val="-2"/>
        </w:rPr>
        <w:t>Call</w:t>
      </w:r>
      <w:r w:rsidR="008918FA">
        <w:rPr>
          <w:spacing w:val="14"/>
        </w:rPr>
        <w:t xml:space="preserve"> </w:t>
      </w:r>
      <w:r w:rsidR="008918FA">
        <w:rPr>
          <w:spacing w:val="-1"/>
        </w:rPr>
        <w:t>Off</w:t>
      </w:r>
      <w:r w:rsidR="008918FA">
        <w:rPr>
          <w:spacing w:val="19"/>
        </w:rPr>
        <w:t xml:space="preserve"> </w:t>
      </w:r>
      <w:r w:rsidR="008918FA">
        <w:rPr>
          <w:spacing w:val="-2"/>
        </w:rPr>
        <w:t>Contract</w:t>
      </w:r>
      <w:r w:rsidR="008918FA">
        <w:rPr>
          <w:spacing w:val="16"/>
        </w:rPr>
        <w:t xml:space="preserve"> </w:t>
      </w:r>
      <w:r w:rsidR="008918FA">
        <w:rPr>
          <w:spacing w:val="-2"/>
        </w:rPr>
        <w:t>which</w:t>
      </w:r>
      <w:r w:rsidR="008918FA">
        <w:rPr>
          <w:spacing w:val="15"/>
        </w:rPr>
        <w:t xml:space="preserve"> </w:t>
      </w:r>
      <w:r w:rsidR="008918FA">
        <w:rPr>
          <w:spacing w:val="-1"/>
        </w:rPr>
        <w:t>expressly</w:t>
      </w:r>
      <w:r w:rsidR="008918FA">
        <w:rPr>
          <w:spacing w:val="13"/>
        </w:rPr>
        <w:t xml:space="preserve"> </w:t>
      </w:r>
      <w:r w:rsidR="008918FA">
        <w:rPr>
          <w:spacing w:val="-1"/>
        </w:rPr>
        <w:t>or</w:t>
      </w:r>
      <w:r w:rsidR="008918FA">
        <w:rPr>
          <w:spacing w:val="54"/>
        </w:rPr>
        <w:t xml:space="preserve"> </w:t>
      </w:r>
      <w:r w:rsidR="008918FA">
        <w:rPr>
          <w:spacing w:val="-1"/>
        </w:rPr>
        <w:t>by</w:t>
      </w:r>
      <w:r w:rsidR="008918FA">
        <w:rPr>
          <w:spacing w:val="27"/>
        </w:rPr>
        <w:t xml:space="preserve"> </w:t>
      </w:r>
      <w:r w:rsidR="008918FA">
        <w:rPr>
          <w:spacing w:val="-1"/>
        </w:rPr>
        <w:t>implication</w:t>
      </w:r>
      <w:r w:rsidR="008918FA">
        <w:rPr>
          <w:spacing w:val="29"/>
        </w:rPr>
        <w:t xml:space="preserve"> </w:t>
      </w:r>
      <w:r w:rsidR="008918FA">
        <w:rPr>
          <w:spacing w:val="-1"/>
        </w:rPr>
        <w:t>is</w:t>
      </w:r>
      <w:r w:rsidR="008918FA">
        <w:rPr>
          <w:spacing w:val="30"/>
        </w:rPr>
        <w:t xml:space="preserve"> </w:t>
      </w:r>
      <w:r w:rsidR="008918FA">
        <w:t>to</w:t>
      </w:r>
      <w:r w:rsidR="008918FA">
        <w:rPr>
          <w:spacing w:val="29"/>
        </w:rPr>
        <w:t xml:space="preserve"> </w:t>
      </w:r>
      <w:r w:rsidR="008918FA">
        <w:rPr>
          <w:spacing w:val="-1"/>
        </w:rPr>
        <w:t>be</w:t>
      </w:r>
      <w:r w:rsidR="008918FA">
        <w:rPr>
          <w:spacing w:val="29"/>
        </w:rPr>
        <w:t xml:space="preserve"> </w:t>
      </w:r>
      <w:r w:rsidR="008918FA">
        <w:rPr>
          <w:spacing w:val="-1"/>
        </w:rPr>
        <w:t>performed</w:t>
      </w:r>
      <w:r w:rsidR="008918FA">
        <w:rPr>
          <w:spacing w:val="29"/>
        </w:rPr>
        <w:t xml:space="preserve"> </w:t>
      </w:r>
      <w:r w:rsidR="008918FA">
        <w:rPr>
          <w:spacing w:val="-2"/>
        </w:rPr>
        <w:t>or</w:t>
      </w:r>
      <w:r w:rsidR="008918FA">
        <w:rPr>
          <w:spacing w:val="30"/>
        </w:rPr>
        <w:t xml:space="preserve"> </w:t>
      </w:r>
      <w:r w:rsidR="008918FA">
        <w:rPr>
          <w:spacing w:val="-2"/>
        </w:rPr>
        <w:t>observed</w:t>
      </w:r>
      <w:r w:rsidR="008918FA">
        <w:rPr>
          <w:spacing w:val="29"/>
        </w:rPr>
        <w:t xml:space="preserve"> </w:t>
      </w:r>
      <w:r w:rsidR="008918FA">
        <w:rPr>
          <w:spacing w:val="-1"/>
        </w:rPr>
        <w:t>notwithstanding</w:t>
      </w:r>
      <w:r w:rsidR="008918FA">
        <w:rPr>
          <w:spacing w:val="28"/>
        </w:rPr>
        <w:t xml:space="preserve"> </w:t>
      </w:r>
      <w:r w:rsidR="008918FA">
        <w:rPr>
          <w:spacing w:val="-1"/>
        </w:rPr>
        <w:t>termination</w:t>
      </w:r>
      <w:r w:rsidR="008918FA">
        <w:t xml:space="preserve"> </w:t>
      </w:r>
      <w:r w:rsidR="008918FA">
        <w:rPr>
          <w:spacing w:val="-2"/>
        </w:rPr>
        <w:t>or</w:t>
      </w:r>
      <w:r w:rsidR="008918FA">
        <w:rPr>
          <w:spacing w:val="2"/>
        </w:rPr>
        <w:t xml:space="preserve"> </w:t>
      </w:r>
      <w:r w:rsidR="008918FA">
        <w:rPr>
          <w:spacing w:val="-2"/>
        </w:rPr>
        <w:t xml:space="preserve">expiry </w:t>
      </w:r>
      <w:r w:rsidR="008918FA">
        <w:rPr>
          <w:spacing w:val="-1"/>
        </w:rPr>
        <w:t>shall</w:t>
      </w:r>
      <w:r w:rsidR="008918FA">
        <w:t xml:space="preserve"> </w:t>
      </w:r>
      <w:r w:rsidR="008918FA">
        <w:rPr>
          <w:spacing w:val="-1"/>
        </w:rPr>
        <w:t>survive</w:t>
      </w:r>
      <w:r w:rsidR="008918FA">
        <w:t xml:space="preserve"> the</w:t>
      </w:r>
      <w:r w:rsidR="008918FA">
        <w:rPr>
          <w:spacing w:val="1"/>
        </w:rPr>
        <w:t xml:space="preserve"> </w:t>
      </w:r>
      <w:r w:rsidR="008918FA">
        <w:rPr>
          <w:spacing w:val="-2"/>
        </w:rPr>
        <w:t>Call</w:t>
      </w:r>
      <w:r w:rsidR="008918FA">
        <w:t xml:space="preserve"> </w:t>
      </w:r>
      <w:r w:rsidR="008918FA">
        <w:rPr>
          <w:spacing w:val="-1"/>
        </w:rPr>
        <w:t>Off</w:t>
      </w:r>
      <w:r w:rsidR="008918FA">
        <w:t xml:space="preserve"> </w:t>
      </w:r>
      <w:r w:rsidR="008918FA">
        <w:rPr>
          <w:spacing w:val="-2"/>
        </w:rPr>
        <w:t xml:space="preserve">Expiry </w:t>
      </w:r>
      <w:r w:rsidR="008918FA">
        <w:rPr>
          <w:spacing w:val="-1"/>
        </w:rPr>
        <w:t>Date.</w:t>
      </w:r>
    </w:p>
    <w:p w:rsidR="008918FA" w:rsidRDefault="008918FA" w:rsidP="008918FA">
      <w:pPr>
        <w:pStyle w:val="Heading1"/>
        <w:numPr>
          <w:ilvl w:val="1"/>
          <w:numId w:val="66"/>
        </w:numPr>
        <w:tabs>
          <w:tab w:val="left" w:pos="1234"/>
        </w:tabs>
        <w:ind w:left="1233" w:hanging="564"/>
        <w:rPr>
          <w:b w:val="0"/>
          <w:bCs w:val="0"/>
        </w:rPr>
      </w:pPr>
      <w:bookmarkStart w:id="302" w:name="_bookmark252"/>
      <w:bookmarkEnd w:id="302"/>
      <w:r>
        <w:rPr>
          <w:spacing w:val="-1"/>
        </w:rPr>
        <w:t>Exit management</w:t>
      </w:r>
    </w:p>
    <w:p w:rsidR="008918FA" w:rsidRDefault="008918FA" w:rsidP="008918FA">
      <w:pPr>
        <w:pStyle w:val="BodyText"/>
        <w:numPr>
          <w:ilvl w:val="2"/>
          <w:numId w:val="66"/>
        </w:numPr>
        <w:tabs>
          <w:tab w:val="left" w:pos="2227"/>
        </w:tabs>
        <w:spacing w:before="124"/>
        <w:ind w:right="114" w:hanging="993"/>
        <w:jc w:val="both"/>
      </w:pPr>
      <w:r>
        <w:t>The</w:t>
      </w:r>
      <w:r>
        <w:rPr>
          <w:spacing w:val="17"/>
        </w:rPr>
        <w:t xml:space="preserve"> </w:t>
      </w:r>
      <w:r>
        <w:rPr>
          <w:spacing w:val="-1"/>
        </w:rPr>
        <w:t>Parties</w:t>
      </w:r>
      <w:r>
        <w:rPr>
          <w:spacing w:val="18"/>
        </w:rPr>
        <w:t xml:space="preserve"> </w:t>
      </w:r>
      <w:r>
        <w:rPr>
          <w:spacing w:val="-1"/>
        </w:rPr>
        <w:t>shall</w:t>
      </w:r>
      <w:r>
        <w:rPr>
          <w:spacing w:val="17"/>
        </w:rPr>
        <w:t xml:space="preserve"> </w:t>
      </w:r>
      <w:r>
        <w:rPr>
          <w:spacing w:val="-1"/>
        </w:rPr>
        <w:t>comply</w:t>
      </w:r>
      <w:r>
        <w:rPr>
          <w:spacing w:val="18"/>
        </w:rPr>
        <w:t xml:space="preserve"> </w:t>
      </w:r>
      <w:r>
        <w:rPr>
          <w:spacing w:val="-1"/>
        </w:rPr>
        <w:t>with</w:t>
      </w:r>
      <w:r>
        <w:rPr>
          <w:spacing w:val="17"/>
        </w:rPr>
        <w:t xml:space="preserve"> </w:t>
      </w:r>
      <w:r>
        <w:t>the</w:t>
      </w:r>
      <w:r>
        <w:rPr>
          <w:spacing w:val="17"/>
        </w:rPr>
        <w:t xml:space="preserve"> </w:t>
      </w:r>
      <w:r>
        <w:rPr>
          <w:spacing w:val="-2"/>
        </w:rPr>
        <w:t>exit</w:t>
      </w:r>
      <w:r>
        <w:rPr>
          <w:spacing w:val="19"/>
        </w:rPr>
        <w:t xml:space="preserve"> </w:t>
      </w:r>
      <w:r>
        <w:rPr>
          <w:spacing w:val="-1"/>
        </w:rPr>
        <w:t>management</w:t>
      </w:r>
      <w:r>
        <w:rPr>
          <w:spacing w:val="19"/>
        </w:rPr>
        <w:t xml:space="preserve"> </w:t>
      </w:r>
      <w:r>
        <w:rPr>
          <w:spacing w:val="-2"/>
        </w:rPr>
        <w:t>provisions</w:t>
      </w:r>
      <w:r>
        <w:rPr>
          <w:spacing w:val="18"/>
        </w:rPr>
        <w:t xml:space="preserve"> </w:t>
      </w:r>
      <w:r>
        <w:rPr>
          <w:spacing w:val="-1"/>
        </w:rPr>
        <w:t>set</w:t>
      </w:r>
      <w:r>
        <w:rPr>
          <w:spacing w:val="19"/>
        </w:rPr>
        <w:t xml:space="preserve"> </w:t>
      </w:r>
      <w:r>
        <w:rPr>
          <w:spacing w:val="-1"/>
        </w:rPr>
        <w:t>out</w:t>
      </w:r>
      <w:r>
        <w:rPr>
          <w:spacing w:val="46"/>
        </w:rPr>
        <w:t xml:space="preserve"> </w:t>
      </w:r>
      <w:r>
        <w:rPr>
          <w:spacing w:val="-1"/>
        </w:rPr>
        <w:t>in</w:t>
      </w:r>
      <w:r>
        <w:t xml:space="preserve"> </w:t>
      </w:r>
      <w:r>
        <w:rPr>
          <w:spacing w:val="-2"/>
        </w:rPr>
        <w:t>Call</w:t>
      </w:r>
      <w:r>
        <w:t xml:space="preserve"> </w:t>
      </w:r>
      <w:r>
        <w:rPr>
          <w:spacing w:val="-1"/>
        </w:rPr>
        <w:t>Off</w:t>
      </w:r>
      <w:r>
        <w:rPr>
          <w:spacing w:val="2"/>
        </w:rPr>
        <w:t xml:space="preserve"> </w:t>
      </w:r>
      <w:r>
        <w:rPr>
          <w:spacing w:val="-1"/>
        </w:rPr>
        <w:t>Schedule</w:t>
      </w:r>
      <w:r>
        <w:t xml:space="preserve"> </w:t>
      </w:r>
      <w:r>
        <w:rPr>
          <w:spacing w:val="-1"/>
        </w:rPr>
        <w:t xml:space="preserve">10 </w:t>
      </w:r>
      <w:r>
        <w:rPr>
          <w:spacing w:val="-2"/>
        </w:rPr>
        <w:t>(Exit</w:t>
      </w:r>
      <w:r>
        <w:rPr>
          <w:spacing w:val="4"/>
        </w:rPr>
        <w:t xml:space="preserve"> </w:t>
      </w:r>
      <w:r>
        <w:rPr>
          <w:spacing w:val="-1"/>
        </w:rPr>
        <w:t>Management).</w:t>
      </w:r>
    </w:p>
    <w:p w:rsidR="008918FA" w:rsidRDefault="008918FA" w:rsidP="008918FA">
      <w:pPr>
        <w:spacing w:before="5"/>
        <w:rPr>
          <w:rFonts w:ascii="Arial" w:eastAsia="Arial" w:hAnsi="Arial" w:cs="Arial"/>
          <w:sz w:val="14"/>
          <w:szCs w:val="14"/>
        </w:rPr>
      </w:pPr>
    </w:p>
    <w:p w:rsidR="008918FA" w:rsidRDefault="008918FA" w:rsidP="008918FA">
      <w:pPr>
        <w:pStyle w:val="Heading1"/>
        <w:tabs>
          <w:tab w:val="left" w:pos="666"/>
        </w:tabs>
        <w:spacing w:before="73"/>
        <w:ind w:left="100" w:firstLine="0"/>
        <w:rPr>
          <w:b w:val="0"/>
          <w:bCs w:val="0"/>
        </w:rPr>
      </w:pPr>
      <w:bookmarkStart w:id="303" w:name="_bookmark253"/>
      <w:bookmarkEnd w:id="303"/>
      <w:r>
        <w:rPr>
          <w:color w:val="C00000"/>
          <w:spacing w:val="-1"/>
        </w:rPr>
        <w:t>L.</w:t>
      </w:r>
      <w:r>
        <w:rPr>
          <w:color w:val="C00000"/>
          <w:spacing w:val="-1"/>
        </w:rPr>
        <w:tab/>
      </w:r>
      <w:r w:rsidRPr="001C1527">
        <w:rPr>
          <w:color w:val="C00000"/>
          <w:spacing w:val="-1"/>
          <w:u w:val="single"/>
        </w:rPr>
        <w:t>MISCELLANEOUS</w:t>
      </w:r>
      <w:r w:rsidRPr="001C1527">
        <w:rPr>
          <w:color w:val="C00000"/>
          <w:spacing w:val="2"/>
          <w:u w:val="single"/>
        </w:rPr>
        <w:t xml:space="preserve"> </w:t>
      </w:r>
      <w:r w:rsidRPr="001C1527">
        <w:rPr>
          <w:color w:val="C00000"/>
          <w:spacing w:val="-2"/>
          <w:u w:val="single"/>
        </w:rPr>
        <w:t>AND</w:t>
      </w:r>
      <w:r w:rsidRPr="001C1527">
        <w:rPr>
          <w:color w:val="C00000"/>
          <w:spacing w:val="2"/>
          <w:u w:val="single"/>
        </w:rPr>
        <w:t xml:space="preserve"> </w:t>
      </w:r>
      <w:r w:rsidRPr="001C1527">
        <w:rPr>
          <w:color w:val="C00000"/>
          <w:spacing w:val="-1"/>
          <w:u w:val="single"/>
        </w:rPr>
        <w:t>GOVERNING</w:t>
      </w:r>
      <w:r w:rsidRPr="001C1527">
        <w:rPr>
          <w:color w:val="C00000"/>
          <w:u w:val="single"/>
        </w:rPr>
        <w:t xml:space="preserve"> </w:t>
      </w:r>
      <w:r w:rsidRPr="001C1527">
        <w:rPr>
          <w:color w:val="C00000"/>
          <w:spacing w:val="-3"/>
          <w:u w:val="single"/>
        </w:rPr>
        <w:t>LAW</w:t>
      </w:r>
    </w:p>
    <w:p w:rsidR="008918FA" w:rsidRDefault="008918FA" w:rsidP="008918FA">
      <w:pPr>
        <w:spacing w:before="6"/>
        <w:rPr>
          <w:rFonts w:ascii="Arial" w:eastAsia="Arial" w:hAnsi="Arial" w:cs="Arial"/>
          <w:b/>
          <w:bCs/>
          <w:sz w:val="14"/>
          <w:szCs w:val="14"/>
        </w:rPr>
      </w:pPr>
    </w:p>
    <w:p w:rsidR="008918FA" w:rsidRDefault="008918FA" w:rsidP="008918FA">
      <w:pPr>
        <w:pStyle w:val="BodyText"/>
        <w:numPr>
          <w:ilvl w:val="0"/>
          <w:numId w:val="66"/>
        </w:numPr>
        <w:tabs>
          <w:tab w:val="left" w:pos="667"/>
        </w:tabs>
        <w:spacing w:before="72"/>
        <w:ind w:left="667"/>
        <w:rPr>
          <w:rFonts w:ascii="Times New Roman" w:eastAsia="Times New Roman" w:hAnsi="Times New Roman" w:cs="Times New Roman"/>
        </w:rPr>
      </w:pPr>
      <w:bookmarkStart w:id="304" w:name="_bookmark254"/>
      <w:bookmarkEnd w:id="304"/>
      <w:r>
        <w:rPr>
          <w:rFonts w:ascii="Times New Roman"/>
          <w:spacing w:val="3"/>
        </w:rPr>
        <w:t>COMP</w:t>
      </w:r>
      <w:r>
        <w:rPr>
          <w:rFonts w:ascii="Times New Roman"/>
          <w:spacing w:val="-32"/>
        </w:rPr>
        <w:t xml:space="preserve"> </w:t>
      </w:r>
      <w:r>
        <w:rPr>
          <w:rFonts w:ascii="Times New Roman"/>
          <w:spacing w:val="-2"/>
        </w:rPr>
        <w:t>LIANCE</w:t>
      </w:r>
    </w:p>
    <w:p w:rsidR="008918FA" w:rsidRDefault="008918FA" w:rsidP="008918FA">
      <w:pPr>
        <w:spacing w:before="8"/>
        <w:rPr>
          <w:rFonts w:ascii="Times New Roman" w:eastAsia="Times New Roman" w:hAnsi="Times New Roman" w:cs="Times New Roman"/>
          <w:sz w:val="14"/>
          <w:szCs w:val="14"/>
        </w:rPr>
      </w:pPr>
    </w:p>
    <w:p w:rsidR="008918FA" w:rsidRDefault="008918FA" w:rsidP="008918FA">
      <w:pPr>
        <w:pStyle w:val="Heading1"/>
        <w:numPr>
          <w:ilvl w:val="1"/>
          <w:numId w:val="66"/>
        </w:numPr>
        <w:tabs>
          <w:tab w:val="left" w:pos="1233"/>
        </w:tabs>
        <w:spacing w:before="72"/>
        <w:ind w:hanging="564"/>
        <w:rPr>
          <w:b w:val="0"/>
          <w:bCs w:val="0"/>
        </w:rPr>
      </w:pPr>
      <w:r>
        <w:rPr>
          <w:spacing w:val="-1"/>
        </w:rPr>
        <w:t>Health</w:t>
      </w:r>
      <w:r>
        <w:t xml:space="preserve"> </w:t>
      </w:r>
      <w:r>
        <w:rPr>
          <w:spacing w:val="-1"/>
        </w:rPr>
        <w:t>and</w:t>
      </w:r>
      <w:r>
        <w:rPr>
          <w:spacing w:val="-2"/>
        </w:rPr>
        <w:t xml:space="preserve"> </w:t>
      </w:r>
      <w:r>
        <w:rPr>
          <w:spacing w:val="-1"/>
        </w:rPr>
        <w:t>Safety</w:t>
      </w:r>
    </w:p>
    <w:p w:rsidR="008918FA" w:rsidRDefault="008918FA" w:rsidP="008918FA">
      <w:pPr>
        <w:pStyle w:val="BodyText"/>
        <w:numPr>
          <w:ilvl w:val="2"/>
          <w:numId w:val="66"/>
        </w:numPr>
        <w:tabs>
          <w:tab w:val="left" w:pos="2227"/>
        </w:tabs>
        <w:spacing w:before="121"/>
        <w:ind w:right="114"/>
        <w:jc w:val="both"/>
      </w:pPr>
      <w:r>
        <w:t>The</w:t>
      </w:r>
      <w:r>
        <w:rPr>
          <w:spacing w:val="22"/>
        </w:rPr>
        <w:t xml:space="preserve"> </w:t>
      </w:r>
      <w:r>
        <w:rPr>
          <w:spacing w:val="-2"/>
        </w:rPr>
        <w:t>Supplier</w:t>
      </w:r>
      <w:r>
        <w:rPr>
          <w:spacing w:val="23"/>
        </w:rPr>
        <w:t xml:space="preserve"> </w:t>
      </w:r>
      <w:r>
        <w:rPr>
          <w:spacing w:val="-1"/>
        </w:rPr>
        <w:t>shall</w:t>
      </w:r>
      <w:r>
        <w:rPr>
          <w:spacing w:val="21"/>
        </w:rPr>
        <w:t xml:space="preserve"> </w:t>
      </w:r>
      <w:r>
        <w:rPr>
          <w:spacing w:val="-1"/>
        </w:rPr>
        <w:t>perform</w:t>
      </w:r>
      <w:r>
        <w:rPr>
          <w:spacing w:val="23"/>
        </w:rPr>
        <w:t xml:space="preserve"> </w:t>
      </w:r>
      <w:r>
        <w:rPr>
          <w:spacing w:val="-1"/>
        </w:rPr>
        <w:t>its</w:t>
      </w:r>
      <w:r>
        <w:rPr>
          <w:spacing w:val="22"/>
        </w:rPr>
        <w:t xml:space="preserve"> </w:t>
      </w:r>
      <w:r>
        <w:rPr>
          <w:spacing w:val="-1"/>
        </w:rPr>
        <w:t>obligations</w:t>
      </w:r>
      <w:r>
        <w:rPr>
          <w:spacing w:val="22"/>
        </w:rPr>
        <w:t xml:space="preserve"> </w:t>
      </w:r>
      <w:r>
        <w:rPr>
          <w:spacing w:val="-1"/>
        </w:rPr>
        <w:t>under</w:t>
      </w:r>
      <w:r>
        <w:rPr>
          <w:spacing w:val="21"/>
        </w:rPr>
        <w:t xml:space="preserve"> </w:t>
      </w:r>
      <w:r>
        <w:rPr>
          <w:spacing w:val="-1"/>
        </w:rPr>
        <w:t>this</w:t>
      </w:r>
      <w:r>
        <w:rPr>
          <w:spacing w:val="22"/>
        </w:rPr>
        <w:t xml:space="preserve"> </w:t>
      </w:r>
      <w:r>
        <w:rPr>
          <w:spacing w:val="-2"/>
        </w:rPr>
        <w:t>Call</w:t>
      </w:r>
      <w:r>
        <w:rPr>
          <w:spacing w:val="21"/>
        </w:rPr>
        <w:t xml:space="preserve"> </w:t>
      </w:r>
      <w:r>
        <w:t>Off</w:t>
      </w:r>
      <w:r>
        <w:rPr>
          <w:spacing w:val="26"/>
        </w:rPr>
        <w:t xml:space="preserve"> </w:t>
      </w:r>
      <w:r>
        <w:rPr>
          <w:spacing w:val="-2"/>
        </w:rPr>
        <w:t>Contract</w:t>
      </w:r>
      <w:r>
        <w:rPr>
          <w:spacing w:val="56"/>
        </w:rPr>
        <w:t xml:space="preserve"> </w:t>
      </w:r>
      <w:r>
        <w:rPr>
          <w:spacing w:val="-1"/>
        </w:rPr>
        <w:t>(including</w:t>
      </w:r>
      <w:r>
        <w:rPr>
          <w:spacing w:val="8"/>
        </w:rPr>
        <w:t xml:space="preserve"> </w:t>
      </w:r>
      <w:r>
        <w:rPr>
          <w:spacing w:val="-1"/>
        </w:rPr>
        <w:t>those</w:t>
      </w:r>
      <w:r>
        <w:rPr>
          <w:spacing w:val="6"/>
        </w:rPr>
        <w:t xml:space="preserve"> </w:t>
      </w:r>
      <w:r>
        <w:rPr>
          <w:spacing w:val="-1"/>
        </w:rPr>
        <w:t>in</w:t>
      </w:r>
      <w:r>
        <w:rPr>
          <w:spacing w:val="5"/>
        </w:rPr>
        <w:t xml:space="preserve"> </w:t>
      </w:r>
      <w:r>
        <w:rPr>
          <w:spacing w:val="-1"/>
        </w:rPr>
        <w:t>relation</w:t>
      </w:r>
      <w:r>
        <w:rPr>
          <w:spacing w:val="5"/>
        </w:rPr>
        <w:t xml:space="preserve"> </w:t>
      </w:r>
      <w:r>
        <w:t>to</w:t>
      </w:r>
      <w:r>
        <w:rPr>
          <w:spacing w:val="5"/>
        </w:rPr>
        <w:t xml:space="preserve"> </w:t>
      </w:r>
      <w:r>
        <w:t>the</w:t>
      </w:r>
      <w:r>
        <w:rPr>
          <w:spacing w:val="3"/>
        </w:rPr>
        <w:t xml:space="preserve"> </w:t>
      </w:r>
      <w:r>
        <w:rPr>
          <w:spacing w:val="-1"/>
        </w:rPr>
        <w:t>Goods</w:t>
      </w:r>
      <w:r>
        <w:rPr>
          <w:spacing w:val="3"/>
        </w:rPr>
        <w:t xml:space="preserve"> </w:t>
      </w:r>
      <w:r>
        <w:rPr>
          <w:spacing w:val="-1"/>
        </w:rPr>
        <w:t>and/or</w:t>
      </w:r>
      <w:r>
        <w:rPr>
          <w:spacing w:val="8"/>
        </w:rPr>
        <w:t xml:space="preserve"> </w:t>
      </w:r>
      <w:r>
        <w:rPr>
          <w:spacing w:val="-2"/>
        </w:rPr>
        <w:t>Services)</w:t>
      </w:r>
      <w:r>
        <w:t xml:space="preserve"> </w:t>
      </w:r>
      <w:r>
        <w:rPr>
          <w:spacing w:val="7"/>
        </w:rPr>
        <w:t xml:space="preserve"> </w:t>
      </w:r>
      <w:r>
        <w:rPr>
          <w:spacing w:val="-2"/>
        </w:rPr>
        <w:t>in</w:t>
      </w:r>
      <w:r>
        <w:rPr>
          <w:spacing w:val="27"/>
        </w:rPr>
        <w:t xml:space="preserve"> </w:t>
      </w:r>
      <w:r>
        <w:rPr>
          <w:spacing w:val="-1"/>
        </w:rPr>
        <w:t>accordance</w:t>
      </w:r>
      <w:r>
        <w:rPr>
          <w:spacing w:val="-2"/>
        </w:rPr>
        <w:t xml:space="preserve"> with:</w:t>
      </w:r>
    </w:p>
    <w:p w:rsidR="008918FA" w:rsidRDefault="008918FA" w:rsidP="008918FA">
      <w:pPr>
        <w:pStyle w:val="BodyText"/>
        <w:numPr>
          <w:ilvl w:val="3"/>
          <w:numId w:val="66"/>
        </w:numPr>
        <w:tabs>
          <w:tab w:val="left" w:pos="2935"/>
        </w:tabs>
        <w:ind w:left="2934"/>
      </w:pPr>
      <w:r>
        <w:rPr>
          <w:spacing w:val="-1"/>
        </w:rPr>
        <w:t>all</w:t>
      </w:r>
      <w:r>
        <w:t xml:space="preserve"> </w:t>
      </w:r>
      <w:r>
        <w:rPr>
          <w:spacing w:val="-2"/>
        </w:rPr>
        <w:t>applicable</w:t>
      </w:r>
      <w:r>
        <w:t xml:space="preserve"> Law</w:t>
      </w:r>
      <w:r>
        <w:rPr>
          <w:spacing w:val="-2"/>
        </w:rPr>
        <w:t xml:space="preserve"> </w:t>
      </w:r>
      <w:r>
        <w:rPr>
          <w:spacing w:val="-1"/>
        </w:rPr>
        <w:t>regarding</w:t>
      </w:r>
      <w:r>
        <w:rPr>
          <w:spacing w:val="3"/>
        </w:rPr>
        <w:t xml:space="preserve"> </w:t>
      </w:r>
      <w:r>
        <w:rPr>
          <w:spacing w:val="-1"/>
        </w:rPr>
        <w:t>health</w:t>
      </w:r>
      <w:r>
        <w:rPr>
          <w:spacing w:val="-2"/>
        </w:rPr>
        <w:t xml:space="preserve"> </w:t>
      </w:r>
      <w:r>
        <w:rPr>
          <w:spacing w:val="-1"/>
        </w:rPr>
        <w:t>and</w:t>
      </w:r>
      <w:r>
        <w:rPr>
          <w:spacing w:val="-2"/>
        </w:rPr>
        <w:t xml:space="preserve"> </w:t>
      </w:r>
      <w:r>
        <w:rPr>
          <w:spacing w:val="-1"/>
        </w:rPr>
        <w:t>safety;</w:t>
      </w:r>
      <w:r>
        <w:rPr>
          <w:spacing w:val="2"/>
        </w:rPr>
        <w:t xml:space="preserve"> </w:t>
      </w:r>
      <w:r>
        <w:rPr>
          <w:spacing w:val="-2"/>
        </w:rPr>
        <w:t>and</w:t>
      </w:r>
    </w:p>
    <w:p w:rsidR="008918FA" w:rsidRDefault="008918FA" w:rsidP="008918FA">
      <w:pPr>
        <w:pStyle w:val="BodyText"/>
        <w:numPr>
          <w:ilvl w:val="3"/>
          <w:numId w:val="66"/>
        </w:numPr>
        <w:tabs>
          <w:tab w:val="left" w:pos="2934"/>
        </w:tabs>
        <w:spacing w:before="121"/>
        <w:ind w:left="2934" w:right="117"/>
      </w:pPr>
      <w:r>
        <w:t>the</w:t>
      </w:r>
      <w:r>
        <w:rPr>
          <w:spacing w:val="53"/>
        </w:rPr>
        <w:t xml:space="preserve"> </w:t>
      </w:r>
      <w:r>
        <w:rPr>
          <w:spacing w:val="-1"/>
        </w:rPr>
        <w:t>Customer’s</w:t>
      </w:r>
      <w:r>
        <w:rPr>
          <w:spacing w:val="53"/>
        </w:rPr>
        <w:t xml:space="preserve"> </w:t>
      </w:r>
      <w:r>
        <w:rPr>
          <w:spacing w:val="-1"/>
        </w:rPr>
        <w:t>health</w:t>
      </w:r>
      <w:r>
        <w:rPr>
          <w:spacing w:val="53"/>
        </w:rPr>
        <w:t xml:space="preserve"> </w:t>
      </w:r>
      <w:r>
        <w:rPr>
          <w:spacing w:val="-1"/>
        </w:rPr>
        <w:t>and</w:t>
      </w:r>
      <w:r>
        <w:rPr>
          <w:spacing w:val="53"/>
        </w:rPr>
        <w:t xml:space="preserve"> </w:t>
      </w:r>
      <w:r>
        <w:rPr>
          <w:spacing w:val="-1"/>
        </w:rPr>
        <w:t>safety</w:t>
      </w:r>
      <w:r>
        <w:rPr>
          <w:spacing w:val="51"/>
        </w:rPr>
        <w:t xml:space="preserve"> </w:t>
      </w:r>
      <w:r>
        <w:rPr>
          <w:spacing w:val="-2"/>
        </w:rPr>
        <w:t>policy</w:t>
      </w:r>
      <w:r>
        <w:rPr>
          <w:spacing w:val="54"/>
        </w:rPr>
        <w:t xml:space="preserve"> </w:t>
      </w:r>
      <w:r>
        <w:rPr>
          <w:spacing w:val="-1"/>
        </w:rPr>
        <w:t>(as</w:t>
      </w:r>
      <w:r>
        <w:rPr>
          <w:spacing w:val="54"/>
        </w:rPr>
        <w:t xml:space="preserve"> </w:t>
      </w:r>
      <w:r>
        <w:rPr>
          <w:spacing w:val="-2"/>
        </w:rPr>
        <w:t>provided</w:t>
      </w:r>
      <w:r>
        <w:rPr>
          <w:spacing w:val="53"/>
        </w:rPr>
        <w:t xml:space="preserve"> </w:t>
      </w:r>
      <w:r>
        <w:t>to</w:t>
      </w:r>
      <w:r>
        <w:rPr>
          <w:spacing w:val="53"/>
        </w:rPr>
        <w:t xml:space="preserve"> </w:t>
      </w:r>
      <w:r>
        <w:rPr>
          <w:spacing w:val="-1"/>
        </w:rPr>
        <w:t>the</w:t>
      </w:r>
      <w:r>
        <w:rPr>
          <w:spacing w:val="52"/>
        </w:rPr>
        <w:t xml:space="preserve"> </w:t>
      </w:r>
      <w:r>
        <w:rPr>
          <w:spacing w:val="-2"/>
        </w:rPr>
        <w:t>Supplier</w:t>
      </w:r>
      <w:r>
        <w:rPr>
          <w:spacing w:val="-1"/>
        </w:rPr>
        <w:t xml:space="preserve"> </w:t>
      </w:r>
      <w:r>
        <w:t>from</w:t>
      </w:r>
      <w:r>
        <w:rPr>
          <w:spacing w:val="-1"/>
        </w:rPr>
        <w:t xml:space="preserve"> time</w:t>
      </w:r>
      <w:r>
        <w:rPr>
          <w:spacing w:val="-2"/>
        </w:rPr>
        <w:t xml:space="preserve"> </w:t>
      </w:r>
      <w:r>
        <w:t>to</w:t>
      </w:r>
      <w:r>
        <w:rPr>
          <w:spacing w:val="-2"/>
        </w:rPr>
        <w:t xml:space="preserve"> time)</w:t>
      </w:r>
      <w:r>
        <w:rPr>
          <w:spacing w:val="2"/>
        </w:rPr>
        <w:t xml:space="preserve"> </w:t>
      </w:r>
      <w:r>
        <w:rPr>
          <w:spacing w:val="-2"/>
        </w:rPr>
        <w:t>whilst</w:t>
      </w:r>
      <w:r>
        <w:rPr>
          <w:spacing w:val="2"/>
        </w:rPr>
        <w:t xml:space="preserve"> </w:t>
      </w:r>
      <w:r>
        <w:rPr>
          <w:spacing w:val="-1"/>
        </w:rPr>
        <w:t>at</w:t>
      </w:r>
      <w:r>
        <w:t xml:space="preserve"> the </w:t>
      </w:r>
      <w:r>
        <w:rPr>
          <w:spacing w:val="-2"/>
        </w:rPr>
        <w:t>Customer</w:t>
      </w:r>
      <w:r>
        <w:rPr>
          <w:spacing w:val="-1"/>
        </w:rPr>
        <w:t xml:space="preserve"> Premises.</w:t>
      </w:r>
    </w:p>
    <w:p w:rsidR="008918FA" w:rsidRDefault="008918FA" w:rsidP="008918FA">
      <w:pPr>
        <w:sectPr w:rsidR="008918FA">
          <w:pgSz w:w="11910" w:h="16840"/>
          <w:pgMar w:top="1480" w:right="1300" w:bottom="1180" w:left="1340" w:header="0" w:footer="967" w:gutter="0"/>
          <w:cols w:space="720"/>
        </w:sectPr>
      </w:pPr>
    </w:p>
    <w:p w:rsidR="008918FA" w:rsidRDefault="008918FA" w:rsidP="008918FA">
      <w:pPr>
        <w:pStyle w:val="BodyText"/>
        <w:numPr>
          <w:ilvl w:val="2"/>
          <w:numId w:val="66"/>
        </w:numPr>
        <w:tabs>
          <w:tab w:val="left" w:pos="2247"/>
        </w:tabs>
        <w:spacing w:before="59"/>
        <w:ind w:left="2246" w:right="113"/>
        <w:jc w:val="both"/>
      </w:pPr>
      <w:bookmarkStart w:id="305" w:name="47._ASSIGNMENT_AND_NOVATION"/>
      <w:bookmarkEnd w:id="305"/>
      <w:r>
        <w:rPr>
          <w:spacing w:val="-1"/>
        </w:rPr>
        <w:t>Each</w:t>
      </w:r>
      <w:r>
        <w:rPr>
          <w:spacing w:val="1"/>
        </w:rPr>
        <w:t xml:space="preserve"> </w:t>
      </w:r>
      <w:r>
        <w:rPr>
          <w:spacing w:val="-1"/>
        </w:rPr>
        <w:t>Party</w:t>
      </w:r>
      <w:r>
        <w:rPr>
          <w:spacing w:val="-2"/>
        </w:rPr>
        <w:t xml:space="preserve"> </w:t>
      </w:r>
      <w:r>
        <w:rPr>
          <w:spacing w:val="-1"/>
        </w:rPr>
        <w:t>shall</w:t>
      </w:r>
      <w:r>
        <w:t xml:space="preserve"> </w:t>
      </w:r>
      <w:r>
        <w:rPr>
          <w:spacing w:val="-1"/>
        </w:rPr>
        <w:t>promptly</w:t>
      </w:r>
      <w:r>
        <w:rPr>
          <w:spacing w:val="-2"/>
        </w:rPr>
        <w:t xml:space="preserve"> </w:t>
      </w:r>
      <w:r>
        <w:t>notify</w:t>
      </w:r>
      <w:r>
        <w:rPr>
          <w:spacing w:val="-2"/>
        </w:rPr>
        <w:t xml:space="preserve"> </w:t>
      </w:r>
      <w:r>
        <w:t xml:space="preserve">the </w:t>
      </w:r>
      <w:r>
        <w:rPr>
          <w:spacing w:val="-1"/>
        </w:rPr>
        <w:t>other</w:t>
      </w:r>
      <w:r>
        <w:rPr>
          <w:spacing w:val="2"/>
        </w:rPr>
        <w:t xml:space="preserve"> </w:t>
      </w:r>
      <w:r>
        <w:rPr>
          <w:spacing w:val="-2"/>
        </w:rPr>
        <w:t>of</w:t>
      </w:r>
      <w:r>
        <w:rPr>
          <w:spacing w:val="2"/>
        </w:rPr>
        <w:t xml:space="preserve"> </w:t>
      </w:r>
      <w:r>
        <w:rPr>
          <w:spacing w:val="-1"/>
        </w:rPr>
        <w:t>as</w:t>
      </w:r>
      <w:r>
        <w:rPr>
          <w:spacing w:val="1"/>
        </w:rPr>
        <w:t xml:space="preserve"> </w:t>
      </w:r>
      <w:r>
        <w:rPr>
          <w:spacing w:val="-2"/>
        </w:rPr>
        <w:t>soon</w:t>
      </w:r>
      <w:r>
        <w:t xml:space="preserve"> </w:t>
      </w:r>
      <w:r>
        <w:rPr>
          <w:spacing w:val="-1"/>
        </w:rPr>
        <w:t>as</w:t>
      </w:r>
      <w:r>
        <w:rPr>
          <w:spacing w:val="1"/>
        </w:rPr>
        <w:t xml:space="preserve"> </w:t>
      </w:r>
      <w:r>
        <w:rPr>
          <w:spacing w:val="-1"/>
        </w:rPr>
        <w:t>possible</w:t>
      </w:r>
      <w:r>
        <w:t xml:space="preserve"> </w:t>
      </w:r>
      <w:r>
        <w:rPr>
          <w:spacing w:val="-2"/>
        </w:rPr>
        <w:t>of</w:t>
      </w:r>
      <w:r>
        <w:rPr>
          <w:spacing w:val="4"/>
        </w:rPr>
        <w:t xml:space="preserve"> </w:t>
      </w:r>
      <w:r>
        <w:rPr>
          <w:spacing w:val="-1"/>
        </w:rPr>
        <w:t>any</w:t>
      </w:r>
      <w:r>
        <w:rPr>
          <w:spacing w:val="32"/>
        </w:rPr>
        <w:t xml:space="preserve"> </w:t>
      </w:r>
      <w:r>
        <w:rPr>
          <w:spacing w:val="-1"/>
        </w:rPr>
        <w:t>health</w:t>
      </w:r>
      <w:r>
        <w:t xml:space="preserve"> </w:t>
      </w:r>
      <w:r>
        <w:rPr>
          <w:spacing w:val="-1"/>
        </w:rPr>
        <w:t>and</w:t>
      </w:r>
      <w:r>
        <w:t xml:space="preserve"> safety</w:t>
      </w:r>
      <w:r>
        <w:rPr>
          <w:spacing w:val="-2"/>
        </w:rPr>
        <w:t xml:space="preserve"> </w:t>
      </w:r>
      <w:r>
        <w:rPr>
          <w:spacing w:val="-1"/>
        </w:rPr>
        <w:t>incidents</w:t>
      </w:r>
      <w:r>
        <w:rPr>
          <w:spacing w:val="1"/>
        </w:rPr>
        <w:t xml:space="preserve"> </w:t>
      </w:r>
      <w:r>
        <w:rPr>
          <w:spacing w:val="-1"/>
        </w:rPr>
        <w:t>or</w:t>
      </w:r>
      <w:r>
        <w:rPr>
          <w:spacing w:val="2"/>
        </w:rPr>
        <w:t xml:space="preserve"> </w:t>
      </w:r>
      <w:r>
        <w:rPr>
          <w:spacing w:val="-1"/>
        </w:rPr>
        <w:t>material</w:t>
      </w:r>
      <w:r>
        <w:t xml:space="preserve"> </w:t>
      </w:r>
      <w:r>
        <w:rPr>
          <w:spacing w:val="-1"/>
        </w:rPr>
        <w:t>health</w:t>
      </w:r>
      <w:r>
        <w:t xml:space="preserve"> </w:t>
      </w:r>
      <w:r>
        <w:rPr>
          <w:spacing w:val="-1"/>
        </w:rPr>
        <w:t>and</w:t>
      </w:r>
      <w:r>
        <w:rPr>
          <w:spacing w:val="3"/>
        </w:rPr>
        <w:t xml:space="preserve"> </w:t>
      </w:r>
      <w:r>
        <w:rPr>
          <w:spacing w:val="-1"/>
        </w:rPr>
        <w:t>safety</w:t>
      </w:r>
      <w:r>
        <w:rPr>
          <w:spacing w:val="-2"/>
        </w:rPr>
        <w:t xml:space="preserve"> </w:t>
      </w:r>
      <w:r>
        <w:rPr>
          <w:spacing w:val="-1"/>
        </w:rPr>
        <w:t>hazards</w:t>
      </w:r>
      <w:r>
        <w:rPr>
          <w:spacing w:val="1"/>
        </w:rPr>
        <w:t xml:space="preserve"> </w:t>
      </w:r>
      <w:r>
        <w:rPr>
          <w:spacing w:val="-1"/>
        </w:rPr>
        <w:t>at</w:t>
      </w:r>
      <w:r>
        <w:rPr>
          <w:spacing w:val="2"/>
        </w:rPr>
        <w:t xml:space="preserve"> </w:t>
      </w:r>
      <w:r>
        <w:rPr>
          <w:spacing w:val="-1"/>
        </w:rPr>
        <w:t>the</w:t>
      </w:r>
      <w:r>
        <w:rPr>
          <w:spacing w:val="46"/>
        </w:rPr>
        <w:t xml:space="preserve"> </w:t>
      </w:r>
      <w:r>
        <w:rPr>
          <w:spacing w:val="-1"/>
        </w:rPr>
        <w:t>Customer</w:t>
      </w:r>
      <w:r>
        <w:rPr>
          <w:spacing w:val="16"/>
        </w:rPr>
        <w:t xml:space="preserve"> </w:t>
      </w:r>
      <w:r>
        <w:rPr>
          <w:spacing w:val="-1"/>
        </w:rPr>
        <w:t>Premises</w:t>
      </w:r>
      <w:r>
        <w:rPr>
          <w:spacing w:val="16"/>
        </w:rPr>
        <w:t xml:space="preserve"> </w:t>
      </w:r>
      <w:r>
        <w:rPr>
          <w:spacing w:val="-2"/>
        </w:rPr>
        <w:t>of</w:t>
      </w:r>
      <w:r>
        <w:rPr>
          <w:spacing w:val="19"/>
        </w:rPr>
        <w:t xml:space="preserve"> </w:t>
      </w:r>
      <w:r>
        <w:rPr>
          <w:spacing w:val="-2"/>
        </w:rPr>
        <w:t>which</w:t>
      </w:r>
      <w:r>
        <w:rPr>
          <w:spacing w:val="15"/>
        </w:rPr>
        <w:t xml:space="preserve"> </w:t>
      </w:r>
      <w:r>
        <w:rPr>
          <w:spacing w:val="-1"/>
        </w:rPr>
        <w:t>it</w:t>
      </w:r>
      <w:r>
        <w:rPr>
          <w:spacing w:val="16"/>
        </w:rPr>
        <w:t xml:space="preserve"> </w:t>
      </w:r>
      <w:r>
        <w:rPr>
          <w:spacing w:val="-1"/>
        </w:rPr>
        <w:t>becomes</w:t>
      </w:r>
      <w:r>
        <w:rPr>
          <w:spacing w:val="15"/>
        </w:rPr>
        <w:t xml:space="preserve"> </w:t>
      </w:r>
      <w:r>
        <w:rPr>
          <w:spacing w:val="-2"/>
        </w:rPr>
        <w:t>aware</w:t>
      </w:r>
      <w:r>
        <w:rPr>
          <w:spacing w:val="15"/>
        </w:rPr>
        <w:t xml:space="preserve"> </w:t>
      </w:r>
      <w:r>
        <w:rPr>
          <w:spacing w:val="-1"/>
        </w:rPr>
        <w:t>and</w:t>
      </w:r>
      <w:r>
        <w:rPr>
          <w:spacing w:val="15"/>
        </w:rPr>
        <w:t xml:space="preserve"> </w:t>
      </w:r>
      <w:r>
        <w:rPr>
          <w:spacing w:val="-1"/>
        </w:rPr>
        <w:t>which</w:t>
      </w:r>
      <w:r>
        <w:rPr>
          <w:spacing w:val="15"/>
        </w:rPr>
        <w:t xml:space="preserve"> </w:t>
      </w:r>
      <w:r>
        <w:rPr>
          <w:spacing w:val="-1"/>
        </w:rPr>
        <w:t>relate</w:t>
      </w:r>
      <w:r>
        <w:rPr>
          <w:spacing w:val="15"/>
        </w:rPr>
        <w:t xml:space="preserve"> </w:t>
      </w:r>
      <w:r>
        <w:t>to</w:t>
      </w:r>
      <w:r>
        <w:rPr>
          <w:spacing w:val="15"/>
        </w:rPr>
        <w:t xml:space="preserve"> </w:t>
      </w:r>
      <w:r>
        <w:rPr>
          <w:spacing w:val="-1"/>
        </w:rPr>
        <w:t>or</w:t>
      </w:r>
      <w:r>
        <w:rPr>
          <w:spacing w:val="32"/>
        </w:rPr>
        <w:t xml:space="preserve"> </w:t>
      </w:r>
      <w:r>
        <w:rPr>
          <w:spacing w:val="-1"/>
        </w:rPr>
        <w:t>arise</w:t>
      </w:r>
      <w:r>
        <w:rPr>
          <w:spacing w:val="1"/>
        </w:rPr>
        <w:t xml:space="preserve"> </w:t>
      </w:r>
      <w:r>
        <w:rPr>
          <w:spacing w:val="-1"/>
        </w:rPr>
        <w:t>in</w:t>
      </w:r>
      <w:r>
        <w:t xml:space="preserve"> </w:t>
      </w:r>
      <w:r>
        <w:rPr>
          <w:spacing w:val="-1"/>
        </w:rPr>
        <w:t>connection</w:t>
      </w:r>
      <w:r>
        <w:t xml:space="preserve"> </w:t>
      </w:r>
      <w:r>
        <w:rPr>
          <w:spacing w:val="-2"/>
        </w:rPr>
        <w:t>with</w:t>
      </w:r>
      <w:r>
        <w:t xml:space="preserve"> </w:t>
      </w:r>
      <w:r>
        <w:rPr>
          <w:spacing w:val="-1"/>
        </w:rPr>
        <w:t>the</w:t>
      </w:r>
      <w:r>
        <w:t xml:space="preserve"> </w:t>
      </w:r>
      <w:r>
        <w:rPr>
          <w:spacing w:val="-1"/>
        </w:rPr>
        <w:t>performance</w:t>
      </w:r>
      <w:r>
        <w:rPr>
          <w:spacing w:val="1"/>
        </w:rPr>
        <w:t xml:space="preserve">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Contract</w:t>
      </w:r>
    </w:p>
    <w:p w:rsidR="008918FA" w:rsidRDefault="008918FA" w:rsidP="008918FA">
      <w:pPr>
        <w:pStyle w:val="BodyText"/>
        <w:numPr>
          <w:ilvl w:val="2"/>
          <w:numId w:val="66"/>
        </w:numPr>
        <w:tabs>
          <w:tab w:val="left" w:pos="2247"/>
        </w:tabs>
        <w:spacing w:before="121"/>
        <w:ind w:left="2246" w:right="112"/>
        <w:jc w:val="both"/>
      </w:pPr>
      <w:r>
        <w:rPr>
          <w:spacing w:val="-1"/>
        </w:rPr>
        <w:t>While</w:t>
      </w:r>
      <w:r>
        <w:rPr>
          <w:spacing w:val="27"/>
        </w:rPr>
        <w:t xml:space="preserve"> </w:t>
      </w:r>
      <w:r>
        <w:rPr>
          <w:spacing w:val="-1"/>
        </w:rPr>
        <w:t>on</w:t>
      </w:r>
      <w:r>
        <w:rPr>
          <w:spacing w:val="24"/>
        </w:rPr>
        <w:t xml:space="preserve"> </w:t>
      </w:r>
      <w:r>
        <w:t>the</w:t>
      </w:r>
      <w:r>
        <w:rPr>
          <w:spacing w:val="28"/>
        </w:rPr>
        <w:t xml:space="preserve"> </w:t>
      </w:r>
      <w:r>
        <w:rPr>
          <w:spacing w:val="-2"/>
        </w:rPr>
        <w:t>Customer</w:t>
      </w:r>
      <w:r>
        <w:rPr>
          <w:spacing w:val="26"/>
        </w:rPr>
        <w:t xml:space="preserve"> </w:t>
      </w:r>
      <w:r>
        <w:rPr>
          <w:spacing w:val="-1"/>
        </w:rPr>
        <w:t>Premises,</w:t>
      </w:r>
      <w:r>
        <w:rPr>
          <w:spacing w:val="26"/>
        </w:rPr>
        <w:t xml:space="preserve"> </w:t>
      </w:r>
      <w:r>
        <w:t>the</w:t>
      </w:r>
      <w:r>
        <w:rPr>
          <w:spacing w:val="27"/>
        </w:rPr>
        <w:t xml:space="preserve"> </w:t>
      </w:r>
      <w:r>
        <w:rPr>
          <w:spacing w:val="-2"/>
        </w:rPr>
        <w:t>Supplier</w:t>
      </w:r>
      <w:r>
        <w:rPr>
          <w:spacing w:val="26"/>
        </w:rPr>
        <w:t xml:space="preserve"> </w:t>
      </w:r>
      <w:r>
        <w:rPr>
          <w:spacing w:val="-1"/>
        </w:rPr>
        <w:t>shall</w:t>
      </w:r>
      <w:r>
        <w:rPr>
          <w:spacing w:val="26"/>
        </w:rPr>
        <w:t xml:space="preserve"> </w:t>
      </w:r>
      <w:r>
        <w:rPr>
          <w:spacing w:val="-1"/>
        </w:rPr>
        <w:t>comply</w:t>
      </w:r>
      <w:r>
        <w:rPr>
          <w:spacing w:val="27"/>
        </w:rPr>
        <w:t xml:space="preserve"> </w:t>
      </w:r>
      <w:r>
        <w:rPr>
          <w:spacing w:val="-2"/>
        </w:rPr>
        <w:t>with</w:t>
      </w:r>
      <w:r>
        <w:rPr>
          <w:spacing w:val="27"/>
        </w:rPr>
        <w:t xml:space="preserve"> </w:t>
      </w:r>
      <w:r>
        <w:rPr>
          <w:spacing w:val="-1"/>
        </w:rPr>
        <w:t>any</w:t>
      </w:r>
      <w:r>
        <w:rPr>
          <w:spacing w:val="56"/>
        </w:rPr>
        <w:t xml:space="preserve"> </w:t>
      </w:r>
      <w:r>
        <w:rPr>
          <w:spacing w:val="-1"/>
        </w:rPr>
        <w:t>health</w:t>
      </w:r>
      <w:r>
        <w:rPr>
          <w:spacing w:val="22"/>
        </w:rPr>
        <w:t xml:space="preserve"> </w:t>
      </w:r>
      <w:r>
        <w:rPr>
          <w:spacing w:val="-1"/>
        </w:rPr>
        <w:t>and</w:t>
      </w:r>
      <w:r>
        <w:rPr>
          <w:spacing w:val="22"/>
        </w:rPr>
        <w:t xml:space="preserve"> </w:t>
      </w:r>
      <w:r>
        <w:rPr>
          <w:spacing w:val="-1"/>
        </w:rPr>
        <w:t>safety</w:t>
      </w:r>
      <w:r>
        <w:rPr>
          <w:spacing w:val="20"/>
        </w:rPr>
        <w:t xml:space="preserve"> </w:t>
      </w:r>
      <w:r>
        <w:rPr>
          <w:spacing w:val="-1"/>
        </w:rPr>
        <w:t>measures</w:t>
      </w:r>
      <w:r>
        <w:rPr>
          <w:spacing w:val="22"/>
        </w:rPr>
        <w:t xml:space="preserve"> </w:t>
      </w:r>
      <w:r>
        <w:rPr>
          <w:spacing w:val="-1"/>
        </w:rPr>
        <w:t>implemented</w:t>
      </w:r>
      <w:r>
        <w:rPr>
          <w:spacing w:val="22"/>
        </w:rPr>
        <w:t xml:space="preserve"> </w:t>
      </w:r>
      <w:r>
        <w:rPr>
          <w:spacing w:val="-1"/>
        </w:rPr>
        <w:t>by</w:t>
      </w:r>
      <w:r>
        <w:rPr>
          <w:spacing w:val="20"/>
        </w:rPr>
        <w:t xml:space="preserve"> </w:t>
      </w:r>
      <w:r>
        <w:t>the</w:t>
      </w:r>
      <w:r>
        <w:rPr>
          <w:spacing w:val="22"/>
        </w:rPr>
        <w:t xml:space="preserve"> </w:t>
      </w:r>
      <w:r>
        <w:rPr>
          <w:spacing w:val="-1"/>
        </w:rPr>
        <w:t>Customer</w:t>
      </w:r>
      <w:r>
        <w:rPr>
          <w:spacing w:val="23"/>
        </w:rPr>
        <w:t xml:space="preserve"> </w:t>
      </w:r>
      <w:r>
        <w:rPr>
          <w:spacing w:val="-1"/>
        </w:rPr>
        <w:t>in</w:t>
      </w:r>
      <w:r>
        <w:rPr>
          <w:spacing w:val="22"/>
        </w:rPr>
        <w:t xml:space="preserve"> </w:t>
      </w:r>
      <w:r>
        <w:rPr>
          <w:spacing w:val="-1"/>
        </w:rPr>
        <w:t>respect</w:t>
      </w:r>
      <w:r>
        <w:rPr>
          <w:spacing w:val="32"/>
        </w:rPr>
        <w:t xml:space="preserve"> </w:t>
      </w:r>
      <w:r>
        <w:rPr>
          <w:spacing w:val="-2"/>
        </w:rPr>
        <w:t>of</w:t>
      </w:r>
      <w:r>
        <w:rPr>
          <w:spacing w:val="27"/>
        </w:rPr>
        <w:t xml:space="preserve"> </w:t>
      </w:r>
      <w:r>
        <w:rPr>
          <w:spacing w:val="-2"/>
        </w:rPr>
        <w:t>Supplier</w:t>
      </w:r>
      <w:r>
        <w:rPr>
          <w:spacing w:val="24"/>
        </w:rPr>
        <w:t xml:space="preserve"> </w:t>
      </w:r>
      <w:r>
        <w:rPr>
          <w:spacing w:val="-1"/>
        </w:rPr>
        <w:t>Personnel</w:t>
      </w:r>
      <w:r>
        <w:rPr>
          <w:spacing w:val="21"/>
        </w:rPr>
        <w:t xml:space="preserve"> </w:t>
      </w:r>
      <w:r>
        <w:rPr>
          <w:spacing w:val="-1"/>
        </w:rPr>
        <w:t>and</w:t>
      </w:r>
      <w:r>
        <w:rPr>
          <w:spacing w:val="23"/>
        </w:rPr>
        <w:t xml:space="preserve"> </w:t>
      </w:r>
      <w:r>
        <w:rPr>
          <w:spacing w:val="-1"/>
        </w:rPr>
        <w:t>other</w:t>
      </w:r>
      <w:r>
        <w:rPr>
          <w:spacing w:val="22"/>
        </w:rPr>
        <w:t xml:space="preserve"> </w:t>
      </w:r>
      <w:r>
        <w:rPr>
          <w:spacing w:val="-1"/>
        </w:rPr>
        <w:t>persons</w:t>
      </w:r>
      <w:r>
        <w:rPr>
          <w:spacing w:val="24"/>
        </w:rPr>
        <w:t xml:space="preserve"> </w:t>
      </w:r>
      <w:r>
        <w:rPr>
          <w:spacing w:val="-2"/>
        </w:rPr>
        <w:t>working</w:t>
      </w:r>
      <w:r>
        <w:rPr>
          <w:spacing w:val="23"/>
        </w:rPr>
        <w:t xml:space="preserve"> </w:t>
      </w:r>
      <w:r>
        <w:rPr>
          <w:spacing w:val="-1"/>
        </w:rPr>
        <w:t>there</w:t>
      </w:r>
      <w:r>
        <w:rPr>
          <w:spacing w:val="22"/>
        </w:rPr>
        <w:t xml:space="preserve"> </w:t>
      </w:r>
      <w:r>
        <w:rPr>
          <w:spacing w:val="-1"/>
        </w:rPr>
        <w:t>and</w:t>
      </w:r>
      <w:r>
        <w:rPr>
          <w:spacing w:val="23"/>
        </w:rPr>
        <w:t xml:space="preserve"> </w:t>
      </w:r>
      <w:r>
        <w:rPr>
          <w:spacing w:val="-1"/>
        </w:rPr>
        <w:t>any</w:t>
      </w:r>
      <w:r>
        <w:rPr>
          <w:spacing w:val="50"/>
        </w:rPr>
        <w:t xml:space="preserve"> </w:t>
      </w:r>
      <w:r>
        <w:rPr>
          <w:spacing w:val="-1"/>
        </w:rPr>
        <w:t>instructions</w:t>
      </w:r>
      <w:r>
        <w:rPr>
          <w:spacing w:val="44"/>
        </w:rPr>
        <w:t xml:space="preserve"> </w:t>
      </w:r>
      <w:r>
        <w:t>from</w:t>
      </w:r>
      <w:r>
        <w:rPr>
          <w:spacing w:val="47"/>
        </w:rPr>
        <w:t xml:space="preserve"> </w:t>
      </w:r>
      <w:r>
        <w:t>the</w:t>
      </w:r>
      <w:r>
        <w:rPr>
          <w:spacing w:val="46"/>
        </w:rPr>
        <w:t xml:space="preserve"> </w:t>
      </w:r>
      <w:r>
        <w:rPr>
          <w:spacing w:val="-1"/>
        </w:rPr>
        <w:t>Customer</w:t>
      </w:r>
      <w:r>
        <w:rPr>
          <w:spacing w:val="47"/>
        </w:rPr>
        <w:t xml:space="preserve"> </w:t>
      </w:r>
      <w:r>
        <w:rPr>
          <w:spacing w:val="-1"/>
        </w:rPr>
        <w:t>on</w:t>
      </w:r>
      <w:r>
        <w:rPr>
          <w:spacing w:val="46"/>
        </w:rPr>
        <w:t xml:space="preserve"> </w:t>
      </w:r>
      <w:r>
        <w:rPr>
          <w:spacing w:val="-1"/>
        </w:rPr>
        <w:t>any</w:t>
      </w:r>
      <w:r>
        <w:rPr>
          <w:spacing w:val="44"/>
        </w:rPr>
        <w:t xml:space="preserve"> </w:t>
      </w:r>
      <w:r>
        <w:rPr>
          <w:spacing w:val="-1"/>
        </w:rPr>
        <w:t>necessary</w:t>
      </w:r>
      <w:r>
        <w:rPr>
          <w:spacing w:val="45"/>
        </w:rPr>
        <w:t xml:space="preserve"> </w:t>
      </w:r>
      <w:r>
        <w:rPr>
          <w:spacing w:val="-1"/>
        </w:rPr>
        <w:t>associated</w:t>
      </w:r>
      <w:r>
        <w:rPr>
          <w:spacing w:val="46"/>
        </w:rPr>
        <w:t xml:space="preserve"> </w:t>
      </w:r>
      <w:r>
        <w:t>safety</w:t>
      </w:r>
      <w:r>
        <w:rPr>
          <w:spacing w:val="27"/>
        </w:rPr>
        <w:t xml:space="preserve"> </w:t>
      </w:r>
      <w:r>
        <w:rPr>
          <w:spacing w:val="-1"/>
        </w:rPr>
        <w:t>measures.</w:t>
      </w:r>
    </w:p>
    <w:p w:rsidR="008918FA" w:rsidRDefault="008918FA" w:rsidP="008918FA">
      <w:pPr>
        <w:pStyle w:val="Heading1"/>
        <w:numPr>
          <w:ilvl w:val="1"/>
          <w:numId w:val="66"/>
        </w:numPr>
        <w:tabs>
          <w:tab w:val="left" w:pos="1253"/>
        </w:tabs>
        <w:spacing w:before="119"/>
        <w:ind w:left="1252" w:hanging="564"/>
        <w:rPr>
          <w:b w:val="0"/>
          <w:bCs w:val="0"/>
        </w:rPr>
      </w:pPr>
      <w:r>
        <w:rPr>
          <w:spacing w:val="-1"/>
        </w:rPr>
        <w:t>Equality</w:t>
      </w:r>
      <w:r>
        <w:rPr>
          <w:spacing w:val="-4"/>
        </w:rPr>
        <w:t xml:space="preserve"> </w:t>
      </w:r>
      <w:r>
        <w:rPr>
          <w:spacing w:val="-1"/>
        </w:rPr>
        <w:t>and</w:t>
      </w:r>
      <w:r>
        <w:t xml:space="preserve"> </w:t>
      </w:r>
      <w:r>
        <w:rPr>
          <w:spacing w:val="-1"/>
        </w:rPr>
        <w:t>Diversity</w:t>
      </w:r>
    </w:p>
    <w:p w:rsidR="008918FA" w:rsidRDefault="008918FA" w:rsidP="008918FA">
      <w:pPr>
        <w:rPr>
          <w:rFonts w:ascii="Arial" w:eastAsia="Arial" w:hAnsi="Arial" w:cs="Arial"/>
          <w:b/>
          <w:bCs/>
        </w:rPr>
      </w:pPr>
    </w:p>
    <w:p w:rsidR="008918FA" w:rsidRDefault="008918FA" w:rsidP="008918FA">
      <w:pPr>
        <w:spacing w:before="11"/>
        <w:rPr>
          <w:rFonts w:ascii="Arial" w:eastAsia="Arial" w:hAnsi="Arial" w:cs="Arial"/>
          <w:b/>
          <w:bCs/>
          <w:sz w:val="20"/>
          <w:szCs w:val="20"/>
        </w:rPr>
      </w:pPr>
    </w:p>
    <w:p w:rsidR="008918FA" w:rsidRDefault="008918FA" w:rsidP="008918FA">
      <w:pPr>
        <w:pStyle w:val="BodyText"/>
        <w:numPr>
          <w:ilvl w:val="2"/>
          <w:numId w:val="66"/>
        </w:numPr>
        <w:tabs>
          <w:tab w:val="left" w:pos="2247"/>
        </w:tabs>
        <w:spacing w:before="0"/>
        <w:ind w:left="2246"/>
      </w:pPr>
      <w:r>
        <w:t>The</w:t>
      </w:r>
      <w:r>
        <w:rPr>
          <w:spacing w:val="-2"/>
        </w:rPr>
        <w:t xml:space="preserve"> Supplier</w:t>
      </w:r>
      <w:r>
        <w:rPr>
          <w:spacing w:val="2"/>
        </w:rPr>
        <w:t xml:space="preserve"> </w:t>
      </w:r>
      <w:r>
        <w:rPr>
          <w:spacing w:val="-1"/>
        </w:rPr>
        <w:t>shall:</w:t>
      </w:r>
    </w:p>
    <w:p w:rsidR="008918FA" w:rsidRDefault="008918FA" w:rsidP="008918FA">
      <w:pPr>
        <w:pStyle w:val="BodyText"/>
        <w:numPr>
          <w:ilvl w:val="3"/>
          <w:numId w:val="66"/>
        </w:numPr>
        <w:tabs>
          <w:tab w:val="left" w:pos="2955"/>
        </w:tabs>
        <w:spacing w:before="121"/>
        <w:ind w:left="2954" w:right="115"/>
        <w:jc w:val="both"/>
      </w:pPr>
      <w:r>
        <w:rPr>
          <w:spacing w:val="-1"/>
        </w:rPr>
        <w:t>perform</w:t>
      </w:r>
      <w:r>
        <w:rPr>
          <w:spacing w:val="42"/>
        </w:rPr>
        <w:t xml:space="preserve"> </w:t>
      </w:r>
      <w:r>
        <w:rPr>
          <w:spacing w:val="-1"/>
        </w:rPr>
        <w:t>its</w:t>
      </w:r>
      <w:r>
        <w:rPr>
          <w:spacing w:val="41"/>
        </w:rPr>
        <w:t xml:space="preserve"> </w:t>
      </w:r>
      <w:r>
        <w:rPr>
          <w:spacing w:val="-1"/>
        </w:rPr>
        <w:t>obligations</w:t>
      </w:r>
      <w:r>
        <w:rPr>
          <w:spacing w:val="39"/>
        </w:rPr>
        <w:t xml:space="preserve"> </w:t>
      </w:r>
      <w:r>
        <w:rPr>
          <w:spacing w:val="-1"/>
        </w:rPr>
        <w:t>under</w:t>
      </w:r>
      <w:r>
        <w:rPr>
          <w:spacing w:val="42"/>
        </w:rPr>
        <w:t xml:space="preserve"> </w:t>
      </w:r>
      <w:r>
        <w:rPr>
          <w:spacing w:val="-1"/>
        </w:rPr>
        <w:t>this</w:t>
      </w:r>
      <w:r>
        <w:rPr>
          <w:spacing w:val="41"/>
        </w:rPr>
        <w:t xml:space="preserve"> </w:t>
      </w:r>
      <w:r>
        <w:rPr>
          <w:spacing w:val="-2"/>
        </w:rPr>
        <w:t>Call</w:t>
      </w:r>
      <w:r>
        <w:rPr>
          <w:spacing w:val="40"/>
        </w:rPr>
        <w:t xml:space="preserve"> </w:t>
      </w:r>
      <w:r>
        <w:t>Off</w:t>
      </w:r>
      <w:r>
        <w:rPr>
          <w:spacing w:val="46"/>
        </w:rPr>
        <w:t xml:space="preserve"> </w:t>
      </w:r>
      <w:r>
        <w:rPr>
          <w:spacing w:val="-1"/>
        </w:rPr>
        <w:t>Contract</w:t>
      </w:r>
      <w:r>
        <w:rPr>
          <w:spacing w:val="42"/>
        </w:rPr>
        <w:t xml:space="preserve"> </w:t>
      </w:r>
      <w:r>
        <w:rPr>
          <w:spacing w:val="-2"/>
        </w:rPr>
        <w:t>(including</w:t>
      </w:r>
      <w:r>
        <w:rPr>
          <w:spacing w:val="52"/>
        </w:rPr>
        <w:t xml:space="preserve"> </w:t>
      </w:r>
      <w:r>
        <w:rPr>
          <w:spacing w:val="-1"/>
        </w:rPr>
        <w:t>those</w:t>
      </w:r>
      <w:r>
        <w:rPr>
          <w:spacing w:val="25"/>
        </w:rPr>
        <w:t xml:space="preserve"> </w:t>
      </w:r>
      <w:r>
        <w:rPr>
          <w:spacing w:val="-1"/>
        </w:rPr>
        <w:t>in</w:t>
      </w:r>
      <w:r>
        <w:rPr>
          <w:spacing w:val="24"/>
        </w:rPr>
        <w:t xml:space="preserve"> </w:t>
      </w:r>
      <w:r>
        <w:rPr>
          <w:spacing w:val="-1"/>
        </w:rPr>
        <w:t>relation</w:t>
      </w:r>
      <w:r>
        <w:rPr>
          <w:spacing w:val="24"/>
        </w:rPr>
        <w:t xml:space="preserve"> </w:t>
      </w:r>
      <w:r>
        <w:t>to</w:t>
      </w:r>
      <w:r>
        <w:rPr>
          <w:spacing w:val="24"/>
        </w:rPr>
        <w:t xml:space="preserve"> </w:t>
      </w:r>
      <w:r>
        <w:rPr>
          <w:spacing w:val="-1"/>
        </w:rPr>
        <w:t>provision</w:t>
      </w:r>
      <w:r>
        <w:rPr>
          <w:spacing w:val="24"/>
        </w:rPr>
        <w:t xml:space="preserve"> </w:t>
      </w:r>
      <w:r>
        <w:rPr>
          <w:spacing w:val="-1"/>
        </w:rPr>
        <w:t>of</w:t>
      </w:r>
      <w:r>
        <w:rPr>
          <w:spacing w:val="28"/>
        </w:rPr>
        <w:t xml:space="preserve"> </w:t>
      </w:r>
      <w:r>
        <w:t>the</w:t>
      </w:r>
      <w:r>
        <w:rPr>
          <w:spacing w:val="24"/>
        </w:rPr>
        <w:t xml:space="preserve"> </w:t>
      </w:r>
      <w:r>
        <w:rPr>
          <w:spacing w:val="-1"/>
        </w:rPr>
        <w:t>Goods</w:t>
      </w:r>
      <w:r>
        <w:rPr>
          <w:spacing w:val="25"/>
        </w:rPr>
        <w:t xml:space="preserve"> </w:t>
      </w:r>
      <w:r>
        <w:rPr>
          <w:spacing w:val="-1"/>
        </w:rPr>
        <w:t>and/or</w:t>
      </w:r>
      <w:r>
        <w:rPr>
          <w:spacing w:val="26"/>
        </w:rPr>
        <w:t xml:space="preserve"> </w:t>
      </w:r>
      <w:r>
        <w:rPr>
          <w:spacing w:val="-1"/>
        </w:rPr>
        <w:t>Services)</w:t>
      </w:r>
      <w:r>
        <w:rPr>
          <w:spacing w:val="26"/>
        </w:rPr>
        <w:t xml:space="preserve"> </w:t>
      </w:r>
      <w:r>
        <w:rPr>
          <w:spacing w:val="-2"/>
        </w:rPr>
        <w:t>in</w:t>
      </w:r>
      <w:r>
        <w:rPr>
          <w:spacing w:val="27"/>
        </w:rPr>
        <w:t xml:space="preserve"> </w:t>
      </w:r>
      <w:r>
        <w:rPr>
          <w:spacing w:val="-1"/>
        </w:rPr>
        <w:t>accordance</w:t>
      </w:r>
      <w:r>
        <w:rPr>
          <w:spacing w:val="-2"/>
        </w:rPr>
        <w:t xml:space="preserve"> with:</w:t>
      </w:r>
    </w:p>
    <w:p w:rsidR="008918FA" w:rsidRDefault="008918FA" w:rsidP="008918FA">
      <w:pPr>
        <w:pStyle w:val="BodyText"/>
        <w:numPr>
          <w:ilvl w:val="4"/>
          <w:numId w:val="66"/>
        </w:numPr>
        <w:tabs>
          <w:tab w:val="left" w:pos="3523"/>
        </w:tabs>
        <w:ind w:left="3522" w:right="115" w:hanging="568"/>
        <w:jc w:val="both"/>
      </w:pPr>
      <w:r>
        <w:rPr>
          <w:spacing w:val="-1"/>
        </w:rPr>
        <w:t>all</w:t>
      </w:r>
      <w:r>
        <w:rPr>
          <w:spacing w:val="43"/>
        </w:rPr>
        <w:t xml:space="preserve"> </w:t>
      </w:r>
      <w:r>
        <w:rPr>
          <w:spacing w:val="-1"/>
        </w:rPr>
        <w:t>applicable</w:t>
      </w:r>
      <w:r>
        <w:rPr>
          <w:spacing w:val="46"/>
        </w:rPr>
        <w:t xml:space="preserve"> </w:t>
      </w:r>
      <w:r>
        <w:rPr>
          <w:spacing w:val="-1"/>
        </w:rPr>
        <w:t>equality</w:t>
      </w:r>
      <w:r>
        <w:rPr>
          <w:spacing w:val="41"/>
        </w:rPr>
        <w:t xml:space="preserve"> </w:t>
      </w:r>
      <w:r>
        <w:t>Law</w:t>
      </w:r>
      <w:r>
        <w:rPr>
          <w:spacing w:val="43"/>
        </w:rPr>
        <w:t xml:space="preserve"> </w:t>
      </w:r>
      <w:r>
        <w:rPr>
          <w:spacing w:val="-1"/>
        </w:rPr>
        <w:t>(whether</w:t>
      </w:r>
      <w:r>
        <w:rPr>
          <w:spacing w:val="45"/>
        </w:rPr>
        <w:t xml:space="preserve"> </w:t>
      </w:r>
      <w:r>
        <w:rPr>
          <w:spacing w:val="-1"/>
        </w:rPr>
        <w:t>in</w:t>
      </w:r>
      <w:r>
        <w:rPr>
          <w:spacing w:val="46"/>
        </w:rPr>
        <w:t xml:space="preserve"> </w:t>
      </w:r>
      <w:r>
        <w:rPr>
          <w:spacing w:val="-1"/>
        </w:rPr>
        <w:t>relation</w:t>
      </w:r>
      <w:r>
        <w:rPr>
          <w:spacing w:val="44"/>
        </w:rPr>
        <w:t xml:space="preserve"> </w:t>
      </w:r>
      <w:r>
        <w:t>to</w:t>
      </w:r>
      <w:r>
        <w:rPr>
          <w:spacing w:val="43"/>
        </w:rPr>
        <w:t xml:space="preserve"> </w:t>
      </w:r>
      <w:r>
        <w:rPr>
          <w:spacing w:val="-1"/>
        </w:rPr>
        <w:t>race,</w:t>
      </w:r>
      <w:r>
        <w:rPr>
          <w:spacing w:val="29"/>
        </w:rPr>
        <w:t xml:space="preserve"> </w:t>
      </w:r>
      <w:r>
        <w:rPr>
          <w:spacing w:val="-1"/>
        </w:rPr>
        <w:t>sex,</w:t>
      </w:r>
      <w:r>
        <w:rPr>
          <w:spacing w:val="8"/>
        </w:rPr>
        <w:t xml:space="preserve"> </w:t>
      </w:r>
      <w:r>
        <w:rPr>
          <w:spacing w:val="-1"/>
        </w:rPr>
        <w:t>gender</w:t>
      </w:r>
      <w:r>
        <w:rPr>
          <w:spacing w:val="8"/>
        </w:rPr>
        <w:t xml:space="preserve"> </w:t>
      </w:r>
      <w:r>
        <w:rPr>
          <w:spacing w:val="-1"/>
        </w:rPr>
        <w:t>reassignment,</w:t>
      </w:r>
      <w:r>
        <w:rPr>
          <w:spacing w:val="8"/>
        </w:rPr>
        <w:t xml:space="preserve"> </w:t>
      </w:r>
      <w:r>
        <w:rPr>
          <w:spacing w:val="-1"/>
        </w:rPr>
        <w:t>religion</w:t>
      </w:r>
      <w:r>
        <w:rPr>
          <w:spacing w:val="6"/>
        </w:rPr>
        <w:t xml:space="preserve"> </w:t>
      </w:r>
      <w:r>
        <w:rPr>
          <w:spacing w:val="-1"/>
        </w:rPr>
        <w:t>or</w:t>
      </w:r>
      <w:r>
        <w:rPr>
          <w:spacing w:val="8"/>
        </w:rPr>
        <w:t xml:space="preserve"> </w:t>
      </w:r>
      <w:r>
        <w:rPr>
          <w:spacing w:val="-1"/>
        </w:rPr>
        <w:t>belief,</w:t>
      </w:r>
      <w:r>
        <w:rPr>
          <w:spacing w:val="8"/>
        </w:rPr>
        <w:t xml:space="preserve"> </w:t>
      </w:r>
      <w:r>
        <w:rPr>
          <w:spacing w:val="-1"/>
        </w:rPr>
        <w:t>disability,</w:t>
      </w:r>
      <w:r>
        <w:rPr>
          <w:spacing w:val="29"/>
        </w:rPr>
        <w:t xml:space="preserve"> </w:t>
      </w:r>
      <w:r>
        <w:rPr>
          <w:spacing w:val="-1"/>
        </w:rPr>
        <w:t>sexual</w:t>
      </w:r>
      <w:r>
        <w:rPr>
          <w:spacing w:val="15"/>
        </w:rPr>
        <w:t xml:space="preserve"> </w:t>
      </w:r>
      <w:r>
        <w:rPr>
          <w:spacing w:val="-1"/>
        </w:rPr>
        <w:t>orientation,</w:t>
      </w:r>
      <w:r>
        <w:rPr>
          <w:spacing w:val="18"/>
        </w:rPr>
        <w:t xml:space="preserve"> </w:t>
      </w:r>
      <w:r>
        <w:rPr>
          <w:spacing w:val="-1"/>
        </w:rPr>
        <w:t>pregnancy,</w:t>
      </w:r>
      <w:r>
        <w:rPr>
          <w:spacing w:val="15"/>
        </w:rPr>
        <w:t xml:space="preserve"> </w:t>
      </w:r>
      <w:r>
        <w:rPr>
          <w:spacing w:val="-1"/>
        </w:rPr>
        <w:t>maternity,</w:t>
      </w:r>
      <w:r>
        <w:rPr>
          <w:spacing w:val="15"/>
        </w:rPr>
        <w:t xml:space="preserve"> </w:t>
      </w:r>
      <w:r>
        <w:t>age</w:t>
      </w:r>
      <w:r>
        <w:rPr>
          <w:spacing w:val="17"/>
        </w:rPr>
        <w:t xml:space="preserve"> </w:t>
      </w:r>
      <w:r>
        <w:rPr>
          <w:spacing w:val="-3"/>
        </w:rPr>
        <w:t>or</w:t>
      </w:r>
      <w:r>
        <w:rPr>
          <w:spacing w:val="27"/>
        </w:rPr>
        <w:t xml:space="preserve"> </w:t>
      </w:r>
      <w:r>
        <w:rPr>
          <w:spacing w:val="-1"/>
        </w:rPr>
        <w:t>otherwise);</w:t>
      </w:r>
      <w:r>
        <w:rPr>
          <w:spacing w:val="2"/>
        </w:rPr>
        <w:t xml:space="preserve"> </w:t>
      </w:r>
      <w:r>
        <w:rPr>
          <w:spacing w:val="-1"/>
        </w:rPr>
        <w:t>and</w:t>
      </w:r>
    </w:p>
    <w:p w:rsidR="008918FA" w:rsidRDefault="008918FA" w:rsidP="008918FA">
      <w:pPr>
        <w:pStyle w:val="BodyText"/>
        <w:numPr>
          <w:ilvl w:val="4"/>
          <w:numId w:val="66"/>
        </w:numPr>
        <w:tabs>
          <w:tab w:val="left" w:pos="3523"/>
        </w:tabs>
        <w:spacing w:before="121"/>
        <w:ind w:left="3522" w:right="114" w:hanging="568"/>
        <w:jc w:val="both"/>
      </w:pPr>
      <w:r>
        <w:rPr>
          <w:spacing w:val="-1"/>
        </w:rPr>
        <w:t>any</w:t>
      </w:r>
      <w:r>
        <w:rPr>
          <w:spacing w:val="8"/>
        </w:rPr>
        <w:t xml:space="preserve"> </w:t>
      </w:r>
      <w:r>
        <w:rPr>
          <w:spacing w:val="-1"/>
        </w:rPr>
        <w:t>other</w:t>
      </w:r>
      <w:r>
        <w:rPr>
          <w:spacing w:val="9"/>
        </w:rPr>
        <w:t xml:space="preserve"> </w:t>
      </w:r>
      <w:r>
        <w:rPr>
          <w:spacing w:val="-1"/>
        </w:rPr>
        <w:t>requirements</w:t>
      </w:r>
      <w:r>
        <w:rPr>
          <w:spacing w:val="10"/>
        </w:rPr>
        <w:t xml:space="preserve"> </w:t>
      </w:r>
      <w:r>
        <w:rPr>
          <w:spacing w:val="-1"/>
        </w:rPr>
        <w:t>and</w:t>
      </w:r>
      <w:r>
        <w:rPr>
          <w:spacing w:val="10"/>
        </w:rPr>
        <w:t xml:space="preserve"> </w:t>
      </w:r>
      <w:r>
        <w:rPr>
          <w:spacing w:val="-1"/>
        </w:rPr>
        <w:t>instructions</w:t>
      </w:r>
      <w:r>
        <w:rPr>
          <w:spacing w:val="10"/>
        </w:rPr>
        <w:t xml:space="preserve"> </w:t>
      </w:r>
      <w:r>
        <w:rPr>
          <w:spacing w:val="-2"/>
        </w:rPr>
        <w:t>which</w:t>
      </w:r>
      <w:r>
        <w:rPr>
          <w:spacing w:val="10"/>
        </w:rPr>
        <w:t xml:space="preserve"> </w:t>
      </w:r>
      <w:r>
        <w:rPr>
          <w:spacing w:val="-1"/>
        </w:rPr>
        <w:t>the</w:t>
      </w:r>
      <w:r>
        <w:rPr>
          <w:spacing w:val="20"/>
        </w:rPr>
        <w:t xml:space="preserve"> </w:t>
      </w:r>
      <w:r>
        <w:rPr>
          <w:spacing w:val="-1"/>
        </w:rPr>
        <w:t>Customer</w:t>
      </w:r>
      <w:r>
        <w:rPr>
          <w:spacing w:val="15"/>
        </w:rPr>
        <w:t xml:space="preserve"> </w:t>
      </w:r>
      <w:r>
        <w:rPr>
          <w:spacing w:val="-1"/>
        </w:rPr>
        <w:t>reasonably</w:t>
      </w:r>
      <w:r>
        <w:rPr>
          <w:spacing w:val="12"/>
        </w:rPr>
        <w:t xml:space="preserve"> </w:t>
      </w:r>
      <w:r>
        <w:rPr>
          <w:spacing w:val="-1"/>
        </w:rPr>
        <w:t>imposes</w:t>
      </w:r>
      <w:r>
        <w:rPr>
          <w:spacing w:val="14"/>
        </w:rPr>
        <w:t xml:space="preserve"> </w:t>
      </w:r>
      <w:r>
        <w:rPr>
          <w:spacing w:val="-1"/>
        </w:rPr>
        <w:t>in</w:t>
      </w:r>
      <w:r>
        <w:rPr>
          <w:spacing w:val="13"/>
        </w:rPr>
        <w:t xml:space="preserve"> </w:t>
      </w:r>
      <w:r>
        <w:rPr>
          <w:spacing w:val="-1"/>
        </w:rPr>
        <w:t>connection</w:t>
      </w:r>
      <w:r>
        <w:rPr>
          <w:spacing w:val="11"/>
        </w:rPr>
        <w:t xml:space="preserve"> </w:t>
      </w:r>
      <w:r>
        <w:rPr>
          <w:spacing w:val="-1"/>
        </w:rPr>
        <w:t>with</w:t>
      </w:r>
      <w:r>
        <w:rPr>
          <w:spacing w:val="14"/>
        </w:rPr>
        <w:t xml:space="preserve"> </w:t>
      </w:r>
      <w:r>
        <w:rPr>
          <w:spacing w:val="-1"/>
        </w:rPr>
        <w:t>any</w:t>
      </w:r>
      <w:r>
        <w:rPr>
          <w:spacing w:val="28"/>
        </w:rPr>
        <w:t xml:space="preserve"> </w:t>
      </w:r>
      <w:r>
        <w:rPr>
          <w:spacing w:val="-1"/>
        </w:rPr>
        <w:t>equality</w:t>
      </w:r>
      <w:r>
        <w:rPr>
          <w:spacing w:val="5"/>
        </w:rPr>
        <w:t xml:space="preserve"> </w:t>
      </w:r>
      <w:r>
        <w:rPr>
          <w:spacing w:val="-1"/>
        </w:rPr>
        <w:t>obligations</w:t>
      </w:r>
      <w:r>
        <w:rPr>
          <w:spacing w:val="5"/>
        </w:rPr>
        <w:t xml:space="preserve"> </w:t>
      </w:r>
      <w:r>
        <w:rPr>
          <w:spacing w:val="-1"/>
        </w:rPr>
        <w:t>imposed</w:t>
      </w:r>
      <w:r>
        <w:rPr>
          <w:spacing w:val="7"/>
        </w:rPr>
        <w:t xml:space="preserve"> </w:t>
      </w:r>
      <w:r>
        <w:rPr>
          <w:spacing w:val="-1"/>
        </w:rPr>
        <w:t>on</w:t>
      </w:r>
      <w:r>
        <w:rPr>
          <w:spacing w:val="5"/>
        </w:rPr>
        <w:t xml:space="preserve"> </w:t>
      </w:r>
      <w:r>
        <w:t>the</w:t>
      </w:r>
      <w:r>
        <w:rPr>
          <w:spacing w:val="7"/>
        </w:rPr>
        <w:t xml:space="preserve"> </w:t>
      </w:r>
      <w:r>
        <w:rPr>
          <w:spacing w:val="-2"/>
        </w:rPr>
        <w:t>Customer</w:t>
      </w:r>
      <w:r>
        <w:rPr>
          <w:spacing w:val="9"/>
        </w:rPr>
        <w:t xml:space="preserve"> </w:t>
      </w:r>
      <w:r>
        <w:rPr>
          <w:spacing w:val="-2"/>
        </w:rPr>
        <w:t>at</w:t>
      </w:r>
      <w:r>
        <w:rPr>
          <w:spacing w:val="7"/>
        </w:rPr>
        <w:t xml:space="preserve"> </w:t>
      </w:r>
      <w:r>
        <w:rPr>
          <w:spacing w:val="-1"/>
        </w:rPr>
        <w:t>any</w:t>
      </w:r>
      <w:r>
        <w:rPr>
          <w:spacing w:val="5"/>
        </w:rPr>
        <w:t xml:space="preserve"> </w:t>
      </w:r>
      <w:r>
        <w:rPr>
          <w:spacing w:val="-1"/>
        </w:rPr>
        <w:t>time</w:t>
      </w:r>
      <w:r>
        <w:rPr>
          <w:spacing w:val="41"/>
        </w:rPr>
        <w:t xml:space="preserve"> </w:t>
      </w:r>
      <w:r>
        <w:rPr>
          <w:spacing w:val="-1"/>
        </w:rPr>
        <w:t>under</w:t>
      </w:r>
      <w:r>
        <w:rPr>
          <w:spacing w:val="2"/>
        </w:rPr>
        <w:t xml:space="preserve"> </w:t>
      </w:r>
      <w:r>
        <w:rPr>
          <w:spacing w:val="-2"/>
        </w:rPr>
        <w:t>applicable</w:t>
      </w:r>
      <w:r>
        <w:t xml:space="preserve"> </w:t>
      </w:r>
      <w:r>
        <w:rPr>
          <w:spacing w:val="-1"/>
        </w:rPr>
        <w:t>equality</w:t>
      </w:r>
      <w:r>
        <w:rPr>
          <w:spacing w:val="-2"/>
        </w:rPr>
        <w:t xml:space="preserve"> Law;</w:t>
      </w:r>
    </w:p>
    <w:p w:rsidR="008918FA" w:rsidRDefault="008918FA" w:rsidP="008918FA">
      <w:pPr>
        <w:pStyle w:val="BodyText"/>
        <w:numPr>
          <w:ilvl w:val="3"/>
          <w:numId w:val="66"/>
        </w:numPr>
        <w:tabs>
          <w:tab w:val="left" w:pos="2955"/>
        </w:tabs>
        <w:ind w:left="2954" w:right="112"/>
        <w:jc w:val="both"/>
      </w:pPr>
      <w:r>
        <w:t>take</w:t>
      </w:r>
      <w:r>
        <w:rPr>
          <w:spacing w:val="12"/>
        </w:rPr>
        <w:t xml:space="preserve"> </w:t>
      </w:r>
      <w:r>
        <w:rPr>
          <w:spacing w:val="-1"/>
        </w:rPr>
        <w:t>all</w:t>
      </w:r>
      <w:r>
        <w:rPr>
          <w:spacing w:val="12"/>
        </w:rPr>
        <w:t xml:space="preserve"> </w:t>
      </w:r>
      <w:r>
        <w:rPr>
          <w:spacing w:val="-1"/>
        </w:rPr>
        <w:t>necessary</w:t>
      </w:r>
      <w:r>
        <w:rPr>
          <w:spacing w:val="10"/>
        </w:rPr>
        <w:t xml:space="preserve"> </w:t>
      </w:r>
      <w:r>
        <w:rPr>
          <w:spacing w:val="-1"/>
        </w:rPr>
        <w:t>steps,</w:t>
      </w:r>
      <w:r>
        <w:rPr>
          <w:spacing w:val="11"/>
        </w:rPr>
        <w:t xml:space="preserve"> </w:t>
      </w:r>
      <w:r>
        <w:rPr>
          <w:spacing w:val="-1"/>
        </w:rPr>
        <w:t>and</w:t>
      </w:r>
      <w:r>
        <w:rPr>
          <w:spacing w:val="12"/>
        </w:rPr>
        <w:t xml:space="preserve"> </w:t>
      </w:r>
      <w:r>
        <w:rPr>
          <w:spacing w:val="-1"/>
        </w:rPr>
        <w:t>inform</w:t>
      </w:r>
      <w:r>
        <w:rPr>
          <w:spacing w:val="11"/>
        </w:rPr>
        <w:t xml:space="preserve"> </w:t>
      </w:r>
      <w:r>
        <w:t>the</w:t>
      </w:r>
      <w:r>
        <w:rPr>
          <w:spacing w:val="12"/>
        </w:rPr>
        <w:t xml:space="preserve"> </w:t>
      </w:r>
      <w:r>
        <w:rPr>
          <w:spacing w:val="-1"/>
        </w:rPr>
        <w:t>Customer</w:t>
      </w:r>
      <w:r>
        <w:rPr>
          <w:spacing w:val="14"/>
        </w:rPr>
        <w:t xml:space="preserve"> </w:t>
      </w:r>
      <w:r>
        <w:rPr>
          <w:spacing w:val="-2"/>
        </w:rPr>
        <w:t>of</w:t>
      </w:r>
      <w:r>
        <w:rPr>
          <w:spacing w:val="14"/>
        </w:rPr>
        <w:t xml:space="preserve"> </w:t>
      </w:r>
      <w:r>
        <w:t>the</w:t>
      </w:r>
      <w:r>
        <w:rPr>
          <w:spacing w:val="10"/>
        </w:rPr>
        <w:t xml:space="preserve"> </w:t>
      </w:r>
      <w:r>
        <w:rPr>
          <w:spacing w:val="-1"/>
        </w:rPr>
        <w:t>steps</w:t>
      </w:r>
      <w:r>
        <w:rPr>
          <w:spacing w:val="29"/>
        </w:rPr>
        <w:t xml:space="preserve"> </w:t>
      </w:r>
      <w:r>
        <w:rPr>
          <w:spacing w:val="-1"/>
        </w:rPr>
        <w:t>taken,</w:t>
      </w:r>
      <w:r>
        <w:rPr>
          <w:spacing w:val="4"/>
        </w:rPr>
        <w:t xml:space="preserve"> </w:t>
      </w:r>
      <w:r>
        <w:t>to</w:t>
      </w:r>
      <w:r>
        <w:rPr>
          <w:spacing w:val="5"/>
        </w:rPr>
        <w:t xml:space="preserve"> </w:t>
      </w:r>
      <w:r>
        <w:rPr>
          <w:spacing w:val="-1"/>
        </w:rPr>
        <w:t>prevent</w:t>
      </w:r>
      <w:r>
        <w:rPr>
          <w:spacing w:val="7"/>
        </w:rPr>
        <w:t xml:space="preserve"> </w:t>
      </w:r>
      <w:r>
        <w:rPr>
          <w:spacing w:val="-2"/>
        </w:rPr>
        <w:t>unlawful</w:t>
      </w:r>
      <w:r>
        <w:rPr>
          <w:spacing w:val="4"/>
        </w:rPr>
        <w:t xml:space="preserve"> </w:t>
      </w:r>
      <w:r>
        <w:rPr>
          <w:spacing w:val="-1"/>
        </w:rPr>
        <w:t>discrimination</w:t>
      </w:r>
      <w:r>
        <w:rPr>
          <w:spacing w:val="5"/>
        </w:rPr>
        <w:t xml:space="preserve"> </w:t>
      </w:r>
      <w:r>
        <w:rPr>
          <w:spacing w:val="-1"/>
        </w:rPr>
        <w:t>designated</w:t>
      </w:r>
      <w:r>
        <w:rPr>
          <w:spacing w:val="5"/>
        </w:rPr>
        <w:t xml:space="preserve"> </w:t>
      </w:r>
      <w:r>
        <w:rPr>
          <w:spacing w:val="-1"/>
        </w:rPr>
        <w:t>as</w:t>
      </w:r>
      <w:r>
        <w:rPr>
          <w:spacing w:val="5"/>
        </w:rPr>
        <w:t xml:space="preserve"> </w:t>
      </w:r>
      <w:r>
        <w:rPr>
          <w:spacing w:val="-1"/>
        </w:rPr>
        <w:t>such</w:t>
      </w:r>
      <w:r>
        <w:rPr>
          <w:spacing w:val="5"/>
        </w:rPr>
        <w:t xml:space="preserve"> </w:t>
      </w:r>
      <w:r>
        <w:rPr>
          <w:spacing w:val="-1"/>
        </w:rPr>
        <w:t>by</w:t>
      </w:r>
      <w:r>
        <w:rPr>
          <w:spacing w:val="42"/>
        </w:rPr>
        <w:t xml:space="preserve"> </w:t>
      </w:r>
      <w:r>
        <w:rPr>
          <w:spacing w:val="-1"/>
        </w:rPr>
        <w:t>any</w:t>
      </w:r>
      <w:r>
        <w:rPr>
          <w:spacing w:val="30"/>
        </w:rPr>
        <w:t xml:space="preserve"> </w:t>
      </w:r>
      <w:r>
        <w:rPr>
          <w:spacing w:val="-1"/>
        </w:rPr>
        <w:t>court</w:t>
      </w:r>
      <w:r>
        <w:rPr>
          <w:spacing w:val="34"/>
        </w:rPr>
        <w:t xml:space="preserve"> </w:t>
      </w:r>
      <w:r>
        <w:rPr>
          <w:spacing w:val="-1"/>
        </w:rPr>
        <w:t>or</w:t>
      </w:r>
      <w:r>
        <w:rPr>
          <w:spacing w:val="34"/>
        </w:rPr>
        <w:t xml:space="preserve"> </w:t>
      </w:r>
      <w:r>
        <w:rPr>
          <w:spacing w:val="-1"/>
        </w:rPr>
        <w:t>tribunal,</w:t>
      </w:r>
      <w:r>
        <w:rPr>
          <w:spacing w:val="32"/>
        </w:rPr>
        <w:t xml:space="preserve"> </w:t>
      </w:r>
      <w:r>
        <w:rPr>
          <w:spacing w:val="-1"/>
        </w:rPr>
        <w:t>or</w:t>
      </w:r>
      <w:r>
        <w:rPr>
          <w:spacing w:val="34"/>
        </w:rPr>
        <w:t xml:space="preserve"> </w:t>
      </w:r>
      <w:r>
        <w:t>the</w:t>
      </w:r>
      <w:r>
        <w:rPr>
          <w:spacing w:val="32"/>
        </w:rPr>
        <w:t xml:space="preserve"> </w:t>
      </w:r>
      <w:r>
        <w:rPr>
          <w:spacing w:val="-1"/>
        </w:rPr>
        <w:t>Equality</w:t>
      </w:r>
      <w:r>
        <w:rPr>
          <w:spacing w:val="31"/>
        </w:rPr>
        <w:t xml:space="preserve"> </w:t>
      </w:r>
      <w:r>
        <w:rPr>
          <w:spacing w:val="-1"/>
        </w:rPr>
        <w:t>and</w:t>
      </w:r>
      <w:r>
        <w:rPr>
          <w:spacing w:val="32"/>
        </w:rPr>
        <w:t xml:space="preserve"> </w:t>
      </w:r>
      <w:r>
        <w:rPr>
          <w:spacing w:val="-1"/>
        </w:rPr>
        <w:t>Human</w:t>
      </w:r>
      <w:r>
        <w:rPr>
          <w:spacing w:val="33"/>
        </w:rPr>
        <w:t xml:space="preserve"> </w:t>
      </w:r>
      <w:r>
        <w:rPr>
          <w:spacing w:val="-1"/>
        </w:rPr>
        <w:t>Rights</w:t>
      </w:r>
      <w:r>
        <w:rPr>
          <w:spacing w:val="31"/>
        </w:rPr>
        <w:t xml:space="preserve"> </w:t>
      </w:r>
      <w:r>
        <w:rPr>
          <w:spacing w:val="-1"/>
        </w:rPr>
        <w:t>Commission</w:t>
      </w:r>
      <w:r>
        <w:t xml:space="preserve"> </w:t>
      </w:r>
      <w:r>
        <w:rPr>
          <w:spacing w:val="-2"/>
        </w:rPr>
        <w:t>or</w:t>
      </w:r>
      <w:r>
        <w:rPr>
          <w:spacing w:val="-1"/>
        </w:rPr>
        <w:t xml:space="preserve"> (any</w:t>
      </w:r>
      <w:r>
        <w:rPr>
          <w:spacing w:val="-2"/>
        </w:rPr>
        <w:t xml:space="preserve"> </w:t>
      </w:r>
      <w:r>
        <w:rPr>
          <w:spacing w:val="-1"/>
        </w:rPr>
        <w:t>successor organisation).</w:t>
      </w:r>
    </w:p>
    <w:p w:rsidR="008918FA" w:rsidRDefault="008918FA" w:rsidP="008918FA">
      <w:pPr>
        <w:pStyle w:val="Heading1"/>
        <w:numPr>
          <w:ilvl w:val="1"/>
          <w:numId w:val="66"/>
        </w:numPr>
        <w:tabs>
          <w:tab w:val="left" w:pos="1253"/>
        </w:tabs>
        <w:ind w:left="1252" w:hanging="564"/>
        <w:rPr>
          <w:b w:val="0"/>
          <w:bCs w:val="0"/>
        </w:rPr>
      </w:pPr>
      <w:r>
        <w:rPr>
          <w:spacing w:val="-1"/>
        </w:rPr>
        <w:t>Official</w:t>
      </w:r>
      <w:r>
        <w:t xml:space="preserve"> </w:t>
      </w:r>
      <w:r>
        <w:rPr>
          <w:spacing w:val="-1"/>
        </w:rPr>
        <w:t>Secrets</w:t>
      </w:r>
      <w:r>
        <w:t xml:space="preserve"> </w:t>
      </w:r>
      <w:r>
        <w:rPr>
          <w:spacing w:val="-4"/>
        </w:rPr>
        <w:t>Act</w:t>
      </w:r>
      <w:r>
        <w:rPr>
          <w:spacing w:val="2"/>
        </w:rPr>
        <w:t xml:space="preserve"> </w:t>
      </w:r>
      <w:r>
        <w:rPr>
          <w:spacing w:val="-1"/>
        </w:rPr>
        <w:t>and</w:t>
      </w:r>
      <w:r>
        <w:t xml:space="preserve"> </w:t>
      </w:r>
      <w:r>
        <w:rPr>
          <w:spacing w:val="-1"/>
        </w:rPr>
        <w:t>Finance</w:t>
      </w:r>
      <w:r>
        <w:t xml:space="preserve"> </w:t>
      </w:r>
      <w:r>
        <w:rPr>
          <w:spacing w:val="-3"/>
        </w:rPr>
        <w:t>Act</w:t>
      </w:r>
    </w:p>
    <w:p w:rsidR="008918FA" w:rsidRDefault="008918FA" w:rsidP="008918FA">
      <w:pPr>
        <w:pStyle w:val="BodyText"/>
        <w:numPr>
          <w:ilvl w:val="2"/>
          <w:numId w:val="66"/>
        </w:numPr>
        <w:tabs>
          <w:tab w:val="left" w:pos="2247"/>
        </w:tabs>
        <w:spacing w:before="121"/>
        <w:ind w:left="2246"/>
      </w:pPr>
      <w:r>
        <w:t>The</w:t>
      </w:r>
      <w:r>
        <w:rPr>
          <w:spacing w:val="-2"/>
        </w:rPr>
        <w:t xml:space="preserve"> Supplier</w:t>
      </w:r>
      <w:r>
        <w:rPr>
          <w:spacing w:val="2"/>
        </w:rPr>
        <w:t xml:space="preserve"> </w:t>
      </w:r>
      <w:r>
        <w:rPr>
          <w:spacing w:val="-1"/>
        </w:rPr>
        <w:t>shall</w:t>
      </w:r>
      <w:r>
        <w:t xml:space="preserve"> </w:t>
      </w:r>
      <w:r>
        <w:rPr>
          <w:spacing w:val="-2"/>
        </w:rPr>
        <w:t>comply</w:t>
      </w:r>
      <w:r>
        <w:rPr>
          <w:spacing w:val="1"/>
        </w:rPr>
        <w:t xml:space="preserve"> </w:t>
      </w:r>
      <w:r>
        <w:rPr>
          <w:spacing w:val="-2"/>
        </w:rPr>
        <w:t>with</w:t>
      </w:r>
      <w:r>
        <w:t xml:space="preserve"> the </w:t>
      </w:r>
      <w:r>
        <w:rPr>
          <w:spacing w:val="-2"/>
        </w:rPr>
        <w:t>provisions</w:t>
      </w:r>
      <w:r>
        <w:rPr>
          <w:spacing w:val="1"/>
        </w:rPr>
        <w:t xml:space="preserve"> </w:t>
      </w:r>
      <w:r>
        <w:t>of:</w:t>
      </w:r>
    </w:p>
    <w:p w:rsidR="008918FA" w:rsidRDefault="008918FA" w:rsidP="008918FA">
      <w:pPr>
        <w:pStyle w:val="BodyText"/>
        <w:numPr>
          <w:ilvl w:val="3"/>
          <w:numId w:val="66"/>
        </w:numPr>
        <w:tabs>
          <w:tab w:val="left" w:pos="2955"/>
        </w:tabs>
        <w:spacing w:before="121"/>
        <w:ind w:left="2954"/>
      </w:pPr>
      <w:bookmarkStart w:id="306" w:name="_bookmark255"/>
      <w:bookmarkEnd w:id="306"/>
      <w:r>
        <w:t>the</w:t>
      </w:r>
      <w:r>
        <w:rPr>
          <w:spacing w:val="-2"/>
        </w:rPr>
        <w:t xml:space="preserve"> </w:t>
      </w:r>
      <w:r>
        <w:rPr>
          <w:spacing w:val="-1"/>
        </w:rPr>
        <w:t>Official</w:t>
      </w:r>
      <w:r>
        <w:t xml:space="preserve"> </w:t>
      </w:r>
      <w:r>
        <w:rPr>
          <w:spacing w:val="-1"/>
        </w:rPr>
        <w:t>Secrets</w:t>
      </w:r>
      <w:r>
        <w:rPr>
          <w:spacing w:val="1"/>
        </w:rPr>
        <w:t xml:space="preserve"> </w:t>
      </w:r>
      <w:r>
        <w:rPr>
          <w:spacing w:val="-1"/>
        </w:rPr>
        <w:t>Acts</w:t>
      </w:r>
      <w:r>
        <w:rPr>
          <w:spacing w:val="-2"/>
        </w:rPr>
        <w:t xml:space="preserve"> </w:t>
      </w:r>
      <w:r>
        <w:rPr>
          <w:spacing w:val="-1"/>
        </w:rPr>
        <w:t>1911</w:t>
      </w:r>
      <w:r>
        <w:t xml:space="preserve"> to</w:t>
      </w:r>
      <w:r>
        <w:rPr>
          <w:spacing w:val="-2"/>
        </w:rPr>
        <w:t xml:space="preserve"> </w:t>
      </w:r>
      <w:r>
        <w:rPr>
          <w:spacing w:val="-1"/>
        </w:rPr>
        <w:t>1989;</w:t>
      </w:r>
      <w:r>
        <w:t xml:space="preserve"> </w:t>
      </w:r>
      <w:r>
        <w:rPr>
          <w:spacing w:val="-1"/>
        </w:rPr>
        <w:t>and</w:t>
      </w:r>
    </w:p>
    <w:p w:rsidR="008918FA" w:rsidRDefault="008918FA" w:rsidP="008918FA">
      <w:pPr>
        <w:pStyle w:val="BodyText"/>
        <w:numPr>
          <w:ilvl w:val="3"/>
          <w:numId w:val="66"/>
        </w:numPr>
        <w:tabs>
          <w:tab w:val="left" w:pos="2954"/>
        </w:tabs>
        <w:ind w:left="2953" w:hanging="707"/>
      </w:pPr>
      <w:r>
        <w:rPr>
          <w:spacing w:val="-1"/>
        </w:rPr>
        <w:t>section</w:t>
      </w:r>
      <w:r>
        <w:rPr>
          <w:spacing w:val="1"/>
        </w:rPr>
        <w:t xml:space="preserve"> </w:t>
      </w:r>
      <w:r>
        <w:rPr>
          <w:spacing w:val="-1"/>
        </w:rPr>
        <w:t>182</w:t>
      </w:r>
      <w:r>
        <w:rPr>
          <w:spacing w:val="-2"/>
        </w:rPr>
        <w:t xml:space="preserve"> of</w:t>
      </w:r>
      <w:r>
        <w:rPr>
          <w:spacing w:val="2"/>
        </w:rPr>
        <w:t xml:space="preserve"> </w:t>
      </w:r>
      <w:r>
        <w:t>the</w:t>
      </w:r>
      <w:r>
        <w:rPr>
          <w:spacing w:val="-2"/>
        </w:rPr>
        <w:t xml:space="preserve"> </w:t>
      </w:r>
      <w:r>
        <w:rPr>
          <w:spacing w:val="-1"/>
        </w:rPr>
        <w:t>Finance</w:t>
      </w:r>
      <w:r>
        <w:rPr>
          <w:spacing w:val="1"/>
        </w:rPr>
        <w:t xml:space="preserve"> </w:t>
      </w:r>
      <w:r>
        <w:rPr>
          <w:spacing w:val="-1"/>
        </w:rPr>
        <w:t>Act</w:t>
      </w:r>
      <w:r>
        <w:t xml:space="preserve"> </w:t>
      </w:r>
      <w:r>
        <w:rPr>
          <w:spacing w:val="-1"/>
        </w:rPr>
        <w:t>1989.</w:t>
      </w:r>
    </w:p>
    <w:p w:rsidR="008918FA" w:rsidRDefault="008918FA" w:rsidP="008918FA">
      <w:pPr>
        <w:pStyle w:val="Heading1"/>
        <w:numPr>
          <w:ilvl w:val="1"/>
          <w:numId w:val="66"/>
        </w:numPr>
        <w:tabs>
          <w:tab w:val="left" w:pos="1253"/>
        </w:tabs>
        <w:spacing w:before="119"/>
        <w:ind w:left="1252" w:hanging="564"/>
        <w:rPr>
          <w:b w:val="0"/>
          <w:bCs w:val="0"/>
        </w:rPr>
      </w:pPr>
      <w:r>
        <w:rPr>
          <w:spacing w:val="-1"/>
        </w:rPr>
        <w:t>Environmental</w:t>
      </w:r>
      <w:r>
        <w:t xml:space="preserve"> </w:t>
      </w:r>
      <w:r>
        <w:rPr>
          <w:spacing w:val="-1"/>
        </w:rPr>
        <w:t>Requirements</w:t>
      </w:r>
    </w:p>
    <w:p w:rsidR="008918FA" w:rsidRDefault="008918FA" w:rsidP="008918FA">
      <w:pPr>
        <w:pStyle w:val="BodyText"/>
        <w:numPr>
          <w:ilvl w:val="2"/>
          <w:numId w:val="66"/>
        </w:numPr>
        <w:tabs>
          <w:tab w:val="left" w:pos="2247"/>
        </w:tabs>
        <w:spacing w:before="121"/>
        <w:ind w:left="2246" w:right="113"/>
        <w:jc w:val="both"/>
      </w:pPr>
      <w:r>
        <w:t>The</w:t>
      </w:r>
      <w:r>
        <w:rPr>
          <w:spacing w:val="19"/>
        </w:rPr>
        <w:t xml:space="preserve"> </w:t>
      </w:r>
      <w:r>
        <w:rPr>
          <w:spacing w:val="-2"/>
        </w:rPr>
        <w:t>Supplier</w:t>
      </w:r>
      <w:r>
        <w:rPr>
          <w:spacing w:val="21"/>
        </w:rPr>
        <w:t xml:space="preserve"> </w:t>
      </w:r>
      <w:r>
        <w:rPr>
          <w:spacing w:val="-1"/>
        </w:rPr>
        <w:t>shall,</w:t>
      </w:r>
      <w:r>
        <w:rPr>
          <w:spacing w:val="19"/>
        </w:rPr>
        <w:t xml:space="preserve"> </w:t>
      </w:r>
      <w:r>
        <w:rPr>
          <w:spacing w:val="-1"/>
        </w:rPr>
        <w:t>when</w:t>
      </w:r>
      <w:r>
        <w:rPr>
          <w:spacing w:val="19"/>
        </w:rPr>
        <w:t xml:space="preserve"> </w:t>
      </w:r>
      <w:r>
        <w:rPr>
          <w:spacing w:val="-1"/>
        </w:rPr>
        <w:t>working</w:t>
      </w:r>
      <w:r>
        <w:rPr>
          <w:spacing w:val="20"/>
        </w:rPr>
        <w:t xml:space="preserve"> </w:t>
      </w:r>
      <w:r>
        <w:rPr>
          <w:spacing w:val="-1"/>
        </w:rPr>
        <w:t>on</w:t>
      </w:r>
      <w:r>
        <w:rPr>
          <w:spacing w:val="17"/>
        </w:rPr>
        <w:t xml:space="preserve"> </w:t>
      </w:r>
      <w:r>
        <w:t>the</w:t>
      </w:r>
      <w:r>
        <w:rPr>
          <w:spacing w:val="20"/>
        </w:rPr>
        <w:t xml:space="preserve"> </w:t>
      </w:r>
      <w:r>
        <w:rPr>
          <w:spacing w:val="-1"/>
        </w:rPr>
        <w:t>Sites,</w:t>
      </w:r>
      <w:r>
        <w:rPr>
          <w:spacing w:val="19"/>
        </w:rPr>
        <w:t xml:space="preserve"> </w:t>
      </w:r>
      <w:r>
        <w:rPr>
          <w:spacing w:val="-1"/>
        </w:rPr>
        <w:t>perform</w:t>
      </w:r>
      <w:r>
        <w:rPr>
          <w:spacing w:val="21"/>
        </w:rPr>
        <w:t xml:space="preserve"> </w:t>
      </w:r>
      <w:r>
        <w:rPr>
          <w:spacing w:val="-1"/>
        </w:rPr>
        <w:t>its</w:t>
      </w:r>
      <w:r>
        <w:rPr>
          <w:spacing w:val="20"/>
        </w:rPr>
        <w:t xml:space="preserve"> </w:t>
      </w:r>
      <w:r>
        <w:rPr>
          <w:spacing w:val="-1"/>
        </w:rPr>
        <w:t>obligations</w:t>
      </w:r>
      <w:r>
        <w:rPr>
          <w:spacing w:val="28"/>
        </w:rPr>
        <w:t xml:space="preserve"> </w:t>
      </w:r>
      <w:r>
        <w:rPr>
          <w:spacing w:val="-1"/>
        </w:rPr>
        <w:t>under</w:t>
      </w:r>
      <w:r>
        <w:t xml:space="preserve"> </w:t>
      </w:r>
      <w:r>
        <w:rPr>
          <w:spacing w:val="-1"/>
        </w:rPr>
        <w:t>this</w:t>
      </w:r>
      <w:r w:rsidR="001C1527">
        <w:t xml:space="preserve"> </w:t>
      </w:r>
      <w:r>
        <w:rPr>
          <w:spacing w:val="-2"/>
        </w:rPr>
        <w:t>Call</w:t>
      </w:r>
      <w:r>
        <w:rPr>
          <w:spacing w:val="59"/>
        </w:rPr>
        <w:t xml:space="preserve"> </w:t>
      </w:r>
      <w:r>
        <w:rPr>
          <w:spacing w:val="-1"/>
        </w:rPr>
        <w:t>Off</w:t>
      </w:r>
      <w:r>
        <w:rPr>
          <w:spacing w:val="1"/>
        </w:rPr>
        <w:t xml:space="preserve"> </w:t>
      </w:r>
      <w:r>
        <w:rPr>
          <w:spacing w:val="-1"/>
        </w:rPr>
        <w:t>Contract</w:t>
      </w:r>
      <w:r>
        <w:rPr>
          <w:spacing w:val="1"/>
        </w:rPr>
        <w:t xml:space="preserve"> </w:t>
      </w:r>
      <w:r>
        <w:rPr>
          <w:spacing w:val="-1"/>
        </w:rPr>
        <w:t>in</w:t>
      </w:r>
      <w:r>
        <w:rPr>
          <w:spacing w:val="60"/>
        </w:rPr>
        <w:t xml:space="preserve"> </w:t>
      </w:r>
      <w:r>
        <w:rPr>
          <w:spacing w:val="-1"/>
        </w:rPr>
        <w:t>accordance</w:t>
      </w:r>
      <w:r w:rsidR="00514A63">
        <w:t xml:space="preserve"> </w:t>
      </w:r>
      <w:r>
        <w:rPr>
          <w:spacing w:val="-2"/>
        </w:rPr>
        <w:t>with</w:t>
      </w:r>
      <w:r>
        <w:rPr>
          <w:spacing w:val="60"/>
        </w:rPr>
        <w:t xml:space="preserve"> </w:t>
      </w:r>
      <w:r>
        <w:t>the</w:t>
      </w:r>
      <w:r>
        <w:rPr>
          <w:spacing w:val="60"/>
        </w:rPr>
        <w:t xml:space="preserve"> </w:t>
      </w:r>
      <w:r>
        <w:rPr>
          <w:spacing w:val="-1"/>
        </w:rPr>
        <w:t>Environmental</w:t>
      </w:r>
      <w:r>
        <w:rPr>
          <w:spacing w:val="35"/>
        </w:rPr>
        <w:t xml:space="preserve"> </w:t>
      </w:r>
      <w:r>
        <w:rPr>
          <w:spacing w:val="-1"/>
        </w:rPr>
        <w:t>Policy</w:t>
      </w:r>
      <w:r>
        <w:rPr>
          <w:spacing w:val="-2"/>
        </w:rPr>
        <w:t xml:space="preserve"> of</w:t>
      </w:r>
      <w:r>
        <w:rPr>
          <w:spacing w:val="2"/>
        </w:rPr>
        <w:t xml:space="preserve"> </w:t>
      </w:r>
      <w:r>
        <w:t xml:space="preserve">the </w:t>
      </w:r>
      <w:r>
        <w:rPr>
          <w:spacing w:val="-1"/>
        </w:rPr>
        <w:t>Customer.</w:t>
      </w:r>
    </w:p>
    <w:p w:rsidR="008918FA" w:rsidRDefault="008918FA" w:rsidP="008918FA">
      <w:pPr>
        <w:pStyle w:val="BodyText"/>
        <w:numPr>
          <w:ilvl w:val="2"/>
          <w:numId w:val="66"/>
        </w:numPr>
        <w:tabs>
          <w:tab w:val="left" w:pos="2247"/>
        </w:tabs>
        <w:ind w:left="2246" w:right="115"/>
        <w:jc w:val="both"/>
      </w:pPr>
      <w:r>
        <w:t>The</w:t>
      </w:r>
      <w:r>
        <w:rPr>
          <w:spacing w:val="17"/>
        </w:rPr>
        <w:t xml:space="preserve"> </w:t>
      </w:r>
      <w:r>
        <w:rPr>
          <w:spacing w:val="-2"/>
        </w:rPr>
        <w:t>Customer</w:t>
      </w:r>
      <w:r>
        <w:rPr>
          <w:spacing w:val="19"/>
        </w:rPr>
        <w:t xml:space="preserve"> </w:t>
      </w:r>
      <w:r>
        <w:rPr>
          <w:spacing w:val="-1"/>
        </w:rPr>
        <w:t>shall</w:t>
      </w:r>
      <w:r>
        <w:rPr>
          <w:spacing w:val="17"/>
        </w:rPr>
        <w:t xml:space="preserve"> </w:t>
      </w:r>
      <w:r>
        <w:rPr>
          <w:spacing w:val="-2"/>
        </w:rPr>
        <w:t>provide</w:t>
      </w:r>
      <w:r>
        <w:rPr>
          <w:spacing w:val="17"/>
        </w:rPr>
        <w:t xml:space="preserve"> </w:t>
      </w:r>
      <w:r>
        <w:t>a</w:t>
      </w:r>
      <w:r>
        <w:rPr>
          <w:spacing w:val="17"/>
        </w:rPr>
        <w:t xml:space="preserve"> </w:t>
      </w:r>
      <w:r>
        <w:rPr>
          <w:spacing w:val="-1"/>
        </w:rPr>
        <w:t>copy</w:t>
      </w:r>
      <w:r>
        <w:rPr>
          <w:spacing w:val="15"/>
        </w:rPr>
        <w:t xml:space="preserve"> </w:t>
      </w:r>
      <w:r>
        <w:rPr>
          <w:spacing w:val="-1"/>
        </w:rPr>
        <w:t>of</w:t>
      </w:r>
      <w:r>
        <w:rPr>
          <w:spacing w:val="19"/>
        </w:rPr>
        <w:t xml:space="preserve"> </w:t>
      </w:r>
      <w:r>
        <w:rPr>
          <w:spacing w:val="-1"/>
        </w:rPr>
        <w:t>its</w:t>
      </w:r>
      <w:r>
        <w:rPr>
          <w:spacing w:val="19"/>
        </w:rPr>
        <w:t xml:space="preserve"> </w:t>
      </w:r>
      <w:r>
        <w:rPr>
          <w:spacing w:val="-1"/>
        </w:rPr>
        <w:t>written</w:t>
      </w:r>
      <w:r>
        <w:rPr>
          <w:spacing w:val="12"/>
        </w:rPr>
        <w:t xml:space="preserve"> </w:t>
      </w:r>
      <w:r>
        <w:rPr>
          <w:spacing w:val="-1"/>
        </w:rPr>
        <w:t>Environmental</w:t>
      </w:r>
      <w:r>
        <w:rPr>
          <w:spacing w:val="17"/>
        </w:rPr>
        <w:t xml:space="preserve"> </w:t>
      </w:r>
      <w:r>
        <w:rPr>
          <w:spacing w:val="-1"/>
        </w:rPr>
        <w:t>Policy</w:t>
      </w:r>
      <w:r>
        <w:rPr>
          <w:spacing w:val="49"/>
        </w:rPr>
        <w:t xml:space="preserve"> </w:t>
      </w:r>
      <w:r>
        <w:rPr>
          <w:spacing w:val="-2"/>
        </w:rPr>
        <w:t>(if</w:t>
      </w:r>
      <w:r>
        <w:rPr>
          <w:spacing w:val="4"/>
        </w:rPr>
        <w:t xml:space="preserve"> </w:t>
      </w:r>
      <w:r>
        <w:rPr>
          <w:spacing w:val="-2"/>
        </w:rPr>
        <w:t>any)</w:t>
      </w:r>
      <w:r>
        <w:rPr>
          <w:spacing w:val="-1"/>
        </w:rPr>
        <w:t xml:space="preserve"> </w:t>
      </w:r>
      <w:r>
        <w:t>to</w:t>
      </w:r>
      <w:r>
        <w:rPr>
          <w:spacing w:val="-2"/>
        </w:rPr>
        <w:t xml:space="preserve"> </w:t>
      </w:r>
      <w:r>
        <w:t>the</w:t>
      </w:r>
      <w:r>
        <w:rPr>
          <w:spacing w:val="-2"/>
        </w:rPr>
        <w:t xml:space="preserve"> Supplier</w:t>
      </w:r>
      <w:r>
        <w:rPr>
          <w:spacing w:val="2"/>
        </w:rPr>
        <w:t xml:space="preserve"> </w:t>
      </w:r>
      <w:r>
        <w:rPr>
          <w:spacing w:val="-2"/>
        </w:rPr>
        <w:t>upon</w:t>
      </w:r>
      <w:r>
        <w:t xml:space="preserve"> the</w:t>
      </w:r>
      <w:r>
        <w:rPr>
          <w:spacing w:val="-2"/>
        </w:rPr>
        <w:t xml:space="preserve"> Supplier’s</w:t>
      </w:r>
      <w:r>
        <w:rPr>
          <w:spacing w:val="2"/>
        </w:rPr>
        <w:t xml:space="preserve"> </w:t>
      </w:r>
      <w:r>
        <w:rPr>
          <w:spacing w:val="-1"/>
        </w:rPr>
        <w:t>written</w:t>
      </w:r>
      <w:r>
        <w:t xml:space="preserve"> </w:t>
      </w:r>
      <w:r>
        <w:rPr>
          <w:spacing w:val="-1"/>
        </w:rPr>
        <w:t>request.</w:t>
      </w:r>
    </w:p>
    <w:p w:rsidR="008918FA" w:rsidRDefault="008918FA" w:rsidP="008918FA">
      <w:pPr>
        <w:pStyle w:val="BodyText"/>
        <w:numPr>
          <w:ilvl w:val="0"/>
          <w:numId w:val="66"/>
        </w:numPr>
        <w:tabs>
          <w:tab w:val="left" w:pos="686"/>
        </w:tabs>
        <w:spacing w:before="117"/>
        <w:ind w:left="685" w:hanging="566"/>
        <w:rPr>
          <w:rFonts w:ascii="Times New Roman" w:eastAsia="Times New Roman" w:hAnsi="Times New Roman" w:cs="Times New Roman"/>
        </w:rPr>
      </w:pPr>
      <w:bookmarkStart w:id="307" w:name="_bookmark256"/>
      <w:bookmarkEnd w:id="307"/>
      <w:r>
        <w:rPr>
          <w:rFonts w:ascii="Times New Roman"/>
          <w:spacing w:val="-6"/>
        </w:rPr>
        <w:t>A</w:t>
      </w:r>
      <w:r>
        <w:rPr>
          <w:rFonts w:ascii="Times New Roman"/>
          <w:spacing w:val="26"/>
        </w:rPr>
        <w:t>S</w:t>
      </w:r>
      <w:r>
        <w:rPr>
          <w:rFonts w:ascii="Times New Roman"/>
          <w:spacing w:val="23"/>
        </w:rPr>
        <w:t>S</w:t>
      </w:r>
      <w:r>
        <w:rPr>
          <w:rFonts w:ascii="Times New Roman"/>
          <w:spacing w:val="-12"/>
        </w:rPr>
        <w:t>I</w:t>
      </w:r>
      <w:r>
        <w:rPr>
          <w:rFonts w:ascii="Times New Roman"/>
          <w:spacing w:val="13"/>
        </w:rPr>
        <w:t>G</w:t>
      </w:r>
      <w:r>
        <w:rPr>
          <w:rFonts w:ascii="Times New Roman"/>
          <w:spacing w:val="-2"/>
        </w:rPr>
        <w:t>N</w:t>
      </w:r>
      <w:r>
        <w:rPr>
          <w:rFonts w:ascii="Times New Roman"/>
          <w:spacing w:val="-12"/>
        </w:rPr>
        <w:t>M</w:t>
      </w:r>
      <w:r>
        <w:rPr>
          <w:rFonts w:ascii="Times New Roman"/>
          <w:spacing w:val="11"/>
        </w:rPr>
        <w:t>E</w:t>
      </w:r>
      <w:r>
        <w:rPr>
          <w:rFonts w:ascii="Times New Roman"/>
          <w:spacing w:val="-2"/>
        </w:rPr>
        <w:t>N</w:t>
      </w:r>
      <w:r>
        <w:rPr>
          <w:rFonts w:ascii="Times New Roman"/>
        </w:rPr>
        <w:t>T</w:t>
      </w:r>
      <w:r>
        <w:rPr>
          <w:rFonts w:ascii="Times New Roman"/>
          <w:spacing w:val="9"/>
        </w:rPr>
        <w:t xml:space="preserve"> </w:t>
      </w:r>
      <w:r>
        <w:rPr>
          <w:rFonts w:ascii="Times New Roman"/>
          <w:spacing w:val="-3"/>
        </w:rPr>
        <w:t>AND</w:t>
      </w:r>
      <w:r>
        <w:rPr>
          <w:rFonts w:ascii="Times New Roman"/>
          <w:spacing w:val="6"/>
        </w:rPr>
        <w:t xml:space="preserve"> </w:t>
      </w:r>
      <w:r>
        <w:rPr>
          <w:rFonts w:ascii="Times New Roman"/>
          <w:spacing w:val="-1"/>
        </w:rPr>
        <w:t>NOVATION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3"/>
        </w:tabs>
        <w:spacing w:before="0"/>
        <w:ind w:left="1048" w:right="114" w:hanging="360"/>
        <w:jc w:val="both"/>
      </w:pPr>
      <w:r>
        <w:t>The</w:t>
      </w:r>
      <w:r>
        <w:rPr>
          <w:spacing w:val="27"/>
        </w:rPr>
        <w:t xml:space="preserve"> </w:t>
      </w:r>
      <w:r>
        <w:rPr>
          <w:spacing w:val="-2"/>
        </w:rPr>
        <w:t>Supplier</w:t>
      </w:r>
      <w:r>
        <w:rPr>
          <w:spacing w:val="28"/>
        </w:rPr>
        <w:t xml:space="preserve"> </w:t>
      </w:r>
      <w:r>
        <w:rPr>
          <w:spacing w:val="-1"/>
        </w:rPr>
        <w:t>shall</w:t>
      </w:r>
      <w:r>
        <w:rPr>
          <w:spacing w:val="26"/>
        </w:rPr>
        <w:t xml:space="preserve"> </w:t>
      </w:r>
      <w:r>
        <w:rPr>
          <w:spacing w:val="-1"/>
        </w:rPr>
        <w:t>not</w:t>
      </w:r>
      <w:r>
        <w:rPr>
          <w:spacing w:val="28"/>
        </w:rPr>
        <w:t xml:space="preserve"> </w:t>
      </w:r>
      <w:r>
        <w:rPr>
          <w:spacing w:val="-1"/>
        </w:rPr>
        <w:t>assign,</w:t>
      </w:r>
      <w:r>
        <w:rPr>
          <w:spacing w:val="28"/>
        </w:rPr>
        <w:t xml:space="preserve"> </w:t>
      </w:r>
      <w:r>
        <w:rPr>
          <w:spacing w:val="-1"/>
        </w:rPr>
        <w:t>novate,</w:t>
      </w:r>
      <w:r>
        <w:rPr>
          <w:spacing w:val="28"/>
        </w:rPr>
        <w:t xml:space="preserve"> </w:t>
      </w:r>
      <w:r>
        <w:rPr>
          <w:spacing w:val="-1"/>
        </w:rPr>
        <w:t>Sub-Contract</w:t>
      </w:r>
      <w:r>
        <w:rPr>
          <w:spacing w:val="29"/>
        </w:rPr>
        <w:t xml:space="preserve"> </w:t>
      </w:r>
      <w:r>
        <w:rPr>
          <w:spacing w:val="-1"/>
        </w:rPr>
        <w:t>or</w:t>
      </w:r>
      <w:r>
        <w:rPr>
          <w:spacing w:val="28"/>
        </w:rPr>
        <w:t xml:space="preserve"> </w:t>
      </w:r>
      <w:r>
        <w:rPr>
          <w:spacing w:val="-2"/>
        </w:rPr>
        <w:t>otherwise</w:t>
      </w:r>
      <w:r>
        <w:rPr>
          <w:spacing w:val="27"/>
        </w:rPr>
        <w:t xml:space="preserve"> </w:t>
      </w:r>
      <w:r>
        <w:rPr>
          <w:spacing w:val="-1"/>
        </w:rPr>
        <w:t>dispose</w:t>
      </w:r>
      <w:r>
        <w:rPr>
          <w:spacing w:val="27"/>
        </w:rPr>
        <w:t xml:space="preserve"> </w:t>
      </w:r>
      <w:r>
        <w:rPr>
          <w:spacing w:val="-1"/>
        </w:rPr>
        <w:t>of</w:t>
      </w:r>
      <w:r>
        <w:rPr>
          <w:spacing w:val="30"/>
        </w:rPr>
        <w:t xml:space="preserve"> </w:t>
      </w:r>
      <w:r>
        <w:rPr>
          <w:spacing w:val="-1"/>
        </w:rPr>
        <w:t>or</w:t>
      </w:r>
      <w:r>
        <w:rPr>
          <w:spacing w:val="53"/>
        </w:rPr>
        <w:t xml:space="preserve"> </w:t>
      </w:r>
      <w:r>
        <w:rPr>
          <w:spacing w:val="-1"/>
        </w:rPr>
        <w:t>create</w:t>
      </w:r>
      <w:r>
        <w:rPr>
          <w:spacing w:val="20"/>
        </w:rPr>
        <w:t xml:space="preserve"> </w:t>
      </w:r>
      <w:r>
        <w:rPr>
          <w:spacing w:val="-1"/>
        </w:rPr>
        <w:t>any</w:t>
      </w:r>
      <w:r>
        <w:rPr>
          <w:spacing w:val="18"/>
        </w:rPr>
        <w:t xml:space="preserve"> </w:t>
      </w:r>
      <w:r>
        <w:rPr>
          <w:spacing w:val="-1"/>
        </w:rPr>
        <w:t>trust</w:t>
      </w:r>
      <w:r>
        <w:rPr>
          <w:spacing w:val="22"/>
        </w:rPr>
        <w:t xml:space="preserve"> </w:t>
      </w:r>
      <w:r>
        <w:rPr>
          <w:spacing w:val="-1"/>
        </w:rPr>
        <w:t>in</w:t>
      </w:r>
      <w:r>
        <w:rPr>
          <w:spacing w:val="20"/>
        </w:rPr>
        <w:t xml:space="preserve"> </w:t>
      </w:r>
      <w:r>
        <w:rPr>
          <w:spacing w:val="-1"/>
        </w:rPr>
        <w:t>relation</w:t>
      </w:r>
      <w:r>
        <w:rPr>
          <w:spacing w:val="20"/>
        </w:rPr>
        <w:t xml:space="preserve"> </w:t>
      </w:r>
      <w:r>
        <w:t>to</w:t>
      </w:r>
      <w:r>
        <w:rPr>
          <w:spacing w:val="19"/>
        </w:rPr>
        <w:t xml:space="preserve"> </w:t>
      </w:r>
      <w:r>
        <w:rPr>
          <w:spacing w:val="-1"/>
        </w:rPr>
        <w:t>any</w:t>
      </w:r>
      <w:r>
        <w:rPr>
          <w:spacing w:val="17"/>
        </w:rPr>
        <w:t xml:space="preserve"> </w:t>
      </w:r>
      <w:r>
        <w:rPr>
          <w:spacing w:val="-1"/>
        </w:rPr>
        <w:t>or</w:t>
      </w:r>
      <w:r>
        <w:rPr>
          <w:spacing w:val="21"/>
        </w:rPr>
        <w:t xml:space="preserve"> </w:t>
      </w:r>
      <w:r>
        <w:t>all</w:t>
      </w:r>
      <w:r>
        <w:rPr>
          <w:spacing w:val="19"/>
        </w:rPr>
        <w:t xml:space="preserve"> </w:t>
      </w:r>
      <w:r>
        <w:rPr>
          <w:spacing w:val="-1"/>
        </w:rPr>
        <w:t>of</w:t>
      </w:r>
      <w:r>
        <w:rPr>
          <w:spacing w:val="23"/>
        </w:rPr>
        <w:t xml:space="preserve"> </w:t>
      </w:r>
      <w:r>
        <w:rPr>
          <w:spacing w:val="-1"/>
        </w:rPr>
        <w:t>its</w:t>
      </w:r>
      <w:r>
        <w:rPr>
          <w:spacing w:val="20"/>
        </w:rPr>
        <w:t xml:space="preserve"> </w:t>
      </w:r>
      <w:r>
        <w:rPr>
          <w:spacing w:val="-1"/>
        </w:rPr>
        <w:t>rights,</w:t>
      </w:r>
      <w:r>
        <w:rPr>
          <w:spacing w:val="21"/>
        </w:rPr>
        <w:t xml:space="preserve"> </w:t>
      </w:r>
      <w:r>
        <w:rPr>
          <w:spacing w:val="-1"/>
        </w:rPr>
        <w:t>obligations</w:t>
      </w:r>
      <w:r>
        <w:rPr>
          <w:spacing w:val="20"/>
        </w:rPr>
        <w:t xml:space="preserve"> </w:t>
      </w:r>
      <w:r>
        <w:rPr>
          <w:spacing w:val="-1"/>
        </w:rPr>
        <w:t>or</w:t>
      </w:r>
      <w:r>
        <w:rPr>
          <w:spacing w:val="21"/>
        </w:rPr>
        <w:t xml:space="preserve"> </w:t>
      </w:r>
      <w:r>
        <w:rPr>
          <w:spacing w:val="-1"/>
        </w:rPr>
        <w:t>liabilities</w:t>
      </w:r>
      <w:r>
        <w:rPr>
          <w:spacing w:val="20"/>
        </w:rPr>
        <w:t xml:space="preserve"> </w:t>
      </w:r>
      <w:r>
        <w:rPr>
          <w:spacing w:val="-1"/>
        </w:rPr>
        <w:t>under</w:t>
      </w:r>
      <w:r>
        <w:rPr>
          <w:spacing w:val="4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or</w:t>
      </w:r>
      <w:r>
        <w:rPr>
          <w:spacing w:val="-3"/>
        </w:rPr>
        <w:t xml:space="preserve"> </w:t>
      </w:r>
      <w:r>
        <w:rPr>
          <w:spacing w:val="-1"/>
        </w:rPr>
        <w:t>any</w:t>
      </w:r>
      <w:r>
        <w:rPr>
          <w:spacing w:val="-2"/>
        </w:rPr>
        <w:t xml:space="preserve"> </w:t>
      </w:r>
      <w:r>
        <w:rPr>
          <w:spacing w:val="-1"/>
        </w:rPr>
        <w:t>part</w:t>
      </w:r>
      <w:r>
        <w:rPr>
          <w:spacing w:val="2"/>
        </w:rPr>
        <w:t xml:space="preserve"> </w:t>
      </w:r>
      <w:r>
        <w:rPr>
          <w:spacing w:val="-2"/>
        </w:rPr>
        <w:t>of</w:t>
      </w:r>
      <w:r>
        <w:rPr>
          <w:spacing w:val="2"/>
        </w:rPr>
        <w:t xml:space="preserve"> </w:t>
      </w:r>
      <w:r>
        <w:rPr>
          <w:spacing w:val="-2"/>
        </w:rPr>
        <w:t>it</w:t>
      </w:r>
      <w:r>
        <w:rPr>
          <w:spacing w:val="2"/>
        </w:rPr>
        <w:t xml:space="preserve"> </w:t>
      </w:r>
      <w:r>
        <w:rPr>
          <w:spacing w:val="-2"/>
        </w:rPr>
        <w:t>without</w:t>
      </w:r>
      <w:r>
        <w:rPr>
          <w:spacing w:val="2"/>
        </w:rPr>
        <w:t xml:space="preserve"> </w:t>
      </w:r>
      <w:r>
        <w:rPr>
          <w:spacing w:val="-2"/>
        </w:rPr>
        <w:t>Approval.</w:t>
      </w:r>
    </w:p>
    <w:p w:rsidR="008918FA" w:rsidRDefault="008918FA" w:rsidP="008918FA">
      <w:pPr>
        <w:pStyle w:val="BodyText"/>
        <w:numPr>
          <w:ilvl w:val="1"/>
          <w:numId w:val="66"/>
        </w:numPr>
        <w:tabs>
          <w:tab w:val="left" w:pos="1253"/>
        </w:tabs>
        <w:spacing w:before="121"/>
        <w:ind w:left="1049" w:right="118" w:hanging="361"/>
      </w:pPr>
      <w:bookmarkStart w:id="308" w:name="_bookmark257"/>
      <w:bookmarkEnd w:id="308"/>
      <w:r>
        <w:t>The</w:t>
      </w:r>
      <w:r>
        <w:rPr>
          <w:spacing w:val="5"/>
        </w:rPr>
        <w:t xml:space="preserve"> </w:t>
      </w:r>
      <w:r>
        <w:rPr>
          <w:spacing w:val="-1"/>
        </w:rPr>
        <w:t>Customer</w:t>
      </w:r>
      <w:r>
        <w:rPr>
          <w:spacing w:val="6"/>
        </w:rPr>
        <w:t xml:space="preserve"> </w:t>
      </w:r>
      <w:r>
        <w:rPr>
          <w:spacing w:val="-1"/>
        </w:rPr>
        <w:t>may</w:t>
      </w:r>
      <w:r>
        <w:rPr>
          <w:spacing w:val="5"/>
        </w:rPr>
        <w:t xml:space="preserve"> </w:t>
      </w:r>
      <w:r>
        <w:rPr>
          <w:spacing w:val="-1"/>
        </w:rPr>
        <w:t>assign,</w:t>
      </w:r>
      <w:r>
        <w:rPr>
          <w:spacing w:val="9"/>
        </w:rPr>
        <w:t xml:space="preserve"> </w:t>
      </w:r>
      <w:r>
        <w:rPr>
          <w:spacing w:val="-1"/>
        </w:rPr>
        <w:t>novate</w:t>
      </w:r>
      <w:r>
        <w:rPr>
          <w:spacing w:val="7"/>
        </w:rPr>
        <w:t xml:space="preserve"> </w:t>
      </w:r>
      <w:r>
        <w:rPr>
          <w:spacing w:val="-2"/>
        </w:rPr>
        <w:t>or</w:t>
      </w:r>
      <w:r>
        <w:rPr>
          <w:spacing w:val="9"/>
        </w:rPr>
        <w:t xml:space="preserve"> </w:t>
      </w:r>
      <w:r>
        <w:rPr>
          <w:spacing w:val="-2"/>
        </w:rPr>
        <w:t>otherwise</w:t>
      </w:r>
      <w:r>
        <w:rPr>
          <w:spacing w:val="8"/>
        </w:rPr>
        <w:t xml:space="preserve"> </w:t>
      </w:r>
      <w:r>
        <w:rPr>
          <w:spacing w:val="-1"/>
        </w:rPr>
        <w:t>dispose</w:t>
      </w:r>
      <w:r>
        <w:rPr>
          <w:spacing w:val="8"/>
        </w:rPr>
        <w:t xml:space="preserve"> </w:t>
      </w:r>
      <w:r>
        <w:rPr>
          <w:spacing w:val="-2"/>
        </w:rPr>
        <w:t>of</w:t>
      </w:r>
      <w:r>
        <w:rPr>
          <w:spacing w:val="9"/>
        </w:rPr>
        <w:t xml:space="preserve"> </w:t>
      </w:r>
      <w:r>
        <w:rPr>
          <w:spacing w:val="-1"/>
        </w:rPr>
        <w:t>any</w:t>
      </w:r>
      <w:r>
        <w:rPr>
          <w:spacing w:val="5"/>
        </w:rPr>
        <w:t xml:space="preserve"> </w:t>
      </w:r>
      <w:r>
        <w:rPr>
          <w:spacing w:val="-1"/>
        </w:rPr>
        <w:t>or</w:t>
      </w:r>
      <w:r>
        <w:rPr>
          <w:spacing w:val="9"/>
        </w:rPr>
        <w:t xml:space="preserve"> </w:t>
      </w:r>
      <w:r>
        <w:rPr>
          <w:spacing w:val="-1"/>
        </w:rPr>
        <w:t>all</w:t>
      </w:r>
      <w:r>
        <w:rPr>
          <w:spacing w:val="7"/>
        </w:rPr>
        <w:t xml:space="preserve"> </w:t>
      </w:r>
      <w:r>
        <w:rPr>
          <w:spacing w:val="-2"/>
        </w:rPr>
        <w:t>of</w:t>
      </w:r>
      <w:r>
        <w:rPr>
          <w:spacing w:val="9"/>
        </w:rPr>
        <w:t xml:space="preserve"> </w:t>
      </w:r>
      <w:r>
        <w:rPr>
          <w:spacing w:val="-2"/>
        </w:rPr>
        <w:t>its</w:t>
      </w:r>
      <w:r>
        <w:rPr>
          <w:spacing w:val="8"/>
        </w:rPr>
        <w:t xml:space="preserve"> </w:t>
      </w:r>
      <w:r>
        <w:rPr>
          <w:spacing w:val="-1"/>
        </w:rPr>
        <w:t>rights,</w:t>
      </w:r>
      <w:r>
        <w:rPr>
          <w:spacing w:val="45"/>
        </w:rPr>
        <w:t xml:space="preserve"> </w:t>
      </w:r>
      <w:r>
        <w:rPr>
          <w:spacing w:val="-1"/>
        </w:rPr>
        <w:t>liabilities</w:t>
      </w:r>
      <w:r>
        <w:rPr>
          <w:spacing w:val="1"/>
        </w:rPr>
        <w:t xml:space="preserve"> </w:t>
      </w:r>
      <w:r>
        <w:rPr>
          <w:spacing w:val="-1"/>
        </w:rPr>
        <w:t>and</w:t>
      </w:r>
      <w:r>
        <w:t xml:space="preserve"> </w:t>
      </w:r>
      <w:r>
        <w:rPr>
          <w:spacing w:val="-1"/>
        </w:rPr>
        <w:t>obligations</w:t>
      </w:r>
      <w:r>
        <w:rPr>
          <w:spacing w:val="-2"/>
        </w:rPr>
        <w:t xml:space="preserve"> </w:t>
      </w:r>
      <w:r>
        <w:rPr>
          <w:spacing w:val="-1"/>
        </w:rPr>
        <w:t>under this</w:t>
      </w:r>
      <w:r>
        <w:rPr>
          <w:spacing w:val="1"/>
        </w:rPr>
        <w:t xml:space="preserve"> </w:t>
      </w:r>
      <w:r>
        <w:rPr>
          <w:spacing w:val="-2"/>
        </w:rPr>
        <w:t>Call</w:t>
      </w:r>
      <w:r>
        <w:t xml:space="preserve"> </w:t>
      </w:r>
      <w:r>
        <w:rPr>
          <w:spacing w:val="-1"/>
        </w:rPr>
        <w:t>Off</w:t>
      </w:r>
      <w:r>
        <w:t xml:space="preserve"> </w:t>
      </w:r>
      <w:r>
        <w:rPr>
          <w:spacing w:val="-2"/>
        </w:rPr>
        <w:t>Contract</w:t>
      </w:r>
      <w:r>
        <w:rPr>
          <w:spacing w:val="2"/>
        </w:rPr>
        <w:t xml:space="preserve"> </w:t>
      </w:r>
      <w:r>
        <w:rPr>
          <w:spacing w:val="-2"/>
        </w:rPr>
        <w:t>or</w:t>
      </w:r>
      <w:r>
        <w:rPr>
          <w:spacing w:val="2"/>
        </w:rPr>
        <w:t xml:space="preserve"> </w:t>
      </w:r>
      <w:r>
        <w:rPr>
          <w:spacing w:val="-1"/>
        </w:rPr>
        <w:t>any</w:t>
      </w:r>
      <w:r>
        <w:rPr>
          <w:spacing w:val="-2"/>
        </w:rPr>
        <w:t xml:space="preserve"> </w:t>
      </w:r>
      <w:r>
        <w:rPr>
          <w:spacing w:val="-1"/>
        </w:rPr>
        <w:t>part</w:t>
      </w:r>
      <w:r>
        <w:t xml:space="preserve"> </w:t>
      </w:r>
      <w:r>
        <w:rPr>
          <w:spacing w:val="-1"/>
        </w:rPr>
        <w:t>thereof</w:t>
      </w:r>
      <w:r>
        <w:rPr>
          <w:spacing w:val="2"/>
        </w:rPr>
        <w:t xml:space="preserve"> </w:t>
      </w:r>
      <w:r>
        <w:rPr>
          <w:spacing w:val="-1"/>
        </w:rPr>
        <w:t>to:</w:t>
      </w:r>
    </w:p>
    <w:p w:rsidR="008918FA" w:rsidRDefault="008918FA" w:rsidP="008918FA">
      <w:pPr>
        <w:pStyle w:val="BodyText"/>
        <w:numPr>
          <w:ilvl w:val="2"/>
          <w:numId w:val="66"/>
        </w:numPr>
        <w:tabs>
          <w:tab w:val="left" w:pos="2247"/>
        </w:tabs>
        <w:spacing w:before="121"/>
        <w:ind w:hanging="973"/>
      </w:pPr>
      <w:r>
        <w:rPr>
          <w:spacing w:val="-1"/>
        </w:rPr>
        <w:t>any</w:t>
      </w:r>
      <w:r>
        <w:rPr>
          <w:spacing w:val="-2"/>
        </w:rPr>
        <w:t xml:space="preserve"> </w:t>
      </w:r>
      <w:r>
        <w:rPr>
          <w:spacing w:val="-1"/>
        </w:rPr>
        <w:t>other</w:t>
      </w:r>
      <w:r>
        <w:rPr>
          <w:spacing w:val="2"/>
        </w:rPr>
        <w:t xml:space="preserve"> </w:t>
      </w:r>
      <w:r>
        <w:rPr>
          <w:spacing w:val="-2"/>
        </w:rPr>
        <w:t>Contracting</w:t>
      </w:r>
      <w:r>
        <w:rPr>
          <w:spacing w:val="3"/>
        </w:rPr>
        <w:t xml:space="preserve"> </w:t>
      </w:r>
      <w:r>
        <w:rPr>
          <w:spacing w:val="-2"/>
        </w:rPr>
        <w:t>Body;</w:t>
      </w:r>
      <w:r>
        <w:rPr>
          <w:spacing w:val="2"/>
        </w:rPr>
        <w:t xml:space="preserve"> </w:t>
      </w:r>
      <w:r>
        <w:rPr>
          <w:spacing w:val="-1"/>
        </w:rPr>
        <w:t>or</w:t>
      </w:r>
    </w:p>
    <w:p w:rsidR="008918FA" w:rsidRDefault="008918FA" w:rsidP="008918FA">
      <w:pPr>
        <w:sectPr w:rsidR="008918FA">
          <w:pgSz w:w="11910" w:h="16840"/>
          <w:pgMar w:top="1480" w:right="1300" w:bottom="1180" w:left="1320" w:header="0" w:footer="967" w:gutter="0"/>
          <w:cols w:space="720"/>
        </w:sectPr>
      </w:pPr>
    </w:p>
    <w:p w:rsidR="008918FA" w:rsidRDefault="008918FA" w:rsidP="008918FA">
      <w:pPr>
        <w:pStyle w:val="BodyText"/>
        <w:numPr>
          <w:ilvl w:val="2"/>
          <w:numId w:val="66"/>
        </w:numPr>
        <w:tabs>
          <w:tab w:val="left" w:pos="2227"/>
        </w:tabs>
        <w:spacing w:before="59"/>
        <w:ind w:right="115"/>
        <w:jc w:val="both"/>
      </w:pPr>
      <w:bookmarkStart w:id="309" w:name="50._PREVENTION_OF_FRAUD_AND_BRIBERY"/>
      <w:bookmarkEnd w:id="309"/>
      <w:r>
        <w:rPr>
          <w:spacing w:val="-1"/>
        </w:rPr>
        <w:t>any</w:t>
      </w:r>
      <w:r>
        <w:rPr>
          <w:spacing w:val="44"/>
        </w:rPr>
        <w:t xml:space="preserve"> </w:t>
      </w:r>
      <w:r>
        <w:rPr>
          <w:spacing w:val="-1"/>
        </w:rPr>
        <w:t>other</w:t>
      </w:r>
      <w:r>
        <w:rPr>
          <w:spacing w:val="47"/>
        </w:rPr>
        <w:t xml:space="preserve"> </w:t>
      </w:r>
      <w:r>
        <w:rPr>
          <w:spacing w:val="-1"/>
        </w:rPr>
        <w:t>body</w:t>
      </w:r>
      <w:r>
        <w:rPr>
          <w:spacing w:val="46"/>
        </w:rPr>
        <w:t xml:space="preserve"> </w:t>
      </w:r>
      <w:r>
        <w:rPr>
          <w:spacing w:val="-1"/>
        </w:rPr>
        <w:t>established</w:t>
      </w:r>
      <w:r>
        <w:rPr>
          <w:spacing w:val="46"/>
        </w:rPr>
        <w:t xml:space="preserve"> </w:t>
      </w:r>
      <w:r>
        <w:rPr>
          <w:spacing w:val="-1"/>
        </w:rPr>
        <w:t>by</w:t>
      </w:r>
      <w:r>
        <w:rPr>
          <w:spacing w:val="46"/>
        </w:rPr>
        <w:t xml:space="preserve"> </w:t>
      </w:r>
      <w:r>
        <w:t>the</w:t>
      </w:r>
      <w:r>
        <w:rPr>
          <w:spacing w:val="46"/>
        </w:rPr>
        <w:t xml:space="preserve"> </w:t>
      </w:r>
      <w:r>
        <w:rPr>
          <w:spacing w:val="-2"/>
        </w:rPr>
        <w:t>Crown</w:t>
      </w:r>
      <w:r>
        <w:rPr>
          <w:spacing w:val="49"/>
        </w:rPr>
        <w:t xml:space="preserve"> </w:t>
      </w:r>
      <w:r>
        <w:rPr>
          <w:spacing w:val="-1"/>
        </w:rPr>
        <w:t>or</w:t>
      </w:r>
      <w:r>
        <w:rPr>
          <w:spacing w:val="47"/>
        </w:rPr>
        <w:t xml:space="preserve"> </w:t>
      </w:r>
      <w:r>
        <w:rPr>
          <w:spacing w:val="-1"/>
        </w:rPr>
        <w:t>under</w:t>
      </w:r>
      <w:r>
        <w:rPr>
          <w:spacing w:val="47"/>
        </w:rPr>
        <w:t xml:space="preserve"> </w:t>
      </w:r>
      <w:r>
        <w:rPr>
          <w:spacing w:val="-1"/>
        </w:rPr>
        <w:t>statute</w:t>
      </w:r>
      <w:r>
        <w:rPr>
          <w:spacing w:val="46"/>
        </w:rPr>
        <w:t xml:space="preserve"> </w:t>
      </w:r>
      <w:r>
        <w:rPr>
          <w:spacing w:val="-1"/>
        </w:rPr>
        <w:t>in</w:t>
      </w:r>
      <w:r>
        <w:rPr>
          <w:spacing w:val="46"/>
        </w:rPr>
        <w:t xml:space="preserve"> </w:t>
      </w:r>
      <w:r>
        <w:rPr>
          <w:spacing w:val="-1"/>
        </w:rPr>
        <w:t>order</w:t>
      </w:r>
      <w:r>
        <w:rPr>
          <w:spacing w:val="48"/>
        </w:rPr>
        <w:t xml:space="preserve"> </w:t>
      </w:r>
      <w:r>
        <w:rPr>
          <w:spacing w:val="-1"/>
        </w:rPr>
        <w:t>substantially</w:t>
      </w:r>
      <w:r>
        <w:rPr>
          <w:spacing w:val="20"/>
        </w:rPr>
        <w:t xml:space="preserve"> </w:t>
      </w:r>
      <w:r>
        <w:t>to</w:t>
      </w:r>
      <w:r>
        <w:rPr>
          <w:spacing w:val="22"/>
        </w:rPr>
        <w:t xml:space="preserve"> </w:t>
      </w:r>
      <w:r>
        <w:rPr>
          <w:spacing w:val="-1"/>
        </w:rPr>
        <w:t>perform</w:t>
      </w:r>
      <w:r>
        <w:rPr>
          <w:spacing w:val="21"/>
        </w:rPr>
        <w:t xml:space="preserve"> </w:t>
      </w:r>
      <w:r>
        <w:rPr>
          <w:spacing w:val="-1"/>
        </w:rPr>
        <w:t>any</w:t>
      </w:r>
      <w:r>
        <w:rPr>
          <w:spacing w:val="20"/>
        </w:rPr>
        <w:t xml:space="preserve"> </w:t>
      </w:r>
      <w:r>
        <w:rPr>
          <w:spacing w:val="-1"/>
        </w:rPr>
        <w:t>of</w:t>
      </w:r>
      <w:r>
        <w:rPr>
          <w:spacing w:val="23"/>
        </w:rPr>
        <w:t xml:space="preserve"> </w:t>
      </w:r>
      <w:r>
        <w:t>the</w:t>
      </w:r>
      <w:r>
        <w:rPr>
          <w:spacing w:val="20"/>
        </w:rPr>
        <w:t xml:space="preserve"> </w:t>
      </w:r>
      <w:r>
        <w:rPr>
          <w:spacing w:val="-1"/>
        </w:rPr>
        <w:t>functions</w:t>
      </w:r>
      <w:r>
        <w:rPr>
          <w:spacing w:val="20"/>
        </w:rPr>
        <w:t xml:space="preserve"> </w:t>
      </w:r>
      <w:r>
        <w:rPr>
          <w:spacing w:val="-1"/>
        </w:rPr>
        <w:t>that</w:t>
      </w:r>
      <w:r>
        <w:rPr>
          <w:spacing w:val="21"/>
        </w:rPr>
        <w:t xml:space="preserve"> </w:t>
      </w:r>
      <w:r>
        <w:rPr>
          <w:spacing w:val="-1"/>
        </w:rPr>
        <w:t>had</w:t>
      </w:r>
      <w:r>
        <w:rPr>
          <w:spacing w:val="22"/>
        </w:rPr>
        <w:t xml:space="preserve"> </w:t>
      </w:r>
      <w:r>
        <w:rPr>
          <w:spacing w:val="-2"/>
        </w:rPr>
        <w:t>previously</w:t>
      </w:r>
      <w:r>
        <w:rPr>
          <w:spacing w:val="20"/>
        </w:rPr>
        <w:t xml:space="preserve"> </w:t>
      </w:r>
      <w:r>
        <w:rPr>
          <w:spacing w:val="-1"/>
        </w:rPr>
        <w:t>been</w:t>
      </w:r>
      <w:r>
        <w:rPr>
          <w:spacing w:val="44"/>
        </w:rPr>
        <w:t xml:space="preserve"> </w:t>
      </w:r>
      <w:r>
        <w:rPr>
          <w:spacing w:val="-1"/>
        </w:rPr>
        <w:t>performed</w:t>
      </w:r>
      <w:r>
        <w:rPr>
          <w:spacing w:val="-2"/>
        </w:rPr>
        <w:t xml:space="preserve"> </w:t>
      </w:r>
      <w:r>
        <w:rPr>
          <w:spacing w:val="-1"/>
        </w:rPr>
        <w:t>by</w:t>
      </w:r>
      <w:r>
        <w:rPr>
          <w:spacing w:val="-2"/>
        </w:rPr>
        <w:t xml:space="preserve"> </w:t>
      </w:r>
      <w:r>
        <w:t>the</w:t>
      </w:r>
      <w:r>
        <w:rPr>
          <w:spacing w:val="-1"/>
        </w:rPr>
        <w:t xml:space="preserve"> Customer;</w:t>
      </w:r>
      <w:r>
        <w:rPr>
          <w:spacing w:val="2"/>
        </w:rPr>
        <w:t xml:space="preserve"> </w:t>
      </w:r>
      <w:r>
        <w:rPr>
          <w:spacing w:val="-3"/>
        </w:rPr>
        <w:t>or</w:t>
      </w:r>
    </w:p>
    <w:p w:rsidR="008918FA" w:rsidRDefault="008918FA" w:rsidP="008918FA">
      <w:pPr>
        <w:pStyle w:val="BodyText"/>
        <w:numPr>
          <w:ilvl w:val="2"/>
          <w:numId w:val="66"/>
        </w:numPr>
        <w:tabs>
          <w:tab w:val="left" w:pos="2227"/>
        </w:tabs>
        <w:ind w:right="117"/>
        <w:jc w:val="both"/>
      </w:pPr>
      <w:r>
        <w:rPr>
          <w:spacing w:val="-1"/>
        </w:rPr>
        <w:t>any</w:t>
      </w:r>
      <w:r>
        <w:rPr>
          <w:spacing w:val="27"/>
        </w:rPr>
        <w:t xml:space="preserve"> </w:t>
      </w:r>
      <w:r>
        <w:rPr>
          <w:spacing w:val="-1"/>
        </w:rPr>
        <w:t>private</w:t>
      </w:r>
      <w:r>
        <w:rPr>
          <w:spacing w:val="29"/>
        </w:rPr>
        <w:t xml:space="preserve"> </w:t>
      </w:r>
      <w:r>
        <w:rPr>
          <w:spacing w:val="-1"/>
        </w:rPr>
        <w:t>sector</w:t>
      </w:r>
      <w:r>
        <w:rPr>
          <w:spacing w:val="30"/>
        </w:rPr>
        <w:t xml:space="preserve"> </w:t>
      </w:r>
      <w:r>
        <w:rPr>
          <w:spacing w:val="-1"/>
        </w:rPr>
        <w:t>body</w:t>
      </w:r>
      <w:r>
        <w:rPr>
          <w:spacing w:val="25"/>
        </w:rPr>
        <w:t xml:space="preserve"> </w:t>
      </w:r>
      <w:r>
        <w:rPr>
          <w:spacing w:val="-1"/>
        </w:rPr>
        <w:t>which</w:t>
      </w:r>
      <w:r>
        <w:rPr>
          <w:spacing w:val="30"/>
        </w:rPr>
        <w:t xml:space="preserve"> </w:t>
      </w:r>
      <w:r>
        <w:rPr>
          <w:spacing w:val="-1"/>
        </w:rPr>
        <w:t>substantially</w:t>
      </w:r>
      <w:r>
        <w:rPr>
          <w:spacing w:val="27"/>
        </w:rPr>
        <w:t xml:space="preserve"> </w:t>
      </w:r>
      <w:r>
        <w:rPr>
          <w:spacing w:val="-1"/>
        </w:rPr>
        <w:t>performs</w:t>
      </w:r>
      <w:r>
        <w:rPr>
          <w:spacing w:val="27"/>
        </w:rPr>
        <w:t xml:space="preserve"> </w:t>
      </w:r>
      <w:r>
        <w:t>the</w:t>
      </w:r>
      <w:r>
        <w:rPr>
          <w:spacing w:val="27"/>
        </w:rPr>
        <w:t xml:space="preserve"> </w:t>
      </w:r>
      <w:r>
        <w:rPr>
          <w:spacing w:val="-1"/>
        </w:rPr>
        <w:t>functions</w:t>
      </w:r>
      <w:r>
        <w:rPr>
          <w:spacing w:val="30"/>
        </w:rPr>
        <w:t xml:space="preserve"> </w:t>
      </w:r>
      <w:r>
        <w:rPr>
          <w:spacing w:val="-2"/>
        </w:rPr>
        <w:t>of</w:t>
      </w:r>
      <w:r>
        <w:rPr>
          <w:spacing w:val="49"/>
        </w:rPr>
        <w:t xml:space="preserve"> </w:t>
      </w:r>
      <w:r>
        <w:t xml:space="preserve">the </w:t>
      </w:r>
      <w:r>
        <w:rPr>
          <w:spacing w:val="-1"/>
        </w:rPr>
        <w:t>Customer,</w:t>
      </w:r>
    </w:p>
    <w:p w:rsidR="008918FA" w:rsidRDefault="008918FA" w:rsidP="008918FA">
      <w:pPr>
        <w:pStyle w:val="BodyText"/>
        <w:ind w:left="1232" w:right="116" w:firstLine="0"/>
        <w:jc w:val="both"/>
      </w:pPr>
      <w:r>
        <w:rPr>
          <w:spacing w:val="-1"/>
        </w:rPr>
        <w:t>and</w:t>
      </w:r>
      <w:r>
        <w:rPr>
          <w:spacing w:val="33"/>
        </w:rPr>
        <w:t xml:space="preserve"> </w:t>
      </w:r>
      <w:r>
        <w:t>the</w:t>
      </w:r>
      <w:r>
        <w:rPr>
          <w:spacing w:val="32"/>
        </w:rPr>
        <w:t xml:space="preserve"> </w:t>
      </w:r>
      <w:r>
        <w:rPr>
          <w:spacing w:val="-2"/>
        </w:rPr>
        <w:t>Supplier</w:t>
      </w:r>
      <w:r>
        <w:rPr>
          <w:spacing w:val="34"/>
        </w:rPr>
        <w:t xml:space="preserve"> </w:t>
      </w:r>
      <w:r>
        <w:rPr>
          <w:spacing w:val="-1"/>
        </w:rPr>
        <w:t>shall,</w:t>
      </w:r>
      <w:r>
        <w:rPr>
          <w:spacing w:val="34"/>
        </w:rPr>
        <w:t xml:space="preserve"> </w:t>
      </w:r>
      <w:r>
        <w:rPr>
          <w:spacing w:val="-1"/>
        </w:rPr>
        <w:t>at</w:t>
      </w:r>
      <w:r>
        <w:rPr>
          <w:spacing w:val="32"/>
        </w:rPr>
        <w:t xml:space="preserve"> </w:t>
      </w:r>
      <w:r>
        <w:t>the</w:t>
      </w:r>
      <w:r>
        <w:rPr>
          <w:spacing w:val="32"/>
        </w:rPr>
        <w:t xml:space="preserve"> </w:t>
      </w:r>
      <w:r>
        <w:rPr>
          <w:spacing w:val="-1"/>
        </w:rPr>
        <w:t>Customer’s</w:t>
      </w:r>
      <w:r>
        <w:rPr>
          <w:spacing w:val="32"/>
        </w:rPr>
        <w:t xml:space="preserve"> </w:t>
      </w:r>
      <w:r>
        <w:rPr>
          <w:spacing w:val="-1"/>
        </w:rPr>
        <w:t>request,</w:t>
      </w:r>
      <w:r>
        <w:rPr>
          <w:spacing w:val="34"/>
        </w:rPr>
        <w:t xml:space="preserve"> </w:t>
      </w:r>
      <w:r>
        <w:rPr>
          <w:spacing w:val="-1"/>
        </w:rPr>
        <w:t>enter</w:t>
      </w:r>
      <w:r>
        <w:rPr>
          <w:spacing w:val="34"/>
        </w:rPr>
        <w:t xml:space="preserve"> </w:t>
      </w:r>
      <w:r>
        <w:rPr>
          <w:spacing w:val="-1"/>
        </w:rPr>
        <w:t>into</w:t>
      </w:r>
      <w:r>
        <w:rPr>
          <w:spacing w:val="32"/>
        </w:rPr>
        <w:t xml:space="preserve"> </w:t>
      </w:r>
      <w:r>
        <w:t>a</w:t>
      </w:r>
      <w:r>
        <w:rPr>
          <w:spacing w:val="32"/>
        </w:rPr>
        <w:t xml:space="preserve"> </w:t>
      </w:r>
      <w:r>
        <w:rPr>
          <w:spacing w:val="-1"/>
        </w:rPr>
        <w:t>novation</w:t>
      </w:r>
      <w:r>
        <w:rPr>
          <w:spacing w:val="31"/>
        </w:rPr>
        <w:t xml:space="preserve"> </w:t>
      </w:r>
      <w:r>
        <w:rPr>
          <w:spacing w:val="-1"/>
        </w:rPr>
        <w:t>agreement</w:t>
      </w:r>
      <w:r>
        <w:rPr>
          <w:spacing w:val="40"/>
        </w:rPr>
        <w:t xml:space="preserve"> </w:t>
      </w:r>
      <w:r>
        <w:rPr>
          <w:spacing w:val="-1"/>
        </w:rPr>
        <w:t>in</w:t>
      </w:r>
      <w:r>
        <w:rPr>
          <w:spacing w:val="38"/>
        </w:rPr>
        <w:t xml:space="preserve"> </w:t>
      </w:r>
      <w:r>
        <w:rPr>
          <w:spacing w:val="-1"/>
        </w:rPr>
        <w:t>such</w:t>
      </w:r>
      <w:r>
        <w:rPr>
          <w:spacing w:val="37"/>
        </w:rPr>
        <w:t xml:space="preserve"> </w:t>
      </w:r>
      <w:r>
        <w:t>form</w:t>
      </w:r>
      <w:r>
        <w:rPr>
          <w:spacing w:val="37"/>
        </w:rPr>
        <w:t xml:space="preserve"> </w:t>
      </w:r>
      <w:r>
        <w:rPr>
          <w:spacing w:val="-1"/>
        </w:rPr>
        <w:t>as</w:t>
      </w:r>
      <w:r>
        <w:rPr>
          <w:spacing w:val="39"/>
        </w:rPr>
        <w:t xml:space="preserve"> </w:t>
      </w:r>
      <w:r>
        <w:t>the</w:t>
      </w:r>
      <w:r>
        <w:rPr>
          <w:spacing w:val="39"/>
        </w:rPr>
        <w:t xml:space="preserve"> </w:t>
      </w:r>
      <w:r>
        <w:rPr>
          <w:spacing w:val="-1"/>
        </w:rPr>
        <w:t>Customer</w:t>
      </w:r>
      <w:r>
        <w:rPr>
          <w:spacing w:val="41"/>
        </w:rPr>
        <w:t xml:space="preserve"> </w:t>
      </w:r>
      <w:r>
        <w:rPr>
          <w:spacing w:val="-1"/>
        </w:rPr>
        <w:t>shall</w:t>
      </w:r>
      <w:r>
        <w:rPr>
          <w:spacing w:val="38"/>
        </w:rPr>
        <w:t xml:space="preserve"> </w:t>
      </w:r>
      <w:r>
        <w:rPr>
          <w:spacing w:val="-1"/>
        </w:rPr>
        <w:t>reasonably</w:t>
      </w:r>
      <w:r>
        <w:rPr>
          <w:spacing w:val="36"/>
        </w:rPr>
        <w:t xml:space="preserve"> </w:t>
      </w:r>
      <w:r>
        <w:rPr>
          <w:spacing w:val="-1"/>
        </w:rPr>
        <w:t>specify</w:t>
      </w:r>
      <w:r>
        <w:rPr>
          <w:spacing w:val="36"/>
        </w:rPr>
        <w:t xml:space="preserve"> </w:t>
      </w:r>
      <w:r>
        <w:rPr>
          <w:spacing w:val="-1"/>
        </w:rPr>
        <w:t>in</w:t>
      </w:r>
      <w:r>
        <w:rPr>
          <w:spacing w:val="38"/>
        </w:rPr>
        <w:t xml:space="preserve"> </w:t>
      </w:r>
      <w:r>
        <w:rPr>
          <w:spacing w:val="-1"/>
        </w:rPr>
        <w:t>order</w:t>
      </w:r>
      <w:r>
        <w:rPr>
          <w:spacing w:val="40"/>
        </w:rPr>
        <w:t xml:space="preserve"> </w:t>
      </w:r>
      <w:r>
        <w:t>to</w:t>
      </w:r>
      <w:r>
        <w:rPr>
          <w:spacing w:val="35"/>
        </w:rPr>
        <w:t xml:space="preserve"> </w:t>
      </w:r>
      <w:r>
        <w:rPr>
          <w:spacing w:val="-1"/>
        </w:rPr>
        <w:t>enable</w:t>
      </w:r>
      <w:r>
        <w:t xml:space="preserve"> the </w:t>
      </w:r>
      <w:r>
        <w:rPr>
          <w:spacing w:val="-2"/>
        </w:rPr>
        <w:t>Customer</w:t>
      </w:r>
      <w:r>
        <w:rPr>
          <w:spacing w:val="-1"/>
        </w:rPr>
        <w:t xml:space="preserve"> </w:t>
      </w:r>
      <w:r>
        <w:t>to</w:t>
      </w:r>
      <w:r>
        <w:rPr>
          <w:spacing w:val="-4"/>
        </w:rPr>
        <w:t xml:space="preserve"> </w:t>
      </w:r>
      <w:r>
        <w:rPr>
          <w:spacing w:val="-1"/>
        </w:rPr>
        <w:t>exercise</w:t>
      </w:r>
      <w:r>
        <w:rPr>
          <w:spacing w:val="1"/>
        </w:rPr>
        <w:t xml:space="preserve"> </w:t>
      </w:r>
      <w:r>
        <w:rPr>
          <w:spacing w:val="-1"/>
        </w:rPr>
        <w:t>its</w:t>
      </w:r>
      <w:r>
        <w:rPr>
          <w:spacing w:val="1"/>
        </w:rPr>
        <w:t xml:space="preserve"> </w:t>
      </w:r>
      <w:r>
        <w:rPr>
          <w:spacing w:val="-1"/>
        </w:rPr>
        <w:t>rights</w:t>
      </w:r>
      <w:r>
        <w:rPr>
          <w:spacing w:val="1"/>
        </w:rPr>
        <w:t xml:space="preserve"> </w:t>
      </w:r>
      <w:r>
        <w:rPr>
          <w:spacing w:val="-2"/>
        </w:rPr>
        <w:t>pursuant</w:t>
      </w:r>
      <w:r>
        <w:t xml:space="preserve"> to</w:t>
      </w:r>
      <w:r>
        <w:rPr>
          <w:spacing w:val="-2"/>
        </w:rPr>
        <w:t xml:space="preserve"> </w:t>
      </w:r>
      <w:r>
        <w:rPr>
          <w:spacing w:val="-1"/>
        </w:rPr>
        <w:t>this</w:t>
      </w:r>
      <w:r>
        <w:rPr>
          <w:spacing w:val="1"/>
        </w:rPr>
        <w:t xml:space="preserve"> </w:t>
      </w:r>
      <w:r>
        <w:rPr>
          <w:spacing w:val="-2"/>
        </w:rPr>
        <w:t>Clause</w:t>
      </w:r>
      <w:r>
        <w:rPr>
          <w:spacing w:val="2"/>
        </w:rPr>
        <w:t xml:space="preserve"> </w:t>
      </w:r>
      <w:hyperlink w:anchor="_bookmark257" w:history="1">
        <w:r>
          <w:rPr>
            <w:spacing w:val="-1"/>
          </w:rPr>
          <w:t>47.2</w:t>
        </w:r>
      </w:hyperlink>
      <w:r>
        <w:rPr>
          <w:spacing w:val="-1"/>
        </w:rPr>
        <w:t>.</w:t>
      </w:r>
    </w:p>
    <w:p w:rsidR="008918FA" w:rsidRDefault="008918FA" w:rsidP="008918FA">
      <w:pPr>
        <w:pStyle w:val="BodyText"/>
        <w:numPr>
          <w:ilvl w:val="1"/>
          <w:numId w:val="66"/>
        </w:numPr>
        <w:tabs>
          <w:tab w:val="left" w:pos="1234"/>
        </w:tabs>
        <w:ind w:left="1029" w:right="115" w:hanging="360"/>
        <w:jc w:val="both"/>
      </w:pPr>
      <w:r>
        <w:t>A</w:t>
      </w:r>
      <w:r>
        <w:rPr>
          <w:spacing w:val="1"/>
        </w:rPr>
        <w:t xml:space="preserve"> </w:t>
      </w:r>
      <w:r>
        <w:rPr>
          <w:spacing w:val="-1"/>
        </w:rPr>
        <w:t>change</w:t>
      </w:r>
      <w:r>
        <w:rPr>
          <w:spacing w:val="2"/>
        </w:rPr>
        <w:t xml:space="preserve"> </w:t>
      </w:r>
      <w:r>
        <w:rPr>
          <w:spacing w:val="-1"/>
        </w:rPr>
        <w:t>in</w:t>
      </w:r>
      <w:r>
        <w:rPr>
          <w:spacing w:val="2"/>
        </w:rPr>
        <w:t xml:space="preserve"> </w:t>
      </w:r>
      <w:r>
        <w:t>the</w:t>
      </w:r>
      <w:r>
        <w:rPr>
          <w:spacing w:val="2"/>
        </w:rPr>
        <w:t xml:space="preserve"> </w:t>
      </w:r>
      <w:r>
        <w:rPr>
          <w:spacing w:val="-1"/>
        </w:rPr>
        <w:t>legal</w:t>
      </w:r>
      <w:r>
        <w:rPr>
          <w:spacing w:val="1"/>
        </w:rPr>
        <w:t xml:space="preserve"> </w:t>
      </w:r>
      <w:r>
        <w:rPr>
          <w:spacing w:val="-1"/>
        </w:rPr>
        <w:t>status</w:t>
      </w:r>
      <w:r>
        <w:rPr>
          <w:spacing w:val="2"/>
        </w:rPr>
        <w:t xml:space="preserve"> </w:t>
      </w:r>
      <w:r>
        <w:rPr>
          <w:spacing w:val="-2"/>
        </w:rPr>
        <w:t>of</w:t>
      </w:r>
      <w:r>
        <w:rPr>
          <w:spacing w:val="3"/>
        </w:rPr>
        <w:t xml:space="preserve"> </w:t>
      </w:r>
      <w:r>
        <w:t>the</w:t>
      </w:r>
      <w:r>
        <w:rPr>
          <w:spacing w:val="2"/>
        </w:rPr>
        <w:t xml:space="preserve"> </w:t>
      </w:r>
      <w:r>
        <w:rPr>
          <w:spacing w:val="-1"/>
        </w:rPr>
        <w:t>Customer</w:t>
      </w:r>
      <w:r>
        <w:t xml:space="preserve"> </w:t>
      </w:r>
      <w:r>
        <w:rPr>
          <w:spacing w:val="-1"/>
        </w:rPr>
        <w:t>such</w:t>
      </w:r>
      <w:r>
        <w:rPr>
          <w:spacing w:val="2"/>
        </w:rPr>
        <w:t xml:space="preserve"> </w:t>
      </w:r>
      <w:r>
        <w:rPr>
          <w:spacing w:val="-1"/>
        </w:rPr>
        <w:t>that</w:t>
      </w:r>
      <w:r>
        <w:rPr>
          <w:spacing w:val="3"/>
        </w:rPr>
        <w:t xml:space="preserve"> </w:t>
      </w:r>
      <w:r>
        <w:rPr>
          <w:spacing w:val="-1"/>
        </w:rPr>
        <w:t>it</w:t>
      </w:r>
      <w:r>
        <w:rPr>
          <w:spacing w:val="3"/>
        </w:rPr>
        <w:t xml:space="preserve"> </w:t>
      </w:r>
      <w:r>
        <w:rPr>
          <w:spacing w:val="-1"/>
        </w:rPr>
        <w:t>ceases</w:t>
      </w:r>
      <w:r>
        <w:rPr>
          <w:spacing w:val="2"/>
        </w:rPr>
        <w:t xml:space="preserve"> </w:t>
      </w:r>
      <w:r>
        <w:t>to</w:t>
      </w:r>
      <w:r>
        <w:rPr>
          <w:spacing w:val="60"/>
        </w:rPr>
        <w:t xml:space="preserve"> </w:t>
      </w:r>
      <w:r>
        <w:rPr>
          <w:spacing w:val="-1"/>
        </w:rPr>
        <w:t>be</w:t>
      </w:r>
      <w:r>
        <w:rPr>
          <w:spacing w:val="4"/>
        </w:rPr>
        <w:t xml:space="preserve"> </w:t>
      </w:r>
      <w:r>
        <w:t>a</w:t>
      </w:r>
      <w:r>
        <w:rPr>
          <w:spacing w:val="51"/>
        </w:rPr>
        <w:t xml:space="preserve"> </w:t>
      </w:r>
      <w:r>
        <w:rPr>
          <w:spacing w:val="-1"/>
        </w:rPr>
        <w:t>Contracting</w:t>
      </w:r>
      <w:r>
        <w:rPr>
          <w:spacing w:val="10"/>
        </w:rPr>
        <w:t xml:space="preserve"> </w:t>
      </w:r>
      <w:r>
        <w:rPr>
          <w:spacing w:val="-1"/>
        </w:rPr>
        <w:t>Body</w:t>
      </w:r>
      <w:r>
        <w:rPr>
          <w:spacing w:val="5"/>
        </w:rPr>
        <w:t xml:space="preserve"> </w:t>
      </w:r>
      <w:r>
        <w:rPr>
          <w:spacing w:val="-1"/>
        </w:rPr>
        <w:t>shall</w:t>
      </w:r>
      <w:r>
        <w:rPr>
          <w:spacing w:val="7"/>
        </w:rPr>
        <w:t xml:space="preserve"> </w:t>
      </w:r>
      <w:r>
        <w:rPr>
          <w:spacing w:val="-1"/>
        </w:rPr>
        <w:t>not,</w:t>
      </w:r>
      <w:r>
        <w:rPr>
          <w:spacing w:val="9"/>
        </w:rPr>
        <w:t xml:space="preserve"> </w:t>
      </w:r>
      <w:r>
        <w:rPr>
          <w:spacing w:val="-1"/>
        </w:rPr>
        <w:t>subject</w:t>
      </w:r>
      <w:r>
        <w:rPr>
          <w:spacing w:val="7"/>
        </w:rPr>
        <w:t xml:space="preserve"> </w:t>
      </w:r>
      <w:r>
        <w:t>to</w:t>
      </w:r>
      <w:r>
        <w:rPr>
          <w:spacing w:val="7"/>
        </w:rPr>
        <w:t xml:space="preserve"> </w:t>
      </w:r>
      <w:r>
        <w:rPr>
          <w:spacing w:val="-2"/>
        </w:rPr>
        <w:t>Clause</w:t>
      </w:r>
      <w:r>
        <w:rPr>
          <w:spacing w:val="8"/>
        </w:rPr>
        <w:t xml:space="preserve"> </w:t>
      </w:r>
      <w:hyperlink w:anchor="_bookmark258" w:history="1">
        <w:r>
          <w:rPr>
            <w:spacing w:val="-1"/>
          </w:rPr>
          <w:t>47.4</w:t>
        </w:r>
      </w:hyperlink>
      <w:r>
        <w:rPr>
          <w:spacing w:val="10"/>
        </w:rPr>
        <w:t xml:space="preserve"> </w:t>
      </w:r>
      <w:r>
        <w:rPr>
          <w:spacing w:val="-1"/>
        </w:rPr>
        <w:t>affect</w:t>
      </w:r>
      <w:r>
        <w:rPr>
          <w:spacing w:val="7"/>
        </w:rPr>
        <w:t xml:space="preserve"> </w:t>
      </w:r>
      <w:r>
        <w:t>the</w:t>
      </w:r>
      <w:r>
        <w:rPr>
          <w:spacing w:val="7"/>
        </w:rPr>
        <w:t xml:space="preserve"> </w:t>
      </w:r>
      <w:r>
        <w:rPr>
          <w:spacing w:val="-2"/>
        </w:rPr>
        <w:t>validity</w:t>
      </w:r>
      <w:r>
        <w:rPr>
          <w:spacing w:val="5"/>
        </w:rPr>
        <w:t xml:space="preserve"> </w:t>
      </w:r>
      <w:r>
        <w:rPr>
          <w:spacing w:val="-1"/>
        </w:rPr>
        <w:t>of</w:t>
      </w:r>
      <w:r>
        <w:rPr>
          <w:spacing w:val="11"/>
        </w:rPr>
        <w:t xml:space="preserve"> </w:t>
      </w:r>
      <w:r>
        <w:rPr>
          <w:spacing w:val="-1"/>
        </w:rPr>
        <w:t>this</w:t>
      </w:r>
      <w:r>
        <w:rPr>
          <w:spacing w:val="8"/>
        </w:rPr>
        <w:t xml:space="preserve"> </w:t>
      </w:r>
      <w:r>
        <w:rPr>
          <w:spacing w:val="-2"/>
        </w:rPr>
        <w:t>Call</w:t>
      </w:r>
      <w:r>
        <w:rPr>
          <w:spacing w:val="4"/>
        </w:rPr>
        <w:t xml:space="preserve"> </w:t>
      </w:r>
      <w:r>
        <w:rPr>
          <w:spacing w:val="-1"/>
        </w:rPr>
        <w:t>Off</w:t>
      </w:r>
      <w:r>
        <w:rPr>
          <w:spacing w:val="57"/>
        </w:rPr>
        <w:t xml:space="preserve"> </w:t>
      </w:r>
      <w:r>
        <w:rPr>
          <w:spacing w:val="-1"/>
        </w:rPr>
        <w:t>Contract</w:t>
      </w:r>
      <w:r>
        <w:rPr>
          <w:spacing w:val="19"/>
        </w:rPr>
        <w:t xml:space="preserve"> </w:t>
      </w:r>
      <w:r>
        <w:rPr>
          <w:spacing w:val="-1"/>
        </w:rPr>
        <w:t>and</w:t>
      </w:r>
      <w:r>
        <w:rPr>
          <w:spacing w:val="17"/>
        </w:rPr>
        <w:t xml:space="preserve"> </w:t>
      </w:r>
      <w:r>
        <w:rPr>
          <w:spacing w:val="-1"/>
        </w:rPr>
        <w:t>this</w:t>
      </w:r>
      <w:r>
        <w:rPr>
          <w:spacing w:val="18"/>
        </w:rPr>
        <w:t xml:space="preserve"> </w:t>
      </w:r>
      <w:r>
        <w:rPr>
          <w:spacing w:val="-2"/>
        </w:rPr>
        <w:t>Call</w:t>
      </w:r>
      <w:r>
        <w:rPr>
          <w:spacing w:val="17"/>
        </w:rPr>
        <w:t xml:space="preserve"> </w:t>
      </w:r>
      <w:r>
        <w:t>Off</w:t>
      </w:r>
      <w:r>
        <w:rPr>
          <w:spacing w:val="19"/>
        </w:rPr>
        <w:t xml:space="preserve"> </w:t>
      </w:r>
      <w:r>
        <w:rPr>
          <w:spacing w:val="-1"/>
        </w:rPr>
        <w:t>Contract</w:t>
      </w:r>
      <w:r>
        <w:rPr>
          <w:spacing w:val="19"/>
        </w:rPr>
        <w:t xml:space="preserve"> </w:t>
      </w:r>
      <w:r>
        <w:rPr>
          <w:spacing w:val="-1"/>
        </w:rPr>
        <w:t>shall</w:t>
      </w:r>
      <w:r>
        <w:rPr>
          <w:spacing w:val="17"/>
        </w:rPr>
        <w:t xml:space="preserve"> </w:t>
      </w:r>
      <w:r>
        <w:rPr>
          <w:spacing w:val="-1"/>
        </w:rPr>
        <w:t>be</w:t>
      </w:r>
      <w:r>
        <w:rPr>
          <w:spacing w:val="17"/>
        </w:rPr>
        <w:t xml:space="preserve"> </w:t>
      </w:r>
      <w:r>
        <w:rPr>
          <w:spacing w:val="-2"/>
        </w:rPr>
        <w:t>binding</w:t>
      </w:r>
      <w:r>
        <w:rPr>
          <w:spacing w:val="20"/>
        </w:rPr>
        <w:t xml:space="preserve"> </w:t>
      </w:r>
      <w:r>
        <w:rPr>
          <w:spacing w:val="-1"/>
        </w:rPr>
        <w:t>on</w:t>
      </w:r>
      <w:r>
        <w:rPr>
          <w:spacing w:val="17"/>
        </w:rPr>
        <w:t xml:space="preserve"> </w:t>
      </w:r>
      <w:r>
        <w:rPr>
          <w:spacing w:val="-1"/>
        </w:rPr>
        <w:t>any</w:t>
      </w:r>
      <w:r>
        <w:rPr>
          <w:spacing w:val="15"/>
        </w:rPr>
        <w:t xml:space="preserve"> </w:t>
      </w:r>
      <w:r>
        <w:rPr>
          <w:spacing w:val="-1"/>
        </w:rPr>
        <w:t>successor</w:t>
      </w:r>
      <w:r>
        <w:rPr>
          <w:spacing w:val="19"/>
        </w:rPr>
        <w:t xml:space="preserve"> </w:t>
      </w:r>
      <w:r>
        <w:rPr>
          <w:spacing w:val="-2"/>
        </w:rPr>
        <w:t>body</w:t>
      </w:r>
      <w:r>
        <w:rPr>
          <w:spacing w:val="15"/>
        </w:rPr>
        <w:t xml:space="preserve"> </w:t>
      </w:r>
      <w:r>
        <w:t>to</w:t>
      </w:r>
      <w:r>
        <w:rPr>
          <w:spacing w:val="17"/>
        </w:rPr>
        <w:t xml:space="preserve"> </w:t>
      </w:r>
      <w:r>
        <w:rPr>
          <w:spacing w:val="-1"/>
        </w:rPr>
        <w:t>the</w:t>
      </w:r>
      <w:r>
        <w:rPr>
          <w:spacing w:val="58"/>
        </w:rPr>
        <w:t xml:space="preserve"> </w:t>
      </w:r>
      <w:r>
        <w:rPr>
          <w:spacing w:val="-1"/>
        </w:rPr>
        <w:t>Customer.</w:t>
      </w:r>
    </w:p>
    <w:p w:rsidR="008918FA" w:rsidRDefault="008918FA" w:rsidP="008918FA">
      <w:pPr>
        <w:pStyle w:val="BodyText"/>
        <w:numPr>
          <w:ilvl w:val="1"/>
          <w:numId w:val="66"/>
        </w:numPr>
        <w:tabs>
          <w:tab w:val="left" w:pos="1234"/>
        </w:tabs>
        <w:spacing w:before="121" w:line="239" w:lineRule="auto"/>
        <w:ind w:left="1029" w:right="111" w:hanging="360"/>
        <w:jc w:val="both"/>
      </w:pPr>
      <w:r>
        <w:rPr>
          <w:spacing w:val="-1"/>
        </w:rPr>
        <w:t>If</w:t>
      </w:r>
      <w:r>
        <w:rPr>
          <w:spacing w:val="57"/>
        </w:rPr>
        <w:t xml:space="preserve"> </w:t>
      </w:r>
      <w:r>
        <w:t>the</w:t>
      </w:r>
      <w:r>
        <w:rPr>
          <w:spacing w:val="55"/>
        </w:rPr>
        <w:t xml:space="preserve"> </w:t>
      </w:r>
      <w:r>
        <w:rPr>
          <w:spacing w:val="-1"/>
        </w:rPr>
        <w:t>Customer</w:t>
      </w:r>
      <w:r>
        <w:rPr>
          <w:spacing w:val="57"/>
        </w:rPr>
        <w:t xml:space="preserve"> </w:t>
      </w:r>
      <w:r>
        <w:rPr>
          <w:spacing w:val="-1"/>
        </w:rPr>
        <w:t>assigns,</w:t>
      </w:r>
      <w:r>
        <w:rPr>
          <w:spacing w:val="57"/>
        </w:rPr>
        <w:t xml:space="preserve"> </w:t>
      </w:r>
      <w:r>
        <w:rPr>
          <w:spacing w:val="-1"/>
        </w:rPr>
        <w:t>novates</w:t>
      </w:r>
      <w:r>
        <w:rPr>
          <w:spacing w:val="56"/>
        </w:rPr>
        <w:t xml:space="preserve"> </w:t>
      </w:r>
      <w:r>
        <w:rPr>
          <w:spacing w:val="-1"/>
        </w:rPr>
        <w:t>or</w:t>
      </w:r>
      <w:r>
        <w:rPr>
          <w:spacing w:val="57"/>
        </w:rPr>
        <w:t xml:space="preserve"> </w:t>
      </w:r>
      <w:r>
        <w:rPr>
          <w:spacing w:val="-2"/>
        </w:rPr>
        <w:t>otherwise</w:t>
      </w:r>
      <w:r>
        <w:rPr>
          <w:spacing w:val="57"/>
        </w:rPr>
        <w:t xml:space="preserve"> </w:t>
      </w:r>
      <w:r>
        <w:rPr>
          <w:spacing w:val="-1"/>
        </w:rPr>
        <w:t>disposes</w:t>
      </w:r>
      <w:r>
        <w:rPr>
          <w:spacing w:val="56"/>
        </w:rPr>
        <w:t xml:space="preserve"> </w:t>
      </w:r>
      <w:r>
        <w:rPr>
          <w:spacing w:val="-2"/>
        </w:rPr>
        <w:t>of</w:t>
      </w:r>
      <w:r>
        <w:rPr>
          <w:spacing w:val="59"/>
        </w:rPr>
        <w:t xml:space="preserve"> </w:t>
      </w:r>
      <w:r>
        <w:rPr>
          <w:spacing w:val="-1"/>
        </w:rPr>
        <w:t>any</w:t>
      </w:r>
      <w:r>
        <w:rPr>
          <w:spacing w:val="53"/>
        </w:rPr>
        <w:t xml:space="preserve"> </w:t>
      </w:r>
      <w:r>
        <w:rPr>
          <w:spacing w:val="-2"/>
        </w:rPr>
        <w:t>of</w:t>
      </w:r>
      <w:r>
        <w:rPr>
          <w:spacing w:val="59"/>
        </w:rPr>
        <w:t xml:space="preserve"> </w:t>
      </w:r>
      <w:r>
        <w:rPr>
          <w:spacing w:val="-1"/>
        </w:rPr>
        <w:t>its</w:t>
      </w:r>
      <w:r>
        <w:rPr>
          <w:spacing w:val="53"/>
        </w:rPr>
        <w:t xml:space="preserve"> </w:t>
      </w:r>
      <w:r>
        <w:rPr>
          <w:spacing w:val="-1"/>
        </w:rPr>
        <w:t>rights,</w:t>
      </w:r>
      <w:r>
        <w:rPr>
          <w:spacing w:val="47"/>
        </w:rPr>
        <w:t xml:space="preserve"> </w:t>
      </w:r>
      <w:r>
        <w:rPr>
          <w:spacing w:val="-1"/>
        </w:rPr>
        <w:t>obligations</w:t>
      </w:r>
      <w:r>
        <w:rPr>
          <w:spacing w:val="61"/>
        </w:rPr>
        <w:t xml:space="preserve"> </w:t>
      </w:r>
      <w:r>
        <w:rPr>
          <w:spacing w:val="-2"/>
        </w:rPr>
        <w:t>or</w:t>
      </w:r>
      <w:r>
        <w:t xml:space="preserve"> </w:t>
      </w:r>
      <w:r>
        <w:rPr>
          <w:spacing w:val="-2"/>
        </w:rPr>
        <w:t>liabilities</w:t>
      </w:r>
      <w:r>
        <w:t xml:space="preserve"> </w:t>
      </w:r>
      <w:r>
        <w:rPr>
          <w:spacing w:val="-1"/>
        </w:rPr>
        <w:t>under</w:t>
      </w:r>
      <w:r>
        <w:t xml:space="preserve">  </w:t>
      </w:r>
      <w:r>
        <w:rPr>
          <w:spacing w:val="-1"/>
        </w:rPr>
        <w:t>this</w:t>
      </w:r>
      <w:r>
        <w:rPr>
          <w:spacing w:val="58"/>
        </w:rPr>
        <w:t xml:space="preserve"> </w:t>
      </w:r>
      <w:r>
        <w:rPr>
          <w:spacing w:val="-2"/>
        </w:rPr>
        <w:t>Call</w:t>
      </w:r>
      <w:r>
        <w:rPr>
          <w:spacing w:val="59"/>
        </w:rPr>
        <w:t xml:space="preserve"> </w:t>
      </w:r>
      <w:r>
        <w:rPr>
          <w:spacing w:val="-1"/>
        </w:rPr>
        <w:t>Off</w:t>
      </w:r>
      <w:r>
        <w:rPr>
          <w:spacing w:val="1"/>
        </w:rPr>
        <w:t xml:space="preserve"> </w:t>
      </w:r>
      <w:r>
        <w:rPr>
          <w:spacing w:val="-2"/>
        </w:rPr>
        <w:t>Contract</w:t>
      </w:r>
      <w:r>
        <w:rPr>
          <w:spacing w:val="59"/>
        </w:rPr>
        <w:t xml:space="preserve"> </w:t>
      </w:r>
      <w:r>
        <w:t>to</w:t>
      </w:r>
      <w:r>
        <w:rPr>
          <w:spacing w:val="60"/>
        </w:rPr>
        <w:t xml:space="preserve"> </w:t>
      </w:r>
      <w:r>
        <w:t>a</w:t>
      </w:r>
      <w:r>
        <w:rPr>
          <w:spacing w:val="60"/>
        </w:rPr>
        <w:t xml:space="preserve"> </w:t>
      </w:r>
      <w:r>
        <w:rPr>
          <w:spacing w:val="-1"/>
        </w:rPr>
        <w:t>body</w:t>
      </w:r>
      <w:r>
        <w:rPr>
          <w:spacing w:val="59"/>
        </w:rPr>
        <w:t xml:space="preserve"> </w:t>
      </w:r>
      <w:r>
        <w:rPr>
          <w:spacing w:val="-2"/>
        </w:rPr>
        <w:t>which</w:t>
      </w:r>
      <w:r>
        <w:t xml:space="preserve">  </w:t>
      </w:r>
      <w:r>
        <w:rPr>
          <w:spacing w:val="-1"/>
        </w:rPr>
        <w:t>is</w:t>
      </w:r>
      <w:r>
        <w:t xml:space="preserve">  </w:t>
      </w:r>
      <w:r>
        <w:rPr>
          <w:spacing w:val="-1"/>
        </w:rPr>
        <w:t>not</w:t>
      </w:r>
      <w:r>
        <w:rPr>
          <w:spacing w:val="1"/>
        </w:rPr>
        <w:t xml:space="preserve"> </w:t>
      </w:r>
      <w:r>
        <w:t>a</w:t>
      </w:r>
      <w:r>
        <w:rPr>
          <w:spacing w:val="65"/>
        </w:rPr>
        <w:t xml:space="preserve"> </w:t>
      </w:r>
      <w:r>
        <w:rPr>
          <w:spacing w:val="-1"/>
        </w:rPr>
        <w:t>Contracting</w:t>
      </w:r>
      <w:r>
        <w:rPr>
          <w:spacing w:val="60"/>
        </w:rPr>
        <w:t xml:space="preserve"> </w:t>
      </w:r>
      <w:r>
        <w:rPr>
          <w:spacing w:val="-1"/>
        </w:rPr>
        <w:t>Body</w:t>
      </w:r>
      <w:r>
        <w:rPr>
          <w:spacing w:val="58"/>
        </w:rPr>
        <w:t xml:space="preserve"> </w:t>
      </w:r>
      <w:r>
        <w:rPr>
          <w:spacing w:val="-1"/>
        </w:rPr>
        <w:t>or</w:t>
      </w:r>
      <w:r>
        <w:t xml:space="preserve"> </w:t>
      </w:r>
      <w:r>
        <w:rPr>
          <w:spacing w:val="-2"/>
        </w:rPr>
        <w:t>if</w:t>
      </w:r>
      <w:r>
        <w:rPr>
          <w:spacing w:val="2"/>
        </w:rPr>
        <w:t xml:space="preserve"> </w:t>
      </w:r>
      <w:r>
        <w:t>a</w:t>
      </w:r>
      <w:r>
        <w:rPr>
          <w:spacing w:val="60"/>
        </w:rPr>
        <w:t xml:space="preserve"> </w:t>
      </w:r>
      <w:r>
        <w:rPr>
          <w:spacing w:val="-1"/>
        </w:rPr>
        <w:t>body</w:t>
      </w:r>
      <w:r>
        <w:rPr>
          <w:spacing w:val="58"/>
        </w:rPr>
        <w:t xml:space="preserve"> </w:t>
      </w:r>
      <w:r>
        <w:rPr>
          <w:spacing w:val="-1"/>
        </w:rPr>
        <w:t>which</w:t>
      </w:r>
      <w:r>
        <w:t xml:space="preserve">  </w:t>
      </w:r>
      <w:r>
        <w:rPr>
          <w:spacing w:val="-1"/>
        </w:rPr>
        <w:t>is</w:t>
      </w:r>
      <w:r>
        <w:t xml:space="preserve">  </w:t>
      </w:r>
      <w:bookmarkStart w:id="310" w:name="_bookmark258"/>
      <w:bookmarkEnd w:id="310"/>
      <w:r>
        <w:rPr>
          <w:spacing w:val="-1"/>
        </w:rPr>
        <w:t>not</w:t>
      </w:r>
      <w:r>
        <w:rPr>
          <w:spacing w:val="1"/>
        </w:rPr>
        <w:t xml:space="preserve"> </w:t>
      </w:r>
      <w:r>
        <w:t>a</w:t>
      </w:r>
      <w:r>
        <w:rPr>
          <w:spacing w:val="58"/>
        </w:rPr>
        <w:t xml:space="preserve"> </w:t>
      </w:r>
      <w:r>
        <w:rPr>
          <w:spacing w:val="-1"/>
        </w:rPr>
        <w:t>Contracting</w:t>
      </w:r>
      <w:r>
        <w:rPr>
          <w:spacing w:val="2"/>
        </w:rPr>
        <w:t xml:space="preserve"> </w:t>
      </w:r>
      <w:r>
        <w:rPr>
          <w:spacing w:val="-1"/>
        </w:rPr>
        <w:t>Body</w:t>
      </w:r>
      <w:r>
        <w:rPr>
          <w:spacing w:val="58"/>
        </w:rPr>
        <w:t xml:space="preserve"> </w:t>
      </w:r>
      <w:r>
        <w:rPr>
          <w:spacing w:val="-1"/>
        </w:rPr>
        <w:t>succeeds</w:t>
      </w:r>
      <w:r>
        <w:rPr>
          <w:spacing w:val="1"/>
        </w:rPr>
        <w:t xml:space="preserve"> </w:t>
      </w:r>
      <w:r>
        <w:rPr>
          <w:spacing w:val="-2"/>
        </w:rPr>
        <w:t>the</w:t>
      </w:r>
      <w:r>
        <w:rPr>
          <w:spacing w:val="27"/>
        </w:rPr>
        <w:t xml:space="preserve"> </w:t>
      </w:r>
      <w:r>
        <w:rPr>
          <w:spacing w:val="-1"/>
        </w:rPr>
        <w:t>Customer</w:t>
      </w:r>
      <w:r>
        <w:rPr>
          <w:spacing w:val="21"/>
        </w:rPr>
        <w:t xml:space="preserve"> </w:t>
      </w:r>
      <w:r>
        <w:rPr>
          <w:spacing w:val="-1"/>
        </w:rPr>
        <w:t>(both</w:t>
      </w:r>
      <w:r>
        <w:rPr>
          <w:spacing w:val="20"/>
        </w:rPr>
        <w:t xml:space="preserve"> </w:t>
      </w:r>
      <w:r>
        <w:rPr>
          <w:spacing w:val="-1"/>
        </w:rPr>
        <w:t>“</w:t>
      </w:r>
      <w:r>
        <w:rPr>
          <w:rFonts w:cs="Arial"/>
          <w:b/>
          <w:bCs/>
          <w:spacing w:val="-1"/>
        </w:rPr>
        <w:t>Transferee</w:t>
      </w:r>
      <w:r>
        <w:rPr>
          <w:spacing w:val="-1"/>
        </w:rPr>
        <w:t>”</w:t>
      </w:r>
      <w:r>
        <w:rPr>
          <w:spacing w:val="23"/>
        </w:rPr>
        <w:t xml:space="preserve"> </w:t>
      </w:r>
      <w:r>
        <w:rPr>
          <w:spacing w:val="-1"/>
        </w:rPr>
        <w:t>in</w:t>
      </w:r>
      <w:r>
        <w:rPr>
          <w:spacing w:val="20"/>
        </w:rPr>
        <w:t xml:space="preserve"> </w:t>
      </w:r>
      <w:r>
        <w:t>the</w:t>
      </w:r>
      <w:r>
        <w:rPr>
          <w:spacing w:val="20"/>
        </w:rPr>
        <w:t xml:space="preserve"> </w:t>
      </w:r>
      <w:r>
        <w:rPr>
          <w:spacing w:val="-1"/>
        </w:rPr>
        <w:t>rest</w:t>
      </w:r>
      <w:r>
        <w:rPr>
          <w:spacing w:val="23"/>
        </w:rPr>
        <w:t xml:space="preserve"> </w:t>
      </w:r>
      <w:r>
        <w:rPr>
          <w:spacing w:val="-2"/>
        </w:rPr>
        <w:t>of</w:t>
      </w:r>
      <w:r>
        <w:rPr>
          <w:spacing w:val="23"/>
        </w:rPr>
        <w:t xml:space="preserve"> </w:t>
      </w:r>
      <w:r>
        <w:rPr>
          <w:spacing w:val="-1"/>
        </w:rPr>
        <w:t>this</w:t>
      </w:r>
      <w:r>
        <w:rPr>
          <w:spacing w:val="18"/>
        </w:rPr>
        <w:t xml:space="preserve"> </w:t>
      </w:r>
      <w:r>
        <w:rPr>
          <w:spacing w:val="-1"/>
        </w:rPr>
        <w:t>Clause)</w:t>
      </w:r>
      <w:r>
        <w:rPr>
          <w:spacing w:val="24"/>
        </w:rPr>
        <w:t xml:space="preserve"> </w:t>
      </w:r>
      <w:r>
        <w:t>the</w:t>
      </w:r>
      <w:r>
        <w:rPr>
          <w:spacing w:val="19"/>
        </w:rPr>
        <w:t xml:space="preserve"> </w:t>
      </w:r>
      <w:r>
        <w:rPr>
          <w:spacing w:val="-1"/>
        </w:rPr>
        <w:t>right</w:t>
      </w:r>
      <w:r>
        <w:rPr>
          <w:spacing w:val="21"/>
        </w:rPr>
        <w:t xml:space="preserve"> </w:t>
      </w:r>
      <w:r>
        <w:rPr>
          <w:spacing w:val="-2"/>
        </w:rPr>
        <w:t>of</w:t>
      </w:r>
      <w:r>
        <w:rPr>
          <w:spacing w:val="23"/>
        </w:rPr>
        <w:t xml:space="preserve"> </w:t>
      </w:r>
      <w:r>
        <w:rPr>
          <w:spacing w:val="-1"/>
        </w:rPr>
        <w:t>termination</w:t>
      </w:r>
      <w:r>
        <w:rPr>
          <w:spacing w:val="22"/>
        </w:rPr>
        <w:t xml:space="preserve"> </w:t>
      </w:r>
      <w:r>
        <w:rPr>
          <w:spacing w:val="-2"/>
        </w:rPr>
        <w:t>of</w:t>
      </w:r>
      <w:r>
        <w:rPr>
          <w:spacing w:val="29"/>
        </w:rPr>
        <w:t xml:space="preserve"> </w:t>
      </w:r>
      <w:r>
        <w:t>the</w:t>
      </w:r>
      <w:r>
        <w:rPr>
          <w:spacing w:val="15"/>
        </w:rPr>
        <w:t xml:space="preserve"> </w:t>
      </w:r>
      <w:r>
        <w:rPr>
          <w:spacing w:val="-1"/>
        </w:rPr>
        <w:t>Customer</w:t>
      </w:r>
      <w:r>
        <w:rPr>
          <w:spacing w:val="16"/>
        </w:rPr>
        <w:t xml:space="preserve"> </w:t>
      </w:r>
      <w:r>
        <w:rPr>
          <w:spacing w:val="-1"/>
        </w:rPr>
        <w:t>in</w:t>
      </w:r>
      <w:r>
        <w:rPr>
          <w:spacing w:val="15"/>
        </w:rPr>
        <w:t xml:space="preserve"> </w:t>
      </w:r>
      <w:r>
        <w:rPr>
          <w:spacing w:val="-2"/>
        </w:rPr>
        <w:t>Clause</w:t>
      </w:r>
      <w:r>
        <w:rPr>
          <w:spacing w:val="18"/>
        </w:rPr>
        <w:t xml:space="preserve"> </w:t>
      </w:r>
      <w:hyperlink w:anchor="_bookmark236" w:history="1">
        <w:r>
          <w:rPr>
            <w:spacing w:val="-1"/>
          </w:rPr>
          <w:t>41.4</w:t>
        </w:r>
      </w:hyperlink>
      <w:r>
        <w:rPr>
          <w:spacing w:val="15"/>
        </w:rPr>
        <w:t xml:space="preserve"> </w:t>
      </w:r>
      <w:r>
        <w:rPr>
          <w:spacing w:val="-1"/>
        </w:rPr>
        <w:t>(Termination</w:t>
      </w:r>
      <w:r>
        <w:rPr>
          <w:spacing w:val="15"/>
        </w:rPr>
        <w:t xml:space="preserve"> </w:t>
      </w:r>
      <w:r>
        <w:rPr>
          <w:spacing w:val="-1"/>
        </w:rPr>
        <w:t>on</w:t>
      </w:r>
      <w:r>
        <w:rPr>
          <w:spacing w:val="15"/>
        </w:rPr>
        <w:t xml:space="preserve"> </w:t>
      </w:r>
      <w:r>
        <w:rPr>
          <w:spacing w:val="-2"/>
        </w:rPr>
        <w:t>Insolvency)</w:t>
      </w:r>
      <w:r>
        <w:rPr>
          <w:spacing w:val="16"/>
        </w:rPr>
        <w:t xml:space="preserve"> </w:t>
      </w:r>
      <w:r>
        <w:rPr>
          <w:spacing w:val="-1"/>
        </w:rPr>
        <w:t>shall</w:t>
      </w:r>
      <w:r>
        <w:rPr>
          <w:spacing w:val="17"/>
        </w:rPr>
        <w:t xml:space="preserve"> </w:t>
      </w:r>
      <w:r>
        <w:rPr>
          <w:spacing w:val="-1"/>
        </w:rPr>
        <w:t>be</w:t>
      </w:r>
      <w:r>
        <w:rPr>
          <w:spacing w:val="15"/>
        </w:rPr>
        <w:t xml:space="preserve"> </w:t>
      </w:r>
      <w:r>
        <w:rPr>
          <w:spacing w:val="-1"/>
        </w:rPr>
        <w:t>available</w:t>
      </w:r>
      <w:r>
        <w:rPr>
          <w:spacing w:val="15"/>
        </w:rPr>
        <w:t xml:space="preserve"> </w:t>
      </w:r>
      <w:r>
        <w:t>to</w:t>
      </w:r>
      <w:r>
        <w:rPr>
          <w:spacing w:val="15"/>
        </w:rPr>
        <w:t xml:space="preserve"> </w:t>
      </w:r>
      <w:r>
        <w:t>the</w:t>
      </w:r>
      <w:r>
        <w:rPr>
          <w:spacing w:val="54"/>
        </w:rPr>
        <w:t xml:space="preserve"> </w:t>
      </w:r>
      <w:r>
        <w:rPr>
          <w:spacing w:val="-2"/>
        </w:rPr>
        <w:t>Supplier</w:t>
      </w:r>
      <w:r>
        <w:rPr>
          <w:spacing w:val="61"/>
        </w:rPr>
        <w:t xml:space="preserve"> </w:t>
      </w:r>
      <w:r>
        <w:rPr>
          <w:spacing w:val="-1"/>
        </w:rPr>
        <w:t>in</w:t>
      </w:r>
      <w:r>
        <w:rPr>
          <w:spacing w:val="60"/>
        </w:rPr>
        <w:t xml:space="preserve"> </w:t>
      </w:r>
      <w:r>
        <w:t>the</w:t>
      </w:r>
      <w:r>
        <w:rPr>
          <w:spacing w:val="60"/>
        </w:rPr>
        <w:t xml:space="preserve"> </w:t>
      </w:r>
      <w:r>
        <w:rPr>
          <w:spacing w:val="-2"/>
        </w:rPr>
        <w:t>event</w:t>
      </w:r>
      <w:r>
        <w:rPr>
          <w:spacing w:val="1"/>
        </w:rPr>
        <w:t xml:space="preserve"> </w:t>
      </w:r>
      <w:r>
        <w:rPr>
          <w:spacing w:val="-1"/>
        </w:rPr>
        <w:t>of</w:t>
      </w:r>
      <w:r>
        <w:rPr>
          <w:spacing w:val="1"/>
        </w:rPr>
        <w:t xml:space="preserve"> </w:t>
      </w:r>
      <w:r>
        <w:rPr>
          <w:spacing w:val="-1"/>
        </w:rPr>
        <w:t>insolvency</w:t>
      </w:r>
      <w:r>
        <w:rPr>
          <w:spacing w:val="58"/>
        </w:rPr>
        <w:t xml:space="preserve"> </w:t>
      </w:r>
      <w:r>
        <w:rPr>
          <w:spacing w:val="-1"/>
        </w:rPr>
        <w:t>of</w:t>
      </w:r>
      <w:r>
        <w:t xml:space="preserve">  the</w:t>
      </w:r>
      <w:r>
        <w:rPr>
          <w:spacing w:val="58"/>
        </w:rPr>
        <w:t xml:space="preserve"> </w:t>
      </w:r>
      <w:r>
        <w:rPr>
          <w:spacing w:val="-1"/>
        </w:rPr>
        <w:t>Transferee</w:t>
      </w:r>
      <w:r>
        <w:t xml:space="preserve">  </w:t>
      </w:r>
      <w:r>
        <w:rPr>
          <w:spacing w:val="-1"/>
        </w:rPr>
        <w:t>(as</w:t>
      </w:r>
      <w:r>
        <w:t xml:space="preserve">  </w:t>
      </w:r>
      <w:r>
        <w:rPr>
          <w:spacing w:val="-2"/>
        </w:rPr>
        <w:t>if</w:t>
      </w:r>
      <w:r>
        <w:t xml:space="preserve">  the</w:t>
      </w:r>
      <w:r>
        <w:rPr>
          <w:spacing w:val="60"/>
        </w:rPr>
        <w:t xml:space="preserve"> </w:t>
      </w:r>
      <w:r>
        <w:rPr>
          <w:spacing w:val="-1"/>
        </w:rPr>
        <w:t>references</w:t>
      </w:r>
      <w:r>
        <w:t xml:space="preserve">  to</w:t>
      </w:r>
      <w:r>
        <w:rPr>
          <w:spacing w:val="49"/>
        </w:rPr>
        <w:t xml:space="preserve"> </w:t>
      </w:r>
      <w:r>
        <w:rPr>
          <w:spacing w:val="-2"/>
        </w:rPr>
        <w:t>Supplier</w:t>
      </w:r>
      <w:r>
        <w:rPr>
          <w:spacing w:val="11"/>
        </w:rPr>
        <w:t xml:space="preserve"> </w:t>
      </w:r>
      <w:r>
        <w:rPr>
          <w:spacing w:val="-1"/>
        </w:rPr>
        <w:t>in</w:t>
      </w:r>
      <w:r>
        <w:rPr>
          <w:spacing w:val="10"/>
        </w:rPr>
        <w:t xml:space="preserve"> </w:t>
      </w:r>
      <w:r>
        <w:rPr>
          <w:spacing w:val="-2"/>
        </w:rPr>
        <w:t>Clause</w:t>
      </w:r>
      <w:r>
        <w:rPr>
          <w:spacing w:val="10"/>
        </w:rPr>
        <w:t xml:space="preserve"> </w:t>
      </w:r>
      <w:hyperlink w:anchor="_bookmark236" w:history="1">
        <w:r>
          <w:rPr>
            <w:spacing w:val="-1"/>
          </w:rPr>
          <w:t>41.4</w:t>
        </w:r>
      </w:hyperlink>
      <w:r>
        <w:rPr>
          <w:spacing w:val="11"/>
        </w:rPr>
        <w:t xml:space="preserve"> </w:t>
      </w:r>
      <w:r>
        <w:rPr>
          <w:spacing w:val="-1"/>
        </w:rPr>
        <w:t>(Termination</w:t>
      </w:r>
      <w:r>
        <w:rPr>
          <w:spacing w:val="10"/>
        </w:rPr>
        <w:t xml:space="preserve"> </w:t>
      </w:r>
      <w:r>
        <w:rPr>
          <w:spacing w:val="-1"/>
        </w:rPr>
        <w:t>on</w:t>
      </w:r>
      <w:r>
        <w:rPr>
          <w:spacing w:val="7"/>
        </w:rPr>
        <w:t xml:space="preserve"> </w:t>
      </w:r>
      <w:r>
        <w:rPr>
          <w:spacing w:val="-1"/>
        </w:rPr>
        <w:t>Insolvency)</w:t>
      </w:r>
      <w:r>
        <w:rPr>
          <w:spacing w:val="11"/>
        </w:rPr>
        <w:t xml:space="preserve"> </w:t>
      </w:r>
      <w:r>
        <w:rPr>
          <w:spacing w:val="-1"/>
        </w:rPr>
        <w:t>and</w:t>
      </w:r>
      <w:r>
        <w:rPr>
          <w:spacing w:val="10"/>
        </w:rPr>
        <w:t xml:space="preserve"> </w:t>
      </w:r>
      <w:r>
        <w:t>to</w:t>
      </w:r>
      <w:r>
        <w:rPr>
          <w:spacing w:val="10"/>
        </w:rPr>
        <w:t xml:space="preserve"> </w:t>
      </w:r>
      <w:r>
        <w:rPr>
          <w:spacing w:val="-1"/>
        </w:rPr>
        <w:t>Supplier</w:t>
      </w:r>
      <w:r>
        <w:rPr>
          <w:spacing w:val="11"/>
        </w:rPr>
        <w:t xml:space="preserve"> </w:t>
      </w:r>
      <w:r>
        <w:rPr>
          <w:spacing w:val="-2"/>
        </w:rPr>
        <w:t>or</w:t>
      </w:r>
      <w:r>
        <w:rPr>
          <w:spacing w:val="11"/>
        </w:rPr>
        <w:t xml:space="preserve"> </w:t>
      </w:r>
      <w:r>
        <w:rPr>
          <w:spacing w:val="-2"/>
        </w:rPr>
        <w:t>Framework</w:t>
      </w:r>
      <w:r>
        <w:rPr>
          <w:spacing w:val="57"/>
        </w:rPr>
        <w:t xml:space="preserve"> </w:t>
      </w:r>
      <w:r>
        <w:rPr>
          <w:spacing w:val="-1"/>
        </w:rPr>
        <w:t>Guarantor</w:t>
      </w:r>
      <w:r>
        <w:rPr>
          <w:spacing w:val="27"/>
        </w:rPr>
        <w:t xml:space="preserve"> </w:t>
      </w:r>
      <w:r>
        <w:rPr>
          <w:spacing w:val="-1"/>
        </w:rPr>
        <w:t>or</w:t>
      </w:r>
      <w:r>
        <w:rPr>
          <w:spacing w:val="29"/>
        </w:rPr>
        <w:t xml:space="preserve"> </w:t>
      </w:r>
      <w:r>
        <w:rPr>
          <w:spacing w:val="-2"/>
        </w:rPr>
        <w:t>Call</w:t>
      </w:r>
      <w:r>
        <w:rPr>
          <w:spacing w:val="25"/>
        </w:rPr>
        <w:t xml:space="preserve"> </w:t>
      </w:r>
      <w:r>
        <w:rPr>
          <w:spacing w:val="-1"/>
        </w:rPr>
        <w:t>Off</w:t>
      </w:r>
      <w:r>
        <w:rPr>
          <w:spacing w:val="27"/>
        </w:rPr>
        <w:t xml:space="preserve"> </w:t>
      </w:r>
      <w:r>
        <w:rPr>
          <w:spacing w:val="-1"/>
        </w:rPr>
        <w:t>Guarantor</w:t>
      </w:r>
      <w:r>
        <w:rPr>
          <w:spacing w:val="29"/>
        </w:rPr>
        <w:t xml:space="preserve"> </w:t>
      </w:r>
      <w:r>
        <w:rPr>
          <w:spacing w:val="-1"/>
        </w:rPr>
        <w:t>in</w:t>
      </w:r>
      <w:r>
        <w:rPr>
          <w:spacing w:val="26"/>
        </w:rPr>
        <w:t xml:space="preserve"> </w:t>
      </w:r>
      <w:r>
        <w:t>the</w:t>
      </w:r>
      <w:r>
        <w:rPr>
          <w:spacing w:val="28"/>
        </w:rPr>
        <w:t xml:space="preserve"> </w:t>
      </w:r>
      <w:r>
        <w:rPr>
          <w:spacing w:val="-1"/>
        </w:rPr>
        <w:t>definition</w:t>
      </w:r>
      <w:r>
        <w:rPr>
          <w:spacing w:val="28"/>
        </w:rPr>
        <w:t xml:space="preserve"> </w:t>
      </w:r>
      <w:r>
        <w:rPr>
          <w:spacing w:val="-2"/>
        </w:rPr>
        <w:t>of</w:t>
      </w:r>
      <w:r>
        <w:rPr>
          <w:spacing w:val="29"/>
        </w:rPr>
        <w:t xml:space="preserve"> </w:t>
      </w:r>
      <w:r>
        <w:rPr>
          <w:spacing w:val="-1"/>
        </w:rPr>
        <w:t>Insolvency</w:t>
      </w:r>
      <w:r>
        <w:rPr>
          <w:spacing w:val="26"/>
        </w:rPr>
        <w:t xml:space="preserve"> </w:t>
      </w:r>
      <w:r>
        <w:rPr>
          <w:spacing w:val="-1"/>
        </w:rPr>
        <w:t>Event</w:t>
      </w:r>
      <w:r>
        <w:rPr>
          <w:spacing w:val="30"/>
        </w:rPr>
        <w:t xml:space="preserve"> </w:t>
      </w:r>
      <w:r>
        <w:rPr>
          <w:spacing w:val="-2"/>
        </w:rPr>
        <w:t>were</w:t>
      </w:r>
      <w:r>
        <w:rPr>
          <w:spacing w:val="37"/>
        </w:rPr>
        <w:t xml:space="preserve"> </w:t>
      </w:r>
      <w:r>
        <w:rPr>
          <w:spacing w:val="-1"/>
        </w:rPr>
        <w:t>references</w:t>
      </w:r>
      <w:r>
        <w:rPr>
          <w:spacing w:val="-2"/>
        </w:rPr>
        <w:t xml:space="preserve"> </w:t>
      </w:r>
      <w:r>
        <w:t>to</w:t>
      </w:r>
      <w:r>
        <w:rPr>
          <w:spacing w:val="-2"/>
        </w:rPr>
        <w:t xml:space="preserve"> </w:t>
      </w:r>
      <w:r>
        <w:t>the</w:t>
      </w:r>
      <w:r>
        <w:rPr>
          <w:spacing w:val="-4"/>
        </w:rPr>
        <w:t xml:space="preserve"> </w:t>
      </w:r>
      <w:r>
        <w:rPr>
          <w:spacing w:val="-1"/>
        </w:rPr>
        <w:t>Transferee).</w:t>
      </w:r>
    </w:p>
    <w:p w:rsidR="008918FA" w:rsidRDefault="008918FA" w:rsidP="008918FA">
      <w:pPr>
        <w:pStyle w:val="BodyText"/>
        <w:numPr>
          <w:ilvl w:val="0"/>
          <w:numId w:val="66"/>
        </w:numPr>
        <w:tabs>
          <w:tab w:val="left" w:pos="667"/>
        </w:tabs>
        <w:spacing w:before="120"/>
        <w:ind w:left="667"/>
        <w:rPr>
          <w:rFonts w:ascii="Times New Roman" w:eastAsia="Times New Roman" w:hAnsi="Times New Roman" w:cs="Times New Roman"/>
        </w:rPr>
      </w:pPr>
      <w:bookmarkStart w:id="311" w:name="_bookmark259"/>
      <w:bookmarkEnd w:id="311"/>
      <w:r>
        <w:rPr>
          <w:rFonts w:ascii="Times New Roman"/>
          <w:spacing w:val="-4"/>
        </w:rPr>
        <w:t>WAIVER</w:t>
      </w:r>
      <w:r>
        <w:rPr>
          <w:rFonts w:ascii="Times New Roman"/>
          <w:spacing w:val="20"/>
        </w:rPr>
        <w:t xml:space="preserve"> </w:t>
      </w:r>
      <w:r>
        <w:rPr>
          <w:rFonts w:ascii="Times New Roman"/>
          <w:spacing w:val="-2"/>
        </w:rPr>
        <w:t>AND</w:t>
      </w:r>
      <w:r>
        <w:rPr>
          <w:rFonts w:ascii="Times New Roman"/>
          <w:spacing w:val="6"/>
        </w:rPr>
        <w:t xml:space="preserve"> </w:t>
      </w:r>
      <w:r>
        <w:rPr>
          <w:rFonts w:ascii="Times New Roman"/>
          <w:spacing w:val="-4"/>
        </w:rPr>
        <w:t>CUMULATIVE</w:t>
      </w:r>
      <w:r>
        <w:rPr>
          <w:rFonts w:ascii="Times New Roman"/>
          <w:spacing w:val="18"/>
        </w:rPr>
        <w:t xml:space="preserve"> </w:t>
      </w:r>
      <w:r>
        <w:rPr>
          <w:rFonts w:ascii="Times New Roman"/>
          <w:spacing w:val="3"/>
        </w:rPr>
        <w:t>REMEDIES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4"/>
        </w:tabs>
        <w:spacing w:before="0"/>
        <w:ind w:left="1029" w:right="113" w:hanging="360"/>
        <w:jc w:val="both"/>
      </w:pPr>
      <w:r>
        <w:t>The</w:t>
      </w:r>
      <w:r>
        <w:rPr>
          <w:spacing w:val="38"/>
        </w:rPr>
        <w:t xml:space="preserve"> </w:t>
      </w:r>
      <w:r>
        <w:rPr>
          <w:spacing w:val="-1"/>
        </w:rPr>
        <w:t>rights</w:t>
      </w:r>
      <w:r>
        <w:rPr>
          <w:spacing w:val="41"/>
        </w:rPr>
        <w:t xml:space="preserve"> </w:t>
      </w:r>
      <w:r>
        <w:rPr>
          <w:spacing w:val="-1"/>
        </w:rPr>
        <w:t>and</w:t>
      </w:r>
      <w:r>
        <w:rPr>
          <w:spacing w:val="38"/>
        </w:rPr>
        <w:t xml:space="preserve"> </w:t>
      </w:r>
      <w:r>
        <w:rPr>
          <w:spacing w:val="-1"/>
        </w:rPr>
        <w:t>remedies</w:t>
      </w:r>
      <w:r>
        <w:rPr>
          <w:spacing w:val="41"/>
        </w:rPr>
        <w:t xml:space="preserve"> </w:t>
      </w:r>
      <w:r>
        <w:rPr>
          <w:spacing w:val="-1"/>
        </w:rPr>
        <w:t>under</w:t>
      </w:r>
      <w:r>
        <w:rPr>
          <w:spacing w:val="40"/>
        </w:rPr>
        <w:t xml:space="preserve"> </w:t>
      </w:r>
      <w:r>
        <w:rPr>
          <w:spacing w:val="-1"/>
        </w:rPr>
        <w:t>this</w:t>
      </w:r>
      <w:r>
        <w:rPr>
          <w:spacing w:val="41"/>
        </w:rPr>
        <w:t xml:space="preserve"> </w:t>
      </w:r>
      <w:r>
        <w:rPr>
          <w:spacing w:val="-2"/>
        </w:rPr>
        <w:t>Call</w:t>
      </w:r>
      <w:r>
        <w:rPr>
          <w:spacing w:val="41"/>
        </w:rPr>
        <w:t xml:space="preserve"> </w:t>
      </w:r>
      <w:r>
        <w:rPr>
          <w:spacing w:val="-1"/>
        </w:rPr>
        <w:t>Off</w:t>
      </w:r>
      <w:r>
        <w:rPr>
          <w:spacing w:val="42"/>
        </w:rPr>
        <w:t xml:space="preserve"> </w:t>
      </w:r>
      <w:r>
        <w:rPr>
          <w:spacing w:val="-1"/>
        </w:rPr>
        <w:t>C</w:t>
      </w:r>
      <w:bookmarkStart w:id="312" w:name="48._WAIVER_AND_CUMULATIVE_REMEDIES"/>
      <w:bookmarkEnd w:id="312"/>
      <w:r>
        <w:rPr>
          <w:spacing w:val="-1"/>
        </w:rPr>
        <w:t>ontract</w:t>
      </w:r>
      <w:r>
        <w:rPr>
          <w:spacing w:val="40"/>
        </w:rPr>
        <w:t xml:space="preserve"> </w:t>
      </w:r>
      <w:r>
        <w:rPr>
          <w:spacing w:val="-1"/>
        </w:rPr>
        <w:t>may</w:t>
      </w:r>
      <w:r>
        <w:rPr>
          <w:spacing w:val="39"/>
        </w:rPr>
        <w:t xml:space="preserve"> </w:t>
      </w:r>
      <w:r>
        <w:rPr>
          <w:spacing w:val="-1"/>
        </w:rPr>
        <w:t>be</w:t>
      </w:r>
      <w:r>
        <w:rPr>
          <w:spacing w:val="41"/>
        </w:rPr>
        <w:t xml:space="preserve"> </w:t>
      </w:r>
      <w:r>
        <w:rPr>
          <w:spacing w:val="-2"/>
        </w:rPr>
        <w:t>waived</w:t>
      </w:r>
      <w:r>
        <w:rPr>
          <w:spacing w:val="43"/>
        </w:rPr>
        <w:t xml:space="preserve"> </w:t>
      </w:r>
      <w:r>
        <w:rPr>
          <w:spacing w:val="-1"/>
        </w:rPr>
        <w:t>only</w:t>
      </w:r>
      <w:r>
        <w:rPr>
          <w:spacing w:val="40"/>
        </w:rPr>
        <w:t xml:space="preserve"> </w:t>
      </w:r>
      <w:r>
        <w:rPr>
          <w:spacing w:val="1"/>
        </w:rPr>
        <w:t>by</w:t>
      </w:r>
      <w:r>
        <w:rPr>
          <w:spacing w:val="45"/>
        </w:rPr>
        <w:t xml:space="preserve"> </w:t>
      </w:r>
      <w:r>
        <w:rPr>
          <w:spacing w:val="-1"/>
        </w:rPr>
        <w:t>notice</w:t>
      </w:r>
      <w:r>
        <w:rPr>
          <w:spacing w:val="49"/>
        </w:rPr>
        <w:t xml:space="preserve"> </w:t>
      </w:r>
      <w:r>
        <w:rPr>
          <w:spacing w:val="-1"/>
        </w:rPr>
        <w:t>in</w:t>
      </w:r>
      <w:r>
        <w:rPr>
          <w:spacing w:val="48"/>
        </w:rPr>
        <w:t xml:space="preserve"> </w:t>
      </w:r>
      <w:r>
        <w:rPr>
          <w:spacing w:val="-1"/>
        </w:rPr>
        <w:t>accordance</w:t>
      </w:r>
      <w:r>
        <w:rPr>
          <w:spacing w:val="49"/>
        </w:rPr>
        <w:t xml:space="preserve"> </w:t>
      </w:r>
      <w:r>
        <w:rPr>
          <w:spacing w:val="-2"/>
        </w:rPr>
        <w:t>with</w:t>
      </w:r>
      <w:r>
        <w:rPr>
          <w:spacing w:val="48"/>
        </w:rPr>
        <w:t xml:space="preserve"> </w:t>
      </w:r>
      <w:r>
        <w:rPr>
          <w:spacing w:val="-1"/>
        </w:rPr>
        <w:t>Clause</w:t>
      </w:r>
      <w:r>
        <w:rPr>
          <w:spacing w:val="49"/>
        </w:rPr>
        <w:t xml:space="preserve"> </w:t>
      </w:r>
      <w:hyperlink w:anchor="_bookmark274" w:history="1">
        <w:r>
          <w:rPr>
            <w:spacing w:val="-1"/>
          </w:rPr>
          <w:t>55</w:t>
        </w:r>
      </w:hyperlink>
      <w:r>
        <w:rPr>
          <w:spacing w:val="48"/>
        </w:rPr>
        <w:t xml:space="preserve"> </w:t>
      </w:r>
      <w:r>
        <w:rPr>
          <w:spacing w:val="-1"/>
        </w:rPr>
        <w:t>(Notices)</w:t>
      </w:r>
      <w:r>
        <w:rPr>
          <w:spacing w:val="48"/>
        </w:rPr>
        <w:t xml:space="preserve"> </w:t>
      </w:r>
      <w:r>
        <w:rPr>
          <w:spacing w:val="-1"/>
        </w:rPr>
        <w:t>and</w:t>
      </w:r>
      <w:r>
        <w:rPr>
          <w:spacing w:val="48"/>
        </w:rPr>
        <w:t xml:space="preserve"> </w:t>
      </w:r>
      <w:r>
        <w:rPr>
          <w:spacing w:val="-1"/>
        </w:rPr>
        <w:t>in</w:t>
      </w:r>
      <w:r>
        <w:rPr>
          <w:spacing w:val="48"/>
        </w:rPr>
        <w:t xml:space="preserve"> </w:t>
      </w:r>
      <w:r>
        <w:t>a</w:t>
      </w:r>
      <w:r>
        <w:rPr>
          <w:spacing w:val="48"/>
        </w:rPr>
        <w:t xml:space="preserve"> </w:t>
      </w:r>
      <w:r>
        <w:rPr>
          <w:spacing w:val="-1"/>
        </w:rPr>
        <w:t>manner</w:t>
      </w:r>
      <w:r>
        <w:rPr>
          <w:spacing w:val="47"/>
        </w:rPr>
        <w:t xml:space="preserve"> </w:t>
      </w:r>
      <w:r>
        <w:rPr>
          <w:spacing w:val="-1"/>
        </w:rPr>
        <w:t>that</w:t>
      </w:r>
      <w:r>
        <w:rPr>
          <w:spacing w:val="50"/>
        </w:rPr>
        <w:t xml:space="preserve"> </w:t>
      </w:r>
      <w:r>
        <w:rPr>
          <w:spacing w:val="-2"/>
        </w:rPr>
        <w:t>expressly</w:t>
      </w:r>
      <w:r>
        <w:rPr>
          <w:spacing w:val="49"/>
        </w:rPr>
        <w:t xml:space="preserve"> </w:t>
      </w:r>
      <w:r>
        <w:rPr>
          <w:spacing w:val="-1"/>
        </w:rPr>
        <w:t>states</w:t>
      </w:r>
      <w:r>
        <w:rPr>
          <w:spacing w:val="34"/>
        </w:rPr>
        <w:t xml:space="preserve"> </w:t>
      </w:r>
      <w:r>
        <w:rPr>
          <w:spacing w:val="-1"/>
        </w:rPr>
        <w:t>that</w:t>
      </w:r>
      <w:r>
        <w:rPr>
          <w:spacing w:val="35"/>
        </w:rPr>
        <w:t xml:space="preserve"> </w:t>
      </w:r>
      <w:r>
        <w:t>a</w:t>
      </w:r>
      <w:r>
        <w:rPr>
          <w:spacing w:val="34"/>
        </w:rPr>
        <w:t xml:space="preserve"> </w:t>
      </w:r>
      <w:r>
        <w:rPr>
          <w:spacing w:val="-2"/>
        </w:rPr>
        <w:t>waiver</w:t>
      </w:r>
      <w:r>
        <w:rPr>
          <w:spacing w:val="38"/>
        </w:rPr>
        <w:t xml:space="preserve"> </w:t>
      </w:r>
      <w:r>
        <w:rPr>
          <w:spacing w:val="-1"/>
        </w:rPr>
        <w:t>is</w:t>
      </w:r>
      <w:r>
        <w:rPr>
          <w:spacing w:val="34"/>
        </w:rPr>
        <w:t xml:space="preserve"> </w:t>
      </w:r>
      <w:r>
        <w:rPr>
          <w:spacing w:val="-1"/>
        </w:rPr>
        <w:t>intended.</w:t>
      </w:r>
      <w:r>
        <w:rPr>
          <w:spacing w:val="35"/>
        </w:rPr>
        <w:t xml:space="preserve"> </w:t>
      </w:r>
      <w:r>
        <w:t>A</w:t>
      </w:r>
      <w:r>
        <w:rPr>
          <w:spacing w:val="32"/>
        </w:rPr>
        <w:t xml:space="preserve"> </w:t>
      </w:r>
      <w:r>
        <w:rPr>
          <w:spacing w:val="-1"/>
        </w:rPr>
        <w:t>failure</w:t>
      </w:r>
      <w:r>
        <w:rPr>
          <w:spacing w:val="34"/>
        </w:rPr>
        <w:t xml:space="preserve"> </w:t>
      </w:r>
      <w:r>
        <w:rPr>
          <w:spacing w:val="-1"/>
        </w:rPr>
        <w:t>or</w:t>
      </w:r>
      <w:r>
        <w:rPr>
          <w:spacing w:val="35"/>
        </w:rPr>
        <w:t xml:space="preserve"> </w:t>
      </w:r>
      <w:r>
        <w:rPr>
          <w:spacing w:val="-1"/>
        </w:rPr>
        <w:t>delay</w:t>
      </w:r>
      <w:r>
        <w:rPr>
          <w:spacing w:val="34"/>
        </w:rPr>
        <w:t xml:space="preserve"> </w:t>
      </w:r>
      <w:r>
        <w:rPr>
          <w:spacing w:val="-1"/>
        </w:rPr>
        <w:t>by</w:t>
      </w:r>
      <w:r>
        <w:rPr>
          <w:spacing w:val="34"/>
        </w:rPr>
        <w:t xml:space="preserve"> </w:t>
      </w:r>
      <w:r>
        <w:t>a</w:t>
      </w:r>
      <w:r>
        <w:rPr>
          <w:spacing w:val="36"/>
        </w:rPr>
        <w:t xml:space="preserve"> </w:t>
      </w:r>
      <w:r>
        <w:rPr>
          <w:spacing w:val="-1"/>
        </w:rPr>
        <w:t>Party</w:t>
      </w:r>
      <w:r>
        <w:rPr>
          <w:spacing w:val="33"/>
        </w:rPr>
        <w:t xml:space="preserve"> </w:t>
      </w:r>
      <w:r>
        <w:rPr>
          <w:spacing w:val="-1"/>
        </w:rPr>
        <w:t>in</w:t>
      </w:r>
      <w:r>
        <w:rPr>
          <w:spacing w:val="36"/>
        </w:rPr>
        <w:t xml:space="preserve"> </w:t>
      </w:r>
      <w:r>
        <w:rPr>
          <w:spacing w:val="-1"/>
        </w:rPr>
        <w:t>ascertaining</w:t>
      </w:r>
      <w:r>
        <w:rPr>
          <w:spacing w:val="36"/>
        </w:rPr>
        <w:t xml:space="preserve"> </w:t>
      </w:r>
      <w:r>
        <w:rPr>
          <w:spacing w:val="-1"/>
        </w:rPr>
        <w:t>or</w:t>
      </w:r>
      <w:r>
        <w:rPr>
          <w:spacing w:val="50"/>
        </w:rPr>
        <w:t xml:space="preserve"> </w:t>
      </w:r>
      <w:r>
        <w:rPr>
          <w:spacing w:val="-1"/>
        </w:rPr>
        <w:t>exercising</w:t>
      </w:r>
      <w:r>
        <w:rPr>
          <w:spacing w:val="20"/>
        </w:rPr>
        <w:t xml:space="preserve"> </w:t>
      </w:r>
      <w:r>
        <w:t>a</w:t>
      </w:r>
      <w:r>
        <w:rPr>
          <w:spacing w:val="17"/>
        </w:rPr>
        <w:t xml:space="preserve"> </w:t>
      </w:r>
      <w:r>
        <w:rPr>
          <w:spacing w:val="-1"/>
        </w:rPr>
        <w:t>right</w:t>
      </w:r>
      <w:r>
        <w:rPr>
          <w:spacing w:val="19"/>
        </w:rPr>
        <w:t xml:space="preserve"> </w:t>
      </w:r>
      <w:r>
        <w:rPr>
          <w:spacing w:val="-1"/>
        </w:rPr>
        <w:t>or</w:t>
      </w:r>
      <w:r>
        <w:rPr>
          <w:spacing w:val="19"/>
        </w:rPr>
        <w:t xml:space="preserve"> </w:t>
      </w:r>
      <w:r>
        <w:rPr>
          <w:spacing w:val="-2"/>
        </w:rPr>
        <w:t>remedy</w:t>
      </w:r>
      <w:r>
        <w:rPr>
          <w:spacing w:val="15"/>
        </w:rPr>
        <w:t xml:space="preserve"> </w:t>
      </w:r>
      <w:r>
        <w:rPr>
          <w:spacing w:val="-1"/>
        </w:rPr>
        <w:t>provided</w:t>
      </w:r>
      <w:r>
        <w:rPr>
          <w:spacing w:val="17"/>
        </w:rPr>
        <w:t xml:space="preserve"> </w:t>
      </w:r>
      <w:r>
        <w:rPr>
          <w:spacing w:val="-1"/>
        </w:rPr>
        <w:t>under</w:t>
      </w:r>
      <w:r>
        <w:rPr>
          <w:spacing w:val="19"/>
        </w:rPr>
        <w:t xml:space="preserve"> </w:t>
      </w:r>
      <w:r>
        <w:rPr>
          <w:spacing w:val="-1"/>
        </w:rPr>
        <w:t>this</w:t>
      </w:r>
      <w:r>
        <w:rPr>
          <w:spacing w:val="18"/>
        </w:rPr>
        <w:t xml:space="preserve"> </w:t>
      </w:r>
      <w:r>
        <w:rPr>
          <w:spacing w:val="-2"/>
        </w:rPr>
        <w:t>Call</w:t>
      </w:r>
      <w:r>
        <w:rPr>
          <w:spacing w:val="17"/>
        </w:rPr>
        <w:t xml:space="preserve"> </w:t>
      </w:r>
      <w:r>
        <w:t>Off</w:t>
      </w:r>
      <w:r>
        <w:rPr>
          <w:spacing w:val="21"/>
        </w:rPr>
        <w:t xml:space="preserve"> </w:t>
      </w:r>
      <w:r>
        <w:rPr>
          <w:spacing w:val="-2"/>
        </w:rPr>
        <w:t>Contract</w:t>
      </w:r>
      <w:r>
        <w:rPr>
          <w:spacing w:val="19"/>
        </w:rPr>
        <w:t xml:space="preserve"> </w:t>
      </w:r>
      <w:r>
        <w:rPr>
          <w:spacing w:val="-1"/>
        </w:rPr>
        <w:t>or</w:t>
      </w:r>
      <w:r>
        <w:rPr>
          <w:spacing w:val="19"/>
        </w:rPr>
        <w:t xml:space="preserve"> </w:t>
      </w:r>
      <w:r>
        <w:rPr>
          <w:spacing w:val="-1"/>
        </w:rPr>
        <w:t>by</w:t>
      </w:r>
      <w:r>
        <w:rPr>
          <w:spacing w:val="15"/>
        </w:rPr>
        <w:t xml:space="preserve"> </w:t>
      </w:r>
      <w:r>
        <w:rPr>
          <w:spacing w:val="-1"/>
        </w:rPr>
        <w:t>Law</w:t>
      </w:r>
      <w:r>
        <w:rPr>
          <w:spacing w:val="14"/>
        </w:rPr>
        <w:t xml:space="preserve"> </w:t>
      </w:r>
      <w:r>
        <w:rPr>
          <w:spacing w:val="-1"/>
        </w:rPr>
        <w:t>shall</w:t>
      </w:r>
      <w:r>
        <w:rPr>
          <w:spacing w:val="67"/>
        </w:rPr>
        <w:t xml:space="preserve"> </w:t>
      </w:r>
      <w:r>
        <w:rPr>
          <w:spacing w:val="-1"/>
        </w:rPr>
        <w:t>not</w:t>
      </w:r>
      <w:r>
        <w:rPr>
          <w:spacing w:val="30"/>
        </w:rPr>
        <w:t xml:space="preserve"> </w:t>
      </w:r>
      <w:r>
        <w:rPr>
          <w:spacing w:val="-1"/>
        </w:rPr>
        <w:t>constitute</w:t>
      </w:r>
      <w:r>
        <w:rPr>
          <w:spacing w:val="29"/>
        </w:rPr>
        <w:t xml:space="preserve"> </w:t>
      </w:r>
      <w:r>
        <w:t>a</w:t>
      </w:r>
      <w:r>
        <w:rPr>
          <w:spacing w:val="29"/>
        </w:rPr>
        <w:t xml:space="preserve"> </w:t>
      </w:r>
      <w:r>
        <w:rPr>
          <w:spacing w:val="-2"/>
        </w:rPr>
        <w:t>waiver</w:t>
      </w:r>
      <w:r>
        <w:rPr>
          <w:spacing w:val="30"/>
        </w:rPr>
        <w:t xml:space="preserve"> </w:t>
      </w:r>
      <w:r>
        <w:rPr>
          <w:spacing w:val="-2"/>
        </w:rPr>
        <w:t>of</w:t>
      </w:r>
      <w:r>
        <w:rPr>
          <w:spacing w:val="33"/>
        </w:rPr>
        <w:t xml:space="preserve"> </w:t>
      </w:r>
      <w:r>
        <w:rPr>
          <w:spacing w:val="-1"/>
        </w:rPr>
        <w:t>that</w:t>
      </w:r>
      <w:r>
        <w:rPr>
          <w:spacing w:val="30"/>
        </w:rPr>
        <w:t xml:space="preserve"> </w:t>
      </w:r>
      <w:r>
        <w:rPr>
          <w:spacing w:val="-1"/>
        </w:rPr>
        <w:t>right</w:t>
      </w:r>
      <w:r>
        <w:rPr>
          <w:spacing w:val="30"/>
        </w:rPr>
        <w:t xml:space="preserve"> </w:t>
      </w:r>
      <w:r>
        <w:rPr>
          <w:spacing w:val="-1"/>
        </w:rPr>
        <w:t>or</w:t>
      </w:r>
      <w:r>
        <w:rPr>
          <w:spacing w:val="28"/>
        </w:rPr>
        <w:t xml:space="preserve"> </w:t>
      </w:r>
      <w:r>
        <w:rPr>
          <w:spacing w:val="-1"/>
        </w:rPr>
        <w:t>remedy,</w:t>
      </w:r>
      <w:r>
        <w:rPr>
          <w:spacing w:val="28"/>
        </w:rPr>
        <w:t xml:space="preserve"> </w:t>
      </w:r>
      <w:r>
        <w:rPr>
          <w:spacing w:val="-1"/>
        </w:rPr>
        <w:t>nor</w:t>
      </w:r>
      <w:r>
        <w:rPr>
          <w:spacing w:val="30"/>
        </w:rPr>
        <w:t xml:space="preserve"> </w:t>
      </w:r>
      <w:r>
        <w:rPr>
          <w:spacing w:val="-1"/>
        </w:rPr>
        <w:t>shall</w:t>
      </w:r>
      <w:r>
        <w:rPr>
          <w:spacing w:val="28"/>
        </w:rPr>
        <w:t xml:space="preserve"> </w:t>
      </w:r>
      <w:r>
        <w:rPr>
          <w:spacing w:val="-1"/>
        </w:rPr>
        <w:t>it</w:t>
      </w:r>
      <w:r>
        <w:rPr>
          <w:spacing w:val="31"/>
        </w:rPr>
        <w:t xml:space="preserve"> </w:t>
      </w:r>
      <w:r>
        <w:rPr>
          <w:spacing w:val="-1"/>
        </w:rPr>
        <w:t>prevent</w:t>
      </w:r>
      <w:r>
        <w:rPr>
          <w:spacing w:val="30"/>
        </w:rPr>
        <w:t xml:space="preserve"> </w:t>
      </w:r>
      <w:r>
        <w:rPr>
          <w:spacing w:val="-1"/>
        </w:rPr>
        <w:t>or</w:t>
      </w:r>
      <w:r>
        <w:rPr>
          <w:spacing w:val="30"/>
        </w:rPr>
        <w:t xml:space="preserve"> </w:t>
      </w:r>
      <w:r>
        <w:rPr>
          <w:spacing w:val="-1"/>
        </w:rPr>
        <w:t>restrict</w:t>
      </w:r>
      <w:r>
        <w:rPr>
          <w:spacing w:val="30"/>
        </w:rPr>
        <w:t xml:space="preserve"> </w:t>
      </w:r>
      <w:r>
        <w:rPr>
          <w:spacing w:val="-1"/>
        </w:rPr>
        <w:t>the</w:t>
      </w:r>
      <w:r>
        <w:rPr>
          <w:spacing w:val="40"/>
        </w:rPr>
        <w:t xml:space="preserve"> </w:t>
      </w:r>
      <w:r>
        <w:rPr>
          <w:spacing w:val="-1"/>
        </w:rPr>
        <w:t>further exercise</w:t>
      </w:r>
      <w:r>
        <w:rPr>
          <w:spacing w:val="1"/>
        </w:rPr>
        <w:t xml:space="preserve"> </w:t>
      </w:r>
      <w:r>
        <w:rPr>
          <w:spacing w:val="-1"/>
        </w:rPr>
        <w:t>of.</w:t>
      </w:r>
    </w:p>
    <w:p w:rsidR="008918FA" w:rsidRDefault="008918FA" w:rsidP="008918FA">
      <w:pPr>
        <w:pStyle w:val="BodyText"/>
        <w:numPr>
          <w:ilvl w:val="1"/>
          <w:numId w:val="66"/>
        </w:numPr>
        <w:tabs>
          <w:tab w:val="left" w:pos="1234"/>
        </w:tabs>
        <w:ind w:left="1029" w:right="113" w:hanging="360"/>
        <w:jc w:val="both"/>
      </w:pPr>
      <w:r>
        <w:rPr>
          <w:spacing w:val="-2"/>
        </w:rPr>
        <w:t>Unless</w:t>
      </w:r>
      <w:r>
        <w:rPr>
          <w:spacing w:val="30"/>
        </w:rPr>
        <w:t xml:space="preserve"> </w:t>
      </w:r>
      <w:r>
        <w:rPr>
          <w:spacing w:val="-1"/>
        </w:rPr>
        <w:t>otherwise</w:t>
      </w:r>
      <w:r>
        <w:rPr>
          <w:spacing w:val="30"/>
        </w:rPr>
        <w:t xml:space="preserve"> </w:t>
      </w:r>
      <w:r>
        <w:rPr>
          <w:spacing w:val="-1"/>
        </w:rPr>
        <w:t>provided</w:t>
      </w:r>
      <w:r>
        <w:rPr>
          <w:spacing w:val="29"/>
        </w:rPr>
        <w:t xml:space="preserve"> </w:t>
      </w:r>
      <w:r>
        <w:rPr>
          <w:spacing w:val="-1"/>
        </w:rPr>
        <w:t>in</w:t>
      </w:r>
      <w:r>
        <w:rPr>
          <w:spacing w:val="29"/>
        </w:rPr>
        <w:t xml:space="preserve"> </w:t>
      </w:r>
      <w:r>
        <w:rPr>
          <w:spacing w:val="-1"/>
        </w:rPr>
        <w:t>this</w:t>
      </w:r>
      <w:r>
        <w:rPr>
          <w:spacing w:val="30"/>
        </w:rPr>
        <w:t xml:space="preserve"> </w:t>
      </w:r>
      <w:r>
        <w:rPr>
          <w:spacing w:val="-2"/>
        </w:rPr>
        <w:t>Call</w:t>
      </w:r>
      <w:r>
        <w:rPr>
          <w:spacing w:val="31"/>
        </w:rPr>
        <w:t xml:space="preserve"> </w:t>
      </w:r>
      <w:r>
        <w:rPr>
          <w:spacing w:val="-1"/>
        </w:rPr>
        <w:t>Off</w:t>
      </w:r>
      <w:r>
        <w:rPr>
          <w:spacing w:val="33"/>
        </w:rPr>
        <w:t xml:space="preserve"> </w:t>
      </w:r>
      <w:r>
        <w:rPr>
          <w:spacing w:val="-1"/>
        </w:rPr>
        <w:t>Contract,</w:t>
      </w:r>
      <w:r>
        <w:rPr>
          <w:spacing w:val="28"/>
        </w:rPr>
        <w:t xml:space="preserve"> </w:t>
      </w:r>
      <w:r>
        <w:rPr>
          <w:spacing w:val="-1"/>
        </w:rPr>
        <w:t>rights</w:t>
      </w:r>
      <w:r>
        <w:rPr>
          <w:spacing w:val="30"/>
        </w:rPr>
        <w:t xml:space="preserve"> </w:t>
      </w:r>
      <w:r>
        <w:rPr>
          <w:spacing w:val="-1"/>
        </w:rPr>
        <w:t>and</w:t>
      </w:r>
      <w:r>
        <w:rPr>
          <w:spacing w:val="29"/>
        </w:rPr>
        <w:t xml:space="preserve"> </w:t>
      </w:r>
      <w:r>
        <w:rPr>
          <w:spacing w:val="-1"/>
        </w:rPr>
        <w:t>remedies</w:t>
      </w:r>
      <w:r>
        <w:rPr>
          <w:spacing w:val="27"/>
        </w:rPr>
        <w:t xml:space="preserve"> </w:t>
      </w:r>
      <w:r>
        <w:rPr>
          <w:spacing w:val="-1"/>
        </w:rPr>
        <w:t>under</w:t>
      </w:r>
      <w:r>
        <w:rPr>
          <w:spacing w:val="44"/>
        </w:rPr>
        <w:t xml:space="preserve"> </w:t>
      </w:r>
      <w:r>
        <w:rPr>
          <w:spacing w:val="-1"/>
        </w:rPr>
        <w:t>this</w:t>
      </w:r>
      <w:r>
        <w:rPr>
          <w:spacing w:val="34"/>
        </w:rPr>
        <w:t xml:space="preserve"> </w:t>
      </w:r>
      <w:r>
        <w:rPr>
          <w:spacing w:val="-2"/>
        </w:rPr>
        <w:t>Call</w:t>
      </w:r>
      <w:r>
        <w:rPr>
          <w:spacing w:val="33"/>
        </w:rPr>
        <w:t xml:space="preserve"> </w:t>
      </w:r>
      <w:r>
        <w:rPr>
          <w:spacing w:val="-1"/>
        </w:rPr>
        <w:t>Off</w:t>
      </w:r>
      <w:r>
        <w:rPr>
          <w:spacing w:val="35"/>
        </w:rPr>
        <w:t xml:space="preserve"> </w:t>
      </w:r>
      <w:r>
        <w:rPr>
          <w:spacing w:val="-2"/>
        </w:rPr>
        <w:t>Contract</w:t>
      </w:r>
      <w:r>
        <w:rPr>
          <w:spacing w:val="35"/>
        </w:rPr>
        <w:t xml:space="preserve"> </w:t>
      </w:r>
      <w:r>
        <w:rPr>
          <w:spacing w:val="-2"/>
        </w:rPr>
        <w:t>are</w:t>
      </w:r>
      <w:r>
        <w:rPr>
          <w:spacing w:val="34"/>
        </w:rPr>
        <w:t xml:space="preserve"> </w:t>
      </w:r>
      <w:r>
        <w:rPr>
          <w:spacing w:val="-1"/>
        </w:rPr>
        <w:t>cumulative</w:t>
      </w:r>
      <w:r>
        <w:rPr>
          <w:spacing w:val="34"/>
        </w:rPr>
        <w:t xml:space="preserve"> </w:t>
      </w:r>
      <w:r>
        <w:rPr>
          <w:spacing w:val="-1"/>
        </w:rPr>
        <w:t>and</w:t>
      </w:r>
      <w:r>
        <w:rPr>
          <w:spacing w:val="35"/>
        </w:rPr>
        <w:t xml:space="preserve"> </w:t>
      </w:r>
      <w:r>
        <w:rPr>
          <w:spacing w:val="-1"/>
        </w:rPr>
        <w:t>do</w:t>
      </w:r>
      <w:r>
        <w:rPr>
          <w:spacing w:val="34"/>
        </w:rPr>
        <w:t xml:space="preserve"> </w:t>
      </w:r>
      <w:r>
        <w:rPr>
          <w:spacing w:val="-2"/>
        </w:rPr>
        <w:t>not</w:t>
      </w:r>
      <w:r>
        <w:rPr>
          <w:spacing w:val="35"/>
        </w:rPr>
        <w:t xml:space="preserve"> </w:t>
      </w:r>
      <w:r>
        <w:rPr>
          <w:spacing w:val="-2"/>
        </w:rPr>
        <w:t>exclude</w:t>
      </w:r>
      <w:r>
        <w:rPr>
          <w:spacing w:val="34"/>
        </w:rPr>
        <w:t xml:space="preserve"> </w:t>
      </w:r>
      <w:r>
        <w:rPr>
          <w:spacing w:val="-1"/>
        </w:rPr>
        <w:t>any</w:t>
      </w:r>
      <w:r>
        <w:rPr>
          <w:spacing w:val="32"/>
        </w:rPr>
        <w:t xml:space="preserve"> </w:t>
      </w:r>
      <w:r>
        <w:rPr>
          <w:spacing w:val="-1"/>
        </w:rPr>
        <w:t>rights</w:t>
      </w:r>
      <w:r>
        <w:rPr>
          <w:spacing w:val="34"/>
        </w:rPr>
        <w:t xml:space="preserve"> </w:t>
      </w:r>
      <w:r>
        <w:rPr>
          <w:spacing w:val="-1"/>
        </w:rPr>
        <w:t>or</w:t>
      </w:r>
      <w:r>
        <w:rPr>
          <w:spacing w:val="31"/>
        </w:rPr>
        <w:t xml:space="preserve"> </w:t>
      </w:r>
      <w:r>
        <w:rPr>
          <w:spacing w:val="-1"/>
        </w:rPr>
        <w:t>remedies</w:t>
      </w:r>
      <w:r>
        <w:rPr>
          <w:spacing w:val="62"/>
        </w:rPr>
        <w:t xml:space="preserve"> </w:t>
      </w:r>
      <w:r>
        <w:rPr>
          <w:spacing w:val="-2"/>
        </w:rPr>
        <w:t>provided</w:t>
      </w:r>
      <w:r>
        <w:rPr>
          <w:spacing w:val="1"/>
        </w:rPr>
        <w:t xml:space="preserve"> </w:t>
      </w:r>
      <w:r>
        <w:rPr>
          <w:spacing w:val="-1"/>
        </w:rPr>
        <w:t>by</w:t>
      </w:r>
      <w:r>
        <w:rPr>
          <w:spacing w:val="-2"/>
        </w:rPr>
        <w:t xml:space="preserve"> </w:t>
      </w:r>
      <w:r>
        <w:rPr>
          <w:spacing w:val="-1"/>
        </w:rPr>
        <w:t>Law,</w:t>
      </w:r>
      <w:r>
        <w:rPr>
          <w:spacing w:val="2"/>
        </w:rPr>
        <w:t xml:space="preserve"> </w:t>
      </w:r>
      <w:r>
        <w:rPr>
          <w:spacing w:val="-1"/>
        </w:rPr>
        <w:t>in</w:t>
      </w:r>
      <w:r>
        <w:t xml:space="preserve"> </w:t>
      </w:r>
      <w:r>
        <w:rPr>
          <w:spacing w:val="-1"/>
        </w:rPr>
        <w:t>equity</w:t>
      </w:r>
      <w:r>
        <w:rPr>
          <w:spacing w:val="-2"/>
        </w:rPr>
        <w:t xml:space="preserve"> </w:t>
      </w:r>
      <w:r>
        <w:rPr>
          <w:spacing w:val="-1"/>
        </w:rPr>
        <w:t>or</w:t>
      </w:r>
      <w:r>
        <w:rPr>
          <w:spacing w:val="2"/>
        </w:rPr>
        <w:t xml:space="preserve"> </w:t>
      </w:r>
      <w:r>
        <w:rPr>
          <w:spacing w:val="-2"/>
        </w:rPr>
        <w:t>otherwise.</w:t>
      </w:r>
    </w:p>
    <w:p w:rsidR="008918FA" w:rsidRDefault="008918FA" w:rsidP="008918FA">
      <w:pPr>
        <w:pStyle w:val="BodyText"/>
        <w:numPr>
          <w:ilvl w:val="0"/>
          <w:numId w:val="66"/>
        </w:numPr>
        <w:tabs>
          <w:tab w:val="left" w:pos="667"/>
        </w:tabs>
        <w:spacing w:before="120"/>
        <w:ind w:left="667"/>
        <w:rPr>
          <w:rFonts w:ascii="Times New Roman" w:eastAsia="Times New Roman" w:hAnsi="Times New Roman" w:cs="Times New Roman"/>
        </w:rPr>
      </w:pPr>
      <w:bookmarkStart w:id="313" w:name="_bookmark260"/>
      <w:bookmarkEnd w:id="313"/>
      <w:r>
        <w:rPr>
          <w:rFonts w:ascii="Times New Roman"/>
          <w:spacing w:val="1"/>
        </w:rPr>
        <w:t>RELATIONS</w:t>
      </w:r>
      <w:r>
        <w:rPr>
          <w:rFonts w:ascii="Times New Roman"/>
          <w:spacing w:val="-32"/>
        </w:rPr>
        <w:t xml:space="preserve"> </w:t>
      </w:r>
      <w:r>
        <w:rPr>
          <w:rFonts w:ascii="Times New Roman"/>
          <w:spacing w:val="-5"/>
        </w:rPr>
        <w:t>HIP</w:t>
      </w:r>
      <w:r>
        <w:rPr>
          <w:rFonts w:ascii="Times New Roman"/>
          <w:spacing w:val="31"/>
        </w:rPr>
        <w:t xml:space="preserve"> </w:t>
      </w:r>
      <w:r>
        <w:rPr>
          <w:rFonts w:ascii="Times New Roman"/>
          <w:spacing w:val="6"/>
        </w:rPr>
        <w:t>OF</w:t>
      </w:r>
      <w:r>
        <w:rPr>
          <w:rFonts w:ascii="Times New Roman"/>
          <w:spacing w:val="19"/>
        </w:rPr>
        <w:t xml:space="preserve"> </w:t>
      </w:r>
      <w:r>
        <w:rPr>
          <w:rFonts w:ascii="Times New Roman"/>
          <w:spacing w:val="-2"/>
        </w:rPr>
        <w:t>THE</w:t>
      </w:r>
      <w:r>
        <w:rPr>
          <w:rFonts w:ascii="Times New Roman"/>
          <w:spacing w:val="18"/>
        </w:rPr>
        <w:t xml:space="preserve"> </w:t>
      </w:r>
      <w:r>
        <w:rPr>
          <w:rFonts w:ascii="Times New Roman"/>
          <w:spacing w:val="26"/>
        </w:rPr>
        <w:t>P</w:t>
      </w:r>
      <w:r>
        <w:rPr>
          <w:rFonts w:ascii="Times New Roman"/>
          <w:spacing w:val="-6"/>
        </w:rPr>
        <w:t>A</w:t>
      </w:r>
      <w:r>
        <w:rPr>
          <w:rFonts w:ascii="Times New Roman"/>
          <w:spacing w:val="13"/>
        </w:rPr>
        <w:t>R</w:t>
      </w:r>
      <w:r>
        <w:rPr>
          <w:rFonts w:ascii="Times New Roman"/>
          <w:spacing w:val="-3"/>
        </w:rPr>
        <w:t>T</w:t>
      </w:r>
      <w:r>
        <w:rPr>
          <w:rFonts w:ascii="Times New Roman"/>
          <w:spacing w:val="-12"/>
        </w:rPr>
        <w:t>I</w:t>
      </w:r>
      <w:r>
        <w:rPr>
          <w:rFonts w:ascii="Times New Roman"/>
          <w:spacing w:val="11"/>
        </w:rPr>
        <w:t>E</w:t>
      </w:r>
      <w:r>
        <w:rPr>
          <w:rFonts w:ascii="Times New Roman"/>
        </w:rPr>
        <w:t>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4"/>
        </w:tabs>
        <w:spacing w:before="0"/>
        <w:ind w:left="1029" w:right="113" w:hanging="360"/>
        <w:jc w:val="both"/>
      </w:pPr>
      <w:r>
        <w:rPr>
          <w:spacing w:val="-1"/>
        </w:rPr>
        <w:t>Except</w:t>
      </w:r>
      <w:r>
        <w:rPr>
          <w:spacing w:val="21"/>
        </w:rPr>
        <w:t xml:space="preserve"> </w:t>
      </w:r>
      <w:r>
        <w:rPr>
          <w:spacing w:val="-1"/>
        </w:rPr>
        <w:t>as</w:t>
      </w:r>
      <w:r>
        <w:rPr>
          <w:spacing w:val="20"/>
        </w:rPr>
        <w:t xml:space="preserve"> </w:t>
      </w:r>
      <w:r>
        <w:rPr>
          <w:spacing w:val="-1"/>
        </w:rPr>
        <w:t>expressly</w:t>
      </w:r>
      <w:r>
        <w:rPr>
          <w:spacing w:val="17"/>
        </w:rPr>
        <w:t xml:space="preserve"> </w:t>
      </w:r>
      <w:r>
        <w:rPr>
          <w:spacing w:val="-2"/>
        </w:rPr>
        <w:t>provided</w:t>
      </w:r>
      <w:r>
        <w:rPr>
          <w:spacing w:val="19"/>
        </w:rPr>
        <w:t xml:space="preserve"> </w:t>
      </w:r>
      <w:r>
        <w:rPr>
          <w:spacing w:val="-1"/>
        </w:rPr>
        <w:t>otherwise</w:t>
      </w:r>
      <w:r>
        <w:rPr>
          <w:spacing w:val="20"/>
        </w:rPr>
        <w:t xml:space="preserve"> </w:t>
      </w:r>
      <w:r>
        <w:rPr>
          <w:spacing w:val="-1"/>
        </w:rPr>
        <w:t>in</w:t>
      </w:r>
      <w:r>
        <w:rPr>
          <w:spacing w:val="19"/>
        </w:rPr>
        <w:t xml:space="preserve"> </w:t>
      </w:r>
      <w:r>
        <w:rPr>
          <w:spacing w:val="-1"/>
        </w:rPr>
        <w:t>this</w:t>
      </w:r>
      <w:r>
        <w:rPr>
          <w:spacing w:val="22"/>
        </w:rPr>
        <w:t xml:space="preserve"> </w:t>
      </w:r>
      <w:r>
        <w:rPr>
          <w:spacing w:val="-2"/>
        </w:rPr>
        <w:t>Call</w:t>
      </w:r>
      <w:r>
        <w:rPr>
          <w:spacing w:val="19"/>
        </w:rPr>
        <w:t xml:space="preserve"> </w:t>
      </w:r>
      <w:r>
        <w:t>Off</w:t>
      </w:r>
      <w:r>
        <w:rPr>
          <w:spacing w:val="21"/>
        </w:rPr>
        <w:t xml:space="preserve"> </w:t>
      </w:r>
      <w:r>
        <w:rPr>
          <w:spacing w:val="-1"/>
        </w:rPr>
        <w:t>Contract,</w:t>
      </w:r>
      <w:r>
        <w:rPr>
          <w:spacing w:val="21"/>
        </w:rPr>
        <w:t xml:space="preserve"> </w:t>
      </w:r>
      <w:r>
        <w:rPr>
          <w:spacing w:val="-1"/>
        </w:rPr>
        <w:t>nothing</w:t>
      </w:r>
      <w:r>
        <w:rPr>
          <w:spacing w:val="22"/>
        </w:rPr>
        <w:t xml:space="preserve"> </w:t>
      </w:r>
      <w:r>
        <w:rPr>
          <w:spacing w:val="-1"/>
        </w:rPr>
        <w:t>in</w:t>
      </w:r>
      <w:r>
        <w:rPr>
          <w:spacing w:val="20"/>
        </w:rPr>
        <w:t xml:space="preserve"> </w:t>
      </w:r>
      <w:r>
        <w:rPr>
          <w:spacing w:val="-1"/>
        </w:rPr>
        <w:t>thi</w:t>
      </w:r>
      <w:bookmarkStart w:id="314" w:name="49._RELATIONSHIP_OF_THE_PARTIES"/>
      <w:bookmarkEnd w:id="314"/>
      <w:r>
        <w:rPr>
          <w:spacing w:val="-1"/>
        </w:rPr>
        <w:t>s</w:t>
      </w:r>
      <w:r>
        <w:rPr>
          <w:spacing w:val="47"/>
        </w:rPr>
        <w:t xml:space="preserve"> </w:t>
      </w:r>
      <w:r>
        <w:rPr>
          <w:spacing w:val="-2"/>
        </w:rPr>
        <w:t>Call</w:t>
      </w:r>
      <w:r>
        <w:rPr>
          <w:spacing w:val="36"/>
        </w:rPr>
        <w:t xml:space="preserve"> </w:t>
      </w:r>
      <w:r>
        <w:t>Off</w:t>
      </w:r>
      <w:r>
        <w:rPr>
          <w:spacing w:val="38"/>
        </w:rPr>
        <w:t xml:space="preserve"> </w:t>
      </w:r>
      <w:r>
        <w:rPr>
          <w:spacing w:val="-1"/>
        </w:rPr>
        <w:t>Contract,</w:t>
      </w:r>
      <w:r>
        <w:rPr>
          <w:spacing w:val="38"/>
        </w:rPr>
        <w:t xml:space="preserve"> </w:t>
      </w:r>
      <w:r>
        <w:rPr>
          <w:spacing w:val="-2"/>
        </w:rPr>
        <w:t>nor</w:t>
      </w:r>
      <w:r>
        <w:rPr>
          <w:spacing w:val="38"/>
        </w:rPr>
        <w:t xml:space="preserve"> </w:t>
      </w:r>
      <w:r>
        <w:rPr>
          <w:spacing w:val="-2"/>
        </w:rPr>
        <w:t>any</w:t>
      </w:r>
      <w:r>
        <w:rPr>
          <w:spacing w:val="34"/>
        </w:rPr>
        <w:t xml:space="preserve"> </w:t>
      </w:r>
      <w:r>
        <w:rPr>
          <w:spacing w:val="-1"/>
        </w:rPr>
        <w:t>actions</w:t>
      </w:r>
      <w:r>
        <w:rPr>
          <w:spacing w:val="37"/>
        </w:rPr>
        <w:t xml:space="preserve"> </w:t>
      </w:r>
      <w:r>
        <w:rPr>
          <w:spacing w:val="-1"/>
        </w:rPr>
        <w:t>taken</w:t>
      </w:r>
      <w:r>
        <w:rPr>
          <w:spacing w:val="37"/>
        </w:rPr>
        <w:t xml:space="preserve"> </w:t>
      </w:r>
      <w:r>
        <w:rPr>
          <w:spacing w:val="-1"/>
        </w:rPr>
        <w:t>by</w:t>
      </w:r>
      <w:r>
        <w:rPr>
          <w:spacing w:val="34"/>
        </w:rPr>
        <w:t xml:space="preserve"> </w:t>
      </w:r>
      <w:r>
        <w:t>the</w:t>
      </w:r>
      <w:r>
        <w:rPr>
          <w:spacing w:val="34"/>
        </w:rPr>
        <w:t xml:space="preserve"> </w:t>
      </w:r>
      <w:r>
        <w:rPr>
          <w:spacing w:val="-1"/>
        </w:rPr>
        <w:t>Parties</w:t>
      </w:r>
      <w:r>
        <w:rPr>
          <w:spacing w:val="37"/>
        </w:rPr>
        <w:t xml:space="preserve"> </w:t>
      </w:r>
      <w:r>
        <w:rPr>
          <w:spacing w:val="-1"/>
        </w:rPr>
        <w:t>pursuant</w:t>
      </w:r>
      <w:r>
        <w:rPr>
          <w:spacing w:val="35"/>
        </w:rPr>
        <w:t xml:space="preserve"> </w:t>
      </w:r>
      <w:r>
        <w:t>to</w:t>
      </w:r>
      <w:r>
        <w:rPr>
          <w:spacing w:val="34"/>
        </w:rPr>
        <w:t xml:space="preserve"> </w:t>
      </w:r>
      <w:r>
        <w:rPr>
          <w:spacing w:val="-1"/>
        </w:rPr>
        <w:t>this</w:t>
      </w:r>
      <w:r>
        <w:rPr>
          <w:spacing w:val="38"/>
        </w:rPr>
        <w:t xml:space="preserve"> </w:t>
      </w:r>
      <w:r>
        <w:rPr>
          <w:spacing w:val="-2"/>
        </w:rPr>
        <w:t>Call</w:t>
      </w:r>
      <w:r>
        <w:rPr>
          <w:spacing w:val="33"/>
        </w:rPr>
        <w:t xml:space="preserve"> </w:t>
      </w:r>
      <w:r>
        <w:rPr>
          <w:spacing w:val="-1"/>
        </w:rPr>
        <w:t>Off</w:t>
      </w:r>
      <w:r>
        <w:rPr>
          <w:spacing w:val="59"/>
        </w:rPr>
        <w:t xml:space="preserve"> </w:t>
      </w:r>
      <w:r>
        <w:rPr>
          <w:spacing w:val="-1"/>
        </w:rPr>
        <w:t>Contract,</w:t>
      </w:r>
      <w:r>
        <w:rPr>
          <w:spacing w:val="26"/>
        </w:rPr>
        <w:t xml:space="preserve"> </w:t>
      </w:r>
      <w:r>
        <w:rPr>
          <w:spacing w:val="-1"/>
        </w:rPr>
        <w:t>shall</w:t>
      </w:r>
      <w:r>
        <w:rPr>
          <w:spacing w:val="26"/>
        </w:rPr>
        <w:t xml:space="preserve"> </w:t>
      </w:r>
      <w:r>
        <w:rPr>
          <w:spacing w:val="-1"/>
        </w:rPr>
        <w:t>create</w:t>
      </w:r>
      <w:r>
        <w:rPr>
          <w:spacing w:val="24"/>
        </w:rPr>
        <w:t xml:space="preserve"> </w:t>
      </w:r>
      <w:r>
        <w:t>a</w:t>
      </w:r>
      <w:r>
        <w:rPr>
          <w:spacing w:val="24"/>
        </w:rPr>
        <w:t xml:space="preserve"> </w:t>
      </w:r>
      <w:r>
        <w:rPr>
          <w:spacing w:val="-1"/>
        </w:rPr>
        <w:t>partnership,</w:t>
      </w:r>
      <w:r>
        <w:rPr>
          <w:spacing w:val="26"/>
        </w:rPr>
        <w:t xml:space="preserve"> </w:t>
      </w:r>
      <w:r>
        <w:rPr>
          <w:spacing w:val="-1"/>
        </w:rPr>
        <w:t>joint</w:t>
      </w:r>
      <w:r>
        <w:rPr>
          <w:spacing w:val="28"/>
        </w:rPr>
        <w:t xml:space="preserve"> </w:t>
      </w:r>
      <w:r>
        <w:rPr>
          <w:spacing w:val="-2"/>
        </w:rPr>
        <w:t>venture</w:t>
      </w:r>
      <w:r>
        <w:rPr>
          <w:spacing w:val="27"/>
        </w:rPr>
        <w:t xml:space="preserve"> </w:t>
      </w:r>
      <w:r>
        <w:rPr>
          <w:spacing w:val="-1"/>
        </w:rPr>
        <w:t>or</w:t>
      </w:r>
      <w:r>
        <w:rPr>
          <w:spacing w:val="26"/>
        </w:rPr>
        <w:t xml:space="preserve"> </w:t>
      </w:r>
      <w:r>
        <w:rPr>
          <w:spacing w:val="-1"/>
        </w:rPr>
        <w:t>relationship</w:t>
      </w:r>
      <w:r>
        <w:rPr>
          <w:spacing w:val="27"/>
        </w:rPr>
        <w:t xml:space="preserve"> </w:t>
      </w:r>
      <w:r>
        <w:rPr>
          <w:spacing w:val="-2"/>
        </w:rPr>
        <w:t>of</w:t>
      </w:r>
      <w:r>
        <w:rPr>
          <w:spacing w:val="28"/>
        </w:rPr>
        <w:t xml:space="preserve"> </w:t>
      </w:r>
      <w:r>
        <w:rPr>
          <w:spacing w:val="-2"/>
        </w:rPr>
        <w:t>employer</w:t>
      </w:r>
      <w:r>
        <w:rPr>
          <w:spacing w:val="28"/>
        </w:rPr>
        <w:t xml:space="preserve"> </w:t>
      </w:r>
      <w:r>
        <w:rPr>
          <w:spacing w:val="-1"/>
        </w:rPr>
        <w:t>and</w:t>
      </w:r>
      <w:r>
        <w:rPr>
          <w:spacing w:val="56"/>
        </w:rPr>
        <w:t xml:space="preserve"> </w:t>
      </w:r>
      <w:r>
        <w:rPr>
          <w:spacing w:val="-2"/>
        </w:rPr>
        <w:t>employee</w:t>
      </w:r>
      <w:r>
        <w:rPr>
          <w:spacing w:val="22"/>
        </w:rPr>
        <w:t xml:space="preserve"> </w:t>
      </w:r>
      <w:r>
        <w:rPr>
          <w:spacing w:val="-1"/>
        </w:rPr>
        <w:t>or</w:t>
      </w:r>
      <w:r>
        <w:rPr>
          <w:spacing w:val="23"/>
        </w:rPr>
        <w:t xml:space="preserve"> </w:t>
      </w:r>
      <w:r>
        <w:rPr>
          <w:spacing w:val="-1"/>
        </w:rPr>
        <w:t>principal</w:t>
      </w:r>
      <w:r>
        <w:rPr>
          <w:spacing w:val="21"/>
        </w:rPr>
        <w:t xml:space="preserve"> </w:t>
      </w:r>
      <w:r>
        <w:rPr>
          <w:spacing w:val="-1"/>
        </w:rPr>
        <w:t>and</w:t>
      </w:r>
      <w:r>
        <w:rPr>
          <w:spacing w:val="22"/>
        </w:rPr>
        <w:t xml:space="preserve"> </w:t>
      </w:r>
      <w:r>
        <w:rPr>
          <w:spacing w:val="-1"/>
        </w:rPr>
        <w:t>agent</w:t>
      </w:r>
      <w:r>
        <w:rPr>
          <w:spacing w:val="23"/>
        </w:rPr>
        <w:t xml:space="preserve"> </w:t>
      </w:r>
      <w:r>
        <w:rPr>
          <w:spacing w:val="-1"/>
        </w:rPr>
        <w:t>between</w:t>
      </w:r>
      <w:r>
        <w:rPr>
          <w:spacing w:val="22"/>
        </w:rPr>
        <w:t xml:space="preserve"> </w:t>
      </w:r>
      <w:r>
        <w:t>the</w:t>
      </w:r>
      <w:r>
        <w:rPr>
          <w:spacing w:val="22"/>
        </w:rPr>
        <w:t xml:space="preserve"> </w:t>
      </w:r>
      <w:r>
        <w:rPr>
          <w:spacing w:val="-1"/>
        </w:rPr>
        <w:t>Parties,</w:t>
      </w:r>
      <w:r>
        <w:rPr>
          <w:spacing w:val="22"/>
        </w:rPr>
        <w:t xml:space="preserve"> </w:t>
      </w:r>
      <w:r>
        <w:rPr>
          <w:spacing w:val="-1"/>
        </w:rPr>
        <w:t>or</w:t>
      </w:r>
      <w:r>
        <w:rPr>
          <w:spacing w:val="23"/>
        </w:rPr>
        <w:t xml:space="preserve"> </w:t>
      </w:r>
      <w:r>
        <w:rPr>
          <w:spacing w:val="-1"/>
        </w:rPr>
        <w:t>authorise</w:t>
      </w:r>
      <w:r>
        <w:rPr>
          <w:spacing w:val="22"/>
        </w:rPr>
        <w:t xml:space="preserve"> </w:t>
      </w:r>
      <w:r>
        <w:rPr>
          <w:spacing w:val="-1"/>
        </w:rPr>
        <w:t>either</w:t>
      </w:r>
      <w:r>
        <w:rPr>
          <w:spacing w:val="23"/>
        </w:rPr>
        <w:t xml:space="preserve"> </w:t>
      </w:r>
      <w:r>
        <w:rPr>
          <w:spacing w:val="-1"/>
        </w:rPr>
        <w:t>Party</w:t>
      </w:r>
      <w:r>
        <w:rPr>
          <w:spacing w:val="20"/>
        </w:rPr>
        <w:t xml:space="preserve"> </w:t>
      </w:r>
      <w:r>
        <w:rPr>
          <w:spacing w:val="-1"/>
        </w:rPr>
        <w:t>to</w:t>
      </w:r>
      <w:r>
        <w:rPr>
          <w:spacing w:val="37"/>
        </w:rPr>
        <w:t xml:space="preserve"> </w:t>
      </w:r>
      <w:r>
        <w:rPr>
          <w:spacing w:val="-1"/>
        </w:rPr>
        <w:t>make</w:t>
      </w:r>
      <w:r>
        <w:rPr>
          <w:spacing w:val="15"/>
        </w:rPr>
        <w:t xml:space="preserve"> </w:t>
      </w:r>
      <w:r>
        <w:rPr>
          <w:spacing w:val="-1"/>
        </w:rPr>
        <w:t>representations</w:t>
      </w:r>
      <w:r>
        <w:rPr>
          <w:spacing w:val="15"/>
        </w:rPr>
        <w:t xml:space="preserve"> </w:t>
      </w:r>
      <w:r>
        <w:rPr>
          <w:spacing w:val="-1"/>
        </w:rPr>
        <w:t>or</w:t>
      </w:r>
      <w:r>
        <w:rPr>
          <w:spacing w:val="16"/>
        </w:rPr>
        <w:t xml:space="preserve"> </w:t>
      </w:r>
      <w:r>
        <w:rPr>
          <w:spacing w:val="-1"/>
        </w:rPr>
        <w:t>enter</w:t>
      </w:r>
      <w:r>
        <w:rPr>
          <w:spacing w:val="16"/>
        </w:rPr>
        <w:t xml:space="preserve"> </w:t>
      </w:r>
      <w:r>
        <w:rPr>
          <w:spacing w:val="-1"/>
        </w:rPr>
        <w:t>into</w:t>
      </w:r>
      <w:r>
        <w:rPr>
          <w:spacing w:val="17"/>
        </w:rPr>
        <w:t xml:space="preserve"> </w:t>
      </w:r>
      <w:r>
        <w:rPr>
          <w:spacing w:val="-1"/>
        </w:rPr>
        <w:t>any</w:t>
      </w:r>
      <w:r>
        <w:rPr>
          <w:spacing w:val="15"/>
        </w:rPr>
        <w:t xml:space="preserve"> </w:t>
      </w:r>
      <w:r>
        <w:rPr>
          <w:spacing w:val="-1"/>
        </w:rPr>
        <w:t>commitments</w:t>
      </w:r>
      <w:r>
        <w:rPr>
          <w:spacing w:val="15"/>
        </w:rPr>
        <w:t xml:space="preserve"> </w:t>
      </w:r>
      <w:r>
        <w:t>for</w:t>
      </w:r>
      <w:r>
        <w:rPr>
          <w:spacing w:val="16"/>
        </w:rPr>
        <w:t xml:space="preserve"> </w:t>
      </w:r>
      <w:r>
        <w:rPr>
          <w:spacing w:val="-1"/>
        </w:rPr>
        <w:t>or</w:t>
      </w:r>
      <w:r>
        <w:rPr>
          <w:spacing w:val="19"/>
        </w:rPr>
        <w:t xml:space="preserve"> </w:t>
      </w:r>
      <w:r>
        <w:rPr>
          <w:spacing w:val="-1"/>
        </w:rPr>
        <w:t>on</w:t>
      </w:r>
      <w:r>
        <w:rPr>
          <w:spacing w:val="15"/>
        </w:rPr>
        <w:t xml:space="preserve"> </w:t>
      </w:r>
      <w:r>
        <w:rPr>
          <w:spacing w:val="-2"/>
        </w:rPr>
        <w:t>behalf</w:t>
      </w:r>
      <w:r>
        <w:rPr>
          <w:spacing w:val="19"/>
        </w:rPr>
        <w:t xml:space="preserve"> </w:t>
      </w:r>
      <w:r>
        <w:rPr>
          <w:spacing w:val="-2"/>
        </w:rPr>
        <w:t>of</w:t>
      </w:r>
      <w:r>
        <w:rPr>
          <w:spacing w:val="19"/>
        </w:rPr>
        <w:t xml:space="preserve"> </w:t>
      </w:r>
      <w:r>
        <w:rPr>
          <w:spacing w:val="-1"/>
        </w:rPr>
        <w:t>any</w:t>
      </w:r>
      <w:r>
        <w:rPr>
          <w:spacing w:val="15"/>
        </w:rPr>
        <w:t xml:space="preserve"> </w:t>
      </w:r>
      <w:r>
        <w:rPr>
          <w:spacing w:val="-1"/>
        </w:rPr>
        <w:t>other</w:t>
      </w:r>
      <w:r>
        <w:rPr>
          <w:spacing w:val="51"/>
        </w:rPr>
        <w:t xml:space="preserve"> </w:t>
      </w:r>
      <w:r>
        <w:rPr>
          <w:spacing w:val="-2"/>
        </w:rPr>
        <w:t>Party.</w:t>
      </w:r>
    </w:p>
    <w:p w:rsidR="008918FA" w:rsidRDefault="008918FA" w:rsidP="008918FA">
      <w:pPr>
        <w:pStyle w:val="BodyText"/>
        <w:numPr>
          <w:ilvl w:val="0"/>
          <w:numId w:val="66"/>
        </w:numPr>
        <w:tabs>
          <w:tab w:val="left" w:pos="668"/>
        </w:tabs>
        <w:spacing w:before="120"/>
        <w:ind w:left="667"/>
        <w:rPr>
          <w:rFonts w:ascii="Times New Roman" w:eastAsia="Times New Roman" w:hAnsi="Times New Roman" w:cs="Times New Roman"/>
        </w:rPr>
      </w:pPr>
      <w:bookmarkStart w:id="315" w:name="_bookmark261"/>
      <w:bookmarkEnd w:id="315"/>
      <w:r>
        <w:rPr>
          <w:rFonts w:ascii="Times New Roman"/>
          <w:spacing w:val="4"/>
        </w:rPr>
        <w:t>PREVENTION</w:t>
      </w:r>
      <w:r>
        <w:rPr>
          <w:rFonts w:ascii="Times New Roman"/>
          <w:spacing w:val="6"/>
        </w:rPr>
        <w:t xml:space="preserve"> OF</w:t>
      </w:r>
      <w:r>
        <w:rPr>
          <w:rFonts w:ascii="Times New Roman"/>
          <w:spacing w:val="16"/>
        </w:rPr>
        <w:t xml:space="preserve"> </w:t>
      </w:r>
      <w:r>
        <w:rPr>
          <w:rFonts w:ascii="Times New Roman"/>
          <w:spacing w:val="3"/>
        </w:rPr>
        <w:t>FRAUD</w:t>
      </w:r>
      <w:r>
        <w:rPr>
          <w:rFonts w:ascii="Times New Roman"/>
          <w:spacing w:val="8"/>
        </w:rPr>
        <w:t xml:space="preserve"> </w:t>
      </w:r>
      <w:r>
        <w:rPr>
          <w:rFonts w:ascii="Times New Roman"/>
          <w:spacing w:val="-3"/>
        </w:rPr>
        <w:t>AND</w:t>
      </w:r>
      <w:r>
        <w:rPr>
          <w:rFonts w:ascii="Times New Roman"/>
          <w:spacing w:val="6"/>
        </w:rPr>
        <w:t xml:space="preserve"> </w:t>
      </w:r>
      <w:r>
        <w:rPr>
          <w:rFonts w:ascii="Times New Roman"/>
          <w:spacing w:val="7"/>
        </w:rPr>
        <w:t>BRIBERY</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4"/>
        </w:tabs>
        <w:spacing w:before="0"/>
        <w:ind w:left="1029" w:right="112" w:hanging="360"/>
        <w:jc w:val="both"/>
      </w:pPr>
      <w:bookmarkStart w:id="316" w:name="_bookmark262"/>
      <w:bookmarkEnd w:id="316"/>
      <w:r>
        <w:t>The</w:t>
      </w:r>
      <w:r>
        <w:rPr>
          <w:spacing w:val="4"/>
        </w:rPr>
        <w:t xml:space="preserve"> </w:t>
      </w:r>
      <w:r>
        <w:rPr>
          <w:spacing w:val="-2"/>
        </w:rPr>
        <w:t>Supplier</w:t>
      </w:r>
      <w:r>
        <w:rPr>
          <w:spacing w:val="3"/>
        </w:rPr>
        <w:t xml:space="preserve"> </w:t>
      </w:r>
      <w:r>
        <w:rPr>
          <w:spacing w:val="-1"/>
        </w:rPr>
        <w:t>represents</w:t>
      </w:r>
      <w:r>
        <w:rPr>
          <w:spacing w:val="4"/>
        </w:rPr>
        <w:t xml:space="preserve"> </w:t>
      </w:r>
      <w:r>
        <w:rPr>
          <w:spacing w:val="-1"/>
        </w:rPr>
        <w:t>and</w:t>
      </w:r>
      <w:r>
        <w:rPr>
          <w:spacing w:val="4"/>
        </w:rPr>
        <w:t xml:space="preserve"> </w:t>
      </w:r>
      <w:r>
        <w:rPr>
          <w:spacing w:val="-1"/>
        </w:rPr>
        <w:t>warrants</w:t>
      </w:r>
      <w:r>
        <w:rPr>
          <w:spacing w:val="2"/>
        </w:rPr>
        <w:t xml:space="preserve"> </w:t>
      </w:r>
      <w:r>
        <w:rPr>
          <w:spacing w:val="-1"/>
        </w:rPr>
        <w:t>that</w:t>
      </w:r>
      <w:r>
        <w:rPr>
          <w:spacing w:val="5"/>
        </w:rPr>
        <w:t xml:space="preserve"> </w:t>
      </w:r>
      <w:r>
        <w:rPr>
          <w:spacing w:val="-1"/>
        </w:rPr>
        <w:t>neither</w:t>
      </w:r>
      <w:r>
        <w:rPr>
          <w:spacing w:val="5"/>
        </w:rPr>
        <w:t xml:space="preserve"> </w:t>
      </w:r>
      <w:r>
        <w:rPr>
          <w:spacing w:val="-2"/>
        </w:rPr>
        <w:t>it,</w:t>
      </w:r>
      <w:r>
        <w:rPr>
          <w:spacing w:val="5"/>
        </w:rPr>
        <w:t xml:space="preserve"> </w:t>
      </w:r>
      <w:r>
        <w:rPr>
          <w:spacing w:val="-2"/>
        </w:rPr>
        <w:t>nor</w:t>
      </w:r>
      <w:r>
        <w:rPr>
          <w:spacing w:val="5"/>
        </w:rPr>
        <w:t xml:space="preserve"> </w:t>
      </w:r>
      <w:r>
        <w:t>to</w:t>
      </w:r>
      <w:r>
        <w:rPr>
          <w:spacing w:val="2"/>
        </w:rPr>
        <w:t xml:space="preserve"> </w:t>
      </w:r>
      <w:r>
        <w:t>the</w:t>
      </w:r>
      <w:r>
        <w:rPr>
          <w:spacing w:val="2"/>
        </w:rPr>
        <w:t xml:space="preserve"> </w:t>
      </w:r>
      <w:r>
        <w:rPr>
          <w:spacing w:val="-1"/>
        </w:rPr>
        <w:t>best</w:t>
      </w:r>
      <w:r>
        <w:rPr>
          <w:spacing w:val="3"/>
        </w:rPr>
        <w:t xml:space="preserve"> </w:t>
      </w:r>
      <w:r>
        <w:rPr>
          <w:spacing w:val="-2"/>
        </w:rPr>
        <w:t>of</w:t>
      </w:r>
      <w:r>
        <w:rPr>
          <w:spacing w:val="8"/>
        </w:rPr>
        <w:t xml:space="preserve"> </w:t>
      </w:r>
      <w:r>
        <w:rPr>
          <w:spacing w:val="-2"/>
        </w:rPr>
        <w:t>its</w:t>
      </w:r>
      <w:r>
        <w:rPr>
          <w:spacing w:val="45"/>
        </w:rPr>
        <w:t xml:space="preserve"> </w:t>
      </w:r>
      <w:r>
        <w:rPr>
          <w:spacing w:val="-1"/>
        </w:rPr>
        <w:t>knowledge</w:t>
      </w:r>
      <w:r>
        <w:rPr>
          <w:spacing w:val="28"/>
        </w:rPr>
        <w:t xml:space="preserve"> </w:t>
      </w:r>
      <w:r>
        <w:rPr>
          <w:spacing w:val="-1"/>
        </w:rPr>
        <w:t>any</w:t>
      </w:r>
      <w:r>
        <w:rPr>
          <w:spacing w:val="26"/>
        </w:rPr>
        <w:t xml:space="preserve"> </w:t>
      </w:r>
      <w:r>
        <w:rPr>
          <w:spacing w:val="-1"/>
        </w:rPr>
        <w:t>Supplier</w:t>
      </w:r>
      <w:r>
        <w:rPr>
          <w:spacing w:val="29"/>
        </w:rPr>
        <w:t xml:space="preserve"> </w:t>
      </w:r>
      <w:r>
        <w:rPr>
          <w:spacing w:val="-1"/>
        </w:rPr>
        <w:t>Personnel,</w:t>
      </w:r>
      <w:r>
        <w:rPr>
          <w:spacing w:val="30"/>
        </w:rPr>
        <w:t xml:space="preserve"> </w:t>
      </w:r>
      <w:r>
        <w:rPr>
          <w:spacing w:val="-2"/>
        </w:rPr>
        <w:t>have</w:t>
      </w:r>
      <w:r>
        <w:rPr>
          <w:spacing w:val="28"/>
        </w:rPr>
        <w:t xml:space="preserve"> </w:t>
      </w:r>
      <w:r>
        <w:rPr>
          <w:spacing w:val="-1"/>
        </w:rPr>
        <w:t>at</w:t>
      </w:r>
      <w:r>
        <w:rPr>
          <w:spacing w:val="30"/>
        </w:rPr>
        <w:t xml:space="preserve"> </w:t>
      </w:r>
      <w:r>
        <w:rPr>
          <w:spacing w:val="-1"/>
        </w:rPr>
        <w:t>any</w:t>
      </w:r>
      <w:r>
        <w:rPr>
          <w:spacing w:val="26"/>
        </w:rPr>
        <w:t xml:space="preserve"> </w:t>
      </w:r>
      <w:r>
        <w:rPr>
          <w:spacing w:val="-1"/>
        </w:rPr>
        <w:t>time</w:t>
      </w:r>
      <w:r>
        <w:rPr>
          <w:spacing w:val="28"/>
        </w:rPr>
        <w:t xml:space="preserve"> </w:t>
      </w:r>
      <w:r>
        <w:rPr>
          <w:spacing w:val="-1"/>
        </w:rPr>
        <w:t>prior</w:t>
      </w:r>
      <w:r>
        <w:rPr>
          <w:spacing w:val="29"/>
        </w:rPr>
        <w:t xml:space="preserve"> </w:t>
      </w:r>
      <w:r>
        <w:t>to</w:t>
      </w:r>
      <w:r>
        <w:rPr>
          <w:spacing w:val="28"/>
        </w:rPr>
        <w:t xml:space="preserve"> </w:t>
      </w:r>
      <w:r>
        <w:t>the</w:t>
      </w:r>
      <w:r>
        <w:rPr>
          <w:spacing w:val="28"/>
        </w:rPr>
        <w:t xml:space="preserve"> </w:t>
      </w:r>
      <w:r>
        <w:rPr>
          <w:spacing w:val="-2"/>
        </w:rPr>
        <w:t>Call</w:t>
      </w:r>
      <w:r>
        <w:rPr>
          <w:spacing w:val="27"/>
        </w:rPr>
        <w:t xml:space="preserve"> </w:t>
      </w:r>
      <w:r>
        <w:rPr>
          <w:spacing w:val="-1"/>
        </w:rPr>
        <w:t>Off</w:t>
      </w:r>
      <w:r>
        <w:rPr>
          <w:spacing w:val="53"/>
        </w:rPr>
        <w:t xml:space="preserve"> </w:t>
      </w:r>
      <w:r>
        <w:rPr>
          <w:spacing w:val="-1"/>
        </w:rPr>
        <w:t>Commencement</w:t>
      </w:r>
      <w:r>
        <w:t xml:space="preserve"> </w:t>
      </w:r>
      <w:r>
        <w:rPr>
          <w:spacing w:val="-1"/>
        </w:rPr>
        <w:t>Date:</w:t>
      </w:r>
    </w:p>
    <w:p w:rsidR="008918FA" w:rsidRDefault="008918FA" w:rsidP="008918FA">
      <w:pPr>
        <w:pStyle w:val="BodyText"/>
        <w:numPr>
          <w:ilvl w:val="2"/>
          <w:numId w:val="66"/>
        </w:numPr>
        <w:tabs>
          <w:tab w:val="left" w:pos="2228"/>
        </w:tabs>
        <w:ind w:left="2227" w:right="112"/>
        <w:jc w:val="both"/>
      </w:pPr>
      <w:r>
        <w:rPr>
          <w:spacing w:val="-1"/>
        </w:rPr>
        <w:t>committed</w:t>
      </w:r>
      <w:r>
        <w:rPr>
          <w:spacing w:val="3"/>
        </w:rPr>
        <w:t xml:space="preserve"> </w:t>
      </w:r>
      <w:r>
        <w:t>a</w:t>
      </w:r>
      <w:r>
        <w:rPr>
          <w:spacing w:val="5"/>
        </w:rPr>
        <w:t xml:space="preserve"> </w:t>
      </w:r>
      <w:r>
        <w:rPr>
          <w:spacing w:val="-1"/>
        </w:rPr>
        <w:t>Prohibited</w:t>
      </w:r>
      <w:r>
        <w:rPr>
          <w:spacing w:val="3"/>
        </w:rPr>
        <w:t xml:space="preserve"> </w:t>
      </w:r>
      <w:r>
        <w:rPr>
          <w:spacing w:val="-1"/>
        </w:rPr>
        <w:t>Act</w:t>
      </w:r>
      <w:r>
        <w:rPr>
          <w:spacing w:val="7"/>
        </w:rPr>
        <w:t xml:space="preserve"> </w:t>
      </w:r>
      <w:r>
        <w:rPr>
          <w:spacing w:val="-1"/>
        </w:rPr>
        <w:t>or</w:t>
      </w:r>
      <w:r>
        <w:rPr>
          <w:spacing w:val="4"/>
        </w:rPr>
        <w:t xml:space="preserve"> </w:t>
      </w:r>
      <w:r>
        <w:rPr>
          <w:spacing w:val="-1"/>
        </w:rPr>
        <w:t>been</w:t>
      </w:r>
      <w:r>
        <w:rPr>
          <w:spacing w:val="3"/>
        </w:rPr>
        <w:t xml:space="preserve"> </w:t>
      </w:r>
      <w:r>
        <w:rPr>
          <w:spacing w:val="-1"/>
        </w:rPr>
        <w:t>formally</w:t>
      </w:r>
      <w:r>
        <w:rPr>
          <w:spacing w:val="3"/>
        </w:rPr>
        <w:t xml:space="preserve"> </w:t>
      </w:r>
      <w:r>
        <w:rPr>
          <w:spacing w:val="-1"/>
        </w:rPr>
        <w:t>notified</w:t>
      </w:r>
      <w:r>
        <w:rPr>
          <w:spacing w:val="5"/>
        </w:rPr>
        <w:t xml:space="preserve"> </w:t>
      </w:r>
      <w:r>
        <w:rPr>
          <w:spacing w:val="-1"/>
        </w:rPr>
        <w:t>that</w:t>
      </w:r>
      <w:r>
        <w:rPr>
          <w:spacing w:val="7"/>
        </w:rPr>
        <w:t xml:space="preserve"> </w:t>
      </w:r>
      <w:r>
        <w:rPr>
          <w:spacing w:val="-2"/>
        </w:rPr>
        <w:t>it</w:t>
      </w:r>
      <w:r>
        <w:rPr>
          <w:spacing w:val="7"/>
        </w:rPr>
        <w:t xml:space="preserve"> </w:t>
      </w:r>
      <w:r>
        <w:rPr>
          <w:spacing w:val="-1"/>
        </w:rPr>
        <w:t>is</w:t>
      </w:r>
      <w:r>
        <w:rPr>
          <w:spacing w:val="5"/>
        </w:rPr>
        <w:t xml:space="preserve"> </w:t>
      </w:r>
      <w:r>
        <w:rPr>
          <w:spacing w:val="-1"/>
        </w:rPr>
        <w:t>subject</w:t>
      </w:r>
      <w:r>
        <w:rPr>
          <w:spacing w:val="7"/>
        </w:rPr>
        <w:t xml:space="preserve"> </w:t>
      </w:r>
      <w:r>
        <w:rPr>
          <w:spacing w:val="-1"/>
        </w:rPr>
        <w:t>to</w:t>
      </w:r>
      <w:r>
        <w:rPr>
          <w:spacing w:val="35"/>
        </w:rPr>
        <w:t xml:space="preserve"> </w:t>
      </w:r>
      <w:r>
        <w:rPr>
          <w:spacing w:val="-1"/>
        </w:rPr>
        <w:t>an</w:t>
      </w:r>
      <w:r>
        <w:rPr>
          <w:spacing w:val="24"/>
        </w:rPr>
        <w:t xml:space="preserve"> </w:t>
      </w:r>
      <w:r>
        <w:rPr>
          <w:spacing w:val="-1"/>
        </w:rPr>
        <w:t>investigation</w:t>
      </w:r>
      <w:r>
        <w:rPr>
          <w:spacing w:val="24"/>
        </w:rPr>
        <w:t xml:space="preserve"> </w:t>
      </w:r>
      <w:r>
        <w:rPr>
          <w:spacing w:val="-1"/>
        </w:rPr>
        <w:t>or</w:t>
      </w:r>
      <w:r>
        <w:rPr>
          <w:spacing w:val="23"/>
        </w:rPr>
        <w:t xml:space="preserve"> </w:t>
      </w:r>
      <w:r>
        <w:rPr>
          <w:spacing w:val="-1"/>
        </w:rPr>
        <w:t>prosecution</w:t>
      </w:r>
      <w:r>
        <w:rPr>
          <w:spacing w:val="24"/>
        </w:rPr>
        <w:t xml:space="preserve"> </w:t>
      </w:r>
      <w:r>
        <w:rPr>
          <w:spacing w:val="-2"/>
        </w:rPr>
        <w:t>which</w:t>
      </w:r>
      <w:r>
        <w:rPr>
          <w:spacing w:val="25"/>
        </w:rPr>
        <w:t xml:space="preserve"> </w:t>
      </w:r>
      <w:r>
        <w:rPr>
          <w:spacing w:val="-1"/>
        </w:rPr>
        <w:t>relates</w:t>
      </w:r>
      <w:r>
        <w:rPr>
          <w:spacing w:val="25"/>
        </w:rPr>
        <w:t xml:space="preserve"> </w:t>
      </w:r>
      <w:r>
        <w:t>to</w:t>
      </w:r>
      <w:r>
        <w:rPr>
          <w:spacing w:val="22"/>
        </w:rPr>
        <w:t xml:space="preserve"> </w:t>
      </w:r>
      <w:r>
        <w:rPr>
          <w:spacing w:val="-1"/>
        </w:rPr>
        <w:t>an</w:t>
      </w:r>
      <w:r>
        <w:rPr>
          <w:spacing w:val="24"/>
        </w:rPr>
        <w:t xml:space="preserve"> </w:t>
      </w:r>
      <w:r>
        <w:rPr>
          <w:spacing w:val="-1"/>
        </w:rPr>
        <w:t>alleged</w:t>
      </w:r>
      <w:r>
        <w:rPr>
          <w:spacing w:val="24"/>
        </w:rPr>
        <w:t xml:space="preserve"> </w:t>
      </w:r>
      <w:r>
        <w:rPr>
          <w:spacing w:val="-2"/>
        </w:rPr>
        <w:t>Prohibited</w:t>
      </w:r>
      <w:r>
        <w:rPr>
          <w:spacing w:val="48"/>
        </w:rPr>
        <w:t xml:space="preserve"> </w:t>
      </w:r>
      <w:r>
        <w:rPr>
          <w:spacing w:val="-1"/>
        </w:rPr>
        <w:t>Act;</w:t>
      </w:r>
      <w:r>
        <w:t xml:space="preserve"> </w:t>
      </w:r>
      <w:r>
        <w:rPr>
          <w:spacing w:val="-1"/>
        </w:rPr>
        <w:t>and/or</w:t>
      </w:r>
    </w:p>
    <w:p w:rsidR="008918FA" w:rsidRDefault="008918FA" w:rsidP="008918FA">
      <w:pPr>
        <w:pStyle w:val="BodyText"/>
        <w:numPr>
          <w:ilvl w:val="2"/>
          <w:numId w:val="66"/>
        </w:numPr>
        <w:tabs>
          <w:tab w:val="left" w:pos="2228"/>
        </w:tabs>
        <w:ind w:left="2227" w:right="112"/>
        <w:jc w:val="both"/>
      </w:pPr>
      <w:r>
        <w:rPr>
          <w:spacing w:val="-1"/>
        </w:rPr>
        <w:t>been</w:t>
      </w:r>
      <w:r>
        <w:rPr>
          <w:spacing w:val="30"/>
        </w:rPr>
        <w:t xml:space="preserve"> </w:t>
      </w:r>
      <w:r>
        <w:rPr>
          <w:spacing w:val="-1"/>
        </w:rPr>
        <w:t>listed</w:t>
      </w:r>
      <w:r>
        <w:rPr>
          <w:spacing w:val="30"/>
        </w:rPr>
        <w:t xml:space="preserve"> </w:t>
      </w:r>
      <w:r>
        <w:rPr>
          <w:spacing w:val="-1"/>
        </w:rPr>
        <w:t>by</w:t>
      </w:r>
      <w:r>
        <w:rPr>
          <w:spacing w:val="28"/>
        </w:rPr>
        <w:t xml:space="preserve"> </w:t>
      </w:r>
      <w:r>
        <w:t>any</w:t>
      </w:r>
      <w:r>
        <w:rPr>
          <w:spacing w:val="28"/>
        </w:rPr>
        <w:t xml:space="preserve"> </w:t>
      </w:r>
      <w:r>
        <w:rPr>
          <w:spacing w:val="-1"/>
        </w:rPr>
        <w:t>government</w:t>
      </w:r>
      <w:r>
        <w:rPr>
          <w:spacing w:val="32"/>
        </w:rPr>
        <w:t xml:space="preserve"> </w:t>
      </w:r>
      <w:r>
        <w:rPr>
          <w:spacing w:val="-1"/>
        </w:rPr>
        <w:t>department</w:t>
      </w:r>
      <w:r>
        <w:rPr>
          <w:spacing w:val="30"/>
        </w:rPr>
        <w:t xml:space="preserve"> </w:t>
      </w:r>
      <w:r>
        <w:rPr>
          <w:spacing w:val="-1"/>
        </w:rPr>
        <w:t>or</w:t>
      </w:r>
      <w:r>
        <w:rPr>
          <w:spacing w:val="32"/>
        </w:rPr>
        <w:t xml:space="preserve"> </w:t>
      </w:r>
      <w:r>
        <w:rPr>
          <w:spacing w:val="-1"/>
        </w:rPr>
        <w:t>agency</w:t>
      </w:r>
      <w:r>
        <w:rPr>
          <w:spacing w:val="29"/>
        </w:rPr>
        <w:t xml:space="preserve"> </w:t>
      </w:r>
      <w:r>
        <w:rPr>
          <w:spacing w:val="-1"/>
        </w:rPr>
        <w:t>as</w:t>
      </w:r>
      <w:r>
        <w:rPr>
          <w:spacing w:val="31"/>
        </w:rPr>
        <w:t xml:space="preserve"> </w:t>
      </w:r>
      <w:r>
        <w:rPr>
          <w:spacing w:val="-2"/>
        </w:rPr>
        <w:t>being</w:t>
      </w:r>
      <w:r>
        <w:rPr>
          <w:spacing w:val="32"/>
        </w:rPr>
        <w:t xml:space="preserve"> </w:t>
      </w:r>
      <w:r>
        <w:rPr>
          <w:spacing w:val="-1"/>
        </w:rPr>
        <w:t>debarred,</w:t>
      </w:r>
      <w:r>
        <w:t xml:space="preserve"> </w:t>
      </w:r>
      <w:r>
        <w:rPr>
          <w:spacing w:val="30"/>
        </w:rPr>
        <w:t xml:space="preserve"> </w:t>
      </w:r>
      <w:r>
        <w:rPr>
          <w:spacing w:val="-1"/>
        </w:rPr>
        <w:t>suspended,</w:t>
      </w:r>
      <w:r>
        <w:t xml:space="preserve"> </w:t>
      </w:r>
      <w:r>
        <w:rPr>
          <w:spacing w:val="27"/>
        </w:rPr>
        <w:t xml:space="preserve"> </w:t>
      </w:r>
      <w:r>
        <w:rPr>
          <w:spacing w:val="-1"/>
        </w:rPr>
        <w:t>proposed</w:t>
      </w:r>
      <w:r>
        <w:t xml:space="preserve"> </w:t>
      </w:r>
      <w:r>
        <w:rPr>
          <w:spacing w:val="26"/>
        </w:rPr>
        <w:t xml:space="preserve"> </w:t>
      </w:r>
      <w:r>
        <w:t xml:space="preserve">for </w:t>
      </w:r>
      <w:r>
        <w:rPr>
          <w:spacing w:val="27"/>
        </w:rPr>
        <w:t xml:space="preserve"> </w:t>
      </w:r>
      <w:r>
        <w:rPr>
          <w:spacing w:val="-1"/>
        </w:rPr>
        <w:t>suspension</w:t>
      </w:r>
      <w:r>
        <w:t xml:space="preserve"> </w:t>
      </w:r>
      <w:r>
        <w:rPr>
          <w:spacing w:val="28"/>
        </w:rPr>
        <w:t xml:space="preserve"> </w:t>
      </w:r>
      <w:r>
        <w:rPr>
          <w:spacing w:val="-1"/>
        </w:rPr>
        <w:t>or</w:t>
      </w:r>
      <w:r>
        <w:t xml:space="preserve"> </w:t>
      </w:r>
      <w:r>
        <w:rPr>
          <w:spacing w:val="29"/>
        </w:rPr>
        <w:t xml:space="preserve"> </w:t>
      </w:r>
      <w:r>
        <w:rPr>
          <w:spacing w:val="-1"/>
        </w:rPr>
        <w:t>debarment,</w:t>
      </w:r>
      <w:r>
        <w:t xml:space="preserve"> </w:t>
      </w:r>
      <w:r>
        <w:rPr>
          <w:spacing w:val="27"/>
        </w:rPr>
        <w:t xml:space="preserve"> </w:t>
      </w:r>
      <w:r>
        <w:rPr>
          <w:spacing w:val="-1"/>
        </w:rPr>
        <w:t>or</w:t>
      </w:r>
    </w:p>
    <w:p w:rsidR="008918FA" w:rsidRDefault="008918FA" w:rsidP="008918FA">
      <w:pPr>
        <w:jc w:val="both"/>
        <w:sectPr w:rsidR="008918FA">
          <w:pgSz w:w="11910" w:h="16840"/>
          <w:pgMar w:top="1480" w:right="1300" w:bottom="1180" w:left="1340" w:header="0" w:footer="967" w:gutter="0"/>
          <w:cols w:space="720"/>
        </w:sectPr>
      </w:pPr>
    </w:p>
    <w:p w:rsidR="008918FA" w:rsidRDefault="008918FA" w:rsidP="008918FA">
      <w:pPr>
        <w:pStyle w:val="BodyText"/>
        <w:spacing w:before="59"/>
        <w:ind w:right="115" w:firstLine="0"/>
      </w:pPr>
      <w:r>
        <w:rPr>
          <w:spacing w:val="-1"/>
        </w:rPr>
        <w:t>otherwise</w:t>
      </w:r>
      <w:r>
        <w:t xml:space="preserve">  </w:t>
      </w:r>
      <w:r>
        <w:rPr>
          <w:spacing w:val="1"/>
        </w:rPr>
        <w:t xml:space="preserve"> </w:t>
      </w:r>
      <w:r>
        <w:rPr>
          <w:spacing w:val="-1"/>
        </w:rPr>
        <w:t>ineligible</w:t>
      </w:r>
      <w:r>
        <w:t xml:space="preserve">   for </w:t>
      </w:r>
      <w:r>
        <w:rPr>
          <w:spacing w:val="60"/>
        </w:rPr>
        <w:t xml:space="preserve"> </w:t>
      </w:r>
      <w:r>
        <w:rPr>
          <w:spacing w:val="-1"/>
        </w:rPr>
        <w:t>participation</w:t>
      </w:r>
      <w:r>
        <w:t xml:space="preserve">   </w:t>
      </w:r>
      <w:r>
        <w:rPr>
          <w:spacing w:val="-1"/>
        </w:rPr>
        <w:t>in</w:t>
      </w:r>
      <w:r>
        <w:t xml:space="preserve">   </w:t>
      </w:r>
      <w:r>
        <w:rPr>
          <w:spacing w:val="-1"/>
        </w:rPr>
        <w:t>government</w:t>
      </w:r>
      <w:r>
        <w:t xml:space="preserve">  </w:t>
      </w:r>
      <w:r>
        <w:rPr>
          <w:spacing w:val="2"/>
        </w:rPr>
        <w:t xml:space="preserve"> </w:t>
      </w:r>
      <w:r>
        <w:rPr>
          <w:spacing w:val="-1"/>
        </w:rPr>
        <w:t>procurement</w:t>
      </w:r>
      <w:r>
        <w:rPr>
          <w:spacing w:val="29"/>
        </w:rPr>
        <w:t xml:space="preserve"> </w:t>
      </w:r>
      <w:r>
        <w:rPr>
          <w:spacing w:val="-1"/>
        </w:rPr>
        <w:t>programmes</w:t>
      </w:r>
      <w:r>
        <w:rPr>
          <w:spacing w:val="-2"/>
        </w:rPr>
        <w:t xml:space="preserve"> </w:t>
      </w:r>
      <w:r>
        <w:rPr>
          <w:spacing w:val="-1"/>
        </w:rPr>
        <w:t>or contracts</w:t>
      </w:r>
      <w:r>
        <w:rPr>
          <w:spacing w:val="-2"/>
        </w:rPr>
        <w:t xml:space="preserve"> </w:t>
      </w:r>
      <w:r>
        <w:rPr>
          <w:spacing w:val="-1"/>
        </w:rPr>
        <w:t>on</w:t>
      </w:r>
      <w:r>
        <w:rPr>
          <w:spacing w:val="-2"/>
        </w:rPr>
        <w:t xml:space="preserve"> </w:t>
      </w:r>
      <w:r>
        <w:t>the</w:t>
      </w:r>
      <w:r>
        <w:rPr>
          <w:spacing w:val="-2"/>
        </w:rPr>
        <w:t xml:space="preserve"> </w:t>
      </w:r>
      <w:r>
        <w:rPr>
          <w:spacing w:val="-1"/>
        </w:rPr>
        <w:t>grounds</w:t>
      </w:r>
      <w:r>
        <w:rPr>
          <w:spacing w:val="1"/>
        </w:rPr>
        <w:t xml:space="preserve"> </w:t>
      </w:r>
      <w:r>
        <w:rPr>
          <w:spacing w:val="-2"/>
        </w:rPr>
        <w:t>of</w:t>
      </w:r>
      <w:r>
        <w:t xml:space="preserve"> a </w:t>
      </w:r>
      <w:r>
        <w:rPr>
          <w:spacing w:val="-1"/>
        </w:rPr>
        <w:t>Prohibited</w:t>
      </w:r>
      <w:r>
        <w:t xml:space="preserve"> </w:t>
      </w:r>
      <w:r>
        <w:rPr>
          <w:spacing w:val="-1"/>
        </w:rPr>
        <w:t>Act.</w:t>
      </w:r>
    </w:p>
    <w:p w:rsidR="008918FA" w:rsidRDefault="008918FA" w:rsidP="008918FA">
      <w:pPr>
        <w:pStyle w:val="BodyText"/>
        <w:numPr>
          <w:ilvl w:val="1"/>
          <w:numId w:val="66"/>
        </w:numPr>
        <w:tabs>
          <w:tab w:val="left" w:pos="893"/>
        </w:tabs>
        <w:spacing w:before="121"/>
        <w:ind w:left="892" w:hanging="564"/>
      </w:pPr>
      <w:r>
        <w:t>The</w:t>
      </w:r>
      <w:r>
        <w:rPr>
          <w:spacing w:val="-2"/>
        </w:rPr>
        <w:t xml:space="preserve"> Supplier</w:t>
      </w:r>
      <w:r>
        <w:rPr>
          <w:spacing w:val="2"/>
        </w:rPr>
        <w:t xml:space="preserve"> </w:t>
      </w:r>
      <w:r>
        <w:rPr>
          <w:spacing w:val="-1"/>
        </w:rPr>
        <w:t>shall</w:t>
      </w:r>
      <w:r>
        <w:t xml:space="preserve"> </w:t>
      </w:r>
      <w:r>
        <w:rPr>
          <w:spacing w:val="-1"/>
        </w:rPr>
        <w:t>not</w:t>
      </w:r>
      <w:r>
        <w:t xml:space="preserve"> </w:t>
      </w:r>
      <w:r>
        <w:rPr>
          <w:spacing w:val="-2"/>
        </w:rPr>
        <w:t>during</w:t>
      </w:r>
      <w:r>
        <w:t xml:space="preserve"> the</w:t>
      </w:r>
      <w:r>
        <w:rPr>
          <w:spacing w:val="-2"/>
        </w:rPr>
        <w:t xml:space="preserve"> Call</w:t>
      </w:r>
      <w:r>
        <w:t xml:space="preserve"> </w:t>
      </w:r>
      <w:r>
        <w:rPr>
          <w:spacing w:val="-1"/>
        </w:rPr>
        <w:t>Off</w:t>
      </w:r>
      <w:r>
        <w:rPr>
          <w:spacing w:val="2"/>
        </w:rPr>
        <w:t xml:space="preserve"> </w:t>
      </w:r>
      <w:r>
        <w:rPr>
          <w:spacing w:val="-2"/>
        </w:rPr>
        <w:t>Contract</w:t>
      </w:r>
      <w:r>
        <w:t xml:space="preserve"> </w:t>
      </w:r>
      <w:r>
        <w:rPr>
          <w:spacing w:val="-1"/>
        </w:rPr>
        <w:t>Period:</w:t>
      </w:r>
    </w:p>
    <w:p w:rsidR="008918FA" w:rsidRDefault="008918FA" w:rsidP="008918FA">
      <w:pPr>
        <w:pStyle w:val="BodyText"/>
        <w:numPr>
          <w:ilvl w:val="2"/>
          <w:numId w:val="66"/>
        </w:numPr>
        <w:tabs>
          <w:tab w:val="left" w:pos="1887"/>
        </w:tabs>
        <w:ind w:left="1886"/>
      </w:pPr>
      <w:r>
        <w:rPr>
          <w:spacing w:val="-1"/>
        </w:rPr>
        <w:t>commit</w:t>
      </w:r>
      <w:r>
        <w:rPr>
          <w:spacing w:val="2"/>
        </w:rPr>
        <w:t xml:space="preserve"> </w:t>
      </w:r>
      <w:r>
        <w:t>a</w:t>
      </w:r>
      <w:r>
        <w:rPr>
          <w:spacing w:val="-2"/>
        </w:rPr>
        <w:t xml:space="preserve"> </w:t>
      </w:r>
      <w:r>
        <w:rPr>
          <w:spacing w:val="-1"/>
        </w:rPr>
        <w:t>Prohibited</w:t>
      </w:r>
      <w:r>
        <w:t xml:space="preserve"> </w:t>
      </w:r>
      <w:r>
        <w:rPr>
          <w:spacing w:val="-1"/>
        </w:rPr>
        <w:t>Act;</w:t>
      </w:r>
      <w:r>
        <w:rPr>
          <w:spacing w:val="-3"/>
        </w:rPr>
        <w:t xml:space="preserve"> </w:t>
      </w:r>
      <w:r>
        <w:rPr>
          <w:spacing w:val="-1"/>
        </w:rPr>
        <w:t>and/or</w:t>
      </w:r>
    </w:p>
    <w:p w:rsidR="008918FA" w:rsidRDefault="008918FA" w:rsidP="008918FA">
      <w:pPr>
        <w:pStyle w:val="BodyText"/>
        <w:numPr>
          <w:ilvl w:val="2"/>
          <w:numId w:val="66"/>
        </w:numPr>
        <w:tabs>
          <w:tab w:val="left" w:pos="1887"/>
        </w:tabs>
        <w:spacing w:before="121"/>
        <w:ind w:left="1886" w:right="114"/>
        <w:jc w:val="both"/>
      </w:pPr>
      <w:r>
        <w:rPr>
          <w:spacing w:val="-1"/>
        </w:rPr>
        <w:t>do</w:t>
      </w:r>
      <w:r>
        <w:rPr>
          <w:spacing w:val="22"/>
        </w:rPr>
        <w:t xml:space="preserve"> </w:t>
      </w:r>
      <w:r>
        <w:rPr>
          <w:spacing w:val="-1"/>
        </w:rPr>
        <w:t>or</w:t>
      </w:r>
      <w:r>
        <w:rPr>
          <w:spacing w:val="23"/>
        </w:rPr>
        <w:t xml:space="preserve"> </w:t>
      </w:r>
      <w:r>
        <w:rPr>
          <w:spacing w:val="-1"/>
        </w:rPr>
        <w:t>suffer</w:t>
      </w:r>
      <w:r>
        <w:rPr>
          <w:spacing w:val="24"/>
        </w:rPr>
        <w:t xml:space="preserve"> </w:t>
      </w:r>
      <w:r>
        <w:rPr>
          <w:spacing w:val="-1"/>
        </w:rPr>
        <w:t>anything</w:t>
      </w:r>
      <w:r>
        <w:rPr>
          <w:spacing w:val="22"/>
        </w:rPr>
        <w:t xml:space="preserve"> </w:t>
      </w:r>
      <w:r>
        <w:t>to</w:t>
      </w:r>
      <w:r>
        <w:rPr>
          <w:spacing w:val="19"/>
        </w:rPr>
        <w:t xml:space="preserve"> </w:t>
      </w:r>
      <w:r>
        <w:rPr>
          <w:spacing w:val="-1"/>
        </w:rPr>
        <w:t>be</w:t>
      </w:r>
      <w:r>
        <w:rPr>
          <w:spacing w:val="22"/>
        </w:rPr>
        <w:t xml:space="preserve"> </w:t>
      </w:r>
      <w:r>
        <w:rPr>
          <w:spacing w:val="-1"/>
        </w:rPr>
        <w:t>done</w:t>
      </w:r>
      <w:r>
        <w:rPr>
          <w:spacing w:val="22"/>
        </w:rPr>
        <w:t xml:space="preserve"> </w:t>
      </w:r>
      <w:r>
        <w:rPr>
          <w:spacing w:val="-2"/>
        </w:rPr>
        <w:t>which</w:t>
      </w:r>
      <w:r>
        <w:rPr>
          <w:spacing w:val="25"/>
        </w:rPr>
        <w:t xml:space="preserve"> </w:t>
      </w:r>
      <w:r>
        <w:rPr>
          <w:spacing w:val="-2"/>
        </w:rPr>
        <w:t>would</w:t>
      </w:r>
      <w:r>
        <w:rPr>
          <w:spacing w:val="22"/>
        </w:rPr>
        <w:t xml:space="preserve"> </w:t>
      </w:r>
      <w:r>
        <w:rPr>
          <w:spacing w:val="-1"/>
        </w:rPr>
        <w:t>cause</w:t>
      </w:r>
      <w:r>
        <w:rPr>
          <w:spacing w:val="22"/>
        </w:rPr>
        <w:t xml:space="preserve"> </w:t>
      </w:r>
      <w:r>
        <w:t>the</w:t>
      </w:r>
      <w:r>
        <w:rPr>
          <w:spacing w:val="22"/>
        </w:rPr>
        <w:t xml:space="preserve"> </w:t>
      </w:r>
      <w:r>
        <w:rPr>
          <w:spacing w:val="-2"/>
        </w:rPr>
        <w:t>Customer</w:t>
      </w:r>
      <w:r>
        <w:rPr>
          <w:spacing w:val="23"/>
        </w:rPr>
        <w:t xml:space="preserve"> </w:t>
      </w:r>
      <w:r>
        <w:rPr>
          <w:spacing w:val="-1"/>
        </w:rPr>
        <w:t>or</w:t>
      </w:r>
      <w:r>
        <w:rPr>
          <w:spacing w:val="42"/>
        </w:rPr>
        <w:t xml:space="preserve"> </w:t>
      </w:r>
      <w:r>
        <w:rPr>
          <w:spacing w:val="-1"/>
        </w:rPr>
        <w:t>any</w:t>
      </w:r>
      <w:r>
        <w:rPr>
          <w:spacing w:val="30"/>
        </w:rPr>
        <w:t xml:space="preserve"> </w:t>
      </w:r>
      <w:r>
        <w:rPr>
          <w:spacing w:val="-1"/>
        </w:rPr>
        <w:t>of</w:t>
      </w:r>
      <w:r>
        <w:rPr>
          <w:spacing w:val="36"/>
        </w:rPr>
        <w:t xml:space="preserve"> </w:t>
      </w:r>
      <w:r>
        <w:rPr>
          <w:spacing w:val="-1"/>
        </w:rPr>
        <w:t>the</w:t>
      </w:r>
      <w:r>
        <w:rPr>
          <w:spacing w:val="33"/>
        </w:rPr>
        <w:t xml:space="preserve"> </w:t>
      </w:r>
      <w:r>
        <w:rPr>
          <w:spacing w:val="-1"/>
        </w:rPr>
        <w:t>Customer’s</w:t>
      </w:r>
      <w:r>
        <w:rPr>
          <w:spacing w:val="31"/>
        </w:rPr>
        <w:t xml:space="preserve"> </w:t>
      </w:r>
      <w:r>
        <w:rPr>
          <w:spacing w:val="-2"/>
        </w:rPr>
        <w:t>employees,</w:t>
      </w:r>
      <w:r>
        <w:rPr>
          <w:spacing w:val="34"/>
        </w:rPr>
        <w:t xml:space="preserve"> </w:t>
      </w:r>
      <w:r>
        <w:rPr>
          <w:spacing w:val="-1"/>
        </w:rPr>
        <w:t>consultants,</w:t>
      </w:r>
      <w:r>
        <w:rPr>
          <w:spacing w:val="34"/>
        </w:rPr>
        <w:t xml:space="preserve"> </w:t>
      </w:r>
      <w:r>
        <w:rPr>
          <w:spacing w:val="-1"/>
        </w:rPr>
        <w:t>contractors,</w:t>
      </w:r>
      <w:r>
        <w:rPr>
          <w:spacing w:val="35"/>
        </w:rPr>
        <w:t xml:space="preserve"> </w:t>
      </w:r>
      <w:r>
        <w:rPr>
          <w:spacing w:val="-1"/>
        </w:rPr>
        <w:t>sub-</w:t>
      </w:r>
      <w:r>
        <w:rPr>
          <w:spacing w:val="37"/>
        </w:rPr>
        <w:t xml:space="preserve"> </w:t>
      </w:r>
      <w:r>
        <w:rPr>
          <w:spacing w:val="-1"/>
        </w:rPr>
        <w:t>contractors</w:t>
      </w:r>
      <w:r>
        <w:rPr>
          <w:spacing w:val="8"/>
        </w:rPr>
        <w:t xml:space="preserve"> </w:t>
      </w:r>
      <w:r>
        <w:rPr>
          <w:spacing w:val="-1"/>
        </w:rPr>
        <w:t>or</w:t>
      </w:r>
      <w:r>
        <w:rPr>
          <w:spacing w:val="9"/>
        </w:rPr>
        <w:t xml:space="preserve"> </w:t>
      </w:r>
      <w:r>
        <w:rPr>
          <w:spacing w:val="-1"/>
        </w:rPr>
        <w:t>agents</w:t>
      </w:r>
      <w:r>
        <w:rPr>
          <w:spacing w:val="5"/>
        </w:rPr>
        <w:t xml:space="preserve"> </w:t>
      </w:r>
      <w:r>
        <w:t>to</w:t>
      </w:r>
      <w:r>
        <w:rPr>
          <w:spacing w:val="5"/>
        </w:rPr>
        <w:t xml:space="preserve"> </w:t>
      </w:r>
      <w:r>
        <w:rPr>
          <w:spacing w:val="-1"/>
        </w:rPr>
        <w:t>contravene</w:t>
      </w:r>
      <w:r>
        <w:rPr>
          <w:spacing w:val="7"/>
        </w:rPr>
        <w:t xml:space="preserve"> </w:t>
      </w:r>
      <w:r>
        <w:rPr>
          <w:spacing w:val="-1"/>
        </w:rPr>
        <w:t>any</w:t>
      </w:r>
      <w:r>
        <w:rPr>
          <w:spacing w:val="5"/>
        </w:rPr>
        <w:t xml:space="preserve"> </w:t>
      </w:r>
      <w:r>
        <w:rPr>
          <w:spacing w:val="-1"/>
        </w:rPr>
        <w:t>of</w:t>
      </w:r>
      <w:r>
        <w:rPr>
          <w:spacing w:val="9"/>
        </w:rPr>
        <w:t xml:space="preserve"> </w:t>
      </w:r>
      <w:r>
        <w:t>the</w:t>
      </w:r>
      <w:r>
        <w:rPr>
          <w:spacing w:val="7"/>
        </w:rPr>
        <w:t xml:space="preserve"> </w:t>
      </w:r>
      <w:r>
        <w:rPr>
          <w:spacing w:val="-2"/>
        </w:rPr>
        <w:t>Relevant</w:t>
      </w:r>
      <w:r>
        <w:rPr>
          <w:spacing w:val="9"/>
        </w:rPr>
        <w:t xml:space="preserve"> </w:t>
      </w:r>
      <w:r>
        <w:rPr>
          <w:spacing w:val="-1"/>
        </w:rPr>
        <w:t>Requirements</w:t>
      </w:r>
      <w:r>
        <w:rPr>
          <w:spacing w:val="41"/>
        </w:rPr>
        <w:t xml:space="preserve"> </w:t>
      </w:r>
      <w:r>
        <w:rPr>
          <w:spacing w:val="-1"/>
        </w:rPr>
        <w:t>or</w:t>
      </w:r>
      <w:r>
        <w:rPr>
          <w:spacing w:val="2"/>
        </w:rPr>
        <w:t xml:space="preserve"> </w:t>
      </w:r>
      <w:r>
        <w:rPr>
          <w:spacing w:val="-2"/>
        </w:rPr>
        <w:t>otherwise</w:t>
      </w:r>
      <w:r>
        <w:rPr>
          <w:spacing w:val="1"/>
        </w:rPr>
        <w:t xml:space="preserve"> </w:t>
      </w:r>
      <w:r>
        <w:rPr>
          <w:spacing w:val="-1"/>
        </w:rPr>
        <w:t>incur</w:t>
      </w:r>
      <w:r>
        <w:rPr>
          <w:spacing w:val="2"/>
        </w:rPr>
        <w:t xml:space="preserve"> </w:t>
      </w:r>
      <w:r>
        <w:rPr>
          <w:spacing w:val="-1"/>
        </w:rPr>
        <w:t>any</w:t>
      </w:r>
      <w:r>
        <w:rPr>
          <w:spacing w:val="-2"/>
        </w:rPr>
        <w:t xml:space="preserve"> liability </w:t>
      </w:r>
      <w:r>
        <w:rPr>
          <w:spacing w:val="-1"/>
        </w:rPr>
        <w:t>in</w:t>
      </w:r>
      <w:r>
        <w:t xml:space="preserve"> </w:t>
      </w:r>
      <w:r>
        <w:rPr>
          <w:spacing w:val="-1"/>
        </w:rPr>
        <w:t>relation</w:t>
      </w:r>
      <w:r>
        <w:t xml:space="preserve"> to</w:t>
      </w:r>
      <w:r>
        <w:rPr>
          <w:spacing w:val="-2"/>
        </w:rPr>
        <w:t xml:space="preserve"> </w:t>
      </w:r>
      <w:r>
        <w:t xml:space="preserve">the </w:t>
      </w:r>
      <w:r>
        <w:rPr>
          <w:spacing w:val="-2"/>
        </w:rPr>
        <w:t>Relevant</w:t>
      </w:r>
      <w:r>
        <w:rPr>
          <w:spacing w:val="2"/>
        </w:rPr>
        <w:t xml:space="preserve"> </w:t>
      </w:r>
      <w:r>
        <w:rPr>
          <w:spacing w:val="-2"/>
        </w:rPr>
        <w:t>Requirements.</w:t>
      </w:r>
    </w:p>
    <w:p w:rsidR="008918FA" w:rsidRDefault="008918FA" w:rsidP="008918FA">
      <w:pPr>
        <w:pStyle w:val="BodyText"/>
        <w:numPr>
          <w:ilvl w:val="1"/>
          <w:numId w:val="66"/>
        </w:numPr>
        <w:tabs>
          <w:tab w:val="left" w:pos="893"/>
        </w:tabs>
        <w:ind w:left="892" w:hanging="564"/>
      </w:pPr>
      <w:bookmarkStart w:id="317" w:name="_bookmark263"/>
      <w:bookmarkEnd w:id="317"/>
      <w:r>
        <w:t>The</w:t>
      </w:r>
      <w:r>
        <w:rPr>
          <w:spacing w:val="-2"/>
        </w:rPr>
        <w:t xml:space="preserve"> Supplier</w:t>
      </w:r>
      <w:r>
        <w:rPr>
          <w:spacing w:val="2"/>
        </w:rPr>
        <w:t xml:space="preserve"> </w:t>
      </w:r>
      <w:r>
        <w:rPr>
          <w:spacing w:val="-1"/>
        </w:rPr>
        <w:t>shall</w:t>
      </w:r>
      <w:r>
        <w:t xml:space="preserve"> </w:t>
      </w:r>
      <w:r>
        <w:rPr>
          <w:spacing w:val="-2"/>
        </w:rPr>
        <w:t>during</w:t>
      </w:r>
      <w:r>
        <w:t xml:space="preserve"> the</w:t>
      </w:r>
      <w:r>
        <w:rPr>
          <w:spacing w:val="-2"/>
        </w:rPr>
        <w:t xml:space="preserve"> Call</w:t>
      </w:r>
      <w:r>
        <w:t xml:space="preserve"> </w:t>
      </w:r>
      <w:r>
        <w:rPr>
          <w:spacing w:val="-1"/>
        </w:rPr>
        <w:t>Off</w:t>
      </w:r>
      <w:r>
        <w:rPr>
          <w:spacing w:val="2"/>
        </w:rPr>
        <w:t xml:space="preserve"> </w:t>
      </w:r>
      <w:r>
        <w:rPr>
          <w:spacing w:val="-2"/>
        </w:rPr>
        <w:t>Contract</w:t>
      </w:r>
      <w:r>
        <w:t xml:space="preserve"> </w:t>
      </w:r>
      <w:r>
        <w:rPr>
          <w:spacing w:val="-1"/>
        </w:rPr>
        <w:t>Period:</w:t>
      </w:r>
    </w:p>
    <w:p w:rsidR="008918FA" w:rsidRDefault="008918FA" w:rsidP="008918FA">
      <w:pPr>
        <w:pStyle w:val="BodyText"/>
        <w:numPr>
          <w:ilvl w:val="2"/>
          <w:numId w:val="66"/>
        </w:numPr>
        <w:tabs>
          <w:tab w:val="left" w:pos="1887"/>
        </w:tabs>
        <w:spacing w:before="121"/>
        <w:ind w:left="1886" w:right="111"/>
        <w:jc w:val="both"/>
      </w:pPr>
      <w:bookmarkStart w:id="318" w:name="_bookmark264"/>
      <w:bookmarkEnd w:id="318"/>
      <w:r>
        <w:rPr>
          <w:spacing w:val="-1"/>
        </w:rPr>
        <w:t>establish,</w:t>
      </w:r>
      <w:r>
        <w:rPr>
          <w:spacing w:val="33"/>
        </w:rPr>
        <w:t xml:space="preserve"> </w:t>
      </w:r>
      <w:r>
        <w:rPr>
          <w:spacing w:val="-1"/>
        </w:rPr>
        <w:t>maintain</w:t>
      </w:r>
      <w:r>
        <w:rPr>
          <w:spacing w:val="34"/>
        </w:rPr>
        <w:t xml:space="preserve"> </w:t>
      </w:r>
      <w:r>
        <w:rPr>
          <w:spacing w:val="-1"/>
        </w:rPr>
        <w:t>and</w:t>
      </w:r>
      <w:r>
        <w:rPr>
          <w:spacing w:val="29"/>
        </w:rPr>
        <w:t xml:space="preserve"> </w:t>
      </w:r>
      <w:r>
        <w:rPr>
          <w:spacing w:val="-1"/>
        </w:rPr>
        <w:t>enforce,</w:t>
      </w:r>
      <w:r>
        <w:rPr>
          <w:spacing w:val="35"/>
        </w:rPr>
        <w:t xml:space="preserve"> </w:t>
      </w:r>
      <w:r>
        <w:rPr>
          <w:spacing w:val="-1"/>
        </w:rPr>
        <w:t>and</w:t>
      </w:r>
      <w:r>
        <w:rPr>
          <w:spacing w:val="31"/>
        </w:rPr>
        <w:t xml:space="preserve"> </w:t>
      </w:r>
      <w:r>
        <w:rPr>
          <w:spacing w:val="-1"/>
        </w:rPr>
        <w:t>require</w:t>
      </w:r>
      <w:r>
        <w:rPr>
          <w:spacing w:val="31"/>
        </w:rPr>
        <w:t xml:space="preserve"> </w:t>
      </w:r>
      <w:r>
        <w:rPr>
          <w:spacing w:val="-1"/>
        </w:rPr>
        <w:t>that</w:t>
      </w:r>
      <w:r>
        <w:rPr>
          <w:spacing w:val="35"/>
        </w:rPr>
        <w:t xml:space="preserve"> </w:t>
      </w:r>
      <w:r>
        <w:rPr>
          <w:spacing w:val="-1"/>
        </w:rPr>
        <w:t>its</w:t>
      </w:r>
      <w:r>
        <w:rPr>
          <w:spacing w:val="33"/>
        </w:rPr>
        <w:t xml:space="preserve"> </w:t>
      </w:r>
      <w:r>
        <w:rPr>
          <w:spacing w:val="-1"/>
        </w:rPr>
        <w:t>Sub-Contractors</w:t>
      </w:r>
      <w:r>
        <w:rPr>
          <w:spacing w:val="37"/>
        </w:rPr>
        <w:t xml:space="preserve"> </w:t>
      </w:r>
      <w:r>
        <w:rPr>
          <w:spacing w:val="-1"/>
        </w:rPr>
        <w:t>establish,</w:t>
      </w:r>
      <w:r>
        <w:rPr>
          <w:spacing w:val="52"/>
        </w:rPr>
        <w:t xml:space="preserve"> </w:t>
      </w:r>
      <w:r>
        <w:rPr>
          <w:spacing w:val="-1"/>
        </w:rPr>
        <w:t>maintain</w:t>
      </w:r>
      <w:r>
        <w:rPr>
          <w:spacing w:val="53"/>
        </w:rPr>
        <w:t xml:space="preserve"> </w:t>
      </w:r>
      <w:r>
        <w:rPr>
          <w:spacing w:val="-1"/>
        </w:rPr>
        <w:t>and</w:t>
      </w:r>
      <w:r>
        <w:rPr>
          <w:spacing w:val="51"/>
        </w:rPr>
        <w:t xml:space="preserve"> </w:t>
      </w:r>
      <w:r>
        <w:rPr>
          <w:spacing w:val="-1"/>
        </w:rPr>
        <w:t>enforce,</w:t>
      </w:r>
      <w:r>
        <w:rPr>
          <w:spacing w:val="55"/>
        </w:rPr>
        <w:t xml:space="preserve"> </w:t>
      </w:r>
      <w:r>
        <w:rPr>
          <w:spacing w:val="-2"/>
        </w:rPr>
        <w:t>policies</w:t>
      </w:r>
      <w:r>
        <w:rPr>
          <w:spacing w:val="53"/>
        </w:rPr>
        <w:t xml:space="preserve"> </w:t>
      </w:r>
      <w:r>
        <w:rPr>
          <w:spacing w:val="-1"/>
        </w:rPr>
        <w:t>and</w:t>
      </w:r>
      <w:r>
        <w:rPr>
          <w:spacing w:val="51"/>
        </w:rPr>
        <w:t xml:space="preserve"> </w:t>
      </w:r>
      <w:r>
        <w:rPr>
          <w:spacing w:val="-1"/>
        </w:rPr>
        <w:t>procedures</w:t>
      </w:r>
      <w:r>
        <w:rPr>
          <w:spacing w:val="52"/>
        </w:rPr>
        <w:t xml:space="preserve"> </w:t>
      </w:r>
      <w:r>
        <w:rPr>
          <w:spacing w:val="-2"/>
        </w:rPr>
        <w:t>which</w:t>
      </w:r>
      <w:r>
        <w:rPr>
          <w:spacing w:val="53"/>
        </w:rPr>
        <w:t xml:space="preserve"> </w:t>
      </w:r>
      <w:r>
        <w:rPr>
          <w:spacing w:val="-1"/>
        </w:rPr>
        <w:t>are</w:t>
      </w:r>
      <w:r>
        <w:rPr>
          <w:spacing w:val="47"/>
        </w:rPr>
        <w:t xml:space="preserve"> </w:t>
      </w:r>
      <w:r>
        <w:rPr>
          <w:spacing w:val="-1"/>
        </w:rPr>
        <w:t>adequate</w:t>
      </w:r>
      <w:r>
        <w:rPr>
          <w:spacing w:val="29"/>
        </w:rPr>
        <w:t xml:space="preserve"> </w:t>
      </w:r>
      <w:r>
        <w:t>to</w:t>
      </w:r>
      <w:r>
        <w:rPr>
          <w:spacing w:val="29"/>
        </w:rPr>
        <w:t xml:space="preserve"> </w:t>
      </w:r>
      <w:r>
        <w:rPr>
          <w:spacing w:val="-1"/>
        </w:rPr>
        <w:t>ensure</w:t>
      </w:r>
      <w:r>
        <w:rPr>
          <w:spacing w:val="29"/>
        </w:rPr>
        <w:t xml:space="preserve"> </w:t>
      </w:r>
      <w:r>
        <w:rPr>
          <w:spacing w:val="-2"/>
        </w:rPr>
        <w:t>compliance</w:t>
      </w:r>
      <w:r>
        <w:rPr>
          <w:spacing w:val="30"/>
        </w:rPr>
        <w:t xml:space="preserve"> </w:t>
      </w:r>
      <w:r>
        <w:rPr>
          <w:spacing w:val="-1"/>
        </w:rPr>
        <w:t>with</w:t>
      </w:r>
      <w:r>
        <w:rPr>
          <w:spacing w:val="29"/>
        </w:rPr>
        <w:t xml:space="preserve"> </w:t>
      </w:r>
      <w:r>
        <w:t>the</w:t>
      </w:r>
      <w:r>
        <w:rPr>
          <w:spacing w:val="29"/>
        </w:rPr>
        <w:t xml:space="preserve"> </w:t>
      </w:r>
      <w:r>
        <w:rPr>
          <w:spacing w:val="-1"/>
        </w:rPr>
        <w:t>Relevant</w:t>
      </w:r>
      <w:r>
        <w:rPr>
          <w:spacing w:val="30"/>
        </w:rPr>
        <w:t xml:space="preserve"> </w:t>
      </w:r>
      <w:r>
        <w:rPr>
          <w:spacing w:val="-1"/>
        </w:rPr>
        <w:t>Requirements</w:t>
      </w:r>
      <w:r>
        <w:rPr>
          <w:spacing w:val="30"/>
        </w:rPr>
        <w:t xml:space="preserve"> </w:t>
      </w:r>
      <w:r>
        <w:rPr>
          <w:spacing w:val="-1"/>
        </w:rPr>
        <w:t>and</w:t>
      </w:r>
      <w:r>
        <w:rPr>
          <w:spacing w:val="36"/>
        </w:rPr>
        <w:t xml:space="preserve"> </w:t>
      </w:r>
      <w:r>
        <w:rPr>
          <w:spacing w:val="-1"/>
        </w:rPr>
        <w:t>prevent</w:t>
      </w:r>
      <w:r>
        <w:rPr>
          <w:spacing w:val="2"/>
        </w:rPr>
        <w:t xml:space="preserve"> </w:t>
      </w:r>
      <w:r>
        <w:t>the</w:t>
      </w:r>
      <w:r>
        <w:rPr>
          <w:spacing w:val="-2"/>
        </w:rPr>
        <w:t xml:space="preserve"> </w:t>
      </w:r>
      <w:r>
        <w:rPr>
          <w:spacing w:val="-1"/>
        </w:rPr>
        <w:t>occurrence</w:t>
      </w:r>
      <w:r>
        <w:rPr>
          <w:spacing w:val="-2"/>
        </w:rPr>
        <w:t xml:space="preserve"> of</w:t>
      </w:r>
      <w:r>
        <w:rPr>
          <w:spacing w:val="2"/>
        </w:rPr>
        <w:t xml:space="preserve"> </w:t>
      </w:r>
      <w:r>
        <w:t>a</w:t>
      </w:r>
      <w:r>
        <w:rPr>
          <w:spacing w:val="-2"/>
        </w:rPr>
        <w:t xml:space="preserve"> </w:t>
      </w:r>
      <w:r>
        <w:rPr>
          <w:spacing w:val="-1"/>
        </w:rPr>
        <w:t>Prohibited</w:t>
      </w:r>
      <w:r>
        <w:t xml:space="preserve"> </w:t>
      </w:r>
      <w:r>
        <w:rPr>
          <w:spacing w:val="-1"/>
        </w:rPr>
        <w:t>Act;</w:t>
      </w:r>
    </w:p>
    <w:p w:rsidR="008918FA" w:rsidRDefault="008918FA" w:rsidP="008918FA">
      <w:pPr>
        <w:pStyle w:val="BodyText"/>
        <w:numPr>
          <w:ilvl w:val="2"/>
          <w:numId w:val="66"/>
        </w:numPr>
        <w:tabs>
          <w:tab w:val="left" w:pos="1887"/>
        </w:tabs>
        <w:ind w:left="1886" w:right="111"/>
        <w:jc w:val="both"/>
      </w:pPr>
      <w:r>
        <w:t>keep</w:t>
      </w:r>
      <w:r>
        <w:rPr>
          <w:spacing w:val="31"/>
        </w:rPr>
        <w:t xml:space="preserve"> </w:t>
      </w:r>
      <w:r>
        <w:rPr>
          <w:spacing w:val="-1"/>
        </w:rPr>
        <w:t>appropriate</w:t>
      </w:r>
      <w:r>
        <w:rPr>
          <w:spacing w:val="31"/>
        </w:rPr>
        <w:t xml:space="preserve"> </w:t>
      </w:r>
      <w:r>
        <w:rPr>
          <w:spacing w:val="-1"/>
        </w:rPr>
        <w:t>records</w:t>
      </w:r>
      <w:r>
        <w:rPr>
          <w:spacing w:val="34"/>
        </w:rPr>
        <w:t xml:space="preserve"> </w:t>
      </w:r>
      <w:r>
        <w:rPr>
          <w:spacing w:val="-2"/>
        </w:rPr>
        <w:t>of</w:t>
      </w:r>
      <w:r>
        <w:rPr>
          <w:spacing w:val="38"/>
        </w:rPr>
        <w:t xml:space="preserve"> </w:t>
      </w:r>
      <w:r>
        <w:rPr>
          <w:spacing w:val="-2"/>
        </w:rPr>
        <w:t>its</w:t>
      </w:r>
      <w:r>
        <w:rPr>
          <w:spacing w:val="34"/>
        </w:rPr>
        <w:t xml:space="preserve"> </w:t>
      </w:r>
      <w:r>
        <w:rPr>
          <w:spacing w:val="-2"/>
        </w:rPr>
        <w:t>compliance</w:t>
      </w:r>
      <w:r>
        <w:rPr>
          <w:spacing w:val="34"/>
        </w:rPr>
        <w:t xml:space="preserve"> </w:t>
      </w:r>
      <w:r>
        <w:rPr>
          <w:spacing w:val="-2"/>
        </w:rPr>
        <w:t>with</w:t>
      </w:r>
      <w:r>
        <w:rPr>
          <w:spacing w:val="35"/>
        </w:rPr>
        <w:t xml:space="preserve"> </w:t>
      </w:r>
      <w:r>
        <w:rPr>
          <w:spacing w:val="-1"/>
        </w:rPr>
        <w:t>its</w:t>
      </w:r>
      <w:r>
        <w:rPr>
          <w:spacing w:val="34"/>
        </w:rPr>
        <w:t xml:space="preserve"> </w:t>
      </w:r>
      <w:r>
        <w:rPr>
          <w:spacing w:val="-1"/>
        </w:rPr>
        <w:t>obligations</w:t>
      </w:r>
      <w:r>
        <w:rPr>
          <w:spacing w:val="34"/>
        </w:rPr>
        <w:t xml:space="preserve"> </w:t>
      </w:r>
      <w:r>
        <w:rPr>
          <w:spacing w:val="-1"/>
        </w:rPr>
        <w:t>under</w:t>
      </w:r>
      <w:r>
        <w:rPr>
          <w:spacing w:val="42"/>
        </w:rPr>
        <w:t xml:space="preserve"> </w:t>
      </w:r>
      <w:r>
        <w:rPr>
          <w:spacing w:val="-2"/>
        </w:rPr>
        <w:t>Clause</w:t>
      </w:r>
      <w:r>
        <w:rPr>
          <w:spacing w:val="2"/>
        </w:rPr>
        <w:t xml:space="preserve"> </w:t>
      </w:r>
      <w:hyperlink w:anchor="_bookmark264" w:history="1">
        <w:r>
          <w:rPr>
            <w:spacing w:val="-1"/>
          </w:rPr>
          <w:t>50.3.1</w:t>
        </w:r>
      </w:hyperlink>
      <w:r>
        <w:rPr>
          <w:spacing w:val="39"/>
        </w:rPr>
        <w:t xml:space="preserve"> </w:t>
      </w:r>
      <w:r>
        <w:rPr>
          <w:spacing w:val="-1"/>
        </w:rPr>
        <w:t>and</w:t>
      </w:r>
      <w:r>
        <w:rPr>
          <w:spacing w:val="36"/>
        </w:rPr>
        <w:t xml:space="preserve"> </w:t>
      </w:r>
      <w:r>
        <w:rPr>
          <w:spacing w:val="-1"/>
        </w:rPr>
        <w:t>make</w:t>
      </w:r>
      <w:r>
        <w:rPr>
          <w:spacing w:val="39"/>
        </w:rPr>
        <w:t xml:space="preserve"> </w:t>
      </w:r>
      <w:r>
        <w:rPr>
          <w:spacing w:val="-1"/>
        </w:rPr>
        <w:t>such</w:t>
      </w:r>
      <w:r>
        <w:rPr>
          <w:spacing w:val="39"/>
        </w:rPr>
        <w:t xml:space="preserve"> </w:t>
      </w:r>
      <w:r>
        <w:rPr>
          <w:spacing w:val="-1"/>
        </w:rPr>
        <w:t>records</w:t>
      </w:r>
      <w:r>
        <w:rPr>
          <w:spacing w:val="39"/>
        </w:rPr>
        <w:t xml:space="preserve"> </w:t>
      </w:r>
      <w:r>
        <w:rPr>
          <w:spacing w:val="-1"/>
        </w:rPr>
        <w:t>available</w:t>
      </w:r>
      <w:r>
        <w:rPr>
          <w:spacing w:val="38"/>
        </w:rPr>
        <w:t xml:space="preserve"> </w:t>
      </w:r>
      <w:r>
        <w:t>to</w:t>
      </w:r>
      <w:r>
        <w:rPr>
          <w:spacing w:val="39"/>
        </w:rPr>
        <w:t xml:space="preserve"> </w:t>
      </w:r>
      <w:r>
        <w:t>the</w:t>
      </w:r>
      <w:r>
        <w:rPr>
          <w:spacing w:val="39"/>
        </w:rPr>
        <w:t xml:space="preserve"> </w:t>
      </w:r>
      <w:r>
        <w:rPr>
          <w:spacing w:val="-2"/>
        </w:rPr>
        <w:t>Customer</w:t>
      </w:r>
      <w:r>
        <w:rPr>
          <w:spacing w:val="40"/>
        </w:rPr>
        <w:t xml:space="preserve"> </w:t>
      </w:r>
      <w:r>
        <w:rPr>
          <w:spacing w:val="-1"/>
        </w:rPr>
        <w:t>on</w:t>
      </w:r>
      <w:r>
        <w:rPr>
          <w:spacing w:val="47"/>
        </w:rPr>
        <w:t xml:space="preserve"> </w:t>
      </w:r>
      <w:r>
        <w:rPr>
          <w:spacing w:val="-1"/>
        </w:rPr>
        <w:t>request;</w:t>
      </w:r>
    </w:p>
    <w:p w:rsidR="008918FA" w:rsidRDefault="008918FA" w:rsidP="008918FA">
      <w:pPr>
        <w:pStyle w:val="BodyText"/>
        <w:numPr>
          <w:ilvl w:val="2"/>
          <w:numId w:val="66"/>
        </w:numPr>
        <w:tabs>
          <w:tab w:val="left" w:pos="1887"/>
        </w:tabs>
        <w:spacing w:before="121"/>
        <w:ind w:left="1886" w:right="112"/>
        <w:jc w:val="both"/>
      </w:pPr>
      <w:r>
        <w:rPr>
          <w:spacing w:val="-1"/>
        </w:rPr>
        <w:t>if</w:t>
      </w:r>
      <w:r>
        <w:rPr>
          <w:spacing w:val="11"/>
        </w:rPr>
        <w:t xml:space="preserve"> </w:t>
      </w:r>
      <w:r>
        <w:rPr>
          <w:spacing w:val="-1"/>
        </w:rPr>
        <w:t>so</w:t>
      </w:r>
      <w:r>
        <w:rPr>
          <w:spacing w:val="5"/>
        </w:rPr>
        <w:t xml:space="preserve"> </w:t>
      </w:r>
      <w:r>
        <w:rPr>
          <w:spacing w:val="-1"/>
        </w:rPr>
        <w:t>required</w:t>
      </w:r>
      <w:r>
        <w:rPr>
          <w:spacing w:val="7"/>
        </w:rPr>
        <w:t xml:space="preserve"> </w:t>
      </w:r>
      <w:r>
        <w:rPr>
          <w:spacing w:val="-1"/>
        </w:rPr>
        <w:t>by</w:t>
      </w:r>
      <w:r>
        <w:rPr>
          <w:spacing w:val="5"/>
        </w:rPr>
        <w:t xml:space="preserve"> </w:t>
      </w:r>
      <w:r>
        <w:t>the</w:t>
      </w:r>
      <w:r>
        <w:rPr>
          <w:spacing w:val="7"/>
        </w:rPr>
        <w:t xml:space="preserve"> </w:t>
      </w:r>
      <w:r>
        <w:rPr>
          <w:spacing w:val="-1"/>
        </w:rPr>
        <w:t>Customer,</w:t>
      </w:r>
      <w:r>
        <w:rPr>
          <w:spacing w:val="9"/>
        </w:rPr>
        <w:t xml:space="preserve"> </w:t>
      </w:r>
      <w:r>
        <w:rPr>
          <w:spacing w:val="-2"/>
        </w:rPr>
        <w:t>within</w:t>
      </w:r>
      <w:r>
        <w:rPr>
          <w:spacing w:val="7"/>
        </w:rPr>
        <w:t xml:space="preserve"> </w:t>
      </w:r>
      <w:r>
        <w:rPr>
          <w:spacing w:val="-1"/>
        </w:rPr>
        <w:t>twenty</w:t>
      </w:r>
      <w:r>
        <w:rPr>
          <w:spacing w:val="5"/>
        </w:rPr>
        <w:t xml:space="preserve"> </w:t>
      </w:r>
      <w:r>
        <w:rPr>
          <w:spacing w:val="-1"/>
        </w:rPr>
        <w:t>(20)</w:t>
      </w:r>
      <w:r>
        <w:rPr>
          <w:spacing w:val="4"/>
        </w:rPr>
        <w:t xml:space="preserve"> </w:t>
      </w:r>
      <w:r>
        <w:rPr>
          <w:spacing w:val="-1"/>
        </w:rPr>
        <w:t>Working</w:t>
      </w:r>
      <w:r>
        <w:rPr>
          <w:spacing w:val="10"/>
        </w:rPr>
        <w:t xml:space="preserve"> </w:t>
      </w:r>
      <w:r>
        <w:rPr>
          <w:spacing w:val="-2"/>
        </w:rPr>
        <w:t>Days</w:t>
      </w:r>
      <w:r>
        <w:rPr>
          <w:spacing w:val="8"/>
        </w:rPr>
        <w:t xml:space="preserve"> </w:t>
      </w:r>
      <w:r>
        <w:rPr>
          <w:spacing w:val="-2"/>
        </w:rPr>
        <w:t>of</w:t>
      </w:r>
      <w:r>
        <w:rPr>
          <w:spacing w:val="11"/>
        </w:rPr>
        <w:t xml:space="preserve"> </w:t>
      </w:r>
      <w:r>
        <w:rPr>
          <w:spacing w:val="-1"/>
        </w:rPr>
        <w:t>the</w:t>
      </w:r>
      <w:r>
        <w:rPr>
          <w:spacing w:val="48"/>
        </w:rPr>
        <w:t xml:space="preserve"> </w:t>
      </w:r>
      <w:r>
        <w:rPr>
          <w:spacing w:val="-2"/>
        </w:rPr>
        <w:t>Call</w:t>
      </w:r>
      <w:r>
        <w:rPr>
          <w:spacing w:val="31"/>
        </w:rPr>
        <w:t xml:space="preserve"> </w:t>
      </w:r>
      <w:r>
        <w:t>Off</w:t>
      </w:r>
      <w:r>
        <w:rPr>
          <w:spacing w:val="33"/>
        </w:rPr>
        <w:t xml:space="preserve"> </w:t>
      </w:r>
      <w:r>
        <w:rPr>
          <w:spacing w:val="-1"/>
        </w:rPr>
        <w:t>Commencement</w:t>
      </w:r>
      <w:r>
        <w:rPr>
          <w:spacing w:val="33"/>
        </w:rPr>
        <w:t xml:space="preserve"> </w:t>
      </w:r>
      <w:r>
        <w:rPr>
          <w:spacing w:val="-1"/>
        </w:rPr>
        <w:t>Date,</w:t>
      </w:r>
      <w:r>
        <w:rPr>
          <w:spacing w:val="33"/>
        </w:rPr>
        <w:t xml:space="preserve"> </w:t>
      </w:r>
      <w:r>
        <w:rPr>
          <w:spacing w:val="-1"/>
        </w:rPr>
        <w:t>and</w:t>
      </w:r>
      <w:r>
        <w:rPr>
          <w:spacing w:val="31"/>
        </w:rPr>
        <w:t xml:space="preserve"> </w:t>
      </w:r>
      <w:r>
        <w:rPr>
          <w:spacing w:val="-2"/>
        </w:rPr>
        <w:t>annually</w:t>
      </w:r>
      <w:r>
        <w:rPr>
          <w:spacing w:val="30"/>
        </w:rPr>
        <w:t xml:space="preserve"> </w:t>
      </w:r>
      <w:r>
        <w:rPr>
          <w:spacing w:val="-1"/>
        </w:rPr>
        <w:t>thereafter,</w:t>
      </w:r>
      <w:r>
        <w:rPr>
          <w:spacing w:val="33"/>
        </w:rPr>
        <w:t xml:space="preserve"> </w:t>
      </w:r>
      <w:r>
        <w:rPr>
          <w:spacing w:val="-1"/>
        </w:rPr>
        <w:t>certify</w:t>
      </w:r>
      <w:r>
        <w:rPr>
          <w:spacing w:val="30"/>
        </w:rPr>
        <w:t xml:space="preserve"> </w:t>
      </w:r>
      <w:r>
        <w:t>to</w:t>
      </w:r>
      <w:r>
        <w:rPr>
          <w:spacing w:val="32"/>
        </w:rPr>
        <w:t xml:space="preserve"> </w:t>
      </w:r>
      <w:r>
        <w:rPr>
          <w:spacing w:val="-1"/>
        </w:rPr>
        <w:t>the</w:t>
      </w:r>
      <w:r>
        <w:rPr>
          <w:spacing w:val="54"/>
        </w:rPr>
        <w:t xml:space="preserve"> </w:t>
      </w:r>
      <w:r>
        <w:rPr>
          <w:spacing w:val="-1"/>
        </w:rPr>
        <w:t>Customer</w:t>
      </w:r>
      <w:r>
        <w:rPr>
          <w:spacing w:val="2"/>
        </w:rPr>
        <w:t xml:space="preserve"> </w:t>
      </w:r>
      <w:r>
        <w:rPr>
          <w:spacing w:val="-1"/>
        </w:rPr>
        <w:t>in</w:t>
      </w:r>
      <w:r>
        <w:t xml:space="preserve"> </w:t>
      </w:r>
      <w:r>
        <w:rPr>
          <w:spacing w:val="-2"/>
        </w:rPr>
        <w:t>writing</w:t>
      </w:r>
      <w:r>
        <w:rPr>
          <w:spacing w:val="3"/>
        </w:rPr>
        <w:t xml:space="preserve"> </w:t>
      </w:r>
      <w:r>
        <w:rPr>
          <w:spacing w:val="-2"/>
        </w:rPr>
        <w:t>of</w:t>
      </w:r>
      <w:r>
        <w:rPr>
          <w:spacing w:val="2"/>
        </w:rPr>
        <w:t xml:space="preserve"> </w:t>
      </w:r>
      <w:r>
        <w:rPr>
          <w:spacing w:val="-1"/>
        </w:rPr>
        <w:t>the</w:t>
      </w:r>
      <w:r>
        <w:t xml:space="preserve"> </w:t>
      </w:r>
      <w:r>
        <w:rPr>
          <w:spacing w:val="-2"/>
        </w:rPr>
        <w:t>Supplier</w:t>
      </w:r>
      <w:r>
        <w:rPr>
          <w:spacing w:val="2"/>
        </w:rPr>
        <w:t xml:space="preserve"> </w:t>
      </w:r>
      <w:r>
        <w:rPr>
          <w:spacing w:val="-1"/>
        </w:rPr>
        <w:t>and</w:t>
      </w:r>
      <w:r>
        <w:t xml:space="preserve"> </w:t>
      </w:r>
      <w:r>
        <w:rPr>
          <w:spacing w:val="-1"/>
        </w:rPr>
        <w:t>all</w:t>
      </w:r>
      <w:r>
        <w:t xml:space="preserve"> </w:t>
      </w:r>
      <w:r>
        <w:rPr>
          <w:spacing w:val="-1"/>
        </w:rPr>
        <w:t>persons</w:t>
      </w:r>
      <w:r>
        <w:rPr>
          <w:spacing w:val="1"/>
        </w:rPr>
        <w:t xml:space="preserve"> </w:t>
      </w:r>
      <w:r>
        <w:rPr>
          <w:spacing w:val="-1"/>
        </w:rPr>
        <w:t>associated</w:t>
      </w:r>
      <w:r>
        <w:t xml:space="preserve"> </w:t>
      </w:r>
      <w:r>
        <w:rPr>
          <w:spacing w:val="-2"/>
        </w:rPr>
        <w:t>with</w:t>
      </w:r>
      <w:r>
        <w:t xml:space="preserve"> </w:t>
      </w:r>
      <w:r>
        <w:rPr>
          <w:spacing w:val="-1"/>
        </w:rPr>
        <w:t>it</w:t>
      </w:r>
      <w:r>
        <w:rPr>
          <w:spacing w:val="2"/>
        </w:rPr>
        <w:t xml:space="preserve"> </w:t>
      </w:r>
      <w:r>
        <w:rPr>
          <w:spacing w:val="-1"/>
        </w:rPr>
        <w:t>or</w:t>
      </w:r>
      <w:r>
        <w:rPr>
          <w:spacing w:val="54"/>
        </w:rPr>
        <w:t xml:space="preserve"> </w:t>
      </w:r>
      <w:r>
        <w:rPr>
          <w:spacing w:val="-1"/>
        </w:rPr>
        <w:t>its</w:t>
      </w:r>
      <w:r>
        <w:rPr>
          <w:spacing w:val="51"/>
        </w:rPr>
        <w:t xml:space="preserve"> </w:t>
      </w:r>
      <w:r>
        <w:rPr>
          <w:spacing w:val="-1"/>
        </w:rPr>
        <w:t>Sub-Contractors</w:t>
      </w:r>
      <w:r>
        <w:rPr>
          <w:spacing w:val="51"/>
        </w:rPr>
        <w:t xml:space="preserve"> </w:t>
      </w:r>
      <w:r>
        <w:rPr>
          <w:spacing w:val="-1"/>
        </w:rPr>
        <w:t>or</w:t>
      </w:r>
      <w:r>
        <w:rPr>
          <w:spacing w:val="49"/>
        </w:rPr>
        <w:t xml:space="preserve"> </w:t>
      </w:r>
      <w:r>
        <w:rPr>
          <w:spacing w:val="-1"/>
        </w:rPr>
        <w:t>other</w:t>
      </w:r>
      <w:r>
        <w:rPr>
          <w:spacing w:val="52"/>
        </w:rPr>
        <w:t xml:space="preserve"> </w:t>
      </w:r>
      <w:r>
        <w:rPr>
          <w:spacing w:val="-1"/>
        </w:rPr>
        <w:t>persons</w:t>
      </w:r>
      <w:r>
        <w:rPr>
          <w:spacing w:val="51"/>
        </w:rPr>
        <w:t xml:space="preserve"> </w:t>
      </w:r>
      <w:r>
        <w:rPr>
          <w:spacing w:val="-2"/>
        </w:rPr>
        <w:t>who</w:t>
      </w:r>
      <w:r>
        <w:rPr>
          <w:spacing w:val="51"/>
        </w:rPr>
        <w:t xml:space="preserve"> </w:t>
      </w:r>
      <w:r>
        <w:rPr>
          <w:spacing w:val="-1"/>
        </w:rPr>
        <w:t>are</w:t>
      </w:r>
      <w:r>
        <w:rPr>
          <w:spacing w:val="52"/>
        </w:rPr>
        <w:t xml:space="preserve"> </w:t>
      </w:r>
      <w:r>
        <w:rPr>
          <w:spacing w:val="-2"/>
        </w:rPr>
        <w:t>supplying</w:t>
      </w:r>
      <w:r>
        <w:rPr>
          <w:spacing w:val="53"/>
        </w:rPr>
        <w:t xml:space="preserve"> </w:t>
      </w:r>
      <w:r>
        <w:t>the</w:t>
      </w:r>
      <w:r>
        <w:rPr>
          <w:spacing w:val="51"/>
        </w:rPr>
        <w:t xml:space="preserve"> </w:t>
      </w:r>
      <w:r>
        <w:rPr>
          <w:spacing w:val="-1"/>
        </w:rPr>
        <w:t>Goods</w:t>
      </w:r>
      <w:r>
        <w:rPr>
          <w:spacing w:val="44"/>
        </w:rPr>
        <w:t xml:space="preserve"> </w:t>
      </w:r>
      <w:r>
        <w:rPr>
          <w:spacing w:val="-1"/>
        </w:rPr>
        <w:t>and/or</w:t>
      </w:r>
      <w:r>
        <w:rPr>
          <w:spacing w:val="6"/>
        </w:rPr>
        <w:t xml:space="preserve"> </w:t>
      </w:r>
      <w:r>
        <w:rPr>
          <w:spacing w:val="-2"/>
        </w:rPr>
        <w:t>Services</w:t>
      </w:r>
      <w:r>
        <w:rPr>
          <w:spacing w:val="6"/>
        </w:rPr>
        <w:t xml:space="preserve"> </w:t>
      </w:r>
      <w:r>
        <w:rPr>
          <w:spacing w:val="-1"/>
        </w:rPr>
        <w:t>in</w:t>
      </w:r>
      <w:r>
        <w:rPr>
          <w:spacing w:val="5"/>
        </w:rPr>
        <w:t xml:space="preserve"> </w:t>
      </w:r>
      <w:r>
        <w:rPr>
          <w:spacing w:val="-1"/>
        </w:rPr>
        <w:t>connection</w:t>
      </w:r>
      <w:r>
        <w:rPr>
          <w:spacing w:val="5"/>
        </w:rPr>
        <w:t xml:space="preserve"> </w:t>
      </w:r>
      <w:r>
        <w:rPr>
          <w:spacing w:val="-2"/>
        </w:rPr>
        <w:t>with</w:t>
      </w:r>
      <w:r>
        <w:rPr>
          <w:spacing w:val="5"/>
        </w:rPr>
        <w:t xml:space="preserve"> </w:t>
      </w:r>
      <w:r>
        <w:rPr>
          <w:spacing w:val="-1"/>
        </w:rPr>
        <w:t>this</w:t>
      </w:r>
      <w:r>
        <w:rPr>
          <w:spacing w:val="5"/>
        </w:rPr>
        <w:t xml:space="preserve"> </w:t>
      </w:r>
      <w:r>
        <w:rPr>
          <w:spacing w:val="-2"/>
        </w:rPr>
        <w:t>Call</w:t>
      </w:r>
      <w:r>
        <w:rPr>
          <w:spacing w:val="4"/>
        </w:rPr>
        <w:t xml:space="preserve"> </w:t>
      </w:r>
      <w:r>
        <w:rPr>
          <w:spacing w:val="-1"/>
        </w:rPr>
        <w:t>Off</w:t>
      </w:r>
      <w:r>
        <w:rPr>
          <w:spacing w:val="9"/>
        </w:rPr>
        <w:t xml:space="preserve"> </w:t>
      </w:r>
      <w:r>
        <w:rPr>
          <w:spacing w:val="-1"/>
        </w:rPr>
        <w:t>Contract.</w:t>
      </w:r>
      <w:r>
        <w:rPr>
          <w:spacing w:val="8"/>
        </w:rPr>
        <w:t xml:space="preserve"> </w:t>
      </w:r>
      <w:r>
        <w:t>The</w:t>
      </w:r>
      <w:r>
        <w:rPr>
          <w:spacing w:val="5"/>
        </w:rPr>
        <w:t xml:space="preserve"> </w:t>
      </w:r>
      <w:r>
        <w:rPr>
          <w:spacing w:val="-2"/>
        </w:rPr>
        <w:t>Supplier</w:t>
      </w:r>
      <w:r>
        <w:rPr>
          <w:spacing w:val="60"/>
        </w:rPr>
        <w:t xml:space="preserve"> </w:t>
      </w:r>
      <w:r>
        <w:rPr>
          <w:spacing w:val="-1"/>
        </w:rPr>
        <w:t>shall</w:t>
      </w:r>
      <w:r>
        <w:rPr>
          <w:spacing w:val="2"/>
        </w:rPr>
        <w:t xml:space="preserve"> </w:t>
      </w:r>
      <w:r>
        <w:rPr>
          <w:spacing w:val="-2"/>
        </w:rPr>
        <w:t>provide</w:t>
      </w:r>
      <w:r>
        <w:rPr>
          <w:spacing w:val="5"/>
        </w:rPr>
        <w:t xml:space="preserve"> </w:t>
      </w:r>
      <w:r>
        <w:rPr>
          <w:spacing w:val="-1"/>
        </w:rPr>
        <w:t>such</w:t>
      </w:r>
      <w:r>
        <w:rPr>
          <w:spacing w:val="3"/>
        </w:rPr>
        <w:t xml:space="preserve"> </w:t>
      </w:r>
      <w:r>
        <w:rPr>
          <w:spacing w:val="-1"/>
        </w:rPr>
        <w:t>supporting</w:t>
      </w:r>
      <w:r>
        <w:rPr>
          <w:spacing w:val="5"/>
        </w:rPr>
        <w:t xml:space="preserve"> </w:t>
      </w:r>
      <w:r>
        <w:rPr>
          <w:spacing w:val="-2"/>
        </w:rPr>
        <w:t>evidence</w:t>
      </w:r>
      <w:r>
        <w:rPr>
          <w:spacing w:val="3"/>
        </w:rPr>
        <w:t xml:space="preserve"> </w:t>
      </w:r>
      <w:r>
        <w:rPr>
          <w:spacing w:val="-1"/>
        </w:rPr>
        <w:t>of</w:t>
      </w:r>
      <w:r>
        <w:rPr>
          <w:spacing w:val="6"/>
        </w:rPr>
        <w:t xml:space="preserve"> </w:t>
      </w:r>
      <w:r>
        <w:rPr>
          <w:spacing w:val="-2"/>
        </w:rPr>
        <w:t>compliance</w:t>
      </w:r>
      <w:r>
        <w:rPr>
          <w:spacing w:val="3"/>
        </w:rPr>
        <w:t xml:space="preserve"> </w:t>
      </w:r>
      <w:r>
        <w:rPr>
          <w:spacing w:val="-1"/>
        </w:rPr>
        <w:t>as</w:t>
      </w:r>
      <w:r>
        <w:rPr>
          <w:spacing w:val="3"/>
        </w:rPr>
        <w:t xml:space="preserve"> </w:t>
      </w:r>
      <w:r>
        <w:t>the</w:t>
      </w:r>
      <w:r>
        <w:rPr>
          <w:spacing w:val="3"/>
        </w:rPr>
        <w:t xml:space="preserve"> </w:t>
      </w:r>
      <w:r>
        <w:rPr>
          <w:spacing w:val="-1"/>
        </w:rPr>
        <w:t>Customer</w:t>
      </w:r>
      <w:r>
        <w:rPr>
          <w:spacing w:val="59"/>
        </w:rPr>
        <w:t xml:space="preserve"> </w:t>
      </w:r>
      <w:r>
        <w:rPr>
          <w:spacing w:val="-1"/>
        </w:rPr>
        <w:t>may</w:t>
      </w:r>
      <w:r>
        <w:rPr>
          <w:spacing w:val="-2"/>
        </w:rPr>
        <w:t xml:space="preserve"> </w:t>
      </w:r>
      <w:r>
        <w:rPr>
          <w:spacing w:val="-1"/>
        </w:rPr>
        <w:t>reasonably</w:t>
      </w:r>
      <w:r>
        <w:rPr>
          <w:spacing w:val="-2"/>
        </w:rPr>
        <w:t xml:space="preserve"> </w:t>
      </w:r>
      <w:r>
        <w:rPr>
          <w:spacing w:val="-1"/>
        </w:rPr>
        <w:t>request;</w:t>
      </w:r>
      <w:r>
        <w:t xml:space="preserve"> </w:t>
      </w:r>
      <w:r>
        <w:rPr>
          <w:spacing w:val="-1"/>
        </w:rPr>
        <w:t>and</w:t>
      </w:r>
    </w:p>
    <w:p w:rsidR="008918FA" w:rsidRDefault="008918FA" w:rsidP="008918FA">
      <w:pPr>
        <w:pStyle w:val="BodyText"/>
        <w:numPr>
          <w:ilvl w:val="2"/>
          <w:numId w:val="66"/>
        </w:numPr>
        <w:tabs>
          <w:tab w:val="left" w:pos="1887"/>
        </w:tabs>
        <w:ind w:left="1886" w:right="114" w:hanging="993"/>
        <w:jc w:val="both"/>
      </w:pPr>
      <w:r>
        <w:rPr>
          <w:spacing w:val="-2"/>
        </w:rPr>
        <w:t>have,</w:t>
      </w:r>
      <w:r>
        <w:rPr>
          <w:spacing w:val="42"/>
        </w:rPr>
        <w:t xml:space="preserve"> </w:t>
      </w:r>
      <w:r>
        <w:rPr>
          <w:spacing w:val="-1"/>
        </w:rPr>
        <w:t>maintain</w:t>
      </w:r>
      <w:r>
        <w:rPr>
          <w:spacing w:val="41"/>
        </w:rPr>
        <w:t xml:space="preserve"> </w:t>
      </w:r>
      <w:r>
        <w:rPr>
          <w:spacing w:val="-1"/>
        </w:rPr>
        <w:t>and</w:t>
      </w:r>
      <w:r>
        <w:rPr>
          <w:spacing w:val="43"/>
        </w:rPr>
        <w:t xml:space="preserve"> </w:t>
      </w:r>
      <w:r>
        <w:rPr>
          <w:spacing w:val="-1"/>
        </w:rPr>
        <w:t>where</w:t>
      </w:r>
      <w:r>
        <w:rPr>
          <w:spacing w:val="41"/>
        </w:rPr>
        <w:t xml:space="preserve"> </w:t>
      </w:r>
      <w:r>
        <w:rPr>
          <w:spacing w:val="-1"/>
        </w:rPr>
        <w:t>appropriate</w:t>
      </w:r>
      <w:r>
        <w:rPr>
          <w:spacing w:val="41"/>
        </w:rPr>
        <w:t xml:space="preserve"> </w:t>
      </w:r>
      <w:r>
        <w:rPr>
          <w:spacing w:val="-1"/>
        </w:rPr>
        <w:t>enforce</w:t>
      </w:r>
      <w:r>
        <w:rPr>
          <w:spacing w:val="39"/>
        </w:rPr>
        <w:t xml:space="preserve"> </w:t>
      </w:r>
      <w:r>
        <w:rPr>
          <w:spacing w:val="-1"/>
        </w:rPr>
        <w:t>an</w:t>
      </w:r>
      <w:r>
        <w:rPr>
          <w:spacing w:val="42"/>
        </w:rPr>
        <w:t xml:space="preserve"> </w:t>
      </w:r>
      <w:r>
        <w:rPr>
          <w:spacing w:val="-1"/>
        </w:rPr>
        <w:t>anti-bribery</w:t>
      </w:r>
      <w:r>
        <w:rPr>
          <w:spacing w:val="39"/>
        </w:rPr>
        <w:t xml:space="preserve"> </w:t>
      </w:r>
      <w:r>
        <w:rPr>
          <w:spacing w:val="-1"/>
        </w:rPr>
        <w:t>policy</w:t>
      </w:r>
      <w:r>
        <w:rPr>
          <w:spacing w:val="51"/>
        </w:rPr>
        <w:t xml:space="preserve"> </w:t>
      </w:r>
      <w:r>
        <w:rPr>
          <w:spacing w:val="-2"/>
        </w:rPr>
        <w:t>(which</w:t>
      </w:r>
      <w:r>
        <w:rPr>
          <w:spacing w:val="3"/>
        </w:rPr>
        <w:t xml:space="preserve"> </w:t>
      </w:r>
      <w:r>
        <w:rPr>
          <w:spacing w:val="-1"/>
        </w:rPr>
        <w:t>shall</w:t>
      </w:r>
      <w:r>
        <w:rPr>
          <w:spacing w:val="2"/>
        </w:rPr>
        <w:t xml:space="preserve"> </w:t>
      </w:r>
      <w:r>
        <w:rPr>
          <w:spacing w:val="-1"/>
        </w:rPr>
        <w:t>be</w:t>
      </w:r>
      <w:r>
        <w:rPr>
          <w:spacing w:val="3"/>
        </w:rPr>
        <w:t xml:space="preserve"> </w:t>
      </w:r>
      <w:r>
        <w:rPr>
          <w:spacing w:val="-1"/>
        </w:rPr>
        <w:t>disclosed</w:t>
      </w:r>
      <w:r>
        <w:rPr>
          <w:spacing w:val="5"/>
        </w:rPr>
        <w:t xml:space="preserve"> </w:t>
      </w:r>
      <w:r>
        <w:t>to</w:t>
      </w:r>
      <w:r>
        <w:rPr>
          <w:spacing w:val="3"/>
        </w:rPr>
        <w:t xml:space="preserve"> </w:t>
      </w:r>
      <w:r>
        <w:t>the</w:t>
      </w:r>
      <w:r>
        <w:rPr>
          <w:spacing w:val="3"/>
        </w:rPr>
        <w:t xml:space="preserve"> </w:t>
      </w:r>
      <w:r>
        <w:rPr>
          <w:spacing w:val="-1"/>
        </w:rPr>
        <w:t>Customer</w:t>
      </w:r>
      <w:r>
        <w:rPr>
          <w:spacing w:val="4"/>
        </w:rPr>
        <w:t xml:space="preserve"> </w:t>
      </w:r>
      <w:r>
        <w:rPr>
          <w:spacing w:val="-1"/>
        </w:rPr>
        <w:t>on</w:t>
      </w:r>
      <w:r>
        <w:rPr>
          <w:spacing w:val="3"/>
        </w:rPr>
        <w:t xml:space="preserve"> </w:t>
      </w:r>
      <w:r>
        <w:rPr>
          <w:spacing w:val="-1"/>
        </w:rPr>
        <w:t>request)</w:t>
      </w:r>
      <w:r>
        <w:rPr>
          <w:spacing w:val="4"/>
        </w:rPr>
        <w:t xml:space="preserve"> </w:t>
      </w:r>
      <w:r>
        <w:rPr>
          <w:spacing w:val="-1"/>
        </w:rPr>
        <w:t>to</w:t>
      </w:r>
      <w:r>
        <w:rPr>
          <w:spacing w:val="3"/>
        </w:rPr>
        <w:t xml:space="preserve"> </w:t>
      </w:r>
      <w:r>
        <w:rPr>
          <w:spacing w:val="-1"/>
        </w:rPr>
        <w:t>prevent</w:t>
      </w:r>
      <w:r>
        <w:rPr>
          <w:spacing w:val="4"/>
        </w:rPr>
        <w:t xml:space="preserve"> </w:t>
      </w:r>
      <w:r>
        <w:rPr>
          <w:spacing w:val="-1"/>
        </w:rPr>
        <w:t>it</w:t>
      </w:r>
      <w:r>
        <w:rPr>
          <w:spacing w:val="4"/>
        </w:rPr>
        <w:t xml:space="preserve"> </w:t>
      </w:r>
      <w:r>
        <w:rPr>
          <w:spacing w:val="-1"/>
        </w:rPr>
        <w:t>and</w:t>
      </w:r>
      <w:r>
        <w:rPr>
          <w:spacing w:val="32"/>
        </w:rPr>
        <w:t xml:space="preserve"> </w:t>
      </w:r>
      <w:r>
        <w:rPr>
          <w:spacing w:val="-1"/>
        </w:rPr>
        <w:t>any</w:t>
      </w:r>
      <w:r>
        <w:rPr>
          <w:spacing w:val="20"/>
        </w:rPr>
        <w:t xml:space="preserve"> </w:t>
      </w:r>
      <w:r>
        <w:rPr>
          <w:spacing w:val="-1"/>
        </w:rPr>
        <w:t>Supplier</w:t>
      </w:r>
      <w:r>
        <w:rPr>
          <w:spacing w:val="23"/>
        </w:rPr>
        <w:t xml:space="preserve"> </w:t>
      </w:r>
      <w:r>
        <w:rPr>
          <w:spacing w:val="-1"/>
        </w:rPr>
        <w:t>Personnel</w:t>
      </w:r>
      <w:r>
        <w:rPr>
          <w:spacing w:val="24"/>
        </w:rPr>
        <w:t xml:space="preserve"> </w:t>
      </w:r>
      <w:r>
        <w:rPr>
          <w:spacing w:val="-1"/>
        </w:rPr>
        <w:t>or</w:t>
      </w:r>
      <w:r>
        <w:rPr>
          <w:spacing w:val="23"/>
        </w:rPr>
        <w:t xml:space="preserve"> </w:t>
      </w:r>
      <w:r>
        <w:rPr>
          <w:spacing w:val="-1"/>
        </w:rPr>
        <w:t>any</w:t>
      </w:r>
      <w:r>
        <w:rPr>
          <w:spacing w:val="20"/>
        </w:rPr>
        <w:t xml:space="preserve"> </w:t>
      </w:r>
      <w:r>
        <w:rPr>
          <w:spacing w:val="-1"/>
        </w:rPr>
        <w:t>person</w:t>
      </w:r>
      <w:r>
        <w:rPr>
          <w:spacing w:val="22"/>
        </w:rPr>
        <w:t xml:space="preserve"> </w:t>
      </w:r>
      <w:r>
        <w:rPr>
          <w:spacing w:val="-1"/>
        </w:rPr>
        <w:t>acting</w:t>
      </w:r>
      <w:r>
        <w:rPr>
          <w:spacing w:val="24"/>
        </w:rPr>
        <w:t xml:space="preserve"> </w:t>
      </w:r>
      <w:r>
        <w:rPr>
          <w:spacing w:val="-1"/>
        </w:rPr>
        <w:t>on</w:t>
      </w:r>
      <w:r>
        <w:rPr>
          <w:spacing w:val="22"/>
        </w:rPr>
        <w:t xml:space="preserve"> </w:t>
      </w:r>
      <w:r>
        <w:t>the</w:t>
      </w:r>
      <w:r>
        <w:rPr>
          <w:spacing w:val="22"/>
        </w:rPr>
        <w:t xml:space="preserve"> </w:t>
      </w:r>
      <w:r>
        <w:rPr>
          <w:spacing w:val="-1"/>
        </w:rPr>
        <w:t>Supplier's</w:t>
      </w:r>
      <w:r>
        <w:rPr>
          <w:spacing w:val="22"/>
        </w:rPr>
        <w:t xml:space="preserve"> </w:t>
      </w:r>
      <w:r>
        <w:rPr>
          <w:spacing w:val="-1"/>
        </w:rPr>
        <w:t>behalf</w:t>
      </w:r>
      <w:r>
        <w:rPr>
          <w:spacing w:val="33"/>
        </w:rPr>
        <w:t xml:space="preserve"> </w:t>
      </w:r>
      <w:r>
        <w:rPr>
          <w:spacing w:val="-1"/>
        </w:rPr>
        <w:t>from</w:t>
      </w:r>
      <w:r>
        <w:rPr>
          <w:spacing w:val="2"/>
        </w:rPr>
        <w:t xml:space="preserve"> </w:t>
      </w:r>
      <w:r>
        <w:rPr>
          <w:spacing w:val="-1"/>
        </w:rPr>
        <w:t>committing</w:t>
      </w:r>
      <w:r>
        <w:rPr>
          <w:spacing w:val="1"/>
        </w:rPr>
        <w:t xml:space="preserve"> </w:t>
      </w:r>
      <w:r>
        <w:t xml:space="preserve">a </w:t>
      </w:r>
      <w:r>
        <w:rPr>
          <w:spacing w:val="-1"/>
        </w:rPr>
        <w:t>Prohibited</w:t>
      </w:r>
      <w:r>
        <w:t xml:space="preserve"> </w:t>
      </w:r>
      <w:r>
        <w:rPr>
          <w:spacing w:val="-1"/>
        </w:rPr>
        <w:t>Act.</w:t>
      </w:r>
    </w:p>
    <w:p w:rsidR="008918FA" w:rsidRDefault="008918FA" w:rsidP="008918FA">
      <w:pPr>
        <w:pStyle w:val="BodyText"/>
        <w:numPr>
          <w:ilvl w:val="1"/>
          <w:numId w:val="66"/>
        </w:numPr>
        <w:tabs>
          <w:tab w:val="left" w:pos="894"/>
        </w:tabs>
        <w:ind w:left="689" w:right="111" w:hanging="360"/>
        <w:jc w:val="both"/>
      </w:pPr>
      <w:bookmarkStart w:id="319" w:name="_bookmark265"/>
      <w:bookmarkEnd w:id="319"/>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2"/>
        </w:rPr>
        <w:t>immediately</w:t>
      </w:r>
      <w:r>
        <w:rPr>
          <w:spacing w:val="3"/>
        </w:rPr>
        <w:t xml:space="preserve"> </w:t>
      </w:r>
      <w:r>
        <w:t>notify</w:t>
      </w:r>
      <w:r>
        <w:rPr>
          <w:spacing w:val="3"/>
        </w:rPr>
        <w:t xml:space="preserve"> </w:t>
      </w:r>
      <w:r>
        <w:t>the</w:t>
      </w:r>
      <w:r>
        <w:rPr>
          <w:spacing w:val="7"/>
        </w:rPr>
        <w:t xml:space="preserve"> </w:t>
      </w:r>
      <w:r>
        <w:rPr>
          <w:spacing w:val="-2"/>
        </w:rPr>
        <w:t>Customer</w:t>
      </w:r>
      <w:r>
        <w:rPr>
          <w:spacing w:val="6"/>
        </w:rPr>
        <w:t xml:space="preserve"> </w:t>
      </w:r>
      <w:r>
        <w:rPr>
          <w:spacing w:val="-1"/>
        </w:rPr>
        <w:t>in</w:t>
      </w:r>
      <w:r>
        <w:rPr>
          <w:spacing w:val="5"/>
        </w:rPr>
        <w:t xml:space="preserve"> </w:t>
      </w:r>
      <w:r>
        <w:rPr>
          <w:spacing w:val="-2"/>
        </w:rPr>
        <w:t>writing</w:t>
      </w:r>
      <w:r>
        <w:rPr>
          <w:spacing w:val="7"/>
        </w:rPr>
        <w:t xml:space="preserve"> </w:t>
      </w:r>
      <w:r>
        <w:rPr>
          <w:spacing w:val="-2"/>
        </w:rPr>
        <w:t>if</w:t>
      </w:r>
      <w:r>
        <w:rPr>
          <w:spacing w:val="9"/>
        </w:rPr>
        <w:t xml:space="preserve"> </w:t>
      </w:r>
      <w:r>
        <w:rPr>
          <w:spacing w:val="-2"/>
        </w:rPr>
        <w:t>it</w:t>
      </w:r>
      <w:r>
        <w:rPr>
          <w:spacing w:val="7"/>
        </w:rPr>
        <w:t xml:space="preserve"> </w:t>
      </w:r>
      <w:r>
        <w:rPr>
          <w:spacing w:val="-1"/>
        </w:rPr>
        <w:t>becomes</w:t>
      </w:r>
      <w:r>
        <w:rPr>
          <w:spacing w:val="3"/>
        </w:rPr>
        <w:t xml:space="preserve"> </w:t>
      </w:r>
      <w:r>
        <w:rPr>
          <w:spacing w:val="-2"/>
        </w:rPr>
        <w:t>aware</w:t>
      </w:r>
      <w:r>
        <w:rPr>
          <w:spacing w:val="71"/>
        </w:rPr>
        <w:t xml:space="preserve"> </w:t>
      </w:r>
      <w:r>
        <w:rPr>
          <w:spacing w:val="-2"/>
        </w:rPr>
        <w:t>of</w:t>
      </w:r>
      <w:r>
        <w:rPr>
          <w:spacing w:val="38"/>
        </w:rPr>
        <w:t xml:space="preserve"> </w:t>
      </w:r>
      <w:r>
        <w:rPr>
          <w:spacing w:val="-1"/>
        </w:rPr>
        <w:t>any</w:t>
      </w:r>
      <w:r>
        <w:rPr>
          <w:spacing w:val="32"/>
        </w:rPr>
        <w:t xml:space="preserve"> </w:t>
      </w:r>
      <w:r>
        <w:rPr>
          <w:spacing w:val="-1"/>
        </w:rPr>
        <w:t>breach</w:t>
      </w:r>
      <w:r>
        <w:rPr>
          <w:spacing w:val="32"/>
        </w:rPr>
        <w:t xml:space="preserve"> </w:t>
      </w:r>
      <w:r>
        <w:rPr>
          <w:spacing w:val="-2"/>
        </w:rPr>
        <w:t>of</w:t>
      </w:r>
      <w:r>
        <w:rPr>
          <w:spacing w:val="35"/>
        </w:rPr>
        <w:t xml:space="preserve"> </w:t>
      </w:r>
      <w:r>
        <w:rPr>
          <w:spacing w:val="-2"/>
        </w:rPr>
        <w:t>Clause</w:t>
      </w:r>
      <w:r>
        <w:rPr>
          <w:spacing w:val="1"/>
        </w:rPr>
        <w:t xml:space="preserve"> </w:t>
      </w:r>
      <w:hyperlink w:anchor="_bookmark262" w:history="1">
        <w:r>
          <w:rPr>
            <w:spacing w:val="-1"/>
          </w:rPr>
          <w:t>50.1</w:t>
        </w:r>
      </w:hyperlink>
      <w:r>
        <w:rPr>
          <w:spacing w:val="-1"/>
        </w:rPr>
        <w:t>,</w:t>
      </w:r>
      <w:r>
        <w:rPr>
          <w:spacing w:val="35"/>
        </w:rPr>
        <w:t xml:space="preserve"> </w:t>
      </w:r>
      <w:r>
        <w:rPr>
          <w:spacing w:val="-2"/>
        </w:rPr>
        <w:t>or</w:t>
      </w:r>
      <w:r>
        <w:rPr>
          <w:spacing w:val="35"/>
        </w:rPr>
        <w:t xml:space="preserve"> </w:t>
      </w:r>
      <w:r>
        <w:rPr>
          <w:spacing w:val="-1"/>
        </w:rPr>
        <w:t>has</w:t>
      </w:r>
      <w:r>
        <w:rPr>
          <w:spacing w:val="33"/>
        </w:rPr>
        <w:t xml:space="preserve"> </w:t>
      </w:r>
      <w:r>
        <w:rPr>
          <w:spacing w:val="-1"/>
        </w:rPr>
        <w:t>reason</w:t>
      </w:r>
      <w:r>
        <w:rPr>
          <w:spacing w:val="31"/>
        </w:rPr>
        <w:t xml:space="preserve"> </w:t>
      </w:r>
      <w:r>
        <w:rPr>
          <w:spacing w:val="-1"/>
        </w:rPr>
        <w:t>to</w:t>
      </w:r>
      <w:r>
        <w:rPr>
          <w:spacing w:val="34"/>
        </w:rPr>
        <w:t xml:space="preserve"> </w:t>
      </w:r>
      <w:r>
        <w:rPr>
          <w:spacing w:val="-2"/>
        </w:rPr>
        <w:t>believe</w:t>
      </w:r>
      <w:r>
        <w:rPr>
          <w:spacing w:val="34"/>
        </w:rPr>
        <w:t xml:space="preserve"> </w:t>
      </w:r>
      <w:r>
        <w:rPr>
          <w:spacing w:val="-1"/>
        </w:rPr>
        <w:t>that</w:t>
      </w:r>
      <w:r>
        <w:rPr>
          <w:spacing w:val="35"/>
        </w:rPr>
        <w:t xml:space="preserve"> </w:t>
      </w:r>
      <w:r>
        <w:rPr>
          <w:spacing w:val="-1"/>
        </w:rPr>
        <w:t>it</w:t>
      </w:r>
      <w:r>
        <w:rPr>
          <w:spacing w:val="33"/>
        </w:rPr>
        <w:t xml:space="preserve"> </w:t>
      </w:r>
      <w:r>
        <w:rPr>
          <w:spacing w:val="-1"/>
        </w:rPr>
        <w:t>has</w:t>
      </w:r>
      <w:r>
        <w:rPr>
          <w:spacing w:val="35"/>
        </w:rPr>
        <w:t xml:space="preserve"> </w:t>
      </w:r>
      <w:r>
        <w:rPr>
          <w:spacing w:val="-2"/>
        </w:rPr>
        <w:t>or</w:t>
      </w:r>
      <w:r>
        <w:rPr>
          <w:spacing w:val="33"/>
        </w:rPr>
        <w:t xml:space="preserve"> </w:t>
      </w:r>
      <w:r>
        <w:rPr>
          <w:spacing w:val="-1"/>
        </w:rPr>
        <w:t>any</w:t>
      </w:r>
      <w:r>
        <w:rPr>
          <w:spacing w:val="32"/>
        </w:rPr>
        <w:t xml:space="preserve"> </w:t>
      </w:r>
      <w:r>
        <w:rPr>
          <w:spacing w:val="-1"/>
        </w:rPr>
        <w:t>of</w:t>
      </w:r>
      <w:r>
        <w:rPr>
          <w:spacing w:val="35"/>
        </w:rPr>
        <w:t xml:space="preserve"> </w:t>
      </w:r>
      <w:r>
        <w:rPr>
          <w:spacing w:val="-1"/>
        </w:rPr>
        <w:t>the</w:t>
      </w:r>
      <w:r>
        <w:rPr>
          <w:spacing w:val="53"/>
        </w:rPr>
        <w:t xml:space="preserve"> </w:t>
      </w:r>
      <w:r>
        <w:rPr>
          <w:spacing w:val="-2"/>
        </w:rPr>
        <w:t>Supplier</w:t>
      </w:r>
      <w:r>
        <w:rPr>
          <w:spacing w:val="2"/>
        </w:rPr>
        <w:t xml:space="preserve"> </w:t>
      </w:r>
      <w:r>
        <w:rPr>
          <w:spacing w:val="-1"/>
        </w:rPr>
        <w:t>Personnel</w:t>
      </w:r>
      <w:r>
        <w:t xml:space="preserve"> </w:t>
      </w:r>
      <w:r>
        <w:rPr>
          <w:spacing w:val="-2"/>
        </w:rPr>
        <w:t>have:</w:t>
      </w:r>
    </w:p>
    <w:p w:rsidR="008918FA" w:rsidRDefault="008918FA" w:rsidP="008918FA">
      <w:pPr>
        <w:pStyle w:val="BodyText"/>
        <w:numPr>
          <w:ilvl w:val="2"/>
          <w:numId w:val="66"/>
        </w:numPr>
        <w:tabs>
          <w:tab w:val="left" w:pos="1888"/>
        </w:tabs>
        <w:ind w:left="1887" w:right="113"/>
        <w:jc w:val="both"/>
      </w:pPr>
      <w:r>
        <w:rPr>
          <w:spacing w:val="-1"/>
        </w:rPr>
        <w:t>been</w:t>
      </w:r>
      <w:r>
        <w:rPr>
          <w:spacing w:val="48"/>
        </w:rPr>
        <w:t xml:space="preserve"> </w:t>
      </w:r>
      <w:r>
        <w:rPr>
          <w:spacing w:val="-1"/>
        </w:rPr>
        <w:t>subject</w:t>
      </w:r>
      <w:r>
        <w:rPr>
          <w:spacing w:val="50"/>
        </w:rPr>
        <w:t xml:space="preserve"> </w:t>
      </w:r>
      <w:r>
        <w:t>to</w:t>
      </w:r>
      <w:r>
        <w:rPr>
          <w:spacing w:val="48"/>
        </w:rPr>
        <w:t xml:space="preserve"> </w:t>
      </w:r>
      <w:r>
        <w:rPr>
          <w:spacing w:val="-1"/>
        </w:rPr>
        <w:t>an</w:t>
      </w:r>
      <w:r>
        <w:rPr>
          <w:spacing w:val="46"/>
        </w:rPr>
        <w:t xml:space="preserve"> </w:t>
      </w:r>
      <w:r>
        <w:rPr>
          <w:spacing w:val="-1"/>
        </w:rPr>
        <w:t>investigation</w:t>
      </w:r>
      <w:r>
        <w:rPr>
          <w:spacing w:val="48"/>
        </w:rPr>
        <w:t xml:space="preserve"> </w:t>
      </w:r>
      <w:r>
        <w:rPr>
          <w:spacing w:val="-1"/>
        </w:rPr>
        <w:t>or</w:t>
      </w:r>
      <w:r>
        <w:rPr>
          <w:spacing w:val="49"/>
        </w:rPr>
        <w:t xml:space="preserve"> </w:t>
      </w:r>
      <w:r>
        <w:rPr>
          <w:spacing w:val="-1"/>
        </w:rPr>
        <w:t>prosecution</w:t>
      </w:r>
      <w:r>
        <w:rPr>
          <w:spacing w:val="49"/>
        </w:rPr>
        <w:t xml:space="preserve"> </w:t>
      </w:r>
      <w:r>
        <w:rPr>
          <w:spacing w:val="-2"/>
        </w:rPr>
        <w:t>which</w:t>
      </w:r>
      <w:r>
        <w:rPr>
          <w:spacing w:val="49"/>
        </w:rPr>
        <w:t xml:space="preserve"> </w:t>
      </w:r>
      <w:r>
        <w:rPr>
          <w:spacing w:val="-1"/>
        </w:rPr>
        <w:t>relates</w:t>
      </w:r>
      <w:r>
        <w:rPr>
          <w:spacing w:val="49"/>
        </w:rPr>
        <w:t xml:space="preserve"> </w:t>
      </w:r>
      <w:r>
        <w:t>to</w:t>
      </w:r>
      <w:r>
        <w:rPr>
          <w:spacing w:val="48"/>
        </w:rPr>
        <w:t xml:space="preserve"> </w:t>
      </w:r>
      <w:r>
        <w:rPr>
          <w:spacing w:val="-1"/>
        </w:rPr>
        <w:t>an</w:t>
      </w:r>
      <w:r>
        <w:rPr>
          <w:spacing w:val="32"/>
        </w:rPr>
        <w:t xml:space="preserve"> </w:t>
      </w:r>
      <w:r>
        <w:rPr>
          <w:spacing w:val="-1"/>
        </w:rPr>
        <w:t>alleged</w:t>
      </w:r>
      <w:r>
        <w:t xml:space="preserve"> </w:t>
      </w:r>
      <w:r>
        <w:rPr>
          <w:spacing w:val="-1"/>
        </w:rPr>
        <w:t>Prohibited</w:t>
      </w:r>
      <w:r>
        <w:rPr>
          <w:spacing w:val="-2"/>
        </w:rPr>
        <w:t xml:space="preserve"> </w:t>
      </w:r>
      <w:r>
        <w:rPr>
          <w:spacing w:val="-1"/>
        </w:rPr>
        <w:t>Act;</w:t>
      </w:r>
    </w:p>
    <w:p w:rsidR="008918FA" w:rsidRDefault="008918FA" w:rsidP="008918FA">
      <w:pPr>
        <w:pStyle w:val="BodyText"/>
        <w:numPr>
          <w:ilvl w:val="2"/>
          <w:numId w:val="66"/>
        </w:numPr>
        <w:tabs>
          <w:tab w:val="left" w:pos="1888"/>
        </w:tabs>
        <w:ind w:left="1887" w:right="114"/>
        <w:jc w:val="both"/>
      </w:pPr>
      <w:r>
        <w:rPr>
          <w:spacing w:val="-1"/>
        </w:rPr>
        <w:t>been</w:t>
      </w:r>
      <w:r>
        <w:rPr>
          <w:spacing w:val="30"/>
        </w:rPr>
        <w:t xml:space="preserve"> </w:t>
      </w:r>
      <w:r>
        <w:rPr>
          <w:spacing w:val="-1"/>
        </w:rPr>
        <w:t>listed</w:t>
      </w:r>
      <w:r>
        <w:rPr>
          <w:spacing w:val="30"/>
        </w:rPr>
        <w:t xml:space="preserve"> </w:t>
      </w:r>
      <w:r>
        <w:rPr>
          <w:spacing w:val="-1"/>
        </w:rPr>
        <w:t>by</w:t>
      </w:r>
      <w:r>
        <w:rPr>
          <w:spacing w:val="28"/>
        </w:rPr>
        <w:t xml:space="preserve"> </w:t>
      </w:r>
      <w:r>
        <w:t>any</w:t>
      </w:r>
      <w:r>
        <w:rPr>
          <w:spacing w:val="28"/>
        </w:rPr>
        <w:t xml:space="preserve"> </w:t>
      </w:r>
      <w:r>
        <w:rPr>
          <w:spacing w:val="-1"/>
        </w:rPr>
        <w:t>government</w:t>
      </w:r>
      <w:r>
        <w:rPr>
          <w:spacing w:val="32"/>
        </w:rPr>
        <w:t xml:space="preserve"> </w:t>
      </w:r>
      <w:r>
        <w:rPr>
          <w:spacing w:val="-1"/>
        </w:rPr>
        <w:t>department</w:t>
      </w:r>
      <w:r>
        <w:rPr>
          <w:spacing w:val="30"/>
        </w:rPr>
        <w:t xml:space="preserve"> </w:t>
      </w:r>
      <w:r>
        <w:rPr>
          <w:spacing w:val="-1"/>
        </w:rPr>
        <w:t>or</w:t>
      </w:r>
      <w:r>
        <w:rPr>
          <w:spacing w:val="32"/>
        </w:rPr>
        <w:t xml:space="preserve"> </w:t>
      </w:r>
      <w:r>
        <w:rPr>
          <w:spacing w:val="-1"/>
        </w:rPr>
        <w:t>agency</w:t>
      </w:r>
      <w:r>
        <w:rPr>
          <w:spacing w:val="29"/>
        </w:rPr>
        <w:t xml:space="preserve"> </w:t>
      </w:r>
      <w:r>
        <w:rPr>
          <w:spacing w:val="-1"/>
        </w:rPr>
        <w:t>as</w:t>
      </w:r>
      <w:r>
        <w:rPr>
          <w:spacing w:val="31"/>
        </w:rPr>
        <w:t xml:space="preserve"> </w:t>
      </w:r>
      <w:r>
        <w:rPr>
          <w:spacing w:val="-2"/>
        </w:rPr>
        <w:t>being</w:t>
      </w:r>
      <w:r>
        <w:rPr>
          <w:spacing w:val="32"/>
        </w:rPr>
        <w:t xml:space="preserve"> </w:t>
      </w:r>
      <w:r>
        <w:rPr>
          <w:spacing w:val="-1"/>
        </w:rPr>
        <w:t>debarred,</w:t>
      </w:r>
      <w:r>
        <w:rPr>
          <w:spacing w:val="30"/>
        </w:rPr>
        <w:t xml:space="preserve"> </w:t>
      </w:r>
      <w:r>
        <w:rPr>
          <w:spacing w:val="-1"/>
        </w:rPr>
        <w:t>suspended,</w:t>
      </w:r>
      <w:r>
        <w:rPr>
          <w:spacing w:val="27"/>
        </w:rPr>
        <w:t xml:space="preserve"> </w:t>
      </w:r>
      <w:r>
        <w:rPr>
          <w:spacing w:val="-1"/>
        </w:rPr>
        <w:t>proposed</w:t>
      </w:r>
      <w:r>
        <w:rPr>
          <w:spacing w:val="26"/>
        </w:rPr>
        <w:t xml:space="preserve"> </w:t>
      </w:r>
      <w:r>
        <w:t>for</w:t>
      </w:r>
      <w:r>
        <w:rPr>
          <w:spacing w:val="27"/>
        </w:rPr>
        <w:t xml:space="preserve"> </w:t>
      </w:r>
      <w:r>
        <w:rPr>
          <w:spacing w:val="-1"/>
        </w:rPr>
        <w:t>suspension</w:t>
      </w:r>
      <w:r>
        <w:rPr>
          <w:spacing w:val="28"/>
        </w:rPr>
        <w:t xml:space="preserve"> </w:t>
      </w:r>
      <w:r>
        <w:rPr>
          <w:spacing w:val="-1"/>
        </w:rPr>
        <w:t>or</w:t>
      </w:r>
      <w:r>
        <w:rPr>
          <w:spacing w:val="29"/>
        </w:rPr>
        <w:t xml:space="preserve"> </w:t>
      </w:r>
      <w:r>
        <w:rPr>
          <w:spacing w:val="-1"/>
        </w:rPr>
        <w:t>debarment,</w:t>
      </w:r>
      <w:r>
        <w:rPr>
          <w:spacing w:val="27"/>
        </w:rPr>
        <w:t xml:space="preserve"> </w:t>
      </w:r>
      <w:r>
        <w:rPr>
          <w:spacing w:val="-1"/>
        </w:rPr>
        <w:t>or</w:t>
      </w:r>
      <w:r>
        <w:rPr>
          <w:spacing w:val="27"/>
        </w:rPr>
        <w:t xml:space="preserve"> </w:t>
      </w:r>
      <w:r>
        <w:rPr>
          <w:spacing w:val="-1"/>
        </w:rPr>
        <w:t>otherwise</w:t>
      </w:r>
      <w:r>
        <w:rPr>
          <w:spacing w:val="1"/>
        </w:rPr>
        <w:t xml:space="preserve"> </w:t>
      </w:r>
      <w:r>
        <w:rPr>
          <w:spacing w:val="-1"/>
        </w:rPr>
        <w:t>ineligible</w:t>
      </w:r>
      <w:r>
        <w:t xml:space="preserve"> for</w:t>
      </w:r>
      <w:r>
        <w:rPr>
          <w:spacing w:val="60"/>
        </w:rPr>
        <w:t xml:space="preserve"> </w:t>
      </w:r>
      <w:r>
        <w:rPr>
          <w:spacing w:val="-1"/>
        </w:rPr>
        <w:t>participation</w:t>
      </w:r>
      <w:r>
        <w:t xml:space="preserve">  </w:t>
      </w:r>
      <w:r>
        <w:rPr>
          <w:spacing w:val="-1"/>
        </w:rPr>
        <w:t>in</w:t>
      </w:r>
      <w:r>
        <w:t xml:space="preserve">  </w:t>
      </w:r>
      <w:r>
        <w:rPr>
          <w:spacing w:val="-1"/>
        </w:rPr>
        <w:t>government</w:t>
      </w:r>
      <w:r>
        <w:rPr>
          <w:spacing w:val="2"/>
        </w:rPr>
        <w:t xml:space="preserve"> </w:t>
      </w:r>
      <w:r>
        <w:rPr>
          <w:spacing w:val="-1"/>
        </w:rPr>
        <w:t>procurement</w:t>
      </w:r>
      <w:r>
        <w:rPr>
          <w:spacing w:val="29"/>
        </w:rPr>
        <w:t xml:space="preserve"> </w:t>
      </w:r>
      <w:r>
        <w:rPr>
          <w:spacing w:val="-1"/>
        </w:rPr>
        <w:t>programmes</w:t>
      </w:r>
      <w:r>
        <w:rPr>
          <w:spacing w:val="-2"/>
        </w:rPr>
        <w:t xml:space="preserve"> </w:t>
      </w:r>
      <w:r>
        <w:rPr>
          <w:spacing w:val="-1"/>
        </w:rPr>
        <w:t>or contracts</w:t>
      </w:r>
      <w:r>
        <w:rPr>
          <w:spacing w:val="-2"/>
        </w:rPr>
        <w:t xml:space="preserve"> </w:t>
      </w:r>
      <w:r>
        <w:rPr>
          <w:spacing w:val="-1"/>
        </w:rPr>
        <w:t>on</w:t>
      </w:r>
      <w:r>
        <w:rPr>
          <w:spacing w:val="-2"/>
        </w:rPr>
        <w:t xml:space="preserve"> </w:t>
      </w:r>
      <w:r>
        <w:t>the</w:t>
      </w:r>
      <w:r>
        <w:rPr>
          <w:spacing w:val="-2"/>
        </w:rPr>
        <w:t xml:space="preserve"> </w:t>
      </w:r>
      <w:r>
        <w:rPr>
          <w:spacing w:val="-1"/>
        </w:rPr>
        <w:t>grounds</w:t>
      </w:r>
      <w:r>
        <w:rPr>
          <w:spacing w:val="1"/>
        </w:rPr>
        <w:t xml:space="preserve"> </w:t>
      </w:r>
      <w:r>
        <w:rPr>
          <w:spacing w:val="-2"/>
        </w:rPr>
        <w:t>of</w:t>
      </w:r>
      <w:r>
        <w:t xml:space="preserve"> a </w:t>
      </w:r>
      <w:r>
        <w:rPr>
          <w:spacing w:val="-1"/>
        </w:rPr>
        <w:t>Prohibited</w:t>
      </w:r>
      <w:r>
        <w:t xml:space="preserve"> </w:t>
      </w:r>
      <w:r>
        <w:rPr>
          <w:spacing w:val="-1"/>
        </w:rPr>
        <w:t>Act;</w:t>
      </w:r>
      <w:r>
        <w:t xml:space="preserve"> </w:t>
      </w:r>
      <w:r>
        <w:rPr>
          <w:spacing w:val="-1"/>
        </w:rPr>
        <w:t>and/or</w:t>
      </w:r>
    </w:p>
    <w:p w:rsidR="008918FA" w:rsidRDefault="008918FA" w:rsidP="008918FA">
      <w:pPr>
        <w:pStyle w:val="BodyText"/>
        <w:numPr>
          <w:ilvl w:val="2"/>
          <w:numId w:val="66"/>
        </w:numPr>
        <w:tabs>
          <w:tab w:val="left" w:pos="1888"/>
        </w:tabs>
        <w:spacing w:before="121"/>
        <w:ind w:left="1887" w:right="116"/>
        <w:jc w:val="both"/>
      </w:pPr>
      <w:r>
        <w:rPr>
          <w:spacing w:val="-1"/>
        </w:rPr>
        <w:t>received</w:t>
      </w:r>
      <w:r>
        <w:rPr>
          <w:spacing w:val="28"/>
        </w:rPr>
        <w:t xml:space="preserve"> </w:t>
      </w:r>
      <w:r>
        <w:t>a</w:t>
      </w:r>
      <w:r>
        <w:rPr>
          <w:spacing w:val="28"/>
        </w:rPr>
        <w:t xml:space="preserve"> </w:t>
      </w:r>
      <w:r>
        <w:rPr>
          <w:spacing w:val="-1"/>
        </w:rPr>
        <w:t>request</w:t>
      </w:r>
      <w:r>
        <w:rPr>
          <w:spacing w:val="30"/>
        </w:rPr>
        <w:t xml:space="preserve"> </w:t>
      </w:r>
      <w:r>
        <w:rPr>
          <w:spacing w:val="-2"/>
        </w:rPr>
        <w:t>or</w:t>
      </w:r>
      <w:r>
        <w:rPr>
          <w:spacing w:val="27"/>
        </w:rPr>
        <w:t xml:space="preserve"> </w:t>
      </w:r>
      <w:r>
        <w:rPr>
          <w:spacing w:val="-1"/>
        </w:rPr>
        <w:t>demand</w:t>
      </w:r>
      <w:r>
        <w:rPr>
          <w:spacing w:val="26"/>
        </w:rPr>
        <w:t xml:space="preserve"> </w:t>
      </w:r>
      <w:r>
        <w:t>for</w:t>
      </w:r>
      <w:r>
        <w:rPr>
          <w:spacing w:val="29"/>
        </w:rPr>
        <w:t xml:space="preserve"> </w:t>
      </w:r>
      <w:r>
        <w:rPr>
          <w:spacing w:val="-1"/>
        </w:rPr>
        <w:t>any</w:t>
      </w:r>
      <w:r>
        <w:rPr>
          <w:spacing w:val="26"/>
        </w:rPr>
        <w:t xml:space="preserve"> </w:t>
      </w:r>
      <w:r>
        <w:rPr>
          <w:spacing w:val="-1"/>
        </w:rPr>
        <w:t>undue</w:t>
      </w:r>
      <w:r>
        <w:rPr>
          <w:spacing w:val="28"/>
        </w:rPr>
        <w:t xml:space="preserve"> </w:t>
      </w:r>
      <w:r>
        <w:rPr>
          <w:spacing w:val="-1"/>
        </w:rPr>
        <w:t>financial</w:t>
      </w:r>
      <w:r>
        <w:rPr>
          <w:spacing w:val="27"/>
        </w:rPr>
        <w:t xml:space="preserve"> </w:t>
      </w:r>
      <w:r>
        <w:rPr>
          <w:spacing w:val="-1"/>
        </w:rPr>
        <w:t>or</w:t>
      </w:r>
      <w:r>
        <w:rPr>
          <w:spacing w:val="29"/>
        </w:rPr>
        <w:t xml:space="preserve"> </w:t>
      </w:r>
      <w:r>
        <w:rPr>
          <w:spacing w:val="-1"/>
        </w:rPr>
        <w:t>other</w:t>
      </w:r>
      <w:r>
        <w:rPr>
          <w:spacing w:val="37"/>
        </w:rPr>
        <w:t xml:space="preserve"> </w:t>
      </w:r>
      <w:r>
        <w:rPr>
          <w:spacing w:val="-1"/>
        </w:rPr>
        <w:t>advantage</w:t>
      </w:r>
      <w:r>
        <w:rPr>
          <w:spacing w:val="17"/>
        </w:rPr>
        <w:t xml:space="preserve"> </w:t>
      </w:r>
      <w:r>
        <w:rPr>
          <w:spacing w:val="-2"/>
        </w:rPr>
        <w:t>of</w:t>
      </w:r>
      <w:r>
        <w:rPr>
          <w:spacing w:val="21"/>
        </w:rPr>
        <w:t xml:space="preserve"> </w:t>
      </w:r>
      <w:r>
        <w:rPr>
          <w:spacing w:val="-1"/>
        </w:rPr>
        <w:t>any</w:t>
      </w:r>
      <w:r>
        <w:rPr>
          <w:spacing w:val="15"/>
        </w:rPr>
        <w:t xml:space="preserve"> </w:t>
      </w:r>
      <w:r>
        <w:rPr>
          <w:spacing w:val="-1"/>
        </w:rPr>
        <w:t>kind</w:t>
      </w:r>
      <w:r>
        <w:rPr>
          <w:spacing w:val="17"/>
        </w:rPr>
        <w:t xml:space="preserve"> </w:t>
      </w:r>
      <w:r>
        <w:t>in</w:t>
      </w:r>
      <w:r>
        <w:rPr>
          <w:spacing w:val="17"/>
        </w:rPr>
        <w:t xml:space="preserve"> </w:t>
      </w:r>
      <w:r>
        <w:rPr>
          <w:spacing w:val="-1"/>
        </w:rPr>
        <w:t>connection</w:t>
      </w:r>
      <w:r>
        <w:rPr>
          <w:spacing w:val="17"/>
        </w:rPr>
        <w:t xml:space="preserve"> </w:t>
      </w:r>
      <w:r>
        <w:rPr>
          <w:spacing w:val="-1"/>
        </w:rPr>
        <w:t>with</w:t>
      </w:r>
      <w:r>
        <w:rPr>
          <w:spacing w:val="17"/>
        </w:rPr>
        <w:t xml:space="preserve"> </w:t>
      </w:r>
      <w:r>
        <w:t>the</w:t>
      </w:r>
      <w:r>
        <w:rPr>
          <w:spacing w:val="17"/>
        </w:rPr>
        <w:t xml:space="preserve"> </w:t>
      </w:r>
      <w:r>
        <w:rPr>
          <w:spacing w:val="-1"/>
        </w:rPr>
        <w:t>performance</w:t>
      </w:r>
      <w:r>
        <w:rPr>
          <w:spacing w:val="18"/>
        </w:rPr>
        <w:t xml:space="preserve"> </w:t>
      </w:r>
      <w:r>
        <w:rPr>
          <w:spacing w:val="-2"/>
        </w:rPr>
        <w:t>of</w:t>
      </w:r>
      <w:r>
        <w:rPr>
          <w:spacing w:val="19"/>
        </w:rPr>
        <w:t xml:space="preserve"> </w:t>
      </w:r>
      <w:r>
        <w:rPr>
          <w:spacing w:val="-1"/>
        </w:rPr>
        <w:t>this</w:t>
      </w:r>
      <w:r>
        <w:rPr>
          <w:spacing w:val="18"/>
        </w:rPr>
        <w:t xml:space="preserve"> </w:t>
      </w:r>
      <w:r>
        <w:rPr>
          <w:spacing w:val="-2"/>
        </w:rPr>
        <w:t>Call</w:t>
      </w:r>
      <w:r>
        <w:rPr>
          <w:spacing w:val="47"/>
        </w:rPr>
        <w:t xml:space="preserve"> </w:t>
      </w:r>
      <w:r>
        <w:rPr>
          <w:spacing w:val="-1"/>
        </w:rPr>
        <w:t>Off</w:t>
      </w:r>
      <w:r>
        <w:rPr>
          <w:spacing w:val="11"/>
        </w:rPr>
        <w:t xml:space="preserve"> </w:t>
      </w:r>
      <w:r>
        <w:rPr>
          <w:spacing w:val="-1"/>
        </w:rPr>
        <w:t>Contract</w:t>
      </w:r>
      <w:r>
        <w:rPr>
          <w:spacing w:val="12"/>
        </w:rPr>
        <w:t xml:space="preserve"> </w:t>
      </w:r>
      <w:r>
        <w:rPr>
          <w:spacing w:val="-1"/>
        </w:rPr>
        <w:t>or</w:t>
      </w:r>
      <w:r>
        <w:rPr>
          <w:spacing w:val="11"/>
        </w:rPr>
        <w:t xml:space="preserve"> </w:t>
      </w:r>
      <w:r>
        <w:rPr>
          <w:spacing w:val="-2"/>
        </w:rPr>
        <w:t>otherwise</w:t>
      </w:r>
      <w:r>
        <w:rPr>
          <w:spacing w:val="10"/>
        </w:rPr>
        <w:t xml:space="preserve"> </w:t>
      </w:r>
      <w:r>
        <w:rPr>
          <w:spacing w:val="-1"/>
        </w:rPr>
        <w:t>suspects</w:t>
      </w:r>
      <w:r>
        <w:rPr>
          <w:spacing w:val="10"/>
        </w:rPr>
        <w:t xml:space="preserve"> </w:t>
      </w:r>
      <w:r>
        <w:rPr>
          <w:spacing w:val="-1"/>
        </w:rPr>
        <w:t>that</w:t>
      </w:r>
      <w:r>
        <w:rPr>
          <w:spacing w:val="11"/>
        </w:rPr>
        <w:t xml:space="preserve"> </w:t>
      </w:r>
      <w:r>
        <w:rPr>
          <w:spacing w:val="-1"/>
        </w:rPr>
        <w:t>any</w:t>
      </w:r>
      <w:r>
        <w:rPr>
          <w:spacing w:val="8"/>
        </w:rPr>
        <w:t xml:space="preserve"> </w:t>
      </w:r>
      <w:r>
        <w:rPr>
          <w:spacing w:val="-1"/>
        </w:rPr>
        <w:t>person</w:t>
      </w:r>
      <w:r>
        <w:rPr>
          <w:spacing w:val="10"/>
        </w:rPr>
        <w:t xml:space="preserve"> </w:t>
      </w:r>
      <w:r>
        <w:rPr>
          <w:spacing w:val="-1"/>
        </w:rPr>
        <w:t>or</w:t>
      </w:r>
      <w:r>
        <w:rPr>
          <w:spacing w:val="11"/>
        </w:rPr>
        <w:t xml:space="preserve"> </w:t>
      </w:r>
      <w:r>
        <w:rPr>
          <w:spacing w:val="-1"/>
        </w:rPr>
        <w:t>Party</w:t>
      </w:r>
      <w:r>
        <w:rPr>
          <w:spacing w:val="8"/>
        </w:rPr>
        <w:t xml:space="preserve"> </w:t>
      </w:r>
      <w:r>
        <w:rPr>
          <w:spacing w:val="-1"/>
        </w:rPr>
        <w:t>directly</w:t>
      </w:r>
      <w:r>
        <w:rPr>
          <w:spacing w:val="8"/>
        </w:rPr>
        <w:t xml:space="preserve"> </w:t>
      </w:r>
      <w:r>
        <w:rPr>
          <w:spacing w:val="-1"/>
        </w:rPr>
        <w:t>or</w:t>
      </w:r>
      <w:r>
        <w:rPr>
          <w:spacing w:val="54"/>
        </w:rPr>
        <w:t xml:space="preserve"> </w:t>
      </w:r>
      <w:r>
        <w:rPr>
          <w:spacing w:val="-1"/>
        </w:rPr>
        <w:t>indirectly</w:t>
      </w:r>
      <w:r>
        <w:rPr>
          <w:spacing w:val="12"/>
        </w:rPr>
        <w:t xml:space="preserve"> </w:t>
      </w:r>
      <w:r>
        <w:rPr>
          <w:spacing w:val="-1"/>
        </w:rPr>
        <w:t>connected</w:t>
      </w:r>
      <w:r>
        <w:rPr>
          <w:spacing w:val="16"/>
        </w:rPr>
        <w:t xml:space="preserve"> </w:t>
      </w:r>
      <w:r>
        <w:rPr>
          <w:spacing w:val="-2"/>
        </w:rPr>
        <w:t>with</w:t>
      </w:r>
      <w:r>
        <w:rPr>
          <w:spacing w:val="13"/>
        </w:rPr>
        <w:t xml:space="preserve"> </w:t>
      </w:r>
      <w:r>
        <w:rPr>
          <w:spacing w:val="-1"/>
        </w:rPr>
        <w:t>this</w:t>
      </w:r>
      <w:r>
        <w:rPr>
          <w:spacing w:val="14"/>
        </w:rPr>
        <w:t xml:space="preserve"> </w:t>
      </w:r>
      <w:r>
        <w:rPr>
          <w:spacing w:val="-2"/>
        </w:rPr>
        <w:t>Call</w:t>
      </w:r>
      <w:r>
        <w:rPr>
          <w:spacing w:val="13"/>
        </w:rPr>
        <w:t xml:space="preserve"> </w:t>
      </w:r>
      <w:r>
        <w:t>Off</w:t>
      </w:r>
      <w:r>
        <w:rPr>
          <w:spacing w:val="17"/>
        </w:rPr>
        <w:t xml:space="preserve"> </w:t>
      </w:r>
      <w:r>
        <w:rPr>
          <w:spacing w:val="-2"/>
        </w:rPr>
        <w:t>Contract</w:t>
      </w:r>
      <w:r>
        <w:rPr>
          <w:spacing w:val="15"/>
        </w:rPr>
        <w:t xml:space="preserve"> </w:t>
      </w:r>
      <w:r>
        <w:rPr>
          <w:spacing w:val="-1"/>
        </w:rPr>
        <w:t>has</w:t>
      </w:r>
      <w:r>
        <w:rPr>
          <w:spacing w:val="16"/>
        </w:rPr>
        <w:t xml:space="preserve"> </w:t>
      </w:r>
      <w:r>
        <w:rPr>
          <w:spacing w:val="-1"/>
        </w:rPr>
        <w:t>committed</w:t>
      </w:r>
      <w:r>
        <w:rPr>
          <w:spacing w:val="14"/>
        </w:rPr>
        <w:t xml:space="preserve"> </w:t>
      </w:r>
      <w:r>
        <w:rPr>
          <w:spacing w:val="-3"/>
        </w:rPr>
        <w:t>or</w:t>
      </w:r>
      <w:r>
        <w:rPr>
          <w:spacing w:val="52"/>
        </w:rPr>
        <w:t xml:space="preserve"> </w:t>
      </w:r>
      <w:r>
        <w:rPr>
          <w:spacing w:val="-1"/>
        </w:rPr>
        <w:t>attempted</w:t>
      </w:r>
      <w:r>
        <w:rPr>
          <w:spacing w:val="-2"/>
        </w:rPr>
        <w:t xml:space="preserve"> </w:t>
      </w:r>
      <w:r>
        <w:t>to</w:t>
      </w:r>
      <w:r>
        <w:rPr>
          <w:spacing w:val="-2"/>
        </w:rPr>
        <w:t xml:space="preserve"> commit</w:t>
      </w:r>
      <w:r>
        <w:rPr>
          <w:spacing w:val="2"/>
        </w:rPr>
        <w:t xml:space="preserve"> </w:t>
      </w:r>
      <w:r>
        <w:t>a</w:t>
      </w:r>
      <w:r>
        <w:rPr>
          <w:spacing w:val="-2"/>
        </w:rPr>
        <w:t xml:space="preserve"> </w:t>
      </w:r>
      <w:r>
        <w:rPr>
          <w:spacing w:val="-1"/>
        </w:rPr>
        <w:t>Prohibited</w:t>
      </w:r>
      <w:r>
        <w:t xml:space="preserve"> </w:t>
      </w:r>
      <w:r>
        <w:rPr>
          <w:spacing w:val="-1"/>
        </w:rPr>
        <w:t>Act.</w:t>
      </w:r>
    </w:p>
    <w:p w:rsidR="008918FA" w:rsidRDefault="008918FA" w:rsidP="008918FA">
      <w:pPr>
        <w:pStyle w:val="BodyText"/>
        <w:numPr>
          <w:ilvl w:val="1"/>
          <w:numId w:val="66"/>
        </w:numPr>
        <w:tabs>
          <w:tab w:val="left" w:pos="894"/>
        </w:tabs>
        <w:spacing w:before="121"/>
        <w:ind w:left="689" w:right="110" w:hanging="360"/>
        <w:jc w:val="both"/>
      </w:pPr>
      <w:r>
        <w:rPr>
          <w:spacing w:val="-1"/>
        </w:rPr>
        <w:t>If</w:t>
      </w:r>
      <w:r>
        <w:rPr>
          <w:spacing w:val="9"/>
        </w:rPr>
        <w:t xml:space="preserve"> </w:t>
      </w:r>
      <w:r>
        <w:t>the</w:t>
      </w:r>
      <w:r>
        <w:rPr>
          <w:spacing w:val="7"/>
        </w:rPr>
        <w:t xml:space="preserve"> </w:t>
      </w:r>
      <w:r>
        <w:rPr>
          <w:spacing w:val="-2"/>
        </w:rPr>
        <w:t>Supplier</w:t>
      </w:r>
      <w:r>
        <w:rPr>
          <w:spacing w:val="9"/>
        </w:rPr>
        <w:t xml:space="preserve"> </w:t>
      </w:r>
      <w:r>
        <w:rPr>
          <w:spacing w:val="-1"/>
        </w:rPr>
        <w:t>makes</w:t>
      </w:r>
      <w:r>
        <w:rPr>
          <w:spacing w:val="8"/>
        </w:rPr>
        <w:t xml:space="preserve"> </w:t>
      </w:r>
      <w:r>
        <w:t>a</w:t>
      </w:r>
      <w:r>
        <w:rPr>
          <w:spacing w:val="5"/>
        </w:rPr>
        <w:t xml:space="preserve"> </w:t>
      </w:r>
      <w:r>
        <w:rPr>
          <w:spacing w:val="-1"/>
        </w:rPr>
        <w:t>notification</w:t>
      </w:r>
      <w:r>
        <w:rPr>
          <w:spacing w:val="7"/>
        </w:rPr>
        <w:t xml:space="preserve"> </w:t>
      </w:r>
      <w:r>
        <w:t>to</w:t>
      </w:r>
      <w:r>
        <w:rPr>
          <w:spacing w:val="5"/>
        </w:rPr>
        <w:t xml:space="preserve"> </w:t>
      </w:r>
      <w:r>
        <w:t>the</w:t>
      </w:r>
      <w:r>
        <w:rPr>
          <w:spacing w:val="7"/>
        </w:rPr>
        <w:t xml:space="preserve"> </w:t>
      </w:r>
      <w:r>
        <w:rPr>
          <w:spacing w:val="-1"/>
        </w:rPr>
        <w:t>Customer</w:t>
      </w:r>
      <w:r>
        <w:rPr>
          <w:spacing w:val="9"/>
        </w:rPr>
        <w:t xml:space="preserve"> </w:t>
      </w:r>
      <w:r>
        <w:rPr>
          <w:spacing w:val="-1"/>
        </w:rPr>
        <w:t>pursuant</w:t>
      </w:r>
      <w:r>
        <w:rPr>
          <w:spacing w:val="7"/>
        </w:rPr>
        <w:t xml:space="preserve"> </w:t>
      </w:r>
      <w:r>
        <w:t>to</w:t>
      </w:r>
      <w:r>
        <w:rPr>
          <w:spacing w:val="7"/>
        </w:rPr>
        <w:t xml:space="preserve"> </w:t>
      </w:r>
      <w:r>
        <w:rPr>
          <w:spacing w:val="-2"/>
        </w:rPr>
        <w:t>Clause</w:t>
      </w:r>
      <w:r>
        <w:rPr>
          <w:spacing w:val="2"/>
        </w:rPr>
        <w:t xml:space="preserve"> </w:t>
      </w:r>
      <w:hyperlink w:anchor="_bookmark265" w:history="1">
        <w:r>
          <w:rPr>
            <w:spacing w:val="-1"/>
          </w:rPr>
          <w:t>50.4</w:t>
        </w:r>
      </w:hyperlink>
      <w:r>
        <w:rPr>
          <w:spacing w:val="-1"/>
        </w:rPr>
        <w:t>,</w:t>
      </w:r>
      <w:r>
        <w:rPr>
          <w:spacing w:val="7"/>
        </w:rPr>
        <w:t xml:space="preserve"> </w:t>
      </w:r>
      <w:r>
        <w:t>the</w:t>
      </w:r>
      <w:r>
        <w:rPr>
          <w:spacing w:val="55"/>
        </w:rPr>
        <w:t xml:space="preserve"> </w:t>
      </w:r>
      <w:r>
        <w:rPr>
          <w:spacing w:val="-2"/>
        </w:rPr>
        <w:t>Supplier</w:t>
      </w:r>
      <w:r>
        <w:rPr>
          <w:spacing w:val="28"/>
        </w:rPr>
        <w:t xml:space="preserve"> </w:t>
      </w:r>
      <w:r>
        <w:rPr>
          <w:spacing w:val="-1"/>
        </w:rPr>
        <w:t>shall</w:t>
      </w:r>
      <w:r>
        <w:rPr>
          <w:spacing w:val="27"/>
        </w:rPr>
        <w:t xml:space="preserve"> </w:t>
      </w:r>
      <w:r>
        <w:rPr>
          <w:spacing w:val="-1"/>
        </w:rPr>
        <w:t>respond</w:t>
      </w:r>
      <w:r>
        <w:rPr>
          <w:spacing w:val="27"/>
        </w:rPr>
        <w:t xml:space="preserve"> </w:t>
      </w:r>
      <w:r>
        <w:rPr>
          <w:spacing w:val="-1"/>
        </w:rPr>
        <w:t>promptly</w:t>
      </w:r>
      <w:r>
        <w:rPr>
          <w:spacing w:val="25"/>
        </w:rPr>
        <w:t xml:space="preserve"> </w:t>
      </w:r>
      <w:r>
        <w:t>to</w:t>
      </w:r>
      <w:r>
        <w:rPr>
          <w:spacing w:val="27"/>
        </w:rPr>
        <w:t xml:space="preserve"> </w:t>
      </w:r>
      <w:r>
        <w:t>the</w:t>
      </w:r>
      <w:r>
        <w:rPr>
          <w:spacing w:val="24"/>
        </w:rPr>
        <w:t xml:space="preserve"> </w:t>
      </w:r>
      <w:r>
        <w:rPr>
          <w:spacing w:val="-1"/>
        </w:rPr>
        <w:t>Customer's</w:t>
      </w:r>
      <w:r>
        <w:rPr>
          <w:spacing w:val="27"/>
        </w:rPr>
        <w:t xml:space="preserve"> </w:t>
      </w:r>
      <w:r>
        <w:rPr>
          <w:spacing w:val="-2"/>
        </w:rPr>
        <w:t>enquiries,</w:t>
      </w:r>
      <w:r>
        <w:rPr>
          <w:spacing w:val="28"/>
        </w:rPr>
        <w:t xml:space="preserve"> </w:t>
      </w:r>
      <w:r>
        <w:rPr>
          <w:spacing w:val="-1"/>
        </w:rPr>
        <w:t>co-operate</w:t>
      </w:r>
      <w:r>
        <w:rPr>
          <w:spacing w:val="24"/>
        </w:rPr>
        <w:t xml:space="preserve"> </w:t>
      </w:r>
      <w:r>
        <w:rPr>
          <w:spacing w:val="-1"/>
        </w:rPr>
        <w:t>with</w:t>
      </w:r>
      <w:r>
        <w:rPr>
          <w:spacing w:val="27"/>
        </w:rPr>
        <w:t xml:space="preserve"> </w:t>
      </w:r>
      <w:r>
        <w:rPr>
          <w:spacing w:val="-1"/>
        </w:rPr>
        <w:t>any</w:t>
      </w:r>
      <w:r>
        <w:rPr>
          <w:spacing w:val="50"/>
        </w:rPr>
        <w:t xml:space="preserve"> </w:t>
      </w:r>
      <w:r>
        <w:rPr>
          <w:spacing w:val="-1"/>
        </w:rPr>
        <w:t>investigation,</w:t>
      </w:r>
      <w:r>
        <w:rPr>
          <w:spacing w:val="9"/>
        </w:rPr>
        <w:t xml:space="preserve"> </w:t>
      </w:r>
      <w:r>
        <w:rPr>
          <w:spacing w:val="-1"/>
        </w:rPr>
        <w:t>and</w:t>
      </w:r>
      <w:r>
        <w:rPr>
          <w:spacing w:val="7"/>
        </w:rPr>
        <w:t xml:space="preserve"> </w:t>
      </w:r>
      <w:r>
        <w:rPr>
          <w:spacing w:val="-2"/>
        </w:rPr>
        <w:t>allow</w:t>
      </w:r>
      <w:r>
        <w:rPr>
          <w:spacing w:val="4"/>
        </w:rPr>
        <w:t xml:space="preserve"> </w:t>
      </w:r>
      <w:r>
        <w:t>the</w:t>
      </w:r>
      <w:r>
        <w:rPr>
          <w:spacing w:val="7"/>
        </w:rPr>
        <w:t xml:space="preserve"> </w:t>
      </w:r>
      <w:r>
        <w:rPr>
          <w:spacing w:val="-1"/>
        </w:rPr>
        <w:t>Customer</w:t>
      </w:r>
      <w:r>
        <w:rPr>
          <w:spacing w:val="9"/>
        </w:rPr>
        <w:t xml:space="preserve"> </w:t>
      </w:r>
      <w:r>
        <w:t>to</w:t>
      </w:r>
      <w:r>
        <w:rPr>
          <w:spacing w:val="7"/>
        </w:rPr>
        <w:t xml:space="preserve"> </w:t>
      </w:r>
      <w:r>
        <w:rPr>
          <w:spacing w:val="-2"/>
        </w:rPr>
        <w:t>audit</w:t>
      </w:r>
      <w:r>
        <w:rPr>
          <w:spacing w:val="9"/>
        </w:rPr>
        <w:t xml:space="preserve"> </w:t>
      </w:r>
      <w:r>
        <w:rPr>
          <w:spacing w:val="-2"/>
        </w:rPr>
        <w:t>any</w:t>
      </w:r>
      <w:r>
        <w:rPr>
          <w:spacing w:val="5"/>
        </w:rPr>
        <w:t xml:space="preserve"> </w:t>
      </w:r>
      <w:r>
        <w:rPr>
          <w:spacing w:val="-1"/>
        </w:rPr>
        <w:t>books,</w:t>
      </w:r>
      <w:r>
        <w:rPr>
          <w:spacing w:val="7"/>
        </w:rPr>
        <w:t xml:space="preserve"> </w:t>
      </w:r>
      <w:r>
        <w:rPr>
          <w:spacing w:val="-1"/>
        </w:rPr>
        <w:t>records</w:t>
      </w:r>
      <w:r>
        <w:rPr>
          <w:spacing w:val="8"/>
        </w:rPr>
        <w:t xml:space="preserve"> </w:t>
      </w:r>
      <w:r>
        <w:rPr>
          <w:spacing w:val="-1"/>
        </w:rPr>
        <w:t>and/or</w:t>
      </w:r>
      <w:r>
        <w:rPr>
          <w:spacing w:val="6"/>
        </w:rPr>
        <w:t xml:space="preserve"> </w:t>
      </w:r>
      <w:r>
        <w:rPr>
          <w:spacing w:val="-1"/>
        </w:rPr>
        <w:t>any</w:t>
      </w:r>
      <w:r>
        <w:rPr>
          <w:spacing w:val="5"/>
        </w:rPr>
        <w:t xml:space="preserve"> </w:t>
      </w:r>
      <w:r>
        <w:rPr>
          <w:spacing w:val="-1"/>
        </w:rPr>
        <w:t>other</w:t>
      </w:r>
      <w:r>
        <w:rPr>
          <w:spacing w:val="50"/>
        </w:rPr>
        <w:t xml:space="preserve"> </w:t>
      </w:r>
      <w:r>
        <w:rPr>
          <w:spacing w:val="-2"/>
        </w:rPr>
        <w:t>relevant</w:t>
      </w:r>
      <w:r>
        <w:rPr>
          <w:spacing w:val="14"/>
        </w:rPr>
        <w:t xml:space="preserve"> </w:t>
      </w:r>
      <w:r>
        <w:rPr>
          <w:spacing w:val="-1"/>
        </w:rPr>
        <w:t>documentation</w:t>
      </w:r>
      <w:r>
        <w:rPr>
          <w:spacing w:val="12"/>
        </w:rPr>
        <w:t xml:space="preserve"> </w:t>
      </w:r>
      <w:r>
        <w:rPr>
          <w:spacing w:val="-1"/>
        </w:rPr>
        <w:t>in</w:t>
      </w:r>
      <w:r>
        <w:rPr>
          <w:spacing w:val="12"/>
        </w:rPr>
        <w:t xml:space="preserve"> </w:t>
      </w:r>
      <w:r>
        <w:rPr>
          <w:spacing w:val="-1"/>
        </w:rPr>
        <w:t>accordance</w:t>
      </w:r>
      <w:r>
        <w:rPr>
          <w:spacing w:val="13"/>
        </w:rPr>
        <w:t xml:space="preserve"> </w:t>
      </w:r>
      <w:r>
        <w:rPr>
          <w:spacing w:val="-2"/>
        </w:rPr>
        <w:t>with</w:t>
      </w:r>
      <w:r>
        <w:rPr>
          <w:spacing w:val="12"/>
        </w:rPr>
        <w:t xml:space="preserve"> </w:t>
      </w:r>
      <w:r>
        <w:rPr>
          <w:spacing w:val="-1"/>
        </w:rPr>
        <w:t>Clause</w:t>
      </w:r>
      <w:r>
        <w:rPr>
          <w:spacing w:val="2"/>
        </w:rPr>
        <w:t xml:space="preserve"> </w:t>
      </w:r>
      <w:hyperlink w:anchor="_bookmark115" w:history="1">
        <w:r>
          <w:rPr>
            <w:spacing w:val="-1"/>
          </w:rPr>
          <w:t>21</w:t>
        </w:r>
      </w:hyperlink>
      <w:r>
        <w:rPr>
          <w:spacing w:val="13"/>
        </w:rPr>
        <w:t xml:space="preserve"> </w:t>
      </w:r>
      <w:r>
        <w:rPr>
          <w:spacing w:val="-1"/>
        </w:rPr>
        <w:t>(Records,</w:t>
      </w:r>
      <w:r>
        <w:rPr>
          <w:spacing w:val="14"/>
        </w:rPr>
        <w:t xml:space="preserve"> </w:t>
      </w:r>
      <w:r>
        <w:rPr>
          <w:spacing w:val="-1"/>
        </w:rPr>
        <w:t>Audit</w:t>
      </w:r>
      <w:r>
        <w:rPr>
          <w:spacing w:val="14"/>
        </w:rPr>
        <w:t xml:space="preserve"> </w:t>
      </w:r>
      <w:r>
        <w:rPr>
          <w:spacing w:val="-1"/>
        </w:rPr>
        <w:t>Access</w:t>
      </w:r>
      <w:r>
        <w:rPr>
          <w:spacing w:val="13"/>
        </w:rPr>
        <w:t xml:space="preserve"> </w:t>
      </w:r>
      <w:r>
        <w:rPr>
          <w:spacing w:val="-1"/>
        </w:rPr>
        <w:t>and</w:t>
      </w:r>
      <w:r>
        <w:rPr>
          <w:spacing w:val="42"/>
        </w:rPr>
        <w:t xml:space="preserve"> </w:t>
      </w:r>
      <w:r>
        <w:rPr>
          <w:spacing w:val="-1"/>
        </w:rPr>
        <w:t>Open</w:t>
      </w:r>
      <w:r>
        <w:t xml:space="preserve"> </w:t>
      </w:r>
      <w:r>
        <w:rPr>
          <w:spacing w:val="-2"/>
        </w:rPr>
        <w:t>Book</w:t>
      </w:r>
      <w:r>
        <w:rPr>
          <w:spacing w:val="1"/>
        </w:rPr>
        <w:t xml:space="preserve"> </w:t>
      </w:r>
      <w:r>
        <w:rPr>
          <w:spacing w:val="-1"/>
        </w:rPr>
        <w:t>Data).</w:t>
      </w:r>
    </w:p>
    <w:p w:rsidR="008918FA" w:rsidRDefault="008918FA" w:rsidP="008918FA">
      <w:pPr>
        <w:pStyle w:val="BodyText"/>
        <w:numPr>
          <w:ilvl w:val="1"/>
          <w:numId w:val="66"/>
        </w:numPr>
        <w:tabs>
          <w:tab w:val="left" w:pos="895"/>
        </w:tabs>
        <w:spacing w:before="121"/>
        <w:ind w:left="894" w:hanging="564"/>
      </w:pPr>
      <w:r>
        <w:rPr>
          <w:spacing w:val="-1"/>
        </w:rPr>
        <w:t>If</w:t>
      </w:r>
      <w:r>
        <w:rPr>
          <w:spacing w:val="2"/>
        </w:rPr>
        <w:t xml:space="preserve"> </w:t>
      </w:r>
      <w:r>
        <w:t>the</w:t>
      </w:r>
      <w:r>
        <w:rPr>
          <w:spacing w:val="-2"/>
        </w:rPr>
        <w:t xml:space="preserve"> Supplier</w:t>
      </w:r>
      <w:r>
        <w:rPr>
          <w:spacing w:val="2"/>
        </w:rPr>
        <w:t xml:space="preserve"> </w:t>
      </w:r>
      <w:r>
        <w:rPr>
          <w:spacing w:val="-1"/>
        </w:rPr>
        <w:t>breaches</w:t>
      </w:r>
      <w:r>
        <w:rPr>
          <w:spacing w:val="-2"/>
        </w:rPr>
        <w:t xml:space="preserve"> Clause</w:t>
      </w:r>
      <w:r>
        <w:rPr>
          <w:spacing w:val="2"/>
        </w:rPr>
        <w:t xml:space="preserve"> </w:t>
      </w:r>
      <w:hyperlink w:anchor="_bookmark263" w:history="1">
        <w:r>
          <w:rPr>
            <w:spacing w:val="-1"/>
          </w:rPr>
          <w:t>50.3</w:t>
        </w:r>
      </w:hyperlink>
      <w:r>
        <w:rPr>
          <w:spacing w:val="-1"/>
        </w:rPr>
        <w:t>,</w:t>
      </w:r>
      <w:r>
        <w:t xml:space="preserve"> the</w:t>
      </w:r>
      <w:r>
        <w:rPr>
          <w:spacing w:val="-2"/>
        </w:rPr>
        <w:t xml:space="preserve"> Customer</w:t>
      </w:r>
      <w:r>
        <w:rPr>
          <w:spacing w:val="-1"/>
        </w:rPr>
        <w:t xml:space="preserve"> may</w:t>
      </w:r>
      <w:r>
        <w:rPr>
          <w:spacing w:val="-2"/>
        </w:rPr>
        <w:t xml:space="preserve"> </w:t>
      </w:r>
      <w:r>
        <w:rPr>
          <w:spacing w:val="-1"/>
        </w:rPr>
        <w:t>by</w:t>
      </w:r>
      <w:r>
        <w:rPr>
          <w:spacing w:val="-2"/>
        </w:rPr>
        <w:t xml:space="preserve"> </w:t>
      </w:r>
      <w:r>
        <w:rPr>
          <w:spacing w:val="-1"/>
        </w:rPr>
        <w:t>notice:</w:t>
      </w:r>
    </w:p>
    <w:p w:rsidR="008918FA" w:rsidRDefault="008918FA" w:rsidP="008918FA">
      <w:pPr>
        <w:sectPr w:rsidR="008918FA">
          <w:pgSz w:w="11910" w:h="16840"/>
          <w:pgMar w:top="1480" w:right="1300" w:bottom="1180" w:left="1680" w:header="0" w:footer="967" w:gutter="0"/>
          <w:cols w:space="720"/>
        </w:sectPr>
      </w:pPr>
    </w:p>
    <w:p w:rsidR="008918FA" w:rsidRDefault="008918FA" w:rsidP="008918FA">
      <w:pPr>
        <w:pStyle w:val="BodyText"/>
        <w:numPr>
          <w:ilvl w:val="2"/>
          <w:numId w:val="66"/>
        </w:numPr>
        <w:tabs>
          <w:tab w:val="left" w:pos="2247"/>
        </w:tabs>
        <w:spacing w:before="59"/>
        <w:ind w:left="2246" w:right="116"/>
        <w:jc w:val="both"/>
      </w:pPr>
      <w:bookmarkStart w:id="320" w:name="54._THIRD_PARTY_RIGHTS"/>
      <w:bookmarkStart w:id="321" w:name="53._ENTIRE_AGREEMENT"/>
      <w:bookmarkEnd w:id="320"/>
      <w:bookmarkEnd w:id="321"/>
      <w:r>
        <w:rPr>
          <w:spacing w:val="-1"/>
        </w:rPr>
        <w:t>require</w:t>
      </w:r>
      <w:r>
        <w:rPr>
          <w:spacing w:val="9"/>
        </w:rPr>
        <w:t xml:space="preserve"> </w:t>
      </w:r>
      <w:r>
        <w:t>the</w:t>
      </w:r>
      <w:r>
        <w:rPr>
          <w:spacing w:val="11"/>
        </w:rPr>
        <w:t xml:space="preserve"> </w:t>
      </w:r>
      <w:r>
        <w:rPr>
          <w:spacing w:val="-2"/>
        </w:rPr>
        <w:t>Supplier</w:t>
      </w:r>
      <w:r>
        <w:rPr>
          <w:spacing w:val="10"/>
        </w:rPr>
        <w:t xml:space="preserve"> </w:t>
      </w:r>
      <w:r>
        <w:t>to</w:t>
      </w:r>
      <w:r>
        <w:rPr>
          <w:spacing w:val="9"/>
        </w:rPr>
        <w:t xml:space="preserve"> </w:t>
      </w:r>
      <w:r>
        <w:rPr>
          <w:spacing w:val="-2"/>
        </w:rPr>
        <w:t>remove</w:t>
      </w:r>
      <w:r>
        <w:rPr>
          <w:spacing w:val="9"/>
        </w:rPr>
        <w:t xml:space="preserve"> </w:t>
      </w:r>
      <w:r>
        <w:t>from</w:t>
      </w:r>
      <w:r>
        <w:rPr>
          <w:spacing w:val="13"/>
        </w:rPr>
        <w:t xml:space="preserve"> </w:t>
      </w:r>
      <w:r>
        <w:rPr>
          <w:spacing w:val="-1"/>
        </w:rPr>
        <w:t>performance</w:t>
      </w:r>
      <w:r>
        <w:rPr>
          <w:spacing w:val="12"/>
        </w:rPr>
        <w:t xml:space="preserve"> </w:t>
      </w:r>
      <w:r>
        <w:rPr>
          <w:spacing w:val="-2"/>
        </w:rPr>
        <w:t>of</w:t>
      </w:r>
      <w:r>
        <w:rPr>
          <w:spacing w:val="13"/>
        </w:rPr>
        <w:t xml:space="preserve"> </w:t>
      </w:r>
      <w:r>
        <w:rPr>
          <w:spacing w:val="-1"/>
        </w:rPr>
        <w:t>this</w:t>
      </w:r>
      <w:r>
        <w:rPr>
          <w:spacing w:val="12"/>
        </w:rPr>
        <w:t xml:space="preserve"> </w:t>
      </w:r>
      <w:r>
        <w:rPr>
          <w:spacing w:val="-2"/>
        </w:rPr>
        <w:t>Call</w:t>
      </w:r>
      <w:r>
        <w:rPr>
          <w:spacing w:val="8"/>
        </w:rPr>
        <w:t xml:space="preserve"> </w:t>
      </w:r>
      <w:r>
        <w:rPr>
          <w:spacing w:val="-1"/>
        </w:rPr>
        <w:t>Off</w:t>
      </w:r>
      <w:r>
        <w:rPr>
          <w:spacing w:val="49"/>
        </w:rPr>
        <w:t xml:space="preserve"> </w:t>
      </w:r>
      <w:r>
        <w:rPr>
          <w:spacing w:val="-1"/>
        </w:rPr>
        <w:t>Contract</w:t>
      </w:r>
      <w:r>
        <w:rPr>
          <w:spacing w:val="34"/>
        </w:rPr>
        <w:t xml:space="preserve"> </w:t>
      </w:r>
      <w:r>
        <w:rPr>
          <w:spacing w:val="-1"/>
        </w:rPr>
        <w:t>any</w:t>
      </w:r>
      <w:r>
        <w:rPr>
          <w:spacing w:val="30"/>
        </w:rPr>
        <w:t xml:space="preserve"> </w:t>
      </w:r>
      <w:r>
        <w:rPr>
          <w:spacing w:val="-2"/>
        </w:rPr>
        <w:t>Supplier</w:t>
      </w:r>
      <w:r>
        <w:rPr>
          <w:spacing w:val="36"/>
        </w:rPr>
        <w:t xml:space="preserve"> </w:t>
      </w:r>
      <w:r>
        <w:rPr>
          <w:spacing w:val="-1"/>
        </w:rPr>
        <w:t>Personnel</w:t>
      </w:r>
      <w:r>
        <w:rPr>
          <w:spacing w:val="32"/>
        </w:rPr>
        <w:t xml:space="preserve"> </w:t>
      </w:r>
      <w:r>
        <w:rPr>
          <w:spacing w:val="-2"/>
        </w:rPr>
        <w:t>whose</w:t>
      </w:r>
      <w:r>
        <w:rPr>
          <w:spacing w:val="33"/>
        </w:rPr>
        <w:t xml:space="preserve"> </w:t>
      </w:r>
      <w:r>
        <w:rPr>
          <w:spacing w:val="-1"/>
        </w:rPr>
        <w:t>acts</w:t>
      </w:r>
      <w:r>
        <w:rPr>
          <w:spacing w:val="33"/>
        </w:rPr>
        <w:t xml:space="preserve"> </w:t>
      </w:r>
      <w:r>
        <w:rPr>
          <w:spacing w:val="-1"/>
        </w:rPr>
        <w:t>or</w:t>
      </w:r>
      <w:r>
        <w:rPr>
          <w:spacing w:val="35"/>
        </w:rPr>
        <w:t xml:space="preserve"> </w:t>
      </w:r>
      <w:r>
        <w:rPr>
          <w:spacing w:val="-1"/>
        </w:rPr>
        <w:t>omissions</w:t>
      </w:r>
      <w:r>
        <w:rPr>
          <w:spacing w:val="33"/>
        </w:rPr>
        <w:t xml:space="preserve"> </w:t>
      </w:r>
      <w:r>
        <w:rPr>
          <w:spacing w:val="-2"/>
        </w:rPr>
        <w:t>have</w:t>
      </w:r>
      <w:r>
        <w:rPr>
          <w:spacing w:val="47"/>
        </w:rPr>
        <w:t xml:space="preserve"> </w:t>
      </w:r>
      <w:r>
        <w:rPr>
          <w:spacing w:val="-1"/>
        </w:rPr>
        <w:t>caused</w:t>
      </w:r>
      <w:r>
        <w:t xml:space="preserve"> the</w:t>
      </w:r>
      <w:r>
        <w:rPr>
          <w:spacing w:val="-2"/>
        </w:rPr>
        <w:t xml:space="preserve"> Supplier’s</w:t>
      </w:r>
      <w:r>
        <w:rPr>
          <w:spacing w:val="1"/>
        </w:rPr>
        <w:t xml:space="preserve"> </w:t>
      </w:r>
      <w:r>
        <w:rPr>
          <w:spacing w:val="-1"/>
        </w:rPr>
        <w:t>breach;</w:t>
      </w:r>
      <w:r>
        <w:rPr>
          <w:spacing w:val="2"/>
        </w:rPr>
        <w:t xml:space="preserve"> </w:t>
      </w:r>
      <w:r>
        <w:rPr>
          <w:spacing w:val="-2"/>
        </w:rPr>
        <w:t>or</w:t>
      </w:r>
    </w:p>
    <w:p w:rsidR="008918FA" w:rsidRDefault="008918FA" w:rsidP="008918FA">
      <w:pPr>
        <w:pStyle w:val="BodyText"/>
        <w:numPr>
          <w:ilvl w:val="2"/>
          <w:numId w:val="66"/>
        </w:numPr>
        <w:tabs>
          <w:tab w:val="left" w:pos="2247"/>
        </w:tabs>
        <w:ind w:left="2246"/>
      </w:pPr>
      <w:bookmarkStart w:id="322" w:name="_bookmark266"/>
      <w:bookmarkEnd w:id="322"/>
      <w:r>
        <w:rPr>
          <w:spacing w:val="-1"/>
        </w:rPr>
        <w:t>immediately</w:t>
      </w:r>
      <w:r>
        <w:rPr>
          <w:spacing w:val="-2"/>
        </w:rPr>
        <w:t xml:space="preserve"> </w:t>
      </w:r>
      <w:r>
        <w:rPr>
          <w:spacing w:val="-1"/>
        </w:rPr>
        <w:t>terminate</w:t>
      </w:r>
      <w:r>
        <w:rPr>
          <w:spacing w:val="-2"/>
        </w:rP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 xml:space="preserve">Contract </w:t>
      </w:r>
      <w:r>
        <w:t xml:space="preserve">for </w:t>
      </w:r>
      <w:r>
        <w:rPr>
          <w:spacing w:val="-1"/>
        </w:rPr>
        <w:t>material</w:t>
      </w:r>
      <w:r>
        <w:t xml:space="preserve"> </w:t>
      </w:r>
      <w:r>
        <w:rPr>
          <w:spacing w:val="-1"/>
        </w:rPr>
        <w:t>Default.</w:t>
      </w:r>
    </w:p>
    <w:p w:rsidR="008918FA" w:rsidRDefault="008918FA" w:rsidP="008918FA">
      <w:pPr>
        <w:pStyle w:val="BodyText"/>
        <w:numPr>
          <w:ilvl w:val="1"/>
          <w:numId w:val="66"/>
        </w:numPr>
        <w:tabs>
          <w:tab w:val="left" w:pos="1253"/>
        </w:tabs>
        <w:spacing w:before="121"/>
        <w:ind w:left="1048" w:right="114" w:hanging="360"/>
        <w:jc w:val="both"/>
      </w:pPr>
      <w:r>
        <w:rPr>
          <w:spacing w:val="-1"/>
        </w:rPr>
        <w:t>Any</w:t>
      </w:r>
      <w:r>
        <w:rPr>
          <w:spacing w:val="3"/>
        </w:rPr>
        <w:t xml:space="preserve"> </w:t>
      </w:r>
      <w:r>
        <w:rPr>
          <w:spacing w:val="-1"/>
        </w:rPr>
        <w:t>notice</w:t>
      </w:r>
      <w:r>
        <w:rPr>
          <w:spacing w:val="5"/>
        </w:rPr>
        <w:t xml:space="preserve"> </w:t>
      </w:r>
      <w:r>
        <w:rPr>
          <w:spacing w:val="-1"/>
        </w:rPr>
        <w:t>served</w:t>
      </w:r>
      <w:r>
        <w:rPr>
          <w:spacing w:val="5"/>
        </w:rPr>
        <w:t xml:space="preserve"> </w:t>
      </w:r>
      <w:r>
        <w:rPr>
          <w:spacing w:val="1"/>
        </w:rPr>
        <w:t>by</w:t>
      </w:r>
      <w:r>
        <w:rPr>
          <w:spacing w:val="3"/>
        </w:rPr>
        <w:t xml:space="preserve"> </w:t>
      </w:r>
      <w:r>
        <w:t>the</w:t>
      </w:r>
      <w:r>
        <w:rPr>
          <w:spacing w:val="7"/>
        </w:rPr>
        <w:t xml:space="preserve"> </w:t>
      </w:r>
      <w:r>
        <w:rPr>
          <w:spacing w:val="-1"/>
        </w:rPr>
        <w:t>Customer</w:t>
      </w:r>
      <w:r>
        <w:rPr>
          <w:spacing w:val="6"/>
        </w:rPr>
        <w:t xml:space="preserve"> </w:t>
      </w:r>
      <w:r>
        <w:rPr>
          <w:spacing w:val="-2"/>
        </w:rPr>
        <w:t>under</w:t>
      </w:r>
      <w:r>
        <w:rPr>
          <w:spacing w:val="6"/>
        </w:rPr>
        <w:t xml:space="preserve"> </w:t>
      </w:r>
      <w:r>
        <w:rPr>
          <w:spacing w:val="-2"/>
        </w:rPr>
        <w:t>Clause</w:t>
      </w:r>
      <w:r>
        <w:rPr>
          <w:spacing w:val="3"/>
        </w:rPr>
        <w:t xml:space="preserve"> </w:t>
      </w:r>
      <w:hyperlink w:anchor="_bookmark265" w:history="1">
        <w:r>
          <w:rPr>
            <w:spacing w:val="-1"/>
          </w:rPr>
          <w:t>50.4</w:t>
        </w:r>
      </w:hyperlink>
      <w:r>
        <w:rPr>
          <w:spacing w:val="5"/>
        </w:rPr>
        <w:t xml:space="preserve"> </w:t>
      </w:r>
      <w:r>
        <w:rPr>
          <w:spacing w:val="-1"/>
        </w:rPr>
        <w:t>shall</w:t>
      </w:r>
      <w:r>
        <w:rPr>
          <w:spacing w:val="4"/>
        </w:rPr>
        <w:t xml:space="preserve"> </w:t>
      </w:r>
      <w:r>
        <w:rPr>
          <w:spacing w:val="-1"/>
        </w:rPr>
        <w:t>specify</w:t>
      </w:r>
      <w:r>
        <w:rPr>
          <w:spacing w:val="3"/>
        </w:rPr>
        <w:t xml:space="preserve"> </w:t>
      </w:r>
      <w:r>
        <w:t>the</w:t>
      </w:r>
      <w:r>
        <w:rPr>
          <w:spacing w:val="5"/>
        </w:rPr>
        <w:t xml:space="preserve"> </w:t>
      </w:r>
      <w:r>
        <w:rPr>
          <w:spacing w:val="-1"/>
        </w:rPr>
        <w:t>nature</w:t>
      </w:r>
      <w:r>
        <w:rPr>
          <w:spacing w:val="3"/>
        </w:rPr>
        <w:t xml:space="preserve"> </w:t>
      </w:r>
      <w:r>
        <w:rPr>
          <w:spacing w:val="-2"/>
        </w:rPr>
        <w:t>of</w:t>
      </w:r>
      <w:r>
        <w:rPr>
          <w:spacing w:val="57"/>
        </w:rPr>
        <w:t xml:space="preserve"> </w:t>
      </w:r>
      <w:r>
        <w:t>the</w:t>
      </w:r>
      <w:r>
        <w:rPr>
          <w:spacing w:val="11"/>
        </w:rPr>
        <w:t xml:space="preserve"> </w:t>
      </w:r>
      <w:r>
        <w:rPr>
          <w:spacing w:val="-1"/>
        </w:rPr>
        <w:t>Prohibited</w:t>
      </w:r>
      <w:r>
        <w:rPr>
          <w:spacing w:val="11"/>
        </w:rPr>
        <w:t xml:space="preserve"> </w:t>
      </w:r>
      <w:r>
        <w:rPr>
          <w:spacing w:val="-1"/>
        </w:rPr>
        <w:t>Act,</w:t>
      </w:r>
      <w:r>
        <w:rPr>
          <w:spacing w:val="13"/>
        </w:rPr>
        <w:t xml:space="preserve"> </w:t>
      </w:r>
      <w:r>
        <w:t>the</w:t>
      </w:r>
      <w:r>
        <w:rPr>
          <w:spacing w:val="9"/>
        </w:rPr>
        <w:t xml:space="preserve"> </w:t>
      </w:r>
      <w:r>
        <w:rPr>
          <w:spacing w:val="-1"/>
        </w:rPr>
        <w:t>identity</w:t>
      </w:r>
      <w:r>
        <w:rPr>
          <w:spacing w:val="9"/>
        </w:rPr>
        <w:t xml:space="preserve"> </w:t>
      </w:r>
      <w:r>
        <w:rPr>
          <w:spacing w:val="-1"/>
        </w:rPr>
        <w:t>of</w:t>
      </w:r>
      <w:r>
        <w:rPr>
          <w:spacing w:val="15"/>
        </w:rPr>
        <w:t xml:space="preserve"> </w:t>
      </w:r>
      <w:r>
        <w:t>the</w:t>
      </w:r>
      <w:r>
        <w:rPr>
          <w:spacing w:val="11"/>
        </w:rPr>
        <w:t xml:space="preserve"> </w:t>
      </w:r>
      <w:r>
        <w:rPr>
          <w:spacing w:val="-1"/>
        </w:rPr>
        <w:t>Party</w:t>
      </w:r>
      <w:r>
        <w:rPr>
          <w:spacing w:val="9"/>
        </w:rPr>
        <w:t xml:space="preserve"> </w:t>
      </w:r>
      <w:r>
        <w:rPr>
          <w:spacing w:val="-2"/>
        </w:rPr>
        <w:t>who</w:t>
      </w:r>
      <w:r>
        <w:rPr>
          <w:spacing w:val="11"/>
        </w:rPr>
        <w:t xml:space="preserve"> </w:t>
      </w:r>
      <w:r>
        <w:t>the</w:t>
      </w:r>
      <w:r>
        <w:rPr>
          <w:spacing w:val="11"/>
        </w:rPr>
        <w:t xml:space="preserve"> </w:t>
      </w:r>
      <w:r>
        <w:rPr>
          <w:spacing w:val="-1"/>
        </w:rPr>
        <w:t>Customer</w:t>
      </w:r>
      <w:r>
        <w:rPr>
          <w:spacing w:val="13"/>
        </w:rPr>
        <w:t xml:space="preserve"> </w:t>
      </w:r>
      <w:r>
        <w:rPr>
          <w:spacing w:val="-2"/>
        </w:rPr>
        <w:t>believes</w:t>
      </w:r>
      <w:r>
        <w:rPr>
          <w:spacing w:val="12"/>
        </w:rPr>
        <w:t xml:space="preserve"> </w:t>
      </w:r>
      <w:r>
        <w:rPr>
          <w:spacing w:val="-1"/>
        </w:rPr>
        <w:t>has</w:t>
      </w:r>
      <w:r>
        <w:rPr>
          <w:spacing w:val="36"/>
        </w:rPr>
        <w:t xml:space="preserve"> </w:t>
      </w:r>
      <w:r>
        <w:rPr>
          <w:spacing w:val="-1"/>
        </w:rPr>
        <w:t>committed</w:t>
      </w:r>
      <w:r>
        <w:rPr>
          <w:spacing w:val="10"/>
        </w:rPr>
        <w:t xml:space="preserve"> </w:t>
      </w:r>
      <w:r>
        <w:t>the</w:t>
      </w:r>
      <w:r>
        <w:rPr>
          <w:spacing w:val="10"/>
        </w:rPr>
        <w:t xml:space="preserve"> </w:t>
      </w:r>
      <w:r>
        <w:rPr>
          <w:spacing w:val="-2"/>
        </w:rPr>
        <w:t>Prohibited</w:t>
      </w:r>
      <w:r>
        <w:rPr>
          <w:spacing w:val="10"/>
        </w:rPr>
        <w:t xml:space="preserve"> </w:t>
      </w:r>
      <w:r>
        <w:rPr>
          <w:spacing w:val="-1"/>
        </w:rPr>
        <w:t>Act</w:t>
      </w:r>
      <w:r>
        <w:rPr>
          <w:spacing w:val="12"/>
        </w:rPr>
        <w:t xml:space="preserve"> </w:t>
      </w:r>
      <w:r>
        <w:rPr>
          <w:spacing w:val="-1"/>
        </w:rPr>
        <w:t>and</w:t>
      </w:r>
      <w:r>
        <w:rPr>
          <w:spacing w:val="10"/>
        </w:rPr>
        <w:t xml:space="preserve"> </w:t>
      </w:r>
      <w:r>
        <w:t>the</w:t>
      </w:r>
      <w:r>
        <w:rPr>
          <w:spacing w:val="10"/>
        </w:rPr>
        <w:t xml:space="preserve"> </w:t>
      </w:r>
      <w:r>
        <w:rPr>
          <w:spacing w:val="-1"/>
        </w:rPr>
        <w:t>action</w:t>
      </w:r>
      <w:r>
        <w:rPr>
          <w:spacing w:val="10"/>
        </w:rPr>
        <w:t xml:space="preserve"> </w:t>
      </w:r>
      <w:r>
        <w:rPr>
          <w:spacing w:val="-1"/>
        </w:rPr>
        <w:t>that</w:t>
      </w:r>
      <w:r>
        <w:rPr>
          <w:spacing w:val="9"/>
        </w:rPr>
        <w:t xml:space="preserve"> </w:t>
      </w:r>
      <w:r>
        <w:t>the</w:t>
      </w:r>
      <w:r>
        <w:rPr>
          <w:spacing w:val="10"/>
        </w:rPr>
        <w:t xml:space="preserve"> </w:t>
      </w:r>
      <w:r>
        <w:rPr>
          <w:spacing w:val="-1"/>
        </w:rPr>
        <w:t>Customer</w:t>
      </w:r>
      <w:r>
        <w:rPr>
          <w:spacing w:val="11"/>
        </w:rPr>
        <w:t xml:space="preserve"> </w:t>
      </w:r>
      <w:r>
        <w:rPr>
          <w:spacing w:val="-1"/>
        </w:rPr>
        <w:t>has</w:t>
      </w:r>
      <w:r>
        <w:rPr>
          <w:spacing w:val="10"/>
        </w:rPr>
        <w:t xml:space="preserve"> </w:t>
      </w:r>
      <w:r>
        <w:rPr>
          <w:spacing w:val="-1"/>
        </w:rPr>
        <w:t>elected</w:t>
      </w:r>
      <w:r>
        <w:rPr>
          <w:spacing w:val="10"/>
        </w:rPr>
        <w:t xml:space="preserve"> </w:t>
      </w:r>
      <w:r>
        <w:t>to</w:t>
      </w:r>
      <w:r>
        <w:rPr>
          <w:spacing w:val="10"/>
        </w:rPr>
        <w:t xml:space="preserve"> </w:t>
      </w:r>
      <w:r>
        <w:rPr>
          <w:spacing w:val="-1"/>
        </w:rPr>
        <w:t>take</w:t>
      </w:r>
      <w:r>
        <w:rPr>
          <w:spacing w:val="48"/>
        </w:rPr>
        <w:t xml:space="preserve"> </w:t>
      </w:r>
      <w:r>
        <w:rPr>
          <w:spacing w:val="-1"/>
        </w:rPr>
        <w:t>(including,</w:t>
      </w:r>
      <w:r>
        <w:t xml:space="preserve"> </w:t>
      </w:r>
      <w:r>
        <w:rPr>
          <w:spacing w:val="-2"/>
        </w:rPr>
        <w:t>where</w:t>
      </w:r>
      <w:r>
        <w:t xml:space="preserve"> </w:t>
      </w:r>
      <w:r>
        <w:rPr>
          <w:spacing w:val="-1"/>
        </w:rPr>
        <w:t>relevant,</w:t>
      </w:r>
      <w:r>
        <w:t xml:space="preserve"> the</w:t>
      </w:r>
      <w:r>
        <w:rPr>
          <w:spacing w:val="-2"/>
        </w:rPr>
        <w:t xml:space="preserve"> </w:t>
      </w:r>
      <w:r>
        <w:rPr>
          <w:spacing w:val="-1"/>
        </w:rPr>
        <w:t>date</w:t>
      </w:r>
      <w:r>
        <w:rPr>
          <w:spacing w:val="-2"/>
        </w:rPr>
        <w:t xml:space="preserve"> </w:t>
      </w:r>
      <w:r>
        <w:rPr>
          <w:spacing w:val="-1"/>
        </w:rPr>
        <w:t>on</w:t>
      </w:r>
      <w:r>
        <w:t xml:space="preserve"> </w:t>
      </w:r>
      <w:r>
        <w:rPr>
          <w:spacing w:val="-2"/>
        </w:rPr>
        <w:t>which</w:t>
      </w:r>
      <w:r>
        <w:rPr>
          <w:spacing w:val="1"/>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r>
        <w:t xml:space="preserve"> </w:t>
      </w:r>
      <w:r>
        <w:rPr>
          <w:spacing w:val="-1"/>
        </w:rPr>
        <w:t>shall</w:t>
      </w:r>
      <w:r>
        <w:t xml:space="preserve"> </w:t>
      </w:r>
      <w:r>
        <w:rPr>
          <w:spacing w:val="-1"/>
        </w:rPr>
        <w:t>terminate).</w:t>
      </w:r>
    </w:p>
    <w:p w:rsidR="008918FA" w:rsidRDefault="008918FA" w:rsidP="008918FA">
      <w:pPr>
        <w:pStyle w:val="BodyText"/>
        <w:numPr>
          <w:ilvl w:val="0"/>
          <w:numId w:val="66"/>
        </w:numPr>
        <w:tabs>
          <w:tab w:val="left" w:pos="687"/>
        </w:tabs>
        <w:spacing w:before="117"/>
        <w:ind w:hanging="566"/>
        <w:rPr>
          <w:rFonts w:ascii="Times New Roman" w:eastAsia="Times New Roman" w:hAnsi="Times New Roman" w:cs="Times New Roman"/>
        </w:rPr>
      </w:pPr>
      <w:bookmarkStart w:id="323" w:name="_bookmark267"/>
      <w:bookmarkEnd w:id="323"/>
      <w:r>
        <w:rPr>
          <w:rFonts w:ascii="Times New Roman"/>
          <w:spacing w:val="5"/>
        </w:rPr>
        <w:t>SEVERANCE</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3"/>
        </w:tabs>
        <w:spacing w:before="0"/>
        <w:ind w:left="1048" w:right="113" w:hanging="360"/>
        <w:jc w:val="both"/>
      </w:pPr>
      <w:bookmarkStart w:id="324" w:name="_bookmark268"/>
      <w:bookmarkEnd w:id="324"/>
      <w:r>
        <w:rPr>
          <w:spacing w:val="-1"/>
        </w:rPr>
        <w:t>If</w:t>
      </w:r>
      <w:r>
        <w:rPr>
          <w:spacing w:val="28"/>
        </w:rPr>
        <w:t xml:space="preserve"> </w:t>
      </w:r>
      <w:r>
        <w:rPr>
          <w:spacing w:val="-1"/>
        </w:rPr>
        <w:t>any</w:t>
      </w:r>
      <w:r>
        <w:rPr>
          <w:spacing w:val="22"/>
        </w:rPr>
        <w:t xml:space="preserve"> </w:t>
      </w:r>
      <w:r>
        <w:rPr>
          <w:spacing w:val="-2"/>
        </w:rPr>
        <w:t>provisi</w:t>
      </w:r>
      <w:bookmarkStart w:id="325" w:name="51._SEVERANCE"/>
      <w:bookmarkEnd w:id="325"/>
      <w:r>
        <w:rPr>
          <w:spacing w:val="-2"/>
        </w:rPr>
        <w:t>on</w:t>
      </w:r>
      <w:r>
        <w:rPr>
          <w:spacing w:val="24"/>
        </w:rPr>
        <w:t xml:space="preserve"> </w:t>
      </w:r>
      <w:r>
        <w:rPr>
          <w:spacing w:val="-1"/>
        </w:rPr>
        <w:t>of</w:t>
      </w:r>
      <w:r>
        <w:rPr>
          <w:spacing w:val="28"/>
        </w:rPr>
        <w:t xml:space="preserve"> </w:t>
      </w:r>
      <w:r>
        <w:rPr>
          <w:spacing w:val="-1"/>
        </w:rPr>
        <w:t>this</w:t>
      </w:r>
      <w:r>
        <w:rPr>
          <w:spacing w:val="22"/>
        </w:rPr>
        <w:t xml:space="preserve"> </w:t>
      </w:r>
      <w:r>
        <w:rPr>
          <w:spacing w:val="-2"/>
        </w:rPr>
        <w:t>Call</w:t>
      </w:r>
      <w:r>
        <w:rPr>
          <w:spacing w:val="24"/>
        </w:rPr>
        <w:t xml:space="preserve"> </w:t>
      </w:r>
      <w:r>
        <w:t>Off</w:t>
      </w:r>
      <w:r>
        <w:rPr>
          <w:spacing w:val="26"/>
        </w:rPr>
        <w:t xml:space="preserve"> </w:t>
      </w:r>
      <w:r>
        <w:rPr>
          <w:spacing w:val="-1"/>
        </w:rPr>
        <w:t>Contract</w:t>
      </w:r>
      <w:r>
        <w:rPr>
          <w:spacing w:val="26"/>
        </w:rPr>
        <w:t xml:space="preserve"> </w:t>
      </w:r>
      <w:r>
        <w:rPr>
          <w:spacing w:val="-1"/>
        </w:rPr>
        <w:t>(or</w:t>
      </w:r>
      <w:r>
        <w:rPr>
          <w:spacing w:val="26"/>
        </w:rPr>
        <w:t xml:space="preserve"> </w:t>
      </w:r>
      <w:r>
        <w:rPr>
          <w:spacing w:val="-1"/>
        </w:rPr>
        <w:t>part</w:t>
      </w:r>
      <w:r>
        <w:rPr>
          <w:spacing w:val="26"/>
        </w:rPr>
        <w:t xml:space="preserve"> </w:t>
      </w:r>
      <w:r>
        <w:rPr>
          <w:spacing w:val="-2"/>
        </w:rPr>
        <w:t>of</w:t>
      </w:r>
      <w:r>
        <w:rPr>
          <w:spacing w:val="28"/>
        </w:rPr>
        <w:t xml:space="preserve"> </w:t>
      </w:r>
      <w:r>
        <w:rPr>
          <w:spacing w:val="-1"/>
        </w:rPr>
        <w:t>any</w:t>
      </w:r>
      <w:r>
        <w:rPr>
          <w:spacing w:val="22"/>
        </w:rPr>
        <w:t xml:space="preserve"> </w:t>
      </w:r>
      <w:r>
        <w:rPr>
          <w:spacing w:val="-2"/>
        </w:rPr>
        <w:t>provision)</w:t>
      </w:r>
      <w:r>
        <w:rPr>
          <w:spacing w:val="27"/>
        </w:rPr>
        <w:t xml:space="preserve"> </w:t>
      </w:r>
      <w:r>
        <w:rPr>
          <w:spacing w:val="-1"/>
        </w:rPr>
        <w:t>is</w:t>
      </w:r>
      <w:r>
        <w:rPr>
          <w:spacing w:val="25"/>
        </w:rPr>
        <w:t xml:space="preserve"> </w:t>
      </w:r>
      <w:r>
        <w:rPr>
          <w:spacing w:val="-1"/>
        </w:rPr>
        <w:t>held</w:t>
      </w:r>
      <w:r>
        <w:rPr>
          <w:spacing w:val="24"/>
        </w:rPr>
        <w:t xml:space="preserve"> </w:t>
      </w:r>
      <w:r>
        <w:t>to</w:t>
      </w:r>
      <w:r>
        <w:rPr>
          <w:spacing w:val="25"/>
        </w:rPr>
        <w:t xml:space="preserve"> </w:t>
      </w:r>
      <w:r>
        <w:rPr>
          <w:spacing w:val="-1"/>
        </w:rPr>
        <w:t>be</w:t>
      </w:r>
      <w:r>
        <w:rPr>
          <w:spacing w:val="70"/>
        </w:rPr>
        <w:t xml:space="preserve"> </w:t>
      </w:r>
      <w:r>
        <w:rPr>
          <w:spacing w:val="-2"/>
        </w:rPr>
        <w:t>void</w:t>
      </w:r>
      <w:r>
        <w:rPr>
          <w:spacing w:val="11"/>
        </w:rPr>
        <w:t xml:space="preserve"> </w:t>
      </w:r>
      <w:r>
        <w:rPr>
          <w:spacing w:val="-1"/>
        </w:rPr>
        <w:t>or</w:t>
      </w:r>
      <w:r>
        <w:rPr>
          <w:spacing w:val="13"/>
        </w:rPr>
        <w:t xml:space="preserve"> </w:t>
      </w:r>
      <w:r>
        <w:rPr>
          <w:spacing w:val="-1"/>
        </w:rPr>
        <w:t>otherwise</w:t>
      </w:r>
      <w:r>
        <w:rPr>
          <w:spacing w:val="12"/>
        </w:rPr>
        <w:t xml:space="preserve"> </w:t>
      </w:r>
      <w:r>
        <w:rPr>
          <w:spacing w:val="-1"/>
        </w:rPr>
        <w:t>unenforceable</w:t>
      </w:r>
      <w:r>
        <w:rPr>
          <w:spacing w:val="11"/>
        </w:rPr>
        <w:t xml:space="preserve"> </w:t>
      </w:r>
      <w:r>
        <w:rPr>
          <w:spacing w:val="-1"/>
        </w:rPr>
        <w:t>by</w:t>
      </w:r>
      <w:r>
        <w:rPr>
          <w:spacing w:val="9"/>
        </w:rPr>
        <w:t xml:space="preserve"> </w:t>
      </w:r>
      <w:r>
        <w:rPr>
          <w:spacing w:val="-1"/>
        </w:rPr>
        <w:t>any</w:t>
      </w:r>
      <w:r>
        <w:rPr>
          <w:spacing w:val="9"/>
        </w:rPr>
        <w:t xml:space="preserve"> </w:t>
      </w:r>
      <w:r>
        <w:rPr>
          <w:spacing w:val="-1"/>
        </w:rPr>
        <w:t>court</w:t>
      </w:r>
      <w:r>
        <w:rPr>
          <w:spacing w:val="10"/>
        </w:rPr>
        <w:t xml:space="preserve"> </w:t>
      </w:r>
      <w:r>
        <w:rPr>
          <w:spacing w:val="-2"/>
        </w:rPr>
        <w:t>of</w:t>
      </w:r>
      <w:r>
        <w:rPr>
          <w:spacing w:val="15"/>
        </w:rPr>
        <w:t xml:space="preserve"> </w:t>
      </w:r>
      <w:r>
        <w:rPr>
          <w:spacing w:val="-1"/>
        </w:rPr>
        <w:t>competent</w:t>
      </w:r>
      <w:r>
        <w:rPr>
          <w:spacing w:val="10"/>
        </w:rPr>
        <w:t xml:space="preserve"> </w:t>
      </w:r>
      <w:r>
        <w:rPr>
          <w:spacing w:val="-1"/>
        </w:rPr>
        <w:t>jurisdiction,</w:t>
      </w:r>
      <w:r>
        <w:rPr>
          <w:spacing w:val="13"/>
        </w:rPr>
        <w:t xml:space="preserve"> </w:t>
      </w:r>
      <w:r>
        <w:rPr>
          <w:spacing w:val="-1"/>
        </w:rPr>
        <w:t>such</w:t>
      </w:r>
      <w:r>
        <w:rPr>
          <w:spacing w:val="24"/>
        </w:rPr>
        <w:t xml:space="preserve"> </w:t>
      </w:r>
      <w:r>
        <w:rPr>
          <w:spacing w:val="-2"/>
        </w:rPr>
        <w:t>provision</w:t>
      </w:r>
      <w:r>
        <w:rPr>
          <w:spacing w:val="60"/>
        </w:rPr>
        <w:t xml:space="preserve"> </w:t>
      </w:r>
      <w:r>
        <w:rPr>
          <w:spacing w:val="-1"/>
        </w:rPr>
        <w:t>(or</w:t>
      </w:r>
      <w:r>
        <w:t xml:space="preserve"> </w:t>
      </w:r>
      <w:r>
        <w:rPr>
          <w:spacing w:val="-1"/>
        </w:rPr>
        <w:t>part)</w:t>
      </w:r>
      <w:r>
        <w:t xml:space="preserve"> </w:t>
      </w:r>
      <w:r>
        <w:rPr>
          <w:spacing w:val="-1"/>
        </w:rPr>
        <w:t>shall</w:t>
      </w:r>
      <w:r>
        <w:rPr>
          <w:spacing w:val="59"/>
        </w:rPr>
        <w:t xml:space="preserve"> </w:t>
      </w:r>
      <w:r>
        <w:t>to</w:t>
      </w:r>
      <w:r>
        <w:rPr>
          <w:spacing w:val="60"/>
        </w:rPr>
        <w:t xml:space="preserve"> </w:t>
      </w:r>
      <w:r>
        <w:t>the</w:t>
      </w:r>
      <w:r>
        <w:rPr>
          <w:spacing w:val="60"/>
        </w:rPr>
        <w:t xml:space="preserve"> </w:t>
      </w:r>
      <w:r>
        <w:rPr>
          <w:spacing w:val="-1"/>
        </w:rPr>
        <w:t>extent</w:t>
      </w:r>
      <w:r>
        <w:rPr>
          <w:spacing w:val="1"/>
        </w:rPr>
        <w:t xml:space="preserve"> </w:t>
      </w:r>
      <w:r>
        <w:rPr>
          <w:spacing w:val="-1"/>
        </w:rPr>
        <w:t>necessary</w:t>
      </w:r>
      <w:r>
        <w:rPr>
          <w:spacing w:val="58"/>
        </w:rPr>
        <w:t xml:space="preserve"> </w:t>
      </w:r>
      <w:r>
        <w:t>to</w:t>
      </w:r>
      <w:r>
        <w:rPr>
          <w:spacing w:val="60"/>
        </w:rPr>
        <w:t xml:space="preserve"> </w:t>
      </w:r>
      <w:r>
        <w:rPr>
          <w:spacing w:val="-1"/>
        </w:rPr>
        <w:t>ensure</w:t>
      </w:r>
      <w:r>
        <w:rPr>
          <w:spacing w:val="61"/>
        </w:rPr>
        <w:t xml:space="preserve"> </w:t>
      </w:r>
      <w:r>
        <w:rPr>
          <w:spacing w:val="-1"/>
        </w:rPr>
        <w:t>that</w:t>
      </w:r>
      <w:r>
        <w:rPr>
          <w:spacing w:val="1"/>
        </w:rPr>
        <w:t xml:space="preserve"> </w:t>
      </w:r>
      <w:r>
        <w:t>the</w:t>
      </w:r>
      <w:r>
        <w:rPr>
          <w:spacing w:val="60"/>
        </w:rPr>
        <w:t xml:space="preserve"> </w:t>
      </w:r>
      <w:r>
        <w:rPr>
          <w:spacing w:val="-2"/>
        </w:rPr>
        <w:t>remaining</w:t>
      </w:r>
      <w:r>
        <w:rPr>
          <w:spacing w:val="70"/>
        </w:rPr>
        <w:t xml:space="preserve"> </w:t>
      </w:r>
      <w:r>
        <w:rPr>
          <w:spacing w:val="-2"/>
        </w:rPr>
        <w:t>provisions</w:t>
      </w:r>
      <w:r>
        <w:rPr>
          <w:spacing w:val="10"/>
        </w:rPr>
        <w:t xml:space="preserve"> </w:t>
      </w:r>
      <w:r>
        <w:rPr>
          <w:spacing w:val="-1"/>
        </w:rPr>
        <w:t>of</w:t>
      </w:r>
      <w:r>
        <w:rPr>
          <w:spacing w:val="14"/>
        </w:rPr>
        <w:t xml:space="preserve"> </w:t>
      </w:r>
      <w:r>
        <w:rPr>
          <w:spacing w:val="-1"/>
        </w:rPr>
        <w:t>this</w:t>
      </w:r>
      <w:r>
        <w:rPr>
          <w:spacing w:val="10"/>
        </w:rPr>
        <w:t xml:space="preserve"> </w:t>
      </w:r>
      <w:r>
        <w:rPr>
          <w:spacing w:val="-2"/>
        </w:rPr>
        <w:t>Call</w:t>
      </w:r>
      <w:r>
        <w:rPr>
          <w:spacing w:val="9"/>
        </w:rPr>
        <w:t xml:space="preserve"> </w:t>
      </w:r>
      <w:r>
        <w:t>Off</w:t>
      </w:r>
      <w:r>
        <w:rPr>
          <w:spacing w:val="14"/>
        </w:rPr>
        <w:t xml:space="preserve"> </w:t>
      </w:r>
      <w:r>
        <w:rPr>
          <w:spacing w:val="-2"/>
        </w:rPr>
        <w:t>Contract</w:t>
      </w:r>
      <w:r>
        <w:rPr>
          <w:spacing w:val="13"/>
        </w:rPr>
        <w:t xml:space="preserve"> </w:t>
      </w:r>
      <w:r>
        <w:rPr>
          <w:spacing w:val="-1"/>
        </w:rPr>
        <w:t>are</w:t>
      </w:r>
      <w:r>
        <w:rPr>
          <w:spacing w:val="10"/>
        </w:rPr>
        <w:t xml:space="preserve"> </w:t>
      </w:r>
      <w:r>
        <w:rPr>
          <w:spacing w:val="-1"/>
        </w:rPr>
        <w:t>not</w:t>
      </w:r>
      <w:r>
        <w:rPr>
          <w:spacing w:val="11"/>
        </w:rPr>
        <w:t xml:space="preserve"> </w:t>
      </w:r>
      <w:r>
        <w:rPr>
          <w:spacing w:val="-2"/>
        </w:rPr>
        <w:t>void</w:t>
      </w:r>
      <w:r>
        <w:rPr>
          <w:spacing w:val="10"/>
        </w:rPr>
        <w:t xml:space="preserve"> </w:t>
      </w:r>
      <w:r>
        <w:rPr>
          <w:spacing w:val="-1"/>
        </w:rPr>
        <w:t>or</w:t>
      </w:r>
      <w:r>
        <w:rPr>
          <w:spacing w:val="11"/>
        </w:rPr>
        <w:t xml:space="preserve"> </w:t>
      </w:r>
      <w:r>
        <w:rPr>
          <w:spacing w:val="-1"/>
        </w:rPr>
        <w:t>unenforceable</w:t>
      </w:r>
      <w:r>
        <w:rPr>
          <w:spacing w:val="10"/>
        </w:rPr>
        <w:t xml:space="preserve"> </w:t>
      </w:r>
      <w:r>
        <w:rPr>
          <w:spacing w:val="-1"/>
        </w:rPr>
        <w:t>be</w:t>
      </w:r>
      <w:r>
        <w:rPr>
          <w:spacing w:val="10"/>
        </w:rPr>
        <w:t xml:space="preserve"> </w:t>
      </w:r>
      <w:r>
        <w:rPr>
          <w:spacing w:val="-1"/>
        </w:rPr>
        <w:t>deemed</w:t>
      </w:r>
      <w:r>
        <w:rPr>
          <w:spacing w:val="10"/>
        </w:rPr>
        <w:t xml:space="preserve"> </w:t>
      </w:r>
      <w:r>
        <w:t>to</w:t>
      </w:r>
      <w:r>
        <w:rPr>
          <w:spacing w:val="10"/>
        </w:rPr>
        <w:t xml:space="preserve"> </w:t>
      </w:r>
      <w:r>
        <w:rPr>
          <w:spacing w:val="-1"/>
        </w:rPr>
        <w:t>be</w:t>
      </w:r>
      <w:r>
        <w:rPr>
          <w:spacing w:val="72"/>
        </w:rPr>
        <w:t xml:space="preserve"> </w:t>
      </w:r>
      <w:r>
        <w:rPr>
          <w:spacing w:val="-1"/>
        </w:rPr>
        <w:t>deleted</w:t>
      </w:r>
      <w:r>
        <w:rPr>
          <w:spacing w:val="3"/>
        </w:rPr>
        <w:t xml:space="preserve"> </w:t>
      </w:r>
      <w:r>
        <w:rPr>
          <w:spacing w:val="-1"/>
        </w:rPr>
        <w:t>and</w:t>
      </w:r>
      <w:r>
        <w:rPr>
          <w:spacing w:val="3"/>
        </w:rPr>
        <w:t xml:space="preserve"> </w:t>
      </w:r>
      <w:r>
        <w:t>the</w:t>
      </w:r>
      <w:r>
        <w:rPr>
          <w:spacing w:val="3"/>
        </w:rPr>
        <w:t xml:space="preserve"> </w:t>
      </w:r>
      <w:r>
        <w:rPr>
          <w:spacing w:val="-1"/>
        </w:rPr>
        <w:t>validity</w:t>
      </w:r>
      <w:r>
        <w:rPr>
          <w:spacing w:val="1"/>
        </w:rPr>
        <w:t xml:space="preserve"> </w:t>
      </w:r>
      <w:r>
        <w:t>and/or</w:t>
      </w:r>
      <w:r>
        <w:rPr>
          <w:spacing w:val="4"/>
        </w:rPr>
        <w:t xml:space="preserve"> </w:t>
      </w:r>
      <w:r>
        <w:rPr>
          <w:spacing w:val="-1"/>
        </w:rPr>
        <w:t>enforceability</w:t>
      </w:r>
      <w:r>
        <w:rPr>
          <w:spacing w:val="1"/>
        </w:rPr>
        <w:t xml:space="preserve"> </w:t>
      </w:r>
      <w:r>
        <w:rPr>
          <w:spacing w:val="-1"/>
        </w:rPr>
        <w:t>of</w:t>
      </w:r>
      <w:r>
        <w:rPr>
          <w:spacing w:val="6"/>
        </w:rPr>
        <w:t xml:space="preserve"> </w:t>
      </w:r>
      <w:r>
        <w:rPr>
          <w:spacing w:val="-1"/>
        </w:rPr>
        <w:t>the</w:t>
      </w:r>
      <w:r>
        <w:rPr>
          <w:spacing w:val="3"/>
        </w:rPr>
        <w:t xml:space="preserve"> </w:t>
      </w:r>
      <w:r>
        <w:rPr>
          <w:spacing w:val="-1"/>
        </w:rPr>
        <w:t>remaining</w:t>
      </w:r>
      <w:r>
        <w:rPr>
          <w:spacing w:val="5"/>
        </w:rPr>
        <w:t xml:space="preserve"> </w:t>
      </w:r>
      <w:r>
        <w:rPr>
          <w:spacing w:val="-2"/>
        </w:rPr>
        <w:t>provisions</w:t>
      </w:r>
      <w:r>
        <w:rPr>
          <w:spacing w:val="3"/>
        </w:rPr>
        <w:t xml:space="preserve"> </w:t>
      </w:r>
      <w:r>
        <w:rPr>
          <w:spacing w:val="1"/>
        </w:rPr>
        <w:t>of</w:t>
      </w:r>
      <w:r>
        <w:rPr>
          <w:spacing w:val="4"/>
        </w:rPr>
        <w:t xml:space="preserve"> </w:t>
      </w:r>
      <w:r>
        <w:rPr>
          <w:spacing w:val="-1"/>
        </w:rPr>
        <w:t>this</w:t>
      </w:r>
      <w:r>
        <w:rPr>
          <w:spacing w:val="3"/>
        </w:rPr>
        <w:t xml:space="preserve"> </w:t>
      </w:r>
      <w:r>
        <w:rPr>
          <w:spacing w:val="-2"/>
        </w:rPr>
        <w:t>Call</w:t>
      </w:r>
      <w:r>
        <w:rPr>
          <w:spacing w:val="43"/>
        </w:rPr>
        <w:t xml:space="preserve"> </w:t>
      </w:r>
      <w:r>
        <w:rPr>
          <w:spacing w:val="-1"/>
        </w:rPr>
        <w:t>Off</w:t>
      </w:r>
      <w:r>
        <w:rPr>
          <w:spacing w:val="2"/>
        </w:rPr>
        <w:t xml:space="preserve"> </w:t>
      </w:r>
      <w:r>
        <w:rPr>
          <w:spacing w:val="-2"/>
        </w:rPr>
        <w:t>Contract</w:t>
      </w:r>
      <w:r>
        <w:t xml:space="preserve"> </w:t>
      </w:r>
      <w:r>
        <w:rPr>
          <w:spacing w:val="-1"/>
        </w:rPr>
        <w:t>shall</w:t>
      </w:r>
      <w:r>
        <w:t xml:space="preserve"> </w:t>
      </w:r>
      <w:r>
        <w:rPr>
          <w:spacing w:val="-1"/>
        </w:rPr>
        <w:t>not</w:t>
      </w:r>
      <w:r>
        <w:rPr>
          <w:spacing w:val="2"/>
        </w:rPr>
        <w:t xml:space="preserve"> </w:t>
      </w:r>
      <w:r>
        <w:rPr>
          <w:spacing w:val="-1"/>
        </w:rPr>
        <w:t>be</w:t>
      </w:r>
      <w:r>
        <w:rPr>
          <w:spacing w:val="-4"/>
        </w:rPr>
        <w:t xml:space="preserve"> </w:t>
      </w:r>
      <w:r>
        <w:rPr>
          <w:spacing w:val="-1"/>
        </w:rPr>
        <w:t>affected.</w:t>
      </w:r>
    </w:p>
    <w:p w:rsidR="008918FA" w:rsidRDefault="008918FA" w:rsidP="008918FA">
      <w:pPr>
        <w:pStyle w:val="BodyText"/>
        <w:numPr>
          <w:ilvl w:val="1"/>
          <w:numId w:val="66"/>
        </w:numPr>
        <w:tabs>
          <w:tab w:val="left" w:pos="1254"/>
        </w:tabs>
        <w:ind w:left="1049" w:right="111" w:hanging="360"/>
        <w:jc w:val="both"/>
      </w:pPr>
      <w:bookmarkStart w:id="326" w:name="_bookmark269"/>
      <w:bookmarkEnd w:id="326"/>
      <w:r>
        <w:t>In</w:t>
      </w:r>
      <w:r>
        <w:rPr>
          <w:spacing w:val="3"/>
        </w:rPr>
        <w:t xml:space="preserve"> </w:t>
      </w:r>
      <w:r>
        <w:t>the</w:t>
      </w:r>
      <w:r>
        <w:rPr>
          <w:spacing w:val="3"/>
        </w:rPr>
        <w:t xml:space="preserve"> </w:t>
      </w:r>
      <w:r>
        <w:rPr>
          <w:spacing w:val="-2"/>
        </w:rPr>
        <w:t>event</w:t>
      </w:r>
      <w:r>
        <w:rPr>
          <w:spacing w:val="4"/>
        </w:rPr>
        <w:t xml:space="preserve"> </w:t>
      </w:r>
      <w:r>
        <w:rPr>
          <w:spacing w:val="-1"/>
        </w:rPr>
        <w:t>that</w:t>
      </w:r>
      <w:r>
        <w:rPr>
          <w:spacing w:val="4"/>
        </w:rPr>
        <w:t xml:space="preserve"> </w:t>
      </w:r>
      <w:r>
        <w:rPr>
          <w:spacing w:val="-1"/>
        </w:rPr>
        <w:t>any</w:t>
      </w:r>
      <w:r>
        <w:rPr>
          <w:spacing w:val="1"/>
        </w:rPr>
        <w:t xml:space="preserve"> </w:t>
      </w:r>
      <w:r>
        <w:rPr>
          <w:spacing w:val="-1"/>
        </w:rPr>
        <w:t>deemed</w:t>
      </w:r>
      <w:r>
        <w:rPr>
          <w:spacing w:val="3"/>
        </w:rPr>
        <w:t xml:space="preserve"> </w:t>
      </w:r>
      <w:r>
        <w:rPr>
          <w:spacing w:val="-1"/>
        </w:rPr>
        <w:t>deletion</w:t>
      </w:r>
      <w:r>
        <w:rPr>
          <w:spacing w:val="3"/>
        </w:rPr>
        <w:t xml:space="preserve"> </w:t>
      </w:r>
      <w:r>
        <w:rPr>
          <w:spacing w:val="-1"/>
        </w:rPr>
        <w:t>under</w:t>
      </w:r>
      <w:r>
        <w:rPr>
          <w:spacing w:val="4"/>
        </w:rPr>
        <w:t xml:space="preserve"> </w:t>
      </w:r>
      <w:r>
        <w:rPr>
          <w:spacing w:val="-2"/>
        </w:rPr>
        <w:t>Clause</w:t>
      </w:r>
      <w:r>
        <w:rPr>
          <w:spacing w:val="4"/>
        </w:rPr>
        <w:t xml:space="preserve"> </w:t>
      </w:r>
      <w:hyperlink w:anchor="_bookmark268" w:history="1">
        <w:r>
          <w:rPr>
            <w:spacing w:val="-1"/>
          </w:rPr>
          <w:t>51.1</w:t>
        </w:r>
      </w:hyperlink>
      <w:r>
        <w:rPr>
          <w:spacing w:val="3"/>
        </w:rPr>
        <w:t xml:space="preserve"> </w:t>
      </w:r>
      <w:r>
        <w:rPr>
          <w:spacing w:val="-1"/>
        </w:rPr>
        <w:t>is</w:t>
      </w:r>
      <w:r>
        <w:rPr>
          <w:spacing w:val="3"/>
        </w:rPr>
        <w:t xml:space="preserve"> </w:t>
      </w:r>
      <w:r>
        <w:rPr>
          <w:spacing w:val="-1"/>
        </w:rPr>
        <w:t>so</w:t>
      </w:r>
      <w:r>
        <w:rPr>
          <w:spacing w:val="1"/>
        </w:rPr>
        <w:t xml:space="preserve"> </w:t>
      </w:r>
      <w:r>
        <w:rPr>
          <w:spacing w:val="-1"/>
        </w:rPr>
        <w:t>fundamental</w:t>
      </w:r>
      <w:r>
        <w:rPr>
          <w:spacing w:val="2"/>
        </w:rPr>
        <w:t xml:space="preserve"> </w:t>
      </w:r>
      <w:r>
        <w:rPr>
          <w:spacing w:val="-1"/>
        </w:rPr>
        <w:t>as</w:t>
      </w:r>
      <w:r>
        <w:rPr>
          <w:spacing w:val="3"/>
        </w:rPr>
        <w:t xml:space="preserve"> </w:t>
      </w:r>
      <w:r>
        <w:t>to</w:t>
      </w:r>
      <w:r>
        <w:rPr>
          <w:spacing w:val="47"/>
        </w:rPr>
        <w:t xml:space="preserve"> </w:t>
      </w:r>
      <w:r>
        <w:rPr>
          <w:spacing w:val="-1"/>
        </w:rPr>
        <w:t>prevent</w:t>
      </w:r>
      <w:r>
        <w:rPr>
          <w:spacing w:val="26"/>
        </w:rPr>
        <w:t xml:space="preserve"> </w:t>
      </w:r>
      <w:r>
        <w:t>the</w:t>
      </w:r>
      <w:r>
        <w:rPr>
          <w:spacing w:val="24"/>
        </w:rPr>
        <w:t xml:space="preserve"> </w:t>
      </w:r>
      <w:r>
        <w:rPr>
          <w:spacing w:val="-1"/>
        </w:rPr>
        <w:t>accomplishment</w:t>
      </w:r>
      <w:r>
        <w:rPr>
          <w:spacing w:val="26"/>
        </w:rPr>
        <w:t xml:space="preserve"> </w:t>
      </w:r>
      <w:r>
        <w:rPr>
          <w:spacing w:val="-2"/>
        </w:rPr>
        <w:t>of</w:t>
      </w:r>
      <w:r>
        <w:rPr>
          <w:spacing w:val="26"/>
        </w:rPr>
        <w:t xml:space="preserve"> </w:t>
      </w:r>
      <w:r>
        <w:t>the</w:t>
      </w:r>
      <w:r>
        <w:rPr>
          <w:spacing w:val="24"/>
        </w:rPr>
        <w:t xml:space="preserve"> </w:t>
      </w:r>
      <w:r>
        <w:rPr>
          <w:spacing w:val="-1"/>
        </w:rPr>
        <w:t>purpose</w:t>
      </w:r>
      <w:r>
        <w:rPr>
          <w:spacing w:val="25"/>
        </w:rPr>
        <w:t xml:space="preserve"> </w:t>
      </w:r>
      <w:r>
        <w:rPr>
          <w:spacing w:val="-2"/>
        </w:rPr>
        <w:t>of</w:t>
      </w:r>
      <w:r>
        <w:rPr>
          <w:spacing w:val="26"/>
        </w:rPr>
        <w:t xml:space="preserve"> </w:t>
      </w:r>
      <w:r>
        <w:rPr>
          <w:spacing w:val="-2"/>
        </w:rPr>
        <w:t>this</w:t>
      </w:r>
      <w:r>
        <w:rPr>
          <w:spacing w:val="25"/>
        </w:rPr>
        <w:t xml:space="preserve"> </w:t>
      </w:r>
      <w:r>
        <w:rPr>
          <w:spacing w:val="-2"/>
        </w:rPr>
        <w:t>Call</w:t>
      </w:r>
      <w:r>
        <w:rPr>
          <w:spacing w:val="24"/>
        </w:rPr>
        <w:t xml:space="preserve"> </w:t>
      </w:r>
      <w:r>
        <w:t>Off</w:t>
      </w:r>
      <w:r>
        <w:rPr>
          <w:spacing w:val="28"/>
        </w:rPr>
        <w:t xml:space="preserve"> </w:t>
      </w:r>
      <w:r>
        <w:rPr>
          <w:spacing w:val="-2"/>
        </w:rPr>
        <w:t>Contract</w:t>
      </w:r>
      <w:r>
        <w:rPr>
          <w:spacing w:val="26"/>
        </w:rPr>
        <w:t xml:space="preserve"> </w:t>
      </w:r>
      <w:r>
        <w:rPr>
          <w:spacing w:val="-1"/>
        </w:rPr>
        <w:t>or</w:t>
      </w:r>
      <w:r>
        <w:rPr>
          <w:spacing w:val="23"/>
        </w:rPr>
        <w:t xml:space="preserve"> </w:t>
      </w:r>
      <w:r>
        <w:rPr>
          <w:spacing w:val="-1"/>
        </w:rPr>
        <w:t>materially</w:t>
      </w:r>
      <w:r>
        <w:rPr>
          <w:spacing w:val="39"/>
        </w:rPr>
        <w:t xml:space="preserve"> </w:t>
      </w:r>
      <w:r>
        <w:rPr>
          <w:spacing w:val="-1"/>
        </w:rPr>
        <w:t>alters</w:t>
      </w:r>
      <w:r>
        <w:rPr>
          <w:spacing w:val="20"/>
        </w:rPr>
        <w:t xml:space="preserve"> </w:t>
      </w:r>
      <w:r>
        <w:t>the</w:t>
      </w:r>
      <w:r>
        <w:rPr>
          <w:spacing w:val="22"/>
        </w:rPr>
        <w:t xml:space="preserve"> </w:t>
      </w:r>
      <w:r>
        <w:rPr>
          <w:spacing w:val="-1"/>
        </w:rPr>
        <w:t>balance</w:t>
      </w:r>
      <w:r>
        <w:rPr>
          <w:spacing w:val="22"/>
        </w:rPr>
        <w:t xml:space="preserve"> </w:t>
      </w:r>
      <w:r>
        <w:rPr>
          <w:spacing w:val="-2"/>
        </w:rPr>
        <w:t>of</w:t>
      </w:r>
      <w:r>
        <w:rPr>
          <w:spacing w:val="21"/>
        </w:rPr>
        <w:t xml:space="preserve"> </w:t>
      </w:r>
      <w:r>
        <w:rPr>
          <w:spacing w:val="-1"/>
        </w:rPr>
        <w:t>risks</w:t>
      </w:r>
      <w:r>
        <w:rPr>
          <w:spacing w:val="20"/>
        </w:rPr>
        <w:t xml:space="preserve"> </w:t>
      </w:r>
      <w:r>
        <w:rPr>
          <w:spacing w:val="-1"/>
        </w:rPr>
        <w:t>and</w:t>
      </w:r>
      <w:r>
        <w:rPr>
          <w:spacing w:val="20"/>
        </w:rPr>
        <w:t xml:space="preserve"> </w:t>
      </w:r>
      <w:r>
        <w:rPr>
          <w:spacing w:val="-1"/>
        </w:rPr>
        <w:t>rewards</w:t>
      </w:r>
      <w:r>
        <w:rPr>
          <w:spacing w:val="22"/>
        </w:rPr>
        <w:t xml:space="preserve"> </w:t>
      </w:r>
      <w:r>
        <w:rPr>
          <w:spacing w:val="-1"/>
        </w:rPr>
        <w:t>in</w:t>
      </w:r>
      <w:r>
        <w:rPr>
          <w:spacing w:val="22"/>
        </w:rPr>
        <w:t xml:space="preserve"> </w:t>
      </w:r>
      <w:r>
        <w:rPr>
          <w:spacing w:val="-1"/>
        </w:rPr>
        <w:t>this</w:t>
      </w:r>
      <w:r>
        <w:rPr>
          <w:spacing w:val="20"/>
        </w:rPr>
        <w:t xml:space="preserve"> </w:t>
      </w:r>
      <w:r>
        <w:rPr>
          <w:spacing w:val="-2"/>
        </w:rPr>
        <w:t>Call</w:t>
      </w:r>
      <w:r>
        <w:rPr>
          <w:spacing w:val="21"/>
        </w:rPr>
        <w:t xml:space="preserve"> </w:t>
      </w:r>
      <w:r>
        <w:rPr>
          <w:spacing w:val="-1"/>
        </w:rPr>
        <w:t>Off</w:t>
      </w:r>
      <w:r>
        <w:rPr>
          <w:spacing w:val="23"/>
        </w:rPr>
        <w:t xml:space="preserve"> </w:t>
      </w:r>
      <w:r>
        <w:rPr>
          <w:spacing w:val="-1"/>
        </w:rPr>
        <w:t>Contract,</w:t>
      </w:r>
      <w:r>
        <w:rPr>
          <w:spacing w:val="23"/>
        </w:rPr>
        <w:t xml:space="preserve"> </w:t>
      </w:r>
      <w:r>
        <w:rPr>
          <w:spacing w:val="-1"/>
        </w:rPr>
        <w:t>either</w:t>
      </w:r>
      <w:r>
        <w:rPr>
          <w:spacing w:val="21"/>
        </w:rPr>
        <w:t xml:space="preserve"> </w:t>
      </w:r>
      <w:r>
        <w:rPr>
          <w:spacing w:val="-1"/>
        </w:rPr>
        <w:t>Party</w:t>
      </w:r>
      <w:r>
        <w:rPr>
          <w:spacing w:val="20"/>
        </w:rPr>
        <w:t xml:space="preserve"> </w:t>
      </w:r>
      <w:r>
        <w:rPr>
          <w:spacing w:val="-1"/>
        </w:rPr>
        <w:t>may</w:t>
      </w:r>
      <w:r>
        <w:rPr>
          <w:spacing w:val="44"/>
        </w:rPr>
        <w:t xml:space="preserve"> </w:t>
      </w:r>
      <w:r>
        <w:rPr>
          <w:spacing w:val="-1"/>
        </w:rPr>
        <w:t>give</w:t>
      </w:r>
      <w:r>
        <w:rPr>
          <w:spacing w:val="11"/>
        </w:rPr>
        <w:t xml:space="preserve"> </w:t>
      </w:r>
      <w:r>
        <w:rPr>
          <w:spacing w:val="-1"/>
        </w:rPr>
        <w:t>notice</w:t>
      </w:r>
      <w:r>
        <w:rPr>
          <w:spacing w:val="12"/>
        </w:rPr>
        <w:t xml:space="preserve"> </w:t>
      </w:r>
      <w:r>
        <w:t>to</w:t>
      </w:r>
      <w:r>
        <w:rPr>
          <w:spacing w:val="11"/>
        </w:rPr>
        <w:t xml:space="preserve"> </w:t>
      </w:r>
      <w:r>
        <w:t>the</w:t>
      </w:r>
      <w:r>
        <w:rPr>
          <w:spacing w:val="11"/>
        </w:rPr>
        <w:t xml:space="preserve"> </w:t>
      </w:r>
      <w:r>
        <w:rPr>
          <w:spacing w:val="-1"/>
        </w:rPr>
        <w:t>other</w:t>
      </w:r>
      <w:r>
        <w:rPr>
          <w:spacing w:val="13"/>
        </w:rPr>
        <w:t xml:space="preserve"> </w:t>
      </w:r>
      <w:r>
        <w:rPr>
          <w:spacing w:val="-1"/>
        </w:rPr>
        <w:t>Party</w:t>
      </w:r>
      <w:r>
        <w:rPr>
          <w:spacing w:val="9"/>
        </w:rPr>
        <w:t xml:space="preserve"> </w:t>
      </w:r>
      <w:r>
        <w:rPr>
          <w:spacing w:val="-1"/>
        </w:rPr>
        <w:t>requiring</w:t>
      </w:r>
      <w:r>
        <w:rPr>
          <w:spacing w:val="14"/>
        </w:rPr>
        <w:t xml:space="preserve"> </w:t>
      </w:r>
      <w:r>
        <w:t>the</w:t>
      </w:r>
      <w:r>
        <w:rPr>
          <w:spacing w:val="11"/>
        </w:rPr>
        <w:t xml:space="preserve"> </w:t>
      </w:r>
      <w:r>
        <w:rPr>
          <w:spacing w:val="-1"/>
        </w:rPr>
        <w:t>Parties</w:t>
      </w:r>
      <w:r>
        <w:rPr>
          <w:spacing w:val="12"/>
        </w:rPr>
        <w:t xml:space="preserve"> </w:t>
      </w:r>
      <w:r>
        <w:t>to</w:t>
      </w:r>
      <w:r>
        <w:rPr>
          <w:spacing w:val="11"/>
        </w:rPr>
        <w:t xml:space="preserve"> </w:t>
      </w:r>
      <w:r>
        <w:rPr>
          <w:spacing w:val="-2"/>
        </w:rPr>
        <w:t>commence</w:t>
      </w:r>
      <w:r>
        <w:rPr>
          <w:spacing w:val="9"/>
        </w:rPr>
        <w:t xml:space="preserve"> </w:t>
      </w:r>
      <w:r>
        <w:rPr>
          <w:spacing w:val="-1"/>
        </w:rPr>
        <w:t>good</w:t>
      </w:r>
      <w:r>
        <w:rPr>
          <w:spacing w:val="11"/>
        </w:rPr>
        <w:t xml:space="preserve"> </w:t>
      </w:r>
      <w:r>
        <w:rPr>
          <w:spacing w:val="-1"/>
        </w:rPr>
        <w:t>faith</w:t>
      </w:r>
      <w:r>
        <w:rPr>
          <w:spacing w:val="47"/>
        </w:rPr>
        <w:t xml:space="preserve"> </w:t>
      </w:r>
      <w:r>
        <w:rPr>
          <w:spacing w:val="-1"/>
        </w:rPr>
        <w:t>negotiations</w:t>
      </w:r>
      <w:r>
        <w:rPr>
          <w:spacing w:val="30"/>
        </w:rPr>
        <w:t xml:space="preserve"> </w:t>
      </w:r>
      <w:r>
        <w:t>to</w:t>
      </w:r>
      <w:r>
        <w:rPr>
          <w:spacing w:val="29"/>
        </w:rPr>
        <w:t xml:space="preserve"> </w:t>
      </w:r>
      <w:r>
        <w:rPr>
          <w:spacing w:val="-1"/>
        </w:rPr>
        <w:t>amend</w:t>
      </w:r>
      <w:r>
        <w:rPr>
          <w:spacing w:val="27"/>
        </w:rPr>
        <w:t xml:space="preserve"> </w:t>
      </w:r>
      <w:r>
        <w:rPr>
          <w:spacing w:val="-2"/>
        </w:rPr>
        <w:t>this</w:t>
      </w:r>
      <w:r>
        <w:rPr>
          <w:spacing w:val="30"/>
        </w:rPr>
        <w:t xml:space="preserve"> </w:t>
      </w:r>
      <w:r>
        <w:rPr>
          <w:spacing w:val="-2"/>
        </w:rPr>
        <w:t>Call</w:t>
      </w:r>
      <w:r>
        <w:rPr>
          <w:spacing w:val="28"/>
        </w:rPr>
        <w:t xml:space="preserve"> </w:t>
      </w:r>
      <w:r>
        <w:t>Off</w:t>
      </w:r>
      <w:r>
        <w:rPr>
          <w:spacing w:val="30"/>
        </w:rPr>
        <w:t xml:space="preserve"> </w:t>
      </w:r>
      <w:r>
        <w:rPr>
          <w:spacing w:val="-1"/>
        </w:rPr>
        <w:t>Contract</w:t>
      </w:r>
      <w:r>
        <w:rPr>
          <w:spacing w:val="29"/>
        </w:rPr>
        <w:t xml:space="preserve"> </w:t>
      </w:r>
      <w:r>
        <w:rPr>
          <w:spacing w:val="-1"/>
        </w:rPr>
        <w:t>so</w:t>
      </w:r>
      <w:r>
        <w:rPr>
          <w:spacing w:val="27"/>
        </w:rPr>
        <w:t xml:space="preserve"> </w:t>
      </w:r>
      <w:r>
        <w:rPr>
          <w:spacing w:val="-1"/>
        </w:rPr>
        <w:t>that,</w:t>
      </w:r>
      <w:r>
        <w:rPr>
          <w:spacing w:val="30"/>
        </w:rPr>
        <w:t xml:space="preserve"> </w:t>
      </w:r>
      <w:r>
        <w:rPr>
          <w:spacing w:val="-1"/>
        </w:rPr>
        <w:t>as</w:t>
      </w:r>
      <w:r>
        <w:rPr>
          <w:spacing w:val="30"/>
        </w:rPr>
        <w:t xml:space="preserve"> </w:t>
      </w:r>
      <w:r>
        <w:rPr>
          <w:spacing w:val="-1"/>
        </w:rPr>
        <w:t>amended,</w:t>
      </w:r>
      <w:r>
        <w:rPr>
          <w:spacing w:val="30"/>
        </w:rPr>
        <w:t xml:space="preserve"> </w:t>
      </w:r>
      <w:r>
        <w:rPr>
          <w:spacing w:val="-2"/>
        </w:rPr>
        <w:t>it</w:t>
      </w:r>
      <w:r>
        <w:rPr>
          <w:spacing w:val="30"/>
        </w:rPr>
        <w:t xml:space="preserve"> </w:t>
      </w:r>
      <w:r>
        <w:rPr>
          <w:spacing w:val="-1"/>
        </w:rPr>
        <w:t>is</w:t>
      </w:r>
      <w:r>
        <w:rPr>
          <w:spacing w:val="27"/>
        </w:rPr>
        <w:t xml:space="preserve"> </w:t>
      </w:r>
      <w:r>
        <w:rPr>
          <w:spacing w:val="-1"/>
        </w:rPr>
        <w:t>valid</w:t>
      </w:r>
      <w:r>
        <w:rPr>
          <w:spacing w:val="29"/>
        </w:rPr>
        <w:t xml:space="preserve"> </w:t>
      </w:r>
      <w:r>
        <w:rPr>
          <w:spacing w:val="-1"/>
        </w:rPr>
        <w:t>and</w:t>
      </w:r>
      <w:r>
        <w:rPr>
          <w:spacing w:val="34"/>
        </w:rPr>
        <w:t xml:space="preserve"> </w:t>
      </w:r>
      <w:r>
        <w:rPr>
          <w:spacing w:val="-1"/>
        </w:rPr>
        <w:t>enforceable,</w:t>
      </w:r>
      <w:r>
        <w:rPr>
          <w:spacing w:val="28"/>
        </w:rPr>
        <w:t xml:space="preserve"> </w:t>
      </w:r>
      <w:r>
        <w:rPr>
          <w:spacing w:val="-2"/>
        </w:rPr>
        <w:t>preserves</w:t>
      </w:r>
      <w:r>
        <w:rPr>
          <w:spacing w:val="27"/>
        </w:rPr>
        <w:t xml:space="preserve"> </w:t>
      </w:r>
      <w:r>
        <w:t>the</w:t>
      </w:r>
      <w:r>
        <w:rPr>
          <w:spacing w:val="27"/>
        </w:rPr>
        <w:t xml:space="preserve"> </w:t>
      </w:r>
      <w:r>
        <w:rPr>
          <w:spacing w:val="-1"/>
        </w:rPr>
        <w:t>balance</w:t>
      </w:r>
      <w:r>
        <w:rPr>
          <w:spacing w:val="27"/>
        </w:rPr>
        <w:t xml:space="preserve"> </w:t>
      </w:r>
      <w:r>
        <w:rPr>
          <w:spacing w:val="-1"/>
        </w:rPr>
        <w:t>of</w:t>
      </w:r>
      <w:r>
        <w:rPr>
          <w:spacing w:val="28"/>
        </w:rPr>
        <w:t xml:space="preserve"> </w:t>
      </w:r>
      <w:r>
        <w:rPr>
          <w:spacing w:val="-1"/>
        </w:rPr>
        <w:t>risks</w:t>
      </w:r>
      <w:r>
        <w:rPr>
          <w:spacing w:val="27"/>
        </w:rPr>
        <w:t xml:space="preserve"> </w:t>
      </w:r>
      <w:r>
        <w:rPr>
          <w:spacing w:val="-1"/>
        </w:rPr>
        <w:t>and</w:t>
      </w:r>
      <w:r>
        <w:rPr>
          <w:spacing w:val="24"/>
        </w:rPr>
        <w:t xml:space="preserve"> </w:t>
      </w:r>
      <w:r>
        <w:rPr>
          <w:spacing w:val="-1"/>
        </w:rPr>
        <w:t>rewards</w:t>
      </w:r>
      <w:r>
        <w:rPr>
          <w:spacing w:val="27"/>
        </w:rPr>
        <w:t xml:space="preserve"> </w:t>
      </w:r>
      <w:r>
        <w:rPr>
          <w:spacing w:val="-1"/>
        </w:rPr>
        <w:t>in</w:t>
      </w:r>
      <w:r>
        <w:rPr>
          <w:spacing w:val="27"/>
        </w:rPr>
        <w:t xml:space="preserve"> </w:t>
      </w:r>
      <w:r>
        <w:rPr>
          <w:spacing w:val="-1"/>
        </w:rPr>
        <w:t>this</w:t>
      </w:r>
      <w:r>
        <w:rPr>
          <w:spacing w:val="27"/>
        </w:rPr>
        <w:t xml:space="preserve"> </w:t>
      </w:r>
      <w:r>
        <w:rPr>
          <w:spacing w:val="-2"/>
        </w:rPr>
        <w:t>Call</w:t>
      </w:r>
      <w:r>
        <w:rPr>
          <w:spacing w:val="26"/>
        </w:rPr>
        <w:t xml:space="preserve"> </w:t>
      </w:r>
      <w:r>
        <w:t>Off</w:t>
      </w:r>
      <w:r>
        <w:rPr>
          <w:spacing w:val="26"/>
        </w:rPr>
        <w:t xml:space="preserve"> </w:t>
      </w:r>
      <w:r>
        <w:rPr>
          <w:spacing w:val="-1"/>
        </w:rPr>
        <w:t>Contract</w:t>
      </w:r>
      <w:r>
        <w:rPr>
          <w:spacing w:val="45"/>
        </w:rPr>
        <w:t xml:space="preserve"> </w:t>
      </w:r>
      <w:r>
        <w:rPr>
          <w:spacing w:val="-1"/>
        </w:rPr>
        <w:t>and,</w:t>
      </w:r>
      <w:r>
        <w:rPr>
          <w:spacing w:val="55"/>
        </w:rPr>
        <w:t xml:space="preserve"> </w:t>
      </w:r>
      <w:r>
        <w:t>to</w:t>
      </w:r>
      <w:r>
        <w:rPr>
          <w:spacing w:val="51"/>
        </w:rPr>
        <w:t xml:space="preserve"> </w:t>
      </w:r>
      <w:r>
        <w:t>the</w:t>
      </w:r>
      <w:r>
        <w:rPr>
          <w:spacing w:val="53"/>
        </w:rPr>
        <w:t xml:space="preserve"> </w:t>
      </w:r>
      <w:r>
        <w:rPr>
          <w:spacing w:val="-1"/>
        </w:rPr>
        <w:t>extent</w:t>
      </w:r>
      <w:r>
        <w:rPr>
          <w:spacing w:val="55"/>
        </w:rPr>
        <w:t xml:space="preserve"> </w:t>
      </w:r>
      <w:r>
        <w:rPr>
          <w:spacing w:val="-1"/>
        </w:rPr>
        <w:t>that</w:t>
      </w:r>
      <w:r>
        <w:rPr>
          <w:spacing w:val="52"/>
        </w:rPr>
        <w:t xml:space="preserve"> </w:t>
      </w:r>
      <w:r>
        <w:rPr>
          <w:spacing w:val="-1"/>
        </w:rPr>
        <w:t>is</w:t>
      </w:r>
      <w:r>
        <w:rPr>
          <w:spacing w:val="53"/>
        </w:rPr>
        <w:t xml:space="preserve"> </w:t>
      </w:r>
      <w:r>
        <w:rPr>
          <w:spacing w:val="-1"/>
        </w:rPr>
        <w:t>reasonably</w:t>
      </w:r>
      <w:r>
        <w:rPr>
          <w:spacing w:val="52"/>
        </w:rPr>
        <w:t xml:space="preserve"> </w:t>
      </w:r>
      <w:r>
        <w:rPr>
          <w:spacing w:val="-1"/>
        </w:rPr>
        <w:t>practicable,</w:t>
      </w:r>
      <w:r>
        <w:rPr>
          <w:spacing w:val="55"/>
        </w:rPr>
        <w:t xml:space="preserve"> </w:t>
      </w:r>
      <w:r>
        <w:rPr>
          <w:spacing w:val="-2"/>
        </w:rPr>
        <w:t>achieves</w:t>
      </w:r>
      <w:r>
        <w:rPr>
          <w:spacing w:val="53"/>
        </w:rPr>
        <w:t xml:space="preserve"> </w:t>
      </w:r>
      <w:r>
        <w:t>the</w:t>
      </w:r>
      <w:r>
        <w:rPr>
          <w:spacing w:val="53"/>
        </w:rPr>
        <w:t xml:space="preserve"> </w:t>
      </w:r>
      <w:r>
        <w:rPr>
          <w:spacing w:val="-1"/>
        </w:rPr>
        <w:t>Parties'</w:t>
      </w:r>
      <w:r>
        <w:rPr>
          <w:spacing w:val="55"/>
        </w:rPr>
        <w:t xml:space="preserve"> </w:t>
      </w:r>
      <w:r>
        <w:rPr>
          <w:spacing w:val="-1"/>
        </w:rPr>
        <w:t>original</w:t>
      </w:r>
      <w:r>
        <w:rPr>
          <w:spacing w:val="40"/>
        </w:rPr>
        <w:t xml:space="preserve"> </w:t>
      </w:r>
      <w:r>
        <w:rPr>
          <w:spacing w:val="-1"/>
        </w:rPr>
        <w:t>commercial</w:t>
      </w:r>
      <w:r>
        <w:t xml:space="preserve"> </w:t>
      </w:r>
      <w:r>
        <w:rPr>
          <w:spacing w:val="-1"/>
        </w:rPr>
        <w:t>intention.</w:t>
      </w:r>
    </w:p>
    <w:p w:rsidR="008918FA" w:rsidRDefault="008918FA" w:rsidP="008918FA">
      <w:pPr>
        <w:pStyle w:val="BodyText"/>
        <w:numPr>
          <w:ilvl w:val="1"/>
          <w:numId w:val="66"/>
        </w:numPr>
        <w:tabs>
          <w:tab w:val="left" w:pos="1254"/>
        </w:tabs>
        <w:ind w:left="1049" w:right="111" w:hanging="360"/>
        <w:jc w:val="both"/>
      </w:pPr>
      <w:r>
        <w:rPr>
          <w:spacing w:val="-1"/>
        </w:rPr>
        <w:t>If</w:t>
      </w:r>
      <w:r>
        <w:rPr>
          <w:spacing w:val="47"/>
        </w:rPr>
        <w:t xml:space="preserve"> </w:t>
      </w:r>
      <w:r>
        <w:t>the</w:t>
      </w:r>
      <w:r>
        <w:rPr>
          <w:spacing w:val="46"/>
        </w:rPr>
        <w:t xml:space="preserve"> </w:t>
      </w:r>
      <w:r>
        <w:rPr>
          <w:spacing w:val="-1"/>
        </w:rPr>
        <w:t>Parties</w:t>
      </w:r>
      <w:r>
        <w:rPr>
          <w:spacing w:val="46"/>
        </w:rPr>
        <w:t xml:space="preserve"> </w:t>
      </w:r>
      <w:r>
        <w:rPr>
          <w:spacing w:val="-1"/>
        </w:rPr>
        <w:t>are</w:t>
      </w:r>
      <w:r>
        <w:rPr>
          <w:spacing w:val="43"/>
        </w:rPr>
        <w:t xml:space="preserve"> </w:t>
      </w:r>
      <w:r>
        <w:rPr>
          <w:spacing w:val="-1"/>
        </w:rPr>
        <w:t>unable</w:t>
      </w:r>
      <w:r>
        <w:rPr>
          <w:spacing w:val="46"/>
        </w:rPr>
        <w:t xml:space="preserve"> </w:t>
      </w:r>
      <w:r>
        <w:t>to</w:t>
      </w:r>
      <w:r>
        <w:rPr>
          <w:spacing w:val="46"/>
        </w:rPr>
        <w:t xml:space="preserve"> </w:t>
      </w:r>
      <w:r>
        <w:rPr>
          <w:spacing w:val="-2"/>
        </w:rPr>
        <w:t>resolve</w:t>
      </w:r>
      <w:r>
        <w:rPr>
          <w:spacing w:val="47"/>
        </w:rPr>
        <w:t xml:space="preserve"> </w:t>
      </w:r>
      <w:r>
        <w:t>the</w:t>
      </w:r>
      <w:r>
        <w:rPr>
          <w:spacing w:val="46"/>
        </w:rPr>
        <w:t xml:space="preserve"> </w:t>
      </w:r>
      <w:r>
        <w:rPr>
          <w:spacing w:val="-1"/>
        </w:rPr>
        <w:t>Dispute</w:t>
      </w:r>
      <w:r>
        <w:rPr>
          <w:spacing w:val="46"/>
        </w:rPr>
        <w:t xml:space="preserve"> </w:t>
      </w:r>
      <w:r>
        <w:rPr>
          <w:spacing w:val="-1"/>
        </w:rPr>
        <w:t>arising</w:t>
      </w:r>
      <w:r>
        <w:rPr>
          <w:spacing w:val="48"/>
        </w:rPr>
        <w:t xml:space="preserve"> </w:t>
      </w:r>
      <w:r>
        <w:rPr>
          <w:spacing w:val="-2"/>
        </w:rPr>
        <w:t>under</w:t>
      </w:r>
      <w:r>
        <w:rPr>
          <w:spacing w:val="45"/>
        </w:rPr>
        <w:t xml:space="preserve"> </w:t>
      </w:r>
      <w:r>
        <w:rPr>
          <w:spacing w:val="-1"/>
        </w:rPr>
        <w:t>this</w:t>
      </w:r>
      <w:r>
        <w:rPr>
          <w:spacing w:val="46"/>
        </w:rPr>
        <w:t xml:space="preserve"> </w:t>
      </w:r>
      <w:r>
        <w:rPr>
          <w:spacing w:val="-2"/>
        </w:rPr>
        <w:t>Clause</w:t>
      </w:r>
      <w:r>
        <w:rPr>
          <w:spacing w:val="47"/>
        </w:rPr>
        <w:t xml:space="preserve"> </w:t>
      </w:r>
      <w:hyperlink w:anchor="_bookmark267" w:history="1">
        <w:r>
          <w:rPr>
            <w:spacing w:val="-1"/>
          </w:rPr>
          <w:t>51</w:t>
        </w:r>
      </w:hyperlink>
      <w:r>
        <w:rPr>
          <w:spacing w:val="44"/>
        </w:rPr>
        <w:t xml:space="preserve"> </w:t>
      </w:r>
      <w:r>
        <w:rPr>
          <w:spacing w:val="-1"/>
        </w:rPr>
        <w:t>within</w:t>
      </w:r>
      <w:r>
        <w:rPr>
          <w:spacing w:val="4"/>
        </w:rPr>
        <w:t xml:space="preserve"> </w:t>
      </w:r>
      <w:r>
        <w:rPr>
          <w:spacing w:val="-1"/>
        </w:rPr>
        <w:t>twenty</w:t>
      </w:r>
      <w:r>
        <w:rPr>
          <w:spacing w:val="2"/>
        </w:rPr>
        <w:t xml:space="preserve"> </w:t>
      </w:r>
      <w:r>
        <w:rPr>
          <w:spacing w:val="-1"/>
        </w:rPr>
        <w:t>(20)</w:t>
      </w:r>
      <w:r>
        <w:t xml:space="preserve"> </w:t>
      </w:r>
      <w:r>
        <w:rPr>
          <w:spacing w:val="-1"/>
        </w:rPr>
        <w:t>Working</w:t>
      </w:r>
      <w:r>
        <w:rPr>
          <w:spacing w:val="6"/>
        </w:rPr>
        <w:t xml:space="preserve"> </w:t>
      </w:r>
      <w:r>
        <w:rPr>
          <w:spacing w:val="-2"/>
        </w:rPr>
        <w:t>Days</w:t>
      </w:r>
      <w:r>
        <w:rPr>
          <w:spacing w:val="4"/>
        </w:rPr>
        <w:t xml:space="preserve"> </w:t>
      </w:r>
      <w:r>
        <w:rPr>
          <w:spacing w:val="-1"/>
        </w:rPr>
        <w:t>of</w:t>
      </w:r>
      <w:r>
        <w:rPr>
          <w:spacing w:val="8"/>
        </w:rPr>
        <w:t xml:space="preserve"> </w:t>
      </w:r>
      <w:r>
        <w:t>the</w:t>
      </w:r>
      <w:r>
        <w:rPr>
          <w:spacing w:val="4"/>
        </w:rPr>
        <w:t xml:space="preserve"> </w:t>
      </w:r>
      <w:r>
        <w:rPr>
          <w:spacing w:val="-1"/>
        </w:rPr>
        <w:t>date</w:t>
      </w:r>
      <w:r>
        <w:rPr>
          <w:spacing w:val="3"/>
        </w:rPr>
        <w:t xml:space="preserve"> </w:t>
      </w:r>
      <w:r>
        <w:rPr>
          <w:spacing w:val="-1"/>
        </w:rPr>
        <w:t>of</w:t>
      </w:r>
      <w:r>
        <w:rPr>
          <w:spacing w:val="8"/>
        </w:rPr>
        <w:t xml:space="preserve"> </w:t>
      </w:r>
      <w:r w:rsidR="00514A63">
        <w:t>the</w:t>
      </w:r>
      <w:r>
        <w:rPr>
          <w:spacing w:val="4"/>
        </w:rPr>
        <w:t xml:space="preserve"> </w:t>
      </w:r>
      <w:r>
        <w:rPr>
          <w:spacing w:val="-1"/>
        </w:rPr>
        <w:t>notice</w:t>
      </w:r>
      <w:r>
        <w:t xml:space="preserve"> </w:t>
      </w:r>
      <w:r>
        <w:rPr>
          <w:spacing w:val="4"/>
        </w:rPr>
        <w:t xml:space="preserve"> </w:t>
      </w:r>
      <w:r>
        <w:rPr>
          <w:spacing w:val="-1"/>
        </w:rPr>
        <w:t>given</w:t>
      </w:r>
      <w:r>
        <w:t xml:space="preserve"> </w:t>
      </w:r>
      <w:r>
        <w:rPr>
          <w:spacing w:val="4"/>
        </w:rPr>
        <w:t xml:space="preserve"> </w:t>
      </w:r>
      <w:r>
        <w:rPr>
          <w:spacing w:val="-1"/>
        </w:rPr>
        <w:t>pursuant</w:t>
      </w:r>
      <w:r>
        <w:t xml:space="preserve"> </w:t>
      </w:r>
      <w:r>
        <w:rPr>
          <w:spacing w:val="5"/>
        </w:rPr>
        <w:t xml:space="preserve"> </w:t>
      </w:r>
      <w:r>
        <w:rPr>
          <w:spacing w:val="-1"/>
        </w:rPr>
        <w:t>to</w:t>
      </w:r>
      <w:r>
        <w:rPr>
          <w:spacing w:val="53"/>
        </w:rPr>
        <w:t xml:space="preserve"> </w:t>
      </w:r>
      <w:r>
        <w:rPr>
          <w:spacing w:val="-2"/>
        </w:rPr>
        <w:t>Clause</w:t>
      </w:r>
      <w:r>
        <w:rPr>
          <w:spacing w:val="2"/>
        </w:rPr>
        <w:t xml:space="preserve"> </w:t>
      </w:r>
      <w:hyperlink w:anchor="_bookmark269" w:history="1">
        <w:r>
          <w:rPr>
            <w:spacing w:val="-1"/>
          </w:rPr>
          <w:t>51.2</w:t>
        </w:r>
      </w:hyperlink>
      <w:r>
        <w:rPr>
          <w:spacing w:val="-1"/>
        </w:rPr>
        <w:t>,</w:t>
      </w:r>
      <w:r>
        <w:rPr>
          <w:spacing w:val="47"/>
        </w:rPr>
        <w:t xml:space="preserve"> </w:t>
      </w:r>
      <w:r>
        <w:rPr>
          <w:spacing w:val="-1"/>
        </w:rPr>
        <w:t>this</w:t>
      </w:r>
      <w:r>
        <w:rPr>
          <w:spacing w:val="46"/>
        </w:rPr>
        <w:t xml:space="preserve"> </w:t>
      </w:r>
      <w:r>
        <w:rPr>
          <w:spacing w:val="-2"/>
        </w:rPr>
        <w:t>Call</w:t>
      </w:r>
      <w:r>
        <w:rPr>
          <w:spacing w:val="45"/>
        </w:rPr>
        <w:t xml:space="preserve"> </w:t>
      </w:r>
      <w:r>
        <w:t>Off</w:t>
      </w:r>
      <w:r>
        <w:rPr>
          <w:spacing w:val="47"/>
        </w:rPr>
        <w:t xml:space="preserve"> </w:t>
      </w:r>
      <w:r>
        <w:rPr>
          <w:spacing w:val="-1"/>
        </w:rPr>
        <w:t>Contract</w:t>
      </w:r>
      <w:r>
        <w:rPr>
          <w:spacing w:val="48"/>
        </w:rPr>
        <w:t xml:space="preserve"> </w:t>
      </w:r>
      <w:r>
        <w:rPr>
          <w:spacing w:val="-1"/>
        </w:rPr>
        <w:t>shall</w:t>
      </w:r>
      <w:r>
        <w:rPr>
          <w:spacing w:val="45"/>
        </w:rPr>
        <w:t xml:space="preserve"> </w:t>
      </w:r>
      <w:r>
        <w:rPr>
          <w:spacing w:val="-1"/>
        </w:rPr>
        <w:t>automatically</w:t>
      </w:r>
      <w:r>
        <w:rPr>
          <w:spacing w:val="47"/>
        </w:rPr>
        <w:t xml:space="preserve"> </w:t>
      </w:r>
      <w:r>
        <w:rPr>
          <w:spacing w:val="-1"/>
        </w:rPr>
        <w:t>terminate</w:t>
      </w:r>
      <w:r>
        <w:rPr>
          <w:spacing w:val="46"/>
        </w:rPr>
        <w:t xml:space="preserve"> </w:t>
      </w:r>
      <w:r>
        <w:rPr>
          <w:spacing w:val="-2"/>
        </w:rPr>
        <w:t>with</w:t>
      </w:r>
      <w:r>
        <w:rPr>
          <w:spacing w:val="46"/>
        </w:rPr>
        <w:t xml:space="preserve"> </w:t>
      </w:r>
      <w:r>
        <w:rPr>
          <w:spacing w:val="-1"/>
        </w:rPr>
        <w:t>immediate</w:t>
      </w:r>
      <w:r>
        <w:rPr>
          <w:spacing w:val="61"/>
        </w:rPr>
        <w:t xml:space="preserve"> </w:t>
      </w:r>
      <w:r>
        <w:rPr>
          <w:spacing w:val="-1"/>
        </w:rPr>
        <w:t>effect.</w:t>
      </w:r>
      <w:r>
        <w:rPr>
          <w:spacing w:val="-3"/>
        </w:rPr>
        <w:t xml:space="preserve"> </w:t>
      </w:r>
      <w:r>
        <w:t xml:space="preserve">The </w:t>
      </w:r>
      <w:r>
        <w:rPr>
          <w:spacing w:val="-1"/>
        </w:rPr>
        <w:t>costs</w:t>
      </w:r>
      <w:r>
        <w:rPr>
          <w:spacing w:val="-2"/>
        </w:rPr>
        <w:t xml:space="preserve"> of</w:t>
      </w:r>
      <w:r>
        <w:rPr>
          <w:spacing w:val="2"/>
        </w:rPr>
        <w:t xml:space="preserve"> </w:t>
      </w:r>
      <w:r>
        <w:rPr>
          <w:spacing w:val="-1"/>
        </w:rPr>
        <w:t>termination</w:t>
      </w:r>
      <w:r>
        <w:t xml:space="preserve"> </w:t>
      </w:r>
      <w:r>
        <w:rPr>
          <w:spacing w:val="-1"/>
        </w:rPr>
        <w:t>incurred</w:t>
      </w:r>
      <w:r>
        <w:rPr>
          <w:spacing w:val="-2"/>
        </w:rPr>
        <w:t xml:space="preserve"> </w:t>
      </w:r>
      <w:r>
        <w:rPr>
          <w:spacing w:val="-1"/>
        </w:rPr>
        <w:t>by</w:t>
      </w:r>
      <w:r>
        <w:rPr>
          <w:spacing w:val="-2"/>
        </w:rPr>
        <w:t xml:space="preserve"> </w:t>
      </w:r>
      <w:r>
        <w:t>the</w:t>
      </w:r>
      <w:r>
        <w:rPr>
          <w:spacing w:val="-2"/>
        </w:rPr>
        <w:t xml:space="preserve"> </w:t>
      </w:r>
      <w:r>
        <w:rPr>
          <w:spacing w:val="-1"/>
        </w:rPr>
        <w:t>Parties</w:t>
      </w:r>
      <w:r>
        <w:rPr>
          <w:spacing w:val="1"/>
        </w:rPr>
        <w:t xml:space="preserve"> </w:t>
      </w:r>
      <w:r>
        <w:rPr>
          <w:spacing w:val="-1"/>
        </w:rPr>
        <w:t>shall</w:t>
      </w:r>
      <w:r>
        <w:t xml:space="preserve"> </w:t>
      </w:r>
      <w:r>
        <w:rPr>
          <w:spacing w:val="-2"/>
        </w:rPr>
        <w:t>lie</w:t>
      </w:r>
      <w:r>
        <w:t xml:space="preserve"> </w:t>
      </w:r>
      <w:r>
        <w:rPr>
          <w:spacing w:val="-2"/>
        </w:rPr>
        <w:t>where</w:t>
      </w:r>
      <w:r>
        <w:t xml:space="preserve"> </w:t>
      </w:r>
      <w:r>
        <w:rPr>
          <w:spacing w:val="-1"/>
        </w:rPr>
        <w:t>they</w:t>
      </w:r>
      <w:r>
        <w:rPr>
          <w:spacing w:val="-4"/>
        </w:rPr>
        <w:t xml:space="preserve"> </w:t>
      </w:r>
      <w:r>
        <w:rPr>
          <w:spacing w:val="-1"/>
        </w:rPr>
        <w:t>fall</w:t>
      </w:r>
      <w:r>
        <w:t xml:space="preserve"> </w:t>
      </w:r>
      <w:r>
        <w:rPr>
          <w:spacing w:val="-1"/>
        </w:rPr>
        <w:t>if</w:t>
      </w:r>
      <w:r>
        <w:rPr>
          <w:spacing w:val="2"/>
        </w:rPr>
        <w:t xml:space="preserve"> </w:t>
      </w:r>
      <w:r>
        <w:rPr>
          <w:spacing w:val="-1"/>
        </w:rPr>
        <w:t>this</w:t>
      </w:r>
      <w:r>
        <w:rPr>
          <w:spacing w:val="59"/>
        </w:rPr>
        <w:t xml:space="preserve"> </w:t>
      </w:r>
      <w:r>
        <w:rPr>
          <w:spacing w:val="-2"/>
        </w:rPr>
        <w:t>Call</w:t>
      </w:r>
      <w:r>
        <w:t xml:space="preserve"> </w:t>
      </w:r>
      <w:r>
        <w:rPr>
          <w:spacing w:val="-1"/>
        </w:rPr>
        <w:t>Off</w:t>
      </w:r>
      <w:r>
        <w:rPr>
          <w:spacing w:val="2"/>
        </w:rPr>
        <w:t xml:space="preserve"> </w:t>
      </w:r>
      <w:r>
        <w:rPr>
          <w:spacing w:val="-1"/>
        </w:rPr>
        <w:t>Contract</w:t>
      </w:r>
      <w:r>
        <w:t xml:space="preserve"> </w:t>
      </w:r>
      <w:r>
        <w:rPr>
          <w:spacing w:val="-1"/>
        </w:rPr>
        <w:t>is</w:t>
      </w:r>
      <w:r>
        <w:rPr>
          <w:spacing w:val="-2"/>
        </w:rPr>
        <w:t xml:space="preserve"> </w:t>
      </w:r>
      <w:r>
        <w:rPr>
          <w:spacing w:val="-1"/>
        </w:rPr>
        <w:t>terminated</w:t>
      </w:r>
      <w:r>
        <w:t xml:space="preserve"> </w:t>
      </w:r>
      <w:r>
        <w:rPr>
          <w:spacing w:val="-1"/>
        </w:rPr>
        <w:t>pursuant</w:t>
      </w:r>
      <w:r>
        <w:t xml:space="preserve"> to</w:t>
      </w:r>
      <w:r>
        <w:rPr>
          <w:spacing w:val="-2"/>
        </w:rPr>
        <w:t xml:space="preserve"> this</w:t>
      </w:r>
      <w:r>
        <w:rPr>
          <w:spacing w:val="1"/>
        </w:rPr>
        <w:t xml:space="preserve"> </w:t>
      </w:r>
      <w:r>
        <w:rPr>
          <w:spacing w:val="-2"/>
        </w:rPr>
        <w:t>Clause</w:t>
      </w:r>
      <w:r>
        <w:rPr>
          <w:spacing w:val="2"/>
        </w:rPr>
        <w:t xml:space="preserve"> </w:t>
      </w:r>
      <w:hyperlink w:anchor="_bookmark267" w:history="1">
        <w:r>
          <w:rPr>
            <w:spacing w:val="-1"/>
          </w:rPr>
          <w:t>51</w:t>
        </w:r>
      </w:hyperlink>
      <w:r>
        <w:rPr>
          <w:spacing w:val="-1"/>
        </w:rPr>
        <w:t>.</w:t>
      </w:r>
    </w:p>
    <w:p w:rsidR="008918FA" w:rsidRDefault="008918FA" w:rsidP="008918FA">
      <w:pPr>
        <w:pStyle w:val="BodyText"/>
        <w:numPr>
          <w:ilvl w:val="0"/>
          <w:numId w:val="66"/>
        </w:numPr>
        <w:tabs>
          <w:tab w:val="left" w:pos="688"/>
        </w:tabs>
        <w:spacing w:before="117"/>
        <w:ind w:left="687"/>
        <w:rPr>
          <w:rFonts w:ascii="Times New Roman" w:eastAsia="Times New Roman" w:hAnsi="Times New Roman" w:cs="Times New Roman"/>
        </w:rPr>
      </w:pPr>
      <w:bookmarkStart w:id="327" w:name="_bookmark270"/>
      <w:bookmarkEnd w:id="327"/>
      <w:r>
        <w:rPr>
          <w:rFonts w:ascii="Times New Roman"/>
          <w:spacing w:val="4"/>
        </w:rPr>
        <w:t>FURTHER</w:t>
      </w:r>
      <w:r>
        <w:rPr>
          <w:rFonts w:ascii="Times New Roman"/>
          <w:spacing w:val="23"/>
        </w:rPr>
        <w:t xml:space="preserve"> </w:t>
      </w:r>
      <w:r>
        <w:rPr>
          <w:rFonts w:ascii="Times New Roman"/>
          <w:spacing w:val="5"/>
        </w:rPr>
        <w:t>ASS</w:t>
      </w:r>
      <w:r>
        <w:rPr>
          <w:rFonts w:ascii="Times New Roman"/>
          <w:spacing w:val="-32"/>
        </w:rPr>
        <w:t xml:space="preserve"> </w:t>
      </w:r>
      <w:r>
        <w:rPr>
          <w:rFonts w:ascii="Times New Roman"/>
          <w:spacing w:val="4"/>
        </w:rPr>
        <w:t>URANCES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4"/>
        </w:tabs>
        <w:spacing w:before="0"/>
        <w:ind w:left="1049" w:right="111" w:hanging="360"/>
        <w:jc w:val="both"/>
      </w:pPr>
      <w:r>
        <w:rPr>
          <w:spacing w:val="-1"/>
        </w:rPr>
        <w:t>Each</w:t>
      </w:r>
      <w:r>
        <w:rPr>
          <w:spacing w:val="4"/>
        </w:rPr>
        <w:t xml:space="preserve"> </w:t>
      </w:r>
      <w:r>
        <w:rPr>
          <w:spacing w:val="-1"/>
        </w:rPr>
        <w:t>Party</w:t>
      </w:r>
      <w:r>
        <w:rPr>
          <w:spacing w:val="2"/>
        </w:rPr>
        <w:t xml:space="preserve"> </w:t>
      </w:r>
      <w:r>
        <w:rPr>
          <w:spacing w:val="-1"/>
        </w:rPr>
        <w:t>undertakes</w:t>
      </w:r>
      <w:r>
        <w:rPr>
          <w:spacing w:val="2"/>
        </w:rPr>
        <w:t xml:space="preserve"> </w:t>
      </w:r>
      <w:r>
        <w:rPr>
          <w:spacing w:val="-1"/>
        </w:rPr>
        <w:t>at</w:t>
      </w:r>
      <w:r>
        <w:rPr>
          <w:spacing w:val="5"/>
        </w:rPr>
        <w:t xml:space="preserve"> </w:t>
      </w:r>
      <w:r>
        <w:t>the</w:t>
      </w:r>
      <w:r>
        <w:rPr>
          <w:spacing w:val="4"/>
        </w:rPr>
        <w:t xml:space="preserve"> </w:t>
      </w:r>
      <w:r>
        <w:rPr>
          <w:spacing w:val="-1"/>
        </w:rPr>
        <w:t>request</w:t>
      </w:r>
      <w:r>
        <w:rPr>
          <w:spacing w:val="5"/>
        </w:rPr>
        <w:t xml:space="preserve"> </w:t>
      </w:r>
      <w:r>
        <w:rPr>
          <w:spacing w:val="-2"/>
        </w:rPr>
        <w:t>of</w:t>
      </w:r>
      <w:r>
        <w:rPr>
          <w:spacing w:val="8"/>
        </w:rPr>
        <w:t xml:space="preserve"> </w:t>
      </w:r>
      <w:r>
        <w:t>the</w:t>
      </w:r>
      <w:r>
        <w:rPr>
          <w:spacing w:val="2"/>
        </w:rPr>
        <w:t xml:space="preserve"> </w:t>
      </w:r>
      <w:r>
        <w:rPr>
          <w:spacing w:val="-1"/>
        </w:rPr>
        <w:t>other,</w:t>
      </w:r>
      <w:r>
        <w:rPr>
          <w:spacing w:val="5"/>
        </w:rPr>
        <w:t xml:space="preserve"> </w:t>
      </w:r>
      <w:r>
        <w:rPr>
          <w:spacing w:val="-1"/>
        </w:rPr>
        <w:t>and</w:t>
      </w:r>
      <w:r>
        <w:rPr>
          <w:spacing w:val="4"/>
        </w:rPr>
        <w:t xml:space="preserve"> </w:t>
      </w:r>
      <w:r>
        <w:rPr>
          <w:spacing w:val="-1"/>
        </w:rPr>
        <w:t>at</w:t>
      </w:r>
      <w:r>
        <w:rPr>
          <w:spacing w:val="3"/>
        </w:rPr>
        <w:t xml:space="preserve"> </w:t>
      </w:r>
      <w:r>
        <w:t>the</w:t>
      </w:r>
      <w:r>
        <w:rPr>
          <w:spacing w:val="4"/>
        </w:rPr>
        <w:t xml:space="preserve"> </w:t>
      </w:r>
      <w:r>
        <w:rPr>
          <w:spacing w:val="-1"/>
        </w:rPr>
        <w:t>co</w:t>
      </w:r>
      <w:bookmarkStart w:id="328" w:name="52._FURTHER_ASSURANCES"/>
      <w:bookmarkEnd w:id="328"/>
      <w:r>
        <w:rPr>
          <w:spacing w:val="-1"/>
        </w:rPr>
        <w:t>st</w:t>
      </w:r>
      <w:r>
        <w:rPr>
          <w:spacing w:val="5"/>
        </w:rPr>
        <w:t xml:space="preserve"> </w:t>
      </w:r>
      <w:r>
        <w:rPr>
          <w:spacing w:val="-2"/>
        </w:rPr>
        <w:t>of</w:t>
      </w:r>
      <w:r>
        <w:rPr>
          <w:spacing w:val="8"/>
        </w:rPr>
        <w:t xml:space="preserve"> </w:t>
      </w:r>
      <w:r>
        <w:rPr>
          <w:spacing w:val="-1"/>
        </w:rPr>
        <w:t>the</w:t>
      </w:r>
      <w:r>
        <w:rPr>
          <w:spacing w:val="44"/>
        </w:rPr>
        <w:t xml:space="preserve"> </w:t>
      </w:r>
      <w:r>
        <w:rPr>
          <w:spacing w:val="-1"/>
        </w:rPr>
        <w:t>requesting</w:t>
      </w:r>
      <w:r>
        <w:rPr>
          <w:spacing w:val="7"/>
        </w:rPr>
        <w:t xml:space="preserve"> </w:t>
      </w:r>
      <w:r>
        <w:rPr>
          <w:spacing w:val="-1"/>
        </w:rPr>
        <w:t>Party</w:t>
      </w:r>
      <w:r>
        <w:rPr>
          <w:spacing w:val="3"/>
        </w:rPr>
        <w:t xml:space="preserve"> </w:t>
      </w:r>
      <w:r>
        <w:t>to</w:t>
      </w:r>
      <w:r>
        <w:rPr>
          <w:spacing w:val="5"/>
        </w:rPr>
        <w:t xml:space="preserve"> </w:t>
      </w:r>
      <w:r>
        <w:rPr>
          <w:spacing w:val="-1"/>
        </w:rPr>
        <w:t>do</w:t>
      </w:r>
      <w:r>
        <w:rPr>
          <w:spacing w:val="5"/>
        </w:rPr>
        <w:t xml:space="preserve"> </w:t>
      </w:r>
      <w:r>
        <w:rPr>
          <w:spacing w:val="-2"/>
        </w:rPr>
        <w:t>all</w:t>
      </w:r>
      <w:r>
        <w:rPr>
          <w:spacing w:val="4"/>
        </w:rPr>
        <w:t xml:space="preserve"> </w:t>
      </w:r>
      <w:r>
        <w:rPr>
          <w:spacing w:val="-1"/>
        </w:rPr>
        <w:t>acts</w:t>
      </w:r>
      <w:r>
        <w:rPr>
          <w:spacing w:val="5"/>
        </w:rPr>
        <w:t xml:space="preserve"> </w:t>
      </w:r>
      <w:r>
        <w:rPr>
          <w:spacing w:val="-1"/>
        </w:rPr>
        <w:t>and</w:t>
      </w:r>
      <w:r>
        <w:rPr>
          <w:spacing w:val="5"/>
        </w:rPr>
        <w:t xml:space="preserve"> </w:t>
      </w:r>
      <w:r>
        <w:rPr>
          <w:spacing w:val="-1"/>
        </w:rPr>
        <w:t>execute</w:t>
      </w:r>
      <w:r>
        <w:rPr>
          <w:spacing w:val="5"/>
        </w:rPr>
        <w:t xml:space="preserve"> </w:t>
      </w:r>
      <w:r>
        <w:rPr>
          <w:spacing w:val="-1"/>
        </w:rPr>
        <w:t>all</w:t>
      </w:r>
      <w:r>
        <w:rPr>
          <w:spacing w:val="4"/>
        </w:rPr>
        <w:t xml:space="preserve"> </w:t>
      </w:r>
      <w:r>
        <w:rPr>
          <w:spacing w:val="-1"/>
        </w:rPr>
        <w:t>documents</w:t>
      </w:r>
      <w:r>
        <w:rPr>
          <w:spacing w:val="5"/>
        </w:rPr>
        <w:t xml:space="preserve"> </w:t>
      </w:r>
      <w:r>
        <w:rPr>
          <w:spacing w:val="-2"/>
        </w:rPr>
        <w:t>which</w:t>
      </w:r>
      <w:r>
        <w:rPr>
          <w:spacing w:val="5"/>
        </w:rPr>
        <w:t xml:space="preserve"> </w:t>
      </w:r>
      <w:r>
        <w:rPr>
          <w:spacing w:val="-1"/>
        </w:rPr>
        <w:t>may</w:t>
      </w:r>
      <w:r>
        <w:rPr>
          <w:spacing w:val="3"/>
        </w:rPr>
        <w:t xml:space="preserve"> </w:t>
      </w:r>
      <w:r>
        <w:rPr>
          <w:spacing w:val="-1"/>
        </w:rPr>
        <w:t>be</w:t>
      </w:r>
      <w:r>
        <w:rPr>
          <w:spacing w:val="5"/>
        </w:rPr>
        <w:t xml:space="preserve"> </w:t>
      </w:r>
      <w:r>
        <w:rPr>
          <w:spacing w:val="-1"/>
        </w:rPr>
        <w:t>necessary</w:t>
      </w:r>
      <w:r>
        <w:rPr>
          <w:spacing w:val="55"/>
        </w:rPr>
        <w:t xml:space="preserve"> </w:t>
      </w:r>
      <w:r>
        <w:t>to</w:t>
      </w:r>
      <w:r>
        <w:rPr>
          <w:spacing w:val="-2"/>
        </w:rPr>
        <w:t xml:space="preserve"> </w:t>
      </w:r>
      <w:r>
        <w:rPr>
          <w:spacing w:val="-1"/>
        </w:rPr>
        <w:t>give</w:t>
      </w:r>
      <w:r>
        <w:t xml:space="preserve"> </w:t>
      </w:r>
      <w:r>
        <w:rPr>
          <w:spacing w:val="-1"/>
        </w:rPr>
        <w:t>effect</w:t>
      </w:r>
      <w:r>
        <w:t xml:space="preserve"> to</w:t>
      </w:r>
      <w:r>
        <w:rPr>
          <w:spacing w:val="-2"/>
        </w:rPr>
        <w:t xml:space="preserve"> </w:t>
      </w:r>
      <w:r>
        <w:rPr>
          <w:spacing w:val="-1"/>
        </w:rPr>
        <w:t>the</w:t>
      </w:r>
      <w:r>
        <w:rPr>
          <w:spacing w:val="-4"/>
        </w:rPr>
        <w:t xml:space="preserve"> </w:t>
      </w:r>
      <w:r>
        <w:rPr>
          <w:spacing w:val="-2"/>
        </w:rPr>
        <w:t>meaning</w:t>
      </w:r>
      <w:r>
        <w:rPr>
          <w:spacing w:val="3"/>
        </w:rPr>
        <w:t xml:space="preserve"> </w:t>
      </w:r>
      <w:r>
        <w:rPr>
          <w:spacing w:val="-2"/>
        </w:rPr>
        <w:t>of</w:t>
      </w:r>
      <w:r>
        <w:t xml:space="preserve"> </w:t>
      </w:r>
      <w:r>
        <w:rPr>
          <w:spacing w:val="-1"/>
        </w:rPr>
        <w:t>this</w:t>
      </w:r>
      <w:r>
        <w:rPr>
          <w:spacing w:val="1"/>
        </w:rPr>
        <w:t xml:space="preserve"> </w:t>
      </w:r>
      <w:r>
        <w:rPr>
          <w:spacing w:val="-2"/>
        </w:rPr>
        <w:t>Call</w:t>
      </w:r>
      <w:r>
        <w:t xml:space="preserve"> </w:t>
      </w:r>
      <w:r>
        <w:rPr>
          <w:spacing w:val="-2"/>
        </w:rPr>
        <w:t>Off</w:t>
      </w:r>
      <w:r>
        <w:rPr>
          <w:spacing w:val="2"/>
        </w:rPr>
        <w:t xml:space="preserve"> </w:t>
      </w:r>
      <w:r>
        <w:rPr>
          <w:spacing w:val="-1"/>
        </w:rPr>
        <w:t>Contract.</w:t>
      </w:r>
    </w:p>
    <w:p w:rsidR="008918FA" w:rsidRDefault="008918FA" w:rsidP="008918FA">
      <w:pPr>
        <w:pStyle w:val="BodyText"/>
        <w:numPr>
          <w:ilvl w:val="0"/>
          <w:numId w:val="66"/>
        </w:numPr>
        <w:tabs>
          <w:tab w:val="left" w:pos="688"/>
        </w:tabs>
        <w:spacing w:before="117"/>
        <w:ind w:left="687" w:hanging="566"/>
        <w:rPr>
          <w:rFonts w:ascii="Times New Roman" w:eastAsia="Times New Roman" w:hAnsi="Times New Roman" w:cs="Times New Roman"/>
        </w:rPr>
      </w:pPr>
      <w:bookmarkStart w:id="329" w:name="_bookmark271"/>
      <w:bookmarkEnd w:id="329"/>
      <w:r>
        <w:rPr>
          <w:rFonts w:ascii="Times New Roman"/>
        </w:rPr>
        <w:t>ENTIRE</w:t>
      </w:r>
      <w:r>
        <w:rPr>
          <w:rFonts w:ascii="Times New Roman"/>
          <w:spacing w:val="23"/>
        </w:rPr>
        <w:t xml:space="preserve"> </w:t>
      </w:r>
      <w:r>
        <w:rPr>
          <w:rFonts w:ascii="Times New Roman"/>
          <w:spacing w:val="4"/>
        </w:rPr>
        <w:t>AGREEMENT</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54"/>
        </w:tabs>
        <w:spacing w:before="0"/>
        <w:ind w:left="1049" w:right="110" w:hanging="360"/>
        <w:jc w:val="both"/>
      </w:pPr>
      <w:r>
        <w:rPr>
          <w:spacing w:val="-1"/>
        </w:rPr>
        <w:t>This</w:t>
      </w:r>
      <w:r>
        <w:rPr>
          <w:spacing w:val="32"/>
        </w:rPr>
        <w:t xml:space="preserve"> </w:t>
      </w:r>
      <w:r>
        <w:rPr>
          <w:spacing w:val="-2"/>
        </w:rPr>
        <w:t>Call</w:t>
      </w:r>
      <w:r>
        <w:rPr>
          <w:spacing w:val="31"/>
        </w:rPr>
        <w:t xml:space="preserve"> </w:t>
      </w:r>
      <w:r>
        <w:rPr>
          <w:spacing w:val="-1"/>
        </w:rPr>
        <w:t>Off</w:t>
      </w:r>
      <w:r>
        <w:rPr>
          <w:spacing w:val="33"/>
        </w:rPr>
        <w:t xml:space="preserve"> </w:t>
      </w:r>
      <w:r>
        <w:rPr>
          <w:spacing w:val="-2"/>
        </w:rPr>
        <w:t>Contract</w:t>
      </w:r>
      <w:r>
        <w:rPr>
          <w:spacing w:val="34"/>
        </w:rPr>
        <w:t xml:space="preserve"> </w:t>
      </w:r>
      <w:r>
        <w:rPr>
          <w:spacing w:val="-2"/>
        </w:rPr>
        <w:t>and</w:t>
      </w:r>
      <w:r>
        <w:rPr>
          <w:spacing w:val="31"/>
        </w:rPr>
        <w:t xml:space="preserve"> </w:t>
      </w:r>
      <w:r>
        <w:t>the</w:t>
      </w:r>
      <w:r>
        <w:rPr>
          <w:spacing w:val="31"/>
        </w:rPr>
        <w:t xml:space="preserve"> </w:t>
      </w:r>
      <w:r>
        <w:rPr>
          <w:spacing w:val="-1"/>
        </w:rPr>
        <w:t>documents</w:t>
      </w:r>
      <w:r>
        <w:rPr>
          <w:spacing w:val="30"/>
        </w:rPr>
        <w:t xml:space="preserve"> </w:t>
      </w:r>
      <w:r>
        <w:rPr>
          <w:spacing w:val="-1"/>
        </w:rPr>
        <w:t>referred</w:t>
      </w:r>
      <w:r>
        <w:rPr>
          <w:spacing w:val="32"/>
        </w:rPr>
        <w:t xml:space="preserve"> </w:t>
      </w:r>
      <w:r>
        <w:t>to</w:t>
      </w:r>
      <w:r>
        <w:rPr>
          <w:spacing w:val="31"/>
        </w:rPr>
        <w:t xml:space="preserve"> </w:t>
      </w:r>
      <w:r>
        <w:rPr>
          <w:spacing w:val="-1"/>
        </w:rPr>
        <w:t>in</w:t>
      </w:r>
      <w:r>
        <w:rPr>
          <w:spacing w:val="31"/>
        </w:rPr>
        <w:t xml:space="preserve"> </w:t>
      </w:r>
      <w:r>
        <w:rPr>
          <w:spacing w:val="-1"/>
        </w:rPr>
        <w:t>it</w:t>
      </w:r>
      <w:r>
        <w:rPr>
          <w:spacing w:val="33"/>
        </w:rPr>
        <w:t xml:space="preserve"> </w:t>
      </w:r>
      <w:r>
        <w:rPr>
          <w:spacing w:val="-1"/>
        </w:rPr>
        <w:t>constitute</w:t>
      </w:r>
      <w:r>
        <w:rPr>
          <w:spacing w:val="30"/>
        </w:rPr>
        <w:t xml:space="preserve"> </w:t>
      </w:r>
      <w:r>
        <w:t>the</w:t>
      </w:r>
      <w:r>
        <w:rPr>
          <w:spacing w:val="29"/>
        </w:rPr>
        <w:t xml:space="preserve"> </w:t>
      </w:r>
      <w:r>
        <w:rPr>
          <w:spacing w:val="-1"/>
        </w:rPr>
        <w:t>entire</w:t>
      </w:r>
      <w:r>
        <w:rPr>
          <w:spacing w:val="61"/>
        </w:rPr>
        <w:t xml:space="preserve"> </w:t>
      </w:r>
      <w:r>
        <w:rPr>
          <w:spacing w:val="-1"/>
        </w:rPr>
        <w:t>agreement</w:t>
      </w:r>
      <w:r>
        <w:rPr>
          <w:spacing w:val="3"/>
        </w:rPr>
        <w:t xml:space="preserve"> </w:t>
      </w:r>
      <w:r>
        <w:rPr>
          <w:spacing w:val="-2"/>
        </w:rPr>
        <w:t>between</w:t>
      </w:r>
      <w:r>
        <w:rPr>
          <w:spacing w:val="2"/>
        </w:rPr>
        <w:t xml:space="preserve"> </w:t>
      </w:r>
      <w:r>
        <w:t>the</w:t>
      </w:r>
      <w:r>
        <w:rPr>
          <w:spacing w:val="60"/>
        </w:rPr>
        <w:t xml:space="preserve"> </w:t>
      </w:r>
      <w:r>
        <w:rPr>
          <w:spacing w:val="-1"/>
        </w:rPr>
        <w:t>Parties</w:t>
      </w:r>
      <w:r>
        <w:rPr>
          <w:spacing w:val="2"/>
        </w:rPr>
        <w:t xml:space="preserve"> </w:t>
      </w:r>
      <w:r>
        <w:rPr>
          <w:spacing w:val="-1"/>
        </w:rPr>
        <w:t>in</w:t>
      </w:r>
      <w:r>
        <w:rPr>
          <w:spacing w:val="2"/>
        </w:rPr>
        <w:t xml:space="preserve"> </w:t>
      </w:r>
      <w:r>
        <w:rPr>
          <w:spacing w:val="-1"/>
        </w:rPr>
        <w:t>respect</w:t>
      </w:r>
      <w:r>
        <w:rPr>
          <w:spacing w:val="3"/>
        </w:rPr>
        <w:t xml:space="preserve"> </w:t>
      </w:r>
      <w:r>
        <w:rPr>
          <w:spacing w:val="-2"/>
        </w:rPr>
        <w:t>of</w:t>
      </w:r>
      <w:r>
        <w:rPr>
          <w:spacing w:val="3"/>
        </w:rPr>
        <w:t xml:space="preserve"> </w:t>
      </w:r>
      <w:r>
        <w:rPr>
          <w:spacing w:val="-1"/>
        </w:rPr>
        <w:t>the</w:t>
      </w:r>
      <w:r>
        <w:rPr>
          <w:spacing w:val="2"/>
        </w:rPr>
        <w:t xml:space="preserve"> </w:t>
      </w:r>
      <w:r>
        <w:rPr>
          <w:spacing w:val="-1"/>
        </w:rPr>
        <w:t>matter</w:t>
      </w:r>
      <w:r>
        <w:rPr>
          <w:spacing w:val="3"/>
        </w:rPr>
        <w:t xml:space="preserve"> </w:t>
      </w:r>
      <w:r>
        <w:rPr>
          <w:spacing w:val="-1"/>
        </w:rPr>
        <w:t>and</w:t>
      </w:r>
      <w:r>
        <w:rPr>
          <w:spacing w:val="60"/>
        </w:rPr>
        <w:t xml:space="preserve"> </w:t>
      </w:r>
      <w:r>
        <w:rPr>
          <w:spacing w:val="-1"/>
        </w:rPr>
        <w:t>supersedes</w:t>
      </w:r>
      <w:r>
        <w:rPr>
          <w:spacing w:val="2"/>
        </w:rPr>
        <w:t xml:space="preserve"> </w:t>
      </w:r>
      <w:r>
        <w:rPr>
          <w:spacing w:val="-1"/>
        </w:rPr>
        <w:t>and</w:t>
      </w:r>
      <w:r>
        <w:rPr>
          <w:spacing w:val="34"/>
        </w:rPr>
        <w:t xml:space="preserve"> </w:t>
      </w:r>
      <w:r>
        <w:rPr>
          <w:spacing w:val="-1"/>
        </w:rPr>
        <w:t>extinguishes</w:t>
      </w:r>
      <w:r>
        <w:rPr>
          <w:spacing w:val="35"/>
        </w:rPr>
        <w:t xml:space="preserve"> </w:t>
      </w:r>
      <w:r>
        <w:rPr>
          <w:spacing w:val="-1"/>
        </w:rPr>
        <w:t>all</w:t>
      </w:r>
      <w:r>
        <w:rPr>
          <w:spacing w:val="34"/>
        </w:rPr>
        <w:t xml:space="preserve"> </w:t>
      </w:r>
      <w:r>
        <w:rPr>
          <w:spacing w:val="-1"/>
        </w:rPr>
        <w:t>prior</w:t>
      </w:r>
      <w:r>
        <w:rPr>
          <w:spacing w:val="34"/>
        </w:rPr>
        <w:t xml:space="preserve"> </w:t>
      </w:r>
      <w:r>
        <w:rPr>
          <w:spacing w:val="-1"/>
        </w:rPr>
        <w:t>negotiations,</w:t>
      </w:r>
      <w:r>
        <w:rPr>
          <w:spacing w:val="34"/>
        </w:rPr>
        <w:t xml:space="preserve"> </w:t>
      </w:r>
      <w:r>
        <w:rPr>
          <w:spacing w:val="-1"/>
        </w:rPr>
        <w:t>course</w:t>
      </w:r>
      <w:r>
        <w:rPr>
          <w:spacing w:val="35"/>
        </w:rPr>
        <w:t xml:space="preserve"> </w:t>
      </w:r>
      <w:r>
        <w:rPr>
          <w:spacing w:val="-2"/>
        </w:rPr>
        <w:t>of</w:t>
      </w:r>
      <w:r>
        <w:rPr>
          <w:spacing w:val="34"/>
        </w:rPr>
        <w:t xml:space="preserve"> </w:t>
      </w:r>
      <w:r>
        <w:rPr>
          <w:spacing w:val="-1"/>
        </w:rPr>
        <w:t>dealings</w:t>
      </w:r>
      <w:r>
        <w:rPr>
          <w:spacing w:val="36"/>
        </w:rPr>
        <w:t xml:space="preserve"> </w:t>
      </w:r>
      <w:r>
        <w:rPr>
          <w:spacing w:val="-1"/>
        </w:rPr>
        <w:t>or</w:t>
      </w:r>
      <w:r>
        <w:rPr>
          <w:spacing w:val="34"/>
        </w:rPr>
        <w:t xml:space="preserve"> </w:t>
      </w:r>
      <w:r>
        <w:rPr>
          <w:spacing w:val="-1"/>
        </w:rPr>
        <w:t>agreements</w:t>
      </w:r>
      <w:r>
        <w:rPr>
          <w:spacing w:val="33"/>
        </w:rPr>
        <w:t xml:space="preserve"> </w:t>
      </w:r>
      <w:r>
        <w:rPr>
          <w:spacing w:val="-1"/>
        </w:rPr>
        <w:t>made</w:t>
      </w:r>
      <w:r>
        <w:rPr>
          <w:spacing w:val="36"/>
        </w:rPr>
        <w:t xml:space="preserve"> </w:t>
      </w:r>
      <w:r>
        <w:rPr>
          <w:spacing w:val="-1"/>
        </w:rPr>
        <w:t>between</w:t>
      </w:r>
      <w:r>
        <w:t xml:space="preserve"> the </w:t>
      </w:r>
      <w:r>
        <w:rPr>
          <w:spacing w:val="-1"/>
        </w:rPr>
        <w:t>Parties</w:t>
      </w:r>
      <w:r>
        <w:rPr>
          <w:spacing w:val="1"/>
        </w:rPr>
        <w:t xml:space="preserve"> </w:t>
      </w:r>
      <w:r>
        <w:rPr>
          <w:spacing w:val="-1"/>
        </w:rPr>
        <w:t>in</w:t>
      </w:r>
      <w:r>
        <w:rPr>
          <w:spacing w:val="-2"/>
        </w:rPr>
        <w:t xml:space="preserve"> </w:t>
      </w:r>
      <w:r>
        <w:rPr>
          <w:spacing w:val="-1"/>
        </w:rPr>
        <w:t>relation</w:t>
      </w:r>
      <w:r>
        <w:t xml:space="preserve"> to </w:t>
      </w:r>
      <w:r>
        <w:rPr>
          <w:spacing w:val="-1"/>
        </w:rPr>
        <w:t>its</w:t>
      </w:r>
      <w:r>
        <w:rPr>
          <w:spacing w:val="1"/>
        </w:rPr>
        <w:t xml:space="preserve"> </w:t>
      </w:r>
      <w:r>
        <w:rPr>
          <w:spacing w:val="-1"/>
        </w:rPr>
        <w:t>subject</w:t>
      </w:r>
      <w:r>
        <w:t xml:space="preserve"> </w:t>
      </w:r>
      <w:r>
        <w:rPr>
          <w:spacing w:val="-1"/>
        </w:rPr>
        <w:t>matter,</w:t>
      </w:r>
      <w:r>
        <w:t xml:space="preserve"> </w:t>
      </w:r>
      <w:r>
        <w:rPr>
          <w:spacing w:val="-1"/>
        </w:rPr>
        <w:t>whether</w:t>
      </w:r>
      <w:r>
        <w:rPr>
          <w:spacing w:val="2"/>
        </w:rPr>
        <w:t xml:space="preserve"> </w:t>
      </w:r>
      <w:r>
        <w:rPr>
          <w:spacing w:val="-1"/>
        </w:rPr>
        <w:t>written</w:t>
      </w:r>
      <w:r>
        <w:t xml:space="preserve"> </w:t>
      </w:r>
      <w:r>
        <w:rPr>
          <w:spacing w:val="-2"/>
        </w:rPr>
        <w:t>or</w:t>
      </w:r>
      <w:r>
        <w:rPr>
          <w:spacing w:val="2"/>
        </w:rPr>
        <w:t xml:space="preserve"> </w:t>
      </w:r>
      <w:r>
        <w:rPr>
          <w:spacing w:val="-2"/>
        </w:rPr>
        <w:t>oral.</w:t>
      </w:r>
    </w:p>
    <w:p w:rsidR="008918FA" w:rsidRDefault="008918FA" w:rsidP="008918FA">
      <w:pPr>
        <w:pStyle w:val="BodyText"/>
        <w:numPr>
          <w:ilvl w:val="1"/>
          <w:numId w:val="66"/>
        </w:numPr>
        <w:tabs>
          <w:tab w:val="left" w:pos="1255"/>
        </w:tabs>
        <w:ind w:left="1050" w:right="112" w:hanging="361"/>
        <w:jc w:val="both"/>
      </w:pPr>
      <w:r>
        <w:rPr>
          <w:spacing w:val="-1"/>
        </w:rPr>
        <w:t>Neither</w:t>
      </w:r>
      <w:r>
        <w:rPr>
          <w:spacing w:val="21"/>
        </w:rPr>
        <w:t xml:space="preserve"> </w:t>
      </w:r>
      <w:r>
        <w:rPr>
          <w:spacing w:val="-1"/>
        </w:rPr>
        <w:t>Party</w:t>
      </w:r>
      <w:r>
        <w:rPr>
          <w:spacing w:val="17"/>
        </w:rPr>
        <w:t xml:space="preserve"> </w:t>
      </w:r>
      <w:r>
        <w:rPr>
          <w:spacing w:val="-1"/>
        </w:rPr>
        <w:t>has</w:t>
      </w:r>
      <w:r>
        <w:rPr>
          <w:spacing w:val="20"/>
        </w:rPr>
        <w:t xml:space="preserve"> </w:t>
      </w:r>
      <w:r>
        <w:rPr>
          <w:spacing w:val="-1"/>
        </w:rPr>
        <w:t>been</w:t>
      </w:r>
      <w:r>
        <w:rPr>
          <w:spacing w:val="20"/>
        </w:rPr>
        <w:t xml:space="preserve"> </w:t>
      </w:r>
      <w:r>
        <w:rPr>
          <w:spacing w:val="-1"/>
        </w:rPr>
        <w:t>given,</w:t>
      </w:r>
      <w:r>
        <w:rPr>
          <w:spacing w:val="21"/>
        </w:rPr>
        <w:t xml:space="preserve"> </w:t>
      </w:r>
      <w:r>
        <w:rPr>
          <w:spacing w:val="-1"/>
        </w:rPr>
        <w:t>nor</w:t>
      </w:r>
      <w:r>
        <w:rPr>
          <w:spacing w:val="21"/>
        </w:rPr>
        <w:t xml:space="preserve"> </w:t>
      </w:r>
      <w:r>
        <w:rPr>
          <w:spacing w:val="-1"/>
        </w:rPr>
        <w:t>entered</w:t>
      </w:r>
      <w:r>
        <w:rPr>
          <w:spacing w:val="20"/>
        </w:rPr>
        <w:t xml:space="preserve"> </w:t>
      </w:r>
      <w:r>
        <w:rPr>
          <w:spacing w:val="-1"/>
        </w:rPr>
        <w:t>into</w:t>
      </w:r>
      <w:r>
        <w:rPr>
          <w:spacing w:val="20"/>
        </w:rPr>
        <w:t xml:space="preserve"> </w:t>
      </w:r>
      <w:r>
        <w:rPr>
          <w:spacing w:val="-2"/>
        </w:rPr>
        <w:t>this</w:t>
      </w:r>
      <w:r>
        <w:rPr>
          <w:spacing w:val="20"/>
        </w:rPr>
        <w:t xml:space="preserve"> </w:t>
      </w:r>
      <w:r>
        <w:rPr>
          <w:spacing w:val="-2"/>
        </w:rPr>
        <w:t>Call</w:t>
      </w:r>
      <w:r>
        <w:rPr>
          <w:spacing w:val="19"/>
        </w:rPr>
        <w:t xml:space="preserve"> </w:t>
      </w:r>
      <w:r>
        <w:t>Off</w:t>
      </w:r>
      <w:r>
        <w:rPr>
          <w:spacing w:val="21"/>
        </w:rPr>
        <w:t xml:space="preserve"> </w:t>
      </w:r>
      <w:r>
        <w:rPr>
          <w:spacing w:val="-2"/>
        </w:rPr>
        <w:t>Contract</w:t>
      </w:r>
      <w:r>
        <w:rPr>
          <w:spacing w:val="21"/>
        </w:rPr>
        <w:t xml:space="preserve"> </w:t>
      </w:r>
      <w:r>
        <w:rPr>
          <w:spacing w:val="-1"/>
        </w:rPr>
        <w:t>in</w:t>
      </w:r>
      <w:r>
        <w:rPr>
          <w:spacing w:val="20"/>
        </w:rPr>
        <w:t xml:space="preserve"> </w:t>
      </w:r>
      <w:r>
        <w:rPr>
          <w:spacing w:val="-2"/>
        </w:rPr>
        <w:t>reliance</w:t>
      </w:r>
      <w:r>
        <w:rPr>
          <w:spacing w:val="58"/>
        </w:rPr>
        <w:t xml:space="preserve"> </w:t>
      </w:r>
      <w:r>
        <w:rPr>
          <w:spacing w:val="-1"/>
        </w:rPr>
        <w:t>on,</w:t>
      </w:r>
      <w:r>
        <w:rPr>
          <w:spacing w:val="14"/>
        </w:rPr>
        <w:t xml:space="preserve"> </w:t>
      </w:r>
      <w:r>
        <w:rPr>
          <w:spacing w:val="-1"/>
        </w:rPr>
        <w:t>any</w:t>
      </w:r>
      <w:r>
        <w:rPr>
          <w:spacing w:val="13"/>
        </w:rPr>
        <w:t xml:space="preserve"> </w:t>
      </w:r>
      <w:r>
        <w:rPr>
          <w:spacing w:val="-1"/>
        </w:rPr>
        <w:t>warranty,</w:t>
      </w:r>
      <w:r>
        <w:rPr>
          <w:spacing w:val="14"/>
        </w:rPr>
        <w:t xml:space="preserve"> </w:t>
      </w:r>
      <w:r>
        <w:rPr>
          <w:spacing w:val="-1"/>
        </w:rPr>
        <w:t>statement,</w:t>
      </w:r>
      <w:r>
        <w:rPr>
          <w:spacing w:val="14"/>
        </w:rPr>
        <w:t xml:space="preserve"> </w:t>
      </w:r>
      <w:r>
        <w:rPr>
          <w:spacing w:val="-1"/>
        </w:rPr>
        <w:t>promise</w:t>
      </w:r>
      <w:r>
        <w:rPr>
          <w:spacing w:val="13"/>
        </w:rPr>
        <w:t xml:space="preserve"> </w:t>
      </w:r>
      <w:r>
        <w:rPr>
          <w:spacing w:val="-1"/>
        </w:rPr>
        <w:t>or</w:t>
      </w:r>
      <w:r>
        <w:rPr>
          <w:spacing w:val="14"/>
        </w:rPr>
        <w:t xml:space="preserve"> </w:t>
      </w:r>
      <w:r>
        <w:rPr>
          <w:spacing w:val="-1"/>
        </w:rPr>
        <w:t>representation</w:t>
      </w:r>
      <w:r>
        <w:rPr>
          <w:spacing w:val="12"/>
        </w:rPr>
        <w:t xml:space="preserve"> </w:t>
      </w:r>
      <w:r>
        <w:rPr>
          <w:spacing w:val="-1"/>
        </w:rPr>
        <w:t>other</w:t>
      </w:r>
      <w:r>
        <w:rPr>
          <w:spacing w:val="14"/>
        </w:rPr>
        <w:t xml:space="preserve"> </w:t>
      </w:r>
      <w:r>
        <w:rPr>
          <w:spacing w:val="-1"/>
        </w:rPr>
        <w:t>than</w:t>
      </w:r>
      <w:r>
        <w:rPr>
          <w:spacing w:val="12"/>
        </w:rPr>
        <w:t xml:space="preserve"> </w:t>
      </w:r>
      <w:r>
        <w:rPr>
          <w:spacing w:val="-1"/>
        </w:rPr>
        <w:t>those</w:t>
      </w:r>
      <w:r>
        <w:rPr>
          <w:spacing w:val="13"/>
        </w:rPr>
        <w:t xml:space="preserve"> </w:t>
      </w:r>
      <w:r>
        <w:rPr>
          <w:spacing w:val="-1"/>
        </w:rPr>
        <w:t>expressly</w:t>
      </w:r>
      <w:r>
        <w:rPr>
          <w:spacing w:val="29"/>
        </w:rPr>
        <w:t xml:space="preserve"> </w:t>
      </w:r>
      <w:r>
        <w:rPr>
          <w:spacing w:val="-1"/>
        </w:rPr>
        <w:t>set</w:t>
      </w:r>
      <w:r>
        <w:rPr>
          <w:spacing w:val="2"/>
        </w:rPr>
        <w:t xml:space="preserve"> </w:t>
      </w:r>
      <w:r>
        <w:rPr>
          <w:spacing w:val="-2"/>
        </w:rPr>
        <w:t>out</w:t>
      </w:r>
      <w:r>
        <w:rPr>
          <w:spacing w:val="2"/>
        </w:rPr>
        <w:t xml:space="preserve"> </w:t>
      </w:r>
      <w:r>
        <w:rPr>
          <w:spacing w:val="-1"/>
        </w:rPr>
        <w:t>in</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1"/>
          <w:numId w:val="66"/>
        </w:numPr>
        <w:tabs>
          <w:tab w:val="left" w:pos="1255"/>
        </w:tabs>
        <w:ind w:left="1050" w:right="115" w:hanging="360"/>
        <w:jc w:val="both"/>
      </w:pPr>
      <w:r>
        <w:rPr>
          <w:spacing w:val="-1"/>
        </w:rPr>
        <w:t>Nothing</w:t>
      </w:r>
      <w:r>
        <w:rPr>
          <w:spacing w:val="39"/>
        </w:rPr>
        <w:t xml:space="preserve"> </w:t>
      </w:r>
      <w:r>
        <w:rPr>
          <w:spacing w:val="-1"/>
        </w:rPr>
        <w:t>in</w:t>
      </w:r>
      <w:r>
        <w:rPr>
          <w:spacing w:val="34"/>
        </w:rPr>
        <w:t xml:space="preserve"> </w:t>
      </w:r>
      <w:r>
        <w:rPr>
          <w:spacing w:val="-1"/>
        </w:rPr>
        <w:t>this</w:t>
      </w:r>
      <w:r>
        <w:rPr>
          <w:spacing w:val="37"/>
        </w:rPr>
        <w:t xml:space="preserve"> </w:t>
      </w:r>
      <w:r>
        <w:rPr>
          <w:spacing w:val="-2"/>
        </w:rPr>
        <w:t>Clause</w:t>
      </w:r>
      <w:r>
        <w:rPr>
          <w:spacing w:val="38"/>
        </w:rPr>
        <w:t xml:space="preserve"> </w:t>
      </w:r>
      <w:hyperlink w:anchor="_bookmark271" w:history="1">
        <w:r>
          <w:rPr>
            <w:spacing w:val="-1"/>
          </w:rPr>
          <w:t>53</w:t>
        </w:r>
      </w:hyperlink>
      <w:r>
        <w:rPr>
          <w:spacing w:val="29"/>
        </w:rPr>
        <w:t xml:space="preserve"> </w:t>
      </w:r>
      <w:r>
        <w:rPr>
          <w:spacing w:val="-1"/>
        </w:rPr>
        <w:t>shall</w:t>
      </w:r>
      <w:r>
        <w:rPr>
          <w:spacing w:val="36"/>
        </w:rPr>
        <w:t xml:space="preserve"> </w:t>
      </w:r>
      <w:r>
        <w:rPr>
          <w:spacing w:val="-2"/>
        </w:rPr>
        <w:t>exclude</w:t>
      </w:r>
      <w:r>
        <w:rPr>
          <w:spacing w:val="39"/>
        </w:rPr>
        <w:t xml:space="preserve"> </w:t>
      </w:r>
      <w:r>
        <w:rPr>
          <w:spacing w:val="-1"/>
        </w:rPr>
        <w:t>any</w:t>
      </w:r>
      <w:r>
        <w:rPr>
          <w:spacing w:val="35"/>
        </w:rPr>
        <w:t xml:space="preserve"> </w:t>
      </w:r>
      <w:r>
        <w:rPr>
          <w:spacing w:val="-1"/>
        </w:rPr>
        <w:t>liability</w:t>
      </w:r>
      <w:r>
        <w:rPr>
          <w:spacing w:val="34"/>
        </w:rPr>
        <w:t xml:space="preserve"> </w:t>
      </w:r>
      <w:r>
        <w:rPr>
          <w:spacing w:val="-1"/>
        </w:rPr>
        <w:t>in</w:t>
      </w:r>
      <w:r>
        <w:rPr>
          <w:spacing w:val="36"/>
        </w:rPr>
        <w:t xml:space="preserve"> </w:t>
      </w:r>
      <w:r>
        <w:rPr>
          <w:spacing w:val="-1"/>
        </w:rPr>
        <w:t>respect</w:t>
      </w:r>
      <w:r>
        <w:rPr>
          <w:spacing w:val="38"/>
        </w:rPr>
        <w:t xml:space="preserve"> </w:t>
      </w:r>
      <w:r>
        <w:rPr>
          <w:spacing w:val="-2"/>
        </w:rPr>
        <w:t>of</w:t>
      </w:r>
      <w:r>
        <w:rPr>
          <w:spacing w:val="39"/>
        </w:rPr>
        <w:t xml:space="preserve"> </w:t>
      </w:r>
      <w:r>
        <w:rPr>
          <w:spacing w:val="-1"/>
        </w:rPr>
        <w:t>misrepresentations</w:t>
      </w:r>
      <w:r>
        <w:rPr>
          <w:spacing w:val="-2"/>
        </w:rPr>
        <w:t xml:space="preserve"> </w:t>
      </w:r>
      <w:r>
        <w:rPr>
          <w:spacing w:val="-1"/>
        </w:rPr>
        <w:t>made</w:t>
      </w:r>
      <w:r>
        <w:rPr>
          <w:spacing w:val="-2"/>
        </w:rPr>
        <w:t xml:space="preserve"> </w:t>
      </w:r>
      <w:r>
        <w:rPr>
          <w:spacing w:val="-1"/>
        </w:rPr>
        <w:t>fraudulently.</w:t>
      </w:r>
    </w:p>
    <w:p w:rsidR="008918FA" w:rsidRDefault="008918FA" w:rsidP="008918FA">
      <w:pPr>
        <w:pStyle w:val="BodyText"/>
        <w:numPr>
          <w:ilvl w:val="0"/>
          <w:numId w:val="66"/>
        </w:numPr>
        <w:tabs>
          <w:tab w:val="left" w:pos="688"/>
        </w:tabs>
        <w:spacing w:before="117"/>
        <w:ind w:left="687" w:hanging="566"/>
        <w:rPr>
          <w:rFonts w:ascii="Times New Roman" w:eastAsia="Times New Roman" w:hAnsi="Times New Roman" w:cs="Times New Roman"/>
        </w:rPr>
      </w:pPr>
      <w:bookmarkStart w:id="330" w:name="_bookmark272"/>
      <w:bookmarkEnd w:id="330"/>
      <w:r>
        <w:rPr>
          <w:rFonts w:ascii="Times New Roman"/>
          <w:spacing w:val="-2"/>
        </w:rPr>
        <w:t>THIRD</w:t>
      </w:r>
      <w:r>
        <w:rPr>
          <w:rFonts w:ascii="Times New Roman"/>
          <w:spacing w:val="6"/>
        </w:rPr>
        <w:t xml:space="preserve"> </w:t>
      </w:r>
      <w:r>
        <w:rPr>
          <w:rFonts w:ascii="Times New Roman"/>
        </w:rPr>
        <w:t>P</w:t>
      </w:r>
      <w:r>
        <w:rPr>
          <w:rFonts w:ascii="Times New Roman"/>
          <w:spacing w:val="-27"/>
        </w:rPr>
        <w:t xml:space="preserve"> </w:t>
      </w:r>
      <w:r>
        <w:rPr>
          <w:rFonts w:ascii="Times New Roman"/>
          <w:spacing w:val="1"/>
        </w:rPr>
        <w:t>ARTY</w:t>
      </w:r>
      <w:r>
        <w:rPr>
          <w:rFonts w:ascii="Times New Roman"/>
          <w:spacing w:val="-6"/>
        </w:rPr>
        <w:t xml:space="preserve"> </w:t>
      </w:r>
      <w:r>
        <w:rPr>
          <w:rFonts w:ascii="Times New Roman"/>
        </w:rPr>
        <w:t>RIGHTS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6"/>
        </w:numPr>
        <w:tabs>
          <w:tab w:val="left" w:pos="1255"/>
        </w:tabs>
        <w:spacing w:before="0" w:line="252" w:lineRule="exact"/>
        <w:ind w:left="1028" w:hanging="338"/>
      </w:pPr>
      <w:bookmarkStart w:id="331" w:name="_bookmark273"/>
      <w:bookmarkEnd w:id="331"/>
      <w:r>
        <w:t>The</w:t>
      </w:r>
      <w:r>
        <w:rPr>
          <w:spacing w:val="7"/>
        </w:rPr>
        <w:t xml:space="preserve"> </w:t>
      </w:r>
      <w:r>
        <w:rPr>
          <w:spacing w:val="-2"/>
        </w:rPr>
        <w:t>provisions</w:t>
      </w:r>
      <w:r>
        <w:rPr>
          <w:spacing w:val="8"/>
        </w:rPr>
        <w:t xml:space="preserve"> </w:t>
      </w:r>
      <w:r>
        <w:rPr>
          <w:spacing w:val="-1"/>
        </w:rPr>
        <w:t>of</w:t>
      </w:r>
      <w:r>
        <w:rPr>
          <w:spacing w:val="11"/>
        </w:rPr>
        <w:t xml:space="preserve"> </w:t>
      </w:r>
      <w:r>
        <w:rPr>
          <w:spacing w:val="-2"/>
        </w:rPr>
        <w:t>paragraphs</w:t>
      </w:r>
      <w:r>
        <w:rPr>
          <w:spacing w:val="2"/>
        </w:rPr>
        <w:t xml:space="preserve"> </w:t>
      </w:r>
      <w:r>
        <w:t>2.1</w:t>
      </w:r>
      <w:r>
        <w:rPr>
          <w:spacing w:val="8"/>
        </w:rPr>
        <w:t xml:space="preserve"> </w:t>
      </w:r>
      <w:r>
        <w:rPr>
          <w:spacing w:val="-1"/>
        </w:rPr>
        <w:t>and</w:t>
      </w:r>
      <w:r>
        <w:rPr>
          <w:spacing w:val="8"/>
        </w:rPr>
        <w:t xml:space="preserve"> </w:t>
      </w:r>
      <w:r>
        <w:t>2.6</w:t>
      </w:r>
      <w:r>
        <w:rPr>
          <w:spacing w:val="8"/>
        </w:rPr>
        <w:t xml:space="preserve"> </w:t>
      </w:r>
      <w:r>
        <w:rPr>
          <w:spacing w:val="-2"/>
        </w:rPr>
        <w:t>of</w:t>
      </w:r>
      <w:r>
        <w:rPr>
          <w:spacing w:val="11"/>
        </w:rPr>
        <w:t xml:space="preserve"> </w:t>
      </w:r>
      <w:r>
        <w:rPr>
          <w:spacing w:val="-1"/>
        </w:rPr>
        <w:t>Part</w:t>
      </w:r>
      <w:r>
        <w:rPr>
          <w:spacing w:val="-3"/>
        </w:rPr>
        <w:t xml:space="preserve"> </w:t>
      </w:r>
      <w:r>
        <w:rPr>
          <w:spacing w:val="-1"/>
        </w:rPr>
        <w:t>A,</w:t>
      </w:r>
      <w:r>
        <w:rPr>
          <w:spacing w:val="9"/>
        </w:rPr>
        <w:t xml:space="preserve"> </w:t>
      </w:r>
      <w:r>
        <w:rPr>
          <w:spacing w:val="-1"/>
        </w:rPr>
        <w:t>paragraphs 2.1,</w:t>
      </w:r>
      <w:r>
        <w:rPr>
          <w:spacing w:val="9"/>
        </w:rPr>
        <w:t xml:space="preserve"> </w:t>
      </w:r>
      <w:r>
        <w:rPr>
          <w:spacing w:val="-1"/>
        </w:rPr>
        <w:t>2.6,</w:t>
      </w:r>
      <w:r>
        <w:rPr>
          <w:spacing w:val="9"/>
        </w:rPr>
        <w:t xml:space="preserve"> </w:t>
      </w:r>
      <w:r>
        <w:t>3.1</w:t>
      </w:r>
      <w:r>
        <w:rPr>
          <w:spacing w:val="8"/>
        </w:rPr>
        <w:t xml:space="preserve"> </w:t>
      </w:r>
      <w:r>
        <w:rPr>
          <w:spacing w:val="-1"/>
        </w:rPr>
        <w:t>and</w:t>
      </w:r>
    </w:p>
    <w:p w:rsidR="008918FA" w:rsidRDefault="008918FA" w:rsidP="008918FA">
      <w:pPr>
        <w:pStyle w:val="BodyText"/>
        <w:spacing w:before="0"/>
        <w:ind w:left="1049" w:right="118" w:firstLine="0"/>
      </w:pPr>
      <w:r>
        <w:t>3.3</w:t>
      </w:r>
      <w:r>
        <w:rPr>
          <w:spacing w:val="10"/>
        </w:rPr>
        <w:t xml:space="preserve"> </w:t>
      </w:r>
      <w:r>
        <w:rPr>
          <w:spacing w:val="-2"/>
        </w:rPr>
        <w:t>of</w:t>
      </w:r>
      <w:r>
        <w:rPr>
          <w:spacing w:val="14"/>
        </w:rPr>
        <w:t xml:space="preserve"> </w:t>
      </w:r>
      <w:r>
        <w:rPr>
          <w:spacing w:val="-1"/>
        </w:rPr>
        <w:t>Part</w:t>
      </w:r>
      <w:r>
        <w:t xml:space="preserve"> </w:t>
      </w:r>
      <w:r>
        <w:rPr>
          <w:spacing w:val="-1"/>
        </w:rPr>
        <w:t>B,</w:t>
      </w:r>
      <w:r>
        <w:rPr>
          <w:spacing w:val="11"/>
        </w:rPr>
        <w:t xml:space="preserve"> </w:t>
      </w:r>
      <w:r>
        <w:rPr>
          <w:spacing w:val="-2"/>
        </w:rPr>
        <w:t>paragraphs</w:t>
      </w:r>
      <w:r>
        <w:rPr>
          <w:spacing w:val="1"/>
        </w:rPr>
        <w:t xml:space="preserve"> </w:t>
      </w:r>
      <w:hyperlink w:anchor="_bookmark390" w:history="1">
        <w:r>
          <w:t>2.1</w:t>
        </w:r>
      </w:hyperlink>
      <w:r>
        <w:rPr>
          <w:spacing w:val="10"/>
        </w:rPr>
        <w:t xml:space="preserve"> </w:t>
      </w:r>
      <w:r>
        <w:rPr>
          <w:spacing w:val="-1"/>
        </w:rPr>
        <w:t>and</w:t>
      </w:r>
      <w:r>
        <w:rPr>
          <w:spacing w:val="8"/>
        </w:rPr>
        <w:t xml:space="preserve"> </w:t>
      </w:r>
      <w:hyperlink w:anchor="_bookmark392" w:history="1">
        <w:r>
          <w:t>2.3</w:t>
        </w:r>
      </w:hyperlink>
      <w:r>
        <w:rPr>
          <w:spacing w:val="10"/>
        </w:rPr>
        <w:t xml:space="preserve"> </w:t>
      </w:r>
      <w:r>
        <w:rPr>
          <w:spacing w:val="-2"/>
        </w:rPr>
        <w:t>of</w:t>
      </w:r>
      <w:r>
        <w:rPr>
          <w:spacing w:val="11"/>
        </w:rPr>
        <w:t xml:space="preserve"> </w:t>
      </w:r>
      <w:r>
        <w:rPr>
          <w:spacing w:val="-1"/>
        </w:rPr>
        <w:t>Part</w:t>
      </w:r>
      <w:r>
        <w:t xml:space="preserve"> C</w:t>
      </w:r>
      <w:r>
        <w:rPr>
          <w:spacing w:val="9"/>
        </w:rPr>
        <w:t xml:space="preserve"> </w:t>
      </w:r>
      <w:r>
        <w:rPr>
          <w:spacing w:val="-2"/>
        </w:rPr>
        <w:t>and</w:t>
      </w:r>
      <w:r>
        <w:rPr>
          <w:spacing w:val="10"/>
        </w:rPr>
        <w:t xml:space="preserve"> </w:t>
      </w:r>
      <w:r>
        <w:rPr>
          <w:spacing w:val="-1"/>
        </w:rPr>
        <w:t xml:space="preserve">paragraphs </w:t>
      </w:r>
      <w:hyperlink w:anchor="_bookmark396" w:history="1">
        <w:r>
          <w:rPr>
            <w:spacing w:val="-1"/>
          </w:rPr>
          <w:t>1.4</w:t>
        </w:r>
      </w:hyperlink>
      <w:r>
        <w:rPr>
          <w:spacing w:val="-1"/>
        </w:rPr>
        <w:t>,</w:t>
      </w:r>
      <w:r>
        <w:rPr>
          <w:spacing w:val="11"/>
        </w:rPr>
        <w:t xml:space="preserve"> </w:t>
      </w:r>
      <w:hyperlink w:anchor="_bookmark397" w:history="1">
        <w:r>
          <w:rPr>
            <w:spacing w:val="-1"/>
          </w:rPr>
          <w:t>2.3</w:t>
        </w:r>
      </w:hyperlink>
      <w:r>
        <w:rPr>
          <w:spacing w:val="10"/>
        </w:rPr>
        <w:t xml:space="preserve"> </w:t>
      </w:r>
      <w:r>
        <w:rPr>
          <w:spacing w:val="-2"/>
        </w:rPr>
        <w:t>and</w:t>
      </w:r>
      <w:r>
        <w:rPr>
          <w:spacing w:val="10"/>
        </w:rPr>
        <w:t xml:space="preserve"> </w:t>
      </w:r>
      <w:hyperlink w:anchor="_bookmark403" w:history="1">
        <w:r>
          <w:t>2.8</w:t>
        </w:r>
      </w:hyperlink>
      <w:r>
        <w:rPr>
          <w:spacing w:val="10"/>
        </w:rPr>
        <w:t xml:space="preserve"> </w:t>
      </w:r>
      <w:r>
        <w:rPr>
          <w:spacing w:val="-3"/>
        </w:rPr>
        <w:t>of</w:t>
      </w:r>
      <w:r>
        <w:rPr>
          <w:spacing w:val="42"/>
        </w:rPr>
        <w:t xml:space="preserve"> </w:t>
      </w:r>
      <w:r>
        <w:rPr>
          <w:spacing w:val="-1"/>
        </w:rPr>
        <w:t>Part</w:t>
      </w:r>
      <w:r>
        <w:rPr>
          <w:spacing w:val="2"/>
        </w:rPr>
        <w:t xml:space="preserve"> </w:t>
      </w:r>
      <w:r>
        <w:t>D</w:t>
      </w:r>
      <w:r>
        <w:rPr>
          <w:spacing w:val="7"/>
        </w:rPr>
        <w:t xml:space="preserve"> </w:t>
      </w:r>
      <w:r>
        <w:rPr>
          <w:spacing w:val="-2"/>
        </w:rPr>
        <w:t>of</w:t>
      </w:r>
      <w:r>
        <w:rPr>
          <w:spacing w:val="11"/>
        </w:rPr>
        <w:t xml:space="preserve"> </w:t>
      </w:r>
      <w:r>
        <w:rPr>
          <w:spacing w:val="-2"/>
        </w:rPr>
        <w:t>Call</w:t>
      </w:r>
      <w:r>
        <w:rPr>
          <w:spacing w:val="7"/>
        </w:rPr>
        <w:t xml:space="preserve"> </w:t>
      </w:r>
      <w:r>
        <w:rPr>
          <w:spacing w:val="-1"/>
        </w:rPr>
        <w:t>Off</w:t>
      </w:r>
      <w:r>
        <w:rPr>
          <w:spacing w:val="11"/>
        </w:rPr>
        <w:t xml:space="preserve"> </w:t>
      </w:r>
      <w:r>
        <w:rPr>
          <w:spacing w:val="-2"/>
        </w:rPr>
        <w:t>Schedule</w:t>
      </w:r>
      <w:r>
        <w:rPr>
          <w:spacing w:val="7"/>
        </w:rPr>
        <w:t xml:space="preserve"> </w:t>
      </w:r>
      <w:r>
        <w:t xml:space="preserve">11 </w:t>
      </w:r>
      <w:r>
        <w:rPr>
          <w:spacing w:val="-1"/>
        </w:rPr>
        <w:t>(Staff</w:t>
      </w:r>
      <w:r>
        <w:rPr>
          <w:spacing w:val="9"/>
        </w:rPr>
        <w:t xml:space="preserve"> </w:t>
      </w:r>
      <w:r>
        <w:rPr>
          <w:spacing w:val="-1"/>
        </w:rPr>
        <w:t>Transfer)</w:t>
      </w:r>
      <w:r>
        <w:rPr>
          <w:spacing w:val="9"/>
        </w:rPr>
        <w:t xml:space="preserve"> </w:t>
      </w:r>
      <w:r>
        <w:rPr>
          <w:spacing w:val="-1"/>
        </w:rPr>
        <w:t>and</w:t>
      </w:r>
      <w:r>
        <w:rPr>
          <w:spacing w:val="7"/>
        </w:rPr>
        <w:t xml:space="preserve"> </w:t>
      </w:r>
      <w:r>
        <w:t>the</w:t>
      </w:r>
      <w:r>
        <w:rPr>
          <w:spacing w:val="7"/>
        </w:rPr>
        <w:t xml:space="preserve"> </w:t>
      </w:r>
      <w:r>
        <w:rPr>
          <w:spacing w:val="-2"/>
        </w:rPr>
        <w:t>provisions</w:t>
      </w:r>
      <w:r>
        <w:rPr>
          <w:spacing w:val="8"/>
        </w:rPr>
        <w:t xml:space="preserve"> </w:t>
      </w:r>
      <w:r>
        <w:rPr>
          <w:spacing w:val="-1"/>
        </w:rPr>
        <w:t>of</w:t>
      </w:r>
      <w:r>
        <w:rPr>
          <w:spacing w:val="11"/>
        </w:rPr>
        <w:t xml:space="preserve"> </w:t>
      </w:r>
      <w:r>
        <w:rPr>
          <w:spacing w:val="-1"/>
        </w:rPr>
        <w:t>paragraph</w:t>
      </w:r>
      <w:r>
        <w:rPr>
          <w:spacing w:val="8"/>
        </w:rPr>
        <w:t xml:space="preserve"> </w:t>
      </w:r>
      <w:hyperlink w:anchor="_bookmark384" w:history="1">
        <w:r>
          <w:rPr>
            <w:spacing w:val="-2"/>
          </w:rPr>
          <w:t>9.9</w:t>
        </w:r>
      </w:hyperlink>
    </w:p>
    <w:p w:rsidR="008918FA" w:rsidRDefault="008918FA" w:rsidP="008918FA">
      <w:pPr>
        <w:sectPr w:rsidR="008918FA">
          <w:pgSz w:w="11910" w:h="16840"/>
          <w:pgMar w:top="1480" w:right="1300" w:bottom="1180" w:left="1320" w:header="0" w:footer="967" w:gutter="0"/>
          <w:cols w:space="720"/>
        </w:sectPr>
      </w:pPr>
    </w:p>
    <w:p w:rsidR="008918FA" w:rsidRDefault="008918FA" w:rsidP="008918FA">
      <w:pPr>
        <w:pStyle w:val="BodyText"/>
        <w:spacing w:before="57"/>
        <w:ind w:left="1028" w:right="133" w:firstLine="0"/>
        <w:jc w:val="both"/>
      </w:pPr>
      <w:r>
        <w:rPr>
          <w:spacing w:val="-2"/>
        </w:rPr>
        <w:t>of</w:t>
      </w:r>
      <w:r>
        <w:rPr>
          <w:spacing w:val="3"/>
        </w:rPr>
        <w:t xml:space="preserve"> </w:t>
      </w:r>
      <w:r>
        <w:rPr>
          <w:spacing w:val="-1"/>
        </w:rPr>
        <w:t>Schedule</w:t>
      </w:r>
      <w:r>
        <w:t xml:space="preserve"> </w:t>
      </w:r>
      <w:r>
        <w:rPr>
          <w:spacing w:val="-1"/>
        </w:rPr>
        <w:t>10</w:t>
      </w:r>
      <w:r>
        <w:t xml:space="preserve"> </w:t>
      </w:r>
      <w:r>
        <w:rPr>
          <w:spacing w:val="-2"/>
        </w:rPr>
        <w:t>(Exit</w:t>
      </w:r>
      <w:r>
        <w:rPr>
          <w:spacing w:val="1"/>
        </w:rPr>
        <w:t xml:space="preserve"> </w:t>
      </w:r>
      <w:r>
        <w:rPr>
          <w:spacing w:val="-1"/>
        </w:rPr>
        <w:t>Management)</w:t>
      </w:r>
      <w:r>
        <w:t xml:space="preserve">  </w:t>
      </w:r>
      <w:r>
        <w:rPr>
          <w:spacing w:val="-1"/>
        </w:rPr>
        <w:t>(together</w:t>
      </w:r>
      <w:r>
        <w:t xml:space="preserve">  </w:t>
      </w:r>
      <w:r>
        <w:rPr>
          <w:spacing w:val="-1"/>
        </w:rPr>
        <w:t>“</w:t>
      </w:r>
      <w:r>
        <w:rPr>
          <w:rFonts w:cs="Arial"/>
          <w:b/>
          <w:bCs/>
          <w:spacing w:val="-1"/>
        </w:rPr>
        <w:t>Third</w:t>
      </w:r>
      <w:r>
        <w:rPr>
          <w:rFonts w:cs="Arial"/>
          <w:b/>
          <w:bCs/>
          <w:spacing w:val="60"/>
        </w:rPr>
        <w:t xml:space="preserve"> </w:t>
      </w:r>
      <w:r>
        <w:rPr>
          <w:rFonts w:cs="Arial"/>
          <w:b/>
          <w:bCs/>
        </w:rPr>
        <w:t>Party</w:t>
      </w:r>
      <w:r>
        <w:rPr>
          <w:rFonts w:cs="Arial"/>
          <w:b/>
          <w:bCs/>
          <w:spacing w:val="55"/>
        </w:rPr>
        <w:t xml:space="preserve"> </w:t>
      </w:r>
      <w:r>
        <w:rPr>
          <w:rFonts w:cs="Arial"/>
          <w:b/>
          <w:bCs/>
          <w:spacing w:val="-1"/>
        </w:rPr>
        <w:t>Provisions</w:t>
      </w:r>
      <w:r>
        <w:rPr>
          <w:spacing w:val="-1"/>
        </w:rPr>
        <w:t>”)</w:t>
      </w:r>
      <w:r>
        <w:t xml:space="preserve">  </w:t>
      </w:r>
      <w:r>
        <w:rPr>
          <w:spacing w:val="-1"/>
        </w:rPr>
        <w:t>confer</w:t>
      </w:r>
      <w:r>
        <w:rPr>
          <w:spacing w:val="40"/>
        </w:rPr>
        <w:t xml:space="preserve"> </w:t>
      </w:r>
      <w:r>
        <w:rPr>
          <w:spacing w:val="-1"/>
        </w:rPr>
        <w:t>benefits</w:t>
      </w:r>
      <w:r>
        <w:rPr>
          <w:spacing w:val="30"/>
        </w:rPr>
        <w:t xml:space="preserve"> </w:t>
      </w:r>
      <w:r>
        <w:rPr>
          <w:spacing w:val="-1"/>
        </w:rPr>
        <w:t>on</w:t>
      </w:r>
      <w:r>
        <w:rPr>
          <w:spacing w:val="29"/>
        </w:rPr>
        <w:t xml:space="preserve"> </w:t>
      </w:r>
      <w:r>
        <w:rPr>
          <w:spacing w:val="-1"/>
        </w:rPr>
        <w:t>persons</w:t>
      </w:r>
      <w:r>
        <w:rPr>
          <w:spacing w:val="30"/>
        </w:rPr>
        <w:t xml:space="preserve"> </w:t>
      </w:r>
      <w:r>
        <w:rPr>
          <w:spacing w:val="-1"/>
        </w:rPr>
        <w:t>named</w:t>
      </w:r>
      <w:r>
        <w:rPr>
          <w:spacing w:val="29"/>
        </w:rPr>
        <w:t xml:space="preserve"> </w:t>
      </w:r>
      <w:r>
        <w:rPr>
          <w:spacing w:val="-1"/>
        </w:rPr>
        <w:t>in</w:t>
      </w:r>
      <w:r>
        <w:rPr>
          <w:spacing w:val="29"/>
        </w:rPr>
        <w:t xml:space="preserve"> </w:t>
      </w:r>
      <w:r>
        <w:rPr>
          <w:spacing w:val="-1"/>
        </w:rPr>
        <w:t>such</w:t>
      </w:r>
      <w:r>
        <w:rPr>
          <w:spacing w:val="30"/>
        </w:rPr>
        <w:t xml:space="preserve"> </w:t>
      </w:r>
      <w:r>
        <w:rPr>
          <w:spacing w:val="-2"/>
        </w:rPr>
        <w:t>provisions</w:t>
      </w:r>
      <w:r>
        <w:rPr>
          <w:spacing w:val="30"/>
        </w:rPr>
        <w:t xml:space="preserve"> </w:t>
      </w:r>
      <w:r>
        <w:rPr>
          <w:spacing w:val="-1"/>
        </w:rPr>
        <w:t>other</w:t>
      </w:r>
      <w:r>
        <w:rPr>
          <w:spacing w:val="28"/>
        </w:rPr>
        <w:t xml:space="preserve"> </w:t>
      </w:r>
      <w:r>
        <w:rPr>
          <w:spacing w:val="-1"/>
        </w:rPr>
        <w:t>than</w:t>
      </w:r>
      <w:r>
        <w:rPr>
          <w:spacing w:val="29"/>
        </w:rPr>
        <w:t xml:space="preserve"> </w:t>
      </w:r>
      <w:r>
        <w:t>the</w:t>
      </w:r>
      <w:r>
        <w:rPr>
          <w:spacing w:val="27"/>
        </w:rPr>
        <w:t xml:space="preserve"> </w:t>
      </w:r>
      <w:r>
        <w:rPr>
          <w:spacing w:val="-1"/>
        </w:rPr>
        <w:t>Parties</w:t>
      </w:r>
      <w:r>
        <w:rPr>
          <w:spacing w:val="30"/>
        </w:rPr>
        <w:t xml:space="preserve"> </w:t>
      </w:r>
      <w:r>
        <w:rPr>
          <w:spacing w:val="-1"/>
        </w:rPr>
        <w:t>(each</w:t>
      </w:r>
      <w:r>
        <w:rPr>
          <w:spacing w:val="30"/>
        </w:rPr>
        <w:t xml:space="preserve"> </w:t>
      </w:r>
      <w:r>
        <w:rPr>
          <w:spacing w:val="-1"/>
        </w:rPr>
        <w:t>such</w:t>
      </w:r>
      <w:r>
        <w:rPr>
          <w:spacing w:val="46"/>
        </w:rPr>
        <w:t xml:space="preserve"> </w:t>
      </w:r>
      <w:r>
        <w:rPr>
          <w:spacing w:val="-1"/>
        </w:rPr>
        <w:t>person</w:t>
      </w:r>
      <w:r>
        <w:rPr>
          <w:spacing w:val="20"/>
        </w:rPr>
        <w:t xml:space="preserve"> </w:t>
      </w:r>
      <w:r>
        <w:t>a</w:t>
      </w:r>
      <w:r>
        <w:rPr>
          <w:spacing w:val="19"/>
        </w:rPr>
        <w:t xml:space="preserve"> </w:t>
      </w:r>
      <w:r>
        <w:rPr>
          <w:spacing w:val="-1"/>
        </w:rPr>
        <w:t>“</w:t>
      </w:r>
      <w:r>
        <w:rPr>
          <w:rFonts w:cs="Arial"/>
          <w:b/>
          <w:bCs/>
          <w:spacing w:val="-1"/>
        </w:rPr>
        <w:t>Third</w:t>
      </w:r>
      <w:r>
        <w:rPr>
          <w:rFonts w:cs="Arial"/>
          <w:b/>
          <w:bCs/>
          <w:spacing w:val="20"/>
        </w:rPr>
        <w:t xml:space="preserve"> </w:t>
      </w:r>
      <w:r>
        <w:rPr>
          <w:rFonts w:cs="Arial"/>
          <w:b/>
          <w:bCs/>
          <w:spacing w:val="-1"/>
        </w:rPr>
        <w:t>Party</w:t>
      </w:r>
      <w:r>
        <w:rPr>
          <w:rFonts w:cs="Arial"/>
          <w:b/>
          <w:bCs/>
          <w:spacing w:val="17"/>
        </w:rPr>
        <w:t xml:space="preserve"> </w:t>
      </w:r>
      <w:r>
        <w:rPr>
          <w:rFonts w:cs="Arial"/>
          <w:b/>
          <w:bCs/>
          <w:spacing w:val="-1"/>
        </w:rPr>
        <w:t>Beneficiary</w:t>
      </w:r>
      <w:r>
        <w:rPr>
          <w:spacing w:val="-1"/>
        </w:rPr>
        <w:t>”)</w:t>
      </w:r>
      <w:r>
        <w:rPr>
          <w:spacing w:val="21"/>
        </w:rPr>
        <w:t xml:space="preserve"> </w:t>
      </w:r>
      <w:r>
        <w:rPr>
          <w:spacing w:val="-1"/>
        </w:rPr>
        <w:t>and</w:t>
      </w:r>
      <w:r>
        <w:rPr>
          <w:spacing w:val="20"/>
        </w:rPr>
        <w:t xml:space="preserve"> </w:t>
      </w:r>
      <w:r>
        <w:rPr>
          <w:spacing w:val="-1"/>
        </w:rPr>
        <w:t>are</w:t>
      </w:r>
      <w:r>
        <w:rPr>
          <w:spacing w:val="19"/>
        </w:rPr>
        <w:t xml:space="preserve"> </w:t>
      </w:r>
      <w:r>
        <w:rPr>
          <w:spacing w:val="-1"/>
        </w:rPr>
        <w:t>intended</w:t>
      </w:r>
      <w:r>
        <w:rPr>
          <w:spacing w:val="20"/>
        </w:rPr>
        <w:t xml:space="preserve"> </w:t>
      </w:r>
      <w:r>
        <w:t>to</w:t>
      </w:r>
      <w:r>
        <w:rPr>
          <w:spacing w:val="20"/>
        </w:rPr>
        <w:t xml:space="preserve"> </w:t>
      </w:r>
      <w:r>
        <w:rPr>
          <w:spacing w:val="-1"/>
        </w:rPr>
        <w:t>be</w:t>
      </w:r>
      <w:r>
        <w:rPr>
          <w:spacing w:val="20"/>
        </w:rPr>
        <w:t xml:space="preserve"> </w:t>
      </w:r>
      <w:r>
        <w:rPr>
          <w:spacing w:val="-1"/>
        </w:rPr>
        <w:t>enforceable</w:t>
      </w:r>
      <w:r>
        <w:rPr>
          <w:spacing w:val="19"/>
        </w:rPr>
        <w:t xml:space="preserve"> </w:t>
      </w:r>
      <w:r>
        <w:rPr>
          <w:spacing w:val="-1"/>
        </w:rPr>
        <w:t>by</w:t>
      </w:r>
      <w:r>
        <w:rPr>
          <w:spacing w:val="18"/>
        </w:rPr>
        <w:t xml:space="preserve"> </w:t>
      </w:r>
      <w:r>
        <w:rPr>
          <w:spacing w:val="-1"/>
        </w:rPr>
        <w:t>Third</w:t>
      </w:r>
      <w:r>
        <w:rPr>
          <w:spacing w:val="45"/>
        </w:rPr>
        <w:t xml:space="preserve"> </w:t>
      </w:r>
      <w:r>
        <w:rPr>
          <w:spacing w:val="-1"/>
        </w:rPr>
        <w:t>Parties</w:t>
      </w:r>
      <w:r>
        <w:rPr>
          <w:spacing w:val="1"/>
        </w:rPr>
        <w:t xml:space="preserve"> </w:t>
      </w:r>
      <w:r>
        <w:rPr>
          <w:spacing w:val="-1"/>
        </w:rPr>
        <w:t>Beneficiaries</w:t>
      </w:r>
      <w:r>
        <w:rPr>
          <w:spacing w:val="1"/>
        </w:rPr>
        <w:t xml:space="preserve"> </w:t>
      </w:r>
      <w:r>
        <w:rPr>
          <w:spacing w:val="-1"/>
        </w:rPr>
        <w:t>by</w:t>
      </w:r>
      <w:r>
        <w:rPr>
          <w:spacing w:val="-4"/>
        </w:rPr>
        <w:t xml:space="preserve"> </w:t>
      </w:r>
      <w:r>
        <w:rPr>
          <w:spacing w:val="-1"/>
        </w:rPr>
        <w:t>virtue</w:t>
      </w:r>
      <w:r>
        <w:t xml:space="preserve"> </w:t>
      </w:r>
      <w:r>
        <w:rPr>
          <w:spacing w:val="-2"/>
        </w:rPr>
        <w:t>of</w:t>
      </w:r>
      <w:r>
        <w:rPr>
          <w:spacing w:val="2"/>
        </w:rPr>
        <w:t xml:space="preserve"> </w:t>
      </w:r>
      <w:r>
        <w:t>the</w:t>
      </w:r>
      <w:r>
        <w:rPr>
          <w:spacing w:val="-2"/>
        </w:rPr>
        <w:t xml:space="preserve"> </w:t>
      </w:r>
      <w:r>
        <w:rPr>
          <w:spacing w:val="-1"/>
        </w:rPr>
        <w:t>CRTPA.</w:t>
      </w:r>
    </w:p>
    <w:p w:rsidR="008918FA" w:rsidRDefault="008918FA" w:rsidP="008918FA">
      <w:pPr>
        <w:pStyle w:val="BodyText"/>
        <w:numPr>
          <w:ilvl w:val="1"/>
          <w:numId w:val="66"/>
        </w:numPr>
        <w:tabs>
          <w:tab w:val="left" w:pos="1233"/>
        </w:tabs>
        <w:spacing w:before="121"/>
        <w:ind w:left="1028" w:right="132" w:hanging="360"/>
        <w:jc w:val="both"/>
      </w:pPr>
      <w:r>
        <w:rPr>
          <w:spacing w:val="-1"/>
        </w:rPr>
        <w:t>Subject</w:t>
      </w:r>
      <w:r>
        <w:rPr>
          <w:spacing w:val="9"/>
        </w:rPr>
        <w:t xml:space="preserve"> </w:t>
      </w:r>
      <w:r>
        <w:t>to</w:t>
      </w:r>
      <w:r>
        <w:rPr>
          <w:spacing w:val="10"/>
        </w:rPr>
        <w:t xml:space="preserve"> </w:t>
      </w:r>
      <w:r>
        <w:rPr>
          <w:spacing w:val="-2"/>
        </w:rPr>
        <w:t>Clause</w:t>
      </w:r>
      <w:r>
        <w:rPr>
          <w:spacing w:val="10"/>
        </w:rPr>
        <w:t xml:space="preserve"> </w:t>
      </w:r>
      <w:hyperlink w:anchor="_bookmark273" w:history="1">
        <w:r>
          <w:rPr>
            <w:spacing w:val="-1"/>
          </w:rPr>
          <w:t>54.1</w:t>
        </w:r>
      </w:hyperlink>
      <w:r>
        <w:rPr>
          <w:spacing w:val="-1"/>
        </w:rPr>
        <w:t>,</w:t>
      </w:r>
      <w:r>
        <w:rPr>
          <w:spacing w:val="7"/>
        </w:rPr>
        <w:t xml:space="preserve"> </w:t>
      </w:r>
      <w:r>
        <w:t>a</w:t>
      </w:r>
      <w:r>
        <w:rPr>
          <w:spacing w:val="10"/>
        </w:rPr>
        <w:t xml:space="preserve"> </w:t>
      </w:r>
      <w:r>
        <w:rPr>
          <w:spacing w:val="-1"/>
        </w:rPr>
        <w:t>person</w:t>
      </w:r>
      <w:r>
        <w:rPr>
          <w:spacing w:val="10"/>
        </w:rPr>
        <w:t xml:space="preserve"> </w:t>
      </w:r>
      <w:r>
        <w:rPr>
          <w:spacing w:val="-2"/>
        </w:rPr>
        <w:t>who</w:t>
      </w:r>
      <w:r>
        <w:rPr>
          <w:spacing w:val="10"/>
        </w:rPr>
        <w:t xml:space="preserve"> </w:t>
      </w:r>
      <w:r>
        <w:rPr>
          <w:spacing w:val="-1"/>
        </w:rPr>
        <w:t>is</w:t>
      </w:r>
      <w:r>
        <w:rPr>
          <w:spacing w:val="10"/>
        </w:rPr>
        <w:t xml:space="preserve"> </w:t>
      </w:r>
      <w:r>
        <w:rPr>
          <w:spacing w:val="-1"/>
        </w:rPr>
        <w:t>not</w:t>
      </w:r>
      <w:r>
        <w:rPr>
          <w:spacing w:val="11"/>
        </w:rPr>
        <w:t xml:space="preserve"> </w:t>
      </w:r>
      <w:r>
        <w:t>a</w:t>
      </w:r>
      <w:r>
        <w:rPr>
          <w:spacing w:val="7"/>
        </w:rPr>
        <w:t xml:space="preserve"> </w:t>
      </w:r>
      <w:r>
        <w:rPr>
          <w:spacing w:val="-1"/>
        </w:rPr>
        <w:t>Party</w:t>
      </w:r>
      <w:r>
        <w:rPr>
          <w:spacing w:val="8"/>
        </w:rPr>
        <w:t xml:space="preserve"> </w:t>
      </w:r>
      <w:r>
        <w:t>to</w:t>
      </w:r>
      <w:r>
        <w:rPr>
          <w:spacing w:val="7"/>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1"/>
        </w:rPr>
        <w:t xml:space="preserve"> </w:t>
      </w:r>
      <w:r>
        <w:rPr>
          <w:spacing w:val="-2"/>
        </w:rPr>
        <w:t>Contract</w:t>
      </w:r>
      <w:r>
        <w:rPr>
          <w:spacing w:val="12"/>
        </w:rPr>
        <w:t xml:space="preserve"> </w:t>
      </w:r>
      <w:r>
        <w:rPr>
          <w:spacing w:val="-2"/>
        </w:rPr>
        <w:t>has</w:t>
      </w:r>
      <w:r>
        <w:rPr>
          <w:spacing w:val="73"/>
        </w:rPr>
        <w:t xml:space="preserve"> </w:t>
      </w:r>
      <w:r>
        <w:rPr>
          <w:spacing w:val="-1"/>
        </w:rPr>
        <w:t>no</w:t>
      </w:r>
      <w:r>
        <w:rPr>
          <w:spacing w:val="34"/>
        </w:rPr>
        <w:t xml:space="preserve"> </w:t>
      </w:r>
      <w:r>
        <w:rPr>
          <w:spacing w:val="-1"/>
        </w:rPr>
        <w:t>right</w:t>
      </w:r>
      <w:r>
        <w:rPr>
          <w:spacing w:val="35"/>
        </w:rPr>
        <w:t xml:space="preserve"> </w:t>
      </w:r>
      <w:r>
        <w:rPr>
          <w:spacing w:val="-1"/>
        </w:rPr>
        <w:t>under</w:t>
      </w:r>
      <w:r>
        <w:rPr>
          <w:spacing w:val="35"/>
        </w:rPr>
        <w:t xml:space="preserve"> </w:t>
      </w:r>
      <w:r>
        <w:t>the</w:t>
      </w:r>
      <w:r>
        <w:rPr>
          <w:spacing w:val="34"/>
        </w:rPr>
        <w:t xml:space="preserve"> </w:t>
      </w:r>
      <w:r>
        <w:rPr>
          <w:spacing w:val="-2"/>
        </w:rPr>
        <w:t>CTRPA</w:t>
      </w:r>
      <w:r>
        <w:rPr>
          <w:spacing w:val="33"/>
        </w:rPr>
        <w:t xml:space="preserve"> </w:t>
      </w:r>
      <w:r>
        <w:t>to</w:t>
      </w:r>
      <w:r>
        <w:rPr>
          <w:spacing w:val="34"/>
        </w:rPr>
        <w:t xml:space="preserve"> </w:t>
      </w:r>
      <w:r>
        <w:rPr>
          <w:spacing w:val="-1"/>
        </w:rPr>
        <w:t>enforce</w:t>
      </w:r>
      <w:r>
        <w:rPr>
          <w:spacing w:val="35"/>
        </w:rPr>
        <w:t xml:space="preserve"> </w:t>
      </w:r>
      <w:r>
        <w:rPr>
          <w:spacing w:val="-1"/>
        </w:rPr>
        <w:t>any</w:t>
      </w:r>
      <w:r>
        <w:rPr>
          <w:spacing w:val="32"/>
        </w:rPr>
        <w:t xml:space="preserve"> </w:t>
      </w:r>
      <w:r>
        <w:rPr>
          <w:spacing w:val="-1"/>
        </w:rPr>
        <w:t>term</w:t>
      </w:r>
      <w:r>
        <w:rPr>
          <w:spacing w:val="33"/>
        </w:rPr>
        <w:t xml:space="preserve"> </w:t>
      </w:r>
      <w:r>
        <w:rPr>
          <w:spacing w:val="-1"/>
        </w:rPr>
        <w:t>of</w:t>
      </w:r>
      <w:r>
        <w:rPr>
          <w:spacing w:val="35"/>
        </w:rPr>
        <w:t xml:space="preserve"> </w:t>
      </w:r>
      <w:r>
        <w:rPr>
          <w:spacing w:val="-1"/>
        </w:rPr>
        <w:t>this</w:t>
      </w:r>
      <w:r>
        <w:rPr>
          <w:spacing w:val="34"/>
        </w:rPr>
        <w:t xml:space="preserve"> </w:t>
      </w:r>
      <w:r>
        <w:rPr>
          <w:spacing w:val="-2"/>
        </w:rPr>
        <w:t>Call</w:t>
      </w:r>
      <w:r>
        <w:rPr>
          <w:spacing w:val="33"/>
        </w:rPr>
        <w:t xml:space="preserve"> </w:t>
      </w:r>
      <w:r>
        <w:rPr>
          <w:spacing w:val="-1"/>
        </w:rPr>
        <w:t>Off</w:t>
      </w:r>
      <w:r>
        <w:rPr>
          <w:spacing w:val="39"/>
        </w:rPr>
        <w:t xml:space="preserve"> </w:t>
      </w:r>
      <w:r>
        <w:rPr>
          <w:spacing w:val="-2"/>
        </w:rPr>
        <w:t>Contract</w:t>
      </w:r>
      <w:r>
        <w:rPr>
          <w:spacing w:val="35"/>
        </w:rPr>
        <w:t xml:space="preserve"> </w:t>
      </w:r>
      <w:r>
        <w:rPr>
          <w:spacing w:val="-1"/>
        </w:rPr>
        <w:t>but</w:t>
      </w:r>
      <w:r>
        <w:rPr>
          <w:spacing w:val="35"/>
        </w:rPr>
        <w:t xml:space="preserve"> </w:t>
      </w:r>
      <w:r>
        <w:rPr>
          <w:spacing w:val="-1"/>
        </w:rPr>
        <w:t>this</w:t>
      </w:r>
      <w:r>
        <w:rPr>
          <w:spacing w:val="67"/>
        </w:rPr>
        <w:t xml:space="preserve"> </w:t>
      </w:r>
      <w:r>
        <w:rPr>
          <w:spacing w:val="-1"/>
        </w:rPr>
        <w:t>does</w:t>
      </w:r>
      <w:r>
        <w:rPr>
          <w:spacing w:val="49"/>
        </w:rPr>
        <w:t xml:space="preserve"> </w:t>
      </w:r>
      <w:r>
        <w:rPr>
          <w:spacing w:val="-1"/>
        </w:rPr>
        <w:t>not</w:t>
      </w:r>
      <w:r>
        <w:rPr>
          <w:spacing w:val="47"/>
        </w:rPr>
        <w:t xml:space="preserve"> </w:t>
      </w:r>
      <w:r>
        <w:rPr>
          <w:spacing w:val="-1"/>
        </w:rPr>
        <w:t>affect</w:t>
      </w:r>
      <w:r>
        <w:rPr>
          <w:spacing w:val="48"/>
        </w:rPr>
        <w:t xml:space="preserve"> </w:t>
      </w:r>
      <w:r>
        <w:rPr>
          <w:spacing w:val="-1"/>
        </w:rPr>
        <w:t>any</w:t>
      </w:r>
      <w:r>
        <w:rPr>
          <w:spacing w:val="46"/>
        </w:rPr>
        <w:t xml:space="preserve"> </w:t>
      </w:r>
      <w:r>
        <w:rPr>
          <w:spacing w:val="-2"/>
        </w:rPr>
        <w:t>right</w:t>
      </w:r>
      <w:r>
        <w:rPr>
          <w:spacing w:val="50"/>
        </w:rPr>
        <w:t xml:space="preserve"> </w:t>
      </w:r>
      <w:r>
        <w:rPr>
          <w:spacing w:val="-1"/>
        </w:rPr>
        <w:t>or</w:t>
      </w:r>
      <w:r>
        <w:rPr>
          <w:spacing w:val="47"/>
        </w:rPr>
        <w:t xml:space="preserve"> </w:t>
      </w:r>
      <w:r>
        <w:rPr>
          <w:spacing w:val="-1"/>
        </w:rPr>
        <w:t>remedy</w:t>
      </w:r>
      <w:r>
        <w:rPr>
          <w:spacing w:val="47"/>
        </w:rPr>
        <w:t xml:space="preserve"> </w:t>
      </w:r>
      <w:r>
        <w:rPr>
          <w:spacing w:val="-2"/>
        </w:rPr>
        <w:t>of</w:t>
      </w:r>
      <w:r>
        <w:rPr>
          <w:spacing w:val="50"/>
        </w:rPr>
        <w:t xml:space="preserve"> </w:t>
      </w:r>
      <w:r>
        <w:rPr>
          <w:spacing w:val="-1"/>
        </w:rPr>
        <w:t>any</w:t>
      </w:r>
      <w:r>
        <w:rPr>
          <w:spacing w:val="46"/>
        </w:rPr>
        <w:t xml:space="preserve"> </w:t>
      </w:r>
      <w:r>
        <w:rPr>
          <w:spacing w:val="-1"/>
        </w:rPr>
        <w:t>person</w:t>
      </w:r>
      <w:r>
        <w:rPr>
          <w:spacing w:val="48"/>
        </w:rPr>
        <w:t xml:space="preserve"> </w:t>
      </w:r>
      <w:r>
        <w:rPr>
          <w:spacing w:val="-2"/>
        </w:rPr>
        <w:t>which</w:t>
      </w:r>
      <w:r>
        <w:rPr>
          <w:spacing w:val="49"/>
        </w:rPr>
        <w:t xml:space="preserve"> </w:t>
      </w:r>
      <w:r>
        <w:rPr>
          <w:spacing w:val="-1"/>
        </w:rPr>
        <w:t>exists</w:t>
      </w:r>
      <w:r>
        <w:rPr>
          <w:spacing w:val="49"/>
        </w:rPr>
        <w:t xml:space="preserve"> </w:t>
      </w:r>
      <w:r>
        <w:rPr>
          <w:spacing w:val="-1"/>
        </w:rPr>
        <w:t>or</w:t>
      </w:r>
      <w:r>
        <w:rPr>
          <w:spacing w:val="50"/>
        </w:rPr>
        <w:t xml:space="preserve"> </w:t>
      </w:r>
      <w:r>
        <w:rPr>
          <w:spacing w:val="-1"/>
        </w:rPr>
        <w:t>is</w:t>
      </w:r>
      <w:r>
        <w:rPr>
          <w:spacing w:val="46"/>
        </w:rPr>
        <w:t xml:space="preserve"> </w:t>
      </w:r>
      <w:r>
        <w:rPr>
          <w:spacing w:val="-2"/>
        </w:rPr>
        <w:t>available</w:t>
      </w:r>
      <w:r>
        <w:rPr>
          <w:spacing w:val="57"/>
        </w:rPr>
        <w:t xml:space="preserve"> </w:t>
      </w:r>
      <w:r>
        <w:rPr>
          <w:spacing w:val="-1"/>
        </w:rPr>
        <w:t>otherwise</w:t>
      </w:r>
      <w:r>
        <w:rPr>
          <w:spacing w:val="1"/>
        </w:rPr>
        <w:t xml:space="preserve"> </w:t>
      </w:r>
      <w:r>
        <w:rPr>
          <w:spacing w:val="-1"/>
        </w:rPr>
        <w:t>than</w:t>
      </w:r>
      <w:r>
        <w:t xml:space="preserve"> </w:t>
      </w:r>
      <w:r>
        <w:rPr>
          <w:spacing w:val="-2"/>
        </w:rPr>
        <w:t>pursuant</w:t>
      </w:r>
      <w:r>
        <w:t xml:space="preserve"> to</w:t>
      </w:r>
      <w:r>
        <w:rPr>
          <w:spacing w:val="-2"/>
        </w:rPr>
        <w:t xml:space="preserve"> </w:t>
      </w:r>
      <w:r>
        <w:rPr>
          <w:spacing w:val="-1"/>
        </w:rPr>
        <w:t>that</w:t>
      </w:r>
      <w:r>
        <w:t xml:space="preserve"> </w:t>
      </w:r>
      <w:r>
        <w:rPr>
          <w:spacing w:val="-1"/>
        </w:rPr>
        <w:t>Act.</w:t>
      </w:r>
    </w:p>
    <w:p w:rsidR="008918FA" w:rsidRDefault="008918FA" w:rsidP="008918FA">
      <w:pPr>
        <w:pStyle w:val="BodyText"/>
        <w:numPr>
          <w:ilvl w:val="1"/>
          <w:numId w:val="66"/>
        </w:numPr>
        <w:tabs>
          <w:tab w:val="left" w:pos="1233"/>
        </w:tabs>
        <w:ind w:left="1028" w:right="135" w:hanging="360"/>
        <w:jc w:val="both"/>
      </w:pPr>
      <w:r>
        <w:rPr>
          <w:spacing w:val="-1"/>
        </w:rPr>
        <w:t>No</w:t>
      </w:r>
      <w:r>
        <w:rPr>
          <w:spacing w:val="22"/>
        </w:rPr>
        <w:t xml:space="preserve"> </w:t>
      </w:r>
      <w:r>
        <w:rPr>
          <w:spacing w:val="-1"/>
        </w:rPr>
        <w:t>Third</w:t>
      </w:r>
      <w:r>
        <w:rPr>
          <w:spacing w:val="22"/>
        </w:rPr>
        <w:t xml:space="preserve"> </w:t>
      </w:r>
      <w:r>
        <w:rPr>
          <w:spacing w:val="-1"/>
        </w:rPr>
        <w:t>Party</w:t>
      </w:r>
      <w:r>
        <w:rPr>
          <w:spacing w:val="20"/>
        </w:rPr>
        <w:t xml:space="preserve"> </w:t>
      </w:r>
      <w:r>
        <w:rPr>
          <w:spacing w:val="-1"/>
        </w:rPr>
        <w:t>Beneficiary</w:t>
      </w:r>
      <w:r>
        <w:rPr>
          <w:spacing w:val="20"/>
        </w:rPr>
        <w:t xml:space="preserve"> </w:t>
      </w:r>
      <w:r>
        <w:rPr>
          <w:spacing w:val="-1"/>
        </w:rPr>
        <w:t>may</w:t>
      </w:r>
      <w:r>
        <w:rPr>
          <w:spacing w:val="20"/>
        </w:rPr>
        <w:t xml:space="preserve"> </w:t>
      </w:r>
      <w:r>
        <w:rPr>
          <w:spacing w:val="-1"/>
        </w:rPr>
        <w:t>enforce,</w:t>
      </w:r>
      <w:r>
        <w:rPr>
          <w:spacing w:val="23"/>
        </w:rPr>
        <w:t xml:space="preserve"> </w:t>
      </w:r>
      <w:r>
        <w:rPr>
          <w:spacing w:val="-1"/>
        </w:rPr>
        <w:t>or</w:t>
      </w:r>
      <w:r>
        <w:rPr>
          <w:spacing w:val="21"/>
        </w:rPr>
        <w:t xml:space="preserve"> </w:t>
      </w:r>
      <w:r>
        <w:t>take</w:t>
      </w:r>
      <w:r>
        <w:rPr>
          <w:spacing w:val="22"/>
        </w:rPr>
        <w:t xml:space="preserve"> </w:t>
      </w:r>
      <w:r>
        <w:rPr>
          <w:spacing w:val="-1"/>
        </w:rPr>
        <w:t>any</w:t>
      </w:r>
      <w:r>
        <w:rPr>
          <w:spacing w:val="20"/>
        </w:rPr>
        <w:t xml:space="preserve"> </w:t>
      </w:r>
      <w:r>
        <w:rPr>
          <w:spacing w:val="-1"/>
        </w:rPr>
        <w:t>step</w:t>
      </w:r>
      <w:r>
        <w:rPr>
          <w:spacing w:val="22"/>
        </w:rPr>
        <w:t xml:space="preserve"> </w:t>
      </w:r>
      <w:r>
        <w:t>to</w:t>
      </w:r>
      <w:r>
        <w:rPr>
          <w:spacing w:val="22"/>
        </w:rPr>
        <w:t xml:space="preserve"> </w:t>
      </w:r>
      <w:r>
        <w:rPr>
          <w:spacing w:val="-1"/>
        </w:rPr>
        <w:t>enforce,</w:t>
      </w:r>
      <w:r>
        <w:rPr>
          <w:spacing w:val="23"/>
        </w:rPr>
        <w:t xml:space="preserve"> </w:t>
      </w:r>
      <w:r>
        <w:rPr>
          <w:spacing w:val="-1"/>
        </w:rPr>
        <w:t>any</w:t>
      </w:r>
      <w:r>
        <w:rPr>
          <w:spacing w:val="20"/>
        </w:rPr>
        <w:t xml:space="preserve"> </w:t>
      </w:r>
      <w:r>
        <w:rPr>
          <w:spacing w:val="-1"/>
        </w:rPr>
        <w:t>Third</w:t>
      </w:r>
      <w:r>
        <w:rPr>
          <w:spacing w:val="67"/>
        </w:rPr>
        <w:t xml:space="preserve"> </w:t>
      </w:r>
      <w:r>
        <w:rPr>
          <w:spacing w:val="-1"/>
        </w:rPr>
        <w:t>Party</w:t>
      </w:r>
      <w:r>
        <w:rPr>
          <w:spacing w:val="34"/>
        </w:rPr>
        <w:t xml:space="preserve"> </w:t>
      </w:r>
      <w:r>
        <w:rPr>
          <w:spacing w:val="-2"/>
        </w:rPr>
        <w:t>Provision</w:t>
      </w:r>
      <w:r>
        <w:rPr>
          <w:spacing w:val="41"/>
        </w:rPr>
        <w:t xml:space="preserve"> </w:t>
      </w:r>
      <w:r>
        <w:rPr>
          <w:spacing w:val="-2"/>
        </w:rPr>
        <w:t>without</w:t>
      </w:r>
      <w:r>
        <w:rPr>
          <w:spacing w:val="38"/>
        </w:rPr>
        <w:t xml:space="preserve"> </w:t>
      </w:r>
      <w:r>
        <w:t>the</w:t>
      </w:r>
      <w:r>
        <w:rPr>
          <w:spacing w:val="36"/>
        </w:rPr>
        <w:t xml:space="preserve"> </w:t>
      </w:r>
      <w:r>
        <w:rPr>
          <w:spacing w:val="-1"/>
        </w:rPr>
        <w:t>prior</w:t>
      </w:r>
      <w:r>
        <w:rPr>
          <w:spacing w:val="38"/>
        </w:rPr>
        <w:t xml:space="preserve"> </w:t>
      </w:r>
      <w:r>
        <w:rPr>
          <w:spacing w:val="-1"/>
        </w:rPr>
        <w:t>written</w:t>
      </w:r>
      <w:r>
        <w:rPr>
          <w:spacing w:val="36"/>
        </w:rPr>
        <w:t xml:space="preserve"> </w:t>
      </w:r>
      <w:r>
        <w:rPr>
          <w:spacing w:val="-1"/>
        </w:rPr>
        <w:t>consent</w:t>
      </w:r>
      <w:r>
        <w:rPr>
          <w:spacing w:val="39"/>
        </w:rPr>
        <w:t xml:space="preserve"> </w:t>
      </w:r>
      <w:r>
        <w:rPr>
          <w:spacing w:val="-2"/>
        </w:rPr>
        <w:t>of</w:t>
      </w:r>
      <w:r>
        <w:rPr>
          <w:spacing w:val="40"/>
        </w:rPr>
        <w:t xml:space="preserve"> </w:t>
      </w:r>
      <w:r>
        <w:t>the</w:t>
      </w:r>
      <w:r>
        <w:rPr>
          <w:spacing w:val="36"/>
        </w:rPr>
        <w:t xml:space="preserve"> </w:t>
      </w:r>
      <w:r>
        <w:rPr>
          <w:spacing w:val="-1"/>
        </w:rPr>
        <w:t>Customer,</w:t>
      </w:r>
      <w:r>
        <w:rPr>
          <w:spacing w:val="38"/>
        </w:rPr>
        <w:t xml:space="preserve"> </w:t>
      </w:r>
      <w:r>
        <w:rPr>
          <w:spacing w:val="-1"/>
        </w:rPr>
        <w:t>which</w:t>
      </w:r>
      <w:r>
        <w:rPr>
          <w:spacing w:val="36"/>
        </w:rPr>
        <w:t xml:space="preserve"> </w:t>
      </w:r>
      <w:r>
        <w:rPr>
          <w:spacing w:val="-1"/>
        </w:rPr>
        <w:t>may,</w:t>
      </w:r>
      <w:r>
        <w:rPr>
          <w:spacing w:val="38"/>
        </w:rPr>
        <w:t xml:space="preserve"> </w:t>
      </w:r>
      <w:r>
        <w:rPr>
          <w:spacing w:val="-1"/>
        </w:rPr>
        <w:t>if</w:t>
      </w:r>
      <w:r>
        <w:rPr>
          <w:spacing w:val="49"/>
        </w:rPr>
        <w:t xml:space="preserve"> </w:t>
      </w:r>
      <w:r>
        <w:rPr>
          <w:spacing w:val="-1"/>
        </w:rPr>
        <w:t>given,</w:t>
      </w:r>
      <w:r>
        <w:rPr>
          <w:spacing w:val="2"/>
        </w:rPr>
        <w:t xml:space="preserve"> </w:t>
      </w:r>
      <w:r>
        <w:rPr>
          <w:spacing w:val="-1"/>
        </w:rPr>
        <w:t>be</w:t>
      </w:r>
      <w:r>
        <w:rPr>
          <w:spacing w:val="-2"/>
        </w:rPr>
        <w:t xml:space="preserve"> </w:t>
      </w:r>
      <w:r>
        <w:rPr>
          <w:spacing w:val="-1"/>
        </w:rPr>
        <w:t>given</w:t>
      </w:r>
      <w:r>
        <w:t xml:space="preserve"> </w:t>
      </w:r>
      <w:r>
        <w:rPr>
          <w:spacing w:val="-1"/>
        </w:rPr>
        <w:t>on</w:t>
      </w:r>
      <w:r>
        <w:t xml:space="preserve"> </w:t>
      </w:r>
      <w:r>
        <w:rPr>
          <w:spacing w:val="-1"/>
        </w:rPr>
        <w:t>and</w:t>
      </w:r>
      <w:r>
        <w:rPr>
          <w:spacing w:val="-2"/>
        </w:rPr>
        <w:t xml:space="preserve"> </w:t>
      </w:r>
      <w:r>
        <w:rPr>
          <w:spacing w:val="-1"/>
        </w:rPr>
        <w:t>subject</w:t>
      </w:r>
      <w:r>
        <w:t xml:space="preserve"> to</w:t>
      </w:r>
      <w:r>
        <w:rPr>
          <w:spacing w:val="-2"/>
        </w:rPr>
        <w:t xml:space="preserve"> </w:t>
      </w:r>
      <w:r>
        <w:rPr>
          <w:spacing w:val="-1"/>
        </w:rPr>
        <w:t>such</w:t>
      </w:r>
      <w:r>
        <w:rPr>
          <w:spacing w:val="-2"/>
        </w:rPr>
        <w:t xml:space="preserve"> </w:t>
      </w:r>
      <w:r>
        <w:rPr>
          <w:spacing w:val="-1"/>
        </w:rPr>
        <w:t>terms</w:t>
      </w:r>
      <w:r>
        <w:rPr>
          <w:spacing w:val="1"/>
        </w:rPr>
        <w:t xml:space="preserve"> </w:t>
      </w:r>
      <w:r>
        <w:rPr>
          <w:spacing w:val="-1"/>
        </w:rPr>
        <w:t>as</w:t>
      </w:r>
      <w:r>
        <w:rPr>
          <w:spacing w:val="-2"/>
        </w:rPr>
        <w:t xml:space="preserve"> </w:t>
      </w:r>
      <w:r>
        <w:rPr>
          <w:spacing w:val="-1"/>
        </w:rPr>
        <w:t>the</w:t>
      </w:r>
      <w:r>
        <w:t xml:space="preserve"> </w:t>
      </w:r>
      <w:r>
        <w:rPr>
          <w:spacing w:val="-1"/>
        </w:rPr>
        <w:t>Customer may</w:t>
      </w:r>
      <w:r>
        <w:rPr>
          <w:spacing w:val="-2"/>
        </w:rPr>
        <w:t xml:space="preserve"> determine.</w:t>
      </w:r>
    </w:p>
    <w:p w:rsidR="008918FA" w:rsidRDefault="008918FA" w:rsidP="008918FA">
      <w:pPr>
        <w:pStyle w:val="BodyText"/>
        <w:numPr>
          <w:ilvl w:val="1"/>
          <w:numId w:val="66"/>
        </w:numPr>
        <w:tabs>
          <w:tab w:val="left" w:pos="1234"/>
        </w:tabs>
        <w:ind w:left="1029" w:right="134" w:hanging="360"/>
        <w:jc w:val="both"/>
      </w:pPr>
      <w:r>
        <w:rPr>
          <w:spacing w:val="-1"/>
        </w:rPr>
        <w:t>Any</w:t>
      </w:r>
      <w:r>
        <w:rPr>
          <w:spacing w:val="30"/>
        </w:rPr>
        <w:t xml:space="preserve"> </w:t>
      </w:r>
      <w:r>
        <w:rPr>
          <w:spacing w:val="-1"/>
        </w:rPr>
        <w:t>amendments</w:t>
      </w:r>
      <w:r>
        <w:rPr>
          <w:spacing w:val="30"/>
        </w:rPr>
        <w:t xml:space="preserve"> </w:t>
      </w:r>
      <w:r>
        <w:rPr>
          <w:spacing w:val="-1"/>
        </w:rPr>
        <w:t>or</w:t>
      </w:r>
      <w:r>
        <w:rPr>
          <w:spacing w:val="30"/>
        </w:rPr>
        <w:t xml:space="preserve"> </w:t>
      </w:r>
      <w:r>
        <w:rPr>
          <w:spacing w:val="-1"/>
        </w:rPr>
        <w:t>modifications</w:t>
      </w:r>
      <w:r>
        <w:rPr>
          <w:spacing w:val="32"/>
        </w:rPr>
        <w:t xml:space="preserve"> </w:t>
      </w:r>
      <w:r>
        <w:t>to</w:t>
      </w:r>
      <w:r>
        <w:rPr>
          <w:spacing w:val="29"/>
        </w:rPr>
        <w:t xml:space="preserve"> </w:t>
      </w:r>
      <w:r>
        <w:rPr>
          <w:spacing w:val="-1"/>
        </w:rPr>
        <w:t>this</w:t>
      </w:r>
      <w:r>
        <w:rPr>
          <w:spacing w:val="33"/>
        </w:rPr>
        <w:t xml:space="preserve"> </w:t>
      </w:r>
      <w:r>
        <w:rPr>
          <w:spacing w:val="-2"/>
        </w:rPr>
        <w:t>Call</w:t>
      </w:r>
      <w:r>
        <w:rPr>
          <w:spacing w:val="31"/>
        </w:rPr>
        <w:t xml:space="preserve"> </w:t>
      </w:r>
      <w:r>
        <w:rPr>
          <w:spacing w:val="-1"/>
        </w:rPr>
        <w:t>Off</w:t>
      </w:r>
      <w:r>
        <w:rPr>
          <w:spacing w:val="33"/>
        </w:rPr>
        <w:t xml:space="preserve"> </w:t>
      </w:r>
      <w:r>
        <w:rPr>
          <w:spacing w:val="-2"/>
        </w:rPr>
        <w:t>Contract</w:t>
      </w:r>
      <w:r>
        <w:rPr>
          <w:spacing w:val="31"/>
        </w:rPr>
        <w:t xml:space="preserve"> </w:t>
      </w:r>
      <w:r>
        <w:rPr>
          <w:spacing w:val="-1"/>
        </w:rPr>
        <w:t>may</w:t>
      </w:r>
      <w:r>
        <w:rPr>
          <w:spacing w:val="30"/>
        </w:rPr>
        <w:t xml:space="preserve"> </w:t>
      </w:r>
      <w:r>
        <w:rPr>
          <w:spacing w:val="-1"/>
        </w:rPr>
        <w:t>be</w:t>
      </w:r>
      <w:r>
        <w:rPr>
          <w:spacing w:val="32"/>
        </w:rPr>
        <w:t xml:space="preserve"> </w:t>
      </w:r>
      <w:r>
        <w:rPr>
          <w:spacing w:val="-1"/>
        </w:rPr>
        <w:t>made,</w:t>
      </w:r>
      <w:r>
        <w:rPr>
          <w:spacing w:val="33"/>
        </w:rPr>
        <w:t xml:space="preserve"> </w:t>
      </w:r>
      <w:r>
        <w:rPr>
          <w:spacing w:val="-1"/>
        </w:rPr>
        <w:t>and</w:t>
      </w:r>
      <w:r>
        <w:rPr>
          <w:spacing w:val="52"/>
        </w:rPr>
        <w:t xml:space="preserve"> </w:t>
      </w:r>
      <w:r>
        <w:rPr>
          <w:spacing w:val="-1"/>
        </w:rPr>
        <w:t>any</w:t>
      </w:r>
      <w:r>
        <w:rPr>
          <w:spacing w:val="51"/>
        </w:rPr>
        <w:t xml:space="preserve"> </w:t>
      </w:r>
      <w:r>
        <w:t>rights</w:t>
      </w:r>
      <w:r>
        <w:rPr>
          <w:spacing w:val="53"/>
        </w:rPr>
        <w:t xml:space="preserve"> </w:t>
      </w:r>
      <w:r>
        <w:rPr>
          <w:spacing w:val="-1"/>
        </w:rPr>
        <w:t>created</w:t>
      </w:r>
      <w:r>
        <w:rPr>
          <w:spacing w:val="53"/>
        </w:rPr>
        <w:t xml:space="preserve"> </w:t>
      </w:r>
      <w:r>
        <w:rPr>
          <w:spacing w:val="-2"/>
        </w:rPr>
        <w:t>under</w:t>
      </w:r>
      <w:r>
        <w:rPr>
          <w:spacing w:val="54"/>
        </w:rPr>
        <w:t xml:space="preserve"> </w:t>
      </w:r>
      <w:r>
        <w:rPr>
          <w:spacing w:val="-2"/>
        </w:rPr>
        <w:t>Clause</w:t>
      </w:r>
      <w:r>
        <w:rPr>
          <w:spacing w:val="54"/>
        </w:rPr>
        <w:t xml:space="preserve"> </w:t>
      </w:r>
      <w:hyperlink w:anchor="_bookmark273" w:history="1">
        <w:r>
          <w:rPr>
            <w:spacing w:val="-1"/>
          </w:rPr>
          <w:t>54.1</w:t>
        </w:r>
      </w:hyperlink>
      <w:r>
        <w:rPr>
          <w:spacing w:val="54"/>
        </w:rPr>
        <w:t xml:space="preserve"> </w:t>
      </w:r>
      <w:r>
        <w:rPr>
          <w:spacing w:val="-1"/>
        </w:rPr>
        <w:t>may</w:t>
      </w:r>
      <w:r>
        <w:rPr>
          <w:spacing w:val="52"/>
        </w:rPr>
        <w:t xml:space="preserve"> </w:t>
      </w:r>
      <w:r>
        <w:rPr>
          <w:spacing w:val="1"/>
        </w:rPr>
        <w:t>be</w:t>
      </w:r>
      <w:r>
        <w:rPr>
          <w:spacing w:val="53"/>
        </w:rPr>
        <w:t xml:space="preserve"> </w:t>
      </w:r>
      <w:r>
        <w:rPr>
          <w:spacing w:val="-1"/>
        </w:rPr>
        <w:t>altered</w:t>
      </w:r>
      <w:r>
        <w:rPr>
          <w:spacing w:val="53"/>
        </w:rPr>
        <w:t xml:space="preserve"> </w:t>
      </w:r>
      <w:r>
        <w:rPr>
          <w:spacing w:val="-1"/>
        </w:rPr>
        <w:t>or</w:t>
      </w:r>
      <w:r>
        <w:rPr>
          <w:spacing w:val="54"/>
        </w:rPr>
        <w:t xml:space="preserve"> </w:t>
      </w:r>
      <w:r>
        <w:rPr>
          <w:spacing w:val="-1"/>
        </w:rPr>
        <w:t>extinguished,</w:t>
      </w:r>
      <w:r>
        <w:rPr>
          <w:spacing w:val="55"/>
        </w:rPr>
        <w:t xml:space="preserve"> </w:t>
      </w:r>
      <w:r>
        <w:rPr>
          <w:spacing w:val="-1"/>
        </w:rPr>
        <w:t>by</w:t>
      </w:r>
      <w:r>
        <w:rPr>
          <w:spacing w:val="51"/>
        </w:rPr>
        <w:t xml:space="preserve"> </w:t>
      </w:r>
      <w:r>
        <w:rPr>
          <w:spacing w:val="-1"/>
        </w:rPr>
        <w:t>the</w:t>
      </w:r>
      <w:r>
        <w:rPr>
          <w:spacing w:val="60"/>
        </w:rPr>
        <w:t xml:space="preserve"> </w:t>
      </w:r>
      <w:r>
        <w:rPr>
          <w:spacing w:val="-1"/>
        </w:rPr>
        <w:t>Parties</w:t>
      </w:r>
      <w:r>
        <w:rPr>
          <w:spacing w:val="1"/>
        </w:rPr>
        <w:t xml:space="preserve"> </w:t>
      </w:r>
      <w:r>
        <w:rPr>
          <w:spacing w:val="-2"/>
        </w:rPr>
        <w:t>without</w:t>
      </w:r>
      <w:r>
        <w:t xml:space="preserve"> the</w:t>
      </w:r>
      <w:r>
        <w:rPr>
          <w:spacing w:val="-2"/>
        </w:rPr>
        <w:t xml:space="preserve"> </w:t>
      </w:r>
      <w:r>
        <w:rPr>
          <w:spacing w:val="-1"/>
        </w:rPr>
        <w:t>consent</w:t>
      </w:r>
      <w:r>
        <w:rPr>
          <w:spacing w:val="2"/>
        </w:rPr>
        <w:t xml:space="preserve"> </w:t>
      </w:r>
      <w:r>
        <w:rPr>
          <w:spacing w:val="-2"/>
        </w:rPr>
        <w:t>of</w:t>
      </w:r>
      <w:r>
        <w:rPr>
          <w:spacing w:val="2"/>
        </w:rPr>
        <w:t xml:space="preserve"> </w:t>
      </w:r>
      <w:r>
        <w:rPr>
          <w:spacing w:val="-1"/>
        </w:rPr>
        <w:t>any</w:t>
      </w:r>
      <w:r>
        <w:rPr>
          <w:spacing w:val="-4"/>
        </w:rPr>
        <w:t xml:space="preserve"> </w:t>
      </w:r>
      <w:r>
        <w:rPr>
          <w:spacing w:val="-1"/>
        </w:rPr>
        <w:t>Third</w:t>
      </w:r>
      <w:r>
        <w:rPr>
          <w:spacing w:val="-2"/>
        </w:rPr>
        <w:t xml:space="preserve"> </w:t>
      </w:r>
      <w:r>
        <w:rPr>
          <w:spacing w:val="-1"/>
        </w:rPr>
        <w:t>Party</w:t>
      </w:r>
      <w:r>
        <w:rPr>
          <w:spacing w:val="-2"/>
        </w:rPr>
        <w:t xml:space="preserve"> Beneficiary.</w:t>
      </w:r>
    </w:p>
    <w:p w:rsidR="008918FA" w:rsidRDefault="008918FA" w:rsidP="008918FA">
      <w:pPr>
        <w:pStyle w:val="BodyText"/>
        <w:numPr>
          <w:ilvl w:val="0"/>
          <w:numId w:val="66"/>
        </w:numPr>
        <w:tabs>
          <w:tab w:val="left" w:pos="667"/>
        </w:tabs>
        <w:spacing w:before="120"/>
        <w:ind w:left="666" w:hanging="566"/>
        <w:rPr>
          <w:rFonts w:ascii="Times New Roman" w:eastAsia="Times New Roman" w:hAnsi="Times New Roman" w:cs="Times New Roman"/>
        </w:rPr>
      </w:pPr>
      <w:bookmarkStart w:id="332" w:name="_bookmark274"/>
      <w:bookmarkEnd w:id="332"/>
      <w:r>
        <w:rPr>
          <w:rFonts w:ascii="Times New Roman"/>
          <w:spacing w:val="2"/>
        </w:rPr>
        <w:t>NOTICES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4"/>
        </w:tabs>
        <w:spacing w:before="0"/>
        <w:ind w:left="1029" w:right="134" w:hanging="360"/>
        <w:jc w:val="both"/>
      </w:pPr>
      <w:r>
        <w:rPr>
          <w:spacing w:val="-1"/>
        </w:rPr>
        <w:t>Except</w:t>
      </w:r>
      <w:r>
        <w:rPr>
          <w:spacing w:val="9"/>
        </w:rPr>
        <w:t xml:space="preserve"> </w:t>
      </w:r>
      <w:r>
        <w:rPr>
          <w:spacing w:val="-1"/>
        </w:rPr>
        <w:t>as</w:t>
      </w:r>
      <w:r>
        <w:rPr>
          <w:spacing w:val="8"/>
        </w:rPr>
        <w:t xml:space="preserve"> </w:t>
      </w:r>
      <w:r>
        <w:rPr>
          <w:spacing w:val="-1"/>
        </w:rPr>
        <w:t>otherwise</w:t>
      </w:r>
      <w:r>
        <w:rPr>
          <w:spacing w:val="8"/>
        </w:rPr>
        <w:t xml:space="preserve"> </w:t>
      </w:r>
      <w:r>
        <w:rPr>
          <w:spacing w:val="-1"/>
        </w:rPr>
        <w:t>expressly</w:t>
      </w:r>
      <w:r>
        <w:rPr>
          <w:spacing w:val="5"/>
        </w:rPr>
        <w:t xml:space="preserve"> </w:t>
      </w:r>
      <w:bookmarkStart w:id="333" w:name="55._NOTICES"/>
      <w:bookmarkEnd w:id="333"/>
      <w:r>
        <w:rPr>
          <w:spacing w:val="-2"/>
        </w:rPr>
        <w:t>provided</w:t>
      </w:r>
      <w:r>
        <w:rPr>
          <w:spacing w:val="12"/>
        </w:rPr>
        <w:t xml:space="preserve"> </w:t>
      </w:r>
      <w:r>
        <w:rPr>
          <w:spacing w:val="-2"/>
        </w:rPr>
        <w:t>within</w:t>
      </w:r>
      <w:r>
        <w:rPr>
          <w:spacing w:val="7"/>
        </w:rPr>
        <w:t xml:space="preserve"> </w:t>
      </w:r>
      <w:r>
        <w:t>this</w:t>
      </w:r>
      <w:r>
        <w:rPr>
          <w:spacing w:val="8"/>
        </w:rPr>
        <w:t xml:space="preserve"> </w:t>
      </w:r>
      <w:r>
        <w:rPr>
          <w:spacing w:val="-2"/>
        </w:rPr>
        <w:t>Call</w:t>
      </w:r>
      <w:r>
        <w:rPr>
          <w:spacing w:val="7"/>
        </w:rPr>
        <w:t xml:space="preserve"> </w:t>
      </w:r>
      <w:r>
        <w:t>Off</w:t>
      </w:r>
      <w:r>
        <w:rPr>
          <w:spacing w:val="11"/>
        </w:rPr>
        <w:t xml:space="preserve"> </w:t>
      </w:r>
      <w:r>
        <w:rPr>
          <w:spacing w:val="-1"/>
        </w:rPr>
        <w:t>Contract,</w:t>
      </w:r>
      <w:r>
        <w:rPr>
          <w:spacing w:val="9"/>
        </w:rPr>
        <w:t xml:space="preserve"> </w:t>
      </w:r>
      <w:r>
        <w:rPr>
          <w:spacing w:val="-1"/>
        </w:rPr>
        <w:t>any</w:t>
      </w:r>
      <w:r>
        <w:rPr>
          <w:spacing w:val="8"/>
        </w:rPr>
        <w:t xml:space="preserve"> </w:t>
      </w:r>
      <w:r>
        <w:rPr>
          <w:spacing w:val="-1"/>
        </w:rPr>
        <w:t>notices</w:t>
      </w:r>
      <w:r>
        <w:rPr>
          <w:spacing w:val="59"/>
        </w:rPr>
        <w:t xml:space="preserve"> </w:t>
      </w:r>
      <w:r>
        <w:rPr>
          <w:spacing w:val="-1"/>
        </w:rPr>
        <w:t>sent</w:t>
      </w:r>
      <w:r>
        <w:rPr>
          <w:spacing w:val="11"/>
        </w:rPr>
        <w:t xml:space="preserve"> </w:t>
      </w:r>
      <w:r>
        <w:rPr>
          <w:spacing w:val="-2"/>
        </w:rPr>
        <w:t>under</w:t>
      </w:r>
      <w:r>
        <w:rPr>
          <w:spacing w:val="9"/>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9"/>
        </w:rPr>
        <w:t xml:space="preserve"> </w:t>
      </w:r>
      <w:r>
        <w:rPr>
          <w:spacing w:val="-1"/>
        </w:rPr>
        <w:t>Contract</w:t>
      </w:r>
      <w:r>
        <w:rPr>
          <w:spacing w:val="9"/>
        </w:rPr>
        <w:t xml:space="preserve"> </w:t>
      </w:r>
      <w:r>
        <w:rPr>
          <w:spacing w:val="-1"/>
        </w:rPr>
        <w:t>must</w:t>
      </w:r>
      <w:r>
        <w:rPr>
          <w:spacing w:val="9"/>
        </w:rPr>
        <w:t xml:space="preserve"> </w:t>
      </w:r>
      <w:r>
        <w:rPr>
          <w:spacing w:val="-1"/>
        </w:rPr>
        <w:t>be</w:t>
      </w:r>
      <w:r>
        <w:rPr>
          <w:spacing w:val="10"/>
        </w:rPr>
        <w:t xml:space="preserve"> </w:t>
      </w:r>
      <w:r>
        <w:rPr>
          <w:spacing w:val="-1"/>
        </w:rPr>
        <w:t>in</w:t>
      </w:r>
      <w:r>
        <w:rPr>
          <w:spacing w:val="10"/>
        </w:rPr>
        <w:t xml:space="preserve"> </w:t>
      </w:r>
      <w:r>
        <w:rPr>
          <w:spacing w:val="-2"/>
        </w:rPr>
        <w:t>writing.</w:t>
      </w:r>
      <w:r>
        <w:rPr>
          <w:spacing w:val="11"/>
        </w:rPr>
        <w:t xml:space="preserve"> </w:t>
      </w:r>
      <w:r>
        <w:rPr>
          <w:spacing w:val="-1"/>
        </w:rPr>
        <w:t>For</w:t>
      </w:r>
      <w:r>
        <w:rPr>
          <w:spacing w:val="9"/>
        </w:rPr>
        <w:t xml:space="preserve"> </w:t>
      </w:r>
      <w:r>
        <w:t>the</w:t>
      </w:r>
      <w:r>
        <w:rPr>
          <w:spacing w:val="7"/>
        </w:rPr>
        <w:t xml:space="preserve"> </w:t>
      </w:r>
      <w:r>
        <w:rPr>
          <w:spacing w:val="-1"/>
        </w:rPr>
        <w:t>purpose</w:t>
      </w:r>
      <w:r>
        <w:rPr>
          <w:spacing w:val="8"/>
        </w:rPr>
        <w:t xml:space="preserve"> </w:t>
      </w:r>
      <w:r>
        <w:rPr>
          <w:spacing w:val="-2"/>
        </w:rPr>
        <w:t>of</w:t>
      </w:r>
      <w:r>
        <w:rPr>
          <w:spacing w:val="11"/>
        </w:rPr>
        <w:t xml:space="preserve"> </w:t>
      </w:r>
      <w:r>
        <w:rPr>
          <w:spacing w:val="-2"/>
        </w:rPr>
        <w:t>this</w:t>
      </w:r>
      <w:r>
        <w:rPr>
          <w:spacing w:val="10"/>
        </w:rPr>
        <w:t xml:space="preserve"> </w:t>
      </w:r>
      <w:r>
        <w:rPr>
          <w:spacing w:val="-2"/>
        </w:rPr>
        <w:t>Clause</w:t>
      </w:r>
      <w:hyperlink w:anchor="_bookmark274" w:history="1">
        <w:r>
          <w:rPr>
            <w:spacing w:val="70"/>
          </w:rPr>
          <w:t xml:space="preserve"> </w:t>
        </w:r>
        <w:r>
          <w:rPr>
            <w:spacing w:val="-1"/>
          </w:rPr>
          <w:t>55</w:t>
        </w:r>
      </w:hyperlink>
      <w:r>
        <w:rPr>
          <w:spacing w:val="-1"/>
        </w:rPr>
        <w:t>,</w:t>
      </w:r>
      <w:r>
        <w:rPr>
          <w:spacing w:val="2"/>
        </w:rPr>
        <w:t xml:space="preserve"> </w:t>
      </w:r>
      <w:r>
        <w:rPr>
          <w:spacing w:val="-1"/>
        </w:rPr>
        <w:t>an</w:t>
      </w:r>
      <w:r>
        <w:rPr>
          <w:spacing w:val="-2"/>
        </w:rPr>
        <w:t xml:space="preserve"> </w:t>
      </w:r>
      <w:r>
        <w:rPr>
          <w:spacing w:val="-1"/>
        </w:rPr>
        <w:t>e-mail</w:t>
      </w:r>
      <w:r>
        <w:t xml:space="preserve"> </w:t>
      </w:r>
      <w:r>
        <w:rPr>
          <w:spacing w:val="-1"/>
        </w:rPr>
        <w:t>is</w:t>
      </w:r>
      <w:r>
        <w:rPr>
          <w:spacing w:val="1"/>
        </w:rPr>
        <w:t xml:space="preserve"> </w:t>
      </w:r>
      <w:r>
        <w:rPr>
          <w:spacing w:val="-1"/>
        </w:rPr>
        <w:t>accepted</w:t>
      </w:r>
      <w:r>
        <w:rPr>
          <w:spacing w:val="-2"/>
        </w:rPr>
        <w:t xml:space="preserve"> </w:t>
      </w:r>
      <w:r>
        <w:rPr>
          <w:spacing w:val="-1"/>
        </w:rPr>
        <w:t>as</w:t>
      </w:r>
      <w:r>
        <w:rPr>
          <w:spacing w:val="1"/>
        </w:rPr>
        <w:t xml:space="preserve"> </w:t>
      </w:r>
      <w:r>
        <w:rPr>
          <w:spacing w:val="-2"/>
        </w:rPr>
        <w:t>being</w:t>
      </w:r>
      <w:r>
        <w:t xml:space="preserve"> </w:t>
      </w:r>
      <w:r>
        <w:rPr>
          <w:spacing w:val="-1"/>
        </w:rPr>
        <w:t>"in</w:t>
      </w:r>
      <w:r>
        <w:t xml:space="preserve"> </w:t>
      </w:r>
      <w:r>
        <w:rPr>
          <w:spacing w:val="-1"/>
        </w:rPr>
        <w:t>writing".</w:t>
      </w:r>
    </w:p>
    <w:p w:rsidR="008918FA" w:rsidRDefault="008918FA" w:rsidP="008918FA">
      <w:pPr>
        <w:pStyle w:val="BodyText"/>
        <w:numPr>
          <w:ilvl w:val="1"/>
          <w:numId w:val="66"/>
        </w:numPr>
        <w:tabs>
          <w:tab w:val="left" w:pos="1234"/>
        </w:tabs>
        <w:ind w:left="1029" w:right="133" w:hanging="360"/>
        <w:jc w:val="both"/>
      </w:pPr>
      <w:bookmarkStart w:id="334" w:name="_bookmark275"/>
      <w:bookmarkEnd w:id="334"/>
      <w:r>
        <w:rPr>
          <w:spacing w:val="-1"/>
        </w:rPr>
        <w:t>Subject</w:t>
      </w:r>
      <w:r>
        <w:rPr>
          <w:spacing w:val="12"/>
        </w:rPr>
        <w:t xml:space="preserve"> </w:t>
      </w:r>
      <w:r>
        <w:t>to</w:t>
      </w:r>
      <w:r>
        <w:rPr>
          <w:spacing w:val="10"/>
        </w:rPr>
        <w:t xml:space="preserve"> </w:t>
      </w:r>
      <w:r>
        <w:rPr>
          <w:spacing w:val="-2"/>
        </w:rPr>
        <w:t>Clause</w:t>
      </w:r>
      <w:r>
        <w:rPr>
          <w:spacing w:val="11"/>
        </w:rPr>
        <w:t xml:space="preserve"> </w:t>
      </w:r>
      <w:hyperlink w:anchor="_bookmark276" w:history="1">
        <w:r>
          <w:rPr>
            <w:spacing w:val="-1"/>
          </w:rPr>
          <w:t>55.3</w:t>
        </w:r>
      </w:hyperlink>
      <w:r>
        <w:rPr>
          <w:spacing w:val="-1"/>
        </w:rPr>
        <w:t>,</w:t>
      </w:r>
      <w:r>
        <w:rPr>
          <w:spacing w:val="11"/>
        </w:rPr>
        <w:t xml:space="preserve"> </w:t>
      </w:r>
      <w:r>
        <w:rPr>
          <w:spacing w:val="-1"/>
        </w:rPr>
        <w:t>the</w:t>
      </w:r>
      <w:r>
        <w:rPr>
          <w:spacing w:val="10"/>
        </w:rPr>
        <w:t xml:space="preserve"> </w:t>
      </w:r>
      <w:r>
        <w:rPr>
          <w:spacing w:val="-2"/>
        </w:rPr>
        <w:t>following</w:t>
      </w:r>
      <w:r>
        <w:rPr>
          <w:spacing w:val="12"/>
        </w:rPr>
        <w:t xml:space="preserve"> </w:t>
      </w:r>
      <w:r>
        <w:rPr>
          <w:spacing w:val="-1"/>
        </w:rPr>
        <w:t>table</w:t>
      </w:r>
      <w:r>
        <w:rPr>
          <w:spacing w:val="10"/>
        </w:rPr>
        <w:t xml:space="preserve"> </w:t>
      </w:r>
      <w:r>
        <w:t>sets</w:t>
      </w:r>
      <w:r>
        <w:rPr>
          <w:spacing w:val="10"/>
        </w:rPr>
        <w:t xml:space="preserve"> </w:t>
      </w:r>
      <w:r>
        <w:rPr>
          <w:spacing w:val="-1"/>
        </w:rPr>
        <w:t>out</w:t>
      </w:r>
      <w:r>
        <w:rPr>
          <w:spacing w:val="11"/>
        </w:rPr>
        <w:t xml:space="preserve"> </w:t>
      </w:r>
      <w:r>
        <w:t>the</w:t>
      </w:r>
      <w:r>
        <w:rPr>
          <w:spacing w:val="10"/>
        </w:rPr>
        <w:t xml:space="preserve"> </w:t>
      </w:r>
      <w:r>
        <w:rPr>
          <w:spacing w:val="-1"/>
        </w:rPr>
        <w:t>method</w:t>
      </w:r>
      <w:r>
        <w:rPr>
          <w:spacing w:val="10"/>
        </w:rPr>
        <w:t xml:space="preserve"> </w:t>
      </w:r>
      <w:r>
        <w:rPr>
          <w:spacing w:val="-1"/>
        </w:rPr>
        <w:t>by</w:t>
      </w:r>
      <w:r>
        <w:rPr>
          <w:spacing w:val="10"/>
        </w:rPr>
        <w:t xml:space="preserve"> </w:t>
      </w:r>
      <w:r>
        <w:rPr>
          <w:spacing w:val="-2"/>
        </w:rPr>
        <w:t>which</w:t>
      </w:r>
      <w:r>
        <w:rPr>
          <w:spacing w:val="13"/>
        </w:rPr>
        <w:t xml:space="preserve"> </w:t>
      </w:r>
      <w:r>
        <w:rPr>
          <w:spacing w:val="-1"/>
        </w:rPr>
        <w:t>notices</w:t>
      </w:r>
      <w:r>
        <w:rPr>
          <w:spacing w:val="59"/>
        </w:rPr>
        <w:t xml:space="preserve"> </w:t>
      </w:r>
      <w:r>
        <w:rPr>
          <w:spacing w:val="-1"/>
        </w:rPr>
        <w:t>may</w:t>
      </w:r>
      <w:r>
        <w:rPr>
          <w:spacing w:val="25"/>
        </w:rPr>
        <w:t xml:space="preserve"> </w:t>
      </w:r>
      <w:r>
        <w:rPr>
          <w:spacing w:val="-1"/>
        </w:rPr>
        <w:t>be</w:t>
      </w:r>
      <w:r>
        <w:rPr>
          <w:spacing w:val="27"/>
        </w:rPr>
        <w:t xml:space="preserve"> </w:t>
      </w:r>
      <w:r>
        <w:rPr>
          <w:spacing w:val="-1"/>
        </w:rPr>
        <w:t>served</w:t>
      </w:r>
      <w:r>
        <w:rPr>
          <w:spacing w:val="27"/>
        </w:rPr>
        <w:t xml:space="preserve"> </w:t>
      </w:r>
      <w:r>
        <w:rPr>
          <w:spacing w:val="-2"/>
        </w:rPr>
        <w:t>under</w:t>
      </w:r>
      <w:r>
        <w:rPr>
          <w:spacing w:val="26"/>
        </w:rPr>
        <w:t xml:space="preserve"> </w:t>
      </w:r>
      <w:r>
        <w:rPr>
          <w:spacing w:val="-1"/>
        </w:rPr>
        <w:t>this</w:t>
      </w:r>
      <w:r>
        <w:rPr>
          <w:spacing w:val="27"/>
        </w:rPr>
        <w:t xml:space="preserve"> </w:t>
      </w:r>
      <w:r>
        <w:rPr>
          <w:spacing w:val="-2"/>
        </w:rPr>
        <w:t>Call</w:t>
      </w:r>
      <w:r>
        <w:rPr>
          <w:spacing w:val="26"/>
        </w:rPr>
        <w:t xml:space="preserve"> </w:t>
      </w:r>
      <w:r>
        <w:rPr>
          <w:spacing w:val="-1"/>
        </w:rPr>
        <w:t>Off</w:t>
      </w:r>
      <w:r>
        <w:rPr>
          <w:spacing w:val="28"/>
        </w:rPr>
        <w:t xml:space="preserve"> </w:t>
      </w:r>
      <w:r>
        <w:rPr>
          <w:spacing w:val="-2"/>
        </w:rPr>
        <w:t>Contract</w:t>
      </w:r>
      <w:r>
        <w:rPr>
          <w:spacing w:val="28"/>
        </w:rPr>
        <w:t xml:space="preserve"> </w:t>
      </w:r>
      <w:r>
        <w:rPr>
          <w:spacing w:val="-1"/>
        </w:rPr>
        <w:t>and</w:t>
      </w:r>
      <w:r>
        <w:rPr>
          <w:spacing w:val="24"/>
        </w:rPr>
        <w:t xml:space="preserve"> </w:t>
      </w:r>
      <w:r>
        <w:t>the</w:t>
      </w:r>
      <w:r>
        <w:rPr>
          <w:spacing w:val="24"/>
        </w:rPr>
        <w:t xml:space="preserve"> </w:t>
      </w:r>
      <w:r>
        <w:rPr>
          <w:spacing w:val="-1"/>
        </w:rPr>
        <w:t>respective</w:t>
      </w:r>
      <w:r>
        <w:rPr>
          <w:spacing w:val="27"/>
        </w:rPr>
        <w:t xml:space="preserve"> </w:t>
      </w:r>
      <w:r>
        <w:rPr>
          <w:spacing w:val="-1"/>
        </w:rPr>
        <w:t>deemed</w:t>
      </w:r>
      <w:r>
        <w:rPr>
          <w:spacing w:val="24"/>
        </w:rPr>
        <w:t xml:space="preserve"> </w:t>
      </w:r>
      <w:r>
        <w:rPr>
          <w:spacing w:val="-1"/>
        </w:rPr>
        <w:t>time</w:t>
      </w:r>
      <w:r>
        <w:rPr>
          <w:spacing w:val="27"/>
        </w:rPr>
        <w:t xml:space="preserve"> </w:t>
      </w:r>
      <w:r>
        <w:rPr>
          <w:spacing w:val="-2"/>
        </w:rPr>
        <w:t>and</w:t>
      </w:r>
      <w:r>
        <w:rPr>
          <w:spacing w:val="55"/>
        </w:rPr>
        <w:t xml:space="preserve"> </w:t>
      </w:r>
      <w:r>
        <w:rPr>
          <w:spacing w:val="-1"/>
        </w:rPr>
        <w:t>proof</w:t>
      </w:r>
      <w:r>
        <w:rPr>
          <w:spacing w:val="2"/>
        </w:rPr>
        <w:t xml:space="preserve"> </w:t>
      </w:r>
      <w:r>
        <w:rPr>
          <w:spacing w:val="-2"/>
        </w:rPr>
        <w:t>of</w:t>
      </w:r>
      <w:r>
        <w:rPr>
          <w:spacing w:val="2"/>
        </w:rPr>
        <w:t xml:space="preserve"> </w:t>
      </w:r>
      <w:r>
        <w:rPr>
          <w:spacing w:val="-1"/>
        </w:rPr>
        <w:t>service:</w:t>
      </w:r>
    </w:p>
    <w:p w:rsidR="008918FA" w:rsidRDefault="008918FA" w:rsidP="008918FA">
      <w:pPr>
        <w:spacing w:before="2"/>
        <w:rPr>
          <w:rFonts w:ascii="Arial" w:eastAsia="Arial" w:hAnsi="Arial" w:cs="Arial"/>
          <w:sz w:val="11"/>
          <w:szCs w:val="11"/>
        </w:rPr>
      </w:pPr>
    </w:p>
    <w:tbl>
      <w:tblPr>
        <w:tblW w:w="0" w:type="auto"/>
        <w:tblInd w:w="1512" w:type="dxa"/>
        <w:tblLayout w:type="fixed"/>
        <w:tblCellMar>
          <w:left w:w="0" w:type="dxa"/>
          <w:right w:w="0" w:type="dxa"/>
        </w:tblCellMar>
        <w:tblLook w:val="01E0" w:firstRow="1" w:lastRow="1" w:firstColumn="1" w:lastColumn="1" w:noHBand="0" w:noVBand="0"/>
      </w:tblPr>
      <w:tblGrid>
        <w:gridCol w:w="2105"/>
        <w:gridCol w:w="2640"/>
        <w:gridCol w:w="2909"/>
      </w:tblGrid>
      <w:tr w:rsidR="008918FA" w:rsidTr="005D2B81">
        <w:trPr>
          <w:trHeight w:hRule="exact" w:val="624"/>
        </w:trPr>
        <w:tc>
          <w:tcPr>
            <w:tcW w:w="2105"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spacing w:line="250" w:lineRule="exact"/>
              <w:ind w:left="102"/>
              <w:rPr>
                <w:rFonts w:ascii="Arial" w:eastAsia="Arial" w:hAnsi="Arial" w:cs="Arial"/>
              </w:rPr>
            </w:pPr>
            <w:r>
              <w:rPr>
                <w:rFonts w:ascii="Arial"/>
                <w:spacing w:val="-2"/>
              </w:rPr>
              <w:t>Manner</w:t>
            </w:r>
            <w:r>
              <w:rPr>
                <w:rFonts w:ascii="Arial"/>
                <w:spacing w:val="2"/>
              </w:rPr>
              <w:t xml:space="preserve"> </w:t>
            </w:r>
            <w:r>
              <w:rPr>
                <w:rFonts w:ascii="Arial"/>
                <w:spacing w:val="-1"/>
              </w:rPr>
              <w:t>of</w:t>
            </w:r>
            <w:r>
              <w:rPr>
                <w:rFonts w:ascii="Arial"/>
                <w:spacing w:val="2"/>
              </w:rPr>
              <w:t xml:space="preserve"> </w:t>
            </w:r>
            <w:r>
              <w:rPr>
                <w:rFonts w:ascii="Arial"/>
                <w:spacing w:val="-2"/>
              </w:rPr>
              <w:t>Delivery</w:t>
            </w:r>
          </w:p>
        </w:tc>
        <w:tc>
          <w:tcPr>
            <w:tcW w:w="2640"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spacing w:line="250" w:lineRule="exact"/>
              <w:ind w:left="102"/>
              <w:rPr>
                <w:rFonts w:ascii="Arial" w:eastAsia="Arial" w:hAnsi="Arial" w:cs="Arial"/>
              </w:rPr>
            </w:pPr>
            <w:r>
              <w:rPr>
                <w:rFonts w:ascii="Arial"/>
                <w:spacing w:val="-1"/>
              </w:rPr>
              <w:t>Deemed</w:t>
            </w:r>
            <w:r>
              <w:rPr>
                <w:rFonts w:ascii="Arial"/>
                <w:spacing w:val="-2"/>
              </w:rPr>
              <w:t xml:space="preserve"> </w:t>
            </w:r>
            <w:r>
              <w:rPr>
                <w:rFonts w:ascii="Arial"/>
                <w:spacing w:val="-1"/>
              </w:rPr>
              <w:t>time</w:t>
            </w:r>
            <w:r>
              <w:rPr>
                <w:rFonts w:ascii="Arial"/>
              </w:rPr>
              <w:t xml:space="preserve"> </w:t>
            </w:r>
            <w:r>
              <w:rPr>
                <w:rFonts w:ascii="Arial"/>
                <w:spacing w:val="-2"/>
              </w:rPr>
              <w:t>of</w:t>
            </w:r>
            <w:r>
              <w:rPr>
                <w:rFonts w:ascii="Arial"/>
                <w:spacing w:val="2"/>
              </w:rPr>
              <w:t xml:space="preserve"> </w:t>
            </w:r>
            <w:r>
              <w:rPr>
                <w:rFonts w:ascii="Arial"/>
                <w:spacing w:val="-2"/>
              </w:rPr>
              <w:t>delivery</w:t>
            </w:r>
          </w:p>
        </w:tc>
        <w:tc>
          <w:tcPr>
            <w:tcW w:w="2909"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spacing w:line="250" w:lineRule="exact"/>
              <w:ind w:left="102"/>
              <w:rPr>
                <w:rFonts w:ascii="Arial" w:eastAsia="Arial" w:hAnsi="Arial" w:cs="Arial"/>
              </w:rPr>
            </w:pPr>
            <w:r>
              <w:rPr>
                <w:rFonts w:ascii="Arial"/>
                <w:spacing w:val="-1"/>
              </w:rPr>
              <w:t>Proof</w:t>
            </w:r>
            <w:r>
              <w:rPr>
                <w:rFonts w:ascii="Arial"/>
                <w:spacing w:val="4"/>
              </w:rPr>
              <w:t xml:space="preserve"> </w:t>
            </w:r>
            <w:r>
              <w:rPr>
                <w:rFonts w:ascii="Arial"/>
                <w:spacing w:val="-2"/>
              </w:rPr>
              <w:t>of</w:t>
            </w:r>
            <w:r>
              <w:rPr>
                <w:rFonts w:ascii="Arial"/>
                <w:spacing w:val="2"/>
              </w:rPr>
              <w:t xml:space="preserve"> </w:t>
            </w:r>
            <w:r>
              <w:rPr>
                <w:rFonts w:ascii="Arial"/>
                <w:spacing w:val="-3"/>
              </w:rPr>
              <w:t>Service</w:t>
            </w:r>
          </w:p>
        </w:tc>
      </w:tr>
      <w:tr w:rsidR="008918FA" w:rsidTr="005D2B81">
        <w:trPr>
          <w:trHeight w:hRule="exact" w:val="1260"/>
        </w:trPr>
        <w:tc>
          <w:tcPr>
            <w:tcW w:w="2105"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1" w:line="252" w:lineRule="exact"/>
              <w:ind w:left="102" w:right="273"/>
              <w:rPr>
                <w:rFonts w:ascii="Arial" w:eastAsia="Arial" w:hAnsi="Arial" w:cs="Arial"/>
              </w:rPr>
            </w:pPr>
            <w:r>
              <w:rPr>
                <w:rFonts w:ascii="Arial"/>
                <w:spacing w:val="-1"/>
              </w:rPr>
              <w:t>Email</w:t>
            </w:r>
            <w:r>
              <w:rPr>
                <w:rFonts w:ascii="Arial"/>
              </w:rPr>
              <w:t xml:space="preserve"> </w:t>
            </w:r>
            <w:r>
              <w:rPr>
                <w:rFonts w:ascii="Arial"/>
                <w:spacing w:val="-1"/>
              </w:rPr>
              <w:t>(Subject</w:t>
            </w:r>
            <w:r>
              <w:rPr>
                <w:rFonts w:ascii="Arial"/>
              </w:rPr>
              <w:t xml:space="preserve"> to</w:t>
            </w:r>
            <w:r>
              <w:rPr>
                <w:rFonts w:ascii="Arial"/>
                <w:spacing w:val="25"/>
              </w:rPr>
              <w:t xml:space="preserve"> </w:t>
            </w:r>
            <w:r>
              <w:rPr>
                <w:rFonts w:ascii="Arial"/>
                <w:spacing w:val="-1"/>
              </w:rPr>
              <w:t>Clauses</w:t>
            </w:r>
            <w:r>
              <w:rPr>
                <w:rFonts w:ascii="Arial"/>
                <w:spacing w:val="1"/>
              </w:rPr>
              <w:t xml:space="preserve"> </w:t>
            </w:r>
            <w:hyperlink w:anchor="_bookmark276" w:history="1">
              <w:r>
                <w:rPr>
                  <w:rFonts w:ascii="Arial"/>
                  <w:spacing w:val="-1"/>
                </w:rPr>
                <w:t>55.3</w:t>
              </w:r>
            </w:hyperlink>
            <w:r>
              <w:rPr>
                <w:rFonts w:ascii="Arial"/>
              </w:rPr>
              <w:t xml:space="preserve"> </w:t>
            </w:r>
            <w:r>
              <w:rPr>
                <w:rFonts w:ascii="Arial"/>
                <w:spacing w:val="-1"/>
              </w:rPr>
              <w:t>and</w:t>
            </w:r>
          </w:p>
          <w:p w:rsidR="008918FA" w:rsidRDefault="00E32C6B" w:rsidP="005D2B81">
            <w:pPr>
              <w:pStyle w:val="TableParagraph"/>
              <w:spacing w:line="251" w:lineRule="exact"/>
              <w:ind w:left="102"/>
              <w:rPr>
                <w:rFonts w:ascii="Arial" w:eastAsia="Arial" w:hAnsi="Arial" w:cs="Arial"/>
              </w:rPr>
            </w:pPr>
            <w:hyperlink w:anchor="_bookmark277" w:history="1">
              <w:r w:rsidR="008918FA">
                <w:rPr>
                  <w:rFonts w:ascii="Arial"/>
                  <w:spacing w:val="-1"/>
                </w:rPr>
                <w:t>55.4</w:t>
              </w:r>
            </w:hyperlink>
            <w:r w:rsidR="008918FA">
              <w:rPr>
                <w:rFonts w:ascii="Arial"/>
                <w:spacing w:val="-1"/>
              </w:rPr>
              <w:t>)</w:t>
            </w:r>
          </w:p>
        </w:tc>
        <w:tc>
          <w:tcPr>
            <w:tcW w:w="264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ind w:left="102" w:right="640"/>
              <w:rPr>
                <w:rFonts w:ascii="Arial" w:eastAsia="Arial" w:hAnsi="Arial" w:cs="Arial"/>
              </w:rPr>
            </w:pPr>
            <w:r>
              <w:rPr>
                <w:rFonts w:ascii="Arial"/>
                <w:spacing w:val="-1"/>
              </w:rPr>
              <w:t>9.00am on</w:t>
            </w:r>
            <w:r>
              <w:rPr>
                <w:rFonts w:ascii="Arial"/>
                <w:spacing w:val="-2"/>
              </w:rPr>
              <w:t xml:space="preserve"> </w:t>
            </w:r>
            <w:r>
              <w:rPr>
                <w:rFonts w:ascii="Arial"/>
              </w:rPr>
              <w:t>the</w:t>
            </w:r>
            <w:r>
              <w:rPr>
                <w:rFonts w:ascii="Arial"/>
                <w:spacing w:val="58"/>
              </w:rPr>
              <w:t xml:space="preserve"> </w:t>
            </w:r>
            <w:r>
              <w:rPr>
                <w:rFonts w:ascii="Arial"/>
                <w:spacing w:val="-1"/>
              </w:rPr>
              <w:t>first</w:t>
            </w:r>
            <w:r>
              <w:rPr>
                <w:rFonts w:ascii="Arial"/>
                <w:spacing w:val="26"/>
              </w:rPr>
              <w:t xml:space="preserve"> </w:t>
            </w:r>
            <w:r>
              <w:rPr>
                <w:rFonts w:ascii="Arial"/>
                <w:spacing w:val="-1"/>
              </w:rPr>
              <w:t>Working</w:t>
            </w:r>
            <w:r>
              <w:rPr>
                <w:rFonts w:ascii="Arial"/>
                <w:spacing w:val="3"/>
              </w:rPr>
              <w:t xml:space="preserve"> </w:t>
            </w:r>
            <w:r>
              <w:rPr>
                <w:rFonts w:ascii="Arial"/>
                <w:spacing w:val="-1"/>
              </w:rPr>
              <w:t>Day</w:t>
            </w:r>
            <w:r>
              <w:rPr>
                <w:rFonts w:ascii="Arial"/>
                <w:spacing w:val="-2"/>
              </w:rPr>
              <w:t xml:space="preserve"> </w:t>
            </w:r>
            <w:r>
              <w:rPr>
                <w:rFonts w:ascii="Arial"/>
                <w:spacing w:val="-1"/>
              </w:rPr>
              <w:t>after</w:t>
            </w:r>
            <w:r>
              <w:rPr>
                <w:rFonts w:ascii="Arial"/>
                <w:spacing w:val="26"/>
              </w:rPr>
              <w:t xml:space="preserve"> </w:t>
            </w:r>
            <w:r>
              <w:rPr>
                <w:rFonts w:ascii="Arial"/>
                <w:spacing w:val="-1"/>
              </w:rPr>
              <w:t>sending</w:t>
            </w:r>
          </w:p>
        </w:tc>
        <w:tc>
          <w:tcPr>
            <w:tcW w:w="2909"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39" w:lineRule="auto"/>
              <w:ind w:left="101" w:right="199"/>
              <w:rPr>
                <w:rFonts w:ascii="Arial" w:eastAsia="Arial" w:hAnsi="Arial" w:cs="Arial"/>
              </w:rPr>
            </w:pPr>
            <w:r>
              <w:rPr>
                <w:rFonts w:ascii="Arial"/>
                <w:spacing w:val="-1"/>
              </w:rPr>
              <w:t>Dispatched</w:t>
            </w:r>
            <w:r>
              <w:rPr>
                <w:rFonts w:ascii="Arial"/>
                <w:spacing w:val="1"/>
              </w:rPr>
              <w:t xml:space="preserve"> </w:t>
            </w:r>
            <w:r>
              <w:rPr>
                <w:rFonts w:ascii="Arial"/>
                <w:spacing w:val="-1"/>
              </w:rPr>
              <w:t>as</w:t>
            </w:r>
            <w:r>
              <w:rPr>
                <w:rFonts w:ascii="Arial"/>
                <w:spacing w:val="-2"/>
              </w:rPr>
              <w:t xml:space="preserve"> </w:t>
            </w:r>
            <w:r>
              <w:rPr>
                <w:rFonts w:ascii="Arial"/>
              </w:rPr>
              <w:t xml:space="preserve">a </w:t>
            </w:r>
            <w:r>
              <w:rPr>
                <w:rFonts w:ascii="Arial"/>
                <w:spacing w:val="-2"/>
              </w:rPr>
              <w:t>pdf</w:t>
            </w:r>
            <w:r>
              <w:rPr>
                <w:rFonts w:ascii="Arial"/>
                <w:spacing w:val="27"/>
              </w:rPr>
              <w:t xml:space="preserve"> </w:t>
            </w:r>
            <w:r>
              <w:rPr>
                <w:rFonts w:ascii="Arial"/>
                <w:spacing w:val="-1"/>
              </w:rPr>
              <w:t>attachment</w:t>
            </w:r>
            <w:r>
              <w:rPr>
                <w:rFonts w:ascii="Arial"/>
                <w:spacing w:val="-3"/>
              </w:rPr>
              <w:t xml:space="preserve"> </w:t>
            </w:r>
            <w:r>
              <w:rPr>
                <w:rFonts w:ascii="Arial"/>
              </w:rPr>
              <w:t xml:space="preserve">to </w:t>
            </w:r>
            <w:r>
              <w:rPr>
                <w:rFonts w:ascii="Arial"/>
                <w:spacing w:val="-1"/>
              </w:rPr>
              <w:t>an</w:t>
            </w:r>
            <w:r>
              <w:rPr>
                <w:rFonts w:ascii="Arial"/>
                <w:spacing w:val="-2"/>
              </w:rPr>
              <w:t xml:space="preserve"> </w:t>
            </w:r>
            <w:r>
              <w:rPr>
                <w:rFonts w:ascii="Arial"/>
                <w:spacing w:val="-1"/>
              </w:rPr>
              <w:t>e-mail</w:t>
            </w:r>
            <w:r>
              <w:rPr>
                <w:rFonts w:ascii="Arial"/>
              </w:rPr>
              <w:t xml:space="preserve"> </w:t>
            </w:r>
            <w:r>
              <w:rPr>
                <w:rFonts w:ascii="Arial"/>
                <w:spacing w:val="-2"/>
              </w:rPr>
              <w:t>to</w:t>
            </w:r>
            <w:r>
              <w:rPr>
                <w:rFonts w:ascii="Arial"/>
                <w:spacing w:val="26"/>
              </w:rPr>
              <w:t xml:space="preserve"> </w:t>
            </w:r>
            <w:r>
              <w:rPr>
                <w:rFonts w:ascii="Arial"/>
              </w:rPr>
              <w:t xml:space="preserve">the </w:t>
            </w:r>
            <w:r>
              <w:rPr>
                <w:rFonts w:ascii="Arial"/>
                <w:spacing w:val="-2"/>
              </w:rPr>
              <w:t>correct</w:t>
            </w:r>
            <w:r>
              <w:rPr>
                <w:rFonts w:ascii="Arial"/>
                <w:spacing w:val="2"/>
              </w:rPr>
              <w:t xml:space="preserve"> </w:t>
            </w:r>
            <w:r>
              <w:rPr>
                <w:rFonts w:ascii="Arial"/>
                <w:spacing w:val="-2"/>
              </w:rPr>
              <w:t>e-mail</w:t>
            </w:r>
            <w:r>
              <w:rPr>
                <w:rFonts w:ascii="Arial"/>
              </w:rPr>
              <w:t xml:space="preserve"> </w:t>
            </w:r>
            <w:r>
              <w:rPr>
                <w:rFonts w:ascii="Arial"/>
                <w:spacing w:val="-1"/>
              </w:rPr>
              <w:t>address</w:t>
            </w:r>
            <w:r>
              <w:rPr>
                <w:rFonts w:ascii="Arial"/>
                <w:spacing w:val="21"/>
              </w:rPr>
              <w:t xml:space="preserve"> </w:t>
            </w:r>
            <w:r>
              <w:rPr>
                <w:rFonts w:ascii="Arial"/>
                <w:spacing w:val="-1"/>
              </w:rPr>
              <w:t>without</w:t>
            </w:r>
            <w:r>
              <w:rPr>
                <w:rFonts w:ascii="Arial"/>
                <w:spacing w:val="2"/>
              </w:rPr>
              <w:t xml:space="preserve"> </w:t>
            </w:r>
            <w:r>
              <w:rPr>
                <w:rFonts w:ascii="Arial"/>
                <w:spacing w:val="-1"/>
              </w:rPr>
              <w:t>any</w:t>
            </w:r>
            <w:r>
              <w:rPr>
                <w:rFonts w:ascii="Arial"/>
                <w:spacing w:val="-2"/>
              </w:rPr>
              <w:t xml:space="preserve"> </w:t>
            </w:r>
            <w:r>
              <w:rPr>
                <w:rFonts w:ascii="Arial"/>
                <w:spacing w:val="-1"/>
              </w:rPr>
              <w:t>error message</w:t>
            </w:r>
          </w:p>
        </w:tc>
      </w:tr>
      <w:tr w:rsidR="008918FA" w:rsidTr="001C1527">
        <w:trPr>
          <w:trHeight w:hRule="exact" w:val="2021"/>
        </w:trPr>
        <w:tc>
          <w:tcPr>
            <w:tcW w:w="2105" w:type="dxa"/>
            <w:tcBorders>
              <w:top w:val="single" w:sz="5" w:space="0" w:color="000000"/>
              <w:left w:val="single" w:sz="5" w:space="0" w:color="000000"/>
              <w:bottom w:val="single" w:sz="5" w:space="0" w:color="000000"/>
              <w:right w:val="single" w:sz="5" w:space="0" w:color="000000"/>
            </w:tcBorders>
            <w:shd w:val="clear" w:color="auto" w:fill="auto"/>
          </w:tcPr>
          <w:p w:rsidR="008918FA" w:rsidRDefault="008918FA" w:rsidP="005D2B81">
            <w:pPr>
              <w:pStyle w:val="TableParagraph"/>
              <w:spacing w:line="252" w:lineRule="exact"/>
              <w:ind w:left="102"/>
              <w:rPr>
                <w:rFonts w:ascii="Arial" w:eastAsia="Arial" w:hAnsi="Arial" w:cs="Arial"/>
              </w:rPr>
            </w:pPr>
            <w:r w:rsidRPr="001C1527">
              <w:rPr>
                <w:rFonts w:ascii="Arial"/>
                <w:spacing w:val="-1"/>
              </w:rPr>
              <w:t>Personal</w:t>
            </w:r>
            <w:r w:rsidRPr="001C1527">
              <w:rPr>
                <w:rFonts w:ascii="Arial"/>
              </w:rPr>
              <w:t xml:space="preserve"> </w:t>
            </w:r>
            <w:r w:rsidRPr="001C1527">
              <w:rPr>
                <w:rFonts w:ascii="Arial"/>
                <w:spacing w:val="-2"/>
              </w:rPr>
              <w:t>delivery</w:t>
            </w:r>
          </w:p>
        </w:tc>
        <w:tc>
          <w:tcPr>
            <w:tcW w:w="264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ind w:left="102" w:right="259"/>
              <w:rPr>
                <w:rFonts w:ascii="Arial" w:eastAsia="Arial" w:hAnsi="Arial" w:cs="Arial"/>
              </w:rPr>
            </w:pPr>
            <w:r>
              <w:rPr>
                <w:rFonts w:ascii="Arial"/>
              </w:rPr>
              <w:t xml:space="preserve">On </w:t>
            </w:r>
            <w:r>
              <w:rPr>
                <w:rFonts w:ascii="Arial"/>
                <w:spacing w:val="-2"/>
              </w:rPr>
              <w:t>delivery,</w:t>
            </w:r>
            <w:r>
              <w:rPr>
                <w:rFonts w:ascii="Arial"/>
                <w:spacing w:val="2"/>
              </w:rPr>
              <w:t xml:space="preserve"> </w:t>
            </w:r>
            <w:r>
              <w:rPr>
                <w:rFonts w:ascii="Arial"/>
                <w:spacing w:val="-2"/>
              </w:rPr>
              <w:t>provided</w:t>
            </w:r>
            <w:r>
              <w:rPr>
                <w:rFonts w:ascii="Arial"/>
                <w:spacing w:val="24"/>
              </w:rPr>
              <w:t xml:space="preserve"> </w:t>
            </w:r>
            <w:r>
              <w:rPr>
                <w:rFonts w:ascii="Arial"/>
                <w:spacing w:val="-1"/>
              </w:rPr>
              <w:t>delivery</w:t>
            </w:r>
            <w:r>
              <w:rPr>
                <w:rFonts w:ascii="Arial"/>
                <w:spacing w:val="-2"/>
              </w:rPr>
              <w:t xml:space="preserve"> </w:t>
            </w:r>
            <w:r>
              <w:rPr>
                <w:rFonts w:ascii="Arial"/>
                <w:spacing w:val="-1"/>
              </w:rPr>
              <w:t>is</w:t>
            </w:r>
            <w:r>
              <w:rPr>
                <w:rFonts w:ascii="Arial"/>
                <w:spacing w:val="1"/>
              </w:rPr>
              <w:t xml:space="preserve"> </w:t>
            </w:r>
            <w:r>
              <w:rPr>
                <w:rFonts w:ascii="Arial"/>
                <w:spacing w:val="-2"/>
              </w:rPr>
              <w:t>between</w:t>
            </w:r>
            <w:r>
              <w:rPr>
                <w:rFonts w:ascii="Arial"/>
                <w:spacing w:val="27"/>
              </w:rPr>
              <w:t xml:space="preserve"> </w:t>
            </w:r>
            <w:r>
              <w:rPr>
                <w:rFonts w:ascii="Arial"/>
                <w:spacing w:val="-1"/>
              </w:rPr>
              <w:t>9.00am and</w:t>
            </w:r>
            <w:r>
              <w:rPr>
                <w:rFonts w:ascii="Arial"/>
              </w:rPr>
              <w:t xml:space="preserve"> </w:t>
            </w:r>
            <w:r>
              <w:rPr>
                <w:rFonts w:ascii="Arial"/>
                <w:spacing w:val="-2"/>
              </w:rPr>
              <w:t>5.00pm</w:t>
            </w:r>
            <w:r>
              <w:rPr>
                <w:rFonts w:ascii="Arial"/>
                <w:spacing w:val="2"/>
              </w:rPr>
              <w:t xml:space="preserve"> </w:t>
            </w:r>
            <w:r>
              <w:rPr>
                <w:rFonts w:ascii="Arial"/>
                <w:spacing w:val="-1"/>
              </w:rPr>
              <w:t>on</w:t>
            </w:r>
            <w:r>
              <w:rPr>
                <w:rFonts w:ascii="Arial"/>
                <w:spacing w:val="29"/>
              </w:rPr>
              <w:t xml:space="preserve"> </w:t>
            </w:r>
            <w:r>
              <w:rPr>
                <w:rFonts w:ascii="Arial"/>
              </w:rPr>
              <w:t>a</w:t>
            </w:r>
            <w:r>
              <w:rPr>
                <w:rFonts w:ascii="Arial"/>
                <w:spacing w:val="-4"/>
              </w:rPr>
              <w:t xml:space="preserve"> </w:t>
            </w:r>
            <w:r>
              <w:rPr>
                <w:rFonts w:ascii="Arial"/>
                <w:spacing w:val="-1"/>
              </w:rPr>
              <w:t>Working</w:t>
            </w:r>
            <w:r>
              <w:rPr>
                <w:rFonts w:ascii="Arial"/>
              </w:rPr>
              <w:t xml:space="preserve"> </w:t>
            </w:r>
            <w:r>
              <w:rPr>
                <w:rFonts w:ascii="Arial"/>
                <w:spacing w:val="-2"/>
              </w:rPr>
              <w:t>Day.</w:t>
            </w:r>
          </w:p>
          <w:p w:rsidR="008918FA" w:rsidRDefault="008918FA" w:rsidP="005D2B81">
            <w:pPr>
              <w:pStyle w:val="TableParagraph"/>
              <w:ind w:left="102" w:right="270"/>
              <w:jc w:val="both"/>
              <w:rPr>
                <w:rFonts w:ascii="Arial" w:eastAsia="Arial" w:hAnsi="Arial" w:cs="Arial"/>
              </w:rPr>
            </w:pPr>
            <w:r>
              <w:rPr>
                <w:rFonts w:ascii="Arial"/>
                <w:spacing w:val="-1"/>
              </w:rPr>
              <w:t>Otherwise,</w:t>
            </w:r>
            <w:r>
              <w:rPr>
                <w:rFonts w:ascii="Arial"/>
                <w:spacing w:val="2"/>
              </w:rPr>
              <w:t xml:space="preserve"> </w:t>
            </w:r>
            <w:r>
              <w:rPr>
                <w:rFonts w:ascii="Arial"/>
                <w:spacing w:val="-2"/>
              </w:rPr>
              <w:t>delivery</w:t>
            </w:r>
            <w:r>
              <w:rPr>
                <w:rFonts w:ascii="Arial"/>
                <w:spacing w:val="1"/>
              </w:rPr>
              <w:t xml:space="preserve"> </w:t>
            </w:r>
            <w:r>
              <w:rPr>
                <w:rFonts w:ascii="Arial"/>
                <w:spacing w:val="-2"/>
              </w:rPr>
              <w:t>will</w:t>
            </w:r>
            <w:r>
              <w:rPr>
                <w:rFonts w:ascii="Arial"/>
                <w:spacing w:val="25"/>
              </w:rPr>
              <w:t xml:space="preserve"> </w:t>
            </w:r>
            <w:r>
              <w:rPr>
                <w:rFonts w:ascii="Arial"/>
                <w:spacing w:val="-1"/>
              </w:rPr>
              <w:t>occur</w:t>
            </w:r>
            <w:r>
              <w:rPr>
                <w:rFonts w:ascii="Arial"/>
                <w:spacing w:val="2"/>
              </w:rPr>
              <w:t xml:space="preserve"> </w:t>
            </w:r>
            <w:r>
              <w:rPr>
                <w:rFonts w:ascii="Arial"/>
                <w:spacing w:val="-2"/>
              </w:rPr>
              <w:t>at</w:t>
            </w:r>
            <w:r>
              <w:rPr>
                <w:rFonts w:ascii="Arial"/>
                <w:spacing w:val="2"/>
              </w:rPr>
              <w:t xml:space="preserve"> </w:t>
            </w:r>
            <w:r>
              <w:rPr>
                <w:rFonts w:ascii="Arial"/>
                <w:spacing w:val="-2"/>
              </w:rPr>
              <w:t>9.00am</w:t>
            </w:r>
            <w:r>
              <w:rPr>
                <w:rFonts w:ascii="Arial"/>
                <w:spacing w:val="2"/>
              </w:rPr>
              <w:t xml:space="preserve"> </w:t>
            </w:r>
            <w:r>
              <w:rPr>
                <w:rFonts w:ascii="Arial"/>
                <w:spacing w:val="-1"/>
              </w:rPr>
              <w:t>on</w:t>
            </w:r>
            <w:r>
              <w:rPr>
                <w:rFonts w:ascii="Arial"/>
                <w:spacing w:val="-2"/>
              </w:rPr>
              <w:t xml:space="preserve"> </w:t>
            </w:r>
            <w:r>
              <w:rPr>
                <w:rFonts w:ascii="Arial"/>
                <w:spacing w:val="-1"/>
              </w:rPr>
              <w:t>the</w:t>
            </w:r>
            <w:r>
              <w:rPr>
                <w:rFonts w:ascii="Arial"/>
                <w:spacing w:val="22"/>
              </w:rPr>
              <w:t xml:space="preserve"> </w:t>
            </w:r>
            <w:r>
              <w:rPr>
                <w:rFonts w:ascii="Arial"/>
                <w:spacing w:val="-2"/>
              </w:rPr>
              <w:t>next</w:t>
            </w:r>
            <w:r>
              <w:rPr>
                <w:rFonts w:ascii="Arial"/>
                <w:spacing w:val="-3"/>
              </w:rPr>
              <w:t xml:space="preserve"> </w:t>
            </w:r>
            <w:r>
              <w:rPr>
                <w:rFonts w:ascii="Arial"/>
                <w:spacing w:val="-1"/>
              </w:rPr>
              <w:t>Working</w:t>
            </w:r>
            <w:r>
              <w:rPr>
                <w:rFonts w:ascii="Arial"/>
              </w:rPr>
              <w:t xml:space="preserve"> </w:t>
            </w:r>
            <w:r>
              <w:rPr>
                <w:rFonts w:ascii="Arial"/>
                <w:spacing w:val="-2"/>
              </w:rPr>
              <w:t>Day</w:t>
            </w:r>
          </w:p>
        </w:tc>
        <w:tc>
          <w:tcPr>
            <w:tcW w:w="2909"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ind w:left="102" w:right="250"/>
              <w:rPr>
                <w:rFonts w:ascii="Arial" w:eastAsia="Arial" w:hAnsi="Arial" w:cs="Arial"/>
              </w:rPr>
            </w:pPr>
            <w:r>
              <w:rPr>
                <w:rFonts w:ascii="Arial"/>
                <w:spacing w:val="-1"/>
              </w:rPr>
              <w:t>Properly addressed</w:t>
            </w:r>
            <w:r>
              <w:rPr>
                <w:rFonts w:ascii="Arial"/>
                <w:spacing w:val="-2"/>
              </w:rPr>
              <w:t xml:space="preserve"> </w:t>
            </w:r>
            <w:r>
              <w:rPr>
                <w:rFonts w:ascii="Arial"/>
                <w:spacing w:val="-1"/>
              </w:rPr>
              <w:t>and</w:t>
            </w:r>
            <w:r>
              <w:rPr>
                <w:rFonts w:ascii="Arial"/>
                <w:spacing w:val="25"/>
              </w:rPr>
              <w:t xml:space="preserve"> </w:t>
            </w:r>
            <w:r>
              <w:rPr>
                <w:rFonts w:ascii="Arial"/>
                <w:spacing w:val="-1"/>
              </w:rPr>
              <w:t>delivered</w:t>
            </w:r>
            <w:r>
              <w:rPr>
                <w:rFonts w:ascii="Arial"/>
              </w:rPr>
              <w:t xml:space="preserve"> </w:t>
            </w:r>
            <w:r>
              <w:rPr>
                <w:rFonts w:ascii="Arial"/>
                <w:spacing w:val="-1"/>
              </w:rPr>
              <w:t>as</w:t>
            </w:r>
            <w:r>
              <w:rPr>
                <w:rFonts w:ascii="Arial"/>
                <w:spacing w:val="1"/>
              </w:rPr>
              <w:t xml:space="preserve"> </w:t>
            </w:r>
            <w:r>
              <w:rPr>
                <w:rFonts w:ascii="Arial"/>
                <w:spacing w:val="-2"/>
              </w:rPr>
              <w:t>evidenced</w:t>
            </w:r>
            <w:r>
              <w:rPr>
                <w:rFonts w:ascii="Arial"/>
              </w:rPr>
              <w:t xml:space="preserve"> </w:t>
            </w:r>
            <w:r>
              <w:rPr>
                <w:rFonts w:ascii="Arial"/>
                <w:spacing w:val="-2"/>
              </w:rPr>
              <w:t>by</w:t>
            </w:r>
            <w:r>
              <w:rPr>
                <w:rFonts w:ascii="Arial"/>
                <w:spacing w:val="23"/>
              </w:rPr>
              <w:t xml:space="preserve"> </w:t>
            </w:r>
            <w:r>
              <w:rPr>
                <w:rFonts w:ascii="Arial"/>
                <w:spacing w:val="-1"/>
              </w:rPr>
              <w:t>signature</w:t>
            </w:r>
            <w:r>
              <w:rPr>
                <w:rFonts w:ascii="Arial"/>
              </w:rPr>
              <w:t xml:space="preserve"> </w:t>
            </w:r>
            <w:r>
              <w:rPr>
                <w:rFonts w:ascii="Arial"/>
                <w:spacing w:val="-2"/>
              </w:rPr>
              <w:t>of</w:t>
            </w:r>
            <w:r>
              <w:rPr>
                <w:rFonts w:ascii="Arial"/>
                <w:spacing w:val="2"/>
              </w:rPr>
              <w:t xml:space="preserve"> </w:t>
            </w:r>
            <w:r>
              <w:rPr>
                <w:rFonts w:ascii="Arial"/>
              </w:rPr>
              <w:t>a</w:t>
            </w:r>
            <w:r>
              <w:rPr>
                <w:rFonts w:ascii="Arial"/>
                <w:spacing w:val="-2"/>
              </w:rPr>
              <w:t xml:space="preserve"> delivery</w:t>
            </w:r>
            <w:r>
              <w:rPr>
                <w:rFonts w:ascii="Arial"/>
                <w:spacing w:val="25"/>
              </w:rPr>
              <w:t xml:space="preserve"> </w:t>
            </w:r>
            <w:r>
              <w:rPr>
                <w:rFonts w:ascii="Arial"/>
                <w:spacing w:val="-1"/>
              </w:rPr>
              <w:t>receipt</w:t>
            </w:r>
          </w:p>
        </w:tc>
      </w:tr>
      <w:tr w:rsidR="008918FA" w:rsidTr="005D2B81">
        <w:trPr>
          <w:trHeight w:hRule="exact" w:val="3288"/>
        </w:trPr>
        <w:tc>
          <w:tcPr>
            <w:tcW w:w="2105"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3" w:line="235" w:lineRule="auto"/>
              <w:ind w:left="102" w:right="154"/>
              <w:rPr>
                <w:rFonts w:ascii="Arial" w:eastAsia="Arial" w:hAnsi="Arial" w:cs="Arial"/>
              </w:rPr>
            </w:pPr>
            <w:r>
              <w:rPr>
                <w:rFonts w:ascii="Arial" w:eastAsia="Arial" w:hAnsi="Arial" w:cs="Arial"/>
                <w:spacing w:val="-2"/>
              </w:rPr>
              <w:t>Royal</w:t>
            </w:r>
            <w:r>
              <w:rPr>
                <w:rFonts w:ascii="Arial" w:eastAsia="Arial" w:hAnsi="Arial" w:cs="Arial"/>
                <w:spacing w:val="2"/>
              </w:rPr>
              <w:t xml:space="preserve"> </w:t>
            </w:r>
            <w:r>
              <w:rPr>
                <w:rFonts w:ascii="Arial" w:eastAsia="Arial" w:hAnsi="Arial" w:cs="Arial"/>
                <w:spacing w:val="-1"/>
              </w:rPr>
              <w:t>Mail</w:t>
            </w:r>
            <w:r>
              <w:rPr>
                <w:rFonts w:ascii="Arial" w:eastAsia="Arial" w:hAnsi="Arial" w:cs="Arial"/>
              </w:rPr>
              <w:t xml:space="preserve"> </w:t>
            </w:r>
            <w:r>
              <w:rPr>
                <w:rFonts w:ascii="Arial" w:eastAsia="Arial" w:hAnsi="Arial" w:cs="Arial"/>
                <w:spacing w:val="-1"/>
              </w:rPr>
              <w:t>Signed</w:t>
            </w:r>
            <w:r>
              <w:rPr>
                <w:rFonts w:ascii="Arial" w:eastAsia="Arial" w:hAnsi="Arial" w:cs="Arial"/>
                <w:spacing w:val="27"/>
              </w:rPr>
              <w:t xml:space="preserve"> </w:t>
            </w:r>
            <w:r>
              <w:rPr>
                <w:rFonts w:ascii="Arial" w:eastAsia="Arial" w:hAnsi="Arial" w:cs="Arial"/>
                <w:spacing w:val="-1"/>
              </w:rPr>
              <w:t>For™</w:t>
            </w:r>
            <w:r>
              <w:rPr>
                <w:rFonts w:ascii="Arial" w:eastAsia="Arial" w:hAnsi="Arial" w:cs="Arial"/>
              </w:rPr>
              <w:t xml:space="preserve"> </w:t>
            </w:r>
            <w:r>
              <w:rPr>
                <w:rFonts w:ascii="Arial" w:eastAsia="Arial" w:hAnsi="Arial" w:cs="Arial"/>
                <w:spacing w:val="-1"/>
              </w:rPr>
              <w:t>1</w:t>
            </w:r>
            <w:r>
              <w:rPr>
                <w:rFonts w:ascii="Arial" w:eastAsia="Arial" w:hAnsi="Arial" w:cs="Arial"/>
                <w:spacing w:val="-1"/>
                <w:position w:val="10"/>
                <w:sz w:val="14"/>
                <w:szCs w:val="14"/>
              </w:rPr>
              <w:t>st</w:t>
            </w:r>
            <w:r>
              <w:rPr>
                <w:rFonts w:ascii="Arial" w:eastAsia="Arial" w:hAnsi="Arial" w:cs="Arial"/>
                <w:spacing w:val="20"/>
                <w:position w:val="10"/>
                <w:sz w:val="14"/>
                <w:szCs w:val="14"/>
              </w:rPr>
              <w:t xml:space="preserve"> </w:t>
            </w:r>
            <w:r>
              <w:rPr>
                <w:rFonts w:ascii="Arial" w:eastAsia="Arial" w:hAnsi="Arial" w:cs="Arial"/>
                <w:spacing w:val="-2"/>
              </w:rPr>
              <w:t>Class</w:t>
            </w:r>
            <w:r>
              <w:rPr>
                <w:rFonts w:ascii="Arial" w:eastAsia="Arial" w:hAnsi="Arial" w:cs="Arial"/>
                <w:spacing w:val="1"/>
              </w:rPr>
              <w:t xml:space="preserve"> </w:t>
            </w:r>
            <w:r>
              <w:rPr>
                <w:rFonts w:ascii="Arial" w:eastAsia="Arial" w:hAnsi="Arial" w:cs="Arial"/>
                <w:spacing w:val="-1"/>
              </w:rPr>
              <w:t>or</w:t>
            </w:r>
            <w:r>
              <w:rPr>
                <w:rFonts w:ascii="Arial" w:eastAsia="Arial" w:hAnsi="Arial" w:cs="Arial"/>
                <w:spacing w:val="29"/>
              </w:rPr>
              <w:t xml:space="preserve"> </w:t>
            </w:r>
            <w:r>
              <w:rPr>
                <w:rFonts w:ascii="Arial" w:eastAsia="Arial" w:hAnsi="Arial" w:cs="Arial"/>
                <w:spacing w:val="-1"/>
              </w:rPr>
              <w:t>other prepaid,</w:t>
            </w:r>
            <w:r>
              <w:rPr>
                <w:rFonts w:ascii="Arial" w:eastAsia="Arial" w:hAnsi="Arial" w:cs="Arial"/>
              </w:rPr>
              <w:t xml:space="preserve"> </w:t>
            </w:r>
            <w:r>
              <w:rPr>
                <w:rFonts w:ascii="Arial" w:eastAsia="Arial" w:hAnsi="Arial" w:cs="Arial"/>
                <w:spacing w:val="-2"/>
              </w:rPr>
              <w:t>next</w:t>
            </w:r>
            <w:r>
              <w:rPr>
                <w:rFonts w:ascii="Arial" w:eastAsia="Arial" w:hAnsi="Arial" w:cs="Arial"/>
                <w:spacing w:val="28"/>
              </w:rPr>
              <w:t xml:space="preserve"> </w:t>
            </w:r>
            <w:r>
              <w:rPr>
                <w:rFonts w:ascii="Arial" w:eastAsia="Arial" w:hAnsi="Arial" w:cs="Arial"/>
                <w:spacing w:val="-1"/>
              </w:rPr>
              <w:t>Working</w:t>
            </w:r>
            <w:r>
              <w:rPr>
                <w:rFonts w:ascii="Arial" w:eastAsia="Arial" w:hAnsi="Arial" w:cs="Arial"/>
                <w:spacing w:val="3"/>
              </w:rPr>
              <w:t xml:space="preserve"> </w:t>
            </w:r>
            <w:r>
              <w:rPr>
                <w:rFonts w:ascii="Arial" w:eastAsia="Arial" w:hAnsi="Arial" w:cs="Arial"/>
                <w:spacing w:val="-1"/>
              </w:rPr>
              <w:t>Day</w:t>
            </w:r>
            <w:r>
              <w:rPr>
                <w:rFonts w:ascii="Arial" w:eastAsia="Arial" w:hAnsi="Arial" w:cs="Arial"/>
                <w:spacing w:val="23"/>
              </w:rPr>
              <w:t xml:space="preserve"> </w:t>
            </w:r>
            <w:r>
              <w:rPr>
                <w:rFonts w:ascii="Arial" w:eastAsia="Arial" w:hAnsi="Arial" w:cs="Arial"/>
                <w:spacing w:val="-1"/>
              </w:rPr>
              <w:t>service</w:t>
            </w:r>
            <w:r>
              <w:rPr>
                <w:rFonts w:ascii="Arial" w:eastAsia="Arial" w:hAnsi="Arial" w:cs="Arial"/>
                <w:spacing w:val="1"/>
              </w:rPr>
              <w:t xml:space="preserve"> </w:t>
            </w:r>
            <w:r>
              <w:rPr>
                <w:rFonts w:ascii="Arial" w:eastAsia="Arial" w:hAnsi="Arial" w:cs="Arial"/>
                <w:spacing w:val="-2"/>
              </w:rPr>
              <w:t>providing</w:t>
            </w:r>
            <w:r>
              <w:rPr>
                <w:rFonts w:ascii="Arial" w:eastAsia="Arial" w:hAnsi="Arial" w:cs="Arial"/>
                <w:spacing w:val="26"/>
              </w:rPr>
              <w:t xml:space="preserve"> </w:t>
            </w:r>
            <w:r>
              <w:rPr>
                <w:rFonts w:ascii="Arial" w:eastAsia="Arial" w:hAnsi="Arial" w:cs="Arial"/>
                <w:spacing w:val="-1"/>
              </w:rPr>
              <w:t>proof</w:t>
            </w:r>
            <w:r>
              <w:rPr>
                <w:rFonts w:ascii="Arial" w:eastAsia="Arial" w:hAnsi="Arial" w:cs="Arial"/>
                <w:spacing w:val="2"/>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2"/>
              </w:rPr>
              <w:t>delivery</w:t>
            </w:r>
          </w:p>
        </w:tc>
        <w:tc>
          <w:tcPr>
            <w:tcW w:w="264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ind w:left="102" w:right="141"/>
              <w:rPr>
                <w:rFonts w:ascii="Arial" w:eastAsia="Arial" w:hAnsi="Arial" w:cs="Arial"/>
              </w:rPr>
            </w:pPr>
            <w:r>
              <w:rPr>
                <w:rFonts w:ascii="Arial"/>
                <w:spacing w:val="-1"/>
              </w:rPr>
              <w:t>At</w:t>
            </w:r>
            <w:r>
              <w:rPr>
                <w:rFonts w:ascii="Arial"/>
                <w:spacing w:val="2"/>
              </w:rPr>
              <w:t xml:space="preserve"> </w:t>
            </w:r>
            <w:r>
              <w:rPr>
                <w:rFonts w:ascii="Arial"/>
              </w:rPr>
              <w:t>the</w:t>
            </w:r>
            <w:r>
              <w:rPr>
                <w:rFonts w:ascii="Arial"/>
                <w:spacing w:val="-4"/>
              </w:rPr>
              <w:t xml:space="preserve"> </w:t>
            </w:r>
            <w:r>
              <w:rPr>
                <w:rFonts w:ascii="Arial"/>
                <w:spacing w:val="-1"/>
              </w:rPr>
              <w:t>time</w:t>
            </w:r>
            <w:r>
              <w:rPr>
                <w:rFonts w:ascii="Arial"/>
                <w:spacing w:val="-2"/>
              </w:rPr>
              <w:t xml:space="preserve"> </w:t>
            </w:r>
            <w:r>
              <w:rPr>
                <w:rFonts w:ascii="Arial"/>
                <w:spacing w:val="-1"/>
              </w:rPr>
              <w:t>recorded</w:t>
            </w:r>
            <w:r>
              <w:rPr>
                <w:rFonts w:ascii="Arial"/>
              </w:rPr>
              <w:t xml:space="preserve"> </w:t>
            </w:r>
            <w:r>
              <w:rPr>
                <w:rFonts w:ascii="Arial"/>
                <w:spacing w:val="-1"/>
              </w:rPr>
              <w:t>by</w:t>
            </w:r>
            <w:r>
              <w:rPr>
                <w:rFonts w:ascii="Arial"/>
                <w:spacing w:val="26"/>
              </w:rPr>
              <w:t xml:space="preserve"> </w:t>
            </w:r>
            <w:r>
              <w:rPr>
                <w:rFonts w:ascii="Arial"/>
              </w:rPr>
              <w:t xml:space="preserve">the </w:t>
            </w:r>
            <w:r>
              <w:rPr>
                <w:rFonts w:ascii="Arial"/>
                <w:spacing w:val="-2"/>
              </w:rPr>
              <w:t xml:space="preserve">delivery </w:t>
            </w:r>
            <w:r>
              <w:rPr>
                <w:rFonts w:ascii="Arial"/>
                <w:spacing w:val="-1"/>
              </w:rPr>
              <w:t>service,</w:t>
            </w:r>
            <w:r>
              <w:rPr>
                <w:rFonts w:ascii="Arial"/>
                <w:spacing w:val="28"/>
              </w:rPr>
              <w:t xml:space="preserve"> </w:t>
            </w:r>
            <w:r>
              <w:rPr>
                <w:rFonts w:ascii="Arial"/>
                <w:spacing w:val="-2"/>
              </w:rPr>
              <w:t>provided</w:t>
            </w:r>
            <w:r>
              <w:rPr>
                <w:rFonts w:ascii="Arial"/>
              </w:rPr>
              <w:t xml:space="preserve"> </w:t>
            </w:r>
            <w:r>
              <w:rPr>
                <w:rFonts w:ascii="Arial"/>
                <w:spacing w:val="-1"/>
              </w:rPr>
              <w:t>that</w:t>
            </w:r>
            <w:r>
              <w:rPr>
                <w:rFonts w:ascii="Arial"/>
              </w:rPr>
              <w:t xml:space="preserve"> </w:t>
            </w:r>
            <w:r>
              <w:rPr>
                <w:rFonts w:ascii="Arial"/>
                <w:spacing w:val="-2"/>
              </w:rPr>
              <w:t xml:space="preserve">delivery </w:t>
            </w:r>
            <w:r>
              <w:rPr>
                <w:rFonts w:ascii="Arial"/>
                <w:spacing w:val="-1"/>
              </w:rPr>
              <w:t>is</w:t>
            </w:r>
            <w:r>
              <w:rPr>
                <w:rFonts w:ascii="Arial"/>
                <w:spacing w:val="33"/>
              </w:rPr>
              <w:t xml:space="preserve"> </w:t>
            </w:r>
            <w:r>
              <w:rPr>
                <w:rFonts w:ascii="Arial"/>
                <w:spacing w:val="-1"/>
              </w:rPr>
              <w:t>between</w:t>
            </w:r>
            <w:r>
              <w:rPr>
                <w:rFonts w:ascii="Arial"/>
              </w:rPr>
              <w:t xml:space="preserve"> </w:t>
            </w:r>
            <w:r>
              <w:rPr>
                <w:rFonts w:ascii="Arial"/>
                <w:spacing w:val="-1"/>
              </w:rPr>
              <w:t>9.00am and</w:t>
            </w:r>
            <w:r>
              <w:rPr>
                <w:rFonts w:ascii="Arial"/>
                <w:spacing w:val="23"/>
              </w:rPr>
              <w:t xml:space="preserve"> </w:t>
            </w:r>
            <w:r>
              <w:rPr>
                <w:rFonts w:ascii="Arial"/>
                <w:spacing w:val="-1"/>
              </w:rPr>
              <w:t>5.00pm on</w:t>
            </w:r>
            <w:r>
              <w:rPr>
                <w:rFonts w:ascii="Arial"/>
              </w:rPr>
              <w:t xml:space="preserve"> a</w:t>
            </w:r>
            <w:r>
              <w:rPr>
                <w:rFonts w:ascii="Arial"/>
                <w:spacing w:val="-7"/>
              </w:rPr>
              <w:t xml:space="preserve"> </w:t>
            </w:r>
            <w:r>
              <w:rPr>
                <w:rFonts w:ascii="Arial"/>
                <w:spacing w:val="-1"/>
              </w:rPr>
              <w:t>Working</w:t>
            </w:r>
            <w:r>
              <w:rPr>
                <w:rFonts w:ascii="Arial"/>
                <w:spacing w:val="29"/>
              </w:rPr>
              <w:t xml:space="preserve"> </w:t>
            </w:r>
            <w:r>
              <w:rPr>
                <w:rFonts w:ascii="Arial"/>
                <w:spacing w:val="-2"/>
              </w:rPr>
              <w:t>Day.</w:t>
            </w:r>
            <w:r>
              <w:rPr>
                <w:rFonts w:ascii="Arial"/>
                <w:spacing w:val="2"/>
              </w:rPr>
              <w:t xml:space="preserve"> </w:t>
            </w:r>
            <w:r>
              <w:rPr>
                <w:rFonts w:ascii="Arial"/>
                <w:spacing w:val="-1"/>
              </w:rPr>
              <w:t>Otherwise,</w:t>
            </w:r>
            <w:r>
              <w:rPr>
                <w:rFonts w:ascii="Arial"/>
                <w:spacing w:val="2"/>
              </w:rPr>
              <w:t xml:space="preserve"> </w:t>
            </w:r>
            <w:r>
              <w:rPr>
                <w:rFonts w:ascii="Arial"/>
                <w:spacing w:val="-2"/>
              </w:rPr>
              <w:t>delivery</w:t>
            </w:r>
            <w:r>
              <w:rPr>
                <w:rFonts w:ascii="Arial"/>
                <w:spacing w:val="30"/>
              </w:rPr>
              <w:t xml:space="preserve"> </w:t>
            </w:r>
            <w:r>
              <w:rPr>
                <w:rFonts w:ascii="Arial"/>
                <w:spacing w:val="-2"/>
              </w:rPr>
              <w:t>will</w:t>
            </w:r>
            <w:r>
              <w:rPr>
                <w:rFonts w:ascii="Arial"/>
              </w:rPr>
              <w:t xml:space="preserve"> </w:t>
            </w:r>
            <w:r>
              <w:rPr>
                <w:rFonts w:ascii="Arial"/>
                <w:spacing w:val="-1"/>
              </w:rPr>
              <w:t>occur</w:t>
            </w:r>
            <w:r>
              <w:rPr>
                <w:rFonts w:ascii="Arial"/>
                <w:spacing w:val="2"/>
              </w:rPr>
              <w:t xml:space="preserve"> </w:t>
            </w:r>
            <w:r>
              <w:rPr>
                <w:rFonts w:ascii="Arial"/>
                <w:spacing w:val="-1"/>
              </w:rPr>
              <w:t>at</w:t>
            </w:r>
            <w:r>
              <w:rPr>
                <w:rFonts w:ascii="Arial"/>
              </w:rPr>
              <w:t xml:space="preserve"> </w:t>
            </w:r>
            <w:r>
              <w:rPr>
                <w:rFonts w:ascii="Arial"/>
                <w:spacing w:val="-1"/>
              </w:rPr>
              <w:t>9.00am</w:t>
            </w:r>
            <w:r>
              <w:rPr>
                <w:rFonts w:ascii="Arial"/>
                <w:spacing w:val="2"/>
              </w:rPr>
              <w:t xml:space="preserve"> </w:t>
            </w:r>
            <w:r>
              <w:rPr>
                <w:rFonts w:ascii="Arial"/>
                <w:spacing w:val="-1"/>
              </w:rPr>
              <w:t>on</w:t>
            </w:r>
            <w:r>
              <w:rPr>
                <w:rFonts w:ascii="Arial"/>
                <w:spacing w:val="26"/>
              </w:rPr>
              <w:t xml:space="preserve"> </w:t>
            </w:r>
            <w:r>
              <w:rPr>
                <w:rFonts w:ascii="Arial"/>
              </w:rPr>
              <w:t xml:space="preserve">the </w:t>
            </w:r>
            <w:r>
              <w:rPr>
                <w:rFonts w:ascii="Arial"/>
                <w:spacing w:val="-1"/>
              </w:rPr>
              <w:t>same</w:t>
            </w:r>
            <w:r>
              <w:rPr>
                <w:rFonts w:ascii="Arial"/>
                <w:spacing w:val="-7"/>
              </w:rPr>
              <w:t xml:space="preserve"> </w:t>
            </w:r>
            <w:r>
              <w:rPr>
                <w:rFonts w:ascii="Arial"/>
                <w:spacing w:val="-1"/>
              </w:rPr>
              <w:t>Working</w:t>
            </w:r>
            <w:r>
              <w:rPr>
                <w:rFonts w:ascii="Arial"/>
              </w:rPr>
              <w:t xml:space="preserve"> </w:t>
            </w:r>
            <w:r>
              <w:rPr>
                <w:rFonts w:ascii="Arial"/>
                <w:spacing w:val="-2"/>
              </w:rPr>
              <w:t>Day</w:t>
            </w:r>
            <w:r>
              <w:rPr>
                <w:rFonts w:ascii="Arial"/>
                <w:spacing w:val="28"/>
              </w:rPr>
              <w:t xml:space="preserve"> </w:t>
            </w:r>
            <w:r>
              <w:rPr>
                <w:rFonts w:ascii="Arial"/>
                <w:spacing w:val="-2"/>
              </w:rPr>
              <w:t>(if</w:t>
            </w:r>
            <w:r>
              <w:rPr>
                <w:rFonts w:ascii="Arial"/>
                <w:spacing w:val="4"/>
              </w:rPr>
              <w:t xml:space="preserve"> </w:t>
            </w:r>
            <w:r>
              <w:rPr>
                <w:rFonts w:ascii="Arial"/>
                <w:spacing w:val="-2"/>
              </w:rPr>
              <w:t xml:space="preserve">delivery </w:t>
            </w:r>
            <w:r>
              <w:rPr>
                <w:rFonts w:ascii="Arial"/>
                <w:spacing w:val="-1"/>
              </w:rPr>
              <w:t>before</w:t>
            </w:r>
            <w:r>
              <w:rPr>
                <w:rFonts w:ascii="Arial"/>
                <w:spacing w:val="25"/>
              </w:rPr>
              <w:t xml:space="preserve"> </w:t>
            </w:r>
            <w:r>
              <w:rPr>
                <w:rFonts w:ascii="Arial"/>
                <w:spacing w:val="-1"/>
              </w:rPr>
              <w:t>9.00am)</w:t>
            </w:r>
            <w:r>
              <w:rPr>
                <w:rFonts w:ascii="Arial"/>
                <w:spacing w:val="2"/>
              </w:rPr>
              <w:t xml:space="preserve"> </w:t>
            </w:r>
            <w:r>
              <w:rPr>
                <w:rFonts w:ascii="Arial"/>
                <w:spacing w:val="-2"/>
              </w:rPr>
              <w:t>or</w:t>
            </w:r>
            <w:r>
              <w:rPr>
                <w:rFonts w:ascii="Arial"/>
                <w:spacing w:val="2"/>
              </w:rPr>
              <w:t xml:space="preserve"> </w:t>
            </w:r>
            <w:r>
              <w:rPr>
                <w:rFonts w:ascii="Arial"/>
                <w:spacing w:val="-1"/>
              </w:rPr>
              <w:t>on</w:t>
            </w:r>
            <w:r>
              <w:rPr>
                <w:rFonts w:ascii="Arial"/>
                <w:spacing w:val="-2"/>
              </w:rPr>
              <w:t xml:space="preserve"> </w:t>
            </w:r>
            <w:r>
              <w:rPr>
                <w:rFonts w:ascii="Arial"/>
              </w:rPr>
              <w:t>the</w:t>
            </w:r>
            <w:r>
              <w:rPr>
                <w:rFonts w:ascii="Arial"/>
                <w:spacing w:val="-2"/>
              </w:rPr>
              <w:t xml:space="preserve"> next</w:t>
            </w:r>
            <w:r>
              <w:rPr>
                <w:rFonts w:ascii="Arial"/>
                <w:spacing w:val="28"/>
              </w:rPr>
              <w:t xml:space="preserve"> </w:t>
            </w:r>
            <w:r>
              <w:rPr>
                <w:rFonts w:ascii="Arial"/>
                <w:spacing w:val="-1"/>
              </w:rPr>
              <w:t>Working</w:t>
            </w:r>
            <w:r>
              <w:rPr>
                <w:rFonts w:ascii="Arial"/>
                <w:spacing w:val="3"/>
              </w:rPr>
              <w:t xml:space="preserve"> </w:t>
            </w:r>
            <w:r>
              <w:rPr>
                <w:rFonts w:ascii="Arial"/>
                <w:spacing w:val="-1"/>
              </w:rPr>
              <w:t>Day</w:t>
            </w:r>
            <w:r>
              <w:rPr>
                <w:rFonts w:ascii="Arial"/>
                <w:spacing w:val="-2"/>
              </w:rPr>
              <w:t xml:space="preserve"> (if</w:t>
            </w:r>
            <w:r>
              <w:rPr>
                <w:rFonts w:ascii="Arial"/>
                <w:spacing w:val="2"/>
              </w:rPr>
              <w:t xml:space="preserve"> </w:t>
            </w:r>
            <w:r>
              <w:rPr>
                <w:rFonts w:ascii="Arial"/>
                <w:spacing w:val="-2"/>
              </w:rPr>
              <w:t>after</w:t>
            </w:r>
            <w:r>
              <w:rPr>
                <w:rFonts w:ascii="Arial"/>
                <w:spacing w:val="25"/>
              </w:rPr>
              <w:t xml:space="preserve"> </w:t>
            </w:r>
            <w:r>
              <w:rPr>
                <w:rFonts w:ascii="Arial"/>
                <w:spacing w:val="-1"/>
              </w:rPr>
              <w:t>5.00pm)</w:t>
            </w:r>
          </w:p>
        </w:tc>
        <w:tc>
          <w:tcPr>
            <w:tcW w:w="2909"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ind w:left="102" w:right="100"/>
              <w:rPr>
                <w:rFonts w:ascii="Arial" w:eastAsia="Arial" w:hAnsi="Arial" w:cs="Arial"/>
              </w:rPr>
            </w:pPr>
            <w:r>
              <w:rPr>
                <w:rFonts w:ascii="Arial"/>
                <w:spacing w:val="-1"/>
              </w:rPr>
              <w:t>Properly addressed</w:t>
            </w:r>
            <w:r>
              <w:rPr>
                <w:rFonts w:ascii="Arial"/>
              </w:rPr>
              <w:t xml:space="preserve"> </w:t>
            </w:r>
            <w:r>
              <w:rPr>
                <w:rFonts w:ascii="Arial"/>
                <w:spacing w:val="26"/>
              </w:rPr>
              <w:t xml:space="preserve"> </w:t>
            </w:r>
            <w:r>
              <w:rPr>
                <w:rFonts w:ascii="Arial"/>
                <w:spacing w:val="-1"/>
              </w:rPr>
              <w:t>prepaid</w:t>
            </w:r>
            <w:r>
              <w:rPr>
                <w:rFonts w:ascii="Arial"/>
              </w:rPr>
              <w:t xml:space="preserve"> </w:t>
            </w:r>
            <w:r>
              <w:rPr>
                <w:rFonts w:ascii="Arial"/>
                <w:spacing w:val="-1"/>
              </w:rPr>
              <w:t>and</w:t>
            </w:r>
            <w:r>
              <w:rPr>
                <w:rFonts w:ascii="Arial"/>
              </w:rPr>
              <w:t xml:space="preserve"> </w:t>
            </w:r>
            <w:r>
              <w:rPr>
                <w:rFonts w:ascii="Arial"/>
                <w:spacing w:val="-2"/>
              </w:rPr>
              <w:t>delivered</w:t>
            </w:r>
            <w:r>
              <w:rPr>
                <w:rFonts w:ascii="Arial"/>
              </w:rPr>
              <w:t xml:space="preserve"> </w:t>
            </w:r>
            <w:r>
              <w:rPr>
                <w:rFonts w:ascii="Arial"/>
                <w:spacing w:val="-1"/>
              </w:rPr>
              <w:t>as</w:t>
            </w:r>
            <w:r>
              <w:rPr>
                <w:rFonts w:ascii="Arial"/>
                <w:spacing w:val="29"/>
              </w:rPr>
              <w:t xml:space="preserve"> </w:t>
            </w:r>
            <w:r>
              <w:rPr>
                <w:rFonts w:ascii="Arial"/>
                <w:spacing w:val="-2"/>
              </w:rPr>
              <w:t>evidenced</w:t>
            </w:r>
            <w:r>
              <w:rPr>
                <w:rFonts w:ascii="Arial"/>
              </w:rPr>
              <w:t xml:space="preserve"> </w:t>
            </w:r>
            <w:r>
              <w:rPr>
                <w:rFonts w:ascii="Arial"/>
                <w:spacing w:val="-1"/>
              </w:rPr>
              <w:t>by</w:t>
            </w:r>
            <w:r>
              <w:rPr>
                <w:rFonts w:ascii="Arial"/>
                <w:spacing w:val="-2"/>
              </w:rPr>
              <w:t xml:space="preserve"> </w:t>
            </w:r>
            <w:r>
              <w:rPr>
                <w:rFonts w:ascii="Arial"/>
                <w:spacing w:val="-1"/>
              </w:rPr>
              <w:t>signature</w:t>
            </w:r>
            <w:r>
              <w:rPr>
                <w:rFonts w:ascii="Arial"/>
                <w:spacing w:val="-2"/>
              </w:rPr>
              <w:t xml:space="preserve"> of</w:t>
            </w:r>
            <w:r>
              <w:rPr>
                <w:rFonts w:ascii="Arial"/>
                <w:spacing w:val="2"/>
              </w:rPr>
              <w:t xml:space="preserve"> </w:t>
            </w:r>
            <w:r>
              <w:rPr>
                <w:rFonts w:ascii="Arial"/>
              </w:rPr>
              <w:t>a</w:t>
            </w:r>
            <w:r>
              <w:rPr>
                <w:rFonts w:ascii="Arial"/>
                <w:spacing w:val="35"/>
              </w:rPr>
              <w:t xml:space="preserve"> </w:t>
            </w:r>
            <w:r>
              <w:rPr>
                <w:rFonts w:ascii="Arial"/>
                <w:spacing w:val="-1"/>
              </w:rPr>
              <w:t>delivery</w:t>
            </w:r>
            <w:r>
              <w:rPr>
                <w:rFonts w:ascii="Arial"/>
                <w:spacing w:val="-2"/>
              </w:rPr>
              <w:t xml:space="preserve"> </w:t>
            </w:r>
            <w:r>
              <w:rPr>
                <w:rFonts w:ascii="Arial"/>
                <w:spacing w:val="-1"/>
              </w:rPr>
              <w:t>receipt</w:t>
            </w:r>
          </w:p>
        </w:tc>
      </w:tr>
    </w:tbl>
    <w:p w:rsidR="008918FA" w:rsidRDefault="008918FA" w:rsidP="008918FA">
      <w:pPr>
        <w:rPr>
          <w:rFonts w:ascii="Arial" w:eastAsia="Arial" w:hAnsi="Arial" w:cs="Arial"/>
        </w:rPr>
        <w:sectPr w:rsidR="008918FA">
          <w:pgSz w:w="11910" w:h="16840"/>
          <w:pgMar w:top="1480" w:right="1280" w:bottom="1180" w:left="1340" w:header="0" w:footer="967" w:gutter="0"/>
          <w:cols w:space="720"/>
        </w:sectPr>
      </w:pPr>
    </w:p>
    <w:p w:rsidR="008918FA" w:rsidRDefault="008918FA" w:rsidP="008918FA">
      <w:pPr>
        <w:pStyle w:val="BodyText"/>
        <w:numPr>
          <w:ilvl w:val="1"/>
          <w:numId w:val="66"/>
        </w:numPr>
        <w:tabs>
          <w:tab w:val="left" w:pos="1233"/>
        </w:tabs>
        <w:spacing w:before="66" w:line="232" w:lineRule="auto"/>
        <w:ind w:left="1028" w:right="114" w:hanging="360"/>
        <w:jc w:val="both"/>
      </w:pPr>
      <w:bookmarkStart w:id="335" w:name="57._GOVERNING_LAW_AND_JURISDICTION"/>
      <w:bookmarkStart w:id="336" w:name="_bookmark276"/>
      <w:bookmarkEnd w:id="335"/>
      <w:bookmarkEnd w:id="336"/>
      <w:r>
        <w:t>The</w:t>
      </w:r>
      <w:r>
        <w:rPr>
          <w:spacing w:val="29"/>
        </w:rPr>
        <w:t xml:space="preserve"> </w:t>
      </w:r>
      <w:r>
        <w:rPr>
          <w:spacing w:val="-2"/>
        </w:rPr>
        <w:t>following</w:t>
      </w:r>
      <w:r>
        <w:rPr>
          <w:spacing w:val="34"/>
        </w:rPr>
        <w:t xml:space="preserve"> </w:t>
      </w:r>
      <w:r>
        <w:rPr>
          <w:spacing w:val="-1"/>
        </w:rPr>
        <w:t>notices</w:t>
      </w:r>
      <w:r>
        <w:rPr>
          <w:spacing w:val="32"/>
        </w:rPr>
        <w:t xml:space="preserve"> </w:t>
      </w:r>
      <w:r>
        <w:rPr>
          <w:spacing w:val="-1"/>
        </w:rPr>
        <w:t>may</w:t>
      </w:r>
      <w:r>
        <w:rPr>
          <w:spacing w:val="30"/>
        </w:rPr>
        <w:t xml:space="preserve"> </w:t>
      </w:r>
      <w:r>
        <w:rPr>
          <w:spacing w:val="-1"/>
        </w:rPr>
        <w:t>only</w:t>
      </w:r>
      <w:r>
        <w:rPr>
          <w:spacing w:val="32"/>
        </w:rPr>
        <w:t xml:space="preserve"> </w:t>
      </w:r>
      <w:r>
        <w:rPr>
          <w:spacing w:val="-1"/>
        </w:rPr>
        <w:t>be</w:t>
      </w:r>
      <w:r>
        <w:rPr>
          <w:spacing w:val="31"/>
        </w:rPr>
        <w:t xml:space="preserve"> </w:t>
      </w:r>
      <w:r>
        <w:rPr>
          <w:spacing w:val="-1"/>
        </w:rPr>
        <w:t>served</w:t>
      </w:r>
      <w:r>
        <w:rPr>
          <w:spacing w:val="34"/>
        </w:rPr>
        <w:t xml:space="preserve"> </w:t>
      </w:r>
      <w:r>
        <w:rPr>
          <w:spacing w:val="-1"/>
        </w:rPr>
        <w:t>as</w:t>
      </w:r>
      <w:r>
        <w:rPr>
          <w:spacing w:val="32"/>
        </w:rPr>
        <w:t xml:space="preserve"> </w:t>
      </w:r>
      <w:r>
        <w:rPr>
          <w:spacing w:val="1"/>
        </w:rPr>
        <w:t>an</w:t>
      </w:r>
      <w:r>
        <w:rPr>
          <w:spacing w:val="32"/>
        </w:rPr>
        <w:t xml:space="preserve"> </w:t>
      </w:r>
      <w:r>
        <w:rPr>
          <w:spacing w:val="-1"/>
        </w:rPr>
        <w:t>attachment</w:t>
      </w:r>
      <w:r>
        <w:rPr>
          <w:spacing w:val="33"/>
        </w:rPr>
        <w:t xml:space="preserve"> </w:t>
      </w:r>
      <w:r>
        <w:t>to</w:t>
      </w:r>
      <w:r>
        <w:rPr>
          <w:spacing w:val="31"/>
        </w:rPr>
        <w:t xml:space="preserve"> </w:t>
      </w:r>
      <w:r>
        <w:rPr>
          <w:spacing w:val="-1"/>
        </w:rPr>
        <w:t>an</w:t>
      </w:r>
      <w:r>
        <w:rPr>
          <w:spacing w:val="31"/>
        </w:rPr>
        <w:t xml:space="preserve"> </w:t>
      </w:r>
      <w:r>
        <w:rPr>
          <w:spacing w:val="-2"/>
        </w:rPr>
        <w:t>email</w:t>
      </w:r>
      <w:r>
        <w:rPr>
          <w:spacing w:val="33"/>
        </w:rPr>
        <w:t xml:space="preserve"> </w:t>
      </w:r>
      <w:r>
        <w:rPr>
          <w:spacing w:val="-1"/>
        </w:rPr>
        <w:t>if</w:t>
      </w:r>
      <w:r>
        <w:rPr>
          <w:spacing w:val="35"/>
        </w:rPr>
        <w:t xml:space="preserve"> </w:t>
      </w:r>
      <w:r>
        <w:rPr>
          <w:spacing w:val="-1"/>
        </w:rPr>
        <w:t>the</w:t>
      </w:r>
      <w:r>
        <w:rPr>
          <w:spacing w:val="64"/>
        </w:rPr>
        <w:t xml:space="preserve"> </w:t>
      </w:r>
      <w:r>
        <w:rPr>
          <w:spacing w:val="-1"/>
        </w:rPr>
        <w:t>original</w:t>
      </w:r>
      <w:r>
        <w:rPr>
          <w:spacing w:val="52"/>
        </w:rPr>
        <w:t xml:space="preserve"> </w:t>
      </w:r>
      <w:r>
        <w:rPr>
          <w:spacing w:val="-1"/>
        </w:rPr>
        <w:t>notice</w:t>
      </w:r>
      <w:r>
        <w:rPr>
          <w:spacing w:val="53"/>
        </w:rPr>
        <w:t xml:space="preserve"> </w:t>
      </w:r>
      <w:r>
        <w:rPr>
          <w:spacing w:val="-1"/>
        </w:rPr>
        <w:t>is</w:t>
      </w:r>
      <w:r>
        <w:rPr>
          <w:spacing w:val="53"/>
        </w:rPr>
        <w:t xml:space="preserve"> </w:t>
      </w:r>
      <w:r>
        <w:rPr>
          <w:spacing w:val="-1"/>
        </w:rPr>
        <w:t>then</w:t>
      </w:r>
      <w:r>
        <w:rPr>
          <w:spacing w:val="53"/>
        </w:rPr>
        <w:t xml:space="preserve"> </w:t>
      </w:r>
      <w:r>
        <w:rPr>
          <w:spacing w:val="-1"/>
        </w:rPr>
        <w:t>sent</w:t>
      </w:r>
      <w:r>
        <w:rPr>
          <w:spacing w:val="55"/>
        </w:rPr>
        <w:t xml:space="preserve"> </w:t>
      </w:r>
      <w:r>
        <w:t>to</w:t>
      </w:r>
      <w:r>
        <w:rPr>
          <w:spacing w:val="53"/>
        </w:rPr>
        <w:t xml:space="preserve"> </w:t>
      </w:r>
      <w:r>
        <w:t>the</w:t>
      </w:r>
      <w:r>
        <w:rPr>
          <w:spacing w:val="54"/>
        </w:rPr>
        <w:t xml:space="preserve"> </w:t>
      </w:r>
      <w:r>
        <w:rPr>
          <w:spacing w:val="-2"/>
        </w:rPr>
        <w:t>recipient</w:t>
      </w:r>
      <w:r>
        <w:rPr>
          <w:spacing w:val="55"/>
        </w:rPr>
        <w:t xml:space="preserve"> </w:t>
      </w:r>
      <w:r>
        <w:rPr>
          <w:spacing w:val="-1"/>
        </w:rPr>
        <w:t>by</w:t>
      </w:r>
      <w:r>
        <w:rPr>
          <w:spacing w:val="53"/>
        </w:rPr>
        <w:t xml:space="preserve"> </w:t>
      </w:r>
      <w:r>
        <w:rPr>
          <w:spacing w:val="-1"/>
        </w:rPr>
        <w:t>personal</w:t>
      </w:r>
      <w:r>
        <w:rPr>
          <w:spacing w:val="52"/>
        </w:rPr>
        <w:t xml:space="preserve"> </w:t>
      </w:r>
      <w:r>
        <w:rPr>
          <w:spacing w:val="-1"/>
        </w:rPr>
        <w:t>delivery</w:t>
      </w:r>
      <w:r>
        <w:rPr>
          <w:spacing w:val="51"/>
        </w:rPr>
        <w:t xml:space="preserve"> </w:t>
      </w:r>
      <w:r>
        <w:rPr>
          <w:spacing w:val="-1"/>
        </w:rPr>
        <w:t>or</w:t>
      </w:r>
      <w:r>
        <w:rPr>
          <w:spacing w:val="54"/>
        </w:rPr>
        <w:t xml:space="preserve"> </w:t>
      </w:r>
      <w:r>
        <w:rPr>
          <w:spacing w:val="-1"/>
        </w:rPr>
        <w:t>Royal</w:t>
      </w:r>
      <w:r>
        <w:rPr>
          <w:spacing w:val="56"/>
        </w:rPr>
        <w:t xml:space="preserve"> </w:t>
      </w:r>
      <w:r>
        <w:rPr>
          <w:spacing w:val="-1"/>
        </w:rPr>
        <w:t>Mail</w:t>
      </w:r>
      <w:r>
        <w:rPr>
          <w:spacing w:val="57"/>
        </w:rPr>
        <w:t xml:space="preserve"> </w:t>
      </w:r>
      <w:r>
        <w:rPr>
          <w:spacing w:val="-1"/>
        </w:rPr>
        <w:t>Signed</w:t>
      </w:r>
      <w:r>
        <w:rPr>
          <w:spacing w:val="53"/>
        </w:rPr>
        <w:t xml:space="preserve"> </w:t>
      </w:r>
      <w:r>
        <w:rPr>
          <w:spacing w:val="-1"/>
        </w:rPr>
        <w:t>For™</w:t>
      </w:r>
      <w:r>
        <w:rPr>
          <w:spacing w:val="53"/>
        </w:rPr>
        <w:t xml:space="preserve"> </w:t>
      </w:r>
      <w:r>
        <w:rPr>
          <w:spacing w:val="-1"/>
        </w:rPr>
        <w:t>1</w:t>
      </w:r>
      <w:r>
        <w:rPr>
          <w:spacing w:val="-1"/>
          <w:position w:val="10"/>
          <w:sz w:val="14"/>
          <w:szCs w:val="14"/>
        </w:rPr>
        <w:t>st</w:t>
      </w:r>
      <w:r>
        <w:rPr>
          <w:spacing w:val="37"/>
          <w:position w:val="10"/>
          <w:sz w:val="14"/>
          <w:szCs w:val="14"/>
        </w:rPr>
        <w:t xml:space="preserve"> </w:t>
      </w:r>
      <w:r>
        <w:rPr>
          <w:spacing w:val="-2"/>
        </w:rPr>
        <w:t>Class</w:t>
      </w:r>
      <w:r>
        <w:rPr>
          <w:spacing w:val="52"/>
        </w:rPr>
        <w:t xml:space="preserve"> </w:t>
      </w:r>
      <w:r>
        <w:rPr>
          <w:spacing w:val="-1"/>
        </w:rPr>
        <w:t>or</w:t>
      </w:r>
      <w:r>
        <w:rPr>
          <w:spacing w:val="54"/>
        </w:rPr>
        <w:t xml:space="preserve"> </w:t>
      </w:r>
      <w:r>
        <w:rPr>
          <w:spacing w:val="-1"/>
        </w:rPr>
        <w:t>other</w:t>
      </w:r>
      <w:r>
        <w:rPr>
          <w:spacing w:val="54"/>
        </w:rPr>
        <w:t xml:space="preserve"> </w:t>
      </w:r>
      <w:r>
        <w:rPr>
          <w:spacing w:val="-1"/>
        </w:rPr>
        <w:t>prepaid</w:t>
      </w:r>
      <w:r>
        <w:rPr>
          <w:spacing w:val="53"/>
        </w:rPr>
        <w:t xml:space="preserve"> </w:t>
      </w:r>
      <w:r>
        <w:rPr>
          <w:spacing w:val="-1"/>
        </w:rPr>
        <w:t>in</w:t>
      </w:r>
      <w:r>
        <w:rPr>
          <w:spacing w:val="53"/>
        </w:rPr>
        <w:t xml:space="preserve"> </w:t>
      </w:r>
      <w:r>
        <w:rPr>
          <w:spacing w:val="-1"/>
        </w:rPr>
        <w:t>the</w:t>
      </w:r>
      <w:r>
        <w:rPr>
          <w:spacing w:val="53"/>
        </w:rPr>
        <w:t xml:space="preserve"> </w:t>
      </w:r>
      <w:r>
        <w:rPr>
          <w:spacing w:val="-1"/>
        </w:rPr>
        <w:t>manner</w:t>
      </w:r>
      <w:r>
        <w:rPr>
          <w:spacing w:val="54"/>
        </w:rPr>
        <w:t xml:space="preserve"> </w:t>
      </w:r>
      <w:r>
        <w:rPr>
          <w:spacing w:val="-2"/>
        </w:rPr>
        <w:t>set</w:t>
      </w:r>
      <w:r>
        <w:rPr>
          <w:spacing w:val="55"/>
        </w:rPr>
        <w:t xml:space="preserve"> </w:t>
      </w:r>
      <w:r>
        <w:rPr>
          <w:spacing w:val="-2"/>
        </w:rPr>
        <w:t>out</w:t>
      </w:r>
      <w:r>
        <w:rPr>
          <w:spacing w:val="55"/>
        </w:rPr>
        <w:t xml:space="preserve"> </w:t>
      </w:r>
      <w:r>
        <w:rPr>
          <w:spacing w:val="-1"/>
        </w:rPr>
        <w:t>in</w:t>
      </w:r>
      <w:r>
        <w:rPr>
          <w:spacing w:val="53"/>
        </w:rPr>
        <w:t xml:space="preserve"> </w:t>
      </w:r>
      <w:r>
        <w:rPr>
          <w:spacing w:val="-1"/>
        </w:rPr>
        <w:t>the</w:t>
      </w:r>
      <w:r>
        <w:rPr>
          <w:spacing w:val="54"/>
        </w:rPr>
        <w:t xml:space="preserve"> </w:t>
      </w:r>
      <w:r>
        <w:rPr>
          <w:spacing w:val="-1"/>
        </w:rPr>
        <w:t>table</w:t>
      </w:r>
      <w:r>
        <w:rPr>
          <w:spacing w:val="53"/>
        </w:rPr>
        <w:t xml:space="preserve"> </w:t>
      </w:r>
      <w:r>
        <w:rPr>
          <w:spacing w:val="-1"/>
        </w:rPr>
        <w:t>in</w:t>
      </w:r>
      <w:r>
        <w:rPr>
          <w:spacing w:val="47"/>
        </w:rPr>
        <w:t xml:space="preserve"> </w:t>
      </w:r>
      <w:r>
        <w:rPr>
          <w:spacing w:val="-2"/>
        </w:rPr>
        <w:t>Clause</w:t>
      </w:r>
      <w:r>
        <w:rPr>
          <w:spacing w:val="2"/>
        </w:rPr>
        <w:t xml:space="preserve"> </w:t>
      </w:r>
      <w:hyperlink w:anchor="_bookmark275" w:history="1">
        <w:r>
          <w:rPr>
            <w:spacing w:val="-1"/>
          </w:rPr>
          <w:t>55.2</w:t>
        </w:r>
      </w:hyperlink>
      <w:r>
        <w:rPr>
          <w:spacing w:val="-1"/>
        </w:rPr>
        <w:t>:</w:t>
      </w:r>
    </w:p>
    <w:p w:rsidR="008918FA" w:rsidRDefault="008918FA" w:rsidP="008918FA">
      <w:pPr>
        <w:pStyle w:val="BodyText"/>
        <w:numPr>
          <w:ilvl w:val="2"/>
          <w:numId w:val="66"/>
        </w:numPr>
        <w:tabs>
          <w:tab w:val="left" w:pos="2227"/>
        </w:tabs>
        <w:spacing w:before="123"/>
      </w:pPr>
      <w:r>
        <w:rPr>
          <w:spacing w:val="-1"/>
        </w:rPr>
        <w:t>any</w:t>
      </w:r>
      <w:r>
        <w:rPr>
          <w:spacing w:val="-2"/>
        </w:rPr>
        <w:t xml:space="preserve"> </w:t>
      </w:r>
      <w:r>
        <w:rPr>
          <w:spacing w:val="-1"/>
        </w:rPr>
        <w:t>Termination</w:t>
      </w:r>
      <w:r>
        <w:rPr>
          <w:spacing w:val="1"/>
        </w:rPr>
        <w:t xml:space="preserve"> </w:t>
      </w:r>
      <w:r>
        <w:rPr>
          <w:spacing w:val="-2"/>
        </w:rPr>
        <w:t>Notice</w:t>
      </w:r>
      <w:r>
        <w:rPr>
          <w:spacing w:val="2"/>
        </w:rPr>
        <w:t xml:space="preserve"> </w:t>
      </w:r>
      <w:r>
        <w:rPr>
          <w:spacing w:val="-2"/>
        </w:rPr>
        <w:t>(Clause</w:t>
      </w:r>
      <w:r>
        <w:rPr>
          <w:spacing w:val="1"/>
        </w:rPr>
        <w:t xml:space="preserve"> </w:t>
      </w:r>
      <w:hyperlink w:anchor="_bookmark231" w:history="1">
        <w:r>
          <w:rPr>
            <w:spacing w:val="-1"/>
          </w:rPr>
          <w:t>41</w:t>
        </w:r>
      </w:hyperlink>
      <w:r>
        <w:t xml:space="preserve"> </w:t>
      </w:r>
      <w:r>
        <w:rPr>
          <w:spacing w:val="-1"/>
        </w:rPr>
        <w:t>(Customer Termination</w:t>
      </w:r>
      <w:r>
        <w:t xml:space="preserve"> </w:t>
      </w:r>
      <w:r>
        <w:rPr>
          <w:spacing w:val="-1"/>
        </w:rPr>
        <w:t>Rights)),</w:t>
      </w:r>
    </w:p>
    <w:p w:rsidR="008918FA" w:rsidRDefault="008918FA" w:rsidP="008918FA">
      <w:pPr>
        <w:pStyle w:val="BodyText"/>
        <w:numPr>
          <w:ilvl w:val="2"/>
          <w:numId w:val="66"/>
        </w:numPr>
        <w:tabs>
          <w:tab w:val="left" w:pos="2227"/>
        </w:tabs>
        <w:ind w:hanging="993"/>
      </w:pPr>
      <w:r>
        <w:rPr>
          <w:spacing w:val="-1"/>
        </w:rPr>
        <w:t>any</w:t>
      </w:r>
      <w:r>
        <w:rPr>
          <w:spacing w:val="-2"/>
        </w:rPr>
        <w:t xml:space="preserve"> </w:t>
      </w:r>
      <w:r>
        <w:rPr>
          <w:spacing w:val="-1"/>
        </w:rPr>
        <w:t>notice</w:t>
      </w:r>
      <w:r>
        <w:rPr>
          <w:spacing w:val="1"/>
        </w:rPr>
        <w:t xml:space="preserve"> </w:t>
      </w:r>
      <w:r>
        <w:rPr>
          <w:spacing w:val="-1"/>
        </w:rPr>
        <w:t>in</w:t>
      </w:r>
      <w:r>
        <w:t xml:space="preserve"> </w:t>
      </w:r>
      <w:r>
        <w:rPr>
          <w:spacing w:val="-1"/>
        </w:rPr>
        <w:t>respect</w:t>
      </w:r>
      <w:r>
        <w:t xml:space="preserve"> </w:t>
      </w:r>
      <w:r>
        <w:rPr>
          <w:spacing w:val="-1"/>
        </w:rPr>
        <w:t>of:</w:t>
      </w:r>
    </w:p>
    <w:p w:rsidR="008918FA" w:rsidRDefault="008918FA" w:rsidP="008918FA">
      <w:pPr>
        <w:pStyle w:val="BodyText"/>
        <w:numPr>
          <w:ilvl w:val="3"/>
          <w:numId w:val="66"/>
        </w:numPr>
        <w:tabs>
          <w:tab w:val="left" w:pos="2935"/>
        </w:tabs>
        <w:ind w:left="2934" w:right="118"/>
      </w:pPr>
      <w:r>
        <w:rPr>
          <w:spacing w:val="-1"/>
        </w:rPr>
        <w:t>partial</w:t>
      </w:r>
      <w:r>
        <w:t xml:space="preserve"> </w:t>
      </w:r>
      <w:r>
        <w:rPr>
          <w:spacing w:val="-1"/>
        </w:rPr>
        <w:t>termination,</w:t>
      </w:r>
      <w:r>
        <w:rPr>
          <w:spacing w:val="2"/>
        </w:rPr>
        <w:t xml:space="preserve"> </w:t>
      </w:r>
      <w:r>
        <w:rPr>
          <w:spacing w:val="-1"/>
        </w:rPr>
        <w:t>suspension</w:t>
      </w:r>
      <w:r>
        <w:t xml:space="preserve"> </w:t>
      </w:r>
      <w:r>
        <w:rPr>
          <w:spacing w:val="-1"/>
        </w:rPr>
        <w:t>or</w:t>
      </w:r>
      <w:r>
        <w:rPr>
          <w:spacing w:val="2"/>
        </w:rPr>
        <w:t xml:space="preserve"> </w:t>
      </w:r>
      <w:r>
        <w:rPr>
          <w:spacing w:val="-1"/>
        </w:rPr>
        <w:t>partial</w:t>
      </w:r>
      <w:r>
        <w:t xml:space="preserve"> </w:t>
      </w:r>
      <w:r>
        <w:rPr>
          <w:spacing w:val="-1"/>
        </w:rPr>
        <w:t>suspension</w:t>
      </w:r>
      <w:r>
        <w:t xml:space="preserve"> </w:t>
      </w:r>
      <w:r>
        <w:rPr>
          <w:spacing w:val="-1"/>
        </w:rPr>
        <w:t>(Clause</w:t>
      </w:r>
      <w:r>
        <w:rPr>
          <w:spacing w:val="1"/>
        </w:rPr>
        <w:t xml:space="preserve"> </w:t>
      </w:r>
      <w:hyperlink w:anchor="_bookmark247" w:history="1">
        <w:r>
          <w:rPr>
            <w:spacing w:val="-1"/>
          </w:rPr>
          <w:t>44</w:t>
        </w:r>
      </w:hyperlink>
      <w:r>
        <w:rPr>
          <w:spacing w:val="26"/>
        </w:rPr>
        <w:t xml:space="preserve"> </w:t>
      </w:r>
      <w:r>
        <w:rPr>
          <w:spacing w:val="-1"/>
        </w:rPr>
        <w:t>(Partial</w:t>
      </w:r>
      <w:r>
        <w:rPr>
          <w:spacing w:val="-3"/>
        </w:rPr>
        <w:t xml:space="preserve"> </w:t>
      </w:r>
      <w:r>
        <w:rPr>
          <w:spacing w:val="-1"/>
        </w:rPr>
        <w:t>Termination,</w:t>
      </w:r>
      <w:r>
        <w:rPr>
          <w:spacing w:val="2"/>
        </w:rPr>
        <w:t xml:space="preserve"> </w:t>
      </w:r>
      <w:r>
        <w:rPr>
          <w:spacing w:val="-2"/>
        </w:rPr>
        <w:t>Suspension</w:t>
      </w:r>
      <w:r>
        <w:t xml:space="preserve"> </w:t>
      </w:r>
      <w:r>
        <w:rPr>
          <w:spacing w:val="-1"/>
        </w:rPr>
        <w:t>and</w:t>
      </w:r>
      <w:r>
        <w:t xml:space="preserve"> </w:t>
      </w:r>
      <w:r>
        <w:rPr>
          <w:spacing w:val="-1"/>
        </w:rPr>
        <w:t>Partial</w:t>
      </w:r>
      <w:r>
        <w:t xml:space="preserve"> </w:t>
      </w:r>
      <w:r>
        <w:rPr>
          <w:spacing w:val="-1"/>
        </w:rPr>
        <w:t>Suspension)),</w:t>
      </w:r>
    </w:p>
    <w:p w:rsidR="008918FA" w:rsidRDefault="008918FA" w:rsidP="008918FA">
      <w:pPr>
        <w:pStyle w:val="BodyText"/>
        <w:numPr>
          <w:ilvl w:val="3"/>
          <w:numId w:val="66"/>
        </w:numPr>
        <w:tabs>
          <w:tab w:val="left" w:pos="2935"/>
        </w:tabs>
        <w:ind w:left="2934"/>
      </w:pPr>
      <w:r>
        <w:rPr>
          <w:spacing w:val="-2"/>
        </w:rPr>
        <w:t>waiver</w:t>
      </w:r>
      <w:r>
        <w:rPr>
          <w:spacing w:val="2"/>
        </w:rPr>
        <w:t xml:space="preserve"> </w:t>
      </w:r>
      <w:r>
        <w:rPr>
          <w:spacing w:val="-1"/>
        </w:rPr>
        <w:t>(Clause</w:t>
      </w:r>
      <w:r>
        <w:rPr>
          <w:spacing w:val="1"/>
        </w:rPr>
        <w:t xml:space="preserve"> </w:t>
      </w:r>
      <w:hyperlink w:anchor="_bookmark259" w:history="1">
        <w:r>
          <w:rPr>
            <w:spacing w:val="-1"/>
          </w:rPr>
          <w:t>48</w:t>
        </w:r>
      </w:hyperlink>
      <w:r>
        <w:rPr>
          <w:spacing w:val="1"/>
        </w:rPr>
        <w:t xml:space="preserve"> </w:t>
      </w:r>
      <w:r>
        <w:rPr>
          <w:spacing w:val="-2"/>
        </w:rPr>
        <w:t>(Waiver</w:t>
      </w:r>
      <w:r>
        <w:rPr>
          <w:spacing w:val="2"/>
        </w:rPr>
        <w:t xml:space="preserve"> </w:t>
      </w:r>
      <w:r>
        <w:rPr>
          <w:spacing w:val="-1"/>
        </w:rPr>
        <w:t>and</w:t>
      </w:r>
      <w:r>
        <w:rPr>
          <w:spacing w:val="-2"/>
        </w:rPr>
        <w:t xml:space="preserve"> Cumulative</w:t>
      </w:r>
      <w:r>
        <w:t xml:space="preserve"> </w:t>
      </w:r>
      <w:r>
        <w:rPr>
          <w:spacing w:val="-1"/>
        </w:rPr>
        <w:t>Remedies))</w:t>
      </w:r>
    </w:p>
    <w:p w:rsidR="008918FA" w:rsidRDefault="008918FA" w:rsidP="008918FA">
      <w:pPr>
        <w:pStyle w:val="BodyText"/>
        <w:numPr>
          <w:ilvl w:val="3"/>
          <w:numId w:val="66"/>
        </w:numPr>
        <w:tabs>
          <w:tab w:val="left" w:pos="2935"/>
        </w:tabs>
        <w:spacing w:before="121"/>
        <w:ind w:left="2934"/>
      </w:pPr>
      <w:r>
        <w:rPr>
          <w:spacing w:val="-1"/>
        </w:rPr>
        <w:t>Default</w:t>
      </w:r>
      <w:r>
        <w:rPr>
          <w:spacing w:val="2"/>
        </w:rPr>
        <w:t xml:space="preserve"> </w:t>
      </w:r>
      <w:r>
        <w:rPr>
          <w:spacing w:val="-2"/>
        </w:rPr>
        <w:t>or</w:t>
      </w:r>
      <w:r>
        <w:rPr>
          <w:spacing w:val="2"/>
        </w:rPr>
        <w:t xml:space="preserve"> </w:t>
      </w:r>
      <w:r>
        <w:rPr>
          <w:spacing w:val="-2"/>
        </w:rPr>
        <w:t>Customer</w:t>
      </w:r>
      <w:r>
        <w:rPr>
          <w:spacing w:val="2"/>
        </w:rPr>
        <w:t xml:space="preserve"> </w:t>
      </w:r>
      <w:r>
        <w:rPr>
          <w:spacing w:val="-2"/>
        </w:rPr>
        <w:t>Cause;</w:t>
      </w:r>
      <w:r>
        <w:rPr>
          <w:spacing w:val="2"/>
        </w:rPr>
        <w:t xml:space="preserve"> </w:t>
      </w:r>
      <w:r>
        <w:rPr>
          <w:spacing w:val="-1"/>
        </w:rPr>
        <w:t>and</w:t>
      </w:r>
    </w:p>
    <w:p w:rsidR="008918FA" w:rsidRDefault="008918FA" w:rsidP="008918FA">
      <w:pPr>
        <w:pStyle w:val="BodyText"/>
        <w:numPr>
          <w:ilvl w:val="2"/>
          <w:numId w:val="66"/>
        </w:numPr>
        <w:tabs>
          <w:tab w:val="left" w:pos="2227"/>
        </w:tabs>
      </w:pPr>
      <w:r>
        <w:rPr>
          <w:spacing w:val="-1"/>
        </w:rPr>
        <w:t>any</w:t>
      </w:r>
      <w:r>
        <w:rPr>
          <w:spacing w:val="-2"/>
        </w:rPr>
        <w:t xml:space="preserve"> </w:t>
      </w:r>
      <w:r>
        <w:rPr>
          <w:spacing w:val="-1"/>
        </w:rPr>
        <w:t>Dispute</w:t>
      </w:r>
      <w:r>
        <w:rPr>
          <w:spacing w:val="1"/>
        </w:rPr>
        <w:t xml:space="preserve"> </w:t>
      </w:r>
      <w:r>
        <w:rPr>
          <w:spacing w:val="-1"/>
        </w:rPr>
        <w:t>Notice.</w:t>
      </w:r>
    </w:p>
    <w:p w:rsidR="008918FA" w:rsidRDefault="008918FA" w:rsidP="008918FA">
      <w:pPr>
        <w:pStyle w:val="BodyText"/>
        <w:numPr>
          <w:ilvl w:val="1"/>
          <w:numId w:val="66"/>
        </w:numPr>
        <w:tabs>
          <w:tab w:val="left" w:pos="1233"/>
        </w:tabs>
        <w:ind w:left="1028" w:right="112" w:hanging="360"/>
        <w:jc w:val="both"/>
      </w:pPr>
      <w:bookmarkStart w:id="337" w:name="_bookmark277"/>
      <w:bookmarkEnd w:id="337"/>
      <w:r>
        <w:rPr>
          <w:spacing w:val="-1"/>
        </w:rPr>
        <w:t>Failure</w:t>
      </w:r>
      <w:r>
        <w:rPr>
          <w:spacing w:val="29"/>
        </w:rPr>
        <w:t xml:space="preserve"> </w:t>
      </w:r>
      <w:r>
        <w:t>to</w:t>
      </w:r>
      <w:r>
        <w:rPr>
          <w:spacing w:val="29"/>
        </w:rPr>
        <w:t xml:space="preserve"> </w:t>
      </w:r>
      <w:r>
        <w:rPr>
          <w:spacing w:val="-1"/>
        </w:rPr>
        <w:t>send</w:t>
      </w:r>
      <w:r>
        <w:rPr>
          <w:spacing w:val="29"/>
        </w:rPr>
        <w:t xml:space="preserve"> </w:t>
      </w:r>
      <w:r>
        <w:rPr>
          <w:spacing w:val="-1"/>
        </w:rPr>
        <w:t>any</w:t>
      </w:r>
      <w:r>
        <w:rPr>
          <w:spacing w:val="30"/>
        </w:rPr>
        <w:t xml:space="preserve"> </w:t>
      </w:r>
      <w:r>
        <w:rPr>
          <w:spacing w:val="-1"/>
        </w:rPr>
        <w:t>original</w:t>
      </w:r>
      <w:r>
        <w:rPr>
          <w:spacing w:val="28"/>
        </w:rPr>
        <w:t xml:space="preserve"> </w:t>
      </w:r>
      <w:r>
        <w:rPr>
          <w:spacing w:val="-1"/>
        </w:rPr>
        <w:t>notice</w:t>
      </w:r>
      <w:r>
        <w:rPr>
          <w:spacing w:val="30"/>
        </w:rPr>
        <w:t xml:space="preserve"> </w:t>
      </w:r>
      <w:r>
        <w:rPr>
          <w:spacing w:val="1"/>
        </w:rPr>
        <w:t>by</w:t>
      </w:r>
      <w:r>
        <w:rPr>
          <w:spacing w:val="29"/>
        </w:rPr>
        <w:t xml:space="preserve"> </w:t>
      </w:r>
      <w:r>
        <w:rPr>
          <w:spacing w:val="-1"/>
        </w:rPr>
        <w:t>personal</w:t>
      </w:r>
      <w:r>
        <w:rPr>
          <w:spacing w:val="31"/>
        </w:rPr>
        <w:t xml:space="preserve"> </w:t>
      </w:r>
      <w:r>
        <w:rPr>
          <w:spacing w:val="-1"/>
        </w:rPr>
        <w:t>delivery</w:t>
      </w:r>
      <w:r>
        <w:rPr>
          <w:spacing w:val="27"/>
        </w:rPr>
        <w:t xml:space="preserve"> </w:t>
      </w:r>
      <w:r>
        <w:rPr>
          <w:spacing w:val="-1"/>
        </w:rPr>
        <w:t>or</w:t>
      </w:r>
      <w:r>
        <w:rPr>
          <w:spacing w:val="30"/>
        </w:rPr>
        <w:t xml:space="preserve"> </w:t>
      </w:r>
      <w:r>
        <w:rPr>
          <w:spacing w:val="-1"/>
        </w:rPr>
        <w:t>recorded</w:t>
      </w:r>
      <w:r>
        <w:rPr>
          <w:spacing w:val="29"/>
        </w:rPr>
        <w:t xml:space="preserve"> </w:t>
      </w:r>
      <w:r>
        <w:rPr>
          <w:spacing w:val="-1"/>
        </w:rPr>
        <w:t>delivery</w:t>
      </w:r>
      <w:r>
        <w:rPr>
          <w:spacing w:val="30"/>
        </w:rPr>
        <w:t xml:space="preserve"> </w:t>
      </w:r>
      <w:r>
        <w:rPr>
          <w:spacing w:val="-1"/>
        </w:rPr>
        <w:t>in</w:t>
      </w:r>
      <w:r>
        <w:rPr>
          <w:spacing w:val="39"/>
        </w:rPr>
        <w:t xml:space="preserve"> </w:t>
      </w:r>
      <w:r>
        <w:rPr>
          <w:spacing w:val="-1"/>
        </w:rPr>
        <w:t>accordance</w:t>
      </w:r>
      <w:r>
        <w:t xml:space="preserve"> </w:t>
      </w:r>
      <w:r>
        <w:rPr>
          <w:spacing w:val="-2"/>
        </w:rPr>
        <w:t>with</w:t>
      </w:r>
      <w:r>
        <w:rPr>
          <w:spacing w:val="60"/>
        </w:rPr>
        <w:t xml:space="preserve"> </w:t>
      </w:r>
      <w:r>
        <w:rPr>
          <w:spacing w:val="-2"/>
        </w:rPr>
        <w:t>Clause</w:t>
      </w:r>
      <w:r>
        <w:rPr>
          <w:spacing w:val="59"/>
        </w:rPr>
        <w:t xml:space="preserve"> </w:t>
      </w:r>
      <w:hyperlink w:anchor="_bookmark276" w:history="1">
        <w:r>
          <w:rPr>
            <w:spacing w:val="-1"/>
          </w:rPr>
          <w:t>55.3</w:t>
        </w:r>
      </w:hyperlink>
      <w:r>
        <w:rPr>
          <w:spacing w:val="58"/>
        </w:rPr>
        <w:t xml:space="preserve"> </w:t>
      </w:r>
      <w:r>
        <w:rPr>
          <w:spacing w:val="-1"/>
        </w:rPr>
        <w:t>shall</w:t>
      </w:r>
      <w:r>
        <w:rPr>
          <w:spacing w:val="59"/>
        </w:rPr>
        <w:t xml:space="preserve"> </w:t>
      </w:r>
      <w:r>
        <w:rPr>
          <w:spacing w:val="-1"/>
        </w:rPr>
        <w:t>invalidate</w:t>
      </w:r>
      <w:r>
        <w:rPr>
          <w:spacing w:val="60"/>
        </w:rPr>
        <w:t xml:space="preserve"> </w:t>
      </w:r>
      <w:r>
        <w:rPr>
          <w:spacing w:val="-1"/>
        </w:rPr>
        <w:t>the</w:t>
      </w:r>
      <w:r>
        <w:rPr>
          <w:spacing w:val="60"/>
        </w:rPr>
        <w:t xml:space="preserve"> </w:t>
      </w:r>
      <w:r>
        <w:rPr>
          <w:spacing w:val="-1"/>
        </w:rPr>
        <w:t>service</w:t>
      </w:r>
      <w:r w:rsidR="001C1527">
        <w:t xml:space="preserve"> </w:t>
      </w:r>
      <w:r>
        <w:rPr>
          <w:spacing w:val="-2"/>
        </w:rPr>
        <w:t>of</w:t>
      </w:r>
      <w:r>
        <w:rPr>
          <w:spacing w:val="1"/>
        </w:rPr>
        <w:t xml:space="preserve"> </w:t>
      </w:r>
      <w:r>
        <w:t>the</w:t>
      </w:r>
      <w:r>
        <w:rPr>
          <w:spacing w:val="59"/>
        </w:rPr>
        <w:t xml:space="preserve"> </w:t>
      </w:r>
      <w:r>
        <w:rPr>
          <w:spacing w:val="-1"/>
        </w:rPr>
        <w:t>related</w:t>
      </w:r>
      <w:r>
        <w:rPr>
          <w:spacing w:val="60"/>
        </w:rPr>
        <w:t xml:space="preserve"> </w:t>
      </w:r>
      <w:r>
        <w:rPr>
          <w:spacing w:val="-1"/>
        </w:rPr>
        <w:t>e-mail</w:t>
      </w:r>
      <w:r>
        <w:rPr>
          <w:spacing w:val="33"/>
        </w:rPr>
        <w:t xml:space="preserve"> </w:t>
      </w:r>
      <w:r>
        <w:rPr>
          <w:spacing w:val="-1"/>
        </w:rPr>
        <w:t>transmission.</w:t>
      </w:r>
      <w:r>
        <w:rPr>
          <w:spacing w:val="2"/>
        </w:rPr>
        <w:t xml:space="preserve"> </w:t>
      </w:r>
      <w:r>
        <w:t>The</w:t>
      </w:r>
      <w:r>
        <w:rPr>
          <w:spacing w:val="3"/>
        </w:rPr>
        <w:t xml:space="preserve"> </w:t>
      </w:r>
      <w:r>
        <w:rPr>
          <w:spacing w:val="-1"/>
        </w:rPr>
        <w:t>deemed</w:t>
      </w:r>
      <w:r>
        <w:rPr>
          <w:spacing w:val="3"/>
        </w:rPr>
        <w:t xml:space="preserve"> </w:t>
      </w:r>
      <w:r>
        <w:rPr>
          <w:spacing w:val="-1"/>
        </w:rPr>
        <w:t>time</w:t>
      </w:r>
      <w:r>
        <w:rPr>
          <w:spacing w:val="3"/>
        </w:rPr>
        <w:t xml:space="preserve"> </w:t>
      </w:r>
      <w:r>
        <w:rPr>
          <w:spacing w:val="-2"/>
        </w:rPr>
        <w:t>of</w:t>
      </w:r>
      <w:r>
        <w:rPr>
          <w:spacing w:val="6"/>
        </w:rPr>
        <w:t xml:space="preserve"> </w:t>
      </w:r>
      <w:r>
        <w:rPr>
          <w:spacing w:val="-2"/>
        </w:rPr>
        <w:t>delivery</w:t>
      </w:r>
      <w:r>
        <w:rPr>
          <w:spacing w:val="1"/>
        </w:rPr>
        <w:t xml:space="preserve"> </w:t>
      </w:r>
      <w:r>
        <w:rPr>
          <w:spacing w:val="-1"/>
        </w:rPr>
        <w:t>of</w:t>
      </w:r>
      <w:r>
        <w:rPr>
          <w:spacing w:val="6"/>
        </w:rPr>
        <w:t xml:space="preserve"> </w:t>
      </w:r>
      <w:r>
        <w:rPr>
          <w:spacing w:val="-1"/>
        </w:rPr>
        <w:t>such</w:t>
      </w:r>
      <w:r>
        <w:rPr>
          <w:spacing w:val="3"/>
        </w:rPr>
        <w:t xml:space="preserve"> </w:t>
      </w:r>
      <w:r>
        <w:rPr>
          <w:spacing w:val="-1"/>
        </w:rPr>
        <w:t>notice</w:t>
      </w:r>
      <w:r>
        <w:rPr>
          <w:spacing w:val="3"/>
        </w:rPr>
        <w:t xml:space="preserve"> </w:t>
      </w:r>
      <w:r>
        <w:rPr>
          <w:spacing w:val="-1"/>
        </w:rPr>
        <w:t>shall</w:t>
      </w:r>
      <w:r>
        <w:rPr>
          <w:spacing w:val="2"/>
        </w:rPr>
        <w:t xml:space="preserve"> </w:t>
      </w:r>
      <w:r>
        <w:rPr>
          <w:spacing w:val="-1"/>
        </w:rPr>
        <w:t>be</w:t>
      </w:r>
      <w:r>
        <w:rPr>
          <w:spacing w:val="3"/>
        </w:rPr>
        <w:t xml:space="preserve"> </w:t>
      </w:r>
      <w:r>
        <w:t>the</w:t>
      </w:r>
      <w:r>
        <w:rPr>
          <w:spacing w:val="3"/>
        </w:rPr>
        <w:t xml:space="preserve"> </w:t>
      </w:r>
      <w:r>
        <w:rPr>
          <w:spacing w:val="-1"/>
        </w:rPr>
        <w:t>deemed</w:t>
      </w:r>
      <w:r>
        <w:rPr>
          <w:spacing w:val="3"/>
        </w:rPr>
        <w:t xml:space="preserve"> </w:t>
      </w:r>
      <w:r>
        <w:rPr>
          <w:spacing w:val="-1"/>
        </w:rPr>
        <w:t>time</w:t>
      </w:r>
      <w:r>
        <w:rPr>
          <w:spacing w:val="43"/>
        </w:rPr>
        <w:t xml:space="preserve"> </w:t>
      </w:r>
      <w:r>
        <w:rPr>
          <w:spacing w:val="-2"/>
        </w:rPr>
        <w:t>of</w:t>
      </w:r>
      <w:r>
        <w:rPr>
          <w:spacing w:val="42"/>
        </w:rPr>
        <w:t xml:space="preserve"> </w:t>
      </w:r>
      <w:r>
        <w:rPr>
          <w:spacing w:val="-2"/>
        </w:rPr>
        <w:t>delivery</w:t>
      </w:r>
      <w:r>
        <w:rPr>
          <w:spacing w:val="36"/>
        </w:rPr>
        <w:t xml:space="preserve"> </w:t>
      </w:r>
      <w:r>
        <w:rPr>
          <w:spacing w:val="-1"/>
        </w:rPr>
        <w:t>of</w:t>
      </w:r>
      <w:r>
        <w:rPr>
          <w:spacing w:val="40"/>
        </w:rPr>
        <w:t xml:space="preserve"> </w:t>
      </w:r>
      <w:r>
        <w:t>the</w:t>
      </w:r>
      <w:r>
        <w:rPr>
          <w:spacing w:val="38"/>
        </w:rPr>
        <w:t xml:space="preserve"> </w:t>
      </w:r>
      <w:r>
        <w:rPr>
          <w:spacing w:val="-2"/>
        </w:rPr>
        <w:t>original</w:t>
      </w:r>
      <w:r>
        <w:rPr>
          <w:spacing w:val="38"/>
        </w:rPr>
        <w:t xml:space="preserve"> </w:t>
      </w:r>
      <w:r>
        <w:rPr>
          <w:spacing w:val="-1"/>
        </w:rPr>
        <w:t>notice</w:t>
      </w:r>
      <w:r>
        <w:rPr>
          <w:spacing w:val="39"/>
        </w:rPr>
        <w:t xml:space="preserve"> </w:t>
      </w:r>
      <w:r>
        <w:rPr>
          <w:spacing w:val="-1"/>
        </w:rPr>
        <w:t>sent</w:t>
      </w:r>
      <w:r>
        <w:rPr>
          <w:spacing w:val="41"/>
        </w:rPr>
        <w:t xml:space="preserve"> </w:t>
      </w:r>
      <w:r>
        <w:rPr>
          <w:spacing w:val="-1"/>
        </w:rPr>
        <w:t>by</w:t>
      </w:r>
      <w:r>
        <w:rPr>
          <w:spacing w:val="36"/>
        </w:rPr>
        <w:t xml:space="preserve"> </w:t>
      </w:r>
      <w:r>
        <w:rPr>
          <w:spacing w:val="-1"/>
        </w:rPr>
        <w:t>personal</w:t>
      </w:r>
      <w:r>
        <w:rPr>
          <w:spacing w:val="38"/>
        </w:rPr>
        <w:t xml:space="preserve"> </w:t>
      </w:r>
      <w:r>
        <w:rPr>
          <w:spacing w:val="-1"/>
        </w:rPr>
        <w:t>delivery</w:t>
      </w:r>
      <w:r>
        <w:rPr>
          <w:spacing w:val="37"/>
        </w:rPr>
        <w:t xml:space="preserve"> </w:t>
      </w:r>
      <w:r>
        <w:rPr>
          <w:spacing w:val="-1"/>
        </w:rPr>
        <w:t>or</w:t>
      </w:r>
      <w:r>
        <w:rPr>
          <w:spacing w:val="40"/>
        </w:rPr>
        <w:t xml:space="preserve"> </w:t>
      </w:r>
      <w:r>
        <w:rPr>
          <w:spacing w:val="-2"/>
        </w:rPr>
        <w:t>Royal</w:t>
      </w:r>
      <w:r>
        <w:rPr>
          <w:spacing w:val="40"/>
        </w:rPr>
        <w:t xml:space="preserve"> </w:t>
      </w:r>
      <w:r>
        <w:rPr>
          <w:spacing w:val="-2"/>
        </w:rPr>
        <w:t>Mail</w:t>
      </w:r>
      <w:r>
        <w:rPr>
          <w:spacing w:val="39"/>
        </w:rPr>
        <w:t xml:space="preserve"> </w:t>
      </w:r>
      <w:r>
        <w:rPr>
          <w:spacing w:val="-1"/>
        </w:rPr>
        <w:t>Signed</w:t>
      </w:r>
      <w:r>
        <w:rPr>
          <w:spacing w:val="56"/>
        </w:rPr>
        <w:t xml:space="preserve"> </w:t>
      </w:r>
      <w:r>
        <w:rPr>
          <w:spacing w:val="-1"/>
        </w:rPr>
        <w:t>For™</w:t>
      </w:r>
      <w:r>
        <w:rPr>
          <w:spacing w:val="27"/>
        </w:rPr>
        <w:t xml:space="preserve"> </w:t>
      </w:r>
      <w:r>
        <w:rPr>
          <w:spacing w:val="-1"/>
        </w:rPr>
        <w:t>1st</w:t>
      </w:r>
      <w:r>
        <w:rPr>
          <w:spacing w:val="29"/>
        </w:rPr>
        <w:t xml:space="preserve"> </w:t>
      </w:r>
      <w:r>
        <w:rPr>
          <w:spacing w:val="-2"/>
        </w:rPr>
        <w:t>Class</w:t>
      </w:r>
      <w:r>
        <w:rPr>
          <w:spacing w:val="28"/>
        </w:rPr>
        <w:t xml:space="preserve"> </w:t>
      </w:r>
      <w:r>
        <w:rPr>
          <w:spacing w:val="-1"/>
        </w:rPr>
        <w:t>delivery</w:t>
      </w:r>
      <w:r>
        <w:rPr>
          <w:spacing w:val="27"/>
        </w:rPr>
        <w:t xml:space="preserve"> </w:t>
      </w:r>
      <w:r>
        <w:rPr>
          <w:spacing w:val="-1"/>
        </w:rPr>
        <w:t>(as</w:t>
      </w:r>
      <w:r>
        <w:rPr>
          <w:spacing w:val="27"/>
        </w:rPr>
        <w:t xml:space="preserve"> </w:t>
      </w:r>
      <w:r>
        <w:rPr>
          <w:spacing w:val="-1"/>
        </w:rPr>
        <w:t>set</w:t>
      </w:r>
      <w:r>
        <w:rPr>
          <w:spacing w:val="28"/>
        </w:rPr>
        <w:t xml:space="preserve"> </w:t>
      </w:r>
      <w:r>
        <w:rPr>
          <w:spacing w:val="-1"/>
        </w:rPr>
        <w:t>out</w:t>
      </w:r>
      <w:r>
        <w:rPr>
          <w:spacing w:val="28"/>
        </w:rPr>
        <w:t xml:space="preserve"> </w:t>
      </w:r>
      <w:r>
        <w:rPr>
          <w:spacing w:val="-1"/>
        </w:rPr>
        <w:t>in</w:t>
      </w:r>
      <w:r>
        <w:rPr>
          <w:spacing w:val="27"/>
        </w:rPr>
        <w:t xml:space="preserve"> </w:t>
      </w:r>
      <w:r>
        <w:t>the</w:t>
      </w:r>
      <w:r>
        <w:rPr>
          <w:spacing w:val="27"/>
        </w:rPr>
        <w:t xml:space="preserve"> </w:t>
      </w:r>
      <w:r>
        <w:rPr>
          <w:spacing w:val="-1"/>
        </w:rPr>
        <w:t>table</w:t>
      </w:r>
      <w:r>
        <w:rPr>
          <w:spacing w:val="27"/>
        </w:rPr>
        <w:t xml:space="preserve"> </w:t>
      </w:r>
      <w:r>
        <w:rPr>
          <w:spacing w:val="-1"/>
        </w:rPr>
        <w:t>in</w:t>
      </w:r>
      <w:r>
        <w:rPr>
          <w:spacing w:val="27"/>
        </w:rPr>
        <w:t xml:space="preserve"> </w:t>
      </w:r>
      <w:r>
        <w:rPr>
          <w:spacing w:val="-1"/>
        </w:rPr>
        <w:t>Clause</w:t>
      </w:r>
      <w:r>
        <w:rPr>
          <w:spacing w:val="3"/>
        </w:rPr>
        <w:t xml:space="preserve"> </w:t>
      </w:r>
      <w:hyperlink w:anchor="_bookmark275" w:history="1">
        <w:r>
          <w:rPr>
            <w:spacing w:val="-1"/>
          </w:rPr>
          <w:t>55.2</w:t>
        </w:r>
      </w:hyperlink>
      <w:r>
        <w:rPr>
          <w:spacing w:val="-1"/>
        </w:rPr>
        <w:t>)</w:t>
      </w:r>
      <w:r>
        <w:rPr>
          <w:spacing w:val="28"/>
        </w:rPr>
        <w:t xml:space="preserve"> </w:t>
      </w:r>
      <w:r>
        <w:rPr>
          <w:spacing w:val="-1"/>
        </w:rPr>
        <w:t>or,</w:t>
      </w:r>
      <w:r>
        <w:rPr>
          <w:spacing w:val="28"/>
        </w:rPr>
        <w:t xml:space="preserve"> </w:t>
      </w:r>
      <w:r>
        <w:rPr>
          <w:spacing w:val="-1"/>
        </w:rPr>
        <w:t>if</w:t>
      </w:r>
      <w:r>
        <w:rPr>
          <w:spacing w:val="30"/>
        </w:rPr>
        <w:t xml:space="preserve"> </w:t>
      </w:r>
      <w:r>
        <w:rPr>
          <w:spacing w:val="-2"/>
        </w:rPr>
        <w:t>earlier,</w:t>
      </w:r>
      <w:r>
        <w:rPr>
          <w:spacing w:val="28"/>
        </w:rPr>
        <w:t xml:space="preserve"> </w:t>
      </w:r>
      <w:r>
        <w:rPr>
          <w:spacing w:val="-1"/>
        </w:rPr>
        <w:t>the</w:t>
      </w:r>
      <w:r>
        <w:rPr>
          <w:spacing w:val="58"/>
        </w:rPr>
        <w:t xml:space="preserve"> </w:t>
      </w:r>
      <w:r>
        <w:rPr>
          <w:spacing w:val="-1"/>
        </w:rPr>
        <w:t>time</w:t>
      </w:r>
      <w:r>
        <w:rPr>
          <w:spacing w:val="5"/>
        </w:rPr>
        <w:t xml:space="preserve"> </w:t>
      </w:r>
      <w:r>
        <w:rPr>
          <w:spacing w:val="-2"/>
        </w:rPr>
        <w:t>of</w:t>
      </w:r>
      <w:r>
        <w:rPr>
          <w:spacing w:val="9"/>
        </w:rPr>
        <w:t xml:space="preserve"> </w:t>
      </w:r>
      <w:r>
        <w:rPr>
          <w:spacing w:val="-1"/>
        </w:rPr>
        <w:t>response</w:t>
      </w:r>
      <w:r>
        <w:rPr>
          <w:spacing w:val="5"/>
        </w:rPr>
        <w:t xml:space="preserve"> </w:t>
      </w:r>
      <w:r>
        <w:rPr>
          <w:spacing w:val="-1"/>
        </w:rPr>
        <w:t>or</w:t>
      </w:r>
      <w:r>
        <w:rPr>
          <w:spacing w:val="6"/>
        </w:rPr>
        <w:t xml:space="preserve"> </w:t>
      </w:r>
      <w:r>
        <w:rPr>
          <w:spacing w:val="-1"/>
        </w:rPr>
        <w:t>acknowledgement</w:t>
      </w:r>
      <w:r>
        <w:rPr>
          <w:spacing w:val="7"/>
        </w:rPr>
        <w:t xml:space="preserve"> </w:t>
      </w:r>
      <w:r>
        <w:rPr>
          <w:spacing w:val="-1"/>
        </w:rPr>
        <w:t>by</w:t>
      </w:r>
      <w:r>
        <w:rPr>
          <w:spacing w:val="5"/>
        </w:rPr>
        <w:t xml:space="preserve"> </w:t>
      </w:r>
      <w:r>
        <w:t>the</w:t>
      </w:r>
      <w:r>
        <w:rPr>
          <w:spacing w:val="5"/>
        </w:rPr>
        <w:t xml:space="preserve"> </w:t>
      </w:r>
      <w:r>
        <w:rPr>
          <w:spacing w:val="-1"/>
        </w:rPr>
        <w:t>other</w:t>
      </w:r>
      <w:r>
        <w:rPr>
          <w:spacing w:val="6"/>
        </w:rPr>
        <w:t xml:space="preserve"> </w:t>
      </w:r>
      <w:r>
        <w:rPr>
          <w:spacing w:val="-1"/>
        </w:rPr>
        <w:t>Party</w:t>
      </w:r>
      <w:r>
        <w:rPr>
          <w:spacing w:val="3"/>
        </w:rPr>
        <w:t xml:space="preserve"> </w:t>
      </w:r>
      <w:r>
        <w:t>to</w:t>
      </w:r>
      <w:r>
        <w:rPr>
          <w:spacing w:val="5"/>
        </w:rPr>
        <w:t xml:space="preserve"> </w:t>
      </w:r>
      <w:r>
        <w:t>the</w:t>
      </w:r>
      <w:r>
        <w:rPr>
          <w:spacing w:val="5"/>
        </w:rPr>
        <w:t xml:space="preserve"> </w:t>
      </w:r>
      <w:r>
        <w:rPr>
          <w:spacing w:val="-1"/>
        </w:rPr>
        <w:t>email</w:t>
      </w:r>
      <w:r>
        <w:rPr>
          <w:spacing w:val="4"/>
        </w:rPr>
        <w:t xml:space="preserve"> </w:t>
      </w:r>
      <w:r>
        <w:rPr>
          <w:spacing w:val="-1"/>
        </w:rPr>
        <w:t>attaching</w:t>
      </w:r>
      <w:r>
        <w:rPr>
          <w:spacing w:val="7"/>
        </w:rPr>
        <w:t xml:space="preserve"> </w:t>
      </w:r>
      <w:r>
        <w:rPr>
          <w:spacing w:val="-1"/>
        </w:rPr>
        <w:t>the</w:t>
      </w:r>
      <w:r>
        <w:rPr>
          <w:spacing w:val="41"/>
        </w:rPr>
        <w:t xml:space="preserve"> </w:t>
      </w:r>
      <w:r>
        <w:rPr>
          <w:spacing w:val="-1"/>
        </w:rPr>
        <w:t>notice.</w:t>
      </w:r>
    </w:p>
    <w:p w:rsidR="008918FA" w:rsidRDefault="008918FA" w:rsidP="008918FA">
      <w:pPr>
        <w:pStyle w:val="BodyText"/>
        <w:numPr>
          <w:ilvl w:val="1"/>
          <w:numId w:val="66"/>
        </w:numPr>
        <w:tabs>
          <w:tab w:val="left" w:pos="1233"/>
        </w:tabs>
        <w:ind w:left="1028" w:right="111" w:hanging="360"/>
        <w:jc w:val="both"/>
      </w:pPr>
      <w:r>
        <w:rPr>
          <w:spacing w:val="-1"/>
        </w:rPr>
        <w:t>This</w:t>
      </w:r>
      <w:r>
        <w:rPr>
          <w:spacing w:val="4"/>
        </w:rPr>
        <w:t xml:space="preserve"> </w:t>
      </w:r>
      <w:r>
        <w:rPr>
          <w:spacing w:val="-2"/>
        </w:rPr>
        <w:t>Clause</w:t>
      </w:r>
      <w:r>
        <w:rPr>
          <w:spacing w:val="5"/>
        </w:rPr>
        <w:t xml:space="preserve"> </w:t>
      </w:r>
      <w:hyperlink w:anchor="_bookmark274" w:history="1">
        <w:r>
          <w:rPr>
            <w:spacing w:val="-1"/>
          </w:rPr>
          <w:t>55</w:t>
        </w:r>
      </w:hyperlink>
      <w:r>
        <w:rPr>
          <w:spacing w:val="2"/>
        </w:rPr>
        <w:t xml:space="preserve"> </w:t>
      </w:r>
      <w:r>
        <w:rPr>
          <w:spacing w:val="-1"/>
        </w:rPr>
        <w:t>does</w:t>
      </w:r>
      <w:r>
        <w:rPr>
          <w:spacing w:val="4"/>
        </w:rPr>
        <w:t xml:space="preserve"> </w:t>
      </w:r>
      <w:r>
        <w:rPr>
          <w:spacing w:val="-2"/>
        </w:rPr>
        <w:t>not</w:t>
      </w:r>
      <w:r>
        <w:rPr>
          <w:spacing w:val="5"/>
        </w:rPr>
        <w:t xml:space="preserve"> </w:t>
      </w:r>
      <w:r>
        <w:rPr>
          <w:spacing w:val="-1"/>
        </w:rPr>
        <w:t>apply</w:t>
      </w:r>
      <w:r>
        <w:rPr>
          <w:spacing w:val="2"/>
        </w:rPr>
        <w:t xml:space="preserve"> </w:t>
      </w:r>
      <w:r>
        <w:t>to</w:t>
      </w:r>
      <w:r>
        <w:rPr>
          <w:spacing w:val="2"/>
        </w:rPr>
        <w:t xml:space="preserve"> </w:t>
      </w:r>
      <w:r>
        <w:t>the</w:t>
      </w:r>
      <w:r>
        <w:rPr>
          <w:spacing w:val="4"/>
        </w:rPr>
        <w:t xml:space="preserve"> </w:t>
      </w:r>
      <w:r>
        <w:rPr>
          <w:spacing w:val="-2"/>
        </w:rPr>
        <w:t>service</w:t>
      </w:r>
      <w:r>
        <w:rPr>
          <w:spacing w:val="4"/>
        </w:rPr>
        <w:t xml:space="preserve"> </w:t>
      </w:r>
      <w:r>
        <w:rPr>
          <w:spacing w:val="-2"/>
        </w:rPr>
        <w:t>of</w:t>
      </w:r>
      <w:r>
        <w:rPr>
          <w:spacing w:val="8"/>
        </w:rPr>
        <w:t xml:space="preserve"> </w:t>
      </w:r>
      <w:r>
        <w:rPr>
          <w:spacing w:val="-1"/>
        </w:rPr>
        <w:t>any</w:t>
      </w:r>
      <w:r>
        <w:rPr>
          <w:spacing w:val="2"/>
        </w:rPr>
        <w:t xml:space="preserve"> </w:t>
      </w:r>
      <w:r>
        <w:rPr>
          <w:spacing w:val="-1"/>
        </w:rPr>
        <w:t>proceedings</w:t>
      </w:r>
      <w:r>
        <w:rPr>
          <w:spacing w:val="2"/>
        </w:rPr>
        <w:t xml:space="preserve"> </w:t>
      </w:r>
      <w:r>
        <w:rPr>
          <w:spacing w:val="-1"/>
        </w:rPr>
        <w:t>or</w:t>
      </w:r>
      <w:r>
        <w:rPr>
          <w:spacing w:val="3"/>
        </w:rPr>
        <w:t xml:space="preserve"> </w:t>
      </w:r>
      <w:r>
        <w:rPr>
          <w:spacing w:val="-1"/>
        </w:rPr>
        <w:t>other</w:t>
      </w:r>
      <w:r>
        <w:rPr>
          <w:spacing w:val="48"/>
        </w:rPr>
        <w:t xml:space="preserve"> </w:t>
      </w:r>
      <w:r>
        <w:rPr>
          <w:spacing w:val="-1"/>
        </w:rPr>
        <w:t>documents</w:t>
      </w:r>
      <w:r>
        <w:rPr>
          <w:spacing w:val="5"/>
        </w:rPr>
        <w:t xml:space="preserve"> </w:t>
      </w:r>
      <w:r>
        <w:rPr>
          <w:spacing w:val="-1"/>
        </w:rPr>
        <w:t>in</w:t>
      </w:r>
      <w:r>
        <w:rPr>
          <w:spacing w:val="5"/>
        </w:rPr>
        <w:t xml:space="preserve"> </w:t>
      </w:r>
      <w:r>
        <w:rPr>
          <w:spacing w:val="-1"/>
        </w:rPr>
        <w:t>any</w:t>
      </w:r>
      <w:r>
        <w:rPr>
          <w:spacing w:val="3"/>
        </w:rPr>
        <w:t xml:space="preserve"> </w:t>
      </w:r>
      <w:r>
        <w:rPr>
          <w:spacing w:val="-1"/>
        </w:rPr>
        <w:t>legal</w:t>
      </w:r>
      <w:r>
        <w:rPr>
          <w:spacing w:val="4"/>
        </w:rPr>
        <w:t xml:space="preserve"> </w:t>
      </w:r>
      <w:r>
        <w:rPr>
          <w:spacing w:val="-1"/>
        </w:rPr>
        <w:t>action</w:t>
      </w:r>
      <w:r>
        <w:rPr>
          <w:spacing w:val="5"/>
        </w:rPr>
        <w:t xml:space="preserve"> </w:t>
      </w:r>
      <w:r>
        <w:rPr>
          <w:spacing w:val="-1"/>
        </w:rPr>
        <w:t>or,</w:t>
      </w:r>
      <w:r>
        <w:rPr>
          <w:spacing w:val="7"/>
        </w:rPr>
        <w:t xml:space="preserve"> </w:t>
      </w:r>
      <w:r>
        <w:rPr>
          <w:spacing w:val="-2"/>
        </w:rPr>
        <w:t>where</w:t>
      </w:r>
      <w:r>
        <w:rPr>
          <w:spacing w:val="7"/>
        </w:rPr>
        <w:t xml:space="preserve"> </w:t>
      </w:r>
      <w:r>
        <w:rPr>
          <w:spacing w:val="-2"/>
        </w:rPr>
        <w:t>applicable,</w:t>
      </w:r>
      <w:r>
        <w:rPr>
          <w:spacing w:val="7"/>
        </w:rPr>
        <w:t xml:space="preserve"> </w:t>
      </w:r>
      <w:r>
        <w:rPr>
          <w:spacing w:val="-1"/>
        </w:rPr>
        <w:t>any</w:t>
      </w:r>
      <w:r>
        <w:rPr>
          <w:spacing w:val="3"/>
        </w:rPr>
        <w:t xml:space="preserve"> </w:t>
      </w:r>
      <w:r>
        <w:rPr>
          <w:spacing w:val="-1"/>
        </w:rPr>
        <w:t>arbitration</w:t>
      </w:r>
      <w:r>
        <w:rPr>
          <w:spacing w:val="5"/>
        </w:rPr>
        <w:t xml:space="preserve"> </w:t>
      </w:r>
      <w:r>
        <w:rPr>
          <w:spacing w:val="-2"/>
        </w:rPr>
        <w:t>or</w:t>
      </w:r>
      <w:r>
        <w:rPr>
          <w:spacing w:val="6"/>
        </w:rPr>
        <w:t xml:space="preserve"> </w:t>
      </w:r>
      <w:r>
        <w:rPr>
          <w:spacing w:val="-2"/>
        </w:rPr>
        <w:t>other</w:t>
      </w:r>
      <w:r>
        <w:rPr>
          <w:spacing w:val="6"/>
        </w:rPr>
        <w:t xml:space="preserve"> </w:t>
      </w:r>
      <w:r>
        <w:rPr>
          <w:spacing w:val="-1"/>
        </w:rPr>
        <w:t>method</w:t>
      </w:r>
      <w:r>
        <w:rPr>
          <w:spacing w:val="58"/>
        </w:rPr>
        <w:t xml:space="preserve"> </w:t>
      </w:r>
      <w:r>
        <w:rPr>
          <w:spacing w:val="-2"/>
        </w:rPr>
        <w:t>of</w:t>
      </w:r>
      <w:r>
        <w:rPr>
          <w:spacing w:val="16"/>
        </w:rPr>
        <w:t xml:space="preserve"> </w:t>
      </w:r>
      <w:r>
        <w:rPr>
          <w:spacing w:val="-1"/>
        </w:rPr>
        <w:t>dispute</w:t>
      </w:r>
      <w:r>
        <w:rPr>
          <w:spacing w:val="12"/>
        </w:rPr>
        <w:t xml:space="preserve"> </w:t>
      </w:r>
      <w:r>
        <w:rPr>
          <w:spacing w:val="-1"/>
        </w:rPr>
        <w:t>resolution</w:t>
      </w:r>
      <w:r>
        <w:rPr>
          <w:spacing w:val="13"/>
        </w:rPr>
        <w:t xml:space="preserve"> </w:t>
      </w:r>
      <w:r>
        <w:rPr>
          <w:spacing w:val="-1"/>
        </w:rPr>
        <w:t>(other</w:t>
      </w:r>
      <w:r>
        <w:rPr>
          <w:spacing w:val="14"/>
        </w:rPr>
        <w:t xml:space="preserve"> </w:t>
      </w:r>
      <w:r>
        <w:rPr>
          <w:spacing w:val="-1"/>
        </w:rPr>
        <w:t>than</w:t>
      </w:r>
      <w:r>
        <w:rPr>
          <w:spacing w:val="12"/>
        </w:rPr>
        <w:t xml:space="preserve"> </w:t>
      </w:r>
      <w:r>
        <w:t>the</w:t>
      </w:r>
      <w:r>
        <w:rPr>
          <w:spacing w:val="12"/>
        </w:rPr>
        <w:t xml:space="preserve"> </w:t>
      </w:r>
      <w:r>
        <w:rPr>
          <w:spacing w:val="-1"/>
        </w:rPr>
        <w:t>service</w:t>
      </w:r>
      <w:r>
        <w:rPr>
          <w:spacing w:val="13"/>
        </w:rPr>
        <w:t xml:space="preserve"> </w:t>
      </w:r>
      <w:r>
        <w:rPr>
          <w:spacing w:val="-1"/>
        </w:rPr>
        <w:t>of</w:t>
      </w:r>
      <w:r>
        <w:rPr>
          <w:spacing w:val="16"/>
        </w:rPr>
        <w:t xml:space="preserve"> </w:t>
      </w:r>
      <w:r>
        <w:t>a</w:t>
      </w:r>
      <w:r>
        <w:rPr>
          <w:spacing w:val="12"/>
        </w:rPr>
        <w:t xml:space="preserve"> </w:t>
      </w:r>
      <w:r>
        <w:rPr>
          <w:spacing w:val="-1"/>
        </w:rPr>
        <w:t>Dispute</w:t>
      </w:r>
      <w:r>
        <w:rPr>
          <w:spacing w:val="12"/>
        </w:rPr>
        <w:t xml:space="preserve"> </w:t>
      </w:r>
      <w:r>
        <w:rPr>
          <w:spacing w:val="-1"/>
        </w:rPr>
        <w:t>Notice</w:t>
      </w:r>
      <w:r>
        <w:rPr>
          <w:spacing w:val="13"/>
        </w:rPr>
        <w:t xml:space="preserve"> </w:t>
      </w:r>
      <w:r>
        <w:rPr>
          <w:spacing w:val="-1"/>
        </w:rPr>
        <w:t>under</w:t>
      </w:r>
      <w:r>
        <w:rPr>
          <w:spacing w:val="15"/>
        </w:rPr>
        <w:t xml:space="preserve"> </w:t>
      </w:r>
      <w:r>
        <w:t>the</w:t>
      </w:r>
      <w:r>
        <w:rPr>
          <w:spacing w:val="12"/>
        </w:rPr>
        <w:t xml:space="preserve"> </w:t>
      </w:r>
      <w:r>
        <w:rPr>
          <w:spacing w:val="-1"/>
        </w:rPr>
        <w:t>Dispute</w:t>
      </w:r>
      <w:r>
        <w:rPr>
          <w:spacing w:val="41"/>
        </w:rPr>
        <w:t xml:space="preserve"> </w:t>
      </w:r>
      <w:r>
        <w:rPr>
          <w:spacing w:val="-1"/>
        </w:rPr>
        <w:t>Resolution</w:t>
      </w:r>
      <w:r>
        <w:t xml:space="preserve"> </w:t>
      </w:r>
      <w:r>
        <w:rPr>
          <w:spacing w:val="-1"/>
        </w:rPr>
        <w:t>Procedure).</w:t>
      </w:r>
    </w:p>
    <w:p w:rsidR="008918FA" w:rsidRDefault="008918FA" w:rsidP="008918FA">
      <w:pPr>
        <w:pStyle w:val="BodyText"/>
        <w:numPr>
          <w:ilvl w:val="1"/>
          <w:numId w:val="66"/>
        </w:numPr>
        <w:tabs>
          <w:tab w:val="left" w:pos="1233"/>
        </w:tabs>
        <w:ind w:left="1028" w:right="113" w:hanging="360"/>
        <w:jc w:val="both"/>
      </w:pPr>
      <w:bookmarkStart w:id="338" w:name="_bookmark278"/>
      <w:bookmarkEnd w:id="338"/>
      <w:r>
        <w:rPr>
          <w:spacing w:val="-1"/>
        </w:rPr>
        <w:t>For</w:t>
      </w:r>
      <w:r>
        <w:rPr>
          <w:spacing w:val="9"/>
        </w:rPr>
        <w:t xml:space="preserve"> </w:t>
      </w:r>
      <w:r>
        <w:t>the</w:t>
      </w:r>
      <w:r>
        <w:rPr>
          <w:spacing w:val="10"/>
        </w:rPr>
        <w:t xml:space="preserve"> </w:t>
      </w:r>
      <w:r>
        <w:rPr>
          <w:spacing w:val="-1"/>
        </w:rPr>
        <w:t>purposes</w:t>
      </w:r>
      <w:r>
        <w:rPr>
          <w:spacing w:val="10"/>
        </w:rPr>
        <w:t xml:space="preserve"> </w:t>
      </w:r>
      <w:r>
        <w:rPr>
          <w:spacing w:val="-2"/>
        </w:rPr>
        <w:t>of</w:t>
      </w:r>
      <w:r>
        <w:rPr>
          <w:spacing w:val="9"/>
        </w:rPr>
        <w:t xml:space="preserve"> </w:t>
      </w:r>
      <w:r>
        <w:rPr>
          <w:spacing w:val="-1"/>
        </w:rPr>
        <w:t>this</w:t>
      </w:r>
      <w:r>
        <w:rPr>
          <w:spacing w:val="8"/>
        </w:rPr>
        <w:t xml:space="preserve"> </w:t>
      </w:r>
      <w:r>
        <w:rPr>
          <w:spacing w:val="-2"/>
        </w:rPr>
        <w:t>Clause</w:t>
      </w:r>
      <w:r>
        <w:rPr>
          <w:spacing w:val="11"/>
        </w:rPr>
        <w:t xml:space="preserve"> </w:t>
      </w:r>
      <w:hyperlink w:anchor="_bookmark274" w:history="1">
        <w:r>
          <w:rPr>
            <w:spacing w:val="-1"/>
          </w:rPr>
          <w:t>55</w:t>
        </w:r>
      </w:hyperlink>
      <w:r w:rsidR="001C1527">
        <w:rPr>
          <w:spacing w:val="-1"/>
        </w:rPr>
        <w:t>, the</w:t>
      </w:r>
      <w:r>
        <w:rPr>
          <w:spacing w:val="7"/>
        </w:rPr>
        <w:t xml:space="preserve"> </w:t>
      </w:r>
      <w:r>
        <w:rPr>
          <w:spacing w:val="-1"/>
        </w:rPr>
        <w:t>address</w:t>
      </w:r>
      <w:r>
        <w:rPr>
          <w:spacing w:val="10"/>
        </w:rPr>
        <w:t xml:space="preserve"> </w:t>
      </w:r>
      <w:r>
        <w:rPr>
          <w:spacing w:val="-2"/>
        </w:rPr>
        <w:t>and</w:t>
      </w:r>
      <w:r>
        <w:rPr>
          <w:spacing w:val="10"/>
        </w:rPr>
        <w:t xml:space="preserve"> </w:t>
      </w:r>
      <w:r>
        <w:rPr>
          <w:spacing w:val="-1"/>
        </w:rPr>
        <w:t>email</w:t>
      </w:r>
      <w:r>
        <w:rPr>
          <w:spacing w:val="9"/>
        </w:rPr>
        <w:t xml:space="preserve"> </w:t>
      </w:r>
      <w:r>
        <w:rPr>
          <w:spacing w:val="-1"/>
        </w:rPr>
        <w:t>address</w:t>
      </w:r>
      <w:r>
        <w:rPr>
          <w:spacing w:val="11"/>
        </w:rPr>
        <w:t xml:space="preserve"> </w:t>
      </w:r>
      <w:r>
        <w:rPr>
          <w:spacing w:val="-2"/>
        </w:rPr>
        <w:t>of</w:t>
      </w:r>
      <w:r>
        <w:rPr>
          <w:spacing w:val="11"/>
        </w:rPr>
        <w:t xml:space="preserve"> </w:t>
      </w:r>
      <w:r>
        <w:rPr>
          <w:spacing w:val="-2"/>
        </w:rPr>
        <w:t>each</w:t>
      </w:r>
      <w:r>
        <w:rPr>
          <w:spacing w:val="10"/>
        </w:rPr>
        <w:t xml:space="preserve"> </w:t>
      </w:r>
      <w:r>
        <w:rPr>
          <w:spacing w:val="-1"/>
        </w:rPr>
        <w:t>Party</w:t>
      </w:r>
      <w:r>
        <w:rPr>
          <w:spacing w:val="49"/>
        </w:rPr>
        <w:t xml:space="preserve"> </w:t>
      </w:r>
      <w:r>
        <w:rPr>
          <w:spacing w:val="-1"/>
        </w:rPr>
        <w:t>shall</w:t>
      </w:r>
      <w:r>
        <w:t xml:space="preserve"> </w:t>
      </w:r>
      <w:r>
        <w:rPr>
          <w:spacing w:val="-1"/>
        </w:rPr>
        <w:t>be</w:t>
      </w:r>
      <w:r>
        <w:t xml:space="preserve"> the</w:t>
      </w:r>
      <w:r>
        <w:rPr>
          <w:spacing w:val="-2"/>
        </w:rPr>
        <w:t xml:space="preserve"> </w:t>
      </w:r>
      <w:r>
        <w:rPr>
          <w:spacing w:val="-1"/>
        </w:rPr>
        <w:t>address</w:t>
      </w:r>
      <w:r>
        <w:rPr>
          <w:spacing w:val="1"/>
        </w:rPr>
        <w:t xml:space="preserve"> </w:t>
      </w:r>
      <w:r>
        <w:rPr>
          <w:spacing w:val="-1"/>
        </w:rPr>
        <w:t>and</w:t>
      </w:r>
      <w:r>
        <w:rPr>
          <w:spacing w:val="-2"/>
        </w:rPr>
        <w:t xml:space="preserve"> </w:t>
      </w:r>
      <w:r>
        <w:rPr>
          <w:spacing w:val="-1"/>
        </w:rPr>
        <w:t>email</w:t>
      </w:r>
      <w:r>
        <w:t xml:space="preserve"> </w:t>
      </w:r>
      <w:r>
        <w:rPr>
          <w:spacing w:val="-1"/>
        </w:rPr>
        <w:t>address set</w:t>
      </w:r>
      <w:r>
        <w:t xml:space="preserve"> </w:t>
      </w:r>
      <w:r>
        <w:rPr>
          <w:spacing w:val="-1"/>
        </w:rPr>
        <w:t>out</w:t>
      </w:r>
      <w:r>
        <w:t xml:space="preserve"> </w:t>
      </w:r>
      <w:r>
        <w:rPr>
          <w:spacing w:val="-1"/>
        </w:rPr>
        <w:t>in</w:t>
      </w:r>
      <w:r>
        <w:rPr>
          <w:spacing w:val="-2"/>
        </w:rPr>
        <w:t xml:space="preserve"> </w:t>
      </w:r>
      <w:r>
        <w:t>the</w:t>
      </w:r>
      <w:r>
        <w:rPr>
          <w:spacing w:val="-2"/>
        </w:rPr>
        <w:t xml:space="preserve"> </w:t>
      </w:r>
      <w:r>
        <w:rPr>
          <w:spacing w:val="-1"/>
        </w:rPr>
        <w:t>Order</w:t>
      </w:r>
      <w:r>
        <w:rPr>
          <w:spacing w:val="2"/>
        </w:rPr>
        <w:t xml:space="preserve"> </w:t>
      </w:r>
      <w:r>
        <w:rPr>
          <w:spacing w:val="-2"/>
        </w:rPr>
        <w:t>Form.</w:t>
      </w:r>
    </w:p>
    <w:p w:rsidR="008918FA" w:rsidRDefault="008918FA" w:rsidP="008918FA">
      <w:pPr>
        <w:pStyle w:val="BodyText"/>
        <w:numPr>
          <w:ilvl w:val="0"/>
          <w:numId w:val="66"/>
        </w:numPr>
        <w:tabs>
          <w:tab w:val="left" w:pos="667"/>
        </w:tabs>
        <w:spacing w:before="120"/>
        <w:ind w:left="666" w:hanging="566"/>
        <w:rPr>
          <w:rFonts w:ascii="Times New Roman" w:eastAsia="Times New Roman" w:hAnsi="Times New Roman" w:cs="Times New Roman"/>
        </w:rPr>
      </w:pPr>
      <w:bookmarkStart w:id="339" w:name="_bookmark279"/>
      <w:bookmarkEnd w:id="339"/>
      <w:r>
        <w:rPr>
          <w:rFonts w:ascii="Times New Roman"/>
          <w:spacing w:val="-2"/>
        </w:rPr>
        <w:t>D</w:t>
      </w:r>
      <w:r>
        <w:rPr>
          <w:rFonts w:ascii="Times New Roman"/>
          <w:spacing w:val="-12"/>
        </w:rPr>
        <w:t>I</w:t>
      </w:r>
      <w:r>
        <w:rPr>
          <w:rFonts w:ascii="Times New Roman"/>
          <w:spacing w:val="23"/>
        </w:rPr>
        <w:t>S</w:t>
      </w:r>
      <w:r>
        <w:rPr>
          <w:rFonts w:ascii="Times New Roman"/>
        </w:rPr>
        <w:t>P</w:t>
      </w:r>
      <w:r>
        <w:rPr>
          <w:rFonts w:ascii="Times New Roman"/>
          <w:spacing w:val="-32"/>
        </w:rPr>
        <w:t xml:space="preserve"> </w:t>
      </w:r>
      <w:r>
        <w:rPr>
          <w:rFonts w:ascii="Times New Roman"/>
          <w:spacing w:val="-2"/>
        </w:rPr>
        <w:t>UTE</w:t>
      </w:r>
      <w:r>
        <w:rPr>
          <w:rFonts w:ascii="Times New Roman"/>
          <w:spacing w:val="18"/>
        </w:rPr>
        <w:t xml:space="preserve"> </w:t>
      </w:r>
      <w:r>
        <w:rPr>
          <w:rFonts w:ascii="Times New Roman"/>
          <w:spacing w:val="5"/>
        </w:rPr>
        <w:t>RESOLUTION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3"/>
        </w:tabs>
        <w:spacing w:before="0"/>
        <w:ind w:left="1028" w:right="114" w:hanging="360"/>
        <w:jc w:val="both"/>
      </w:pPr>
      <w:r>
        <w:t xml:space="preserve">The </w:t>
      </w:r>
      <w:r>
        <w:rPr>
          <w:spacing w:val="-1"/>
        </w:rPr>
        <w:t>Parties</w:t>
      </w:r>
      <w:r>
        <w:rPr>
          <w:spacing w:val="-2"/>
        </w:rPr>
        <w:t xml:space="preserve"> </w:t>
      </w:r>
      <w:r>
        <w:rPr>
          <w:spacing w:val="-1"/>
        </w:rPr>
        <w:t>shall</w:t>
      </w:r>
      <w:r>
        <w:t xml:space="preserve"> </w:t>
      </w:r>
      <w:r>
        <w:rPr>
          <w:spacing w:val="-1"/>
        </w:rPr>
        <w:t>resolve</w:t>
      </w:r>
      <w:r>
        <w:t xml:space="preserve"> </w:t>
      </w:r>
      <w:r>
        <w:rPr>
          <w:spacing w:val="-1"/>
        </w:rPr>
        <w:t>Disputes</w:t>
      </w:r>
      <w:r>
        <w:rPr>
          <w:spacing w:val="1"/>
        </w:rPr>
        <w:t xml:space="preserve"> </w:t>
      </w:r>
      <w:r>
        <w:rPr>
          <w:spacing w:val="-2"/>
        </w:rPr>
        <w:t>arising</w:t>
      </w:r>
      <w:r>
        <w:rPr>
          <w:spacing w:val="3"/>
        </w:rPr>
        <w:t xml:space="preserve"> </w:t>
      </w:r>
      <w:r>
        <w:rPr>
          <w:spacing w:val="-2"/>
        </w:rPr>
        <w:t>out</w:t>
      </w:r>
      <w:r>
        <w:rPr>
          <w:spacing w:val="2"/>
        </w:rPr>
        <w:t xml:space="preserve"> </w:t>
      </w:r>
      <w:r>
        <w:rPr>
          <w:spacing w:val="-2"/>
        </w:rPr>
        <w:t>of</w:t>
      </w:r>
      <w:r>
        <w:rPr>
          <w:spacing w:val="2"/>
        </w:rPr>
        <w:t xml:space="preserve"> </w:t>
      </w:r>
      <w:r>
        <w:rPr>
          <w:spacing w:val="-2"/>
        </w:rPr>
        <w:t>or</w:t>
      </w:r>
      <w:r>
        <w:rPr>
          <w:spacing w:val="2"/>
        </w:rPr>
        <w:t xml:space="preserve"> </w:t>
      </w:r>
      <w:r>
        <w:rPr>
          <w:spacing w:val="-1"/>
        </w:rPr>
        <w:t>in</w:t>
      </w:r>
      <w:r>
        <w:t xml:space="preserve"> </w:t>
      </w:r>
      <w:r>
        <w:rPr>
          <w:spacing w:val="-1"/>
        </w:rPr>
        <w:t>connection</w:t>
      </w:r>
      <w:r>
        <w:t xml:space="preserve"> </w:t>
      </w:r>
      <w:bookmarkStart w:id="340" w:name="56._DISPUTE_RESOLUTION"/>
      <w:bookmarkEnd w:id="340"/>
      <w:r>
        <w:rPr>
          <w:spacing w:val="-2"/>
        </w:rPr>
        <w:t>with</w:t>
      </w:r>
      <w:r>
        <w:t xml:space="preserve"> </w:t>
      </w:r>
      <w:r>
        <w:rPr>
          <w:spacing w:val="-1"/>
        </w:rPr>
        <w:t xml:space="preserve">this </w:t>
      </w:r>
      <w:r>
        <w:rPr>
          <w:spacing w:val="-2"/>
        </w:rPr>
        <w:t>Call</w:t>
      </w:r>
      <w:r>
        <w:t xml:space="preserve"> </w:t>
      </w:r>
      <w:r>
        <w:rPr>
          <w:spacing w:val="-1"/>
        </w:rPr>
        <w:t>Off</w:t>
      </w:r>
      <w:r>
        <w:rPr>
          <w:spacing w:val="55"/>
        </w:rPr>
        <w:t xml:space="preserve"> </w:t>
      </w:r>
      <w:r>
        <w:rPr>
          <w:spacing w:val="-1"/>
        </w:rPr>
        <w:t>Contract</w:t>
      </w:r>
      <w:r>
        <w:rPr>
          <w:spacing w:val="2"/>
        </w:rPr>
        <w:t xml:space="preserve"> </w:t>
      </w:r>
      <w:r>
        <w:rPr>
          <w:spacing w:val="-1"/>
        </w:rPr>
        <w:t>in</w:t>
      </w:r>
      <w:r>
        <w:t xml:space="preserve"> </w:t>
      </w:r>
      <w:r>
        <w:rPr>
          <w:spacing w:val="-1"/>
        </w:rPr>
        <w:t>accordance</w:t>
      </w:r>
      <w:r>
        <w:rPr>
          <w:spacing w:val="-4"/>
        </w:rPr>
        <w:t xml:space="preserve"> </w:t>
      </w:r>
      <w:r>
        <w:rPr>
          <w:spacing w:val="-1"/>
        </w:rPr>
        <w:t>with</w:t>
      </w:r>
      <w:r>
        <w:t xml:space="preserve"> the</w:t>
      </w:r>
      <w:r>
        <w:rPr>
          <w:spacing w:val="-2"/>
        </w:rPr>
        <w:t xml:space="preserve"> </w:t>
      </w:r>
      <w:r>
        <w:rPr>
          <w:spacing w:val="-1"/>
        </w:rPr>
        <w:t>Dispute</w:t>
      </w:r>
      <w:r>
        <w:t xml:space="preserve"> </w:t>
      </w:r>
      <w:r>
        <w:rPr>
          <w:spacing w:val="-2"/>
        </w:rPr>
        <w:t>Resolution</w:t>
      </w:r>
      <w:r>
        <w:t xml:space="preserve"> </w:t>
      </w:r>
      <w:r>
        <w:rPr>
          <w:spacing w:val="-1"/>
        </w:rPr>
        <w:t>Procedure.</w:t>
      </w:r>
    </w:p>
    <w:p w:rsidR="008918FA" w:rsidRDefault="008918FA" w:rsidP="008918FA">
      <w:pPr>
        <w:pStyle w:val="BodyText"/>
        <w:numPr>
          <w:ilvl w:val="1"/>
          <w:numId w:val="66"/>
        </w:numPr>
        <w:tabs>
          <w:tab w:val="left" w:pos="1234"/>
        </w:tabs>
        <w:ind w:left="1029" w:right="114" w:hanging="360"/>
        <w:jc w:val="both"/>
      </w:pPr>
      <w:r>
        <w:t>The</w:t>
      </w:r>
      <w:r>
        <w:rPr>
          <w:spacing w:val="12"/>
        </w:rPr>
        <w:t xml:space="preserve"> </w:t>
      </w:r>
      <w:r>
        <w:rPr>
          <w:spacing w:val="-2"/>
        </w:rPr>
        <w:t>Supplier</w:t>
      </w:r>
      <w:r>
        <w:rPr>
          <w:spacing w:val="14"/>
        </w:rPr>
        <w:t xml:space="preserve"> </w:t>
      </w:r>
      <w:r>
        <w:rPr>
          <w:spacing w:val="-1"/>
        </w:rPr>
        <w:t>shall</w:t>
      </w:r>
      <w:r>
        <w:rPr>
          <w:spacing w:val="12"/>
        </w:rPr>
        <w:t xml:space="preserve"> </w:t>
      </w:r>
      <w:r>
        <w:rPr>
          <w:spacing w:val="-1"/>
        </w:rPr>
        <w:t>continue</w:t>
      </w:r>
      <w:r>
        <w:rPr>
          <w:spacing w:val="12"/>
        </w:rPr>
        <w:t xml:space="preserve"> </w:t>
      </w:r>
      <w:r>
        <w:t>to</w:t>
      </w:r>
      <w:r>
        <w:rPr>
          <w:spacing w:val="12"/>
        </w:rPr>
        <w:t xml:space="preserve"> </w:t>
      </w:r>
      <w:r>
        <w:rPr>
          <w:spacing w:val="-2"/>
        </w:rPr>
        <w:t>provide</w:t>
      </w:r>
      <w:r>
        <w:rPr>
          <w:spacing w:val="12"/>
        </w:rPr>
        <w:t xml:space="preserve"> </w:t>
      </w:r>
      <w:r>
        <w:t>the</w:t>
      </w:r>
      <w:r>
        <w:rPr>
          <w:spacing w:val="12"/>
        </w:rPr>
        <w:t xml:space="preserve"> </w:t>
      </w:r>
      <w:r>
        <w:rPr>
          <w:spacing w:val="-1"/>
        </w:rPr>
        <w:t>Goods</w:t>
      </w:r>
      <w:r>
        <w:rPr>
          <w:spacing w:val="10"/>
        </w:rPr>
        <w:t xml:space="preserve"> </w:t>
      </w:r>
      <w:r>
        <w:rPr>
          <w:spacing w:val="-1"/>
        </w:rPr>
        <w:t>and/or</w:t>
      </w:r>
      <w:r>
        <w:rPr>
          <w:spacing w:val="11"/>
        </w:rPr>
        <w:t xml:space="preserve"> </w:t>
      </w:r>
      <w:r>
        <w:rPr>
          <w:spacing w:val="-1"/>
        </w:rPr>
        <w:t>Services</w:t>
      </w:r>
      <w:r>
        <w:rPr>
          <w:spacing w:val="15"/>
        </w:rPr>
        <w:t xml:space="preserve"> </w:t>
      </w:r>
      <w:r>
        <w:rPr>
          <w:spacing w:val="-1"/>
        </w:rPr>
        <w:t>in</w:t>
      </w:r>
      <w:r>
        <w:rPr>
          <w:spacing w:val="12"/>
        </w:rPr>
        <w:t xml:space="preserve"> </w:t>
      </w:r>
      <w:r>
        <w:rPr>
          <w:spacing w:val="-1"/>
        </w:rPr>
        <w:t>accordance</w:t>
      </w:r>
      <w:r>
        <w:rPr>
          <w:spacing w:val="38"/>
        </w:rPr>
        <w:t xml:space="preserve"> </w:t>
      </w:r>
      <w:r>
        <w:rPr>
          <w:spacing w:val="-1"/>
        </w:rPr>
        <w:t>with</w:t>
      </w:r>
      <w:r>
        <w:t xml:space="preserve"> the</w:t>
      </w:r>
      <w:r>
        <w:rPr>
          <w:spacing w:val="-2"/>
        </w:rPr>
        <w:t xml:space="preserve"> </w:t>
      </w:r>
      <w:r>
        <w:rPr>
          <w:spacing w:val="-1"/>
        </w:rPr>
        <w:t>terms</w:t>
      </w:r>
      <w:r>
        <w:rPr>
          <w:spacing w:val="-2"/>
        </w:rPr>
        <w:t xml:space="preserve"> of</w:t>
      </w:r>
      <w: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Contract</w:t>
      </w:r>
      <w:r>
        <w:t xml:space="preserve"> </w:t>
      </w:r>
      <w:r>
        <w:rPr>
          <w:spacing w:val="-1"/>
        </w:rPr>
        <w:t>until</w:t>
      </w:r>
      <w:r>
        <w:t xml:space="preserve"> a </w:t>
      </w:r>
      <w:r>
        <w:rPr>
          <w:spacing w:val="-1"/>
        </w:rPr>
        <w:t>Dispute</w:t>
      </w:r>
      <w:r>
        <w:t xml:space="preserve"> </w:t>
      </w:r>
      <w:r>
        <w:rPr>
          <w:spacing w:val="-1"/>
        </w:rPr>
        <w:t>has</w:t>
      </w:r>
      <w:r>
        <w:rPr>
          <w:spacing w:val="-2"/>
        </w:rPr>
        <w:t xml:space="preserve"> </w:t>
      </w:r>
      <w:r>
        <w:rPr>
          <w:spacing w:val="-1"/>
        </w:rPr>
        <w:t>been</w:t>
      </w:r>
      <w:r>
        <w:rPr>
          <w:spacing w:val="-2"/>
        </w:rPr>
        <w:t xml:space="preserve"> resolved.</w:t>
      </w:r>
    </w:p>
    <w:p w:rsidR="008918FA" w:rsidRDefault="008918FA" w:rsidP="008918FA">
      <w:pPr>
        <w:pStyle w:val="BodyText"/>
        <w:numPr>
          <w:ilvl w:val="0"/>
          <w:numId w:val="66"/>
        </w:numPr>
        <w:tabs>
          <w:tab w:val="left" w:pos="667"/>
        </w:tabs>
        <w:spacing w:before="120"/>
        <w:ind w:left="666" w:hanging="566"/>
        <w:rPr>
          <w:rFonts w:ascii="Times New Roman" w:eastAsia="Times New Roman" w:hAnsi="Times New Roman" w:cs="Times New Roman"/>
        </w:rPr>
      </w:pPr>
      <w:bookmarkStart w:id="341" w:name="_bookmark280"/>
      <w:bookmarkEnd w:id="341"/>
      <w:r>
        <w:rPr>
          <w:rFonts w:ascii="Times New Roman"/>
          <w:spacing w:val="1"/>
        </w:rPr>
        <w:t>GOVERNING</w:t>
      </w:r>
      <w:r>
        <w:rPr>
          <w:rFonts w:ascii="Times New Roman"/>
          <w:spacing w:val="20"/>
        </w:rPr>
        <w:t xml:space="preserve"> </w:t>
      </w:r>
      <w:r>
        <w:rPr>
          <w:rFonts w:ascii="Times New Roman"/>
          <w:spacing w:val="-3"/>
        </w:rPr>
        <w:t>LAW</w:t>
      </w:r>
      <w:r>
        <w:rPr>
          <w:rFonts w:ascii="Times New Roman"/>
          <w:spacing w:val="10"/>
        </w:rPr>
        <w:t xml:space="preserve"> </w:t>
      </w:r>
      <w:r>
        <w:rPr>
          <w:rFonts w:ascii="Times New Roman"/>
          <w:spacing w:val="-2"/>
        </w:rPr>
        <w:t>AND</w:t>
      </w:r>
      <w:r>
        <w:rPr>
          <w:rFonts w:ascii="Times New Roman"/>
          <w:spacing w:val="8"/>
        </w:rPr>
        <w:t xml:space="preserve"> </w:t>
      </w:r>
      <w:r>
        <w:rPr>
          <w:rFonts w:ascii="Times New Roman"/>
        </w:rPr>
        <w:t>J</w:t>
      </w:r>
      <w:r>
        <w:rPr>
          <w:rFonts w:ascii="Times New Roman"/>
          <w:spacing w:val="-19"/>
        </w:rPr>
        <w:t xml:space="preserve"> </w:t>
      </w:r>
      <w:r>
        <w:rPr>
          <w:rFonts w:ascii="Times New Roman"/>
          <w:spacing w:val="-1"/>
        </w:rPr>
        <w:t>URIS</w:t>
      </w:r>
      <w:r>
        <w:rPr>
          <w:rFonts w:ascii="Times New Roman"/>
          <w:spacing w:val="-32"/>
        </w:rPr>
        <w:t xml:space="preserve"> </w:t>
      </w:r>
      <w:r>
        <w:rPr>
          <w:rFonts w:ascii="Times New Roman"/>
          <w:spacing w:val="-1"/>
        </w:rPr>
        <w:t>DICTION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66"/>
        </w:numPr>
        <w:tabs>
          <w:tab w:val="left" w:pos="1234"/>
        </w:tabs>
        <w:spacing w:before="0"/>
        <w:ind w:left="1029" w:right="113" w:hanging="360"/>
        <w:jc w:val="both"/>
      </w:pPr>
      <w:r>
        <w:rPr>
          <w:spacing w:val="-1"/>
        </w:rPr>
        <w:t>This</w:t>
      </w:r>
      <w:r>
        <w:rPr>
          <w:spacing w:val="3"/>
        </w:rPr>
        <w:t xml:space="preserve"> </w:t>
      </w:r>
      <w:r>
        <w:rPr>
          <w:spacing w:val="-2"/>
        </w:rPr>
        <w:t>Call</w:t>
      </w:r>
      <w:r>
        <w:rPr>
          <w:spacing w:val="2"/>
        </w:rPr>
        <w:t xml:space="preserve"> </w:t>
      </w:r>
      <w:r>
        <w:t>Off</w:t>
      </w:r>
      <w:r>
        <w:rPr>
          <w:spacing w:val="4"/>
        </w:rPr>
        <w:t xml:space="preserve"> </w:t>
      </w:r>
      <w:r>
        <w:rPr>
          <w:spacing w:val="-1"/>
        </w:rPr>
        <w:t>Contract</w:t>
      </w:r>
      <w:r>
        <w:rPr>
          <w:spacing w:val="4"/>
        </w:rPr>
        <w:t xml:space="preserve"> </w:t>
      </w:r>
      <w:r>
        <w:rPr>
          <w:spacing w:val="-2"/>
        </w:rPr>
        <w:t>and</w:t>
      </w:r>
      <w:r>
        <w:rPr>
          <w:spacing w:val="3"/>
        </w:rPr>
        <w:t xml:space="preserve"> </w:t>
      </w:r>
      <w:r>
        <w:rPr>
          <w:spacing w:val="-1"/>
        </w:rPr>
        <w:t>any</w:t>
      </w:r>
      <w:r>
        <w:rPr>
          <w:spacing w:val="3"/>
        </w:rPr>
        <w:t xml:space="preserve"> </w:t>
      </w:r>
      <w:r>
        <w:rPr>
          <w:spacing w:val="-1"/>
        </w:rPr>
        <w:t>issues,</w:t>
      </w:r>
      <w:r>
        <w:rPr>
          <w:spacing w:val="5"/>
        </w:rPr>
        <w:t xml:space="preserve"> </w:t>
      </w:r>
      <w:r>
        <w:rPr>
          <w:spacing w:val="-1"/>
        </w:rPr>
        <w:t>Disputes</w:t>
      </w:r>
      <w:r>
        <w:rPr>
          <w:spacing w:val="3"/>
        </w:rPr>
        <w:t xml:space="preserve"> </w:t>
      </w:r>
      <w:r>
        <w:rPr>
          <w:spacing w:val="-1"/>
        </w:rPr>
        <w:t>or</w:t>
      </w:r>
      <w:r>
        <w:rPr>
          <w:spacing w:val="4"/>
        </w:rPr>
        <w:t xml:space="preserve"> </w:t>
      </w:r>
      <w:r>
        <w:rPr>
          <w:spacing w:val="-1"/>
        </w:rPr>
        <w:t>claims</w:t>
      </w:r>
      <w:r>
        <w:rPr>
          <w:spacing w:val="3"/>
        </w:rPr>
        <w:t xml:space="preserve"> </w:t>
      </w:r>
      <w:r>
        <w:rPr>
          <w:spacing w:val="-1"/>
        </w:rPr>
        <w:t>(whether</w:t>
      </w:r>
      <w:r>
        <w:rPr>
          <w:spacing w:val="4"/>
        </w:rPr>
        <w:t xml:space="preserve"> </w:t>
      </w:r>
      <w:r>
        <w:rPr>
          <w:spacing w:val="-1"/>
        </w:rPr>
        <w:t>contractual</w:t>
      </w:r>
      <w:r>
        <w:rPr>
          <w:spacing w:val="2"/>
        </w:rPr>
        <w:t xml:space="preserve"> </w:t>
      </w:r>
      <w:r>
        <w:rPr>
          <w:spacing w:val="-1"/>
        </w:rPr>
        <w:t>or</w:t>
      </w:r>
      <w:r>
        <w:rPr>
          <w:spacing w:val="50"/>
        </w:rPr>
        <w:t xml:space="preserve"> </w:t>
      </w:r>
      <w:r>
        <w:rPr>
          <w:spacing w:val="-1"/>
        </w:rPr>
        <w:t>non-contractual)</w:t>
      </w:r>
      <w:r>
        <w:rPr>
          <w:spacing w:val="57"/>
        </w:rPr>
        <w:t xml:space="preserve"> </w:t>
      </w:r>
      <w:r>
        <w:rPr>
          <w:spacing w:val="-1"/>
        </w:rPr>
        <w:t>arising</w:t>
      </w:r>
      <w:r>
        <w:rPr>
          <w:spacing w:val="55"/>
        </w:rPr>
        <w:t xml:space="preserve"> </w:t>
      </w:r>
      <w:r>
        <w:rPr>
          <w:spacing w:val="-1"/>
        </w:rPr>
        <w:t>out</w:t>
      </w:r>
      <w:r>
        <w:rPr>
          <w:spacing w:val="57"/>
        </w:rPr>
        <w:t xml:space="preserve"> </w:t>
      </w:r>
      <w:r>
        <w:rPr>
          <w:spacing w:val="-2"/>
        </w:rPr>
        <w:t>of</w:t>
      </w:r>
      <w:r>
        <w:rPr>
          <w:spacing w:val="59"/>
        </w:rPr>
        <w:t xml:space="preserve"> </w:t>
      </w:r>
      <w:r>
        <w:rPr>
          <w:spacing w:val="-1"/>
        </w:rPr>
        <w:t>or</w:t>
      </w:r>
      <w:r>
        <w:rPr>
          <w:spacing w:val="57"/>
        </w:rPr>
        <w:t xml:space="preserve"> </w:t>
      </w:r>
      <w:r>
        <w:rPr>
          <w:spacing w:val="-1"/>
        </w:rPr>
        <w:t>in</w:t>
      </w:r>
      <w:r>
        <w:rPr>
          <w:spacing w:val="55"/>
        </w:rPr>
        <w:t xml:space="preserve"> </w:t>
      </w:r>
      <w:r>
        <w:rPr>
          <w:spacing w:val="-1"/>
        </w:rPr>
        <w:t>connection</w:t>
      </w:r>
      <w:r>
        <w:rPr>
          <w:spacing w:val="56"/>
        </w:rPr>
        <w:t xml:space="preserve"> </w:t>
      </w:r>
      <w:r>
        <w:rPr>
          <w:spacing w:val="-1"/>
        </w:rPr>
        <w:t>with</w:t>
      </w:r>
      <w:r>
        <w:rPr>
          <w:spacing w:val="55"/>
        </w:rPr>
        <w:t xml:space="preserve"> </w:t>
      </w:r>
      <w:r>
        <w:rPr>
          <w:spacing w:val="-1"/>
        </w:rPr>
        <w:t>it</w:t>
      </w:r>
      <w:r>
        <w:rPr>
          <w:spacing w:val="57"/>
        </w:rPr>
        <w:t xml:space="preserve"> </w:t>
      </w:r>
      <w:r>
        <w:rPr>
          <w:spacing w:val="-1"/>
        </w:rPr>
        <w:t>or</w:t>
      </w:r>
      <w:r>
        <w:rPr>
          <w:spacing w:val="57"/>
        </w:rPr>
        <w:t xml:space="preserve"> </w:t>
      </w:r>
      <w:r>
        <w:rPr>
          <w:spacing w:val="-1"/>
        </w:rPr>
        <w:t>its</w:t>
      </w:r>
      <w:r>
        <w:rPr>
          <w:spacing w:val="56"/>
        </w:rPr>
        <w:t xml:space="preserve"> </w:t>
      </w:r>
      <w:r>
        <w:rPr>
          <w:spacing w:val="-1"/>
        </w:rPr>
        <w:t>subject</w:t>
      </w:r>
      <w:r>
        <w:rPr>
          <w:spacing w:val="55"/>
        </w:rPr>
        <w:t xml:space="preserve"> </w:t>
      </w:r>
      <w:r>
        <w:rPr>
          <w:spacing w:val="-1"/>
        </w:rPr>
        <w:t>matter</w:t>
      </w:r>
      <w:r>
        <w:rPr>
          <w:spacing w:val="55"/>
        </w:rPr>
        <w:t xml:space="preserve"> </w:t>
      </w:r>
      <w:r>
        <w:rPr>
          <w:spacing w:val="-2"/>
        </w:rPr>
        <w:t>or</w:t>
      </w:r>
      <w:r>
        <w:rPr>
          <w:spacing w:val="37"/>
        </w:rPr>
        <w:t xml:space="preserve"> </w:t>
      </w:r>
      <w:r>
        <w:rPr>
          <w:spacing w:val="-1"/>
        </w:rPr>
        <w:t>formation</w:t>
      </w:r>
      <w:r>
        <w:rPr>
          <w:spacing w:val="53"/>
        </w:rPr>
        <w:t xml:space="preserve"> </w:t>
      </w:r>
      <w:r>
        <w:rPr>
          <w:spacing w:val="-1"/>
        </w:rPr>
        <w:t>shall</w:t>
      </w:r>
      <w:r>
        <w:rPr>
          <w:spacing w:val="52"/>
        </w:rPr>
        <w:t xml:space="preserve"> </w:t>
      </w:r>
      <w:r>
        <w:rPr>
          <w:spacing w:val="-1"/>
        </w:rPr>
        <w:t>be</w:t>
      </w:r>
      <w:r>
        <w:rPr>
          <w:spacing w:val="53"/>
        </w:rPr>
        <w:t xml:space="preserve"> </w:t>
      </w:r>
      <w:r>
        <w:rPr>
          <w:spacing w:val="-1"/>
        </w:rPr>
        <w:t>governed</w:t>
      </w:r>
      <w:r>
        <w:rPr>
          <w:spacing w:val="53"/>
        </w:rPr>
        <w:t xml:space="preserve"> </w:t>
      </w:r>
      <w:r>
        <w:rPr>
          <w:spacing w:val="-1"/>
        </w:rPr>
        <w:t>by</w:t>
      </w:r>
      <w:r>
        <w:rPr>
          <w:spacing w:val="51"/>
        </w:rPr>
        <w:t xml:space="preserve"> </w:t>
      </w:r>
      <w:r>
        <w:rPr>
          <w:spacing w:val="-1"/>
        </w:rPr>
        <w:t>and</w:t>
      </w:r>
      <w:r>
        <w:rPr>
          <w:spacing w:val="55"/>
        </w:rPr>
        <w:t xml:space="preserve"> </w:t>
      </w:r>
      <w:r>
        <w:rPr>
          <w:spacing w:val="-1"/>
        </w:rPr>
        <w:t>construed</w:t>
      </w:r>
      <w:r>
        <w:rPr>
          <w:spacing w:val="52"/>
        </w:rPr>
        <w:t xml:space="preserve"> </w:t>
      </w:r>
      <w:r>
        <w:rPr>
          <w:spacing w:val="-1"/>
        </w:rPr>
        <w:t>in</w:t>
      </w:r>
      <w:r>
        <w:rPr>
          <w:spacing w:val="53"/>
        </w:rPr>
        <w:t xml:space="preserve"> </w:t>
      </w:r>
      <w:r>
        <w:rPr>
          <w:spacing w:val="-1"/>
        </w:rPr>
        <w:t>accordance</w:t>
      </w:r>
      <w:r>
        <w:rPr>
          <w:spacing w:val="56"/>
        </w:rPr>
        <w:t xml:space="preserve"> </w:t>
      </w:r>
      <w:r>
        <w:rPr>
          <w:spacing w:val="-2"/>
        </w:rPr>
        <w:t>with</w:t>
      </w:r>
      <w:r>
        <w:rPr>
          <w:spacing w:val="55"/>
        </w:rPr>
        <w:t xml:space="preserve"> </w:t>
      </w:r>
      <w:r>
        <w:rPr>
          <w:spacing w:val="1"/>
        </w:rPr>
        <w:t>the</w:t>
      </w:r>
      <w:r>
        <w:rPr>
          <w:spacing w:val="53"/>
        </w:rPr>
        <w:t xml:space="preserve"> </w:t>
      </w:r>
      <w:r>
        <w:rPr>
          <w:spacing w:val="-1"/>
        </w:rPr>
        <w:t>laws</w:t>
      </w:r>
      <w:r>
        <w:rPr>
          <w:spacing w:val="53"/>
        </w:rPr>
        <w:t xml:space="preserve"> </w:t>
      </w:r>
      <w:r>
        <w:rPr>
          <w:spacing w:val="-1"/>
        </w:rPr>
        <w:t>of</w:t>
      </w:r>
      <w:r>
        <w:rPr>
          <w:spacing w:val="50"/>
        </w:rPr>
        <w:t xml:space="preserve"> </w:t>
      </w:r>
      <w:r>
        <w:rPr>
          <w:spacing w:val="-1"/>
        </w:rPr>
        <w:t>England</w:t>
      </w:r>
      <w:r>
        <w:t xml:space="preserve"> </w:t>
      </w:r>
      <w:r>
        <w:rPr>
          <w:spacing w:val="-1"/>
        </w:rPr>
        <w:t>and</w:t>
      </w:r>
      <w:r>
        <w:rPr>
          <w:spacing w:val="-7"/>
        </w:rPr>
        <w:t xml:space="preserve"> </w:t>
      </w:r>
      <w:r>
        <w:rPr>
          <w:spacing w:val="-1"/>
        </w:rPr>
        <w:t>Wales.</w:t>
      </w:r>
    </w:p>
    <w:p w:rsidR="008918FA" w:rsidRDefault="008918FA" w:rsidP="008918FA">
      <w:pPr>
        <w:pStyle w:val="BodyText"/>
        <w:numPr>
          <w:ilvl w:val="1"/>
          <w:numId w:val="66"/>
        </w:numPr>
        <w:tabs>
          <w:tab w:val="left" w:pos="1234"/>
        </w:tabs>
        <w:spacing w:before="121"/>
        <w:ind w:left="1029" w:right="110" w:hanging="360"/>
        <w:jc w:val="both"/>
      </w:pPr>
      <w:r>
        <w:rPr>
          <w:spacing w:val="-1"/>
        </w:rPr>
        <w:t>Subject</w:t>
      </w:r>
      <w:r>
        <w:rPr>
          <w:spacing w:val="48"/>
        </w:rPr>
        <w:t xml:space="preserve"> </w:t>
      </w:r>
      <w:r>
        <w:t>to</w:t>
      </w:r>
      <w:r>
        <w:rPr>
          <w:spacing w:val="48"/>
        </w:rPr>
        <w:t xml:space="preserve"> </w:t>
      </w:r>
      <w:r>
        <w:rPr>
          <w:spacing w:val="-2"/>
        </w:rPr>
        <w:t>Clause</w:t>
      </w:r>
      <w:r>
        <w:rPr>
          <w:spacing w:val="1"/>
        </w:rPr>
        <w:t xml:space="preserve"> </w:t>
      </w:r>
      <w:hyperlink w:anchor="_bookmark279" w:history="1">
        <w:r>
          <w:rPr>
            <w:spacing w:val="-1"/>
          </w:rPr>
          <w:t>56</w:t>
        </w:r>
      </w:hyperlink>
      <w:r>
        <w:rPr>
          <w:spacing w:val="48"/>
        </w:rPr>
        <w:t xml:space="preserve"> </w:t>
      </w:r>
      <w:r>
        <w:rPr>
          <w:spacing w:val="-1"/>
        </w:rPr>
        <w:t>(Dispute</w:t>
      </w:r>
      <w:r>
        <w:rPr>
          <w:spacing w:val="49"/>
        </w:rPr>
        <w:t xml:space="preserve"> </w:t>
      </w:r>
      <w:r>
        <w:rPr>
          <w:spacing w:val="-1"/>
        </w:rPr>
        <w:t>Resolution)</w:t>
      </w:r>
      <w:r>
        <w:rPr>
          <w:spacing w:val="49"/>
        </w:rPr>
        <w:t xml:space="preserve"> </w:t>
      </w:r>
      <w:r>
        <w:rPr>
          <w:spacing w:val="-1"/>
        </w:rPr>
        <w:t>and</w:t>
      </w:r>
      <w:r>
        <w:rPr>
          <w:spacing w:val="48"/>
        </w:rPr>
        <w:t xml:space="preserve"> </w:t>
      </w:r>
      <w:r>
        <w:rPr>
          <w:spacing w:val="-2"/>
        </w:rPr>
        <w:t>Call</w:t>
      </w:r>
      <w:r>
        <w:rPr>
          <w:spacing w:val="48"/>
        </w:rPr>
        <w:t xml:space="preserve"> </w:t>
      </w:r>
      <w:r>
        <w:t>Off</w:t>
      </w:r>
      <w:r>
        <w:rPr>
          <w:spacing w:val="50"/>
        </w:rPr>
        <w:t xml:space="preserve"> </w:t>
      </w:r>
      <w:r>
        <w:rPr>
          <w:spacing w:val="-1"/>
        </w:rPr>
        <w:t>Schedule</w:t>
      </w:r>
      <w:r>
        <w:rPr>
          <w:spacing w:val="49"/>
        </w:rPr>
        <w:t xml:space="preserve"> </w:t>
      </w:r>
      <w:r>
        <w:rPr>
          <w:spacing w:val="-1"/>
        </w:rPr>
        <w:t>12</w:t>
      </w:r>
      <w:r>
        <w:t xml:space="preserve"> </w:t>
      </w:r>
      <w:r>
        <w:rPr>
          <w:spacing w:val="-1"/>
        </w:rPr>
        <w:t>(Dispute</w:t>
      </w:r>
      <w:r>
        <w:rPr>
          <w:spacing w:val="39"/>
        </w:rPr>
        <w:t xml:space="preserve"> </w:t>
      </w:r>
      <w:r>
        <w:rPr>
          <w:spacing w:val="-1"/>
        </w:rPr>
        <w:t>Resolution</w:t>
      </w:r>
      <w:r>
        <w:rPr>
          <w:spacing w:val="11"/>
        </w:rPr>
        <w:t xml:space="preserve"> </w:t>
      </w:r>
      <w:r>
        <w:rPr>
          <w:spacing w:val="-1"/>
        </w:rPr>
        <w:t>Procedure)</w:t>
      </w:r>
      <w:r>
        <w:rPr>
          <w:spacing w:val="10"/>
        </w:rPr>
        <w:t xml:space="preserve"> </w:t>
      </w:r>
      <w:r>
        <w:rPr>
          <w:spacing w:val="-1"/>
        </w:rPr>
        <w:t>(including</w:t>
      </w:r>
      <w:r>
        <w:rPr>
          <w:spacing w:val="11"/>
        </w:rPr>
        <w:t xml:space="preserve"> </w:t>
      </w:r>
      <w:r>
        <w:t>the</w:t>
      </w:r>
      <w:r>
        <w:rPr>
          <w:spacing w:val="11"/>
        </w:rPr>
        <w:t xml:space="preserve"> </w:t>
      </w:r>
      <w:r>
        <w:rPr>
          <w:spacing w:val="-2"/>
        </w:rPr>
        <w:t>Customer’s</w:t>
      </w:r>
      <w:r>
        <w:rPr>
          <w:spacing w:val="12"/>
        </w:rPr>
        <w:t xml:space="preserve"> </w:t>
      </w:r>
      <w:r>
        <w:rPr>
          <w:spacing w:val="-1"/>
        </w:rPr>
        <w:t>right</w:t>
      </w:r>
      <w:r>
        <w:rPr>
          <w:spacing w:val="10"/>
        </w:rPr>
        <w:t xml:space="preserve"> </w:t>
      </w:r>
      <w:r>
        <w:t>to</w:t>
      </w:r>
      <w:r>
        <w:rPr>
          <w:spacing w:val="9"/>
        </w:rPr>
        <w:t xml:space="preserve"> </w:t>
      </w:r>
      <w:r>
        <w:rPr>
          <w:spacing w:val="-1"/>
        </w:rPr>
        <w:t>refer</w:t>
      </w:r>
      <w:r>
        <w:rPr>
          <w:spacing w:val="10"/>
        </w:rPr>
        <w:t xml:space="preserve"> </w:t>
      </w:r>
      <w:r>
        <w:t>the</w:t>
      </w:r>
      <w:r>
        <w:rPr>
          <w:spacing w:val="11"/>
        </w:rPr>
        <w:t xml:space="preserve"> </w:t>
      </w:r>
      <w:r>
        <w:rPr>
          <w:spacing w:val="-1"/>
        </w:rPr>
        <w:t>Dispute</w:t>
      </w:r>
      <w:r>
        <w:rPr>
          <w:spacing w:val="11"/>
        </w:rPr>
        <w:t xml:space="preserve"> </w:t>
      </w:r>
      <w:r>
        <w:rPr>
          <w:spacing w:val="-1"/>
        </w:rPr>
        <w:t>to</w:t>
      </w:r>
      <w:r>
        <w:rPr>
          <w:spacing w:val="39"/>
        </w:rPr>
        <w:t xml:space="preserve"> </w:t>
      </w:r>
      <w:r>
        <w:rPr>
          <w:spacing w:val="-1"/>
        </w:rPr>
        <w:t>arbitration),</w:t>
      </w:r>
      <w:r>
        <w:rPr>
          <w:spacing w:val="45"/>
        </w:rPr>
        <w:t xml:space="preserve"> </w:t>
      </w:r>
      <w:r>
        <w:t>the</w:t>
      </w:r>
      <w:r>
        <w:rPr>
          <w:spacing w:val="43"/>
        </w:rPr>
        <w:t xml:space="preserve"> </w:t>
      </w:r>
      <w:r>
        <w:rPr>
          <w:spacing w:val="-1"/>
        </w:rPr>
        <w:t>Parties</w:t>
      </w:r>
      <w:r>
        <w:rPr>
          <w:spacing w:val="41"/>
        </w:rPr>
        <w:t xml:space="preserve"> </w:t>
      </w:r>
      <w:r>
        <w:rPr>
          <w:spacing w:val="-1"/>
        </w:rPr>
        <w:t>agree</w:t>
      </w:r>
      <w:r>
        <w:rPr>
          <w:spacing w:val="46"/>
        </w:rPr>
        <w:t xml:space="preserve"> </w:t>
      </w:r>
      <w:r>
        <w:rPr>
          <w:spacing w:val="-1"/>
        </w:rPr>
        <w:t>that</w:t>
      </w:r>
      <w:r>
        <w:rPr>
          <w:spacing w:val="45"/>
        </w:rPr>
        <w:t xml:space="preserve"> </w:t>
      </w:r>
      <w:r>
        <w:t>the</w:t>
      </w:r>
      <w:r>
        <w:rPr>
          <w:spacing w:val="46"/>
        </w:rPr>
        <w:t xml:space="preserve"> </w:t>
      </w:r>
      <w:r>
        <w:rPr>
          <w:spacing w:val="-1"/>
        </w:rPr>
        <w:t>courts</w:t>
      </w:r>
      <w:r>
        <w:rPr>
          <w:spacing w:val="47"/>
        </w:rPr>
        <w:t xml:space="preserve"> </w:t>
      </w:r>
      <w:r>
        <w:rPr>
          <w:spacing w:val="-2"/>
        </w:rPr>
        <w:t>of</w:t>
      </w:r>
      <w:r>
        <w:rPr>
          <w:spacing w:val="45"/>
        </w:rPr>
        <w:t xml:space="preserve"> </w:t>
      </w:r>
      <w:r>
        <w:rPr>
          <w:spacing w:val="-1"/>
        </w:rPr>
        <w:t>England</w:t>
      </w:r>
      <w:r>
        <w:rPr>
          <w:spacing w:val="46"/>
        </w:rPr>
        <w:t xml:space="preserve"> </w:t>
      </w:r>
      <w:r>
        <w:rPr>
          <w:spacing w:val="-1"/>
        </w:rPr>
        <w:t>and</w:t>
      </w:r>
      <w:r>
        <w:rPr>
          <w:spacing w:val="38"/>
        </w:rPr>
        <w:t xml:space="preserve"> </w:t>
      </w:r>
      <w:r>
        <w:t>Wales</w:t>
      </w:r>
      <w:r>
        <w:rPr>
          <w:spacing w:val="44"/>
        </w:rPr>
        <w:t xml:space="preserve"> </w:t>
      </w:r>
      <w:r>
        <w:rPr>
          <w:spacing w:val="-2"/>
        </w:rPr>
        <w:t>shall</w:t>
      </w:r>
      <w:r>
        <w:rPr>
          <w:spacing w:val="45"/>
        </w:rPr>
        <w:t xml:space="preserve"> </w:t>
      </w:r>
      <w:r>
        <w:rPr>
          <w:spacing w:val="-1"/>
        </w:rPr>
        <w:t>have</w:t>
      </w:r>
      <w:r>
        <w:rPr>
          <w:spacing w:val="38"/>
        </w:rPr>
        <w:t xml:space="preserve"> </w:t>
      </w:r>
      <w:r>
        <w:rPr>
          <w:spacing w:val="-2"/>
        </w:rPr>
        <w:t>exclusive</w:t>
      </w:r>
      <w:r>
        <w:rPr>
          <w:spacing w:val="36"/>
        </w:rPr>
        <w:t xml:space="preserve"> </w:t>
      </w:r>
      <w:r>
        <w:rPr>
          <w:spacing w:val="-1"/>
        </w:rPr>
        <w:t>jurisdiction</w:t>
      </w:r>
      <w:r>
        <w:rPr>
          <w:spacing w:val="36"/>
        </w:rPr>
        <w:t xml:space="preserve"> </w:t>
      </w:r>
      <w:r>
        <w:t>to</w:t>
      </w:r>
      <w:r>
        <w:rPr>
          <w:spacing w:val="38"/>
        </w:rPr>
        <w:t xml:space="preserve"> </w:t>
      </w:r>
      <w:r>
        <w:rPr>
          <w:spacing w:val="-1"/>
        </w:rPr>
        <w:t>settle</w:t>
      </w:r>
      <w:r>
        <w:rPr>
          <w:spacing w:val="36"/>
        </w:rPr>
        <w:t xml:space="preserve"> </w:t>
      </w:r>
      <w:r>
        <w:rPr>
          <w:spacing w:val="-1"/>
        </w:rPr>
        <w:t>any</w:t>
      </w:r>
      <w:r>
        <w:rPr>
          <w:spacing w:val="34"/>
        </w:rPr>
        <w:t xml:space="preserve"> </w:t>
      </w:r>
      <w:r>
        <w:rPr>
          <w:spacing w:val="-1"/>
        </w:rPr>
        <w:t>Dispute</w:t>
      </w:r>
      <w:r>
        <w:rPr>
          <w:spacing w:val="36"/>
        </w:rPr>
        <w:t xml:space="preserve"> </w:t>
      </w:r>
      <w:r>
        <w:rPr>
          <w:spacing w:val="-1"/>
        </w:rPr>
        <w:t>or</w:t>
      </w:r>
      <w:r>
        <w:rPr>
          <w:spacing w:val="39"/>
        </w:rPr>
        <w:t xml:space="preserve"> </w:t>
      </w:r>
      <w:r>
        <w:rPr>
          <w:spacing w:val="-1"/>
        </w:rPr>
        <w:t>claim</w:t>
      </w:r>
      <w:r>
        <w:rPr>
          <w:spacing w:val="38"/>
        </w:rPr>
        <w:t xml:space="preserve"> </w:t>
      </w:r>
      <w:r>
        <w:rPr>
          <w:spacing w:val="-1"/>
        </w:rPr>
        <w:t>(whether</w:t>
      </w:r>
      <w:r>
        <w:rPr>
          <w:spacing w:val="38"/>
        </w:rPr>
        <w:t xml:space="preserve"> </w:t>
      </w:r>
      <w:r>
        <w:rPr>
          <w:spacing w:val="-1"/>
        </w:rPr>
        <w:t>contractual</w:t>
      </w:r>
      <w:r>
        <w:rPr>
          <w:spacing w:val="36"/>
        </w:rPr>
        <w:t xml:space="preserve"> </w:t>
      </w:r>
      <w:r>
        <w:rPr>
          <w:spacing w:val="-1"/>
        </w:rPr>
        <w:t>or</w:t>
      </w:r>
      <w:r>
        <w:rPr>
          <w:spacing w:val="38"/>
        </w:rPr>
        <w:t xml:space="preserve"> </w:t>
      </w:r>
      <w:r>
        <w:rPr>
          <w:spacing w:val="-1"/>
        </w:rPr>
        <w:t>non-</w:t>
      </w:r>
      <w:r>
        <w:rPr>
          <w:spacing w:val="65"/>
        </w:rPr>
        <w:t xml:space="preserve"> </w:t>
      </w:r>
      <w:r>
        <w:rPr>
          <w:spacing w:val="-1"/>
        </w:rPr>
        <w:t>contractual)</w:t>
      </w:r>
      <w:r>
        <w:rPr>
          <w:spacing w:val="40"/>
        </w:rPr>
        <w:t xml:space="preserve"> </w:t>
      </w:r>
      <w:r>
        <w:rPr>
          <w:spacing w:val="-1"/>
        </w:rPr>
        <w:t>that</w:t>
      </w:r>
      <w:r>
        <w:rPr>
          <w:spacing w:val="42"/>
        </w:rPr>
        <w:t xml:space="preserve"> </w:t>
      </w:r>
      <w:r>
        <w:rPr>
          <w:spacing w:val="-1"/>
        </w:rPr>
        <w:t>arises</w:t>
      </w:r>
      <w:r>
        <w:rPr>
          <w:spacing w:val="39"/>
        </w:rPr>
        <w:t xml:space="preserve"> </w:t>
      </w:r>
      <w:r>
        <w:rPr>
          <w:spacing w:val="-1"/>
        </w:rPr>
        <w:t>out</w:t>
      </w:r>
      <w:r>
        <w:rPr>
          <w:spacing w:val="42"/>
        </w:rPr>
        <w:t xml:space="preserve"> </w:t>
      </w:r>
      <w:r>
        <w:rPr>
          <w:spacing w:val="-2"/>
        </w:rPr>
        <w:t>of</w:t>
      </w:r>
      <w:r>
        <w:rPr>
          <w:spacing w:val="45"/>
        </w:rPr>
        <w:t xml:space="preserve"> </w:t>
      </w:r>
      <w:r>
        <w:rPr>
          <w:spacing w:val="-2"/>
        </w:rPr>
        <w:t>or</w:t>
      </w:r>
      <w:r>
        <w:rPr>
          <w:spacing w:val="42"/>
        </w:rPr>
        <w:t xml:space="preserve"> </w:t>
      </w:r>
      <w:r>
        <w:rPr>
          <w:spacing w:val="-1"/>
        </w:rPr>
        <w:t>in</w:t>
      </w:r>
      <w:r>
        <w:rPr>
          <w:spacing w:val="42"/>
        </w:rPr>
        <w:t xml:space="preserve"> </w:t>
      </w:r>
      <w:r>
        <w:rPr>
          <w:spacing w:val="-1"/>
        </w:rPr>
        <w:t>connection</w:t>
      </w:r>
      <w:r>
        <w:rPr>
          <w:spacing w:val="38"/>
        </w:rPr>
        <w:t xml:space="preserve"> </w:t>
      </w:r>
      <w:r>
        <w:rPr>
          <w:spacing w:val="-1"/>
        </w:rPr>
        <w:t>with</w:t>
      </w:r>
      <w:r>
        <w:rPr>
          <w:spacing w:val="41"/>
        </w:rPr>
        <w:t xml:space="preserve"> </w:t>
      </w:r>
      <w:r>
        <w:rPr>
          <w:spacing w:val="-1"/>
        </w:rPr>
        <w:t>this</w:t>
      </w:r>
      <w:r>
        <w:rPr>
          <w:spacing w:val="41"/>
        </w:rPr>
        <w:t xml:space="preserve"> </w:t>
      </w:r>
      <w:r>
        <w:rPr>
          <w:spacing w:val="-2"/>
        </w:rPr>
        <w:t>Call</w:t>
      </w:r>
      <w:r>
        <w:rPr>
          <w:spacing w:val="40"/>
        </w:rPr>
        <w:t xml:space="preserve"> </w:t>
      </w:r>
      <w:r>
        <w:rPr>
          <w:spacing w:val="-1"/>
        </w:rPr>
        <w:t>Off</w:t>
      </w:r>
      <w:r>
        <w:rPr>
          <w:spacing w:val="45"/>
        </w:rPr>
        <w:t xml:space="preserve"> </w:t>
      </w:r>
      <w:r>
        <w:rPr>
          <w:spacing w:val="-2"/>
        </w:rPr>
        <w:t>Contract</w:t>
      </w:r>
      <w:r>
        <w:rPr>
          <w:spacing w:val="44"/>
        </w:rPr>
        <w:t xml:space="preserve"> </w:t>
      </w:r>
      <w:r>
        <w:rPr>
          <w:spacing w:val="-1"/>
        </w:rPr>
        <w:t>or</w:t>
      </w:r>
      <w:r>
        <w:rPr>
          <w:spacing w:val="42"/>
        </w:rPr>
        <w:t xml:space="preserve"> </w:t>
      </w:r>
      <w:r>
        <w:rPr>
          <w:spacing w:val="-1"/>
        </w:rPr>
        <w:t>its</w:t>
      </w:r>
      <w:r>
        <w:rPr>
          <w:spacing w:val="61"/>
        </w:rPr>
        <w:t xml:space="preserve"> </w:t>
      </w:r>
      <w:r>
        <w:rPr>
          <w:spacing w:val="-1"/>
        </w:rPr>
        <w:t>subject</w:t>
      </w:r>
      <w:r>
        <w:t xml:space="preserve"> </w:t>
      </w:r>
      <w:r>
        <w:rPr>
          <w:spacing w:val="-1"/>
        </w:rPr>
        <w:t>matter or</w:t>
      </w:r>
      <w:r>
        <w:rPr>
          <w:spacing w:val="-3"/>
        </w:rPr>
        <w:t xml:space="preserve"> </w:t>
      </w:r>
      <w:r>
        <w:rPr>
          <w:spacing w:val="-1"/>
        </w:rPr>
        <w:t>formation.</w:t>
      </w:r>
    </w:p>
    <w:p w:rsidR="008918FA" w:rsidRDefault="008918FA" w:rsidP="008918FA">
      <w:pPr>
        <w:jc w:val="both"/>
        <w:sectPr w:rsidR="008918FA">
          <w:pgSz w:w="11910" w:h="16840"/>
          <w:pgMar w:top="1480" w:right="1300" w:bottom="1180" w:left="1340" w:header="0" w:footer="967" w:gutter="0"/>
          <w:cols w:space="720"/>
        </w:sectPr>
      </w:pPr>
    </w:p>
    <w:p w:rsidR="008918FA" w:rsidRDefault="008918FA" w:rsidP="008918FA">
      <w:pPr>
        <w:pStyle w:val="BodyText"/>
        <w:spacing w:before="58"/>
        <w:ind w:left="2248" w:firstLine="0"/>
        <w:rPr>
          <w:rFonts w:ascii="Times New Roman" w:eastAsia="Times New Roman" w:hAnsi="Times New Roman" w:cs="Times New Roman"/>
        </w:rPr>
      </w:pPr>
      <w:bookmarkStart w:id="342" w:name="CALL_OFF_SCHEDULE_1:_DEFINITIONS"/>
      <w:bookmarkStart w:id="343" w:name="_bookmark281"/>
      <w:bookmarkEnd w:id="342"/>
      <w:bookmarkEnd w:id="343"/>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5"/>
        </w:rPr>
        <w:t>1:</w:t>
      </w:r>
      <w:r>
        <w:rPr>
          <w:rFonts w:ascii="Times New Roman"/>
          <w:spacing w:val="20"/>
        </w:rPr>
        <w:t xml:space="preserve"> </w:t>
      </w:r>
      <w:r>
        <w:rPr>
          <w:rFonts w:ascii="Times New Roman"/>
          <w:spacing w:val="-2"/>
        </w:rPr>
        <w:t>DEFINITIONS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spacing w:before="0"/>
        <w:ind w:left="611" w:right="276" w:hanging="425"/>
        <w:jc w:val="both"/>
      </w:pPr>
      <w:r>
        <w:rPr>
          <w:spacing w:val="-1"/>
        </w:rPr>
        <w:t>1.</w:t>
      </w:r>
      <w:r>
        <w:rPr>
          <w:spacing w:val="57"/>
        </w:rPr>
        <w:t xml:space="preserve"> </w:t>
      </w:r>
      <w:r>
        <w:t>In</w:t>
      </w:r>
      <w:r>
        <w:rPr>
          <w:spacing w:val="16"/>
        </w:rPr>
        <w:t xml:space="preserve"> </w:t>
      </w:r>
      <w:r>
        <w:rPr>
          <w:spacing w:val="-1"/>
        </w:rPr>
        <w:t>accordance</w:t>
      </w:r>
      <w:r>
        <w:rPr>
          <w:spacing w:val="16"/>
        </w:rPr>
        <w:t xml:space="preserve"> </w:t>
      </w:r>
      <w:r>
        <w:rPr>
          <w:spacing w:val="-2"/>
        </w:rPr>
        <w:t>with</w:t>
      </w:r>
      <w:r>
        <w:rPr>
          <w:spacing w:val="16"/>
        </w:rPr>
        <w:t xml:space="preserve"> </w:t>
      </w:r>
      <w:r>
        <w:rPr>
          <w:spacing w:val="-2"/>
        </w:rPr>
        <w:t>Clause</w:t>
      </w:r>
      <w:r>
        <w:rPr>
          <w:spacing w:val="18"/>
        </w:rPr>
        <w:t xml:space="preserve"> </w:t>
      </w:r>
      <w:hyperlink w:anchor="_bookmark44" w:history="1">
        <w:r>
          <w:t>1</w:t>
        </w:r>
      </w:hyperlink>
      <w:r>
        <w:rPr>
          <w:spacing w:val="16"/>
        </w:rPr>
        <w:t xml:space="preserve"> </w:t>
      </w:r>
      <w:r>
        <w:rPr>
          <w:spacing w:val="-1"/>
        </w:rPr>
        <w:t>(Definitions</w:t>
      </w:r>
      <w:r>
        <w:rPr>
          <w:spacing w:val="16"/>
        </w:rPr>
        <w:t xml:space="preserve"> </w:t>
      </w:r>
      <w:r>
        <w:rPr>
          <w:spacing w:val="-1"/>
        </w:rPr>
        <w:t>and</w:t>
      </w:r>
      <w:r>
        <w:rPr>
          <w:spacing w:val="16"/>
        </w:rPr>
        <w:t xml:space="preserve"> </w:t>
      </w:r>
      <w:r>
        <w:rPr>
          <w:spacing w:val="-1"/>
        </w:rPr>
        <w:t>Interpretations)</w:t>
      </w:r>
      <w:r>
        <w:rPr>
          <w:spacing w:val="18"/>
        </w:rPr>
        <w:t xml:space="preserve"> </w:t>
      </w:r>
      <w:r>
        <w:rPr>
          <w:spacing w:val="-2"/>
        </w:rPr>
        <w:t>of</w:t>
      </w:r>
      <w:r>
        <w:rPr>
          <w:spacing w:val="17"/>
        </w:rPr>
        <w:t xml:space="preserve"> </w:t>
      </w:r>
      <w:r>
        <w:rPr>
          <w:spacing w:val="-1"/>
        </w:rPr>
        <w:t>this</w:t>
      </w:r>
      <w:r>
        <w:t xml:space="preserve"> </w:t>
      </w:r>
      <w:r>
        <w:rPr>
          <w:spacing w:val="-2"/>
        </w:rPr>
        <w:t>Call</w:t>
      </w:r>
      <w:r>
        <w:t xml:space="preserve"> </w:t>
      </w:r>
      <w:r>
        <w:rPr>
          <w:spacing w:val="15"/>
        </w:rPr>
        <w:t xml:space="preserve"> </w:t>
      </w:r>
      <w:r>
        <w:rPr>
          <w:spacing w:val="-1"/>
        </w:rPr>
        <w:t>Off</w:t>
      </w:r>
      <w:r>
        <w:rPr>
          <w:spacing w:val="55"/>
        </w:rPr>
        <w:t xml:space="preserve"> </w:t>
      </w:r>
      <w:r>
        <w:rPr>
          <w:spacing w:val="-1"/>
        </w:rPr>
        <w:t>Contract</w:t>
      </w:r>
      <w:r>
        <w:rPr>
          <w:spacing w:val="55"/>
        </w:rPr>
        <w:t xml:space="preserve"> </w:t>
      </w:r>
      <w:r>
        <w:rPr>
          <w:spacing w:val="-2"/>
        </w:rPr>
        <w:t>including</w:t>
      </w:r>
      <w:r>
        <w:rPr>
          <w:spacing w:val="55"/>
        </w:rPr>
        <w:t xml:space="preserve"> </w:t>
      </w:r>
      <w:r>
        <w:rPr>
          <w:spacing w:val="-1"/>
        </w:rPr>
        <w:t>its</w:t>
      </w:r>
      <w:r>
        <w:rPr>
          <w:spacing w:val="53"/>
        </w:rPr>
        <w:t xml:space="preserve"> </w:t>
      </w:r>
      <w:r>
        <w:rPr>
          <w:spacing w:val="-1"/>
        </w:rPr>
        <w:t>recitals</w:t>
      </w:r>
      <w:r>
        <w:rPr>
          <w:spacing w:val="53"/>
        </w:rPr>
        <w:t xml:space="preserve"> </w:t>
      </w:r>
      <w:r>
        <w:t>the</w:t>
      </w:r>
      <w:r>
        <w:rPr>
          <w:spacing w:val="51"/>
        </w:rPr>
        <w:t xml:space="preserve"> </w:t>
      </w:r>
      <w:r>
        <w:rPr>
          <w:spacing w:val="-2"/>
        </w:rPr>
        <w:t>following</w:t>
      </w:r>
      <w:r>
        <w:rPr>
          <w:spacing w:val="55"/>
        </w:rPr>
        <w:t xml:space="preserve"> </w:t>
      </w:r>
      <w:r>
        <w:rPr>
          <w:spacing w:val="-1"/>
        </w:rPr>
        <w:t>expressions</w:t>
      </w:r>
      <w:r>
        <w:rPr>
          <w:spacing w:val="54"/>
        </w:rPr>
        <w:t xml:space="preserve"> </w:t>
      </w:r>
      <w:r>
        <w:rPr>
          <w:spacing w:val="-1"/>
        </w:rPr>
        <w:t>shall</w:t>
      </w:r>
      <w:r>
        <w:rPr>
          <w:spacing w:val="52"/>
        </w:rPr>
        <w:t xml:space="preserve"> </w:t>
      </w:r>
      <w:r>
        <w:rPr>
          <w:spacing w:val="-2"/>
        </w:rPr>
        <w:t>have</w:t>
      </w:r>
      <w:r>
        <w:rPr>
          <w:spacing w:val="53"/>
        </w:rPr>
        <w:t xml:space="preserve"> </w:t>
      </w:r>
      <w:r>
        <w:rPr>
          <w:spacing w:val="1"/>
        </w:rPr>
        <w:t>the</w:t>
      </w:r>
      <w:r>
        <w:rPr>
          <w:spacing w:val="53"/>
        </w:rPr>
        <w:t xml:space="preserve"> </w:t>
      </w:r>
      <w:r>
        <w:rPr>
          <w:spacing w:val="-2"/>
        </w:rPr>
        <w:t>following</w:t>
      </w:r>
      <w:r>
        <w:rPr>
          <w:spacing w:val="68"/>
        </w:rPr>
        <w:t xml:space="preserve"> </w:t>
      </w:r>
      <w:r>
        <w:rPr>
          <w:spacing w:val="-1"/>
        </w:rPr>
        <w:t>meanings:</w:t>
      </w:r>
    </w:p>
    <w:p w:rsidR="008918FA" w:rsidRDefault="008918FA" w:rsidP="008918FA">
      <w:pPr>
        <w:spacing w:before="2"/>
        <w:rPr>
          <w:rFonts w:ascii="Arial" w:eastAsia="Arial" w:hAnsi="Arial" w:cs="Arial"/>
          <w:sz w:val="11"/>
          <w:szCs w:val="11"/>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5952"/>
      </w:tblGrid>
      <w:tr w:rsidR="008918FA" w:rsidTr="005D2B81">
        <w:trPr>
          <w:trHeight w:hRule="exact" w:val="1651"/>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"Achieve"</w:t>
            </w:r>
          </w:p>
        </w:tc>
        <w:tc>
          <w:tcPr>
            <w:tcW w:w="5952"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eastAsia="Arial" w:hAnsi="Arial" w:cs="Arial"/>
                <w:spacing w:val="-1"/>
              </w:rPr>
              <w:t>means</w:t>
            </w:r>
            <w:r>
              <w:rPr>
                <w:rFonts w:ascii="Arial" w:eastAsia="Arial" w:hAnsi="Arial" w:cs="Arial"/>
                <w:spacing w:val="41"/>
              </w:rPr>
              <w:t xml:space="preserve"> </w:t>
            </w:r>
            <w:r>
              <w:rPr>
                <w:rFonts w:ascii="Arial" w:eastAsia="Arial" w:hAnsi="Arial" w:cs="Arial"/>
                <w:spacing w:val="-1"/>
              </w:rPr>
              <w:t>in</w:t>
            </w:r>
            <w:r>
              <w:rPr>
                <w:rFonts w:ascii="Arial" w:eastAsia="Arial" w:hAnsi="Arial" w:cs="Arial"/>
                <w:spacing w:val="38"/>
              </w:rPr>
              <w:t xml:space="preserve"> </w:t>
            </w:r>
            <w:r>
              <w:rPr>
                <w:rFonts w:ascii="Arial" w:eastAsia="Arial" w:hAnsi="Arial" w:cs="Arial"/>
                <w:spacing w:val="-1"/>
              </w:rPr>
              <w:t>respect</w:t>
            </w:r>
            <w:r>
              <w:rPr>
                <w:rFonts w:ascii="Arial" w:eastAsia="Arial" w:hAnsi="Arial" w:cs="Arial"/>
                <w:spacing w:val="42"/>
              </w:rPr>
              <w:t xml:space="preserve"> </w:t>
            </w:r>
            <w:r>
              <w:rPr>
                <w:rFonts w:ascii="Arial" w:eastAsia="Arial" w:hAnsi="Arial" w:cs="Arial"/>
                <w:spacing w:val="-2"/>
              </w:rPr>
              <w:t>of</w:t>
            </w:r>
            <w:r>
              <w:rPr>
                <w:rFonts w:ascii="Arial" w:eastAsia="Arial" w:hAnsi="Arial" w:cs="Arial"/>
                <w:spacing w:val="42"/>
              </w:rPr>
              <w:t xml:space="preserve"> </w:t>
            </w:r>
            <w:r>
              <w:rPr>
                <w:rFonts w:ascii="Arial" w:eastAsia="Arial" w:hAnsi="Arial" w:cs="Arial"/>
              </w:rPr>
              <w:t>a</w:t>
            </w:r>
            <w:r>
              <w:rPr>
                <w:rFonts w:ascii="Arial" w:eastAsia="Arial" w:hAnsi="Arial" w:cs="Arial"/>
                <w:spacing w:val="38"/>
              </w:rPr>
              <w:t xml:space="preserve"> </w:t>
            </w:r>
            <w:r>
              <w:rPr>
                <w:rFonts w:ascii="Arial" w:eastAsia="Arial" w:hAnsi="Arial" w:cs="Arial"/>
                <w:spacing w:val="-1"/>
              </w:rPr>
              <w:t>Test,</w:t>
            </w:r>
            <w:r>
              <w:rPr>
                <w:rFonts w:ascii="Arial" w:eastAsia="Arial" w:hAnsi="Arial" w:cs="Arial"/>
                <w:spacing w:val="40"/>
              </w:rPr>
              <w:t xml:space="preserve"> </w:t>
            </w:r>
            <w:r>
              <w:rPr>
                <w:rFonts w:ascii="Arial" w:eastAsia="Arial" w:hAnsi="Arial" w:cs="Arial"/>
              </w:rPr>
              <w:t>to</w:t>
            </w:r>
            <w:r>
              <w:rPr>
                <w:rFonts w:ascii="Arial" w:eastAsia="Arial" w:hAnsi="Arial" w:cs="Arial"/>
                <w:spacing w:val="39"/>
              </w:rPr>
              <w:t xml:space="preserve"> </w:t>
            </w:r>
            <w:r>
              <w:rPr>
                <w:rFonts w:ascii="Arial" w:eastAsia="Arial" w:hAnsi="Arial" w:cs="Arial"/>
                <w:spacing w:val="-1"/>
              </w:rPr>
              <w:t>successfully</w:t>
            </w:r>
            <w:r>
              <w:rPr>
                <w:rFonts w:ascii="Arial" w:eastAsia="Arial" w:hAnsi="Arial" w:cs="Arial"/>
                <w:spacing w:val="39"/>
              </w:rPr>
              <w:t xml:space="preserve"> </w:t>
            </w:r>
            <w:r>
              <w:rPr>
                <w:rFonts w:ascii="Arial" w:eastAsia="Arial" w:hAnsi="Arial" w:cs="Arial"/>
                <w:spacing w:val="-1"/>
              </w:rPr>
              <w:t>pass</w:t>
            </w:r>
            <w:r>
              <w:rPr>
                <w:rFonts w:ascii="Arial" w:eastAsia="Arial" w:hAnsi="Arial" w:cs="Arial"/>
                <w:spacing w:val="42"/>
              </w:rPr>
              <w:t xml:space="preserve"> </w:t>
            </w:r>
            <w:r>
              <w:rPr>
                <w:rFonts w:ascii="Arial" w:eastAsia="Arial" w:hAnsi="Arial" w:cs="Arial"/>
                <w:spacing w:val="-1"/>
              </w:rPr>
              <w:t>such</w:t>
            </w:r>
            <w:r>
              <w:rPr>
                <w:rFonts w:ascii="Arial" w:eastAsia="Arial" w:hAnsi="Arial" w:cs="Arial"/>
                <w:spacing w:val="27"/>
              </w:rPr>
              <w:t xml:space="preserve"> </w:t>
            </w:r>
            <w:r>
              <w:rPr>
                <w:rFonts w:ascii="Arial" w:eastAsia="Arial" w:hAnsi="Arial" w:cs="Arial"/>
                <w:spacing w:val="-1"/>
              </w:rPr>
              <w:t>Test</w:t>
            </w:r>
            <w:r>
              <w:rPr>
                <w:rFonts w:ascii="Arial" w:eastAsia="Arial" w:hAnsi="Arial" w:cs="Arial"/>
                <w:spacing w:val="4"/>
              </w:rPr>
              <w:t xml:space="preserve"> </w:t>
            </w:r>
            <w:r>
              <w:rPr>
                <w:rFonts w:ascii="Arial" w:eastAsia="Arial" w:hAnsi="Arial" w:cs="Arial"/>
                <w:spacing w:val="-2"/>
              </w:rPr>
              <w:t>without</w:t>
            </w:r>
            <w:r>
              <w:rPr>
                <w:rFonts w:ascii="Arial" w:eastAsia="Arial" w:hAnsi="Arial" w:cs="Arial"/>
                <w:spacing w:val="4"/>
              </w:rPr>
              <w:t xml:space="preserve"> </w:t>
            </w:r>
            <w:r>
              <w:rPr>
                <w:rFonts w:ascii="Arial" w:eastAsia="Arial" w:hAnsi="Arial" w:cs="Arial"/>
                <w:spacing w:val="-1"/>
              </w:rPr>
              <w:t>any</w:t>
            </w:r>
            <w:r>
              <w:rPr>
                <w:rFonts w:ascii="Arial" w:eastAsia="Arial" w:hAnsi="Arial" w:cs="Arial"/>
                <w:spacing w:val="3"/>
              </w:rPr>
              <w:t xml:space="preserve"> </w:t>
            </w:r>
            <w:r>
              <w:rPr>
                <w:rFonts w:ascii="Arial" w:eastAsia="Arial" w:hAnsi="Arial" w:cs="Arial"/>
              </w:rPr>
              <w:t>Test</w:t>
            </w:r>
            <w:r>
              <w:rPr>
                <w:rFonts w:ascii="Arial" w:eastAsia="Arial" w:hAnsi="Arial" w:cs="Arial"/>
                <w:spacing w:val="5"/>
              </w:rPr>
              <w:t xml:space="preserve"> </w:t>
            </w:r>
            <w:r>
              <w:rPr>
                <w:rFonts w:ascii="Arial" w:eastAsia="Arial" w:hAnsi="Arial" w:cs="Arial"/>
                <w:spacing w:val="-2"/>
              </w:rPr>
              <w:t>Issues</w:t>
            </w:r>
            <w:r>
              <w:rPr>
                <w:rFonts w:ascii="Arial" w:eastAsia="Arial" w:hAnsi="Arial" w:cs="Arial"/>
                <w:spacing w:val="4"/>
              </w:rPr>
              <w:t xml:space="preserve"> </w:t>
            </w:r>
            <w:r>
              <w:rPr>
                <w:rFonts w:ascii="Arial" w:eastAsia="Arial" w:hAnsi="Arial" w:cs="Arial"/>
                <w:spacing w:val="-1"/>
              </w:rPr>
              <w:t>in</w:t>
            </w:r>
            <w:r>
              <w:rPr>
                <w:rFonts w:ascii="Arial" w:eastAsia="Arial" w:hAnsi="Arial" w:cs="Arial"/>
                <w:spacing w:val="3"/>
              </w:rPr>
              <w:t xml:space="preserve"> </w:t>
            </w:r>
            <w:r>
              <w:rPr>
                <w:rFonts w:ascii="Arial" w:eastAsia="Arial" w:hAnsi="Arial" w:cs="Arial"/>
                <w:spacing w:val="-1"/>
              </w:rPr>
              <w:t>accordance</w:t>
            </w:r>
            <w:r>
              <w:rPr>
                <w:rFonts w:ascii="Arial" w:eastAsia="Arial" w:hAnsi="Arial" w:cs="Arial"/>
                <w:spacing w:val="3"/>
              </w:rPr>
              <w:t xml:space="preserve"> </w:t>
            </w:r>
            <w:r>
              <w:rPr>
                <w:rFonts w:ascii="Arial" w:eastAsia="Arial" w:hAnsi="Arial" w:cs="Arial"/>
                <w:spacing w:val="-1"/>
              </w:rPr>
              <w:t>with</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Test</w:t>
            </w:r>
            <w:r>
              <w:rPr>
                <w:rFonts w:ascii="Arial" w:eastAsia="Arial" w:hAnsi="Arial" w:cs="Arial"/>
                <w:spacing w:val="41"/>
              </w:rPr>
              <w:t xml:space="preserve"> </w:t>
            </w:r>
            <w:r>
              <w:rPr>
                <w:rFonts w:ascii="Arial" w:eastAsia="Arial" w:hAnsi="Arial" w:cs="Arial"/>
                <w:spacing w:val="-1"/>
              </w:rPr>
              <w:t>Strategy</w:t>
            </w:r>
            <w:r>
              <w:rPr>
                <w:rFonts w:ascii="Arial" w:eastAsia="Arial" w:hAnsi="Arial" w:cs="Arial"/>
                <w:spacing w:val="10"/>
              </w:rPr>
              <w:t xml:space="preserve"> </w:t>
            </w:r>
            <w:r>
              <w:rPr>
                <w:rFonts w:ascii="Arial" w:eastAsia="Arial" w:hAnsi="Arial" w:cs="Arial"/>
                <w:spacing w:val="-1"/>
              </w:rPr>
              <w:t>Plan</w:t>
            </w:r>
            <w:r>
              <w:rPr>
                <w:rFonts w:ascii="Arial" w:eastAsia="Arial" w:hAnsi="Arial" w:cs="Arial"/>
                <w:spacing w:val="13"/>
              </w:rPr>
              <w:t xml:space="preserve"> </w:t>
            </w:r>
            <w:r>
              <w:rPr>
                <w:rFonts w:ascii="Arial" w:eastAsia="Arial" w:hAnsi="Arial" w:cs="Arial"/>
                <w:spacing w:val="-1"/>
              </w:rPr>
              <w:t>and</w:t>
            </w:r>
            <w:r>
              <w:rPr>
                <w:rFonts w:ascii="Arial" w:eastAsia="Arial" w:hAnsi="Arial" w:cs="Arial"/>
                <w:spacing w:val="12"/>
              </w:rPr>
              <w:t xml:space="preserve"> </w:t>
            </w:r>
            <w:r>
              <w:rPr>
                <w:rFonts w:ascii="Arial" w:eastAsia="Arial" w:hAnsi="Arial" w:cs="Arial"/>
                <w:spacing w:val="-1"/>
              </w:rPr>
              <w:t>in</w:t>
            </w:r>
            <w:r>
              <w:rPr>
                <w:rFonts w:ascii="Arial" w:eastAsia="Arial" w:hAnsi="Arial" w:cs="Arial"/>
                <w:spacing w:val="10"/>
              </w:rPr>
              <w:t xml:space="preserve"> </w:t>
            </w:r>
            <w:r>
              <w:rPr>
                <w:rFonts w:ascii="Arial" w:eastAsia="Arial" w:hAnsi="Arial" w:cs="Arial"/>
                <w:spacing w:val="-1"/>
              </w:rPr>
              <w:t>respect</w:t>
            </w:r>
            <w:r>
              <w:rPr>
                <w:rFonts w:ascii="Arial" w:eastAsia="Arial" w:hAnsi="Arial" w:cs="Arial"/>
                <w:spacing w:val="14"/>
              </w:rPr>
              <w:t xml:space="preserve"> </w:t>
            </w:r>
            <w:r>
              <w:rPr>
                <w:rFonts w:ascii="Arial" w:eastAsia="Arial" w:hAnsi="Arial" w:cs="Arial"/>
                <w:spacing w:val="-2"/>
              </w:rPr>
              <w:t>of</w:t>
            </w:r>
            <w:r>
              <w:rPr>
                <w:rFonts w:ascii="Arial" w:eastAsia="Arial" w:hAnsi="Arial" w:cs="Arial"/>
                <w:spacing w:val="14"/>
              </w:rPr>
              <w:t xml:space="preserve"> </w:t>
            </w:r>
            <w:r>
              <w:rPr>
                <w:rFonts w:ascii="Arial" w:eastAsia="Arial" w:hAnsi="Arial" w:cs="Arial"/>
              </w:rPr>
              <w:t>a</w:t>
            </w:r>
            <w:r>
              <w:rPr>
                <w:rFonts w:ascii="Arial" w:eastAsia="Arial" w:hAnsi="Arial" w:cs="Arial"/>
                <w:spacing w:val="12"/>
              </w:rPr>
              <w:t xml:space="preserve"> </w:t>
            </w:r>
            <w:r>
              <w:rPr>
                <w:rFonts w:ascii="Arial" w:eastAsia="Arial" w:hAnsi="Arial" w:cs="Arial"/>
                <w:spacing w:val="-2"/>
              </w:rPr>
              <w:t>Milestone,</w:t>
            </w:r>
            <w:r>
              <w:rPr>
                <w:rFonts w:ascii="Arial" w:eastAsia="Arial" w:hAnsi="Arial" w:cs="Arial"/>
                <w:spacing w:val="14"/>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spacing w:val="-1"/>
              </w:rPr>
              <w:t>issue</w:t>
            </w:r>
            <w:r>
              <w:rPr>
                <w:rFonts w:ascii="Arial" w:eastAsia="Arial" w:hAnsi="Arial" w:cs="Arial"/>
                <w:spacing w:val="10"/>
              </w:rPr>
              <w:t xml:space="preserve"> </w:t>
            </w:r>
            <w:r>
              <w:rPr>
                <w:rFonts w:ascii="Arial" w:eastAsia="Arial" w:hAnsi="Arial" w:cs="Arial"/>
                <w:spacing w:val="-2"/>
              </w:rPr>
              <w:t>of</w:t>
            </w:r>
            <w:r>
              <w:rPr>
                <w:rFonts w:ascii="Arial" w:eastAsia="Arial" w:hAnsi="Arial" w:cs="Arial"/>
                <w:spacing w:val="39"/>
              </w:rPr>
              <w:t xml:space="preserve"> </w:t>
            </w:r>
            <w:r>
              <w:rPr>
                <w:rFonts w:ascii="Arial" w:eastAsia="Arial" w:hAnsi="Arial" w:cs="Arial"/>
              </w:rPr>
              <w:t>a</w:t>
            </w:r>
            <w:r>
              <w:rPr>
                <w:rFonts w:ascii="Arial" w:eastAsia="Arial" w:hAnsi="Arial" w:cs="Arial"/>
                <w:spacing w:val="7"/>
              </w:rPr>
              <w:t xml:space="preserve"> </w:t>
            </w:r>
            <w:r>
              <w:rPr>
                <w:rFonts w:ascii="Arial" w:eastAsia="Arial" w:hAnsi="Arial" w:cs="Arial"/>
                <w:spacing w:val="-1"/>
              </w:rPr>
              <w:t>Satisfaction</w:t>
            </w:r>
            <w:r>
              <w:rPr>
                <w:rFonts w:ascii="Arial" w:eastAsia="Arial" w:hAnsi="Arial" w:cs="Arial"/>
                <w:spacing w:val="7"/>
              </w:rPr>
              <w:t xml:space="preserve"> </w:t>
            </w:r>
            <w:r>
              <w:rPr>
                <w:rFonts w:ascii="Arial" w:eastAsia="Arial" w:hAnsi="Arial" w:cs="Arial"/>
                <w:spacing w:val="-1"/>
              </w:rPr>
              <w:t>Certificate</w:t>
            </w:r>
            <w:r>
              <w:rPr>
                <w:rFonts w:ascii="Arial" w:eastAsia="Arial" w:hAnsi="Arial" w:cs="Arial"/>
                <w:spacing w:val="5"/>
              </w:rPr>
              <w:t xml:space="preserve"> </w:t>
            </w:r>
            <w:r>
              <w:rPr>
                <w:rFonts w:ascii="Arial" w:eastAsia="Arial" w:hAnsi="Arial" w:cs="Arial"/>
                <w:spacing w:val="-1"/>
              </w:rPr>
              <w:t>in</w:t>
            </w:r>
            <w:r>
              <w:rPr>
                <w:rFonts w:ascii="Arial" w:eastAsia="Arial" w:hAnsi="Arial" w:cs="Arial"/>
                <w:spacing w:val="7"/>
              </w:rPr>
              <w:t xml:space="preserve"> </w:t>
            </w:r>
            <w:r>
              <w:rPr>
                <w:rFonts w:ascii="Arial" w:eastAsia="Arial" w:hAnsi="Arial" w:cs="Arial"/>
                <w:spacing w:val="-1"/>
              </w:rPr>
              <w:t>respect</w:t>
            </w:r>
            <w:r>
              <w:rPr>
                <w:rFonts w:ascii="Arial" w:eastAsia="Arial" w:hAnsi="Arial" w:cs="Arial"/>
                <w:spacing w:val="9"/>
              </w:rPr>
              <w:t xml:space="preserve"> </w:t>
            </w:r>
            <w:r>
              <w:rPr>
                <w:rFonts w:ascii="Arial" w:eastAsia="Arial" w:hAnsi="Arial" w:cs="Arial"/>
                <w:spacing w:val="-1"/>
              </w:rPr>
              <w:t>of</w:t>
            </w:r>
            <w:r>
              <w:rPr>
                <w:rFonts w:ascii="Arial" w:eastAsia="Arial" w:hAnsi="Arial" w:cs="Arial"/>
                <w:spacing w:val="11"/>
              </w:rPr>
              <w:t xml:space="preserve"> </w:t>
            </w:r>
            <w:r>
              <w:rPr>
                <w:rFonts w:ascii="Arial" w:eastAsia="Arial" w:hAnsi="Arial" w:cs="Arial"/>
                <w:spacing w:val="-1"/>
              </w:rPr>
              <w:t>that</w:t>
            </w:r>
            <w:r>
              <w:rPr>
                <w:rFonts w:ascii="Arial" w:eastAsia="Arial" w:hAnsi="Arial" w:cs="Arial"/>
                <w:spacing w:val="9"/>
              </w:rPr>
              <w:t xml:space="preserve"> </w:t>
            </w:r>
            <w:r>
              <w:rPr>
                <w:rFonts w:ascii="Arial" w:eastAsia="Arial" w:hAnsi="Arial" w:cs="Arial"/>
                <w:spacing w:val="-1"/>
              </w:rPr>
              <w:t>Milestone</w:t>
            </w:r>
            <w:r>
              <w:rPr>
                <w:rFonts w:ascii="Arial" w:eastAsia="Arial" w:hAnsi="Arial" w:cs="Arial"/>
                <w:spacing w:val="10"/>
              </w:rPr>
              <w:t xml:space="preserve"> </w:t>
            </w:r>
            <w:r>
              <w:rPr>
                <w:rFonts w:ascii="Arial" w:eastAsia="Arial" w:hAnsi="Arial" w:cs="Arial"/>
                <w:spacing w:val="-1"/>
              </w:rPr>
              <w:t>and</w:t>
            </w:r>
            <w:r>
              <w:rPr>
                <w:rFonts w:ascii="Arial" w:eastAsia="Arial" w:hAnsi="Arial" w:cs="Arial"/>
                <w:spacing w:val="28"/>
              </w:rPr>
              <w:t xml:space="preserve"> </w:t>
            </w:r>
            <w:r>
              <w:rPr>
                <w:rFonts w:ascii="Arial" w:eastAsia="Arial" w:hAnsi="Arial" w:cs="Arial"/>
                <w:spacing w:val="-1"/>
              </w:rPr>
              <w:t>"</w:t>
            </w:r>
            <w:r>
              <w:rPr>
                <w:rFonts w:ascii="Arial" w:eastAsia="Arial" w:hAnsi="Arial" w:cs="Arial"/>
                <w:b/>
                <w:bCs/>
                <w:spacing w:val="-1"/>
              </w:rPr>
              <w:t>Achieved</w:t>
            </w:r>
            <w:r>
              <w:rPr>
                <w:rFonts w:ascii="Arial" w:eastAsia="Arial" w:hAnsi="Arial" w:cs="Arial"/>
                <w:spacing w:val="-1"/>
              </w:rPr>
              <w:t>",</w:t>
            </w:r>
            <w:r>
              <w:rPr>
                <w:rFonts w:ascii="Arial" w:eastAsia="Arial" w:hAnsi="Arial" w:cs="Arial"/>
                <w:spacing w:val="57"/>
              </w:rPr>
              <w:t xml:space="preserve"> </w:t>
            </w:r>
            <w:r>
              <w:rPr>
                <w:rFonts w:ascii="Arial" w:eastAsia="Arial" w:hAnsi="Arial" w:cs="Arial"/>
                <w:spacing w:val="-1"/>
              </w:rPr>
              <w:t>“</w:t>
            </w:r>
            <w:r>
              <w:rPr>
                <w:rFonts w:ascii="Arial" w:eastAsia="Arial" w:hAnsi="Arial" w:cs="Arial"/>
                <w:b/>
                <w:bCs/>
                <w:spacing w:val="-1"/>
              </w:rPr>
              <w:t>Achieving</w:t>
            </w:r>
            <w:r>
              <w:rPr>
                <w:rFonts w:ascii="Arial" w:eastAsia="Arial" w:hAnsi="Arial" w:cs="Arial"/>
                <w:spacing w:val="-1"/>
              </w:rPr>
              <w:t>”</w:t>
            </w:r>
            <w:r>
              <w:rPr>
                <w:rFonts w:ascii="Arial" w:eastAsia="Arial" w:hAnsi="Arial" w:cs="Arial"/>
                <w:spacing w:val="57"/>
              </w:rPr>
              <w:t xml:space="preserve"> </w:t>
            </w:r>
            <w:r>
              <w:rPr>
                <w:rFonts w:ascii="Arial" w:eastAsia="Arial" w:hAnsi="Arial" w:cs="Arial"/>
                <w:spacing w:val="-1"/>
              </w:rPr>
              <w:t>and</w:t>
            </w:r>
            <w:r>
              <w:rPr>
                <w:rFonts w:ascii="Arial" w:eastAsia="Arial" w:hAnsi="Arial" w:cs="Arial"/>
                <w:spacing w:val="53"/>
              </w:rPr>
              <w:t xml:space="preserve"> </w:t>
            </w:r>
            <w:r>
              <w:rPr>
                <w:rFonts w:ascii="Arial" w:eastAsia="Arial" w:hAnsi="Arial" w:cs="Arial"/>
                <w:spacing w:val="-1"/>
              </w:rPr>
              <w:t>"</w:t>
            </w:r>
            <w:r>
              <w:rPr>
                <w:rFonts w:ascii="Arial" w:eastAsia="Arial" w:hAnsi="Arial" w:cs="Arial"/>
                <w:b/>
                <w:bCs/>
                <w:spacing w:val="-1"/>
              </w:rPr>
              <w:t>Achievement</w:t>
            </w:r>
            <w:r>
              <w:rPr>
                <w:rFonts w:ascii="Arial" w:eastAsia="Arial" w:hAnsi="Arial" w:cs="Arial"/>
                <w:spacing w:val="-1"/>
              </w:rPr>
              <w:t>"</w:t>
            </w:r>
            <w:r>
              <w:rPr>
                <w:rFonts w:ascii="Arial" w:eastAsia="Arial" w:hAnsi="Arial" w:cs="Arial"/>
                <w:spacing w:val="57"/>
              </w:rPr>
              <w:t xml:space="preserve"> </w:t>
            </w:r>
            <w:r>
              <w:rPr>
                <w:rFonts w:ascii="Arial" w:eastAsia="Arial" w:hAnsi="Arial" w:cs="Arial"/>
                <w:spacing w:val="-2"/>
              </w:rPr>
              <w:t>shall</w:t>
            </w:r>
            <w:r>
              <w:rPr>
                <w:rFonts w:ascii="Arial" w:eastAsia="Arial" w:hAnsi="Arial" w:cs="Arial"/>
                <w:spacing w:val="55"/>
              </w:rPr>
              <w:t xml:space="preserve"> </w:t>
            </w:r>
            <w:r>
              <w:rPr>
                <w:rFonts w:ascii="Arial" w:eastAsia="Arial" w:hAnsi="Arial" w:cs="Arial"/>
                <w:spacing w:val="-1"/>
              </w:rPr>
              <w:t>be</w:t>
            </w:r>
            <w:r>
              <w:rPr>
                <w:rFonts w:ascii="Arial" w:eastAsia="Arial" w:hAnsi="Arial" w:cs="Arial"/>
                <w:spacing w:val="29"/>
              </w:rPr>
              <w:t xml:space="preserve"> </w:t>
            </w:r>
            <w:r>
              <w:rPr>
                <w:rFonts w:ascii="Arial" w:eastAsia="Arial" w:hAnsi="Arial" w:cs="Arial"/>
                <w:spacing w:val="-1"/>
              </w:rPr>
              <w:t>construed</w:t>
            </w:r>
            <w:r>
              <w:rPr>
                <w:rFonts w:ascii="Arial" w:eastAsia="Arial" w:hAnsi="Arial" w:cs="Arial"/>
                <w:spacing w:val="-2"/>
              </w:rPr>
              <w:t xml:space="preserve"> </w:t>
            </w:r>
            <w:r>
              <w:rPr>
                <w:rFonts w:ascii="Arial" w:eastAsia="Arial" w:hAnsi="Arial" w:cs="Arial"/>
                <w:spacing w:val="-1"/>
              </w:rPr>
              <w:t>accordingly;</w:t>
            </w:r>
          </w:p>
        </w:tc>
      </w:tr>
      <w:tr w:rsidR="008918FA" w:rsidTr="005D2B81">
        <w:trPr>
          <w:trHeight w:hRule="exact" w:val="1654"/>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593"/>
              <w:rPr>
                <w:rFonts w:ascii="Arial" w:eastAsia="Arial" w:hAnsi="Arial" w:cs="Arial"/>
              </w:rPr>
            </w:pPr>
            <w:r>
              <w:rPr>
                <w:rFonts w:ascii="Arial"/>
                <w:b/>
                <w:spacing w:val="-1"/>
              </w:rPr>
              <w:t>"Acquired</w:t>
            </w:r>
            <w:r>
              <w:rPr>
                <w:rFonts w:ascii="Arial"/>
                <w:b/>
              </w:rPr>
              <w:t xml:space="preserve"> </w:t>
            </w:r>
            <w:r>
              <w:rPr>
                <w:rFonts w:ascii="Arial"/>
                <w:b/>
                <w:spacing w:val="-1"/>
              </w:rPr>
              <w:t>Rights</w:t>
            </w:r>
            <w:r>
              <w:rPr>
                <w:rFonts w:ascii="Arial"/>
                <w:b/>
                <w:spacing w:val="25"/>
              </w:rPr>
              <w:t xml:space="preserve"> </w:t>
            </w:r>
            <w:r>
              <w:rPr>
                <w:rFonts w:ascii="Arial"/>
                <w:b/>
                <w:spacing w:val="-1"/>
              </w:rPr>
              <w:t>Directive"</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eastAsia="Arial" w:hAnsi="Arial" w:cs="Arial"/>
                <w:spacing w:val="-1"/>
              </w:rPr>
              <w:t>means</w:t>
            </w:r>
            <w:r>
              <w:rPr>
                <w:rFonts w:ascii="Arial" w:eastAsia="Arial" w:hAnsi="Arial" w:cs="Arial"/>
                <w:spacing w:val="51"/>
              </w:rPr>
              <w:t xml:space="preserve"> </w:t>
            </w:r>
            <w:r>
              <w:rPr>
                <w:rFonts w:ascii="Arial" w:eastAsia="Arial" w:hAnsi="Arial" w:cs="Arial"/>
              </w:rPr>
              <w:t>the</w:t>
            </w:r>
            <w:r>
              <w:rPr>
                <w:rFonts w:ascii="Arial" w:eastAsia="Arial" w:hAnsi="Arial" w:cs="Arial"/>
                <w:spacing w:val="51"/>
              </w:rPr>
              <w:t xml:space="preserve"> </w:t>
            </w:r>
            <w:r>
              <w:rPr>
                <w:rFonts w:ascii="Arial" w:eastAsia="Arial" w:hAnsi="Arial" w:cs="Arial"/>
                <w:spacing w:val="-1"/>
              </w:rPr>
              <w:t>European</w:t>
            </w:r>
            <w:r>
              <w:rPr>
                <w:rFonts w:ascii="Arial" w:eastAsia="Arial" w:hAnsi="Arial" w:cs="Arial"/>
                <w:spacing w:val="51"/>
              </w:rPr>
              <w:t xml:space="preserve"> </w:t>
            </w:r>
            <w:r>
              <w:rPr>
                <w:rFonts w:ascii="Arial" w:eastAsia="Arial" w:hAnsi="Arial" w:cs="Arial"/>
                <w:spacing w:val="-1"/>
              </w:rPr>
              <w:t>Council</w:t>
            </w:r>
            <w:r>
              <w:rPr>
                <w:rFonts w:ascii="Arial" w:eastAsia="Arial" w:hAnsi="Arial" w:cs="Arial"/>
                <w:spacing w:val="50"/>
              </w:rPr>
              <w:t xml:space="preserve"> </w:t>
            </w:r>
            <w:r>
              <w:rPr>
                <w:rFonts w:ascii="Arial" w:eastAsia="Arial" w:hAnsi="Arial" w:cs="Arial"/>
                <w:spacing w:val="-2"/>
              </w:rPr>
              <w:t>Directive</w:t>
            </w:r>
            <w:r>
              <w:rPr>
                <w:rFonts w:ascii="Arial" w:eastAsia="Arial" w:hAnsi="Arial" w:cs="Arial"/>
                <w:spacing w:val="2"/>
              </w:rPr>
              <w:t xml:space="preserve"> </w:t>
            </w:r>
            <w:r>
              <w:rPr>
                <w:rFonts w:ascii="Arial" w:eastAsia="Arial" w:hAnsi="Arial" w:cs="Arial"/>
                <w:spacing w:val="-1"/>
              </w:rPr>
              <w:t>77/187/EEC</w:t>
            </w:r>
            <w:r>
              <w:rPr>
                <w:rFonts w:ascii="Arial" w:eastAsia="Arial" w:hAnsi="Arial" w:cs="Arial"/>
                <w:spacing w:val="50"/>
              </w:rPr>
              <w:t xml:space="preserve"> </w:t>
            </w:r>
            <w:r>
              <w:rPr>
                <w:rFonts w:ascii="Arial" w:eastAsia="Arial" w:hAnsi="Arial" w:cs="Arial"/>
                <w:spacing w:val="-1"/>
              </w:rPr>
              <w:t>on</w:t>
            </w:r>
            <w:r>
              <w:rPr>
                <w:rFonts w:ascii="Arial" w:eastAsia="Arial" w:hAnsi="Arial" w:cs="Arial"/>
                <w:spacing w:val="30"/>
              </w:rPr>
              <w:t xml:space="preserve"> </w:t>
            </w:r>
            <w:r>
              <w:rPr>
                <w:rFonts w:ascii="Arial" w:eastAsia="Arial" w:hAnsi="Arial" w:cs="Arial"/>
              </w:rPr>
              <w:t>the</w:t>
            </w:r>
            <w:r>
              <w:rPr>
                <w:rFonts w:ascii="Arial" w:eastAsia="Arial" w:hAnsi="Arial" w:cs="Arial"/>
                <w:spacing w:val="41"/>
              </w:rPr>
              <w:t xml:space="preserve"> </w:t>
            </w:r>
            <w:r>
              <w:rPr>
                <w:rFonts w:ascii="Arial" w:eastAsia="Arial" w:hAnsi="Arial" w:cs="Arial"/>
                <w:spacing w:val="-1"/>
              </w:rPr>
              <w:t>approximation</w:t>
            </w:r>
            <w:r>
              <w:rPr>
                <w:rFonts w:ascii="Arial" w:eastAsia="Arial" w:hAnsi="Arial" w:cs="Arial"/>
                <w:spacing w:val="41"/>
              </w:rPr>
              <w:t xml:space="preserve"> </w:t>
            </w:r>
            <w:r>
              <w:rPr>
                <w:rFonts w:ascii="Arial" w:eastAsia="Arial" w:hAnsi="Arial" w:cs="Arial"/>
                <w:spacing w:val="-2"/>
              </w:rPr>
              <w:t>of</w:t>
            </w:r>
            <w:r>
              <w:rPr>
                <w:rFonts w:ascii="Arial" w:eastAsia="Arial" w:hAnsi="Arial" w:cs="Arial"/>
                <w:spacing w:val="45"/>
              </w:rPr>
              <w:t xml:space="preserve"> </w:t>
            </w:r>
            <w:r>
              <w:rPr>
                <w:rFonts w:ascii="Arial" w:eastAsia="Arial" w:hAnsi="Arial" w:cs="Arial"/>
                <w:spacing w:val="-3"/>
              </w:rPr>
              <w:t>laws</w:t>
            </w:r>
            <w:r>
              <w:rPr>
                <w:rFonts w:ascii="Arial" w:eastAsia="Arial" w:hAnsi="Arial" w:cs="Arial"/>
                <w:spacing w:val="41"/>
              </w:rPr>
              <w:t xml:space="preserve"> </w:t>
            </w:r>
            <w:r>
              <w:rPr>
                <w:rFonts w:ascii="Arial" w:eastAsia="Arial" w:hAnsi="Arial" w:cs="Arial"/>
                <w:spacing w:val="-1"/>
              </w:rPr>
              <w:t>of</w:t>
            </w:r>
            <w:r>
              <w:rPr>
                <w:rFonts w:ascii="Arial" w:eastAsia="Arial" w:hAnsi="Arial" w:cs="Arial"/>
                <w:spacing w:val="45"/>
              </w:rPr>
              <w:t xml:space="preserve"> </w:t>
            </w:r>
            <w:r>
              <w:rPr>
                <w:rFonts w:ascii="Arial" w:eastAsia="Arial" w:hAnsi="Arial" w:cs="Arial"/>
                <w:spacing w:val="-1"/>
              </w:rPr>
              <w:t>European</w:t>
            </w:r>
            <w:r>
              <w:rPr>
                <w:rFonts w:ascii="Arial" w:eastAsia="Arial" w:hAnsi="Arial" w:cs="Arial"/>
                <w:spacing w:val="41"/>
              </w:rPr>
              <w:t xml:space="preserve"> </w:t>
            </w:r>
            <w:r>
              <w:rPr>
                <w:rFonts w:ascii="Arial" w:eastAsia="Arial" w:hAnsi="Arial" w:cs="Arial"/>
                <w:spacing w:val="-2"/>
              </w:rPr>
              <w:t>member</w:t>
            </w:r>
            <w:r>
              <w:rPr>
                <w:rFonts w:ascii="Arial" w:eastAsia="Arial" w:hAnsi="Arial" w:cs="Arial"/>
                <w:spacing w:val="43"/>
              </w:rPr>
              <w:t xml:space="preserve"> </w:t>
            </w:r>
            <w:r>
              <w:rPr>
                <w:rFonts w:ascii="Arial" w:eastAsia="Arial" w:hAnsi="Arial" w:cs="Arial"/>
                <w:spacing w:val="-1"/>
              </w:rPr>
              <w:t>states</w:t>
            </w:r>
            <w:r>
              <w:rPr>
                <w:rFonts w:ascii="Arial" w:eastAsia="Arial" w:hAnsi="Arial" w:cs="Arial"/>
                <w:spacing w:val="30"/>
              </w:rPr>
              <w:t xml:space="preserve"> </w:t>
            </w:r>
            <w:r>
              <w:rPr>
                <w:rFonts w:ascii="Arial" w:eastAsia="Arial" w:hAnsi="Arial" w:cs="Arial"/>
                <w:spacing w:val="-1"/>
              </w:rPr>
              <w:t>relating</w:t>
            </w:r>
            <w:r>
              <w:rPr>
                <w:rFonts w:ascii="Arial" w:eastAsia="Arial" w:hAnsi="Arial" w:cs="Arial"/>
                <w:spacing w:val="34"/>
              </w:rPr>
              <w:t xml:space="preserve"> </w:t>
            </w:r>
            <w:r>
              <w:rPr>
                <w:rFonts w:ascii="Arial" w:eastAsia="Arial" w:hAnsi="Arial" w:cs="Arial"/>
              </w:rPr>
              <w:t>to</w:t>
            </w:r>
            <w:r>
              <w:rPr>
                <w:rFonts w:ascii="Arial" w:eastAsia="Arial" w:hAnsi="Arial" w:cs="Arial"/>
                <w:spacing w:val="34"/>
              </w:rPr>
              <w:t xml:space="preserve"> </w:t>
            </w:r>
            <w:r>
              <w:rPr>
                <w:rFonts w:ascii="Arial" w:eastAsia="Arial" w:hAnsi="Arial" w:cs="Arial"/>
              </w:rPr>
              <w:t>the</w:t>
            </w:r>
            <w:r>
              <w:rPr>
                <w:rFonts w:ascii="Arial" w:eastAsia="Arial" w:hAnsi="Arial" w:cs="Arial"/>
                <w:spacing w:val="34"/>
              </w:rPr>
              <w:t xml:space="preserve"> </w:t>
            </w:r>
            <w:r>
              <w:rPr>
                <w:rFonts w:ascii="Arial" w:eastAsia="Arial" w:hAnsi="Arial" w:cs="Arial"/>
                <w:spacing w:val="-1"/>
              </w:rPr>
              <w:t>safeguarding</w:t>
            </w:r>
            <w:r>
              <w:rPr>
                <w:rFonts w:ascii="Arial" w:eastAsia="Arial" w:hAnsi="Arial" w:cs="Arial"/>
                <w:spacing w:val="36"/>
              </w:rPr>
              <w:t xml:space="preserve"> </w:t>
            </w:r>
            <w:r>
              <w:rPr>
                <w:rFonts w:ascii="Arial" w:eastAsia="Arial" w:hAnsi="Arial" w:cs="Arial"/>
                <w:spacing w:val="-2"/>
              </w:rPr>
              <w:t>of</w:t>
            </w:r>
            <w:r>
              <w:rPr>
                <w:rFonts w:ascii="Arial" w:eastAsia="Arial" w:hAnsi="Arial" w:cs="Arial"/>
                <w:spacing w:val="38"/>
              </w:rPr>
              <w:t xml:space="preserve"> </w:t>
            </w:r>
            <w:r>
              <w:rPr>
                <w:rFonts w:ascii="Arial" w:eastAsia="Arial" w:hAnsi="Arial" w:cs="Arial"/>
                <w:spacing w:val="-2"/>
              </w:rPr>
              <w:t>employees’</w:t>
            </w:r>
            <w:r>
              <w:rPr>
                <w:rFonts w:ascii="Arial" w:eastAsia="Arial" w:hAnsi="Arial" w:cs="Arial"/>
                <w:spacing w:val="34"/>
              </w:rPr>
              <w:t xml:space="preserve"> </w:t>
            </w:r>
            <w:r>
              <w:rPr>
                <w:rFonts w:ascii="Arial" w:eastAsia="Arial" w:hAnsi="Arial" w:cs="Arial"/>
                <w:spacing w:val="-1"/>
              </w:rPr>
              <w:t>rights</w:t>
            </w:r>
            <w:r>
              <w:rPr>
                <w:rFonts w:ascii="Arial" w:eastAsia="Arial" w:hAnsi="Arial" w:cs="Arial"/>
                <w:spacing w:val="35"/>
              </w:rPr>
              <w:t xml:space="preserve"> </w:t>
            </w:r>
            <w:r>
              <w:rPr>
                <w:rFonts w:ascii="Arial" w:eastAsia="Arial" w:hAnsi="Arial" w:cs="Arial"/>
                <w:spacing w:val="-1"/>
              </w:rPr>
              <w:t>in</w:t>
            </w:r>
            <w:r>
              <w:rPr>
                <w:rFonts w:ascii="Arial" w:eastAsia="Arial" w:hAnsi="Arial" w:cs="Arial"/>
                <w:spacing w:val="34"/>
              </w:rPr>
              <w:t xml:space="preserve"> </w:t>
            </w:r>
            <w:r>
              <w:rPr>
                <w:rFonts w:ascii="Arial" w:eastAsia="Arial" w:hAnsi="Arial" w:cs="Arial"/>
                <w:spacing w:val="-1"/>
              </w:rPr>
              <w:t>the</w:t>
            </w:r>
            <w:r>
              <w:rPr>
                <w:rFonts w:ascii="Arial" w:eastAsia="Arial" w:hAnsi="Arial" w:cs="Arial"/>
                <w:spacing w:val="36"/>
              </w:rPr>
              <w:t xml:space="preserve"> </w:t>
            </w:r>
            <w:r>
              <w:rPr>
                <w:rFonts w:ascii="Arial" w:eastAsia="Arial" w:hAnsi="Arial" w:cs="Arial"/>
                <w:spacing w:val="-2"/>
              </w:rPr>
              <w:t>event</w:t>
            </w:r>
            <w:r>
              <w:rPr>
                <w:rFonts w:ascii="Arial" w:eastAsia="Arial" w:hAnsi="Arial" w:cs="Arial"/>
                <w:spacing w:val="4"/>
              </w:rPr>
              <w:t xml:space="preserve"> </w:t>
            </w:r>
            <w:r>
              <w:rPr>
                <w:rFonts w:ascii="Arial" w:eastAsia="Arial" w:hAnsi="Arial" w:cs="Arial"/>
                <w:spacing w:val="-1"/>
              </w:rPr>
              <w:t>of</w:t>
            </w:r>
            <w:r>
              <w:rPr>
                <w:rFonts w:ascii="Arial" w:eastAsia="Arial" w:hAnsi="Arial" w:cs="Arial"/>
                <w:spacing w:val="4"/>
              </w:rPr>
              <w:t xml:space="preserve"> </w:t>
            </w:r>
            <w:r>
              <w:rPr>
                <w:rFonts w:ascii="Arial" w:eastAsia="Arial" w:hAnsi="Arial" w:cs="Arial"/>
                <w:spacing w:val="-1"/>
              </w:rPr>
              <w:t>transfers</w:t>
            </w:r>
            <w:r>
              <w:rPr>
                <w:rFonts w:ascii="Arial" w:eastAsia="Arial" w:hAnsi="Arial" w:cs="Arial"/>
                <w:spacing w:val="3"/>
              </w:rPr>
              <w:t xml:space="preserve"> </w:t>
            </w:r>
            <w:r>
              <w:rPr>
                <w:rFonts w:ascii="Arial" w:eastAsia="Arial" w:hAnsi="Arial" w:cs="Arial"/>
                <w:spacing w:val="-2"/>
              </w:rPr>
              <w:t>of</w:t>
            </w:r>
            <w:r>
              <w:rPr>
                <w:rFonts w:ascii="Arial" w:eastAsia="Arial" w:hAnsi="Arial" w:cs="Arial"/>
                <w:spacing w:val="4"/>
              </w:rPr>
              <w:t xml:space="preserve"> </w:t>
            </w:r>
            <w:r>
              <w:rPr>
                <w:rFonts w:ascii="Arial" w:eastAsia="Arial" w:hAnsi="Arial" w:cs="Arial"/>
                <w:spacing w:val="-1"/>
              </w:rPr>
              <w:t>undertakings,</w:t>
            </w:r>
            <w:r>
              <w:rPr>
                <w:rFonts w:ascii="Arial" w:eastAsia="Arial" w:hAnsi="Arial" w:cs="Arial"/>
                <w:spacing w:val="4"/>
              </w:rPr>
              <w:t xml:space="preserve"> </w:t>
            </w:r>
            <w:r>
              <w:rPr>
                <w:rFonts w:ascii="Arial" w:eastAsia="Arial" w:hAnsi="Arial" w:cs="Arial"/>
                <w:spacing w:val="-1"/>
              </w:rPr>
              <w:t>businesses</w:t>
            </w:r>
            <w:r>
              <w:rPr>
                <w:rFonts w:ascii="Arial" w:eastAsia="Arial" w:hAnsi="Arial" w:cs="Arial"/>
                <w:spacing w:val="3"/>
              </w:rPr>
              <w:t xml:space="preserve"> </w:t>
            </w:r>
            <w:r>
              <w:rPr>
                <w:rFonts w:ascii="Arial" w:eastAsia="Arial" w:hAnsi="Arial" w:cs="Arial"/>
                <w:spacing w:val="-2"/>
              </w:rPr>
              <w:t>or</w:t>
            </w:r>
            <w:r>
              <w:rPr>
                <w:rFonts w:ascii="Arial" w:eastAsia="Arial" w:hAnsi="Arial" w:cs="Arial"/>
                <w:spacing w:val="2"/>
              </w:rPr>
              <w:t xml:space="preserve"> </w:t>
            </w:r>
            <w:r>
              <w:rPr>
                <w:rFonts w:ascii="Arial" w:eastAsia="Arial" w:hAnsi="Arial" w:cs="Arial"/>
                <w:spacing w:val="-1"/>
              </w:rPr>
              <w:t>parts</w:t>
            </w:r>
            <w:r>
              <w:rPr>
                <w:rFonts w:ascii="Arial" w:eastAsia="Arial" w:hAnsi="Arial" w:cs="Arial"/>
                <w:spacing w:val="3"/>
              </w:rPr>
              <w:t xml:space="preserve"> </w:t>
            </w:r>
            <w:r>
              <w:rPr>
                <w:rFonts w:ascii="Arial" w:eastAsia="Arial" w:hAnsi="Arial" w:cs="Arial"/>
                <w:spacing w:val="-3"/>
              </w:rPr>
              <w:t>of</w:t>
            </w:r>
            <w:r>
              <w:rPr>
                <w:rFonts w:ascii="Arial" w:eastAsia="Arial" w:hAnsi="Arial" w:cs="Arial"/>
                <w:spacing w:val="32"/>
              </w:rPr>
              <w:t xml:space="preserve"> </w:t>
            </w:r>
            <w:r>
              <w:rPr>
                <w:rFonts w:ascii="Arial" w:eastAsia="Arial" w:hAnsi="Arial" w:cs="Arial"/>
                <w:spacing w:val="-1"/>
              </w:rPr>
              <w:t>undertakings</w:t>
            </w:r>
            <w:r>
              <w:rPr>
                <w:rFonts w:ascii="Arial" w:eastAsia="Arial" w:hAnsi="Arial" w:cs="Arial"/>
                <w:spacing w:val="30"/>
              </w:rPr>
              <w:t xml:space="preserve"> </w:t>
            </w:r>
            <w:r>
              <w:rPr>
                <w:rFonts w:ascii="Arial" w:eastAsia="Arial" w:hAnsi="Arial" w:cs="Arial"/>
                <w:spacing w:val="-1"/>
              </w:rPr>
              <w:t>or</w:t>
            </w:r>
            <w:r>
              <w:rPr>
                <w:rFonts w:ascii="Arial" w:eastAsia="Arial" w:hAnsi="Arial" w:cs="Arial"/>
                <w:spacing w:val="30"/>
              </w:rPr>
              <w:t xml:space="preserve"> </w:t>
            </w:r>
            <w:r>
              <w:rPr>
                <w:rFonts w:ascii="Arial" w:eastAsia="Arial" w:hAnsi="Arial" w:cs="Arial"/>
                <w:spacing w:val="-1"/>
              </w:rPr>
              <w:t>businesses,</w:t>
            </w:r>
            <w:r>
              <w:rPr>
                <w:rFonts w:ascii="Arial" w:eastAsia="Arial" w:hAnsi="Arial" w:cs="Arial"/>
                <w:spacing w:val="31"/>
              </w:rPr>
              <w:t xml:space="preserve"> </w:t>
            </w:r>
            <w:r>
              <w:rPr>
                <w:rFonts w:ascii="Arial" w:eastAsia="Arial" w:hAnsi="Arial" w:cs="Arial"/>
                <w:spacing w:val="-1"/>
              </w:rPr>
              <w:t>as</w:t>
            </w:r>
            <w:r>
              <w:rPr>
                <w:rFonts w:ascii="Arial" w:eastAsia="Arial" w:hAnsi="Arial" w:cs="Arial"/>
                <w:spacing w:val="30"/>
              </w:rPr>
              <w:t xml:space="preserve"> </w:t>
            </w:r>
            <w:r>
              <w:rPr>
                <w:rFonts w:ascii="Arial" w:eastAsia="Arial" w:hAnsi="Arial" w:cs="Arial"/>
                <w:spacing w:val="-1"/>
              </w:rPr>
              <w:t>amended</w:t>
            </w:r>
            <w:r>
              <w:rPr>
                <w:rFonts w:ascii="Arial" w:eastAsia="Arial" w:hAnsi="Arial" w:cs="Arial"/>
                <w:spacing w:val="29"/>
              </w:rPr>
              <w:t xml:space="preserve"> </w:t>
            </w:r>
            <w:r>
              <w:rPr>
                <w:rFonts w:ascii="Arial" w:eastAsia="Arial" w:hAnsi="Arial" w:cs="Arial"/>
                <w:spacing w:val="-1"/>
              </w:rPr>
              <w:t>or</w:t>
            </w:r>
            <w:r>
              <w:rPr>
                <w:rFonts w:ascii="Arial" w:eastAsia="Arial" w:hAnsi="Arial" w:cs="Arial"/>
                <w:spacing w:val="30"/>
              </w:rPr>
              <w:t xml:space="preserve"> </w:t>
            </w:r>
            <w:r>
              <w:rPr>
                <w:rFonts w:ascii="Arial" w:eastAsia="Arial" w:hAnsi="Arial" w:cs="Arial"/>
                <w:spacing w:val="-1"/>
              </w:rPr>
              <w:t>re-enacted</w:t>
            </w:r>
            <w:r>
              <w:rPr>
                <w:rFonts w:ascii="Arial" w:eastAsia="Arial" w:hAnsi="Arial" w:cs="Arial"/>
                <w:spacing w:val="22"/>
              </w:rPr>
              <w:t xml:space="preserve"> </w:t>
            </w:r>
            <w:r>
              <w:rPr>
                <w:rFonts w:ascii="Arial" w:eastAsia="Arial" w:hAnsi="Arial" w:cs="Arial"/>
                <w:spacing w:val="-1"/>
              </w:rPr>
              <w:t>from time</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time;</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"Additional</w:t>
            </w:r>
            <w:r>
              <w:rPr>
                <w:rFonts w:ascii="Arial"/>
                <w:b/>
              </w:rPr>
              <w:t xml:space="preserve"> </w:t>
            </w:r>
            <w:r>
              <w:rPr>
                <w:rFonts w:ascii="Arial"/>
                <w:b/>
                <w:spacing w:val="-2"/>
              </w:rPr>
              <w:t>Clauses"</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7"/>
              <w:jc w:val="both"/>
              <w:rPr>
                <w:rFonts w:ascii="Arial" w:eastAsia="Arial" w:hAnsi="Arial" w:cs="Arial"/>
              </w:rPr>
            </w:pPr>
            <w:r>
              <w:rPr>
                <w:rFonts w:ascii="Arial"/>
                <w:spacing w:val="-1"/>
              </w:rPr>
              <w:t>means</w:t>
            </w:r>
            <w:r>
              <w:rPr>
                <w:rFonts w:ascii="Arial"/>
                <w:spacing w:val="44"/>
              </w:rPr>
              <w:t xml:space="preserve"> </w:t>
            </w:r>
            <w:r>
              <w:rPr>
                <w:rFonts w:ascii="Arial"/>
              </w:rPr>
              <w:t>the</w:t>
            </w:r>
            <w:r>
              <w:rPr>
                <w:rFonts w:ascii="Arial"/>
                <w:spacing w:val="46"/>
              </w:rPr>
              <w:t xml:space="preserve"> </w:t>
            </w:r>
            <w:r>
              <w:rPr>
                <w:rFonts w:ascii="Arial"/>
                <w:spacing w:val="-1"/>
              </w:rPr>
              <w:t>additional</w:t>
            </w:r>
            <w:r>
              <w:rPr>
                <w:rFonts w:ascii="Arial"/>
                <w:spacing w:val="46"/>
              </w:rPr>
              <w:t xml:space="preserve"> </w:t>
            </w:r>
            <w:r>
              <w:rPr>
                <w:rFonts w:ascii="Arial"/>
                <w:spacing w:val="-1"/>
              </w:rPr>
              <w:t>Clauses</w:t>
            </w:r>
            <w:r>
              <w:rPr>
                <w:rFonts w:ascii="Arial"/>
                <w:spacing w:val="46"/>
              </w:rPr>
              <w:t xml:space="preserve"> </w:t>
            </w:r>
            <w:r>
              <w:rPr>
                <w:rFonts w:ascii="Arial"/>
                <w:spacing w:val="-1"/>
              </w:rPr>
              <w:t>in</w:t>
            </w:r>
            <w:r>
              <w:rPr>
                <w:rFonts w:ascii="Arial"/>
                <w:spacing w:val="46"/>
              </w:rPr>
              <w:t xml:space="preserve"> </w:t>
            </w:r>
            <w:r>
              <w:rPr>
                <w:rFonts w:ascii="Arial"/>
                <w:spacing w:val="-2"/>
              </w:rPr>
              <w:t>Call</w:t>
            </w:r>
            <w:r>
              <w:rPr>
                <w:rFonts w:ascii="Arial"/>
                <w:spacing w:val="45"/>
              </w:rPr>
              <w:t xml:space="preserve"> </w:t>
            </w:r>
            <w:r>
              <w:rPr>
                <w:rFonts w:ascii="Arial"/>
                <w:spacing w:val="-1"/>
              </w:rPr>
              <w:t>Off</w:t>
            </w:r>
            <w:r>
              <w:rPr>
                <w:rFonts w:ascii="Arial"/>
                <w:spacing w:val="48"/>
              </w:rPr>
              <w:t xml:space="preserve"> </w:t>
            </w:r>
            <w:r>
              <w:rPr>
                <w:rFonts w:ascii="Arial"/>
                <w:spacing w:val="-2"/>
              </w:rPr>
              <w:t>Schedule</w:t>
            </w:r>
            <w:r>
              <w:rPr>
                <w:rFonts w:ascii="Arial"/>
                <w:spacing w:val="46"/>
              </w:rPr>
              <w:t xml:space="preserve"> </w:t>
            </w:r>
            <w:r>
              <w:rPr>
                <w:rFonts w:ascii="Arial"/>
              </w:rPr>
              <w:t>14</w:t>
            </w:r>
            <w:r>
              <w:rPr>
                <w:rFonts w:ascii="Arial"/>
                <w:spacing w:val="31"/>
              </w:rPr>
              <w:t xml:space="preserve"> </w:t>
            </w:r>
            <w:r>
              <w:rPr>
                <w:rFonts w:ascii="Arial"/>
                <w:spacing w:val="-1"/>
              </w:rPr>
              <w:t>(Alternative</w:t>
            </w:r>
            <w:r>
              <w:rPr>
                <w:rFonts w:ascii="Arial"/>
                <w:spacing w:val="6"/>
              </w:rPr>
              <w:t xml:space="preserve"> </w:t>
            </w:r>
            <w:r>
              <w:rPr>
                <w:rFonts w:ascii="Arial"/>
                <w:spacing w:val="-1"/>
              </w:rPr>
              <w:t>and/or</w:t>
            </w:r>
            <w:r>
              <w:rPr>
                <w:rFonts w:ascii="Arial"/>
                <w:spacing w:val="8"/>
              </w:rPr>
              <w:t xml:space="preserve"> </w:t>
            </w:r>
            <w:r>
              <w:rPr>
                <w:rFonts w:ascii="Arial"/>
                <w:spacing w:val="-2"/>
              </w:rPr>
              <w:t>Additional</w:t>
            </w:r>
            <w:r>
              <w:rPr>
                <w:rFonts w:ascii="Arial"/>
                <w:spacing w:val="6"/>
              </w:rPr>
              <w:t xml:space="preserve"> </w:t>
            </w:r>
            <w:r>
              <w:rPr>
                <w:rFonts w:ascii="Arial"/>
                <w:spacing w:val="-1"/>
              </w:rPr>
              <w:t>Clauses)</w:t>
            </w:r>
            <w:r>
              <w:rPr>
                <w:rFonts w:ascii="Arial"/>
                <w:spacing w:val="8"/>
              </w:rPr>
              <w:t xml:space="preserve"> </w:t>
            </w:r>
            <w:r>
              <w:rPr>
                <w:rFonts w:ascii="Arial"/>
                <w:spacing w:val="-1"/>
              </w:rPr>
              <w:t>and</w:t>
            </w:r>
            <w:r>
              <w:rPr>
                <w:rFonts w:ascii="Arial"/>
                <w:spacing w:val="6"/>
              </w:rPr>
              <w:t xml:space="preserve"> </w:t>
            </w:r>
            <w:r>
              <w:rPr>
                <w:rFonts w:ascii="Arial"/>
                <w:spacing w:val="-2"/>
              </w:rPr>
              <w:t>any</w:t>
            </w:r>
            <w:r>
              <w:rPr>
                <w:rFonts w:ascii="Arial"/>
                <w:spacing w:val="4"/>
              </w:rPr>
              <w:t xml:space="preserve"> </w:t>
            </w:r>
            <w:r>
              <w:rPr>
                <w:rFonts w:ascii="Arial"/>
                <w:spacing w:val="-1"/>
              </w:rPr>
              <w:t>other</w:t>
            </w:r>
            <w:r>
              <w:rPr>
                <w:rFonts w:ascii="Arial"/>
                <w:spacing w:val="40"/>
              </w:rPr>
              <w:t xml:space="preserve"> </w:t>
            </w:r>
            <w:r>
              <w:rPr>
                <w:rFonts w:ascii="Arial"/>
                <w:spacing w:val="-1"/>
              </w:rPr>
              <w:t>additional</w:t>
            </w:r>
            <w:r>
              <w:rPr>
                <w:rFonts w:ascii="Arial"/>
                <w:spacing w:val="61"/>
              </w:rPr>
              <w:t xml:space="preserve"> </w:t>
            </w:r>
            <w:r>
              <w:rPr>
                <w:rFonts w:ascii="Arial"/>
                <w:spacing w:val="-1"/>
              </w:rPr>
              <w:t>Clauses</w:t>
            </w:r>
            <w:r>
              <w:rPr>
                <w:rFonts w:ascii="Arial"/>
                <w:spacing w:val="1"/>
              </w:rPr>
              <w:t xml:space="preserve"> </w:t>
            </w:r>
            <w:r>
              <w:rPr>
                <w:rFonts w:ascii="Arial"/>
                <w:spacing w:val="-1"/>
              </w:rPr>
              <w:t>set</w:t>
            </w:r>
            <w:r>
              <w:rPr>
                <w:rFonts w:ascii="Arial"/>
                <w:spacing w:val="2"/>
              </w:rPr>
              <w:t xml:space="preserve"> </w:t>
            </w:r>
            <w:r>
              <w:rPr>
                <w:rFonts w:ascii="Arial"/>
                <w:spacing w:val="-1"/>
              </w:rPr>
              <w:t>out</w:t>
            </w:r>
            <w:r>
              <w:rPr>
                <w:rFonts w:ascii="Arial"/>
                <w:spacing w:val="2"/>
              </w:rPr>
              <w:t xml:space="preserve"> </w:t>
            </w:r>
            <w:r>
              <w:rPr>
                <w:rFonts w:ascii="Arial"/>
                <w:spacing w:val="-1"/>
              </w:rPr>
              <w:t>in</w:t>
            </w:r>
            <w:r>
              <w:rPr>
                <w:rFonts w:ascii="Arial"/>
              </w:rPr>
              <w:t xml:space="preserve">  the  </w:t>
            </w:r>
            <w:r>
              <w:rPr>
                <w:rFonts w:ascii="Arial"/>
                <w:spacing w:val="-1"/>
              </w:rPr>
              <w:t>Order</w:t>
            </w:r>
            <w:r>
              <w:rPr>
                <w:rFonts w:ascii="Arial"/>
                <w:spacing w:val="2"/>
              </w:rPr>
              <w:t xml:space="preserve"> </w:t>
            </w:r>
            <w:r>
              <w:rPr>
                <w:rFonts w:ascii="Arial"/>
                <w:spacing w:val="-1"/>
              </w:rPr>
              <w:t>Form</w:t>
            </w:r>
            <w:r>
              <w:rPr>
                <w:rFonts w:ascii="Arial"/>
                <w:spacing w:val="2"/>
              </w:rPr>
              <w:t xml:space="preserve"> </w:t>
            </w:r>
            <w:r>
              <w:rPr>
                <w:rFonts w:ascii="Arial"/>
                <w:spacing w:val="-2"/>
              </w:rPr>
              <w:t>or</w:t>
            </w:r>
            <w:r>
              <w:rPr>
                <w:rFonts w:ascii="Arial"/>
                <w:spacing w:val="30"/>
              </w:rPr>
              <w:t xml:space="preserve"> </w:t>
            </w:r>
            <w:r>
              <w:rPr>
                <w:rFonts w:ascii="Arial"/>
                <w:spacing w:val="-2"/>
              </w:rPr>
              <w:t>elsewhere</w:t>
            </w:r>
            <w:r>
              <w:rPr>
                <w:rFonts w:ascii="Arial"/>
              </w:rPr>
              <w:t xml:space="preserve"> </w:t>
            </w:r>
            <w:r>
              <w:rPr>
                <w:rFonts w:ascii="Arial"/>
                <w:spacing w:val="-1"/>
              </w:rPr>
              <w:t>in</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Contract;</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"Affected</w:t>
            </w:r>
            <w:r>
              <w:rPr>
                <w:rFonts w:ascii="Arial"/>
                <w:b/>
              </w:rPr>
              <w:t xml:space="preserve"> </w:t>
            </w:r>
            <w:r>
              <w:rPr>
                <w:rFonts w:ascii="Arial"/>
                <w:b/>
                <w:spacing w:val="-2"/>
              </w:rPr>
              <w:t>Party"</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98"/>
              <w:rPr>
                <w:rFonts w:ascii="Arial" w:eastAsia="Arial" w:hAnsi="Arial" w:cs="Arial"/>
              </w:rPr>
            </w:pPr>
            <w:r>
              <w:rPr>
                <w:rFonts w:ascii="Arial"/>
                <w:spacing w:val="-1"/>
              </w:rPr>
              <w:t>means</w:t>
            </w:r>
            <w:r>
              <w:rPr>
                <w:rFonts w:ascii="Arial"/>
                <w:spacing w:val="37"/>
              </w:rPr>
              <w:t xml:space="preserve"> </w:t>
            </w:r>
            <w:r>
              <w:rPr>
                <w:rFonts w:ascii="Arial"/>
                <w:spacing w:val="-1"/>
              </w:rPr>
              <w:t>the</w:t>
            </w:r>
            <w:r>
              <w:rPr>
                <w:rFonts w:ascii="Arial"/>
                <w:spacing w:val="36"/>
              </w:rPr>
              <w:t xml:space="preserve"> </w:t>
            </w:r>
            <w:r>
              <w:rPr>
                <w:rFonts w:ascii="Arial"/>
                <w:spacing w:val="-1"/>
              </w:rPr>
              <w:t>party</w:t>
            </w:r>
            <w:r>
              <w:rPr>
                <w:rFonts w:ascii="Arial"/>
                <w:spacing w:val="34"/>
              </w:rPr>
              <w:t xml:space="preserve"> </w:t>
            </w:r>
            <w:r>
              <w:rPr>
                <w:rFonts w:ascii="Arial"/>
                <w:spacing w:val="-1"/>
              </w:rPr>
              <w:t>seeking</w:t>
            </w:r>
            <w:r>
              <w:rPr>
                <w:rFonts w:ascii="Arial"/>
                <w:spacing w:val="36"/>
              </w:rPr>
              <w:t xml:space="preserve"> </w:t>
            </w:r>
            <w:r>
              <w:rPr>
                <w:rFonts w:ascii="Arial"/>
              </w:rPr>
              <w:t>to</w:t>
            </w:r>
            <w:r>
              <w:rPr>
                <w:rFonts w:ascii="Arial"/>
                <w:spacing w:val="36"/>
              </w:rPr>
              <w:t xml:space="preserve"> </w:t>
            </w:r>
            <w:r>
              <w:rPr>
                <w:rFonts w:ascii="Arial"/>
                <w:spacing w:val="-1"/>
              </w:rPr>
              <w:t>claim</w:t>
            </w:r>
            <w:r>
              <w:rPr>
                <w:rFonts w:ascii="Arial"/>
                <w:spacing w:val="38"/>
              </w:rPr>
              <w:t xml:space="preserve"> </w:t>
            </w:r>
            <w:r>
              <w:rPr>
                <w:rFonts w:ascii="Arial"/>
                <w:spacing w:val="-2"/>
              </w:rPr>
              <w:t>relief</w:t>
            </w:r>
            <w:r>
              <w:rPr>
                <w:rFonts w:ascii="Arial"/>
                <w:spacing w:val="41"/>
              </w:rPr>
              <w:t xml:space="preserve"> </w:t>
            </w:r>
            <w:r>
              <w:rPr>
                <w:rFonts w:ascii="Arial"/>
                <w:spacing w:val="-1"/>
              </w:rPr>
              <w:t>in</w:t>
            </w:r>
            <w:r>
              <w:rPr>
                <w:rFonts w:ascii="Arial"/>
                <w:spacing w:val="34"/>
              </w:rPr>
              <w:t xml:space="preserve"> </w:t>
            </w:r>
            <w:r>
              <w:rPr>
                <w:rFonts w:ascii="Arial"/>
                <w:spacing w:val="-1"/>
              </w:rPr>
              <w:t>respect</w:t>
            </w:r>
            <w:r>
              <w:rPr>
                <w:rFonts w:ascii="Arial"/>
                <w:spacing w:val="38"/>
              </w:rPr>
              <w:t xml:space="preserve"> </w:t>
            </w:r>
            <w:r>
              <w:rPr>
                <w:rFonts w:ascii="Arial"/>
                <w:spacing w:val="-2"/>
              </w:rPr>
              <w:t>of</w:t>
            </w:r>
            <w:r>
              <w:rPr>
                <w:rFonts w:ascii="Arial"/>
                <w:spacing w:val="38"/>
              </w:rPr>
              <w:t xml:space="preserve"> </w:t>
            </w:r>
            <w:r>
              <w:rPr>
                <w:rFonts w:ascii="Arial"/>
              </w:rPr>
              <w:t>a</w:t>
            </w:r>
            <w:r>
              <w:rPr>
                <w:rFonts w:ascii="Arial"/>
                <w:spacing w:val="27"/>
              </w:rPr>
              <w:t xml:space="preserve"> </w:t>
            </w:r>
            <w:r>
              <w:rPr>
                <w:rFonts w:ascii="Arial"/>
                <w:spacing w:val="-1"/>
              </w:rPr>
              <w:t>Force</w:t>
            </w:r>
            <w:r>
              <w:rPr>
                <w:rFonts w:ascii="Arial"/>
                <w:spacing w:val="1"/>
              </w:rPr>
              <w:t xml:space="preserve"> </w:t>
            </w:r>
            <w:r>
              <w:rPr>
                <w:rFonts w:ascii="Arial"/>
                <w:spacing w:val="-2"/>
              </w:rPr>
              <w:t>Majeure;</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"Affiliates"</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6"/>
              <w:jc w:val="both"/>
              <w:rPr>
                <w:rFonts w:ascii="Arial" w:eastAsia="Arial" w:hAnsi="Arial" w:cs="Arial"/>
              </w:rPr>
            </w:pPr>
            <w:r>
              <w:rPr>
                <w:rFonts w:ascii="Arial"/>
                <w:spacing w:val="-1"/>
              </w:rPr>
              <w:t>means</w:t>
            </w:r>
            <w:r>
              <w:rPr>
                <w:rFonts w:ascii="Arial"/>
                <w:spacing w:val="34"/>
              </w:rPr>
              <w:t xml:space="preserve"> </w:t>
            </w:r>
            <w:r>
              <w:rPr>
                <w:rFonts w:ascii="Arial"/>
                <w:spacing w:val="-1"/>
              </w:rPr>
              <w:t>in</w:t>
            </w:r>
            <w:r>
              <w:rPr>
                <w:rFonts w:ascii="Arial"/>
                <w:spacing w:val="34"/>
              </w:rPr>
              <w:t xml:space="preserve"> </w:t>
            </w:r>
            <w:r>
              <w:rPr>
                <w:rFonts w:ascii="Arial"/>
                <w:spacing w:val="-1"/>
              </w:rPr>
              <w:t>relation</w:t>
            </w:r>
            <w:r>
              <w:rPr>
                <w:rFonts w:ascii="Arial"/>
                <w:spacing w:val="34"/>
              </w:rPr>
              <w:t xml:space="preserve"> </w:t>
            </w:r>
            <w:r>
              <w:rPr>
                <w:rFonts w:ascii="Arial"/>
              </w:rPr>
              <w:t>to</w:t>
            </w:r>
            <w:r>
              <w:rPr>
                <w:rFonts w:ascii="Arial"/>
                <w:spacing w:val="34"/>
              </w:rPr>
              <w:t xml:space="preserve"> </w:t>
            </w:r>
            <w:r>
              <w:rPr>
                <w:rFonts w:ascii="Arial"/>
              </w:rPr>
              <w:t>a</w:t>
            </w:r>
            <w:r>
              <w:rPr>
                <w:rFonts w:ascii="Arial"/>
                <w:spacing w:val="29"/>
              </w:rPr>
              <w:t xml:space="preserve"> </w:t>
            </w:r>
            <w:r>
              <w:rPr>
                <w:rFonts w:ascii="Arial"/>
                <w:spacing w:val="-1"/>
              </w:rPr>
              <w:t>body</w:t>
            </w:r>
            <w:r>
              <w:rPr>
                <w:rFonts w:ascii="Arial"/>
                <w:spacing w:val="32"/>
              </w:rPr>
              <w:t xml:space="preserve"> </w:t>
            </w:r>
            <w:r>
              <w:rPr>
                <w:rFonts w:ascii="Arial"/>
                <w:spacing w:val="-1"/>
              </w:rPr>
              <w:t>corporate,</w:t>
            </w:r>
            <w:r>
              <w:rPr>
                <w:rFonts w:ascii="Arial"/>
                <w:spacing w:val="35"/>
              </w:rPr>
              <w:t xml:space="preserve"> </w:t>
            </w:r>
            <w:r>
              <w:rPr>
                <w:rFonts w:ascii="Arial"/>
                <w:spacing w:val="-1"/>
              </w:rPr>
              <w:t>any</w:t>
            </w:r>
            <w:r>
              <w:rPr>
                <w:rFonts w:ascii="Arial"/>
                <w:spacing w:val="33"/>
              </w:rPr>
              <w:t xml:space="preserve"> </w:t>
            </w:r>
            <w:r>
              <w:rPr>
                <w:rFonts w:ascii="Arial"/>
                <w:spacing w:val="-1"/>
              </w:rPr>
              <w:t>other</w:t>
            </w:r>
            <w:r>
              <w:rPr>
                <w:rFonts w:ascii="Arial"/>
                <w:spacing w:val="35"/>
              </w:rPr>
              <w:t xml:space="preserve"> </w:t>
            </w:r>
            <w:r>
              <w:rPr>
                <w:rFonts w:ascii="Arial"/>
                <w:spacing w:val="-1"/>
              </w:rPr>
              <w:t>entity</w:t>
            </w:r>
            <w:r>
              <w:rPr>
                <w:rFonts w:ascii="Arial"/>
                <w:spacing w:val="29"/>
              </w:rPr>
              <w:t xml:space="preserve"> </w:t>
            </w:r>
            <w:r>
              <w:rPr>
                <w:rFonts w:ascii="Arial"/>
                <w:spacing w:val="-1"/>
              </w:rPr>
              <w:t>which</w:t>
            </w:r>
            <w:r>
              <w:rPr>
                <w:rFonts w:ascii="Arial"/>
                <w:spacing w:val="1"/>
              </w:rPr>
              <w:t xml:space="preserve"> </w:t>
            </w:r>
            <w:r>
              <w:rPr>
                <w:rFonts w:ascii="Arial"/>
                <w:spacing w:val="-1"/>
              </w:rPr>
              <w:t>directly</w:t>
            </w:r>
            <w:r>
              <w:rPr>
                <w:rFonts w:ascii="Arial"/>
                <w:spacing w:val="-2"/>
              </w:rPr>
              <w:t xml:space="preserve"> </w:t>
            </w:r>
            <w:r>
              <w:rPr>
                <w:rFonts w:ascii="Arial"/>
                <w:spacing w:val="-1"/>
              </w:rPr>
              <w:t>or</w:t>
            </w:r>
            <w:r>
              <w:rPr>
                <w:rFonts w:ascii="Arial"/>
                <w:spacing w:val="2"/>
              </w:rPr>
              <w:t xml:space="preserve"> </w:t>
            </w:r>
            <w:r>
              <w:rPr>
                <w:rFonts w:ascii="Arial"/>
                <w:spacing w:val="-2"/>
              </w:rPr>
              <w:t xml:space="preserve">indirectly </w:t>
            </w:r>
            <w:r>
              <w:rPr>
                <w:rFonts w:ascii="Arial"/>
                <w:spacing w:val="-1"/>
              </w:rPr>
              <w:t>Controls,</w:t>
            </w:r>
            <w:r>
              <w:rPr>
                <w:rFonts w:ascii="Arial"/>
                <w:spacing w:val="2"/>
              </w:rPr>
              <w:t xml:space="preserve"> </w:t>
            </w:r>
            <w:r>
              <w:rPr>
                <w:rFonts w:ascii="Arial"/>
                <w:spacing w:val="-1"/>
              </w:rPr>
              <w:t>is</w:t>
            </w:r>
            <w:r>
              <w:rPr>
                <w:rFonts w:ascii="Arial"/>
                <w:spacing w:val="1"/>
              </w:rPr>
              <w:t xml:space="preserve"> </w:t>
            </w:r>
            <w:r>
              <w:rPr>
                <w:rFonts w:ascii="Arial"/>
                <w:spacing w:val="-2"/>
              </w:rPr>
              <w:t>Controlled by,</w:t>
            </w:r>
            <w:r>
              <w:rPr>
                <w:rFonts w:ascii="Arial"/>
                <w:spacing w:val="2"/>
              </w:rPr>
              <w:t xml:space="preserve"> </w:t>
            </w:r>
            <w:r>
              <w:rPr>
                <w:rFonts w:ascii="Arial"/>
                <w:spacing w:val="-1"/>
              </w:rPr>
              <w:t>or</w:t>
            </w:r>
            <w:r>
              <w:rPr>
                <w:rFonts w:ascii="Arial"/>
                <w:spacing w:val="2"/>
              </w:rPr>
              <w:t xml:space="preserve"> </w:t>
            </w:r>
            <w:r>
              <w:rPr>
                <w:rFonts w:ascii="Arial"/>
                <w:spacing w:val="-1"/>
              </w:rPr>
              <w:t>is</w:t>
            </w:r>
            <w:r>
              <w:rPr>
                <w:rFonts w:ascii="Arial"/>
                <w:spacing w:val="53"/>
              </w:rPr>
              <w:t xml:space="preserve"> </w:t>
            </w:r>
            <w:r>
              <w:rPr>
                <w:rFonts w:ascii="Arial"/>
                <w:spacing w:val="-1"/>
              </w:rPr>
              <w:t>under</w:t>
            </w:r>
            <w:r>
              <w:rPr>
                <w:rFonts w:ascii="Arial"/>
              </w:rPr>
              <w:t xml:space="preserve"> </w:t>
            </w:r>
            <w:r>
              <w:rPr>
                <w:rFonts w:ascii="Arial"/>
                <w:spacing w:val="-1"/>
              </w:rPr>
              <w:t>direct</w:t>
            </w:r>
            <w:r>
              <w:rPr>
                <w:rFonts w:ascii="Arial"/>
                <w:spacing w:val="1"/>
              </w:rPr>
              <w:t xml:space="preserve"> </w:t>
            </w:r>
            <w:r>
              <w:rPr>
                <w:rFonts w:ascii="Arial"/>
                <w:spacing w:val="-2"/>
              </w:rPr>
              <w:t>or</w:t>
            </w:r>
            <w:r>
              <w:rPr>
                <w:rFonts w:ascii="Arial"/>
              </w:rPr>
              <w:t xml:space="preserve"> </w:t>
            </w:r>
            <w:r>
              <w:rPr>
                <w:rFonts w:ascii="Arial"/>
                <w:spacing w:val="-1"/>
              </w:rPr>
              <w:t>indirect</w:t>
            </w:r>
            <w:r>
              <w:rPr>
                <w:rFonts w:ascii="Arial"/>
                <w:spacing w:val="60"/>
              </w:rPr>
              <w:t xml:space="preserve"> </w:t>
            </w:r>
            <w:r>
              <w:rPr>
                <w:rFonts w:ascii="Arial"/>
                <w:spacing w:val="-1"/>
              </w:rPr>
              <w:t>common</w:t>
            </w:r>
            <w:r>
              <w:rPr>
                <w:rFonts w:ascii="Arial"/>
                <w:spacing w:val="60"/>
              </w:rPr>
              <w:t xml:space="preserve"> </w:t>
            </w:r>
            <w:r>
              <w:rPr>
                <w:rFonts w:ascii="Arial"/>
                <w:spacing w:val="-1"/>
              </w:rPr>
              <w:t>Control</w:t>
            </w:r>
            <w:r>
              <w:rPr>
                <w:rFonts w:ascii="Arial"/>
                <w:spacing w:val="59"/>
              </w:rPr>
              <w:t xml:space="preserve"> </w:t>
            </w:r>
            <w:r>
              <w:rPr>
                <w:rFonts w:ascii="Arial"/>
                <w:spacing w:val="-2"/>
              </w:rPr>
              <w:t>of</w:t>
            </w:r>
            <w:r>
              <w:rPr>
                <w:rFonts w:ascii="Arial"/>
              </w:rPr>
              <w:t xml:space="preserve">  </w:t>
            </w:r>
            <w:r>
              <w:rPr>
                <w:rFonts w:ascii="Arial"/>
                <w:spacing w:val="-1"/>
              </w:rPr>
              <w:t>that</w:t>
            </w:r>
            <w:r>
              <w:rPr>
                <w:rFonts w:ascii="Arial"/>
                <w:spacing w:val="1"/>
              </w:rPr>
              <w:t xml:space="preserve"> </w:t>
            </w:r>
            <w:r>
              <w:rPr>
                <w:rFonts w:ascii="Arial"/>
                <w:spacing w:val="-1"/>
              </w:rPr>
              <w:t>body</w:t>
            </w:r>
            <w:r>
              <w:rPr>
                <w:rFonts w:ascii="Arial"/>
                <w:spacing w:val="20"/>
              </w:rPr>
              <w:t xml:space="preserve"> </w:t>
            </w:r>
            <w:r>
              <w:rPr>
                <w:rFonts w:ascii="Arial"/>
                <w:spacing w:val="-1"/>
              </w:rPr>
              <w:t>corporate</w:t>
            </w:r>
            <w:r>
              <w:rPr>
                <w:rFonts w:ascii="Arial"/>
                <w:spacing w:val="-2"/>
              </w:rPr>
              <w:t xml:space="preserve"> </w:t>
            </w:r>
            <w:r>
              <w:rPr>
                <w:rFonts w:ascii="Arial"/>
                <w:spacing w:val="-1"/>
              </w:rPr>
              <w:t>from time</w:t>
            </w:r>
            <w:r>
              <w:rPr>
                <w:rFonts w:ascii="Arial"/>
                <w:spacing w:val="-2"/>
              </w:rPr>
              <w:t xml:space="preserve"> </w:t>
            </w:r>
            <w:r>
              <w:rPr>
                <w:rFonts w:ascii="Arial"/>
              </w:rPr>
              <w:t>to</w:t>
            </w:r>
            <w:r>
              <w:rPr>
                <w:rFonts w:ascii="Arial"/>
                <w:spacing w:val="-2"/>
              </w:rPr>
              <w:t xml:space="preserve"> </w:t>
            </w:r>
            <w:r>
              <w:rPr>
                <w:rFonts w:ascii="Arial"/>
                <w:spacing w:val="-1"/>
              </w:rPr>
              <w:t>time;</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"Alternative</w:t>
            </w:r>
            <w:r>
              <w:rPr>
                <w:rFonts w:ascii="Arial"/>
                <w:b/>
              </w:rPr>
              <w:t xml:space="preserve"> </w:t>
            </w:r>
            <w:r>
              <w:rPr>
                <w:rFonts w:ascii="Arial"/>
                <w:b/>
                <w:spacing w:val="-1"/>
              </w:rPr>
              <w:t>Clauses"</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8"/>
              <w:jc w:val="both"/>
              <w:rPr>
                <w:rFonts w:ascii="Arial" w:eastAsia="Arial" w:hAnsi="Arial" w:cs="Arial"/>
              </w:rPr>
            </w:pPr>
            <w:r>
              <w:rPr>
                <w:rFonts w:ascii="Arial"/>
                <w:spacing w:val="-1"/>
              </w:rPr>
              <w:t>means</w:t>
            </w:r>
            <w:r>
              <w:rPr>
                <w:rFonts w:ascii="Arial"/>
                <w:spacing w:val="37"/>
              </w:rPr>
              <w:t xml:space="preserve"> </w:t>
            </w:r>
            <w:r>
              <w:rPr>
                <w:rFonts w:ascii="Arial"/>
              </w:rPr>
              <w:t>the</w:t>
            </w:r>
            <w:r>
              <w:rPr>
                <w:rFonts w:ascii="Arial"/>
                <w:spacing w:val="34"/>
              </w:rPr>
              <w:t xml:space="preserve"> </w:t>
            </w:r>
            <w:r>
              <w:rPr>
                <w:rFonts w:ascii="Arial"/>
                <w:spacing w:val="-1"/>
              </w:rPr>
              <w:t>alternative</w:t>
            </w:r>
            <w:r>
              <w:rPr>
                <w:rFonts w:ascii="Arial"/>
                <w:spacing w:val="36"/>
              </w:rPr>
              <w:t xml:space="preserve"> </w:t>
            </w:r>
            <w:r>
              <w:rPr>
                <w:rFonts w:ascii="Arial"/>
                <w:spacing w:val="-1"/>
              </w:rPr>
              <w:t>Clauses</w:t>
            </w:r>
            <w:r>
              <w:rPr>
                <w:rFonts w:ascii="Arial"/>
                <w:spacing w:val="37"/>
              </w:rPr>
              <w:t xml:space="preserve"> </w:t>
            </w:r>
            <w:r>
              <w:rPr>
                <w:rFonts w:ascii="Arial"/>
                <w:spacing w:val="-1"/>
              </w:rPr>
              <w:t>in</w:t>
            </w:r>
            <w:r>
              <w:rPr>
                <w:rFonts w:ascii="Arial"/>
                <w:spacing w:val="37"/>
              </w:rPr>
              <w:t xml:space="preserve"> </w:t>
            </w:r>
            <w:r>
              <w:rPr>
                <w:rFonts w:ascii="Arial"/>
                <w:spacing w:val="-2"/>
              </w:rPr>
              <w:t>Call</w:t>
            </w:r>
            <w:r>
              <w:rPr>
                <w:rFonts w:ascii="Arial"/>
                <w:spacing w:val="36"/>
              </w:rPr>
              <w:t xml:space="preserve"> </w:t>
            </w:r>
            <w:r>
              <w:rPr>
                <w:rFonts w:ascii="Arial"/>
              </w:rPr>
              <w:t>Off</w:t>
            </w:r>
            <w:r>
              <w:rPr>
                <w:rFonts w:ascii="Arial"/>
                <w:spacing w:val="39"/>
              </w:rPr>
              <w:t xml:space="preserve"> </w:t>
            </w:r>
            <w:r>
              <w:rPr>
                <w:rFonts w:ascii="Arial"/>
                <w:spacing w:val="-2"/>
              </w:rPr>
              <w:t>Schedule</w:t>
            </w:r>
            <w:r>
              <w:rPr>
                <w:rFonts w:ascii="Arial"/>
                <w:spacing w:val="37"/>
              </w:rPr>
              <w:t xml:space="preserve"> </w:t>
            </w:r>
            <w:r>
              <w:rPr>
                <w:rFonts w:ascii="Arial"/>
                <w:spacing w:val="-1"/>
              </w:rPr>
              <w:t>14</w:t>
            </w:r>
            <w:r>
              <w:rPr>
                <w:rFonts w:ascii="Arial"/>
                <w:spacing w:val="31"/>
              </w:rPr>
              <w:t xml:space="preserve"> </w:t>
            </w:r>
            <w:r>
              <w:rPr>
                <w:rFonts w:ascii="Arial"/>
                <w:spacing w:val="-1"/>
              </w:rPr>
              <w:t>(Alternative</w:t>
            </w:r>
            <w:r>
              <w:rPr>
                <w:rFonts w:ascii="Arial"/>
                <w:spacing w:val="6"/>
              </w:rPr>
              <w:t xml:space="preserve"> </w:t>
            </w:r>
            <w:r>
              <w:rPr>
                <w:rFonts w:ascii="Arial"/>
                <w:spacing w:val="-1"/>
              </w:rPr>
              <w:t>and/or</w:t>
            </w:r>
            <w:r>
              <w:rPr>
                <w:rFonts w:ascii="Arial"/>
                <w:spacing w:val="8"/>
              </w:rPr>
              <w:t xml:space="preserve"> </w:t>
            </w:r>
            <w:r>
              <w:rPr>
                <w:rFonts w:ascii="Arial"/>
                <w:spacing w:val="-2"/>
              </w:rPr>
              <w:t>Additional</w:t>
            </w:r>
            <w:r>
              <w:rPr>
                <w:rFonts w:ascii="Arial"/>
                <w:spacing w:val="6"/>
              </w:rPr>
              <w:t xml:space="preserve"> </w:t>
            </w:r>
            <w:r>
              <w:rPr>
                <w:rFonts w:ascii="Arial"/>
                <w:spacing w:val="-1"/>
              </w:rPr>
              <w:t>Clauses)</w:t>
            </w:r>
            <w:r>
              <w:rPr>
                <w:rFonts w:ascii="Arial"/>
                <w:spacing w:val="8"/>
              </w:rPr>
              <w:t xml:space="preserve"> </w:t>
            </w:r>
            <w:r>
              <w:rPr>
                <w:rFonts w:ascii="Arial"/>
                <w:spacing w:val="-1"/>
              </w:rPr>
              <w:t>and</w:t>
            </w:r>
            <w:r>
              <w:rPr>
                <w:rFonts w:ascii="Arial"/>
                <w:spacing w:val="6"/>
              </w:rPr>
              <w:t xml:space="preserve"> </w:t>
            </w:r>
            <w:r>
              <w:rPr>
                <w:rFonts w:ascii="Arial"/>
                <w:spacing w:val="-2"/>
              </w:rPr>
              <w:t>any</w:t>
            </w:r>
            <w:r>
              <w:rPr>
                <w:rFonts w:ascii="Arial"/>
                <w:spacing w:val="4"/>
              </w:rPr>
              <w:t xml:space="preserve"> </w:t>
            </w:r>
            <w:r>
              <w:rPr>
                <w:rFonts w:ascii="Arial"/>
                <w:spacing w:val="-1"/>
              </w:rPr>
              <w:t>other</w:t>
            </w:r>
            <w:r>
              <w:rPr>
                <w:rFonts w:ascii="Arial"/>
                <w:spacing w:val="40"/>
              </w:rPr>
              <w:t xml:space="preserve"> </w:t>
            </w:r>
            <w:r>
              <w:rPr>
                <w:rFonts w:ascii="Arial"/>
                <w:spacing w:val="-1"/>
              </w:rPr>
              <w:t>alternative</w:t>
            </w:r>
            <w:r>
              <w:rPr>
                <w:rFonts w:ascii="Arial"/>
                <w:spacing w:val="52"/>
              </w:rPr>
              <w:t xml:space="preserve"> </w:t>
            </w:r>
            <w:r>
              <w:rPr>
                <w:rFonts w:ascii="Arial"/>
                <w:spacing w:val="-1"/>
              </w:rPr>
              <w:t>Clauses</w:t>
            </w:r>
            <w:r>
              <w:rPr>
                <w:rFonts w:ascii="Arial"/>
                <w:spacing w:val="53"/>
              </w:rPr>
              <w:t xml:space="preserve"> </w:t>
            </w:r>
            <w:r>
              <w:rPr>
                <w:rFonts w:ascii="Arial"/>
                <w:spacing w:val="-1"/>
              </w:rPr>
              <w:t>set</w:t>
            </w:r>
            <w:r>
              <w:rPr>
                <w:rFonts w:ascii="Arial"/>
                <w:spacing w:val="53"/>
              </w:rPr>
              <w:t xml:space="preserve"> </w:t>
            </w:r>
            <w:r>
              <w:rPr>
                <w:rFonts w:ascii="Arial"/>
                <w:spacing w:val="-1"/>
              </w:rPr>
              <w:t>out</w:t>
            </w:r>
            <w:r>
              <w:rPr>
                <w:rFonts w:ascii="Arial"/>
                <w:spacing w:val="53"/>
              </w:rPr>
              <w:t xml:space="preserve"> </w:t>
            </w:r>
            <w:r>
              <w:rPr>
                <w:rFonts w:ascii="Arial"/>
                <w:spacing w:val="-1"/>
              </w:rPr>
              <w:t>in</w:t>
            </w:r>
            <w:r>
              <w:rPr>
                <w:rFonts w:ascii="Arial"/>
                <w:spacing w:val="52"/>
              </w:rPr>
              <w:t xml:space="preserve"> </w:t>
            </w:r>
            <w:r>
              <w:rPr>
                <w:rFonts w:ascii="Arial"/>
              </w:rPr>
              <w:t>the</w:t>
            </w:r>
            <w:r>
              <w:rPr>
                <w:rFonts w:ascii="Arial"/>
                <w:spacing w:val="52"/>
              </w:rPr>
              <w:t xml:space="preserve"> </w:t>
            </w:r>
            <w:r>
              <w:rPr>
                <w:rFonts w:ascii="Arial"/>
                <w:spacing w:val="-1"/>
              </w:rPr>
              <w:t>Order</w:t>
            </w:r>
            <w:r>
              <w:rPr>
                <w:rFonts w:ascii="Arial"/>
                <w:spacing w:val="55"/>
              </w:rPr>
              <w:t xml:space="preserve"> </w:t>
            </w:r>
            <w:r>
              <w:rPr>
                <w:rFonts w:ascii="Arial"/>
                <w:spacing w:val="-1"/>
              </w:rPr>
              <w:t>Form</w:t>
            </w:r>
            <w:r>
              <w:rPr>
                <w:rFonts w:ascii="Arial"/>
                <w:spacing w:val="53"/>
              </w:rPr>
              <w:t xml:space="preserve"> </w:t>
            </w:r>
            <w:r>
              <w:rPr>
                <w:rFonts w:ascii="Arial"/>
                <w:spacing w:val="-2"/>
              </w:rPr>
              <w:t>or</w:t>
            </w:r>
            <w:r>
              <w:rPr>
                <w:rFonts w:ascii="Arial"/>
                <w:spacing w:val="25"/>
              </w:rPr>
              <w:t xml:space="preserve"> </w:t>
            </w:r>
            <w:r>
              <w:rPr>
                <w:rFonts w:ascii="Arial"/>
                <w:spacing w:val="-2"/>
              </w:rPr>
              <w:t>elsewhere</w:t>
            </w:r>
            <w:r>
              <w:rPr>
                <w:rFonts w:ascii="Arial"/>
              </w:rPr>
              <w:t xml:space="preserve"> </w:t>
            </w:r>
            <w:r>
              <w:rPr>
                <w:rFonts w:ascii="Arial"/>
                <w:spacing w:val="-1"/>
              </w:rPr>
              <w:t>in</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Contract;</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"Approval"</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53"/>
              </w:rPr>
              <w:t xml:space="preserve"> </w:t>
            </w:r>
            <w:r>
              <w:rPr>
                <w:rFonts w:ascii="Arial"/>
              </w:rPr>
              <w:t>the</w:t>
            </w:r>
            <w:r>
              <w:rPr>
                <w:rFonts w:ascii="Arial"/>
                <w:spacing w:val="55"/>
              </w:rPr>
              <w:t xml:space="preserve"> </w:t>
            </w:r>
            <w:r>
              <w:rPr>
                <w:rFonts w:ascii="Arial"/>
                <w:spacing w:val="-2"/>
              </w:rPr>
              <w:t>prior</w:t>
            </w:r>
            <w:r>
              <w:rPr>
                <w:rFonts w:ascii="Arial"/>
                <w:spacing w:val="57"/>
              </w:rPr>
              <w:t xml:space="preserve"> </w:t>
            </w:r>
            <w:r>
              <w:rPr>
                <w:rFonts w:ascii="Arial"/>
                <w:spacing w:val="-1"/>
              </w:rPr>
              <w:t>written</w:t>
            </w:r>
            <w:r>
              <w:rPr>
                <w:rFonts w:ascii="Arial"/>
                <w:spacing w:val="53"/>
              </w:rPr>
              <w:t xml:space="preserve"> </w:t>
            </w:r>
            <w:r>
              <w:rPr>
                <w:rFonts w:ascii="Arial"/>
                <w:spacing w:val="-1"/>
              </w:rPr>
              <w:t>consent</w:t>
            </w:r>
            <w:r>
              <w:rPr>
                <w:rFonts w:ascii="Arial"/>
                <w:spacing w:val="55"/>
              </w:rPr>
              <w:t xml:space="preserve"> </w:t>
            </w:r>
            <w:r>
              <w:rPr>
                <w:rFonts w:ascii="Arial"/>
                <w:spacing w:val="-2"/>
              </w:rPr>
              <w:t>of</w:t>
            </w:r>
            <w:r>
              <w:rPr>
                <w:rFonts w:ascii="Arial"/>
                <w:spacing w:val="57"/>
              </w:rPr>
              <w:t xml:space="preserve"> </w:t>
            </w:r>
            <w:r>
              <w:rPr>
                <w:rFonts w:ascii="Arial"/>
              </w:rPr>
              <w:t>the</w:t>
            </w:r>
            <w:r>
              <w:rPr>
                <w:rFonts w:ascii="Arial"/>
                <w:spacing w:val="54"/>
              </w:rPr>
              <w:t xml:space="preserve"> </w:t>
            </w:r>
            <w:r>
              <w:rPr>
                <w:rFonts w:ascii="Arial"/>
                <w:spacing w:val="-1"/>
              </w:rPr>
              <w:t>Customer</w:t>
            </w:r>
            <w:r>
              <w:rPr>
                <w:rFonts w:ascii="Arial"/>
                <w:spacing w:val="54"/>
              </w:rPr>
              <w:t xml:space="preserve"> </w:t>
            </w:r>
            <w:r>
              <w:rPr>
                <w:rFonts w:ascii="Arial"/>
                <w:spacing w:val="-2"/>
              </w:rPr>
              <w:t>and</w:t>
            </w:r>
            <w:r>
              <w:rPr>
                <w:rFonts w:ascii="Arial"/>
                <w:spacing w:val="33"/>
              </w:rPr>
              <w:t xml:space="preserve"> </w:t>
            </w:r>
            <w:r>
              <w:rPr>
                <w:rFonts w:ascii="Arial"/>
                <w:spacing w:val="-2"/>
              </w:rPr>
              <w:t>"</w:t>
            </w:r>
            <w:r>
              <w:rPr>
                <w:rFonts w:ascii="Arial"/>
                <w:b/>
                <w:spacing w:val="-2"/>
              </w:rPr>
              <w:t>Approve</w:t>
            </w:r>
            <w:r>
              <w:rPr>
                <w:rFonts w:ascii="Arial"/>
                <w:spacing w:val="-2"/>
              </w:rPr>
              <w:t>"</w:t>
            </w:r>
            <w:r>
              <w:rPr>
                <w:rFonts w:ascii="Arial"/>
                <w:spacing w:val="17"/>
              </w:rPr>
              <w:t xml:space="preserve"> </w:t>
            </w:r>
            <w:r>
              <w:rPr>
                <w:rFonts w:ascii="Arial"/>
                <w:spacing w:val="-1"/>
              </w:rPr>
              <w:t>and</w:t>
            </w:r>
            <w:r>
              <w:rPr>
                <w:rFonts w:ascii="Arial"/>
                <w:spacing w:val="16"/>
              </w:rPr>
              <w:t xml:space="preserve"> </w:t>
            </w:r>
            <w:r>
              <w:rPr>
                <w:rFonts w:ascii="Arial"/>
                <w:spacing w:val="-1"/>
              </w:rPr>
              <w:t>"</w:t>
            </w:r>
            <w:r>
              <w:rPr>
                <w:rFonts w:ascii="Arial"/>
                <w:b/>
                <w:spacing w:val="-1"/>
              </w:rPr>
              <w:t>Approved</w:t>
            </w:r>
            <w:r>
              <w:rPr>
                <w:rFonts w:ascii="Arial"/>
                <w:spacing w:val="-1"/>
              </w:rPr>
              <w:t>"</w:t>
            </w:r>
            <w:r>
              <w:rPr>
                <w:rFonts w:ascii="Arial"/>
                <w:spacing w:val="17"/>
              </w:rPr>
              <w:t xml:space="preserve"> </w:t>
            </w:r>
            <w:r>
              <w:rPr>
                <w:rFonts w:ascii="Arial"/>
                <w:spacing w:val="-1"/>
              </w:rPr>
              <w:t>shall</w:t>
            </w:r>
            <w:r>
              <w:rPr>
                <w:rFonts w:ascii="Arial"/>
                <w:spacing w:val="15"/>
              </w:rPr>
              <w:t xml:space="preserve"> </w:t>
            </w:r>
            <w:r>
              <w:rPr>
                <w:rFonts w:ascii="Arial"/>
                <w:spacing w:val="-1"/>
              </w:rPr>
              <w:t>be</w:t>
            </w:r>
            <w:r>
              <w:rPr>
                <w:rFonts w:ascii="Arial"/>
                <w:spacing w:val="16"/>
              </w:rPr>
              <w:t xml:space="preserve"> </w:t>
            </w:r>
            <w:r>
              <w:rPr>
                <w:rFonts w:ascii="Arial"/>
                <w:spacing w:val="-1"/>
              </w:rPr>
              <w:t>construed</w:t>
            </w:r>
            <w:r>
              <w:rPr>
                <w:rFonts w:ascii="Arial"/>
                <w:spacing w:val="33"/>
              </w:rPr>
              <w:t xml:space="preserve"> </w:t>
            </w:r>
            <w:r>
              <w:rPr>
                <w:rFonts w:ascii="Arial"/>
                <w:spacing w:val="-1"/>
              </w:rPr>
              <w:t>accordingly;</w:t>
            </w:r>
          </w:p>
        </w:tc>
      </w:tr>
      <w:tr w:rsidR="008918FA" w:rsidTr="005D2B81">
        <w:trPr>
          <w:trHeight w:hRule="exact" w:val="2520"/>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720"/>
              <w:rPr>
                <w:rFonts w:ascii="Arial" w:eastAsia="Arial" w:hAnsi="Arial" w:cs="Arial"/>
              </w:rPr>
            </w:pPr>
            <w:r>
              <w:rPr>
                <w:rFonts w:ascii="Arial"/>
                <w:b/>
                <w:spacing w:val="-2"/>
              </w:rPr>
              <w:t>"Approved</w:t>
            </w:r>
            <w:r>
              <w:rPr>
                <w:rFonts w:ascii="Arial"/>
                <w:b/>
              </w:rPr>
              <w:t xml:space="preserve"> </w:t>
            </w:r>
            <w:r>
              <w:rPr>
                <w:rFonts w:ascii="Arial"/>
                <w:b/>
                <w:spacing w:val="-1"/>
              </w:rPr>
              <w:t>Sub-</w:t>
            </w:r>
            <w:r>
              <w:rPr>
                <w:rFonts w:ascii="Arial"/>
                <w:b/>
                <w:spacing w:val="30"/>
              </w:rPr>
              <w:t xml:space="preserve"> </w:t>
            </w:r>
            <w:r>
              <w:rPr>
                <w:rFonts w:ascii="Arial"/>
                <w:b/>
                <w:spacing w:val="-1"/>
              </w:rPr>
              <w:t>Licensee"</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spacing w:val="-1"/>
              </w:rPr>
              <w:t>any</w:t>
            </w:r>
            <w:r>
              <w:rPr>
                <w:rFonts w:ascii="Arial"/>
                <w:spacing w:val="-2"/>
              </w:rPr>
              <w:t xml:space="preserve"> of</w:t>
            </w:r>
            <w:r>
              <w:rPr>
                <w:rFonts w:ascii="Arial"/>
              </w:rPr>
              <w:t xml:space="preserve"> the</w:t>
            </w:r>
            <w:r>
              <w:rPr>
                <w:rFonts w:ascii="Arial"/>
                <w:spacing w:val="-2"/>
              </w:rPr>
              <w:t xml:space="preserve"> following:</w:t>
            </w:r>
          </w:p>
          <w:p w:rsidR="008918FA" w:rsidRDefault="008918FA" w:rsidP="005D2B81">
            <w:pPr>
              <w:pStyle w:val="ListParagraph"/>
              <w:numPr>
                <w:ilvl w:val="0"/>
                <w:numId w:val="59"/>
              </w:numPr>
              <w:tabs>
                <w:tab w:val="left" w:pos="820"/>
              </w:tabs>
              <w:spacing w:before="121"/>
              <w:ind w:hanging="544"/>
              <w:rPr>
                <w:rFonts w:ascii="Arial" w:eastAsia="Arial" w:hAnsi="Arial" w:cs="Arial"/>
              </w:rPr>
            </w:pPr>
            <w:r>
              <w:rPr>
                <w:rFonts w:ascii="Arial"/>
              </w:rPr>
              <w:t xml:space="preserve">a </w:t>
            </w:r>
            <w:r>
              <w:rPr>
                <w:rFonts w:ascii="Arial"/>
                <w:spacing w:val="-1"/>
              </w:rPr>
              <w:t>Central</w:t>
            </w:r>
            <w:r>
              <w:rPr>
                <w:rFonts w:ascii="Arial"/>
                <w:spacing w:val="-3"/>
              </w:rPr>
              <w:t xml:space="preserve"> </w:t>
            </w:r>
            <w:r>
              <w:rPr>
                <w:rFonts w:ascii="Arial"/>
                <w:spacing w:val="-1"/>
              </w:rPr>
              <w:t>Government</w:t>
            </w:r>
            <w:r>
              <w:rPr>
                <w:rFonts w:ascii="Arial"/>
              </w:rPr>
              <w:t xml:space="preserve"> </w:t>
            </w:r>
            <w:r>
              <w:rPr>
                <w:rFonts w:ascii="Arial"/>
                <w:spacing w:val="-2"/>
              </w:rPr>
              <w:t>Body;</w:t>
            </w:r>
          </w:p>
          <w:p w:rsidR="008918FA" w:rsidRDefault="008918FA" w:rsidP="005D2B81">
            <w:pPr>
              <w:pStyle w:val="ListParagraph"/>
              <w:numPr>
                <w:ilvl w:val="0"/>
                <w:numId w:val="59"/>
              </w:numPr>
              <w:tabs>
                <w:tab w:val="left" w:pos="820"/>
              </w:tabs>
              <w:spacing w:before="119"/>
              <w:ind w:right="98" w:hanging="544"/>
              <w:jc w:val="both"/>
              <w:rPr>
                <w:rFonts w:ascii="Arial" w:eastAsia="Arial" w:hAnsi="Arial" w:cs="Arial"/>
              </w:rPr>
            </w:pPr>
            <w:r>
              <w:rPr>
                <w:rFonts w:ascii="Arial"/>
                <w:spacing w:val="-1"/>
              </w:rPr>
              <w:t>any</w:t>
            </w:r>
            <w:r>
              <w:rPr>
                <w:rFonts w:ascii="Arial"/>
                <w:spacing w:val="21"/>
              </w:rPr>
              <w:t xml:space="preserve"> </w:t>
            </w:r>
            <w:r>
              <w:rPr>
                <w:rFonts w:ascii="Arial"/>
                <w:spacing w:val="-1"/>
              </w:rPr>
              <w:t>third</w:t>
            </w:r>
            <w:r>
              <w:rPr>
                <w:rFonts w:ascii="Arial"/>
                <w:spacing w:val="24"/>
              </w:rPr>
              <w:t xml:space="preserve"> </w:t>
            </w:r>
            <w:r>
              <w:rPr>
                <w:rFonts w:ascii="Arial"/>
                <w:spacing w:val="-1"/>
              </w:rPr>
              <w:t>party</w:t>
            </w:r>
            <w:r>
              <w:rPr>
                <w:rFonts w:ascii="Arial"/>
                <w:spacing w:val="21"/>
              </w:rPr>
              <w:t xml:space="preserve"> </w:t>
            </w:r>
            <w:r>
              <w:rPr>
                <w:rFonts w:ascii="Arial"/>
                <w:spacing w:val="-1"/>
              </w:rPr>
              <w:t>providing</w:t>
            </w:r>
            <w:r>
              <w:rPr>
                <w:rFonts w:ascii="Arial"/>
                <w:spacing w:val="26"/>
              </w:rPr>
              <w:t xml:space="preserve"> </w:t>
            </w:r>
            <w:r>
              <w:rPr>
                <w:rFonts w:ascii="Arial"/>
                <w:spacing w:val="-1"/>
              </w:rPr>
              <w:t>services</w:t>
            </w:r>
            <w:r>
              <w:rPr>
                <w:rFonts w:ascii="Arial"/>
                <w:spacing w:val="24"/>
              </w:rPr>
              <w:t xml:space="preserve"> </w:t>
            </w:r>
            <w:r>
              <w:rPr>
                <w:rFonts w:ascii="Arial"/>
              </w:rPr>
              <w:t>to</w:t>
            </w:r>
            <w:r>
              <w:rPr>
                <w:rFonts w:ascii="Arial"/>
                <w:spacing w:val="23"/>
              </w:rPr>
              <w:t xml:space="preserve"> </w:t>
            </w:r>
            <w:r>
              <w:rPr>
                <w:rFonts w:ascii="Arial"/>
              </w:rPr>
              <w:t>a</w:t>
            </w:r>
            <w:r>
              <w:rPr>
                <w:rFonts w:ascii="Arial"/>
                <w:spacing w:val="23"/>
              </w:rPr>
              <w:t xml:space="preserve"> </w:t>
            </w:r>
            <w:r>
              <w:rPr>
                <w:rFonts w:ascii="Arial"/>
                <w:spacing w:val="-1"/>
              </w:rPr>
              <w:t>Central</w:t>
            </w:r>
            <w:r>
              <w:rPr>
                <w:rFonts w:ascii="Arial"/>
                <w:spacing w:val="32"/>
              </w:rPr>
              <w:t xml:space="preserve"> </w:t>
            </w:r>
            <w:r>
              <w:rPr>
                <w:rFonts w:ascii="Arial"/>
                <w:spacing w:val="-1"/>
              </w:rPr>
              <w:t>Government</w:t>
            </w:r>
            <w:r>
              <w:rPr>
                <w:rFonts w:ascii="Arial"/>
                <w:spacing w:val="2"/>
              </w:rPr>
              <w:t xml:space="preserve"> </w:t>
            </w:r>
            <w:r>
              <w:rPr>
                <w:rFonts w:ascii="Arial"/>
                <w:spacing w:val="-2"/>
              </w:rPr>
              <w:t>Body;</w:t>
            </w:r>
            <w:r>
              <w:rPr>
                <w:rFonts w:ascii="Arial"/>
                <w:spacing w:val="2"/>
              </w:rPr>
              <w:t xml:space="preserve"> </w:t>
            </w:r>
            <w:r>
              <w:rPr>
                <w:rFonts w:ascii="Arial"/>
                <w:spacing w:val="-2"/>
              </w:rPr>
              <w:t>and/or</w:t>
            </w:r>
          </w:p>
          <w:p w:rsidR="008918FA" w:rsidRDefault="008918FA" w:rsidP="005D2B81">
            <w:pPr>
              <w:pStyle w:val="ListParagraph"/>
              <w:numPr>
                <w:ilvl w:val="0"/>
                <w:numId w:val="59"/>
              </w:numPr>
              <w:tabs>
                <w:tab w:val="left" w:pos="820"/>
              </w:tabs>
              <w:spacing w:before="119"/>
              <w:ind w:right="100" w:hanging="544"/>
              <w:jc w:val="both"/>
              <w:rPr>
                <w:rFonts w:ascii="Arial" w:eastAsia="Arial" w:hAnsi="Arial" w:cs="Arial"/>
              </w:rPr>
            </w:pPr>
            <w:r>
              <w:rPr>
                <w:rFonts w:ascii="Arial"/>
                <w:spacing w:val="-1"/>
              </w:rPr>
              <w:t>any</w:t>
            </w:r>
            <w:r>
              <w:rPr>
                <w:rFonts w:ascii="Arial"/>
                <w:spacing w:val="10"/>
              </w:rPr>
              <w:t xml:space="preserve"> </w:t>
            </w:r>
            <w:r>
              <w:rPr>
                <w:rFonts w:ascii="Arial"/>
                <w:spacing w:val="-1"/>
              </w:rPr>
              <w:t>body</w:t>
            </w:r>
            <w:r>
              <w:rPr>
                <w:rFonts w:ascii="Arial"/>
                <w:spacing w:val="10"/>
              </w:rPr>
              <w:t xml:space="preserve"> </w:t>
            </w:r>
            <w:r>
              <w:rPr>
                <w:rFonts w:ascii="Arial"/>
                <w:spacing w:val="-1"/>
              </w:rPr>
              <w:t>(including</w:t>
            </w:r>
            <w:r>
              <w:rPr>
                <w:rFonts w:ascii="Arial"/>
                <w:spacing w:val="15"/>
              </w:rPr>
              <w:t xml:space="preserve"> </w:t>
            </w:r>
            <w:r>
              <w:rPr>
                <w:rFonts w:ascii="Arial"/>
                <w:spacing w:val="-1"/>
              </w:rPr>
              <w:t>any</w:t>
            </w:r>
            <w:r>
              <w:rPr>
                <w:rFonts w:ascii="Arial"/>
                <w:spacing w:val="10"/>
              </w:rPr>
              <w:t xml:space="preserve"> </w:t>
            </w:r>
            <w:r>
              <w:rPr>
                <w:rFonts w:ascii="Arial"/>
                <w:spacing w:val="-1"/>
              </w:rPr>
              <w:t>private</w:t>
            </w:r>
            <w:r>
              <w:rPr>
                <w:rFonts w:ascii="Arial"/>
                <w:spacing w:val="12"/>
              </w:rPr>
              <w:t xml:space="preserve"> </w:t>
            </w:r>
            <w:r>
              <w:rPr>
                <w:rFonts w:ascii="Arial"/>
                <w:spacing w:val="-1"/>
              </w:rPr>
              <w:t>sector</w:t>
            </w:r>
            <w:r>
              <w:rPr>
                <w:rFonts w:ascii="Arial"/>
                <w:spacing w:val="11"/>
              </w:rPr>
              <w:t xml:space="preserve"> </w:t>
            </w:r>
            <w:r>
              <w:rPr>
                <w:rFonts w:ascii="Arial"/>
                <w:spacing w:val="-2"/>
              </w:rPr>
              <w:t>body)</w:t>
            </w:r>
            <w:r>
              <w:rPr>
                <w:rFonts w:ascii="Arial"/>
                <w:spacing w:val="14"/>
              </w:rPr>
              <w:t xml:space="preserve"> </w:t>
            </w:r>
            <w:r>
              <w:rPr>
                <w:rFonts w:ascii="Arial"/>
                <w:spacing w:val="-2"/>
              </w:rPr>
              <w:t>which</w:t>
            </w:r>
            <w:r>
              <w:rPr>
                <w:rFonts w:ascii="Arial"/>
                <w:spacing w:val="38"/>
              </w:rPr>
              <w:t xml:space="preserve"> </w:t>
            </w:r>
            <w:r>
              <w:rPr>
                <w:rFonts w:ascii="Arial"/>
                <w:spacing w:val="-1"/>
              </w:rPr>
              <w:t>performs</w:t>
            </w:r>
            <w:r>
              <w:rPr>
                <w:rFonts w:ascii="Arial"/>
                <w:spacing w:val="25"/>
              </w:rPr>
              <w:t xml:space="preserve"> </w:t>
            </w:r>
            <w:r>
              <w:rPr>
                <w:rFonts w:ascii="Arial"/>
                <w:spacing w:val="-1"/>
              </w:rPr>
              <w:t>or</w:t>
            </w:r>
            <w:r>
              <w:rPr>
                <w:rFonts w:ascii="Arial"/>
                <w:spacing w:val="26"/>
              </w:rPr>
              <w:t xml:space="preserve"> </w:t>
            </w:r>
            <w:r>
              <w:rPr>
                <w:rFonts w:ascii="Arial"/>
                <w:spacing w:val="-1"/>
              </w:rPr>
              <w:t>carries</w:t>
            </w:r>
            <w:r>
              <w:rPr>
                <w:rFonts w:ascii="Arial"/>
                <w:spacing w:val="25"/>
              </w:rPr>
              <w:t xml:space="preserve"> </w:t>
            </w:r>
            <w:r>
              <w:rPr>
                <w:rFonts w:ascii="Arial"/>
                <w:spacing w:val="-1"/>
              </w:rPr>
              <w:t>on</w:t>
            </w:r>
            <w:r>
              <w:rPr>
                <w:rFonts w:ascii="Arial"/>
                <w:spacing w:val="24"/>
              </w:rPr>
              <w:t xml:space="preserve"> </w:t>
            </w:r>
            <w:r>
              <w:rPr>
                <w:rFonts w:ascii="Arial"/>
                <w:spacing w:val="-1"/>
              </w:rPr>
              <w:t>any</w:t>
            </w:r>
            <w:r>
              <w:rPr>
                <w:rFonts w:ascii="Arial"/>
                <w:spacing w:val="22"/>
              </w:rPr>
              <w:t xml:space="preserve"> </w:t>
            </w:r>
            <w:r>
              <w:rPr>
                <w:rFonts w:ascii="Arial"/>
                <w:spacing w:val="-1"/>
              </w:rPr>
              <w:t>of</w:t>
            </w:r>
            <w:r>
              <w:rPr>
                <w:rFonts w:ascii="Arial"/>
                <w:spacing w:val="28"/>
              </w:rPr>
              <w:t xml:space="preserve"> </w:t>
            </w:r>
            <w:r>
              <w:rPr>
                <w:rFonts w:ascii="Arial"/>
              </w:rPr>
              <w:t>the</w:t>
            </w:r>
            <w:r>
              <w:rPr>
                <w:rFonts w:ascii="Arial"/>
                <w:spacing w:val="24"/>
              </w:rPr>
              <w:t xml:space="preserve"> </w:t>
            </w:r>
            <w:r>
              <w:rPr>
                <w:rFonts w:ascii="Arial"/>
                <w:spacing w:val="-1"/>
              </w:rPr>
              <w:t>functions</w:t>
            </w:r>
            <w:r>
              <w:rPr>
                <w:rFonts w:ascii="Arial"/>
                <w:spacing w:val="25"/>
              </w:rPr>
              <w:t xml:space="preserve"> </w:t>
            </w:r>
            <w:r>
              <w:rPr>
                <w:rFonts w:ascii="Arial"/>
                <w:spacing w:val="-2"/>
              </w:rPr>
              <w:t>and/or</w:t>
            </w:r>
            <w:r>
              <w:rPr>
                <w:rFonts w:ascii="Arial"/>
                <w:spacing w:val="34"/>
              </w:rPr>
              <w:t xml:space="preserve"> </w:t>
            </w:r>
            <w:r>
              <w:rPr>
                <w:rFonts w:ascii="Arial"/>
                <w:spacing w:val="-1"/>
              </w:rPr>
              <w:t>activities</w:t>
            </w:r>
            <w:r>
              <w:rPr>
                <w:rFonts w:ascii="Arial"/>
                <w:spacing w:val="8"/>
              </w:rPr>
              <w:t xml:space="preserve"> </w:t>
            </w:r>
            <w:r>
              <w:rPr>
                <w:rFonts w:ascii="Arial"/>
                <w:spacing w:val="-1"/>
              </w:rPr>
              <w:t>that</w:t>
            </w:r>
            <w:r>
              <w:rPr>
                <w:rFonts w:ascii="Arial"/>
                <w:spacing w:val="9"/>
              </w:rPr>
              <w:t xml:space="preserve"> </w:t>
            </w:r>
            <w:r>
              <w:rPr>
                <w:rFonts w:ascii="Arial"/>
                <w:spacing w:val="-2"/>
              </w:rPr>
              <w:t>previously</w:t>
            </w:r>
            <w:r>
              <w:rPr>
                <w:rFonts w:ascii="Arial"/>
                <w:spacing w:val="6"/>
              </w:rPr>
              <w:t xml:space="preserve"> </w:t>
            </w:r>
            <w:r>
              <w:rPr>
                <w:rFonts w:ascii="Arial"/>
                <w:spacing w:val="-1"/>
              </w:rPr>
              <w:t>had</w:t>
            </w:r>
            <w:r>
              <w:rPr>
                <w:rFonts w:ascii="Arial"/>
                <w:spacing w:val="8"/>
              </w:rPr>
              <w:t xml:space="preserve"> </w:t>
            </w:r>
            <w:r>
              <w:rPr>
                <w:rFonts w:ascii="Arial"/>
                <w:spacing w:val="-1"/>
              </w:rPr>
              <w:t>been</w:t>
            </w:r>
            <w:r>
              <w:rPr>
                <w:rFonts w:ascii="Arial"/>
              </w:rPr>
              <w:t xml:space="preserve"> </w:t>
            </w:r>
            <w:r>
              <w:rPr>
                <w:rFonts w:ascii="Arial"/>
                <w:spacing w:val="8"/>
              </w:rPr>
              <w:t xml:space="preserve"> </w:t>
            </w:r>
            <w:r>
              <w:rPr>
                <w:rFonts w:ascii="Arial"/>
                <w:spacing w:val="-1"/>
              </w:rPr>
              <w:t>performed</w:t>
            </w:r>
            <w:r>
              <w:rPr>
                <w:rFonts w:ascii="Arial"/>
                <w:spacing w:val="26"/>
              </w:rPr>
              <w:t xml:space="preserve"> </w:t>
            </w:r>
            <w:r>
              <w:rPr>
                <w:rFonts w:ascii="Arial"/>
                <w:spacing w:val="-1"/>
              </w:rPr>
              <w:t>and/or carried</w:t>
            </w:r>
            <w:r>
              <w:rPr>
                <w:rFonts w:ascii="Arial"/>
              </w:rPr>
              <w:t xml:space="preserve"> </w:t>
            </w:r>
            <w:r>
              <w:rPr>
                <w:rFonts w:ascii="Arial"/>
                <w:spacing w:val="-1"/>
              </w:rPr>
              <w:t>on</w:t>
            </w:r>
            <w:r>
              <w:rPr>
                <w:rFonts w:ascii="Arial"/>
              </w:rPr>
              <w:t xml:space="preserve"> </w:t>
            </w:r>
            <w:r>
              <w:rPr>
                <w:rFonts w:ascii="Arial"/>
                <w:spacing w:val="-1"/>
              </w:rPr>
              <w:t>by</w:t>
            </w:r>
            <w:r>
              <w:rPr>
                <w:rFonts w:ascii="Arial"/>
                <w:spacing w:val="-4"/>
              </w:rPr>
              <w:t xml:space="preserve"> </w:t>
            </w:r>
            <w:r>
              <w:rPr>
                <w:rFonts w:ascii="Arial"/>
              </w:rPr>
              <w:t>the</w:t>
            </w:r>
            <w:r>
              <w:rPr>
                <w:rFonts w:ascii="Arial"/>
                <w:spacing w:val="-2"/>
              </w:rPr>
              <w:t xml:space="preserve"> </w:t>
            </w:r>
            <w:r>
              <w:rPr>
                <w:rFonts w:ascii="Arial"/>
                <w:spacing w:val="-1"/>
              </w:rPr>
              <w:t>Customer;</w:t>
            </w:r>
          </w:p>
        </w:tc>
      </w:tr>
      <w:tr w:rsidR="008918FA" w:rsidTr="005D2B81">
        <w:trPr>
          <w:trHeight w:hRule="exact" w:val="1634"/>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"Auditor"</w:t>
            </w:r>
          </w:p>
        </w:tc>
        <w:tc>
          <w:tcPr>
            <w:tcW w:w="5952"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58"/>
              </w:numPr>
              <w:tabs>
                <w:tab w:val="left" w:pos="820"/>
              </w:tabs>
              <w:spacing w:before="119"/>
              <w:ind w:hanging="544"/>
              <w:rPr>
                <w:rFonts w:ascii="Arial" w:eastAsia="Arial" w:hAnsi="Arial" w:cs="Arial"/>
              </w:rPr>
            </w:pPr>
            <w:r>
              <w:rPr>
                <w:rFonts w:ascii="Arial" w:eastAsia="Arial" w:hAnsi="Arial" w:cs="Arial"/>
              </w:rPr>
              <w:t xml:space="preserve">the </w:t>
            </w:r>
            <w:r>
              <w:rPr>
                <w:rFonts w:ascii="Arial" w:eastAsia="Arial" w:hAnsi="Arial" w:cs="Arial"/>
                <w:spacing w:val="-2"/>
              </w:rPr>
              <w:t>Customer’s</w:t>
            </w:r>
            <w:r>
              <w:rPr>
                <w:rFonts w:ascii="Arial" w:eastAsia="Arial" w:hAnsi="Arial" w:cs="Arial"/>
                <w:spacing w:val="1"/>
              </w:rPr>
              <w:t xml:space="preserve"> </w:t>
            </w:r>
            <w:r>
              <w:rPr>
                <w:rFonts w:ascii="Arial" w:eastAsia="Arial" w:hAnsi="Arial" w:cs="Arial"/>
                <w:spacing w:val="-1"/>
              </w:rPr>
              <w:t>internal</w:t>
            </w:r>
            <w:r>
              <w:rPr>
                <w:rFonts w:ascii="Arial" w:eastAsia="Arial" w:hAnsi="Arial" w:cs="Arial"/>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external</w:t>
            </w:r>
            <w:r>
              <w:rPr>
                <w:rFonts w:ascii="Arial" w:eastAsia="Arial" w:hAnsi="Arial" w:cs="Arial"/>
              </w:rPr>
              <w:t xml:space="preserve"> </w:t>
            </w:r>
            <w:r>
              <w:rPr>
                <w:rFonts w:ascii="Arial" w:eastAsia="Arial" w:hAnsi="Arial" w:cs="Arial"/>
                <w:spacing w:val="-1"/>
              </w:rPr>
              <w:t>auditors;</w:t>
            </w:r>
          </w:p>
          <w:p w:rsidR="008918FA" w:rsidRDefault="008918FA" w:rsidP="005D2B81">
            <w:pPr>
              <w:pStyle w:val="ListParagraph"/>
              <w:numPr>
                <w:ilvl w:val="0"/>
                <w:numId w:val="58"/>
              </w:numPr>
              <w:tabs>
                <w:tab w:val="left" w:pos="820"/>
              </w:tabs>
              <w:spacing w:before="121"/>
              <w:ind w:hanging="544"/>
              <w:rPr>
                <w:rFonts w:ascii="Arial" w:eastAsia="Arial" w:hAnsi="Arial" w:cs="Arial"/>
              </w:rPr>
            </w:pPr>
            <w:r>
              <w:rPr>
                <w:rFonts w:ascii="Arial" w:eastAsia="Arial" w:hAnsi="Arial" w:cs="Arial"/>
              </w:rPr>
              <w:t xml:space="preserve">the </w:t>
            </w:r>
            <w:r>
              <w:rPr>
                <w:rFonts w:ascii="Arial" w:eastAsia="Arial" w:hAnsi="Arial" w:cs="Arial"/>
                <w:spacing w:val="-2"/>
              </w:rPr>
              <w:t>Customer’s</w:t>
            </w:r>
            <w:r>
              <w:rPr>
                <w:rFonts w:ascii="Arial" w:eastAsia="Arial" w:hAnsi="Arial" w:cs="Arial"/>
                <w:spacing w:val="1"/>
              </w:rPr>
              <w:t xml:space="preserve"> </w:t>
            </w:r>
            <w:r>
              <w:rPr>
                <w:rFonts w:ascii="Arial" w:eastAsia="Arial" w:hAnsi="Arial" w:cs="Arial"/>
                <w:spacing w:val="-1"/>
              </w:rPr>
              <w:t>statutory</w:t>
            </w:r>
            <w:r>
              <w:rPr>
                <w:rFonts w:ascii="Arial" w:eastAsia="Arial" w:hAnsi="Arial" w:cs="Arial"/>
                <w:spacing w:val="-4"/>
              </w:rPr>
              <w:t xml:space="preserve"> </w:t>
            </w:r>
            <w:r>
              <w:rPr>
                <w:rFonts w:ascii="Arial" w:eastAsia="Arial" w:hAnsi="Arial" w:cs="Arial"/>
                <w:spacing w:val="-2"/>
              </w:rPr>
              <w:t>or</w:t>
            </w:r>
            <w:r>
              <w:rPr>
                <w:rFonts w:ascii="Arial" w:eastAsia="Arial" w:hAnsi="Arial" w:cs="Arial"/>
                <w:spacing w:val="-3"/>
              </w:rPr>
              <w:t xml:space="preserve"> regulatory</w:t>
            </w:r>
            <w:r>
              <w:rPr>
                <w:rFonts w:ascii="Arial" w:eastAsia="Arial" w:hAnsi="Arial" w:cs="Arial"/>
                <w:spacing w:val="-6"/>
              </w:rPr>
              <w:t xml:space="preserve"> </w:t>
            </w:r>
            <w:r>
              <w:rPr>
                <w:rFonts w:ascii="Arial" w:eastAsia="Arial" w:hAnsi="Arial" w:cs="Arial"/>
                <w:spacing w:val="-3"/>
              </w:rPr>
              <w:t>auditors;</w:t>
            </w:r>
          </w:p>
          <w:p w:rsidR="008918FA" w:rsidRDefault="008918FA" w:rsidP="005D2B81">
            <w:pPr>
              <w:pStyle w:val="ListParagraph"/>
              <w:numPr>
                <w:ilvl w:val="0"/>
                <w:numId w:val="58"/>
              </w:numPr>
              <w:tabs>
                <w:tab w:val="left" w:pos="820"/>
                <w:tab w:val="left" w:pos="1661"/>
                <w:tab w:val="left" w:pos="2230"/>
                <w:tab w:val="left" w:pos="3410"/>
                <w:tab w:val="left" w:pos="5130"/>
                <w:tab w:val="left" w:pos="5528"/>
              </w:tabs>
              <w:spacing w:before="119"/>
              <w:ind w:right="102" w:hanging="544"/>
              <w:rPr>
                <w:rFonts w:ascii="Arial" w:eastAsia="Arial" w:hAnsi="Arial" w:cs="Arial"/>
              </w:rPr>
            </w:pPr>
            <w:r>
              <w:rPr>
                <w:rFonts w:ascii="Arial"/>
              </w:rPr>
              <w:t xml:space="preserve">the </w:t>
            </w:r>
            <w:r>
              <w:rPr>
                <w:rFonts w:ascii="Arial"/>
                <w:spacing w:val="14"/>
              </w:rPr>
              <w:t xml:space="preserve"> </w:t>
            </w:r>
            <w:r>
              <w:rPr>
                <w:rFonts w:ascii="Arial"/>
                <w:spacing w:val="-2"/>
              </w:rPr>
              <w:t>Comptroller</w:t>
            </w:r>
            <w:r>
              <w:rPr>
                <w:rFonts w:ascii="Arial"/>
              </w:rPr>
              <w:t xml:space="preserve"> </w:t>
            </w:r>
            <w:r>
              <w:rPr>
                <w:rFonts w:ascii="Arial"/>
                <w:spacing w:val="15"/>
              </w:rPr>
              <w:t xml:space="preserve"> </w:t>
            </w:r>
            <w:r>
              <w:rPr>
                <w:rFonts w:ascii="Arial"/>
                <w:spacing w:val="-1"/>
              </w:rPr>
              <w:t>and</w:t>
            </w:r>
            <w:r>
              <w:rPr>
                <w:rFonts w:ascii="Arial"/>
              </w:rPr>
              <w:t xml:space="preserve"> </w:t>
            </w:r>
            <w:r>
              <w:rPr>
                <w:rFonts w:ascii="Arial"/>
                <w:spacing w:val="13"/>
              </w:rPr>
              <w:t xml:space="preserve"> </w:t>
            </w:r>
            <w:r>
              <w:rPr>
                <w:rFonts w:ascii="Arial"/>
                <w:spacing w:val="-1"/>
              </w:rPr>
              <w:t>Auditor</w:t>
            </w:r>
            <w:r>
              <w:rPr>
                <w:rFonts w:ascii="Arial"/>
              </w:rPr>
              <w:t xml:space="preserve"> </w:t>
            </w:r>
            <w:r>
              <w:rPr>
                <w:rFonts w:ascii="Arial"/>
                <w:spacing w:val="15"/>
              </w:rPr>
              <w:t xml:space="preserve"> </w:t>
            </w:r>
            <w:r>
              <w:rPr>
                <w:rFonts w:ascii="Arial"/>
                <w:spacing w:val="-1"/>
              </w:rPr>
              <w:t>General,</w:t>
            </w:r>
            <w:r>
              <w:rPr>
                <w:rFonts w:ascii="Arial"/>
              </w:rPr>
              <w:t xml:space="preserve"> </w:t>
            </w:r>
            <w:r>
              <w:rPr>
                <w:rFonts w:ascii="Arial"/>
                <w:spacing w:val="15"/>
              </w:rPr>
              <w:t xml:space="preserve"> </w:t>
            </w:r>
            <w:r>
              <w:rPr>
                <w:rFonts w:ascii="Arial"/>
                <w:spacing w:val="-1"/>
              </w:rPr>
              <w:t>their</w:t>
            </w:r>
            <w:r>
              <w:rPr>
                <w:rFonts w:ascii="Arial"/>
              </w:rPr>
              <w:t xml:space="preserve"> </w:t>
            </w:r>
            <w:r>
              <w:rPr>
                <w:rFonts w:ascii="Arial"/>
                <w:spacing w:val="13"/>
              </w:rPr>
              <w:t xml:space="preserve"> </w:t>
            </w:r>
            <w:r>
              <w:rPr>
                <w:rFonts w:ascii="Arial"/>
                <w:spacing w:val="-2"/>
              </w:rPr>
              <w:t>staff</w:t>
            </w:r>
            <w:r>
              <w:rPr>
                <w:rFonts w:ascii="Arial"/>
                <w:spacing w:val="39"/>
              </w:rPr>
              <w:t xml:space="preserve"> </w:t>
            </w:r>
            <w:r>
              <w:rPr>
                <w:rFonts w:ascii="Arial"/>
                <w:spacing w:val="-1"/>
                <w:w w:val="95"/>
              </w:rPr>
              <w:t>and/or</w:t>
            </w:r>
            <w:r>
              <w:rPr>
                <w:rFonts w:ascii="Arial"/>
                <w:spacing w:val="-1"/>
                <w:w w:val="95"/>
              </w:rPr>
              <w:tab/>
            </w:r>
            <w:r>
              <w:rPr>
                <w:rFonts w:ascii="Arial"/>
                <w:spacing w:val="-1"/>
              </w:rPr>
              <w:t>any</w:t>
            </w:r>
            <w:r>
              <w:rPr>
                <w:rFonts w:ascii="Arial"/>
                <w:spacing w:val="-1"/>
              </w:rPr>
              <w:tab/>
              <w:t>appointed</w:t>
            </w:r>
            <w:r>
              <w:rPr>
                <w:rFonts w:ascii="Arial"/>
                <w:spacing w:val="-1"/>
              </w:rPr>
              <w:tab/>
              <w:t>representatives</w:t>
            </w:r>
            <w:r>
              <w:rPr>
                <w:rFonts w:ascii="Arial"/>
                <w:spacing w:val="-1"/>
              </w:rPr>
              <w:tab/>
            </w:r>
            <w:r>
              <w:rPr>
                <w:rFonts w:ascii="Arial"/>
                <w:spacing w:val="-2"/>
                <w:w w:val="95"/>
              </w:rPr>
              <w:t>of</w:t>
            </w:r>
            <w:r>
              <w:rPr>
                <w:rFonts w:ascii="Arial"/>
                <w:spacing w:val="-2"/>
                <w:w w:val="95"/>
              </w:rPr>
              <w:tab/>
            </w:r>
            <w:r>
              <w:rPr>
                <w:rFonts w:ascii="Arial"/>
                <w:spacing w:val="-2"/>
              </w:rPr>
              <w:t>the</w:t>
            </w:r>
          </w:p>
        </w:tc>
      </w:tr>
    </w:tbl>
    <w:p w:rsidR="008918FA" w:rsidRDefault="008918FA" w:rsidP="008918FA">
      <w:pPr>
        <w:rPr>
          <w:rFonts w:ascii="Arial" w:eastAsia="Arial" w:hAnsi="Arial" w:cs="Arial"/>
        </w:rPr>
        <w:sectPr w:rsidR="008918FA">
          <w:pgSz w:w="11910" w:h="16840"/>
          <w:pgMar w:top="1480" w:right="1140" w:bottom="118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5952"/>
      </w:tblGrid>
      <w:tr w:rsidR="008918FA" w:rsidTr="005D2B81">
        <w:trPr>
          <w:trHeight w:hRule="exact" w:val="175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5952"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819"/>
              <w:rPr>
                <w:rFonts w:ascii="Arial" w:eastAsia="Arial" w:hAnsi="Arial" w:cs="Arial"/>
              </w:rPr>
            </w:pPr>
            <w:r>
              <w:rPr>
                <w:rFonts w:ascii="Arial"/>
                <w:spacing w:val="-1"/>
              </w:rPr>
              <w:t>National</w:t>
            </w:r>
            <w:r>
              <w:rPr>
                <w:rFonts w:ascii="Arial"/>
              </w:rPr>
              <w:t xml:space="preserve"> </w:t>
            </w:r>
            <w:r>
              <w:rPr>
                <w:rFonts w:ascii="Arial"/>
                <w:spacing w:val="-1"/>
              </w:rPr>
              <w:t>Audit</w:t>
            </w:r>
            <w:r>
              <w:rPr>
                <w:rFonts w:ascii="Arial"/>
                <w:spacing w:val="2"/>
              </w:rPr>
              <w:t xml:space="preserve"> </w:t>
            </w:r>
            <w:r>
              <w:rPr>
                <w:rFonts w:ascii="Arial"/>
                <w:spacing w:val="-1"/>
              </w:rPr>
              <w:t>Office</w:t>
            </w:r>
          </w:p>
          <w:p w:rsidR="008918FA" w:rsidRDefault="008918FA" w:rsidP="005D2B81">
            <w:pPr>
              <w:pStyle w:val="ListParagraph"/>
              <w:numPr>
                <w:ilvl w:val="0"/>
                <w:numId w:val="57"/>
              </w:numPr>
              <w:tabs>
                <w:tab w:val="left" w:pos="820"/>
              </w:tabs>
              <w:spacing w:before="121"/>
              <w:ind w:hanging="544"/>
              <w:rPr>
                <w:rFonts w:ascii="Arial" w:eastAsia="Arial" w:hAnsi="Arial" w:cs="Arial"/>
              </w:rPr>
            </w:pPr>
            <w:r>
              <w:rPr>
                <w:rFonts w:ascii="Arial"/>
              </w:rPr>
              <w:t>HM</w:t>
            </w:r>
            <w:r>
              <w:rPr>
                <w:rFonts w:ascii="Arial"/>
                <w:spacing w:val="-3"/>
              </w:rPr>
              <w:t xml:space="preserve"> </w:t>
            </w:r>
            <w:r>
              <w:rPr>
                <w:rFonts w:ascii="Arial"/>
                <w:spacing w:val="-1"/>
              </w:rPr>
              <w:t>Treasury</w:t>
            </w:r>
            <w:r>
              <w:rPr>
                <w:rFonts w:ascii="Arial"/>
                <w:spacing w:val="-2"/>
              </w:rPr>
              <w:t xml:space="preserve"> </w:t>
            </w:r>
            <w:r>
              <w:rPr>
                <w:rFonts w:ascii="Arial"/>
                <w:spacing w:val="-1"/>
              </w:rPr>
              <w:t xml:space="preserve">or </w:t>
            </w:r>
            <w:r>
              <w:rPr>
                <w:rFonts w:ascii="Arial"/>
              </w:rPr>
              <w:t>the</w:t>
            </w:r>
            <w:r>
              <w:rPr>
                <w:rFonts w:ascii="Arial"/>
                <w:spacing w:val="-2"/>
              </w:rPr>
              <w:t xml:space="preserve"> Cabinet</w:t>
            </w:r>
            <w:r>
              <w:rPr>
                <w:rFonts w:ascii="Arial"/>
              </w:rPr>
              <w:t xml:space="preserve"> </w:t>
            </w:r>
            <w:r>
              <w:rPr>
                <w:rFonts w:ascii="Arial"/>
                <w:spacing w:val="-1"/>
              </w:rPr>
              <w:t>Office</w:t>
            </w:r>
          </w:p>
          <w:p w:rsidR="008918FA" w:rsidRDefault="008918FA" w:rsidP="005D2B81">
            <w:pPr>
              <w:pStyle w:val="ListParagraph"/>
              <w:numPr>
                <w:ilvl w:val="0"/>
                <w:numId w:val="57"/>
              </w:numPr>
              <w:tabs>
                <w:tab w:val="left" w:pos="820"/>
              </w:tabs>
              <w:spacing w:before="119"/>
              <w:ind w:right="99" w:hanging="544"/>
              <w:rPr>
                <w:rFonts w:ascii="Arial" w:eastAsia="Arial" w:hAnsi="Arial" w:cs="Arial"/>
              </w:rPr>
            </w:pPr>
            <w:r>
              <w:rPr>
                <w:rFonts w:ascii="Arial"/>
                <w:spacing w:val="-1"/>
              </w:rPr>
              <w:t>any</w:t>
            </w:r>
            <w:r>
              <w:rPr>
                <w:rFonts w:ascii="Arial"/>
                <w:spacing w:val="44"/>
              </w:rPr>
              <w:t xml:space="preserve"> </w:t>
            </w:r>
            <w:r>
              <w:rPr>
                <w:rFonts w:ascii="Arial"/>
                <w:spacing w:val="-1"/>
              </w:rPr>
              <w:t>party</w:t>
            </w:r>
            <w:r>
              <w:rPr>
                <w:rFonts w:ascii="Arial"/>
                <w:spacing w:val="44"/>
              </w:rPr>
              <w:t xml:space="preserve"> </w:t>
            </w:r>
            <w:r>
              <w:rPr>
                <w:rFonts w:ascii="Arial"/>
                <w:spacing w:val="-1"/>
              </w:rPr>
              <w:t>formally</w:t>
            </w:r>
            <w:r>
              <w:rPr>
                <w:rFonts w:ascii="Arial"/>
                <w:spacing w:val="44"/>
              </w:rPr>
              <w:t xml:space="preserve"> </w:t>
            </w:r>
            <w:r>
              <w:rPr>
                <w:rFonts w:ascii="Arial"/>
                <w:spacing w:val="-1"/>
              </w:rPr>
              <w:t>appointed</w:t>
            </w:r>
            <w:r>
              <w:rPr>
                <w:rFonts w:ascii="Arial"/>
                <w:spacing w:val="46"/>
              </w:rPr>
              <w:t xml:space="preserve"> </w:t>
            </w:r>
            <w:r>
              <w:rPr>
                <w:rFonts w:ascii="Arial"/>
                <w:spacing w:val="-1"/>
              </w:rPr>
              <w:t>by</w:t>
            </w:r>
            <w:r>
              <w:rPr>
                <w:rFonts w:ascii="Arial"/>
                <w:spacing w:val="44"/>
              </w:rPr>
              <w:t xml:space="preserve"> </w:t>
            </w:r>
            <w:r>
              <w:rPr>
                <w:rFonts w:ascii="Arial"/>
              </w:rPr>
              <w:t>the</w:t>
            </w:r>
            <w:r>
              <w:rPr>
                <w:rFonts w:ascii="Arial"/>
                <w:spacing w:val="46"/>
              </w:rPr>
              <w:t xml:space="preserve"> </w:t>
            </w:r>
            <w:r>
              <w:rPr>
                <w:rFonts w:ascii="Arial"/>
                <w:spacing w:val="-1"/>
              </w:rPr>
              <w:t>Customer</w:t>
            </w:r>
            <w:r>
              <w:rPr>
                <w:rFonts w:ascii="Arial"/>
                <w:spacing w:val="48"/>
              </w:rPr>
              <w:t xml:space="preserve"> </w:t>
            </w:r>
            <w:r>
              <w:rPr>
                <w:rFonts w:ascii="Arial"/>
              </w:rPr>
              <w:t>to</w:t>
            </w:r>
            <w:r>
              <w:rPr>
                <w:rFonts w:ascii="Arial"/>
                <w:spacing w:val="35"/>
              </w:rPr>
              <w:t xml:space="preserve"> </w:t>
            </w:r>
            <w:r>
              <w:rPr>
                <w:rFonts w:ascii="Arial"/>
                <w:spacing w:val="-1"/>
              </w:rPr>
              <w:t>carry</w:t>
            </w:r>
            <w:r>
              <w:rPr>
                <w:rFonts w:ascii="Arial"/>
                <w:spacing w:val="-2"/>
              </w:rPr>
              <w:t xml:space="preserve"> </w:t>
            </w:r>
            <w:r>
              <w:rPr>
                <w:rFonts w:ascii="Arial"/>
                <w:spacing w:val="-1"/>
              </w:rPr>
              <w:t>out</w:t>
            </w:r>
            <w:r>
              <w:rPr>
                <w:rFonts w:ascii="Arial"/>
              </w:rPr>
              <w:t xml:space="preserve"> </w:t>
            </w:r>
            <w:r>
              <w:rPr>
                <w:rFonts w:ascii="Arial"/>
                <w:spacing w:val="-1"/>
              </w:rPr>
              <w:t>audit</w:t>
            </w:r>
            <w:r>
              <w:rPr>
                <w:rFonts w:ascii="Arial"/>
              </w:rPr>
              <w:t xml:space="preserve"> </w:t>
            </w:r>
            <w:r>
              <w:rPr>
                <w:rFonts w:ascii="Arial"/>
                <w:spacing w:val="-1"/>
              </w:rPr>
              <w:t>or similar review</w:t>
            </w:r>
            <w:r>
              <w:rPr>
                <w:rFonts w:ascii="Arial"/>
                <w:spacing w:val="-3"/>
              </w:rPr>
              <w:t xml:space="preserve"> </w:t>
            </w:r>
            <w:r>
              <w:rPr>
                <w:rFonts w:ascii="Arial"/>
                <w:spacing w:val="-1"/>
              </w:rPr>
              <w:t>functions;</w:t>
            </w:r>
            <w:r>
              <w:rPr>
                <w:rFonts w:ascii="Arial"/>
              </w:rPr>
              <w:t xml:space="preserve"> </w:t>
            </w:r>
            <w:r>
              <w:rPr>
                <w:rFonts w:ascii="Arial"/>
                <w:spacing w:val="-1"/>
              </w:rPr>
              <w:t>and</w:t>
            </w:r>
          </w:p>
          <w:p w:rsidR="008918FA" w:rsidRDefault="008918FA" w:rsidP="005D2B81">
            <w:pPr>
              <w:pStyle w:val="ListParagraph"/>
              <w:numPr>
                <w:ilvl w:val="0"/>
                <w:numId w:val="57"/>
              </w:numPr>
              <w:tabs>
                <w:tab w:val="left" w:pos="820"/>
              </w:tabs>
              <w:spacing w:before="121"/>
              <w:ind w:hanging="544"/>
              <w:rPr>
                <w:rFonts w:ascii="Arial" w:eastAsia="Arial" w:hAnsi="Arial" w:cs="Arial"/>
              </w:rPr>
            </w:pPr>
            <w:r>
              <w:rPr>
                <w:rFonts w:ascii="Arial"/>
                <w:spacing w:val="-1"/>
              </w:rPr>
              <w:t>successors</w:t>
            </w:r>
            <w:r>
              <w:rPr>
                <w:rFonts w:ascii="Arial"/>
                <w:spacing w:val="-2"/>
              </w:rPr>
              <w:t xml:space="preserve"> or</w:t>
            </w:r>
            <w:r>
              <w:rPr>
                <w:rFonts w:ascii="Arial"/>
                <w:spacing w:val="2"/>
              </w:rPr>
              <w:t xml:space="preserve"> </w:t>
            </w:r>
            <w:r>
              <w:rPr>
                <w:rFonts w:ascii="Arial"/>
                <w:spacing w:val="-1"/>
              </w:rPr>
              <w:t>assigns</w:t>
            </w:r>
            <w:r>
              <w:rPr>
                <w:rFonts w:ascii="Arial"/>
                <w:spacing w:val="-2"/>
              </w:rPr>
              <w:t xml:space="preserve"> of</w:t>
            </w:r>
            <w:r>
              <w:rPr>
                <w:rFonts w:ascii="Arial"/>
                <w:spacing w:val="2"/>
              </w:rPr>
              <w:t xml:space="preserve"> </w:t>
            </w:r>
            <w:r>
              <w:rPr>
                <w:rFonts w:ascii="Arial"/>
                <w:spacing w:val="-1"/>
              </w:rPr>
              <w:t>any</w:t>
            </w:r>
            <w:r>
              <w:rPr>
                <w:rFonts w:ascii="Arial"/>
                <w:spacing w:val="-2"/>
              </w:rPr>
              <w:t xml:space="preserve"> of</w:t>
            </w:r>
            <w:r>
              <w:rPr>
                <w:rFonts w:ascii="Arial"/>
                <w:spacing w:val="2"/>
              </w:rPr>
              <w:t xml:space="preserve"> </w:t>
            </w:r>
            <w:r>
              <w:rPr>
                <w:rFonts w:ascii="Arial"/>
              </w:rPr>
              <w:t xml:space="preserve">the </w:t>
            </w:r>
            <w:r>
              <w:rPr>
                <w:rFonts w:ascii="Arial"/>
                <w:spacing w:val="-2"/>
              </w:rPr>
              <w:t>above;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"Authority"</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99"/>
              <w:rPr>
                <w:rFonts w:ascii="Arial" w:eastAsia="Arial" w:hAnsi="Arial" w:cs="Arial"/>
              </w:rPr>
            </w:pPr>
            <w:r>
              <w:rPr>
                <w:rFonts w:ascii="Arial"/>
                <w:spacing w:val="-1"/>
              </w:rPr>
              <w:t>means</w:t>
            </w:r>
            <w:r>
              <w:rPr>
                <w:rFonts w:ascii="Arial"/>
                <w:spacing w:val="37"/>
              </w:rPr>
              <w:t xml:space="preserve"> </w:t>
            </w:r>
            <w:r>
              <w:rPr>
                <w:rFonts w:ascii="Arial"/>
              </w:rPr>
              <w:t>the</w:t>
            </w:r>
            <w:r>
              <w:rPr>
                <w:rFonts w:ascii="Arial"/>
                <w:spacing w:val="38"/>
              </w:rPr>
              <w:t xml:space="preserve"> </w:t>
            </w:r>
            <w:r>
              <w:rPr>
                <w:rFonts w:ascii="Arial"/>
                <w:spacing w:val="-2"/>
              </w:rPr>
              <w:t>Contracting</w:t>
            </w:r>
            <w:r>
              <w:rPr>
                <w:rFonts w:ascii="Arial"/>
                <w:spacing w:val="39"/>
              </w:rPr>
              <w:t xml:space="preserve"> </w:t>
            </w:r>
            <w:r>
              <w:rPr>
                <w:rFonts w:ascii="Arial"/>
                <w:spacing w:val="-1"/>
              </w:rPr>
              <w:t>Body</w:t>
            </w:r>
            <w:r>
              <w:rPr>
                <w:rFonts w:ascii="Arial"/>
                <w:spacing w:val="37"/>
              </w:rPr>
              <w:t xml:space="preserve"> </w:t>
            </w:r>
            <w:r>
              <w:rPr>
                <w:rFonts w:ascii="Arial"/>
                <w:spacing w:val="-1"/>
              </w:rPr>
              <w:t>stated</w:t>
            </w:r>
            <w:r>
              <w:rPr>
                <w:rFonts w:ascii="Arial"/>
                <w:spacing w:val="38"/>
              </w:rPr>
              <w:t xml:space="preserve"> </w:t>
            </w:r>
            <w:r>
              <w:rPr>
                <w:rFonts w:ascii="Arial"/>
                <w:spacing w:val="-1"/>
              </w:rPr>
              <w:t>in</w:t>
            </w:r>
            <w:r>
              <w:rPr>
                <w:rFonts w:ascii="Arial"/>
                <w:spacing w:val="36"/>
              </w:rPr>
              <w:t xml:space="preserve"> </w:t>
            </w:r>
            <w:r>
              <w:rPr>
                <w:rFonts w:ascii="Arial"/>
              </w:rPr>
              <w:t>the</w:t>
            </w:r>
            <w:r>
              <w:rPr>
                <w:rFonts w:ascii="Arial"/>
                <w:spacing w:val="39"/>
              </w:rPr>
              <w:t xml:space="preserve"> </w:t>
            </w:r>
            <w:r>
              <w:rPr>
                <w:rFonts w:ascii="Arial"/>
                <w:spacing w:val="-2"/>
              </w:rPr>
              <w:t>preamble</w:t>
            </w:r>
            <w:r>
              <w:rPr>
                <w:rFonts w:ascii="Arial"/>
                <w:spacing w:val="38"/>
              </w:rPr>
              <w:t xml:space="preserve"> </w:t>
            </w:r>
            <w:r>
              <w:rPr>
                <w:rFonts w:ascii="Arial"/>
                <w:spacing w:val="-1"/>
              </w:rPr>
              <w:t>to</w:t>
            </w:r>
            <w:r>
              <w:rPr>
                <w:rFonts w:ascii="Arial"/>
                <w:spacing w:val="47"/>
              </w:rPr>
              <w:t xml:space="preserve"> </w:t>
            </w:r>
            <w:r>
              <w:rPr>
                <w:rFonts w:ascii="Arial"/>
              </w:rPr>
              <w:t xml:space="preserve">the </w:t>
            </w:r>
            <w:r>
              <w:rPr>
                <w:rFonts w:ascii="Arial"/>
                <w:spacing w:val="-2"/>
              </w:rPr>
              <w:t>Framework</w:t>
            </w:r>
            <w:r>
              <w:rPr>
                <w:rFonts w:ascii="Arial"/>
                <w:spacing w:val="3"/>
              </w:rPr>
              <w:t xml:space="preserve"> </w:t>
            </w:r>
            <w:r>
              <w:rPr>
                <w:rFonts w:ascii="Arial"/>
                <w:spacing w:val="-1"/>
              </w:rPr>
              <w:t>Agreement;</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2"/>
              </w:rPr>
              <w:t>"BCDR</w:t>
            </w:r>
            <w:r>
              <w:rPr>
                <w:rFonts w:ascii="Arial"/>
                <w:b/>
              </w:rPr>
              <w:t xml:space="preserve"> </w:t>
            </w:r>
            <w:r>
              <w:rPr>
                <w:rFonts w:ascii="Arial"/>
                <w:b/>
                <w:spacing w:val="-1"/>
              </w:rPr>
              <w:t>Plan"</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1"/>
              </w:rPr>
              <w:t xml:space="preserve"> </w:t>
            </w:r>
            <w:r>
              <w:rPr>
                <w:rFonts w:ascii="Arial"/>
              </w:rPr>
              <w:t>the</w:t>
            </w:r>
            <w:r>
              <w:rPr>
                <w:rFonts w:ascii="Arial"/>
                <w:spacing w:val="3"/>
              </w:rPr>
              <w:t xml:space="preserve"> </w:t>
            </w:r>
            <w:r>
              <w:rPr>
                <w:rFonts w:ascii="Arial"/>
                <w:spacing w:val="-1"/>
              </w:rPr>
              <w:t>plan</w:t>
            </w:r>
            <w:r>
              <w:rPr>
                <w:rFonts w:ascii="Arial"/>
                <w:spacing w:val="3"/>
              </w:rPr>
              <w:t xml:space="preserve"> </w:t>
            </w:r>
            <w:r>
              <w:rPr>
                <w:rFonts w:ascii="Arial"/>
                <w:spacing w:val="-1"/>
              </w:rPr>
              <w:t>prepared</w:t>
            </w:r>
            <w:r>
              <w:rPr>
                <w:rFonts w:ascii="Arial"/>
              </w:rPr>
              <w:t xml:space="preserve"> </w:t>
            </w:r>
            <w:r>
              <w:rPr>
                <w:rFonts w:ascii="Arial"/>
                <w:spacing w:val="-1"/>
              </w:rPr>
              <w:t>pursuant</w:t>
            </w:r>
            <w:r>
              <w:rPr>
                <w:rFonts w:ascii="Arial"/>
                <w:spacing w:val="4"/>
              </w:rPr>
              <w:t xml:space="preserve"> </w:t>
            </w:r>
            <w:r>
              <w:rPr>
                <w:rFonts w:ascii="Arial"/>
              </w:rPr>
              <w:t>to</w:t>
            </w:r>
            <w:r>
              <w:rPr>
                <w:rFonts w:ascii="Arial"/>
                <w:spacing w:val="1"/>
              </w:rPr>
              <w:t xml:space="preserve"> </w:t>
            </w:r>
            <w:r>
              <w:rPr>
                <w:rFonts w:ascii="Arial"/>
                <w:spacing w:val="-1"/>
              </w:rPr>
              <w:t>paragraph</w:t>
            </w:r>
            <w:r>
              <w:rPr>
                <w:rFonts w:ascii="Arial"/>
                <w:spacing w:val="3"/>
              </w:rPr>
              <w:t xml:space="preserve"> </w:t>
            </w:r>
            <w:r>
              <w:rPr>
                <w:rFonts w:ascii="Arial"/>
              </w:rPr>
              <w:t xml:space="preserve">2 </w:t>
            </w:r>
            <w:r>
              <w:rPr>
                <w:rFonts w:ascii="Arial"/>
                <w:spacing w:val="-2"/>
              </w:rPr>
              <w:t>of</w:t>
            </w:r>
            <w:r>
              <w:rPr>
                <w:rFonts w:ascii="Arial"/>
                <w:spacing w:val="8"/>
              </w:rPr>
              <w:t xml:space="preserve"> </w:t>
            </w:r>
            <w:r>
              <w:rPr>
                <w:rFonts w:ascii="Arial"/>
                <w:spacing w:val="-2"/>
              </w:rPr>
              <w:t>Call</w:t>
            </w:r>
            <w:r>
              <w:rPr>
                <w:rFonts w:ascii="Arial"/>
                <w:spacing w:val="27"/>
              </w:rPr>
              <w:t xml:space="preserve"> </w:t>
            </w:r>
            <w:r>
              <w:rPr>
                <w:rFonts w:ascii="Arial"/>
                <w:spacing w:val="-1"/>
              </w:rPr>
              <w:t>Off</w:t>
            </w:r>
            <w:r>
              <w:rPr>
                <w:rFonts w:ascii="Arial"/>
                <w:spacing w:val="4"/>
              </w:rPr>
              <w:t xml:space="preserve"> </w:t>
            </w:r>
            <w:r>
              <w:rPr>
                <w:rFonts w:ascii="Arial"/>
                <w:spacing w:val="-1"/>
              </w:rPr>
              <w:t>Schedule</w:t>
            </w:r>
            <w:r>
              <w:rPr>
                <w:rFonts w:ascii="Arial"/>
              </w:rPr>
              <w:t xml:space="preserve"> 9</w:t>
            </w:r>
            <w:r>
              <w:rPr>
                <w:rFonts w:ascii="Arial"/>
                <w:spacing w:val="1"/>
              </w:rPr>
              <w:t xml:space="preserve"> </w:t>
            </w:r>
            <w:r>
              <w:rPr>
                <w:rFonts w:ascii="Arial"/>
                <w:spacing w:val="-1"/>
              </w:rPr>
              <w:t>(Business</w:t>
            </w:r>
            <w:r>
              <w:rPr>
                <w:rFonts w:ascii="Arial"/>
                <w:spacing w:val="1"/>
              </w:rPr>
              <w:t xml:space="preserve"> </w:t>
            </w:r>
            <w:r>
              <w:rPr>
                <w:rFonts w:ascii="Arial"/>
                <w:spacing w:val="-1"/>
              </w:rPr>
              <w:t>Continuity</w:t>
            </w:r>
            <w:r>
              <w:rPr>
                <w:rFonts w:ascii="Arial"/>
                <w:spacing w:val="59"/>
              </w:rPr>
              <w:t xml:space="preserve"> </w:t>
            </w:r>
            <w:r>
              <w:rPr>
                <w:rFonts w:ascii="Arial"/>
                <w:spacing w:val="-1"/>
              </w:rPr>
              <w:t>and</w:t>
            </w:r>
            <w:r>
              <w:rPr>
                <w:rFonts w:ascii="Arial"/>
                <w:spacing w:val="5"/>
              </w:rPr>
              <w:t xml:space="preserve"> </w:t>
            </w:r>
            <w:r>
              <w:rPr>
                <w:rFonts w:ascii="Arial"/>
                <w:spacing w:val="-1"/>
              </w:rPr>
              <w:t>Disaster</w:t>
            </w:r>
            <w:r>
              <w:rPr>
                <w:rFonts w:ascii="Arial"/>
                <w:spacing w:val="29"/>
              </w:rPr>
              <w:t xml:space="preserve"> </w:t>
            </w:r>
            <w:r>
              <w:rPr>
                <w:rFonts w:ascii="Arial"/>
                <w:spacing w:val="-1"/>
              </w:rPr>
              <w:t>Recovery),</w:t>
            </w:r>
            <w:r>
              <w:rPr>
                <w:rFonts w:ascii="Arial"/>
                <w:spacing w:val="2"/>
              </w:rPr>
              <w:t xml:space="preserve"> </w:t>
            </w:r>
            <w:r>
              <w:rPr>
                <w:rFonts w:ascii="Arial"/>
                <w:spacing w:val="-1"/>
              </w:rPr>
              <w:t>as</w:t>
            </w:r>
            <w:r>
              <w:rPr>
                <w:rFonts w:ascii="Arial"/>
                <w:spacing w:val="-2"/>
              </w:rPr>
              <w:t xml:space="preserve"> </w:t>
            </w:r>
            <w:r>
              <w:rPr>
                <w:rFonts w:ascii="Arial"/>
                <w:spacing w:val="-1"/>
              </w:rPr>
              <w:t>may</w:t>
            </w:r>
            <w:r>
              <w:rPr>
                <w:rFonts w:ascii="Arial"/>
                <w:spacing w:val="-2"/>
              </w:rPr>
              <w:t xml:space="preserve"> </w:t>
            </w:r>
            <w:r>
              <w:rPr>
                <w:rFonts w:ascii="Arial"/>
                <w:spacing w:val="-1"/>
              </w:rPr>
              <w:t>be</w:t>
            </w:r>
            <w:r>
              <w:rPr>
                <w:rFonts w:ascii="Arial"/>
              </w:rPr>
              <w:t xml:space="preserve"> </w:t>
            </w:r>
            <w:r>
              <w:rPr>
                <w:rFonts w:ascii="Arial"/>
                <w:spacing w:val="-1"/>
              </w:rPr>
              <w:t>amended</w:t>
            </w:r>
            <w:r>
              <w:rPr>
                <w:rFonts w:ascii="Arial"/>
                <w:spacing w:val="-2"/>
              </w:rPr>
              <w:t xml:space="preserve"> </w:t>
            </w:r>
            <w:r>
              <w:rPr>
                <w:rFonts w:ascii="Arial"/>
                <w:spacing w:val="-1"/>
              </w:rPr>
              <w:t>from time</w:t>
            </w:r>
            <w:r>
              <w:rPr>
                <w:rFonts w:ascii="Arial"/>
                <w:spacing w:val="-2"/>
              </w:rPr>
              <w:t xml:space="preserve"> </w:t>
            </w:r>
            <w:r>
              <w:rPr>
                <w:rFonts w:ascii="Arial"/>
              </w:rPr>
              <w:t>to</w:t>
            </w:r>
            <w:r>
              <w:rPr>
                <w:rFonts w:ascii="Arial"/>
                <w:spacing w:val="-2"/>
              </w:rPr>
              <w:t xml:space="preserve"> time;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2"/>
              </w:rPr>
              <w:t>"BCDR</w:t>
            </w:r>
            <w:r>
              <w:rPr>
                <w:rFonts w:ascii="Arial"/>
                <w:b/>
              </w:rPr>
              <w:t xml:space="preserve"> </w:t>
            </w:r>
            <w:r>
              <w:rPr>
                <w:rFonts w:ascii="Arial"/>
                <w:b/>
                <w:spacing w:val="-1"/>
              </w:rPr>
              <w:t>Services"</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98"/>
              <w:rPr>
                <w:rFonts w:ascii="Arial" w:eastAsia="Arial" w:hAnsi="Arial" w:cs="Arial"/>
              </w:rPr>
            </w:pPr>
            <w:r>
              <w:rPr>
                <w:rFonts w:ascii="Arial"/>
                <w:spacing w:val="-1"/>
              </w:rPr>
              <w:t>means</w:t>
            </w:r>
            <w:r>
              <w:rPr>
                <w:rFonts w:ascii="Arial"/>
                <w:spacing w:val="56"/>
              </w:rPr>
              <w:t xml:space="preserve"> </w:t>
            </w:r>
            <w:r>
              <w:rPr>
                <w:rFonts w:ascii="Arial"/>
              </w:rPr>
              <w:t>the</w:t>
            </w:r>
            <w:r>
              <w:rPr>
                <w:rFonts w:ascii="Arial"/>
                <w:spacing w:val="55"/>
              </w:rPr>
              <w:t xml:space="preserve"> </w:t>
            </w:r>
            <w:r>
              <w:rPr>
                <w:rFonts w:ascii="Arial"/>
                <w:spacing w:val="-1"/>
              </w:rPr>
              <w:t>Business</w:t>
            </w:r>
            <w:r>
              <w:rPr>
                <w:rFonts w:ascii="Arial"/>
                <w:spacing w:val="56"/>
              </w:rPr>
              <w:t xml:space="preserve"> </w:t>
            </w:r>
            <w:r>
              <w:rPr>
                <w:rFonts w:ascii="Arial"/>
                <w:spacing w:val="-1"/>
              </w:rPr>
              <w:t>Continuity</w:t>
            </w:r>
            <w:r>
              <w:rPr>
                <w:rFonts w:ascii="Arial"/>
                <w:spacing w:val="54"/>
              </w:rPr>
              <w:t xml:space="preserve"> </w:t>
            </w:r>
            <w:r>
              <w:rPr>
                <w:rFonts w:ascii="Arial"/>
                <w:spacing w:val="-1"/>
              </w:rPr>
              <w:t>Services</w:t>
            </w:r>
            <w:r>
              <w:rPr>
                <w:rFonts w:ascii="Arial"/>
                <w:spacing w:val="56"/>
              </w:rPr>
              <w:t xml:space="preserve"> </w:t>
            </w:r>
            <w:r>
              <w:rPr>
                <w:rFonts w:ascii="Arial"/>
                <w:spacing w:val="-1"/>
              </w:rPr>
              <w:t>and</w:t>
            </w:r>
            <w:r>
              <w:rPr>
                <w:rFonts w:ascii="Arial"/>
                <w:spacing w:val="58"/>
              </w:rPr>
              <w:t xml:space="preserve"> </w:t>
            </w:r>
            <w:r>
              <w:rPr>
                <w:rFonts w:ascii="Arial"/>
                <w:spacing w:val="-1"/>
              </w:rPr>
              <w:t>Disaster</w:t>
            </w:r>
            <w:r>
              <w:rPr>
                <w:rFonts w:ascii="Arial"/>
                <w:spacing w:val="23"/>
              </w:rPr>
              <w:t xml:space="preserve"> </w:t>
            </w:r>
            <w:r>
              <w:rPr>
                <w:rFonts w:ascii="Arial"/>
                <w:spacing w:val="-1"/>
              </w:rPr>
              <w:t>Recovery</w:t>
            </w:r>
            <w:r>
              <w:rPr>
                <w:rFonts w:ascii="Arial"/>
                <w:spacing w:val="-2"/>
              </w:rPr>
              <w:t xml:space="preserve"> </w:t>
            </w:r>
            <w:r>
              <w:rPr>
                <w:rFonts w:ascii="Arial"/>
                <w:spacing w:val="-1"/>
              </w:rPr>
              <w:t>Services;</w:t>
            </w:r>
          </w:p>
        </w:tc>
      </w:tr>
      <w:tr w:rsidR="008918FA" w:rsidTr="001C1527">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164"/>
              <w:rPr>
                <w:rFonts w:ascii="Arial" w:eastAsia="Arial" w:hAnsi="Arial" w:cs="Arial"/>
              </w:rPr>
            </w:pPr>
            <w:r>
              <w:rPr>
                <w:rFonts w:ascii="Arial"/>
                <w:b/>
                <w:spacing w:val="-1"/>
              </w:rPr>
              <w:t>"Business</w:t>
            </w:r>
            <w:r>
              <w:rPr>
                <w:rFonts w:ascii="Arial"/>
                <w:b/>
              </w:rPr>
              <w:t xml:space="preserve"> </w:t>
            </w:r>
            <w:r>
              <w:rPr>
                <w:rFonts w:ascii="Arial"/>
                <w:b/>
                <w:spacing w:val="-1"/>
              </w:rPr>
              <w:t>Continuity</w:t>
            </w:r>
            <w:r>
              <w:rPr>
                <w:rFonts w:ascii="Arial"/>
                <w:b/>
                <w:spacing w:val="26"/>
              </w:rPr>
              <w:t xml:space="preserve"> </w:t>
            </w:r>
            <w:r>
              <w:rPr>
                <w:rFonts w:ascii="Arial"/>
                <w:b/>
                <w:spacing w:val="-1"/>
              </w:rPr>
              <w:t>Services"</w:t>
            </w:r>
          </w:p>
        </w:tc>
        <w:tc>
          <w:tcPr>
            <w:tcW w:w="5952" w:type="dxa"/>
            <w:tcBorders>
              <w:top w:val="single" w:sz="7" w:space="0" w:color="000000"/>
              <w:left w:val="single" w:sz="7" w:space="0" w:color="000000"/>
              <w:bottom w:val="single" w:sz="7" w:space="0" w:color="000000"/>
              <w:right w:val="single" w:sz="5" w:space="0" w:color="000000"/>
            </w:tcBorders>
            <w:shd w:val="clear" w:color="auto" w:fill="auto"/>
          </w:tcPr>
          <w:p w:rsidR="008918FA" w:rsidRDefault="008918FA" w:rsidP="005D2B81">
            <w:pPr>
              <w:pStyle w:val="TableParagraph"/>
              <w:ind w:left="270" w:right="99"/>
              <w:jc w:val="both"/>
              <w:rPr>
                <w:rFonts w:ascii="Arial" w:eastAsia="Arial" w:hAnsi="Arial" w:cs="Arial"/>
              </w:rPr>
            </w:pPr>
            <w:r>
              <w:rPr>
                <w:rFonts w:ascii="Arial"/>
                <w:spacing w:val="-1"/>
              </w:rPr>
              <w:t>has</w:t>
            </w:r>
            <w:r>
              <w:rPr>
                <w:rFonts w:ascii="Arial"/>
                <w:spacing w:val="3"/>
              </w:rPr>
              <w:t xml:space="preserve"> </w:t>
            </w:r>
            <w:r>
              <w:rPr>
                <w:rFonts w:ascii="Arial"/>
              </w:rPr>
              <w:t>the</w:t>
            </w:r>
            <w:r>
              <w:rPr>
                <w:rFonts w:ascii="Arial"/>
                <w:spacing w:val="3"/>
              </w:rPr>
              <w:t xml:space="preserve"> </w:t>
            </w:r>
            <w:r>
              <w:rPr>
                <w:rFonts w:ascii="Arial"/>
                <w:spacing w:val="-1"/>
              </w:rPr>
              <w:t>meaning</w:t>
            </w:r>
            <w:r>
              <w:rPr>
                <w:rFonts w:ascii="Arial"/>
                <w:spacing w:val="3"/>
              </w:rPr>
              <w:t xml:space="preserve"> </w:t>
            </w:r>
            <w:r>
              <w:rPr>
                <w:rFonts w:ascii="Arial"/>
                <w:spacing w:val="-1"/>
              </w:rPr>
              <w:t>given</w:t>
            </w:r>
            <w:r>
              <w:rPr>
                <w:rFonts w:ascii="Arial"/>
                <w:spacing w:val="3"/>
              </w:rPr>
              <w:t xml:space="preserve"> </w:t>
            </w:r>
            <w:r>
              <w:rPr>
                <w:rFonts w:ascii="Arial"/>
              </w:rPr>
              <w:t>to</w:t>
            </w:r>
            <w:r>
              <w:rPr>
                <w:rFonts w:ascii="Arial"/>
                <w:spacing w:val="3"/>
              </w:rPr>
              <w:t xml:space="preserve"> </w:t>
            </w:r>
            <w:r>
              <w:rPr>
                <w:rFonts w:ascii="Arial"/>
                <w:spacing w:val="-1"/>
              </w:rPr>
              <w:t>it</w:t>
            </w:r>
            <w:r>
              <w:rPr>
                <w:rFonts w:ascii="Arial"/>
                <w:spacing w:val="4"/>
              </w:rPr>
              <w:t xml:space="preserve"> </w:t>
            </w:r>
            <w:r>
              <w:rPr>
                <w:rFonts w:ascii="Arial"/>
                <w:spacing w:val="-1"/>
              </w:rPr>
              <w:t>in</w:t>
            </w:r>
            <w:r>
              <w:rPr>
                <w:rFonts w:ascii="Arial"/>
                <w:spacing w:val="3"/>
              </w:rPr>
              <w:t xml:space="preserve"> </w:t>
            </w:r>
            <w:r>
              <w:rPr>
                <w:rFonts w:ascii="Arial"/>
                <w:spacing w:val="-1"/>
              </w:rPr>
              <w:t>paragraph</w:t>
            </w:r>
            <w:r>
              <w:rPr>
                <w:rFonts w:ascii="Arial"/>
                <w:spacing w:val="5"/>
              </w:rPr>
              <w:t xml:space="preserve"> </w:t>
            </w:r>
            <w:hyperlink w:anchor="_bookmark357" w:history="1">
              <w:r>
                <w:rPr>
                  <w:rFonts w:ascii="Arial"/>
                </w:rPr>
                <w:t>4.2.2</w:t>
              </w:r>
            </w:hyperlink>
            <w:r>
              <w:rPr>
                <w:rFonts w:ascii="Arial"/>
                <w:spacing w:val="3"/>
              </w:rPr>
              <w:t xml:space="preserve"> </w:t>
            </w:r>
            <w:r>
              <w:rPr>
                <w:rFonts w:ascii="Arial"/>
                <w:spacing w:val="-2"/>
              </w:rPr>
              <w:t>of</w:t>
            </w:r>
            <w:r>
              <w:rPr>
                <w:rFonts w:ascii="Arial"/>
                <w:spacing w:val="4"/>
              </w:rPr>
              <w:t xml:space="preserve"> </w:t>
            </w:r>
            <w:r>
              <w:rPr>
                <w:rFonts w:ascii="Arial"/>
                <w:spacing w:val="-2"/>
              </w:rPr>
              <w:t>Call</w:t>
            </w:r>
            <w:r>
              <w:rPr>
                <w:rFonts w:ascii="Arial"/>
                <w:spacing w:val="2"/>
              </w:rPr>
              <w:t xml:space="preserve"> </w:t>
            </w:r>
            <w:r>
              <w:rPr>
                <w:rFonts w:ascii="Arial"/>
              </w:rPr>
              <w:t>Off</w:t>
            </w:r>
            <w:r>
              <w:rPr>
                <w:rFonts w:ascii="Arial"/>
                <w:spacing w:val="30"/>
              </w:rPr>
              <w:t xml:space="preserve"> </w:t>
            </w:r>
            <w:r>
              <w:rPr>
                <w:rFonts w:ascii="Arial"/>
                <w:spacing w:val="-1"/>
              </w:rPr>
              <w:t>Schedule</w:t>
            </w:r>
            <w:r>
              <w:rPr>
                <w:rFonts w:ascii="Arial"/>
                <w:spacing w:val="36"/>
              </w:rPr>
              <w:t xml:space="preserve"> </w:t>
            </w:r>
            <w:r>
              <w:rPr>
                <w:rFonts w:ascii="Arial"/>
              </w:rPr>
              <w:t>9</w:t>
            </w:r>
            <w:r>
              <w:rPr>
                <w:rFonts w:ascii="Arial"/>
                <w:spacing w:val="35"/>
              </w:rPr>
              <w:t xml:space="preserve"> </w:t>
            </w:r>
            <w:r>
              <w:rPr>
                <w:rFonts w:ascii="Arial"/>
                <w:spacing w:val="-1"/>
              </w:rPr>
              <w:t>(Business</w:t>
            </w:r>
            <w:r>
              <w:rPr>
                <w:rFonts w:ascii="Arial"/>
                <w:spacing w:val="36"/>
              </w:rPr>
              <w:t xml:space="preserve"> </w:t>
            </w:r>
            <w:r>
              <w:rPr>
                <w:rFonts w:ascii="Arial"/>
                <w:spacing w:val="-1"/>
              </w:rPr>
              <w:t>Continuity</w:t>
            </w:r>
            <w:r>
              <w:rPr>
                <w:rFonts w:ascii="Arial"/>
                <w:spacing w:val="33"/>
              </w:rPr>
              <w:t xml:space="preserve"> </w:t>
            </w:r>
            <w:r>
              <w:rPr>
                <w:rFonts w:ascii="Arial"/>
                <w:spacing w:val="-1"/>
              </w:rPr>
              <w:t>and</w:t>
            </w:r>
            <w:r>
              <w:rPr>
                <w:rFonts w:ascii="Arial"/>
                <w:spacing w:val="40"/>
              </w:rPr>
              <w:t xml:space="preserve"> </w:t>
            </w:r>
            <w:r>
              <w:rPr>
                <w:rFonts w:ascii="Arial"/>
                <w:spacing w:val="-1"/>
              </w:rPr>
              <w:t>Disaster</w:t>
            </w:r>
            <w:r>
              <w:rPr>
                <w:rFonts w:ascii="Arial"/>
                <w:spacing w:val="30"/>
              </w:rPr>
              <w:t xml:space="preserve"> </w:t>
            </w:r>
            <w:r>
              <w:rPr>
                <w:rFonts w:ascii="Arial"/>
                <w:spacing w:val="-1"/>
              </w:rPr>
              <w:t>Recovery);</w:t>
            </w:r>
          </w:p>
        </w:tc>
      </w:tr>
      <w:tr w:rsidR="008918FA" w:rsidTr="005D2B81">
        <w:trPr>
          <w:trHeight w:hRule="exact" w:val="140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4"/>
              </w:rPr>
              <w:t xml:space="preserve"> </w:t>
            </w:r>
            <w:r>
              <w:rPr>
                <w:rFonts w:ascii="Arial"/>
                <w:b/>
                <w:spacing w:val="-2"/>
              </w:rPr>
              <w:t>Agreement"</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20"/>
              </w:rPr>
              <w:t xml:space="preserve"> </w:t>
            </w:r>
            <w:r>
              <w:rPr>
                <w:rFonts w:ascii="Arial"/>
              </w:rPr>
              <w:t>a</w:t>
            </w:r>
            <w:r>
              <w:rPr>
                <w:rFonts w:ascii="Arial"/>
                <w:spacing w:val="20"/>
              </w:rPr>
              <w:t xml:space="preserve"> </w:t>
            </w:r>
            <w:r>
              <w:rPr>
                <w:rFonts w:ascii="Arial"/>
                <w:spacing w:val="-1"/>
              </w:rPr>
              <w:t>legally</w:t>
            </w:r>
            <w:r>
              <w:rPr>
                <w:rFonts w:ascii="Arial"/>
                <w:spacing w:val="18"/>
              </w:rPr>
              <w:t xml:space="preserve"> </w:t>
            </w:r>
            <w:r>
              <w:rPr>
                <w:rFonts w:ascii="Arial"/>
                <w:spacing w:val="-1"/>
              </w:rPr>
              <w:t>binding</w:t>
            </w:r>
            <w:r>
              <w:rPr>
                <w:rFonts w:ascii="Arial"/>
                <w:spacing w:val="22"/>
              </w:rPr>
              <w:t xml:space="preserve"> </w:t>
            </w:r>
            <w:r>
              <w:rPr>
                <w:rFonts w:ascii="Arial"/>
                <w:spacing w:val="-1"/>
              </w:rPr>
              <w:t>agreement</w:t>
            </w:r>
            <w:r>
              <w:rPr>
                <w:rFonts w:ascii="Arial"/>
                <w:spacing w:val="19"/>
              </w:rPr>
              <w:t xml:space="preserve"> </w:t>
            </w:r>
            <w:r>
              <w:rPr>
                <w:rFonts w:ascii="Arial"/>
                <w:spacing w:val="-1"/>
              </w:rPr>
              <w:t>(entered</w:t>
            </w:r>
            <w:r>
              <w:rPr>
                <w:rFonts w:ascii="Arial"/>
                <w:spacing w:val="20"/>
              </w:rPr>
              <w:t xml:space="preserve"> </w:t>
            </w:r>
            <w:r>
              <w:rPr>
                <w:rFonts w:ascii="Arial"/>
                <w:spacing w:val="-1"/>
              </w:rPr>
              <w:t>into</w:t>
            </w:r>
            <w:r>
              <w:rPr>
                <w:rFonts w:ascii="Arial"/>
                <w:spacing w:val="21"/>
              </w:rPr>
              <w:t xml:space="preserve"> </w:t>
            </w:r>
            <w:r>
              <w:rPr>
                <w:rFonts w:ascii="Arial"/>
                <w:spacing w:val="-1"/>
              </w:rPr>
              <w:t>pursuant</w:t>
            </w:r>
            <w:r>
              <w:rPr>
                <w:rFonts w:ascii="Arial"/>
                <w:spacing w:val="9"/>
              </w:rPr>
              <w:t xml:space="preserve"> </w:t>
            </w:r>
            <w:r>
              <w:rPr>
                <w:rFonts w:ascii="Arial"/>
              </w:rPr>
              <w:t>to</w:t>
            </w:r>
            <w:r>
              <w:rPr>
                <w:rFonts w:ascii="Arial"/>
                <w:spacing w:val="5"/>
              </w:rPr>
              <w:t xml:space="preserve"> </w:t>
            </w:r>
            <w:r>
              <w:rPr>
                <w:rFonts w:ascii="Arial"/>
              </w:rPr>
              <w:t>the</w:t>
            </w:r>
            <w:r>
              <w:rPr>
                <w:rFonts w:ascii="Arial"/>
                <w:spacing w:val="7"/>
              </w:rPr>
              <w:t xml:space="preserve"> </w:t>
            </w:r>
            <w:r>
              <w:rPr>
                <w:rFonts w:ascii="Arial"/>
                <w:spacing w:val="-2"/>
              </w:rPr>
              <w:t>provisions</w:t>
            </w:r>
            <w:r>
              <w:rPr>
                <w:rFonts w:ascii="Arial"/>
                <w:spacing w:val="8"/>
              </w:rPr>
              <w:t xml:space="preserve"> </w:t>
            </w:r>
            <w:r>
              <w:rPr>
                <w:rFonts w:ascii="Arial"/>
                <w:spacing w:val="-1"/>
              </w:rPr>
              <w:t>of</w:t>
            </w:r>
            <w:r>
              <w:rPr>
                <w:rFonts w:ascii="Arial"/>
                <w:spacing w:val="9"/>
              </w:rPr>
              <w:t xml:space="preserve"> </w:t>
            </w:r>
            <w:r>
              <w:rPr>
                <w:rFonts w:ascii="Arial"/>
              </w:rPr>
              <w:t>the</w:t>
            </w:r>
            <w:r>
              <w:rPr>
                <w:rFonts w:ascii="Arial"/>
                <w:spacing w:val="7"/>
              </w:rPr>
              <w:t xml:space="preserve"> </w:t>
            </w:r>
            <w:r>
              <w:rPr>
                <w:rFonts w:ascii="Arial"/>
                <w:spacing w:val="-2"/>
              </w:rPr>
              <w:t>Framework</w:t>
            </w:r>
            <w:r>
              <w:rPr>
                <w:rFonts w:ascii="Arial"/>
                <w:spacing w:val="10"/>
              </w:rPr>
              <w:t xml:space="preserve"> </w:t>
            </w:r>
            <w:r>
              <w:rPr>
                <w:rFonts w:ascii="Arial"/>
                <w:spacing w:val="-1"/>
              </w:rPr>
              <w:t>Agreement)</w:t>
            </w:r>
            <w:r>
              <w:rPr>
                <w:rFonts w:ascii="Arial"/>
                <w:spacing w:val="45"/>
              </w:rPr>
              <w:t xml:space="preserve"> </w:t>
            </w:r>
            <w:r>
              <w:rPr>
                <w:rFonts w:ascii="Arial"/>
              </w:rPr>
              <w:t>for</w:t>
            </w:r>
            <w:r>
              <w:rPr>
                <w:rFonts w:ascii="Arial"/>
                <w:spacing w:val="59"/>
              </w:rPr>
              <w:t xml:space="preserve"> </w:t>
            </w:r>
            <w:r>
              <w:rPr>
                <w:rFonts w:ascii="Arial"/>
              </w:rPr>
              <w:t>the</w:t>
            </w:r>
            <w:r>
              <w:rPr>
                <w:rFonts w:ascii="Arial"/>
                <w:spacing w:val="58"/>
              </w:rPr>
              <w:t xml:space="preserve"> </w:t>
            </w:r>
            <w:r>
              <w:rPr>
                <w:rFonts w:ascii="Arial"/>
                <w:spacing w:val="-2"/>
              </w:rPr>
              <w:t>provision</w:t>
            </w:r>
            <w:r>
              <w:rPr>
                <w:rFonts w:ascii="Arial"/>
                <w:spacing w:val="58"/>
              </w:rPr>
              <w:t xml:space="preserve"> </w:t>
            </w:r>
            <w:r>
              <w:rPr>
                <w:rFonts w:ascii="Arial"/>
                <w:spacing w:val="-1"/>
              </w:rPr>
              <w:t>of</w:t>
            </w:r>
            <w:r>
              <w:rPr>
                <w:rFonts w:ascii="Arial"/>
              </w:rPr>
              <w:t xml:space="preserve"> the</w:t>
            </w:r>
            <w:r>
              <w:rPr>
                <w:rFonts w:ascii="Arial"/>
                <w:spacing w:val="57"/>
              </w:rPr>
              <w:t xml:space="preserve"> </w:t>
            </w:r>
            <w:r>
              <w:rPr>
                <w:rFonts w:ascii="Arial"/>
                <w:spacing w:val="-1"/>
              </w:rPr>
              <w:t>Goods</w:t>
            </w:r>
            <w:r>
              <w:rPr>
                <w:rFonts w:ascii="Arial"/>
                <w:spacing w:val="58"/>
              </w:rPr>
              <w:t xml:space="preserve"> </w:t>
            </w:r>
            <w:r>
              <w:rPr>
                <w:rFonts w:ascii="Arial"/>
                <w:spacing w:val="-1"/>
              </w:rPr>
              <w:t>and/or</w:t>
            </w:r>
            <w:r>
              <w:rPr>
                <w:rFonts w:ascii="Arial"/>
                <w:spacing w:val="59"/>
              </w:rPr>
              <w:t xml:space="preserve"> </w:t>
            </w:r>
            <w:r>
              <w:rPr>
                <w:rFonts w:ascii="Arial"/>
                <w:spacing w:val="-1"/>
              </w:rPr>
              <w:t>Services</w:t>
            </w:r>
            <w:r>
              <w:rPr>
                <w:rFonts w:ascii="Arial"/>
                <w:spacing w:val="60"/>
              </w:rPr>
              <w:t xml:space="preserve"> </w:t>
            </w:r>
            <w:r>
              <w:rPr>
                <w:rFonts w:ascii="Arial"/>
                <w:spacing w:val="-1"/>
              </w:rPr>
              <w:t>made</w:t>
            </w:r>
            <w:r>
              <w:rPr>
                <w:rFonts w:ascii="Arial"/>
                <w:spacing w:val="32"/>
              </w:rPr>
              <w:t xml:space="preserve"> </w:t>
            </w:r>
            <w:r>
              <w:rPr>
                <w:rFonts w:ascii="Arial"/>
                <w:spacing w:val="-1"/>
              </w:rPr>
              <w:t>between</w:t>
            </w:r>
            <w:r>
              <w:rPr>
                <w:rFonts w:ascii="Arial"/>
                <w:spacing w:val="31"/>
              </w:rPr>
              <w:t xml:space="preserve"> </w:t>
            </w:r>
            <w:r>
              <w:rPr>
                <w:rFonts w:ascii="Arial"/>
              </w:rPr>
              <w:t>a</w:t>
            </w:r>
            <w:r>
              <w:rPr>
                <w:rFonts w:ascii="Arial"/>
                <w:spacing w:val="31"/>
              </w:rPr>
              <w:t xml:space="preserve"> </w:t>
            </w:r>
            <w:r>
              <w:rPr>
                <w:rFonts w:ascii="Arial"/>
                <w:spacing w:val="-1"/>
              </w:rPr>
              <w:t>Contracting</w:t>
            </w:r>
            <w:r>
              <w:rPr>
                <w:rFonts w:ascii="Arial"/>
                <w:spacing w:val="29"/>
              </w:rPr>
              <w:t xml:space="preserve"> </w:t>
            </w:r>
            <w:r>
              <w:rPr>
                <w:rFonts w:ascii="Arial"/>
                <w:spacing w:val="-1"/>
              </w:rPr>
              <w:t>Body</w:t>
            </w:r>
            <w:r>
              <w:rPr>
                <w:rFonts w:ascii="Arial"/>
                <w:spacing w:val="30"/>
              </w:rPr>
              <w:t xml:space="preserve"> </w:t>
            </w:r>
            <w:r>
              <w:rPr>
                <w:rFonts w:ascii="Arial"/>
                <w:spacing w:val="-1"/>
              </w:rPr>
              <w:t>and</w:t>
            </w:r>
            <w:r>
              <w:rPr>
                <w:rFonts w:ascii="Arial"/>
                <w:spacing w:val="31"/>
              </w:rPr>
              <w:t xml:space="preserve"> </w:t>
            </w:r>
            <w:r>
              <w:rPr>
                <w:rFonts w:ascii="Arial"/>
              </w:rPr>
              <w:t>the</w:t>
            </w:r>
            <w:r>
              <w:rPr>
                <w:rFonts w:ascii="Arial"/>
                <w:spacing w:val="31"/>
              </w:rPr>
              <w:t xml:space="preserve"> </w:t>
            </w:r>
            <w:r>
              <w:rPr>
                <w:rFonts w:ascii="Arial"/>
                <w:spacing w:val="-2"/>
              </w:rPr>
              <w:t>Supplier</w:t>
            </w:r>
            <w:r>
              <w:rPr>
                <w:rFonts w:ascii="Arial"/>
                <w:spacing w:val="33"/>
              </w:rPr>
              <w:t xml:space="preserve"> </w:t>
            </w:r>
            <w:r>
              <w:rPr>
                <w:rFonts w:ascii="Arial"/>
                <w:spacing w:val="-1"/>
              </w:rPr>
              <w:t>pursuant</w:t>
            </w:r>
            <w:r>
              <w:rPr>
                <w:rFonts w:ascii="Arial"/>
                <w:spacing w:val="25"/>
              </w:rPr>
              <w:t xml:space="preserve"> </w:t>
            </w:r>
            <w:r>
              <w:rPr>
                <w:rFonts w:ascii="Arial"/>
              </w:rPr>
              <w:t xml:space="preserve">to </w:t>
            </w:r>
            <w:r>
              <w:rPr>
                <w:rFonts w:ascii="Arial"/>
                <w:spacing w:val="-2"/>
              </w:rPr>
              <w:t>Framework</w:t>
            </w:r>
            <w:r>
              <w:rPr>
                <w:rFonts w:ascii="Arial"/>
                <w:spacing w:val="3"/>
              </w:rPr>
              <w:t xml:space="preserve"> </w:t>
            </w:r>
            <w:r>
              <w:rPr>
                <w:rFonts w:ascii="Arial"/>
                <w:spacing w:val="-1"/>
              </w:rPr>
              <w:t>Schedule</w:t>
            </w:r>
            <w:r>
              <w:rPr>
                <w:rFonts w:ascii="Arial"/>
                <w:spacing w:val="-2"/>
              </w:rPr>
              <w:t xml:space="preserve"> </w:t>
            </w:r>
            <w:r>
              <w:rPr>
                <w:rFonts w:ascii="Arial"/>
              </w:rPr>
              <w:t xml:space="preserve">5 </w:t>
            </w:r>
            <w:r>
              <w:rPr>
                <w:rFonts w:ascii="Arial"/>
                <w:spacing w:val="-1"/>
              </w:rPr>
              <w:t>(Call</w:t>
            </w:r>
            <w:r>
              <w:rPr>
                <w:rFonts w:ascii="Arial"/>
              </w:rPr>
              <w:t xml:space="preserve"> </w:t>
            </w:r>
            <w:r>
              <w:rPr>
                <w:rFonts w:ascii="Arial"/>
                <w:spacing w:val="-1"/>
              </w:rPr>
              <w:t>Off</w:t>
            </w:r>
            <w:r>
              <w:rPr>
                <w:rFonts w:ascii="Arial"/>
              </w:rPr>
              <w:t xml:space="preserve"> </w:t>
            </w:r>
            <w:r>
              <w:rPr>
                <w:rFonts w:ascii="Arial"/>
                <w:spacing w:val="-1"/>
              </w:rPr>
              <w:t>Procedure);</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ind w:left="-6" w:right="687"/>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5"/>
              </w:rPr>
              <w:t xml:space="preserve"> </w:t>
            </w:r>
            <w:r>
              <w:rPr>
                <w:rFonts w:ascii="Arial"/>
                <w:b/>
                <w:spacing w:val="-1"/>
              </w:rPr>
              <w:t>Commencement</w:t>
            </w:r>
            <w:r>
              <w:rPr>
                <w:rFonts w:ascii="Arial"/>
                <w:b/>
                <w:spacing w:val="22"/>
              </w:rPr>
              <w:t xml:space="preserve"> </w:t>
            </w:r>
            <w:r>
              <w:rPr>
                <w:rFonts w:ascii="Arial"/>
                <w:b/>
                <w:spacing w:val="-1"/>
              </w:rPr>
              <w:t>Date"</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101"/>
              <w:rPr>
                <w:rFonts w:ascii="Arial" w:eastAsia="Arial" w:hAnsi="Arial" w:cs="Arial"/>
              </w:rPr>
            </w:pPr>
            <w:r>
              <w:rPr>
                <w:rFonts w:ascii="Arial"/>
                <w:spacing w:val="-1"/>
              </w:rPr>
              <w:t>means</w:t>
            </w:r>
            <w:r>
              <w:rPr>
                <w:rFonts w:ascii="Arial"/>
              </w:rPr>
              <w:t xml:space="preserve"> </w:t>
            </w:r>
            <w:r>
              <w:rPr>
                <w:rFonts w:ascii="Arial"/>
                <w:spacing w:val="28"/>
              </w:rPr>
              <w:t xml:space="preserve"> </w:t>
            </w:r>
            <w:r>
              <w:rPr>
                <w:rFonts w:ascii="Arial"/>
              </w:rPr>
              <w:t xml:space="preserve">the </w:t>
            </w:r>
            <w:r>
              <w:rPr>
                <w:rFonts w:ascii="Arial"/>
                <w:spacing w:val="30"/>
              </w:rPr>
              <w:t xml:space="preserve"> </w:t>
            </w:r>
            <w:r>
              <w:rPr>
                <w:rFonts w:ascii="Arial"/>
                <w:spacing w:val="-1"/>
              </w:rPr>
              <w:t>date</w:t>
            </w:r>
            <w:r>
              <w:rPr>
                <w:rFonts w:ascii="Arial"/>
              </w:rPr>
              <w:t xml:space="preserve"> </w:t>
            </w:r>
            <w:r>
              <w:rPr>
                <w:rFonts w:ascii="Arial"/>
                <w:spacing w:val="30"/>
              </w:rPr>
              <w:t xml:space="preserve"> </w:t>
            </w:r>
            <w:r>
              <w:rPr>
                <w:rFonts w:ascii="Arial"/>
                <w:spacing w:val="-2"/>
              </w:rPr>
              <w:t>of</w:t>
            </w:r>
            <w:r>
              <w:rPr>
                <w:rFonts w:ascii="Arial"/>
              </w:rPr>
              <w:t xml:space="preserve"> </w:t>
            </w:r>
            <w:r>
              <w:rPr>
                <w:rFonts w:ascii="Arial"/>
                <w:spacing w:val="32"/>
              </w:rPr>
              <w:t xml:space="preserve"> </w:t>
            </w:r>
            <w:r>
              <w:rPr>
                <w:rFonts w:ascii="Arial"/>
                <w:spacing w:val="-2"/>
              </w:rPr>
              <w:t>commencement</w:t>
            </w:r>
            <w:r>
              <w:rPr>
                <w:rFonts w:ascii="Arial"/>
              </w:rPr>
              <w:t xml:space="preserve"> </w:t>
            </w:r>
            <w:r>
              <w:rPr>
                <w:rFonts w:ascii="Arial"/>
                <w:spacing w:val="32"/>
              </w:rPr>
              <w:t xml:space="preserve"> </w:t>
            </w:r>
            <w:r>
              <w:rPr>
                <w:rFonts w:ascii="Arial"/>
                <w:spacing w:val="-2"/>
              </w:rPr>
              <w:t>of</w:t>
            </w:r>
            <w:r>
              <w:rPr>
                <w:rFonts w:ascii="Arial"/>
              </w:rPr>
              <w:t xml:space="preserve"> </w:t>
            </w:r>
            <w:r>
              <w:rPr>
                <w:rFonts w:ascii="Arial"/>
                <w:spacing w:val="32"/>
              </w:rPr>
              <w:t xml:space="preserve"> </w:t>
            </w:r>
            <w:r>
              <w:rPr>
                <w:rFonts w:ascii="Arial"/>
                <w:spacing w:val="-1"/>
              </w:rPr>
              <w:t>this</w:t>
            </w:r>
            <w:r>
              <w:rPr>
                <w:rFonts w:ascii="Arial"/>
              </w:rPr>
              <w:t xml:space="preserve"> </w:t>
            </w:r>
            <w:r>
              <w:rPr>
                <w:rFonts w:ascii="Arial"/>
                <w:spacing w:val="28"/>
              </w:rPr>
              <w:t xml:space="preserve"> </w:t>
            </w:r>
            <w:r>
              <w:rPr>
                <w:rFonts w:ascii="Arial"/>
                <w:spacing w:val="-2"/>
              </w:rPr>
              <w:t>Call</w:t>
            </w:r>
            <w:r>
              <w:rPr>
                <w:rFonts w:ascii="Arial"/>
              </w:rPr>
              <w:t xml:space="preserve"> </w:t>
            </w:r>
            <w:r>
              <w:rPr>
                <w:rFonts w:ascii="Arial"/>
                <w:spacing w:val="27"/>
              </w:rPr>
              <w:t xml:space="preserve"> </w:t>
            </w:r>
            <w:r>
              <w:rPr>
                <w:rFonts w:ascii="Arial"/>
                <w:spacing w:val="-1"/>
              </w:rPr>
              <w:t>Off</w:t>
            </w:r>
            <w:r>
              <w:rPr>
                <w:rFonts w:ascii="Arial"/>
                <w:spacing w:val="49"/>
              </w:rPr>
              <w:t xml:space="preserve"> </w:t>
            </w:r>
            <w:r>
              <w:rPr>
                <w:rFonts w:ascii="Arial"/>
                <w:spacing w:val="-1"/>
              </w:rPr>
              <w:t>Contract</w:t>
            </w:r>
            <w:r>
              <w:rPr>
                <w:rFonts w:ascii="Arial"/>
                <w:spacing w:val="2"/>
              </w:rPr>
              <w:t xml:space="preserve"> </w:t>
            </w:r>
            <w:r>
              <w:rPr>
                <w:rFonts w:ascii="Arial"/>
                <w:spacing w:val="-1"/>
              </w:rPr>
              <w:t>set</w:t>
            </w:r>
            <w:r>
              <w:rPr>
                <w:rFonts w:ascii="Arial"/>
                <w:spacing w:val="2"/>
              </w:rPr>
              <w:t xml:space="preserve"> </w:t>
            </w:r>
            <w:r>
              <w:rPr>
                <w:rFonts w:ascii="Arial"/>
                <w:spacing w:val="-2"/>
              </w:rPr>
              <w:t>out</w:t>
            </w:r>
            <w:r>
              <w:rPr>
                <w:rFonts w:ascii="Arial"/>
                <w:spacing w:val="2"/>
              </w:rPr>
              <w:t xml:space="preserve"> </w:t>
            </w:r>
            <w:r>
              <w:rPr>
                <w:rFonts w:ascii="Arial"/>
                <w:spacing w:val="-1"/>
              </w:rPr>
              <w:t>in</w:t>
            </w:r>
            <w:r>
              <w:rPr>
                <w:rFonts w:ascii="Arial"/>
                <w:spacing w:val="-2"/>
              </w:rPr>
              <w:t xml:space="preserve"> </w:t>
            </w:r>
            <w:r>
              <w:rPr>
                <w:rFonts w:ascii="Arial"/>
                <w:spacing w:val="-1"/>
              </w:rPr>
              <w:t>paragraph</w:t>
            </w:r>
            <w:r>
              <w:rPr>
                <w:rFonts w:ascii="Arial"/>
              </w:rPr>
              <w:t xml:space="preserve"> </w:t>
            </w:r>
            <w:r>
              <w:rPr>
                <w:rFonts w:ascii="Arial"/>
                <w:spacing w:val="-1"/>
              </w:rPr>
              <w:t>1.1</w:t>
            </w:r>
            <w:r>
              <w:rPr>
                <w:rFonts w:ascii="Arial"/>
              </w:rPr>
              <w:t xml:space="preserve"> </w:t>
            </w:r>
            <w:r>
              <w:rPr>
                <w:rFonts w:ascii="Arial"/>
                <w:spacing w:val="-2"/>
              </w:rPr>
              <w:t>of</w:t>
            </w:r>
            <w:r>
              <w:rPr>
                <w:rFonts w:ascii="Arial"/>
              </w:rPr>
              <w:t xml:space="preserve"> the</w:t>
            </w:r>
            <w:r>
              <w:rPr>
                <w:rFonts w:ascii="Arial"/>
                <w:spacing w:val="-2"/>
              </w:rPr>
              <w:t xml:space="preserve"> </w:t>
            </w:r>
            <w:r>
              <w:rPr>
                <w:rFonts w:ascii="Arial"/>
                <w:spacing w:val="-1"/>
              </w:rPr>
              <w:t>Order Form;</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
              </w:rPr>
              <w:t xml:space="preserve"> </w:t>
            </w:r>
            <w:r>
              <w:rPr>
                <w:rFonts w:ascii="Arial"/>
                <w:b/>
                <w:spacing w:val="-2"/>
              </w:rPr>
              <w:t>Contract"</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21"/>
              </w:rPr>
              <w:t xml:space="preserve"> </w:t>
            </w:r>
            <w:r>
              <w:rPr>
                <w:rFonts w:ascii="Arial"/>
                <w:spacing w:val="-1"/>
              </w:rPr>
              <w:t>this</w:t>
            </w:r>
            <w:r>
              <w:rPr>
                <w:rFonts w:ascii="Arial"/>
                <w:spacing w:val="24"/>
              </w:rPr>
              <w:t xml:space="preserve"> </w:t>
            </w:r>
            <w:r>
              <w:rPr>
                <w:rFonts w:ascii="Arial"/>
                <w:spacing w:val="-1"/>
              </w:rPr>
              <w:t>contract</w:t>
            </w:r>
            <w:r>
              <w:rPr>
                <w:rFonts w:ascii="Arial"/>
                <w:spacing w:val="25"/>
              </w:rPr>
              <w:t xml:space="preserve"> </w:t>
            </w:r>
            <w:r>
              <w:rPr>
                <w:rFonts w:ascii="Arial"/>
                <w:spacing w:val="-2"/>
              </w:rPr>
              <w:t>between</w:t>
            </w:r>
            <w:r>
              <w:rPr>
                <w:rFonts w:ascii="Arial"/>
                <w:spacing w:val="23"/>
              </w:rPr>
              <w:t xml:space="preserve"> </w:t>
            </w:r>
            <w:r>
              <w:rPr>
                <w:rFonts w:ascii="Arial"/>
              </w:rPr>
              <w:t>the</w:t>
            </w:r>
            <w:r>
              <w:rPr>
                <w:rFonts w:ascii="Arial"/>
                <w:spacing w:val="23"/>
              </w:rPr>
              <w:t xml:space="preserve"> </w:t>
            </w:r>
            <w:r>
              <w:rPr>
                <w:rFonts w:ascii="Arial"/>
                <w:spacing w:val="-1"/>
              </w:rPr>
              <w:t>Customer</w:t>
            </w:r>
            <w:r>
              <w:rPr>
                <w:rFonts w:ascii="Arial"/>
                <w:spacing w:val="20"/>
              </w:rPr>
              <w:t xml:space="preserve"> </w:t>
            </w:r>
            <w:r>
              <w:rPr>
                <w:rFonts w:ascii="Arial"/>
                <w:spacing w:val="-1"/>
              </w:rPr>
              <w:t>and</w:t>
            </w:r>
            <w:r>
              <w:rPr>
                <w:rFonts w:ascii="Arial"/>
                <w:spacing w:val="23"/>
              </w:rPr>
              <w:t xml:space="preserve"> </w:t>
            </w:r>
            <w:r>
              <w:rPr>
                <w:rFonts w:ascii="Arial"/>
                <w:spacing w:val="-1"/>
              </w:rPr>
              <w:t>the</w:t>
            </w:r>
            <w:r>
              <w:rPr>
                <w:rFonts w:ascii="Arial"/>
                <w:spacing w:val="27"/>
              </w:rPr>
              <w:t xml:space="preserve"> </w:t>
            </w:r>
            <w:r>
              <w:rPr>
                <w:rFonts w:ascii="Arial"/>
                <w:spacing w:val="-2"/>
              </w:rPr>
              <w:t>Supplier</w:t>
            </w:r>
            <w:r>
              <w:rPr>
                <w:rFonts w:ascii="Arial"/>
                <w:spacing w:val="35"/>
              </w:rPr>
              <w:t xml:space="preserve"> </w:t>
            </w:r>
            <w:r>
              <w:rPr>
                <w:rFonts w:ascii="Arial"/>
                <w:spacing w:val="-1"/>
              </w:rPr>
              <w:t>(entered</w:t>
            </w:r>
            <w:r>
              <w:rPr>
                <w:rFonts w:ascii="Arial"/>
                <w:spacing w:val="34"/>
              </w:rPr>
              <w:t xml:space="preserve"> </w:t>
            </w:r>
            <w:r>
              <w:rPr>
                <w:rFonts w:ascii="Arial"/>
                <w:spacing w:val="-1"/>
              </w:rPr>
              <w:t>into</w:t>
            </w:r>
            <w:r>
              <w:rPr>
                <w:rFonts w:ascii="Arial"/>
                <w:spacing w:val="31"/>
              </w:rPr>
              <w:t xml:space="preserve"> </w:t>
            </w:r>
            <w:r>
              <w:rPr>
                <w:rFonts w:ascii="Arial"/>
                <w:spacing w:val="-1"/>
              </w:rPr>
              <w:t>pursuant</w:t>
            </w:r>
            <w:r>
              <w:rPr>
                <w:rFonts w:ascii="Arial"/>
                <w:spacing w:val="33"/>
              </w:rPr>
              <w:t xml:space="preserve"> </w:t>
            </w:r>
            <w:r>
              <w:rPr>
                <w:rFonts w:ascii="Arial"/>
              </w:rPr>
              <w:t>to</w:t>
            </w:r>
            <w:r>
              <w:rPr>
                <w:rFonts w:ascii="Arial"/>
                <w:spacing w:val="31"/>
              </w:rPr>
              <w:t xml:space="preserve"> </w:t>
            </w:r>
            <w:r>
              <w:rPr>
                <w:rFonts w:ascii="Arial"/>
              </w:rPr>
              <w:t>the</w:t>
            </w:r>
            <w:r>
              <w:rPr>
                <w:rFonts w:ascii="Arial"/>
                <w:spacing w:val="31"/>
              </w:rPr>
              <w:t xml:space="preserve"> </w:t>
            </w:r>
            <w:r>
              <w:rPr>
                <w:rFonts w:ascii="Arial"/>
                <w:spacing w:val="-2"/>
              </w:rPr>
              <w:t>provisions</w:t>
            </w:r>
            <w:r>
              <w:rPr>
                <w:rFonts w:ascii="Arial"/>
                <w:spacing w:val="35"/>
              </w:rPr>
              <w:t xml:space="preserve"> </w:t>
            </w:r>
            <w:r>
              <w:rPr>
                <w:rFonts w:ascii="Arial"/>
                <w:spacing w:val="-2"/>
              </w:rPr>
              <w:t>of</w:t>
            </w:r>
            <w:r>
              <w:rPr>
                <w:rFonts w:ascii="Arial"/>
                <w:spacing w:val="35"/>
              </w:rPr>
              <w:t xml:space="preserve"> </w:t>
            </w:r>
            <w:r>
              <w:rPr>
                <w:rFonts w:ascii="Arial"/>
                <w:spacing w:val="-1"/>
              </w:rPr>
              <w:t>the</w:t>
            </w:r>
            <w:r>
              <w:rPr>
                <w:rFonts w:ascii="Arial"/>
                <w:spacing w:val="52"/>
              </w:rPr>
              <w:t xml:space="preserve"> </w:t>
            </w:r>
            <w:r>
              <w:rPr>
                <w:rFonts w:ascii="Arial"/>
                <w:spacing w:val="-2"/>
              </w:rPr>
              <w:t>Framework</w:t>
            </w:r>
            <w:r>
              <w:rPr>
                <w:rFonts w:ascii="Arial"/>
                <w:spacing w:val="9"/>
              </w:rPr>
              <w:t xml:space="preserve"> </w:t>
            </w:r>
            <w:r>
              <w:rPr>
                <w:rFonts w:ascii="Arial"/>
                <w:spacing w:val="-1"/>
              </w:rPr>
              <w:t>Agreement)</w:t>
            </w:r>
            <w:r>
              <w:rPr>
                <w:rFonts w:ascii="Arial"/>
                <w:spacing w:val="5"/>
              </w:rPr>
              <w:t xml:space="preserve"> </w:t>
            </w:r>
            <w:r>
              <w:rPr>
                <w:rFonts w:ascii="Arial"/>
                <w:spacing w:val="-1"/>
              </w:rPr>
              <w:t>consisting</w:t>
            </w:r>
            <w:r>
              <w:rPr>
                <w:rFonts w:ascii="Arial"/>
                <w:spacing w:val="9"/>
              </w:rPr>
              <w:t xml:space="preserve"> </w:t>
            </w:r>
            <w:r>
              <w:rPr>
                <w:rFonts w:ascii="Arial"/>
                <w:spacing w:val="-2"/>
              </w:rPr>
              <w:t>of</w:t>
            </w:r>
            <w:r>
              <w:rPr>
                <w:rFonts w:ascii="Arial"/>
                <w:spacing w:val="8"/>
              </w:rPr>
              <w:t xml:space="preserve"> </w:t>
            </w:r>
            <w:r>
              <w:rPr>
                <w:rFonts w:ascii="Arial"/>
              </w:rPr>
              <w:t>the</w:t>
            </w:r>
            <w:r>
              <w:rPr>
                <w:rFonts w:ascii="Arial"/>
                <w:spacing w:val="4"/>
              </w:rPr>
              <w:t xml:space="preserve"> </w:t>
            </w:r>
            <w:r>
              <w:rPr>
                <w:rFonts w:ascii="Arial"/>
                <w:spacing w:val="-2"/>
              </w:rPr>
              <w:t>Order</w:t>
            </w:r>
            <w:r>
              <w:rPr>
                <w:rFonts w:ascii="Arial"/>
              </w:rPr>
              <w:t xml:space="preserve"> </w:t>
            </w:r>
            <w:r>
              <w:rPr>
                <w:rFonts w:ascii="Arial"/>
                <w:spacing w:val="8"/>
              </w:rPr>
              <w:t xml:space="preserve"> </w:t>
            </w:r>
            <w:r>
              <w:rPr>
                <w:rFonts w:ascii="Arial"/>
                <w:spacing w:val="-1"/>
              </w:rPr>
              <w:t>Form</w:t>
            </w:r>
            <w:r>
              <w:rPr>
                <w:rFonts w:ascii="Arial"/>
                <w:spacing w:val="29"/>
              </w:rPr>
              <w:t xml:space="preserve"> </w:t>
            </w:r>
            <w:r>
              <w:rPr>
                <w:rFonts w:ascii="Arial"/>
                <w:spacing w:val="-1"/>
              </w:rPr>
              <w:t>and</w:t>
            </w:r>
            <w:r>
              <w:rPr>
                <w:rFonts w:ascii="Arial"/>
              </w:rPr>
              <w:t xml:space="preserve"> the</w:t>
            </w:r>
            <w:r>
              <w:rPr>
                <w:rFonts w:ascii="Arial"/>
                <w:spacing w:val="-2"/>
              </w:rPr>
              <w:t xml:space="preserve"> Call</w:t>
            </w:r>
            <w:r>
              <w:rPr>
                <w:rFonts w:ascii="Arial"/>
              </w:rPr>
              <w:t xml:space="preserve"> </w:t>
            </w:r>
            <w:r>
              <w:rPr>
                <w:rFonts w:ascii="Arial"/>
                <w:spacing w:val="-1"/>
              </w:rPr>
              <w:t>Off</w:t>
            </w:r>
            <w:r>
              <w:rPr>
                <w:rFonts w:ascii="Arial"/>
              </w:rPr>
              <w:t xml:space="preserve"> </w:t>
            </w:r>
            <w:r>
              <w:rPr>
                <w:rFonts w:ascii="Arial"/>
                <w:spacing w:val="-1"/>
              </w:rPr>
              <w:t>Terms;</w:t>
            </w:r>
          </w:p>
        </w:tc>
      </w:tr>
      <w:tr w:rsidR="008918FA" w:rsidTr="005D2B81">
        <w:trPr>
          <w:trHeight w:hRule="exact" w:val="190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545"/>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
              </w:rPr>
              <w:t xml:space="preserve"> </w:t>
            </w:r>
            <w:r>
              <w:rPr>
                <w:rFonts w:ascii="Arial"/>
                <w:b/>
                <w:spacing w:val="-2"/>
              </w:rPr>
              <w:t>Contract</w:t>
            </w:r>
            <w:r>
              <w:rPr>
                <w:rFonts w:ascii="Arial"/>
                <w:b/>
                <w:spacing w:val="24"/>
              </w:rPr>
              <w:t xml:space="preserve"> </w:t>
            </w:r>
            <w:r>
              <w:rPr>
                <w:rFonts w:ascii="Arial"/>
                <w:b/>
                <w:spacing w:val="-1"/>
              </w:rPr>
              <w:t>Charges"</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30"/>
              </w:rPr>
              <w:t xml:space="preserve"> </w:t>
            </w:r>
            <w:r>
              <w:rPr>
                <w:rFonts w:ascii="Arial"/>
              </w:rPr>
              <w:t>the</w:t>
            </w:r>
            <w:r>
              <w:rPr>
                <w:rFonts w:ascii="Arial"/>
                <w:spacing w:val="29"/>
              </w:rPr>
              <w:t xml:space="preserve"> </w:t>
            </w:r>
            <w:r>
              <w:rPr>
                <w:rFonts w:ascii="Arial"/>
                <w:spacing w:val="-1"/>
              </w:rPr>
              <w:t>prices</w:t>
            </w:r>
            <w:r>
              <w:rPr>
                <w:rFonts w:ascii="Arial"/>
                <w:spacing w:val="30"/>
              </w:rPr>
              <w:t xml:space="preserve"> </w:t>
            </w:r>
            <w:r>
              <w:rPr>
                <w:rFonts w:ascii="Arial"/>
                <w:spacing w:val="-2"/>
              </w:rPr>
              <w:t>(inclusive</w:t>
            </w:r>
            <w:r>
              <w:rPr>
                <w:rFonts w:ascii="Arial"/>
                <w:spacing w:val="29"/>
              </w:rPr>
              <w:t xml:space="preserve"> </w:t>
            </w:r>
            <w:r>
              <w:rPr>
                <w:rFonts w:ascii="Arial"/>
                <w:spacing w:val="-1"/>
              </w:rPr>
              <w:t>of</w:t>
            </w:r>
            <w:r>
              <w:rPr>
                <w:rFonts w:ascii="Arial"/>
                <w:spacing w:val="33"/>
              </w:rPr>
              <w:t xml:space="preserve"> </w:t>
            </w:r>
            <w:r>
              <w:rPr>
                <w:rFonts w:ascii="Arial"/>
                <w:spacing w:val="-1"/>
              </w:rPr>
              <w:t>any</w:t>
            </w:r>
            <w:r>
              <w:rPr>
                <w:rFonts w:ascii="Arial"/>
                <w:spacing w:val="30"/>
              </w:rPr>
              <w:t xml:space="preserve"> </w:t>
            </w:r>
            <w:r>
              <w:rPr>
                <w:rFonts w:ascii="Arial"/>
                <w:spacing w:val="-1"/>
              </w:rPr>
              <w:t>Milestone</w:t>
            </w:r>
            <w:r>
              <w:rPr>
                <w:rFonts w:ascii="Arial"/>
                <w:spacing w:val="29"/>
              </w:rPr>
              <w:t xml:space="preserve"> </w:t>
            </w:r>
            <w:r>
              <w:rPr>
                <w:rFonts w:ascii="Arial"/>
                <w:spacing w:val="-1"/>
              </w:rPr>
              <w:t>Payments</w:t>
            </w:r>
            <w:r>
              <w:rPr>
                <w:rFonts w:ascii="Arial"/>
                <w:spacing w:val="31"/>
              </w:rPr>
              <w:t xml:space="preserve"> </w:t>
            </w:r>
            <w:r>
              <w:rPr>
                <w:rFonts w:ascii="Arial"/>
                <w:spacing w:val="-1"/>
              </w:rPr>
              <w:t>and</w:t>
            </w:r>
            <w:r>
              <w:rPr>
                <w:rFonts w:ascii="Arial"/>
                <w:spacing w:val="56"/>
              </w:rPr>
              <w:t xml:space="preserve"> </w:t>
            </w:r>
            <w:r>
              <w:rPr>
                <w:rFonts w:ascii="Arial"/>
                <w:spacing w:val="-1"/>
              </w:rPr>
              <w:t>exclusive</w:t>
            </w:r>
            <w:r>
              <w:rPr>
                <w:rFonts w:ascii="Arial"/>
                <w:spacing w:val="55"/>
              </w:rPr>
              <w:t xml:space="preserve"> </w:t>
            </w:r>
            <w:r>
              <w:rPr>
                <w:rFonts w:ascii="Arial"/>
                <w:spacing w:val="-1"/>
              </w:rPr>
              <w:t>of</w:t>
            </w:r>
            <w:r>
              <w:rPr>
                <w:rFonts w:ascii="Arial"/>
                <w:spacing w:val="59"/>
              </w:rPr>
              <w:t xml:space="preserve"> </w:t>
            </w:r>
            <w:r>
              <w:rPr>
                <w:rFonts w:ascii="Arial"/>
                <w:spacing w:val="-1"/>
              </w:rPr>
              <w:t>any</w:t>
            </w:r>
            <w:r>
              <w:rPr>
                <w:rFonts w:ascii="Arial"/>
                <w:spacing w:val="53"/>
              </w:rPr>
              <w:t xml:space="preserve"> </w:t>
            </w:r>
            <w:r>
              <w:rPr>
                <w:rFonts w:ascii="Arial"/>
                <w:spacing w:val="-1"/>
              </w:rPr>
              <w:t>applicable</w:t>
            </w:r>
            <w:r>
              <w:rPr>
                <w:rFonts w:ascii="Arial"/>
                <w:spacing w:val="55"/>
              </w:rPr>
              <w:t xml:space="preserve"> </w:t>
            </w:r>
            <w:r>
              <w:rPr>
                <w:rFonts w:ascii="Arial"/>
              </w:rPr>
              <w:t>VAT),</w:t>
            </w:r>
            <w:r>
              <w:rPr>
                <w:rFonts w:ascii="Arial"/>
                <w:spacing w:val="57"/>
              </w:rPr>
              <w:t xml:space="preserve"> </w:t>
            </w:r>
            <w:r>
              <w:rPr>
                <w:rFonts w:ascii="Arial"/>
                <w:spacing w:val="-2"/>
              </w:rPr>
              <w:t>payable</w:t>
            </w:r>
            <w:r>
              <w:rPr>
                <w:rFonts w:ascii="Arial"/>
                <w:spacing w:val="59"/>
              </w:rPr>
              <w:t xml:space="preserve"> </w:t>
            </w:r>
            <w:r>
              <w:rPr>
                <w:rFonts w:ascii="Arial"/>
              </w:rPr>
              <w:t>to</w:t>
            </w:r>
            <w:r>
              <w:rPr>
                <w:rFonts w:ascii="Arial"/>
                <w:spacing w:val="55"/>
              </w:rPr>
              <w:t xml:space="preserve"> </w:t>
            </w:r>
            <w:r>
              <w:rPr>
                <w:rFonts w:ascii="Arial"/>
                <w:spacing w:val="-1"/>
              </w:rPr>
              <w:t>the</w:t>
            </w:r>
            <w:r>
              <w:rPr>
                <w:rFonts w:ascii="Arial"/>
                <w:spacing w:val="25"/>
              </w:rPr>
              <w:t xml:space="preserve"> </w:t>
            </w:r>
            <w:r>
              <w:rPr>
                <w:rFonts w:ascii="Arial"/>
                <w:spacing w:val="-2"/>
              </w:rPr>
              <w:t>Supplier</w:t>
            </w:r>
            <w:r>
              <w:rPr>
                <w:rFonts w:ascii="Arial"/>
                <w:spacing w:val="2"/>
              </w:rPr>
              <w:t xml:space="preserve"> </w:t>
            </w:r>
            <w:r>
              <w:rPr>
                <w:rFonts w:ascii="Arial"/>
                <w:spacing w:val="-1"/>
              </w:rPr>
              <w:t>by</w:t>
            </w:r>
            <w:r>
              <w:rPr>
                <w:rFonts w:ascii="Arial"/>
                <w:spacing w:val="1"/>
              </w:rPr>
              <w:t xml:space="preserve"> </w:t>
            </w:r>
            <w:r>
              <w:rPr>
                <w:rFonts w:ascii="Arial"/>
              </w:rPr>
              <w:t xml:space="preserve">the </w:t>
            </w:r>
            <w:r>
              <w:rPr>
                <w:rFonts w:ascii="Arial"/>
                <w:spacing w:val="-1"/>
              </w:rPr>
              <w:t>Customer</w:t>
            </w:r>
            <w:r>
              <w:rPr>
                <w:rFonts w:ascii="Arial"/>
                <w:spacing w:val="2"/>
              </w:rPr>
              <w:t xml:space="preserve"> </w:t>
            </w:r>
            <w:r>
              <w:rPr>
                <w:rFonts w:ascii="Arial"/>
                <w:spacing w:val="-1"/>
              </w:rPr>
              <w:t>under</w:t>
            </w:r>
            <w:r>
              <w:rPr>
                <w:rFonts w:ascii="Arial"/>
                <w:spacing w:val="2"/>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4"/>
              </w:rPr>
              <w:t xml:space="preserve"> </w:t>
            </w:r>
            <w:r>
              <w:rPr>
                <w:rFonts w:ascii="Arial"/>
                <w:spacing w:val="-2"/>
              </w:rPr>
              <w:t>Contract,</w:t>
            </w:r>
            <w:r>
              <w:rPr>
                <w:rFonts w:ascii="Arial"/>
                <w:spacing w:val="2"/>
              </w:rPr>
              <w:t xml:space="preserve"> </w:t>
            </w:r>
            <w:r>
              <w:rPr>
                <w:rFonts w:ascii="Arial"/>
                <w:spacing w:val="-1"/>
              </w:rPr>
              <w:t>as</w:t>
            </w:r>
            <w:r>
              <w:rPr>
                <w:rFonts w:ascii="Arial"/>
                <w:spacing w:val="48"/>
              </w:rPr>
              <w:t xml:space="preserve"> </w:t>
            </w:r>
            <w:r>
              <w:rPr>
                <w:rFonts w:ascii="Arial"/>
                <w:spacing w:val="-1"/>
              </w:rPr>
              <w:t>set</w:t>
            </w:r>
            <w:r>
              <w:rPr>
                <w:rFonts w:ascii="Arial"/>
                <w:spacing w:val="5"/>
              </w:rPr>
              <w:t xml:space="preserve"> </w:t>
            </w:r>
            <w:r>
              <w:rPr>
                <w:rFonts w:ascii="Arial"/>
                <w:spacing w:val="-1"/>
              </w:rPr>
              <w:t>out</w:t>
            </w:r>
            <w:r>
              <w:rPr>
                <w:rFonts w:ascii="Arial"/>
                <w:spacing w:val="5"/>
              </w:rPr>
              <w:t xml:space="preserve"> </w:t>
            </w:r>
            <w:r>
              <w:rPr>
                <w:rFonts w:ascii="Arial"/>
                <w:spacing w:val="-1"/>
              </w:rPr>
              <w:t>in</w:t>
            </w:r>
            <w:r>
              <w:rPr>
                <w:rFonts w:ascii="Arial"/>
                <w:spacing w:val="4"/>
              </w:rPr>
              <w:t xml:space="preserve"> </w:t>
            </w:r>
            <w:r>
              <w:rPr>
                <w:rFonts w:ascii="Arial"/>
                <w:spacing w:val="-1"/>
              </w:rPr>
              <w:t>Annex</w:t>
            </w:r>
            <w:r>
              <w:rPr>
                <w:rFonts w:ascii="Arial"/>
                <w:spacing w:val="4"/>
              </w:rPr>
              <w:t xml:space="preserve"> </w:t>
            </w:r>
            <w:r>
              <w:rPr>
                <w:rFonts w:ascii="Arial"/>
              </w:rPr>
              <w:t>1</w:t>
            </w:r>
            <w:r>
              <w:rPr>
                <w:rFonts w:ascii="Arial"/>
                <w:spacing w:val="4"/>
              </w:rPr>
              <w:t xml:space="preserve"> </w:t>
            </w:r>
            <w:r>
              <w:rPr>
                <w:rFonts w:ascii="Arial"/>
                <w:spacing w:val="-1"/>
              </w:rPr>
              <w:t>of</w:t>
            </w:r>
            <w:r>
              <w:rPr>
                <w:rFonts w:ascii="Arial"/>
                <w:spacing w:val="5"/>
              </w:rPr>
              <w:t xml:space="preserve"> </w:t>
            </w:r>
            <w:r>
              <w:rPr>
                <w:rFonts w:ascii="Arial"/>
                <w:spacing w:val="-2"/>
              </w:rPr>
              <w:t>Call</w:t>
            </w:r>
            <w:r>
              <w:rPr>
                <w:rFonts w:ascii="Arial"/>
                <w:spacing w:val="6"/>
              </w:rPr>
              <w:t xml:space="preserve"> </w:t>
            </w:r>
            <w:r>
              <w:rPr>
                <w:rFonts w:ascii="Arial"/>
                <w:spacing w:val="-1"/>
              </w:rPr>
              <w:t>Off</w:t>
            </w:r>
            <w:r>
              <w:rPr>
                <w:rFonts w:ascii="Arial"/>
                <w:spacing w:val="8"/>
              </w:rPr>
              <w:t xml:space="preserve"> </w:t>
            </w:r>
            <w:r>
              <w:rPr>
                <w:rFonts w:ascii="Arial"/>
                <w:spacing w:val="-1"/>
              </w:rPr>
              <w:t>Schedule</w:t>
            </w:r>
            <w:r>
              <w:rPr>
                <w:rFonts w:ascii="Arial"/>
                <w:spacing w:val="4"/>
              </w:rPr>
              <w:t xml:space="preserve"> </w:t>
            </w:r>
            <w:r>
              <w:rPr>
                <w:rFonts w:ascii="Arial"/>
              </w:rPr>
              <w:t>3</w:t>
            </w:r>
            <w:r>
              <w:rPr>
                <w:rFonts w:ascii="Arial"/>
                <w:spacing w:val="5"/>
              </w:rPr>
              <w:t xml:space="preserve"> </w:t>
            </w:r>
            <w:r>
              <w:rPr>
                <w:rFonts w:ascii="Arial"/>
                <w:spacing w:val="-1"/>
              </w:rPr>
              <w:t>(Call</w:t>
            </w:r>
            <w:r>
              <w:rPr>
                <w:rFonts w:ascii="Arial"/>
                <w:spacing w:val="3"/>
              </w:rPr>
              <w:t xml:space="preserve"> </w:t>
            </w:r>
            <w:r>
              <w:rPr>
                <w:rFonts w:ascii="Arial"/>
                <w:spacing w:val="-1"/>
              </w:rPr>
              <w:t>Off</w:t>
            </w:r>
            <w:r>
              <w:rPr>
                <w:rFonts w:ascii="Arial"/>
                <w:spacing w:val="27"/>
              </w:rPr>
              <w:t xml:space="preserve"> </w:t>
            </w:r>
            <w:r>
              <w:rPr>
                <w:rFonts w:ascii="Arial"/>
                <w:spacing w:val="-1"/>
              </w:rPr>
              <w:t>Contract</w:t>
            </w:r>
            <w:r>
              <w:rPr>
                <w:rFonts w:ascii="Arial"/>
                <w:spacing w:val="47"/>
              </w:rPr>
              <w:t xml:space="preserve"> </w:t>
            </w:r>
            <w:r>
              <w:rPr>
                <w:rFonts w:ascii="Arial"/>
                <w:spacing w:val="-1"/>
              </w:rPr>
              <w:t>Charges,</w:t>
            </w:r>
            <w:r>
              <w:rPr>
                <w:rFonts w:ascii="Arial"/>
                <w:spacing w:val="48"/>
              </w:rPr>
              <w:t xml:space="preserve"> </w:t>
            </w:r>
            <w:r>
              <w:rPr>
                <w:rFonts w:ascii="Arial"/>
                <w:spacing w:val="-1"/>
              </w:rPr>
              <w:t>Payment</w:t>
            </w:r>
            <w:r>
              <w:rPr>
                <w:rFonts w:ascii="Arial"/>
                <w:spacing w:val="47"/>
              </w:rPr>
              <w:t xml:space="preserve"> </w:t>
            </w:r>
            <w:r>
              <w:rPr>
                <w:rFonts w:ascii="Arial"/>
                <w:spacing w:val="-1"/>
              </w:rPr>
              <w:t>and</w:t>
            </w:r>
            <w:r>
              <w:rPr>
                <w:rFonts w:ascii="Arial"/>
                <w:spacing w:val="46"/>
              </w:rPr>
              <w:t xml:space="preserve"> </w:t>
            </w:r>
            <w:r>
              <w:rPr>
                <w:rFonts w:ascii="Arial"/>
                <w:spacing w:val="-1"/>
              </w:rPr>
              <w:t>Invoicing),</w:t>
            </w:r>
            <w:r>
              <w:rPr>
                <w:rFonts w:ascii="Arial"/>
                <w:spacing w:val="46"/>
              </w:rPr>
              <w:t xml:space="preserve"> </w:t>
            </w:r>
            <w:r>
              <w:rPr>
                <w:rFonts w:ascii="Arial"/>
              </w:rPr>
              <w:t>for</w:t>
            </w:r>
            <w:r>
              <w:rPr>
                <w:rFonts w:ascii="Arial"/>
                <w:spacing w:val="45"/>
              </w:rPr>
              <w:t xml:space="preserve"> </w:t>
            </w:r>
            <w:r>
              <w:rPr>
                <w:rFonts w:ascii="Arial"/>
              </w:rPr>
              <w:t>the</w:t>
            </w:r>
            <w:r>
              <w:rPr>
                <w:rFonts w:ascii="Arial"/>
                <w:spacing w:val="47"/>
              </w:rPr>
              <w:t xml:space="preserve"> </w:t>
            </w:r>
            <w:r>
              <w:rPr>
                <w:rFonts w:ascii="Arial"/>
              </w:rPr>
              <w:t>full</w:t>
            </w:r>
            <w:r>
              <w:rPr>
                <w:rFonts w:ascii="Arial"/>
                <w:spacing w:val="27"/>
              </w:rPr>
              <w:t xml:space="preserve"> </w:t>
            </w:r>
            <w:r>
              <w:rPr>
                <w:rFonts w:ascii="Arial"/>
                <w:spacing w:val="-1"/>
              </w:rPr>
              <w:t>and</w:t>
            </w:r>
            <w:r>
              <w:rPr>
                <w:rFonts w:ascii="Arial"/>
                <w:spacing w:val="5"/>
              </w:rPr>
              <w:t xml:space="preserve"> </w:t>
            </w:r>
            <w:r>
              <w:rPr>
                <w:rFonts w:ascii="Arial"/>
                <w:spacing w:val="-1"/>
              </w:rPr>
              <w:t>proper</w:t>
            </w:r>
            <w:r>
              <w:rPr>
                <w:rFonts w:ascii="Arial"/>
                <w:spacing w:val="6"/>
              </w:rPr>
              <w:t xml:space="preserve"> </w:t>
            </w:r>
            <w:r>
              <w:rPr>
                <w:rFonts w:ascii="Arial"/>
                <w:spacing w:val="-1"/>
              </w:rPr>
              <w:t>performance</w:t>
            </w:r>
            <w:r>
              <w:rPr>
                <w:rFonts w:ascii="Arial"/>
                <w:spacing w:val="1"/>
              </w:rPr>
              <w:t xml:space="preserve"> </w:t>
            </w:r>
            <w:r>
              <w:rPr>
                <w:rFonts w:ascii="Arial"/>
                <w:spacing w:val="-1"/>
              </w:rPr>
              <w:t>by</w:t>
            </w:r>
            <w:r>
              <w:rPr>
                <w:rFonts w:ascii="Arial"/>
                <w:spacing w:val="3"/>
              </w:rPr>
              <w:t xml:space="preserve"> </w:t>
            </w:r>
            <w:r>
              <w:rPr>
                <w:rFonts w:ascii="Arial"/>
              </w:rPr>
              <w:t>the</w:t>
            </w:r>
            <w:r>
              <w:rPr>
                <w:rFonts w:ascii="Arial"/>
                <w:spacing w:val="5"/>
              </w:rPr>
              <w:t xml:space="preserve"> </w:t>
            </w:r>
            <w:r>
              <w:rPr>
                <w:rFonts w:ascii="Arial"/>
                <w:spacing w:val="-2"/>
              </w:rPr>
              <w:t>Supplier</w:t>
            </w:r>
            <w:r>
              <w:rPr>
                <w:rFonts w:ascii="Arial"/>
                <w:spacing w:val="6"/>
              </w:rPr>
              <w:t xml:space="preserve"> </w:t>
            </w:r>
            <w:r>
              <w:rPr>
                <w:rFonts w:ascii="Arial"/>
                <w:spacing w:val="-2"/>
              </w:rPr>
              <w:t>of</w:t>
            </w:r>
            <w:r>
              <w:rPr>
                <w:rFonts w:ascii="Arial"/>
                <w:spacing w:val="7"/>
              </w:rPr>
              <w:t xml:space="preserve"> </w:t>
            </w:r>
            <w:r>
              <w:rPr>
                <w:rFonts w:ascii="Arial"/>
                <w:spacing w:val="-1"/>
              </w:rPr>
              <w:t>its</w:t>
            </w:r>
            <w:r>
              <w:rPr>
                <w:rFonts w:ascii="Arial"/>
                <w:spacing w:val="3"/>
              </w:rPr>
              <w:t xml:space="preserve"> </w:t>
            </w:r>
            <w:r>
              <w:rPr>
                <w:rFonts w:ascii="Arial"/>
                <w:spacing w:val="-1"/>
              </w:rPr>
              <w:t>obligations</w:t>
            </w:r>
            <w:r>
              <w:rPr>
                <w:rFonts w:ascii="Arial"/>
                <w:spacing w:val="34"/>
              </w:rPr>
              <w:t xml:space="preserve"> </w:t>
            </w:r>
            <w:r>
              <w:rPr>
                <w:rFonts w:ascii="Arial"/>
                <w:spacing w:val="-1"/>
              </w:rPr>
              <w:t>under</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2"/>
              </w:rPr>
              <w:t>Contract</w:t>
            </w:r>
            <w:r>
              <w:rPr>
                <w:rFonts w:ascii="Arial"/>
                <w:spacing w:val="3"/>
              </w:rPr>
              <w:t xml:space="preserve"> </w:t>
            </w:r>
            <w:r>
              <w:rPr>
                <w:rFonts w:ascii="Arial"/>
                <w:spacing w:val="-1"/>
              </w:rPr>
              <w:t>less any</w:t>
            </w:r>
            <w:r>
              <w:rPr>
                <w:rFonts w:ascii="Arial"/>
                <w:spacing w:val="-2"/>
              </w:rPr>
              <w:t xml:space="preserve"> </w:t>
            </w:r>
            <w:r>
              <w:rPr>
                <w:rFonts w:ascii="Arial"/>
                <w:spacing w:val="-1"/>
              </w:rPr>
              <w:t>Deductions;</w:t>
            </w:r>
          </w:p>
        </w:tc>
      </w:tr>
      <w:tr w:rsidR="008918FA" w:rsidTr="005D2B81">
        <w:trPr>
          <w:trHeight w:hRule="exact" w:val="151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545"/>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
              </w:rPr>
              <w:t xml:space="preserve"> </w:t>
            </w:r>
            <w:r>
              <w:rPr>
                <w:rFonts w:ascii="Arial"/>
                <w:b/>
                <w:spacing w:val="-2"/>
              </w:rPr>
              <w:t>Contract</w:t>
            </w:r>
            <w:r>
              <w:rPr>
                <w:rFonts w:ascii="Arial"/>
                <w:b/>
                <w:spacing w:val="24"/>
              </w:rPr>
              <w:t xml:space="preserve"> </w:t>
            </w:r>
            <w:r>
              <w:rPr>
                <w:rFonts w:ascii="Arial"/>
                <w:b/>
                <w:spacing w:val="-1"/>
              </w:rPr>
              <w:t>Period"</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8"/>
              <w:jc w:val="both"/>
              <w:rPr>
                <w:rFonts w:ascii="Arial" w:eastAsia="Arial" w:hAnsi="Arial" w:cs="Arial"/>
              </w:rPr>
            </w:pPr>
            <w:r>
              <w:rPr>
                <w:rFonts w:ascii="Arial"/>
                <w:spacing w:val="-1"/>
              </w:rPr>
              <w:t>means</w:t>
            </w:r>
            <w:r>
              <w:rPr>
                <w:rFonts w:ascii="Arial"/>
                <w:spacing w:val="3"/>
              </w:rPr>
              <w:t xml:space="preserve"> </w:t>
            </w:r>
            <w:r>
              <w:rPr>
                <w:rFonts w:ascii="Arial"/>
              </w:rPr>
              <w:t>the</w:t>
            </w:r>
            <w:r>
              <w:rPr>
                <w:rFonts w:ascii="Arial"/>
                <w:spacing w:val="1"/>
              </w:rPr>
              <w:t xml:space="preserve"> </w:t>
            </w:r>
            <w:r>
              <w:rPr>
                <w:rFonts w:ascii="Arial"/>
                <w:spacing w:val="-1"/>
              </w:rPr>
              <w:t>term</w:t>
            </w:r>
            <w:r>
              <w:rPr>
                <w:rFonts w:ascii="Arial"/>
                <w:spacing w:val="4"/>
              </w:rPr>
              <w:t xml:space="preserve"> </w:t>
            </w:r>
            <w:r>
              <w:rPr>
                <w:rFonts w:ascii="Arial"/>
                <w:spacing w:val="-2"/>
              </w:rPr>
              <w:t>of</w:t>
            </w:r>
            <w:r>
              <w:rPr>
                <w:rFonts w:ascii="Arial"/>
                <w:spacing w:val="4"/>
              </w:rPr>
              <w:t xml:space="preserve"> </w:t>
            </w:r>
            <w:r>
              <w:rPr>
                <w:rFonts w:ascii="Arial"/>
                <w:spacing w:val="-1"/>
              </w:rPr>
              <w:t>this</w:t>
            </w:r>
            <w:r>
              <w:rPr>
                <w:rFonts w:ascii="Arial"/>
                <w:spacing w:val="3"/>
              </w:rPr>
              <w:t xml:space="preserve"> </w:t>
            </w:r>
            <w:r>
              <w:rPr>
                <w:rFonts w:ascii="Arial"/>
                <w:spacing w:val="-2"/>
              </w:rPr>
              <w:t>Call</w:t>
            </w:r>
            <w:r>
              <w:rPr>
                <w:rFonts w:ascii="Arial"/>
                <w:spacing w:val="2"/>
              </w:rPr>
              <w:t xml:space="preserve"> </w:t>
            </w:r>
            <w:r>
              <w:rPr>
                <w:rFonts w:ascii="Arial"/>
              </w:rPr>
              <w:t>Off</w:t>
            </w:r>
            <w:r>
              <w:rPr>
                <w:rFonts w:ascii="Arial"/>
                <w:spacing w:val="4"/>
              </w:rPr>
              <w:t xml:space="preserve"> </w:t>
            </w:r>
            <w:r>
              <w:rPr>
                <w:rFonts w:ascii="Arial"/>
                <w:spacing w:val="-2"/>
              </w:rPr>
              <w:t>Contract</w:t>
            </w:r>
            <w:r>
              <w:rPr>
                <w:rFonts w:ascii="Arial"/>
                <w:spacing w:val="2"/>
              </w:rPr>
              <w:t xml:space="preserve"> </w:t>
            </w:r>
            <w:r>
              <w:rPr>
                <w:rFonts w:ascii="Arial"/>
              </w:rPr>
              <w:t>from</w:t>
            </w:r>
            <w:r>
              <w:rPr>
                <w:rFonts w:ascii="Arial"/>
                <w:spacing w:val="2"/>
              </w:rPr>
              <w:t xml:space="preserve"> </w:t>
            </w:r>
            <w:r>
              <w:rPr>
                <w:rFonts w:ascii="Arial"/>
              </w:rPr>
              <w:t xml:space="preserve">the </w:t>
            </w:r>
            <w:r>
              <w:rPr>
                <w:rFonts w:ascii="Arial"/>
                <w:spacing w:val="-2"/>
              </w:rPr>
              <w:t>Call</w:t>
            </w:r>
            <w:r>
              <w:rPr>
                <w:rFonts w:ascii="Arial"/>
                <w:spacing w:val="2"/>
              </w:rPr>
              <w:t xml:space="preserve"> </w:t>
            </w:r>
            <w:r>
              <w:rPr>
                <w:rFonts w:ascii="Arial"/>
              </w:rPr>
              <w:t>Off</w:t>
            </w:r>
            <w:r>
              <w:rPr>
                <w:rFonts w:ascii="Arial"/>
                <w:spacing w:val="40"/>
              </w:rPr>
              <w:t xml:space="preserve"> </w:t>
            </w:r>
            <w:r>
              <w:rPr>
                <w:rFonts w:ascii="Arial"/>
                <w:spacing w:val="-1"/>
              </w:rPr>
              <w:t>Commencement</w:t>
            </w:r>
            <w:r>
              <w:rPr>
                <w:rFonts w:ascii="Arial"/>
                <w:spacing w:val="15"/>
              </w:rPr>
              <w:t xml:space="preserve"> </w:t>
            </w:r>
            <w:r>
              <w:rPr>
                <w:rFonts w:ascii="Arial"/>
                <w:spacing w:val="-1"/>
              </w:rPr>
              <w:t>Date</w:t>
            </w:r>
            <w:r>
              <w:rPr>
                <w:rFonts w:ascii="Arial"/>
                <w:spacing w:val="14"/>
              </w:rPr>
              <w:t xml:space="preserve"> </w:t>
            </w:r>
            <w:r>
              <w:rPr>
                <w:rFonts w:ascii="Arial"/>
                <w:spacing w:val="-1"/>
              </w:rPr>
              <w:t>until</w:t>
            </w:r>
            <w:r>
              <w:rPr>
                <w:rFonts w:ascii="Arial"/>
                <w:spacing w:val="15"/>
              </w:rPr>
              <w:t xml:space="preserve"> </w:t>
            </w:r>
            <w:r>
              <w:rPr>
                <w:rFonts w:ascii="Arial"/>
              </w:rPr>
              <w:t>the</w:t>
            </w:r>
            <w:r>
              <w:rPr>
                <w:rFonts w:ascii="Arial"/>
                <w:spacing w:val="16"/>
              </w:rPr>
              <w:t xml:space="preserve"> </w:t>
            </w:r>
            <w:r>
              <w:rPr>
                <w:rFonts w:ascii="Arial"/>
                <w:spacing w:val="-2"/>
              </w:rPr>
              <w:t>Call</w:t>
            </w:r>
            <w:r>
              <w:rPr>
                <w:rFonts w:ascii="Arial"/>
                <w:spacing w:val="15"/>
              </w:rPr>
              <w:t xml:space="preserve"> </w:t>
            </w:r>
            <w:r>
              <w:rPr>
                <w:rFonts w:ascii="Arial"/>
                <w:spacing w:val="-1"/>
              </w:rPr>
              <w:t>Off</w:t>
            </w:r>
            <w:r>
              <w:rPr>
                <w:rFonts w:ascii="Arial"/>
                <w:spacing w:val="17"/>
              </w:rPr>
              <w:t xml:space="preserve"> </w:t>
            </w:r>
            <w:r>
              <w:rPr>
                <w:rFonts w:ascii="Arial"/>
                <w:spacing w:val="-2"/>
              </w:rPr>
              <w:t>Expiry</w:t>
            </w:r>
            <w:r>
              <w:rPr>
                <w:rFonts w:ascii="Arial"/>
                <w:spacing w:val="14"/>
              </w:rPr>
              <w:t xml:space="preserve"> </w:t>
            </w:r>
            <w:r>
              <w:rPr>
                <w:rFonts w:ascii="Arial"/>
                <w:spacing w:val="-1"/>
              </w:rPr>
              <w:t>Date,</w:t>
            </w:r>
            <w:r>
              <w:rPr>
                <w:rFonts w:ascii="Arial"/>
                <w:spacing w:val="35"/>
              </w:rPr>
              <w:t xml:space="preserve"> </w:t>
            </w:r>
            <w:r>
              <w:rPr>
                <w:rFonts w:ascii="Arial"/>
                <w:spacing w:val="-1"/>
              </w:rPr>
              <w:t>which</w:t>
            </w:r>
            <w:r>
              <w:rPr>
                <w:rFonts w:ascii="Arial"/>
                <w:spacing w:val="32"/>
              </w:rPr>
              <w:t xml:space="preserve"> </w:t>
            </w:r>
            <w:r>
              <w:rPr>
                <w:rFonts w:ascii="Arial"/>
                <w:spacing w:val="-1"/>
              </w:rPr>
              <w:t>shall</w:t>
            </w:r>
            <w:r>
              <w:rPr>
                <w:rFonts w:ascii="Arial"/>
                <w:spacing w:val="31"/>
              </w:rPr>
              <w:t xml:space="preserve"> </w:t>
            </w:r>
            <w:r>
              <w:rPr>
                <w:rFonts w:ascii="Arial"/>
                <w:spacing w:val="-1"/>
              </w:rPr>
              <w:t>in</w:t>
            </w:r>
            <w:r>
              <w:rPr>
                <w:rFonts w:ascii="Arial"/>
                <w:spacing w:val="31"/>
              </w:rPr>
              <w:t xml:space="preserve"> </w:t>
            </w:r>
            <w:r>
              <w:rPr>
                <w:rFonts w:ascii="Arial"/>
                <w:spacing w:val="-1"/>
              </w:rPr>
              <w:t>no</w:t>
            </w:r>
            <w:r>
              <w:rPr>
                <w:rFonts w:ascii="Arial"/>
                <w:spacing w:val="31"/>
              </w:rPr>
              <w:t xml:space="preserve"> </w:t>
            </w:r>
            <w:r>
              <w:rPr>
                <w:rFonts w:ascii="Arial"/>
                <w:spacing w:val="-2"/>
              </w:rPr>
              <w:t>event</w:t>
            </w:r>
            <w:r>
              <w:rPr>
                <w:rFonts w:ascii="Arial"/>
                <w:spacing w:val="33"/>
              </w:rPr>
              <w:t xml:space="preserve"> </w:t>
            </w:r>
            <w:r>
              <w:rPr>
                <w:rFonts w:ascii="Arial"/>
                <w:spacing w:val="-1"/>
              </w:rPr>
              <w:t>exceed</w:t>
            </w:r>
            <w:r>
              <w:rPr>
                <w:rFonts w:ascii="Arial"/>
                <w:spacing w:val="33"/>
              </w:rPr>
              <w:t xml:space="preserve"> </w:t>
            </w:r>
            <w:r>
              <w:rPr>
                <w:rFonts w:ascii="Arial"/>
              </w:rPr>
              <w:t>a</w:t>
            </w:r>
            <w:r>
              <w:rPr>
                <w:rFonts w:ascii="Arial"/>
                <w:spacing w:val="32"/>
              </w:rPr>
              <w:t xml:space="preserve"> </w:t>
            </w:r>
            <w:r>
              <w:rPr>
                <w:rFonts w:ascii="Arial"/>
                <w:spacing w:val="-1"/>
              </w:rPr>
              <w:t>maximum</w:t>
            </w:r>
            <w:r>
              <w:rPr>
                <w:rFonts w:ascii="Arial"/>
                <w:spacing w:val="33"/>
              </w:rPr>
              <w:t xml:space="preserve"> </w:t>
            </w:r>
            <w:r>
              <w:rPr>
                <w:rFonts w:ascii="Arial"/>
                <w:spacing w:val="-2"/>
              </w:rPr>
              <w:t>duration</w:t>
            </w:r>
            <w:r>
              <w:rPr>
                <w:rFonts w:ascii="Arial"/>
                <w:spacing w:val="29"/>
              </w:rPr>
              <w:t xml:space="preserve"> </w:t>
            </w:r>
            <w:r>
              <w:rPr>
                <w:rFonts w:ascii="Arial"/>
                <w:spacing w:val="-2"/>
              </w:rPr>
              <w:t>of</w:t>
            </w:r>
            <w:r>
              <w:rPr>
                <w:rFonts w:ascii="Arial"/>
              </w:rPr>
              <w:t xml:space="preserve"> </w:t>
            </w:r>
            <w:r>
              <w:rPr>
                <w:rFonts w:ascii="Arial"/>
                <w:b/>
              </w:rPr>
              <w:t xml:space="preserve"> </w:t>
            </w:r>
            <w:r>
              <w:rPr>
                <w:rFonts w:ascii="Arial"/>
                <w:b/>
                <w:spacing w:val="-1"/>
                <w:highlight w:val="yellow"/>
              </w:rPr>
              <w:t xml:space="preserve">[four (4)] </w:t>
            </w:r>
            <w:r>
              <w:rPr>
                <w:rFonts w:ascii="Arial"/>
                <w:spacing w:val="-1"/>
              </w:rPr>
              <w:t>years;</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545"/>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
              </w:rPr>
              <w:t xml:space="preserve"> </w:t>
            </w:r>
            <w:r>
              <w:rPr>
                <w:rFonts w:ascii="Arial"/>
                <w:b/>
                <w:spacing w:val="-2"/>
              </w:rPr>
              <w:t>Contract</w:t>
            </w:r>
            <w:r>
              <w:rPr>
                <w:rFonts w:ascii="Arial"/>
                <w:b/>
                <w:spacing w:val="24"/>
              </w:rPr>
              <w:t xml:space="preserve"> </w:t>
            </w:r>
            <w:r>
              <w:rPr>
                <w:rFonts w:ascii="Arial"/>
                <w:b/>
                <w:spacing w:val="-1"/>
              </w:rPr>
              <w:t>Year"</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50"/>
              </w:rPr>
              <w:t xml:space="preserve"> </w:t>
            </w:r>
            <w:r>
              <w:rPr>
                <w:rFonts w:ascii="Arial"/>
              </w:rPr>
              <w:t>a</w:t>
            </w:r>
            <w:r>
              <w:rPr>
                <w:rFonts w:ascii="Arial"/>
                <w:spacing w:val="47"/>
              </w:rPr>
              <w:t xml:space="preserve"> </w:t>
            </w:r>
            <w:r>
              <w:rPr>
                <w:rFonts w:ascii="Arial"/>
                <w:spacing w:val="-1"/>
              </w:rPr>
              <w:t>consecutive</w:t>
            </w:r>
            <w:r>
              <w:rPr>
                <w:rFonts w:ascii="Arial"/>
                <w:spacing w:val="49"/>
              </w:rPr>
              <w:t xml:space="preserve"> </w:t>
            </w:r>
            <w:r>
              <w:rPr>
                <w:rFonts w:ascii="Arial"/>
                <w:spacing w:val="-1"/>
              </w:rPr>
              <w:t>period</w:t>
            </w:r>
            <w:r>
              <w:rPr>
                <w:rFonts w:ascii="Arial"/>
                <w:spacing w:val="49"/>
              </w:rPr>
              <w:t xml:space="preserve"> </w:t>
            </w:r>
            <w:r>
              <w:rPr>
                <w:rFonts w:ascii="Arial"/>
                <w:spacing w:val="-2"/>
              </w:rPr>
              <w:t>of</w:t>
            </w:r>
            <w:r>
              <w:rPr>
                <w:rFonts w:ascii="Arial"/>
                <w:spacing w:val="49"/>
              </w:rPr>
              <w:t xml:space="preserve"> </w:t>
            </w:r>
            <w:r>
              <w:rPr>
                <w:rFonts w:ascii="Arial"/>
                <w:spacing w:val="-1"/>
              </w:rPr>
              <w:t>twelve</w:t>
            </w:r>
            <w:r>
              <w:rPr>
                <w:rFonts w:ascii="Arial"/>
                <w:spacing w:val="49"/>
              </w:rPr>
              <w:t xml:space="preserve"> </w:t>
            </w:r>
            <w:r>
              <w:rPr>
                <w:rFonts w:ascii="Arial"/>
                <w:spacing w:val="-1"/>
              </w:rPr>
              <w:t>(12)</w:t>
            </w:r>
            <w:r>
              <w:rPr>
                <w:rFonts w:ascii="Arial"/>
                <w:spacing w:val="3"/>
              </w:rPr>
              <w:t xml:space="preserve"> </w:t>
            </w:r>
            <w:r>
              <w:rPr>
                <w:rFonts w:ascii="Arial"/>
                <w:spacing w:val="-2"/>
              </w:rPr>
              <w:t>Months</w:t>
            </w:r>
            <w:r>
              <w:rPr>
                <w:rFonts w:ascii="Arial"/>
                <w:spacing w:val="22"/>
              </w:rPr>
              <w:t xml:space="preserve"> </w:t>
            </w:r>
            <w:r>
              <w:rPr>
                <w:rFonts w:ascii="Arial"/>
                <w:spacing w:val="-1"/>
              </w:rPr>
              <w:t>commencing</w:t>
            </w:r>
            <w:r>
              <w:rPr>
                <w:rFonts w:ascii="Arial"/>
                <w:spacing w:val="58"/>
              </w:rPr>
              <w:t xml:space="preserve"> </w:t>
            </w:r>
            <w:r>
              <w:rPr>
                <w:rFonts w:ascii="Arial"/>
                <w:spacing w:val="-1"/>
              </w:rPr>
              <w:t>on</w:t>
            </w:r>
            <w:r>
              <w:rPr>
                <w:rFonts w:ascii="Arial"/>
                <w:spacing w:val="53"/>
              </w:rPr>
              <w:t xml:space="preserve"> </w:t>
            </w:r>
            <w:r>
              <w:rPr>
                <w:rFonts w:ascii="Arial"/>
              </w:rPr>
              <w:t>the</w:t>
            </w:r>
            <w:r>
              <w:rPr>
                <w:rFonts w:ascii="Arial"/>
                <w:spacing w:val="55"/>
              </w:rPr>
              <w:t xml:space="preserve"> </w:t>
            </w:r>
            <w:r>
              <w:rPr>
                <w:rFonts w:ascii="Arial"/>
                <w:spacing w:val="-2"/>
              </w:rPr>
              <w:t>Call</w:t>
            </w:r>
            <w:r>
              <w:rPr>
                <w:rFonts w:ascii="Arial"/>
                <w:spacing w:val="55"/>
              </w:rPr>
              <w:t xml:space="preserve"> </w:t>
            </w:r>
            <w:r>
              <w:rPr>
                <w:rFonts w:ascii="Arial"/>
                <w:spacing w:val="-1"/>
              </w:rPr>
              <w:t>Off</w:t>
            </w:r>
            <w:r>
              <w:rPr>
                <w:rFonts w:ascii="Arial"/>
                <w:spacing w:val="59"/>
              </w:rPr>
              <w:t xml:space="preserve"> </w:t>
            </w:r>
            <w:r>
              <w:rPr>
                <w:rFonts w:ascii="Arial"/>
                <w:spacing w:val="-2"/>
              </w:rPr>
              <w:t>Commencement</w:t>
            </w:r>
            <w:r>
              <w:rPr>
                <w:rFonts w:ascii="Arial"/>
                <w:spacing w:val="55"/>
              </w:rPr>
              <w:t xml:space="preserve"> </w:t>
            </w:r>
            <w:r>
              <w:rPr>
                <w:rFonts w:ascii="Arial"/>
                <w:spacing w:val="-1"/>
              </w:rPr>
              <w:t>Date</w:t>
            </w:r>
            <w:r>
              <w:rPr>
                <w:rFonts w:ascii="Arial"/>
                <w:spacing w:val="56"/>
              </w:rPr>
              <w:t xml:space="preserve"> </w:t>
            </w:r>
            <w:r>
              <w:rPr>
                <w:rFonts w:ascii="Arial"/>
                <w:spacing w:val="-1"/>
              </w:rPr>
              <w:t>or</w:t>
            </w:r>
            <w:r>
              <w:rPr>
                <w:rFonts w:ascii="Arial"/>
                <w:spacing w:val="34"/>
              </w:rPr>
              <w:t xml:space="preserve"> </w:t>
            </w:r>
            <w:r>
              <w:rPr>
                <w:rFonts w:ascii="Arial"/>
                <w:spacing w:val="-1"/>
              </w:rPr>
              <w:t>each</w:t>
            </w:r>
            <w:r>
              <w:rPr>
                <w:rFonts w:ascii="Arial"/>
                <w:spacing w:val="1"/>
              </w:rPr>
              <w:t xml:space="preserve"> </w:t>
            </w:r>
            <w:r>
              <w:rPr>
                <w:rFonts w:ascii="Arial"/>
                <w:spacing w:val="-1"/>
              </w:rPr>
              <w:t>anniversary</w:t>
            </w:r>
            <w:r>
              <w:rPr>
                <w:rFonts w:ascii="Arial"/>
                <w:spacing w:val="-2"/>
              </w:rPr>
              <w:t xml:space="preserve"> </w:t>
            </w:r>
            <w:r>
              <w:rPr>
                <w:rFonts w:ascii="Arial"/>
                <w:spacing w:val="-1"/>
              </w:rPr>
              <w:t>thereof;</w:t>
            </w:r>
          </w:p>
        </w:tc>
      </w:tr>
      <w:tr w:rsidR="008918FA" w:rsidTr="005D2B81">
        <w:trPr>
          <w:trHeight w:hRule="exact" w:val="1008"/>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
              </w:rPr>
              <w:t xml:space="preserve"> </w:t>
            </w:r>
            <w:r>
              <w:rPr>
                <w:rFonts w:ascii="Arial"/>
                <w:b/>
                <w:spacing w:val="-1"/>
              </w:rPr>
              <w:t>Expiry</w:t>
            </w:r>
            <w:r>
              <w:rPr>
                <w:rFonts w:ascii="Arial"/>
                <w:b/>
                <w:spacing w:val="-4"/>
              </w:rPr>
              <w:t xml:space="preserve"> </w:t>
            </w:r>
            <w:r>
              <w:rPr>
                <w:rFonts w:ascii="Arial"/>
                <w:b/>
                <w:spacing w:val="-1"/>
              </w:rPr>
              <w:t>Date"</w:t>
            </w:r>
          </w:p>
        </w:tc>
        <w:tc>
          <w:tcPr>
            <w:tcW w:w="5952"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TableParagraph"/>
              <w:tabs>
                <w:tab w:val="left" w:pos="819"/>
              </w:tabs>
              <w:spacing w:before="119"/>
              <w:ind w:left="819" w:right="102" w:hanging="545"/>
              <w:rPr>
                <w:rFonts w:ascii="Arial" w:eastAsia="Arial" w:hAnsi="Arial" w:cs="Arial"/>
              </w:rPr>
            </w:pPr>
            <w:r>
              <w:rPr>
                <w:rFonts w:ascii="Arial"/>
                <w:spacing w:val="-1"/>
              </w:rPr>
              <w:t>a)</w:t>
            </w:r>
            <w:r>
              <w:rPr>
                <w:rFonts w:ascii="Arial"/>
                <w:spacing w:val="-1"/>
              </w:rPr>
              <w:tab/>
            </w:r>
            <w:r>
              <w:rPr>
                <w:rFonts w:ascii="Arial"/>
              </w:rPr>
              <w:t xml:space="preserve">the </w:t>
            </w:r>
            <w:r>
              <w:rPr>
                <w:rFonts w:ascii="Arial"/>
                <w:spacing w:val="-1"/>
              </w:rPr>
              <w:t>end</w:t>
            </w:r>
            <w:r>
              <w:rPr>
                <w:rFonts w:ascii="Arial"/>
              </w:rPr>
              <w:t xml:space="preserve"> </w:t>
            </w:r>
            <w:r>
              <w:rPr>
                <w:rFonts w:ascii="Arial"/>
                <w:spacing w:val="-1"/>
              </w:rPr>
              <w:t>date</w:t>
            </w:r>
            <w:r>
              <w:rPr>
                <w:rFonts w:ascii="Arial"/>
              </w:rPr>
              <w:t xml:space="preserve"> </w:t>
            </w:r>
            <w:r>
              <w:rPr>
                <w:rFonts w:ascii="Arial"/>
                <w:spacing w:val="-2"/>
              </w:rPr>
              <w:t>of</w:t>
            </w:r>
            <w:r>
              <w:rPr>
                <w:rFonts w:ascii="Arial"/>
              </w:rPr>
              <w:t xml:space="preserve"> the </w:t>
            </w:r>
            <w:r>
              <w:rPr>
                <w:rFonts w:ascii="Arial"/>
                <w:spacing w:val="-2"/>
              </w:rPr>
              <w:t>Call</w:t>
            </w:r>
            <w:r>
              <w:rPr>
                <w:rFonts w:ascii="Arial"/>
                <w:spacing w:val="-3"/>
              </w:rPr>
              <w:t xml:space="preserve"> </w:t>
            </w:r>
            <w:r>
              <w:rPr>
                <w:rFonts w:ascii="Arial"/>
                <w:spacing w:val="-1"/>
              </w:rPr>
              <w:t>Off</w:t>
            </w:r>
            <w:r>
              <w:rPr>
                <w:rFonts w:ascii="Arial"/>
              </w:rPr>
              <w:t xml:space="preserve"> </w:t>
            </w:r>
            <w:r>
              <w:rPr>
                <w:rFonts w:ascii="Arial"/>
                <w:spacing w:val="-1"/>
              </w:rPr>
              <w:t>Initial</w:t>
            </w:r>
            <w:r>
              <w:rPr>
                <w:rFonts w:ascii="Arial"/>
              </w:rPr>
              <w:t xml:space="preserve"> </w:t>
            </w:r>
            <w:r>
              <w:rPr>
                <w:rFonts w:ascii="Arial"/>
                <w:spacing w:val="-1"/>
              </w:rPr>
              <w:t>Period</w:t>
            </w:r>
            <w:r>
              <w:rPr>
                <w:rFonts w:ascii="Arial"/>
              </w:rPr>
              <w:t xml:space="preserve"> </w:t>
            </w:r>
            <w:r>
              <w:rPr>
                <w:rFonts w:ascii="Arial"/>
                <w:spacing w:val="-1"/>
              </w:rPr>
              <w:t>or any</w:t>
            </w:r>
            <w:r>
              <w:rPr>
                <w:rFonts w:ascii="Arial"/>
                <w:spacing w:val="-4"/>
              </w:rPr>
              <w:t xml:space="preserve"> </w:t>
            </w:r>
            <w:r>
              <w:rPr>
                <w:rFonts w:ascii="Arial"/>
                <w:spacing w:val="-2"/>
              </w:rPr>
              <w:t>Call</w:t>
            </w:r>
            <w:r>
              <w:rPr>
                <w:rFonts w:ascii="Arial"/>
                <w:spacing w:val="37"/>
              </w:rPr>
              <w:t xml:space="preserve"> </w:t>
            </w:r>
            <w:r>
              <w:rPr>
                <w:rFonts w:ascii="Arial"/>
                <w:spacing w:val="-1"/>
              </w:rPr>
              <w:t>Off</w:t>
            </w:r>
            <w:r>
              <w:rPr>
                <w:rFonts w:ascii="Arial"/>
                <w:spacing w:val="2"/>
              </w:rPr>
              <w:t xml:space="preserve"> </w:t>
            </w:r>
            <w:r>
              <w:rPr>
                <w:rFonts w:ascii="Arial"/>
                <w:spacing w:val="-1"/>
              </w:rPr>
              <w:t>Extension</w:t>
            </w:r>
            <w:r>
              <w:rPr>
                <w:rFonts w:ascii="Arial"/>
              </w:rPr>
              <w:t xml:space="preserve"> </w:t>
            </w:r>
            <w:r>
              <w:rPr>
                <w:rFonts w:ascii="Arial"/>
                <w:spacing w:val="-2"/>
              </w:rPr>
              <w:t>Period;</w:t>
            </w:r>
            <w:r>
              <w:rPr>
                <w:rFonts w:ascii="Arial"/>
                <w:spacing w:val="2"/>
              </w:rPr>
              <w:t xml:space="preserve"> </w:t>
            </w:r>
            <w:r>
              <w:rPr>
                <w:rFonts w:ascii="Arial"/>
                <w:spacing w:val="-2"/>
              </w:rPr>
              <w:t>or</w:t>
            </w:r>
          </w:p>
        </w:tc>
      </w:tr>
    </w:tbl>
    <w:p w:rsidR="008918FA" w:rsidRDefault="008918FA" w:rsidP="008918FA">
      <w:pPr>
        <w:rPr>
          <w:rFonts w:ascii="Arial" w:eastAsia="Arial" w:hAnsi="Arial" w:cs="Arial"/>
        </w:rPr>
        <w:sectPr w:rsidR="008918FA">
          <w:pgSz w:w="11910" w:h="16840"/>
          <w:pgMar w:top="1480" w:right="11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5952"/>
      </w:tblGrid>
      <w:tr w:rsidR="008918FA" w:rsidTr="005D2B81">
        <w:trPr>
          <w:trHeight w:hRule="exact" w:val="893"/>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5952"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ind w:left="819" w:right="98" w:hanging="545"/>
              <w:jc w:val="both"/>
              <w:rPr>
                <w:rFonts w:ascii="Arial" w:eastAsia="Arial" w:hAnsi="Arial" w:cs="Arial"/>
              </w:rPr>
            </w:pPr>
            <w:r>
              <w:rPr>
                <w:rFonts w:ascii="Arial"/>
                <w:spacing w:val="-1"/>
              </w:rPr>
              <w:t>b)</w:t>
            </w:r>
            <w:r>
              <w:rPr>
                <w:rFonts w:ascii="Arial"/>
                <w:spacing w:val="43"/>
              </w:rPr>
              <w:t xml:space="preserve"> </w:t>
            </w:r>
            <w:r>
              <w:rPr>
                <w:rFonts w:ascii="Arial"/>
                <w:spacing w:val="-1"/>
              </w:rPr>
              <w:t>if</w:t>
            </w:r>
            <w:r>
              <w:rPr>
                <w:rFonts w:ascii="Arial"/>
                <w:spacing w:val="57"/>
              </w:rPr>
              <w:t xml:space="preserve"> </w:t>
            </w:r>
            <w:r>
              <w:rPr>
                <w:rFonts w:ascii="Arial"/>
                <w:spacing w:val="-1"/>
              </w:rPr>
              <w:t>this</w:t>
            </w:r>
            <w:r>
              <w:rPr>
                <w:rFonts w:ascii="Arial"/>
                <w:spacing w:val="56"/>
              </w:rPr>
              <w:t xml:space="preserve"> </w:t>
            </w:r>
            <w:r>
              <w:rPr>
                <w:rFonts w:ascii="Arial"/>
                <w:spacing w:val="-2"/>
              </w:rPr>
              <w:t>Call</w:t>
            </w:r>
            <w:r>
              <w:rPr>
                <w:rFonts w:ascii="Arial"/>
                <w:spacing w:val="55"/>
              </w:rPr>
              <w:t xml:space="preserve"> </w:t>
            </w:r>
            <w:r>
              <w:rPr>
                <w:rFonts w:ascii="Arial"/>
                <w:spacing w:val="-2"/>
              </w:rPr>
              <w:t>Off</w:t>
            </w:r>
            <w:r>
              <w:rPr>
                <w:rFonts w:ascii="Arial"/>
                <w:spacing w:val="57"/>
              </w:rPr>
              <w:t xml:space="preserve"> </w:t>
            </w:r>
            <w:r>
              <w:rPr>
                <w:rFonts w:ascii="Arial"/>
                <w:spacing w:val="-2"/>
              </w:rPr>
              <w:t>Contract</w:t>
            </w:r>
            <w:r>
              <w:rPr>
                <w:rFonts w:ascii="Arial"/>
                <w:spacing w:val="56"/>
              </w:rPr>
              <w:t xml:space="preserve"> </w:t>
            </w:r>
            <w:r>
              <w:rPr>
                <w:rFonts w:ascii="Arial"/>
                <w:spacing w:val="-1"/>
              </w:rPr>
              <w:t>is</w:t>
            </w:r>
            <w:r>
              <w:rPr>
                <w:rFonts w:ascii="Arial"/>
                <w:spacing w:val="57"/>
              </w:rPr>
              <w:t xml:space="preserve"> </w:t>
            </w:r>
            <w:r>
              <w:rPr>
                <w:rFonts w:ascii="Arial"/>
                <w:spacing w:val="-1"/>
              </w:rPr>
              <w:t>terminated</w:t>
            </w:r>
            <w:r>
              <w:rPr>
                <w:rFonts w:ascii="Arial"/>
                <w:spacing w:val="53"/>
              </w:rPr>
              <w:t xml:space="preserve"> </w:t>
            </w:r>
            <w:r>
              <w:rPr>
                <w:rFonts w:ascii="Arial"/>
                <w:spacing w:val="-1"/>
              </w:rPr>
              <w:t>before</w:t>
            </w:r>
            <w:r>
              <w:rPr>
                <w:rFonts w:ascii="Arial"/>
                <w:spacing w:val="53"/>
              </w:rPr>
              <w:t xml:space="preserve"> </w:t>
            </w:r>
            <w:r>
              <w:rPr>
                <w:rFonts w:ascii="Arial"/>
                <w:spacing w:val="-2"/>
              </w:rPr>
              <w:t>the</w:t>
            </w:r>
            <w:r>
              <w:rPr>
                <w:rFonts w:ascii="Arial"/>
                <w:spacing w:val="46"/>
              </w:rPr>
              <w:t xml:space="preserve"> </w:t>
            </w:r>
            <w:r>
              <w:rPr>
                <w:rFonts w:ascii="Arial"/>
                <w:spacing w:val="-1"/>
              </w:rPr>
              <w:t>date</w:t>
            </w:r>
            <w:r>
              <w:rPr>
                <w:rFonts w:ascii="Arial"/>
                <w:spacing w:val="13"/>
              </w:rPr>
              <w:t xml:space="preserve"> </w:t>
            </w:r>
            <w:r>
              <w:rPr>
                <w:rFonts w:ascii="Arial"/>
                <w:spacing w:val="-1"/>
              </w:rPr>
              <w:t>specified</w:t>
            </w:r>
            <w:r>
              <w:rPr>
                <w:rFonts w:ascii="Arial"/>
                <w:spacing w:val="14"/>
              </w:rPr>
              <w:t xml:space="preserve"> </w:t>
            </w:r>
            <w:r>
              <w:rPr>
                <w:rFonts w:ascii="Arial"/>
                <w:spacing w:val="-1"/>
              </w:rPr>
              <w:t>in</w:t>
            </w:r>
            <w:r>
              <w:rPr>
                <w:rFonts w:ascii="Arial"/>
                <w:spacing w:val="14"/>
              </w:rPr>
              <w:t xml:space="preserve"> </w:t>
            </w:r>
            <w:r>
              <w:rPr>
                <w:rFonts w:ascii="Arial"/>
                <w:spacing w:val="-1"/>
              </w:rPr>
              <w:t>(a)</w:t>
            </w:r>
            <w:r>
              <w:rPr>
                <w:rFonts w:ascii="Arial"/>
                <w:spacing w:val="15"/>
              </w:rPr>
              <w:t xml:space="preserve"> </w:t>
            </w:r>
            <w:r>
              <w:rPr>
                <w:rFonts w:ascii="Arial"/>
                <w:spacing w:val="-2"/>
              </w:rPr>
              <w:t>above,</w:t>
            </w:r>
            <w:r>
              <w:rPr>
                <w:rFonts w:ascii="Arial"/>
                <w:spacing w:val="15"/>
              </w:rPr>
              <w:t xml:space="preserve"> </w:t>
            </w:r>
            <w:r>
              <w:rPr>
                <w:rFonts w:ascii="Arial"/>
              </w:rPr>
              <w:t>the</w:t>
            </w:r>
            <w:r>
              <w:rPr>
                <w:rFonts w:ascii="Arial"/>
                <w:spacing w:val="13"/>
              </w:rPr>
              <w:t xml:space="preserve"> </w:t>
            </w:r>
            <w:r>
              <w:rPr>
                <w:rFonts w:ascii="Arial"/>
                <w:spacing w:val="-1"/>
              </w:rPr>
              <w:t>earlier</w:t>
            </w:r>
            <w:r>
              <w:rPr>
                <w:rFonts w:ascii="Arial"/>
                <w:spacing w:val="15"/>
              </w:rPr>
              <w:t xml:space="preserve"> </w:t>
            </w:r>
            <w:r>
              <w:rPr>
                <w:rFonts w:ascii="Arial"/>
                <w:spacing w:val="-1"/>
              </w:rPr>
              <w:t>date</w:t>
            </w:r>
            <w:r>
              <w:rPr>
                <w:rFonts w:ascii="Arial"/>
                <w:spacing w:val="11"/>
              </w:rPr>
              <w:t xml:space="preserve"> </w:t>
            </w:r>
            <w:r>
              <w:rPr>
                <w:rFonts w:ascii="Arial"/>
                <w:spacing w:val="-2"/>
              </w:rPr>
              <w:t>of</w:t>
            </w:r>
            <w:r>
              <w:rPr>
                <w:rFonts w:ascii="Arial"/>
                <w:spacing w:val="21"/>
              </w:rPr>
              <w:t xml:space="preserve"> </w:t>
            </w:r>
            <w:r>
              <w:rPr>
                <w:rFonts w:ascii="Arial"/>
                <w:spacing w:val="-1"/>
              </w:rPr>
              <w:t>termination</w:t>
            </w:r>
            <w:r>
              <w:rPr>
                <w:rFonts w:ascii="Arial"/>
              </w:rPr>
              <w:t xml:space="preserve"> </w:t>
            </w:r>
            <w:r>
              <w:rPr>
                <w:rFonts w:ascii="Arial"/>
                <w:spacing w:val="-2"/>
              </w:rPr>
              <w:t>of</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2"/>
              </w:rPr>
              <w:t>Contract;</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397"/>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
              </w:rPr>
              <w:t xml:space="preserve"> </w:t>
            </w:r>
            <w:r>
              <w:rPr>
                <w:rFonts w:ascii="Arial"/>
                <w:b/>
                <w:spacing w:val="-1"/>
              </w:rPr>
              <w:t>Extension</w:t>
            </w:r>
            <w:r>
              <w:rPr>
                <w:rFonts w:ascii="Arial"/>
                <w:b/>
                <w:spacing w:val="26"/>
              </w:rPr>
              <w:t xml:space="preserve"> </w:t>
            </w:r>
            <w:r>
              <w:rPr>
                <w:rFonts w:ascii="Arial"/>
                <w:b/>
                <w:spacing w:val="-1"/>
              </w:rPr>
              <w:t>Period"</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20"/>
              </w:rPr>
              <w:t xml:space="preserve"> </w:t>
            </w:r>
            <w:r>
              <w:rPr>
                <w:rFonts w:ascii="Arial"/>
              </w:rPr>
              <w:t>the</w:t>
            </w:r>
            <w:r>
              <w:rPr>
                <w:rFonts w:ascii="Arial"/>
                <w:spacing w:val="22"/>
              </w:rPr>
              <w:t xml:space="preserve"> </w:t>
            </w:r>
            <w:r>
              <w:rPr>
                <w:rFonts w:ascii="Arial"/>
                <w:spacing w:val="-1"/>
              </w:rPr>
              <w:t>extension</w:t>
            </w:r>
            <w:r>
              <w:rPr>
                <w:rFonts w:ascii="Arial"/>
                <w:spacing w:val="22"/>
              </w:rPr>
              <w:t xml:space="preserve"> </w:t>
            </w:r>
            <w:r>
              <w:rPr>
                <w:rFonts w:ascii="Arial"/>
                <w:spacing w:val="-1"/>
              </w:rPr>
              <w:t>term</w:t>
            </w:r>
            <w:r>
              <w:rPr>
                <w:rFonts w:ascii="Arial"/>
                <w:spacing w:val="23"/>
              </w:rPr>
              <w:t xml:space="preserve"> </w:t>
            </w:r>
            <w:r>
              <w:rPr>
                <w:rFonts w:ascii="Arial"/>
                <w:spacing w:val="-2"/>
              </w:rPr>
              <w:t>of</w:t>
            </w:r>
            <w:r>
              <w:rPr>
                <w:rFonts w:ascii="Arial"/>
                <w:spacing w:val="23"/>
              </w:rPr>
              <w:t xml:space="preserve"> </w:t>
            </w:r>
            <w:r>
              <w:rPr>
                <w:rFonts w:ascii="Arial"/>
                <w:spacing w:val="-1"/>
              </w:rPr>
              <w:t>this</w:t>
            </w:r>
            <w:r>
              <w:rPr>
                <w:rFonts w:ascii="Arial"/>
                <w:spacing w:val="22"/>
              </w:rPr>
              <w:t xml:space="preserve"> </w:t>
            </w:r>
            <w:r>
              <w:rPr>
                <w:rFonts w:ascii="Arial"/>
                <w:spacing w:val="-2"/>
              </w:rPr>
              <w:t>Call</w:t>
            </w:r>
            <w:r>
              <w:rPr>
                <w:rFonts w:ascii="Arial"/>
                <w:spacing w:val="21"/>
              </w:rPr>
              <w:t xml:space="preserve"> </w:t>
            </w:r>
            <w:r>
              <w:rPr>
                <w:rFonts w:ascii="Arial"/>
                <w:spacing w:val="-2"/>
              </w:rPr>
              <w:t>Off</w:t>
            </w:r>
            <w:r>
              <w:rPr>
                <w:rFonts w:ascii="Arial"/>
                <w:spacing w:val="23"/>
              </w:rPr>
              <w:t xml:space="preserve"> </w:t>
            </w:r>
            <w:r>
              <w:rPr>
                <w:rFonts w:ascii="Arial"/>
                <w:spacing w:val="-2"/>
              </w:rPr>
              <w:t>Contract</w:t>
            </w:r>
            <w:r>
              <w:rPr>
                <w:rFonts w:ascii="Arial"/>
                <w:spacing w:val="22"/>
              </w:rPr>
              <w:t xml:space="preserve"> </w:t>
            </w:r>
            <w:r>
              <w:rPr>
                <w:rFonts w:ascii="Arial"/>
                <w:spacing w:val="-1"/>
              </w:rPr>
              <w:t>from</w:t>
            </w:r>
            <w:r>
              <w:rPr>
                <w:rFonts w:ascii="Arial"/>
                <w:spacing w:val="39"/>
              </w:rPr>
              <w:t xml:space="preserve"> </w:t>
            </w:r>
            <w:r>
              <w:rPr>
                <w:rFonts w:ascii="Arial"/>
              </w:rPr>
              <w:t>the</w:t>
            </w:r>
            <w:r>
              <w:rPr>
                <w:rFonts w:ascii="Arial"/>
                <w:spacing w:val="10"/>
              </w:rPr>
              <w:t xml:space="preserve"> </w:t>
            </w:r>
            <w:r>
              <w:rPr>
                <w:rFonts w:ascii="Arial"/>
                <w:spacing w:val="-1"/>
              </w:rPr>
              <w:t>end</w:t>
            </w:r>
            <w:r>
              <w:rPr>
                <w:rFonts w:ascii="Arial"/>
                <w:spacing w:val="10"/>
              </w:rPr>
              <w:t xml:space="preserve"> </w:t>
            </w:r>
            <w:r>
              <w:rPr>
                <w:rFonts w:ascii="Arial"/>
                <w:spacing w:val="-1"/>
              </w:rPr>
              <w:t>date</w:t>
            </w:r>
            <w:r>
              <w:rPr>
                <w:rFonts w:ascii="Arial"/>
                <w:spacing w:val="10"/>
              </w:rPr>
              <w:t xml:space="preserve"> </w:t>
            </w:r>
            <w:r>
              <w:rPr>
                <w:rFonts w:ascii="Arial"/>
                <w:spacing w:val="-2"/>
              </w:rPr>
              <w:t>of</w:t>
            </w:r>
            <w:r>
              <w:rPr>
                <w:rFonts w:ascii="Arial"/>
                <w:spacing w:val="14"/>
              </w:rPr>
              <w:t xml:space="preserve"> </w:t>
            </w:r>
            <w:r>
              <w:rPr>
                <w:rFonts w:ascii="Arial"/>
              </w:rPr>
              <w:t>the</w:t>
            </w:r>
            <w:r>
              <w:rPr>
                <w:rFonts w:ascii="Arial"/>
                <w:spacing w:val="10"/>
              </w:rPr>
              <w:t xml:space="preserve"> </w:t>
            </w:r>
            <w:r>
              <w:rPr>
                <w:rFonts w:ascii="Arial"/>
                <w:spacing w:val="-2"/>
              </w:rPr>
              <w:t>Call</w:t>
            </w:r>
            <w:r>
              <w:rPr>
                <w:rFonts w:ascii="Arial"/>
                <w:spacing w:val="9"/>
              </w:rPr>
              <w:t xml:space="preserve"> </w:t>
            </w:r>
            <w:r>
              <w:rPr>
                <w:rFonts w:ascii="Arial"/>
                <w:spacing w:val="-1"/>
              </w:rPr>
              <w:t>Off</w:t>
            </w:r>
            <w:r>
              <w:rPr>
                <w:rFonts w:ascii="Arial"/>
                <w:spacing w:val="11"/>
              </w:rPr>
              <w:t xml:space="preserve"> </w:t>
            </w:r>
            <w:r>
              <w:rPr>
                <w:rFonts w:ascii="Arial"/>
                <w:spacing w:val="-1"/>
              </w:rPr>
              <w:t>Initial</w:t>
            </w:r>
            <w:r>
              <w:rPr>
                <w:rFonts w:ascii="Arial"/>
                <w:spacing w:val="9"/>
              </w:rPr>
              <w:t xml:space="preserve"> </w:t>
            </w:r>
            <w:r>
              <w:rPr>
                <w:rFonts w:ascii="Arial"/>
                <w:spacing w:val="-1"/>
              </w:rPr>
              <w:t>Period</w:t>
            </w:r>
            <w:r>
              <w:rPr>
                <w:rFonts w:ascii="Arial"/>
                <w:spacing w:val="10"/>
              </w:rPr>
              <w:t xml:space="preserve"> </w:t>
            </w:r>
            <w:r>
              <w:rPr>
                <w:rFonts w:ascii="Arial"/>
              </w:rPr>
              <w:t>to</w:t>
            </w:r>
            <w:r>
              <w:rPr>
                <w:rFonts w:ascii="Arial"/>
                <w:spacing w:val="10"/>
              </w:rPr>
              <w:t xml:space="preserve"> </w:t>
            </w:r>
            <w:r>
              <w:rPr>
                <w:rFonts w:ascii="Arial"/>
              </w:rPr>
              <w:t>the</w:t>
            </w:r>
            <w:r>
              <w:rPr>
                <w:rFonts w:ascii="Arial"/>
                <w:spacing w:val="10"/>
              </w:rPr>
              <w:t xml:space="preserve"> </w:t>
            </w:r>
            <w:r>
              <w:rPr>
                <w:rFonts w:ascii="Arial"/>
                <w:spacing w:val="-2"/>
              </w:rPr>
              <w:t>end</w:t>
            </w:r>
            <w:r>
              <w:rPr>
                <w:rFonts w:ascii="Arial"/>
                <w:spacing w:val="10"/>
              </w:rPr>
              <w:t xml:space="preserve"> </w:t>
            </w:r>
            <w:r>
              <w:rPr>
                <w:rFonts w:ascii="Arial"/>
                <w:spacing w:val="-1"/>
              </w:rPr>
              <w:t>date</w:t>
            </w:r>
            <w:r>
              <w:rPr>
                <w:rFonts w:ascii="Arial"/>
                <w:spacing w:val="41"/>
              </w:rPr>
              <w:t xml:space="preserve"> </w:t>
            </w:r>
            <w:r>
              <w:rPr>
                <w:rFonts w:ascii="Arial"/>
                <w:spacing w:val="-2"/>
              </w:rPr>
              <w:t>of</w:t>
            </w:r>
            <w:r>
              <w:rPr>
                <w:rFonts w:ascii="Arial"/>
                <w:spacing w:val="2"/>
              </w:rPr>
              <w:t xml:space="preserve"> </w:t>
            </w:r>
            <w:r>
              <w:rPr>
                <w:rFonts w:ascii="Arial"/>
              </w:rPr>
              <w:t xml:space="preserve">the </w:t>
            </w:r>
            <w:r>
              <w:rPr>
                <w:rFonts w:ascii="Arial"/>
                <w:spacing w:val="-1"/>
              </w:rPr>
              <w:t>extension</w:t>
            </w:r>
            <w:r>
              <w:rPr>
                <w:rFonts w:ascii="Arial"/>
              </w:rPr>
              <w:t xml:space="preserve"> </w:t>
            </w:r>
            <w:r>
              <w:rPr>
                <w:rFonts w:ascii="Arial"/>
                <w:spacing w:val="-2"/>
              </w:rPr>
              <w:t>period</w:t>
            </w:r>
            <w:r>
              <w:rPr>
                <w:rFonts w:ascii="Arial"/>
              </w:rPr>
              <w:t xml:space="preserve"> </w:t>
            </w:r>
            <w:r>
              <w:rPr>
                <w:rFonts w:ascii="Arial"/>
                <w:spacing w:val="-1"/>
              </w:rPr>
              <w:t>stated</w:t>
            </w:r>
            <w:r>
              <w:rPr>
                <w:rFonts w:ascii="Arial"/>
                <w:spacing w:val="-2"/>
              </w:rPr>
              <w:t xml:space="preserve"> </w:t>
            </w:r>
            <w:r>
              <w:rPr>
                <w:rFonts w:ascii="Arial"/>
                <w:spacing w:val="-1"/>
              </w:rPr>
              <w:t>in</w:t>
            </w:r>
            <w:r>
              <w:rPr>
                <w:rFonts w:ascii="Arial"/>
              </w:rPr>
              <w:t xml:space="preserve"> the</w:t>
            </w:r>
            <w:r>
              <w:rPr>
                <w:rFonts w:ascii="Arial"/>
                <w:spacing w:val="-4"/>
              </w:rPr>
              <w:t xml:space="preserve"> </w:t>
            </w:r>
            <w:r>
              <w:rPr>
                <w:rFonts w:ascii="Arial"/>
                <w:spacing w:val="-1"/>
              </w:rPr>
              <w:t>Order</w:t>
            </w:r>
            <w:r>
              <w:rPr>
                <w:rFonts w:ascii="Arial"/>
                <w:spacing w:val="2"/>
              </w:rPr>
              <w:t xml:space="preserve"> </w:t>
            </w:r>
            <w:r>
              <w:rPr>
                <w:rFonts w:ascii="Arial"/>
                <w:spacing w:val="-2"/>
              </w:rPr>
              <w:t>Form;</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"Call</w:t>
            </w:r>
            <w:r>
              <w:rPr>
                <w:rFonts w:ascii="Arial"/>
                <w:b/>
                <w:spacing w:val="-3"/>
              </w:rPr>
              <w:t xml:space="preserve"> </w:t>
            </w:r>
            <w:r>
              <w:rPr>
                <w:rFonts w:ascii="Arial"/>
                <w:b/>
                <w:spacing w:val="-1"/>
              </w:rPr>
              <w:t>Off Guarantee"</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100"/>
              <w:jc w:val="both"/>
              <w:rPr>
                <w:rFonts w:ascii="Arial" w:eastAsia="Arial" w:hAnsi="Arial" w:cs="Arial"/>
              </w:rPr>
            </w:pPr>
            <w:r>
              <w:rPr>
                <w:rFonts w:ascii="Arial"/>
                <w:spacing w:val="-1"/>
              </w:rPr>
              <w:t>means</w:t>
            </w:r>
            <w:r>
              <w:rPr>
                <w:rFonts w:ascii="Arial"/>
                <w:spacing w:val="18"/>
              </w:rPr>
              <w:t xml:space="preserve"> </w:t>
            </w:r>
            <w:r>
              <w:rPr>
                <w:rFonts w:ascii="Arial"/>
              </w:rPr>
              <w:t>a</w:t>
            </w:r>
            <w:r>
              <w:rPr>
                <w:rFonts w:ascii="Arial"/>
                <w:spacing w:val="17"/>
              </w:rPr>
              <w:t xml:space="preserve"> </w:t>
            </w:r>
            <w:r>
              <w:rPr>
                <w:rFonts w:ascii="Arial"/>
                <w:spacing w:val="-1"/>
              </w:rPr>
              <w:t>deed</w:t>
            </w:r>
            <w:r>
              <w:rPr>
                <w:rFonts w:ascii="Arial"/>
                <w:spacing w:val="17"/>
              </w:rPr>
              <w:t xml:space="preserve"> </w:t>
            </w:r>
            <w:r>
              <w:rPr>
                <w:rFonts w:ascii="Arial"/>
                <w:spacing w:val="-1"/>
              </w:rPr>
              <w:t>of</w:t>
            </w:r>
            <w:r>
              <w:rPr>
                <w:rFonts w:ascii="Arial"/>
                <w:spacing w:val="21"/>
              </w:rPr>
              <w:t xml:space="preserve"> </w:t>
            </w:r>
            <w:r>
              <w:rPr>
                <w:rFonts w:ascii="Arial"/>
                <w:spacing w:val="-1"/>
              </w:rPr>
              <w:t>guarantee</w:t>
            </w:r>
            <w:r>
              <w:rPr>
                <w:rFonts w:ascii="Arial"/>
                <w:spacing w:val="17"/>
              </w:rPr>
              <w:t xml:space="preserve"> </w:t>
            </w:r>
            <w:r>
              <w:rPr>
                <w:rFonts w:ascii="Arial"/>
                <w:spacing w:val="-1"/>
              </w:rPr>
              <w:t>that</w:t>
            </w:r>
            <w:r>
              <w:rPr>
                <w:rFonts w:ascii="Arial"/>
                <w:spacing w:val="19"/>
              </w:rPr>
              <w:t xml:space="preserve"> </w:t>
            </w:r>
            <w:r>
              <w:rPr>
                <w:rFonts w:ascii="Arial"/>
                <w:spacing w:val="-1"/>
              </w:rPr>
              <w:t>may</w:t>
            </w:r>
            <w:r>
              <w:rPr>
                <w:rFonts w:ascii="Arial"/>
                <w:spacing w:val="15"/>
              </w:rPr>
              <w:t xml:space="preserve"> </w:t>
            </w:r>
            <w:r>
              <w:rPr>
                <w:rFonts w:ascii="Arial"/>
                <w:spacing w:val="-1"/>
              </w:rPr>
              <w:t>be</w:t>
            </w:r>
            <w:r>
              <w:rPr>
                <w:rFonts w:ascii="Arial"/>
                <w:spacing w:val="17"/>
              </w:rPr>
              <w:t xml:space="preserve"> </w:t>
            </w:r>
            <w:r>
              <w:rPr>
                <w:rFonts w:ascii="Arial"/>
                <w:spacing w:val="-1"/>
              </w:rPr>
              <w:t>required</w:t>
            </w:r>
            <w:r>
              <w:rPr>
                <w:rFonts w:ascii="Arial"/>
                <w:spacing w:val="17"/>
              </w:rPr>
              <w:t xml:space="preserve"> </w:t>
            </w:r>
            <w:r>
              <w:rPr>
                <w:rFonts w:ascii="Arial"/>
                <w:spacing w:val="-1"/>
              </w:rPr>
              <w:t>under</w:t>
            </w:r>
            <w:r>
              <w:rPr>
                <w:rFonts w:ascii="Arial"/>
                <w:spacing w:val="30"/>
              </w:rPr>
              <w:t xml:space="preserve"> </w:t>
            </w:r>
            <w:r>
              <w:rPr>
                <w:rFonts w:ascii="Arial"/>
                <w:spacing w:val="-1"/>
              </w:rPr>
              <w:t>this</w:t>
            </w:r>
            <w:r>
              <w:rPr>
                <w:rFonts w:ascii="Arial"/>
                <w:spacing w:val="39"/>
              </w:rPr>
              <w:t xml:space="preserve"> </w:t>
            </w:r>
            <w:r>
              <w:rPr>
                <w:rFonts w:ascii="Arial"/>
                <w:spacing w:val="-2"/>
              </w:rPr>
              <w:t>Call</w:t>
            </w:r>
            <w:r>
              <w:rPr>
                <w:rFonts w:ascii="Arial"/>
                <w:spacing w:val="38"/>
              </w:rPr>
              <w:t xml:space="preserve"> </w:t>
            </w:r>
            <w:r>
              <w:rPr>
                <w:rFonts w:ascii="Arial"/>
              </w:rPr>
              <w:t>Off</w:t>
            </w:r>
            <w:r>
              <w:rPr>
                <w:rFonts w:ascii="Arial"/>
                <w:spacing w:val="42"/>
              </w:rPr>
              <w:t xml:space="preserve"> </w:t>
            </w:r>
            <w:r>
              <w:rPr>
                <w:rFonts w:ascii="Arial"/>
                <w:spacing w:val="-2"/>
              </w:rPr>
              <w:t>Contract</w:t>
            </w:r>
            <w:r>
              <w:rPr>
                <w:rFonts w:ascii="Arial"/>
                <w:spacing w:val="42"/>
              </w:rPr>
              <w:t xml:space="preserve"> </w:t>
            </w:r>
            <w:r>
              <w:rPr>
                <w:rFonts w:ascii="Arial"/>
                <w:spacing w:val="-1"/>
              </w:rPr>
              <w:t>in</w:t>
            </w:r>
            <w:r>
              <w:rPr>
                <w:rFonts w:ascii="Arial"/>
                <w:spacing w:val="36"/>
              </w:rPr>
              <w:t xml:space="preserve"> </w:t>
            </w:r>
            <w:r>
              <w:rPr>
                <w:rFonts w:ascii="Arial"/>
                <w:spacing w:val="-1"/>
              </w:rPr>
              <w:t>favour</w:t>
            </w:r>
            <w:r>
              <w:rPr>
                <w:rFonts w:ascii="Arial"/>
                <w:spacing w:val="40"/>
              </w:rPr>
              <w:t xml:space="preserve"> </w:t>
            </w:r>
            <w:r>
              <w:rPr>
                <w:rFonts w:ascii="Arial"/>
                <w:spacing w:val="-2"/>
              </w:rPr>
              <w:t>of</w:t>
            </w:r>
            <w:r>
              <w:rPr>
                <w:rFonts w:ascii="Arial"/>
                <w:spacing w:val="43"/>
              </w:rPr>
              <w:t xml:space="preserve"> </w:t>
            </w:r>
            <w:r>
              <w:rPr>
                <w:rFonts w:ascii="Arial"/>
              </w:rPr>
              <w:t>the</w:t>
            </w:r>
            <w:r>
              <w:rPr>
                <w:rFonts w:ascii="Arial"/>
                <w:spacing w:val="38"/>
              </w:rPr>
              <w:t xml:space="preserve"> </w:t>
            </w:r>
            <w:r>
              <w:rPr>
                <w:rFonts w:ascii="Arial"/>
                <w:spacing w:val="-2"/>
              </w:rPr>
              <w:t>Customer</w:t>
            </w:r>
            <w:r>
              <w:rPr>
                <w:rFonts w:ascii="Arial"/>
                <w:spacing w:val="40"/>
              </w:rPr>
              <w:t xml:space="preserve"> </w:t>
            </w:r>
            <w:r>
              <w:rPr>
                <w:rFonts w:ascii="Arial"/>
                <w:spacing w:val="-1"/>
              </w:rPr>
              <w:t>in</w:t>
            </w:r>
            <w:r>
              <w:rPr>
                <w:rFonts w:ascii="Arial"/>
                <w:spacing w:val="38"/>
              </w:rPr>
              <w:t xml:space="preserve"> </w:t>
            </w:r>
            <w:r>
              <w:rPr>
                <w:rFonts w:ascii="Arial"/>
                <w:spacing w:val="-1"/>
              </w:rPr>
              <w:t>the</w:t>
            </w:r>
            <w:r>
              <w:rPr>
                <w:rFonts w:ascii="Arial"/>
                <w:spacing w:val="54"/>
              </w:rPr>
              <w:t xml:space="preserve"> </w:t>
            </w:r>
            <w:r>
              <w:rPr>
                <w:rFonts w:ascii="Arial"/>
                <w:spacing w:val="-1"/>
              </w:rPr>
              <w:t>form</w:t>
            </w:r>
            <w:r>
              <w:rPr>
                <w:rFonts w:ascii="Arial"/>
                <w:spacing w:val="20"/>
              </w:rPr>
              <w:t xml:space="preserve"> </w:t>
            </w:r>
            <w:r>
              <w:rPr>
                <w:rFonts w:ascii="Arial"/>
                <w:spacing w:val="-2"/>
              </w:rPr>
              <w:t>set</w:t>
            </w:r>
            <w:r>
              <w:rPr>
                <w:rFonts w:ascii="Arial"/>
                <w:spacing w:val="20"/>
              </w:rPr>
              <w:t xml:space="preserve"> </w:t>
            </w:r>
            <w:r>
              <w:rPr>
                <w:rFonts w:ascii="Arial"/>
                <w:spacing w:val="-1"/>
              </w:rPr>
              <w:t>out</w:t>
            </w:r>
            <w:r>
              <w:rPr>
                <w:rFonts w:ascii="Arial"/>
                <w:spacing w:val="20"/>
              </w:rPr>
              <w:t xml:space="preserve"> </w:t>
            </w:r>
            <w:r>
              <w:rPr>
                <w:rFonts w:ascii="Arial"/>
                <w:spacing w:val="-1"/>
              </w:rPr>
              <w:t>in</w:t>
            </w:r>
            <w:r>
              <w:rPr>
                <w:rFonts w:ascii="Arial"/>
                <w:spacing w:val="18"/>
              </w:rPr>
              <w:t xml:space="preserve"> </w:t>
            </w:r>
            <w:r>
              <w:rPr>
                <w:rFonts w:ascii="Arial"/>
                <w:spacing w:val="-2"/>
              </w:rPr>
              <w:t>Framework</w:t>
            </w:r>
            <w:r>
              <w:rPr>
                <w:rFonts w:ascii="Arial"/>
                <w:spacing w:val="22"/>
              </w:rPr>
              <w:t xml:space="preserve"> </w:t>
            </w:r>
            <w:r>
              <w:rPr>
                <w:rFonts w:ascii="Arial"/>
                <w:spacing w:val="-1"/>
              </w:rPr>
              <w:t>Schedule</w:t>
            </w:r>
            <w:r>
              <w:rPr>
                <w:rFonts w:ascii="Arial"/>
                <w:spacing w:val="18"/>
              </w:rPr>
              <w:t xml:space="preserve"> </w:t>
            </w:r>
            <w:r>
              <w:rPr>
                <w:rFonts w:ascii="Arial"/>
                <w:spacing w:val="-1"/>
              </w:rPr>
              <w:t xml:space="preserve">13 </w:t>
            </w:r>
            <w:r>
              <w:rPr>
                <w:rFonts w:ascii="Arial"/>
                <w:spacing w:val="-2"/>
              </w:rPr>
              <w:t>(Guarantee)</w:t>
            </w:r>
            <w:r>
              <w:rPr>
                <w:rFonts w:ascii="Arial"/>
                <w:spacing w:val="42"/>
              </w:rPr>
              <w:t xml:space="preserve"> </w:t>
            </w:r>
            <w:r>
              <w:rPr>
                <w:rFonts w:ascii="Arial"/>
                <w:spacing w:val="-1"/>
              </w:rPr>
              <w:t>granted</w:t>
            </w:r>
            <w:r>
              <w:rPr>
                <w:rFonts w:ascii="Arial"/>
                <w:spacing w:val="-2"/>
              </w:rPr>
              <w:t xml:space="preserve"> </w:t>
            </w:r>
            <w:r>
              <w:rPr>
                <w:rFonts w:ascii="Arial"/>
                <w:spacing w:val="-1"/>
              </w:rPr>
              <w:t>pursuant</w:t>
            </w:r>
            <w:r>
              <w:rPr>
                <w:rFonts w:ascii="Arial"/>
              </w:rPr>
              <w:t xml:space="preserve"> to </w:t>
            </w:r>
            <w:r>
              <w:rPr>
                <w:rFonts w:ascii="Arial"/>
                <w:spacing w:val="-2"/>
              </w:rPr>
              <w:t>Clause</w:t>
            </w:r>
            <w:r>
              <w:rPr>
                <w:rFonts w:ascii="Arial"/>
                <w:spacing w:val="1"/>
              </w:rPr>
              <w:t xml:space="preserve"> </w:t>
            </w:r>
            <w:r>
              <w:rPr>
                <w:rFonts w:ascii="Arial"/>
              </w:rPr>
              <w:t>7</w:t>
            </w:r>
            <w:r>
              <w:rPr>
                <w:rFonts w:ascii="Arial"/>
                <w:spacing w:val="-2"/>
              </w:rPr>
              <w:t xml:space="preserve"> </w:t>
            </w:r>
            <w:r>
              <w:rPr>
                <w:rFonts w:ascii="Arial"/>
                <w:spacing w:val="-1"/>
              </w:rPr>
              <w:t>(Call</w:t>
            </w:r>
            <w:r>
              <w:rPr>
                <w:rFonts w:ascii="Arial"/>
              </w:rPr>
              <w:t xml:space="preserve"> </w:t>
            </w:r>
            <w:r>
              <w:rPr>
                <w:rFonts w:ascii="Arial"/>
                <w:spacing w:val="-1"/>
              </w:rPr>
              <w:t>Off</w:t>
            </w:r>
            <w:r>
              <w:rPr>
                <w:rFonts w:ascii="Arial"/>
              </w:rPr>
              <w:t xml:space="preserve"> </w:t>
            </w:r>
            <w:r>
              <w:rPr>
                <w:rFonts w:ascii="Arial"/>
                <w:spacing w:val="-1"/>
              </w:rPr>
              <w:t>Guarantee);</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["Call</w:t>
            </w:r>
            <w:r>
              <w:rPr>
                <w:rFonts w:ascii="Arial"/>
                <w:b/>
              </w:rPr>
              <w:t xml:space="preserve"> </w:t>
            </w:r>
            <w:r>
              <w:rPr>
                <w:rFonts w:ascii="Arial"/>
                <w:b/>
                <w:spacing w:val="-1"/>
              </w:rPr>
              <w:t>Off Guarantor"</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69" w:right="98"/>
              <w:jc w:val="both"/>
              <w:rPr>
                <w:rFonts w:ascii="Arial" w:eastAsia="Arial" w:hAnsi="Arial" w:cs="Arial"/>
              </w:rPr>
            </w:pPr>
            <w:r>
              <w:rPr>
                <w:rFonts w:ascii="Arial"/>
                <w:spacing w:val="-1"/>
              </w:rPr>
              <w:t>means</w:t>
            </w:r>
            <w:r>
              <w:rPr>
                <w:rFonts w:ascii="Arial"/>
                <w:spacing w:val="3"/>
              </w:rPr>
              <w:t xml:space="preserve"> </w:t>
            </w:r>
            <w:r>
              <w:rPr>
                <w:rFonts w:ascii="Arial"/>
              </w:rPr>
              <w:t>the</w:t>
            </w:r>
            <w:r>
              <w:rPr>
                <w:rFonts w:ascii="Arial"/>
                <w:spacing w:val="3"/>
              </w:rPr>
              <w:t xml:space="preserve"> </w:t>
            </w:r>
            <w:r>
              <w:rPr>
                <w:rFonts w:ascii="Arial"/>
                <w:spacing w:val="-1"/>
              </w:rPr>
              <w:t>person,</w:t>
            </w:r>
            <w:r>
              <w:rPr>
                <w:rFonts w:ascii="Arial"/>
                <w:spacing w:val="4"/>
              </w:rPr>
              <w:t xml:space="preserve"> </w:t>
            </w:r>
            <w:r>
              <w:rPr>
                <w:rFonts w:ascii="Arial"/>
                <w:spacing w:val="-1"/>
              </w:rPr>
              <w:t>in</w:t>
            </w:r>
            <w:r>
              <w:rPr>
                <w:rFonts w:ascii="Arial"/>
                <w:spacing w:val="3"/>
              </w:rPr>
              <w:t xml:space="preserve"> </w:t>
            </w:r>
            <w:r>
              <w:rPr>
                <w:rFonts w:ascii="Arial"/>
              </w:rPr>
              <w:t xml:space="preserve">the </w:t>
            </w:r>
            <w:r>
              <w:rPr>
                <w:rFonts w:ascii="Arial"/>
                <w:spacing w:val="-2"/>
              </w:rPr>
              <w:t>event</w:t>
            </w:r>
            <w:r>
              <w:rPr>
                <w:rFonts w:ascii="Arial"/>
                <w:spacing w:val="4"/>
              </w:rPr>
              <w:t xml:space="preserve"> </w:t>
            </w:r>
            <w:r>
              <w:rPr>
                <w:rFonts w:ascii="Arial"/>
                <w:spacing w:val="-1"/>
              </w:rPr>
              <w:t>that</w:t>
            </w:r>
            <w:r>
              <w:rPr>
                <w:rFonts w:ascii="Arial"/>
                <w:spacing w:val="4"/>
              </w:rPr>
              <w:t xml:space="preserve"> </w:t>
            </w:r>
            <w:r>
              <w:rPr>
                <w:rFonts w:ascii="Arial"/>
              </w:rPr>
              <w:t>a</w:t>
            </w:r>
            <w:r>
              <w:rPr>
                <w:rFonts w:ascii="Arial"/>
                <w:spacing w:val="3"/>
              </w:rPr>
              <w:t xml:space="preserve"> </w:t>
            </w:r>
            <w:r>
              <w:rPr>
                <w:rFonts w:ascii="Arial"/>
                <w:spacing w:val="-2"/>
              </w:rPr>
              <w:t>Call</w:t>
            </w:r>
            <w:r>
              <w:rPr>
                <w:rFonts w:ascii="Arial"/>
                <w:spacing w:val="2"/>
              </w:rPr>
              <w:t xml:space="preserve"> </w:t>
            </w:r>
            <w:r>
              <w:rPr>
                <w:rFonts w:ascii="Arial"/>
                <w:spacing w:val="-1"/>
              </w:rPr>
              <w:t>Off</w:t>
            </w:r>
            <w:r>
              <w:rPr>
                <w:rFonts w:ascii="Arial"/>
                <w:spacing w:val="4"/>
              </w:rPr>
              <w:t xml:space="preserve"> </w:t>
            </w:r>
            <w:r>
              <w:rPr>
                <w:rFonts w:ascii="Arial"/>
                <w:spacing w:val="-1"/>
              </w:rPr>
              <w:t>Guarantee</w:t>
            </w:r>
            <w:r>
              <w:rPr>
                <w:rFonts w:ascii="Arial"/>
                <w:spacing w:val="37"/>
              </w:rPr>
              <w:t xml:space="preserve"> </w:t>
            </w:r>
            <w:r>
              <w:rPr>
                <w:rFonts w:ascii="Arial"/>
                <w:spacing w:val="-1"/>
              </w:rPr>
              <w:t>is</w:t>
            </w:r>
            <w:r>
              <w:rPr>
                <w:rFonts w:ascii="Arial"/>
                <w:spacing w:val="3"/>
              </w:rPr>
              <w:t xml:space="preserve"> </w:t>
            </w:r>
            <w:r>
              <w:rPr>
                <w:rFonts w:ascii="Arial"/>
                <w:spacing w:val="-1"/>
              </w:rPr>
              <w:t>required</w:t>
            </w:r>
            <w:r>
              <w:rPr>
                <w:rFonts w:ascii="Arial"/>
                <w:spacing w:val="3"/>
              </w:rPr>
              <w:t xml:space="preserve"> </w:t>
            </w:r>
            <w:r>
              <w:rPr>
                <w:rFonts w:ascii="Arial"/>
                <w:spacing w:val="-1"/>
              </w:rPr>
              <w:t>under</w:t>
            </w:r>
            <w:r>
              <w:rPr>
                <w:rFonts w:ascii="Arial"/>
                <w:spacing w:val="2"/>
              </w:rPr>
              <w:t xml:space="preserve"> </w:t>
            </w:r>
            <w:r>
              <w:rPr>
                <w:rFonts w:ascii="Arial"/>
                <w:spacing w:val="-1"/>
              </w:rPr>
              <w:t>this</w:t>
            </w:r>
            <w:r>
              <w:rPr>
                <w:rFonts w:ascii="Arial"/>
                <w:spacing w:val="3"/>
              </w:rPr>
              <w:t xml:space="preserve"> </w:t>
            </w:r>
            <w:r>
              <w:rPr>
                <w:rFonts w:ascii="Arial"/>
                <w:spacing w:val="-2"/>
              </w:rPr>
              <w:t>Call</w:t>
            </w:r>
            <w:r>
              <w:rPr>
                <w:rFonts w:ascii="Arial"/>
                <w:spacing w:val="2"/>
              </w:rPr>
              <w:t xml:space="preserve"> </w:t>
            </w:r>
            <w:r>
              <w:rPr>
                <w:rFonts w:ascii="Arial"/>
                <w:spacing w:val="-1"/>
              </w:rPr>
              <w:t>Off</w:t>
            </w:r>
            <w:r>
              <w:rPr>
                <w:rFonts w:ascii="Arial"/>
                <w:spacing w:val="4"/>
              </w:rPr>
              <w:t xml:space="preserve"> </w:t>
            </w:r>
            <w:r>
              <w:rPr>
                <w:rFonts w:ascii="Arial"/>
                <w:spacing w:val="-1"/>
              </w:rPr>
              <w:t>Contract,</w:t>
            </w:r>
            <w:r>
              <w:rPr>
                <w:rFonts w:ascii="Arial"/>
                <w:spacing w:val="6"/>
              </w:rPr>
              <w:t xml:space="preserve"> </w:t>
            </w:r>
            <w:r>
              <w:rPr>
                <w:rFonts w:ascii="Arial"/>
                <w:spacing w:val="-1"/>
              </w:rPr>
              <w:t>acceptable</w:t>
            </w:r>
            <w:r>
              <w:rPr>
                <w:rFonts w:ascii="Arial"/>
                <w:spacing w:val="3"/>
              </w:rPr>
              <w:t xml:space="preserve"> </w:t>
            </w:r>
            <w:r>
              <w:rPr>
                <w:rFonts w:ascii="Arial"/>
              </w:rPr>
              <w:t xml:space="preserve">to </w:t>
            </w:r>
            <w:r>
              <w:rPr>
                <w:rFonts w:ascii="Arial"/>
                <w:spacing w:val="-1"/>
              </w:rPr>
              <w:t>the</w:t>
            </w:r>
            <w:r>
              <w:rPr>
                <w:rFonts w:ascii="Arial"/>
                <w:spacing w:val="27"/>
              </w:rPr>
              <w:t xml:space="preserve"> </w:t>
            </w:r>
            <w:r>
              <w:rPr>
                <w:rFonts w:ascii="Arial"/>
                <w:spacing w:val="-1"/>
              </w:rPr>
              <w:t xml:space="preserve">Customer </w:t>
            </w:r>
            <w:r>
              <w:rPr>
                <w:rFonts w:ascii="Arial"/>
              </w:rPr>
              <w:t>to</w:t>
            </w:r>
            <w:r>
              <w:rPr>
                <w:rFonts w:ascii="Arial"/>
                <w:spacing w:val="-2"/>
              </w:rPr>
              <w:t xml:space="preserve"> </w:t>
            </w:r>
            <w:r>
              <w:rPr>
                <w:rFonts w:ascii="Arial"/>
                <w:spacing w:val="-1"/>
              </w:rPr>
              <w:t>give</w:t>
            </w:r>
            <w:r>
              <w:rPr>
                <w:rFonts w:ascii="Arial"/>
              </w:rPr>
              <w:t xml:space="preserve"> a </w:t>
            </w:r>
            <w:r>
              <w:rPr>
                <w:rFonts w:ascii="Arial"/>
                <w:spacing w:val="-2"/>
              </w:rPr>
              <w:t>Call</w:t>
            </w:r>
            <w:r>
              <w:rPr>
                <w:rFonts w:ascii="Arial"/>
                <w:spacing w:val="-3"/>
              </w:rPr>
              <w:t xml:space="preserve"> </w:t>
            </w:r>
            <w:r>
              <w:rPr>
                <w:rFonts w:ascii="Arial"/>
                <w:spacing w:val="-1"/>
              </w:rPr>
              <w:t>Off</w:t>
            </w:r>
            <w:r>
              <w:rPr>
                <w:rFonts w:ascii="Arial"/>
              </w:rPr>
              <w:t xml:space="preserve"> </w:t>
            </w:r>
            <w:r>
              <w:rPr>
                <w:rFonts w:ascii="Arial"/>
                <w:spacing w:val="-1"/>
              </w:rPr>
              <w:t>Guarantee;</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876"/>
              <w:rPr>
                <w:rFonts w:ascii="Arial" w:eastAsia="Arial" w:hAnsi="Arial" w:cs="Arial"/>
              </w:rPr>
            </w:pPr>
            <w:r>
              <w:rPr>
                <w:rFonts w:ascii="Arial"/>
                <w:b/>
                <w:spacing w:val="-1"/>
              </w:rPr>
              <w:t>"Call</w:t>
            </w:r>
            <w:r>
              <w:rPr>
                <w:rFonts w:ascii="Arial"/>
                <w:b/>
                <w:spacing w:val="-3"/>
              </w:rPr>
              <w:t xml:space="preserve"> </w:t>
            </w:r>
            <w:r>
              <w:rPr>
                <w:rFonts w:ascii="Arial"/>
                <w:b/>
                <w:spacing w:val="-1"/>
              </w:rPr>
              <w:t>Off Initial</w:t>
            </w:r>
            <w:r>
              <w:rPr>
                <w:rFonts w:ascii="Arial"/>
                <w:b/>
                <w:spacing w:val="29"/>
              </w:rPr>
              <w:t xml:space="preserve"> </w:t>
            </w:r>
            <w:r>
              <w:rPr>
                <w:rFonts w:ascii="Arial"/>
                <w:b/>
                <w:spacing w:val="-1"/>
              </w:rPr>
              <w:t>Period"</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25"/>
              </w:rPr>
              <w:t xml:space="preserve"> </w:t>
            </w:r>
            <w:r>
              <w:rPr>
                <w:rFonts w:ascii="Arial"/>
              </w:rPr>
              <w:t>the</w:t>
            </w:r>
            <w:r>
              <w:rPr>
                <w:rFonts w:ascii="Arial"/>
                <w:spacing w:val="27"/>
              </w:rPr>
              <w:t xml:space="preserve"> </w:t>
            </w:r>
            <w:r>
              <w:rPr>
                <w:rFonts w:ascii="Arial"/>
                <w:spacing w:val="-1"/>
              </w:rPr>
              <w:t>initial</w:t>
            </w:r>
            <w:r>
              <w:rPr>
                <w:rFonts w:ascii="Arial"/>
                <w:spacing w:val="26"/>
              </w:rPr>
              <w:t xml:space="preserve"> </w:t>
            </w:r>
            <w:r>
              <w:rPr>
                <w:rFonts w:ascii="Arial"/>
                <w:spacing w:val="-1"/>
              </w:rPr>
              <w:t>term</w:t>
            </w:r>
            <w:r>
              <w:rPr>
                <w:rFonts w:ascii="Arial"/>
                <w:spacing w:val="28"/>
              </w:rPr>
              <w:t xml:space="preserve"> </w:t>
            </w:r>
            <w:r>
              <w:rPr>
                <w:rFonts w:ascii="Arial"/>
                <w:spacing w:val="-2"/>
              </w:rPr>
              <w:t>of</w:t>
            </w:r>
            <w:r>
              <w:rPr>
                <w:rFonts w:ascii="Arial"/>
                <w:spacing w:val="28"/>
              </w:rPr>
              <w:t xml:space="preserve"> </w:t>
            </w:r>
            <w:r>
              <w:rPr>
                <w:rFonts w:ascii="Arial"/>
                <w:spacing w:val="-1"/>
              </w:rPr>
              <w:t>this</w:t>
            </w:r>
            <w:r>
              <w:rPr>
                <w:rFonts w:ascii="Arial"/>
                <w:spacing w:val="27"/>
              </w:rPr>
              <w:t xml:space="preserve"> </w:t>
            </w:r>
            <w:r>
              <w:rPr>
                <w:rFonts w:ascii="Arial"/>
                <w:spacing w:val="-2"/>
              </w:rPr>
              <w:t>Call</w:t>
            </w:r>
            <w:r>
              <w:rPr>
                <w:rFonts w:ascii="Arial"/>
                <w:spacing w:val="26"/>
              </w:rPr>
              <w:t xml:space="preserve"> </w:t>
            </w:r>
            <w:r>
              <w:rPr>
                <w:rFonts w:ascii="Arial"/>
                <w:spacing w:val="-1"/>
              </w:rPr>
              <w:t>Off</w:t>
            </w:r>
            <w:r>
              <w:rPr>
                <w:rFonts w:ascii="Arial"/>
                <w:spacing w:val="28"/>
              </w:rPr>
              <w:t xml:space="preserve"> </w:t>
            </w:r>
            <w:r>
              <w:rPr>
                <w:rFonts w:ascii="Arial"/>
                <w:spacing w:val="-1"/>
              </w:rPr>
              <w:t>Contract</w:t>
            </w:r>
            <w:r>
              <w:rPr>
                <w:rFonts w:ascii="Arial"/>
                <w:spacing w:val="24"/>
              </w:rPr>
              <w:t xml:space="preserve"> </w:t>
            </w:r>
            <w:r>
              <w:rPr>
                <w:rFonts w:ascii="Arial"/>
                <w:spacing w:val="-1"/>
              </w:rPr>
              <w:t>from</w:t>
            </w:r>
            <w:r>
              <w:rPr>
                <w:rFonts w:ascii="Arial"/>
                <w:spacing w:val="28"/>
              </w:rPr>
              <w:t xml:space="preserve"> </w:t>
            </w:r>
            <w:r>
              <w:rPr>
                <w:rFonts w:ascii="Arial"/>
                <w:spacing w:val="-1"/>
              </w:rPr>
              <w:t>the</w:t>
            </w:r>
            <w:r>
              <w:rPr>
                <w:rFonts w:ascii="Arial"/>
                <w:spacing w:val="31"/>
              </w:rPr>
              <w:t xml:space="preserve"> </w:t>
            </w:r>
            <w:r>
              <w:rPr>
                <w:rFonts w:ascii="Arial"/>
                <w:spacing w:val="-2"/>
              </w:rPr>
              <w:t>Call</w:t>
            </w:r>
            <w:r>
              <w:rPr>
                <w:rFonts w:ascii="Arial"/>
                <w:spacing w:val="52"/>
              </w:rPr>
              <w:t xml:space="preserve"> </w:t>
            </w:r>
            <w:r>
              <w:rPr>
                <w:rFonts w:ascii="Arial"/>
              </w:rPr>
              <w:t>Off</w:t>
            </w:r>
            <w:r>
              <w:rPr>
                <w:rFonts w:ascii="Arial"/>
                <w:spacing w:val="57"/>
              </w:rPr>
              <w:t xml:space="preserve"> </w:t>
            </w:r>
            <w:r>
              <w:rPr>
                <w:rFonts w:ascii="Arial"/>
                <w:spacing w:val="-2"/>
              </w:rPr>
              <w:t>Commencement</w:t>
            </w:r>
            <w:r>
              <w:rPr>
                <w:rFonts w:ascii="Arial"/>
                <w:spacing w:val="55"/>
              </w:rPr>
              <w:t xml:space="preserve"> </w:t>
            </w:r>
            <w:r>
              <w:rPr>
                <w:rFonts w:ascii="Arial"/>
                <w:spacing w:val="-1"/>
              </w:rPr>
              <w:t>Date</w:t>
            </w:r>
            <w:r>
              <w:rPr>
                <w:rFonts w:ascii="Arial"/>
                <w:spacing w:val="53"/>
              </w:rPr>
              <w:t xml:space="preserve"> </w:t>
            </w:r>
            <w:r>
              <w:rPr>
                <w:rFonts w:ascii="Arial"/>
              </w:rPr>
              <w:t>to</w:t>
            </w:r>
            <w:r>
              <w:rPr>
                <w:rFonts w:ascii="Arial"/>
                <w:spacing w:val="53"/>
              </w:rPr>
              <w:t xml:space="preserve"> </w:t>
            </w:r>
            <w:r>
              <w:rPr>
                <w:rFonts w:ascii="Arial"/>
              </w:rPr>
              <w:t>the</w:t>
            </w:r>
            <w:r>
              <w:rPr>
                <w:rFonts w:ascii="Arial"/>
                <w:spacing w:val="53"/>
              </w:rPr>
              <w:t xml:space="preserve"> </w:t>
            </w:r>
            <w:r>
              <w:rPr>
                <w:rFonts w:ascii="Arial"/>
                <w:spacing w:val="-1"/>
              </w:rPr>
              <w:t>end</w:t>
            </w:r>
            <w:r>
              <w:rPr>
                <w:rFonts w:ascii="Arial"/>
                <w:spacing w:val="54"/>
              </w:rPr>
              <w:t xml:space="preserve"> </w:t>
            </w:r>
            <w:r>
              <w:rPr>
                <w:rFonts w:ascii="Arial"/>
                <w:spacing w:val="-1"/>
              </w:rPr>
              <w:t>date</w:t>
            </w:r>
            <w:r>
              <w:rPr>
                <w:rFonts w:ascii="Arial"/>
                <w:spacing w:val="53"/>
              </w:rPr>
              <w:t xml:space="preserve"> </w:t>
            </w:r>
            <w:r>
              <w:rPr>
                <w:rFonts w:ascii="Arial"/>
                <w:spacing w:val="-1"/>
              </w:rPr>
              <w:t>of</w:t>
            </w:r>
            <w:r>
              <w:rPr>
                <w:rFonts w:ascii="Arial"/>
                <w:spacing w:val="54"/>
              </w:rPr>
              <w:t xml:space="preserve"> </w:t>
            </w:r>
            <w:r>
              <w:rPr>
                <w:rFonts w:ascii="Arial"/>
                <w:spacing w:val="-1"/>
              </w:rPr>
              <w:t>the</w:t>
            </w:r>
            <w:r>
              <w:rPr>
                <w:rFonts w:ascii="Arial"/>
                <w:spacing w:val="43"/>
              </w:rPr>
              <w:t xml:space="preserve"> </w:t>
            </w:r>
            <w:r>
              <w:rPr>
                <w:rFonts w:ascii="Arial"/>
                <w:spacing w:val="-1"/>
              </w:rPr>
              <w:t>initial</w:t>
            </w:r>
            <w:r>
              <w:rPr>
                <w:rFonts w:ascii="Arial"/>
              </w:rPr>
              <w:t xml:space="preserve"> term</w:t>
            </w:r>
            <w:r>
              <w:rPr>
                <w:rFonts w:ascii="Arial"/>
                <w:spacing w:val="-1"/>
              </w:rPr>
              <w:t xml:space="preserve"> stated</w:t>
            </w:r>
            <w:r>
              <w:rPr>
                <w:rFonts w:ascii="Arial"/>
                <w:spacing w:val="-2"/>
              </w:rPr>
              <w:t xml:space="preserve"> </w:t>
            </w:r>
            <w:r>
              <w:rPr>
                <w:rFonts w:ascii="Arial"/>
                <w:spacing w:val="-1"/>
              </w:rPr>
              <w:t>in</w:t>
            </w:r>
            <w:r>
              <w:rPr>
                <w:rFonts w:ascii="Arial"/>
              </w:rPr>
              <w:t xml:space="preserve"> the</w:t>
            </w:r>
            <w:r>
              <w:rPr>
                <w:rFonts w:ascii="Arial"/>
                <w:spacing w:val="-4"/>
              </w:rPr>
              <w:t xml:space="preserve"> </w:t>
            </w:r>
            <w:r>
              <w:rPr>
                <w:rFonts w:ascii="Arial"/>
                <w:spacing w:val="-1"/>
              </w:rPr>
              <w:t>Order</w:t>
            </w:r>
            <w:r>
              <w:rPr>
                <w:rFonts w:ascii="Arial"/>
                <w:spacing w:val="2"/>
              </w:rPr>
              <w:t xml:space="preserve"> </w:t>
            </w:r>
            <w:r>
              <w:rPr>
                <w:rFonts w:ascii="Arial"/>
                <w:spacing w:val="-2"/>
              </w:rPr>
              <w:t>Form;</w:t>
            </w:r>
          </w:p>
        </w:tc>
      </w:tr>
      <w:tr w:rsidR="008918FA" w:rsidTr="005D2B81">
        <w:trPr>
          <w:trHeight w:hRule="exact" w:val="38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
              </w:rPr>
              <w:t xml:space="preserve"> </w:t>
            </w:r>
            <w:r>
              <w:rPr>
                <w:rFonts w:ascii="Arial"/>
                <w:b/>
                <w:spacing w:val="-1"/>
              </w:rPr>
              <w:t>Schedule"</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rPr>
              <w:t>a</w:t>
            </w:r>
            <w:r>
              <w:rPr>
                <w:rFonts w:ascii="Arial"/>
                <w:spacing w:val="-2"/>
              </w:rPr>
              <w:t xml:space="preserve"> </w:t>
            </w:r>
            <w:r>
              <w:rPr>
                <w:rFonts w:ascii="Arial"/>
                <w:spacing w:val="-1"/>
              </w:rPr>
              <w:t>schedule</w:t>
            </w:r>
            <w:r>
              <w:rPr>
                <w:rFonts w:ascii="Arial"/>
                <w:spacing w:val="-2"/>
              </w:rPr>
              <w:t xml:space="preserve"> </w:t>
            </w:r>
            <w:r>
              <w:rPr>
                <w:rFonts w:ascii="Arial"/>
              </w:rPr>
              <w:t>to</w:t>
            </w:r>
            <w:r>
              <w:rPr>
                <w:rFonts w:ascii="Arial"/>
                <w:spacing w:val="-2"/>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Contract;</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"Call</w:t>
            </w:r>
            <w:r>
              <w:rPr>
                <w:rFonts w:ascii="Arial"/>
                <w:b/>
                <w:spacing w:val="-3"/>
              </w:rPr>
              <w:t xml:space="preserve"> </w:t>
            </w:r>
            <w:r>
              <w:rPr>
                <w:rFonts w:ascii="Arial"/>
                <w:b/>
                <w:spacing w:val="-1"/>
              </w:rPr>
              <w:t>Off</w:t>
            </w:r>
            <w:r>
              <w:rPr>
                <w:rFonts w:ascii="Arial"/>
                <w:b/>
                <w:spacing w:val="2"/>
              </w:rPr>
              <w:t xml:space="preserve"> </w:t>
            </w:r>
            <w:r>
              <w:rPr>
                <w:rFonts w:ascii="Arial"/>
                <w:b/>
                <w:spacing w:val="-1"/>
              </w:rPr>
              <w:t>Terms"</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2"/>
              </w:rPr>
              <w:t xml:space="preserve"> </w:t>
            </w:r>
            <w:r>
              <w:rPr>
                <w:rFonts w:ascii="Arial"/>
                <w:spacing w:val="-1"/>
              </w:rPr>
              <w:t>these</w:t>
            </w:r>
            <w:r>
              <w:rPr>
                <w:rFonts w:ascii="Arial"/>
                <w:spacing w:val="-2"/>
              </w:rPr>
              <w:t xml:space="preserve"> </w:t>
            </w:r>
            <w:r>
              <w:rPr>
                <w:rFonts w:ascii="Arial"/>
                <w:spacing w:val="-1"/>
              </w:rPr>
              <w:t>terms</w:t>
            </w:r>
            <w:r>
              <w:rPr>
                <w:rFonts w:ascii="Arial"/>
                <w:spacing w:val="-2"/>
              </w:rPr>
              <w:t xml:space="preserve"> </w:t>
            </w:r>
            <w:r>
              <w:rPr>
                <w:rFonts w:ascii="Arial"/>
                <w:spacing w:val="-1"/>
              </w:rPr>
              <w:t>and</w:t>
            </w:r>
            <w:r>
              <w:rPr>
                <w:rFonts w:ascii="Arial"/>
                <w:spacing w:val="-2"/>
              </w:rPr>
              <w:t xml:space="preserve"> </w:t>
            </w:r>
            <w:r>
              <w:rPr>
                <w:rFonts w:ascii="Arial"/>
                <w:spacing w:val="-1"/>
              </w:rPr>
              <w:t>conditions</w:t>
            </w:r>
            <w:r>
              <w:rPr>
                <w:rFonts w:ascii="Arial"/>
                <w:spacing w:val="1"/>
              </w:rPr>
              <w:t xml:space="preserve"> </w:t>
            </w:r>
            <w:r>
              <w:rPr>
                <w:rFonts w:ascii="Arial"/>
                <w:spacing w:val="-1"/>
              </w:rPr>
              <w:t>entered</w:t>
            </w:r>
            <w:r>
              <w:rPr>
                <w:rFonts w:ascii="Arial"/>
              </w:rPr>
              <w:t xml:space="preserve"> </w:t>
            </w:r>
            <w:r>
              <w:rPr>
                <w:rFonts w:ascii="Arial"/>
                <w:spacing w:val="-1"/>
              </w:rPr>
              <w:t>by</w:t>
            </w:r>
            <w:r>
              <w:rPr>
                <w:rFonts w:ascii="Arial"/>
                <w:spacing w:val="-2"/>
              </w:rPr>
              <w:t xml:space="preserve"> </w:t>
            </w:r>
            <w:r>
              <w:rPr>
                <w:rFonts w:ascii="Arial"/>
                <w:spacing w:val="-1"/>
              </w:rPr>
              <w:t>the</w:t>
            </w:r>
            <w:r>
              <w:rPr>
                <w:rFonts w:ascii="Arial"/>
              </w:rPr>
              <w:t xml:space="preserve"> </w:t>
            </w:r>
            <w:r>
              <w:rPr>
                <w:rFonts w:ascii="Arial"/>
                <w:spacing w:val="-1"/>
              </w:rPr>
              <w:t>Parties</w:t>
            </w:r>
            <w:r>
              <w:rPr>
                <w:rFonts w:ascii="Arial"/>
                <w:spacing w:val="33"/>
              </w:rPr>
              <w:t xml:space="preserve"> </w:t>
            </w:r>
            <w:r>
              <w:rPr>
                <w:rFonts w:ascii="Arial"/>
                <w:spacing w:val="-2"/>
              </w:rPr>
              <w:t>(excluding</w:t>
            </w:r>
            <w:r>
              <w:rPr>
                <w:rFonts w:ascii="Arial"/>
                <w:spacing w:val="15"/>
              </w:rPr>
              <w:t xml:space="preserve"> </w:t>
            </w:r>
            <w:r>
              <w:rPr>
                <w:rFonts w:ascii="Arial"/>
              </w:rPr>
              <w:t>the</w:t>
            </w:r>
            <w:r>
              <w:rPr>
                <w:rFonts w:ascii="Arial"/>
                <w:spacing w:val="10"/>
              </w:rPr>
              <w:t xml:space="preserve"> </w:t>
            </w:r>
            <w:r>
              <w:rPr>
                <w:rFonts w:ascii="Arial"/>
                <w:spacing w:val="-1"/>
              </w:rPr>
              <w:t>Order</w:t>
            </w:r>
            <w:r>
              <w:rPr>
                <w:rFonts w:ascii="Arial"/>
                <w:spacing w:val="14"/>
              </w:rPr>
              <w:t xml:space="preserve"> </w:t>
            </w:r>
            <w:r>
              <w:rPr>
                <w:rFonts w:ascii="Arial"/>
                <w:spacing w:val="-2"/>
              </w:rPr>
              <w:t>Form)</w:t>
            </w:r>
            <w:r>
              <w:rPr>
                <w:rFonts w:ascii="Arial"/>
                <w:spacing w:val="14"/>
              </w:rPr>
              <w:t xml:space="preserve"> </w:t>
            </w:r>
            <w:r>
              <w:rPr>
                <w:rFonts w:ascii="Arial"/>
                <w:spacing w:val="-1"/>
              </w:rPr>
              <w:t>in</w:t>
            </w:r>
            <w:r>
              <w:rPr>
                <w:rFonts w:ascii="Arial"/>
                <w:spacing w:val="10"/>
              </w:rPr>
              <w:t xml:space="preserve"> </w:t>
            </w:r>
            <w:r>
              <w:rPr>
                <w:rFonts w:ascii="Arial"/>
                <w:spacing w:val="-1"/>
              </w:rPr>
              <w:t>respect</w:t>
            </w:r>
            <w:r>
              <w:rPr>
                <w:rFonts w:ascii="Arial"/>
                <w:spacing w:val="14"/>
              </w:rPr>
              <w:t xml:space="preserve"> </w:t>
            </w:r>
            <w:r>
              <w:rPr>
                <w:rFonts w:ascii="Arial"/>
                <w:spacing w:val="-2"/>
              </w:rPr>
              <w:t>of</w:t>
            </w:r>
            <w:r>
              <w:rPr>
                <w:rFonts w:ascii="Arial"/>
                <w:spacing w:val="14"/>
              </w:rPr>
              <w:t xml:space="preserve"> </w:t>
            </w:r>
            <w:r>
              <w:rPr>
                <w:rFonts w:ascii="Arial"/>
              </w:rPr>
              <w:t>the</w:t>
            </w:r>
            <w:r>
              <w:rPr>
                <w:rFonts w:ascii="Arial"/>
                <w:spacing w:val="10"/>
              </w:rPr>
              <w:t xml:space="preserve"> </w:t>
            </w:r>
            <w:r>
              <w:rPr>
                <w:rFonts w:ascii="Arial"/>
                <w:spacing w:val="-2"/>
              </w:rPr>
              <w:t>provision</w:t>
            </w:r>
            <w:r>
              <w:rPr>
                <w:rFonts w:ascii="Arial"/>
                <w:spacing w:val="12"/>
              </w:rPr>
              <w:t xml:space="preserve"> </w:t>
            </w:r>
            <w:r>
              <w:rPr>
                <w:rFonts w:ascii="Arial"/>
                <w:spacing w:val="-2"/>
              </w:rPr>
              <w:t>of</w:t>
            </w:r>
            <w:r>
              <w:rPr>
                <w:rFonts w:ascii="Arial"/>
                <w:spacing w:val="53"/>
              </w:rPr>
              <w:t xml:space="preserve"> </w:t>
            </w:r>
            <w:r>
              <w:rPr>
                <w:rFonts w:ascii="Arial"/>
              </w:rPr>
              <w:t>the</w:t>
            </w:r>
            <w:r>
              <w:rPr>
                <w:rFonts w:ascii="Arial"/>
                <w:spacing w:val="51"/>
              </w:rPr>
              <w:t xml:space="preserve"> </w:t>
            </w:r>
            <w:r>
              <w:rPr>
                <w:rFonts w:ascii="Arial"/>
                <w:spacing w:val="-1"/>
              </w:rPr>
              <w:t>Goods</w:t>
            </w:r>
            <w:r>
              <w:rPr>
                <w:rFonts w:ascii="Arial"/>
                <w:spacing w:val="51"/>
              </w:rPr>
              <w:t xml:space="preserve"> </w:t>
            </w:r>
            <w:r>
              <w:rPr>
                <w:rFonts w:ascii="Arial"/>
                <w:spacing w:val="-1"/>
              </w:rPr>
              <w:t>and/or</w:t>
            </w:r>
            <w:r>
              <w:rPr>
                <w:rFonts w:ascii="Arial"/>
                <w:spacing w:val="52"/>
              </w:rPr>
              <w:t xml:space="preserve"> </w:t>
            </w:r>
            <w:r>
              <w:rPr>
                <w:rFonts w:ascii="Arial"/>
                <w:spacing w:val="-1"/>
              </w:rPr>
              <w:t>Services,</w:t>
            </w:r>
            <w:r>
              <w:rPr>
                <w:rFonts w:ascii="Arial"/>
                <w:spacing w:val="52"/>
              </w:rPr>
              <w:t xml:space="preserve"> </w:t>
            </w:r>
            <w:r>
              <w:rPr>
                <w:rFonts w:ascii="Arial"/>
                <w:spacing w:val="-1"/>
              </w:rPr>
              <w:t>together</w:t>
            </w:r>
            <w:r>
              <w:rPr>
                <w:rFonts w:ascii="Arial"/>
                <w:spacing w:val="52"/>
              </w:rPr>
              <w:t xml:space="preserve"> </w:t>
            </w:r>
            <w:r>
              <w:rPr>
                <w:rFonts w:ascii="Arial"/>
                <w:spacing w:val="-2"/>
              </w:rPr>
              <w:t>with</w:t>
            </w:r>
            <w:r>
              <w:rPr>
                <w:rFonts w:ascii="Arial"/>
                <w:spacing w:val="51"/>
              </w:rPr>
              <w:t xml:space="preserve"> </w:t>
            </w:r>
            <w:r>
              <w:rPr>
                <w:rFonts w:ascii="Arial"/>
              </w:rPr>
              <w:t>the</w:t>
            </w:r>
            <w:r>
              <w:rPr>
                <w:rFonts w:ascii="Arial"/>
                <w:spacing w:val="52"/>
              </w:rPr>
              <w:t xml:space="preserve"> </w:t>
            </w:r>
            <w:r>
              <w:rPr>
                <w:rFonts w:ascii="Arial"/>
                <w:spacing w:val="-2"/>
              </w:rPr>
              <w:t>Call</w:t>
            </w:r>
            <w:r>
              <w:rPr>
                <w:rFonts w:ascii="Arial"/>
                <w:spacing w:val="50"/>
              </w:rPr>
              <w:t xml:space="preserve"> </w:t>
            </w:r>
            <w:r>
              <w:rPr>
                <w:rFonts w:ascii="Arial"/>
              </w:rPr>
              <w:t>Off</w:t>
            </w:r>
            <w:r>
              <w:rPr>
                <w:rFonts w:ascii="Arial"/>
                <w:spacing w:val="32"/>
              </w:rPr>
              <w:t xml:space="preserve"> </w:t>
            </w:r>
            <w:r>
              <w:rPr>
                <w:rFonts w:ascii="Arial"/>
                <w:spacing w:val="-1"/>
              </w:rPr>
              <w:t>Schedules</w:t>
            </w:r>
            <w:r>
              <w:rPr>
                <w:rFonts w:ascii="Arial"/>
                <w:spacing w:val="1"/>
              </w:rPr>
              <w:t xml:space="preserve"> </w:t>
            </w:r>
            <w:r>
              <w:rPr>
                <w:rFonts w:ascii="Arial"/>
                <w:spacing w:val="-1"/>
              </w:rPr>
              <w:t>hereto;</w:t>
            </w:r>
          </w:p>
        </w:tc>
      </w:tr>
      <w:tr w:rsidR="008918FA" w:rsidTr="005D2B81">
        <w:trPr>
          <w:trHeight w:hRule="exact" w:val="3398"/>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178"/>
              <w:rPr>
                <w:rFonts w:ascii="Arial" w:eastAsia="Arial" w:hAnsi="Arial" w:cs="Arial"/>
              </w:rPr>
            </w:pPr>
            <w:r>
              <w:rPr>
                <w:rFonts w:ascii="Arial"/>
                <w:b/>
                <w:spacing w:val="-1"/>
              </w:rPr>
              <w:t>"Central</w:t>
            </w:r>
            <w:r>
              <w:rPr>
                <w:rFonts w:ascii="Arial"/>
                <w:b/>
              </w:rPr>
              <w:t xml:space="preserve"> </w:t>
            </w:r>
            <w:r>
              <w:rPr>
                <w:rFonts w:ascii="Arial"/>
                <w:b/>
                <w:spacing w:val="-1"/>
              </w:rPr>
              <w:t>Government</w:t>
            </w:r>
            <w:r>
              <w:rPr>
                <w:rFonts w:ascii="Arial"/>
                <w:b/>
                <w:spacing w:val="23"/>
              </w:rPr>
              <w:t xml:space="preserve"> </w:t>
            </w:r>
            <w:r>
              <w:rPr>
                <w:rFonts w:ascii="Arial"/>
                <w:b/>
                <w:spacing w:val="-2"/>
              </w:rPr>
              <w:t>Body"</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43"/>
              </w:rPr>
              <w:t xml:space="preserve"> </w:t>
            </w:r>
            <w:r>
              <w:rPr>
                <w:rFonts w:ascii="Arial"/>
              </w:rPr>
              <w:t>a</w:t>
            </w:r>
            <w:r>
              <w:rPr>
                <w:rFonts w:ascii="Arial"/>
                <w:spacing w:val="40"/>
              </w:rPr>
              <w:t xml:space="preserve"> </w:t>
            </w:r>
            <w:r>
              <w:rPr>
                <w:rFonts w:ascii="Arial"/>
                <w:spacing w:val="-1"/>
              </w:rPr>
              <w:t>body</w:t>
            </w:r>
            <w:r>
              <w:rPr>
                <w:rFonts w:ascii="Arial"/>
                <w:spacing w:val="40"/>
              </w:rPr>
              <w:t xml:space="preserve"> </w:t>
            </w:r>
            <w:r>
              <w:rPr>
                <w:rFonts w:ascii="Arial"/>
                <w:spacing w:val="-1"/>
              </w:rPr>
              <w:t>listed</w:t>
            </w:r>
            <w:r>
              <w:rPr>
                <w:rFonts w:ascii="Arial"/>
                <w:spacing w:val="40"/>
              </w:rPr>
              <w:t xml:space="preserve"> </w:t>
            </w:r>
            <w:r>
              <w:rPr>
                <w:rFonts w:ascii="Arial"/>
                <w:spacing w:val="-1"/>
              </w:rPr>
              <w:t>in</w:t>
            </w:r>
            <w:r>
              <w:rPr>
                <w:rFonts w:ascii="Arial"/>
                <w:spacing w:val="42"/>
              </w:rPr>
              <w:t xml:space="preserve"> </w:t>
            </w:r>
            <w:r>
              <w:rPr>
                <w:rFonts w:ascii="Arial"/>
                <w:spacing w:val="-1"/>
              </w:rPr>
              <w:t>one</w:t>
            </w:r>
            <w:r>
              <w:rPr>
                <w:rFonts w:ascii="Arial"/>
                <w:spacing w:val="42"/>
              </w:rPr>
              <w:t xml:space="preserve"> </w:t>
            </w:r>
            <w:r>
              <w:rPr>
                <w:rFonts w:ascii="Arial"/>
                <w:spacing w:val="-2"/>
              </w:rPr>
              <w:t>of</w:t>
            </w:r>
            <w:r>
              <w:rPr>
                <w:rFonts w:ascii="Arial"/>
                <w:spacing w:val="45"/>
              </w:rPr>
              <w:t xml:space="preserve"> </w:t>
            </w:r>
            <w:r>
              <w:rPr>
                <w:rFonts w:ascii="Arial"/>
              </w:rPr>
              <w:t>the</w:t>
            </w:r>
            <w:r>
              <w:rPr>
                <w:rFonts w:ascii="Arial"/>
                <w:spacing w:val="40"/>
              </w:rPr>
              <w:t xml:space="preserve"> </w:t>
            </w:r>
            <w:r>
              <w:rPr>
                <w:rFonts w:ascii="Arial"/>
                <w:spacing w:val="-1"/>
              </w:rPr>
              <w:t>following</w:t>
            </w:r>
            <w:r>
              <w:rPr>
                <w:rFonts w:ascii="Arial"/>
                <w:spacing w:val="42"/>
              </w:rPr>
              <w:t xml:space="preserve"> </w:t>
            </w:r>
            <w:r>
              <w:rPr>
                <w:rFonts w:ascii="Arial"/>
                <w:spacing w:val="-1"/>
              </w:rPr>
              <w:t>sub-</w:t>
            </w:r>
            <w:r>
              <w:rPr>
                <w:rFonts w:ascii="Arial"/>
                <w:spacing w:val="30"/>
              </w:rPr>
              <w:t xml:space="preserve"> </w:t>
            </w:r>
            <w:r>
              <w:rPr>
                <w:rFonts w:ascii="Arial"/>
                <w:spacing w:val="-1"/>
              </w:rPr>
              <w:t>categories</w:t>
            </w:r>
            <w:r>
              <w:rPr>
                <w:rFonts w:ascii="Arial"/>
                <w:spacing w:val="56"/>
              </w:rPr>
              <w:t xml:space="preserve"> </w:t>
            </w:r>
            <w:r>
              <w:rPr>
                <w:rFonts w:ascii="Arial"/>
                <w:spacing w:val="-2"/>
              </w:rPr>
              <w:t>of</w:t>
            </w:r>
            <w:r>
              <w:rPr>
                <w:rFonts w:ascii="Arial"/>
                <w:spacing w:val="59"/>
              </w:rPr>
              <w:t xml:space="preserve"> </w:t>
            </w:r>
            <w:r>
              <w:rPr>
                <w:rFonts w:ascii="Arial"/>
              </w:rPr>
              <w:t>the</w:t>
            </w:r>
            <w:r>
              <w:rPr>
                <w:rFonts w:ascii="Arial"/>
                <w:spacing w:val="55"/>
              </w:rPr>
              <w:t xml:space="preserve"> </w:t>
            </w:r>
            <w:r>
              <w:rPr>
                <w:rFonts w:ascii="Arial"/>
                <w:spacing w:val="-2"/>
              </w:rPr>
              <w:t>Central</w:t>
            </w:r>
            <w:r>
              <w:rPr>
                <w:rFonts w:ascii="Arial"/>
                <w:spacing w:val="55"/>
              </w:rPr>
              <w:t xml:space="preserve"> </w:t>
            </w:r>
            <w:r>
              <w:rPr>
                <w:rFonts w:ascii="Arial"/>
                <w:spacing w:val="-1"/>
              </w:rPr>
              <w:t>Government</w:t>
            </w:r>
            <w:r>
              <w:rPr>
                <w:rFonts w:ascii="Arial"/>
                <w:spacing w:val="57"/>
              </w:rPr>
              <w:t xml:space="preserve"> </w:t>
            </w:r>
            <w:r>
              <w:rPr>
                <w:rFonts w:ascii="Arial"/>
                <w:spacing w:val="-1"/>
              </w:rPr>
              <w:t>classification</w:t>
            </w:r>
            <w:r>
              <w:rPr>
                <w:rFonts w:ascii="Arial"/>
                <w:spacing w:val="55"/>
              </w:rPr>
              <w:t xml:space="preserve"> </w:t>
            </w:r>
            <w:r>
              <w:rPr>
                <w:rFonts w:ascii="Arial"/>
                <w:spacing w:val="-2"/>
              </w:rPr>
              <w:t>of</w:t>
            </w:r>
            <w:r>
              <w:rPr>
                <w:rFonts w:ascii="Arial"/>
                <w:spacing w:val="39"/>
              </w:rPr>
              <w:t xml:space="preserve"> </w:t>
            </w:r>
            <w:r>
              <w:rPr>
                <w:rFonts w:ascii="Arial"/>
              </w:rPr>
              <w:t>the</w:t>
            </w:r>
            <w:r>
              <w:rPr>
                <w:rFonts w:ascii="Arial"/>
                <w:spacing w:val="15"/>
              </w:rPr>
              <w:t xml:space="preserve"> </w:t>
            </w:r>
            <w:r>
              <w:rPr>
                <w:rFonts w:ascii="Arial"/>
                <w:spacing w:val="-2"/>
              </w:rPr>
              <w:t>Public</w:t>
            </w:r>
            <w:r>
              <w:rPr>
                <w:rFonts w:ascii="Arial"/>
                <w:spacing w:val="15"/>
              </w:rPr>
              <w:t xml:space="preserve"> </w:t>
            </w:r>
            <w:r>
              <w:rPr>
                <w:rFonts w:ascii="Arial"/>
                <w:spacing w:val="-1"/>
              </w:rPr>
              <w:t>Sector</w:t>
            </w:r>
            <w:r>
              <w:rPr>
                <w:rFonts w:ascii="Arial"/>
                <w:spacing w:val="16"/>
              </w:rPr>
              <w:t xml:space="preserve"> </w:t>
            </w:r>
            <w:r>
              <w:rPr>
                <w:rFonts w:ascii="Arial"/>
                <w:spacing w:val="-1"/>
              </w:rPr>
              <w:t>Classification</w:t>
            </w:r>
            <w:r>
              <w:rPr>
                <w:rFonts w:ascii="Arial"/>
                <w:spacing w:val="15"/>
              </w:rPr>
              <w:t xml:space="preserve"> </w:t>
            </w:r>
            <w:r>
              <w:rPr>
                <w:rFonts w:ascii="Arial"/>
                <w:spacing w:val="-1"/>
              </w:rPr>
              <w:t>Guide,</w:t>
            </w:r>
            <w:r>
              <w:rPr>
                <w:rFonts w:ascii="Arial"/>
                <w:spacing w:val="16"/>
              </w:rPr>
              <w:t xml:space="preserve"> </w:t>
            </w:r>
            <w:r>
              <w:rPr>
                <w:rFonts w:ascii="Arial"/>
                <w:spacing w:val="-1"/>
              </w:rPr>
              <w:t>as</w:t>
            </w:r>
            <w:r>
              <w:rPr>
                <w:rFonts w:ascii="Arial"/>
                <w:spacing w:val="15"/>
              </w:rPr>
              <w:t xml:space="preserve"> </w:t>
            </w:r>
            <w:r>
              <w:rPr>
                <w:rFonts w:ascii="Arial"/>
                <w:spacing w:val="-1"/>
              </w:rPr>
              <w:t>published</w:t>
            </w:r>
            <w:r>
              <w:rPr>
                <w:rFonts w:ascii="Arial"/>
                <w:spacing w:val="15"/>
              </w:rPr>
              <w:t xml:space="preserve"> </w:t>
            </w:r>
            <w:r>
              <w:rPr>
                <w:rFonts w:ascii="Arial"/>
                <w:spacing w:val="-1"/>
              </w:rPr>
              <w:t>and</w:t>
            </w:r>
            <w:r>
              <w:rPr>
                <w:rFonts w:ascii="Arial"/>
                <w:spacing w:val="26"/>
              </w:rPr>
              <w:t xml:space="preserve"> </w:t>
            </w:r>
            <w:r>
              <w:rPr>
                <w:rFonts w:ascii="Arial"/>
                <w:spacing w:val="-1"/>
              </w:rPr>
              <w:t>amended</w:t>
            </w:r>
            <w:r>
              <w:rPr>
                <w:rFonts w:ascii="Arial"/>
                <w:spacing w:val="48"/>
              </w:rPr>
              <w:t xml:space="preserve"> </w:t>
            </w:r>
            <w:r>
              <w:rPr>
                <w:rFonts w:ascii="Arial"/>
              </w:rPr>
              <w:t>from</w:t>
            </w:r>
            <w:r>
              <w:rPr>
                <w:rFonts w:ascii="Arial"/>
                <w:spacing w:val="49"/>
              </w:rPr>
              <w:t xml:space="preserve"> </w:t>
            </w:r>
            <w:r>
              <w:rPr>
                <w:rFonts w:ascii="Arial"/>
                <w:spacing w:val="-1"/>
              </w:rPr>
              <w:t>time</w:t>
            </w:r>
            <w:r>
              <w:rPr>
                <w:rFonts w:ascii="Arial"/>
                <w:spacing w:val="51"/>
              </w:rPr>
              <w:t xml:space="preserve"> </w:t>
            </w:r>
            <w:r>
              <w:rPr>
                <w:rFonts w:ascii="Arial"/>
              </w:rPr>
              <w:t>to</w:t>
            </w:r>
            <w:r>
              <w:rPr>
                <w:rFonts w:ascii="Arial"/>
                <w:spacing w:val="48"/>
              </w:rPr>
              <w:t xml:space="preserve"> </w:t>
            </w:r>
            <w:r>
              <w:rPr>
                <w:rFonts w:ascii="Arial"/>
                <w:spacing w:val="-1"/>
              </w:rPr>
              <w:t>time</w:t>
            </w:r>
            <w:r>
              <w:rPr>
                <w:rFonts w:ascii="Arial"/>
                <w:spacing w:val="51"/>
              </w:rPr>
              <w:t xml:space="preserve"> </w:t>
            </w:r>
            <w:r>
              <w:rPr>
                <w:rFonts w:ascii="Arial"/>
                <w:spacing w:val="-1"/>
              </w:rPr>
              <w:t>by</w:t>
            </w:r>
            <w:r>
              <w:rPr>
                <w:rFonts w:ascii="Arial"/>
                <w:spacing w:val="49"/>
              </w:rPr>
              <w:t xml:space="preserve"> </w:t>
            </w:r>
            <w:r>
              <w:rPr>
                <w:rFonts w:ascii="Arial"/>
              </w:rPr>
              <w:t>the</w:t>
            </w:r>
            <w:r>
              <w:rPr>
                <w:rFonts w:ascii="Arial"/>
                <w:spacing w:val="52"/>
              </w:rPr>
              <w:t xml:space="preserve"> </w:t>
            </w:r>
            <w:r>
              <w:rPr>
                <w:rFonts w:ascii="Arial"/>
                <w:spacing w:val="-1"/>
              </w:rPr>
              <w:t>Office</w:t>
            </w:r>
            <w:r>
              <w:rPr>
                <w:rFonts w:ascii="Arial"/>
                <w:spacing w:val="49"/>
              </w:rPr>
              <w:t xml:space="preserve"> </w:t>
            </w:r>
            <w:r>
              <w:rPr>
                <w:rFonts w:ascii="Arial"/>
              </w:rPr>
              <w:t>for</w:t>
            </w:r>
            <w:r>
              <w:rPr>
                <w:rFonts w:ascii="Arial"/>
                <w:spacing w:val="52"/>
              </w:rPr>
              <w:t xml:space="preserve"> </w:t>
            </w:r>
            <w:r>
              <w:rPr>
                <w:rFonts w:ascii="Arial"/>
                <w:spacing w:val="-1"/>
              </w:rPr>
              <w:t>National</w:t>
            </w:r>
            <w:r>
              <w:rPr>
                <w:rFonts w:ascii="Arial"/>
                <w:spacing w:val="26"/>
              </w:rPr>
              <w:t xml:space="preserve"> </w:t>
            </w:r>
            <w:r>
              <w:rPr>
                <w:rFonts w:ascii="Arial"/>
                <w:spacing w:val="-1"/>
              </w:rPr>
              <w:t>Statistics:</w:t>
            </w:r>
          </w:p>
          <w:p w:rsidR="008918FA" w:rsidRDefault="008918FA" w:rsidP="005D2B81">
            <w:pPr>
              <w:pStyle w:val="ListParagraph"/>
              <w:numPr>
                <w:ilvl w:val="0"/>
                <w:numId w:val="56"/>
              </w:numPr>
              <w:tabs>
                <w:tab w:val="left" w:pos="820"/>
              </w:tabs>
              <w:spacing w:before="121"/>
              <w:ind w:hanging="544"/>
              <w:jc w:val="both"/>
              <w:rPr>
                <w:rFonts w:ascii="Arial" w:eastAsia="Arial" w:hAnsi="Arial" w:cs="Arial"/>
              </w:rPr>
            </w:pPr>
            <w:r>
              <w:rPr>
                <w:rFonts w:ascii="Arial"/>
                <w:spacing w:val="-1"/>
              </w:rPr>
              <w:t>Government</w:t>
            </w:r>
            <w:r>
              <w:rPr>
                <w:rFonts w:ascii="Arial"/>
                <w:spacing w:val="2"/>
              </w:rPr>
              <w:t xml:space="preserve"> </w:t>
            </w:r>
            <w:r>
              <w:rPr>
                <w:rFonts w:ascii="Arial"/>
                <w:spacing w:val="-2"/>
              </w:rPr>
              <w:t>Department;</w:t>
            </w:r>
          </w:p>
          <w:p w:rsidR="008918FA" w:rsidRDefault="008918FA" w:rsidP="005D2B81">
            <w:pPr>
              <w:pStyle w:val="ListParagraph"/>
              <w:numPr>
                <w:ilvl w:val="0"/>
                <w:numId w:val="56"/>
              </w:numPr>
              <w:tabs>
                <w:tab w:val="left" w:pos="820"/>
              </w:tabs>
              <w:spacing w:before="119"/>
              <w:ind w:right="100" w:hanging="544"/>
              <w:jc w:val="both"/>
              <w:rPr>
                <w:rFonts w:ascii="Arial" w:eastAsia="Arial" w:hAnsi="Arial" w:cs="Arial"/>
              </w:rPr>
            </w:pPr>
            <w:r>
              <w:rPr>
                <w:rFonts w:ascii="Arial"/>
                <w:spacing w:val="-1"/>
              </w:rPr>
              <w:t>Non-Departmental</w:t>
            </w:r>
            <w:r>
              <w:rPr>
                <w:rFonts w:ascii="Arial"/>
                <w:spacing w:val="57"/>
              </w:rPr>
              <w:t xml:space="preserve"> </w:t>
            </w:r>
            <w:r>
              <w:rPr>
                <w:rFonts w:ascii="Arial"/>
                <w:spacing w:val="-2"/>
              </w:rPr>
              <w:t>Public</w:t>
            </w:r>
            <w:r>
              <w:rPr>
                <w:rFonts w:ascii="Arial"/>
                <w:spacing w:val="58"/>
              </w:rPr>
              <w:t xml:space="preserve"> </w:t>
            </w:r>
            <w:r>
              <w:rPr>
                <w:rFonts w:ascii="Arial"/>
              </w:rPr>
              <w:t>Body</w:t>
            </w:r>
            <w:r>
              <w:rPr>
                <w:rFonts w:ascii="Arial"/>
                <w:spacing w:val="56"/>
              </w:rPr>
              <w:t xml:space="preserve"> </w:t>
            </w:r>
            <w:r>
              <w:rPr>
                <w:rFonts w:ascii="Arial"/>
                <w:spacing w:val="-1"/>
              </w:rPr>
              <w:t>or</w:t>
            </w:r>
            <w:r>
              <w:rPr>
                <w:rFonts w:ascii="Arial"/>
                <w:spacing w:val="59"/>
              </w:rPr>
              <w:t xml:space="preserve"> </w:t>
            </w:r>
            <w:r>
              <w:rPr>
                <w:rFonts w:ascii="Arial"/>
                <w:spacing w:val="-1"/>
              </w:rPr>
              <w:t>Assembly</w:t>
            </w:r>
            <w:r>
              <w:rPr>
                <w:rFonts w:ascii="Arial"/>
                <w:spacing w:val="28"/>
              </w:rPr>
              <w:t xml:space="preserve"> </w:t>
            </w:r>
            <w:r>
              <w:rPr>
                <w:rFonts w:ascii="Arial"/>
                <w:spacing w:val="-1"/>
              </w:rPr>
              <w:t>Sponsored</w:t>
            </w:r>
            <w:r>
              <w:rPr>
                <w:rFonts w:ascii="Arial"/>
                <w:spacing w:val="19"/>
              </w:rPr>
              <w:t xml:space="preserve"> </w:t>
            </w:r>
            <w:r>
              <w:rPr>
                <w:rFonts w:ascii="Arial"/>
                <w:spacing w:val="-2"/>
              </w:rPr>
              <w:t>Public</w:t>
            </w:r>
            <w:r>
              <w:rPr>
                <w:rFonts w:ascii="Arial"/>
                <w:spacing w:val="19"/>
              </w:rPr>
              <w:t xml:space="preserve"> </w:t>
            </w:r>
            <w:r>
              <w:rPr>
                <w:rFonts w:ascii="Arial"/>
              </w:rPr>
              <w:t>Body</w:t>
            </w:r>
            <w:r>
              <w:rPr>
                <w:rFonts w:ascii="Arial"/>
                <w:spacing w:val="19"/>
              </w:rPr>
              <w:t xml:space="preserve"> </w:t>
            </w:r>
            <w:r>
              <w:rPr>
                <w:rFonts w:ascii="Arial"/>
                <w:spacing w:val="-2"/>
              </w:rPr>
              <w:t>(advisory,</w:t>
            </w:r>
            <w:r>
              <w:rPr>
                <w:rFonts w:ascii="Arial"/>
                <w:spacing w:val="20"/>
              </w:rPr>
              <w:t xml:space="preserve"> </w:t>
            </w:r>
            <w:r>
              <w:rPr>
                <w:rFonts w:ascii="Arial"/>
                <w:spacing w:val="-1"/>
              </w:rPr>
              <w:t>executive,</w:t>
            </w:r>
            <w:r>
              <w:rPr>
                <w:rFonts w:ascii="Arial"/>
                <w:spacing w:val="22"/>
              </w:rPr>
              <w:t xml:space="preserve"> </w:t>
            </w:r>
            <w:r>
              <w:rPr>
                <w:rFonts w:ascii="Arial"/>
                <w:spacing w:val="-1"/>
              </w:rPr>
              <w:t>or</w:t>
            </w:r>
            <w:r>
              <w:rPr>
                <w:rFonts w:ascii="Arial"/>
                <w:spacing w:val="38"/>
              </w:rPr>
              <w:t xml:space="preserve"> </w:t>
            </w:r>
            <w:r>
              <w:rPr>
                <w:rFonts w:ascii="Arial"/>
                <w:spacing w:val="-1"/>
              </w:rPr>
              <w:t>tribunal);</w:t>
            </w:r>
          </w:p>
          <w:p w:rsidR="008918FA" w:rsidRDefault="008918FA" w:rsidP="005D2B81">
            <w:pPr>
              <w:pStyle w:val="ListParagraph"/>
              <w:numPr>
                <w:ilvl w:val="0"/>
                <w:numId w:val="56"/>
              </w:numPr>
              <w:tabs>
                <w:tab w:val="left" w:pos="820"/>
              </w:tabs>
              <w:spacing w:before="119"/>
              <w:ind w:hanging="544"/>
              <w:jc w:val="both"/>
              <w:rPr>
                <w:rFonts w:ascii="Arial" w:eastAsia="Arial" w:hAnsi="Arial" w:cs="Arial"/>
              </w:rPr>
            </w:pPr>
            <w:r>
              <w:rPr>
                <w:rFonts w:ascii="Arial"/>
                <w:spacing w:val="-1"/>
              </w:rPr>
              <w:t>Non-Ministerial</w:t>
            </w:r>
            <w:r>
              <w:rPr>
                <w:rFonts w:ascii="Arial"/>
              </w:rPr>
              <w:t xml:space="preserve"> </w:t>
            </w:r>
            <w:r>
              <w:rPr>
                <w:rFonts w:ascii="Arial"/>
                <w:spacing w:val="-1"/>
              </w:rPr>
              <w:t>Department;</w:t>
            </w:r>
            <w:r>
              <w:rPr>
                <w:rFonts w:ascii="Arial"/>
              </w:rPr>
              <w:t xml:space="preserve"> </w:t>
            </w:r>
            <w:r>
              <w:rPr>
                <w:rFonts w:ascii="Arial"/>
                <w:spacing w:val="-1"/>
              </w:rPr>
              <w:t>or</w:t>
            </w:r>
          </w:p>
          <w:p w:rsidR="008918FA" w:rsidRDefault="008918FA" w:rsidP="005D2B81">
            <w:pPr>
              <w:pStyle w:val="ListParagraph"/>
              <w:numPr>
                <w:ilvl w:val="0"/>
                <w:numId w:val="56"/>
              </w:numPr>
              <w:tabs>
                <w:tab w:val="left" w:pos="820"/>
              </w:tabs>
              <w:spacing w:before="121"/>
              <w:jc w:val="both"/>
              <w:rPr>
                <w:rFonts w:ascii="Arial" w:eastAsia="Arial" w:hAnsi="Arial" w:cs="Arial"/>
              </w:rPr>
            </w:pPr>
            <w:r>
              <w:rPr>
                <w:rFonts w:ascii="Arial"/>
                <w:spacing w:val="-2"/>
              </w:rPr>
              <w:t>Executive</w:t>
            </w:r>
            <w:r>
              <w:rPr>
                <w:rFonts w:ascii="Arial"/>
              </w:rPr>
              <w:t xml:space="preserve"> </w:t>
            </w:r>
            <w:r>
              <w:rPr>
                <w:rFonts w:ascii="Arial"/>
                <w:spacing w:val="-1"/>
              </w:rPr>
              <w:t>Agency;</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"Change</w:t>
            </w:r>
            <w:r>
              <w:rPr>
                <w:rFonts w:ascii="Arial"/>
                <w:b/>
              </w:rPr>
              <w:t xml:space="preserve"> in</w:t>
            </w:r>
            <w:r>
              <w:rPr>
                <w:rFonts w:ascii="Arial"/>
                <w:b/>
                <w:spacing w:val="-2"/>
              </w:rPr>
              <w:t xml:space="preserve"> </w:t>
            </w:r>
            <w:r>
              <w:rPr>
                <w:rFonts w:ascii="Arial"/>
                <w:b/>
                <w:spacing w:val="-1"/>
              </w:rPr>
              <w:t>Law"</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8"/>
              <w:jc w:val="both"/>
              <w:rPr>
                <w:rFonts w:ascii="Arial" w:eastAsia="Arial" w:hAnsi="Arial" w:cs="Arial"/>
              </w:rPr>
            </w:pPr>
            <w:r>
              <w:rPr>
                <w:rFonts w:ascii="Arial"/>
                <w:spacing w:val="-1"/>
              </w:rPr>
              <w:t>means</w:t>
            </w:r>
            <w:r>
              <w:rPr>
                <w:rFonts w:ascii="Arial"/>
                <w:spacing w:val="22"/>
              </w:rPr>
              <w:t xml:space="preserve"> </w:t>
            </w:r>
            <w:r>
              <w:rPr>
                <w:rFonts w:ascii="Arial"/>
                <w:spacing w:val="-1"/>
              </w:rPr>
              <w:t>any</w:t>
            </w:r>
            <w:r>
              <w:rPr>
                <w:rFonts w:ascii="Arial"/>
                <w:spacing w:val="20"/>
              </w:rPr>
              <w:t xml:space="preserve"> </w:t>
            </w:r>
            <w:r>
              <w:rPr>
                <w:rFonts w:ascii="Arial"/>
                <w:spacing w:val="-1"/>
              </w:rPr>
              <w:t>change</w:t>
            </w:r>
            <w:r>
              <w:rPr>
                <w:rFonts w:ascii="Arial"/>
                <w:spacing w:val="22"/>
              </w:rPr>
              <w:t xml:space="preserve"> </w:t>
            </w:r>
            <w:r>
              <w:rPr>
                <w:rFonts w:ascii="Arial"/>
                <w:spacing w:val="-1"/>
              </w:rPr>
              <w:t>in</w:t>
            </w:r>
            <w:r>
              <w:rPr>
                <w:rFonts w:ascii="Arial"/>
                <w:spacing w:val="22"/>
              </w:rPr>
              <w:t xml:space="preserve"> </w:t>
            </w:r>
            <w:r>
              <w:rPr>
                <w:rFonts w:ascii="Arial"/>
                <w:spacing w:val="-2"/>
              </w:rPr>
              <w:t>Law</w:t>
            </w:r>
            <w:r>
              <w:rPr>
                <w:rFonts w:ascii="Arial"/>
                <w:spacing w:val="21"/>
              </w:rPr>
              <w:t xml:space="preserve"> </w:t>
            </w:r>
            <w:r>
              <w:rPr>
                <w:rFonts w:ascii="Arial"/>
                <w:spacing w:val="-2"/>
              </w:rPr>
              <w:t>which</w:t>
            </w:r>
            <w:r>
              <w:rPr>
                <w:rFonts w:ascii="Arial"/>
                <w:spacing w:val="22"/>
              </w:rPr>
              <w:t xml:space="preserve"> </w:t>
            </w:r>
            <w:r>
              <w:rPr>
                <w:rFonts w:ascii="Arial"/>
                <w:spacing w:val="-1"/>
              </w:rPr>
              <w:t>impacts</w:t>
            </w:r>
            <w:r>
              <w:rPr>
                <w:rFonts w:ascii="Arial"/>
                <w:spacing w:val="22"/>
              </w:rPr>
              <w:t xml:space="preserve"> </w:t>
            </w:r>
            <w:r>
              <w:rPr>
                <w:rFonts w:ascii="Arial"/>
                <w:spacing w:val="-1"/>
              </w:rPr>
              <w:t>on</w:t>
            </w:r>
            <w:r>
              <w:rPr>
                <w:rFonts w:ascii="Arial"/>
                <w:spacing w:val="20"/>
              </w:rPr>
              <w:t xml:space="preserve"> </w:t>
            </w:r>
            <w:r>
              <w:rPr>
                <w:rFonts w:ascii="Arial"/>
                <w:spacing w:val="-1"/>
              </w:rPr>
              <w:t>the</w:t>
            </w:r>
            <w:r>
              <w:rPr>
                <w:rFonts w:ascii="Arial"/>
                <w:spacing w:val="22"/>
              </w:rPr>
              <w:t xml:space="preserve"> </w:t>
            </w:r>
            <w:r>
              <w:rPr>
                <w:rFonts w:ascii="Arial"/>
                <w:spacing w:val="-1"/>
              </w:rPr>
              <w:t>supply</w:t>
            </w:r>
            <w:r>
              <w:rPr>
                <w:rFonts w:ascii="Arial"/>
                <w:spacing w:val="33"/>
              </w:rPr>
              <w:t xml:space="preserve"> </w:t>
            </w:r>
            <w:r>
              <w:rPr>
                <w:rFonts w:ascii="Arial"/>
                <w:spacing w:val="-2"/>
              </w:rPr>
              <w:t>of</w:t>
            </w:r>
            <w:r>
              <w:rPr>
                <w:rFonts w:ascii="Arial"/>
                <w:spacing w:val="49"/>
              </w:rPr>
              <w:t xml:space="preserve"> </w:t>
            </w:r>
            <w:r>
              <w:rPr>
                <w:rFonts w:ascii="Arial"/>
              </w:rPr>
              <w:t>the</w:t>
            </w:r>
            <w:r>
              <w:rPr>
                <w:rFonts w:ascii="Arial"/>
                <w:spacing w:val="46"/>
              </w:rPr>
              <w:t xml:space="preserve"> </w:t>
            </w:r>
            <w:r>
              <w:rPr>
                <w:rFonts w:ascii="Arial"/>
                <w:spacing w:val="-1"/>
              </w:rPr>
              <w:t>Goods</w:t>
            </w:r>
            <w:r>
              <w:rPr>
                <w:rFonts w:ascii="Arial"/>
                <w:spacing w:val="46"/>
              </w:rPr>
              <w:t xml:space="preserve"> </w:t>
            </w:r>
            <w:r>
              <w:rPr>
                <w:rFonts w:ascii="Arial"/>
                <w:spacing w:val="-1"/>
              </w:rPr>
              <w:t>and/or</w:t>
            </w:r>
            <w:r>
              <w:rPr>
                <w:rFonts w:ascii="Arial"/>
                <w:spacing w:val="47"/>
              </w:rPr>
              <w:t xml:space="preserve"> </w:t>
            </w:r>
            <w:r>
              <w:rPr>
                <w:rFonts w:ascii="Arial"/>
                <w:spacing w:val="-2"/>
              </w:rPr>
              <w:t>Services</w:t>
            </w:r>
            <w:r>
              <w:rPr>
                <w:rFonts w:ascii="Arial"/>
                <w:spacing w:val="47"/>
              </w:rPr>
              <w:t xml:space="preserve"> </w:t>
            </w:r>
            <w:r>
              <w:rPr>
                <w:rFonts w:ascii="Arial"/>
                <w:spacing w:val="-1"/>
              </w:rPr>
              <w:t>and</w:t>
            </w:r>
            <w:r>
              <w:rPr>
                <w:rFonts w:ascii="Arial"/>
                <w:spacing w:val="46"/>
              </w:rPr>
              <w:t xml:space="preserve"> </w:t>
            </w:r>
            <w:r>
              <w:rPr>
                <w:rFonts w:ascii="Arial"/>
                <w:spacing w:val="-1"/>
              </w:rPr>
              <w:t>performance</w:t>
            </w:r>
            <w:r>
              <w:rPr>
                <w:rFonts w:ascii="Arial"/>
                <w:spacing w:val="47"/>
              </w:rPr>
              <w:t xml:space="preserve"> </w:t>
            </w:r>
            <w:r>
              <w:rPr>
                <w:rFonts w:ascii="Arial"/>
                <w:spacing w:val="-1"/>
              </w:rPr>
              <w:t>of</w:t>
            </w:r>
            <w:r>
              <w:rPr>
                <w:rFonts w:ascii="Arial"/>
                <w:spacing w:val="49"/>
              </w:rPr>
              <w:t xml:space="preserve"> </w:t>
            </w:r>
            <w:r>
              <w:rPr>
                <w:rFonts w:ascii="Arial"/>
                <w:spacing w:val="-1"/>
              </w:rPr>
              <w:t>the</w:t>
            </w:r>
            <w:r>
              <w:rPr>
                <w:rFonts w:ascii="Arial"/>
                <w:spacing w:val="35"/>
              </w:rPr>
              <w:t xml:space="preserve"> </w:t>
            </w:r>
            <w:r>
              <w:rPr>
                <w:rFonts w:ascii="Arial"/>
                <w:spacing w:val="-2"/>
              </w:rPr>
              <w:t>Call</w:t>
            </w:r>
            <w:r>
              <w:rPr>
                <w:rFonts w:ascii="Arial"/>
                <w:spacing w:val="17"/>
              </w:rPr>
              <w:t xml:space="preserve"> </w:t>
            </w:r>
            <w:r>
              <w:rPr>
                <w:rFonts w:ascii="Arial"/>
              </w:rPr>
              <w:t>Off</w:t>
            </w:r>
            <w:r>
              <w:rPr>
                <w:rFonts w:ascii="Arial"/>
                <w:spacing w:val="19"/>
              </w:rPr>
              <w:t xml:space="preserve"> </w:t>
            </w:r>
            <w:r>
              <w:rPr>
                <w:rFonts w:ascii="Arial"/>
                <w:spacing w:val="-1"/>
              </w:rPr>
              <w:t>Terms</w:t>
            </w:r>
            <w:r>
              <w:rPr>
                <w:rFonts w:ascii="Arial"/>
                <w:spacing w:val="18"/>
              </w:rPr>
              <w:t xml:space="preserve"> </w:t>
            </w:r>
            <w:r>
              <w:rPr>
                <w:rFonts w:ascii="Arial"/>
                <w:spacing w:val="-2"/>
              </w:rPr>
              <w:t>which</w:t>
            </w:r>
            <w:r>
              <w:rPr>
                <w:rFonts w:ascii="Arial"/>
                <w:spacing w:val="18"/>
              </w:rPr>
              <w:t xml:space="preserve"> </w:t>
            </w:r>
            <w:r>
              <w:rPr>
                <w:rFonts w:ascii="Arial"/>
              </w:rPr>
              <w:t>comes</w:t>
            </w:r>
            <w:r>
              <w:rPr>
                <w:rFonts w:ascii="Arial"/>
                <w:spacing w:val="18"/>
              </w:rPr>
              <w:t xml:space="preserve"> </w:t>
            </w:r>
            <w:r>
              <w:rPr>
                <w:rFonts w:ascii="Arial"/>
                <w:spacing w:val="-1"/>
              </w:rPr>
              <w:t>into</w:t>
            </w:r>
            <w:r>
              <w:rPr>
                <w:rFonts w:ascii="Arial"/>
                <w:spacing w:val="15"/>
              </w:rPr>
              <w:t xml:space="preserve"> </w:t>
            </w:r>
            <w:r>
              <w:rPr>
                <w:rFonts w:ascii="Arial"/>
                <w:spacing w:val="-1"/>
              </w:rPr>
              <w:t>force</w:t>
            </w:r>
            <w:r>
              <w:rPr>
                <w:rFonts w:ascii="Arial"/>
                <w:spacing w:val="18"/>
              </w:rPr>
              <w:t xml:space="preserve"> </w:t>
            </w:r>
            <w:r>
              <w:rPr>
                <w:rFonts w:ascii="Arial"/>
                <w:spacing w:val="-1"/>
              </w:rPr>
              <w:t>after</w:t>
            </w:r>
            <w:r>
              <w:rPr>
                <w:rFonts w:ascii="Arial"/>
                <w:spacing w:val="19"/>
              </w:rPr>
              <w:t xml:space="preserve"> </w:t>
            </w:r>
            <w:r>
              <w:rPr>
                <w:rFonts w:ascii="Arial"/>
              </w:rPr>
              <w:t>the</w:t>
            </w:r>
            <w:r>
              <w:rPr>
                <w:rFonts w:ascii="Arial"/>
                <w:spacing w:val="15"/>
              </w:rPr>
              <w:t xml:space="preserve"> </w:t>
            </w:r>
            <w:r>
              <w:rPr>
                <w:rFonts w:ascii="Arial"/>
                <w:spacing w:val="-2"/>
              </w:rPr>
              <w:t>Call</w:t>
            </w:r>
            <w:r>
              <w:rPr>
                <w:rFonts w:ascii="Arial"/>
                <w:spacing w:val="17"/>
              </w:rPr>
              <w:t xml:space="preserve"> </w:t>
            </w:r>
            <w:r>
              <w:rPr>
                <w:rFonts w:ascii="Arial"/>
              </w:rPr>
              <w:t>Off</w:t>
            </w:r>
            <w:r>
              <w:rPr>
                <w:rFonts w:ascii="Arial"/>
                <w:spacing w:val="44"/>
              </w:rPr>
              <w:t xml:space="preserve"> </w:t>
            </w:r>
            <w:r>
              <w:rPr>
                <w:rFonts w:ascii="Arial"/>
                <w:spacing w:val="-1"/>
              </w:rPr>
              <w:t>Commencement</w:t>
            </w:r>
            <w:r>
              <w:rPr>
                <w:rFonts w:ascii="Arial"/>
              </w:rPr>
              <w:t xml:space="preserve"> </w:t>
            </w:r>
            <w:r>
              <w:rPr>
                <w:rFonts w:ascii="Arial"/>
                <w:spacing w:val="-1"/>
              </w:rPr>
              <w:t>Date;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"Change</w:t>
            </w:r>
            <w:r>
              <w:rPr>
                <w:rFonts w:ascii="Arial"/>
                <w:b/>
              </w:rPr>
              <w:t xml:space="preserve"> </w:t>
            </w:r>
            <w:r>
              <w:rPr>
                <w:rFonts w:ascii="Arial"/>
                <w:b/>
                <w:spacing w:val="-1"/>
              </w:rPr>
              <w:t xml:space="preserve">of </w:t>
            </w:r>
            <w:r>
              <w:rPr>
                <w:rFonts w:ascii="Arial"/>
                <w:b/>
                <w:spacing w:val="-2"/>
              </w:rPr>
              <w:t>Control"</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3"/>
              <w:rPr>
                <w:rFonts w:ascii="Arial" w:eastAsia="Arial" w:hAnsi="Arial" w:cs="Arial"/>
              </w:rPr>
            </w:pPr>
            <w:r>
              <w:rPr>
                <w:rFonts w:ascii="Arial"/>
                <w:spacing w:val="-1"/>
              </w:rPr>
              <w:t>means</w:t>
            </w:r>
            <w:r>
              <w:rPr>
                <w:rFonts w:ascii="Arial"/>
              </w:rPr>
              <w:t xml:space="preserve"> </w:t>
            </w:r>
            <w:r>
              <w:rPr>
                <w:rFonts w:ascii="Arial"/>
                <w:spacing w:val="43"/>
              </w:rPr>
              <w:t xml:space="preserve"> </w:t>
            </w:r>
            <w:r>
              <w:rPr>
                <w:rFonts w:ascii="Arial"/>
              </w:rPr>
              <w:t xml:space="preserve">a </w:t>
            </w:r>
            <w:r>
              <w:rPr>
                <w:rFonts w:ascii="Arial"/>
                <w:spacing w:val="42"/>
              </w:rPr>
              <w:t xml:space="preserve"> </w:t>
            </w:r>
            <w:r>
              <w:rPr>
                <w:rFonts w:ascii="Arial"/>
                <w:spacing w:val="-1"/>
              </w:rPr>
              <w:t>change</w:t>
            </w:r>
            <w:r>
              <w:rPr>
                <w:rFonts w:ascii="Arial"/>
              </w:rPr>
              <w:t xml:space="preserve"> </w:t>
            </w:r>
            <w:r>
              <w:rPr>
                <w:rFonts w:ascii="Arial"/>
                <w:spacing w:val="42"/>
              </w:rPr>
              <w:t xml:space="preserve"> </w:t>
            </w:r>
            <w:r>
              <w:rPr>
                <w:rFonts w:ascii="Arial"/>
                <w:spacing w:val="-2"/>
              </w:rPr>
              <w:t>of</w:t>
            </w:r>
            <w:r>
              <w:rPr>
                <w:rFonts w:ascii="Arial"/>
              </w:rPr>
              <w:t xml:space="preserve"> </w:t>
            </w:r>
            <w:r>
              <w:rPr>
                <w:rFonts w:ascii="Arial"/>
                <w:spacing w:val="41"/>
              </w:rPr>
              <w:t xml:space="preserve"> </w:t>
            </w:r>
            <w:r>
              <w:rPr>
                <w:rFonts w:ascii="Arial"/>
                <w:spacing w:val="-1"/>
              </w:rPr>
              <w:t>control</w:t>
            </w:r>
            <w:r>
              <w:rPr>
                <w:rFonts w:ascii="Arial"/>
              </w:rPr>
              <w:t xml:space="preserve"> </w:t>
            </w:r>
            <w:r>
              <w:rPr>
                <w:rFonts w:ascii="Arial"/>
                <w:spacing w:val="42"/>
              </w:rPr>
              <w:t xml:space="preserve"> </w:t>
            </w:r>
            <w:r>
              <w:rPr>
                <w:rFonts w:ascii="Arial"/>
                <w:spacing w:val="-2"/>
              </w:rPr>
              <w:t>within</w:t>
            </w:r>
            <w:r>
              <w:rPr>
                <w:rFonts w:ascii="Arial"/>
              </w:rPr>
              <w:t xml:space="preserve"> </w:t>
            </w:r>
            <w:r>
              <w:rPr>
                <w:rFonts w:ascii="Arial"/>
                <w:spacing w:val="42"/>
              </w:rPr>
              <w:t xml:space="preserve"> </w:t>
            </w:r>
            <w:r>
              <w:rPr>
                <w:rFonts w:ascii="Arial"/>
              </w:rPr>
              <w:t xml:space="preserve">the </w:t>
            </w:r>
            <w:r>
              <w:rPr>
                <w:rFonts w:ascii="Arial"/>
                <w:spacing w:val="43"/>
              </w:rPr>
              <w:t xml:space="preserve"> </w:t>
            </w:r>
            <w:r>
              <w:rPr>
                <w:rFonts w:ascii="Arial"/>
                <w:spacing w:val="-2"/>
              </w:rPr>
              <w:t>meaning</w:t>
            </w:r>
            <w:r>
              <w:rPr>
                <w:rFonts w:ascii="Arial"/>
              </w:rPr>
              <w:t xml:space="preserve"> </w:t>
            </w:r>
            <w:r>
              <w:rPr>
                <w:rFonts w:ascii="Arial"/>
                <w:spacing w:val="42"/>
              </w:rPr>
              <w:t xml:space="preserve"> </w:t>
            </w:r>
            <w:r>
              <w:rPr>
                <w:rFonts w:ascii="Arial"/>
                <w:spacing w:val="-2"/>
              </w:rPr>
              <w:t>of</w:t>
            </w:r>
            <w:r>
              <w:rPr>
                <w:rFonts w:ascii="Arial"/>
                <w:spacing w:val="45"/>
              </w:rPr>
              <w:t xml:space="preserve"> </w:t>
            </w:r>
            <w:r>
              <w:rPr>
                <w:rFonts w:ascii="Arial"/>
                <w:spacing w:val="-1"/>
              </w:rPr>
              <w:t>Section</w:t>
            </w:r>
            <w:r>
              <w:rPr>
                <w:rFonts w:ascii="Arial"/>
                <w:spacing w:val="1"/>
              </w:rPr>
              <w:t xml:space="preserve"> </w:t>
            </w:r>
            <w:r>
              <w:rPr>
                <w:rFonts w:ascii="Arial"/>
                <w:spacing w:val="-1"/>
              </w:rPr>
              <w:t>450</w:t>
            </w:r>
            <w:r>
              <w:rPr>
                <w:rFonts w:ascii="Arial"/>
              </w:rPr>
              <w:t xml:space="preserve"> </w:t>
            </w:r>
            <w:r>
              <w:rPr>
                <w:rFonts w:ascii="Arial"/>
                <w:spacing w:val="-2"/>
              </w:rPr>
              <w:t>of</w:t>
            </w:r>
            <w:r>
              <w:rPr>
                <w:rFonts w:ascii="Arial"/>
              </w:rPr>
              <w:t xml:space="preserve"> the </w:t>
            </w:r>
            <w:r>
              <w:rPr>
                <w:rFonts w:ascii="Arial"/>
                <w:spacing w:val="-2"/>
              </w:rPr>
              <w:t xml:space="preserve">Corporation </w:t>
            </w:r>
            <w:r>
              <w:rPr>
                <w:rFonts w:ascii="Arial"/>
              </w:rPr>
              <w:t>Tax</w:t>
            </w:r>
            <w:r>
              <w:rPr>
                <w:rFonts w:ascii="Arial"/>
                <w:spacing w:val="-2"/>
              </w:rPr>
              <w:t xml:space="preserve"> </w:t>
            </w:r>
            <w:r>
              <w:rPr>
                <w:rFonts w:ascii="Arial"/>
                <w:spacing w:val="-1"/>
              </w:rPr>
              <w:t>Act</w:t>
            </w:r>
            <w:r>
              <w:rPr>
                <w:rFonts w:ascii="Arial"/>
              </w:rPr>
              <w:t xml:space="preserve"> </w:t>
            </w:r>
            <w:r>
              <w:rPr>
                <w:rFonts w:ascii="Arial"/>
                <w:spacing w:val="-2"/>
              </w:rPr>
              <w:t>2010;</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"Charges"</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100"/>
              <w:jc w:val="both"/>
              <w:rPr>
                <w:rFonts w:ascii="Arial" w:eastAsia="Arial" w:hAnsi="Arial" w:cs="Arial"/>
              </w:rPr>
            </w:pPr>
            <w:r>
              <w:rPr>
                <w:rFonts w:ascii="Arial"/>
                <w:spacing w:val="-1"/>
              </w:rPr>
              <w:t>means</w:t>
            </w:r>
            <w:r>
              <w:rPr>
                <w:rFonts w:ascii="Arial"/>
                <w:spacing w:val="18"/>
              </w:rPr>
              <w:t xml:space="preserve"> </w:t>
            </w:r>
            <w:r>
              <w:rPr>
                <w:rFonts w:ascii="Arial"/>
              </w:rPr>
              <w:t>the</w:t>
            </w:r>
            <w:r>
              <w:rPr>
                <w:rFonts w:ascii="Arial"/>
                <w:spacing w:val="15"/>
              </w:rPr>
              <w:t xml:space="preserve"> </w:t>
            </w:r>
            <w:r>
              <w:rPr>
                <w:rFonts w:ascii="Arial"/>
                <w:spacing w:val="-1"/>
              </w:rPr>
              <w:t>charges</w:t>
            </w:r>
            <w:r>
              <w:rPr>
                <w:rFonts w:ascii="Arial"/>
                <w:spacing w:val="15"/>
              </w:rPr>
              <w:t xml:space="preserve"> </w:t>
            </w:r>
            <w:r>
              <w:rPr>
                <w:rFonts w:ascii="Arial"/>
                <w:spacing w:val="-2"/>
              </w:rPr>
              <w:t>raised</w:t>
            </w:r>
            <w:r>
              <w:rPr>
                <w:rFonts w:ascii="Arial"/>
                <w:spacing w:val="17"/>
              </w:rPr>
              <w:t xml:space="preserve"> </w:t>
            </w:r>
            <w:r>
              <w:rPr>
                <w:rFonts w:ascii="Arial"/>
                <w:spacing w:val="-1"/>
              </w:rPr>
              <w:t>under</w:t>
            </w:r>
            <w:r>
              <w:rPr>
                <w:rFonts w:ascii="Arial"/>
                <w:spacing w:val="19"/>
              </w:rPr>
              <w:t xml:space="preserve"> </w:t>
            </w:r>
            <w:r>
              <w:rPr>
                <w:rFonts w:ascii="Arial"/>
                <w:spacing w:val="-1"/>
              </w:rPr>
              <w:t>or</w:t>
            </w:r>
            <w:r>
              <w:rPr>
                <w:rFonts w:ascii="Arial"/>
                <w:spacing w:val="19"/>
              </w:rPr>
              <w:t xml:space="preserve"> </w:t>
            </w:r>
            <w:r>
              <w:rPr>
                <w:rFonts w:ascii="Arial"/>
                <w:spacing w:val="-1"/>
              </w:rPr>
              <w:t>in</w:t>
            </w:r>
            <w:r>
              <w:rPr>
                <w:rFonts w:ascii="Arial"/>
                <w:spacing w:val="17"/>
              </w:rPr>
              <w:t xml:space="preserve"> </w:t>
            </w:r>
            <w:r>
              <w:rPr>
                <w:rFonts w:ascii="Arial"/>
                <w:spacing w:val="-1"/>
              </w:rPr>
              <w:t>connection</w:t>
            </w:r>
            <w:r>
              <w:rPr>
                <w:rFonts w:ascii="Arial"/>
                <w:spacing w:val="17"/>
              </w:rPr>
              <w:t xml:space="preserve"> </w:t>
            </w:r>
            <w:r>
              <w:rPr>
                <w:rFonts w:ascii="Arial"/>
                <w:spacing w:val="-1"/>
              </w:rPr>
              <w:t>with</w:t>
            </w:r>
            <w:r>
              <w:rPr>
                <w:rFonts w:ascii="Arial"/>
                <w:spacing w:val="17"/>
              </w:rPr>
              <w:t xml:space="preserve"> </w:t>
            </w:r>
            <w:r>
              <w:rPr>
                <w:rFonts w:ascii="Arial"/>
              </w:rPr>
              <w:t>a</w:t>
            </w:r>
            <w:r>
              <w:rPr>
                <w:rFonts w:ascii="Arial"/>
                <w:spacing w:val="31"/>
              </w:rPr>
              <w:t xml:space="preserve"> </w:t>
            </w:r>
            <w:r>
              <w:rPr>
                <w:rFonts w:ascii="Arial"/>
                <w:spacing w:val="-2"/>
              </w:rPr>
              <w:t>Call</w:t>
            </w:r>
            <w:r>
              <w:rPr>
                <w:rFonts w:ascii="Arial"/>
                <w:spacing w:val="50"/>
              </w:rPr>
              <w:t xml:space="preserve"> </w:t>
            </w:r>
            <w:r>
              <w:rPr>
                <w:rFonts w:ascii="Arial"/>
              </w:rPr>
              <w:t>Off</w:t>
            </w:r>
            <w:r>
              <w:rPr>
                <w:rFonts w:ascii="Arial"/>
                <w:spacing w:val="55"/>
              </w:rPr>
              <w:t xml:space="preserve"> </w:t>
            </w:r>
            <w:r>
              <w:rPr>
                <w:rFonts w:ascii="Arial"/>
                <w:spacing w:val="-2"/>
              </w:rPr>
              <w:t>Agreement</w:t>
            </w:r>
            <w:r>
              <w:rPr>
                <w:rFonts w:ascii="Arial"/>
                <w:spacing w:val="50"/>
              </w:rPr>
              <w:t xml:space="preserve"> </w:t>
            </w:r>
            <w:r>
              <w:rPr>
                <w:rFonts w:ascii="Arial"/>
              </w:rPr>
              <w:t>from</w:t>
            </w:r>
            <w:r>
              <w:rPr>
                <w:rFonts w:ascii="Arial"/>
                <w:spacing w:val="52"/>
              </w:rPr>
              <w:t xml:space="preserve"> </w:t>
            </w:r>
            <w:r>
              <w:rPr>
                <w:rFonts w:ascii="Arial"/>
                <w:spacing w:val="-1"/>
              </w:rPr>
              <w:t>time</w:t>
            </w:r>
            <w:r>
              <w:rPr>
                <w:rFonts w:ascii="Arial"/>
                <w:spacing w:val="51"/>
              </w:rPr>
              <w:t xml:space="preserve"> </w:t>
            </w:r>
            <w:r>
              <w:rPr>
                <w:rFonts w:ascii="Arial"/>
              </w:rPr>
              <w:t>to</w:t>
            </w:r>
            <w:r>
              <w:rPr>
                <w:rFonts w:ascii="Arial"/>
                <w:spacing w:val="48"/>
              </w:rPr>
              <w:t xml:space="preserve"> </w:t>
            </w:r>
            <w:r>
              <w:rPr>
                <w:rFonts w:ascii="Arial"/>
                <w:spacing w:val="-1"/>
              </w:rPr>
              <w:t>time,</w:t>
            </w:r>
            <w:r>
              <w:rPr>
                <w:rFonts w:ascii="Arial"/>
                <w:spacing w:val="53"/>
              </w:rPr>
              <w:t xml:space="preserve"> </w:t>
            </w:r>
            <w:r>
              <w:rPr>
                <w:rFonts w:ascii="Arial"/>
                <w:spacing w:val="-2"/>
              </w:rPr>
              <w:t>which</w:t>
            </w:r>
            <w:r>
              <w:rPr>
                <w:rFonts w:ascii="Arial"/>
                <w:spacing w:val="53"/>
              </w:rPr>
              <w:t xml:space="preserve"> </w:t>
            </w:r>
            <w:r>
              <w:rPr>
                <w:rFonts w:ascii="Arial"/>
                <w:spacing w:val="-2"/>
              </w:rPr>
              <w:t>Charges</w:t>
            </w:r>
            <w:r>
              <w:rPr>
                <w:rFonts w:ascii="Arial"/>
                <w:spacing w:val="55"/>
              </w:rPr>
              <w:t xml:space="preserve"> </w:t>
            </w:r>
            <w:r>
              <w:rPr>
                <w:rFonts w:ascii="Arial"/>
                <w:spacing w:val="-1"/>
              </w:rPr>
              <w:t>shall</w:t>
            </w:r>
            <w:r>
              <w:rPr>
                <w:rFonts w:ascii="Arial"/>
                <w:spacing w:val="19"/>
              </w:rPr>
              <w:t xml:space="preserve"> </w:t>
            </w:r>
            <w:r>
              <w:rPr>
                <w:rFonts w:ascii="Arial"/>
                <w:spacing w:val="-1"/>
              </w:rPr>
              <w:t>be</w:t>
            </w:r>
            <w:r>
              <w:rPr>
                <w:rFonts w:ascii="Arial"/>
                <w:spacing w:val="20"/>
              </w:rPr>
              <w:t xml:space="preserve"> </w:t>
            </w:r>
            <w:r>
              <w:rPr>
                <w:rFonts w:ascii="Arial"/>
                <w:spacing w:val="-1"/>
              </w:rPr>
              <w:t>calculated</w:t>
            </w:r>
            <w:r>
              <w:rPr>
                <w:rFonts w:ascii="Arial"/>
                <w:spacing w:val="20"/>
              </w:rPr>
              <w:t xml:space="preserve"> </w:t>
            </w:r>
            <w:r>
              <w:rPr>
                <w:rFonts w:ascii="Arial"/>
                <w:spacing w:val="-1"/>
              </w:rPr>
              <w:t>in</w:t>
            </w:r>
            <w:r>
              <w:rPr>
                <w:rFonts w:ascii="Arial"/>
                <w:spacing w:val="20"/>
              </w:rPr>
              <w:t xml:space="preserve"> </w:t>
            </w:r>
            <w:r>
              <w:rPr>
                <w:rFonts w:ascii="Arial"/>
              </w:rPr>
              <w:t>a</w:t>
            </w:r>
            <w:r>
              <w:rPr>
                <w:rFonts w:ascii="Arial"/>
                <w:spacing w:val="22"/>
              </w:rPr>
              <w:t xml:space="preserve"> </w:t>
            </w:r>
            <w:r>
              <w:rPr>
                <w:rFonts w:ascii="Arial"/>
                <w:spacing w:val="-1"/>
              </w:rPr>
              <w:t>manner</w:t>
            </w:r>
            <w:r>
              <w:rPr>
                <w:rFonts w:ascii="Arial"/>
                <w:spacing w:val="21"/>
              </w:rPr>
              <w:t xml:space="preserve"> </w:t>
            </w:r>
            <w:r>
              <w:rPr>
                <w:rFonts w:ascii="Arial"/>
                <w:spacing w:val="-2"/>
              </w:rPr>
              <w:t>which</w:t>
            </w:r>
            <w:r>
              <w:rPr>
                <w:rFonts w:ascii="Arial"/>
                <w:spacing w:val="20"/>
              </w:rPr>
              <w:t xml:space="preserve"> </w:t>
            </w:r>
            <w:r>
              <w:rPr>
                <w:rFonts w:ascii="Arial"/>
                <w:spacing w:val="-1"/>
              </w:rPr>
              <w:t>is</w:t>
            </w:r>
            <w:r>
              <w:rPr>
                <w:rFonts w:ascii="Arial"/>
                <w:spacing w:val="20"/>
              </w:rPr>
              <w:t xml:space="preserve"> </w:t>
            </w:r>
            <w:r>
              <w:rPr>
                <w:rFonts w:ascii="Arial"/>
                <w:spacing w:val="-1"/>
              </w:rPr>
              <w:t>consistent</w:t>
            </w:r>
            <w:r>
              <w:rPr>
                <w:rFonts w:ascii="Arial"/>
                <w:spacing w:val="21"/>
              </w:rPr>
              <w:t xml:space="preserve"> </w:t>
            </w:r>
            <w:r>
              <w:rPr>
                <w:rFonts w:ascii="Arial"/>
                <w:spacing w:val="-2"/>
              </w:rPr>
              <w:t>with</w:t>
            </w:r>
            <w:r>
              <w:rPr>
                <w:rFonts w:ascii="Arial"/>
                <w:spacing w:val="33"/>
              </w:rPr>
              <w:t xml:space="preserve"> </w:t>
            </w:r>
            <w:r>
              <w:rPr>
                <w:rFonts w:ascii="Arial"/>
              </w:rPr>
              <w:t xml:space="preserve">the </w:t>
            </w:r>
            <w:r>
              <w:rPr>
                <w:rFonts w:ascii="Arial"/>
                <w:spacing w:val="-2"/>
              </w:rPr>
              <w:t>Charging</w:t>
            </w:r>
            <w:r>
              <w:rPr>
                <w:rFonts w:ascii="Arial"/>
              </w:rPr>
              <w:t xml:space="preserve"> </w:t>
            </w:r>
            <w:r>
              <w:rPr>
                <w:rFonts w:ascii="Arial"/>
                <w:spacing w:val="-1"/>
              </w:rPr>
              <w:t>Structure;</w:t>
            </w:r>
          </w:p>
        </w:tc>
      </w:tr>
      <w:tr w:rsidR="008918FA" w:rsidTr="005D2B81">
        <w:trPr>
          <w:trHeight w:hRule="exact" w:val="1142"/>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"Charging</w:t>
            </w:r>
            <w:r>
              <w:rPr>
                <w:rFonts w:ascii="Arial"/>
                <w:b/>
                <w:spacing w:val="-2"/>
              </w:rPr>
              <w:t xml:space="preserve"> </w:t>
            </w:r>
            <w:r>
              <w:rPr>
                <w:rFonts w:ascii="Arial"/>
                <w:b/>
                <w:spacing w:val="-1"/>
              </w:rPr>
              <w:t>Structure"</w:t>
            </w:r>
          </w:p>
        </w:tc>
        <w:tc>
          <w:tcPr>
            <w:tcW w:w="5952"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39" w:lineRule="auto"/>
              <w:ind w:left="270" w:right="101"/>
              <w:jc w:val="both"/>
              <w:rPr>
                <w:rFonts w:ascii="Arial" w:eastAsia="Arial" w:hAnsi="Arial" w:cs="Arial"/>
              </w:rPr>
            </w:pPr>
            <w:r>
              <w:rPr>
                <w:rFonts w:ascii="Arial"/>
                <w:spacing w:val="-1"/>
              </w:rPr>
              <w:t>means</w:t>
            </w:r>
            <w:r>
              <w:rPr>
                <w:rFonts w:ascii="Arial"/>
                <w:spacing w:val="30"/>
              </w:rPr>
              <w:t xml:space="preserve"> </w:t>
            </w:r>
            <w:r>
              <w:rPr>
                <w:rFonts w:ascii="Arial"/>
              </w:rPr>
              <w:t>the</w:t>
            </w:r>
            <w:r>
              <w:rPr>
                <w:rFonts w:ascii="Arial"/>
                <w:spacing w:val="29"/>
              </w:rPr>
              <w:t xml:space="preserve"> </w:t>
            </w:r>
            <w:r>
              <w:rPr>
                <w:rFonts w:ascii="Arial"/>
                <w:spacing w:val="-1"/>
              </w:rPr>
              <w:t>structure</w:t>
            </w:r>
            <w:r>
              <w:rPr>
                <w:rFonts w:ascii="Arial"/>
                <w:spacing w:val="29"/>
              </w:rPr>
              <w:t xml:space="preserve"> </w:t>
            </w:r>
            <w:r>
              <w:rPr>
                <w:rFonts w:ascii="Arial"/>
              </w:rPr>
              <w:t>to</w:t>
            </w:r>
            <w:r>
              <w:rPr>
                <w:rFonts w:ascii="Arial"/>
                <w:spacing w:val="27"/>
              </w:rPr>
              <w:t xml:space="preserve"> </w:t>
            </w:r>
            <w:r>
              <w:rPr>
                <w:rFonts w:ascii="Arial"/>
                <w:spacing w:val="-1"/>
              </w:rPr>
              <w:t>be</w:t>
            </w:r>
            <w:r>
              <w:rPr>
                <w:rFonts w:ascii="Arial"/>
                <w:spacing w:val="29"/>
              </w:rPr>
              <w:t xml:space="preserve"> </w:t>
            </w:r>
            <w:r>
              <w:rPr>
                <w:rFonts w:ascii="Arial"/>
                <w:spacing w:val="-1"/>
              </w:rPr>
              <w:t>used</w:t>
            </w:r>
            <w:r>
              <w:rPr>
                <w:rFonts w:ascii="Arial"/>
                <w:spacing w:val="29"/>
              </w:rPr>
              <w:t xml:space="preserve"> </w:t>
            </w:r>
            <w:r>
              <w:rPr>
                <w:rFonts w:ascii="Arial"/>
                <w:spacing w:val="-1"/>
              </w:rPr>
              <w:t>in</w:t>
            </w:r>
            <w:r>
              <w:rPr>
                <w:rFonts w:ascii="Arial"/>
                <w:spacing w:val="29"/>
              </w:rPr>
              <w:t xml:space="preserve"> </w:t>
            </w:r>
            <w:r>
              <w:rPr>
                <w:rFonts w:ascii="Arial"/>
              </w:rPr>
              <w:t>the</w:t>
            </w:r>
            <w:r>
              <w:rPr>
                <w:rFonts w:ascii="Arial"/>
                <w:spacing w:val="29"/>
              </w:rPr>
              <w:t xml:space="preserve"> </w:t>
            </w:r>
            <w:r>
              <w:rPr>
                <w:rFonts w:ascii="Arial"/>
                <w:spacing w:val="-1"/>
              </w:rPr>
              <w:t>establishment</w:t>
            </w:r>
            <w:r>
              <w:rPr>
                <w:rFonts w:ascii="Arial"/>
                <w:spacing w:val="26"/>
              </w:rPr>
              <w:t xml:space="preserve"> </w:t>
            </w:r>
            <w:r>
              <w:rPr>
                <w:rFonts w:ascii="Arial"/>
                <w:spacing w:val="-2"/>
              </w:rPr>
              <w:t>of</w:t>
            </w:r>
            <w:r>
              <w:rPr>
                <w:rFonts w:ascii="Arial"/>
                <w:spacing w:val="23"/>
              </w:rPr>
              <w:t xml:space="preserve"> </w:t>
            </w:r>
            <w:r>
              <w:rPr>
                <w:rFonts w:ascii="Arial"/>
              </w:rPr>
              <w:t>the</w:t>
            </w:r>
            <w:r>
              <w:rPr>
                <w:rFonts w:ascii="Arial"/>
                <w:spacing w:val="24"/>
              </w:rPr>
              <w:t xml:space="preserve"> </w:t>
            </w:r>
            <w:r>
              <w:rPr>
                <w:rFonts w:ascii="Arial"/>
                <w:spacing w:val="-1"/>
              </w:rPr>
              <w:t>charging</w:t>
            </w:r>
            <w:r>
              <w:rPr>
                <w:rFonts w:ascii="Arial"/>
                <w:spacing w:val="24"/>
              </w:rPr>
              <w:t xml:space="preserve"> </w:t>
            </w:r>
            <w:r>
              <w:rPr>
                <w:rFonts w:ascii="Arial"/>
                <w:spacing w:val="-1"/>
              </w:rPr>
              <w:t>model</w:t>
            </w:r>
            <w:r>
              <w:rPr>
                <w:rFonts w:ascii="Arial"/>
                <w:spacing w:val="24"/>
              </w:rPr>
              <w:t xml:space="preserve"> </w:t>
            </w:r>
            <w:r>
              <w:rPr>
                <w:rFonts w:ascii="Arial"/>
                <w:spacing w:val="-1"/>
              </w:rPr>
              <w:t>which</w:t>
            </w:r>
            <w:r>
              <w:rPr>
                <w:rFonts w:ascii="Arial"/>
                <w:spacing w:val="24"/>
              </w:rPr>
              <w:t xml:space="preserve"> </w:t>
            </w:r>
            <w:r>
              <w:rPr>
                <w:rFonts w:ascii="Arial"/>
                <w:spacing w:val="-1"/>
              </w:rPr>
              <w:t>is</w:t>
            </w:r>
            <w:r>
              <w:rPr>
                <w:rFonts w:ascii="Arial"/>
                <w:spacing w:val="25"/>
              </w:rPr>
              <w:t xml:space="preserve"> </w:t>
            </w:r>
            <w:r>
              <w:rPr>
                <w:rFonts w:ascii="Arial"/>
                <w:spacing w:val="-2"/>
              </w:rPr>
              <w:t>applicable</w:t>
            </w:r>
            <w:r>
              <w:rPr>
                <w:rFonts w:ascii="Arial"/>
                <w:spacing w:val="24"/>
              </w:rPr>
              <w:t xml:space="preserve"> </w:t>
            </w:r>
            <w:r>
              <w:rPr>
                <w:rFonts w:ascii="Arial"/>
              </w:rPr>
              <w:t>to</w:t>
            </w:r>
            <w:r>
              <w:rPr>
                <w:rFonts w:ascii="Arial"/>
                <w:spacing w:val="24"/>
              </w:rPr>
              <w:t xml:space="preserve"> </w:t>
            </w:r>
            <w:r>
              <w:rPr>
                <w:rFonts w:ascii="Arial"/>
                <w:spacing w:val="-1"/>
              </w:rPr>
              <w:t>each</w:t>
            </w:r>
            <w:r>
              <w:rPr>
                <w:rFonts w:ascii="Arial"/>
                <w:spacing w:val="25"/>
              </w:rPr>
              <w:t xml:space="preserve"> </w:t>
            </w:r>
            <w:r>
              <w:rPr>
                <w:rFonts w:ascii="Arial"/>
                <w:spacing w:val="-2"/>
              </w:rPr>
              <w:t>Call</w:t>
            </w:r>
            <w:r>
              <w:rPr>
                <w:rFonts w:ascii="Arial"/>
                <w:spacing w:val="21"/>
              </w:rPr>
              <w:t xml:space="preserve"> </w:t>
            </w:r>
            <w:r>
              <w:rPr>
                <w:rFonts w:ascii="Arial"/>
                <w:spacing w:val="-1"/>
              </w:rPr>
              <w:t>Off</w:t>
            </w:r>
            <w:r>
              <w:rPr>
                <w:rFonts w:ascii="Arial"/>
                <w:spacing w:val="39"/>
              </w:rPr>
              <w:t xml:space="preserve"> </w:t>
            </w:r>
            <w:r>
              <w:rPr>
                <w:rFonts w:ascii="Arial"/>
                <w:spacing w:val="-1"/>
              </w:rPr>
              <w:t>Agreement,</w:t>
            </w:r>
            <w:r>
              <w:rPr>
                <w:rFonts w:ascii="Arial"/>
                <w:spacing w:val="17"/>
              </w:rPr>
              <w:t xml:space="preserve"> </w:t>
            </w:r>
            <w:r>
              <w:rPr>
                <w:rFonts w:ascii="Arial"/>
                <w:spacing w:val="-2"/>
              </w:rPr>
              <w:t>which</w:t>
            </w:r>
            <w:r>
              <w:rPr>
                <w:rFonts w:ascii="Arial"/>
                <w:spacing w:val="16"/>
              </w:rPr>
              <w:t xml:space="preserve"> </w:t>
            </w:r>
            <w:r>
              <w:rPr>
                <w:rFonts w:ascii="Arial"/>
                <w:spacing w:val="-1"/>
              </w:rPr>
              <w:t>structure</w:t>
            </w:r>
            <w:r>
              <w:rPr>
                <w:rFonts w:ascii="Arial"/>
                <w:spacing w:val="16"/>
              </w:rPr>
              <w:t xml:space="preserve"> </w:t>
            </w:r>
            <w:r>
              <w:rPr>
                <w:rFonts w:ascii="Arial"/>
                <w:spacing w:val="-1"/>
              </w:rPr>
              <w:t>is</w:t>
            </w:r>
            <w:r>
              <w:rPr>
                <w:rFonts w:ascii="Arial"/>
                <w:spacing w:val="16"/>
              </w:rPr>
              <w:t xml:space="preserve"> </w:t>
            </w:r>
            <w:r>
              <w:rPr>
                <w:rFonts w:ascii="Arial"/>
                <w:spacing w:val="-1"/>
              </w:rPr>
              <w:t>set</w:t>
            </w:r>
            <w:r>
              <w:rPr>
                <w:rFonts w:ascii="Arial"/>
                <w:spacing w:val="17"/>
              </w:rPr>
              <w:t xml:space="preserve"> </w:t>
            </w:r>
            <w:r>
              <w:rPr>
                <w:rFonts w:ascii="Arial"/>
                <w:spacing w:val="-1"/>
              </w:rPr>
              <w:t>out</w:t>
            </w:r>
            <w:r>
              <w:rPr>
                <w:rFonts w:ascii="Arial"/>
                <w:spacing w:val="17"/>
              </w:rPr>
              <w:t xml:space="preserve"> </w:t>
            </w:r>
            <w:r>
              <w:rPr>
                <w:rFonts w:ascii="Arial"/>
                <w:spacing w:val="-1"/>
              </w:rPr>
              <w:t>in</w:t>
            </w:r>
            <w:r>
              <w:rPr>
                <w:rFonts w:ascii="Arial"/>
                <w:spacing w:val="16"/>
              </w:rPr>
              <w:t xml:space="preserve"> </w:t>
            </w:r>
            <w:r>
              <w:rPr>
                <w:rFonts w:ascii="Arial"/>
                <w:spacing w:val="-2"/>
              </w:rPr>
              <w:t>Framework</w:t>
            </w:r>
            <w:r>
              <w:rPr>
                <w:rFonts w:ascii="Arial"/>
                <w:spacing w:val="49"/>
              </w:rPr>
              <w:t xml:space="preserve"> </w:t>
            </w:r>
            <w:r>
              <w:rPr>
                <w:rFonts w:ascii="Arial"/>
                <w:spacing w:val="-1"/>
              </w:rPr>
              <w:t>Schedule</w:t>
            </w:r>
            <w:r>
              <w:rPr>
                <w:rFonts w:ascii="Arial"/>
                <w:spacing w:val="1"/>
              </w:rPr>
              <w:t xml:space="preserve"> </w:t>
            </w:r>
            <w:r>
              <w:rPr>
                <w:rFonts w:ascii="Arial"/>
              </w:rPr>
              <w:t xml:space="preserve">3 </w:t>
            </w:r>
            <w:r>
              <w:rPr>
                <w:rFonts w:ascii="Arial"/>
                <w:spacing w:val="-2"/>
              </w:rPr>
              <w:t>(Framework</w:t>
            </w:r>
            <w:r>
              <w:rPr>
                <w:rFonts w:ascii="Arial"/>
                <w:spacing w:val="1"/>
              </w:rPr>
              <w:t xml:space="preserve"> </w:t>
            </w:r>
            <w:r>
              <w:rPr>
                <w:rFonts w:ascii="Arial"/>
                <w:spacing w:val="-1"/>
              </w:rPr>
              <w:t>Prices</w:t>
            </w:r>
            <w:r>
              <w:rPr>
                <w:rFonts w:ascii="Arial"/>
                <w:spacing w:val="1"/>
              </w:rPr>
              <w:t xml:space="preserve"> </w:t>
            </w:r>
            <w:r>
              <w:rPr>
                <w:rFonts w:ascii="Arial"/>
                <w:spacing w:val="-1"/>
              </w:rPr>
              <w:t>and</w:t>
            </w:r>
            <w:r>
              <w:rPr>
                <w:rFonts w:ascii="Arial"/>
              </w:rPr>
              <w:t xml:space="preserve"> </w:t>
            </w:r>
            <w:r>
              <w:rPr>
                <w:rFonts w:ascii="Arial"/>
                <w:spacing w:val="-2"/>
              </w:rPr>
              <w:t>Charging</w:t>
            </w:r>
            <w:r>
              <w:rPr>
                <w:rFonts w:ascii="Arial"/>
              </w:rPr>
              <w:t xml:space="preserve"> </w:t>
            </w:r>
            <w:r>
              <w:rPr>
                <w:rFonts w:ascii="Arial"/>
                <w:spacing w:val="-1"/>
              </w:rPr>
              <w:t>Structure);</w:t>
            </w:r>
          </w:p>
        </w:tc>
      </w:tr>
    </w:tbl>
    <w:p w:rsidR="008918FA" w:rsidRDefault="008918FA" w:rsidP="008918FA">
      <w:pPr>
        <w:spacing w:line="239" w:lineRule="auto"/>
        <w:jc w:val="both"/>
        <w:rPr>
          <w:rFonts w:ascii="Arial" w:eastAsia="Arial" w:hAnsi="Arial" w:cs="Arial"/>
        </w:rPr>
        <w:sectPr w:rsidR="008918FA">
          <w:pgSz w:w="11910" w:h="16840"/>
          <w:pgMar w:top="1480" w:right="11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5952"/>
      </w:tblGrid>
      <w:tr w:rsidR="008918FA" w:rsidTr="005D2B81">
        <w:trPr>
          <w:trHeight w:hRule="exact" w:val="1906"/>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pPr>
              <w:pStyle w:val="TableParagraph"/>
              <w:ind w:left="-6" w:right="848"/>
              <w:rPr>
                <w:rFonts w:ascii="Arial" w:eastAsia="Arial" w:hAnsi="Arial" w:cs="Arial"/>
              </w:rPr>
            </w:pPr>
            <w:r>
              <w:rPr>
                <w:rFonts w:ascii="Arial"/>
                <w:b/>
                <w:spacing w:val="-1"/>
              </w:rPr>
              <w:t>"Commercially</w:t>
            </w:r>
            <w:r>
              <w:rPr>
                <w:rFonts w:ascii="Arial"/>
                <w:b/>
                <w:spacing w:val="27"/>
              </w:rPr>
              <w:t xml:space="preserve"> </w:t>
            </w:r>
            <w:r>
              <w:rPr>
                <w:rFonts w:ascii="Arial"/>
                <w:b/>
                <w:spacing w:val="-1"/>
              </w:rPr>
              <w:t>Sensitive</w:t>
            </w:r>
            <w:r>
              <w:rPr>
                <w:rFonts w:ascii="Arial"/>
                <w:b/>
                <w:spacing w:val="24"/>
              </w:rPr>
              <w:t xml:space="preserve"> </w:t>
            </w:r>
            <w:r>
              <w:rPr>
                <w:rFonts w:ascii="Arial"/>
                <w:b/>
                <w:spacing w:val="-1"/>
              </w:rPr>
              <w:t>Information"</w:t>
            </w:r>
          </w:p>
        </w:tc>
        <w:tc>
          <w:tcPr>
            <w:tcW w:w="5952"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51"/>
              </w:rPr>
              <w:t xml:space="preserve"> </w:t>
            </w:r>
            <w:r>
              <w:rPr>
                <w:rFonts w:ascii="Arial"/>
              </w:rPr>
              <w:t>the</w:t>
            </w:r>
            <w:r>
              <w:rPr>
                <w:rFonts w:ascii="Arial"/>
                <w:spacing w:val="51"/>
              </w:rPr>
              <w:t xml:space="preserve"> </w:t>
            </w:r>
            <w:r>
              <w:rPr>
                <w:rFonts w:ascii="Arial"/>
                <w:spacing w:val="-1"/>
              </w:rPr>
              <w:t>Confidential</w:t>
            </w:r>
            <w:r>
              <w:rPr>
                <w:rFonts w:ascii="Arial"/>
                <w:spacing w:val="50"/>
              </w:rPr>
              <w:t xml:space="preserve"> </w:t>
            </w:r>
            <w:r>
              <w:rPr>
                <w:rFonts w:ascii="Arial"/>
                <w:spacing w:val="-1"/>
              </w:rPr>
              <w:t>information</w:t>
            </w:r>
            <w:r>
              <w:rPr>
                <w:rFonts w:ascii="Arial"/>
                <w:spacing w:val="51"/>
              </w:rPr>
              <w:t xml:space="preserve"> </w:t>
            </w:r>
            <w:r>
              <w:rPr>
                <w:rFonts w:ascii="Arial"/>
                <w:spacing w:val="-1"/>
              </w:rPr>
              <w:t>listed</w:t>
            </w:r>
            <w:r>
              <w:rPr>
                <w:rFonts w:ascii="Arial"/>
                <w:spacing w:val="51"/>
              </w:rPr>
              <w:t xml:space="preserve"> </w:t>
            </w:r>
            <w:r>
              <w:rPr>
                <w:rFonts w:ascii="Arial"/>
                <w:spacing w:val="-1"/>
              </w:rPr>
              <w:t>in</w:t>
            </w:r>
            <w:r>
              <w:rPr>
                <w:rFonts w:ascii="Arial"/>
                <w:spacing w:val="51"/>
              </w:rPr>
              <w:t xml:space="preserve"> </w:t>
            </w:r>
            <w:r>
              <w:rPr>
                <w:rFonts w:ascii="Arial"/>
              </w:rPr>
              <w:t>the</w:t>
            </w:r>
            <w:r>
              <w:rPr>
                <w:rFonts w:ascii="Arial"/>
                <w:spacing w:val="52"/>
              </w:rPr>
              <w:t xml:space="preserve"> </w:t>
            </w:r>
            <w:r>
              <w:rPr>
                <w:rFonts w:ascii="Arial"/>
                <w:spacing w:val="-1"/>
              </w:rPr>
              <w:t>Order</w:t>
            </w:r>
            <w:r>
              <w:rPr>
                <w:rFonts w:ascii="Arial"/>
                <w:spacing w:val="25"/>
              </w:rPr>
              <w:t xml:space="preserve"> </w:t>
            </w:r>
            <w:r>
              <w:rPr>
                <w:rFonts w:ascii="Arial"/>
                <w:spacing w:val="-1"/>
              </w:rPr>
              <w:t>Form</w:t>
            </w:r>
            <w:r>
              <w:rPr>
                <w:rFonts w:ascii="Arial"/>
                <w:spacing w:val="10"/>
              </w:rPr>
              <w:t xml:space="preserve"> </w:t>
            </w:r>
            <w:r>
              <w:rPr>
                <w:rFonts w:ascii="Arial"/>
                <w:spacing w:val="-2"/>
              </w:rPr>
              <w:t>(if</w:t>
            </w:r>
            <w:r>
              <w:rPr>
                <w:rFonts w:ascii="Arial"/>
                <w:spacing w:val="13"/>
              </w:rPr>
              <w:t xml:space="preserve"> </w:t>
            </w:r>
            <w:r>
              <w:rPr>
                <w:rFonts w:ascii="Arial"/>
                <w:spacing w:val="-2"/>
              </w:rPr>
              <w:t>any)</w:t>
            </w:r>
            <w:r>
              <w:rPr>
                <w:rFonts w:ascii="Arial"/>
                <w:spacing w:val="13"/>
              </w:rPr>
              <w:t xml:space="preserve"> </w:t>
            </w:r>
            <w:r>
              <w:rPr>
                <w:rFonts w:ascii="Arial"/>
                <w:spacing w:val="-1"/>
              </w:rPr>
              <w:t>comprising</w:t>
            </w:r>
            <w:r>
              <w:rPr>
                <w:rFonts w:ascii="Arial"/>
                <w:spacing w:val="14"/>
              </w:rPr>
              <w:t xml:space="preserve"> </w:t>
            </w:r>
            <w:r>
              <w:rPr>
                <w:rFonts w:ascii="Arial"/>
                <w:spacing w:val="-2"/>
              </w:rPr>
              <w:t>of</w:t>
            </w:r>
            <w:r>
              <w:rPr>
                <w:rFonts w:ascii="Arial"/>
                <w:spacing w:val="13"/>
              </w:rPr>
              <w:t xml:space="preserve"> </w:t>
            </w:r>
            <w:r>
              <w:rPr>
                <w:rFonts w:ascii="Arial"/>
              </w:rPr>
              <w:t>a</w:t>
            </w:r>
            <w:r>
              <w:rPr>
                <w:rFonts w:ascii="Arial"/>
                <w:spacing w:val="9"/>
              </w:rPr>
              <w:t xml:space="preserve"> </w:t>
            </w:r>
            <w:r>
              <w:rPr>
                <w:rFonts w:ascii="Arial"/>
                <w:spacing w:val="-2"/>
              </w:rPr>
              <w:t>commercially</w:t>
            </w:r>
            <w:r>
              <w:rPr>
                <w:rFonts w:ascii="Arial"/>
                <w:spacing w:val="11"/>
              </w:rPr>
              <w:t xml:space="preserve"> </w:t>
            </w:r>
            <w:r>
              <w:rPr>
                <w:rFonts w:ascii="Arial"/>
                <w:spacing w:val="-1"/>
              </w:rPr>
              <w:t>sensitive</w:t>
            </w:r>
            <w:r>
              <w:rPr>
                <w:rFonts w:ascii="Arial"/>
                <w:spacing w:val="39"/>
              </w:rPr>
              <w:t xml:space="preserve"> </w:t>
            </w:r>
            <w:r>
              <w:rPr>
                <w:rFonts w:ascii="Arial"/>
                <w:spacing w:val="-1"/>
              </w:rPr>
              <w:t>information</w:t>
            </w:r>
            <w:r>
              <w:rPr>
                <w:rFonts w:ascii="Arial"/>
                <w:spacing w:val="52"/>
              </w:rPr>
              <w:t xml:space="preserve"> </w:t>
            </w:r>
            <w:r>
              <w:rPr>
                <w:rFonts w:ascii="Arial"/>
                <w:spacing w:val="-1"/>
              </w:rPr>
              <w:t>relating</w:t>
            </w:r>
            <w:r>
              <w:rPr>
                <w:rFonts w:ascii="Arial"/>
                <w:spacing w:val="52"/>
              </w:rPr>
              <w:t xml:space="preserve"> </w:t>
            </w:r>
            <w:r>
              <w:rPr>
                <w:rFonts w:ascii="Arial"/>
              </w:rPr>
              <w:t>to</w:t>
            </w:r>
            <w:r>
              <w:rPr>
                <w:rFonts w:ascii="Arial"/>
                <w:spacing w:val="49"/>
              </w:rPr>
              <w:t xml:space="preserve"> </w:t>
            </w:r>
            <w:r>
              <w:rPr>
                <w:rFonts w:ascii="Arial"/>
              </w:rPr>
              <w:t>the</w:t>
            </w:r>
            <w:r>
              <w:rPr>
                <w:rFonts w:ascii="Arial"/>
                <w:spacing w:val="52"/>
              </w:rPr>
              <w:t xml:space="preserve"> </w:t>
            </w:r>
            <w:r>
              <w:rPr>
                <w:rFonts w:ascii="Arial"/>
                <w:spacing w:val="-1"/>
              </w:rPr>
              <w:t>Supplier,</w:t>
            </w:r>
            <w:r>
              <w:rPr>
                <w:rFonts w:ascii="Arial"/>
                <w:spacing w:val="53"/>
              </w:rPr>
              <w:t xml:space="preserve"> </w:t>
            </w:r>
            <w:r>
              <w:rPr>
                <w:rFonts w:ascii="Arial"/>
                <w:spacing w:val="-1"/>
              </w:rPr>
              <w:t>its</w:t>
            </w:r>
            <w:r>
              <w:rPr>
                <w:rFonts w:ascii="Arial"/>
                <w:spacing w:val="52"/>
              </w:rPr>
              <w:t xml:space="preserve"> </w:t>
            </w:r>
            <w:r>
              <w:rPr>
                <w:rFonts w:ascii="Arial"/>
                <w:spacing w:val="-1"/>
              </w:rPr>
              <w:t>IPR</w:t>
            </w:r>
            <w:r>
              <w:rPr>
                <w:rFonts w:ascii="Arial"/>
                <w:spacing w:val="52"/>
              </w:rPr>
              <w:t xml:space="preserve"> </w:t>
            </w:r>
            <w:r>
              <w:rPr>
                <w:rFonts w:ascii="Arial"/>
                <w:spacing w:val="-1"/>
              </w:rPr>
              <w:t>or</w:t>
            </w:r>
            <w:r>
              <w:rPr>
                <w:rFonts w:ascii="Arial"/>
                <w:spacing w:val="53"/>
              </w:rPr>
              <w:t xml:space="preserve"> </w:t>
            </w:r>
            <w:r>
              <w:rPr>
                <w:rFonts w:ascii="Arial"/>
                <w:spacing w:val="-2"/>
              </w:rPr>
              <w:t>its</w:t>
            </w:r>
            <w:r>
              <w:rPr>
                <w:rFonts w:ascii="Arial"/>
                <w:spacing w:val="28"/>
              </w:rPr>
              <w:t xml:space="preserve"> </w:t>
            </w:r>
            <w:r>
              <w:rPr>
                <w:rFonts w:ascii="Arial"/>
                <w:spacing w:val="-1"/>
              </w:rPr>
              <w:t>business</w:t>
            </w:r>
            <w:r>
              <w:rPr>
                <w:rFonts w:ascii="Arial"/>
                <w:spacing w:val="15"/>
              </w:rPr>
              <w:t xml:space="preserve"> </w:t>
            </w:r>
            <w:r>
              <w:rPr>
                <w:rFonts w:ascii="Arial"/>
                <w:spacing w:val="-1"/>
              </w:rPr>
              <w:t>or</w:t>
            </w:r>
            <w:r>
              <w:rPr>
                <w:rFonts w:ascii="Arial"/>
                <w:spacing w:val="15"/>
              </w:rPr>
              <w:t xml:space="preserve"> </w:t>
            </w:r>
            <w:r>
              <w:rPr>
                <w:rFonts w:ascii="Arial"/>
                <w:spacing w:val="-1"/>
              </w:rPr>
              <w:t>which</w:t>
            </w:r>
            <w:r>
              <w:rPr>
                <w:rFonts w:ascii="Arial"/>
                <w:spacing w:val="14"/>
              </w:rPr>
              <w:t xml:space="preserve"> </w:t>
            </w:r>
            <w:r>
              <w:rPr>
                <w:rFonts w:ascii="Arial"/>
              </w:rPr>
              <w:t>the</w:t>
            </w:r>
            <w:r>
              <w:rPr>
                <w:rFonts w:ascii="Arial"/>
                <w:spacing w:val="16"/>
              </w:rPr>
              <w:t xml:space="preserve"> </w:t>
            </w:r>
            <w:r>
              <w:rPr>
                <w:rFonts w:ascii="Arial"/>
                <w:spacing w:val="-2"/>
              </w:rPr>
              <w:t>Supplier</w:t>
            </w:r>
            <w:r>
              <w:rPr>
                <w:rFonts w:ascii="Arial"/>
                <w:spacing w:val="15"/>
              </w:rPr>
              <w:t xml:space="preserve"> </w:t>
            </w:r>
            <w:r>
              <w:rPr>
                <w:rFonts w:ascii="Arial"/>
                <w:spacing w:val="-1"/>
              </w:rPr>
              <w:t>has</w:t>
            </w:r>
            <w:r>
              <w:rPr>
                <w:rFonts w:ascii="Arial"/>
                <w:spacing w:val="17"/>
              </w:rPr>
              <w:t xml:space="preserve"> </w:t>
            </w:r>
            <w:r>
              <w:rPr>
                <w:rFonts w:ascii="Arial"/>
                <w:spacing w:val="-1"/>
              </w:rPr>
              <w:t>indicated</w:t>
            </w:r>
            <w:r>
              <w:rPr>
                <w:rFonts w:ascii="Arial"/>
                <w:spacing w:val="14"/>
              </w:rPr>
              <w:t xml:space="preserve"> </w:t>
            </w:r>
            <w:r>
              <w:rPr>
                <w:rFonts w:ascii="Arial"/>
              </w:rPr>
              <w:t>to</w:t>
            </w:r>
            <w:r>
              <w:rPr>
                <w:rFonts w:ascii="Arial"/>
                <w:spacing w:val="14"/>
              </w:rPr>
              <w:t xml:space="preserve"> </w:t>
            </w:r>
            <w:r>
              <w:rPr>
                <w:rFonts w:ascii="Arial"/>
                <w:spacing w:val="-1"/>
              </w:rPr>
              <w:t>the</w:t>
            </w:r>
            <w:r>
              <w:rPr>
                <w:rFonts w:ascii="Arial"/>
                <w:spacing w:val="30"/>
              </w:rPr>
              <w:t xml:space="preserve"> </w:t>
            </w:r>
            <w:r>
              <w:rPr>
                <w:rFonts w:ascii="Arial"/>
                <w:spacing w:val="-1"/>
              </w:rPr>
              <w:t>Customer</w:t>
            </w:r>
            <w:r>
              <w:rPr>
                <w:rFonts w:ascii="Arial"/>
                <w:spacing w:val="24"/>
              </w:rPr>
              <w:t xml:space="preserve"> </w:t>
            </w:r>
            <w:r>
              <w:rPr>
                <w:rFonts w:ascii="Arial"/>
                <w:spacing w:val="-1"/>
              </w:rPr>
              <w:t>that,</w:t>
            </w:r>
            <w:r>
              <w:rPr>
                <w:rFonts w:ascii="Arial"/>
                <w:spacing w:val="25"/>
              </w:rPr>
              <w:t xml:space="preserve"> </w:t>
            </w:r>
            <w:r>
              <w:rPr>
                <w:rFonts w:ascii="Arial"/>
                <w:spacing w:val="-2"/>
              </w:rPr>
              <w:t>if</w:t>
            </w:r>
            <w:r>
              <w:rPr>
                <w:rFonts w:ascii="Arial"/>
                <w:spacing w:val="27"/>
              </w:rPr>
              <w:t xml:space="preserve"> </w:t>
            </w:r>
            <w:r>
              <w:rPr>
                <w:rFonts w:ascii="Arial"/>
                <w:spacing w:val="-1"/>
              </w:rPr>
              <w:t>disclosed</w:t>
            </w:r>
            <w:r>
              <w:rPr>
                <w:rFonts w:ascii="Arial"/>
                <w:spacing w:val="23"/>
              </w:rPr>
              <w:t xml:space="preserve"> </w:t>
            </w:r>
            <w:r>
              <w:rPr>
                <w:rFonts w:ascii="Arial"/>
                <w:spacing w:val="-1"/>
              </w:rPr>
              <w:t>by</w:t>
            </w:r>
            <w:r>
              <w:rPr>
                <w:rFonts w:ascii="Arial"/>
                <w:spacing w:val="21"/>
              </w:rPr>
              <w:t xml:space="preserve"> </w:t>
            </w:r>
            <w:r>
              <w:rPr>
                <w:rFonts w:ascii="Arial"/>
              </w:rPr>
              <w:t>the</w:t>
            </w:r>
            <w:r>
              <w:rPr>
                <w:rFonts w:ascii="Arial"/>
                <w:spacing w:val="23"/>
              </w:rPr>
              <w:t xml:space="preserve"> </w:t>
            </w:r>
            <w:r>
              <w:rPr>
                <w:rFonts w:ascii="Arial"/>
                <w:spacing w:val="-1"/>
              </w:rPr>
              <w:t>Customer,</w:t>
            </w:r>
            <w:r>
              <w:rPr>
                <w:rFonts w:ascii="Arial"/>
                <w:spacing w:val="25"/>
              </w:rPr>
              <w:t xml:space="preserve"> </w:t>
            </w:r>
            <w:r>
              <w:rPr>
                <w:rFonts w:ascii="Arial"/>
                <w:spacing w:val="-2"/>
              </w:rPr>
              <w:t>would</w:t>
            </w:r>
            <w:r>
              <w:rPr>
                <w:rFonts w:ascii="Arial"/>
                <w:spacing w:val="30"/>
              </w:rPr>
              <w:t xml:space="preserve"> </w:t>
            </w:r>
            <w:r>
              <w:rPr>
                <w:rFonts w:ascii="Arial"/>
                <w:spacing w:val="-1"/>
              </w:rPr>
              <w:t>cause</w:t>
            </w:r>
            <w:r>
              <w:rPr>
                <w:rFonts w:ascii="Arial"/>
                <w:spacing w:val="30"/>
              </w:rPr>
              <w:t xml:space="preserve"> </w:t>
            </w:r>
            <w:r>
              <w:rPr>
                <w:rFonts w:ascii="Arial"/>
              </w:rPr>
              <w:t>the</w:t>
            </w:r>
            <w:r>
              <w:rPr>
                <w:rFonts w:ascii="Arial"/>
                <w:spacing w:val="29"/>
              </w:rPr>
              <w:t xml:space="preserve"> </w:t>
            </w:r>
            <w:r>
              <w:rPr>
                <w:rFonts w:ascii="Arial"/>
                <w:spacing w:val="-2"/>
              </w:rPr>
              <w:t>Supplier</w:t>
            </w:r>
            <w:r>
              <w:rPr>
                <w:rFonts w:ascii="Arial"/>
                <w:spacing w:val="30"/>
              </w:rPr>
              <w:t xml:space="preserve"> </w:t>
            </w:r>
            <w:r>
              <w:rPr>
                <w:rFonts w:ascii="Arial"/>
                <w:spacing w:val="-1"/>
              </w:rPr>
              <w:t>significant</w:t>
            </w:r>
            <w:r>
              <w:rPr>
                <w:rFonts w:ascii="Arial"/>
                <w:spacing w:val="30"/>
              </w:rPr>
              <w:t xml:space="preserve"> </w:t>
            </w:r>
            <w:r>
              <w:rPr>
                <w:rFonts w:ascii="Arial"/>
                <w:spacing w:val="-1"/>
              </w:rPr>
              <w:t>commercial</w:t>
            </w:r>
            <w:r>
              <w:rPr>
                <w:rFonts w:ascii="Arial"/>
                <w:spacing w:val="28"/>
              </w:rPr>
              <w:t xml:space="preserve"> </w:t>
            </w:r>
            <w:r>
              <w:rPr>
                <w:rFonts w:ascii="Arial"/>
                <w:spacing w:val="-1"/>
              </w:rPr>
              <w:t>disadvantage</w:t>
            </w:r>
            <w:r>
              <w:rPr>
                <w:rFonts w:ascii="Arial"/>
                <w:spacing w:val="22"/>
              </w:rPr>
              <w:t xml:space="preserve"> </w:t>
            </w:r>
            <w:r>
              <w:rPr>
                <w:rFonts w:ascii="Arial"/>
                <w:spacing w:val="-1"/>
              </w:rPr>
              <w:t>or material</w:t>
            </w:r>
            <w:r>
              <w:rPr>
                <w:rFonts w:ascii="Arial"/>
                <w:spacing w:val="-3"/>
              </w:rPr>
              <w:t xml:space="preserve"> </w:t>
            </w:r>
            <w:r>
              <w:rPr>
                <w:rFonts w:ascii="Arial"/>
                <w:spacing w:val="-1"/>
              </w:rPr>
              <w:t>financial</w:t>
            </w:r>
            <w:r>
              <w:rPr>
                <w:rFonts w:ascii="Arial"/>
              </w:rPr>
              <w:t xml:space="preserve"> </w:t>
            </w:r>
            <w:r>
              <w:rPr>
                <w:rFonts w:ascii="Arial"/>
                <w:spacing w:val="-2"/>
              </w:rPr>
              <w:t>loss;</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"Comparable</w:t>
            </w:r>
            <w:r>
              <w:rPr>
                <w:rFonts w:ascii="Arial"/>
                <w:b/>
              </w:rPr>
              <w:t xml:space="preserve"> </w:t>
            </w:r>
            <w:r>
              <w:rPr>
                <w:rFonts w:ascii="Arial"/>
                <w:b/>
                <w:spacing w:val="-2"/>
              </w:rPr>
              <w:t>Supply"</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30"/>
              </w:rPr>
              <w:t xml:space="preserve"> </w:t>
            </w:r>
            <w:r>
              <w:rPr>
                <w:rFonts w:ascii="Arial"/>
              </w:rPr>
              <w:t>the</w:t>
            </w:r>
            <w:r>
              <w:rPr>
                <w:rFonts w:ascii="Arial"/>
                <w:spacing w:val="29"/>
              </w:rPr>
              <w:t xml:space="preserve"> </w:t>
            </w:r>
            <w:r>
              <w:rPr>
                <w:rFonts w:ascii="Arial"/>
                <w:spacing w:val="-1"/>
              </w:rPr>
              <w:t>supply</w:t>
            </w:r>
            <w:r>
              <w:rPr>
                <w:rFonts w:ascii="Arial"/>
                <w:spacing w:val="27"/>
              </w:rPr>
              <w:t xml:space="preserve"> </w:t>
            </w:r>
            <w:r>
              <w:rPr>
                <w:rFonts w:ascii="Arial"/>
                <w:spacing w:val="-1"/>
              </w:rPr>
              <w:t>of</w:t>
            </w:r>
            <w:r>
              <w:rPr>
                <w:rFonts w:ascii="Arial"/>
                <w:spacing w:val="34"/>
              </w:rPr>
              <w:t xml:space="preserve"> </w:t>
            </w:r>
            <w:r>
              <w:rPr>
                <w:rFonts w:ascii="Arial"/>
                <w:spacing w:val="-1"/>
              </w:rPr>
              <w:t>Goods</w:t>
            </w:r>
            <w:r>
              <w:rPr>
                <w:rFonts w:ascii="Arial"/>
                <w:spacing w:val="30"/>
              </w:rPr>
              <w:t xml:space="preserve"> </w:t>
            </w:r>
            <w:r>
              <w:rPr>
                <w:rFonts w:ascii="Arial"/>
                <w:spacing w:val="-1"/>
              </w:rPr>
              <w:t>and/or</w:t>
            </w:r>
            <w:r>
              <w:rPr>
                <w:rFonts w:ascii="Arial"/>
                <w:spacing w:val="30"/>
              </w:rPr>
              <w:t xml:space="preserve"> </w:t>
            </w:r>
            <w:r>
              <w:rPr>
                <w:rFonts w:ascii="Arial"/>
                <w:spacing w:val="-1"/>
              </w:rPr>
              <w:t>Services</w:t>
            </w:r>
            <w:r>
              <w:rPr>
                <w:rFonts w:ascii="Arial"/>
                <w:spacing w:val="30"/>
              </w:rPr>
              <w:t xml:space="preserve"> </w:t>
            </w:r>
            <w:r>
              <w:rPr>
                <w:rFonts w:ascii="Arial"/>
              </w:rPr>
              <w:t>to</w:t>
            </w:r>
            <w:r>
              <w:rPr>
                <w:rFonts w:ascii="Arial"/>
                <w:spacing w:val="29"/>
              </w:rPr>
              <w:t xml:space="preserve"> </w:t>
            </w:r>
            <w:r>
              <w:rPr>
                <w:rFonts w:ascii="Arial"/>
                <w:spacing w:val="-1"/>
              </w:rPr>
              <w:t>another</w:t>
            </w:r>
            <w:r>
              <w:rPr>
                <w:rFonts w:ascii="Arial"/>
                <w:spacing w:val="21"/>
              </w:rPr>
              <w:t xml:space="preserve"> </w:t>
            </w:r>
            <w:r>
              <w:rPr>
                <w:rFonts w:ascii="Arial"/>
                <w:spacing w:val="-1"/>
              </w:rPr>
              <w:t>customer</w:t>
            </w:r>
            <w:r>
              <w:rPr>
                <w:rFonts w:ascii="Arial"/>
                <w:spacing w:val="21"/>
              </w:rPr>
              <w:t xml:space="preserve"> </w:t>
            </w:r>
            <w:r>
              <w:rPr>
                <w:rFonts w:ascii="Arial"/>
                <w:spacing w:val="-2"/>
              </w:rPr>
              <w:t>of</w:t>
            </w:r>
            <w:r>
              <w:rPr>
                <w:rFonts w:ascii="Arial"/>
                <w:spacing w:val="21"/>
              </w:rPr>
              <w:t xml:space="preserve"> </w:t>
            </w:r>
            <w:r>
              <w:rPr>
                <w:rFonts w:ascii="Arial"/>
              </w:rPr>
              <w:t>the</w:t>
            </w:r>
            <w:r>
              <w:rPr>
                <w:rFonts w:ascii="Arial"/>
                <w:spacing w:val="20"/>
              </w:rPr>
              <w:t xml:space="preserve"> </w:t>
            </w:r>
            <w:r>
              <w:rPr>
                <w:rFonts w:ascii="Arial"/>
                <w:spacing w:val="-2"/>
              </w:rPr>
              <w:t>Supplier</w:t>
            </w:r>
            <w:r>
              <w:rPr>
                <w:rFonts w:ascii="Arial"/>
                <w:spacing w:val="21"/>
              </w:rPr>
              <w:t xml:space="preserve"> </w:t>
            </w:r>
            <w:r>
              <w:rPr>
                <w:rFonts w:ascii="Arial"/>
                <w:spacing w:val="-1"/>
              </w:rPr>
              <w:t>that</w:t>
            </w:r>
            <w:r>
              <w:rPr>
                <w:rFonts w:ascii="Arial"/>
                <w:spacing w:val="21"/>
              </w:rPr>
              <w:t xml:space="preserve"> </w:t>
            </w:r>
            <w:r>
              <w:rPr>
                <w:rFonts w:ascii="Arial"/>
                <w:spacing w:val="-1"/>
              </w:rPr>
              <w:t>are</w:t>
            </w:r>
            <w:r>
              <w:rPr>
                <w:rFonts w:ascii="Arial"/>
                <w:spacing w:val="19"/>
              </w:rPr>
              <w:t xml:space="preserve"> </w:t>
            </w:r>
            <w:r>
              <w:rPr>
                <w:rFonts w:ascii="Arial"/>
              </w:rPr>
              <w:t>the</w:t>
            </w:r>
            <w:r>
              <w:rPr>
                <w:rFonts w:ascii="Arial"/>
                <w:spacing w:val="20"/>
              </w:rPr>
              <w:t xml:space="preserve"> </w:t>
            </w:r>
            <w:r>
              <w:rPr>
                <w:rFonts w:ascii="Arial"/>
                <w:spacing w:val="-1"/>
              </w:rPr>
              <w:t>same</w:t>
            </w:r>
            <w:r>
              <w:rPr>
                <w:rFonts w:ascii="Arial"/>
                <w:spacing w:val="19"/>
              </w:rPr>
              <w:t xml:space="preserve"> </w:t>
            </w:r>
            <w:r>
              <w:rPr>
                <w:rFonts w:ascii="Arial"/>
                <w:spacing w:val="-1"/>
              </w:rPr>
              <w:t>or</w:t>
            </w:r>
            <w:r>
              <w:rPr>
                <w:rFonts w:ascii="Arial"/>
                <w:spacing w:val="21"/>
              </w:rPr>
              <w:t xml:space="preserve"> </w:t>
            </w:r>
            <w:r>
              <w:rPr>
                <w:rFonts w:ascii="Arial"/>
                <w:spacing w:val="-2"/>
              </w:rPr>
              <w:t>similar</w:t>
            </w:r>
            <w:r>
              <w:rPr>
                <w:rFonts w:ascii="Arial"/>
                <w:spacing w:val="21"/>
              </w:rPr>
              <w:t xml:space="preserve"> </w:t>
            </w:r>
            <w:r>
              <w:rPr>
                <w:rFonts w:ascii="Arial"/>
              </w:rPr>
              <w:t>to</w:t>
            </w:r>
            <w:r>
              <w:rPr>
                <w:rFonts w:ascii="Arial"/>
                <w:spacing w:val="45"/>
              </w:rPr>
              <w:t xml:space="preserve"> </w:t>
            </w:r>
            <w:r>
              <w:rPr>
                <w:rFonts w:ascii="Arial"/>
              </w:rPr>
              <w:t>the</w:t>
            </w:r>
            <w:r>
              <w:rPr>
                <w:rFonts w:ascii="Arial"/>
                <w:spacing w:val="-2"/>
              </w:rPr>
              <w:t xml:space="preserve"> </w:t>
            </w:r>
            <w:r>
              <w:rPr>
                <w:rFonts w:ascii="Arial"/>
                <w:spacing w:val="-1"/>
              </w:rPr>
              <w:t>Goods</w:t>
            </w:r>
            <w:r>
              <w:rPr>
                <w:rFonts w:ascii="Arial"/>
                <w:spacing w:val="-2"/>
              </w:rPr>
              <w:t xml:space="preserve"> </w:t>
            </w:r>
            <w:r>
              <w:rPr>
                <w:rFonts w:ascii="Arial"/>
                <w:spacing w:val="-1"/>
              </w:rPr>
              <w:t>and/or</w:t>
            </w:r>
            <w:r>
              <w:rPr>
                <w:rFonts w:ascii="Arial"/>
                <w:spacing w:val="2"/>
              </w:rPr>
              <w:t xml:space="preserve"> </w:t>
            </w:r>
            <w:r>
              <w:rPr>
                <w:rFonts w:ascii="Arial"/>
                <w:spacing w:val="-1"/>
              </w:rPr>
              <w:t>Services;</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ind w:left="-6" w:right="186"/>
              <w:rPr>
                <w:rFonts w:ascii="Arial" w:eastAsia="Arial" w:hAnsi="Arial" w:cs="Arial"/>
              </w:rPr>
            </w:pPr>
            <w:r>
              <w:rPr>
                <w:rFonts w:ascii="Arial" w:eastAsia="Arial" w:hAnsi="Arial" w:cs="Arial"/>
                <w:b/>
                <w:bCs/>
                <w:spacing w:val="-1"/>
              </w:rPr>
              <w:t>“Compensation</w:t>
            </w:r>
            <w:r>
              <w:rPr>
                <w:rFonts w:ascii="Arial" w:eastAsia="Arial" w:hAnsi="Arial" w:cs="Arial"/>
                <w:b/>
                <w:bCs/>
                <w:spacing w:val="-2"/>
              </w:rPr>
              <w:t xml:space="preserve"> </w:t>
            </w:r>
            <w:r>
              <w:rPr>
                <w:rFonts w:ascii="Arial" w:eastAsia="Arial" w:hAnsi="Arial" w:cs="Arial"/>
                <w:b/>
                <w:bCs/>
                <w:spacing w:val="-1"/>
              </w:rPr>
              <w:t>for</w:t>
            </w:r>
            <w:r>
              <w:rPr>
                <w:rFonts w:ascii="Arial" w:eastAsia="Arial" w:hAnsi="Arial" w:cs="Arial"/>
                <w:b/>
                <w:bCs/>
                <w:spacing w:val="24"/>
              </w:rPr>
              <w:t xml:space="preserve"> </w:t>
            </w:r>
            <w:r>
              <w:rPr>
                <w:rFonts w:ascii="Arial" w:eastAsia="Arial" w:hAnsi="Arial" w:cs="Arial"/>
                <w:b/>
                <w:bCs/>
                <w:spacing w:val="-1"/>
              </w:rPr>
              <w:t>Critical</w:t>
            </w:r>
            <w:r>
              <w:rPr>
                <w:rFonts w:ascii="Arial" w:eastAsia="Arial" w:hAnsi="Arial" w:cs="Arial"/>
                <w:b/>
                <w:bCs/>
              </w:rPr>
              <w:t xml:space="preserve"> </w:t>
            </w: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2"/>
              </w:rPr>
              <w:t>Level</w:t>
            </w:r>
            <w:r>
              <w:rPr>
                <w:rFonts w:ascii="Arial" w:eastAsia="Arial" w:hAnsi="Arial" w:cs="Arial"/>
                <w:b/>
                <w:bCs/>
                <w:spacing w:val="29"/>
              </w:rPr>
              <w:t xml:space="preserve"> </w:t>
            </w:r>
            <w:r>
              <w:rPr>
                <w:rFonts w:ascii="Arial" w:eastAsia="Arial" w:hAnsi="Arial" w:cs="Arial"/>
                <w:b/>
                <w:bCs/>
                <w:spacing w:val="-1"/>
              </w:rPr>
              <w:t>Failure”</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rPr>
                <w:rFonts w:ascii="Arial" w:eastAsia="Arial" w:hAnsi="Arial" w:cs="Arial"/>
              </w:rPr>
            </w:pPr>
            <w:r>
              <w:rPr>
                <w:rFonts w:ascii="Arial"/>
                <w:spacing w:val="-1"/>
              </w:rPr>
              <w:t>has</w:t>
            </w:r>
            <w:r>
              <w:rPr>
                <w:rFonts w:ascii="Arial"/>
                <w:spacing w:val="53"/>
              </w:rPr>
              <w:t xml:space="preserve"> </w:t>
            </w:r>
            <w:r>
              <w:rPr>
                <w:rFonts w:ascii="Arial"/>
              </w:rPr>
              <w:t>the</w:t>
            </w:r>
            <w:r>
              <w:rPr>
                <w:rFonts w:ascii="Arial"/>
                <w:spacing w:val="51"/>
              </w:rPr>
              <w:t xml:space="preserve"> </w:t>
            </w:r>
            <w:r>
              <w:rPr>
                <w:rFonts w:ascii="Arial"/>
                <w:spacing w:val="-2"/>
              </w:rPr>
              <w:t>meaning</w:t>
            </w:r>
            <w:r>
              <w:rPr>
                <w:rFonts w:ascii="Arial"/>
                <w:spacing w:val="53"/>
              </w:rPr>
              <w:t xml:space="preserve"> </w:t>
            </w:r>
            <w:r>
              <w:rPr>
                <w:rFonts w:ascii="Arial"/>
                <w:spacing w:val="-1"/>
              </w:rPr>
              <w:t>given</w:t>
            </w:r>
            <w:r>
              <w:rPr>
                <w:rFonts w:ascii="Arial"/>
                <w:spacing w:val="53"/>
              </w:rPr>
              <w:t xml:space="preserve"> </w:t>
            </w:r>
            <w:r>
              <w:rPr>
                <w:rFonts w:ascii="Arial"/>
              </w:rPr>
              <w:t>to</w:t>
            </w:r>
            <w:r>
              <w:rPr>
                <w:rFonts w:ascii="Arial"/>
                <w:spacing w:val="53"/>
              </w:rPr>
              <w:t xml:space="preserve"> </w:t>
            </w:r>
            <w:r>
              <w:rPr>
                <w:rFonts w:ascii="Arial"/>
                <w:spacing w:val="-1"/>
              </w:rPr>
              <w:t>it</w:t>
            </w:r>
            <w:r>
              <w:rPr>
                <w:rFonts w:ascii="Arial"/>
                <w:spacing w:val="52"/>
              </w:rPr>
              <w:t xml:space="preserve"> </w:t>
            </w:r>
            <w:r>
              <w:rPr>
                <w:rFonts w:ascii="Arial"/>
                <w:spacing w:val="-1"/>
              </w:rPr>
              <w:t>in</w:t>
            </w:r>
            <w:r>
              <w:rPr>
                <w:rFonts w:ascii="Arial"/>
                <w:spacing w:val="54"/>
              </w:rPr>
              <w:t xml:space="preserve"> </w:t>
            </w:r>
            <w:r>
              <w:rPr>
                <w:rFonts w:ascii="Arial"/>
                <w:spacing w:val="-2"/>
              </w:rPr>
              <w:t>Clause</w:t>
            </w:r>
            <w:r>
              <w:rPr>
                <w:rFonts w:ascii="Arial"/>
                <w:spacing w:val="55"/>
              </w:rPr>
              <w:t xml:space="preserve"> </w:t>
            </w:r>
            <w:hyperlink w:anchor="_bookmark101" w:history="1">
              <w:r>
                <w:rPr>
                  <w:rFonts w:ascii="Arial"/>
                  <w:spacing w:val="-1"/>
                </w:rPr>
                <w:t>14.1.2</w:t>
              </w:r>
            </w:hyperlink>
            <w:r>
              <w:rPr>
                <w:rFonts w:ascii="Arial"/>
                <w:spacing w:val="51"/>
              </w:rPr>
              <w:t xml:space="preserve"> </w:t>
            </w:r>
            <w:r>
              <w:rPr>
                <w:rFonts w:ascii="Arial"/>
                <w:spacing w:val="-1"/>
              </w:rPr>
              <w:t>(Critical</w:t>
            </w:r>
            <w:r>
              <w:rPr>
                <w:rFonts w:ascii="Arial"/>
                <w:spacing w:val="39"/>
              </w:rPr>
              <w:t xml:space="preserve"> </w:t>
            </w:r>
            <w:r>
              <w:rPr>
                <w:rFonts w:ascii="Arial"/>
                <w:spacing w:val="-2"/>
              </w:rPr>
              <w:t>Service</w:t>
            </w:r>
            <w:r>
              <w:rPr>
                <w:rFonts w:ascii="Arial"/>
                <w:spacing w:val="1"/>
              </w:rPr>
              <w:t xml:space="preserve"> </w:t>
            </w:r>
            <w:r>
              <w:rPr>
                <w:rFonts w:ascii="Arial"/>
                <w:spacing w:val="-2"/>
              </w:rPr>
              <w:t>Level</w:t>
            </w:r>
            <w:r>
              <w:rPr>
                <w:rFonts w:ascii="Arial"/>
              </w:rPr>
              <w:t xml:space="preserve"> </w:t>
            </w:r>
            <w:r>
              <w:rPr>
                <w:rFonts w:ascii="Arial"/>
                <w:spacing w:val="-1"/>
              </w:rPr>
              <w:t>Failure);</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1022"/>
              <w:rPr>
                <w:rFonts w:ascii="Arial" w:eastAsia="Arial" w:hAnsi="Arial" w:cs="Arial"/>
              </w:rPr>
            </w:pPr>
            <w:r>
              <w:rPr>
                <w:rFonts w:ascii="Arial"/>
                <w:b/>
                <w:spacing w:val="-1"/>
              </w:rPr>
              <w:t>"Confidential</w:t>
            </w:r>
            <w:r>
              <w:rPr>
                <w:rFonts w:ascii="Arial"/>
                <w:b/>
                <w:spacing w:val="24"/>
              </w:rPr>
              <w:t xml:space="preserve"> </w:t>
            </w:r>
            <w:r>
              <w:rPr>
                <w:rFonts w:ascii="Arial"/>
                <w:b/>
                <w:spacing w:val="-1"/>
              </w:rPr>
              <w:t>Information"</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58"/>
              </w:rPr>
              <w:t xml:space="preserve"> </w:t>
            </w:r>
            <w:r>
              <w:rPr>
                <w:rFonts w:ascii="Arial"/>
              </w:rPr>
              <w:t>the</w:t>
            </w:r>
            <w:r>
              <w:rPr>
                <w:rFonts w:ascii="Arial"/>
                <w:spacing w:val="60"/>
              </w:rPr>
              <w:t xml:space="preserve"> </w:t>
            </w:r>
            <w:r>
              <w:rPr>
                <w:rFonts w:ascii="Arial"/>
                <w:spacing w:val="-1"/>
              </w:rPr>
              <w:t>Customer's</w:t>
            </w:r>
            <w:r>
              <w:rPr>
                <w:rFonts w:ascii="Arial"/>
                <w:spacing w:val="58"/>
              </w:rPr>
              <w:t xml:space="preserve"> </w:t>
            </w:r>
            <w:r>
              <w:rPr>
                <w:rFonts w:ascii="Arial"/>
                <w:spacing w:val="-1"/>
              </w:rPr>
              <w:t>Confidential</w:t>
            </w:r>
            <w:r>
              <w:rPr>
                <w:rFonts w:ascii="Arial"/>
                <w:spacing w:val="59"/>
              </w:rPr>
              <w:t xml:space="preserve"> </w:t>
            </w:r>
            <w:r>
              <w:rPr>
                <w:rFonts w:ascii="Arial"/>
                <w:spacing w:val="-1"/>
              </w:rPr>
              <w:t>Information</w:t>
            </w:r>
            <w:r>
              <w:rPr>
                <w:rFonts w:ascii="Arial"/>
                <w:spacing w:val="60"/>
              </w:rPr>
              <w:t xml:space="preserve"> </w:t>
            </w:r>
            <w:r>
              <w:rPr>
                <w:rFonts w:ascii="Arial"/>
                <w:spacing w:val="-2"/>
              </w:rPr>
              <w:t>and/or</w:t>
            </w:r>
            <w:r>
              <w:rPr>
                <w:rFonts w:ascii="Arial"/>
                <w:spacing w:val="29"/>
              </w:rPr>
              <w:t xml:space="preserve"> </w:t>
            </w:r>
            <w:r>
              <w:rPr>
                <w:rFonts w:ascii="Arial"/>
              </w:rPr>
              <w:t>the</w:t>
            </w:r>
            <w:r>
              <w:rPr>
                <w:rFonts w:ascii="Arial"/>
                <w:spacing w:val="60"/>
              </w:rPr>
              <w:t xml:space="preserve"> </w:t>
            </w:r>
            <w:r>
              <w:rPr>
                <w:rFonts w:ascii="Arial"/>
                <w:spacing w:val="-1"/>
              </w:rPr>
              <w:t>Supplier's</w:t>
            </w:r>
            <w:r>
              <w:rPr>
                <w:rFonts w:ascii="Arial"/>
              </w:rPr>
              <w:t xml:space="preserve"> </w:t>
            </w:r>
            <w:r>
              <w:rPr>
                <w:rFonts w:ascii="Arial"/>
                <w:spacing w:val="-2"/>
              </w:rPr>
              <w:t>Confidential</w:t>
            </w:r>
            <w:r>
              <w:rPr>
                <w:rFonts w:ascii="Arial"/>
                <w:spacing w:val="59"/>
              </w:rPr>
              <w:t xml:space="preserve"> </w:t>
            </w:r>
            <w:r>
              <w:rPr>
                <w:rFonts w:ascii="Arial"/>
                <w:spacing w:val="-1"/>
              </w:rPr>
              <w:t>Information,</w:t>
            </w:r>
            <w:r>
              <w:rPr>
                <w:rFonts w:ascii="Arial"/>
                <w:spacing w:val="59"/>
              </w:rPr>
              <w:t xml:space="preserve"> </w:t>
            </w:r>
            <w:r>
              <w:rPr>
                <w:rFonts w:ascii="Arial"/>
                <w:spacing w:val="-1"/>
              </w:rPr>
              <w:t>as</w:t>
            </w:r>
            <w:r>
              <w:rPr>
                <w:rFonts w:ascii="Arial"/>
                <w:spacing w:val="58"/>
              </w:rPr>
              <w:t xml:space="preserve"> </w:t>
            </w:r>
            <w:r>
              <w:rPr>
                <w:rFonts w:ascii="Arial"/>
              </w:rPr>
              <w:t>the</w:t>
            </w:r>
            <w:r>
              <w:rPr>
                <w:rFonts w:ascii="Arial"/>
                <w:spacing w:val="58"/>
              </w:rPr>
              <w:t xml:space="preserve"> </w:t>
            </w:r>
            <w:r>
              <w:rPr>
                <w:rFonts w:ascii="Arial"/>
                <w:spacing w:val="-1"/>
              </w:rPr>
              <w:t>context</w:t>
            </w:r>
            <w:r>
              <w:rPr>
                <w:rFonts w:ascii="Arial"/>
                <w:spacing w:val="45"/>
              </w:rPr>
              <w:t xml:space="preserve"> </w:t>
            </w:r>
            <w:r>
              <w:rPr>
                <w:rFonts w:ascii="Arial"/>
                <w:spacing w:val="-1"/>
              </w:rPr>
              <w:t>specifies;</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386"/>
              <w:rPr>
                <w:rFonts w:ascii="Arial" w:eastAsia="Arial" w:hAnsi="Arial" w:cs="Arial"/>
              </w:rPr>
            </w:pPr>
            <w:r>
              <w:rPr>
                <w:rFonts w:ascii="Arial"/>
                <w:b/>
                <w:spacing w:val="-1"/>
              </w:rPr>
              <w:t>"Continuous</w:t>
            </w:r>
            <w:r>
              <w:rPr>
                <w:rFonts w:ascii="Arial"/>
                <w:b/>
                <w:spacing w:val="23"/>
              </w:rPr>
              <w:t xml:space="preserve"> </w:t>
            </w:r>
            <w:r>
              <w:rPr>
                <w:rFonts w:ascii="Arial"/>
                <w:b/>
                <w:spacing w:val="-1"/>
              </w:rPr>
              <w:t>Improvement Plan"</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32"/>
              </w:rPr>
              <w:t xml:space="preserve"> </w:t>
            </w:r>
            <w:r>
              <w:rPr>
                <w:rFonts w:ascii="Arial"/>
              </w:rPr>
              <w:t>a</w:t>
            </w:r>
            <w:r>
              <w:rPr>
                <w:rFonts w:ascii="Arial"/>
                <w:spacing w:val="29"/>
              </w:rPr>
              <w:t xml:space="preserve"> </w:t>
            </w:r>
            <w:r>
              <w:rPr>
                <w:rFonts w:ascii="Arial"/>
                <w:spacing w:val="-1"/>
              </w:rPr>
              <w:t>plan</w:t>
            </w:r>
            <w:r>
              <w:rPr>
                <w:rFonts w:ascii="Arial"/>
                <w:spacing w:val="29"/>
              </w:rPr>
              <w:t xml:space="preserve"> </w:t>
            </w:r>
            <w:r>
              <w:rPr>
                <w:rFonts w:ascii="Arial"/>
              </w:rPr>
              <w:t>for</w:t>
            </w:r>
            <w:r>
              <w:rPr>
                <w:rFonts w:ascii="Arial"/>
                <w:spacing w:val="33"/>
              </w:rPr>
              <w:t xml:space="preserve"> </w:t>
            </w:r>
            <w:r>
              <w:rPr>
                <w:rFonts w:ascii="Arial"/>
                <w:spacing w:val="-2"/>
              </w:rPr>
              <w:t>improving</w:t>
            </w:r>
            <w:r>
              <w:rPr>
                <w:rFonts w:ascii="Arial"/>
                <w:spacing w:val="34"/>
              </w:rPr>
              <w:t xml:space="preserve"> </w:t>
            </w:r>
            <w:r>
              <w:rPr>
                <w:rFonts w:ascii="Arial"/>
              </w:rPr>
              <w:t>the</w:t>
            </w:r>
            <w:r>
              <w:rPr>
                <w:rFonts w:ascii="Arial"/>
                <w:spacing w:val="31"/>
              </w:rPr>
              <w:t xml:space="preserve"> </w:t>
            </w:r>
            <w:r>
              <w:rPr>
                <w:rFonts w:ascii="Arial"/>
                <w:spacing w:val="-2"/>
              </w:rPr>
              <w:t>provision</w:t>
            </w:r>
            <w:r>
              <w:rPr>
                <w:rFonts w:ascii="Arial"/>
                <w:spacing w:val="31"/>
              </w:rPr>
              <w:t xml:space="preserve"> </w:t>
            </w:r>
            <w:r>
              <w:rPr>
                <w:rFonts w:ascii="Arial"/>
                <w:spacing w:val="-1"/>
              </w:rPr>
              <w:t>of</w:t>
            </w:r>
            <w:r>
              <w:rPr>
                <w:rFonts w:ascii="Arial"/>
                <w:spacing w:val="33"/>
              </w:rPr>
              <w:t xml:space="preserve"> </w:t>
            </w:r>
            <w:r>
              <w:rPr>
                <w:rFonts w:ascii="Arial"/>
              </w:rPr>
              <w:t>the</w:t>
            </w:r>
            <w:r>
              <w:rPr>
                <w:rFonts w:ascii="Arial"/>
                <w:spacing w:val="32"/>
              </w:rPr>
              <w:t xml:space="preserve"> </w:t>
            </w:r>
            <w:r>
              <w:rPr>
                <w:rFonts w:ascii="Arial"/>
                <w:spacing w:val="-1"/>
              </w:rPr>
              <w:t>Goods</w:t>
            </w:r>
            <w:r>
              <w:rPr>
                <w:rFonts w:ascii="Arial"/>
                <w:spacing w:val="29"/>
              </w:rPr>
              <w:t xml:space="preserve"> </w:t>
            </w:r>
            <w:r>
              <w:rPr>
                <w:rFonts w:ascii="Arial"/>
                <w:spacing w:val="-1"/>
              </w:rPr>
              <w:t>and/or</w:t>
            </w:r>
            <w:r>
              <w:rPr>
                <w:rFonts w:ascii="Arial"/>
                <w:spacing w:val="35"/>
              </w:rPr>
              <w:t xml:space="preserve"> </w:t>
            </w:r>
            <w:r>
              <w:rPr>
                <w:rFonts w:ascii="Arial"/>
                <w:spacing w:val="-1"/>
              </w:rPr>
              <w:t>Services</w:t>
            </w:r>
            <w:r>
              <w:rPr>
                <w:rFonts w:ascii="Arial"/>
                <w:spacing w:val="35"/>
              </w:rPr>
              <w:t xml:space="preserve"> </w:t>
            </w:r>
            <w:r>
              <w:rPr>
                <w:rFonts w:ascii="Arial"/>
                <w:spacing w:val="-1"/>
              </w:rPr>
              <w:t>and/or</w:t>
            </w:r>
            <w:r>
              <w:rPr>
                <w:rFonts w:ascii="Arial"/>
                <w:spacing w:val="33"/>
              </w:rPr>
              <w:t xml:space="preserve"> </w:t>
            </w:r>
            <w:r>
              <w:rPr>
                <w:rFonts w:ascii="Arial"/>
                <w:spacing w:val="-1"/>
              </w:rPr>
              <w:t>reducing</w:t>
            </w:r>
            <w:r>
              <w:rPr>
                <w:rFonts w:ascii="Arial"/>
                <w:spacing w:val="36"/>
              </w:rPr>
              <w:t xml:space="preserve"> </w:t>
            </w:r>
            <w:r>
              <w:rPr>
                <w:rFonts w:ascii="Arial"/>
              </w:rPr>
              <w:t>the</w:t>
            </w:r>
            <w:r>
              <w:rPr>
                <w:rFonts w:ascii="Arial"/>
                <w:spacing w:val="34"/>
              </w:rPr>
              <w:t xml:space="preserve"> </w:t>
            </w:r>
            <w:r>
              <w:rPr>
                <w:rFonts w:ascii="Arial"/>
                <w:spacing w:val="-1"/>
              </w:rPr>
              <w:t>Charges</w:t>
            </w:r>
            <w:r>
              <w:rPr>
                <w:rFonts w:ascii="Arial"/>
                <w:spacing w:val="34"/>
              </w:rPr>
              <w:t xml:space="preserve"> </w:t>
            </w:r>
            <w:r>
              <w:rPr>
                <w:rFonts w:ascii="Arial"/>
                <w:spacing w:val="-1"/>
              </w:rPr>
              <w:t>produced</w:t>
            </w:r>
            <w:r>
              <w:rPr>
                <w:rFonts w:ascii="Arial"/>
                <w:spacing w:val="28"/>
              </w:rPr>
              <w:t xml:space="preserve"> </w:t>
            </w:r>
            <w:r>
              <w:rPr>
                <w:rFonts w:ascii="Arial"/>
                <w:spacing w:val="-1"/>
              </w:rPr>
              <w:t>by</w:t>
            </w:r>
            <w:r>
              <w:rPr>
                <w:rFonts w:ascii="Arial"/>
                <w:spacing w:val="7"/>
              </w:rPr>
              <w:t xml:space="preserve"> </w:t>
            </w:r>
            <w:r>
              <w:rPr>
                <w:rFonts w:ascii="Arial"/>
              </w:rPr>
              <w:t>the</w:t>
            </w:r>
            <w:r>
              <w:rPr>
                <w:rFonts w:ascii="Arial"/>
                <w:spacing w:val="9"/>
              </w:rPr>
              <w:t xml:space="preserve"> </w:t>
            </w:r>
            <w:r>
              <w:rPr>
                <w:rFonts w:ascii="Arial"/>
                <w:spacing w:val="-2"/>
              </w:rPr>
              <w:t>Supplier</w:t>
            </w:r>
            <w:r>
              <w:rPr>
                <w:rFonts w:ascii="Arial"/>
                <w:spacing w:val="10"/>
              </w:rPr>
              <w:t xml:space="preserve"> </w:t>
            </w:r>
            <w:r>
              <w:rPr>
                <w:rFonts w:ascii="Arial"/>
                <w:spacing w:val="-1"/>
              </w:rPr>
              <w:t>pursuant</w:t>
            </w:r>
            <w:r>
              <w:rPr>
                <w:rFonts w:ascii="Arial"/>
                <w:spacing w:val="10"/>
              </w:rPr>
              <w:t xml:space="preserve"> </w:t>
            </w:r>
            <w:r>
              <w:rPr>
                <w:rFonts w:ascii="Arial"/>
              </w:rPr>
              <w:t>to</w:t>
            </w:r>
            <w:r>
              <w:rPr>
                <w:rFonts w:ascii="Arial"/>
                <w:spacing w:val="6"/>
              </w:rPr>
              <w:t xml:space="preserve"> </w:t>
            </w:r>
            <w:r>
              <w:rPr>
                <w:rFonts w:ascii="Arial"/>
                <w:spacing w:val="-2"/>
              </w:rPr>
              <w:t>Framework</w:t>
            </w:r>
            <w:r>
              <w:rPr>
                <w:rFonts w:ascii="Arial"/>
                <w:spacing w:val="12"/>
              </w:rPr>
              <w:t xml:space="preserve"> </w:t>
            </w:r>
            <w:r>
              <w:rPr>
                <w:rFonts w:ascii="Arial"/>
                <w:spacing w:val="-2"/>
              </w:rPr>
              <w:t>Schedule</w:t>
            </w:r>
            <w:r>
              <w:rPr>
                <w:rFonts w:ascii="Arial"/>
                <w:spacing w:val="9"/>
              </w:rPr>
              <w:t xml:space="preserve"> </w:t>
            </w:r>
            <w:r>
              <w:rPr>
                <w:rFonts w:ascii="Arial"/>
                <w:spacing w:val="-1"/>
              </w:rPr>
              <w:t>12</w:t>
            </w:r>
            <w:r>
              <w:rPr>
                <w:rFonts w:ascii="Arial"/>
                <w:spacing w:val="50"/>
              </w:rPr>
              <w:t xml:space="preserve"> </w:t>
            </w:r>
            <w:r>
              <w:rPr>
                <w:rFonts w:ascii="Arial"/>
                <w:spacing w:val="-1"/>
              </w:rPr>
              <w:t>(Continuous</w:t>
            </w:r>
            <w:r>
              <w:rPr>
                <w:rFonts w:ascii="Arial"/>
                <w:spacing w:val="-2"/>
              </w:rPr>
              <w:t xml:space="preserve"> </w:t>
            </w:r>
            <w:r>
              <w:rPr>
                <w:rFonts w:ascii="Arial"/>
                <w:spacing w:val="-1"/>
              </w:rPr>
              <w:t>Improvement</w:t>
            </w:r>
            <w:r>
              <w:rPr>
                <w:rFonts w:ascii="Arial"/>
                <w:spacing w:val="2"/>
              </w:rPr>
              <w:t xml:space="preserve"> </w:t>
            </w:r>
            <w:r>
              <w:rPr>
                <w:rFonts w:ascii="Arial"/>
                <w:spacing w:val="-1"/>
              </w:rPr>
              <w:t>and</w:t>
            </w:r>
            <w:r>
              <w:rPr>
                <w:rFonts w:ascii="Arial"/>
                <w:spacing w:val="-2"/>
              </w:rPr>
              <w:t xml:space="preserve"> </w:t>
            </w:r>
            <w:r>
              <w:rPr>
                <w:rFonts w:ascii="Arial"/>
                <w:spacing w:val="-1"/>
              </w:rPr>
              <w:t>Benchmarking);</w:t>
            </w:r>
          </w:p>
        </w:tc>
      </w:tr>
      <w:tr w:rsidR="008918FA" w:rsidTr="005D2B81">
        <w:trPr>
          <w:trHeight w:hRule="exact" w:val="101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"Contracting</w:t>
            </w:r>
            <w:r>
              <w:rPr>
                <w:rFonts w:ascii="Arial"/>
                <w:b/>
                <w:spacing w:val="-2"/>
              </w:rPr>
              <w:t xml:space="preserve"> Body"</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rPr>
                <w:rFonts w:ascii="Arial" w:eastAsia="Arial" w:hAnsi="Arial" w:cs="Arial"/>
              </w:rPr>
            </w:pPr>
            <w:r>
              <w:rPr>
                <w:rFonts w:ascii="Arial"/>
                <w:spacing w:val="-1"/>
              </w:rPr>
              <w:t>means</w:t>
            </w:r>
            <w:r>
              <w:rPr>
                <w:rFonts w:ascii="Arial"/>
                <w:spacing w:val="5"/>
              </w:rPr>
              <w:t xml:space="preserve"> </w:t>
            </w:r>
            <w:r>
              <w:rPr>
                <w:rFonts w:ascii="Arial"/>
              </w:rPr>
              <w:t>the</w:t>
            </w:r>
            <w:r>
              <w:rPr>
                <w:rFonts w:ascii="Arial"/>
                <w:spacing w:val="5"/>
              </w:rPr>
              <w:t xml:space="preserve"> </w:t>
            </w:r>
            <w:r>
              <w:rPr>
                <w:rFonts w:ascii="Arial"/>
                <w:spacing w:val="-1"/>
              </w:rPr>
              <w:t>Authority,</w:t>
            </w:r>
            <w:r>
              <w:rPr>
                <w:rFonts w:ascii="Arial"/>
                <w:spacing w:val="7"/>
              </w:rPr>
              <w:t xml:space="preserve"> </w:t>
            </w:r>
            <w:r>
              <w:rPr>
                <w:rFonts w:ascii="Arial"/>
              </w:rPr>
              <w:t>the</w:t>
            </w:r>
            <w:r>
              <w:rPr>
                <w:rFonts w:ascii="Arial"/>
                <w:spacing w:val="3"/>
              </w:rPr>
              <w:t xml:space="preserve"> </w:t>
            </w:r>
            <w:r>
              <w:rPr>
                <w:rFonts w:ascii="Arial"/>
                <w:spacing w:val="-1"/>
              </w:rPr>
              <w:t>Customer</w:t>
            </w:r>
            <w:r>
              <w:rPr>
                <w:rFonts w:ascii="Arial"/>
                <w:spacing w:val="7"/>
              </w:rPr>
              <w:t xml:space="preserve"> </w:t>
            </w:r>
            <w:r>
              <w:rPr>
                <w:rFonts w:ascii="Arial"/>
                <w:spacing w:val="-1"/>
              </w:rPr>
              <w:t>and</w:t>
            </w:r>
            <w:r>
              <w:rPr>
                <w:rFonts w:ascii="Arial"/>
                <w:spacing w:val="5"/>
              </w:rPr>
              <w:t xml:space="preserve"> </w:t>
            </w:r>
            <w:r>
              <w:rPr>
                <w:rFonts w:ascii="Arial"/>
                <w:spacing w:val="-1"/>
              </w:rPr>
              <w:t>any</w:t>
            </w:r>
            <w:r>
              <w:rPr>
                <w:rFonts w:ascii="Arial"/>
                <w:spacing w:val="3"/>
              </w:rPr>
              <w:t xml:space="preserve"> </w:t>
            </w:r>
            <w:r>
              <w:rPr>
                <w:rFonts w:ascii="Arial"/>
                <w:spacing w:val="-1"/>
              </w:rPr>
              <w:t>other</w:t>
            </w:r>
            <w:r>
              <w:rPr>
                <w:rFonts w:ascii="Arial"/>
                <w:spacing w:val="4"/>
              </w:rPr>
              <w:t xml:space="preserve"> </w:t>
            </w:r>
            <w:r>
              <w:rPr>
                <w:rFonts w:ascii="Arial"/>
                <w:spacing w:val="-2"/>
              </w:rPr>
              <w:t>bodies</w:t>
            </w:r>
            <w:r>
              <w:rPr>
                <w:rFonts w:ascii="Arial"/>
                <w:spacing w:val="32"/>
              </w:rPr>
              <w:t xml:space="preserve"> </w:t>
            </w:r>
            <w:r>
              <w:rPr>
                <w:rFonts w:ascii="Arial"/>
                <w:spacing w:val="-1"/>
              </w:rPr>
              <w:t>listed</w:t>
            </w:r>
            <w:r>
              <w:rPr>
                <w:rFonts w:ascii="Arial"/>
              </w:rPr>
              <w:t xml:space="preserve"> </w:t>
            </w:r>
            <w:r>
              <w:rPr>
                <w:rFonts w:ascii="Arial"/>
                <w:spacing w:val="-1"/>
              </w:rPr>
              <w:t>in</w:t>
            </w:r>
            <w:r>
              <w:rPr>
                <w:rFonts w:ascii="Arial"/>
              </w:rPr>
              <w:t xml:space="preserve"> the</w:t>
            </w:r>
            <w:r>
              <w:rPr>
                <w:rFonts w:ascii="Arial"/>
                <w:spacing w:val="-2"/>
              </w:rPr>
              <w:t xml:space="preserve"> </w:t>
            </w:r>
            <w:r>
              <w:rPr>
                <w:rFonts w:ascii="Arial"/>
                <w:spacing w:val="-1"/>
              </w:rPr>
              <w:t>OJEU</w:t>
            </w:r>
            <w:r>
              <w:rPr>
                <w:rFonts w:ascii="Arial"/>
              </w:rPr>
              <w:t xml:space="preserve"> </w:t>
            </w:r>
            <w:r>
              <w:rPr>
                <w:rFonts w:ascii="Arial"/>
                <w:spacing w:val="-2"/>
              </w:rPr>
              <w:t>Notice;</w:t>
            </w:r>
          </w:p>
        </w:tc>
      </w:tr>
      <w:tr w:rsidR="008918FA" w:rsidTr="001C1527">
        <w:trPr>
          <w:trHeight w:hRule="exact" w:val="893"/>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47" w:lineRule="exact"/>
              <w:ind w:left="-6"/>
              <w:rPr>
                <w:rFonts w:ascii="Arial" w:eastAsia="Arial" w:hAnsi="Arial" w:cs="Arial"/>
              </w:rPr>
            </w:pPr>
            <w:r>
              <w:rPr>
                <w:rFonts w:ascii="Arial"/>
                <w:b/>
                <w:spacing w:val="-1"/>
              </w:rPr>
              <w:t>"Control"</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28"/>
              </w:rPr>
              <w:t xml:space="preserve"> </w:t>
            </w:r>
            <w:r>
              <w:rPr>
                <w:rFonts w:ascii="Arial"/>
                <w:spacing w:val="-2"/>
              </w:rPr>
              <w:t>control</w:t>
            </w:r>
            <w:r>
              <w:rPr>
                <w:rFonts w:ascii="Arial"/>
                <w:spacing w:val="27"/>
              </w:rPr>
              <w:t xml:space="preserve"> </w:t>
            </w:r>
            <w:r>
              <w:rPr>
                <w:rFonts w:ascii="Arial"/>
                <w:spacing w:val="-1"/>
              </w:rPr>
              <w:t>as</w:t>
            </w:r>
            <w:r>
              <w:rPr>
                <w:rFonts w:ascii="Arial"/>
                <w:spacing w:val="28"/>
              </w:rPr>
              <w:t xml:space="preserve"> </w:t>
            </w:r>
            <w:r>
              <w:rPr>
                <w:rFonts w:ascii="Arial"/>
                <w:spacing w:val="-1"/>
              </w:rPr>
              <w:t>defined</w:t>
            </w:r>
            <w:r>
              <w:rPr>
                <w:rFonts w:ascii="Arial"/>
                <w:spacing w:val="28"/>
              </w:rPr>
              <w:t xml:space="preserve"> </w:t>
            </w:r>
            <w:r>
              <w:rPr>
                <w:rFonts w:ascii="Arial"/>
                <w:spacing w:val="-1"/>
              </w:rPr>
              <w:t>in</w:t>
            </w:r>
            <w:r>
              <w:rPr>
                <w:rFonts w:ascii="Arial"/>
                <w:spacing w:val="28"/>
              </w:rPr>
              <w:t xml:space="preserve"> </w:t>
            </w:r>
            <w:r>
              <w:rPr>
                <w:rFonts w:ascii="Arial"/>
                <w:spacing w:val="-1"/>
              </w:rPr>
              <w:t>section</w:t>
            </w:r>
            <w:r>
              <w:rPr>
                <w:rFonts w:ascii="Arial"/>
                <w:spacing w:val="28"/>
              </w:rPr>
              <w:t xml:space="preserve"> </w:t>
            </w:r>
            <w:r>
              <w:rPr>
                <w:rFonts w:ascii="Arial"/>
                <w:spacing w:val="-1"/>
              </w:rPr>
              <w:t>1124</w:t>
            </w:r>
            <w:r>
              <w:rPr>
                <w:rFonts w:ascii="Arial"/>
                <w:spacing w:val="28"/>
              </w:rPr>
              <w:t xml:space="preserve"> </w:t>
            </w:r>
            <w:r>
              <w:rPr>
                <w:rFonts w:ascii="Arial"/>
                <w:spacing w:val="-2"/>
              </w:rPr>
              <w:t>and</w:t>
            </w:r>
            <w:r>
              <w:rPr>
                <w:rFonts w:ascii="Arial"/>
                <w:spacing w:val="28"/>
              </w:rPr>
              <w:t xml:space="preserve"> </w:t>
            </w:r>
            <w:r>
              <w:rPr>
                <w:rFonts w:ascii="Arial"/>
                <w:spacing w:val="-2"/>
              </w:rPr>
              <w:t>450</w:t>
            </w:r>
            <w:r>
              <w:rPr>
                <w:rFonts w:ascii="Arial"/>
                <w:spacing w:val="31"/>
              </w:rPr>
              <w:t xml:space="preserve"> </w:t>
            </w:r>
            <w:r>
              <w:rPr>
                <w:rFonts w:ascii="Arial"/>
                <w:spacing w:val="-1"/>
              </w:rPr>
              <w:t>Corporation</w:t>
            </w:r>
            <w:r>
              <w:rPr>
                <w:rFonts w:ascii="Arial"/>
                <w:spacing w:val="31"/>
              </w:rPr>
              <w:t xml:space="preserve"> </w:t>
            </w:r>
            <w:r>
              <w:rPr>
                <w:rFonts w:ascii="Arial"/>
              </w:rPr>
              <w:t>Tax</w:t>
            </w:r>
            <w:r>
              <w:rPr>
                <w:rFonts w:ascii="Arial"/>
                <w:spacing w:val="32"/>
              </w:rPr>
              <w:t xml:space="preserve"> </w:t>
            </w:r>
            <w:r>
              <w:rPr>
                <w:rFonts w:ascii="Arial"/>
                <w:spacing w:val="-1"/>
              </w:rPr>
              <w:t>Act</w:t>
            </w:r>
            <w:r>
              <w:rPr>
                <w:rFonts w:ascii="Arial"/>
                <w:spacing w:val="36"/>
              </w:rPr>
              <w:t xml:space="preserve"> </w:t>
            </w:r>
            <w:r>
              <w:rPr>
                <w:rFonts w:ascii="Arial"/>
                <w:spacing w:val="-1"/>
              </w:rPr>
              <w:t>2010</w:t>
            </w:r>
            <w:r>
              <w:rPr>
                <w:rFonts w:ascii="Arial"/>
                <w:spacing w:val="8"/>
              </w:rPr>
              <w:t xml:space="preserve"> </w:t>
            </w:r>
            <w:r>
              <w:rPr>
                <w:rFonts w:ascii="Arial"/>
                <w:spacing w:val="-1"/>
              </w:rPr>
              <w:t>and</w:t>
            </w:r>
            <w:r>
              <w:rPr>
                <w:rFonts w:ascii="Arial"/>
                <w:spacing w:val="34"/>
              </w:rPr>
              <w:t xml:space="preserve"> </w:t>
            </w:r>
            <w:r>
              <w:rPr>
                <w:rFonts w:ascii="Arial"/>
                <w:spacing w:val="-1"/>
              </w:rPr>
              <w:t>"Controls"</w:t>
            </w:r>
            <w:r>
              <w:rPr>
                <w:rFonts w:ascii="Arial"/>
                <w:spacing w:val="36"/>
              </w:rPr>
              <w:t xml:space="preserve"> </w:t>
            </w:r>
            <w:r>
              <w:rPr>
                <w:rFonts w:ascii="Arial"/>
                <w:spacing w:val="-1"/>
              </w:rPr>
              <w:t>and</w:t>
            </w:r>
            <w:r>
              <w:rPr>
                <w:rFonts w:ascii="Arial"/>
                <w:spacing w:val="29"/>
              </w:rPr>
              <w:t xml:space="preserve"> </w:t>
            </w:r>
            <w:r>
              <w:rPr>
                <w:rFonts w:ascii="Arial"/>
                <w:spacing w:val="-1"/>
              </w:rPr>
              <w:t>"Controlled" shall</w:t>
            </w:r>
            <w:r>
              <w:rPr>
                <w:rFonts w:ascii="Arial"/>
              </w:rPr>
              <w:t xml:space="preserve"> </w:t>
            </w:r>
            <w:r>
              <w:rPr>
                <w:rFonts w:ascii="Arial"/>
                <w:spacing w:val="-1"/>
              </w:rPr>
              <w:t>be</w:t>
            </w:r>
            <w:r>
              <w:rPr>
                <w:rFonts w:ascii="Arial"/>
              </w:rPr>
              <w:t xml:space="preserve"> </w:t>
            </w:r>
            <w:r>
              <w:rPr>
                <w:rFonts w:ascii="Arial"/>
                <w:spacing w:val="-1"/>
              </w:rPr>
              <w:t>interpreted</w:t>
            </w:r>
            <w:r>
              <w:rPr>
                <w:rFonts w:ascii="Arial"/>
              </w:rPr>
              <w:t xml:space="preserve"> </w:t>
            </w:r>
            <w:r>
              <w:rPr>
                <w:rFonts w:ascii="Arial"/>
                <w:spacing w:val="-2"/>
              </w:rPr>
              <w:t>accordingly;</w:t>
            </w:r>
          </w:p>
        </w:tc>
      </w:tr>
      <w:tr w:rsidR="008918FA" w:rsidTr="005D2B81">
        <w:trPr>
          <w:trHeight w:hRule="exact" w:val="3170"/>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"Conviction"</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56"/>
              </w:rPr>
              <w:t xml:space="preserve"> </w:t>
            </w:r>
            <w:r>
              <w:rPr>
                <w:rFonts w:ascii="Arial"/>
                <w:spacing w:val="-1"/>
              </w:rPr>
              <w:t>other</w:t>
            </w:r>
            <w:r>
              <w:rPr>
                <w:rFonts w:ascii="Arial"/>
                <w:spacing w:val="57"/>
              </w:rPr>
              <w:t xml:space="preserve"> </w:t>
            </w:r>
            <w:r>
              <w:rPr>
                <w:rFonts w:ascii="Arial"/>
                <w:spacing w:val="-1"/>
              </w:rPr>
              <w:t>than</w:t>
            </w:r>
            <w:r>
              <w:rPr>
                <w:rFonts w:ascii="Arial"/>
                <w:spacing w:val="53"/>
              </w:rPr>
              <w:t xml:space="preserve"> </w:t>
            </w:r>
            <w:r>
              <w:rPr>
                <w:rFonts w:ascii="Arial"/>
              </w:rPr>
              <w:t>for</w:t>
            </w:r>
            <w:r>
              <w:rPr>
                <w:rFonts w:ascii="Arial"/>
                <w:spacing w:val="54"/>
              </w:rPr>
              <w:t xml:space="preserve"> </w:t>
            </w:r>
            <w:r>
              <w:rPr>
                <w:rFonts w:ascii="Arial"/>
                <w:spacing w:val="-1"/>
              </w:rPr>
              <w:t>minor</w:t>
            </w:r>
            <w:r>
              <w:rPr>
                <w:rFonts w:ascii="Arial"/>
                <w:spacing w:val="57"/>
              </w:rPr>
              <w:t xml:space="preserve"> </w:t>
            </w:r>
            <w:r>
              <w:rPr>
                <w:rFonts w:ascii="Arial"/>
                <w:spacing w:val="-1"/>
              </w:rPr>
              <w:t>road</w:t>
            </w:r>
            <w:r>
              <w:rPr>
                <w:rFonts w:ascii="Arial"/>
                <w:spacing w:val="55"/>
              </w:rPr>
              <w:t xml:space="preserve"> </w:t>
            </w:r>
            <w:r>
              <w:rPr>
                <w:rFonts w:ascii="Arial"/>
                <w:spacing w:val="-1"/>
              </w:rPr>
              <w:t>traffic</w:t>
            </w:r>
            <w:r>
              <w:rPr>
                <w:rFonts w:ascii="Arial"/>
                <w:spacing w:val="57"/>
              </w:rPr>
              <w:t xml:space="preserve"> </w:t>
            </w:r>
            <w:r>
              <w:rPr>
                <w:rFonts w:ascii="Arial"/>
                <w:spacing w:val="-1"/>
              </w:rPr>
              <w:t>offences,</w:t>
            </w:r>
            <w:r>
              <w:rPr>
                <w:rFonts w:ascii="Arial"/>
                <w:spacing w:val="57"/>
              </w:rPr>
              <w:t xml:space="preserve"> </w:t>
            </w:r>
            <w:r>
              <w:rPr>
                <w:rFonts w:ascii="Arial"/>
                <w:spacing w:val="-1"/>
              </w:rPr>
              <w:t>any</w:t>
            </w:r>
            <w:r>
              <w:rPr>
                <w:rFonts w:ascii="Arial"/>
                <w:spacing w:val="26"/>
              </w:rPr>
              <w:t xml:space="preserve"> </w:t>
            </w:r>
            <w:r>
              <w:rPr>
                <w:rFonts w:ascii="Arial"/>
                <w:spacing w:val="-2"/>
              </w:rPr>
              <w:t>previous</w:t>
            </w:r>
            <w:r>
              <w:rPr>
                <w:rFonts w:ascii="Arial"/>
                <w:spacing w:val="34"/>
              </w:rPr>
              <w:t xml:space="preserve"> </w:t>
            </w:r>
            <w:r>
              <w:rPr>
                <w:rFonts w:ascii="Arial"/>
                <w:spacing w:val="-1"/>
              </w:rPr>
              <w:t>or</w:t>
            </w:r>
            <w:r>
              <w:rPr>
                <w:rFonts w:ascii="Arial"/>
                <w:spacing w:val="35"/>
              </w:rPr>
              <w:t xml:space="preserve"> </w:t>
            </w:r>
            <w:r>
              <w:rPr>
                <w:rFonts w:ascii="Arial"/>
                <w:spacing w:val="-1"/>
              </w:rPr>
              <w:t>pending</w:t>
            </w:r>
            <w:r>
              <w:rPr>
                <w:rFonts w:ascii="Arial"/>
                <w:spacing w:val="36"/>
              </w:rPr>
              <w:t xml:space="preserve"> </w:t>
            </w:r>
            <w:r>
              <w:rPr>
                <w:rFonts w:ascii="Arial"/>
                <w:spacing w:val="-1"/>
              </w:rPr>
              <w:t>prosecutions,</w:t>
            </w:r>
            <w:r>
              <w:rPr>
                <w:rFonts w:ascii="Arial"/>
                <w:spacing w:val="36"/>
              </w:rPr>
              <w:t xml:space="preserve"> </w:t>
            </w:r>
            <w:r>
              <w:rPr>
                <w:rFonts w:ascii="Arial"/>
                <w:spacing w:val="-1"/>
              </w:rPr>
              <w:t>convictions,</w:t>
            </w:r>
            <w:r>
              <w:rPr>
                <w:rFonts w:ascii="Arial"/>
                <w:spacing w:val="33"/>
              </w:rPr>
              <w:t xml:space="preserve"> </w:t>
            </w:r>
            <w:r>
              <w:rPr>
                <w:rFonts w:ascii="Arial"/>
                <w:spacing w:val="-2"/>
              </w:rPr>
              <w:t>cautions</w:t>
            </w:r>
            <w:r>
              <w:rPr>
                <w:rFonts w:ascii="Arial"/>
                <w:spacing w:val="36"/>
              </w:rPr>
              <w:t xml:space="preserve"> </w:t>
            </w:r>
            <w:r>
              <w:rPr>
                <w:rFonts w:ascii="Arial"/>
                <w:spacing w:val="-1"/>
              </w:rPr>
              <w:t>and</w:t>
            </w:r>
            <w:r>
              <w:rPr>
                <w:rFonts w:ascii="Arial"/>
                <w:spacing w:val="12"/>
              </w:rPr>
              <w:t xml:space="preserve"> </w:t>
            </w:r>
            <w:r>
              <w:rPr>
                <w:rFonts w:ascii="Arial"/>
                <w:spacing w:val="-2"/>
              </w:rPr>
              <w:t>binding</w:t>
            </w:r>
            <w:r>
              <w:rPr>
                <w:rFonts w:ascii="Arial"/>
                <w:spacing w:val="15"/>
              </w:rPr>
              <w:t xml:space="preserve"> </w:t>
            </w:r>
            <w:r>
              <w:rPr>
                <w:rFonts w:ascii="Arial"/>
                <w:spacing w:val="-2"/>
              </w:rPr>
              <w:t>over</w:t>
            </w:r>
            <w:r>
              <w:rPr>
                <w:rFonts w:ascii="Arial"/>
                <w:spacing w:val="14"/>
              </w:rPr>
              <w:t xml:space="preserve"> </w:t>
            </w:r>
            <w:r>
              <w:rPr>
                <w:rFonts w:ascii="Arial"/>
                <w:spacing w:val="-1"/>
              </w:rPr>
              <w:t>orders</w:t>
            </w:r>
            <w:r>
              <w:rPr>
                <w:rFonts w:ascii="Arial"/>
                <w:spacing w:val="10"/>
              </w:rPr>
              <w:t xml:space="preserve"> </w:t>
            </w:r>
            <w:r>
              <w:rPr>
                <w:rFonts w:ascii="Arial"/>
                <w:spacing w:val="-1"/>
              </w:rPr>
              <w:t>(including</w:t>
            </w:r>
            <w:r>
              <w:rPr>
                <w:rFonts w:ascii="Arial"/>
                <w:spacing w:val="15"/>
              </w:rPr>
              <w:t xml:space="preserve"> </w:t>
            </w:r>
            <w:r>
              <w:rPr>
                <w:rFonts w:ascii="Arial"/>
                <w:spacing w:val="-1"/>
              </w:rPr>
              <w:t>any</w:t>
            </w:r>
            <w:r>
              <w:rPr>
                <w:rFonts w:ascii="Arial"/>
                <w:spacing w:val="10"/>
              </w:rPr>
              <w:t xml:space="preserve"> </w:t>
            </w:r>
            <w:r>
              <w:rPr>
                <w:rFonts w:ascii="Arial"/>
                <w:spacing w:val="-1"/>
              </w:rPr>
              <w:t>spent</w:t>
            </w:r>
            <w:r>
              <w:rPr>
                <w:rFonts w:ascii="Arial"/>
                <w:spacing w:val="11"/>
              </w:rPr>
              <w:t xml:space="preserve"> </w:t>
            </w:r>
            <w:r>
              <w:rPr>
                <w:rFonts w:ascii="Arial"/>
                <w:spacing w:val="-2"/>
              </w:rPr>
              <w:t>convictions</w:t>
            </w:r>
            <w:r>
              <w:rPr>
                <w:rFonts w:ascii="Arial"/>
                <w:spacing w:val="44"/>
              </w:rPr>
              <w:t xml:space="preserve"> </w:t>
            </w:r>
            <w:r>
              <w:rPr>
                <w:rFonts w:ascii="Arial"/>
                <w:spacing w:val="-1"/>
              </w:rPr>
              <w:t>as</w:t>
            </w:r>
            <w:r>
              <w:rPr>
                <w:rFonts w:ascii="Arial"/>
                <w:spacing w:val="25"/>
              </w:rPr>
              <w:t xml:space="preserve"> </w:t>
            </w:r>
            <w:r>
              <w:rPr>
                <w:rFonts w:ascii="Arial"/>
                <w:spacing w:val="-1"/>
              </w:rPr>
              <w:t>contemplated</w:t>
            </w:r>
            <w:r>
              <w:rPr>
                <w:rFonts w:ascii="Arial"/>
                <w:spacing w:val="24"/>
              </w:rPr>
              <w:t xml:space="preserve"> </w:t>
            </w:r>
            <w:r>
              <w:rPr>
                <w:rFonts w:ascii="Arial"/>
                <w:spacing w:val="-1"/>
              </w:rPr>
              <w:t>by</w:t>
            </w:r>
            <w:r>
              <w:rPr>
                <w:rFonts w:ascii="Arial"/>
                <w:spacing w:val="22"/>
              </w:rPr>
              <w:t xml:space="preserve"> </w:t>
            </w:r>
            <w:r>
              <w:rPr>
                <w:rFonts w:ascii="Arial"/>
                <w:spacing w:val="-1"/>
              </w:rPr>
              <w:t>section</w:t>
            </w:r>
            <w:r>
              <w:rPr>
                <w:rFonts w:ascii="Arial"/>
                <w:spacing w:val="24"/>
              </w:rPr>
              <w:t xml:space="preserve"> </w:t>
            </w:r>
            <w:r>
              <w:rPr>
                <w:rFonts w:ascii="Arial"/>
                <w:spacing w:val="-1"/>
              </w:rPr>
              <w:t>1(1)</w:t>
            </w:r>
            <w:r>
              <w:rPr>
                <w:rFonts w:ascii="Arial"/>
                <w:spacing w:val="26"/>
              </w:rPr>
              <w:t xml:space="preserve"> </w:t>
            </w:r>
            <w:r>
              <w:rPr>
                <w:rFonts w:ascii="Arial"/>
                <w:spacing w:val="-2"/>
              </w:rPr>
              <w:t>of</w:t>
            </w:r>
            <w:r>
              <w:rPr>
                <w:rFonts w:ascii="Arial"/>
                <w:spacing w:val="26"/>
              </w:rPr>
              <w:t xml:space="preserve"> </w:t>
            </w:r>
            <w:r>
              <w:rPr>
                <w:rFonts w:ascii="Arial"/>
              </w:rPr>
              <w:t>the</w:t>
            </w:r>
            <w:r>
              <w:rPr>
                <w:rFonts w:ascii="Arial"/>
                <w:spacing w:val="22"/>
              </w:rPr>
              <w:t xml:space="preserve"> </w:t>
            </w:r>
            <w:r>
              <w:rPr>
                <w:rFonts w:ascii="Arial"/>
                <w:spacing w:val="-1"/>
              </w:rPr>
              <w:t>Rehabilitation</w:t>
            </w:r>
            <w:r>
              <w:rPr>
                <w:rFonts w:ascii="Arial"/>
                <w:spacing w:val="22"/>
              </w:rPr>
              <w:t xml:space="preserve"> </w:t>
            </w:r>
            <w:r>
              <w:rPr>
                <w:rFonts w:ascii="Arial"/>
                <w:spacing w:val="-2"/>
              </w:rPr>
              <w:t>of</w:t>
            </w:r>
            <w:r>
              <w:rPr>
                <w:rFonts w:ascii="Arial"/>
                <w:spacing w:val="21"/>
              </w:rPr>
              <w:t xml:space="preserve"> </w:t>
            </w:r>
            <w:r>
              <w:rPr>
                <w:rFonts w:ascii="Arial"/>
                <w:spacing w:val="-1"/>
              </w:rPr>
              <w:t>Offenders</w:t>
            </w:r>
            <w:r>
              <w:rPr>
                <w:rFonts w:ascii="Arial"/>
                <w:spacing w:val="5"/>
              </w:rPr>
              <w:t xml:space="preserve"> </w:t>
            </w:r>
            <w:r>
              <w:rPr>
                <w:rFonts w:ascii="Arial"/>
                <w:spacing w:val="-2"/>
              </w:rPr>
              <w:t>Act</w:t>
            </w:r>
            <w:r>
              <w:rPr>
                <w:rFonts w:ascii="Arial"/>
                <w:spacing w:val="7"/>
              </w:rPr>
              <w:t xml:space="preserve"> </w:t>
            </w:r>
            <w:r>
              <w:rPr>
                <w:rFonts w:ascii="Arial"/>
                <w:spacing w:val="-1"/>
              </w:rPr>
              <w:t>1974</w:t>
            </w:r>
            <w:r>
              <w:rPr>
                <w:rFonts w:ascii="Arial"/>
                <w:spacing w:val="5"/>
              </w:rPr>
              <w:t xml:space="preserve"> </w:t>
            </w:r>
            <w:r>
              <w:rPr>
                <w:rFonts w:ascii="Arial"/>
                <w:spacing w:val="-1"/>
              </w:rPr>
              <w:t>by</w:t>
            </w:r>
            <w:r>
              <w:rPr>
                <w:rFonts w:ascii="Arial"/>
                <w:spacing w:val="3"/>
              </w:rPr>
              <w:t xml:space="preserve"> </w:t>
            </w:r>
            <w:r>
              <w:rPr>
                <w:rFonts w:ascii="Arial"/>
              </w:rPr>
              <w:t>virtue</w:t>
            </w:r>
            <w:r>
              <w:rPr>
                <w:rFonts w:ascii="Arial"/>
                <w:spacing w:val="5"/>
              </w:rPr>
              <w:t xml:space="preserve"> </w:t>
            </w:r>
            <w:r>
              <w:rPr>
                <w:rFonts w:ascii="Arial"/>
                <w:spacing w:val="-2"/>
              </w:rPr>
              <w:t>of</w:t>
            </w:r>
            <w:r>
              <w:rPr>
                <w:rFonts w:ascii="Arial"/>
                <w:spacing w:val="6"/>
              </w:rPr>
              <w:t xml:space="preserve"> </w:t>
            </w:r>
            <w:r>
              <w:rPr>
                <w:rFonts w:ascii="Arial"/>
              </w:rPr>
              <w:t>the</w:t>
            </w:r>
            <w:r>
              <w:rPr>
                <w:rFonts w:ascii="Arial"/>
                <w:spacing w:val="5"/>
              </w:rPr>
              <w:t xml:space="preserve"> </w:t>
            </w:r>
            <w:r>
              <w:rPr>
                <w:rFonts w:ascii="Arial"/>
                <w:spacing w:val="-1"/>
              </w:rPr>
              <w:t>exemptions</w:t>
            </w:r>
            <w:r>
              <w:rPr>
                <w:rFonts w:ascii="Arial"/>
                <w:spacing w:val="5"/>
              </w:rPr>
              <w:t xml:space="preserve"> </w:t>
            </w:r>
            <w:r>
              <w:rPr>
                <w:rFonts w:ascii="Arial"/>
                <w:spacing w:val="-1"/>
              </w:rPr>
              <w:t>specified</w:t>
            </w:r>
            <w:r>
              <w:rPr>
                <w:rFonts w:ascii="Arial"/>
                <w:spacing w:val="27"/>
              </w:rPr>
              <w:t xml:space="preserve"> </w:t>
            </w:r>
            <w:r>
              <w:rPr>
                <w:rFonts w:ascii="Arial"/>
                <w:spacing w:val="-1"/>
              </w:rPr>
              <w:t>in</w:t>
            </w:r>
            <w:r>
              <w:rPr>
                <w:rFonts w:ascii="Arial"/>
                <w:spacing w:val="5"/>
              </w:rPr>
              <w:t xml:space="preserve"> </w:t>
            </w:r>
            <w:r>
              <w:rPr>
                <w:rFonts w:ascii="Arial"/>
                <w:spacing w:val="-1"/>
              </w:rPr>
              <w:t>Part</w:t>
            </w:r>
            <w:r>
              <w:rPr>
                <w:rFonts w:ascii="Arial"/>
                <w:spacing w:val="7"/>
              </w:rPr>
              <w:t xml:space="preserve"> </w:t>
            </w:r>
            <w:r>
              <w:rPr>
                <w:rFonts w:ascii="Arial"/>
              </w:rPr>
              <w:t>II</w:t>
            </w:r>
            <w:r>
              <w:rPr>
                <w:rFonts w:ascii="Arial"/>
                <w:spacing w:val="7"/>
              </w:rPr>
              <w:t xml:space="preserve"> </w:t>
            </w:r>
            <w:r>
              <w:rPr>
                <w:rFonts w:ascii="Arial"/>
                <w:spacing w:val="-2"/>
              </w:rPr>
              <w:t>of</w:t>
            </w:r>
            <w:r>
              <w:rPr>
                <w:rFonts w:ascii="Arial"/>
                <w:spacing w:val="7"/>
              </w:rPr>
              <w:t xml:space="preserve"> </w:t>
            </w:r>
            <w:r>
              <w:rPr>
                <w:rFonts w:ascii="Arial"/>
                <w:spacing w:val="-1"/>
              </w:rPr>
              <w:t>Schedule</w:t>
            </w:r>
            <w:r>
              <w:rPr>
                <w:rFonts w:ascii="Arial"/>
                <w:spacing w:val="5"/>
              </w:rPr>
              <w:t xml:space="preserve"> </w:t>
            </w:r>
            <w:r>
              <w:rPr>
                <w:rFonts w:ascii="Arial"/>
              </w:rPr>
              <w:t>1</w:t>
            </w:r>
            <w:r>
              <w:rPr>
                <w:rFonts w:ascii="Arial"/>
                <w:spacing w:val="5"/>
              </w:rPr>
              <w:t xml:space="preserve"> </w:t>
            </w:r>
            <w:r>
              <w:rPr>
                <w:rFonts w:ascii="Arial"/>
                <w:spacing w:val="-1"/>
              </w:rPr>
              <w:t>of</w:t>
            </w:r>
            <w:r>
              <w:rPr>
                <w:rFonts w:ascii="Arial"/>
                <w:spacing w:val="6"/>
              </w:rPr>
              <w:t xml:space="preserve"> </w:t>
            </w:r>
            <w:r>
              <w:rPr>
                <w:rFonts w:ascii="Arial"/>
              </w:rPr>
              <w:t>the</w:t>
            </w:r>
            <w:r>
              <w:rPr>
                <w:rFonts w:ascii="Arial"/>
                <w:spacing w:val="5"/>
              </w:rPr>
              <w:t xml:space="preserve"> </w:t>
            </w:r>
            <w:r>
              <w:rPr>
                <w:rFonts w:ascii="Arial"/>
                <w:spacing w:val="-1"/>
              </w:rPr>
              <w:t>Rehabilitation</w:t>
            </w:r>
            <w:r>
              <w:rPr>
                <w:rFonts w:ascii="Arial"/>
                <w:spacing w:val="5"/>
              </w:rPr>
              <w:t xml:space="preserve"> </w:t>
            </w:r>
            <w:r>
              <w:rPr>
                <w:rFonts w:ascii="Arial"/>
                <w:spacing w:val="-2"/>
              </w:rPr>
              <w:t>of</w:t>
            </w:r>
            <w:r>
              <w:rPr>
                <w:rFonts w:ascii="Arial"/>
                <w:spacing w:val="9"/>
              </w:rPr>
              <w:t xml:space="preserve"> </w:t>
            </w:r>
            <w:r>
              <w:rPr>
                <w:rFonts w:ascii="Arial"/>
                <w:spacing w:val="-1"/>
              </w:rPr>
              <w:t>Offenders</w:t>
            </w:r>
            <w:r>
              <w:rPr>
                <w:rFonts w:ascii="Arial"/>
                <w:spacing w:val="28"/>
              </w:rPr>
              <w:t xml:space="preserve"> </w:t>
            </w:r>
            <w:r>
              <w:rPr>
                <w:rFonts w:ascii="Arial"/>
                <w:spacing w:val="-1"/>
              </w:rPr>
              <w:t>Act</w:t>
            </w:r>
            <w:r>
              <w:rPr>
                <w:rFonts w:ascii="Arial"/>
                <w:spacing w:val="57"/>
              </w:rPr>
              <w:t xml:space="preserve"> </w:t>
            </w:r>
            <w:r>
              <w:rPr>
                <w:rFonts w:ascii="Arial"/>
                <w:spacing w:val="-1"/>
              </w:rPr>
              <w:t>1974</w:t>
            </w:r>
            <w:r>
              <w:rPr>
                <w:rFonts w:ascii="Arial"/>
                <w:spacing w:val="55"/>
              </w:rPr>
              <w:t xml:space="preserve"> </w:t>
            </w:r>
            <w:r>
              <w:rPr>
                <w:rFonts w:ascii="Arial"/>
                <w:spacing w:val="-1"/>
              </w:rPr>
              <w:t>(Exemptions)</w:t>
            </w:r>
            <w:r>
              <w:rPr>
                <w:rFonts w:ascii="Arial"/>
                <w:spacing w:val="54"/>
              </w:rPr>
              <w:t xml:space="preserve"> </w:t>
            </w:r>
            <w:r>
              <w:rPr>
                <w:rFonts w:ascii="Arial"/>
                <w:spacing w:val="-1"/>
              </w:rPr>
              <w:t>Order</w:t>
            </w:r>
            <w:r>
              <w:rPr>
                <w:rFonts w:ascii="Arial"/>
                <w:spacing w:val="57"/>
              </w:rPr>
              <w:t xml:space="preserve"> </w:t>
            </w:r>
            <w:r>
              <w:rPr>
                <w:rFonts w:ascii="Arial"/>
                <w:spacing w:val="-1"/>
              </w:rPr>
              <w:t>1975</w:t>
            </w:r>
            <w:r>
              <w:rPr>
                <w:rFonts w:ascii="Arial"/>
                <w:spacing w:val="55"/>
              </w:rPr>
              <w:t xml:space="preserve"> </w:t>
            </w:r>
            <w:r>
              <w:rPr>
                <w:rFonts w:ascii="Arial"/>
                <w:spacing w:val="-2"/>
              </w:rPr>
              <w:t>(SI</w:t>
            </w:r>
            <w:r>
              <w:rPr>
                <w:rFonts w:ascii="Arial"/>
                <w:spacing w:val="57"/>
              </w:rPr>
              <w:t xml:space="preserve"> </w:t>
            </w:r>
            <w:r>
              <w:rPr>
                <w:rFonts w:ascii="Arial"/>
                <w:spacing w:val="-1"/>
              </w:rPr>
              <w:t>1975/1023)</w:t>
            </w:r>
            <w:r>
              <w:rPr>
                <w:rFonts w:ascii="Arial"/>
                <w:spacing w:val="58"/>
              </w:rPr>
              <w:t xml:space="preserve"> </w:t>
            </w:r>
            <w:r>
              <w:rPr>
                <w:rFonts w:ascii="Arial"/>
                <w:spacing w:val="-2"/>
              </w:rPr>
              <w:t>or</w:t>
            </w:r>
            <w:r>
              <w:rPr>
                <w:rFonts w:ascii="Arial"/>
                <w:spacing w:val="30"/>
              </w:rPr>
              <w:t xml:space="preserve"> </w:t>
            </w:r>
            <w:r>
              <w:rPr>
                <w:rFonts w:ascii="Arial"/>
                <w:spacing w:val="-1"/>
              </w:rPr>
              <w:t>any</w:t>
            </w:r>
            <w:r>
              <w:rPr>
                <w:rFonts w:ascii="Arial"/>
                <w:spacing w:val="27"/>
              </w:rPr>
              <w:t xml:space="preserve"> </w:t>
            </w:r>
            <w:r>
              <w:rPr>
                <w:rFonts w:ascii="Arial"/>
                <w:spacing w:val="-1"/>
              </w:rPr>
              <w:t>replacement</w:t>
            </w:r>
            <w:r>
              <w:rPr>
                <w:rFonts w:ascii="Arial"/>
                <w:spacing w:val="30"/>
              </w:rPr>
              <w:t xml:space="preserve"> </w:t>
            </w:r>
            <w:r>
              <w:rPr>
                <w:rFonts w:ascii="Arial"/>
                <w:spacing w:val="-1"/>
              </w:rPr>
              <w:t>or</w:t>
            </w:r>
            <w:r>
              <w:rPr>
                <w:rFonts w:ascii="Arial"/>
                <w:spacing w:val="30"/>
              </w:rPr>
              <w:t xml:space="preserve"> </w:t>
            </w:r>
            <w:r>
              <w:rPr>
                <w:rFonts w:ascii="Arial"/>
                <w:spacing w:val="-1"/>
              </w:rPr>
              <w:t>amendment</w:t>
            </w:r>
            <w:r>
              <w:rPr>
                <w:rFonts w:ascii="Arial"/>
                <w:spacing w:val="30"/>
              </w:rPr>
              <w:t xml:space="preserve"> </w:t>
            </w:r>
            <w:r>
              <w:rPr>
                <w:rFonts w:ascii="Arial"/>
              </w:rPr>
              <w:t>to</w:t>
            </w:r>
            <w:r>
              <w:rPr>
                <w:rFonts w:ascii="Arial"/>
                <w:spacing w:val="27"/>
              </w:rPr>
              <w:t xml:space="preserve"> </w:t>
            </w:r>
            <w:r>
              <w:rPr>
                <w:rFonts w:ascii="Arial"/>
                <w:spacing w:val="-1"/>
              </w:rPr>
              <w:t>that</w:t>
            </w:r>
            <w:r>
              <w:rPr>
                <w:rFonts w:ascii="Arial"/>
                <w:spacing w:val="30"/>
              </w:rPr>
              <w:t xml:space="preserve"> </w:t>
            </w:r>
            <w:r>
              <w:rPr>
                <w:rFonts w:ascii="Arial"/>
                <w:spacing w:val="-1"/>
              </w:rPr>
              <w:t>Order,</w:t>
            </w:r>
            <w:r>
              <w:rPr>
                <w:rFonts w:ascii="Arial"/>
                <w:spacing w:val="28"/>
              </w:rPr>
              <w:t xml:space="preserve"> </w:t>
            </w:r>
            <w:r>
              <w:rPr>
                <w:rFonts w:ascii="Arial"/>
                <w:spacing w:val="-1"/>
              </w:rPr>
              <w:t>or</w:t>
            </w:r>
            <w:r>
              <w:rPr>
                <w:rFonts w:ascii="Arial"/>
                <w:spacing w:val="30"/>
              </w:rPr>
              <w:t xml:space="preserve"> </w:t>
            </w:r>
            <w:r>
              <w:rPr>
                <w:rFonts w:ascii="Arial"/>
                <w:spacing w:val="-2"/>
              </w:rPr>
              <w:t>being</w:t>
            </w:r>
            <w:r>
              <w:rPr>
                <w:rFonts w:ascii="Arial"/>
                <w:spacing w:val="30"/>
              </w:rPr>
              <w:t xml:space="preserve"> </w:t>
            </w:r>
            <w:r>
              <w:rPr>
                <w:rFonts w:ascii="Arial"/>
                <w:spacing w:val="-1"/>
              </w:rPr>
              <w:t>placed</w:t>
            </w:r>
            <w:r>
              <w:rPr>
                <w:rFonts w:ascii="Arial"/>
                <w:spacing w:val="28"/>
              </w:rPr>
              <w:t xml:space="preserve"> </w:t>
            </w:r>
            <w:r>
              <w:rPr>
                <w:rFonts w:ascii="Arial"/>
                <w:spacing w:val="-1"/>
              </w:rPr>
              <w:t>on</w:t>
            </w:r>
            <w:r>
              <w:rPr>
                <w:rFonts w:ascii="Arial"/>
                <w:spacing w:val="28"/>
              </w:rPr>
              <w:t xml:space="preserve"> </w:t>
            </w:r>
            <w:r>
              <w:rPr>
                <w:rFonts w:ascii="Arial"/>
              </w:rPr>
              <w:t>a</w:t>
            </w:r>
            <w:r>
              <w:rPr>
                <w:rFonts w:ascii="Arial"/>
                <w:spacing w:val="28"/>
              </w:rPr>
              <w:t xml:space="preserve"> </w:t>
            </w:r>
            <w:r>
              <w:rPr>
                <w:rFonts w:ascii="Arial"/>
                <w:spacing w:val="-1"/>
              </w:rPr>
              <w:t>list</w:t>
            </w:r>
            <w:r>
              <w:rPr>
                <w:rFonts w:ascii="Arial"/>
                <w:spacing w:val="30"/>
              </w:rPr>
              <w:t xml:space="preserve"> </w:t>
            </w:r>
            <w:r>
              <w:rPr>
                <w:rFonts w:ascii="Arial"/>
              </w:rPr>
              <w:t>kept</w:t>
            </w:r>
            <w:r>
              <w:rPr>
                <w:rFonts w:ascii="Arial"/>
                <w:spacing w:val="27"/>
              </w:rPr>
              <w:t xml:space="preserve"> </w:t>
            </w:r>
            <w:r>
              <w:rPr>
                <w:rFonts w:ascii="Arial"/>
                <w:spacing w:val="-1"/>
              </w:rPr>
              <w:t>pursuant</w:t>
            </w:r>
            <w:r>
              <w:rPr>
                <w:rFonts w:ascii="Arial"/>
                <w:spacing w:val="30"/>
              </w:rPr>
              <w:t xml:space="preserve"> </w:t>
            </w:r>
            <w:r>
              <w:rPr>
                <w:rFonts w:ascii="Arial"/>
              </w:rPr>
              <w:t>to</w:t>
            </w:r>
            <w:r>
              <w:rPr>
                <w:rFonts w:ascii="Arial"/>
                <w:spacing w:val="28"/>
              </w:rPr>
              <w:t xml:space="preserve"> </w:t>
            </w:r>
            <w:r>
              <w:rPr>
                <w:rFonts w:ascii="Arial"/>
                <w:spacing w:val="-1"/>
              </w:rPr>
              <w:t>section</w:t>
            </w:r>
            <w:r>
              <w:rPr>
                <w:rFonts w:ascii="Arial"/>
                <w:spacing w:val="28"/>
              </w:rPr>
              <w:t xml:space="preserve"> </w:t>
            </w:r>
            <w:r>
              <w:rPr>
                <w:rFonts w:ascii="Arial"/>
              </w:rPr>
              <w:t>1</w:t>
            </w:r>
            <w:r>
              <w:rPr>
                <w:rFonts w:ascii="Arial"/>
                <w:spacing w:val="28"/>
              </w:rPr>
              <w:t xml:space="preserve"> </w:t>
            </w:r>
            <w:r>
              <w:rPr>
                <w:rFonts w:ascii="Arial"/>
                <w:spacing w:val="-1"/>
              </w:rPr>
              <w:t>of</w:t>
            </w:r>
            <w:r>
              <w:rPr>
                <w:rFonts w:ascii="Arial"/>
                <w:spacing w:val="29"/>
              </w:rPr>
              <w:t xml:space="preserve"> </w:t>
            </w:r>
            <w:r>
              <w:rPr>
                <w:rFonts w:ascii="Arial"/>
                <w:spacing w:val="-1"/>
              </w:rPr>
              <w:t>the</w:t>
            </w:r>
            <w:r>
              <w:rPr>
                <w:rFonts w:ascii="Arial"/>
                <w:spacing w:val="23"/>
              </w:rPr>
              <w:t xml:space="preserve"> </w:t>
            </w:r>
            <w:r>
              <w:rPr>
                <w:rFonts w:ascii="Arial"/>
                <w:spacing w:val="-1"/>
              </w:rPr>
              <w:t>Protection</w:t>
            </w:r>
            <w:r>
              <w:rPr>
                <w:rFonts w:ascii="Arial"/>
                <w:spacing w:val="12"/>
              </w:rPr>
              <w:t xml:space="preserve"> </w:t>
            </w:r>
            <w:r>
              <w:rPr>
                <w:rFonts w:ascii="Arial"/>
                <w:spacing w:val="-2"/>
              </w:rPr>
              <w:t>of</w:t>
            </w:r>
            <w:r>
              <w:rPr>
                <w:rFonts w:ascii="Arial"/>
                <w:spacing w:val="16"/>
              </w:rPr>
              <w:t xml:space="preserve"> </w:t>
            </w:r>
            <w:r>
              <w:rPr>
                <w:rFonts w:ascii="Arial"/>
                <w:spacing w:val="-2"/>
              </w:rPr>
              <w:t>Children</w:t>
            </w:r>
            <w:r>
              <w:rPr>
                <w:rFonts w:ascii="Arial"/>
                <w:spacing w:val="13"/>
              </w:rPr>
              <w:t xml:space="preserve"> </w:t>
            </w:r>
            <w:r>
              <w:rPr>
                <w:rFonts w:ascii="Arial"/>
                <w:spacing w:val="-1"/>
              </w:rPr>
              <w:t>Act</w:t>
            </w:r>
            <w:r>
              <w:rPr>
                <w:rFonts w:ascii="Arial"/>
                <w:spacing w:val="14"/>
              </w:rPr>
              <w:t xml:space="preserve"> </w:t>
            </w:r>
            <w:r>
              <w:rPr>
                <w:rFonts w:ascii="Arial"/>
                <w:spacing w:val="-1"/>
              </w:rPr>
              <w:t>1999</w:t>
            </w:r>
            <w:r>
              <w:rPr>
                <w:rFonts w:ascii="Arial"/>
                <w:spacing w:val="12"/>
              </w:rPr>
              <w:t xml:space="preserve"> </w:t>
            </w:r>
            <w:r>
              <w:rPr>
                <w:rFonts w:ascii="Arial"/>
                <w:spacing w:val="-1"/>
              </w:rPr>
              <w:t>or</w:t>
            </w:r>
            <w:r>
              <w:rPr>
                <w:rFonts w:ascii="Arial"/>
                <w:spacing w:val="14"/>
              </w:rPr>
              <w:t xml:space="preserve"> </w:t>
            </w:r>
            <w:r>
              <w:rPr>
                <w:rFonts w:ascii="Arial"/>
                <w:spacing w:val="-1"/>
              </w:rPr>
              <w:t>being</w:t>
            </w:r>
            <w:r>
              <w:rPr>
                <w:rFonts w:ascii="Arial"/>
                <w:spacing w:val="15"/>
              </w:rPr>
              <w:t xml:space="preserve"> </w:t>
            </w:r>
            <w:r>
              <w:rPr>
                <w:rFonts w:ascii="Arial"/>
                <w:spacing w:val="-1"/>
              </w:rPr>
              <w:t>placed</w:t>
            </w:r>
            <w:r>
              <w:rPr>
                <w:rFonts w:ascii="Arial"/>
                <w:spacing w:val="10"/>
              </w:rPr>
              <w:t xml:space="preserve"> </w:t>
            </w:r>
            <w:r>
              <w:rPr>
                <w:rFonts w:ascii="Arial"/>
                <w:spacing w:val="-1"/>
              </w:rPr>
              <w:t>on</w:t>
            </w:r>
            <w:r>
              <w:rPr>
                <w:rFonts w:ascii="Arial"/>
                <w:spacing w:val="12"/>
              </w:rPr>
              <w:t xml:space="preserve"> </w:t>
            </w:r>
            <w:r>
              <w:rPr>
                <w:rFonts w:ascii="Arial"/>
              </w:rPr>
              <w:t>a</w:t>
            </w:r>
            <w:r>
              <w:rPr>
                <w:rFonts w:ascii="Arial"/>
                <w:spacing w:val="12"/>
              </w:rPr>
              <w:t xml:space="preserve"> </w:t>
            </w:r>
            <w:r>
              <w:rPr>
                <w:rFonts w:ascii="Arial"/>
                <w:spacing w:val="-2"/>
              </w:rPr>
              <w:t>list</w:t>
            </w:r>
            <w:r>
              <w:rPr>
                <w:rFonts w:ascii="Arial"/>
                <w:spacing w:val="36"/>
              </w:rPr>
              <w:t xml:space="preserve"> </w:t>
            </w:r>
            <w:r>
              <w:rPr>
                <w:rFonts w:ascii="Arial"/>
                <w:spacing w:val="-1"/>
              </w:rPr>
              <w:t>kept</w:t>
            </w:r>
            <w:r>
              <w:rPr>
                <w:rFonts w:ascii="Arial"/>
                <w:spacing w:val="59"/>
              </w:rPr>
              <w:t xml:space="preserve"> </w:t>
            </w:r>
            <w:r>
              <w:rPr>
                <w:rFonts w:ascii="Arial"/>
                <w:spacing w:val="-1"/>
              </w:rPr>
              <w:t>pursuant</w:t>
            </w:r>
            <w:r>
              <w:rPr>
                <w:rFonts w:ascii="Arial"/>
                <w:spacing w:val="59"/>
              </w:rPr>
              <w:t xml:space="preserve"> </w:t>
            </w:r>
            <w:r>
              <w:rPr>
                <w:rFonts w:ascii="Arial"/>
              </w:rPr>
              <w:t>to</w:t>
            </w:r>
            <w:r>
              <w:rPr>
                <w:rFonts w:ascii="Arial"/>
                <w:spacing w:val="58"/>
              </w:rPr>
              <w:t xml:space="preserve"> </w:t>
            </w:r>
            <w:r>
              <w:rPr>
                <w:rFonts w:ascii="Arial"/>
              </w:rPr>
              <w:t>the</w:t>
            </w:r>
            <w:r>
              <w:rPr>
                <w:rFonts w:ascii="Arial"/>
                <w:spacing w:val="58"/>
              </w:rPr>
              <w:t xml:space="preserve"> </w:t>
            </w:r>
            <w:r>
              <w:rPr>
                <w:rFonts w:ascii="Arial"/>
                <w:spacing w:val="-2"/>
              </w:rPr>
              <w:t>Safeguarding</w:t>
            </w:r>
            <w:r>
              <w:rPr>
                <w:rFonts w:ascii="Arial"/>
                <w:spacing w:val="60"/>
              </w:rPr>
              <w:t xml:space="preserve"> </w:t>
            </w:r>
            <w:r>
              <w:rPr>
                <w:rFonts w:ascii="Arial"/>
                <w:spacing w:val="-1"/>
              </w:rPr>
              <w:t>Vulnerable</w:t>
            </w:r>
            <w:r>
              <w:rPr>
                <w:rFonts w:ascii="Arial"/>
                <w:spacing w:val="58"/>
              </w:rPr>
              <w:t xml:space="preserve"> </w:t>
            </w:r>
            <w:r>
              <w:rPr>
                <w:rFonts w:ascii="Arial"/>
                <w:spacing w:val="-1"/>
              </w:rPr>
              <w:t>Groups</w:t>
            </w:r>
            <w:r>
              <w:rPr>
                <w:rFonts w:ascii="Arial"/>
                <w:spacing w:val="35"/>
              </w:rPr>
              <w:t xml:space="preserve"> </w:t>
            </w:r>
            <w:r>
              <w:rPr>
                <w:rFonts w:ascii="Arial"/>
                <w:spacing w:val="-1"/>
              </w:rPr>
              <w:t>Act</w:t>
            </w:r>
            <w:r>
              <w:rPr>
                <w:rFonts w:ascii="Arial"/>
                <w:spacing w:val="2"/>
              </w:rPr>
              <w:t xml:space="preserve"> </w:t>
            </w:r>
            <w:r>
              <w:rPr>
                <w:rFonts w:ascii="Arial"/>
                <w:spacing w:val="-2"/>
              </w:rPr>
              <w:t>2006;</w:t>
            </w:r>
          </w:p>
        </w:tc>
      </w:tr>
      <w:tr w:rsidR="008918FA" w:rsidTr="005D2B81">
        <w:trPr>
          <w:trHeight w:hRule="exact" w:val="2887"/>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"Costs"</w:t>
            </w:r>
          </w:p>
        </w:tc>
        <w:tc>
          <w:tcPr>
            <w:tcW w:w="5952"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rPr>
              <w:t>the</w:t>
            </w:r>
            <w:r>
              <w:rPr>
                <w:rFonts w:ascii="Arial"/>
                <w:spacing w:val="26"/>
              </w:rPr>
              <w:t xml:space="preserve"> </w:t>
            </w:r>
            <w:r>
              <w:rPr>
                <w:rFonts w:ascii="Arial"/>
                <w:spacing w:val="-2"/>
              </w:rPr>
              <w:t>following</w:t>
            </w:r>
            <w:r>
              <w:rPr>
                <w:rFonts w:ascii="Arial"/>
                <w:spacing w:val="30"/>
              </w:rPr>
              <w:t xml:space="preserve"> </w:t>
            </w:r>
            <w:r>
              <w:rPr>
                <w:rFonts w:ascii="Arial"/>
                <w:spacing w:val="-1"/>
              </w:rPr>
              <w:t>costs</w:t>
            </w:r>
            <w:r>
              <w:rPr>
                <w:rFonts w:ascii="Arial"/>
                <w:spacing w:val="26"/>
              </w:rPr>
              <w:t xml:space="preserve"> </w:t>
            </w:r>
            <w:r>
              <w:rPr>
                <w:rFonts w:ascii="Arial"/>
                <w:spacing w:val="-1"/>
              </w:rPr>
              <w:t>(without</w:t>
            </w:r>
            <w:r>
              <w:rPr>
                <w:rFonts w:ascii="Arial"/>
                <w:spacing w:val="30"/>
              </w:rPr>
              <w:t xml:space="preserve"> </w:t>
            </w:r>
            <w:r>
              <w:rPr>
                <w:rFonts w:ascii="Arial"/>
                <w:spacing w:val="-1"/>
              </w:rPr>
              <w:t>double</w:t>
            </w:r>
            <w:r>
              <w:rPr>
                <w:rFonts w:ascii="Arial"/>
                <w:spacing w:val="26"/>
              </w:rPr>
              <w:t xml:space="preserve"> </w:t>
            </w:r>
            <w:r>
              <w:rPr>
                <w:rFonts w:ascii="Arial"/>
                <w:spacing w:val="-1"/>
              </w:rPr>
              <w:t>recovery)</w:t>
            </w:r>
            <w:r>
              <w:rPr>
                <w:rFonts w:ascii="Arial"/>
                <w:spacing w:val="29"/>
              </w:rPr>
              <w:t xml:space="preserve"> </w:t>
            </w:r>
            <w:r>
              <w:rPr>
                <w:rFonts w:ascii="Arial"/>
              </w:rPr>
              <w:t>to</w:t>
            </w:r>
            <w:r>
              <w:rPr>
                <w:rFonts w:ascii="Arial"/>
                <w:spacing w:val="26"/>
              </w:rPr>
              <w:t xml:space="preserve"> </w:t>
            </w:r>
            <w:r>
              <w:rPr>
                <w:rFonts w:ascii="Arial"/>
                <w:spacing w:val="-1"/>
              </w:rPr>
              <w:t>the</w:t>
            </w:r>
            <w:r>
              <w:rPr>
                <w:rFonts w:ascii="Arial"/>
                <w:spacing w:val="35"/>
              </w:rPr>
              <w:t xml:space="preserve"> </w:t>
            </w:r>
            <w:r>
              <w:rPr>
                <w:rFonts w:ascii="Arial"/>
                <w:spacing w:val="-1"/>
              </w:rPr>
              <w:t>extent</w:t>
            </w:r>
            <w:r>
              <w:rPr>
                <w:rFonts w:ascii="Arial"/>
                <w:spacing w:val="14"/>
              </w:rPr>
              <w:t xml:space="preserve"> </w:t>
            </w:r>
            <w:r>
              <w:rPr>
                <w:rFonts w:ascii="Arial"/>
                <w:spacing w:val="-1"/>
              </w:rPr>
              <w:t>that</w:t>
            </w:r>
            <w:r>
              <w:rPr>
                <w:rFonts w:ascii="Arial"/>
                <w:spacing w:val="14"/>
              </w:rPr>
              <w:t xml:space="preserve"> </w:t>
            </w:r>
            <w:r>
              <w:rPr>
                <w:rFonts w:ascii="Arial"/>
                <w:spacing w:val="-1"/>
              </w:rPr>
              <w:t>they</w:t>
            </w:r>
            <w:r>
              <w:rPr>
                <w:rFonts w:ascii="Arial"/>
                <w:spacing w:val="10"/>
              </w:rPr>
              <w:t xml:space="preserve"> </w:t>
            </w:r>
            <w:r>
              <w:rPr>
                <w:rFonts w:ascii="Arial"/>
                <w:spacing w:val="-1"/>
              </w:rPr>
              <w:t>are</w:t>
            </w:r>
            <w:r>
              <w:rPr>
                <w:rFonts w:ascii="Arial"/>
                <w:spacing w:val="12"/>
              </w:rPr>
              <w:t xml:space="preserve"> </w:t>
            </w:r>
            <w:r>
              <w:rPr>
                <w:rFonts w:ascii="Arial"/>
                <w:spacing w:val="-2"/>
              </w:rPr>
              <w:t>reasonably</w:t>
            </w:r>
            <w:r>
              <w:rPr>
                <w:rFonts w:ascii="Arial"/>
                <w:spacing w:val="10"/>
              </w:rPr>
              <w:t xml:space="preserve"> </w:t>
            </w:r>
            <w:r>
              <w:rPr>
                <w:rFonts w:ascii="Arial"/>
                <w:spacing w:val="-1"/>
              </w:rPr>
              <w:t>and</w:t>
            </w:r>
            <w:r>
              <w:rPr>
                <w:rFonts w:ascii="Arial"/>
                <w:spacing w:val="15"/>
              </w:rPr>
              <w:t xml:space="preserve"> </w:t>
            </w:r>
            <w:r>
              <w:rPr>
                <w:rFonts w:ascii="Arial"/>
                <w:spacing w:val="-1"/>
              </w:rPr>
              <w:t>properly</w:t>
            </w:r>
            <w:r>
              <w:rPr>
                <w:rFonts w:ascii="Arial"/>
                <w:spacing w:val="13"/>
              </w:rPr>
              <w:t xml:space="preserve"> </w:t>
            </w:r>
            <w:r>
              <w:rPr>
                <w:rFonts w:ascii="Arial"/>
                <w:spacing w:val="-1"/>
              </w:rPr>
              <w:t>incurred</w:t>
            </w:r>
            <w:r>
              <w:rPr>
                <w:rFonts w:ascii="Arial"/>
                <w:spacing w:val="12"/>
              </w:rPr>
              <w:t xml:space="preserve"> </w:t>
            </w:r>
            <w:r>
              <w:rPr>
                <w:rFonts w:ascii="Arial"/>
                <w:spacing w:val="-1"/>
              </w:rPr>
              <w:t>by</w:t>
            </w:r>
            <w:r>
              <w:rPr>
                <w:rFonts w:ascii="Arial"/>
                <w:spacing w:val="48"/>
              </w:rPr>
              <w:t xml:space="preserve"> </w:t>
            </w:r>
            <w:r>
              <w:rPr>
                <w:rFonts w:ascii="Arial"/>
              </w:rPr>
              <w:t xml:space="preserve">the </w:t>
            </w:r>
            <w:r>
              <w:rPr>
                <w:rFonts w:ascii="Arial"/>
                <w:spacing w:val="-2"/>
              </w:rPr>
              <w:t>Supplier</w:t>
            </w:r>
            <w:r>
              <w:rPr>
                <w:rFonts w:ascii="Arial"/>
                <w:spacing w:val="2"/>
              </w:rPr>
              <w:t xml:space="preserve"> </w:t>
            </w:r>
            <w:r>
              <w:rPr>
                <w:rFonts w:ascii="Arial"/>
                <w:spacing w:val="-1"/>
              </w:rPr>
              <w:t>in</w:t>
            </w:r>
            <w:r>
              <w:rPr>
                <w:rFonts w:ascii="Arial"/>
              </w:rPr>
              <w:t xml:space="preserve"> </w:t>
            </w:r>
            <w:r>
              <w:rPr>
                <w:rFonts w:ascii="Arial"/>
                <w:spacing w:val="-2"/>
              </w:rPr>
              <w:t>providing</w:t>
            </w:r>
            <w:r>
              <w:rPr>
                <w:rFonts w:ascii="Arial"/>
              </w:rPr>
              <w:t xml:space="preserve"> the</w:t>
            </w:r>
            <w:r>
              <w:rPr>
                <w:rFonts w:ascii="Arial"/>
                <w:spacing w:val="-1"/>
              </w:rPr>
              <w:t xml:space="preserve"> Goods</w:t>
            </w:r>
            <w:r>
              <w:rPr>
                <w:rFonts w:ascii="Arial"/>
                <w:spacing w:val="-2"/>
              </w:rPr>
              <w:t xml:space="preserve"> </w:t>
            </w:r>
            <w:r>
              <w:rPr>
                <w:rFonts w:ascii="Arial"/>
                <w:spacing w:val="-1"/>
              </w:rPr>
              <w:t>and/or</w:t>
            </w:r>
            <w:r>
              <w:rPr>
                <w:rFonts w:ascii="Arial"/>
                <w:spacing w:val="2"/>
              </w:rPr>
              <w:t xml:space="preserve"> </w:t>
            </w:r>
            <w:r>
              <w:rPr>
                <w:rFonts w:ascii="Arial"/>
                <w:spacing w:val="-2"/>
              </w:rPr>
              <w:t>Services:</w:t>
            </w:r>
          </w:p>
          <w:p w:rsidR="008918FA" w:rsidRDefault="008918FA" w:rsidP="005D2B81">
            <w:pPr>
              <w:pStyle w:val="ListParagraph"/>
              <w:numPr>
                <w:ilvl w:val="0"/>
                <w:numId w:val="55"/>
              </w:numPr>
              <w:tabs>
                <w:tab w:val="left" w:pos="820"/>
              </w:tabs>
              <w:spacing w:before="121"/>
              <w:ind w:right="99" w:hanging="544"/>
              <w:jc w:val="both"/>
              <w:rPr>
                <w:rFonts w:ascii="Arial" w:eastAsia="Arial" w:hAnsi="Arial" w:cs="Arial"/>
              </w:rPr>
            </w:pPr>
            <w:r>
              <w:rPr>
                <w:rFonts w:ascii="Arial"/>
              </w:rPr>
              <w:t>the</w:t>
            </w:r>
            <w:r>
              <w:rPr>
                <w:rFonts w:ascii="Arial"/>
                <w:spacing w:val="17"/>
              </w:rPr>
              <w:t xml:space="preserve"> </w:t>
            </w:r>
            <w:r>
              <w:rPr>
                <w:rFonts w:ascii="Arial"/>
                <w:spacing w:val="-1"/>
              </w:rPr>
              <w:t>cost</w:t>
            </w:r>
            <w:r>
              <w:rPr>
                <w:rFonts w:ascii="Arial"/>
                <w:spacing w:val="19"/>
              </w:rPr>
              <w:t xml:space="preserve"> </w:t>
            </w:r>
            <w:r>
              <w:rPr>
                <w:rFonts w:ascii="Arial"/>
              </w:rPr>
              <w:t>to</w:t>
            </w:r>
            <w:r>
              <w:rPr>
                <w:rFonts w:ascii="Arial"/>
                <w:spacing w:val="15"/>
              </w:rPr>
              <w:t xml:space="preserve"> </w:t>
            </w:r>
            <w:r>
              <w:rPr>
                <w:rFonts w:ascii="Arial"/>
              </w:rPr>
              <w:t>the</w:t>
            </w:r>
            <w:r>
              <w:rPr>
                <w:rFonts w:ascii="Arial"/>
                <w:spacing w:val="17"/>
              </w:rPr>
              <w:t xml:space="preserve"> </w:t>
            </w:r>
            <w:r>
              <w:rPr>
                <w:rFonts w:ascii="Arial"/>
                <w:spacing w:val="-2"/>
              </w:rPr>
              <w:t>Supplier</w:t>
            </w:r>
            <w:r>
              <w:rPr>
                <w:rFonts w:ascii="Arial"/>
                <w:spacing w:val="19"/>
              </w:rPr>
              <w:t xml:space="preserve"> </w:t>
            </w:r>
            <w:r>
              <w:rPr>
                <w:rFonts w:ascii="Arial"/>
                <w:spacing w:val="-1"/>
              </w:rPr>
              <w:t>or</w:t>
            </w:r>
            <w:r>
              <w:rPr>
                <w:rFonts w:ascii="Arial"/>
                <w:spacing w:val="19"/>
              </w:rPr>
              <w:t xml:space="preserve"> </w:t>
            </w:r>
            <w:r>
              <w:rPr>
                <w:rFonts w:ascii="Arial"/>
              </w:rPr>
              <w:t>the</w:t>
            </w:r>
            <w:r>
              <w:rPr>
                <w:rFonts w:ascii="Arial"/>
                <w:spacing w:val="17"/>
              </w:rPr>
              <w:t xml:space="preserve"> </w:t>
            </w:r>
            <w:r>
              <w:rPr>
                <w:rFonts w:ascii="Arial"/>
                <w:spacing w:val="-1"/>
              </w:rPr>
              <w:t>Key</w:t>
            </w:r>
            <w:r>
              <w:rPr>
                <w:rFonts w:ascii="Arial"/>
                <w:spacing w:val="15"/>
              </w:rPr>
              <w:t xml:space="preserve"> </w:t>
            </w:r>
            <w:r>
              <w:rPr>
                <w:rFonts w:ascii="Arial"/>
                <w:spacing w:val="-1"/>
              </w:rPr>
              <w:t>Sub-Contractor</w:t>
            </w:r>
            <w:r>
              <w:rPr>
                <w:rFonts w:ascii="Arial"/>
                <w:spacing w:val="32"/>
              </w:rPr>
              <w:t xml:space="preserve"> </w:t>
            </w:r>
            <w:r>
              <w:rPr>
                <w:rFonts w:ascii="Arial"/>
                <w:spacing w:val="-1"/>
              </w:rPr>
              <w:t>(as</w:t>
            </w:r>
            <w:r>
              <w:rPr>
                <w:rFonts w:ascii="Arial"/>
                <w:spacing w:val="20"/>
              </w:rPr>
              <w:t xml:space="preserve"> </w:t>
            </w:r>
            <w:r>
              <w:rPr>
                <w:rFonts w:ascii="Arial"/>
              </w:rPr>
              <w:t>the</w:t>
            </w:r>
            <w:r>
              <w:rPr>
                <w:rFonts w:ascii="Arial"/>
                <w:spacing w:val="19"/>
              </w:rPr>
              <w:t xml:space="preserve"> </w:t>
            </w:r>
            <w:r>
              <w:rPr>
                <w:rFonts w:ascii="Arial"/>
                <w:spacing w:val="-1"/>
              </w:rPr>
              <w:t>context</w:t>
            </w:r>
            <w:r>
              <w:rPr>
                <w:rFonts w:ascii="Arial"/>
                <w:spacing w:val="21"/>
              </w:rPr>
              <w:t xml:space="preserve"> </w:t>
            </w:r>
            <w:r>
              <w:rPr>
                <w:rFonts w:ascii="Arial"/>
                <w:spacing w:val="-1"/>
              </w:rPr>
              <w:t>requires),</w:t>
            </w:r>
            <w:r>
              <w:rPr>
                <w:rFonts w:ascii="Arial"/>
                <w:spacing w:val="21"/>
              </w:rPr>
              <w:t xml:space="preserve"> </w:t>
            </w:r>
            <w:r>
              <w:rPr>
                <w:rFonts w:ascii="Arial"/>
                <w:spacing w:val="-1"/>
              </w:rPr>
              <w:t>calculated</w:t>
            </w:r>
            <w:r>
              <w:rPr>
                <w:rFonts w:ascii="Arial"/>
                <w:spacing w:val="20"/>
              </w:rPr>
              <w:t xml:space="preserve"> </w:t>
            </w:r>
            <w:r>
              <w:rPr>
                <w:rFonts w:ascii="Arial"/>
                <w:spacing w:val="-1"/>
              </w:rPr>
              <w:t>per</w:t>
            </w:r>
            <w:r>
              <w:rPr>
                <w:rFonts w:ascii="Arial"/>
                <w:spacing w:val="21"/>
              </w:rPr>
              <w:t xml:space="preserve"> </w:t>
            </w:r>
            <w:r>
              <w:rPr>
                <w:rFonts w:ascii="Arial"/>
                <w:spacing w:val="-2"/>
              </w:rPr>
              <w:t>Man</w:t>
            </w:r>
            <w:r>
              <w:rPr>
                <w:rFonts w:ascii="Arial"/>
                <w:spacing w:val="22"/>
              </w:rPr>
              <w:t xml:space="preserve"> </w:t>
            </w:r>
            <w:r>
              <w:rPr>
                <w:rFonts w:ascii="Arial"/>
                <w:spacing w:val="-1"/>
              </w:rPr>
              <w:t>Day,</w:t>
            </w:r>
            <w:r>
              <w:rPr>
                <w:rFonts w:ascii="Arial"/>
                <w:spacing w:val="21"/>
              </w:rPr>
              <w:t xml:space="preserve"> </w:t>
            </w:r>
            <w:r>
              <w:rPr>
                <w:rFonts w:ascii="Arial"/>
                <w:spacing w:val="-2"/>
              </w:rPr>
              <w:t>of</w:t>
            </w:r>
            <w:r>
              <w:rPr>
                <w:rFonts w:ascii="Arial"/>
                <w:spacing w:val="4"/>
              </w:rPr>
              <w:t xml:space="preserve"> </w:t>
            </w:r>
            <w:r>
              <w:rPr>
                <w:rFonts w:ascii="Arial"/>
                <w:spacing w:val="-1"/>
              </w:rPr>
              <w:t>engaging</w:t>
            </w:r>
            <w:r>
              <w:rPr>
                <w:rFonts w:ascii="Arial"/>
              </w:rPr>
              <w:t xml:space="preserve"> the </w:t>
            </w:r>
            <w:r>
              <w:rPr>
                <w:rFonts w:ascii="Arial"/>
                <w:spacing w:val="-2"/>
              </w:rPr>
              <w:t>Supplier</w:t>
            </w:r>
            <w:r>
              <w:rPr>
                <w:rFonts w:ascii="Arial"/>
                <w:spacing w:val="-3"/>
              </w:rPr>
              <w:t xml:space="preserve"> </w:t>
            </w:r>
            <w:r>
              <w:rPr>
                <w:rFonts w:ascii="Arial"/>
                <w:spacing w:val="-1"/>
              </w:rPr>
              <w:t>Personnel,</w:t>
            </w:r>
            <w:r>
              <w:rPr>
                <w:rFonts w:ascii="Arial"/>
                <w:spacing w:val="2"/>
              </w:rPr>
              <w:t xml:space="preserve"> </w:t>
            </w:r>
            <w:r>
              <w:rPr>
                <w:rFonts w:ascii="Arial"/>
                <w:spacing w:val="-2"/>
              </w:rPr>
              <w:t>including:</w:t>
            </w:r>
          </w:p>
          <w:p w:rsidR="008918FA" w:rsidRDefault="008918FA" w:rsidP="005D2B81">
            <w:pPr>
              <w:pStyle w:val="ListParagraph"/>
              <w:numPr>
                <w:ilvl w:val="1"/>
                <w:numId w:val="55"/>
              </w:numPr>
              <w:tabs>
                <w:tab w:val="left" w:pos="1180"/>
              </w:tabs>
              <w:spacing w:before="119"/>
              <w:rPr>
                <w:rFonts w:ascii="Arial" w:eastAsia="Arial" w:hAnsi="Arial" w:cs="Arial"/>
              </w:rPr>
            </w:pPr>
            <w:r>
              <w:rPr>
                <w:rFonts w:ascii="Arial"/>
                <w:spacing w:val="-1"/>
              </w:rPr>
              <w:t>base</w:t>
            </w:r>
            <w:r>
              <w:rPr>
                <w:rFonts w:ascii="Arial"/>
                <w:spacing w:val="1"/>
              </w:rPr>
              <w:t xml:space="preserve"> </w:t>
            </w:r>
            <w:r>
              <w:rPr>
                <w:rFonts w:ascii="Arial"/>
                <w:spacing w:val="-1"/>
              </w:rPr>
              <w:t>salary</w:t>
            </w:r>
            <w:r>
              <w:rPr>
                <w:rFonts w:ascii="Arial"/>
                <w:spacing w:val="-2"/>
              </w:rPr>
              <w:t xml:space="preserve"> </w:t>
            </w:r>
            <w:r>
              <w:rPr>
                <w:rFonts w:ascii="Arial"/>
                <w:spacing w:val="-1"/>
              </w:rPr>
              <w:t>paid</w:t>
            </w:r>
            <w:r>
              <w:rPr>
                <w:rFonts w:ascii="Arial"/>
              </w:rPr>
              <w:t xml:space="preserve"> to</w:t>
            </w:r>
            <w:r>
              <w:rPr>
                <w:rFonts w:ascii="Arial"/>
                <w:spacing w:val="-4"/>
              </w:rPr>
              <w:t xml:space="preserve"> </w:t>
            </w:r>
            <w:r>
              <w:rPr>
                <w:rFonts w:ascii="Arial"/>
              </w:rPr>
              <w:t xml:space="preserve">the </w:t>
            </w:r>
            <w:r>
              <w:rPr>
                <w:rFonts w:ascii="Arial"/>
                <w:spacing w:val="-2"/>
              </w:rPr>
              <w:t>Supplier</w:t>
            </w:r>
            <w:r>
              <w:rPr>
                <w:rFonts w:ascii="Arial"/>
                <w:spacing w:val="2"/>
              </w:rPr>
              <w:t xml:space="preserve"> </w:t>
            </w:r>
            <w:r>
              <w:rPr>
                <w:rFonts w:ascii="Arial"/>
                <w:spacing w:val="-1"/>
              </w:rPr>
              <w:t>Personnel;</w:t>
            </w:r>
          </w:p>
          <w:p w:rsidR="008918FA" w:rsidRDefault="008918FA" w:rsidP="005D2B81">
            <w:pPr>
              <w:pStyle w:val="ListParagraph"/>
              <w:numPr>
                <w:ilvl w:val="1"/>
                <w:numId w:val="55"/>
              </w:numPr>
              <w:tabs>
                <w:tab w:val="left" w:pos="1181"/>
              </w:tabs>
              <w:spacing w:before="121"/>
              <w:ind w:left="1180" w:hanging="361"/>
              <w:rPr>
                <w:rFonts w:ascii="Arial" w:eastAsia="Arial" w:hAnsi="Arial" w:cs="Arial"/>
              </w:rPr>
            </w:pPr>
            <w:r>
              <w:rPr>
                <w:rFonts w:ascii="Arial" w:eastAsia="Arial" w:hAnsi="Arial" w:cs="Arial"/>
                <w:spacing w:val="-2"/>
              </w:rPr>
              <w:t>employer’s</w:t>
            </w:r>
            <w:r>
              <w:rPr>
                <w:rFonts w:ascii="Arial" w:eastAsia="Arial" w:hAnsi="Arial" w:cs="Arial"/>
                <w:spacing w:val="1"/>
              </w:rPr>
              <w:t xml:space="preserv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insurance</w:t>
            </w:r>
            <w:r>
              <w:rPr>
                <w:rFonts w:ascii="Arial" w:eastAsia="Arial" w:hAnsi="Arial" w:cs="Arial"/>
                <w:spacing w:val="1"/>
              </w:rPr>
              <w:t xml:space="preserve"> </w:t>
            </w:r>
            <w:r>
              <w:rPr>
                <w:rFonts w:ascii="Arial" w:eastAsia="Arial" w:hAnsi="Arial" w:cs="Arial"/>
                <w:spacing w:val="-1"/>
              </w:rPr>
              <w:t>contributions;</w:t>
            </w:r>
          </w:p>
          <w:p w:rsidR="008918FA" w:rsidRDefault="008918FA" w:rsidP="005D2B81">
            <w:pPr>
              <w:pStyle w:val="ListParagraph"/>
              <w:numPr>
                <w:ilvl w:val="1"/>
                <w:numId w:val="55"/>
              </w:numPr>
              <w:tabs>
                <w:tab w:val="left" w:pos="1180"/>
              </w:tabs>
              <w:spacing w:before="119"/>
              <w:rPr>
                <w:rFonts w:ascii="Arial" w:eastAsia="Arial" w:hAnsi="Arial" w:cs="Arial"/>
              </w:rPr>
            </w:pPr>
            <w:r>
              <w:rPr>
                <w:rFonts w:ascii="Arial"/>
                <w:spacing w:val="-1"/>
              </w:rPr>
              <w:t>pension</w:t>
            </w:r>
            <w:r>
              <w:rPr>
                <w:rFonts w:ascii="Arial"/>
              </w:rPr>
              <w:t xml:space="preserve"> </w:t>
            </w:r>
            <w:r>
              <w:rPr>
                <w:rFonts w:ascii="Arial"/>
                <w:spacing w:val="-1"/>
              </w:rPr>
              <w:t>contributions;</w:t>
            </w:r>
          </w:p>
        </w:tc>
      </w:tr>
    </w:tbl>
    <w:p w:rsidR="008918FA" w:rsidRDefault="008918FA" w:rsidP="008918FA">
      <w:pPr>
        <w:rPr>
          <w:rFonts w:ascii="Arial" w:eastAsia="Arial" w:hAnsi="Arial" w:cs="Arial"/>
        </w:rPr>
        <w:sectPr w:rsidR="008918FA">
          <w:pgSz w:w="11910" w:h="16840"/>
          <w:pgMar w:top="1480" w:right="11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5952"/>
        <w:gridCol w:w="108"/>
      </w:tblGrid>
      <w:tr w:rsidR="008918FA" w:rsidTr="005D2B81">
        <w:trPr>
          <w:trHeight w:hRule="exact" w:val="11801"/>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5952"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ListParagraph"/>
              <w:numPr>
                <w:ilvl w:val="0"/>
                <w:numId w:val="54"/>
              </w:numPr>
              <w:tabs>
                <w:tab w:val="left" w:pos="1180"/>
              </w:tabs>
              <w:spacing w:line="250" w:lineRule="exact"/>
              <w:rPr>
                <w:rFonts w:ascii="Arial" w:eastAsia="Arial" w:hAnsi="Arial" w:cs="Arial"/>
              </w:rPr>
            </w:pPr>
            <w:r>
              <w:rPr>
                <w:rFonts w:ascii="Arial"/>
                <w:spacing w:val="-1"/>
              </w:rPr>
              <w:t>car</w:t>
            </w:r>
            <w:r>
              <w:rPr>
                <w:rFonts w:ascii="Arial"/>
                <w:spacing w:val="2"/>
              </w:rPr>
              <w:t xml:space="preserve"> </w:t>
            </w:r>
            <w:r>
              <w:rPr>
                <w:rFonts w:ascii="Arial"/>
                <w:spacing w:val="-2"/>
              </w:rPr>
              <w:t>allowances;</w:t>
            </w:r>
          </w:p>
          <w:p w:rsidR="008918FA" w:rsidRDefault="008918FA" w:rsidP="005D2B81">
            <w:pPr>
              <w:pStyle w:val="ListParagraph"/>
              <w:numPr>
                <w:ilvl w:val="0"/>
                <w:numId w:val="54"/>
              </w:numPr>
              <w:tabs>
                <w:tab w:val="left" w:pos="1180"/>
              </w:tabs>
              <w:spacing w:before="121"/>
              <w:rPr>
                <w:rFonts w:ascii="Arial" w:eastAsia="Arial" w:hAnsi="Arial" w:cs="Arial"/>
              </w:rPr>
            </w:pPr>
            <w:r>
              <w:rPr>
                <w:rFonts w:ascii="Arial"/>
                <w:spacing w:val="-1"/>
              </w:rPr>
              <w:t>any</w:t>
            </w:r>
            <w:r>
              <w:rPr>
                <w:rFonts w:ascii="Arial"/>
                <w:spacing w:val="-2"/>
              </w:rPr>
              <w:t xml:space="preserve"> </w:t>
            </w:r>
            <w:r>
              <w:rPr>
                <w:rFonts w:ascii="Arial"/>
                <w:spacing w:val="-1"/>
              </w:rPr>
              <w:t>other</w:t>
            </w:r>
            <w:r>
              <w:rPr>
                <w:rFonts w:ascii="Arial"/>
                <w:spacing w:val="2"/>
              </w:rPr>
              <w:t xml:space="preserve"> </w:t>
            </w:r>
            <w:r>
              <w:rPr>
                <w:rFonts w:ascii="Arial"/>
                <w:spacing w:val="-1"/>
              </w:rPr>
              <w:t>contractual</w:t>
            </w:r>
            <w:r>
              <w:rPr>
                <w:rFonts w:ascii="Arial"/>
              </w:rPr>
              <w:t xml:space="preserve"> </w:t>
            </w:r>
            <w:r>
              <w:rPr>
                <w:rFonts w:ascii="Arial"/>
                <w:spacing w:val="-2"/>
              </w:rPr>
              <w:t>employment</w:t>
            </w:r>
            <w:r>
              <w:rPr>
                <w:rFonts w:ascii="Arial"/>
                <w:spacing w:val="2"/>
              </w:rPr>
              <w:t xml:space="preserve"> </w:t>
            </w:r>
            <w:r>
              <w:rPr>
                <w:rFonts w:ascii="Arial"/>
                <w:spacing w:val="-1"/>
              </w:rPr>
              <w:t>benefits;</w:t>
            </w:r>
          </w:p>
          <w:p w:rsidR="008918FA" w:rsidRDefault="008918FA" w:rsidP="005D2B81">
            <w:pPr>
              <w:pStyle w:val="ListParagraph"/>
              <w:numPr>
                <w:ilvl w:val="0"/>
                <w:numId w:val="54"/>
              </w:numPr>
              <w:tabs>
                <w:tab w:val="left" w:pos="1180"/>
              </w:tabs>
              <w:spacing w:before="119"/>
              <w:rPr>
                <w:rFonts w:ascii="Arial" w:eastAsia="Arial" w:hAnsi="Arial" w:cs="Arial"/>
              </w:rPr>
            </w:pPr>
            <w:r>
              <w:rPr>
                <w:rFonts w:ascii="Arial"/>
                <w:spacing w:val="-1"/>
              </w:rPr>
              <w:t>staff</w:t>
            </w:r>
            <w:r>
              <w:rPr>
                <w:rFonts w:ascii="Arial"/>
              </w:rPr>
              <w:t xml:space="preserve"> </w:t>
            </w:r>
            <w:r>
              <w:rPr>
                <w:rFonts w:ascii="Arial"/>
                <w:spacing w:val="-1"/>
              </w:rPr>
              <w:t>training;</w:t>
            </w:r>
          </w:p>
          <w:p w:rsidR="008918FA" w:rsidRDefault="008918FA" w:rsidP="005D2B81">
            <w:pPr>
              <w:pStyle w:val="ListParagraph"/>
              <w:numPr>
                <w:ilvl w:val="0"/>
                <w:numId w:val="54"/>
              </w:numPr>
              <w:tabs>
                <w:tab w:val="left" w:pos="1180"/>
              </w:tabs>
              <w:spacing w:before="119"/>
              <w:rPr>
                <w:rFonts w:ascii="Arial" w:eastAsia="Arial" w:hAnsi="Arial" w:cs="Arial"/>
              </w:rPr>
            </w:pPr>
            <w:r>
              <w:rPr>
                <w:rFonts w:ascii="Arial"/>
                <w:spacing w:val="-2"/>
              </w:rPr>
              <w:t>work</w:t>
            </w:r>
            <w:r>
              <w:rPr>
                <w:rFonts w:ascii="Arial"/>
                <w:spacing w:val="3"/>
              </w:rPr>
              <w:t xml:space="preserve"> </w:t>
            </w:r>
            <w:r>
              <w:rPr>
                <w:rFonts w:ascii="Arial"/>
                <w:spacing w:val="-1"/>
              </w:rPr>
              <w:t>place</w:t>
            </w:r>
            <w:r>
              <w:rPr>
                <w:rFonts w:ascii="Arial"/>
                <w:spacing w:val="1"/>
              </w:rPr>
              <w:t xml:space="preserve"> </w:t>
            </w:r>
            <w:r>
              <w:rPr>
                <w:rFonts w:ascii="Arial"/>
                <w:spacing w:val="-2"/>
              </w:rPr>
              <w:t>accommodation;</w:t>
            </w:r>
          </w:p>
          <w:p w:rsidR="008918FA" w:rsidRDefault="008918FA" w:rsidP="005D2B81">
            <w:pPr>
              <w:pStyle w:val="ListParagraph"/>
              <w:numPr>
                <w:ilvl w:val="0"/>
                <w:numId w:val="54"/>
              </w:numPr>
              <w:tabs>
                <w:tab w:val="left" w:pos="1180"/>
              </w:tabs>
              <w:spacing w:before="121"/>
              <w:ind w:right="98"/>
              <w:jc w:val="both"/>
              <w:rPr>
                <w:rFonts w:ascii="Arial" w:eastAsia="Arial" w:hAnsi="Arial" w:cs="Arial"/>
              </w:rPr>
            </w:pPr>
            <w:r>
              <w:rPr>
                <w:rFonts w:ascii="Arial"/>
                <w:spacing w:val="-2"/>
              </w:rPr>
              <w:t>work</w:t>
            </w:r>
            <w:r>
              <w:rPr>
                <w:rFonts w:ascii="Arial"/>
                <w:spacing w:val="30"/>
              </w:rPr>
              <w:t xml:space="preserve"> </w:t>
            </w:r>
            <w:r>
              <w:rPr>
                <w:rFonts w:ascii="Arial"/>
                <w:spacing w:val="-1"/>
              </w:rPr>
              <w:t>place</w:t>
            </w:r>
            <w:r>
              <w:rPr>
                <w:rFonts w:ascii="Arial"/>
                <w:spacing w:val="27"/>
              </w:rPr>
              <w:t xml:space="preserve"> </w:t>
            </w:r>
            <w:r>
              <w:rPr>
                <w:rFonts w:ascii="Arial"/>
              </w:rPr>
              <w:t>IT</w:t>
            </w:r>
            <w:r>
              <w:rPr>
                <w:rFonts w:ascii="Arial"/>
                <w:spacing w:val="29"/>
              </w:rPr>
              <w:t xml:space="preserve"> </w:t>
            </w:r>
            <w:r>
              <w:rPr>
                <w:rFonts w:ascii="Arial"/>
                <w:spacing w:val="-2"/>
              </w:rPr>
              <w:t>equipment</w:t>
            </w:r>
            <w:r>
              <w:rPr>
                <w:rFonts w:ascii="Arial"/>
                <w:spacing w:val="28"/>
              </w:rPr>
              <w:t xml:space="preserve"> </w:t>
            </w:r>
            <w:r>
              <w:rPr>
                <w:rFonts w:ascii="Arial"/>
                <w:spacing w:val="-1"/>
              </w:rPr>
              <w:t>and</w:t>
            </w:r>
            <w:r>
              <w:rPr>
                <w:rFonts w:ascii="Arial"/>
                <w:spacing w:val="27"/>
              </w:rPr>
              <w:t xml:space="preserve"> </w:t>
            </w:r>
            <w:r>
              <w:rPr>
                <w:rFonts w:ascii="Arial"/>
                <w:spacing w:val="-1"/>
              </w:rPr>
              <w:t>tools</w:t>
            </w:r>
            <w:r>
              <w:rPr>
                <w:rFonts w:ascii="Arial"/>
                <w:spacing w:val="29"/>
              </w:rPr>
              <w:t xml:space="preserve"> </w:t>
            </w:r>
            <w:r>
              <w:rPr>
                <w:rFonts w:ascii="Arial"/>
                <w:spacing w:val="-1"/>
              </w:rPr>
              <w:t>reasonably</w:t>
            </w:r>
            <w:r>
              <w:rPr>
                <w:rFonts w:ascii="Arial"/>
                <w:spacing w:val="33"/>
              </w:rPr>
              <w:t xml:space="preserve"> </w:t>
            </w:r>
            <w:r>
              <w:rPr>
                <w:rFonts w:ascii="Arial"/>
                <w:spacing w:val="-1"/>
              </w:rPr>
              <w:t>necessary</w:t>
            </w:r>
            <w:r>
              <w:rPr>
                <w:rFonts w:ascii="Arial"/>
                <w:spacing w:val="8"/>
              </w:rPr>
              <w:t xml:space="preserve"> </w:t>
            </w:r>
            <w:r>
              <w:rPr>
                <w:rFonts w:ascii="Arial"/>
              </w:rPr>
              <w:t>to</w:t>
            </w:r>
            <w:r>
              <w:rPr>
                <w:rFonts w:ascii="Arial"/>
                <w:spacing w:val="10"/>
              </w:rPr>
              <w:t xml:space="preserve"> </w:t>
            </w:r>
            <w:r>
              <w:rPr>
                <w:rFonts w:ascii="Arial"/>
                <w:spacing w:val="-2"/>
              </w:rPr>
              <w:t>provide</w:t>
            </w:r>
            <w:r>
              <w:rPr>
                <w:rFonts w:ascii="Arial"/>
                <w:spacing w:val="24"/>
              </w:rPr>
              <w:t xml:space="preserve"> </w:t>
            </w:r>
            <w:r>
              <w:rPr>
                <w:rFonts w:ascii="Arial"/>
              </w:rPr>
              <w:t>the</w:t>
            </w:r>
            <w:r>
              <w:rPr>
                <w:rFonts w:ascii="Arial"/>
                <w:spacing w:val="10"/>
              </w:rPr>
              <w:t xml:space="preserve"> </w:t>
            </w:r>
            <w:r>
              <w:rPr>
                <w:rFonts w:ascii="Arial"/>
                <w:spacing w:val="-1"/>
              </w:rPr>
              <w:t>Goods</w:t>
            </w:r>
            <w:r>
              <w:rPr>
                <w:rFonts w:ascii="Arial"/>
              </w:rPr>
              <w:t xml:space="preserve"> </w:t>
            </w:r>
            <w:r>
              <w:rPr>
                <w:rFonts w:ascii="Arial"/>
                <w:spacing w:val="10"/>
              </w:rPr>
              <w:t xml:space="preserve"> </w:t>
            </w:r>
            <w:r>
              <w:rPr>
                <w:rFonts w:ascii="Arial"/>
                <w:spacing w:val="-1"/>
              </w:rPr>
              <w:t>and/or</w:t>
            </w:r>
            <w:r>
              <w:rPr>
                <w:rFonts w:ascii="Arial"/>
                <w:spacing w:val="31"/>
              </w:rPr>
              <w:t xml:space="preserve"> </w:t>
            </w:r>
            <w:r>
              <w:rPr>
                <w:rFonts w:ascii="Arial"/>
                <w:spacing w:val="-1"/>
              </w:rPr>
              <w:t>Services</w:t>
            </w:r>
            <w:r>
              <w:rPr>
                <w:rFonts w:ascii="Arial"/>
                <w:spacing w:val="59"/>
              </w:rPr>
              <w:t xml:space="preserve"> </w:t>
            </w:r>
            <w:r>
              <w:rPr>
                <w:rFonts w:ascii="Arial"/>
                <w:spacing w:val="-1"/>
              </w:rPr>
              <w:t>(but</w:t>
            </w:r>
            <w:r>
              <w:rPr>
                <w:rFonts w:ascii="Arial"/>
              </w:rPr>
              <w:t xml:space="preserve"> </w:t>
            </w:r>
            <w:r>
              <w:rPr>
                <w:rFonts w:ascii="Arial"/>
                <w:spacing w:val="-1"/>
              </w:rPr>
              <w:t>not</w:t>
            </w:r>
            <w:r>
              <w:rPr>
                <w:rFonts w:ascii="Arial"/>
              </w:rPr>
              <w:t xml:space="preserve"> </w:t>
            </w:r>
            <w:r>
              <w:rPr>
                <w:rFonts w:ascii="Arial"/>
                <w:spacing w:val="-2"/>
              </w:rPr>
              <w:t>including</w:t>
            </w:r>
            <w:r>
              <w:rPr>
                <w:rFonts w:ascii="Arial"/>
              </w:rPr>
              <w:t xml:space="preserve">  </w:t>
            </w:r>
            <w:r>
              <w:rPr>
                <w:rFonts w:ascii="Arial"/>
                <w:spacing w:val="-1"/>
              </w:rPr>
              <w:t>items</w:t>
            </w:r>
            <w:r>
              <w:rPr>
                <w:rFonts w:ascii="Arial"/>
                <w:spacing w:val="59"/>
              </w:rPr>
              <w:t xml:space="preserve"> </w:t>
            </w:r>
            <w:r>
              <w:rPr>
                <w:rFonts w:ascii="Arial"/>
                <w:spacing w:val="-2"/>
              </w:rPr>
              <w:t>included</w:t>
            </w:r>
            <w:r>
              <w:rPr>
                <w:rFonts w:ascii="Arial"/>
                <w:spacing w:val="42"/>
              </w:rPr>
              <w:t xml:space="preserve"> </w:t>
            </w:r>
            <w:r>
              <w:rPr>
                <w:rFonts w:ascii="Arial"/>
                <w:spacing w:val="-1"/>
              </w:rPr>
              <w:t>within</w:t>
            </w:r>
            <w:r>
              <w:rPr>
                <w:rFonts w:ascii="Arial"/>
              </w:rPr>
              <w:t xml:space="preserve"> </w:t>
            </w:r>
            <w:r>
              <w:rPr>
                <w:rFonts w:ascii="Arial"/>
                <w:spacing w:val="-1"/>
              </w:rPr>
              <w:t>limb</w:t>
            </w:r>
            <w:r>
              <w:rPr>
                <w:rFonts w:ascii="Arial"/>
              </w:rPr>
              <w:t xml:space="preserve"> </w:t>
            </w:r>
            <w:r>
              <w:rPr>
                <w:rFonts w:ascii="Arial"/>
                <w:spacing w:val="-1"/>
              </w:rPr>
              <w:t>(b)</w:t>
            </w:r>
            <w:r>
              <w:rPr>
                <w:rFonts w:ascii="Arial"/>
                <w:spacing w:val="2"/>
              </w:rPr>
              <w:t xml:space="preserve"> </w:t>
            </w:r>
            <w:r>
              <w:rPr>
                <w:rFonts w:ascii="Arial"/>
                <w:spacing w:val="-2"/>
              </w:rPr>
              <w:t>below);</w:t>
            </w:r>
            <w:r>
              <w:rPr>
                <w:rFonts w:ascii="Arial"/>
                <w:spacing w:val="2"/>
              </w:rPr>
              <w:t xml:space="preserve"> </w:t>
            </w:r>
            <w:r>
              <w:rPr>
                <w:rFonts w:ascii="Arial"/>
                <w:spacing w:val="-2"/>
              </w:rPr>
              <w:t>and</w:t>
            </w:r>
          </w:p>
          <w:p w:rsidR="008918FA" w:rsidRDefault="008918FA" w:rsidP="005D2B81">
            <w:pPr>
              <w:pStyle w:val="ListParagraph"/>
              <w:numPr>
                <w:ilvl w:val="0"/>
                <w:numId w:val="54"/>
              </w:numPr>
              <w:tabs>
                <w:tab w:val="left" w:pos="1180"/>
              </w:tabs>
              <w:spacing w:before="119"/>
              <w:ind w:right="98"/>
              <w:rPr>
                <w:rFonts w:ascii="Arial" w:eastAsia="Arial" w:hAnsi="Arial" w:cs="Arial"/>
              </w:rPr>
            </w:pPr>
            <w:r>
              <w:rPr>
                <w:rFonts w:ascii="Arial"/>
                <w:spacing w:val="-1"/>
              </w:rPr>
              <w:t>reasonable</w:t>
            </w:r>
            <w:r>
              <w:rPr>
                <w:rFonts w:ascii="Arial"/>
                <w:spacing w:val="55"/>
              </w:rPr>
              <w:t xml:space="preserve"> </w:t>
            </w:r>
            <w:r>
              <w:rPr>
                <w:rFonts w:ascii="Arial"/>
                <w:spacing w:val="-1"/>
              </w:rPr>
              <w:t>recruitment</w:t>
            </w:r>
            <w:r>
              <w:rPr>
                <w:rFonts w:ascii="Arial"/>
                <w:spacing w:val="55"/>
              </w:rPr>
              <w:t xml:space="preserve"> </w:t>
            </w:r>
            <w:r>
              <w:rPr>
                <w:rFonts w:ascii="Arial"/>
                <w:spacing w:val="-1"/>
              </w:rPr>
              <w:t>costs,</w:t>
            </w:r>
            <w:r>
              <w:rPr>
                <w:rFonts w:ascii="Arial"/>
                <w:spacing w:val="57"/>
              </w:rPr>
              <w:t xml:space="preserve"> </w:t>
            </w:r>
            <w:r>
              <w:rPr>
                <w:rFonts w:ascii="Arial"/>
                <w:spacing w:val="-1"/>
              </w:rPr>
              <w:t>as</w:t>
            </w:r>
            <w:r>
              <w:rPr>
                <w:rFonts w:ascii="Arial"/>
                <w:spacing w:val="56"/>
              </w:rPr>
              <w:t xml:space="preserve"> </w:t>
            </w:r>
            <w:r>
              <w:rPr>
                <w:rFonts w:ascii="Arial"/>
                <w:spacing w:val="-1"/>
              </w:rPr>
              <w:t>agreed</w:t>
            </w:r>
            <w:r>
              <w:rPr>
                <w:rFonts w:ascii="Arial"/>
                <w:spacing w:val="55"/>
              </w:rPr>
              <w:t xml:space="preserve"> </w:t>
            </w:r>
            <w:r>
              <w:rPr>
                <w:rFonts w:ascii="Arial"/>
                <w:spacing w:val="-2"/>
              </w:rPr>
              <w:t>with</w:t>
            </w:r>
            <w:r>
              <w:rPr>
                <w:rFonts w:ascii="Arial"/>
                <w:spacing w:val="29"/>
              </w:rPr>
              <w:t xml:space="preserve"> </w:t>
            </w:r>
            <w:r>
              <w:rPr>
                <w:rFonts w:ascii="Arial"/>
              </w:rPr>
              <w:t xml:space="preserve">the </w:t>
            </w:r>
            <w:r>
              <w:rPr>
                <w:rFonts w:ascii="Arial"/>
                <w:spacing w:val="-1"/>
              </w:rPr>
              <w:t>Customer;</w:t>
            </w:r>
          </w:p>
          <w:p w:rsidR="008918FA" w:rsidRDefault="008918FA" w:rsidP="005D2B81">
            <w:pPr>
              <w:pStyle w:val="ListParagraph"/>
              <w:numPr>
                <w:ilvl w:val="0"/>
                <w:numId w:val="53"/>
              </w:numPr>
              <w:tabs>
                <w:tab w:val="left" w:pos="820"/>
              </w:tabs>
              <w:spacing w:before="119"/>
              <w:ind w:right="98" w:hanging="544"/>
              <w:jc w:val="both"/>
              <w:rPr>
                <w:rFonts w:ascii="Arial" w:eastAsia="Arial" w:hAnsi="Arial" w:cs="Arial"/>
              </w:rPr>
            </w:pPr>
            <w:r>
              <w:rPr>
                <w:rFonts w:ascii="Arial"/>
                <w:spacing w:val="-1"/>
              </w:rPr>
              <w:t>costs</w:t>
            </w:r>
            <w:r>
              <w:rPr>
                <w:rFonts w:ascii="Arial"/>
                <w:spacing w:val="27"/>
              </w:rPr>
              <w:t xml:space="preserve"> </w:t>
            </w:r>
            <w:r>
              <w:rPr>
                <w:rFonts w:ascii="Arial"/>
                <w:spacing w:val="-1"/>
              </w:rPr>
              <w:t>incurred</w:t>
            </w:r>
            <w:r>
              <w:rPr>
                <w:rFonts w:ascii="Arial"/>
                <w:spacing w:val="27"/>
              </w:rPr>
              <w:t xml:space="preserve"> </w:t>
            </w:r>
            <w:r>
              <w:rPr>
                <w:rFonts w:ascii="Arial"/>
                <w:spacing w:val="-1"/>
              </w:rPr>
              <w:t>in</w:t>
            </w:r>
            <w:r>
              <w:rPr>
                <w:rFonts w:ascii="Arial"/>
                <w:spacing w:val="27"/>
              </w:rPr>
              <w:t xml:space="preserve"> </w:t>
            </w:r>
            <w:r>
              <w:rPr>
                <w:rFonts w:ascii="Arial"/>
                <w:spacing w:val="-1"/>
              </w:rPr>
              <w:t>respect</w:t>
            </w:r>
            <w:r>
              <w:rPr>
                <w:rFonts w:ascii="Arial"/>
                <w:spacing w:val="29"/>
              </w:rPr>
              <w:t xml:space="preserve"> </w:t>
            </w:r>
            <w:r>
              <w:rPr>
                <w:rFonts w:ascii="Arial"/>
                <w:spacing w:val="-2"/>
              </w:rPr>
              <w:t>of</w:t>
            </w:r>
            <w:r>
              <w:rPr>
                <w:rFonts w:ascii="Arial"/>
                <w:spacing w:val="30"/>
              </w:rPr>
              <w:t xml:space="preserve"> </w:t>
            </w:r>
            <w:r>
              <w:rPr>
                <w:rFonts w:ascii="Arial"/>
                <w:spacing w:val="-1"/>
              </w:rPr>
              <w:t>those</w:t>
            </w:r>
            <w:r>
              <w:rPr>
                <w:rFonts w:ascii="Arial"/>
                <w:spacing w:val="27"/>
              </w:rPr>
              <w:t xml:space="preserve"> </w:t>
            </w:r>
            <w:r>
              <w:rPr>
                <w:rFonts w:ascii="Arial"/>
                <w:spacing w:val="-2"/>
              </w:rPr>
              <w:t>Supplier</w:t>
            </w:r>
            <w:r>
              <w:rPr>
                <w:rFonts w:ascii="Arial"/>
                <w:spacing w:val="28"/>
              </w:rPr>
              <w:t xml:space="preserve"> </w:t>
            </w:r>
            <w:r>
              <w:rPr>
                <w:rFonts w:ascii="Arial"/>
                <w:spacing w:val="-1"/>
              </w:rPr>
              <w:t>Assets</w:t>
            </w:r>
            <w:r>
              <w:rPr>
                <w:rFonts w:ascii="Arial"/>
                <w:spacing w:val="41"/>
              </w:rPr>
              <w:t xml:space="preserve"> </w:t>
            </w:r>
            <w:r>
              <w:rPr>
                <w:rFonts w:ascii="Arial"/>
                <w:spacing w:val="-1"/>
              </w:rPr>
              <w:t>which</w:t>
            </w:r>
            <w:r>
              <w:rPr>
                <w:rFonts w:ascii="Arial"/>
                <w:spacing w:val="14"/>
              </w:rPr>
              <w:t xml:space="preserve"> </w:t>
            </w:r>
            <w:r>
              <w:rPr>
                <w:rFonts w:ascii="Arial"/>
                <w:spacing w:val="-1"/>
              </w:rPr>
              <w:t>are</w:t>
            </w:r>
            <w:r>
              <w:rPr>
                <w:rFonts w:ascii="Arial"/>
                <w:spacing w:val="14"/>
              </w:rPr>
              <w:t xml:space="preserve"> </w:t>
            </w:r>
            <w:r>
              <w:rPr>
                <w:rFonts w:ascii="Arial"/>
                <w:spacing w:val="-1"/>
              </w:rPr>
              <w:t>detailed</w:t>
            </w:r>
            <w:r>
              <w:rPr>
                <w:rFonts w:ascii="Arial"/>
                <w:spacing w:val="14"/>
              </w:rPr>
              <w:t xml:space="preserve"> </w:t>
            </w:r>
            <w:r>
              <w:rPr>
                <w:rFonts w:ascii="Arial"/>
                <w:spacing w:val="-1"/>
              </w:rPr>
              <w:t>on</w:t>
            </w:r>
            <w:r>
              <w:rPr>
                <w:rFonts w:ascii="Arial"/>
                <w:spacing w:val="13"/>
              </w:rPr>
              <w:t xml:space="preserve"> </w:t>
            </w:r>
            <w:r>
              <w:rPr>
                <w:rFonts w:ascii="Arial"/>
              </w:rPr>
              <w:t>the</w:t>
            </w:r>
            <w:r>
              <w:rPr>
                <w:rFonts w:ascii="Arial"/>
                <w:spacing w:val="14"/>
              </w:rPr>
              <w:t xml:space="preserve"> </w:t>
            </w:r>
            <w:r>
              <w:rPr>
                <w:rFonts w:ascii="Arial"/>
                <w:spacing w:val="-1"/>
              </w:rPr>
              <w:t>Registers</w:t>
            </w:r>
            <w:r>
              <w:rPr>
                <w:rFonts w:ascii="Arial"/>
                <w:spacing w:val="14"/>
              </w:rPr>
              <w:t xml:space="preserve"> </w:t>
            </w:r>
            <w:r>
              <w:rPr>
                <w:rFonts w:ascii="Arial"/>
                <w:spacing w:val="-2"/>
              </w:rPr>
              <w:t>and</w:t>
            </w:r>
            <w:r>
              <w:rPr>
                <w:rFonts w:ascii="Arial"/>
                <w:spacing w:val="14"/>
              </w:rPr>
              <w:t xml:space="preserve"> </w:t>
            </w:r>
            <w:r>
              <w:rPr>
                <w:rFonts w:ascii="Arial"/>
                <w:spacing w:val="-1"/>
              </w:rPr>
              <w:t>which</w:t>
            </w:r>
            <w:r>
              <w:rPr>
                <w:rFonts w:ascii="Arial"/>
                <w:spacing w:val="30"/>
              </w:rPr>
              <w:t xml:space="preserve"> </w:t>
            </w:r>
            <w:r>
              <w:rPr>
                <w:rFonts w:ascii="Arial"/>
                <w:spacing w:val="-1"/>
              </w:rPr>
              <w:t>would</w:t>
            </w:r>
            <w:r>
              <w:rPr>
                <w:rFonts w:ascii="Arial"/>
                <w:spacing w:val="18"/>
              </w:rPr>
              <w:t xml:space="preserve"> </w:t>
            </w:r>
            <w:r>
              <w:rPr>
                <w:rFonts w:ascii="Arial"/>
                <w:spacing w:val="-1"/>
              </w:rPr>
              <w:t>be</w:t>
            </w:r>
            <w:r>
              <w:rPr>
                <w:rFonts w:ascii="Arial"/>
                <w:spacing w:val="18"/>
              </w:rPr>
              <w:t xml:space="preserve"> </w:t>
            </w:r>
            <w:r>
              <w:rPr>
                <w:rFonts w:ascii="Arial"/>
                <w:spacing w:val="-1"/>
              </w:rPr>
              <w:t>treated</w:t>
            </w:r>
            <w:r>
              <w:rPr>
                <w:rFonts w:ascii="Arial"/>
                <w:spacing w:val="18"/>
              </w:rPr>
              <w:t xml:space="preserve"> </w:t>
            </w:r>
            <w:r>
              <w:rPr>
                <w:rFonts w:ascii="Arial"/>
                <w:spacing w:val="-1"/>
              </w:rPr>
              <w:t>as</w:t>
            </w:r>
            <w:r>
              <w:rPr>
                <w:rFonts w:ascii="Arial"/>
                <w:spacing w:val="19"/>
              </w:rPr>
              <w:t xml:space="preserve"> </w:t>
            </w:r>
            <w:r>
              <w:rPr>
                <w:rFonts w:ascii="Arial"/>
                <w:spacing w:val="-1"/>
              </w:rPr>
              <w:t>capital</w:t>
            </w:r>
            <w:r>
              <w:rPr>
                <w:rFonts w:ascii="Arial"/>
                <w:spacing w:val="18"/>
              </w:rPr>
              <w:t xml:space="preserve"> </w:t>
            </w:r>
            <w:r>
              <w:rPr>
                <w:rFonts w:ascii="Arial"/>
                <w:spacing w:val="-1"/>
              </w:rPr>
              <w:t>costs</w:t>
            </w:r>
            <w:r>
              <w:rPr>
                <w:rFonts w:ascii="Arial"/>
                <w:spacing w:val="19"/>
              </w:rPr>
              <w:t xml:space="preserve"> </w:t>
            </w:r>
            <w:r>
              <w:rPr>
                <w:rFonts w:ascii="Arial"/>
                <w:spacing w:val="-1"/>
              </w:rPr>
              <w:t>according</w:t>
            </w:r>
            <w:r>
              <w:rPr>
                <w:rFonts w:ascii="Arial"/>
                <w:spacing w:val="18"/>
              </w:rPr>
              <w:t xml:space="preserve"> </w:t>
            </w:r>
            <w:r>
              <w:rPr>
                <w:rFonts w:ascii="Arial"/>
              </w:rPr>
              <w:t>to</w:t>
            </w:r>
            <w:r>
              <w:rPr>
                <w:rFonts w:ascii="Arial"/>
                <w:spacing w:val="27"/>
              </w:rPr>
              <w:t xml:space="preserve"> </w:t>
            </w:r>
            <w:r>
              <w:rPr>
                <w:rFonts w:ascii="Arial"/>
                <w:spacing w:val="-1"/>
              </w:rPr>
              <w:t>generally</w:t>
            </w:r>
            <w:r>
              <w:rPr>
                <w:rFonts w:ascii="Arial"/>
                <w:spacing w:val="10"/>
              </w:rPr>
              <w:t xml:space="preserve"> </w:t>
            </w:r>
            <w:r>
              <w:rPr>
                <w:rFonts w:ascii="Arial"/>
                <w:spacing w:val="-1"/>
              </w:rPr>
              <w:t>accepted</w:t>
            </w:r>
            <w:r>
              <w:rPr>
                <w:rFonts w:ascii="Arial"/>
                <w:spacing w:val="12"/>
              </w:rPr>
              <w:t xml:space="preserve"> </w:t>
            </w:r>
            <w:r>
              <w:rPr>
                <w:rFonts w:ascii="Arial"/>
                <w:spacing w:val="-1"/>
              </w:rPr>
              <w:t>accounting</w:t>
            </w:r>
            <w:r>
              <w:rPr>
                <w:rFonts w:ascii="Arial"/>
                <w:spacing w:val="15"/>
              </w:rPr>
              <w:t xml:space="preserve"> </w:t>
            </w:r>
            <w:r>
              <w:rPr>
                <w:rFonts w:ascii="Arial"/>
                <w:spacing w:val="-2"/>
              </w:rPr>
              <w:t>principles</w:t>
            </w:r>
            <w:r>
              <w:rPr>
                <w:rFonts w:ascii="Arial"/>
                <w:spacing w:val="13"/>
              </w:rPr>
              <w:t xml:space="preserve"> </w:t>
            </w:r>
            <w:r>
              <w:rPr>
                <w:rFonts w:ascii="Arial"/>
                <w:spacing w:val="-2"/>
              </w:rPr>
              <w:t>within</w:t>
            </w:r>
            <w:r>
              <w:rPr>
                <w:rFonts w:ascii="Arial"/>
                <w:spacing w:val="12"/>
              </w:rPr>
              <w:t xml:space="preserve"> </w:t>
            </w:r>
            <w:r>
              <w:rPr>
                <w:rFonts w:ascii="Arial"/>
                <w:spacing w:val="-1"/>
              </w:rPr>
              <w:t>the</w:t>
            </w:r>
            <w:r>
              <w:rPr>
                <w:rFonts w:ascii="Arial"/>
                <w:spacing w:val="40"/>
              </w:rPr>
              <w:t xml:space="preserve"> </w:t>
            </w:r>
            <w:r>
              <w:rPr>
                <w:rFonts w:ascii="Arial"/>
                <w:spacing w:val="-1"/>
              </w:rPr>
              <w:t>UK,</w:t>
            </w:r>
            <w:r>
              <w:rPr>
                <w:rFonts w:ascii="Arial"/>
                <w:spacing w:val="33"/>
              </w:rPr>
              <w:t xml:space="preserve"> </w:t>
            </w:r>
            <w:r>
              <w:rPr>
                <w:rFonts w:ascii="Arial"/>
                <w:spacing w:val="-2"/>
              </w:rPr>
              <w:t>which</w:t>
            </w:r>
            <w:r>
              <w:rPr>
                <w:rFonts w:ascii="Arial"/>
                <w:spacing w:val="32"/>
              </w:rPr>
              <w:t xml:space="preserve"> </w:t>
            </w:r>
            <w:r>
              <w:rPr>
                <w:rFonts w:ascii="Arial"/>
                <w:spacing w:val="-1"/>
              </w:rPr>
              <w:t>shall</w:t>
            </w:r>
            <w:r>
              <w:rPr>
                <w:rFonts w:ascii="Arial"/>
                <w:spacing w:val="31"/>
              </w:rPr>
              <w:t xml:space="preserve"> </w:t>
            </w:r>
            <w:r>
              <w:rPr>
                <w:rFonts w:ascii="Arial"/>
                <w:spacing w:val="-1"/>
              </w:rPr>
              <w:t>include</w:t>
            </w:r>
            <w:r>
              <w:rPr>
                <w:rFonts w:ascii="Arial"/>
                <w:spacing w:val="34"/>
              </w:rPr>
              <w:t xml:space="preserve"> </w:t>
            </w:r>
            <w:r>
              <w:rPr>
                <w:rFonts w:ascii="Arial"/>
              </w:rPr>
              <w:t>the</w:t>
            </w:r>
            <w:r>
              <w:rPr>
                <w:rFonts w:ascii="Arial"/>
                <w:spacing w:val="31"/>
              </w:rPr>
              <w:t xml:space="preserve"> </w:t>
            </w:r>
            <w:r>
              <w:rPr>
                <w:rFonts w:ascii="Arial"/>
                <w:spacing w:val="-1"/>
              </w:rPr>
              <w:t>cost</w:t>
            </w:r>
            <w:r>
              <w:rPr>
                <w:rFonts w:ascii="Arial"/>
                <w:spacing w:val="30"/>
              </w:rPr>
              <w:t xml:space="preserve"> </w:t>
            </w:r>
            <w:r>
              <w:rPr>
                <w:rFonts w:ascii="Arial"/>
              </w:rPr>
              <w:t>to</w:t>
            </w:r>
            <w:r>
              <w:rPr>
                <w:rFonts w:ascii="Arial"/>
                <w:spacing w:val="32"/>
              </w:rPr>
              <w:t xml:space="preserve"> </w:t>
            </w:r>
            <w:r>
              <w:rPr>
                <w:rFonts w:ascii="Arial"/>
                <w:spacing w:val="-1"/>
              </w:rPr>
              <w:t>be</w:t>
            </w:r>
            <w:r>
              <w:rPr>
                <w:rFonts w:ascii="Arial"/>
                <w:spacing w:val="29"/>
              </w:rPr>
              <w:t xml:space="preserve"> </w:t>
            </w:r>
            <w:r>
              <w:rPr>
                <w:rFonts w:ascii="Arial"/>
                <w:spacing w:val="-1"/>
              </w:rPr>
              <w:t>charged</w:t>
            </w:r>
            <w:r>
              <w:rPr>
                <w:rFonts w:ascii="Arial"/>
                <w:spacing w:val="29"/>
              </w:rPr>
              <w:t xml:space="preserve"> </w:t>
            </w:r>
            <w:r>
              <w:rPr>
                <w:rFonts w:ascii="Arial"/>
                <w:spacing w:val="-1"/>
              </w:rPr>
              <w:t>in</w:t>
            </w:r>
            <w:r>
              <w:rPr>
                <w:rFonts w:ascii="Arial"/>
                <w:spacing w:val="30"/>
              </w:rPr>
              <w:t xml:space="preserve"> </w:t>
            </w:r>
            <w:r>
              <w:rPr>
                <w:rFonts w:ascii="Arial"/>
                <w:spacing w:val="-1"/>
              </w:rPr>
              <w:t>respect</w:t>
            </w:r>
            <w:r>
              <w:rPr>
                <w:rFonts w:ascii="Arial"/>
                <w:spacing w:val="40"/>
              </w:rPr>
              <w:t xml:space="preserve"> </w:t>
            </w:r>
            <w:r>
              <w:rPr>
                <w:rFonts w:ascii="Arial"/>
                <w:spacing w:val="-2"/>
              </w:rPr>
              <w:t>of</w:t>
            </w:r>
            <w:r>
              <w:rPr>
                <w:rFonts w:ascii="Arial"/>
                <w:spacing w:val="40"/>
              </w:rPr>
              <w:t xml:space="preserve"> </w:t>
            </w:r>
            <w:r>
              <w:rPr>
                <w:rFonts w:ascii="Arial"/>
                <w:spacing w:val="-2"/>
              </w:rPr>
              <w:t>Supplier</w:t>
            </w:r>
            <w:r>
              <w:rPr>
                <w:rFonts w:ascii="Arial"/>
                <w:spacing w:val="40"/>
              </w:rPr>
              <w:t xml:space="preserve"> </w:t>
            </w:r>
            <w:r>
              <w:rPr>
                <w:rFonts w:ascii="Arial"/>
                <w:spacing w:val="-1"/>
              </w:rPr>
              <w:t>Assets</w:t>
            </w:r>
            <w:r>
              <w:rPr>
                <w:rFonts w:ascii="Arial"/>
                <w:spacing w:val="39"/>
              </w:rPr>
              <w:t xml:space="preserve"> </w:t>
            </w:r>
            <w:r>
              <w:rPr>
                <w:rFonts w:ascii="Arial"/>
                <w:spacing w:val="-1"/>
              </w:rPr>
              <w:t>by</w:t>
            </w:r>
            <w:r>
              <w:rPr>
                <w:rFonts w:ascii="Arial"/>
                <w:spacing w:val="36"/>
              </w:rPr>
              <w:t xml:space="preserve"> </w:t>
            </w:r>
            <w:r>
              <w:rPr>
                <w:rFonts w:ascii="Arial"/>
              </w:rPr>
              <w:t>the</w:t>
            </w:r>
            <w:r>
              <w:rPr>
                <w:rFonts w:ascii="Arial"/>
                <w:spacing w:val="38"/>
              </w:rPr>
              <w:t xml:space="preserve"> </w:t>
            </w:r>
            <w:r>
              <w:rPr>
                <w:rFonts w:ascii="Arial"/>
                <w:spacing w:val="-2"/>
              </w:rPr>
              <w:t>Supplier</w:t>
            </w:r>
            <w:r>
              <w:rPr>
                <w:rFonts w:ascii="Arial"/>
                <w:spacing w:val="41"/>
              </w:rPr>
              <w:t xml:space="preserve"> </w:t>
            </w:r>
            <w:r>
              <w:rPr>
                <w:rFonts w:ascii="Arial"/>
              </w:rPr>
              <w:t>to</w:t>
            </w:r>
            <w:r>
              <w:rPr>
                <w:rFonts w:ascii="Arial"/>
                <w:spacing w:val="38"/>
              </w:rPr>
              <w:t xml:space="preserve"> </w:t>
            </w:r>
            <w:r>
              <w:rPr>
                <w:rFonts w:ascii="Arial"/>
                <w:spacing w:val="-1"/>
              </w:rPr>
              <w:t>the</w:t>
            </w:r>
            <w:r>
              <w:rPr>
                <w:rFonts w:ascii="Arial"/>
                <w:spacing w:val="52"/>
              </w:rPr>
              <w:t xml:space="preserve"> </w:t>
            </w:r>
            <w:r>
              <w:rPr>
                <w:rFonts w:ascii="Arial"/>
                <w:spacing w:val="-1"/>
              </w:rPr>
              <w:t>Customer</w:t>
            </w:r>
            <w:r>
              <w:rPr>
                <w:rFonts w:ascii="Arial"/>
                <w:spacing w:val="16"/>
              </w:rPr>
              <w:t xml:space="preserve"> </w:t>
            </w:r>
            <w:r>
              <w:rPr>
                <w:rFonts w:ascii="Arial"/>
                <w:spacing w:val="-1"/>
              </w:rPr>
              <w:t>or</w:t>
            </w:r>
            <w:r>
              <w:rPr>
                <w:rFonts w:ascii="Arial"/>
                <w:spacing w:val="14"/>
              </w:rPr>
              <w:t xml:space="preserve"> </w:t>
            </w:r>
            <w:r>
              <w:rPr>
                <w:rFonts w:ascii="Arial"/>
                <w:spacing w:val="-1"/>
              </w:rPr>
              <w:t>(to</w:t>
            </w:r>
            <w:r>
              <w:rPr>
                <w:rFonts w:ascii="Arial"/>
                <w:spacing w:val="15"/>
              </w:rPr>
              <w:t xml:space="preserve"> </w:t>
            </w:r>
            <w:r>
              <w:rPr>
                <w:rFonts w:ascii="Arial"/>
                <w:spacing w:val="-1"/>
              </w:rPr>
              <w:t>the</w:t>
            </w:r>
            <w:r>
              <w:rPr>
                <w:rFonts w:ascii="Arial"/>
                <w:spacing w:val="15"/>
              </w:rPr>
              <w:t xml:space="preserve"> </w:t>
            </w:r>
            <w:r>
              <w:rPr>
                <w:rFonts w:ascii="Arial"/>
                <w:spacing w:val="-2"/>
              </w:rPr>
              <w:t>extent</w:t>
            </w:r>
            <w:r>
              <w:rPr>
                <w:rFonts w:ascii="Arial"/>
                <w:spacing w:val="16"/>
              </w:rPr>
              <w:t xml:space="preserve"> </w:t>
            </w:r>
            <w:r>
              <w:rPr>
                <w:rFonts w:ascii="Arial"/>
                <w:spacing w:val="-1"/>
              </w:rPr>
              <w:t>that</w:t>
            </w:r>
            <w:r>
              <w:rPr>
                <w:rFonts w:ascii="Arial"/>
                <w:spacing w:val="14"/>
              </w:rPr>
              <w:t xml:space="preserve"> </w:t>
            </w:r>
            <w:r>
              <w:rPr>
                <w:rFonts w:ascii="Arial"/>
                <w:spacing w:val="-2"/>
              </w:rPr>
              <w:t>risk</w:t>
            </w:r>
            <w:r>
              <w:rPr>
                <w:rFonts w:ascii="Arial"/>
                <w:spacing w:val="18"/>
              </w:rPr>
              <w:t xml:space="preserve"> </w:t>
            </w:r>
            <w:r>
              <w:rPr>
                <w:rFonts w:ascii="Arial"/>
                <w:spacing w:val="-1"/>
              </w:rPr>
              <w:t>and</w:t>
            </w:r>
            <w:r>
              <w:rPr>
                <w:rFonts w:ascii="Arial"/>
                <w:spacing w:val="12"/>
              </w:rPr>
              <w:t xml:space="preserve"> </w:t>
            </w:r>
            <w:r>
              <w:rPr>
                <w:rFonts w:ascii="Arial"/>
                <w:spacing w:val="-1"/>
              </w:rPr>
              <w:t>title</w:t>
            </w:r>
            <w:r>
              <w:rPr>
                <w:rFonts w:ascii="Arial"/>
                <w:spacing w:val="15"/>
              </w:rPr>
              <w:t xml:space="preserve"> </w:t>
            </w:r>
            <w:r>
              <w:rPr>
                <w:rFonts w:ascii="Arial"/>
                <w:spacing w:val="-1"/>
              </w:rPr>
              <w:t>in</w:t>
            </w:r>
            <w:r>
              <w:rPr>
                <w:rFonts w:ascii="Arial"/>
                <w:spacing w:val="15"/>
              </w:rPr>
              <w:t xml:space="preserve"> </w:t>
            </w:r>
            <w:r>
              <w:rPr>
                <w:rFonts w:ascii="Arial"/>
                <w:spacing w:val="-2"/>
              </w:rPr>
              <w:t>any</w:t>
            </w:r>
            <w:r>
              <w:rPr>
                <w:rFonts w:ascii="Arial"/>
                <w:spacing w:val="36"/>
              </w:rPr>
              <w:t xml:space="preserve"> </w:t>
            </w:r>
            <w:r>
              <w:rPr>
                <w:rFonts w:ascii="Arial"/>
                <w:spacing w:val="-2"/>
              </w:rPr>
              <w:t>Supplier</w:t>
            </w:r>
            <w:r>
              <w:rPr>
                <w:rFonts w:ascii="Arial"/>
                <w:spacing w:val="6"/>
              </w:rPr>
              <w:t xml:space="preserve"> </w:t>
            </w:r>
            <w:r>
              <w:rPr>
                <w:rFonts w:ascii="Arial"/>
                <w:spacing w:val="-1"/>
              </w:rPr>
              <w:t>Asset</w:t>
            </w:r>
            <w:r>
              <w:rPr>
                <w:rFonts w:ascii="Arial"/>
                <w:spacing w:val="7"/>
              </w:rPr>
              <w:t xml:space="preserve"> </w:t>
            </w:r>
            <w:r>
              <w:rPr>
                <w:rFonts w:ascii="Arial"/>
                <w:spacing w:val="-1"/>
              </w:rPr>
              <w:t>is</w:t>
            </w:r>
            <w:r>
              <w:rPr>
                <w:rFonts w:ascii="Arial"/>
                <w:spacing w:val="5"/>
              </w:rPr>
              <w:t xml:space="preserve"> </w:t>
            </w:r>
            <w:r>
              <w:rPr>
                <w:rFonts w:ascii="Arial"/>
                <w:spacing w:val="-1"/>
              </w:rPr>
              <w:t>not</w:t>
            </w:r>
            <w:r>
              <w:rPr>
                <w:rFonts w:ascii="Arial"/>
                <w:spacing w:val="7"/>
              </w:rPr>
              <w:t xml:space="preserve"> </w:t>
            </w:r>
            <w:r>
              <w:rPr>
                <w:rFonts w:ascii="Arial"/>
                <w:spacing w:val="-2"/>
              </w:rPr>
              <w:t>held</w:t>
            </w:r>
            <w:r>
              <w:rPr>
                <w:rFonts w:ascii="Arial"/>
                <w:spacing w:val="5"/>
              </w:rPr>
              <w:t xml:space="preserve"> </w:t>
            </w:r>
            <w:r>
              <w:rPr>
                <w:rFonts w:ascii="Arial"/>
                <w:spacing w:val="-1"/>
              </w:rPr>
              <w:t>by</w:t>
            </w:r>
            <w:r>
              <w:rPr>
                <w:rFonts w:ascii="Arial"/>
                <w:spacing w:val="3"/>
              </w:rPr>
              <w:t xml:space="preserve"> </w:t>
            </w:r>
            <w:r>
              <w:rPr>
                <w:rFonts w:ascii="Arial"/>
              </w:rPr>
              <w:t>the</w:t>
            </w:r>
            <w:r>
              <w:rPr>
                <w:rFonts w:ascii="Arial"/>
                <w:spacing w:val="5"/>
              </w:rPr>
              <w:t xml:space="preserve"> </w:t>
            </w:r>
            <w:r>
              <w:rPr>
                <w:rFonts w:ascii="Arial"/>
                <w:spacing w:val="-1"/>
              </w:rPr>
              <w:t>Supplier)</w:t>
            </w:r>
            <w:r>
              <w:rPr>
                <w:rFonts w:ascii="Arial"/>
                <w:spacing w:val="6"/>
              </w:rPr>
              <w:t xml:space="preserve"> </w:t>
            </w:r>
            <w:r>
              <w:rPr>
                <w:rFonts w:ascii="Arial"/>
                <w:spacing w:val="-1"/>
              </w:rPr>
              <w:t>any</w:t>
            </w:r>
            <w:r>
              <w:rPr>
                <w:rFonts w:ascii="Arial"/>
                <w:spacing w:val="3"/>
              </w:rPr>
              <w:t xml:space="preserve"> </w:t>
            </w:r>
            <w:r>
              <w:rPr>
                <w:rFonts w:ascii="Arial"/>
                <w:spacing w:val="-1"/>
              </w:rPr>
              <w:t>cost</w:t>
            </w:r>
            <w:r>
              <w:rPr>
                <w:rFonts w:ascii="Arial"/>
                <w:spacing w:val="30"/>
              </w:rPr>
              <w:t xml:space="preserve"> </w:t>
            </w:r>
            <w:r>
              <w:rPr>
                <w:rFonts w:ascii="Arial"/>
                <w:spacing w:val="-1"/>
              </w:rPr>
              <w:t>actually</w:t>
            </w:r>
            <w:r>
              <w:rPr>
                <w:rFonts w:ascii="Arial"/>
                <w:spacing w:val="1"/>
              </w:rPr>
              <w:t xml:space="preserve"> </w:t>
            </w:r>
            <w:r>
              <w:rPr>
                <w:rFonts w:ascii="Arial"/>
                <w:spacing w:val="-1"/>
              </w:rPr>
              <w:t>incurred</w:t>
            </w:r>
            <w:r>
              <w:rPr>
                <w:rFonts w:ascii="Arial"/>
                <w:spacing w:val="3"/>
              </w:rPr>
              <w:t xml:space="preserve"> </w:t>
            </w:r>
            <w:r>
              <w:rPr>
                <w:rFonts w:ascii="Arial"/>
                <w:spacing w:val="-1"/>
              </w:rPr>
              <w:t>by</w:t>
            </w:r>
            <w:r>
              <w:rPr>
                <w:rFonts w:ascii="Arial"/>
                <w:spacing w:val="1"/>
              </w:rPr>
              <w:t xml:space="preserve"> </w:t>
            </w:r>
            <w:r>
              <w:rPr>
                <w:rFonts w:ascii="Arial"/>
              </w:rPr>
              <w:t>the</w:t>
            </w:r>
            <w:r>
              <w:rPr>
                <w:rFonts w:ascii="Arial"/>
                <w:spacing w:val="4"/>
              </w:rPr>
              <w:t xml:space="preserve"> </w:t>
            </w:r>
            <w:r>
              <w:rPr>
                <w:rFonts w:ascii="Arial"/>
                <w:spacing w:val="-2"/>
              </w:rPr>
              <w:t>Supplier</w:t>
            </w:r>
            <w:r>
              <w:rPr>
                <w:rFonts w:ascii="Arial"/>
                <w:spacing w:val="4"/>
              </w:rPr>
              <w:t xml:space="preserve"> </w:t>
            </w:r>
            <w:r>
              <w:rPr>
                <w:rFonts w:ascii="Arial"/>
                <w:spacing w:val="-1"/>
              </w:rPr>
              <w:t>in</w:t>
            </w:r>
            <w:r>
              <w:rPr>
                <w:rFonts w:ascii="Arial"/>
                <w:spacing w:val="3"/>
              </w:rPr>
              <w:t xml:space="preserve"> </w:t>
            </w:r>
            <w:r>
              <w:rPr>
                <w:rFonts w:ascii="Arial"/>
                <w:spacing w:val="-1"/>
              </w:rPr>
              <w:t>respect</w:t>
            </w:r>
            <w:r>
              <w:rPr>
                <w:rFonts w:ascii="Arial"/>
                <w:spacing w:val="5"/>
              </w:rPr>
              <w:t xml:space="preserve"> </w:t>
            </w:r>
            <w:r>
              <w:rPr>
                <w:rFonts w:ascii="Arial"/>
                <w:spacing w:val="-2"/>
              </w:rPr>
              <w:t>of</w:t>
            </w:r>
            <w:r>
              <w:rPr>
                <w:rFonts w:ascii="Arial"/>
                <w:spacing w:val="4"/>
              </w:rPr>
              <w:t xml:space="preserve"> </w:t>
            </w:r>
            <w:r>
              <w:rPr>
                <w:rFonts w:ascii="Arial"/>
                <w:spacing w:val="-1"/>
              </w:rPr>
              <w:t>those</w:t>
            </w:r>
            <w:r>
              <w:rPr>
                <w:rFonts w:ascii="Arial"/>
                <w:spacing w:val="32"/>
              </w:rPr>
              <w:t xml:space="preserve"> </w:t>
            </w:r>
            <w:r>
              <w:rPr>
                <w:rFonts w:ascii="Arial"/>
                <w:spacing w:val="-2"/>
              </w:rPr>
              <w:t>Supplier</w:t>
            </w:r>
            <w:r>
              <w:rPr>
                <w:rFonts w:ascii="Arial"/>
                <w:spacing w:val="2"/>
              </w:rPr>
              <w:t xml:space="preserve"> </w:t>
            </w:r>
            <w:r>
              <w:rPr>
                <w:rFonts w:ascii="Arial"/>
                <w:spacing w:val="-1"/>
              </w:rPr>
              <w:t>Assets;</w:t>
            </w:r>
          </w:p>
          <w:p w:rsidR="008918FA" w:rsidRDefault="008918FA" w:rsidP="005D2B81">
            <w:pPr>
              <w:pStyle w:val="ListParagraph"/>
              <w:numPr>
                <w:ilvl w:val="0"/>
                <w:numId w:val="53"/>
              </w:numPr>
              <w:tabs>
                <w:tab w:val="left" w:pos="820"/>
              </w:tabs>
              <w:spacing w:before="119"/>
              <w:ind w:right="98" w:hanging="544"/>
              <w:jc w:val="both"/>
              <w:rPr>
                <w:rFonts w:ascii="Arial" w:eastAsia="Arial" w:hAnsi="Arial" w:cs="Arial"/>
              </w:rPr>
            </w:pPr>
            <w:r>
              <w:rPr>
                <w:rFonts w:ascii="Arial"/>
                <w:spacing w:val="-1"/>
              </w:rPr>
              <w:t>operational</w:t>
            </w:r>
            <w:r>
              <w:rPr>
                <w:rFonts w:ascii="Arial"/>
                <w:spacing w:val="19"/>
              </w:rPr>
              <w:t xml:space="preserve"> </w:t>
            </w:r>
            <w:r>
              <w:rPr>
                <w:rFonts w:ascii="Arial"/>
                <w:spacing w:val="-1"/>
              </w:rPr>
              <w:t>costs</w:t>
            </w:r>
            <w:r>
              <w:rPr>
                <w:rFonts w:ascii="Arial"/>
                <w:spacing w:val="20"/>
              </w:rPr>
              <w:t xml:space="preserve"> </w:t>
            </w:r>
            <w:r>
              <w:rPr>
                <w:rFonts w:ascii="Arial"/>
                <w:spacing w:val="-2"/>
              </w:rPr>
              <w:t>which</w:t>
            </w:r>
            <w:r>
              <w:rPr>
                <w:rFonts w:ascii="Arial"/>
                <w:spacing w:val="22"/>
              </w:rPr>
              <w:t xml:space="preserve"> </w:t>
            </w:r>
            <w:r>
              <w:rPr>
                <w:rFonts w:ascii="Arial"/>
                <w:spacing w:val="-1"/>
              </w:rPr>
              <w:t>are</w:t>
            </w:r>
            <w:r>
              <w:rPr>
                <w:rFonts w:ascii="Arial"/>
                <w:spacing w:val="19"/>
              </w:rPr>
              <w:t xml:space="preserve"> </w:t>
            </w:r>
            <w:r>
              <w:rPr>
                <w:rFonts w:ascii="Arial"/>
                <w:spacing w:val="-1"/>
              </w:rPr>
              <w:t>not</w:t>
            </w:r>
            <w:r>
              <w:rPr>
                <w:rFonts w:ascii="Arial"/>
                <w:spacing w:val="21"/>
              </w:rPr>
              <w:t xml:space="preserve"> </w:t>
            </w:r>
            <w:r>
              <w:rPr>
                <w:rFonts w:ascii="Arial"/>
                <w:spacing w:val="-1"/>
              </w:rPr>
              <w:t>included</w:t>
            </w:r>
            <w:r>
              <w:rPr>
                <w:rFonts w:ascii="Arial"/>
                <w:spacing w:val="22"/>
              </w:rPr>
              <w:t xml:space="preserve"> </w:t>
            </w:r>
            <w:r>
              <w:rPr>
                <w:rFonts w:ascii="Arial"/>
                <w:spacing w:val="-2"/>
              </w:rPr>
              <w:t>within</w:t>
            </w:r>
            <w:r>
              <w:rPr>
                <w:rFonts w:ascii="Arial"/>
                <w:spacing w:val="19"/>
              </w:rPr>
              <w:t xml:space="preserve"> </w:t>
            </w:r>
            <w:r>
              <w:rPr>
                <w:rFonts w:ascii="Arial"/>
              </w:rPr>
              <w:t>(a)</w:t>
            </w:r>
            <w:r>
              <w:rPr>
                <w:rFonts w:ascii="Arial"/>
                <w:spacing w:val="34"/>
              </w:rPr>
              <w:t xml:space="preserve"> </w:t>
            </w:r>
            <w:r>
              <w:rPr>
                <w:rFonts w:ascii="Arial"/>
                <w:spacing w:val="-1"/>
              </w:rPr>
              <w:t>or</w:t>
            </w:r>
            <w:r>
              <w:rPr>
                <w:rFonts w:ascii="Arial"/>
                <w:spacing w:val="5"/>
              </w:rPr>
              <w:t xml:space="preserve"> </w:t>
            </w:r>
            <w:r>
              <w:rPr>
                <w:rFonts w:ascii="Arial"/>
                <w:spacing w:val="-1"/>
              </w:rPr>
              <w:t>(b)</w:t>
            </w:r>
            <w:r>
              <w:rPr>
                <w:rFonts w:ascii="Arial"/>
                <w:spacing w:val="5"/>
              </w:rPr>
              <w:t xml:space="preserve"> </w:t>
            </w:r>
            <w:r>
              <w:rPr>
                <w:rFonts w:ascii="Arial"/>
                <w:spacing w:val="-2"/>
              </w:rPr>
              <w:t>above,</w:t>
            </w:r>
            <w:r>
              <w:rPr>
                <w:rFonts w:ascii="Arial"/>
                <w:spacing w:val="5"/>
              </w:rPr>
              <w:t xml:space="preserve"> </w:t>
            </w:r>
            <w:r>
              <w:rPr>
                <w:rFonts w:ascii="Arial"/>
              </w:rPr>
              <w:t>to</w:t>
            </w:r>
            <w:r>
              <w:rPr>
                <w:rFonts w:ascii="Arial"/>
                <w:spacing w:val="2"/>
              </w:rPr>
              <w:t xml:space="preserve"> </w:t>
            </w:r>
            <w:r>
              <w:rPr>
                <w:rFonts w:ascii="Arial"/>
              </w:rPr>
              <w:t>the</w:t>
            </w:r>
            <w:r>
              <w:rPr>
                <w:rFonts w:ascii="Arial"/>
                <w:spacing w:val="4"/>
              </w:rPr>
              <w:t xml:space="preserve"> </w:t>
            </w:r>
            <w:r>
              <w:rPr>
                <w:rFonts w:ascii="Arial"/>
                <w:spacing w:val="-2"/>
              </w:rPr>
              <w:t>extent</w:t>
            </w:r>
            <w:r>
              <w:rPr>
                <w:rFonts w:ascii="Arial"/>
                <w:spacing w:val="5"/>
              </w:rPr>
              <w:t xml:space="preserve"> </w:t>
            </w:r>
            <w:r>
              <w:rPr>
                <w:rFonts w:ascii="Arial"/>
                <w:spacing w:val="-1"/>
              </w:rPr>
              <w:t>that</w:t>
            </w:r>
            <w:r>
              <w:rPr>
                <w:rFonts w:ascii="Arial"/>
                <w:spacing w:val="5"/>
              </w:rPr>
              <w:t xml:space="preserve"> </w:t>
            </w:r>
            <w:r>
              <w:rPr>
                <w:rFonts w:ascii="Arial"/>
                <w:spacing w:val="-1"/>
              </w:rPr>
              <w:t>such</w:t>
            </w:r>
            <w:r>
              <w:rPr>
                <w:rFonts w:ascii="Arial"/>
                <w:spacing w:val="4"/>
              </w:rPr>
              <w:t xml:space="preserve"> </w:t>
            </w:r>
            <w:r>
              <w:rPr>
                <w:rFonts w:ascii="Arial"/>
                <w:spacing w:val="-1"/>
              </w:rPr>
              <w:t>costs</w:t>
            </w:r>
            <w:r>
              <w:rPr>
                <w:rFonts w:ascii="Arial"/>
                <w:spacing w:val="2"/>
              </w:rPr>
              <w:t xml:space="preserve"> </w:t>
            </w:r>
            <w:r>
              <w:rPr>
                <w:rFonts w:ascii="Arial"/>
                <w:spacing w:val="-1"/>
              </w:rPr>
              <w:t>are</w:t>
            </w:r>
            <w:r>
              <w:rPr>
                <w:rFonts w:ascii="Arial"/>
                <w:spacing w:val="33"/>
              </w:rPr>
              <w:t xml:space="preserve"> </w:t>
            </w:r>
            <w:r>
              <w:rPr>
                <w:rFonts w:ascii="Arial"/>
                <w:spacing w:val="-1"/>
              </w:rPr>
              <w:t>necessary</w:t>
            </w:r>
            <w:r>
              <w:rPr>
                <w:rFonts w:ascii="Arial"/>
                <w:spacing w:val="13"/>
              </w:rPr>
              <w:t xml:space="preserve"> </w:t>
            </w:r>
            <w:r>
              <w:rPr>
                <w:rFonts w:ascii="Arial"/>
                <w:spacing w:val="-1"/>
              </w:rPr>
              <w:t>and</w:t>
            </w:r>
            <w:r>
              <w:rPr>
                <w:rFonts w:ascii="Arial"/>
                <w:spacing w:val="15"/>
              </w:rPr>
              <w:t xml:space="preserve"> </w:t>
            </w:r>
            <w:r>
              <w:rPr>
                <w:rFonts w:ascii="Arial"/>
                <w:spacing w:val="-1"/>
              </w:rPr>
              <w:t>properly</w:t>
            </w:r>
            <w:r>
              <w:rPr>
                <w:rFonts w:ascii="Arial"/>
                <w:spacing w:val="13"/>
              </w:rPr>
              <w:t xml:space="preserve"> </w:t>
            </w:r>
            <w:r>
              <w:rPr>
                <w:rFonts w:ascii="Arial"/>
                <w:spacing w:val="-1"/>
              </w:rPr>
              <w:t>incurred</w:t>
            </w:r>
            <w:r>
              <w:rPr>
                <w:rFonts w:ascii="Arial"/>
                <w:spacing w:val="15"/>
              </w:rPr>
              <w:t xml:space="preserve"> </w:t>
            </w:r>
            <w:r>
              <w:rPr>
                <w:rFonts w:ascii="Arial"/>
                <w:spacing w:val="-1"/>
              </w:rPr>
              <w:t>by</w:t>
            </w:r>
            <w:r>
              <w:rPr>
                <w:rFonts w:ascii="Arial"/>
                <w:spacing w:val="13"/>
              </w:rPr>
              <w:t xml:space="preserve"> </w:t>
            </w:r>
            <w:r>
              <w:rPr>
                <w:rFonts w:ascii="Arial"/>
              </w:rPr>
              <w:t>the</w:t>
            </w:r>
            <w:r>
              <w:rPr>
                <w:rFonts w:ascii="Arial"/>
                <w:spacing w:val="15"/>
              </w:rPr>
              <w:t xml:space="preserve"> </w:t>
            </w:r>
            <w:r>
              <w:rPr>
                <w:rFonts w:ascii="Arial"/>
                <w:spacing w:val="-2"/>
              </w:rPr>
              <w:t>Supplier</w:t>
            </w:r>
            <w:r>
              <w:rPr>
                <w:rFonts w:ascii="Arial"/>
                <w:spacing w:val="16"/>
              </w:rPr>
              <w:t xml:space="preserve"> </w:t>
            </w:r>
            <w:r>
              <w:rPr>
                <w:rFonts w:ascii="Arial"/>
              </w:rPr>
              <w:t>in</w:t>
            </w:r>
            <w:r>
              <w:rPr>
                <w:rFonts w:ascii="Arial"/>
                <w:spacing w:val="45"/>
              </w:rPr>
              <w:t xml:space="preserve"> </w:t>
            </w:r>
            <w:r>
              <w:rPr>
                <w:rFonts w:ascii="Arial"/>
              </w:rPr>
              <w:t xml:space="preserve">the </w:t>
            </w:r>
            <w:r>
              <w:rPr>
                <w:rFonts w:ascii="Arial"/>
                <w:spacing w:val="-2"/>
              </w:rPr>
              <w:t>provision</w:t>
            </w:r>
            <w:r>
              <w:rPr>
                <w:rFonts w:ascii="Arial"/>
              </w:rPr>
              <w:t xml:space="preserve"> </w:t>
            </w:r>
            <w:r>
              <w:rPr>
                <w:rFonts w:ascii="Arial"/>
                <w:spacing w:val="-1"/>
              </w:rPr>
              <w:t>of</w:t>
            </w:r>
            <w:r>
              <w:rPr>
                <w:rFonts w:ascii="Arial"/>
                <w:spacing w:val="2"/>
              </w:rPr>
              <w:t xml:space="preserve"> </w:t>
            </w:r>
            <w:r>
              <w:rPr>
                <w:rFonts w:ascii="Arial"/>
              </w:rPr>
              <w:t>the</w:t>
            </w:r>
            <w:r>
              <w:rPr>
                <w:rFonts w:ascii="Arial"/>
                <w:spacing w:val="-4"/>
              </w:rPr>
              <w:t xml:space="preserve"> </w:t>
            </w:r>
            <w:r>
              <w:rPr>
                <w:rFonts w:ascii="Arial"/>
                <w:spacing w:val="-1"/>
              </w:rPr>
              <w:t>Goods</w:t>
            </w:r>
            <w:r>
              <w:rPr>
                <w:rFonts w:ascii="Arial"/>
                <w:spacing w:val="1"/>
              </w:rPr>
              <w:t xml:space="preserve"> </w:t>
            </w:r>
            <w:r>
              <w:rPr>
                <w:rFonts w:ascii="Arial"/>
                <w:spacing w:val="-1"/>
              </w:rPr>
              <w:t>and/or</w:t>
            </w:r>
            <w:r>
              <w:rPr>
                <w:rFonts w:ascii="Arial"/>
                <w:spacing w:val="2"/>
              </w:rPr>
              <w:t xml:space="preserve"> </w:t>
            </w:r>
            <w:r>
              <w:rPr>
                <w:rFonts w:ascii="Arial"/>
                <w:spacing w:val="-2"/>
              </w:rPr>
              <w:t>Services;</w:t>
            </w:r>
          </w:p>
          <w:p w:rsidR="008918FA" w:rsidRDefault="008918FA" w:rsidP="005D2B81">
            <w:pPr>
              <w:pStyle w:val="TableParagraph"/>
              <w:spacing w:before="119"/>
              <w:ind w:left="270"/>
              <w:rPr>
                <w:rFonts w:ascii="Arial" w:eastAsia="Arial" w:hAnsi="Arial" w:cs="Arial"/>
              </w:rPr>
            </w:pPr>
            <w:r>
              <w:rPr>
                <w:rFonts w:ascii="Arial"/>
                <w:spacing w:val="-1"/>
              </w:rPr>
              <w:t>but</w:t>
            </w:r>
            <w:r>
              <w:rPr>
                <w:rFonts w:ascii="Arial"/>
                <w:spacing w:val="2"/>
              </w:rPr>
              <w:t xml:space="preserve"> </w:t>
            </w:r>
            <w:r>
              <w:rPr>
                <w:rFonts w:ascii="Arial"/>
                <w:spacing w:val="-1"/>
              </w:rPr>
              <w:t>excluding:</w:t>
            </w:r>
          </w:p>
          <w:p w:rsidR="008918FA" w:rsidRDefault="008918FA" w:rsidP="005D2B81">
            <w:pPr>
              <w:pStyle w:val="ListParagraph"/>
              <w:numPr>
                <w:ilvl w:val="0"/>
                <w:numId w:val="52"/>
              </w:numPr>
              <w:tabs>
                <w:tab w:val="left" w:pos="820"/>
              </w:tabs>
              <w:spacing w:before="119"/>
              <w:ind w:hanging="544"/>
              <w:rPr>
                <w:rFonts w:ascii="Arial" w:eastAsia="Arial" w:hAnsi="Arial" w:cs="Arial"/>
              </w:rPr>
            </w:pPr>
            <w:r>
              <w:rPr>
                <w:rFonts w:ascii="Arial"/>
                <w:spacing w:val="-1"/>
              </w:rPr>
              <w:t>Overhead;</w:t>
            </w:r>
          </w:p>
          <w:p w:rsidR="008918FA" w:rsidRDefault="008918FA" w:rsidP="005D2B81">
            <w:pPr>
              <w:pStyle w:val="ListParagraph"/>
              <w:numPr>
                <w:ilvl w:val="0"/>
                <w:numId w:val="52"/>
              </w:numPr>
              <w:tabs>
                <w:tab w:val="left" w:pos="820"/>
              </w:tabs>
              <w:spacing w:before="121"/>
              <w:rPr>
                <w:rFonts w:ascii="Arial" w:eastAsia="Arial" w:hAnsi="Arial" w:cs="Arial"/>
              </w:rPr>
            </w:pPr>
            <w:r>
              <w:rPr>
                <w:rFonts w:ascii="Arial"/>
                <w:spacing w:val="-1"/>
              </w:rPr>
              <w:t>financing</w:t>
            </w:r>
            <w:r>
              <w:rPr>
                <w:rFonts w:ascii="Arial"/>
              </w:rPr>
              <w:t xml:space="preserve"> </w:t>
            </w:r>
            <w:r>
              <w:rPr>
                <w:rFonts w:ascii="Arial"/>
                <w:spacing w:val="-1"/>
              </w:rPr>
              <w:t>or similar</w:t>
            </w:r>
            <w:r>
              <w:rPr>
                <w:rFonts w:ascii="Arial"/>
                <w:spacing w:val="2"/>
              </w:rPr>
              <w:t xml:space="preserve"> </w:t>
            </w:r>
            <w:r>
              <w:rPr>
                <w:rFonts w:ascii="Arial"/>
                <w:spacing w:val="-2"/>
              </w:rPr>
              <w:t>costs;</w:t>
            </w:r>
          </w:p>
          <w:p w:rsidR="008918FA" w:rsidRDefault="008918FA" w:rsidP="005D2B81">
            <w:pPr>
              <w:pStyle w:val="ListParagraph"/>
              <w:numPr>
                <w:ilvl w:val="0"/>
                <w:numId w:val="52"/>
              </w:numPr>
              <w:tabs>
                <w:tab w:val="left" w:pos="820"/>
              </w:tabs>
              <w:spacing w:before="119"/>
              <w:ind w:right="100" w:hanging="544"/>
              <w:jc w:val="both"/>
              <w:rPr>
                <w:rFonts w:ascii="Arial" w:eastAsia="Arial" w:hAnsi="Arial" w:cs="Arial"/>
              </w:rPr>
            </w:pPr>
            <w:r>
              <w:rPr>
                <w:rFonts w:ascii="Arial"/>
                <w:spacing w:val="-1"/>
              </w:rPr>
              <w:t>maintenance</w:t>
            </w:r>
            <w:r>
              <w:rPr>
                <w:rFonts w:ascii="Arial"/>
                <w:spacing w:val="37"/>
              </w:rPr>
              <w:t xml:space="preserve"> </w:t>
            </w:r>
            <w:r>
              <w:rPr>
                <w:rFonts w:ascii="Arial"/>
                <w:spacing w:val="-1"/>
              </w:rPr>
              <w:t>and</w:t>
            </w:r>
            <w:r>
              <w:rPr>
                <w:rFonts w:ascii="Arial"/>
                <w:spacing w:val="36"/>
              </w:rPr>
              <w:t xml:space="preserve"> </w:t>
            </w:r>
            <w:r>
              <w:rPr>
                <w:rFonts w:ascii="Arial"/>
                <w:spacing w:val="-2"/>
              </w:rPr>
              <w:t>support</w:t>
            </w:r>
            <w:r>
              <w:rPr>
                <w:rFonts w:ascii="Arial"/>
                <w:spacing w:val="38"/>
              </w:rPr>
              <w:t xml:space="preserve"> </w:t>
            </w:r>
            <w:r>
              <w:rPr>
                <w:rFonts w:ascii="Arial"/>
                <w:spacing w:val="-1"/>
              </w:rPr>
              <w:t>costs</w:t>
            </w:r>
            <w:r>
              <w:rPr>
                <w:rFonts w:ascii="Arial"/>
                <w:spacing w:val="34"/>
              </w:rPr>
              <w:t xml:space="preserve"> </w:t>
            </w:r>
            <w:r>
              <w:rPr>
                <w:rFonts w:ascii="Arial"/>
              </w:rPr>
              <w:t>to</w:t>
            </w:r>
            <w:r>
              <w:rPr>
                <w:rFonts w:ascii="Arial"/>
                <w:spacing w:val="36"/>
              </w:rPr>
              <w:t xml:space="preserve"> </w:t>
            </w:r>
            <w:r>
              <w:rPr>
                <w:rFonts w:ascii="Arial"/>
              </w:rPr>
              <w:t>the</w:t>
            </w:r>
            <w:r>
              <w:rPr>
                <w:rFonts w:ascii="Arial"/>
                <w:spacing w:val="36"/>
              </w:rPr>
              <w:t xml:space="preserve"> </w:t>
            </w:r>
            <w:r>
              <w:rPr>
                <w:rFonts w:ascii="Arial"/>
                <w:spacing w:val="-2"/>
              </w:rPr>
              <w:t>extent</w:t>
            </w:r>
            <w:r>
              <w:rPr>
                <w:rFonts w:ascii="Arial"/>
                <w:spacing w:val="39"/>
              </w:rPr>
              <w:t xml:space="preserve"> </w:t>
            </w:r>
            <w:r>
              <w:rPr>
                <w:rFonts w:ascii="Arial"/>
                <w:spacing w:val="-1"/>
              </w:rPr>
              <w:t>that</w:t>
            </w:r>
            <w:r>
              <w:rPr>
                <w:rFonts w:ascii="Arial"/>
                <w:spacing w:val="36"/>
              </w:rPr>
              <w:t xml:space="preserve"> </w:t>
            </w:r>
            <w:r>
              <w:rPr>
                <w:rFonts w:ascii="Arial"/>
                <w:spacing w:val="-1"/>
              </w:rPr>
              <w:t>these</w:t>
            </w:r>
            <w:r>
              <w:rPr>
                <w:rFonts w:ascii="Arial"/>
                <w:spacing w:val="42"/>
              </w:rPr>
              <w:t xml:space="preserve"> </w:t>
            </w:r>
            <w:r>
              <w:rPr>
                <w:rFonts w:ascii="Arial"/>
                <w:spacing w:val="-1"/>
              </w:rPr>
              <w:t>relate</w:t>
            </w:r>
            <w:r>
              <w:rPr>
                <w:rFonts w:ascii="Arial"/>
                <w:spacing w:val="39"/>
              </w:rPr>
              <w:t xml:space="preserve"> </w:t>
            </w:r>
            <w:r>
              <w:rPr>
                <w:rFonts w:ascii="Arial"/>
              </w:rPr>
              <w:t>to</w:t>
            </w:r>
            <w:r>
              <w:rPr>
                <w:rFonts w:ascii="Arial"/>
                <w:spacing w:val="39"/>
              </w:rPr>
              <w:t xml:space="preserve"> </w:t>
            </w:r>
            <w:r>
              <w:rPr>
                <w:rFonts w:ascii="Arial"/>
                <w:spacing w:val="-1"/>
              </w:rPr>
              <w:t>maintenance</w:t>
            </w:r>
            <w:r>
              <w:rPr>
                <w:rFonts w:ascii="Arial"/>
                <w:spacing w:val="42"/>
              </w:rPr>
              <w:t xml:space="preserve"> </w:t>
            </w:r>
            <w:r>
              <w:rPr>
                <w:rFonts w:ascii="Arial"/>
                <w:spacing w:val="-1"/>
              </w:rPr>
              <w:t>and/or</w:t>
            </w:r>
            <w:r>
              <w:rPr>
                <w:rFonts w:ascii="Arial"/>
                <w:spacing w:val="42"/>
              </w:rPr>
              <w:t xml:space="preserve"> </w:t>
            </w:r>
            <w:r>
              <w:rPr>
                <w:rFonts w:ascii="Arial"/>
                <w:spacing w:val="-2"/>
              </w:rPr>
              <w:t>support</w:t>
            </w:r>
            <w:r>
              <w:rPr>
                <w:rFonts w:ascii="Arial"/>
                <w:spacing w:val="33"/>
              </w:rPr>
              <w:t xml:space="preserve"> </w:t>
            </w:r>
            <w:r>
              <w:rPr>
                <w:rFonts w:ascii="Arial"/>
                <w:spacing w:val="-1"/>
              </w:rPr>
              <w:t>services</w:t>
            </w:r>
            <w:r>
              <w:rPr>
                <w:rFonts w:ascii="Arial"/>
                <w:spacing w:val="16"/>
              </w:rPr>
              <w:t xml:space="preserve"> </w:t>
            </w:r>
            <w:r>
              <w:rPr>
                <w:rFonts w:ascii="Arial"/>
                <w:spacing w:val="-2"/>
              </w:rPr>
              <w:t>provided</w:t>
            </w:r>
            <w:r>
              <w:rPr>
                <w:rFonts w:ascii="Arial"/>
                <w:spacing w:val="16"/>
              </w:rPr>
              <w:t xml:space="preserve"> </w:t>
            </w:r>
            <w:r>
              <w:rPr>
                <w:rFonts w:ascii="Arial"/>
                <w:spacing w:val="-1"/>
              </w:rPr>
              <w:t>beyond</w:t>
            </w:r>
            <w:r>
              <w:rPr>
                <w:rFonts w:ascii="Arial"/>
                <w:spacing w:val="16"/>
              </w:rPr>
              <w:t xml:space="preserve"> </w:t>
            </w:r>
            <w:r>
              <w:rPr>
                <w:rFonts w:ascii="Arial"/>
              </w:rPr>
              <w:t>the</w:t>
            </w:r>
            <w:r>
              <w:rPr>
                <w:rFonts w:ascii="Arial"/>
                <w:spacing w:val="16"/>
              </w:rPr>
              <w:t xml:space="preserve"> </w:t>
            </w:r>
            <w:r>
              <w:rPr>
                <w:rFonts w:ascii="Arial"/>
                <w:spacing w:val="-2"/>
              </w:rPr>
              <w:t>Call</w:t>
            </w:r>
            <w:r>
              <w:rPr>
                <w:rFonts w:ascii="Arial"/>
                <w:spacing w:val="15"/>
              </w:rPr>
              <w:t xml:space="preserve"> </w:t>
            </w:r>
            <w:r>
              <w:rPr>
                <w:rFonts w:ascii="Arial"/>
                <w:spacing w:val="-1"/>
              </w:rPr>
              <w:t>Off</w:t>
            </w:r>
            <w:r>
              <w:rPr>
                <w:rFonts w:ascii="Arial"/>
                <w:spacing w:val="17"/>
              </w:rPr>
              <w:t xml:space="preserve"> </w:t>
            </w:r>
            <w:r>
              <w:rPr>
                <w:rFonts w:ascii="Arial"/>
                <w:spacing w:val="-2"/>
              </w:rPr>
              <w:t>Contract</w:t>
            </w:r>
            <w:r>
              <w:rPr>
                <w:rFonts w:ascii="Arial"/>
                <w:spacing w:val="51"/>
              </w:rPr>
              <w:t xml:space="preserve"> </w:t>
            </w:r>
            <w:r>
              <w:rPr>
                <w:rFonts w:ascii="Arial"/>
                <w:spacing w:val="-1"/>
              </w:rPr>
              <w:t>Period</w:t>
            </w:r>
            <w:r>
              <w:rPr>
                <w:rFonts w:ascii="Arial"/>
                <w:spacing w:val="60"/>
              </w:rPr>
              <w:t xml:space="preserve"> </w:t>
            </w:r>
            <w:r>
              <w:rPr>
                <w:rFonts w:ascii="Arial"/>
                <w:spacing w:val="-1"/>
              </w:rPr>
              <w:t>whether</w:t>
            </w:r>
            <w:r>
              <w:rPr>
                <w:rFonts w:ascii="Arial"/>
              </w:rPr>
              <w:t xml:space="preserve"> </w:t>
            </w:r>
            <w:r>
              <w:rPr>
                <w:rFonts w:ascii="Arial"/>
                <w:spacing w:val="-1"/>
              </w:rPr>
              <w:t>in</w:t>
            </w:r>
            <w:r>
              <w:rPr>
                <w:rFonts w:ascii="Arial"/>
                <w:spacing w:val="60"/>
              </w:rPr>
              <w:t xml:space="preserve"> </w:t>
            </w:r>
            <w:r>
              <w:rPr>
                <w:rFonts w:ascii="Arial"/>
                <w:spacing w:val="-1"/>
              </w:rPr>
              <w:t>relation</w:t>
            </w:r>
            <w:r>
              <w:rPr>
                <w:rFonts w:ascii="Arial"/>
                <w:spacing w:val="60"/>
              </w:rPr>
              <w:t xml:space="preserve"> </w:t>
            </w:r>
            <w:r>
              <w:rPr>
                <w:rFonts w:ascii="Arial"/>
              </w:rPr>
              <w:t>to</w:t>
            </w:r>
            <w:r>
              <w:rPr>
                <w:rFonts w:ascii="Arial"/>
                <w:spacing w:val="60"/>
              </w:rPr>
              <w:t xml:space="preserve"> </w:t>
            </w:r>
            <w:r>
              <w:rPr>
                <w:rFonts w:ascii="Arial"/>
                <w:spacing w:val="-2"/>
              </w:rPr>
              <w:t>Supplier</w:t>
            </w:r>
            <w:r>
              <w:rPr>
                <w:rFonts w:ascii="Arial"/>
              </w:rPr>
              <w:t xml:space="preserve">  </w:t>
            </w:r>
            <w:r>
              <w:rPr>
                <w:rFonts w:ascii="Arial"/>
                <w:spacing w:val="-1"/>
              </w:rPr>
              <w:t>Assets</w:t>
            </w:r>
            <w:r>
              <w:rPr>
                <w:rFonts w:ascii="Arial"/>
                <w:spacing w:val="58"/>
              </w:rPr>
              <w:t xml:space="preserve"> </w:t>
            </w:r>
            <w:r>
              <w:rPr>
                <w:rFonts w:ascii="Arial"/>
                <w:spacing w:val="-1"/>
              </w:rPr>
              <w:t>or</w:t>
            </w:r>
            <w:r>
              <w:rPr>
                <w:rFonts w:ascii="Arial"/>
                <w:spacing w:val="36"/>
              </w:rPr>
              <w:t xml:space="preserve"> </w:t>
            </w:r>
            <w:r>
              <w:rPr>
                <w:rFonts w:ascii="Arial"/>
                <w:spacing w:val="-1"/>
              </w:rPr>
              <w:t>otherwise;</w:t>
            </w:r>
          </w:p>
          <w:p w:rsidR="008918FA" w:rsidRDefault="008918FA" w:rsidP="005D2B81">
            <w:pPr>
              <w:pStyle w:val="ListParagraph"/>
              <w:numPr>
                <w:ilvl w:val="0"/>
                <w:numId w:val="52"/>
              </w:numPr>
              <w:tabs>
                <w:tab w:val="left" w:pos="820"/>
              </w:tabs>
              <w:spacing w:before="119"/>
              <w:ind w:hanging="544"/>
              <w:rPr>
                <w:rFonts w:ascii="Arial" w:eastAsia="Arial" w:hAnsi="Arial" w:cs="Arial"/>
              </w:rPr>
            </w:pPr>
            <w:r>
              <w:rPr>
                <w:rFonts w:ascii="Arial"/>
                <w:spacing w:val="-1"/>
              </w:rPr>
              <w:t>taxation;</w:t>
            </w:r>
          </w:p>
          <w:p w:rsidR="008918FA" w:rsidRDefault="008918FA" w:rsidP="005D2B81">
            <w:pPr>
              <w:pStyle w:val="ListParagraph"/>
              <w:numPr>
                <w:ilvl w:val="0"/>
                <w:numId w:val="52"/>
              </w:numPr>
              <w:tabs>
                <w:tab w:val="left" w:pos="820"/>
              </w:tabs>
              <w:spacing w:before="121"/>
              <w:ind w:hanging="544"/>
              <w:rPr>
                <w:rFonts w:ascii="Arial" w:eastAsia="Arial" w:hAnsi="Arial" w:cs="Arial"/>
              </w:rPr>
            </w:pPr>
            <w:r>
              <w:rPr>
                <w:rFonts w:ascii="Arial"/>
                <w:spacing w:val="-1"/>
              </w:rPr>
              <w:t>fines</w:t>
            </w:r>
            <w:r>
              <w:rPr>
                <w:rFonts w:ascii="Arial"/>
                <w:spacing w:val="-2"/>
              </w:rPr>
              <w:t xml:space="preserve"> </w:t>
            </w:r>
            <w:r>
              <w:rPr>
                <w:rFonts w:ascii="Arial"/>
                <w:spacing w:val="-1"/>
              </w:rPr>
              <w:t>and</w:t>
            </w:r>
            <w:r>
              <w:rPr>
                <w:rFonts w:ascii="Arial"/>
                <w:spacing w:val="1"/>
              </w:rPr>
              <w:t xml:space="preserve"> </w:t>
            </w:r>
            <w:r>
              <w:rPr>
                <w:rFonts w:ascii="Arial"/>
                <w:spacing w:val="-2"/>
              </w:rPr>
              <w:t>penalties;</w:t>
            </w:r>
          </w:p>
          <w:p w:rsidR="008918FA" w:rsidRDefault="008918FA" w:rsidP="005D2B81">
            <w:pPr>
              <w:pStyle w:val="ListParagraph"/>
              <w:numPr>
                <w:ilvl w:val="0"/>
                <w:numId w:val="52"/>
              </w:numPr>
              <w:tabs>
                <w:tab w:val="left" w:pos="820"/>
                <w:tab w:val="left" w:pos="2144"/>
                <w:tab w:val="left" w:pos="3389"/>
                <w:tab w:val="left" w:pos="4430"/>
                <w:tab w:val="right" w:pos="5836"/>
              </w:tabs>
              <w:spacing w:before="119" w:line="252" w:lineRule="exact"/>
              <w:ind w:hanging="544"/>
              <w:rPr>
                <w:rFonts w:ascii="Arial" w:eastAsia="Arial" w:hAnsi="Arial" w:cs="Arial"/>
              </w:rPr>
            </w:pPr>
            <w:r>
              <w:rPr>
                <w:rFonts w:ascii="Arial"/>
                <w:spacing w:val="-1"/>
              </w:rPr>
              <w:t>amounts</w:t>
            </w:r>
            <w:r>
              <w:rPr>
                <w:rFonts w:ascii="Arial"/>
                <w:spacing w:val="-1"/>
              </w:rPr>
              <w:tab/>
            </w:r>
            <w:r>
              <w:rPr>
                <w:rFonts w:ascii="Arial"/>
                <w:spacing w:val="-2"/>
              </w:rPr>
              <w:t>payable</w:t>
            </w:r>
            <w:r>
              <w:rPr>
                <w:rFonts w:ascii="Arial"/>
                <w:spacing w:val="-2"/>
              </w:rPr>
              <w:tab/>
            </w:r>
            <w:r>
              <w:rPr>
                <w:rFonts w:ascii="Arial"/>
                <w:spacing w:val="-1"/>
              </w:rPr>
              <w:t>under</w:t>
            </w:r>
            <w:r>
              <w:rPr>
                <w:rFonts w:ascii="Arial"/>
                <w:spacing w:val="-1"/>
              </w:rPr>
              <w:tab/>
            </w:r>
            <w:r>
              <w:rPr>
                <w:rFonts w:ascii="Arial"/>
                <w:spacing w:val="-2"/>
              </w:rPr>
              <w:t>Clause</w:t>
            </w:r>
            <w:r>
              <w:rPr>
                <w:rFonts w:ascii="Arial"/>
                <w:spacing w:val="-2"/>
              </w:rPr>
              <w:tab/>
            </w:r>
            <w:hyperlink w:anchor="_bookmark135" w:history="1">
              <w:r>
                <w:rPr>
                  <w:rFonts w:ascii="Arial"/>
                  <w:spacing w:val="-1"/>
                </w:rPr>
                <w:t>25</w:t>
              </w:r>
            </w:hyperlink>
          </w:p>
          <w:p w:rsidR="008918FA" w:rsidRDefault="008918FA" w:rsidP="005D2B81">
            <w:pPr>
              <w:pStyle w:val="TableParagraph"/>
              <w:spacing w:line="252" w:lineRule="exact"/>
              <w:ind w:left="819"/>
              <w:rPr>
                <w:rFonts w:ascii="Arial" w:eastAsia="Arial" w:hAnsi="Arial" w:cs="Arial"/>
              </w:rPr>
            </w:pPr>
            <w:r>
              <w:rPr>
                <w:rFonts w:ascii="Arial"/>
                <w:spacing w:val="-1"/>
              </w:rPr>
              <w:t>(Benchmarking);</w:t>
            </w:r>
            <w:r>
              <w:rPr>
                <w:rFonts w:ascii="Arial"/>
              </w:rPr>
              <w:t xml:space="preserve"> </w:t>
            </w:r>
            <w:r>
              <w:rPr>
                <w:rFonts w:ascii="Arial"/>
                <w:spacing w:val="-1"/>
              </w:rPr>
              <w:t>and</w:t>
            </w:r>
          </w:p>
          <w:p w:rsidR="008918FA" w:rsidRDefault="008918FA" w:rsidP="005D2B81">
            <w:pPr>
              <w:pStyle w:val="ListParagraph"/>
              <w:numPr>
                <w:ilvl w:val="0"/>
                <w:numId w:val="52"/>
              </w:numPr>
              <w:tabs>
                <w:tab w:val="left" w:pos="820"/>
              </w:tabs>
              <w:spacing w:before="121"/>
              <w:ind w:right="100" w:hanging="544"/>
              <w:jc w:val="both"/>
              <w:rPr>
                <w:rFonts w:ascii="Arial" w:eastAsia="Arial" w:hAnsi="Arial" w:cs="Arial"/>
              </w:rPr>
            </w:pPr>
            <w:r>
              <w:rPr>
                <w:rFonts w:ascii="Arial"/>
                <w:spacing w:val="-1"/>
              </w:rPr>
              <w:t>non-cash</w:t>
            </w:r>
            <w:r>
              <w:rPr>
                <w:rFonts w:ascii="Arial"/>
                <w:spacing w:val="32"/>
              </w:rPr>
              <w:t xml:space="preserve"> </w:t>
            </w:r>
            <w:r>
              <w:rPr>
                <w:rFonts w:ascii="Arial"/>
                <w:spacing w:val="-1"/>
              </w:rPr>
              <w:t>items</w:t>
            </w:r>
            <w:r>
              <w:rPr>
                <w:rFonts w:ascii="Arial"/>
                <w:spacing w:val="30"/>
              </w:rPr>
              <w:t xml:space="preserve"> </w:t>
            </w:r>
            <w:r>
              <w:rPr>
                <w:rFonts w:ascii="Arial"/>
                <w:spacing w:val="-2"/>
              </w:rPr>
              <w:t>(including</w:t>
            </w:r>
            <w:r>
              <w:rPr>
                <w:rFonts w:ascii="Arial"/>
                <w:spacing w:val="34"/>
              </w:rPr>
              <w:t xml:space="preserve"> </w:t>
            </w:r>
            <w:r>
              <w:rPr>
                <w:rFonts w:ascii="Arial"/>
                <w:spacing w:val="-1"/>
              </w:rPr>
              <w:t>depreciation,</w:t>
            </w:r>
            <w:r>
              <w:rPr>
                <w:rFonts w:ascii="Arial"/>
                <w:spacing w:val="34"/>
              </w:rPr>
              <w:t xml:space="preserve"> </w:t>
            </w:r>
            <w:r>
              <w:rPr>
                <w:rFonts w:ascii="Arial"/>
                <w:spacing w:val="-1"/>
              </w:rPr>
              <w:t>amortisation,</w:t>
            </w:r>
            <w:r>
              <w:rPr>
                <w:rFonts w:ascii="Arial"/>
                <w:spacing w:val="38"/>
              </w:rPr>
              <w:t xml:space="preserve"> </w:t>
            </w:r>
            <w:r>
              <w:rPr>
                <w:rFonts w:ascii="Arial"/>
                <w:spacing w:val="-1"/>
              </w:rPr>
              <w:t>impairments</w:t>
            </w:r>
            <w:r>
              <w:rPr>
                <w:rFonts w:ascii="Arial"/>
                <w:spacing w:val="37"/>
              </w:rPr>
              <w:t xml:space="preserve"> </w:t>
            </w:r>
            <w:r>
              <w:rPr>
                <w:rFonts w:ascii="Arial"/>
                <w:spacing w:val="-1"/>
              </w:rPr>
              <w:t>and</w:t>
            </w:r>
            <w:r>
              <w:rPr>
                <w:rFonts w:ascii="Arial"/>
                <w:spacing w:val="36"/>
              </w:rPr>
              <w:t xml:space="preserve"> </w:t>
            </w:r>
            <w:r>
              <w:rPr>
                <w:rFonts w:ascii="Arial"/>
                <w:spacing w:val="-1"/>
              </w:rPr>
              <w:t>movements</w:t>
            </w:r>
            <w:r>
              <w:rPr>
                <w:rFonts w:ascii="Arial"/>
                <w:spacing w:val="34"/>
              </w:rPr>
              <w:t xml:space="preserve"> </w:t>
            </w:r>
            <w:r>
              <w:rPr>
                <w:rFonts w:ascii="Arial"/>
                <w:spacing w:val="-1"/>
              </w:rPr>
              <w:t>in</w:t>
            </w:r>
            <w:r>
              <w:rPr>
                <w:rFonts w:ascii="Arial"/>
                <w:spacing w:val="27"/>
              </w:rPr>
              <w:t xml:space="preserve"> </w:t>
            </w:r>
            <w:r>
              <w:rPr>
                <w:rFonts w:ascii="Arial"/>
                <w:spacing w:val="-1"/>
              </w:rPr>
              <w:t>provisions);</w:t>
            </w:r>
          </w:p>
        </w:tc>
        <w:tc>
          <w:tcPr>
            <w:tcW w:w="108" w:type="dxa"/>
            <w:tcBorders>
              <w:top w:val="nil"/>
              <w:left w:val="single" w:sz="5" w:space="0" w:color="000000"/>
              <w:bottom w:val="nil"/>
              <w:right w:val="nil"/>
            </w:tcBorders>
          </w:tcPr>
          <w:p w:rsidR="008918FA" w:rsidRDefault="008918FA" w:rsidP="005D2B81"/>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702"/>
              <w:rPr>
                <w:rFonts w:ascii="Arial" w:eastAsia="Arial" w:hAnsi="Arial" w:cs="Arial"/>
              </w:rPr>
            </w:pPr>
            <w:r>
              <w:rPr>
                <w:rFonts w:ascii="Arial"/>
                <w:b/>
                <w:spacing w:val="-1"/>
              </w:rPr>
              <w:t>"Critical</w:t>
            </w:r>
            <w:r>
              <w:rPr>
                <w:rFonts w:ascii="Arial"/>
                <w:b/>
                <w:spacing w:val="2"/>
              </w:rPr>
              <w:t xml:space="preserve"> </w:t>
            </w:r>
            <w:r>
              <w:rPr>
                <w:rFonts w:ascii="Arial"/>
                <w:b/>
                <w:spacing w:val="-1"/>
              </w:rPr>
              <w:t>Service</w:t>
            </w:r>
            <w:r>
              <w:rPr>
                <w:rFonts w:ascii="Arial"/>
                <w:b/>
                <w:spacing w:val="25"/>
              </w:rPr>
              <w:t xml:space="preserve"> </w:t>
            </w:r>
            <w:r>
              <w:rPr>
                <w:rFonts w:ascii="Arial"/>
                <w:b/>
                <w:spacing w:val="-2"/>
              </w:rPr>
              <w:t>Level</w:t>
            </w:r>
            <w:r>
              <w:rPr>
                <w:rFonts w:ascii="Arial"/>
                <w:b/>
                <w:spacing w:val="2"/>
              </w:rPr>
              <w:t xml:space="preserve"> </w:t>
            </w:r>
            <w:r>
              <w:rPr>
                <w:rFonts w:ascii="Arial"/>
                <w:b/>
                <w:spacing w:val="-1"/>
              </w:rPr>
              <w:t>Failure"</w:t>
            </w:r>
          </w:p>
        </w:tc>
        <w:tc>
          <w:tcPr>
            <w:tcW w:w="5952"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45"/>
              </w:rPr>
              <w:t xml:space="preserve"> </w:t>
            </w:r>
            <w:r>
              <w:rPr>
                <w:rFonts w:ascii="Arial"/>
                <w:spacing w:val="-1"/>
              </w:rPr>
              <w:t>any</w:t>
            </w:r>
            <w:r>
              <w:rPr>
                <w:rFonts w:ascii="Arial"/>
                <w:spacing w:val="43"/>
              </w:rPr>
              <w:t xml:space="preserve"> </w:t>
            </w:r>
            <w:r>
              <w:rPr>
                <w:rFonts w:ascii="Arial"/>
                <w:spacing w:val="-1"/>
              </w:rPr>
              <w:t>instance</w:t>
            </w:r>
            <w:r>
              <w:rPr>
                <w:rFonts w:ascii="Arial"/>
                <w:spacing w:val="45"/>
              </w:rPr>
              <w:t xml:space="preserve"> </w:t>
            </w:r>
            <w:r>
              <w:rPr>
                <w:rFonts w:ascii="Arial"/>
                <w:spacing w:val="-2"/>
              </w:rPr>
              <w:t>of</w:t>
            </w:r>
            <w:r>
              <w:rPr>
                <w:rFonts w:ascii="Arial"/>
                <w:spacing w:val="48"/>
              </w:rPr>
              <w:t xml:space="preserve"> </w:t>
            </w:r>
            <w:r>
              <w:rPr>
                <w:rFonts w:ascii="Arial"/>
                <w:spacing w:val="-1"/>
              </w:rPr>
              <w:t>critical</w:t>
            </w:r>
            <w:r>
              <w:rPr>
                <w:rFonts w:ascii="Arial"/>
                <w:spacing w:val="44"/>
              </w:rPr>
              <w:t xml:space="preserve"> </w:t>
            </w:r>
            <w:r>
              <w:rPr>
                <w:rFonts w:ascii="Arial"/>
                <w:spacing w:val="-1"/>
              </w:rPr>
              <w:t>service</w:t>
            </w:r>
            <w:r>
              <w:rPr>
                <w:rFonts w:ascii="Arial"/>
                <w:spacing w:val="45"/>
              </w:rPr>
              <w:t xml:space="preserve"> </w:t>
            </w:r>
            <w:r>
              <w:rPr>
                <w:rFonts w:ascii="Arial"/>
                <w:spacing w:val="-1"/>
              </w:rPr>
              <w:t>level</w:t>
            </w:r>
            <w:r>
              <w:rPr>
                <w:rFonts w:ascii="Arial"/>
                <w:spacing w:val="45"/>
              </w:rPr>
              <w:t xml:space="preserve"> </w:t>
            </w:r>
            <w:r>
              <w:rPr>
                <w:rFonts w:ascii="Arial"/>
                <w:spacing w:val="-1"/>
              </w:rPr>
              <w:t>failure</w:t>
            </w:r>
            <w:r>
              <w:rPr>
                <w:rFonts w:ascii="Arial"/>
                <w:spacing w:val="27"/>
              </w:rPr>
              <w:t xml:space="preserve"> </w:t>
            </w:r>
            <w:r>
              <w:rPr>
                <w:rFonts w:ascii="Arial"/>
                <w:spacing w:val="-1"/>
              </w:rPr>
              <w:t>specified</w:t>
            </w:r>
            <w:r>
              <w:rPr>
                <w:rFonts w:ascii="Arial"/>
                <w:spacing w:val="43"/>
              </w:rPr>
              <w:t xml:space="preserve"> </w:t>
            </w:r>
            <w:r>
              <w:rPr>
                <w:rFonts w:ascii="Arial"/>
                <w:spacing w:val="-1"/>
              </w:rPr>
              <w:t>in</w:t>
            </w:r>
            <w:r>
              <w:rPr>
                <w:rFonts w:ascii="Arial"/>
                <w:spacing w:val="43"/>
              </w:rPr>
              <w:t xml:space="preserve"> </w:t>
            </w:r>
            <w:r>
              <w:rPr>
                <w:rFonts w:ascii="Arial"/>
                <w:spacing w:val="-1"/>
              </w:rPr>
              <w:t>Annex</w:t>
            </w:r>
            <w:r>
              <w:rPr>
                <w:rFonts w:ascii="Arial"/>
                <w:spacing w:val="41"/>
              </w:rPr>
              <w:t xml:space="preserve"> </w:t>
            </w:r>
            <w:r>
              <w:rPr>
                <w:rFonts w:ascii="Arial"/>
              </w:rPr>
              <w:t>2</w:t>
            </w:r>
            <w:r>
              <w:rPr>
                <w:rFonts w:ascii="Arial"/>
                <w:spacing w:val="43"/>
              </w:rPr>
              <w:t xml:space="preserve"> </w:t>
            </w:r>
            <w:r>
              <w:rPr>
                <w:rFonts w:ascii="Arial"/>
              </w:rPr>
              <w:t>to</w:t>
            </w:r>
            <w:r>
              <w:rPr>
                <w:rFonts w:ascii="Arial"/>
                <w:spacing w:val="41"/>
              </w:rPr>
              <w:t xml:space="preserve"> </w:t>
            </w:r>
            <w:r>
              <w:rPr>
                <w:rFonts w:ascii="Arial"/>
                <w:spacing w:val="-1"/>
              </w:rPr>
              <w:t>Part</w:t>
            </w:r>
            <w:r>
              <w:rPr>
                <w:rFonts w:ascii="Arial"/>
                <w:spacing w:val="42"/>
              </w:rPr>
              <w:t xml:space="preserve"> </w:t>
            </w:r>
            <w:r>
              <w:rPr>
                <w:rFonts w:ascii="Arial"/>
              </w:rPr>
              <w:t>A</w:t>
            </w:r>
            <w:r>
              <w:rPr>
                <w:rFonts w:ascii="Arial"/>
                <w:spacing w:val="44"/>
              </w:rPr>
              <w:t xml:space="preserve"> </w:t>
            </w:r>
            <w:r>
              <w:rPr>
                <w:rFonts w:ascii="Arial"/>
                <w:spacing w:val="-2"/>
              </w:rPr>
              <w:t>of</w:t>
            </w:r>
            <w:r>
              <w:rPr>
                <w:rFonts w:ascii="Arial"/>
                <w:spacing w:val="45"/>
              </w:rPr>
              <w:t xml:space="preserve"> </w:t>
            </w:r>
            <w:r>
              <w:rPr>
                <w:rFonts w:ascii="Arial"/>
                <w:spacing w:val="-2"/>
              </w:rPr>
              <w:t>Call</w:t>
            </w:r>
            <w:r>
              <w:rPr>
                <w:rFonts w:ascii="Arial"/>
                <w:spacing w:val="43"/>
              </w:rPr>
              <w:t xml:space="preserve"> </w:t>
            </w:r>
            <w:r>
              <w:rPr>
                <w:rFonts w:ascii="Arial"/>
                <w:spacing w:val="-1"/>
              </w:rPr>
              <w:t>Off</w:t>
            </w:r>
            <w:r>
              <w:rPr>
                <w:rFonts w:ascii="Arial"/>
                <w:spacing w:val="45"/>
              </w:rPr>
              <w:t xml:space="preserve"> </w:t>
            </w:r>
            <w:r>
              <w:rPr>
                <w:rFonts w:ascii="Arial"/>
                <w:spacing w:val="-2"/>
              </w:rPr>
              <w:t>Schedule</w:t>
            </w:r>
            <w:r>
              <w:rPr>
                <w:rFonts w:ascii="Arial"/>
                <w:spacing w:val="43"/>
              </w:rPr>
              <w:t xml:space="preserve"> </w:t>
            </w:r>
            <w:r>
              <w:rPr>
                <w:rFonts w:ascii="Arial"/>
              </w:rPr>
              <w:t>6</w:t>
            </w:r>
            <w:r>
              <w:rPr>
                <w:rFonts w:ascii="Arial"/>
                <w:spacing w:val="37"/>
              </w:rPr>
              <w:t xml:space="preserve"> </w:t>
            </w:r>
            <w:r>
              <w:rPr>
                <w:rFonts w:ascii="Arial"/>
                <w:spacing w:val="-1"/>
              </w:rPr>
              <w:t>(Service</w:t>
            </w:r>
            <w:r>
              <w:rPr>
                <w:rFonts w:ascii="Arial"/>
                <w:spacing w:val="18"/>
              </w:rPr>
              <w:t xml:space="preserve"> </w:t>
            </w:r>
            <w:r>
              <w:rPr>
                <w:rFonts w:ascii="Arial"/>
                <w:spacing w:val="-2"/>
              </w:rPr>
              <w:t>Levels,</w:t>
            </w:r>
            <w:r>
              <w:rPr>
                <w:rFonts w:ascii="Arial"/>
                <w:spacing w:val="19"/>
              </w:rPr>
              <w:t xml:space="preserve"> </w:t>
            </w:r>
            <w:r>
              <w:rPr>
                <w:rFonts w:ascii="Arial"/>
                <w:spacing w:val="-1"/>
              </w:rPr>
              <w:t>Service</w:t>
            </w:r>
            <w:r>
              <w:rPr>
                <w:rFonts w:ascii="Arial"/>
                <w:spacing w:val="18"/>
              </w:rPr>
              <w:t xml:space="preserve"> </w:t>
            </w:r>
            <w:r>
              <w:rPr>
                <w:rFonts w:ascii="Arial"/>
                <w:spacing w:val="-1"/>
              </w:rPr>
              <w:t>Credits</w:t>
            </w:r>
            <w:r>
              <w:rPr>
                <w:rFonts w:ascii="Arial"/>
                <w:spacing w:val="18"/>
              </w:rPr>
              <w:t xml:space="preserve"> </w:t>
            </w:r>
            <w:r>
              <w:rPr>
                <w:rFonts w:ascii="Arial"/>
                <w:spacing w:val="-1"/>
              </w:rPr>
              <w:t>and</w:t>
            </w:r>
            <w:r>
              <w:rPr>
                <w:rFonts w:ascii="Arial"/>
                <w:spacing w:val="17"/>
              </w:rPr>
              <w:t xml:space="preserve"> </w:t>
            </w:r>
            <w:r>
              <w:rPr>
                <w:rFonts w:ascii="Arial"/>
                <w:spacing w:val="-1"/>
              </w:rPr>
              <w:t>Performance</w:t>
            </w:r>
            <w:r>
              <w:rPr>
                <w:rFonts w:ascii="Arial"/>
                <w:spacing w:val="21"/>
              </w:rPr>
              <w:t xml:space="preserve"> </w:t>
            </w:r>
            <w:r>
              <w:rPr>
                <w:rFonts w:ascii="Arial"/>
                <w:spacing w:val="-1"/>
              </w:rPr>
              <w:t>Monitoring);</w:t>
            </w:r>
          </w:p>
        </w:tc>
        <w:tc>
          <w:tcPr>
            <w:tcW w:w="108" w:type="dxa"/>
            <w:tcBorders>
              <w:top w:val="nil"/>
              <w:left w:val="single" w:sz="5" w:space="0" w:color="000000"/>
              <w:bottom w:val="single" w:sz="7" w:space="0" w:color="000000"/>
              <w:right w:val="nil"/>
            </w:tcBorders>
          </w:tcPr>
          <w:p w:rsidR="008918FA" w:rsidRDefault="008918FA" w:rsidP="005D2B81"/>
        </w:tc>
      </w:tr>
      <w:tr w:rsidR="008918FA" w:rsidTr="005D2B81">
        <w:trPr>
          <w:trHeight w:hRule="exact" w:val="770"/>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2"/>
              </w:rPr>
              <w:t>"Crown"</w:t>
            </w:r>
          </w:p>
        </w:tc>
        <w:tc>
          <w:tcPr>
            <w:tcW w:w="5952" w:type="dxa"/>
            <w:tcBorders>
              <w:top w:val="single" w:sz="7" w:space="0" w:color="000000"/>
              <w:left w:val="single" w:sz="7" w:space="0" w:color="000000"/>
              <w:bottom w:val="single" w:sz="5" w:space="0" w:color="000000"/>
              <w:right w:val="nil"/>
            </w:tcBorders>
          </w:tcPr>
          <w:p w:rsidR="008918FA" w:rsidRDefault="008918FA" w:rsidP="005D2B81">
            <w:pPr>
              <w:pStyle w:val="TableParagraph"/>
              <w:ind w:left="270" w:right="-1"/>
              <w:jc w:val="both"/>
              <w:rPr>
                <w:rFonts w:ascii="Arial" w:eastAsia="Arial" w:hAnsi="Arial" w:cs="Arial"/>
              </w:rPr>
            </w:pPr>
            <w:r>
              <w:rPr>
                <w:rFonts w:ascii="Arial"/>
                <w:spacing w:val="-1"/>
              </w:rPr>
              <w:t>means</w:t>
            </w:r>
            <w:r>
              <w:rPr>
                <w:rFonts w:ascii="Arial"/>
                <w:spacing w:val="25"/>
              </w:rPr>
              <w:t xml:space="preserve"> </w:t>
            </w:r>
            <w:r>
              <w:rPr>
                <w:rFonts w:ascii="Arial"/>
              </w:rPr>
              <w:t>the</w:t>
            </w:r>
            <w:r>
              <w:rPr>
                <w:rFonts w:ascii="Arial"/>
                <w:spacing w:val="22"/>
              </w:rPr>
              <w:t xml:space="preserve"> </w:t>
            </w:r>
            <w:r>
              <w:rPr>
                <w:rFonts w:ascii="Arial"/>
                <w:spacing w:val="-1"/>
              </w:rPr>
              <w:t>government</w:t>
            </w:r>
            <w:r>
              <w:rPr>
                <w:rFonts w:ascii="Arial"/>
                <w:spacing w:val="26"/>
              </w:rPr>
              <w:t xml:space="preserve"> </w:t>
            </w:r>
            <w:r>
              <w:rPr>
                <w:rFonts w:ascii="Arial"/>
                <w:spacing w:val="-2"/>
              </w:rPr>
              <w:t>of</w:t>
            </w:r>
            <w:r>
              <w:rPr>
                <w:rFonts w:ascii="Arial"/>
                <w:spacing w:val="28"/>
              </w:rPr>
              <w:t xml:space="preserve"> </w:t>
            </w:r>
            <w:r>
              <w:rPr>
                <w:rFonts w:ascii="Arial"/>
              </w:rPr>
              <w:t>the</w:t>
            </w:r>
            <w:r>
              <w:rPr>
                <w:rFonts w:ascii="Arial"/>
                <w:spacing w:val="24"/>
              </w:rPr>
              <w:t xml:space="preserve"> </w:t>
            </w:r>
            <w:r>
              <w:rPr>
                <w:rFonts w:ascii="Arial"/>
                <w:spacing w:val="-1"/>
              </w:rPr>
              <w:t>United</w:t>
            </w:r>
            <w:r>
              <w:rPr>
                <w:rFonts w:ascii="Arial"/>
                <w:spacing w:val="24"/>
              </w:rPr>
              <w:t xml:space="preserve"> </w:t>
            </w:r>
            <w:r>
              <w:rPr>
                <w:rFonts w:ascii="Arial"/>
                <w:spacing w:val="-1"/>
              </w:rPr>
              <w:t>Kingdom</w:t>
            </w:r>
            <w:r>
              <w:rPr>
                <w:rFonts w:ascii="Arial"/>
                <w:spacing w:val="26"/>
              </w:rPr>
              <w:t xml:space="preserve"> </w:t>
            </w:r>
            <w:r>
              <w:rPr>
                <w:rFonts w:ascii="Arial"/>
                <w:spacing w:val="-2"/>
              </w:rPr>
              <w:t>(including</w:t>
            </w:r>
            <w:r>
              <w:rPr>
                <w:rFonts w:ascii="Arial"/>
                <w:spacing w:val="32"/>
              </w:rPr>
              <w:t xml:space="preserve"> </w:t>
            </w:r>
            <w:r>
              <w:rPr>
                <w:rFonts w:ascii="Arial"/>
              </w:rPr>
              <w:t>the</w:t>
            </w:r>
            <w:r>
              <w:rPr>
                <w:rFonts w:ascii="Arial"/>
                <w:spacing w:val="12"/>
              </w:rPr>
              <w:t xml:space="preserve"> </w:t>
            </w:r>
            <w:r>
              <w:rPr>
                <w:rFonts w:ascii="Arial"/>
                <w:spacing w:val="-1"/>
              </w:rPr>
              <w:t>Northern</w:t>
            </w:r>
            <w:r>
              <w:rPr>
                <w:rFonts w:ascii="Arial"/>
                <w:spacing w:val="10"/>
              </w:rPr>
              <w:t xml:space="preserve"> </w:t>
            </w:r>
            <w:r>
              <w:rPr>
                <w:rFonts w:ascii="Arial"/>
                <w:spacing w:val="-1"/>
              </w:rPr>
              <w:t>Ireland</w:t>
            </w:r>
            <w:r>
              <w:rPr>
                <w:rFonts w:ascii="Arial"/>
                <w:spacing w:val="12"/>
              </w:rPr>
              <w:t xml:space="preserve"> </w:t>
            </w:r>
            <w:r>
              <w:rPr>
                <w:rFonts w:ascii="Arial"/>
                <w:spacing w:val="-1"/>
              </w:rPr>
              <w:t>Assembly</w:t>
            </w:r>
            <w:r>
              <w:rPr>
                <w:rFonts w:ascii="Arial"/>
                <w:spacing w:val="10"/>
              </w:rPr>
              <w:t xml:space="preserve"> </w:t>
            </w:r>
            <w:r>
              <w:rPr>
                <w:rFonts w:ascii="Arial"/>
                <w:spacing w:val="-1"/>
              </w:rPr>
              <w:t>and</w:t>
            </w:r>
            <w:r>
              <w:rPr>
                <w:rFonts w:ascii="Arial"/>
                <w:spacing w:val="12"/>
              </w:rPr>
              <w:t xml:space="preserve"> </w:t>
            </w:r>
            <w:r>
              <w:rPr>
                <w:rFonts w:ascii="Arial"/>
                <w:spacing w:val="-2"/>
              </w:rPr>
              <w:t>Executive</w:t>
            </w:r>
            <w:r>
              <w:rPr>
                <w:rFonts w:ascii="Arial"/>
                <w:spacing w:val="12"/>
              </w:rPr>
              <w:t xml:space="preserve"> </w:t>
            </w:r>
            <w:r>
              <w:rPr>
                <w:rFonts w:ascii="Arial"/>
                <w:spacing w:val="-1"/>
              </w:rPr>
              <w:t>Committee,</w:t>
            </w:r>
            <w:r>
              <w:rPr>
                <w:rFonts w:ascii="Arial"/>
                <w:spacing w:val="29"/>
              </w:rPr>
              <w:t xml:space="preserve"> </w:t>
            </w:r>
            <w:r>
              <w:rPr>
                <w:rFonts w:ascii="Arial"/>
              </w:rPr>
              <w:t xml:space="preserve">the </w:t>
            </w:r>
            <w:r>
              <w:rPr>
                <w:rFonts w:ascii="Arial"/>
                <w:spacing w:val="11"/>
              </w:rPr>
              <w:t xml:space="preserve"> </w:t>
            </w:r>
            <w:r>
              <w:rPr>
                <w:rFonts w:ascii="Arial"/>
                <w:spacing w:val="-1"/>
              </w:rPr>
              <w:t>Scottish</w:t>
            </w:r>
            <w:r>
              <w:rPr>
                <w:rFonts w:ascii="Arial"/>
              </w:rPr>
              <w:t xml:space="preserve"> </w:t>
            </w:r>
            <w:r>
              <w:rPr>
                <w:rFonts w:ascii="Arial"/>
                <w:spacing w:val="12"/>
              </w:rPr>
              <w:t xml:space="preserve"> </w:t>
            </w:r>
            <w:r>
              <w:rPr>
                <w:rFonts w:ascii="Arial"/>
                <w:spacing w:val="-2"/>
              </w:rPr>
              <w:t>Executive</w:t>
            </w:r>
            <w:r>
              <w:rPr>
                <w:rFonts w:ascii="Arial"/>
              </w:rPr>
              <w:t xml:space="preserve"> </w:t>
            </w:r>
            <w:r>
              <w:rPr>
                <w:rFonts w:ascii="Arial"/>
                <w:spacing w:val="14"/>
              </w:rPr>
              <w:t xml:space="preserve"> </w:t>
            </w:r>
            <w:r>
              <w:rPr>
                <w:rFonts w:ascii="Arial"/>
                <w:spacing w:val="-1"/>
              </w:rPr>
              <w:t>and</w:t>
            </w:r>
            <w:r>
              <w:rPr>
                <w:rFonts w:ascii="Arial"/>
              </w:rPr>
              <w:t xml:space="preserve"> </w:t>
            </w:r>
            <w:r>
              <w:rPr>
                <w:rFonts w:ascii="Arial"/>
                <w:spacing w:val="11"/>
              </w:rPr>
              <w:t xml:space="preserve"> </w:t>
            </w:r>
            <w:r>
              <w:rPr>
                <w:rFonts w:ascii="Arial"/>
              </w:rPr>
              <w:t xml:space="preserve">the </w:t>
            </w:r>
            <w:r>
              <w:rPr>
                <w:rFonts w:ascii="Arial"/>
                <w:spacing w:val="11"/>
              </w:rPr>
              <w:t xml:space="preserve"> </w:t>
            </w:r>
            <w:r>
              <w:rPr>
                <w:rFonts w:ascii="Arial"/>
                <w:spacing w:val="-1"/>
              </w:rPr>
              <w:t>National</w:t>
            </w:r>
            <w:r>
              <w:rPr>
                <w:rFonts w:ascii="Arial"/>
              </w:rPr>
              <w:t xml:space="preserve"> </w:t>
            </w:r>
            <w:r>
              <w:rPr>
                <w:rFonts w:ascii="Arial"/>
                <w:spacing w:val="11"/>
              </w:rPr>
              <w:t xml:space="preserve"> </w:t>
            </w:r>
            <w:r>
              <w:rPr>
                <w:rFonts w:ascii="Arial"/>
                <w:spacing w:val="-1"/>
              </w:rPr>
              <w:t>Assembly</w:t>
            </w:r>
            <w:r>
              <w:rPr>
                <w:rFonts w:ascii="Arial"/>
              </w:rPr>
              <w:t xml:space="preserve"> </w:t>
            </w:r>
            <w:r>
              <w:rPr>
                <w:rFonts w:ascii="Arial"/>
                <w:spacing w:val="9"/>
              </w:rPr>
              <w:t xml:space="preserve"> </w:t>
            </w:r>
            <w:r>
              <w:rPr>
                <w:rFonts w:ascii="Arial"/>
              </w:rPr>
              <w:t>for</w:t>
            </w:r>
          </w:p>
        </w:tc>
        <w:tc>
          <w:tcPr>
            <w:tcW w:w="108" w:type="dxa"/>
            <w:tcBorders>
              <w:top w:val="single" w:sz="7" w:space="0" w:color="000000"/>
              <w:left w:val="nil"/>
              <w:bottom w:val="single" w:sz="5" w:space="0" w:color="000000"/>
              <w:right w:val="single" w:sz="5" w:space="0" w:color="000000"/>
            </w:tcBorders>
          </w:tcPr>
          <w:p w:rsidR="008918FA" w:rsidRDefault="008918FA" w:rsidP="005D2B81"/>
        </w:tc>
      </w:tr>
    </w:tbl>
    <w:p w:rsidR="008918FA" w:rsidRDefault="008918FA" w:rsidP="008918FA">
      <w:p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1147"/>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Wales),</w:t>
            </w:r>
            <w:r>
              <w:rPr>
                <w:rFonts w:ascii="Arial"/>
                <w:spacing w:val="4"/>
              </w:rPr>
              <w:t xml:space="preserve"> </w:t>
            </w:r>
            <w:r>
              <w:rPr>
                <w:rFonts w:ascii="Arial"/>
                <w:spacing w:val="-1"/>
              </w:rPr>
              <w:t>including,</w:t>
            </w:r>
            <w:r>
              <w:rPr>
                <w:rFonts w:ascii="Arial"/>
                <w:spacing w:val="4"/>
              </w:rPr>
              <w:t xml:space="preserve"> </w:t>
            </w:r>
            <w:r>
              <w:rPr>
                <w:rFonts w:ascii="Arial"/>
                <w:spacing w:val="-1"/>
              </w:rPr>
              <w:t>but</w:t>
            </w:r>
            <w:r>
              <w:rPr>
                <w:rFonts w:ascii="Arial"/>
                <w:spacing w:val="4"/>
              </w:rPr>
              <w:t xml:space="preserve"> </w:t>
            </w:r>
            <w:r>
              <w:rPr>
                <w:rFonts w:ascii="Arial"/>
                <w:spacing w:val="-2"/>
              </w:rPr>
              <w:t>not</w:t>
            </w:r>
            <w:r>
              <w:rPr>
                <w:rFonts w:ascii="Arial"/>
                <w:spacing w:val="7"/>
              </w:rPr>
              <w:t xml:space="preserve"> </w:t>
            </w:r>
            <w:r>
              <w:rPr>
                <w:rFonts w:ascii="Arial"/>
                <w:spacing w:val="-1"/>
              </w:rPr>
              <w:t>limited</w:t>
            </w:r>
            <w:r>
              <w:rPr>
                <w:rFonts w:ascii="Arial"/>
                <w:spacing w:val="3"/>
              </w:rPr>
              <w:t xml:space="preserve"> </w:t>
            </w:r>
            <w:r>
              <w:rPr>
                <w:rFonts w:ascii="Arial"/>
              </w:rPr>
              <w:t>to,</w:t>
            </w:r>
            <w:r>
              <w:rPr>
                <w:rFonts w:ascii="Arial"/>
                <w:spacing w:val="2"/>
              </w:rPr>
              <w:t xml:space="preserve"> </w:t>
            </w:r>
            <w:r>
              <w:rPr>
                <w:rFonts w:ascii="Arial"/>
                <w:spacing w:val="-1"/>
              </w:rPr>
              <w:t>government</w:t>
            </w:r>
            <w:r>
              <w:rPr>
                <w:rFonts w:ascii="Arial"/>
                <w:spacing w:val="4"/>
              </w:rPr>
              <w:t xml:space="preserve"> </w:t>
            </w:r>
            <w:r>
              <w:rPr>
                <w:rFonts w:ascii="Arial"/>
                <w:spacing w:val="-1"/>
              </w:rPr>
              <w:t>ministers</w:t>
            </w:r>
            <w:r>
              <w:rPr>
                <w:rFonts w:ascii="Arial"/>
                <w:spacing w:val="29"/>
              </w:rPr>
              <w:t xml:space="preserve"> </w:t>
            </w:r>
            <w:r>
              <w:rPr>
                <w:rFonts w:ascii="Arial"/>
                <w:spacing w:val="-1"/>
              </w:rPr>
              <w:t>and</w:t>
            </w:r>
            <w:r>
              <w:rPr>
                <w:rFonts w:ascii="Arial"/>
                <w:spacing w:val="3"/>
              </w:rPr>
              <w:t xml:space="preserve"> </w:t>
            </w:r>
            <w:r>
              <w:rPr>
                <w:rFonts w:ascii="Arial"/>
                <w:spacing w:val="-1"/>
              </w:rPr>
              <w:t>government</w:t>
            </w:r>
            <w:r>
              <w:rPr>
                <w:rFonts w:ascii="Arial"/>
                <w:spacing w:val="4"/>
              </w:rPr>
              <w:t xml:space="preserve"> </w:t>
            </w:r>
            <w:r>
              <w:rPr>
                <w:rFonts w:ascii="Arial"/>
                <w:spacing w:val="-1"/>
              </w:rPr>
              <w:t>departments</w:t>
            </w:r>
            <w:r>
              <w:rPr>
                <w:rFonts w:ascii="Arial"/>
                <w:spacing w:val="3"/>
              </w:rPr>
              <w:t xml:space="preserve"> </w:t>
            </w:r>
            <w:r>
              <w:rPr>
                <w:rFonts w:ascii="Arial"/>
                <w:spacing w:val="-1"/>
              </w:rPr>
              <w:t>and</w:t>
            </w:r>
            <w:r>
              <w:rPr>
                <w:rFonts w:ascii="Arial"/>
                <w:spacing w:val="3"/>
              </w:rPr>
              <w:t xml:space="preserve"> </w:t>
            </w:r>
            <w:r>
              <w:rPr>
                <w:rFonts w:ascii="Arial"/>
                <w:spacing w:val="-1"/>
              </w:rPr>
              <w:t>particular</w:t>
            </w:r>
            <w:r>
              <w:rPr>
                <w:rFonts w:ascii="Arial"/>
                <w:spacing w:val="2"/>
              </w:rPr>
              <w:t xml:space="preserve"> </w:t>
            </w:r>
            <w:r>
              <w:rPr>
                <w:rFonts w:ascii="Arial"/>
                <w:spacing w:val="-2"/>
              </w:rPr>
              <w:t>bodies,</w:t>
            </w:r>
            <w:r>
              <w:rPr>
                <w:rFonts w:ascii="Arial"/>
                <w:spacing w:val="32"/>
              </w:rPr>
              <w:t xml:space="preserve"> </w:t>
            </w:r>
            <w:r>
              <w:rPr>
                <w:rFonts w:ascii="Arial"/>
                <w:spacing w:val="-1"/>
              </w:rPr>
              <w:t>persons,</w:t>
            </w:r>
            <w:r>
              <w:rPr>
                <w:rFonts w:ascii="Arial"/>
                <w:spacing w:val="25"/>
              </w:rPr>
              <w:t xml:space="preserve"> </w:t>
            </w:r>
            <w:r>
              <w:rPr>
                <w:rFonts w:ascii="Arial"/>
                <w:spacing w:val="-2"/>
              </w:rPr>
              <w:t>commissions</w:t>
            </w:r>
            <w:r>
              <w:rPr>
                <w:rFonts w:ascii="Arial"/>
                <w:spacing w:val="24"/>
              </w:rPr>
              <w:t xml:space="preserve"> </w:t>
            </w:r>
            <w:r>
              <w:rPr>
                <w:rFonts w:ascii="Arial"/>
                <w:spacing w:val="-1"/>
              </w:rPr>
              <w:t>or</w:t>
            </w:r>
            <w:r>
              <w:rPr>
                <w:rFonts w:ascii="Arial"/>
                <w:spacing w:val="24"/>
              </w:rPr>
              <w:t xml:space="preserve"> </w:t>
            </w:r>
            <w:r>
              <w:rPr>
                <w:rFonts w:ascii="Arial"/>
                <w:spacing w:val="-1"/>
              </w:rPr>
              <w:t>agencies</w:t>
            </w:r>
            <w:r>
              <w:rPr>
                <w:rFonts w:ascii="Arial"/>
                <w:spacing w:val="21"/>
              </w:rPr>
              <w:t xml:space="preserve"> </w:t>
            </w:r>
            <w:r>
              <w:rPr>
                <w:rFonts w:ascii="Arial"/>
              </w:rPr>
              <w:t>from</w:t>
            </w:r>
            <w:r>
              <w:rPr>
                <w:rFonts w:ascii="Arial"/>
                <w:spacing w:val="24"/>
              </w:rPr>
              <w:t xml:space="preserve"> </w:t>
            </w:r>
            <w:r>
              <w:rPr>
                <w:rFonts w:ascii="Arial"/>
                <w:spacing w:val="-1"/>
              </w:rPr>
              <w:t>time</w:t>
            </w:r>
            <w:r>
              <w:rPr>
                <w:rFonts w:ascii="Arial"/>
                <w:spacing w:val="21"/>
              </w:rPr>
              <w:t xml:space="preserve"> </w:t>
            </w:r>
            <w:r>
              <w:rPr>
                <w:rFonts w:ascii="Arial"/>
              </w:rPr>
              <w:t>to</w:t>
            </w:r>
            <w:r>
              <w:rPr>
                <w:rFonts w:ascii="Arial"/>
                <w:spacing w:val="23"/>
              </w:rPr>
              <w:t xml:space="preserve"> </w:t>
            </w:r>
            <w:r>
              <w:rPr>
                <w:rFonts w:ascii="Arial"/>
                <w:spacing w:val="-1"/>
              </w:rPr>
              <w:t>time</w:t>
            </w:r>
            <w:r>
              <w:rPr>
                <w:rFonts w:ascii="Arial"/>
                <w:spacing w:val="41"/>
              </w:rPr>
              <w:t xml:space="preserve"> </w:t>
            </w:r>
            <w:r>
              <w:rPr>
                <w:rFonts w:ascii="Arial"/>
                <w:spacing w:val="-1"/>
              </w:rPr>
              <w:t>carrying</w:t>
            </w:r>
            <w:r>
              <w:rPr>
                <w:rFonts w:ascii="Arial"/>
                <w:spacing w:val="3"/>
              </w:rPr>
              <w:t xml:space="preserve"> </w:t>
            </w:r>
            <w:r>
              <w:rPr>
                <w:rFonts w:ascii="Arial"/>
                <w:spacing w:val="-2"/>
              </w:rPr>
              <w:t>out</w:t>
            </w:r>
            <w:r>
              <w:rPr>
                <w:rFonts w:ascii="Arial"/>
                <w:spacing w:val="-3"/>
              </w:rPr>
              <w:t xml:space="preserve"> </w:t>
            </w:r>
            <w:r>
              <w:rPr>
                <w:rFonts w:ascii="Arial"/>
                <w:spacing w:val="-1"/>
              </w:rPr>
              <w:t>functions</w:t>
            </w:r>
            <w:r>
              <w:rPr>
                <w:rFonts w:ascii="Arial"/>
                <w:spacing w:val="1"/>
              </w:rPr>
              <w:t xml:space="preserve"> </w:t>
            </w:r>
            <w:r>
              <w:rPr>
                <w:rFonts w:ascii="Arial"/>
                <w:spacing w:val="-1"/>
              </w:rPr>
              <w:t>on</w:t>
            </w:r>
            <w:r>
              <w:rPr>
                <w:rFonts w:ascii="Arial"/>
                <w:spacing w:val="-2"/>
              </w:rPr>
              <w:t xml:space="preserve"> </w:t>
            </w:r>
            <w:r>
              <w:rPr>
                <w:rFonts w:ascii="Arial"/>
                <w:spacing w:val="-1"/>
              </w:rPr>
              <w:t>its</w:t>
            </w:r>
            <w:r>
              <w:rPr>
                <w:rFonts w:ascii="Arial"/>
                <w:spacing w:val="1"/>
              </w:rPr>
              <w:t xml:space="preserve"> </w:t>
            </w:r>
            <w:r>
              <w:rPr>
                <w:rFonts w:ascii="Arial"/>
                <w:spacing w:val="-1"/>
              </w:rPr>
              <w:t>behalf;</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"Crown</w:t>
            </w:r>
            <w:r>
              <w:rPr>
                <w:rFonts w:ascii="Arial"/>
                <w:b/>
                <w:spacing w:val="-2"/>
              </w:rPr>
              <w:t xml:space="preserve"> Body"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99"/>
              <w:rPr>
                <w:rFonts w:ascii="Arial" w:eastAsia="Arial" w:hAnsi="Arial" w:cs="Arial"/>
              </w:rPr>
            </w:pPr>
            <w:r>
              <w:rPr>
                <w:rFonts w:ascii="Arial"/>
                <w:spacing w:val="-1"/>
              </w:rPr>
              <w:t>means</w:t>
            </w:r>
            <w:r>
              <w:rPr>
                <w:rFonts w:ascii="Arial"/>
                <w:spacing w:val="18"/>
              </w:rPr>
              <w:t xml:space="preserve"> </w:t>
            </w:r>
            <w:r>
              <w:rPr>
                <w:rFonts w:ascii="Arial"/>
                <w:spacing w:val="-1"/>
              </w:rPr>
              <w:t>any</w:t>
            </w:r>
            <w:r>
              <w:rPr>
                <w:rFonts w:ascii="Arial"/>
                <w:spacing w:val="15"/>
              </w:rPr>
              <w:t xml:space="preserve"> </w:t>
            </w:r>
            <w:r>
              <w:rPr>
                <w:rFonts w:ascii="Arial"/>
                <w:spacing w:val="-1"/>
              </w:rPr>
              <w:t>department,</w:t>
            </w:r>
            <w:r>
              <w:rPr>
                <w:rFonts w:ascii="Arial"/>
                <w:spacing w:val="16"/>
              </w:rPr>
              <w:t xml:space="preserve"> </w:t>
            </w:r>
            <w:r>
              <w:rPr>
                <w:rFonts w:ascii="Arial"/>
                <w:spacing w:val="-1"/>
              </w:rPr>
              <w:t>office</w:t>
            </w:r>
            <w:r>
              <w:rPr>
                <w:rFonts w:ascii="Arial"/>
                <w:spacing w:val="18"/>
              </w:rPr>
              <w:t xml:space="preserve"> </w:t>
            </w:r>
            <w:r>
              <w:rPr>
                <w:rFonts w:ascii="Arial"/>
                <w:spacing w:val="-1"/>
              </w:rPr>
              <w:t>or</w:t>
            </w:r>
            <w:r>
              <w:rPr>
                <w:rFonts w:ascii="Arial"/>
                <w:spacing w:val="19"/>
              </w:rPr>
              <w:t xml:space="preserve"> </w:t>
            </w:r>
            <w:r>
              <w:rPr>
                <w:rFonts w:ascii="Arial"/>
                <w:spacing w:val="-2"/>
              </w:rPr>
              <w:t>executive</w:t>
            </w:r>
            <w:r>
              <w:rPr>
                <w:rFonts w:ascii="Arial"/>
                <w:spacing w:val="17"/>
              </w:rPr>
              <w:t xml:space="preserve"> </w:t>
            </w:r>
            <w:r>
              <w:rPr>
                <w:rFonts w:ascii="Arial"/>
                <w:spacing w:val="-1"/>
              </w:rPr>
              <w:t>agency</w:t>
            </w:r>
            <w:r>
              <w:rPr>
                <w:rFonts w:ascii="Arial"/>
                <w:spacing w:val="16"/>
              </w:rPr>
              <w:t xml:space="preserve"> </w:t>
            </w:r>
            <w:r>
              <w:rPr>
                <w:rFonts w:ascii="Arial"/>
                <w:spacing w:val="-1"/>
              </w:rPr>
              <w:t>of</w:t>
            </w:r>
            <w:r>
              <w:rPr>
                <w:rFonts w:ascii="Arial"/>
                <w:spacing w:val="21"/>
              </w:rPr>
              <w:t xml:space="preserve"> </w:t>
            </w:r>
            <w:r>
              <w:rPr>
                <w:rFonts w:ascii="Arial"/>
                <w:spacing w:val="-1"/>
              </w:rPr>
              <w:t>the</w:t>
            </w:r>
            <w:r>
              <w:rPr>
                <w:rFonts w:ascii="Arial"/>
                <w:spacing w:val="44"/>
              </w:rPr>
              <w:t xml:space="preserve"> </w:t>
            </w:r>
            <w:r>
              <w:rPr>
                <w:rFonts w:ascii="Arial"/>
                <w:spacing w:val="-2"/>
              </w:rPr>
              <w:t>Crown;</w:t>
            </w:r>
          </w:p>
        </w:tc>
      </w:tr>
      <w:tr w:rsidR="008918FA" w:rsidTr="005D2B81">
        <w:trPr>
          <w:trHeight w:hRule="exact" w:val="38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2"/>
              </w:rPr>
              <w:t>"CRTPA"</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2"/>
              </w:rPr>
              <w:t xml:space="preserve"> </w:t>
            </w:r>
            <w:r>
              <w:rPr>
                <w:rFonts w:ascii="Arial"/>
              </w:rPr>
              <w:t xml:space="preserve">the </w:t>
            </w:r>
            <w:r>
              <w:rPr>
                <w:rFonts w:ascii="Arial"/>
                <w:spacing w:val="-1"/>
              </w:rPr>
              <w:t>Contracts</w:t>
            </w:r>
            <w:r>
              <w:rPr>
                <w:rFonts w:ascii="Arial"/>
                <w:spacing w:val="-2"/>
              </w:rPr>
              <w:t xml:space="preserve"> </w:t>
            </w:r>
            <w:r>
              <w:rPr>
                <w:rFonts w:ascii="Arial"/>
                <w:spacing w:val="-1"/>
              </w:rPr>
              <w:t>(Rights</w:t>
            </w:r>
            <w:r>
              <w:rPr>
                <w:rFonts w:ascii="Arial"/>
                <w:spacing w:val="1"/>
              </w:rPr>
              <w:t xml:space="preserve"> </w:t>
            </w:r>
            <w:r>
              <w:rPr>
                <w:rFonts w:ascii="Arial"/>
                <w:spacing w:val="-2"/>
              </w:rPr>
              <w:t>of</w:t>
            </w:r>
            <w:r>
              <w:rPr>
                <w:rFonts w:ascii="Arial"/>
              </w:rPr>
              <w:t xml:space="preserve"> </w:t>
            </w:r>
            <w:r>
              <w:rPr>
                <w:rFonts w:ascii="Arial"/>
                <w:spacing w:val="-1"/>
              </w:rPr>
              <w:t>Third</w:t>
            </w:r>
            <w:r>
              <w:rPr>
                <w:rFonts w:ascii="Arial"/>
                <w:spacing w:val="-2"/>
              </w:rPr>
              <w:t xml:space="preserve"> </w:t>
            </w:r>
            <w:r>
              <w:rPr>
                <w:rFonts w:ascii="Arial"/>
                <w:spacing w:val="-1"/>
              </w:rPr>
              <w:t>Parties)</w:t>
            </w:r>
            <w:r>
              <w:rPr>
                <w:rFonts w:ascii="Arial"/>
              </w:rPr>
              <w:t xml:space="preserve"> </w:t>
            </w:r>
            <w:r>
              <w:rPr>
                <w:rFonts w:ascii="Arial"/>
                <w:spacing w:val="-1"/>
              </w:rPr>
              <w:t>Act</w:t>
            </w:r>
            <w:r>
              <w:rPr>
                <w:rFonts w:ascii="Arial"/>
              </w:rPr>
              <w:t xml:space="preserve"> </w:t>
            </w:r>
            <w:r>
              <w:rPr>
                <w:rFonts w:ascii="Arial"/>
                <w:spacing w:val="-1"/>
              </w:rPr>
              <w:t>1999;</w:t>
            </w:r>
          </w:p>
        </w:tc>
      </w:tr>
      <w:tr w:rsidR="008918FA" w:rsidTr="005D2B81">
        <w:trPr>
          <w:trHeight w:hRule="exact" w:val="38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"Customer"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2"/>
              </w:rPr>
              <w:t xml:space="preserve"> </w:t>
            </w:r>
            <w:r>
              <w:rPr>
                <w:rFonts w:ascii="Arial"/>
              </w:rPr>
              <w:t>the</w:t>
            </w:r>
            <w:r>
              <w:rPr>
                <w:rFonts w:ascii="Arial"/>
                <w:spacing w:val="-2"/>
              </w:rPr>
              <w:t xml:space="preserve"> </w:t>
            </w:r>
            <w:r>
              <w:rPr>
                <w:rFonts w:ascii="Arial"/>
                <w:spacing w:val="-1"/>
              </w:rPr>
              <w:t>customer(s)</w:t>
            </w:r>
            <w:r>
              <w:rPr>
                <w:rFonts w:ascii="Arial"/>
                <w:spacing w:val="2"/>
              </w:rPr>
              <w:t xml:space="preserve"> </w:t>
            </w:r>
            <w:r>
              <w:rPr>
                <w:rFonts w:ascii="Arial"/>
                <w:spacing w:val="-1"/>
              </w:rPr>
              <w:t>identified</w:t>
            </w:r>
            <w:r>
              <w:rPr>
                <w:rFonts w:ascii="Arial"/>
              </w:rPr>
              <w:t xml:space="preserve"> </w:t>
            </w:r>
            <w:r>
              <w:rPr>
                <w:rFonts w:ascii="Arial"/>
                <w:spacing w:val="-1"/>
              </w:rPr>
              <w:t>in</w:t>
            </w:r>
            <w:r>
              <w:rPr>
                <w:rFonts w:ascii="Arial"/>
                <w:spacing w:val="-2"/>
              </w:rPr>
              <w:t xml:space="preserve"> </w:t>
            </w:r>
            <w:r>
              <w:rPr>
                <w:rFonts w:ascii="Arial"/>
              </w:rPr>
              <w:t>the</w:t>
            </w:r>
            <w:r>
              <w:rPr>
                <w:rFonts w:ascii="Arial"/>
                <w:spacing w:val="-2"/>
              </w:rPr>
              <w:t xml:space="preserve"> </w:t>
            </w:r>
            <w:r>
              <w:rPr>
                <w:rFonts w:ascii="Arial"/>
                <w:spacing w:val="-1"/>
              </w:rPr>
              <w:t>Order</w:t>
            </w:r>
            <w:r>
              <w:rPr>
                <w:rFonts w:ascii="Arial"/>
                <w:spacing w:val="2"/>
              </w:rPr>
              <w:t xml:space="preserve"> </w:t>
            </w:r>
            <w:r>
              <w:rPr>
                <w:rFonts w:ascii="Arial"/>
                <w:spacing w:val="-2"/>
              </w:rPr>
              <w:t>Form;</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"Customer</w:t>
            </w:r>
            <w:r>
              <w:rPr>
                <w:rFonts w:ascii="Arial"/>
                <w:b/>
                <w:spacing w:val="3"/>
              </w:rPr>
              <w:t xml:space="preserve"> </w:t>
            </w:r>
            <w:r>
              <w:rPr>
                <w:rFonts w:ascii="Arial"/>
                <w:b/>
                <w:spacing w:val="-2"/>
              </w:rPr>
              <w:t>Assets"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69" w:right="99"/>
              <w:jc w:val="both"/>
              <w:rPr>
                <w:rFonts w:ascii="Arial" w:eastAsia="Arial" w:hAnsi="Arial" w:cs="Arial"/>
              </w:rPr>
            </w:pPr>
            <w:r>
              <w:rPr>
                <w:rFonts w:ascii="Arial" w:eastAsia="Arial" w:hAnsi="Arial" w:cs="Arial"/>
                <w:spacing w:val="-1"/>
              </w:rPr>
              <w:t>means</w:t>
            </w:r>
            <w:r>
              <w:rPr>
                <w:rFonts w:ascii="Arial" w:eastAsia="Arial" w:hAnsi="Arial" w:cs="Arial"/>
                <w:spacing w:val="50"/>
              </w:rPr>
              <w:t xml:space="preserve"> </w:t>
            </w:r>
            <w:r>
              <w:rPr>
                <w:rFonts w:ascii="Arial" w:eastAsia="Arial" w:hAnsi="Arial" w:cs="Arial"/>
              </w:rPr>
              <w:t>the</w:t>
            </w:r>
            <w:r>
              <w:rPr>
                <w:rFonts w:ascii="Arial" w:eastAsia="Arial" w:hAnsi="Arial" w:cs="Arial"/>
                <w:spacing w:val="49"/>
              </w:rPr>
              <w:t xml:space="preserve"> </w:t>
            </w:r>
            <w:r>
              <w:rPr>
                <w:rFonts w:ascii="Arial" w:eastAsia="Arial" w:hAnsi="Arial" w:cs="Arial"/>
                <w:spacing w:val="-1"/>
              </w:rPr>
              <w:t>Customer’s</w:t>
            </w:r>
            <w:r>
              <w:rPr>
                <w:rFonts w:ascii="Arial" w:eastAsia="Arial" w:hAnsi="Arial" w:cs="Arial"/>
                <w:spacing w:val="47"/>
              </w:rPr>
              <w:t xml:space="preserve"> </w:t>
            </w:r>
            <w:r>
              <w:rPr>
                <w:rFonts w:ascii="Arial" w:eastAsia="Arial" w:hAnsi="Arial" w:cs="Arial"/>
                <w:spacing w:val="-1"/>
              </w:rPr>
              <w:t>infrastructure,</w:t>
            </w:r>
            <w:r>
              <w:rPr>
                <w:rFonts w:ascii="Arial" w:eastAsia="Arial" w:hAnsi="Arial" w:cs="Arial"/>
                <w:spacing w:val="52"/>
              </w:rPr>
              <w:t xml:space="preserve"> </w:t>
            </w:r>
            <w:r>
              <w:rPr>
                <w:rFonts w:ascii="Arial" w:eastAsia="Arial" w:hAnsi="Arial" w:cs="Arial"/>
                <w:spacing w:val="-1"/>
              </w:rPr>
              <w:t>data,</w:t>
            </w:r>
            <w:r>
              <w:rPr>
                <w:rFonts w:ascii="Arial" w:eastAsia="Arial" w:hAnsi="Arial" w:cs="Arial"/>
                <w:spacing w:val="49"/>
              </w:rPr>
              <w:t xml:space="preserve"> </w:t>
            </w:r>
            <w:r>
              <w:rPr>
                <w:rFonts w:ascii="Arial" w:eastAsia="Arial" w:hAnsi="Arial" w:cs="Arial"/>
                <w:spacing w:val="-1"/>
              </w:rPr>
              <w:t>software,</w:t>
            </w:r>
            <w:r>
              <w:rPr>
                <w:rFonts w:ascii="Arial" w:eastAsia="Arial" w:hAnsi="Arial" w:cs="Arial"/>
                <w:spacing w:val="22"/>
              </w:rPr>
              <w:t xml:space="preserve"> </w:t>
            </w:r>
            <w:r>
              <w:rPr>
                <w:rFonts w:ascii="Arial" w:eastAsia="Arial" w:hAnsi="Arial" w:cs="Arial"/>
                <w:spacing w:val="-1"/>
              </w:rPr>
              <w:t>materials,</w:t>
            </w:r>
            <w:r>
              <w:rPr>
                <w:rFonts w:ascii="Arial" w:eastAsia="Arial" w:hAnsi="Arial" w:cs="Arial"/>
                <w:spacing w:val="27"/>
              </w:rPr>
              <w:t xml:space="preserve"> </w:t>
            </w:r>
            <w:r>
              <w:rPr>
                <w:rFonts w:ascii="Arial" w:eastAsia="Arial" w:hAnsi="Arial" w:cs="Arial"/>
                <w:spacing w:val="-1"/>
              </w:rPr>
              <w:t>assets,</w:t>
            </w:r>
            <w:r>
              <w:rPr>
                <w:rFonts w:ascii="Arial" w:eastAsia="Arial" w:hAnsi="Arial" w:cs="Arial"/>
                <w:spacing w:val="26"/>
              </w:rPr>
              <w:t xml:space="preserve"> </w:t>
            </w:r>
            <w:r>
              <w:rPr>
                <w:rFonts w:ascii="Arial" w:eastAsia="Arial" w:hAnsi="Arial" w:cs="Arial"/>
                <w:spacing w:val="-1"/>
              </w:rPr>
              <w:t>equipment</w:t>
            </w:r>
            <w:r>
              <w:rPr>
                <w:rFonts w:ascii="Arial" w:eastAsia="Arial" w:hAnsi="Arial" w:cs="Arial"/>
                <w:spacing w:val="26"/>
              </w:rPr>
              <w:t xml:space="preserve"> </w:t>
            </w:r>
            <w:r>
              <w:rPr>
                <w:rFonts w:ascii="Arial" w:eastAsia="Arial" w:hAnsi="Arial" w:cs="Arial"/>
                <w:spacing w:val="-1"/>
              </w:rPr>
              <w:t>or</w:t>
            </w:r>
            <w:r>
              <w:rPr>
                <w:rFonts w:ascii="Arial" w:eastAsia="Arial" w:hAnsi="Arial" w:cs="Arial"/>
                <w:spacing w:val="26"/>
              </w:rPr>
              <w:t xml:space="preserve"> </w:t>
            </w:r>
            <w:r>
              <w:rPr>
                <w:rFonts w:ascii="Arial" w:eastAsia="Arial" w:hAnsi="Arial" w:cs="Arial"/>
                <w:spacing w:val="-1"/>
              </w:rPr>
              <w:t>other</w:t>
            </w:r>
            <w:r>
              <w:rPr>
                <w:rFonts w:ascii="Arial" w:eastAsia="Arial" w:hAnsi="Arial" w:cs="Arial"/>
                <w:spacing w:val="26"/>
              </w:rPr>
              <w:t xml:space="preserve"> </w:t>
            </w:r>
            <w:r>
              <w:rPr>
                <w:rFonts w:ascii="Arial" w:eastAsia="Arial" w:hAnsi="Arial" w:cs="Arial"/>
                <w:spacing w:val="-1"/>
              </w:rPr>
              <w:t>property</w:t>
            </w:r>
            <w:r>
              <w:rPr>
                <w:rFonts w:ascii="Arial" w:eastAsia="Arial" w:hAnsi="Arial" w:cs="Arial"/>
                <w:spacing w:val="22"/>
              </w:rPr>
              <w:t xml:space="preserve"> </w:t>
            </w:r>
            <w:r>
              <w:rPr>
                <w:rFonts w:ascii="Arial" w:eastAsia="Arial" w:hAnsi="Arial" w:cs="Arial"/>
                <w:spacing w:val="-2"/>
              </w:rPr>
              <w:t>owned</w:t>
            </w:r>
            <w:r>
              <w:rPr>
                <w:rFonts w:ascii="Arial" w:eastAsia="Arial" w:hAnsi="Arial" w:cs="Arial"/>
                <w:spacing w:val="27"/>
              </w:rPr>
              <w:t xml:space="preserve"> </w:t>
            </w:r>
            <w:r>
              <w:rPr>
                <w:rFonts w:ascii="Arial" w:eastAsia="Arial" w:hAnsi="Arial" w:cs="Arial"/>
                <w:spacing w:val="-1"/>
              </w:rPr>
              <w:t>by</w:t>
            </w:r>
            <w:r>
              <w:rPr>
                <w:rFonts w:ascii="Arial" w:eastAsia="Arial" w:hAnsi="Arial" w:cs="Arial"/>
                <w:spacing w:val="24"/>
              </w:rPr>
              <w:t xml:space="preserve"> </w:t>
            </w:r>
            <w:r>
              <w:rPr>
                <w:rFonts w:ascii="Arial" w:eastAsia="Arial" w:hAnsi="Arial" w:cs="Arial"/>
                <w:spacing w:val="-1"/>
              </w:rPr>
              <w:t>and/or</w:t>
            </w:r>
            <w:r>
              <w:rPr>
                <w:rFonts w:ascii="Arial" w:eastAsia="Arial" w:hAnsi="Arial" w:cs="Arial"/>
                <w:spacing w:val="6"/>
              </w:rPr>
              <w:t xml:space="preserve"> </w:t>
            </w:r>
            <w:r>
              <w:rPr>
                <w:rFonts w:ascii="Arial" w:eastAsia="Arial" w:hAnsi="Arial" w:cs="Arial"/>
                <w:spacing w:val="-1"/>
              </w:rPr>
              <w:t>licensed</w:t>
            </w:r>
            <w:r>
              <w:rPr>
                <w:rFonts w:ascii="Arial" w:eastAsia="Arial" w:hAnsi="Arial" w:cs="Arial"/>
                <w:spacing w:val="5"/>
              </w:rPr>
              <w:t xml:space="preserve"> </w:t>
            </w:r>
            <w:r>
              <w:rPr>
                <w:rFonts w:ascii="Arial" w:eastAsia="Arial" w:hAnsi="Arial" w:cs="Arial"/>
                <w:spacing w:val="-1"/>
              </w:rPr>
              <w:t>or</w:t>
            </w:r>
            <w:r>
              <w:rPr>
                <w:rFonts w:ascii="Arial" w:eastAsia="Arial" w:hAnsi="Arial" w:cs="Arial"/>
                <w:spacing w:val="6"/>
              </w:rPr>
              <w:t xml:space="preserve"> </w:t>
            </w:r>
            <w:r>
              <w:rPr>
                <w:rFonts w:ascii="Arial" w:eastAsia="Arial" w:hAnsi="Arial" w:cs="Arial"/>
                <w:spacing w:val="-2"/>
              </w:rPr>
              <w:t>leased</w:t>
            </w:r>
            <w:r>
              <w:rPr>
                <w:rFonts w:ascii="Arial" w:eastAsia="Arial" w:hAnsi="Arial" w:cs="Arial"/>
                <w:spacing w:val="5"/>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spacing w:val="-2"/>
              </w:rPr>
              <w:t>Customer</w:t>
            </w:r>
            <w:r>
              <w:rPr>
                <w:rFonts w:ascii="Arial" w:eastAsia="Arial" w:hAnsi="Arial" w:cs="Arial"/>
                <w:spacing w:val="6"/>
              </w:rPr>
              <w:t xml:space="preserve"> </w:t>
            </w:r>
            <w:r>
              <w:rPr>
                <w:rFonts w:ascii="Arial" w:eastAsia="Arial" w:hAnsi="Arial" w:cs="Arial"/>
                <w:spacing w:val="-1"/>
              </w:rPr>
              <w:t>and</w:t>
            </w:r>
            <w:r>
              <w:rPr>
                <w:rFonts w:ascii="Arial" w:eastAsia="Arial" w:hAnsi="Arial" w:cs="Arial"/>
                <w:spacing w:val="5"/>
              </w:rPr>
              <w:t xml:space="preserve"> </w:t>
            </w:r>
            <w:r>
              <w:rPr>
                <w:rFonts w:ascii="Arial" w:eastAsia="Arial" w:hAnsi="Arial" w:cs="Arial"/>
                <w:spacing w:val="-2"/>
              </w:rPr>
              <w:t>which</w:t>
            </w:r>
            <w:r>
              <w:rPr>
                <w:rFonts w:ascii="Arial" w:eastAsia="Arial" w:hAnsi="Arial" w:cs="Arial"/>
                <w:spacing w:val="5"/>
              </w:rPr>
              <w:t xml:space="preserve"> </w:t>
            </w:r>
            <w:r>
              <w:rPr>
                <w:rFonts w:ascii="Arial" w:eastAsia="Arial" w:hAnsi="Arial" w:cs="Arial"/>
                <w:spacing w:val="-1"/>
              </w:rPr>
              <w:t>is</w:t>
            </w:r>
            <w:r>
              <w:rPr>
                <w:rFonts w:ascii="Arial" w:eastAsia="Arial" w:hAnsi="Arial" w:cs="Arial"/>
                <w:spacing w:val="5"/>
              </w:rPr>
              <w:t xml:space="preserve"> </w:t>
            </w:r>
            <w:r>
              <w:rPr>
                <w:rFonts w:ascii="Arial" w:eastAsia="Arial" w:hAnsi="Arial" w:cs="Arial"/>
                <w:spacing w:val="-1"/>
              </w:rPr>
              <w:t>or</w:t>
            </w:r>
            <w:r>
              <w:rPr>
                <w:rFonts w:ascii="Arial" w:eastAsia="Arial" w:hAnsi="Arial" w:cs="Arial"/>
                <w:spacing w:val="40"/>
              </w:rPr>
              <w:t xml:space="preserve"> </w:t>
            </w:r>
            <w:r>
              <w:rPr>
                <w:rFonts w:ascii="Arial" w:eastAsia="Arial" w:hAnsi="Arial" w:cs="Arial"/>
                <w:spacing w:val="-1"/>
              </w:rPr>
              <w:t>may</w:t>
            </w:r>
            <w:r>
              <w:rPr>
                <w:rFonts w:ascii="Arial" w:eastAsia="Arial" w:hAnsi="Arial" w:cs="Arial"/>
                <w:spacing w:val="14"/>
              </w:rPr>
              <w:t xml:space="preserve"> </w:t>
            </w:r>
            <w:r>
              <w:rPr>
                <w:rFonts w:ascii="Arial" w:eastAsia="Arial" w:hAnsi="Arial" w:cs="Arial"/>
                <w:spacing w:val="-1"/>
              </w:rPr>
              <w:t>be</w:t>
            </w:r>
            <w:r>
              <w:rPr>
                <w:rFonts w:ascii="Arial" w:eastAsia="Arial" w:hAnsi="Arial" w:cs="Arial"/>
                <w:spacing w:val="16"/>
              </w:rPr>
              <w:t xml:space="preserve"> </w:t>
            </w:r>
            <w:r>
              <w:rPr>
                <w:rFonts w:ascii="Arial" w:eastAsia="Arial" w:hAnsi="Arial" w:cs="Arial"/>
                <w:spacing w:val="-3"/>
              </w:rPr>
              <w:t>used</w:t>
            </w:r>
            <w:r>
              <w:rPr>
                <w:rFonts w:ascii="Arial" w:eastAsia="Arial" w:hAnsi="Arial" w:cs="Arial"/>
                <w:spacing w:val="14"/>
              </w:rPr>
              <w:t xml:space="preserve"> </w:t>
            </w:r>
            <w:r>
              <w:rPr>
                <w:rFonts w:ascii="Arial" w:eastAsia="Arial" w:hAnsi="Arial" w:cs="Arial"/>
                <w:spacing w:val="-1"/>
              </w:rPr>
              <w:t>in</w:t>
            </w:r>
            <w:r>
              <w:rPr>
                <w:rFonts w:ascii="Arial" w:eastAsia="Arial" w:hAnsi="Arial" w:cs="Arial"/>
                <w:spacing w:val="16"/>
              </w:rPr>
              <w:t xml:space="preserve"> </w:t>
            </w:r>
            <w:r>
              <w:rPr>
                <w:rFonts w:ascii="Arial" w:eastAsia="Arial" w:hAnsi="Arial" w:cs="Arial"/>
                <w:spacing w:val="-1"/>
              </w:rPr>
              <w:t>connection</w:t>
            </w:r>
            <w:r>
              <w:rPr>
                <w:rFonts w:ascii="Arial" w:eastAsia="Arial" w:hAnsi="Arial" w:cs="Arial"/>
                <w:spacing w:val="16"/>
              </w:rPr>
              <w:t xml:space="preserve"> </w:t>
            </w:r>
            <w:r>
              <w:rPr>
                <w:rFonts w:ascii="Arial" w:eastAsia="Arial" w:hAnsi="Arial" w:cs="Arial"/>
                <w:spacing w:val="-2"/>
              </w:rPr>
              <w:t>with</w:t>
            </w:r>
            <w:r>
              <w:rPr>
                <w:rFonts w:ascii="Arial" w:eastAsia="Arial" w:hAnsi="Arial" w:cs="Arial"/>
                <w:spacing w:val="16"/>
              </w:rPr>
              <w:t xml:space="preserve"> </w:t>
            </w:r>
            <w:r>
              <w:rPr>
                <w:rFonts w:ascii="Arial" w:eastAsia="Arial" w:hAnsi="Arial" w:cs="Arial"/>
              </w:rPr>
              <w:t>the</w:t>
            </w:r>
            <w:r>
              <w:rPr>
                <w:rFonts w:ascii="Arial" w:eastAsia="Arial" w:hAnsi="Arial" w:cs="Arial"/>
                <w:spacing w:val="17"/>
              </w:rPr>
              <w:t xml:space="preserve"> </w:t>
            </w:r>
            <w:r>
              <w:rPr>
                <w:rFonts w:ascii="Arial" w:eastAsia="Arial" w:hAnsi="Arial" w:cs="Arial"/>
                <w:spacing w:val="-1"/>
              </w:rPr>
              <w:t>provision</w:t>
            </w:r>
            <w:r>
              <w:rPr>
                <w:rFonts w:ascii="Arial" w:eastAsia="Arial" w:hAnsi="Arial" w:cs="Arial"/>
                <w:spacing w:val="17"/>
              </w:rPr>
              <w:t xml:space="preserve"> </w:t>
            </w:r>
            <w:r>
              <w:rPr>
                <w:rFonts w:ascii="Arial" w:eastAsia="Arial" w:hAnsi="Arial" w:cs="Arial"/>
                <w:spacing w:val="-2"/>
              </w:rPr>
              <w:t>of</w:t>
            </w:r>
            <w:r>
              <w:rPr>
                <w:rFonts w:ascii="Arial" w:eastAsia="Arial" w:hAnsi="Arial" w:cs="Arial"/>
                <w:spacing w:val="17"/>
              </w:rPr>
              <w:t xml:space="preserve"> </w:t>
            </w:r>
            <w:r>
              <w:rPr>
                <w:rFonts w:ascii="Arial" w:eastAsia="Arial" w:hAnsi="Arial" w:cs="Arial"/>
                <w:spacing w:val="-2"/>
              </w:rPr>
              <w:t>the</w:t>
            </w:r>
            <w:r>
              <w:rPr>
                <w:rFonts w:ascii="Arial" w:eastAsia="Arial" w:hAnsi="Arial" w:cs="Arial"/>
                <w:spacing w:val="22"/>
              </w:rPr>
              <w:t xml:space="preserve"> </w:t>
            </w:r>
            <w:r>
              <w:rPr>
                <w:rFonts w:ascii="Arial" w:eastAsia="Arial" w:hAnsi="Arial" w:cs="Arial"/>
                <w:spacing w:val="-1"/>
              </w:rPr>
              <w:t>Goods</w:t>
            </w:r>
            <w:r>
              <w:rPr>
                <w:rFonts w:ascii="Arial" w:eastAsia="Arial" w:hAnsi="Arial" w:cs="Arial"/>
                <w:spacing w:val="1"/>
              </w:rPr>
              <w:t xml:space="preserve"> </w:t>
            </w:r>
            <w:r>
              <w:rPr>
                <w:rFonts w:ascii="Arial" w:eastAsia="Arial" w:hAnsi="Arial" w:cs="Arial"/>
                <w:spacing w:val="-1"/>
              </w:rPr>
              <w:t>and/or Services;</w:t>
            </w:r>
          </w:p>
        </w:tc>
      </w:tr>
      <w:tr w:rsidR="008918FA" w:rsidTr="005D2B81">
        <w:trPr>
          <w:trHeight w:hRule="exact" w:val="277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581"/>
              <w:rPr>
                <w:rFonts w:ascii="Arial" w:eastAsia="Arial" w:hAnsi="Arial" w:cs="Arial"/>
              </w:rPr>
            </w:pPr>
            <w:r>
              <w:rPr>
                <w:rFonts w:ascii="Arial"/>
                <w:b/>
                <w:spacing w:val="-1"/>
              </w:rPr>
              <w:t>"Customer</w:t>
            </w:r>
            <w:r>
              <w:rPr>
                <w:rFonts w:ascii="Arial"/>
                <w:b/>
                <w:spacing w:val="22"/>
              </w:rPr>
              <w:t xml:space="preserve"> </w:t>
            </w:r>
            <w:r>
              <w:rPr>
                <w:rFonts w:ascii="Arial"/>
                <w:b/>
                <w:spacing w:val="-1"/>
              </w:rPr>
              <w:t>Background</w:t>
            </w:r>
            <w:r>
              <w:rPr>
                <w:rFonts w:ascii="Arial"/>
                <w:b/>
              </w:rPr>
              <w:t xml:space="preserve"> </w:t>
            </w:r>
            <w:r>
              <w:rPr>
                <w:rFonts w:ascii="Arial"/>
                <w:b/>
                <w:spacing w:val="-1"/>
              </w:rPr>
              <w:t>IPR"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2"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51"/>
              </w:numPr>
              <w:tabs>
                <w:tab w:val="left" w:pos="820"/>
              </w:tabs>
              <w:spacing w:before="119"/>
              <w:ind w:right="99" w:hanging="544"/>
              <w:jc w:val="both"/>
              <w:rPr>
                <w:rFonts w:ascii="Arial" w:eastAsia="Arial" w:hAnsi="Arial" w:cs="Arial"/>
              </w:rPr>
            </w:pPr>
            <w:r>
              <w:rPr>
                <w:rFonts w:ascii="Arial"/>
                <w:spacing w:val="-1"/>
              </w:rPr>
              <w:t>IPRs</w:t>
            </w:r>
            <w:r>
              <w:rPr>
                <w:rFonts w:ascii="Arial"/>
                <w:spacing w:val="51"/>
              </w:rPr>
              <w:t xml:space="preserve"> </w:t>
            </w:r>
            <w:r>
              <w:rPr>
                <w:rFonts w:ascii="Arial"/>
                <w:spacing w:val="-2"/>
              </w:rPr>
              <w:t>owned</w:t>
            </w:r>
            <w:r>
              <w:rPr>
                <w:rFonts w:ascii="Arial"/>
                <w:spacing w:val="51"/>
              </w:rPr>
              <w:t xml:space="preserve"> </w:t>
            </w:r>
            <w:r>
              <w:rPr>
                <w:rFonts w:ascii="Arial"/>
                <w:spacing w:val="1"/>
              </w:rPr>
              <w:t>by</w:t>
            </w:r>
            <w:r>
              <w:rPr>
                <w:rFonts w:ascii="Arial"/>
                <w:spacing w:val="49"/>
              </w:rPr>
              <w:t xml:space="preserve"> </w:t>
            </w:r>
            <w:r>
              <w:rPr>
                <w:rFonts w:ascii="Arial"/>
              </w:rPr>
              <w:t>the</w:t>
            </w:r>
            <w:r>
              <w:rPr>
                <w:rFonts w:ascii="Arial"/>
                <w:spacing w:val="51"/>
              </w:rPr>
              <w:t xml:space="preserve"> </w:t>
            </w:r>
            <w:r>
              <w:rPr>
                <w:rFonts w:ascii="Arial"/>
                <w:spacing w:val="-1"/>
              </w:rPr>
              <w:t>Customer</w:t>
            </w:r>
            <w:r>
              <w:rPr>
                <w:rFonts w:ascii="Arial"/>
                <w:spacing w:val="52"/>
              </w:rPr>
              <w:t xml:space="preserve"> </w:t>
            </w:r>
            <w:r>
              <w:rPr>
                <w:rFonts w:ascii="Arial"/>
                <w:spacing w:val="-1"/>
              </w:rPr>
              <w:t>before</w:t>
            </w:r>
            <w:r>
              <w:rPr>
                <w:rFonts w:ascii="Arial"/>
                <w:spacing w:val="51"/>
              </w:rPr>
              <w:t xml:space="preserve"> </w:t>
            </w:r>
            <w:r>
              <w:rPr>
                <w:rFonts w:ascii="Arial"/>
              </w:rPr>
              <w:t>the</w:t>
            </w:r>
            <w:r>
              <w:rPr>
                <w:rFonts w:ascii="Arial"/>
                <w:spacing w:val="52"/>
              </w:rPr>
              <w:t xml:space="preserve"> </w:t>
            </w:r>
            <w:r>
              <w:rPr>
                <w:rFonts w:ascii="Arial"/>
                <w:spacing w:val="-2"/>
              </w:rPr>
              <w:t>Call</w:t>
            </w:r>
            <w:r>
              <w:rPr>
                <w:rFonts w:ascii="Arial"/>
                <w:spacing w:val="47"/>
              </w:rPr>
              <w:t xml:space="preserve"> </w:t>
            </w:r>
            <w:r>
              <w:rPr>
                <w:rFonts w:ascii="Arial"/>
                <w:spacing w:val="-1"/>
              </w:rPr>
              <w:t>Off</w:t>
            </w:r>
            <w:r>
              <w:rPr>
                <w:rFonts w:ascii="Arial"/>
                <w:spacing w:val="33"/>
              </w:rPr>
              <w:t xml:space="preserve"> </w:t>
            </w:r>
            <w:r>
              <w:rPr>
                <w:rFonts w:ascii="Arial"/>
                <w:spacing w:val="-1"/>
              </w:rPr>
              <w:t>Commencement</w:t>
            </w:r>
            <w:r>
              <w:rPr>
                <w:rFonts w:ascii="Arial"/>
                <w:spacing w:val="40"/>
              </w:rPr>
              <w:t xml:space="preserve"> </w:t>
            </w:r>
            <w:r>
              <w:rPr>
                <w:rFonts w:ascii="Arial"/>
                <w:spacing w:val="-1"/>
              </w:rPr>
              <w:t>Date,</w:t>
            </w:r>
            <w:r>
              <w:rPr>
                <w:rFonts w:ascii="Arial"/>
                <w:spacing w:val="42"/>
              </w:rPr>
              <w:t xml:space="preserve"> </w:t>
            </w:r>
            <w:r>
              <w:rPr>
                <w:rFonts w:ascii="Arial"/>
                <w:spacing w:val="-2"/>
              </w:rPr>
              <w:t>including</w:t>
            </w:r>
            <w:r>
              <w:rPr>
                <w:rFonts w:ascii="Arial"/>
                <w:spacing w:val="43"/>
              </w:rPr>
              <w:t xml:space="preserve"> </w:t>
            </w:r>
            <w:r>
              <w:rPr>
                <w:rFonts w:ascii="Arial"/>
                <w:spacing w:val="-1"/>
              </w:rPr>
              <w:t>IPRs</w:t>
            </w:r>
            <w:r>
              <w:rPr>
                <w:rFonts w:ascii="Arial"/>
                <w:spacing w:val="41"/>
              </w:rPr>
              <w:t xml:space="preserve"> </w:t>
            </w:r>
            <w:r>
              <w:rPr>
                <w:rFonts w:ascii="Arial"/>
                <w:spacing w:val="-1"/>
              </w:rPr>
              <w:t>contained</w:t>
            </w:r>
            <w:r>
              <w:rPr>
                <w:rFonts w:ascii="Arial"/>
                <w:spacing w:val="38"/>
              </w:rPr>
              <w:t xml:space="preserve"> </w:t>
            </w:r>
            <w:r>
              <w:rPr>
                <w:rFonts w:ascii="Arial"/>
                <w:spacing w:val="-1"/>
              </w:rPr>
              <w:t>in</w:t>
            </w:r>
            <w:r>
              <w:rPr>
                <w:rFonts w:ascii="Arial"/>
                <w:spacing w:val="25"/>
              </w:rPr>
              <w:t xml:space="preserve"> </w:t>
            </w:r>
            <w:r>
              <w:rPr>
                <w:rFonts w:ascii="Arial"/>
                <w:spacing w:val="-1"/>
              </w:rPr>
              <w:t>any</w:t>
            </w:r>
            <w:r>
              <w:rPr>
                <w:rFonts w:ascii="Arial"/>
                <w:spacing w:val="44"/>
              </w:rPr>
              <w:t xml:space="preserve"> </w:t>
            </w:r>
            <w:r>
              <w:rPr>
                <w:rFonts w:ascii="Arial"/>
                <w:spacing w:val="-1"/>
              </w:rPr>
              <w:t>of</w:t>
            </w:r>
            <w:r>
              <w:rPr>
                <w:rFonts w:ascii="Arial"/>
                <w:spacing w:val="49"/>
              </w:rPr>
              <w:t xml:space="preserve"> </w:t>
            </w:r>
            <w:r>
              <w:rPr>
                <w:rFonts w:ascii="Arial"/>
              </w:rPr>
              <w:t>the</w:t>
            </w:r>
            <w:r>
              <w:rPr>
                <w:rFonts w:ascii="Arial"/>
                <w:spacing w:val="46"/>
              </w:rPr>
              <w:t xml:space="preserve"> </w:t>
            </w:r>
            <w:r>
              <w:rPr>
                <w:rFonts w:ascii="Arial"/>
                <w:spacing w:val="-1"/>
              </w:rPr>
              <w:t>Customer's</w:t>
            </w:r>
            <w:r>
              <w:rPr>
                <w:rFonts w:ascii="Arial"/>
                <w:spacing w:val="44"/>
              </w:rPr>
              <w:t xml:space="preserve"> </w:t>
            </w:r>
            <w:r>
              <w:rPr>
                <w:rFonts w:ascii="Arial"/>
                <w:spacing w:val="-2"/>
              </w:rPr>
              <w:t>Know-How,</w:t>
            </w:r>
            <w:r>
              <w:rPr>
                <w:rFonts w:ascii="Arial"/>
                <w:spacing w:val="47"/>
              </w:rPr>
              <w:t xml:space="preserve"> </w:t>
            </w:r>
            <w:r>
              <w:rPr>
                <w:rFonts w:ascii="Arial"/>
                <w:spacing w:val="-1"/>
              </w:rPr>
              <w:t>documentation,</w:t>
            </w:r>
            <w:r>
              <w:rPr>
                <w:rFonts w:ascii="Arial"/>
                <w:spacing w:val="38"/>
              </w:rPr>
              <w:t xml:space="preserve"> </w:t>
            </w:r>
            <w:r>
              <w:rPr>
                <w:rFonts w:ascii="Arial"/>
                <w:spacing w:val="-1"/>
              </w:rPr>
              <w:t>software,</w:t>
            </w:r>
            <w:r>
              <w:rPr>
                <w:rFonts w:ascii="Arial"/>
              </w:rPr>
              <w:t xml:space="preserve"> </w:t>
            </w:r>
            <w:r>
              <w:rPr>
                <w:rFonts w:ascii="Arial"/>
                <w:spacing w:val="-1"/>
              </w:rPr>
              <w:t>processes</w:t>
            </w:r>
            <w:r>
              <w:rPr>
                <w:rFonts w:ascii="Arial"/>
                <w:spacing w:val="1"/>
              </w:rPr>
              <w:t xml:space="preserve"> </w:t>
            </w:r>
            <w:r>
              <w:rPr>
                <w:rFonts w:ascii="Arial"/>
                <w:spacing w:val="-1"/>
              </w:rPr>
              <w:t>and</w:t>
            </w:r>
            <w:r>
              <w:rPr>
                <w:rFonts w:ascii="Arial"/>
                <w:spacing w:val="-4"/>
              </w:rPr>
              <w:t xml:space="preserve"> </w:t>
            </w:r>
            <w:r>
              <w:rPr>
                <w:rFonts w:ascii="Arial"/>
                <w:spacing w:val="-1"/>
              </w:rPr>
              <w:t>procedures;</w:t>
            </w:r>
          </w:p>
          <w:p w:rsidR="008918FA" w:rsidRDefault="008918FA" w:rsidP="005D2B81">
            <w:pPr>
              <w:pStyle w:val="ListParagraph"/>
              <w:numPr>
                <w:ilvl w:val="0"/>
                <w:numId w:val="51"/>
              </w:numPr>
              <w:tabs>
                <w:tab w:val="left" w:pos="820"/>
              </w:tabs>
              <w:spacing w:before="121"/>
              <w:ind w:right="102" w:hanging="544"/>
              <w:jc w:val="both"/>
              <w:rPr>
                <w:rFonts w:ascii="Arial" w:eastAsia="Arial" w:hAnsi="Arial" w:cs="Arial"/>
              </w:rPr>
            </w:pPr>
            <w:r>
              <w:rPr>
                <w:rFonts w:ascii="Arial"/>
                <w:spacing w:val="-1"/>
              </w:rPr>
              <w:t>IPRs</w:t>
            </w:r>
            <w:r>
              <w:rPr>
                <w:rFonts w:ascii="Arial"/>
                <w:spacing w:val="13"/>
              </w:rPr>
              <w:t xml:space="preserve"> </w:t>
            </w:r>
            <w:r>
              <w:rPr>
                <w:rFonts w:ascii="Arial"/>
                <w:spacing w:val="-1"/>
              </w:rPr>
              <w:t>created</w:t>
            </w:r>
            <w:r>
              <w:rPr>
                <w:rFonts w:ascii="Arial"/>
                <w:spacing w:val="12"/>
              </w:rPr>
              <w:t xml:space="preserve"> </w:t>
            </w:r>
            <w:r>
              <w:rPr>
                <w:rFonts w:ascii="Arial"/>
                <w:spacing w:val="-1"/>
              </w:rPr>
              <w:t>by</w:t>
            </w:r>
            <w:r>
              <w:rPr>
                <w:rFonts w:ascii="Arial"/>
                <w:spacing w:val="10"/>
              </w:rPr>
              <w:t xml:space="preserve"> </w:t>
            </w:r>
            <w:r>
              <w:rPr>
                <w:rFonts w:ascii="Arial"/>
              </w:rPr>
              <w:t>the</w:t>
            </w:r>
            <w:r>
              <w:rPr>
                <w:rFonts w:ascii="Arial"/>
                <w:spacing w:val="12"/>
              </w:rPr>
              <w:t xml:space="preserve"> </w:t>
            </w:r>
            <w:r>
              <w:rPr>
                <w:rFonts w:ascii="Arial"/>
                <w:spacing w:val="-1"/>
              </w:rPr>
              <w:t>Customer</w:t>
            </w:r>
            <w:r>
              <w:rPr>
                <w:rFonts w:ascii="Arial"/>
                <w:spacing w:val="14"/>
              </w:rPr>
              <w:t xml:space="preserve"> </w:t>
            </w:r>
            <w:r>
              <w:rPr>
                <w:rFonts w:ascii="Arial"/>
                <w:spacing w:val="-1"/>
              </w:rPr>
              <w:t>independently</w:t>
            </w:r>
            <w:r>
              <w:rPr>
                <w:rFonts w:ascii="Arial"/>
                <w:spacing w:val="10"/>
              </w:rPr>
              <w:t xml:space="preserve"> </w:t>
            </w:r>
            <w:r>
              <w:rPr>
                <w:rFonts w:ascii="Arial"/>
                <w:spacing w:val="-1"/>
              </w:rPr>
              <w:t>of</w:t>
            </w:r>
            <w:r>
              <w:rPr>
                <w:rFonts w:ascii="Arial"/>
                <w:spacing w:val="16"/>
              </w:rPr>
              <w:t xml:space="preserve"> </w:t>
            </w:r>
            <w:r>
              <w:rPr>
                <w:rFonts w:ascii="Arial"/>
                <w:spacing w:val="-2"/>
              </w:rPr>
              <w:t>this</w:t>
            </w:r>
            <w:r>
              <w:rPr>
                <w:rFonts w:ascii="Arial"/>
                <w:spacing w:val="27"/>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Contract;</w:t>
            </w:r>
            <w:r>
              <w:rPr>
                <w:rFonts w:ascii="Arial"/>
              </w:rPr>
              <w:t xml:space="preserve"> </w:t>
            </w:r>
            <w:r>
              <w:rPr>
                <w:rFonts w:ascii="Arial"/>
                <w:spacing w:val="-1"/>
              </w:rPr>
              <w:t>and/or</w:t>
            </w:r>
          </w:p>
          <w:p w:rsidR="008918FA" w:rsidRDefault="008918FA" w:rsidP="005D2B81">
            <w:pPr>
              <w:pStyle w:val="ListParagraph"/>
              <w:numPr>
                <w:ilvl w:val="0"/>
                <w:numId w:val="51"/>
              </w:numPr>
              <w:tabs>
                <w:tab w:val="left" w:pos="820"/>
              </w:tabs>
              <w:spacing w:before="121"/>
              <w:ind w:right="99" w:hanging="544"/>
              <w:jc w:val="both"/>
              <w:rPr>
                <w:rFonts w:ascii="Arial" w:eastAsia="Arial" w:hAnsi="Arial" w:cs="Arial"/>
              </w:rPr>
            </w:pPr>
            <w:r>
              <w:rPr>
                <w:rFonts w:ascii="Arial"/>
                <w:spacing w:val="-2"/>
              </w:rPr>
              <w:t>Crown</w:t>
            </w:r>
            <w:r>
              <w:rPr>
                <w:rFonts w:ascii="Arial"/>
                <w:spacing w:val="42"/>
              </w:rPr>
              <w:t xml:space="preserve"> </w:t>
            </w:r>
            <w:r>
              <w:rPr>
                <w:rFonts w:ascii="Arial"/>
                <w:spacing w:val="-1"/>
              </w:rPr>
              <w:t>Copyright</w:t>
            </w:r>
            <w:r>
              <w:rPr>
                <w:rFonts w:ascii="Arial"/>
                <w:spacing w:val="44"/>
              </w:rPr>
              <w:t xml:space="preserve"> </w:t>
            </w:r>
            <w:r>
              <w:rPr>
                <w:rFonts w:ascii="Arial"/>
                <w:spacing w:val="-1"/>
              </w:rPr>
              <w:t>which</w:t>
            </w:r>
            <w:r>
              <w:rPr>
                <w:rFonts w:ascii="Arial"/>
                <w:spacing w:val="42"/>
              </w:rPr>
              <w:t xml:space="preserve"> </w:t>
            </w:r>
            <w:r>
              <w:rPr>
                <w:rFonts w:ascii="Arial"/>
                <w:spacing w:val="-1"/>
              </w:rPr>
              <w:t>is</w:t>
            </w:r>
            <w:r>
              <w:rPr>
                <w:rFonts w:ascii="Arial"/>
                <w:spacing w:val="43"/>
              </w:rPr>
              <w:t xml:space="preserve"> </w:t>
            </w:r>
            <w:r>
              <w:rPr>
                <w:rFonts w:ascii="Arial"/>
                <w:spacing w:val="-1"/>
              </w:rPr>
              <w:t>not</w:t>
            </w:r>
            <w:r>
              <w:rPr>
                <w:rFonts w:ascii="Arial"/>
                <w:spacing w:val="44"/>
              </w:rPr>
              <w:t xml:space="preserve"> </w:t>
            </w:r>
            <w:r>
              <w:rPr>
                <w:rFonts w:ascii="Arial"/>
                <w:spacing w:val="-2"/>
              </w:rPr>
              <w:t>available</w:t>
            </w:r>
            <w:r>
              <w:rPr>
                <w:rFonts w:ascii="Arial"/>
                <w:spacing w:val="42"/>
              </w:rPr>
              <w:t xml:space="preserve"> </w:t>
            </w:r>
            <w:r>
              <w:rPr>
                <w:rFonts w:ascii="Arial"/>
              </w:rPr>
              <w:t>to</w:t>
            </w:r>
            <w:r>
              <w:rPr>
                <w:rFonts w:ascii="Arial"/>
                <w:spacing w:val="46"/>
              </w:rPr>
              <w:t xml:space="preserve"> </w:t>
            </w:r>
            <w:r>
              <w:rPr>
                <w:rFonts w:ascii="Arial"/>
                <w:spacing w:val="-1"/>
              </w:rPr>
              <w:t>the</w:t>
            </w:r>
            <w:r>
              <w:rPr>
                <w:rFonts w:ascii="Arial"/>
                <w:spacing w:val="38"/>
              </w:rPr>
              <w:t xml:space="preserve"> </w:t>
            </w:r>
            <w:r>
              <w:rPr>
                <w:rFonts w:ascii="Arial"/>
                <w:spacing w:val="-2"/>
              </w:rPr>
              <w:t>Supplier</w:t>
            </w:r>
            <w:r>
              <w:rPr>
                <w:rFonts w:ascii="Arial"/>
                <w:spacing w:val="2"/>
              </w:rPr>
              <w:t xml:space="preserve"> </w:t>
            </w:r>
            <w:r>
              <w:rPr>
                <w:rFonts w:ascii="Arial"/>
                <w:spacing w:val="-1"/>
              </w:rPr>
              <w:t>otherwise</w:t>
            </w:r>
            <w:r>
              <w:rPr>
                <w:rFonts w:ascii="Arial"/>
                <w:spacing w:val="1"/>
              </w:rPr>
              <w:t xml:space="preserve"> </w:t>
            </w:r>
            <w:r>
              <w:rPr>
                <w:rFonts w:ascii="Arial"/>
                <w:spacing w:val="-1"/>
              </w:rPr>
              <w:t>than</w:t>
            </w:r>
            <w:r>
              <w:rPr>
                <w:rFonts w:ascii="Arial"/>
                <w:spacing w:val="-2"/>
              </w:rPr>
              <w:t xml:space="preserve"> </w:t>
            </w:r>
            <w:r>
              <w:rPr>
                <w:rFonts w:ascii="Arial"/>
                <w:spacing w:val="-1"/>
              </w:rPr>
              <w:t>under 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Contract;</w:t>
            </w:r>
          </w:p>
        </w:tc>
      </w:tr>
      <w:tr w:rsidR="008918FA" w:rsidTr="001C1527">
        <w:trPr>
          <w:trHeight w:hRule="exact" w:val="1654"/>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50" w:lineRule="exact"/>
              <w:ind w:left="-6"/>
              <w:rPr>
                <w:rFonts w:ascii="Arial" w:eastAsia="Arial" w:hAnsi="Arial" w:cs="Arial"/>
              </w:rPr>
            </w:pPr>
            <w:r>
              <w:rPr>
                <w:rFonts w:ascii="Arial"/>
                <w:b/>
                <w:spacing w:val="-1"/>
              </w:rPr>
              <w:t>"Customer</w:t>
            </w:r>
            <w:r>
              <w:rPr>
                <w:rFonts w:ascii="Arial"/>
                <w:b/>
                <w:spacing w:val="1"/>
              </w:rPr>
              <w:t xml:space="preserve"> </w:t>
            </w:r>
            <w:r>
              <w:rPr>
                <w:rFonts w:ascii="Arial"/>
                <w:b/>
                <w:spacing w:val="-2"/>
              </w:rPr>
              <w:t>Cause"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27"/>
              </w:rPr>
              <w:t xml:space="preserve"> </w:t>
            </w:r>
            <w:r>
              <w:rPr>
                <w:rFonts w:ascii="Arial"/>
                <w:spacing w:val="-1"/>
              </w:rPr>
              <w:t>any</w:t>
            </w:r>
            <w:r>
              <w:rPr>
                <w:rFonts w:ascii="Arial"/>
                <w:spacing w:val="25"/>
              </w:rPr>
              <w:t xml:space="preserve"> </w:t>
            </w:r>
            <w:r>
              <w:rPr>
                <w:rFonts w:ascii="Arial"/>
                <w:spacing w:val="-1"/>
              </w:rPr>
              <w:t>breach</w:t>
            </w:r>
            <w:r>
              <w:rPr>
                <w:rFonts w:ascii="Arial"/>
                <w:spacing w:val="27"/>
              </w:rPr>
              <w:t xml:space="preserve"> </w:t>
            </w:r>
            <w:r>
              <w:rPr>
                <w:rFonts w:ascii="Arial"/>
                <w:spacing w:val="-1"/>
              </w:rPr>
              <w:t>of</w:t>
            </w:r>
            <w:r>
              <w:rPr>
                <w:rFonts w:ascii="Arial"/>
                <w:spacing w:val="30"/>
              </w:rPr>
              <w:t xml:space="preserve"> </w:t>
            </w:r>
            <w:r>
              <w:rPr>
                <w:rFonts w:ascii="Arial"/>
                <w:spacing w:val="-1"/>
              </w:rPr>
              <w:t>the</w:t>
            </w:r>
            <w:r>
              <w:rPr>
                <w:rFonts w:ascii="Arial"/>
                <w:spacing w:val="27"/>
              </w:rPr>
              <w:t xml:space="preserve"> </w:t>
            </w:r>
            <w:r>
              <w:rPr>
                <w:rFonts w:ascii="Arial"/>
                <w:spacing w:val="-1"/>
              </w:rPr>
              <w:t>obligations</w:t>
            </w:r>
            <w:r>
              <w:rPr>
                <w:rFonts w:ascii="Arial"/>
                <w:spacing w:val="29"/>
              </w:rPr>
              <w:t xml:space="preserve"> </w:t>
            </w:r>
            <w:r>
              <w:rPr>
                <w:rFonts w:ascii="Arial"/>
                <w:spacing w:val="-2"/>
              </w:rPr>
              <w:t>of</w:t>
            </w:r>
            <w:r>
              <w:rPr>
                <w:rFonts w:ascii="Arial"/>
                <w:spacing w:val="30"/>
              </w:rPr>
              <w:t xml:space="preserve"> </w:t>
            </w:r>
            <w:r>
              <w:rPr>
                <w:rFonts w:ascii="Arial"/>
              </w:rPr>
              <w:t>the</w:t>
            </w:r>
            <w:r>
              <w:rPr>
                <w:rFonts w:ascii="Arial"/>
                <w:spacing w:val="27"/>
              </w:rPr>
              <w:t xml:space="preserve"> </w:t>
            </w:r>
            <w:r>
              <w:rPr>
                <w:rFonts w:ascii="Arial"/>
                <w:spacing w:val="-1"/>
              </w:rPr>
              <w:t>Customer</w:t>
            </w:r>
            <w:r>
              <w:rPr>
                <w:rFonts w:ascii="Arial"/>
                <w:spacing w:val="28"/>
              </w:rPr>
              <w:t xml:space="preserve"> </w:t>
            </w:r>
            <w:r>
              <w:rPr>
                <w:rFonts w:ascii="Arial"/>
                <w:spacing w:val="-2"/>
              </w:rPr>
              <w:t>or</w:t>
            </w:r>
            <w:r>
              <w:rPr>
                <w:rFonts w:ascii="Arial"/>
                <w:spacing w:val="27"/>
              </w:rPr>
              <w:t xml:space="preserve"> </w:t>
            </w:r>
            <w:r>
              <w:rPr>
                <w:rFonts w:ascii="Arial"/>
                <w:spacing w:val="-1"/>
              </w:rPr>
              <w:t>any</w:t>
            </w:r>
            <w:r>
              <w:rPr>
                <w:rFonts w:ascii="Arial"/>
                <w:spacing w:val="20"/>
              </w:rPr>
              <w:t xml:space="preserve"> </w:t>
            </w:r>
            <w:r>
              <w:rPr>
                <w:rFonts w:ascii="Arial"/>
                <w:spacing w:val="-1"/>
              </w:rPr>
              <w:t>other</w:t>
            </w:r>
            <w:r>
              <w:rPr>
                <w:rFonts w:ascii="Arial"/>
                <w:spacing w:val="23"/>
              </w:rPr>
              <w:t xml:space="preserve"> </w:t>
            </w:r>
            <w:r>
              <w:rPr>
                <w:rFonts w:ascii="Arial"/>
                <w:spacing w:val="-1"/>
              </w:rPr>
              <w:t>default,</w:t>
            </w:r>
            <w:r>
              <w:rPr>
                <w:rFonts w:ascii="Arial"/>
                <w:spacing w:val="23"/>
              </w:rPr>
              <w:t xml:space="preserve"> </w:t>
            </w:r>
            <w:r>
              <w:rPr>
                <w:rFonts w:ascii="Arial"/>
                <w:spacing w:val="-1"/>
              </w:rPr>
              <w:t>act,</w:t>
            </w:r>
            <w:r>
              <w:rPr>
                <w:rFonts w:ascii="Arial"/>
                <w:spacing w:val="23"/>
              </w:rPr>
              <w:t xml:space="preserve"> </w:t>
            </w:r>
            <w:r>
              <w:rPr>
                <w:rFonts w:ascii="Arial"/>
                <w:spacing w:val="-2"/>
              </w:rPr>
              <w:t>omission,</w:t>
            </w:r>
            <w:r>
              <w:rPr>
                <w:rFonts w:ascii="Arial"/>
                <w:spacing w:val="23"/>
              </w:rPr>
              <w:t xml:space="preserve"> </w:t>
            </w:r>
            <w:r>
              <w:rPr>
                <w:rFonts w:ascii="Arial"/>
                <w:spacing w:val="-1"/>
              </w:rPr>
              <w:t>negligence</w:t>
            </w:r>
            <w:r>
              <w:rPr>
                <w:rFonts w:ascii="Arial"/>
                <w:spacing w:val="20"/>
              </w:rPr>
              <w:t xml:space="preserve"> </w:t>
            </w:r>
            <w:r>
              <w:rPr>
                <w:rFonts w:ascii="Arial"/>
                <w:spacing w:val="-1"/>
              </w:rPr>
              <w:t>or</w:t>
            </w:r>
            <w:r>
              <w:rPr>
                <w:rFonts w:ascii="Arial"/>
                <w:spacing w:val="23"/>
              </w:rPr>
              <w:t xml:space="preserve"> </w:t>
            </w:r>
            <w:r>
              <w:rPr>
                <w:rFonts w:ascii="Arial"/>
                <w:spacing w:val="-1"/>
              </w:rPr>
              <w:t>statement</w:t>
            </w:r>
            <w:r>
              <w:rPr>
                <w:rFonts w:ascii="Arial"/>
                <w:spacing w:val="37"/>
              </w:rPr>
              <w:t xml:space="preserve"> </w:t>
            </w:r>
            <w:r>
              <w:rPr>
                <w:rFonts w:ascii="Arial"/>
                <w:spacing w:val="-2"/>
              </w:rPr>
              <w:t>of</w:t>
            </w:r>
            <w:r>
              <w:rPr>
                <w:rFonts w:ascii="Arial"/>
                <w:spacing w:val="57"/>
              </w:rPr>
              <w:t xml:space="preserve"> </w:t>
            </w:r>
            <w:r>
              <w:rPr>
                <w:rFonts w:ascii="Arial"/>
              </w:rPr>
              <w:t>the</w:t>
            </w:r>
            <w:r>
              <w:rPr>
                <w:rFonts w:ascii="Arial"/>
                <w:spacing w:val="51"/>
              </w:rPr>
              <w:t xml:space="preserve"> </w:t>
            </w:r>
            <w:r>
              <w:rPr>
                <w:rFonts w:ascii="Arial"/>
                <w:spacing w:val="-1"/>
              </w:rPr>
              <w:t>Customer,</w:t>
            </w:r>
            <w:r>
              <w:rPr>
                <w:rFonts w:ascii="Arial"/>
                <w:spacing w:val="55"/>
              </w:rPr>
              <w:t xml:space="preserve"> </w:t>
            </w:r>
            <w:r>
              <w:rPr>
                <w:rFonts w:ascii="Arial"/>
                <w:spacing w:val="-2"/>
              </w:rPr>
              <w:t>of</w:t>
            </w:r>
            <w:r>
              <w:rPr>
                <w:rFonts w:ascii="Arial"/>
                <w:spacing w:val="55"/>
              </w:rPr>
              <w:t xml:space="preserve"> </w:t>
            </w:r>
            <w:r>
              <w:rPr>
                <w:rFonts w:ascii="Arial"/>
                <w:spacing w:val="-1"/>
              </w:rPr>
              <w:t>its</w:t>
            </w:r>
            <w:r>
              <w:rPr>
                <w:rFonts w:ascii="Arial"/>
                <w:spacing w:val="51"/>
              </w:rPr>
              <w:t xml:space="preserve"> </w:t>
            </w:r>
            <w:r>
              <w:rPr>
                <w:rFonts w:ascii="Arial"/>
                <w:spacing w:val="-2"/>
              </w:rPr>
              <w:t>employees,</w:t>
            </w:r>
            <w:r>
              <w:rPr>
                <w:rFonts w:ascii="Arial"/>
                <w:spacing w:val="55"/>
              </w:rPr>
              <w:t xml:space="preserve"> </w:t>
            </w:r>
            <w:r>
              <w:rPr>
                <w:rFonts w:ascii="Arial"/>
                <w:spacing w:val="-1"/>
              </w:rPr>
              <w:t>servants,</w:t>
            </w:r>
            <w:r>
              <w:rPr>
                <w:rFonts w:ascii="Arial"/>
                <w:spacing w:val="53"/>
              </w:rPr>
              <w:t xml:space="preserve"> </w:t>
            </w:r>
            <w:r>
              <w:rPr>
                <w:rFonts w:ascii="Arial"/>
                <w:spacing w:val="-1"/>
              </w:rPr>
              <w:t>agents</w:t>
            </w:r>
            <w:r>
              <w:rPr>
                <w:rFonts w:ascii="Arial"/>
                <w:spacing w:val="53"/>
              </w:rPr>
              <w:t xml:space="preserve"> </w:t>
            </w:r>
            <w:r>
              <w:rPr>
                <w:rFonts w:ascii="Arial"/>
                <w:spacing w:val="-1"/>
              </w:rPr>
              <w:t>in</w:t>
            </w:r>
            <w:r>
              <w:rPr>
                <w:rFonts w:ascii="Arial"/>
                <w:spacing w:val="37"/>
              </w:rPr>
              <w:t xml:space="preserve"> </w:t>
            </w:r>
            <w:r>
              <w:rPr>
                <w:rFonts w:ascii="Arial"/>
                <w:spacing w:val="-1"/>
              </w:rPr>
              <w:t>connection</w:t>
            </w:r>
            <w:r>
              <w:rPr>
                <w:rFonts w:ascii="Arial"/>
                <w:spacing w:val="17"/>
              </w:rPr>
              <w:t xml:space="preserve"> </w:t>
            </w:r>
            <w:r>
              <w:rPr>
                <w:rFonts w:ascii="Arial"/>
                <w:spacing w:val="-2"/>
              </w:rPr>
              <w:t>with</w:t>
            </w:r>
            <w:r>
              <w:rPr>
                <w:rFonts w:ascii="Arial"/>
                <w:spacing w:val="17"/>
              </w:rPr>
              <w:t xml:space="preserve"> </w:t>
            </w:r>
            <w:r>
              <w:rPr>
                <w:rFonts w:ascii="Arial"/>
                <w:spacing w:val="-1"/>
              </w:rPr>
              <w:t>or</w:t>
            </w:r>
            <w:r>
              <w:rPr>
                <w:rFonts w:ascii="Arial"/>
                <w:spacing w:val="21"/>
              </w:rPr>
              <w:t xml:space="preserve"> </w:t>
            </w:r>
            <w:r>
              <w:rPr>
                <w:rFonts w:ascii="Arial"/>
                <w:spacing w:val="-1"/>
              </w:rPr>
              <w:t>in</w:t>
            </w:r>
            <w:r>
              <w:rPr>
                <w:rFonts w:ascii="Arial"/>
                <w:spacing w:val="17"/>
              </w:rPr>
              <w:t xml:space="preserve"> </w:t>
            </w:r>
            <w:r>
              <w:rPr>
                <w:rFonts w:ascii="Arial"/>
                <w:spacing w:val="-1"/>
              </w:rPr>
              <w:t>relation</w:t>
            </w:r>
            <w:r>
              <w:rPr>
                <w:rFonts w:ascii="Arial"/>
                <w:spacing w:val="17"/>
              </w:rPr>
              <w:t xml:space="preserve"> </w:t>
            </w:r>
            <w:r>
              <w:rPr>
                <w:rFonts w:ascii="Arial"/>
              </w:rPr>
              <w:t>to</w:t>
            </w:r>
            <w:r>
              <w:rPr>
                <w:rFonts w:ascii="Arial"/>
                <w:spacing w:val="17"/>
              </w:rPr>
              <w:t xml:space="preserve"> </w:t>
            </w:r>
            <w:r>
              <w:rPr>
                <w:rFonts w:ascii="Arial"/>
              </w:rPr>
              <w:t>the</w:t>
            </w:r>
            <w:r>
              <w:rPr>
                <w:rFonts w:ascii="Arial"/>
                <w:spacing w:val="17"/>
              </w:rPr>
              <w:t xml:space="preserve"> </w:t>
            </w:r>
            <w:r>
              <w:rPr>
                <w:rFonts w:ascii="Arial"/>
                <w:spacing w:val="-1"/>
              </w:rPr>
              <w:t>subject-matter</w:t>
            </w:r>
            <w:r>
              <w:rPr>
                <w:rFonts w:ascii="Arial"/>
                <w:spacing w:val="19"/>
              </w:rPr>
              <w:t xml:space="preserve"> </w:t>
            </w:r>
            <w:r>
              <w:rPr>
                <w:rFonts w:ascii="Arial"/>
                <w:spacing w:val="-2"/>
              </w:rPr>
              <w:t>of</w:t>
            </w:r>
            <w:r>
              <w:rPr>
                <w:rFonts w:ascii="Arial"/>
                <w:spacing w:val="21"/>
              </w:rPr>
              <w:t xml:space="preserve"> </w:t>
            </w:r>
            <w:r>
              <w:rPr>
                <w:rFonts w:ascii="Arial"/>
                <w:spacing w:val="-1"/>
              </w:rPr>
              <w:t>this</w:t>
            </w:r>
            <w:r>
              <w:rPr>
                <w:rFonts w:ascii="Arial"/>
                <w:spacing w:val="39"/>
              </w:rPr>
              <w:t xml:space="preserve"> </w:t>
            </w:r>
            <w:r>
              <w:rPr>
                <w:rFonts w:ascii="Arial"/>
                <w:spacing w:val="-2"/>
              </w:rPr>
              <w:t>Call</w:t>
            </w:r>
            <w:r>
              <w:rPr>
                <w:rFonts w:ascii="Arial"/>
                <w:spacing w:val="12"/>
              </w:rPr>
              <w:t xml:space="preserve"> </w:t>
            </w:r>
            <w:r>
              <w:rPr>
                <w:rFonts w:ascii="Arial"/>
              </w:rPr>
              <w:t>Off</w:t>
            </w:r>
            <w:r>
              <w:rPr>
                <w:rFonts w:ascii="Arial"/>
                <w:spacing w:val="14"/>
              </w:rPr>
              <w:t xml:space="preserve"> </w:t>
            </w:r>
            <w:r>
              <w:rPr>
                <w:rFonts w:ascii="Arial"/>
                <w:spacing w:val="-1"/>
              </w:rPr>
              <w:t>Contract</w:t>
            </w:r>
            <w:r>
              <w:rPr>
                <w:rFonts w:ascii="Arial"/>
                <w:spacing w:val="14"/>
              </w:rPr>
              <w:t xml:space="preserve"> </w:t>
            </w:r>
            <w:r>
              <w:rPr>
                <w:rFonts w:ascii="Arial"/>
                <w:spacing w:val="-1"/>
              </w:rPr>
              <w:t>and</w:t>
            </w:r>
            <w:r>
              <w:rPr>
                <w:rFonts w:ascii="Arial"/>
                <w:spacing w:val="12"/>
              </w:rPr>
              <w:t xml:space="preserve"> </w:t>
            </w:r>
            <w:r>
              <w:rPr>
                <w:rFonts w:ascii="Arial"/>
                <w:spacing w:val="-1"/>
              </w:rPr>
              <w:t>in</w:t>
            </w:r>
            <w:r>
              <w:rPr>
                <w:rFonts w:ascii="Arial"/>
                <w:spacing w:val="10"/>
              </w:rPr>
              <w:t xml:space="preserve"> </w:t>
            </w:r>
            <w:r>
              <w:rPr>
                <w:rFonts w:ascii="Arial"/>
                <w:spacing w:val="-1"/>
              </w:rPr>
              <w:t>respect</w:t>
            </w:r>
            <w:r>
              <w:rPr>
                <w:rFonts w:ascii="Arial"/>
                <w:spacing w:val="14"/>
              </w:rPr>
              <w:t xml:space="preserve"> </w:t>
            </w:r>
            <w:r>
              <w:rPr>
                <w:rFonts w:ascii="Arial"/>
                <w:spacing w:val="-2"/>
              </w:rPr>
              <w:t>of</w:t>
            </w:r>
            <w:r>
              <w:rPr>
                <w:rFonts w:ascii="Arial"/>
                <w:spacing w:val="14"/>
              </w:rPr>
              <w:t xml:space="preserve"> </w:t>
            </w:r>
            <w:r>
              <w:rPr>
                <w:rFonts w:ascii="Arial"/>
                <w:spacing w:val="-2"/>
              </w:rPr>
              <w:t>which</w:t>
            </w:r>
            <w:r>
              <w:rPr>
                <w:rFonts w:ascii="Arial"/>
                <w:spacing w:val="13"/>
              </w:rPr>
              <w:t xml:space="preserve"> </w:t>
            </w:r>
            <w:r>
              <w:rPr>
                <w:rFonts w:ascii="Arial"/>
              </w:rPr>
              <w:t>the</w:t>
            </w:r>
            <w:r>
              <w:rPr>
                <w:rFonts w:ascii="Arial"/>
                <w:spacing w:val="12"/>
              </w:rPr>
              <w:t xml:space="preserve"> </w:t>
            </w:r>
            <w:r>
              <w:rPr>
                <w:rFonts w:ascii="Arial"/>
                <w:spacing w:val="-1"/>
              </w:rPr>
              <w:t>Customer</w:t>
            </w:r>
            <w:r>
              <w:rPr>
                <w:rFonts w:ascii="Arial"/>
                <w:spacing w:val="14"/>
              </w:rPr>
              <w:t xml:space="preserve"> </w:t>
            </w:r>
            <w:r>
              <w:rPr>
                <w:rFonts w:ascii="Arial"/>
                <w:spacing w:val="-1"/>
              </w:rPr>
              <w:t>is</w:t>
            </w:r>
            <w:r>
              <w:rPr>
                <w:rFonts w:ascii="Arial"/>
                <w:spacing w:val="29"/>
              </w:rPr>
              <w:t xml:space="preserve"> </w:t>
            </w:r>
            <w:r>
              <w:rPr>
                <w:rFonts w:ascii="Arial"/>
                <w:spacing w:val="-2"/>
              </w:rPr>
              <w:t>liable</w:t>
            </w:r>
            <w:r>
              <w:rPr>
                <w:rFonts w:ascii="Arial"/>
              </w:rPr>
              <w:t xml:space="preserve"> to the</w:t>
            </w:r>
            <w:r>
              <w:rPr>
                <w:rFonts w:ascii="Arial"/>
                <w:spacing w:val="-2"/>
              </w:rPr>
              <w:t xml:space="preserve"> </w:t>
            </w:r>
            <w:r>
              <w:rPr>
                <w:rFonts w:ascii="Arial"/>
                <w:spacing w:val="-1"/>
              </w:rPr>
              <w:t>Supplier;</w:t>
            </w:r>
          </w:p>
        </w:tc>
      </w:tr>
      <w:tr w:rsidR="008918FA" w:rsidTr="005D2B81">
        <w:trPr>
          <w:trHeight w:hRule="exact" w:val="390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"Customer</w:t>
            </w:r>
            <w:r>
              <w:rPr>
                <w:rFonts w:ascii="Arial"/>
                <w:b/>
                <w:spacing w:val="1"/>
              </w:rPr>
              <w:t xml:space="preserve"> </w:t>
            </w:r>
            <w:r>
              <w:rPr>
                <w:rFonts w:ascii="Arial"/>
                <w:b/>
                <w:spacing w:val="-2"/>
              </w:rPr>
              <w:t>Data"</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50"/>
              </w:numPr>
              <w:tabs>
                <w:tab w:val="left" w:pos="820"/>
              </w:tabs>
              <w:spacing w:before="121"/>
              <w:ind w:right="102" w:hanging="544"/>
              <w:jc w:val="both"/>
              <w:rPr>
                <w:rFonts w:ascii="Arial" w:eastAsia="Arial" w:hAnsi="Arial" w:cs="Arial"/>
              </w:rPr>
            </w:pPr>
            <w:r>
              <w:rPr>
                <w:rFonts w:ascii="Arial" w:eastAsia="Arial" w:hAnsi="Arial" w:cs="Arial"/>
              </w:rPr>
              <w:t>the</w:t>
            </w:r>
            <w:r>
              <w:rPr>
                <w:rFonts w:ascii="Arial" w:eastAsia="Arial" w:hAnsi="Arial" w:cs="Arial"/>
                <w:spacing w:val="59"/>
              </w:rPr>
              <w:t xml:space="preserve"> </w:t>
            </w:r>
            <w:r>
              <w:rPr>
                <w:rFonts w:ascii="Arial" w:eastAsia="Arial" w:hAnsi="Arial" w:cs="Arial"/>
                <w:spacing w:val="-1"/>
              </w:rPr>
              <w:t>data,</w:t>
            </w:r>
            <w:r>
              <w:rPr>
                <w:rFonts w:ascii="Arial" w:eastAsia="Arial" w:hAnsi="Arial" w:cs="Arial"/>
              </w:rPr>
              <w:t xml:space="preserve">  </w:t>
            </w:r>
            <w:r>
              <w:rPr>
                <w:rFonts w:ascii="Arial" w:eastAsia="Arial" w:hAnsi="Arial" w:cs="Arial"/>
                <w:spacing w:val="-1"/>
              </w:rPr>
              <w:t>text,</w:t>
            </w:r>
            <w:r>
              <w:rPr>
                <w:rFonts w:ascii="Arial" w:eastAsia="Arial" w:hAnsi="Arial" w:cs="Arial"/>
              </w:rPr>
              <w:t xml:space="preserve"> </w:t>
            </w:r>
            <w:r>
              <w:rPr>
                <w:rFonts w:ascii="Arial" w:eastAsia="Arial" w:hAnsi="Arial" w:cs="Arial"/>
                <w:spacing w:val="-1"/>
              </w:rPr>
              <w:t>drawings,</w:t>
            </w:r>
            <w:r>
              <w:rPr>
                <w:rFonts w:ascii="Arial" w:eastAsia="Arial" w:hAnsi="Arial" w:cs="Arial"/>
              </w:rPr>
              <w:t xml:space="preserve">  </w:t>
            </w:r>
            <w:r>
              <w:rPr>
                <w:rFonts w:ascii="Arial" w:eastAsia="Arial" w:hAnsi="Arial" w:cs="Arial"/>
                <w:spacing w:val="-1"/>
              </w:rPr>
              <w:t>diagrams,</w:t>
            </w:r>
            <w:r>
              <w:rPr>
                <w:rFonts w:ascii="Arial" w:eastAsia="Arial" w:hAnsi="Arial" w:cs="Arial"/>
              </w:rPr>
              <w:t xml:space="preserve">  </w:t>
            </w:r>
            <w:r>
              <w:rPr>
                <w:rFonts w:ascii="Arial" w:eastAsia="Arial" w:hAnsi="Arial" w:cs="Arial"/>
                <w:spacing w:val="-1"/>
              </w:rPr>
              <w:t>images</w:t>
            </w:r>
            <w:r>
              <w:rPr>
                <w:rFonts w:ascii="Arial" w:eastAsia="Arial" w:hAnsi="Arial" w:cs="Arial"/>
                <w:spacing w:val="57"/>
              </w:rPr>
              <w:t xml:space="preserve"> </w:t>
            </w:r>
            <w:r>
              <w:rPr>
                <w:rFonts w:ascii="Arial" w:eastAsia="Arial" w:hAnsi="Arial" w:cs="Arial"/>
                <w:spacing w:val="-1"/>
              </w:rPr>
              <w:t>or</w:t>
            </w:r>
            <w:r>
              <w:rPr>
                <w:rFonts w:ascii="Arial" w:eastAsia="Arial" w:hAnsi="Arial" w:cs="Arial"/>
                <w:spacing w:val="28"/>
              </w:rPr>
              <w:t xml:space="preserve"> </w:t>
            </w:r>
            <w:r>
              <w:rPr>
                <w:rFonts w:ascii="Arial" w:eastAsia="Arial" w:hAnsi="Arial" w:cs="Arial"/>
                <w:spacing w:val="-1"/>
              </w:rPr>
              <w:t>sounds</w:t>
            </w:r>
            <w:r>
              <w:rPr>
                <w:rFonts w:ascii="Arial" w:eastAsia="Arial" w:hAnsi="Arial" w:cs="Arial"/>
                <w:spacing w:val="8"/>
              </w:rPr>
              <w:t xml:space="preserve"> </w:t>
            </w:r>
            <w:r>
              <w:rPr>
                <w:rFonts w:ascii="Arial" w:eastAsia="Arial" w:hAnsi="Arial" w:cs="Arial"/>
                <w:spacing w:val="-1"/>
              </w:rPr>
              <w:t>(together</w:t>
            </w:r>
            <w:r>
              <w:rPr>
                <w:rFonts w:ascii="Arial" w:eastAsia="Arial" w:hAnsi="Arial" w:cs="Arial"/>
                <w:spacing w:val="9"/>
              </w:rPr>
              <w:t xml:space="preserve"> </w:t>
            </w:r>
            <w:r>
              <w:rPr>
                <w:rFonts w:ascii="Arial" w:eastAsia="Arial" w:hAnsi="Arial" w:cs="Arial"/>
                <w:spacing w:val="-2"/>
              </w:rPr>
              <w:t>with</w:t>
            </w:r>
            <w:r>
              <w:rPr>
                <w:rFonts w:ascii="Arial" w:eastAsia="Arial" w:hAnsi="Arial" w:cs="Arial"/>
                <w:spacing w:val="7"/>
              </w:rPr>
              <w:t xml:space="preserve"> </w:t>
            </w:r>
            <w:r>
              <w:rPr>
                <w:rFonts w:ascii="Arial" w:eastAsia="Arial" w:hAnsi="Arial" w:cs="Arial"/>
                <w:spacing w:val="-2"/>
              </w:rPr>
              <w:t>any</w:t>
            </w:r>
            <w:r>
              <w:rPr>
                <w:rFonts w:ascii="Arial" w:eastAsia="Arial" w:hAnsi="Arial" w:cs="Arial"/>
                <w:spacing w:val="5"/>
              </w:rPr>
              <w:t xml:space="preserve"> </w:t>
            </w:r>
            <w:r>
              <w:rPr>
                <w:rFonts w:ascii="Arial" w:eastAsia="Arial" w:hAnsi="Arial" w:cs="Arial"/>
                <w:spacing w:val="-1"/>
              </w:rPr>
              <w:t>database</w:t>
            </w:r>
            <w:r>
              <w:rPr>
                <w:rFonts w:ascii="Arial" w:eastAsia="Arial" w:hAnsi="Arial" w:cs="Arial"/>
                <w:spacing w:val="8"/>
              </w:rPr>
              <w:t xml:space="preserve"> </w:t>
            </w:r>
            <w:r>
              <w:rPr>
                <w:rFonts w:ascii="Arial" w:eastAsia="Arial" w:hAnsi="Arial" w:cs="Arial"/>
                <w:spacing w:val="-1"/>
              </w:rPr>
              <w:t>made</w:t>
            </w:r>
            <w:r>
              <w:rPr>
                <w:rFonts w:ascii="Arial" w:eastAsia="Arial" w:hAnsi="Arial" w:cs="Arial"/>
                <w:spacing w:val="5"/>
              </w:rPr>
              <w:t xml:space="preserve"> </w:t>
            </w:r>
            <w:r>
              <w:rPr>
                <w:rFonts w:ascii="Arial" w:eastAsia="Arial" w:hAnsi="Arial" w:cs="Arial"/>
                <w:spacing w:val="-1"/>
              </w:rPr>
              <w:t>up</w:t>
            </w:r>
            <w:r>
              <w:rPr>
                <w:rFonts w:ascii="Arial" w:eastAsia="Arial" w:hAnsi="Arial" w:cs="Arial"/>
                <w:spacing w:val="7"/>
              </w:rPr>
              <w:t xml:space="preserve"> </w:t>
            </w:r>
            <w:r>
              <w:rPr>
                <w:rFonts w:ascii="Arial" w:eastAsia="Arial" w:hAnsi="Arial" w:cs="Arial"/>
                <w:spacing w:val="-2"/>
              </w:rPr>
              <w:t>of</w:t>
            </w:r>
            <w:r>
              <w:rPr>
                <w:rFonts w:ascii="Arial" w:eastAsia="Arial" w:hAnsi="Arial" w:cs="Arial"/>
                <w:spacing w:val="7"/>
              </w:rPr>
              <w:t xml:space="preserve"> </w:t>
            </w:r>
            <w:r>
              <w:rPr>
                <w:rFonts w:ascii="Arial" w:eastAsia="Arial" w:hAnsi="Arial" w:cs="Arial"/>
                <w:spacing w:val="-1"/>
              </w:rPr>
              <w:t>any</w:t>
            </w:r>
            <w:r>
              <w:rPr>
                <w:rFonts w:ascii="Arial" w:eastAsia="Arial" w:hAnsi="Arial" w:cs="Arial"/>
                <w:spacing w:val="34"/>
              </w:rPr>
              <w:t xml:space="preserve"> </w:t>
            </w:r>
            <w:r>
              <w:rPr>
                <w:rFonts w:ascii="Arial" w:eastAsia="Arial" w:hAnsi="Arial" w:cs="Arial"/>
                <w:spacing w:val="-2"/>
              </w:rPr>
              <w:t>of</w:t>
            </w:r>
            <w:r>
              <w:rPr>
                <w:rFonts w:ascii="Arial" w:eastAsia="Arial" w:hAnsi="Arial" w:cs="Arial"/>
                <w:spacing w:val="17"/>
              </w:rPr>
              <w:t xml:space="preserve"> </w:t>
            </w:r>
            <w:r>
              <w:rPr>
                <w:rFonts w:ascii="Arial" w:eastAsia="Arial" w:hAnsi="Arial" w:cs="Arial"/>
                <w:spacing w:val="-1"/>
              </w:rPr>
              <w:t>these)</w:t>
            </w:r>
            <w:r>
              <w:rPr>
                <w:rFonts w:ascii="Arial" w:eastAsia="Arial" w:hAnsi="Arial" w:cs="Arial"/>
                <w:spacing w:val="15"/>
              </w:rPr>
              <w:t xml:space="preserve"> </w:t>
            </w:r>
            <w:r>
              <w:rPr>
                <w:rFonts w:ascii="Arial" w:eastAsia="Arial" w:hAnsi="Arial" w:cs="Arial"/>
                <w:spacing w:val="-2"/>
              </w:rPr>
              <w:t>which</w:t>
            </w:r>
            <w:r>
              <w:rPr>
                <w:rFonts w:ascii="Arial" w:eastAsia="Arial" w:hAnsi="Arial" w:cs="Arial"/>
                <w:spacing w:val="14"/>
              </w:rPr>
              <w:t xml:space="preserve"> </w:t>
            </w:r>
            <w:r>
              <w:rPr>
                <w:rFonts w:ascii="Arial" w:eastAsia="Arial" w:hAnsi="Arial" w:cs="Arial"/>
                <w:spacing w:val="-1"/>
              </w:rPr>
              <w:t>are</w:t>
            </w:r>
            <w:r>
              <w:rPr>
                <w:rFonts w:ascii="Arial" w:eastAsia="Arial" w:hAnsi="Arial" w:cs="Arial"/>
                <w:spacing w:val="13"/>
              </w:rPr>
              <w:t xml:space="preserve"> </w:t>
            </w:r>
            <w:r>
              <w:rPr>
                <w:rFonts w:ascii="Arial" w:eastAsia="Arial" w:hAnsi="Arial" w:cs="Arial"/>
                <w:spacing w:val="-2"/>
              </w:rPr>
              <w:t>embodied</w:t>
            </w:r>
            <w:r>
              <w:rPr>
                <w:rFonts w:ascii="Arial" w:eastAsia="Arial" w:hAnsi="Arial" w:cs="Arial"/>
                <w:spacing w:val="14"/>
              </w:rPr>
              <w:t xml:space="preserve"> </w:t>
            </w:r>
            <w:r>
              <w:rPr>
                <w:rFonts w:ascii="Arial" w:eastAsia="Arial" w:hAnsi="Arial" w:cs="Arial"/>
                <w:spacing w:val="-1"/>
              </w:rPr>
              <w:t>in</w:t>
            </w:r>
            <w:r>
              <w:rPr>
                <w:rFonts w:ascii="Arial" w:eastAsia="Arial" w:hAnsi="Arial" w:cs="Arial"/>
                <w:spacing w:val="14"/>
              </w:rPr>
              <w:t xml:space="preserve"> </w:t>
            </w:r>
            <w:r>
              <w:rPr>
                <w:rFonts w:ascii="Arial" w:eastAsia="Arial" w:hAnsi="Arial" w:cs="Arial"/>
                <w:spacing w:val="-1"/>
              </w:rPr>
              <w:t>any</w:t>
            </w:r>
            <w:r>
              <w:rPr>
                <w:rFonts w:ascii="Arial" w:eastAsia="Arial" w:hAnsi="Arial" w:cs="Arial"/>
                <w:spacing w:val="12"/>
              </w:rPr>
              <w:t xml:space="preserve"> </w:t>
            </w:r>
            <w:r>
              <w:rPr>
                <w:rFonts w:ascii="Arial" w:eastAsia="Arial" w:hAnsi="Arial" w:cs="Arial"/>
                <w:spacing w:val="-2"/>
              </w:rPr>
              <w:t>electronic,</w:t>
            </w:r>
            <w:r>
              <w:rPr>
                <w:rFonts w:ascii="Arial" w:eastAsia="Arial" w:hAnsi="Arial" w:cs="Arial"/>
                <w:spacing w:val="48"/>
              </w:rPr>
              <w:t xml:space="preserve"> </w:t>
            </w:r>
            <w:r>
              <w:rPr>
                <w:rFonts w:ascii="Arial" w:eastAsia="Arial" w:hAnsi="Arial" w:cs="Arial"/>
                <w:spacing w:val="-1"/>
              </w:rPr>
              <w:t>magnetic,</w:t>
            </w:r>
            <w:r>
              <w:rPr>
                <w:rFonts w:ascii="Arial" w:eastAsia="Arial" w:hAnsi="Arial" w:cs="Arial"/>
                <w:spacing w:val="55"/>
              </w:rPr>
              <w:t xml:space="preserve"> </w:t>
            </w:r>
            <w:r>
              <w:rPr>
                <w:rFonts w:ascii="Arial" w:eastAsia="Arial" w:hAnsi="Arial" w:cs="Arial"/>
                <w:spacing w:val="-1"/>
              </w:rPr>
              <w:t>optical</w:t>
            </w:r>
            <w:r>
              <w:rPr>
                <w:rFonts w:ascii="Arial" w:eastAsia="Arial" w:hAnsi="Arial" w:cs="Arial"/>
                <w:spacing w:val="52"/>
              </w:rPr>
              <w:t xml:space="preserve"> </w:t>
            </w:r>
            <w:r>
              <w:rPr>
                <w:rFonts w:ascii="Arial" w:eastAsia="Arial" w:hAnsi="Arial" w:cs="Arial"/>
                <w:spacing w:val="-1"/>
              </w:rPr>
              <w:t>or</w:t>
            </w:r>
            <w:r>
              <w:rPr>
                <w:rFonts w:ascii="Arial" w:eastAsia="Arial" w:hAnsi="Arial" w:cs="Arial"/>
                <w:spacing w:val="52"/>
              </w:rPr>
              <w:t xml:space="preserve"> </w:t>
            </w:r>
            <w:r>
              <w:rPr>
                <w:rFonts w:ascii="Arial" w:eastAsia="Arial" w:hAnsi="Arial" w:cs="Arial"/>
                <w:spacing w:val="-1"/>
              </w:rPr>
              <w:t>tangible</w:t>
            </w:r>
            <w:r>
              <w:rPr>
                <w:rFonts w:ascii="Arial" w:eastAsia="Arial" w:hAnsi="Arial" w:cs="Arial"/>
                <w:spacing w:val="53"/>
              </w:rPr>
              <w:t xml:space="preserve"> </w:t>
            </w:r>
            <w:r>
              <w:rPr>
                <w:rFonts w:ascii="Arial" w:eastAsia="Arial" w:hAnsi="Arial" w:cs="Arial"/>
                <w:spacing w:val="-2"/>
              </w:rPr>
              <w:t>media,</w:t>
            </w:r>
            <w:r>
              <w:rPr>
                <w:rFonts w:ascii="Arial" w:eastAsia="Arial" w:hAnsi="Arial" w:cs="Arial"/>
                <w:spacing w:val="55"/>
              </w:rPr>
              <w:t xml:space="preserve"> </w:t>
            </w:r>
            <w:r>
              <w:rPr>
                <w:rFonts w:ascii="Arial" w:eastAsia="Arial" w:hAnsi="Arial" w:cs="Arial"/>
                <w:spacing w:val="-2"/>
              </w:rPr>
              <w:t>including</w:t>
            </w:r>
            <w:r>
              <w:rPr>
                <w:rFonts w:ascii="Arial" w:eastAsia="Arial" w:hAnsi="Arial" w:cs="Arial"/>
                <w:spacing w:val="51"/>
              </w:rPr>
              <w:t xml:space="preserve"> </w:t>
            </w:r>
            <w:r>
              <w:rPr>
                <w:rFonts w:ascii="Arial" w:eastAsia="Arial" w:hAnsi="Arial" w:cs="Arial"/>
                <w:spacing w:val="-1"/>
              </w:rPr>
              <w:t>any</w:t>
            </w:r>
            <w:r>
              <w:rPr>
                <w:rFonts w:ascii="Arial" w:eastAsia="Arial" w:hAnsi="Arial" w:cs="Arial"/>
                <w:spacing w:val="38"/>
              </w:rPr>
              <w:t xml:space="preserve"> </w:t>
            </w:r>
            <w:r>
              <w:rPr>
                <w:rFonts w:ascii="Arial" w:eastAsia="Arial" w:hAnsi="Arial" w:cs="Arial"/>
                <w:spacing w:val="-1"/>
              </w:rPr>
              <w:t>Customer’s</w:t>
            </w:r>
            <w:r>
              <w:rPr>
                <w:rFonts w:ascii="Arial" w:eastAsia="Arial" w:hAnsi="Arial" w:cs="Arial"/>
                <w:spacing w:val="1"/>
              </w:rPr>
              <w:t xml:space="preserve"> </w:t>
            </w:r>
            <w:r>
              <w:rPr>
                <w:rFonts w:ascii="Arial" w:eastAsia="Arial" w:hAnsi="Arial" w:cs="Arial"/>
                <w:spacing w:val="-1"/>
              </w:rPr>
              <w:t>Confidential</w:t>
            </w:r>
            <w:r>
              <w:rPr>
                <w:rFonts w:ascii="Arial" w:eastAsia="Arial" w:hAnsi="Arial" w:cs="Arial"/>
              </w:rPr>
              <w:t xml:space="preserve"> </w:t>
            </w:r>
            <w:r>
              <w:rPr>
                <w:rFonts w:ascii="Arial" w:eastAsia="Arial" w:hAnsi="Arial" w:cs="Arial"/>
                <w:spacing w:val="-1"/>
              </w:rPr>
              <w:t>Information,</w:t>
            </w:r>
            <w:r>
              <w:rPr>
                <w:rFonts w:ascii="Arial" w:eastAsia="Arial" w:hAnsi="Arial" w:cs="Arial"/>
                <w:spacing w:val="2"/>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2"/>
              </w:rPr>
              <w:t>which:</w:t>
            </w:r>
          </w:p>
          <w:p w:rsidR="008918FA" w:rsidRDefault="008918FA" w:rsidP="005D2B81">
            <w:pPr>
              <w:pStyle w:val="ListParagraph"/>
              <w:numPr>
                <w:ilvl w:val="1"/>
                <w:numId w:val="50"/>
              </w:numPr>
              <w:tabs>
                <w:tab w:val="left" w:pos="1180"/>
              </w:tabs>
              <w:spacing w:before="121"/>
              <w:ind w:right="102"/>
              <w:jc w:val="both"/>
              <w:rPr>
                <w:rFonts w:ascii="Arial" w:eastAsia="Arial" w:hAnsi="Arial" w:cs="Arial"/>
              </w:rPr>
            </w:pPr>
            <w:r>
              <w:rPr>
                <w:rFonts w:ascii="Arial"/>
                <w:spacing w:val="-1"/>
              </w:rPr>
              <w:t>are</w:t>
            </w:r>
            <w:r>
              <w:rPr>
                <w:rFonts w:ascii="Arial"/>
                <w:spacing w:val="34"/>
              </w:rPr>
              <w:t xml:space="preserve"> </w:t>
            </w:r>
            <w:r>
              <w:rPr>
                <w:rFonts w:ascii="Arial"/>
                <w:spacing w:val="-1"/>
              </w:rPr>
              <w:t>supplied</w:t>
            </w:r>
            <w:r>
              <w:rPr>
                <w:rFonts w:ascii="Arial"/>
                <w:spacing w:val="34"/>
              </w:rPr>
              <w:t xml:space="preserve"> </w:t>
            </w:r>
            <w:r>
              <w:rPr>
                <w:rFonts w:ascii="Arial"/>
              </w:rPr>
              <w:t>to</w:t>
            </w:r>
            <w:r>
              <w:rPr>
                <w:rFonts w:ascii="Arial"/>
                <w:spacing w:val="34"/>
              </w:rPr>
              <w:t xml:space="preserve"> </w:t>
            </w:r>
            <w:r>
              <w:rPr>
                <w:rFonts w:ascii="Arial"/>
              </w:rPr>
              <w:t>the</w:t>
            </w:r>
            <w:r>
              <w:rPr>
                <w:rFonts w:ascii="Arial"/>
                <w:spacing w:val="34"/>
              </w:rPr>
              <w:t xml:space="preserve"> </w:t>
            </w:r>
            <w:r>
              <w:rPr>
                <w:rFonts w:ascii="Arial"/>
                <w:spacing w:val="-1"/>
              </w:rPr>
              <w:t>Supplier</w:t>
            </w:r>
            <w:r>
              <w:rPr>
                <w:rFonts w:ascii="Arial"/>
                <w:spacing w:val="35"/>
              </w:rPr>
              <w:t xml:space="preserve"> </w:t>
            </w:r>
            <w:r>
              <w:rPr>
                <w:rFonts w:ascii="Arial"/>
                <w:spacing w:val="1"/>
              </w:rPr>
              <w:t>by</w:t>
            </w:r>
            <w:r>
              <w:rPr>
                <w:rFonts w:ascii="Arial"/>
                <w:spacing w:val="32"/>
              </w:rPr>
              <w:t xml:space="preserve"> </w:t>
            </w:r>
            <w:r>
              <w:rPr>
                <w:rFonts w:ascii="Arial"/>
                <w:spacing w:val="-1"/>
              </w:rPr>
              <w:t>or</w:t>
            </w:r>
            <w:r>
              <w:rPr>
                <w:rFonts w:ascii="Arial"/>
                <w:spacing w:val="36"/>
              </w:rPr>
              <w:t xml:space="preserve"> </w:t>
            </w:r>
            <w:r>
              <w:rPr>
                <w:rFonts w:ascii="Arial"/>
                <w:spacing w:val="-1"/>
              </w:rPr>
              <w:t>on</w:t>
            </w:r>
            <w:r>
              <w:rPr>
                <w:rFonts w:ascii="Arial"/>
                <w:spacing w:val="34"/>
              </w:rPr>
              <w:t xml:space="preserve"> </w:t>
            </w:r>
            <w:r>
              <w:rPr>
                <w:rFonts w:ascii="Arial"/>
                <w:spacing w:val="-1"/>
              </w:rPr>
              <w:t>behalf</w:t>
            </w:r>
            <w:r>
              <w:rPr>
                <w:rFonts w:ascii="Arial"/>
                <w:spacing w:val="38"/>
              </w:rPr>
              <w:t xml:space="preserve"> </w:t>
            </w:r>
            <w:r>
              <w:rPr>
                <w:rFonts w:ascii="Arial"/>
                <w:spacing w:val="-2"/>
              </w:rPr>
              <w:t>of</w:t>
            </w:r>
            <w:r>
              <w:rPr>
                <w:rFonts w:ascii="Arial"/>
                <w:spacing w:val="23"/>
              </w:rPr>
              <w:t xml:space="preserve"> </w:t>
            </w:r>
            <w:r>
              <w:rPr>
                <w:rFonts w:ascii="Arial"/>
              </w:rPr>
              <w:t xml:space="preserve">the </w:t>
            </w:r>
            <w:r>
              <w:rPr>
                <w:rFonts w:ascii="Arial"/>
                <w:spacing w:val="-1"/>
              </w:rPr>
              <w:t>Customer;</w:t>
            </w:r>
            <w:r>
              <w:rPr>
                <w:rFonts w:ascii="Arial"/>
              </w:rPr>
              <w:t xml:space="preserve"> </w:t>
            </w:r>
            <w:r>
              <w:rPr>
                <w:rFonts w:ascii="Arial"/>
                <w:spacing w:val="-1"/>
              </w:rPr>
              <w:t>or</w:t>
            </w:r>
          </w:p>
          <w:p w:rsidR="008918FA" w:rsidRDefault="008918FA" w:rsidP="005D2B81">
            <w:pPr>
              <w:pStyle w:val="ListParagraph"/>
              <w:numPr>
                <w:ilvl w:val="1"/>
                <w:numId w:val="50"/>
              </w:numPr>
              <w:tabs>
                <w:tab w:val="left" w:pos="1180"/>
              </w:tabs>
              <w:spacing w:before="121"/>
              <w:ind w:right="100"/>
              <w:jc w:val="both"/>
              <w:rPr>
                <w:rFonts w:ascii="Arial" w:eastAsia="Arial" w:hAnsi="Arial" w:cs="Arial"/>
              </w:rPr>
            </w:pPr>
            <w:r>
              <w:rPr>
                <w:rFonts w:ascii="Arial"/>
              </w:rPr>
              <w:t>the</w:t>
            </w:r>
            <w:r>
              <w:rPr>
                <w:rFonts w:ascii="Arial"/>
                <w:spacing w:val="60"/>
              </w:rPr>
              <w:t xml:space="preserve"> </w:t>
            </w:r>
            <w:r>
              <w:rPr>
                <w:rFonts w:ascii="Arial"/>
                <w:spacing w:val="-2"/>
              </w:rPr>
              <w:t>Supplier</w:t>
            </w:r>
            <w:r>
              <w:rPr>
                <w:rFonts w:ascii="Arial"/>
              </w:rPr>
              <w:t xml:space="preserve"> </w:t>
            </w:r>
            <w:r>
              <w:rPr>
                <w:rFonts w:ascii="Arial"/>
                <w:spacing w:val="-1"/>
              </w:rPr>
              <w:t>is</w:t>
            </w:r>
            <w:r>
              <w:rPr>
                <w:rFonts w:ascii="Arial"/>
              </w:rPr>
              <w:t xml:space="preserve"> </w:t>
            </w:r>
            <w:r>
              <w:rPr>
                <w:rFonts w:ascii="Arial"/>
                <w:spacing w:val="-1"/>
              </w:rPr>
              <w:t>required</w:t>
            </w:r>
            <w:r>
              <w:rPr>
                <w:rFonts w:ascii="Arial"/>
                <w:spacing w:val="60"/>
              </w:rPr>
              <w:t xml:space="preserve"> </w:t>
            </w:r>
            <w:r>
              <w:rPr>
                <w:rFonts w:ascii="Arial"/>
              </w:rPr>
              <w:t>to</w:t>
            </w:r>
            <w:r>
              <w:rPr>
                <w:rFonts w:ascii="Arial"/>
                <w:spacing w:val="60"/>
              </w:rPr>
              <w:t xml:space="preserve"> </w:t>
            </w:r>
            <w:r>
              <w:rPr>
                <w:rFonts w:ascii="Arial"/>
                <w:spacing w:val="-1"/>
              </w:rPr>
              <w:t>generate,</w:t>
            </w:r>
            <w:r>
              <w:rPr>
                <w:rFonts w:ascii="Arial"/>
                <w:spacing w:val="1"/>
              </w:rPr>
              <w:t xml:space="preserve"> </w:t>
            </w:r>
            <w:r>
              <w:rPr>
                <w:rFonts w:ascii="Arial"/>
                <w:spacing w:val="-1"/>
              </w:rPr>
              <w:t>process,</w:t>
            </w:r>
            <w:r>
              <w:rPr>
                <w:rFonts w:ascii="Arial"/>
                <w:spacing w:val="37"/>
              </w:rPr>
              <w:t xml:space="preserve"> </w:t>
            </w:r>
            <w:r>
              <w:rPr>
                <w:rFonts w:ascii="Arial"/>
                <w:spacing w:val="-1"/>
              </w:rPr>
              <w:t>store</w:t>
            </w:r>
            <w:r>
              <w:rPr>
                <w:rFonts w:ascii="Arial"/>
                <w:spacing w:val="54"/>
              </w:rPr>
              <w:t xml:space="preserve"> </w:t>
            </w:r>
            <w:r>
              <w:rPr>
                <w:rFonts w:ascii="Arial"/>
                <w:spacing w:val="-2"/>
              </w:rPr>
              <w:t>or</w:t>
            </w:r>
            <w:r>
              <w:rPr>
                <w:rFonts w:ascii="Arial"/>
                <w:spacing w:val="55"/>
              </w:rPr>
              <w:t xml:space="preserve"> </w:t>
            </w:r>
            <w:r>
              <w:rPr>
                <w:rFonts w:ascii="Arial"/>
                <w:spacing w:val="-2"/>
              </w:rPr>
              <w:t>transmit</w:t>
            </w:r>
            <w:r>
              <w:rPr>
                <w:rFonts w:ascii="Arial"/>
                <w:spacing w:val="56"/>
              </w:rPr>
              <w:t xml:space="preserve"> </w:t>
            </w:r>
            <w:r>
              <w:rPr>
                <w:rFonts w:ascii="Arial"/>
                <w:spacing w:val="-1"/>
              </w:rPr>
              <w:t>pursuant</w:t>
            </w:r>
            <w:r>
              <w:rPr>
                <w:rFonts w:ascii="Arial"/>
                <w:spacing w:val="56"/>
              </w:rPr>
              <w:t xml:space="preserve"> </w:t>
            </w:r>
            <w:r>
              <w:rPr>
                <w:rFonts w:ascii="Arial"/>
              </w:rPr>
              <w:t>to</w:t>
            </w:r>
            <w:r>
              <w:rPr>
                <w:rFonts w:ascii="Arial"/>
                <w:spacing w:val="52"/>
              </w:rPr>
              <w:t xml:space="preserve"> </w:t>
            </w:r>
            <w:r>
              <w:rPr>
                <w:rFonts w:ascii="Arial"/>
                <w:spacing w:val="-1"/>
              </w:rPr>
              <w:t>this</w:t>
            </w:r>
            <w:r>
              <w:rPr>
                <w:rFonts w:ascii="Arial"/>
                <w:spacing w:val="55"/>
              </w:rPr>
              <w:t xml:space="preserve"> </w:t>
            </w:r>
            <w:r>
              <w:rPr>
                <w:rFonts w:ascii="Arial"/>
                <w:spacing w:val="-2"/>
              </w:rPr>
              <w:t>Call</w:t>
            </w:r>
            <w:r>
              <w:rPr>
                <w:rFonts w:ascii="Arial"/>
                <w:spacing w:val="52"/>
              </w:rPr>
              <w:t xml:space="preserve"> </w:t>
            </w:r>
            <w:r>
              <w:rPr>
                <w:rFonts w:ascii="Arial"/>
                <w:spacing w:val="-1"/>
              </w:rPr>
              <w:t>Off</w:t>
            </w:r>
            <w:r>
              <w:rPr>
                <w:rFonts w:ascii="Arial"/>
                <w:spacing w:val="41"/>
              </w:rPr>
              <w:t xml:space="preserve"> </w:t>
            </w:r>
            <w:r>
              <w:rPr>
                <w:rFonts w:ascii="Arial"/>
                <w:spacing w:val="-1"/>
              </w:rPr>
              <w:t>Contract;</w:t>
            </w:r>
            <w:r>
              <w:rPr>
                <w:rFonts w:ascii="Arial"/>
              </w:rPr>
              <w:t xml:space="preserve"> </w:t>
            </w:r>
            <w:r>
              <w:rPr>
                <w:rFonts w:ascii="Arial"/>
                <w:spacing w:val="-1"/>
              </w:rPr>
              <w:t>or</w:t>
            </w:r>
          </w:p>
          <w:p w:rsidR="008918FA" w:rsidRDefault="008918FA" w:rsidP="005D2B81">
            <w:pPr>
              <w:pStyle w:val="ListParagraph"/>
              <w:numPr>
                <w:ilvl w:val="0"/>
                <w:numId w:val="50"/>
              </w:numPr>
              <w:tabs>
                <w:tab w:val="left" w:pos="820"/>
              </w:tabs>
              <w:spacing w:before="121"/>
              <w:ind w:right="101" w:hanging="544"/>
              <w:jc w:val="both"/>
              <w:rPr>
                <w:rFonts w:ascii="Arial" w:eastAsia="Arial" w:hAnsi="Arial" w:cs="Arial"/>
              </w:rPr>
            </w:pPr>
            <w:r>
              <w:rPr>
                <w:rFonts w:ascii="Arial"/>
                <w:spacing w:val="-1"/>
              </w:rPr>
              <w:t>any</w:t>
            </w:r>
            <w:r>
              <w:rPr>
                <w:rFonts w:ascii="Arial"/>
                <w:spacing w:val="49"/>
              </w:rPr>
              <w:t xml:space="preserve"> </w:t>
            </w:r>
            <w:r>
              <w:rPr>
                <w:rFonts w:ascii="Arial"/>
                <w:spacing w:val="-1"/>
              </w:rPr>
              <w:t>Personal</w:t>
            </w:r>
            <w:r>
              <w:rPr>
                <w:rFonts w:ascii="Arial"/>
                <w:spacing w:val="50"/>
              </w:rPr>
              <w:t xml:space="preserve"> </w:t>
            </w:r>
            <w:r>
              <w:rPr>
                <w:rFonts w:ascii="Arial"/>
                <w:spacing w:val="-1"/>
              </w:rPr>
              <w:t>Data</w:t>
            </w:r>
            <w:r>
              <w:rPr>
                <w:rFonts w:ascii="Arial"/>
                <w:spacing w:val="48"/>
              </w:rPr>
              <w:t xml:space="preserve"> </w:t>
            </w:r>
            <w:r>
              <w:rPr>
                <w:rFonts w:ascii="Arial"/>
              </w:rPr>
              <w:t>for</w:t>
            </w:r>
            <w:r>
              <w:rPr>
                <w:rFonts w:ascii="Arial"/>
                <w:spacing w:val="47"/>
              </w:rPr>
              <w:t xml:space="preserve"> </w:t>
            </w:r>
            <w:r>
              <w:rPr>
                <w:rFonts w:ascii="Arial"/>
                <w:spacing w:val="-1"/>
              </w:rPr>
              <w:t>which</w:t>
            </w:r>
            <w:r>
              <w:rPr>
                <w:rFonts w:ascii="Arial"/>
                <w:spacing w:val="51"/>
              </w:rPr>
              <w:t xml:space="preserve"> </w:t>
            </w:r>
            <w:r>
              <w:rPr>
                <w:rFonts w:ascii="Arial"/>
              </w:rPr>
              <w:t>the</w:t>
            </w:r>
            <w:r>
              <w:rPr>
                <w:rFonts w:ascii="Arial"/>
                <w:spacing w:val="51"/>
              </w:rPr>
              <w:t xml:space="preserve"> </w:t>
            </w:r>
            <w:r>
              <w:rPr>
                <w:rFonts w:ascii="Arial"/>
                <w:spacing w:val="-2"/>
              </w:rPr>
              <w:t>Customer</w:t>
            </w:r>
            <w:r>
              <w:rPr>
                <w:rFonts w:ascii="Arial"/>
                <w:spacing w:val="53"/>
              </w:rPr>
              <w:t xml:space="preserve"> </w:t>
            </w:r>
            <w:r>
              <w:rPr>
                <w:rFonts w:ascii="Arial"/>
                <w:spacing w:val="-1"/>
              </w:rPr>
              <w:t>is</w:t>
            </w:r>
            <w:r>
              <w:rPr>
                <w:rFonts w:ascii="Arial"/>
                <w:spacing w:val="46"/>
              </w:rPr>
              <w:t xml:space="preserve"> </w:t>
            </w:r>
            <w:r>
              <w:rPr>
                <w:rFonts w:ascii="Arial"/>
                <w:spacing w:val="-1"/>
              </w:rPr>
              <w:t>the</w:t>
            </w:r>
            <w:r>
              <w:rPr>
                <w:rFonts w:ascii="Arial"/>
                <w:spacing w:val="30"/>
              </w:rPr>
              <w:t xml:space="preserve"> </w:t>
            </w:r>
            <w:r>
              <w:rPr>
                <w:rFonts w:ascii="Arial"/>
                <w:spacing w:val="-1"/>
              </w:rPr>
              <w:t>Data</w:t>
            </w:r>
            <w:r>
              <w:rPr>
                <w:rFonts w:ascii="Arial"/>
              </w:rPr>
              <w:t xml:space="preserve"> </w:t>
            </w:r>
            <w:r>
              <w:rPr>
                <w:rFonts w:ascii="Arial"/>
                <w:spacing w:val="-2"/>
              </w:rPr>
              <w:t>Controller;</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"Customer</w:t>
            </w:r>
            <w:r>
              <w:rPr>
                <w:rFonts w:ascii="Arial"/>
                <w:b/>
                <w:spacing w:val="1"/>
              </w:rPr>
              <w:t xml:space="preserve"> </w:t>
            </w:r>
            <w:r>
              <w:rPr>
                <w:rFonts w:ascii="Arial"/>
                <w:b/>
                <w:spacing w:val="-1"/>
              </w:rPr>
              <w:t>Premises"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means</w:t>
            </w:r>
            <w:r>
              <w:rPr>
                <w:rFonts w:ascii="Arial"/>
                <w:spacing w:val="58"/>
              </w:rPr>
              <w:t xml:space="preserve"> </w:t>
            </w:r>
            <w:r>
              <w:rPr>
                <w:rFonts w:ascii="Arial"/>
                <w:spacing w:val="-1"/>
              </w:rPr>
              <w:t>premises</w:t>
            </w:r>
            <w:r>
              <w:rPr>
                <w:rFonts w:ascii="Arial"/>
                <w:spacing w:val="58"/>
              </w:rPr>
              <w:t xml:space="preserve"> </w:t>
            </w:r>
            <w:r>
              <w:rPr>
                <w:rFonts w:ascii="Arial"/>
                <w:spacing w:val="-1"/>
              </w:rPr>
              <w:t>owned,</w:t>
            </w:r>
            <w:r>
              <w:rPr>
                <w:rFonts w:ascii="Arial"/>
                <w:spacing w:val="59"/>
              </w:rPr>
              <w:t xml:space="preserve"> </w:t>
            </w:r>
            <w:r>
              <w:rPr>
                <w:rFonts w:ascii="Arial"/>
                <w:spacing w:val="-1"/>
              </w:rPr>
              <w:t>controlled</w:t>
            </w:r>
            <w:r>
              <w:rPr>
                <w:rFonts w:ascii="Arial"/>
                <w:spacing w:val="58"/>
              </w:rPr>
              <w:t xml:space="preserve"> </w:t>
            </w:r>
            <w:r>
              <w:rPr>
                <w:rFonts w:ascii="Arial"/>
                <w:spacing w:val="-1"/>
              </w:rPr>
              <w:t>or</w:t>
            </w:r>
            <w:r>
              <w:rPr>
                <w:rFonts w:ascii="Arial"/>
                <w:spacing w:val="59"/>
              </w:rPr>
              <w:t xml:space="preserve"> </w:t>
            </w:r>
            <w:r>
              <w:rPr>
                <w:rFonts w:ascii="Arial"/>
                <w:spacing w:val="-1"/>
              </w:rPr>
              <w:t>occupied</w:t>
            </w:r>
            <w:r>
              <w:rPr>
                <w:rFonts w:ascii="Arial"/>
                <w:spacing w:val="58"/>
              </w:rPr>
              <w:t xml:space="preserve"> </w:t>
            </w:r>
            <w:r>
              <w:rPr>
                <w:rFonts w:ascii="Arial"/>
                <w:spacing w:val="-1"/>
              </w:rPr>
              <w:t>by</w:t>
            </w:r>
            <w:r>
              <w:rPr>
                <w:rFonts w:ascii="Arial"/>
                <w:spacing w:val="57"/>
              </w:rPr>
              <w:t xml:space="preserve"> </w:t>
            </w:r>
            <w:r>
              <w:rPr>
                <w:rFonts w:ascii="Arial"/>
                <w:spacing w:val="-1"/>
              </w:rPr>
              <w:t>the</w:t>
            </w:r>
            <w:r>
              <w:rPr>
                <w:rFonts w:ascii="Arial"/>
                <w:spacing w:val="29"/>
              </w:rPr>
              <w:t xml:space="preserve"> </w:t>
            </w:r>
            <w:r>
              <w:rPr>
                <w:rFonts w:ascii="Arial"/>
                <w:spacing w:val="-1"/>
              </w:rPr>
              <w:t>Customer</w:t>
            </w:r>
            <w:r>
              <w:rPr>
                <w:rFonts w:ascii="Arial"/>
                <w:spacing w:val="36"/>
              </w:rPr>
              <w:t xml:space="preserve"> </w:t>
            </w:r>
            <w:r>
              <w:rPr>
                <w:rFonts w:ascii="Arial"/>
                <w:spacing w:val="-2"/>
              </w:rPr>
              <w:t>which</w:t>
            </w:r>
            <w:r>
              <w:rPr>
                <w:rFonts w:ascii="Arial"/>
                <w:spacing w:val="35"/>
              </w:rPr>
              <w:t xml:space="preserve"> </w:t>
            </w:r>
            <w:r>
              <w:rPr>
                <w:rFonts w:ascii="Arial"/>
                <w:spacing w:val="-1"/>
              </w:rPr>
              <w:t>are</w:t>
            </w:r>
            <w:r>
              <w:rPr>
                <w:rFonts w:ascii="Arial"/>
                <w:spacing w:val="37"/>
              </w:rPr>
              <w:t xml:space="preserve"> </w:t>
            </w:r>
            <w:r>
              <w:rPr>
                <w:rFonts w:ascii="Arial"/>
                <w:spacing w:val="-1"/>
              </w:rPr>
              <w:t>made</w:t>
            </w:r>
            <w:r>
              <w:rPr>
                <w:rFonts w:ascii="Arial"/>
                <w:spacing w:val="35"/>
              </w:rPr>
              <w:t xml:space="preserve"> </w:t>
            </w:r>
            <w:r>
              <w:rPr>
                <w:rFonts w:ascii="Arial"/>
                <w:spacing w:val="-2"/>
              </w:rPr>
              <w:t>available</w:t>
            </w:r>
            <w:r>
              <w:rPr>
                <w:rFonts w:ascii="Arial"/>
                <w:spacing w:val="37"/>
              </w:rPr>
              <w:t xml:space="preserve"> </w:t>
            </w:r>
            <w:r>
              <w:rPr>
                <w:rFonts w:ascii="Arial"/>
              </w:rPr>
              <w:t>for</w:t>
            </w:r>
            <w:r>
              <w:rPr>
                <w:rFonts w:ascii="Arial"/>
                <w:spacing w:val="36"/>
              </w:rPr>
              <w:t xml:space="preserve"> </w:t>
            </w:r>
            <w:r>
              <w:rPr>
                <w:rFonts w:ascii="Arial"/>
                <w:spacing w:val="-2"/>
              </w:rPr>
              <w:t>use</w:t>
            </w:r>
            <w:r>
              <w:rPr>
                <w:rFonts w:ascii="Arial"/>
                <w:spacing w:val="36"/>
              </w:rPr>
              <w:t xml:space="preserve"> </w:t>
            </w:r>
            <w:r>
              <w:rPr>
                <w:rFonts w:ascii="Arial"/>
                <w:spacing w:val="-1"/>
              </w:rPr>
              <w:t>by</w:t>
            </w:r>
            <w:r>
              <w:rPr>
                <w:rFonts w:ascii="Arial"/>
                <w:spacing w:val="33"/>
              </w:rPr>
              <w:t xml:space="preserve"> </w:t>
            </w:r>
            <w:r>
              <w:rPr>
                <w:rFonts w:ascii="Arial"/>
                <w:spacing w:val="-1"/>
              </w:rPr>
              <w:t>the</w:t>
            </w:r>
            <w:r>
              <w:rPr>
                <w:rFonts w:ascii="Arial"/>
                <w:spacing w:val="38"/>
              </w:rPr>
              <w:t xml:space="preserve"> </w:t>
            </w:r>
            <w:r>
              <w:rPr>
                <w:rFonts w:ascii="Arial"/>
                <w:spacing w:val="-2"/>
              </w:rPr>
              <w:t>Supplier</w:t>
            </w:r>
            <w:r>
              <w:rPr>
                <w:rFonts w:ascii="Arial"/>
                <w:spacing w:val="11"/>
              </w:rPr>
              <w:t xml:space="preserve"> </w:t>
            </w:r>
            <w:r>
              <w:rPr>
                <w:rFonts w:ascii="Arial"/>
                <w:spacing w:val="-1"/>
              </w:rPr>
              <w:t>or</w:t>
            </w:r>
            <w:r>
              <w:rPr>
                <w:rFonts w:ascii="Arial"/>
                <w:spacing w:val="11"/>
              </w:rPr>
              <w:t xml:space="preserve"> </w:t>
            </w:r>
            <w:r>
              <w:rPr>
                <w:rFonts w:ascii="Arial"/>
                <w:spacing w:val="-1"/>
              </w:rPr>
              <w:t>its</w:t>
            </w:r>
            <w:r>
              <w:rPr>
                <w:rFonts w:ascii="Arial"/>
                <w:spacing w:val="11"/>
              </w:rPr>
              <w:t xml:space="preserve"> </w:t>
            </w:r>
            <w:r>
              <w:rPr>
                <w:rFonts w:ascii="Arial"/>
                <w:spacing w:val="-1"/>
              </w:rPr>
              <w:t>Sub-Contractors</w:t>
            </w:r>
            <w:r>
              <w:rPr>
                <w:rFonts w:ascii="Arial"/>
                <w:spacing w:val="8"/>
              </w:rPr>
              <w:t xml:space="preserve"> </w:t>
            </w:r>
            <w:r>
              <w:rPr>
                <w:rFonts w:ascii="Arial"/>
              </w:rPr>
              <w:t>for</w:t>
            </w:r>
            <w:r>
              <w:rPr>
                <w:rFonts w:ascii="Arial"/>
                <w:spacing w:val="9"/>
              </w:rPr>
              <w:t xml:space="preserve"> </w:t>
            </w:r>
            <w:r>
              <w:rPr>
                <w:rFonts w:ascii="Arial"/>
                <w:spacing w:val="-2"/>
              </w:rPr>
              <w:t>provision</w:t>
            </w:r>
            <w:r>
              <w:rPr>
                <w:rFonts w:ascii="Arial"/>
                <w:spacing w:val="10"/>
              </w:rPr>
              <w:t xml:space="preserve"> </w:t>
            </w:r>
            <w:r>
              <w:rPr>
                <w:rFonts w:ascii="Arial"/>
                <w:spacing w:val="-1"/>
              </w:rPr>
              <w:t>of</w:t>
            </w:r>
            <w:r>
              <w:rPr>
                <w:rFonts w:ascii="Arial"/>
                <w:spacing w:val="11"/>
              </w:rPr>
              <w:t xml:space="preserve"> </w:t>
            </w:r>
            <w:r>
              <w:rPr>
                <w:rFonts w:ascii="Arial"/>
                <w:spacing w:val="-1"/>
              </w:rPr>
              <w:t>the</w:t>
            </w:r>
            <w:r>
              <w:rPr>
                <w:rFonts w:ascii="Arial"/>
                <w:spacing w:val="10"/>
              </w:rPr>
              <w:t xml:space="preserve"> </w:t>
            </w:r>
            <w:r>
              <w:rPr>
                <w:rFonts w:ascii="Arial"/>
                <w:spacing w:val="-1"/>
              </w:rPr>
              <w:t>Goods</w:t>
            </w:r>
            <w:r>
              <w:rPr>
                <w:rFonts w:ascii="Arial"/>
                <w:spacing w:val="48"/>
              </w:rPr>
              <w:t xml:space="preserve"> </w:t>
            </w:r>
            <w:r>
              <w:rPr>
                <w:rFonts w:ascii="Arial"/>
                <w:spacing w:val="-1"/>
              </w:rPr>
              <w:t>and/or Services</w:t>
            </w:r>
            <w:r>
              <w:rPr>
                <w:rFonts w:ascii="Arial"/>
                <w:spacing w:val="1"/>
              </w:rPr>
              <w:t xml:space="preserve"> </w:t>
            </w:r>
            <w:r>
              <w:rPr>
                <w:rFonts w:ascii="Arial"/>
                <w:spacing w:val="-1"/>
              </w:rPr>
              <w:t>(or</w:t>
            </w:r>
            <w:r>
              <w:rPr>
                <w:rFonts w:ascii="Arial"/>
                <w:spacing w:val="2"/>
              </w:rPr>
              <w:t xml:space="preserve"> </w:t>
            </w:r>
            <w:r>
              <w:rPr>
                <w:rFonts w:ascii="Arial"/>
                <w:spacing w:val="-1"/>
              </w:rPr>
              <w:t>any</w:t>
            </w:r>
            <w:r>
              <w:rPr>
                <w:rFonts w:ascii="Arial"/>
                <w:spacing w:val="-4"/>
              </w:rPr>
              <w:t xml:space="preserve"> </w:t>
            </w:r>
            <w:r>
              <w:rPr>
                <w:rFonts w:ascii="Arial"/>
                <w:spacing w:val="-2"/>
              </w:rPr>
              <w:t>of</w:t>
            </w:r>
            <w:r>
              <w:rPr>
                <w:rFonts w:ascii="Arial"/>
                <w:spacing w:val="2"/>
              </w:rPr>
              <w:t xml:space="preserve"> </w:t>
            </w:r>
            <w:r>
              <w:rPr>
                <w:rFonts w:ascii="Arial"/>
                <w:spacing w:val="-1"/>
              </w:rPr>
              <w:t>them);</w:t>
            </w:r>
          </w:p>
        </w:tc>
      </w:tr>
      <w:tr w:rsidR="008918FA" w:rsidTr="005D2B81">
        <w:trPr>
          <w:trHeight w:hRule="exact" w:val="382"/>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"Customer</w:t>
            </w:r>
            <w:r>
              <w:rPr>
                <w:rFonts w:ascii="Arial"/>
                <w:b/>
                <w:spacing w:val="1"/>
              </w:rPr>
              <w:t xml:space="preserve"> </w:t>
            </w:r>
            <w:r>
              <w:rPr>
                <w:rFonts w:ascii="Arial"/>
                <w:b/>
                <w:spacing w:val="-2"/>
              </w:rPr>
              <w:t>Property"</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56"/>
              </w:rPr>
              <w:t xml:space="preserve"> </w:t>
            </w:r>
            <w:r>
              <w:rPr>
                <w:rFonts w:ascii="Arial"/>
              </w:rPr>
              <w:t>the</w:t>
            </w:r>
            <w:r>
              <w:rPr>
                <w:rFonts w:ascii="Arial"/>
                <w:spacing w:val="55"/>
              </w:rPr>
              <w:t xml:space="preserve"> </w:t>
            </w:r>
            <w:r>
              <w:rPr>
                <w:rFonts w:ascii="Arial"/>
                <w:spacing w:val="-2"/>
              </w:rPr>
              <w:t>property,</w:t>
            </w:r>
            <w:r>
              <w:rPr>
                <w:rFonts w:ascii="Arial"/>
                <w:spacing w:val="57"/>
              </w:rPr>
              <w:t xml:space="preserve"> </w:t>
            </w:r>
            <w:r>
              <w:rPr>
                <w:rFonts w:ascii="Arial"/>
                <w:spacing w:val="-1"/>
              </w:rPr>
              <w:t>other</w:t>
            </w:r>
            <w:r>
              <w:rPr>
                <w:rFonts w:ascii="Arial"/>
                <w:spacing w:val="57"/>
              </w:rPr>
              <w:t xml:space="preserve"> </w:t>
            </w:r>
            <w:r>
              <w:rPr>
                <w:rFonts w:ascii="Arial"/>
                <w:spacing w:val="-1"/>
              </w:rPr>
              <w:t>than</w:t>
            </w:r>
            <w:r>
              <w:rPr>
                <w:rFonts w:ascii="Arial"/>
                <w:spacing w:val="53"/>
              </w:rPr>
              <w:t xml:space="preserve"> </w:t>
            </w:r>
            <w:r>
              <w:rPr>
                <w:rFonts w:ascii="Arial"/>
                <w:spacing w:val="-1"/>
              </w:rPr>
              <w:t>real</w:t>
            </w:r>
            <w:r>
              <w:rPr>
                <w:rFonts w:ascii="Arial"/>
                <w:spacing w:val="55"/>
              </w:rPr>
              <w:t xml:space="preserve"> </w:t>
            </w:r>
            <w:r>
              <w:rPr>
                <w:rFonts w:ascii="Arial"/>
                <w:spacing w:val="-1"/>
              </w:rPr>
              <w:t>property</w:t>
            </w:r>
            <w:r>
              <w:rPr>
                <w:rFonts w:ascii="Arial"/>
                <w:spacing w:val="54"/>
              </w:rPr>
              <w:t xml:space="preserve"> </w:t>
            </w:r>
            <w:r>
              <w:rPr>
                <w:rFonts w:ascii="Arial"/>
                <w:spacing w:val="-1"/>
              </w:rPr>
              <w:t>and</w:t>
            </w:r>
            <w:r>
              <w:rPr>
                <w:rFonts w:ascii="Arial"/>
                <w:spacing w:val="55"/>
              </w:rPr>
              <w:t xml:space="preserve"> </w:t>
            </w:r>
            <w:r>
              <w:rPr>
                <w:rFonts w:ascii="Arial"/>
                <w:spacing w:val="-1"/>
              </w:rPr>
              <w:t>IPR,</w:t>
            </w:r>
          </w:p>
        </w:tc>
      </w:tr>
    </w:tbl>
    <w:p w:rsidR="008918FA" w:rsidRDefault="008918FA" w:rsidP="008918FA">
      <w:pPr>
        <w:spacing w:line="250" w:lineRule="exact"/>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893"/>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2"/>
              </w:rPr>
              <w:t>including</w:t>
            </w:r>
            <w:r>
              <w:rPr>
                <w:rFonts w:ascii="Arial"/>
                <w:spacing w:val="27"/>
              </w:rPr>
              <w:t xml:space="preserve"> </w:t>
            </w:r>
            <w:r>
              <w:rPr>
                <w:rFonts w:ascii="Arial"/>
                <w:spacing w:val="-1"/>
              </w:rPr>
              <w:t>any</w:t>
            </w:r>
            <w:r>
              <w:rPr>
                <w:rFonts w:ascii="Arial"/>
                <w:spacing w:val="23"/>
              </w:rPr>
              <w:t xml:space="preserve"> </w:t>
            </w:r>
            <w:r>
              <w:rPr>
                <w:rFonts w:ascii="Arial"/>
                <w:spacing w:val="-1"/>
              </w:rPr>
              <w:t>equipment</w:t>
            </w:r>
            <w:r>
              <w:rPr>
                <w:rFonts w:ascii="Arial"/>
                <w:spacing w:val="23"/>
              </w:rPr>
              <w:t xml:space="preserve"> </w:t>
            </w:r>
            <w:r>
              <w:rPr>
                <w:rFonts w:ascii="Arial"/>
                <w:spacing w:val="-1"/>
              </w:rPr>
              <w:t>issued</w:t>
            </w:r>
            <w:r>
              <w:rPr>
                <w:rFonts w:ascii="Arial"/>
                <w:spacing w:val="24"/>
              </w:rPr>
              <w:t xml:space="preserve"> </w:t>
            </w:r>
            <w:r>
              <w:rPr>
                <w:rFonts w:ascii="Arial"/>
                <w:spacing w:val="-1"/>
              </w:rPr>
              <w:t>or</w:t>
            </w:r>
            <w:r>
              <w:rPr>
                <w:rFonts w:ascii="Arial"/>
                <w:spacing w:val="24"/>
              </w:rPr>
              <w:t xml:space="preserve"> </w:t>
            </w:r>
            <w:r>
              <w:rPr>
                <w:rFonts w:ascii="Arial"/>
                <w:spacing w:val="-1"/>
              </w:rPr>
              <w:t>made</w:t>
            </w:r>
            <w:r>
              <w:rPr>
                <w:rFonts w:ascii="Arial"/>
                <w:spacing w:val="22"/>
              </w:rPr>
              <w:t xml:space="preserve"> </w:t>
            </w:r>
            <w:r>
              <w:rPr>
                <w:rFonts w:ascii="Arial"/>
                <w:spacing w:val="-2"/>
              </w:rPr>
              <w:t>available</w:t>
            </w:r>
            <w:r>
              <w:rPr>
                <w:rFonts w:ascii="Arial"/>
                <w:spacing w:val="24"/>
              </w:rPr>
              <w:t xml:space="preserve"> </w:t>
            </w:r>
            <w:r>
              <w:rPr>
                <w:rFonts w:ascii="Arial"/>
              </w:rPr>
              <w:t>to</w:t>
            </w:r>
            <w:r>
              <w:rPr>
                <w:rFonts w:ascii="Arial"/>
                <w:spacing w:val="24"/>
              </w:rPr>
              <w:t xml:space="preserve"> </w:t>
            </w:r>
            <w:r>
              <w:rPr>
                <w:rFonts w:ascii="Arial"/>
                <w:spacing w:val="-1"/>
              </w:rPr>
              <w:t>the</w:t>
            </w:r>
            <w:r>
              <w:rPr>
                <w:rFonts w:ascii="Arial"/>
                <w:spacing w:val="51"/>
              </w:rPr>
              <w:t xml:space="preserve"> </w:t>
            </w:r>
            <w:r>
              <w:rPr>
                <w:rFonts w:ascii="Arial"/>
                <w:spacing w:val="-2"/>
              </w:rPr>
              <w:t>Supplier</w:t>
            </w:r>
            <w:r>
              <w:rPr>
                <w:rFonts w:ascii="Arial"/>
                <w:spacing w:val="21"/>
              </w:rPr>
              <w:t xml:space="preserve"> </w:t>
            </w:r>
            <w:r>
              <w:rPr>
                <w:rFonts w:ascii="Arial"/>
                <w:spacing w:val="-1"/>
              </w:rPr>
              <w:t>by</w:t>
            </w:r>
            <w:r>
              <w:rPr>
                <w:rFonts w:ascii="Arial"/>
                <w:spacing w:val="18"/>
              </w:rPr>
              <w:t xml:space="preserve"> </w:t>
            </w:r>
            <w:r>
              <w:rPr>
                <w:rFonts w:ascii="Arial"/>
              </w:rPr>
              <w:t>the</w:t>
            </w:r>
            <w:r>
              <w:rPr>
                <w:rFonts w:ascii="Arial"/>
                <w:spacing w:val="20"/>
              </w:rPr>
              <w:t xml:space="preserve"> </w:t>
            </w:r>
            <w:r>
              <w:rPr>
                <w:rFonts w:ascii="Arial"/>
                <w:spacing w:val="-1"/>
              </w:rPr>
              <w:t>Customer</w:t>
            </w:r>
            <w:r>
              <w:rPr>
                <w:rFonts w:ascii="Arial"/>
                <w:spacing w:val="21"/>
              </w:rPr>
              <w:t xml:space="preserve"> </w:t>
            </w:r>
            <w:r>
              <w:rPr>
                <w:rFonts w:ascii="Arial"/>
                <w:spacing w:val="-1"/>
              </w:rPr>
              <w:t>in</w:t>
            </w:r>
            <w:r>
              <w:rPr>
                <w:rFonts w:ascii="Arial"/>
                <w:spacing w:val="20"/>
              </w:rPr>
              <w:t xml:space="preserve"> </w:t>
            </w:r>
            <w:r>
              <w:rPr>
                <w:rFonts w:ascii="Arial"/>
                <w:spacing w:val="-1"/>
              </w:rPr>
              <w:t>connection</w:t>
            </w:r>
            <w:r>
              <w:rPr>
                <w:rFonts w:ascii="Arial"/>
                <w:spacing w:val="20"/>
              </w:rPr>
              <w:t xml:space="preserve"> </w:t>
            </w:r>
            <w:r>
              <w:rPr>
                <w:rFonts w:ascii="Arial"/>
                <w:spacing w:val="-2"/>
              </w:rPr>
              <w:t>with</w:t>
            </w:r>
            <w:r>
              <w:rPr>
                <w:rFonts w:ascii="Arial"/>
                <w:spacing w:val="20"/>
              </w:rPr>
              <w:t xml:space="preserve"> </w:t>
            </w:r>
            <w:r>
              <w:rPr>
                <w:rFonts w:ascii="Arial"/>
                <w:spacing w:val="-1"/>
              </w:rPr>
              <w:t>this</w:t>
            </w:r>
            <w:r>
              <w:rPr>
                <w:rFonts w:ascii="Arial"/>
                <w:spacing w:val="20"/>
              </w:rPr>
              <w:t xml:space="preserve"> </w:t>
            </w:r>
            <w:r>
              <w:rPr>
                <w:rFonts w:ascii="Arial"/>
                <w:spacing w:val="-2"/>
              </w:rPr>
              <w:t>Call</w:t>
            </w:r>
            <w:r>
              <w:rPr>
                <w:rFonts w:ascii="Arial"/>
                <w:spacing w:val="19"/>
              </w:rPr>
              <w:t xml:space="preserve"> </w:t>
            </w:r>
            <w:r>
              <w:rPr>
                <w:rFonts w:ascii="Arial"/>
                <w:spacing w:val="-1"/>
              </w:rPr>
              <w:t>Off</w:t>
            </w:r>
            <w:r>
              <w:rPr>
                <w:rFonts w:ascii="Arial"/>
                <w:spacing w:val="45"/>
              </w:rPr>
              <w:t xml:space="preserve"> </w:t>
            </w:r>
            <w:r>
              <w:rPr>
                <w:rFonts w:ascii="Arial"/>
                <w:spacing w:val="-1"/>
              </w:rPr>
              <w:t>Contract;</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718"/>
              <w:rPr>
                <w:rFonts w:ascii="Arial" w:eastAsia="Arial" w:hAnsi="Arial" w:cs="Arial"/>
              </w:rPr>
            </w:pPr>
            <w:r>
              <w:rPr>
                <w:rFonts w:ascii="Arial"/>
                <w:b/>
                <w:spacing w:val="-1"/>
              </w:rPr>
              <w:t>"Customer</w:t>
            </w:r>
            <w:r>
              <w:rPr>
                <w:rFonts w:ascii="Arial"/>
                <w:b/>
                <w:spacing w:val="22"/>
              </w:rPr>
              <w:t xml:space="preserve"> </w:t>
            </w:r>
            <w:r>
              <w:rPr>
                <w:rFonts w:ascii="Arial"/>
                <w:b/>
                <w:spacing w:val="-1"/>
              </w:rPr>
              <w:t>Representative"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rPr>
                <w:rFonts w:ascii="Arial" w:eastAsia="Arial" w:hAnsi="Arial" w:cs="Arial"/>
              </w:rPr>
            </w:pPr>
            <w:r>
              <w:rPr>
                <w:rFonts w:ascii="Arial"/>
                <w:spacing w:val="-1"/>
              </w:rPr>
              <w:t>means</w:t>
            </w:r>
            <w:r>
              <w:rPr>
                <w:rFonts w:ascii="Arial"/>
              </w:rPr>
              <w:t xml:space="preserve"> </w:t>
            </w:r>
            <w:r>
              <w:rPr>
                <w:rFonts w:ascii="Arial"/>
                <w:spacing w:val="19"/>
              </w:rPr>
              <w:t xml:space="preserve"> </w:t>
            </w:r>
            <w:r>
              <w:rPr>
                <w:rFonts w:ascii="Arial"/>
              </w:rPr>
              <w:t xml:space="preserve">the </w:t>
            </w:r>
            <w:r>
              <w:rPr>
                <w:rFonts w:ascii="Arial"/>
                <w:spacing w:val="18"/>
              </w:rPr>
              <w:t xml:space="preserve"> </w:t>
            </w:r>
            <w:r>
              <w:rPr>
                <w:rFonts w:ascii="Arial"/>
                <w:spacing w:val="-1"/>
              </w:rPr>
              <w:t>representative</w:t>
            </w:r>
            <w:r>
              <w:rPr>
                <w:rFonts w:ascii="Arial"/>
              </w:rPr>
              <w:t xml:space="preserve"> </w:t>
            </w:r>
            <w:r>
              <w:rPr>
                <w:rFonts w:ascii="Arial"/>
                <w:spacing w:val="18"/>
              </w:rPr>
              <w:t xml:space="preserve"> </w:t>
            </w:r>
            <w:r>
              <w:rPr>
                <w:rFonts w:ascii="Arial"/>
                <w:spacing w:val="-1"/>
              </w:rPr>
              <w:t>appointed</w:t>
            </w:r>
            <w:r>
              <w:rPr>
                <w:rFonts w:ascii="Arial"/>
              </w:rPr>
              <w:t xml:space="preserve"> </w:t>
            </w:r>
            <w:r>
              <w:rPr>
                <w:rFonts w:ascii="Arial"/>
                <w:spacing w:val="18"/>
              </w:rPr>
              <w:t xml:space="preserve"> </w:t>
            </w:r>
            <w:r>
              <w:rPr>
                <w:rFonts w:ascii="Arial"/>
                <w:spacing w:val="-1"/>
              </w:rPr>
              <w:t>by</w:t>
            </w:r>
            <w:r>
              <w:rPr>
                <w:rFonts w:ascii="Arial"/>
              </w:rPr>
              <w:t xml:space="preserve"> </w:t>
            </w:r>
            <w:r>
              <w:rPr>
                <w:rFonts w:ascii="Arial"/>
                <w:spacing w:val="19"/>
              </w:rPr>
              <w:t xml:space="preserve"> </w:t>
            </w:r>
            <w:r>
              <w:rPr>
                <w:rFonts w:ascii="Arial"/>
              </w:rPr>
              <w:t xml:space="preserve">the </w:t>
            </w:r>
            <w:r>
              <w:rPr>
                <w:rFonts w:ascii="Arial"/>
                <w:spacing w:val="18"/>
              </w:rPr>
              <w:t xml:space="preserve"> </w:t>
            </w:r>
            <w:r>
              <w:rPr>
                <w:rFonts w:ascii="Arial"/>
                <w:spacing w:val="-1"/>
              </w:rPr>
              <w:t>Customer</w:t>
            </w:r>
            <w:r>
              <w:rPr>
                <w:rFonts w:ascii="Arial"/>
                <w:spacing w:val="21"/>
              </w:rPr>
              <w:t xml:space="preserve"> </w:t>
            </w:r>
            <w:r>
              <w:rPr>
                <w:rFonts w:ascii="Arial"/>
                <w:spacing w:val="-1"/>
              </w:rPr>
              <w:t>from time</w:t>
            </w:r>
            <w:r>
              <w:rPr>
                <w:rFonts w:ascii="Arial"/>
                <w:spacing w:val="-2"/>
              </w:rPr>
              <w:t xml:space="preserve"> </w:t>
            </w:r>
            <w:r>
              <w:rPr>
                <w:rFonts w:ascii="Arial"/>
              </w:rPr>
              <w:t>to</w:t>
            </w:r>
            <w:r>
              <w:rPr>
                <w:rFonts w:ascii="Arial"/>
                <w:spacing w:val="-2"/>
              </w:rPr>
              <w:t xml:space="preserve"> </w:t>
            </w:r>
            <w:r>
              <w:rPr>
                <w:rFonts w:ascii="Arial"/>
                <w:spacing w:val="-1"/>
              </w:rPr>
              <w:t>time</w:t>
            </w:r>
            <w:r>
              <w:rPr>
                <w:rFonts w:ascii="Arial"/>
                <w:spacing w:val="-2"/>
              </w:rPr>
              <w:t xml:space="preserve"> </w:t>
            </w:r>
            <w:r>
              <w:rPr>
                <w:rFonts w:ascii="Arial"/>
                <w:spacing w:val="-1"/>
              </w:rPr>
              <w:t>in</w:t>
            </w:r>
            <w:r>
              <w:rPr>
                <w:rFonts w:ascii="Arial"/>
                <w:spacing w:val="-2"/>
              </w:rPr>
              <w:t xml:space="preserve"> </w:t>
            </w:r>
            <w:r>
              <w:rPr>
                <w:rFonts w:ascii="Arial"/>
                <w:spacing w:val="-1"/>
              </w:rPr>
              <w:t>relation</w:t>
            </w:r>
            <w:r>
              <w:rPr>
                <w:rFonts w:ascii="Arial"/>
              </w:rPr>
              <w:t xml:space="preserve"> to</w:t>
            </w:r>
            <w:r>
              <w:rPr>
                <w:rFonts w:ascii="Arial"/>
                <w:spacing w:val="-2"/>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Contract;</w:t>
            </w:r>
          </w:p>
        </w:tc>
      </w:tr>
      <w:tr w:rsidR="008918FA" w:rsidTr="005D2B81">
        <w:trPr>
          <w:trHeight w:hRule="exact" w:val="1654"/>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607"/>
              <w:rPr>
                <w:rFonts w:ascii="Arial" w:eastAsia="Arial" w:hAnsi="Arial" w:cs="Arial"/>
              </w:rPr>
            </w:pPr>
            <w:r>
              <w:rPr>
                <w:rFonts w:ascii="Arial"/>
                <w:b/>
                <w:spacing w:val="-1"/>
              </w:rPr>
              <w:t>"Customer</w:t>
            </w:r>
            <w:r>
              <w:rPr>
                <w:rFonts w:ascii="Arial"/>
                <w:b/>
                <w:spacing w:val="22"/>
              </w:rPr>
              <w:t xml:space="preserve"> </w:t>
            </w:r>
            <w:r>
              <w:rPr>
                <w:rFonts w:ascii="Arial"/>
                <w:b/>
                <w:spacing w:val="-1"/>
              </w:rPr>
              <w:t>Responsibilities"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20"/>
              </w:rPr>
              <w:t xml:space="preserve"> </w:t>
            </w:r>
            <w:r>
              <w:rPr>
                <w:rFonts w:ascii="Arial"/>
              </w:rPr>
              <w:t>the</w:t>
            </w:r>
            <w:r>
              <w:rPr>
                <w:rFonts w:ascii="Arial"/>
                <w:spacing w:val="19"/>
              </w:rPr>
              <w:t xml:space="preserve"> </w:t>
            </w:r>
            <w:r>
              <w:rPr>
                <w:rFonts w:ascii="Arial"/>
                <w:spacing w:val="-1"/>
              </w:rPr>
              <w:t>responsibilities</w:t>
            </w:r>
            <w:r>
              <w:rPr>
                <w:rFonts w:ascii="Arial"/>
                <w:spacing w:val="22"/>
              </w:rPr>
              <w:t xml:space="preserve"> </w:t>
            </w:r>
            <w:r>
              <w:rPr>
                <w:rFonts w:ascii="Arial"/>
                <w:spacing w:val="-2"/>
              </w:rPr>
              <w:t>of</w:t>
            </w:r>
            <w:r>
              <w:rPr>
                <w:rFonts w:ascii="Arial"/>
                <w:spacing w:val="23"/>
              </w:rPr>
              <w:t xml:space="preserve"> </w:t>
            </w:r>
            <w:r>
              <w:rPr>
                <w:rFonts w:ascii="Arial"/>
              </w:rPr>
              <w:t>the</w:t>
            </w:r>
            <w:r>
              <w:rPr>
                <w:rFonts w:ascii="Arial"/>
                <w:spacing w:val="19"/>
              </w:rPr>
              <w:t xml:space="preserve"> </w:t>
            </w:r>
            <w:r>
              <w:rPr>
                <w:rFonts w:ascii="Arial"/>
                <w:spacing w:val="-1"/>
              </w:rPr>
              <w:t>Customer</w:t>
            </w:r>
            <w:r>
              <w:rPr>
                <w:rFonts w:ascii="Arial"/>
                <w:spacing w:val="21"/>
              </w:rPr>
              <w:t xml:space="preserve"> </w:t>
            </w:r>
            <w:r>
              <w:rPr>
                <w:rFonts w:ascii="Arial"/>
                <w:spacing w:val="-2"/>
              </w:rPr>
              <w:t>set</w:t>
            </w:r>
            <w:r>
              <w:rPr>
                <w:rFonts w:ascii="Arial"/>
                <w:spacing w:val="21"/>
              </w:rPr>
              <w:t xml:space="preserve"> </w:t>
            </w:r>
            <w:r>
              <w:rPr>
                <w:rFonts w:ascii="Arial"/>
                <w:spacing w:val="-1"/>
              </w:rPr>
              <w:t>out</w:t>
            </w:r>
            <w:r>
              <w:rPr>
                <w:rFonts w:ascii="Arial"/>
                <w:spacing w:val="23"/>
              </w:rPr>
              <w:t xml:space="preserve"> </w:t>
            </w:r>
            <w:r>
              <w:rPr>
                <w:rFonts w:ascii="Arial"/>
                <w:spacing w:val="-1"/>
              </w:rPr>
              <w:t>in</w:t>
            </w:r>
            <w:r>
              <w:rPr>
                <w:rFonts w:ascii="Arial"/>
                <w:spacing w:val="19"/>
              </w:rPr>
              <w:t xml:space="preserve"> </w:t>
            </w:r>
            <w:r>
              <w:rPr>
                <w:rFonts w:ascii="Arial"/>
                <w:spacing w:val="-1"/>
              </w:rPr>
              <w:t>the</w:t>
            </w:r>
            <w:r>
              <w:rPr>
                <w:rFonts w:ascii="Arial"/>
                <w:spacing w:val="20"/>
              </w:rPr>
              <w:t xml:space="preserve"> </w:t>
            </w:r>
            <w:r>
              <w:rPr>
                <w:rFonts w:ascii="Arial"/>
                <w:spacing w:val="-1"/>
              </w:rPr>
              <w:t>Part</w:t>
            </w:r>
            <w:r>
              <w:rPr>
                <w:rFonts w:ascii="Arial"/>
                <w:spacing w:val="22"/>
              </w:rPr>
              <w:t xml:space="preserve"> </w:t>
            </w:r>
            <w:r>
              <w:rPr>
                <w:rFonts w:ascii="Arial"/>
              </w:rPr>
              <w:t>B</w:t>
            </w:r>
            <w:r>
              <w:rPr>
                <w:rFonts w:ascii="Arial"/>
                <w:spacing w:val="20"/>
              </w:rPr>
              <w:t xml:space="preserve"> </w:t>
            </w:r>
            <w:r>
              <w:rPr>
                <w:rFonts w:ascii="Arial"/>
                <w:spacing w:val="-2"/>
              </w:rPr>
              <w:t>of</w:t>
            </w:r>
            <w:r>
              <w:rPr>
                <w:rFonts w:ascii="Arial"/>
                <w:spacing w:val="22"/>
              </w:rPr>
              <w:t xml:space="preserve"> </w:t>
            </w:r>
            <w:r>
              <w:rPr>
                <w:rFonts w:ascii="Arial"/>
                <w:spacing w:val="-2"/>
              </w:rPr>
              <w:t>Call</w:t>
            </w:r>
            <w:r>
              <w:rPr>
                <w:rFonts w:ascii="Arial"/>
                <w:spacing w:val="20"/>
              </w:rPr>
              <w:t xml:space="preserve"> </w:t>
            </w:r>
            <w:r>
              <w:rPr>
                <w:rFonts w:ascii="Arial"/>
                <w:spacing w:val="-1"/>
              </w:rPr>
              <w:t>Off</w:t>
            </w:r>
            <w:r>
              <w:rPr>
                <w:rFonts w:ascii="Arial"/>
                <w:spacing w:val="22"/>
              </w:rPr>
              <w:t xml:space="preserve"> </w:t>
            </w:r>
            <w:r>
              <w:rPr>
                <w:rFonts w:ascii="Arial"/>
                <w:spacing w:val="-2"/>
              </w:rPr>
              <w:t>Schedule</w:t>
            </w:r>
            <w:r>
              <w:rPr>
                <w:rFonts w:ascii="Arial"/>
                <w:spacing w:val="21"/>
              </w:rPr>
              <w:t xml:space="preserve"> </w:t>
            </w:r>
            <w:r>
              <w:rPr>
                <w:rFonts w:ascii="Arial"/>
              </w:rPr>
              <w:t>4</w:t>
            </w:r>
            <w:r>
              <w:rPr>
                <w:rFonts w:ascii="Arial"/>
                <w:spacing w:val="21"/>
              </w:rPr>
              <w:t xml:space="preserve"> </w:t>
            </w:r>
            <w:r>
              <w:rPr>
                <w:rFonts w:ascii="Arial"/>
                <w:spacing w:val="-1"/>
              </w:rPr>
              <w:t>(Implementation</w:t>
            </w:r>
            <w:r>
              <w:rPr>
                <w:rFonts w:ascii="Arial"/>
                <w:spacing w:val="21"/>
              </w:rPr>
              <w:t xml:space="preserve"> </w:t>
            </w:r>
            <w:r>
              <w:rPr>
                <w:rFonts w:ascii="Arial"/>
                <w:spacing w:val="-2"/>
              </w:rPr>
              <w:t>Plan,</w:t>
            </w:r>
            <w:r>
              <w:rPr>
                <w:rFonts w:ascii="Arial"/>
                <w:spacing w:val="36"/>
              </w:rPr>
              <w:t xml:space="preserve"> </w:t>
            </w:r>
            <w:r>
              <w:rPr>
                <w:rFonts w:ascii="Arial"/>
                <w:spacing w:val="-1"/>
              </w:rPr>
              <w:t>Customer</w:t>
            </w:r>
            <w:r>
              <w:rPr>
                <w:rFonts w:ascii="Arial"/>
                <w:spacing w:val="50"/>
              </w:rPr>
              <w:t xml:space="preserve"> </w:t>
            </w:r>
            <w:r>
              <w:rPr>
                <w:rFonts w:ascii="Arial"/>
                <w:spacing w:val="-2"/>
              </w:rPr>
              <w:t>Responsibilities</w:t>
            </w:r>
            <w:r>
              <w:rPr>
                <w:rFonts w:ascii="Arial"/>
                <w:spacing w:val="49"/>
              </w:rPr>
              <w:t xml:space="preserve"> </w:t>
            </w:r>
            <w:r>
              <w:rPr>
                <w:rFonts w:ascii="Arial"/>
                <w:spacing w:val="-1"/>
              </w:rPr>
              <w:t>and</w:t>
            </w:r>
            <w:r>
              <w:rPr>
                <w:rFonts w:ascii="Arial"/>
                <w:spacing w:val="48"/>
              </w:rPr>
              <w:t xml:space="preserve"> </w:t>
            </w:r>
            <w:r>
              <w:rPr>
                <w:rFonts w:ascii="Arial"/>
                <w:spacing w:val="-1"/>
              </w:rPr>
              <w:t>Key</w:t>
            </w:r>
            <w:r>
              <w:rPr>
                <w:rFonts w:ascii="Arial"/>
                <w:spacing w:val="46"/>
              </w:rPr>
              <w:t xml:space="preserve"> </w:t>
            </w:r>
            <w:r>
              <w:rPr>
                <w:rFonts w:ascii="Arial"/>
                <w:spacing w:val="-1"/>
              </w:rPr>
              <w:t>Personnel)</w:t>
            </w:r>
            <w:r>
              <w:rPr>
                <w:rFonts w:ascii="Arial"/>
                <w:spacing w:val="49"/>
              </w:rPr>
              <w:t xml:space="preserve"> </w:t>
            </w:r>
            <w:r>
              <w:rPr>
                <w:rFonts w:ascii="Arial"/>
                <w:spacing w:val="-1"/>
              </w:rPr>
              <w:t>and</w:t>
            </w:r>
            <w:r>
              <w:rPr>
                <w:rFonts w:ascii="Arial"/>
                <w:spacing w:val="48"/>
              </w:rPr>
              <w:t xml:space="preserve"> </w:t>
            </w:r>
            <w:r>
              <w:rPr>
                <w:rFonts w:ascii="Arial"/>
                <w:spacing w:val="-1"/>
              </w:rPr>
              <w:t>any</w:t>
            </w:r>
            <w:r>
              <w:rPr>
                <w:rFonts w:ascii="Arial"/>
                <w:spacing w:val="42"/>
              </w:rPr>
              <w:t xml:space="preserve"> </w:t>
            </w:r>
            <w:r>
              <w:rPr>
                <w:rFonts w:ascii="Arial"/>
                <w:spacing w:val="-1"/>
              </w:rPr>
              <w:t>other</w:t>
            </w:r>
            <w:r>
              <w:rPr>
                <w:rFonts w:ascii="Arial"/>
                <w:spacing w:val="30"/>
              </w:rPr>
              <w:t xml:space="preserve"> </w:t>
            </w:r>
            <w:r>
              <w:rPr>
                <w:rFonts w:ascii="Arial"/>
                <w:spacing w:val="-2"/>
              </w:rPr>
              <w:t>responsibilities</w:t>
            </w:r>
            <w:r>
              <w:rPr>
                <w:rFonts w:ascii="Arial"/>
                <w:spacing w:val="30"/>
              </w:rPr>
              <w:t xml:space="preserve"> </w:t>
            </w:r>
            <w:r>
              <w:rPr>
                <w:rFonts w:ascii="Arial"/>
                <w:spacing w:val="-1"/>
              </w:rPr>
              <w:t>of</w:t>
            </w:r>
            <w:r>
              <w:rPr>
                <w:rFonts w:ascii="Arial"/>
                <w:spacing w:val="30"/>
              </w:rPr>
              <w:t xml:space="preserve"> </w:t>
            </w:r>
            <w:r>
              <w:rPr>
                <w:rFonts w:ascii="Arial"/>
              </w:rPr>
              <w:t>the</w:t>
            </w:r>
            <w:r>
              <w:rPr>
                <w:rFonts w:ascii="Arial"/>
                <w:spacing w:val="29"/>
              </w:rPr>
              <w:t xml:space="preserve"> </w:t>
            </w:r>
            <w:r>
              <w:rPr>
                <w:rFonts w:ascii="Arial"/>
                <w:spacing w:val="-1"/>
              </w:rPr>
              <w:t>Customer</w:t>
            </w:r>
            <w:r>
              <w:rPr>
                <w:rFonts w:ascii="Arial"/>
                <w:spacing w:val="30"/>
              </w:rPr>
              <w:t xml:space="preserve"> </w:t>
            </w:r>
            <w:r>
              <w:rPr>
                <w:rFonts w:ascii="Arial"/>
                <w:spacing w:val="-1"/>
              </w:rPr>
              <w:t>in</w:t>
            </w:r>
            <w:r>
              <w:rPr>
                <w:rFonts w:ascii="Arial"/>
                <w:spacing w:val="29"/>
              </w:rPr>
              <w:t xml:space="preserve"> </w:t>
            </w:r>
            <w:r>
              <w:rPr>
                <w:rFonts w:ascii="Arial"/>
              </w:rPr>
              <w:t>the</w:t>
            </w:r>
            <w:r>
              <w:rPr>
                <w:rFonts w:ascii="Arial"/>
                <w:spacing w:val="29"/>
              </w:rPr>
              <w:t xml:space="preserve"> </w:t>
            </w:r>
            <w:r>
              <w:rPr>
                <w:rFonts w:ascii="Arial"/>
                <w:spacing w:val="-2"/>
              </w:rPr>
              <w:t>Order</w:t>
            </w:r>
            <w:r>
              <w:rPr>
                <w:rFonts w:ascii="Arial"/>
                <w:spacing w:val="30"/>
              </w:rPr>
              <w:t xml:space="preserve"> </w:t>
            </w:r>
            <w:r>
              <w:rPr>
                <w:rFonts w:ascii="Arial"/>
                <w:spacing w:val="-1"/>
              </w:rPr>
              <w:t>Form</w:t>
            </w:r>
            <w:r>
              <w:rPr>
                <w:rFonts w:ascii="Arial"/>
                <w:spacing w:val="53"/>
              </w:rPr>
              <w:t xml:space="preserve"> </w:t>
            </w:r>
            <w:r>
              <w:rPr>
                <w:rFonts w:ascii="Arial"/>
                <w:spacing w:val="-1"/>
              </w:rPr>
              <w:t>or</w:t>
            </w:r>
            <w:r>
              <w:rPr>
                <w:rFonts w:ascii="Arial"/>
                <w:spacing w:val="11"/>
              </w:rPr>
              <w:t xml:space="preserve"> </w:t>
            </w:r>
            <w:r>
              <w:rPr>
                <w:rFonts w:ascii="Arial"/>
                <w:spacing w:val="-1"/>
              </w:rPr>
              <w:t>agreed</w:t>
            </w:r>
            <w:r>
              <w:rPr>
                <w:rFonts w:ascii="Arial"/>
                <w:spacing w:val="7"/>
              </w:rPr>
              <w:t xml:space="preserve"> </w:t>
            </w:r>
            <w:r>
              <w:rPr>
                <w:rFonts w:ascii="Arial"/>
                <w:spacing w:val="-1"/>
              </w:rPr>
              <w:t>in</w:t>
            </w:r>
            <w:r>
              <w:rPr>
                <w:rFonts w:ascii="Arial"/>
                <w:spacing w:val="10"/>
              </w:rPr>
              <w:t xml:space="preserve"> </w:t>
            </w:r>
            <w:r>
              <w:rPr>
                <w:rFonts w:ascii="Arial"/>
                <w:spacing w:val="-2"/>
              </w:rPr>
              <w:t>writing</w:t>
            </w:r>
            <w:r>
              <w:rPr>
                <w:rFonts w:ascii="Arial"/>
                <w:spacing w:val="10"/>
              </w:rPr>
              <w:t xml:space="preserve"> </w:t>
            </w:r>
            <w:r>
              <w:rPr>
                <w:rFonts w:ascii="Arial"/>
                <w:spacing w:val="-1"/>
              </w:rPr>
              <w:t>between</w:t>
            </w:r>
            <w:r>
              <w:rPr>
                <w:rFonts w:ascii="Arial"/>
                <w:spacing w:val="10"/>
              </w:rPr>
              <w:t xml:space="preserve"> </w:t>
            </w:r>
            <w:r>
              <w:rPr>
                <w:rFonts w:ascii="Arial"/>
              </w:rPr>
              <w:t>the</w:t>
            </w:r>
            <w:r>
              <w:rPr>
                <w:rFonts w:ascii="Arial"/>
                <w:spacing w:val="10"/>
              </w:rPr>
              <w:t xml:space="preserve"> </w:t>
            </w:r>
            <w:r>
              <w:rPr>
                <w:rFonts w:ascii="Arial"/>
                <w:spacing w:val="-1"/>
              </w:rPr>
              <w:t>Parties</w:t>
            </w:r>
            <w:r>
              <w:rPr>
                <w:rFonts w:ascii="Arial"/>
                <w:spacing w:val="5"/>
              </w:rPr>
              <w:t xml:space="preserve"> </w:t>
            </w:r>
            <w:r>
              <w:rPr>
                <w:rFonts w:ascii="Arial"/>
              </w:rPr>
              <w:t>from</w:t>
            </w:r>
            <w:r>
              <w:rPr>
                <w:rFonts w:ascii="Arial"/>
                <w:spacing w:val="9"/>
              </w:rPr>
              <w:t xml:space="preserve"> </w:t>
            </w:r>
            <w:r>
              <w:rPr>
                <w:rFonts w:ascii="Arial"/>
                <w:spacing w:val="-2"/>
              </w:rPr>
              <w:t>time</w:t>
            </w:r>
            <w:r>
              <w:rPr>
                <w:rFonts w:ascii="Arial"/>
                <w:spacing w:val="10"/>
              </w:rPr>
              <w:t xml:space="preserve"> </w:t>
            </w:r>
            <w:r>
              <w:rPr>
                <w:rFonts w:ascii="Arial"/>
              </w:rPr>
              <w:t>to</w:t>
            </w:r>
            <w:r>
              <w:rPr>
                <w:rFonts w:ascii="Arial"/>
                <w:spacing w:val="7"/>
              </w:rPr>
              <w:t xml:space="preserve"> </w:t>
            </w:r>
            <w:r>
              <w:rPr>
                <w:rFonts w:ascii="Arial"/>
                <w:spacing w:val="-1"/>
              </w:rPr>
              <w:t>time</w:t>
            </w:r>
            <w:r>
              <w:rPr>
                <w:rFonts w:ascii="Arial"/>
                <w:spacing w:val="37"/>
              </w:rPr>
              <w:t xml:space="preserve"> </w:t>
            </w:r>
            <w:r>
              <w:rPr>
                <w:rFonts w:ascii="Arial"/>
                <w:spacing w:val="-1"/>
              </w:rPr>
              <w:t>in</w:t>
            </w:r>
            <w:r>
              <w:rPr>
                <w:rFonts w:ascii="Arial"/>
              </w:rPr>
              <w:t xml:space="preserve"> </w:t>
            </w:r>
            <w:r>
              <w:rPr>
                <w:rFonts w:ascii="Arial"/>
                <w:spacing w:val="-1"/>
              </w:rPr>
              <w:t>connection</w:t>
            </w:r>
            <w:r>
              <w:rPr>
                <w:rFonts w:ascii="Arial"/>
              </w:rPr>
              <w:t xml:space="preserve"> </w:t>
            </w:r>
            <w:r>
              <w:rPr>
                <w:rFonts w:ascii="Arial"/>
                <w:spacing w:val="-2"/>
              </w:rPr>
              <w:t>with</w:t>
            </w:r>
            <w:r>
              <w:rPr>
                <w:rFonts w:ascii="Arial"/>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Contract;</w:t>
            </w:r>
          </w:p>
        </w:tc>
      </w:tr>
      <w:tr w:rsidR="008918FA" w:rsidTr="005D2B81">
        <w:trPr>
          <w:trHeight w:hRule="exact" w:val="429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ind w:left="-6" w:right="1084"/>
              <w:jc w:val="both"/>
              <w:rPr>
                <w:rFonts w:ascii="Arial" w:eastAsia="Arial" w:hAnsi="Arial" w:cs="Arial"/>
              </w:rPr>
            </w:pPr>
            <w:r>
              <w:rPr>
                <w:rFonts w:ascii="Arial"/>
                <w:b/>
                <w:spacing w:val="-1"/>
              </w:rPr>
              <w:t>"Customer's</w:t>
            </w:r>
            <w:r>
              <w:rPr>
                <w:rFonts w:ascii="Arial"/>
                <w:b/>
                <w:spacing w:val="24"/>
              </w:rPr>
              <w:t xml:space="preserve"> </w:t>
            </w:r>
            <w:r>
              <w:rPr>
                <w:rFonts w:ascii="Arial"/>
                <w:b/>
                <w:spacing w:val="-1"/>
              </w:rPr>
              <w:t>Confidential</w:t>
            </w:r>
            <w:r>
              <w:rPr>
                <w:rFonts w:ascii="Arial"/>
                <w:b/>
                <w:spacing w:val="23"/>
              </w:rPr>
              <w:t xml:space="preserve"> </w:t>
            </w:r>
            <w:r>
              <w:rPr>
                <w:rFonts w:ascii="Arial"/>
                <w:b/>
                <w:spacing w:val="-1"/>
              </w:rPr>
              <w:t>Information"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49"/>
              </w:numPr>
              <w:tabs>
                <w:tab w:val="left" w:pos="820"/>
              </w:tabs>
              <w:spacing w:before="121"/>
              <w:ind w:right="99" w:hanging="544"/>
              <w:jc w:val="both"/>
              <w:rPr>
                <w:rFonts w:ascii="Arial" w:eastAsia="Arial" w:hAnsi="Arial" w:cs="Arial"/>
              </w:rPr>
            </w:pPr>
            <w:r>
              <w:rPr>
                <w:rFonts w:ascii="Arial"/>
                <w:spacing w:val="-1"/>
              </w:rPr>
              <w:t>all</w:t>
            </w:r>
            <w:r>
              <w:rPr>
                <w:rFonts w:ascii="Arial"/>
                <w:spacing w:val="12"/>
              </w:rPr>
              <w:t xml:space="preserve"> </w:t>
            </w:r>
            <w:r>
              <w:rPr>
                <w:rFonts w:ascii="Arial"/>
                <w:spacing w:val="-1"/>
              </w:rPr>
              <w:t>Personal</w:t>
            </w:r>
            <w:r>
              <w:rPr>
                <w:rFonts w:ascii="Arial"/>
                <w:spacing w:val="12"/>
              </w:rPr>
              <w:t xml:space="preserve"> </w:t>
            </w:r>
            <w:r>
              <w:rPr>
                <w:rFonts w:ascii="Arial"/>
                <w:spacing w:val="-1"/>
              </w:rPr>
              <w:t>Data</w:t>
            </w:r>
            <w:r>
              <w:rPr>
                <w:rFonts w:ascii="Arial"/>
                <w:spacing w:val="12"/>
              </w:rPr>
              <w:t xml:space="preserve"> </w:t>
            </w:r>
            <w:r>
              <w:rPr>
                <w:rFonts w:ascii="Arial"/>
                <w:spacing w:val="-1"/>
              </w:rPr>
              <w:t>and</w:t>
            </w:r>
            <w:r>
              <w:rPr>
                <w:rFonts w:ascii="Arial"/>
                <w:spacing w:val="12"/>
              </w:rPr>
              <w:t xml:space="preserve"> </w:t>
            </w:r>
            <w:r>
              <w:rPr>
                <w:rFonts w:ascii="Arial"/>
              </w:rPr>
              <w:t>any</w:t>
            </w:r>
            <w:r>
              <w:rPr>
                <w:rFonts w:ascii="Arial"/>
                <w:spacing w:val="10"/>
              </w:rPr>
              <w:t xml:space="preserve"> </w:t>
            </w:r>
            <w:r>
              <w:rPr>
                <w:rFonts w:ascii="Arial"/>
                <w:spacing w:val="-1"/>
              </w:rPr>
              <w:t>information,</w:t>
            </w:r>
            <w:r>
              <w:rPr>
                <w:rFonts w:ascii="Arial"/>
                <w:spacing w:val="14"/>
              </w:rPr>
              <w:t xml:space="preserve"> </w:t>
            </w:r>
            <w:r>
              <w:rPr>
                <w:rFonts w:ascii="Arial"/>
                <w:spacing w:val="-2"/>
              </w:rPr>
              <w:t>however</w:t>
            </w:r>
            <w:r>
              <w:rPr>
                <w:rFonts w:ascii="Arial"/>
                <w:spacing w:val="16"/>
              </w:rPr>
              <w:t xml:space="preserve"> </w:t>
            </w:r>
            <w:r>
              <w:rPr>
                <w:rFonts w:ascii="Arial"/>
                <w:spacing w:val="-1"/>
              </w:rPr>
              <w:t>it</w:t>
            </w:r>
            <w:r>
              <w:rPr>
                <w:rFonts w:ascii="Arial"/>
                <w:spacing w:val="14"/>
              </w:rPr>
              <w:t xml:space="preserve"> </w:t>
            </w:r>
            <w:r>
              <w:rPr>
                <w:rFonts w:ascii="Arial"/>
                <w:spacing w:val="-1"/>
              </w:rPr>
              <w:t>is</w:t>
            </w:r>
            <w:r>
              <w:rPr>
                <w:rFonts w:ascii="Arial"/>
                <w:spacing w:val="31"/>
              </w:rPr>
              <w:t xml:space="preserve"> </w:t>
            </w:r>
            <w:r>
              <w:rPr>
                <w:rFonts w:ascii="Arial"/>
                <w:spacing w:val="-2"/>
              </w:rPr>
              <w:t>conveyed,</w:t>
            </w:r>
            <w:r>
              <w:rPr>
                <w:rFonts w:ascii="Arial"/>
                <w:spacing w:val="46"/>
              </w:rPr>
              <w:t xml:space="preserve"> </w:t>
            </w:r>
            <w:r>
              <w:rPr>
                <w:rFonts w:ascii="Arial"/>
                <w:spacing w:val="-1"/>
              </w:rPr>
              <w:t>that</w:t>
            </w:r>
            <w:r>
              <w:rPr>
                <w:rFonts w:ascii="Arial"/>
                <w:spacing w:val="46"/>
              </w:rPr>
              <w:t xml:space="preserve"> </w:t>
            </w:r>
            <w:r>
              <w:rPr>
                <w:rFonts w:ascii="Arial"/>
                <w:spacing w:val="-1"/>
              </w:rPr>
              <w:t>relates</w:t>
            </w:r>
            <w:r>
              <w:rPr>
                <w:rFonts w:ascii="Arial"/>
                <w:spacing w:val="45"/>
              </w:rPr>
              <w:t xml:space="preserve"> </w:t>
            </w:r>
            <w:r>
              <w:rPr>
                <w:rFonts w:ascii="Arial"/>
              </w:rPr>
              <w:t>to</w:t>
            </w:r>
            <w:r>
              <w:rPr>
                <w:rFonts w:ascii="Arial"/>
                <w:spacing w:val="45"/>
              </w:rPr>
              <w:t xml:space="preserve"> </w:t>
            </w:r>
            <w:r>
              <w:rPr>
                <w:rFonts w:ascii="Arial"/>
              </w:rPr>
              <w:t>the</w:t>
            </w:r>
            <w:r>
              <w:rPr>
                <w:rFonts w:ascii="Arial"/>
                <w:spacing w:val="45"/>
              </w:rPr>
              <w:t xml:space="preserve"> </w:t>
            </w:r>
            <w:r>
              <w:rPr>
                <w:rFonts w:ascii="Arial"/>
                <w:spacing w:val="-1"/>
              </w:rPr>
              <w:t>business,</w:t>
            </w:r>
            <w:r>
              <w:rPr>
                <w:rFonts w:ascii="Arial"/>
                <w:spacing w:val="47"/>
              </w:rPr>
              <w:t xml:space="preserve"> </w:t>
            </w:r>
            <w:r>
              <w:rPr>
                <w:rFonts w:ascii="Arial"/>
                <w:spacing w:val="-1"/>
              </w:rPr>
              <w:t>affairs,</w:t>
            </w:r>
            <w:r>
              <w:rPr>
                <w:rFonts w:ascii="Arial"/>
                <w:spacing w:val="32"/>
              </w:rPr>
              <w:t xml:space="preserve"> </w:t>
            </w:r>
            <w:r>
              <w:rPr>
                <w:rFonts w:ascii="Arial"/>
                <w:spacing w:val="-1"/>
              </w:rPr>
              <w:t>developments,</w:t>
            </w:r>
            <w:r>
              <w:rPr>
                <w:rFonts w:ascii="Arial"/>
                <w:spacing w:val="19"/>
              </w:rPr>
              <w:t xml:space="preserve"> </w:t>
            </w:r>
            <w:r>
              <w:rPr>
                <w:rFonts w:ascii="Arial"/>
                <w:spacing w:val="-1"/>
              </w:rPr>
              <w:t>property</w:t>
            </w:r>
            <w:r>
              <w:rPr>
                <w:rFonts w:ascii="Arial"/>
                <w:spacing w:val="15"/>
              </w:rPr>
              <w:t xml:space="preserve"> </w:t>
            </w:r>
            <w:r>
              <w:rPr>
                <w:rFonts w:ascii="Arial"/>
                <w:spacing w:val="-1"/>
              </w:rPr>
              <w:t>rights,</w:t>
            </w:r>
            <w:r>
              <w:rPr>
                <w:rFonts w:ascii="Arial"/>
                <w:spacing w:val="17"/>
              </w:rPr>
              <w:t xml:space="preserve"> </w:t>
            </w:r>
            <w:r>
              <w:rPr>
                <w:rFonts w:ascii="Arial"/>
                <w:spacing w:val="-1"/>
              </w:rPr>
              <w:t>trade</w:t>
            </w:r>
            <w:r>
              <w:rPr>
                <w:rFonts w:ascii="Arial"/>
                <w:spacing w:val="17"/>
              </w:rPr>
              <w:t xml:space="preserve"> </w:t>
            </w:r>
            <w:r>
              <w:rPr>
                <w:rFonts w:ascii="Arial"/>
                <w:spacing w:val="-1"/>
              </w:rPr>
              <w:t>secrets,</w:t>
            </w:r>
            <w:r>
              <w:rPr>
                <w:rFonts w:ascii="Arial"/>
                <w:spacing w:val="17"/>
              </w:rPr>
              <w:t xml:space="preserve"> </w:t>
            </w:r>
            <w:r>
              <w:rPr>
                <w:rFonts w:ascii="Arial"/>
                <w:spacing w:val="-2"/>
              </w:rPr>
              <w:t>Know-</w:t>
            </w:r>
            <w:r>
              <w:rPr>
                <w:rFonts w:ascii="Arial"/>
                <w:spacing w:val="23"/>
              </w:rPr>
              <w:t xml:space="preserve"> </w:t>
            </w:r>
            <w:r>
              <w:rPr>
                <w:rFonts w:ascii="Arial"/>
                <w:spacing w:val="-1"/>
              </w:rPr>
              <w:t>How</w:t>
            </w:r>
            <w:r>
              <w:rPr>
                <w:rFonts w:ascii="Arial"/>
                <w:spacing w:val="29"/>
              </w:rPr>
              <w:t xml:space="preserve"> </w:t>
            </w:r>
            <w:r>
              <w:rPr>
                <w:rFonts w:ascii="Arial"/>
                <w:spacing w:val="-1"/>
              </w:rPr>
              <w:t>and</w:t>
            </w:r>
            <w:r>
              <w:rPr>
                <w:rFonts w:ascii="Arial"/>
                <w:spacing w:val="45"/>
              </w:rPr>
              <w:t xml:space="preserve"> </w:t>
            </w:r>
            <w:r>
              <w:rPr>
                <w:rFonts w:ascii="Arial"/>
              </w:rPr>
              <w:t>IPR</w:t>
            </w:r>
            <w:r>
              <w:rPr>
                <w:rFonts w:ascii="Arial"/>
                <w:spacing w:val="44"/>
              </w:rPr>
              <w:t xml:space="preserve"> </w:t>
            </w:r>
            <w:r>
              <w:rPr>
                <w:rFonts w:ascii="Arial"/>
                <w:spacing w:val="-1"/>
              </w:rPr>
              <w:t>of</w:t>
            </w:r>
            <w:r>
              <w:rPr>
                <w:rFonts w:ascii="Arial"/>
                <w:spacing w:val="46"/>
              </w:rPr>
              <w:t xml:space="preserve"> </w:t>
            </w:r>
            <w:r>
              <w:rPr>
                <w:rFonts w:ascii="Arial"/>
                <w:spacing w:val="-1"/>
              </w:rPr>
              <w:t>the</w:t>
            </w:r>
            <w:r>
              <w:rPr>
                <w:rFonts w:ascii="Arial"/>
                <w:spacing w:val="45"/>
              </w:rPr>
              <w:t xml:space="preserve"> </w:t>
            </w:r>
            <w:r>
              <w:rPr>
                <w:rFonts w:ascii="Arial"/>
                <w:spacing w:val="-1"/>
              </w:rPr>
              <w:t>Customer</w:t>
            </w:r>
            <w:r>
              <w:rPr>
                <w:rFonts w:ascii="Arial"/>
                <w:spacing w:val="46"/>
              </w:rPr>
              <w:t xml:space="preserve"> </w:t>
            </w:r>
            <w:r>
              <w:rPr>
                <w:rFonts w:ascii="Arial"/>
                <w:spacing w:val="-1"/>
              </w:rPr>
              <w:t>(including</w:t>
            </w:r>
            <w:r>
              <w:rPr>
                <w:rFonts w:ascii="Arial"/>
                <w:spacing w:val="45"/>
              </w:rPr>
              <w:t xml:space="preserve"> </w:t>
            </w:r>
            <w:r>
              <w:rPr>
                <w:rFonts w:ascii="Arial"/>
                <w:spacing w:val="-1"/>
              </w:rPr>
              <w:t>all</w:t>
            </w:r>
            <w:r>
              <w:rPr>
                <w:rFonts w:ascii="Arial"/>
                <w:spacing w:val="25"/>
              </w:rPr>
              <w:t xml:space="preserve"> </w:t>
            </w:r>
            <w:r>
              <w:rPr>
                <w:rFonts w:ascii="Arial"/>
                <w:spacing w:val="-1"/>
              </w:rPr>
              <w:t>Customer</w:t>
            </w:r>
            <w:r>
              <w:rPr>
                <w:rFonts w:ascii="Arial"/>
                <w:spacing w:val="39"/>
              </w:rPr>
              <w:t xml:space="preserve"> </w:t>
            </w:r>
            <w:r>
              <w:rPr>
                <w:rFonts w:ascii="Arial"/>
                <w:spacing w:val="-1"/>
              </w:rPr>
              <w:t>Background</w:t>
            </w:r>
            <w:r>
              <w:rPr>
                <w:rFonts w:ascii="Arial"/>
                <w:spacing w:val="35"/>
              </w:rPr>
              <w:t xml:space="preserve"> </w:t>
            </w:r>
            <w:r>
              <w:rPr>
                <w:rFonts w:ascii="Arial"/>
              </w:rPr>
              <w:t>IPR</w:t>
            </w:r>
            <w:r>
              <w:rPr>
                <w:rFonts w:ascii="Arial"/>
                <w:spacing w:val="37"/>
              </w:rPr>
              <w:t xml:space="preserve"> </w:t>
            </w:r>
            <w:r>
              <w:rPr>
                <w:rFonts w:ascii="Arial"/>
                <w:spacing w:val="-1"/>
              </w:rPr>
              <w:t>and</w:t>
            </w:r>
            <w:r>
              <w:rPr>
                <w:rFonts w:ascii="Arial"/>
                <w:spacing w:val="37"/>
              </w:rPr>
              <w:t xml:space="preserve"> </w:t>
            </w:r>
            <w:r>
              <w:rPr>
                <w:rFonts w:ascii="Arial"/>
                <w:spacing w:val="-1"/>
              </w:rPr>
              <w:t>Project</w:t>
            </w:r>
            <w:r>
              <w:rPr>
                <w:rFonts w:ascii="Arial"/>
                <w:spacing w:val="39"/>
              </w:rPr>
              <w:t xml:space="preserve"> </w:t>
            </w:r>
            <w:r>
              <w:rPr>
                <w:rFonts w:ascii="Arial"/>
                <w:spacing w:val="-1"/>
              </w:rPr>
              <w:t>Specific</w:t>
            </w:r>
            <w:r>
              <w:rPr>
                <w:rFonts w:ascii="Arial"/>
                <w:spacing w:val="21"/>
              </w:rPr>
              <w:t xml:space="preserve"> </w:t>
            </w:r>
            <w:r>
              <w:rPr>
                <w:rFonts w:ascii="Arial"/>
                <w:spacing w:val="-1"/>
              </w:rPr>
              <w:t>IPR);</w:t>
            </w:r>
          </w:p>
          <w:p w:rsidR="008918FA" w:rsidRDefault="008918FA" w:rsidP="005D2B81">
            <w:pPr>
              <w:pStyle w:val="ListParagraph"/>
              <w:numPr>
                <w:ilvl w:val="0"/>
                <w:numId w:val="49"/>
              </w:numPr>
              <w:tabs>
                <w:tab w:val="left" w:pos="820"/>
              </w:tabs>
              <w:spacing w:before="119"/>
              <w:ind w:right="99" w:hanging="544"/>
              <w:jc w:val="both"/>
              <w:rPr>
                <w:rFonts w:ascii="Arial" w:eastAsia="Arial" w:hAnsi="Arial" w:cs="Arial"/>
              </w:rPr>
            </w:pPr>
            <w:r>
              <w:rPr>
                <w:rFonts w:ascii="Arial" w:eastAsia="Arial" w:hAnsi="Arial" w:cs="Arial"/>
                <w:spacing w:val="-1"/>
              </w:rPr>
              <w:t>any</w:t>
            </w:r>
            <w:r>
              <w:rPr>
                <w:rFonts w:ascii="Arial" w:eastAsia="Arial" w:hAnsi="Arial" w:cs="Arial"/>
                <w:spacing w:val="51"/>
              </w:rPr>
              <w:t xml:space="preserve"> </w:t>
            </w:r>
            <w:r>
              <w:rPr>
                <w:rFonts w:ascii="Arial" w:eastAsia="Arial" w:hAnsi="Arial" w:cs="Arial"/>
                <w:spacing w:val="-1"/>
              </w:rPr>
              <w:t>other</w:t>
            </w:r>
            <w:r>
              <w:rPr>
                <w:rFonts w:ascii="Arial" w:eastAsia="Arial" w:hAnsi="Arial" w:cs="Arial"/>
                <w:spacing w:val="54"/>
              </w:rPr>
              <w:t xml:space="preserve"> </w:t>
            </w:r>
            <w:r>
              <w:rPr>
                <w:rFonts w:ascii="Arial" w:eastAsia="Arial" w:hAnsi="Arial" w:cs="Arial"/>
                <w:spacing w:val="-1"/>
              </w:rPr>
              <w:t>information</w:t>
            </w:r>
            <w:r>
              <w:rPr>
                <w:rFonts w:ascii="Arial" w:eastAsia="Arial" w:hAnsi="Arial" w:cs="Arial"/>
                <w:spacing w:val="53"/>
              </w:rPr>
              <w:t xml:space="preserve"> </w:t>
            </w:r>
            <w:r>
              <w:rPr>
                <w:rFonts w:ascii="Arial" w:eastAsia="Arial" w:hAnsi="Arial" w:cs="Arial"/>
                <w:spacing w:val="-1"/>
              </w:rPr>
              <w:t>clearly</w:t>
            </w:r>
            <w:r>
              <w:rPr>
                <w:rFonts w:ascii="Arial" w:eastAsia="Arial" w:hAnsi="Arial" w:cs="Arial"/>
                <w:spacing w:val="51"/>
              </w:rPr>
              <w:t xml:space="preserve"> </w:t>
            </w:r>
            <w:r>
              <w:rPr>
                <w:rFonts w:ascii="Arial" w:eastAsia="Arial" w:hAnsi="Arial" w:cs="Arial"/>
                <w:spacing w:val="-1"/>
              </w:rPr>
              <w:t>designated</w:t>
            </w:r>
            <w:r>
              <w:rPr>
                <w:rFonts w:ascii="Arial" w:eastAsia="Arial" w:hAnsi="Arial" w:cs="Arial"/>
                <w:spacing w:val="53"/>
              </w:rPr>
              <w:t xml:space="preserve"> </w:t>
            </w:r>
            <w:r>
              <w:rPr>
                <w:rFonts w:ascii="Arial" w:eastAsia="Arial" w:hAnsi="Arial" w:cs="Arial"/>
                <w:spacing w:val="-1"/>
              </w:rPr>
              <w:t>as</w:t>
            </w:r>
            <w:r>
              <w:rPr>
                <w:rFonts w:ascii="Arial" w:eastAsia="Arial" w:hAnsi="Arial" w:cs="Arial"/>
                <w:spacing w:val="53"/>
              </w:rPr>
              <w:t xml:space="preserve"> </w:t>
            </w:r>
            <w:r>
              <w:rPr>
                <w:rFonts w:ascii="Arial" w:eastAsia="Arial" w:hAnsi="Arial" w:cs="Arial"/>
                <w:spacing w:val="-1"/>
              </w:rPr>
              <w:t>being</w:t>
            </w:r>
            <w:r>
              <w:rPr>
                <w:rFonts w:ascii="Arial" w:eastAsia="Arial" w:hAnsi="Arial" w:cs="Arial"/>
                <w:spacing w:val="37"/>
              </w:rPr>
              <w:t xml:space="preserve"> </w:t>
            </w:r>
            <w:r>
              <w:rPr>
                <w:rFonts w:ascii="Arial" w:eastAsia="Arial" w:hAnsi="Arial" w:cs="Arial"/>
                <w:spacing w:val="-1"/>
              </w:rPr>
              <w:t>confidential</w:t>
            </w:r>
            <w:r>
              <w:rPr>
                <w:rFonts w:ascii="Arial" w:eastAsia="Arial" w:hAnsi="Arial" w:cs="Arial"/>
                <w:spacing w:val="30"/>
              </w:rPr>
              <w:t xml:space="preserve"> </w:t>
            </w:r>
            <w:r>
              <w:rPr>
                <w:rFonts w:ascii="Arial" w:eastAsia="Arial" w:hAnsi="Arial" w:cs="Arial"/>
                <w:spacing w:val="-1"/>
              </w:rPr>
              <w:t>(whether</w:t>
            </w:r>
            <w:r>
              <w:rPr>
                <w:rFonts w:ascii="Arial" w:eastAsia="Arial" w:hAnsi="Arial" w:cs="Arial"/>
                <w:spacing w:val="29"/>
              </w:rPr>
              <w:t xml:space="preserve"> </w:t>
            </w:r>
            <w:r>
              <w:rPr>
                <w:rFonts w:ascii="Arial" w:eastAsia="Arial" w:hAnsi="Arial" w:cs="Arial"/>
                <w:spacing w:val="-1"/>
              </w:rPr>
              <w:t>or</w:t>
            </w:r>
            <w:r>
              <w:rPr>
                <w:rFonts w:ascii="Arial" w:eastAsia="Arial" w:hAnsi="Arial" w:cs="Arial"/>
                <w:spacing w:val="32"/>
              </w:rPr>
              <w:t xml:space="preserve"> </w:t>
            </w:r>
            <w:r>
              <w:rPr>
                <w:rFonts w:ascii="Arial" w:eastAsia="Arial" w:hAnsi="Arial" w:cs="Arial"/>
                <w:spacing w:val="-2"/>
              </w:rPr>
              <w:t>not</w:t>
            </w:r>
            <w:r>
              <w:rPr>
                <w:rFonts w:ascii="Arial" w:eastAsia="Arial" w:hAnsi="Arial" w:cs="Arial"/>
                <w:spacing w:val="32"/>
              </w:rPr>
              <w:t xml:space="preserve"> </w:t>
            </w:r>
            <w:r>
              <w:rPr>
                <w:rFonts w:ascii="Arial" w:eastAsia="Arial" w:hAnsi="Arial" w:cs="Arial"/>
                <w:spacing w:val="-1"/>
              </w:rPr>
              <w:t>it</w:t>
            </w:r>
            <w:r>
              <w:rPr>
                <w:rFonts w:ascii="Arial" w:eastAsia="Arial" w:hAnsi="Arial" w:cs="Arial"/>
                <w:spacing w:val="30"/>
              </w:rPr>
              <w:t xml:space="preserve"> </w:t>
            </w:r>
            <w:r>
              <w:rPr>
                <w:rFonts w:ascii="Arial" w:eastAsia="Arial" w:hAnsi="Arial" w:cs="Arial"/>
                <w:spacing w:val="-1"/>
              </w:rPr>
              <w:t>is</w:t>
            </w:r>
            <w:r>
              <w:rPr>
                <w:rFonts w:ascii="Arial" w:eastAsia="Arial" w:hAnsi="Arial" w:cs="Arial"/>
                <w:spacing w:val="31"/>
              </w:rPr>
              <w:t xml:space="preserve"> </w:t>
            </w:r>
            <w:r>
              <w:rPr>
                <w:rFonts w:ascii="Arial" w:eastAsia="Arial" w:hAnsi="Arial" w:cs="Arial"/>
                <w:spacing w:val="-1"/>
              </w:rPr>
              <w:t>marked</w:t>
            </w:r>
            <w:r>
              <w:rPr>
                <w:rFonts w:ascii="Arial" w:eastAsia="Arial" w:hAnsi="Arial" w:cs="Arial"/>
                <w:spacing w:val="29"/>
              </w:rPr>
              <w:t xml:space="preserve"> </w:t>
            </w:r>
            <w:r>
              <w:rPr>
                <w:rFonts w:ascii="Arial" w:eastAsia="Arial" w:hAnsi="Arial" w:cs="Arial"/>
                <w:spacing w:val="-1"/>
              </w:rPr>
              <w:t>"confidential")</w:t>
            </w:r>
            <w:r>
              <w:rPr>
                <w:rFonts w:ascii="Arial" w:eastAsia="Arial" w:hAnsi="Arial" w:cs="Arial"/>
                <w:spacing w:val="47"/>
              </w:rPr>
              <w:t xml:space="preserve"> </w:t>
            </w:r>
            <w:r>
              <w:rPr>
                <w:rFonts w:ascii="Arial" w:eastAsia="Arial" w:hAnsi="Arial" w:cs="Arial"/>
                <w:spacing w:val="-1"/>
              </w:rPr>
              <w:t>or</w:t>
            </w:r>
            <w:r>
              <w:rPr>
                <w:rFonts w:ascii="Arial" w:eastAsia="Arial" w:hAnsi="Arial" w:cs="Arial"/>
                <w:spacing w:val="47"/>
              </w:rPr>
              <w:t xml:space="preserve"> </w:t>
            </w:r>
            <w:r>
              <w:rPr>
                <w:rFonts w:ascii="Arial" w:eastAsia="Arial" w:hAnsi="Arial" w:cs="Arial"/>
                <w:spacing w:val="-2"/>
              </w:rPr>
              <w:t>which</w:t>
            </w:r>
            <w:r>
              <w:rPr>
                <w:rFonts w:ascii="Arial" w:eastAsia="Arial" w:hAnsi="Arial" w:cs="Arial"/>
                <w:spacing w:val="46"/>
              </w:rPr>
              <w:t xml:space="preserve"> </w:t>
            </w:r>
            <w:r>
              <w:rPr>
                <w:rFonts w:ascii="Arial" w:eastAsia="Arial" w:hAnsi="Arial" w:cs="Arial"/>
                <w:spacing w:val="-1"/>
              </w:rPr>
              <w:t>ought</w:t>
            </w:r>
            <w:r>
              <w:rPr>
                <w:rFonts w:ascii="Arial" w:eastAsia="Arial" w:hAnsi="Arial" w:cs="Arial"/>
                <w:spacing w:val="47"/>
              </w:rPr>
              <w:t xml:space="preserve"> </w:t>
            </w:r>
            <w:r>
              <w:rPr>
                <w:rFonts w:ascii="Arial" w:eastAsia="Arial" w:hAnsi="Arial" w:cs="Arial"/>
                <w:spacing w:val="-1"/>
              </w:rPr>
              <w:t>reasonably</w:t>
            </w:r>
            <w:r>
              <w:rPr>
                <w:rFonts w:ascii="Arial" w:eastAsia="Arial" w:hAnsi="Arial" w:cs="Arial"/>
                <w:spacing w:val="44"/>
              </w:rPr>
              <w:t xml:space="preserve"> </w:t>
            </w:r>
            <w:r>
              <w:rPr>
                <w:rFonts w:ascii="Arial" w:eastAsia="Arial" w:hAnsi="Arial" w:cs="Arial"/>
                <w:spacing w:val="-1"/>
              </w:rPr>
              <w:t>be</w:t>
            </w:r>
            <w:r>
              <w:rPr>
                <w:rFonts w:ascii="Arial" w:eastAsia="Arial" w:hAnsi="Arial" w:cs="Arial"/>
                <w:spacing w:val="20"/>
              </w:rPr>
              <w:t xml:space="preserve"> </w:t>
            </w:r>
            <w:r>
              <w:rPr>
                <w:rFonts w:ascii="Arial" w:eastAsia="Arial" w:hAnsi="Arial" w:cs="Arial"/>
                <w:spacing w:val="-1"/>
              </w:rPr>
              <w:t>considered</w:t>
            </w:r>
            <w:r>
              <w:rPr>
                <w:rFonts w:ascii="Arial" w:eastAsia="Arial" w:hAnsi="Arial" w:cs="Arial"/>
                <w:spacing w:val="20"/>
              </w:rPr>
              <w:t xml:space="preserve"> </w:t>
            </w:r>
            <w:r>
              <w:rPr>
                <w:rFonts w:ascii="Arial" w:eastAsia="Arial" w:hAnsi="Arial" w:cs="Arial"/>
                <w:spacing w:val="-1"/>
              </w:rPr>
              <w:t>confidential</w:t>
            </w:r>
            <w:r>
              <w:rPr>
                <w:rFonts w:ascii="Arial" w:eastAsia="Arial" w:hAnsi="Arial" w:cs="Arial"/>
                <w:spacing w:val="17"/>
              </w:rPr>
              <w:t xml:space="preserve"> </w:t>
            </w:r>
            <w:r>
              <w:rPr>
                <w:rFonts w:ascii="Arial" w:eastAsia="Arial" w:hAnsi="Arial" w:cs="Arial"/>
                <w:spacing w:val="-1"/>
              </w:rPr>
              <w:t>which</w:t>
            </w:r>
            <w:r>
              <w:rPr>
                <w:rFonts w:ascii="Arial" w:eastAsia="Arial" w:hAnsi="Arial" w:cs="Arial"/>
                <w:spacing w:val="20"/>
              </w:rPr>
              <w:t xml:space="preserve"> </w:t>
            </w:r>
            <w:r>
              <w:rPr>
                <w:rFonts w:ascii="Arial" w:eastAsia="Arial" w:hAnsi="Arial" w:cs="Arial"/>
                <w:spacing w:val="-1"/>
              </w:rPr>
              <w:t>comes</w:t>
            </w:r>
            <w:r>
              <w:rPr>
                <w:rFonts w:ascii="Arial" w:eastAsia="Arial" w:hAnsi="Arial" w:cs="Arial"/>
                <w:spacing w:val="20"/>
              </w:rPr>
              <w:t xml:space="preserve"> </w:t>
            </w:r>
            <w:r>
              <w:rPr>
                <w:rFonts w:ascii="Arial" w:eastAsia="Arial" w:hAnsi="Arial" w:cs="Arial"/>
                <w:spacing w:val="-1"/>
              </w:rPr>
              <w:t>(or</w:t>
            </w:r>
            <w:r>
              <w:rPr>
                <w:rFonts w:ascii="Arial" w:eastAsia="Arial" w:hAnsi="Arial" w:cs="Arial"/>
                <w:spacing w:val="21"/>
              </w:rPr>
              <w:t xml:space="preserve"> </w:t>
            </w:r>
            <w:r>
              <w:rPr>
                <w:rFonts w:ascii="Arial" w:eastAsia="Arial" w:hAnsi="Arial" w:cs="Arial"/>
                <w:spacing w:val="-1"/>
              </w:rPr>
              <w:t>has</w:t>
            </w:r>
            <w:r>
              <w:rPr>
                <w:rFonts w:ascii="Arial" w:eastAsia="Arial" w:hAnsi="Arial" w:cs="Arial"/>
                <w:spacing w:val="20"/>
              </w:rPr>
              <w:t xml:space="preserve"> </w:t>
            </w:r>
            <w:r>
              <w:rPr>
                <w:rFonts w:ascii="Arial" w:eastAsia="Arial" w:hAnsi="Arial" w:cs="Arial"/>
                <w:spacing w:val="-2"/>
              </w:rPr>
              <w:t>come)</w:t>
            </w:r>
            <w:r>
              <w:rPr>
                <w:rFonts w:ascii="Arial" w:eastAsia="Arial" w:hAnsi="Arial" w:cs="Arial"/>
                <w:spacing w:val="30"/>
              </w:rPr>
              <w:t xml:space="preserve"> </w:t>
            </w:r>
            <w:r>
              <w:rPr>
                <w:rFonts w:ascii="Arial" w:eastAsia="Arial" w:hAnsi="Arial" w:cs="Arial"/>
              </w:rPr>
              <w:t>to</w:t>
            </w:r>
            <w:r>
              <w:rPr>
                <w:rFonts w:ascii="Arial" w:eastAsia="Arial" w:hAnsi="Arial" w:cs="Arial"/>
                <w:spacing w:val="38"/>
              </w:rPr>
              <w:t xml:space="preserve"> </w:t>
            </w:r>
            <w:r>
              <w:rPr>
                <w:rFonts w:ascii="Arial" w:eastAsia="Arial" w:hAnsi="Arial" w:cs="Arial"/>
              </w:rPr>
              <w:t>the</w:t>
            </w:r>
            <w:r>
              <w:rPr>
                <w:rFonts w:ascii="Arial" w:eastAsia="Arial" w:hAnsi="Arial" w:cs="Arial"/>
                <w:spacing w:val="38"/>
              </w:rPr>
              <w:t xml:space="preserve"> </w:t>
            </w:r>
            <w:r>
              <w:rPr>
                <w:rFonts w:ascii="Arial" w:eastAsia="Arial" w:hAnsi="Arial" w:cs="Arial"/>
                <w:spacing w:val="-1"/>
              </w:rPr>
              <w:t>Customer’s</w:t>
            </w:r>
            <w:r>
              <w:rPr>
                <w:rFonts w:ascii="Arial" w:eastAsia="Arial" w:hAnsi="Arial" w:cs="Arial"/>
                <w:spacing w:val="39"/>
              </w:rPr>
              <w:t xml:space="preserve"> </w:t>
            </w:r>
            <w:r>
              <w:rPr>
                <w:rFonts w:ascii="Arial" w:eastAsia="Arial" w:hAnsi="Arial" w:cs="Arial"/>
                <w:spacing w:val="-1"/>
              </w:rPr>
              <w:t>attention</w:t>
            </w:r>
            <w:r>
              <w:rPr>
                <w:rFonts w:ascii="Arial" w:eastAsia="Arial" w:hAnsi="Arial" w:cs="Arial"/>
                <w:spacing w:val="38"/>
              </w:rPr>
              <w:t xml:space="preserve"> </w:t>
            </w:r>
            <w:r>
              <w:rPr>
                <w:rFonts w:ascii="Arial" w:eastAsia="Arial" w:hAnsi="Arial" w:cs="Arial"/>
                <w:spacing w:val="-1"/>
              </w:rPr>
              <w:t>or</w:t>
            </w:r>
            <w:r>
              <w:rPr>
                <w:rFonts w:ascii="Arial" w:eastAsia="Arial" w:hAnsi="Arial" w:cs="Arial"/>
                <w:spacing w:val="40"/>
              </w:rPr>
              <w:t xml:space="preserve"> </w:t>
            </w:r>
            <w:r>
              <w:rPr>
                <w:rFonts w:ascii="Arial" w:eastAsia="Arial" w:hAnsi="Arial" w:cs="Arial"/>
                <w:spacing w:val="-1"/>
              </w:rPr>
              <w:t>into</w:t>
            </w:r>
            <w:r>
              <w:rPr>
                <w:rFonts w:ascii="Arial" w:eastAsia="Arial" w:hAnsi="Arial" w:cs="Arial"/>
                <w:spacing w:val="39"/>
              </w:rPr>
              <w:t xml:space="preserve"> </w:t>
            </w:r>
            <w:r>
              <w:rPr>
                <w:rFonts w:ascii="Arial" w:eastAsia="Arial" w:hAnsi="Arial" w:cs="Arial"/>
              </w:rPr>
              <w:t>the</w:t>
            </w:r>
            <w:r>
              <w:rPr>
                <w:rFonts w:ascii="Arial" w:eastAsia="Arial" w:hAnsi="Arial" w:cs="Arial"/>
                <w:spacing w:val="39"/>
              </w:rPr>
              <w:t xml:space="preserve"> </w:t>
            </w:r>
            <w:r>
              <w:rPr>
                <w:rFonts w:ascii="Arial" w:eastAsia="Arial" w:hAnsi="Arial" w:cs="Arial"/>
                <w:spacing w:val="-2"/>
              </w:rPr>
              <w:t>Customer’s</w:t>
            </w:r>
            <w:r>
              <w:rPr>
                <w:rFonts w:ascii="Arial" w:eastAsia="Arial" w:hAnsi="Arial" w:cs="Arial"/>
                <w:spacing w:val="31"/>
              </w:rPr>
              <w:t xml:space="preserve"> </w:t>
            </w:r>
            <w:r>
              <w:rPr>
                <w:rFonts w:ascii="Arial" w:eastAsia="Arial" w:hAnsi="Arial" w:cs="Arial"/>
                <w:spacing w:val="-1"/>
              </w:rPr>
              <w:t>possession</w:t>
            </w:r>
            <w:r>
              <w:rPr>
                <w:rFonts w:ascii="Arial" w:eastAsia="Arial" w:hAnsi="Arial" w:cs="Arial"/>
                <w:spacing w:val="7"/>
              </w:rPr>
              <w:t xml:space="preserve"> </w:t>
            </w:r>
            <w:r>
              <w:rPr>
                <w:rFonts w:ascii="Arial" w:eastAsia="Arial" w:hAnsi="Arial" w:cs="Arial"/>
                <w:spacing w:val="-1"/>
              </w:rPr>
              <w:t>in</w:t>
            </w:r>
            <w:r>
              <w:rPr>
                <w:rFonts w:ascii="Arial" w:eastAsia="Arial" w:hAnsi="Arial" w:cs="Arial"/>
                <w:spacing w:val="7"/>
              </w:rPr>
              <w:t xml:space="preserve"> </w:t>
            </w:r>
            <w:r>
              <w:rPr>
                <w:rFonts w:ascii="Arial" w:eastAsia="Arial" w:hAnsi="Arial" w:cs="Arial"/>
                <w:spacing w:val="-1"/>
              </w:rPr>
              <w:t>connection</w:t>
            </w:r>
            <w:r>
              <w:rPr>
                <w:rFonts w:ascii="Arial" w:eastAsia="Arial" w:hAnsi="Arial" w:cs="Arial"/>
                <w:spacing w:val="7"/>
              </w:rPr>
              <w:t xml:space="preserve"> </w:t>
            </w:r>
            <w:r>
              <w:rPr>
                <w:rFonts w:ascii="Arial" w:eastAsia="Arial" w:hAnsi="Arial" w:cs="Arial"/>
                <w:spacing w:val="-1"/>
              </w:rPr>
              <w:t>with</w:t>
            </w:r>
            <w:r>
              <w:rPr>
                <w:rFonts w:ascii="Arial" w:eastAsia="Arial" w:hAnsi="Arial" w:cs="Arial"/>
                <w:spacing w:val="7"/>
              </w:rPr>
              <w:t xml:space="preserve"> </w:t>
            </w:r>
            <w:r>
              <w:rPr>
                <w:rFonts w:ascii="Arial" w:eastAsia="Arial" w:hAnsi="Arial" w:cs="Arial"/>
                <w:spacing w:val="-1"/>
              </w:rPr>
              <w:t>this</w:t>
            </w:r>
            <w:r>
              <w:rPr>
                <w:rFonts w:ascii="Arial" w:eastAsia="Arial" w:hAnsi="Arial" w:cs="Arial"/>
                <w:spacing w:val="8"/>
              </w:rPr>
              <w:t xml:space="preserve"> </w:t>
            </w:r>
            <w:r>
              <w:rPr>
                <w:rFonts w:ascii="Arial" w:eastAsia="Arial" w:hAnsi="Arial" w:cs="Arial"/>
                <w:spacing w:val="-2"/>
              </w:rPr>
              <w:t>Call</w:t>
            </w:r>
            <w:r>
              <w:rPr>
                <w:rFonts w:ascii="Arial" w:eastAsia="Arial" w:hAnsi="Arial" w:cs="Arial"/>
                <w:spacing w:val="7"/>
              </w:rPr>
              <w:t xml:space="preserve"> </w:t>
            </w:r>
            <w:r>
              <w:rPr>
                <w:rFonts w:ascii="Arial" w:eastAsia="Arial" w:hAnsi="Arial" w:cs="Arial"/>
              </w:rPr>
              <w:t>Off</w:t>
            </w:r>
            <w:r>
              <w:rPr>
                <w:rFonts w:ascii="Arial" w:eastAsia="Arial" w:hAnsi="Arial" w:cs="Arial"/>
                <w:spacing w:val="11"/>
              </w:rPr>
              <w:t xml:space="preserve"> </w:t>
            </w:r>
            <w:r>
              <w:rPr>
                <w:rFonts w:ascii="Arial" w:eastAsia="Arial" w:hAnsi="Arial" w:cs="Arial"/>
                <w:spacing w:val="-2"/>
              </w:rPr>
              <w:t>Contract;</w:t>
            </w:r>
            <w:r>
              <w:rPr>
                <w:rFonts w:ascii="Arial" w:eastAsia="Arial" w:hAnsi="Arial" w:cs="Arial"/>
                <w:spacing w:val="43"/>
              </w:rPr>
              <w:t xml:space="preserve"> </w:t>
            </w:r>
            <w:r>
              <w:rPr>
                <w:rFonts w:ascii="Arial" w:eastAsia="Arial" w:hAnsi="Arial" w:cs="Arial"/>
                <w:spacing w:val="-1"/>
              </w:rPr>
              <w:t>and</w:t>
            </w:r>
          </w:p>
          <w:p w:rsidR="008918FA" w:rsidRDefault="008918FA" w:rsidP="005D2B81">
            <w:pPr>
              <w:pStyle w:val="ListParagraph"/>
              <w:numPr>
                <w:ilvl w:val="0"/>
                <w:numId w:val="49"/>
              </w:numPr>
              <w:tabs>
                <w:tab w:val="left" w:pos="820"/>
              </w:tabs>
              <w:spacing w:before="119"/>
              <w:ind w:hanging="544"/>
              <w:rPr>
                <w:rFonts w:ascii="Arial" w:eastAsia="Arial" w:hAnsi="Arial" w:cs="Arial"/>
              </w:rPr>
            </w:pPr>
            <w:r>
              <w:rPr>
                <w:rFonts w:ascii="Arial"/>
                <w:spacing w:val="-1"/>
              </w:rPr>
              <w:t>information</w:t>
            </w:r>
            <w:r>
              <w:rPr>
                <w:rFonts w:ascii="Arial"/>
              </w:rPr>
              <w:t xml:space="preserve"> </w:t>
            </w:r>
            <w:r>
              <w:rPr>
                <w:rFonts w:ascii="Arial"/>
                <w:spacing w:val="-2"/>
              </w:rPr>
              <w:t>derived</w:t>
            </w:r>
            <w:r>
              <w:rPr>
                <w:rFonts w:ascii="Arial"/>
              </w:rPr>
              <w:t xml:space="preserve"> </w:t>
            </w:r>
            <w:r>
              <w:rPr>
                <w:rFonts w:ascii="Arial"/>
                <w:spacing w:val="-1"/>
              </w:rPr>
              <w:t>from any</w:t>
            </w:r>
            <w:r>
              <w:rPr>
                <w:rFonts w:ascii="Arial"/>
                <w:spacing w:val="-2"/>
              </w:rPr>
              <w:t xml:space="preserve"> </w:t>
            </w:r>
            <w:r>
              <w:rPr>
                <w:rFonts w:ascii="Arial"/>
                <w:spacing w:val="-1"/>
              </w:rPr>
              <w:t>of</w:t>
            </w:r>
            <w:r>
              <w:rPr>
                <w:rFonts w:ascii="Arial"/>
                <w:spacing w:val="2"/>
              </w:rPr>
              <w:t xml:space="preserve"> </w:t>
            </w:r>
            <w:r>
              <w:rPr>
                <w:rFonts w:ascii="Arial"/>
              </w:rPr>
              <w:t>the</w:t>
            </w:r>
            <w:r>
              <w:rPr>
                <w:rFonts w:ascii="Arial"/>
                <w:spacing w:val="-2"/>
              </w:rPr>
              <w:t xml:space="preserve"> above;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"Data</w:t>
            </w:r>
            <w:r>
              <w:rPr>
                <w:rFonts w:ascii="Arial"/>
                <w:b/>
              </w:rPr>
              <w:t xml:space="preserve"> </w:t>
            </w:r>
            <w:r>
              <w:rPr>
                <w:rFonts w:ascii="Arial"/>
                <w:b/>
                <w:spacing w:val="-1"/>
              </w:rPr>
              <w:t>Controller"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99"/>
              <w:rPr>
                <w:rFonts w:ascii="Arial" w:eastAsia="Arial" w:hAnsi="Arial" w:cs="Arial"/>
              </w:rPr>
            </w:pPr>
            <w:r>
              <w:rPr>
                <w:rFonts w:ascii="Arial"/>
                <w:spacing w:val="-1"/>
              </w:rPr>
              <w:t>has</w:t>
            </w:r>
            <w:r>
              <w:rPr>
                <w:rFonts w:ascii="Arial"/>
                <w:spacing w:val="49"/>
              </w:rPr>
              <w:t xml:space="preserve"> </w:t>
            </w:r>
            <w:r>
              <w:rPr>
                <w:rFonts w:ascii="Arial"/>
              </w:rPr>
              <w:t>the</w:t>
            </w:r>
            <w:r>
              <w:rPr>
                <w:rFonts w:ascii="Arial"/>
                <w:spacing w:val="46"/>
              </w:rPr>
              <w:t xml:space="preserve"> </w:t>
            </w:r>
            <w:r>
              <w:rPr>
                <w:rFonts w:ascii="Arial"/>
                <w:spacing w:val="-1"/>
              </w:rPr>
              <w:t>meaning</w:t>
            </w:r>
            <w:r>
              <w:rPr>
                <w:rFonts w:ascii="Arial"/>
                <w:spacing w:val="46"/>
              </w:rPr>
              <w:t xml:space="preserve"> </w:t>
            </w:r>
            <w:r>
              <w:rPr>
                <w:rFonts w:ascii="Arial"/>
                <w:spacing w:val="-1"/>
              </w:rPr>
              <w:t>given</w:t>
            </w:r>
            <w:r>
              <w:rPr>
                <w:rFonts w:ascii="Arial"/>
                <w:spacing w:val="51"/>
              </w:rPr>
              <w:t xml:space="preserve"> </w:t>
            </w:r>
            <w:r>
              <w:rPr>
                <w:rFonts w:ascii="Arial"/>
              </w:rPr>
              <w:t>to</w:t>
            </w:r>
            <w:r>
              <w:rPr>
                <w:rFonts w:ascii="Arial"/>
                <w:spacing w:val="48"/>
              </w:rPr>
              <w:t xml:space="preserve"> </w:t>
            </w:r>
            <w:r>
              <w:rPr>
                <w:rFonts w:ascii="Arial"/>
                <w:spacing w:val="-1"/>
              </w:rPr>
              <w:t>it</w:t>
            </w:r>
            <w:r>
              <w:rPr>
                <w:rFonts w:ascii="Arial"/>
                <w:spacing w:val="50"/>
              </w:rPr>
              <w:t xml:space="preserve"> </w:t>
            </w:r>
            <w:r>
              <w:rPr>
                <w:rFonts w:ascii="Arial"/>
                <w:spacing w:val="-1"/>
              </w:rPr>
              <w:t>in</w:t>
            </w:r>
            <w:r>
              <w:rPr>
                <w:rFonts w:ascii="Arial"/>
                <w:spacing w:val="47"/>
              </w:rPr>
              <w:t xml:space="preserve"> </w:t>
            </w:r>
            <w:r>
              <w:rPr>
                <w:rFonts w:ascii="Arial"/>
              </w:rPr>
              <w:t>the</w:t>
            </w:r>
            <w:r>
              <w:rPr>
                <w:rFonts w:ascii="Arial"/>
                <w:spacing w:val="48"/>
              </w:rPr>
              <w:t xml:space="preserve"> </w:t>
            </w:r>
            <w:r>
              <w:rPr>
                <w:rFonts w:ascii="Arial"/>
                <w:spacing w:val="-1"/>
              </w:rPr>
              <w:t>Data</w:t>
            </w:r>
            <w:r>
              <w:rPr>
                <w:rFonts w:ascii="Arial"/>
                <w:spacing w:val="48"/>
              </w:rPr>
              <w:t xml:space="preserve"> </w:t>
            </w:r>
            <w:r>
              <w:rPr>
                <w:rFonts w:ascii="Arial"/>
                <w:spacing w:val="-1"/>
              </w:rPr>
              <w:t>Protection</w:t>
            </w:r>
            <w:r>
              <w:rPr>
                <w:rFonts w:ascii="Arial"/>
                <w:spacing w:val="48"/>
              </w:rPr>
              <w:t xml:space="preserve"> </w:t>
            </w:r>
            <w:r>
              <w:rPr>
                <w:rFonts w:ascii="Arial"/>
                <w:spacing w:val="-2"/>
              </w:rPr>
              <w:t>Act</w:t>
            </w:r>
            <w:r>
              <w:rPr>
                <w:rFonts w:ascii="Arial"/>
                <w:spacing w:val="29"/>
              </w:rPr>
              <w:t xml:space="preserve"> </w:t>
            </w:r>
            <w:r>
              <w:rPr>
                <w:rFonts w:ascii="Arial"/>
                <w:spacing w:val="-1"/>
              </w:rPr>
              <w:t>1998,</w:t>
            </w:r>
            <w:r>
              <w:rPr>
                <w:rFonts w:ascii="Arial"/>
                <w:spacing w:val="2"/>
              </w:rPr>
              <w:t xml:space="preserve"> </w:t>
            </w:r>
            <w:r>
              <w:rPr>
                <w:rFonts w:ascii="Arial"/>
                <w:spacing w:val="-1"/>
              </w:rPr>
              <w:t>as</w:t>
            </w:r>
            <w:r>
              <w:rPr>
                <w:rFonts w:ascii="Arial"/>
                <w:spacing w:val="-2"/>
              </w:rPr>
              <w:t xml:space="preserve"> </w:t>
            </w:r>
            <w:r>
              <w:rPr>
                <w:rFonts w:ascii="Arial"/>
                <w:spacing w:val="-1"/>
              </w:rPr>
              <w:t>amended</w:t>
            </w:r>
            <w:r>
              <w:rPr>
                <w:rFonts w:ascii="Arial"/>
                <w:spacing w:val="-2"/>
              </w:rPr>
              <w:t xml:space="preserve"> </w:t>
            </w:r>
            <w:r>
              <w:rPr>
                <w:rFonts w:ascii="Arial"/>
                <w:spacing w:val="-1"/>
              </w:rPr>
              <w:t>from time</w:t>
            </w:r>
            <w:r>
              <w:rPr>
                <w:rFonts w:ascii="Arial"/>
              </w:rPr>
              <w:t xml:space="preserve"> to</w:t>
            </w:r>
            <w:r>
              <w:rPr>
                <w:rFonts w:ascii="Arial"/>
                <w:spacing w:val="-2"/>
              </w:rPr>
              <w:t xml:space="preserve"> </w:t>
            </w:r>
            <w:r>
              <w:rPr>
                <w:rFonts w:ascii="Arial"/>
                <w:spacing w:val="-1"/>
              </w:rPr>
              <w:t>time;</w:t>
            </w:r>
          </w:p>
        </w:tc>
      </w:tr>
      <w:tr w:rsidR="008918FA" w:rsidTr="001C1527">
        <w:trPr>
          <w:trHeight w:hRule="exact" w:val="641"/>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47" w:lineRule="exact"/>
              <w:ind w:left="-6"/>
              <w:rPr>
                <w:rFonts w:ascii="Arial" w:eastAsia="Arial" w:hAnsi="Arial" w:cs="Arial"/>
              </w:rPr>
            </w:pPr>
            <w:r>
              <w:rPr>
                <w:rFonts w:ascii="Arial"/>
                <w:b/>
                <w:spacing w:val="-1"/>
              </w:rPr>
              <w:t>"Data</w:t>
            </w:r>
            <w:r>
              <w:rPr>
                <w:rFonts w:ascii="Arial"/>
                <w:b/>
              </w:rPr>
              <w:t xml:space="preserve"> </w:t>
            </w:r>
            <w:r>
              <w:rPr>
                <w:rFonts w:ascii="Arial"/>
                <w:b/>
                <w:spacing w:val="-1"/>
              </w:rPr>
              <w:t>Processor"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99"/>
              <w:rPr>
                <w:rFonts w:ascii="Arial" w:eastAsia="Arial" w:hAnsi="Arial" w:cs="Arial"/>
              </w:rPr>
            </w:pPr>
            <w:r>
              <w:rPr>
                <w:rFonts w:ascii="Arial"/>
                <w:spacing w:val="-1"/>
              </w:rPr>
              <w:t>has</w:t>
            </w:r>
            <w:r>
              <w:rPr>
                <w:rFonts w:ascii="Arial"/>
                <w:spacing w:val="49"/>
              </w:rPr>
              <w:t xml:space="preserve"> </w:t>
            </w:r>
            <w:r>
              <w:rPr>
                <w:rFonts w:ascii="Arial"/>
              </w:rPr>
              <w:t>the</w:t>
            </w:r>
            <w:r>
              <w:rPr>
                <w:rFonts w:ascii="Arial"/>
                <w:spacing w:val="46"/>
              </w:rPr>
              <w:t xml:space="preserve"> </w:t>
            </w:r>
            <w:r>
              <w:rPr>
                <w:rFonts w:ascii="Arial"/>
                <w:spacing w:val="-1"/>
              </w:rPr>
              <w:t>meaning</w:t>
            </w:r>
            <w:r>
              <w:rPr>
                <w:rFonts w:ascii="Arial"/>
                <w:spacing w:val="46"/>
              </w:rPr>
              <w:t xml:space="preserve"> </w:t>
            </w:r>
            <w:r>
              <w:rPr>
                <w:rFonts w:ascii="Arial"/>
                <w:spacing w:val="-1"/>
              </w:rPr>
              <w:t>given</w:t>
            </w:r>
            <w:r>
              <w:rPr>
                <w:rFonts w:ascii="Arial"/>
                <w:spacing w:val="51"/>
              </w:rPr>
              <w:t xml:space="preserve"> </w:t>
            </w:r>
            <w:r>
              <w:rPr>
                <w:rFonts w:ascii="Arial"/>
              </w:rPr>
              <w:t>to</w:t>
            </w:r>
            <w:r>
              <w:rPr>
                <w:rFonts w:ascii="Arial"/>
                <w:spacing w:val="48"/>
              </w:rPr>
              <w:t xml:space="preserve"> </w:t>
            </w:r>
            <w:r>
              <w:rPr>
                <w:rFonts w:ascii="Arial"/>
                <w:spacing w:val="-1"/>
              </w:rPr>
              <w:t>it</w:t>
            </w:r>
            <w:r>
              <w:rPr>
                <w:rFonts w:ascii="Arial"/>
                <w:spacing w:val="51"/>
              </w:rPr>
              <w:t xml:space="preserve"> </w:t>
            </w:r>
            <w:r>
              <w:rPr>
                <w:rFonts w:ascii="Arial"/>
                <w:spacing w:val="-1"/>
              </w:rPr>
              <w:t>in</w:t>
            </w:r>
            <w:r>
              <w:rPr>
                <w:rFonts w:ascii="Arial"/>
                <w:spacing w:val="47"/>
              </w:rPr>
              <w:t xml:space="preserve"> </w:t>
            </w:r>
            <w:r>
              <w:rPr>
                <w:rFonts w:ascii="Arial"/>
              </w:rPr>
              <w:t>the</w:t>
            </w:r>
            <w:r>
              <w:rPr>
                <w:rFonts w:ascii="Arial"/>
                <w:spacing w:val="48"/>
              </w:rPr>
              <w:t xml:space="preserve"> </w:t>
            </w:r>
            <w:r>
              <w:rPr>
                <w:rFonts w:ascii="Arial"/>
                <w:spacing w:val="-1"/>
              </w:rPr>
              <w:t>Data</w:t>
            </w:r>
            <w:r>
              <w:rPr>
                <w:rFonts w:ascii="Arial"/>
                <w:spacing w:val="48"/>
              </w:rPr>
              <w:t xml:space="preserve"> </w:t>
            </w:r>
            <w:r>
              <w:rPr>
                <w:rFonts w:ascii="Arial"/>
                <w:spacing w:val="-1"/>
              </w:rPr>
              <w:t>Protection</w:t>
            </w:r>
            <w:r>
              <w:rPr>
                <w:rFonts w:ascii="Arial"/>
                <w:spacing w:val="48"/>
              </w:rPr>
              <w:t xml:space="preserve"> </w:t>
            </w:r>
            <w:r>
              <w:rPr>
                <w:rFonts w:ascii="Arial"/>
                <w:spacing w:val="-2"/>
              </w:rPr>
              <w:t>Act</w:t>
            </w:r>
            <w:r>
              <w:rPr>
                <w:rFonts w:ascii="Arial"/>
                <w:spacing w:val="29"/>
              </w:rPr>
              <w:t xml:space="preserve"> </w:t>
            </w:r>
            <w:r>
              <w:rPr>
                <w:rFonts w:ascii="Arial"/>
                <w:spacing w:val="-1"/>
              </w:rPr>
              <w:t>1998,</w:t>
            </w:r>
            <w:r>
              <w:rPr>
                <w:rFonts w:ascii="Arial"/>
                <w:spacing w:val="2"/>
              </w:rPr>
              <w:t xml:space="preserve"> </w:t>
            </w:r>
            <w:r>
              <w:rPr>
                <w:rFonts w:ascii="Arial"/>
                <w:spacing w:val="-1"/>
              </w:rPr>
              <w:t>as</w:t>
            </w:r>
            <w:r>
              <w:rPr>
                <w:rFonts w:ascii="Arial"/>
                <w:spacing w:val="-2"/>
              </w:rPr>
              <w:t xml:space="preserve"> </w:t>
            </w:r>
            <w:r>
              <w:rPr>
                <w:rFonts w:ascii="Arial"/>
                <w:spacing w:val="-1"/>
              </w:rPr>
              <w:t>amended</w:t>
            </w:r>
            <w:r>
              <w:rPr>
                <w:rFonts w:ascii="Arial"/>
                <w:spacing w:val="-2"/>
              </w:rPr>
              <w:t xml:space="preserve"> </w:t>
            </w:r>
            <w:r>
              <w:rPr>
                <w:rFonts w:ascii="Arial"/>
                <w:spacing w:val="-1"/>
              </w:rPr>
              <w:t>from time</w:t>
            </w:r>
            <w:r>
              <w:rPr>
                <w:rFonts w:ascii="Arial"/>
              </w:rPr>
              <w:t xml:space="preserve"> to</w:t>
            </w:r>
            <w:r>
              <w:rPr>
                <w:rFonts w:ascii="Arial"/>
                <w:spacing w:val="-2"/>
              </w:rPr>
              <w:t xml:space="preserve"> </w:t>
            </w:r>
            <w:r>
              <w:rPr>
                <w:rFonts w:ascii="Arial"/>
                <w:spacing w:val="-1"/>
              </w:rPr>
              <w:t>time;</w:t>
            </w:r>
          </w:p>
        </w:tc>
      </w:tr>
      <w:tr w:rsidR="008918FA" w:rsidTr="005D2B81">
        <w:trPr>
          <w:trHeight w:hRule="exact" w:val="165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109"/>
              <w:rPr>
                <w:rFonts w:ascii="Arial" w:eastAsia="Arial" w:hAnsi="Arial" w:cs="Arial"/>
              </w:rPr>
            </w:pPr>
            <w:r>
              <w:rPr>
                <w:rFonts w:ascii="Arial" w:eastAsia="Arial" w:hAnsi="Arial" w:cs="Arial"/>
                <w:b/>
                <w:bCs/>
                <w:spacing w:val="-1"/>
              </w:rPr>
              <w:t>"Data</w:t>
            </w:r>
            <w:r>
              <w:rPr>
                <w:rFonts w:ascii="Arial" w:eastAsia="Arial" w:hAnsi="Arial" w:cs="Arial"/>
                <w:b/>
                <w:bCs/>
              </w:rPr>
              <w:t xml:space="preserve"> </w:t>
            </w:r>
            <w:r>
              <w:rPr>
                <w:rFonts w:ascii="Arial" w:eastAsia="Arial" w:hAnsi="Arial" w:cs="Arial"/>
                <w:b/>
                <w:bCs/>
                <w:spacing w:val="-1"/>
              </w:rPr>
              <w:t>Protection</w:t>
            </w:r>
            <w:r>
              <w:rPr>
                <w:rFonts w:ascii="Arial" w:eastAsia="Arial" w:hAnsi="Arial" w:cs="Arial"/>
                <w:b/>
                <w:bCs/>
                <w:spacing w:val="22"/>
              </w:rPr>
              <w:t xml:space="preserve"> </w:t>
            </w:r>
            <w:r>
              <w:rPr>
                <w:rFonts w:ascii="Arial" w:eastAsia="Arial" w:hAnsi="Arial" w:cs="Arial"/>
                <w:b/>
                <w:bCs/>
                <w:spacing w:val="-1"/>
              </w:rPr>
              <w:t>Legislation"</w:t>
            </w:r>
            <w:r>
              <w:rPr>
                <w:rFonts w:ascii="Arial" w:eastAsia="Arial" w:hAnsi="Arial" w:cs="Arial"/>
                <w:b/>
                <w:bCs/>
                <w:spacing w:val="2"/>
              </w:rPr>
              <w:t xml:space="preserve"> </w:t>
            </w:r>
            <w:r>
              <w:rPr>
                <w:rFonts w:ascii="Arial" w:eastAsia="Arial" w:hAnsi="Arial" w:cs="Arial"/>
                <w:b/>
                <w:bCs/>
                <w:spacing w:val="-2"/>
              </w:rPr>
              <w:t>or</w:t>
            </w:r>
            <w:r>
              <w:rPr>
                <w:rFonts w:ascii="Arial" w:eastAsia="Arial" w:hAnsi="Arial" w:cs="Arial"/>
                <w:b/>
                <w:bCs/>
                <w:spacing w:val="1"/>
              </w:rPr>
              <w:t xml:space="preserve"> </w:t>
            </w:r>
            <w:r>
              <w:rPr>
                <w:rFonts w:ascii="Arial" w:eastAsia="Arial" w:hAnsi="Arial" w:cs="Arial"/>
                <w:b/>
                <w:bCs/>
                <w:spacing w:val="-2"/>
              </w:rPr>
              <w:t>“DPA”</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46"/>
              </w:rPr>
              <w:t xml:space="preserve"> </w:t>
            </w:r>
            <w:r>
              <w:rPr>
                <w:rFonts w:ascii="Arial"/>
              </w:rPr>
              <w:t>the</w:t>
            </w:r>
            <w:r>
              <w:rPr>
                <w:rFonts w:ascii="Arial"/>
                <w:spacing w:val="46"/>
              </w:rPr>
              <w:t xml:space="preserve"> </w:t>
            </w:r>
            <w:r>
              <w:rPr>
                <w:rFonts w:ascii="Arial"/>
                <w:spacing w:val="-1"/>
              </w:rPr>
              <w:t>Data</w:t>
            </w:r>
            <w:r>
              <w:rPr>
                <w:rFonts w:ascii="Arial"/>
                <w:spacing w:val="46"/>
              </w:rPr>
              <w:t xml:space="preserve"> </w:t>
            </w:r>
            <w:r>
              <w:rPr>
                <w:rFonts w:ascii="Arial"/>
                <w:spacing w:val="-2"/>
              </w:rPr>
              <w:t>Protection</w:t>
            </w:r>
            <w:r>
              <w:rPr>
                <w:rFonts w:ascii="Arial"/>
                <w:spacing w:val="46"/>
              </w:rPr>
              <w:t xml:space="preserve"> </w:t>
            </w:r>
            <w:r>
              <w:rPr>
                <w:rFonts w:ascii="Arial"/>
                <w:spacing w:val="-1"/>
              </w:rPr>
              <w:t>Act</w:t>
            </w:r>
            <w:r>
              <w:rPr>
                <w:rFonts w:ascii="Arial"/>
                <w:spacing w:val="48"/>
              </w:rPr>
              <w:t xml:space="preserve"> </w:t>
            </w:r>
            <w:r>
              <w:rPr>
                <w:rFonts w:ascii="Arial"/>
                <w:spacing w:val="-1"/>
              </w:rPr>
              <w:t>1998</w:t>
            </w:r>
            <w:r>
              <w:rPr>
                <w:rFonts w:ascii="Arial"/>
                <w:spacing w:val="46"/>
              </w:rPr>
              <w:t xml:space="preserve"> </w:t>
            </w:r>
            <w:r>
              <w:rPr>
                <w:rFonts w:ascii="Arial"/>
                <w:spacing w:val="-1"/>
              </w:rPr>
              <w:t>and</w:t>
            </w:r>
            <w:r>
              <w:rPr>
                <w:rFonts w:ascii="Arial"/>
                <w:spacing w:val="47"/>
              </w:rPr>
              <w:t xml:space="preserve"> </w:t>
            </w:r>
            <w:r>
              <w:rPr>
                <w:rFonts w:ascii="Arial"/>
                <w:spacing w:val="-1"/>
              </w:rPr>
              <w:t>all</w:t>
            </w:r>
            <w:r>
              <w:rPr>
                <w:rFonts w:ascii="Arial"/>
                <w:spacing w:val="45"/>
              </w:rPr>
              <w:t xml:space="preserve"> </w:t>
            </w:r>
            <w:r>
              <w:rPr>
                <w:rFonts w:ascii="Arial"/>
                <w:spacing w:val="-1"/>
              </w:rPr>
              <w:t>applicable</w:t>
            </w:r>
            <w:r>
              <w:rPr>
                <w:rFonts w:ascii="Arial"/>
                <w:spacing w:val="33"/>
              </w:rPr>
              <w:t xml:space="preserve"> </w:t>
            </w:r>
            <w:r>
              <w:rPr>
                <w:rFonts w:ascii="Arial"/>
                <w:spacing w:val="-1"/>
              </w:rPr>
              <w:t>laws</w:t>
            </w:r>
            <w:r>
              <w:rPr>
                <w:rFonts w:ascii="Arial"/>
                <w:spacing w:val="51"/>
              </w:rPr>
              <w:t xml:space="preserve"> </w:t>
            </w:r>
            <w:r>
              <w:rPr>
                <w:rFonts w:ascii="Arial"/>
                <w:spacing w:val="-1"/>
              </w:rPr>
              <w:t>and</w:t>
            </w:r>
            <w:r>
              <w:rPr>
                <w:rFonts w:ascii="Arial"/>
                <w:spacing w:val="51"/>
              </w:rPr>
              <w:t xml:space="preserve"> </w:t>
            </w:r>
            <w:r>
              <w:rPr>
                <w:rFonts w:ascii="Arial"/>
                <w:spacing w:val="-1"/>
              </w:rPr>
              <w:t>regulations</w:t>
            </w:r>
            <w:r>
              <w:rPr>
                <w:rFonts w:ascii="Arial"/>
                <w:spacing w:val="51"/>
              </w:rPr>
              <w:t xml:space="preserve"> </w:t>
            </w:r>
            <w:r>
              <w:rPr>
                <w:rFonts w:ascii="Arial"/>
                <w:spacing w:val="-1"/>
              </w:rPr>
              <w:t>relating</w:t>
            </w:r>
            <w:r>
              <w:rPr>
                <w:rFonts w:ascii="Arial"/>
                <w:spacing w:val="53"/>
              </w:rPr>
              <w:t xml:space="preserve"> </w:t>
            </w:r>
            <w:r>
              <w:rPr>
                <w:rFonts w:ascii="Arial"/>
              </w:rPr>
              <w:t>to</w:t>
            </w:r>
            <w:r>
              <w:rPr>
                <w:rFonts w:ascii="Arial"/>
                <w:spacing w:val="51"/>
              </w:rPr>
              <w:t xml:space="preserve"> </w:t>
            </w:r>
            <w:r>
              <w:rPr>
                <w:rFonts w:ascii="Arial"/>
                <w:spacing w:val="-1"/>
              </w:rPr>
              <w:t>processing</w:t>
            </w:r>
            <w:r>
              <w:rPr>
                <w:rFonts w:ascii="Arial"/>
                <w:spacing w:val="53"/>
              </w:rPr>
              <w:t xml:space="preserve"> </w:t>
            </w:r>
            <w:r>
              <w:rPr>
                <w:rFonts w:ascii="Arial"/>
                <w:spacing w:val="-2"/>
              </w:rPr>
              <w:t>of</w:t>
            </w:r>
            <w:r>
              <w:rPr>
                <w:rFonts w:ascii="Arial"/>
                <w:spacing w:val="53"/>
              </w:rPr>
              <w:t xml:space="preserve"> </w:t>
            </w:r>
            <w:r>
              <w:rPr>
                <w:rFonts w:ascii="Arial"/>
                <w:spacing w:val="-1"/>
              </w:rPr>
              <w:t>personal</w:t>
            </w:r>
            <w:r>
              <w:rPr>
                <w:rFonts w:ascii="Arial"/>
                <w:spacing w:val="20"/>
              </w:rPr>
              <w:t xml:space="preserve"> </w:t>
            </w:r>
            <w:r>
              <w:rPr>
                <w:rFonts w:ascii="Arial"/>
                <w:spacing w:val="-1"/>
              </w:rPr>
              <w:t>data</w:t>
            </w:r>
            <w:r>
              <w:rPr>
                <w:rFonts w:ascii="Arial"/>
                <w:spacing w:val="5"/>
              </w:rPr>
              <w:t xml:space="preserve"> </w:t>
            </w:r>
            <w:r>
              <w:rPr>
                <w:rFonts w:ascii="Arial"/>
                <w:spacing w:val="-1"/>
              </w:rPr>
              <w:t>and</w:t>
            </w:r>
            <w:r>
              <w:rPr>
                <w:rFonts w:ascii="Arial"/>
                <w:spacing w:val="5"/>
              </w:rPr>
              <w:t xml:space="preserve"> </w:t>
            </w:r>
            <w:r>
              <w:rPr>
                <w:rFonts w:ascii="Arial"/>
                <w:spacing w:val="-2"/>
              </w:rPr>
              <w:t>privacy,</w:t>
            </w:r>
            <w:r>
              <w:rPr>
                <w:rFonts w:ascii="Arial"/>
                <w:spacing w:val="7"/>
              </w:rPr>
              <w:t xml:space="preserve"> </w:t>
            </w:r>
            <w:r>
              <w:rPr>
                <w:rFonts w:ascii="Arial"/>
                <w:spacing w:val="-1"/>
              </w:rPr>
              <w:t>including</w:t>
            </w:r>
            <w:r>
              <w:rPr>
                <w:rFonts w:ascii="Arial"/>
                <w:spacing w:val="7"/>
              </w:rPr>
              <w:t xml:space="preserve"> </w:t>
            </w:r>
            <w:r>
              <w:rPr>
                <w:rFonts w:ascii="Arial"/>
                <w:spacing w:val="-2"/>
              </w:rPr>
              <w:t>where</w:t>
            </w:r>
            <w:r>
              <w:rPr>
                <w:rFonts w:ascii="Arial"/>
                <w:spacing w:val="5"/>
              </w:rPr>
              <w:t xml:space="preserve"> </w:t>
            </w:r>
            <w:r>
              <w:rPr>
                <w:rFonts w:ascii="Arial"/>
                <w:spacing w:val="-2"/>
              </w:rPr>
              <w:t>applicable</w:t>
            </w:r>
            <w:r>
              <w:rPr>
                <w:rFonts w:ascii="Arial"/>
                <w:spacing w:val="5"/>
              </w:rPr>
              <w:t xml:space="preserve"> </w:t>
            </w:r>
            <w:r>
              <w:rPr>
                <w:rFonts w:ascii="Arial"/>
              </w:rPr>
              <w:t xml:space="preserve">the </w:t>
            </w:r>
            <w:r>
              <w:rPr>
                <w:rFonts w:ascii="Arial"/>
                <w:spacing w:val="-1"/>
              </w:rPr>
              <w:t>guidance</w:t>
            </w:r>
            <w:r>
              <w:rPr>
                <w:rFonts w:ascii="Arial"/>
                <w:spacing w:val="50"/>
              </w:rPr>
              <w:t xml:space="preserve"> </w:t>
            </w:r>
            <w:r>
              <w:rPr>
                <w:rFonts w:ascii="Arial"/>
                <w:spacing w:val="-1"/>
              </w:rPr>
              <w:t>and</w:t>
            </w:r>
            <w:r>
              <w:rPr>
                <w:rFonts w:ascii="Arial"/>
                <w:spacing w:val="29"/>
              </w:rPr>
              <w:t xml:space="preserve"> </w:t>
            </w:r>
            <w:r>
              <w:rPr>
                <w:rFonts w:ascii="Arial"/>
                <w:spacing w:val="-1"/>
              </w:rPr>
              <w:t>codes</w:t>
            </w:r>
            <w:r>
              <w:rPr>
                <w:rFonts w:ascii="Arial"/>
                <w:spacing w:val="30"/>
              </w:rPr>
              <w:t xml:space="preserve"> </w:t>
            </w:r>
            <w:r>
              <w:rPr>
                <w:rFonts w:ascii="Arial"/>
                <w:spacing w:val="-2"/>
              </w:rPr>
              <w:t>of</w:t>
            </w:r>
            <w:r>
              <w:rPr>
                <w:rFonts w:ascii="Arial"/>
                <w:spacing w:val="31"/>
              </w:rPr>
              <w:t xml:space="preserve"> </w:t>
            </w:r>
            <w:r>
              <w:rPr>
                <w:rFonts w:ascii="Arial"/>
                <w:spacing w:val="-2"/>
              </w:rPr>
              <w:t>practice</w:t>
            </w:r>
            <w:r>
              <w:rPr>
                <w:rFonts w:ascii="Arial"/>
                <w:spacing w:val="29"/>
              </w:rPr>
              <w:t xml:space="preserve"> </w:t>
            </w:r>
            <w:r>
              <w:rPr>
                <w:rFonts w:ascii="Arial"/>
                <w:spacing w:val="-1"/>
              </w:rPr>
              <w:t>issued</w:t>
            </w:r>
            <w:r>
              <w:rPr>
                <w:rFonts w:ascii="Arial"/>
                <w:spacing w:val="29"/>
              </w:rPr>
              <w:t xml:space="preserve"> </w:t>
            </w:r>
            <w:r>
              <w:rPr>
                <w:rFonts w:ascii="Arial"/>
                <w:spacing w:val="-1"/>
              </w:rPr>
              <w:t>by</w:t>
            </w:r>
            <w:r>
              <w:rPr>
                <w:rFonts w:ascii="Arial"/>
                <w:spacing w:val="27"/>
              </w:rPr>
              <w:t xml:space="preserve"> </w:t>
            </w:r>
            <w:r>
              <w:rPr>
                <w:rFonts w:ascii="Arial"/>
              </w:rPr>
              <w:t>the</w:t>
            </w:r>
            <w:r>
              <w:rPr>
                <w:rFonts w:ascii="Arial"/>
                <w:spacing w:val="29"/>
              </w:rPr>
              <w:t xml:space="preserve"> </w:t>
            </w:r>
            <w:r>
              <w:rPr>
                <w:rFonts w:ascii="Arial"/>
                <w:spacing w:val="-1"/>
              </w:rPr>
              <w:t>Information</w:t>
            </w:r>
            <w:r>
              <w:rPr>
                <w:rFonts w:ascii="Arial"/>
                <w:spacing w:val="26"/>
              </w:rPr>
              <w:t xml:space="preserve"> </w:t>
            </w:r>
            <w:r>
              <w:rPr>
                <w:rFonts w:ascii="Arial"/>
                <w:spacing w:val="-1"/>
              </w:rPr>
              <w:t>Commissioner</w:t>
            </w:r>
            <w:r>
              <w:rPr>
                <w:rFonts w:ascii="Arial"/>
                <w:spacing w:val="36"/>
              </w:rPr>
              <w:t xml:space="preserve"> </w:t>
            </w:r>
            <w:r>
              <w:rPr>
                <w:rFonts w:ascii="Arial"/>
                <w:spacing w:val="-1"/>
              </w:rPr>
              <w:t>or</w:t>
            </w:r>
            <w:r>
              <w:rPr>
                <w:rFonts w:ascii="Arial"/>
                <w:spacing w:val="34"/>
              </w:rPr>
              <w:t xml:space="preserve"> </w:t>
            </w:r>
            <w:r>
              <w:rPr>
                <w:rFonts w:ascii="Arial"/>
                <w:spacing w:val="-1"/>
              </w:rPr>
              <w:t>relevant</w:t>
            </w:r>
            <w:r>
              <w:rPr>
                <w:rFonts w:ascii="Arial"/>
                <w:spacing w:val="36"/>
              </w:rPr>
              <w:t xml:space="preserve"> </w:t>
            </w:r>
            <w:r>
              <w:rPr>
                <w:rFonts w:ascii="Arial"/>
                <w:spacing w:val="-1"/>
              </w:rPr>
              <w:t>Government</w:t>
            </w:r>
            <w:r>
              <w:rPr>
                <w:rFonts w:ascii="Arial"/>
                <w:spacing w:val="36"/>
              </w:rPr>
              <w:t xml:space="preserve"> </w:t>
            </w:r>
            <w:r>
              <w:rPr>
                <w:rFonts w:ascii="Arial"/>
                <w:spacing w:val="-1"/>
              </w:rPr>
              <w:t>department</w:t>
            </w:r>
            <w:r>
              <w:rPr>
                <w:rFonts w:ascii="Arial"/>
                <w:spacing w:val="36"/>
              </w:rPr>
              <w:t xml:space="preserve"> </w:t>
            </w:r>
            <w:r>
              <w:rPr>
                <w:rFonts w:ascii="Arial"/>
                <w:spacing w:val="-1"/>
              </w:rPr>
              <w:t>in</w:t>
            </w:r>
            <w:r>
              <w:rPr>
                <w:rFonts w:ascii="Arial"/>
                <w:spacing w:val="27"/>
              </w:rPr>
              <w:t xml:space="preserve"> </w:t>
            </w:r>
            <w:r>
              <w:rPr>
                <w:rFonts w:ascii="Arial"/>
                <w:spacing w:val="-1"/>
              </w:rPr>
              <w:t>relation</w:t>
            </w:r>
            <w:r>
              <w:rPr>
                <w:rFonts w:ascii="Arial"/>
              </w:rPr>
              <w:t xml:space="preserve"> to</w:t>
            </w:r>
            <w:r>
              <w:rPr>
                <w:rFonts w:ascii="Arial"/>
                <w:spacing w:val="-2"/>
              </w:rPr>
              <w:t xml:space="preserve"> </w:t>
            </w:r>
            <w:r>
              <w:rPr>
                <w:rFonts w:ascii="Arial"/>
                <w:spacing w:val="-1"/>
              </w:rPr>
              <w:t>such</w:t>
            </w:r>
            <w:r>
              <w:rPr>
                <w:rFonts w:ascii="Arial"/>
                <w:spacing w:val="-2"/>
              </w:rPr>
              <w:t xml:space="preserve"> </w:t>
            </w:r>
            <w:r>
              <w:rPr>
                <w:rFonts w:ascii="Arial"/>
                <w:spacing w:val="-1"/>
              </w:rPr>
              <w:t>legislation;</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"Data</w:t>
            </w:r>
            <w:r>
              <w:rPr>
                <w:rFonts w:ascii="Arial"/>
                <w:b/>
              </w:rPr>
              <w:t xml:space="preserve"> </w:t>
            </w:r>
            <w:r>
              <w:rPr>
                <w:rFonts w:ascii="Arial"/>
                <w:b/>
                <w:spacing w:val="-2"/>
              </w:rPr>
              <w:t>Subject"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rPr>
                <w:rFonts w:ascii="Arial" w:eastAsia="Arial" w:hAnsi="Arial" w:cs="Arial"/>
              </w:rPr>
            </w:pPr>
            <w:r>
              <w:rPr>
                <w:rFonts w:ascii="Arial"/>
                <w:spacing w:val="-1"/>
              </w:rPr>
              <w:t>has</w:t>
            </w:r>
            <w:r>
              <w:rPr>
                <w:rFonts w:ascii="Arial"/>
                <w:spacing w:val="49"/>
              </w:rPr>
              <w:t xml:space="preserve"> </w:t>
            </w:r>
            <w:r>
              <w:rPr>
                <w:rFonts w:ascii="Arial"/>
              </w:rPr>
              <w:t>the</w:t>
            </w:r>
            <w:r>
              <w:rPr>
                <w:rFonts w:ascii="Arial"/>
                <w:spacing w:val="46"/>
              </w:rPr>
              <w:t xml:space="preserve"> </w:t>
            </w:r>
            <w:r>
              <w:rPr>
                <w:rFonts w:ascii="Arial"/>
                <w:spacing w:val="-1"/>
              </w:rPr>
              <w:t>meaning</w:t>
            </w:r>
            <w:r>
              <w:rPr>
                <w:rFonts w:ascii="Arial"/>
                <w:spacing w:val="46"/>
              </w:rPr>
              <w:t xml:space="preserve"> </w:t>
            </w:r>
            <w:r>
              <w:rPr>
                <w:rFonts w:ascii="Arial"/>
                <w:spacing w:val="-1"/>
              </w:rPr>
              <w:t>given</w:t>
            </w:r>
            <w:r>
              <w:rPr>
                <w:rFonts w:ascii="Arial"/>
                <w:spacing w:val="51"/>
              </w:rPr>
              <w:t xml:space="preserve"> </w:t>
            </w:r>
            <w:r>
              <w:rPr>
                <w:rFonts w:ascii="Arial"/>
              </w:rPr>
              <w:t>to</w:t>
            </w:r>
            <w:r>
              <w:rPr>
                <w:rFonts w:ascii="Arial"/>
                <w:spacing w:val="48"/>
              </w:rPr>
              <w:t xml:space="preserve"> </w:t>
            </w:r>
            <w:r>
              <w:rPr>
                <w:rFonts w:ascii="Arial"/>
                <w:spacing w:val="-1"/>
              </w:rPr>
              <w:t>it</w:t>
            </w:r>
            <w:r>
              <w:rPr>
                <w:rFonts w:ascii="Arial"/>
                <w:spacing w:val="50"/>
              </w:rPr>
              <w:t xml:space="preserve"> </w:t>
            </w:r>
            <w:r>
              <w:rPr>
                <w:rFonts w:ascii="Arial"/>
                <w:spacing w:val="-1"/>
              </w:rPr>
              <w:t>in</w:t>
            </w:r>
            <w:r>
              <w:rPr>
                <w:rFonts w:ascii="Arial"/>
                <w:spacing w:val="48"/>
              </w:rPr>
              <w:t xml:space="preserve"> </w:t>
            </w:r>
            <w:r>
              <w:rPr>
                <w:rFonts w:ascii="Arial"/>
              </w:rPr>
              <w:t>the</w:t>
            </w:r>
            <w:r>
              <w:rPr>
                <w:rFonts w:ascii="Arial"/>
                <w:spacing w:val="48"/>
              </w:rPr>
              <w:t xml:space="preserve"> </w:t>
            </w:r>
            <w:r>
              <w:rPr>
                <w:rFonts w:ascii="Arial"/>
                <w:spacing w:val="-1"/>
              </w:rPr>
              <w:t>Data</w:t>
            </w:r>
            <w:r>
              <w:rPr>
                <w:rFonts w:ascii="Arial"/>
                <w:spacing w:val="48"/>
              </w:rPr>
              <w:t xml:space="preserve"> </w:t>
            </w:r>
            <w:r>
              <w:rPr>
                <w:rFonts w:ascii="Arial"/>
                <w:spacing w:val="-1"/>
              </w:rPr>
              <w:t>Protection</w:t>
            </w:r>
            <w:r>
              <w:rPr>
                <w:rFonts w:ascii="Arial"/>
                <w:spacing w:val="48"/>
              </w:rPr>
              <w:t xml:space="preserve"> </w:t>
            </w:r>
            <w:r>
              <w:rPr>
                <w:rFonts w:ascii="Arial"/>
                <w:spacing w:val="-2"/>
              </w:rPr>
              <w:t>Act</w:t>
            </w:r>
            <w:r>
              <w:rPr>
                <w:rFonts w:ascii="Arial"/>
                <w:spacing w:val="29"/>
              </w:rPr>
              <w:t xml:space="preserve"> </w:t>
            </w:r>
            <w:r>
              <w:rPr>
                <w:rFonts w:ascii="Arial"/>
                <w:spacing w:val="-1"/>
              </w:rPr>
              <w:t>1998,</w:t>
            </w:r>
            <w:r>
              <w:rPr>
                <w:rFonts w:ascii="Arial"/>
                <w:spacing w:val="2"/>
              </w:rPr>
              <w:t xml:space="preserve"> </w:t>
            </w:r>
            <w:r>
              <w:rPr>
                <w:rFonts w:ascii="Arial"/>
                <w:spacing w:val="-1"/>
              </w:rPr>
              <w:t>as</w:t>
            </w:r>
            <w:r>
              <w:rPr>
                <w:rFonts w:ascii="Arial"/>
                <w:spacing w:val="-2"/>
              </w:rPr>
              <w:t xml:space="preserve"> </w:t>
            </w:r>
            <w:r>
              <w:rPr>
                <w:rFonts w:ascii="Arial"/>
                <w:spacing w:val="-1"/>
              </w:rPr>
              <w:t>amended</w:t>
            </w:r>
            <w:r>
              <w:rPr>
                <w:rFonts w:ascii="Arial"/>
                <w:spacing w:val="-2"/>
              </w:rPr>
              <w:t xml:space="preserve"> </w:t>
            </w:r>
            <w:r>
              <w:rPr>
                <w:rFonts w:ascii="Arial"/>
                <w:spacing w:val="-1"/>
              </w:rPr>
              <w:t>from time</w:t>
            </w:r>
            <w:r>
              <w:rPr>
                <w:rFonts w:ascii="Arial"/>
              </w:rPr>
              <w:t xml:space="preserve"> to</w:t>
            </w:r>
            <w:r>
              <w:rPr>
                <w:rFonts w:ascii="Arial"/>
                <w:spacing w:val="-2"/>
              </w:rPr>
              <w:t xml:space="preserve"> </w:t>
            </w:r>
            <w:r>
              <w:rPr>
                <w:rFonts w:ascii="Arial"/>
                <w:spacing w:val="-1"/>
              </w:rPr>
              <w:t>time;</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134"/>
              <w:rPr>
                <w:rFonts w:ascii="Arial" w:eastAsia="Arial" w:hAnsi="Arial" w:cs="Arial"/>
              </w:rPr>
            </w:pPr>
            <w:r>
              <w:rPr>
                <w:rFonts w:ascii="Arial"/>
                <w:b/>
                <w:spacing w:val="-1"/>
              </w:rPr>
              <w:t>"Data</w:t>
            </w:r>
            <w:r>
              <w:rPr>
                <w:rFonts w:ascii="Arial"/>
                <w:b/>
              </w:rPr>
              <w:t xml:space="preserve"> </w:t>
            </w:r>
            <w:r>
              <w:rPr>
                <w:rFonts w:ascii="Arial"/>
                <w:b/>
                <w:spacing w:val="-1"/>
              </w:rPr>
              <w:t>Subject</w:t>
            </w:r>
            <w:r>
              <w:rPr>
                <w:rFonts w:ascii="Arial"/>
                <w:b/>
                <w:spacing w:val="2"/>
              </w:rPr>
              <w:t xml:space="preserve"> </w:t>
            </w:r>
            <w:r>
              <w:rPr>
                <w:rFonts w:ascii="Arial"/>
                <w:b/>
                <w:spacing w:val="-3"/>
              </w:rPr>
              <w:t>Access</w:t>
            </w:r>
            <w:r>
              <w:rPr>
                <w:rFonts w:ascii="Arial"/>
                <w:b/>
                <w:spacing w:val="26"/>
              </w:rPr>
              <w:t xml:space="preserve"> </w:t>
            </w:r>
            <w:r>
              <w:rPr>
                <w:rFonts w:ascii="Arial"/>
                <w:b/>
                <w:spacing w:val="-1"/>
              </w:rPr>
              <w:t>Request"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1"/>
              <w:jc w:val="both"/>
              <w:rPr>
                <w:rFonts w:ascii="Arial" w:eastAsia="Arial" w:hAnsi="Arial" w:cs="Arial"/>
              </w:rPr>
            </w:pPr>
            <w:r>
              <w:rPr>
                <w:rFonts w:ascii="Arial"/>
                <w:spacing w:val="-1"/>
              </w:rPr>
              <w:t>means</w:t>
            </w:r>
            <w:r>
              <w:rPr>
                <w:rFonts w:ascii="Arial"/>
                <w:spacing w:val="22"/>
              </w:rPr>
              <w:t xml:space="preserve"> </w:t>
            </w:r>
            <w:r>
              <w:rPr>
                <w:rFonts w:ascii="Arial"/>
              </w:rPr>
              <w:t>a</w:t>
            </w:r>
            <w:r>
              <w:rPr>
                <w:rFonts w:ascii="Arial"/>
                <w:spacing w:val="19"/>
              </w:rPr>
              <w:t xml:space="preserve"> </w:t>
            </w:r>
            <w:r>
              <w:rPr>
                <w:rFonts w:ascii="Arial"/>
                <w:spacing w:val="-1"/>
              </w:rPr>
              <w:t>request</w:t>
            </w:r>
            <w:r>
              <w:rPr>
                <w:rFonts w:ascii="Arial"/>
                <w:spacing w:val="21"/>
              </w:rPr>
              <w:t xml:space="preserve"> </w:t>
            </w:r>
            <w:r>
              <w:rPr>
                <w:rFonts w:ascii="Arial"/>
                <w:spacing w:val="-1"/>
              </w:rPr>
              <w:t>made</w:t>
            </w:r>
            <w:r>
              <w:rPr>
                <w:rFonts w:ascii="Arial"/>
                <w:spacing w:val="17"/>
              </w:rPr>
              <w:t xml:space="preserve"> </w:t>
            </w:r>
            <w:r>
              <w:rPr>
                <w:rFonts w:ascii="Arial"/>
                <w:spacing w:val="-1"/>
              </w:rPr>
              <w:t>by</w:t>
            </w:r>
            <w:r>
              <w:rPr>
                <w:rFonts w:ascii="Arial"/>
                <w:spacing w:val="20"/>
              </w:rPr>
              <w:t xml:space="preserve"> </w:t>
            </w:r>
            <w:r>
              <w:rPr>
                <w:rFonts w:ascii="Arial"/>
              </w:rPr>
              <w:t>a</w:t>
            </w:r>
            <w:r>
              <w:rPr>
                <w:rFonts w:ascii="Arial"/>
                <w:spacing w:val="22"/>
              </w:rPr>
              <w:t xml:space="preserve"> </w:t>
            </w:r>
            <w:r>
              <w:rPr>
                <w:rFonts w:ascii="Arial"/>
                <w:spacing w:val="-1"/>
              </w:rPr>
              <w:t>Data</w:t>
            </w:r>
            <w:r>
              <w:rPr>
                <w:rFonts w:ascii="Arial"/>
                <w:spacing w:val="22"/>
              </w:rPr>
              <w:t xml:space="preserve"> </w:t>
            </w:r>
            <w:r>
              <w:rPr>
                <w:rFonts w:ascii="Arial"/>
                <w:spacing w:val="-1"/>
              </w:rPr>
              <w:t>Subject</w:t>
            </w:r>
            <w:r>
              <w:rPr>
                <w:rFonts w:ascii="Arial"/>
                <w:spacing w:val="21"/>
              </w:rPr>
              <w:t xml:space="preserve"> </w:t>
            </w:r>
            <w:r>
              <w:rPr>
                <w:rFonts w:ascii="Arial"/>
                <w:spacing w:val="-1"/>
              </w:rPr>
              <w:t>in</w:t>
            </w:r>
            <w:r>
              <w:rPr>
                <w:rFonts w:ascii="Arial"/>
                <w:spacing w:val="22"/>
              </w:rPr>
              <w:t xml:space="preserve"> </w:t>
            </w:r>
            <w:r>
              <w:rPr>
                <w:rFonts w:ascii="Arial"/>
                <w:spacing w:val="-1"/>
              </w:rPr>
              <w:t>accordance</w:t>
            </w:r>
            <w:r>
              <w:rPr>
                <w:rFonts w:ascii="Arial"/>
                <w:spacing w:val="29"/>
              </w:rPr>
              <w:t xml:space="preserve"> </w:t>
            </w:r>
            <w:r>
              <w:rPr>
                <w:rFonts w:ascii="Arial"/>
                <w:spacing w:val="-1"/>
              </w:rPr>
              <w:t>with</w:t>
            </w:r>
            <w:r>
              <w:rPr>
                <w:rFonts w:ascii="Arial"/>
                <w:spacing w:val="24"/>
              </w:rPr>
              <w:t xml:space="preserve"> </w:t>
            </w:r>
            <w:r>
              <w:rPr>
                <w:rFonts w:ascii="Arial"/>
                <w:spacing w:val="-1"/>
              </w:rPr>
              <w:t>rights</w:t>
            </w:r>
            <w:r>
              <w:rPr>
                <w:rFonts w:ascii="Arial"/>
                <w:spacing w:val="22"/>
              </w:rPr>
              <w:t xml:space="preserve"> </w:t>
            </w:r>
            <w:r>
              <w:rPr>
                <w:rFonts w:ascii="Arial"/>
                <w:spacing w:val="-1"/>
              </w:rPr>
              <w:t>granted</w:t>
            </w:r>
            <w:r>
              <w:rPr>
                <w:rFonts w:ascii="Arial"/>
                <w:spacing w:val="24"/>
              </w:rPr>
              <w:t xml:space="preserve"> </w:t>
            </w:r>
            <w:r>
              <w:rPr>
                <w:rFonts w:ascii="Arial"/>
                <w:spacing w:val="-2"/>
              </w:rPr>
              <w:t>pursuant</w:t>
            </w:r>
            <w:r>
              <w:rPr>
                <w:rFonts w:ascii="Arial"/>
                <w:spacing w:val="26"/>
              </w:rPr>
              <w:t xml:space="preserve"> </w:t>
            </w:r>
            <w:r>
              <w:rPr>
                <w:rFonts w:ascii="Arial"/>
              </w:rPr>
              <w:t>to</w:t>
            </w:r>
            <w:r>
              <w:rPr>
                <w:rFonts w:ascii="Arial"/>
                <w:spacing w:val="22"/>
              </w:rPr>
              <w:t xml:space="preserve"> </w:t>
            </w:r>
            <w:r>
              <w:rPr>
                <w:rFonts w:ascii="Arial"/>
              </w:rPr>
              <w:t>the</w:t>
            </w:r>
            <w:r>
              <w:rPr>
                <w:rFonts w:ascii="Arial"/>
                <w:spacing w:val="22"/>
              </w:rPr>
              <w:t xml:space="preserve"> </w:t>
            </w:r>
            <w:r>
              <w:rPr>
                <w:rFonts w:ascii="Arial"/>
                <w:spacing w:val="-1"/>
              </w:rPr>
              <w:t>DPA</w:t>
            </w:r>
            <w:r>
              <w:rPr>
                <w:rFonts w:ascii="Arial"/>
                <w:spacing w:val="24"/>
              </w:rPr>
              <w:t xml:space="preserve"> </w:t>
            </w:r>
            <w:r>
              <w:rPr>
                <w:rFonts w:ascii="Arial"/>
              </w:rPr>
              <w:t>to</w:t>
            </w:r>
            <w:r>
              <w:rPr>
                <w:rFonts w:ascii="Arial"/>
                <w:spacing w:val="24"/>
              </w:rPr>
              <w:t xml:space="preserve"> </w:t>
            </w:r>
            <w:r>
              <w:rPr>
                <w:rFonts w:ascii="Arial"/>
                <w:spacing w:val="-2"/>
              </w:rPr>
              <w:t>access</w:t>
            </w:r>
            <w:r>
              <w:rPr>
                <w:rFonts w:ascii="Arial"/>
                <w:spacing w:val="25"/>
              </w:rPr>
              <w:t xml:space="preserve"> </w:t>
            </w:r>
            <w:r>
              <w:rPr>
                <w:rFonts w:ascii="Arial"/>
                <w:spacing w:val="-1"/>
              </w:rPr>
              <w:t>his</w:t>
            </w:r>
            <w:r>
              <w:rPr>
                <w:rFonts w:ascii="Arial"/>
                <w:spacing w:val="25"/>
              </w:rPr>
              <w:t xml:space="preserve"> </w:t>
            </w:r>
            <w:r>
              <w:rPr>
                <w:rFonts w:ascii="Arial"/>
                <w:spacing w:val="-1"/>
              </w:rPr>
              <w:t>or</w:t>
            </w:r>
            <w:r>
              <w:rPr>
                <w:rFonts w:ascii="Arial"/>
                <w:spacing w:val="38"/>
              </w:rPr>
              <w:t xml:space="preserve"> </w:t>
            </w:r>
            <w:r>
              <w:rPr>
                <w:rFonts w:ascii="Arial"/>
                <w:spacing w:val="-1"/>
              </w:rPr>
              <w:t>her</w:t>
            </w:r>
            <w:r>
              <w:rPr>
                <w:rFonts w:ascii="Arial"/>
                <w:spacing w:val="2"/>
              </w:rPr>
              <w:t xml:space="preserve"> </w:t>
            </w:r>
            <w:r>
              <w:rPr>
                <w:rFonts w:ascii="Arial"/>
                <w:spacing w:val="-1"/>
              </w:rPr>
              <w:t>Personal</w:t>
            </w:r>
            <w:r>
              <w:rPr>
                <w:rFonts w:ascii="Arial"/>
              </w:rPr>
              <w:t xml:space="preserve"> </w:t>
            </w:r>
            <w:r>
              <w:rPr>
                <w:rFonts w:ascii="Arial"/>
                <w:spacing w:val="-1"/>
              </w:rPr>
              <w:t>Data;</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eastAsia="Arial" w:hAnsi="Arial" w:cs="Arial"/>
                <w:b/>
                <w:bCs/>
                <w:spacing w:val="-1"/>
              </w:rPr>
              <w:t>“Deductions"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27"/>
              </w:rPr>
              <w:t xml:space="preserve"> </w:t>
            </w:r>
            <w:r>
              <w:rPr>
                <w:rFonts w:ascii="Arial"/>
                <w:spacing w:val="-1"/>
              </w:rPr>
              <w:t>all</w:t>
            </w:r>
            <w:r>
              <w:rPr>
                <w:rFonts w:ascii="Arial"/>
                <w:spacing w:val="26"/>
              </w:rPr>
              <w:t xml:space="preserve"> </w:t>
            </w:r>
            <w:r>
              <w:rPr>
                <w:rFonts w:ascii="Arial"/>
                <w:spacing w:val="-2"/>
              </w:rPr>
              <w:t>Service</w:t>
            </w:r>
            <w:r>
              <w:rPr>
                <w:rFonts w:ascii="Arial"/>
                <w:spacing w:val="27"/>
              </w:rPr>
              <w:t xml:space="preserve"> </w:t>
            </w:r>
            <w:r>
              <w:rPr>
                <w:rFonts w:ascii="Arial"/>
                <w:spacing w:val="-1"/>
              </w:rPr>
              <w:t>Credits,</w:t>
            </w:r>
            <w:r>
              <w:rPr>
                <w:rFonts w:ascii="Arial"/>
                <w:spacing w:val="29"/>
              </w:rPr>
              <w:t xml:space="preserve"> </w:t>
            </w:r>
            <w:r>
              <w:rPr>
                <w:rFonts w:ascii="Arial"/>
                <w:spacing w:val="-2"/>
              </w:rPr>
              <w:t>Delay</w:t>
            </w:r>
            <w:r>
              <w:rPr>
                <w:rFonts w:ascii="Arial"/>
                <w:spacing w:val="25"/>
              </w:rPr>
              <w:t xml:space="preserve"> </w:t>
            </w:r>
            <w:r>
              <w:rPr>
                <w:rFonts w:ascii="Arial"/>
                <w:spacing w:val="-1"/>
              </w:rPr>
              <w:t>Payments</w:t>
            </w:r>
            <w:r>
              <w:rPr>
                <w:rFonts w:ascii="Arial"/>
                <w:spacing w:val="27"/>
              </w:rPr>
              <w:t xml:space="preserve"> </w:t>
            </w:r>
            <w:r>
              <w:rPr>
                <w:rFonts w:ascii="Arial"/>
                <w:spacing w:val="-1"/>
              </w:rPr>
              <w:t>or</w:t>
            </w:r>
            <w:r>
              <w:rPr>
                <w:rFonts w:ascii="Arial"/>
                <w:spacing w:val="28"/>
              </w:rPr>
              <w:t xml:space="preserve"> </w:t>
            </w:r>
            <w:r>
              <w:rPr>
                <w:rFonts w:ascii="Arial"/>
                <w:spacing w:val="-2"/>
              </w:rPr>
              <w:t>any</w:t>
            </w:r>
            <w:r>
              <w:rPr>
                <w:rFonts w:ascii="Arial"/>
                <w:spacing w:val="25"/>
              </w:rPr>
              <w:t xml:space="preserve"> </w:t>
            </w:r>
            <w:r>
              <w:rPr>
                <w:rFonts w:ascii="Arial"/>
                <w:spacing w:val="-1"/>
              </w:rPr>
              <w:t>other</w:t>
            </w:r>
            <w:r>
              <w:rPr>
                <w:rFonts w:ascii="Arial"/>
                <w:spacing w:val="48"/>
              </w:rPr>
              <w:t xml:space="preserve"> </w:t>
            </w:r>
            <w:r>
              <w:rPr>
                <w:rFonts w:ascii="Arial"/>
                <w:spacing w:val="-1"/>
              </w:rPr>
              <w:t>deduction</w:t>
            </w:r>
            <w:r>
              <w:rPr>
                <w:rFonts w:ascii="Arial"/>
                <w:spacing w:val="7"/>
              </w:rPr>
              <w:t xml:space="preserve"> </w:t>
            </w:r>
            <w:r>
              <w:rPr>
                <w:rFonts w:ascii="Arial"/>
                <w:spacing w:val="-1"/>
              </w:rPr>
              <w:t>which</w:t>
            </w:r>
            <w:r>
              <w:rPr>
                <w:rFonts w:ascii="Arial"/>
                <w:spacing w:val="8"/>
              </w:rPr>
              <w:t xml:space="preserve"> </w:t>
            </w:r>
            <w:r>
              <w:rPr>
                <w:rFonts w:ascii="Arial"/>
              </w:rPr>
              <w:t>the</w:t>
            </w:r>
            <w:r>
              <w:rPr>
                <w:rFonts w:ascii="Arial"/>
                <w:spacing w:val="7"/>
              </w:rPr>
              <w:t xml:space="preserve"> </w:t>
            </w:r>
            <w:r>
              <w:rPr>
                <w:rFonts w:ascii="Arial"/>
                <w:spacing w:val="-1"/>
              </w:rPr>
              <w:t>Customer</w:t>
            </w:r>
            <w:r>
              <w:rPr>
                <w:rFonts w:ascii="Arial"/>
                <w:spacing w:val="9"/>
              </w:rPr>
              <w:t xml:space="preserve"> </w:t>
            </w:r>
            <w:r>
              <w:rPr>
                <w:rFonts w:ascii="Arial"/>
                <w:spacing w:val="-1"/>
              </w:rPr>
              <w:t>is</w:t>
            </w:r>
            <w:r>
              <w:rPr>
                <w:rFonts w:ascii="Arial"/>
                <w:spacing w:val="8"/>
              </w:rPr>
              <w:t xml:space="preserve"> </w:t>
            </w:r>
            <w:r>
              <w:rPr>
                <w:rFonts w:ascii="Arial"/>
                <w:spacing w:val="-1"/>
              </w:rPr>
              <w:t>paid</w:t>
            </w:r>
            <w:r>
              <w:rPr>
                <w:rFonts w:ascii="Arial"/>
                <w:spacing w:val="7"/>
              </w:rPr>
              <w:t xml:space="preserve"> </w:t>
            </w:r>
            <w:r>
              <w:rPr>
                <w:rFonts w:ascii="Arial"/>
                <w:spacing w:val="-1"/>
              </w:rPr>
              <w:t>or</w:t>
            </w:r>
            <w:r>
              <w:rPr>
                <w:rFonts w:ascii="Arial"/>
                <w:spacing w:val="9"/>
              </w:rPr>
              <w:t xml:space="preserve"> </w:t>
            </w:r>
            <w:r>
              <w:rPr>
                <w:rFonts w:ascii="Arial"/>
                <w:spacing w:val="-1"/>
              </w:rPr>
              <w:t>is</w:t>
            </w:r>
            <w:r>
              <w:rPr>
                <w:rFonts w:ascii="Arial"/>
                <w:spacing w:val="10"/>
              </w:rPr>
              <w:t xml:space="preserve"> </w:t>
            </w:r>
            <w:r>
              <w:rPr>
                <w:rFonts w:ascii="Arial"/>
                <w:spacing w:val="-1"/>
              </w:rPr>
              <w:t>payable</w:t>
            </w:r>
            <w:r>
              <w:rPr>
                <w:rFonts w:ascii="Arial"/>
                <w:spacing w:val="7"/>
              </w:rPr>
              <w:t xml:space="preserve"> </w:t>
            </w:r>
            <w:r>
              <w:rPr>
                <w:rFonts w:ascii="Arial"/>
                <w:spacing w:val="-1"/>
              </w:rPr>
              <w:t>under</w:t>
            </w:r>
            <w:r>
              <w:rPr>
                <w:rFonts w:ascii="Arial"/>
                <w:spacing w:val="28"/>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2"/>
              </w:rPr>
              <w:t>Contract;</w:t>
            </w:r>
          </w:p>
        </w:tc>
      </w:tr>
      <w:tr w:rsidR="008918FA" w:rsidTr="005D2B81">
        <w:trPr>
          <w:trHeight w:hRule="exact" w:val="770"/>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"Default"</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21"/>
              </w:rPr>
              <w:t xml:space="preserve"> </w:t>
            </w:r>
            <w:r>
              <w:rPr>
                <w:rFonts w:ascii="Arial"/>
                <w:spacing w:val="-1"/>
              </w:rPr>
              <w:t>any</w:t>
            </w:r>
            <w:r>
              <w:rPr>
                <w:rFonts w:ascii="Arial"/>
                <w:spacing w:val="19"/>
              </w:rPr>
              <w:t xml:space="preserve"> </w:t>
            </w:r>
            <w:r>
              <w:rPr>
                <w:rFonts w:ascii="Arial"/>
                <w:spacing w:val="-1"/>
              </w:rPr>
              <w:t>breach</w:t>
            </w:r>
            <w:r>
              <w:rPr>
                <w:rFonts w:ascii="Arial"/>
                <w:spacing w:val="21"/>
              </w:rPr>
              <w:t xml:space="preserve"> </w:t>
            </w:r>
            <w:r>
              <w:rPr>
                <w:rFonts w:ascii="Arial"/>
                <w:spacing w:val="-2"/>
              </w:rPr>
              <w:t>of</w:t>
            </w:r>
            <w:r>
              <w:rPr>
                <w:rFonts w:ascii="Arial"/>
                <w:spacing w:val="20"/>
              </w:rPr>
              <w:t xml:space="preserve"> </w:t>
            </w:r>
            <w:r>
              <w:rPr>
                <w:rFonts w:ascii="Arial"/>
              </w:rPr>
              <w:t>the</w:t>
            </w:r>
            <w:r>
              <w:rPr>
                <w:rFonts w:ascii="Arial"/>
                <w:spacing w:val="21"/>
              </w:rPr>
              <w:t xml:space="preserve"> </w:t>
            </w:r>
            <w:r>
              <w:rPr>
                <w:rFonts w:ascii="Arial"/>
                <w:spacing w:val="-1"/>
              </w:rPr>
              <w:t>obligations</w:t>
            </w:r>
            <w:r>
              <w:rPr>
                <w:rFonts w:ascii="Arial"/>
                <w:spacing w:val="21"/>
              </w:rPr>
              <w:t xml:space="preserve"> </w:t>
            </w:r>
            <w:r>
              <w:rPr>
                <w:rFonts w:ascii="Arial"/>
                <w:spacing w:val="-2"/>
              </w:rPr>
              <w:t>of</w:t>
            </w:r>
            <w:r>
              <w:rPr>
                <w:rFonts w:ascii="Arial"/>
                <w:spacing w:val="22"/>
              </w:rPr>
              <w:t xml:space="preserve"> </w:t>
            </w:r>
            <w:r>
              <w:rPr>
                <w:rFonts w:ascii="Arial"/>
              </w:rPr>
              <w:t>the</w:t>
            </w:r>
            <w:r>
              <w:rPr>
                <w:rFonts w:ascii="Arial"/>
                <w:spacing w:val="18"/>
              </w:rPr>
              <w:t xml:space="preserve"> </w:t>
            </w:r>
            <w:r>
              <w:rPr>
                <w:rFonts w:ascii="Arial"/>
                <w:spacing w:val="-2"/>
              </w:rPr>
              <w:t>Supplier</w:t>
            </w:r>
            <w:r>
              <w:rPr>
                <w:rFonts w:ascii="Arial"/>
                <w:spacing w:val="28"/>
              </w:rPr>
              <w:t xml:space="preserve"> </w:t>
            </w:r>
            <w:r>
              <w:rPr>
                <w:rFonts w:ascii="Arial"/>
                <w:spacing w:val="-1"/>
              </w:rPr>
              <w:t>(including</w:t>
            </w:r>
            <w:r>
              <w:rPr>
                <w:rFonts w:ascii="Arial"/>
                <w:spacing w:val="10"/>
              </w:rPr>
              <w:t xml:space="preserve"> </w:t>
            </w:r>
            <w:r>
              <w:rPr>
                <w:rFonts w:ascii="Arial"/>
                <w:spacing w:val="-1"/>
              </w:rPr>
              <w:t>but</w:t>
            </w:r>
            <w:r>
              <w:rPr>
                <w:rFonts w:ascii="Arial"/>
                <w:spacing w:val="9"/>
              </w:rPr>
              <w:t xml:space="preserve"> </w:t>
            </w:r>
            <w:r>
              <w:rPr>
                <w:rFonts w:ascii="Arial"/>
                <w:spacing w:val="-1"/>
              </w:rPr>
              <w:t>not</w:t>
            </w:r>
            <w:r>
              <w:rPr>
                <w:rFonts w:ascii="Arial"/>
                <w:spacing w:val="9"/>
              </w:rPr>
              <w:t xml:space="preserve"> </w:t>
            </w:r>
            <w:r>
              <w:rPr>
                <w:rFonts w:ascii="Arial"/>
                <w:spacing w:val="-1"/>
              </w:rPr>
              <w:t>limited</w:t>
            </w:r>
            <w:r>
              <w:rPr>
                <w:rFonts w:ascii="Arial"/>
                <w:spacing w:val="5"/>
              </w:rPr>
              <w:t xml:space="preserve"> </w:t>
            </w:r>
            <w:r>
              <w:rPr>
                <w:rFonts w:ascii="Arial"/>
              </w:rPr>
              <w:t>to</w:t>
            </w:r>
            <w:r>
              <w:rPr>
                <w:rFonts w:ascii="Arial"/>
                <w:spacing w:val="7"/>
              </w:rPr>
              <w:t xml:space="preserve"> </w:t>
            </w:r>
            <w:r>
              <w:rPr>
                <w:rFonts w:ascii="Arial"/>
                <w:spacing w:val="-2"/>
              </w:rPr>
              <w:t>including</w:t>
            </w:r>
            <w:r>
              <w:rPr>
                <w:rFonts w:ascii="Arial"/>
                <w:spacing w:val="10"/>
              </w:rPr>
              <w:t xml:space="preserve"> </w:t>
            </w:r>
            <w:r>
              <w:rPr>
                <w:rFonts w:ascii="Arial"/>
                <w:spacing w:val="-1"/>
              </w:rPr>
              <w:t>abandonment</w:t>
            </w:r>
            <w:r>
              <w:rPr>
                <w:rFonts w:ascii="Arial"/>
                <w:spacing w:val="9"/>
              </w:rPr>
              <w:t xml:space="preserve"> </w:t>
            </w:r>
            <w:r>
              <w:rPr>
                <w:rFonts w:ascii="Arial"/>
                <w:spacing w:val="-2"/>
              </w:rPr>
              <w:t>of</w:t>
            </w:r>
            <w:r>
              <w:rPr>
                <w:rFonts w:ascii="Arial"/>
                <w:spacing w:val="11"/>
              </w:rPr>
              <w:t xml:space="preserve"> </w:t>
            </w:r>
            <w:r>
              <w:rPr>
                <w:rFonts w:ascii="Arial"/>
                <w:spacing w:val="-1"/>
              </w:rPr>
              <w:t>this</w:t>
            </w:r>
            <w:r>
              <w:rPr>
                <w:rFonts w:ascii="Arial"/>
                <w:spacing w:val="31"/>
              </w:rPr>
              <w:t xml:space="preserve"> </w:t>
            </w:r>
            <w:r>
              <w:rPr>
                <w:rFonts w:ascii="Arial"/>
                <w:spacing w:val="-2"/>
              </w:rPr>
              <w:t>Call</w:t>
            </w:r>
            <w:r>
              <w:rPr>
                <w:rFonts w:ascii="Arial"/>
              </w:rPr>
              <w:t xml:space="preserve"> </w:t>
            </w:r>
            <w:r>
              <w:rPr>
                <w:rFonts w:ascii="Arial"/>
                <w:spacing w:val="1"/>
              </w:rPr>
              <w:t xml:space="preserve"> </w:t>
            </w:r>
            <w:r>
              <w:rPr>
                <w:rFonts w:ascii="Arial"/>
              </w:rPr>
              <w:t xml:space="preserve">Off </w:t>
            </w:r>
            <w:r>
              <w:rPr>
                <w:rFonts w:ascii="Arial"/>
                <w:spacing w:val="3"/>
              </w:rPr>
              <w:t xml:space="preserve"> </w:t>
            </w:r>
            <w:r>
              <w:rPr>
                <w:rFonts w:ascii="Arial"/>
                <w:spacing w:val="-1"/>
              </w:rPr>
              <w:t>Contract</w:t>
            </w:r>
            <w:r>
              <w:rPr>
                <w:rFonts w:ascii="Arial"/>
              </w:rPr>
              <w:t xml:space="preserve"> </w:t>
            </w:r>
            <w:r>
              <w:rPr>
                <w:rFonts w:ascii="Arial"/>
                <w:spacing w:val="3"/>
              </w:rPr>
              <w:t xml:space="preserve"> </w:t>
            </w:r>
            <w:r>
              <w:rPr>
                <w:rFonts w:ascii="Arial"/>
                <w:spacing w:val="-1"/>
              </w:rPr>
              <w:t>in</w:t>
            </w:r>
            <w:r>
              <w:rPr>
                <w:rFonts w:ascii="Arial"/>
              </w:rPr>
              <w:t xml:space="preserve"> </w:t>
            </w:r>
            <w:r>
              <w:rPr>
                <w:rFonts w:ascii="Arial"/>
                <w:spacing w:val="2"/>
              </w:rPr>
              <w:t xml:space="preserve"> </w:t>
            </w:r>
            <w:r>
              <w:rPr>
                <w:rFonts w:ascii="Arial"/>
                <w:spacing w:val="-2"/>
              </w:rPr>
              <w:t>breach</w:t>
            </w:r>
            <w:r>
              <w:rPr>
                <w:rFonts w:ascii="Arial"/>
              </w:rPr>
              <w:t xml:space="preserve"> </w:t>
            </w:r>
            <w:r>
              <w:rPr>
                <w:rFonts w:ascii="Arial"/>
                <w:spacing w:val="2"/>
              </w:rPr>
              <w:t xml:space="preserve"> </w:t>
            </w:r>
            <w:r>
              <w:rPr>
                <w:rFonts w:ascii="Arial"/>
                <w:spacing w:val="-2"/>
              </w:rPr>
              <w:t>of</w:t>
            </w:r>
            <w:r>
              <w:rPr>
                <w:rFonts w:ascii="Arial"/>
              </w:rPr>
              <w:t xml:space="preserve"> </w:t>
            </w:r>
            <w:r>
              <w:rPr>
                <w:rFonts w:ascii="Arial"/>
                <w:spacing w:val="5"/>
              </w:rPr>
              <w:t xml:space="preserve"> </w:t>
            </w:r>
            <w:r>
              <w:rPr>
                <w:rFonts w:ascii="Arial"/>
                <w:spacing w:val="-1"/>
              </w:rPr>
              <w:t>its</w:t>
            </w:r>
            <w:r>
              <w:rPr>
                <w:rFonts w:ascii="Arial"/>
                <w:spacing w:val="61"/>
              </w:rPr>
              <w:t xml:space="preserve"> </w:t>
            </w:r>
            <w:r>
              <w:rPr>
                <w:rFonts w:ascii="Arial"/>
                <w:spacing w:val="-1"/>
              </w:rPr>
              <w:t>terms)</w:t>
            </w:r>
            <w:r>
              <w:rPr>
                <w:rFonts w:ascii="Arial"/>
              </w:rPr>
              <w:t xml:space="preserve"> </w:t>
            </w:r>
            <w:r>
              <w:rPr>
                <w:rFonts w:ascii="Arial"/>
                <w:spacing w:val="3"/>
              </w:rPr>
              <w:t xml:space="preserve"> </w:t>
            </w:r>
            <w:r>
              <w:rPr>
                <w:rFonts w:ascii="Arial"/>
                <w:spacing w:val="-2"/>
              </w:rPr>
              <w:t>or</w:t>
            </w:r>
            <w:r>
              <w:rPr>
                <w:rFonts w:ascii="Arial"/>
              </w:rPr>
              <w:t xml:space="preserve"> </w:t>
            </w:r>
            <w:r>
              <w:rPr>
                <w:rFonts w:ascii="Arial"/>
                <w:spacing w:val="3"/>
              </w:rPr>
              <w:t xml:space="preserve"> </w:t>
            </w:r>
            <w:r>
              <w:rPr>
                <w:rFonts w:ascii="Arial"/>
                <w:spacing w:val="-2"/>
              </w:rPr>
              <w:t>any</w:t>
            </w:r>
            <w:r>
              <w:rPr>
                <w:rFonts w:ascii="Arial"/>
              </w:rPr>
              <w:t xml:space="preserve">  </w:t>
            </w:r>
            <w:r>
              <w:rPr>
                <w:rFonts w:ascii="Arial"/>
                <w:spacing w:val="-1"/>
              </w:rPr>
              <w:t>other</w:t>
            </w:r>
          </w:p>
        </w:tc>
      </w:tr>
    </w:tbl>
    <w:p w:rsidR="008918FA" w:rsidRDefault="008918FA" w:rsidP="008918FA">
      <w:pPr>
        <w:jc w:val="both"/>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1654"/>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default</w:t>
            </w:r>
            <w:r>
              <w:rPr>
                <w:rFonts w:ascii="Arial"/>
                <w:spacing w:val="50"/>
              </w:rPr>
              <w:t xml:space="preserve"> </w:t>
            </w:r>
            <w:r>
              <w:rPr>
                <w:rFonts w:ascii="Arial"/>
                <w:spacing w:val="-2"/>
              </w:rPr>
              <w:t>(including</w:t>
            </w:r>
            <w:r>
              <w:rPr>
                <w:rFonts w:ascii="Arial"/>
                <w:spacing w:val="52"/>
              </w:rPr>
              <w:t xml:space="preserve"> </w:t>
            </w:r>
            <w:r>
              <w:rPr>
                <w:rFonts w:ascii="Arial"/>
                <w:spacing w:val="-1"/>
              </w:rPr>
              <w:t>material</w:t>
            </w:r>
            <w:r>
              <w:rPr>
                <w:rFonts w:ascii="Arial"/>
                <w:spacing w:val="47"/>
              </w:rPr>
              <w:t xml:space="preserve"> </w:t>
            </w:r>
            <w:r>
              <w:rPr>
                <w:rFonts w:ascii="Arial"/>
                <w:spacing w:val="-1"/>
              </w:rPr>
              <w:t>Default)</w:t>
            </w:r>
            <w:r>
              <w:rPr>
                <w:rFonts w:ascii="Arial"/>
                <w:spacing w:val="49"/>
              </w:rPr>
              <w:t xml:space="preserve"> </w:t>
            </w:r>
            <w:r>
              <w:rPr>
                <w:rFonts w:ascii="Arial"/>
                <w:spacing w:val="-1"/>
              </w:rPr>
              <w:t>after</w:t>
            </w:r>
            <w:r>
              <w:rPr>
                <w:rFonts w:ascii="Arial"/>
                <w:spacing w:val="47"/>
              </w:rPr>
              <w:t xml:space="preserve"> </w:t>
            </w:r>
            <w:r>
              <w:rPr>
                <w:rFonts w:ascii="Arial"/>
              </w:rPr>
              <w:t>the</w:t>
            </w:r>
            <w:r>
              <w:rPr>
                <w:rFonts w:ascii="Arial"/>
                <w:spacing w:val="48"/>
              </w:rPr>
              <w:t xml:space="preserve"> </w:t>
            </w:r>
            <w:r>
              <w:rPr>
                <w:rFonts w:ascii="Arial"/>
                <w:spacing w:val="-2"/>
              </w:rPr>
              <w:t>words,</w:t>
            </w:r>
            <w:r>
              <w:rPr>
                <w:rFonts w:ascii="Arial"/>
                <w:spacing w:val="52"/>
              </w:rPr>
              <w:t xml:space="preserve"> </w:t>
            </w:r>
            <w:r>
              <w:rPr>
                <w:rFonts w:ascii="Arial"/>
                <w:spacing w:val="-2"/>
              </w:rPr>
              <w:t>act,</w:t>
            </w:r>
            <w:r>
              <w:rPr>
                <w:rFonts w:ascii="Arial"/>
                <w:spacing w:val="39"/>
              </w:rPr>
              <w:t xml:space="preserve"> </w:t>
            </w:r>
            <w:r>
              <w:rPr>
                <w:rFonts w:ascii="Arial"/>
                <w:spacing w:val="-1"/>
              </w:rPr>
              <w:t>omission,</w:t>
            </w:r>
            <w:r>
              <w:rPr>
                <w:rFonts w:ascii="Arial"/>
                <w:spacing w:val="33"/>
              </w:rPr>
              <w:t xml:space="preserve"> </w:t>
            </w:r>
            <w:r>
              <w:rPr>
                <w:rFonts w:ascii="Arial"/>
                <w:spacing w:val="-1"/>
              </w:rPr>
              <w:t>negligence</w:t>
            </w:r>
            <w:r>
              <w:rPr>
                <w:rFonts w:ascii="Arial"/>
                <w:spacing w:val="32"/>
              </w:rPr>
              <w:t xml:space="preserve"> </w:t>
            </w:r>
            <w:r>
              <w:rPr>
                <w:rFonts w:ascii="Arial"/>
                <w:spacing w:val="-1"/>
              </w:rPr>
              <w:t>or</w:t>
            </w:r>
            <w:r>
              <w:rPr>
                <w:rFonts w:ascii="Arial"/>
                <w:spacing w:val="30"/>
              </w:rPr>
              <w:t xml:space="preserve"> </w:t>
            </w:r>
            <w:r>
              <w:rPr>
                <w:rFonts w:ascii="Arial"/>
                <w:spacing w:val="-1"/>
              </w:rPr>
              <w:t>statement</w:t>
            </w:r>
            <w:r>
              <w:rPr>
                <w:rFonts w:ascii="Arial"/>
                <w:spacing w:val="33"/>
              </w:rPr>
              <w:t xml:space="preserve"> </w:t>
            </w:r>
            <w:r>
              <w:rPr>
                <w:rFonts w:ascii="Arial"/>
                <w:spacing w:val="-2"/>
              </w:rPr>
              <w:t>of</w:t>
            </w:r>
            <w:r>
              <w:rPr>
                <w:rFonts w:ascii="Arial"/>
                <w:spacing w:val="35"/>
              </w:rPr>
              <w:t xml:space="preserve"> </w:t>
            </w:r>
            <w:r>
              <w:rPr>
                <w:rFonts w:ascii="Arial"/>
              </w:rPr>
              <w:t>the</w:t>
            </w:r>
            <w:r>
              <w:rPr>
                <w:rFonts w:ascii="Arial"/>
                <w:spacing w:val="31"/>
              </w:rPr>
              <w:t xml:space="preserve"> </w:t>
            </w:r>
            <w:r>
              <w:rPr>
                <w:rFonts w:ascii="Arial"/>
                <w:spacing w:val="-1"/>
              </w:rPr>
              <w:t>Supplier,</w:t>
            </w:r>
            <w:r>
              <w:rPr>
                <w:rFonts w:ascii="Arial"/>
                <w:spacing w:val="34"/>
              </w:rPr>
              <w:t xml:space="preserve"> </w:t>
            </w:r>
            <w:r>
              <w:rPr>
                <w:rFonts w:ascii="Arial"/>
                <w:spacing w:val="-2"/>
              </w:rPr>
              <w:t>of</w:t>
            </w:r>
            <w:r>
              <w:rPr>
                <w:rFonts w:ascii="Arial"/>
                <w:spacing w:val="35"/>
              </w:rPr>
              <w:t xml:space="preserve"> </w:t>
            </w:r>
            <w:r>
              <w:rPr>
                <w:rFonts w:ascii="Arial"/>
                <w:spacing w:val="-1"/>
              </w:rPr>
              <w:t>its</w:t>
            </w:r>
            <w:r>
              <w:rPr>
                <w:rFonts w:ascii="Arial"/>
                <w:spacing w:val="27"/>
              </w:rPr>
              <w:t xml:space="preserve"> </w:t>
            </w:r>
            <w:r>
              <w:rPr>
                <w:rFonts w:ascii="Arial"/>
                <w:spacing w:val="-1"/>
              </w:rPr>
              <w:t>Sub-Contractors</w:t>
            </w:r>
            <w:r>
              <w:rPr>
                <w:rFonts w:ascii="Arial"/>
                <w:spacing w:val="9"/>
              </w:rPr>
              <w:t xml:space="preserve"> </w:t>
            </w:r>
            <w:r>
              <w:rPr>
                <w:rFonts w:ascii="Arial"/>
                <w:spacing w:val="-1"/>
              </w:rPr>
              <w:t>or</w:t>
            </w:r>
            <w:r>
              <w:rPr>
                <w:rFonts w:ascii="Arial"/>
                <w:spacing w:val="10"/>
              </w:rPr>
              <w:t xml:space="preserve"> </w:t>
            </w:r>
            <w:r>
              <w:rPr>
                <w:rFonts w:ascii="Arial"/>
                <w:spacing w:val="-1"/>
              </w:rPr>
              <w:t>any</w:t>
            </w:r>
            <w:r>
              <w:rPr>
                <w:rFonts w:ascii="Arial"/>
                <w:spacing w:val="7"/>
              </w:rPr>
              <w:t xml:space="preserve"> </w:t>
            </w:r>
            <w:r>
              <w:rPr>
                <w:rFonts w:ascii="Arial"/>
                <w:spacing w:val="-2"/>
              </w:rPr>
              <w:t>Supplier</w:t>
            </w:r>
            <w:r>
              <w:rPr>
                <w:rFonts w:ascii="Arial"/>
                <w:spacing w:val="10"/>
              </w:rPr>
              <w:t xml:space="preserve"> </w:t>
            </w:r>
            <w:r>
              <w:rPr>
                <w:rFonts w:ascii="Arial"/>
                <w:spacing w:val="-1"/>
              </w:rPr>
              <w:t>Personnel</w:t>
            </w:r>
            <w:r>
              <w:rPr>
                <w:rFonts w:ascii="Arial"/>
                <w:spacing w:val="8"/>
              </w:rPr>
              <w:t xml:space="preserve"> </w:t>
            </w:r>
            <w:r>
              <w:rPr>
                <w:rFonts w:ascii="Arial"/>
                <w:spacing w:val="-2"/>
              </w:rPr>
              <w:t>howsoever</w:t>
            </w:r>
            <w:r>
              <w:rPr>
                <w:rFonts w:ascii="Arial"/>
                <w:spacing w:val="46"/>
              </w:rPr>
              <w:t xml:space="preserve"> </w:t>
            </w:r>
            <w:r>
              <w:rPr>
                <w:rFonts w:ascii="Arial"/>
                <w:spacing w:val="-1"/>
              </w:rPr>
              <w:t>arising</w:t>
            </w:r>
            <w:r>
              <w:rPr>
                <w:rFonts w:ascii="Arial"/>
                <w:spacing w:val="58"/>
              </w:rPr>
              <w:t xml:space="preserve"> </w:t>
            </w:r>
            <w:r>
              <w:rPr>
                <w:rFonts w:ascii="Arial"/>
                <w:spacing w:val="-1"/>
              </w:rPr>
              <w:t>in</w:t>
            </w:r>
            <w:r>
              <w:rPr>
                <w:rFonts w:ascii="Arial"/>
                <w:spacing w:val="55"/>
              </w:rPr>
              <w:t xml:space="preserve"> </w:t>
            </w:r>
            <w:r>
              <w:rPr>
                <w:rFonts w:ascii="Arial"/>
                <w:spacing w:val="-1"/>
              </w:rPr>
              <w:t>connection</w:t>
            </w:r>
            <w:r>
              <w:rPr>
                <w:rFonts w:ascii="Arial"/>
                <w:spacing w:val="55"/>
              </w:rPr>
              <w:t xml:space="preserve"> </w:t>
            </w:r>
            <w:r>
              <w:rPr>
                <w:rFonts w:ascii="Arial"/>
                <w:spacing w:val="-2"/>
              </w:rPr>
              <w:t>with</w:t>
            </w:r>
            <w:r>
              <w:rPr>
                <w:rFonts w:ascii="Arial"/>
                <w:spacing w:val="55"/>
              </w:rPr>
              <w:t xml:space="preserve"> </w:t>
            </w:r>
            <w:r>
              <w:rPr>
                <w:rFonts w:ascii="Arial"/>
                <w:spacing w:val="-1"/>
              </w:rPr>
              <w:t>or</w:t>
            </w:r>
            <w:r>
              <w:rPr>
                <w:rFonts w:ascii="Arial"/>
                <w:spacing w:val="54"/>
              </w:rPr>
              <w:t xml:space="preserve"> </w:t>
            </w:r>
            <w:r>
              <w:rPr>
                <w:rFonts w:ascii="Arial"/>
                <w:spacing w:val="-1"/>
              </w:rPr>
              <w:t>in</w:t>
            </w:r>
            <w:r>
              <w:rPr>
                <w:rFonts w:ascii="Arial"/>
                <w:spacing w:val="55"/>
              </w:rPr>
              <w:t xml:space="preserve"> </w:t>
            </w:r>
            <w:r>
              <w:rPr>
                <w:rFonts w:ascii="Arial"/>
                <w:spacing w:val="-1"/>
              </w:rPr>
              <w:t>relation</w:t>
            </w:r>
            <w:r>
              <w:rPr>
                <w:rFonts w:ascii="Arial"/>
                <w:spacing w:val="54"/>
              </w:rPr>
              <w:t xml:space="preserve"> </w:t>
            </w:r>
            <w:r>
              <w:rPr>
                <w:rFonts w:ascii="Arial"/>
              </w:rPr>
              <w:t>to</w:t>
            </w:r>
            <w:r>
              <w:rPr>
                <w:rFonts w:ascii="Arial"/>
                <w:spacing w:val="53"/>
              </w:rPr>
              <w:t xml:space="preserve"> </w:t>
            </w:r>
            <w:r>
              <w:rPr>
                <w:rFonts w:ascii="Arial"/>
              </w:rPr>
              <w:t>the</w:t>
            </w:r>
            <w:r>
              <w:rPr>
                <w:rFonts w:ascii="Arial"/>
                <w:spacing w:val="53"/>
              </w:rPr>
              <w:t xml:space="preserve"> </w:t>
            </w:r>
            <w:r>
              <w:rPr>
                <w:rFonts w:ascii="Arial"/>
                <w:spacing w:val="-1"/>
              </w:rPr>
              <w:t>subject-</w:t>
            </w:r>
            <w:r>
              <w:rPr>
                <w:rFonts w:ascii="Arial"/>
                <w:spacing w:val="29"/>
              </w:rPr>
              <w:t xml:space="preserve"> </w:t>
            </w:r>
            <w:r>
              <w:rPr>
                <w:rFonts w:ascii="Arial"/>
                <w:spacing w:val="-1"/>
              </w:rPr>
              <w:t>matter</w:t>
            </w:r>
            <w:r>
              <w:rPr>
                <w:rFonts w:ascii="Arial"/>
                <w:spacing w:val="4"/>
              </w:rPr>
              <w:t xml:space="preserve"> </w:t>
            </w:r>
            <w:r>
              <w:rPr>
                <w:rFonts w:ascii="Arial"/>
                <w:spacing w:val="-2"/>
              </w:rPr>
              <w:t>of</w:t>
            </w:r>
            <w:r>
              <w:rPr>
                <w:rFonts w:ascii="Arial"/>
                <w:spacing w:val="2"/>
              </w:rPr>
              <w:t xml:space="preserve"> </w:t>
            </w:r>
            <w:r>
              <w:rPr>
                <w:rFonts w:ascii="Arial"/>
                <w:spacing w:val="-1"/>
              </w:rPr>
              <w:t>this</w:t>
            </w:r>
            <w:r>
              <w:rPr>
                <w:rFonts w:ascii="Arial"/>
                <w:spacing w:val="3"/>
              </w:rPr>
              <w:t xml:space="preserve"> </w:t>
            </w:r>
            <w:r>
              <w:rPr>
                <w:rFonts w:ascii="Arial"/>
                <w:spacing w:val="-2"/>
              </w:rPr>
              <w:t>Call</w:t>
            </w:r>
            <w:r>
              <w:rPr>
                <w:rFonts w:ascii="Arial"/>
                <w:spacing w:val="2"/>
              </w:rPr>
              <w:t xml:space="preserve"> </w:t>
            </w:r>
            <w:r>
              <w:rPr>
                <w:rFonts w:ascii="Arial"/>
                <w:spacing w:val="-1"/>
              </w:rPr>
              <w:t>Off</w:t>
            </w:r>
            <w:r>
              <w:rPr>
                <w:rFonts w:ascii="Arial"/>
                <w:spacing w:val="4"/>
              </w:rPr>
              <w:t xml:space="preserve"> </w:t>
            </w:r>
            <w:r>
              <w:rPr>
                <w:rFonts w:ascii="Arial"/>
                <w:spacing w:val="-1"/>
              </w:rPr>
              <w:t>Contract</w:t>
            </w:r>
            <w:r>
              <w:rPr>
                <w:rFonts w:ascii="Arial"/>
                <w:spacing w:val="4"/>
              </w:rPr>
              <w:t xml:space="preserve"> </w:t>
            </w:r>
            <w:r>
              <w:rPr>
                <w:rFonts w:ascii="Arial"/>
                <w:spacing w:val="-1"/>
              </w:rPr>
              <w:t>and</w:t>
            </w:r>
            <w:r>
              <w:rPr>
                <w:rFonts w:ascii="Arial"/>
                <w:spacing w:val="3"/>
              </w:rPr>
              <w:t xml:space="preserve"> </w:t>
            </w:r>
            <w:r>
              <w:rPr>
                <w:rFonts w:ascii="Arial"/>
                <w:spacing w:val="-1"/>
              </w:rPr>
              <w:t>in</w:t>
            </w:r>
            <w:r>
              <w:rPr>
                <w:rFonts w:ascii="Arial"/>
                <w:spacing w:val="3"/>
              </w:rPr>
              <w:t xml:space="preserve"> </w:t>
            </w:r>
            <w:r>
              <w:rPr>
                <w:rFonts w:ascii="Arial"/>
                <w:spacing w:val="-1"/>
              </w:rPr>
              <w:t>respect</w:t>
            </w:r>
            <w:r>
              <w:rPr>
                <w:rFonts w:ascii="Arial"/>
                <w:spacing w:val="5"/>
              </w:rPr>
              <w:t xml:space="preserve"> </w:t>
            </w:r>
            <w:r>
              <w:rPr>
                <w:rFonts w:ascii="Arial"/>
                <w:spacing w:val="-2"/>
              </w:rPr>
              <w:t>of</w:t>
            </w:r>
            <w:r>
              <w:rPr>
                <w:rFonts w:ascii="Arial"/>
                <w:spacing w:val="2"/>
              </w:rPr>
              <w:t xml:space="preserve"> </w:t>
            </w:r>
            <w:r>
              <w:rPr>
                <w:rFonts w:ascii="Arial"/>
                <w:spacing w:val="-1"/>
              </w:rPr>
              <w:t>which</w:t>
            </w:r>
            <w:r>
              <w:rPr>
                <w:rFonts w:ascii="Arial"/>
                <w:spacing w:val="3"/>
              </w:rPr>
              <w:t xml:space="preserve"> </w:t>
            </w:r>
            <w:r>
              <w:rPr>
                <w:rFonts w:ascii="Arial"/>
                <w:spacing w:val="-1"/>
              </w:rPr>
              <w:t>the</w:t>
            </w:r>
            <w:r>
              <w:rPr>
                <w:rFonts w:ascii="Arial"/>
                <w:spacing w:val="34"/>
              </w:rPr>
              <w:t xml:space="preserve"> </w:t>
            </w:r>
            <w:r>
              <w:rPr>
                <w:rFonts w:ascii="Arial"/>
                <w:spacing w:val="-2"/>
              </w:rPr>
              <w:t>Supplier</w:t>
            </w:r>
            <w:r>
              <w:rPr>
                <w:rFonts w:ascii="Arial"/>
                <w:spacing w:val="2"/>
              </w:rPr>
              <w:t xml:space="preserve"> </w:t>
            </w:r>
            <w:r>
              <w:rPr>
                <w:rFonts w:ascii="Arial"/>
                <w:spacing w:val="-1"/>
              </w:rPr>
              <w:t>is</w:t>
            </w:r>
            <w:r>
              <w:rPr>
                <w:rFonts w:ascii="Arial"/>
                <w:spacing w:val="1"/>
              </w:rPr>
              <w:t xml:space="preserve"> </w:t>
            </w:r>
            <w:r>
              <w:rPr>
                <w:rFonts w:ascii="Arial"/>
                <w:spacing w:val="-2"/>
              </w:rPr>
              <w:t>liable</w:t>
            </w:r>
            <w:r>
              <w:rPr>
                <w:rFonts w:ascii="Arial"/>
              </w:rPr>
              <w:t xml:space="preserve"> to</w:t>
            </w:r>
            <w:r>
              <w:rPr>
                <w:rFonts w:ascii="Arial"/>
                <w:spacing w:val="-2"/>
              </w:rPr>
              <w:t xml:space="preserve"> </w:t>
            </w:r>
            <w:r>
              <w:rPr>
                <w:rFonts w:ascii="Arial"/>
              </w:rPr>
              <w:t xml:space="preserve">the </w:t>
            </w:r>
            <w:r>
              <w:rPr>
                <w:rFonts w:ascii="Arial"/>
                <w:spacing w:val="-1"/>
              </w:rPr>
              <w:t>Customer;</w:t>
            </w:r>
          </w:p>
        </w:tc>
      </w:tr>
      <w:tr w:rsidR="008918FA" w:rsidTr="005D2B81">
        <w:trPr>
          <w:trHeight w:hRule="exact" w:val="189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2"/>
              </w:rPr>
              <w:t>"Delay"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48"/>
              </w:numPr>
              <w:tabs>
                <w:tab w:val="left" w:pos="820"/>
              </w:tabs>
              <w:spacing w:before="119"/>
              <w:ind w:right="100" w:hanging="544"/>
              <w:jc w:val="both"/>
              <w:rPr>
                <w:rFonts w:ascii="Arial" w:eastAsia="Arial" w:hAnsi="Arial" w:cs="Arial"/>
              </w:rPr>
            </w:pPr>
            <w:r>
              <w:rPr>
                <w:rFonts w:ascii="Arial"/>
              </w:rPr>
              <w:t>a</w:t>
            </w:r>
            <w:r>
              <w:rPr>
                <w:rFonts w:ascii="Arial"/>
                <w:spacing w:val="53"/>
              </w:rPr>
              <w:t xml:space="preserve"> </w:t>
            </w:r>
            <w:r>
              <w:rPr>
                <w:rFonts w:ascii="Arial"/>
                <w:spacing w:val="-1"/>
              </w:rPr>
              <w:t>delay</w:t>
            </w:r>
            <w:r>
              <w:rPr>
                <w:rFonts w:ascii="Arial"/>
                <w:spacing w:val="51"/>
              </w:rPr>
              <w:t xml:space="preserve"> </w:t>
            </w:r>
            <w:r>
              <w:rPr>
                <w:rFonts w:ascii="Arial"/>
                <w:spacing w:val="-1"/>
              </w:rPr>
              <w:t>in</w:t>
            </w:r>
            <w:r>
              <w:rPr>
                <w:rFonts w:ascii="Arial"/>
                <w:spacing w:val="53"/>
              </w:rPr>
              <w:t xml:space="preserve"> </w:t>
            </w:r>
            <w:r>
              <w:rPr>
                <w:rFonts w:ascii="Arial"/>
              </w:rPr>
              <w:t>the</w:t>
            </w:r>
            <w:r>
              <w:rPr>
                <w:rFonts w:ascii="Arial"/>
                <w:spacing w:val="53"/>
              </w:rPr>
              <w:t xml:space="preserve"> </w:t>
            </w:r>
            <w:r>
              <w:rPr>
                <w:rFonts w:ascii="Arial"/>
                <w:spacing w:val="-1"/>
              </w:rPr>
              <w:t>Achievement</w:t>
            </w:r>
            <w:r>
              <w:rPr>
                <w:rFonts w:ascii="Arial"/>
                <w:spacing w:val="52"/>
              </w:rPr>
              <w:t xml:space="preserve"> </w:t>
            </w:r>
            <w:r>
              <w:rPr>
                <w:rFonts w:ascii="Arial"/>
                <w:spacing w:val="-2"/>
              </w:rPr>
              <w:t>of</w:t>
            </w:r>
            <w:r>
              <w:rPr>
                <w:rFonts w:ascii="Arial"/>
                <w:spacing w:val="55"/>
              </w:rPr>
              <w:t xml:space="preserve"> </w:t>
            </w:r>
            <w:r>
              <w:rPr>
                <w:rFonts w:ascii="Arial"/>
              </w:rPr>
              <w:t>a</w:t>
            </w:r>
            <w:r>
              <w:rPr>
                <w:rFonts w:ascii="Arial"/>
                <w:spacing w:val="54"/>
              </w:rPr>
              <w:t xml:space="preserve"> </w:t>
            </w:r>
            <w:r>
              <w:rPr>
                <w:rFonts w:ascii="Arial"/>
                <w:spacing w:val="-2"/>
              </w:rPr>
              <w:t>Milestone</w:t>
            </w:r>
            <w:r>
              <w:rPr>
                <w:rFonts w:ascii="Arial"/>
                <w:spacing w:val="53"/>
              </w:rPr>
              <w:t xml:space="preserve"> </w:t>
            </w:r>
            <w:r>
              <w:rPr>
                <w:rFonts w:ascii="Arial"/>
                <w:spacing w:val="-1"/>
              </w:rPr>
              <w:t>by</w:t>
            </w:r>
            <w:r>
              <w:rPr>
                <w:rFonts w:ascii="Arial"/>
                <w:spacing w:val="53"/>
              </w:rPr>
              <w:t xml:space="preserve"> </w:t>
            </w:r>
            <w:r>
              <w:rPr>
                <w:rFonts w:ascii="Arial"/>
                <w:spacing w:val="-1"/>
              </w:rPr>
              <w:t>its</w:t>
            </w:r>
            <w:r>
              <w:rPr>
                <w:rFonts w:ascii="Arial"/>
                <w:spacing w:val="23"/>
              </w:rPr>
              <w:t xml:space="preserve"> </w:t>
            </w:r>
            <w:r>
              <w:rPr>
                <w:rFonts w:ascii="Arial"/>
                <w:spacing w:val="-1"/>
              </w:rPr>
              <w:t>Milestone</w:t>
            </w:r>
            <w:r>
              <w:rPr>
                <w:rFonts w:ascii="Arial"/>
              </w:rPr>
              <w:t xml:space="preserve"> </w:t>
            </w:r>
            <w:r>
              <w:rPr>
                <w:rFonts w:ascii="Arial"/>
                <w:spacing w:val="-1"/>
              </w:rPr>
              <w:t>Date;</w:t>
            </w:r>
            <w:r>
              <w:rPr>
                <w:rFonts w:ascii="Arial"/>
              </w:rPr>
              <w:t xml:space="preserve"> </w:t>
            </w:r>
            <w:r>
              <w:rPr>
                <w:rFonts w:ascii="Arial"/>
                <w:spacing w:val="-1"/>
              </w:rPr>
              <w:t>or</w:t>
            </w:r>
          </w:p>
          <w:p w:rsidR="008918FA" w:rsidRDefault="008918FA" w:rsidP="005D2B81">
            <w:pPr>
              <w:pStyle w:val="ListParagraph"/>
              <w:numPr>
                <w:ilvl w:val="0"/>
                <w:numId w:val="48"/>
              </w:numPr>
              <w:tabs>
                <w:tab w:val="left" w:pos="820"/>
              </w:tabs>
              <w:spacing w:before="119"/>
              <w:ind w:right="100" w:hanging="544"/>
              <w:jc w:val="both"/>
              <w:rPr>
                <w:rFonts w:ascii="Arial" w:eastAsia="Arial" w:hAnsi="Arial" w:cs="Arial"/>
              </w:rPr>
            </w:pPr>
            <w:r>
              <w:rPr>
                <w:rFonts w:ascii="Arial"/>
              </w:rPr>
              <w:t>a</w:t>
            </w:r>
            <w:r>
              <w:rPr>
                <w:rFonts w:ascii="Arial"/>
                <w:spacing w:val="37"/>
              </w:rPr>
              <w:t xml:space="preserve"> </w:t>
            </w:r>
            <w:r>
              <w:rPr>
                <w:rFonts w:ascii="Arial"/>
                <w:spacing w:val="-1"/>
              </w:rPr>
              <w:t>delay</w:t>
            </w:r>
            <w:r>
              <w:rPr>
                <w:rFonts w:ascii="Arial"/>
                <w:spacing w:val="35"/>
              </w:rPr>
              <w:t xml:space="preserve"> </w:t>
            </w:r>
            <w:r>
              <w:rPr>
                <w:rFonts w:ascii="Arial"/>
                <w:spacing w:val="-1"/>
              </w:rPr>
              <w:t>in</w:t>
            </w:r>
            <w:r>
              <w:rPr>
                <w:rFonts w:ascii="Arial"/>
                <w:spacing w:val="37"/>
              </w:rPr>
              <w:t xml:space="preserve"> </w:t>
            </w:r>
            <w:r>
              <w:rPr>
                <w:rFonts w:ascii="Arial"/>
              </w:rPr>
              <w:t>the</w:t>
            </w:r>
            <w:r>
              <w:rPr>
                <w:rFonts w:ascii="Arial"/>
                <w:spacing w:val="37"/>
              </w:rPr>
              <w:t xml:space="preserve"> </w:t>
            </w:r>
            <w:r>
              <w:rPr>
                <w:rFonts w:ascii="Arial"/>
                <w:spacing w:val="-1"/>
              </w:rPr>
              <w:t>design,</w:t>
            </w:r>
            <w:r>
              <w:rPr>
                <w:rFonts w:ascii="Arial"/>
                <w:spacing w:val="39"/>
              </w:rPr>
              <w:t xml:space="preserve"> </w:t>
            </w:r>
            <w:r>
              <w:rPr>
                <w:rFonts w:ascii="Arial"/>
                <w:spacing w:val="-1"/>
              </w:rPr>
              <w:t>development,</w:t>
            </w:r>
            <w:r>
              <w:rPr>
                <w:rFonts w:ascii="Arial"/>
                <w:spacing w:val="36"/>
              </w:rPr>
              <w:t xml:space="preserve"> </w:t>
            </w:r>
            <w:r>
              <w:rPr>
                <w:rFonts w:ascii="Arial"/>
                <w:spacing w:val="-1"/>
              </w:rPr>
              <w:t>testing</w:t>
            </w:r>
            <w:r>
              <w:rPr>
                <w:rFonts w:ascii="Arial"/>
                <w:spacing w:val="38"/>
              </w:rPr>
              <w:t xml:space="preserve"> </w:t>
            </w:r>
            <w:r>
              <w:rPr>
                <w:rFonts w:ascii="Arial"/>
                <w:spacing w:val="-1"/>
              </w:rPr>
              <w:t>or</w:t>
            </w:r>
            <w:r>
              <w:rPr>
                <w:rFonts w:ascii="Arial"/>
                <w:spacing w:val="26"/>
              </w:rPr>
              <w:t xml:space="preserve"> </w:t>
            </w:r>
            <w:r>
              <w:rPr>
                <w:rFonts w:ascii="Arial"/>
                <w:spacing w:val="-1"/>
              </w:rPr>
              <w:t>implementation</w:t>
            </w:r>
            <w:r>
              <w:rPr>
                <w:rFonts w:ascii="Arial"/>
                <w:spacing w:val="5"/>
              </w:rPr>
              <w:t xml:space="preserve"> </w:t>
            </w:r>
            <w:r>
              <w:rPr>
                <w:rFonts w:ascii="Arial"/>
                <w:spacing w:val="-2"/>
              </w:rPr>
              <w:t>of</w:t>
            </w:r>
            <w:r>
              <w:rPr>
                <w:rFonts w:ascii="Arial"/>
                <w:spacing w:val="9"/>
              </w:rPr>
              <w:t xml:space="preserve"> </w:t>
            </w:r>
            <w:r>
              <w:rPr>
                <w:rFonts w:ascii="Arial"/>
              </w:rPr>
              <w:t>a</w:t>
            </w:r>
            <w:r>
              <w:rPr>
                <w:rFonts w:ascii="Arial"/>
                <w:spacing w:val="5"/>
              </w:rPr>
              <w:t xml:space="preserve"> </w:t>
            </w:r>
            <w:r>
              <w:rPr>
                <w:rFonts w:ascii="Arial"/>
                <w:spacing w:val="-2"/>
              </w:rPr>
              <w:t>Deliverable</w:t>
            </w:r>
            <w:r>
              <w:rPr>
                <w:rFonts w:ascii="Arial"/>
                <w:spacing w:val="5"/>
              </w:rPr>
              <w:t xml:space="preserve"> </w:t>
            </w:r>
            <w:r>
              <w:rPr>
                <w:rFonts w:ascii="Arial"/>
                <w:spacing w:val="1"/>
              </w:rPr>
              <w:t>by</w:t>
            </w:r>
            <w:r>
              <w:rPr>
                <w:rFonts w:ascii="Arial"/>
                <w:spacing w:val="3"/>
              </w:rPr>
              <w:t xml:space="preserve"> </w:t>
            </w:r>
            <w:r>
              <w:rPr>
                <w:rFonts w:ascii="Arial"/>
              </w:rPr>
              <w:t>the</w:t>
            </w:r>
            <w:r>
              <w:rPr>
                <w:rFonts w:ascii="Arial"/>
                <w:spacing w:val="5"/>
              </w:rPr>
              <w:t xml:space="preserve"> </w:t>
            </w:r>
            <w:r>
              <w:rPr>
                <w:rFonts w:ascii="Arial"/>
                <w:spacing w:val="-1"/>
              </w:rPr>
              <w:t>relevant</w:t>
            </w:r>
            <w:r>
              <w:rPr>
                <w:rFonts w:ascii="Arial"/>
                <w:spacing w:val="7"/>
              </w:rPr>
              <w:t xml:space="preserve"> </w:t>
            </w:r>
            <w:r>
              <w:rPr>
                <w:rFonts w:ascii="Arial"/>
              </w:rPr>
              <w:t>date</w:t>
            </w:r>
            <w:r>
              <w:rPr>
                <w:rFonts w:ascii="Arial"/>
                <w:spacing w:val="35"/>
              </w:rPr>
              <w:t xml:space="preserve"> </w:t>
            </w:r>
            <w:r>
              <w:rPr>
                <w:rFonts w:ascii="Arial"/>
                <w:spacing w:val="-1"/>
              </w:rPr>
              <w:t>set</w:t>
            </w:r>
            <w:r>
              <w:rPr>
                <w:rFonts w:ascii="Arial"/>
                <w:spacing w:val="2"/>
              </w:rPr>
              <w:t xml:space="preserve"> </w:t>
            </w:r>
            <w:r>
              <w:rPr>
                <w:rFonts w:ascii="Arial"/>
                <w:spacing w:val="-2"/>
              </w:rPr>
              <w:t>out</w:t>
            </w:r>
            <w:r>
              <w:rPr>
                <w:rFonts w:ascii="Arial"/>
                <w:spacing w:val="2"/>
              </w:rPr>
              <w:t xml:space="preserve"> </w:t>
            </w:r>
            <w:r>
              <w:rPr>
                <w:rFonts w:ascii="Arial"/>
                <w:spacing w:val="-1"/>
              </w:rPr>
              <w:t>in</w:t>
            </w:r>
            <w:r>
              <w:rPr>
                <w:rFonts w:ascii="Arial"/>
                <w:spacing w:val="-2"/>
              </w:rPr>
              <w:t xml:space="preserve"> </w:t>
            </w:r>
            <w:r>
              <w:rPr>
                <w:rFonts w:ascii="Arial"/>
              </w:rPr>
              <w:t>the</w:t>
            </w:r>
            <w:r>
              <w:rPr>
                <w:rFonts w:ascii="Arial"/>
                <w:spacing w:val="-2"/>
              </w:rPr>
              <w:t xml:space="preserve"> Implementation</w:t>
            </w:r>
            <w:r>
              <w:rPr>
                <w:rFonts w:ascii="Arial"/>
              </w:rPr>
              <w:t xml:space="preserve"> </w:t>
            </w:r>
            <w:r>
              <w:rPr>
                <w:rFonts w:ascii="Arial"/>
                <w:spacing w:val="-2"/>
              </w:rPr>
              <w:t>Plan;</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"Delay</w:t>
            </w:r>
            <w:r>
              <w:rPr>
                <w:rFonts w:ascii="Arial"/>
                <w:b/>
                <w:spacing w:val="-4"/>
              </w:rPr>
              <w:t xml:space="preserve"> </w:t>
            </w:r>
            <w:r>
              <w:rPr>
                <w:rFonts w:ascii="Arial"/>
                <w:b/>
                <w:spacing w:val="-1"/>
              </w:rPr>
              <w:t>Payments"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33"/>
              </w:rPr>
              <w:t xml:space="preserve"> </w:t>
            </w:r>
            <w:r>
              <w:rPr>
                <w:rFonts w:ascii="Arial"/>
              </w:rPr>
              <w:t>the</w:t>
            </w:r>
            <w:r>
              <w:rPr>
                <w:rFonts w:ascii="Arial"/>
                <w:spacing w:val="35"/>
              </w:rPr>
              <w:t xml:space="preserve"> </w:t>
            </w:r>
            <w:r>
              <w:rPr>
                <w:rFonts w:ascii="Arial"/>
                <w:spacing w:val="-1"/>
              </w:rPr>
              <w:t>amounts</w:t>
            </w:r>
            <w:r>
              <w:rPr>
                <w:rFonts w:ascii="Arial"/>
                <w:spacing w:val="35"/>
              </w:rPr>
              <w:t xml:space="preserve"> </w:t>
            </w:r>
            <w:r>
              <w:rPr>
                <w:rFonts w:ascii="Arial"/>
                <w:spacing w:val="-2"/>
              </w:rPr>
              <w:t>payable</w:t>
            </w:r>
            <w:r>
              <w:rPr>
                <w:rFonts w:ascii="Arial"/>
                <w:spacing w:val="35"/>
              </w:rPr>
              <w:t xml:space="preserve"> </w:t>
            </w:r>
            <w:r>
              <w:rPr>
                <w:rFonts w:ascii="Arial"/>
                <w:spacing w:val="1"/>
              </w:rPr>
              <w:t>by</w:t>
            </w:r>
            <w:r>
              <w:rPr>
                <w:rFonts w:ascii="Arial"/>
                <w:spacing w:val="33"/>
              </w:rPr>
              <w:t xml:space="preserve"> </w:t>
            </w:r>
            <w:r>
              <w:rPr>
                <w:rFonts w:ascii="Arial"/>
              </w:rPr>
              <w:t>the</w:t>
            </w:r>
            <w:r>
              <w:rPr>
                <w:rFonts w:ascii="Arial"/>
                <w:spacing w:val="35"/>
              </w:rPr>
              <w:t xml:space="preserve"> </w:t>
            </w:r>
            <w:r>
              <w:rPr>
                <w:rFonts w:ascii="Arial"/>
                <w:spacing w:val="-2"/>
              </w:rPr>
              <w:t>Supplier</w:t>
            </w:r>
            <w:r>
              <w:rPr>
                <w:rFonts w:ascii="Arial"/>
                <w:spacing w:val="37"/>
              </w:rPr>
              <w:t xml:space="preserve"> </w:t>
            </w:r>
            <w:r>
              <w:rPr>
                <w:rFonts w:ascii="Arial"/>
              </w:rPr>
              <w:t>to</w:t>
            </w:r>
            <w:r>
              <w:rPr>
                <w:rFonts w:ascii="Arial"/>
                <w:spacing w:val="32"/>
              </w:rPr>
              <w:t xml:space="preserve"> </w:t>
            </w:r>
            <w:r>
              <w:rPr>
                <w:rFonts w:ascii="Arial"/>
                <w:spacing w:val="-1"/>
              </w:rPr>
              <w:t>the</w:t>
            </w:r>
            <w:r>
              <w:rPr>
                <w:rFonts w:ascii="Arial"/>
                <w:spacing w:val="29"/>
              </w:rPr>
              <w:t xml:space="preserve"> </w:t>
            </w:r>
            <w:r>
              <w:rPr>
                <w:rFonts w:ascii="Arial"/>
                <w:spacing w:val="-1"/>
              </w:rPr>
              <w:t>Customer</w:t>
            </w:r>
            <w:r>
              <w:rPr>
                <w:rFonts w:ascii="Arial"/>
                <w:spacing w:val="26"/>
              </w:rPr>
              <w:t xml:space="preserve"> </w:t>
            </w:r>
            <w:r>
              <w:rPr>
                <w:rFonts w:ascii="Arial"/>
                <w:spacing w:val="-1"/>
              </w:rPr>
              <w:t>in</w:t>
            </w:r>
            <w:r>
              <w:rPr>
                <w:rFonts w:ascii="Arial"/>
                <w:spacing w:val="24"/>
              </w:rPr>
              <w:t xml:space="preserve"> </w:t>
            </w:r>
            <w:r>
              <w:rPr>
                <w:rFonts w:ascii="Arial"/>
                <w:spacing w:val="-1"/>
              </w:rPr>
              <w:t>respect</w:t>
            </w:r>
            <w:r>
              <w:rPr>
                <w:rFonts w:ascii="Arial"/>
                <w:spacing w:val="24"/>
              </w:rPr>
              <w:t xml:space="preserve"> </w:t>
            </w:r>
            <w:r>
              <w:rPr>
                <w:rFonts w:ascii="Arial"/>
                <w:spacing w:val="-2"/>
              </w:rPr>
              <w:t>of</w:t>
            </w:r>
            <w:r>
              <w:rPr>
                <w:rFonts w:ascii="Arial"/>
                <w:spacing w:val="23"/>
              </w:rPr>
              <w:t xml:space="preserve"> </w:t>
            </w:r>
            <w:r>
              <w:rPr>
                <w:rFonts w:ascii="Arial"/>
              </w:rPr>
              <w:t>a</w:t>
            </w:r>
            <w:r>
              <w:rPr>
                <w:rFonts w:ascii="Arial"/>
                <w:spacing w:val="24"/>
              </w:rPr>
              <w:t xml:space="preserve"> </w:t>
            </w:r>
            <w:r>
              <w:rPr>
                <w:rFonts w:ascii="Arial"/>
                <w:spacing w:val="-1"/>
              </w:rPr>
              <w:t>delay</w:t>
            </w:r>
            <w:r>
              <w:rPr>
                <w:rFonts w:ascii="Arial"/>
                <w:spacing w:val="22"/>
              </w:rPr>
              <w:t xml:space="preserve"> </w:t>
            </w:r>
            <w:r>
              <w:rPr>
                <w:rFonts w:ascii="Arial"/>
                <w:spacing w:val="-1"/>
              </w:rPr>
              <w:t>in</w:t>
            </w:r>
            <w:r>
              <w:rPr>
                <w:rFonts w:ascii="Arial"/>
                <w:spacing w:val="24"/>
              </w:rPr>
              <w:t xml:space="preserve"> </w:t>
            </w:r>
            <w:r>
              <w:rPr>
                <w:rFonts w:ascii="Arial"/>
                <w:spacing w:val="-1"/>
              </w:rPr>
              <w:t>respect</w:t>
            </w:r>
            <w:r>
              <w:rPr>
                <w:rFonts w:ascii="Arial"/>
                <w:spacing w:val="26"/>
              </w:rPr>
              <w:t xml:space="preserve"> </w:t>
            </w:r>
            <w:r>
              <w:rPr>
                <w:rFonts w:ascii="Arial"/>
                <w:spacing w:val="-2"/>
              </w:rPr>
              <w:t>of</w:t>
            </w:r>
            <w:r>
              <w:rPr>
                <w:rFonts w:ascii="Arial"/>
                <w:spacing w:val="26"/>
              </w:rPr>
              <w:t xml:space="preserve"> </w:t>
            </w:r>
            <w:r>
              <w:rPr>
                <w:rFonts w:ascii="Arial"/>
              </w:rPr>
              <w:t>a</w:t>
            </w:r>
            <w:r>
              <w:rPr>
                <w:rFonts w:ascii="Arial"/>
                <w:spacing w:val="22"/>
              </w:rPr>
              <w:t xml:space="preserve"> </w:t>
            </w:r>
            <w:r>
              <w:rPr>
                <w:rFonts w:ascii="Arial"/>
                <w:spacing w:val="-2"/>
              </w:rPr>
              <w:t>Milestone</w:t>
            </w:r>
            <w:r>
              <w:rPr>
                <w:rFonts w:ascii="Arial"/>
                <w:spacing w:val="30"/>
              </w:rPr>
              <w:t xml:space="preserve"> </w:t>
            </w:r>
            <w:r>
              <w:rPr>
                <w:rFonts w:ascii="Arial"/>
                <w:spacing w:val="-1"/>
              </w:rPr>
              <w:t>as</w:t>
            </w:r>
            <w:r>
              <w:rPr>
                <w:rFonts w:ascii="Arial"/>
                <w:spacing w:val="1"/>
              </w:rPr>
              <w:t xml:space="preserve"> </w:t>
            </w:r>
            <w:r>
              <w:rPr>
                <w:rFonts w:ascii="Arial"/>
                <w:spacing w:val="-1"/>
              </w:rPr>
              <w:t>specified</w:t>
            </w:r>
            <w:r>
              <w:rPr>
                <w:rFonts w:ascii="Arial"/>
              </w:rPr>
              <w:t xml:space="preserve"> </w:t>
            </w:r>
            <w:r>
              <w:rPr>
                <w:rFonts w:ascii="Arial"/>
                <w:spacing w:val="-1"/>
              </w:rPr>
              <w:t>in</w:t>
            </w:r>
            <w:r>
              <w:rPr>
                <w:rFonts w:ascii="Arial"/>
                <w:spacing w:val="-2"/>
              </w:rPr>
              <w:t xml:space="preserve"> </w:t>
            </w:r>
            <w:r>
              <w:rPr>
                <w:rFonts w:ascii="Arial"/>
              </w:rPr>
              <w:t>the</w:t>
            </w:r>
            <w:r>
              <w:rPr>
                <w:rFonts w:ascii="Arial"/>
                <w:spacing w:val="-2"/>
              </w:rPr>
              <w:t xml:space="preserve"> </w:t>
            </w:r>
            <w:r>
              <w:rPr>
                <w:rFonts w:ascii="Arial"/>
                <w:spacing w:val="-1"/>
              </w:rPr>
              <w:t>Implementation</w:t>
            </w:r>
            <w:r>
              <w:rPr>
                <w:rFonts w:ascii="Arial"/>
              </w:rPr>
              <w:t xml:space="preserve"> </w:t>
            </w:r>
            <w:r>
              <w:rPr>
                <w:rFonts w:ascii="Arial"/>
                <w:spacing w:val="-2"/>
              </w:rPr>
              <w:t>Plan;</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eastAsia="Arial" w:hAnsi="Arial" w:cs="Arial"/>
                <w:b/>
                <w:bCs/>
                <w:spacing w:val="-1"/>
              </w:rPr>
              <w:t>“Delay</w:t>
            </w:r>
            <w:r>
              <w:rPr>
                <w:rFonts w:ascii="Arial" w:eastAsia="Arial" w:hAnsi="Arial" w:cs="Arial"/>
                <w:b/>
                <w:bCs/>
                <w:spacing w:val="-4"/>
              </w:rPr>
              <w:t xml:space="preserve"> </w:t>
            </w:r>
            <w:r>
              <w:rPr>
                <w:rFonts w:ascii="Arial" w:eastAsia="Arial" w:hAnsi="Arial" w:cs="Arial"/>
                <w:b/>
                <w:bCs/>
                <w:spacing w:val="-1"/>
              </w:rPr>
              <w:t>Period</w:t>
            </w:r>
            <w:r>
              <w:rPr>
                <w:rFonts w:ascii="Arial" w:eastAsia="Arial" w:hAnsi="Arial" w:cs="Arial"/>
                <w:b/>
                <w:bCs/>
              </w:rPr>
              <w:t xml:space="preserve"> </w:t>
            </w:r>
            <w:r>
              <w:rPr>
                <w:rFonts w:ascii="Arial" w:eastAsia="Arial" w:hAnsi="Arial" w:cs="Arial"/>
                <w:b/>
                <w:bCs/>
                <w:spacing w:val="-1"/>
              </w:rPr>
              <w:t>Limit”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shall</w:t>
            </w:r>
            <w:r>
              <w:rPr>
                <w:rFonts w:ascii="Arial"/>
                <w:spacing w:val="7"/>
              </w:rPr>
              <w:t xml:space="preserve"> </w:t>
            </w:r>
            <w:r>
              <w:rPr>
                <w:rFonts w:ascii="Arial"/>
                <w:spacing w:val="-1"/>
              </w:rPr>
              <w:t>be</w:t>
            </w:r>
            <w:r>
              <w:rPr>
                <w:rFonts w:ascii="Arial"/>
                <w:spacing w:val="7"/>
              </w:rPr>
              <w:t xml:space="preserve"> </w:t>
            </w:r>
            <w:r>
              <w:rPr>
                <w:rFonts w:ascii="Arial"/>
              </w:rPr>
              <w:t>the</w:t>
            </w:r>
            <w:r>
              <w:rPr>
                <w:rFonts w:ascii="Arial"/>
                <w:spacing w:val="7"/>
              </w:rPr>
              <w:t xml:space="preserve"> </w:t>
            </w:r>
            <w:r>
              <w:rPr>
                <w:rFonts w:ascii="Arial"/>
                <w:spacing w:val="-1"/>
              </w:rPr>
              <w:t>number</w:t>
            </w:r>
            <w:r>
              <w:rPr>
                <w:rFonts w:ascii="Arial"/>
                <w:spacing w:val="9"/>
              </w:rPr>
              <w:t xml:space="preserve"> </w:t>
            </w:r>
            <w:r>
              <w:rPr>
                <w:rFonts w:ascii="Arial"/>
                <w:spacing w:val="-2"/>
              </w:rPr>
              <w:t>of</w:t>
            </w:r>
            <w:r>
              <w:rPr>
                <w:rFonts w:ascii="Arial"/>
                <w:spacing w:val="11"/>
              </w:rPr>
              <w:t xml:space="preserve"> </w:t>
            </w:r>
            <w:r>
              <w:rPr>
                <w:rFonts w:ascii="Arial"/>
                <w:spacing w:val="-2"/>
              </w:rPr>
              <w:t>days</w:t>
            </w:r>
            <w:r>
              <w:rPr>
                <w:rFonts w:ascii="Arial"/>
                <w:spacing w:val="8"/>
              </w:rPr>
              <w:t xml:space="preserve"> </w:t>
            </w:r>
            <w:r>
              <w:rPr>
                <w:rFonts w:ascii="Arial"/>
                <w:spacing w:val="-1"/>
              </w:rPr>
              <w:t>specified</w:t>
            </w:r>
            <w:r>
              <w:rPr>
                <w:rFonts w:ascii="Arial"/>
                <w:spacing w:val="10"/>
              </w:rPr>
              <w:t xml:space="preserve"> </w:t>
            </w:r>
            <w:r>
              <w:rPr>
                <w:rFonts w:ascii="Arial"/>
                <w:spacing w:val="-1"/>
              </w:rPr>
              <w:t>in</w:t>
            </w:r>
            <w:r>
              <w:rPr>
                <w:rFonts w:ascii="Arial"/>
                <w:spacing w:val="8"/>
              </w:rPr>
              <w:t xml:space="preserve"> </w:t>
            </w:r>
            <w:r>
              <w:rPr>
                <w:rFonts w:ascii="Arial"/>
                <w:spacing w:val="-1"/>
              </w:rPr>
              <w:t>Part</w:t>
            </w:r>
            <w:r>
              <w:rPr>
                <w:rFonts w:ascii="Arial"/>
                <w:spacing w:val="7"/>
              </w:rPr>
              <w:t xml:space="preserve"> </w:t>
            </w:r>
            <w:r>
              <w:rPr>
                <w:rFonts w:ascii="Arial"/>
              </w:rPr>
              <w:t>A</w:t>
            </w:r>
            <w:r>
              <w:rPr>
                <w:rFonts w:ascii="Arial"/>
                <w:spacing w:val="7"/>
              </w:rPr>
              <w:t xml:space="preserve"> </w:t>
            </w:r>
            <w:r>
              <w:rPr>
                <w:rFonts w:ascii="Arial"/>
                <w:spacing w:val="-2"/>
              </w:rPr>
              <w:t>of</w:t>
            </w:r>
            <w:r>
              <w:rPr>
                <w:rFonts w:ascii="Arial"/>
                <w:spacing w:val="9"/>
              </w:rPr>
              <w:t xml:space="preserve"> </w:t>
            </w:r>
            <w:r>
              <w:rPr>
                <w:rFonts w:ascii="Arial"/>
                <w:spacing w:val="-2"/>
              </w:rPr>
              <w:t>Call</w:t>
            </w:r>
            <w:r>
              <w:rPr>
                <w:rFonts w:ascii="Arial"/>
                <w:spacing w:val="4"/>
              </w:rPr>
              <w:t xml:space="preserve"> </w:t>
            </w:r>
            <w:r>
              <w:rPr>
                <w:rFonts w:ascii="Arial"/>
                <w:spacing w:val="-1"/>
              </w:rPr>
              <w:t>Off</w:t>
            </w:r>
            <w:r>
              <w:rPr>
                <w:rFonts w:ascii="Arial"/>
                <w:spacing w:val="35"/>
              </w:rPr>
              <w:t xml:space="preserve"> </w:t>
            </w:r>
            <w:r>
              <w:rPr>
                <w:rFonts w:ascii="Arial"/>
                <w:spacing w:val="-1"/>
              </w:rPr>
              <w:t>Schedule</w:t>
            </w:r>
            <w:r>
              <w:rPr>
                <w:rFonts w:ascii="Arial"/>
                <w:spacing w:val="35"/>
              </w:rPr>
              <w:t xml:space="preserve"> </w:t>
            </w:r>
            <w:r>
              <w:rPr>
                <w:rFonts w:ascii="Arial"/>
                <w:spacing w:val="-1"/>
              </w:rPr>
              <w:t>4:</w:t>
            </w:r>
            <w:r>
              <w:rPr>
                <w:rFonts w:ascii="Arial"/>
                <w:spacing w:val="37"/>
              </w:rPr>
              <w:t xml:space="preserve"> </w:t>
            </w:r>
            <w:r>
              <w:rPr>
                <w:rFonts w:ascii="Arial"/>
                <w:spacing w:val="-1"/>
              </w:rPr>
              <w:t>Implementation</w:t>
            </w:r>
            <w:r>
              <w:rPr>
                <w:rFonts w:ascii="Arial"/>
                <w:spacing w:val="35"/>
              </w:rPr>
              <w:t xml:space="preserve"> </w:t>
            </w:r>
            <w:r>
              <w:rPr>
                <w:rFonts w:ascii="Arial"/>
                <w:spacing w:val="-1"/>
              </w:rPr>
              <w:t>Plan,</w:t>
            </w:r>
            <w:r>
              <w:rPr>
                <w:rFonts w:ascii="Arial"/>
                <w:spacing w:val="38"/>
              </w:rPr>
              <w:t xml:space="preserve"> </w:t>
            </w:r>
            <w:r>
              <w:rPr>
                <w:rFonts w:ascii="Arial"/>
                <w:spacing w:val="-1"/>
              </w:rPr>
              <w:t>Customer</w:t>
            </w:r>
            <w:r>
              <w:rPr>
                <w:rFonts w:ascii="Arial"/>
                <w:spacing w:val="27"/>
              </w:rPr>
              <w:t xml:space="preserve"> </w:t>
            </w:r>
            <w:r>
              <w:rPr>
                <w:rFonts w:ascii="Arial"/>
                <w:spacing w:val="-2"/>
              </w:rPr>
              <w:t>Responsibilities</w:t>
            </w:r>
            <w:r>
              <w:rPr>
                <w:rFonts w:ascii="Arial"/>
                <w:spacing w:val="37"/>
              </w:rPr>
              <w:t xml:space="preserve"> </w:t>
            </w:r>
            <w:r>
              <w:rPr>
                <w:rFonts w:ascii="Arial"/>
                <w:spacing w:val="-1"/>
              </w:rPr>
              <w:t>and</w:t>
            </w:r>
            <w:r>
              <w:rPr>
                <w:rFonts w:ascii="Arial"/>
                <w:spacing w:val="39"/>
              </w:rPr>
              <w:t xml:space="preserve"> </w:t>
            </w:r>
            <w:r>
              <w:rPr>
                <w:rFonts w:ascii="Arial"/>
              </w:rPr>
              <w:t>Key</w:t>
            </w:r>
            <w:r>
              <w:rPr>
                <w:rFonts w:ascii="Arial"/>
                <w:spacing w:val="34"/>
              </w:rPr>
              <w:t xml:space="preserve"> </w:t>
            </w:r>
            <w:r>
              <w:rPr>
                <w:rFonts w:ascii="Arial"/>
                <w:spacing w:val="-1"/>
              </w:rPr>
              <w:t>Personnel,</w:t>
            </w:r>
            <w:r>
              <w:rPr>
                <w:rFonts w:ascii="Arial"/>
                <w:spacing w:val="38"/>
              </w:rPr>
              <w:t xml:space="preserve"> </w:t>
            </w:r>
            <w:r>
              <w:rPr>
                <w:rFonts w:ascii="Arial"/>
              </w:rPr>
              <w:t>for</w:t>
            </w:r>
            <w:r>
              <w:rPr>
                <w:rFonts w:ascii="Arial"/>
                <w:spacing w:val="38"/>
              </w:rPr>
              <w:t xml:space="preserve"> </w:t>
            </w:r>
            <w:r>
              <w:rPr>
                <w:rFonts w:ascii="Arial"/>
              </w:rPr>
              <w:t>the</w:t>
            </w:r>
            <w:r>
              <w:rPr>
                <w:rFonts w:ascii="Arial"/>
                <w:spacing w:val="36"/>
              </w:rPr>
              <w:t xml:space="preserve"> </w:t>
            </w:r>
            <w:r>
              <w:rPr>
                <w:rFonts w:ascii="Arial"/>
                <w:spacing w:val="-1"/>
              </w:rPr>
              <w:t>purposes</w:t>
            </w:r>
            <w:r>
              <w:rPr>
                <w:rFonts w:ascii="Arial"/>
                <w:spacing w:val="38"/>
              </w:rPr>
              <w:t xml:space="preserve"> </w:t>
            </w:r>
            <w:r>
              <w:rPr>
                <w:rFonts w:ascii="Arial"/>
                <w:spacing w:val="-2"/>
              </w:rPr>
              <w:t>of</w:t>
            </w:r>
            <w:r>
              <w:rPr>
                <w:rFonts w:ascii="Arial"/>
                <w:spacing w:val="51"/>
              </w:rPr>
              <w:t xml:space="preserve"> </w:t>
            </w:r>
            <w:hyperlink w:anchor="_bookmark63" w:history="1">
              <w:r>
                <w:rPr>
                  <w:rFonts w:ascii="Arial"/>
                  <w:spacing w:val="-1"/>
                </w:rPr>
                <w:t>6.4.1(b)(ii)</w:t>
              </w:r>
            </w:hyperlink>
            <w:r>
              <w:rPr>
                <w:rFonts w:ascii="Arial"/>
                <w:spacing w:val="-1"/>
              </w:rPr>
              <w:t>;</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"Deliverable"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61"/>
              </w:rPr>
              <w:t xml:space="preserve"> </w:t>
            </w:r>
            <w:r>
              <w:rPr>
                <w:rFonts w:ascii="Arial"/>
                <w:spacing w:val="-1"/>
              </w:rPr>
              <w:t>an</w:t>
            </w:r>
            <w:r>
              <w:rPr>
                <w:rFonts w:ascii="Arial"/>
                <w:spacing w:val="60"/>
              </w:rPr>
              <w:t xml:space="preserve"> </w:t>
            </w:r>
            <w:r>
              <w:rPr>
                <w:rFonts w:ascii="Arial"/>
                <w:spacing w:val="-1"/>
              </w:rPr>
              <w:t>item</w:t>
            </w:r>
            <w:r>
              <w:rPr>
                <w:rFonts w:ascii="Arial"/>
              </w:rPr>
              <w:t xml:space="preserve"> </w:t>
            </w:r>
            <w:r>
              <w:rPr>
                <w:rFonts w:ascii="Arial"/>
                <w:spacing w:val="-1"/>
              </w:rPr>
              <w:t>or</w:t>
            </w:r>
            <w:r>
              <w:rPr>
                <w:rFonts w:ascii="Arial"/>
                <w:spacing w:val="59"/>
              </w:rPr>
              <w:t xml:space="preserve"> </w:t>
            </w:r>
            <w:r>
              <w:rPr>
                <w:rFonts w:ascii="Arial"/>
                <w:spacing w:val="-1"/>
              </w:rPr>
              <w:t>feature</w:t>
            </w:r>
            <w:r>
              <w:rPr>
                <w:rFonts w:ascii="Arial"/>
                <w:spacing w:val="60"/>
              </w:rPr>
              <w:t xml:space="preserve"> </w:t>
            </w:r>
            <w:r>
              <w:rPr>
                <w:rFonts w:ascii="Arial"/>
                <w:spacing w:val="-1"/>
              </w:rPr>
              <w:t>in</w:t>
            </w:r>
            <w:r>
              <w:rPr>
                <w:rFonts w:ascii="Arial"/>
                <w:spacing w:val="60"/>
              </w:rPr>
              <w:t xml:space="preserve"> </w:t>
            </w:r>
            <w:r>
              <w:rPr>
                <w:rFonts w:ascii="Arial"/>
              </w:rPr>
              <w:t>the</w:t>
            </w:r>
            <w:r>
              <w:rPr>
                <w:rFonts w:ascii="Arial"/>
                <w:spacing w:val="60"/>
              </w:rPr>
              <w:t xml:space="preserve"> </w:t>
            </w:r>
            <w:r>
              <w:rPr>
                <w:rFonts w:ascii="Arial"/>
                <w:spacing w:val="-1"/>
              </w:rPr>
              <w:t>supply</w:t>
            </w:r>
            <w:r>
              <w:rPr>
                <w:rFonts w:ascii="Arial"/>
                <w:spacing w:val="59"/>
              </w:rPr>
              <w:t xml:space="preserve"> </w:t>
            </w:r>
            <w:r>
              <w:rPr>
                <w:rFonts w:ascii="Arial"/>
                <w:spacing w:val="-2"/>
              </w:rPr>
              <w:t>of</w:t>
            </w:r>
            <w:r>
              <w:rPr>
                <w:rFonts w:ascii="Arial"/>
                <w:spacing w:val="3"/>
              </w:rPr>
              <w:t xml:space="preserve"> </w:t>
            </w:r>
            <w:r>
              <w:rPr>
                <w:rFonts w:ascii="Arial"/>
                <w:spacing w:val="-1"/>
              </w:rPr>
              <w:t>the</w:t>
            </w:r>
            <w:r>
              <w:rPr>
                <w:rFonts w:ascii="Arial"/>
                <w:spacing w:val="60"/>
              </w:rPr>
              <w:t xml:space="preserve"> </w:t>
            </w:r>
            <w:r>
              <w:rPr>
                <w:rFonts w:ascii="Arial"/>
                <w:spacing w:val="-1"/>
              </w:rPr>
              <w:t>Goods</w:t>
            </w:r>
            <w:r>
              <w:rPr>
                <w:rFonts w:ascii="Arial"/>
                <w:spacing w:val="20"/>
              </w:rPr>
              <w:t xml:space="preserve"> </w:t>
            </w:r>
            <w:r>
              <w:rPr>
                <w:rFonts w:ascii="Arial"/>
                <w:spacing w:val="-1"/>
              </w:rPr>
              <w:t>and/or</w:t>
            </w:r>
            <w:r>
              <w:rPr>
                <w:rFonts w:ascii="Arial"/>
                <w:spacing w:val="36"/>
              </w:rPr>
              <w:t xml:space="preserve"> </w:t>
            </w:r>
            <w:r>
              <w:rPr>
                <w:rFonts w:ascii="Arial"/>
                <w:spacing w:val="-2"/>
              </w:rPr>
              <w:t>Services</w:t>
            </w:r>
            <w:r>
              <w:rPr>
                <w:rFonts w:ascii="Arial"/>
                <w:spacing w:val="35"/>
              </w:rPr>
              <w:t xml:space="preserve"> </w:t>
            </w:r>
            <w:r>
              <w:rPr>
                <w:rFonts w:ascii="Arial"/>
                <w:spacing w:val="-1"/>
              </w:rPr>
              <w:t>delivered</w:t>
            </w:r>
            <w:r>
              <w:rPr>
                <w:rFonts w:ascii="Arial"/>
                <w:spacing w:val="35"/>
              </w:rPr>
              <w:t xml:space="preserve"> </w:t>
            </w:r>
            <w:r>
              <w:rPr>
                <w:rFonts w:ascii="Arial"/>
                <w:spacing w:val="-1"/>
              </w:rPr>
              <w:t>or</w:t>
            </w:r>
            <w:r>
              <w:rPr>
                <w:rFonts w:ascii="Arial"/>
                <w:spacing w:val="34"/>
              </w:rPr>
              <w:t xml:space="preserve"> </w:t>
            </w:r>
            <w:r>
              <w:rPr>
                <w:rFonts w:ascii="Arial"/>
              </w:rPr>
              <w:t>to</w:t>
            </w:r>
            <w:r>
              <w:rPr>
                <w:rFonts w:ascii="Arial"/>
                <w:spacing w:val="35"/>
              </w:rPr>
              <w:t xml:space="preserve"> </w:t>
            </w:r>
            <w:r>
              <w:rPr>
                <w:rFonts w:ascii="Arial"/>
                <w:spacing w:val="-1"/>
              </w:rPr>
              <w:t>be</w:t>
            </w:r>
            <w:r>
              <w:rPr>
                <w:rFonts w:ascii="Arial"/>
                <w:spacing w:val="32"/>
              </w:rPr>
              <w:t xml:space="preserve"> </w:t>
            </w:r>
            <w:r>
              <w:rPr>
                <w:rFonts w:ascii="Arial"/>
                <w:spacing w:val="-2"/>
              </w:rPr>
              <w:t>delivered</w:t>
            </w:r>
            <w:r>
              <w:rPr>
                <w:rFonts w:ascii="Arial"/>
                <w:spacing w:val="36"/>
              </w:rPr>
              <w:t xml:space="preserve"> </w:t>
            </w:r>
            <w:r>
              <w:rPr>
                <w:rFonts w:ascii="Arial"/>
                <w:spacing w:val="-1"/>
              </w:rPr>
              <w:t>by</w:t>
            </w:r>
            <w:r>
              <w:rPr>
                <w:rFonts w:ascii="Arial"/>
                <w:spacing w:val="33"/>
              </w:rPr>
              <w:t xml:space="preserve"> </w:t>
            </w:r>
            <w:r>
              <w:rPr>
                <w:rFonts w:ascii="Arial"/>
                <w:spacing w:val="-1"/>
              </w:rPr>
              <w:t>the</w:t>
            </w:r>
            <w:r>
              <w:rPr>
                <w:rFonts w:ascii="Arial"/>
                <w:spacing w:val="48"/>
              </w:rPr>
              <w:t xml:space="preserve"> </w:t>
            </w:r>
            <w:r>
              <w:rPr>
                <w:rFonts w:ascii="Arial"/>
                <w:spacing w:val="-2"/>
              </w:rPr>
              <w:t>Supplier</w:t>
            </w:r>
            <w:r>
              <w:rPr>
                <w:rFonts w:ascii="Arial"/>
                <w:spacing w:val="27"/>
              </w:rPr>
              <w:t xml:space="preserve"> </w:t>
            </w:r>
            <w:r>
              <w:rPr>
                <w:rFonts w:ascii="Arial"/>
                <w:spacing w:val="-1"/>
              </w:rPr>
              <w:t>at</w:t>
            </w:r>
            <w:r>
              <w:rPr>
                <w:rFonts w:ascii="Arial"/>
                <w:spacing w:val="27"/>
              </w:rPr>
              <w:t xml:space="preserve"> </w:t>
            </w:r>
            <w:r>
              <w:rPr>
                <w:rFonts w:ascii="Arial"/>
                <w:spacing w:val="-1"/>
              </w:rPr>
              <w:t>or</w:t>
            </w:r>
            <w:r>
              <w:rPr>
                <w:rFonts w:ascii="Arial"/>
                <w:spacing w:val="27"/>
              </w:rPr>
              <w:t xml:space="preserve"> </w:t>
            </w:r>
            <w:r>
              <w:rPr>
                <w:rFonts w:ascii="Arial"/>
                <w:spacing w:val="-1"/>
              </w:rPr>
              <w:t>before</w:t>
            </w:r>
            <w:r>
              <w:rPr>
                <w:rFonts w:ascii="Arial"/>
                <w:spacing w:val="23"/>
              </w:rPr>
              <w:t xml:space="preserve"> </w:t>
            </w:r>
            <w:r>
              <w:rPr>
                <w:rFonts w:ascii="Arial"/>
              </w:rPr>
              <w:t>a</w:t>
            </w:r>
            <w:r>
              <w:rPr>
                <w:rFonts w:ascii="Arial"/>
                <w:spacing w:val="28"/>
              </w:rPr>
              <w:t xml:space="preserve"> </w:t>
            </w:r>
            <w:r>
              <w:rPr>
                <w:rFonts w:ascii="Arial"/>
                <w:spacing w:val="-2"/>
              </w:rPr>
              <w:t>Milestone</w:t>
            </w:r>
            <w:r>
              <w:rPr>
                <w:rFonts w:ascii="Arial"/>
                <w:spacing w:val="26"/>
              </w:rPr>
              <w:t xml:space="preserve"> </w:t>
            </w:r>
            <w:r>
              <w:rPr>
                <w:rFonts w:ascii="Arial"/>
                <w:spacing w:val="-1"/>
              </w:rPr>
              <w:t>Date</w:t>
            </w:r>
            <w:r>
              <w:rPr>
                <w:rFonts w:ascii="Arial"/>
                <w:spacing w:val="26"/>
              </w:rPr>
              <w:t xml:space="preserve"> </w:t>
            </w:r>
            <w:r>
              <w:rPr>
                <w:rFonts w:ascii="Arial"/>
                <w:spacing w:val="-1"/>
              </w:rPr>
              <w:t>listed</w:t>
            </w:r>
            <w:r>
              <w:rPr>
                <w:rFonts w:ascii="Arial"/>
                <w:spacing w:val="26"/>
              </w:rPr>
              <w:t xml:space="preserve"> </w:t>
            </w:r>
            <w:r>
              <w:rPr>
                <w:rFonts w:ascii="Arial"/>
                <w:spacing w:val="-1"/>
              </w:rPr>
              <w:t>in</w:t>
            </w:r>
            <w:r>
              <w:rPr>
                <w:rFonts w:ascii="Arial"/>
                <w:spacing w:val="26"/>
              </w:rPr>
              <w:t xml:space="preserve"> </w:t>
            </w:r>
            <w:r>
              <w:rPr>
                <w:rFonts w:ascii="Arial"/>
                <w:spacing w:val="-1"/>
              </w:rPr>
              <w:t>the</w:t>
            </w:r>
            <w:r>
              <w:rPr>
                <w:rFonts w:ascii="Arial"/>
                <w:spacing w:val="56"/>
              </w:rPr>
              <w:t xml:space="preserve"> </w:t>
            </w:r>
            <w:r>
              <w:rPr>
                <w:rFonts w:ascii="Arial"/>
                <w:spacing w:val="-1"/>
              </w:rPr>
              <w:t>Implementation</w:t>
            </w:r>
            <w:r>
              <w:rPr>
                <w:rFonts w:ascii="Arial"/>
                <w:spacing w:val="20"/>
              </w:rPr>
              <w:t xml:space="preserve"> </w:t>
            </w:r>
            <w:r>
              <w:rPr>
                <w:rFonts w:ascii="Arial"/>
                <w:spacing w:val="-1"/>
              </w:rPr>
              <w:t>Plan</w:t>
            </w:r>
            <w:r>
              <w:rPr>
                <w:rFonts w:ascii="Arial"/>
                <w:spacing w:val="20"/>
              </w:rPr>
              <w:t xml:space="preserve"> </w:t>
            </w:r>
            <w:r>
              <w:rPr>
                <w:rFonts w:ascii="Arial"/>
                <w:spacing w:val="-1"/>
              </w:rPr>
              <w:t>(if</w:t>
            </w:r>
            <w:r>
              <w:rPr>
                <w:rFonts w:ascii="Arial"/>
                <w:spacing w:val="19"/>
              </w:rPr>
              <w:t xml:space="preserve"> </w:t>
            </w:r>
            <w:r>
              <w:rPr>
                <w:rFonts w:ascii="Arial"/>
                <w:spacing w:val="-2"/>
              </w:rPr>
              <w:t>any)</w:t>
            </w:r>
            <w:r>
              <w:rPr>
                <w:rFonts w:ascii="Arial"/>
                <w:spacing w:val="21"/>
              </w:rPr>
              <w:t xml:space="preserve"> </w:t>
            </w:r>
            <w:r>
              <w:rPr>
                <w:rFonts w:ascii="Arial"/>
                <w:spacing w:val="-1"/>
              </w:rPr>
              <w:t>or</w:t>
            </w:r>
            <w:r>
              <w:rPr>
                <w:rFonts w:ascii="Arial"/>
                <w:spacing w:val="21"/>
              </w:rPr>
              <w:t xml:space="preserve"> </w:t>
            </w:r>
            <w:r>
              <w:rPr>
                <w:rFonts w:ascii="Arial"/>
                <w:spacing w:val="-1"/>
              </w:rPr>
              <w:t>at</w:t>
            </w:r>
            <w:r>
              <w:rPr>
                <w:rFonts w:ascii="Arial"/>
                <w:spacing w:val="21"/>
              </w:rPr>
              <w:t xml:space="preserve"> </w:t>
            </w:r>
            <w:r>
              <w:rPr>
                <w:rFonts w:ascii="Arial"/>
                <w:spacing w:val="-1"/>
              </w:rPr>
              <w:t>any</w:t>
            </w:r>
            <w:r>
              <w:rPr>
                <w:rFonts w:ascii="Arial"/>
                <w:spacing w:val="18"/>
              </w:rPr>
              <w:t xml:space="preserve"> </w:t>
            </w:r>
            <w:r>
              <w:rPr>
                <w:rFonts w:ascii="Arial"/>
                <w:spacing w:val="-1"/>
              </w:rPr>
              <w:t>other</w:t>
            </w:r>
            <w:r>
              <w:rPr>
                <w:rFonts w:ascii="Arial"/>
                <w:spacing w:val="21"/>
              </w:rPr>
              <w:t xml:space="preserve"> </w:t>
            </w:r>
            <w:r>
              <w:rPr>
                <w:rFonts w:ascii="Arial"/>
                <w:spacing w:val="-1"/>
              </w:rPr>
              <w:t>stage</w:t>
            </w:r>
            <w:r>
              <w:rPr>
                <w:rFonts w:ascii="Arial"/>
                <w:spacing w:val="20"/>
              </w:rPr>
              <w:t xml:space="preserve"> </w:t>
            </w:r>
            <w:r>
              <w:rPr>
                <w:rFonts w:ascii="Arial"/>
                <w:spacing w:val="-2"/>
              </w:rPr>
              <w:t>during</w:t>
            </w:r>
            <w:r>
              <w:rPr>
                <w:rFonts w:ascii="Arial"/>
                <w:spacing w:val="38"/>
              </w:rPr>
              <w:t xml:space="preserve"> </w:t>
            </w:r>
            <w:r>
              <w:rPr>
                <w:rFonts w:ascii="Arial"/>
              </w:rPr>
              <w:t xml:space="preserve">the </w:t>
            </w:r>
            <w:r>
              <w:rPr>
                <w:rFonts w:ascii="Arial"/>
                <w:spacing w:val="-1"/>
              </w:rPr>
              <w:t>performance</w:t>
            </w:r>
            <w:r>
              <w:rPr>
                <w:rFonts w:ascii="Arial"/>
                <w:spacing w:val="-2"/>
              </w:rPr>
              <w:t xml:space="preserve"> of</w:t>
            </w:r>
            <w:r>
              <w:rPr>
                <w:rFonts w:ascii="Arial"/>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Contract;</w:t>
            </w:r>
          </w:p>
        </w:tc>
      </w:tr>
      <w:tr w:rsidR="008918FA" w:rsidTr="005D2B81">
        <w:trPr>
          <w:trHeight w:hRule="exact" w:val="241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2"/>
              </w:rPr>
              <w:t>"Delivery"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14"/>
              </w:rPr>
              <w:t xml:space="preserve"> </w:t>
            </w:r>
            <w:r>
              <w:rPr>
                <w:rFonts w:ascii="Arial"/>
                <w:spacing w:val="-1"/>
              </w:rPr>
              <w:t>in</w:t>
            </w:r>
            <w:r>
              <w:rPr>
                <w:rFonts w:ascii="Arial"/>
                <w:spacing w:val="12"/>
              </w:rPr>
              <w:t xml:space="preserve"> </w:t>
            </w:r>
            <w:r>
              <w:rPr>
                <w:rFonts w:ascii="Arial"/>
                <w:spacing w:val="-1"/>
              </w:rPr>
              <w:t>respect</w:t>
            </w:r>
            <w:r>
              <w:rPr>
                <w:rFonts w:ascii="Arial"/>
                <w:spacing w:val="14"/>
              </w:rPr>
              <w:t xml:space="preserve"> </w:t>
            </w:r>
            <w:r>
              <w:rPr>
                <w:rFonts w:ascii="Arial"/>
                <w:spacing w:val="-2"/>
              </w:rPr>
              <w:t>of</w:t>
            </w:r>
            <w:r>
              <w:rPr>
                <w:rFonts w:ascii="Arial"/>
                <w:spacing w:val="14"/>
              </w:rPr>
              <w:t xml:space="preserve"> </w:t>
            </w:r>
            <w:r>
              <w:rPr>
                <w:rFonts w:ascii="Arial"/>
                <w:spacing w:val="-1"/>
              </w:rPr>
              <w:t>Goods,</w:t>
            </w:r>
            <w:r>
              <w:rPr>
                <w:rFonts w:ascii="Arial"/>
                <w:spacing w:val="14"/>
              </w:rPr>
              <w:t xml:space="preserve"> </w:t>
            </w:r>
            <w:r>
              <w:rPr>
                <w:rFonts w:ascii="Arial"/>
              </w:rPr>
              <w:t>the</w:t>
            </w:r>
            <w:r>
              <w:rPr>
                <w:rFonts w:ascii="Arial"/>
                <w:spacing w:val="10"/>
              </w:rPr>
              <w:t xml:space="preserve"> </w:t>
            </w:r>
            <w:r>
              <w:rPr>
                <w:rFonts w:ascii="Arial"/>
                <w:spacing w:val="-1"/>
              </w:rPr>
              <w:t>time</w:t>
            </w:r>
            <w:r>
              <w:rPr>
                <w:rFonts w:ascii="Arial"/>
                <w:spacing w:val="12"/>
              </w:rPr>
              <w:t xml:space="preserve"> </w:t>
            </w:r>
            <w:r>
              <w:rPr>
                <w:rFonts w:ascii="Arial"/>
                <w:spacing w:val="-1"/>
              </w:rPr>
              <w:t>at</w:t>
            </w:r>
            <w:r>
              <w:rPr>
                <w:rFonts w:ascii="Arial"/>
                <w:spacing w:val="14"/>
              </w:rPr>
              <w:t xml:space="preserve"> </w:t>
            </w:r>
            <w:r>
              <w:rPr>
                <w:rFonts w:ascii="Arial"/>
                <w:spacing w:val="-2"/>
              </w:rPr>
              <w:t>which</w:t>
            </w:r>
            <w:r>
              <w:rPr>
                <w:rFonts w:ascii="Arial"/>
                <w:spacing w:val="13"/>
              </w:rPr>
              <w:t xml:space="preserve"> </w:t>
            </w:r>
            <w:r>
              <w:rPr>
                <w:rFonts w:ascii="Arial"/>
              </w:rPr>
              <w:t>the</w:t>
            </w:r>
            <w:r>
              <w:rPr>
                <w:rFonts w:ascii="Arial"/>
                <w:spacing w:val="12"/>
              </w:rPr>
              <w:t xml:space="preserve"> </w:t>
            </w:r>
            <w:r>
              <w:rPr>
                <w:rFonts w:ascii="Arial"/>
                <w:spacing w:val="-1"/>
              </w:rPr>
              <w:t>Goods</w:t>
            </w:r>
            <w:r>
              <w:rPr>
                <w:rFonts w:ascii="Arial"/>
                <w:spacing w:val="25"/>
              </w:rPr>
              <w:t xml:space="preserve"> </w:t>
            </w:r>
            <w:r>
              <w:rPr>
                <w:rFonts w:ascii="Arial"/>
                <w:spacing w:val="-2"/>
              </w:rPr>
              <w:t>have</w:t>
            </w:r>
            <w:r>
              <w:rPr>
                <w:rFonts w:ascii="Arial"/>
                <w:spacing w:val="15"/>
              </w:rPr>
              <w:t xml:space="preserve"> </w:t>
            </w:r>
            <w:r>
              <w:rPr>
                <w:rFonts w:ascii="Arial"/>
                <w:spacing w:val="-1"/>
              </w:rPr>
              <w:t>been</w:t>
            </w:r>
            <w:r>
              <w:rPr>
                <w:rFonts w:ascii="Arial"/>
                <w:spacing w:val="15"/>
              </w:rPr>
              <w:t xml:space="preserve"> </w:t>
            </w:r>
            <w:r>
              <w:rPr>
                <w:rFonts w:ascii="Arial"/>
                <w:spacing w:val="-1"/>
              </w:rPr>
              <w:t>delivered</w:t>
            </w:r>
            <w:r>
              <w:rPr>
                <w:rFonts w:ascii="Arial"/>
                <w:spacing w:val="15"/>
              </w:rPr>
              <w:t xml:space="preserve"> </w:t>
            </w:r>
            <w:r>
              <w:rPr>
                <w:rFonts w:ascii="Arial"/>
                <w:spacing w:val="-1"/>
              </w:rPr>
              <w:t>and,</w:t>
            </w:r>
            <w:r>
              <w:rPr>
                <w:rFonts w:ascii="Arial"/>
                <w:spacing w:val="16"/>
              </w:rPr>
              <w:t xml:space="preserve"> </w:t>
            </w:r>
            <w:r>
              <w:rPr>
                <w:rFonts w:ascii="Arial"/>
                <w:spacing w:val="-1"/>
              </w:rPr>
              <w:t>in</w:t>
            </w:r>
            <w:r>
              <w:rPr>
                <w:rFonts w:ascii="Arial"/>
                <w:spacing w:val="15"/>
              </w:rPr>
              <w:t xml:space="preserve"> </w:t>
            </w:r>
            <w:r>
              <w:rPr>
                <w:rFonts w:ascii="Arial"/>
                <w:spacing w:val="-1"/>
              </w:rPr>
              <w:t>respect</w:t>
            </w:r>
            <w:r>
              <w:rPr>
                <w:rFonts w:ascii="Arial"/>
                <w:spacing w:val="14"/>
              </w:rPr>
              <w:t xml:space="preserve"> </w:t>
            </w:r>
            <w:r>
              <w:rPr>
                <w:rFonts w:ascii="Arial"/>
                <w:spacing w:val="-2"/>
              </w:rPr>
              <w:t>of</w:t>
            </w:r>
            <w:r>
              <w:rPr>
                <w:rFonts w:ascii="Arial"/>
                <w:spacing w:val="19"/>
              </w:rPr>
              <w:t xml:space="preserve"> </w:t>
            </w:r>
            <w:r>
              <w:rPr>
                <w:rFonts w:ascii="Arial"/>
                <w:spacing w:val="-2"/>
              </w:rPr>
              <w:t>Services,</w:t>
            </w:r>
            <w:r>
              <w:rPr>
                <w:rFonts w:ascii="Arial"/>
                <w:spacing w:val="14"/>
              </w:rPr>
              <w:t xml:space="preserve"> </w:t>
            </w:r>
            <w:r>
              <w:rPr>
                <w:rFonts w:ascii="Arial"/>
              </w:rPr>
              <w:t>the</w:t>
            </w:r>
            <w:r>
              <w:rPr>
                <w:rFonts w:ascii="Arial"/>
                <w:spacing w:val="15"/>
              </w:rPr>
              <w:t xml:space="preserve"> </w:t>
            </w:r>
            <w:r>
              <w:rPr>
                <w:rFonts w:ascii="Arial"/>
                <w:spacing w:val="-1"/>
              </w:rPr>
              <w:t>time</w:t>
            </w:r>
            <w:r>
              <w:rPr>
                <w:rFonts w:ascii="Arial"/>
                <w:spacing w:val="33"/>
              </w:rPr>
              <w:t xml:space="preserve"> </w:t>
            </w:r>
            <w:r>
              <w:rPr>
                <w:rFonts w:ascii="Arial"/>
                <w:spacing w:val="-1"/>
              </w:rPr>
              <w:t>at</w:t>
            </w:r>
            <w:r>
              <w:rPr>
                <w:rFonts w:ascii="Arial"/>
                <w:spacing w:val="35"/>
              </w:rPr>
              <w:t xml:space="preserve"> </w:t>
            </w:r>
            <w:r>
              <w:rPr>
                <w:rFonts w:ascii="Arial"/>
                <w:spacing w:val="-2"/>
              </w:rPr>
              <w:t>which</w:t>
            </w:r>
            <w:r>
              <w:rPr>
                <w:rFonts w:ascii="Arial"/>
                <w:spacing w:val="34"/>
              </w:rPr>
              <w:t xml:space="preserve"> </w:t>
            </w:r>
            <w:r>
              <w:rPr>
                <w:rFonts w:ascii="Arial"/>
              </w:rPr>
              <w:t>the</w:t>
            </w:r>
            <w:r>
              <w:rPr>
                <w:rFonts w:ascii="Arial"/>
                <w:spacing w:val="34"/>
              </w:rPr>
              <w:t xml:space="preserve"> </w:t>
            </w:r>
            <w:r>
              <w:rPr>
                <w:rFonts w:ascii="Arial"/>
                <w:spacing w:val="-1"/>
              </w:rPr>
              <w:t>Services</w:t>
            </w:r>
            <w:r>
              <w:rPr>
                <w:rFonts w:ascii="Arial"/>
                <w:spacing w:val="34"/>
              </w:rPr>
              <w:t xml:space="preserve"> </w:t>
            </w:r>
            <w:r>
              <w:rPr>
                <w:rFonts w:ascii="Arial"/>
                <w:spacing w:val="-1"/>
              </w:rPr>
              <w:t>have</w:t>
            </w:r>
            <w:r>
              <w:rPr>
                <w:rFonts w:ascii="Arial"/>
                <w:spacing w:val="34"/>
              </w:rPr>
              <w:t xml:space="preserve"> </w:t>
            </w:r>
            <w:r>
              <w:rPr>
                <w:rFonts w:ascii="Arial"/>
                <w:spacing w:val="-1"/>
              </w:rPr>
              <w:t>been</w:t>
            </w:r>
            <w:r>
              <w:rPr>
                <w:rFonts w:ascii="Arial"/>
                <w:spacing w:val="34"/>
              </w:rPr>
              <w:t xml:space="preserve"> </w:t>
            </w:r>
            <w:r>
              <w:rPr>
                <w:rFonts w:ascii="Arial"/>
                <w:spacing w:val="-1"/>
              </w:rPr>
              <w:t>provided</w:t>
            </w:r>
            <w:r>
              <w:rPr>
                <w:rFonts w:ascii="Arial"/>
                <w:spacing w:val="35"/>
              </w:rPr>
              <w:t xml:space="preserve"> </w:t>
            </w:r>
            <w:r>
              <w:rPr>
                <w:rFonts w:ascii="Arial"/>
                <w:spacing w:val="-1"/>
              </w:rPr>
              <w:t>or</w:t>
            </w:r>
            <w:r>
              <w:rPr>
                <w:rFonts w:ascii="Arial"/>
                <w:spacing w:val="35"/>
              </w:rPr>
              <w:t xml:space="preserve"> </w:t>
            </w:r>
            <w:r>
              <w:rPr>
                <w:rFonts w:ascii="Arial"/>
                <w:spacing w:val="-1"/>
              </w:rPr>
              <w:t>performed</w:t>
            </w:r>
            <w:r>
              <w:rPr>
                <w:rFonts w:ascii="Arial"/>
                <w:spacing w:val="24"/>
              </w:rPr>
              <w:t xml:space="preserve"> </w:t>
            </w:r>
            <w:r>
              <w:rPr>
                <w:rFonts w:ascii="Arial"/>
                <w:spacing w:val="-1"/>
              </w:rPr>
              <w:t>by</w:t>
            </w:r>
            <w:r>
              <w:rPr>
                <w:rFonts w:ascii="Arial"/>
                <w:spacing w:val="45"/>
              </w:rPr>
              <w:t xml:space="preserve"> </w:t>
            </w:r>
            <w:r>
              <w:rPr>
                <w:rFonts w:ascii="Arial"/>
              </w:rPr>
              <w:t>the</w:t>
            </w:r>
            <w:r>
              <w:rPr>
                <w:rFonts w:ascii="Arial"/>
                <w:spacing w:val="47"/>
              </w:rPr>
              <w:t xml:space="preserve"> </w:t>
            </w:r>
            <w:r>
              <w:rPr>
                <w:rFonts w:ascii="Arial"/>
                <w:spacing w:val="-1"/>
              </w:rPr>
              <w:t>Supplier</w:t>
            </w:r>
            <w:r>
              <w:rPr>
                <w:rFonts w:ascii="Arial"/>
                <w:spacing w:val="48"/>
              </w:rPr>
              <w:t xml:space="preserve"> </w:t>
            </w:r>
            <w:r>
              <w:rPr>
                <w:rFonts w:ascii="Arial"/>
                <w:spacing w:val="-1"/>
              </w:rPr>
              <w:t>as</w:t>
            </w:r>
            <w:r>
              <w:rPr>
                <w:rFonts w:ascii="Arial"/>
                <w:spacing w:val="47"/>
              </w:rPr>
              <w:t xml:space="preserve"> </w:t>
            </w:r>
            <w:r>
              <w:rPr>
                <w:rFonts w:ascii="Arial"/>
                <w:spacing w:val="-1"/>
              </w:rPr>
              <w:t>confirmed</w:t>
            </w:r>
            <w:r>
              <w:rPr>
                <w:rFonts w:ascii="Arial"/>
                <w:spacing w:val="47"/>
              </w:rPr>
              <w:t xml:space="preserve"> </w:t>
            </w:r>
            <w:r>
              <w:rPr>
                <w:rFonts w:ascii="Arial"/>
                <w:spacing w:val="-1"/>
              </w:rPr>
              <w:t>by</w:t>
            </w:r>
            <w:r>
              <w:rPr>
                <w:rFonts w:ascii="Arial"/>
                <w:spacing w:val="45"/>
              </w:rPr>
              <w:t xml:space="preserve"> </w:t>
            </w:r>
            <w:r>
              <w:rPr>
                <w:rFonts w:ascii="Arial"/>
              </w:rPr>
              <w:t>the</w:t>
            </w:r>
            <w:r>
              <w:rPr>
                <w:rFonts w:ascii="Arial"/>
                <w:spacing w:val="48"/>
              </w:rPr>
              <w:t xml:space="preserve"> </w:t>
            </w:r>
            <w:r>
              <w:rPr>
                <w:rFonts w:ascii="Arial"/>
                <w:spacing w:val="-1"/>
              </w:rPr>
              <w:t>issue</w:t>
            </w:r>
            <w:r>
              <w:rPr>
                <w:rFonts w:ascii="Arial"/>
                <w:spacing w:val="47"/>
              </w:rPr>
              <w:t xml:space="preserve"> </w:t>
            </w:r>
            <w:r>
              <w:rPr>
                <w:rFonts w:ascii="Arial"/>
                <w:spacing w:val="-1"/>
              </w:rPr>
              <w:t>by</w:t>
            </w:r>
            <w:r>
              <w:rPr>
                <w:rFonts w:ascii="Arial"/>
                <w:spacing w:val="45"/>
              </w:rPr>
              <w:t xml:space="preserve"> </w:t>
            </w:r>
            <w:r>
              <w:rPr>
                <w:rFonts w:ascii="Arial"/>
                <w:spacing w:val="-1"/>
              </w:rPr>
              <w:t>the</w:t>
            </w:r>
            <w:r>
              <w:rPr>
                <w:rFonts w:ascii="Arial"/>
                <w:spacing w:val="32"/>
              </w:rPr>
              <w:t xml:space="preserve"> </w:t>
            </w:r>
            <w:r>
              <w:rPr>
                <w:rFonts w:ascii="Arial"/>
                <w:spacing w:val="-1"/>
              </w:rPr>
              <w:t>Customer</w:t>
            </w:r>
            <w:r>
              <w:rPr>
                <w:rFonts w:ascii="Arial"/>
                <w:spacing w:val="52"/>
              </w:rPr>
              <w:t xml:space="preserve"> </w:t>
            </w:r>
            <w:r>
              <w:rPr>
                <w:rFonts w:ascii="Arial"/>
                <w:spacing w:val="-2"/>
              </w:rPr>
              <w:t>of</w:t>
            </w:r>
            <w:r>
              <w:rPr>
                <w:rFonts w:ascii="Arial"/>
                <w:spacing w:val="54"/>
              </w:rPr>
              <w:t xml:space="preserve"> </w:t>
            </w:r>
            <w:r>
              <w:rPr>
                <w:rFonts w:ascii="Arial"/>
              </w:rPr>
              <w:t>a</w:t>
            </w:r>
            <w:r>
              <w:rPr>
                <w:rFonts w:ascii="Arial"/>
                <w:spacing w:val="51"/>
              </w:rPr>
              <w:t xml:space="preserve"> </w:t>
            </w:r>
            <w:r>
              <w:rPr>
                <w:rFonts w:ascii="Arial"/>
                <w:spacing w:val="-1"/>
              </w:rPr>
              <w:t>Satisfaction</w:t>
            </w:r>
            <w:r>
              <w:rPr>
                <w:rFonts w:ascii="Arial"/>
                <w:spacing w:val="51"/>
              </w:rPr>
              <w:t xml:space="preserve"> </w:t>
            </w:r>
            <w:r>
              <w:rPr>
                <w:rFonts w:ascii="Arial"/>
                <w:spacing w:val="-1"/>
              </w:rPr>
              <w:t>Certificate</w:t>
            </w:r>
            <w:r>
              <w:rPr>
                <w:rFonts w:ascii="Arial"/>
                <w:spacing w:val="51"/>
              </w:rPr>
              <w:t xml:space="preserve"> </w:t>
            </w:r>
            <w:r>
              <w:rPr>
                <w:rFonts w:ascii="Arial"/>
                <w:spacing w:val="-1"/>
              </w:rPr>
              <w:t>in</w:t>
            </w:r>
            <w:r>
              <w:rPr>
                <w:rFonts w:ascii="Arial"/>
                <w:spacing w:val="51"/>
              </w:rPr>
              <w:t xml:space="preserve"> </w:t>
            </w:r>
            <w:r>
              <w:rPr>
                <w:rFonts w:ascii="Arial"/>
                <w:spacing w:val="-1"/>
              </w:rPr>
              <w:t>respect</w:t>
            </w:r>
            <w:r>
              <w:rPr>
                <w:rFonts w:ascii="Arial"/>
                <w:spacing w:val="53"/>
              </w:rPr>
              <w:t xml:space="preserve"> </w:t>
            </w:r>
            <w:r>
              <w:rPr>
                <w:rFonts w:ascii="Arial"/>
                <w:spacing w:val="-2"/>
              </w:rPr>
              <w:t>of</w:t>
            </w:r>
            <w:r>
              <w:rPr>
                <w:rFonts w:ascii="Arial"/>
                <w:spacing w:val="54"/>
              </w:rPr>
              <w:t xml:space="preserve"> </w:t>
            </w:r>
            <w:r>
              <w:rPr>
                <w:rFonts w:ascii="Arial"/>
                <w:spacing w:val="-1"/>
              </w:rPr>
              <w:t>the</w:t>
            </w:r>
            <w:r>
              <w:rPr>
                <w:rFonts w:ascii="Arial"/>
                <w:spacing w:val="25"/>
              </w:rPr>
              <w:t xml:space="preserve"> </w:t>
            </w:r>
            <w:r>
              <w:rPr>
                <w:rFonts w:ascii="Arial"/>
                <w:spacing w:val="-2"/>
              </w:rPr>
              <w:t>relevant</w:t>
            </w:r>
            <w:r>
              <w:rPr>
                <w:rFonts w:ascii="Arial"/>
                <w:spacing w:val="11"/>
              </w:rPr>
              <w:t xml:space="preserve"> </w:t>
            </w:r>
            <w:r>
              <w:rPr>
                <w:rFonts w:ascii="Arial"/>
                <w:spacing w:val="-2"/>
              </w:rPr>
              <w:t>Milestone</w:t>
            </w:r>
            <w:r>
              <w:rPr>
                <w:rFonts w:ascii="Arial"/>
                <w:spacing w:val="8"/>
              </w:rPr>
              <w:t xml:space="preserve"> </w:t>
            </w:r>
            <w:r>
              <w:rPr>
                <w:rFonts w:ascii="Arial"/>
                <w:spacing w:val="-1"/>
              </w:rPr>
              <w:t>thereof</w:t>
            </w:r>
            <w:r>
              <w:rPr>
                <w:rFonts w:ascii="Arial"/>
                <w:spacing w:val="11"/>
              </w:rPr>
              <w:t xml:space="preserve"> </w:t>
            </w:r>
            <w:r>
              <w:rPr>
                <w:rFonts w:ascii="Arial"/>
                <w:spacing w:val="-2"/>
              </w:rPr>
              <w:t>(if</w:t>
            </w:r>
            <w:r>
              <w:rPr>
                <w:rFonts w:ascii="Arial"/>
                <w:spacing w:val="9"/>
              </w:rPr>
              <w:t xml:space="preserve"> </w:t>
            </w:r>
            <w:r>
              <w:rPr>
                <w:rFonts w:ascii="Arial"/>
                <w:spacing w:val="-2"/>
              </w:rPr>
              <w:t>any)</w:t>
            </w:r>
            <w:r>
              <w:rPr>
                <w:rFonts w:ascii="Arial"/>
                <w:spacing w:val="9"/>
              </w:rPr>
              <w:t xml:space="preserve"> </w:t>
            </w:r>
            <w:r>
              <w:rPr>
                <w:rFonts w:ascii="Arial"/>
              </w:rPr>
              <w:t>or</w:t>
            </w:r>
            <w:r>
              <w:rPr>
                <w:rFonts w:ascii="Arial"/>
                <w:spacing w:val="9"/>
              </w:rPr>
              <w:t xml:space="preserve"> </w:t>
            </w:r>
            <w:r>
              <w:rPr>
                <w:rFonts w:ascii="Arial"/>
                <w:spacing w:val="-2"/>
              </w:rPr>
              <w:t>otherwise</w:t>
            </w:r>
            <w:r>
              <w:rPr>
                <w:rFonts w:ascii="Arial"/>
                <w:spacing w:val="9"/>
              </w:rPr>
              <w:t xml:space="preserve"> </w:t>
            </w:r>
            <w:r>
              <w:rPr>
                <w:rFonts w:ascii="Arial"/>
                <w:spacing w:val="-2"/>
              </w:rPr>
              <w:t>in</w:t>
            </w:r>
            <w:r>
              <w:rPr>
                <w:rFonts w:ascii="Arial"/>
                <w:spacing w:val="53"/>
              </w:rPr>
              <w:t xml:space="preserve"> </w:t>
            </w:r>
            <w:r>
              <w:rPr>
                <w:rFonts w:ascii="Arial"/>
                <w:spacing w:val="-1"/>
              </w:rPr>
              <w:t>accordance</w:t>
            </w:r>
            <w:r>
              <w:rPr>
                <w:rFonts w:ascii="Arial"/>
                <w:spacing w:val="39"/>
              </w:rPr>
              <w:t xml:space="preserve"> </w:t>
            </w:r>
            <w:r>
              <w:rPr>
                <w:rFonts w:ascii="Arial"/>
                <w:spacing w:val="-2"/>
              </w:rPr>
              <w:t>with</w:t>
            </w:r>
            <w:r>
              <w:rPr>
                <w:rFonts w:ascii="Arial"/>
                <w:spacing w:val="38"/>
              </w:rPr>
              <w:t xml:space="preserve"> </w:t>
            </w:r>
            <w:r>
              <w:rPr>
                <w:rFonts w:ascii="Arial"/>
                <w:spacing w:val="-1"/>
              </w:rPr>
              <w:t>this</w:t>
            </w:r>
            <w:r>
              <w:rPr>
                <w:rFonts w:ascii="Arial"/>
                <w:spacing w:val="39"/>
              </w:rPr>
              <w:t xml:space="preserve"> </w:t>
            </w:r>
            <w:r>
              <w:rPr>
                <w:rFonts w:ascii="Arial"/>
                <w:spacing w:val="-2"/>
              </w:rPr>
              <w:t>Call</w:t>
            </w:r>
            <w:r>
              <w:rPr>
                <w:rFonts w:ascii="Arial"/>
                <w:spacing w:val="38"/>
              </w:rPr>
              <w:t xml:space="preserve"> </w:t>
            </w:r>
            <w:r>
              <w:rPr>
                <w:rFonts w:ascii="Arial"/>
              </w:rPr>
              <w:t>Off</w:t>
            </w:r>
            <w:r>
              <w:rPr>
                <w:rFonts w:ascii="Arial"/>
                <w:spacing w:val="40"/>
              </w:rPr>
              <w:t xml:space="preserve"> </w:t>
            </w:r>
            <w:r>
              <w:rPr>
                <w:rFonts w:ascii="Arial"/>
                <w:spacing w:val="-1"/>
              </w:rPr>
              <w:t>Contract</w:t>
            </w:r>
            <w:r>
              <w:rPr>
                <w:rFonts w:ascii="Arial"/>
                <w:spacing w:val="40"/>
              </w:rPr>
              <w:t xml:space="preserve"> </w:t>
            </w:r>
            <w:r>
              <w:rPr>
                <w:rFonts w:ascii="Arial"/>
                <w:spacing w:val="-2"/>
              </w:rPr>
              <w:t>and</w:t>
            </w:r>
            <w:r>
              <w:rPr>
                <w:rFonts w:ascii="Arial"/>
                <w:spacing w:val="39"/>
              </w:rPr>
              <w:t xml:space="preserve"> </w:t>
            </w:r>
            <w:r>
              <w:rPr>
                <w:rFonts w:ascii="Arial"/>
                <w:spacing w:val="-1"/>
              </w:rPr>
              <w:t>accepted</w:t>
            </w:r>
            <w:r>
              <w:rPr>
                <w:rFonts w:ascii="Arial"/>
                <w:spacing w:val="38"/>
              </w:rPr>
              <w:t xml:space="preserve"> </w:t>
            </w:r>
            <w:r>
              <w:rPr>
                <w:rFonts w:ascii="Arial"/>
                <w:spacing w:val="-1"/>
              </w:rPr>
              <w:t>by</w:t>
            </w:r>
            <w:r>
              <w:rPr>
                <w:rFonts w:ascii="Arial"/>
                <w:spacing w:val="34"/>
              </w:rPr>
              <w:t xml:space="preserve"> </w:t>
            </w:r>
            <w:r>
              <w:rPr>
                <w:rFonts w:ascii="Arial"/>
              </w:rPr>
              <w:t>the</w:t>
            </w:r>
            <w:r>
              <w:rPr>
                <w:rFonts w:ascii="Arial"/>
                <w:spacing w:val="11"/>
              </w:rPr>
              <w:t xml:space="preserve"> </w:t>
            </w:r>
            <w:r>
              <w:rPr>
                <w:rFonts w:ascii="Arial"/>
                <w:spacing w:val="-1"/>
              </w:rPr>
              <w:t>Customer</w:t>
            </w:r>
            <w:r>
              <w:rPr>
                <w:rFonts w:ascii="Arial"/>
                <w:spacing w:val="13"/>
              </w:rPr>
              <w:t xml:space="preserve"> </w:t>
            </w:r>
            <w:r>
              <w:rPr>
                <w:rFonts w:ascii="Arial"/>
                <w:spacing w:val="-1"/>
              </w:rPr>
              <w:t>and</w:t>
            </w:r>
            <w:r>
              <w:rPr>
                <w:rFonts w:ascii="Arial"/>
                <w:spacing w:val="11"/>
              </w:rPr>
              <w:t xml:space="preserve"> </w:t>
            </w:r>
            <w:r>
              <w:rPr>
                <w:rFonts w:ascii="Arial"/>
                <w:spacing w:val="-1"/>
              </w:rPr>
              <w:t>"</w:t>
            </w:r>
            <w:r>
              <w:rPr>
                <w:rFonts w:ascii="Arial"/>
                <w:b/>
                <w:spacing w:val="-1"/>
              </w:rPr>
              <w:t>Deliver</w:t>
            </w:r>
            <w:r>
              <w:rPr>
                <w:rFonts w:ascii="Arial"/>
                <w:spacing w:val="-1"/>
              </w:rPr>
              <w:t>"</w:t>
            </w:r>
            <w:r>
              <w:rPr>
                <w:rFonts w:ascii="Arial"/>
                <w:spacing w:val="13"/>
              </w:rPr>
              <w:t xml:space="preserve"> </w:t>
            </w:r>
            <w:r>
              <w:rPr>
                <w:rFonts w:ascii="Arial"/>
                <w:spacing w:val="-1"/>
              </w:rPr>
              <w:t>and</w:t>
            </w:r>
            <w:r>
              <w:rPr>
                <w:rFonts w:ascii="Arial"/>
                <w:spacing w:val="11"/>
              </w:rPr>
              <w:t xml:space="preserve"> </w:t>
            </w:r>
            <w:r>
              <w:rPr>
                <w:rFonts w:ascii="Arial"/>
                <w:spacing w:val="-1"/>
              </w:rPr>
              <w:t>"</w:t>
            </w:r>
            <w:r>
              <w:rPr>
                <w:rFonts w:ascii="Arial"/>
                <w:b/>
                <w:spacing w:val="-1"/>
              </w:rPr>
              <w:t>Delivered</w:t>
            </w:r>
            <w:r>
              <w:rPr>
                <w:rFonts w:ascii="Arial"/>
                <w:spacing w:val="-1"/>
              </w:rPr>
              <w:t>"</w:t>
            </w:r>
            <w:r>
              <w:rPr>
                <w:rFonts w:ascii="Arial"/>
                <w:spacing w:val="10"/>
              </w:rPr>
              <w:t xml:space="preserve"> </w:t>
            </w:r>
            <w:r>
              <w:rPr>
                <w:rFonts w:ascii="Arial"/>
                <w:spacing w:val="-1"/>
              </w:rPr>
              <w:t>shall</w:t>
            </w:r>
            <w:r>
              <w:rPr>
                <w:rFonts w:ascii="Arial"/>
                <w:spacing w:val="11"/>
              </w:rPr>
              <w:t xml:space="preserve"> </w:t>
            </w:r>
            <w:r>
              <w:rPr>
                <w:rFonts w:ascii="Arial"/>
                <w:spacing w:val="-1"/>
              </w:rPr>
              <w:t>be</w:t>
            </w:r>
            <w:r>
              <w:rPr>
                <w:rFonts w:ascii="Arial"/>
                <w:spacing w:val="20"/>
              </w:rPr>
              <w:t xml:space="preserve"> </w:t>
            </w:r>
            <w:r>
              <w:rPr>
                <w:rFonts w:ascii="Arial"/>
                <w:spacing w:val="-1"/>
              </w:rPr>
              <w:t>construed</w:t>
            </w:r>
            <w:r>
              <w:rPr>
                <w:rFonts w:ascii="Arial"/>
                <w:spacing w:val="-2"/>
              </w:rPr>
              <w:t xml:space="preserve"> </w:t>
            </w:r>
            <w:r>
              <w:rPr>
                <w:rFonts w:ascii="Arial"/>
                <w:spacing w:val="-1"/>
              </w:rPr>
              <w:t>accordingly;</w:t>
            </w:r>
          </w:p>
        </w:tc>
      </w:tr>
      <w:tr w:rsidR="008918FA" w:rsidTr="005D2B81">
        <w:trPr>
          <w:trHeight w:hRule="exact" w:val="190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"Disaster"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8"/>
              <w:jc w:val="both"/>
              <w:rPr>
                <w:rFonts w:ascii="Arial" w:eastAsia="Arial" w:hAnsi="Arial" w:cs="Arial"/>
              </w:rPr>
            </w:pPr>
            <w:r>
              <w:rPr>
                <w:rFonts w:ascii="Arial" w:eastAsia="Arial" w:hAnsi="Arial" w:cs="Arial"/>
                <w:spacing w:val="-1"/>
              </w:rPr>
              <w:t>means</w:t>
            </w:r>
            <w:r>
              <w:rPr>
                <w:rFonts w:ascii="Arial" w:eastAsia="Arial" w:hAnsi="Arial" w:cs="Arial"/>
                <w:spacing w:val="14"/>
              </w:rPr>
              <w:t xml:space="preserve"> </w:t>
            </w:r>
            <w:r>
              <w:rPr>
                <w:rFonts w:ascii="Arial" w:eastAsia="Arial" w:hAnsi="Arial" w:cs="Arial"/>
              </w:rPr>
              <w:t>the</w:t>
            </w:r>
            <w:r>
              <w:rPr>
                <w:rFonts w:ascii="Arial" w:eastAsia="Arial" w:hAnsi="Arial" w:cs="Arial"/>
                <w:spacing w:val="13"/>
              </w:rPr>
              <w:t xml:space="preserve"> </w:t>
            </w:r>
            <w:r>
              <w:rPr>
                <w:rFonts w:ascii="Arial" w:eastAsia="Arial" w:hAnsi="Arial" w:cs="Arial"/>
                <w:spacing w:val="-1"/>
              </w:rPr>
              <w:t>occurrence</w:t>
            </w:r>
            <w:r>
              <w:rPr>
                <w:rFonts w:ascii="Arial" w:eastAsia="Arial" w:hAnsi="Arial" w:cs="Arial"/>
                <w:spacing w:val="12"/>
              </w:rPr>
              <w:t xml:space="preserve"> </w:t>
            </w:r>
            <w:r>
              <w:rPr>
                <w:rFonts w:ascii="Arial" w:eastAsia="Arial" w:hAnsi="Arial" w:cs="Arial"/>
                <w:spacing w:val="-1"/>
              </w:rPr>
              <w:t>of</w:t>
            </w:r>
            <w:r>
              <w:rPr>
                <w:rFonts w:ascii="Arial" w:eastAsia="Arial" w:hAnsi="Arial" w:cs="Arial"/>
                <w:spacing w:val="17"/>
              </w:rPr>
              <w:t xml:space="preserve"> </w:t>
            </w:r>
            <w:r>
              <w:rPr>
                <w:rFonts w:ascii="Arial" w:eastAsia="Arial" w:hAnsi="Arial" w:cs="Arial"/>
                <w:spacing w:val="-1"/>
              </w:rPr>
              <w:t>one</w:t>
            </w:r>
            <w:r>
              <w:rPr>
                <w:rFonts w:ascii="Arial" w:eastAsia="Arial" w:hAnsi="Arial" w:cs="Arial"/>
                <w:spacing w:val="14"/>
              </w:rPr>
              <w:t xml:space="preserve"> </w:t>
            </w:r>
            <w:r>
              <w:rPr>
                <w:rFonts w:ascii="Arial" w:eastAsia="Arial" w:hAnsi="Arial" w:cs="Arial"/>
                <w:spacing w:val="-1"/>
              </w:rPr>
              <w:t>or</w:t>
            </w:r>
            <w:r>
              <w:rPr>
                <w:rFonts w:ascii="Arial" w:eastAsia="Arial" w:hAnsi="Arial" w:cs="Arial"/>
                <w:spacing w:val="15"/>
              </w:rPr>
              <w:t xml:space="preserve"> </w:t>
            </w:r>
            <w:r>
              <w:rPr>
                <w:rFonts w:ascii="Arial" w:eastAsia="Arial" w:hAnsi="Arial" w:cs="Arial"/>
                <w:spacing w:val="-1"/>
              </w:rPr>
              <w:t>more</w:t>
            </w:r>
            <w:r>
              <w:rPr>
                <w:rFonts w:ascii="Arial" w:eastAsia="Arial" w:hAnsi="Arial" w:cs="Arial"/>
                <w:spacing w:val="14"/>
              </w:rPr>
              <w:t xml:space="preserve"> </w:t>
            </w:r>
            <w:r>
              <w:rPr>
                <w:rFonts w:ascii="Arial" w:eastAsia="Arial" w:hAnsi="Arial" w:cs="Arial"/>
                <w:spacing w:val="-1"/>
              </w:rPr>
              <w:t>events</w:t>
            </w:r>
            <w:r>
              <w:rPr>
                <w:rFonts w:ascii="Arial" w:eastAsia="Arial" w:hAnsi="Arial" w:cs="Arial"/>
              </w:rPr>
              <w:t xml:space="preserve"> </w:t>
            </w:r>
            <w:r>
              <w:rPr>
                <w:rFonts w:ascii="Arial" w:eastAsia="Arial" w:hAnsi="Arial" w:cs="Arial"/>
                <w:spacing w:val="14"/>
              </w:rPr>
              <w:t xml:space="preserve"> </w:t>
            </w:r>
            <w:r>
              <w:rPr>
                <w:rFonts w:ascii="Arial" w:eastAsia="Arial" w:hAnsi="Arial" w:cs="Arial"/>
                <w:spacing w:val="-2"/>
              </w:rPr>
              <w:t>which,</w:t>
            </w:r>
            <w:r>
              <w:rPr>
                <w:rFonts w:ascii="Arial" w:eastAsia="Arial" w:hAnsi="Arial" w:cs="Arial"/>
                <w:spacing w:val="27"/>
              </w:rPr>
              <w:t xml:space="preserve"> </w:t>
            </w:r>
            <w:r>
              <w:rPr>
                <w:rFonts w:ascii="Arial" w:eastAsia="Arial" w:hAnsi="Arial" w:cs="Arial"/>
                <w:spacing w:val="-1"/>
              </w:rPr>
              <w:t>either</w:t>
            </w:r>
            <w:r>
              <w:rPr>
                <w:rFonts w:ascii="Arial" w:eastAsia="Arial" w:hAnsi="Arial" w:cs="Arial"/>
                <w:spacing w:val="49"/>
              </w:rPr>
              <w:t xml:space="preserve"> </w:t>
            </w:r>
            <w:r>
              <w:rPr>
                <w:rFonts w:ascii="Arial" w:eastAsia="Arial" w:hAnsi="Arial" w:cs="Arial"/>
                <w:spacing w:val="-1"/>
              </w:rPr>
              <w:t>separately</w:t>
            </w:r>
            <w:r>
              <w:rPr>
                <w:rFonts w:ascii="Arial" w:eastAsia="Arial" w:hAnsi="Arial" w:cs="Arial"/>
                <w:spacing w:val="46"/>
              </w:rPr>
              <w:t xml:space="preserve"> </w:t>
            </w:r>
            <w:r>
              <w:rPr>
                <w:rFonts w:ascii="Arial" w:eastAsia="Arial" w:hAnsi="Arial" w:cs="Arial"/>
                <w:spacing w:val="-1"/>
              </w:rPr>
              <w:t>or</w:t>
            </w:r>
            <w:r>
              <w:rPr>
                <w:rFonts w:ascii="Arial" w:eastAsia="Arial" w:hAnsi="Arial" w:cs="Arial"/>
                <w:spacing w:val="49"/>
              </w:rPr>
              <w:t xml:space="preserve"> </w:t>
            </w:r>
            <w:r>
              <w:rPr>
                <w:rFonts w:ascii="Arial" w:eastAsia="Arial" w:hAnsi="Arial" w:cs="Arial"/>
                <w:spacing w:val="-2"/>
              </w:rPr>
              <w:t>cumulatively,</w:t>
            </w:r>
            <w:r>
              <w:rPr>
                <w:rFonts w:ascii="Arial" w:eastAsia="Arial" w:hAnsi="Arial" w:cs="Arial"/>
                <w:spacing w:val="50"/>
              </w:rPr>
              <w:t xml:space="preserve"> </w:t>
            </w:r>
            <w:r>
              <w:rPr>
                <w:rFonts w:ascii="Arial" w:eastAsia="Arial" w:hAnsi="Arial" w:cs="Arial"/>
                <w:spacing w:val="-1"/>
              </w:rPr>
              <w:t>mean</w:t>
            </w:r>
            <w:r>
              <w:rPr>
                <w:rFonts w:ascii="Arial" w:eastAsia="Arial" w:hAnsi="Arial" w:cs="Arial"/>
                <w:spacing w:val="48"/>
              </w:rPr>
              <w:t xml:space="preserve"> </w:t>
            </w:r>
            <w:r>
              <w:rPr>
                <w:rFonts w:ascii="Arial" w:eastAsia="Arial" w:hAnsi="Arial" w:cs="Arial"/>
                <w:spacing w:val="-1"/>
              </w:rPr>
              <w:t>that</w:t>
            </w:r>
            <w:r>
              <w:rPr>
                <w:rFonts w:ascii="Arial" w:eastAsia="Arial" w:hAnsi="Arial" w:cs="Arial"/>
                <w:spacing w:val="47"/>
              </w:rPr>
              <w:t xml:space="preserve"> </w:t>
            </w:r>
            <w:r>
              <w:rPr>
                <w:rFonts w:ascii="Arial" w:eastAsia="Arial" w:hAnsi="Arial" w:cs="Arial"/>
                <w:spacing w:val="-1"/>
              </w:rPr>
              <w:t>the</w:t>
            </w:r>
            <w:r>
              <w:rPr>
                <w:rFonts w:ascii="Arial" w:eastAsia="Arial" w:hAnsi="Arial" w:cs="Arial"/>
                <w:spacing w:val="49"/>
              </w:rPr>
              <w:t xml:space="preserve"> </w:t>
            </w:r>
            <w:r>
              <w:rPr>
                <w:rFonts w:ascii="Arial" w:eastAsia="Arial" w:hAnsi="Arial" w:cs="Arial"/>
                <w:spacing w:val="-1"/>
              </w:rPr>
              <w:t>Goods</w:t>
            </w:r>
            <w:r>
              <w:rPr>
                <w:rFonts w:ascii="Arial" w:eastAsia="Arial" w:hAnsi="Arial" w:cs="Arial"/>
                <w:spacing w:val="42"/>
              </w:rPr>
              <w:t xml:space="preserve"> </w:t>
            </w:r>
            <w:r>
              <w:rPr>
                <w:rFonts w:ascii="Arial" w:eastAsia="Arial" w:hAnsi="Arial" w:cs="Arial"/>
                <w:spacing w:val="-1"/>
              </w:rPr>
              <w:t>and/or</w:t>
            </w:r>
            <w:r>
              <w:rPr>
                <w:rFonts w:ascii="Arial" w:eastAsia="Arial" w:hAnsi="Arial" w:cs="Arial"/>
                <w:spacing w:val="55"/>
              </w:rPr>
              <w:t xml:space="preserve"> </w:t>
            </w:r>
            <w:r>
              <w:rPr>
                <w:rFonts w:ascii="Arial" w:eastAsia="Arial" w:hAnsi="Arial" w:cs="Arial"/>
                <w:spacing w:val="-1"/>
              </w:rPr>
              <w:t>Services,</w:t>
            </w:r>
            <w:r>
              <w:rPr>
                <w:rFonts w:ascii="Arial" w:eastAsia="Arial" w:hAnsi="Arial" w:cs="Arial"/>
                <w:spacing w:val="59"/>
              </w:rPr>
              <w:t xml:space="preserve"> </w:t>
            </w:r>
            <w:r>
              <w:rPr>
                <w:rFonts w:ascii="Arial" w:eastAsia="Arial" w:hAnsi="Arial" w:cs="Arial"/>
                <w:spacing w:val="-2"/>
              </w:rPr>
              <w:t>or</w:t>
            </w:r>
            <w:r>
              <w:rPr>
                <w:rFonts w:ascii="Arial" w:eastAsia="Arial" w:hAnsi="Arial" w:cs="Arial"/>
                <w:spacing w:val="58"/>
              </w:rPr>
              <w:t xml:space="preserve"> </w:t>
            </w:r>
            <w:r>
              <w:rPr>
                <w:rFonts w:ascii="Arial" w:eastAsia="Arial" w:hAnsi="Arial" w:cs="Arial"/>
              </w:rPr>
              <w:t>a</w:t>
            </w:r>
            <w:r>
              <w:rPr>
                <w:rFonts w:ascii="Arial" w:eastAsia="Arial" w:hAnsi="Arial" w:cs="Arial"/>
                <w:spacing w:val="54"/>
              </w:rPr>
              <w:t xml:space="preserve"> </w:t>
            </w:r>
            <w:r>
              <w:rPr>
                <w:rFonts w:ascii="Arial" w:eastAsia="Arial" w:hAnsi="Arial" w:cs="Arial"/>
                <w:spacing w:val="-1"/>
              </w:rPr>
              <w:t>material</w:t>
            </w:r>
            <w:r>
              <w:rPr>
                <w:rFonts w:ascii="Arial" w:eastAsia="Arial" w:hAnsi="Arial" w:cs="Arial"/>
                <w:spacing w:val="56"/>
              </w:rPr>
              <w:t xml:space="preserve"> </w:t>
            </w:r>
            <w:r>
              <w:rPr>
                <w:rFonts w:ascii="Arial" w:eastAsia="Arial" w:hAnsi="Arial" w:cs="Arial"/>
                <w:spacing w:val="-1"/>
              </w:rPr>
              <w:t>part</w:t>
            </w:r>
            <w:r>
              <w:rPr>
                <w:rFonts w:ascii="Arial" w:eastAsia="Arial" w:hAnsi="Arial" w:cs="Arial"/>
                <w:spacing w:val="56"/>
              </w:rPr>
              <w:t xml:space="preserve"> </w:t>
            </w:r>
            <w:r>
              <w:rPr>
                <w:rFonts w:ascii="Arial" w:eastAsia="Arial" w:hAnsi="Arial" w:cs="Arial"/>
                <w:spacing w:val="-1"/>
              </w:rPr>
              <w:t>thereof</w:t>
            </w:r>
            <w:r>
              <w:rPr>
                <w:rFonts w:ascii="Arial" w:eastAsia="Arial" w:hAnsi="Arial" w:cs="Arial"/>
                <w:spacing w:val="57"/>
              </w:rPr>
              <w:t xml:space="preserve"> </w:t>
            </w:r>
            <w:r>
              <w:rPr>
                <w:rFonts w:ascii="Arial" w:eastAsia="Arial" w:hAnsi="Arial" w:cs="Arial"/>
                <w:spacing w:val="-2"/>
              </w:rPr>
              <w:t>will</w:t>
            </w:r>
            <w:r>
              <w:rPr>
                <w:rFonts w:ascii="Arial" w:eastAsia="Arial" w:hAnsi="Arial" w:cs="Arial"/>
                <w:spacing w:val="56"/>
              </w:rPr>
              <w:t xml:space="preserve"> </w:t>
            </w:r>
            <w:r>
              <w:rPr>
                <w:rFonts w:ascii="Arial" w:eastAsia="Arial" w:hAnsi="Arial" w:cs="Arial"/>
                <w:spacing w:val="-1"/>
              </w:rPr>
              <w:t>be</w:t>
            </w:r>
            <w:r>
              <w:rPr>
                <w:rFonts w:ascii="Arial" w:eastAsia="Arial" w:hAnsi="Arial" w:cs="Arial"/>
                <w:spacing w:val="22"/>
              </w:rPr>
              <w:t xml:space="preserve"> </w:t>
            </w:r>
            <w:r>
              <w:rPr>
                <w:rFonts w:ascii="Arial" w:eastAsia="Arial" w:hAnsi="Arial" w:cs="Arial"/>
                <w:spacing w:val="-2"/>
              </w:rPr>
              <w:t>unavailable</w:t>
            </w:r>
            <w:r>
              <w:rPr>
                <w:rFonts w:ascii="Arial" w:eastAsia="Arial" w:hAnsi="Arial" w:cs="Arial"/>
                <w:spacing w:val="14"/>
              </w:rPr>
              <w:t xml:space="preserve"> </w:t>
            </w:r>
            <w:r>
              <w:rPr>
                <w:rFonts w:ascii="Arial" w:eastAsia="Arial" w:hAnsi="Arial" w:cs="Arial"/>
                <w:spacing w:val="-1"/>
              </w:rPr>
              <w:t>(or</w:t>
            </w:r>
            <w:r>
              <w:rPr>
                <w:rFonts w:ascii="Arial" w:eastAsia="Arial" w:hAnsi="Arial" w:cs="Arial"/>
                <w:spacing w:val="15"/>
              </w:rPr>
              <w:t xml:space="preserve"> </w:t>
            </w:r>
            <w:r>
              <w:rPr>
                <w:rFonts w:ascii="Arial" w:eastAsia="Arial" w:hAnsi="Arial" w:cs="Arial"/>
                <w:spacing w:val="-1"/>
              </w:rPr>
              <w:t>could</w:t>
            </w:r>
            <w:r>
              <w:rPr>
                <w:rFonts w:ascii="Arial" w:eastAsia="Arial" w:hAnsi="Arial" w:cs="Arial"/>
                <w:spacing w:val="13"/>
              </w:rPr>
              <w:t xml:space="preserve"> </w:t>
            </w:r>
            <w:r>
              <w:rPr>
                <w:rFonts w:ascii="Arial" w:eastAsia="Arial" w:hAnsi="Arial" w:cs="Arial"/>
                <w:spacing w:val="-1"/>
              </w:rPr>
              <w:t>reasonably</w:t>
            </w:r>
            <w:r>
              <w:rPr>
                <w:rFonts w:ascii="Arial" w:eastAsia="Arial" w:hAnsi="Arial" w:cs="Arial"/>
                <w:spacing w:val="12"/>
              </w:rPr>
              <w:t xml:space="preserve"> </w:t>
            </w:r>
            <w:r>
              <w:rPr>
                <w:rFonts w:ascii="Arial" w:eastAsia="Arial" w:hAnsi="Arial" w:cs="Arial"/>
                <w:spacing w:val="-1"/>
              </w:rPr>
              <w:t>be</w:t>
            </w:r>
            <w:r>
              <w:rPr>
                <w:rFonts w:ascii="Arial" w:eastAsia="Arial" w:hAnsi="Arial" w:cs="Arial"/>
                <w:spacing w:val="13"/>
              </w:rPr>
              <w:t xml:space="preserve"> </w:t>
            </w:r>
            <w:r>
              <w:rPr>
                <w:rFonts w:ascii="Arial" w:eastAsia="Arial" w:hAnsi="Arial" w:cs="Arial"/>
                <w:spacing w:val="-1"/>
              </w:rPr>
              <w:t>anticipated</w:t>
            </w:r>
            <w:r>
              <w:rPr>
                <w:rFonts w:ascii="Arial" w:eastAsia="Arial" w:hAnsi="Arial" w:cs="Arial"/>
                <w:spacing w:val="14"/>
              </w:rPr>
              <w:t xml:space="preserve"> </w:t>
            </w:r>
            <w:r>
              <w:rPr>
                <w:rFonts w:ascii="Arial" w:eastAsia="Arial" w:hAnsi="Arial" w:cs="Arial"/>
              </w:rPr>
              <w:t>to</w:t>
            </w:r>
            <w:r>
              <w:rPr>
                <w:rFonts w:ascii="Arial" w:eastAsia="Arial" w:hAnsi="Arial" w:cs="Arial"/>
                <w:spacing w:val="13"/>
              </w:rPr>
              <w:t xml:space="preserve"> </w:t>
            </w:r>
            <w:r>
              <w:rPr>
                <w:rFonts w:ascii="Arial" w:eastAsia="Arial" w:hAnsi="Arial" w:cs="Arial"/>
                <w:spacing w:val="-2"/>
              </w:rPr>
              <w:t>be</w:t>
            </w:r>
            <w:r>
              <w:rPr>
                <w:rFonts w:ascii="Arial" w:eastAsia="Arial" w:hAnsi="Arial" w:cs="Arial"/>
                <w:spacing w:val="41"/>
              </w:rPr>
              <w:t xml:space="preserve"> </w:t>
            </w:r>
            <w:r>
              <w:rPr>
                <w:rFonts w:ascii="Arial" w:eastAsia="Arial" w:hAnsi="Arial" w:cs="Arial"/>
                <w:spacing w:val="-2"/>
              </w:rPr>
              <w:t>unavailable)</w:t>
            </w:r>
            <w:r>
              <w:rPr>
                <w:rFonts w:ascii="Arial" w:eastAsia="Arial" w:hAnsi="Arial" w:cs="Arial"/>
                <w:spacing w:val="17"/>
              </w:rPr>
              <w:t xml:space="preserve"> </w:t>
            </w:r>
            <w:r>
              <w:rPr>
                <w:rFonts w:ascii="Arial" w:eastAsia="Arial" w:hAnsi="Arial" w:cs="Arial"/>
              </w:rPr>
              <w:t>for</w:t>
            </w:r>
            <w:r>
              <w:rPr>
                <w:rFonts w:ascii="Arial" w:eastAsia="Arial" w:hAnsi="Arial" w:cs="Arial"/>
                <w:spacing w:val="14"/>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spacing w:val="-2"/>
              </w:rPr>
              <w:t>period</w:t>
            </w:r>
            <w:r>
              <w:rPr>
                <w:rFonts w:ascii="Arial" w:eastAsia="Arial" w:hAnsi="Arial" w:cs="Arial"/>
                <w:spacing w:val="15"/>
              </w:rPr>
              <w:t xml:space="preserve"> </w:t>
            </w:r>
            <w:r>
              <w:rPr>
                <w:rFonts w:ascii="Arial" w:eastAsia="Arial" w:hAnsi="Arial" w:cs="Arial"/>
                <w:spacing w:val="-1"/>
              </w:rPr>
              <w:t>specified</w:t>
            </w:r>
            <w:r>
              <w:rPr>
                <w:rFonts w:ascii="Arial" w:eastAsia="Arial" w:hAnsi="Arial" w:cs="Arial"/>
                <w:spacing w:val="15"/>
              </w:rPr>
              <w:t xml:space="preserve"> </w:t>
            </w:r>
            <w:r>
              <w:rPr>
                <w:rFonts w:ascii="Arial" w:eastAsia="Arial" w:hAnsi="Arial" w:cs="Arial"/>
                <w:spacing w:val="-1"/>
              </w:rPr>
              <w:t>in</w:t>
            </w:r>
            <w:r>
              <w:rPr>
                <w:rFonts w:ascii="Arial" w:eastAsia="Arial" w:hAnsi="Arial" w:cs="Arial"/>
                <w:spacing w:val="15"/>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spacing w:val="-2"/>
              </w:rPr>
              <w:t>Order</w:t>
            </w:r>
            <w:r>
              <w:rPr>
                <w:rFonts w:ascii="Arial" w:eastAsia="Arial" w:hAnsi="Arial" w:cs="Arial"/>
                <w:spacing w:val="16"/>
              </w:rPr>
              <w:t xml:space="preserve"> </w:t>
            </w:r>
            <w:r>
              <w:rPr>
                <w:rFonts w:ascii="Arial" w:eastAsia="Arial" w:hAnsi="Arial" w:cs="Arial"/>
                <w:spacing w:val="-1"/>
              </w:rPr>
              <w:t>Form</w:t>
            </w:r>
            <w:r>
              <w:rPr>
                <w:rFonts w:ascii="Arial" w:eastAsia="Arial" w:hAnsi="Arial" w:cs="Arial"/>
                <w:spacing w:val="16"/>
              </w:rPr>
              <w:t xml:space="preserve"> </w:t>
            </w:r>
            <w:r>
              <w:rPr>
                <w:rFonts w:ascii="Arial" w:eastAsia="Arial" w:hAnsi="Arial" w:cs="Arial"/>
                <w:spacing w:val="-2"/>
              </w:rPr>
              <w:t>or</w:t>
            </w:r>
            <w:r>
              <w:rPr>
                <w:rFonts w:ascii="Arial" w:eastAsia="Arial" w:hAnsi="Arial" w:cs="Arial"/>
                <w:spacing w:val="61"/>
              </w:rPr>
              <w:t xml:space="preserve"> </w:t>
            </w:r>
            <w:r>
              <w:rPr>
                <w:rFonts w:ascii="Arial" w:eastAsia="Arial" w:hAnsi="Arial" w:cs="Arial"/>
                <w:spacing w:val="-2"/>
              </w:rPr>
              <w:t>elsewhere</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the </w:t>
            </w:r>
            <w:r>
              <w:rPr>
                <w:rFonts w:ascii="Arial" w:eastAsia="Arial" w:hAnsi="Arial" w:cs="Arial"/>
                <w:spacing w:val="-1"/>
              </w:rPr>
              <w:t>Call</w:t>
            </w:r>
            <w:r>
              <w:rPr>
                <w:rFonts w:ascii="Arial" w:eastAsia="Arial" w:hAnsi="Arial" w:cs="Arial"/>
              </w:rPr>
              <w:t xml:space="preserve"> </w:t>
            </w:r>
            <w:r>
              <w:rPr>
                <w:rFonts w:ascii="Arial" w:eastAsia="Arial" w:hAnsi="Arial" w:cs="Arial"/>
                <w:spacing w:val="-1"/>
              </w:rPr>
              <w:t>Off</w:t>
            </w:r>
            <w:r>
              <w:rPr>
                <w:rFonts w:ascii="Arial" w:eastAsia="Arial" w:hAnsi="Arial" w:cs="Arial"/>
                <w:spacing w:val="2"/>
              </w:rPr>
              <w:t xml:space="preserve"> </w:t>
            </w:r>
            <w:r>
              <w:rPr>
                <w:rFonts w:ascii="Arial" w:eastAsia="Arial" w:hAnsi="Arial" w:cs="Arial"/>
                <w:spacing w:val="-1"/>
              </w:rPr>
              <w:t>Contract</w:t>
            </w:r>
            <w:r>
              <w:rPr>
                <w:rFonts w:ascii="Arial" w:eastAsia="Arial" w:hAnsi="Arial" w:cs="Arial"/>
                <w:spacing w:val="2"/>
              </w:rPr>
              <w:t xml:space="preserve"> </w:t>
            </w:r>
            <w:r>
              <w:rPr>
                <w:rFonts w:ascii="Arial" w:eastAsia="Arial" w:hAnsi="Arial" w:cs="Arial"/>
                <w:spacing w:val="-1"/>
              </w:rPr>
              <w:t xml:space="preserve">(for </w:t>
            </w:r>
            <w:r>
              <w:rPr>
                <w:rFonts w:ascii="Arial" w:eastAsia="Arial" w:hAnsi="Arial" w:cs="Arial"/>
              </w:rPr>
              <w:t xml:space="preserve">the </w:t>
            </w:r>
            <w:r>
              <w:rPr>
                <w:rFonts w:ascii="Arial" w:eastAsia="Arial" w:hAnsi="Arial" w:cs="Arial"/>
                <w:spacing w:val="-1"/>
              </w:rPr>
              <w:t>purposes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4"/>
              </w:rPr>
              <w:t xml:space="preserve"> </w:t>
            </w:r>
            <w:r>
              <w:rPr>
                <w:rFonts w:ascii="Arial" w:eastAsia="Arial" w:hAnsi="Arial" w:cs="Arial"/>
                <w:spacing w:val="-1"/>
              </w:rPr>
              <w:t>this</w:t>
            </w:r>
            <w:r>
              <w:rPr>
                <w:rFonts w:ascii="Arial" w:eastAsia="Arial" w:hAnsi="Arial" w:cs="Arial"/>
                <w:spacing w:val="33"/>
              </w:rPr>
              <w:t xml:space="preserve"> </w:t>
            </w:r>
            <w:r>
              <w:rPr>
                <w:rFonts w:ascii="Arial" w:eastAsia="Arial" w:hAnsi="Arial" w:cs="Arial"/>
                <w:spacing w:val="-1"/>
              </w:rPr>
              <w:t>definition</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b/>
                <w:bCs/>
                <w:spacing w:val="-1"/>
              </w:rPr>
              <w:t>“Disaster</w:t>
            </w:r>
            <w:r>
              <w:rPr>
                <w:rFonts w:ascii="Arial" w:eastAsia="Arial" w:hAnsi="Arial" w:cs="Arial"/>
                <w:b/>
                <w:bCs/>
                <w:spacing w:val="-3"/>
              </w:rPr>
              <w:t xml:space="preserve"> </w:t>
            </w:r>
            <w:r>
              <w:rPr>
                <w:rFonts w:ascii="Arial" w:eastAsia="Arial" w:hAnsi="Arial" w:cs="Arial"/>
                <w:b/>
                <w:bCs/>
                <w:spacing w:val="-1"/>
              </w:rPr>
              <w:t>Period</w:t>
            </w:r>
            <w:r>
              <w:rPr>
                <w:rFonts w:ascii="Arial" w:eastAsia="Arial" w:hAnsi="Arial" w:cs="Arial"/>
                <w:spacing w:val="-1"/>
              </w:rPr>
              <w:t>”)</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371"/>
              <w:rPr>
                <w:rFonts w:ascii="Arial" w:eastAsia="Arial" w:hAnsi="Arial" w:cs="Arial"/>
              </w:rPr>
            </w:pPr>
            <w:r>
              <w:rPr>
                <w:rFonts w:ascii="Arial"/>
                <w:b/>
                <w:spacing w:val="-1"/>
              </w:rPr>
              <w:t>"Disaster</w:t>
            </w:r>
            <w:r>
              <w:rPr>
                <w:rFonts w:ascii="Arial"/>
                <w:b/>
                <w:spacing w:val="1"/>
              </w:rPr>
              <w:t xml:space="preserve"> </w:t>
            </w:r>
            <w:r>
              <w:rPr>
                <w:rFonts w:ascii="Arial"/>
                <w:b/>
                <w:spacing w:val="-1"/>
              </w:rPr>
              <w:t>Recovery</w:t>
            </w:r>
            <w:r>
              <w:rPr>
                <w:rFonts w:ascii="Arial"/>
                <w:b/>
                <w:spacing w:val="24"/>
              </w:rPr>
              <w:t xml:space="preserve"> </w:t>
            </w:r>
            <w:r>
              <w:rPr>
                <w:rFonts w:ascii="Arial"/>
                <w:b/>
                <w:spacing w:val="-1"/>
              </w:rPr>
              <w:t>Services"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31"/>
              </w:rPr>
              <w:t xml:space="preserve"> </w:t>
            </w:r>
            <w:r>
              <w:rPr>
                <w:rFonts w:ascii="Arial"/>
              </w:rPr>
              <w:t>the</w:t>
            </w:r>
            <w:r>
              <w:rPr>
                <w:rFonts w:ascii="Arial"/>
                <w:spacing w:val="32"/>
              </w:rPr>
              <w:t xml:space="preserve"> </w:t>
            </w:r>
            <w:r>
              <w:rPr>
                <w:rFonts w:ascii="Arial"/>
                <w:spacing w:val="-2"/>
              </w:rPr>
              <w:t>services</w:t>
            </w:r>
            <w:r>
              <w:rPr>
                <w:rFonts w:ascii="Arial"/>
                <w:spacing w:val="33"/>
              </w:rPr>
              <w:t xml:space="preserve"> </w:t>
            </w:r>
            <w:r>
              <w:rPr>
                <w:rFonts w:ascii="Arial"/>
                <w:spacing w:val="-1"/>
              </w:rPr>
              <w:t>embodied</w:t>
            </w:r>
            <w:r>
              <w:rPr>
                <w:rFonts w:ascii="Arial"/>
                <w:spacing w:val="32"/>
              </w:rPr>
              <w:t xml:space="preserve"> </w:t>
            </w:r>
            <w:r>
              <w:rPr>
                <w:rFonts w:ascii="Arial"/>
                <w:spacing w:val="-1"/>
              </w:rPr>
              <w:t>in</w:t>
            </w:r>
            <w:r>
              <w:rPr>
                <w:rFonts w:ascii="Arial"/>
                <w:spacing w:val="33"/>
              </w:rPr>
              <w:t xml:space="preserve"> </w:t>
            </w:r>
            <w:r>
              <w:rPr>
                <w:rFonts w:ascii="Arial"/>
              </w:rPr>
              <w:t>the</w:t>
            </w:r>
            <w:r>
              <w:rPr>
                <w:rFonts w:ascii="Arial"/>
                <w:spacing w:val="33"/>
              </w:rPr>
              <w:t xml:space="preserve"> </w:t>
            </w:r>
            <w:r>
              <w:rPr>
                <w:rFonts w:ascii="Arial"/>
                <w:spacing w:val="-1"/>
              </w:rPr>
              <w:t>processes</w:t>
            </w:r>
            <w:r>
              <w:rPr>
                <w:rFonts w:ascii="Arial"/>
                <w:spacing w:val="34"/>
              </w:rPr>
              <w:t xml:space="preserve"> </w:t>
            </w:r>
            <w:r>
              <w:rPr>
                <w:rFonts w:ascii="Arial"/>
                <w:spacing w:val="-1"/>
              </w:rPr>
              <w:t>and</w:t>
            </w:r>
            <w:r>
              <w:rPr>
                <w:rFonts w:ascii="Arial"/>
                <w:spacing w:val="29"/>
              </w:rPr>
              <w:t xml:space="preserve"> </w:t>
            </w:r>
            <w:r>
              <w:rPr>
                <w:rFonts w:ascii="Arial"/>
                <w:spacing w:val="-1"/>
              </w:rPr>
              <w:t>procedures</w:t>
            </w:r>
            <w:r>
              <w:rPr>
                <w:rFonts w:ascii="Arial"/>
                <w:spacing w:val="51"/>
              </w:rPr>
              <w:t xml:space="preserve"> </w:t>
            </w:r>
            <w:r>
              <w:rPr>
                <w:rFonts w:ascii="Arial"/>
              </w:rPr>
              <w:t>for</w:t>
            </w:r>
            <w:r>
              <w:rPr>
                <w:rFonts w:ascii="Arial"/>
                <w:spacing w:val="57"/>
              </w:rPr>
              <w:t xml:space="preserve"> </w:t>
            </w:r>
            <w:r>
              <w:rPr>
                <w:rFonts w:ascii="Arial"/>
                <w:spacing w:val="-1"/>
              </w:rPr>
              <w:t>restoring</w:t>
            </w:r>
            <w:r>
              <w:rPr>
                <w:rFonts w:ascii="Arial"/>
                <w:spacing w:val="55"/>
              </w:rPr>
              <w:t xml:space="preserve"> </w:t>
            </w:r>
            <w:r>
              <w:rPr>
                <w:rFonts w:ascii="Arial"/>
              </w:rPr>
              <w:t>the</w:t>
            </w:r>
            <w:r>
              <w:rPr>
                <w:rFonts w:ascii="Arial"/>
                <w:spacing w:val="56"/>
              </w:rPr>
              <w:t xml:space="preserve"> </w:t>
            </w:r>
            <w:r>
              <w:rPr>
                <w:rFonts w:ascii="Arial"/>
                <w:spacing w:val="-2"/>
              </w:rPr>
              <w:t>provision</w:t>
            </w:r>
            <w:r>
              <w:rPr>
                <w:rFonts w:ascii="Arial"/>
                <w:spacing w:val="55"/>
              </w:rPr>
              <w:t xml:space="preserve"> </w:t>
            </w:r>
            <w:r>
              <w:rPr>
                <w:rFonts w:ascii="Arial"/>
                <w:spacing w:val="-1"/>
              </w:rPr>
              <w:t>of</w:t>
            </w:r>
            <w:r>
              <w:rPr>
                <w:rFonts w:ascii="Arial"/>
                <w:spacing w:val="57"/>
              </w:rPr>
              <w:t xml:space="preserve"> </w:t>
            </w:r>
            <w:r>
              <w:rPr>
                <w:rFonts w:ascii="Arial"/>
                <w:spacing w:val="-1"/>
              </w:rPr>
              <w:t>Goods</w:t>
            </w:r>
            <w:r>
              <w:rPr>
                <w:rFonts w:ascii="Arial"/>
                <w:spacing w:val="57"/>
              </w:rPr>
              <w:t xml:space="preserve"> </w:t>
            </w:r>
            <w:r>
              <w:rPr>
                <w:rFonts w:ascii="Arial"/>
                <w:spacing w:val="-1"/>
              </w:rPr>
              <w:t>and/or</w:t>
            </w:r>
            <w:r>
              <w:rPr>
                <w:rFonts w:ascii="Arial"/>
                <w:spacing w:val="27"/>
              </w:rPr>
              <w:t xml:space="preserve"> </w:t>
            </w:r>
            <w:r>
              <w:rPr>
                <w:rFonts w:ascii="Arial"/>
                <w:spacing w:val="-1"/>
              </w:rPr>
              <w:t>Services</w:t>
            </w:r>
            <w:r>
              <w:rPr>
                <w:rFonts w:ascii="Arial"/>
                <w:spacing w:val="45"/>
              </w:rPr>
              <w:t xml:space="preserve"> </w:t>
            </w:r>
            <w:r>
              <w:rPr>
                <w:rFonts w:ascii="Arial"/>
                <w:spacing w:val="-2"/>
              </w:rPr>
              <w:t>following</w:t>
            </w:r>
            <w:r>
              <w:rPr>
                <w:rFonts w:ascii="Arial"/>
                <w:spacing w:val="47"/>
              </w:rPr>
              <w:t xml:space="preserve"> </w:t>
            </w:r>
            <w:r>
              <w:rPr>
                <w:rFonts w:ascii="Arial"/>
              </w:rPr>
              <w:t>the</w:t>
            </w:r>
            <w:r>
              <w:rPr>
                <w:rFonts w:ascii="Arial"/>
                <w:spacing w:val="42"/>
              </w:rPr>
              <w:t xml:space="preserve"> </w:t>
            </w:r>
            <w:r>
              <w:rPr>
                <w:rFonts w:ascii="Arial"/>
                <w:spacing w:val="-1"/>
              </w:rPr>
              <w:t>occurrence</w:t>
            </w:r>
            <w:r>
              <w:rPr>
                <w:rFonts w:ascii="Arial"/>
                <w:spacing w:val="45"/>
              </w:rPr>
              <w:t xml:space="preserve"> </w:t>
            </w:r>
            <w:r>
              <w:rPr>
                <w:rFonts w:ascii="Arial"/>
                <w:spacing w:val="-2"/>
              </w:rPr>
              <w:t>of</w:t>
            </w:r>
            <w:r>
              <w:rPr>
                <w:rFonts w:ascii="Arial"/>
                <w:spacing w:val="48"/>
              </w:rPr>
              <w:t xml:space="preserve"> </w:t>
            </w:r>
            <w:r>
              <w:rPr>
                <w:rFonts w:ascii="Arial"/>
              </w:rPr>
              <w:t>a</w:t>
            </w:r>
            <w:r>
              <w:rPr>
                <w:rFonts w:ascii="Arial"/>
                <w:spacing w:val="42"/>
              </w:rPr>
              <w:t xml:space="preserve"> </w:t>
            </w:r>
            <w:r>
              <w:rPr>
                <w:rFonts w:ascii="Arial"/>
                <w:spacing w:val="-1"/>
              </w:rPr>
              <w:t>Disaster,</w:t>
            </w:r>
            <w:r>
              <w:rPr>
                <w:rFonts w:ascii="Arial"/>
                <w:spacing w:val="47"/>
              </w:rPr>
              <w:t xml:space="preserve"> </w:t>
            </w:r>
            <w:r>
              <w:rPr>
                <w:rFonts w:ascii="Arial"/>
                <w:spacing w:val="-1"/>
              </w:rPr>
              <w:t>as</w:t>
            </w:r>
            <w:r>
              <w:rPr>
                <w:rFonts w:ascii="Arial"/>
                <w:spacing w:val="31"/>
              </w:rPr>
              <w:t xml:space="preserve"> </w:t>
            </w:r>
            <w:r>
              <w:rPr>
                <w:rFonts w:ascii="Arial"/>
                <w:spacing w:val="-1"/>
              </w:rPr>
              <w:t>detailed</w:t>
            </w:r>
            <w:r>
              <w:rPr>
                <w:rFonts w:ascii="Arial"/>
                <w:spacing w:val="17"/>
              </w:rPr>
              <w:t xml:space="preserve"> </w:t>
            </w:r>
            <w:r>
              <w:rPr>
                <w:rFonts w:ascii="Arial"/>
                <w:spacing w:val="-1"/>
              </w:rPr>
              <w:t>further</w:t>
            </w:r>
            <w:r>
              <w:rPr>
                <w:rFonts w:ascii="Arial"/>
                <w:spacing w:val="19"/>
              </w:rPr>
              <w:t xml:space="preserve"> </w:t>
            </w:r>
            <w:r>
              <w:rPr>
                <w:rFonts w:ascii="Arial"/>
                <w:spacing w:val="-1"/>
              </w:rPr>
              <w:t>in</w:t>
            </w:r>
            <w:r>
              <w:rPr>
                <w:rFonts w:ascii="Arial"/>
                <w:spacing w:val="18"/>
              </w:rPr>
              <w:t xml:space="preserve"> </w:t>
            </w:r>
            <w:r>
              <w:rPr>
                <w:rFonts w:ascii="Arial"/>
                <w:spacing w:val="-2"/>
              </w:rPr>
              <w:t>Call</w:t>
            </w:r>
            <w:r>
              <w:rPr>
                <w:rFonts w:ascii="Arial"/>
                <w:spacing w:val="17"/>
              </w:rPr>
              <w:t xml:space="preserve"> </w:t>
            </w:r>
            <w:r>
              <w:rPr>
                <w:rFonts w:ascii="Arial"/>
              </w:rPr>
              <w:t>Off</w:t>
            </w:r>
            <w:r>
              <w:rPr>
                <w:rFonts w:ascii="Arial"/>
                <w:spacing w:val="21"/>
              </w:rPr>
              <w:t xml:space="preserve"> </w:t>
            </w:r>
            <w:r>
              <w:rPr>
                <w:rFonts w:ascii="Arial"/>
                <w:spacing w:val="-1"/>
              </w:rPr>
              <w:t>Schedule</w:t>
            </w:r>
            <w:r>
              <w:rPr>
                <w:rFonts w:ascii="Arial"/>
                <w:spacing w:val="18"/>
              </w:rPr>
              <w:t xml:space="preserve"> </w:t>
            </w:r>
            <w:r>
              <w:rPr>
                <w:rFonts w:ascii="Arial"/>
              </w:rPr>
              <w:t>9</w:t>
            </w:r>
            <w:r>
              <w:rPr>
                <w:rFonts w:ascii="Arial"/>
                <w:spacing w:val="17"/>
              </w:rPr>
              <w:t xml:space="preserve"> </w:t>
            </w:r>
            <w:r>
              <w:rPr>
                <w:rFonts w:ascii="Arial"/>
                <w:spacing w:val="-2"/>
              </w:rPr>
              <w:t>(Business</w:t>
            </w:r>
            <w:r>
              <w:rPr>
                <w:rFonts w:ascii="Arial"/>
                <w:spacing w:val="42"/>
              </w:rPr>
              <w:t xml:space="preserve"> </w:t>
            </w:r>
            <w:r>
              <w:rPr>
                <w:rFonts w:ascii="Arial"/>
                <w:spacing w:val="-1"/>
              </w:rPr>
              <w:t>Continuity</w:t>
            </w:r>
            <w:r>
              <w:rPr>
                <w:rFonts w:ascii="Arial"/>
                <w:spacing w:val="-2"/>
              </w:rPr>
              <w:t xml:space="preserve"> </w:t>
            </w:r>
            <w:r>
              <w:rPr>
                <w:rFonts w:ascii="Arial"/>
                <w:spacing w:val="-1"/>
              </w:rPr>
              <w:t>and</w:t>
            </w:r>
            <w:r>
              <w:rPr>
                <w:rFonts w:ascii="Arial"/>
              </w:rPr>
              <w:t xml:space="preserve"> </w:t>
            </w:r>
            <w:r>
              <w:rPr>
                <w:rFonts w:ascii="Arial"/>
                <w:spacing w:val="-1"/>
              </w:rPr>
              <w:t>Disaster</w:t>
            </w:r>
            <w:r>
              <w:rPr>
                <w:rFonts w:ascii="Arial"/>
                <w:spacing w:val="-3"/>
              </w:rPr>
              <w:t xml:space="preserve"> </w:t>
            </w:r>
            <w:r>
              <w:rPr>
                <w:rFonts w:ascii="Arial"/>
                <w:spacing w:val="-1"/>
              </w:rPr>
              <w:t>Recovery);</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"Disclosing</w:t>
            </w:r>
            <w:r>
              <w:rPr>
                <w:rFonts w:ascii="Arial"/>
                <w:b/>
                <w:spacing w:val="-2"/>
              </w:rPr>
              <w:t xml:space="preserve"> Party"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tabs>
                <w:tab w:val="left" w:pos="860"/>
                <w:tab w:val="left" w:pos="1402"/>
                <w:tab w:val="left" w:pos="2479"/>
                <w:tab w:val="left" w:pos="3237"/>
                <w:tab w:val="left" w:pos="3657"/>
                <w:tab w:val="left" w:pos="4003"/>
                <w:tab w:val="left" w:pos="4408"/>
                <w:tab w:val="left" w:pos="5331"/>
              </w:tabs>
              <w:ind w:left="270" w:right="97"/>
              <w:rPr>
                <w:rFonts w:ascii="Arial" w:eastAsia="Arial" w:hAnsi="Arial" w:cs="Arial"/>
              </w:rPr>
            </w:pPr>
            <w:r>
              <w:rPr>
                <w:rFonts w:ascii="Arial"/>
                <w:spacing w:val="-1"/>
              </w:rPr>
              <w:t>has</w:t>
            </w:r>
            <w:r>
              <w:rPr>
                <w:rFonts w:ascii="Arial"/>
                <w:spacing w:val="-1"/>
              </w:rPr>
              <w:tab/>
            </w:r>
            <w:r>
              <w:rPr>
                <w:rFonts w:ascii="Arial"/>
              </w:rPr>
              <w:t>the</w:t>
            </w:r>
            <w:r>
              <w:rPr>
                <w:rFonts w:ascii="Arial"/>
              </w:rPr>
              <w:tab/>
            </w:r>
            <w:r>
              <w:rPr>
                <w:rFonts w:ascii="Arial"/>
                <w:spacing w:val="-2"/>
              </w:rPr>
              <w:t>meaning</w:t>
            </w:r>
            <w:r>
              <w:rPr>
                <w:rFonts w:ascii="Arial"/>
                <w:spacing w:val="-2"/>
              </w:rPr>
              <w:tab/>
              <w:t>given</w:t>
            </w:r>
            <w:r>
              <w:rPr>
                <w:rFonts w:ascii="Arial"/>
                <w:spacing w:val="-2"/>
              </w:rPr>
              <w:tab/>
            </w:r>
            <w:r>
              <w:rPr>
                <w:rFonts w:ascii="Arial"/>
              </w:rPr>
              <w:t>to</w:t>
            </w:r>
            <w:r>
              <w:rPr>
                <w:rFonts w:ascii="Arial"/>
              </w:rPr>
              <w:tab/>
            </w:r>
            <w:r>
              <w:rPr>
                <w:rFonts w:ascii="Arial"/>
                <w:spacing w:val="-1"/>
              </w:rPr>
              <w:t>it</w:t>
            </w:r>
            <w:r>
              <w:rPr>
                <w:rFonts w:ascii="Arial"/>
                <w:spacing w:val="-1"/>
              </w:rPr>
              <w:tab/>
            </w:r>
            <w:r>
              <w:rPr>
                <w:rFonts w:ascii="Arial"/>
                <w:spacing w:val="-1"/>
                <w:w w:val="95"/>
              </w:rPr>
              <w:t>in</w:t>
            </w:r>
            <w:r>
              <w:rPr>
                <w:rFonts w:ascii="Arial"/>
                <w:spacing w:val="-1"/>
                <w:w w:val="95"/>
              </w:rPr>
              <w:tab/>
            </w:r>
            <w:r>
              <w:rPr>
                <w:rFonts w:ascii="Arial"/>
                <w:spacing w:val="-2"/>
              </w:rPr>
              <w:t>Clause</w:t>
            </w:r>
            <w:r>
              <w:rPr>
                <w:rFonts w:ascii="Arial"/>
                <w:spacing w:val="-2"/>
              </w:rPr>
              <w:tab/>
            </w:r>
            <w:hyperlink w:anchor="_bookmark185" w:history="1">
              <w:r>
                <w:rPr>
                  <w:rFonts w:ascii="Arial"/>
                  <w:spacing w:val="-1"/>
                </w:rPr>
                <w:t>34.3.1</w:t>
              </w:r>
            </w:hyperlink>
            <w:r>
              <w:rPr>
                <w:rFonts w:ascii="Arial"/>
                <w:spacing w:val="45"/>
              </w:rPr>
              <w:t xml:space="preserve"> </w:t>
            </w:r>
            <w:r>
              <w:rPr>
                <w:rFonts w:ascii="Arial"/>
                <w:spacing w:val="-1"/>
              </w:rPr>
              <w:t>(Confidentiality);</w:t>
            </w:r>
          </w:p>
        </w:tc>
      </w:tr>
      <w:tr w:rsidR="008918FA" w:rsidTr="005D2B81">
        <w:trPr>
          <w:trHeight w:hRule="exact" w:val="384"/>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"Dispute"</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tabs>
                <w:tab w:val="left" w:pos="1217"/>
                <w:tab w:val="left" w:pos="1855"/>
                <w:tab w:val="left" w:pos="2911"/>
                <w:tab w:val="left" w:pos="4163"/>
                <w:tab w:val="left" w:pos="4643"/>
                <w:tab w:val="left" w:pos="5759"/>
              </w:tabs>
              <w:spacing w:line="252" w:lineRule="exact"/>
              <w:ind w:left="270"/>
              <w:rPr>
                <w:rFonts w:ascii="Arial" w:eastAsia="Arial" w:hAnsi="Arial" w:cs="Arial"/>
              </w:rPr>
            </w:pPr>
            <w:r>
              <w:rPr>
                <w:rFonts w:ascii="Arial"/>
                <w:spacing w:val="-1"/>
              </w:rPr>
              <w:t>means</w:t>
            </w:r>
            <w:r>
              <w:rPr>
                <w:rFonts w:ascii="Arial"/>
                <w:spacing w:val="-1"/>
              </w:rPr>
              <w:tab/>
              <w:t>any</w:t>
            </w:r>
            <w:r>
              <w:rPr>
                <w:rFonts w:ascii="Arial"/>
                <w:spacing w:val="-1"/>
              </w:rPr>
              <w:tab/>
              <w:t>dispute,</w:t>
            </w:r>
            <w:r>
              <w:rPr>
                <w:rFonts w:ascii="Arial"/>
                <w:spacing w:val="-1"/>
              </w:rPr>
              <w:tab/>
              <w:t>difference</w:t>
            </w:r>
            <w:r>
              <w:rPr>
                <w:rFonts w:ascii="Arial"/>
                <w:spacing w:val="-1"/>
              </w:rPr>
              <w:tab/>
              <w:t>or</w:t>
            </w:r>
            <w:r>
              <w:rPr>
                <w:rFonts w:ascii="Arial"/>
                <w:spacing w:val="-1"/>
              </w:rPr>
              <w:tab/>
            </w:r>
            <w:r>
              <w:rPr>
                <w:rFonts w:ascii="Arial"/>
                <w:spacing w:val="-1"/>
                <w:w w:val="95"/>
              </w:rPr>
              <w:t>question</w:t>
            </w:r>
            <w:r>
              <w:rPr>
                <w:rFonts w:ascii="Arial"/>
                <w:spacing w:val="-1"/>
                <w:w w:val="95"/>
              </w:rPr>
              <w:tab/>
            </w:r>
            <w:r>
              <w:rPr>
                <w:rFonts w:ascii="Arial"/>
                <w:spacing w:val="-2"/>
              </w:rPr>
              <w:t>of</w:t>
            </w:r>
          </w:p>
        </w:tc>
      </w:tr>
    </w:tbl>
    <w:p w:rsidR="008918FA" w:rsidRDefault="008918FA" w:rsidP="008918FA">
      <w:pPr>
        <w:spacing w:line="252" w:lineRule="exact"/>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1906"/>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interpretation</w:t>
            </w:r>
            <w:r>
              <w:rPr>
                <w:rFonts w:ascii="Arial"/>
                <w:spacing w:val="17"/>
              </w:rPr>
              <w:t xml:space="preserve"> </w:t>
            </w:r>
            <w:r>
              <w:rPr>
                <w:rFonts w:ascii="Arial"/>
                <w:spacing w:val="-2"/>
              </w:rPr>
              <w:t>arising</w:t>
            </w:r>
            <w:r>
              <w:rPr>
                <w:rFonts w:ascii="Arial"/>
                <w:spacing w:val="20"/>
              </w:rPr>
              <w:t xml:space="preserve"> </w:t>
            </w:r>
            <w:r>
              <w:rPr>
                <w:rFonts w:ascii="Arial"/>
                <w:spacing w:val="-2"/>
              </w:rPr>
              <w:t>out</w:t>
            </w:r>
            <w:r>
              <w:rPr>
                <w:rFonts w:ascii="Arial"/>
                <w:spacing w:val="16"/>
              </w:rPr>
              <w:t xml:space="preserve"> </w:t>
            </w:r>
            <w:r>
              <w:rPr>
                <w:rFonts w:ascii="Arial"/>
                <w:spacing w:val="-2"/>
              </w:rPr>
              <w:t>of</w:t>
            </w:r>
            <w:r>
              <w:rPr>
                <w:rFonts w:ascii="Arial"/>
                <w:spacing w:val="21"/>
              </w:rPr>
              <w:t xml:space="preserve"> </w:t>
            </w:r>
            <w:r>
              <w:rPr>
                <w:rFonts w:ascii="Arial"/>
                <w:spacing w:val="-1"/>
              </w:rPr>
              <w:t>or</w:t>
            </w:r>
            <w:r>
              <w:rPr>
                <w:rFonts w:ascii="Arial"/>
                <w:spacing w:val="16"/>
              </w:rPr>
              <w:t xml:space="preserve"> </w:t>
            </w:r>
            <w:r>
              <w:rPr>
                <w:rFonts w:ascii="Arial"/>
                <w:spacing w:val="-1"/>
              </w:rPr>
              <w:t>in</w:t>
            </w:r>
            <w:r>
              <w:rPr>
                <w:rFonts w:ascii="Arial"/>
                <w:spacing w:val="17"/>
              </w:rPr>
              <w:t xml:space="preserve"> </w:t>
            </w:r>
            <w:r>
              <w:rPr>
                <w:rFonts w:ascii="Arial"/>
                <w:spacing w:val="-1"/>
              </w:rPr>
              <w:t>connection</w:t>
            </w:r>
            <w:r>
              <w:rPr>
                <w:rFonts w:ascii="Arial"/>
                <w:spacing w:val="17"/>
              </w:rPr>
              <w:t xml:space="preserve"> </w:t>
            </w:r>
            <w:r>
              <w:rPr>
                <w:rFonts w:ascii="Arial"/>
                <w:spacing w:val="-2"/>
              </w:rPr>
              <w:t>with</w:t>
            </w:r>
            <w:r>
              <w:rPr>
                <w:rFonts w:ascii="Arial"/>
                <w:spacing w:val="17"/>
              </w:rPr>
              <w:t xml:space="preserve"> </w:t>
            </w:r>
            <w:r>
              <w:rPr>
                <w:rFonts w:ascii="Arial"/>
                <w:spacing w:val="-1"/>
              </w:rPr>
              <w:t>this</w:t>
            </w:r>
            <w:r>
              <w:rPr>
                <w:rFonts w:ascii="Arial"/>
                <w:spacing w:val="18"/>
              </w:rPr>
              <w:t xml:space="preserve"> </w:t>
            </w:r>
            <w:r>
              <w:rPr>
                <w:rFonts w:ascii="Arial"/>
                <w:spacing w:val="-2"/>
              </w:rPr>
              <w:t>Call</w:t>
            </w:r>
            <w:r>
              <w:rPr>
                <w:rFonts w:ascii="Arial"/>
                <w:spacing w:val="51"/>
              </w:rPr>
              <w:t xml:space="preserve"> </w:t>
            </w:r>
            <w:r>
              <w:rPr>
                <w:rFonts w:ascii="Arial"/>
                <w:spacing w:val="-1"/>
              </w:rPr>
              <w:t>Off</w:t>
            </w:r>
            <w:r>
              <w:rPr>
                <w:rFonts w:ascii="Arial"/>
                <w:spacing w:val="11"/>
              </w:rPr>
              <w:t xml:space="preserve"> </w:t>
            </w:r>
            <w:r>
              <w:rPr>
                <w:rFonts w:ascii="Arial"/>
                <w:spacing w:val="-1"/>
              </w:rPr>
              <w:t>Contract,</w:t>
            </w:r>
            <w:r>
              <w:rPr>
                <w:rFonts w:ascii="Arial"/>
                <w:spacing w:val="11"/>
              </w:rPr>
              <w:t xml:space="preserve"> </w:t>
            </w:r>
            <w:r>
              <w:rPr>
                <w:rFonts w:ascii="Arial"/>
                <w:spacing w:val="-2"/>
              </w:rPr>
              <w:t>including</w:t>
            </w:r>
            <w:r>
              <w:rPr>
                <w:rFonts w:ascii="Arial"/>
                <w:spacing w:val="10"/>
              </w:rPr>
              <w:t xml:space="preserve"> </w:t>
            </w:r>
            <w:r>
              <w:rPr>
                <w:rFonts w:ascii="Arial"/>
                <w:spacing w:val="-2"/>
              </w:rPr>
              <w:t>any</w:t>
            </w:r>
            <w:r>
              <w:rPr>
                <w:rFonts w:ascii="Arial"/>
                <w:spacing w:val="8"/>
              </w:rPr>
              <w:t xml:space="preserve"> </w:t>
            </w:r>
            <w:r>
              <w:rPr>
                <w:rFonts w:ascii="Arial"/>
                <w:spacing w:val="-1"/>
              </w:rPr>
              <w:t>dispute,</w:t>
            </w:r>
            <w:r>
              <w:rPr>
                <w:rFonts w:ascii="Arial"/>
                <w:spacing w:val="11"/>
              </w:rPr>
              <w:t xml:space="preserve"> </w:t>
            </w:r>
            <w:r>
              <w:rPr>
                <w:rFonts w:ascii="Arial"/>
                <w:spacing w:val="-1"/>
              </w:rPr>
              <w:t>difference</w:t>
            </w:r>
            <w:r>
              <w:rPr>
                <w:rFonts w:ascii="Arial"/>
                <w:spacing w:val="10"/>
              </w:rPr>
              <w:t xml:space="preserve"> </w:t>
            </w:r>
            <w:r>
              <w:rPr>
                <w:rFonts w:ascii="Arial"/>
                <w:spacing w:val="-2"/>
              </w:rPr>
              <w:t>or</w:t>
            </w:r>
            <w:r>
              <w:rPr>
                <w:rFonts w:ascii="Arial"/>
                <w:spacing w:val="9"/>
              </w:rPr>
              <w:t xml:space="preserve"> </w:t>
            </w:r>
            <w:r>
              <w:rPr>
                <w:rFonts w:ascii="Arial"/>
                <w:spacing w:val="-1"/>
              </w:rPr>
              <w:t>question</w:t>
            </w:r>
            <w:r>
              <w:rPr>
                <w:rFonts w:ascii="Arial"/>
                <w:spacing w:val="42"/>
              </w:rPr>
              <w:t xml:space="preserve"> </w:t>
            </w:r>
            <w:r>
              <w:rPr>
                <w:rFonts w:ascii="Arial"/>
                <w:spacing w:val="-2"/>
              </w:rPr>
              <w:t>of</w:t>
            </w:r>
            <w:r>
              <w:rPr>
                <w:rFonts w:ascii="Arial"/>
                <w:spacing w:val="59"/>
              </w:rPr>
              <w:t xml:space="preserve"> </w:t>
            </w:r>
            <w:r>
              <w:rPr>
                <w:rFonts w:ascii="Arial"/>
                <w:spacing w:val="-1"/>
              </w:rPr>
              <w:t>interpretation</w:t>
            </w:r>
            <w:r>
              <w:rPr>
                <w:rFonts w:ascii="Arial"/>
                <w:spacing w:val="55"/>
              </w:rPr>
              <w:t xml:space="preserve"> </w:t>
            </w:r>
            <w:r>
              <w:rPr>
                <w:rFonts w:ascii="Arial"/>
                <w:spacing w:val="-1"/>
              </w:rPr>
              <w:t>relating</w:t>
            </w:r>
            <w:r>
              <w:rPr>
                <w:rFonts w:ascii="Arial"/>
                <w:spacing w:val="55"/>
              </w:rPr>
              <w:t xml:space="preserve"> </w:t>
            </w:r>
            <w:r>
              <w:rPr>
                <w:rFonts w:ascii="Arial"/>
              </w:rPr>
              <w:t>to</w:t>
            </w:r>
            <w:r>
              <w:rPr>
                <w:rFonts w:ascii="Arial"/>
                <w:spacing w:val="53"/>
              </w:rPr>
              <w:t xml:space="preserve"> </w:t>
            </w:r>
            <w:r>
              <w:rPr>
                <w:rFonts w:ascii="Arial"/>
              </w:rPr>
              <w:t>the</w:t>
            </w:r>
            <w:r>
              <w:rPr>
                <w:rFonts w:ascii="Arial"/>
                <w:spacing w:val="53"/>
              </w:rPr>
              <w:t xml:space="preserve"> </w:t>
            </w:r>
            <w:r>
              <w:rPr>
                <w:rFonts w:ascii="Arial"/>
                <w:spacing w:val="-1"/>
              </w:rPr>
              <w:t>Goods</w:t>
            </w:r>
            <w:r>
              <w:rPr>
                <w:rFonts w:ascii="Arial"/>
                <w:spacing w:val="56"/>
              </w:rPr>
              <w:t xml:space="preserve"> </w:t>
            </w:r>
            <w:r>
              <w:rPr>
                <w:rFonts w:ascii="Arial"/>
                <w:spacing w:val="-1"/>
              </w:rPr>
              <w:t>and/or</w:t>
            </w:r>
            <w:r>
              <w:rPr>
                <w:rFonts w:ascii="Arial"/>
                <w:spacing w:val="55"/>
              </w:rPr>
              <w:t xml:space="preserve"> </w:t>
            </w:r>
            <w:r>
              <w:rPr>
                <w:rFonts w:ascii="Arial"/>
                <w:spacing w:val="-2"/>
              </w:rPr>
              <w:t>Services,</w:t>
            </w:r>
            <w:r>
              <w:rPr>
                <w:rFonts w:ascii="Arial"/>
                <w:spacing w:val="32"/>
              </w:rPr>
              <w:t xml:space="preserve"> </w:t>
            </w:r>
            <w:r>
              <w:rPr>
                <w:rFonts w:ascii="Arial"/>
                <w:spacing w:val="-1"/>
              </w:rPr>
              <w:t>failure</w:t>
            </w:r>
            <w:r>
              <w:rPr>
                <w:rFonts w:ascii="Arial"/>
                <w:spacing w:val="24"/>
              </w:rPr>
              <w:t xml:space="preserve"> </w:t>
            </w:r>
            <w:r>
              <w:rPr>
                <w:rFonts w:ascii="Arial"/>
              </w:rPr>
              <w:t>to</w:t>
            </w:r>
            <w:r>
              <w:rPr>
                <w:rFonts w:ascii="Arial"/>
                <w:spacing w:val="22"/>
              </w:rPr>
              <w:t xml:space="preserve"> </w:t>
            </w:r>
            <w:r>
              <w:rPr>
                <w:rFonts w:ascii="Arial"/>
                <w:spacing w:val="-1"/>
              </w:rPr>
              <w:t>agree</w:t>
            </w:r>
            <w:r>
              <w:rPr>
                <w:rFonts w:ascii="Arial"/>
                <w:spacing w:val="22"/>
              </w:rPr>
              <w:t xml:space="preserve"> </w:t>
            </w:r>
            <w:r>
              <w:rPr>
                <w:rFonts w:ascii="Arial"/>
                <w:spacing w:val="-1"/>
              </w:rPr>
              <w:t>in</w:t>
            </w:r>
            <w:r>
              <w:rPr>
                <w:rFonts w:ascii="Arial"/>
                <w:spacing w:val="22"/>
              </w:rPr>
              <w:t xml:space="preserve"> </w:t>
            </w:r>
            <w:r>
              <w:rPr>
                <w:rFonts w:ascii="Arial"/>
                <w:spacing w:val="-1"/>
              </w:rPr>
              <w:t>accordance</w:t>
            </w:r>
            <w:r>
              <w:rPr>
                <w:rFonts w:ascii="Arial"/>
                <w:spacing w:val="25"/>
              </w:rPr>
              <w:t xml:space="preserve"> </w:t>
            </w:r>
            <w:r>
              <w:rPr>
                <w:rFonts w:ascii="Arial"/>
                <w:spacing w:val="-1"/>
              </w:rPr>
              <w:t>with</w:t>
            </w:r>
            <w:r>
              <w:rPr>
                <w:rFonts w:ascii="Arial"/>
                <w:spacing w:val="24"/>
              </w:rPr>
              <w:t xml:space="preserve"> </w:t>
            </w:r>
            <w:r>
              <w:rPr>
                <w:rFonts w:ascii="Arial"/>
              </w:rPr>
              <w:t>the</w:t>
            </w:r>
            <w:r>
              <w:rPr>
                <w:rFonts w:ascii="Arial"/>
                <w:spacing w:val="22"/>
              </w:rPr>
              <w:t xml:space="preserve"> </w:t>
            </w:r>
            <w:r>
              <w:rPr>
                <w:rFonts w:ascii="Arial"/>
                <w:spacing w:val="-1"/>
              </w:rPr>
              <w:t>Variation</w:t>
            </w:r>
            <w:r>
              <w:rPr>
                <w:rFonts w:ascii="Arial"/>
                <w:spacing w:val="20"/>
              </w:rPr>
              <w:t xml:space="preserve"> </w:t>
            </w:r>
            <w:r>
              <w:rPr>
                <w:rFonts w:ascii="Arial"/>
                <w:spacing w:val="-1"/>
              </w:rPr>
              <w:t>Procedure</w:t>
            </w:r>
            <w:r>
              <w:rPr>
                <w:rFonts w:ascii="Arial"/>
                <w:spacing w:val="6"/>
              </w:rPr>
              <w:t xml:space="preserve"> </w:t>
            </w:r>
            <w:r>
              <w:rPr>
                <w:rFonts w:ascii="Arial"/>
                <w:spacing w:val="-1"/>
              </w:rPr>
              <w:t>or</w:t>
            </w:r>
            <w:r>
              <w:rPr>
                <w:rFonts w:ascii="Arial"/>
                <w:spacing w:val="8"/>
              </w:rPr>
              <w:t xml:space="preserve"> </w:t>
            </w:r>
            <w:r>
              <w:rPr>
                <w:rFonts w:ascii="Arial"/>
                <w:spacing w:val="-1"/>
              </w:rPr>
              <w:t>any</w:t>
            </w:r>
            <w:r>
              <w:rPr>
                <w:rFonts w:ascii="Arial"/>
                <w:spacing w:val="4"/>
              </w:rPr>
              <w:t xml:space="preserve"> </w:t>
            </w:r>
            <w:r>
              <w:rPr>
                <w:rFonts w:ascii="Arial"/>
                <w:spacing w:val="-1"/>
              </w:rPr>
              <w:t>matter</w:t>
            </w:r>
            <w:r>
              <w:rPr>
                <w:rFonts w:ascii="Arial"/>
                <w:spacing w:val="8"/>
              </w:rPr>
              <w:t xml:space="preserve"> </w:t>
            </w:r>
            <w:r>
              <w:rPr>
                <w:rFonts w:ascii="Arial"/>
                <w:spacing w:val="-2"/>
              </w:rPr>
              <w:t>where</w:t>
            </w:r>
            <w:r>
              <w:rPr>
                <w:rFonts w:ascii="Arial"/>
                <w:spacing w:val="6"/>
              </w:rPr>
              <w:t xml:space="preserve"> </w:t>
            </w:r>
            <w:r>
              <w:rPr>
                <w:rFonts w:ascii="Arial"/>
                <w:spacing w:val="-1"/>
              </w:rPr>
              <w:t>this</w:t>
            </w:r>
            <w:r>
              <w:rPr>
                <w:rFonts w:ascii="Arial"/>
                <w:spacing w:val="7"/>
              </w:rPr>
              <w:t xml:space="preserve"> </w:t>
            </w:r>
            <w:r>
              <w:rPr>
                <w:rFonts w:ascii="Arial"/>
                <w:spacing w:val="-2"/>
              </w:rPr>
              <w:t>Call</w:t>
            </w:r>
            <w:r>
              <w:rPr>
                <w:rFonts w:ascii="Arial"/>
                <w:spacing w:val="6"/>
              </w:rPr>
              <w:t xml:space="preserve"> </w:t>
            </w:r>
            <w:r>
              <w:rPr>
                <w:rFonts w:ascii="Arial"/>
              </w:rPr>
              <w:t>Off</w:t>
            </w:r>
            <w:r>
              <w:rPr>
                <w:rFonts w:ascii="Arial"/>
                <w:spacing w:val="8"/>
              </w:rPr>
              <w:t xml:space="preserve"> </w:t>
            </w:r>
            <w:r>
              <w:rPr>
                <w:rFonts w:ascii="Arial"/>
                <w:spacing w:val="-1"/>
              </w:rPr>
              <w:t>Contract</w:t>
            </w:r>
            <w:r>
              <w:rPr>
                <w:rFonts w:ascii="Arial"/>
                <w:spacing w:val="37"/>
              </w:rPr>
              <w:t xml:space="preserve"> </w:t>
            </w:r>
            <w:r>
              <w:rPr>
                <w:rFonts w:ascii="Arial"/>
                <w:spacing w:val="-1"/>
              </w:rPr>
              <w:t>directs</w:t>
            </w:r>
            <w:r>
              <w:rPr>
                <w:rFonts w:ascii="Arial"/>
                <w:spacing w:val="10"/>
              </w:rPr>
              <w:t xml:space="preserve"> </w:t>
            </w:r>
            <w:r>
              <w:rPr>
                <w:rFonts w:ascii="Arial"/>
              </w:rPr>
              <w:t>the</w:t>
            </w:r>
            <w:r>
              <w:rPr>
                <w:rFonts w:ascii="Arial"/>
                <w:spacing w:val="12"/>
              </w:rPr>
              <w:t xml:space="preserve"> </w:t>
            </w:r>
            <w:r>
              <w:rPr>
                <w:rFonts w:ascii="Arial"/>
                <w:spacing w:val="-1"/>
              </w:rPr>
              <w:t>Parties</w:t>
            </w:r>
            <w:r>
              <w:rPr>
                <w:rFonts w:ascii="Arial"/>
                <w:spacing w:val="10"/>
              </w:rPr>
              <w:t xml:space="preserve"> </w:t>
            </w:r>
            <w:r>
              <w:rPr>
                <w:rFonts w:ascii="Arial"/>
              </w:rPr>
              <w:t>to</w:t>
            </w:r>
            <w:r>
              <w:rPr>
                <w:rFonts w:ascii="Arial"/>
                <w:spacing w:val="10"/>
              </w:rPr>
              <w:t xml:space="preserve"> </w:t>
            </w:r>
            <w:r>
              <w:rPr>
                <w:rFonts w:ascii="Arial"/>
                <w:spacing w:val="-2"/>
              </w:rPr>
              <w:t>resolve</w:t>
            </w:r>
            <w:r>
              <w:rPr>
                <w:rFonts w:ascii="Arial"/>
                <w:spacing w:val="12"/>
              </w:rPr>
              <w:t xml:space="preserve"> </w:t>
            </w:r>
            <w:r>
              <w:rPr>
                <w:rFonts w:ascii="Arial"/>
                <w:spacing w:val="-1"/>
              </w:rPr>
              <w:t>an</w:t>
            </w:r>
            <w:r>
              <w:rPr>
                <w:rFonts w:ascii="Arial"/>
                <w:spacing w:val="12"/>
              </w:rPr>
              <w:t xml:space="preserve"> </w:t>
            </w:r>
            <w:r>
              <w:rPr>
                <w:rFonts w:ascii="Arial"/>
                <w:spacing w:val="-1"/>
              </w:rPr>
              <w:t>issue</w:t>
            </w:r>
            <w:r>
              <w:rPr>
                <w:rFonts w:ascii="Arial"/>
                <w:spacing w:val="12"/>
              </w:rPr>
              <w:t xml:space="preserve"> </w:t>
            </w:r>
            <w:r>
              <w:rPr>
                <w:rFonts w:ascii="Arial"/>
                <w:spacing w:val="-1"/>
              </w:rPr>
              <w:t>by</w:t>
            </w:r>
            <w:r>
              <w:rPr>
                <w:rFonts w:ascii="Arial"/>
                <w:spacing w:val="10"/>
              </w:rPr>
              <w:t xml:space="preserve"> </w:t>
            </w:r>
            <w:r>
              <w:rPr>
                <w:rFonts w:ascii="Arial"/>
                <w:spacing w:val="-1"/>
              </w:rPr>
              <w:t>reference</w:t>
            </w:r>
            <w:r>
              <w:rPr>
                <w:rFonts w:ascii="Arial"/>
                <w:spacing w:val="13"/>
              </w:rPr>
              <w:t xml:space="preserve"> </w:t>
            </w:r>
            <w:r>
              <w:rPr>
                <w:rFonts w:ascii="Arial"/>
              </w:rPr>
              <w:t>to</w:t>
            </w:r>
            <w:r>
              <w:rPr>
                <w:rFonts w:ascii="Arial"/>
                <w:spacing w:val="10"/>
              </w:rPr>
              <w:t xml:space="preserve"> </w:t>
            </w:r>
            <w:r>
              <w:rPr>
                <w:rFonts w:ascii="Arial"/>
                <w:spacing w:val="-1"/>
              </w:rPr>
              <w:t>the</w:t>
            </w:r>
            <w:r>
              <w:rPr>
                <w:rFonts w:ascii="Arial"/>
                <w:spacing w:val="35"/>
              </w:rPr>
              <w:t xml:space="preserve"> </w:t>
            </w:r>
            <w:r>
              <w:rPr>
                <w:rFonts w:ascii="Arial"/>
                <w:spacing w:val="-1"/>
              </w:rPr>
              <w:t>Dispute</w:t>
            </w:r>
            <w:r>
              <w:rPr>
                <w:rFonts w:ascii="Arial"/>
              </w:rPr>
              <w:t xml:space="preserve"> </w:t>
            </w:r>
            <w:r>
              <w:rPr>
                <w:rFonts w:ascii="Arial"/>
                <w:spacing w:val="-1"/>
              </w:rPr>
              <w:t>Resolution</w:t>
            </w:r>
            <w:r>
              <w:rPr>
                <w:rFonts w:ascii="Arial"/>
              </w:rPr>
              <w:t xml:space="preserve"> </w:t>
            </w:r>
            <w:r>
              <w:rPr>
                <w:rFonts w:ascii="Arial"/>
                <w:spacing w:val="-2"/>
              </w:rPr>
              <w:t>Procedure;</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"Dispute</w:t>
            </w:r>
            <w:r>
              <w:rPr>
                <w:rFonts w:ascii="Arial"/>
                <w:b/>
                <w:spacing w:val="-2"/>
              </w:rPr>
              <w:t xml:space="preserve"> </w:t>
            </w:r>
            <w:r>
              <w:rPr>
                <w:rFonts w:ascii="Arial"/>
                <w:b/>
                <w:spacing w:val="-1"/>
              </w:rPr>
              <w:t>Notice"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22"/>
              </w:rPr>
              <w:t xml:space="preserve"> </w:t>
            </w:r>
            <w:r>
              <w:rPr>
                <w:rFonts w:ascii="Arial"/>
              </w:rPr>
              <w:t>a</w:t>
            </w:r>
            <w:r>
              <w:rPr>
                <w:rFonts w:ascii="Arial"/>
                <w:spacing w:val="19"/>
              </w:rPr>
              <w:t xml:space="preserve"> </w:t>
            </w:r>
            <w:r>
              <w:rPr>
                <w:rFonts w:ascii="Arial"/>
                <w:spacing w:val="-1"/>
              </w:rPr>
              <w:t>written</w:t>
            </w:r>
            <w:r>
              <w:rPr>
                <w:rFonts w:ascii="Arial"/>
                <w:spacing w:val="22"/>
              </w:rPr>
              <w:t xml:space="preserve"> </w:t>
            </w:r>
            <w:r>
              <w:rPr>
                <w:rFonts w:ascii="Arial"/>
                <w:spacing w:val="-1"/>
              </w:rPr>
              <w:t>notice</w:t>
            </w:r>
            <w:r>
              <w:rPr>
                <w:rFonts w:ascii="Arial"/>
                <w:spacing w:val="20"/>
              </w:rPr>
              <w:t xml:space="preserve"> </w:t>
            </w:r>
            <w:r>
              <w:rPr>
                <w:rFonts w:ascii="Arial"/>
                <w:spacing w:val="-1"/>
              </w:rPr>
              <w:t>served</w:t>
            </w:r>
            <w:r>
              <w:rPr>
                <w:rFonts w:ascii="Arial"/>
                <w:spacing w:val="22"/>
              </w:rPr>
              <w:t xml:space="preserve"> </w:t>
            </w:r>
            <w:r>
              <w:rPr>
                <w:rFonts w:ascii="Arial"/>
                <w:spacing w:val="-1"/>
              </w:rPr>
              <w:t>by</w:t>
            </w:r>
            <w:r>
              <w:rPr>
                <w:rFonts w:ascii="Arial"/>
                <w:spacing w:val="20"/>
              </w:rPr>
              <w:t xml:space="preserve"> </w:t>
            </w:r>
            <w:r>
              <w:rPr>
                <w:rFonts w:ascii="Arial"/>
                <w:spacing w:val="-1"/>
              </w:rPr>
              <w:t>one</w:t>
            </w:r>
            <w:r>
              <w:rPr>
                <w:rFonts w:ascii="Arial"/>
                <w:spacing w:val="22"/>
              </w:rPr>
              <w:t xml:space="preserve"> </w:t>
            </w:r>
            <w:r>
              <w:rPr>
                <w:rFonts w:ascii="Arial"/>
                <w:spacing w:val="-1"/>
              </w:rPr>
              <w:t>Party</w:t>
            </w:r>
            <w:r>
              <w:rPr>
                <w:rFonts w:ascii="Arial"/>
                <w:spacing w:val="20"/>
              </w:rPr>
              <w:t xml:space="preserve"> </w:t>
            </w:r>
            <w:r>
              <w:rPr>
                <w:rFonts w:ascii="Arial"/>
                <w:spacing w:val="-1"/>
              </w:rPr>
              <w:t>on</w:t>
            </w:r>
            <w:r>
              <w:rPr>
                <w:rFonts w:ascii="Arial"/>
                <w:spacing w:val="20"/>
              </w:rPr>
              <w:t xml:space="preserve"> </w:t>
            </w:r>
            <w:r>
              <w:rPr>
                <w:rFonts w:ascii="Arial"/>
              </w:rPr>
              <w:t>the</w:t>
            </w:r>
            <w:r>
              <w:rPr>
                <w:rFonts w:ascii="Arial"/>
                <w:spacing w:val="22"/>
              </w:rPr>
              <w:t xml:space="preserve"> </w:t>
            </w:r>
            <w:r>
              <w:rPr>
                <w:rFonts w:ascii="Arial"/>
                <w:spacing w:val="-1"/>
              </w:rPr>
              <w:t>other</w:t>
            </w:r>
            <w:r>
              <w:rPr>
                <w:rFonts w:ascii="Arial"/>
                <w:spacing w:val="24"/>
              </w:rPr>
              <w:t xml:space="preserve"> </w:t>
            </w:r>
            <w:r>
              <w:rPr>
                <w:rFonts w:ascii="Arial"/>
                <w:spacing w:val="-1"/>
              </w:rPr>
              <w:t>stating</w:t>
            </w:r>
            <w:r>
              <w:rPr>
                <w:rFonts w:ascii="Arial"/>
                <w:spacing w:val="3"/>
              </w:rPr>
              <w:t xml:space="preserve"> </w:t>
            </w:r>
            <w:r>
              <w:rPr>
                <w:rFonts w:ascii="Arial"/>
                <w:spacing w:val="-1"/>
              </w:rPr>
              <w:t>that</w:t>
            </w:r>
            <w:r>
              <w:rPr>
                <w:rFonts w:ascii="Arial"/>
                <w:spacing w:val="2"/>
              </w:rPr>
              <w:t xml:space="preserve"> </w:t>
            </w:r>
            <w:r>
              <w:rPr>
                <w:rFonts w:ascii="Arial"/>
                <w:spacing w:val="-1"/>
              </w:rPr>
              <w:t>the</w:t>
            </w:r>
            <w:r>
              <w:rPr>
                <w:rFonts w:ascii="Arial"/>
              </w:rPr>
              <w:t xml:space="preserve"> </w:t>
            </w:r>
            <w:r>
              <w:rPr>
                <w:rFonts w:ascii="Arial"/>
                <w:spacing w:val="-1"/>
              </w:rPr>
              <w:t>Party</w:t>
            </w:r>
            <w:r>
              <w:rPr>
                <w:rFonts w:ascii="Arial"/>
                <w:spacing w:val="-2"/>
              </w:rPr>
              <w:t xml:space="preserve"> serving</w:t>
            </w:r>
            <w:r>
              <w:rPr>
                <w:rFonts w:ascii="Arial"/>
                <w:spacing w:val="3"/>
              </w:rPr>
              <w:t xml:space="preserve"> </w:t>
            </w:r>
            <w:r>
              <w:rPr>
                <w:rFonts w:ascii="Arial"/>
              </w:rPr>
              <w:t xml:space="preserve">the </w:t>
            </w:r>
            <w:r>
              <w:rPr>
                <w:rFonts w:ascii="Arial"/>
                <w:spacing w:val="-1"/>
              </w:rPr>
              <w:t>notice</w:t>
            </w:r>
            <w:r>
              <w:rPr>
                <w:rFonts w:ascii="Arial"/>
                <w:spacing w:val="1"/>
              </w:rPr>
              <w:t xml:space="preserve"> </w:t>
            </w:r>
            <w:r>
              <w:rPr>
                <w:rFonts w:ascii="Arial"/>
                <w:spacing w:val="-2"/>
              </w:rPr>
              <w:t>believes</w:t>
            </w:r>
            <w:r>
              <w:rPr>
                <w:rFonts w:ascii="Arial"/>
                <w:spacing w:val="1"/>
              </w:rPr>
              <w:t xml:space="preserve"> </w:t>
            </w:r>
            <w:r>
              <w:rPr>
                <w:rFonts w:ascii="Arial"/>
                <w:spacing w:val="-1"/>
              </w:rPr>
              <w:t>that</w:t>
            </w:r>
            <w:r>
              <w:rPr>
                <w:rFonts w:ascii="Arial"/>
                <w:spacing w:val="2"/>
              </w:rPr>
              <w:t xml:space="preserve"> </w:t>
            </w:r>
            <w:r>
              <w:rPr>
                <w:rFonts w:ascii="Arial"/>
                <w:spacing w:val="-1"/>
              </w:rPr>
              <w:t>there</w:t>
            </w:r>
            <w:r>
              <w:rPr>
                <w:rFonts w:ascii="Arial"/>
                <w:spacing w:val="49"/>
              </w:rPr>
              <w:t xml:space="preserve"> </w:t>
            </w:r>
            <w:r>
              <w:rPr>
                <w:rFonts w:ascii="Arial"/>
                <w:spacing w:val="-1"/>
              </w:rPr>
              <w:t>is</w:t>
            </w:r>
            <w:r>
              <w:rPr>
                <w:rFonts w:ascii="Arial"/>
                <w:spacing w:val="1"/>
              </w:rPr>
              <w:t xml:space="preserve"> </w:t>
            </w:r>
            <w:r>
              <w:rPr>
                <w:rFonts w:ascii="Arial"/>
              </w:rPr>
              <w:t xml:space="preserve">a </w:t>
            </w:r>
            <w:r>
              <w:rPr>
                <w:rFonts w:ascii="Arial"/>
                <w:spacing w:val="-2"/>
              </w:rPr>
              <w:t>Dispute;</w:t>
            </w:r>
          </w:p>
        </w:tc>
      </w:tr>
      <w:tr w:rsidR="008918FA" w:rsidTr="005D2B81">
        <w:trPr>
          <w:trHeight w:hRule="exact" w:val="64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287"/>
              <w:rPr>
                <w:rFonts w:ascii="Arial" w:eastAsia="Arial" w:hAnsi="Arial" w:cs="Arial"/>
              </w:rPr>
            </w:pPr>
            <w:r>
              <w:rPr>
                <w:rFonts w:ascii="Arial"/>
                <w:b/>
                <w:spacing w:val="-1"/>
              </w:rPr>
              <w:t>"Dispute</w:t>
            </w:r>
            <w:r>
              <w:rPr>
                <w:rFonts w:ascii="Arial"/>
                <w:b/>
                <w:spacing w:val="-2"/>
              </w:rPr>
              <w:t xml:space="preserve"> </w:t>
            </w:r>
            <w:r>
              <w:rPr>
                <w:rFonts w:ascii="Arial"/>
                <w:b/>
                <w:spacing w:val="-1"/>
              </w:rPr>
              <w:t>Resolution</w:t>
            </w:r>
            <w:r>
              <w:rPr>
                <w:rFonts w:ascii="Arial"/>
                <w:b/>
                <w:spacing w:val="26"/>
              </w:rPr>
              <w:t xml:space="preserve"> </w:t>
            </w:r>
            <w:r>
              <w:rPr>
                <w:rFonts w:ascii="Arial"/>
                <w:b/>
                <w:spacing w:val="-1"/>
              </w:rPr>
              <w:t>Procedure"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3"/>
              <w:rPr>
                <w:rFonts w:ascii="Arial" w:eastAsia="Arial" w:hAnsi="Arial" w:cs="Arial"/>
              </w:rPr>
            </w:pPr>
            <w:r>
              <w:rPr>
                <w:rFonts w:ascii="Arial"/>
                <w:spacing w:val="-1"/>
              </w:rPr>
              <w:t>means</w:t>
            </w:r>
            <w:r>
              <w:rPr>
                <w:rFonts w:ascii="Arial"/>
                <w:spacing w:val="5"/>
              </w:rPr>
              <w:t xml:space="preserve"> </w:t>
            </w:r>
            <w:r>
              <w:rPr>
                <w:rFonts w:ascii="Arial"/>
              </w:rPr>
              <w:t>the</w:t>
            </w:r>
            <w:r>
              <w:rPr>
                <w:rFonts w:ascii="Arial"/>
                <w:spacing w:val="5"/>
              </w:rPr>
              <w:t xml:space="preserve"> </w:t>
            </w:r>
            <w:r>
              <w:rPr>
                <w:rFonts w:ascii="Arial"/>
                <w:spacing w:val="-1"/>
              </w:rPr>
              <w:t>dispute</w:t>
            </w:r>
            <w:r>
              <w:rPr>
                <w:rFonts w:ascii="Arial"/>
                <w:spacing w:val="5"/>
              </w:rPr>
              <w:t xml:space="preserve"> </w:t>
            </w:r>
            <w:r>
              <w:rPr>
                <w:rFonts w:ascii="Arial"/>
                <w:spacing w:val="-1"/>
              </w:rPr>
              <w:t>resolution</w:t>
            </w:r>
            <w:r>
              <w:rPr>
                <w:rFonts w:ascii="Arial"/>
                <w:spacing w:val="5"/>
              </w:rPr>
              <w:t xml:space="preserve"> </w:t>
            </w:r>
            <w:r>
              <w:rPr>
                <w:rFonts w:ascii="Arial"/>
                <w:spacing w:val="-1"/>
              </w:rPr>
              <w:t>procedure</w:t>
            </w:r>
            <w:r>
              <w:rPr>
                <w:rFonts w:ascii="Arial"/>
                <w:spacing w:val="5"/>
              </w:rPr>
              <w:t xml:space="preserve"> </w:t>
            </w:r>
            <w:r>
              <w:rPr>
                <w:rFonts w:ascii="Arial"/>
                <w:spacing w:val="-2"/>
              </w:rPr>
              <w:t>set</w:t>
            </w:r>
            <w:r>
              <w:rPr>
                <w:rFonts w:ascii="Arial"/>
                <w:spacing w:val="7"/>
              </w:rPr>
              <w:t xml:space="preserve"> </w:t>
            </w:r>
            <w:r>
              <w:rPr>
                <w:rFonts w:ascii="Arial"/>
                <w:spacing w:val="-1"/>
              </w:rPr>
              <w:t>out</w:t>
            </w:r>
            <w:r>
              <w:rPr>
                <w:rFonts w:ascii="Arial"/>
                <w:spacing w:val="7"/>
              </w:rPr>
              <w:t xml:space="preserve"> </w:t>
            </w:r>
            <w:r>
              <w:rPr>
                <w:rFonts w:ascii="Arial"/>
                <w:spacing w:val="-1"/>
              </w:rPr>
              <w:t>in</w:t>
            </w:r>
            <w:r>
              <w:rPr>
                <w:rFonts w:ascii="Arial"/>
                <w:spacing w:val="5"/>
              </w:rPr>
              <w:t xml:space="preserve"> </w:t>
            </w:r>
            <w:r>
              <w:rPr>
                <w:rFonts w:ascii="Arial"/>
                <w:spacing w:val="-2"/>
              </w:rPr>
              <w:t>Call</w:t>
            </w:r>
            <w:r>
              <w:rPr>
                <w:rFonts w:ascii="Arial"/>
                <w:spacing w:val="4"/>
              </w:rPr>
              <w:t xml:space="preserve"> </w:t>
            </w:r>
            <w:r>
              <w:rPr>
                <w:rFonts w:ascii="Arial"/>
                <w:spacing w:val="-1"/>
              </w:rPr>
              <w:t>Off</w:t>
            </w:r>
            <w:r>
              <w:rPr>
                <w:rFonts w:ascii="Arial"/>
                <w:spacing w:val="37"/>
              </w:rPr>
              <w:t xml:space="preserve"> </w:t>
            </w:r>
            <w:r>
              <w:rPr>
                <w:rFonts w:ascii="Arial"/>
                <w:spacing w:val="-1"/>
              </w:rPr>
              <w:t>Schedule</w:t>
            </w:r>
            <w:r>
              <w:rPr>
                <w:rFonts w:ascii="Arial"/>
              </w:rPr>
              <w:t xml:space="preserve"> </w:t>
            </w:r>
            <w:r>
              <w:rPr>
                <w:rFonts w:ascii="Arial"/>
                <w:spacing w:val="-1"/>
              </w:rPr>
              <w:t>12</w:t>
            </w:r>
            <w:r>
              <w:rPr>
                <w:rFonts w:ascii="Arial"/>
                <w:spacing w:val="1"/>
              </w:rPr>
              <w:t xml:space="preserve"> </w:t>
            </w:r>
            <w:r>
              <w:rPr>
                <w:rFonts w:ascii="Arial"/>
                <w:spacing w:val="-1"/>
              </w:rPr>
              <w:t>(Dispute</w:t>
            </w:r>
            <w:r>
              <w:rPr>
                <w:rFonts w:ascii="Arial"/>
                <w:spacing w:val="-2"/>
              </w:rPr>
              <w:t xml:space="preserve"> Resolution</w:t>
            </w:r>
            <w:r>
              <w:rPr>
                <w:rFonts w:ascii="Arial"/>
              </w:rPr>
              <w:t xml:space="preserve"> </w:t>
            </w:r>
            <w:r>
              <w:rPr>
                <w:rFonts w:ascii="Arial"/>
                <w:spacing w:val="-1"/>
              </w:rPr>
              <w:t>Procedure);</w:t>
            </w:r>
          </w:p>
        </w:tc>
      </w:tr>
      <w:tr w:rsidR="008918FA" w:rsidTr="005D2B81">
        <w:trPr>
          <w:trHeight w:hRule="exact" w:val="390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"Documentation"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spacing w:val="-1"/>
              </w:rPr>
              <w:t>all</w:t>
            </w:r>
            <w:r>
              <w:rPr>
                <w:rFonts w:ascii="Arial"/>
              </w:rPr>
              <w:t xml:space="preserve"> </w:t>
            </w:r>
            <w:r>
              <w:rPr>
                <w:rFonts w:ascii="Arial"/>
                <w:spacing w:val="-1"/>
              </w:rPr>
              <w:t>documentation</w:t>
            </w:r>
            <w:r>
              <w:rPr>
                <w:rFonts w:ascii="Arial"/>
                <w:spacing w:val="-2"/>
              </w:rPr>
              <w:t xml:space="preserve"> </w:t>
            </w:r>
            <w:r>
              <w:rPr>
                <w:rFonts w:ascii="Arial"/>
                <w:spacing w:val="-1"/>
              </w:rPr>
              <w:t>as:</w:t>
            </w:r>
          </w:p>
          <w:p w:rsidR="008918FA" w:rsidRDefault="008918FA" w:rsidP="005D2B81">
            <w:pPr>
              <w:pStyle w:val="ListParagraph"/>
              <w:numPr>
                <w:ilvl w:val="0"/>
                <w:numId w:val="47"/>
              </w:numPr>
              <w:tabs>
                <w:tab w:val="left" w:pos="820"/>
              </w:tabs>
              <w:spacing w:before="119"/>
              <w:ind w:right="102" w:hanging="544"/>
              <w:jc w:val="both"/>
              <w:rPr>
                <w:rFonts w:ascii="Arial" w:eastAsia="Arial" w:hAnsi="Arial" w:cs="Arial"/>
              </w:rPr>
            </w:pPr>
            <w:r>
              <w:rPr>
                <w:rFonts w:ascii="Arial"/>
                <w:spacing w:val="-1"/>
              </w:rPr>
              <w:t>is</w:t>
            </w:r>
            <w:r>
              <w:rPr>
                <w:rFonts w:ascii="Arial"/>
                <w:spacing w:val="58"/>
              </w:rPr>
              <w:t xml:space="preserve"> </w:t>
            </w:r>
            <w:r>
              <w:rPr>
                <w:rFonts w:ascii="Arial"/>
                <w:spacing w:val="-1"/>
              </w:rPr>
              <w:t>required</w:t>
            </w:r>
            <w:r>
              <w:rPr>
                <w:rFonts w:ascii="Arial"/>
                <w:spacing w:val="58"/>
              </w:rPr>
              <w:t xml:space="preserve"> </w:t>
            </w:r>
            <w:r>
              <w:rPr>
                <w:rFonts w:ascii="Arial"/>
              </w:rPr>
              <w:t>to</w:t>
            </w:r>
            <w:r>
              <w:rPr>
                <w:rFonts w:ascii="Arial"/>
                <w:spacing w:val="55"/>
              </w:rPr>
              <w:t xml:space="preserve"> </w:t>
            </w:r>
            <w:r>
              <w:rPr>
                <w:rFonts w:ascii="Arial"/>
                <w:spacing w:val="-1"/>
              </w:rPr>
              <w:t>be</w:t>
            </w:r>
            <w:r>
              <w:rPr>
                <w:rFonts w:ascii="Arial"/>
                <w:spacing w:val="58"/>
              </w:rPr>
              <w:t xml:space="preserve"> </w:t>
            </w:r>
            <w:r>
              <w:rPr>
                <w:rFonts w:ascii="Arial"/>
                <w:spacing w:val="-1"/>
              </w:rPr>
              <w:t>supplied</w:t>
            </w:r>
            <w:r>
              <w:rPr>
                <w:rFonts w:ascii="Arial"/>
                <w:spacing w:val="58"/>
              </w:rPr>
              <w:t xml:space="preserve"> </w:t>
            </w:r>
            <w:r>
              <w:rPr>
                <w:rFonts w:ascii="Arial"/>
                <w:spacing w:val="-1"/>
              </w:rPr>
              <w:t>by</w:t>
            </w:r>
            <w:r>
              <w:rPr>
                <w:rFonts w:ascii="Arial"/>
                <w:spacing w:val="56"/>
              </w:rPr>
              <w:t xml:space="preserve"> </w:t>
            </w:r>
            <w:r>
              <w:rPr>
                <w:rFonts w:ascii="Arial"/>
              </w:rPr>
              <w:t>the</w:t>
            </w:r>
            <w:r>
              <w:rPr>
                <w:rFonts w:ascii="Arial"/>
                <w:spacing w:val="59"/>
              </w:rPr>
              <w:t xml:space="preserve"> </w:t>
            </w:r>
            <w:r>
              <w:rPr>
                <w:rFonts w:ascii="Arial"/>
                <w:spacing w:val="-2"/>
              </w:rPr>
              <w:t>Supplier</w:t>
            </w:r>
            <w:r>
              <w:rPr>
                <w:rFonts w:ascii="Arial"/>
                <w:spacing w:val="59"/>
              </w:rPr>
              <w:t xml:space="preserve"> </w:t>
            </w:r>
            <w:r>
              <w:rPr>
                <w:rFonts w:ascii="Arial"/>
              </w:rPr>
              <w:t>to</w:t>
            </w:r>
            <w:r>
              <w:rPr>
                <w:rFonts w:ascii="Arial"/>
                <w:spacing w:val="55"/>
              </w:rPr>
              <w:t xml:space="preserve"> </w:t>
            </w:r>
            <w:r>
              <w:rPr>
                <w:rFonts w:ascii="Arial"/>
                <w:spacing w:val="-2"/>
              </w:rPr>
              <w:t>the</w:t>
            </w:r>
            <w:r>
              <w:rPr>
                <w:rFonts w:ascii="Arial"/>
                <w:spacing w:val="30"/>
              </w:rPr>
              <w:t xml:space="preserve"> </w:t>
            </w:r>
            <w:r>
              <w:rPr>
                <w:rFonts w:ascii="Arial"/>
                <w:spacing w:val="-1"/>
              </w:rPr>
              <w:t>Customer</w:t>
            </w:r>
            <w:r>
              <w:rPr>
                <w:rFonts w:ascii="Arial"/>
                <w:spacing w:val="2"/>
              </w:rPr>
              <w:t xml:space="preserve"> </w:t>
            </w:r>
            <w:r>
              <w:rPr>
                <w:rFonts w:ascii="Arial"/>
                <w:spacing w:val="-2"/>
              </w:rPr>
              <w:t>under</w:t>
            </w:r>
            <w:r>
              <w:rPr>
                <w:rFonts w:ascii="Arial"/>
                <w:spacing w:val="-1"/>
              </w:rPr>
              <w:t xml:space="preserve"> 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Contract;</w:t>
            </w:r>
          </w:p>
          <w:p w:rsidR="008918FA" w:rsidRDefault="008918FA" w:rsidP="005D2B81">
            <w:pPr>
              <w:pStyle w:val="ListParagraph"/>
              <w:numPr>
                <w:ilvl w:val="0"/>
                <w:numId w:val="47"/>
              </w:numPr>
              <w:tabs>
                <w:tab w:val="left" w:pos="820"/>
              </w:tabs>
              <w:spacing w:before="119"/>
              <w:ind w:right="99" w:hanging="544"/>
              <w:jc w:val="both"/>
              <w:rPr>
                <w:rFonts w:ascii="Arial" w:eastAsia="Arial" w:hAnsi="Arial" w:cs="Arial"/>
              </w:rPr>
            </w:pPr>
            <w:r>
              <w:rPr>
                <w:rFonts w:ascii="Arial"/>
                <w:spacing w:val="-1"/>
              </w:rPr>
              <w:t>would</w:t>
            </w:r>
            <w:r>
              <w:rPr>
                <w:rFonts w:ascii="Arial"/>
                <w:spacing w:val="24"/>
              </w:rPr>
              <w:t xml:space="preserve"> </w:t>
            </w:r>
            <w:r>
              <w:rPr>
                <w:rFonts w:ascii="Arial"/>
                <w:spacing w:val="-1"/>
              </w:rPr>
              <w:t>reasonably</w:t>
            </w:r>
            <w:r>
              <w:rPr>
                <w:rFonts w:ascii="Arial"/>
                <w:spacing w:val="25"/>
              </w:rPr>
              <w:t xml:space="preserve"> </w:t>
            </w:r>
            <w:r>
              <w:rPr>
                <w:rFonts w:ascii="Arial"/>
                <w:spacing w:val="-1"/>
              </w:rPr>
              <w:t>be</w:t>
            </w:r>
            <w:r>
              <w:rPr>
                <w:rFonts w:ascii="Arial"/>
                <w:spacing w:val="24"/>
              </w:rPr>
              <w:t xml:space="preserve"> </w:t>
            </w:r>
            <w:r>
              <w:rPr>
                <w:rFonts w:ascii="Arial"/>
              </w:rPr>
              <w:t>required</w:t>
            </w:r>
            <w:r>
              <w:rPr>
                <w:rFonts w:ascii="Arial"/>
                <w:spacing w:val="24"/>
              </w:rPr>
              <w:t xml:space="preserve"> </w:t>
            </w:r>
            <w:r>
              <w:rPr>
                <w:rFonts w:ascii="Arial"/>
                <w:spacing w:val="-1"/>
              </w:rPr>
              <w:t>by</w:t>
            </w:r>
            <w:r>
              <w:rPr>
                <w:rFonts w:ascii="Arial"/>
                <w:spacing w:val="22"/>
              </w:rPr>
              <w:t xml:space="preserve"> </w:t>
            </w:r>
            <w:r>
              <w:rPr>
                <w:rFonts w:ascii="Arial"/>
              </w:rPr>
              <w:t>a</w:t>
            </w:r>
            <w:r>
              <w:rPr>
                <w:rFonts w:ascii="Arial"/>
                <w:spacing w:val="24"/>
              </w:rPr>
              <w:t xml:space="preserve"> </w:t>
            </w:r>
            <w:r>
              <w:rPr>
                <w:rFonts w:ascii="Arial"/>
                <w:spacing w:val="-1"/>
              </w:rPr>
              <w:t>competent</w:t>
            </w:r>
            <w:r>
              <w:rPr>
                <w:rFonts w:ascii="Arial"/>
                <w:spacing w:val="26"/>
              </w:rPr>
              <w:t xml:space="preserve"> </w:t>
            </w:r>
            <w:r>
              <w:rPr>
                <w:rFonts w:ascii="Arial"/>
                <w:spacing w:val="-1"/>
              </w:rPr>
              <w:t>third</w:t>
            </w:r>
            <w:r>
              <w:rPr>
                <w:rFonts w:ascii="Arial"/>
                <w:spacing w:val="30"/>
              </w:rPr>
              <w:t xml:space="preserve"> </w:t>
            </w:r>
            <w:r>
              <w:rPr>
                <w:rFonts w:ascii="Arial"/>
                <w:spacing w:val="-1"/>
              </w:rPr>
              <w:t>party</w:t>
            </w:r>
            <w:r>
              <w:rPr>
                <w:rFonts w:ascii="Arial"/>
                <w:spacing w:val="25"/>
              </w:rPr>
              <w:t xml:space="preserve"> </w:t>
            </w:r>
            <w:r>
              <w:rPr>
                <w:rFonts w:ascii="Arial"/>
                <w:spacing w:val="-1"/>
              </w:rPr>
              <w:t>capable</w:t>
            </w:r>
            <w:r>
              <w:rPr>
                <w:rFonts w:ascii="Arial"/>
                <w:spacing w:val="27"/>
              </w:rPr>
              <w:t xml:space="preserve"> </w:t>
            </w:r>
            <w:r>
              <w:rPr>
                <w:rFonts w:ascii="Arial"/>
                <w:spacing w:val="-1"/>
              </w:rPr>
              <w:t>of</w:t>
            </w:r>
            <w:r>
              <w:rPr>
                <w:rFonts w:ascii="Arial"/>
                <w:spacing w:val="30"/>
              </w:rPr>
              <w:t xml:space="preserve"> </w:t>
            </w:r>
            <w:r>
              <w:rPr>
                <w:rFonts w:ascii="Arial"/>
                <w:spacing w:val="-1"/>
              </w:rPr>
              <w:t>Good</w:t>
            </w:r>
            <w:r>
              <w:rPr>
                <w:rFonts w:ascii="Arial"/>
                <w:spacing w:val="27"/>
              </w:rPr>
              <w:t xml:space="preserve"> </w:t>
            </w:r>
            <w:r>
              <w:rPr>
                <w:rFonts w:ascii="Arial"/>
                <w:spacing w:val="-1"/>
              </w:rPr>
              <w:t>Industry</w:t>
            </w:r>
            <w:r>
              <w:rPr>
                <w:rFonts w:ascii="Arial"/>
                <w:spacing w:val="25"/>
              </w:rPr>
              <w:t xml:space="preserve"> </w:t>
            </w:r>
            <w:r>
              <w:rPr>
                <w:rFonts w:ascii="Arial"/>
                <w:spacing w:val="-1"/>
              </w:rPr>
              <w:t>Practice</w:t>
            </w:r>
            <w:r>
              <w:rPr>
                <w:rFonts w:ascii="Arial"/>
                <w:spacing w:val="27"/>
              </w:rPr>
              <w:t xml:space="preserve"> </w:t>
            </w:r>
            <w:r>
              <w:rPr>
                <w:rFonts w:ascii="Arial"/>
                <w:spacing w:val="-1"/>
              </w:rPr>
              <w:t>contracted</w:t>
            </w:r>
            <w:r>
              <w:rPr>
                <w:rFonts w:ascii="Arial"/>
                <w:spacing w:val="32"/>
              </w:rPr>
              <w:t xml:space="preserve"> </w:t>
            </w:r>
            <w:r>
              <w:rPr>
                <w:rFonts w:ascii="Arial"/>
                <w:spacing w:val="-1"/>
              </w:rPr>
              <w:t>by</w:t>
            </w:r>
            <w:r>
              <w:rPr>
                <w:rFonts w:ascii="Arial"/>
                <w:spacing w:val="1"/>
              </w:rPr>
              <w:t xml:space="preserve"> </w:t>
            </w:r>
            <w:r>
              <w:rPr>
                <w:rFonts w:ascii="Arial"/>
              </w:rPr>
              <w:t>the</w:t>
            </w:r>
            <w:r>
              <w:rPr>
                <w:rFonts w:ascii="Arial"/>
                <w:spacing w:val="3"/>
              </w:rPr>
              <w:t xml:space="preserve"> </w:t>
            </w:r>
            <w:r>
              <w:rPr>
                <w:rFonts w:ascii="Arial"/>
                <w:spacing w:val="-1"/>
              </w:rPr>
              <w:t>Customer</w:t>
            </w:r>
            <w:r>
              <w:rPr>
                <w:rFonts w:ascii="Arial"/>
                <w:spacing w:val="2"/>
              </w:rPr>
              <w:t xml:space="preserve"> </w:t>
            </w:r>
            <w:r>
              <w:rPr>
                <w:rFonts w:ascii="Arial"/>
              </w:rPr>
              <w:t>to</w:t>
            </w:r>
            <w:r>
              <w:rPr>
                <w:rFonts w:ascii="Arial"/>
                <w:spacing w:val="3"/>
              </w:rPr>
              <w:t xml:space="preserve"> </w:t>
            </w:r>
            <w:r>
              <w:rPr>
                <w:rFonts w:ascii="Arial"/>
                <w:spacing w:val="-2"/>
              </w:rPr>
              <w:t>develop,</w:t>
            </w:r>
            <w:r>
              <w:rPr>
                <w:rFonts w:ascii="Arial"/>
              </w:rPr>
              <w:t xml:space="preserve"> </w:t>
            </w:r>
            <w:r>
              <w:rPr>
                <w:rFonts w:ascii="Arial"/>
                <w:spacing w:val="4"/>
              </w:rPr>
              <w:t xml:space="preserve"> </w:t>
            </w:r>
            <w:r>
              <w:rPr>
                <w:rFonts w:ascii="Arial"/>
                <w:spacing w:val="-1"/>
              </w:rPr>
              <w:t>configure,</w:t>
            </w:r>
            <w:r>
              <w:rPr>
                <w:rFonts w:ascii="Arial"/>
              </w:rPr>
              <w:t xml:space="preserve"> </w:t>
            </w:r>
            <w:r>
              <w:rPr>
                <w:rFonts w:ascii="Arial"/>
                <w:spacing w:val="4"/>
              </w:rPr>
              <w:t xml:space="preserve"> </w:t>
            </w:r>
            <w:r>
              <w:rPr>
                <w:rFonts w:ascii="Arial"/>
                <w:spacing w:val="-2"/>
              </w:rPr>
              <w:t>build,</w:t>
            </w:r>
            <w:r>
              <w:rPr>
                <w:rFonts w:ascii="Arial"/>
                <w:spacing w:val="36"/>
              </w:rPr>
              <w:t xml:space="preserve"> </w:t>
            </w:r>
            <w:r>
              <w:rPr>
                <w:rFonts w:ascii="Arial"/>
                <w:spacing w:val="-2"/>
              </w:rPr>
              <w:t>deploy,</w:t>
            </w:r>
            <w:r>
              <w:rPr>
                <w:rFonts w:ascii="Arial"/>
                <w:spacing w:val="35"/>
              </w:rPr>
              <w:t xml:space="preserve"> </w:t>
            </w:r>
            <w:r>
              <w:rPr>
                <w:rFonts w:ascii="Arial"/>
                <w:spacing w:val="-1"/>
              </w:rPr>
              <w:t>run,</w:t>
            </w:r>
            <w:r>
              <w:rPr>
                <w:rFonts w:ascii="Arial"/>
                <w:spacing w:val="35"/>
              </w:rPr>
              <w:t xml:space="preserve"> </w:t>
            </w:r>
            <w:r>
              <w:rPr>
                <w:rFonts w:ascii="Arial"/>
                <w:spacing w:val="-1"/>
              </w:rPr>
              <w:t>maintain,</w:t>
            </w:r>
            <w:r>
              <w:rPr>
                <w:rFonts w:ascii="Arial"/>
                <w:spacing w:val="33"/>
              </w:rPr>
              <w:t xml:space="preserve"> </w:t>
            </w:r>
            <w:r>
              <w:rPr>
                <w:rFonts w:ascii="Arial"/>
                <w:spacing w:val="-1"/>
              </w:rPr>
              <w:t>upgrade</w:t>
            </w:r>
            <w:r>
              <w:rPr>
                <w:rFonts w:ascii="Arial"/>
                <w:spacing w:val="34"/>
              </w:rPr>
              <w:t xml:space="preserve"> </w:t>
            </w:r>
            <w:r>
              <w:rPr>
                <w:rFonts w:ascii="Arial"/>
                <w:spacing w:val="-1"/>
              </w:rPr>
              <w:t>and</w:t>
            </w:r>
            <w:r>
              <w:rPr>
                <w:rFonts w:ascii="Arial"/>
                <w:spacing w:val="31"/>
              </w:rPr>
              <w:t xml:space="preserve"> </w:t>
            </w:r>
            <w:r>
              <w:rPr>
                <w:rFonts w:ascii="Arial"/>
                <w:spacing w:val="-1"/>
              </w:rPr>
              <w:t>test</w:t>
            </w:r>
            <w:r>
              <w:rPr>
                <w:rFonts w:ascii="Arial"/>
                <w:spacing w:val="31"/>
              </w:rPr>
              <w:t xml:space="preserve"> </w:t>
            </w:r>
            <w:r>
              <w:rPr>
                <w:rFonts w:ascii="Arial"/>
                <w:spacing w:val="-1"/>
              </w:rPr>
              <w:t>the</w:t>
            </w:r>
            <w:r>
              <w:rPr>
                <w:rFonts w:ascii="Arial"/>
                <w:spacing w:val="32"/>
              </w:rPr>
              <w:t xml:space="preserve"> </w:t>
            </w:r>
            <w:r>
              <w:rPr>
                <w:rFonts w:ascii="Arial"/>
                <w:spacing w:val="-2"/>
              </w:rPr>
              <w:t>individual</w:t>
            </w:r>
            <w:r>
              <w:rPr>
                <w:rFonts w:ascii="Arial"/>
                <w:spacing w:val="59"/>
              </w:rPr>
              <w:t xml:space="preserve"> </w:t>
            </w:r>
            <w:r>
              <w:rPr>
                <w:rFonts w:ascii="Arial"/>
                <w:spacing w:val="-1"/>
              </w:rPr>
              <w:t>systems</w:t>
            </w:r>
            <w:r>
              <w:rPr>
                <w:rFonts w:ascii="Arial"/>
              </w:rPr>
              <w:t xml:space="preserve"> </w:t>
            </w:r>
            <w:r>
              <w:rPr>
                <w:rFonts w:ascii="Arial"/>
                <w:spacing w:val="-1"/>
              </w:rPr>
              <w:t>that</w:t>
            </w:r>
            <w:r>
              <w:rPr>
                <w:rFonts w:ascii="Arial"/>
                <w:spacing w:val="59"/>
              </w:rPr>
              <w:t xml:space="preserve"> </w:t>
            </w:r>
            <w:r>
              <w:rPr>
                <w:rFonts w:ascii="Arial"/>
                <w:spacing w:val="-2"/>
              </w:rPr>
              <w:t>provide</w:t>
            </w:r>
            <w:r>
              <w:rPr>
                <w:rFonts w:ascii="Arial"/>
                <w:spacing w:val="60"/>
              </w:rPr>
              <w:t xml:space="preserve"> </w:t>
            </w:r>
            <w:r>
              <w:rPr>
                <w:rFonts w:ascii="Arial"/>
              </w:rPr>
              <w:t>the</w:t>
            </w:r>
            <w:r>
              <w:rPr>
                <w:rFonts w:ascii="Arial"/>
                <w:spacing w:val="60"/>
              </w:rPr>
              <w:t xml:space="preserve"> </w:t>
            </w:r>
            <w:r>
              <w:rPr>
                <w:rFonts w:ascii="Arial"/>
                <w:spacing w:val="-1"/>
              </w:rPr>
              <w:t>Goods</w:t>
            </w:r>
            <w:r>
              <w:rPr>
                <w:rFonts w:ascii="Arial"/>
              </w:rPr>
              <w:t xml:space="preserve">  </w:t>
            </w:r>
            <w:r>
              <w:rPr>
                <w:rFonts w:ascii="Arial"/>
                <w:spacing w:val="-1"/>
              </w:rPr>
              <w:t>and/or</w:t>
            </w:r>
            <w:r>
              <w:rPr>
                <w:rFonts w:ascii="Arial"/>
                <w:spacing w:val="48"/>
              </w:rPr>
              <w:t xml:space="preserve"> </w:t>
            </w:r>
            <w:r>
              <w:rPr>
                <w:rFonts w:ascii="Arial"/>
                <w:spacing w:val="-2"/>
              </w:rPr>
              <w:t>Services;</w:t>
            </w:r>
          </w:p>
          <w:p w:rsidR="008918FA" w:rsidRDefault="008918FA" w:rsidP="005D2B81">
            <w:pPr>
              <w:pStyle w:val="ListParagraph"/>
              <w:numPr>
                <w:ilvl w:val="0"/>
                <w:numId w:val="47"/>
              </w:numPr>
              <w:tabs>
                <w:tab w:val="left" w:pos="820"/>
              </w:tabs>
              <w:spacing w:before="119"/>
              <w:ind w:right="102" w:hanging="544"/>
              <w:jc w:val="both"/>
              <w:rPr>
                <w:rFonts w:ascii="Arial" w:eastAsia="Arial" w:hAnsi="Arial" w:cs="Arial"/>
              </w:rPr>
            </w:pPr>
            <w:r>
              <w:rPr>
                <w:rFonts w:ascii="Arial"/>
                <w:spacing w:val="-1"/>
              </w:rPr>
              <w:t>is</w:t>
            </w:r>
            <w:r>
              <w:rPr>
                <w:rFonts w:ascii="Arial"/>
                <w:spacing w:val="39"/>
              </w:rPr>
              <w:t xml:space="preserve"> </w:t>
            </w:r>
            <w:r>
              <w:rPr>
                <w:rFonts w:ascii="Arial"/>
                <w:spacing w:val="-1"/>
              </w:rPr>
              <w:t>required</w:t>
            </w:r>
            <w:r>
              <w:rPr>
                <w:rFonts w:ascii="Arial"/>
                <w:spacing w:val="38"/>
              </w:rPr>
              <w:t xml:space="preserve"> </w:t>
            </w:r>
            <w:r>
              <w:rPr>
                <w:rFonts w:ascii="Arial"/>
                <w:spacing w:val="-1"/>
              </w:rPr>
              <w:t>by</w:t>
            </w:r>
            <w:r>
              <w:rPr>
                <w:rFonts w:ascii="Arial"/>
                <w:spacing w:val="36"/>
              </w:rPr>
              <w:t xml:space="preserve"> </w:t>
            </w:r>
            <w:r>
              <w:rPr>
                <w:rFonts w:ascii="Arial"/>
              </w:rPr>
              <w:t>the</w:t>
            </w:r>
            <w:r>
              <w:rPr>
                <w:rFonts w:ascii="Arial"/>
                <w:spacing w:val="39"/>
              </w:rPr>
              <w:t xml:space="preserve"> </w:t>
            </w:r>
            <w:r>
              <w:rPr>
                <w:rFonts w:ascii="Arial"/>
                <w:spacing w:val="-1"/>
              </w:rPr>
              <w:t>Supplier</w:t>
            </w:r>
            <w:r>
              <w:rPr>
                <w:rFonts w:ascii="Arial"/>
                <w:spacing w:val="40"/>
              </w:rPr>
              <w:t xml:space="preserve"> </w:t>
            </w:r>
            <w:r>
              <w:rPr>
                <w:rFonts w:ascii="Arial"/>
                <w:spacing w:val="-1"/>
              </w:rPr>
              <w:t>in</w:t>
            </w:r>
            <w:r>
              <w:rPr>
                <w:rFonts w:ascii="Arial"/>
                <w:spacing w:val="41"/>
              </w:rPr>
              <w:t xml:space="preserve"> </w:t>
            </w:r>
            <w:r>
              <w:rPr>
                <w:rFonts w:ascii="Arial"/>
                <w:spacing w:val="-1"/>
              </w:rPr>
              <w:t>order</w:t>
            </w:r>
            <w:r>
              <w:rPr>
                <w:rFonts w:ascii="Arial"/>
                <w:spacing w:val="41"/>
              </w:rPr>
              <w:t xml:space="preserve"> </w:t>
            </w:r>
            <w:r>
              <w:rPr>
                <w:rFonts w:ascii="Arial"/>
              </w:rPr>
              <w:t>to</w:t>
            </w:r>
            <w:r>
              <w:rPr>
                <w:rFonts w:ascii="Arial"/>
                <w:spacing w:val="38"/>
              </w:rPr>
              <w:t xml:space="preserve"> </w:t>
            </w:r>
            <w:r>
              <w:rPr>
                <w:rFonts w:ascii="Arial"/>
                <w:spacing w:val="-2"/>
              </w:rPr>
              <w:t>provide</w:t>
            </w:r>
            <w:r>
              <w:rPr>
                <w:rFonts w:ascii="Arial"/>
                <w:spacing w:val="38"/>
              </w:rPr>
              <w:t xml:space="preserve"> </w:t>
            </w:r>
            <w:r>
              <w:rPr>
                <w:rFonts w:ascii="Arial"/>
                <w:spacing w:val="-1"/>
              </w:rPr>
              <w:t>the</w:t>
            </w:r>
            <w:r>
              <w:rPr>
                <w:rFonts w:ascii="Arial"/>
                <w:spacing w:val="38"/>
              </w:rPr>
              <w:t xml:space="preserve"> </w:t>
            </w:r>
            <w:r>
              <w:rPr>
                <w:rFonts w:ascii="Arial"/>
                <w:spacing w:val="-1"/>
              </w:rPr>
              <w:t>Goods</w:t>
            </w:r>
            <w:r>
              <w:rPr>
                <w:rFonts w:ascii="Arial"/>
                <w:spacing w:val="1"/>
              </w:rPr>
              <w:t xml:space="preserve"> </w:t>
            </w:r>
            <w:r>
              <w:rPr>
                <w:rFonts w:ascii="Arial"/>
                <w:spacing w:val="-1"/>
              </w:rPr>
              <w:t>and/or Services;</w:t>
            </w:r>
            <w:r>
              <w:rPr>
                <w:rFonts w:ascii="Arial"/>
                <w:spacing w:val="-2"/>
              </w:rPr>
              <w:t xml:space="preserve"> </w:t>
            </w:r>
            <w:r>
              <w:rPr>
                <w:rFonts w:ascii="Arial"/>
                <w:spacing w:val="-1"/>
              </w:rPr>
              <w:t>and/or</w:t>
            </w:r>
          </w:p>
          <w:p w:rsidR="008918FA" w:rsidRDefault="008918FA" w:rsidP="005D2B81">
            <w:pPr>
              <w:pStyle w:val="ListParagraph"/>
              <w:numPr>
                <w:ilvl w:val="0"/>
                <w:numId w:val="47"/>
              </w:numPr>
              <w:tabs>
                <w:tab w:val="left" w:pos="820"/>
              </w:tabs>
              <w:spacing w:before="119"/>
              <w:ind w:right="103" w:hanging="544"/>
              <w:jc w:val="both"/>
              <w:rPr>
                <w:rFonts w:ascii="Arial" w:eastAsia="Arial" w:hAnsi="Arial" w:cs="Arial"/>
              </w:rPr>
            </w:pPr>
            <w:r>
              <w:rPr>
                <w:rFonts w:ascii="Arial"/>
                <w:spacing w:val="-1"/>
              </w:rPr>
              <w:t>has</w:t>
            </w:r>
            <w:r>
              <w:rPr>
                <w:rFonts w:ascii="Arial"/>
                <w:spacing w:val="34"/>
              </w:rPr>
              <w:t xml:space="preserve"> </w:t>
            </w:r>
            <w:r>
              <w:rPr>
                <w:rFonts w:ascii="Arial"/>
                <w:spacing w:val="-1"/>
              </w:rPr>
              <w:t>been</w:t>
            </w:r>
            <w:r>
              <w:rPr>
                <w:rFonts w:ascii="Arial"/>
                <w:spacing w:val="34"/>
              </w:rPr>
              <w:t xml:space="preserve"> </w:t>
            </w:r>
            <w:r>
              <w:rPr>
                <w:rFonts w:ascii="Arial"/>
                <w:spacing w:val="-2"/>
              </w:rPr>
              <w:t>or</w:t>
            </w:r>
            <w:r>
              <w:rPr>
                <w:rFonts w:ascii="Arial"/>
                <w:spacing w:val="35"/>
              </w:rPr>
              <w:t xml:space="preserve"> </w:t>
            </w:r>
            <w:r>
              <w:rPr>
                <w:rFonts w:ascii="Arial"/>
                <w:spacing w:val="-1"/>
              </w:rPr>
              <w:t>shall</w:t>
            </w:r>
            <w:r>
              <w:rPr>
                <w:rFonts w:ascii="Arial"/>
                <w:spacing w:val="33"/>
              </w:rPr>
              <w:t xml:space="preserve"> </w:t>
            </w:r>
            <w:r>
              <w:rPr>
                <w:rFonts w:ascii="Arial"/>
                <w:spacing w:val="-1"/>
              </w:rPr>
              <w:t>be</w:t>
            </w:r>
            <w:r>
              <w:rPr>
                <w:rFonts w:ascii="Arial"/>
                <w:spacing w:val="31"/>
              </w:rPr>
              <w:t xml:space="preserve"> </w:t>
            </w:r>
            <w:r>
              <w:rPr>
                <w:rFonts w:ascii="Arial"/>
                <w:spacing w:val="-1"/>
              </w:rPr>
              <w:t>generated</w:t>
            </w:r>
            <w:r>
              <w:rPr>
                <w:rFonts w:ascii="Arial"/>
                <w:spacing w:val="31"/>
              </w:rPr>
              <w:t xml:space="preserve"> </w:t>
            </w:r>
            <w:r>
              <w:rPr>
                <w:rFonts w:ascii="Arial"/>
                <w:spacing w:val="-1"/>
              </w:rPr>
              <w:t>for</w:t>
            </w:r>
            <w:r>
              <w:rPr>
                <w:rFonts w:ascii="Arial"/>
                <w:spacing w:val="36"/>
              </w:rPr>
              <w:t xml:space="preserve"> </w:t>
            </w:r>
            <w:r>
              <w:rPr>
                <w:rFonts w:ascii="Arial"/>
              </w:rPr>
              <w:t>the</w:t>
            </w:r>
            <w:r>
              <w:rPr>
                <w:rFonts w:ascii="Arial"/>
                <w:spacing w:val="31"/>
              </w:rPr>
              <w:t xml:space="preserve"> </w:t>
            </w:r>
            <w:r>
              <w:rPr>
                <w:rFonts w:ascii="Arial"/>
                <w:spacing w:val="-2"/>
              </w:rPr>
              <w:t>purpose</w:t>
            </w:r>
            <w:r>
              <w:rPr>
                <w:rFonts w:ascii="Arial"/>
                <w:spacing w:val="34"/>
              </w:rPr>
              <w:t xml:space="preserve"> </w:t>
            </w:r>
            <w:r>
              <w:rPr>
                <w:rFonts w:ascii="Arial"/>
                <w:spacing w:val="-2"/>
              </w:rPr>
              <w:t>of</w:t>
            </w:r>
            <w:r>
              <w:rPr>
                <w:rFonts w:ascii="Arial"/>
                <w:spacing w:val="33"/>
              </w:rPr>
              <w:t xml:space="preserve"> </w:t>
            </w:r>
            <w:r>
              <w:rPr>
                <w:rFonts w:ascii="Arial"/>
                <w:spacing w:val="-2"/>
              </w:rPr>
              <w:t>providing</w:t>
            </w:r>
            <w:r>
              <w:rPr>
                <w:rFonts w:ascii="Arial"/>
                <w:spacing w:val="3"/>
              </w:rPr>
              <w:t xml:space="preserve"> </w:t>
            </w:r>
            <w:r>
              <w:rPr>
                <w:rFonts w:ascii="Arial"/>
              </w:rPr>
              <w:t>the</w:t>
            </w:r>
            <w:r>
              <w:rPr>
                <w:rFonts w:ascii="Arial"/>
                <w:spacing w:val="-2"/>
              </w:rPr>
              <w:t xml:space="preserve"> </w:t>
            </w:r>
            <w:r>
              <w:rPr>
                <w:rFonts w:ascii="Arial"/>
                <w:spacing w:val="-1"/>
              </w:rPr>
              <w:t>Goods</w:t>
            </w:r>
            <w:r>
              <w:rPr>
                <w:rFonts w:ascii="Arial"/>
                <w:spacing w:val="1"/>
              </w:rPr>
              <w:t xml:space="preserve"> </w:t>
            </w:r>
            <w:r>
              <w:rPr>
                <w:rFonts w:ascii="Arial"/>
                <w:spacing w:val="-1"/>
              </w:rPr>
              <w:t xml:space="preserve">and/or </w:t>
            </w:r>
            <w:r>
              <w:rPr>
                <w:rFonts w:ascii="Arial"/>
                <w:spacing w:val="-2"/>
              </w:rPr>
              <w:t>Services;</w:t>
            </w:r>
          </w:p>
        </w:tc>
      </w:tr>
      <w:tr w:rsidR="008918FA" w:rsidTr="005D2B81">
        <w:trPr>
          <w:trHeight w:hRule="exact" w:val="3170"/>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2"/>
              </w:rPr>
              <w:t>"DOTAS"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39"/>
              </w:rPr>
              <w:t xml:space="preserve"> </w:t>
            </w:r>
            <w:r>
              <w:rPr>
                <w:rFonts w:ascii="Arial"/>
              </w:rPr>
              <w:t>the</w:t>
            </w:r>
            <w:r>
              <w:rPr>
                <w:rFonts w:ascii="Arial"/>
                <w:spacing w:val="38"/>
              </w:rPr>
              <w:t xml:space="preserve"> </w:t>
            </w:r>
            <w:r>
              <w:rPr>
                <w:rFonts w:ascii="Arial"/>
                <w:spacing w:val="-1"/>
              </w:rPr>
              <w:t>Disclosure</w:t>
            </w:r>
            <w:r>
              <w:rPr>
                <w:rFonts w:ascii="Arial"/>
                <w:spacing w:val="38"/>
              </w:rPr>
              <w:t xml:space="preserve"> </w:t>
            </w:r>
            <w:r>
              <w:rPr>
                <w:rFonts w:ascii="Arial"/>
                <w:spacing w:val="-2"/>
              </w:rPr>
              <w:t>of</w:t>
            </w:r>
            <w:r>
              <w:rPr>
                <w:rFonts w:ascii="Arial"/>
                <w:spacing w:val="40"/>
              </w:rPr>
              <w:t xml:space="preserve"> </w:t>
            </w:r>
            <w:r>
              <w:rPr>
                <w:rFonts w:ascii="Arial"/>
              </w:rPr>
              <w:t>Tax</w:t>
            </w:r>
            <w:r>
              <w:rPr>
                <w:rFonts w:ascii="Arial"/>
                <w:spacing w:val="36"/>
              </w:rPr>
              <w:t xml:space="preserve"> </w:t>
            </w:r>
            <w:r>
              <w:rPr>
                <w:rFonts w:ascii="Arial"/>
                <w:spacing w:val="-2"/>
              </w:rPr>
              <w:t>Avoidance</w:t>
            </w:r>
            <w:r>
              <w:rPr>
                <w:rFonts w:ascii="Arial"/>
                <w:spacing w:val="39"/>
              </w:rPr>
              <w:t xml:space="preserve"> </w:t>
            </w:r>
            <w:r>
              <w:rPr>
                <w:rFonts w:ascii="Arial"/>
                <w:spacing w:val="-1"/>
              </w:rPr>
              <w:t>Schemes</w:t>
            </w:r>
            <w:r>
              <w:rPr>
                <w:rFonts w:ascii="Arial"/>
                <w:spacing w:val="40"/>
              </w:rPr>
              <w:t xml:space="preserve"> </w:t>
            </w:r>
            <w:r>
              <w:rPr>
                <w:rFonts w:ascii="Arial"/>
                <w:spacing w:val="-1"/>
              </w:rPr>
              <w:t>rules</w:t>
            </w:r>
            <w:r>
              <w:rPr>
                <w:rFonts w:ascii="Arial"/>
                <w:spacing w:val="30"/>
              </w:rPr>
              <w:t xml:space="preserve"> </w:t>
            </w:r>
            <w:r>
              <w:rPr>
                <w:rFonts w:ascii="Arial"/>
                <w:spacing w:val="-1"/>
              </w:rPr>
              <w:t>which</w:t>
            </w:r>
            <w:r>
              <w:rPr>
                <w:rFonts w:ascii="Arial"/>
                <w:spacing w:val="15"/>
              </w:rPr>
              <w:t xml:space="preserve"> </w:t>
            </w:r>
            <w:r>
              <w:rPr>
                <w:rFonts w:ascii="Arial"/>
                <w:spacing w:val="-1"/>
              </w:rPr>
              <w:t>require</w:t>
            </w:r>
            <w:r>
              <w:rPr>
                <w:rFonts w:ascii="Arial"/>
                <w:spacing w:val="15"/>
              </w:rPr>
              <w:t xml:space="preserve"> </w:t>
            </w:r>
            <w:r>
              <w:rPr>
                <w:rFonts w:ascii="Arial"/>
              </w:rPr>
              <w:t>a</w:t>
            </w:r>
            <w:r>
              <w:rPr>
                <w:rFonts w:ascii="Arial"/>
                <w:spacing w:val="15"/>
              </w:rPr>
              <w:t xml:space="preserve"> </w:t>
            </w:r>
            <w:r>
              <w:rPr>
                <w:rFonts w:ascii="Arial"/>
                <w:spacing w:val="-2"/>
              </w:rPr>
              <w:t>promoter</w:t>
            </w:r>
            <w:r>
              <w:rPr>
                <w:rFonts w:ascii="Arial"/>
                <w:spacing w:val="16"/>
              </w:rPr>
              <w:t xml:space="preserve"> </w:t>
            </w:r>
            <w:r>
              <w:rPr>
                <w:rFonts w:ascii="Arial"/>
                <w:spacing w:val="-2"/>
              </w:rPr>
              <w:t>of</w:t>
            </w:r>
            <w:r>
              <w:rPr>
                <w:rFonts w:ascii="Arial"/>
                <w:spacing w:val="16"/>
              </w:rPr>
              <w:t xml:space="preserve"> </w:t>
            </w:r>
            <w:r>
              <w:rPr>
                <w:rFonts w:ascii="Arial"/>
              </w:rPr>
              <w:t>tax</w:t>
            </w:r>
            <w:r>
              <w:rPr>
                <w:rFonts w:ascii="Arial"/>
                <w:spacing w:val="13"/>
              </w:rPr>
              <w:t xml:space="preserve"> </w:t>
            </w:r>
            <w:r>
              <w:rPr>
                <w:rFonts w:ascii="Arial"/>
                <w:spacing w:val="-1"/>
              </w:rPr>
              <w:t>schemes</w:t>
            </w:r>
            <w:r>
              <w:rPr>
                <w:rFonts w:ascii="Arial"/>
                <w:spacing w:val="13"/>
              </w:rPr>
              <w:t xml:space="preserve"> </w:t>
            </w:r>
            <w:r>
              <w:rPr>
                <w:rFonts w:ascii="Arial"/>
              </w:rPr>
              <w:t>to</w:t>
            </w:r>
            <w:r>
              <w:rPr>
                <w:rFonts w:ascii="Arial"/>
                <w:spacing w:val="12"/>
              </w:rPr>
              <w:t xml:space="preserve"> </w:t>
            </w:r>
            <w:r>
              <w:rPr>
                <w:rFonts w:ascii="Arial"/>
                <w:spacing w:val="-1"/>
              </w:rPr>
              <w:t>tell</w:t>
            </w:r>
            <w:r>
              <w:rPr>
                <w:rFonts w:ascii="Arial"/>
                <w:spacing w:val="12"/>
              </w:rPr>
              <w:t xml:space="preserve"> </w:t>
            </w:r>
            <w:r>
              <w:rPr>
                <w:rFonts w:ascii="Arial"/>
                <w:spacing w:val="-2"/>
              </w:rPr>
              <w:t>HMRC</w:t>
            </w:r>
            <w:r>
              <w:rPr>
                <w:rFonts w:ascii="Arial"/>
                <w:spacing w:val="14"/>
              </w:rPr>
              <w:t xml:space="preserve"> </w:t>
            </w:r>
            <w:r>
              <w:rPr>
                <w:rFonts w:ascii="Arial"/>
                <w:spacing w:val="-1"/>
              </w:rPr>
              <w:t>of</w:t>
            </w:r>
            <w:r>
              <w:rPr>
                <w:rFonts w:ascii="Arial"/>
                <w:spacing w:val="36"/>
              </w:rPr>
              <w:t xml:space="preserve"> </w:t>
            </w:r>
            <w:r>
              <w:rPr>
                <w:rFonts w:ascii="Arial"/>
                <w:spacing w:val="-1"/>
              </w:rPr>
              <w:t>any</w:t>
            </w:r>
            <w:r>
              <w:rPr>
                <w:rFonts w:ascii="Arial"/>
                <w:spacing w:val="10"/>
              </w:rPr>
              <w:t xml:space="preserve"> </w:t>
            </w:r>
            <w:r>
              <w:rPr>
                <w:rFonts w:ascii="Arial"/>
                <w:spacing w:val="-1"/>
              </w:rPr>
              <w:t>specified</w:t>
            </w:r>
            <w:r>
              <w:rPr>
                <w:rFonts w:ascii="Arial"/>
                <w:spacing w:val="12"/>
              </w:rPr>
              <w:t xml:space="preserve"> </w:t>
            </w:r>
            <w:r>
              <w:rPr>
                <w:rFonts w:ascii="Arial"/>
                <w:spacing w:val="-1"/>
              </w:rPr>
              <w:t>notifiable</w:t>
            </w:r>
            <w:r>
              <w:rPr>
                <w:rFonts w:ascii="Arial"/>
                <w:spacing w:val="12"/>
              </w:rPr>
              <w:t xml:space="preserve"> </w:t>
            </w:r>
            <w:r>
              <w:rPr>
                <w:rFonts w:ascii="Arial"/>
                <w:spacing w:val="-1"/>
              </w:rPr>
              <w:t>arrangements</w:t>
            </w:r>
            <w:r>
              <w:rPr>
                <w:rFonts w:ascii="Arial"/>
                <w:spacing w:val="10"/>
              </w:rPr>
              <w:t xml:space="preserve"> </w:t>
            </w:r>
            <w:r>
              <w:rPr>
                <w:rFonts w:ascii="Arial"/>
                <w:spacing w:val="-1"/>
              </w:rPr>
              <w:t>or</w:t>
            </w:r>
            <w:r>
              <w:rPr>
                <w:rFonts w:ascii="Arial"/>
                <w:spacing w:val="11"/>
              </w:rPr>
              <w:t xml:space="preserve"> </w:t>
            </w:r>
            <w:r>
              <w:rPr>
                <w:rFonts w:ascii="Arial"/>
                <w:spacing w:val="-1"/>
              </w:rPr>
              <w:t>proposals</w:t>
            </w:r>
            <w:r>
              <w:rPr>
                <w:rFonts w:ascii="Arial"/>
                <w:spacing w:val="13"/>
              </w:rPr>
              <w:t xml:space="preserve"> </w:t>
            </w:r>
            <w:r>
              <w:rPr>
                <w:rFonts w:ascii="Arial"/>
                <w:spacing w:val="-1"/>
              </w:rPr>
              <w:t>and</w:t>
            </w:r>
            <w:r>
              <w:rPr>
                <w:rFonts w:ascii="Arial"/>
                <w:spacing w:val="10"/>
              </w:rPr>
              <w:t xml:space="preserve"> </w:t>
            </w:r>
            <w:r>
              <w:rPr>
                <w:rFonts w:ascii="Arial"/>
              </w:rPr>
              <w:t>to</w:t>
            </w:r>
            <w:r>
              <w:rPr>
                <w:rFonts w:ascii="Arial"/>
                <w:spacing w:val="25"/>
              </w:rPr>
              <w:t xml:space="preserve"> </w:t>
            </w:r>
            <w:r>
              <w:rPr>
                <w:rFonts w:ascii="Arial"/>
                <w:spacing w:val="-2"/>
              </w:rPr>
              <w:t>provide</w:t>
            </w:r>
            <w:r>
              <w:rPr>
                <w:rFonts w:ascii="Arial"/>
                <w:spacing w:val="22"/>
              </w:rPr>
              <w:t xml:space="preserve"> </w:t>
            </w:r>
            <w:r>
              <w:rPr>
                <w:rFonts w:ascii="Arial"/>
                <w:spacing w:val="-1"/>
              </w:rPr>
              <w:t>prescribed</w:t>
            </w:r>
            <w:r>
              <w:rPr>
                <w:rFonts w:ascii="Arial"/>
                <w:spacing w:val="22"/>
              </w:rPr>
              <w:t xml:space="preserve"> </w:t>
            </w:r>
            <w:r>
              <w:rPr>
                <w:rFonts w:ascii="Arial"/>
                <w:spacing w:val="-1"/>
              </w:rPr>
              <w:t>information</w:t>
            </w:r>
            <w:r>
              <w:rPr>
                <w:rFonts w:ascii="Arial"/>
                <w:spacing w:val="22"/>
              </w:rPr>
              <w:t xml:space="preserve"> </w:t>
            </w:r>
            <w:r>
              <w:rPr>
                <w:rFonts w:ascii="Arial"/>
                <w:spacing w:val="-1"/>
              </w:rPr>
              <w:t>on</w:t>
            </w:r>
            <w:r>
              <w:rPr>
                <w:rFonts w:ascii="Arial"/>
                <w:spacing w:val="20"/>
              </w:rPr>
              <w:t xml:space="preserve"> </w:t>
            </w:r>
            <w:r>
              <w:rPr>
                <w:rFonts w:ascii="Arial"/>
                <w:spacing w:val="-1"/>
              </w:rPr>
              <w:t>those</w:t>
            </w:r>
            <w:r>
              <w:rPr>
                <w:rFonts w:ascii="Arial"/>
                <w:spacing w:val="22"/>
              </w:rPr>
              <w:t xml:space="preserve"> </w:t>
            </w:r>
            <w:r>
              <w:rPr>
                <w:rFonts w:ascii="Arial"/>
                <w:spacing w:val="-1"/>
              </w:rPr>
              <w:t>arrangements</w:t>
            </w:r>
            <w:r>
              <w:rPr>
                <w:rFonts w:ascii="Arial"/>
                <w:spacing w:val="20"/>
              </w:rPr>
              <w:t xml:space="preserve"> </w:t>
            </w:r>
            <w:r>
              <w:rPr>
                <w:rFonts w:ascii="Arial"/>
                <w:spacing w:val="-2"/>
              </w:rPr>
              <w:t>or</w:t>
            </w:r>
            <w:r>
              <w:rPr>
                <w:rFonts w:ascii="Arial"/>
                <w:spacing w:val="41"/>
              </w:rPr>
              <w:t xml:space="preserve"> </w:t>
            </w:r>
            <w:r>
              <w:rPr>
                <w:rFonts w:ascii="Arial"/>
                <w:spacing w:val="-1"/>
              </w:rPr>
              <w:t>proposals</w:t>
            </w:r>
            <w:r>
              <w:rPr>
                <w:rFonts w:ascii="Arial"/>
                <w:spacing w:val="30"/>
              </w:rPr>
              <w:t xml:space="preserve"> </w:t>
            </w:r>
            <w:r>
              <w:rPr>
                <w:rFonts w:ascii="Arial"/>
                <w:spacing w:val="-2"/>
              </w:rPr>
              <w:t>within</w:t>
            </w:r>
            <w:r>
              <w:rPr>
                <w:rFonts w:ascii="Arial"/>
                <w:spacing w:val="29"/>
              </w:rPr>
              <w:t xml:space="preserve"> </w:t>
            </w:r>
            <w:r>
              <w:rPr>
                <w:rFonts w:ascii="Arial"/>
                <w:spacing w:val="-1"/>
              </w:rPr>
              <w:t>set</w:t>
            </w:r>
            <w:r>
              <w:rPr>
                <w:rFonts w:ascii="Arial"/>
                <w:spacing w:val="30"/>
              </w:rPr>
              <w:t xml:space="preserve"> </w:t>
            </w:r>
            <w:r>
              <w:rPr>
                <w:rFonts w:ascii="Arial"/>
                <w:spacing w:val="-1"/>
              </w:rPr>
              <w:t>time</w:t>
            </w:r>
            <w:r>
              <w:rPr>
                <w:rFonts w:ascii="Arial"/>
                <w:spacing w:val="29"/>
              </w:rPr>
              <w:t xml:space="preserve"> </w:t>
            </w:r>
            <w:r>
              <w:rPr>
                <w:rFonts w:ascii="Arial"/>
                <w:spacing w:val="-1"/>
              </w:rPr>
              <w:t>limits</w:t>
            </w:r>
            <w:r>
              <w:rPr>
                <w:rFonts w:ascii="Arial"/>
                <w:spacing w:val="30"/>
              </w:rPr>
              <w:t xml:space="preserve"> </w:t>
            </w:r>
            <w:r>
              <w:rPr>
                <w:rFonts w:ascii="Arial"/>
                <w:spacing w:val="-1"/>
              </w:rPr>
              <w:t>as</w:t>
            </w:r>
            <w:r>
              <w:rPr>
                <w:rFonts w:ascii="Arial"/>
                <w:spacing w:val="30"/>
              </w:rPr>
              <w:t xml:space="preserve"> </w:t>
            </w:r>
            <w:r>
              <w:rPr>
                <w:rFonts w:ascii="Arial"/>
                <w:spacing w:val="-1"/>
              </w:rPr>
              <w:t>contained</w:t>
            </w:r>
            <w:r>
              <w:rPr>
                <w:rFonts w:ascii="Arial"/>
                <w:spacing w:val="29"/>
              </w:rPr>
              <w:t xml:space="preserve"> </w:t>
            </w:r>
            <w:r>
              <w:rPr>
                <w:rFonts w:ascii="Arial"/>
                <w:spacing w:val="-1"/>
              </w:rPr>
              <w:t>in</w:t>
            </w:r>
            <w:r>
              <w:rPr>
                <w:rFonts w:ascii="Arial"/>
                <w:spacing w:val="27"/>
              </w:rPr>
              <w:t xml:space="preserve"> </w:t>
            </w:r>
            <w:r>
              <w:rPr>
                <w:rFonts w:ascii="Arial"/>
                <w:spacing w:val="-1"/>
              </w:rPr>
              <w:t>Part</w:t>
            </w:r>
            <w:r>
              <w:rPr>
                <w:rFonts w:ascii="Arial"/>
                <w:spacing w:val="3"/>
              </w:rPr>
              <w:t xml:space="preserve"> </w:t>
            </w:r>
            <w:r>
              <w:rPr>
                <w:rFonts w:ascii="Arial"/>
              </w:rPr>
              <w:t>7</w:t>
            </w:r>
            <w:r>
              <w:rPr>
                <w:rFonts w:ascii="Arial"/>
                <w:spacing w:val="27"/>
              </w:rPr>
              <w:t xml:space="preserve"> </w:t>
            </w:r>
            <w:r>
              <w:rPr>
                <w:rFonts w:ascii="Arial"/>
                <w:spacing w:val="-3"/>
              </w:rPr>
              <w:t>of</w:t>
            </w:r>
            <w:r>
              <w:rPr>
                <w:rFonts w:ascii="Arial"/>
                <w:spacing w:val="32"/>
              </w:rPr>
              <w:t xml:space="preserve"> </w:t>
            </w:r>
            <w:r>
              <w:rPr>
                <w:rFonts w:ascii="Arial"/>
              </w:rPr>
              <w:t>the</w:t>
            </w:r>
            <w:r>
              <w:rPr>
                <w:rFonts w:ascii="Arial"/>
                <w:spacing w:val="24"/>
              </w:rPr>
              <w:t xml:space="preserve"> </w:t>
            </w:r>
            <w:r>
              <w:rPr>
                <w:rFonts w:ascii="Arial"/>
                <w:spacing w:val="-1"/>
              </w:rPr>
              <w:t>Finance</w:t>
            </w:r>
            <w:r>
              <w:rPr>
                <w:rFonts w:ascii="Arial"/>
                <w:spacing w:val="25"/>
              </w:rPr>
              <w:t xml:space="preserve"> </w:t>
            </w:r>
            <w:r>
              <w:rPr>
                <w:rFonts w:ascii="Arial"/>
                <w:spacing w:val="-1"/>
              </w:rPr>
              <w:t>Act</w:t>
            </w:r>
            <w:r>
              <w:rPr>
                <w:rFonts w:ascii="Arial"/>
                <w:spacing w:val="26"/>
              </w:rPr>
              <w:t xml:space="preserve"> </w:t>
            </w:r>
            <w:r>
              <w:rPr>
                <w:rFonts w:ascii="Arial"/>
                <w:spacing w:val="-1"/>
              </w:rPr>
              <w:t>2004</w:t>
            </w:r>
            <w:r>
              <w:rPr>
                <w:rFonts w:ascii="Arial"/>
                <w:spacing w:val="24"/>
              </w:rPr>
              <w:t xml:space="preserve"> </w:t>
            </w:r>
            <w:r>
              <w:rPr>
                <w:rFonts w:ascii="Arial"/>
                <w:spacing w:val="-1"/>
              </w:rPr>
              <w:t>and</w:t>
            </w:r>
            <w:r>
              <w:rPr>
                <w:rFonts w:ascii="Arial"/>
                <w:spacing w:val="24"/>
              </w:rPr>
              <w:t xml:space="preserve"> </w:t>
            </w:r>
            <w:r>
              <w:rPr>
                <w:rFonts w:ascii="Arial"/>
                <w:spacing w:val="-1"/>
              </w:rPr>
              <w:t>in</w:t>
            </w:r>
            <w:r>
              <w:rPr>
                <w:rFonts w:ascii="Arial"/>
                <w:spacing w:val="24"/>
              </w:rPr>
              <w:t xml:space="preserve"> </w:t>
            </w:r>
            <w:r>
              <w:rPr>
                <w:rFonts w:ascii="Arial"/>
                <w:spacing w:val="-1"/>
              </w:rPr>
              <w:t>secondary</w:t>
            </w:r>
            <w:r>
              <w:rPr>
                <w:rFonts w:ascii="Arial"/>
                <w:spacing w:val="22"/>
              </w:rPr>
              <w:t xml:space="preserve"> </w:t>
            </w:r>
            <w:r>
              <w:rPr>
                <w:rFonts w:ascii="Arial"/>
                <w:spacing w:val="-1"/>
              </w:rPr>
              <w:t>legislation</w:t>
            </w:r>
            <w:r>
              <w:rPr>
                <w:rFonts w:ascii="Arial"/>
                <w:spacing w:val="24"/>
              </w:rPr>
              <w:t xml:space="preserve"> </w:t>
            </w:r>
            <w:r>
              <w:rPr>
                <w:rFonts w:ascii="Arial"/>
                <w:spacing w:val="-1"/>
              </w:rPr>
              <w:t>made</w:t>
            </w:r>
            <w:r>
              <w:rPr>
                <w:rFonts w:ascii="Arial"/>
                <w:spacing w:val="28"/>
              </w:rPr>
              <w:t xml:space="preserve"> </w:t>
            </w:r>
            <w:r>
              <w:rPr>
                <w:rFonts w:ascii="Arial"/>
                <w:spacing w:val="-1"/>
              </w:rPr>
              <w:t>under</w:t>
            </w:r>
            <w:r>
              <w:rPr>
                <w:rFonts w:ascii="Arial"/>
                <w:spacing w:val="35"/>
              </w:rPr>
              <w:t xml:space="preserve"> </w:t>
            </w:r>
            <w:r>
              <w:rPr>
                <w:rFonts w:ascii="Arial"/>
                <w:spacing w:val="-2"/>
              </w:rPr>
              <w:t>vires</w:t>
            </w:r>
            <w:r>
              <w:rPr>
                <w:rFonts w:ascii="Arial"/>
                <w:spacing w:val="34"/>
              </w:rPr>
              <w:t xml:space="preserve"> </w:t>
            </w:r>
            <w:r>
              <w:rPr>
                <w:rFonts w:ascii="Arial"/>
                <w:spacing w:val="-1"/>
              </w:rPr>
              <w:t>contained</w:t>
            </w:r>
            <w:r>
              <w:rPr>
                <w:rFonts w:ascii="Arial"/>
                <w:spacing w:val="34"/>
              </w:rPr>
              <w:t xml:space="preserve"> </w:t>
            </w:r>
            <w:r>
              <w:rPr>
                <w:rFonts w:ascii="Arial"/>
                <w:spacing w:val="-1"/>
              </w:rPr>
              <w:t>in</w:t>
            </w:r>
            <w:r>
              <w:rPr>
                <w:rFonts w:ascii="Arial"/>
                <w:spacing w:val="34"/>
              </w:rPr>
              <w:t xml:space="preserve"> </w:t>
            </w:r>
            <w:r>
              <w:rPr>
                <w:rFonts w:ascii="Arial"/>
                <w:spacing w:val="-1"/>
              </w:rPr>
              <w:t>Part</w:t>
            </w:r>
            <w:r>
              <w:rPr>
                <w:rFonts w:ascii="Arial"/>
              </w:rPr>
              <w:t xml:space="preserve"> 7</w:t>
            </w:r>
            <w:r>
              <w:rPr>
                <w:rFonts w:ascii="Arial"/>
                <w:spacing w:val="34"/>
              </w:rPr>
              <w:t xml:space="preserve"> </w:t>
            </w:r>
            <w:r>
              <w:rPr>
                <w:rFonts w:ascii="Arial"/>
                <w:spacing w:val="-2"/>
              </w:rPr>
              <w:t>of</w:t>
            </w:r>
            <w:r>
              <w:rPr>
                <w:rFonts w:ascii="Arial"/>
                <w:spacing w:val="33"/>
              </w:rPr>
              <w:t xml:space="preserve"> </w:t>
            </w:r>
            <w:r>
              <w:rPr>
                <w:rFonts w:ascii="Arial"/>
              </w:rPr>
              <w:t>the</w:t>
            </w:r>
            <w:r>
              <w:rPr>
                <w:rFonts w:ascii="Arial"/>
                <w:spacing w:val="35"/>
              </w:rPr>
              <w:t xml:space="preserve"> </w:t>
            </w:r>
            <w:r>
              <w:rPr>
                <w:rFonts w:ascii="Arial"/>
                <w:spacing w:val="-1"/>
              </w:rPr>
              <w:t>Finance</w:t>
            </w:r>
            <w:r>
              <w:rPr>
                <w:rFonts w:ascii="Arial"/>
                <w:spacing w:val="32"/>
              </w:rPr>
              <w:t xml:space="preserve"> </w:t>
            </w:r>
            <w:r>
              <w:rPr>
                <w:rFonts w:ascii="Arial"/>
                <w:spacing w:val="-1"/>
              </w:rPr>
              <w:t>Act</w:t>
            </w:r>
            <w:r>
              <w:rPr>
                <w:rFonts w:ascii="Arial"/>
                <w:spacing w:val="36"/>
              </w:rPr>
              <w:t xml:space="preserve"> </w:t>
            </w:r>
            <w:r>
              <w:rPr>
                <w:rFonts w:ascii="Arial"/>
                <w:spacing w:val="-2"/>
              </w:rPr>
              <w:t>2004</w:t>
            </w:r>
            <w:r>
              <w:rPr>
                <w:rFonts w:ascii="Arial"/>
                <w:spacing w:val="27"/>
              </w:rPr>
              <w:t xml:space="preserve"> </w:t>
            </w:r>
            <w:r>
              <w:rPr>
                <w:rFonts w:ascii="Arial"/>
                <w:spacing w:val="-1"/>
              </w:rPr>
              <w:t>and</w:t>
            </w:r>
            <w:r>
              <w:rPr>
                <w:rFonts w:ascii="Arial"/>
                <w:spacing w:val="51"/>
              </w:rPr>
              <w:t xml:space="preserve"> </w:t>
            </w:r>
            <w:r>
              <w:rPr>
                <w:rFonts w:ascii="Arial"/>
                <w:spacing w:val="-1"/>
              </w:rPr>
              <w:t>as</w:t>
            </w:r>
            <w:r>
              <w:rPr>
                <w:rFonts w:ascii="Arial"/>
                <w:spacing w:val="51"/>
              </w:rPr>
              <w:t xml:space="preserve"> </w:t>
            </w:r>
            <w:r>
              <w:rPr>
                <w:rFonts w:ascii="Arial"/>
                <w:spacing w:val="-1"/>
              </w:rPr>
              <w:t>extended</w:t>
            </w:r>
            <w:r>
              <w:rPr>
                <w:rFonts w:ascii="Arial"/>
                <w:spacing w:val="48"/>
              </w:rPr>
              <w:t xml:space="preserve"> </w:t>
            </w:r>
            <w:r>
              <w:rPr>
                <w:rFonts w:ascii="Arial"/>
              </w:rPr>
              <w:t>to</w:t>
            </w:r>
            <w:r>
              <w:rPr>
                <w:rFonts w:ascii="Arial"/>
                <w:spacing w:val="51"/>
              </w:rPr>
              <w:t xml:space="preserve"> </w:t>
            </w:r>
            <w:r>
              <w:rPr>
                <w:rFonts w:ascii="Arial"/>
                <w:spacing w:val="-2"/>
              </w:rPr>
              <w:t>national</w:t>
            </w:r>
            <w:r>
              <w:rPr>
                <w:rFonts w:ascii="Arial"/>
                <w:spacing w:val="50"/>
              </w:rPr>
              <w:t xml:space="preserve"> </w:t>
            </w:r>
            <w:r>
              <w:rPr>
                <w:rFonts w:ascii="Arial"/>
                <w:spacing w:val="-1"/>
              </w:rPr>
              <w:t>insurance</w:t>
            </w:r>
            <w:r>
              <w:rPr>
                <w:rFonts w:ascii="Arial"/>
                <w:spacing w:val="51"/>
              </w:rPr>
              <w:t xml:space="preserve"> </w:t>
            </w:r>
            <w:r>
              <w:rPr>
                <w:rFonts w:ascii="Arial"/>
                <w:spacing w:val="-1"/>
              </w:rPr>
              <w:t>contributions</w:t>
            </w:r>
            <w:r>
              <w:rPr>
                <w:rFonts w:ascii="Arial"/>
                <w:spacing w:val="52"/>
              </w:rPr>
              <w:t xml:space="preserve"> </w:t>
            </w:r>
            <w:r>
              <w:rPr>
                <w:rFonts w:ascii="Arial"/>
                <w:spacing w:val="-1"/>
              </w:rPr>
              <w:t>by</w:t>
            </w:r>
            <w:r>
              <w:rPr>
                <w:rFonts w:ascii="Arial"/>
                <w:spacing w:val="22"/>
              </w:rPr>
              <w:t xml:space="preserve"> </w:t>
            </w:r>
            <w:r>
              <w:rPr>
                <w:rFonts w:ascii="Arial"/>
              </w:rPr>
              <w:t xml:space="preserve">the </w:t>
            </w:r>
            <w:r>
              <w:rPr>
                <w:rFonts w:ascii="Arial"/>
                <w:spacing w:val="-1"/>
              </w:rPr>
              <w:t>National</w:t>
            </w:r>
            <w:r>
              <w:rPr>
                <w:rFonts w:ascii="Arial"/>
              </w:rPr>
              <w:t xml:space="preserve"> </w:t>
            </w:r>
            <w:r>
              <w:rPr>
                <w:rFonts w:ascii="Arial"/>
                <w:spacing w:val="-1"/>
              </w:rPr>
              <w:t>Insurance</w:t>
            </w:r>
            <w:r>
              <w:rPr>
                <w:rFonts w:ascii="Arial"/>
                <w:spacing w:val="1"/>
              </w:rPr>
              <w:t xml:space="preserve"> </w:t>
            </w:r>
            <w:r>
              <w:rPr>
                <w:rFonts w:ascii="Arial"/>
                <w:spacing w:val="-1"/>
              </w:rPr>
              <w:t>Contributions</w:t>
            </w:r>
            <w:r>
              <w:rPr>
                <w:rFonts w:ascii="Arial"/>
                <w:spacing w:val="1"/>
              </w:rPr>
              <w:t xml:space="preserve"> </w:t>
            </w:r>
            <w:r>
              <w:rPr>
                <w:rFonts w:ascii="Arial"/>
                <w:spacing w:val="-1"/>
              </w:rPr>
              <w:t>(Application</w:t>
            </w:r>
            <w:r>
              <w:rPr>
                <w:rFonts w:ascii="Arial"/>
                <w:spacing w:val="-2"/>
              </w:rPr>
              <w:t xml:space="preserve"> of</w:t>
            </w:r>
            <w:r>
              <w:rPr>
                <w:rFonts w:ascii="Arial"/>
                <w:spacing w:val="4"/>
              </w:rPr>
              <w:t xml:space="preserve"> </w:t>
            </w:r>
            <w:r>
              <w:rPr>
                <w:rFonts w:ascii="Arial"/>
                <w:spacing w:val="-1"/>
              </w:rPr>
              <w:t>Part</w:t>
            </w:r>
            <w:r>
              <w:rPr>
                <w:rFonts w:ascii="Arial"/>
                <w:spacing w:val="2"/>
              </w:rPr>
              <w:t xml:space="preserve"> </w:t>
            </w:r>
            <w:r>
              <w:rPr>
                <w:rFonts w:ascii="Arial"/>
              </w:rPr>
              <w:t>7</w:t>
            </w:r>
            <w:r>
              <w:rPr>
                <w:rFonts w:ascii="Arial"/>
                <w:spacing w:val="25"/>
              </w:rPr>
              <w:t xml:space="preserve"> </w:t>
            </w:r>
            <w:r>
              <w:rPr>
                <w:rFonts w:ascii="Arial"/>
                <w:spacing w:val="-2"/>
              </w:rPr>
              <w:t>of</w:t>
            </w:r>
            <w:r>
              <w:rPr>
                <w:rFonts w:ascii="Arial"/>
                <w:spacing w:val="47"/>
              </w:rPr>
              <w:t xml:space="preserve"> </w:t>
            </w:r>
            <w:r>
              <w:rPr>
                <w:rFonts w:ascii="Arial"/>
              </w:rPr>
              <w:t>the</w:t>
            </w:r>
            <w:r>
              <w:rPr>
                <w:rFonts w:ascii="Arial"/>
                <w:spacing w:val="44"/>
              </w:rPr>
              <w:t xml:space="preserve"> </w:t>
            </w:r>
            <w:r>
              <w:rPr>
                <w:rFonts w:ascii="Arial"/>
                <w:spacing w:val="-1"/>
              </w:rPr>
              <w:t>Finance</w:t>
            </w:r>
            <w:r>
              <w:rPr>
                <w:rFonts w:ascii="Arial"/>
                <w:spacing w:val="44"/>
              </w:rPr>
              <w:t xml:space="preserve"> </w:t>
            </w:r>
            <w:r>
              <w:rPr>
                <w:rFonts w:ascii="Arial"/>
                <w:spacing w:val="-1"/>
              </w:rPr>
              <w:t>Act</w:t>
            </w:r>
            <w:r>
              <w:rPr>
                <w:rFonts w:ascii="Arial"/>
                <w:spacing w:val="43"/>
              </w:rPr>
              <w:t xml:space="preserve"> </w:t>
            </w:r>
            <w:r>
              <w:rPr>
                <w:rFonts w:ascii="Arial"/>
                <w:spacing w:val="-1"/>
              </w:rPr>
              <w:t>2004)</w:t>
            </w:r>
            <w:r>
              <w:rPr>
                <w:rFonts w:ascii="Arial"/>
                <w:spacing w:val="45"/>
              </w:rPr>
              <w:t xml:space="preserve"> </w:t>
            </w:r>
            <w:r>
              <w:rPr>
                <w:rFonts w:ascii="Arial"/>
                <w:spacing w:val="-1"/>
              </w:rPr>
              <w:t>Regulations</w:t>
            </w:r>
            <w:r>
              <w:rPr>
                <w:rFonts w:ascii="Arial"/>
                <w:spacing w:val="44"/>
              </w:rPr>
              <w:t xml:space="preserve"> </w:t>
            </w:r>
            <w:r>
              <w:rPr>
                <w:rFonts w:ascii="Arial"/>
                <w:spacing w:val="-1"/>
              </w:rPr>
              <w:t>2012,</w:t>
            </w:r>
            <w:r>
              <w:rPr>
                <w:rFonts w:ascii="Arial"/>
                <w:spacing w:val="46"/>
              </w:rPr>
              <w:t xml:space="preserve"> </w:t>
            </w:r>
            <w:r>
              <w:rPr>
                <w:rFonts w:ascii="Arial"/>
                <w:spacing w:val="-1"/>
              </w:rPr>
              <w:t>SI</w:t>
            </w:r>
            <w:r>
              <w:rPr>
                <w:rFonts w:ascii="Arial"/>
                <w:spacing w:val="29"/>
              </w:rPr>
              <w:t xml:space="preserve"> </w:t>
            </w:r>
            <w:r>
              <w:rPr>
                <w:rFonts w:ascii="Arial"/>
                <w:spacing w:val="-1"/>
              </w:rPr>
              <w:t>2012/1868)</w:t>
            </w:r>
            <w:r>
              <w:rPr>
                <w:rFonts w:ascii="Arial"/>
                <w:spacing w:val="58"/>
              </w:rPr>
              <w:t xml:space="preserve"> </w:t>
            </w:r>
            <w:r>
              <w:rPr>
                <w:rFonts w:ascii="Arial"/>
                <w:spacing w:val="-1"/>
              </w:rPr>
              <w:t>made</w:t>
            </w:r>
            <w:r>
              <w:rPr>
                <w:rFonts w:ascii="Arial"/>
                <w:spacing w:val="57"/>
              </w:rPr>
              <w:t xml:space="preserve"> </w:t>
            </w:r>
            <w:r>
              <w:rPr>
                <w:rFonts w:ascii="Arial"/>
                <w:spacing w:val="-2"/>
              </w:rPr>
              <w:t>under</w:t>
            </w:r>
            <w:r>
              <w:rPr>
                <w:rFonts w:ascii="Arial"/>
                <w:spacing w:val="60"/>
              </w:rPr>
              <w:t xml:space="preserve"> </w:t>
            </w:r>
            <w:r>
              <w:rPr>
                <w:rFonts w:ascii="Arial"/>
                <w:spacing w:val="-1"/>
              </w:rPr>
              <w:t>section</w:t>
            </w:r>
            <w:r>
              <w:rPr>
                <w:rFonts w:ascii="Arial"/>
                <w:spacing w:val="2"/>
              </w:rPr>
              <w:t xml:space="preserve"> </w:t>
            </w:r>
            <w:r>
              <w:rPr>
                <w:rFonts w:ascii="Arial"/>
                <w:spacing w:val="-1"/>
              </w:rPr>
              <w:t>132A</w:t>
            </w:r>
            <w:r>
              <w:rPr>
                <w:rFonts w:ascii="Arial"/>
                <w:spacing w:val="59"/>
              </w:rPr>
              <w:t xml:space="preserve"> </w:t>
            </w:r>
            <w:r>
              <w:rPr>
                <w:rFonts w:ascii="Arial"/>
                <w:spacing w:val="-2"/>
              </w:rPr>
              <w:t>of</w:t>
            </w:r>
            <w:r>
              <w:rPr>
                <w:rFonts w:ascii="Arial"/>
                <w:spacing w:val="58"/>
              </w:rPr>
              <w:t xml:space="preserve"> </w:t>
            </w:r>
            <w:r>
              <w:rPr>
                <w:rFonts w:ascii="Arial"/>
                <w:spacing w:val="-1"/>
              </w:rPr>
              <w:t>the</w:t>
            </w:r>
            <w:r>
              <w:rPr>
                <w:rFonts w:ascii="Arial"/>
                <w:spacing w:val="59"/>
              </w:rPr>
              <w:t xml:space="preserve"> </w:t>
            </w:r>
            <w:r>
              <w:rPr>
                <w:rFonts w:ascii="Arial"/>
                <w:spacing w:val="-1"/>
              </w:rPr>
              <w:t>Social</w:t>
            </w:r>
            <w:r>
              <w:rPr>
                <w:rFonts w:ascii="Arial"/>
                <w:spacing w:val="26"/>
              </w:rPr>
              <w:t xml:space="preserve"> </w:t>
            </w:r>
            <w:r>
              <w:rPr>
                <w:rFonts w:ascii="Arial"/>
                <w:spacing w:val="-1"/>
              </w:rPr>
              <w:t>Security</w:t>
            </w:r>
            <w:r>
              <w:rPr>
                <w:rFonts w:ascii="Arial"/>
                <w:spacing w:val="-2"/>
              </w:rPr>
              <w:t xml:space="preserve"> </w:t>
            </w:r>
            <w:r>
              <w:rPr>
                <w:rFonts w:ascii="Arial"/>
                <w:spacing w:val="-1"/>
              </w:rPr>
              <w:t>Administration</w:t>
            </w:r>
            <w:r>
              <w:rPr>
                <w:rFonts w:ascii="Arial"/>
                <w:spacing w:val="-2"/>
              </w:rPr>
              <w:t xml:space="preserve"> </w:t>
            </w:r>
            <w:r>
              <w:rPr>
                <w:rFonts w:ascii="Arial"/>
                <w:spacing w:val="-1"/>
              </w:rPr>
              <w:t>Act</w:t>
            </w:r>
            <w:r>
              <w:rPr>
                <w:rFonts w:ascii="Arial"/>
                <w:spacing w:val="2"/>
              </w:rPr>
              <w:t xml:space="preserve"> </w:t>
            </w:r>
            <w:r>
              <w:rPr>
                <w:rFonts w:ascii="Arial"/>
                <w:spacing w:val="-2"/>
              </w:rPr>
              <w:t>1992;</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837"/>
              <w:rPr>
                <w:rFonts w:ascii="Arial" w:eastAsia="Arial" w:hAnsi="Arial" w:cs="Arial"/>
              </w:rPr>
            </w:pPr>
            <w:r>
              <w:rPr>
                <w:rFonts w:ascii="Arial"/>
                <w:b/>
                <w:spacing w:val="-1"/>
              </w:rPr>
              <w:t>"Due</w:t>
            </w:r>
            <w:r>
              <w:rPr>
                <w:rFonts w:ascii="Arial"/>
                <w:b/>
              </w:rPr>
              <w:t xml:space="preserve"> </w:t>
            </w:r>
            <w:r>
              <w:rPr>
                <w:rFonts w:ascii="Arial"/>
                <w:b/>
                <w:spacing w:val="-1"/>
              </w:rPr>
              <w:t>Diligence</w:t>
            </w:r>
            <w:r>
              <w:rPr>
                <w:rFonts w:ascii="Arial"/>
                <w:b/>
                <w:spacing w:val="23"/>
              </w:rPr>
              <w:t xml:space="preserve"> </w:t>
            </w:r>
            <w:r>
              <w:rPr>
                <w:rFonts w:ascii="Arial"/>
                <w:b/>
                <w:spacing w:val="-1"/>
              </w:rPr>
              <w:t>Information"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1"/>
              <w:jc w:val="both"/>
              <w:rPr>
                <w:rFonts w:ascii="Arial" w:eastAsia="Arial" w:hAnsi="Arial" w:cs="Arial"/>
              </w:rPr>
            </w:pPr>
            <w:r>
              <w:rPr>
                <w:rFonts w:ascii="Arial"/>
                <w:spacing w:val="-1"/>
              </w:rPr>
              <w:t>means</w:t>
            </w:r>
            <w:r>
              <w:rPr>
                <w:rFonts w:ascii="Arial"/>
                <w:spacing w:val="25"/>
              </w:rPr>
              <w:t xml:space="preserve"> </w:t>
            </w:r>
            <w:r>
              <w:rPr>
                <w:rFonts w:ascii="Arial"/>
                <w:spacing w:val="-1"/>
              </w:rPr>
              <w:t>any</w:t>
            </w:r>
            <w:r>
              <w:rPr>
                <w:rFonts w:ascii="Arial"/>
                <w:spacing w:val="22"/>
              </w:rPr>
              <w:t xml:space="preserve"> </w:t>
            </w:r>
            <w:r>
              <w:rPr>
                <w:rFonts w:ascii="Arial"/>
                <w:spacing w:val="-1"/>
              </w:rPr>
              <w:t>information</w:t>
            </w:r>
            <w:r>
              <w:rPr>
                <w:rFonts w:ascii="Arial"/>
                <w:spacing w:val="22"/>
              </w:rPr>
              <w:t xml:space="preserve"> </w:t>
            </w:r>
            <w:r>
              <w:rPr>
                <w:rFonts w:ascii="Arial"/>
                <w:spacing w:val="-1"/>
              </w:rPr>
              <w:t>supplied</w:t>
            </w:r>
            <w:r>
              <w:rPr>
                <w:rFonts w:ascii="Arial"/>
                <w:spacing w:val="24"/>
              </w:rPr>
              <w:t xml:space="preserve"> </w:t>
            </w:r>
            <w:r>
              <w:rPr>
                <w:rFonts w:ascii="Arial"/>
              </w:rPr>
              <w:t>to</w:t>
            </w:r>
            <w:r>
              <w:rPr>
                <w:rFonts w:ascii="Arial"/>
                <w:spacing w:val="24"/>
              </w:rPr>
              <w:t xml:space="preserve"> </w:t>
            </w:r>
            <w:r>
              <w:rPr>
                <w:rFonts w:ascii="Arial"/>
              </w:rPr>
              <w:t>the</w:t>
            </w:r>
            <w:r>
              <w:rPr>
                <w:rFonts w:ascii="Arial"/>
                <w:spacing w:val="24"/>
              </w:rPr>
              <w:t xml:space="preserve"> </w:t>
            </w:r>
            <w:r>
              <w:rPr>
                <w:rFonts w:ascii="Arial"/>
                <w:spacing w:val="-2"/>
              </w:rPr>
              <w:t>Supplier</w:t>
            </w:r>
            <w:r>
              <w:rPr>
                <w:rFonts w:ascii="Arial"/>
                <w:spacing w:val="26"/>
              </w:rPr>
              <w:t xml:space="preserve"> </w:t>
            </w:r>
            <w:r>
              <w:rPr>
                <w:rFonts w:ascii="Arial"/>
                <w:spacing w:val="-1"/>
              </w:rPr>
              <w:t>by</w:t>
            </w:r>
            <w:r>
              <w:rPr>
                <w:rFonts w:ascii="Arial"/>
                <w:spacing w:val="22"/>
              </w:rPr>
              <w:t xml:space="preserve"> </w:t>
            </w:r>
            <w:r>
              <w:rPr>
                <w:rFonts w:ascii="Arial"/>
                <w:spacing w:val="-1"/>
              </w:rPr>
              <w:t>or</w:t>
            </w:r>
            <w:r>
              <w:rPr>
                <w:rFonts w:ascii="Arial"/>
                <w:spacing w:val="26"/>
              </w:rPr>
              <w:t xml:space="preserve"> </w:t>
            </w:r>
            <w:r>
              <w:rPr>
                <w:rFonts w:ascii="Arial"/>
                <w:spacing w:val="-1"/>
              </w:rPr>
              <w:t>on</w:t>
            </w:r>
            <w:r>
              <w:rPr>
                <w:rFonts w:ascii="Arial"/>
                <w:spacing w:val="36"/>
              </w:rPr>
              <w:t xml:space="preserve"> </w:t>
            </w:r>
            <w:r>
              <w:rPr>
                <w:rFonts w:ascii="Arial"/>
                <w:spacing w:val="-1"/>
              </w:rPr>
              <w:t>behalf</w:t>
            </w:r>
            <w:r>
              <w:rPr>
                <w:rFonts w:ascii="Arial"/>
                <w:spacing w:val="45"/>
              </w:rPr>
              <w:t xml:space="preserve"> </w:t>
            </w:r>
            <w:r>
              <w:rPr>
                <w:rFonts w:ascii="Arial"/>
                <w:spacing w:val="-2"/>
              </w:rPr>
              <w:t>of</w:t>
            </w:r>
            <w:r>
              <w:rPr>
                <w:rFonts w:ascii="Arial"/>
                <w:spacing w:val="43"/>
              </w:rPr>
              <w:t xml:space="preserve"> </w:t>
            </w:r>
            <w:r>
              <w:rPr>
                <w:rFonts w:ascii="Arial"/>
              </w:rPr>
              <w:t>the</w:t>
            </w:r>
            <w:r>
              <w:rPr>
                <w:rFonts w:ascii="Arial"/>
                <w:spacing w:val="22"/>
              </w:rPr>
              <w:t xml:space="preserve"> </w:t>
            </w:r>
            <w:r>
              <w:rPr>
                <w:rFonts w:ascii="Arial"/>
                <w:spacing w:val="-2"/>
              </w:rPr>
              <w:t>Customer</w:t>
            </w:r>
            <w:r>
              <w:rPr>
                <w:rFonts w:ascii="Arial"/>
                <w:spacing w:val="42"/>
              </w:rPr>
              <w:t xml:space="preserve"> </w:t>
            </w:r>
            <w:r>
              <w:rPr>
                <w:rFonts w:ascii="Arial"/>
                <w:spacing w:val="-2"/>
              </w:rPr>
              <w:t>prior</w:t>
            </w:r>
            <w:r>
              <w:rPr>
                <w:rFonts w:ascii="Arial"/>
                <w:spacing w:val="42"/>
              </w:rPr>
              <w:t xml:space="preserve"> </w:t>
            </w:r>
            <w:r>
              <w:rPr>
                <w:rFonts w:ascii="Arial"/>
              </w:rPr>
              <w:t>to</w:t>
            </w:r>
            <w:r>
              <w:rPr>
                <w:rFonts w:ascii="Arial"/>
                <w:spacing w:val="39"/>
              </w:rPr>
              <w:t xml:space="preserve"> </w:t>
            </w:r>
            <w:r>
              <w:rPr>
                <w:rFonts w:ascii="Arial"/>
              </w:rPr>
              <w:t>the</w:t>
            </w:r>
            <w:r>
              <w:rPr>
                <w:rFonts w:ascii="Arial"/>
                <w:spacing w:val="39"/>
              </w:rPr>
              <w:t xml:space="preserve"> </w:t>
            </w:r>
            <w:r>
              <w:rPr>
                <w:rFonts w:ascii="Arial"/>
                <w:spacing w:val="-1"/>
              </w:rPr>
              <w:t>Call</w:t>
            </w:r>
            <w:r>
              <w:rPr>
                <w:rFonts w:ascii="Arial"/>
                <w:spacing w:val="41"/>
              </w:rPr>
              <w:t xml:space="preserve"> </w:t>
            </w:r>
            <w:r>
              <w:rPr>
                <w:rFonts w:ascii="Arial"/>
              </w:rPr>
              <w:t>Off</w:t>
            </w:r>
            <w:r>
              <w:rPr>
                <w:rFonts w:ascii="Arial"/>
                <w:spacing w:val="26"/>
              </w:rPr>
              <w:t xml:space="preserve"> </w:t>
            </w:r>
            <w:r>
              <w:rPr>
                <w:rFonts w:ascii="Arial"/>
                <w:spacing w:val="-1"/>
              </w:rPr>
              <w:t>Commencement</w:t>
            </w:r>
            <w:r>
              <w:rPr>
                <w:rFonts w:ascii="Arial"/>
              </w:rPr>
              <w:t xml:space="preserve"> </w:t>
            </w:r>
            <w:r>
              <w:rPr>
                <w:rFonts w:ascii="Arial"/>
                <w:spacing w:val="-2"/>
              </w:rPr>
              <w:t>Date;</w:t>
            </w:r>
          </w:p>
        </w:tc>
      </w:tr>
      <w:tr w:rsidR="008918FA" w:rsidTr="005D2B81">
        <w:trPr>
          <w:trHeight w:hRule="exact" w:val="2407"/>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39" w:lineRule="auto"/>
              <w:ind w:left="-6" w:right="1258"/>
              <w:rPr>
                <w:rFonts w:ascii="Arial" w:eastAsia="Arial" w:hAnsi="Arial" w:cs="Arial"/>
              </w:rPr>
            </w:pPr>
            <w:r>
              <w:rPr>
                <w:rFonts w:ascii="Arial"/>
                <w:b/>
                <w:spacing w:val="-2"/>
              </w:rPr>
              <w:t>"Employee</w:t>
            </w:r>
            <w:r>
              <w:rPr>
                <w:rFonts w:ascii="Arial"/>
                <w:b/>
                <w:spacing w:val="28"/>
              </w:rPr>
              <w:t xml:space="preserve"> </w:t>
            </w:r>
            <w:r>
              <w:rPr>
                <w:rFonts w:ascii="Arial"/>
                <w:b/>
                <w:spacing w:val="-1"/>
              </w:rPr>
              <w:t>Liabilities"</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13"/>
              </w:rPr>
              <w:t xml:space="preserve"> </w:t>
            </w:r>
            <w:r>
              <w:rPr>
                <w:rFonts w:ascii="Arial"/>
                <w:spacing w:val="-1"/>
              </w:rPr>
              <w:t>all</w:t>
            </w:r>
            <w:r>
              <w:rPr>
                <w:rFonts w:ascii="Arial"/>
                <w:spacing w:val="12"/>
              </w:rPr>
              <w:t xml:space="preserve"> </w:t>
            </w:r>
            <w:r>
              <w:rPr>
                <w:rFonts w:ascii="Arial"/>
                <w:spacing w:val="-2"/>
              </w:rPr>
              <w:t>claims,</w:t>
            </w:r>
            <w:r>
              <w:rPr>
                <w:rFonts w:ascii="Arial"/>
                <w:spacing w:val="14"/>
              </w:rPr>
              <w:t xml:space="preserve"> </w:t>
            </w:r>
            <w:r>
              <w:rPr>
                <w:rFonts w:ascii="Arial"/>
                <w:spacing w:val="-2"/>
              </w:rPr>
              <w:t>actions,</w:t>
            </w:r>
            <w:r>
              <w:rPr>
                <w:rFonts w:ascii="Arial"/>
                <w:spacing w:val="14"/>
              </w:rPr>
              <w:t xml:space="preserve"> </w:t>
            </w:r>
            <w:r>
              <w:rPr>
                <w:rFonts w:ascii="Arial"/>
                <w:spacing w:val="-1"/>
              </w:rPr>
              <w:t>proceedings,</w:t>
            </w:r>
            <w:r>
              <w:rPr>
                <w:rFonts w:ascii="Arial"/>
                <w:spacing w:val="12"/>
              </w:rPr>
              <w:t xml:space="preserve"> </w:t>
            </w:r>
            <w:r>
              <w:rPr>
                <w:rFonts w:ascii="Arial"/>
                <w:spacing w:val="-1"/>
              </w:rPr>
              <w:t>orders,</w:t>
            </w:r>
            <w:r>
              <w:rPr>
                <w:rFonts w:ascii="Arial"/>
                <w:spacing w:val="9"/>
              </w:rPr>
              <w:t xml:space="preserve"> </w:t>
            </w:r>
            <w:r>
              <w:rPr>
                <w:rFonts w:ascii="Arial"/>
                <w:spacing w:val="-1"/>
              </w:rPr>
              <w:t>demands,</w:t>
            </w:r>
            <w:r>
              <w:rPr>
                <w:rFonts w:ascii="Arial"/>
                <w:spacing w:val="32"/>
              </w:rPr>
              <w:t xml:space="preserve"> </w:t>
            </w:r>
            <w:r>
              <w:rPr>
                <w:rFonts w:ascii="Arial"/>
                <w:spacing w:val="-1"/>
              </w:rPr>
              <w:t>complaints,</w:t>
            </w:r>
            <w:r>
              <w:rPr>
                <w:rFonts w:ascii="Arial"/>
                <w:spacing w:val="17"/>
              </w:rPr>
              <w:t xml:space="preserve"> </w:t>
            </w:r>
            <w:r>
              <w:rPr>
                <w:rFonts w:ascii="Arial"/>
                <w:spacing w:val="-1"/>
              </w:rPr>
              <w:t>investigations</w:t>
            </w:r>
            <w:r>
              <w:rPr>
                <w:rFonts w:ascii="Arial"/>
                <w:spacing w:val="15"/>
              </w:rPr>
              <w:t xml:space="preserve"> </w:t>
            </w:r>
            <w:r>
              <w:rPr>
                <w:rFonts w:ascii="Arial"/>
                <w:spacing w:val="-1"/>
              </w:rPr>
              <w:t>(save</w:t>
            </w:r>
            <w:r>
              <w:rPr>
                <w:rFonts w:ascii="Arial"/>
                <w:spacing w:val="15"/>
              </w:rPr>
              <w:t xml:space="preserve"> </w:t>
            </w:r>
            <w:r>
              <w:rPr>
                <w:rFonts w:ascii="Arial"/>
              </w:rPr>
              <w:t>for</w:t>
            </w:r>
            <w:r>
              <w:rPr>
                <w:rFonts w:ascii="Arial"/>
                <w:spacing w:val="16"/>
              </w:rPr>
              <w:t xml:space="preserve"> </w:t>
            </w:r>
            <w:r>
              <w:rPr>
                <w:rFonts w:ascii="Arial"/>
                <w:spacing w:val="-1"/>
              </w:rPr>
              <w:t>any</w:t>
            </w:r>
            <w:r>
              <w:rPr>
                <w:rFonts w:ascii="Arial"/>
                <w:spacing w:val="13"/>
              </w:rPr>
              <w:t xml:space="preserve"> </w:t>
            </w:r>
            <w:r>
              <w:rPr>
                <w:rFonts w:ascii="Arial"/>
                <w:spacing w:val="-1"/>
              </w:rPr>
              <w:t>claims</w:t>
            </w:r>
            <w:r>
              <w:rPr>
                <w:rFonts w:ascii="Arial"/>
                <w:spacing w:val="13"/>
              </w:rPr>
              <w:t xml:space="preserve"> </w:t>
            </w:r>
            <w:r>
              <w:rPr>
                <w:rFonts w:ascii="Arial"/>
              </w:rPr>
              <w:t>for</w:t>
            </w:r>
            <w:r>
              <w:rPr>
                <w:rFonts w:ascii="Arial"/>
                <w:spacing w:val="30"/>
              </w:rPr>
              <w:t xml:space="preserve"> </w:t>
            </w:r>
            <w:r>
              <w:rPr>
                <w:rFonts w:ascii="Arial"/>
                <w:spacing w:val="-1"/>
              </w:rPr>
              <w:t>personal</w:t>
            </w:r>
            <w:r>
              <w:rPr>
                <w:rFonts w:ascii="Arial"/>
                <w:spacing w:val="19"/>
              </w:rPr>
              <w:t xml:space="preserve"> </w:t>
            </w:r>
            <w:r>
              <w:rPr>
                <w:rFonts w:ascii="Arial"/>
                <w:spacing w:val="-1"/>
              </w:rPr>
              <w:t>injury</w:t>
            </w:r>
            <w:r>
              <w:rPr>
                <w:rFonts w:ascii="Arial"/>
                <w:spacing w:val="20"/>
              </w:rPr>
              <w:t xml:space="preserve"> </w:t>
            </w:r>
            <w:r>
              <w:rPr>
                <w:rFonts w:ascii="Arial"/>
                <w:spacing w:val="-2"/>
              </w:rPr>
              <w:t>which</w:t>
            </w:r>
            <w:r>
              <w:rPr>
                <w:rFonts w:ascii="Arial"/>
                <w:spacing w:val="20"/>
              </w:rPr>
              <w:t xml:space="preserve"> </w:t>
            </w:r>
            <w:r>
              <w:rPr>
                <w:rFonts w:ascii="Arial"/>
              </w:rPr>
              <w:t>are</w:t>
            </w:r>
            <w:r>
              <w:rPr>
                <w:rFonts w:ascii="Arial"/>
                <w:spacing w:val="20"/>
              </w:rPr>
              <w:t xml:space="preserve"> </w:t>
            </w:r>
            <w:r>
              <w:rPr>
                <w:rFonts w:ascii="Arial"/>
                <w:spacing w:val="-1"/>
              </w:rPr>
              <w:t>covered</w:t>
            </w:r>
            <w:r>
              <w:rPr>
                <w:rFonts w:ascii="Arial"/>
                <w:spacing w:val="19"/>
              </w:rPr>
              <w:t xml:space="preserve"> </w:t>
            </w:r>
            <w:r>
              <w:rPr>
                <w:rFonts w:ascii="Arial"/>
                <w:spacing w:val="1"/>
              </w:rPr>
              <w:t>by</w:t>
            </w:r>
            <w:r>
              <w:rPr>
                <w:rFonts w:ascii="Arial"/>
                <w:spacing w:val="17"/>
              </w:rPr>
              <w:t xml:space="preserve"> </w:t>
            </w:r>
            <w:r>
              <w:rPr>
                <w:rFonts w:ascii="Arial"/>
                <w:spacing w:val="-1"/>
              </w:rPr>
              <w:t>insurance)</w:t>
            </w:r>
            <w:r>
              <w:rPr>
                <w:rFonts w:ascii="Arial"/>
                <w:spacing w:val="21"/>
              </w:rPr>
              <w:t xml:space="preserve"> </w:t>
            </w:r>
            <w:r>
              <w:rPr>
                <w:rFonts w:ascii="Arial"/>
                <w:spacing w:val="-1"/>
              </w:rPr>
              <w:t>and</w:t>
            </w:r>
            <w:r>
              <w:rPr>
                <w:rFonts w:ascii="Arial"/>
                <w:spacing w:val="20"/>
              </w:rPr>
              <w:t xml:space="preserve"> </w:t>
            </w:r>
            <w:r>
              <w:rPr>
                <w:rFonts w:ascii="Arial"/>
              </w:rPr>
              <w:t>any</w:t>
            </w:r>
            <w:r>
              <w:rPr>
                <w:rFonts w:ascii="Arial"/>
                <w:spacing w:val="33"/>
              </w:rPr>
              <w:t xml:space="preserve"> </w:t>
            </w:r>
            <w:r>
              <w:rPr>
                <w:rFonts w:ascii="Arial"/>
                <w:spacing w:val="-2"/>
              </w:rPr>
              <w:t>award,</w:t>
            </w:r>
            <w:r>
              <w:rPr>
                <w:rFonts w:ascii="Arial"/>
                <w:spacing w:val="20"/>
              </w:rPr>
              <w:t xml:space="preserve"> </w:t>
            </w:r>
            <w:r>
              <w:rPr>
                <w:rFonts w:ascii="Arial"/>
                <w:spacing w:val="-1"/>
              </w:rPr>
              <w:t>compensation,</w:t>
            </w:r>
            <w:r>
              <w:rPr>
                <w:rFonts w:ascii="Arial"/>
                <w:spacing w:val="20"/>
              </w:rPr>
              <w:t xml:space="preserve"> </w:t>
            </w:r>
            <w:r>
              <w:rPr>
                <w:rFonts w:ascii="Arial"/>
                <w:spacing w:val="-1"/>
              </w:rPr>
              <w:t>damages,</w:t>
            </w:r>
            <w:r>
              <w:rPr>
                <w:rFonts w:ascii="Arial"/>
                <w:spacing w:val="18"/>
              </w:rPr>
              <w:t xml:space="preserve"> </w:t>
            </w:r>
            <w:r>
              <w:rPr>
                <w:rFonts w:ascii="Arial"/>
                <w:spacing w:val="-1"/>
              </w:rPr>
              <w:t>tribunal</w:t>
            </w:r>
            <w:r>
              <w:rPr>
                <w:rFonts w:ascii="Arial"/>
                <w:spacing w:val="19"/>
              </w:rPr>
              <w:t xml:space="preserve"> </w:t>
            </w:r>
            <w:r>
              <w:rPr>
                <w:rFonts w:ascii="Arial"/>
                <w:spacing w:val="-2"/>
              </w:rPr>
              <w:t>awards,</w:t>
            </w:r>
            <w:r>
              <w:rPr>
                <w:rFonts w:ascii="Arial"/>
                <w:spacing w:val="18"/>
              </w:rPr>
              <w:t xml:space="preserve"> </w:t>
            </w:r>
            <w:r>
              <w:rPr>
                <w:rFonts w:ascii="Arial"/>
                <w:spacing w:val="-1"/>
              </w:rPr>
              <w:t>fine,</w:t>
            </w:r>
            <w:r>
              <w:rPr>
                <w:rFonts w:ascii="Arial"/>
                <w:spacing w:val="45"/>
              </w:rPr>
              <w:t xml:space="preserve"> </w:t>
            </w:r>
            <w:r>
              <w:rPr>
                <w:rFonts w:ascii="Arial"/>
                <w:spacing w:val="-1"/>
              </w:rPr>
              <w:t>loss,</w:t>
            </w:r>
            <w:r>
              <w:rPr>
                <w:rFonts w:ascii="Arial"/>
                <w:spacing w:val="7"/>
              </w:rPr>
              <w:t xml:space="preserve"> </w:t>
            </w:r>
            <w:r>
              <w:rPr>
                <w:rFonts w:ascii="Arial"/>
                <w:spacing w:val="-1"/>
              </w:rPr>
              <w:t>order,</w:t>
            </w:r>
            <w:r>
              <w:rPr>
                <w:rFonts w:ascii="Arial"/>
                <w:spacing w:val="7"/>
              </w:rPr>
              <w:t xml:space="preserve"> </w:t>
            </w:r>
            <w:r>
              <w:rPr>
                <w:rFonts w:ascii="Arial"/>
                <w:spacing w:val="-1"/>
              </w:rPr>
              <w:t>penalty,</w:t>
            </w:r>
            <w:r>
              <w:rPr>
                <w:rFonts w:ascii="Arial"/>
                <w:spacing w:val="7"/>
              </w:rPr>
              <w:t xml:space="preserve"> </w:t>
            </w:r>
            <w:r>
              <w:rPr>
                <w:rFonts w:ascii="Arial"/>
                <w:spacing w:val="-1"/>
              </w:rPr>
              <w:t>disbursement,</w:t>
            </w:r>
            <w:r>
              <w:rPr>
                <w:rFonts w:ascii="Arial"/>
                <w:spacing w:val="7"/>
              </w:rPr>
              <w:t xml:space="preserve"> </w:t>
            </w:r>
            <w:r>
              <w:rPr>
                <w:rFonts w:ascii="Arial"/>
                <w:spacing w:val="-1"/>
              </w:rPr>
              <w:t>payment</w:t>
            </w:r>
            <w:r>
              <w:rPr>
                <w:rFonts w:ascii="Arial"/>
                <w:spacing w:val="4"/>
              </w:rPr>
              <w:t xml:space="preserve"> </w:t>
            </w:r>
            <w:r>
              <w:rPr>
                <w:rFonts w:ascii="Arial"/>
                <w:spacing w:val="-1"/>
              </w:rPr>
              <w:t>made</w:t>
            </w:r>
            <w:r>
              <w:rPr>
                <w:rFonts w:ascii="Arial"/>
                <w:spacing w:val="5"/>
              </w:rPr>
              <w:t xml:space="preserve"> </w:t>
            </w:r>
            <w:r>
              <w:rPr>
                <w:rFonts w:ascii="Arial"/>
                <w:spacing w:val="-1"/>
              </w:rPr>
              <w:t>by</w:t>
            </w:r>
            <w:r>
              <w:rPr>
                <w:rFonts w:ascii="Arial"/>
                <w:spacing w:val="8"/>
              </w:rPr>
              <w:t xml:space="preserve"> </w:t>
            </w:r>
            <w:r>
              <w:rPr>
                <w:rFonts w:ascii="Arial"/>
                <w:spacing w:val="-1"/>
              </w:rPr>
              <w:t>way</w:t>
            </w:r>
            <w:r>
              <w:rPr>
                <w:rFonts w:ascii="Arial"/>
                <w:spacing w:val="28"/>
              </w:rPr>
              <w:t xml:space="preserve"> </w:t>
            </w:r>
            <w:r>
              <w:rPr>
                <w:rFonts w:ascii="Arial"/>
                <w:spacing w:val="-2"/>
              </w:rPr>
              <w:t>of</w:t>
            </w:r>
            <w:r>
              <w:rPr>
                <w:rFonts w:ascii="Arial"/>
                <w:spacing w:val="58"/>
              </w:rPr>
              <w:t xml:space="preserve"> </w:t>
            </w:r>
            <w:r>
              <w:rPr>
                <w:rFonts w:ascii="Arial"/>
                <w:spacing w:val="-1"/>
              </w:rPr>
              <w:t>settlement</w:t>
            </w:r>
            <w:r>
              <w:rPr>
                <w:rFonts w:ascii="Arial"/>
                <w:spacing w:val="56"/>
              </w:rPr>
              <w:t xml:space="preserve"> </w:t>
            </w:r>
            <w:r>
              <w:rPr>
                <w:rFonts w:ascii="Arial"/>
                <w:spacing w:val="-1"/>
              </w:rPr>
              <w:t>and</w:t>
            </w:r>
            <w:r>
              <w:rPr>
                <w:rFonts w:ascii="Arial"/>
                <w:spacing w:val="54"/>
              </w:rPr>
              <w:t xml:space="preserve"> </w:t>
            </w:r>
            <w:r>
              <w:rPr>
                <w:rFonts w:ascii="Arial"/>
                <w:spacing w:val="-1"/>
              </w:rPr>
              <w:t>costs,</w:t>
            </w:r>
            <w:r>
              <w:rPr>
                <w:rFonts w:ascii="Arial"/>
                <w:spacing w:val="56"/>
              </w:rPr>
              <w:t xml:space="preserve"> </w:t>
            </w:r>
            <w:r>
              <w:rPr>
                <w:rFonts w:ascii="Arial"/>
                <w:spacing w:val="-1"/>
              </w:rPr>
              <w:t>expenses</w:t>
            </w:r>
            <w:r>
              <w:rPr>
                <w:rFonts w:ascii="Arial"/>
                <w:spacing w:val="55"/>
              </w:rPr>
              <w:t xml:space="preserve"> </w:t>
            </w:r>
            <w:r>
              <w:rPr>
                <w:rFonts w:ascii="Arial"/>
                <w:spacing w:val="-1"/>
              </w:rPr>
              <w:t>and</w:t>
            </w:r>
            <w:r>
              <w:rPr>
                <w:rFonts w:ascii="Arial"/>
                <w:spacing w:val="54"/>
              </w:rPr>
              <w:t xml:space="preserve"> </w:t>
            </w:r>
            <w:r>
              <w:rPr>
                <w:rFonts w:ascii="Arial"/>
                <w:spacing w:val="-1"/>
              </w:rPr>
              <w:t>legal</w:t>
            </w:r>
            <w:r>
              <w:rPr>
                <w:rFonts w:ascii="Arial"/>
                <w:spacing w:val="54"/>
              </w:rPr>
              <w:t xml:space="preserve"> </w:t>
            </w:r>
            <w:r>
              <w:rPr>
                <w:rFonts w:ascii="Arial"/>
                <w:spacing w:val="-1"/>
              </w:rPr>
              <w:t>costs</w:t>
            </w:r>
            <w:r>
              <w:rPr>
                <w:rFonts w:ascii="Arial"/>
                <w:spacing w:val="25"/>
              </w:rPr>
              <w:t xml:space="preserve"> </w:t>
            </w:r>
            <w:r>
              <w:rPr>
                <w:rFonts w:ascii="Arial"/>
                <w:spacing w:val="-1"/>
              </w:rPr>
              <w:t>reasonably</w:t>
            </w:r>
            <w:r>
              <w:rPr>
                <w:rFonts w:ascii="Arial"/>
                <w:spacing w:val="5"/>
              </w:rPr>
              <w:t xml:space="preserve"> </w:t>
            </w:r>
            <w:r>
              <w:rPr>
                <w:rFonts w:ascii="Arial"/>
                <w:spacing w:val="-1"/>
              </w:rPr>
              <w:t>incurred</w:t>
            </w:r>
            <w:r>
              <w:rPr>
                <w:rFonts w:ascii="Arial"/>
                <w:spacing w:val="8"/>
              </w:rPr>
              <w:t xml:space="preserve"> </w:t>
            </w:r>
            <w:r>
              <w:rPr>
                <w:rFonts w:ascii="Arial"/>
                <w:spacing w:val="-1"/>
              </w:rPr>
              <w:t>in</w:t>
            </w:r>
            <w:r>
              <w:rPr>
                <w:rFonts w:ascii="Arial"/>
                <w:spacing w:val="8"/>
              </w:rPr>
              <w:t xml:space="preserve"> </w:t>
            </w:r>
            <w:r>
              <w:rPr>
                <w:rFonts w:ascii="Arial"/>
                <w:spacing w:val="-1"/>
              </w:rPr>
              <w:t>connection</w:t>
            </w:r>
            <w:r>
              <w:rPr>
                <w:rFonts w:ascii="Arial"/>
                <w:spacing w:val="7"/>
              </w:rPr>
              <w:t xml:space="preserve"> </w:t>
            </w:r>
            <w:r>
              <w:rPr>
                <w:rFonts w:ascii="Arial"/>
                <w:spacing w:val="-2"/>
              </w:rPr>
              <w:t>with</w:t>
            </w:r>
            <w:r>
              <w:rPr>
                <w:rFonts w:ascii="Arial"/>
                <w:spacing w:val="8"/>
              </w:rPr>
              <w:t xml:space="preserve"> </w:t>
            </w:r>
            <w:r>
              <w:rPr>
                <w:rFonts w:ascii="Arial"/>
              </w:rPr>
              <w:t>a</w:t>
            </w:r>
            <w:r>
              <w:rPr>
                <w:rFonts w:ascii="Arial"/>
                <w:spacing w:val="10"/>
              </w:rPr>
              <w:t xml:space="preserve"> </w:t>
            </w:r>
            <w:r>
              <w:rPr>
                <w:rFonts w:ascii="Arial"/>
                <w:spacing w:val="-1"/>
              </w:rPr>
              <w:t>claim</w:t>
            </w:r>
            <w:r>
              <w:rPr>
                <w:rFonts w:ascii="Arial"/>
                <w:spacing w:val="9"/>
              </w:rPr>
              <w:t xml:space="preserve"> </w:t>
            </w:r>
            <w:r>
              <w:rPr>
                <w:rFonts w:ascii="Arial"/>
                <w:spacing w:val="-1"/>
              </w:rPr>
              <w:t>or</w:t>
            </w:r>
            <w:r>
              <w:rPr>
                <w:rFonts w:ascii="Arial"/>
                <w:spacing w:val="22"/>
              </w:rPr>
              <w:t xml:space="preserve"> </w:t>
            </w:r>
            <w:r>
              <w:rPr>
                <w:rFonts w:ascii="Arial"/>
                <w:spacing w:val="-1"/>
              </w:rPr>
              <w:t>investigation</w:t>
            </w:r>
            <w:r>
              <w:rPr>
                <w:rFonts w:ascii="Arial"/>
              </w:rPr>
              <w:t xml:space="preserve"> </w:t>
            </w:r>
            <w:r>
              <w:rPr>
                <w:rFonts w:ascii="Arial"/>
                <w:spacing w:val="-2"/>
              </w:rPr>
              <w:t>including</w:t>
            </w:r>
            <w:r>
              <w:rPr>
                <w:rFonts w:ascii="Arial"/>
              </w:rPr>
              <w:t xml:space="preserve"> </w:t>
            </w:r>
            <w:r>
              <w:rPr>
                <w:rFonts w:ascii="Arial"/>
                <w:spacing w:val="-1"/>
              </w:rPr>
              <w:t>in</w:t>
            </w:r>
            <w:r>
              <w:rPr>
                <w:rFonts w:ascii="Arial"/>
                <w:spacing w:val="-2"/>
              </w:rPr>
              <w:t xml:space="preserve"> </w:t>
            </w:r>
            <w:r>
              <w:rPr>
                <w:rFonts w:ascii="Arial"/>
                <w:spacing w:val="-1"/>
              </w:rPr>
              <w:t>relation</w:t>
            </w:r>
            <w:r>
              <w:rPr>
                <w:rFonts w:ascii="Arial"/>
              </w:rPr>
              <w:t xml:space="preserve"> to</w:t>
            </w:r>
            <w:r>
              <w:rPr>
                <w:rFonts w:ascii="Arial"/>
                <w:spacing w:val="-2"/>
              </w:rPr>
              <w:t xml:space="preserve"> </w:t>
            </w:r>
            <w:r>
              <w:rPr>
                <w:rFonts w:ascii="Arial"/>
              </w:rPr>
              <w:t>the</w:t>
            </w:r>
            <w:r>
              <w:rPr>
                <w:rFonts w:ascii="Arial"/>
                <w:spacing w:val="-4"/>
              </w:rPr>
              <w:t xml:space="preserve"> </w:t>
            </w:r>
            <w:r>
              <w:rPr>
                <w:rFonts w:ascii="Arial"/>
                <w:spacing w:val="-1"/>
              </w:rPr>
              <w:t>following:</w:t>
            </w:r>
          </w:p>
          <w:p w:rsidR="008918FA" w:rsidRDefault="008918FA" w:rsidP="005D2B81">
            <w:pPr>
              <w:pStyle w:val="TableParagraph"/>
              <w:spacing w:before="119"/>
              <w:ind w:left="275"/>
              <w:jc w:val="both"/>
              <w:rPr>
                <w:rFonts w:ascii="Arial" w:eastAsia="Arial" w:hAnsi="Arial" w:cs="Arial"/>
              </w:rPr>
            </w:pPr>
            <w:r>
              <w:rPr>
                <w:rFonts w:ascii="Arial"/>
                <w:spacing w:val="-1"/>
              </w:rPr>
              <w:t>a)</w:t>
            </w:r>
            <w:r>
              <w:rPr>
                <w:rFonts w:ascii="Arial"/>
              </w:rPr>
              <w:t xml:space="preserve">    </w:t>
            </w:r>
            <w:r>
              <w:rPr>
                <w:rFonts w:ascii="Arial"/>
                <w:spacing w:val="43"/>
              </w:rPr>
              <w:t xml:space="preserve"> </w:t>
            </w:r>
            <w:r>
              <w:rPr>
                <w:rFonts w:ascii="Arial"/>
                <w:spacing w:val="-1"/>
              </w:rPr>
              <w:t>redundancy</w:t>
            </w:r>
            <w:r>
              <w:rPr>
                <w:rFonts w:ascii="Arial"/>
              </w:rPr>
              <w:t xml:space="preserve">  </w:t>
            </w:r>
            <w:r>
              <w:rPr>
                <w:rFonts w:ascii="Arial"/>
                <w:spacing w:val="35"/>
              </w:rPr>
              <w:t xml:space="preserve"> </w:t>
            </w:r>
            <w:r>
              <w:rPr>
                <w:rFonts w:ascii="Arial"/>
                <w:spacing w:val="-1"/>
              </w:rPr>
              <w:t>payments</w:t>
            </w:r>
            <w:r>
              <w:rPr>
                <w:rFonts w:ascii="Arial"/>
              </w:rPr>
              <w:t xml:space="preserve">  </w:t>
            </w:r>
            <w:r>
              <w:rPr>
                <w:rFonts w:ascii="Arial"/>
                <w:spacing w:val="34"/>
              </w:rPr>
              <w:t xml:space="preserve"> </w:t>
            </w:r>
            <w:r>
              <w:rPr>
                <w:rFonts w:ascii="Arial"/>
                <w:spacing w:val="-2"/>
              </w:rPr>
              <w:t>including</w:t>
            </w:r>
            <w:r>
              <w:rPr>
                <w:rFonts w:ascii="Arial"/>
              </w:rPr>
              <w:t xml:space="preserve">  </w:t>
            </w:r>
            <w:r>
              <w:rPr>
                <w:rFonts w:ascii="Arial"/>
                <w:spacing w:val="39"/>
              </w:rPr>
              <w:t xml:space="preserve"> </w:t>
            </w:r>
            <w:r>
              <w:rPr>
                <w:rFonts w:ascii="Arial"/>
                <w:spacing w:val="-1"/>
              </w:rPr>
              <w:t>contractual</w:t>
            </w:r>
            <w:r>
              <w:rPr>
                <w:rFonts w:ascii="Arial"/>
              </w:rPr>
              <w:t xml:space="preserve">  </w:t>
            </w:r>
            <w:r>
              <w:rPr>
                <w:rFonts w:ascii="Arial"/>
                <w:spacing w:val="36"/>
              </w:rPr>
              <w:t xml:space="preserve"> </w:t>
            </w:r>
            <w:r>
              <w:rPr>
                <w:rFonts w:ascii="Arial"/>
                <w:spacing w:val="-1"/>
              </w:rPr>
              <w:t>or</w:t>
            </w:r>
          </w:p>
        </w:tc>
      </w:tr>
    </w:tbl>
    <w:p w:rsidR="008918FA" w:rsidRDefault="008918FA" w:rsidP="008918FA">
      <w:pPr>
        <w:jc w:val="both"/>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7433"/>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819" w:right="101"/>
              <w:rPr>
                <w:rFonts w:ascii="Arial" w:eastAsia="Arial" w:hAnsi="Arial" w:cs="Arial"/>
              </w:rPr>
            </w:pPr>
            <w:r>
              <w:rPr>
                <w:rFonts w:ascii="Arial"/>
                <w:spacing w:val="-1"/>
              </w:rPr>
              <w:t>enhanced</w:t>
            </w:r>
            <w:r>
              <w:rPr>
                <w:rFonts w:ascii="Arial"/>
                <w:spacing w:val="31"/>
              </w:rPr>
              <w:t xml:space="preserve"> </w:t>
            </w:r>
            <w:r>
              <w:rPr>
                <w:rFonts w:ascii="Arial"/>
                <w:spacing w:val="-1"/>
              </w:rPr>
              <w:t>redundancy</w:t>
            </w:r>
            <w:r>
              <w:rPr>
                <w:rFonts w:ascii="Arial"/>
                <w:spacing w:val="30"/>
              </w:rPr>
              <w:t xml:space="preserve"> </w:t>
            </w:r>
            <w:r>
              <w:rPr>
                <w:rFonts w:ascii="Arial"/>
                <w:spacing w:val="-1"/>
              </w:rPr>
              <w:t>costs,</w:t>
            </w:r>
            <w:r>
              <w:rPr>
                <w:rFonts w:ascii="Arial"/>
                <w:spacing w:val="31"/>
              </w:rPr>
              <w:t xml:space="preserve"> </w:t>
            </w:r>
            <w:r>
              <w:rPr>
                <w:rFonts w:ascii="Arial"/>
                <w:spacing w:val="-1"/>
              </w:rPr>
              <w:t>termination</w:t>
            </w:r>
            <w:r>
              <w:rPr>
                <w:rFonts w:ascii="Arial"/>
                <w:spacing w:val="31"/>
              </w:rPr>
              <w:t xml:space="preserve"> </w:t>
            </w:r>
            <w:r>
              <w:rPr>
                <w:rFonts w:ascii="Arial"/>
                <w:spacing w:val="-1"/>
              </w:rPr>
              <w:t>costs</w:t>
            </w:r>
            <w:r>
              <w:rPr>
                <w:rFonts w:ascii="Arial"/>
                <w:spacing w:val="30"/>
              </w:rPr>
              <w:t xml:space="preserve"> </w:t>
            </w:r>
            <w:r>
              <w:rPr>
                <w:rFonts w:ascii="Arial"/>
                <w:spacing w:val="-1"/>
              </w:rPr>
              <w:t>and</w:t>
            </w:r>
            <w:r>
              <w:rPr>
                <w:rFonts w:ascii="Arial"/>
                <w:spacing w:val="28"/>
              </w:rPr>
              <w:t xml:space="preserve"> </w:t>
            </w:r>
            <w:r>
              <w:rPr>
                <w:rFonts w:ascii="Arial"/>
                <w:spacing w:val="-1"/>
              </w:rPr>
              <w:t>notice</w:t>
            </w:r>
            <w:r>
              <w:rPr>
                <w:rFonts w:ascii="Arial"/>
                <w:spacing w:val="1"/>
              </w:rPr>
              <w:t xml:space="preserve"> </w:t>
            </w:r>
            <w:r>
              <w:rPr>
                <w:rFonts w:ascii="Arial"/>
                <w:spacing w:val="-1"/>
              </w:rPr>
              <w:t>payments;</w:t>
            </w:r>
          </w:p>
          <w:p w:rsidR="008918FA" w:rsidRDefault="008918FA" w:rsidP="005D2B81">
            <w:pPr>
              <w:pStyle w:val="ListParagraph"/>
              <w:numPr>
                <w:ilvl w:val="0"/>
                <w:numId w:val="46"/>
              </w:numPr>
              <w:tabs>
                <w:tab w:val="left" w:pos="820"/>
              </w:tabs>
              <w:spacing w:before="117"/>
              <w:ind w:right="100" w:hanging="544"/>
              <w:jc w:val="both"/>
              <w:rPr>
                <w:rFonts w:ascii="Arial" w:eastAsia="Arial" w:hAnsi="Arial" w:cs="Arial"/>
              </w:rPr>
            </w:pPr>
            <w:r>
              <w:rPr>
                <w:rFonts w:ascii="Arial"/>
                <w:spacing w:val="-1"/>
              </w:rPr>
              <w:t>unfair,</w:t>
            </w:r>
            <w:r>
              <w:rPr>
                <w:rFonts w:ascii="Arial"/>
                <w:spacing w:val="45"/>
              </w:rPr>
              <w:t xml:space="preserve"> </w:t>
            </w:r>
            <w:r>
              <w:rPr>
                <w:rFonts w:ascii="Arial"/>
                <w:spacing w:val="-1"/>
              </w:rPr>
              <w:t>wrongful</w:t>
            </w:r>
            <w:r>
              <w:rPr>
                <w:rFonts w:ascii="Arial"/>
                <w:spacing w:val="43"/>
              </w:rPr>
              <w:t xml:space="preserve"> </w:t>
            </w:r>
            <w:r>
              <w:rPr>
                <w:rFonts w:ascii="Arial"/>
                <w:spacing w:val="-1"/>
              </w:rPr>
              <w:t>or</w:t>
            </w:r>
            <w:r>
              <w:rPr>
                <w:rFonts w:ascii="Arial"/>
                <w:spacing w:val="45"/>
              </w:rPr>
              <w:t xml:space="preserve"> </w:t>
            </w:r>
            <w:r>
              <w:rPr>
                <w:rFonts w:ascii="Arial"/>
                <w:spacing w:val="-1"/>
              </w:rPr>
              <w:t>constructive</w:t>
            </w:r>
            <w:r>
              <w:rPr>
                <w:rFonts w:ascii="Arial"/>
                <w:spacing w:val="46"/>
              </w:rPr>
              <w:t xml:space="preserve"> </w:t>
            </w:r>
            <w:r>
              <w:rPr>
                <w:rFonts w:ascii="Arial"/>
                <w:spacing w:val="-1"/>
              </w:rPr>
              <w:t>dismissal</w:t>
            </w:r>
            <w:r>
              <w:rPr>
                <w:rFonts w:ascii="Arial"/>
                <w:spacing w:val="30"/>
              </w:rPr>
              <w:t xml:space="preserve"> </w:t>
            </w:r>
            <w:r>
              <w:rPr>
                <w:rFonts w:ascii="Arial"/>
                <w:spacing w:val="-1"/>
              </w:rPr>
              <w:t>compensation;</w:t>
            </w:r>
          </w:p>
          <w:p w:rsidR="008918FA" w:rsidRDefault="008918FA" w:rsidP="005D2B81">
            <w:pPr>
              <w:pStyle w:val="ListParagraph"/>
              <w:numPr>
                <w:ilvl w:val="0"/>
                <w:numId w:val="46"/>
              </w:numPr>
              <w:tabs>
                <w:tab w:val="left" w:pos="820"/>
              </w:tabs>
              <w:spacing w:before="121"/>
              <w:ind w:right="99" w:hanging="544"/>
              <w:jc w:val="both"/>
              <w:rPr>
                <w:rFonts w:ascii="Arial" w:eastAsia="Arial" w:hAnsi="Arial" w:cs="Arial"/>
              </w:rPr>
            </w:pPr>
            <w:r>
              <w:rPr>
                <w:rFonts w:ascii="Arial"/>
                <w:spacing w:val="-1"/>
              </w:rPr>
              <w:t>compensation</w:t>
            </w:r>
            <w:r>
              <w:rPr>
                <w:rFonts w:ascii="Arial"/>
                <w:spacing w:val="15"/>
              </w:rPr>
              <w:t xml:space="preserve"> </w:t>
            </w:r>
            <w:r>
              <w:rPr>
                <w:rFonts w:ascii="Arial"/>
              </w:rPr>
              <w:t>for</w:t>
            </w:r>
            <w:r>
              <w:rPr>
                <w:rFonts w:ascii="Arial"/>
                <w:spacing w:val="16"/>
              </w:rPr>
              <w:t xml:space="preserve"> </w:t>
            </w:r>
            <w:r>
              <w:rPr>
                <w:rFonts w:ascii="Arial"/>
                <w:spacing w:val="-1"/>
              </w:rPr>
              <w:t>discrimination</w:t>
            </w:r>
            <w:r>
              <w:rPr>
                <w:rFonts w:ascii="Arial"/>
                <w:spacing w:val="15"/>
              </w:rPr>
              <w:t xml:space="preserve"> </w:t>
            </w:r>
            <w:r>
              <w:rPr>
                <w:rFonts w:ascii="Arial"/>
                <w:spacing w:val="-1"/>
              </w:rPr>
              <w:t>on</w:t>
            </w:r>
            <w:r>
              <w:rPr>
                <w:rFonts w:ascii="Arial"/>
                <w:spacing w:val="15"/>
              </w:rPr>
              <w:t xml:space="preserve"> </w:t>
            </w:r>
            <w:r>
              <w:rPr>
                <w:rFonts w:ascii="Arial"/>
                <w:spacing w:val="-1"/>
              </w:rPr>
              <w:t>grounds</w:t>
            </w:r>
            <w:r>
              <w:rPr>
                <w:rFonts w:ascii="Arial"/>
                <w:spacing w:val="15"/>
              </w:rPr>
              <w:t xml:space="preserve"> </w:t>
            </w:r>
            <w:r>
              <w:rPr>
                <w:rFonts w:ascii="Arial"/>
                <w:spacing w:val="-2"/>
              </w:rPr>
              <w:t>of</w:t>
            </w:r>
            <w:r>
              <w:rPr>
                <w:rFonts w:ascii="Arial"/>
                <w:spacing w:val="19"/>
              </w:rPr>
              <w:t xml:space="preserve"> </w:t>
            </w:r>
            <w:r>
              <w:rPr>
                <w:rFonts w:ascii="Arial"/>
                <w:spacing w:val="-2"/>
              </w:rPr>
              <w:t>sex,</w:t>
            </w:r>
            <w:r>
              <w:rPr>
                <w:rFonts w:ascii="Arial"/>
                <w:spacing w:val="26"/>
              </w:rPr>
              <w:t xml:space="preserve"> </w:t>
            </w:r>
            <w:r>
              <w:rPr>
                <w:rFonts w:ascii="Arial"/>
                <w:spacing w:val="-1"/>
              </w:rPr>
              <w:t>race,</w:t>
            </w:r>
            <w:r>
              <w:rPr>
                <w:rFonts w:ascii="Arial"/>
                <w:spacing w:val="4"/>
              </w:rPr>
              <w:t xml:space="preserve"> </w:t>
            </w:r>
            <w:r>
              <w:rPr>
                <w:rFonts w:ascii="Arial"/>
                <w:spacing w:val="-2"/>
              </w:rPr>
              <w:t>disability,</w:t>
            </w:r>
            <w:r>
              <w:rPr>
                <w:rFonts w:ascii="Arial"/>
                <w:spacing w:val="4"/>
              </w:rPr>
              <w:t xml:space="preserve"> </w:t>
            </w:r>
            <w:r>
              <w:rPr>
                <w:rFonts w:ascii="Arial"/>
              </w:rPr>
              <w:t>age,</w:t>
            </w:r>
            <w:r>
              <w:rPr>
                <w:rFonts w:ascii="Arial"/>
                <w:spacing w:val="2"/>
              </w:rPr>
              <w:t xml:space="preserve"> </w:t>
            </w:r>
            <w:r>
              <w:rPr>
                <w:rFonts w:ascii="Arial"/>
                <w:spacing w:val="-1"/>
              </w:rPr>
              <w:t>religion</w:t>
            </w:r>
            <w:r>
              <w:rPr>
                <w:rFonts w:ascii="Arial"/>
                <w:spacing w:val="3"/>
              </w:rPr>
              <w:t xml:space="preserve"> </w:t>
            </w:r>
            <w:r>
              <w:rPr>
                <w:rFonts w:ascii="Arial"/>
                <w:spacing w:val="-1"/>
              </w:rPr>
              <w:t>or</w:t>
            </w:r>
            <w:r>
              <w:rPr>
                <w:rFonts w:ascii="Arial"/>
                <w:spacing w:val="4"/>
              </w:rPr>
              <w:t xml:space="preserve"> </w:t>
            </w:r>
            <w:r>
              <w:rPr>
                <w:rFonts w:ascii="Arial"/>
                <w:spacing w:val="-1"/>
              </w:rPr>
              <w:t>belief,</w:t>
            </w:r>
            <w:r>
              <w:rPr>
                <w:rFonts w:ascii="Arial"/>
                <w:spacing w:val="2"/>
              </w:rPr>
              <w:t xml:space="preserve"> </w:t>
            </w:r>
            <w:r>
              <w:rPr>
                <w:rFonts w:ascii="Arial"/>
                <w:spacing w:val="-1"/>
              </w:rPr>
              <w:t>gender</w:t>
            </w:r>
            <w:r>
              <w:rPr>
                <w:rFonts w:ascii="Arial"/>
                <w:spacing w:val="34"/>
              </w:rPr>
              <w:t xml:space="preserve"> </w:t>
            </w:r>
            <w:r>
              <w:rPr>
                <w:rFonts w:ascii="Arial"/>
                <w:spacing w:val="-1"/>
              </w:rPr>
              <w:t>reassignment,</w:t>
            </w:r>
            <w:r>
              <w:rPr>
                <w:rFonts w:ascii="Arial"/>
                <w:spacing w:val="41"/>
              </w:rPr>
              <w:t xml:space="preserve"> </w:t>
            </w:r>
            <w:r>
              <w:rPr>
                <w:rFonts w:ascii="Arial"/>
                <w:spacing w:val="-1"/>
              </w:rPr>
              <w:t>marriage</w:t>
            </w:r>
            <w:r>
              <w:rPr>
                <w:rFonts w:ascii="Arial"/>
                <w:spacing w:val="42"/>
              </w:rPr>
              <w:t xml:space="preserve"> </w:t>
            </w:r>
            <w:r>
              <w:rPr>
                <w:rFonts w:ascii="Arial"/>
                <w:spacing w:val="-1"/>
              </w:rPr>
              <w:t>or</w:t>
            </w:r>
            <w:r>
              <w:rPr>
                <w:rFonts w:ascii="Arial"/>
                <w:spacing w:val="44"/>
              </w:rPr>
              <w:t xml:space="preserve"> </w:t>
            </w:r>
            <w:r>
              <w:rPr>
                <w:rFonts w:ascii="Arial"/>
                <w:spacing w:val="-2"/>
              </w:rPr>
              <w:t>civil</w:t>
            </w:r>
            <w:r>
              <w:rPr>
                <w:rFonts w:ascii="Arial"/>
                <w:spacing w:val="42"/>
              </w:rPr>
              <w:t xml:space="preserve"> </w:t>
            </w:r>
            <w:r>
              <w:rPr>
                <w:rFonts w:ascii="Arial"/>
                <w:spacing w:val="-1"/>
              </w:rPr>
              <w:t>partnership,</w:t>
            </w:r>
            <w:r>
              <w:rPr>
                <w:rFonts w:ascii="Arial"/>
                <w:spacing w:val="20"/>
              </w:rPr>
              <w:t xml:space="preserve"> </w:t>
            </w:r>
            <w:r>
              <w:rPr>
                <w:rFonts w:ascii="Arial"/>
                <w:spacing w:val="-1"/>
              </w:rPr>
              <w:t>pregnancy</w:t>
            </w:r>
            <w:r>
              <w:rPr>
                <w:rFonts w:ascii="Arial"/>
                <w:spacing w:val="54"/>
              </w:rPr>
              <w:t xml:space="preserve"> </w:t>
            </w:r>
            <w:r>
              <w:rPr>
                <w:rFonts w:ascii="Arial"/>
                <w:spacing w:val="-1"/>
              </w:rPr>
              <w:t>and</w:t>
            </w:r>
            <w:r>
              <w:rPr>
                <w:rFonts w:ascii="Arial"/>
                <w:spacing w:val="55"/>
              </w:rPr>
              <w:t xml:space="preserve"> </w:t>
            </w:r>
            <w:r>
              <w:rPr>
                <w:rFonts w:ascii="Arial"/>
                <w:spacing w:val="-1"/>
              </w:rPr>
              <w:t>maternity</w:t>
            </w:r>
            <w:r>
              <w:rPr>
                <w:rFonts w:ascii="Arial"/>
                <w:spacing w:val="55"/>
              </w:rPr>
              <w:t xml:space="preserve"> </w:t>
            </w:r>
            <w:r>
              <w:rPr>
                <w:rFonts w:ascii="Arial"/>
                <w:spacing w:val="-1"/>
              </w:rPr>
              <w:t>or</w:t>
            </w:r>
            <w:r>
              <w:rPr>
                <w:rFonts w:ascii="Arial"/>
                <w:spacing w:val="57"/>
              </w:rPr>
              <w:t xml:space="preserve"> </w:t>
            </w:r>
            <w:r>
              <w:rPr>
                <w:rFonts w:ascii="Arial"/>
                <w:spacing w:val="-1"/>
              </w:rPr>
              <w:t>sexual</w:t>
            </w:r>
            <w:r>
              <w:rPr>
                <w:rFonts w:ascii="Arial"/>
                <w:spacing w:val="57"/>
              </w:rPr>
              <w:t xml:space="preserve"> </w:t>
            </w:r>
            <w:r>
              <w:rPr>
                <w:rFonts w:ascii="Arial"/>
                <w:spacing w:val="-1"/>
              </w:rPr>
              <w:t>orientation</w:t>
            </w:r>
            <w:r>
              <w:rPr>
                <w:rFonts w:ascii="Arial"/>
                <w:spacing w:val="55"/>
              </w:rPr>
              <w:t xml:space="preserve"> </w:t>
            </w:r>
            <w:r>
              <w:rPr>
                <w:rFonts w:ascii="Arial"/>
                <w:spacing w:val="-1"/>
              </w:rPr>
              <w:t>or</w:t>
            </w:r>
            <w:r>
              <w:rPr>
                <w:rFonts w:ascii="Arial"/>
                <w:spacing w:val="24"/>
              </w:rPr>
              <w:t xml:space="preserve"> </w:t>
            </w:r>
            <w:r>
              <w:rPr>
                <w:rFonts w:ascii="Arial"/>
                <w:spacing w:val="-1"/>
              </w:rPr>
              <w:t>claims</w:t>
            </w:r>
            <w:r>
              <w:rPr>
                <w:rFonts w:ascii="Arial"/>
                <w:spacing w:val="-2"/>
              </w:rPr>
              <w:t xml:space="preserve"> </w:t>
            </w:r>
            <w:r>
              <w:rPr>
                <w:rFonts w:ascii="Arial"/>
              </w:rPr>
              <w:t>for</w:t>
            </w:r>
            <w:r>
              <w:rPr>
                <w:rFonts w:ascii="Arial"/>
                <w:spacing w:val="2"/>
              </w:rPr>
              <w:t xml:space="preserve"> </w:t>
            </w:r>
            <w:r>
              <w:rPr>
                <w:rFonts w:ascii="Arial"/>
                <w:spacing w:val="-1"/>
              </w:rPr>
              <w:t>equal</w:t>
            </w:r>
            <w:r>
              <w:rPr>
                <w:rFonts w:ascii="Arial"/>
                <w:spacing w:val="-3"/>
              </w:rPr>
              <w:t xml:space="preserve"> </w:t>
            </w:r>
            <w:r>
              <w:rPr>
                <w:rFonts w:ascii="Arial"/>
                <w:spacing w:val="-2"/>
              </w:rPr>
              <w:t>pay;</w:t>
            </w:r>
          </w:p>
          <w:p w:rsidR="008918FA" w:rsidRDefault="008918FA" w:rsidP="005D2B81">
            <w:pPr>
              <w:pStyle w:val="ListParagraph"/>
              <w:numPr>
                <w:ilvl w:val="0"/>
                <w:numId w:val="46"/>
              </w:numPr>
              <w:tabs>
                <w:tab w:val="left" w:pos="820"/>
              </w:tabs>
              <w:spacing w:before="121"/>
              <w:ind w:right="101" w:hanging="544"/>
              <w:jc w:val="both"/>
              <w:rPr>
                <w:rFonts w:ascii="Arial" w:eastAsia="Arial" w:hAnsi="Arial" w:cs="Arial"/>
              </w:rPr>
            </w:pPr>
            <w:r>
              <w:rPr>
                <w:rFonts w:ascii="Arial"/>
                <w:spacing w:val="-1"/>
              </w:rPr>
              <w:t>compensation</w:t>
            </w:r>
            <w:r>
              <w:rPr>
                <w:rFonts w:ascii="Arial"/>
                <w:spacing w:val="22"/>
              </w:rPr>
              <w:t xml:space="preserve"> </w:t>
            </w:r>
            <w:r>
              <w:rPr>
                <w:rFonts w:ascii="Arial"/>
              </w:rPr>
              <w:t>for</w:t>
            </w:r>
            <w:r>
              <w:rPr>
                <w:rFonts w:ascii="Arial"/>
                <w:spacing w:val="26"/>
              </w:rPr>
              <w:t xml:space="preserve"> </w:t>
            </w:r>
            <w:r>
              <w:rPr>
                <w:rFonts w:ascii="Arial"/>
                <w:spacing w:val="-1"/>
              </w:rPr>
              <w:t>less</w:t>
            </w:r>
            <w:r>
              <w:rPr>
                <w:rFonts w:ascii="Arial"/>
                <w:spacing w:val="23"/>
              </w:rPr>
              <w:t xml:space="preserve"> </w:t>
            </w:r>
            <w:r>
              <w:rPr>
                <w:rFonts w:ascii="Arial"/>
                <w:spacing w:val="-2"/>
              </w:rPr>
              <w:t>favourable</w:t>
            </w:r>
            <w:r>
              <w:rPr>
                <w:rFonts w:ascii="Arial"/>
                <w:spacing w:val="24"/>
              </w:rPr>
              <w:t xml:space="preserve"> </w:t>
            </w:r>
            <w:r>
              <w:rPr>
                <w:rFonts w:ascii="Arial"/>
                <w:spacing w:val="-1"/>
              </w:rPr>
              <w:t>treatment</w:t>
            </w:r>
            <w:r>
              <w:rPr>
                <w:rFonts w:ascii="Arial"/>
                <w:spacing w:val="23"/>
              </w:rPr>
              <w:t xml:space="preserve"> </w:t>
            </w:r>
            <w:r>
              <w:rPr>
                <w:rFonts w:ascii="Arial"/>
                <w:spacing w:val="-2"/>
              </w:rPr>
              <w:t>of</w:t>
            </w:r>
            <w:r>
              <w:rPr>
                <w:rFonts w:ascii="Arial"/>
                <w:spacing w:val="23"/>
              </w:rPr>
              <w:t xml:space="preserve"> </w:t>
            </w:r>
            <w:r>
              <w:rPr>
                <w:rFonts w:ascii="Arial"/>
                <w:spacing w:val="-1"/>
              </w:rPr>
              <w:t>part-</w:t>
            </w:r>
            <w:r>
              <w:rPr>
                <w:rFonts w:ascii="Arial"/>
                <w:spacing w:val="37"/>
              </w:rPr>
              <w:t xml:space="preserve"> </w:t>
            </w:r>
            <w:r>
              <w:rPr>
                <w:rFonts w:ascii="Arial"/>
                <w:spacing w:val="-1"/>
              </w:rPr>
              <w:t>time</w:t>
            </w:r>
            <w:r>
              <w:rPr>
                <w:rFonts w:ascii="Arial"/>
              </w:rPr>
              <w:t xml:space="preserve"> </w:t>
            </w:r>
            <w:r>
              <w:rPr>
                <w:rFonts w:ascii="Arial"/>
                <w:spacing w:val="-1"/>
              </w:rPr>
              <w:t>workers</w:t>
            </w:r>
            <w:r>
              <w:rPr>
                <w:rFonts w:ascii="Arial"/>
                <w:spacing w:val="-2"/>
              </w:rPr>
              <w:t xml:space="preserve"> </w:t>
            </w:r>
            <w:r>
              <w:rPr>
                <w:rFonts w:ascii="Arial"/>
                <w:spacing w:val="-1"/>
              </w:rPr>
              <w:t>or</w:t>
            </w:r>
            <w:r>
              <w:rPr>
                <w:rFonts w:ascii="Arial"/>
                <w:spacing w:val="-3"/>
              </w:rPr>
              <w:t xml:space="preserve"> </w:t>
            </w:r>
            <w:r>
              <w:rPr>
                <w:rFonts w:ascii="Arial"/>
                <w:spacing w:val="-1"/>
              </w:rPr>
              <w:t>fixed</w:t>
            </w:r>
            <w:r>
              <w:rPr>
                <w:rFonts w:ascii="Arial"/>
              </w:rPr>
              <w:t xml:space="preserve"> </w:t>
            </w:r>
            <w:r>
              <w:rPr>
                <w:rFonts w:ascii="Arial"/>
                <w:spacing w:val="-1"/>
              </w:rPr>
              <w:t>term</w:t>
            </w:r>
            <w:r>
              <w:rPr>
                <w:rFonts w:ascii="Arial"/>
                <w:spacing w:val="2"/>
              </w:rPr>
              <w:t xml:space="preserve"> </w:t>
            </w:r>
            <w:r>
              <w:rPr>
                <w:rFonts w:ascii="Arial"/>
                <w:spacing w:val="-2"/>
              </w:rPr>
              <w:t>employees;</w:t>
            </w:r>
          </w:p>
          <w:p w:rsidR="008918FA" w:rsidRDefault="008918FA" w:rsidP="005D2B81">
            <w:pPr>
              <w:pStyle w:val="ListParagraph"/>
              <w:numPr>
                <w:ilvl w:val="0"/>
                <w:numId w:val="46"/>
              </w:numPr>
              <w:tabs>
                <w:tab w:val="left" w:pos="820"/>
              </w:tabs>
              <w:spacing w:before="121"/>
              <w:ind w:right="99" w:hanging="544"/>
              <w:jc w:val="both"/>
              <w:rPr>
                <w:rFonts w:ascii="Arial" w:eastAsia="Arial" w:hAnsi="Arial" w:cs="Arial"/>
              </w:rPr>
            </w:pPr>
            <w:r>
              <w:rPr>
                <w:rFonts w:ascii="Arial"/>
                <w:spacing w:val="-1"/>
              </w:rPr>
              <w:t>outstanding</w:t>
            </w:r>
            <w:r>
              <w:rPr>
                <w:rFonts w:ascii="Arial"/>
                <w:spacing w:val="24"/>
              </w:rPr>
              <w:t xml:space="preserve"> </w:t>
            </w:r>
            <w:r>
              <w:rPr>
                <w:rFonts w:ascii="Arial"/>
                <w:spacing w:val="-1"/>
              </w:rPr>
              <w:t>debts</w:t>
            </w:r>
            <w:r>
              <w:rPr>
                <w:rFonts w:ascii="Arial"/>
                <w:spacing w:val="22"/>
              </w:rPr>
              <w:t xml:space="preserve"> </w:t>
            </w:r>
            <w:r>
              <w:rPr>
                <w:rFonts w:ascii="Arial"/>
                <w:spacing w:val="-1"/>
              </w:rPr>
              <w:t>and</w:t>
            </w:r>
            <w:r>
              <w:rPr>
                <w:rFonts w:ascii="Arial"/>
                <w:spacing w:val="22"/>
              </w:rPr>
              <w:t xml:space="preserve"> </w:t>
            </w:r>
            <w:r>
              <w:rPr>
                <w:rFonts w:ascii="Arial"/>
                <w:spacing w:val="-1"/>
              </w:rPr>
              <w:t>unlawful</w:t>
            </w:r>
            <w:r>
              <w:rPr>
                <w:rFonts w:ascii="Arial"/>
                <w:spacing w:val="21"/>
              </w:rPr>
              <w:t xml:space="preserve"> </w:t>
            </w:r>
            <w:r>
              <w:rPr>
                <w:rFonts w:ascii="Arial"/>
                <w:spacing w:val="-1"/>
              </w:rPr>
              <w:t>deduction</w:t>
            </w:r>
            <w:r>
              <w:rPr>
                <w:rFonts w:ascii="Arial"/>
                <w:spacing w:val="22"/>
              </w:rPr>
              <w:t xml:space="preserve"> </w:t>
            </w:r>
            <w:r>
              <w:rPr>
                <w:rFonts w:ascii="Arial"/>
                <w:spacing w:val="-2"/>
              </w:rPr>
              <w:t>of</w:t>
            </w:r>
            <w:r>
              <w:rPr>
                <w:rFonts w:ascii="Arial"/>
                <w:spacing w:val="26"/>
              </w:rPr>
              <w:t xml:space="preserve"> </w:t>
            </w:r>
            <w:r>
              <w:rPr>
                <w:rFonts w:ascii="Arial"/>
                <w:spacing w:val="-2"/>
              </w:rPr>
              <w:t>wages</w:t>
            </w:r>
            <w:r>
              <w:rPr>
                <w:rFonts w:ascii="Arial"/>
                <w:spacing w:val="23"/>
              </w:rPr>
              <w:t xml:space="preserve"> </w:t>
            </w:r>
            <w:r>
              <w:rPr>
                <w:rFonts w:ascii="Arial"/>
                <w:spacing w:val="-2"/>
              </w:rPr>
              <w:t>including</w:t>
            </w:r>
            <w:r>
              <w:rPr>
                <w:rFonts w:ascii="Arial"/>
                <w:spacing w:val="54"/>
              </w:rPr>
              <w:t xml:space="preserve"> </w:t>
            </w:r>
            <w:r>
              <w:rPr>
                <w:rFonts w:ascii="Arial"/>
                <w:spacing w:val="-1"/>
              </w:rPr>
              <w:t>any</w:t>
            </w:r>
            <w:r>
              <w:rPr>
                <w:rFonts w:ascii="Arial"/>
                <w:spacing w:val="49"/>
              </w:rPr>
              <w:t xml:space="preserve"> </w:t>
            </w:r>
            <w:r>
              <w:rPr>
                <w:rFonts w:ascii="Arial"/>
                <w:spacing w:val="-1"/>
              </w:rPr>
              <w:t>PAYE</w:t>
            </w:r>
            <w:r>
              <w:rPr>
                <w:rFonts w:ascii="Arial"/>
                <w:spacing w:val="53"/>
              </w:rPr>
              <w:t xml:space="preserve"> </w:t>
            </w:r>
            <w:r>
              <w:rPr>
                <w:rFonts w:ascii="Arial"/>
                <w:spacing w:val="-1"/>
              </w:rPr>
              <w:t>and</w:t>
            </w:r>
            <w:r>
              <w:rPr>
                <w:rFonts w:ascii="Arial"/>
                <w:spacing w:val="51"/>
              </w:rPr>
              <w:t xml:space="preserve"> </w:t>
            </w:r>
            <w:r>
              <w:rPr>
                <w:rFonts w:ascii="Arial"/>
                <w:spacing w:val="-1"/>
              </w:rPr>
              <w:t>National</w:t>
            </w:r>
            <w:r>
              <w:rPr>
                <w:rFonts w:ascii="Arial"/>
                <w:spacing w:val="50"/>
              </w:rPr>
              <w:t xml:space="preserve"> </w:t>
            </w:r>
            <w:r>
              <w:rPr>
                <w:rFonts w:ascii="Arial"/>
                <w:spacing w:val="-1"/>
              </w:rPr>
              <w:t>Insurance</w:t>
            </w:r>
            <w:r>
              <w:rPr>
                <w:rFonts w:ascii="Arial"/>
                <w:spacing w:val="28"/>
              </w:rPr>
              <w:t xml:space="preserve"> </w:t>
            </w:r>
            <w:r>
              <w:rPr>
                <w:rFonts w:ascii="Arial"/>
                <w:spacing w:val="-1"/>
              </w:rPr>
              <w:t>Contributions</w:t>
            </w:r>
            <w:r>
              <w:rPr>
                <w:rFonts w:ascii="Arial"/>
                <w:spacing w:val="39"/>
              </w:rPr>
              <w:t xml:space="preserve"> </w:t>
            </w:r>
            <w:r>
              <w:rPr>
                <w:rFonts w:ascii="Arial"/>
                <w:spacing w:val="-1"/>
              </w:rPr>
              <w:t>in</w:t>
            </w:r>
            <w:r>
              <w:rPr>
                <w:rFonts w:ascii="Arial"/>
                <w:spacing w:val="38"/>
              </w:rPr>
              <w:t xml:space="preserve"> </w:t>
            </w:r>
            <w:r>
              <w:rPr>
                <w:rFonts w:ascii="Arial"/>
                <w:spacing w:val="-1"/>
              </w:rPr>
              <w:t>relation</w:t>
            </w:r>
            <w:r>
              <w:rPr>
                <w:rFonts w:ascii="Arial"/>
                <w:spacing w:val="39"/>
              </w:rPr>
              <w:t xml:space="preserve"> </w:t>
            </w:r>
            <w:r>
              <w:rPr>
                <w:rFonts w:ascii="Arial"/>
              </w:rPr>
              <w:t>to</w:t>
            </w:r>
            <w:r>
              <w:rPr>
                <w:rFonts w:ascii="Arial"/>
                <w:spacing w:val="38"/>
              </w:rPr>
              <w:t xml:space="preserve"> </w:t>
            </w:r>
            <w:r>
              <w:rPr>
                <w:rFonts w:ascii="Arial"/>
                <w:spacing w:val="-1"/>
              </w:rPr>
              <w:t>payments</w:t>
            </w:r>
            <w:r>
              <w:rPr>
                <w:rFonts w:ascii="Arial"/>
                <w:spacing w:val="39"/>
              </w:rPr>
              <w:t xml:space="preserve"> </w:t>
            </w:r>
            <w:r>
              <w:rPr>
                <w:rFonts w:ascii="Arial"/>
                <w:spacing w:val="-1"/>
              </w:rPr>
              <w:t>made</w:t>
            </w:r>
            <w:r>
              <w:rPr>
                <w:rFonts w:ascii="Arial"/>
                <w:spacing w:val="38"/>
              </w:rPr>
              <w:t xml:space="preserve"> </w:t>
            </w:r>
            <w:r>
              <w:rPr>
                <w:rFonts w:ascii="Arial"/>
                <w:spacing w:val="-1"/>
              </w:rPr>
              <w:t>by</w:t>
            </w:r>
            <w:r>
              <w:rPr>
                <w:rFonts w:ascii="Arial"/>
                <w:spacing w:val="37"/>
              </w:rPr>
              <w:t xml:space="preserve"> </w:t>
            </w:r>
            <w:r>
              <w:rPr>
                <w:rFonts w:ascii="Arial"/>
                <w:spacing w:val="-1"/>
              </w:rPr>
              <w:t>the</w:t>
            </w:r>
            <w:r>
              <w:rPr>
                <w:rFonts w:ascii="Arial"/>
                <w:spacing w:val="26"/>
              </w:rPr>
              <w:t xml:space="preserve"> </w:t>
            </w:r>
            <w:r>
              <w:rPr>
                <w:rFonts w:ascii="Arial"/>
                <w:spacing w:val="-1"/>
              </w:rPr>
              <w:t>Customer</w:t>
            </w:r>
            <w:r>
              <w:rPr>
                <w:rFonts w:ascii="Arial"/>
                <w:spacing w:val="26"/>
              </w:rPr>
              <w:t xml:space="preserve"> </w:t>
            </w:r>
            <w:r>
              <w:rPr>
                <w:rFonts w:ascii="Arial"/>
                <w:spacing w:val="-1"/>
              </w:rPr>
              <w:t>or</w:t>
            </w:r>
            <w:r>
              <w:rPr>
                <w:rFonts w:ascii="Arial"/>
                <w:spacing w:val="26"/>
              </w:rPr>
              <w:t xml:space="preserve"> </w:t>
            </w:r>
            <w:r>
              <w:rPr>
                <w:rFonts w:ascii="Arial"/>
              </w:rPr>
              <w:t>the</w:t>
            </w:r>
            <w:r>
              <w:rPr>
                <w:rFonts w:ascii="Arial"/>
                <w:spacing w:val="24"/>
              </w:rPr>
              <w:t xml:space="preserve"> </w:t>
            </w:r>
            <w:r>
              <w:rPr>
                <w:rFonts w:ascii="Arial"/>
                <w:spacing w:val="-1"/>
              </w:rPr>
              <w:t>Replacement</w:t>
            </w:r>
            <w:r>
              <w:rPr>
                <w:rFonts w:ascii="Arial"/>
                <w:spacing w:val="26"/>
              </w:rPr>
              <w:t xml:space="preserve"> </w:t>
            </w:r>
            <w:r>
              <w:rPr>
                <w:rFonts w:ascii="Arial"/>
                <w:spacing w:val="-2"/>
              </w:rPr>
              <w:t>Supplier</w:t>
            </w:r>
            <w:r>
              <w:rPr>
                <w:rFonts w:ascii="Arial"/>
                <w:spacing w:val="26"/>
              </w:rPr>
              <w:t xml:space="preserve"> </w:t>
            </w:r>
            <w:r>
              <w:rPr>
                <w:rFonts w:ascii="Arial"/>
              </w:rPr>
              <w:t>to</w:t>
            </w:r>
            <w:r>
              <w:rPr>
                <w:rFonts w:ascii="Arial"/>
                <w:spacing w:val="24"/>
              </w:rPr>
              <w:t xml:space="preserve"> </w:t>
            </w:r>
            <w:r>
              <w:rPr>
                <w:rFonts w:ascii="Arial"/>
              </w:rPr>
              <w:t>a</w:t>
            </w:r>
            <w:r>
              <w:rPr>
                <w:rFonts w:ascii="Arial"/>
                <w:spacing w:val="23"/>
              </w:rPr>
              <w:t xml:space="preserve"> </w:t>
            </w:r>
            <w:r>
              <w:rPr>
                <w:rFonts w:ascii="Arial"/>
                <w:spacing w:val="-1"/>
              </w:rPr>
              <w:t>Transferring</w:t>
            </w:r>
            <w:r>
              <w:rPr>
                <w:rFonts w:ascii="Arial"/>
                <w:spacing w:val="48"/>
              </w:rPr>
              <w:t xml:space="preserve"> </w:t>
            </w:r>
            <w:r>
              <w:rPr>
                <w:rFonts w:ascii="Arial"/>
                <w:spacing w:val="-2"/>
              </w:rPr>
              <w:t>Supplier</w:t>
            </w:r>
            <w:r>
              <w:rPr>
                <w:rFonts w:ascii="Arial"/>
                <w:spacing w:val="47"/>
              </w:rPr>
              <w:t xml:space="preserve"> </w:t>
            </w:r>
            <w:r>
              <w:rPr>
                <w:rFonts w:ascii="Arial"/>
                <w:spacing w:val="-2"/>
              </w:rPr>
              <w:t>Employee</w:t>
            </w:r>
            <w:r>
              <w:rPr>
                <w:rFonts w:ascii="Arial"/>
                <w:spacing w:val="48"/>
              </w:rPr>
              <w:t xml:space="preserve"> </w:t>
            </w:r>
            <w:r>
              <w:rPr>
                <w:rFonts w:ascii="Arial"/>
                <w:spacing w:val="-2"/>
              </w:rPr>
              <w:t>which</w:t>
            </w:r>
            <w:r>
              <w:rPr>
                <w:rFonts w:ascii="Arial"/>
                <w:spacing w:val="49"/>
              </w:rPr>
              <w:t xml:space="preserve"> </w:t>
            </w:r>
            <w:r>
              <w:rPr>
                <w:rFonts w:ascii="Arial"/>
                <w:spacing w:val="-2"/>
              </w:rPr>
              <w:t>would</w:t>
            </w:r>
            <w:r>
              <w:rPr>
                <w:rFonts w:ascii="Arial"/>
                <w:spacing w:val="46"/>
              </w:rPr>
              <w:t xml:space="preserve"> </w:t>
            </w:r>
            <w:r>
              <w:rPr>
                <w:rFonts w:ascii="Arial"/>
                <w:spacing w:val="-1"/>
              </w:rPr>
              <w:t>have</w:t>
            </w:r>
            <w:r>
              <w:rPr>
                <w:rFonts w:ascii="Arial"/>
                <w:spacing w:val="39"/>
              </w:rPr>
              <w:t xml:space="preserve"> </w:t>
            </w:r>
            <w:r>
              <w:rPr>
                <w:rFonts w:ascii="Arial"/>
                <w:spacing w:val="-1"/>
              </w:rPr>
              <w:t>been</w:t>
            </w:r>
            <w:r>
              <w:rPr>
                <w:rFonts w:ascii="Arial"/>
                <w:spacing w:val="12"/>
              </w:rPr>
              <w:t xml:space="preserve"> </w:t>
            </w:r>
            <w:r>
              <w:rPr>
                <w:rFonts w:ascii="Arial"/>
                <w:spacing w:val="-2"/>
              </w:rPr>
              <w:t>payable</w:t>
            </w:r>
            <w:r>
              <w:rPr>
                <w:rFonts w:ascii="Arial"/>
                <w:spacing w:val="15"/>
              </w:rPr>
              <w:t xml:space="preserve"> </w:t>
            </w:r>
            <w:r>
              <w:rPr>
                <w:rFonts w:ascii="Arial"/>
                <w:spacing w:val="-1"/>
              </w:rPr>
              <w:t>by</w:t>
            </w:r>
            <w:r>
              <w:rPr>
                <w:rFonts w:ascii="Arial"/>
                <w:spacing w:val="13"/>
              </w:rPr>
              <w:t xml:space="preserve"> </w:t>
            </w:r>
            <w:r>
              <w:rPr>
                <w:rFonts w:ascii="Arial"/>
              </w:rPr>
              <w:t>the</w:t>
            </w:r>
            <w:r>
              <w:rPr>
                <w:rFonts w:ascii="Arial"/>
                <w:spacing w:val="12"/>
              </w:rPr>
              <w:t xml:space="preserve"> </w:t>
            </w:r>
            <w:r>
              <w:rPr>
                <w:rFonts w:ascii="Arial"/>
                <w:spacing w:val="-1"/>
              </w:rPr>
              <w:t>Supplier</w:t>
            </w:r>
            <w:r>
              <w:rPr>
                <w:rFonts w:ascii="Arial"/>
                <w:spacing w:val="14"/>
              </w:rPr>
              <w:t xml:space="preserve"> </w:t>
            </w:r>
            <w:r>
              <w:rPr>
                <w:rFonts w:ascii="Arial"/>
                <w:spacing w:val="-1"/>
              </w:rPr>
              <w:t>or</w:t>
            </w:r>
            <w:r>
              <w:rPr>
                <w:rFonts w:ascii="Arial"/>
                <w:spacing w:val="14"/>
              </w:rPr>
              <w:t xml:space="preserve"> </w:t>
            </w:r>
            <w:r>
              <w:rPr>
                <w:rFonts w:ascii="Arial"/>
              </w:rPr>
              <w:t>the</w:t>
            </w:r>
            <w:r>
              <w:rPr>
                <w:rFonts w:ascii="Arial"/>
                <w:spacing w:val="12"/>
              </w:rPr>
              <w:t xml:space="preserve"> </w:t>
            </w:r>
            <w:r>
              <w:rPr>
                <w:rFonts w:ascii="Arial"/>
                <w:spacing w:val="-1"/>
              </w:rPr>
              <w:t>Sub-Contractor</w:t>
            </w:r>
            <w:r>
              <w:rPr>
                <w:rFonts w:ascii="Arial"/>
                <w:spacing w:val="20"/>
              </w:rPr>
              <w:t xml:space="preserve"> </w:t>
            </w:r>
            <w:r>
              <w:rPr>
                <w:rFonts w:ascii="Arial"/>
                <w:spacing w:val="-1"/>
              </w:rPr>
              <w:t>if</w:t>
            </w:r>
            <w:r>
              <w:rPr>
                <w:rFonts w:ascii="Arial"/>
                <w:spacing w:val="9"/>
              </w:rPr>
              <w:t xml:space="preserve"> </w:t>
            </w:r>
            <w:r>
              <w:rPr>
                <w:rFonts w:ascii="Arial"/>
                <w:spacing w:val="-1"/>
              </w:rPr>
              <w:t>such</w:t>
            </w:r>
            <w:r>
              <w:rPr>
                <w:rFonts w:ascii="Arial"/>
                <w:spacing w:val="5"/>
              </w:rPr>
              <w:t xml:space="preserve"> </w:t>
            </w:r>
            <w:r>
              <w:rPr>
                <w:rFonts w:ascii="Arial"/>
                <w:spacing w:val="-1"/>
              </w:rPr>
              <w:t>payment</w:t>
            </w:r>
            <w:r>
              <w:rPr>
                <w:rFonts w:ascii="Arial"/>
                <w:spacing w:val="7"/>
              </w:rPr>
              <w:t xml:space="preserve"> </w:t>
            </w:r>
            <w:r>
              <w:rPr>
                <w:rFonts w:ascii="Arial"/>
                <w:spacing w:val="-1"/>
              </w:rPr>
              <w:t>should</w:t>
            </w:r>
            <w:r>
              <w:rPr>
                <w:rFonts w:ascii="Arial"/>
                <w:spacing w:val="3"/>
              </w:rPr>
              <w:t xml:space="preserve"> </w:t>
            </w:r>
            <w:r>
              <w:rPr>
                <w:rFonts w:ascii="Arial"/>
                <w:spacing w:val="-2"/>
              </w:rPr>
              <w:t>have</w:t>
            </w:r>
            <w:r>
              <w:rPr>
                <w:rFonts w:ascii="Arial"/>
                <w:spacing w:val="5"/>
              </w:rPr>
              <w:t xml:space="preserve"> </w:t>
            </w:r>
            <w:r>
              <w:rPr>
                <w:rFonts w:ascii="Arial"/>
                <w:spacing w:val="-1"/>
              </w:rPr>
              <w:t>been</w:t>
            </w:r>
            <w:r>
              <w:rPr>
                <w:rFonts w:ascii="Arial"/>
                <w:spacing w:val="5"/>
              </w:rPr>
              <w:t xml:space="preserve"> </w:t>
            </w:r>
            <w:r>
              <w:rPr>
                <w:rFonts w:ascii="Arial"/>
                <w:spacing w:val="-1"/>
              </w:rPr>
              <w:t>made</w:t>
            </w:r>
            <w:r>
              <w:rPr>
                <w:rFonts w:ascii="Arial"/>
                <w:spacing w:val="5"/>
              </w:rPr>
              <w:t xml:space="preserve"> </w:t>
            </w:r>
            <w:r>
              <w:rPr>
                <w:rFonts w:ascii="Arial"/>
                <w:spacing w:val="-1"/>
              </w:rPr>
              <w:t>prior</w:t>
            </w:r>
            <w:r>
              <w:rPr>
                <w:rFonts w:ascii="Arial"/>
                <w:spacing w:val="6"/>
              </w:rPr>
              <w:t xml:space="preserve"> </w:t>
            </w:r>
            <w:r>
              <w:rPr>
                <w:rFonts w:ascii="Arial"/>
              </w:rPr>
              <w:t>to</w:t>
            </w:r>
            <w:r>
              <w:rPr>
                <w:rFonts w:ascii="Arial"/>
                <w:spacing w:val="5"/>
              </w:rPr>
              <w:t xml:space="preserve"> </w:t>
            </w:r>
            <w:r>
              <w:rPr>
                <w:rFonts w:ascii="Arial"/>
                <w:spacing w:val="-1"/>
              </w:rPr>
              <w:t>the</w:t>
            </w:r>
            <w:r>
              <w:rPr>
                <w:rFonts w:ascii="Arial"/>
                <w:spacing w:val="26"/>
              </w:rPr>
              <w:t xml:space="preserve"> </w:t>
            </w:r>
            <w:r>
              <w:rPr>
                <w:rFonts w:ascii="Arial"/>
                <w:spacing w:val="-2"/>
              </w:rPr>
              <w:t>Service</w:t>
            </w:r>
            <w:r>
              <w:rPr>
                <w:rFonts w:ascii="Arial"/>
                <w:spacing w:val="1"/>
              </w:rPr>
              <w:t xml:space="preserve"> </w:t>
            </w:r>
            <w:r>
              <w:rPr>
                <w:rFonts w:ascii="Arial"/>
                <w:spacing w:val="-1"/>
              </w:rPr>
              <w:t>Transfer</w:t>
            </w:r>
            <w:r>
              <w:rPr>
                <w:rFonts w:ascii="Arial"/>
                <w:spacing w:val="2"/>
              </w:rPr>
              <w:t xml:space="preserve"> </w:t>
            </w:r>
            <w:r>
              <w:rPr>
                <w:rFonts w:ascii="Arial"/>
                <w:spacing w:val="-1"/>
              </w:rPr>
              <w:t>Date;</w:t>
            </w:r>
          </w:p>
          <w:p w:rsidR="008918FA" w:rsidRDefault="008918FA" w:rsidP="005D2B81">
            <w:pPr>
              <w:pStyle w:val="ListParagraph"/>
              <w:numPr>
                <w:ilvl w:val="0"/>
                <w:numId w:val="46"/>
              </w:numPr>
              <w:tabs>
                <w:tab w:val="left" w:pos="820"/>
              </w:tabs>
              <w:spacing w:before="119"/>
              <w:ind w:right="101" w:hanging="544"/>
              <w:jc w:val="both"/>
              <w:rPr>
                <w:rFonts w:ascii="Arial" w:eastAsia="Arial" w:hAnsi="Arial" w:cs="Arial"/>
              </w:rPr>
            </w:pPr>
            <w:r>
              <w:rPr>
                <w:rFonts w:ascii="Arial"/>
                <w:spacing w:val="-1"/>
              </w:rPr>
              <w:t>claims</w:t>
            </w:r>
            <w:r>
              <w:rPr>
                <w:rFonts w:ascii="Arial"/>
                <w:spacing w:val="6"/>
              </w:rPr>
              <w:t xml:space="preserve"> </w:t>
            </w:r>
            <w:r>
              <w:rPr>
                <w:rFonts w:ascii="Arial"/>
                <w:spacing w:val="-1"/>
              </w:rPr>
              <w:t>whether</w:t>
            </w:r>
            <w:r>
              <w:rPr>
                <w:rFonts w:ascii="Arial"/>
                <w:spacing w:val="7"/>
              </w:rPr>
              <w:t xml:space="preserve"> </w:t>
            </w:r>
            <w:r>
              <w:rPr>
                <w:rFonts w:ascii="Arial"/>
                <w:spacing w:val="-1"/>
              </w:rPr>
              <w:t>in</w:t>
            </w:r>
            <w:r>
              <w:rPr>
                <w:rFonts w:ascii="Arial"/>
                <w:spacing w:val="5"/>
              </w:rPr>
              <w:t xml:space="preserve"> </w:t>
            </w:r>
            <w:r>
              <w:rPr>
                <w:rFonts w:ascii="Arial"/>
              </w:rPr>
              <w:t>tort,</w:t>
            </w:r>
            <w:r>
              <w:rPr>
                <w:rFonts w:ascii="Arial"/>
                <w:spacing w:val="7"/>
              </w:rPr>
              <w:t xml:space="preserve"> </w:t>
            </w:r>
            <w:r>
              <w:rPr>
                <w:rFonts w:ascii="Arial"/>
                <w:spacing w:val="-1"/>
              </w:rPr>
              <w:t>contract</w:t>
            </w:r>
            <w:r>
              <w:rPr>
                <w:rFonts w:ascii="Arial"/>
                <w:spacing w:val="7"/>
              </w:rPr>
              <w:t xml:space="preserve"> </w:t>
            </w:r>
            <w:r>
              <w:rPr>
                <w:rFonts w:ascii="Arial"/>
                <w:spacing w:val="-1"/>
              </w:rPr>
              <w:t>or</w:t>
            </w:r>
            <w:r>
              <w:rPr>
                <w:rFonts w:ascii="Arial"/>
                <w:spacing w:val="7"/>
              </w:rPr>
              <w:t xml:space="preserve"> </w:t>
            </w:r>
            <w:r>
              <w:rPr>
                <w:rFonts w:ascii="Arial"/>
                <w:spacing w:val="-1"/>
              </w:rPr>
              <w:t>statute</w:t>
            </w:r>
            <w:r>
              <w:rPr>
                <w:rFonts w:ascii="Arial"/>
                <w:spacing w:val="3"/>
              </w:rPr>
              <w:t xml:space="preserve"> </w:t>
            </w:r>
            <w:r>
              <w:rPr>
                <w:rFonts w:ascii="Arial"/>
                <w:spacing w:val="-1"/>
              </w:rPr>
              <w:t>or</w:t>
            </w:r>
            <w:r>
              <w:rPr>
                <w:rFonts w:ascii="Arial"/>
                <w:spacing w:val="28"/>
              </w:rPr>
              <w:t xml:space="preserve"> </w:t>
            </w:r>
            <w:r>
              <w:rPr>
                <w:rFonts w:ascii="Arial"/>
                <w:spacing w:val="-1"/>
              </w:rPr>
              <w:t>otherwise;</w:t>
            </w:r>
          </w:p>
          <w:p w:rsidR="008918FA" w:rsidRDefault="008918FA" w:rsidP="005D2B81">
            <w:pPr>
              <w:pStyle w:val="ListParagraph"/>
              <w:numPr>
                <w:ilvl w:val="0"/>
                <w:numId w:val="46"/>
              </w:numPr>
              <w:tabs>
                <w:tab w:val="left" w:pos="820"/>
              </w:tabs>
              <w:spacing w:before="121"/>
              <w:ind w:right="99" w:hanging="544"/>
              <w:jc w:val="both"/>
              <w:rPr>
                <w:rFonts w:ascii="Arial" w:eastAsia="Arial" w:hAnsi="Arial" w:cs="Arial"/>
              </w:rPr>
            </w:pPr>
            <w:r>
              <w:rPr>
                <w:rFonts w:ascii="Arial"/>
                <w:spacing w:val="-1"/>
              </w:rPr>
              <w:t>any</w:t>
            </w:r>
            <w:r>
              <w:rPr>
                <w:rFonts w:ascii="Arial"/>
                <w:spacing w:val="10"/>
              </w:rPr>
              <w:t xml:space="preserve"> </w:t>
            </w:r>
            <w:r>
              <w:rPr>
                <w:rFonts w:ascii="Arial"/>
                <w:spacing w:val="-1"/>
              </w:rPr>
              <w:t>investigation</w:t>
            </w:r>
            <w:r>
              <w:rPr>
                <w:rFonts w:ascii="Arial"/>
                <w:spacing w:val="12"/>
              </w:rPr>
              <w:t xml:space="preserve"> </w:t>
            </w:r>
            <w:r>
              <w:rPr>
                <w:rFonts w:ascii="Arial"/>
                <w:spacing w:val="-1"/>
              </w:rPr>
              <w:t>by</w:t>
            </w:r>
            <w:r>
              <w:rPr>
                <w:rFonts w:ascii="Arial"/>
                <w:spacing w:val="10"/>
              </w:rPr>
              <w:t xml:space="preserve"> </w:t>
            </w:r>
            <w:r>
              <w:rPr>
                <w:rFonts w:ascii="Arial"/>
              </w:rPr>
              <w:t>the</w:t>
            </w:r>
            <w:r>
              <w:rPr>
                <w:rFonts w:ascii="Arial"/>
                <w:spacing w:val="15"/>
              </w:rPr>
              <w:t xml:space="preserve"> </w:t>
            </w:r>
            <w:r>
              <w:rPr>
                <w:rFonts w:ascii="Arial"/>
                <w:spacing w:val="-1"/>
              </w:rPr>
              <w:t>Equality</w:t>
            </w:r>
            <w:r>
              <w:rPr>
                <w:rFonts w:ascii="Arial"/>
                <w:spacing w:val="10"/>
              </w:rPr>
              <w:t xml:space="preserve"> </w:t>
            </w:r>
            <w:r>
              <w:rPr>
                <w:rFonts w:ascii="Arial"/>
                <w:spacing w:val="-1"/>
              </w:rPr>
              <w:t>and</w:t>
            </w:r>
            <w:r>
              <w:rPr>
                <w:rFonts w:ascii="Arial"/>
                <w:spacing w:val="12"/>
              </w:rPr>
              <w:t xml:space="preserve"> </w:t>
            </w:r>
            <w:r>
              <w:rPr>
                <w:rFonts w:ascii="Arial"/>
                <w:spacing w:val="-1"/>
              </w:rPr>
              <w:t>Human</w:t>
            </w:r>
            <w:r>
              <w:rPr>
                <w:rFonts w:ascii="Arial"/>
                <w:spacing w:val="12"/>
              </w:rPr>
              <w:t xml:space="preserve"> </w:t>
            </w:r>
            <w:r>
              <w:rPr>
                <w:rFonts w:ascii="Arial"/>
                <w:spacing w:val="-1"/>
              </w:rPr>
              <w:t>Rights</w:t>
            </w:r>
            <w:r>
              <w:rPr>
                <w:rFonts w:ascii="Arial"/>
                <w:spacing w:val="37"/>
              </w:rPr>
              <w:t xml:space="preserve"> </w:t>
            </w:r>
            <w:r>
              <w:rPr>
                <w:rFonts w:ascii="Arial"/>
                <w:spacing w:val="-1"/>
              </w:rPr>
              <w:t>Commission</w:t>
            </w:r>
            <w:r>
              <w:rPr>
                <w:rFonts w:ascii="Arial"/>
                <w:spacing w:val="28"/>
              </w:rPr>
              <w:t xml:space="preserve"> </w:t>
            </w:r>
            <w:r>
              <w:rPr>
                <w:rFonts w:ascii="Arial"/>
                <w:spacing w:val="-1"/>
              </w:rPr>
              <w:t>or</w:t>
            </w:r>
            <w:r>
              <w:rPr>
                <w:rFonts w:ascii="Arial"/>
                <w:spacing w:val="29"/>
              </w:rPr>
              <w:t xml:space="preserve"> </w:t>
            </w:r>
            <w:r>
              <w:rPr>
                <w:rFonts w:ascii="Arial"/>
                <w:spacing w:val="-1"/>
              </w:rPr>
              <w:t>other</w:t>
            </w:r>
            <w:r>
              <w:rPr>
                <w:rFonts w:ascii="Arial"/>
                <w:spacing w:val="27"/>
              </w:rPr>
              <w:t xml:space="preserve"> </w:t>
            </w:r>
            <w:r>
              <w:rPr>
                <w:rFonts w:ascii="Arial"/>
                <w:spacing w:val="-1"/>
              </w:rPr>
              <w:t>enforcement,</w:t>
            </w:r>
            <w:r>
              <w:rPr>
                <w:rFonts w:ascii="Arial"/>
                <w:spacing w:val="30"/>
              </w:rPr>
              <w:t xml:space="preserve"> </w:t>
            </w:r>
            <w:r>
              <w:rPr>
                <w:rFonts w:ascii="Arial"/>
                <w:spacing w:val="-1"/>
              </w:rPr>
              <w:t>regulatory</w:t>
            </w:r>
            <w:r>
              <w:rPr>
                <w:rFonts w:ascii="Arial"/>
                <w:spacing w:val="26"/>
              </w:rPr>
              <w:t xml:space="preserve"> </w:t>
            </w:r>
            <w:r>
              <w:rPr>
                <w:rFonts w:ascii="Arial"/>
                <w:spacing w:val="-1"/>
              </w:rPr>
              <w:t>or</w:t>
            </w:r>
            <w:r>
              <w:rPr>
                <w:rFonts w:ascii="Arial"/>
                <w:spacing w:val="28"/>
              </w:rPr>
              <w:t xml:space="preserve"> </w:t>
            </w:r>
            <w:r>
              <w:rPr>
                <w:rFonts w:ascii="Arial"/>
                <w:spacing w:val="-1"/>
              </w:rPr>
              <w:t>supervisory</w:t>
            </w:r>
            <w:r>
              <w:rPr>
                <w:rFonts w:ascii="Arial"/>
                <w:spacing w:val="14"/>
              </w:rPr>
              <w:t xml:space="preserve"> </w:t>
            </w:r>
            <w:r>
              <w:rPr>
                <w:rFonts w:ascii="Arial"/>
              </w:rPr>
              <w:t>body</w:t>
            </w:r>
            <w:r>
              <w:rPr>
                <w:rFonts w:ascii="Arial"/>
                <w:spacing w:val="14"/>
              </w:rPr>
              <w:t xml:space="preserve"> </w:t>
            </w:r>
            <w:r>
              <w:rPr>
                <w:rFonts w:ascii="Arial"/>
              </w:rPr>
              <w:t>and</w:t>
            </w:r>
            <w:r>
              <w:rPr>
                <w:rFonts w:ascii="Arial"/>
                <w:spacing w:val="16"/>
              </w:rPr>
              <w:t xml:space="preserve"> </w:t>
            </w:r>
            <w:r>
              <w:rPr>
                <w:rFonts w:ascii="Arial"/>
                <w:spacing w:val="-2"/>
              </w:rPr>
              <w:t>of</w:t>
            </w:r>
            <w:r>
              <w:rPr>
                <w:rFonts w:ascii="Arial"/>
                <w:spacing w:val="20"/>
              </w:rPr>
              <w:t xml:space="preserve"> </w:t>
            </w:r>
            <w:r>
              <w:rPr>
                <w:rFonts w:ascii="Arial"/>
                <w:spacing w:val="-1"/>
              </w:rPr>
              <w:t>implementing</w:t>
            </w:r>
            <w:r>
              <w:rPr>
                <w:rFonts w:ascii="Arial"/>
                <w:spacing w:val="16"/>
              </w:rPr>
              <w:t xml:space="preserve"> </w:t>
            </w:r>
            <w:r>
              <w:rPr>
                <w:rFonts w:ascii="Arial"/>
                <w:spacing w:val="-1"/>
              </w:rPr>
              <w:t>any</w:t>
            </w:r>
            <w:r>
              <w:rPr>
                <w:rFonts w:ascii="Arial"/>
                <w:spacing w:val="24"/>
              </w:rPr>
              <w:t xml:space="preserve"> </w:t>
            </w:r>
            <w:r>
              <w:rPr>
                <w:rFonts w:ascii="Arial"/>
                <w:spacing w:val="-1"/>
              </w:rPr>
              <w:t>requirements</w:t>
            </w:r>
            <w:r>
              <w:rPr>
                <w:rFonts w:ascii="Arial"/>
                <w:spacing w:val="50"/>
              </w:rPr>
              <w:t xml:space="preserve"> </w:t>
            </w:r>
            <w:r>
              <w:rPr>
                <w:rFonts w:ascii="Arial"/>
                <w:spacing w:val="-2"/>
              </w:rPr>
              <w:t>which</w:t>
            </w:r>
            <w:r>
              <w:rPr>
                <w:rFonts w:ascii="Arial"/>
                <w:spacing w:val="52"/>
              </w:rPr>
              <w:t xml:space="preserve"> </w:t>
            </w:r>
            <w:r>
              <w:rPr>
                <w:rFonts w:ascii="Arial"/>
                <w:spacing w:val="-1"/>
              </w:rPr>
              <w:t>may</w:t>
            </w:r>
            <w:r>
              <w:rPr>
                <w:rFonts w:ascii="Arial"/>
                <w:spacing w:val="48"/>
              </w:rPr>
              <w:t xml:space="preserve"> </w:t>
            </w:r>
            <w:r>
              <w:rPr>
                <w:rFonts w:ascii="Arial"/>
                <w:spacing w:val="-1"/>
              </w:rPr>
              <w:t>arise</w:t>
            </w:r>
            <w:r>
              <w:rPr>
                <w:rFonts w:ascii="Arial"/>
                <w:spacing w:val="49"/>
              </w:rPr>
              <w:t xml:space="preserve"> </w:t>
            </w:r>
            <w:r>
              <w:rPr>
                <w:rFonts w:ascii="Arial"/>
              </w:rPr>
              <w:t>from</w:t>
            </w:r>
            <w:r>
              <w:rPr>
                <w:rFonts w:ascii="Arial"/>
                <w:spacing w:val="51"/>
              </w:rPr>
              <w:t xml:space="preserve"> </w:t>
            </w:r>
            <w:r>
              <w:rPr>
                <w:rFonts w:ascii="Arial"/>
                <w:spacing w:val="-1"/>
              </w:rPr>
              <w:t>such</w:t>
            </w:r>
            <w:r>
              <w:rPr>
                <w:rFonts w:ascii="Arial"/>
                <w:spacing w:val="25"/>
              </w:rPr>
              <w:t xml:space="preserve"> </w:t>
            </w:r>
            <w:r>
              <w:rPr>
                <w:rFonts w:ascii="Arial"/>
                <w:spacing w:val="-1"/>
              </w:rPr>
              <w:t>investigation;</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975"/>
              <w:rPr>
                <w:rFonts w:ascii="Arial" w:eastAsia="Arial" w:hAnsi="Arial" w:cs="Arial"/>
              </w:rPr>
            </w:pPr>
            <w:r>
              <w:rPr>
                <w:rFonts w:ascii="Arial"/>
                <w:b/>
                <w:spacing w:val="-1"/>
              </w:rPr>
              <w:t>"Employment</w:t>
            </w:r>
            <w:r>
              <w:rPr>
                <w:rFonts w:ascii="Arial"/>
                <w:b/>
                <w:spacing w:val="20"/>
              </w:rPr>
              <w:t xml:space="preserve"> </w:t>
            </w:r>
            <w:r>
              <w:rPr>
                <w:rFonts w:ascii="Arial"/>
                <w:b/>
                <w:spacing w:val="-1"/>
              </w:rPr>
              <w:t>Regulations"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means</w:t>
            </w:r>
            <w:r>
              <w:rPr>
                <w:rFonts w:ascii="Arial"/>
                <w:spacing w:val="8"/>
              </w:rPr>
              <w:t xml:space="preserve"> </w:t>
            </w:r>
            <w:r>
              <w:rPr>
                <w:rFonts w:ascii="Arial"/>
              </w:rPr>
              <w:t>the</w:t>
            </w:r>
            <w:r>
              <w:rPr>
                <w:rFonts w:ascii="Arial"/>
                <w:spacing w:val="7"/>
              </w:rPr>
              <w:t xml:space="preserve"> </w:t>
            </w:r>
            <w:r>
              <w:rPr>
                <w:rFonts w:ascii="Arial"/>
                <w:spacing w:val="-1"/>
              </w:rPr>
              <w:t>Transfer</w:t>
            </w:r>
            <w:r>
              <w:rPr>
                <w:rFonts w:ascii="Arial"/>
                <w:spacing w:val="9"/>
              </w:rPr>
              <w:t xml:space="preserve"> </w:t>
            </w:r>
            <w:r>
              <w:rPr>
                <w:rFonts w:ascii="Arial"/>
                <w:spacing w:val="-2"/>
              </w:rPr>
              <w:t>of</w:t>
            </w:r>
            <w:r>
              <w:rPr>
                <w:rFonts w:ascii="Arial"/>
                <w:spacing w:val="14"/>
              </w:rPr>
              <w:t xml:space="preserve"> </w:t>
            </w:r>
            <w:r>
              <w:rPr>
                <w:rFonts w:ascii="Arial"/>
                <w:spacing w:val="-1"/>
              </w:rPr>
              <w:t>Undertakings</w:t>
            </w:r>
            <w:r>
              <w:rPr>
                <w:rFonts w:ascii="Arial"/>
                <w:spacing w:val="8"/>
              </w:rPr>
              <w:t xml:space="preserve"> </w:t>
            </w:r>
            <w:r>
              <w:rPr>
                <w:rFonts w:ascii="Arial"/>
                <w:spacing w:val="-1"/>
              </w:rPr>
              <w:t>(Protection</w:t>
            </w:r>
            <w:r>
              <w:rPr>
                <w:rFonts w:ascii="Arial"/>
                <w:spacing w:val="8"/>
              </w:rPr>
              <w:t xml:space="preserve"> </w:t>
            </w:r>
            <w:r>
              <w:rPr>
                <w:rFonts w:ascii="Arial"/>
                <w:spacing w:val="-2"/>
              </w:rPr>
              <w:t>of</w:t>
            </w:r>
            <w:r>
              <w:rPr>
                <w:rFonts w:ascii="Arial"/>
                <w:spacing w:val="23"/>
              </w:rPr>
              <w:t xml:space="preserve"> </w:t>
            </w:r>
            <w:r>
              <w:rPr>
                <w:rFonts w:ascii="Arial"/>
                <w:spacing w:val="-1"/>
              </w:rPr>
              <w:t>Employment)</w:t>
            </w:r>
            <w:r>
              <w:rPr>
                <w:rFonts w:ascii="Arial"/>
                <w:spacing w:val="1"/>
              </w:rPr>
              <w:t xml:space="preserve"> </w:t>
            </w:r>
            <w:r>
              <w:rPr>
                <w:rFonts w:ascii="Arial"/>
                <w:spacing w:val="-2"/>
              </w:rPr>
              <w:t>Regulations</w:t>
            </w:r>
            <w:r>
              <w:rPr>
                <w:rFonts w:ascii="Arial"/>
                <w:spacing w:val="61"/>
              </w:rPr>
              <w:t xml:space="preserve"> </w:t>
            </w:r>
            <w:r>
              <w:rPr>
                <w:rFonts w:ascii="Arial"/>
                <w:spacing w:val="-1"/>
              </w:rPr>
              <w:t>2006</w:t>
            </w:r>
            <w:r>
              <w:rPr>
                <w:rFonts w:ascii="Arial"/>
                <w:spacing w:val="60"/>
              </w:rPr>
              <w:t xml:space="preserve"> </w:t>
            </w:r>
            <w:r>
              <w:rPr>
                <w:rFonts w:ascii="Arial"/>
                <w:spacing w:val="-1"/>
              </w:rPr>
              <w:t>(SI</w:t>
            </w:r>
            <w:r>
              <w:rPr>
                <w:rFonts w:ascii="Arial"/>
                <w:spacing w:val="1"/>
              </w:rPr>
              <w:t xml:space="preserve"> </w:t>
            </w:r>
            <w:r>
              <w:rPr>
                <w:rFonts w:ascii="Arial"/>
                <w:spacing w:val="-2"/>
              </w:rPr>
              <w:t>2006/246)</w:t>
            </w:r>
            <w:r>
              <w:rPr>
                <w:rFonts w:ascii="Arial"/>
                <w:spacing w:val="1"/>
              </w:rPr>
              <w:t xml:space="preserve"> </w:t>
            </w:r>
            <w:r>
              <w:rPr>
                <w:rFonts w:ascii="Arial"/>
                <w:spacing w:val="-1"/>
              </w:rPr>
              <w:t>as</w:t>
            </w:r>
            <w:r>
              <w:rPr>
                <w:rFonts w:ascii="Arial"/>
                <w:spacing w:val="44"/>
              </w:rPr>
              <w:t xml:space="preserve"> </w:t>
            </w:r>
            <w:r>
              <w:rPr>
                <w:rFonts w:ascii="Arial"/>
                <w:spacing w:val="-1"/>
              </w:rPr>
              <w:t>amended</w:t>
            </w:r>
            <w:r>
              <w:rPr>
                <w:rFonts w:ascii="Arial"/>
                <w:spacing w:val="4"/>
              </w:rPr>
              <w:t xml:space="preserve"> </w:t>
            </w:r>
            <w:r>
              <w:rPr>
                <w:rFonts w:ascii="Arial"/>
                <w:spacing w:val="-1"/>
              </w:rPr>
              <w:t>or</w:t>
            </w:r>
            <w:r>
              <w:rPr>
                <w:rFonts w:ascii="Arial"/>
                <w:spacing w:val="5"/>
              </w:rPr>
              <w:t xml:space="preserve"> </w:t>
            </w:r>
            <w:r>
              <w:rPr>
                <w:rFonts w:ascii="Arial"/>
                <w:spacing w:val="-2"/>
              </w:rPr>
              <w:t>replaced</w:t>
            </w:r>
            <w:r>
              <w:rPr>
                <w:rFonts w:ascii="Arial"/>
                <w:spacing w:val="4"/>
              </w:rPr>
              <w:t xml:space="preserve"> </w:t>
            </w:r>
            <w:r>
              <w:rPr>
                <w:rFonts w:ascii="Arial"/>
                <w:spacing w:val="-1"/>
              </w:rPr>
              <w:t>or</w:t>
            </w:r>
            <w:r>
              <w:rPr>
                <w:rFonts w:ascii="Arial"/>
                <w:spacing w:val="5"/>
              </w:rPr>
              <w:t xml:space="preserve"> </w:t>
            </w:r>
            <w:r>
              <w:rPr>
                <w:rFonts w:ascii="Arial"/>
                <w:spacing w:val="-1"/>
              </w:rPr>
              <w:t>any</w:t>
            </w:r>
            <w:r>
              <w:rPr>
                <w:rFonts w:ascii="Arial"/>
                <w:spacing w:val="4"/>
              </w:rPr>
              <w:t xml:space="preserve"> </w:t>
            </w:r>
            <w:r>
              <w:rPr>
                <w:rFonts w:ascii="Arial"/>
                <w:spacing w:val="-1"/>
              </w:rPr>
              <w:t>other</w:t>
            </w:r>
            <w:r>
              <w:rPr>
                <w:rFonts w:ascii="Arial"/>
                <w:spacing w:val="5"/>
              </w:rPr>
              <w:t xml:space="preserve"> </w:t>
            </w:r>
            <w:r>
              <w:rPr>
                <w:rFonts w:ascii="Arial"/>
                <w:spacing w:val="-1"/>
              </w:rPr>
              <w:t>Regulations</w:t>
            </w:r>
            <w:r>
              <w:rPr>
                <w:rFonts w:ascii="Arial"/>
                <w:spacing w:val="34"/>
              </w:rPr>
              <w:t xml:space="preserve"> </w:t>
            </w:r>
            <w:r>
              <w:rPr>
                <w:rFonts w:ascii="Arial"/>
                <w:spacing w:val="-1"/>
              </w:rPr>
              <w:t>implementing</w:t>
            </w:r>
            <w:r>
              <w:rPr>
                <w:rFonts w:ascii="Arial"/>
              </w:rPr>
              <w:t xml:space="preserve"> the </w:t>
            </w:r>
            <w:r>
              <w:rPr>
                <w:rFonts w:ascii="Arial"/>
                <w:spacing w:val="-2"/>
              </w:rPr>
              <w:t>Acquired</w:t>
            </w:r>
            <w:r>
              <w:rPr>
                <w:rFonts w:ascii="Arial"/>
              </w:rPr>
              <w:t xml:space="preserve"> </w:t>
            </w:r>
            <w:r>
              <w:rPr>
                <w:rFonts w:ascii="Arial"/>
                <w:spacing w:val="-1"/>
              </w:rPr>
              <w:t>Rights</w:t>
            </w:r>
            <w:r>
              <w:rPr>
                <w:rFonts w:ascii="Arial"/>
                <w:spacing w:val="1"/>
              </w:rPr>
              <w:t xml:space="preserve"> </w:t>
            </w:r>
            <w:r>
              <w:rPr>
                <w:rFonts w:ascii="Arial"/>
                <w:spacing w:val="-2"/>
              </w:rPr>
              <w:t>Directive;</w:t>
            </w:r>
          </w:p>
        </w:tc>
      </w:tr>
      <w:tr w:rsidR="008918FA" w:rsidTr="005D2B81">
        <w:trPr>
          <w:trHeight w:hRule="exact" w:val="190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ind w:left="-6" w:right="202"/>
              <w:rPr>
                <w:rFonts w:ascii="Arial" w:eastAsia="Arial" w:hAnsi="Arial" w:cs="Arial"/>
              </w:rPr>
            </w:pPr>
            <w:r>
              <w:rPr>
                <w:rFonts w:ascii="Arial"/>
                <w:b/>
                <w:spacing w:val="-1"/>
              </w:rPr>
              <w:t>"Environmental</w:t>
            </w:r>
            <w:r>
              <w:rPr>
                <w:rFonts w:ascii="Arial"/>
                <w:b/>
                <w:spacing w:val="24"/>
              </w:rPr>
              <w:t xml:space="preserve"> </w:t>
            </w:r>
            <w:r>
              <w:rPr>
                <w:rFonts w:ascii="Arial"/>
                <w:b/>
                <w:spacing w:val="-1"/>
              </w:rPr>
              <w:t>Information</w:t>
            </w:r>
            <w:r>
              <w:rPr>
                <w:rFonts w:ascii="Arial"/>
                <w:b/>
                <w:spacing w:val="24"/>
              </w:rPr>
              <w:t xml:space="preserve"> </w:t>
            </w:r>
            <w:r>
              <w:rPr>
                <w:rFonts w:ascii="Arial"/>
                <w:b/>
                <w:spacing w:val="-1"/>
              </w:rPr>
              <w:t>Regulations</w:t>
            </w:r>
            <w:r>
              <w:rPr>
                <w:rFonts w:ascii="Arial"/>
                <w:b/>
                <w:spacing w:val="-2"/>
              </w:rPr>
              <w:t xml:space="preserve"> </w:t>
            </w:r>
            <w:r>
              <w:rPr>
                <w:rFonts w:ascii="Arial"/>
                <w:b/>
                <w:spacing w:val="-1"/>
              </w:rPr>
              <w:t>or EIRs"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8"/>
              <w:jc w:val="both"/>
              <w:rPr>
                <w:rFonts w:ascii="Arial" w:eastAsia="Arial" w:hAnsi="Arial" w:cs="Arial"/>
              </w:rPr>
            </w:pPr>
            <w:r>
              <w:rPr>
                <w:rFonts w:ascii="Arial"/>
                <w:spacing w:val="-1"/>
              </w:rPr>
              <w:t>means</w:t>
            </w:r>
            <w:r>
              <w:rPr>
                <w:rFonts w:ascii="Arial"/>
                <w:spacing w:val="10"/>
              </w:rPr>
              <w:t xml:space="preserve"> </w:t>
            </w:r>
            <w:r>
              <w:rPr>
                <w:rFonts w:ascii="Arial"/>
              </w:rPr>
              <w:t>to</w:t>
            </w:r>
            <w:r>
              <w:rPr>
                <w:rFonts w:ascii="Arial"/>
                <w:spacing w:val="12"/>
              </w:rPr>
              <w:t xml:space="preserve"> </w:t>
            </w:r>
            <w:r>
              <w:rPr>
                <w:rFonts w:ascii="Arial"/>
                <w:spacing w:val="-1"/>
              </w:rPr>
              <w:t>conserve</w:t>
            </w:r>
            <w:r>
              <w:rPr>
                <w:rFonts w:ascii="Arial"/>
                <w:spacing w:val="12"/>
              </w:rPr>
              <w:t xml:space="preserve"> </w:t>
            </w:r>
            <w:r>
              <w:rPr>
                <w:rFonts w:ascii="Arial"/>
                <w:spacing w:val="-1"/>
              </w:rPr>
              <w:t>energy,</w:t>
            </w:r>
            <w:r>
              <w:rPr>
                <w:rFonts w:ascii="Arial"/>
                <w:spacing w:val="14"/>
              </w:rPr>
              <w:t xml:space="preserve"> </w:t>
            </w:r>
            <w:r>
              <w:rPr>
                <w:rFonts w:ascii="Arial"/>
                <w:spacing w:val="-2"/>
              </w:rPr>
              <w:t>water,</w:t>
            </w:r>
            <w:r>
              <w:rPr>
                <w:rFonts w:ascii="Arial"/>
                <w:spacing w:val="14"/>
              </w:rPr>
              <w:t xml:space="preserve"> </w:t>
            </w:r>
            <w:r>
              <w:rPr>
                <w:rFonts w:ascii="Arial"/>
                <w:spacing w:val="-2"/>
              </w:rPr>
              <w:t>wood,</w:t>
            </w:r>
            <w:r>
              <w:rPr>
                <w:rFonts w:ascii="Arial"/>
                <w:spacing w:val="14"/>
              </w:rPr>
              <w:t xml:space="preserve"> </w:t>
            </w:r>
            <w:r>
              <w:rPr>
                <w:rFonts w:ascii="Arial"/>
                <w:spacing w:val="-1"/>
              </w:rPr>
              <w:t>paper</w:t>
            </w:r>
            <w:r>
              <w:rPr>
                <w:rFonts w:ascii="Arial"/>
                <w:spacing w:val="9"/>
              </w:rPr>
              <w:t xml:space="preserve"> </w:t>
            </w:r>
            <w:r>
              <w:rPr>
                <w:rFonts w:ascii="Arial"/>
                <w:spacing w:val="-1"/>
              </w:rPr>
              <w:t>and</w:t>
            </w:r>
            <w:r>
              <w:rPr>
                <w:rFonts w:ascii="Arial"/>
                <w:spacing w:val="12"/>
              </w:rPr>
              <w:t xml:space="preserve"> </w:t>
            </w:r>
            <w:r>
              <w:rPr>
                <w:rFonts w:ascii="Arial"/>
                <w:spacing w:val="-1"/>
              </w:rPr>
              <w:t>other</w:t>
            </w:r>
            <w:r>
              <w:rPr>
                <w:rFonts w:ascii="Arial"/>
                <w:spacing w:val="31"/>
              </w:rPr>
              <w:t xml:space="preserve"> </w:t>
            </w:r>
            <w:r>
              <w:rPr>
                <w:rFonts w:ascii="Arial"/>
                <w:spacing w:val="-1"/>
              </w:rPr>
              <w:t>resources,</w:t>
            </w:r>
            <w:r>
              <w:rPr>
                <w:rFonts w:ascii="Arial"/>
                <w:spacing w:val="14"/>
              </w:rPr>
              <w:t xml:space="preserve"> </w:t>
            </w:r>
            <w:r>
              <w:rPr>
                <w:rFonts w:ascii="Arial"/>
                <w:spacing w:val="-1"/>
              </w:rPr>
              <w:t>reduce</w:t>
            </w:r>
            <w:r>
              <w:rPr>
                <w:rFonts w:ascii="Arial"/>
                <w:spacing w:val="15"/>
              </w:rPr>
              <w:t xml:space="preserve"> </w:t>
            </w:r>
            <w:r>
              <w:rPr>
                <w:rFonts w:ascii="Arial"/>
                <w:spacing w:val="-1"/>
              </w:rPr>
              <w:t>waste</w:t>
            </w:r>
            <w:r>
              <w:rPr>
                <w:rFonts w:ascii="Arial"/>
                <w:spacing w:val="12"/>
              </w:rPr>
              <w:t xml:space="preserve"> </w:t>
            </w:r>
            <w:r>
              <w:rPr>
                <w:rFonts w:ascii="Arial"/>
                <w:spacing w:val="-1"/>
              </w:rPr>
              <w:t>and</w:t>
            </w:r>
            <w:r>
              <w:rPr>
                <w:rFonts w:ascii="Arial"/>
                <w:spacing w:val="15"/>
              </w:rPr>
              <w:t xml:space="preserve"> </w:t>
            </w:r>
            <w:r>
              <w:rPr>
                <w:rFonts w:ascii="Arial"/>
                <w:spacing w:val="-1"/>
              </w:rPr>
              <w:t>phase</w:t>
            </w:r>
            <w:r>
              <w:rPr>
                <w:rFonts w:ascii="Arial"/>
                <w:spacing w:val="15"/>
              </w:rPr>
              <w:t xml:space="preserve"> </w:t>
            </w:r>
            <w:r>
              <w:rPr>
                <w:rFonts w:ascii="Arial"/>
                <w:spacing w:val="-2"/>
              </w:rPr>
              <w:t>out</w:t>
            </w:r>
            <w:r>
              <w:rPr>
                <w:rFonts w:ascii="Arial"/>
                <w:spacing w:val="14"/>
              </w:rPr>
              <w:t xml:space="preserve"> </w:t>
            </w:r>
            <w:r>
              <w:rPr>
                <w:rFonts w:ascii="Arial"/>
              </w:rPr>
              <w:t>the</w:t>
            </w:r>
            <w:r>
              <w:rPr>
                <w:rFonts w:ascii="Arial"/>
                <w:spacing w:val="15"/>
              </w:rPr>
              <w:t xml:space="preserve"> </w:t>
            </w:r>
            <w:r>
              <w:rPr>
                <w:rFonts w:ascii="Arial"/>
                <w:spacing w:val="-1"/>
              </w:rPr>
              <w:t>use</w:t>
            </w:r>
            <w:r>
              <w:rPr>
                <w:rFonts w:ascii="Arial"/>
                <w:spacing w:val="10"/>
              </w:rPr>
              <w:t xml:space="preserve"> </w:t>
            </w:r>
            <w:r>
              <w:rPr>
                <w:rFonts w:ascii="Arial"/>
                <w:spacing w:val="-2"/>
              </w:rPr>
              <w:t>of</w:t>
            </w:r>
            <w:r>
              <w:rPr>
                <w:rFonts w:ascii="Arial"/>
                <w:spacing w:val="19"/>
              </w:rPr>
              <w:t xml:space="preserve"> </w:t>
            </w:r>
            <w:r>
              <w:rPr>
                <w:rFonts w:ascii="Arial"/>
                <w:spacing w:val="-2"/>
              </w:rPr>
              <w:t>ozone</w:t>
            </w:r>
            <w:r>
              <w:rPr>
                <w:rFonts w:ascii="Arial"/>
                <w:spacing w:val="28"/>
              </w:rPr>
              <w:t xml:space="preserve"> </w:t>
            </w:r>
            <w:r>
              <w:rPr>
                <w:rFonts w:ascii="Arial"/>
                <w:spacing w:val="-1"/>
              </w:rPr>
              <w:t>depleting</w:t>
            </w:r>
            <w:r>
              <w:rPr>
                <w:rFonts w:ascii="Arial"/>
                <w:spacing w:val="22"/>
              </w:rPr>
              <w:t xml:space="preserve"> </w:t>
            </w:r>
            <w:r>
              <w:rPr>
                <w:rFonts w:ascii="Arial"/>
                <w:spacing w:val="-1"/>
              </w:rPr>
              <w:t>substances</w:t>
            </w:r>
            <w:r>
              <w:rPr>
                <w:rFonts w:ascii="Arial"/>
                <w:spacing w:val="18"/>
              </w:rPr>
              <w:t xml:space="preserve"> </w:t>
            </w:r>
            <w:r>
              <w:rPr>
                <w:rFonts w:ascii="Arial"/>
                <w:spacing w:val="-1"/>
              </w:rPr>
              <w:t>and</w:t>
            </w:r>
            <w:r>
              <w:rPr>
                <w:rFonts w:ascii="Arial"/>
                <w:spacing w:val="20"/>
              </w:rPr>
              <w:t xml:space="preserve"> </w:t>
            </w:r>
            <w:r>
              <w:rPr>
                <w:rFonts w:ascii="Arial"/>
                <w:spacing w:val="-1"/>
              </w:rPr>
              <w:t>minimise</w:t>
            </w:r>
            <w:r>
              <w:rPr>
                <w:rFonts w:ascii="Arial"/>
                <w:spacing w:val="20"/>
              </w:rPr>
              <w:t xml:space="preserve"> </w:t>
            </w:r>
            <w:r>
              <w:rPr>
                <w:rFonts w:ascii="Arial"/>
              </w:rPr>
              <w:t>the</w:t>
            </w:r>
            <w:r>
              <w:rPr>
                <w:rFonts w:ascii="Arial"/>
                <w:spacing w:val="17"/>
              </w:rPr>
              <w:t xml:space="preserve"> </w:t>
            </w:r>
            <w:r>
              <w:rPr>
                <w:rFonts w:ascii="Arial"/>
                <w:spacing w:val="-1"/>
              </w:rPr>
              <w:t>release</w:t>
            </w:r>
            <w:r>
              <w:rPr>
                <w:rFonts w:ascii="Arial"/>
                <w:spacing w:val="18"/>
              </w:rPr>
              <w:t xml:space="preserve"> </w:t>
            </w:r>
            <w:r>
              <w:rPr>
                <w:rFonts w:ascii="Arial"/>
                <w:spacing w:val="-2"/>
              </w:rPr>
              <w:t>of</w:t>
            </w:r>
            <w:r>
              <w:rPr>
                <w:rFonts w:ascii="Arial"/>
                <w:spacing w:val="28"/>
              </w:rPr>
              <w:t xml:space="preserve"> </w:t>
            </w:r>
            <w:r>
              <w:rPr>
                <w:rFonts w:ascii="Arial"/>
                <w:spacing w:val="-1"/>
              </w:rPr>
              <w:t>greenhouse</w:t>
            </w:r>
            <w:r>
              <w:rPr>
                <w:rFonts w:ascii="Arial"/>
                <w:spacing w:val="13"/>
              </w:rPr>
              <w:t xml:space="preserve"> </w:t>
            </w:r>
            <w:r>
              <w:rPr>
                <w:rFonts w:ascii="Arial"/>
                <w:spacing w:val="-1"/>
              </w:rPr>
              <w:t>gases,</w:t>
            </w:r>
            <w:r>
              <w:rPr>
                <w:rFonts w:ascii="Arial"/>
                <w:spacing w:val="14"/>
              </w:rPr>
              <w:t xml:space="preserve"> </w:t>
            </w:r>
            <w:r>
              <w:rPr>
                <w:rFonts w:ascii="Arial"/>
                <w:spacing w:val="-2"/>
              </w:rPr>
              <w:t>volatile</w:t>
            </w:r>
            <w:r>
              <w:rPr>
                <w:rFonts w:ascii="Arial"/>
                <w:spacing w:val="12"/>
              </w:rPr>
              <w:t xml:space="preserve"> </w:t>
            </w:r>
            <w:r>
              <w:rPr>
                <w:rFonts w:ascii="Arial"/>
                <w:spacing w:val="-1"/>
              </w:rPr>
              <w:t>organic</w:t>
            </w:r>
            <w:r>
              <w:rPr>
                <w:rFonts w:ascii="Arial"/>
                <w:spacing w:val="13"/>
              </w:rPr>
              <w:t xml:space="preserve"> </w:t>
            </w:r>
            <w:r>
              <w:rPr>
                <w:rFonts w:ascii="Arial"/>
                <w:spacing w:val="-1"/>
              </w:rPr>
              <w:t>compounds</w:t>
            </w:r>
            <w:r>
              <w:rPr>
                <w:rFonts w:ascii="Arial"/>
                <w:spacing w:val="13"/>
              </w:rPr>
              <w:t xml:space="preserve"> </w:t>
            </w:r>
            <w:r>
              <w:rPr>
                <w:rFonts w:ascii="Arial"/>
                <w:spacing w:val="-2"/>
              </w:rPr>
              <w:t>and</w:t>
            </w:r>
            <w:r>
              <w:rPr>
                <w:rFonts w:ascii="Arial"/>
                <w:spacing w:val="12"/>
              </w:rPr>
              <w:t xml:space="preserve"> </w:t>
            </w:r>
            <w:r>
              <w:rPr>
                <w:rFonts w:ascii="Arial"/>
                <w:spacing w:val="-1"/>
              </w:rPr>
              <w:t>other</w:t>
            </w:r>
            <w:r>
              <w:rPr>
                <w:rFonts w:ascii="Arial"/>
                <w:spacing w:val="46"/>
              </w:rPr>
              <w:t xml:space="preserve"> </w:t>
            </w:r>
            <w:r>
              <w:rPr>
                <w:rFonts w:ascii="Arial"/>
                <w:spacing w:val="-1"/>
              </w:rPr>
              <w:t>substances</w:t>
            </w:r>
            <w:r>
              <w:rPr>
                <w:rFonts w:ascii="Arial"/>
                <w:spacing w:val="21"/>
              </w:rPr>
              <w:t xml:space="preserve"> </w:t>
            </w:r>
            <w:r>
              <w:rPr>
                <w:rFonts w:ascii="Arial"/>
                <w:spacing w:val="-1"/>
              </w:rPr>
              <w:t>damaging</w:t>
            </w:r>
            <w:r>
              <w:rPr>
                <w:rFonts w:ascii="Arial"/>
                <w:spacing w:val="21"/>
              </w:rPr>
              <w:t xml:space="preserve"> </w:t>
            </w:r>
            <w:r>
              <w:rPr>
                <w:rFonts w:ascii="Arial"/>
                <w:spacing w:val="-1"/>
              </w:rPr>
              <w:t>to</w:t>
            </w:r>
            <w:r>
              <w:rPr>
                <w:rFonts w:ascii="Arial"/>
                <w:spacing w:val="21"/>
              </w:rPr>
              <w:t xml:space="preserve"> </w:t>
            </w:r>
            <w:r>
              <w:rPr>
                <w:rFonts w:ascii="Arial"/>
                <w:spacing w:val="-1"/>
              </w:rPr>
              <w:t>health</w:t>
            </w:r>
            <w:r>
              <w:rPr>
                <w:rFonts w:ascii="Arial"/>
                <w:spacing w:val="21"/>
              </w:rPr>
              <w:t xml:space="preserve"> </w:t>
            </w:r>
            <w:r>
              <w:rPr>
                <w:rFonts w:ascii="Arial"/>
                <w:spacing w:val="-1"/>
              </w:rPr>
              <w:t>and</w:t>
            </w:r>
            <w:r>
              <w:rPr>
                <w:rFonts w:ascii="Arial"/>
                <w:spacing w:val="21"/>
              </w:rPr>
              <w:t xml:space="preserve"> </w:t>
            </w:r>
            <w:r>
              <w:rPr>
                <w:rFonts w:ascii="Arial"/>
              </w:rPr>
              <w:t>the</w:t>
            </w:r>
            <w:r>
              <w:rPr>
                <w:rFonts w:ascii="Arial"/>
                <w:spacing w:val="21"/>
              </w:rPr>
              <w:t xml:space="preserve"> </w:t>
            </w:r>
            <w:r>
              <w:rPr>
                <w:rFonts w:ascii="Arial"/>
                <w:spacing w:val="-1"/>
              </w:rPr>
              <w:t>environment,</w:t>
            </w:r>
            <w:r>
              <w:rPr>
                <w:rFonts w:ascii="Arial"/>
                <w:spacing w:val="21"/>
              </w:rPr>
              <w:t xml:space="preserve"> </w:t>
            </w:r>
            <w:r>
              <w:rPr>
                <w:rFonts w:ascii="Arial"/>
                <w:spacing w:val="-2"/>
              </w:rPr>
              <w:t>including</w:t>
            </w:r>
            <w:r>
              <w:rPr>
                <w:rFonts w:ascii="Arial"/>
                <w:spacing w:val="46"/>
              </w:rPr>
              <w:t xml:space="preserve"> </w:t>
            </w:r>
            <w:r>
              <w:rPr>
                <w:rFonts w:ascii="Arial"/>
                <w:spacing w:val="-1"/>
              </w:rPr>
              <w:t>any</w:t>
            </w:r>
            <w:r>
              <w:rPr>
                <w:rFonts w:ascii="Arial"/>
                <w:spacing w:val="45"/>
              </w:rPr>
              <w:t xml:space="preserve"> </w:t>
            </w:r>
            <w:r>
              <w:rPr>
                <w:rFonts w:ascii="Arial"/>
                <w:spacing w:val="-1"/>
              </w:rPr>
              <w:t>written</w:t>
            </w:r>
            <w:r>
              <w:rPr>
                <w:rFonts w:ascii="Arial"/>
                <w:spacing w:val="44"/>
              </w:rPr>
              <w:t xml:space="preserve"> </w:t>
            </w:r>
            <w:r>
              <w:rPr>
                <w:rFonts w:ascii="Arial"/>
                <w:spacing w:val="-1"/>
              </w:rPr>
              <w:t>environmental</w:t>
            </w:r>
            <w:r>
              <w:rPr>
                <w:rFonts w:ascii="Arial"/>
                <w:spacing w:val="43"/>
              </w:rPr>
              <w:t xml:space="preserve"> </w:t>
            </w:r>
            <w:r>
              <w:rPr>
                <w:rFonts w:ascii="Arial"/>
                <w:spacing w:val="-2"/>
              </w:rPr>
              <w:t>policy</w:t>
            </w:r>
            <w:r>
              <w:rPr>
                <w:rFonts w:ascii="Arial"/>
                <w:spacing w:val="44"/>
              </w:rPr>
              <w:t xml:space="preserve"> </w:t>
            </w:r>
            <w:r>
              <w:rPr>
                <w:rFonts w:ascii="Arial"/>
                <w:spacing w:val="-1"/>
              </w:rPr>
              <w:t>of</w:t>
            </w:r>
            <w:r>
              <w:rPr>
                <w:rFonts w:ascii="Arial"/>
                <w:spacing w:val="45"/>
              </w:rPr>
              <w:t xml:space="preserve"> </w:t>
            </w:r>
            <w:r>
              <w:rPr>
                <w:rFonts w:ascii="Arial"/>
                <w:spacing w:val="-1"/>
              </w:rPr>
              <w:t>the</w:t>
            </w:r>
            <w:r>
              <w:rPr>
                <w:rFonts w:ascii="Arial"/>
                <w:spacing w:val="42"/>
              </w:rPr>
              <w:t xml:space="preserve"> </w:t>
            </w:r>
            <w:r>
              <w:rPr>
                <w:rFonts w:ascii="Arial"/>
                <w:spacing w:val="-1"/>
              </w:rPr>
              <w:t>Customer;</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766"/>
              <w:rPr>
                <w:rFonts w:ascii="Arial" w:eastAsia="Arial" w:hAnsi="Arial" w:cs="Arial"/>
              </w:rPr>
            </w:pPr>
            <w:r>
              <w:rPr>
                <w:rFonts w:ascii="Arial"/>
                <w:b/>
                <w:spacing w:val="-1"/>
              </w:rPr>
              <w:t>"Environmental</w:t>
            </w:r>
            <w:r>
              <w:rPr>
                <w:rFonts w:ascii="Arial"/>
                <w:b/>
                <w:spacing w:val="24"/>
              </w:rPr>
              <w:t xml:space="preserve"> </w:t>
            </w:r>
            <w:r>
              <w:rPr>
                <w:rFonts w:ascii="Arial"/>
                <w:b/>
                <w:spacing w:val="-1"/>
              </w:rPr>
              <w:t>Policy"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means</w:t>
            </w:r>
            <w:r>
              <w:rPr>
                <w:rFonts w:ascii="Arial"/>
                <w:spacing w:val="46"/>
              </w:rPr>
              <w:t xml:space="preserve"> </w:t>
            </w:r>
            <w:r>
              <w:rPr>
                <w:rFonts w:ascii="Arial"/>
              </w:rPr>
              <w:t>the</w:t>
            </w:r>
            <w:r>
              <w:rPr>
                <w:rFonts w:ascii="Arial"/>
                <w:spacing w:val="48"/>
              </w:rPr>
              <w:t xml:space="preserve"> </w:t>
            </w:r>
            <w:r>
              <w:rPr>
                <w:rFonts w:ascii="Arial"/>
                <w:spacing w:val="-2"/>
              </w:rPr>
              <w:t>Environmental</w:t>
            </w:r>
            <w:r>
              <w:rPr>
                <w:rFonts w:ascii="Arial"/>
                <w:spacing w:val="47"/>
              </w:rPr>
              <w:t xml:space="preserve"> </w:t>
            </w:r>
            <w:r>
              <w:rPr>
                <w:rFonts w:ascii="Arial"/>
                <w:spacing w:val="-1"/>
              </w:rPr>
              <w:t>Information</w:t>
            </w:r>
            <w:r>
              <w:rPr>
                <w:rFonts w:ascii="Arial"/>
                <w:spacing w:val="48"/>
              </w:rPr>
              <w:t xml:space="preserve"> </w:t>
            </w:r>
            <w:r>
              <w:rPr>
                <w:rFonts w:ascii="Arial"/>
                <w:spacing w:val="-1"/>
              </w:rPr>
              <w:t>Regulations</w:t>
            </w:r>
            <w:r>
              <w:rPr>
                <w:rFonts w:ascii="Arial"/>
                <w:spacing w:val="49"/>
              </w:rPr>
              <w:t xml:space="preserve"> </w:t>
            </w:r>
            <w:r>
              <w:rPr>
                <w:rFonts w:ascii="Arial"/>
                <w:spacing w:val="-1"/>
              </w:rPr>
              <w:t>2004</w:t>
            </w:r>
            <w:r>
              <w:rPr>
                <w:rFonts w:ascii="Arial"/>
                <w:spacing w:val="38"/>
              </w:rPr>
              <w:t xml:space="preserve"> </w:t>
            </w:r>
            <w:r>
              <w:rPr>
                <w:rFonts w:ascii="Arial"/>
                <w:spacing w:val="-1"/>
              </w:rPr>
              <w:t>together</w:t>
            </w:r>
            <w:r>
              <w:rPr>
                <w:rFonts w:ascii="Arial"/>
                <w:spacing w:val="29"/>
              </w:rPr>
              <w:t xml:space="preserve"> </w:t>
            </w:r>
            <w:r>
              <w:rPr>
                <w:rFonts w:ascii="Arial"/>
                <w:spacing w:val="-2"/>
              </w:rPr>
              <w:t>with</w:t>
            </w:r>
            <w:r>
              <w:rPr>
                <w:rFonts w:ascii="Arial"/>
                <w:spacing w:val="28"/>
              </w:rPr>
              <w:t xml:space="preserve"> </w:t>
            </w:r>
            <w:r>
              <w:rPr>
                <w:rFonts w:ascii="Arial"/>
              </w:rPr>
              <w:t>any</w:t>
            </w:r>
            <w:r>
              <w:rPr>
                <w:rFonts w:ascii="Arial"/>
                <w:spacing w:val="26"/>
              </w:rPr>
              <w:t xml:space="preserve"> </w:t>
            </w:r>
            <w:r>
              <w:rPr>
                <w:rFonts w:ascii="Arial"/>
                <w:spacing w:val="-1"/>
              </w:rPr>
              <w:t>guidance</w:t>
            </w:r>
            <w:r>
              <w:rPr>
                <w:rFonts w:ascii="Arial"/>
                <w:spacing w:val="28"/>
              </w:rPr>
              <w:t xml:space="preserve"> </w:t>
            </w:r>
            <w:r>
              <w:rPr>
                <w:rFonts w:ascii="Arial"/>
                <w:spacing w:val="-1"/>
              </w:rPr>
              <w:t>and/or</w:t>
            </w:r>
            <w:r>
              <w:rPr>
                <w:rFonts w:ascii="Arial"/>
                <w:spacing w:val="29"/>
              </w:rPr>
              <w:t xml:space="preserve"> </w:t>
            </w:r>
            <w:r>
              <w:rPr>
                <w:rFonts w:ascii="Arial"/>
                <w:spacing w:val="-1"/>
              </w:rPr>
              <w:t>codes</w:t>
            </w:r>
            <w:r>
              <w:rPr>
                <w:rFonts w:ascii="Arial"/>
                <w:spacing w:val="28"/>
              </w:rPr>
              <w:t xml:space="preserve"> </w:t>
            </w:r>
            <w:r>
              <w:rPr>
                <w:rFonts w:ascii="Arial"/>
                <w:spacing w:val="-2"/>
              </w:rPr>
              <w:t>of</w:t>
            </w:r>
            <w:r>
              <w:rPr>
                <w:rFonts w:ascii="Arial"/>
                <w:spacing w:val="30"/>
              </w:rPr>
              <w:t xml:space="preserve"> </w:t>
            </w:r>
            <w:r>
              <w:rPr>
                <w:rFonts w:ascii="Arial"/>
                <w:spacing w:val="-1"/>
              </w:rPr>
              <w:t>practice</w:t>
            </w:r>
            <w:r>
              <w:rPr>
                <w:rFonts w:ascii="Arial"/>
                <w:spacing w:val="38"/>
              </w:rPr>
              <w:t xml:space="preserve"> </w:t>
            </w:r>
            <w:r>
              <w:rPr>
                <w:rFonts w:ascii="Arial"/>
                <w:spacing w:val="-1"/>
              </w:rPr>
              <w:t>issued</w:t>
            </w:r>
            <w:r>
              <w:rPr>
                <w:rFonts w:ascii="Arial"/>
                <w:spacing w:val="47"/>
              </w:rPr>
              <w:t xml:space="preserve"> </w:t>
            </w:r>
            <w:r>
              <w:rPr>
                <w:rFonts w:ascii="Arial"/>
                <w:spacing w:val="-1"/>
              </w:rPr>
              <w:t>by</w:t>
            </w:r>
            <w:r>
              <w:rPr>
                <w:rFonts w:ascii="Arial"/>
                <w:spacing w:val="45"/>
              </w:rPr>
              <w:t xml:space="preserve"> </w:t>
            </w:r>
            <w:r>
              <w:rPr>
                <w:rFonts w:ascii="Arial"/>
              </w:rPr>
              <w:t>the</w:t>
            </w:r>
            <w:r>
              <w:rPr>
                <w:rFonts w:ascii="Arial"/>
                <w:spacing w:val="45"/>
              </w:rPr>
              <w:t xml:space="preserve"> </w:t>
            </w:r>
            <w:r>
              <w:rPr>
                <w:rFonts w:ascii="Arial"/>
                <w:spacing w:val="-1"/>
              </w:rPr>
              <w:t>Information</w:t>
            </w:r>
            <w:r>
              <w:rPr>
                <w:rFonts w:ascii="Arial"/>
                <w:spacing w:val="47"/>
              </w:rPr>
              <w:t xml:space="preserve"> </w:t>
            </w:r>
            <w:r>
              <w:rPr>
                <w:rFonts w:ascii="Arial"/>
                <w:spacing w:val="-2"/>
              </w:rPr>
              <w:t>Commissioner</w:t>
            </w:r>
            <w:r>
              <w:rPr>
                <w:rFonts w:ascii="Arial"/>
                <w:spacing w:val="48"/>
              </w:rPr>
              <w:t xml:space="preserve"> </w:t>
            </w:r>
            <w:r>
              <w:rPr>
                <w:rFonts w:ascii="Arial"/>
                <w:spacing w:val="-2"/>
              </w:rPr>
              <w:t>or</w:t>
            </w:r>
            <w:r>
              <w:rPr>
                <w:rFonts w:ascii="Arial"/>
                <w:spacing w:val="46"/>
              </w:rPr>
              <w:t xml:space="preserve"> </w:t>
            </w:r>
            <w:r>
              <w:rPr>
                <w:rFonts w:ascii="Arial"/>
                <w:spacing w:val="-2"/>
              </w:rPr>
              <w:t>relevant</w:t>
            </w:r>
            <w:r>
              <w:rPr>
                <w:rFonts w:ascii="Arial"/>
                <w:spacing w:val="48"/>
              </w:rPr>
              <w:t xml:space="preserve"> </w:t>
            </w:r>
            <w:r>
              <w:rPr>
                <w:rFonts w:ascii="Arial"/>
                <w:spacing w:val="-1"/>
              </w:rPr>
              <w:t>government</w:t>
            </w:r>
            <w:r>
              <w:rPr>
                <w:rFonts w:ascii="Arial"/>
                <w:spacing w:val="2"/>
              </w:rPr>
              <w:t xml:space="preserve"> </w:t>
            </w:r>
            <w:r>
              <w:rPr>
                <w:rFonts w:ascii="Arial"/>
                <w:spacing w:val="-2"/>
              </w:rPr>
              <w:t>department</w:t>
            </w:r>
            <w:r>
              <w:rPr>
                <w:rFonts w:ascii="Arial"/>
                <w:spacing w:val="2"/>
              </w:rPr>
              <w:t xml:space="preserve"> </w:t>
            </w:r>
            <w:r>
              <w:rPr>
                <w:rFonts w:ascii="Arial"/>
                <w:spacing w:val="-2"/>
              </w:rPr>
              <w:t>in</w:t>
            </w:r>
            <w:r>
              <w:rPr>
                <w:rFonts w:ascii="Arial"/>
              </w:rPr>
              <w:t xml:space="preserve"> </w:t>
            </w:r>
            <w:r>
              <w:rPr>
                <w:rFonts w:ascii="Arial"/>
                <w:spacing w:val="-1"/>
              </w:rPr>
              <w:t>relation</w:t>
            </w:r>
            <w:r>
              <w:rPr>
                <w:rFonts w:ascii="Arial"/>
                <w:spacing w:val="-2"/>
              </w:rPr>
              <w:t xml:space="preserve"> </w:t>
            </w:r>
            <w:r>
              <w:rPr>
                <w:rFonts w:ascii="Arial"/>
              </w:rPr>
              <w:t>to</w:t>
            </w:r>
            <w:r>
              <w:rPr>
                <w:rFonts w:ascii="Arial"/>
                <w:spacing w:val="-2"/>
              </w:rPr>
              <w:t xml:space="preserve"> </w:t>
            </w:r>
            <w:r>
              <w:rPr>
                <w:rFonts w:ascii="Arial"/>
                <w:spacing w:val="-1"/>
              </w:rPr>
              <w:t>such</w:t>
            </w:r>
            <w:r>
              <w:rPr>
                <w:rFonts w:ascii="Arial"/>
                <w:spacing w:val="-2"/>
              </w:rPr>
              <w:t xml:space="preserve"> regulations;</w:t>
            </w:r>
          </w:p>
        </w:tc>
      </w:tr>
      <w:tr w:rsidR="008918FA" w:rsidTr="005D2B81">
        <w:trPr>
          <w:trHeight w:hRule="exact" w:val="165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ind w:left="-6" w:right="520"/>
              <w:rPr>
                <w:rFonts w:ascii="Arial" w:eastAsia="Arial" w:hAnsi="Arial" w:cs="Arial"/>
              </w:rPr>
            </w:pPr>
            <w:r>
              <w:rPr>
                <w:rFonts w:ascii="Arial"/>
                <w:b/>
                <w:spacing w:val="-1"/>
              </w:rPr>
              <w:t>"Estimated</w:t>
            </w:r>
            <w:r>
              <w:rPr>
                <w:rFonts w:ascii="Arial"/>
                <w:b/>
                <w:spacing w:val="-2"/>
              </w:rPr>
              <w:t xml:space="preserve"> </w:t>
            </w:r>
            <w:r>
              <w:rPr>
                <w:rFonts w:ascii="Arial"/>
                <w:b/>
                <w:spacing w:val="-1"/>
              </w:rPr>
              <w:t xml:space="preserve">Year </w:t>
            </w:r>
            <w:r>
              <w:rPr>
                <w:rFonts w:ascii="Arial"/>
                <w:b/>
              </w:rPr>
              <w:t>1</w:t>
            </w:r>
            <w:r>
              <w:rPr>
                <w:rFonts w:ascii="Arial"/>
                <w:b/>
                <w:spacing w:val="26"/>
              </w:rPr>
              <w:t xml:space="preserve"> </w:t>
            </w:r>
            <w:r>
              <w:rPr>
                <w:rFonts w:ascii="Arial"/>
                <w:b/>
                <w:spacing w:val="-1"/>
              </w:rPr>
              <w:t>Call</w:t>
            </w:r>
            <w:r>
              <w:rPr>
                <w:rFonts w:ascii="Arial"/>
                <w:b/>
              </w:rPr>
              <w:t xml:space="preserve"> </w:t>
            </w:r>
            <w:r>
              <w:rPr>
                <w:rFonts w:ascii="Arial"/>
                <w:b/>
                <w:spacing w:val="-1"/>
              </w:rPr>
              <w:t>Off Contract</w:t>
            </w:r>
            <w:r>
              <w:rPr>
                <w:rFonts w:ascii="Arial"/>
                <w:b/>
                <w:spacing w:val="24"/>
              </w:rPr>
              <w:t xml:space="preserve"> </w:t>
            </w:r>
            <w:r>
              <w:rPr>
                <w:rFonts w:ascii="Arial"/>
                <w:b/>
                <w:spacing w:val="-1"/>
              </w:rPr>
              <w:t>Charges"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22"/>
              </w:rPr>
              <w:t xml:space="preserve"> </w:t>
            </w:r>
            <w:r>
              <w:rPr>
                <w:rFonts w:ascii="Arial"/>
              </w:rPr>
              <w:t>the</w:t>
            </w:r>
            <w:r>
              <w:rPr>
                <w:rFonts w:ascii="Arial"/>
                <w:spacing w:val="25"/>
              </w:rPr>
              <w:t xml:space="preserve"> </w:t>
            </w:r>
            <w:r>
              <w:rPr>
                <w:rFonts w:ascii="Arial"/>
                <w:spacing w:val="-2"/>
              </w:rPr>
              <w:t>sum</w:t>
            </w:r>
            <w:r>
              <w:rPr>
                <w:rFonts w:ascii="Arial"/>
                <w:spacing w:val="26"/>
              </w:rPr>
              <w:t xml:space="preserve"> </w:t>
            </w:r>
            <w:r>
              <w:rPr>
                <w:rFonts w:ascii="Arial"/>
                <w:spacing w:val="-1"/>
              </w:rPr>
              <w:t>in</w:t>
            </w:r>
            <w:r>
              <w:rPr>
                <w:rFonts w:ascii="Arial"/>
                <w:spacing w:val="24"/>
              </w:rPr>
              <w:t xml:space="preserve"> </w:t>
            </w:r>
            <w:r>
              <w:rPr>
                <w:rFonts w:ascii="Arial"/>
                <w:spacing w:val="-2"/>
              </w:rPr>
              <w:t>pounds</w:t>
            </w:r>
            <w:r>
              <w:rPr>
                <w:rFonts w:ascii="Arial"/>
                <w:spacing w:val="26"/>
              </w:rPr>
              <w:t xml:space="preserve"> </w:t>
            </w:r>
            <w:r>
              <w:rPr>
                <w:rFonts w:ascii="Arial"/>
                <w:spacing w:val="-1"/>
              </w:rPr>
              <w:t>estimated</w:t>
            </w:r>
            <w:r>
              <w:rPr>
                <w:rFonts w:ascii="Arial"/>
                <w:spacing w:val="24"/>
              </w:rPr>
              <w:t xml:space="preserve"> </w:t>
            </w:r>
            <w:r>
              <w:rPr>
                <w:rFonts w:ascii="Arial"/>
                <w:spacing w:val="-1"/>
              </w:rPr>
              <w:t>by</w:t>
            </w:r>
            <w:r>
              <w:rPr>
                <w:rFonts w:ascii="Arial"/>
                <w:spacing w:val="22"/>
              </w:rPr>
              <w:t xml:space="preserve"> </w:t>
            </w:r>
            <w:r>
              <w:rPr>
                <w:rFonts w:ascii="Arial"/>
              </w:rPr>
              <w:t>the</w:t>
            </w:r>
            <w:r>
              <w:rPr>
                <w:rFonts w:ascii="Arial"/>
                <w:spacing w:val="22"/>
              </w:rPr>
              <w:t xml:space="preserve"> </w:t>
            </w:r>
            <w:r>
              <w:rPr>
                <w:rFonts w:ascii="Arial"/>
                <w:spacing w:val="-2"/>
              </w:rPr>
              <w:t>Customer</w:t>
            </w:r>
            <w:r>
              <w:rPr>
                <w:rFonts w:ascii="Arial"/>
                <w:spacing w:val="23"/>
              </w:rPr>
              <w:t xml:space="preserve"> </w:t>
            </w:r>
            <w:r>
              <w:rPr>
                <w:rFonts w:ascii="Arial"/>
              </w:rPr>
              <w:t>to</w:t>
            </w:r>
            <w:r>
              <w:rPr>
                <w:rFonts w:ascii="Arial"/>
                <w:spacing w:val="43"/>
              </w:rPr>
              <w:t xml:space="preserve"> </w:t>
            </w:r>
            <w:r>
              <w:rPr>
                <w:rFonts w:ascii="Arial"/>
                <w:spacing w:val="-1"/>
              </w:rPr>
              <w:t>be</w:t>
            </w:r>
            <w:r>
              <w:rPr>
                <w:rFonts w:ascii="Arial"/>
              </w:rPr>
              <w:t xml:space="preserve"> </w:t>
            </w:r>
            <w:r>
              <w:rPr>
                <w:rFonts w:ascii="Arial"/>
                <w:spacing w:val="-2"/>
              </w:rPr>
              <w:t>payable</w:t>
            </w:r>
            <w:r>
              <w:rPr>
                <w:rFonts w:ascii="Arial"/>
                <w:spacing w:val="3"/>
              </w:rPr>
              <w:t xml:space="preserve"> </w:t>
            </w:r>
            <w:r>
              <w:rPr>
                <w:rFonts w:ascii="Arial"/>
                <w:spacing w:val="1"/>
              </w:rPr>
              <w:t>by</w:t>
            </w:r>
            <w:r>
              <w:rPr>
                <w:rFonts w:ascii="Arial"/>
                <w:spacing w:val="-2"/>
              </w:rPr>
              <w:t xml:space="preserve"> </w:t>
            </w:r>
            <w:r>
              <w:rPr>
                <w:rFonts w:ascii="Arial"/>
                <w:spacing w:val="-1"/>
              </w:rPr>
              <w:t>it</w:t>
            </w:r>
            <w:r>
              <w:rPr>
                <w:rFonts w:ascii="Arial"/>
                <w:spacing w:val="2"/>
              </w:rPr>
              <w:t xml:space="preserve"> </w:t>
            </w:r>
            <w:r>
              <w:rPr>
                <w:rFonts w:ascii="Arial"/>
              </w:rPr>
              <w:t xml:space="preserve">to the </w:t>
            </w:r>
            <w:r>
              <w:rPr>
                <w:rFonts w:ascii="Arial"/>
                <w:spacing w:val="-1"/>
              </w:rPr>
              <w:t>Supplier</w:t>
            </w:r>
            <w:r>
              <w:rPr>
                <w:rFonts w:ascii="Arial"/>
                <w:spacing w:val="2"/>
              </w:rPr>
              <w:t xml:space="preserve"> </w:t>
            </w:r>
            <w:r>
              <w:rPr>
                <w:rFonts w:ascii="Arial"/>
                <w:spacing w:val="-1"/>
              </w:rPr>
              <w:t>as</w:t>
            </w:r>
            <w:r>
              <w:rPr>
                <w:rFonts w:ascii="Arial"/>
                <w:spacing w:val="1"/>
              </w:rPr>
              <w:t xml:space="preserve"> </w:t>
            </w:r>
            <w:r>
              <w:rPr>
                <w:rFonts w:ascii="Arial"/>
              </w:rPr>
              <w:t xml:space="preserve">the total </w:t>
            </w:r>
            <w:r>
              <w:rPr>
                <w:rFonts w:ascii="Arial"/>
                <w:spacing w:val="-1"/>
              </w:rPr>
              <w:t>aggregate</w:t>
            </w:r>
            <w:r>
              <w:rPr>
                <w:rFonts w:ascii="Arial"/>
              </w:rPr>
              <w:t xml:space="preserve"> </w:t>
            </w:r>
            <w:r>
              <w:rPr>
                <w:rFonts w:ascii="Arial"/>
                <w:spacing w:val="-2"/>
              </w:rPr>
              <w:t>Call</w:t>
            </w:r>
            <w:r>
              <w:rPr>
                <w:rFonts w:ascii="Arial"/>
                <w:spacing w:val="37"/>
              </w:rPr>
              <w:t xml:space="preserve"> </w:t>
            </w:r>
            <w:r>
              <w:rPr>
                <w:rFonts w:ascii="Arial"/>
                <w:spacing w:val="-1"/>
              </w:rPr>
              <w:t>Off</w:t>
            </w:r>
            <w:r>
              <w:rPr>
                <w:rFonts w:ascii="Arial"/>
                <w:spacing w:val="26"/>
              </w:rPr>
              <w:t xml:space="preserve"> </w:t>
            </w:r>
            <w:r>
              <w:rPr>
                <w:rFonts w:ascii="Arial"/>
                <w:spacing w:val="-2"/>
              </w:rPr>
              <w:t>Contract</w:t>
            </w:r>
            <w:r>
              <w:rPr>
                <w:rFonts w:ascii="Arial"/>
                <w:spacing w:val="26"/>
              </w:rPr>
              <w:t xml:space="preserve"> </w:t>
            </w:r>
            <w:r>
              <w:rPr>
                <w:rFonts w:ascii="Arial"/>
                <w:spacing w:val="-1"/>
              </w:rPr>
              <w:t>Charges</w:t>
            </w:r>
            <w:r>
              <w:rPr>
                <w:rFonts w:ascii="Arial"/>
                <w:spacing w:val="20"/>
              </w:rPr>
              <w:t xml:space="preserve"> </w:t>
            </w:r>
            <w:r>
              <w:rPr>
                <w:rFonts w:ascii="Arial"/>
                <w:spacing w:val="-1"/>
              </w:rPr>
              <w:t>from</w:t>
            </w:r>
            <w:r>
              <w:rPr>
                <w:rFonts w:ascii="Arial"/>
                <w:spacing w:val="26"/>
              </w:rPr>
              <w:t xml:space="preserve"> </w:t>
            </w:r>
            <w:r>
              <w:rPr>
                <w:rFonts w:ascii="Arial"/>
                <w:spacing w:val="-1"/>
              </w:rPr>
              <w:t>the</w:t>
            </w:r>
            <w:r>
              <w:rPr>
                <w:rFonts w:ascii="Arial"/>
                <w:spacing w:val="24"/>
              </w:rPr>
              <w:t xml:space="preserve"> </w:t>
            </w:r>
            <w:r>
              <w:rPr>
                <w:rFonts w:ascii="Arial"/>
                <w:spacing w:val="-2"/>
              </w:rPr>
              <w:t>Call</w:t>
            </w:r>
            <w:r>
              <w:rPr>
                <w:rFonts w:ascii="Arial"/>
                <w:spacing w:val="24"/>
              </w:rPr>
              <w:t xml:space="preserve"> </w:t>
            </w:r>
            <w:r>
              <w:rPr>
                <w:rFonts w:ascii="Arial"/>
                <w:spacing w:val="-1"/>
              </w:rPr>
              <w:t>Off</w:t>
            </w:r>
            <w:r>
              <w:rPr>
                <w:rFonts w:ascii="Arial"/>
                <w:spacing w:val="48"/>
              </w:rPr>
              <w:t xml:space="preserve"> </w:t>
            </w:r>
            <w:r>
              <w:rPr>
                <w:rFonts w:ascii="Arial"/>
                <w:spacing w:val="-2"/>
              </w:rPr>
              <w:t>Commencement</w:t>
            </w:r>
            <w:r>
              <w:rPr>
                <w:rFonts w:ascii="Arial"/>
                <w:spacing w:val="58"/>
              </w:rPr>
              <w:t xml:space="preserve"> </w:t>
            </w:r>
            <w:r>
              <w:rPr>
                <w:rFonts w:ascii="Arial"/>
                <w:spacing w:val="-1"/>
              </w:rPr>
              <w:t>Date</w:t>
            </w:r>
            <w:r>
              <w:rPr>
                <w:rFonts w:ascii="Arial"/>
                <w:spacing w:val="9"/>
              </w:rPr>
              <w:t xml:space="preserve"> </w:t>
            </w:r>
            <w:r>
              <w:rPr>
                <w:rFonts w:ascii="Arial"/>
                <w:spacing w:val="-1"/>
              </w:rPr>
              <w:t>until</w:t>
            </w:r>
            <w:r>
              <w:rPr>
                <w:rFonts w:ascii="Arial"/>
                <w:spacing w:val="8"/>
              </w:rPr>
              <w:t xml:space="preserve"> </w:t>
            </w:r>
            <w:r>
              <w:rPr>
                <w:rFonts w:ascii="Arial"/>
              </w:rPr>
              <w:t>the</w:t>
            </w:r>
            <w:r>
              <w:rPr>
                <w:rFonts w:ascii="Arial"/>
                <w:spacing w:val="9"/>
              </w:rPr>
              <w:t xml:space="preserve"> </w:t>
            </w:r>
            <w:r>
              <w:rPr>
                <w:rFonts w:ascii="Arial"/>
                <w:spacing w:val="-1"/>
              </w:rPr>
              <w:t>end</w:t>
            </w:r>
            <w:r>
              <w:rPr>
                <w:rFonts w:ascii="Arial"/>
                <w:spacing w:val="9"/>
              </w:rPr>
              <w:t xml:space="preserve"> </w:t>
            </w:r>
            <w:r>
              <w:rPr>
                <w:rFonts w:ascii="Arial"/>
                <w:spacing w:val="-2"/>
              </w:rPr>
              <w:t>of</w:t>
            </w:r>
            <w:r>
              <w:rPr>
                <w:rFonts w:ascii="Arial"/>
                <w:spacing w:val="10"/>
              </w:rPr>
              <w:t xml:space="preserve"> </w:t>
            </w:r>
            <w:r>
              <w:rPr>
                <w:rFonts w:ascii="Arial"/>
                <w:spacing w:val="-1"/>
              </w:rPr>
              <w:t>the</w:t>
            </w:r>
            <w:r>
              <w:rPr>
                <w:rFonts w:ascii="Arial"/>
                <w:spacing w:val="6"/>
              </w:rPr>
              <w:t xml:space="preserve"> </w:t>
            </w:r>
            <w:r>
              <w:rPr>
                <w:rFonts w:ascii="Arial"/>
              </w:rPr>
              <w:t>first</w:t>
            </w:r>
            <w:r>
              <w:rPr>
                <w:rFonts w:ascii="Arial"/>
                <w:spacing w:val="11"/>
              </w:rPr>
              <w:t xml:space="preserve"> </w:t>
            </w:r>
            <w:r>
              <w:rPr>
                <w:rFonts w:ascii="Arial"/>
                <w:spacing w:val="-2"/>
              </w:rPr>
              <w:t>Call</w:t>
            </w:r>
            <w:r>
              <w:rPr>
                <w:rFonts w:ascii="Arial"/>
                <w:spacing w:val="8"/>
              </w:rPr>
              <w:t xml:space="preserve"> </w:t>
            </w:r>
            <w:r>
              <w:rPr>
                <w:rFonts w:ascii="Arial"/>
                <w:spacing w:val="-1"/>
              </w:rPr>
              <w:t>Off</w:t>
            </w:r>
            <w:r>
              <w:rPr>
                <w:rFonts w:ascii="Arial"/>
                <w:spacing w:val="10"/>
              </w:rPr>
              <w:t xml:space="preserve"> </w:t>
            </w:r>
            <w:r>
              <w:rPr>
                <w:rFonts w:ascii="Arial"/>
                <w:spacing w:val="-2"/>
              </w:rPr>
              <w:t>Contract</w:t>
            </w:r>
            <w:r>
              <w:rPr>
                <w:rFonts w:ascii="Arial"/>
                <w:spacing w:val="11"/>
              </w:rPr>
              <w:t xml:space="preserve"> </w:t>
            </w:r>
            <w:r>
              <w:rPr>
                <w:rFonts w:ascii="Arial"/>
                <w:spacing w:val="-1"/>
              </w:rPr>
              <w:t>Year</w:t>
            </w:r>
            <w:r>
              <w:rPr>
                <w:rFonts w:ascii="Arial"/>
                <w:spacing w:val="34"/>
              </w:rPr>
              <w:t xml:space="preserve"> </w:t>
            </w:r>
            <w:r>
              <w:rPr>
                <w:rFonts w:ascii="Arial"/>
                <w:spacing w:val="-1"/>
              </w:rPr>
              <w:t>stipulated</w:t>
            </w:r>
            <w:r>
              <w:rPr>
                <w:rFonts w:ascii="Arial"/>
                <w:spacing w:val="17"/>
              </w:rPr>
              <w:t xml:space="preserve"> </w:t>
            </w:r>
            <w:r>
              <w:rPr>
                <w:rFonts w:ascii="Arial"/>
                <w:spacing w:val="-1"/>
              </w:rPr>
              <w:t>in</w:t>
            </w:r>
            <w:r>
              <w:rPr>
                <w:rFonts w:ascii="Arial"/>
                <w:spacing w:val="17"/>
              </w:rPr>
              <w:t xml:space="preserve"> </w:t>
            </w:r>
            <w:r>
              <w:rPr>
                <w:rFonts w:ascii="Arial"/>
              </w:rPr>
              <w:t>the</w:t>
            </w:r>
            <w:r>
              <w:rPr>
                <w:rFonts w:ascii="Arial"/>
                <w:spacing w:val="17"/>
              </w:rPr>
              <w:t xml:space="preserve"> </w:t>
            </w:r>
            <w:r>
              <w:rPr>
                <w:rFonts w:ascii="Arial"/>
                <w:spacing w:val="-1"/>
              </w:rPr>
              <w:t>Order</w:t>
            </w:r>
            <w:r>
              <w:rPr>
                <w:rFonts w:ascii="Arial"/>
                <w:spacing w:val="19"/>
              </w:rPr>
              <w:t xml:space="preserve"> </w:t>
            </w:r>
            <w:r>
              <w:rPr>
                <w:rFonts w:ascii="Arial"/>
                <w:spacing w:val="-1"/>
              </w:rPr>
              <w:t>Form</w:t>
            </w:r>
            <w:r>
              <w:rPr>
                <w:rFonts w:ascii="Arial"/>
                <w:spacing w:val="19"/>
              </w:rPr>
              <w:t xml:space="preserve"> </w:t>
            </w:r>
            <w:r>
              <w:rPr>
                <w:rFonts w:ascii="Arial"/>
                <w:spacing w:val="-1"/>
              </w:rPr>
              <w:t>or</w:t>
            </w:r>
            <w:r>
              <w:rPr>
                <w:rFonts w:ascii="Arial"/>
                <w:spacing w:val="19"/>
              </w:rPr>
              <w:t xml:space="preserve"> </w:t>
            </w:r>
            <w:r>
              <w:rPr>
                <w:rFonts w:ascii="Arial"/>
                <w:spacing w:val="-2"/>
              </w:rPr>
              <w:t>elsewhere</w:t>
            </w:r>
            <w:r>
              <w:rPr>
                <w:rFonts w:ascii="Arial"/>
                <w:spacing w:val="17"/>
              </w:rPr>
              <w:t xml:space="preserve"> </w:t>
            </w:r>
            <w:r>
              <w:rPr>
                <w:rFonts w:ascii="Arial"/>
                <w:spacing w:val="-1"/>
              </w:rPr>
              <w:t>in</w:t>
            </w:r>
            <w:r>
              <w:rPr>
                <w:rFonts w:ascii="Arial"/>
                <w:spacing w:val="17"/>
              </w:rPr>
              <w:t xml:space="preserve"> </w:t>
            </w:r>
            <w:r>
              <w:rPr>
                <w:rFonts w:ascii="Arial"/>
                <w:spacing w:val="-1"/>
              </w:rPr>
              <w:t>this</w:t>
            </w:r>
            <w:r>
              <w:rPr>
                <w:rFonts w:ascii="Arial"/>
                <w:spacing w:val="18"/>
              </w:rPr>
              <w:t xml:space="preserve"> </w:t>
            </w:r>
            <w:r>
              <w:rPr>
                <w:rFonts w:ascii="Arial"/>
                <w:spacing w:val="-2"/>
              </w:rPr>
              <w:t>Call</w:t>
            </w:r>
            <w:r>
              <w:rPr>
                <w:rFonts w:ascii="Arial"/>
                <w:spacing w:val="17"/>
              </w:rPr>
              <w:t xml:space="preserve"> </w:t>
            </w:r>
            <w:r>
              <w:rPr>
                <w:rFonts w:ascii="Arial"/>
                <w:spacing w:val="-1"/>
              </w:rPr>
              <w:t>Off</w:t>
            </w:r>
            <w:r>
              <w:rPr>
                <w:rFonts w:ascii="Arial"/>
                <w:spacing w:val="41"/>
              </w:rPr>
              <w:t xml:space="preserve"> </w:t>
            </w:r>
            <w:r>
              <w:rPr>
                <w:rFonts w:ascii="Arial"/>
                <w:spacing w:val="-1"/>
              </w:rPr>
              <w:t>Contract;</w:t>
            </w:r>
          </w:p>
        </w:tc>
      </w:tr>
      <w:tr w:rsidR="008918FA" w:rsidTr="005D2B81">
        <w:trPr>
          <w:trHeight w:hRule="exact" w:val="264"/>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"Expedited</w:t>
            </w:r>
            <w:r>
              <w:rPr>
                <w:rFonts w:ascii="Arial"/>
                <w:b/>
                <w:spacing w:val="-2"/>
              </w:rPr>
              <w:t xml:space="preserve"> </w:t>
            </w:r>
            <w:r>
              <w:rPr>
                <w:rFonts w:ascii="Arial"/>
                <w:b/>
                <w:spacing w:val="-1"/>
              </w:rPr>
              <w:t>Dispute</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2" w:lineRule="exact"/>
              <w:ind w:left="270"/>
              <w:rPr>
                <w:rFonts w:ascii="Arial" w:eastAsia="Arial" w:hAnsi="Arial" w:cs="Arial"/>
              </w:rPr>
            </w:pPr>
            <w:r>
              <w:rPr>
                <w:rFonts w:ascii="Arial"/>
                <w:spacing w:val="-1"/>
              </w:rPr>
              <w:t>means</w:t>
            </w:r>
            <w:r>
              <w:rPr>
                <w:rFonts w:ascii="Arial"/>
                <w:spacing w:val="30"/>
              </w:rPr>
              <w:t xml:space="preserve"> </w:t>
            </w:r>
            <w:r>
              <w:rPr>
                <w:rFonts w:ascii="Arial"/>
                <w:spacing w:val="-1"/>
              </w:rPr>
              <w:t>the</w:t>
            </w:r>
            <w:r>
              <w:rPr>
                <w:rFonts w:ascii="Arial"/>
                <w:spacing w:val="29"/>
              </w:rPr>
              <w:t xml:space="preserve"> </w:t>
            </w:r>
            <w:r>
              <w:rPr>
                <w:rFonts w:ascii="Arial"/>
                <w:spacing w:val="-1"/>
              </w:rPr>
              <w:t>timetable</w:t>
            </w:r>
            <w:r>
              <w:rPr>
                <w:rFonts w:ascii="Arial"/>
                <w:spacing w:val="29"/>
              </w:rPr>
              <w:t xml:space="preserve"> </w:t>
            </w:r>
            <w:r>
              <w:rPr>
                <w:rFonts w:ascii="Arial"/>
                <w:spacing w:val="-1"/>
              </w:rPr>
              <w:t>set</w:t>
            </w:r>
            <w:r>
              <w:rPr>
                <w:rFonts w:ascii="Arial"/>
                <w:spacing w:val="28"/>
              </w:rPr>
              <w:t xml:space="preserve"> </w:t>
            </w:r>
            <w:r>
              <w:rPr>
                <w:rFonts w:ascii="Arial"/>
                <w:spacing w:val="-1"/>
              </w:rPr>
              <w:t>out</w:t>
            </w:r>
            <w:r>
              <w:rPr>
                <w:rFonts w:ascii="Arial"/>
                <w:spacing w:val="30"/>
              </w:rPr>
              <w:t xml:space="preserve"> </w:t>
            </w:r>
            <w:r>
              <w:rPr>
                <w:rFonts w:ascii="Arial"/>
                <w:spacing w:val="-1"/>
              </w:rPr>
              <w:t>in</w:t>
            </w:r>
            <w:r>
              <w:rPr>
                <w:rFonts w:ascii="Arial"/>
                <w:spacing w:val="29"/>
              </w:rPr>
              <w:t xml:space="preserve"> </w:t>
            </w:r>
            <w:r>
              <w:rPr>
                <w:rFonts w:ascii="Arial"/>
                <w:spacing w:val="-1"/>
              </w:rPr>
              <w:t>paragraph</w:t>
            </w:r>
            <w:r>
              <w:rPr>
                <w:rFonts w:ascii="Arial"/>
                <w:spacing w:val="30"/>
              </w:rPr>
              <w:t xml:space="preserve"> </w:t>
            </w:r>
            <w:hyperlink w:anchor="_bookmark418" w:history="1">
              <w:r>
                <w:rPr>
                  <w:rFonts w:ascii="Arial"/>
                </w:rPr>
                <w:t>5</w:t>
              </w:r>
            </w:hyperlink>
            <w:r>
              <w:rPr>
                <w:rFonts w:ascii="Arial"/>
                <w:spacing w:val="29"/>
              </w:rPr>
              <w:t xml:space="preserve"> </w:t>
            </w:r>
            <w:r>
              <w:rPr>
                <w:rFonts w:ascii="Arial"/>
                <w:spacing w:val="-2"/>
              </w:rPr>
              <w:t>of</w:t>
            </w:r>
            <w:r>
              <w:rPr>
                <w:rFonts w:ascii="Arial"/>
                <w:spacing w:val="30"/>
              </w:rPr>
              <w:t xml:space="preserve"> </w:t>
            </w:r>
            <w:r>
              <w:rPr>
                <w:rFonts w:ascii="Arial"/>
                <w:spacing w:val="-1"/>
              </w:rPr>
              <w:t>Schedule</w:t>
            </w:r>
          </w:p>
        </w:tc>
      </w:tr>
    </w:tbl>
    <w:p w:rsidR="008918FA" w:rsidRDefault="008918FA" w:rsidP="008918FA">
      <w:pPr>
        <w:spacing w:line="252" w:lineRule="exact"/>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38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Timetable"</w:t>
            </w:r>
          </w:p>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12</w:t>
            </w:r>
            <w:r>
              <w:rPr>
                <w:rFonts w:ascii="Arial"/>
              </w:rPr>
              <w:t xml:space="preserve"> </w:t>
            </w:r>
            <w:r>
              <w:rPr>
                <w:rFonts w:ascii="Arial"/>
                <w:spacing w:val="-1"/>
              </w:rPr>
              <w:t>(Dispute</w:t>
            </w:r>
            <w:r>
              <w:rPr>
                <w:rFonts w:ascii="Arial"/>
                <w:spacing w:val="-2"/>
              </w:rPr>
              <w:t xml:space="preserve"> </w:t>
            </w:r>
            <w:r>
              <w:rPr>
                <w:rFonts w:ascii="Arial"/>
                <w:spacing w:val="-1"/>
              </w:rPr>
              <w:t>Resolution</w:t>
            </w:r>
            <w:r>
              <w:rPr>
                <w:rFonts w:ascii="Arial"/>
              </w:rPr>
              <w:t xml:space="preserve"> </w:t>
            </w:r>
            <w:r>
              <w:rPr>
                <w:rFonts w:ascii="Arial"/>
                <w:spacing w:val="-1"/>
              </w:rPr>
              <w:t>Procedure);</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3"/>
              </w:rPr>
              <w:t>"FOIA"</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means</w:t>
            </w:r>
            <w:r>
              <w:rPr>
                <w:rFonts w:ascii="Arial"/>
                <w:spacing w:val="2"/>
              </w:rPr>
              <w:t xml:space="preserve"> </w:t>
            </w:r>
            <w:r>
              <w:rPr>
                <w:rFonts w:ascii="Arial"/>
              </w:rPr>
              <w:t>the</w:t>
            </w:r>
            <w:r>
              <w:rPr>
                <w:rFonts w:ascii="Arial"/>
                <w:spacing w:val="4"/>
              </w:rPr>
              <w:t xml:space="preserve"> </w:t>
            </w:r>
            <w:r>
              <w:rPr>
                <w:rFonts w:ascii="Arial"/>
                <w:spacing w:val="-1"/>
              </w:rPr>
              <w:t>Freedom</w:t>
            </w:r>
            <w:r>
              <w:rPr>
                <w:rFonts w:ascii="Arial"/>
                <w:spacing w:val="5"/>
              </w:rPr>
              <w:t xml:space="preserve"> </w:t>
            </w:r>
            <w:r>
              <w:rPr>
                <w:rFonts w:ascii="Arial"/>
                <w:spacing w:val="-2"/>
              </w:rPr>
              <w:t>of</w:t>
            </w:r>
            <w:r>
              <w:rPr>
                <w:rFonts w:ascii="Arial"/>
                <w:spacing w:val="3"/>
              </w:rPr>
              <w:t xml:space="preserve"> </w:t>
            </w:r>
            <w:r>
              <w:rPr>
                <w:rFonts w:ascii="Arial"/>
                <w:spacing w:val="-1"/>
              </w:rPr>
              <w:t>Information</w:t>
            </w:r>
            <w:r>
              <w:rPr>
                <w:rFonts w:ascii="Arial"/>
                <w:spacing w:val="4"/>
              </w:rPr>
              <w:t xml:space="preserve"> </w:t>
            </w:r>
            <w:r>
              <w:rPr>
                <w:rFonts w:ascii="Arial"/>
                <w:spacing w:val="-1"/>
              </w:rPr>
              <w:t>Act</w:t>
            </w:r>
            <w:r>
              <w:rPr>
                <w:rFonts w:ascii="Arial"/>
                <w:spacing w:val="6"/>
              </w:rPr>
              <w:t xml:space="preserve"> </w:t>
            </w:r>
            <w:r>
              <w:rPr>
                <w:rFonts w:ascii="Arial"/>
                <w:spacing w:val="-1"/>
              </w:rPr>
              <w:t>2000</w:t>
            </w:r>
            <w:r>
              <w:rPr>
                <w:rFonts w:ascii="Arial"/>
                <w:spacing w:val="60"/>
              </w:rPr>
              <w:t xml:space="preserve"> </w:t>
            </w:r>
            <w:r>
              <w:rPr>
                <w:rFonts w:ascii="Arial"/>
                <w:spacing w:val="-1"/>
              </w:rPr>
              <w:t>and</w:t>
            </w:r>
            <w:r>
              <w:rPr>
                <w:rFonts w:ascii="Arial"/>
                <w:spacing w:val="4"/>
              </w:rPr>
              <w:t xml:space="preserve"> </w:t>
            </w:r>
            <w:r>
              <w:rPr>
                <w:rFonts w:ascii="Arial"/>
                <w:spacing w:val="-1"/>
              </w:rPr>
              <w:t>any</w:t>
            </w:r>
            <w:r>
              <w:rPr>
                <w:rFonts w:ascii="Arial"/>
                <w:spacing w:val="20"/>
              </w:rPr>
              <w:t xml:space="preserve"> </w:t>
            </w:r>
            <w:r>
              <w:rPr>
                <w:rFonts w:ascii="Arial"/>
                <w:spacing w:val="-1"/>
              </w:rPr>
              <w:t>subordinate</w:t>
            </w:r>
            <w:r>
              <w:rPr>
                <w:rFonts w:ascii="Arial"/>
                <w:spacing w:val="27"/>
              </w:rPr>
              <w:t xml:space="preserve"> </w:t>
            </w:r>
            <w:r>
              <w:rPr>
                <w:rFonts w:ascii="Arial"/>
                <w:spacing w:val="-1"/>
              </w:rPr>
              <w:t>legislation</w:t>
            </w:r>
            <w:r>
              <w:rPr>
                <w:rFonts w:ascii="Arial"/>
                <w:spacing w:val="27"/>
              </w:rPr>
              <w:t xml:space="preserve"> </w:t>
            </w:r>
            <w:r>
              <w:rPr>
                <w:rFonts w:ascii="Arial"/>
                <w:spacing w:val="-1"/>
              </w:rPr>
              <w:t>made</w:t>
            </w:r>
            <w:r>
              <w:rPr>
                <w:rFonts w:ascii="Arial"/>
                <w:spacing w:val="27"/>
              </w:rPr>
              <w:t xml:space="preserve"> </w:t>
            </w:r>
            <w:r>
              <w:rPr>
                <w:rFonts w:ascii="Arial"/>
                <w:spacing w:val="-1"/>
              </w:rPr>
              <w:t>under</w:t>
            </w:r>
            <w:r>
              <w:rPr>
                <w:rFonts w:ascii="Arial"/>
                <w:spacing w:val="26"/>
              </w:rPr>
              <w:t xml:space="preserve"> </w:t>
            </w:r>
            <w:r>
              <w:rPr>
                <w:rFonts w:ascii="Arial"/>
                <w:spacing w:val="-1"/>
              </w:rPr>
              <w:t>that</w:t>
            </w:r>
            <w:r>
              <w:rPr>
                <w:rFonts w:ascii="Arial"/>
                <w:spacing w:val="26"/>
              </w:rPr>
              <w:t xml:space="preserve"> </w:t>
            </w:r>
            <w:r>
              <w:rPr>
                <w:rFonts w:ascii="Arial"/>
                <w:spacing w:val="-1"/>
              </w:rPr>
              <w:t>Act</w:t>
            </w:r>
            <w:r>
              <w:rPr>
                <w:rFonts w:ascii="Arial"/>
                <w:spacing w:val="26"/>
              </w:rPr>
              <w:t xml:space="preserve"> </w:t>
            </w:r>
            <w:r>
              <w:rPr>
                <w:rFonts w:ascii="Arial"/>
                <w:spacing w:val="-1"/>
              </w:rPr>
              <w:t>from</w:t>
            </w:r>
            <w:r>
              <w:rPr>
                <w:rFonts w:ascii="Arial"/>
                <w:spacing w:val="28"/>
              </w:rPr>
              <w:t xml:space="preserve"> </w:t>
            </w:r>
            <w:r>
              <w:rPr>
                <w:rFonts w:ascii="Arial"/>
                <w:spacing w:val="-1"/>
              </w:rPr>
              <w:t>time</w:t>
            </w:r>
            <w:r>
              <w:rPr>
                <w:rFonts w:ascii="Arial"/>
                <w:spacing w:val="27"/>
              </w:rPr>
              <w:t xml:space="preserve"> </w:t>
            </w:r>
            <w:r>
              <w:rPr>
                <w:rFonts w:ascii="Arial"/>
                <w:spacing w:val="-1"/>
              </w:rPr>
              <w:t>to</w:t>
            </w:r>
            <w:r>
              <w:rPr>
                <w:rFonts w:ascii="Arial"/>
                <w:spacing w:val="31"/>
              </w:rPr>
              <w:t xml:space="preserve"> </w:t>
            </w:r>
            <w:r>
              <w:rPr>
                <w:rFonts w:ascii="Arial"/>
                <w:spacing w:val="-1"/>
              </w:rPr>
              <w:t>time</w:t>
            </w:r>
            <w:r>
              <w:rPr>
                <w:rFonts w:ascii="Arial"/>
                <w:spacing w:val="17"/>
              </w:rPr>
              <w:t xml:space="preserve"> </w:t>
            </w:r>
            <w:r>
              <w:rPr>
                <w:rFonts w:ascii="Arial"/>
                <w:spacing w:val="-1"/>
              </w:rPr>
              <w:t>together</w:t>
            </w:r>
            <w:r>
              <w:rPr>
                <w:rFonts w:ascii="Arial"/>
                <w:spacing w:val="21"/>
              </w:rPr>
              <w:t xml:space="preserve"> </w:t>
            </w:r>
            <w:r>
              <w:rPr>
                <w:rFonts w:ascii="Arial"/>
                <w:spacing w:val="-2"/>
              </w:rPr>
              <w:t>with</w:t>
            </w:r>
            <w:r>
              <w:rPr>
                <w:rFonts w:ascii="Arial"/>
                <w:spacing w:val="20"/>
              </w:rPr>
              <w:t xml:space="preserve"> </w:t>
            </w:r>
            <w:r>
              <w:rPr>
                <w:rFonts w:ascii="Arial"/>
                <w:spacing w:val="-1"/>
              </w:rPr>
              <w:t>any</w:t>
            </w:r>
            <w:r>
              <w:rPr>
                <w:rFonts w:ascii="Arial"/>
                <w:spacing w:val="17"/>
              </w:rPr>
              <w:t xml:space="preserve"> </w:t>
            </w:r>
            <w:r>
              <w:rPr>
                <w:rFonts w:ascii="Arial"/>
                <w:spacing w:val="-1"/>
              </w:rPr>
              <w:t>guidance</w:t>
            </w:r>
            <w:r>
              <w:rPr>
                <w:rFonts w:ascii="Arial"/>
                <w:spacing w:val="20"/>
              </w:rPr>
              <w:t xml:space="preserve"> </w:t>
            </w:r>
            <w:r>
              <w:rPr>
                <w:rFonts w:ascii="Arial"/>
                <w:spacing w:val="-1"/>
              </w:rPr>
              <w:t>and/or</w:t>
            </w:r>
            <w:r>
              <w:rPr>
                <w:rFonts w:ascii="Arial"/>
                <w:spacing w:val="19"/>
              </w:rPr>
              <w:t xml:space="preserve"> </w:t>
            </w:r>
            <w:r>
              <w:rPr>
                <w:rFonts w:ascii="Arial"/>
                <w:spacing w:val="-1"/>
              </w:rPr>
              <w:t>codes</w:t>
            </w:r>
            <w:r>
              <w:rPr>
                <w:rFonts w:ascii="Arial"/>
                <w:spacing w:val="20"/>
              </w:rPr>
              <w:t xml:space="preserve"> </w:t>
            </w:r>
            <w:r>
              <w:rPr>
                <w:rFonts w:ascii="Arial"/>
                <w:spacing w:val="-2"/>
              </w:rPr>
              <w:t>of</w:t>
            </w:r>
            <w:r>
              <w:rPr>
                <w:rFonts w:ascii="Arial"/>
                <w:spacing w:val="19"/>
              </w:rPr>
              <w:t xml:space="preserve"> </w:t>
            </w:r>
            <w:r>
              <w:rPr>
                <w:rFonts w:ascii="Arial"/>
                <w:spacing w:val="-1"/>
              </w:rPr>
              <w:t>practice</w:t>
            </w:r>
            <w:r>
              <w:rPr>
                <w:rFonts w:ascii="Arial"/>
                <w:spacing w:val="38"/>
              </w:rPr>
              <w:t xml:space="preserve"> </w:t>
            </w:r>
            <w:r>
              <w:rPr>
                <w:rFonts w:ascii="Arial"/>
                <w:spacing w:val="-1"/>
              </w:rPr>
              <w:t>issued</w:t>
            </w:r>
            <w:r>
              <w:rPr>
                <w:rFonts w:ascii="Arial"/>
                <w:spacing w:val="47"/>
              </w:rPr>
              <w:t xml:space="preserve"> </w:t>
            </w:r>
            <w:r>
              <w:rPr>
                <w:rFonts w:ascii="Arial"/>
                <w:spacing w:val="-1"/>
              </w:rPr>
              <w:t>by</w:t>
            </w:r>
            <w:r>
              <w:rPr>
                <w:rFonts w:ascii="Arial"/>
                <w:spacing w:val="45"/>
              </w:rPr>
              <w:t xml:space="preserve"> </w:t>
            </w:r>
            <w:r>
              <w:rPr>
                <w:rFonts w:ascii="Arial"/>
              </w:rPr>
              <w:t>the</w:t>
            </w:r>
            <w:r>
              <w:rPr>
                <w:rFonts w:ascii="Arial"/>
                <w:spacing w:val="45"/>
              </w:rPr>
              <w:t xml:space="preserve"> </w:t>
            </w:r>
            <w:r>
              <w:rPr>
                <w:rFonts w:ascii="Arial"/>
                <w:spacing w:val="-1"/>
              </w:rPr>
              <w:t>Information</w:t>
            </w:r>
            <w:r>
              <w:rPr>
                <w:rFonts w:ascii="Arial"/>
                <w:spacing w:val="47"/>
              </w:rPr>
              <w:t xml:space="preserve"> </w:t>
            </w:r>
            <w:r>
              <w:rPr>
                <w:rFonts w:ascii="Arial"/>
                <w:spacing w:val="-2"/>
              </w:rPr>
              <w:t>Commissioner</w:t>
            </w:r>
            <w:r>
              <w:rPr>
                <w:rFonts w:ascii="Arial"/>
                <w:spacing w:val="48"/>
              </w:rPr>
              <w:t xml:space="preserve"> </w:t>
            </w:r>
            <w:r>
              <w:rPr>
                <w:rFonts w:ascii="Arial"/>
                <w:spacing w:val="-2"/>
              </w:rPr>
              <w:t>or</w:t>
            </w:r>
            <w:r>
              <w:rPr>
                <w:rFonts w:ascii="Arial"/>
                <w:spacing w:val="46"/>
              </w:rPr>
              <w:t xml:space="preserve"> </w:t>
            </w:r>
            <w:r>
              <w:rPr>
                <w:rFonts w:ascii="Arial"/>
                <w:spacing w:val="-2"/>
              </w:rPr>
              <w:t>relevant</w:t>
            </w:r>
            <w:r>
              <w:rPr>
                <w:rFonts w:ascii="Arial"/>
                <w:spacing w:val="48"/>
              </w:rPr>
              <w:t xml:space="preserve"> </w:t>
            </w:r>
            <w:r>
              <w:rPr>
                <w:rFonts w:ascii="Arial"/>
                <w:spacing w:val="-1"/>
              </w:rPr>
              <w:t>government</w:t>
            </w:r>
            <w:r>
              <w:rPr>
                <w:rFonts w:ascii="Arial"/>
                <w:spacing w:val="2"/>
              </w:rPr>
              <w:t xml:space="preserve"> </w:t>
            </w:r>
            <w:r>
              <w:rPr>
                <w:rFonts w:ascii="Arial"/>
                <w:spacing w:val="-2"/>
              </w:rPr>
              <w:t>department</w:t>
            </w:r>
            <w:r>
              <w:rPr>
                <w:rFonts w:ascii="Arial"/>
                <w:spacing w:val="2"/>
              </w:rPr>
              <w:t xml:space="preserve"> </w:t>
            </w:r>
            <w:r>
              <w:rPr>
                <w:rFonts w:ascii="Arial"/>
                <w:spacing w:val="-2"/>
              </w:rPr>
              <w:t>in</w:t>
            </w:r>
            <w:r>
              <w:rPr>
                <w:rFonts w:ascii="Arial"/>
              </w:rPr>
              <w:t xml:space="preserve"> </w:t>
            </w:r>
            <w:r>
              <w:rPr>
                <w:rFonts w:ascii="Arial"/>
                <w:spacing w:val="-1"/>
              </w:rPr>
              <w:t>relation</w:t>
            </w:r>
            <w:r>
              <w:rPr>
                <w:rFonts w:ascii="Arial"/>
                <w:spacing w:val="-2"/>
              </w:rPr>
              <w:t xml:space="preserve"> </w:t>
            </w:r>
            <w:r>
              <w:rPr>
                <w:rFonts w:ascii="Arial"/>
              </w:rPr>
              <w:t>to</w:t>
            </w:r>
            <w:r>
              <w:rPr>
                <w:rFonts w:ascii="Arial"/>
                <w:spacing w:val="-2"/>
              </w:rPr>
              <w:t xml:space="preserve"> </w:t>
            </w:r>
            <w:r>
              <w:rPr>
                <w:rFonts w:ascii="Arial"/>
                <w:spacing w:val="-1"/>
              </w:rPr>
              <w:t>such</w:t>
            </w:r>
            <w:r>
              <w:rPr>
                <w:rFonts w:ascii="Arial"/>
                <w:spacing w:val="1"/>
              </w:rPr>
              <w:t xml:space="preserve"> </w:t>
            </w:r>
            <w:r>
              <w:rPr>
                <w:rFonts w:ascii="Arial"/>
                <w:spacing w:val="-2"/>
              </w:rPr>
              <w:t>legislation;</w:t>
            </w:r>
          </w:p>
        </w:tc>
      </w:tr>
      <w:tr w:rsidR="008918FA" w:rsidTr="005D2B81">
        <w:trPr>
          <w:trHeight w:hRule="exact" w:val="7418"/>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"Force</w:t>
            </w:r>
            <w:r>
              <w:rPr>
                <w:rFonts w:ascii="Arial"/>
                <w:b/>
                <w:spacing w:val="-2"/>
              </w:rPr>
              <w:t xml:space="preserve"> </w:t>
            </w:r>
            <w:r>
              <w:rPr>
                <w:rFonts w:ascii="Arial"/>
                <w:b/>
                <w:spacing w:val="-1"/>
              </w:rPr>
              <w:t>Majeure"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44"/>
              </w:rPr>
              <w:t xml:space="preserve"> </w:t>
            </w:r>
            <w:r>
              <w:rPr>
                <w:rFonts w:ascii="Arial"/>
                <w:spacing w:val="-1"/>
              </w:rPr>
              <w:t>any</w:t>
            </w:r>
            <w:r>
              <w:rPr>
                <w:rFonts w:ascii="Arial"/>
                <w:spacing w:val="41"/>
              </w:rPr>
              <w:t xml:space="preserve"> </w:t>
            </w:r>
            <w:r>
              <w:rPr>
                <w:rFonts w:ascii="Arial"/>
                <w:spacing w:val="-1"/>
              </w:rPr>
              <w:t>event,</w:t>
            </w:r>
            <w:r>
              <w:rPr>
                <w:rFonts w:ascii="Arial"/>
                <w:spacing w:val="45"/>
              </w:rPr>
              <w:t xml:space="preserve"> </w:t>
            </w:r>
            <w:r>
              <w:rPr>
                <w:rFonts w:ascii="Arial"/>
                <w:spacing w:val="-2"/>
              </w:rPr>
              <w:t>occurrence,</w:t>
            </w:r>
            <w:r>
              <w:rPr>
                <w:rFonts w:ascii="Arial"/>
                <w:spacing w:val="45"/>
              </w:rPr>
              <w:t xml:space="preserve"> </w:t>
            </w:r>
            <w:r>
              <w:rPr>
                <w:rFonts w:ascii="Arial"/>
                <w:spacing w:val="-1"/>
              </w:rPr>
              <w:t>circumstance,</w:t>
            </w:r>
            <w:r>
              <w:rPr>
                <w:rFonts w:ascii="Arial"/>
                <w:spacing w:val="42"/>
              </w:rPr>
              <w:t xml:space="preserve"> </w:t>
            </w:r>
            <w:r>
              <w:rPr>
                <w:rFonts w:ascii="Arial"/>
                <w:spacing w:val="-1"/>
              </w:rPr>
              <w:t>matter</w:t>
            </w:r>
            <w:r>
              <w:rPr>
                <w:rFonts w:ascii="Arial"/>
                <w:spacing w:val="28"/>
              </w:rPr>
              <w:t xml:space="preserve"> </w:t>
            </w:r>
            <w:r>
              <w:rPr>
                <w:rFonts w:ascii="Arial"/>
                <w:spacing w:val="-2"/>
              </w:rPr>
              <w:t>or</w:t>
            </w:r>
            <w:r>
              <w:rPr>
                <w:rFonts w:ascii="Arial"/>
                <w:spacing w:val="35"/>
              </w:rPr>
              <w:t xml:space="preserve"> </w:t>
            </w:r>
            <w:r>
              <w:rPr>
                <w:rFonts w:ascii="Arial"/>
                <w:spacing w:val="-1"/>
              </w:rPr>
              <w:t>cause</w:t>
            </w:r>
            <w:r>
              <w:rPr>
                <w:rFonts w:ascii="Arial"/>
                <w:spacing w:val="34"/>
              </w:rPr>
              <w:t xml:space="preserve"> </w:t>
            </w:r>
            <w:r>
              <w:rPr>
                <w:rFonts w:ascii="Arial"/>
                <w:spacing w:val="-1"/>
              </w:rPr>
              <w:t>affecting</w:t>
            </w:r>
            <w:r>
              <w:rPr>
                <w:rFonts w:ascii="Arial"/>
                <w:spacing w:val="36"/>
              </w:rPr>
              <w:t xml:space="preserve"> </w:t>
            </w:r>
            <w:r>
              <w:rPr>
                <w:rFonts w:ascii="Arial"/>
              </w:rPr>
              <w:t>the</w:t>
            </w:r>
            <w:r>
              <w:rPr>
                <w:rFonts w:ascii="Arial"/>
                <w:spacing w:val="34"/>
              </w:rPr>
              <w:t xml:space="preserve"> </w:t>
            </w:r>
            <w:r>
              <w:rPr>
                <w:rFonts w:ascii="Arial"/>
                <w:spacing w:val="-1"/>
              </w:rPr>
              <w:t>performance</w:t>
            </w:r>
            <w:r>
              <w:rPr>
                <w:rFonts w:ascii="Arial"/>
                <w:spacing w:val="34"/>
              </w:rPr>
              <w:t xml:space="preserve"> </w:t>
            </w:r>
            <w:r>
              <w:rPr>
                <w:rFonts w:ascii="Arial"/>
                <w:spacing w:val="-1"/>
              </w:rPr>
              <w:t>by</w:t>
            </w:r>
            <w:r>
              <w:rPr>
                <w:rFonts w:ascii="Arial"/>
                <w:spacing w:val="32"/>
              </w:rPr>
              <w:t xml:space="preserve"> </w:t>
            </w:r>
            <w:r>
              <w:rPr>
                <w:rFonts w:ascii="Arial"/>
                <w:spacing w:val="-1"/>
              </w:rPr>
              <w:t>either</w:t>
            </w:r>
            <w:r>
              <w:rPr>
                <w:rFonts w:ascii="Arial"/>
                <w:spacing w:val="33"/>
              </w:rPr>
              <w:t xml:space="preserve"> </w:t>
            </w:r>
            <w:r>
              <w:rPr>
                <w:rFonts w:ascii="Arial"/>
              </w:rPr>
              <w:t>the</w:t>
            </w:r>
            <w:r>
              <w:rPr>
                <w:rFonts w:ascii="Arial"/>
                <w:spacing w:val="32"/>
              </w:rPr>
              <w:t xml:space="preserve"> </w:t>
            </w:r>
            <w:r>
              <w:rPr>
                <w:rFonts w:ascii="Arial"/>
                <w:spacing w:val="-1"/>
              </w:rPr>
              <w:t>Customer</w:t>
            </w:r>
            <w:r>
              <w:rPr>
                <w:rFonts w:ascii="Arial"/>
                <w:spacing w:val="23"/>
              </w:rPr>
              <w:t xml:space="preserve"> </w:t>
            </w:r>
            <w:r>
              <w:rPr>
                <w:rFonts w:ascii="Arial"/>
                <w:spacing w:val="-1"/>
              </w:rPr>
              <w:t xml:space="preserve">or </w:t>
            </w:r>
            <w:r>
              <w:rPr>
                <w:rFonts w:ascii="Arial"/>
              </w:rPr>
              <w:t xml:space="preserve">the </w:t>
            </w:r>
            <w:r>
              <w:rPr>
                <w:rFonts w:ascii="Arial"/>
                <w:spacing w:val="-2"/>
              </w:rPr>
              <w:t>Supplier</w:t>
            </w:r>
            <w:r>
              <w:rPr>
                <w:rFonts w:ascii="Arial"/>
                <w:spacing w:val="2"/>
              </w:rPr>
              <w:t xml:space="preserve"> </w:t>
            </w:r>
            <w:r>
              <w:rPr>
                <w:rFonts w:ascii="Arial"/>
                <w:spacing w:val="-2"/>
              </w:rPr>
              <w:t>of</w:t>
            </w:r>
            <w:r>
              <w:rPr>
                <w:rFonts w:ascii="Arial"/>
                <w:spacing w:val="2"/>
              </w:rPr>
              <w:t xml:space="preserve"> </w:t>
            </w:r>
            <w:r>
              <w:rPr>
                <w:rFonts w:ascii="Arial"/>
                <w:spacing w:val="-1"/>
              </w:rPr>
              <w:t>its</w:t>
            </w:r>
            <w:r>
              <w:rPr>
                <w:rFonts w:ascii="Arial"/>
                <w:spacing w:val="1"/>
              </w:rPr>
              <w:t xml:space="preserve"> </w:t>
            </w:r>
            <w:r>
              <w:rPr>
                <w:rFonts w:ascii="Arial"/>
                <w:spacing w:val="-2"/>
              </w:rPr>
              <w:t>obligations</w:t>
            </w:r>
            <w:r>
              <w:rPr>
                <w:rFonts w:ascii="Arial"/>
                <w:spacing w:val="1"/>
              </w:rPr>
              <w:t xml:space="preserve"> </w:t>
            </w:r>
            <w:r>
              <w:rPr>
                <w:rFonts w:ascii="Arial"/>
                <w:spacing w:val="-2"/>
              </w:rPr>
              <w:t>arising</w:t>
            </w:r>
            <w:r>
              <w:rPr>
                <w:rFonts w:ascii="Arial"/>
              </w:rPr>
              <w:t xml:space="preserve"> </w:t>
            </w:r>
            <w:r>
              <w:rPr>
                <w:rFonts w:ascii="Arial"/>
                <w:spacing w:val="-1"/>
              </w:rPr>
              <w:t>from:</w:t>
            </w:r>
          </w:p>
          <w:p w:rsidR="008918FA" w:rsidRDefault="008918FA" w:rsidP="005D2B81">
            <w:pPr>
              <w:pStyle w:val="ListParagraph"/>
              <w:numPr>
                <w:ilvl w:val="0"/>
                <w:numId w:val="45"/>
              </w:numPr>
              <w:tabs>
                <w:tab w:val="left" w:pos="820"/>
              </w:tabs>
              <w:spacing w:before="119"/>
              <w:ind w:right="100" w:hanging="544"/>
              <w:jc w:val="both"/>
              <w:rPr>
                <w:rFonts w:ascii="Arial" w:eastAsia="Arial" w:hAnsi="Arial" w:cs="Arial"/>
              </w:rPr>
            </w:pPr>
            <w:r>
              <w:rPr>
                <w:rFonts w:ascii="Arial"/>
                <w:spacing w:val="-1"/>
              </w:rPr>
              <w:t>acts,</w:t>
            </w:r>
            <w:r>
              <w:rPr>
                <w:rFonts w:ascii="Arial"/>
                <w:spacing w:val="43"/>
              </w:rPr>
              <w:t xml:space="preserve"> </w:t>
            </w:r>
            <w:r>
              <w:rPr>
                <w:rFonts w:ascii="Arial"/>
                <w:spacing w:val="-1"/>
              </w:rPr>
              <w:t>events,</w:t>
            </w:r>
            <w:r>
              <w:rPr>
                <w:rFonts w:ascii="Arial"/>
                <w:spacing w:val="46"/>
              </w:rPr>
              <w:t xml:space="preserve"> </w:t>
            </w:r>
            <w:r>
              <w:rPr>
                <w:rFonts w:ascii="Arial"/>
                <w:spacing w:val="-2"/>
              </w:rPr>
              <w:t>omissions,</w:t>
            </w:r>
            <w:r>
              <w:rPr>
                <w:rFonts w:ascii="Arial"/>
                <w:spacing w:val="46"/>
              </w:rPr>
              <w:t xml:space="preserve"> </w:t>
            </w:r>
            <w:r>
              <w:rPr>
                <w:rFonts w:ascii="Arial"/>
                <w:spacing w:val="-1"/>
              </w:rPr>
              <w:t>happenings</w:t>
            </w:r>
            <w:r>
              <w:rPr>
                <w:rFonts w:ascii="Arial"/>
                <w:spacing w:val="44"/>
              </w:rPr>
              <w:t xml:space="preserve"> </w:t>
            </w:r>
            <w:r>
              <w:rPr>
                <w:rFonts w:ascii="Arial"/>
                <w:spacing w:val="-2"/>
              </w:rPr>
              <w:t>or</w:t>
            </w:r>
            <w:r>
              <w:rPr>
                <w:rFonts w:ascii="Arial"/>
                <w:spacing w:val="45"/>
              </w:rPr>
              <w:t xml:space="preserve"> </w:t>
            </w:r>
            <w:r>
              <w:rPr>
                <w:rFonts w:ascii="Arial"/>
                <w:spacing w:val="-2"/>
              </w:rPr>
              <w:t>non-</w:t>
            </w:r>
            <w:r>
              <w:rPr>
                <w:rFonts w:ascii="Arial"/>
                <w:spacing w:val="33"/>
              </w:rPr>
              <w:t xml:space="preserve"> </w:t>
            </w:r>
            <w:r>
              <w:rPr>
                <w:rFonts w:ascii="Arial"/>
                <w:spacing w:val="-1"/>
              </w:rPr>
              <w:t>happenings</w:t>
            </w:r>
            <w:r>
              <w:rPr>
                <w:rFonts w:ascii="Arial"/>
                <w:spacing w:val="58"/>
              </w:rPr>
              <w:t xml:space="preserve"> </w:t>
            </w:r>
            <w:r>
              <w:rPr>
                <w:rFonts w:ascii="Arial"/>
                <w:spacing w:val="-2"/>
              </w:rPr>
              <w:t>beyond</w:t>
            </w:r>
            <w:r>
              <w:rPr>
                <w:rFonts w:ascii="Arial"/>
                <w:spacing w:val="58"/>
              </w:rPr>
              <w:t xml:space="preserve"> </w:t>
            </w:r>
            <w:r>
              <w:rPr>
                <w:rFonts w:ascii="Arial"/>
              </w:rPr>
              <w:t>the</w:t>
            </w:r>
            <w:r>
              <w:rPr>
                <w:rFonts w:ascii="Arial"/>
                <w:spacing w:val="55"/>
              </w:rPr>
              <w:t xml:space="preserve"> </w:t>
            </w:r>
            <w:r>
              <w:rPr>
                <w:rFonts w:ascii="Arial"/>
                <w:spacing w:val="-1"/>
              </w:rPr>
              <w:t>reasonable</w:t>
            </w:r>
            <w:r>
              <w:rPr>
                <w:rFonts w:ascii="Arial"/>
                <w:spacing w:val="58"/>
              </w:rPr>
              <w:t xml:space="preserve"> </w:t>
            </w:r>
            <w:r>
              <w:rPr>
                <w:rFonts w:ascii="Arial"/>
                <w:spacing w:val="-1"/>
              </w:rPr>
              <w:t>control</w:t>
            </w:r>
            <w:r>
              <w:rPr>
                <w:rFonts w:ascii="Arial"/>
                <w:spacing w:val="57"/>
              </w:rPr>
              <w:t xml:space="preserve"> </w:t>
            </w:r>
            <w:r>
              <w:rPr>
                <w:rFonts w:ascii="Arial"/>
                <w:spacing w:val="-2"/>
              </w:rPr>
              <w:t>of</w:t>
            </w:r>
            <w:r>
              <w:rPr>
                <w:rFonts w:ascii="Arial"/>
                <w:spacing w:val="59"/>
              </w:rPr>
              <w:t xml:space="preserve"> </w:t>
            </w:r>
            <w:r>
              <w:rPr>
                <w:rFonts w:ascii="Arial"/>
                <w:spacing w:val="-1"/>
              </w:rPr>
              <w:t>the</w:t>
            </w:r>
            <w:r>
              <w:rPr>
                <w:rFonts w:ascii="Arial"/>
                <w:spacing w:val="30"/>
              </w:rPr>
              <w:t xml:space="preserve"> </w:t>
            </w:r>
            <w:r>
              <w:rPr>
                <w:rFonts w:ascii="Arial"/>
                <w:spacing w:val="-1"/>
              </w:rPr>
              <w:t>Affected</w:t>
            </w:r>
            <w:r>
              <w:rPr>
                <w:rFonts w:ascii="Arial"/>
                <w:spacing w:val="15"/>
              </w:rPr>
              <w:t xml:space="preserve"> </w:t>
            </w:r>
            <w:r>
              <w:rPr>
                <w:rFonts w:ascii="Arial"/>
                <w:spacing w:val="-1"/>
              </w:rPr>
              <w:t>Party</w:t>
            </w:r>
            <w:r>
              <w:rPr>
                <w:rFonts w:ascii="Arial"/>
                <w:spacing w:val="13"/>
              </w:rPr>
              <w:t xml:space="preserve"> </w:t>
            </w:r>
            <w:r>
              <w:rPr>
                <w:rFonts w:ascii="Arial"/>
                <w:spacing w:val="-2"/>
              </w:rPr>
              <w:t>which</w:t>
            </w:r>
            <w:r>
              <w:rPr>
                <w:rFonts w:ascii="Arial"/>
                <w:spacing w:val="15"/>
              </w:rPr>
              <w:t xml:space="preserve"> </w:t>
            </w:r>
            <w:r>
              <w:rPr>
                <w:rFonts w:ascii="Arial"/>
                <w:spacing w:val="-1"/>
              </w:rPr>
              <w:t>prevent</w:t>
            </w:r>
            <w:r>
              <w:rPr>
                <w:rFonts w:ascii="Arial"/>
                <w:spacing w:val="16"/>
              </w:rPr>
              <w:t xml:space="preserve"> </w:t>
            </w:r>
            <w:r>
              <w:rPr>
                <w:rFonts w:ascii="Arial"/>
                <w:spacing w:val="-1"/>
              </w:rPr>
              <w:t>or</w:t>
            </w:r>
            <w:r>
              <w:rPr>
                <w:rFonts w:ascii="Arial"/>
                <w:spacing w:val="16"/>
              </w:rPr>
              <w:t xml:space="preserve"> </w:t>
            </w:r>
            <w:r>
              <w:rPr>
                <w:rFonts w:ascii="Arial"/>
                <w:spacing w:val="-1"/>
              </w:rPr>
              <w:t>materially</w:t>
            </w:r>
            <w:r>
              <w:rPr>
                <w:rFonts w:ascii="Arial"/>
                <w:spacing w:val="13"/>
              </w:rPr>
              <w:t xml:space="preserve"> </w:t>
            </w:r>
            <w:r>
              <w:rPr>
                <w:rFonts w:ascii="Arial"/>
                <w:spacing w:val="-1"/>
              </w:rPr>
              <w:t>delay</w:t>
            </w:r>
            <w:r>
              <w:rPr>
                <w:rFonts w:ascii="Arial"/>
                <w:spacing w:val="13"/>
              </w:rPr>
              <w:t xml:space="preserve"> </w:t>
            </w:r>
            <w:r>
              <w:rPr>
                <w:rFonts w:ascii="Arial"/>
              </w:rPr>
              <w:t>the</w:t>
            </w:r>
            <w:r>
              <w:rPr>
                <w:rFonts w:ascii="Arial"/>
                <w:spacing w:val="32"/>
              </w:rPr>
              <w:t xml:space="preserve"> </w:t>
            </w:r>
            <w:r>
              <w:rPr>
                <w:rFonts w:ascii="Arial"/>
                <w:spacing w:val="-1"/>
              </w:rPr>
              <w:t>Affected</w:t>
            </w:r>
            <w:r>
              <w:rPr>
                <w:rFonts w:ascii="Arial"/>
                <w:spacing w:val="17"/>
              </w:rPr>
              <w:t xml:space="preserve"> </w:t>
            </w:r>
            <w:r>
              <w:rPr>
                <w:rFonts w:ascii="Arial"/>
                <w:spacing w:val="-1"/>
              </w:rPr>
              <w:t>Party</w:t>
            </w:r>
            <w:r>
              <w:rPr>
                <w:rFonts w:ascii="Arial"/>
                <w:spacing w:val="13"/>
              </w:rPr>
              <w:t xml:space="preserve"> </w:t>
            </w:r>
            <w:r>
              <w:rPr>
                <w:rFonts w:ascii="Arial"/>
              </w:rPr>
              <w:t>from</w:t>
            </w:r>
            <w:r>
              <w:rPr>
                <w:rFonts w:ascii="Arial"/>
                <w:spacing w:val="19"/>
              </w:rPr>
              <w:t xml:space="preserve"> </w:t>
            </w:r>
            <w:r>
              <w:rPr>
                <w:rFonts w:ascii="Arial"/>
                <w:spacing w:val="-2"/>
              </w:rPr>
              <w:t>performing</w:t>
            </w:r>
            <w:r>
              <w:rPr>
                <w:rFonts w:ascii="Arial"/>
                <w:spacing w:val="20"/>
              </w:rPr>
              <w:t xml:space="preserve"> </w:t>
            </w:r>
            <w:r>
              <w:rPr>
                <w:rFonts w:ascii="Arial"/>
                <w:spacing w:val="-1"/>
              </w:rPr>
              <w:t>its</w:t>
            </w:r>
            <w:r>
              <w:rPr>
                <w:rFonts w:ascii="Arial"/>
                <w:spacing w:val="18"/>
              </w:rPr>
              <w:t xml:space="preserve"> </w:t>
            </w:r>
            <w:r>
              <w:rPr>
                <w:rFonts w:ascii="Arial"/>
                <w:spacing w:val="-1"/>
              </w:rPr>
              <w:t>obligations</w:t>
            </w:r>
            <w:r>
              <w:rPr>
                <w:rFonts w:ascii="Arial"/>
                <w:spacing w:val="18"/>
              </w:rPr>
              <w:t xml:space="preserve"> </w:t>
            </w:r>
            <w:r>
              <w:rPr>
                <w:rFonts w:ascii="Arial"/>
                <w:spacing w:val="-1"/>
              </w:rPr>
              <w:t>under</w:t>
            </w:r>
            <w:r>
              <w:rPr>
                <w:rFonts w:ascii="Arial"/>
                <w:spacing w:val="40"/>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2"/>
              </w:rPr>
              <w:t>Contract;</w:t>
            </w:r>
          </w:p>
          <w:p w:rsidR="008918FA" w:rsidRDefault="008918FA" w:rsidP="005D2B81">
            <w:pPr>
              <w:pStyle w:val="ListParagraph"/>
              <w:numPr>
                <w:ilvl w:val="0"/>
                <w:numId w:val="45"/>
              </w:numPr>
              <w:tabs>
                <w:tab w:val="left" w:pos="820"/>
              </w:tabs>
              <w:spacing w:before="119"/>
              <w:ind w:right="102" w:hanging="544"/>
              <w:jc w:val="both"/>
              <w:rPr>
                <w:rFonts w:ascii="Arial" w:eastAsia="Arial" w:hAnsi="Arial" w:cs="Arial"/>
              </w:rPr>
            </w:pPr>
            <w:r>
              <w:rPr>
                <w:rFonts w:ascii="Arial"/>
                <w:spacing w:val="-1"/>
              </w:rPr>
              <w:t>riots,</w:t>
            </w:r>
            <w:r>
              <w:rPr>
                <w:rFonts w:ascii="Arial"/>
                <w:spacing w:val="19"/>
              </w:rPr>
              <w:t xml:space="preserve"> </w:t>
            </w:r>
            <w:r>
              <w:rPr>
                <w:rFonts w:ascii="Arial"/>
                <w:spacing w:val="-2"/>
              </w:rPr>
              <w:t>civil</w:t>
            </w:r>
            <w:r>
              <w:rPr>
                <w:rFonts w:ascii="Arial"/>
                <w:spacing w:val="17"/>
              </w:rPr>
              <w:t xml:space="preserve"> </w:t>
            </w:r>
            <w:r>
              <w:rPr>
                <w:rFonts w:ascii="Arial"/>
                <w:spacing w:val="-1"/>
              </w:rPr>
              <w:t>commotion,</w:t>
            </w:r>
            <w:r>
              <w:rPr>
                <w:rFonts w:ascii="Arial"/>
                <w:spacing w:val="19"/>
              </w:rPr>
              <w:t xml:space="preserve"> </w:t>
            </w:r>
            <w:r>
              <w:rPr>
                <w:rFonts w:ascii="Arial"/>
                <w:spacing w:val="-2"/>
              </w:rPr>
              <w:t>war</w:t>
            </w:r>
            <w:r>
              <w:rPr>
                <w:rFonts w:ascii="Arial"/>
                <w:spacing w:val="19"/>
              </w:rPr>
              <w:t xml:space="preserve"> </w:t>
            </w:r>
            <w:r>
              <w:rPr>
                <w:rFonts w:ascii="Arial"/>
                <w:spacing w:val="-1"/>
              </w:rPr>
              <w:t>or</w:t>
            </w:r>
            <w:r>
              <w:rPr>
                <w:rFonts w:ascii="Arial"/>
                <w:spacing w:val="19"/>
              </w:rPr>
              <w:t xml:space="preserve"> </w:t>
            </w:r>
            <w:r>
              <w:rPr>
                <w:rFonts w:ascii="Arial"/>
                <w:spacing w:val="-1"/>
              </w:rPr>
              <w:t>armed</w:t>
            </w:r>
            <w:r>
              <w:rPr>
                <w:rFonts w:ascii="Arial"/>
                <w:spacing w:val="17"/>
              </w:rPr>
              <w:t xml:space="preserve"> </w:t>
            </w:r>
            <w:r>
              <w:rPr>
                <w:rFonts w:ascii="Arial"/>
                <w:spacing w:val="-1"/>
              </w:rPr>
              <w:t>conflict,</w:t>
            </w:r>
            <w:r>
              <w:rPr>
                <w:rFonts w:ascii="Arial"/>
                <w:spacing w:val="19"/>
              </w:rPr>
              <w:t xml:space="preserve"> </w:t>
            </w:r>
            <w:r>
              <w:rPr>
                <w:rFonts w:ascii="Arial"/>
                <w:spacing w:val="-1"/>
              </w:rPr>
              <w:t>acts</w:t>
            </w:r>
            <w:r>
              <w:rPr>
                <w:rFonts w:ascii="Arial"/>
                <w:spacing w:val="18"/>
              </w:rPr>
              <w:t xml:space="preserve"> </w:t>
            </w:r>
            <w:r>
              <w:rPr>
                <w:rFonts w:ascii="Arial"/>
                <w:spacing w:val="-2"/>
              </w:rPr>
              <w:t>of</w:t>
            </w:r>
            <w:r>
              <w:rPr>
                <w:rFonts w:ascii="Arial"/>
                <w:spacing w:val="37"/>
              </w:rPr>
              <w:t xml:space="preserve"> </w:t>
            </w:r>
            <w:r>
              <w:rPr>
                <w:rFonts w:ascii="Arial"/>
                <w:spacing w:val="-1"/>
              </w:rPr>
              <w:t>terrorism,</w:t>
            </w:r>
            <w:r>
              <w:rPr>
                <w:rFonts w:ascii="Arial"/>
                <w:spacing w:val="2"/>
              </w:rPr>
              <w:t xml:space="preserve"> </w:t>
            </w:r>
            <w:r>
              <w:rPr>
                <w:rFonts w:ascii="Arial"/>
                <w:spacing w:val="-1"/>
              </w:rPr>
              <w:t>nuclear,</w:t>
            </w:r>
            <w:r>
              <w:rPr>
                <w:rFonts w:ascii="Arial"/>
              </w:rPr>
              <w:t xml:space="preserve"> </w:t>
            </w:r>
            <w:r>
              <w:rPr>
                <w:rFonts w:ascii="Arial"/>
                <w:spacing w:val="-2"/>
              </w:rPr>
              <w:t>biological</w:t>
            </w:r>
            <w:r>
              <w:rPr>
                <w:rFonts w:ascii="Arial"/>
              </w:rPr>
              <w:t xml:space="preserve"> </w:t>
            </w:r>
            <w:r>
              <w:rPr>
                <w:rFonts w:ascii="Arial"/>
                <w:spacing w:val="-1"/>
              </w:rPr>
              <w:t>or</w:t>
            </w:r>
            <w:r>
              <w:rPr>
                <w:rFonts w:ascii="Arial"/>
                <w:spacing w:val="2"/>
              </w:rPr>
              <w:t xml:space="preserve"> </w:t>
            </w:r>
            <w:r>
              <w:rPr>
                <w:rFonts w:ascii="Arial"/>
                <w:spacing w:val="-1"/>
              </w:rPr>
              <w:t>chemical</w:t>
            </w:r>
            <w:r>
              <w:rPr>
                <w:rFonts w:ascii="Arial"/>
              </w:rPr>
              <w:t xml:space="preserve"> </w:t>
            </w:r>
            <w:r>
              <w:rPr>
                <w:rFonts w:ascii="Arial"/>
                <w:spacing w:val="-1"/>
              </w:rPr>
              <w:t>warfare;</w:t>
            </w:r>
          </w:p>
          <w:p w:rsidR="008918FA" w:rsidRDefault="008918FA" w:rsidP="005D2B81">
            <w:pPr>
              <w:pStyle w:val="ListParagraph"/>
              <w:numPr>
                <w:ilvl w:val="0"/>
                <w:numId w:val="45"/>
              </w:numPr>
              <w:tabs>
                <w:tab w:val="left" w:pos="820"/>
              </w:tabs>
              <w:spacing w:before="119"/>
              <w:ind w:right="99" w:hanging="544"/>
              <w:jc w:val="both"/>
              <w:rPr>
                <w:rFonts w:ascii="Arial" w:eastAsia="Arial" w:hAnsi="Arial" w:cs="Arial"/>
              </w:rPr>
            </w:pPr>
            <w:r>
              <w:rPr>
                <w:rFonts w:ascii="Arial"/>
                <w:spacing w:val="-1"/>
              </w:rPr>
              <w:t>acts</w:t>
            </w:r>
            <w:r>
              <w:rPr>
                <w:rFonts w:ascii="Arial"/>
                <w:spacing w:val="32"/>
              </w:rPr>
              <w:t xml:space="preserve"> </w:t>
            </w:r>
            <w:r>
              <w:rPr>
                <w:rFonts w:ascii="Arial"/>
                <w:spacing w:val="-2"/>
              </w:rPr>
              <w:t>of</w:t>
            </w:r>
            <w:r>
              <w:rPr>
                <w:rFonts w:ascii="Arial"/>
                <w:spacing w:val="35"/>
              </w:rPr>
              <w:t xml:space="preserve"> </w:t>
            </w:r>
            <w:r>
              <w:rPr>
                <w:rFonts w:ascii="Arial"/>
              </w:rPr>
              <w:t>the</w:t>
            </w:r>
            <w:r>
              <w:rPr>
                <w:rFonts w:ascii="Arial"/>
                <w:spacing w:val="31"/>
              </w:rPr>
              <w:t xml:space="preserve"> </w:t>
            </w:r>
            <w:r>
              <w:rPr>
                <w:rFonts w:ascii="Arial"/>
                <w:spacing w:val="-2"/>
              </w:rPr>
              <w:t>Crown,</w:t>
            </w:r>
            <w:r>
              <w:rPr>
                <w:rFonts w:ascii="Arial"/>
                <w:spacing w:val="33"/>
              </w:rPr>
              <w:t xml:space="preserve"> </w:t>
            </w:r>
            <w:r>
              <w:rPr>
                <w:rFonts w:ascii="Arial"/>
                <w:spacing w:val="-1"/>
              </w:rPr>
              <w:t>local</w:t>
            </w:r>
            <w:r>
              <w:rPr>
                <w:rFonts w:ascii="Arial"/>
                <w:spacing w:val="31"/>
              </w:rPr>
              <w:t xml:space="preserve"> </w:t>
            </w:r>
            <w:r>
              <w:rPr>
                <w:rFonts w:ascii="Arial"/>
                <w:spacing w:val="-1"/>
              </w:rPr>
              <w:t>government</w:t>
            </w:r>
            <w:r>
              <w:rPr>
                <w:rFonts w:ascii="Arial"/>
                <w:spacing w:val="33"/>
              </w:rPr>
              <w:t xml:space="preserve"> </w:t>
            </w:r>
            <w:r>
              <w:rPr>
                <w:rFonts w:ascii="Arial"/>
                <w:spacing w:val="-1"/>
              </w:rPr>
              <w:t>or</w:t>
            </w:r>
            <w:r>
              <w:rPr>
                <w:rFonts w:ascii="Arial"/>
                <w:spacing w:val="34"/>
              </w:rPr>
              <w:t xml:space="preserve"> </w:t>
            </w:r>
            <w:r>
              <w:rPr>
                <w:rFonts w:ascii="Arial"/>
                <w:spacing w:val="-1"/>
              </w:rPr>
              <w:t>Regulatory</w:t>
            </w:r>
            <w:r>
              <w:rPr>
                <w:rFonts w:ascii="Arial"/>
                <w:spacing w:val="29"/>
              </w:rPr>
              <w:t xml:space="preserve"> </w:t>
            </w:r>
            <w:r>
              <w:rPr>
                <w:rFonts w:ascii="Arial"/>
                <w:spacing w:val="-2"/>
              </w:rPr>
              <w:t>Bodies;</w:t>
            </w:r>
          </w:p>
          <w:p w:rsidR="008918FA" w:rsidRDefault="008918FA" w:rsidP="005D2B81">
            <w:pPr>
              <w:pStyle w:val="ListParagraph"/>
              <w:numPr>
                <w:ilvl w:val="0"/>
                <w:numId w:val="45"/>
              </w:numPr>
              <w:tabs>
                <w:tab w:val="left" w:pos="820"/>
              </w:tabs>
              <w:spacing w:before="119"/>
              <w:ind w:hanging="544"/>
              <w:rPr>
                <w:rFonts w:ascii="Arial" w:eastAsia="Arial" w:hAnsi="Arial" w:cs="Arial"/>
              </w:rPr>
            </w:pPr>
            <w:r>
              <w:rPr>
                <w:rFonts w:ascii="Arial"/>
                <w:spacing w:val="-1"/>
              </w:rPr>
              <w:t>fire,</w:t>
            </w:r>
            <w:r>
              <w:rPr>
                <w:rFonts w:ascii="Arial"/>
                <w:spacing w:val="-3"/>
              </w:rPr>
              <w:t xml:space="preserve"> </w:t>
            </w:r>
            <w:r>
              <w:rPr>
                <w:rFonts w:ascii="Arial"/>
                <w:spacing w:val="-1"/>
              </w:rPr>
              <w:t>flood</w:t>
            </w:r>
            <w:r>
              <w:rPr>
                <w:rFonts w:ascii="Arial"/>
              </w:rPr>
              <w:t xml:space="preserve"> </w:t>
            </w:r>
            <w:r>
              <w:rPr>
                <w:rFonts w:ascii="Arial"/>
                <w:spacing w:val="-2"/>
              </w:rPr>
              <w:t>or</w:t>
            </w:r>
            <w:r>
              <w:rPr>
                <w:rFonts w:ascii="Arial"/>
                <w:spacing w:val="2"/>
              </w:rPr>
              <w:t xml:space="preserve"> </w:t>
            </w:r>
            <w:r>
              <w:rPr>
                <w:rFonts w:ascii="Arial"/>
                <w:spacing w:val="-1"/>
              </w:rPr>
              <w:t>any</w:t>
            </w:r>
            <w:r>
              <w:rPr>
                <w:rFonts w:ascii="Arial"/>
                <w:spacing w:val="-2"/>
              </w:rPr>
              <w:t xml:space="preserve"> </w:t>
            </w:r>
            <w:r>
              <w:rPr>
                <w:rFonts w:ascii="Arial"/>
                <w:spacing w:val="-1"/>
              </w:rPr>
              <w:t>disaster;</w:t>
            </w:r>
            <w:r>
              <w:rPr>
                <w:rFonts w:ascii="Arial"/>
                <w:spacing w:val="2"/>
              </w:rPr>
              <w:t xml:space="preserve"> </w:t>
            </w:r>
            <w:r>
              <w:rPr>
                <w:rFonts w:ascii="Arial"/>
                <w:spacing w:val="-1"/>
              </w:rPr>
              <w:t>and</w:t>
            </w:r>
          </w:p>
          <w:p w:rsidR="008918FA" w:rsidRDefault="008918FA" w:rsidP="005D2B81">
            <w:pPr>
              <w:pStyle w:val="ListParagraph"/>
              <w:numPr>
                <w:ilvl w:val="0"/>
                <w:numId w:val="45"/>
              </w:numPr>
              <w:tabs>
                <w:tab w:val="left" w:pos="820"/>
              </w:tabs>
              <w:spacing w:before="119"/>
              <w:ind w:right="102"/>
              <w:jc w:val="both"/>
              <w:rPr>
                <w:rFonts w:ascii="Arial" w:eastAsia="Arial" w:hAnsi="Arial" w:cs="Arial"/>
              </w:rPr>
            </w:pPr>
            <w:r>
              <w:rPr>
                <w:rFonts w:ascii="Arial"/>
                <w:spacing w:val="-1"/>
              </w:rPr>
              <w:t>an</w:t>
            </w:r>
            <w:r>
              <w:rPr>
                <w:rFonts w:ascii="Arial"/>
                <w:spacing w:val="12"/>
              </w:rPr>
              <w:t xml:space="preserve"> </w:t>
            </w:r>
            <w:r>
              <w:rPr>
                <w:rFonts w:ascii="Arial"/>
                <w:spacing w:val="-1"/>
              </w:rPr>
              <w:t>industrial</w:t>
            </w:r>
            <w:r>
              <w:rPr>
                <w:rFonts w:ascii="Arial"/>
                <w:spacing w:val="12"/>
              </w:rPr>
              <w:t xml:space="preserve"> </w:t>
            </w:r>
            <w:r>
              <w:rPr>
                <w:rFonts w:ascii="Arial"/>
                <w:spacing w:val="-1"/>
              </w:rPr>
              <w:t>dispute</w:t>
            </w:r>
            <w:r>
              <w:rPr>
                <w:rFonts w:ascii="Arial"/>
                <w:spacing w:val="12"/>
              </w:rPr>
              <w:t xml:space="preserve"> </w:t>
            </w:r>
            <w:r>
              <w:rPr>
                <w:rFonts w:ascii="Arial"/>
                <w:spacing w:val="-1"/>
              </w:rPr>
              <w:t>affecting</w:t>
            </w:r>
            <w:r>
              <w:rPr>
                <w:rFonts w:ascii="Arial"/>
                <w:spacing w:val="15"/>
              </w:rPr>
              <w:t xml:space="preserve"> </w:t>
            </w:r>
            <w:r>
              <w:rPr>
                <w:rFonts w:ascii="Arial"/>
              </w:rPr>
              <w:t>a</w:t>
            </w:r>
            <w:r>
              <w:rPr>
                <w:rFonts w:ascii="Arial"/>
                <w:spacing w:val="12"/>
              </w:rPr>
              <w:t xml:space="preserve"> </w:t>
            </w:r>
            <w:r>
              <w:rPr>
                <w:rFonts w:ascii="Arial"/>
                <w:spacing w:val="-1"/>
              </w:rPr>
              <w:t>third</w:t>
            </w:r>
            <w:r>
              <w:rPr>
                <w:rFonts w:ascii="Arial"/>
                <w:spacing w:val="12"/>
              </w:rPr>
              <w:t xml:space="preserve"> </w:t>
            </w:r>
            <w:r>
              <w:rPr>
                <w:rFonts w:ascii="Arial"/>
                <w:spacing w:val="-1"/>
              </w:rPr>
              <w:t>party</w:t>
            </w:r>
            <w:r>
              <w:rPr>
                <w:rFonts w:ascii="Arial"/>
                <w:spacing w:val="8"/>
              </w:rPr>
              <w:t xml:space="preserve"> </w:t>
            </w:r>
            <w:r>
              <w:rPr>
                <w:rFonts w:ascii="Arial"/>
              </w:rPr>
              <w:t>for</w:t>
            </w:r>
            <w:r>
              <w:rPr>
                <w:rFonts w:ascii="Arial"/>
                <w:spacing w:val="14"/>
              </w:rPr>
              <w:t xml:space="preserve"> </w:t>
            </w:r>
            <w:r>
              <w:rPr>
                <w:rFonts w:ascii="Arial"/>
                <w:spacing w:val="-2"/>
              </w:rPr>
              <w:t>which</w:t>
            </w:r>
            <w:r>
              <w:rPr>
                <w:rFonts w:ascii="Arial"/>
                <w:spacing w:val="38"/>
              </w:rPr>
              <w:t xml:space="preserve"> </w:t>
            </w:r>
            <w:r>
              <w:rPr>
                <w:rFonts w:ascii="Arial"/>
              </w:rPr>
              <w:t>a</w:t>
            </w:r>
            <w:r>
              <w:rPr>
                <w:rFonts w:ascii="Arial"/>
                <w:spacing w:val="43"/>
              </w:rPr>
              <w:t xml:space="preserve"> </w:t>
            </w:r>
            <w:r>
              <w:rPr>
                <w:rFonts w:ascii="Arial"/>
                <w:spacing w:val="-1"/>
              </w:rPr>
              <w:t>substitute</w:t>
            </w:r>
            <w:r>
              <w:rPr>
                <w:rFonts w:ascii="Arial"/>
                <w:spacing w:val="41"/>
              </w:rPr>
              <w:t xml:space="preserve"> </w:t>
            </w:r>
            <w:r>
              <w:rPr>
                <w:rFonts w:ascii="Arial"/>
                <w:spacing w:val="-1"/>
              </w:rPr>
              <w:t>third</w:t>
            </w:r>
            <w:r>
              <w:rPr>
                <w:rFonts w:ascii="Arial"/>
                <w:spacing w:val="43"/>
              </w:rPr>
              <w:t xml:space="preserve"> </w:t>
            </w:r>
            <w:r>
              <w:rPr>
                <w:rFonts w:ascii="Arial"/>
                <w:spacing w:val="-1"/>
              </w:rPr>
              <w:t>party</w:t>
            </w:r>
            <w:r>
              <w:rPr>
                <w:rFonts w:ascii="Arial"/>
                <w:spacing w:val="41"/>
              </w:rPr>
              <w:t xml:space="preserve"> </w:t>
            </w:r>
            <w:r>
              <w:rPr>
                <w:rFonts w:ascii="Arial"/>
                <w:spacing w:val="-1"/>
              </w:rPr>
              <w:t>is</w:t>
            </w:r>
            <w:r>
              <w:rPr>
                <w:rFonts w:ascii="Arial"/>
                <w:spacing w:val="44"/>
              </w:rPr>
              <w:t xml:space="preserve"> </w:t>
            </w:r>
            <w:r>
              <w:rPr>
                <w:rFonts w:ascii="Arial"/>
                <w:spacing w:val="-1"/>
              </w:rPr>
              <w:t>not</w:t>
            </w:r>
            <w:r>
              <w:rPr>
                <w:rFonts w:ascii="Arial"/>
                <w:spacing w:val="42"/>
              </w:rPr>
              <w:t xml:space="preserve"> </w:t>
            </w:r>
            <w:r>
              <w:rPr>
                <w:rFonts w:ascii="Arial"/>
                <w:spacing w:val="-1"/>
              </w:rPr>
              <w:t>reasonably</w:t>
            </w:r>
            <w:r>
              <w:rPr>
                <w:rFonts w:ascii="Arial"/>
                <w:spacing w:val="42"/>
              </w:rPr>
              <w:t xml:space="preserve"> </w:t>
            </w:r>
            <w:r>
              <w:rPr>
                <w:rFonts w:ascii="Arial"/>
                <w:spacing w:val="-2"/>
              </w:rPr>
              <w:t>available</w:t>
            </w:r>
            <w:r>
              <w:rPr>
                <w:rFonts w:ascii="Arial"/>
                <w:spacing w:val="43"/>
              </w:rPr>
              <w:t xml:space="preserve"> </w:t>
            </w:r>
            <w:r>
              <w:rPr>
                <w:rFonts w:ascii="Arial"/>
                <w:spacing w:val="-1"/>
              </w:rPr>
              <w:t>but</w:t>
            </w:r>
            <w:r>
              <w:rPr>
                <w:rFonts w:ascii="Arial"/>
                <w:spacing w:val="2"/>
              </w:rPr>
              <w:t xml:space="preserve"> </w:t>
            </w:r>
            <w:r>
              <w:rPr>
                <w:rFonts w:ascii="Arial"/>
                <w:spacing w:val="-1"/>
              </w:rPr>
              <w:t>excluding:</w:t>
            </w:r>
          </w:p>
          <w:p w:rsidR="008918FA" w:rsidRDefault="008918FA" w:rsidP="005D2B81">
            <w:pPr>
              <w:pStyle w:val="ListParagraph"/>
              <w:numPr>
                <w:ilvl w:val="1"/>
                <w:numId w:val="45"/>
              </w:numPr>
              <w:tabs>
                <w:tab w:val="left" w:pos="1180"/>
              </w:tabs>
              <w:spacing w:before="121"/>
              <w:ind w:right="99"/>
              <w:jc w:val="both"/>
              <w:rPr>
                <w:rFonts w:ascii="Arial" w:eastAsia="Arial" w:hAnsi="Arial" w:cs="Arial"/>
              </w:rPr>
            </w:pPr>
            <w:r>
              <w:rPr>
                <w:rFonts w:ascii="Arial"/>
                <w:spacing w:val="-1"/>
              </w:rPr>
              <w:t>any</w:t>
            </w:r>
            <w:r>
              <w:rPr>
                <w:rFonts w:ascii="Arial"/>
                <w:spacing w:val="-2"/>
              </w:rPr>
              <w:t xml:space="preserve"> </w:t>
            </w:r>
            <w:r>
              <w:rPr>
                <w:rFonts w:ascii="Arial"/>
                <w:spacing w:val="-1"/>
              </w:rPr>
              <w:t>industrial</w:t>
            </w:r>
            <w:r>
              <w:rPr>
                <w:rFonts w:ascii="Arial"/>
              </w:rPr>
              <w:t xml:space="preserve"> </w:t>
            </w:r>
            <w:r>
              <w:rPr>
                <w:rFonts w:ascii="Arial"/>
                <w:spacing w:val="-1"/>
              </w:rPr>
              <w:t>dispute</w:t>
            </w:r>
            <w:r>
              <w:rPr>
                <w:rFonts w:ascii="Arial"/>
              </w:rPr>
              <w:t xml:space="preserve"> </w:t>
            </w:r>
            <w:r>
              <w:rPr>
                <w:rFonts w:ascii="Arial"/>
                <w:spacing w:val="-1"/>
              </w:rPr>
              <w:t>relating</w:t>
            </w:r>
            <w:r>
              <w:rPr>
                <w:rFonts w:ascii="Arial"/>
              </w:rPr>
              <w:t xml:space="preserve"> to</w:t>
            </w:r>
            <w:r>
              <w:rPr>
                <w:rFonts w:ascii="Arial"/>
                <w:spacing w:val="-2"/>
              </w:rPr>
              <w:t xml:space="preserve"> </w:t>
            </w:r>
            <w:r>
              <w:rPr>
                <w:rFonts w:ascii="Arial"/>
              </w:rPr>
              <w:t xml:space="preserve">the </w:t>
            </w:r>
            <w:r>
              <w:rPr>
                <w:rFonts w:ascii="Arial"/>
                <w:spacing w:val="-1"/>
              </w:rPr>
              <w:t>Supplier,</w:t>
            </w:r>
            <w:r>
              <w:rPr>
                <w:rFonts w:ascii="Arial"/>
              </w:rPr>
              <w:t xml:space="preserve"> </w:t>
            </w:r>
            <w:r>
              <w:rPr>
                <w:rFonts w:ascii="Arial"/>
                <w:spacing w:val="-1"/>
              </w:rPr>
              <w:t>the</w:t>
            </w:r>
            <w:r>
              <w:rPr>
                <w:rFonts w:ascii="Arial"/>
                <w:spacing w:val="22"/>
              </w:rPr>
              <w:t xml:space="preserve"> </w:t>
            </w:r>
            <w:r>
              <w:rPr>
                <w:rFonts w:ascii="Arial"/>
                <w:spacing w:val="-2"/>
              </w:rPr>
              <w:t>Supplier</w:t>
            </w:r>
            <w:r>
              <w:rPr>
                <w:rFonts w:ascii="Arial"/>
                <w:spacing w:val="24"/>
              </w:rPr>
              <w:t xml:space="preserve"> </w:t>
            </w:r>
            <w:r>
              <w:rPr>
                <w:rFonts w:ascii="Arial"/>
                <w:spacing w:val="-1"/>
              </w:rPr>
              <w:t>Personnel</w:t>
            </w:r>
            <w:r>
              <w:rPr>
                <w:rFonts w:ascii="Arial"/>
                <w:spacing w:val="22"/>
              </w:rPr>
              <w:t xml:space="preserve"> </w:t>
            </w:r>
            <w:r>
              <w:rPr>
                <w:rFonts w:ascii="Arial"/>
                <w:spacing w:val="-2"/>
              </w:rPr>
              <w:t>(including</w:t>
            </w:r>
            <w:r>
              <w:rPr>
                <w:rFonts w:ascii="Arial"/>
                <w:spacing w:val="26"/>
              </w:rPr>
              <w:t xml:space="preserve"> </w:t>
            </w:r>
            <w:r>
              <w:rPr>
                <w:rFonts w:ascii="Arial"/>
                <w:spacing w:val="-1"/>
              </w:rPr>
              <w:t>any</w:t>
            </w:r>
            <w:r>
              <w:rPr>
                <w:rFonts w:ascii="Arial"/>
                <w:spacing w:val="21"/>
              </w:rPr>
              <w:t xml:space="preserve"> </w:t>
            </w:r>
            <w:r>
              <w:rPr>
                <w:rFonts w:ascii="Arial"/>
                <w:spacing w:val="-1"/>
              </w:rPr>
              <w:t>subsets</w:t>
            </w:r>
            <w:r>
              <w:rPr>
                <w:rFonts w:ascii="Arial"/>
                <w:spacing w:val="21"/>
              </w:rPr>
              <w:t xml:space="preserve"> </w:t>
            </w:r>
            <w:r>
              <w:rPr>
                <w:rFonts w:ascii="Arial"/>
                <w:spacing w:val="-2"/>
              </w:rPr>
              <w:t>of</w:t>
            </w:r>
            <w:r>
              <w:rPr>
                <w:rFonts w:ascii="Arial"/>
                <w:spacing w:val="49"/>
              </w:rPr>
              <w:t xml:space="preserve"> </w:t>
            </w:r>
            <w:r>
              <w:rPr>
                <w:rFonts w:ascii="Arial"/>
                <w:spacing w:val="-1"/>
              </w:rPr>
              <w:t>them)</w:t>
            </w:r>
            <w:r>
              <w:rPr>
                <w:rFonts w:ascii="Arial"/>
                <w:spacing w:val="23"/>
              </w:rPr>
              <w:t xml:space="preserve"> </w:t>
            </w:r>
            <w:r>
              <w:rPr>
                <w:rFonts w:ascii="Arial"/>
                <w:spacing w:val="-1"/>
              </w:rPr>
              <w:t>or</w:t>
            </w:r>
            <w:r>
              <w:rPr>
                <w:rFonts w:ascii="Arial"/>
                <w:spacing w:val="23"/>
              </w:rPr>
              <w:t xml:space="preserve"> </w:t>
            </w:r>
            <w:r>
              <w:rPr>
                <w:rFonts w:ascii="Arial"/>
                <w:spacing w:val="-1"/>
              </w:rPr>
              <w:t>any</w:t>
            </w:r>
            <w:r>
              <w:rPr>
                <w:rFonts w:ascii="Arial"/>
                <w:spacing w:val="20"/>
              </w:rPr>
              <w:t xml:space="preserve"> </w:t>
            </w:r>
            <w:r>
              <w:rPr>
                <w:rFonts w:ascii="Arial"/>
                <w:spacing w:val="-1"/>
              </w:rPr>
              <w:t>other</w:t>
            </w:r>
            <w:r>
              <w:rPr>
                <w:rFonts w:ascii="Arial"/>
                <w:spacing w:val="23"/>
              </w:rPr>
              <w:t xml:space="preserve"> </w:t>
            </w:r>
            <w:r>
              <w:rPr>
                <w:rFonts w:ascii="Arial"/>
                <w:spacing w:val="-1"/>
              </w:rPr>
              <w:t>failure</w:t>
            </w:r>
            <w:r>
              <w:rPr>
                <w:rFonts w:ascii="Arial"/>
                <w:spacing w:val="22"/>
              </w:rPr>
              <w:t xml:space="preserve"> </w:t>
            </w:r>
            <w:r>
              <w:rPr>
                <w:rFonts w:ascii="Arial"/>
                <w:spacing w:val="-1"/>
              </w:rPr>
              <w:t>in</w:t>
            </w:r>
            <w:r>
              <w:rPr>
                <w:rFonts w:ascii="Arial"/>
                <w:spacing w:val="22"/>
              </w:rPr>
              <w:t xml:space="preserve"> </w:t>
            </w:r>
            <w:r>
              <w:rPr>
                <w:rFonts w:ascii="Arial"/>
              </w:rPr>
              <w:t>the</w:t>
            </w:r>
            <w:r>
              <w:rPr>
                <w:rFonts w:ascii="Arial"/>
                <w:spacing w:val="22"/>
              </w:rPr>
              <w:t xml:space="preserve"> </w:t>
            </w:r>
            <w:r>
              <w:rPr>
                <w:rFonts w:ascii="Arial"/>
                <w:spacing w:val="-1"/>
              </w:rPr>
              <w:t>Supplier</w:t>
            </w:r>
            <w:r>
              <w:rPr>
                <w:rFonts w:ascii="Arial"/>
                <w:spacing w:val="23"/>
              </w:rPr>
              <w:t xml:space="preserve"> </w:t>
            </w:r>
            <w:r>
              <w:rPr>
                <w:rFonts w:ascii="Arial"/>
                <w:spacing w:val="-1"/>
              </w:rPr>
              <w:t>or</w:t>
            </w:r>
            <w:r>
              <w:rPr>
                <w:rFonts w:ascii="Arial"/>
                <w:spacing w:val="23"/>
              </w:rPr>
              <w:t xml:space="preserve"> </w:t>
            </w:r>
            <w:r>
              <w:rPr>
                <w:rFonts w:ascii="Arial"/>
                <w:spacing w:val="-1"/>
              </w:rPr>
              <w:t>the</w:t>
            </w:r>
            <w:r>
              <w:rPr>
                <w:rFonts w:ascii="Arial"/>
                <w:spacing w:val="28"/>
              </w:rPr>
              <w:t xml:space="preserve"> </w:t>
            </w:r>
            <w:r>
              <w:rPr>
                <w:rFonts w:ascii="Arial"/>
                <w:spacing w:val="-1"/>
              </w:rPr>
              <w:t>Sub-Contractor's</w:t>
            </w:r>
            <w:r>
              <w:rPr>
                <w:rFonts w:ascii="Arial"/>
                <w:spacing w:val="-2"/>
              </w:rPr>
              <w:t xml:space="preserve"> </w:t>
            </w:r>
            <w:r>
              <w:rPr>
                <w:rFonts w:ascii="Arial"/>
                <w:spacing w:val="-1"/>
              </w:rPr>
              <w:t>supply</w:t>
            </w:r>
            <w:r>
              <w:rPr>
                <w:rFonts w:ascii="Arial"/>
                <w:spacing w:val="-2"/>
              </w:rPr>
              <w:t xml:space="preserve"> </w:t>
            </w:r>
            <w:r>
              <w:rPr>
                <w:rFonts w:ascii="Arial"/>
                <w:spacing w:val="-1"/>
              </w:rPr>
              <w:t>chain;</w:t>
            </w:r>
            <w:r>
              <w:rPr>
                <w:rFonts w:ascii="Arial"/>
                <w:spacing w:val="2"/>
              </w:rPr>
              <w:t xml:space="preserve"> </w:t>
            </w:r>
            <w:r>
              <w:rPr>
                <w:rFonts w:ascii="Arial"/>
                <w:spacing w:val="-1"/>
              </w:rPr>
              <w:t>and</w:t>
            </w:r>
          </w:p>
          <w:p w:rsidR="008918FA" w:rsidRDefault="008918FA" w:rsidP="005D2B81">
            <w:pPr>
              <w:pStyle w:val="ListParagraph"/>
              <w:numPr>
                <w:ilvl w:val="1"/>
                <w:numId w:val="45"/>
              </w:numPr>
              <w:tabs>
                <w:tab w:val="left" w:pos="1180"/>
              </w:tabs>
              <w:spacing w:before="119"/>
              <w:ind w:right="99"/>
              <w:jc w:val="both"/>
              <w:rPr>
                <w:rFonts w:ascii="Arial" w:eastAsia="Arial" w:hAnsi="Arial" w:cs="Arial"/>
              </w:rPr>
            </w:pPr>
            <w:r>
              <w:rPr>
                <w:rFonts w:ascii="Arial"/>
                <w:spacing w:val="-1"/>
              </w:rPr>
              <w:t>any</w:t>
            </w:r>
            <w:r>
              <w:rPr>
                <w:rFonts w:ascii="Arial"/>
                <w:spacing w:val="32"/>
              </w:rPr>
              <w:t xml:space="preserve"> </w:t>
            </w:r>
            <w:r>
              <w:rPr>
                <w:rFonts w:ascii="Arial"/>
                <w:spacing w:val="-1"/>
              </w:rPr>
              <w:t>event,</w:t>
            </w:r>
            <w:r>
              <w:rPr>
                <w:rFonts w:ascii="Arial"/>
                <w:spacing w:val="35"/>
              </w:rPr>
              <w:t xml:space="preserve"> </w:t>
            </w:r>
            <w:r>
              <w:rPr>
                <w:rFonts w:ascii="Arial"/>
                <w:spacing w:val="-1"/>
              </w:rPr>
              <w:t>occurrence,</w:t>
            </w:r>
            <w:r>
              <w:rPr>
                <w:rFonts w:ascii="Arial"/>
                <w:spacing w:val="35"/>
              </w:rPr>
              <w:t xml:space="preserve"> </w:t>
            </w:r>
            <w:r>
              <w:rPr>
                <w:rFonts w:ascii="Arial"/>
                <w:spacing w:val="-1"/>
              </w:rPr>
              <w:t>circumstance,</w:t>
            </w:r>
            <w:r>
              <w:rPr>
                <w:rFonts w:ascii="Arial"/>
                <w:spacing w:val="35"/>
              </w:rPr>
              <w:t xml:space="preserve"> </w:t>
            </w:r>
            <w:r>
              <w:rPr>
                <w:rFonts w:ascii="Arial"/>
                <w:spacing w:val="-1"/>
              </w:rPr>
              <w:t>matter</w:t>
            </w:r>
            <w:r>
              <w:rPr>
                <w:rFonts w:ascii="Arial"/>
                <w:spacing w:val="35"/>
              </w:rPr>
              <w:t xml:space="preserve"> </w:t>
            </w:r>
            <w:r>
              <w:rPr>
                <w:rFonts w:ascii="Arial"/>
                <w:spacing w:val="-2"/>
              </w:rPr>
              <w:t>or</w:t>
            </w:r>
            <w:r>
              <w:rPr>
                <w:rFonts w:ascii="Arial"/>
                <w:spacing w:val="27"/>
              </w:rPr>
              <w:t xml:space="preserve"> </w:t>
            </w:r>
            <w:r>
              <w:rPr>
                <w:rFonts w:ascii="Arial"/>
                <w:spacing w:val="-1"/>
              </w:rPr>
              <w:t>cause</w:t>
            </w:r>
            <w:r>
              <w:rPr>
                <w:rFonts w:ascii="Arial"/>
                <w:spacing w:val="26"/>
              </w:rPr>
              <w:t xml:space="preserve"> </w:t>
            </w:r>
            <w:r>
              <w:rPr>
                <w:rFonts w:ascii="Arial"/>
                <w:spacing w:val="-2"/>
              </w:rPr>
              <w:t>which</w:t>
            </w:r>
            <w:r>
              <w:rPr>
                <w:rFonts w:ascii="Arial"/>
                <w:spacing w:val="26"/>
              </w:rPr>
              <w:t xml:space="preserve"> </w:t>
            </w:r>
            <w:r>
              <w:rPr>
                <w:rFonts w:ascii="Arial"/>
                <w:spacing w:val="-1"/>
              </w:rPr>
              <w:t>is</w:t>
            </w:r>
            <w:r>
              <w:rPr>
                <w:rFonts w:ascii="Arial"/>
                <w:spacing w:val="26"/>
              </w:rPr>
              <w:t xml:space="preserve"> </w:t>
            </w:r>
            <w:r>
              <w:rPr>
                <w:rFonts w:ascii="Arial"/>
                <w:spacing w:val="-1"/>
              </w:rPr>
              <w:t>attributable</w:t>
            </w:r>
            <w:r>
              <w:rPr>
                <w:rFonts w:ascii="Arial"/>
                <w:spacing w:val="26"/>
              </w:rPr>
              <w:t xml:space="preserve"> </w:t>
            </w:r>
            <w:r>
              <w:rPr>
                <w:rFonts w:ascii="Arial"/>
              </w:rPr>
              <w:t>to</w:t>
            </w:r>
            <w:r>
              <w:rPr>
                <w:rFonts w:ascii="Arial"/>
                <w:spacing w:val="23"/>
              </w:rPr>
              <w:t xml:space="preserve"> </w:t>
            </w:r>
            <w:r>
              <w:rPr>
                <w:rFonts w:ascii="Arial"/>
              </w:rPr>
              <w:t>the</w:t>
            </w:r>
            <w:r>
              <w:rPr>
                <w:rFonts w:ascii="Arial"/>
                <w:spacing w:val="26"/>
              </w:rPr>
              <w:t xml:space="preserve"> </w:t>
            </w:r>
            <w:r>
              <w:rPr>
                <w:rFonts w:ascii="Arial"/>
                <w:spacing w:val="-1"/>
              </w:rPr>
              <w:t>wilful</w:t>
            </w:r>
            <w:r>
              <w:rPr>
                <w:rFonts w:ascii="Arial"/>
                <w:spacing w:val="25"/>
              </w:rPr>
              <w:t xml:space="preserve"> </w:t>
            </w:r>
            <w:r>
              <w:rPr>
                <w:rFonts w:ascii="Arial"/>
                <w:spacing w:val="-1"/>
              </w:rPr>
              <w:t>act,</w:t>
            </w:r>
            <w:r>
              <w:rPr>
                <w:rFonts w:ascii="Arial"/>
                <w:spacing w:val="27"/>
              </w:rPr>
              <w:t xml:space="preserve"> </w:t>
            </w:r>
            <w:r>
              <w:rPr>
                <w:rFonts w:ascii="Arial"/>
                <w:spacing w:val="-1"/>
              </w:rPr>
              <w:t>neglect</w:t>
            </w:r>
            <w:r>
              <w:rPr>
                <w:rFonts w:ascii="Arial"/>
                <w:spacing w:val="12"/>
              </w:rPr>
              <w:t xml:space="preserve"> </w:t>
            </w:r>
            <w:r>
              <w:rPr>
                <w:rFonts w:ascii="Arial"/>
                <w:spacing w:val="-2"/>
              </w:rPr>
              <w:t>or</w:t>
            </w:r>
            <w:r>
              <w:rPr>
                <w:rFonts w:ascii="Arial"/>
                <w:spacing w:val="9"/>
              </w:rPr>
              <w:t xml:space="preserve"> </w:t>
            </w:r>
            <w:r>
              <w:rPr>
                <w:rFonts w:ascii="Arial"/>
                <w:spacing w:val="-1"/>
              </w:rPr>
              <w:t>failure</w:t>
            </w:r>
            <w:r>
              <w:rPr>
                <w:rFonts w:ascii="Arial"/>
                <w:spacing w:val="10"/>
              </w:rPr>
              <w:t xml:space="preserve"> </w:t>
            </w:r>
            <w:r>
              <w:rPr>
                <w:rFonts w:ascii="Arial"/>
              </w:rPr>
              <w:t>to</w:t>
            </w:r>
            <w:r>
              <w:rPr>
                <w:rFonts w:ascii="Arial"/>
                <w:spacing w:val="7"/>
              </w:rPr>
              <w:t xml:space="preserve"> </w:t>
            </w:r>
            <w:r>
              <w:rPr>
                <w:rFonts w:ascii="Arial"/>
              </w:rPr>
              <w:t>take</w:t>
            </w:r>
            <w:r>
              <w:rPr>
                <w:rFonts w:ascii="Arial"/>
                <w:spacing w:val="7"/>
              </w:rPr>
              <w:t xml:space="preserve"> </w:t>
            </w:r>
            <w:r>
              <w:rPr>
                <w:rFonts w:ascii="Arial"/>
                <w:spacing w:val="-1"/>
              </w:rPr>
              <w:t>reasonable</w:t>
            </w:r>
            <w:r>
              <w:rPr>
                <w:rFonts w:ascii="Arial"/>
                <w:spacing w:val="10"/>
              </w:rPr>
              <w:t xml:space="preserve"> </w:t>
            </w:r>
            <w:r>
              <w:rPr>
                <w:rFonts w:ascii="Arial"/>
                <w:spacing w:val="-1"/>
              </w:rPr>
              <w:t>precautions</w:t>
            </w:r>
            <w:r>
              <w:rPr>
                <w:rFonts w:ascii="Arial"/>
                <w:spacing w:val="28"/>
              </w:rPr>
              <w:t xml:space="preserve"> </w:t>
            </w:r>
            <w:r>
              <w:rPr>
                <w:rFonts w:ascii="Arial"/>
                <w:spacing w:val="-1"/>
              </w:rPr>
              <w:t>against</w:t>
            </w:r>
            <w:r>
              <w:rPr>
                <w:rFonts w:ascii="Arial"/>
              </w:rPr>
              <w:t xml:space="preserve"> </w:t>
            </w:r>
            <w:r>
              <w:rPr>
                <w:rFonts w:ascii="Arial"/>
                <w:spacing w:val="-1"/>
              </w:rPr>
              <w:t>it</w:t>
            </w:r>
            <w:r>
              <w:rPr>
                <w:rFonts w:ascii="Arial"/>
              </w:rPr>
              <w:t xml:space="preserve"> </w:t>
            </w:r>
            <w:r>
              <w:rPr>
                <w:rFonts w:ascii="Arial"/>
                <w:spacing w:val="-1"/>
              </w:rPr>
              <w:t>by</w:t>
            </w:r>
            <w:r>
              <w:rPr>
                <w:rFonts w:ascii="Arial"/>
                <w:spacing w:val="-2"/>
              </w:rPr>
              <w:t xml:space="preserve"> </w:t>
            </w:r>
            <w:r>
              <w:rPr>
                <w:rFonts w:ascii="Arial"/>
              </w:rPr>
              <w:t xml:space="preserve">the </w:t>
            </w:r>
            <w:r>
              <w:rPr>
                <w:rFonts w:ascii="Arial"/>
                <w:spacing w:val="-1"/>
              </w:rPr>
              <w:t>Party</w:t>
            </w:r>
            <w:r>
              <w:rPr>
                <w:rFonts w:ascii="Arial"/>
                <w:spacing w:val="-2"/>
              </w:rPr>
              <w:t xml:space="preserve"> </w:t>
            </w:r>
            <w:r>
              <w:rPr>
                <w:rFonts w:ascii="Arial"/>
                <w:spacing w:val="-1"/>
              </w:rPr>
              <w:t>concerned;</w:t>
            </w:r>
            <w:r>
              <w:rPr>
                <w:rFonts w:ascii="Arial"/>
              </w:rPr>
              <w:t xml:space="preserve"> </w:t>
            </w:r>
            <w:r>
              <w:rPr>
                <w:rFonts w:ascii="Arial"/>
                <w:spacing w:val="-1"/>
              </w:rPr>
              <w:t>and</w:t>
            </w:r>
          </w:p>
          <w:p w:rsidR="008918FA" w:rsidRDefault="008918FA" w:rsidP="005D2B81">
            <w:pPr>
              <w:pStyle w:val="ListParagraph"/>
              <w:numPr>
                <w:ilvl w:val="1"/>
                <w:numId w:val="45"/>
              </w:numPr>
              <w:tabs>
                <w:tab w:val="left" w:pos="1180"/>
              </w:tabs>
              <w:spacing w:before="121"/>
              <w:rPr>
                <w:rFonts w:ascii="Arial" w:eastAsia="Arial" w:hAnsi="Arial" w:cs="Arial"/>
              </w:rPr>
            </w:pPr>
            <w:r>
              <w:rPr>
                <w:rFonts w:ascii="Arial"/>
                <w:spacing w:val="-1"/>
              </w:rPr>
              <w:t>any</w:t>
            </w:r>
            <w:r>
              <w:rPr>
                <w:rFonts w:ascii="Arial"/>
                <w:spacing w:val="-2"/>
              </w:rPr>
              <w:t xml:space="preserve"> </w:t>
            </w:r>
            <w:r>
              <w:rPr>
                <w:rFonts w:ascii="Arial"/>
                <w:spacing w:val="-1"/>
              </w:rPr>
              <w:t>failure</w:t>
            </w:r>
            <w:r>
              <w:rPr>
                <w:rFonts w:ascii="Arial"/>
                <w:spacing w:val="-2"/>
              </w:rPr>
              <w:t xml:space="preserve"> of</w:t>
            </w:r>
            <w:r>
              <w:rPr>
                <w:rFonts w:ascii="Arial"/>
                <w:spacing w:val="2"/>
              </w:rPr>
              <w:t xml:space="preserve"> </w:t>
            </w:r>
            <w:r>
              <w:rPr>
                <w:rFonts w:ascii="Arial"/>
                <w:spacing w:val="-1"/>
              </w:rPr>
              <w:t>delay</w:t>
            </w:r>
            <w:r>
              <w:rPr>
                <w:rFonts w:ascii="Arial"/>
                <w:spacing w:val="-2"/>
              </w:rPr>
              <w:t xml:space="preserve"> </w:t>
            </w:r>
            <w:r>
              <w:rPr>
                <w:rFonts w:ascii="Arial"/>
                <w:spacing w:val="-1"/>
              </w:rPr>
              <w:t>caused</w:t>
            </w:r>
            <w:r>
              <w:rPr>
                <w:rFonts w:ascii="Arial"/>
              </w:rPr>
              <w:t xml:space="preserve"> </w:t>
            </w:r>
            <w:r>
              <w:rPr>
                <w:rFonts w:ascii="Arial"/>
                <w:spacing w:val="-1"/>
              </w:rPr>
              <w:t>by</w:t>
            </w:r>
            <w:r>
              <w:rPr>
                <w:rFonts w:ascii="Arial"/>
                <w:spacing w:val="-2"/>
              </w:rPr>
              <w:t xml:space="preserve"> </w:t>
            </w:r>
            <w:r>
              <w:rPr>
                <w:rFonts w:ascii="Arial"/>
              </w:rPr>
              <w:t xml:space="preserve">a </w:t>
            </w:r>
            <w:r>
              <w:rPr>
                <w:rFonts w:ascii="Arial"/>
                <w:spacing w:val="-2"/>
              </w:rPr>
              <w:t>lack</w:t>
            </w:r>
            <w:r>
              <w:rPr>
                <w:rFonts w:ascii="Arial"/>
                <w:spacing w:val="3"/>
              </w:rPr>
              <w:t xml:space="preserve"> </w:t>
            </w:r>
            <w:r>
              <w:rPr>
                <w:rFonts w:ascii="Arial"/>
                <w:spacing w:val="-2"/>
              </w:rPr>
              <w:t>of</w:t>
            </w:r>
            <w:r>
              <w:rPr>
                <w:rFonts w:ascii="Arial"/>
              </w:rPr>
              <w:t xml:space="preserve"> </w:t>
            </w:r>
            <w:r>
              <w:rPr>
                <w:rFonts w:ascii="Arial"/>
                <w:spacing w:val="-1"/>
              </w:rPr>
              <w:t>funds;</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800"/>
              <w:rPr>
                <w:rFonts w:ascii="Arial" w:eastAsia="Arial" w:hAnsi="Arial" w:cs="Arial"/>
              </w:rPr>
            </w:pPr>
            <w:r>
              <w:rPr>
                <w:rFonts w:ascii="Arial"/>
                <w:b/>
                <w:spacing w:val="-1"/>
              </w:rPr>
              <w:t>"Force</w:t>
            </w:r>
            <w:r>
              <w:rPr>
                <w:rFonts w:ascii="Arial"/>
                <w:b/>
                <w:spacing w:val="-2"/>
              </w:rPr>
              <w:t xml:space="preserve"> </w:t>
            </w:r>
            <w:r>
              <w:rPr>
                <w:rFonts w:ascii="Arial"/>
                <w:b/>
                <w:spacing w:val="-1"/>
              </w:rPr>
              <w:t>Majeure</w:t>
            </w:r>
            <w:r>
              <w:rPr>
                <w:rFonts w:ascii="Arial"/>
                <w:b/>
                <w:spacing w:val="26"/>
              </w:rPr>
              <w:t xml:space="preserve"> </w:t>
            </w:r>
            <w:r>
              <w:rPr>
                <w:rFonts w:ascii="Arial"/>
                <w:b/>
                <w:spacing w:val="-1"/>
              </w:rPr>
              <w:t>Notice"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37"/>
              </w:rPr>
              <w:t xml:space="preserve"> </w:t>
            </w:r>
            <w:r>
              <w:rPr>
                <w:rFonts w:ascii="Arial"/>
              </w:rPr>
              <w:t>a</w:t>
            </w:r>
            <w:r>
              <w:rPr>
                <w:rFonts w:ascii="Arial"/>
                <w:spacing w:val="36"/>
              </w:rPr>
              <w:t xml:space="preserve"> </w:t>
            </w:r>
            <w:r>
              <w:rPr>
                <w:rFonts w:ascii="Arial"/>
                <w:spacing w:val="-1"/>
              </w:rPr>
              <w:t>written</w:t>
            </w:r>
            <w:r>
              <w:rPr>
                <w:rFonts w:ascii="Arial"/>
                <w:spacing w:val="36"/>
              </w:rPr>
              <w:t xml:space="preserve"> </w:t>
            </w:r>
            <w:r>
              <w:rPr>
                <w:rFonts w:ascii="Arial"/>
                <w:spacing w:val="-1"/>
              </w:rPr>
              <w:t>notice</w:t>
            </w:r>
            <w:r>
              <w:rPr>
                <w:rFonts w:ascii="Arial"/>
                <w:spacing w:val="37"/>
              </w:rPr>
              <w:t xml:space="preserve"> </w:t>
            </w:r>
            <w:r>
              <w:rPr>
                <w:rFonts w:ascii="Arial"/>
                <w:spacing w:val="-1"/>
              </w:rPr>
              <w:t>served</w:t>
            </w:r>
            <w:r>
              <w:rPr>
                <w:rFonts w:ascii="Arial"/>
                <w:spacing w:val="36"/>
              </w:rPr>
              <w:t xml:space="preserve"> </w:t>
            </w:r>
            <w:r>
              <w:rPr>
                <w:rFonts w:ascii="Arial"/>
                <w:spacing w:val="-1"/>
              </w:rPr>
              <w:t>by</w:t>
            </w:r>
            <w:r>
              <w:rPr>
                <w:rFonts w:ascii="Arial"/>
                <w:spacing w:val="37"/>
              </w:rPr>
              <w:t xml:space="preserve"> </w:t>
            </w:r>
            <w:r>
              <w:rPr>
                <w:rFonts w:ascii="Arial"/>
              </w:rPr>
              <w:t>the</w:t>
            </w:r>
            <w:r>
              <w:rPr>
                <w:rFonts w:ascii="Arial"/>
                <w:spacing w:val="37"/>
              </w:rPr>
              <w:t xml:space="preserve"> </w:t>
            </w:r>
            <w:r>
              <w:rPr>
                <w:rFonts w:ascii="Arial"/>
                <w:spacing w:val="-1"/>
              </w:rPr>
              <w:t>Affected</w:t>
            </w:r>
            <w:r>
              <w:rPr>
                <w:rFonts w:ascii="Arial"/>
                <w:spacing w:val="34"/>
              </w:rPr>
              <w:t xml:space="preserve"> </w:t>
            </w:r>
            <w:r>
              <w:rPr>
                <w:rFonts w:ascii="Arial"/>
                <w:spacing w:val="-1"/>
              </w:rPr>
              <w:t>Party</w:t>
            </w:r>
            <w:r>
              <w:rPr>
                <w:rFonts w:ascii="Arial"/>
                <w:spacing w:val="34"/>
              </w:rPr>
              <w:t xml:space="preserve"> </w:t>
            </w:r>
            <w:r>
              <w:rPr>
                <w:rFonts w:ascii="Arial"/>
                <w:spacing w:val="-1"/>
              </w:rPr>
              <w:t>on</w:t>
            </w:r>
            <w:r>
              <w:rPr>
                <w:rFonts w:ascii="Arial"/>
                <w:spacing w:val="38"/>
              </w:rPr>
              <w:t xml:space="preserve"> </w:t>
            </w:r>
            <w:r>
              <w:rPr>
                <w:rFonts w:ascii="Arial"/>
              </w:rPr>
              <w:t>the</w:t>
            </w:r>
            <w:r>
              <w:rPr>
                <w:rFonts w:ascii="Arial"/>
                <w:spacing w:val="51"/>
              </w:rPr>
              <w:t xml:space="preserve"> </w:t>
            </w:r>
            <w:r>
              <w:rPr>
                <w:rFonts w:ascii="Arial"/>
                <w:spacing w:val="-1"/>
              </w:rPr>
              <w:t>other</w:t>
            </w:r>
            <w:r>
              <w:rPr>
                <w:rFonts w:ascii="Arial"/>
                <w:spacing w:val="52"/>
              </w:rPr>
              <w:t xml:space="preserve"> </w:t>
            </w:r>
            <w:r>
              <w:rPr>
                <w:rFonts w:ascii="Arial"/>
                <w:spacing w:val="-1"/>
              </w:rPr>
              <w:t>Party</w:t>
            </w:r>
            <w:r>
              <w:rPr>
                <w:rFonts w:ascii="Arial"/>
                <w:spacing w:val="49"/>
              </w:rPr>
              <w:t xml:space="preserve"> </w:t>
            </w:r>
            <w:r>
              <w:rPr>
                <w:rFonts w:ascii="Arial"/>
                <w:spacing w:val="-1"/>
              </w:rPr>
              <w:t>stating</w:t>
            </w:r>
            <w:r>
              <w:rPr>
                <w:rFonts w:ascii="Arial"/>
                <w:spacing w:val="51"/>
              </w:rPr>
              <w:t xml:space="preserve"> </w:t>
            </w:r>
            <w:r>
              <w:rPr>
                <w:rFonts w:ascii="Arial"/>
                <w:spacing w:val="-1"/>
              </w:rPr>
              <w:t>that</w:t>
            </w:r>
            <w:r>
              <w:rPr>
                <w:rFonts w:ascii="Arial"/>
                <w:spacing w:val="50"/>
              </w:rPr>
              <w:t xml:space="preserve"> </w:t>
            </w:r>
            <w:r>
              <w:rPr>
                <w:rFonts w:ascii="Arial"/>
              </w:rPr>
              <w:t>the</w:t>
            </w:r>
            <w:r>
              <w:rPr>
                <w:rFonts w:ascii="Arial"/>
                <w:spacing w:val="51"/>
              </w:rPr>
              <w:t xml:space="preserve"> </w:t>
            </w:r>
            <w:r>
              <w:rPr>
                <w:rFonts w:ascii="Arial"/>
                <w:spacing w:val="-1"/>
              </w:rPr>
              <w:t>Affected</w:t>
            </w:r>
            <w:r>
              <w:rPr>
                <w:rFonts w:ascii="Arial"/>
                <w:spacing w:val="52"/>
              </w:rPr>
              <w:t xml:space="preserve"> </w:t>
            </w:r>
            <w:r>
              <w:rPr>
                <w:rFonts w:ascii="Arial"/>
                <w:spacing w:val="-1"/>
              </w:rPr>
              <w:t>Party</w:t>
            </w:r>
            <w:r>
              <w:rPr>
                <w:rFonts w:ascii="Arial"/>
                <w:spacing w:val="49"/>
              </w:rPr>
              <w:t xml:space="preserve"> </w:t>
            </w:r>
            <w:r>
              <w:rPr>
                <w:rFonts w:ascii="Arial"/>
                <w:spacing w:val="-2"/>
              </w:rPr>
              <w:t>believes</w:t>
            </w:r>
            <w:r>
              <w:rPr>
                <w:rFonts w:ascii="Arial"/>
                <w:spacing w:val="46"/>
              </w:rPr>
              <w:t xml:space="preserve"> </w:t>
            </w:r>
            <w:r>
              <w:rPr>
                <w:rFonts w:ascii="Arial"/>
                <w:spacing w:val="-1"/>
              </w:rPr>
              <w:t>that</w:t>
            </w:r>
            <w:r>
              <w:rPr>
                <w:rFonts w:ascii="Arial"/>
              </w:rPr>
              <w:t xml:space="preserve"> </w:t>
            </w:r>
            <w:r>
              <w:rPr>
                <w:rFonts w:ascii="Arial"/>
                <w:spacing w:val="-1"/>
              </w:rPr>
              <w:t>there</w:t>
            </w:r>
            <w:r>
              <w:rPr>
                <w:rFonts w:ascii="Arial"/>
              </w:rPr>
              <w:t xml:space="preserve"> </w:t>
            </w:r>
            <w:r>
              <w:rPr>
                <w:rFonts w:ascii="Arial"/>
                <w:spacing w:val="-1"/>
              </w:rPr>
              <w:t>is</w:t>
            </w:r>
            <w:r>
              <w:rPr>
                <w:rFonts w:ascii="Arial"/>
                <w:spacing w:val="-2"/>
              </w:rPr>
              <w:t xml:space="preserve"> </w:t>
            </w:r>
            <w:r>
              <w:rPr>
                <w:rFonts w:ascii="Arial"/>
              </w:rPr>
              <w:t xml:space="preserve">a </w:t>
            </w:r>
            <w:r>
              <w:rPr>
                <w:rFonts w:ascii="Arial"/>
                <w:spacing w:val="-1"/>
              </w:rPr>
              <w:t>Force</w:t>
            </w:r>
            <w:r>
              <w:rPr>
                <w:rFonts w:ascii="Arial"/>
                <w:spacing w:val="1"/>
              </w:rPr>
              <w:t xml:space="preserve"> </w:t>
            </w:r>
            <w:r>
              <w:rPr>
                <w:rFonts w:ascii="Arial"/>
                <w:spacing w:val="-2"/>
              </w:rPr>
              <w:t>Majeure</w:t>
            </w:r>
            <w:r>
              <w:rPr>
                <w:rFonts w:ascii="Arial"/>
              </w:rPr>
              <w:t xml:space="preserve"> </w:t>
            </w:r>
            <w:r>
              <w:rPr>
                <w:rFonts w:ascii="Arial"/>
                <w:spacing w:val="-1"/>
              </w:rPr>
              <w:t>Event;</w:t>
            </w:r>
          </w:p>
        </w:tc>
      </w:tr>
      <w:tr w:rsidR="008918FA" w:rsidTr="005D2B81">
        <w:trPr>
          <w:trHeight w:hRule="exact" w:val="165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"Former</w:t>
            </w:r>
            <w:r>
              <w:rPr>
                <w:rFonts w:ascii="Arial"/>
                <w:b/>
                <w:spacing w:val="1"/>
              </w:rPr>
              <w:t xml:space="preserve"> </w:t>
            </w:r>
            <w:r>
              <w:rPr>
                <w:rFonts w:ascii="Arial"/>
                <w:b/>
                <w:spacing w:val="-1"/>
              </w:rPr>
              <w:t>Supplier"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22"/>
              </w:rPr>
              <w:t xml:space="preserve"> </w:t>
            </w:r>
            <w:r>
              <w:rPr>
                <w:rFonts w:ascii="Arial"/>
              </w:rPr>
              <w:t>a</w:t>
            </w:r>
            <w:r>
              <w:rPr>
                <w:rFonts w:ascii="Arial"/>
                <w:spacing w:val="22"/>
              </w:rPr>
              <w:t xml:space="preserve"> </w:t>
            </w:r>
            <w:r>
              <w:rPr>
                <w:rFonts w:ascii="Arial"/>
                <w:spacing w:val="-1"/>
              </w:rPr>
              <w:t>supplier</w:t>
            </w:r>
            <w:r>
              <w:rPr>
                <w:rFonts w:ascii="Arial"/>
                <w:spacing w:val="23"/>
              </w:rPr>
              <w:t xml:space="preserve"> </w:t>
            </w:r>
            <w:r>
              <w:rPr>
                <w:rFonts w:ascii="Arial"/>
                <w:spacing w:val="-2"/>
              </w:rPr>
              <w:t>supplying</w:t>
            </w:r>
            <w:r>
              <w:rPr>
                <w:rFonts w:ascii="Arial"/>
                <w:spacing w:val="24"/>
              </w:rPr>
              <w:t xml:space="preserve"> </w:t>
            </w:r>
            <w:r>
              <w:rPr>
                <w:rFonts w:ascii="Arial"/>
              </w:rPr>
              <w:t>the</w:t>
            </w:r>
            <w:r>
              <w:rPr>
                <w:rFonts w:ascii="Arial"/>
                <w:spacing w:val="20"/>
              </w:rPr>
              <w:t xml:space="preserve"> </w:t>
            </w:r>
            <w:r>
              <w:rPr>
                <w:rFonts w:ascii="Arial"/>
                <w:spacing w:val="-1"/>
              </w:rPr>
              <w:t>goods</w:t>
            </w:r>
            <w:r>
              <w:rPr>
                <w:rFonts w:ascii="Arial"/>
                <w:spacing w:val="22"/>
              </w:rPr>
              <w:t xml:space="preserve"> </w:t>
            </w:r>
            <w:r>
              <w:rPr>
                <w:rFonts w:ascii="Arial"/>
                <w:spacing w:val="-2"/>
              </w:rPr>
              <w:t>and/or</w:t>
            </w:r>
            <w:r>
              <w:rPr>
                <w:rFonts w:ascii="Arial"/>
                <w:spacing w:val="23"/>
              </w:rPr>
              <w:t xml:space="preserve"> </w:t>
            </w:r>
            <w:r>
              <w:rPr>
                <w:rFonts w:ascii="Arial"/>
                <w:spacing w:val="-2"/>
              </w:rPr>
              <w:t>services</w:t>
            </w:r>
            <w:r>
              <w:rPr>
                <w:rFonts w:ascii="Arial"/>
                <w:spacing w:val="25"/>
              </w:rPr>
              <w:t xml:space="preserve"> </w:t>
            </w:r>
            <w:r>
              <w:rPr>
                <w:rFonts w:ascii="Arial"/>
              </w:rPr>
              <w:t>to</w:t>
            </w:r>
            <w:r>
              <w:rPr>
                <w:rFonts w:ascii="Arial"/>
                <w:spacing w:val="51"/>
              </w:rPr>
              <w:t xml:space="preserve"> </w:t>
            </w:r>
            <w:r>
              <w:rPr>
                <w:rFonts w:ascii="Arial"/>
              </w:rPr>
              <w:t>the</w:t>
            </w:r>
            <w:r>
              <w:rPr>
                <w:rFonts w:ascii="Arial"/>
                <w:spacing w:val="20"/>
              </w:rPr>
              <w:t xml:space="preserve"> </w:t>
            </w:r>
            <w:r>
              <w:rPr>
                <w:rFonts w:ascii="Arial"/>
                <w:spacing w:val="-1"/>
              </w:rPr>
              <w:t>Customer</w:t>
            </w:r>
            <w:r>
              <w:rPr>
                <w:rFonts w:ascii="Arial"/>
                <w:spacing w:val="19"/>
              </w:rPr>
              <w:t xml:space="preserve"> </w:t>
            </w:r>
            <w:r>
              <w:rPr>
                <w:rFonts w:ascii="Arial"/>
                <w:spacing w:val="-1"/>
              </w:rPr>
              <w:t>before</w:t>
            </w:r>
            <w:r>
              <w:rPr>
                <w:rFonts w:ascii="Arial"/>
                <w:spacing w:val="17"/>
              </w:rPr>
              <w:t xml:space="preserve"> </w:t>
            </w:r>
            <w:r>
              <w:rPr>
                <w:rFonts w:ascii="Arial"/>
              </w:rPr>
              <w:t>the</w:t>
            </w:r>
            <w:r>
              <w:rPr>
                <w:rFonts w:ascii="Arial"/>
                <w:spacing w:val="17"/>
              </w:rPr>
              <w:t xml:space="preserve"> </w:t>
            </w:r>
            <w:r>
              <w:rPr>
                <w:rFonts w:ascii="Arial"/>
                <w:spacing w:val="-2"/>
              </w:rPr>
              <w:t>Relevant</w:t>
            </w:r>
            <w:r>
              <w:rPr>
                <w:rFonts w:ascii="Arial"/>
                <w:spacing w:val="21"/>
              </w:rPr>
              <w:t xml:space="preserve"> </w:t>
            </w:r>
            <w:r>
              <w:rPr>
                <w:rFonts w:ascii="Arial"/>
                <w:spacing w:val="-1"/>
              </w:rPr>
              <w:t>Transfer</w:t>
            </w:r>
            <w:r>
              <w:rPr>
                <w:rFonts w:ascii="Arial"/>
                <w:spacing w:val="19"/>
              </w:rPr>
              <w:t xml:space="preserve"> </w:t>
            </w:r>
            <w:r>
              <w:rPr>
                <w:rFonts w:ascii="Arial"/>
                <w:spacing w:val="-1"/>
              </w:rPr>
              <w:t>Date</w:t>
            </w:r>
            <w:r>
              <w:rPr>
                <w:rFonts w:ascii="Arial"/>
                <w:spacing w:val="17"/>
              </w:rPr>
              <w:t xml:space="preserve"> </w:t>
            </w:r>
            <w:r>
              <w:rPr>
                <w:rFonts w:ascii="Arial"/>
                <w:spacing w:val="-1"/>
              </w:rPr>
              <w:t>that</w:t>
            </w:r>
            <w:r>
              <w:rPr>
                <w:rFonts w:ascii="Arial"/>
                <w:spacing w:val="19"/>
              </w:rPr>
              <w:t xml:space="preserve"> </w:t>
            </w:r>
            <w:r>
              <w:rPr>
                <w:rFonts w:ascii="Arial"/>
                <w:spacing w:val="-1"/>
              </w:rPr>
              <w:t>are</w:t>
            </w:r>
            <w:r>
              <w:rPr>
                <w:rFonts w:ascii="Arial"/>
                <w:spacing w:val="41"/>
              </w:rPr>
              <w:t xml:space="preserve"> </w:t>
            </w:r>
            <w:r>
              <w:rPr>
                <w:rFonts w:ascii="Arial"/>
              </w:rPr>
              <w:t>the</w:t>
            </w:r>
            <w:r>
              <w:rPr>
                <w:rFonts w:ascii="Arial"/>
                <w:spacing w:val="27"/>
              </w:rPr>
              <w:t xml:space="preserve"> </w:t>
            </w:r>
            <w:r>
              <w:rPr>
                <w:rFonts w:ascii="Arial"/>
                <w:spacing w:val="-1"/>
              </w:rPr>
              <w:t>same</w:t>
            </w:r>
            <w:r>
              <w:rPr>
                <w:rFonts w:ascii="Arial"/>
                <w:spacing w:val="27"/>
              </w:rPr>
              <w:t xml:space="preserve"> </w:t>
            </w:r>
            <w:r>
              <w:rPr>
                <w:rFonts w:ascii="Arial"/>
                <w:spacing w:val="-1"/>
              </w:rPr>
              <w:t>as</w:t>
            </w:r>
            <w:r>
              <w:rPr>
                <w:rFonts w:ascii="Arial"/>
                <w:spacing w:val="27"/>
              </w:rPr>
              <w:t xml:space="preserve"> </w:t>
            </w:r>
            <w:r>
              <w:rPr>
                <w:rFonts w:ascii="Arial"/>
                <w:spacing w:val="-2"/>
              </w:rPr>
              <w:t>or</w:t>
            </w:r>
            <w:r>
              <w:rPr>
                <w:rFonts w:ascii="Arial"/>
                <w:spacing w:val="28"/>
              </w:rPr>
              <w:t xml:space="preserve"> </w:t>
            </w:r>
            <w:r>
              <w:rPr>
                <w:rFonts w:ascii="Arial"/>
                <w:spacing w:val="-2"/>
              </w:rPr>
              <w:t>substantially</w:t>
            </w:r>
            <w:r>
              <w:rPr>
                <w:rFonts w:ascii="Arial"/>
                <w:spacing w:val="25"/>
              </w:rPr>
              <w:t xml:space="preserve"> </w:t>
            </w:r>
            <w:r>
              <w:rPr>
                <w:rFonts w:ascii="Arial"/>
                <w:spacing w:val="-1"/>
              </w:rPr>
              <w:t>similar</w:t>
            </w:r>
            <w:r>
              <w:rPr>
                <w:rFonts w:ascii="Arial"/>
                <w:spacing w:val="28"/>
              </w:rPr>
              <w:t xml:space="preserve"> </w:t>
            </w:r>
            <w:r>
              <w:rPr>
                <w:rFonts w:ascii="Arial"/>
              </w:rPr>
              <w:t>to</w:t>
            </w:r>
            <w:r>
              <w:rPr>
                <w:rFonts w:ascii="Arial"/>
                <w:spacing w:val="27"/>
              </w:rPr>
              <w:t xml:space="preserve"> </w:t>
            </w:r>
            <w:r>
              <w:rPr>
                <w:rFonts w:ascii="Arial"/>
              </w:rPr>
              <w:t>the</w:t>
            </w:r>
            <w:r>
              <w:rPr>
                <w:rFonts w:ascii="Arial"/>
                <w:spacing w:val="27"/>
              </w:rPr>
              <w:t xml:space="preserve"> </w:t>
            </w:r>
            <w:r>
              <w:rPr>
                <w:rFonts w:ascii="Arial"/>
                <w:spacing w:val="-1"/>
              </w:rPr>
              <w:t>Goods</w:t>
            </w:r>
            <w:r>
              <w:rPr>
                <w:rFonts w:ascii="Arial"/>
                <w:spacing w:val="27"/>
              </w:rPr>
              <w:t xml:space="preserve"> </w:t>
            </w:r>
            <w:r>
              <w:rPr>
                <w:rFonts w:ascii="Arial"/>
                <w:spacing w:val="-1"/>
              </w:rPr>
              <w:t>and/or</w:t>
            </w:r>
            <w:r>
              <w:rPr>
                <w:rFonts w:ascii="Arial"/>
                <w:spacing w:val="35"/>
              </w:rPr>
              <w:t xml:space="preserve"> </w:t>
            </w:r>
            <w:r>
              <w:rPr>
                <w:rFonts w:ascii="Arial"/>
                <w:spacing w:val="-1"/>
              </w:rPr>
              <w:t>Services</w:t>
            </w:r>
            <w:r>
              <w:rPr>
                <w:rFonts w:ascii="Arial"/>
                <w:spacing w:val="25"/>
              </w:rPr>
              <w:t xml:space="preserve"> </w:t>
            </w:r>
            <w:r>
              <w:rPr>
                <w:rFonts w:ascii="Arial"/>
                <w:spacing w:val="-1"/>
              </w:rPr>
              <w:t>(or</w:t>
            </w:r>
            <w:r>
              <w:rPr>
                <w:rFonts w:ascii="Arial"/>
                <w:spacing w:val="26"/>
              </w:rPr>
              <w:t xml:space="preserve"> </w:t>
            </w:r>
            <w:r>
              <w:rPr>
                <w:rFonts w:ascii="Arial"/>
                <w:spacing w:val="-1"/>
              </w:rPr>
              <w:t>any</w:t>
            </w:r>
            <w:r>
              <w:rPr>
                <w:rFonts w:ascii="Arial"/>
                <w:spacing w:val="22"/>
              </w:rPr>
              <w:t xml:space="preserve"> </w:t>
            </w:r>
            <w:r>
              <w:rPr>
                <w:rFonts w:ascii="Arial"/>
                <w:spacing w:val="-1"/>
              </w:rPr>
              <w:t>part</w:t>
            </w:r>
            <w:r>
              <w:rPr>
                <w:rFonts w:ascii="Arial"/>
                <w:spacing w:val="26"/>
              </w:rPr>
              <w:t xml:space="preserve"> </w:t>
            </w:r>
            <w:r>
              <w:rPr>
                <w:rFonts w:ascii="Arial"/>
                <w:spacing w:val="-1"/>
              </w:rPr>
              <w:t>of</w:t>
            </w:r>
            <w:r>
              <w:rPr>
                <w:rFonts w:ascii="Arial"/>
                <w:spacing w:val="26"/>
              </w:rPr>
              <w:t xml:space="preserve"> </w:t>
            </w:r>
            <w:r>
              <w:rPr>
                <w:rFonts w:ascii="Arial"/>
              </w:rPr>
              <w:t>the</w:t>
            </w:r>
            <w:r>
              <w:rPr>
                <w:rFonts w:ascii="Arial"/>
                <w:spacing w:val="24"/>
              </w:rPr>
              <w:t xml:space="preserve"> </w:t>
            </w:r>
            <w:r>
              <w:rPr>
                <w:rFonts w:ascii="Arial"/>
                <w:spacing w:val="-1"/>
              </w:rPr>
              <w:t>Goods</w:t>
            </w:r>
            <w:r>
              <w:rPr>
                <w:rFonts w:ascii="Arial"/>
                <w:spacing w:val="25"/>
              </w:rPr>
              <w:t xml:space="preserve"> </w:t>
            </w:r>
            <w:r>
              <w:rPr>
                <w:rFonts w:ascii="Arial"/>
                <w:spacing w:val="-1"/>
              </w:rPr>
              <w:t>and/or</w:t>
            </w:r>
            <w:r>
              <w:rPr>
                <w:rFonts w:ascii="Arial"/>
                <w:spacing w:val="26"/>
              </w:rPr>
              <w:t xml:space="preserve"> </w:t>
            </w:r>
            <w:r>
              <w:rPr>
                <w:rFonts w:ascii="Arial"/>
                <w:spacing w:val="-1"/>
              </w:rPr>
              <w:t>Services)</w:t>
            </w:r>
            <w:r>
              <w:rPr>
                <w:rFonts w:ascii="Arial"/>
                <w:spacing w:val="26"/>
              </w:rPr>
              <w:t xml:space="preserve"> </w:t>
            </w:r>
            <w:r>
              <w:rPr>
                <w:rFonts w:ascii="Arial"/>
                <w:spacing w:val="-1"/>
              </w:rPr>
              <w:t>and</w:t>
            </w:r>
            <w:r>
              <w:rPr>
                <w:rFonts w:ascii="Arial"/>
                <w:spacing w:val="20"/>
              </w:rPr>
              <w:t xml:space="preserve"> </w:t>
            </w:r>
            <w:r>
              <w:rPr>
                <w:rFonts w:ascii="Arial"/>
                <w:spacing w:val="-1"/>
              </w:rPr>
              <w:t>shall</w:t>
            </w:r>
            <w:r>
              <w:rPr>
                <w:rFonts w:ascii="Arial"/>
                <w:spacing w:val="28"/>
              </w:rPr>
              <w:t xml:space="preserve"> </w:t>
            </w:r>
            <w:r>
              <w:rPr>
                <w:rFonts w:ascii="Arial"/>
                <w:spacing w:val="-1"/>
              </w:rPr>
              <w:t>include</w:t>
            </w:r>
            <w:r>
              <w:rPr>
                <w:rFonts w:ascii="Arial"/>
                <w:spacing w:val="29"/>
              </w:rPr>
              <w:t xml:space="preserve"> </w:t>
            </w:r>
            <w:r>
              <w:rPr>
                <w:rFonts w:ascii="Arial"/>
                <w:spacing w:val="-1"/>
              </w:rPr>
              <w:t>any</w:t>
            </w:r>
            <w:r>
              <w:rPr>
                <w:rFonts w:ascii="Arial"/>
                <w:spacing w:val="27"/>
              </w:rPr>
              <w:t xml:space="preserve"> </w:t>
            </w:r>
            <w:r>
              <w:rPr>
                <w:rFonts w:ascii="Arial"/>
                <w:spacing w:val="-1"/>
              </w:rPr>
              <w:t>sub-contractor</w:t>
            </w:r>
            <w:r>
              <w:rPr>
                <w:rFonts w:ascii="Arial"/>
                <w:spacing w:val="28"/>
              </w:rPr>
              <w:t xml:space="preserve"> </w:t>
            </w:r>
            <w:r>
              <w:rPr>
                <w:rFonts w:ascii="Arial"/>
                <w:spacing w:val="-2"/>
              </w:rPr>
              <w:t>of</w:t>
            </w:r>
            <w:r>
              <w:rPr>
                <w:rFonts w:ascii="Arial"/>
                <w:spacing w:val="30"/>
              </w:rPr>
              <w:t xml:space="preserve"> </w:t>
            </w:r>
            <w:r>
              <w:rPr>
                <w:rFonts w:ascii="Arial"/>
                <w:spacing w:val="-1"/>
              </w:rPr>
              <w:t>such</w:t>
            </w:r>
            <w:r>
              <w:rPr>
                <w:rFonts w:ascii="Arial"/>
                <w:spacing w:val="27"/>
              </w:rPr>
              <w:t xml:space="preserve"> </w:t>
            </w:r>
            <w:r>
              <w:rPr>
                <w:rFonts w:ascii="Arial"/>
                <w:spacing w:val="-1"/>
              </w:rPr>
              <w:t>supplier</w:t>
            </w:r>
            <w:r>
              <w:rPr>
                <w:rFonts w:ascii="Arial"/>
                <w:spacing w:val="30"/>
              </w:rPr>
              <w:t xml:space="preserve"> </w:t>
            </w:r>
            <w:r>
              <w:rPr>
                <w:rFonts w:ascii="Arial"/>
                <w:spacing w:val="-1"/>
              </w:rPr>
              <w:t>(or</w:t>
            </w:r>
            <w:r>
              <w:rPr>
                <w:rFonts w:ascii="Arial"/>
                <w:spacing w:val="28"/>
              </w:rPr>
              <w:t xml:space="preserve"> </w:t>
            </w:r>
            <w:r>
              <w:rPr>
                <w:rFonts w:ascii="Arial"/>
                <w:spacing w:val="-1"/>
              </w:rPr>
              <w:t>any</w:t>
            </w:r>
            <w:r>
              <w:rPr>
                <w:rFonts w:ascii="Arial"/>
                <w:spacing w:val="32"/>
              </w:rPr>
              <w:t xml:space="preserve"> </w:t>
            </w:r>
            <w:r>
              <w:rPr>
                <w:rFonts w:ascii="Arial"/>
                <w:spacing w:val="-1"/>
              </w:rPr>
              <w:t xml:space="preserve">sub-contractor </w:t>
            </w:r>
            <w:r>
              <w:rPr>
                <w:rFonts w:ascii="Arial"/>
                <w:spacing w:val="-2"/>
              </w:rPr>
              <w:t>of</w:t>
            </w:r>
            <w:r>
              <w:rPr>
                <w:rFonts w:ascii="Arial"/>
                <w:spacing w:val="2"/>
              </w:rPr>
              <w:t xml:space="preserve"> </w:t>
            </w:r>
            <w:r>
              <w:rPr>
                <w:rFonts w:ascii="Arial"/>
                <w:spacing w:val="-1"/>
              </w:rPr>
              <w:t>any</w:t>
            </w:r>
            <w:r>
              <w:rPr>
                <w:rFonts w:ascii="Arial"/>
                <w:spacing w:val="-2"/>
              </w:rPr>
              <w:t xml:space="preserve"> such</w:t>
            </w:r>
            <w:r>
              <w:rPr>
                <w:rFonts w:ascii="Arial"/>
                <w:spacing w:val="1"/>
              </w:rPr>
              <w:t xml:space="preserve"> </w:t>
            </w:r>
            <w:r>
              <w:rPr>
                <w:rFonts w:ascii="Arial"/>
                <w:spacing w:val="-1"/>
              </w:rPr>
              <w:t>sub-contractor);</w:t>
            </w:r>
          </w:p>
        </w:tc>
      </w:tr>
      <w:tr w:rsidR="008918FA" w:rsidTr="005D2B81">
        <w:trPr>
          <w:trHeight w:hRule="exact" w:val="64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1117"/>
              <w:rPr>
                <w:rFonts w:ascii="Arial" w:eastAsia="Arial" w:hAnsi="Arial" w:cs="Arial"/>
              </w:rPr>
            </w:pPr>
            <w:r>
              <w:rPr>
                <w:rFonts w:ascii="Arial"/>
                <w:b/>
                <w:spacing w:val="-1"/>
              </w:rPr>
              <w:t>"Framework</w:t>
            </w:r>
            <w:r>
              <w:rPr>
                <w:rFonts w:ascii="Arial"/>
                <w:b/>
                <w:spacing w:val="24"/>
              </w:rPr>
              <w:t xml:space="preserve"> </w:t>
            </w:r>
            <w:r>
              <w:rPr>
                <w:rFonts w:ascii="Arial"/>
                <w:b/>
                <w:spacing w:val="-1"/>
              </w:rPr>
              <w:t>Agreement"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rPr>
                <w:rFonts w:ascii="Arial" w:eastAsia="Arial" w:hAnsi="Arial" w:cs="Arial"/>
              </w:rPr>
            </w:pPr>
            <w:r>
              <w:rPr>
                <w:rFonts w:ascii="Arial"/>
                <w:spacing w:val="-1"/>
              </w:rPr>
              <w:t>means</w:t>
            </w:r>
            <w:r>
              <w:rPr>
                <w:rFonts w:ascii="Arial"/>
                <w:spacing w:val="41"/>
              </w:rPr>
              <w:t xml:space="preserve"> </w:t>
            </w:r>
            <w:r>
              <w:rPr>
                <w:rFonts w:ascii="Arial"/>
              </w:rPr>
              <w:t>the</w:t>
            </w:r>
            <w:r>
              <w:rPr>
                <w:rFonts w:ascii="Arial"/>
                <w:spacing w:val="38"/>
              </w:rPr>
              <w:t xml:space="preserve"> </w:t>
            </w:r>
            <w:r>
              <w:rPr>
                <w:rFonts w:ascii="Arial"/>
                <w:spacing w:val="-1"/>
              </w:rPr>
              <w:t>framework</w:t>
            </w:r>
            <w:r>
              <w:rPr>
                <w:rFonts w:ascii="Arial"/>
                <w:spacing w:val="44"/>
              </w:rPr>
              <w:t xml:space="preserve"> </w:t>
            </w:r>
            <w:r>
              <w:rPr>
                <w:rFonts w:ascii="Arial"/>
                <w:spacing w:val="-1"/>
              </w:rPr>
              <w:t>agreement</w:t>
            </w:r>
            <w:r>
              <w:rPr>
                <w:rFonts w:ascii="Arial"/>
                <w:spacing w:val="42"/>
              </w:rPr>
              <w:t xml:space="preserve"> </w:t>
            </w:r>
            <w:r>
              <w:rPr>
                <w:rFonts w:ascii="Arial"/>
                <w:spacing w:val="-1"/>
              </w:rPr>
              <w:t>between</w:t>
            </w:r>
            <w:r>
              <w:rPr>
                <w:rFonts w:ascii="Arial"/>
                <w:spacing w:val="41"/>
              </w:rPr>
              <w:t xml:space="preserve"> </w:t>
            </w:r>
            <w:r>
              <w:rPr>
                <w:rFonts w:ascii="Arial"/>
              </w:rPr>
              <w:t>the</w:t>
            </w:r>
            <w:r>
              <w:rPr>
                <w:rFonts w:ascii="Arial"/>
                <w:spacing w:val="41"/>
              </w:rPr>
              <w:t xml:space="preserve"> </w:t>
            </w:r>
            <w:r>
              <w:rPr>
                <w:rFonts w:ascii="Arial"/>
                <w:spacing w:val="-1"/>
              </w:rPr>
              <w:t>Authority</w:t>
            </w:r>
            <w:r>
              <w:rPr>
                <w:rFonts w:ascii="Arial"/>
                <w:spacing w:val="29"/>
              </w:rPr>
              <w:t xml:space="preserve"> </w:t>
            </w:r>
            <w:r>
              <w:rPr>
                <w:rFonts w:ascii="Arial"/>
                <w:spacing w:val="-1"/>
              </w:rPr>
              <w:t>and</w:t>
            </w:r>
            <w:r>
              <w:rPr>
                <w:rFonts w:ascii="Arial"/>
              </w:rPr>
              <w:t xml:space="preserve"> the</w:t>
            </w:r>
            <w:r>
              <w:rPr>
                <w:rFonts w:ascii="Arial"/>
                <w:spacing w:val="-2"/>
              </w:rPr>
              <w:t xml:space="preserve"> Supplier</w:t>
            </w:r>
            <w:r>
              <w:rPr>
                <w:rFonts w:ascii="Arial"/>
                <w:spacing w:val="2"/>
              </w:rPr>
              <w:t xml:space="preserve"> </w:t>
            </w:r>
            <w:r>
              <w:rPr>
                <w:rFonts w:ascii="Arial"/>
                <w:spacing w:val="-1"/>
              </w:rPr>
              <w:t>referred</w:t>
            </w:r>
            <w:r>
              <w:rPr>
                <w:rFonts w:ascii="Arial"/>
                <w:spacing w:val="-2"/>
              </w:rPr>
              <w:t xml:space="preserve"> </w:t>
            </w:r>
            <w:r>
              <w:rPr>
                <w:rFonts w:ascii="Arial"/>
              </w:rPr>
              <w:t>to</w:t>
            </w:r>
            <w:r>
              <w:rPr>
                <w:rFonts w:ascii="Arial"/>
                <w:spacing w:val="-2"/>
              </w:rPr>
              <w:t xml:space="preserve"> </w:t>
            </w:r>
            <w:r>
              <w:rPr>
                <w:rFonts w:ascii="Arial"/>
                <w:spacing w:val="-1"/>
              </w:rPr>
              <w:t>in</w:t>
            </w:r>
            <w:r>
              <w:rPr>
                <w:rFonts w:ascii="Arial"/>
              </w:rPr>
              <w:t xml:space="preserve"> the</w:t>
            </w:r>
            <w:r>
              <w:rPr>
                <w:rFonts w:ascii="Arial"/>
                <w:spacing w:val="-4"/>
              </w:rPr>
              <w:t xml:space="preserve"> </w:t>
            </w:r>
            <w:r>
              <w:rPr>
                <w:rFonts w:ascii="Arial"/>
                <w:spacing w:val="-1"/>
              </w:rPr>
              <w:t>Order</w:t>
            </w:r>
            <w:r>
              <w:rPr>
                <w:rFonts w:ascii="Arial"/>
                <w:spacing w:val="2"/>
              </w:rPr>
              <w:t xml:space="preserve"> </w:t>
            </w:r>
            <w:r>
              <w:rPr>
                <w:rFonts w:ascii="Arial"/>
                <w:spacing w:val="-2"/>
              </w:rPr>
              <w:t>Form;</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ind w:left="-6" w:right="687"/>
              <w:rPr>
                <w:rFonts w:ascii="Arial" w:eastAsia="Arial" w:hAnsi="Arial" w:cs="Arial"/>
              </w:rPr>
            </w:pPr>
            <w:r>
              <w:rPr>
                <w:rFonts w:ascii="Arial"/>
                <w:b/>
                <w:spacing w:val="-1"/>
              </w:rPr>
              <w:t>"Framework</w:t>
            </w:r>
            <w:r>
              <w:rPr>
                <w:rFonts w:ascii="Arial"/>
                <w:b/>
                <w:spacing w:val="24"/>
              </w:rPr>
              <w:t xml:space="preserve"> </w:t>
            </w:r>
            <w:r>
              <w:rPr>
                <w:rFonts w:ascii="Arial"/>
                <w:b/>
                <w:spacing w:val="-1"/>
              </w:rPr>
              <w:t>Commencement</w:t>
            </w:r>
            <w:r>
              <w:rPr>
                <w:rFonts w:ascii="Arial"/>
                <w:b/>
                <w:spacing w:val="22"/>
              </w:rPr>
              <w:t xml:space="preserve"> </w:t>
            </w:r>
            <w:r>
              <w:rPr>
                <w:rFonts w:ascii="Arial"/>
                <w:b/>
                <w:spacing w:val="-1"/>
              </w:rPr>
              <w:t>Date"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12"/>
              </w:rPr>
              <w:t xml:space="preserve"> </w:t>
            </w:r>
            <w:r>
              <w:rPr>
                <w:rFonts w:ascii="Arial"/>
              </w:rPr>
              <w:t>the</w:t>
            </w:r>
            <w:r>
              <w:rPr>
                <w:rFonts w:ascii="Arial"/>
                <w:spacing w:val="11"/>
              </w:rPr>
              <w:t xml:space="preserve"> </w:t>
            </w:r>
            <w:r>
              <w:rPr>
                <w:rFonts w:ascii="Arial"/>
                <w:spacing w:val="-1"/>
              </w:rPr>
              <w:t>date</w:t>
            </w:r>
            <w:r>
              <w:rPr>
                <w:rFonts w:ascii="Arial"/>
                <w:spacing w:val="11"/>
              </w:rPr>
              <w:t xml:space="preserve"> </w:t>
            </w:r>
            <w:r>
              <w:rPr>
                <w:rFonts w:ascii="Arial"/>
                <w:spacing w:val="-2"/>
              </w:rPr>
              <w:t>of</w:t>
            </w:r>
            <w:r>
              <w:rPr>
                <w:rFonts w:ascii="Arial"/>
                <w:spacing w:val="15"/>
              </w:rPr>
              <w:t xml:space="preserve"> </w:t>
            </w:r>
            <w:r>
              <w:rPr>
                <w:rFonts w:ascii="Arial"/>
                <w:spacing w:val="-2"/>
              </w:rPr>
              <w:t>commencement</w:t>
            </w:r>
            <w:r>
              <w:rPr>
                <w:rFonts w:ascii="Arial"/>
                <w:spacing w:val="13"/>
              </w:rPr>
              <w:t xml:space="preserve"> </w:t>
            </w:r>
            <w:r>
              <w:rPr>
                <w:rFonts w:ascii="Arial"/>
                <w:spacing w:val="-2"/>
              </w:rPr>
              <w:t>of</w:t>
            </w:r>
            <w:r>
              <w:rPr>
                <w:rFonts w:ascii="Arial"/>
                <w:spacing w:val="13"/>
              </w:rPr>
              <w:t xml:space="preserve"> </w:t>
            </w:r>
            <w:r>
              <w:rPr>
                <w:rFonts w:ascii="Arial"/>
              </w:rPr>
              <w:t>the</w:t>
            </w:r>
            <w:r>
              <w:rPr>
                <w:rFonts w:ascii="Arial"/>
                <w:spacing w:val="11"/>
              </w:rPr>
              <w:t xml:space="preserve"> </w:t>
            </w:r>
            <w:r>
              <w:rPr>
                <w:rFonts w:ascii="Arial"/>
                <w:spacing w:val="-2"/>
              </w:rPr>
              <w:t>Framework</w:t>
            </w:r>
            <w:r>
              <w:rPr>
                <w:rFonts w:ascii="Arial"/>
                <w:spacing w:val="43"/>
              </w:rPr>
              <w:t xml:space="preserve"> </w:t>
            </w:r>
            <w:r>
              <w:rPr>
                <w:rFonts w:ascii="Arial"/>
                <w:spacing w:val="-1"/>
              </w:rPr>
              <w:t>Agreement</w:t>
            </w:r>
            <w:r>
              <w:rPr>
                <w:rFonts w:ascii="Arial"/>
                <w:spacing w:val="14"/>
              </w:rPr>
              <w:t xml:space="preserve"> </w:t>
            </w:r>
            <w:r>
              <w:rPr>
                <w:rFonts w:ascii="Arial"/>
                <w:spacing w:val="-1"/>
              </w:rPr>
              <w:t>as</w:t>
            </w:r>
            <w:r>
              <w:rPr>
                <w:rFonts w:ascii="Arial"/>
                <w:spacing w:val="13"/>
              </w:rPr>
              <w:t xml:space="preserve"> </w:t>
            </w:r>
            <w:r>
              <w:rPr>
                <w:rFonts w:ascii="Arial"/>
                <w:spacing w:val="-1"/>
              </w:rPr>
              <w:t>stated</w:t>
            </w:r>
            <w:r>
              <w:rPr>
                <w:rFonts w:ascii="Arial"/>
                <w:spacing w:val="10"/>
              </w:rPr>
              <w:t xml:space="preserve"> </w:t>
            </w:r>
            <w:r>
              <w:rPr>
                <w:rFonts w:ascii="Arial"/>
                <w:spacing w:val="-1"/>
              </w:rPr>
              <w:t>in</w:t>
            </w:r>
            <w:r>
              <w:rPr>
                <w:rFonts w:ascii="Arial"/>
                <w:spacing w:val="12"/>
              </w:rPr>
              <w:t xml:space="preserve"> </w:t>
            </w:r>
            <w:r>
              <w:rPr>
                <w:rFonts w:ascii="Arial"/>
              </w:rPr>
              <w:t>the</w:t>
            </w:r>
            <w:r>
              <w:rPr>
                <w:rFonts w:ascii="Arial"/>
                <w:spacing w:val="12"/>
              </w:rPr>
              <w:t xml:space="preserve"> </w:t>
            </w:r>
            <w:r>
              <w:rPr>
                <w:rFonts w:ascii="Arial"/>
                <w:spacing w:val="-2"/>
              </w:rPr>
              <w:t>Call</w:t>
            </w:r>
            <w:r>
              <w:rPr>
                <w:rFonts w:ascii="Arial"/>
                <w:spacing w:val="12"/>
              </w:rPr>
              <w:t xml:space="preserve"> </w:t>
            </w:r>
            <w:r>
              <w:rPr>
                <w:rFonts w:ascii="Arial"/>
              </w:rPr>
              <w:t>Off</w:t>
            </w:r>
            <w:r>
              <w:rPr>
                <w:rFonts w:ascii="Arial"/>
                <w:spacing w:val="18"/>
              </w:rPr>
              <w:t xml:space="preserve"> </w:t>
            </w:r>
            <w:r>
              <w:rPr>
                <w:rFonts w:ascii="Arial"/>
                <w:spacing w:val="-2"/>
              </w:rPr>
              <w:t>Schedule</w:t>
            </w:r>
            <w:r>
              <w:rPr>
                <w:rFonts w:ascii="Arial"/>
                <w:spacing w:val="12"/>
              </w:rPr>
              <w:t xml:space="preserve"> </w:t>
            </w:r>
            <w:r>
              <w:rPr>
                <w:rFonts w:ascii="Arial"/>
              </w:rPr>
              <w:t>1</w:t>
            </w:r>
            <w:r>
              <w:rPr>
                <w:rFonts w:ascii="Arial"/>
                <w:spacing w:val="35"/>
              </w:rPr>
              <w:t xml:space="preserve"> </w:t>
            </w:r>
            <w:r>
              <w:rPr>
                <w:rFonts w:ascii="Arial"/>
                <w:spacing w:val="-1"/>
              </w:rPr>
              <w:t>(Definitions);</w:t>
            </w:r>
          </w:p>
        </w:tc>
      </w:tr>
      <w:tr w:rsidR="008918FA" w:rsidTr="005D2B81">
        <w:trPr>
          <w:trHeight w:hRule="exact" w:val="516"/>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"Framework</w:t>
            </w:r>
            <w:r>
              <w:rPr>
                <w:rFonts w:ascii="Arial"/>
                <w:b/>
                <w:spacing w:val="-2"/>
              </w:rPr>
              <w:t xml:space="preserve"> </w:t>
            </w:r>
            <w:r>
              <w:rPr>
                <w:rFonts w:ascii="Arial"/>
                <w:b/>
                <w:spacing w:val="-1"/>
              </w:rPr>
              <w:t>Period"</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41" w:lineRule="auto"/>
              <w:ind w:left="270" w:right="99"/>
              <w:rPr>
                <w:rFonts w:ascii="Arial" w:eastAsia="Arial" w:hAnsi="Arial" w:cs="Arial"/>
              </w:rPr>
            </w:pPr>
            <w:r>
              <w:rPr>
                <w:rFonts w:ascii="Arial"/>
                <w:spacing w:val="-1"/>
              </w:rPr>
              <w:t>means</w:t>
            </w:r>
            <w:r>
              <w:rPr>
                <w:rFonts w:ascii="Arial"/>
                <w:spacing w:val="44"/>
              </w:rPr>
              <w:t xml:space="preserve"> </w:t>
            </w:r>
            <w:r>
              <w:rPr>
                <w:rFonts w:ascii="Arial"/>
              </w:rPr>
              <w:t>the</w:t>
            </w:r>
            <w:r>
              <w:rPr>
                <w:rFonts w:ascii="Arial"/>
                <w:spacing w:val="43"/>
              </w:rPr>
              <w:t xml:space="preserve"> </w:t>
            </w:r>
            <w:r>
              <w:rPr>
                <w:rFonts w:ascii="Arial"/>
                <w:spacing w:val="-2"/>
              </w:rPr>
              <w:t>period</w:t>
            </w:r>
            <w:r>
              <w:rPr>
                <w:rFonts w:ascii="Arial"/>
                <w:spacing w:val="43"/>
              </w:rPr>
              <w:t xml:space="preserve"> </w:t>
            </w:r>
            <w:r>
              <w:rPr>
                <w:rFonts w:ascii="Arial"/>
                <w:spacing w:val="-1"/>
              </w:rPr>
              <w:t>from</w:t>
            </w:r>
            <w:r>
              <w:rPr>
                <w:rFonts w:ascii="Arial"/>
                <w:spacing w:val="45"/>
              </w:rPr>
              <w:t xml:space="preserve"> </w:t>
            </w:r>
            <w:r>
              <w:rPr>
                <w:rFonts w:ascii="Arial"/>
              </w:rPr>
              <w:t>the</w:t>
            </w:r>
            <w:r>
              <w:rPr>
                <w:rFonts w:ascii="Arial"/>
                <w:spacing w:val="43"/>
              </w:rPr>
              <w:t xml:space="preserve"> </w:t>
            </w:r>
            <w:r>
              <w:rPr>
                <w:rFonts w:ascii="Arial"/>
                <w:spacing w:val="-2"/>
              </w:rPr>
              <w:t>Framework</w:t>
            </w:r>
            <w:r>
              <w:rPr>
                <w:rFonts w:ascii="Arial"/>
                <w:spacing w:val="46"/>
              </w:rPr>
              <w:t xml:space="preserve"> </w:t>
            </w:r>
            <w:r>
              <w:rPr>
                <w:rFonts w:ascii="Arial"/>
                <w:spacing w:val="-2"/>
              </w:rPr>
              <w:t>Commencement</w:t>
            </w:r>
            <w:r>
              <w:rPr>
                <w:rFonts w:ascii="Arial"/>
                <w:spacing w:val="55"/>
              </w:rPr>
              <w:t xml:space="preserve"> </w:t>
            </w:r>
            <w:r>
              <w:rPr>
                <w:rFonts w:ascii="Arial"/>
                <w:spacing w:val="-1"/>
              </w:rPr>
              <w:t>Date</w:t>
            </w:r>
            <w:r>
              <w:rPr>
                <w:rFonts w:ascii="Arial"/>
              </w:rPr>
              <w:t xml:space="preserve">  </w:t>
            </w:r>
            <w:r>
              <w:rPr>
                <w:rFonts w:ascii="Arial"/>
                <w:spacing w:val="8"/>
              </w:rPr>
              <w:t xml:space="preserve"> </w:t>
            </w:r>
            <w:r>
              <w:rPr>
                <w:rFonts w:ascii="Arial"/>
                <w:spacing w:val="-1"/>
              </w:rPr>
              <w:t>until</w:t>
            </w:r>
            <w:r>
              <w:rPr>
                <w:rFonts w:ascii="Arial"/>
              </w:rPr>
              <w:t xml:space="preserve">  </w:t>
            </w:r>
            <w:r>
              <w:rPr>
                <w:rFonts w:ascii="Arial"/>
                <w:spacing w:val="7"/>
              </w:rPr>
              <w:t xml:space="preserve"> </w:t>
            </w:r>
            <w:r>
              <w:rPr>
                <w:rFonts w:ascii="Arial"/>
                <w:spacing w:val="-1"/>
              </w:rPr>
              <w:t>the</w:t>
            </w:r>
            <w:r>
              <w:rPr>
                <w:rFonts w:ascii="Arial"/>
              </w:rPr>
              <w:t xml:space="preserve">  </w:t>
            </w:r>
            <w:r>
              <w:rPr>
                <w:rFonts w:ascii="Arial"/>
                <w:spacing w:val="7"/>
              </w:rPr>
              <w:t xml:space="preserve"> </w:t>
            </w:r>
            <w:r>
              <w:rPr>
                <w:rFonts w:ascii="Arial"/>
                <w:spacing w:val="-2"/>
              </w:rPr>
              <w:t>expiry</w:t>
            </w:r>
            <w:r>
              <w:rPr>
                <w:rFonts w:ascii="Arial"/>
              </w:rPr>
              <w:t xml:space="preserve">  </w:t>
            </w:r>
            <w:r>
              <w:rPr>
                <w:rFonts w:ascii="Arial"/>
                <w:spacing w:val="8"/>
              </w:rPr>
              <w:t xml:space="preserve"> </w:t>
            </w:r>
            <w:r>
              <w:rPr>
                <w:rFonts w:ascii="Arial"/>
                <w:spacing w:val="-1"/>
              </w:rPr>
              <w:t>or</w:t>
            </w:r>
            <w:r>
              <w:rPr>
                <w:rFonts w:ascii="Arial"/>
              </w:rPr>
              <w:t xml:space="preserve">  </w:t>
            </w:r>
            <w:r>
              <w:rPr>
                <w:rFonts w:ascii="Arial"/>
                <w:spacing w:val="9"/>
              </w:rPr>
              <w:t xml:space="preserve"> </w:t>
            </w:r>
            <w:r>
              <w:rPr>
                <w:rFonts w:ascii="Arial"/>
                <w:spacing w:val="-2"/>
              </w:rPr>
              <w:t>earlier</w:t>
            </w:r>
            <w:r>
              <w:rPr>
                <w:rFonts w:ascii="Arial"/>
              </w:rPr>
              <w:t xml:space="preserve">  </w:t>
            </w:r>
            <w:r>
              <w:rPr>
                <w:rFonts w:ascii="Arial"/>
                <w:spacing w:val="9"/>
              </w:rPr>
              <w:t xml:space="preserve"> </w:t>
            </w:r>
            <w:r>
              <w:rPr>
                <w:rFonts w:ascii="Arial"/>
                <w:spacing w:val="-1"/>
              </w:rPr>
              <w:t>termination</w:t>
            </w:r>
            <w:r>
              <w:rPr>
                <w:rFonts w:ascii="Arial"/>
              </w:rPr>
              <w:t xml:space="preserve">  </w:t>
            </w:r>
            <w:r>
              <w:rPr>
                <w:rFonts w:ascii="Arial"/>
                <w:spacing w:val="7"/>
              </w:rPr>
              <w:t xml:space="preserve"> </w:t>
            </w:r>
            <w:r>
              <w:rPr>
                <w:rFonts w:ascii="Arial"/>
                <w:spacing w:val="-2"/>
              </w:rPr>
              <w:t>of</w:t>
            </w:r>
            <w:r>
              <w:rPr>
                <w:rFonts w:ascii="Arial"/>
              </w:rPr>
              <w:t xml:space="preserve">  </w:t>
            </w:r>
            <w:r>
              <w:rPr>
                <w:rFonts w:ascii="Arial"/>
                <w:spacing w:val="9"/>
              </w:rPr>
              <w:t xml:space="preserve"> </w:t>
            </w:r>
            <w:r>
              <w:rPr>
                <w:rFonts w:ascii="Arial"/>
                <w:spacing w:val="-1"/>
              </w:rPr>
              <w:t>the</w:t>
            </w:r>
          </w:p>
        </w:tc>
      </w:tr>
    </w:tbl>
    <w:p w:rsidR="008918FA" w:rsidRDefault="008918FA" w:rsidP="008918FA">
      <w:pPr>
        <w:spacing w:line="241" w:lineRule="auto"/>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38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2"/>
              </w:rPr>
              <w:t>Framework</w:t>
            </w:r>
            <w:r>
              <w:rPr>
                <w:rFonts w:ascii="Arial"/>
                <w:spacing w:val="3"/>
              </w:rPr>
              <w:t xml:space="preserve"> </w:t>
            </w:r>
            <w:r>
              <w:rPr>
                <w:rFonts w:ascii="Arial"/>
                <w:spacing w:val="-1"/>
              </w:rPr>
              <w:t>Agreement;</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"Framework</w:t>
            </w:r>
            <w:r>
              <w:rPr>
                <w:rFonts w:ascii="Arial"/>
                <w:b/>
                <w:spacing w:val="-2"/>
              </w:rPr>
              <w:t xml:space="preserve"> </w:t>
            </w:r>
            <w:r>
              <w:rPr>
                <w:rFonts w:ascii="Arial"/>
                <w:b/>
                <w:spacing w:val="-1"/>
              </w:rPr>
              <w:t>Price(s)"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16"/>
              </w:rPr>
              <w:t xml:space="preserve"> </w:t>
            </w:r>
            <w:r>
              <w:rPr>
                <w:rFonts w:ascii="Arial"/>
              </w:rPr>
              <w:t>the</w:t>
            </w:r>
            <w:r>
              <w:rPr>
                <w:rFonts w:ascii="Arial"/>
                <w:spacing w:val="18"/>
              </w:rPr>
              <w:t xml:space="preserve"> </w:t>
            </w:r>
            <w:r>
              <w:rPr>
                <w:rFonts w:ascii="Arial"/>
                <w:spacing w:val="-2"/>
              </w:rPr>
              <w:t>price(s)</w:t>
            </w:r>
            <w:r>
              <w:rPr>
                <w:rFonts w:ascii="Arial"/>
                <w:spacing w:val="20"/>
              </w:rPr>
              <w:t xml:space="preserve"> </w:t>
            </w:r>
            <w:r>
              <w:rPr>
                <w:rFonts w:ascii="Arial"/>
                <w:spacing w:val="-2"/>
              </w:rPr>
              <w:t>applicable</w:t>
            </w:r>
            <w:r>
              <w:rPr>
                <w:rFonts w:ascii="Arial"/>
                <w:spacing w:val="18"/>
              </w:rPr>
              <w:t xml:space="preserve"> </w:t>
            </w:r>
            <w:r>
              <w:rPr>
                <w:rFonts w:ascii="Arial"/>
              </w:rPr>
              <w:t>to</w:t>
            </w:r>
            <w:r>
              <w:rPr>
                <w:rFonts w:ascii="Arial"/>
                <w:spacing w:val="18"/>
              </w:rPr>
              <w:t xml:space="preserve"> </w:t>
            </w:r>
            <w:r>
              <w:rPr>
                <w:rFonts w:ascii="Arial"/>
              </w:rPr>
              <w:t>the</w:t>
            </w:r>
            <w:r>
              <w:rPr>
                <w:rFonts w:ascii="Arial"/>
                <w:spacing w:val="18"/>
              </w:rPr>
              <w:t xml:space="preserve"> </w:t>
            </w:r>
            <w:r>
              <w:rPr>
                <w:rFonts w:ascii="Arial"/>
                <w:spacing w:val="-2"/>
              </w:rPr>
              <w:t>provision</w:t>
            </w:r>
            <w:r>
              <w:rPr>
                <w:rFonts w:ascii="Arial"/>
                <w:spacing w:val="18"/>
              </w:rPr>
              <w:t xml:space="preserve"> </w:t>
            </w:r>
            <w:r>
              <w:rPr>
                <w:rFonts w:ascii="Arial"/>
                <w:spacing w:val="-2"/>
              </w:rPr>
              <w:t>of</w:t>
            </w:r>
            <w:r>
              <w:rPr>
                <w:rFonts w:ascii="Arial"/>
                <w:spacing w:val="20"/>
              </w:rPr>
              <w:t xml:space="preserve"> </w:t>
            </w:r>
            <w:r>
              <w:rPr>
                <w:rFonts w:ascii="Arial"/>
                <w:spacing w:val="-1"/>
              </w:rPr>
              <w:t>the</w:t>
            </w:r>
            <w:r>
              <w:rPr>
                <w:rFonts w:ascii="Arial"/>
                <w:spacing w:val="52"/>
              </w:rPr>
              <w:t xml:space="preserve"> </w:t>
            </w:r>
            <w:r>
              <w:rPr>
                <w:rFonts w:ascii="Arial"/>
                <w:spacing w:val="-1"/>
              </w:rPr>
              <w:t>Goods</w:t>
            </w:r>
            <w:r>
              <w:rPr>
                <w:rFonts w:ascii="Arial"/>
                <w:spacing w:val="20"/>
              </w:rPr>
              <w:t xml:space="preserve"> </w:t>
            </w:r>
            <w:r>
              <w:rPr>
                <w:rFonts w:ascii="Arial"/>
                <w:spacing w:val="-1"/>
              </w:rPr>
              <w:t>and/or</w:t>
            </w:r>
            <w:r>
              <w:rPr>
                <w:rFonts w:ascii="Arial"/>
                <w:spacing w:val="21"/>
              </w:rPr>
              <w:t xml:space="preserve"> </w:t>
            </w:r>
            <w:r>
              <w:rPr>
                <w:rFonts w:ascii="Arial"/>
                <w:spacing w:val="-2"/>
              </w:rPr>
              <w:t>Services</w:t>
            </w:r>
            <w:r>
              <w:rPr>
                <w:rFonts w:ascii="Arial"/>
                <w:spacing w:val="20"/>
              </w:rPr>
              <w:t xml:space="preserve"> </w:t>
            </w:r>
            <w:r>
              <w:rPr>
                <w:rFonts w:ascii="Arial"/>
                <w:spacing w:val="-1"/>
              </w:rPr>
              <w:t>set</w:t>
            </w:r>
            <w:r>
              <w:rPr>
                <w:rFonts w:ascii="Arial"/>
                <w:spacing w:val="21"/>
              </w:rPr>
              <w:t xml:space="preserve"> </w:t>
            </w:r>
            <w:r>
              <w:rPr>
                <w:rFonts w:ascii="Arial"/>
                <w:spacing w:val="-2"/>
              </w:rPr>
              <w:t>out</w:t>
            </w:r>
            <w:r>
              <w:rPr>
                <w:rFonts w:ascii="Arial"/>
                <w:spacing w:val="21"/>
              </w:rPr>
              <w:t xml:space="preserve"> </w:t>
            </w:r>
            <w:r>
              <w:rPr>
                <w:rFonts w:ascii="Arial"/>
                <w:spacing w:val="-1"/>
              </w:rPr>
              <w:t>in</w:t>
            </w:r>
            <w:r>
              <w:rPr>
                <w:rFonts w:ascii="Arial"/>
                <w:spacing w:val="20"/>
              </w:rPr>
              <w:t xml:space="preserve"> </w:t>
            </w:r>
            <w:r>
              <w:rPr>
                <w:rFonts w:ascii="Arial"/>
                <w:spacing w:val="-2"/>
              </w:rPr>
              <w:t>Framework</w:t>
            </w:r>
            <w:r>
              <w:rPr>
                <w:rFonts w:ascii="Arial"/>
                <w:spacing w:val="22"/>
              </w:rPr>
              <w:t xml:space="preserve"> </w:t>
            </w:r>
            <w:r>
              <w:rPr>
                <w:rFonts w:ascii="Arial"/>
                <w:spacing w:val="-2"/>
              </w:rPr>
              <w:t>Schedule</w:t>
            </w:r>
            <w:r>
              <w:rPr>
                <w:rFonts w:ascii="Arial"/>
                <w:spacing w:val="20"/>
              </w:rPr>
              <w:t xml:space="preserve"> </w:t>
            </w:r>
            <w:r>
              <w:rPr>
                <w:rFonts w:ascii="Arial"/>
              </w:rPr>
              <w:t>3</w:t>
            </w:r>
            <w:r>
              <w:rPr>
                <w:rFonts w:ascii="Arial"/>
                <w:spacing w:val="51"/>
              </w:rPr>
              <w:t xml:space="preserve"> </w:t>
            </w:r>
            <w:r>
              <w:rPr>
                <w:rFonts w:ascii="Arial"/>
                <w:spacing w:val="-1"/>
              </w:rPr>
              <w:t>(Framework</w:t>
            </w:r>
            <w:r>
              <w:rPr>
                <w:rFonts w:ascii="Arial"/>
                <w:spacing w:val="1"/>
              </w:rPr>
              <w:t xml:space="preserve"> </w:t>
            </w:r>
            <w:r>
              <w:rPr>
                <w:rFonts w:ascii="Arial"/>
                <w:spacing w:val="-1"/>
              </w:rPr>
              <w:t>Prices</w:t>
            </w:r>
            <w:r>
              <w:rPr>
                <w:rFonts w:ascii="Arial"/>
                <w:spacing w:val="1"/>
              </w:rPr>
              <w:t xml:space="preserve"> </w:t>
            </w:r>
            <w:r>
              <w:rPr>
                <w:rFonts w:ascii="Arial"/>
                <w:spacing w:val="-1"/>
              </w:rPr>
              <w:t>and</w:t>
            </w:r>
            <w:r>
              <w:rPr>
                <w:rFonts w:ascii="Arial"/>
                <w:spacing w:val="-4"/>
              </w:rPr>
              <w:t xml:space="preserve"> </w:t>
            </w:r>
            <w:r>
              <w:rPr>
                <w:rFonts w:ascii="Arial"/>
                <w:spacing w:val="-1"/>
              </w:rPr>
              <w:t>Charging</w:t>
            </w:r>
            <w:r>
              <w:rPr>
                <w:rFonts w:ascii="Arial"/>
              </w:rPr>
              <w:t xml:space="preserve"> </w:t>
            </w:r>
            <w:r>
              <w:rPr>
                <w:rFonts w:ascii="Arial"/>
                <w:spacing w:val="-1"/>
              </w:rPr>
              <w:t>Structure);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1117"/>
              <w:rPr>
                <w:rFonts w:ascii="Arial" w:eastAsia="Arial" w:hAnsi="Arial" w:cs="Arial"/>
              </w:rPr>
            </w:pPr>
            <w:r>
              <w:rPr>
                <w:rFonts w:ascii="Arial"/>
                <w:b/>
                <w:spacing w:val="-1"/>
              </w:rPr>
              <w:t>"Framework</w:t>
            </w:r>
            <w:r>
              <w:rPr>
                <w:rFonts w:ascii="Arial"/>
                <w:b/>
                <w:spacing w:val="24"/>
              </w:rPr>
              <w:t xml:space="preserve"> </w:t>
            </w:r>
            <w:r>
              <w:rPr>
                <w:rFonts w:ascii="Arial"/>
                <w:b/>
                <w:spacing w:val="-1"/>
              </w:rPr>
              <w:t>Schedule"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rPr>
              <w:t>a</w:t>
            </w:r>
            <w:r>
              <w:rPr>
                <w:rFonts w:ascii="Arial"/>
                <w:spacing w:val="-2"/>
              </w:rPr>
              <w:t xml:space="preserve"> </w:t>
            </w:r>
            <w:r>
              <w:rPr>
                <w:rFonts w:ascii="Arial"/>
                <w:spacing w:val="-1"/>
              </w:rPr>
              <w:t>schedule</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Framework</w:t>
            </w:r>
            <w:r>
              <w:rPr>
                <w:rFonts w:ascii="Arial"/>
                <w:spacing w:val="1"/>
              </w:rPr>
              <w:t xml:space="preserve"> </w:t>
            </w:r>
            <w:r>
              <w:rPr>
                <w:rFonts w:ascii="Arial"/>
                <w:spacing w:val="-1"/>
              </w:rPr>
              <w:t>Agreement;</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"Fraud"</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30"/>
              </w:rPr>
              <w:t xml:space="preserve"> </w:t>
            </w:r>
            <w:r>
              <w:rPr>
                <w:rFonts w:ascii="Arial"/>
                <w:spacing w:val="-1"/>
              </w:rPr>
              <w:t>any</w:t>
            </w:r>
            <w:r>
              <w:rPr>
                <w:rFonts w:ascii="Arial"/>
                <w:spacing w:val="27"/>
              </w:rPr>
              <w:t xml:space="preserve"> </w:t>
            </w:r>
            <w:r>
              <w:rPr>
                <w:rFonts w:ascii="Arial"/>
                <w:spacing w:val="-1"/>
              </w:rPr>
              <w:t>offence</w:t>
            </w:r>
            <w:r>
              <w:rPr>
                <w:rFonts w:ascii="Arial"/>
                <w:spacing w:val="27"/>
              </w:rPr>
              <w:t xml:space="preserve"> </w:t>
            </w:r>
            <w:r>
              <w:rPr>
                <w:rFonts w:ascii="Arial"/>
                <w:spacing w:val="-2"/>
              </w:rPr>
              <w:t>under</w:t>
            </w:r>
            <w:r>
              <w:rPr>
                <w:rFonts w:ascii="Arial"/>
                <w:spacing w:val="30"/>
              </w:rPr>
              <w:t xml:space="preserve"> </w:t>
            </w:r>
            <w:r>
              <w:rPr>
                <w:rFonts w:ascii="Arial"/>
                <w:spacing w:val="-1"/>
              </w:rPr>
              <w:t>any</w:t>
            </w:r>
            <w:r>
              <w:rPr>
                <w:rFonts w:ascii="Arial"/>
                <w:spacing w:val="27"/>
              </w:rPr>
              <w:t xml:space="preserve"> </w:t>
            </w:r>
            <w:r>
              <w:rPr>
                <w:rFonts w:ascii="Arial"/>
                <w:spacing w:val="-2"/>
              </w:rPr>
              <w:t>Laws</w:t>
            </w:r>
            <w:r>
              <w:rPr>
                <w:rFonts w:ascii="Arial"/>
                <w:spacing w:val="30"/>
              </w:rPr>
              <w:t xml:space="preserve"> </w:t>
            </w:r>
            <w:r>
              <w:rPr>
                <w:rFonts w:ascii="Arial"/>
                <w:spacing w:val="-1"/>
              </w:rPr>
              <w:t>creating</w:t>
            </w:r>
            <w:r>
              <w:rPr>
                <w:rFonts w:ascii="Arial"/>
                <w:spacing w:val="31"/>
              </w:rPr>
              <w:t xml:space="preserve"> </w:t>
            </w:r>
            <w:r>
              <w:rPr>
                <w:rFonts w:ascii="Arial"/>
                <w:spacing w:val="-1"/>
              </w:rPr>
              <w:t>offences</w:t>
            </w:r>
            <w:r>
              <w:rPr>
                <w:rFonts w:ascii="Arial"/>
                <w:spacing w:val="30"/>
              </w:rPr>
              <w:t xml:space="preserve"> </w:t>
            </w:r>
            <w:r>
              <w:rPr>
                <w:rFonts w:ascii="Arial"/>
                <w:spacing w:val="-1"/>
              </w:rPr>
              <w:t>in</w:t>
            </w:r>
            <w:r>
              <w:rPr>
                <w:rFonts w:ascii="Arial"/>
                <w:spacing w:val="33"/>
              </w:rPr>
              <w:t xml:space="preserve"> </w:t>
            </w:r>
            <w:r>
              <w:rPr>
                <w:rFonts w:ascii="Arial"/>
                <w:spacing w:val="-1"/>
              </w:rPr>
              <w:t>respect</w:t>
            </w:r>
            <w:r>
              <w:rPr>
                <w:rFonts w:ascii="Arial"/>
                <w:spacing w:val="5"/>
              </w:rPr>
              <w:t xml:space="preserve"> </w:t>
            </w:r>
            <w:r>
              <w:rPr>
                <w:rFonts w:ascii="Arial"/>
                <w:spacing w:val="-2"/>
              </w:rPr>
              <w:t>of</w:t>
            </w:r>
            <w:r>
              <w:rPr>
                <w:rFonts w:ascii="Arial"/>
                <w:spacing w:val="2"/>
              </w:rPr>
              <w:t xml:space="preserve"> </w:t>
            </w:r>
            <w:r>
              <w:rPr>
                <w:rFonts w:ascii="Arial"/>
                <w:spacing w:val="-1"/>
              </w:rPr>
              <w:t>fraudulent</w:t>
            </w:r>
            <w:r>
              <w:rPr>
                <w:rFonts w:ascii="Arial"/>
                <w:spacing w:val="4"/>
              </w:rPr>
              <w:t xml:space="preserve"> </w:t>
            </w:r>
            <w:r>
              <w:rPr>
                <w:rFonts w:ascii="Arial"/>
                <w:spacing w:val="-1"/>
              </w:rPr>
              <w:t>acts</w:t>
            </w:r>
            <w:r>
              <w:rPr>
                <w:rFonts w:ascii="Arial"/>
                <w:spacing w:val="3"/>
              </w:rPr>
              <w:t xml:space="preserve"> </w:t>
            </w:r>
            <w:r>
              <w:rPr>
                <w:rFonts w:ascii="Arial"/>
                <w:spacing w:val="-1"/>
              </w:rPr>
              <w:t>(including</w:t>
            </w:r>
            <w:r>
              <w:rPr>
                <w:rFonts w:ascii="Arial"/>
                <w:spacing w:val="7"/>
              </w:rPr>
              <w:t xml:space="preserve"> </w:t>
            </w:r>
            <w:r>
              <w:rPr>
                <w:rFonts w:ascii="Arial"/>
              </w:rPr>
              <w:t>the</w:t>
            </w:r>
            <w:r>
              <w:rPr>
                <w:rFonts w:ascii="Arial"/>
                <w:spacing w:val="3"/>
              </w:rPr>
              <w:t xml:space="preserve"> </w:t>
            </w:r>
            <w:r>
              <w:rPr>
                <w:rFonts w:ascii="Arial"/>
                <w:spacing w:val="-1"/>
              </w:rPr>
              <w:t>Misrepresentation</w:t>
            </w:r>
            <w:r>
              <w:rPr>
                <w:rFonts w:ascii="Arial"/>
                <w:spacing w:val="21"/>
              </w:rPr>
              <w:t xml:space="preserve"> </w:t>
            </w:r>
            <w:r>
              <w:rPr>
                <w:rFonts w:ascii="Arial"/>
                <w:spacing w:val="-1"/>
              </w:rPr>
              <w:t>Act</w:t>
            </w:r>
            <w:r>
              <w:rPr>
                <w:rFonts w:ascii="Arial"/>
                <w:spacing w:val="19"/>
              </w:rPr>
              <w:t xml:space="preserve"> </w:t>
            </w:r>
            <w:r>
              <w:rPr>
                <w:rFonts w:ascii="Arial"/>
                <w:spacing w:val="-1"/>
              </w:rPr>
              <w:t>1967)</w:t>
            </w:r>
            <w:r>
              <w:rPr>
                <w:rFonts w:ascii="Arial"/>
                <w:spacing w:val="16"/>
              </w:rPr>
              <w:t xml:space="preserve"> </w:t>
            </w:r>
            <w:r>
              <w:rPr>
                <w:rFonts w:ascii="Arial"/>
                <w:spacing w:val="-1"/>
              </w:rPr>
              <w:t>or</w:t>
            </w:r>
            <w:r>
              <w:rPr>
                <w:rFonts w:ascii="Arial"/>
                <w:spacing w:val="16"/>
              </w:rPr>
              <w:t xml:space="preserve"> </w:t>
            </w:r>
            <w:r>
              <w:rPr>
                <w:rFonts w:ascii="Arial"/>
                <w:spacing w:val="-1"/>
              </w:rPr>
              <w:t>at</w:t>
            </w:r>
            <w:r>
              <w:rPr>
                <w:rFonts w:ascii="Arial"/>
                <w:spacing w:val="16"/>
              </w:rPr>
              <w:t xml:space="preserve"> </w:t>
            </w:r>
            <w:r>
              <w:rPr>
                <w:rFonts w:ascii="Arial"/>
                <w:spacing w:val="-1"/>
              </w:rPr>
              <w:t>common</w:t>
            </w:r>
            <w:r>
              <w:rPr>
                <w:rFonts w:ascii="Arial"/>
                <w:spacing w:val="15"/>
              </w:rPr>
              <w:t xml:space="preserve"> </w:t>
            </w:r>
            <w:r>
              <w:rPr>
                <w:rFonts w:ascii="Arial"/>
                <w:spacing w:val="-1"/>
              </w:rPr>
              <w:t>law</w:t>
            </w:r>
            <w:r>
              <w:rPr>
                <w:rFonts w:ascii="Arial"/>
                <w:spacing w:val="14"/>
              </w:rPr>
              <w:t xml:space="preserve"> </w:t>
            </w:r>
            <w:r>
              <w:rPr>
                <w:rFonts w:ascii="Arial"/>
                <w:spacing w:val="-1"/>
              </w:rPr>
              <w:t>in</w:t>
            </w:r>
            <w:r>
              <w:rPr>
                <w:rFonts w:ascii="Arial"/>
                <w:spacing w:val="17"/>
              </w:rPr>
              <w:t xml:space="preserve"> </w:t>
            </w:r>
            <w:r>
              <w:rPr>
                <w:rFonts w:ascii="Arial"/>
                <w:spacing w:val="-1"/>
              </w:rPr>
              <w:t>respect</w:t>
            </w:r>
            <w:r>
              <w:rPr>
                <w:rFonts w:ascii="Arial"/>
                <w:spacing w:val="19"/>
              </w:rPr>
              <w:t xml:space="preserve"> </w:t>
            </w:r>
            <w:r>
              <w:rPr>
                <w:rFonts w:ascii="Arial"/>
                <w:spacing w:val="-2"/>
              </w:rPr>
              <w:t>of</w:t>
            </w:r>
            <w:r>
              <w:rPr>
                <w:rFonts w:ascii="Arial"/>
                <w:spacing w:val="16"/>
              </w:rPr>
              <w:t xml:space="preserve"> </w:t>
            </w:r>
            <w:r>
              <w:rPr>
                <w:rFonts w:ascii="Arial"/>
                <w:spacing w:val="-1"/>
              </w:rPr>
              <w:t>fraudulent</w:t>
            </w:r>
            <w:r>
              <w:rPr>
                <w:rFonts w:ascii="Arial"/>
                <w:spacing w:val="19"/>
              </w:rPr>
              <w:t xml:space="preserve"> </w:t>
            </w:r>
            <w:r>
              <w:rPr>
                <w:rFonts w:ascii="Arial"/>
                <w:spacing w:val="-1"/>
              </w:rPr>
              <w:t>acts</w:t>
            </w:r>
            <w:r>
              <w:rPr>
                <w:rFonts w:ascii="Arial"/>
                <w:spacing w:val="25"/>
              </w:rPr>
              <w:t xml:space="preserve"> </w:t>
            </w:r>
            <w:r>
              <w:rPr>
                <w:rFonts w:ascii="Arial"/>
                <w:spacing w:val="-2"/>
              </w:rPr>
              <w:t>including</w:t>
            </w:r>
            <w:r>
              <w:rPr>
                <w:rFonts w:ascii="Arial"/>
                <w:spacing w:val="3"/>
              </w:rPr>
              <w:t xml:space="preserve"> </w:t>
            </w:r>
            <w:r>
              <w:rPr>
                <w:rFonts w:ascii="Arial"/>
                <w:spacing w:val="-1"/>
              </w:rPr>
              <w:t>acts</w:t>
            </w:r>
            <w:r>
              <w:rPr>
                <w:rFonts w:ascii="Arial"/>
                <w:spacing w:val="1"/>
              </w:rPr>
              <w:t xml:space="preserve"> </w:t>
            </w:r>
            <w:r>
              <w:rPr>
                <w:rFonts w:ascii="Arial"/>
                <w:spacing w:val="-2"/>
              </w:rPr>
              <w:t>of</w:t>
            </w:r>
            <w:r>
              <w:rPr>
                <w:rFonts w:ascii="Arial"/>
              </w:rPr>
              <w:t xml:space="preserve"> </w:t>
            </w:r>
            <w:r>
              <w:rPr>
                <w:rFonts w:ascii="Arial"/>
                <w:spacing w:val="-1"/>
              </w:rPr>
              <w:t>forgery;</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179"/>
              <w:rPr>
                <w:rFonts w:ascii="Arial" w:eastAsia="Arial" w:hAnsi="Arial" w:cs="Arial"/>
              </w:rPr>
            </w:pPr>
            <w:r>
              <w:rPr>
                <w:rFonts w:ascii="Arial"/>
                <w:b/>
                <w:spacing w:val="-1"/>
              </w:rPr>
              <w:t>"Further</w:t>
            </w:r>
            <w:r>
              <w:rPr>
                <w:rFonts w:ascii="Arial"/>
                <w:b/>
                <w:spacing w:val="1"/>
              </w:rPr>
              <w:t xml:space="preserve"> </w:t>
            </w:r>
            <w:r>
              <w:rPr>
                <w:rFonts w:ascii="Arial"/>
                <w:b/>
                <w:spacing w:val="-1"/>
              </w:rPr>
              <w:t>Competition</w:t>
            </w:r>
            <w:r>
              <w:rPr>
                <w:rFonts w:ascii="Arial"/>
                <w:b/>
                <w:spacing w:val="22"/>
              </w:rPr>
              <w:t xml:space="preserve"> </w:t>
            </w:r>
            <w:r>
              <w:rPr>
                <w:rFonts w:ascii="Arial"/>
                <w:b/>
                <w:spacing w:val="-1"/>
              </w:rPr>
              <w:t>Procedure"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4"/>
              <w:rPr>
                <w:rFonts w:ascii="Arial" w:eastAsia="Arial" w:hAnsi="Arial" w:cs="Arial"/>
              </w:rPr>
            </w:pPr>
            <w:r>
              <w:rPr>
                <w:rFonts w:ascii="Arial"/>
                <w:spacing w:val="-1"/>
              </w:rPr>
              <w:t>means</w:t>
            </w:r>
            <w:r>
              <w:rPr>
                <w:rFonts w:ascii="Arial"/>
                <w:spacing w:val="22"/>
              </w:rPr>
              <w:t xml:space="preserve"> </w:t>
            </w:r>
            <w:r>
              <w:rPr>
                <w:rFonts w:ascii="Arial"/>
              </w:rPr>
              <w:t>the</w:t>
            </w:r>
            <w:r>
              <w:rPr>
                <w:rFonts w:ascii="Arial"/>
                <w:spacing w:val="24"/>
              </w:rPr>
              <w:t xml:space="preserve"> </w:t>
            </w:r>
            <w:r>
              <w:rPr>
                <w:rFonts w:ascii="Arial"/>
                <w:spacing w:val="-2"/>
              </w:rPr>
              <w:t>award</w:t>
            </w:r>
            <w:r>
              <w:rPr>
                <w:rFonts w:ascii="Arial"/>
                <w:spacing w:val="24"/>
              </w:rPr>
              <w:t xml:space="preserve"> </w:t>
            </w:r>
            <w:r>
              <w:rPr>
                <w:rFonts w:ascii="Arial"/>
                <w:spacing w:val="-2"/>
              </w:rPr>
              <w:t>procedure</w:t>
            </w:r>
            <w:r>
              <w:rPr>
                <w:rFonts w:ascii="Arial"/>
                <w:spacing w:val="24"/>
              </w:rPr>
              <w:t xml:space="preserve"> </w:t>
            </w:r>
            <w:r>
              <w:rPr>
                <w:rFonts w:ascii="Arial"/>
                <w:spacing w:val="-1"/>
              </w:rPr>
              <w:t>described</w:t>
            </w:r>
            <w:r>
              <w:rPr>
                <w:rFonts w:ascii="Arial"/>
                <w:spacing w:val="24"/>
              </w:rPr>
              <w:t xml:space="preserve"> </w:t>
            </w:r>
            <w:r>
              <w:rPr>
                <w:rFonts w:ascii="Arial"/>
                <w:spacing w:val="-1"/>
              </w:rPr>
              <w:t>in</w:t>
            </w:r>
            <w:r>
              <w:rPr>
                <w:rFonts w:ascii="Arial"/>
                <w:spacing w:val="24"/>
              </w:rPr>
              <w:t xml:space="preserve"> </w:t>
            </w:r>
            <w:r>
              <w:rPr>
                <w:rFonts w:ascii="Arial"/>
                <w:spacing w:val="-1"/>
              </w:rPr>
              <w:t>paragraph</w:t>
            </w:r>
            <w:r>
              <w:rPr>
                <w:rFonts w:ascii="Arial"/>
                <w:spacing w:val="27"/>
              </w:rPr>
              <w:t xml:space="preserve"> </w:t>
            </w:r>
            <w:r>
              <w:rPr>
                <w:rFonts w:ascii="Arial"/>
              </w:rPr>
              <w:t>3</w:t>
            </w:r>
            <w:r>
              <w:rPr>
                <w:rFonts w:ascii="Arial"/>
                <w:spacing w:val="22"/>
              </w:rPr>
              <w:t xml:space="preserve"> </w:t>
            </w:r>
            <w:r>
              <w:rPr>
                <w:rFonts w:ascii="Arial"/>
                <w:spacing w:val="-3"/>
              </w:rPr>
              <w:t>of</w:t>
            </w:r>
            <w:r>
              <w:rPr>
                <w:rFonts w:ascii="Arial"/>
                <w:spacing w:val="28"/>
              </w:rPr>
              <w:t xml:space="preserve"> </w:t>
            </w:r>
            <w:r>
              <w:rPr>
                <w:rFonts w:ascii="Arial"/>
                <w:spacing w:val="-2"/>
              </w:rPr>
              <w:t>Framework</w:t>
            </w:r>
            <w:r>
              <w:rPr>
                <w:rFonts w:ascii="Arial"/>
                <w:spacing w:val="3"/>
              </w:rPr>
              <w:t xml:space="preserve"> </w:t>
            </w:r>
            <w:r>
              <w:rPr>
                <w:rFonts w:ascii="Arial"/>
                <w:spacing w:val="-1"/>
              </w:rPr>
              <w:t>Schedule</w:t>
            </w:r>
            <w:r>
              <w:rPr>
                <w:rFonts w:ascii="Arial"/>
              </w:rPr>
              <w:t xml:space="preserve"> 5</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Procedure);</w:t>
            </w:r>
          </w:p>
        </w:tc>
      </w:tr>
      <w:tr w:rsidR="008918FA" w:rsidTr="001C1527">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244"/>
              <w:rPr>
                <w:rFonts w:ascii="Arial" w:eastAsia="Arial" w:hAnsi="Arial" w:cs="Arial"/>
              </w:rPr>
            </w:pPr>
            <w:r>
              <w:rPr>
                <w:rFonts w:ascii="Arial"/>
                <w:b/>
                <w:spacing w:val="-1"/>
              </w:rPr>
              <w:t>"General</w:t>
            </w:r>
            <w:r>
              <w:rPr>
                <w:rFonts w:ascii="Arial"/>
                <w:b/>
                <w:spacing w:val="2"/>
              </w:rPr>
              <w:t xml:space="preserve"> </w:t>
            </w:r>
            <w:r>
              <w:rPr>
                <w:rFonts w:ascii="Arial"/>
                <w:b/>
                <w:spacing w:val="-2"/>
              </w:rPr>
              <w:t>Anti-Abuse</w:t>
            </w:r>
            <w:r>
              <w:rPr>
                <w:rFonts w:ascii="Arial"/>
                <w:b/>
                <w:spacing w:val="27"/>
              </w:rPr>
              <w:t xml:space="preserve"> </w:t>
            </w:r>
            <w:r>
              <w:rPr>
                <w:rFonts w:ascii="Arial"/>
                <w:b/>
                <w:spacing w:val="-1"/>
              </w:rPr>
              <w:t>Rule"</w:t>
            </w:r>
          </w:p>
        </w:tc>
        <w:tc>
          <w:tcPr>
            <w:tcW w:w="6060" w:type="dxa"/>
            <w:tcBorders>
              <w:top w:val="single" w:sz="7" w:space="0" w:color="000000"/>
              <w:left w:val="single" w:sz="7" w:space="0" w:color="000000"/>
              <w:bottom w:val="single" w:sz="7" w:space="0" w:color="000000"/>
              <w:right w:val="single" w:sz="5" w:space="0" w:color="000000"/>
            </w:tcBorders>
            <w:shd w:val="clear" w:color="auto" w:fill="auto"/>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1"/>
              </w:rPr>
              <w:t xml:space="preserve"> </w:t>
            </w:r>
            <w:r>
              <w:rPr>
                <w:rFonts w:ascii="Arial"/>
                <w:spacing w:val="-1"/>
              </w:rPr>
              <w:t>(a)</w:t>
            </w:r>
            <w:r>
              <w:rPr>
                <w:rFonts w:ascii="Arial"/>
                <w:spacing w:val="2"/>
              </w:rPr>
              <w:t xml:space="preserve"> </w:t>
            </w:r>
            <w:r>
              <w:rPr>
                <w:rFonts w:ascii="Arial"/>
              </w:rPr>
              <w:t xml:space="preserve">the </w:t>
            </w:r>
            <w:r>
              <w:rPr>
                <w:rFonts w:ascii="Arial"/>
                <w:spacing w:val="-1"/>
              </w:rPr>
              <w:t>legislation</w:t>
            </w:r>
            <w:r>
              <w:rPr>
                <w:rFonts w:ascii="Arial"/>
                <w:spacing w:val="-2"/>
              </w:rPr>
              <w:t xml:space="preserve"> </w:t>
            </w:r>
            <w:r>
              <w:rPr>
                <w:rFonts w:ascii="Arial"/>
                <w:spacing w:val="-1"/>
              </w:rPr>
              <w:t>in</w:t>
            </w:r>
            <w:r>
              <w:rPr>
                <w:rFonts w:ascii="Arial"/>
                <w:spacing w:val="1"/>
              </w:rPr>
              <w:t xml:space="preserve"> </w:t>
            </w:r>
            <w:r>
              <w:rPr>
                <w:rFonts w:ascii="Arial"/>
                <w:spacing w:val="-1"/>
              </w:rPr>
              <w:t>Part</w:t>
            </w:r>
            <w:r>
              <w:rPr>
                <w:rFonts w:ascii="Arial"/>
                <w:spacing w:val="2"/>
              </w:rPr>
              <w:t xml:space="preserve"> </w:t>
            </w:r>
            <w:r>
              <w:rPr>
                <w:rFonts w:ascii="Arial"/>
              </w:rPr>
              <w:t xml:space="preserve">5 </w:t>
            </w:r>
            <w:r>
              <w:rPr>
                <w:rFonts w:ascii="Arial"/>
                <w:spacing w:val="-2"/>
              </w:rPr>
              <w:t>of</w:t>
            </w:r>
            <w:r>
              <w:rPr>
                <w:rFonts w:ascii="Arial"/>
                <w:spacing w:val="2"/>
              </w:rPr>
              <w:t xml:space="preserve"> </w:t>
            </w:r>
            <w:r>
              <w:rPr>
                <w:rFonts w:ascii="Arial"/>
              </w:rPr>
              <w:t xml:space="preserve">the </w:t>
            </w:r>
            <w:r>
              <w:rPr>
                <w:rFonts w:ascii="Arial"/>
                <w:spacing w:val="-1"/>
              </w:rPr>
              <w:t>Finance</w:t>
            </w:r>
            <w:r>
              <w:rPr>
                <w:rFonts w:ascii="Arial"/>
                <w:spacing w:val="-2"/>
              </w:rPr>
              <w:t xml:space="preserve"> </w:t>
            </w:r>
            <w:r>
              <w:rPr>
                <w:rFonts w:ascii="Arial"/>
                <w:spacing w:val="-1"/>
              </w:rPr>
              <w:t>Act</w:t>
            </w:r>
            <w:r>
              <w:rPr>
                <w:rFonts w:ascii="Arial"/>
                <w:spacing w:val="2"/>
              </w:rPr>
              <w:t xml:space="preserve"> </w:t>
            </w:r>
            <w:r>
              <w:rPr>
                <w:rFonts w:ascii="Arial"/>
                <w:spacing w:val="-1"/>
              </w:rPr>
              <w:t>2013</w:t>
            </w:r>
            <w:r>
              <w:rPr>
                <w:rFonts w:ascii="Arial"/>
                <w:spacing w:val="27"/>
              </w:rPr>
              <w:t xml:space="preserve"> </w:t>
            </w:r>
            <w:r>
              <w:rPr>
                <w:rFonts w:ascii="Arial"/>
                <w:spacing w:val="-1"/>
              </w:rPr>
              <w:t>and;</w:t>
            </w:r>
            <w:r>
              <w:rPr>
                <w:rFonts w:ascii="Arial"/>
                <w:spacing w:val="7"/>
              </w:rPr>
              <w:t xml:space="preserve"> </w:t>
            </w:r>
            <w:r>
              <w:rPr>
                <w:rFonts w:ascii="Arial"/>
                <w:spacing w:val="-1"/>
              </w:rPr>
              <w:t>and</w:t>
            </w:r>
            <w:r>
              <w:rPr>
                <w:rFonts w:ascii="Arial"/>
                <w:spacing w:val="5"/>
              </w:rPr>
              <w:t xml:space="preserve"> </w:t>
            </w:r>
            <w:r>
              <w:rPr>
                <w:rFonts w:ascii="Arial"/>
                <w:spacing w:val="-1"/>
              </w:rPr>
              <w:t>(b)</w:t>
            </w:r>
            <w:r>
              <w:rPr>
                <w:rFonts w:ascii="Arial"/>
                <w:spacing w:val="7"/>
              </w:rPr>
              <w:t xml:space="preserve"> </w:t>
            </w:r>
            <w:r>
              <w:rPr>
                <w:rFonts w:ascii="Arial"/>
                <w:spacing w:val="-1"/>
              </w:rPr>
              <w:t>any</w:t>
            </w:r>
            <w:r>
              <w:rPr>
                <w:rFonts w:ascii="Arial"/>
                <w:spacing w:val="3"/>
              </w:rPr>
              <w:t xml:space="preserve"> </w:t>
            </w:r>
            <w:r>
              <w:rPr>
                <w:rFonts w:ascii="Arial"/>
                <w:spacing w:val="-1"/>
              </w:rPr>
              <w:t>future</w:t>
            </w:r>
            <w:r>
              <w:rPr>
                <w:rFonts w:ascii="Arial"/>
                <w:spacing w:val="5"/>
              </w:rPr>
              <w:t xml:space="preserve"> </w:t>
            </w:r>
            <w:r>
              <w:rPr>
                <w:rFonts w:ascii="Arial"/>
                <w:spacing w:val="-1"/>
              </w:rPr>
              <w:t>legislation</w:t>
            </w:r>
            <w:r>
              <w:rPr>
                <w:rFonts w:ascii="Arial"/>
                <w:spacing w:val="5"/>
              </w:rPr>
              <w:t xml:space="preserve"> </w:t>
            </w:r>
            <w:r>
              <w:rPr>
                <w:rFonts w:ascii="Arial"/>
                <w:spacing w:val="-1"/>
              </w:rPr>
              <w:t>introduced</w:t>
            </w:r>
            <w:r>
              <w:rPr>
                <w:rFonts w:ascii="Arial"/>
                <w:spacing w:val="5"/>
              </w:rPr>
              <w:t xml:space="preserve"> </w:t>
            </w:r>
            <w:r>
              <w:rPr>
                <w:rFonts w:ascii="Arial"/>
                <w:spacing w:val="-1"/>
              </w:rPr>
              <w:t>into</w:t>
            </w:r>
            <w:r>
              <w:rPr>
                <w:rFonts w:ascii="Arial"/>
                <w:spacing w:val="31"/>
              </w:rPr>
              <w:t xml:space="preserve"> </w:t>
            </w:r>
            <w:r>
              <w:rPr>
                <w:rFonts w:ascii="Arial"/>
                <w:spacing w:val="-1"/>
              </w:rPr>
              <w:t>parliament</w:t>
            </w:r>
            <w:r>
              <w:rPr>
                <w:rFonts w:ascii="Arial"/>
                <w:spacing w:val="30"/>
              </w:rPr>
              <w:t xml:space="preserve"> </w:t>
            </w:r>
            <w:r>
              <w:rPr>
                <w:rFonts w:ascii="Arial"/>
              </w:rPr>
              <w:t>to</w:t>
            </w:r>
            <w:r>
              <w:rPr>
                <w:rFonts w:ascii="Arial"/>
                <w:spacing w:val="30"/>
              </w:rPr>
              <w:t xml:space="preserve"> </w:t>
            </w:r>
            <w:r>
              <w:rPr>
                <w:rFonts w:ascii="Arial"/>
                <w:spacing w:val="-1"/>
              </w:rPr>
              <w:t>counteract</w:t>
            </w:r>
            <w:r>
              <w:rPr>
                <w:rFonts w:ascii="Arial"/>
                <w:spacing w:val="30"/>
              </w:rPr>
              <w:t xml:space="preserve"> </w:t>
            </w:r>
            <w:r>
              <w:rPr>
                <w:rFonts w:ascii="Arial"/>
              </w:rPr>
              <w:t>tax</w:t>
            </w:r>
            <w:r>
              <w:rPr>
                <w:rFonts w:ascii="Arial"/>
                <w:spacing w:val="28"/>
              </w:rPr>
              <w:t xml:space="preserve"> </w:t>
            </w:r>
            <w:r>
              <w:rPr>
                <w:rFonts w:ascii="Arial"/>
                <w:spacing w:val="-1"/>
              </w:rPr>
              <w:t>advantages</w:t>
            </w:r>
            <w:r>
              <w:rPr>
                <w:rFonts w:ascii="Arial"/>
                <w:spacing w:val="31"/>
              </w:rPr>
              <w:t xml:space="preserve"> </w:t>
            </w:r>
            <w:r>
              <w:rPr>
                <w:rFonts w:ascii="Arial"/>
                <w:spacing w:val="-2"/>
              </w:rPr>
              <w:t>arising</w:t>
            </w:r>
            <w:r>
              <w:rPr>
                <w:rFonts w:ascii="Arial"/>
                <w:spacing w:val="30"/>
              </w:rPr>
              <w:t xml:space="preserve"> </w:t>
            </w:r>
            <w:r>
              <w:rPr>
                <w:rFonts w:ascii="Arial"/>
                <w:spacing w:val="-1"/>
              </w:rPr>
              <w:t>from</w:t>
            </w:r>
            <w:r>
              <w:rPr>
                <w:rFonts w:ascii="Arial"/>
                <w:spacing w:val="25"/>
              </w:rPr>
              <w:t xml:space="preserve"> </w:t>
            </w:r>
            <w:r>
              <w:rPr>
                <w:rFonts w:ascii="Arial"/>
                <w:spacing w:val="-2"/>
              </w:rPr>
              <w:t>abusive</w:t>
            </w:r>
            <w:r>
              <w:rPr>
                <w:rFonts w:ascii="Arial"/>
                <w:spacing w:val="41"/>
              </w:rPr>
              <w:t xml:space="preserve"> </w:t>
            </w:r>
            <w:r>
              <w:rPr>
                <w:rFonts w:ascii="Arial"/>
                <w:spacing w:val="-1"/>
              </w:rPr>
              <w:t>arrangements</w:t>
            </w:r>
            <w:r>
              <w:rPr>
                <w:rFonts w:ascii="Arial"/>
                <w:spacing w:val="39"/>
              </w:rPr>
              <w:t xml:space="preserve"> </w:t>
            </w:r>
            <w:r>
              <w:rPr>
                <w:rFonts w:ascii="Arial"/>
              </w:rPr>
              <w:t>to</w:t>
            </w:r>
            <w:r>
              <w:rPr>
                <w:rFonts w:ascii="Arial"/>
                <w:spacing w:val="41"/>
              </w:rPr>
              <w:t xml:space="preserve"> </w:t>
            </w:r>
            <w:r>
              <w:rPr>
                <w:rFonts w:ascii="Arial"/>
                <w:spacing w:val="-2"/>
              </w:rPr>
              <w:t>avoid</w:t>
            </w:r>
            <w:r>
              <w:rPr>
                <w:rFonts w:ascii="Arial"/>
                <w:spacing w:val="41"/>
              </w:rPr>
              <w:t xml:space="preserve"> </w:t>
            </w:r>
            <w:r>
              <w:rPr>
                <w:rFonts w:ascii="Arial"/>
                <w:spacing w:val="-1"/>
              </w:rPr>
              <w:t>national</w:t>
            </w:r>
            <w:r>
              <w:rPr>
                <w:rFonts w:ascii="Arial"/>
                <w:spacing w:val="40"/>
              </w:rPr>
              <w:t xml:space="preserve"> </w:t>
            </w:r>
            <w:r>
              <w:rPr>
                <w:rFonts w:ascii="Arial"/>
                <w:spacing w:val="-1"/>
              </w:rPr>
              <w:t>insurance</w:t>
            </w:r>
            <w:r>
              <w:rPr>
                <w:rFonts w:ascii="Arial"/>
                <w:spacing w:val="36"/>
              </w:rPr>
              <w:t xml:space="preserve"> </w:t>
            </w:r>
            <w:r>
              <w:rPr>
                <w:rFonts w:ascii="Arial"/>
                <w:spacing w:val="-1"/>
              </w:rPr>
              <w:t>contributions;</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349"/>
              <w:rPr>
                <w:rFonts w:ascii="Arial" w:eastAsia="Arial" w:hAnsi="Arial" w:cs="Arial"/>
              </w:rPr>
            </w:pPr>
            <w:r>
              <w:rPr>
                <w:rFonts w:ascii="Arial"/>
                <w:b/>
                <w:spacing w:val="-1"/>
              </w:rPr>
              <w:t>"General</w:t>
            </w:r>
            <w:r>
              <w:rPr>
                <w:rFonts w:ascii="Arial"/>
                <w:b/>
              </w:rPr>
              <w:t xml:space="preserve"> </w:t>
            </w:r>
            <w:r>
              <w:rPr>
                <w:rFonts w:ascii="Arial"/>
                <w:b/>
                <w:spacing w:val="-1"/>
              </w:rPr>
              <w:t>Change</w:t>
            </w:r>
            <w:r>
              <w:rPr>
                <w:rFonts w:ascii="Arial"/>
                <w:b/>
                <w:spacing w:val="-2"/>
              </w:rPr>
              <w:t xml:space="preserve"> </w:t>
            </w:r>
            <w:r>
              <w:rPr>
                <w:rFonts w:ascii="Arial"/>
                <w:b/>
              </w:rPr>
              <w:t>in</w:t>
            </w:r>
            <w:r>
              <w:rPr>
                <w:rFonts w:ascii="Arial"/>
                <w:b/>
                <w:spacing w:val="25"/>
              </w:rPr>
              <w:t xml:space="preserve"> </w:t>
            </w:r>
            <w:r>
              <w:rPr>
                <w:rFonts w:ascii="Arial"/>
                <w:b/>
                <w:spacing w:val="-1"/>
              </w:rPr>
              <w:t>Law"</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3"/>
              </w:rPr>
              <w:t xml:space="preserve"> </w:t>
            </w:r>
            <w:r>
              <w:rPr>
                <w:rFonts w:ascii="Arial"/>
              </w:rPr>
              <w:t>a</w:t>
            </w:r>
            <w:r>
              <w:rPr>
                <w:rFonts w:ascii="Arial"/>
                <w:spacing w:val="3"/>
              </w:rPr>
              <w:t xml:space="preserve"> </w:t>
            </w:r>
            <w:r>
              <w:rPr>
                <w:rFonts w:ascii="Arial"/>
                <w:spacing w:val="-1"/>
              </w:rPr>
              <w:t>Change</w:t>
            </w:r>
            <w:r>
              <w:rPr>
                <w:rFonts w:ascii="Arial"/>
                <w:spacing w:val="3"/>
              </w:rPr>
              <w:t xml:space="preserve"> </w:t>
            </w:r>
            <w:r>
              <w:rPr>
                <w:rFonts w:ascii="Arial"/>
                <w:spacing w:val="-1"/>
              </w:rPr>
              <w:t>in</w:t>
            </w:r>
            <w:r>
              <w:rPr>
                <w:rFonts w:ascii="Arial"/>
                <w:spacing w:val="3"/>
              </w:rPr>
              <w:t xml:space="preserve"> </w:t>
            </w:r>
            <w:r>
              <w:rPr>
                <w:rFonts w:ascii="Arial"/>
                <w:spacing w:val="-1"/>
              </w:rPr>
              <w:t>Law</w:t>
            </w:r>
            <w:r>
              <w:rPr>
                <w:rFonts w:ascii="Arial"/>
                <w:spacing w:val="2"/>
              </w:rPr>
              <w:t xml:space="preserve"> </w:t>
            </w:r>
            <w:r>
              <w:rPr>
                <w:rFonts w:ascii="Arial"/>
                <w:spacing w:val="-2"/>
              </w:rPr>
              <w:t>where</w:t>
            </w:r>
            <w:r>
              <w:rPr>
                <w:rFonts w:ascii="Arial"/>
                <w:spacing w:val="3"/>
              </w:rPr>
              <w:t xml:space="preserve"> </w:t>
            </w:r>
            <w:r>
              <w:rPr>
                <w:rFonts w:ascii="Arial"/>
              </w:rPr>
              <w:t>the</w:t>
            </w:r>
            <w:r>
              <w:rPr>
                <w:rFonts w:ascii="Arial"/>
                <w:spacing w:val="3"/>
              </w:rPr>
              <w:t xml:space="preserve"> </w:t>
            </w:r>
            <w:r>
              <w:rPr>
                <w:rFonts w:ascii="Arial"/>
                <w:spacing w:val="-1"/>
              </w:rPr>
              <w:t>change</w:t>
            </w:r>
            <w:r>
              <w:rPr>
                <w:rFonts w:ascii="Arial"/>
                <w:spacing w:val="3"/>
              </w:rPr>
              <w:t xml:space="preserve"> </w:t>
            </w:r>
            <w:r>
              <w:rPr>
                <w:rFonts w:ascii="Arial"/>
                <w:spacing w:val="-1"/>
              </w:rPr>
              <w:t>is</w:t>
            </w:r>
            <w:r>
              <w:rPr>
                <w:rFonts w:ascii="Arial"/>
                <w:spacing w:val="3"/>
              </w:rPr>
              <w:t xml:space="preserve"> </w:t>
            </w:r>
            <w:r>
              <w:rPr>
                <w:rFonts w:ascii="Arial"/>
                <w:spacing w:val="-1"/>
              </w:rPr>
              <w:t>of</w:t>
            </w:r>
            <w:r>
              <w:rPr>
                <w:rFonts w:ascii="Arial"/>
                <w:spacing w:val="6"/>
              </w:rPr>
              <w:t xml:space="preserve"> </w:t>
            </w:r>
            <w:r>
              <w:rPr>
                <w:rFonts w:ascii="Arial"/>
              </w:rPr>
              <w:t xml:space="preserve">a </w:t>
            </w:r>
            <w:r>
              <w:rPr>
                <w:rFonts w:ascii="Arial"/>
                <w:spacing w:val="-1"/>
              </w:rPr>
              <w:t>general</w:t>
            </w:r>
            <w:r>
              <w:rPr>
                <w:rFonts w:ascii="Arial"/>
                <w:spacing w:val="40"/>
              </w:rPr>
              <w:t xml:space="preserve"> </w:t>
            </w:r>
            <w:r>
              <w:rPr>
                <w:rFonts w:ascii="Arial"/>
                <w:spacing w:val="-1"/>
              </w:rPr>
              <w:t>legislative</w:t>
            </w:r>
            <w:r>
              <w:rPr>
                <w:rFonts w:ascii="Arial"/>
                <w:spacing w:val="24"/>
              </w:rPr>
              <w:t xml:space="preserve"> </w:t>
            </w:r>
            <w:r>
              <w:rPr>
                <w:rFonts w:ascii="Arial"/>
                <w:spacing w:val="-1"/>
              </w:rPr>
              <w:t>nature</w:t>
            </w:r>
            <w:r>
              <w:rPr>
                <w:rFonts w:ascii="Arial"/>
                <w:spacing w:val="22"/>
              </w:rPr>
              <w:t xml:space="preserve"> </w:t>
            </w:r>
            <w:r>
              <w:rPr>
                <w:rFonts w:ascii="Arial"/>
                <w:spacing w:val="-1"/>
              </w:rPr>
              <w:t>(including</w:t>
            </w:r>
            <w:r>
              <w:rPr>
                <w:rFonts w:ascii="Arial"/>
                <w:spacing w:val="24"/>
              </w:rPr>
              <w:t xml:space="preserve"> </w:t>
            </w:r>
            <w:r>
              <w:rPr>
                <w:rFonts w:ascii="Arial"/>
                <w:spacing w:val="-1"/>
              </w:rPr>
              <w:t>taxation</w:t>
            </w:r>
            <w:r>
              <w:rPr>
                <w:rFonts w:ascii="Arial"/>
                <w:spacing w:val="24"/>
              </w:rPr>
              <w:t xml:space="preserve"> </w:t>
            </w:r>
            <w:r>
              <w:rPr>
                <w:rFonts w:ascii="Arial"/>
                <w:spacing w:val="-1"/>
              </w:rPr>
              <w:t>or</w:t>
            </w:r>
            <w:r>
              <w:rPr>
                <w:rFonts w:ascii="Arial"/>
                <w:spacing w:val="26"/>
              </w:rPr>
              <w:t xml:space="preserve"> </w:t>
            </w:r>
            <w:r>
              <w:rPr>
                <w:rFonts w:ascii="Arial"/>
                <w:spacing w:val="-1"/>
              </w:rPr>
              <w:t>duties</w:t>
            </w:r>
            <w:r>
              <w:rPr>
                <w:rFonts w:ascii="Arial"/>
                <w:spacing w:val="25"/>
              </w:rPr>
              <w:t xml:space="preserve"> </w:t>
            </w:r>
            <w:r>
              <w:rPr>
                <w:rFonts w:ascii="Arial"/>
                <w:spacing w:val="-2"/>
              </w:rPr>
              <w:t>of</w:t>
            </w:r>
            <w:r>
              <w:rPr>
                <w:rFonts w:ascii="Arial"/>
                <w:spacing w:val="26"/>
              </w:rPr>
              <w:t xml:space="preserve"> </w:t>
            </w:r>
            <w:r>
              <w:rPr>
                <w:rFonts w:ascii="Arial"/>
                <w:spacing w:val="-1"/>
              </w:rPr>
              <w:t>any</w:t>
            </w:r>
            <w:r>
              <w:rPr>
                <w:rFonts w:ascii="Arial"/>
                <w:spacing w:val="22"/>
              </w:rPr>
              <w:t xml:space="preserve"> </w:t>
            </w:r>
            <w:r>
              <w:rPr>
                <w:rFonts w:ascii="Arial"/>
                <w:spacing w:val="-1"/>
              </w:rPr>
              <w:t>sort</w:t>
            </w:r>
            <w:r>
              <w:rPr>
                <w:rFonts w:ascii="Arial"/>
                <w:spacing w:val="23"/>
              </w:rPr>
              <w:t xml:space="preserve"> </w:t>
            </w:r>
            <w:r>
              <w:rPr>
                <w:rFonts w:ascii="Arial"/>
                <w:spacing w:val="-1"/>
              </w:rPr>
              <w:t>affecting</w:t>
            </w:r>
            <w:r>
              <w:rPr>
                <w:rFonts w:ascii="Arial"/>
                <w:spacing w:val="58"/>
              </w:rPr>
              <w:t xml:space="preserve"> </w:t>
            </w:r>
            <w:r>
              <w:rPr>
                <w:rFonts w:ascii="Arial"/>
              </w:rPr>
              <w:t>the</w:t>
            </w:r>
            <w:r>
              <w:rPr>
                <w:rFonts w:ascii="Arial"/>
                <w:spacing w:val="58"/>
              </w:rPr>
              <w:t xml:space="preserve"> </w:t>
            </w:r>
            <w:r>
              <w:rPr>
                <w:rFonts w:ascii="Arial"/>
                <w:spacing w:val="-1"/>
              </w:rPr>
              <w:t>Supplier)</w:t>
            </w:r>
            <w:r>
              <w:rPr>
                <w:rFonts w:ascii="Arial"/>
                <w:spacing w:val="59"/>
              </w:rPr>
              <w:t xml:space="preserve"> </w:t>
            </w:r>
            <w:r>
              <w:rPr>
                <w:rFonts w:ascii="Arial"/>
                <w:spacing w:val="-1"/>
              </w:rPr>
              <w:t>or</w:t>
            </w:r>
            <w:r>
              <w:rPr>
                <w:rFonts w:ascii="Arial"/>
                <w:spacing w:val="59"/>
              </w:rPr>
              <w:t xml:space="preserve"> </w:t>
            </w:r>
            <w:r>
              <w:rPr>
                <w:rFonts w:ascii="Arial"/>
                <w:spacing w:val="-2"/>
              </w:rPr>
              <w:t>which</w:t>
            </w:r>
            <w:r>
              <w:rPr>
                <w:rFonts w:ascii="Arial"/>
              </w:rPr>
              <w:t xml:space="preserve">  affects</w:t>
            </w:r>
            <w:r>
              <w:rPr>
                <w:rFonts w:ascii="Arial"/>
                <w:spacing w:val="58"/>
              </w:rPr>
              <w:t xml:space="preserve"> </w:t>
            </w:r>
            <w:r>
              <w:rPr>
                <w:rFonts w:ascii="Arial"/>
                <w:spacing w:val="-1"/>
              </w:rPr>
              <w:t>or</w:t>
            </w:r>
            <w:r>
              <w:rPr>
                <w:rFonts w:ascii="Arial"/>
                <w:spacing w:val="59"/>
              </w:rPr>
              <w:t xml:space="preserve"> </w:t>
            </w:r>
            <w:r>
              <w:rPr>
                <w:rFonts w:ascii="Arial"/>
                <w:spacing w:val="-1"/>
              </w:rPr>
              <w:t>relates</w:t>
            </w:r>
            <w:r>
              <w:rPr>
                <w:rFonts w:ascii="Arial"/>
                <w:spacing w:val="59"/>
              </w:rPr>
              <w:t xml:space="preserve"> </w:t>
            </w:r>
            <w:r>
              <w:rPr>
                <w:rFonts w:ascii="Arial"/>
              </w:rPr>
              <w:t>to</w:t>
            </w:r>
            <w:r>
              <w:rPr>
                <w:rFonts w:ascii="Arial"/>
                <w:spacing w:val="58"/>
              </w:rPr>
              <w:t xml:space="preserve"> </w:t>
            </w:r>
            <w:r>
              <w:rPr>
                <w:rFonts w:ascii="Arial"/>
              </w:rPr>
              <w:t>a</w:t>
            </w:r>
            <w:r>
              <w:rPr>
                <w:rFonts w:ascii="Arial"/>
                <w:spacing w:val="21"/>
              </w:rPr>
              <w:t xml:space="preserve"> </w:t>
            </w:r>
            <w:r>
              <w:rPr>
                <w:rFonts w:ascii="Arial"/>
                <w:spacing w:val="-1"/>
              </w:rPr>
              <w:t>Comparable</w:t>
            </w:r>
            <w:r>
              <w:rPr>
                <w:rFonts w:ascii="Arial"/>
              </w:rPr>
              <w:t xml:space="preserve"> </w:t>
            </w:r>
            <w:r>
              <w:rPr>
                <w:rFonts w:ascii="Arial"/>
                <w:spacing w:val="-2"/>
              </w:rPr>
              <w:t>Supply;</w:t>
            </w:r>
          </w:p>
        </w:tc>
      </w:tr>
      <w:tr w:rsidR="008918FA" w:rsidTr="005D2B81">
        <w:trPr>
          <w:trHeight w:hRule="exact" w:val="1654"/>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788"/>
              <w:rPr>
                <w:rFonts w:ascii="Arial" w:eastAsia="Arial" w:hAnsi="Arial" w:cs="Arial"/>
              </w:rPr>
            </w:pPr>
            <w:r>
              <w:rPr>
                <w:rFonts w:ascii="Arial"/>
                <w:b/>
                <w:spacing w:val="-1"/>
              </w:rPr>
              <w:t>"Good</w:t>
            </w:r>
            <w:r>
              <w:rPr>
                <w:rFonts w:ascii="Arial"/>
                <w:b/>
                <w:spacing w:val="-2"/>
              </w:rPr>
              <w:t xml:space="preserve"> </w:t>
            </w:r>
            <w:r>
              <w:rPr>
                <w:rFonts w:ascii="Arial"/>
                <w:b/>
                <w:spacing w:val="-1"/>
              </w:rPr>
              <w:t>Industry</w:t>
            </w:r>
            <w:r>
              <w:rPr>
                <w:rFonts w:ascii="Arial"/>
                <w:b/>
                <w:spacing w:val="28"/>
              </w:rPr>
              <w:t xml:space="preserve"> </w:t>
            </w:r>
            <w:r>
              <w:rPr>
                <w:rFonts w:ascii="Arial"/>
                <w:b/>
                <w:spacing w:val="-1"/>
              </w:rPr>
              <w:t>Practice"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24"/>
              </w:rPr>
              <w:t xml:space="preserve"> </w:t>
            </w:r>
            <w:r>
              <w:rPr>
                <w:rFonts w:ascii="Arial"/>
                <w:spacing w:val="-1"/>
              </w:rPr>
              <w:t>standards,</w:t>
            </w:r>
            <w:r>
              <w:rPr>
                <w:rFonts w:ascii="Arial"/>
                <w:spacing w:val="25"/>
              </w:rPr>
              <w:t xml:space="preserve"> </w:t>
            </w:r>
            <w:r>
              <w:rPr>
                <w:rFonts w:ascii="Arial"/>
                <w:spacing w:val="-1"/>
              </w:rPr>
              <w:t>practices,</w:t>
            </w:r>
            <w:r>
              <w:rPr>
                <w:rFonts w:ascii="Arial"/>
                <w:spacing w:val="24"/>
              </w:rPr>
              <w:t xml:space="preserve"> </w:t>
            </w:r>
            <w:r>
              <w:rPr>
                <w:rFonts w:ascii="Arial"/>
                <w:spacing w:val="-1"/>
              </w:rPr>
              <w:t>methods</w:t>
            </w:r>
            <w:r>
              <w:rPr>
                <w:rFonts w:ascii="Arial"/>
                <w:spacing w:val="24"/>
              </w:rPr>
              <w:t xml:space="preserve"> </w:t>
            </w:r>
            <w:r>
              <w:rPr>
                <w:rFonts w:ascii="Arial"/>
                <w:spacing w:val="-1"/>
              </w:rPr>
              <w:t>and</w:t>
            </w:r>
            <w:r>
              <w:rPr>
                <w:rFonts w:ascii="Arial"/>
                <w:spacing w:val="23"/>
              </w:rPr>
              <w:t xml:space="preserve"> </w:t>
            </w:r>
            <w:r>
              <w:rPr>
                <w:rFonts w:ascii="Arial"/>
                <w:spacing w:val="-2"/>
              </w:rPr>
              <w:t>procedures</w:t>
            </w:r>
            <w:r>
              <w:rPr>
                <w:rFonts w:ascii="Arial"/>
                <w:spacing w:val="36"/>
              </w:rPr>
              <w:t xml:space="preserve"> </w:t>
            </w:r>
            <w:r>
              <w:rPr>
                <w:rFonts w:ascii="Arial"/>
                <w:spacing w:val="-1"/>
              </w:rPr>
              <w:t>conforming</w:t>
            </w:r>
            <w:r>
              <w:rPr>
                <w:rFonts w:ascii="Arial"/>
                <w:spacing w:val="24"/>
              </w:rPr>
              <w:t xml:space="preserve"> </w:t>
            </w:r>
            <w:r>
              <w:rPr>
                <w:rFonts w:ascii="Arial"/>
              </w:rPr>
              <w:t>to</w:t>
            </w:r>
            <w:r>
              <w:rPr>
                <w:rFonts w:ascii="Arial"/>
                <w:spacing w:val="22"/>
              </w:rPr>
              <w:t xml:space="preserve"> </w:t>
            </w:r>
            <w:r>
              <w:rPr>
                <w:rFonts w:ascii="Arial"/>
              </w:rPr>
              <w:t>the</w:t>
            </w:r>
            <w:r>
              <w:rPr>
                <w:rFonts w:ascii="Arial"/>
                <w:spacing w:val="22"/>
              </w:rPr>
              <w:t xml:space="preserve"> </w:t>
            </w:r>
            <w:r>
              <w:rPr>
                <w:rFonts w:ascii="Arial"/>
                <w:spacing w:val="-1"/>
              </w:rPr>
              <w:t>Law</w:t>
            </w:r>
            <w:r>
              <w:rPr>
                <w:rFonts w:ascii="Arial"/>
                <w:spacing w:val="19"/>
              </w:rPr>
              <w:t xml:space="preserve"> </w:t>
            </w:r>
            <w:r>
              <w:rPr>
                <w:rFonts w:ascii="Arial"/>
                <w:spacing w:val="-1"/>
              </w:rPr>
              <w:t>and</w:t>
            </w:r>
            <w:r>
              <w:rPr>
                <w:rFonts w:ascii="Arial"/>
                <w:spacing w:val="22"/>
              </w:rPr>
              <w:t xml:space="preserve"> </w:t>
            </w:r>
            <w:r>
              <w:rPr>
                <w:rFonts w:ascii="Arial"/>
              </w:rPr>
              <w:t>the</w:t>
            </w:r>
            <w:r>
              <w:rPr>
                <w:rFonts w:ascii="Arial"/>
                <w:spacing w:val="22"/>
              </w:rPr>
              <w:t xml:space="preserve"> </w:t>
            </w:r>
            <w:r>
              <w:rPr>
                <w:rFonts w:ascii="Arial"/>
                <w:spacing w:val="-1"/>
              </w:rPr>
              <w:t>exercise</w:t>
            </w:r>
            <w:r>
              <w:rPr>
                <w:rFonts w:ascii="Arial"/>
                <w:spacing w:val="22"/>
              </w:rPr>
              <w:t xml:space="preserve"> </w:t>
            </w:r>
            <w:r>
              <w:rPr>
                <w:rFonts w:ascii="Arial"/>
                <w:spacing w:val="-1"/>
              </w:rPr>
              <w:t>of</w:t>
            </w:r>
            <w:r>
              <w:rPr>
                <w:rFonts w:ascii="Arial"/>
                <w:spacing w:val="23"/>
              </w:rPr>
              <w:t xml:space="preserve"> </w:t>
            </w:r>
            <w:r>
              <w:rPr>
                <w:rFonts w:ascii="Arial"/>
              </w:rPr>
              <w:t>the</w:t>
            </w:r>
            <w:r>
              <w:rPr>
                <w:rFonts w:ascii="Arial"/>
                <w:spacing w:val="22"/>
              </w:rPr>
              <w:t xml:space="preserve"> </w:t>
            </w:r>
            <w:r>
              <w:rPr>
                <w:rFonts w:ascii="Arial"/>
                <w:spacing w:val="-1"/>
              </w:rPr>
              <w:t>degree</w:t>
            </w:r>
            <w:r>
              <w:rPr>
                <w:rFonts w:ascii="Arial"/>
                <w:spacing w:val="22"/>
              </w:rPr>
              <w:t xml:space="preserve"> </w:t>
            </w:r>
            <w:r>
              <w:rPr>
                <w:rFonts w:ascii="Arial"/>
                <w:spacing w:val="-2"/>
              </w:rPr>
              <w:t>of</w:t>
            </w:r>
            <w:r>
              <w:rPr>
                <w:rFonts w:ascii="Arial"/>
                <w:spacing w:val="27"/>
              </w:rPr>
              <w:t xml:space="preserve"> </w:t>
            </w:r>
            <w:r>
              <w:rPr>
                <w:rFonts w:ascii="Arial"/>
                <w:spacing w:val="-1"/>
              </w:rPr>
              <w:t>skill</w:t>
            </w:r>
            <w:r>
              <w:rPr>
                <w:rFonts w:ascii="Arial"/>
                <w:spacing w:val="55"/>
              </w:rPr>
              <w:t xml:space="preserve"> </w:t>
            </w:r>
            <w:r>
              <w:rPr>
                <w:rFonts w:ascii="Arial"/>
                <w:spacing w:val="-1"/>
              </w:rPr>
              <w:t>and</w:t>
            </w:r>
            <w:r>
              <w:rPr>
                <w:rFonts w:ascii="Arial"/>
                <w:spacing w:val="55"/>
              </w:rPr>
              <w:t xml:space="preserve"> </w:t>
            </w:r>
            <w:r>
              <w:rPr>
                <w:rFonts w:ascii="Arial"/>
                <w:spacing w:val="-1"/>
              </w:rPr>
              <w:t>care,</w:t>
            </w:r>
            <w:r>
              <w:rPr>
                <w:rFonts w:ascii="Arial"/>
                <w:spacing w:val="57"/>
              </w:rPr>
              <w:t xml:space="preserve"> </w:t>
            </w:r>
            <w:r>
              <w:rPr>
                <w:rFonts w:ascii="Arial"/>
                <w:spacing w:val="-1"/>
              </w:rPr>
              <w:t>diligence,</w:t>
            </w:r>
            <w:r>
              <w:rPr>
                <w:rFonts w:ascii="Arial"/>
                <w:spacing w:val="57"/>
              </w:rPr>
              <w:t xml:space="preserve"> </w:t>
            </w:r>
            <w:r>
              <w:rPr>
                <w:rFonts w:ascii="Arial"/>
                <w:spacing w:val="-1"/>
              </w:rPr>
              <w:t>prudence</w:t>
            </w:r>
            <w:r>
              <w:rPr>
                <w:rFonts w:ascii="Arial"/>
                <w:spacing w:val="56"/>
              </w:rPr>
              <w:t xml:space="preserve"> </w:t>
            </w:r>
            <w:r>
              <w:rPr>
                <w:rFonts w:ascii="Arial"/>
                <w:spacing w:val="-1"/>
              </w:rPr>
              <w:t>and</w:t>
            </w:r>
            <w:r>
              <w:rPr>
                <w:rFonts w:ascii="Arial"/>
                <w:spacing w:val="55"/>
              </w:rPr>
              <w:t xml:space="preserve"> </w:t>
            </w:r>
            <w:r>
              <w:rPr>
                <w:rFonts w:ascii="Arial"/>
                <w:spacing w:val="-1"/>
              </w:rPr>
              <w:t>foresight</w:t>
            </w:r>
            <w:r>
              <w:rPr>
                <w:rFonts w:ascii="Arial"/>
                <w:spacing w:val="58"/>
              </w:rPr>
              <w:t xml:space="preserve"> </w:t>
            </w:r>
            <w:r>
              <w:rPr>
                <w:rFonts w:ascii="Arial"/>
                <w:spacing w:val="-2"/>
              </w:rPr>
              <w:t>which</w:t>
            </w:r>
            <w:r>
              <w:rPr>
                <w:rFonts w:ascii="Arial"/>
                <w:spacing w:val="26"/>
              </w:rPr>
              <w:t xml:space="preserve"> </w:t>
            </w:r>
            <w:r>
              <w:rPr>
                <w:rFonts w:ascii="Arial"/>
                <w:spacing w:val="-1"/>
              </w:rPr>
              <w:t>would</w:t>
            </w:r>
            <w:r>
              <w:rPr>
                <w:rFonts w:ascii="Arial"/>
                <w:spacing w:val="28"/>
              </w:rPr>
              <w:t xml:space="preserve"> </w:t>
            </w:r>
            <w:r>
              <w:rPr>
                <w:rFonts w:ascii="Arial"/>
                <w:spacing w:val="-1"/>
              </w:rPr>
              <w:t>reasonably</w:t>
            </w:r>
            <w:r>
              <w:rPr>
                <w:rFonts w:ascii="Arial"/>
                <w:spacing w:val="28"/>
              </w:rPr>
              <w:t xml:space="preserve"> </w:t>
            </w:r>
            <w:r>
              <w:rPr>
                <w:rFonts w:ascii="Arial"/>
                <w:spacing w:val="-1"/>
              </w:rPr>
              <w:t>and</w:t>
            </w:r>
            <w:r>
              <w:rPr>
                <w:rFonts w:ascii="Arial"/>
                <w:spacing w:val="30"/>
              </w:rPr>
              <w:t xml:space="preserve"> </w:t>
            </w:r>
            <w:r>
              <w:rPr>
                <w:rFonts w:ascii="Arial"/>
                <w:spacing w:val="-1"/>
              </w:rPr>
              <w:t>ordinarily</w:t>
            </w:r>
            <w:r>
              <w:rPr>
                <w:rFonts w:ascii="Arial"/>
                <w:spacing w:val="28"/>
              </w:rPr>
              <w:t xml:space="preserve"> </w:t>
            </w:r>
            <w:r>
              <w:rPr>
                <w:rFonts w:ascii="Arial"/>
                <w:spacing w:val="-1"/>
              </w:rPr>
              <w:t>be</w:t>
            </w:r>
            <w:r>
              <w:rPr>
                <w:rFonts w:ascii="Arial"/>
                <w:spacing w:val="28"/>
              </w:rPr>
              <w:t xml:space="preserve"> </w:t>
            </w:r>
            <w:r>
              <w:rPr>
                <w:rFonts w:ascii="Arial"/>
                <w:spacing w:val="-1"/>
              </w:rPr>
              <w:t>expected</w:t>
            </w:r>
            <w:r>
              <w:rPr>
                <w:rFonts w:ascii="Arial"/>
                <w:spacing w:val="28"/>
              </w:rPr>
              <w:t xml:space="preserve"> </w:t>
            </w:r>
            <w:r>
              <w:rPr>
                <w:rFonts w:ascii="Arial"/>
              </w:rPr>
              <w:t>from</w:t>
            </w:r>
            <w:r>
              <w:rPr>
                <w:rFonts w:ascii="Arial"/>
                <w:spacing w:val="27"/>
              </w:rPr>
              <w:t xml:space="preserve"> </w:t>
            </w:r>
            <w:r>
              <w:rPr>
                <w:rFonts w:ascii="Arial"/>
              </w:rPr>
              <w:t>a</w:t>
            </w:r>
            <w:r>
              <w:rPr>
                <w:rFonts w:ascii="Arial"/>
                <w:spacing w:val="29"/>
              </w:rPr>
              <w:t xml:space="preserve"> </w:t>
            </w:r>
            <w:r>
              <w:rPr>
                <w:rFonts w:ascii="Arial"/>
                <w:spacing w:val="-1"/>
              </w:rPr>
              <w:t>skilled</w:t>
            </w:r>
            <w:r>
              <w:rPr>
                <w:rFonts w:ascii="Arial"/>
                <w:spacing w:val="43"/>
              </w:rPr>
              <w:t xml:space="preserve"> </w:t>
            </w:r>
            <w:r>
              <w:rPr>
                <w:rFonts w:ascii="Arial"/>
                <w:spacing w:val="-1"/>
              </w:rPr>
              <w:t>and</w:t>
            </w:r>
            <w:r>
              <w:rPr>
                <w:rFonts w:ascii="Arial"/>
                <w:spacing w:val="43"/>
              </w:rPr>
              <w:t xml:space="preserve"> </w:t>
            </w:r>
            <w:r>
              <w:rPr>
                <w:rFonts w:ascii="Arial"/>
                <w:spacing w:val="-1"/>
              </w:rPr>
              <w:t>experienced</w:t>
            </w:r>
            <w:r>
              <w:rPr>
                <w:rFonts w:ascii="Arial"/>
                <w:spacing w:val="41"/>
              </w:rPr>
              <w:t xml:space="preserve"> </w:t>
            </w:r>
            <w:r>
              <w:rPr>
                <w:rFonts w:ascii="Arial"/>
                <w:spacing w:val="-1"/>
              </w:rPr>
              <w:t>person</w:t>
            </w:r>
            <w:r>
              <w:rPr>
                <w:rFonts w:ascii="Arial"/>
                <w:spacing w:val="43"/>
              </w:rPr>
              <w:t xml:space="preserve"> </w:t>
            </w:r>
            <w:r>
              <w:rPr>
                <w:rFonts w:ascii="Arial"/>
                <w:spacing w:val="-2"/>
              </w:rPr>
              <w:t>or</w:t>
            </w:r>
            <w:r>
              <w:rPr>
                <w:rFonts w:ascii="Arial"/>
                <w:spacing w:val="45"/>
              </w:rPr>
              <w:t xml:space="preserve"> </w:t>
            </w:r>
            <w:r>
              <w:rPr>
                <w:rFonts w:ascii="Arial"/>
                <w:spacing w:val="-1"/>
              </w:rPr>
              <w:t>body</w:t>
            </w:r>
            <w:r>
              <w:rPr>
                <w:rFonts w:ascii="Arial"/>
                <w:spacing w:val="41"/>
              </w:rPr>
              <w:t xml:space="preserve"> </w:t>
            </w:r>
            <w:r>
              <w:rPr>
                <w:rFonts w:ascii="Arial"/>
                <w:spacing w:val="-1"/>
              </w:rPr>
              <w:t>engaged</w:t>
            </w:r>
            <w:r>
              <w:rPr>
                <w:rFonts w:ascii="Arial"/>
                <w:spacing w:val="44"/>
              </w:rPr>
              <w:t xml:space="preserve"> </w:t>
            </w:r>
            <w:r>
              <w:rPr>
                <w:rFonts w:ascii="Arial"/>
                <w:spacing w:val="-2"/>
              </w:rPr>
              <w:t>within</w:t>
            </w:r>
            <w:r>
              <w:rPr>
                <w:rFonts w:ascii="Arial"/>
                <w:spacing w:val="23"/>
              </w:rPr>
              <w:t xml:space="preserve"> </w:t>
            </w:r>
            <w:r>
              <w:rPr>
                <w:rFonts w:ascii="Arial"/>
              </w:rPr>
              <w:t>the</w:t>
            </w:r>
            <w:r>
              <w:rPr>
                <w:rFonts w:ascii="Arial"/>
                <w:spacing w:val="-2"/>
              </w:rPr>
              <w:t xml:space="preserve"> relevant</w:t>
            </w:r>
            <w:r>
              <w:rPr>
                <w:rFonts w:ascii="Arial"/>
                <w:spacing w:val="2"/>
              </w:rPr>
              <w:t xml:space="preserve"> </w:t>
            </w:r>
            <w:r>
              <w:rPr>
                <w:rFonts w:ascii="Arial"/>
                <w:spacing w:val="-1"/>
              </w:rPr>
              <w:t>industry</w:t>
            </w:r>
            <w:r>
              <w:rPr>
                <w:rFonts w:ascii="Arial"/>
                <w:spacing w:val="-2"/>
              </w:rPr>
              <w:t xml:space="preserve"> or</w:t>
            </w:r>
            <w:r>
              <w:rPr>
                <w:rFonts w:ascii="Arial"/>
                <w:spacing w:val="2"/>
              </w:rPr>
              <w:t xml:space="preserve"> </w:t>
            </w:r>
            <w:r>
              <w:rPr>
                <w:rFonts w:ascii="Arial"/>
                <w:spacing w:val="-2"/>
              </w:rPr>
              <w:t>business</w:t>
            </w:r>
            <w:r>
              <w:rPr>
                <w:rFonts w:ascii="Arial"/>
                <w:spacing w:val="1"/>
              </w:rPr>
              <w:t xml:space="preserve"> </w:t>
            </w:r>
            <w:r>
              <w:rPr>
                <w:rFonts w:ascii="Arial"/>
                <w:spacing w:val="-1"/>
              </w:rPr>
              <w:t>sector;</w:t>
            </w:r>
          </w:p>
        </w:tc>
      </w:tr>
      <w:tr w:rsidR="008918FA" w:rsidTr="001C1527">
        <w:trPr>
          <w:trHeight w:hRule="exact" w:val="893"/>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47" w:lineRule="exact"/>
              <w:ind w:left="-6"/>
              <w:rPr>
                <w:rFonts w:ascii="Arial" w:eastAsia="Arial" w:hAnsi="Arial" w:cs="Arial"/>
              </w:rPr>
            </w:pPr>
            <w:r>
              <w:rPr>
                <w:rFonts w:ascii="Arial"/>
                <w:b/>
                <w:spacing w:val="-1"/>
              </w:rPr>
              <w:t>"Goods"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37"/>
              </w:rPr>
              <w:t xml:space="preserve"> </w:t>
            </w:r>
            <w:r>
              <w:rPr>
                <w:rFonts w:ascii="Arial"/>
              </w:rPr>
              <w:t>the</w:t>
            </w:r>
            <w:r>
              <w:rPr>
                <w:rFonts w:ascii="Arial"/>
                <w:spacing w:val="36"/>
              </w:rPr>
              <w:t xml:space="preserve"> </w:t>
            </w:r>
            <w:r>
              <w:rPr>
                <w:rFonts w:ascii="Arial"/>
                <w:spacing w:val="-1"/>
              </w:rPr>
              <w:t>goods</w:t>
            </w:r>
            <w:r>
              <w:rPr>
                <w:rFonts w:ascii="Arial"/>
                <w:spacing w:val="37"/>
              </w:rPr>
              <w:t xml:space="preserve"> </w:t>
            </w:r>
            <w:r>
              <w:rPr>
                <w:rFonts w:ascii="Arial"/>
              </w:rPr>
              <w:t>to</w:t>
            </w:r>
            <w:r>
              <w:rPr>
                <w:rFonts w:ascii="Arial"/>
                <w:spacing w:val="38"/>
              </w:rPr>
              <w:t xml:space="preserve"> </w:t>
            </w:r>
            <w:r>
              <w:rPr>
                <w:rFonts w:ascii="Arial"/>
                <w:spacing w:val="-1"/>
              </w:rPr>
              <w:t>be</w:t>
            </w:r>
            <w:r>
              <w:rPr>
                <w:rFonts w:ascii="Arial"/>
                <w:spacing w:val="36"/>
              </w:rPr>
              <w:t xml:space="preserve"> </w:t>
            </w:r>
            <w:r>
              <w:rPr>
                <w:rFonts w:ascii="Arial"/>
                <w:spacing w:val="-2"/>
              </w:rPr>
              <w:t>provided</w:t>
            </w:r>
            <w:r>
              <w:rPr>
                <w:rFonts w:ascii="Arial"/>
                <w:spacing w:val="39"/>
              </w:rPr>
              <w:t xml:space="preserve"> </w:t>
            </w:r>
            <w:r>
              <w:rPr>
                <w:rFonts w:ascii="Arial"/>
                <w:spacing w:val="-1"/>
              </w:rPr>
              <w:t>by</w:t>
            </w:r>
            <w:r>
              <w:rPr>
                <w:rFonts w:ascii="Arial"/>
                <w:spacing w:val="38"/>
              </w:rPr>
              <w:t xml:space="preserve"> </w:t>
            </w:r>
            <w:r>
              <w:rPr>
                <w:rFonts w:ascii="Arial"/>
              </w:rPr>
              <w:t>the</w:t>
            </w:r>
            <w:r>
              <w:rPr>
                <w:rFonts w:ascii="Arial"/>
                <w:spacing w:val="38"/>
              </w:rPr>
              <w:t xml:space="preserve"> </w:t>
            </w:r>
            <w:r>
              <w:rPr>
                <w:rFonts w:ascii="Arial"/>
                <w:spacing w:val="-1"/>
              </w:rPr>
              <w:t>Supplier</w:t>
            </w:r>
            <w:r>
              <w:rPr>
                <w:rFonts w:ascii="Arial"/>
                <w:spacing w:val="40"/>
              </w:rPr>
              <w:t xml:space="preserve"> </w:t>
            </w:r>
            <w:r>
              <w:rPr>
                <w:rFonts w:ascii="Arial"/>
              </w:rPr>
              <w:t>to</w:t>
            </w:r>
            <w:r>
              <w:rPr>
                <w:rFonts w:ascii="Arial"/>
                <w:spacing w:val="36"/>
              </w:rPr>
              <w:t xml:space="preserve"> </w:t>
            </w:r>
            <w:r>
              <w:rPr>
                <w:rFonts w:ascii="Arial"/>
                <w:spacing w:val="-1"/>
              </w:rPr>
              <w:t>the</w:t>
            </w:r>
            <w:r>
              <w:rPr>
                <w:rFonts w:ascii="Arial"/>
                <w:spacing w:val="41"/>
              </w:rPr>
              <w:t xml:space="preserve"> </w:t>
            </w:r>
            <w:r>
              <w:rPr>
                <w:rFonts w:ascii="Arial"/>
                <w:spacing w:val="-1"/>
              </w:rPr>
              <w:t>Customer</w:t>
            </w:r>
            <w:r>
              <w:rPr>
                <w:rFonts w:ascii="Arial"/>
                <w:spacing w:val="21"/>
              </w:rPr>
              <w:t xml:space="preserve"> </w:t>
            </w:r>
            <w:r>
              <w:rPr>
                <w:rFonts w:ascii="Arial"/>
                <w:spacing w:val="-1"/>
              </w:rPr>
              <w:t>as</w:t>
            </w:r>
            <w:r>
              <w:rPr>
                <w:rFonts w:ascii="Arial"/>
                <w:spacing w:val="18"/>
              </w:rPr>
              <w:t xml:space="preserve"> </w:t>
            </w:r>
            <w:r>
              <w:rPr>
                <w:rFonts w:ascii="Arial"/>
                <w:spacing w:val="-1"/>
              </w:rPr>
              <w:t>specified</w:t>
            </w:r>
            <w:r>
              <w:rPr>
                <w:rFonts w:ascii="Arial"/>
                <w:spacing w:val="19"/>
              </w:rPr>
              <w:t xml:space="preserve"> </w:t>
            </w:r>
            <w:r>
              <w:rPr>
                <w:rFonts w:ascii="Arial"/>
                <w:spacing w:val="-2"/>
              </w:rPr>
              <w:t>in</w:t>
            </w:r>
            <w:r>
              <w:rPr>
                <w:rFonts w:ascii="Arial"/>
                <w:spacing w:val="20"/>
              </w:rPr>
              <w:t xml:space="preserve"> </w:t>
            </w:r>
            <w:r>
              <w:rPr>
                <w:rFonts w:ascii="Arial"/>
                <w:spacing w:val="-1"/>
              </w:rPr>
              <w:t>Annex</w:t>
            </w:r>
            <w:r>
              <w:rPr>
                <w:rFonts w:ascii="Arial"/>
                <w:spacing w:val="18"/>
              </w:rPr>
              <w:t xml:space="preserve"> </w:t>
            </w:r>
            <w:r>
              <w:rPr>
                <w:rFonts w:ascii="Arial"/>
              </w:rPr>
              <w:t>2</w:t>
            </w:r>
            <w:r>
              <w:rPr>
                <w:rFonts w:ascii="Arial"/>
                <w:spacing w:val="20"/>
              </w:rPr>
              <w:t xml:space="preserve"> </w:t>
            </w:r>
            <w:r>
              <w:rPr>
                <w:rFonts w:ascii="Arial"/>
                <w:spacing w:val="-2"/>
              </w:rPr>
              <w:t>of</w:t>
            </w:r>
            <w:r>
              <w:rPr>
                <w:rFonts w:ascii="Arial"/>
                <w:spacing w:val="23"/>
              </w:rPr>
              <w:t xml:space="preserve"> </w:t>
            </w:r>
            <w:r>
              <w:rPr>
                <w:rFonts w:ascii="Arial"/>
                <w:spacing w:val="-2"/>
              </w:rPr>
              <w:t>Call</w:t>
            </w:r>
            <w:r>
              <w:rPr>
                <w:rFonts w:ascii="Arial"/>
                <w:spacing w:val="19"/>
              </w:rPr>
              <w:t xml:space="preserve"> </w:t>
            </w:r>
            <w:r>
              <w:rPr>
                <w:rFonts w:ascii="Arial"/>
                <w:spacing w:val="-1"/>
              </w:rPr>
              <w:t>Off</w:t>
            </w:r>
            <w:r>
              <w:rPr>
                <w:rFonts w:ascii="Arial"/>
                <w:spacing w:val="19"/>
              </w:rPr>
              <w:t xml:space="preserve"> </w:t>
            </w:r>
            <w:r>
              <w:rPr>
                <w:rFonts w:ascii="Arial"/>
                <w:spacing w:val="-2"/>
              </w:rPr>
              <w:t>Schedule</w:t>
            </w:r>
            <w:r>
              <w:rPr>
                <w:rFonts w:ascii="Arial"/>
                <w:spacing w:val="20"/>
              </w:rPr>
              <w:t xml:space="preserve"> </w:t>
            </w:r>
            <w:r>
              <w:rPr>
                <w:rFonts w:ascii="Arial"/>
              </w:rPr>
              <w:t>2</w:t>
            </w:r>
            <w:r>
              <w:rPr>
                <w:rFonts w:ascii="Arial"/>
                <w:spacing w:val="35"/>
              </w:rPr>
              <w:t xml:space="preserve"> </w:t>
            </w:r>
            <w:r>
              <w:rPr>
                <w:rFonts w:ascii="Arial"/>
                <w:spacing w:val="-1"/>
              </w:rPr>
              <w:t>(Goods</w:t>
            </w:r>
            <w:r>
              <w:rPr>
                <w:rFonts w:ascii="Arial"/>
                <w:spacing w:val="-2"/>
              </w:rPr>
              <w:t xml:space="preserve"> </w:t>
            </w:r>
            <w:r>
              <w:rPr>
                <w:rFonts w:ascii="Arial"/>
                <w:spacing w:val="-1"/>
              </w:rPr>
              <w:t>and</w:t>
            </w:r>
            <w:r>
              <w:rPr>
                <w:rFonts w:ascii="Arial"/>
              </w:rPr>
              <w:t xml:space="preserve"> </w:t>
            </w:r>
            <w:r>
              <w:rPr>
                <w:rFonts w:ascii="Arial"/>
                <w:spacing w:val="-1"/>
              </w:rPr>
              <w:t>Services);</w:t>
            </w:r>
          </w:p>
        </w:tc>
      </w:tr>
      <w:tr w:rsidR="008918FA" w:rsidTr="005D2B81">
        <w:trPr>
          <w:trHeight w:hRule="exact" w:val="1908"/>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"Government"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25"/>
              </w:rPr>
              <w:t xml:space="preserve"> </w:t>
            </w:r>
            <w:r>
              <w:rPr>
                <w:rFonts w:ascii="Arial"/>
              </w:rPr>
              <w:t>the</w:t>
            </w:r>
            <w:r>
              <w:rPr>
                <w:rFonts w:ascii="Arial"/>
                <w:spacing w:val="22"/>
              </w:rPr>
              <w:t xml:space="preserve"> </w:t>
            </w:r>
            <w:r>
              <w:rPr>
                <w:rFonts w:ascii="Arial"/>
                <w:spacing w:val="-1"/>
              </w:rPr>
              <w:t>government</w:t>
            </w:r>
            <w:r>
              <w:rPr>
                <w:rFonts w:ascii="Arial"/>
                <w:spacing w:val="26"/>
              </w:rPr>
              <w:t xml:space="preserve"> </w:t>
            </w:r>
            <w:r>
              <w:rPr>
                <w:rFonts w:ascii="Arial"/>
                <w:spacing w:val="-2"/>
              </w:rPr>
              <w:t>of</w:t>
            </w:r>
            <w:r>
              <w:rPr>
                <w:rFonts w:ascii="Arial"/>
                <w:spacing w:val="28"/>
              </w:rPr>
              <w:t xml:space="preserve"> </w:t>
            </w:r>
            <w:r>
              <w:rPr>
                <w:rFonts w:ascii="Arial"/>
              </w:rPr>
              <w:t>the</w:t>
            </w:r>
            <w:r>
              <w:rPr>
                <w:rFonts w:ascii="Arial"/>
                <w:spacing w:val="24"/>
              </w:rPr>
              <w:t xml:space="preserve"> </w:t>
            </w:r>
            <w:r>
              <w:rPr>
                <w:rFonts w:ascii="Arial"/>
                <w:spacing w:val="-1"/>
              </w:rPr>
              <w:t>United</w:t>
            </w:r>
            <w:r>
              <w:rPr>
                <w:rFonts w:ascii="Arial"/>
                <w:spacing w:val="24"/>
              </w:rPr>
              <w:t xml:space="preserve"> </w:t>
            </w:r>
            <w:r>
              <w:rPr>
                <w:rFonts w:ascii="Arial"/>
                <w:spacing w:val="-1"/>
              </w:rPr>
              <w:t>Kingdom</w:t>
            </w:r>
            <w:r>
              <w:rPr>
                <w:rFonts w:ascii="Arial"/>
                <w:spacing w:val="26"/>
              </w:rPr>
              <w:t xml:space="preserve"> </w:t>
            </w:r>
            <w:r>
              <w:rPr>
                <w:rFonts w:ascii="Arial"/>
                <w:spacing w:val="-2"/>
              </w:rPr>
              <w:t>(including</w:t>
            </w:r>
            <w:r>
              <w:rPr>
                <w:rFonts w:ascii="Arial"/>
                <w:spacing w:val="32"/>
              </w:rPr>
              <w:t xml:space="preserve"> </w:t>
            </w:r>
            <w:r>
              <w:rPr>
                <w:rFonts w:ascii="Arial"/>
              </w:rPr>
              <w:t>the</w:t>
            </w:r>
            <w:r>
              <w:rPr>
                <w:rFonts w:ascii="Arial"/>
                <w:spacing w:val="12"/>
              </w:rPr>
              <w:t xml:space="preserve"> </w:t>
            </w:r>
            <w:r>
              <w:rPr>
                <w:rFonts w:ascii="Arial"/>
                <w:spacing w:val="-1"/>
              </w:rPr>
              <w:t>Northern</w:t>
            </w:r>
            <w:r>
              <w:rPr>
                <w:rFonts w:ascii="Arial"/>
                <w:spacing w:val="10"/>
              </w:rPr>
              <w:t xml:space="preserve"> </w:t>
            </w:r>
            <w:r>
              <w:rPr>
                <w:rFonts w:ascii="Arial"/>
                <w:spacing w:val="-1"/>
              </w:rPr>
              <w:t>Ireland</w:t>
            </w:r>
            <w:r>
              <w:rPr>
                <w:rFonts w:ascii="Arial"/>
                <w:spacing w:val="12"/>
              </w:rPr>
              <w:t xml:space="preserve"> </w:t>
            </w:r>
            <w:r>
              <w:rPr>
                <w:rFonts w:ascii="Arial"/>
                <w:spacing w:val="-1"/>
              </w:rPr>
              <w:t>Assembly</w:t>
            </w:r>
            <w:r>
              <w:rPr>
                <w:rFonts w:ascii="Arial"/>
                <w:spacing w:val="10"/>
              </w:rPr>
              <w:t xml:space="preserve"> </w:t>
            </w:r>
            <w:r>
              <w:rPr>
                <w:rFonts w:ascii="Arial"/>
                <w:spacing w:val="-1"/>
              </w:rPr>
              <w:t>and</w:t>
            </w:r>
            <w:r>
              <w:rPr>
                <w:rFonts w:ascii="Arial"/>
                <w:spacing w:val="12"/>
              </w:rPr>
              <w:t xml:space="preserve"> </w:t>
            </w:r>
            <w:r>
              <w:rPr>
                <w:rFonts w:ascii="Arial"/>
                <w:spacing w:val="-2"/>
              </w:rPr>
              <w:t>Executive</w:t>
            </w:r>
            <w:r>
              <w:rPr>
                <w:rFonts w:ascii="Arial"/>
                <w:spacing w:val="12"/>
              </w:rPr>
              <w:t xml:space="preserve"> </w:t>
            </w:r>
            <w:r>
              <w:rPr>
                <w:rFonts w:ascii="Arial"/>
                <w:spacing w:val="-1"/>
              </w:rPr>
              <w:t>Committee,</w:t>
            </w:r>
            <w:r>
              <w:rPr>
                <w:rFonts w:ascii="Arial"/>
                <w:spacing w:val="33"/>
              </w:rPr>
              <w:t xml:space="preserve"> </w:t>
            </w:r>
            <w:r>
              <w:rPr>
                <w:rFonts w:ascii="Arial"/>
              </w:rPr>
              <w:t>the</w:t>
            </w:r>
            <w:r>
              <w:rPr>
                <w:rFonts w:ascii="Arial"/>
                <w:spacing w:val="11"/>
              </w:rPr>
              <w:t xml:space="preserve"> </w:t>
            </w:r>
            <w:r>
              <w:rPr>
                <w:rFonts w:ascii="Arial"/>
                <w:spacing w:val="-1"/>
              </w:rPr>
              <w:t>Scottish</w:t>
            </w:r>
            <w:r>
              <w:rPr>
                <w:rFonts w:ascii="Arial"/>
                <w:spacing w:val="12"/>
              </w:rPr>
              <w:t xml:space="preserve"> </w:t>
            </w:r>
            <w:r>
              <w:rPr>
                <w:rFonts w:ascii="Arial"/>
                <w:spacing w:val="-2"/>
              </w:rPr>
              <w:t>Executive</w:t>
            </w:r>
            <w:r>
              <w:rPr>
                <w:rFonts w:ascii="Arial"/>
                <w:spacing w:val="14"/>
              </w:rPr>
              <w:t xml:space="preserve"> </w:t>
            </w:r>
            <w:r>
              <w:rPr>
                <w:rFonts w:ascii="Arial"/>
                <w:spacing w:val="-1"/>
              </w:rPr>
              <w:t>and</w:t>
            </w:r>
            <w:r>
              <w:rPr>
                <w:rFonts w:ascii="Arial"/>
                <w:spacing w:val="11"/>
              </w:rPr>
              <w:t xml:space="preserve"> </w:t>
            </w:r>
            <w:r>
              <w:rPr>
                <w:rFonts w:ascii="Arial"/>
              </w:rPr>
              <w:t>the</w:t>
            </w:r>
            <w:r>
              <w:rPr>
                <w:rFonts w:ascii="Arial"/>
                <w:spacing w:val="11"/>
              </w:rPr>
              <w:t xml:space="preserve"> </w:t>
            </w:r>
            <w:r>
              <w:rPr>
                <w:rFonts w:ascii="Arial"/>
                <w:spacing w:val="-1"/>
              </w:rPr>
              <w:t>National</w:t>
            </w:r>
            <w:r>
              <w:rPr>
                <w:rFonts w:ascii="Arial"/>
                <w:spacing w:val="11"/>
              </w:rPr>
              <w:t xml:space="preserve"> </w:t>
            </w:r>
            <w:r>
              <w:rPr>
                <w:rFonts w:ascii="Arial"/>
                <w:spacing w:val="-1"/>
              </w:rPr>
              <w:t>Assembly</w:t>
            </w:r>
            <w:r>
              <w:rPr>
                <w:rFonts w:ascii="Arial"/>
                <w:spacing w:val="9"/>
              </w:rPr>
              <w:t xml:space="preserve"> </w:t>
            </w:r>
            <w:r>
              <w:rPr>
                <w:rFonts w:ascii="Arial"/>
              </w:rPr>
              <w:t>for</w:t>
            </w:r>
            <w:r>
              <w:rPr>
                <w:rFonts w:ascii="Arial"/>
                <w:spacing w:val="29"/>
              </w:rPr>
              <w:t xml:space="preserve"> </w:t>
            </w:r>
            <w:r>
              <w:rPr>
                <w:rFonts w:ascii="Arial"/>
                <w:spacing w:val="-1"/>
              </w:rPr>
              <w:t>Wales),</w:t>
            </w:r>
            <w:r>
              <w:rPr>
                <w:rFonts w:ascii="Arial"/>
                <w:spacing w:val="35"/>
              </w:rPr>
              <w:t xml:space="preserve"> </w:t>
            </w:r>
            <w:r>
              <w:rPr>
                <w:rFonts w:ascii="Arial"/>
                <w:spacing w:val="-2"/>
              </w:rPr>
              <w:t>including</w:t>
            </w:r>
            <w:r>
              <w:rPr>
                <w:rFonts w:ascii="Arial"/>
                <w:spacing w:val="36"/>
              </w:rPr>
              <w:t xml:space="preserve"> </w:t>
            </w:r>
            <w:r>
              <w:rPr>
                <w:rFonts w:ascii="Arial"/>
                <w:spacing w:val="-1"/>
              </w:rPr>
              <w:t>government</w:t>
            </w:r>
            <w:r>
              <w:rPr>
                <w:rFonts w:ascii="Arial"/>
                <w:spacing w:val="35"/>
              </w:rPr>
              <w:t xml:space="preserve"> </w:t>
            </w:r>
            <w:r>
              <w:rPr>
                <w:rFonts w:ascii="Arial"/>
                <w:spacing w:val="-1"/>
              </w:rPr>
              <w:t>ministers</w:t>
            </w:r>
            <w:r>
              <w:rPr>
                <w:rFonts w:ascii="Arial"/>
                <w:spacing w:val="37"/>
              </w:rPr>
              <w:t xml:space="preserve"> </w:t>
            </w:r>
            <w:r>
              <w:rPr>
                <w:rFonts w:ascii="Arial"/>
                <w:spacing w:val="-1"/>
              </w:rPr>
              <w:t>and</w:t>
            </w:r>
            <w:r>
              <w:rPr>
                <w:rFonts w:ascii="Arial"/>
                <w:spacing w:val="34"/>
              </w:rPr>
              <w:t xml:space="preserve"> </w:t>
            </w:r>
            <w:r>
              <w:rPr>
                <w:rFonts w:ascii="Arial"/>
                <w:spacing w:val="-1"/>
              </w:rPr>
              <w:t>government</w:t>
            </w:r>
            <w:r>
              <w:rPr>
                <w:rFonts w:ascii="Arial"/>
                <w:spacing w:val="32"/>
              </w:rPr>
              <w:t xml:space="preserve"> </w:t>
            </w:r>
            <w:r>
              <w:rPr>
                <w:rFonts w:ascii="Arial"/>
                <w:spacing w:val="-1"/>
              </w:rPr>
              <w:t>departments</w:t>
            </w:r>
            <w:r>
              <w:rPr>
                <w:rFonts w:ascii="Arial"/>
                <w:spacing w:val="32"/>
              </w:rPr>
              <w:t xml:space="preserve"> </w:t>
            </w:r>
            <w:r>
              <w:rPr>
                <w:rFonts w:ascii="Arial"/>
                <w:spacing w:val="-1"/>
              </w:rPr>
              <w:t>and</w:t>
            </w:r>
            <w:r>
              <w:rPr>
                <w:rFonts w:ascii="Arial"/>
                <w:spacing w:val="31"/>
              </w:rPr>
              <w:t xml:space="preserve"> </w:t>
            </w:r>
            <w:r>
              <w:rPr>
                <w:rFonts w:ascii="Arial"/>
                <w:spacing w:val="-1"/>
              </w:rPr>
              <w:t>other</w:t>
            </w:r>
            <w:r>
              <w:rPr>
                <w:rFonts w:ascii="Arial"/>
                <w:spacing w:val="30"/>
              </w:rPr>
              <w:t xml:space="preserve"> </w:t>
            </w:r>
            <w:r>
              <w:rPr>
                <w:rFonts w:ascii="Arial"/>
                <w:spacing w:val="-1"/>
              </w:rPr>
              <w:t>bodies,</w:t>
            </w:r>
            <w:r>
              <w:rPr>
                <w:rFonts w:ascii="Arial"/>
                <w:spacing w:val="33"/>
              </w:rPr>
              <w:t xml:space="preserve"> </w:t>
            </w:r>
            <w:r>
              <w:rPr>
                <w:rFonts w:ascii="Arial"/>
                <w:spacing w:val="-1"/>
              </w:rPr>
              <w:t>persons,</w:t>
            </w:r>
            <w:r>
              <w:rPr>
                <w:rFonts w:ascii="Arial"/>
                <w:spacing w:val="33"/>
              </w:rPr>
              <w:t xml:space="preserve"> </w:t>
            </w:r>
            <w:r>
              <w:rPr>
                <w:rFonts w:ascii="Arial"/>
                <w:spacing w:val="-1"/>
              </w:rPr>
              <w:t>commissions</w:t>
            </w:r>
            <w:r>
              <w:rPr>
                <w:rFonts w:ascii="Arial"/>
                <w:spacing w:val="32"/>
              </w:rPr>
              <w:t xml:space="preserve"> </w:t>
            </w:r>
            <w:r>
              <w:rPr>
                <w:rFonts w:ascii="Arial"/>
                <w:spacing w:val="-1"/>
              </w:rPr>
              <w:t>or</w:t>
            </w:r>
            <w:r>
              <w:rPr>
                <w:rFonts w:ascii="Arial"/>
                <w:spacing w:val="27"/>
              </w:rPr>
              <w:t xml:space="preserve"> </w:t>
            </w:r>
            <w:r>
              <w:rPr>
                <w:rFonts w:ascii="Arial"/>
                <w:spacing w:val="-1"/>
              </w:rPr>
              <w:t>agencies</w:t>
            </w:r>
            <w:r>
              <w:rPr>
                <w:rFonts w:ascii="Arial"/>
                <w:spacing w:val="37"/>
              </w:rPr>
              <w:t xml:space="preserve"> </w:t>
            </w:r>
            <w:r>
              <w:rPr>
                <w:rFonts w:ascii="Arial"/>
                <w:spacing w:val="-1"/>
              </w:rPr>
              <w:t>from</w:t>
            </w:r>
            <w:r>
              <w:rPr>
                <w:rFonts w:ascii="Arial"/>
                <w:spacing w:val="40"/>
              </w:rPr>
              <w:t xml:space="preserve"> </w:t>
            </w:r>
            <w:r>
              <w:rPr>
                <w:rFonts w:ascii="Arial"/>
                <w:spacing w:val="-1"/>
              </w:rPr>
              <w:t>time</w:t>
            </w:r>
            <w:r>
              <w:rPr>
                <w:rFonts w:ascii="Arial"/>
                <w:spacing w:val="38"/>
              </w:rPr>
              <w:t xml:space="preserve"> </w:t>
            </w:r>
            <w:r>
              <w:rPr>
                <w:rFonts w:ascii="Arial"/>
              </w:rPr>
              <w:t>to</w:t>
            </w:r>
            <w:r>
              <w:rPr>
                <w:rFonts w:ascii="Arial"/>
                <w:spacing w:val="36"/>
              </w:rPr>
              <w:t xml:space="preserve"> </w:t>
            </w:r>
            <w:r>
              <w:rPr>
                <w:rFonts w:ascii="Arial"/>
                <w:spacing w:val="-1"/>
              </w:rPr>
              <w:t>time</w:t>
            </w:r>
            <w:r>
              <w:rPr>
                <w:rFonts w:ascii="Arial"/>
                <w:spacing w:val="39"/>
              </w:rPr>
              <w:t xml:space="preserve"> </w:t>
            </w:r>
            <w:r>
              <w:rPr>
                <w:rFonts w:ascii="Arial"/>
                <w:spacing w:val="-2"/>
              </w:rPr>
              <w:t>carrying</w:t>
            </w:r>
            <w:r>
              <w:rPr>
                <w:rFonts w:ascii="Arial"/>
                <w:spacing w:val="41"/>
              </w:rPr>
              <w:t xml:space="preserve"> </w:t>
            </w:r>
            <w:r>
              <w:rPr>
                <w:rFonts w:ascii="Arial"/>
                <w:spacing w:val="-1"/>
              </w:rPr>
              <w:t>out</w:t>
            </w:r>
            <w:r>
              <w:rPr>
                <w:rFonts w:ascii="Arial"/>
                <w:spacing w:val="39"/>
              </w:rPr>
              <w:t xml:space="preserve"> </w:t>
            </w:r>
            <w:r>
              <w:rPr>
                <w:rFonts w:ascii="Arial"/>
                <w:spacing w:val="-1"/>
              </w:rPr>
              <w:t>functions</w:t>
            </w:r>
            <w:r>
              <w:rPr>
                <w:rFonts w:ascii="Arial"/>
                <w:spacing w:val="39"/>
              </w:rPr>
              <w:t xml:space="preserve"> </w:t>
            </w:r>
            <w:r>
              <w:rPr>
                <w:rFonts w:ascii="Arial"/>
                <w:spacing w:val="-1"/>
              </w:rPr>
              <w:t>on</w:t>
            </w:r>
            <w:r>
              <w:rPr>
                <w:rFonts w:ascii="Arial"/>
                <w:spacing w:val="38"/>
              </w:rPr>
              <w:t xml:space="preserve"> </w:t>
            </w:r>
            <w:r>
              <w:rPr>
                <w:rFonts w:ascii="Arial"/>
                <w:spacing w:val="-1"/>
              </w:rPr>
              <w:t>its</w:t>
            </w:r>
            <w:r>
              <w:rPr>
                <w:rFonts w:ascii="Arial"/>
                <w:spacing w:val="45"/>
              </w:rPr>
              <w:t xml:space="preserve"> </w:t>
            </w:r>
            <w:r>
              <w:rPr>
                <w:rFonts w:ascii="Arial"/>
                <w:spacing w:val="-1"/>
              </w:rPr>
              <w:t>behalf;</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842"/>
              <w:rPr>
                <w:rFonts w:ascii="Arial" w:eastAsia="Arial" w:hAnsi="Arial" w:cs="Arial"/>
              </w:rPr>
            </w:pPr>
            <w:r>
              <w:rPr>
                <w:rFonts w:ascii="Arial"/>
                <w:b/>
                <w:spacing w:val="-1"/>
              </w:rPr>
              <w:t>"Halifax</w:t>
            </w:r>
            <w:r>
              <w:rPr>
                <w:rFonts w:ascii="Arial"/>
                <w:b/>
                <w:spacing w:val="3"/>
              </w:rPr>
              <w:t xml:space="preserve"> </w:t>
            </w:r>
            <w:r>
              <w:rPr>
                <w:rFonts w:ascii="Arial"/>
                <w:b/>
                <w:spacing w:val="-3"/>
              </w:rPr>
              <w:t>Abuse</w:t>
            </w:r>
            <w:r>
              <w:rPr>
                <w:rFonts w:ascii="Arial"/>
                <w:b/>
                <w:spacing w:val="25"/>
              </w:rPr>
              <w:t xml:space="preserve"> </w:t>
            </w:r>
            <w:r>
              <w:rPr>
                <w:rFonts w:ascii="Arial"/>
                <w:b/>
                <w:spacing w:val="-1"/>
              </w:rPr>
              <w:t>Principle"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101"/>
              <w:rPr>
                <w:rFonts w:ascii="Arial" w:eastAsia="Arial" w:hAnsi="Arial" w:cs="Arial"/>
              </w:rPr>
            </w:pPr>
            <w:r>
              <w:rPr>
                <w:rFonts w:ascii="Arial"/>
                <w:spacing w:val="-1"/>
              </w:rPr>
              <w:t>means</w:t>
            </w:r>
            <w:r>
              <w:rPr>
                <w:rFonts w:ascii="Arial"/>
              </w:rPr>
              <w:t xml:space="preserve"> </w:t>
            </w:r>
            <w:r>
              <w:rPr>
                <w:rFonts w:ascii="Arial"/>
                <w:spacing w:val="19"/>
              </w:rPr>
              <w:t xml:space="preserve"> </w:t>
            </w:r>
            <w:r>
              <w:rPr>
                <w:rFonts w:ascii="Arial"/>
              </w:rPr>
              <w:t xml:space="preserve">the </w:t>
            </w:r>
            <w:r>
              <w:rPr>
                <w:rFonts w:ascii="Arial"/>
                <w:spacing w:val="21"/>
              </w:rPr>
              <w:t xml:space="preserve"> </w:t>
            </w:r>
            <w:r>
              <w:rPr>
                <w:rFonts w:ascii="Arial"/>
                <w:spacing w:val="-1"/>
              </w:rPr>
              <w:t>principle</w:t>
            </w:r>
            <w:r>
              <w:rPr>
                <w:rFonts w:ascii="Arial"/>
              </w:rPr>
              <w:t xml:space="preserve"> </w:t>
            </w:r>
            <w:r>
              <w:rPr>
                <w:rFonts w:ascii="Arial"/>
                <w:spacing w:val="21"/>
              </w:rPr>
              <w:t xml:space="preserve"> </w:t>
            </w:r>
            <w:r>
              <w:rPr>
                <w:rFonts w:ascii="Arial"/>
                <w:spacing w:val="-2"/>
              </w:rPr>
              <w:t>explained</w:t>
            </w:r>
            <w:r>
              <w:rPr>
                <w:rFonts w:ascii="Arial"/>
              </w:rPr>
              <w:t xml:space="preserve"> </w:t>
            </w:r>
            <w:r>
              <w:rPr>
                <w:rFonts w:ascii="Arial"/>
                <w:spacing w:val="21"/>
              </w:rPr>
              <w:t xml:space="preserve"> </w:t>
            </w:r>
            <w:r>
              <w:rPr>
                <w:rFonts w:ascii="Arial"/>
                <w:spacing w:val="-1"/>
              </w:rPr>
              <w:t>in</w:t>
            </w:r>
            <w:r>
              <w:rPr>
                <w:rFonts w:ascii="Arial"/>
              </w:rPr>
              <w:t xml:space="preserve"> </w:t>
            </w:r>
            <w:r>
              <w:rPr>
                <w:rFonts w:ascii="Arial"/>
                <w:spacing w:val="21"/>
              </w:rPr>
              <w:t xml:space="preserve"> </w:t>
            </w:r>
            <w:r>
              <w:rPr>
                <w:rFonts w:ascii="Arial"/>
              </w:rPr>
              <w:t xml:space="preserve">the </w:t>
            </w:r>
            <w:r>
              <w:rPr>
                <w:rFonts w:ascii="Arial"/>
                <w:spacing w:val="21"/>
              </w:rPr>
              <w:t xml:space="preserve"> </w:t>
            </w:r>
            <w:r>
              <w:rPr>
                <w:rFonts w:ascii="Arial"/>
                <w:spacing w:val="-1"/>
              </w:rPr>
              <w:t>CJEU</w:t>
            </w:r>
            <w:r>
              <w:rPr>
                <w:rFonts w:ascii="Arial"/>
              </w:rPr>
              <w:t xml:space="preserve"> </w:t>
            </w:r>
            <w:r>
              <w:rPr>
                <w:rFonts w:ascii="Arial"/>
                <w:spacing w:val="20"/>
              </w:rPr>
              <w:t xml:space="preserve"> </w:t>
            </w:r>
            <w:r>
              <w:rPr>
                <w:rFonts w:ascii="Arial"/>
                <w:spacing w:val="-1"/>
              </w:rPr>
              <w:t>Case</w:t>
            </w:r>
            <w:r>
              <w:rPr>
                <w:rFonts w:ascii="Arial"/>
              </w:rPr>
              <w:t xml:space="preserve"> </w:t>
            </w:r>
            <w:r>
              <w:rPr>
                <w:rFonts w:ascii="Arial"/>
                <w:spacing w:val="21"/>
              </w:rPr>
              <w:t xml:space="preserve"> </w:t>
            </w:r>
            <w:r>
              <w:rPr>
                <w:rFonts w:ascii="Arial"/>
              </w:rPr>
              <w:t>C-</w:t>
            </w:r>
            <w:r>
              <w:rPr>
                <w:rFonts w:ascii="Arial"/>
                <w:spacing w:val="30"/>
              </w:rPr>
              <w:t xml:space="preserve"> </w:t>
            </w:r>
            <w:r>
              <w:rPr>
                <w:rFonts w:ascii="Arial"/>
                <w:spacing w:val="-1"/>
              </w:rPr>
              <w:t>255/02</w:t>
            </w:r>
            <w:r>
              <w:rPr>
                <w:rFonts w:ascii="Arial"/>
              </w:rPr>
              <w:t xml:space="preserve"> </w:t>
            </w:r>
            <w:r>
              <w:rPr>
                <w:rFonts w:ascii="Arial"/>
                <w:spacing w:val="-1"/>
              </w:rPr>
              <w:t>Halifax</w:t>
            </w:r>
            <w:r>
              <w:rPr>
                <w:rFonts w:ascii="Arial"/>
                <w:spacing w:val="-2"/>
              </w:rPr>
              <w:t xml:space="preserve"> </w:t>
            </w:r>
            <w:r>
              <w:rPr>
                <w:rFonts w:ascii="Arial"/>
                <w:spacing w:val="-1"/>
              </w:rPr>
              <w:t>and</w:t>
            </w:r>
            <w:r>
              <w:rPr>
                <w:rFonts w:ascii="Arial"/>
              </w:rPr>
              <w:t xml:space="preserve"> </w:t>
            </w:r>
            <w:r>
              <w:rPr>
                <w:rFonts w:ascii="Arial"/>
                <w:spacing w:val="-2"/>
              </w:rPr>
              <w:t>others;</w:t>
            </w:r>
          </w:p>
        </w:tc>
      </w:tr>
      <w:tr w:rsidR="008918FA" w:rsidTr="005D2B81">
        <w:trPr>
          <w:trHeight w:hRule="exact" w:val="38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2"/>
              </w:rPr>
              <w:t>"HMRC"</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eastAsia="Arial" w:hAnsi="Arial" w:cs="Arial"/>
                <w:spacing w:val="-1"/>
              </w:rPr>
              <w:t>means</w:t>
            </w:r>
            <w:r>
              <w:rPr>
                <w:rFonts w:ascii="Arial" w:eastAsia="Arial" w:hAnsi="Arial" w:cs="Arial"/>
                <w:spacing w:val="1"/>
              </w:rPr>
              <w:t xml:space="preserve"> </w:t>
            </w:r>
            <w:r>
              <w:rPr>
                <w:rFonts w:ascii="Arial" w:eastAsia="Arial" w:hAnsi="Arial" w:cs="Arial"/>
                <w:spacing w:val="-2"/>
              </w:rPr>
              <w:t>Her</w:t>
            </w:r>
            <w:r>
              <w:rPr>
                <w:rFonts w:ascii="Arial" w:eastAsia="Arial" w:hAnsi="Arial" w:cs="Arial"/>
                <w:spacing w:val="2"/>
              </w:rPr>
              <w:t xml:space="preserve"> </w:t>
            </w:r>
            <w:r>
              <w:rPr>
                <w:rFonts w:ascii="Arial" w:eastAsia="Arial" w:hAnsi="Arial" w:cs="Arial"/>
                <w:spacing w:val="-2"/>
              </w:rPr>
              <w:t>Majesty’s</w:t>
            </w:r>
            <w:r>
              <w:rPr>
                <w:rFonts w:ascii="Arial" w:eastAsia="Arial" w:hAnsi="Arial" w:cs="Arial"/>
                <w:spacing w:val="1"/>
              </w:rPr>
              <w:t xml:space="preserve"> </w:t>
            </w:r>
            <w:r>
              <w:rPr>
                <w:rFonts w:ascii="Arial" w:eastAsia="Arial" w:hAnsi="Arial" w:cs="Arial"/>
                <w:spacing w:val="-2"/>
              </w:rPr>
              <w:t>Revenue</w:t>
            </w:r>
            <w:r>
              <w:rPr>
                <w:rFonts w:ascii="Arial" w:eastAsia="Arial" w:hAnsi="Arial" w:cs="Arial"/>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Customs;</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"Holding</w:t>
            </w:r>
            <w:r>
              <w:rPr>
                <w:rFonts w:ascii="Arial"/>
                <w:b/>
                <w:spacing w:val="-2"/>
              </w:rPr>
              <w:t xml:space="preserve"> Company"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99"/>
              <w:rPr>
                <w:rFonts w:ascii="Arial" w:eastAsia="Arial" w:hAnsi="Arial" w:cs="Arial"/>
              </w:rPr>
            </w:pPr>
            <w:r>
              <w:rPr>
                <w:rFonts w:ascii="Arial"/>
                <w:spacing w:val="-1"/>
              </w:rPr>
              <w:t>has</w:t>
            </w:r>
            <w:r>
              <w:rPr>
                <w:rFonts w:ascii="Arial"/>
              </w:rPr>
              <w:t xml:space="preserve"> </w:t>
            </w:r>
            <w:r>
              <w:rPr>
                <w:rFonts w:ascii="Arial"/>
                <w:spacing w:val="29"/>
              </w:rPr>
              <w:t xml:space="preserve"> </w:t>
            </w:r>
            <w:r>
              <w:rPr>
                <w:rFonts w:ascii="Arial"/>
              </w:rPr>
              <w:t xml:space="preserve">the </w:t>
            </w:r>
            <w:r>
              <w:rPr>
                <w:rFonts w:ascii="Arial"/>
                <w:spacing w:val="26"/>
              </w:rPr>
              <w:t xml:space="preserve"> </w:t>
            </w:r>
            <w:r>
              <w:rPr>
                <w:rFonts w:ascii="Arial"/>
                <w:spacing w:val="-2"/>
              </w:rPr>
              <w:t>meaning</w:t>
            </w:r>
            <w:r>
              <w:rPr>
                <w:rFonts w:ascii="Arial"/>
              </w:rPr>
              <w:t xml:space="preserve"> </w:t>
            </w:r>
            <w:r>
              <w:rPr>
                <w:rFonts w:ascii="Arial"/>
                <w:spacing w:val="28"/>
              </w:rPr>
              <w:t xml:space="preserve"> </w:t>
            </w:r>
            <w:r>
              <w:rPr>
                <w:rFonts w:ascii="Arial"/>
                <w:spacing w:val="-1"/>
              </w:rPr>
              <w:t>given</w:t>
            </w:r>
            <w:r>
              <w:rPr>
                <w:rFonts w:ascii="Arial"/>
              </w:rPr>
              <w:t xml:space="preserve"> </w:t>
            </w:r>
            <w:r>
              <w:rPr>
                <w:rFonts w:ascii="Arial"/>
                <w:spacing w:val="28"/>
              </w:rPr>
              <w:t xml:space="preserve"> </w:t>
            </w:r>
            <w:r>
              <w:rPr>
                <w:rFonts w:ascii="Arial"/>
              </w:rPr>
              <w:t xml:space="preserve">to </w:t>
            </w:r>
            <w:r>
              <w:rPr>
                <w:rFonts w:ascii="Arial"/>
                <w:spacing w:val="28"/>
              </w:rPr>
              <w:t xml:space="preserve"> </w:t>
            </w:r>
            <w:r>
              <w:rPr>
                <w:rFonts w:ascii="Arial"/>
                <w:spacing w:val="-1"/>
              </w:rPr>
              <w:t>it</w:t>
            </w:r>
            <w:r>
              <w:rPr>
                <w:rFonts w:ascii="Arial"/>
              </w:rPr>
              <w:t xml:space="preserve"> </w:t>
            </w:r>
            <w:r>
              <w:rPr>
                <w:rFonts w:ascii="Arial"/>
                <w:spacing w:val="27"/>
              </w:rPr>
              <w:t xml:space="preserve"> </w:t>
            </w:r>
            <w:r>
              <w:rPr>
                <w:rFonts w:ascii="Arial"/>
                <w:spacing w:val="-1"/>
              </w:rPr>
              <w:t>in</w:t>
            </w:r>
            <w:r>
              <w:rPr>
                <w:rFonts w:ascii="Arial"/>
              </w:rPr>
              <w:t xml:space="preserve"> </w:t>
            </w:r>
            <w:r>
              <w:rPr>
                <w:rFonts w:ascii="Arial"/>
                <w:spacing w:val="28"/>
              </w:rPr>
              <w:t xml:space="preserve"> </w:t>
            </w:r>
            <w:r>
              <w:rPr>
                <w:rFonts w:ascii="Arial"/>
                <w:spacing w:val="-1"/>
              </w:rPr>
              <w:t>section</w:t>
            </w:r>
            <w:r>
              <w:rPr>
                <w:rFonts w:ascii="Arial"/>
              </w:rPr>
              <w:t xml:space="preserve"> </w:t>
            </w:r>
            <w:r>
              <w:rPr>
                <w:rFonts w:ascii="Arial"/>
                <w:spacing w:val="28"/>
              </w:rPr>
              <w:t xml:space="preserve"> </w:t>
            </w:r>
            <w:r>
              <w:rPr>
                <w:rFonts w:ascii="Arial"/>
                <w:spacing w:val="-2"/>
              </w:rPr>
              <w:t>1159</w:t>
            </w:r>
            <w:r>
              <w:rPr>
                <w:rFonts w:ascii="Arial"/>
              </w:rPr>
              <w:t xml:space="preserve"> </w:t>
            </w:r>
            <w:r>
              <w:rPr>
                <w:rFonts w:ascii="Arial"/>
                <w:spacing w:val="28"/>
              </w:rPr>
              <w:t xml:space="preserve"> </w:t>
            </w:r>
            <w:r>
              <w:rPr>
                <w:rFonts w:ascii="Arial"/>
                <w:spacing w:val="-2"/>
              </w:rPr>
              <w:t>of</w:t>
            </w:r>
            <w:r>
              <w:rPr>
                <w:rFonts w:ascii="Arial"/>
              </w:rPr>
              <w:t xml:space="preserve"> </w:t>
            </w:r>
            <w:r>
              <w:rPr>
                <w:rFonts w:ascii="Arial"/>
                <w:spacing w:val="29"/>
              </w:rPr>
              <w:t xml:space="preserve"> </w:t>
            </w:r>
            <w:r>
              <w:rPr>
                <w:rFonts w:ascii="Arial"/>
                <w:spacing w:val="-1"/>
              </w:rPr>
              <w:t>the</w:t>
            </w:r>
            <w:r>
              <w:rPr>
                <w:rFonts w:ascii="Arial"/>
                <w:spacing w:val="32"/>
              </w:rPr>
              <w:t xml:space="preserve"> </w:t>
            </w:r>
            <w:r>
              <w:rPr>
                <w:rFonts w:ascii="Arial"/>
                <w:spacing w:val="-1"/>
              </w:rPr>
              <w:t>Companies</w:t>
            </w:r>
            <w:r>
              <w:rPr>
                <w:rFonts w:ascii="Arial"/>
                <w:spacing w:val="1"/>
              </w:rPr>
              <w:t xml:space="preserve"> </w:t>
            </w:r>
            <w:r>
              <w:rPr>
                <w:rFonts w:ascii="Arial"/>
                <w:spacing w:val="-1"/>
              </w:rPr>
              <w:t>Act</w:t>
            </w:r>
            <w:r>
              <w:rPr>
                <w:rFonts w:ascii="Arial"/>
              </w:rPr>
              <w:t xml:space="preserve"> </w:t>
            </w:r>
            <w:r>
              <w:rPr>
                <w:rFonts w:ascii="Arial"/>
                <w:spacing w:val="-2"/>
              </w:rPr>
              <w:t>2006;</w:t>
            </w:r>
          </w:p>
        </w:tc>
      </w:tr>
      <w:tr w:rsidR="008918FA" w:rsidTr="005D2B81">
        <w:trPr>
          <w:trHeight w:hRule="exact" w:val="1397"/>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"ICT</w:t>
            </w:r>
            <w:r>
              <w:rPr>
                <w:rFonts w:ascii="Arial"/>
                <w:b/>
                <w:spacing w:val="-2"/>
              </w:rPr>
              <w:t xml:space="preserve"> </w:t>
            </w:r>
            <w:r>
              <w:rPr>
                <w:rFonts w:ascii="Arial"/>
                <w:b/>
                <w:spacing w:val="-1"/>
              </w:rPr>
              <w:t>Policy"</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30"/>
              </w:rPr>
              <w:t xml:space="preserve"> </w:t>
            </w:r>
            <w:r>
              <w:rPr>
                <w:rFonts w:ascii="Arial"/>
              </w:rPr>
              <w:t>the</w:t>
            </w:r>
            <w:r>
              <w:rPr>
                <w:rFonts w:ascii="Arial"/>
                <w:spacing w:val="31"/>
              </w:rPr>
              <w:t xml:space="preserve"> </w:t>
            </w:r>
            <w:r>
              <w:rPr>
                <w:rFonts w:ascii="Arial"/>
                <w:spacing w:val="-1"/>
              </w:rPr>
              <w:t>Customer's</w:t>
            </w:r>
            <w:r>
              <w:rPr>
                <w:rFonts w:ascii="Arial"/>
                <w:spacing w:val="30"/>
              </w:rPr>
              <w:t xml:space="preserve"> </w:t>
            </w:r>
            <w:r>
              <w:rPr>
                <w:rFonts w:ascii="Arial"/>
                <w:spacing w:val="-2"/>
              </w:rPr>
              <w:t>ICT</w:t>
            </w:r>
            <w:r>
              <w:rPr>
                <w:rFonts w:ascii="Arial"/>
                <w:spacing w:val="34"/>
              </w:rPr>
              <w:t xml:space="preserve"> </w:t>
            </w:r>
            <w:r>
              <w:rPr>
                <w:rFonts w:ascii="Arial"/>
                <w:spacing w:val="-2"/>
              </w:rPr>
              <w:t>policy</w:t>
            </w:r>
            <w:r>
              <w:rPr>
                <w:rFonts w:ascii="Arial"/>
                <w:spacing w:val="30"/>
              </w:rPr>
              <w:t xml:space="preserve"> </w:t>
            </w:r>
            <w:r>
              <w:rPr>
                <w:rFonts w:ascii="Arial"/>
                <w:spacing w:val="-1"/>
              </w:rPr>
              <w:t>in</w:t>
            </w:r>
            <w:r>
              <w:rPr>
                <w:rFonts w:ascii="Arial"/>
                <w:spacing w:val="29"/>
              </w:rPr>
              <w:t xml:space="preserve"> </w:t>
            </w:r>
            <w:r>
              <w:rPr>
                <w:rFonts w:ascii="Arial"/>
                <w:spacing w:val="-1"/>
              </w:rPr>
              <w:t>force</w:t>
            </w:r>
            <w:r>
              <w:rPr>
                <w:rFonts w:ascii="Arial"/>
                <w:spacing w:val="32"/>
              </w:rPr>
              <w:t xml:space="preserve"> </w:t>
            </w:r>
            <w:r>
              <w:rPr>
                <w:rFonts w:ascii="Arial"/>
                <w:spacing w:val="-1"/>
              </w:rPr>
              <w:t>as</w:t>
            </w:r>
            <w:r>
              <w:rPr>
                <w:rFonts w:ascii="Arial"/>
                <w:spacing w:val="30"/>
              </w:rPr>
              <w:t xml:space="preserve"> </w:t>
            </w:r>
            <w:r>
              <w:rPr>
                <w:rFonts w:ascii="Arial"/>
                <w:spacing w:val="-1"/>
              </w:rPr>
              <w:t>at</w:t>
            </w:r>
            <w:r>
              <w:rPr>
                <w:rFonts w:ascii="Arial"/>
                <w:spacing w:val="30"/>
              </w:rPr>
              <w:t xml:space="preserve"> </w:t>
            </w:r>
            <w:r>
              <w:rPr>
                <w:rFonts w:ascii="Arial"/>
              </w:rPr>
              <w:t>the</w:t>
            </w:r>
            <w:r>
              <w:rPr>
                <w:rFonts w:ascii="Arial"/>
                <w:spacing w:val="29"/>
              </w:rPr>
              <w:t xml:space="preserve"> </w:t>
            </w:r>
            <w:r>
              <w:rPr>
                <w:rFonts w:ascii="Arial"/>
                <w:spacing w:val="-2"/>
              </w:rPr>
              <w:t>Call</w:t>
            </w:r>
            <w:r>
              <w:rPr>
                <w:rFonts w:ascii="Arial"/>
                <w:spacing w:val="37"/>
              </w:rPr>
              <w:t xml:space="preserve"> </w:t>
            </w:r>
            <w:r>
              <w:rPr>
                <w:rFonts w:ascii="Arial"/>
                <w:spacing w:val="-1"/>
              </w:rPr>
              <w:t>Off</w:t>
            </w:r>
            <w:r>
              <w:rPr>
                <w:rFonts w:ascii="Arial"/>
                <w:spacing w:val="10"/>
              </w:rPr>
              <w:t xml:space="preserve"> </w:t>
            </w:r>
            <w:r>
              <w:rPr>
                <w:rFonts w:ascii="Arial"/>
                <w:spacing w:val="-2"/>
              </w:rPr>
              <w:t>Commencement</w:t>
            </w:r>
            <w:r>
              <w:rPr>
                <w:rFonts w:ascii="Arial"/>
                <w:spacing w:val="8"/>
              </w:rPr>
              <w:t xml:space="preserve"> </w:t>
            </w:r>
            <w:r>
              <w:rPr>
                <w:rFonts w:ascii="Arial"/>
                <w:spacing w:val="-1"/>
              </w:rPr>
              <w:t>Date</w:t>
            </w:r>
            <w:r>
              <w:rPr>
                <w:rFonts w:ascii="Arial"/>
                <w:spacing w:val="9"/>
              </w:rPr>
              <w:t xml:space="preserve"> </w:t>
            </w:r>
            <w:r>
              <w:rPr>
                <w:rFonts w:ascii="Arial"/>
              </w:rPr>
              <w:t>(a</w:t>
            </w:r>
            <w:r>
              <w:rPr>
                <w:rFonts w:ascii="Arial"/>
                <w:spacing w:val="6"/>
              </w:rPr>
              <w:t xml:space="preserve"> </w:t>
            </w:r>
            <w:r>
              <w:rPr>
                <w:rFonts w:ascii="Arial"/>
                <w:spacing w:val="-1"/>
              </w:rPr>
              <w:t>copy</w:t>
            </w:r>
            <w:r>
              <w:rPr>
                <w:rFonts w:ascii="Arial"/>
                <w:spacing w:val="7"/>
              </w:rPr>
              <w:t xml:space="preserve"> </w:t>
            </w:r>
            <w:r>
              <w:rPr>
                <w:rFonts w:ascii="Arial"/>
                <w:spacing w:val="-2"/>
              </w:rPr>
              <w:t>of</w:t>
            </w:r>
            <w:r>
              <w:rPr>
                <w:rFonts w:ascii="Arial"/>
                <w:spacing w:val="13"/>
              </w:rPr>
              <w:t xml:space="preserve"> </w:t>
            </w:r>
            <w:r>
              <w:rPr>
                <w:rFonts w:ascii="Arial"/>
                <w:spacing w:val="-2"/>
              </w:rPr>
              <w:t>which</w:t>
            </w:r>
            <w:r>
              <w:rPr>
                <w:rFonts w:ascii="Arial"/>
                <w:spacing w:val="9"/>
              </w:rPr>
              <w:t xml:space="preserve"> </w:t>
            </w:r>
            <w:r>
              <w:rPr>
                <w:rFonts w:ascii="Arial"/>
                <w:spacing w:val="-1"/>
              </w:rPr>
              <w:t>has</w:t>
            </w:r>
            <w:r>
              <w:rPr>
                <w:rFonts w:ascii="Arial"/>
                <w:spacing w:val="9"/>
              </w:rPr>
              <w:t xml:space="preserve"> </w:t>
            </w:r>
            <w:r>
              <w:rPr>
                <w:rFonts w:ascii="Arial"/>
                <w:spacing w:val="-1"/>
              </w:rPr>
              <w:t>been</w:t>
            </w:r>
            <w:r>
              <w:rPr>
                <w:rFonts w:ascii="Arial"/>
                <w:spacing w:val="42"/>
              </w:rPr>
              <w:t xml:space="preserve"> </w:t>
            </w:r>
            <w:r>
              <w:rPr>
                <w:rFonts w:ascii="Arial"/>
                <w:spacing w:val="-1"/>
              </w:rPr>
              <w:t>supplied</w:t>
            </w:r>
            <w:r>
              <w:rPr>
                <w:rFonts w:ascii="Arial"/>
                <w:spacing w:val="15"/>
              </w:rPr>
              <w:t xml:space="preserve"> </w:t>
            </w:r>
            <w:r>
              <w:rPr>
                <w:rFonts w:ascii="Arial"/>
              </w:rPr>
              <w:t>to</w:t>
            </w:r>
            <w:r>
              <w:rPr>
                <w:rFonts w:ascii="Arial"/>
                <w:spacing w:val="15"/>
              </w:rPr>
              <w:t xml:space="preserve"> </w:t>
            </w:r>
            <w:r>
              <w:rPr>
                <w:rFonts w:ascii="Arial"/>
              </w:rPr>
              <w:t>the</w:t>
            </w:r>
            <w:r>
              <w:rPr>
                <w:rFonts w:ascii="Arial"/>
                <w:spacing w:val="15"/>
              </w:rPr>
              <w:t xml:space="preserve"> </w:t>
            </w:r>
            <w:r>
              <w:rPr>
                <w:rFonts w:ascii="Arial"/>
                <w:spacing w:val="-1"/>
              </w:rPr>
              <w:t>Supplier),</w:t>
            </w:r>
            <w:r>
              <w:rPr>
                <w:rFonts w:ascii="Arial"/>
                <w:spacing w:val="16"/>
              </w:rPr>
              <w:t xml:space="preserve"> </w:t>
            </w:r>
            <w:r>
              <w:rPr>
                <w:rFonts w:ascii="Arial"/>
                <w:spacing w:val="-1"/>
              </w:rPr>
              <w:t>as</w:t>
            </w:r>
            <w:r>
              <w:rPr>
                <w:rFonts w:ascii="Arial"/>
                <w:spacing w:val="15"/>
              </w:rPr>
              <w:t xml:space="preserve"> </w:t>
            </w:r>
            <w:r>
              <w:rPr>
                <w:rFonts w:ascii="Arial"/>
                <w:spacing w:val="-1"/>
              </w:rPr>
              <w:t>updated</w:t>
            </w:r>
            <w:r>
              <w:rPr>
                <w:rFonts w:ascii="Arial"/>
                <w:spacing w:val="12"/>
              </w:rPr>
              <w:t xml:space="preserve"> </w:t>
            </w:r>
            <w:r>
              <w:rPr>
                <w:rFonts w:ascii="Arial"/>
                <w:spacing w:val="-1"/>
              </w:rPr>
              <w:t>from</w:t>
            </w:r>
            <w:r>
              <w:rPr>
                <w:rFonts w:ascii="Arial"/>
                <w:spacing w:val="16"/>
              </w:rPr>
              <w:t xml:space="preserve"> </w:t>
            </w:r>
            <w:r>
              <w:rPr>
                <w:rFonts w:ascii="Arial"/>
                <w:spacing w:val="-1"/>
              </w:rPr>
              <w:t>time</w:t>
            </w:r>
            <w:r>
              <w:rPr>
                <w:rFonts w:ascii="Arial"/>
                <w:spacing w:val="12"/>
              </w:rPr>
              <w:t xml:space="preserve"> </w:t>
            </w:r>
            <w:r>
              <w:rPr>
                <w:rFonts w:ascii="Arial"/>
                <w:spacing w:val="-1"/>
              </w:rPr>
              <w:t>to</w:t>
            </w:r>
            <w:r>
              <w:rPr>
                <w:rFonts w:ascii="Arial"/>
                <w:spacing w:val="15"/>
              </w:rPr>
              <w:t xml:space="preserve"> </w:t>
            </w:r>
            <w:r>
              <w:rPr>
                <w:rFonts w:ascii="Arial"/>
                <w:spacing w:val="-1"/>
              </w:rPr>
              <w:t>time</w:t>
            </w:r>
            <w:r>
              <w:rPr>
                <w:rFonts w:ascii="Arial"/>
                <w:spacing w:val="15"/>
              </w:rPr>
              <w:t xml:space="preserve"> </w:t>
            </w:r>
            <w:r>
              <w:rPr>
                <w:rFonts w:ascii="Arial"/>
                <w:spacing w:val="-1"/>
              </w:rPr>
              <w:t>in</w:t>
            </w:r>
            <w:r>
              <w:rPr>
                <w:rFonts w:ascii="Arial"/>
                <w:spacing w:val="29"/>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rsidR="008918FA" w:rsidRDefault="008918FA" w:rsidP="005D2B81">
            <w:pPr>
              <w:pStyle w:val="TableParagraph"/>
              <w:spacing w:before="119"/>
              <w:ind w:left="270"/>
              <w:jc w:val="both"/>
              <w:rPr>
                <w:rFonts w:ascii="Arial" w:eastAsia="Arial" w:hAnsi="Arial" w:cs="Arial"/>
              </w:rPr>
            </w:pPr>
            <w:r w:rsidRPr="00CE5AA1">
              <w:rPr>
                <w:rFonts w:ascii="Arial"/>
                <w:b/>
                <w:i/>
                <w:spacing w:val="-1"/>
                <w:highlight w:val="green"/>
              </w:rPr>
              <w:t>[Guidance</w:t>
            </w:r>
            <w:r w:rsidRPr="00CE5AA1">
              <w:rPr>
                <w:rFonts w:ascii="Arial"/>
                <w:b/>
                <w:i/>
                <w:highlight w:val="green"/>
              </w:rPr>
              <w:t xml:space="preserve"> </w:t>
            </w:r>
            <w:r w:rsidRPr="00CE5AA1">
              <w:rPr>
                <w:rFonts w:ascii="Arial"/>
                <w:b/>
                <w:i/>
                <w:spacing w:val="-1"/>
                <w:highlight w:val="green"/>
              </w:rPr>
              <w:t xml:space="preserve">Note: </w:t>
            </w:r>
            <w:r w:rsidRPr="00CE5AA1">
              <w:rPr>
                <w:rFonts w:ascii="Arial"/>
                <w:b/>
                <w:i/>
                <w:highlight w:val="green"/>
              </w:rPr>
              <w:t>if</w:t>
            </w:r>
            <w:r w:rsidRPr="00CE5AA1">
              <w:rPr>
                <w:rFonts w:ascii="Arial"/>
                <w:b/>
                <w:i/>
                <w:spacing w:val="2"/>
                <w:highlight w:val="green"/>
              </w:rPr>
              <w:t xml:space="preserve"> </w:t>
            </w:r>
            <w:r w:rsidRPr="00CE5AA1">
              <w:rPr>
                <w:rFonts w:ascii="Arial"/>
                <w:b/>
                <w:i/>
                <w:spacing w:val="-1"/>
                <w:highlight w:val="green"/>
              </w:rPr>
              <w:t>the</w:t>
            </w:r>
            <w:r w:rsidRPr="00CE5AA1">
              <w:rPr>
                <w:rFonts w:ascii="Arial"/>
                <w:b/>
                <w:i/>
                <w:spacing w:val="-2"/>
                <w:highlight w:val="green"/>
              </w:rPr>
              <w:t xml:space="preserve"> </w:t>
            </w:r>
            <w:r w:rsidRPr="00CE5AA1">
              <w:rPr>
                <w:rFonts w:ascii="Arial"/>
                <w:b/>
                <w:i/>
                <w:spacing w:val="-1"/>
                <w:highlight w:val="green"/>
              </w:rPr>
              <w:t>Customer wants</w:t>
            </w:r>
            <w:r w:rsidRPr="00CE5AA1">
              <w:rPr>
                <w:rFonts w:ascii="Arial"/>
                <w:b/>
                <w:i/>
                <w:highlight w:val="green"/>
              </w:rPr>
              <w:t xml:space="preserve"> </w:t>
            </w:r>
            <w:r w:rsidRPr="00CE5AA1">
              <w:rPr>
                <w:rFonts w:ascii="Arial"/>
                <w:b/>
                <w:i/>
                <w:spacing w:val="-1"/>
                <w:highlight w:val="green"/>
              </w:rPr>
              <w:t>the</w:t>
            </w:r>
            <w:r w:rsidRPr="00CE5AA1">
              <w:rPr>
                <w:rFonts w:ascii="Arial"/>
                <w:b/>
                <w:i/>
                <w:highlight w:val="green"/>
              </w:rPr>
              <w:t xml:space="preserve"> </w:t>
            </w:r>
            <w:r w:rsidRPr="00CE5AA1">
              <w:rPr>
                <w:rFonts w:ascii="Arial"/>
                <w:b/>
                <w:i/>
                <w:spacing w:val="-1"/>
                <w:highlight w:val="green"/>
              </w:rPr>
              <w:t xml:space="preserve">Supplier </w:t>
            </w:r>
            <w:r w:rsidRPr="00CE5AA1">
              <w:rPr>
                <w:rFonts w:ascii="Arial"/>
                <w:b/>
                <w:i/>
                <w:highlight w:val="green"/>
              </w:rPr>
              <w:t>to</w:t>
            </w:r>
          </w:p>
        </w:tc>
      </w:tr>
    </w:tbl>
    <w:p w:rsidR="008918FA" w:rsidRDefault="008918FA" w:rsidP="008918FA">
      <w:pPr>
        <w:jc w:val="both"/>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278"/>
        <w:gridCol w:w="5674"/>
        <w:gridCol w:w="108"/>
      </w:tblGrid>
      <w:tr w:rsidR="008918FA" w:rsidTr="005D2B81">
        <w:trPr>
          <w:trHeight w:hRule="exact" w:val="757"/>
        </w:trPr>
        <w:tc>
          <w:tcPr>
            <w:tcW w:w="2410" w:type="dxa"/>
            <w:tcBorders>
              <w:top w:val="single" w:sz="5" w:space="0" w:color="000000"/>
              <w:left w:val="single" w:sz="5" w:space="0" w:color="000000"/>
              <w:bottom w:val="nil"/>
              <w:right w:val="single" w:sz="7" w:space="0" w:color="000000"/>
            </w:tcBorders>
          </w:tcPr>
          <w:p w:rsidR="008918FA" w:rsidRDefault="008918FA" w:rsidP="005D2B81"/>
        </w:tc>
        <w:tc>
          <w:tcPr>
            <w:tcW w:w="278" w:type="dxa"/>
            <w:tcBorders>
              <w:top w:val="single" w:sz="5" w:space="0" w:color="000000"/>
              <w:left w:val="single" w:sz="7" w:space="0" w:color="000000"/>
              <w:bottom w:val="nil"/>
              <w:right w:val="nil"/>
            </w:tcBorders>
          </w:tcPr>
          <w:p w:rsidR="008918FA" w:rsidRDefault="008918FA" w:rsidP="005D2B81"/>
        </w:tc>
        <w:tc>
          <w:tcPr>
            <w:tcW w:w="5674" w:type="dxa"/>
            <w:tcBorders>
              <w:top w:val="single" w:sz="5" w:space="0" w:color="000000"/>
              <w:left w:val="nil"/>
              <w:bottom w:val="nil"/>
              <w:right w:val="nil"/>
            </w:tcBorders>
            <w:shd w:val="clear" w:color="auto" w:fill="00FF00"/>
          </w:tcPr>
          <w:p w:rsidR="008918FA" w:rsidRDefault="008918FA" w:rsidP="005D2B81">
            <w:pPr>
              <w:pStyle w:val="TableParagraph"/>
              <w:ind w:right="-3"/>
              <w:jc w:val="both"/>
              <w:rPr>
                <w:rFonts w:ascii="Arial" w:eastAsia="Arial" w:hAnsi="Arial" w:cs="Arial"/>
              </w:rPr>
            </w:pPr>
            <w:r>
              <w:rPr>
                <w:rFonts w:ascii="Arial"/>
                <w:b/>
                <w:i/>
                <w:spacing w:val="-1"/>
              </w:rPr>
              <w:t>comply</w:t>
            </w:r>
            <w:r>
              <w:rPr>
                <w:rFonts w:ascii="Arial"/>
                <w:b/>
                <w:i/>
              </w:rPr>
              <w:t xml:space="preserve"> </w:t>
            </w:r>
            <w:r>
              <w:rPr>
                <w:rFonts w:ascii="Arial"/>
                <w:b/>
                <w:i/>
                <w:spacing w:val="-1"/>
              </w:rPr>
              <w:t>with</w:t>
            </w:r>
            <w:r>
              <w:rPr>
                <w:rFonts w:ascii="Arial"/>
                <w:b/>
                <w:i/>
                <w:spacing w:val="3"/>
              </w:rPr>
              <w:t xml:space="preserve"> </w:t>
            </w:r>
            <w:r>
              <w:rPr>
                <w:rFonts w:ascii="Arial"/>
                <w:b/>
                <w:i/>
                <w:spacing w:val="-1"/>
              </w:rPr>
              <w:t>its</w:t>
            </w:r>
            <w:r>
              <w:rPr>
                <w:rFonts w:ascii="Arial"/>
                <w:b/>
                <w:i/>
                <w:spacing w:val="3"/>
              </w:rPr>
              <w:t xml:space="preserve"> </w:t>
            </w:r>
            <w:r>
              <w:rPr>
                <w:rFonts w:ascii="Arial"/>
                <w:b/>
                <w:i/>
                <w:spacing w:val="-1"/>
              </w:rPr>
              <w:t>ICT</w:t>
            </w:r>
            <w:r>
              <w:rPr>
                <w:rFonts w:ascii="Arial"/>
                <w:b/>
                <w:i/>
                <w:spacing w:val="3"/>
              </w:rPr>
              <w:t xml:space="preserve"> </w:t>
            </w:r>
            <w:r>
              <w:rPr>
                <w:rFonts w:ascii="Arial"/>
                <w:b/>
                <w:i/>
                <w:spacing w:val="-1"/>
              </w:rPr>
              <w:t>Policy,</w:t>
            </w:r>
            <w:r>
              <w:rPr>
                <w:rFonts w:ascii="Arial"/>
                <w:b/>
                <w:i/>
                <w:spacing w:val="4"/>
              </w:rPr>
              <w:t xml:space="preserve"> </w:t>
            </w:r>
            <w:r>
              <w:rPr>
                <w:rFonts w:ascii="Arial"/>
                <w:b/>
                <w:i/>
                <w:spacing w:val="-1"/>
              </w:rPr>
              <w:t>ensure</w:t>
            </w:r>
            <w:r>
              <w:rPr>
                <w:rFonts w:ascii="Arial"/>
                <w:b/>
                <w:i/>
              </w:rPr>
              <w:t xml:space="preserve"> it</w:t>
            </w:r>
            <w:r>
              <w:rPr>
                <w:rFonts w:ascii="Arial"/>
                <w:b/>
                <w:i/>
                <w:spacing w:val="2"/>
              </w:rPr>
              <w:t xml:space="preserve"> </w:t>
            </w:r>
            <w:r>
              <w:rPr>
                <w:rFonts w:ascii="Arial"/>
                <w:b/>
                <w:i/>
              </w:rPr>
              <w:t>is</w:t>
            </w:r>
            <w:r>
              <w:rPr>
                <w:rFonts w:ascii="Arial"/>
                <w:b/>
                <w:i/>
                <w:spacing w:val="3"/>
              </w:rPr>
              <w:t xml:space="preserve"> </w:t>
            </w:r>
            <w:r>
              <w:rPr>
                <w:rFonts w:ascii="Arial"/>
                <w:b/>
                <w:i/>
                <w:spacing w:val="-1"/>
              </w:rPr>
              <w:t>handed</w:t>
            </w:r>
            <w:r>
              <w:rPr>
                <w:rFonts w:ascii="Arial"/>
                <w:b/>
                <w:i/>
              </w:rPr>
              <w:t xml:space="preserve"> </w:t>
            </w:r>
            <w:r>
              <w:rPr>
                <w:rFonts w:ascii="Arial"/>
                <w:b/>
                <w:i/>
                <w:spacing w:val="-1"/>
              </w:rPr>
              <w:t>over</w:t>
            </w:r>
            <w:r>
              <w:rPr>
                <w:rFonts w:ascii="Arial"/>
                <w:b/>
                <w:i/>
                <w:spacing w:val="3"/>
              </w:rPr>
              <w:t xml:space="preserve"> </w:t>
            </w:r>
            <w:r>
              <w:rPr>
                <w:rFonts w:ascii="Arial"/>
                <w:b/>
                <w:i/>
              </w:rPr>
              <w:t>to</w:t>
            </w:r>
            <w:r>
              <w:rPr>
                <w:rFonts w:ascii="Arial"/>
                <w:b/>
                <w:i/>
                <w:spacing w:val="37"/>
              </w:rPr>
              <w:t xml:space="preserve"> </w:t>
            </w:r>
            <w:r>
              <w:rPr>
                <w:rFonts w:ascii="Arial"/>
                <w:b/>
                <w:i/>
                <w:spacing w:val="-1"/>
              </w:rPr>
              <w:t>the</w:t>
            </w:r>
            <w:r>
              <w:rPr>
                <w:rFonts w:ascii="Arial"/>
                <w:b/>
                <w:i/>
                <w:spacing w:val="43"/>
              </w:rPr>
              <w:t xml:space="preserve"> </w:t>
            </w:r>
            <w:r>
              <w:rPr>
                <w:rFonts w:ascii="Arial"/>
                <w:b/>
                <w:i/>
                <w:spacing w:val="-1"/>
              </w:rPr>
              <w:t>Customer</w:t>
            </w:r>
            <w:r>
              <w:rPr>
                <w:rFonts w:ascii="Arial"/>
                <w:b/>
                <w:i/>
                <w:spacing w:val="44"/>
              </w:rPr>
              <w:t xml:space="preserve"> </w:t>
            </w:r>
            <w:r>
              <w:rPr>
                <w:rFonts w:ascii="Arial"/>
                <w:b/>
                <w:i/>
                <w:spacing w:val="-2"/>
              </w:rPr>
              <w:t>BEFORE</w:t>
            </w:r>
            <w:r>
              <w:rPr>
                <w:rFonts w:ascii="Arial"/>
                <w:b/>
                <w:i/>
                <w:spacing w:val="43"/>
              </w:rPr>
              <w:t xml:space="preserve"> </w:t>
            </w:r>
            <w:r>
              <w:rPr>
                <w:rFonts w:ascii="Arial"/>
                <w:b/>
                <w:i/>
                <w:spacing w:val="-1"/>
              </w:rPr>
              <w:t>the</w:t>
            </w:r>
            <w:r>
              <w:rPr>
                <w:rFonts w:ascii="Arial"/>
                <w:b/>
                <w:i/>
                <w:spacing w:val="43"/>
              </w:rPr>
              <w:t xml:space="preserve"> </w:t>
            </w:r>
            <w:r>
              <w:rPr>
                <w:rFonts w:ascii="Arial"/>
                <w:b/>
                <w:i/>
                <w:spacing w:val="-1"/>
              </w:rPr>
              <w:t>Call</w:t>
            </w:r>
            <w:r>
              <w:rPr>
                <w:rFonts w:ascii="Arial"/>
                <w:b/>
                <w:i/>
                <w:spacing w:val="45"/>
              </w:rPr>
              <w:t xml:space="preserve"> </w:t>
            </w:r>
            <w:r>
              <w:rPr>
                <w:rFonts w:ascii="Arial"/>
                <w:b/>
                <w:i/>
                <w:spacing w:val="-1"/>
              </w:rPr>
              <w:t>Off</w:t>
            </w:r>
            <w:r>
              <w:rPr>
                <w:rFonts w:ascii="Arial"/>
                <w:b/>
                <w:i/>
                <w:spacing w:val="45"/>
              </w:rPr>
              <w:t xml:space="preserve"> </w:t>
            </w:r>
            <w:r>
              <w:rPr>
                <w:rFonts w:ascii="Arial"/>
                <w:b/>
                <w:i/>
                <w:spacing w:val="-2"/>
              </w:rPr>
              <w:t>Commencement</w:t>
            </w:r>
            <w:r>
              <w:rPr>
                <w:rFonts w:ascii="Arial"/>
                <w:b/>
                <w:i/>
                <w:spacing w:val="51"/>
              </w:rPr>
              <w:t xml:space="preserve"> </w:t>
            </w:r>
            <w:r>
              <w:rPr>
                <w:rFonts w:ascii="Arial"/>
                <w:b/>
                <w:i/>
                <w:spacing w:val="-2"/>
              </w:rPr>
              <w:t>Date]</w:t>
            </w:r>
          </w:p>
        </w:tc>
        <w:tc>
          <w:tcPr>
            <w:tcW w:w="108" w:type="dxa"/>
            <w:tcBorders>
              <w:top w:val="single" w:sz="5" w:space="0" w:color="000000"/>
              <w:left w:val="nil"/>
              <w:bottom w:val="nil"/>
              <w:right w:val="single" w:sz="5" w:space="0" w:color="000000"/>
            </w:tcBorders>
          </w:tcPr>
          <w:p w:rsidR="008918FA" w:rsidRDefault="008918FA" w:rsidP="005D2B81"/>
        </w:tc>
      </w:tr>
      <w:tr w:rsidR="008918FA" w:rsidTr="005D2B81">
        <w:trPr>
          <w:trHeight w:hRule="exact" w:val="127"/>
        </w:trPr>
        <w:tc>
          <w:tcPr>
            <w:tcW w:w="2410" w:type="dxa"/>
            <w:tcBorders>
              <w:top w:val="nil"/>
              <w:left w:val="single" w:sz="5" w:space="0" w:color="000000"/>
              <w:bottom w:val="single" w:sz="7" w:space="0" w:color="000000"/>
              <w:right w:val="single" w:sz="7" w:space="0" w:color="000000"/>
            </w:tcBorders>
          </w:tcPr>
          <w:p w:rsidR="008918FA" w:rsidRDefault="008918FA" w:rsidP="005D2B81"/>
        </w:tc>
        <w:tc>
          <w:tcPr>
            <w:tcW w:w="278" w:type="dxa"/>
            <w:tcBorders>
              <w:top w:val="nil"/>
              <w:left w:val="single" w:sz="7" w:space="0" w:color="000000"/>
              <w:bottom w:val="single" w:sz="7" w:space="0" w:color="000000"/>
              <w:right w:val="nil"/>
            </w:tcBorders>
          </w:tcPr>
          <w:p w:rsidR="008918FA" w:rsidRDefault="008918FA" w:rsidP="005D2B81"/>
        </w:tc>
        <w:tc>
          <w:tcPr>
            <w:tcW w:w="5674" w:type="dxa"/>
            <w:tcBorders>
              <w:top w:val="nil"/>
              <w:left w:val="nil"/>
              <w:bottom w:val="single" w:sz="7" w:space="0" w:color="000000"/>
              <w:right w:val="nil"/>
            </w:tcBorders>
          </w:tcPr>
          <w:p w:rsidR="008918FA" w:rsidRDefault="008918FA" w:rsidP="005D2B81"/>
        </w:tc>
        <w:tc>
          <w:tcPr>
            <w:tcW w:w="108" w:type="dxa"/>
            <w:tcBorders>
              <w:top w:val="nil"/>
              <w:left w:val="nil"/>
              <w:bottom w:val="single" w:sz="7" w:space="0" w:color="000000"/>
              <w:right w:val="single" w:sz="5" w:space="0" w:color="000000"/>
            </w:tcBorders>
          </w:tcPr>
          <w:p w:rsidR="008918FA" w:rsidRDefault="008918FA" w:rsidP="005D2B81"/>
        </w:tc>
      </w:tr>
      <w:tr w:rsidR="008918FA" w:rsidTr="005D2B81">
        <w:trPr>
          <w:trHeight w:hRule="exact" w:val="64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"Impact</w:t>
            </w:r>
            <w:r>
              <w:rPr>
                <w:rFonts w:ascii="Arial"/>
                <w:b/>
                <w:spacing w:val="2"/>
              </w:rPr>
              <w:t xml:space="preserve"> </w:t>
            </w:r>
            <w:r>
              <w:rPr>
                <w:rFonts w:ascii="Arial"/>
                <w:b/>
                <w:spacing w:val="-2"/>
              </w:rPr>
              <w:t>Assessment"</w:t>
            </w:r>
          </w:p>
        </w:tc>
        <w:tc>
          <w:tcPr>
            <w:tcW w:w="278" w:type="dxa"/>
            <w:tcBorders>
              <w:top w:val="single" w:sz="7" w:space="0" w:color="000000"/>
              <w:left w:val="single" w:sz="7" w:space="0" w:color="000000"/>
              <w:bottom w:val="single" w:sz="7" w:space="0" w:color="000000"/>
              <w:right w:val="nil"/>
            </w:tcBorders>
          </w:tcPr>
          <w:p w:rsidR="008918FA" w:rsidRDefault="008918FA" w:rsidP="005D2B81"/>
        </w:tc>
        <w:tc>
          <w:tcPr>
            <w:tcW w:w="5674" w:type="dxa"/>
            <w:tcBorders>
              <w:top w:val="single" w:sz="7" w:space="0" w:color="000000"/>
              <w:left w:val="nil"/>
              <w:bottom w:val="single" w:sz="7" w:space="0" w:color="000000"/>
              <w:right w:val="nil"/>
            </w:tcBorders>
          </w:tcPr>
          <w:p w:rsidR="008918FA" w:rsidRDefault="008918FA" w:rsidP="005D2B81">
            <w:pPr>
              <w:pStyle w:val="TableParagraph"/>
              <w:rPr>
                <w:rFonts w:ascii="Arial" w:eastAsia="Arial" w:hAnsi="Arial" w:cs="Arial"/>
              </w:rPr>
            </w:pPr>
            <w:r>
              <w:rPr>
                <w:rFonts w:ascii="Arial"/>
                <w:spacing w:val="-1"/>
              </w:rPr>
              <w:t>has</w:t>
            </w:r>
            <w:r>
              <w:rPr>
                <w:rFonts w:ascii="Arial"/>
                <w:spacing w:val="44"/>
              </w:rPr>
              <w:t xml:space="preserve"> </w:t>
            </w:r>
            <w:r>
              <w:rPr>
                <w:rFonts w:ascii="Arial"/>
              </w:rPr>
              <w:t>the</w:t>
            </w:r>
            <w:r>
              <w:rPr>
                <w:rFonts w:ascii="Arial"/>
                <w:spacing w:val="41"/>
              </w:rPr>
              <w:t xml:space="preserve"> </w:t>
            </w:r>
            <w:r>
              <w:rPr>
                <w:rFonts w:ascii="Arial"/>
                <w:spacing w:val="-2"/>
              </w:rPr>
              <w:t>meaning</w:t>
            </w:r>
            <w:r>
              <w:rPr>
                <w:rFonts w:ascii="Arial"/>
                <w:spacing w:val="43"/>
              </w:rPr>
              <w:t xml:space="preserve"> </w:t>
            </w:r>
            <w:r>
              <w:rPr>
                <w:rFonts w:ascii="Arial"/>
                <w:spacing w:val="-1"/>
              </w:rPr>
              <w:t>given</w:t>
            </w:r>
            <w:r>
              <w:rPr>
                <w:rFonts w:ascii="Arial"/>
                <w:spacing w:val="41"/>
              </w:rPr>
              <w:t xml:space="preserve"> </w:t>
            </w:r>
            <w:r>
              <w:rPr>
                <w:rFonts w:ascii="Arial"/>
              </w:rPr>
              <w:t>to</w:t>
            </w:r>
            <w:r>
              <w:rPr>
                <w:rFonts w:ascii="Arial"/>
                <w:spacing w:val="43"/>
              </w:rPr>
              <w:t xml:space="preserve"> </w:t>
            </w:r>
            <w:r>
              <w:rPr>
                <w:rFonts w:ascii="Arial"/>
                <w:spacing w:val="-1"/>
              </w:rPr>
              <w:t>it</w:t>
            </w:r>
            <w:r>
              <w:rPr>
                <w:rFonts w:ascii="Arial"/>
                <w:spacing w:val="42"/>
              </w:rPr>
              <w:t xml:space="preserve"> </w:t>
            </w:r>
            <w:r>
              <w:rPr>
                <w:rFonts w:ascii="Arial"/>
                <w:spacing w:val="-1"/>
              </w:rPr>
              <w:t>in</w:t>
            </w:r>
            <w:r>
              <w:rPr>
                <w:rFonts w:ascii="Arial"/>
                <w:spacing w:val="44"/>
              </w:rPr>
              <w:t xml:space="preserve"> </w:t>
            </w:r>
            <w:r>
              <w:rPr>
                <w:rFonts w:ascii="Arial"/>
                <w:spacing w:val="-2"/>
              </w:rPr>
              <w:t>Clause</w:t>
            </w:r>
            <w:r>
              <w:rPr>
                <w:rFonts w:ascii="Arial"/>
                <w:spacing w:val="46"/>
              </w:rPr>
              <w:t xml:space="preserve"> </w:t>
            </w:r>
            <w:hyperlink w:anchor="_bookmark120" w:history="1">
              <w:r>
                <w:rPr>
                  <w:rFonts w:ascii="Arial"/>
                  <w:spacing w:val="-1"/>
                </w:rPr>
                <w:t>22.1.3</w:t>
              </w:r>
            </w:hyperlink>
            <w:r>
              <w:rPr>
                <w:rFonts w:ascii="Arial"/>
                <w:spacing w:val="41"/>
              </w:rPr>
              <w:t xml:space="preserve"> </w:t>
            </w:r>
            <w:r>
              <w:rPr>
                <w:rFonts w:ascii="Arial"/>
                <w:spacing w:val="-1"/>
              </w:rPr>
              <w:t>(Variation</w:t>
            </w:r>
            <w:r>
              <w:rPr>
                <w:rFonts w:ascii="Arial"/>
                <w:spacing w:val="34"/>
              </w:rPr>
              <w:t xml:space="preserve"> </w:t>
            </w:r>
            <w:r>
              <w:rPr>
                <w:rFonts w:ascii="Arial"/>
                <w:spacing w:val="-1"/>
              </w:rPr>
              <w:t>Procedure);</w:t>
            </w:r>
          </w:p>
        </w:tc>
        <w:tc>
          <w:tcPr>
            <w:tcW w:w="108" w:type="dxa"/>
            <w:tcBorders>
              <w:top w:val="single" w:sz="7" w:space="0" w:color="000000"/>
              <w:left w:val="nil"/>
              <w:bottom w:val="single" w:sz="7" w:space="0" w:color="000000"/>
              <w:right w:val="single" w:sz="5" w:space="0" w:color="000000"/>
            </w:tcBorders>
          </w:tcPr>
          <w:p w:rsidR="008918FA" w:rsidRDefault="008918FA" w:rsidP="005D2B81"/>
        </w:tc>
      </w:tr>
      <w:tr w:rsidR="008918FA" w:rsidTr="005D2B81">
        <w:trPr>
          <w:trHeight w:hRule="exact" w:val="64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666"/>
              <w:rPr>
                <w:rFonts w:ascii="Arial" w:eastAsia="Arial" w:hAnsi="Arial" w:cs="Arial"/>
              </w:rPr>
            </w:pPr>
            <w:r>
              <w:rPr>
                <w:rFonts w:ascii="Arial"/>
                <w:b/>
                <w:spacing w:val="-1"/>
              </w:rPr>
              <w:t>"Implementation</w:t>
            </w:r>
            <w:r>
              <w:rPr>
                <w:rFonts w:ascii="Arial"/>
                <w:b/>
                <w:spacing w:val="24"/>
              </w:rPr>
              <w:t xml:space="preserve"> </w:t>
            </w:r>
            <w:r>
              <w:rPr>
                <w:rFonts w:ascii="Arial"/>
                <w:b/>
                <w:spacing w:val="-1"/>
              </w:rPr>
              <w:t>Plan"</w:t>
            </w:r>
          </w:p>
        </w:tc>
        <w:tc>
          <w:tcPr>
            <w:tcW w:w="278" w:type="dxa"/>
            <w:tcBorders>
              <w:top w:val="single" w:sz="7" w:space="0" w:color="000000"/>
              <w:left w:val="single" w:sz="7" w:space="0" w:color="000000"/>
              <w:bottom w:val="single" w:sz="7" w:space="0" w:color="000000"/>
              <w:right w:val="nil"/>
            </w:tcBorders>
          </w:tcPr>
          <w:p w:rsidR="008918FA" w:rsidRDefault="008918FA" w:rsidP="005D2B81"/>
        </w:tc>
        <w:tc>
          <w:tcPr>
            <w:tcW w:w="5674" w:type="dxa"/>
            <w:tcBorders>
              <w:top w:val="single" w:sz="7" w:space="0" w:color="000000"/>
              <w:left w:val="nil"/>
              <w:bottom w:val="single" w:sz="7" w:space="0" w:color="000000"/>
              <w:right w:val="nil"/>
            </w:tcBorders>
          </w:tcPr>
          <w:p w:rsidR="008918FA" w:rsidRDefault="008918FA" w:rsidP="005D2B81">
            <w:pPr>
              <w:pStyle w:val="TableParagraph"/>
              <w:spacing w:line="252" w:lineRule="exact"/>
              <w:rPr>
                <w:rFonts w:ascii="Arial" w:eastAsia="Arial" w:hAnsi="Arial" w:cs="Arial"/>
              </w:rPr>
            </w:pPr>
            <w:r>
              <w:rPr>
                <w:rFonts w:ascii="Arial"/>
                <w:spacing w:val="-1"/>
              </w:rPr>
              <w:t>means</w:t>
            </w:r>
            <w:r>
              <w:rPr>
                <w:rFonts w:ascii="Arial"/>
                <w:spacing w:val="-2"/>
              </w:rPr>
              <w:t xml:space="preserve"> </w:t>
            </w:r>
            <w:r>
              <w:rPr>
                <w:rFonts w:ascii="Arial"/>
              </w:rPr>
              <w:t xml:space="preserve">the </w:t>
            </w:r>
            <w:r>
              <w:rPr>
                <w:rFonts w:ascii="Arial"/>
                <w:spacing w:val="-1"/>
              </w:rPr>
              <w:t>plan</w:t>
            </w:r>
            <w:r>
              <w:rPr>
                <w:rFonts w:ascii="Arial"/>
                <w:spacing w:val="-2"/>
              </w:rPr>
              <w:t xml:space="preserve"> </w:t>
            </w:r>
            <w:r>
              <w:rPr>
                <w:rFonts w:ascii="Arial"/>
                <w:spacing w:val="-1"/>
              </w:rPr>
              <w:t>set</w:t>
            </w:r>
            <w:r>
              <w:rPr>
                <w:rFonts w:ascii="Arial"/>
              </w:rPr>
              <w:t xml:space="preserve"> </w:t>
            </w:r>
            <w:r>
              <w:rPr>
                <w:rFonts w:ascii="Arial"/>
                <w:spacing w:val="-1"/>
              </w:rPr>
              <w:t>out</w:t>
            </w:r>
            <w:r>
              <w:rPr>
                <w:rFonts w:ascii="Arial"/>
              </w:rPr>
              <w:t xml:space="preserve"> </w:t>
            </w:r>
            <w:r>
              <w:rPr>
                <w:rFonts w:ascii="Arial"/>
                <w:spacing w:val="-2"/>
              </w:rPr>
              <w:t>in</w:t>
            </w:r>
            <w:r>
              <w:rPr>
                <w:rFonts w:ascii="Arial"/>
              </w:rPr>
              <w:t xml:space="preserve">  the</w:t>
            </w:r>
            <w:r>
              <w:rPr>
                <w:rFonts w:ascii="Arial"/>
                <w:spacing w:val="-2"/>
              </w:rPr>
              <w:t xml:space="preserve"> </w:t>
            </w:r>
            <w:r>
              <w:rPr>
                <w:rFonts w:ascii="Arial"/>
                <w:spacing w:val="-1"/>
              </w:rPr>
              <w:t>Order</w:t>
            </w:r>
            <w:r>
              <w:rPr>
                <w:rFonts w:ascii="Arial"/>
                <w:spacing w:val="2"/>
              </w:rPr>
              <w:t xml:space="preserve"> </w:t>
            </w:r>
            <w:r>
              <w:rPr>
                <w:rFonts w:ascii="Arial"/>
                <w:spacing w:val="-2"/>
              </w:rPr>
              <w:t>Form;</w:t>
            </w:r>
          </w:p>
        </w:tc>
        <w:tc>
          <w:tcPr>
            <w:tcW w:w="108" w:type="dxa"/>
            <w:tcBorders>
              <w:top w:val="single" w:sz="7" w:space="0" w:color="000000"/>
              <w:left w:val="nil"/>
              <w:bottom w:val="single" w:sz="7" w:space="0" w:color="000000"/>
              <w:right w:val="single" w:sz="5" w:space="0" w:color="000000"/>
            </w:tcBorders>
          </w:tcPr>
          <w:p w:rsidR="008918FA" w:rsidRDefault="008918FA" w:rsidP="005D2B81"/>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"Information"</w:t>
            </w:r>
          </w:p>
        </w:tc>
        <w:tc>
          <w:tcPr>
            <w:tcW w:w="278" w:type="dxa"/>
            <w:tcBorders>
              <w:top w:val="single" w:sz="7" w:space="0" w:color="000000"/>
              <w:left w:val="single" w:sz="7" w:space="0" w:color="000000"/>
              <w:bottom w:val="single" w:sz="7" w:space="0" w:color="000000"/>
              <w:right w:val="nil"/>
            </w:tcBorders>
          </w:tcPr>
          <w:p w:rsidR="008918FA" w:rsidRDefault="008918FA" w:rsidP="005D2B81"/>
        </w:tc>
        <w:tc>
          <w:tcPr>
            <w:tcW w:w="5674" w:type="dxa"/>
            <w:tcBorders>
              <w:top w:val="single" w:sz="7" w:space="0" w:color="000000"/>
              <w:left w:val="nil"/>
              <w:bottom w:val="single" w:sz="7" w:space="0" w:color="000000"/>
              <w:right w:val="nil"/>
            </w:tcBorders>
          </w:tcPr>
          <w:p w:rsidR="008918FA" w:rsidRDefault="008918FA" w:rsidP="005D2B81">
            <w:pPr>
              <w:pStyle w:val="TableParagraph"/>
              <w:spacing w:before="1" w:line="252" w:lineRule="exact"/>
              <w:ind w:right="-1"/>
              <w:rPr>
                <w:rFonts w:ascii="Arial" w:eastAsia="Arial" w:hAnsi="Arial" w:cs="Arial"/>
              </w:rPr>
            </w:pPr>
            <w:r>
              <w:rPr>
                <w:rFonts w:ascii="Arial"/>
                <w:spacing w:val="-1"/>
              </w:rPr>
              <w:t>has</w:t>
            </w:r>
            <w:r>
              <w:rPr>
                <w:rFonts w:ascii="Arial"/>
              </w:rPr>
              <w:t xml:space="preserve"> </w:t>
            </w:r>
            <w:r>
              <w:rPr>
                <w:rFonts w:ascii="Arial"/>
                <w:spacing w:val="14"/>
              </w:rPr>
              <w:t xml:space="preserve"> </w:t>
            </w:r>
            <w:r>
              <w:rPr>
                <w:rFonts w:ascii="Arial"/>
              </w:rPr>
              <w:t xml:space="preserve">the </w:t>
            </w:r>
            <w:r>
              <w:rPr>
                <w:rFonts w:ascii="Arial"/>
                <w:spacing w:val="11"/>
              </w:rPr>
              <w:t xml:space="preserve"> </w:t>
            </w:r>
            <w:r>
              <w:rPr>
                <w:rFonts w:ascii="Arial"/>
                <w:spacing w:val="-2"/>
              </w:rPr>
              <w:t>meaning</w:t>
            </w:r>
            <w:r>
              <w:rPr>
                <w:rFonts w:ascii="Arial"/>
              </w:rPr>
              <w:t xml:space="preserve"> </w:t>
            </w:r>
            <w:r>
              <w:rPr>
                <w:rFonts w:ascii="Arial"/>
                <w:spacing w:val="11"/>
              </w:rPr>
              <w:t xml:space="preserve"> </w:t>
            </w:r>
            <w:r>
              <w:rPr>
                <w:rFonts w:ascii="Arial"/>
                <w:spacing w:val="-1"/>
              </w:rPr>
              <w:t>given</w:t>
            </w:r>
            <w:r>
              <w:rPr>
                <w:rFonts w:ascii="Arial"/>
              </w:rPr>
              <w:t xml:space="preserve"> </w:t>
            </w:r>
            <w:r>
              <w:rPr>
                <w:rFonts w:ascii="Arial"/>
                <w:spacing w:val="16"/>
              </w:rPr>
              <w:t xml:space="preserve"> </w:t>
            </w:r>
            <w:r>
              <w:rPr>
                <w:rFonts w:ascii="Arial"/>
              </w:rPr>
              <w:t xml:space="preserve">to </w:t>
            </w:r>
            <w:r>
              <w:rPr>
                <w:rFonts w:ascii="Arial"/>
                <w:spacing w:val="11"/>
              </w:rPr>
              <w:t xml:space="preserve"> </w:t>
            </w:r>
            <w:r>
              <w:rPr>
                <w:rFonts w:ascii="Arial"/>
                <w:spacing w:val="-1"/>
              </w:rPr>
              <w:t>it</w:t>
            </w:r>
            <w:r>
              <w:rPr>
                <w:rFonts w:ascii="Arial"/>
              </w:rPr>
              <w:t xml:space="preserve"> </w:t>
            </w:r>
            <w:r>
              <w:rPr>
                <w:rFonts w:ascii="Arial"/>
                <w:spacing w:val="15"/>
              </w:rPr>
              <w:t xml:space="preserve"> </w:t>
            </w:r>
            <w:r>
              <w:rPr>
                <w:rFonts w:ascii="Arial"/>
                <w:spacing w:val="-2"/>
              </w:rPr>
              <w:t>under</w:t>
            </w:r>
            <w:r>
              <w:rPr>
                <w:rFonts w:ascii="Arial"/>
              </w:rPr>
              <w:t xml:space="preserve"> </w:t>
            </w:r>
            <w:r>
              <w:rPr>
                <w:rFonts w:ascii="Arial"/>
                <w:spacing w:val="15"/>
              </w:rPr>
              <w:t xml:space="preserve"> </w:t>
            </w:r>
            <w:r>
              <w:rPr>
                <w:rFonts w:ascii="Arial"/>
                <w:spacing w:val="-1"/>
              </w:rPr>
              <w:t>section</w:t>
            </w:r>
            <w:r>
              <w:rPr>
                <w:rFonts w:ascii="Arial"/>
              </w:rPr>
              <w:t xml:space="preserve"> </w:t>
            </w:r>
            <w:r>
              <w:rPr>
                <w:rFonts w:ascii="Arial"/>
                <w:spacing w:val="13"/>
              </w:rPr>
              <w:t xml:space="preserve"> </w:t>
            </w:r>
            <w:r>
              <w:rPr>
                <w:rFonts w:ascii="Arial"/>
                <w:spacing w:val="-2"/>
              </w:rPr>
              <w:t>84</w:t>
            </w:r>
            <w:r>
              <w:rPr>
                <w:rFonts w:ascii="Arial"/>
              </w:rPr>
              <w:t xml:space="preserve"> </w:t>
            </w:r>
            <w:r>
              <w:rPr>
                <w:rFonts w:ascii="Arial"/>
                <w:spacing w:val="13"/>
              </w:rPr>
              <w:t xml:space="preserve"> </w:t>
            </w:r>
            <w:r>
              <w:rPr>
                <w:rFonts w:ascii="Arial"/>
                <w:spacing w:val="-2"/>
              </w:rPr>
              <w:t>of</w:t>
            </w:r>
            <w:r>
              <w:rPr>
                <w:rFonts w:ascii="Arial"/>
              </w:rPr>
              <w:t xml:space="preserve"> </w:t>
            </w:r>
            <w:r>
              <w:rPr>
                <w:rFonts w:ascii="Arial"/>
                <w:spacing w:val="15"/>
              </w:rPr>
              <w:t xml:space="preserve"> </w:t>
            </w:r>
            <w:r>
              <w:rPr>
                <w:rFonts w:ascii="Arial"/>
                <w:spacing w:val="-1"/>
              </w:rPr>
              <w:t>the</w:t>
            </w:r>
            <w:r>
              <w:rPr>
                <w:rFonts w:ascii="Arial"/>
                <w:spacing w:val="35"/>
              </w:rPr>
              <w:t xml:space="preserve"> </w:t>
            </w:r>
            <w:r>
              <w:rPr>
                <w:rFonts w:ascii="Arial"/>
                <w:spacing w:val="-1"/>
              </w:rPr>
              <w:t>Freedom</w:t>
            </w:r>
            <w:r>
              <w:rPr>
                <w:rFonts w:ascii="Arial"/>
              </w:rPr>
              <w:t xml:space="preserve"> </w:t>
            </w:r>
            <w:r>
              <w:rPr>
                <w:rFonts w:ascii="Arial"/>
                <w:spacing w:val="-2"/>
              </w:rPr>
              <w:t>of</w:t>
            </w:r>
            <w:r>
              <w:rPr>
                <w:rFonts w:ascii="Arial"/>
                <w:spacing w:val="2"/>
              </w:rPr>
              <w:t xml:space="preserve"> </w:t>
            </w:r>
            <w:r>
              <w:rPr>
                <w:rFonts w:ascii="Arial"/>
                <w:spacing w:val="-1"/>
              </w:rPr>
              <w:t>Information</w:t>
            </w:r>
            <w:r>
              <w:rPr>
                <w:rFonts w:ascii="Arial"/>
                <w:spacing w:val="-2"/>
              </w:rPr>
              <w:t xml:space="preserve"> </w:t>
            </w:r>
            <w:r>
              <w:rPr>
                <w:rFonts w:ascii="Arial"/>
                <w:spacing w:val="-1"/>
              </w:rPr>
              <w:t>Act</w:t>
            </w:r>
            <w:r>
              <w:rPr>
                <w:rFonts w:ascii="Arial"/>
                <w:spacing w:val="2"/>
              </w:rPr>
              <w:t xml:space="preserve"> </w:t>
            </w:r>
            <w:r>
              <w:rPr>
                <w:rFonts w:ascii="Arial"/>
                <w:spacing w:val="-2"/>
              </w:rPr>
              <w:t>2000;</w:t>
            </w:r>
          </w:p>
        </w:tc>
        <w:tc>
          <w:tcPr>
            <w:tcW w:w="108" w:type="dxa"/>
            <w:tcBorders>
              <w:top w:val="single" w:sz="7" w:space="0" w:color="000000"/>
              <w:left w:val="nil"/>
              <w:bottom w:val="single" w:sz="7" w:space="0" w:color="000000"/>
              <w:right w:val="single" w:sz="5" w:space="0" w:color="000000"/>
            </w:tcBorders>
          </w:tcPr>
          <w:p w:rsidR="008918FA" w:rsidRDefault="008918FA" w:rsidP="005D2B81"/>
        </w:tc>
      </w:tr>
      <w:tr w:rsidR="008918FA" w:rsidTr="005D2B81">
        <w:trPr>
          <w:trHeight w:hRule="exact" w:val="10702"/>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"Insolvency</w:t>
            </w:r>
            <w:r>
              <w:rPr>
                <w:rFonts w:ascii="Arial"/>
                <w:b/>
                <w:spacing w:val="-4"/>
              </w:rPr>
              <w:t xml:space="preserve"> </w:t>
            </w:r>
            <w:r>
              <w:rPr>
                <w:rFonts w:ascii="Arial"/>
                <w:b/>
                <w:spacing w:val="-1"/>
              </w:rPr>
              <w:t>Event"</w:t>
            </w:r>
          </w:p>
        </w:tc>
        <w:tc>
          <w:tcPr>
            <w:tcW w:w="278" w:type="dxa"/>
            <w:tcBorders>
              <w:top w:val="single" w:sz="7" w:space="0" w:color="000000"/>
              <w:left w:val="single" w:sz="7" w:space="0" w:color="000000"/>
              <w:bottom w:val="single" w:sz="5" w:space="0" w:color="000000"/>
              <w:right w:val="nil"/>
            </w:tcBorders>
          </w:tcPr>
          <w:p w:rsidR="008918FA" w:rsidRDefault="008918FA" w:rsidP="005D2B81"/>
        </w:tc>
        <w:tc>
          <w:tcPr>
            <w:tcW w:w="5674" w:type="dxa"/>
            <w:tcBorders>
              <w:top w:val="single" w:sz="7" w:space="0" w:color="000000"/>
              <w:left w:val="nil"/>
              <w:bottom w:val="single" w:sz="5" w:space="0" w:color="000000"/>
              <w:right w:val="nil"/>
            </w:tcBorders>
          </w:tcPr>
          <w:p w:rsidR="008918FA" w:rsidRDefault="008918FA" w:rsidP="005D2B81">
            <w:pPr>
              <w:pStyle w:val="TableParagraph"/>
              <w:tabs>
                <w:tab w:val="left" w:pos="933"/>
                <w:tab w:val="left" w:pos="1312"/>
                <w:tab w:val="left" w:pos="2243"/>
                <w:tab w:val="left" w:pos="2634"/>
                <w:tab w:val="left" w:pos="3150"/>
                <w:tab w:val="left" w:pos="4165"/>
                <w:tab w:val="left" w:pos="4571"/>
              </w:tabs>
              <w:spacing w:before="1" w:line="252" w:lineRule="exact"/>
              <w:rPr>
                <w:rFonts w:ascii="Arial" w:eastAsia="Arial" w:hAnsi="Arial" w:cs="Arial"/>
              </w:rPr>
            </w:pPr>
            <w:r>
              <w:rPr>
                <w:rFonts w:ascii="Arial"/>
                <w:spacing w:val="-1"/>
              </w:rPr>
              <w:t>means,</w:t>
            </w:r>
            <w:r>
              <w:rPr>
                <w:rFonts w:ascii="Arial"/>
                <w:spacing w:val="-1"/>
              </w:rPr>
              <w:tab/>
              <w:t>in</w:t>
            </w:r>
            <w:r>
              <w:rPr>
                <w:rFonts w:ascii="Arial"/>
                <w:spacing w:val="-1"/>
              </w:rPr>
              <w:tab/>
              <w:t>respect</w:t>
            </w:r>
            <w:r>
              <w:rPr>
                <w:rFonts w:ascii="Arial"/>
                <w:spacing w:val="-1"/>
              </w:rPr>
              <w:tab/>
            </w:r>
            <w:r>
              <w:rPr>
                <w:rFonts w:ascii="Arial"/>
                <w:spacing w:val="-2"/>
              </w:rPr>
              <w:t>of</w:t>
            </w:r>
            <w:r>
              <w:rPr>
                <w:rFonts w:ascii="Arial"/>
                <w:spacing w:val="-2"/>
              </w:rPr>
              <w:tab/>
            </w:r>
            <w:r>
              <w:rPr>
                <w:rFonts w:ascii="Arial"/>
                <w:w w:val="95"/>
              </w:rPr>
              <w:t>the</w:t>
            </w:r>
            <w:r>
              <w:rPr>
                <w:rFonts w:ascii="Arial"/>
                <w:w w:val="95"/>
              </w:rPr>
              <w:tab/>
            </w:r>
            <w:r>
              <w:rPr>
                <w:rFonts w:ascii="Arial"/>
                <w:spacing w:val="-2"/>
                <w:w w:val="95"/>
              </w:rPr>
              <w:t>Supplier</w:t>
            </w:r>
            <w:r>
              <w:rPr>
                <w:rFonts w:ascii="Arial"/>
                <w:spacing w:val="-2"/>
                <w:w w:val="95"/>
              </w:rPr>
              <w:tab/>
            </w:r>
            <w:r>
              <w:rPr>
                <w:rFonts w:ascii="Arial"/>
                <w:spacing w:val="-1"/>
              </w:rPr>
              <w:t>or</w:t>
            </w:r>
            <w:r>
              <w:rPr>
                <w:rFonts w:ascii="Arial"/>
                <w:spacing w:val="-1"/>
              </w:rPr>
              <w:tab/>
              <w:t>Framework</w:t>
            </w:r>
            <w:r>
              <w:rPr>
                <w:rFonts w:ascii="Arial"/>
                <w:spacing w:val="27"/>
              </w:rPr>
              <w:t xml:space="preserve"> </w:t>
            </w:r>
            <w:r>
              <w:rPr>
                <w:rFonts w:ascii="Arial"/>
                <w:spacing w:val="-1"/>
              </w:rPr>
              <w:t xml:space="preserve">Guarantor or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Guarantor (as</w:t>
            </w:r>
            <w:r>
              <w:rPr>
                <w:rFonts w:ascii="Arial"/>
                <w:spacing w:val="1"/>
              </w:rPr>
              <w:t xml:space="preserve"> </w:t>
            </w:r>
            <w:r>
              <w:rPr>
                <w:rFonts w:ascii="Arial"/>
                <w:spacing w:val="-1"/>
              </w:rPr>
              <w:t>applicable):</w:t>
            </w:r>
          </w:p>
          <w:p w:rsidR="008918FA" w:rsidRDefault="008918FA" w:rsidP="005D2B81">
            <w:pPr>
              <w:pStyle w:val="ListParagraph"/>
              <w:numPr>
                <w:ilvl w:val="0"/>
                <w:numId w:val="44"/>
              </w:numPr>
              <w:tabs>
                <w:tab w:val="left" w:pos="550"/>
              </w:tabs>
              <w:spacing w:before="117"/>
              <w:ind w:right="-1"/>
              <w:jc w:val="both"/>
              <w:rPr>
                <w:rFonts w:ascii="Arial" w:eastAsia="Arial" w:hAnsi="Arial" w:cs="Arial"/>
              </w:rPr>
            </w:pPr>
            <w:r>
              <w:rPr>
                <w:rFonts w:ascii="Arial"/>
              </w:rPr>
              <w:t>a</w:t>
            </w:r>
            <w:r>
              <w:rPr>
                <w:rFonts w:ascii="Arial"/>
                <w:spacing w:val="9"/>
              </w:rPr>
              <w:t xml:space="preserve"> </w:t>
            </w:r>
            <w:r>
              <w:rPr>
                <w:rFonts w:ascii="Arial"/>
                <w:spacing w:val="-1"/>
              </w:rPr>
              <w:t>proposal</w:t>
            </w:r>
            <w:r>
              <w:rPr>
                <w:rFonts w:ascii="Arial"/>
                <w:spacing w:val="8"/>
              </w:rPr>
              <w:t xml:space="preserve"> </w:t>
            </w:r>
            <w:r>
              <w:rPr>
                <w:rFonts w:ascii="Arial"/>
                <w:spacing w:val="-1"/>
              </w:rPr>
              <w:t>is</w:t>
            </w:r>
            <w:r>
              <w:rPr>
                <w:rFonts w:ascii="Arial"/>
                <w:spacing w:val="9"/>
              </w:rPr>
              <w:t xml:space="preserve"> </w:t>
            </w:r>
            <w:r>
              <w:rPr>
                <w:rFonts w:ascii="Arial"/>
                <w:spacing w:val="-1"/>
              </w:rPr>
              <w:t>made</w:t>
            </w:r>
            <w:r>
              <w:rPr>
                <w:rFonts w:ascii="Arial"/>
                <w:spacing w:val="9"/>
              </w:rPr>
              <w:t xml:space="preserve"> </w:t>
            </w:r>
            <w:r>
              <w:rPr>
                <w:rFonts w:ascii="Arial"/>
              </w:rPr>
              <w:t>for</w:t>
            </w:r>
            <w:r>
              <w:rPr>
                <w:rFonts w:ascii="Arial"/>
                <w:spacing w:val="10"/>
              </w:rPr>
              <w:t xml:space="preserve"> </w:t>
            </w:r>
            <w:r>
              <w:rPr>
                <w:rFonts w:ascii="Arial"/>
              </w:rPr>
              <w:t>a</w:t>
            </w:r>
            <w:r>
              <w:rPr>
                <w:rFonts w:ascii="Arial"/>
                <w:spacing w:val="9"/>
              </w:rPr>
              <w:t xml:space="preserve"> </w:t>
            </w:r>
            <w:r>
              <w:rPr>
                <w:rFonts w:ascii="Arial"/>
                <w:spacing w:val="-1"/>
              </w:rPr>
              <w:t>voluntary</w:t>
            </w:r>
            <w:r>
              <w:rPr>
                <w:rFonts w:ascii="Arial"/>
                <w:spacing w:val="7"/>
              </w:rPr>
              <w:t xml:space="preserve"> </w:t>
            </w:r>
            <w:r>
              <w:rPr>
                <w:rFonts w:ascii="Arial"/>
                <w:spacing w:val="-1"/>
              </w:rPr>
              <w:t>arrangement</w:t>
            </w:r>
            <w:r>
              <w:rPr>
                <w:rFonts w:ascii="Arial"/>
                <w:spacing w:val="20"/>
              </w:rPr>
              <w:t xml:space="preserve"> </w:t>
            </w:r>
            <w:r>
              <w:rPr>
                <w:rFonts w:ascii="Arial"/>
                <w:spacing w:val="-1"/>
              </w:rPr>
              <w:t>within</w:t>
            </w:r>
            <w:r>
              <w:rPr>
                <w:rFonts w:ascii="Arial"/>
                <w:spacing w:val="46"/>
              </w:rPr>
              <w:t xml:space="preserve"> </w:t>
            </w:r>
            <w:r>
              <w:rPr>
                <w:rFonts w:ascii="Arial"/>
                <w:spacing w:val="-1"/>
              </w:rPr>
              <w:t>Part</w:t>
            </w:r>
            <w:r>
              <w:rPr>
                <w:rFonts w:ascii="Arial"/>
              </w:rPr>
              <w:t xml:space="preserve"> I</w:t>
            </w:r>
            <w:r>
              <w:rPr>
                <w:rFonts w:ascii="Arial"/>
                <w:spacing w:val="47"/>
              </w:rPr>
              <w:t xml:space="preserve"> </w:t>
            </w:r>
            <w:r>
              <w:rPr>
                <w:rFonts w:ascii="Arial"/>
                <w:spacing w:val="-2"/>
              </w:rPr>
              <w:t>of</w:t>
            </w:r>
            <w:r>
              <w:rPr>
                <w:rFonts w:ascii="Arial"/>
                <w:spacing w:val="47"/>
              </w:rPr>
              <w:t xml:space="preserve"> </w:t>
            </w:r>
            <w:r>
              <w:rPr>
                <w:rFonts w:ascii="Arial"/>
              </w:rPr>
              <w:t>the</w:t>
            </w:r>
            <w:r>
              <w:rPr>
                <w:rFonts w:ascii="Arial"/>
                <w:spacing w:val="43"/>
              </w:rPr>
              <w:t xml:space="preserve"> </w:t>
            </w:r>
            <w:r>
              <w:rPr>
                <w:rFonts w:ascii="Arial"/>
                <w:spacing w:val="-1"/>
              </w:rPr>
              <w:t>Insolvency</w:t>
            </w:r>
            <w:r>
              <w:rPr>
                <w:rFonts w:ascii="Arial"/>
                <w:spacing w:val="44"/>
              </w:rPr>
              <w:t xml:space="preserve"> </w:t>
            </w:r>
            <w:r>
              <w:rPr>
                <w:rFonts w:ascii="Arial"/>
                <w:spacing w:val="-1"/>
              </w:rPr>
              <w:t>Act</w:t>
            </w:r>
            <w:r>
              <w:rPr>
                <w:rFonts w:ascii="Arial"/>
                <w:spacing w:val="48"/>
              </w:rPr>
              <w:t xml:space="preserve"> </w:t>
            </w:r>
            <w:r>
              <w:rPr>
                <w:rFonts w:ascii="Arial"/>
                <w:spacing w:val="-1"/>
              </w:rPr>
              <w:t>1986</w:t>
            </w:r>
            <w:r>
              <w:rPr>
                <w:rFonts w:ascii="Arial"/>
                <w:spacing w:val="47"/>
              </w:rPr>
              <w:t xml:space="preserve"> </w:t>
            </w:r>
            <w:r>
              <w:rPr>
                <w:rFonts w:ascii="Arial"/>
                <w:spacing w:val="-1"/>
              </w:rPr>
              <w:t>or</w:t>
            </w:r>
            <w:r>
              <w:rPr>
                <w:rFonts w:ascii="Arial"/>
                <w:spacing w:val="47"/>
              </w:rPr>
              <w:t xml:space="preserve"> </w:t>
            </w:r>
            <w:r>
              <w:rPr>
                <w:rFonts w:ascii="Arial"/>
                <w:spacing w:val="-2"/>
              </w:rPr>
              <w:t>of</w:t>
            </w:r>
            <w:r>
              <w:rPr>
                <w:rFonts w:ascii="Arial"/>
                <w:spacing w:val="45"/>
              </w:rPr>
              <w:t xml:space="preserve"> </w:t>
            </w:r>
            <w:r>
              <w:rPr>
                <w:rFonts w:ascii="Arial"/>
                <w:spacing w:val="-1"/>
              </w:rPr>
              <w:t>any</w:t>
            </w:r>
            <w:r>
              <w:rPr>
                <w:rFonts w:ascii="Arial"/>
                <w:spacing w:val="28"/>
              </w:rPr>
              <w:t xml:space="preserve"> </w:t>
            </w:r>
            <w:r>
              <w:rPr>
                <w:rFonts w:ascii="Arial"/>
                <w:spacing w:val="-1"/>
              </w:rPr>
              <w:t>other</w:t>
            </w:r>
            <w:r>
              <w:rPr>
                <w:rFonts w:ascii="Arial"/>
                <w:spacing w:val="38"/>
              </w:rPr>
              <w:t xml:space="preserve"> </w:t>
            </w:r>
            <w:r>
              <w:rPr>
                <w:rFonts w:ascii="Arial"/>
                <w:spacing w:val="-1"/>
              </w:rPr>
              <w:t>composition</w:t>
            </w:r>
            <w:r>
              <w:rPr>
                <w:rFonts w:ascii="Arial"/>
                <w:spacing w:val="36"/>
              </w:rPr>
              <w:t xml:space="preserve"> </w:t>
            </w:r>
            <w:r>
              <w:rPr>
                <w:rFonts w:ascii="Arial"/>
                <w:spacing w:val="-2"/>
              </w:rPr>
              <w:t>scheme</w:t>
            </w:r>
            <w:r>
              <w:rPr>
                <w:rFonts w:ascii="Arial"/>
                <w:spacing w:val="36"/>
              </w:rPr>
              <w:t xml:space="preserve"> </w:t>
            </w:r>
            <w:r>
              <w:rPr>
                <w:rFonts w:ascii="Arial"/>
                <w:spacing w:val="-1"/>
              </w:rPr>
              <w:t>or</w:t>
            </w:r>
            <w:r>
              <w:rPr>
                <w:rFonts w:ascii="Arial"/>
                <w:spacing w:val="35"/>
              </w:rPr>
              <w:t xml:space="preserve"> </w:t>
            </w:r>
            <w:r>
              <w:rPr>
                <w:rFonts w:ascii="Arial"/>
                <w:spacing w:val="-1"/>
              </w:rPr>
              <w:t>arrangement</w:t>
            </w:r>
            <w:r>
              <w:rPr>
                <w:rFonts w:ascii="Arial"/>
                <w:spacing w:val="38"/>
              </w:rPr>
              <w:t xml:space="preserve"> </w:t>
            </w:r>
            <w:r>
              <w:rPr>
                <w:rFonts w:ascii="Arial"/>
                <w:spacing w:val="-2"/>
              </w:rPr>
              <w:t>with,</w:t>
            </w:r>
            <w:r>
              <w:rPr>
                <w:rFonts w:ascii="Arial"/>
                <w:spacing w:val="38"/>
              </w:rPr>
              <w:t xml:space="preserve"> </w:t>
            </w:r>
            <w:r>
              <w:rPr>
                <w:rFonts w:ascii="Arial"/>
                <w:spacing w:val="-1"/>
              </w:rPr>
              <w:t>or</w:t>
            </w:r>
            <w:r>
              <w:rPr>
                <w:rFonts w:ascii="Arial"/>
                <w:spacing w:val="30"/>
              </w:rPr>
              <w:t xml:space="preserve"> </w:t>
            </w:r>
            <w:r>
              <w:rPr>
                <w:rFonts w:ascii="Arial"/>
                <w:spacing w:val="-1"/>
              </w:rPr>
              <w:t>assignment</w:t>
            </w:r>
            <w:r>
              <w:rPr>
                <w:rFonts w:ascii="Arial"/>
                <w:spacing w:val="-3"/>
              </w:rPr>
              <w:t xml:space="preserve"> </w:t>
            </w:r>
            <w:r>
              <w:rPr>
                <w:rFonts w:ascii="Arial"/>
              </w:rPr>
              <w:t>for</w:t>
            </w:r>
            <w:r>
              <w:rPr>
                <w:rFonts w:ascii="Arial"/>
                <w:spacing w:val="-1"/>
              </w:rPr>
              <w:t xml:space="preserve"> </w:t>
            </w:r>
            <w:r>
              <w:rPr>
                <w:rFonts w:ascii="Arial"/>
              </w:rPr>
              <w:t xml:space="preserve">the </w:t>
            </w:r>
            <w:r>
              <w:rPr>
                <w:rFonts w:ascii="Arial"/>
                <w:spacing w:val="-2"/>
              </w:rPr>
              <w:t>benefit</w:t>
            </w:r>
            <w:r>
              <w:rPr>
                <w:rFonts w:ascii="Arial"/>
                <w:spacing w:val="2"/>
              </w:rPr>
              <w:t xml:space="preserve"> </w:t>
            </w:r>
            <w:r>
              <w:rPr>
                <w:rFonts w:ascii="Arial"/>
                <w:spacing w:val="-1"/>
              </w:rPr>
              <w:t>of,</w:t>
            </w:r>
            <w:r>
              <w:rPr>
                <w:rFonts w:ascii="Arial"/>
                <w:spacing w:val="2"/>
              </w:rPr>
              <w:t xml:space="preserve"> </w:t>
            </w:r>
            <w:r>
              <w:rPr>
                <w:rFonts w:ascii="Arial"/>
                <w:spacing w:val="-2"/>
              </w:rPr>
              <w:t>its</w:t>
            </w:r>
            <w:r>
              <w:rPr>
                <w:rFonts w:ascii="Arial"/>
                <w:spacing w:val="1"/>
              </w:rPr>
              <w:t xml:space="preserve"> </w:t>
            </w:r>
            <w:r>
              <w:rPr>
                <w:rFonts w:ascii="Arial"/>
                <w:spacing w:val="-1"/>
              </w:rPr>
              <w:t>creditors;</w:t>
            </w:r>
            <w:r>
              <w:rPr>
                <w:rFonts w:ascii="Arial"/>
              </w:rPr>
              <w:t xml:space="preserve"> </w:t>
            </w:r>
            <w:r>
              <w:rPr>
                <w:rFonts w:ascii="Arial"/>
                <w:spacing w:val="-1"/>
              </w:rPr>
              <w:t>or</w:t>
            </w:r>
          </w:p>
          <w:p w:rsidR="008918FA" w:rsidRDefault="008918FA" w:rsidP="005D2B81">
            <w:pPr>
              <w:pStyle w:val="ListParagraph"/>
              <w:numPr>
                <w:ilvl w:val="0"/>
                <w:numId w:val="44"/>
              </w:numPr>
              <w:tabs>
                <w:tab w:val="left" w:pos="550"/>
              </w:tabs>
              <w:spacing w:before="119"/>
              <w:ind w:right="-2"/>
              <w:jc w:val="both"/>
              <w:rPr>
                <w:rFonts w:ascii="Arial" w:eastAsia="Arial" w:hAnsi="Arial" w:cs="Arial"/>
              </w:rPr>
            </w:pPr>
            <w:r>
              <w:rPr>
                <w:rFonts w:ascii="Arial"/>
              </w:rPr>
              <w:t xml:space="preserve">a </w:t>
            </w:r>
            <w:r>
              <w:rPr>
                <w:rFonts w:ascii="Arial"/>
                <w:spacing w:val="-1"/>
              </w:rPr>
              <w:t>shareholders'</w:t>
            </w:r>
            <w:r>
              <w:rPr>
                <w:rFonts w:ascii="Arial"/>
                <w:spacing w:val="2"/>
              </w:rPr>
              <w:t xml:space="preserve"> </w:t>
            </w:r>
            <w:r>
              <w:rPr>
                <w:rFonts w:ascii="Arial"/>
                <w:spacing w:val="-2"/>
              </w:rPr>
              <w:t>meeting</w:t>
            </w:r>
            <w:r>
              <w:rPr>
                <w:rFonts w:ascii="Arial"/>
                <w:spacing w:val="3"/>
              </w:rPr>
              <w:t xml:space="preserve"> </w:t>
            </w:r>
            <w:r>
              <w:rPr>
                <w:rFonts w:ascii="Arial"/>
                <w:spacing w:val="-1"/>
              </w:rPr>
              <w:t>is</w:t>
            </w:r>
            <w:r>
              <w:rPr>
                <w:rFonts w:ascii="Arial"/>
                <w:spacing w:val="1"/>
              </w:rPr>
              <w:t xml:space="preserve"> </w:t>
            </w:r>
            <w:r>
              <w:rPr>
                <w:rFonts w:ascii="Arial"/>
                <w:spacing w:val="-1"/>
              </w:rPr>
              <w:t>convened</w:t>
            </w:r>
            <w:r>
              <w:rPr>
                <w:rFonts w:ascii="Arial"/>
              </w:rPr>
              <w:t xml:space="preserve"> for</w:t>
            </w:r>
            <w:r>
              <w:rPr>
                <w:rFonts w:ascii="Arial"/>
                <w:spacing w:val="-1"/>
              </w:rPr>
              <w:t xml:space="preserve"> </w:t>
            </w:r>
            <w:r>
              <w:rPr>
                <w:rFonts w:ascii="Arial"/>
              </w:rPr>
              <w:t xml:space="preserve">the </w:t>
            </w:r>
            <w:r>
              <w:rPr>
                <w:rFonts w:ascii="Arial"/>
                <w:spacing w:val="-2"/>
              </w:rPr>
              <w:t>purpose</w:t>
            </w:r>
            <w:r>
              <w:rPr>
                <w:rFonts w:ascii="Arial"/>
                <w:spacing w:val="26"/>
              </w:rPr>
              <w:t xml:space="preserve"> </w:t>
            </w:r>
            <w:r>
              <w:rPr>
                <w:rFonts w:ascii="Arial"/>
                <w:spacing w:val="-2"/>
              </w:rPr>
              <w:t>of</w:t>
            </w:r>
            <w:r>
              <w:rPr>
                <w:rFonts w:ascii="Arial"/>
                <w:spacing w:val="23"/>
              </w:rPr>
              <w:t xml:space="preserve"> </w:t>
            </w:r>
            <w:r>
              <w:rPr>
                <w:rFonts w:ascii="Arial"/>
                <w:spacing w:val="-1"/>
              </w:rPr>
              <w:t>considering</w:t>
            </w:r>
            <w:r>
              <w:rPr>
                <w:rFonts w:ascii="Arial"/>
                <w:spacing w:val="20"/>
              </w:rPr>
              <w:t xml:space="preserve"> </w:t>
            </w:r>
            <w:r>
              <w:rPr>
                <w:rFonts w:ascii="Arial"/>
              </w:rPr>
              <w:t>a</w:t>
            </w:r>
            <w:r>
              <w:rPr>
                <w:rFonts w:ascii="Arial"/>
                <w:spacing w:val="20"/>
              </w:rPr>
              <w:t xml:space="preserve"> </w:t>
            </w:r>
            <w:r>
              <w:rPr>
                <w:rFonts w:ascii="Arial"/>
                <w:spacing w:val="-1"/>
              </w:rPr>
              <w:t>resolution</w:t>
            </w:r>
            <w:r>
              <w:rPr>
                <w:rFonts w:ascii="Arial"/>
                <w:spacing w:val="19"/>
              </w:rPr>
              <w:t xml:space="preserve"> </w:t>
            </w:r>
            <w:r>
              <w:rPr>
                <w:rFonts w:ascii="Arial"/>
                <w:spacing w:val="-1"/>
              </w:rPr>
              <w:t>that</w:t>
            </w:r>
            <w:r>
              <w:rPr>
                <w:rFonts w:ascii="Arial"/>
                <w:spacing w:val="21"/>
              </w:rPr>
              <w:t xml:space="preserve"> </w:t>
            </w:r>
            <w:r>
              <w:rPr>
                <w:rFonts w:ascii="Arial"/>
                <w:spacing w:val="-1"/>
              </w:rPr>
              <w:t>it</w:t>
            </w:r>
            <w:r>
              <w:rPr>
                <w:rFonts w:ascii="Arial"/>
                <w:spacing w:val="21"/>
              </w:rPr>
              <w:t xml:space="preserve"> </w:t>
            </w:r>
            <w:r>
              <w:rPr>
                <w:rFonts w:ascii="Arial"/>
                <w:spacing w:val="-1"/>
              </w:rPr>
              <w:t>be</w:t>
            </w:r>
            <w:r>
              <w:rPr>
                <w:rFonts w:ascii="Arial"/>
                <w:spacing w:val="17"/>
              </w:rPr>
              <w:t xml:space="preserve"> </w:t>
            </w:r>
            <w:r>
              <w:rPr>
                <w:rFonts w:ascii="Arial"/>
                <w:spacing w:val="-2"/>
              </w:rPr>
              <w:t>wound</w:t>
            </w:r>
            <w:r>
              <w:rPr>
                <w:rFonts w:ascii="Arial"/>
                <w:spacing w:val="20"/>
              </w:rPr>
              <w:t xml:space="preserve"> </w:t>
            </w:r>
            <w:r>
              <w:rPr>
                <w:rFonts w:ascii="Arial"/>
                <w:spacing w:val="-1"/>
              </w:rPr>
              <w:t>up</w:t>
            </w:r>
            <w:r>
              <w:rPr>
                <w:rFonts w:ascii="Arial"/>
                <w:spacing w:val="17"/>
              </w:rPr>
              <w:t xml:space="preserve"> </w:t>
            </w:r>
            <w:r>
              <w:rPr>
                <w:rFonts w:ascii="Arial"/>
                <w:spacing w:val="-1"/>
              </w:rPr>
              <w:t>or</w:t>
            </w:r>
            <w:r>
              <w:rPr>
                <w:rFonts w:ascii="Arial"/>
                <w:spacing w:val="21"/>
              </w:rPr>
              <w:t xml:space="preserve"> </w:t>
            </w:r>
            <w:r>
              <w:rPr>
                <w:rFonts w:ascii="Arial"/>
              </w:rPr>
              <w:t>a</w:t>
            </w:r>
            <w:r>
              <w:rPr>
                <w:rFonts w:ascii="Arial"/>
                <w:spacing w:val="30"/>
              </w:rPr>
              <w:t xml:space="preserve"> </w:t>
            </w:r>
            <w:r>
              <w:rPr>
                <w:rFonts w:ascii="Arial"/>
                <w:spacing w:val="-1"/>
              </w:rPr>
              <w:t>resolution</w:t>
            </w:r>
            <w:r>
              <w:rPr>
                <w:rFonts w:ascii="Arial"/>
              </w:rPr>
              <w:t xml:space="preserve"> for</w:t>
            </w:r>
            <w:r>
              <w:rPr>
                <w:rFonts w:ascii="Arial"/>
                <w:spacing w:val="4"/>
              </w:rPr>
              <w:t xml:space="preserve"> </w:t>
            </w:r>
            <w:r>
              <w:rPr>
                <w:rFonts w:ascii="Arial"/>
                <w:spacing w:val="-1"/>
              </w:rPr>
              <w:t>its</w:t>
            </w:r>
            <w:r>
              <w:rPr>
                <w:rFonts w:ascii="Arial"/>
                <w:spacing w:val="3"/>
              </w:rPr>
              <w:t xml:space="preserve"> </w:t>
            </w:r>
            <w:r>
              <w:rPr>
                <w:rFonts w:ascii="Arial"/>
                <w:spacing w:val="-1"/>
              </w:rPr>
              <w:t>winding-up</w:t>
            </w:r>
            <w:r>
              <w:rPr>
                <w:rFonts w:ascii="Arial"/>
                <w:spacing w:val="3"/>
              </w:rPr>
              <w:t xml:space="preserve"> </w:t>
            </w:r>
            <w:r>
              <w:rPr>
                <w:rFonts w:ascii="Arial"/>
                <w:spacing w:val="-1"/>
              </w:rPr>
              <w:t>is</w:t>
            </w:r>
            <w:r>
              <w:rPr>
                <w:rFonts w:ascii="Arial"/>
                <w:spacing w:val="3"/>
              </w:rPr>
              <w:t xml:space="preserve"> </w:t>
            </w:r>
            <w:r>
              <w:rPr>
                <w:rFonts w:ascii="Arial"/>
                <w:spacing w:val="-1"/>
              </w:rPr>
              <w:t>passed</w:t>
            </w:r>
            <w:r>
              <w:rPr>
                <w:rFonts w:ascii="Arial"/>
                <w:spacing w:val="3"/>
              </w:rPr>
              <w:t xml:space="preserve"> </w:t>
            </w:r>
            <w:r>
              <w:rPr>
                <w:rFonts w:ascii="Arial"/>
                <w:spacing w:val="-1"/>
              </w:rPr>
              <w:t>(other</w:t>
            </w:r>
            <w:r>
              <w:rPr>
                <w:rFonts w:ascii="Arial"/>
                <w:spacing w:val="4"/>
              </w:rPr>
              <w:t xml:space="preserve"> </w:t>
            </w:r>
            <w:r>
              <w:rPr>
                <w:rFonts w:ascii="Arial"/>
                <w:spacing w:val="-1"/>
              </w:rPr>
              <w:t>than</w:t>
            </w:r>
            <w:r>
              <w:rPr>
                <w:rFonts w:ascii="Arial"/>
                <w:spacing w:val="3"/>
              </w:rPr>
              <w:t xml:space="preserve"> </w:t>
            </w:r>
            <w:r>
              <w:rPr>
                <w:rFonts w:ascii="Arial"/>
                <w:spacing w:val="-1"/>
              </w:rPr>
              <w:t>as</w:t>
            </w:r>
            <w:r>
              <w:rPr>
                <w:rFonts w:ascii="Arial"/>
                <w:spacing w:val="34"/>
              </w:rPr>
              <w:t xml:space="preserve"> </w:t>
            </w:r>
            <w:r>
              <w:rPr>
                <w:rFonts w:ascii="Arial"/>
                <w:spacing w:val="-1"/>
              </w:rPr>
              <w:t>part</w:t>
            </w:r>
            <w:r>
              <w:rPr>
                <w:rFonts w:ascii="Arial"/>
                <w:spacing w:val="35"/>
              </w:rPr>
              <w:t xml:space="preserve"> </w:t>
            </w:r>
            <w:r>
              <w:rPr>
                <w:rFonts w:ascii="Arial"/>
                <w:spacing w:val="-1"/>
              </w:rPr>
              <w:t>of,</w:t>
            </w:r>
            <w:r>
              <w:rPr>
                <w:rFonts w:ascii="Arial"/>
                <w:spacing w:val="33"/>
              </w:rPr>
              <w:t xml:space="preserve"> </w:t>
            </w:r>
            <w:r>
              <w:rPr>
                <w:rFonts w:ascii="Arial"/>
                <w:spacing w:val="-1"/>
              </w:rPr>
              <w:t>and</w:t>
            </w:r>
            <w:r>
              <w:rPr>
                <w:rFonts w:ascii="Arial"/>
                <w:spacing w:val="34"/>
              </w:rPr>
              <w:t xml:space="preserve"> </w:t>
            </w:r>
            <w:r>
              <w:rPr>
                <w:rFonts w:ascii="Arial"/>
                <w:spacing w:val="-2"/>
              </w:rPr>
              <w:t>exclusively</w:t>
            </w:r>
            <w:r>
              <w:rPr>
                <w:rFonts w:ascii="Arial"/>
                <w:spacing w:val="34"/>
              </w:rPr>
              <w:t xml:space="preserve"> </w:t>
            </w:r>
            <w:r>
              <w:rPr>
                <w:rFonts w:ascii="Arial"/>
              </w:rPr>
              <w:t>for</w:t>
            </w:r>
            <w:r>
              <w:rPr>
                <w:rFonts w:ascii="Arial"/>
                <w:spacing w:val="33"/>
              </w:rPr>
              <w:t xml:space="preserve"> </w:t>
            </w:r>
            <w:r>
              <w:rPr>
                <w:rFonts w:ascii="Arial"/>
              </w:rPr>
              <w:t>the</w:t>
            </w:r>
            <w:r>
              <w:rPr>
                <w:rFonts w:ascii="Arial"/>
                <w:spacing w:val="34"/>
              </w:rPr>
              <w:t xml:space="preserve"> </w:t>
            </w:r>
            <w:r>
              <w:rPr>
                <w:rFonts w:ascii="Arial"/>
                <w:spacing w:val="-1"/>
              </w:rPr>
              <w:t>purpose</w:t>
            </w:r>
            <w:r>
              <w:rPr>
                <w:rFonts w:ascii="Arial"/>
                <w:spacing w:val="35"/>
              </w:rPr>
              <w:t xml:space="preserve"> </w:t>
            </w:r>
            <w:r>
              <w:rPr>
                <w:rFonts w:ascii="Arial"/>
                <w:spacing w:val="-1"/>
              </w:rPr>
              <w:t>of,</w:t>
            </w:r>
            <w:r>
              <w:rPr>
                <w:rFonts w:ascii="Arial"/>
                <w:spacing w:val="33"/>
              </w:rPr>
              <w:t xml:space="preserve"> </w:t>
            </w:r>
            <w:r>
              <w:rPr>
                <w:rFonts w:ascii="Arial"/>
              </w:rPr>
              <w:t>a</w:t>
            </w:r>
            <w:r>
              <w:rPr>
                <w:rFonts w:ascii="Arial"/>
                <w:spacing w:val="34"/>
              </w:rPr>
              <w:t xml:space="preserve"> </w:t>
            </w:r>
            <w:r>
              <w:rPr>
                <w:rFonts w:ascii="Arial"/>
                <w:spacing w:val="-2"/>
              </w:rPr>
              <w:t>bona</w:t>
            </w:r>
            <w:r>
              <w:rPr>
                <w:rFonts w:ascii="Arial"/>
                <w:spacing w:val="34"/>
              </w:rPr>
              <w:t xml:space="preserve"> </w:t>
            </w:r>
            <w:r>
              <w:rPr>
                <w:rFonts w:ascii="Arial"/>
              </w:rPr>
              <w:t>fide</w:t>
            </w:r>
            <w:r>
              <w:rPr>
                <w:rFonts w:ascii="Arial"/>
                <w:spacing w:val="-2"/>
              </w:rPr>
              <w:t xml:space="preserve"> </w:t>
            </w:r>
            <w:r>
              <w:rPr>
                <w:rFonts w:ascii="Arial"/>
                <w:spacing w:val="-1"/>
              </w:rPr>
              <w:t>reconstruction</w:t>
            </w:r>
            <w:r>
              <w:rPr>
                <w:rFonts w:ascii="Arial"/>
              </w:rPr>
              <w:t xml:space="preserve"> </w:t>
            </w:r>
            <w:r>
              <w:rPr>
                <w:rFonts w:ascii="Arial"/>
                <w:spacing w:val="-2"/>
              </w:rPr>
              <w:t>or</w:t>
            </w:r>
            <w:r>
              <w:rPr>
                <w:rFonts w:ascii="Arial"/>
                <w:spacing w:val="-1"/>
              </w:rPr>
              <w:t xml:space="preserve"> amalgamation);</w:t>
            </w:r>
            <w:r>
              <w:rPr>
                <w:rFonts w:ascii="Arial"/>
                <w:spacing w:val="2"/>
              </w:rPr>
              <w:t xml:space="preserve"> </w:t>
            </w:r>
            <w:r>
              <w:rPr>
                <w:rFonts w:ascii="Arial"/>
                <w:spacing w:val="-2"/>
              </w:rPr>
              <w:t>or</w:t>
            </w:r>
          </w:p>
          <w:p w:rsidR="008918FA" w:rsidRDefault="008918FA" w:rsidP="005D2B81">
            <w:pPr>
              <w:pStyle w:val="ListParagraph"/>
              <w:numPr>
                <w:ilvl w:val="0"/>
                <w:numId w:val="44"/>
              </w:numPr>
              <w:tabs>
                <w:tab w:val="left" w:pos="550"/>
              </w:tabs>
              <w:spacing w:before="119"/>
              <w:ind w:right="1"/>
              <w:jc w:val="both"/>
              <w:rPr>
                <w:rFonts w:ascii="Arial" w:eastAsia="Arial" w:hAnsi="Arial" w:cs="Arial"/>
              </w:rPr>
            </w:pPr>
            <w:r>
              <w:rPr>
                <w:rFonts w:ascii="Arial"/>
              </w:rPr>
              <w:t>a</w:t>
            </w:r>
            <w:r>
              <w:rPr>
                <w:rFonts w:ascii="Arial"/>
                <w:spacing w:val="36"/>
              </w:rPr>
              <w:t xml:space="preserve"> </w:t>
            </w:r>
            <w:r>
              <w:rPr>
                <w:rFonts w:ascii="Arial"/>
                <w:spacing w:val="-1"/>
              </w:rPr>
              <w:t>petition</w:t>
            </w:r>
            <w:r>
              <w:rPr>
                <w:rFonts w:ascii="Arial"/>
                <w:spacing w:val="36"/>
              </w:rPr>
              <w:t xml:space="preserve"> </w:t>
            </w:r>
            <w:r>
              <w:rPr>
                <w:rFonts w:ascii="Arial"/>
                <w:spacing w:val="-1"/>
              </w:rPr>
              <w:t>is</w:t>
            </w:r>
            <w:r>
              <w:rPr>
                <w:rFonts w:ascii="Arial"/>
                <w:spacing w:val="37"/>
              </w:rPr>
              <w:t xml:space="preserve"> </w:t>
            </w:r>
            <w:r>
              <w:rPr>
                <w:rFonts w:ascii="Arial"/>
                <w:spacing w:val="-1"/>
              </w:rPr>
              <w:t>presented</w:t>
            </w:r>
            <w:r>
              <w:rPr>
                <w:rFonts w:ascii="Arial"/>
                <w:spacing w:val="34"/>
              </w:rPr>
              <w:t xml:space="preserve"> </w:t>
            </w:r>
            <w:r>
              <w:rPr>
                <w:rFonts w:ascii="Arial"/>
              </w:rPr>
              <w:t>for</w:t>
            </w:r>
            <w:r>
              <w:rPr>
                <w:rFonts w:ascii="Arial"/>
                <w:spacing w:val="38"/>
              </w:rPr>
              <w:t xml:space="preserve"> </w:t>
            </w:r>
            <w:r>
              <w:rPr>
                <w:rFonts w:ascii="Arial"/>
                <w:spacing w:val="-1"/>
              </w:rPr>
              <w:t>its</w:t>
            </w:r>
            <w:r>
              <w:rPr>
                <w:rFonts w:ascii="Arial"/>
                <w:spacing w:val="37"/>
              </w:rPr>
              <w:t xml:space="preserve"> </w:t>
            </w:r>
            <w:r>
              <w:rPr>
                <w:rFonts w:ascii="Arial"/>
                <w:spacing w:val="-2"/>
              </w:rPr>
              <w:t>winding</w:t>
            </w:r>
            <w:r>
              <w:rPr>
                <w:rFonts w:ascii="Arial"/>
                <w:spacing w:val="40"/>
              </w:rPr>
              <w:t xml:space="preserve"> </w:t>
            </w:r>
            <w:r>
              <w:rPr>
                <w:rFonts w:ascii="Arial"/>
                <w:spacing w:val="-1"/>
              </w:rPr>
              <w:t>up</w:t>
            </w:r>
            <w:r>
              <w:rPr>
                <w:rFonts w:ascii="Arial"/>
                <w:spacing w:val="36"/>
              </w:rPr>
              <w:t xml:space="preserve"> </w:t>
            </w:r>
            <w:r>
              <w:rPr>
                <w:rFonts w:ascii="Arial"/>
                <w:spacing w:val="-2"/>
              </w:rPr>
              <w:t>(which</w:t>
            </w:r>
            <w:r>
              <w:rPr>
                <w:rFonts w:ascii="Arial"/>
                <w:spacing w:val="39"/>
              </w:rPr>
              <w:t xml:space="preserve"> </w:t>
            </w:r>
            <w:r>
              <w:rPr>
                <w:rFonts w:ascii="Arial"/>
                <w:spacing w:val="-1"/>
              </w:rPr>
              <w:t>is</w:t>
            </w:r>
            <w:r>
              <w:rPr>
                <w:rFonts w:ascii="Arial"/>
                <w:spacing w:val="43"/>
              </w:rPr>
              <w:t xml:space="preserve"> </w:t>
            </w:r>
            <w:r>
              <w:rPr>
                <w:rFonts w:ascii="Arial"/>
                <w:spacing w:val="-1"/>
              </w:rPr>
              <w:t>not</w:t>
            </w:r>
            <w:r>
              <w:rPr>
                <w:rFonts w:ascii="Arial"/>
                <w:spacing w:val="23"/>
              </w:rPr>
              <w:t xml:space="preserve"> </w:t>
            </w:r>
            <w:r>
              <w:rPr>
                <w:rFonts w:ascii="Arial"/>
                <w:spacing w:val="-1"/>
              </w:rPr>
              <w:t>dismissed</w:t>
            </w:r>
            <w:r>
              <w:rPr>
                <w:rFonts w:ascii="Arial"/>
                <w:spacing w:val="22"/>
              </w:rPr>
              <w:t xml:space="preserve"> </w:t>
            </w:r>
            <w:r>
              <w:rPr>
                <w:rFonts w:ascii="Arial"/>
                <w:spacing w:val="-2"/>
              </w:rPr>
              <w:t>within</w:t>
            </w:r>
            <w:r>
              <w:rPr>
                <w:rFonts w:ascii="Arial"/>
                <w:spacing w:val="22"/>
              </w:rPr>
              <w:t xml:space="preserve"> </w:t>
            </w:r>
            <w:r>
              <w:rPr>
                <w:rFonts w:ascii="Arial"/>
                <w:spacing w:val="-1"/>
              </w:rPr>
              <w:t>fourteen</w:t>
            </w:r>
            <w:r>
              <w:rPr>
                <w:rFonts w:ascii="Arial"/>
                <w:spacing w:val="20"/>
              </w:rPr>
              <w:t xml:space="preserve"> </w:t>
            </w:r>
            <w:r>
              <w:rPr>
                <w:rFonts w:ascii="Arial"/>
                <w:spacing w:val="-1"/>
              </w:rPr>
              <w:t>(14)</w:t>
            </w:r>
            <w:r>
              <w:rPr>
                <w:rFonts w:ascii="Arial"/>
                <w:spacing w:val="16"/>
              </w:rPr>
              <w:t xml:space="preserve"> </w:t>
            </w:r>
            <w:r>
              <w:rPr>
                <w:rFonts w:ascii="Arial"/>
                <w:spacing w:val="-1"/>
              </w:rPr>
              <w:t>Working</w:t>
            </w:r>
            <w:r>
              <w:rPr>
                <w:rFonts w:ascii="Arial"/>
                <w:spacing w:val="24"/>
              </w:rPr>
              <w:t xml:space="preserve"> </w:t>
            </w:r>
            <w:r>
              <w:rPr>
                <w:rFonts w:ascii="Arial"/>
                <w:spacing w:val="-2"/>
              </w:rPr>
              <w:t>Days</w:t>
            </w:r>
            <w:r>
              <w:rPr>
                <w:rFonts w:ascii="Arial"/>
                <w:spacing w:val="22"/>
              </w:rPr>
              <w:t xml:space="preserve"> </w:t>
            </w:r>
            <w:r>
              <w:rPr>
                <w:rFonts w:ascii="Arial"/>
                <w:spacing w:val="-2"/>
              </w:rPr>
              <w:t>of</w:t>
            </w:r>
            <w:r>
              <w:rPr>
                <w:rFonts w:ascii="Arial"/>
                <w:spacing w:val="49"/>
              </w:rPr>
              <w:t xml:space="preserve"> </w:t>
            </w:r>
            <w:r>
              <w:rPr>
                <w:rFonts w:ascii="Arial"/>
                <w:spacing w:val="-1"/>
              </w:rPr>
              <w:t>its</w:t>
            </w:r>
            <w:r>
              <w:rPr>
                <w:rFonts w:ascii="Arial"/>
                <w:spacing w:val="47"/>
              </w:rPr>
              <w:t xml:space="preserve"> </w:t>
            </w:r>
            <w:r>
              <w:rPr>
                <w:rFonts w:ascii="Arial"/>
                <w:spacing w:val="-1"/>
              </w:rPr>
              <w:t>service)</w:t>
            </w:r>
            <w:r>
              <w:rPr>
                <w:rFonts w:ascii="Arial"/>
                <w:spacing w:val="48"/>
              </w:rPr>
              <w:t xml:space="preserve"> </w:t>
            </w:r>
            <w:r>
              <w:rPr>
                <w:rFonts w:ascii="Arial"/>
                <w:spacing w:val="-1"/>
              </w:rPr>
              <w:t>or</w:t>
            </w:r>
            <w:r>
              <w:rPr>
                <w:rFonts w:ascii="Arial"/>
                <w:spacing w:val="48"/>
              </w:rPr>
              <w:t xml:space="preserve"> </w:t>
            </w:r>
            <w:r>
              <w:rPr>
                <w:rFonts w:ascii="Arial"/>
                <w:spacing w:val="-1"/>
              </w:rPr>
              <w:t>an</w:t>
            </w:r>
            <w:r>
              <w:rPr>
                <w:rFonts w:ascii="Arial"/>
                <w:spacing w:val="47"/>
              </w:rPr>
              <w:t xml:space="preserve"> </w:t>
            </w:r>
            <w:r>
              <w:rPr>
                <w:rFonts w:ascii="Arial"/>
                <w:spacing w:val="-1"/>
              </w:rPr>
              <w:t>application</w:t>
            </w:r>
            <w:r>
              <w:rPr>
                <w:rFonts w:ascii="Arial"/>
                <w:spacing w:val="47"/>
              </w:rPr>
              <w:t xml:space="preserve"> </w:t>
            </w:r>
            <w:r>
              <w:rPr>
                <w:rFonts w:ascii="Arial"/>
                <w:spacing w:val="-1"/>
              </w:rPr>
              <w:t>is</w:t>
            </w:r>
            <w:r>
              <w:rPr>
                <w:rFonts w:ascii="Arial"/>
                <w:spacing w:val="47"/>
              </w:rPr>
              <w:t xml:space="preserve"> </w:t>
            </w:r>
            <w:r>
              <w:rPr>
                <w:rFonts w:ascii="Arial"/>
                <w:spacing w:val="-1"/>
              </w:rPr>
              <w:t>made</w:t>
            </w:r>
            <w:r>
              <w:rPr>
                <w:rFonts w:ascii="Arial"/>
                <w:spacing w:val="48"/>
              </w:rPr>
              <w:t xml:space="preserve"> </w:t>
            </w:r>
            <w:r>
              <w:rPr>
                <w:rFonts w:ascii="Arial"/>
              </w:rPr>
              <w:t>for</w:t>
            </w:r>
            <w:r>
              <w:rPr>
                <w:rFonts w:ascii="Arial"/>
                <w:spacing w:val="46"/>
              </w:rPr>
              <w:t xml:space="preserve"> </w:t>
            </w:r>
            <w:r>
              <w:rPr>
                <w:rFonts w:ascii="Arial"/>
                <w:spacing w:val="-1"/>
              </w:rPr>
              <w:t>the</w:t>
            </w:r>
            <w:r>
              <w:rPr>
                <w:rFonts w:ascii="Arial"/>
                <w:spacing w:val="24"/>
              </w:rPr>
              <w:t xml:space="preserve"> </w:t>
            </w:r>
            <w:r>
              <w:rPr>
                <w:rFonts w:ascii="Arial"/>
                <w:spacing w:val="-1"/>
              </w:rPr>
              <w:t>appointment</w:t>
            </w:r>
            <w:r>
              <w:rPr>
                <w:rFonts w:ascii="Arial"/>
                <w:spacing w:val="4"/>
              </w:rPr>
              <w:t xml:space="preserve"> </w:t>
            </w:r>
            <w:r>
              <w:rPr>
                <w:rFonts w:ascii="Arial"/>
                <w:spacing w:val="-2"/>
              </w:rPr>
              <w:t>of</w:t>
            </w:r>
            <w:r>
              <w:rPr>
                <w:rFonts w:ascii="Arial"/>
                <w:spacing w:val="6"/>
              </w:rPr>
              <w:t xml:space="preserve"> </w:t>
            </w:r>
            <w:r>
              <w:rPr>
                <w:rFonts w:ascii="Arial"/>
              </w:rPr>
              <w:t>a</w:t>
            </w:r>
            <w:r>
              <w:rPr>
                <w:rFonts w:ascii="Arial"/>
                <w:spacing w:val="3"/>
              </w:rPr>
              <w:t xml:space="preserve"> </w:t>
            </w:r>
            <w:r>
              <w:rPr>
                <w:rFonts w:ascii="Arial"/>
                <w:spacing w:val="-2"/>
              </w:rPr>
              <w:t>provisional</w:t>
            </w:r>
            <w:r>
              <w:rPr>
                <w:rFonts w:ascii="Arial"/>
                <w:spacing w:val="2"/>
              </w:rPr>
              <w:t xml:space="preserve"> </w:t>
            </w:r>
            <w:r>
              <w:rPr>
                <w:rFonts w:ascii="Arial"/>
                <w:spacing w:val="-1"/>
              </w:rPr>
              <w:t>liquidator</w:t>
            </w:r>
            <w:r>
              <w:rPr>
                <w:rFonts w:ascii="Arial"/>
                <w:spacing w:val="4"/>
              </w:rPr>
              <w:t xml:space="preserve"> </w:t>
            </w:r>
            <w:r>
              <w:rPr>
                <w:rFonts w:ascii="Arial"/>
                <w:spacing w:val="-1"/>
              </w:rPr>
              <w:t>or</w:t>
            </w:r>
            <w:r>
              <w:rPr>
                <w:rFonts w:ascii="Arial"/>
                <w:spacing w:val="4"/>
              </w:rPr>
              <w:t xml:space="preserve"> </w:t>
            </w:r>
            <w:r>
              <w:rPr>
                <w:rFonts w:ascii="Arial"/>
              </w:rPr>
              <w:t>a</w:t>
            </w:r>
            <w:r>
              <w:rPr>
                <w:rFonts w:ascii="Arial"/>
                <w:spacing w:val="3"/>
              </w:rPr>
              <w:t xml:space="preserve"> </w:t>
            </w:r>
            <w:r>
              <w:rPr>
                <w:rFonts w:ascii="Arial"/>
                <w:spacing w:val="-1"/>
              </w:rPr>
              <w:t>creditors'</w:t>
            </w:r>
            <w:r>
              <w:rPr>
                <w:rFonts w:ascii="Arial"/>
                <w:spacing w:val="38"/>
              </w:rPr>
              <w:t xml:space="preserve"> </w:t>
            </w:r>
            <w:r>
              <w:rPr>
                <w:rFonts w:ascii="Arial"/>
                <w:spacing w:val="-1"/>
              </w:rPr>
              <w:t>meeting</w:t>
            </w:r>
            <w:r>
              <w:rPr>
                <w:rFonts w:ascii="Arial"/>
                <w:spacing w:val="34"/>
              </w:rPr>
              <w:t xml:space="preserve"> </w:t>
            </w:r>
            <w:r>
              <w:rPr>
                <w:rFonts w:ascii="Arial"/>
                <w:spacing w:val="-1"/>
              </w:rPr>
              <w:t>is</w:t>
            </w:r>
            <w:r>
              <w:rPr>
                <w:rFonts w:ascii="Arial"/>
                <w:spacing w:val="32"/>
              </w:rPr>
              <w:t xml:space="preserve"> </w:t>
            </w:r>
            <w:r>
              <w:rPr>
                <w:rFonts w:ascii="Arial"/>
                <w:spacing w:val="-1"/>
              </w:rPr>
              <w:t>convened</w:t>
            </w:r>
            <w:r>
              <w:rPr>
                <w:rFonts w:ascii="Arial"/>
                <w:spacing w:val="31"/>
              </w:rPr>
              <w:t xml:space="preserve"> </w:t>
            </w:r>
            <w:r>
              <w:rPr>
                <w:rFonts w:ascii="Arial"/>
                <w:spacing w:val="-1"/>
              </w:rPr>
              <w:t>pursuant</w:t>
            </w:r>
            <w:r>
              <w:rPr>
                <w:rFonts w:ascii="Arial"/>
                <w:spacing w:val="33"/>
              </w:rPr>
              <w:t xml:space="preserve"> </w:t>
            </w:r>
            <w:r>
              <w:rPr>
                <w:rFonts w:ascii="Arial"/>
              </w:rPr>
              <w:t>to</w:t>
            </w:r>
            <w:r>
              <w:rPr>
                <w:rFonts w:ascii="Arial"/>
                <w:spacing w:val="31"/>
              </w:rPr>
              <w:t xml:space="preserve"> </w:t>
            </w:r>
            <w:r>
              <w:rPr>
                <w:rFonts w:ascii="Arial"/>
                <w:spacing w:val="-1"/>
              </w:rPr>
              <w:t>section</w:t>
            </w:r>
            <w:r>
              <w:rPr>
                <w:rFonts w:ascii="Arial"/>
                <w:spacing w:val="31"/>
              </w:rPr>
              <w:t xml:space="preserve"> </w:t>
            </w:r>
            <w:r>
              <w:rPr>
                <w:rFonts w:ascii="Arial"/>
                <w:spacing w:val="-1"/>
              </w:rPr>
              <w:t>98</w:t>
            </w:r>
            <w:r>
              <w:rPr>
                <w:rFonts w:ascii="Arial"/>
                <w:spacing w:val="32"/>
              </w:rPr>
              <w:t xml:space="preserve"> </w:t>
            </w:r>
            <w:r>
              <w:rPr>
                <w:rFonts w:ascii="Arial"/>
                <w:spacing w:val="-1"/>
              </w:rPr>
              <w:t>of</w:t>
            </w:r>
            <w:r>
              <w:rPr>
                <w:rFonts w:ascii="Arial"/>
                <w:spacing w:val="35"/>
              </w:rPr>
              <w:t xml:space="preserve"> </w:t>
            </w:r>
            <w:r>
              <w:rPr>
                <w:rFonts w:ascii="Arial"/>
                <w:spacing w:val="-2"/>
              </w:rPr>
              <w:t>the</w:t>
            </w:r>
            <w:r>
              <w:rPr>
                <w:rFonts w:ascii="Arial"/>
                <w:spacing w:val="26"/>
              </w:rPr>
              <w:t xml:space="preserve"> </w:t>
            </w:r>
            <w:r>
              <w:rPr>
                <w:rFonts w:ascii="Arial"/>
                <w:spacing w:val="-1"/>
              </w:rPr>
              <w:t>Insolvency Act</w:t>
            </w:r>
            <w:r>
              <w:rPr>
                <w:rFonts w:ascii="Arial"/>
                <w:spacing w:val="2"/>
              </w:rPr>
              <w:t xml:space="preserve"> </w:t>
            </w:r>
            <w:r>
              <w:rPr>
                <w:rFonts w:ascii="Arial"/>
                <w:spacing w:val="-1"/>
              </w:rPr>
              <w:t>1986;</w:t>
            </w:r>
            <w:r>
              <w:rPr>
                <w:rFonts w:ascii="Arial"/>
              </w:rPr>
              <w:t xml:space="preserve"> </w:t>
            </w:r>
            <w:r>
              <w:rPr>
                <w:rFonts w:ascii="Arial"/>
                <w:spacing w:val="-1"/>
              </w:rPr>
              <w:t>or</w:t>
            </w:r>
          </w:p>
          <w:p w:rsidR="008918FA" w:rsidRDefault="008918FA" w:rsidP="005D2B81">
            <w:pPr>
              <w:pStyle w:val="ListParagraph"/>
              <w:numPr>
                <w:ilvl w:val="0"/>
                <w:numId w:val="44"/>
              </w:numPr>
              <w:tabs>
                <w:tab w:val="left" w:pos="550"/>
              </w:tabs>
              <w:spacing w:before="121"/>
              <w:ind w:right="-2"/>
              <w:jc w:val="both"/>
              <w:rPr>
                <w:rFonts w:ascii="Arial" w:eastAsia="Arial" w:hAnsi="Arial" w:cs="Arial"/>
              </w:rPr>
            </w:pPr>
            <w:r>
              <w:rPr>
                <w:rFonts w:ascii="Arial"/>
              </w:rPr>
              <w:t xml:space="preserve">a </w:t>
            </w:r>
            <w:r>
              <w:rPr>
                <w:rFonts w:ascii="Arial"/>
                <w:spacing w:val="-1"/>
              </w:rPr>
              <w:t>receiver,</w:t>
            </w:r>
            <w:r>
              <w:rPr>
                <w:rFonts w:ascii="Arial"/>
                <w:spacing w:val="2"/>
              </w:rPr>
              <w:t xml:space="preserve"> </w:t>
            </w:r>
            <w:r>
              <w:rPr>
                <w:rFonts w:ascii="Arial"/>
                <w:spacing w:val="-2"/>
              </w:rPr>
              <w:t>administrative</w:t>
            </w:r>
            <w:r>
              <w:rPr>
                <w:rFonts w:ascii="Arial"/>
              </w:rPr>
              <w:t xml:space="preserve"> </w:t>
            </w:r>
            <w:r>
              <w:rPr>
                <w:rFonts w:ascii="Arial"/>
                <w:spacing w:val="-1"/>
              </w:rPr>
              <w:t>receiver</w:t>
            </w:r>
            <w:r>
              <w:rPr>
                <w:rFonts w:ascii="Arial"/>
                <w:spacing w:val="2"/>
              </w:rPr>
              <w:t xml:space="preserve"> </w:t>
            </w:r>
            <w:r>
              <w:rPr>
                <w:rFonts w:ascii="Arial"/>
                <w:spacing w:val="-1"/>
              </w:rPr>
              <w:t>or similar</w:t>
            </w:r>
            <w:r>
              <w:rPr>
                <w:rFonts w:ascii="Arial"/>
                <w:spacing w:val="2"/>
              </w:rPr>
              <w:t xml:space="preserve"> </w:t>
            </w:r>
            <w:r>
              <w:rPr>
                <w:rFonts w:ascii="Arial"/>
                <w:spacing w:val="-1"/>
              </w:rPr>
              <w:t>officer</w:t>
            </w:r>
            <w:r>
              <w:rPr>
                <w:rFonts w:ascii="Arial"/>
                <w:spacing w:val="2"/>
              </w:rPr>
              <w:t xml:space="preserve"> </w:t>
            </w:r>
            <w:r>
              <w:rPr>
                <w:rFonts w:ascii="Arial"/>
                <w:spacing w:val="-1"/>
              </w:rPr>
              <w:t>is</w:t>
            </w:r>
            <w:r>
              <w:rPr>
                <w:rFonts w:ascii="Arial"/>
                <w:spacing w:val="29"/>
              </w:rPr>
              <w:t xml:space="preserve"> </w:t>
            </w:r>
            <w:r>
              <w:rPr>
                <w:rFonts w:ascii="Arial"/>
                <w:spacing w:val="-1"/>
              </w:rPr>
              <w:t>appointed</w:t>
            </w:r>
            <w:r>
              <w:rPr>
                <w:rFonts w:ascii="Arial"/>
                <w:spacing w:val="10"/>
              </w:rPr>
              <w:t xml:space="preserve"> </w:t>
            </w:r>
            <w:r>
              <w:rPr>
                <w:rFonts w:ascii="Arial"/>
                <w:spacing w:val="-2"/>
              </w:rPr>
              <w:t>over</w:t>
            </w:r>
            <w:r>
              <w:rPr>
                <w:rFonts w:ascii="Arial"/>
                <w:spacing w:val="11"/>
              </w:rPr>
              <w:t xml:space="preserve"> </w:t>
            </w:r>
            <w:r>
              <w:rPr>
                <w:rFonts w:ascii="Arial"/>
              </w:rPr>
              <w:t>the</w:t>
            </w:r>
            <w:r>
              <w:rPr>
                <w:rFonts w:ascii="Arial"/>
                <w:spacing w:val="10"/>
              </w:rPr>
              <w:t xml:space="preserve"> </w:t>
            </w:r>
            <w:r>
              <w:rPr>
                <w:rFonts w:ascii="Arial"/>
                <w:spacing w:val="-1"/>
              </w:rPr>
              <w:t>whole</w:t>
            </w:r>
            <w:r>
              <w:rPr>
                <w:rFonts w:ascii="Arial"/>
                <w:spacing w:val="10"/>
              </w:rPr>
              <w:t xml:space="preserve"> </w:t>
            </w:r>
            <w:r>
              <w:rPr>
                <w:rFonts w:ascii="Arial"/>
                <w:spacing w:val="-1"/>
              </w:rPr>
              <w:t>or</w:t>
            </w:r>
            <w:r>
              <w:rPr>
                <w:rFonts w:ascii="Arial"/>
                <w:spacing w:val="11"/>
              </w:rPr>
              <w:t xml:space="preserve"> </w:t>
            </w:r>
            <w:r>
              <w:rPr>
                <w:rFonts w:ascii="Arial"/>
                <w:spacing w:val="-1"/>
              </w:rPr>
              <w:t>any</w:t>
            </w:r>
            <w:r>
              <w:rPr>
                <w:rFonts w:ascii="Arial"/>
                <w:spacing w:val="8"/>
              </w:rPr>
              <w:t xml:space="preserve"> </w:t>
            </w:r>
            <w:r>
              <w:rPr>
                <w:rFonts w:ascii="Arial"/>
                <w:spacing w:val="-1"/>
              </w:rPr>
              <w:t>part</w:t>
            </w:r>
            <w:r>
              <w:rPr>
                <w:rFonts w:ascii="Arial"/>
                <w:spacing w:val="11"/>
              </w:rPr>
              <w:t xml:space="preserve"> </w:t>
            </w:r>
            <w:r>
              <w:rPr>
                <w:rFonts w:ascii="Arial"/>
                <w:spacing w:val="-2"/>
              </w:rPr>
              <w:t>of</w:t>
            </w:r>
            <w:r>
              <w:rPr>
                <w:rFonts w:ascii="Arial"/>
                <w:spacing w:val="14"/>
              </w:rPr>
              <w:t xml:space="preserve"> </w:t>
            </w:r>
            <w:r>
              <w:rPr>
                <w:rFonts w:ascii="Arial"/>
                <w:spacing w:val="-2"/>
              </w:rPr>
              <w:t>its</w:t>
            </w:r>
            <w:r>
              <w:rPr>
                <w:rFonts w:ascii="Arial"/>
                <w:spacing w:val="10"/>
              </w:rPr>
              <w:t xml:space="preserve"> </w:t>
            </w:r>
            <w:r>
              <w:rPr>
                <w:rFonts w:ascii="Arial"/>
                <w:spacing w:val="-2"/>
              </w:rPr>
              <w:t>business</w:t>
            </w:r>
            <w:r>
              <w:rPr>
                <w:rFonts w:ascii="Arial"/>
                <w:spacing w:val="36"/>
              </w:rPr>
              <w:t xml:space="preserve"> </w:t>
            </w:r>
            <w:r>
              <w:rPr>
                <w:rFonts w:ascii="Arial"/>
                <w:spacing w:val="-1"/>
              </w:rPr>
              <w:t>or</w:t>
            </w:r>
            <w:r>
              <w:rPr>
                <w:rFonts w:ascii="Arial"/>
                <w:spacing w:val="2"/>
              </w:rPr>
              <w:t xml:space="preserve"> </w:t>
            </w:r>
            <w:r>
              <w:rPr>
                <w:rFonts w:ascii="Arial"/>
                <w:spacing w:val="-1"/>
              </w:rPr>
              <w:t>assets;</w:t>
            </w:r>
            <w:r>
              <w:rPr>
                <w:rFonts w:ascii="Arial"/>
                <w:spacing w:val="2"/>
              </w:rPr>
              <w:t xml:space="preserve"> </w:t>
            </w:r>
            <w:r>
              <w:rPr>
                <w:rFonts w:ascii="Arial"/>
                <w:spacing w:val="-3"/>
              </w:rPr>
              <w:t>or</w:t>
            </w:r>
          </w:p>
          <w:p w:rsidR="008918FA" w:rsidRDefault="008918FA" w:rsidP="005D2B81">
            <w:pPr>
              <w:pStyle w:val="ListParagraph"/>
              <w:numPr>
                <w:ilvl w:val="0"/>
                <w:numId w:val="44"/>
              </w:numPr>
              <w:tabs>
                <w:tab w:val="left" w:pos="550"/>
              </w:tabs>
              <w:spacing w:before="119"/>
              <w:jc w:val="both"/>
              <w:rPr>
                <w:rFonts w:ascii="Arial" w:eastAsia="Arial" w:hAnsi="Arial" w:cs="Arial"/>
              </w:rPr>
            </w:pPr>
            <w:r>
              <w:rPr>
                <w:rFonts w:ascii="Arial"/>
                <w:spacing w:val="-1"/>
              </w:rPr>
              <w:t>an</w:t>
            </w:r>
            <w:r>
              <w:rPr>
                <w:rFonts w:ascii="Arial"/>
                <w:spacing w:val="29"/>
              </w:rPr>
              <w:t xml:space="preserve"> </w:t>
            </w:r>
            <w:r>
              <w:rPr>
                <w:rFonts w:ascii="Arial"/>
                <w:spacing w:val="-1"/>
              </w:rPr>
              <w:t>application</w:t>
            </w:r>
            <w:r>
              <w:rPr>
                <w:rFonts w:ascii="Arial"/>
                <w:spacing w:val="29"/>
              </w:rPr>
              <w:t xml:space="preserve"> </w:t>
            </w:r>
            <w:r>
              <w:rPr>
                <w:rFonts w:ascii="Arial"/>
                <w:spacing w:val="-1"/>
              </w:rPr>
              <w:t>order</w:t>
            </w:r>
            <w:r>
              <w:rPr>
                <w:rFonts w:ascii="Arial"/>
                <w:spacing w:val="28"/>
              </w:rPr>
              <w:t xml:space="preserve"> </w:t>
            </w:r>
            <w:r>
              <w:rPr>
                <w:rFonts w:ascii="Arial"/>
                <w:spacing w:val="-1"/>
              </w:rPr>
              <w:t>is</w:t>
            </w:r>
            <w:r>
              <w:rPr>
                <w:rFonts w:ascii="Arial"/>
                <w:spacing w:val="31"/>
              </w:rPr>
              <w:t xml:space="preserve"> </w:t>
            </w:r>
            <w:r>
              <w:rPr>
                <w:rFonts w:ascii="Arial"/>
                <w:spacing w:val="-1"/>
              </w:rPr>
              <w:t>made</w:t>
            </w:r>
            <w:r>
              <w:rPr>
                <w:rFonts w:ascii="Arial"/>
                <w:spacing w:val="29"/>
              </w:rPr>
              <w:t xml:space="preserve"> </w:t>
            </w:r>
            <w:r>
              <w:rPr>
                <w:rFonts w:ascii="Arial"/>
                <w:spacing w:val="-1"/>
              </w:rPr>
              <w:t>either</w:t>
            </w:r>
            <w:r>
              <w:rPr>
                <w:rFonts w:ascii="Arial"/>
                <w:spacing w:val="28"/>
              </w:rPr>
              <w:t xml:space="preserve"> </w:t>
            </w:r>
            <w:r>
              <w:rPr>
                <w:rFonts w:ascii="Arial"/>
              </w:rPr>
              <w:t>for</w:t>
            </w:r>
            <w:r>
              <w:rPr>
                <w:rFonts w:ascii="Arial"/>
                <w:spacing w:val="28"/>
              </w:rPr>
              <w:t xml:space="preserve"> </w:t>
            </w:r>
            <w:r>
              <w:rPr>
                <w:rFonts w:ascii="Arial"/>
                <w:spacing w:val="-2"/>
              </w:rPr>
              <w:t>the</w:t>
            </w:r>
            <w:r>
              <w:rPr>
                <w:rFonts w:ascii="Arial"/>
                <w:spacing w:val="28"/>
              </w:rPr>
              <w:t xml:space="preserve"> </w:t>
            </w:r>
            <w:r>
              <w:rPr>
                <w:rFonts w:ascii="Arial"/>
                <w:spacing w:val="-1"/>
              </w:rPr>
              <w:t>appointment</w:t>
            </w:r>
            <w:r>
              <w:rPr>
                <w:rFonts w:ascii="Arial"/>
                <w:spacing w:val="8"/>
              </w:rPr>
              <w:t xml:space="preserve"> </w:t>
            </w:r>
            <w:r>
              <w:rPr>
                <w:rFonts w:ascii="Arial"/>
                <w:spacing w:val="-2"/>
              </w:rPr>
              <w:t>of</w:t>
            </w:r>
            <w:r>
              <w:rPr>
                <w:rFonts w:ascii="Arial"/>
                <w:spacing w:val="10"/>
              </w:rPr>
              <w:t xml:space="preserve"> </w:t>
            </w:r>
            <w:r>
              <w:rPr>
                <w:rFonts w:ascii="Arial"/>
                <w:spacing w:val="-1"/>
              </w:rPr>
              <w:t>an</w:t>
            </w:r>
            <w:r>
              <w:rPr>
                <w:rFonts w:ascii="Arial"/>
                <w:spacing w:val="4"/>
              </w:rPr>
              <w:t xml:space="preserve"> </w:t>
            </w:r>
            <w:r>
              <w:rPr>
                <w:rFonts w:ascii="Arial"/>
                <w:spacing w:val="-1"/>
              </w:rPr>
              <w:t>administrator</w:t>
            </w:r>
            <w:r>
              <w:rPr>
                <w:rFonts w:ascii="Arial"/>
                <w:spacing w:val="8"/>
              </w:rPr>
              <w:t xml:space="preserve"> </w:t>
            </w:r>
            <w:r>
              <w:rPr>
                <w:rFonts w:ascii="Arial"/>
                <w:spacing w:val="-1"/>
              </w:rPr>
              <w:t>or</w:t>
            </w:r>
            <w:r>
              <w:rPr>
                <w:rFonts w:ascii="Arial"/>
                <w:spacing w:val="5"/>
              </w:rPr>
              <w:t xml:space="preserve"> </w:t>
            </w:r>
            <w:r>
              <w:rPr>
                <w:rFonts w:ascii="Arial"/>
              </w:rPr>
              <w:t>for</w:t>
            </w:r>
            <w:r>
              <w:rPr>
                <w:rFonts w:ascii="Arial"/>
                <w:spacing w:val="5"/>
              </w:rPr>
              <w:t xml:space="preserve"> </w:t>
            </w:r>
            <w:r>
              <w:rPr>
                <w:rFonts w:ascii="Arial"/>
                <w:spacing w:val="-1"/>
              </w:rPr>
              <w:t>an</w:t>
            </w:r>
            <w:r>
              <w:rPr>
                <w:rFonts w:ascii="Arial"/>
                <w:spacing w:val="29"/>
              </w:rPr>
              <w:t xml:space="preserve"> </w:t>
            </w:r>
            <w:r>
              <w:rPr>
                <w:rFonts w:ascii="Arial"/>
                <w:spacing w:val="-1"/>
              </w:rPr>
              <w:t>administration</w:t>
            </w:r>
            <w:r>
              <w:rPr>
                <w:rFonts w:ascii="Arial"/>
                <w:spacing w:val="34"/>
              </w:rPr>
              <w:t xml:space="preserve"> </w:t>
            </w:r>
            <w:r>
              <w:rPr>
                <w:rFonts w:ascii="Arial"/>
                <w:spacing w:val="-1"/>
              </w:rPr>
              <w:t>order,</w:t>
            </w:r>
            <w:r>
              <w:rPr>
                <w:rFonts w:ascii="Arial"/>
                <w:spacing w:val="35"/>
              </w:rPr>
              <w:t xml:space="preserve"> </w:t>
            </w:r>
            <w:r>
              <w:rPr>
                <w:rFonts w:ascii="Arial"/>
                <w:spacing w:val="-1"/>
              </w:rPr>
              <w:t>an</w:t>
            </w:r>
            <w:r>
              <w:rPr>
                <w:rFonts w:ascii="Arial"/>
                <w:spacing w:val="31"/>
              </w:rPr>
              <w:t xml:space="preserve"> </w:t>
            </w:r>
            <w:r>
              <w:rPr>
                <w:rFonts w:ascii="Arial"/>
                <w:spacing w:val="-1"/>
              </w:rPr>
              <w:t>administrator</w:t>
            </w:r>
            <w:r>
              <w:rPr>
                <w:rFonts w:ascii="Arial"/>
                <w:spacing w:val="33"/>
              </w:rPr>
              <w:t xml:space="preserve"> </w:t>
            </w:r>
            <w:r>
              <w:rPr>
                <w:rFonts w:ascii="Arial"/>
                <w:spacing w:val="-1"/>
              </w:rPr>
              <w:t>is</w:t>
            </w:r>
            <w:r>
              <w:rPr>
                <w:rFonts w:ascii="Arial"/>
                <w:spacing w:val="34"/>
              </w:rPr>
              <w:t xml:space="preserve"> </w:t>
            </w:r>
            <w:r>
              <w:rPr>
                <w:rFonts w:ascii="Arial"/>
                <w:spacing w:val="-2"/>
              </w:rPr>
              <w:t>appointed,</w:t>
            </w:r>
            <w:r>
              <w:rPr>
                <w:rFonts w:ascii="Arial"/>
                <w:spacing w:val="30"/>
              </w:rPr>
              <w:t xml:space="preserve"> </w:t>
            </w:r>
            <w:r>
              <w:rPr>
                <w:rFonts w:ascii="Arial"/>
                <w:spacing w:val="-1"/>
              </w:rPr>
              <w:t>or</w:t>
            </w:r>
            <w:r>
              <w:rPr>
                <w:rFonts w:ascii="Arial"/>
                <w:spacing w:val="33"/>
              </w:rPr>
              <w:t xml:space="preserve"> </w:t>
            </w:r>
            <w:r>
              <w:rPr>
                <w:rFonts w:ascii="Arial"/>
                <w:spacing w:val="-1"/>
              </w:rPr>
              <w:t>notice</w:t>
            </w:r>
            <w:r>
              <w:rPr>
                <w:rFonts w:ascii="Arial"/>
                <w:spacing w:val="32"/>
              </w:rPr>
              <w:t xml:space="preserve"> </w:t>
            </w:r>
            <w:r>
              <w:rPr>
                <w:rFonts w:ascii="Arial"/>
                <w:spacing w:val="-2"/>
              </w:rPr>
              <w:t>of</w:t>
            </w:r>
            <w:r>
              <w:rPr>
                <w:rFonts w:ascii="Arial"/>
                <w:spacing w:val="33"/>
              </w:rPr>
              <w:t xml:space="preserve"> </w:t>
            </w:r>
            <w:r>
              <w:rPr>
                <w:rFonts w:ascii="Arial"/>
                <w:spacing w:val="-1"/>
              </w:rPr>
              <w:t>intention</w:t>
            </w:r>
            <w:r>
              <w:rPr>
                <w:rFonts w:ascii="Arial"/>
                <w:spacing w:val="31"/>
              </w:rPr>
              <w:t xml:space="preserve"> </w:t>
            </w:r>
            <w:r>
              <w:rPr>
                <w:rFonts w:ascii="Arial"/>
              </w:rPr>
              <w:t>to</w:t>
            </w:r>
            <w:r>
              <w:rPr>
                <w:rFonts w:ascii="Arial"/>
                <w:spacing w:val="29"/>
              </w:rPr>
              <w:t xml:space="preserve"> </w:t>
            </w:r>
            <w:r>
              <w:rPr>
                <w:rFonts w:ascii="Arial"/>
                <w:spacing w:val="-1"/>
              </w:rPr>
              <w:t>appoint</w:t>
            </w:r>
            <w:r>
              <w:rPr>
                <w:rFonts w:ascii="Arial"/>
                <w:spacing w:val="33"/>
              </w:rPr>
              <w:t xml:space="preserve"> </w:t>
            </w:r>
            <w:r>
              <w:rPr>
                <w:rFonts w:ascii="Arial"/>
                <w:spacing w:val="-1"/>
              </w:rPr>
              <w:t>an</w:t>
            </w:r>
            <w:r>
              <w:rPr>
                <w:rFonts w:ascii="Arial"/>
                <w:spacing w:val="31"/>
              </w:rPr>
              <w:t xml:space="preserve"> </w:t>
            </w:r>
            <w:r>
              <w:rPr>
                <w:rFonts w:ascii="Arial"/>
                <w:spacing w:val="-1"/>
              </w:rPr>
              <w:t>administrator</w:t>
            </w:r>
            <w:r>
              <w:rPr>
                <w:rFonts w:ascii="Arial"/>
                <w:spacing w:val="31"/>
              </w:rPr>
              <w:t xml:space="preserve"> </w:t>
            </w:r>
            <w:r>
              <w:rPr>
                <w:rFonts w:ascii="Arial"/>
                <w:spacing w:val="-1"/>
              </w:rPr>
              <w:t>is</w:t>
            </w:r>
            <w:r>
              <w:rPr>
                <w:rFonts w:ascii="Arial"/>
                <w:spacing w:val="28"/>
              </w:rPr>
              <w:t xml:space="preserve"> </w:t>
            </w:r>
            <w:r>
              <w:rPr>
                <w:rFonts w:ascii="Arial"/>
                <w:spacing w:val="-1"/>
              </w:rPr>
              <w:t>given;</w:t>
            </w:r>
            <w:r>
              <w:rPr>
                <w:rFonts w:ascii="Arial"/>
                <w:spacing w:val="2"/>
              </w:rPr>
              <w:t xml:space="preserve"> </w:t>
            </w:r>
            <w:r>
              <w:rPr>
                <w:rFonts w:ascii="Arial"/>
                <w:spacing w:val="-1"/>
              </w:rPr>
              <w:t>or</w:t>
            </w:r>
          </w:p>
          <w:p w:rsidR="008918FA" w:rsidRDefault="008918FA" w:rsidP="005D2B81">
            <w:pPr>
              <w:pStyle w:val="ListParagraph"/>
              <w:numPr>
                <w:ilvl w:val="0"/>
                <w:numId w:val="44"/>
              </w:numPr>
              <w:tabs>
                <w:tab w:val="left" w:pos="550"/>
              </w:tabs>
              <w:spacing w:before="119"/>
              <w:ind w:right="1"/>
              <w:jc w:val="both"/>
              <w:rPr>
                <w:rFonts w:ascii="Arial" w:eastAsia="Arial" w:hAnsi="Arial" w:cs="Arial"/>
              </w:rPr>
            </w:pPr>
            <w:r>
              <w:rPr>
                <w:rFonts w:ascii="Arial"/>
                <w:spacing w:val="-1"/>
              </w:rPr>
              <w:t>it</w:t>
            </w:r>
            <w:r>
              <w:rPr>
                <w:rFonts w:ascii="Arial"/>
                <w:spacing w:val="3"/>
              </w:rPr>
              <w:t xml:space="preserve"> </w:t>
            </w:r>
            <w:r>
              <w:rPr>
                <w:rFonts w:ascii="Arial"/>
                <w:spacing w:val="-1"/>
              </w:rPr>
              <w:t>is</w:t>
            </w:r>
            <w:r>
              <w:rPr>
                <w:rFonts w:ascii="Arial"/>
                <w:spacing w:val="2"/>
              </w:rPr>
              <w:t xml:space="preserve"> </w:t>
            </w:r>
            <w:r>
              <w:rPr>
                <w:rFonts w:ascii="Arial"/>
                <w:spacing w:val="-1"/>
              </w:rPr>
              <w:t>or</w:t>
            </w:r>
            <w:r>
              <w:rPr>
                <w:rFonts w:ascii="Arial"/>
                <w:spacing w:val="3"/>
              </w:rPr>
              <w:t xml:space="preserve"> </w:t>
            </w:r>
            <w:r>
              <w:rPr>
                <w:rFonts w:ascii="Arial"/>
                <w:spacing w:val="-1"/>
              </w:rPr>
              <w:t>becomes</w:t>
            </w:r>
            <w:r>
              <w:rPr>
                <w:rFonts w:ascii="Arial"/>
                <w:spacing w:val="2"/>
              </w:rPr>
              <w:t xml:space="preserve"> </w:t>
            </w:r>
            <w:r>
              <w:rPr>
                <w:rFonts w:ascii="Arial"/>
                <w:spacing w:val="-1"/>
              </w:rPr>
              <w:t>insolvent</w:t>
            </w:r>
            <w:r>
              <w:rPr>
                <w:rFonts w:ascii="Arial"/>
                <w:spacing w:val="3"/>
              </w:rPr>
              <w:t xml:space="preserve"> </w:t>
            </w:r>
            <w:r>
              <w:rPr>
                <w:rFonts w:ascii="Arial"/>
                <w:spacing w:val="-2"/>
              </w:rPr>
              <w:t>within</w:t>
            </w:r>
            <w:r>
              <w:rPr>
                <w:rFonts w:ascii="Arial"/>
                <w:spacing w:val="2"/>
              </w:rPr>
              <w:t xml:space="preserve"> </w:t>
            </w:r>
            <w:r>
              <w:rPr>
                <w:rFonts w:ascii="Arial"/>
              </w:rPr>
              <w:t>the</w:t>
            </w:r>
            <w:r>
              <w:rPr>
                <w:rFonts w:ascii="Arial"/>
                <w:spacing w:val="2"/>
              </w:rPr>
              <w:t xml:space="preserve"> </w:t>
            </w:r>
            <w:r>
              <w:rPr>
                <w:rFonts w:ascii="Arial"/>
                <w:spacing w:val="-1"/>
              </w:rPr>
              <w:t>meaning</w:t>
            </w:r>
            <w:r>
              <w:rPr>
                <w:rFonts w:ascii="Arial"/>
                <w:spacing w:val="4"/>
              </w:rPr>
              <w:t xml:space="preserve"> </w:t>
            </w:r>
            <w:r>
              <w:rPr>
                <w:rFonts w:ascii="Arial"/>
                <w:spacing w:val="-2"/>
              </w:rPr>
              <w:t>of</w:t>
            </w:r>
            <w:r>
              <w:rPr>
                <w:rFonts w:ascii="Arial"/>
                <w:spacing w:val="23"/>
              </w:rPr>
              <w:t xml:space="preserve"> </w:t>
            </w:r>
            <w:r>
              <w:rPr>
                <w:rFonts w:ascii="Arial"/>
                <w:spacing w:val="-1"/>
              </w:rPr>
              <w:t>section</w:t>
            </w:r>
            <w:r>
              <w:rPr>
                <w:rFonts w:ascii="Arial"/>
                <w:spacing w:val="1"/>
              </w:rPr>
              <w:t xml:space="preserve"> </w:t>
            </w:r>
            <w:r>
              <w:rPr>
                <w:rFonts w:ascii="Arial"/>
                <w:spacing w:val="-1"/>
              </w:rPr>
              <w:t>123</w:t>
            </w:r>
            <w:r>
              <w:rPr>
                <w:rFonts w:ascii="Arial"/>
                <w:spacing w:val="-2"/>
              </w:rPr>
              <w:t xml:space="preserve"> of</w:t>
            </w:r>
            <w:r>
              <w:rPr>
                <w:rFonts w:ascii="Arial"/>
                <w:spacing w:val="2"/>
              </w:rPr>
              <w:t xml:space="preserve"> </w:t>
            </w:r>
            <w:r>
              <w:rPr>
                <w:rFonts w:ascii="Arial"/>
              </w:rPr>
              <w:t>the</w:t>
            </w:r>
            <w:r>
              <w:rPr>
                <w:rFonts w:ascii="Arial"/>
                <w:spacing w:val="-2"/>
              </w:rPr>
              <w:t xml:space="preserve"> </w:t>
            </w:r>
            <w:r>
              <w:rPr>
                <w:rFonts w:ascii="Arial"/>
                <w:spacing w:val="-1"/>
              </w:rPr>
              <w:t>Insolvency Act</w:t>
            </w:r>
            <w:r>
              <w:rPr>
                <w:rFonts w:ascii="Arial"/>
                <w:spacing w:val="2"/>
              </w:rPr>
              <w:t xml:space="preserve"> </w:t>
            </w:r>
            <w:r>
              <w:rPr>
                <w:rFonts w:ascii="Arial"/>
                <w:spacing w:val="-2"/>
              </w:rPr>
              <w:t>1986;</w:t>
            </w:r>
            <w:r>
              <w:rPr>
                <w:rFonts w:ascii="Arial"/>
                <w:spacing w:val="2"/>
              </w:rPr>
              <w:t xml:space="preserve"> </w:t>
            </w:r>
            <w:r>
              <w:rPr>
                <w:rFonts w:ascii="Arial"/>
                <w:spacing w:val="-2"/>
              </w:rPr>
              <w:t>or</w:t>
            </w:r>
          </w:p>
          <w:p w:rsidR="008918FA" w:rsidRDefault="008918FA" w:rsidP="005D2B81">
            <w:pPr>
              <w:pStyle w:val="ListParagraph"/>
              <w:numPr>
                <w:ilvl w:val="0"/>
                <w:numId w:val="44"/>
              </w:numPr>
              <w:tabs>
                <w:tab w:val="left" w:pos="550"/>
              </w:tabs>
              <w:spacing w:before="121"/>
              <w:jc w:val="both"/>
              <w:rPr>
                <w:rFonts w:ascii="Arial" w:eastAsia="Arial" w:hAnsi="Arial" w:cs="Arial"/>
              </w:rPr>
            </w:pPr>
            <w:r>
              <w:rPr>
                <w:rFonts w:ascii="Arial"/>
                <w:spacing w:val="-1"/>
              </w:rPr>
              <w:t>being</w:t>
            </w:r>
            <w:r>
              <w:rPr>
                <w:rFonts w:ascii="Arial"/>
                <w:spacing w:val="23"/>
              </w:rPr>
              <w:t xml:space="preserve"> </w:t>
            </w:r>
            <w:r>
              <w:rPr>
                <w:rFonts w:ascii="Arial"/>
              </w:rPr>
              <w:t>a</w:t>
            </w:r>
            <w:r>
              <w:rPr>
                <w:rFonts w:ascii="Arial"/>
                <w:spacing w:val="21"/>
              </w:rPr>
              <w:t xml:space="preserve"> </w:t>
            </w:r>
            <w:r>
              <w:rPr>
                <w:rFonts w:ascii="Arial"/>
                <w:spacing w:val="-1"/>
              </w:rPr>
              <w:t>"small</w:t>
            </w:r>
            <w:r>
              <w:rPr>
                <w:rFonts w:ascii="Arial"/>
                <w:spacing w:val="20"/>
              </w:rPr>
              <w:t xml:space="preserve"> </w:t>
            </w:r>
            <w:r>
              <w:rPr>
                <w:rFonts w:ascii="Arial"/>
                <w:spacing w:val="-2"/>
              </w:rPr>
              <w:t>company"</w:t>
            </w:r>
            <w:r>
              <w:rPr>
                <w:rFonts w:ascii="Arial"/>
                <w:spacing w:val="22"/>
              </w:rPr>
              <w:t xml:space="preserve"> </w:t>
            </w:r>
            <w:r>
              <w:rPr>
                <w:rFonts w:ascii="Arial"/>
                <w:spacing w:val="-1"/>
              </w:rPr>
              <w:t>within</w:t>
            </w:r>
            <w:r>
              <w:rPr>
                <w:rFonts w:ascii="Arial"/>
                <w:spacing w:val="21"/>
              </w:rPr>
              <w:t xml:space="preserve"> </w:t>
            </w:r>
            <w:r>
              <w:rPr>
                <w:rFonts w:ascii="Arial"/>
              </w:rPr>
              <w:t>the</w:t>
            </w:r>
            <w:r>
              <w:rPr>
                <w:rFonts w:ascii="Arial"/>
                <w:spacing w:val="21"/>
              </w:rPr>
              <w:t xml:space="preserve"> </w:t>
            </w:r>
            <w:r>
              <w:rPr>
                <w:rFonts w:ascii="Arial"/>
                <w:spacing w:val="-2"/>
              </w:rPr>
              <w:t>meaning</w:t>
            </w:r>
            <w:r>
              <w:rPr>
                <w:rFonts w:ascii="Arial"/>
                <w:spacing w:val="21"/>
              </w:rPr>
              <w:t xml:space="preserve"> </w:t>
            </w:r>
            <w:r>
              <w:rPr>
                <w:rFonts w:ascii="Arial"/>
                <w:spacing w:val="-2"/>
              </w:rPr>
              <w:t>of</w:t>
            </w:r>
            <w:r>
              <w:rPr>
                <w:rFonts w:ascii="Arial"/>
                <w:spacing w:val="27"/>
              </w:rPr>
              <w:t xml:space="preserve"> </w:t>
            </w:r>
            <w:r>
              <w:rPr>
                <w:rFonts w:ascii="Arial"/>
                <w:spacing w:val="-1"/>
              </w:rPr>
              <w:t>section</w:t>
            </w:r>
            <w:r>
              <w:rPr>
                <w:rFonts w:ascii="Arial"/>
                <w:spacing w:val="1"/>
              </w:rPr>
              <w:t xml:space="preserve"> </w:t>
            </w:r>
            <w:r>
              <w:rPr>
                <w:rFonts w:ascii="Arial"/>
                <w:spacing w:val="-1"/>
              </w:rPr>
              <w:t>382(3)</w:t>
            </w:r>
            <w:r>
              <w:rPr>
                <w:rFonts w:ascii="Arial"/>
                <w:spacing w:val="7"/>
              </w:rPr>
              <w:t xml:space="preserve"> </w:t>
            </w:r>
            <w:r>
              <w:rPr>
                <w:rFonts w:ascii="Arial"/>
                <w:spacing w:val="-2"/>
              </w:rPr>
              <w:t>of</w:t>
            </w:r>
            <w:r>
              <w:rPr>
                <w:rFonts w:ascii="Arial"/>
                <w:spacing w:val="7"/>
              </w:rPr>
              <w:t xml:space="preserve"> </w:t>
            </w:r>
            <w:r>
              <w:rPr>
                <w:rFonts w:ascii="Arial"/>
              </w:rPr>
              <w:t>the</w:t>
            </w:r>
            <w:r>
              <w:rPr>
                <w:rFonts w:ascii="Arial"/>
                <w:spacing w:val="3"/>
              </w:rPr>
              <w:t xml:space="preserve"> </w:t>
            </w:r>
            <w:r>
              <w:rPr>
                <w:rFonts w:ascii="Arial"/>
                <w:spacing w:val="-1"/>
              </w:rPr>
              <w:t>Companies</w:t>
            </w:r>
            <w:r>
              <w:rPr>
                <w:rFonts w:ascii="Arial"/>
                <w:spacing w:val="6"/>
              </w:rPr>
              <w:t xml:space="preserve"> </w:t>
            </w:r>
            <w:r>
              <w:rPr>
                <w:rFonts w:ascii="Arial"/>
                <w:spacing w:val="-1"/>
              </w:rPr>
              <w:t>Act</w:t>
            </w:r>
            <w:r>
              <w:rPr>
                <w:rFonts w:ascii="Arial"/>
                <w:spacing w:val="7"/>
              </w:rPr>
              <w:t xml:space="preserve"> </w:t>
            </w:r>
            <w:r>
              <w:rPr>
                <w:rFonts w:ascii="Arial"/>
                <w:spacing w:val="-2"/>
              </w:rPr>
              <w:t>2006,</w:t>
            </w:r>
            <w:r>
              <w:rPr>
                <w:rFonts w:ascii="Arial"/>
                <w:spacing w:val="4"/>
              </w:rPr>
              <w:t xml:space="preserve"> </w:t>
            </w:r>
            <w:r>
              <w:rPr>
                <w:rFonts w:ascii="Arial"/>
              </w:rPr>
              <w:t>a</w:t>
            </w:r>
            <w:r>
              <w:rPr>
                <w:rFonts w:ascii="Arial"/>
                <w:spacing w:val="30"/>
              </w:rPr>
              <w:t xml:space="preserve"> </w:t>
            </w:r>
            <w:r>
              <w:rPr>
                <w:rFonts w:ascii="Arial"/>
                <w:spacing w:val="-1"/>
              </w:rPr>
              <w:t>moratorium</w:t>
            </w:r>
            <w:r>
              <w:rPr>
                <w:rFonts w:ascii="Arial"/>
                <w:spacing w:val="30"/>
              </w:rPr>
              <w:t xml:space="preserve"> </w:t>
            </w:r>
            <w:r>
              <w:rPr>
                <w:rFonts w:ascii="Arial"/>
                <w:spacing w:val="-1"/>
              </w:rPr>
              <w:t>comes</w:t>
            </w:r>
            <w:r>
              <w:rPr>
                <w:rFonts w:ascii="Arial"/>
                <w:spacing w:val="32"/>
              </w:rPr>
              <w:t xml:space="preserve"> </w:t>
            </w:r>
            <w:r>
              <w:rPr>
                <w:rFonts w:ascii="Arial"/>
                <w:spacing w:val="-1"/>
              </w:rPr>
              <w:t>into</w:t>
            </w:r>
            <w:r>
              <w:rPr>
                <w:rFonts w:ascii="Arial"/>
                <w:spacing w:val="29"/>
              </w:rPr>
              <w:t xml:space="preserve"> </w:t>
            </w:r>
            <w:r>
              <w:rPr>
                <w:rFonts w:ascii="Arial"/>
                <w:spacing w:val="-1"/>
              </w:rPr>
              <w:t>force</w:t>
            </w:r>
            <w:r>
              <w:rPr>
                <w:rFonts w:ascii="Arial"/>
                <w:spacing w:val="32"/>
              </w:rPr>
              <w:t xml:space="preserve"> </w:t>
            </w:r>
            <w:r>
              <w:rPr>
                <w:rFonts w:ascii="Arial"/>
                <w:spacing w:val="-1"/>
              </w:rPr>
              <w:t>pursuant</w:t>
            </w:r>
            <w:r>
              <w:rPr>
                <w:rFonts w:ascii="Arial"/>
                <w:spacing w:val="30"/>
              </w:rPr>
              <w:t xml:space="preserve"> </w:t>
            </w:r>
            <w:r>
              <w:rPr>
                <w:rFonts w:ascii="Arial"/>
              </w:rPr>
              <w:t>to</w:t>
            </w:r>
            <w:r>
              <w:rPr>
                <w:rFonts w:ascii="Arial"/>
                <w:spacing w:val="31"/>
              </w:rPr>
              <w:t xml:space="preserve"> </w:t>
            </w:r>
            <w:r>
              <w:rPr>
                <w:rFonts w:ascii="Arial"/>
                <w:spacing w:val="-2"/>
              </w:rPr>
              <w:t>Schedule</w:t>
            </w:r>
            <w:r>
              <w:rPr>
                <w:rFonts w:ascii="Arial"/>
                <w:spacing w:val="43"/>
              </w:rPr>
              <w:t xml:space="preserve"> </w:t>
            </w:r>
            <w:r>
              <w:rPr>
                <w:rFonts w:ascii="Arial"/>
                <w:spacing w:val="-1"/>
              </w:rPr>
              <w:t>A1</w:t>
            </w:r>
            <w:r>
              <w:rPr>
                <w:rFonts w:ascii="Arial"/>
              </w:rPr>
              <w:t xml:space="preserve">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spacing w:val="-1"/>
              </w:rPr>
              <w:t>Insolvency Act</w:t>
            </w:r>
            <w:r>
              <w:rPr>
                <w:rFonts w:ascii="Arial"/>
              </w:rPr>
              <w:t xml:space="preserve"> </w:t>
            </w:r>
            <w:r>
              <w:rPr>
                <w:rFonts w:ascii="Arial"/>
                <w:spacing w:val="-1"/>
              </w:rPr>
              <w:t>1986;</w:t>
            </w:r>
            <w:r>
              <w:rPr>
                <w:rFonts w:ascii="Arial"/>
                <w:spacing w:val="2"/>
              </w:rPr>
              <w:t xml:space="preserve"> </w:t>
            </w:r>
            <w:r>
              <w:rPr>
                <w:rFonts w:ascii="Arial"/>
                <w:spacing w:val="-2"/>
              </w:rPr>
              <w:t>or</w:t>
            </w:r>
          </w:p>
          <w:p w:rsidR="008918FA" w:rsidRDefault="008918FA" w:rsidP="005D2B81">
            <w:pPr>
              <w:pStyle w:val="ListParagraph"/>
              <w:numPr>
                <w:ilvl w:val="0"/>
                <w:numId w:val="44"/>
              </w:numPr>
              <w:tabs>
                <w:tab w:val="left" w:pos="550"/>
              </w:tabs>
              <w:spacing w:before="119"/>
              <w:ind w:right="-1"/>
              <w:jc w:val="both"/>
              <w:rPr>
                <w:rFonts w:ascii="Arial" w:eastAsia="Arial" w:hAnsi="Arial" w:cs="Arial"/>
              </w:rPr>
            </w:pPr>
            <w:r>
              <w:rPr>
                <w:rFonts w:ascii="Arial"/>
                <w:spacing w:val="-2"/>
              </w:rPr>
              <w:t>where</w:t>
            </w:r>
            <w:r>
              <w:rPr>
                <w:rFonts w:ascii="Arial"/>
                <w:spacing w:val="17"/>
              </w:rPr>
              <w:t xml:space="preserve"> </w:t>
            </w:r>
            <w:r>
              <w:rPr>
                <w:rFonts w:ascii="Arial"/>
              </w:rPr>
              <w:t>the</w:t>
            </w:r>
            <w:r>
              <w:rPr>
                <w:rFonts w:ascii="Arial"/>
                <w:spacing w:val="17"/>
              </w:rPr>
              <w:t xml:space="preserve"> </w:t>
            </w:r>
            <w:r>
              <w:rPr>
                <w:rFonts w:ascii="Arial"/>
                <w:spacing w:val="-2"/>
              </w:rPr>
              <w:t>Supplier</w:t>
            </w:r>
            <w:r>
              <w:rPr>
                <w:rFonts w:ascii="Arial"/>
                <w:spacing w:val="19"/>
              </w:rPr>
              <w:t xml:space="preserve"> </w:t>
            </w:r>
            <w:r>
              <w:rPr>
                <w:rFonts w:ascii="Arial"/>
                <w:spacing w:val="-1"/>
              </w:rPr>
              <w:t>or</w:t>
            </w:r>
            <w:r>
              <w:rPr>
                <w:rFonts w:ascii="Arial"/>
                <w:spacing w:val="19"/>
              </w:rPr>
              <w:t xml:space="preserve"> </w:t>
            </w:r>
            <w:r>
              <w:rPr>
                <w:rFonts w:ascii="Arial"/>
                <w:spacing w:val="-2"/>
              </w:rPr>
              <w:t>Framework</w:t>
            </w:r>
            <w:r>
              <w:rPr>
                <w:rFonts w:ascii="Arial"/>
                <w:spacing w:val="18"/>
              </w:rPr>
              <w:t xml:space="preserve"> </w:t>
            </w:r>
            <w:r>
              <w:rPr>
                <w:rFonts w:ascii="Arial"/>
                <w:spacing w:val="-1"/>
              </w:rPr>
              <w:t>Guarantor</w:t>
            </w:r>
            <w:r>
              <w:rPr>
                <w:rFonts w:ascii="Arial"/>
                <w:spacing w:val="19"/>
              </w:rPr>
              <w:t xml:space="preserve"> </w:t>
            </w:r>
            <w:r>
              <w:rPr>
                <w:rFonts w:ascii="Arial"/>
                <w:spacing w:val="-1"/>
              </w:rPr>
              <w:t>or</w:t>
            </w:r>
            <w:r>
              <w:rPr>
                <w:rFonts w:ascii="Arial"/>
                <w:spacing w:val="16"/>
              </w:rPr>
              <w:t xml:space="preserve"> </w:t>
            </w:r>
            <w:r>
              <w:rPr>
                <w:rFonts w:ascii="Arial"/>
                <w:spacing w:val="-2"/>
              </w:rPr>
              <w:t>Call</w:t>
            </w:r>
            <w:r>
              <w:rPr>
                <w:rFonts w:ascii="Arial"/>
                <w:spacing w:val="53"/>
              </w:rPr>
              <w:t xml:space="preserve"> </w:t>
            </w:r>
            <w:r>
              <w:rPr>
                <w:rFonts w:ascii="Arial"/>
                <w:spacing w:val="-1"/>
              </w:rPr>
              <w:t>Off</w:t>
            </w:r>
            <w:r>
              <w:rPr>
                <w:rFonts w:ascii="Arial"/>
                <w:spacing w:val="55"/>
              </w:rPr>
              <w:t xml:space="preserve"> </w:t>
            </w:r>
            <w:r>
              <w:rPr>
                <w:rFonts w:ascii="Arial"/>
                <w:spacing w:val="-1"/>
              </w:rPr>
              <w:t>Guarantor</w:t>
            </w:r>
            <w:r>
              <w:rPr>
                <w:rFonts w:ascii="Arial"/>
                <w:spacing w:val="54"/>
              </w:rPr>
              <w:t xml:space="preserve"> </w:t>
            </w:r>
            <w:r>
              <w:rPr>
                <w:rFonts w:ascii="Arial"/>
                <w:spacing w:val="-1"/>
              </w:rPr>
              <w:t>is</w:t>
            </w:r>
            <w:r>
              <w:rPr>
                <w:rFonts w:ascii="Arial"/>
                <w:spacing w:val="53"/>
              </w:rPr>
              <w:t xml:space="preserve"> </w:t>
            </w:r>
            <w:r>
              <w:rPr>
                <w:rFonts w:ascii="Arial"/>
                <w:spacing w:val="-1"/>
              </w:rPr>
              <w:t>an</w:t>
            </w:r>
            <w:r>
              <w:rPr>
                <w:rFonts w:ascii="Arial"/>
                <w:spacing w:val="53"/>
              </w:rPr>
              <w:t xml:space="preserve"> </w:t>
            </w:r>
            <w:r>
              <w:rPr>
                <w:rFonts w:ascii="Arial"/>
                <w:spacing w:val="-2"/>
              </w:rPr>
              <w:t>individual</w:t>
            </w:r>
            <w:r>
              <w:rPr>
                <w:rFonts w:ascii="Arial"/>
                <w:spacing w:val="52"/>
              </w:rPr>
              <w:t xml:space="preserve"> </w:t>
            </w:r>
            <w:r>
              <w:rPr>
                <w:rFonts w:ascii="Arial"/>
                <w:spacing w:val="-1"/>
              </w:rPr>
              <w:t>or</w:t>
            </w:r>
            <w:r>
              <w:rPr>
                <w:rFonts w:ascii="Arial"/>
                <w:spacing w:val="54"/>
              </w:rPr>
              <w:t xml:space="preserve"> </w:t>
            </w:r>
            <w:r>
              <w:rPr>
                <w:rFonts w:ascii="Arial"/>
                <w:spacing w:val="-1"/>
              </w:rPr>
              <w:t>partnership,</w:t>
            </w:r>
            <w:r>
              <w:rPr>
                <w:rFonts w:ascii="Arial"/>
                <w:spacing w:val="56"/>
              </w:rPr>
              <w:t xml:space="preserve"> </w:t>
            </w:r>
            <w:r>
              <w:rPr>
                <w:rFonts w:ascii="Arial"/>
                <w:spacing w:val="-2"/>
              </w:rPr>
              <w:t>any</w:t>
            </w:r>
            <w:r>
              <w:rPr>
                <w:rFonts w:ascii="Arial"/>
                <w:spacing w:val="42"/>
              </w:rPr>
              <w:t xml:space="preserve"> </w:t>
            </w:r>
            <w:r>
              <w:rPr>
                <w:rFonts w:ascii="Arial"/>
                <w:spacing w:val="-2"/>
              </w:rPr>
              <w:t>event</w:t>
            </w:r>
            <w:r>
              <w:rPr>
                <w:rFonts w:ascii="Arial"/>
                <w:spacing w:val="42"/>
              </w:rPr>
              <w:t xml:space="preserve"> </w:t>
            </w:r>
            <w:r>
              <w:rPr>
                <w:rFonts w:ascii="Arial"/>
                <w:spacing w:val="-1"/>
              </w:rPr>
              <w:t>analogous</w:t>
            </w:r>
            <w:r>
              <w:rPr>
                <w:rFonts w:ascii="Arial"/>
                <w:spacing w:val="41"/>
              </w:rPr>
              <w:t xml:space="preserve"> </w:t>
            </w:r>
            <w:r>
              <w:rPr>
                <w:rFonts w:ascii="Arial"/>
              </w:rPr>
              <w:t>to</w:t>
            </w:r>
            <w:r>
              <w:rPr>
                <w:rFonts w:ascii="Arial"/>
                <w:spacing w:val="38"/>
              </w:rPr>
              <w:t xml:space="preserve"> </w:t>
            </w:r>
            <w:r>
              <w:rPr>
                <w:rFonts w:ascii="Arial"/>
                <w:spacing w:val="-1"/>
              </w:rPr>
              <w:t>those</w:t>
            </w:r>
            <w:r>
              <w:rPr>
                <w:rFonts w:ascii="Arial"/>
                <w:spacing w:val="41"/>
              </w:rPr>
              <w:t xml:space="preserve"> </w:t>
            </w:r>
            <w:r>
              <w:rPr>
                <w:rFonts w:ascii="Arial"/>
                <w:spacing w:val="-1"/>
              </w:rPr>
              <w:t>listed</w:t>
            </w:r>
            <w:r>
              <w:rPr>
                <w:rFonts w:ascii="Arial"/>
                <w:spacing w:val="41"/>
              </w:rPr>
              <w:t xml:space="preserve"> </w:t>
            </w:r>
            <w:r>
              <w:rPr>
                <w:rFonts w:ascii="Arial"/>
                <w:spacing w:val="-1"/>
              </w:rPr>
              <w:t>in</w:t>
            </w:r>
            <w:r>
              <w:rPr>
                <w:rFonts w:ascii="Arial"/>
                <w:spacing w:val="41"/>
              </w:rPr>
              <w:t xml:space="preserve"> </w:t>
            </w:r>
            <w:r>
              <w:rPr>
                <w:rFonts w:ascii="Arial"/>
                <w:spacing w:val="-1"/>
              </w:rPr>
              <w:t>limbs</w:t>
            </w:r>
            <w:r>
              <w:rPr>
                <w:rFonts w:ascii="Arial"/>
                <w:spacing w:val="42"/>
              </w:rPr>
              <w:t xml:space="preserve"> </w:t>
            </w:r>
            <w:r>
              <w:rPr>
                <w:rFonts w:ascii="Arial"/>
                <w:spacing w:val="-1"/>
              </w:rPr>
              <w:t>(a)</w:t>
            </w:r>
            <w:r>
              <w:rPr>
                <w:rFonts w:ascii="Arial"/>
                <w:spacing w:val="42"/>
              </w:rPr>
              <w:t xml:space="preserve"> </w:t>
            </w:r>
            <w:r>
              <w:rPr>
                <w:rFonts w:ascii="Arial"/>
              </w:rPr>
              <w:t>to</w:t>
            </w:r>
            <w:r>
              <w:rPr>
                <w:rFonts w:ascii="Arial"/>
                <w:spacing w:val="38"/>
              </w:rPr>
              <w:t xml:space="preserve"> </w:t>
            </w:r>
            <w:r>
              <w:rPr>
                <w:rFonts w:ascii="Arial"/>
                <w:spacing w:val="-1"/>
              </w:rPr>
              <w:t>(g)</w:t>
            </w:r>
            <w:r>
              <w:rPr>
                <w:rFonts w:ascii="Arial"/>
                <w:spacing w:val="28"/>
              </w:rPr>
              <w:t xml:space="preserve"> </w:t>
            </w:r>
            <w:r>
              <w:rPr>
                <w:rFonts w:ascii="Arial"/>
                <w:spacing w:val="-2"/>
              </w:rPr>
              <w:t>(inclusive)</w:t>
            </w:r>
            <w:r>
              <w:rPr>
                <w:rFonts w:ascii="Arial"/>
                <w:spacing w:val="10"/>
              </w:rPr>
              <w:t xml:space="preserve"> </w:t>
            </w:r>
            <w:r>
              <w:rPr>
                <w:rFonts w:ascii="Arial"/>
                <w:spacing w:val="-1"/>
              </w:rPr>
              <w:t>occurs</w:t>
            </w:r>
            <w:r>
              <w:rPr>
                <w:rFonts w:ascii="Arial"/>
                <w:spacing w:val="9"/>
              </w:rPr>
              <w:t xml:space="preserve"> </w:t>
            </w:r>
            <w:r>
              <w:rPr>
                <w:rFonts w:ascii="Arial"/>
                <w:spacing w:val="-1"/>
              </w:rPr>
              <w:t>in</w:t>
            </w:r>
            <w:r>
              <w:rPr>
                <w:rFonts w:ascii="Arial"/>
                <w:spacing w:val="9"/>
              </w:rPr>
              <w:t xml:space="preserve"> </w:t>
            </w:r>
            <w:r>
              <w:rPr>
                <w:rFonts w:ascii="Arial"/>
                <w:spacing w:val="-1"/>
              </w:rPr>
              <w:t>relation</w:t>
            </w:r>
            <w:r>
              <w:rPr>
                <w:rFonts w:ascii="Arial"/>
                <w:spacing w:val="9"/>
              </w:rPr>
              <w:t xml:space="preserve"> </w:t>
            </w:r>
            <w:r>
              <w:rPr>
                <w:rFonts w:ascii="Arial"/>
              </w:rPr>
              <w:t>to</w:t>
            </w:r>
            <w:r>
              <w:rPr>
                <w:rFonts w:ascii="Arial"/>
                <w:spacing w:val="9"/>
              </w:rPr>
              <w:t xml:space="preserve"> </w:t>
            </w:r>
            <w:r>
              <w:rPr>
                <w:rFonts w:ascii="Arial"/>
                <w:spacing w:val="-1"/>
              </w:rPr>
              <w:t>that</w:t>
            </w:r>
            <w:r>
              <w:rPr>
                <w:rFonts w:ascii="Arial"/>
                <w:spacing w:val="10"/>
              </w:rPr>
              <w:t xml:space="preserve"> </w:t>
            </w:r>
            <w:r>
              <w:rPr>
                <w:rFonts w:ascii="Arial"/>
                <w:spacing w:val="-2"/>
              </w:rPr>
              <w:t>individual</w:t>
            </w:r>
            <w:r>
              <w:rPr>
                <w:rFonts w:ascii="Arial"/>
                <w:spacing w:val="11"/>
              </w:rPr>
              <w:t xml:space="preserve"> </w:t>
            </w:r>
            <w:r>
              <w:rPr>
                <w:rFonts w:ascii="Arial"/>
                <w:spacing w:val="-1"/>
              </w:rPr>
              <w:t>or</w:t>
            </w:r>
            <w:r>
              <w:rPr>
                <w:rFonts w:ascii="Arial"/>
                <w:spacing w:val="56"/>
              </w:rPr>
              <w:t xml:space="preserve"> </w:t>
            </w:r>
            <w:r>
              <w:rPr>
                <w:rFonts w:ascii="Arial"/>
                <w:spacing w:val="-1"/>
              </w:rPr>
              <w:t>partnership;</w:t>
            </w:r>
            <w:r>
              <w:rPr>
                <w:rFonts w:ascii="Arial"/>
                <w:spacing w:val="2"/>
              </w:rPr>
              <w:t xml:space="preserve"> </w:t>
            </w:r>
            <w:r>
              <w:rPr>
                <w:rFonts w:ascii="Arial"/>
                <w:spacing w:val="-2"/>
              </w:rPr>
              <w:t>or</w:t>
            </w:r>
          </w:p>
          <w:p w:rsidR="008918FA" w:rsidRDefault="008918FA" w:rsidP="005D2B81">
            <w:pPr>
              <w:pStyle w:val="ListParagraph"/>
              <w:numPr>
                <w:ilvl w:val="0"/>
                <w:numId w:val="44"/>
              </w:numPr>
              <w:tabs>
                <w:tab w:val="left" w:pos="550"/>
              </w:tabs>
              <w:spacing w:before="121" w:line="252" w:lineRule="exact"/>
              <w:ind w:right="-3"/>
              <w:rPr>
                <w:rFonts w:ascii="Arial" w:eastAsia="Arial" w:hAnsi="Arial" w:cs="Arial"/>
              </w:rPr>
            </w:pPr>
            <w:r>
              <w:rPr>
                <w:rFonts w:ascii="Arial"/>
                <w:spacing w:val="-1"/>
              </w:rPr>
              <w:t>any</w:t>
            </w:r>
            <w:r>
              <w:rPr>
                <w:rFonts w:ascii="Arial"/>
                <w:spacing w:val="30"/>
              </w:rPr>
              <w:t xml:space="preserve"> </w:t>
            </w:r>
            <w:r>
              <w:rPr>
                <w:rFonts w:ascii="Arial"/>
                <w:spacing w:val="-1"/>
              </w:rPr>
              <w:t>event</w:t>
            </w:r>
            <w:r>
              <w:rPr>
                <w:rFonts w:ascii="Arial"/>
                <w:spacing w:val="33"/>
              </w:rPr>
              <w:t xml:space="preserve"> </w:t>
            </w:r>
            <w:r>
              <w:rPr>
                <w:rFonts w:ascii="Arial"/>
                <w:spacing w:val="-1"/>
              </w:rPr>
              <w:t>analogous</w:t>
            </w:r>
            <w:r>
              <w:rPr>
                <w:rFonts w:ascii="Arial"/>
                <w:spacing w:val="32"/>
              </w:rPr>
              <w:t xml:space="preserve"> </w:t>
            </w:r>
            <w:r>
              <w:rPr>
                <w:rFonts w:ascii="Arial"/>
              </w:rPr>
              <w:t>to</w:t>
            </w:r>
            <w:r>
              <w:rPr>
                <w:rFonts w:ascii="Arial"/>
                <w:spacing w:val="30"/>
              </w:rPr>
              <w:t xml:space="preserve"> </w:t>
            </w:r>
            <w:r>
              <w:rPr>
                <w:rFonts w:ascii="Arial"/>
                <w:spacing w:val="-1"/>
              </w:rPr>
              <w:t>those</w:t>
            </w:r>
            <w:r>
              <w:rPr>
                <w:rFonts w:ascii="Arial"/>
                <w:spacing w:val="32"/>
              </w:rPr>
              <w:t xml:space="preserve"> </w:t>
            </w:r>
            <w:r>
              <w:rPr>
                <w:rFonts w:ascii="Arial"/>
                <w:spacing w:val="-1"/>
              </w:rPr>
              <w:t>listed</w:t>
            </w:r>
            <w:r>
              <w:rPr>
                <w:rFonts w:ascii="Arial"/>
                <w:spacing w:val="31"/>
              </w:rPr>
              <w:t xml:space="preserve"> </w:t>
            </w:r>
            <w:r>
              <w:rPr>
                <w:rFonts w:ascii="Arial"/>
                <w:spacing w:val="-1"/>
              </w:rPr>
              <w:t>in</w:t>
            </w:r>
            <w:r>
              <w:rPr>
                <w:rFonts w:ascii="Arial"/>
                <w:spacing w:val="31"/>
              </w:rPr>
              <w:t xml:space="preserve"> </w:t>
            </w:r>
            <w:r>
              <w:rPr>
                <w:rFonts w:ascii="Arial"/>
                <w:spacing w:val="-1"/>
              </w:rPr>
              <w:t>limbs</w:t>
            </w:r>
            <w:r>
              <w:rPr>
                <w:rFonts w:ascii="Arial"/>
                <w:spacing w:val="32"/>
              </w:rPr>
              <w:t xml:space="preserve"> </w:t>
            </w:r>
            <w:r>
              <w:rPr>
                <w:rFonts w:ascii="Arial"/>
                <w:spacing w:val="-1"/>
              </w:rPr>
              <w:t>(a)</w:t>
            </w:r>
            <w:r>
              <w:rPr>
                <w:rFonts w:ascii="Arial"/>
                <w:spacing w:val="34"/>
              </w:rPr>
              <w:t xml:space="preserve"> </w:t>
            </w:r>
            <w:r>
              <w:rPr>
                <w:rFonts w:ascii="Arial"/>
              </w:rPr>
              <w:t>to</w:t>
            </w:r>
          </w:p>
          <w:p w:rsidR="008918FA" w:rsidRDefault="008918FA" w:rsidP="005D2B81">
            <w:pPr>
              <w:pStyle w:val="TableParagraph"/>
              <w:spacing w:line="252" w:lineRule="exact"/>
              <w:ind w:left="549"/>
              <w:rPr>
                <w:rFonts w:ascii="Arial" w:eastAsia="Arial" w:hAnsi="Arial" w:cs="Arial"/>
              </w:rPr>
            </w:pPr>
            <w:r>
              <w:rPr>
                <w:rFonts w:ascii="Arial"/>
                <w:spacing w:val="-1"/>
              </w:rPr>
              <w:t>(h)</w:t>
            </w:r>
            <w:r>
              <w:rPr>
                <w:rFonts w:ascii="Arial"/>
                <w:spacing w:val="61"/>
              </w:rPr>
              <w:t xml:space="preserve"> </w:t>
            </w:r>
            <w:r>
              <w:rPr>
                <w:rFonts w:ascii="Arial"/>
                <w:spacing w:val="-2"/>
              </w:rPr>
              <w:t>(inclusive)</w:t>
            </w:r>
            <w:r>
              <w:rPr>
                <w:rFonts w:ascii="Arial"/>
              </w:rPr>
              <w:t xml:space="preserve">  </w:t>
            </w:r>
            <w:r>
              <w:rPr>
                <w:rFonts w:ascii="Arial"/>
                <w:spacing w:val="-1"/>
              </w:rPr>
              <w:t>occurs</w:t>
            </w:r>
            <w:r>
              <w:rPr>
                <w:rFonts w:ascii="Arial"/>
              </w:rPr>
              <w:t xml:space="preserve">  </w:t>
            </w:r>
            <w:r>
              <w:rPr>
                <w:rFonts w:ascii="Arial"/>
                <w:spacing w:val="-2"/>
              </w:rPr>
              <w:t>under</w:t>
            </w:r>
            <w:r>
              <w:rPr>
                <w:rFonts w:ascii="Arial"/>
              </w:rPr>
              <w:t xml:space="preserve">  the</w:t>
            </w:r>
            <w:r>
              <w:rPr>
                <w:rFonts w:ascii="Arial"/>
                <w:spacing w:val="60"/>
              </w:rPr>
              <w:t xml:space="preserve"> </w:t>
            </w:r>
            <w:r>
              <w:rPr>
                <w:rFonts w:ascii="Arial"/>
                <w:spacing w:val="-1"/>
              </w:rPr>
              <w:t>law</w:t>
            </w:r>
            <w:r>
              <w:rPr>
                <w:rFonts w:ascii="Arial"/>
                <w:spacing w:val="57"/>
              </w:rPr>
              <w:t xml:space="preserve"> </w:t>
            </w:r>
            <w:r>
              <w:rPr>
                <w:rFonts w:ascii="Arial"/>
                <w:spacing w:val="-1"/>
              </w:rPr>
              <w:t>of</w:t>
            </w:r>
            <w:r>
              <w:rPr>
                <w:rFonts w:ascii="Arial"/>
              </w:rPr>
              <w:t xml:space="preserve"> </w:t>
            </w:r>
            <w:r>
              <w:rPr>
                <w:rFonts w:ascii="Arial"/>
                <w:spacing w:val="3"/>
              </w:rPr>
              <w:t xml:space="preserve"> </w:t>
            </w:r>
            <w:r>
              <w:rPr>
                <w:rFonts w:ascii="Arial"/>
                <w:spacing w:val="-1"/>
              </w:rPr>
              <w:t>any</w:t>
            </w:r>
            <w:r>
              <w:rPr>
                <w:rFonts w:ascii="Arial"/>
                <w:spacing w:val="58"/>
              </w:rPr>
              <w:t xml:space="preserve"> </w:t>
            </w:r>
            <w:r>
              <w:rPr>
                <w:rFonts w:ascii="Arial"/>
                <w:spacing w:val="-2"/>
              </w:rPr>
              <w:t>other</w:t>
            </w:r>
          </w:p>
        </w:tc>
        <w:tc>
          <w:tcPr>
            <w:tcW w:w="108" w:type="dxa"/>
            <w:tcBorders>
              <w:top w:val="single" w:sz="7" w:space="0" w:color="000000"/>
              <w:left w:val="nil"/>
              <w:bottom w:val="single" w:sz="5" w:space="0" w:color="000000"/>
              <w:right w:val="single" w:sz="5" w:space="0" w:color="000000"/>
            </w:tcBorders>
          </w:tcPr>
          <w:p w:rsidR="008918FA" w:rsidRDefault="008918FA" w:rsidP="005D2B81"/>
        </w:tc>
      </w:tr>
    </w:tbl>
    <w:p w:rsidR="008918FA" w:rsidRDefault="008918FA" w:rsidP="008918FA">
      <w:p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38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819"/>
              <w:rPr>
                <w:rFonts w:ascii="Arial" w:eastAsia="Arial" w:hAnsi="Arial" w:cs="Arial"/>
              </w:rPr>
            </w:pPr>
            <w:r>
              <w:rPr>
                <w:rFonts w:ascii="Arial"/>
                <w:spacing w:val="-1"/>
              </w:rPr>
              <w:t>jurisdiction;</w:t>
            </w:r>
          </w:p>
        </w:tc>
      </w:tr>
      <w:tr w:rsidR="008918FA" w:rsidTr="005D2B81">
        <w:trPr>
          <w:trHeight w:hRule="exact" w:val="403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176"/>
              <w:rPr>
                <w:rFonts w:ascii="Arial" w:eastAsia="Arial" w:hAnsi="Arial" w:cs="Arial"/>
              </w:rPr>
            </w:pPr>
            <w:r>
              <w:rPr>
                <w:rFonts w:ascii="Arial"/>
                <w:b/>
                <w:spacing w:val="-1"/>
              </w:rPr>
              <w:t>"Intellectual</w:t>
            </w:r>
            <w:r>
              <w:rPr>
                <w:rFonts w:ascii="Arial"/>
                <w:b/>
                <w:spacing w:val="2"/>
              </w:rPr>
              <w:t xml:space="preserve"> </w:t>
            </w:r>
            <w:r>
              <w:rPr>
                <w:rFonts w:ascii="Arial"/>
                <w:b/>
                <w:spacing w:val="-1"/>
              </w:rPr>
              <w:t>Property</w:t>
            </w:r>
            <w:r>
              <w:rPr>
                <w:rFonts w:ascii="Arial"/>
                <w:b/>
                <w:spacing w:val="26"/>
              </w:rPr>
              <w:t xml:space="preserve"> </w:t>
            </w:r>
            <w:r>
              <w:rPr>
                <w:rFonts w:ascii="Arial"/>
                <w:b/>
                <w:spacing w:val="-1"/>
              </w:rPr>
              <w:t>Rights" or "IPR"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43"/>
              </w:numPr>
              <w:tabs>
                <w:tab w:val="left" w:pos="820"/>
              </w:tabs>
              <w:spacing w:before="119"/>
              <w:ind w:right="98" w:hanging="544"/>
              <w:jc w:val="both"/>
              <w:rPr>
                <w:rFonts w:ascii="Arial" w:eastAsia="Arial" w:hAnsi="Arial" w:cs="Arial"/>
              </w:rPr>
            </w:pPr>
            <w:r>
              <w:rPr>
                <w:rFonts w:ascii="Arial"/>
                <w:spacing w:val="-1"/>
              </w:rPr>
              <w:t>copyright,</w:t>
            </w:r>
            <w:r>
              <w:rPr>
                <w:rFonts w:ascii="Arial"/>
                <w:spacing w:val="5"/>
              </w:rPr>
              <w:t xml:space="preserve"> </w:t>
            </w:r>
            <w:r>
              <w:rPr>
                <w:rFonts w:ascii="Arial"/>
                <w:spacing w:val="-1"/>
              </w:rPr>
              <w:t>rights</w:t>
            </w:r>
            <w:r>
              <w:rPr>
                <w:rFonts w:ascii="Arial"/>
                <w:spacing w:val="2"/>
              </w:rPr>
              <w:t xml:space="preserve"> </w:t>
            </w:r>
            <w:r>
              <w:rPr>
                <w:rFonts w:ascii="Arial"/>
                <w:spacing w:val="-1"/>
              </w:rPr>
              <w:t>related</w:t>
            </w:r>
            <w:r>
              <w:rPr>
                <w:rFonts w:ascii="Arial"/>
                <w:spacing w:val="2"/>
              </w:rPr>
              <w:t xml:space="preserve"> </w:t>
            </w:r>
            <w:r>
              <w:rPr>
                <w:rFonts w:ascii="Arial"/>
              </w:rPr>
              <w:t>to</w:t>
            </w:r>
            <w:r>
              <w:rPr>
                <w:rFonts w:ascii="Arial"/>
                <w:spacing w:val="4"/>
              </w:rPr>
              <w:t xml:space="preserve"> </w:t>
            </w:r>
            <w:r>
              <w:rPr>
                <w:rFonts w:ascii="Arial"/>
                <w:spacing w:val="-2"/>
              </w:rPr>
              <w:t>or</w:t>
            </w:r>
            <w:r>
              <w:rPr>
                <w:rFonts w:ascii="Arial"/>
                <w:spacing w:val="5"/>
              </w:rPr>
              <w:t xml:space="preserve"> </w:t>
            </w:r>
            <w:r>
              <w:rPr>
                <w:rFonts w:ascii="Arial"/>
                <w:spacing w:val="-1"/>
              </w:rPr>
              <w:t>affording</w:t>
            </w:r>
            <w:r>
              <w:rPr>
                <w:rFonts w:ascii="Arial"/>
                <w:spacing w:val="4"/>
              </w:rPr>
              <w:t xml:space="preserve"> </w:t>
            </w:r>
            <w:r>
              <w:rPr>
                <w:rFonts w:ascii="Arial"/>
                <w:spacing w:val="-1"/>
              </w:rPr>
              <w:t>protection</w:t>
            </w:r>
            <w:r>
              <w:rPr>
                <w:rFonts w:ascii="Arial"/>
                <w:spacing w:val="20"/>
              </w:rPr>
              <w:t xml:space="preserve"> </w:t>
            </w:r>
            <w:r>
              <w:rPr>
                <w:rFonts w:ascii="Arial"/>
                <w:spacing w:val="-1"/>
              </w:rPr>
              <w:t>similar</w:t>
            </w:r>
            <w:r>
              <w:rPr>
                <w:rFonts w:ascii="Arial"/>
                <w:spacing w:val="6"/>
              </w:rPr>
              <w:t xml:space="preserve"> </w:t>
            </w:r>
            <w:r>
              <w:rPr>
                <w:rFonts w:ascii="Arial"/>
              </w:rPr>
              <w:t>to</w:t>
            </w:r>
            <w:r>
              <w:rPr>
                <w:rFonts w:ascii="Arial"/>
                <w:spacing w:val="5"/>
              </w:rPr>
              <w:t xml:space="preserve"> </w:t>
            </w:r>
            <w:r>
              <w:rPr>
                <w:rFonts w:ascii="Arial"/>
                <w:spacing w:val="-1"/>
              </w:rPr>
              <w:t>copyright,</w:t>
            </w:r>
            <w:r>
              <w:rPr>
                <w:rFonts w:ascii="Arial"/>
                <w:spacing w:val="4"/>
              </w:rPr>
              <w:t xml:space="preserve"> </w:t>
            </w:r>
            <w:r>
              <w:rPr>
                <w:rFonts w:ascii="Arial"/>
                <w:spacing w:val="-1"/>
              </w:rPr>
              <w:t>rights</w:t>
            </w:r>
            <w:r>
              <w:rPr>
                <w:rFonts w:ascii="Arial"/>
                <w:spacing w:val="5"/>
              </w:rPr>
              <w:t xml:space="preserve"> </w:t>
            </w:r>
            <w:r>
              <w:rPr>
                <w:rFonts w:ascii="Arial"/>
                <w:spacing w:val="-1"/>
              </w:rPr>
              <w:t>in</w:t>
            </w:r>
            <w:r>
              <w:rPr>
                <w:rFonts w:ascii="Arial"/>
                <w:spacing w:val="5"/>
              </w:rPr>
              <w:t xml:space="preserve"> </w:t>
            </w:r>
            <w:r>
              <w:rPr>
                <w:rFonts w:ascii="Arial"/>
                <w:spacing w:val="-1"/>
              </w:rPr>
              <w:t>databases,</w:t>
            </w:r>
            <w:r>
              <w:rPr>
                <w:rFonts w:ascii="Arial"/>
                <w:spacing w:val="7"/>
              </w:rPr>
              <w:t xml:space="preserve"> </w:t>
            </w:r>
            <w:r>
              <w:rPr>
                <w:rFonts w:ascii="Arial"/>
                <w:spacing w:val="-1"/>
              </w:rPr>
              <w:t>patents</w:t>
            </w:r>
            <w:r>
              <w:rPr>
                <w:rFonts w:ascii="Arial"/>
                <w:spacing w:val="3"/>
              </w:rPr>
              <w:t xml:space="preserve"> </w:t>
            </w:r>
            <w:r>
              <w:rPr>
                <w:rFonts w:ascii="Arial"/>
                <w:spacing w:val="-1"/>
              </w:rPr>
              <w:t>and</w:t>
            </w:r>
            <w:r>
              <w:rPr>
                <w:rFonts w:ascii="Arial"/>
                <w:spacing w:val="32"/>
              </w:rPr>
              <w:t xml:space="preserve"> </w:t>
            </w:r>
            <w:r>
              <w:rPr>
                <w:rFonts w:ascii="Arial"/>
                <w:spacing w:val="-1"/>
              </w:rPr>
              <w:t>rights</w:t>
            </w:r>
            <w:r>
              <w:rPr>
                <w:rFonts w:ascii="Arial"/>
                <w:spacing w:val="6"/>
              </w:rPr>
              <w:t xml:space="preserve"> </w:t>
            </w:r>
            <w:r>
              <w:rPr>
                <w:rFonts w:ascii="Arial"/>
                <w:spacing w:val="-1"/>
              </w:rPr>
              <w:t>in</w:t>
            </w:r>
            <w:r>
              <w:rPr>
                <w:rFonts w:ascii="Arial"/>
                <w:spacing w:val="5"/>
              </w:rPr>
              <w:t xml:space="preserve"> </w:t>
            </w:r>
            <w:r>
              <w:rPr>
                <w:rFonts w:ascii="Arial"/>
                <w:spacing w:val="-2"/>
              </w:rPr>
              <w:t>inventions,</w:t>
            </w:r>
            <w:r>
              <w:rPr>
                <w:rFonts w:ascii="Arial"/>
                <w:spacing w:val="7"/>
              </w:rPr>
              <w:t xml:space="preserve"> </w:t>
            </w:r>
            <w:r>
              <w:rPr>
                <w:rFonts w:ascii="Arial"/>
                <w:spacing w:val="-1"/>
              </w:rPr>
              <w:t>semi-conductor</w:t>
            </w:r>
            <w:r>
              <w:rPr>
                <w:rFonts w:ascii="Arial"/>
                <w:spacing w:val="4"/>
              </w:rPr>
              <w:t xml:space="preserve"> </w:t>
            </w:r>
            <w:r>
              <w:rPr>
                <w:rFonts w:ascii="Arial"/>
                <w:spacing w:val="-1"/>
              </w:rPr>
              <w:t>topography</w:t>
            </w:r>
            <w:r>
              <w:rPr>
                <w:rFonts w:ascii="Arial"/>
                <w:spacing w:val="42"/>
              </w:rPr>
              <w:t xml:space="preserve"> </w:t>
            </w:r>
            <w:r>
              <w:rPr>
                <w:rFonts w:ascii="Arial"/>
                <w:spacing w:val="-1"/>
              </w:rPr>
              <w:t>rights,</w:t>
            </w:r>
            <w:r>
              <w:rPr>
                <w:rFonts w:ascii="Arial"/>
                <w:spacing w:val="14"/>
              </w:rPr>
              <w:t xml:space="preserve"> </w:t>
            </w:r>
            <w:r>
              <w:rPr>
                <w:rFonts w:ascii="Arial"/>
                <w:spacing w:val="-1"/>
              </w:rPr>
              <w:t>trade</w:t>
            </w:r>
            <w:r>
              <w:rPr>
                <w:rFonts w:ascii="Arial"/>
                <w:spacing w:val="12"/>
              </w:rPr>
              <w:t xml:space="preserve"> </w:t>
            </w:r>
            <w:r>
              <w:rPr>
                <w:rFonts w:ascii="Arial"/>
                <w:spacing w:val="-1"/>
              </w:rPr>
              <w:t>marks,</w:t>
            </w:r>
            <w:r>
              <w:rPr>
                <w:rFonts w:ascii="Arial"/>
                <w:spacing w:val="15"/>
              </w:rPr>
              <w:t xml:space="preserve"> </w:t>
            </w:r>
            <w:r>
              <w:rPr>
                <w:rFonts w:ascii="Arial"/>
                <w:spacing w:val="-1"/>
              </w:rPr>
              <w:t>rights</w:t>
            </w:r>
            <w:r>
              <w:rPr>
                <w:rFonts w:ascii="Arial"/>
                <w:spacing w:val="15"/>
              </w:rPr>
              <w:t xml:space="preserve"> </w:t>
            </w:r>
            <w:r>
              <w:rPr>
                <w:rFonts w:ascii="Arial"/>
                <w:spacing w:val="-1"/>
              </w:rPr>
              <w:t>in</w:t>
            </w:r>
            <w:r>
              <w:rPr>
                <w:rFonts w:ascii="Arial"/>
                <w:spacing w:val="15"/>
              </w:rPr>
              <w:t xml:space="preserve"> </w:t>
            </w:r>
            <w:r>
              <w:rPr>
                <w:rFonts w:ascii="Arial"/>
                <w:spacing w:val="-1"/>
              </w:rPr>
              <w:t>internet</w:t>
            </w:r>
            <w:r>
              <w:rPr>
                <w:rFonts w:ascii="Arial"/>
                <w:spacing w:val="16"/>
              </w:rPr>
              <w:t xml:space="preserve"> </w:t>
            </w:r>
            <w:r>
              <w:rPr>
                <w:rFonts w:ascii="Arial"/>
                <w:spacing w:val="-2"/>
              </w:rPr>
              <w:t>domain</w:t>
            </w:r>
            <w:r>
              <w:rPr>
                <w:rFonts w:ascii="Arial"/>
                <w:spacing w:val="15"/>
              </w:rPr>
              <w:t xml:space="preserve"> </w:t>
            </w:r>
            <w:r>
              <w:rPr>
                <w:rFonts w:ascii="Arial"/>
                <w:spacing w:val="-1"/>
              </w:rPr>
              <w:t>names</w:t>
            </w:r>
            <w:r>
              <w:rPr>
                <w:rFonts w:ascii="Arial"/>
                <w:spacing w:val="38"/>
              </w:rPr>
              <w:t xml:space="preserve"> </w:t>
            </w:r>
            <w:r>
              <w:rPr>
                <w:rFonts w:ascii="Arial"/>
                <w:spacing w:val="-1"/>
              </w:rPr>
              <w:t>and</w:t>
            </w:r>
            <w:r>
              <w:rPr>
                <w:rFonts w:ascii="Arial"/>
                <w:spacing w:val="29"/>
              </w:rPr>
              <w:t xml:space="preserve"> </w:t>
            </w:r>
            <w:r>
              <w:rPr>
                <w:rFonts w:ascii="Arial"/>
                <w:spacing w:val="-1"/>
              </w:rPr>
              <w:t>website</w:t>
            </w:r>
            <w:r>
              <w:rPr>
                <w:rFonts w:ascii="Arial"/>
                <w:spacing w:val="29"/>
              </w:rPr>
              <w:t xml:space="preserve"> </w:t>
            </w:r>
            <w:r>
              <w:rPr>
                <w:rFonts w:ascii="Arial"/>
                <w:spacing w:val="-1"/>
              </w:rPr>
              <w:t>addresses</w:t>
            </w:r>
            <w:r>
              <w:rPr>
                <w:rFonts w:ascii="Arial"/>
                <w:spacing w:val="25"/>
              </w:rPr>
              <w:t xml:space="preserve"> </w:t>
            </w:r>
            <w:r>
              <w:rPr>
                <w:rFonts w:ascii="Arial"/>
                <w:spacing w:val="-1"/>
              </w:rPr>
              <w:t>and</w:t>
            </w:r>
            <w:r>
              <w:rPr>
                <w:rFonts w:ascii="Arial"/>
                <w:spacing w:val="29"/>
              </w:rPr>
              <w:t xml:space="preserve"> </w:t>
            </w:r>
            <w:r>
              <w:rPr>
                <w:rFonts w:ascii="Arial"/>
                <w:spacing w:val="-1"/>
              </w:rPr>
              <w:t>other</w:t>
            </w:r>
            <w:r>
              <w:rPr>
                <w:rFonts w:ascii="Arial"/>
                <w:spacing w:val="30"/>
              </w:rPr>
              <w:t xml:space="preserve"> </w:t>
            </w:r>
            <w:r>
              <w:rPr>
                <w:rFonts w:ascii="Arial"/>
                <w:spacing w:val="-1"/>
              </w:rPr>
              <w:t>rights</w:t>
            </w:r>
            <w:r>
              <w:rPr>
                <w:rFonts w:ascii="Arial"/>
                <w:spacing w:val="30"/>
              </w:rPr>
              <w:t xml:space="preserve"> </w:t>
            </w:r>
            <w:r>
              <w:rPr>
                <w:rFonts w:ascii="Arial"/>
                <w:spacing w:val="-1"/>
              </w:rPr>
              <w:t>in</w:t>
            </w:r>
            <w:r>
              <w:rPr>
                <w:rFonts w:ascii="Arial"/>
                <w:spacing w:val="27"/>
              </w:rPr>
              <w:t xml:space="preserve"> </w:t>
            </w:r>
            <w:r>
              <w:rPr>
                <w:rFonts w:ascii="Arial"/>
                <w:spacing w:val="-1"/>
              </w:rPr>
              <w:t>trade</w:t>
            </w:r>
            <w:r>
              <w:rPr>
                <w:rFonts w:ascii="Arial"/>
                <w:spacing w:val="27"/>
              </w:rPr>
              <w:t xml:space="preserve"> </w:t>
            </w:r>
            <w:r>
              <w:rPr>
                <w:rFonts w:ascii="Arial"/>
                <w:spacing w:val="-1"/>
              </w:rPr>
              <w:t>or</w:t>
            </w:r>
            <w:r>
              <w:rPr>
                <w:rFonts w:ascii="Arial"/>
                <w:spacing w:val="24"/>
              </w:rPr>
              <w:t xml:space="preserve"> </w:t>
            </w:r>
            <w:r>
              <w:rPr>
                <w:rFonts w:ascii="Arial"/>
                <w:spacing w:val="-1"/>
              </w:rPr>
              <w:t>business</w:t>
            </w:r>
            <w:r>
              <w:rPr>
                <w:rFonts w:ascii="Arial"/>
                <w:spacing w:val="3"/>
              </w:rPr>
              <w:t xml:space="preserve"> </w:t>
            </w:r>
            <w:r>
              <w:rPr>
                <w:rFonts w:ascii="Arial"/>
                <w:spacing w:val="-1"/>
              </w:rPr>
              <w:t>names,</w:t>
            </w:r>
            <w:r>
              <w:rPr>
                <w:rFonts w:ascii="Arial"/>
                <w:spacing w:val="2"/>
              </w:rPr>
              <w:t xml:space="preserve"> </w:t>
            </w:r>
            <w:r>
              <w:rPr>
                <w:rFonts w:ascii="Arial"/>
                <w:spacing w:val="-1"/>
              </w:rPr>
              <w:t>designs,</w:t>
            </w:r>
            <w:r>
              <w:rPr>
                <w:rFonts w:ascii="Arial"/>
                <w:spacing w:val="2"/>
              </w:rPr>
              <w:t xml:space="preserve"> </w:t>
            </w:r>
            <w:r>
              <w:rPr>
                <w:rFonts w:ascii="Arial"/>
                <w:spacing w:val="-2"/>
              </w:rPr>
              <w:t>Know-How,</w:t>
            </w:r>
            <w:r>
              <w:rPr>
                <w:rFonts w:ascii="Arial"/>
                <w:spacing w:val="2"/>
              </w:rPr>
              <w:t xml:space="preserve"> </w:t>
            </w:r>
            <w:r>
              <w:rPr>
                <w:rFonts w:ascii="Arial"/>
                <w:spacing w:val="-1"/>
              </w:rPr>
              <w:t>trade</w:t>
            </w:r>
            <w:r>
              <w:rPr>
                <w:rFonts w:ascii="Arial"/>
              </w:rPr>
              <w:t xml:space="preserve"> </w:t>
            </w:r>
            <w:r>
              <w:rPr>
                <w:rFonts w:ascii="Arial"/>
                <w:spacing w:val="-1"/>
              </w:rPr>
              <w:t>secrets</w:t>
            </w:r>
            <w:r>
              <w:rPr>
                <w:rFonts w:ascii="Arial"/>
                <w:spacing w:val="41"/>
              </w:rPr>
              <w:t xml:space="preserve"> </w:t>
            </w:r>
            <w:r>
              <w:rPr>
                <w:rFonts w:ascii="Arial"/>
                <w:spacing w:val="-1"/>
              </w:rPr>
              <w:t>and</w:t>
            </w:r>
            <w:r>
              <w:rPr>
                <w:rFonts w:ascii="Arial"/>
              </w:rPr>
              <w:t xml:space="preserve"> </w:t>
            </w:r>
            <w:r>
              <w:rPr>
                <w:rFonts w:ascii="Arial"/>
                <w:spacing w:val="-1"/>
              </w:rPr>
              <w:t>other rights</w:t>
            </w:r>
            <w:r>
              <w:rPr>
                <w:rFonts w:ascii="Arial"/>
                <w:spacing w:val="-2"/>
              </w:rPr>
              <w:t xml:space="preserve"> </w:t>
            </w:r>
            <w:r>
              <w:rPr>
                <w:rFonts w:ascii="Arial"/>
                <w:spacing w:val="-1"/>
              </w:rPr>
              <w:t>in</w:t>
            </w:r>
            <w:r>
              <w:rPr>
                <w:rFonts w:ascii="Arial"/>
              </w:rPr>
              <w:t xml:space="preserve"> </w:t>
            </w:r>
            <w:r>
              <w:rPr>
                <w:rFonts w:ascii="Arial"/>
                <w:spacing w:val="-1"/>
              </w:rPr>
              <w:t>Confidential</w:t>
            </w:r>
            <w:r>
              <w:rPr>
                <w:rFonts w:ascii="Arial"/>
              </w:rPr>
              <w:t xml:space="preserve"> </w:t>
            </w:r>
            <w:r>
              <w:rPr>
                <w:rFonts w:ascii="Arial"/>
                <w:spacing w:val="-1"/>
              </w:rPr>
              <w:t>Information;</w:t>
            </w:r>
          </w:p>
          <w:p w:rsidR="008918FA" w:rsidRDefault="008918FA" w:rsidP="005D2B81">
            <w:pPr>
              <w:pStyle w:val="ListParagraph"/>
              <w:numPr>
                <w:ilvl w:val="0"/>
                <w:numId w:val="43"/>
              </w:numPr>
              <w:tabs>
                <w:tab w:val="left" w:pos="820"/>
              </w:tabs>
              <w:spacing w:before="119"/>
              <w:ind w:right="100" w:hanging="544"/>
              <w:jc w:val="both"/>
              <w:rPr>
                <w:rFonts w:ascii="Arial" w:eastAsia="Arial" w:hAnsi="Arial" w:cs="Arial"/>
              </w:rPr>
            </w:pPr>
            <w:r>
              <w:rPr>
                <w:rFonts w:ascii="Arial"/>
                <w:spacing w:val="-1"/>
              </w:rPr>
              <w:t>applications</w:t>
            </w:r>
            <w:r>
              <w:rPr>
                <w:rFonts w:ascii="Arial"/>
                <w:spacing w:val="44"/>
              </w:rPr>
              <w:t xml:space="preserve"> </w:t>
            </w:r>
            <w:r>
              <w:rPr>
                <w:rFonts w:ascii="Arial"/>
                <w:spacing w:val="1"/>
              </w:rPr>
              <w:t>for</w:t>
            </w:r>
            <w:r>
              <w:rPr>
                <w:rFonts w:ascii="Arial"/>
                <w:spacing w:val="42"/>
              </w:rPr>
              <w:t xml:space="preserve"> </w:t>
            </w:r>
            <w:r>
              <w:rPr>
                <w:rFonts w:ascii="Arial"/>
                <w:spacing w:val="-1"/>
              </w:rPr>
              <w:t>registration,</w:t>
            </w:r>
            <w:r>
              <w:rPr>
                <w:rFonts w:ascii="Arial"/>
                <w:spacing w:val="45"/>
              </w:rPr>
              <w:t xml:space="preserve"> </w:t>
            </w:r>
            <w:r>
              <w:rPr>
                <w:rFonts w:ascii="Arial"/>
                <w:spacing w:val="-1"/>
              </w:rPr>
              <w:t>and</w:t>
            </w:r>
            <w:r>
              <w:rPr>
                <w:rFonts w:ascii="Arial"/>
                <w:spacing w:val="43"/>
              </w:rPr>
              <w:t xml:space="preserve"> </w:t>
            </w:r>
            <w:r>
              <w:rPr>
                <w:rFonts w:ascii="Arial"/>
              </w:rPr>
              <w:t>the</w:t>
            </w:r>
            <w:r>
              <w:rPr>
                <w:rFonts w:ascii="Arial"/>
                <w:spacing w:val="43"/>
              </w:rPr>
              <w:t xml:space="preserve"> </w:t>
            </w:r>
            <w:r>
              <w:rPr>
                <w:rFonts w:ascii="Arial"/>
                <w:spacing w:val="-1"/>
              </w:rPr>
              <w:t>right</w:t>
            </w:r>
            <w:r>
              <w:rPr>
                <w:rFonts w:ascii="Arial"/>
                <w:spacing w:val="45"/>
              </w:rPr>
              <w:t xml:space="preserve"> </w:t>
            </w:r>
            <w:r>
              <w:rPr>
                <w:rFonts w:ascii="Arial"/>
              </w:rPr>
              <w:t>to</w:t>
            </w:r>
            <w:r>
              <w:rPr>
                <w:rFonts w:ascii="Arial"/>
                <w:spacing w:val="44"/>
              </w:rPr>
              <w:t xml:space="preserve"> </w:t>
            </w:r>
            <w:r>
              <w:rPr>
                <w:rFonts w:ascii="Arial"/>
                <w:spacing w:val="-2"/>
              </w:rPr>
              <w:t>apply</w:t>
            </w:r>
            <w:r>
              <w:rPr>
                <w:rFonts w:ascii="Arial"/>
                <w:spacing w:val="23"/>
              </w:rPr>
              <w:t xml:space="preserve"> </w:t>
            </w:r>
            <w:r>
              <w:rPr>
                <w:rFonts w:ascii="Arial"/>
              </w:rPr>
              <w:t>for</w:t>
            </w:r>
            <w:r>
              <w:rPr>
                <w:rFonts w:ascii="Arial"/>
                <w:spacing w:val="14"/>
              </w:rPr>
              <w:t xml:space="preserve"> </w:t>
            </w:r>
            <w:r>
              <w:rPr>
                <w:rFonts w:ascii="Arial"/>
                <w:spacing w:val="-1"/>
              </w:rPr>
              <w:t>registration,</w:t>
            </w:r>
            <w:r>
              <w:rPr>
                <w:rFonts w:ascii="Arial"/>
                <w:spacing w:val="11"/>
              </w:rPr>
              <w:t xml:space="preserve"> </w:t>
            </w:r>
            <w:r>
              <w:rPr>
                <w:rFonts w:ascii="Arial"/>
              </w:rPr>
              <w:t>for</w:t>
            </w:r>
            <w:r>
              <w:rPr>
                <w:rFonts w:ascii="Arial"/>
                <w:spacing w:val="14"/>
              </w:rPr>
              <w:t xml:space="preserve"> </w:t>
            </w:r>
            <w:r>
              <w:rPr>
                <w:rFonts w:ascii="Arial"/>
                <w:spacing w:val="-1"/>
              </w:rPr>
              <w:t>any</w:t>
            </w:r>
            <w:r>
              <w:rPr>
                <w:rFonts w:ascii="Arial"/>
                <w:spacing w:val="10"/>
              </w:rPr>
              <w:t xml:space="preserve"> </w:t>
            </w:r>
            <w:r>
              <w:rPr>
                <w:rFonts w:ascii="Arial"/>
                <w:spacing w:val="-1"/>
              </w:rPr>
              <w:t>of</w:t>
            </w:r>
            <w:r>
              <w:rPr>
                <w:rFonts w:ascii="Arial"/>
                <w:spacing w:val="14"/>
              </w:rPr>
              <w:t xml:space="preserve"> </w:t>
            </w:r>
            <w:r>
              <w:rPr>
                <w:rFonts w:ascii="Arial"/>
              </w:rPr>
              <w:t>the</w:t>
            </w:r>
            <w:r>
              <w:rPr>
                <w:rFonts w:ascii="Arial"/>
                <w:spacing w:val="12"/>
              </w:rPr>
              <w:t xml:space="preserve"> </w:t>
            </w:r>
            <w:r>
              <w:rPr>
                <w:rFonts w:ascii="Arial"/>
                <w:spacing w:val="-1"/>
              </w:rPr>
              <w:t>rights</w:t>
            </w:r>
            <w:r>
              <w:rPr>
                <w:rFonts w:ascii="Arial"/>
                <w:spacing w:val="13"/>
              </w:rPr>
              <w:t xml:space="preserve"> </w:t>
            </w:r>
            <w:r>
              <w:rPr>
                <w:rFonts w:ascii="Arial"/>
                <w:spacing w:val="-1"/>
              </w:rPr>
              <w:t>listed</w:t>
            </w:r>
            <w:r>
              <w:rPr>
                <w:rFonts w:ascii="Arial"/>
                <w:spacing w:val="12"/>
              </w:rPr>
              <w:t xml:space="preserve"> </w:t>
            </w:r>
            <w:r>
              <w:rPr>
                <w:rFonts w:ascii="Arial"/>
                <w:spacing w:val="-1"/>
              </w:rPr>
              <w:t>at</w:t>
            </w:r>
            <w:r>
              <w:rPr>
                <w:rFonts w:ascii="Arial"/>
                <w:spacing w:val="14"/>
              </w:rPr>
              <w:t xml:space="preserve"> </w:t>
            </w:r>
            <w:r>
              <w:rPr>
                <w:rFonts w:ascii="Arial"/>
                <w:spacing w:val="-1"/>
              </w:rPr>
              <w:t>(a)</w:t>
            </w:r>
            <w:r>
              <w:rPr>
                <w:rFonts w:ascii="Arial"/>
                <w:spacing w:val="14"/>
              </w:rPr>
              <w:t xml:space="preserve"> </w:t>
            </w:r>
            <w:r>
              <w:rPr>
                <w:rFonts w:ascii="Arial"/>
                <w:spacing w:val="-2"/>
              </w:rPr>
              <w:t>that</w:t>
            </w:r>
            <w:r>
              <w:rPr>
                <w:rFonts w:ascii="Arial"/>
                <w:spacing w:val="22"/>
              </w:rPr>
              <w:t xml:space="preserve"> </w:t>
            </w:r>
            <w:r>
              <w:rPr>
                <w:rFonts w:ascii="Arial"/>
                <w:spacing w:val="-1"/>
              </w:rPr>
              <w:t>are</w:t>
            </w:r>
            <w:r>
              <w:rPr>
                <w:rFonts w:ascii="Arial"/>
                <w:spacing w:val="48"/>
              </w:rPr>
              <w:t xml:space="preserve"> </w:t>
            </w:r>
            <w:r>
              <w:rPr>
                <w:rFonts w:ascii="Arial"/>
                <w:spacing w:val="-1"/>
              </w:rPr>
              <w:t>capable</w:t>
            </w:r>
            <w:r>
              <w:rPr>
                <w:rFonts w:ascii="Arial"/>
                <w:spacing w:val="48"/>
              </w:rPr>
              <w:t xml:space="preserve"> </w:t>
            </w:r>
            <w:r>
              <w:rPr>
                <w:rFonts w:ascii="Arial"/>
                <w:spacing w:val="-1"/>
              </w:rPr>
              <w:t>of</w:t>
            </w:r>
            <w:r>
              <w:rPr>
                <w:rFonts w:ascii="Arial"/>
                <w:spacing w:val="52"/>
              </w:rPr>
              <w:t xml:space="preserve"> </w:t>
            </w:r>
            <w:r>
              <w:rPr>
                <w:rFonts w:ascii="Arial"/>
                <w:spacing w:val="-1"/>
              </w:rPr>
              <w:t>being</w:t>
            </w:r>
            <w:r>
              <w:rPr>
                <w:rFonts w:ascii="Arial"/>
                <w:spacing w:val="51"/>
              </w:rPr>
              <w:t xml:space="preserve"> </w:t>
            </w:r>
            <w:r>
              <w:rPr>
                <w:rFonts w:ascii="Arial"/>
                <w:spacing w:val="-1"/>
              </w:rPr>
              <w:t>registered</w:t>
            </w:r>
            <w:r>
              <w:rPr>
                <w:rFonts w:ascii="Arial"/>
                <w:spacing w:val="48"/>
              </w:rPr>
              <w:t xml:space="preserve"> </w:t>
            </w:r>
            <w:r>
              <w:rPr>
                <w:rFonts w:ascii="Arial"/>
                <w:spacing w:val="-1"/>
              </w:rPr>
              <w:t>in</w:t>
            </w:r>
            <w:r>
              <w:rPr>
                <w:rFonts w:ascii="Arial"/>
                <w:spacing w:val="48"/>
              </w:rPr>
              <w:t xml:space="preserve"> </w:t>
            </w:r>
            <w:r>
              <w:rPr>
                <w:rFonts w:ascii="Arial"/>
                <w:spacing w:val="-1"/>
              </w:rPr>
              <w:t>any</w:t>
            </w:r>
            <w:r>
              <w:rPr>
                <w:rFonts w:ascii="Arial"/>
                <w:spacing w:val="50"/>
              </w:rPr>
              <w:t xml:space="preserve"> </w:t>
            </w:r>
            <w:r>
              <w:rPr>
                <w:rFonts w:ascii="Arial"/>
                <w:spacing w:val="-1"/>
              </w:rPr>
              <w:t>country</w:t>
            </w:r>
            <w:r>
              <w:rPr>
                <w:rFonts w:ascii="Arial"/>
                <w:spacing w:val="46"/>
              </w:rPr>
              <w:t xml:space="preserve"> </w:t>
            </w:r>
            <w:r>
              <w:rPr>
                <w:rFonts w:ascii="Arial"/>
                <w:spacing w:val="-1"/>
              </w:rPr>
              <w:t>or</w:t>
            </w:r>
            <w:r>
              <w:rPr>
                <w:rFonts w:ascii="Arial"/>
                <w:spacing w:val="26"/>
              </w:rPr>
              <w:t xml:space="preserve"> </w:t>
            </w:r>
            <w:r>
              <w:rPr>
                <w:rFonts w:ascii="Arial"/>
                <w:spacing w:val="-1"/>
              </w:rPr>
              <w:t>jurisdiction;</w:t>
            </w:r>
            <w:r>
              <w:rPr>
                <w:rFonts w:ascii="Arial"/>
              </w:rPr>
              <w:t xml:space="preserve"> </w:t>
            </w:r>
            <w:r>
              <w:rPr>
                <w:rFonts w:ascii="Arial"/>
                <w:spacing w:val="-1"/>
              </w:rPr>
              <w:t>and</w:t>
            </w:r>
          </w:p>
          <w:p w:rsidR="008918FA" w:rsidRDefault="008918FA" w:rsidP="005D2B81">
            <w:pPr>
              <w:pStyle w:val="ListParagraph"/>
              <w:numPr>
                <w:ilvl w:val="0"/>
                <w:numId w:val="43"/>
              </w:numPr>
              <w:tabs>
                <w:tab w:val="left" w:pos="820"/>
              </w:tabs>
              <w:spacing w:before="121"/>
              <w:ind w:right="102" w:hanging="544"/>
              <w:jc w:val="both"/>
              <w:rPr>
                <w:rFonts w:ascii="Arial" w:eastAsia="Arial" w:hAnsi="Arial" w:cs="Arial"/>
              </w:rPr>
            </w:pPr>
            <w:r>
              <w:rPr>
                <w:rFonts w:ascii="Arial"/>
                <w:spacing w:val="-1"/>
              </w:rPr>
              <w:t>all</w:t>
            </w:r>
            <w:r>
              <w:rPr>
                <w:rFonts w:ascii="Arial"/>
                <w:spacing w:val="21"/>
              </w:rPr>
              <w:t xml:space="preserve"> </w:t>
            </w:r>
            <w:r>
              <w:rPr>
                <w:rFonts w:ascii="Arial"/>
                <w:spacing w:val="-1"/>
              </w:rPr>
              <w:t>other</w:t>
            </w:r>
            <w:r>
              <w:rPr>
                <w:rFonts w:ascii="Arial"/>
                <w:spacing w:val="23"/>
              </w:rPr>
              <w:t xml:space="preserve"> </w:t>
            </w:r>
            <w:r>
              <w:rPr>
                <w:rFonts w:ascii="Arial"/>
                <w:spacing w:val="-1"/>
              </w:rPr>
              <w:t>rights</w:t>
            </w:r>
            <w:r>
              <w:rPr>
                <w:rFonts w:ascii="Arial"/>
                <w:spacing w:val="22"/>
              </w:rPr>
              <w:t xml:space="preserve"> </w:t>
            </w:r>
            <w:r>
              <w:rPr>
                <w:rFonts w:ascii="Arial"/>
                <w:spacing w:val="-2"/>
              </w:rPr>
              <w:t>having</w:t>
            </w:r>
            <w:r>
              <w:rPr>
                <w:rFonts w:ascii="Arial"/>
                <w:spacing w:val="24"/>
              </w:rPr>
              <w:t xml:space="preserve"> </w:t>
            </w:r>
            <w:r>
              <w:rPr>
                <w:rFonts w:ascii="Arial"/>
                <w:spacing w:val="-2"/>
              </w:rPr>
              <w:t>equivalent</w:t>
            </w:r>
            <w:r>
              <w:rPr>
                <w:rFonts w:ascii="Arial"/>
                <w:spacing w:val="23"/>
              </w:rPr>
              <w:t xml:space="preserve"> </w:t>
            </w:r>
            <w:r>
              <w:rPr>
                <w:rFonts w:ascii="Arial"/>
                <w:spacing w:val="-1"/>
              </w:rPr>
              <w:t>or</w:t>
            </w:r>
            <w:r>
              <w:rPr>
                <w:rFonts w:ascii="Arial"/>
                <w:spacing w:val="23"/>
              </w:rPr>
              <w:t xml:space="preserve"> </w:t>
            </w:r>
            <w:r>
              <w:rPr>
                <w:rFonts w:ascii="Arial"/>
                <w:spacing w:val="-1"/>
              </w:rPr>
              <w:t>similar</w:t>
            </w:r>
            <w:r>
              <w:rPr>
                <w:rFonts w:ascii="Arial"/>
                <w:spacing w:val="23"/>
              </w:rPr>
              <w:t xml:space="preserve"> </w:t>
            </w:r>
            <w:r>
              <w:rPr>
                <w:rFonts w:ascii="Arial"/>
                <w:spacing w:val="-1"/>
              </w:rPr>
              <w:t>effect</w:t>
            </w:r>
            <w:r>
              <w:rPr>
                <w:rFonts w:ascii="Arial"/>
                <w:spacing w:val="23"/>
              </w:rPr>
              <w:t xml:space="preserve"> </w:t>
            </w:r>
            <w:r>
              <w:rPr>
                <w:rFonts w:ascii="Arial"/>
                <w:spacing w:val="-1"/>
              </w:rPr>
              <w:t>in</w:t>
            </w:r>
            <w:r>
              <w:rPr>
                <w:rFonts w:ascii="Arial"/>
                <w:spacing w:val="43"/>
              </w:rPr>
              <w:t xml:space="preserve"> </w:t>
            </w:r>
            <w:r>
              <w:rPr>
                <w:rFonts w:ascii="Arial"/>
                <w:spacing w:val="-1"/>
              </w:rPr>
              <w:t>any</w:t>
            </w:r>
            <w:r>
              <w:rPr>
                <w:rFonts w:ascii="Arial"/>
                <w:spacing w:val="-2"/>
              </w:rPr>
              <w:t xml:space="preserve"> </w:t>
            </w:r>
            <w:r>
              <w:rPr>
                <w:rFonts w:ascii="Arial"/>
                <w:spacing w:val="-1"/>
              </w:rPr>
              <w:t>country</w:t>
            </w:r>
            <w:r>
              <w:rPr>
                <w:rFonts w:ascii="Arial"/>
                <w:spacing w:val="-2"/>
              </w:rPr>
              <w:t xml:space="preserve"> </w:t>
            </w:r>
            <w:r>
              <w:rPr>
                <w:rFonts w:ascii="Arial"/>
                <w:spacing w:val="-1"/>
              </w:rPr>
              <w:t xml:space="preserve">or </w:t>
            </w:r>
            <w:r>
              <w:rPr>
                <w:rFonts w:ascii="Arial"/>
                <w:spacing w:val="-2"/>
              </w:rPr>
              <w:t>jurisdiction;</w:t>
            </w:r>
          </w:p>
        </w:tc>
      </w:tr>
      <w:tr w:rsidR="008918FA" w:rsidTr="005D2B81">
        <w:trPr>
          <w:trHeight w:hRule="exact" w:val="190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rPr>
              <w:t xml:space="preserve">"IPR </w:t>
            </w:r>
            <w:r>
              <w:rPr>
                <w:rFonts w:ascii="Arial"/>
                <w:b/>
                <w:spacing w:val="-1"/>
              </w:rPr>
              <w:t>Claim"</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means</w:t>
            </w:r>
            <w:r>
              <w:rPr>
                <w:rFonts w:ascii="Arial"/>
                <w:spacing w:val="30"/>
              </w:rPr>
              <w:t xml:space="preserve"> </w:t>
            </w:r>
            <w:r>
              <w:rPr>
                <w:rFonts w:ascii="Arial"/>
                <w:spacing w:val="-1"/>
              </w:rPr>
              <w:t>any</w:t>
            </w:r>
            <w:r>
              <w:rPr>
                <w:rFonts w:ascii="Arial"/>
                <w:spacing w:val="27"/>
              </w:rPr>
              <w:t xml:space="preserve"> </w:t>
            </w:r>
            <w:r>
              <w:rPr>
                <w:rFonts w:ascii="Arial"/>
                <w:spacing w:val="-1"/>
              </w:rPr>
              <w:t>claim</w:t>
            </w:r>
            <w:r>
              <w:rPr>
                <w:rFonts w:ascii="Arial"/>
                <w:spacing w:val="30"/>
              </w:rPr>
              <w:t xml:space="preserve"> </w:t>
            </w:r>
            <w:r>
              <w:rPr>
                <w:rFonts w:ascii="Arial"/>
                <w:spacing w:val="-2"/>
              </w:rPr>
              <w:t>of</w:t>
            </w:r>
            <w:r>
              <w:rPr>
                <w:rFonts w:ascii="Arial"/>
                <w:spacing w:val="33"/>
              </w:rPr>
              <w:t xml:space="preserve"> </w:t>
            </w:r>
            <w:r>
              <w:rPr>
                <w:rFonts w:ascii="Arial"/>
                <w:spacing w:val="-1"/>
              </w:rPr>
              <w:t>infringement</w:t>
            </w:r>
            <w:r>
              <w:rPr>
                <w:rFonts w:ascii="Arial"/>
                <w:spacing w:val="30"/>
              </w:rPr>
              <w:t xml:space="preserve"> </w:t>
            </w:r>
            <w:r>
              <w:rPr>
                <w:rFonts w:ascii="Arial"/>
                <w:spacing w:val="-2"/>
              </w:rPr>
              <w:t>or</w:t>
            </w:r>
            <w:r>
              <w:rPr>
                <w:rFonts w:ascii="Arial"/>
                <w:spacing w:val="30"/>
              </w:rPr>
              <w:t xml:space="preserve"> </w:t>
            </w:r>
            <w:r>
              <w:rPr>
                <w:rFonts w:ascii="Arial"/>
                <w:spacing w:val="-1"/>
              </w:rPr>
              <w:t>alleged</w:t>
            </w:r>
            <w:r>
              <w:rPr>
                <w:rFonts w:ascii="Arial"/>
                <w:spacing w:val="27"/>
              </w:rPr>
              <w:t xml:space="preserve"> </w:t>
            </w:r>
            <w:r>
              <w:rPr>
                <w:rFonts w:ascii="Arial"/>
                <w:spacing w:val="-1"/>
              </w:rPr>
              <w:t>infringement</w:t>
            </w:r>
            <w:r>
              <w:rPr>
                <w:rFonts w:ascii="Arial"/>
                <w:spacing w:val="28"/>
              </w:rPr>
              <w:t xml:space="preserve"> </w:t>
            </w:r>
            <w:r>
              <w:rPr>
                <w:rFonts w:ascii="Arial"/>
                <w:spacing w:val="-1"/>
              </w:rPr>
              <w:t>(including</w:t>
            </w:r>
            <w:r>
              <w:rPr>
                <w:rFonts w:ascii="Arial"/>
                <w:spacing w:val="4"/>
              </w:rPr>
              <w:t xml:space="preserve"> </w:t>
            </w:r>
            <w:r>
              <w:rPr>
                <w:rFonts w:ascii="Arial"/>
              </w:rPr>
              <w:t>the</w:t>
            </w:r>
            <w:r>
              <w:rPr>
                <w:rFonts w:ascii="Arial"/>
                <w:spacing w:val="2"/>
              </w:rPr>
              <w:t xml:space="preserve"> </w:t>
            </w:r>
            <w:r>
              <w:rPr>
                <w:rFonts w:ascii="Arial"/>
                <w:spacing w:val="-1"/>
              </w:rPr>
              <w:t>defence</w:t>
            </w:r>
            <w:r>
              <w:rPr>
                <w:rFonts w:ascii="Arial"/>
              </w:rPr>
              <w:t xml:space="preserve"> </w:t>
            </w:r>
            <w:r>
              <w:rPr>
                <w:rFonts w:ascii="Arial"/>
                <w:spacing w:val="-2"/>
              </w:rPr>
              <w:t>of</w:t>
            </w:r>
            <w:r>
              <w:rPr>
                <w:rFonts w:ascii="Arial"/>
                <w:spacing w:val="5"/>
              </w:rPr>
              <w:t xml:space="preserve"> </w:t>
            </w:r>
            <w:r>
              <w:rPr>
                <w:rFonts w:ascii="Arial"/>
                <w:spacing w:val="-1"/>
              </w:rPr>
              <w:t>such</w:t>
            </w:r>
            <w:r>
              <w:rPr>
                <w:rFonts w:ascii="Arial"/>
                <w:spacing w:val="2"/>
              </w:rPr>
              <w:t xml:space="preserve"> </w:t>
            </w:r>
            <w:r>
              <w:rPr>
                <w:rFonts w:ascii="Arial"/>
                <w:spacing w:val="-1"/>
              </w:rPr>
              <w:t>infringement</w:t>
            </w:r>
            <w:r>
              <w:rPr>
                <w:rFonts w:ascii="Arial"/>
                <w:spacing w:val="3"/>
              </w:rPr>
              <w:t xml:space="preserve"> </w:t>
            </w:r>
            <w:r>
              <w:rPr>
                <w:rFonts w:ascii="Arial"/>
                <w:spacing w:val="-1"/>
              </w:rPr>
              <w:t>or</w:t>
            </w:r>
            <w:r>
              <w:rPr>
                <w:rFonts w:ascii="Arial"/>
                <w:spacing w:val="61"/>
              </w:rPr>
              <w:t xml:space="preserve"> </w:t>
            </w:r>
            <w:r>
              <w:rPr>
                <w:rFonts w:ascii="Arial"/>
                <w:spacing w:val="-1"/>
              </w:rPr>
              <w:t>alleged</w:t>
            </w:r>
            <w:r>
              <w:rPr>
                <w:rFonts w:ascii="Arial"/>
                <w:spacing w:val="29"/>
              </w:rPr>
              <w:t xml:space="preserve"> </w:t>
            </w:r>
            <w:r>
              <w:rPr>
                <w:rFonts w:ascii="Arial"/>
                <w:spacing w:val="-1"/>
              </w:rPr>
              <w:t>infringement)</w:t>
            </w:r>
            <w:r>
              <w:rPr>
                <w:rFonts w:ascii="Arial"/>
                <w:spacing w:val="15"/>
              </w:rPr>
              <w:t xml:space="preserve"> </w:t>
            </w:r>
            <w:r>
              <w:rPr>
                <w:rFonts w:ascii="Arial"/>
                <w:spacing w:val="-2"/>
              </w:rPr>
              <w:t>of</w:t>
            </w:r>
            <w:r>
              <w:rPr>
                <w:rFonts w:ascii="Arial"/>
                <w:spacing w:val="15"/>
              </w:rPr>
              <w:t xml:space="preserve"> </w:t>
            </w:r>
            <w:r>
              <w:rPr>
                <w:rFonts w:ascii="Arial"/>
                <w:spacing w:val="-1"/>
              </w:rPr>
              <w:t>any</w:t>
            </w:r>
            <w:r>
              <w:rPr>
                <w:rFonts w:ascii="Arial"/>
                <w:spacing w:val="12"/>
              </w:rPr>
              <w:t xml:space="preserve"> </w:t>
            </w:r>
            <w:r>
              <w:rPr>
                <w:rFonts w:ascii="Arial"/>
                <w:spacing w:val="-2"/>
              </w:rPr>
              <w:t>IPR,</w:t>
            </w:r>
            <w:r>
              <w:rPr>
                <w:rFonts w:ascii="Arial"/>
                <w:spacing w:val="15"/>
              </w:rPr>
              <w:t xml:space="preserve"> </w:t>
            </w:r>
            <w:r>
              <w:rPr>
                <w:rFonts w:ascii="Arial"/>
                <w:spacing w:val="-1"/>
              </w:rPr>
              <w:t>used</w:t>
            </w:r>
            <w:r>
              <w:rPr>
                <w:rFonts w:ascii="Arial"/>
                <w:spacing w:val="11"/>
              </w:rPr>
              <w:t xml:space="preserve"> </w:t>
            </w:r>
            <w:r>
              <w:rPr>
                <w:rFonts w:ascii="Arial"/>
              </w:rPr>
              <w:t>to</w:t>
            </w:r>
            <w:r>
              <w:rPr>
                <w:rFonts w:ascii="Arial"/>
                <w:spacing w:val="14"/>
              </w:rPr>
              <w:t xml:space="preserve"> </w:t>
            </w:r>
            <w:r>
              <w:rPr>
                <w:rFonts w:ascii="Arial"/>
                <w:spacing w:val="-2"/>
              </w:rPr>
              <w:t>provide</w:t>
            </w:r>
            <w:r>
              <w:rPr>
                <w:rFonts w:ascii="Arial"/>
                <w:spacing w:val="14"/>
              </w:rPr>
              <w:t xml:space="preserve"> </w:t>
            </w:r>
            <w:r>
              <w:rPr>
                <w:rFonts w:ascii="Arial"/>
              </w:rPr>
              <w:t>the</w:t>
            </w:r>
            <w:r>
              <w:rPr>
                <w:rFonts w:ascii="Arial"/>
                <w:spacing w:val="13"/>
              </w:rPr>
              <w:t xml:space="preserve"> </w:t>
            </w:r>
            <w:r>
              <w:rPr>
                <w:rFonts w:ascii="Arial"/>
                <w:spacing w:val="-1"/>
              </w:rPr>
              <w:t>Goods</w:t>
            </w:r>
            <w:r>
              <w:rPr>
                <w:rFonts w:ascii="Arial"/>
                <w:spacing w:val="35"/>
              </w:rPr>
              <w:t xml:space="preserve"> </w:t>
            </w:r>
            <w:r>
              <w:rPr>
                <w:rFonts w:ascii="Arial"/>
                <w:spacing w:val="-1"/>
              </w:rPr>
              <w:t>and/or</w:t>
            </w:r>
            <w:r>
              <w:rPr>
                <w:rFonts w:ascii="Arial"/>
                <w:spacing w:val="19"/>
              </w:rPr>
              <w:t xml:space="preserve"> </w:t>
            </w:r>
            <w:r>
              <w:rPr>
                <w:rFonts w:ascii="Arial"/>
                <w:spacing w:val="-1"/>
              </w:rPr>
              <w:t>Services</w:t>
            </w:r>
            <w:r>
              <w:rPr>
                <w:rFonts w:ascii="Arial"/>
                <w:spacing w:val="18"/>
              </w:rPr>
              <w:t xml:space="preserve"> </w:t>
            </w:r>
            <w:r>
              <w:rPr>
                <w:rFonts w:ascii="Arial"/>
                <w:spacing w:val="-1"/>
              </w:rPr>
              <w:t>or</w:t>
            </w:r>
            <w:r>
              <w:rPr>
                <w:rFonts w:ascii="Arial"/>
                <w:spacing w:val="19"/>
              </w:rPr>
              <w:t xml:space="preserve"> </w:t>
            </w:r>
            <w:r>
              <w:rPr>
                <w:rFonts w:ascii="Arial"/>
                <w:spacing w:val="-1"/>
              </w:rPr>
              <w:t>as</w:t>
            </w:r>
            <w:r>
              <w:rPr>
                <w:rFonts w:ascii="Arial"/>
                <w:spacing w:val="18"/>
              </w:rPr>
              <w:t xml:space="preserve"> </w:t>
            </w:r>
            <w:r>
              <w:rPr>
                <w:rFonts w:ascii="Arial"/>
                <w:spacing w:val="-1"/>
              </w:rPr>
              <w:t>otherwise</w:t>
            </w:r>
            <w:r>
              <w:rPr>
                <w:rFonts w:ascii="Arial"/>
                <w:spacing w:val="18"/>
              </w:rPr>
              <w:t xml:space="preserve"> </w:t>
            </w:r>
            <w:r>
              <w:rPr>
                <w:rFonts w:ascii="Arial"/>
                <w:spacing w:val="-1"/>
              </w:rPr>
              <w:t>provided</w:t>
            </w:r>
            <w:r>
              <w:rPr>
                <w:rFonts w:ascii="Arial"/>
                <w:spacing w:val="17"/>
              </w:rPr>
              <w:t xml:space="preserve"> </w:t>
            </w:r>
            <w:r>
              <w:rPr>
                <w:rFonts w:ascii="Arial"/>
                <w:spacing w:val="-1"/>
              </w:rPr>
              <w:t>and/or</w:t>
            </w:r>
            <w:r>
              <w:rPr>
                <w:rFonts w:ascii="Arial"/>
                <w:spacing w:val="19"/>
              </w:rPr>
              <w:t xml:space="preserve"> </w:t>
            </w:r>
            <w:r>
              <w:rPr>
                <w:rFonts w:ascii="Arial"/>
                <w:spacing w:val="-1"/>
              </w:rPr>
              <w:t>licensed</w:t>
            </w:r>
            <w:r>
              <w:rPr>
                <w:rFonts w:ascii="Arial"/>
                <w:spacing w:val="23"/>
              </w:rPr>
              <w:t xml:space="preserve"> </w:t>
            </w:r>
            <w:r>
              <w:rPr>
                <w:rFonts w:ascii="Arial"/>
                <w:spacing w:val="-1"/>
              </w:rPr>
              <w:t>by</w:t>
            </w:r>
            <w:r>
              <w:rPr>
                <w:rFonts w:ascii="Arial"/>
                <w:spacing w:val="46"/>
              </w:rPr>
              <w:t xml:space="preserve"> </w:t>
            </w:r>
            <w:r>
              <w:rPr>
                <w:rFonts w:ascii="Arial"/>
              </w:rPr>
              <w:t>the</w:t>
            </w:r>
            <w:r>
              <w:rPr>
                <w:rFonts w:ascii="Arial"/>
                <w:spacing w:val="48"/>
              </w:rPr>
              <w:t xml:space="preserve"> </w:t>
            </w:r>
            <w:r>
              <w:rPr>
                <w:rFonts w:ascii="Arial"/>
                <w:spacing w:val="-1"/>
              </w:rPr>
              <w:t>Supplier</w:t>
            </w:r>
            <w:r>
              <w:rPr>
                <w:rFonts w:ascii="Arial"/>
                <w:spacing w:val="49"/>
              </w:rPr>
              <w:t xml:space="preserve"> </w:t>
            </w:r>
            <w:r>
              <w:rPr>
                <w:rFonts w:ascii="Arial"/>
                <w:spacing w:val="-1"/>
              </w:rPr>
              <w:t>(or</w:t>
            </w:r>
            <w:r>
              <w:rPr>
                <w:rFonts w:ascii="Arial"/>
                <w:spacing w:val="49"/>
              </w:rPr>
              <w:t xml:space="preserve"> </w:t>
            </w:r>
            <w:r>
              <w:rPr>
                <w:rFonts w:ascii="Arial"/>
              </w:rPr>
              <w:t>to</w:t>
            </w:r>
            <w:r>
              <w:rPr>
                <w:rFonts w:ascii="Arial"/>
                <w:spacing w:val="48"/>
              </w:rPr>
              <w:t xml:space="preserve"> </w:t>
            </w:r>
            <w:r>
              <w:rPr>
                <w:rFonts w:ascii="Arial"/>
                <w:spacing w:val="-1"/>
              </w:rPr>
              <w:t>which</w:t>
            </w:r>
            <w:r>
              <w:rPr>
                <w:rFonts w:ascii="Arial"/>
                <w:spacing w:val="48"/>
              </w:rPr>
              <w:t xml:space="preserve"> </w:t>
            </w:r>
            <w:r>
              <w:rPr>
                <w:rFonts w:ascii="Arial"/>
              </w:rPr>
              <w:t>the</w:t>
            </w:r>
            <w:r>
              <w:rPr>
                <w:rFonts w:ascii="Arial"/>
                <w:spacing w:val="49"/>
              </w:rPr>
              <w:t xml:space="preserve"> </w:t>
            </w:r>
            <w:r>
              <w:rPr>
                <w:rFonts w:ascii="Arial"/>
                <w:spacing w:val="-2"/>
              </w:rPr>
              <w:t>Supplier</w:t>
            </w:r>
            <w:r>
              <w:rPr>
                <w:rFonts w:ascii="Arial"/>
                <w:spacing w:val="49"/>
              </w:rPr>
              <w:t xml:space="preserve"> </w:t>
            </w:r>
            <w:r>
              <w:rPr>
                <w:rFonts w:ascii="Arial"/>
                <w:spacing w:val="-1"/>
              </w:rPr>
              <w:t>has</w:t>
            </w:r>
            <w:r>
              <w:rPr>
                <w:rFonts w:ascii="Arial"/>
                <w:spacing w:val="51"/>
              </w:rPr>
              <w:t xml:space="preserve"> </w:t>
            </w:r>
            <w:r>
              <w:rPr>
                <w:rFonts w:ascii="Arial"/>
                <w:spacing w:val="-2"/>
              </w:rPr>
              <w:t>provided</w:t>
            </w:r>
            <w:r>
              <w:rPr>
                <w:rFonts w:ascii="Arial"/>
                <w:spacing w:val="42"/>
              </w:rPr>
              <w:t xml:space="preserve"> </w:t>
            </w:r>
            <w:r>
              <w:rPr>
                <w:rFonts w:ascii="Arial"/>
                <w:spacing w:val="-1"/>
              </w:rPr>
              <w:t>access)</w:t>
            </w:r>
            <w:r>
              <w:rPr>
                <w:rFonts w:ascii="Arial"/>
                <w:spacing w:val="12"/>
              </w:rPr>
              <w:t xml:space="preserve"> </w:t>
            </w:r>
            <w:r>
              <w:rPr>
                <w:rFonts w:ascii="Arial"/>
              </w:rPr>
              <w:t>to</w:t>
            </w:r>
            <w:r>
              <w:rPr>
                <w:rFonts w:ascii="Arial"/>
                <w:spacing w:val="10"/>
              </w:rPr>
              <w:t xml:space="preserve"> </w:t>
            </w:r>
            <w:r>
              <w:rPr>
                <w:rFonts w:ascii="Arial"/>
              </w:rPr>
              <w:t>the</w:t>
            </w:r>
            <w:r>
              <w:rPr>
                <w:rFonts w:ascii="Arial"/>
                <w:spacing w:val="10"/>
              </w:rPr>
              <w:t xml:space="preserve"> </w:t>
            </w:r>
            <w:r>
              <w:rPr>
                <w:rFonts w:ascii="Arial"/>
                <w:spacing w:val="-1"/>
              </w:rPr>
              <w:t>Customer</w:t>
            </w:r>
            <w:r>
              <w:rPr>
                <w:rFonts w:ascii="Arial"/>
                <w:spacing w:val="11"/>
              </w:rPr>
              <w:t xml:space="preserve"> </w:t>
            </w:r>
            <w:r>
              <w:rPr>
                <w:rFonts w:ascii="Arial"/>
                <w:spacing w:val="-1"/>
              </w:rPr>
              <w:t>in</w:t>
            </w:r>
            <w:r>
              <w:rPr>
                <w:rFonts w:ascii="Arial"/>
                <w:spacing w:val="12"/>
              </w:rPr>
              <w:t xml:space="preserve"> </w:t>
            </w:r>
            <w:r>
              <w:rPr>
                <w:rFonts w:ascii="Arial"/>
              </w:rPr>
              <w:t>the</w:t>
            </w:r>
            <w:r>
              <w:rPr>
                <w:rFonts w:ascii="Arial"/>
                <w:spacing w:val="10"/>
              </w:rPr>
              <w:t xml:space="preserve"> </w:t>
            </w:r>
            <w:r>
              <w:rPr>
                <w:rFonts w:ascii="Arial"/>
                <w:spacing w:val="-1"/>
              </w:rPr>
              <w:t>fulfilment</w:t>
            </w:r>
            <w:r>
              <w:rPr>
                <w:rFonts w:ascii="Arial"/>
                <w:spacing w:val="14"/>
              </w:rPr>
              <w:t xml:space="preserve"> </w:t>
            </w:r>
            <w:r>
              <w:rPr>
                <w:rFonts w:ascii="Arial"/>
                <w:spacing w:val="-2"/>
              </w:rPr>
              <w:t>of</w:t>
            </w:r>
            <w:r>
              <w:rPr>
                <w:rFonts w:ascii="Arial"/>
                <w:spacing w:val="14"/>
              </w:rPr>
              <w:t xml:space="preserve"> </w:t>
            </w:r>
            <w:r>
              <w:rPr>
                <w:rFonts w:ascii="Arial"/>
                <w:spacing w:val="-1"/>
              </w:rPr>
              <w:t>its</w:t>
            </w:r>
            <w:r>
              <w:rPr>
                <w:rFonts w:ascii="Arial"/>
                <w:spacing w:val="10"/>
              </w:rPr>
              <w:t xml:space="preserve"> </w:t>
            </w:r>
            <w:r>
              <w:rPr>
                <w:rFonts w:ascii="Arial"/>
                <w:spacing w:val="-1"/>
              </w:rPr>
              <w:t>obligations</w:t>
            </w:r>
            <w:r>
              <w:rPr>
                <w:rFonts w:ascii="Arial"/>
                <w:spacing w:val="28"/>
              </w:rPr>
              <w:t xml:space="preserve"> </w:t>
            </w:r>
            <w:r>
              <w:rPr>
                <w:rFonts w:ascii="Arial"/>
                <w:spacing w:val="-1"/>
              </w:rPr>
              <w:t>under 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Contract;</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202"/>
              <w:rPr>
                <w:rFonts w:ascii="Arial" w:eastAsia="Arial" w:hAnsi="Arial" w:cs="Arial"/>
              </w:rPr>
            </w:pPr>
            <w:r>
              <w:rPr>
                <w:rFonts w:ascii="Arial"/>
                <w:b/>
              </w:rPr>
              <w:t>"Key</w:t>
            </w:r>
            <w:r>
              <w:rPr>
                <w:rFonts w:ascii="Arial"/>
                <w:b/>
                <w:spacing w:val="-4"/>
              </w:rPr>
              <w:t xml:space="preserve"> </w:t>
            </w:r>
            <w:r>
              <w:rPr>
                <w:rFonts w:ascii="Arial"/>
                <w:b/>
                <w:spacing w:val="-1"/>
              </w:rPr>
              <w:t>Performance</w:t>
            </w:r>
            <w:r>
              <w:rPr>
                <w:rFonts w:ascii="Arial"/>
                <w:b/>
                <w:spacing w:val="24"/>
              </w:rPr>
              <w:t xml:space="preserve"> </w:t>
            </w:r>
            <w:r>
              <w:rPr>
                <w:rFonts w:ascii="Arial"/>
                <w:b/>
                <w:spacing w:val="-1"/>
              </w:rPr>
              <w:t xml:space="preserve">Indicators" or </w:t>
            </w:r>
            <w:r>
              <w:rPr>
                <w:rFonts w:ascii="Arial"/>
                <w:b/>
                <w:spacing w:val="-2"/>
              </w:rPr>
              <w:t>"KPIs"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8"/>
              <w:jc w:val="both"/>
              <w:rPr>
                <w:rFonts w:ascii="Arial" w:eastAsia="Arial" w:hAnsi="Arial" w:cs="Arial"/>
              </w:rPr>
            </w:pPr>
            <w:r>
              <w:rPr>
                <w:rFonts w:ascii="Arial" w:eastAsia="Arial" w:hAnsi="Arial" w:cs="Arial"/>
                <w:spacing w:val="-1"/>
              </w:rPr>
              <w:t>means</w:t>
            </w:r>
            <w:r>
              <w:rPr>
                <w:rFonts w:ascii="Arial" w:eastAsia="Arial" w:hAnsi="Arial" w:cs="Arial"/>
                <w:spacing w:val="12"/>
              </w:rPr>
              <w:t xml:space="preserve"> </w:t>
            </w:r>
            <w:r>
              <w:rPr>
                <w:rFonts w:ascii="Arial" w:eastAsia="Arial" w:hAnsi="Arial" w:cs="Arial"/>
              </w:rPr>
              <w:t>the</w:t>
            </w:r>
            <w:r>
              <w:rPr>
                <w:rFonts w:ascii="Arial" w:eastAsia="Arial" w:hAnsi="Arial" w:cs="Arial"/>
                <w:spacing w:val="11"/>
              </w:rPr>
              <w:t xml:space="preserve"> </w:t>
            </w:r>
            <w:r>
              <w:rPr>
                <w:rFonts w:ascii="Arial" w:eastAsia="Arial" w:hAnsi="Arial" w:cs="Arial"/>
                <w:spacing w:val="-2"/>
              </w:rPr>
              <w:t>performance</w:t>
            </w:r>
            <w:r>
              <w:rPr>
                <w:rFonts w:ascii="Arial" w:eastAsia="Arial" w:hAnsi="Arial" w:cs="Arial"/>
                <w:spacing w:val="11"/>
              </w:rPr>
              <w:t xml:space="preserve"> </w:t>
            </w:r>
            <w:r>
              <w:rPr>
                <w:rFonts w:ascii="Arial" w:eastAsia="Arial" w:hAnsi="Arial" w:cs="Arial"/>
                <w:spacing w:val="-1"/>
              </w:rPr>
              <w:t>measurements</w:t>
            </w:r>
            <w:r>
              <w:rPr>
                <w:rFonts w:ascii="Arial" w:eastAsia="Arial" w:hAnsi="Arial" w:cs="Arial"/>
                <w:spacing w:val="12"/>
              </w:rPr>
              <w:t xml:space="preserve"> </w:t>
            </w:r>
            <w:r>
              <w:rPr>
                <w:rFonts w:ascii="Arial" w:eastAsia="Arial" w:hAnsi="Arial" w:cs="Arial"/>
                <w:spacing w:val="-1"/>
              </w:rPr>
              <w:t>and</w:t>
            </w:r>
            <w:r>
              <w:rPr>
                <w:rFonts w:ascii="Arial" w:eastAsia="Arial" w:hAnsi="Arial" w:cs="Arial"/>
                <w:spacing w:val="11"/>
              </w:rPr>
              <w:t xml:space="preserve"> </w:t>
            </w:r>
            <w:r>
              <w:rPr>
                <w:rFonts w:ascii="Arial" w:eastAsia="Arial" w:hAnsi="Arial" w:cs="Arial"/>
                <w:spacing w:val="-1"/>
              </w:rPr>
              <w:t>targets</w:t>
            </w:r>
            <w:r>
              <w:rPr>
                <w:rFonts w:ascii="Arial" w:eastAsia="Arial" w:hAnsi="Arial" w:cs="Arial"/>
                <w:spacing w:val="12"/>
              </w:rPr>
              <w:t xml:space="preserve"> </w:t>
            </w:r>
            <w:r>
              <w:rPr>
                <w:rFonts w:ascii="Arial" w:eastAsia="Arial" w:hAnsi="Arial" w:cs="Arial"/>
                <w:spacing w:val="-1"/>
              </w:rPr>
              <w:t>in</w:t>
            </w:r>
            <w:r>
              <w:rPr>
                <w:rFonts w:ascii="Arial" w:eastAsia="Arial" w:hAnsi="Arial" w:cs="Arial"/>
                <w:spacing w:val="39"/>
              </w:rPr>
              <w:t xml:space="preserve"> </w:t>
            </w:r>
            <w:r>
              <w:rPr>
                <w:rFonts w:ascii="Arial" w:eastAsia="Arial" w:hAnsi="Arial" w:cs="Arial"/>
                <w:spacing w:val="-1"/>
              </w:rPr>
              <w:t>respect</w:t>
            </w:r>
            <w:r>
              <w:rPr>
                <w:rFonts w:ascii="Arial" w:eastAsia="Arial" w:hAnsi="Arial" w:cs="Arial"/>
                <w:spacing w:val="36"/>
              </w:rPr>
              <w:t xml:space="preserve"> </w:t>
            </w:r>
            <w:r>
              <w:rPr>
                <w:rFonts w:ascii="Arial" w:eastAsia="Arial" w:hAnsi="Arial" w:cs="Arial"/>
                <w:spacing w:val="-2"/>
              </w:rPr>
              <w:t>of</w:t>
            </w:r>
            <w:r>
              <w:rPr>
                <w:rFonts w:ascii="Arial" w:eastAsia="Arial" w:hAnsi="Arial" w:cs="Arial"/>
                <w:spacing w:val="35"/>
              </w:rPr>
              <w:t xml:space="preserve"> </w:t>
            </w:r>
            <w:r>
              <w:rPr>
                <w:rFonts w:ascii="Arial" w:eastAsia="Arial" w:hAnsi="Arial" w:cs="Arial"/>
              </w:rPr>
              <w:t>the</w:t>
            </w:r>
            <w:r>
              <w:rPr>
                <w:rFonts w:ascii="Arial" w:eastAsia="Arial" w:hAnsi="Arial" w:cs="Arial"/>
                <w:spacing w:val="34"/>
              </w:rPr>
              <w:t xml:space="preserve"> </w:t>
            </w:r>
            <w:r>
              <w:rPr>
                <w:rFonts w:ascii="Arial" w:eastAsia="Arial" w:hAnsi="Arial" w:cs="Arial"/>
                <w:spacing w:val="-2"/>
              </w:rPr>
              <w:t>Supplier’s</w:t>
            </w:r>
            <w:r>
              <w:rPr>
                <w:rFonts w:ascii="Arial" w:eastAsia="Arial" w:hAnsi="Arial" w:cs="Arial"/>
                <w:spacing w:val="34"/>
              </w:rPr>
              <w:t xml:space="preserve"> </w:t>
            </w:r>
            <w:r>
              <w:rPr>
                <w:rFonts w:ascii="Arial" w:eastAsia="Arial" w:hAnsi="Arial" w:cs="Arial"/>
                <w:spacing w:val="-1"/>
              </w:rPr>
              <w:t>performance</w:t>
            </w:r>
            <w:r>
              <w:rPr>
                <w:rFonts w:ascii="Arial" w:eastAsia="Arial" w:hAnsi="Arial" w:cs="Arial"/>
                <w:spacing w:val="34"/>
              </w:rPr>
              <w:t xml:space="preserve"> </w:t>
            </w:r>
            <w:r>
              <w:rPr>
                <w:rFonts w:ascii="Arial" w:eastAsia="Arial" w:hAnsi="Arial" w:cs="Arial"/>
                <w:spacing w:val="-2"/>
              </w:rPr>
              <w:t>of</w:t>
            </w:r>
            <w:r>
              <w:rPr>
                <w:rFonts w:ascii="Arial" w:eastAsia="Arial" w:hAnsi="Arial" w:cs="Arial"/>
                <w:spacing w:val="35"/>
              </w:rPr>
              <w:t xml:space="preserve"> </w:t>
            </w:r>
            <w:r>
              <w:rPr>
                <w:rFonts w:ascii="Arial" w:eastAsia="Arial" w:hAnsi="Arial" w:cs="Arial"/>
              </w:rPr>
              <w:t>the</w:t>
            </w:r>
            <w:r>
              <w:rPr>
                <w:rFonts w:ascii="Arial" w:eastAsia="Arial" w:hAnsi="Arial" w:cs="Arial"/>
                <w:spacing w:val="35"/>
              </w:rPr>
              <w:t xml:space="preserve"> </w:t>
            </w:r>
            <w:r>
              <w:rPr>
                <w:rFonts w:ascii="Arial" w:eastAsia="Arial" w:hAnsi="Arial" w:cs="Arial"/>
                <w:spacing w:val="-2"/>
              </w:rPr>
              <w:t>Framework</w:t>
            </w:r>
            <w:r>
              <w:rPr>
                <w:rFonts w:ascii="Arial" w:eastAsia="Arial" w:hAnsi="Arial" w:cs="Arial"/>
                <w:spacing w:val="45"/>
              </w:rPr>
              <w:t xml:space="preserve"> </w:t>
            </w:r>
            <w:r>
              <w:rPr>
                <w:rFonts w:ascii="Arial" w:eastAsia="Arial" w:hAnsi="Arial" w:cs="Arial"/>
                <w:spacing w:val="-1"/>
              </w:rPr>
              <w:t>Agreement</w:t>
            </w:r>
            <w:r>
              <w:rPr>
                <w:rFonts w:ascii="Arial" w:eastAsia="Arial" w:hAnsi="Arial" w:cs="Arial"/>
                <w:spacing w:val="45"/>
              </w:rPr>
              <w:t xml:space="preserve"> </w:t>
            </w:r>
            <w:r>
              <w:rPr>
                <w:rFonts w:ascii="Arial" w:eastAsia="Arial" w:hAnsi="Arial" w:cs="Arial"/>
                <w:spacing w:val="-1"/>
              </w:rPr>
              <w:t>set</w:t>
            </w:r>
            <w:r>
              <w:rPr>
                <w:rFonts w:ascii="Arial" w:eastAsia="Arial" w:hAnsi="Arial" w:cs="Arial"/>
                <w:spacing w:val="45"/>
              </w:rPr>
              <w:t xml:space="preserve"> </w:t>
            </w:r>
            <w:r>
              <w:rPr>
                <w:rFonts w:ascii="Arial" w:eastAsia="Arial" w:hAnsi="Arial" w:cs="Arial"/>
                <w:spacing w:val="-2"/>
              </w:rPr>
              <w:t>out</w:t>
            </w:r>
            <w:r>
              <w:rPr>
                <w:rFonts w:ascii="Arial" w:eastAsia="Arial" w:hAnsi="Arial" w:cs="Arial"/>
                <w:spacing w:val="45"/>
              </w:rPr>
              <w:t xml:space="preserve"> </w:t>
            </w:r>
            <w:r>
              <w:rPr>
                <w:rFonts w:ascii="Arial" w:eastAsia="Arial" w:hAnsi="Arial" w:cs="Arial"/>
                <w:spacing w:val="-1"/>
              </w:rPr>
              <w:t>in</w:t>
            </w:r>
            <w:r>
              <w:rPr>
                <w:rFonts w:ascii="Arial" w:eastAsia="Arial" w:hAnsi="Arial" w:cs="Arial"/>
                <w:spacing w:val="43"/>
              </w:rPr>
              <w:t xml:space="preserve"> </w:t>
            </w:r>
            <w:r>
              <w:rPr>
                <w:rFonts w:ascii="Arial" w:eastAsia="Arial" w:hAnsi="Arial" w:cs="Arial"/>
                <w:spacing w:val="-1"/>
              </w:rPr>
              <w:t>Part</w:t>
            </w:r>
            <w:r>
              <w:rPr>
                <w:rFonts w:ascii="Arial" w:eastAsia="Arial" w:hAnsi="Arial" w:cs="Arial"/>
                <w:spacing w:val="45"/>
              </w:rPr>
              <w:t xml:space="preserve"> </w:t>
            </w:r>
            <w:r>
              <w:rPr>
                <w:rFonts w:ascii="Arial" w:eastAsia="Arial" w:hAnsi="Arial" w:cs="Arial"/>
              </w:rPr>
              <w:t>B</w:t>
            </w:r>
            <w:r>
              <w:rPr>
                <w:rFonts w:ascii="Arial" w:eastAsia="Arial" w:hAnsi="Arial" w:cs="Arial"/>
                <w:spacing w:val="43"/>
              </w:rPr>
              <w:t xml:space="preserve"> </w:t>
            </w:r>
            <w:r>
              <w:rPr>
                <w:rFonts w:ascii="Arial" w:eastAsia="Arial" w:hAnsi="Arial" w:cs="Arial"/>
                <w:spacing w:val="-2"/>
              </w:rPr>
              <w:t>of</w:t>
            </w:r>
            <w:r>
              <w:rPr>
                <w:rFonts w:ascii="Arial" w:eastAsia="Arial" w:hAnsi="Arial" w:cs="Arial"/>
                <w:spacing w:val="48"/>
              </w:rPr>
              <w:t xml:space="preserve"> </w:t>
            </w:r>
            <w:r>
              <w:rPr>
                <w:rFonts w:ascii="Arial" w:eastAsia="Arial" w:hAnsi="Arial" w:cs="Arial"/>
                <w:spacing w:val="-2"/>
              </w:rPr>
              <w:t>Framework</w:t>
            </w:r>
            <w:r>
              <w:rPr>
                <w:rFonts w:ascii="Arial" w:eastAsia="Arial" w:hAnsi="Arial" w:cs="Arial"/>
                <w:spacing w:val="46"/>
              </w:rPr>
              <w:t xml:space="preserve"> </w:t>
            </w:r>
            <w:r>
              <w:rPr>
                <w:rFonts w:ascii="Arial" w:eastAsia="Arial" w:hAnsi="Arial" w:cs="Arial"/>
                <w:spacing w:val="-1"/>
              </w:rPr>
              <w:t>Schedule</w:t>
            </w:r>
            <w:r>
              <w:rPr>
                <w:rFonts w:ascii="Arial" w:eastAsia="Arial" w:hAnsi="Arial" w:cs="Arial"/>
                <w:spacing w:val="43"/>
              </w:rPr>
              <w:t xml:space="preserve"> </w:t>
            </w:r>
            <w:r>
              <w:rPr>
                <w:rFonts w:ascii="Arial" w:eastAsia="Arial" w:hAnsi="Arial" w:cs="Arial"/>
              </w:rPr>
              <w:t>2</w:t>
            </w:r>
            <w:r>
              <w:rPr>
                <w:rFonts w:ascii="Arial" w:eastAsia="Arial" w:hAnsi="Arial" w:cs="Arial"/>
                <w:spacing w:val="33"/>
              </w:rPr>
              <w:t xml:space="preserve"> </w:t>
            </w:r>
            <w:r>
              <w:rPr>
                <w:rFonts w:ascii="Arial" w:eastAsia="Arial" w:hAnsi="Arial" w:cs="Arial"/>
                <w:spacing w:val="-1"/>
              </w:rPr>
              <w:t>(Goods</w:t>
            </w:r>
            <w:r>
              <w:rPr>
                <w:rFonts w:ascii="Arial" w:eastAsia="Arial" w:hAnsi="Arial" w:cs="Arial"/>
                <w:spacing w:val="-2"/>
              </w:rPr>
              <w:t xml:space="preserve"> </w:t>
            </w:r>
            <w:r>
              <w:rPr>
                <w:rFonts w:ascii="Arial" w:eastAsia="Arial" w:hAnsi="Arial" w:cs="Arial"/>
                <w:spacing w:val="-1"/>
              </w:rPr>
              <w:t>and/or</w:t>
            </w:r>
            <w:r>
              <w:rPr>
                <w:rFonts w:ascii="Arial" w:eastAsia="Arial" w:hAnsi="Arial" w:cs="Arial"/>
                <w:spacing w:val="2"/>
              </w:rPr>
              <w:t xml:space="preserve"> </w:t>
            </w:r>
            <w:r>
              <w:rPr>
                <w:rFonts w:ascii="Arial" w:eastAsia="Arial" w:hAnsi="Arial" w:cs="Arial"/>
                <w:spacing w:val="-2"/>
              </w:rPr>
              <w:t xml:space="preserve">Services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Key</w:t>
            </w:r>
            <w:r>
              <w:rPr>
                <w:rFonts w:ascii="Arial" w:eastAsia="Arial" w:hAnsi="Arial" w:cs="Arial"/>
                <w:spacing w:val="-2"/>
              </w:rPr>
              <w:t xml:space="preserve"> </w:t>
            </w:r>
            <w:r>
              <w:rPr>
                <w:rFonts w:ascii="Arial" w:eastAsia="Arial" w:hAnsi="Arial" w:cs="Arial"/>
                <w:spacing w:val="-1"/>
              </w:rPr>
              <w:t>Performance</w:t>
            </w:r>
            <w:r>
              <w:rPr>
                <w:rFonts w:ascii="Arial" w:eastAsia="Arial" w:hAnsi="Arial" w:cs="Arial"/>
                <w:spacing w:val="-2"/>
              </w:rPr>
              <w:t xml:space="preserve"> </w:t>
            </w:r>
            <w:r>
              <w:rPr>
                <w:rFonts w:ascii="Arial" w:eastAsia="Arial" w:hAnsi="Arial" w:cs="Arial"/>
                <w:spacing w:val="-1"/>
              </w:rPr>
              <w:t>Indicators);</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rPr>
              <w:t>"Key</w:t>
            </w:r>
            <w:r>
              <w:rPr>
                <w:rFonts w:ascii="Arial"/>
                <w:b/>
                <w:spacing w:val="-4"/>
              </w:rPr>
              <w:t xml:space="preserve"> </w:t>
            </w:r>
            <w:r>
              <w:rPr>
                <w:rFonts w:ascii="Arial"/>
                <w:b/>
                <w:spacing w:val="-1"/>
              </w:rPr>
              <w:t>Personnel"</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13"/>
              </w:rPr>
              <w:t xml:space="preserve"> </w:t>
            </w:r>
            <w:r>
              <w:rPr>
                <w:rFonts w:ascii="Arial"/>
              </w:rPr>
              <w:t>the</w:t>
            </w:r>
            <w:r>
              <w:rPr>
                <w:rFonts w:ascii="Arial"/>
                <w:spacing w:val="15"/>
              </w:rPr>
              <w:t xml:space="preserve"> </w:t>
            </w:r>
            <w:r>
              <w:rPr>
                <w:rFonts w:ascii="Arial"/>
                <w:spacing w:val="-2"/>
              </w:rPr>
              <w:t>individuals</w:t>
            </w:r>
            <w:r>
              <w:rPr>
                <w:rFonts w:ascii="Arial"/>
                <w:spacing w:val="15"/>
              </w:rPr>
              <w:t xml:space="preserve"> </w:t>
            </w:r>
            <w:r>
              <w:rPr>
                <w:rFonts w:ascii="Arial"/>
                <w:spacing w:val="-1"/>
              </w:rPr>
              <w:t>(if</w:t>
            </w:r>
            <w:r>
              <w:rPr>
                <w:rFonts w:ascii="Arial"/>
                <w:spacing w:val="17"/>
              </w:rPr>
              <w:t xml:space="preserve"> </w:t>
            </w:r>
            <w:r>
              <w:rPr>
                <w:rFonts w:ascii="Arial"/>
                <w:spacing w:val="-2"/>
              </w:rPr>
              <w:t>any)</w:t>
            </w:r>
            <w:r>
              <w:rPr>
                <w:rFonts w:ascii="Arial"/>
                <w:spacing w:val="16"/>
              </w:rPr>
              <w:t xml:space="preserve"> </w:t>
            </w:r>
            <w:r>
              <w:rPr>
                <w:rFonts w:ascii="Arial"/>
                <w:spacing w:val="-1"/>
              </w:rPr>
              <w:t>identified</w:t>
            </w:r>
            <w:r>
              <w:rPr>
                <w:rFonts w:ascii="Arial"/>
                <w:spacing w:val="15"/>
              </w:rPr>
              <w:t xml:space="preserve"> </w:t>
            </w:r>
            <w:r>
              <w:rPr>
                <w:rFonts w:ascii="Arial"/>
                <w:spacing w:val="-1"/>
              </w:rPr>
              <w:t>as</w:t>
            </w:r>
            <w:r>
              <w:rPr>
                <w:rFonts w:ascii="Arial"/>
                <w:spacing w:val="13"/>
              </w:rPr>
              <w:t xml:space="preserve"> </w:t>
            </w:r>
            <w:r>
              <w:rPr>
                <w:rFonts w:ascii="Arial"/>
                <w:spacing w:val="-1"/>
              </w:rPr>
              <w:t>such</w:t>
            </w:r>
            <w:r>
              <w:rPr>
                <w:rFonts w:ascii="Arial"/>
                <w:spacing w:val="15"/>
              </w:rPr>
              <w:t xml:space="preserve"> </w:t>
            </w:r>
            <w:r>
              <w:rPr>
                <w:rFonts w:ascii="Arial"/>
                <w:spacing w:val="-2"/>
              </w:rPr>
              <w:t>in</w:t>
            </w:r>
            <w:r>
              <w:rPr>
                <w:rFonts w:ascii="Arial"/>
                <w:spacing w:val="15"/>
              </w:rPr>
              <w:t xml:space="preserve"> </w:t>
            </w:r>
            <w:r>
              <w:rPr>
                <w:rFonts w:ascii="Arial"/>
                <w:spacing w:val="-1"/>
              </w:rPr>
              <w:t>Part</w:t>
            </w:r>
            <w:r>
              <w:rPr>
                <w:rFonts w:ascii="Arial"/>
                <w:spacing w:val="14"/>
              </w:rPr>
              <w:t xml:space="preserve"> </w:t>
            </w:r>
            <w:r>
              <w:rPr>
                <w:rFonts w:ascii="Arial"/>
              </w:rPr>
              <w:t>C</w:t>
            </w:r>
            <w:r>
              <w:rPr>
                <w:rFonts w:ascii="Arial"/>
                <w:spacing w:val="39"/>
              </w:rPr>
              <w:t xml:space="preserve"> </w:t>
            </w:r>
            <w:r>
              <w:rPr>
                <w:rFonts w:ascii="Arial"/>
                <w:spacing w:val="-2"/>
              </w:rPr>
              <w:t>of</w:t>
            </w:r>
            <w:r>
              <w:rPr>
                <w:rFonts w:ascii="Arial"/>
                <w:spacing w:val="47"/>
              </w:rPr>
              <w:t xml:space="preserve"> </w:t>
            </w:r>
            <w:r>
              <w:rPr>
                <w:rFonts w:ascii="Arial"/>
                <w:spacing w:val="-2"/>
              </w:rPr>
              <w:t>Call</w:t>
            </w:r>
            <w:r>
              <w:rPr>
                <w:rFonts w:ascii="Arial"/>
                <w:spacing w:val="43"/>
              </w:rPr>
              <w:t xml:space="preserve"> </w:t>
            </w:r>
            <w:r>
              <w:rPr>
                <w:rFonts w:ascii="Arial"/>
              </w:rPr>
              <w:t>Off</w:t>
            </w:r>
            <w:r>
              <w:rPr>
                <w:rFonts w:ascii="Arial"/>
                <w:spacing w:val="47"/>
              </w:rPr>
              <w:t xml:space="preserve"> </w:t>
            </w:r>
            <w:r>
              <w:rPr>
                <w:rFonts w:ascii="Arial"/>
                <w:spacing w:val="-1"/>
              </w:rPr>
              <w:t>Schedule</w:t>
            </w:r>
            <w:r>
              <w:rPr>
                <w:rFonts w:ascii="Arial"/>
                <w:spacing w:val="43"/>
              </w:rPr>
              <w:t xml:space="preserve"> </w:t>
            </w:r>
            <w:r>
              <w:rPr>
                <w:rFonts w:ascii="Arial"/>
              </w:rPr>
              <w:t>4</w:t>
            </w:r>
            <w:r>
              <w:rPr>
                <w:rFonts w:ascii="Arial"/>
                <w:spacing w:val="43"/>
              </w:rPr>
              <w:t xml:space="preserve"> </w:t>
            </w:r>
            <w:r>
              <w:rPr>
                <w:rFonts w:ascii="Arial"/>
                <w:spacing w:val="-1"/>
              </w:rPr>
              <w:t>(Implementation</w:t>
            </w:r>
            <w:r>
              <w:rPr>
                <w:rFonts w:ascii="Arial"/>
                <w:spacing w:val="43"/>
              </w:rPr>
              <w:t xml:space="preserve"> </w:t>
            </w:r>
            <w:r>
              <w:rPr>
                <w:rFonts w:ascii="Arial"/>
                <w:spacing w:val="-1"/>
              </w:rPr>
              <w:t>Plan,</w:t>
            </w:r>
            <w:r>
              <w:rPr>
                <w:rFonts w:ascii="Arial"/>
                <w:spacing w:val="46"/>
              </w:rPr>
              <w:t xml:space="preserve"> </w:t>
            </w:r>
            <w:r>
              <w:rPr>
                <w:rFonts w:ascii="Arial"/>
                <w:spacing w:val="-1"/>
              </w:rPr>
              <w:t>Customer</w:t>
            </w:r>
            <w:r>
              <w:rPr>
                <w:rFonts w:ascii="Arial"/>
                <w:spacing w:val="21"/>
              </w:rPr>
              <w:t xml:space="preserve"> </w:t>
            </w:r>
            <w:r>
              <w:rPr>
                <w:rFonts w:ascii="Arial"/>
                <w:spacing w:val="-2"/>
              </w:rPr>
              <w:t>Responsibilities</w:t>
            </w:r>
            <w:r>
              <w:rPr>
                <w:rFonts w:ascii="Arial"/>
                <w:spacing w:val="1"/>
              </w:rPr>
              <w:t xml:space="preserve"> </w:t>
            </w:r>
            <w:r>
              <w:rPr>
                <w:rFonts w:ascii="Arial"/>
                <w:spacing w:val="-1"/>
              </w:rPr>
              <w:t>and</w:t>
            </w:r>
            <w:r>
              <w:rPr>
                <w:rFonts w:ascii="Arial"/>
              </w:rPr>
              <w:t xml:space="preserve"> </w:t>
            </w:r>
            <w:r>
              <w:rPr>
                <w:rFonts w:ascii="Arial"/>
                <w:spacing w:val="-1"/>
              </w:rPr>
              <w:t>Key</w:t>
            </w:r>
            <w:r>
              <w:rPr>
                <w:rFonts w:ascii="Arial"/>
                <w:spacing w:val="1"/>
              </w:rPr>
              <w:t xml:space="preserve"> </w:t>
            </w:r>
            <w:r>
              <w:rPr>
                <w:rFonts w:ascii="Arial"/>
                <w:spacing w:val="-1"/>
              </w:rPr>
              <w:t>Personnel);</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rPr>
              <w:t>"Key</w:t>
            </w:r>
            <w:r>
              <w:rPr>
                <w:rFonts w:ascii="Arial"/>
                <w:b/>
                <w:spacing w:val="-4"/>
              </w:rPr>
              <w:t xml:space="preserve"> </w:t>
            </w:r>
            <w:r>
              <w:rPr>
                <w:rFonts w:ascii="Arial"/>
                <w:b/>
                <w:spacing w:val="-1"/>
              </w:rPr>
              <w:t xml:space="preserve">Role(s) </w:t>
            </w:r>
            <w:r>
              <w:rPr>
                <w:rFonts w:ascii="Arial"/>
                <w:b/>
              </w:rPr>
              <w: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97"/>
              <w:rPr>
                <w:rFonts w:ascii="Arial" w:eastAsia="Arial" w:hAnsi="Arial" w:cs="Arial"/>
              </w:rPr>
            </w:pPr>
            <w:r>
              <w:rPr>
                <w:rFonts w:ascii="Arial"/>
                <w:spacing w:val="-1"/>
              </w:rPr>
              <w:t>has</w:t>
            </w:r>
            <w:r>
              <w:rPr>
                <w:rFonts w:ascii="Arial"/>
              </w:rPr>
              <w:t xml:space="preserve"> </w:t>
            </w:r>
            <w:r>
              <w:rPr>
                <w:rFonts w:ascii="Arial"/>
                <w:spacing w:val="57"/>
              </w:rPr>
              <w:t xml:space="preserve"> </w:t>
            </w:r>
            <w:r>
              <w:rPr>
                <w:rFonts w:ascii="Arial"/>
              </w:rPr>
              <w:t xml:space="preserve">the </w:t>
            </w:r>
            <w:r>
              <w:rPr>
                <w:rFonts w:ascii="Arial"/>
                <w:spacing w:val="54"/>
              </w:rPr>
              <w:t xml:space="preserve"> </w:t>
            </w:r>
            <w:r>
              <w:rPr>
                <w:rFonts w:ascii="Arial"/>
                <w:spacing w:val="-2"/>
              </w:rPr>
              <w:t>meaning</w:t>
            </w:r>
            <w:r>
              <w:rPr>
                <w:rFonts w:ascii="Arial"/>
              </w:rPr>
              <w:t xml:space="preserve"> </w:t>
            </w:r>
            <w:r>
              <w:rPr>
                <w:rFonts w:ascii="Arial"/>
                <w:spacing w:val="57"/>
              </w:rPr>
              <w:t xml:space="preserve"> </w:t>
            </w:r>
            <w:r>
              <w:rPr>
                <w:rFonts w:ascii="Arial"/>
                <w:spacing w:val="-1"/>
              </w:rPr>
              <w:t>given</w:t>
            </w:r>
            <w:r>
              <w:rPr>
                <w:rFonts w:ascii="Arial"/>
              </w:rPr>
              <w:t xml:space="preserve"> </w:t>
            </w:r>
            <w:r>
              <w:rPr>
                <w:rFonts w:ascii="Arial"/>
                <w:spacing w:val="57"/>
              </w:rPr>
              <w:t xml:space="preserve"> </w:t>
            </w:r>
            <w:r>
              <w:rPr>
                <w:rFonts w:ascii="Arial"/>
              </w:rPr>
              <w:t xml:space="preserve">to </w:t>
            </w:r>
            <w:r>
              <w:rPr>
                <w:rFonts w:ascii="Arial"/>
                <w:spacing w:val="57"/>
              </w:rPr>
              <w:t xml:space="preserve"> </w:t>
            </w:r>
            <w:r>
              <w:rPr>
                <w:rFonts w:ascii="Arial"/>
                <w:spacing w:val="-1"/>
              </w:rPr>
              <w:t>it</w:t>
            </w:r>
            <w:r>
              <w:rPr>
                <w:rFonts w:ascii="Arial"/>
              </w:rPr>
              <w:t xml:space="preserve"> </w:t>
            </w:r>
            <w:r>
              <w:rPr>
                <w:rFonts w:ascii="Arial"/>
                <w:spacing w:val="56"/>
              </w:rPr>
              <w:t xml:space="preserve"> </w:t>
            </w:r>
            <w:r>
              <w:rPr>
                <w:rFonts w:ascii="Arial"/>
                <w:spacing w:val="-1"/>
              </w:rPr>
              <w:t>in</w:t>
            </w:r>
            <w:r>
              <w:rPr>
                <w:rFonts w:ascii="Arial"/>
              </w:rPr>
              <w:t xml:space="preserve"> </w:t>
            </w:r>
            <w:r>
              <w:rPr>
                <w:rFonts w:ascii="Arial"/>
                <w:spacing w:val="58"/>
              </w:rPr>
              <w:t xml:space="preserve"> </w:t>
            </w:r>
            <w:r>
              <w:rPr>
                <w:rFonts w:ascii="Arial"/>
                <w:spacing w:val="-2"/>
              </w:rPr>
              <w:t>Clause</w:t>
            </w:r>
            <w:r>
              <w:rPr>
                <w:rFonts w:ascii="Arial"/>
              </w:rPr>
              <w:t xml:space="preserve"> </w:t>
            </w:r>
            <w:r>
              <w:rPr>
                <w:rFonts w:ascii="Arial"/>
                <w:spacing w:val="59"/>
              </w:rPr>
              <w:t xml:space="preserve"> </w:t>
            </w:r>
            <w:hyperlink w:anchor="_bookmark139" w:history="1">
              <w:r>
                <w:rPr>
                  <w:rFonts w:ascii="Arial"/>
                  <w:spacing w:val="-1"/>
                </w:rPr>
                <w:t>26.1</w:t>
              </w:r>
            </w:hyperlink>
            <w:r>
              <w:rPr>
                <w:rFonts w:ascii="Arial"/>
              </w:rPr>
              <w:t xml:space="preserve"> </w:t>
            </w:r>
            <w:r>
              <w:rPr>
                <w:rFonts w:ascii="Arial"/>
                <w:spacing w:val="57"/>
              </w:rPr>
              <w:t xml:space="preserve"> </w:t>
            </w:r>
            <w:r>
              <w:rPr>
                <w:rFonts w:ascii="Arial"/>
                <w:spacing w:val="-1"/>
              </w:rPr>
              <w:t>(Key</w:t>
            </w:r>
            <w:r>
              <w:rPr>
                <w:rFonts w:ascii="Arial"/>
                <w:spacing w:val="35"/>
              </w:rPr>
              <w:t xml:space="preserve"> </w:t>
            </w:r>
            <w:r>
              <w:rPr>
                <w:rFonts w:ascii="Arial"/>
                <w:spacing w:val="-1"/>
              </w:rPr>
              <w:t>Personnel);</w:t>
            </w:r>
          </w:p>
        </w:tc>
      </w:tr>
      <w:tr w:rsidR="008918FA" w:rsidTr="001C1527">
        <w:trPr>
          <w:trHeight w:hRule="exact" w:val="389"/>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47" w:lineRule="exact"/>
              <w:ind w:left="-6"/>
              <w:rPr>
                <w:rFonts w:ascii="Arial" w:eastAsia="Arial" w:hAnsi="Arial" w:cs="Arial"/>
              </w:rPr>
            </w:pPr>
            <w:r>
              <w:rPr>
                <w:rFonts w:ascii="Arial"/>
                <w:b/>
              </w:rPr>
              <w:t>"Key</w:t>
            </w:r>
            <w:r>
              <w:rPr>
                <w:rFonts w:ascii="Arial"/>
                <w:b/>
                <w:spacing w:val="-4"/>
              </w:rPr>
              <w:t xml:space="preserve"> </w:t>
            </w:r>
            <w:r>
              <w:rPr>
                <w:rFonts w:ascii="Arial"/>
                <w:b/>
                <w:spacing w:val="-1"/>
              </w:rPr>
              <w:t>Sub-Contract"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spacing w:val="-2"/>
              </w:rPr>
              <w:t>each</w:t>
            </w:r>
            <w:r>
              <w:rPr>
                <w:rFonts w:ascii="Arial"/>
                <w:spacing w:val="1"/>
              </w:rPr>
              <w:t xml:space="preserve"> </w:t>
            </w:r>
            <w:r>
              <w:rPr>
                <w:rFonts w:ascii="Arial"/>
                <w:spacing w:val="-1"/>
              </w:rPr>
              <w:t>Sub-Contract</w:t>
            </w:r>
            <w:r>
              <w:rPr>
                <w:rFonts w:ascii="Arial"/>
                <w:spacing w:val="2"/>
              </w:rPr>
              <w:t xml:space="preserve"> </w:t>
            </w:r>
            <w:r>
              <w:rPr>
                <w:rFonts w:ascii="Arial"/>
                <w:spacing w:val="-2"/>
              </w:rPr>
              <w:t>with</w:t>
            </w:r>
            <w:r>
              <w:rPr>
                <w:rFonts w:ascii="Arial"/>
              </w:rPr>
              <w:t xml:space="preserve"> a </w:t>
            </w:r>
            <w:r>
              <w:rPr>
                <w:rFonts w:ascii="Arial"/>
                <w:spacing w:val="-1"/>
              </w:rPr>
              <w:t>Key</w:t>
            </w:r>
            <w:r>
              <w:rPr>
                <w:rFonts w:ascii="Arial"/>
                <w:spacing w:val="-2"/>
              </w:rPr>
              <w:t xml:space="preserve"> </w:t>
            </w:r>
            <w:r>
              <w:rPr>
                <w:rFonts w:ascii="Arial"/>
                <w:spacing w:val="-1"/>
              </w:rPr>
              <w:t>Sub-Contractor;</w:t>
            </w:r>
          </w:p>
        </w:tc>
      </w:tr>
      <w:tr w:rsidR="008918FA" w:rsidTr="005D2B81">
        <w:trPr>
          <w:trHeight w:hRule="exact" w:val="3530"/>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rPr>
              <w:t>"Key</w:t>
            </w:r>
            <w:r>
              <w:rPr>
                <w:rFonts w:ascii="Arial"/>
                <w:b/>
                <w:spacing w:val="-4"/>
              </w:rPr>
              <w:t xml:space="preserve"> </w:t>
            </w:r>
            <w:r>
              <w:rPr>
                <w:rFonts w:ascii="Arial"/>
                <w:b/>
                <w:spacing w:val="-1"/>
              </w:rPr>
              <w:t>Sub-Contractor"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spacing w:val="-1"/>
              </w:rPr>
              <w:t>any</w:t>
            </w:r>
            <w:r>
              <w:rPr>
                <w:rFonts w:ascii="Arial"/>
                <w:spacing w:val="-2"/>
              </w:rPr>
              <w:t xml:space="preserve"> </w:t>
            </w:r>
            <w:r>
              <w:rPr>
                <w:rFonts w:ascii="Arial"/>
                <w:spacing w:val="-1"/>
              </w:rPr>
              <w:t>Sub-Contractor:</w:t>
            </w:r>
          </w:p>
          <w:p w:rsidR="008918FA" w:rsidRDefault="008918FA" w:rsidP="005D2B81">
            <w:pPr>
              <w:pStyle w:val="ListParagraph"/>
              <w:numPr>
                <w:ilvl w:val="0"/>
                <w:numId w:val="42"/>
              </w:numPr>
              <w:tabs>
                <w:tab w:val="left" w:pos="820"/>
              </w:tabs>
              <w:spacing w:before="119"/>
              <w:ind w:right="100" w:hanging="544"/>
              <w:jc w:val="both"/>
              <w:rPr>
                <w:rFonts w:ascii="Arial" w:eastAsia="Arial" w:hAnsi="Arial" w:cs="Arial"/>
              </w:rPr>
            </w:pPr>
            <w:r>
              <w:rPr>
                <w:rFonts w:ascii="Arial"/>
                <w:spacing w:val="-1"/>
              </w:rPr>
              <w:t>listed</w:t>
            </w:r>
            <w:r>
              <w:rPr>
                <w:rFonts w:ascii="Arial"/>
                <w:spacing w:val="46"/>
              </w:rPr>
              <w:t xml:space="preserve"> </w:t>
            </w:r>
            <w:r>
              <w:rPr>
                <w:rFonts w:ascii="Arial"/>
                <w:spacing w:val="-1"/>
              </w:rPr>
              <w:t>in</w:t>
            </w:r>
            <w:r>
              <w:rPr>
                <w:rFonts w:ascii="Arial"/>
                <w:spacing w:val="46"/>
              </w:rPr>
              <w:t xml:space="preserve"> </w:t>
            </w:r>
            <w:r>
              <w:rPr>
                <w:rFonts w:ascii="Arial"/>
                <w:spacing w:val="-1"/>
              </w:rPr>
              <w:t>Framework</w:t>
            </w:r>
            <w:r>
              <w:rPr>
                <w:rFonts w:ascii="Arial"/>
                <w:spacing w:val="46"/>
              </w:rPr>
              <w:t xml:space="preserve"> </w:t>
            </w:r>
            <w:r>
              <w:rPr>
                <w:rFonts w:ascii="Arial"/>
                <w:spacing w:val="-1"/>
              </w:rPr>
              <w:t>Schedule</w:t>
            </w:r>
            <w:r>
              <w:rPr>
                <w:rFonts w:ascii="Arial"/>
                <w:spacing w:val="46"/>
              </w:rPr>
              <w:t xml:space="preserve"> </w:t>
            </w:r>
            <w:r>
              <w:rPr>
                <w:rFonts w:ascii="Arial"/>
              </w:rPr>
              <w:t>7</w:t>
            </w:r>
            <w:r>
              <w:rPr>
                <w:rFonts w:ascii="Arial"/>
                <w:spacing w:val="46"/>
              </w:rPr>
              <w:t xml:space="preserve"> </w:t>
            </w:r>
            <w:r>
              <w:rPr>
                <w:rFonts w:ascii="Arial"/>
                <w:spacing w:val="-1"/>
              </w:rPr>
              <w:t>(Key</w:t>
            </w:r>
            <w:r>
              <w:rPr>
                <w:rFonts w:ascii="Arial"/>
                <w:spacing w:val="46"/>
              </w:rPr>
              <w:t xml:space="preserve"> </w:t>
            </w:r>
            <w:r>
              <w:rPr>
                <w:rFonts w:ascii="Arial"/>
                <w:spacing w:val="-1"/>
              </w:rPr>
              <w:t>Sub-</w:t>
            </w:r>
            <w:r>
              <w:rPr>
                <w:rFonts w:ascii="Arial"/>
                <w:spacing w:val="27"/>
              </w:rPr>
              <w:t xml:space="preserve"> </w:t>
            </w:r>
            <w:r>
              <w:rPr>
                <w:rFonts w:ascii="Arial"/>
                <w:spacing w:val="-1"/>
              </w:rPr>
              <w:t>Contractors);</w:t>
            </w:r>
          </w:p>
          <w:p w:rsidR="008918FA" w:rsidRDefault="008918FA" w:rsidP="005D2B81">
            <w:pPr>
              <w:pStyle w:val="ListParagraph"/>
              <w:numPr>
                <w:ilvl w:val="0"/>
                <w:numId w:val="42"/>
              </w:numPr>
              <w:tabs>
                <w:tab w:val="left" w:pos="820"/>
              </w:tabs>
              <w:spacing w:before="119"/>
              <w:ind w:right="100" w:hanging="544"/>
              <w:jc w:val="both"/>
              <w:rPr>
                <w:rFonts w:ascii="Arial" w:eastAsia="Arial" w:hAnsi="Arial" w:cs="Arial"/>
              </w:rPr>
            </w:pPr>
            <w:r>
              <w:rPr>
                <w:rFonts w:ascii="Arial"/>
                <w:spacing w:val="-1"/>
              </w:rPr>
              <w:t>which,</w:t>
            </w:r>
            <w:r>
              <w:rPr>
                <w:rFonts w:ascii="Arial"/>
                <w:spacing w:val="39"/>
              </w:rPr>
              <w:t xml:space="preserve"> </w:t>
            </w:r>
            <w:r>
              <w:rPr>
                <w:rFonts w:ascii="Arial"/>
                <w:spacing w:val="-1"/>
              </w:rPr>
              <w:t>in</w:t>
            </w:r>
            <w:r>
              <w:rPr>
                <w:rFonts w:ascii="Arial"/>
                <w:spacing w:val="37"/>
              </w:rPr>
              <w:t xml:space="preserve"> </w:t>
            </w:r>
            <w:r>
              <w:rPr>
                <w:rFonts w:ascii="Arial"/>
              </w:rPr>
              <w:t>the</w:t>
            </w:r>
            <w:r>
              <w:rPr>
                <w:rFonts w:ascii="Arial"/>
                <w:spacing w:val="37"/>
              </w:rPr>
              <w:t xml:space="preserve"> </w:t>
            </w:r>
            <w:r>
              <w:rPr>
                <w:rFonts w:ascii="Arial"/>
                <w:spacing w:val="-2"/>
              </w:rPr>
              <w:t>opinion</w:t>
            </w:r>
            <w:r>
              <w:rPr>
                <w:rFonts w:ascii="Arial"/>
                <w:spacing w:val="37"/>
              </w:rPr>
              <w:t xml:space="preserve"> </w:t>
            </w:r>
            <w:r>
              <w:rPr>
                <w:rFonts w:ascii="Arial"/>
                <w:spacing w:val="-2"/>
              </w:rPr>
              <w:t>of</w:t>
            </w:r>
            <w:r>
              <w:rPr>
                <w:rFonts w:ascii="Arial"/>
                <w:spacing w:val="41"/>
              </w:rPr>
              <w:t xml:space="preserve"> </w:t>
            </w:r>
            <w:r>
              <w:rPr>
                <w:rFonts w:ascii="Arial"/>
              </w:rPr>
              <w:t>the</w:t>
            </w:r>
            <w:r>
              <w:rPr>
                <w:rFonts w:ascii="Arial"/>
                <w:spacing w:val="37"/>
              </w:rPr>
              <w:t xml:space="preserve"> </w:t>
            </w:r>
            <w:r>
              <w:rPr>
                <w:rFonts w:ascii="Arial"/>
                <w:spacing w:val="-1"/>
              </w:rPr>
              <w:t>Authority</w:t>
            </w:r>
            <w:r>
              <w:rPr>
                <w:rFonts w:ascii="Arial"/>
                <w:spacing w:val="36"/>
              </w:rPr>
              <w:t xml:space="preserve"> </w:t>
            </w:r>
            <w:r>
              <w:rPr>
                <w:rFonts w:ascii="Arial"/>
                <w:spacing w:val="-1"/>
              </w:rPr>
              <w:t>and</w:t>
            </w:r>
            <w:r>
              <w:rPr>
                <w:rFonts w:ascii="Arial"/>
                <w:spacing w:val="37"/>
              </w:rPr>
              <w:t xml:space="preserve"> </w:t>
            </w:r>
            <w:r>
              <w:rPr>
                <w:rFonts w:ascii="Arial"/>
                <w:spacing w:val="-2"/>
              </w:rPr>
              <w:t>the</w:t>
            </w:r>
            <w:r>
              <w:rPr>
                <w:rFonts w:ascii="Arial"/>
                <w:spacing w:val="26"/>
              </w:rPr>
              <w:t xml:space="preserve"> </w:t>
            </w:r>
            <w:r>
              <w:rPr>
                <w:rFonts w:ascii="Arial"/>
                <w:spacing w:val="-1"/>
              </w:rPr>
              <w:t>Customer,</w:t>
            </w:r>
            <w:r>
              <w:rPr>
                <w:rFonts w:ascii="Arial"/>
                <w:spacing w:val="21"/>
              </w:rPr>
              <w:t xml:space="preserve"> </w:t>
            </w:r>
            <w:r>
              <w:rPr>
                <w:rFonts w:ascii="Arial"/>
                <w:spacing w:val="-1"/>
              </w:rPr>
              <w:t>performs</w:t>
            </w:r>
            <w:r>
              <w:rPr>
                <w:rFonts w:ascii="Arial"/>
                <w:spacing w:val="18"/>
              </w:rPr>
              <w:t xml:space="preserve"> </w:t>
            </w:r>
            <w:r>
              <w:rPr>
                <w:rFonts w:ascii="Arial"/>
                <w:spacing w:val="-1"/>
              </w:rPr>
              <w:t>(or</w:t>
            </w:r>
            <w:r>
              <w:rPr>
                <w:rFonts w:ascii="Arial"/>
                <w:spacing w:val="19"/>
              </w:rPr>
              <w:t xml:space="preserve"> </w:t>
            </w:r>
            <w:r>
              <w:rPr>
                <w:rFonts w:ascii="Arial"/>
                <w:spacing w:val="-1"/>
              </w:rPr>
              <w:t>would</w:t>
            </w:r>
            <w:r>
              <w:rPr>
                <w:rFonts w:ascii="Arial"/>
                <w:spacing w:val="20"/>
              </w:rPr>
              <w:t xml:space="preserve"> </w:t>
            </w:r>
            <w:r>
              <w:rPr>
                <w:rFonts w:ascii="Arial"/>
                <w:spacing w:val="-1"/>
              </w:rPr>
              <w:t>perform</w:t>
            </w:r>
            <w:r>
              <w:rPr>
                <w:rFonts w:ascii="Arial"/>
                <w:spacing w:val="21"/>
              </w:rPr>
              <w:t xml:space="preserve"> </w:t>
            </w:r>
            <w:r>
              <w:rPr>
                <w:rFonts w:ascii="Arial"/>
                <w:spacing w:val="-2"/>
              </w:rPr>
              <w:t>if</w:t>
            </w:r>
            <w:r>
              <w:rPr>
                <w:rFonts w:ascii="Arial"/>
                <w:spacing w:val="23"/>
              </w:rPr>
              <w:t xml:space="preserve"> </w:t>
            </w:r>
            <w:r>
              <w:rPr>
                <w:rFonts w:ascii="Arial"/>
                <w:spacing w:val="-2"/>
              </w:rPr>
              <w:t>appointed)</w:t>
            </w:r>
            <w:r>
              <w:rPr>
                <w:rFonts w:ascii="Arial"/>
                <w:spacing w:val="34"/>
              </w:rPr>
              <w:t xml:space="preserve"> </w:t>
            </w:r>
            <w:r>
              <w:rPr>
                <w:rFonts w:ascii="Arial"/>
              </w:rPr>
              <w:t>a</w:t>
            </w:r>
            <w:r>
              <w:rPr>
                <w:rFonts w:ascii="Arial"/>
                <w:spacing w:val="7"/>
              </w:rPr>
              <w:t xml:space="preserve"> </w:t>
            </w:r>
            <w:r>
              <w:rPr>
                <w:rFonts w:ascii="Arial"/>
                <w:spacing w:val="-1"/>
              </w:rPr>
              <w:t>critical</w:t>
            </w:r>
            <w:r>
              <w:rPr>
                <w:rFonts w:ascii="Arial"/>
                <w:spacing w:val="7"/>
              </w:rPr>
              <w:t xml:space="preserve"> </w:t>
            </w:r>
            <w:r>
              <w:rPr>
                <w:rFonts w:ascii="Arial"/>
                <w:spacing w:val="-1"/>
              </w:rPr>
              <w:t>role</w:t>
            </w:r>
            <w:r>
              <w:rPr>
                <w:rFonts w:ascii="Arial"/>
                <w:spacing w:val="7"/>
              </w:rPr>
              <w:t xml:space="preserve"> </w:t>
            </w:r>
            <w:r>
              <w:rPr>
                <w:rFonts w:ascii="Arial"/>
                <w:spacing w:val="-1"/>
              </w:rPr>
              <w:t>in</w:t>
            </w:r>
            <w:r>
              <w:rPr>
                <w:rFonts w:ascii="Arial"/>
                <w:spacing w:val="7"/>
              </w:rPr>
              <w:t xml:space="preserve"> </w:t>
            </w:r>
            <w:r>
              <w:rPr>
                <w:rFonts w:ascii="Arial"/>
              </w:rPr>
              <w:t>the</w:t>
            </w:r>
            <w:r>
              <w:rPr>
                <w:rFonts w:ascii="Arial"/>
                <w:spacing w:val="7"/>
              </w:rPr>
              <w:t xml:space="preserve"> </w:t>
            </w:r>
            <w:r>
              <w:rPr>
                <w:rFonts w:ascii="Arial"/>
                <w:spacing w:val="-2"/>
              </w:rPr>
              <w:t>provision</w:t>
            </w:r>
            <w:r>
              <w:rPr>
                <w:rFonts w:ascii="Arial"/>
                <w:spacing w:val="7"/>
              </w:rPr>
              <w:t xml:space="preserve"> </w:t>
            </w:r>
            <w:r>
              <w:rPr>
                <w:rFonts w:ascii="Arial"/>
                <w:spacing w:val="-1"/>
              </w:rPr>
              <w:t>of</w:t>
            </w:r>
            <w:r>
              <w:rPr>
                <w:rFonts w:ascii="Arial"/>
                <w:spacing w:val="9"/>
              </w:rPr>
              <w:t xml:space="preserve"> </w:t>
            </w:r>
            <w:r>
              <w:rPr>
                <w:rFonts w:ascii="Arial"/>
                <w:spacing w:val="-1"/>
              </w:rPr>
              <w:t>all</w:t>
            </w:r>
            <w:r>
              <w:rPr>
                <w:rFonts w:ascii="Arial"/>
                <w:spacing w:val="7"/>
              </w:rPr>
              <w:t xml:space="preserve"> </w:t>
            </w:r>
            <w:r>
              <w:rPr>
                <w:rFonts w:ascii="Arial"/>
                <w:spacing w:val="-1"/>
              </w:rPr>
              <w:t>or</w:t>
            </w:r>
            <w:r>
              <w:rPr>
                <w:rFonts w:ascii="Arial"/>
                <w:spacing w:val="9"/>
              </w:rPr>
              <w:t xml:space="preserve"> </w:t>
            </w:r>
            <w:r>
              <w:rPr>
                <w:rFonts w:ascii="Arial"/>
                <w:spacing w:val="-1"/>
              </w:rPr>
              <w:t>any</w:t>
            </w:r>
            <w:r>
              <w:rPr>
                <w:rFonts w:ascii="Arial"/>
                <w:spacing w:val="5"/>
              </w:rPr>
              <w:t xml:space="preserve"> </w:t>
            </w:r>
            <w:r>
              <w:rPr>
                <w:rFonts w:ascii="Arial"/>
                <w:spacing w:val="-1"/>
              </w:rPr>
              <w:t>part</w:t>
            </w:r>
            <w:r>
              <w:rPr>
                <w:rFonts w:ascii="Arial"/>
                <w:spacing w:val="9"/>
              </w:rPr>
              <w:t xml:space="preserve"> </w:t>
            </w:r>
            <w:r>
              <w:rPr>
                <w:rFonts w:ascii="Arial"/>
                <w:spacing w:val="-2"/>
              </w:rPr>
              <w:t>of</w:t>
            </w:r>
            <w:r>
              <w:rPr>
                <w:rFonts w:ascii="Arial"/>
                <w:spacing w:val="7"/>
              </w:rPr>
              <w:t xml:space="preserve"> </w:t>
            </w:r>
            <w:r>
              <w:rPr>
                <w:rFonts w:ascii="Arial"/>
                <w:spacing w:val="-1"/>
              </w:rPr>
              <w:t>the</w:t>
            </w:r>
            <w:r>
              <w:rPr>
                <w:rFonts w:ascii="Arial"/>
                <w:spacing w:val="38"/>
              </w:rPr>
              <w:t xml:space="preserve"> </w:t>
            </w:r>
            <w:r>
              <w:rPr>
                <w:rFonts w:ascii="Arial"/>
                <w:spacing w:val="-1"/>
              </w:rPr>
              <w:t>Goods</w:t>
            </w:r>
            <w:r>
              <w:rPr>
                <w:rFonts w:ascii="Arial"/>
                <w:spacing w:val="1"/>
              </w:rPr>
              <w:t xml:space="preserve"> </w:t>
            </w:r>
            <w:r>
              <w:rPr>
                <w:rFonts w:ascii="Arial"/>
                <w:spacing w:val="-1"/>
              </w:rPr>
              <w:t>and/or Services;</w:t>
            </w:r>
            <w:r>
              <w:rPr>
                <w:rFonts w:ascii="Arial"/>
                <w:spacing w:val="-2"/>
              </w:rPr>
              <w:t xml:space="preserve"> </w:t>
            </w:r>
            <w:r>
              <w:rPr>
                <w:rFonts w:ascii="Arial"/>
                <w:spacing w:val="-1"/>
              </w:rPr>
              <w:t>and/or</w:t>
            </w:r>
          </w:p>
          <w:p w:rsidR="008918FA" w:rsidRDefault="008918FA" w:rsidP="005D2B81">
            <w:pPr>
              <w:pStyle w:val="ListParagraph"/>
              <w:numPr>
                <w:ilvl w:val="0"/>
                <w:numId w:val="42"/>
              </w:numPr>
              <w:tabs>
                <w:tab w:val="left" w:pos="820"/>
              </w:tabs>
              <w:spacing w:before="121"/>
              <w:ind w:right="100" w:hanging="544"/>
              <w:jc w:val="both"/>
              <w:rPr>
                <w:rFonts w:ascii="Arial" w:eastAsia="Arial" w:hAnsi="Arial" w:cs="Arial"/>
              </w:rPr>
            </w:pPr>
            <w:r>
              <w:rPr>
                <w:rFonts w:ascii="Arial"/>
                <w:spacing w:val="-1"/>
              </w:rPr>
              <w:t>with</w:t>
            </w:r>
            <w:r>
              <w:rPr>
                <w:rFonts w:ascii="Arial"/>
                <w:spacing w:val="31"/>
              </w:rPr>
              <w:t xml:space="preserve"> </w:t>
            </w:r>
            <w:r>
              <w:rPr>
                <w:rFonts w:ascii="Arial"/>
              </w:rPr>
              <w:t>a</w:t>
            </w:r>
            <w:r>
              <w:rPr>
                <w:rFonts w:ascii="Arial"/>
                <w:spacing w:val="31"/>
              </w:rPr>
              <w:t xml:space="preserve"> </w:t>
            </w:r>
            <w:r>
              <w:rPr>
                <w:rFonts w:ascii="Arial"/>
                <w:spacing w:val="-1"/>
              </w:rPr>
              <w:t>Sub-Contract</w:t>
            </w:r>
            <w:r>
              <w:rPr>
                <w:rFonts w:ascii="Arial"/>
                <w:spacing w:val="33"/>
              </w:rPr>
              <w:t xml:space="preserve"> </w:t>
            </w:r>
            <w:r>
              <w:rPr>
                <w:rFonts w:ascii="Arial"/>
                <w:spacing w:val="-2"/>
              </w:rPr>
              <w:t>with</w:t>
            </w:r>
            <w:r>
              <w:rPr>
                <w:rFonts w:ascii="Arial"/>
                <w:spacing w:val="31"/>
              </w:rPr>
              <w:t xml:space="preserve"> </w:t>
            </w:r>
            <w:r>
              <w:rPr>
                <w:rFonts w:ascii="Arial"/>
              </w:rPr>
              <w:t>a</w:t>
            </w:r>
            <w:r>
              <w:rPr>
                <w:rFonts w:ascii="Arial"/>
                <w:spacing w:val="31"/>
              </w:rPr>
              <w:t xml:space="preserve"> </w:t>
            </w:r>
            <w:r>
              <w:rPr>
                <w:rFonts w:ascii="Arial"/>
                <w:spacing w:val="-1"/>
              </w:rPr>
              <w:t>contract</w:t>
            </w:r>
            <w:r>
              <w:rPr>
                <w:rFonts w:ascii="Arial"/>
                <w:spacing w:val="33"/>
              </w:rPr>
              <w:t xml:space="preserve"> </w:t>
            </w:r>
            <w:r>
              <w:rPr>
                <w:rFonts w:ascii="Arial"/>
                <w:spacing w:val="-2"/>
              </w:rPr>
              <w:t>value</w:t>
            </w:r>
            <w:r>
              <w:rPr>
                <w:rFonts w:ascii="Arial"/>
                <w:spacing w:val="32"/>
              </w:rPr>
              <w:t xml:space="preserve"> </w:t>
            </w:r>
            <w:r>
              <w:rPr>
                <w:rFonts w:ascii="Arial"/>
                <w:spacing w:val="-1"/>
              </w:rPr>
              <w:t>which</w:t>
            </w:r>
            <w:r>
              <w:rPr>
                <w:rFonts w:ascii="Arial"/>
                <w:spacing w:val="31"/>
              </w:rPr>
              <w:t xml:space="preserve"> </w:t>
            </w:r>
            <w:r>
              <w:rPr>
                <w:rFonts w:ascii="Arial"/>
                <w:spacing w:val="-1"/>
              </w:rPr>
              <w:t>at</w:t>
            </w:r>
            <w:r>
              <w:rPr>
                <w:rFonts w:ascii="Arial"/>
                <w:spacing w:val="26"/>
              </w:rPr>
              <w:t xml:space="preserve"> </w:t>
            </w:r>
            <w:r>
              <w:rPr>
                <w:rFonts w:ascii="Arial"/>
              </w:rPr>
              <w:t>the</w:t>
            </w:r>
            <w:r>
              <w:rPr>
                <w:rFonts w:ascii="Arial"/>
                <w:spacing w:val="3"/>
              </w:rPr>
              <w:t xml:space="preserve"> </w:t>
            </w:r>
            <w:r>
              <w:rPr>
                <w:rFonts w:ascii="Arial"/>
                <w:spacing w:val="-1"/>
              </w:rPr>
              <w:t>time</w:t>
            </w:r>
            <w:r>
              <w:rPr>
                <w:rFonts w:ascii="Arial"/>
                <w:spacing w:val="3"/>
              </w:rPr>
              <w:t xml:space="preserve"> </w:t>
            </w:r>
            <w:r>
              <w:rPr>
                <w:rFonts w:ascii="Arial"/>
                <w:spacing w:val="-2"/>
              </w:rPr>
              <w:t>of</w:t>
            </w:r>
            <w:r>
              <w:rPr>
                <w:rFonts w:ascii="Arial"/>
                <w:spacing w:val="6"/>
              </w:rPr>
              <w:t xml:space="preserve"> </w:t>
            </w:r>
            <w:r>
              <w:rPr>
                <w:rFonts w:ascii="Arial"/>
                <w:spacing w:val="-1"/>
              </w:rPr>
              <w:t>appointment</w:t>
            </w:r>
            <w:r>
              <w:rPr>
                <w:rFonts w:ascii="Arial"/>
                <w:spacing w:val="2"/>
              </w:rPr>
              <w:t xml:space="preserve"> </w:t>
            </w:r>
            <w:r>
              <w:rPr>
                <w:rFonts w:ascii="Arial"/>
                <w:spacing w:val="-1"/>
              </w:rPr>
              <w:t>exceeds</w:t>
            </w:r>
            <w:r>
              <w:rPr>
                <w:rFonts w:ascii="Arial"/>
                <w:spacing w:val="3"/>
              </w:rPr>
              <w:t xml:space="preserve"> </w:t>
            </w:r>
            <w:r>
              <w:rPr>
                <w:rFonts w:ascii="Arial"/>
                <w:spacing w:val="-1"/>
              </w:rPr>
              <w:t>(or</w:t>
            </w:r>
            <w:r>
              <w:rPr>
                <w:rFonts w:ascii="Arial"/>
                <w:spacing w:val="4"/>
              </w:rPr>
              <w:t xml:space="preserve"> </w:t>
            </w:r>
            <w:r>
              <w:rPr>
                <w:rFonts w:ascii="Arial"/>
                <w:spacing w:val="-1"/>
              </w:rPr>
              <w:t>would</w:t>
            </w:r>
            <w:r>
              <w:rPr>
                <w:rFonts w:ascii="Arial"/>
                <w:spacing w:val="3"/>
              </w:rPr>
              <w:t xml:space="preserve"> </w:t>
            </w:r>
            <w:r>
              <w:rPr>
                <w:rFonts w:ascii="Arial"/>
              </w:rPr>
              <w:t>exceed</w:t>
            </w:r>
            <w:r>
              <w:rPr>
                <w:rFonts w:ascii="Arial"/>
                <w:spacing w:val="3"/>
              </w:rPr>
              <w:t xml:space="preserve"> </w:t>
            </w:r>
            <w:r>
              <w:rPr>
                <w:rFonts w:ascii="Arial"/>
                <w:spacing w:val="-1"/>
              </w:rPr>
              <w:t>if</w:t>
            </w:r>
            <w:r>
              <w:rPr>
                <w:rFonts w:ascii="Arial"/>
                <w:spacing w:val="27"/>
              </w:rPr>
              <w:t xml:space="preserve"> </w:t>
            </w:r>
            <w:r>
              <w:rPr>
                <w:rFonts w:ascii="Arial"/>
                <w:spacing w:val="-1"/>
              </w:rPr>
              <w:t>appointed)</w:t>
            </w:r>
            <w:r>
              <w:rPr>
                <w:rFonts w:ascii="Arial"/>
                <w:spacing w:val="33"/>
              </w:rPr>
              <w:t xml:space="preserve"> </w:t>
            </w:r>
            <w:r>
              <w:rPr>
                <w:rFonts w:ascii="Arial"/>
                <w:spacing w:val="-1"/>
              </w:rPr>
              <w:t>10%</w:t>
            </w:r>
            <w:r>
              <w:rPr>
                <w:rFonts w:ascii="Arial"/>
                <w:spacing w:val="32"/>
              </w:rPr>
              <w:t xml:space="preserve"> </w:t>
            </w:r>
            <w:r>
              <w:rPr>
                <w:rFonts w:ascii="Arial"/>
                <w:spacing w:val="-2"/>
              </w:rPr>
              <w:t>of</w:t>
            </w:r>
            <w:r>
              <w:rPr>
                <w:rFonts w:ascii="Arial"/>
                <w:spacing w:val="35"/>
              </w:rPr>
              <w:t xml:space="preserve"> </w:t>
            </w:r>
            <w:r>
              <w:rPr>
                <w:rFonts w:ascii="Arial"/>
                <w:spacing w:val="-1"/>
              </w:rPr>
              <w:t>the</w:t>
            </w:r>
            <w:r>
              <w:rPr>
                <w:rFonts w:ascii="Arial"/>
                <w:spacing w:val="31"/>
              </w:rPr>
              <w:t xml:space="preserve"> </w:t>
            </w:r>
            <w:r>
              <w:rPr>
                <w:rFonts w:ascii="Arial"/>
                <w:spacing w:val="-1"/>
              </w:rPr>
              <w:t>aggregate</w:t>
            </w:r>
            <w:r>
              <w:rPr>
                <w:rFonts w:ascii="Arial"/>
                <w:spacing w:val="31"/>
              </w:rPr>
              <w:t xml:space="preserve"> </w:t>
            </w:r>
            <w:r>
              <w:rPr>
                <w:rFonts w:ascii="Arial"/>
                <w:spacing w:val="-2"/>
              </w:rPr>
              <w:t>Call</w:t>
            </w:r>
            <w:r>
              <w:rPr>
                <w:rFonts w:ascii="Arial"/>
                <w:spacing w:val="31"/>
              </w:rPr>
              <w:t xml:space="preserve"> </w:t>
            </w:r>
            <w:r>
              <w:rPr>
                <w:rFonts w:ascii="Arial"/>
                <w:spacing w:val="-1"/>
              </w:rPr>
              <w:t>Off</w:t>
            </w:r>
            <w:r>
              <w:rPr>
                <w:rFonts w:ascii="Arial"/>
                <w:spacing w:val="36"/>
              </w:rPr>
              <w:t xml:space="preserve"> </w:t>
            </w:r>
            <w:r>
              <w:rPr>
                <w:rFonts w:ascii="Arial"/>
                <w:spacing w:val="-2"/>
              </w:rPr>
              <w:t>Contract</w:t>
            </w:r>
            <w:r>
              <w:rPr>
                <w:rFonts w:ascii="Arial"/>
                <w:spacing w:val="43"/>
              </w:rPr>
              <w:t xml:space="preserve"> </w:t>
            </w:r>
            <w:r>
              <w:rPr>
                <w:rFonts w:ascii="Arial"/>
                <w:spacing w:val="-1"/>
              </w:rPr>
              <w:t>Charges</w:t>
            </w:r>
            <w:r>
              <w:rPr>
                <w:rFonts w:ascii="Arial"/>
                <w:spacing w:val="27"/>
              </w:rPr>
              <w:t xml:space="preserve"> </w:t>
            </w:r>
            <w:r>
              <w:rPr>
                <w:rFonts w:ascii="Arial"/>
                <w:spacing w:val="-1"/>
              </w:rPr>
              <w:t>forecast</w:t>
            </w:r>
            <w:r>
              <w:rPr>
                <w:rFonts w:ascii="Arial"/>
                <w:spacing w:val="31"/>
              </w:rPr>
              <w:t xml:space="preserve"> </w:t>
            </w:r>
            <w:r>
              <w:rPr>
                <w:rFonts w:ascii="Arial"/>
                <w:spacing w:val="-1"/>
              </w:rPr>
              <w:t>to</w:t>
            </w:r>
            <w:r>
              <w:rPr>
                <w:rFonts w:ascii="Arial"/>
                <w:spacing w:val="29"/>
              </w:rPr>
              <w:t xml:space="preserve"> </w:t>
            </w:r>
            <w:r>
              <w:rPr>
                <w:rFonts w:ascii="Arial"/>
                <w:spacing w:val="-1"/>
              </w:rPr>
              <w:t>be</w:t>
            </w:r>
            <w:r>
              <w:rPr>
                <w:rFonts w:ascii="Arial"/>
                <w:spacing w:val="29"/>
              </w:rPr>
              <w:t xml:space="preserve"> </w:t>
            </w:r>
            <w:r>
              <w:rPr>
                <w:rFonts w:ascii="Arial"/>
                <w:spacing w:val="-2"/>
              </w:rPr>
              <w:t>payable</w:t>
            </w:r>
            <w:r>
              <w:rPr>
                <w:rFonts w:ascii="Arial"/>
                <w:spacing w:val="29"/>
              </w:rPr>
              <w:t xml:space="preserve"> </w:t>
            </w:r>
            <w:r>
              <w:rPr>
                <w:rFonts w:ascii="Arial"/>
                <w:spacing w:val="-1"/>
              </w:rPr>
              <w:t>under</w:t>
            </w:r>
            <w:r>
              <w:rPr>
                <w:rFonts w:ascii="Arial"/>
                <w:spacing w:val="30"/>
              </w:rPr>
              <w:t xml:space="preserve"> </w:t>
            </w:r>
            <w:r>
              <w:rPr>
                <w:rFonts w:ascii="Arial"/>
                <w:spacing w:val="-1"/>
              </w:rPr>
              <w:t>this</w:t>
            </w:r>
            <w:r>
              <w:rPr>
                <w:rFonts w:ascii="Arial"/>
                <w:spacing w:val="30"/>
              </w:rPr>
              <w:t xml:space="preserve"> </w:t>
            </w:r>
            <w:r>
              <w:rPr>
                <w:rFonts w:ascii="Arial"/>
                <w:spacing w:val="-1"/>
              </w:rPr>
              <w:t>Call</w:t>
            </w:r>
            <w:r>
              <w:rPr>
                <w:rFonts w:ascii="Arial"/>
                <w:spacing w:val="28"/>
              </w:rPr>
              <w:t xml:space="preserve"> </w:t>
            </w:r>
            <w:r>
              <w:rPr>
                <w:rFonts w:ascii="Arial"/>
                <w:spacing w:val="-1"/>
              </w:rPr>
              <w:t>Off</w:t>
            </w:r>
            <w:r>
              <w:rPr>
                <w:rFonts w:ascii="Arial"/>
                <w:spacing w:val="39"/>
              </w:rPr>
              <w:t xml:space="preserve"> </w:t>
            </w:r>
            <w:r>
              <w:rPr>
                <w:rFonts w:ascii="Arial"/>
                <w:spacing w:val="-1"/>
              </w:rPr>
              <w:t>Contract;</w:t>
            </w:r>
          </w:p>
        </w:tc>
      </w:tr>
      <w:tr w:rsidR="008918FA" w:rsidTr="005D2B81">
        <w:trPr>
          <w:trHeight w:hRule="exact" w:val="768"/>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"Know-How"</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51"/>
              </w:rPr>
              <w:t xml:space="preserve"> </w:t>
            </w:r>
            <w:r>
              <w:rPr>
                <w:rFonts w:ascii="Arial"/>
                <w:spacing w:val="-1"/>
              </w:rPr>
              <w:t>all</w:t>
            </w:r>
            <w:r>
              <w:rPr>
                <w:rFonts w:ascii="Arial"/>
                <w:spacing w:val="50"/>
              </w:rPr>
              <w:t xml:space="preserve"> </w:t>
            </w:r>
            <w:r>
              <w:rPr>
                <w:rFonts w:ascii="Arial"/>
                <w:spacing w:val="-1"/>
              </w:rPr>
              <w:t>ideas,</w:t>
            </w:r>
            <w:r>
              <w:rPr>
                <w:rFonts w:ascii="Arial"/>
                <w:spacing w:val="53"/>
              </w:rPr>
              <w:t xml:space="preserve"> </w:t>
            </w:r>
            <w:r>
              <w:rPr>
                <w:rFonts w:ascii="Arial"/>
                <w:spacing w:val="-1"/>
              </w:rPr>
              <w:t>concepts,</w:t>
            </w:r>
            <w:r>
              <w:rPr>
                <w:rFonts w:ascii="Arial"/>
                <w:spacing w:val="50"/>
              </w:rPr>
              <w:t xml:space="preserve"> </w:t>
            </w:r>
            <w:r>
              <w:rPr>
                <w:rFonts w:ascii="Arial"/>
                <w:spacing w:val="-1"/>
              </w:rPr>
              <w:t>schemes,</w:t>
            </w:r>
            <w:r>
              <w:rPr>
                <w:rFonts w:ascii="Arial"/>
                <w:spacing w:val="53"/>
              </w:rPr>
              <w:t xml:space="preserve"> </w:t>
            </w:r>
            <w:r>
              <w:rPr>
                <w:rFonts w:ascii="Arial"/>
                <w:spacing w:val="-2"/>
              </w:rPr>
              <w:t>information,</w:t>
            </w:r>
            <w:r>
              <w:rPr>
                <w:rFonts w:ascii="Arial"/>
                <w:spacing w:val="28"/>
              </w:rPr>
              <w:t xml:space="preserve"> </w:t>
            </w:r>
            <w:r>
              <w:rPr>
                <w:rFonts w:ascii="Arial"/>
                <w:spacing w:val="-1"/>
              </w:rPr>
              <w:t>knowledge,</w:t>
            </w:r>
            <w:r>
              <w:rPr>
                <w:rFonts w:ascii="Arial"/>
                <w:spacing w:val="40"/>
              </w:rPr>
              <w:t xml:space="preserve"> </w:t>
            </w:r>
            <w:r>
              <w:rPr>
                <w:rFonts w:ascii="Arial"/>
                <w:spacing w:val="-1"/>
              </w:rPr>
              <w:t>techniques,</w:t>
            </w:r>
            <w:r>
              <w:rPr>
                <w:rFonts w:ascii="Arial"/>
                <w:spacing w:val="40"/>
              </w:rPr>
              <w:t xml:space="preserve"> </w:t>
            </w:r>
            <w:r>
              <w:rPr>
                <w:rFonts w:ascii="Arial"/>
                <w:spacing w:val="-1"/>
              </w:rPr>
              <w:t>methodology,</w:t>
            </w:r>
            <w:r>
              <w:rPr>
                <w:rFonts w:ascii="Arial"/>
                <w:spacing w:val="42"/>
              </w:rPr>
              <w:t xml:space="preserve"> </w:t>
            </w:r>
            <w:r>
              <w:rPr>
                <w:rFonts w:ascii="Arial"/>
                <w:spacing w:val="-1"/>
              </w:rPr>
              <w:t>and</w:t>
            </w:r>
            <w:r>
              <w:rPr>
                <w:rFonts w:ascii="Arial"/>
                <w:spacing w:val="41"/>
              </w:rPr>
              <w:t xml:space="preserve"> </w:t>
            </w:r>
            <w:r>
              <w:rPr>
                <w:rFonts w:ascii="Arial"/>
                <w:spacing w:val="-2"/>
              </w:rPr>
              <w:t>anything</w:t>
            </w:r>
            <w:r>
              <w:rPr>
                <w:rFonts w:ascii="Arial"/>
                <w:spacing w:val="43"/>
              </w:rPr>
              <w:t xml:space="preserve"> </w:t>
            </w:r>
            <w:r>
              <w:rPr>
                <w:rFonts w:ascii="Arial"/>
                <w:spacing w:val="-2"/>
              </w:rPr>
              <w:t>else</w:t>
            </w:r>
            <w:r>
              <w:rPr>
                <w:rFonts w:ascii="Arial"/>
                <w:spacing w:val="34"/>
              </w:rPr>
              <w:t xml:space="preserve"> </w:t>
            </w:r>
            <w:r>
              <w:rPr>
                <w:rFonts w:ascii="Arial"/>
                <w:spacing w:val="-1"/>
              </w:rPr>
              <w:t>in</w:t>
            </w:r>
            <w:r>
              <w:rPr>
                <w:rFonts w:ascii="Arial"/>
                <w:spacing w:val="39"/>
              </w:rPr>
              <w:t xml:space="preserve"> </w:t>
            </w:r>
            <w:r>
              <w:rPr>
                <w:rFonts w:ascii="Arial"/>
              </w:rPr>
              <w:t>the</w:t>
            </w:r>
            <w:r>
              <w:rPr>
                <w:rFonts w:ascii="Arial"/>
                <w:spacing w:val="38"/>
              </w:rPr>
              <w:t xml:space="preserve"> </w:t>
            </w:r>
            <w:r>
              <w:rPr>
                <w:rFonts w:ascii="Arial"/>
                <w:spacing w:val="-1"/>
              </w:rPr>
              <w:t>nature</w:t>
            </w:r>
            <w:r>
              <w:rPr>
                <w:rFonts w:ascii="Arial"/>
                <w:spacing w:val="39"/>
              </w:rPr>
              <w:t xml:space="preserve"> </w:t>
            </w:r>
            <w:r>
              <w:rPr>
                <w:rFonts w:ascii="Arial"/>
                <w:spacing w:val="-2"/>
              </w:rPr>
              <w:t>of</w:t>
            </w:r>
            <w:r>
              <w:rPr>
                <w:rFonts w:ascii="Arial"/>
                <w:spacing w:val="42"/>
              </w:rPr>
              <w:t xml:space="preserve"> </w:t>
            </w:r>
            <w:r>
              <w:rPr>
                <w:rFonts w:ascii="Arial"/>
                <w:spacing w:val="-1"/>
              </w:rPr>
              <w:t>know-how</w:t>
            </w:r>
            <w:r>
              <w:rPr>
                <w:rFonts w:ascii="Arial"/>
                <w:spacing w:val="38"/>
              </w:rPr>
              <w:t xml:space="preserve"> </w:t>
            </w:r>
            <w:r>
              <w:rPr>
                <w:rFonts w:ascii="Arial"/>
                <w:spacing w:val="-1"/>
              </w:rPr>
              <w:t>relating</w:t>
            </w:r>
            <w:r>
              <w:rPr>
                <w:rFonts w:ascii="Arial"/>
                <w:spacing w:val="41"/>
              </w:rPr>
              <w:t xml:space="preserve"> </w:t>
            </w:r>
            <w:r>
              <w:rPr>
                <w:rFonts w:ascii="Arial"/>
              </w:rPr>
              <w:t>to</w:t>
            </w:r>
            <w:r>
              <w:rPr>
                <w:rFonts w:ascii="Arial"/>
                <w:spacing w:val="39"/>
              </w:rPr>
              <w:t xml:space="preserve"> </w:t>
            </w:r>
            <w:r>
              <w:rPr>
                <w:rFonts w:ascii="Arial"/>
              </w:rPr>
              <w:t>the</w:t>
            </w:r>
            <w:r>
              <w:rPr>
                <w:rFonts w:ascii="Arial"/>
                <w:spacing w:val="39"/>
              </w:rPr>
              <w:t xml:space="preserve"> </w:t>
            </w:r>
            <w:r>
              <w:rPr>
                <w:rFonts w:ascii="Arial"/>
                <w:spacing w:val="-1"/>
              </w:rPr>
              <w:t>Goods</w:t>
            </w:r>
            <w:r>
              <w:rPr>
                <w:rFonts w:ascii="Arial"/>
                <w:spacing w:val="39"/>
              </w:rPr>
              <w:t xml:space="preserve"> </w:t>
            </w:r>
            <w:r>
              <w:rPr>
                <w:rFonts w:ascii="Arial"/>
                <w:spacing w:val="-1"/>
              </w:rPr>
              <w:t>and/or</w:t>
            </w:r>
          </w:p>
        </w:tc>
      </w:tr>
    </w:tbl>
    <w:p w:rsidR="008918FA" w:rsidRDefault="008918FA" w:rsidP="008918FA">
      <w:pPr>
        <w:jc w:val="both"/>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893"/>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eastAsia="Arial" w:hAnsi="Arial" w:cs="Arial"/>
                <w:spacing w:val="-1"/>
              </w:rPr>
              <w:t>Services</w:t>
            </w:r>
            <w:r>
              <w:rPr>
                <w:rFonts w:ascii="Arial" w:eastAsia="Arial" w:hAnsi="Arial" w:cs="Arial"/>
                <w:spacing w:val="7"/>
              </w:rPr>
              <w:t xml:space="preserve"> </w:t>
            </w:r>
            <w:r>
              <w:rPr>
                <w:rFonts w:ascii="Arial" w:eastAsia="Arial" w:hAnsi="Arial" w:cs="Arial"/>
                <w:spacing w:val="-1"/>
              </w:rPr>
              <w:t>but</w:t>
            </w:r>
            <w:r>
              <w:rPr>
                <w:rFonts w:ascii="Arial" w:eastAsia="Arial" w:hAnsi="Arial" w:cs="Arial"/>
                <w:spacing w:val="8"/>
              </w:rPr>
              <w:t xml:space="preserve"> </w:t>
            </w:r>
            <w:r>
              <w:rPr>
                <w:rFonts w:ascii="Arial" w:eastAsia="Arial" w:hAnsi="Arial" w:cs="Arial"/>
                <w:spacing w:val="-2"/>
              </w:rPr>
              <w:t>excluding</w:t>
            </w:r>
            <w:r>
              <w:rPr>
                <w:rFonts w:ascii="Arial" w:eastAsia="Arial" w:hAnsi="Arial" w:cs="Arial"/>
                <w:spacing w:val="9"/>
              </w:rPr>
              <w:t xml:space="preserve"> </w:t>
            </w:r>
            <w:r>
              <w:rPr>
                <w:rFonts w:ascii="Arial" w:eastAsia="Arial" w:hAnsi="Arial" w:cs="Arial"/>
                <w:spacing w:val="-1"/>
              </w:rPr>
              <w:t>know-how</w:t>
            </w:r>
            <w:r>
              <w:rPr>
                <w:rFonts w:ascii="Arial" w:eastAsia="Arial" w:hAnsi="Arial" w:cs="Arial"/>
                <w:spacing w:val="3"/>
              </w:rPr>
              <w:t xml:space="preserve"> </w:t>
            </w:r>
            <w:r>
              <w:rPr>
                <w:rFonts w:ascii="Arial" w:eastAsia="Arial" w:hAnsi="Arial" w:cs="Arial"/>
                <w:spacing w:val="-1"/>
              </w:rPr>
              <w:t>already</w:t>
            </w:r>
            <w:r>
              <w:rPr>
                <w:rFonts w:ascii="Arial" w:eastAsia="Arial" w:hAnsi="Arial" w:cs="Arial"/>
                <w:spacing w:val="4"/>
              </w:rPr>
              <w:t xml:space="preserve"> </w:t>
            </w:r>
            <w:r>
              <w:rPr>
                <w:rFonts w:ascii="Arial" w:eastAsia="Arial" w:hAnsi="Arial" w:cs="Arial"/>
                <w:spacing w:val="-1"/>
              </w:rPr>
              <w:t>in</w:t>
            </w:r>
            <w:r>
              <w:rPr>
                <w:rFonts w:ascii="Arial" w:eastAsia="Arial" w:hAnsi="Arial" w:cs="Arial"/>
                <w:spacing w:val="9"/>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spacing w:val="-1"/>
              </w:rPr>
              <w:t>other</w:t>
            </w:r>
            <w:r>
              <w:rPr>
                <w:rFonts w:ascii="Arial" w:eastAsia="Arial" w:hAnsi="Arial" w:cs="Arial"/>
                <w:spacing w:val="27"/>
              </w:rPr>
              <w:t xml:space="preserve"> </w:t>
            </w:r>
            <w:r>
              <w:rPr>
                <w:rFonts w:ascii="Arial" w:eastAsia="Arial" w:hAnsi="Arial" w:cs="Arial"/>
                <w:spacing w:val="-1"/>
              </w:rPr>
              <w:t>Party’s</w:t>
            </w:r>
            <w:r>
              <w:rPr>
                <w:rFonts w:ascii="Arial" w:eastAsia="Arial" w:hAnsi="Arial" w:cs="Arial"/>
                <w:spacing w:val="53"/>
              </w:rPr>
              <w:t xml:space="preserve"> </w:t>
            </w:r>
            <w:r>
              <w:rPr>
                <w:rFonts w:ascii="Arial" w:eastAsia="Arial" w:hAnsi="Arial" w:cs="Arial"/>
                <w:spacing w:val="-1"/>
              </w:rPr>
              <w:t>possession</w:t>
            </w:r>
            <w:r>
              <w:rPr>
                <w:rFonts w:ascii="Arial" w:eastAsia="Arial" w:hAnsi="Arial" w:cs="Arial"/>
                <w:spacing w:val="53"/>
              </w:rPr>
              <w:t xml:space="preserve"> </w:t>
            </w:r>
            <w:r>
              <w:rPr>
                <w:rFonts w:ascii="Arial" w:eastAsia="Arial" w:hAnsi="Arial" w:cs="Arial"/>
                <w:spacing w:val="-1"/>
              </w:rPr>
              <w:t>before</w:t>
            </w:r>
            <w:r>
              <w:rPr>
                <w:rFonts w:ascii="Arial" w:eastAsia="Arial" w:hAnsi="Arial" w:cs="Arial"/>
                <w:spacing w:val="53"/>
              </w:rPr>
              <w:t xml:space="preserve"> </w:t>
            </w:r>
            <w:r>
              <w:rPr>
                <w:rFonts w:ascii="Arial" w:eastAsia="Arial" w:hAnsi="Arial" w:cs="Arial"/>
              </w:rPr>
              <w:t>the</w:t>
            </w:r>
            <w:r>
              <w:rPr>
                <w:rFonts w:ascii="Arial" w:eastAsia="Arial" w:hAnsi="Arial" w:cs="Arial"/>
                <w:spacing w:val="51"/>
              </w:rPr>
              <w:t xml:space="preserve"> </w:t>
            </w:r>
            <w:r>
              <w:rPr>
                <w:rFonts w:ascii="Arial" w:eastAsia="Arial" w:hAnsi="Arial" w:cs="Arial"/>
                <w:spacing w:val="-2"/>
              </w:rPr>
              <w:t>Call</w:t>
            </w:r>
            <w:r>
              <w:rPr>
                <w:rFonts w:ascii="Arial" w:eastAsia="Arial" w:hAnsi="Arial" w:cs="Arial"/>
                <w:spacing w:val="52"/>
              </w:rPr>
              <w:t xml:space="preserve"> </w:t>
            </w:r>
            <w:r>
              <w:rPr>
                <w:rFonts w:ascii="Arial" w:eastAsia="Arial" w:hAnsi="Arial" w:cs="Arial"/>
                <w:spacing w:val="-1"/>
              </w:rPr>
              <w:t>Off</w:t>
            </w:r>
            <w:r>
              <w:rPr>
                <w:rFonts w:ascii="Arial" w:eastAsia="Arial" w:hAnsi="Arial" w:cs="Arial"/>
                <w:spacing w:val="55"/>
              </w:rPr>
              <w:t xml:space="preserve"> </w:t>
            </w:r>
            <w:r>
              <w:rPr>
                <w:rFonts w:ascii="Arial" w:eastAsia="Arial" w:hAnsi="Arial" w:cs="Arial"/>
                <w:spacing w:val="-2"/>
              </w:rPr>
              <w:t>Commencement</w:t>
            </w:r>
            <w:r>
              <w:rPr>
                <w:rFonts w:ascii="Arial" w:eastAsia="Arial" w:hAnsi="Arial" w:cs="Arial"/>
                <w:spacing w:val="34"/>
              </w:rPr>
              <w:t xml:space="preserve"> </w:t>
            </w:r>
            <w:r>
              <w:rPr>
                <w:rFonts w:ascii="Arial" w:eastAsia="Arial" w:hAnsi="Arial" w:cs="Arial"/>
                <w:spacing w:val="-1"/>
              </w:rPr>
              <w:t>Date;</w:t>
            </w:r>
          </w:p>
        </w:tc>
      </w:tr>
      <w:tr w:rsidR="008918FA" w:rsidTr="005D2B81">
        <w:trPr>
          <w:trHeight w:hRule="exact" w:val="190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"Law"</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27"/>
              </w:rPr>
              <w:t xml:space="preserve"> </w:t>
            </w:r>
            <w:r>
              <w:rPr>
                <w:rFonts w:ascii="Arial"/>
                <w:spacing w:val="-1"/>
              </w:rPr>
              <w:t>any</w:t>
            </w:r>
            <w:r>
              <w:rPr>
                <w:rFonts w:ascii="Arial"/>
                <w:spacing w:val="25"/>
              </w:rPr>
              <w:t xml:space="preserve"> </w:t>
            </w:r>
            <w:r>
              <w:rPr>
                <w:rFonts w:ascii="Arial"/>
                <w:spacing w:val="-1"/>
              </w:rPr>
              <w:t>law,</w:t>
            </w:r>
            <w:r>
              <w:rPr>
                <w:rFonts w:ascii="Arial"/>
                <w:spacing w:val="28"/>
              </w:rPr>
              <w:t xml:space="preserve"> </w:t>
            </w:r>
            <w:r>
              <w:rPr>
                <w:rFonts w:ascii="Arial"/>
                <w:spacing w:val="-1"/>
              </w:rPr>
              <w:t>subordinate</w:t>
            </w:r>
            <w:r>
              <w:rPr>
                <w:rFonts w:ascii="Arial"/>
                <w:spacing w:val="27"/>
              </w:rPr>
              <w:t xml:space="preserve"> </w:t>
            </w:r>
            <w:r>
              <w:rPr>
                <w:rFonts w:ascii="Arial"/>
                <w:spacing w:val="-1"/>
              </w:rPr>
              <w:t>legislation</w:t>
            </w:r>
            <w:r>
              <w:rPr>
                <w:rFonts w:ascii="Arial"/>
                <w:spacing w:val="27"/>
              </w:rPr>
              <w:t xml:space="preserve"> </w:t>
            </w:r>
            <w:r>
              <w:rPr>
                <w:rFonts w:ascii="Arial"/>
                <w:spacing w:val="-1"/>
              </w:rPr>
              <w:t>within</w:t>
            </w:r>
            <w:r>
              <w:rPr>
                <w:rFonts w:ascii="Arial"/>
                <w:spacing w:val="27"/>
              </w:rPr>
              <w:t xml:space="preserve"> </w:t>
            </w:r>
            <w:r>
              <w:rPr>
                <w:rFonts w:ascii="Arial"/>
                <w:spacing w:val="-1"/>
              </w:rPr>
              <w:t>the</w:t>
            </w:r>
            <w:r>
              <w:rPr>
                <w:rFonts w:ascii="Arial"/>
                <w:spacing w:val="32"/>
              </w:rPr>
              <w:t xml:space="preserve"> </w:t>
            </w:r>
            <w:r>
              <w:rPr>
                <w:rFonts w:ascii="Arial"/>
                <w:spacing w:val="-1"/>
              </w:rPr>
              <w:t>meaning</w:t>
            </w:r>
            <w:r>
              <w:rPr>
                <w:rFonts w:ascii="Arial"/>
                <w:spacing w:val="36"/>
              </w:rPr>
              <w:t xml:space="preserve"> </w:t>
            </w:r>
            <w:r>
              <w:rPr>
                <w:rFonts w:ascii="Arial"/>
                <w:spacing w:val="-2"/>
              </w:rPr>
              <w:t>of</w:t>
            </w:r>
            <w:r>
              <w:rPr>
                <w:rFonts w:ascii="Arial"/>
                <w:spacing w:val="40"/>
              </w:rPr>
              <w:t xml:space="preserve"> </w:t>
            </w:r>
            <w:r>
              <w:rPr>
                <w:rFonts w:ascii="Arial"/>
                <w:spacing w:val="-1"/>
              </w:rPr>
              <w:t>Section</w:t>
            </w:r>
            <w:r>
              <w:rPr>
                <w:rFonts w:ascii="Arial"/>
                <w:spacing w:val="1"/>
              </w:rPr>
              <w:t xml:space="preserve"> </w:t>
            </w:r>
            <w:r>
              <w:rPr>
                <w:rFonts w:ascii="Arial"/>
                <w:spacing w:val="-2"/>
              </w:rPr>
              <w:t>21(1)</w:t>
            </w:r>
            <w:r>
              <w:rPr>
                <w:rFonts w:ascii="Arial"/>
                <w:spacing w:val="38"/>
              </w:rPr>
              <w:t xml:space="preserve"> </w:t>
            </w:r>
            <w:r>
              <w:rPr>
                <w:rFonts w:ascii="Arial"/>
                <w:spacing w:val="-2"/>
              </w:rPr>
              <w:t>of</w:t>
            </w:r>
            <w:r>
              <w:rPr>
                <w:rFonts w:ascii="Arial"/>
                <w:spacing w:val="38"/>
              </w:rPr>
              <w:t xml:space="preserve"> </w:t>
            </w:r>
            <w:r>
              <w:rPr>
                <w:rFonts w:ascii="Arial"/>
              </w:rPr>
              <w:t>the</w:t>
            </w:r>
            <w:r>
              <w:rPr>
                <w:rFonts w:ascii="Arial"/>
                <w:spacing w:val="34"/>
              </w:rPr>
              <w:t xml:space="preserve"> </w:t>
            </w:r>
            <w:r>
              <w:rPr>
                <w:rFonts w:ascii="Arial"/>
                <w:spacing w:val="-1"/>
              </w:rPr>
              <w:t>Interpretation</w:t>
            </w:r>
            <w:r>
              <w:rPr>
                <w:rFonts w:ascii="Arial"/>
                <w:spacing w:val="34"/>
              </w:rPr>
              <w:t xml:space="preserve"> </w:t>
            </w:r>
            <w:r>
              <w:rPr>
                <w:rFonts w:ascii="Arial"/>
                <w:spacing w:val="-1"/>
              </w:rPr>
              <w:t>Act</w:t>
            </w:r>
            <w:r>
              <w:rPr>
                <w:rFonts w:ascii="Arial"/>
                <w:spacing w:val="39"/>
              </w:rPr>
              <w:t xml:space="preserve"> </w:t>
            </w:r>
            <w:r>
              <w:rPr>
                <w:rFonts w:ascii="Arial"/>
                <w:spacing w:val="-1"/>
              </w:rPr>
              <w:t>1978,</w:t>
            </w:r>
            <w:r>
              <w:rPr>
                <w:rFonts w:ascii="Arial"/>
                <w:spacing w:val="22"/>
              </w:rPr>
              <w:t xml:space="preserve"> </w:t>
            </w:r>
            <w:r>
              <w:rPr>
                <w:rFonts w:ascii="Arial"/>
                <w:spacing w:val="-2"/>
              </w:rPr>
              <w:t>bye-law,</w:t>
            </w:r>
            <w:r>
              <w:rPr>
                <w:rFonts w:ascii="Arial"/>
                <w:spacing w:val="7"/>
              </w:rPr>
              <w:t xml:space="preserve"> </w:t>
            </w:r>
            <w:r>
              <w:rPr>
                <w:rFonts w:ascii="Arial"/>
                <w:spacing w:val="-1"/>
              </w:rPr>
              <w:t>enforceable</w:t>
            </w:r>
            <w:r>
              <w:rPr>
                <w:rFonts w:ascii="Arial"/>
                <w:spacing w:val="3"/>
              </w:rPr>
              <w:t xml:space="preserve"> </w:t>
            </w:r>
            <w:r>
              <w:rPr>
                <w:rFonts w:ascii="Arial"/>
                <w:spacing w:val="-1"/>
              </w:rPr>
              <w:t>right</w:t>
            </w:r>
            <w:r>
              <w:rPr>
                <w:rFonts w:ascii="Arial"/>
                <w:spacing w:val="7"/>
              </w:rPr>
              <w:t xml:space="preserve"> </w:t>
            </w:r>
            <w:r>
              <w:rPr>
                <w:rFonts w:ascii="Arial"/>
                <w:spacing w:val="-2"/>
              </w:rPr>
              <w:t>within</w:t>
            </w:r>
            <w:r>
              <w:rPr>
                <w:rFonts w:ascii="Arial"/>
                <w:spacing w:val="5"/>
              </w:rPr>
              <w:t xml:space="preserve"> </w:t>
            </w:r>
            <w:r>
              <w:rPr>
                <w:rFonts w:ascii="Arial"/>
              </w:rPr>
              <w:t>the</w:t>
            </w:r>
            <w:r>
              <w:rPr>
                <w:rFonts w:ascii="Arial"/>
                <w:spacing w:val="5"/>
              </w:rPr>
              <w:t xml:space="preserve"> </w:t>
            </w:r>
            <w:r>
              <w:rPr>
                <w:rFonts w:ascii="Arial"/>
                <w:spacing w:val="-2"/>
              </w:rPr>
              <w:t>meaning</w:t>
            </w:r>
            <w:r>
              <w:rPr>
                <w:rFonts w:ascii="Arial"/>
                <w:spacing w:val="5"/>
              </w:rPr>
              <w:t xml:space="preserve"> </w:t>
            </w:r>
            <w:r>
              <w:rPr>
                <w:rFonts w:ascii="Arial"/>
                <w:spacing w:val="-2"/>
              </w:rPr>
              <w:t>of</w:t>
            </w:r>
            <w:r>
              <w:rPr>
                <w:rFonts w:ascii="Arial"/>
                <w:spacing w:val="6"/>
              </w:rPr>
              <w:t xml:space="preserve"> </w:t>
            </w:r>
            <w:r>
              <w:rPr>
                <w:rFonts w:ascii="Arial"/>
                <w:spacing w:val="-1"/>
              </w:rPr>
              <w:t>Section</w:t>
            </w:r>
            <w:r>
              <w:rPr>
                <w:rFonts w:ascii="Arial"/>
                <w:spacing w:val="1"/>
              </w:rPr>
              <w:t xml:space="preserve"> </w:t>
            </w:r>
            <w:r>
              <w:rPr>
                <w:rFonts w:ascii="Arial"/>
              </w:rPr>
              <w:t>2</w:t>
            </w:r>
            <w:r>
              <w:rPr>
                <w:rFonts w:ascii="Arial"/>
                <w:spacing w:val="51"/>
              </w:rPr>
              <w:t xml:space="preserve"> </w:t>
            </w:r>
            <w:r>
              <w:rPr>
                <w:rFonts w:ascii="Arial"/>
                <w:spacing w:val="-2"/>
              </w:rPr>
              <w:t>of</w:t>
            </w:r>
            <w:r>
              <w:rPr>
                <w:rFonts w:ascii="Arial"/>
                <w:spacing w:val="9"/>
              </w:rPr>
              <w:t xml:space="preserve"> </w:t>
            </w:r>
            <w:r>
              <w:rPr>
                <w:rFonts w:ascii="Arial"/>
              </w:rPr>
              <w:t>the</w:t>
            </w:r>
            <w:r>
              <w:rPr>
                <w:rFonts w:ascii="Arial"/>
                <w:spacing w:val="5"/>
              </w:rPr>
              <w:t xml:space="preserve"> </w:t>
            </w:r>
            <w:r>
              <w:rPr>
                <w:rFonts w:ascii="Arial"/>
                <w:spacing w:val="-1"/>
              </w:rPr>
              <w:t>European</w:t>
            </w:r>
            <w:r>
              <w:rPr>
                <w:rFonts w:ascii="Arial"/>
                <w:spacing w:val="5"/>
              </w:rPr>
              <w:t xml:space="preserve"> </w:t>
            </w:r>
            <w:r>
              <w:rPr>
                <w:rFonts w:ascii="Arial"/>
                <w:spacing w:val="-2"/>
              </w:rPr>
              <w:t>Communities</w:t>
            </w:r>
            <w:r>
              <w:rPr>
                <w:rFonts w:ascii="Arial"/>
                <w:spacing w:val="5"/>
              </w:rPr>
              <w:t xml:space="preserve"> </w:t>
            </w:r>
            <w:r>
              <w:rPr>
                <w:rFonts w:ascii="Arial"/>
                <w:spacing w:val="-1"/>
              </w:rPr>
              <w:t>Act</w:t>
            </w:r>
            <w:r>
              <w:rPr>
                <w:rFonts w:ascii="Arial"/>
                <w:spacing w:val="7"/>
              </w:rPr>
              <w:t xml:space="preserve"> </w:t>
            </w:r>
            <w:r>
              <w:rPr>
                <w:rFonts w:ascii="Arial"/>
                <w:spacing w:val="-1"/>
              </w:rPr>
              <w:t>1972,</w:t>
            </w:r>
            <w:r>
              <w:rPr>
                <w:rFonts w:ascii="Arial"/>
                <w:spacing w:val="7"/>
              </w:rPr>
              <w:t xml:space="preserve"> </w:t>
            </w:r>
            <w:r>
              <w:rPr>
                <w:rFonts w:ascii="Arial"/>
                <w:spacing w:val="-1"/>
              </w:rPr>
              <w:t>regulation,</w:t>
            </w:r>
            <w:r>
              <w:rPr>
                <w:rFonts w:ascii="Arial"/>
                <w:spacing w:val="7"/>
              </w:rPr>
              <w:t xml:space="preserve"> </w:t>
            </w:r>
            <w:r>
              <w:rPr>
                <w:rFonts w:ascii="Arial"/>
                <w:spacing w:val="-1"/>
              </w:rPr>
              <w:t>order,</w:t>
            </w:r>
            <w:r>
              <w:rPr>
                <w:rFonts w:ascii="Arial"/>
                <w:spacing w:val="37"/>
              </w:rPr>
              <w:t xml:space="preserve"> </w:t>
            </w:r>
            <w:r>
              <w:rPr>
                <w:rFonts w:ascii="Arial"/>
                <w:spacing w:val="-1"/>
              </w:rPr>
              <w:t>regulatory</w:t>
            </w:r>
            <w:r>
              <w:rPr>
                <w:rFonts w:ascii="Arial"/>
                <w:spacing w:val="1"/>
              </w:rPr>
              <w:t xml:space="preserve"> </w:t>
            </w:r>
            <w:r>
              <w:rPr>
                <w:rFonts w:ascii="Arial"/>
                <w:spacing w:val="-2"/>
              </w:rPr>
              <w:t>policy,</w:t>
            </w:r>
            <w:r>
              <w:rPr>
                <w:rFonts w:ascii="Arial"/>
                <w:spacing w:val="4"/>
              </w:rPr>
              <w:t xml:space="preserve"> </w:t>
            </w:r>
            <w:r>
              <w:rPr>
                <w:rFonts w:ascii="Arial"/>
                <w:spacing w:val="-1"/>
              </w:rPr>
              <w:t>mandatory</w:t>
            </w:r>
            <w:r>
              <w:rPr>
                <w:rFonts w:ascii="Arial"/>
                <w:spacing w:val="1"/>
              </w:rPr>
              <w:t xml:space="preserve"> </w:t>
            </w:r>
            <w:r>
              <w:rPr>
                <w:rFonts w:ascii="Arial"/>
                <w:spacing w:val="-1"/>
              </w:rPr>
              <w:t>guidance</w:t>
            </w:r>
            <w:r>
              <w:rPr>
                <w:rFonts w:ascii="Arial"/>
                <w:spacing w:val="3"/>
              </w:rPr>
              <w:t xml:space="preserve"> </w:t>
            </w:r>
            <w:r>
              <w:rPr>
                <w:rFonts w:ascii="Arial"/>
                <w:spacing w:val="-2"/>
              </w:rPr>
              <w:t>or</w:t>
            </w:r>
            <w:r>
              <w:rPr>
                <w:rFonts w:ascii="Arial"/>
                <w:spacing w:val="4"/>
              </w:rPr>
              <w:t xml:space="preserve"> </w:t>
            </w:r>
            <w:r>
              <w:rPr>
                <w:rFonts w:ascii="Arial"/>
                <w:spacing w:val="-1"/>
              </w:rPr>
              <w:t>code</w:t>
            </w:r>
            <w:r>
              <w:rPr>
                <w:rFonts w:ascii="Arial"/>
                <w:spacing w:val="3"/>
              </w:rPr>
              <w:t xml:space="preserve"> </w:t>
            </w:r>
            <w:r>
              <w:rPr>
                <w:rFonts w:ascii="Arial"/>
                <w:spacing w:val="-2"/>
              </w:rPr>
              <w:t>of</w:t>
            </w:r>
            <w:r>
              <w:rPr>
                <w:rFonts w:ascii="Arial"/>
                <w:spacing w:val="2"/>
              </w:rPr>
              <w:t xml:space="preserve"> </w:t>
            </w:r>
            <w:r>
              <w:rPr>
                <w:rFonts w:ascii="Arial"/>
                <w:spacing w:val="-1"/>
              </w:rPr>
              <w:t>practice,</w:t>
            </w:r>
            <w:r>
              <w:rPr>
                <w:rFonts w:ascii="Arial"/>
                <w:spacing w:val="47"/>
              </w:rPr>
              <w:t xml:space="preserve"> </w:t>
            </w:r>
            <w:r>
              <w:rPr>
                <w:rFonts w:ascii="Arial"/>
                <w:spacing w:val="-1"/>
              </w:rPr>
              <w:t>judgment</w:t>
            </w:r>
            <w:r>
              <w:rPr>
                <w:rFonts w:ascii="Arial"/>
                <w:spacing w:val="22"/>
              </w:rPr>
              <w:t xml:space="preserve"> </w:t>
            </w:r>
            <w:r>
              <w:rPr>
                <w:rFonts w:ascii="Arial"/>
                <w:spacing w:val="-2"/>
              </w:rPr>
              <w:t>of</w:t>
            </w:r>
            <w:r>
              <w:rPr>
                <w:rFonts w:ascii="Arial"/>
                <w:spacing w:val="24"/>
              </w:rPr>
              <w:t xml:space="preserve"> </w:t>
            </w:r>
            <w:r>
              <w:rPr>
                <w:rFonts w:ascii="Arial"/>
              </w:rPr>
              <w:t>a</w:t>
            </w:r>
            <w:r>
              <w:rPr>
                <w:rFonts w:ascii="Arial"/>
                <w:spacing w:val="18"/>
              </w:rPr>
              <w:t xml:space="preserve"> </w:t>
            </w:r>
            <w:r>
              <w:rPr>
                <w:rFonts w:ascii="Arial"/>
                <w:spacing w:val="-2"/>
              </w:rPr>
              <w:t>relevant</w:t>
            </w:r>
            <w:r>
              <w:rPr>
                <w:rFonts w:ascii="Arial"/>
                <w:spacing w:val="22"/>
              </w:rPr>
              <w:t xml:space="preserve"> </w:t>
            </w:r>
            <w:r>
              <w:rPr>
                <w:rFonts w:ascii="Arial"/>
                <w:spacing w:val="-1"/>
              </w:rPr>
              <w:t>court</w:t>
            </w:r>
            <w:r>
              <w:rPr>
                <w:rFonts w:ascii="Arial"/>
                <w:spacing w:val="22"/>
              </w:rPr>
              <w:t xml:space="preserve"> </w:t>
            </w:r>
            <w:r>
              <w:rPr>
                <w:rFonts w:ascii="Arial"/>
                <w:spacing w:val="-2"/>
              </w:rPr>
              <w:t>of</w:t>
            </w:r>
            <w:r>
              <w:rPr>
                <w:rFonts w:ascii="Arial"/>
                <w:spacing w:val="22"/>
              </w:rPr>
              <w:t xml:space="preserve"> </w:t>
            </w:r>
            <w:r>
              <w:rPr>
                <w:rFonts w:ascii="Arial"/>
                <w:spacing w:val="-2"/>
              </w:rPr>
              <w:t>law,</w:t>
            </w:r>
            <w:r>
              <w:rPr>
                <w:rFonts w:ascii="Arial"/>
                <w:spacing w:val="22"/>
              </w:rPr>
              <w:t xml:space="preserve"> </w:t>
            </w:r>
            <w:r>
              <w:rPr>
                <w:rFonts w:ascii="Arial"/>
                <w:spacing w:val="-1"/>
              </w:rPr>
              <w:t>or</w:t>
            </w:r>
            <w:r>
              <w:rPr>
                <w:rFonts w:ascii="Arial"/>
                <w:spacing w:val="22"/>
              </w:rPr>
              <w:t xml:space="preserve"> </w:t>
            </w:r>
            <w:r>
              <w:rPr>
                <w:rFonts w:ascii="Arial"/>
                <w:spacing w:val="-1"/>
              </w:rPr>
              <w:t>directives</w:t>
            </w:r>
            <w:r>
              <w:rPr>
                <w:rFonts w:ascii="Arial"/>
                <w:spacing w:val="21"/>
              </w:rPr>
              <w:t xml:space="preserve"> </w:t>
            </w:r>
            <w:r>
              <w:rPr>
                <w:rFonts w:ascii="Arial"/>
                <w:spacing w:val="-1"/>
              </w:rPr>
              <w:t>or</w:t>
            </w:r>
            <w:r>
              <w:rPr>
                <w:rFonts w:ascii="Arial"/>
                <w:spacing w:val="34"/>
              </w:rPr>
              <w:t xml:space="preserve"> </w:t>
            </w:r>
            <w:r>
              <w:rPr>
                <w:rFonts w:ascii="Arial"/>
                <w:spacing w:val="-1"/>
              </w:rPr>
              <w:t>requirements</w:t>
            </w:r>
            <w:r>
              <w:rPr>
                <w:rFonts w:ascii="Arial"/>
                <w:spacing w:val="-2"/>
              </w:rPr>
              <w:t xml:space="preserve"> with</w:t>
            </w:r>
            <w:r>
              <w:rPr>
                <w:rFonts w:ascii="Arial"/>
              </w:rPr>
              <w:t xml:space="preserve"> </w:t>
            </w:r>
            <w:r>
              <w:rPr>
                <w:rFonts w:ascii="Arial"/>
                <w:spacing w:val="-1"/>
              </w:rPr>
              <w:t>which</w:t>
            </w:r>
            <w:r>
              <w:rPr>
                <w:rFonts w:ascii="Arial"/>
                <w:spacing w:val="1"/>
              </w:rPr>
              <w:t xml:space="preserve"> </w:t>
            </w:r>
            <w:r>
              <w:rPr>
                <w:rFonts w:ascii="Arial"/>
              </w:rPr>
              <w:t xml:space="preserve">the </w:t>
            </w:r>
            <w:r>
              <w:rPr>
                <w:rFonts w:ascii="Arial"/>
                <w:spacing w:val="-2"/>
              </w:rPr>
              <w:t>Supplier</w:t>
            </w:r>
            <w:r>
              <w:rPr>
                <w:rFonts w:ascii="Arial"/>
                <w:spacing w:val="2"/>
              </w:rPr>
              <w:t xml:space="preserve"> </w:t>
            </w:r>
            <w:r>
              <w:rPr>
                <w:rFonts w:ascii="Arial"/>
                <w:spacing w:val="-1"/>
              </w:rPr>
              <w:t>is</w:t>
            </w:r>
            <w:r>
              <w:rPr>
                <w:rFonts w:ascii="Arial"/>
                <w:spacing w:val="-2"/>
              </w:rPr>
              <w:t xml:space="preserve"> </w:t>
            </w:r>
            <w:r>
              <w:rPr>
                <w:rFonts w:ascii="Arial"/>
                <w:spacing w:val="-1"/>
              </w:rPr>
              <w:t>bound</w:t>
            </w:r>
            <w:r>
              <w:rPr>
                <w:rFonts w:ascii="Arial"/>
                <w:spacing w:val="-2"/>
              </w:rPr>
              <w:t xml:space="preserve"> </w:t>
            </w:r>
            <w:r>
              <w:rPr>
                <w:rFonts w:ascii="Arial"/>
              </w:rPr>
              <w:t>to</w:t>
            </w:r>
            <w:r>
              <w:rPr>
                <w:rFonts w:ascii="Arial"/>
                <w:spacing w:val="-2"/>
              </w:rPr>
              <w:t xml:space="preserve"> </w:t>
            </w:r>
            <w:r>
              <w:rPr>
                <w:rFonts w:ascii="Arial"/>
                <w:spacing w:val="-1"/>
              </w:rPr>
              <w:t>comply;</w:t>
            </w:r>
          </w:p>
        </w:tc>
      </w:tr>
      <w:tr w:rsidR="008918FA" w:rsidTr="005D2B81">
        <w:trPr>
          <w:trHeight w:hRule="exact" w:val="1654"/>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"Losses"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eastAsia="Arial" w:hAnsi="Arial" w:cs="Arial"/>
                <w:spacing w:val="-1"/>
              </w:rPr>
              <w:t>means</w:t>
            </w:r>
            <w:r>
              <w:rPr>
                <w:rFonts w:ascii="Arial" w:eastAsia="Arial" w:hAnsi="Arial" w:cs="Arial"/>
                <w:spacing w:val="61"/>
              </w:rPr>
              <w:t xml:space="preserve"> </w:t>
            </w:r>
            <w:r>
              <w:rPr>
                <w:rFonts w:ascii="Arial" w:eastAsia="Arial" w:hAnsi="Arial" w:cs="Arial"/>
                <w:spacing w:val="-1"/>
              </w:rPr>
              <w:t>all</w:t>
            </w:r>
            <w:r>
              <w:rPr>
                <w:rFonts w:ascii="Arial" w:eastAsia="Arial" w:hAnsi="Arial" w:cs="Arial"/>
                <w:spacing w:val="59"/>
              </w:rPr>
              <w:t xml:space="preserve"> </w:t>
            </w:r>
            <w:r>
              <w:rPr>
                <w:rFonts w:ascii="Arial" w:eastAsia="Arial" w:hAnsi="Arial" w:cs="Arial"/>
                <w:spacing w:val="-1"/>
              </w:rPr>
              <w:t>losses,</w:t>
            </w:r>
            <w:r>
              <w:rPr>
                <w:rFonts w:ascii="Arial" w:eastAsia="Arial" w:hAnsi="Arial" w:cs="Arial"/>
                <w:spacing w:val="1"/>
              </w:rPr>
              <w:t xml:space="preserve"> </w:t>
            </w:r>
            <w:r>
              <w:rPr>
                <w:rFonts w:ascii="Arial" w:eastAsia="Arial" w:hAnsi="Arial" w:cs="Arial"/>
                <w:spacing w:val="-1"/>
              </w:rPr>
              <w:t>liabilities,</w:t>
            </w:r>
            <w:r>
              <w:rPr>
                <w:rFonts w:ascii="Arial" w:eastAsia="Arial" w:hAnsi="Arial" w:cs="Arial"/>
                <w:spacing w:val="1"/>
              </w:rPr>
              <w:t xml:space="preserve"> </w:t>
            </w:r>
            <w:r>
              <w:rPr>
                <w:rFonts w:ascii="Arial" w:eastAsia="Arial" w:hAnsi="Arial" w:cs="Arial"/>
                <w:spacing w:val="-1"/>
              </w:rPr>
              <w:t>damages,</w:t>
            </w:r>
            <w:r>
              <w:rPr>
                <w:rFonts w:ascii="Arial" w:eastAsia="Arial" w:hAnsi="Arial" w:cs="Arial"/>
                <w:spacing w:val="60"/>
              </w:rPr>
              <w:t xml:space="preserve"> </w:t>
            </w:r>
            <w:r>
              <w:rPr>
                <w:rFonts w:ascii="Arial" w:eastAsia="Arial" w:hAnsi="Arial" w:cs="Arial"/>
                <w:spacing w:val="-1"/>
              </w:rPr>
              <w:t>costs,</w:t>
            </w:r>
            <w:r>
              <w:rPr>
                <w:rFonts w:ascii="Arial" w:eastAsia="Arial" w:hAnsi="Arial" w:cs="Arial"/>
                <w:spacing w:val="1"/>
              </w:rPr>
              <w:t xml:space="preserve"> </w:t>
            </w:r>
            <w:r>
              <w:rPr>
                <w:rFonts w:ascii="Arial" w:eastAsia="Arial" w:hAnsi="Arial" w:cs="Arial"/>
                <w:spacing w:val="-2"/>
              </w:rPr>
              <w:t>expenses</w:t>
            </w:r>
            <w:r>
              <w:rPr>
                <w:rFonts w:ascii="Arial" w:eastAsia="Arial" w:hAnsi="Arial" w:cs="Arial"/>
                <w:spacing w:val="25"/>
              </w:rPr>
              <w:t xml:space="preserve"> </w:t>
            </w:r>
            <w:r>
              <w:rPr>
                <w:rFonts w:ascii="Arial" w:eastAsia="Arial" w:hAnsi="Arial" w:cs="Arial"/>
                <w:spacing w:val="-1"/>
              </w:rPr>
              <w:t>(including</w:t>
            </w:r>
            <w:r>
              <w:rPr>
                <w:rFonts w:ascii="Arial" w:eastAsia="Arial" w:hAnsi="Arial" w:cs="Arial"/>
                <w:spacing w:val="61"/>
              </w:rPr>
              <w:t xml:space="preserve"> </w:t>
            </w:r>
            <w:r>
              <w:rPr>
                <w:rFonts w:ascii="Arial" w:eastAsia="Arial" w:hAnsi="Arial" w:cs="Arial"/>
                <w:spacing w:val="-1"/>
              </w:rPr>
              <w:t>legal</w:t>
            </w:r>
            <w:r>
              <w:rPr>
                <w:rFonts w:ascii="Arial" w:eastAsia="Arial" w:hAnsi="Arial" w:cs="Arial"/>
                <w:spacing w:val="56"/>
              </w:rPr>
              <w:t xml:space="preserve"> </w:t>
            </w:r>
            <w:r>
              <w:rPr>
                <w:rFonts w:ascii="Arial" w:eastAsia="Arial" w:hAnsi="Arial" w:cs="Arial"/>
                <w:spacing w:val="-1"/>
              </w:rPr>
              <w:t>fees),</w:t>
            </w:r>
            <w:r>
              <w:rPr>
                <w:rFonts w:ascii="Arial" w:eastAsia="Arial" w:hAnsi="Arial" w:cs="Arial"/>
              </w:rPr>
              <w:t xml:space="preserve">  </w:t>
            </w:r>
            <w:r>
              <w:rPr>
                <w:rFonts w:ascii="Arial" w:eastAsia="Arial" w:hAnsi="Arial" w:cs="Arial"/>
                <w:spacing w:val="-1"/>
              </w:rPr>
              <w:t>disbursements,</w:t>
            </w:r>
            <w:r>
              <w:rPr>
                <w:rFonts w:ascii="Arial" w:eastAsia="Arial" w:hAnsi="Arial" w:cs="Arial"/>
              </w:rPr>
              <w:t xml:space="preserve">  </w:t>
            </w:r>
            <w:r>
              <w:rPr>
                <w:rFonts w:ascii="Arial" w:eastAsia="Arial" w:hAnsi="Arial" w:cs="Arial"/>
                <w:spacing w:val="-1"/>
              </w:rPr>
              <w:t>costs</w:t>
            </w:r>
            <w:r>
              <w:rPr>
                <w:rFonts w:ascii="Arial" w:eastAsia="Arial" w:hAnsi="Arial" w:cs="Arial"/>
                <w:spacing w:val="59"/>
              </w:rPr>
              <w:t xml:space="preserve"> </w:t>
            </w:r>
            <w:r>
              <w:rPr>
                <w:rFonts w:ascii="Arial" w:eastAsia="Arial" w:hAnsi="Arial" w:cs="Arial"/>
                <w:spacing w:val="-2"/>
              </w:rPr>
              <w:t>of</w:t>
            </w:r>
            <w:r>
              <w:rPr>
                <w:rFonts w:ascii="Arial" w:eastAsia="Arial" w:hAnsi="Arial" w:cs="Arial"/>
                <w:spacing w:val="27"/>
              </w:rPr>
              <w:t xml:space="preserve"> </w:t>
            </w:r>
            <w:r>
              <w:rPr>
                <w:rFonts w:ascii="Arial" w:eastAsia="Arial" w:hAnsi="Arial" w:cs="Arial"/>
                <w:spacing w:val="-1"/>
              </w:rPr>
              <w:t>investigation,</w:t>
            </w:r>
            <w:r>
              <w:rPr>
                <w:rFonts w:ascii="Arial" w:eastAsia="Arial" w:hAnsi="Arial" w:cs="Arial"/>
                <w:spacing w:val="19"/>
              </w:rPr>
              <w:t xml:space="preserve"> </w:t>
            </w:r>
            <w:r>
              <w:rPr>
                <w:rFonts w:ascii="Arial" w:eastAsia="Arial" w:hAnsi="Arial" w:cs="Arial"/>
                <w:spacing w:val="-1"/>
              </w:rPr>
              <w:t>litigation,</w:t>
            </w:r>
            <w:r>
              <w:rPr>
                <w:rFonts w:ascii="Arial" w:eastAsia="Arial" w:hAnsi="Arial" w:cs="Arial"/>
                <w:spacing w:val="19"/>
              </w:rPr>
              <w:t xml:space="preserve"> </w:t>
            </w:r>
            <w:r>
              <w:rPr>
                <w:rFonts w:ascii="Arial" w:eastAsia="Arial" w:hAnsi="Arial" w:cs="Arial"/>
                <w:spacing w:val="-1"/>
              </w:rPr>
              <w:t>settlement,</w:t>
            </w:r>
            <w:r>
              <w:rPr>
                <w:rFonts w:ascii="Arial" w:eastAsia="Arial" w:hAnsi="Arial" w:cs="Arial"/>
                <w:spacing w:val="14"/>
              </w:rPr>
              <w:t xml:space="preserve"> </w:t>
            </w:r>
            <w:r>
              <w:rPr>
                <w:rFonts w:ascii="Arial" w:eastAsia="Arial" w:hAnsi="Arial" w:cs="Arial"/>
                <w:spacing w:val="-1"/>
              </w:rPr>
              <w:t>judgment,</w:t>
            </w:r>
            <w:r>
              <w:rPr>
                <w:rFonts w:ascii="Arial" w:eastAsia="Arial" w:hAnsi="Arial" w:cs="Arial"/>
                <w:spacing w:val="16"/>
              </w:rPr>
              <w:t xml:space="preserve"> </w:t>
            </w:r>
            <w:r>
              <w:rPr>
                <w:rFonts w:ascii="Arial" w:eastAsia="Arial" w:hAnsi="Arial" w:cs="Arial"/>
                <w:spacing w:val="-1"/>
              </w:rPr>
              <w:t>interest</w:t>
            </w:r>
            <w:r>
              <w:rPr>
                <w:rFonts w:ascii="Arial" w:eastAsia="Arial" w:hAnsi="Arial" w:cs="Arial"/>
                <w:spacing w:val="17"/>
              </w:rPr>
              <w:t xml:space="preserve"> </w:t>
            </w:r>
            <w:r>
              <w:rPr>
                <w:rFonts w:ascii="Arial" w:eastAsia="Arial" w:hAnsi="Arial" w:cs="Arial"/>
                <w:spacing w:val="-1"/>
              </w:rPr>
              <w:t>and</w:t>
            </w:r>
            <w:r>
              <w:rPr>
                <w:rFonts w:ascii="Arial" w:eastAsia="Arial" w:hAnsi="Arial" w:cs="Arial"/>
                <w:spacing w:val="24"/>
              </w:rPr>
              <w:t xml:space="preserve"> </w:t>
            </w:r>
            <w:r>
              <w:rPr>
                <w:rFonts w:ascii="Arial" w:eastAsia="Arial" w:hAnsi="Arial" w:cs="Arial"/>
                <w:spacing w:val="-1"/>
              </w:rPr>
              <w:t>penalties</w:t>
            </w:r>
            <w:r>
              <w:rPr>
                <w:rFonts w:ascii="Arial" w:eastAsia="Arial" w:hAnsi="Arial" w:cs="Arial"/>
                <w:spacing w:val="59"/>
              </w:rPr>
              <w:t xml:space="preserve"> </w:t>
            </w:r>
            <w:r>
              <w:rPr>
                <w:rFonts w:ascii="Arial" w:eastAsia="Arial" w:hAnsi="Arial" w:cs="Arial"/>
                <w:spacing w:val="-1"/>
              </w:rPr>
              <w:t>whether</w:t>
            </w:r>
            <w:r>
              <w:rPr>
                <w:rFonts w:ascii="Arial" w:eastAsia="Arial" w:hAnsi="Arial" w:cs="Arial"/>
                <w:spacing w:val="60"/>
              </w:rPr>
              <w:t xml:space="preserve"> </w:t>
            </w:r>
            <w:r>
              <w:rPr>
                <w:rFonts w:ascii="Arial" w:eastAsia="Arial" w:hAnsi="Arial" w:cs="Arial"/>
                <w:spacing w:val="-2"/>
              </w:rPr>
              <w:t>arising</w:t>
            </w:r>
            <w:r>
              <w:rPr>
                <w:rFonts w:ascii="Arial" w:eastAsia="Arial" w:hAnsi="Arial" w:cs="Arial"/>
              </w:rPr>
              <w:t xml:space="preserve">  </w:t>
            </w:r>
            <w:r>
              <w:rPr>
                <w:rFonts w:ascii="Arial" w:eastAsia="Arial" w:hAnsi="Arial" w:cs="Arial"/>
                <w:spacing w:val="-1"/>
              </w:rPr>
              <w:t>in</w:t>
            </w:r>
            <w:r>
              <w:rPr>
                <w:rFonts w:ascii="Arial" w:eastAsia="Arial" w:hAnsi="Arial" w:cs="Arial"/>
                <w:spacing w:val="57"/>
              </w:rPr>
              <w:t xml:space="preserve"> </w:t>
            </w:r>
            <w:r>
              <w:rPr>
                <w:rFonts w:ascii="Arial" w:eastAsia="Arial" w:hAnsi="Arial" w:cs="Arial"/>
                <w:spacing w:val="-1"/>
              </w:rPr>
              <w:t>contract,</w:t>
            </w:r>
            <w:r>
              <w:rPr>
                <w:rFonts w:ascii="Arial" w:eastAsia="Arial" w:hAnsi="Arial" w:cs="Arial"/>
                <w:spacing w:val="58"/>
              </w:rPr>
              <w:t xml:space="preserve"> </w:t>
            </w:r>
            <w:r>
              <w:rPr>
                <w:rFonts w:ascii="Arial" w:eastAsia="Arial" w:hAnsi="Arial" w:cs="Arial"/>
                <w:spacing w:val="-1"/>
              </w:rPr>
              <w:t>tort</w:t>
            </w:r>
            <w:r>
              <w:rPr>
                <w:rFonts w:ascii="Arial" w:eastAsia="Arial" w:hAnsi="Arial" w:cs="Arial"/>
                <w:spacing w:val="58"/>
              </w:rPr>
              <w:t xml:space="preserve"> </w:t>
            </w:r>
            <w:r>
              <w:rPr>
                <w:rFonts w:ascii="Arial" w:eastAsia="Arial" w:hAnsi="Arial" w:cs="Arial"/>
                <w:spacing w:val="-2"/>
              </w:rPr>
              <w:t>(including</w:t>
            </w:r>
            <w:r>
              <w:rPr>
                <w:rFonts w:ascii="Arial" w:eastAsia="Arial" w:hAnsi="Arial" w:cs="Arial"/>
                <w:spacing w:val="38"/>
              </w:rPr>
              <w:t xml:space="preserve"> </w:t>
            </w:r>
            <w:r>
              <w:rPr>
                <w:rFonts w:ascii="Arial" w:eastAsia="Arial" w:hAnsi="Arial" w:cs="Arial"/>
                <w:spacing w:val="-1"/>
              </w:rPr>
              <w:t>negligence),</w:t>
            </w:r>
            <w:r>
              <w:rPr>
                <w:rFonts w:ascii="Arial" w:eastAsia="Arial" w:hAnsi="Arial" w:cs="Arial"/>
                <w:spacing w:val="50"/>
              </w:rPr>
              <w:t xml:space="preserve"> </w:t>
            </w:r>
            <w:r>
              <w:rPr>
                <w:rFonts w:ascii="Arial" w:eastAsia="Arial" w:hAnsi="Arial" w:cs="Arial"/>
                <w:spacing w:val="-1"/>
              </w:rPr>
              <w:t>breach</w:t>
            </w:r>
            <w:r>
              <w:rPr>
                <w:rFonts w:ascii="Arial" w:eastAsia="Arial" w:hAnsi="Arial" w:cs="Arial"/>
                <w:spacing w:val="46"/>
              </w:rPr>
              <w:t xml:space="preserve"> </w:t>
            </w:r>
            <w:r>
              <w:rPr>
                <w:rFonts w:ascii="Arial" w:eastAsia="Arial" w:hAnsi="Arial" w:cs="Arial"/>
                <w:spacing w:val="-2"/>
              </w:rPr>
              <w:t>of</w:t>
            </w:r>
            <w:r>
              <w:rPr>
                <w:rFonts w:ascii="Arial" w:eastAsia="Arial" w:hAnsi="Arial" w:cs="Arial"/>
                <w:spacing w:val="49"/>
              </w:rPr>
              <w:t xml:space="preserve"> </w:t>
            </w:r>
            <w:r>
              <w:rPr>
                <w:rFonts w:ascii="Arial" w:eastAsia="Arial" w:hAnsi="Arial" w:cs="Arial"/>
                <w:spacing w:val="-1"/>
              </w:rPr>
              <w:t>statutory</w:t>
            </w:r>
            <w:r>
              <w:rPr>
                <w:rFonts w:ascii="Arial" w:eastAsia="Arial" w:hAnsi="Arial" w:cs="Arial"/>
                <w:spacing w:val="46"/>
              </w:rPr>
              <w:t xml:space="preserve"> </w:t>
            </w:r>
            <w:r>
              <w:rPr>
                <w:rFonts w:ascii="Arial" w:eastAsia="Arial" w:hAnsi="Arial" w:cs="Arial"/>
                <w:spacing w:val="-1"/>
              </w:rPr>
              <w:t>duty,</w:t>
            </w:r>
            <w:r>
              <w:rPr>
                <w:rFonts w:ascii="Arial" w:eastAsia="Arial" w:hAnsi="Arial" w:cs="Arial"/>
                <w:spacing w:val="47"/>
              </w:rPr>
              <w:t xml:space="preserve"> </w:t>
            </w:r>
            <w:r>
              <w:rPr>
                <w:rFonts w:ascii="Arial" w:eastAsia="Arial" w:hAnsi="Arial" w:cs="Arial"/>
                <w:spacing w:val="-1"/>
              </w:rPr>
              <w:t>misrepresentation</w:t>
            </w:r>
            <w:r>
              <w:rPr>
                <w:rFonts w:ascii="Arial" w:eastAsia="Arial" w:hAnsi="Arial" w:cs="Arial"/>
                <w:spacing w:val="35"/>
              </w:rPr>
              <w:t xml:space="preserve"> </w:t>
            </w:r>
            <w:r>
              <w:rPr>
                <w:rFonts w:ascii="Arial" w:eastAsia="Arial" w:hAnsi="Arial" w:cs="Arial"/>
                <w:spacing w:val="-1"/>
              </w:rPr>
              <w:t>or</w:t>
            </w:r>
            <w:r>
              <w:rPr>
                <w:rFonts w:ascii="Arial" w:eastAsia="Arial" w:hAnsi="Arial" w:cs="Arial"/>
                <w:spacing w:val="2"/>
              </w:rPr>
              <w:t xml:space="preserve"> </w:t>
            </w:r>
            <w:r>
              <w:rPr>
                <w:rFonts w:ascii="Arial" w:eastAsia="Arial" w:hAnsi="Arial" w:cs="Arial"/>
                <w:spacing w:val="-2"/>
              </w:rPr>
              <w:t>otherwise</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w:t>
            </w:r>
            <w:r>
              <w:rPr>
                <w:rFonts w:ascii="Arial" w:eastAsia="Arial" w:hAnsi="Arial" w:cs="Arial"/>
                <w:b/>
                <w:bCs/>
                <w:spacing w:val="-1"/>
              </w:rPr>
              <w:t>Loss</w:t>
            </w:r>
            <w:r>
              <w:rPr>
                <w:rFonts w:ascii="Arial" w:eastAsia="Arial" w:hAnsi="Arial" w:cs="Arial"/>
                <w:spacing w:val="-1"/>
              </w:rPr>
              <w:t>” shall</w:t>
            </w:r>
            <w:r>
              <w:rPr>
                <w:rFonts w:ascii="Arial" w:eastAsia="Arial" w:hAnsi="Arial" w:cs="Arial"/>
              </w:rPr>
              <w:t xml:space="preserve"> </w:t>
            </w:r>
            <w:r>
              <w:rPr>
                <w:rFonts w:ascii="Arial" w:eastAsia="Arial" w:hAnsi="Arial" w:cs="Arial"/>
                <w:spacing w:val="-1"/>
              </w:rPr>
              <w:t>be</w:t>
            </w:r>
            <w:r>
              <w:rPr>
                <w:rFonts w:ascii="Arial" w:eastAsia="Arial" w:hAnsi="Arial" w:cs="Arial"/>
              </w:rPr>
              <w:t xml:space="preserve"> </w:t>
            </w:r>
            <w:r>
              <w:rPr>
                <w:rFonts w:ascii="Arial" w:eastAsia="Arial" w:hAnsi="Arial" w:cs="Arial"/>
                <w:spacing w:val="-1"/>
              </w:rPr>
              <w:t>interpreted</w:t>
            </w:r>
            <w:r>
              <w:rPr>
                <w:rFonts w:ascii="Arial" w:eastAsia="Arial" w:hAnsi="Arial" w:cs="Arial"/>
                <w:spacing w:val="-2"/>
              </w:rPr>
              <w:t xml:space="preserve"> </w:t>
            </w:r>
            <w:r>
              <w:rPr>
                <w:rFonts w:ascii="Arial" w:eastAsia="Arial" w:hAnsi="Arial" w:cs="Arial"/>
                <w:spacing w:val="-1"/>
              </w:rPr>
              <w:t>accordingly;</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"Man</w:t>
            </w:r>
            <w:r>
              <w:rPr>
                <w:rFonts w:ascii="Arial"/>
                <w:b/>
                <w:spacing w:val="-2"/>
              </w:rPr>
              <w:t xml:space="preserve"> </w:t>
            </w:r>
            <w:r>
              <w:rPr>
                <w:rFonts w:ascii="Arial"/>
                <w:b/>
                <w:spacing w:val="-4"/>
              </w:rPr>
              <w:t>Day"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58"/>
              </w:rPr>
              <w:t xml:space="preserve"> </w:t>
            </w:r>
            <w:r>
              <w:rPr>
                <w:rFonts w:ascii="Arial"/>
                <w:spacing w:val="-1"/>
              </w:rPr>
              <w:t>7.5</w:t>
            </w:r>
            <w:r>
              <w:rPr>
                <w:rFonts w:ascii="Arial"/>
                <w:spacing w:val="1"/>
              </w:rPr>
              <w:t xml:space="preserve"> </w:t>
            </w:r>
            <w:r>
              <w:rPr>
                <w:rFonts w:ascii="Arial"/>
                <w:spacing w:val="-2"/>
              </w:rPr>
              <w:t>Man</w:t>
            </w:r>
            <w:r>
              <w:rPr>
                <w:rFonts w:ascii="Arial"/>
                <w:spacing w:val="58"/>
              </w:rPr>
              <w:t xml:space="preserve"> </w:t>
            </w:r>
            <w:r>
              <w:rPr>
                <w:rFonts w:ascii="Arial"/>
                <w:spacing w:val="-1"/>
              </w:rPr>
              <w:t>Hours,</w:t>
            </w:r>
            <w:r>
              <w:rPr>
                <w:rFonts w:ascii="Arial"/>
                <w:spacing w:val="57"/>
              </w:rPr>
              <w:t xml:space="preserve"> </w:t>
            </w:r>
            <w:r>
              <w:rPr>
                <w:rFonts w:ascii="Arial"/>
                <w:spacing w:val="-1"/>
              </w:rPr>
              <w:t>whether</w:t>
            </w:r>
            <w:r>
              <w:rPr>
                <w:rFonts w:ascii="Arial"/>
                <w:spacing w:val="59"/>
              </w:rPr>
              <w:t xml:space="preserve"> </w:t>
            </w:r>
            <w:r>
              <w:rPr>
                <w:rFonts w:ascii="Arial"/>
                <w:spacing w:val="-1"/>
              </w:rPr>
              <w:t>or</w:t>
            </w:r>
            <w:r>
              <w:rPr>
                <w:rFonts w:ascii="Arial"/>
                <w:spacing w:val="59"/>
              </w:rPr>
              <w:t xml:space="preserve"> </w:t>
            </w:r>
            <w:r>
              <w:rPr>
                <w:rFonts w:ascii="Arial"/>
                <w:spacing w:val="-2"/>
              </w:rPr>
              <w:t>not</w:t>
            </w:r>
            <w:r>
              <w:rPr>
                <w:rFonts w:ascii="Arial"/>
                <w:spacing w:val="59"/>
              </w:rPr>
              <w:t xml:space="preserve"> </w:t>
            </w:r>
            <w:r>
              <w:rPr>
                <w:rFonts w:ascii="Arial"/>
                <w:spacing w:val="-2"/>
              </w:rPr>
              <w:t>such</w:t>
            </w:r>
            <w:r>
              <w:rPr>
                <w:rFonts w:ascii="Arial"/>
                <w:spacing w:val="57"/>
              </w:rPr>
              <w:t xml:space="preserve"> </w:t>
            </w:r>
            <w:r>
              <w:rPr>
                <w:rFonts w:ascii="Arial"/>
                <w:spacing w:val="-1"/>
              </w:rPr>
              <w:t>hours</w:t>
            </w:r>
            <w:r>
              <w:rPr>
                <w:rFonts w:ascii="Arial"/>
                <w:spacing w:val="58"/>
              </w:rPr>
              <w:t xml:space="preserve"> </w:t>
            </w:r>
            <w:r>
              <w:rPr>
                <w:rFonts w:ascii="Arial"/>
                <w:spacing w:val="-1"/>
              </w:rPr>
              <w:t>are</w:t>
            </w:r>
            <w:r>
              <w:rPr>
                <w:rFonts w:ascii="Arial"/>
                <w:spacing w:val="27"/>
              </w:rPr>
              <w:t xml:space="preserve"> </w:t>
            </w:r>
            <w:r>
              <w:rPr>
                <w:rFonts w:ascii="Arial"/>
                <w:spacing w:val="-1"/>
              </w:rPr>
              <w:t>worked</w:t>
            </w:r>
            <w:r>
              <w:rPr>
                <w:rFonts w:ascii="Arial"/>
                <w:spacing w:val="7"/>
              </w:rPr>
              <w:t xml:space="preserve"> </w:t>
            </w:r>
            <w:r>
              <w:rPr>
                <w:rFonts w:ascii="Arial"/>
                <w:spacing w:val="-2"/>
              </w:rPr>
              <w:t>consecutively</w:t>
            </w:r>
            <w:r>
              <w:rPr>
                <w:rFonts w:ascii="Arial"/>
                <w:spacing w:val="5"/>
              </w:rPr>
              <w:t xml:space="preserve"> </w:t>
            </w:r>
            <w:r>
              <w:rPr>
                <w:rFonts w:ascii="Arial"/>
              </w:rPr>
              <w:t>and</w:t>
            </w:r>
            <w:r>
              <w:rPr>
                <w:rFonts w:ascii="Arial"/>
                <w:spacing w:val="7"/>
              </w:rPr>
              <w:t xml:space="preserve"> </w:t>
            </w:r>
            <w:r>
              <w:rPr>
                <w:rFonts w:ascii="Arial"/>
                <w:spacing w:val="-1"/>
              </w:rPr>
              <w:t>whether</w:t>
            </w:r>
            <w:r>
              <w:rPr>
                <w:rFonts w:ascii="Arial"/>
                <w:spacing w:val="9"/>
              </w:rPr>
              <w:t xml:space="preserve"> </w:t>
            </w:r>
            <w:r>
              <w:rPr>
                <w:rFonts w:ascii="Arial"/>
                <w:spacing w:val="-1"/>
              </w:rPr>
              <w:t>or</w:t>
            </w:r>
            <w:r>
              <w:rPr>
                <w:rFonts w:ascii="Arial"/>
                <w:spacing w:val="9"/>
              </w:rPr>
              <w:t xml:space="preserve"> </w:t>
            </w:r>
            <w:r>
              <w:rPr>
                <w:rFonts w:ascii="Arial"/>
                <w:spacing w:val="-2"/>
              </w:rPr>
              <w:t>not</w:t>
            </w:r>
            <w:r>
              <w:rPr>
                <w:rFonts w:ascii="Arial"/>
                <w:spacing w:val="7"/>
              </w:rPr>
              <w:t xml:space="preserve"> </w:t>
            </w:r>
            <w:r>
              <w:rPr>
                <w:rFonts w:ascii="Arial"/>
                <w:spacing w:val="-1"/>
              </w:rPr>
              <w:t>they</w:t>
            </w:r>
            <w:r>
              <w:rPr>
                <w:rFonts w:ascii="Arial"/>
                <w:spacing w:val="5"/>
              </w:rPr>
              <w:t xml:space="preserve"> </w:t>
            </w:r>
            <w:r>
              <w:rPr>
                <w:rFonts w:ascii="Arial"/>
                <w:spacing w:val="-1"/>
              </w:rPr>
              <w:t>are</w:t>
            </w:r>
            <w:r>
              <w:rPr>
                <w:rFonts w:ascii="Arial"/>
                <w:spacing w:val="7"/>
              </w:rPr>
              <w:t xml:space="preserve"> </w:t>
            </w:r>
            <w:r>
              <w:rPr>
                <w:rFonts w:ascii="Arial"/>
                <w:spacing w:val="-1"/>
              </w:rPr>
              <w:t>worked</w:t>
            </w:r>
            <w:r>
              <w:rPr>
                <w:rFonts w:ascii="Arial"/>
                <w:spacing w:val="44"/>
              </w:rPr>
              <w:t xml:space="preserve"> </w:t>
            </w:r>
            <w:r>
              <w:rPr>
                <w:rFonts w:ascii="Arial"/>
                <w:spacing w:val="-1"/>
              </w:rPr>
              <w:t>on</w:t>
            </w:r>
            <w:r>
              <w:rPr>
                <w:rFonts w:ascii="Arial"/>
              </w:rPr>
              <w:t xml:space="preserve"> the</w:t>
            </w:r>
            <w:r>
              <w:rPr>
                <w:rFonts w:ascii="Arial"/>
                <w:spacing w:val="-2"/>
              </w:rPr>
              <w:t xml:space="preserve"> </w:t>
            </w:r>
            <w:r>
              <w:rPr>
                <w:rFonts w:ascii="Arial"/>
                <w:spacing w:val="-1"/>
              </w:rPr>
              <w:t>same</w:t>
            </w:r>
            <w:r>
              <w:rPr>
                <w:rFonts w:ascii="Arial"/>
                <w:spacing w:val="-2"/>
              </w:rPr>
              <w:t xml:space="preserve"> day;</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"Man</w:t>
            </w:r>
            <w:r>
              <w:rPr>
                <w:rFonts w:ascii="Arial"/>
                <w:b/>
                <w:spacing w:val="-2"/>
              </w:rPr>
              <w:t xml:space="preserve"> </w:t>
            </w:r>
            <w:r>
              <w:rPr>
                <w:rFonts w:ascii="Arial"/>
                <w:b/>
                <w:spacing w:val="-1"/>
              </w:rPr>
              <w:t>Hours"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59"/>
              </w:rPr>
              <w:t xml:space="preserve"> </w:t>
            </w:r>
            <w:r>
              <w:rPr>
                <w:rFonts w:ascii="Arial"/>
              </w:rPr>
              <w:t>the</w:t>
            </w:r>
            <w:r>
              <w:rPr>
                <w:rFonts w:ascii="Arial"/>
                <w:spacing w:val="59"/>
              </w:rPr>
              <w:t xml:space="preserve"> </w:t>
            </w:r>
            <w:r>
              <w:rPr>
                <w:rFonts w:ascii="Arial"/>
                <w:spacing w:val="-1"/>
              </w:rPr>
              <w:t>hours</w:t>
            </w:r>
            <w:r>
              <w:rPr>
                <w:rFonts w:ascii="Arial"/>
                <w:spacing w:val="59"/>
              </w:rPr>
              <w:t xml:space="preserve"> </w:t>
            </w:r>
            <w:r>
              <w:rPr>
                <w:rFonts w:ascii="Arial"/>
                <w:spacing w:val="-1"/>
              </w:rPr>
              <w:t>spent</w:t>
            </w:r>
            <w:r>
              <w:rPr>
                <w:rFonts w:ascii="Arial"/>
              </w:rPr>
              <w:t xml:space="preserve">  </w:t>
            </w:r>
            <w:r>
              <w:rPr>
                <w:rFonts w:ascii="Arial"/>
                <w:spacing w:val="-1"/>
              </w:rPr>
              <w:t>by</w:t>
            </w:r>
            <w:r>
              <w:rPr>
                <w:rFonts w:ascii="Arial"/>
                <w:spacing w:val="57"/>
              </w:rPr>
              <w:t xml:space="preserve"> </w:t>
            </w:r>
            <w:r>
              <w:rPr>
                <w:rFonts w:ascii="Arial"/>
              </w:rPr>
              <w:t>the</w:t>
            </w:r>
            <w:r>
              <w:rPr>
                <w:rFonts w:ascii="Arial"/>
                <w:spacing w:val="59"/>
              </w:rPr>
              <w:t xml:space="preserve"> </w:t>
            </w:r>
            <w:r>
              <w:rPr>
                <w:rFonts w:ascii="Arial"/>
                <w:spacing w:val="-1"/>
              </w:rPr>
              <w:t>Supplier</w:t>
            </w:r>
            <w:r>
              <w:rPr>
                <w:rFonts w:ascii="Arial"/>
                <w:spacing w:val="60"/>
              </w:rPr>
              <w:t xml:space="preserve"> </w:t>
            </w:r>
            <w:r>
              <w:rPr>
                <w:rFonts w:ascii="Arial"/>
                <w:spacing w:val="-1"/>
              </w:rPr>
              <w:t>Personnel</w:t>
            </w:r>
            <w:r>
              <w:rPr>
                <w:rFonts w:ascii="Arial"/>
                <w:spacing w:val="22"/>
              </w:rPr>
              <w:t xml:space="preserve"> </w:t>
            </w:r>
            <w:r>
              <w:rPr>
                <w:rFonts w:ascii="Arial"/>
                <w:spacing w:val="-1"/>
              </w:rPr>
              <w:t>properly</w:t>
            </w:r>
            <w:r>
              <w:rPr>
                <w:rFonts w:ascii="Arial"/>
                <w:spacing w:val="53"/>
              </w:rPr>
              <w:t xml:space="preserve"> </w:t>
            </w:r>
            <w:r>
              <w:rPr>
                <w:rFonts w:ascii="Arial"/>
                <w:spacing w:val="-2"/>
              </w:rPr>
              <w:t>working</w:t>
            </w:r>
            <w:r>
              <w:rPr>
                <w:rFonts w:ascii="Arial"/>
                <w:spacing w:val="55"/>
              </w:rPr>
              <w:t xml:space="preserve"> </w:t>
            </w:r>
            <w:r>
              <w:rPr>
                <w:rFonts w:ascii="Arial"/>
                <w:spacing w:val="-1"/>
              </w:rPr>
              <w:t>on</w:t>
            </w:r>
            <w:r>
              <w:rPr>
                <w:rFonts w:ascii="Arial"/>
                <w:spacing w:val="53"/>
              </w:rPr>
              <w:t xml:space="preserve"> </w:t>
            </w:r>
            <w:r>
              <w:rPr>
                <w:rFonts w:ascii="Arial"/>
              </w:rPr>
              <w:t>the</w:t>
            </w:r>
            <w:r>
              <w:rPr>
                <w:rFonts w:ascii="Arial"/>
                <w:spacing w:val="53"/>
              </w:rPr>
              <w:t xml:space="preserve"> </w:t>
            </w:r>
            <w:r>
              <w:rPr>
                <w:rFonts w:ascii="Arial"/>
                <w:spacing w:val="-2"/>
              </w:rPr>
              <w:t>provision</w:t>
            </w:r>
            <w:r>
              <w:rPr>
                <w:rFonts w:ascii="Arial"/>
                <w:spacing w:val="55"/>
              </w:rPr>
              <w:t xml:space="preserve"> </w:t>
            </w:r>
            <w:r>
              <w:rPr>
                <w:rFonts w:ascii="Arial"/>
                <w:spacing w:val="-1"/>
              </w:rPr>
              <w:t>of</w:t>
            </w:r>
            <w:r>
              <w:rPr>
                <w:rFonts w:ascii="Arial"/>
                <w:spacing w:val="57"/>
              </w:rPr>
              <w:t xml:space="preserve"> </w:t>
            </w:r>
            <w:r>
              <w:rPr>
                <w:rFonts w:ascii="Arial"/>
              </w:rPr>
              <w:t>the</w:t>
            </w:r>
            <w:r>
              <w:rPr>
                <w:rFonts w:ascii="Arial"/>
                <w:spacing w:val="54"/>
              </w:rPr>
              <w:t xml:space="preserve"> </w:t>
            </w:r>
            <w:r>
              <w:rPr>
                <w:rFonts w:ascii="Arial"/>
                <w:spacing w:val="-1"/>
              </w:rPr>
              <w:t>Goods</w:t>
            </w:r>
            <w:r>
              <w:rPr>
                <w:rFonts w:ascii="Arial"/>
                <w:spacing w:val="53"/>
              </w:rPr>
              <w:t xml:space="preserve"> </w:t>
            </w:r>
            <w:r>
              <w:rPr>
                <w:rFonts w:ascii="Arial"/>
                <w:spacing w:val="-1"/>
              </w:rPr>
              <w:t>and/or</w:t>
            </w:r>
            <w:r>
              <w:rPr>
                <w:rFonts w:ascii="Arial"/>
                <w:spacing w:val="41"/>
              </w:rPr>
              <w:t xml:space="preserve"> </w:t>
            </w:r>
            <w:r>
              <w:rPr>
                <w:rFonts w:ascii="Arial"/>
                <w:spacing w:val="-1"/>
              </w:rPr>
              <w:t>Services</w:t>
            </w:r>
            <w:r>
              <w:rPr>
                <w:rFonts w:ascii="Arial"/>
                <w:spacing w:val="10"/>
              </w:rPr>
              <w:t xml:space="preserve"> </w:t>
            </w:r>
            <w:r>
              <w:rPr>
                <w:rFonts w:ascii="Arial"/>
                <w:spacing w:val="-2"/>
              </w:rPr>
              <w:t>including</w:t>
            </w:r>
            <w:r>
              <w:rPr>
                <w:rFonts w:ascii="Arial"/>
                <w:spacing w:val="12"/>
              </w:rPr>
              <w:t xml:space="preserve"> </w:t>
            </w:r>
            <w:r>
              <w:rPr>
                <w:rFonts w:ascii="Arial"/>
                <w:spacing w:val="-1"/>
              </w:rPr>
              <w:t>time</w:t>
            </w:r>
            <w:r>
              <w:rPr>
                <w:rFonts w:ascii="Arial"/>
                <w:spacing w:val="10"/>
              </w:rPr>
              <w:t xml:space="preserve"> </w:t>
            </w:r>
            <w:r>
              <w:rPr>
                <w:rFonts w:ascii="Arial"/>
                <w:spacing w:val="-2"/>
              </w:rPr>
              <w:t>spent</w:t>
            </w:r>
            <w:r>
              <w:rPr>
                <w:rFonts w:ascii="Arial"/>
                <w:spacing w:val="11"/>
              </w:rPr>
              <w:t xml:space="preserve"> </w:t>
            </w:r>
            <w:r>
              <w:rPr>
                <w:rFonts w:ascii="Arial"/>
                <w:spacing w:val="-2"/>
              </w:rPr>
              <w:t>travelling</w:t>
            </w:r>
            <w:r>
              <w:rPr>
                <w:rFonts w:ascii="Arial"/>
                <w:spacing w:val="12"/>
              </w:rPr>
              <w:t xml:space="preserve"> </w:t>
            </w:r>
            <w:r>
              <w:rPr>
                <w:rFonts w:ascii="Arial"/>
                <w:spacing w:val="-1"/>
              </w:rPr>
              <w:t>(other</w:t>
            </w:r>
            <w:r>
              <w:rPr>
                <w:rFonts w:ascii="Arial"/>
                <w:spacing w:val="9"/>
              </w:rPr>
              <w:t xml:space="preserve"> </w:t>
            </w:r>
            <w:r>
              <w:rPr>
                <w:rFonts w:ascii="Arial"/>
                <w:spacing w:val="-1"/>
              </w:rPr>
              <w:t>than</w:t>
            </w:r>
            <w:r>
              <w:rPr>
                <w:rFonts w:ascii="Arial"/>
                <w:spacing w:val="10"/>
              </w:rPr>
              <w:t xml:space="preserve"> </w:t>
            </w:r>
            <w:r>
              <w:rPr>
                <w:rFonts w:ascii="Arial"/>
              </w:rPr>
              <w:t>to</w:t>
            </w:r>
            <w:r>
              <w:rPr>
                <w:rFonts w:ascii="Arial"/>
                <w:spacing w:val="10"/>
              </w:rPr>
              <w:t xml:space="preserve"> </w:t>
            </w:r>
            <w:r>
              <w:rPr>
                <w:rFonts w:ascii="Arial"/>
                <w:spacing w:val="-1"/>
              </w:rPr>
              <w:t>and</w:t>
            </w:r>
            <w:r>
              <w:rPr>
                <w:rFonts w:ascii="Arial"/>
                <w:spacing w:val="54"/>
              </w:rPr>
              <w:t xml:space="preserve"> </w:t>
            </w:r>
            <w:r>
              <w:rPr>
                <w:rFonts w:ascii="Arial"/>
                <w:spacing w:val="-1"/>
              </w:rPr>
              <w:t>from</w:t>
            </w:r>
            <w:r>
              <w:rPr>
                <w:rFonts w:ascii="Arial"/>
                <w:spacing w:val="30"/>
              </w:rPr>
              <w:t xml:space="preserve"> </w:t>
            </w:r>
            <w:r>
              <w:rPr>
                <w:rFonts w:ascii="Arial"/>
              </w:rPr>
              <w:t>the</w:t>
            </w:r>
            <w:r>
              <w:rPr>
                <w:rFonts w:ascii="Arial"/>
                <w:spacing w:val="29"/>
              </w:rPr>
              <w:t xml:space="preserve"> </w:t>
            </w:r>
            <w:r>
              <w:rPr>
                <w:rFonts w:ascii="Arial"/>
                <w:spacing w:val="-2"/>
              </w:rPr>
              <w:t>Supplier's</w:t>
            </w:r>
            <w:r>
              <w:rPr>
                <w:rFonts w:ascii="Arial"/>
                <w:spacing w:val="30"/>
              </w:rPr>
              <w:t xml:space="preserve"> </w:t>
            </w:r>
            <w:r>
              <w:rPr>
                <w:rFonts w:ascii="Arial"/>
                <w:spacing w:val="-1"/>
              </w:rPr>
              <w:t>offices,</w:t>
            </w:r>
            <w:r>
              <w:rPr>
                <w:rFonts w:ascii="Arial"/>
                <w:spacing w:val="31"/>
              </w:rPr>
              <w:t xml:space="preserve"> </w:t>
            </w:r>
            <w:r>
              <w:rPr>
                <w:rFonts w:ascii="Arial"/>
                <w:spacing w:val="-1"/>
              </w:rPr>
              <w:t>or</w:t>
            </w:r>
            <w:r>
              <w:rPr>
                <w:rFonts w:ascii="Arial"/>
                <w:spacing w:val="28"/>
              </w:rPr>
              <w:t xml:space="preserve"> </w:t>
            </w:r>
            <w:r>
              <w:rPr>
                <w:rFonts w:ascii="Arial"/>
              </w:rPr>
              <w:t>to</w:t>
            </w:r>
            <w:r>
              <w:rPr>
                <w:rFonts w:ascii="Arial"/>
                <w:spacing w:val="29"/>
              </w:rPr>
              <w:t xml:space="preserve"> </w:t>
            </w:r>
            <w:r>
              <w:rPr>
                <w:rFonts w:ascii="Arial"/>
                <w:spacing w:val="-1"/>
              </w:rPr>
              <w:t>and</w:t>
            </w:r>
            <w:r>
              <w:rPr>
                <w:rFonts w:ascii="Arial"/>
                <w:spacing w:val="27"/>
              </w:rPr>
              <w:t xml:space="preserve"> </w:t>
            </w:r>
            <w:r>
              <w:rPr>
                <w:rFonts w:ascii="Arial"/>
              </w:rPr>
              <w:t>from</w:t>
            </w:r>
            <w:r>
              <w:rPr>
                <w:rFonts w:ascii="Arial"/>
                <w:spacing w:val="28"/>
              </w:rPr>
              <w:t xml:space="preserve"> </w:t>
            </w:r>
            <w:r>
              <w:rPr>
                <w:rFonts w:ascii="Arial"/>
              </w:rPr>
              <w:t>the</w:t>
            </w:r>
            <w:r>
              <w:rPr>
                <w:rFonts w:ascii="Arial"/>
                <w:spacing w:val="27"/>
              </w:rPr>
              <w:t xml:space="preserve"> </w:t>
            </w:r>
            <w:r>
              <w:rPr>
                <w:rFonts w:ascii="Arial"/>
                <w:spacing w:val="-1"/>
              </w:rPr>
              <w:t>Sites)</w:t>
            </w:r>
            <w:r>
              <w:rPr>
                <w:rFonts w:ascii="Arial"/>
                <w:spacing w:val="31"/>
              </w:rPr>
              <w:t xml:space="preserve"> </w:t>
            </w:r>
            <w:r>
              <w:rPr>
                <w:rFonts w:ascii="Arial"/>
                <w:spacing w:val="-2"/>
              </w:rPr>
              <w:t>but</w:t>
            </w:r>
            <w:r>
              <w:rPr>
                <w:rFonts w:ascii="Arial"/>
                <w:spacing w:val="41"/>
              </w:rPr>
              <w:t xml:space="preserve"> </w:t>
            </w:r>
            <w:r>
              <w:rPr>
                <w:rFonts w:ascii="Arial"/>
                <w:spacing w:val="-2"/>
              </w:rPr>
              <w:t>excluding</w:t>
            </w:r>
            <w:r>
              <w:rPr>
                <w:rFonts w:ascii="Arial"/>
                <w:spacing w:val="3"/>
              </w:rPr>
              <w:t xml:space="preserve"> </w:t>
            </w:r>
            <w:r>
              <w:rPr>
                <w:rFonts w:ascii="Arial"/>
                <w:spacing w:val="-1"/>
              </w:rPr>
              <w:t>lunch</w:t>
            </w:r>
            <w:r>
              <w:rPr>
                <w:rFonts w:ascii="Arial"/>
                <w:spacing w:val="1"/>
              </w:rPr>
              <w:t xml:space="preserve"> </w:t>
            </w:r>
            <w:r>
              <w:rPr>
                <w:rFonts w:ascii="Arial"/>
                <w:spacing w:val="-1"/>
              </w:rPr>
              <w:t>breaks;</w:t>
            </w:r>
          </w:p>
        </w:tc>
      </w:tr>
      <w:tr w:rsidR="008918FA" w:rsidTr="001C1527">
        <w:trPr>
          <w:trHeight w:hRule="exact" w:val="893"/>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47" w:lineRule="exact"/>
              <w:ind w:left="-6"/>
              <w:rPr>
                <w:rFonts w:ascii="Arial" w:eastAsia="Arial" w:hAnsi="Arial" w:cs="Arial"/>
              </w:rPr>
            </w:pPr>
            <w:r>
              <w:rPr>
                <w:rFonts w:ascii="Arial"/>
                <w:b/>
                <w:spacing w:val="-1"/>
              </w:rPr>
              <w:t>"Milestone"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25"/>
              </w:rPr>
              <w:t xml:space="preserve"> </w:t>
            </w:r>
            <w:r>
              <w:rPr>
                <w:rFonts w:ascii="Arial"/>
                <w:spacing w:val="-1"/>
              </w:rPr>
              <w:t>an</w:t>
            </w:r>
            <w:r>
              <w:rPr>
                <w:rFonts w:ascii="Arial"/>
                <w:spacing w:val="24"/>
              </w:rPr>
              <w:t xml:space="preserve"> </w:t>
            </w:r>
            <w:r>
              <w:rPr>
                <w:rFonts w:ascii="Arial"/>
                <w:spacing w:val="-2"/>
              </w:rPr>
              <w:t>event</w:t>
            </w:r>
            <w:r>
              <w:rPr>
                <w:rFonts w:ascii="Arial"/>
                <w:spacing w:val="26"/>
              </w:rPr>
              <w:t xml:space="preserve"> </w:t>
            </w:r>
            <w:r>
              <w:rPr>
                <w:rFonts w:ascii="Arial"/>
                <w:spacing w:val="-1"/>
              </w:rPr>
              <w:t>or</w:t>
            </w:r>
            <w:r>
              <w:rPr>
                <w:rFonts w:ascii="Arial"/>
                <w:spacing w:val="26"/>
              </w:rPr>
              <w:t xml:space="preserve"> </w:t>
            </w:r>
            <w:r>
              <w:rPr>
                <w:rFonts w:ascii="Arial"/>
                <w:spacing w:val="-1"/>
              </w:rPr>
              <w:t>task</w:t>
            </w:r>
            <w:r>
              <w:rPr>
                <w:rFonts w:ascii="Arial"/>
                <w:spacing w:val="25"/>
              </w:rPr>
              <w:t xml:space="preserve"> </w:t>
            </w:r>
            <w:r>
              <w:rPr>
                <w:rFonts w:ascii="Arial"/>
                <w:spacing w:val="-1"/>
              </w:rPr>
              <w:t>described</w:t>
            </w:r>
            <w:r>
              <w:rPr>
                <w:rFonts w:ascii="Arial"/>
                <w:spacing w:val="24"/>
              </w:rPr>
              <w:t xml:space="preserve"> </w:t>
            </w:r>
            <w:r>
              <w:rPr>
                <w:rFonts w:ascii="Arial"/>
                <w:spacing w:val="-1"/>
              </w:rPr>
              <w:t>in</w:t>
            </w:r>
            <w:r>
              <w:rPr>
                <w:rFonts w:ascii="Arial"/>
                <w:spacing w:val="24"/>
              </w:rPr>
              <w:t xml:space="preserve"> </w:t>
            </w:r>
            <w:r>
              <w:rPr>
                <w:rFonts w:ascii="Arial"/>
              </w:rPr>
              <w:t>the</w:t>
            </w:r>
            <w:r>
              <w:rPr>
                <w:rFonts w:ascii="Arial"/>
                <w:spacing w:val="24"/>
              </w:rPr>
              <w:t xml:space="preserve"> </w:t>
            </w:r>
            <w:r>
              <w:rPr>
                <w:rFonts w:ascii="Arial"/>
                <w:spacing w:val="-1"/>
              </w:rPr>
              <w:t>Implementation</w:t>
            </w:r>
            <w:r>
              <w:rPr>
                <w:rFonts w:ascii="Arial"/>
                <w:spacing w:val="30"/>
              </w:rPr>
              <w:t xml:space="preserve"> </w:t>
            </w:r>
            <w:r>
              <w:rPr>
                <w:rFonts w:ascii="Arial"/>
                <w:spacing w:val="-1"/>
              </w:rPr>
              <w:t>Plan</w:t>
            </w:r>
            <w:r>
              <w:rPr>
                <w:rFonts w:ascii="Arial"/>
                <w:spacing w:val="26"/>
              </w:rPr>
              <w:t xml:space="preserve"> </w:t>
            </w:r>
            <w:r>
              <w:rPr>
                <w:rFonts w:ascii="Arial"/>
                <w:spacing w:val="-2"/>
              </w:rPr>
              <w:t>which,</w:t>
            </w:r>
            <w:r>
              <w:rPr>
                <w:rFonts w:ascii="Arial"/>
                <w:spacing w:val="25"/>
              </w:rPr>
              <w:t xml:space="preserve"> </w:t>
            </w:r>
            <w:r>
              <w:rPr>
                <w:rFonts w:ascii="Arial"/>
                <w:spacing w:val="-1"/>
              </w:rPr>
              <w:t>if</w:t>
            </w:r>
            <w:r>
              <w:rPr>
                <w:rFonts w:ascii="Arial"/>
                <w:spacing w:val="27"/>
              </w:rPr>
              <w:t xml:space="preserve"> </w:t>
            </w:r>
            <w:r>
              <w:rPr>
                <w:rFonts w:ascii="Arial"/>
                <w:spacing w:val="-2"/>
              </w:rPr>
              <w:t>applicable,</w:t>
            </w:r>
            <w:r>
              <w:rPr>
                <w:rFonts w:ascii="Arial"/>
                <w:spacing w:val="25"/>
              </w:rPr>
              <w:t xml:space="preserve"> </w:t>
            </w:r>
            <w:r>
              <w:rPr>
                <w:rFonts w:ascii="Arial"/>
                <w:spacing w:val="-1"/>
              </w:rPr>
              <w:t>must</w:t>
            </w:r>
            <w:r>
              <w:rPr>
                <w:rFonts w:ascii="Arial"/>
                <w:spacing w:val="25"/>
              </w:rPr>
              <w:t xml:space="preserve"> </w:t>
            </w:r>
            <w:r>
              <w:rPr>
                <w:rFonts w:ascii="Arial"/>
                <w:spacing w:val="-1"/>
              </w:rPr>
              <w:t>be</w:t>
            </w:r>
            <w:r>
              <w:rPr>
                <w:rFonts w:ascii="Arial"/>
                <w:spacing w:val="23"/>
              </w:rPr>
              <w:t xml:space="preserve"> </w:t>
            </w:r>
            <w:r>
              <w:rPr>
                <w:rFonts w:ascii="Arial"/>
                <w:spacing w:val="-1"/>
              </w:rPr>
              <w:t>completed</w:t>
            </w:r>
            <w:r>
              <w:rPr>
                <w:rFonts w:ascii="Arial"/>
                <w:spacing w:val="21"/>
              </w:rPr>
              <w:t xml:space="preserve"> </w:t>
            </w:r>
            <w:r>
              <w:rPr>
                <w:rFonts w:ascii="Arial"/>
                <w:spacing w:val="-1"/>
              </w:rPr>
              <w:t>by</w:t>
            </w:r>
            <w:r>
              <w:rPr>
                <w:rFonts w:ascii="Arial"/>
                <w:spacing w:val="21"/>
              </w:rPr>
              <w:t xml:space="preserve"> </w:t>
            </w:r>
            <w:r>
              <w:rPr>
                <w:rFonts w:ascii="Arial"/>
                <w:spacing w:val="-1"/>
              </w:rPr>
              <w:t>the</w:t>
            </w:r>
            <w:r>
              <w:rPr>
                <w:rFonts w:ascii="Arial"/>
                <w:spacing w:val="42"/>
              </w:rPr>
              <w:t xml:space="preserve"> </w:t>
            </w:r>
            <w:r>
              <w:rPr>
                <w:rFonts w:ascii="Arial"/>
                <w:spacing w:val="-2"/>
              </w:rPr>
              <w:t>relevant</w:t>
            </w:r>
            <w:r>
              <w:rPr>
                <w:rFonts w:ascii="Arial"/>
                <w:spacing w:val="2"/>
              </w:rPr>
              <w:t xml:space="preserve"> </w:t>
            </w:r>
            <w:r>
              <w:rPr>
                <w:rFonts w:ascii="Arial"/>
                <w:spacing w:val="-1"/>
              </w:rPr>
              <w:t>Milestone</w:t>
            </w:r>
            <w:r>
              <w:rPr>
                <w:rFonts w:ascii="Arial"/>
              </w:rPr>
              <w:t xml:space="preserve"> </w:t>
            </w:r>
            <w:r>
              <w:rPr>
                <w:rFonts w:ascii="Arial"/>
                <w:spacing w:val="-1"/>
              </w:rPr>
              <w:t>Date;</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"Milestone</w:t>
            </w:r>
            <w:r>
              <w:rPr>
                <w:rFonts w:ascii="Arial"/>
                <w:b/>
              </w:rPr>
              <w:t xml:space="preserve"> </w:t>
            </w:r>
            <w:r>
              <w:rPr>
                <w:rFonts w:ascii="Arial"/>
                <w:b/>
                <w:spacing w:val="-2"/>
              </w:rPr>
              <w:t>Date"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40"/>
              </w:rPr>
              <w:t xml:space="preserve"> </w:t>
            </w:r>
            <w:r>
              <w:rPr>
                <w:rFonts w:ascii="Arial"/>
              </w:rPr>
              <w:t>the</w:t>
            </w:r>
            <w:r>
              <w:rPr>
                <w:rFonts w:ascii="Arial"/>
                <w:spacing w:val="42"/>
              </w:rPr>
              <w:t xml:space="preserve"> </w:t>
            </w:r>
            <w:r>
              <w:rPr>
                <w:rFonts w:ascii="Arial"/>
                <w:spacing w:val="-1"/>
              </w:rPr>
              <w:t>target</w:t>
            </w:r>
            <w:r>
              <w:rPr>
                <w:rFonts w:ascii="Arial"/>
                <w:spacing w:val="41"/>
              </w:rPr>
              <w:t xml:space="preserve"> </w:t>
            </w:r>
            <w:r>
              <w:rPr>
                <w:rFonts w:ascii="Arial"/>
                <w:spacing w:val="-1"/>
              </w:rPr>
              <w:t>date</w:t>
            </w:r>
            <w:r>
              <w:rPr>
                <w:rFonts w:ascii="Arial"/>
                <w:spacing w:val="40"/>
              </w:rPr>
              <w:t xml:space="preserve"> </w:t>
            </w:r>
            <w:r>
              <w:rPr>
                <w:rFonts w:ascii="Arial"/>
                <w:spacing w:val="-1"/>
              </w:rPr>
              <w:t>set</w:t>
            </w:r>
            <w:r>
              <w:rPr>
                <w:rFonts w:ascii="Arial"/>
                <w:spacing w:val="44"/>
              </w:rPr>
              <w:t xml:space="preserve"> </w:t>
            </w:r>
            <w:r>
              <w:rPr>
                <w:rFonts w:ascii="Arial"/>
                <w:spacing w:val="-2"/>
              </w:rPr>
              <w:t>out</w:t>
            </w:r>
            <w:r>
              <w:rPr>
                <w:rFonts w:ascii="Arial"/>
                <w:spacing w:val="44"/>
              </w:rPr>
              <w:t xml:space="preserve"> </w:t>
            </w:r>
            <w:r>
              <w:rPr>
                <w:rFonts w:ascii="Arial"/>
                <w:spacing w:val="-1"/>
              </w:rPr>
              <w:t>against</w:t>
            </w:r>
            <w:r>
              <w:rPr>
                <w:rFonts w:ascii="Arial"/>
                <w:spacing w:val="43"/>
              </w:rPr>
              <w:t xml:space="preserve"> </w:t>
            </w:r>
            <w:r>
              <w:rPr>
                <w:rFonts w:ascii="Arial"/>
              </w:rPr>
              <w:t>the</w:t>
            </w:r>
            <w:r>
              <w:rPr>
                <w:rFonts w:ascii="Arial"/>
                <w:spacing w:val="40"/>
              </w:rPr>
              <w:t xml:space="preserve"> </w:t>
            </w:r>
            <w:r>
              <w:rPr>
                <w:rFonts w:ascii="Arial"/>
                <w:spacing w:val="-2"/>
              </w:rPr>
              <w:t>relevant</w:t>
            </w:r>
            <w:r>
              <w:rPr>
                <w:rFonts w:ascii="Arial"/>
                <w:spacing w:val="38"/>
              </w:rPr>
              <w:t xml:space="preserve"> </w:t>
            </w:r>
            <w:r>
              <w:rPr>
                <w:rFonts w:ascii="Arial"/>
                <w:spacing w:val="-1"/>
              </w:rPr>
              <w:t>Milestone</w:t>
            </w:r>
            <w:r>
              <w:rPr>
                <w:rFonts w:ascii="Arial"/>
                <w:spacing w:val="49"/>
              </w:rPr>
              <w:t xml:space="preserve"> </w:t>
            </w:r>
            <w:r>
              <w:rPr>
                <w:rFonts w:ascii="Arial"/>
                <w:spacing w:val="-1"/>
              </w:rPr>
              <w:t>in</w:t>
            </w:r>
            <w:r>
              <w:rPr>
                <w:rFonts w:ascii="Arial"/>
                <w:spacing w:val="49"/>
              </w:rPr>
              <w:t xml:space="preserve"> </w:t>
            </w:r>
            <w:r>
              <w:rPr>
                <w:rFonts w:ascii="Arial"/>
              </w:rPr>
              <w:t>the</w:t>
            </w:r>
            <w:r>
              <w:rPr>
                <w:rFonts w:ascii="Arial"/>
                <w:spacing w:val="49"/>
              </w:rPr>
              <w:t xml:space="preserve"> </w:t>
            </w:r>
            <w:r>
              <w:rPr>
                <w:rFonts w:ascii="Arial"/>
                <w:spacing w:val="-1"/>
              </w:rPr>
              <w:t>Implementation</w:t>
            </w:r>
            <w:r>
              <w:rPr>
                <w:rFonts w:ascii="Arial"/>
                <w:spacing w:val="49"/>
              </w:rPr>
              <w:t xml:space="preserve"> </w:t>
            </w:r>
            <w:r>
              <w:rPr>
                <w:rFonts w:ascii="Arial"/>
                <w:spacing w:val="-1"/>
              </w:rPr>
              <w:t>Plan</w:t>
            </w:r>
            <w:r>
              <w:rPr>
                <w:rFonts w:ascii="Arial"/>
                <w:spacing w:val="49"/>
              </w:rPr>
              <w:t xml:space="preserve"> </w:t>
            </w:r>
            <w:r>
              <w:rPr>
                <w:rFonts w:ascii="Arial"/>
                <w:spacing w:val="-1"/>
              </w:rPr>
              <w:t>by</w:t>
            </w:r>
            <w:r>
              <w:rPr>
                <w:rFonts w:ascii="Arial"/>
                <w:spacing w:val="50"/>
              </w:rPr>
              <w:t xml:space="preserve"> </w:t>
            </w:r>
            <w:r>
              <w:rPr>
                <w:rFonts w:ascii="Arial"/>
                <w:spacing w:val="-2"/>
              </w:rPr>
              <w:t>which</w:t>
            </w:r>
            <w:r>
              <w:rPr>
                <w:rFonts w:ascii="Arial"/>
                <w:spacing w:val="51"/>
              </w:rPr>
              <w:t xml:space="preserve"> </w:t>
            </w:r>
            <w:r>
              <w:rPr>
                <w:rFonts w:ascii="Arial"/>
                <w:spacing w:val="-1"/>
              </w:rPr>
              <w:t>the</w:t>
            </w:r>
            <w:r>
              <w:rPr>
                <w:rFonts w:ascii="Arial"/>
                <w:spacing w:val="20"/>
              </w:rPr>
              <w:t xml:space="preserve"> </w:t>
            </w:r>
            <w:r>
              <w:rPr>
                <w:rFonts w:ascii="Arial"/>
                <w:spacing w:val="-1"/>
              </w:rPr>
              <w:t>Milestone</w:t>
            </w:r>
            <w:r>
              <w:rPr>
                <w:rFonts w:ascii="Arial"/>
              </w:rPr>
              <w:t xml:space="preserve"> </w:t>
            </w:r>
            <w:r>
              <w:rPr>
                <w:rFonts w:ascii="Arial"/>
                <w:spacing w:val="-1"/>
              </w:rPr>
              <w:t>must</w:t>
            </w:r>
            <w:r>
              <w:rPr>
                <w:rFonts w:ascii="Arial"/>
                <w:spacing w:val="2"/>
              </w:rPr>
              <w:t xml:space="preserve"> </w:t>
            </w:r>
            <w:r>
              <w:rPr>
                <w:rFonts w:ascii="Arial"/>
                <w:spacing w:val="-1"/>
              </w:rPr>
              <w:t>be</w:t>
            </w:r>
            <w:r>
              <w:rPr>
                <w:rFonts w:ascii="Arial"/>
                <w:spacing w:val="-2"/>
              </w:rPr>
              <w:t xml:space="preserve"> Achieved;</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"Milestone</w:t>
            </w:r>
            <w:r>
              <w:rPr>
                <w:rFonts w:ascii="Arial"/>
                <w:b/>
              </w:rPr>
              <w:t xml:space="preserve"> </w:t>
            </w:r>
            <w:r>
              <w:rPr>
                <w:rFonts w:ascii="Arial"/>
                <w:b/>
                <w:spacing w:val="-2"/>
              </w:rPr>
              <w:t>Payment"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8"/>
              </w:rPr>
              <w:t xml:space="preserve"> </w:t>
            </w:r>
            <w:r>
              <w:rPr>
                <w:rFonts w:ascii="Arial"/>
              </w:rPr>
              <w:t>a</w:t>
            </w:r>
            <w:r>
              <w:rPr>
                <w:rFonts w:ascii="Arial"/>
                <w:spacing w:val="7"/>
              </w:rPr>
              <w:t xml:space="preserve"> </w:t>
            </w:r>
            <w:r>
              <w:rPr>
                <w:rFonts w:ascii="Arial"/>
                <w:spacing w:val="-1"/>
              </w:rPr>
              <w:t>payment</w:t>
            </w:r>
            <w:r>
              <w:rPr>
                <w:rFonts w:ascii="Arial"/>
                <w:spacing w:val="9"/>
              </w:rPr>
              <w:t xml:space="preserve"> </w:t>
            </w:r>
            <w:r>
              <w:rPr>
                <w:rFonts w:ascii="Arial"/>
                <w:spacing w:val="-1"/>
              </w:rPr>
              <w:t>identified</w:t>
            </w:r>
            <w:r>
              <w:rPr>
                <w:rFonts w:ascii="Arial"/>
                <w:spacing w:val="7"/>
              </w:rPr>
              <w:t xml:space="preserve"> </w:t>
            </w:r>
            <w:r>
              <w:rPr>
                <w:rFonts w:ascii="Arial"/>
                <w:spacing w:val="-1"/>
              </w:rPr>
              <w:t>in</w:t>
            </w:r>
            <w:r>
              <w:rPr>
                <w:rFonts w:ascii="Arial"/>
                <w:spacing w:val="7"/>
              </w:rPr>
              <w:t xml:space="preserve"> </w:t>
            </w:r>
            <w:r>
              <w:rPr>
                <w:rFonts w:ascii="Arial"/>
              </w:rPr>
              <w:t>the</w:t>
            </w:r>
            <w:r>
              <w:rPr>
                <w:rFonts w:ascii="Arial"/>
                <w:spacing w:val="7"/>
              </w:rPr>
              <w:t xml:space="preserve"> </w:t>
            </w:r>
            <w:r>
              <w:rPr>
                <w:rFonts w:ascii="Arial"/>
                <w:spacing w:val="-1"/>
              </w:rPr>
              <w:t>Implementation</w:t>
            </w:r>
            <w:r>
              <w:rPr>
                <w:rFonts w:ascii="Arial"/>
                <w:spacing w:val="7"/>
              </w:rPr>
              <w:t xml:space="preserve"> </w:t>
            </w:r>
            <w:r>
              <w:rPr>
                <w:rFonts w:ascii="Arial"/>
                <w:spacing w:val="-1"/>
              </w:rPr>
              <w:t>Plan</w:t>
            </w:r>
            <w:r>
              <w:rPr>
                <w:rFonts w:ascii="Arial"/>
                <w:spacing w:val="7"/>
              </w:rPr>
              <w:t xml:space="preserve"> </w:t>
            </w:r>
            <w:r>
              <w:rPr>
                <w:rFonts w:ascii="Arial"/>
              </w:rPr>
              <w:t>to</w:t>
            </w:r>
            <w:r>
              <w:rPr>
                <w:rFonts w:ascii="Arial"/>
                <w:spacing w:val="29"/>
              </w:rPr>
              <w:t xml:space="preserve"> </w:t>
            </w:r>
            <w:r>
              <w:rPr>
                <w:rFonts w:ascii="Arial"/>
                <w:spacing w:val="-1"/>
              </w:rPr>
              <w:t>be</w:t>
            </w:r>
            <w:r>
              <w:rPr>
                <w:rFonts w:ascii="Arial"/>
                <w:spacing w:val="5"/>
              </w:rPr>
              <w:t xml:space="preserve"> </w:t>
            </w:r>
            <w:r>
              <w:rPr>
                <w:rFonts w:ascii="Arial"/>
                <w:spacing w:val="-1"/>
              </w:rPr>
              <w:t>made</w:t>
            </w:r>
            <w:r>
              <w:rPr>
                <w:rFonts w:ascii="Arial"/>
                <w:spacing w:val="3"/>
              </w:rPr>
              <w:t xml:space="preserve"> </w:t>
            </w:r>
            <w:r>
              <w:rPr>
                <w:rFonts w:ascii="Arial"/>
                <w:spacing w:val="-2"/>
              </w:rPr>
              <w:t>following</w:t>
            </w:r>
            <w:r>
              <w:rPr>
                <w:rFonts w:ascii="Arial"/>
                <w:spacing w:val="7"/>
              </w:rPr>
              <w:t xml:space="preserve"> </w:t>
            </w:r>
            <w:r>
              <w:rPr>
                <w:rFonts w:ascii="Arial"/>
              </w:rPr>
              <w:t>the</w:t>
            </w:r>
            <w:r>
              <w:rPr>
                <w:rFonts w:ascii="Arial"/>
                <w:spacing w:val="5"/>
              </w:rPr>
              <w:t xml:space="preserve"> </w:t>
            </w:r>
            <w:r>
              <w:rPr>
                <w:rFonts w:ascii="Arial"/>
                <w:spacing w:val="-1"/>
              </w:rPr>
              <w:t>issue</w:t>
            </w:r>
            <w:r>
              <w:rPr>
                <w:rFonts w:ascii="Arial"/>
                <w:spacing w:val="5"/>
              </w:rPr>
              <w:t xml:space="preserve"> </w:t>
            </w:r>
            <w:r>
              <w:rPr>
                <w:rFonts w:ascii="Arial"/>
                <w:spacing w:val="-2"/>
              </w:rPr>
              <w:t>of</w:t>
            </w:r>
            <w:r>
              <w:rPr>
                <w:rFonts w:ascii="Arial"/>
                <w:spacing w:val="9"/>
              </w:rPr>
              <w:t xml:space="preserve"> </w:t>
            </w:r>
            <w:r>
              <w:rPr>
                <w:rFonts w:ascii="Arial"/>
              </w:rPr>
              <w:t>a</w:t>
            </w:r>
            <w:r>
              <w:rPr>
                <w:rFonts w:ascii="Arial"/>
                <w:spacing w:val="3"/>
              </w:rPr>
              <w:t xml:space="preserve"> </w:t>
            </w:r>
            <w:r>
              <w:rPr>
                <w:rFonts w:ascii="Arial"/>
                <w:spacing w:val="-1"/>
              </w:rPr>
              <w:t>Satisfaction</w:t>
            </w:r>
            <w:r>
              <w:rPr>
                <w:rFonts w:ascii="Arial"/>
                <w:spacing w:val="5"/>
              </w:rPr>
              <w:t xml:space="preserve"> </w:t>
            </w:r>
            <w:r>
              <w:rPr>
                <w:rFonts w:ascii="Arial"/>
                <w:spacing w:val="-1"/>
              </w:rPr>
              <w:t>Certificate</w:t>
            </w:r>
            <w:r>
              <w:rPr>
                <w:rFonts w:ascii="Arial"/>
                <w:spacing w:val="5"/>
              </w:rPr>
              <w:t xml:space="preserve"> </w:t>
            </w:r>
            <w:r>
              <w:rPr>
                <w:rFonts w:ascii="Arial"/>
                <w:spacing w:val="-2"/>
              </w:rPr>
              <w:t>in</w:t>
            </w:r>
            <w:r>
              <w:rPr>
                <w:rFonts w:ascii="Arial"/>
                <w:spacing w:val="37"/>
              </w:rPr>
              <w:t xml:space="preserve"> </w:t>
            </w:r>
            <w:r>
              <w:rPr>
                <w:rFonts w:ascii="Arial"/>
                <w:spacing w:val="-1"/>
              </w:rPr>
              <w:t>respect</w:t>
            </w:r>
            <w:r>
              <w:rPr>
                <w:rFonts w:ascii="Arial"/>
              </w:rPr>
              <w:t xml:space="preserve"> </w:t>
            </w:r>
            <w:r>
              <w:rPr>
                <w:rFonts w:ascii="Arial"/>
                <w:spacing w:val="-2"/>
              </w:rPr>
              <w:t>of</w:t>
            </w:r>
            <w:r>
              <w:rPr>
                <w:rFonts w:ascii="Arial"/>
                <w:spacing w:val="2"/>
              </w:rPr>
              <w:t xml:space="preserve"> </w:t>
            </w:r>
            <w:r>
              <w:rPr>
                <w:rFonts w:ascii="Arial"/>
                <w:spacing w:val="-1"/>
              </w:rPr>
              <w:t>Achievement</w:t>
            </w:r>
            <w:r>
              <w:rPr>
                <w:rFonts w:ascii="Arial"/>
                <w:spacing w:val="-3"/>
              </w:rPr>
              <w:t xml:space="preserve"> </w:t>
            </w:r>
            <w:r>
              <w:rPr>
                <w:rFonts w:ascii="Arial"/>
                <w:spacing w:val="-2"/>
              </w:rPr>
              <w:t>of</w:t>
            </w:r>
            <w:r>
              <w:rPr>
                <w:rFonts w:ascii="Arial"/>
                <w:spacing w:val="2"/>
              </w:rPr>
              <w:t xml:space="preserve"> </w:t>
            </w:r>
            <w:r>
              <w:rPr>
                <w:rFonts w:ascii="Arial"/>
              </w:rPr>
              <w:t>the</w:t>
            </w:r>
            <w:r>
              <w:rPr>
                <w:rFonts w:ascii="Arial"/>
                <w:spacing w:val="-2"/>
              </w:rPr>
              <w:t xml:space="preserve"> relevant</w:t>
            </w:r>
            <w:r>
              <w:rPr>
                <w:rFonts w:ascii="Arial"/>
                <w:spacing w:val="2"/>
              </w:rPr>
              <w:t xml:space="preserve"> </w:t>
            </w:r>
            <w:r>
              <w:rPr>
                <w:rFonts w:ascii="Arial"/>
                <w:spacing w:val="-1"/>
              </w:rPr>
              <w:t>Milestone;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"Month"</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0"/>
              <w:rPr>
                <w:rFonts w:ascii="Arial" w:eastAsia="Arial" w:hAnsi="Arial" w:cs="Arial"/>
              </w:rPr>
            </w:pPr>
            <w:r>
              <w:rPr>
                <w:rFonts w:ascii="Arial"/>
                <w:spacing w:val="-1"/>
              </w:rPr>
              <w:t>means</w:t>
            </w:r>
            <w:r>
              <w:rPr>
                <w:rFonts w:ascii="Arial"/>
              </w:rPr>
              <w:t xml:space="preserve">  </w:t>
            </w:r>
            <w:r>
              <w:rPr>
                <w:rFonts w:ascii="Arial"/>
                <w:spacing w:val="13"/>
              </w:rPr>
              <w:t xml:space="preserve"> </w:t>
            </w:r>
            <w:r>
              <w:rPr>
                <w:rFonts w:ascii="Arial"/>
              </w:rPr>
              <w:t xml:space="preserve">a  </w:t>
            </w:r>
            <w:r>
              <w:rPr>
                <w:rFonts w:ascii="Arial"/>
                <w:spacing w:val="10"/>
              </w:rPr>
              <w:t xml:space="preserve"> </w:t>
            </w:r>
            <w:r>
              <w:rPr>
                <w:rFonts w:ascii="Arial"/>
                <w:spacing w:val="-1"/>
              </w:rPr>
              <w:t>calendar</w:t>
            </w:r>
            <w:r>
              <w:rPr>
                <w:rFonts w:ascii="Arial"/>
              </w:rPr>
              <w:t xml:space="preserve">  </w:t>
            </w:r>
            <w:r>
              <w:rPr>
                <w:rFonts w:ascii="Arial"/>
                <w:spacing w:val="11"/>
              </w:rPr>
              <w:t xml:space="preserve"> </w:t>
            </w:r>
            <w:r>
              <w:rPr>
                <w:rFonts w:ascii="Arial"/>
                <w:spacing w:val="-1"/>
              </w:rPr>
              <w:t>month</w:t>
            </w:r>
            <w:r>
              <w:rPr>
                <w:rFonts w:ascii="Arial"/>
              </w:rPr>
              <w:t xml:space="preserve">  </w:t>
            </w:r>
            <w:r>
              <w:rPr>
                <w:rFonts w:ascii="Arial"/>
                <w:spacing w:val="12"/>
              </w:rPr>
              <w:t xml:space="preserve"> </w:t>
            </w:r>
            <w:r>
              <w:rPr>
                <w:rFonts w:ascii="Arial"/>
                <w:spacing w:val="-1"/>
              </w:rPr>
              <w:t>and</w:t>
            </w:r>
            <w:r>
              <w:rPr>
                <w:rFonts w:ascii="Arial"/>
              </w:rPr>
              <w:t xml:space="preserve">  </w:t>
            </w:r>
            <w:r>
              <w:rPr>
                <w:rFonts w:ascii="Arial"/>
                <w:spacing w:val="10"/>
              </w:rPr>
              <w:t xml:space="preserve"> </w:t>
            </w:r>
            <w:r>
              <w:rPr>
                <w:rFonts w:ascii="Arial"/>
                <w:spacing w:val="-1"/>
              </w:rPr>
              <w:t>"</w:t>
            </w:r>
            <w:r>
              <w:rPr>
                <w:rFonts w:ascii="Arial"/>
                <w:b/>
                <w:spacing w:val="-1"/>
              </w:rPr>
              <w:t>Monthly</w:t>
            </w:r>
            <w:r>
              <w:rPr>
                <w:rFonts w:ascii="Arial"/>
                <w:spacing w:val="-1"/>
              </w:rPr>
              <w:t>"</w:t>
            </w:r>
            <w:r>
              <w:rPr>
                <w:rFonts w:ascii="Arial"/>
              </w:rPr>
              <w:t xml:space="preserve">  </w:t>
            </w:r>
            <w:r>
              <w:rPr>
                <w:rFonts w:ascii="Arial"/>
                <w:spacing w:val="14"/>
              </w:rPr>
              <w:t xml:space="preserve"> </w:t>
            </w:r>
            <w:r>
              <w:rPr>
                <w:rFonts w:ascii="Arial"/>
                <w:spacing w:val="-1"/>
              </w:rPr>
              <w:t>shall</w:t>
            </w:r>
            <w:r>
              <w:rPr>
                <w:rFonts w:ascii="Arial"/>
              </w:rPr>
              <w:t xml:space="preserve">  </w:t>
            </w:r>
            <w:r>
              <w:rPr>
                <w:rFonts w:ascii="Arial"/>
                <w:spacing w:val="12"/>
              </w:rPr>
              <w:t xml:space="preserve"> </w:t>
            </w:r>
            <w:r>
              <w:rPr>
                <w:rFonts w:ascii="Arial"/>
                <w:spacing w:val="-1"/>
              </w:rPr>
              <w:t>be</w:t>
            </w:r>
            <w:r>
              <w:rPr>
                <w:rFonts w:ascii="Arial"/>
                <w:spacing w:val="28"/>
              </w:rPr>
              <w:t xml:space="preserve"> </w:t>
            </w:r>
            <w:r>
              <w:rPr>
                <w:rFonts w:ascii="Arial"/>
                <w:spacing w:val="-1"/>
              </w:rPr>
              <w:t>interpreted</w:t>
            </w:r>
            <w:r>
              <w:rPr>
                <w:rFonts w:ascii="Arial"/>
              </w:rPr>
              <w:t xml:space="preserve"> </w:t>
            </w:r>
            <w:r>
              <w:rPr>
                <w:rFonts w:ascii="Arial"/>
                <w:spacing w:val="-2"/>
              </w:rPr>
              <w:t>accordingly;</w:t>
            </w:r>
          </w:p>
        </w:tc>
      </w:tr>
      <w:tr w:rsidR="008918FA" w:rsidTr="005D2B81">
        <w:trPr>
          <w:trHeight w:hRule="exact" w:val="3660"/>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before="1" w:line="252" w:lineRule="exact"/>
              <w:ind w:left="-6" w:right="545"/>
              <w:rPr>
                <w:rFonts w:ascii="Arial" w:eastAsia="Arial" w:hAnsi="Arial" w:cs="Arial"/>
              </w:rPr>
            </w:pPr>
            <w:r>
              <w:rPr>
                <w:rFonts w:ascii="Arial"/>
                <w:b/>
                <w:spacing w:val="-1"/>
              </w:rPr>
              <w:t>"Occasion</w:t>
            </w:r>
            <w:r>
              <w:rPr>
                <w:rFonts w:ascii="Arial"/>
                <w:b/>
              </w:rPr>
              <w:t xml:space="preserve"> </w:t>
            </w:r>
            <w:r>
              <w:rPr>
                <w:rFonts w:ascii="Arial"/>
                <w:b/>
                <w:spacing w:val="-2"/>
              </w:rPr>
              <w:t>of</w:t>
            </w:r>
            <w:r>
              <w:rPr>
                <w:rFonts w:ascii="Arial"/>
                <w:b/>
                <w:spacing w:val="2"/>
              </w:rPr>
              <w:t xml:space="preserve"> </w:t>
            </w:r>
            <w:r>
              <w:rPr>
                <w:rFonts w:ascii="Arial"/>
                <w:b/>
                <w:spacing w:val="-2"/>
              </w:rPr>
              <w:t>Tax</w:t>
            </w:r>
            <w:r>
              <w:rPr>
                <w:rFonts w:ascii="Arial"/>
                <w:b/>
                <w:spacing w:val="26"/>
              </w:rPr>
              <w:t xml:space="preserve"> </w:t>
            </w:r>
            <w:r>
              <w:rPr>
                <w:rFonts w:ascii="Arial"/>
                <w:b/>
                <w:spacing w:val="-1"/>
              </w:rPr>
              <w:t>Non-Compliance"</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2"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41"/>
              </w:numPr>
              <w:tabs>
                <w:tab w:val="left" w:pos="820"/>
              </w:tabs>
              <w:spacing w:before="119"/>
              <w:ind w:right="98" w:hanging="544"/>
              <w:jc w:val="both"/>
              <w:rPr>
                <w:rFonts w:ascii="Arial" w:eastAsia="Arial" w:hAnsi="Arial" w:cs="Arial"/>
              </w:rPr>
            </w:pPr>
            <w:r>
              <w:rPr>
                <w:rFonts w:ascii="Arial"/>
                <w:spacing w:val="-1"/>
              </w:rPr>
              <w:t>any</w:t>
            </w:r>
            <w:r>
              <w:rPr>
                <w:rFonts w:ascii="Arial"/>
                <w:spacing w:val="43"/>
              </w:rPr>
              <w:t xml:space="preserve"> </w:t>
            </w:r>
            <w:r>
              <w:rPr>
                <w:rFonts w:ascii="Arial"/>
              </w:rPr>
              <w:t>tax</w:t>
            </w:r>
            <w:r>
              <w:rPr>
                <w:rFonts w:ascii="Arial"/>
                <w:spacing w:val="43"/>
              </w:rPr>
              <w:t xml:space="preserve"> </w:t>
            </w:r>
            <w:r>
              <w:rPr>
                <w:rFonts w:ascii="Arial"/>
                <w:spacing w:val="-1"/>
              </w:rPr>
              <w:t>return</w:t>
            </w:r>
            <w:r>
              <w:rPr>
                <w:rFonts w:ascii="Arial"/>
                <w:spacing w:val="45"/>
              </w:rPr>
              <w:t xml:space="preserve"> </w:t>
            </w:r>
            <w:r>
              <w:rPr>
                <w:rFonts w:ascii="Arial"/>
                <w:spacing w:val="-2"/>
              </w:rPr>
              <w:t>of</w:t>
            </w:r>
            <w:r>
              <w:rPr>
                <w:rFonts w:ascii="Arial"/>
                <w:spacing w:val="48"/>
              </w:rPr>
              <w:t xml:space="preserve"> </w:t>
            </w:r>
            <w:r>
              <w:rPr>
                <w:rFonts w:ascii="Arial"/>
              </w:rPr>
              <w:t>the</w:t>
            </w:r>
            <w:r>
              <w:rPr>
                <w:rFonts w:ascii="Arial"/>
                <w:spacing w:val="42"/>
              </w:rPr>
              <w:t xml:space="preserve"> </w:t>
            </w:r>
            <w:r>
              <w:rPr>
                <w:rFonts w:ascii="Arial"/>
                <w:spacing w:val="-2"/>
              </w:rPr>
              <w:t>Supplier</w:t>
            </w:r>
            <w:r>
              <w:rPr>
                <w:rFonts w:ascii="Arial"/>
                <w:spacing w:val="46"/>
              </w:rPr>
              <w:t xml:space="preserve"> </w:t>
            </w:r>
            <w:r>
              <w:rPr>
                <w:rFonts w:ascii="Arial"/>
                <w:spacing w:val="-1"/>
              </w:rPr>
              <w:t>submitted</w:t>
            </w:r>
            <w:r>
              <w:rPr>
                <w:rFonts w:ascii="Arial"/>
                <w:spacing w:val="43"/>
              </w:rPr>
              <w:t xml:space="preserve"> </w:t>
            </w:r>
            <w:r>
              <w:rPr>
                <w:rFonts w:ascii="Arial"/>
              </w:rPr>
              <w:t>to</w:t>
            </w:r>
            <w:r>
              <w:rPr>
                <w:rFonts w:ascii="Arial"/>
                <w:spacing w:val="42"/>
              </w:rPr>
              <w:t xml:space="preserve"> </w:t>
            </w:r>
            <w:r>
              <w:rPr>
                <w:rFonts w:ascii="Arial"/>
              </w:rPr>
              <w:t>a</w:t>
            </w:r>
            <w:r>
              <w:rPr>
                <w:rFonts w:ascii="Arial"/>
                <w:spacing w:val="47"/>
              </w:rPr>
              <w:t xml:space="preserve"> </w:t>
            </w:r>
            <w:r>
              <w:rPr>
                <w:rFonts w:ascii="Arial"/>
                <w:spacing w:val="-2"/>
              </w:rPr>
              <w:t>Relevant</w:t>
            </w:r>
            <w:r>
              <w:rPr>
                <w:rFonts w:ascii="Arial"/>
                <w:spacing w:val="38"/>
              </w:rPr>
              <w:t xml:space="preserve"> </w:t>
            </w:r>
            <w:r>
              <w:rPr>
                <w:rFonts w:ascii="Arial"/>
              </w:rPr>
              <w:t>Tax</w:t>
            </w:r>
            <w:r>
              <w:rPr>
                <w:rFonts w:ascii="Arial"/>
                <w:spacing w:val="34"/>
              </w:rPr>
              <w:t xml:space="preserve"> </w:t>
            </w:r>
            <w:r>
              <w:rPr>
                <w:rFonts w:ascii="Arial"/>
                <w:spacing w:val="-1"/>
              </w:rPr>
              <w:t>Authority</w:t>
            </w:r>
            <w:r>
              <w:rPr>
                <w:rFonts w:ascii="Arial"/>
                <w:spacing w:val="34"/>
              </w:rPr>
              <w:t xml:space="preserve"> </w:t>
            </w:r>
            <w:r>
              <w:rPr>
                <w:rFonts w:ascii="Arial"/>
                <w:spacing w:val="-1"/>
              </w:rPr>
              <w:t>on</w:t>
            </w:r>
            <w:r>
              <w:rPr>
                <w:rFonts w:ascii="Arial"/>
                <w:spacing w:val="36"/>
              </w:rPr>
              <w:t xml:space="preserve"> </w:t>
            </w:r>
            <w:r>
              <w:rPr>
                <w:rFonts w:ascii="Arial"/>
                <w:spacing w:val="-1"/>
              </w:rPr>
              <w:t>or</w:t>
            </w:r>
            <w:r>
              <w:rPr>
                <w:rFonts w:ascii="Arial"/>
                <w:spacing w:val="38"/>
              </w:rPr>
              <w:t xml:space="preserve"> </w:t>
            </w:r>
            <w:r>
              <w:rPr>
                <w:rFonts w:ascii="Arial"/>
                <w:spacing w:val="-1"/>
              </w:rPr>
              <w:t>after</w:t>
            </w:r>
            <w:r>
              <w:rPr>
                <w:rFonts w:ascii="Arial"/>
                <w:spacing w:val="38"/>
              </w:rPr>
              <w:t xml:space="preserve"> </w:t>
            </w:r>
            <w:r>
              <w:rPr>
                <w:rFonts w:ascii="Arial"/>
              </w:rPr>
              <w:t>1</w:t>
            </w:r>
            <w:r>
              <w:rPr>
                <w:rFonts w:ascii="Arial"/>
                <w:spacing w:val="-1"/>
              </w:rPr>
              <w:t xml:space="preserve"> October</w:t>
            </w:r>
            <w:r>
              <w:rPr>
                <w:rFonts w:ascii="Arial"/>
                <w:spacing w:val="39"/>
              </w:rPr>
              <w:t xml:space="preserve"> </w:t>
            </w:r>
            <w:r>
              <w:rPr>
                <w:rFonts w:ascii="Arial"/>
                <w:spacing w:val="-2"/>
              </w:rPr>
              <w:t>2012</w:t>
            </w:r>
            <w:r>
              <w:rPr>
                <w:rFonts w:ascii="Arial"/>
                <w:spacing w:val="34"/>
              </w:rPr>
              <w:t xml:space="preserve"> </w:t>
            </w:r>
            <w:r>
              <w:rPr>
                <w:rFonts w:ascii="Arial"/>
                <w:spacing w:val="-2"/>
              </w:rPr>
              <w:t>which</w:t>
            </w:r>
            <w:r>
              <w:rPr>
                <w:rFonts w:ascii="Arial"/>
                <w:spacing w:val="29"/>
              </w:rPr>
              <w:t xml:space="preserve"> </w:t>
            </w:r>
            <w:r>
              <w:rPr>
                <w:rFonts w:ascii="Arial"/>
                <w:spacing w:val="-1"/>
              </w:rPr>
              <w:t>is</w:t>
            </w:r>
            <w:r>
              <w:rPr>
                <w:rFonts w:ascii="Arial"/>
                <w:spacing w:val="26"/>
              </w:rPr>
              <w:t xml:space="preserve"> </w:t>
            </w:r>
            <w:r>
              <w:rPr>
                <w:rFonts w:ascii="Arial"/>
              </w:rPr>
              <w:t>found</w:t>
            </w:r>
            <w:r>
              <w:rPr>
                <w:rFonts w:ascii="Arial"/>
                <w:spacing w:val="26"/>
              </w:rPr>
              <w:t xml:space="preserve"> </w:t>
            </w:r>
            <w:r>
              <w:rPr>
                <w:rFonts w:ascii="Arial"/>
                <w:spacing w:val="-1"/>
              </w:rPr>
              <w:t>on</w:t>
            </w:r>
            <w:r>
              <w:rPr>
                <w:rFonts w:ascii="Arial"/>
                <w:spacing w:val="26"/>
              </w:rPr>
              <w:t xml:space="preserve"> </w:t>
            </w:r>
            <w:r>
              <w:rPr>
                <w:rFonts w:ascii="Arial"/>
                <w:spacing w:val="-1"/>
              </w:rPr>
              <w:t>or</w:t>
            </w:r>
            <w:r>
              <w:rPr>
                <w:rFonts w:ascii="Arial"/>
                <w:spacing w:val="24"/>
              </w:rPr>
              <w:t xml:space="preserve"> </w:t>
            </w:r>
            <w:r>
              <w:rPr>
                <w:rFonts w:ascii="Arial"/>
              </w:rPr>
              <w:t>after</w:t>
            </w:r>
            <w:r>
              <w:rPr>
                <w:rFonts w:ascii="Arial"/>
                <w:spacing w:val="27"/>
              </w:rPr>
              <w:t xml:space="preserve"> </w:t>
            </w:r>
            <w:r>
              <w:rPr>
                <w:rFonts w:ascii="Arial"/>
              </w:rPr>
              <w:t>1</w:t>
            </w:r>
            <w:r>
              <w:rPr>
                <w:rFonts w:ascii="Arial"/>
                <w:spacing w:val="26"/>
              </w:rPr>
              <w:t xml:space="preserve"> </w:t>
            </w:r>
            <w:r>
              <w:rPr>
                <w:rFonts w:ascii="Arial"/>
                <w:spacing w:val="-1"/>
              </w:rPr>
              <w:t>April</w:t>
            </w:r>
            <w:r>
              <w:rPr>
                <w:rFonts w:ascii="Arial"/>
                <w:spacing w:val="25"/>
              </w:rPr>
              <w:t xml:space="preserve"> </w:t>
            </w:r>
            <w:r>
              <w:rPr>
                <w:rFonts w:ascii="Arial"/>
                <w:spacing w:val="-1"/>
              </w:rPr>
              <w:t>2013</w:t>
            </w:r>
            <w:r>
              <w:rPr>
                <w:rFonts w:ascii="Arial"/>
                <w:spacing w:val="27"/>
              </w:rPr>
              <w:t xml:space="preserve"> </w:t>
            </w:r>
            <w:r>
              <w:rPr>
                <w:rFonts w:ascii="Arial"/>
              </w:rPr>
              <w:t>to</w:t>
            </w:r>
            <w:r>
              <w:rPr>
                <w:rFonts w:ascii="Arial"/>
                <w:spacing w:val="23"/>
              </w:rPr>
              <w:t xml:space="preserve"> </w:t>
            </w:r>
            <w:r>
              <w:rPr>
                <w:rFonts w:ascii="Arial"/>
                <w:spacing w:val="-1"/>
              </w:rPr>
              <w:t>be</w:t>
            </w:r>
            <w:r>
              <w:rPr>
                <w:rFonts w:ascii="Arial"/>
                <w:spacing w:val="27"/>
              </w:rPr>
              <w:t xml:space="preserve"> </w:t>
            </w:r>
            <w:r>
              <w:rPr>
                <w:rFonts w:ascii="Arial"/>
                <w:spacing w:val="-1"/>
              </w:rPr>
              <w:t>incorrect</w:t>
            </w:r>
            <w:r>
              <w:rPr>
                <w:rFonts w:ascii="Arial"/>
              </w:rPr>
              <w:t xml:space="preserve"> </w:t>
            </w:r>
            <w:r>
              <w:rPr>
                <w:rFonts w:ascii="Arial"/>
                <w:spacing w:val="-1"/>
              </w:rPr>
              <w:t>as</w:t>
            </w:r>
            <w:r>
              <w:rPr>
                <w:rFonts w:ascii="Arial"/>
                <w:spacing w:val="-2"/>
              </w:rPr>
              <w:t xml:space="preserve"> </w:t>
            </w:r>
            <w:r>
              <w:rPr>
                <w:rFonts w:ascii="Arial"/>
              </w:rPr>
              <w:t>a</w:t>
            </w:r>
            <w:r>
              <w:rPr>
                <w:rFonts w:ascii="Arial"/>
                <w:spacing w:val="-2"/>
              </w:rPr>
              <w:t xml:space="preserve"> </w:t>
            </w:r>
            <w:r>
              <w:rPr>
                <w:rFonts w:ascii="Arial"/>
                <w:spacing w:val="-1"/>
              </w:rPr>
              <w:t>result</w:t>
            </w:r>
            <w:r>
              <w:rPr>
                <w:rFonts w:ascii="Arial"/>
              </w:rPr>
              <w:t xml:space="preserve"> </w:t>
            </w:r>
            <w:r>
              <w:rPr>
                <w:rFonts w:ascii="Arial"/>
                <w:spacing w:val="-1"/>
              </w:rPr>
              <w:t>of:</w:t>
            </w:r>
          </w:p>
          <w:p w:rsidR="008918FA" w:rsidRDefault="008918FA" w:rsidP="005D2B81">
            <w:pPr>
              <w:pStyle w:val="ListParagraph"/>
              <w:numPr>
                <w:ilvl w:val="1"/>
                <w:numId w:val="41"/>
              </w:numPr>
              <w:tabs>
                <w:tab w:val="left" w:pos="1180"/>
              </w:tabs>
              <w:spacing w:before="121"/>
              <w:ind w:right="98"/>
              <w:jc w:val="both"/>
              <w:rPr>
                <w:rFonts w:ascii="Arial" w:eastAsia="Arial" w:hAnsi="Arial" w:cs="Arial"/>
              </w:rPr>
            </w:pPr>
            <w:r>
              <w:rPr>
                <w:rFonts w:ascii="Arial"/>
              </w:rPr>
              <w:t>a</w:t>
            </w:r>
            <w:r>
              <w:rPr>
                <w:rFonts w:ascii="Arial"/>
                <w:spacing w:val="32"/>
              </w:rPr>
              <w:t xml:space="preserve"> </w:t>
            </w:r>
            <w:r>
              <w:rPr>
                <w:rFonts w:ascii="Arial"/>
                <w:spacing w:val="-2"/>
              </w:rPr>
              <w:t>Relevant</w:t>
            </w:r>
            <w:r>
              <w:rPr>
                <w:rFonts w:ascii="Arial"/>
                <w:spacing w:val="33"/>
              </w:rPr>
              <w:t xml:space="preserve"> </w:t>
            </w:r>
            <w:r>
              <w:rPr>
                <w:rFonts w:ascii="Arial"/>
              </w:rPr>
              <w:t>Tax</w:t>
            </w:r>
            <w:r>
              <w:rPr>
                <w:rFonts w:ascii="Arial"/>
                <w:spacing w:val="30"/>
              </w:rPr>
              <w:t xml:space="preserve"> </w:t>
            </w:r>
            <w:r>
              <w:rPr>
                <w:rFonts w:ascii="Arial"/>
                <w:spacing w:val="-1"/>
              </w:rPr>
              <w:t>Authority</w:t>
            </w:r>
            <w:r>
              <w:rPr>
                <w:rFonts w:ascii="Arial"/>
                <w:spacing w:val="30"/>
              </w:rPr>
              <w:t xml:space="preserve"> </w:t>
            </w:r>
            <w:r>
              <w:rPr>
                <w:rFonts w:ascii="Arial"/>
                <w:spacing w:val="-1"/>
              </w:rPr>
              <w:t>successfully</w:t>
            </w:r>
            <w:r>
              <w:rPr>
                <w:rFonts w:ascii="Arial"/>
                <w:spacing w:val="25"/>
              </w:rPr>
              <w:t xml:space="preserve"> </w:t>
            </w:r>
            <w:r>
              <w:rPr>
                <w:rFonts w:ascii="Arial"/>
                <w:spacing w:val="-1"/>
              </w:rPr>
              <w:t>challenging</w:t>
            </w:r>
            <w:r>
              <w:rPr>
                <w:rFonts w:ascii="Arial"/>
                <w:spacing w:val="10"/>
              </w:rPr>
              <w:t xml:space="preserve"> </w:t>
            </w:r>
            <w:r>
              <w:rPr>
                <w:rFonts w:ascii="Arial"/>
              </w:rPr>
              <w:t>the</w:t>
            </w:r>
            <w:r>
              <w:rPr>
                <w:rFonts w:ascii="Arial"/>
                <w:spacing w:val="10"/>
              </w:rPr>
              <w:t xml:space="preserve"> </w:t>
            </w:r>
            <w:r>
              <w:rPr>
                <w:rFonts w:ascii="Arial"/>
                <w:spacing w:val="-2"/>
              </w:rPr>
              <w:t>Supplier</w:t>
            </w:r>
            <w:r>
              <w:rPr>
                <w:rFonts w:ascii="Arial"/>
                <w:spacing w:val="11"/>
              </w:rPr>
              <w:t xml:space="preserve"> </w:t>
            </w:r>
            <w:r>
              <w:rPr>
                <w:rFonts w:ascii="Arial"/>
                <w:spacing w:val="-1"/>
              </w:rPr>
              <w:t>under</w:t>
            </w:r>
            <w:r>
              <w:rPr>
                <w:rFonts w:ascii="Arial"/>
                <w:spacing w:val="11"/>
              </w:rPr>
              <w:t xml:space="preserve"> </w:t>
            </w:r>
            <w:r>
              <w:rPr>
                <w:rFonts w:ascii="Arial"/>
              </w:rPr>
              <w:t>the</w:t>
            </w:r>
            <w:r>
              <w:rPr>
                <w:rFonts w:ascii="Arial"/>
                <w:spacing w:val="10"/>
              </w:rPr>
              <w:t xml:space="preserve"> </w:t>
            </w:r>
            <w:r>
              <w:rPr>
                <w:rFonts w:ascii="Arial"/>
                <w:spacing w:val="-1"/>
              </w:rPr>
              <w:t>General</w:t>
            </w:r>
            <w:r>
              <w:rPr>
                <w:rFonts w:ascii="Arial"/>
                <w:spacing w:val="9"/>
              </w:rPr>
              <w:t xml:space="preserve"> </w:t>
            </w:r>
            <w:r>
              <w:rPr>
                <w:rFonts w:ascii="Arial"/>
              </w:rPr>
              <w:t>Anti-</w:t>
            </w:r>
            <w:r>
              <w:rPr>
                <w:rFonts w:ascii="Arial"/>
                <w:spacing w:val="25"/>
              </w:rPr>
              <w:t xml:space="preserve"> </w:t>
            </w:r>
            <w:r>
              <w:rPr>
                <w:rFonts w:ascii="Arial"/>
                <w:spacing w:val="-1"/>
              </w:rPr>
              <w:t>Abuse</w:t>
            </w:r>
            <w:r>
              <w:rPr>
                <w:rFonts w:ascii="Arial"/>
                <w:spacing w:val="61"/>
              </w:rPr>
              <w:t xml:space="preserve"> </w:t>
            </w:r>
            <w:r>
              <w:rPr>
                <w:rFonts w:ascii="Arial"/>
                <w:spacing w:val="-2"/>
              </w:rPr>
              <w:t>Rule</w:t>
            </w:r>
            <w:r>
              <w:rPr>
                <w:rFonts w:ascii="Arial"/>
                <w:spacing w:val="60"/>
              </w:rPr>
              <w:t xml:space="preserve"> </w:t>
            </w:r>
            <w:r>
              <w:rPr>
                <w:rFonts w:ascii="Arial"/>
                <w:spacing w:val="-1"/>
              </w:rPr>
              <w:t>or</w:t>
            </w:r>
            <w:r>
              <w:rPr>
                <w:rFonts w:ascii="Arial"/>
                <w:spacing w:val="59"/>
              </w:rPr>
              <w:t xml:space="preserve"> </w:t>
            </w:r>
            <w:r>
              <w:rPr>
                <w:rFonts w:ascii="Arial"/>
              </w:rPr>
              <w:t>the</w:t>
            </w:r>
            <w:r>
              <w:rPr>
                <w:rFonts w:ascii="Arial"/>
                <w:spacing w:val="60"/>
              </w:rPr>
              <w:t xml:space="preserve"> </w:t>
            </w:r>
            <w:r>
              <w:rPr>
                <w:rFonts w:ascii="Arial"/>
                <w:spacing w:val="-1"/>
              </w:rPr>
              <w:t>Halifax</w:t>
            </w:r>
            <w:r>
              <w:rPr>
                <w:rFonts w:ascii="Arial"/>
                <w:spacing w:val="58"/>
              </w:rPr>
              <w:t xml:space="preserve"> </w:t>
            </w:r>
            <w:r>
              <w:rPr>
                <w:rFonts w:ascii="Arial"/>
                <w:spacing w:val="-1"/>
              </w:rPr>
              <w:t>Abuse</w:t>
            </w:r>
            <w:r>
              <w:rPr>
                <w:rFonts w:ascii="Arial"/>
              </w:rPr>
              <w:t xml:space="preserve">  </w:t>
            </w:r>
            <w:r>
              <w:rPr>
                <w:rFonts w:ascii="Arial"/>
                <w:spacing w:val="-1"/>
              </w:rPr>
              <w:t>Principle</w:t>
            </w:r>
            <w:r>
              <w:rPr>
                <w:rFonts w:ascii="Arial"/>
                <w:spacing w:val="60"/>
              </w:rPr>
              <w:t xml:space="preserve"> </w:t>
            </w:r>
            <w:r>
              <w:rPr>
                <w:rFonts w:ascii="Arial"/>
                <w:spacing w:val="-1"/>
              </w:rPr>
              <w:t>or</w:t>
            </w:r>
            <w:r>
              <w:rPr>
                <w:rFonts w:ascii="Arial"/>
                <w:spacing w:val="27"/>
              </w:rPr>
              <w:t xml:space="preserve"> </w:t>
            </w:r>
            <w:r>
              <w:rPr>
                <w:rFonts w:ascii="Arial"/>
                <w:spacing w:val="-1"/>
              </w:rPr>
              <w:t>under</w:t>
            </w:r>
            <w:r>
              <w:rPr>
                <w:rFonts w:ascii="Arial"/>
                <w:spacing w:val="14"/>
              </w:rPr>
              <w:t xml:space="preserve"> </w:t>
            </w:r>
            <w:r>
              <w:rPr>
                <w:rFonts w:ascii="Arial"/>
                <w:spacing w:val="-1"/>
              </w:rPr>
              <w:t>any</w:t>
            </w:r>
            <w:r>
              <w:rPr>
                <w:rFonts w:ascii="Arial"/>
                <w:spacing w:val="10"/>
              </w:rPr>
              <w:t xml:space="preserve"> </w:t>
            </w:r>
            <w:r>
              <w:rPr>
                <w:rFonts w:ascii="Arial"/>
              </w:rPr>
              <w:t>tax</w:t>
            </w:r>
            <w:r>
              <w:rPr>
                <w:rFonts w:ascii="Arial"/>
                <w:spacing w:val="10"/>
              </w:rPr>
              <w:t xml:space="preserve"> </w:t>
            </w:r>
            <w:r>
              <w:rPr>
                <w:rFonts w:ascii="Arial"/>
                <w:spacing w:val="-1"/>
              </w:rPr>
              <w:t>rules</w:t>
            </w:r>
            <w:r>
              <w:rPr>
                <w:rFonts w:ascii="Arial"/>
                <w:spacing w:val="13"/>
              </w:rPr>
              <w:t xml:space="preserve"> </w:t>
            </w:r>
            <w:r>
              <w:rPr>
                <w:rFonts w:ascii="Arial"/>
                <w:spacing w:val="-1"/>
              </w:rPr>
              <w:t>or</w:t>
            </w:r>
            <w:r>
              <w:rPr>
                <w:rFonts w:ascii="Arial"/>
                <w:spacing w:val="14"/>
              </w:rPr>
              <w:t xml:space="preserve"> </w:t>
            </w:r>
            <w:r>
              <w:rPr>
                <w:rFonts w:ascii="Arial"/>
                <w:spacing w:val="-1"/>
              </w:rPr>
              <w:t>legislation</w:t>
            </w:r>
            <w:r>
              <w:rPr>
                <w:rFonts w:ascii="Arial"/>
                <w:spacing w:val="14"/>
              </w:rPr>
              <w:t xml:space="preserve"> </w:t>
            </w:r>
            <w:r>
              <w:rPr>
                <w:rFonts w:ascii="Arial"/>
                <w:spacing w:val="-1"/>
              </w:rPr>
              <w:t>in</w:t>
            </w:r>
            <w:r>
              <w:rPr>
                <w:rFonts w:ascii="Arial"/>
                <w:spacing w:val="12"/>
              </w:rPr>
              <w:t xml:space="preserve"> </w:t>
            </w:r>
            <w:r>
              <w:rPr>
                <w:rFonts w:ascii="Arial"/>
                <w:spacing w:val="-2"/>
              </w:rPr>
              <w:t>any</w:t>
            </w:r>
            <w:r>
              <w:rPr>
                <w:rFonts w:ascii="Arial"/>
                <w:spacing w:val="30"/>
              </w:rPr>
              <w:t xml:space="preserve"> </w:t>
            </w:r>
            <w:r>
              <w:rPr>
                <w:rFonts w:ascii="Arial"/>
                <w:spacing w:val="-1"/>
              </w:rPr>
              <w:t>jurisdiction</w:t>
            </w:r>
            <w:r>
              <w:rPr>
                <w:rFonts w:ascii="Arial"/>
                <w:spacing w:val="26"/>
              </w:rPr>
              <w:t xml:space="preserve"> </w:t>
            </w:r>
            <w:r>
              <w:rPr>
                <w:rFonts w:ascii="Arial"/>
                <w:spacing w:val="-1"/>
              </w:rPr>
              <w:t>that</w:t>
            </w:r>
            <w:r>
              <w:rPr>
                <w:rFonts w:ascii="Arial"/>
                <w:spacing w:val="27"/>
              </w:rPr>
              <w:t xml:space="preserve"> </w:t>
            </w:r>
            <w:r>
              <w:rPr>
                <w:rFonts w:ascii="Arial"/>
                <w:spacing w:val="-2"/>
              </w:rPr>
              <w:t>have</w:t>
            </w:r>
            <w:r>
              <w:rPr>
                <w:rFonts w:ascii="Arial"/>
                <w:spacing w:val="26"/>
              </w:rPr>
              <w:t xml:space="preserve"> </w:t>
            </w:r>
            <w:r>
              <w:rPr>
                <w:rFonts w:ascii="Arial"/>
                <w:spacing w:val="1"/>
              </w:rPr>
              <w:t>an</w:t>
            </w:r>
            <w:r>
              <w:rPr>
                <w:rFonts w:ascii="Arial"/>
                <w:spacing w:val="26"/>
              </w:rPr>
              <w:t xml:space="preserve"> </w:t>
            </w:r>
            <w:r>
              <w:rPr>
                <w:rFonts w:ascii="Arial"/>
                <w:spacing w:val="-1"/>
              </w:rPr>
              <w:t>effect</w:t>
            </w:r>
            <w:r>
              <w:rPr>
                <w:rFonts w:ascii="Arial"/>
                <w:spacing w:val="28"/>
              </w:rPr>
              <w:t xml:space="preserve"> </w:t>
            </w:r>
            <w:r>
              <w:rPr>
                <w:rFonts w:ascii="Arial"/>
                <w:spacing w:val="-2"/>
              </w:rPr>
              <w:t>equivalent</w:t>
            </w:r>
            <w:r>
              <w:rPr>
                <w:rFonts w:ascii="Arial"/>
                <w:spacing w:val="27"/>
              </w:rPr>
              <w:t xml:space="preserve"> </w:t>
            </w:r>
            <w:r>
              <w:rPr>
                <w:rFonts w:ascii="Arial"/>
                <w:spacing w:val="-1"/>
              </w:rPr>
              <w:t>or</w:t>
            </w:r>
            <w:r>
              <w:rPr>
                <w:rFonts w:ascii="Arial"/>
                <w:spacing w:val="42"/>
              </w:rPr>
              <w:t xml:space="preserve"> </w:t>
            </w:r>
            <w:r>
              <w:rPr>
                <w:rFonts w:ascii="Arial"/>
                <w:spacing w:val="-1"/>
              </w:rPr>
              <w:t>similar</w:t>
            </w:r>
            <w:r>
              <w:rPr>
                <w:rFonts w:ascii="Arial"/>
                <w:spacing w:val="57"/>
              </w:rPr>
              <w:t xml:space="preserve"> </w:t>
            </w:r>
            <w:r>
              <w:rPr>
                <w:rFonts w:ascii="Arial"/>
              </w:rPr>
              <w:t>to</w:t>
            </w:r>
            <w:r>
              <w:rPr>
                <w:rFonts w:ascii="Arial"/>
                <w:spacing w:val="55"/>
              </w:rPr>
              <w:t xml:space="preserve"> </w:t>
            </w:r>
            <w:r>
              <w:rPr>
                <w:rFonts w:ascii="Arial"/>
              </w:rPr>
              <w:t>the</w:t>
            </w:r>
            <w:r>
              <w:rPr>
                <w:rFonts w:ascii="Arial"/>
                <w:spacing w:val="55"/>
              </w:rPr>
              <w:t xml:space="preserve"> </w:t>
            </w:r>
            <w:r>
              <w:rPr>
                <w:rFonts w:ascii="Arial"/>
                <w:spacing w:val="-1"/>
              </w:rPr>
              <w:t>General</w:t>
            </w:r>
            <w:r>
              <w:rPr>
                <w:rFonts w:ascii="Arial"/>
                <w:spacing w:val="55"/>
              </w:rPr>
              <w:t xml:space="preserve"> </w:t>
            </w:r>
            <w:r>
              <w:rPr>
                <w:rFonts w:ascii="Arial"/>
                <w:spacing w:val="-1"/>
              </w:rPr>
              <w:t>Anti-Abuse</w:t>
            </w:r>
            <w:r>
              <w:rPr>
                <w:rFonts w:ascii="Arial"/>
                <w:spacing w:val="56"/>
              </w:rPr>
              <w:t xml:space="preserve"> </w:t>
            </w:r>
            <w:r>
              <w:rPr>
                <w:rFonts w:ascii="Arial"/>
                <w:spacing w:val="-2"/>
              </w:rPr>
              <w:t>Rule</w:t>
            </w:r>
            <w:r>
              <w:rPr>
                <w:rFonts w:ascii="Arial"/>
                <w:spacing w:val="55"/>
              </w:rPr>
              <w:t xml:space="preserve"> </w:t>
            </w:r>
            <w:r>
              <w:rPr>
                <w:rFonts w:ascii="Arial"/>
                <w:spacing w:val="-1"/>
              </w:rPr>
              <w:t>or</w:t>
            </w:r>
            <w:r>
              <w:rPr>
                <w:rFonts w:ascii="Arial"/>
                <w:spacing w:val="58"/>
              </w:rPr>
              <w:t xml:space="preserve"> </w:t>
            </w:r>
            <w:r>
              <w:rPr>
                <w:rFonts w:ascii="Arial"/>
                <w:spacing w:val="-1"/>
              </w:rPr>
              <w:t>the</w:t>
            </w:r>
            <w:r>
              <w:rPr>
                <w:rFonts w:ascii="Arial"/>
                <w:spacing w:val="26"/>
              </w:rPr>
              <w:t xml:space="preserve"> </w:t>
            </w:r>
            <w:r>
              <w:rPr>
                <w:rFonts w:ascii="Arial"/>
                <w:spacing w:val="-1"/>
              </w:rPr>
              <w:t>Halifax</w:t>
            </w:r>
            <w:r>
              <w:rPr>
                <w:rFonts w:ascii="Arial"/>
                <w:spacing w:val="-2"/>
              </w:rPr>
              <w:t xml:space="preserve"> </w:t>
            </w:r>
            <w:r>
              <w:rPr>
                <w:rFonts w:ascii="Arial"/>
                <w:spacing w:val="-1"/>
              </w:rPr>
              <w:t>Abuse</w:t>
            </w:r>
            <w:r>
              <w:rPr>
                <w:rFonts w:ascii="Arial"/>
                <w:spacing w:val="1"/>
              </w:rPr>
              <w:t xml:space="preserve"> </w:t>
            </w:r>
            <w:r>
              <w:rPr>
                <w:rFonts w:ascii="Arial"/>
                <w:spacing w:val="-2"/>
              </w:rPr>
              <w:t>Principle;</w:t>
            </w:r>
          </w:p>
          <w:p w:rsidR="008918FA" w:rsidRDefault="008918FA" w:rsidP="005D2B81">
            <w:pPr>
              <w:pStyle w:val="ListParagraph"/>
              <w:numPr>
                <w:ilvl w:val="1"/>
                <w:numId w:val="41"/>
              </w:numPr>
              <w:tabs>
                <w:tab w:val="left" w:pos="1180"/>
              </w:tabs>
              <w:spacing w:before="121"/>
              <w:rPr>
                <w:rFonts w:ascii="Arial" w:eastAsia="Arial" w:hAnsi="Arial" w:cs="Arial"/>
              </w:rPr>
            </w:pPr>
            <w:r>
              <w:rPr>
                <w:rFonts w:ascii="Arial"/>
              </w:rPr>
              <w:t>the</w:t>
            </w:r>
            <w:r>
              <w:rPr>
                <w:rFonts w:ascii="Arial"/>
                <w:spacing w:val="48"/>
              </w:rPr>
              <w:t xml:space="preserve"> </w:t>
            </w:r>
            <w:r>
              <w:rPr>
                <w:rFonts w:ascii="Arial"/>
                <w:spacing w:val="-1"/>
              </w:rPr>
              <w:t>failure</w:t>
            </w:r>
            <w:r>
              <w:rPr>
                <w:rFonts w:ascii="Arial"/>
                <w:spacing w:val="51"/>
              </w:rPr>
              <w:t xml:space="preserve"> </w:t>
            </w:r>
            <w:r>
              <w:rPr>
                <w:rFonts w:ascii="Arial"/>
                <w:spacing w:val="-2"/>
              </w:rPr>
              <w:t>of</w:t>
            </w:r>
            <w:r>
              <w:rPr>
                <w:rFonts w:ascii="Arial"/>
                <w:spacing w:val="52"/>
              </w:rPr>
              <w:t xml:space="preserve"> </w:t>
            </w:r>
            <w:r>
              <w:rPr>
                <w:rFonts w:ascii="Arial"/>
                <w:spacing w:val="-1"/>
              </w:rPr>
              <w:t>an</w:t>
            </w:r>
            <w:r>
              <w:rPr>
                <w:rFonts w:ascii="Arial"/>
                <w:spacing w:val="51"/>
              </w:rPr>
              <w:t xml:space="preserve"> </w:t>
            </w:r>
            <w:r>
              <w:rPr>
                <w:rFonts w:ascii="Arial"/>
                <w:spacing w:val="-1"/>
              </w:rPr>
              <w:t>avoidance</w:t>
            </w:r>
            <w:r>
              <w:rPr>
                <w:rFonts w:ascii="Arial"/>
                <w:spacing w:val="51"/>
              </w:rPr>
              <w:t xml:space="preserve"> </w:t>
            </w:r>
            <w:r>
              <w:rPr>
                <w:rFonts w:ascii="Arial"/>
                <w:spacing w:val="-1"/>
              </w:rPr>
              <w:t>scheme</w:t>
            </w:r>
            <w:r>
              <w:rPr>
                <w:rFonts w:ascii="Arial"/>
                <w:spacing w:val="51"/>
              </w:rPr>
              <w:t xml:space="preserve"> </w:t>
            </w:r>
            <w:r>
              <w:rPr>
                <w:rFonts w:ascii="Arial"/>
                <w:spacing w:val="-2"/>
              </w:rPr>
              <w:t>which</w:t>
            </w:r>
            <w:r>
              <w:rPr>
                <w:rFonts w:ascii="Arial"/>
                <w:spacing w:val="52"/>
              </w:rPr>
              <w:t xml:space="preserve"> </w:t>
            </w:r>
            <w:r>
              <w:rPr>
                <w:rFonts w:ascii="Arial"/>
                <w:spacing w:val="-1"/>
              </w:rPr>
              <w:t>the</w:t>
            </w:r>
          </w:p>
        </w:tc>
      </w:tr>
    </w:tbl>
    <w:p w:rsidR="008918FA" w:rsidRDefault="008918FA" w:rsidP="008918FA">
      <w:pPr>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rPr>
          <w:rFonts w:ascii="Times New Roman" w:eastAsia="Times New Roman" w:hAnsi="Times New Roman" w:cs="Times New Roman"/>
          <w:sz w:val="7"/>
          <w:szCs w:val="7"/>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3036"/>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1179" w:right="100"/>
              <w:jc w:val="both"/>
              <w:rPr>
                <w:rFonts w:ascii="Arial" w:eastAsia="Arial" w:hAnsi="Arial" w:cs="Arial"/>
              </w:rPr>
            </w:pPr>
            <w:r>
              <w:rPr>
                <w:rFonts w:ascii="Arial"/>
                <w:spacing w:val="-2"/>
              </w:rPr>
              <w:t>Supplier</w:t>
            </w:r>
            <w:r>
              <w:rPr>
                <w:rFonts w:ascii="Arial"/>
                <w:spacing w:val="15"/>
              </w:rPr>
              <w:t xml:space="preserve"> </w:t>
            </w:r>
            <w:r>
              <w:rPr>
                <w:rFonts w:ascii="Arial"/>
                <w:spacing w:val="-2"/>
              </w:rPr>
              <w:t>was</w:t>
            </w:r>
            <w:r>
              <w:rPr>
                <w:rFonts w:ascii="Arial"/>
                <w:spacing w:val="14"/>
              </w:rPr>
              <w:t xml:space="preserve"> </w:t>
            </w:r>
            <w:r>
              <w:rPr>
                <w:rFonts w:ascii="Arial"/>
                <w:spacing w:val="-1"/>
              </w:rPr>
              <w:t>involved</w:t>
            </w:r>
            <w:r>
              <w:rPr>
                <w:rFonts w:ascii="Arial"/>
                <w:spacing w:val="14"/>
              </w:rPr>
              <w:t xml:space="preserve"> </w:t>
            </w:r>
            <w:r>
              <w:rPr>
                <w:rFonts w:ascii="Arial"/>
                <w:spacing w:val="-1"/>
              </w:rPr>
              <w:t>in,</w:t>
            </w:r>
            <w:r>
              <w:rPr>
                <w:rFonts w:ascii="Arial"/>
                <w:spacing w:val="13"/>
              </w:rPr>
              <w:t xml:space="preserve"> </w:t>
            </w:r>
            <w:r>
              <w:rPr>
                <w:rFonts w:ascii="Arial"/>
                <w:spacing w:val="-1"/>
              </w:rPr>
              <w:t>and</w:t>
            </w:r>
            <w:r>
              <w:rPr>
                <w:rFonts w:ascii="Arial"/>
                <w:spacing w:val="14"/>
              </w:rPr>
              <w:t xml:space="preserve"> </w:t>
            </w:r>
            <w:r>
              <w:rPr>
                <w:rFonts w:ascii="Arial"/>
                <w:spacing w:val="-2"/>
              </w:rPr>
              <w:t>which</w:t>
            </w:r>
            <w:r>
              <w:rPr>
                <w:rFonts w:ascii="Arial"/>
                <w:spacing w:val="18"/>
              </w:rPr>
              <w:t xml:space="preserve"> </w:t>
            </w:r>
            <w:r>
              <w:rPr>
                <w:rFonts w:ascii="Arial"/>
                <w:spacing w:val="-2"/>
              </w:rPr>
              <w:t>was,</w:t>
            </w:r>
            <w:r>
              <w:rPr>
                <w:rFonts w:ascii="Arial"/>
                <w:spacing w:val="13"/>
              </w:rPr>
              <w:t xml:space="preserve"> </w:t>
            </w:r>
            <w:r>
              <w:rPr>
                <w:rFonts w:ascii="Arial"/>
                <w:spacing w:val="-1"/>
              </w:rPr>
              <w:t>or</w:t>
            </w:r>
            <w:r>
              <w:rPr>
                <w:rFonts w:ascii="Arial"/>
                <w:spacing w:val="28"/>
              </w:rPr>
              <w:t xml:space="preserve"> </w:t>
            </w:r>
            <w:r>
              <w:rPr>
                <w:rFonts w:ascii="Arial"/>
                <w:spacing w:val="-1"/>
              </w:rPr>
              <w:t>should</w:t>
            </w:r>
            <w:r>
              <w:rPr>
                <w:rFonts w:ascii="Arial"/>
                <w:spacing w:val="58"/>
              </w:rPr>
              <w:t xml:space="preserve"> </w:t>
            </w:r>
            <w:r>
              <w:rPr>
                <w:rFonts w:ascii="Arial"/>
                <w:spacing w:val="-2"/>
              </w:rPr>
              <w:t>have</w:t>
            </w:r>
            <w:r>
              <w:rPr>
                <w:rFonts w:ascii="Arial"/>
                <w:spacing w:val="58"/>
              </w:rPr>
              <w:t xml:space="preserve"> </w:t>
            </w:r>
            <w:r>
              <w:rPr>
                <w:rFonts w:ascii="Arial"/>
                <w:spacing w:val="-1"/>
              </w:rPr>
              <w:t>been,</w:t>
            </w:r>
            <w:r>
              <w:rPr>
                <w:rFonts w:ascii="Arial"/>
                <w:spacing w:val="59"/>
              </w:rPr>
              <w:t xml:space="preserve"> </w:t>
            </w:r>
            <w:r>
              <w:rPr>
                <w:rFonts w:ascii="Arial"/>
                <w:spacing w:val="-1"/>
              </w:rPr>
              <w:t>notified</w:t>
            </w:r>
            <w:r>
              <w:rPr>
                <w:rFonts w:ascii="Arial"/>
                <w:spacing w:val="58"/>
              </w:rPr>
              <w:t xml:space="preserve"> </w:t>
            </w:r>
            <w:r>
              <w:rPr>
                <w:rFonts w:ascii="Arial"/>
              </w:rPr>
              <w:t>to</w:t>
            </w:r>
            <w:r>
              <w:rPr>
                <w:rFonts w:ascii="Arial"/>
                <w:spacing w:val="58"/>
              </w:rPr>
              <w:t xml:space="preserve"> </w:t>
            </w:r>
            <w:r>
              <w:rPr>
                <w:rFonts w:ascii="Arial"/>
              </w:rPr>
              <w:t>a</w:t>
            </w:r>
            <w:r>
              <w:rPr>
                <w:rFonts w:ascii="Arial"/>
                <w:spacing w:val="58"/>
              </w:rPr>
              <w:t xml:space="preserve"> </w:t>
            </w:r>
            <w:r>
              <w:rPr>
                <w:rFonts w:ascii="Arial"/>
                <w:spacing w:val="-2"/>
              </w:rPr>
              <w:t>Relevant</w:t>
            </w:r>
            <w:r>
              <w:rPr>
                <w:rFonts w:ascii="Arial"/>
                <w:spacing w:val="60"/>
              </w:rPr>
              <w:t xml:space="preserve"> </w:t>
            </w:r>
            <w:r>
              <w:rPr>
                <w:rFonts w:ascii="Arial"/>
                <w:spacing w:val="-1"/>
              </w:rPr>
              <w:t>Tax</w:t>
            </w:r>
            <w:r>
              <w:rPr>
                <w:rFonts w:ascii="Arial"/>
                <w:spacing w:val="28"/>
              </w:rPr>
              <w:t xml:space="preserve"> </w:t>
            </w:r>
            <w:r>
              <w:rPr>
                <w:rFonts w:ascii="Arial"/>
                <w:spacing w:val="-1"/>
              </w:rPr>
              <w:t>Authority</w:t>
            </w:r>
            <w:r>
              <w:rPr>
                <w:rFonts w:ascii="Arial"/>
                <w:spacing w:val="11"/>
              </w:rPr>
              <w:t xml:space="preserve"> </w:t>
            </w:r>
            <w:r>
              <w:rPr>
                <w:rFonts w:ascii="Arial"/>
                <w:spacing w:val="-1"/>
              </w:rPr>
              <w:t>under</w:t>
            </w:r>
            <w:r>
              <w:rPr>
                <w:rFonts w:ascii="Arial"/>
                <w:spacing w:val="15"/>
              </w:rPr>
              <w:t xml:space="preserve"> </w:t>
            </w:r>
            <w:r>
              <w:rPr>
                <w:rFonts w:ascii="Arial"/>
                <w:spacing w:val="-1"/>
              </w:rPr>
              <w:t>DOTAS</w:t>
            </w:r>
            <w:r>
              <w:rPr>
                <w:rFonts w:ascii="Arial"/>
                <w:spacing w:val="13"/>
              </w:rPr>
              <w:t xml:space="preserve"> </w:t>
            </w:r>
            <w:r>
              <w:rPr>
                <w:rFonts w:ascii="Arial"/>
                <w:spacing w:val="-1"/>
              </w:rPr>
              <w:t>or</w:t>
            </w:r>
            <w:r>
              <w:rPr>
                <w:rFonts w:ascii="Arial"/>
                <w:spacing w:val="15"/>
              </w:rPr>
              <w:t xml:space="preserve"> </w:t>
            </w:r>
            <w:r>
              <w:rPr>
                <w:rFonts w:ascii="Arial"/>
                <w:spacing w:val="-1"/>
              </w:rPr>
              <w:t>any</w:t>
            </w:r>
            <w:r>
              <w:rPr>
                <w:rFonts w:ascii="Arial"/>
                <w:spacing w:val="14"/>
              </w:rPr>
              <w:t xml:space="preserve"> </w:t>
            </w:r>
            <w:r>
              <w:rPr>
                <w:rFonts w:ascii="Arial"/>
                <w:spacing w:val="-1"/>
              </w:rPr>
              <w:t>equivalent</w:t>
            </w:r>
            <w:r>
              <w:rPr>
                <w:rFonts w:ascii="Arial"/>
                <w:spacing w:val="15"/>
              </w:rPr>
              <w:t xml:space="preserve"> </w:t>
            </w:r>
            <w:r>
              <w:rPr>
                <w:rFonts w:ascii="Arial"/>
                <w:spacing w:val="-1"/>
              </w:rPr>
              <w:t>or</w:t>
            </w:r>
            <w:r>
              <w:rPr>
                <w:rFonts w:ascii="Arial"/>
                <w:spacing w:val="29"/>
              </w:rPr>
              <w:t xml:space="preserve"> </w:t>
            </w:r>
            <w:r>
              <w:rPr>
                <w:rFonts w:ascii="Arial"/>
                <w:spacing w:val="-1"/>
              </w:rPr>
              <w:t>similar</w:t>
            </w:r>
            <w:r>
              <w:rPr>
                <w:rFonts w:ascii="Arial"/>
                <w:spacing w:val="2"/>
              </w:rPr>
              <w:t xml:space="preserve"> </w:t>
            </w:r>
            <w:r>
              <w:rPr>
                <w:rFonts w:ascii="Arial"/>
                <w:spacing w:val="-1"/>
              </w:rPr>
              <w:t>regime</w:t>
            </w:r>
            <w:r>
              <w:rPr>
                <w:rFonts w:ascii="Arial"/>
              </w:rPr>
              <w:t xml:space="preserve"> </w:t>
            </w:r>
            <w:r>
              <w:rPr>
                <w:rFonts w:ascii="Arial"/>
                <w:spacing w:val="-1"/>
              </w:rPr>
              <w:t>in</w:t>
            </w:r>
            <w:r>
              <w:rPr>
                <w:rFonts w:ascii="Arial"/>
              </w:rPr>
              <w:t xml:space="preserve"> </w:t>
            </w:r>
            <w:r>
              <w:rPr>
                <w:rFonts w:ascii="Arial"/>
                <w:spacing w:val="-1"/>
              </w:rPr>
              <w:t>any</w:t>
            </w:r>
            <w:r>
              <w:rPr>
                <w:rFonts w:ascii="Arial"/>
                <w:spacing w:val="-4"/>
              </w:rPr>
              <w:t xml:space="preserve"> </w:t>
            </w:r>
            <w:r>
              <w:rPr>
                <w:rFonts w:ascii="Arial"/>
                <w:spacing w:val="-1"/>
              </w:rPr>
              <w:t>jurisdiction;</w:t>
            </w:r>
            <w:r>
              <w:rPr>
                <w:rFonts w:ascii="Arial"/>
                <w:spacing w:val="2"/>
              </w:rPr>
              <w:t xml:space="preserve"> </w:t>
            </w:r>
            <w:r>
              <w:rPr>
                <w:rFonts w:ascii="Arial"/>
                <w:spacing w:val="-1"/>
              </w:rPr>
              <w:t>and/or</w:t>
            </w:r>
          </w:p>
          <w:p w:rsidR="008918FA" w:rsidRDefault="008918FA" w:rsidP="005D2B81">
            <w:pPr>
              <w:pStyle w:val="TableParagraph"/>
              <w:spacing w:before="121"/>
              <w:ind w:left="819" w:right="97" w:hanging="545"/>
              <w:jc w:val="both"/>
              <w:rPr>
                <w:rFonts w:ascii="Arial" w:eastAsia="Arial" w:hAnsi="Arial" w:cs="Arial"/>
              </w:rPr>
            </w:pPr>
            <w:r>
              <w:rPr>
                <w:rFonts w:ascii="Arial"/>
                <w:spacing w:val="-1"/>
              </w:rPr>
              <w:t>b)</w:t>
            </w:r>
            <w:r>
              <w:rPr>
                <w:rFonts w:ascii="Arial"/>
                <w:spacing w:val="42"/>
              </w:rPr>
              <w:t xml:space="preserve"> </w:t>
            </w:r>
            <w:r>
              <w:rPr>
                <w:rFonts w:ascii="Arial"/>
                <w:spacing w:val="-1"/>
              </w:rPr>
              <w:t>any</w:t>
            </w:r>
            <w:r>
              <w:rPr>
                <w:rFonts w:ascii="Arial"/>
                <w:spacing w:val="43"/>
              </w:rPr>
              <w:t xml:space="preserve"> </w:t>
            </w:r>
            <w:r>
              <w:rPr>
                <w:rFonts w:ascii="Arial"/>
              </w:rPr>
              <w:t>tax</w:t>
            </w:r>
            <w:r>
              <w:rPr>
                <w:rFonts w:ascii="Arial"/>
                <w:spacing w:val="43"/>
              </w:rPr>
              <w:t xml:space="preserve"> </w:t>
            </w:r>
            <w:r>
              <w:rPr>
                <w:rFonts w:ascii="Arial"/>
                <w:spacing w:val="-1"/>
              </w:rPr>
              <w:t>return</w:t>
            </w:r>
            <w:r>
              <w:rPr>
                <w:rFonts w:ascii="Arial"/>
                <w:spacing w:val="45"/>
              </w:rPr>
              <w:t xml:space="preserve"> </w:t>
            </w:r>
            <w:r>
              <w:rPr>
                <w:rFonts w:ascii="Arial"/>
                <w:spacing w:val="-2"/>
              </w:rPr>
              <w:t>of</w:t>
            </w:r>
            <w:r>
              <w:rPr>
                <w:rFonts w:ascii="Arial"/>
                <w:spacing w:val="48"/>
              </w:rPr>
              <w:t xml:space="preserve"> </w:t>
            </w:r>
            <w:r>
              <w:rPr>
                <w:rFonts w:ascii="Arial"/>
              </w:rPr>
              <w:t>the</w:t>
            </w:r>
            <w:r>
              <w:rPr>
                <w:rFonts w:ascii="Arial"/>
                <w:spacing w:val="42"/>
              </w:rPr>
              <w:t xml:space="preserve"> </w:t>
            </w:r>
            <w:r>
              <w:rPr>
                <w:rFonts w:ascii="Arial"/>
                <w:spacing w:val="-2"/>
              </w:rPr>
              <w:t>Supplier</w:t>
            </w:r>
            <w:r>
              <w:rPr>
                <w:rFonts w:ascii="Arial"/>
                <w:spacing w:val="48"/>
              </w:rPr>
              <w:t xml:space="preserve"> </w:t>
            </w:r>
            <w:r>
              <w:rPr>
                <w:rFonts w:ascii="Arial"/>
                <w:spacing w:val="-1"/>
              </w:rPr>
              <w:t>submitted</w:t>
            </w:r>
            <w:r>
              <w:rPr>
                <w:rFonts w:ascii="Arial"/>
                <w:spacing w:val="43"/>
              </w:rPr>
              <w:t xml:space="preserve"> </w:t>
            </w:r>
            <w:r>
              <w:rPr>
                <w:rFonts w:ascii="Arial"/>
              </w:rPr>
              <w:t>to</w:t>
            </w:r>
            <w:r>
              <w:rPr>
                <w:rFonts w:ascii="Arial"/>
                <w:spacing w:val="42"/>
              </w:rPr>
              <w:t xml:space="preserve"> </w:t>
            </w:r>
            <w:r>
              <w:rPr>
                <w:rFonts w:ascii="Arial"/>
              </w:rPr>
              <w:t>a</w:t>
            </w:r>
            <w:r>
              <w:rPr>
                <w:rFonts w:ascii="Arial"/>
                <w:spacing w:val="45"/>
              </w:rPr>
              <w:t xml:space="preserve"> </w:t>
            </w:r>
            <w:r>
              <w:rPr>
                <w:rFonts w:ascii="Arial"/>
                <w:spacing w:val="-2"/>
              </w:rPr>
              <w:t>Relevant</w:t>
            </w:r>
            <w:r>
              <w:rPr>
                <w:rFonts w:ascii="Arial"/>
                <w:spacing w:val="33"/>
              </w:rPr>
              <w:t xml:space="preserve"> </w:t>
            </w:r>
            <w:r>
              <w:rPr>
                <w:rFonts w:ascii="Arial"/>
              </w:rPr>
              <w:t>Tax</w:t>
            </w:r>
            <w:r>
              <w:rPr>
                <w:rFonts w:ascii="Arial"/>
                <w:spacing w:val="30"/>
              </w:rPr>
              <w:t xml:space="preserve"> </w:t>
            </w:r>
            <w:r>
              <w:rPr>
                <w:rFonts w:ascii="Arial"/>
                <w:spacing w:val="-1"/>
              </w:rPr>
              <w:t>Authority</w:t>
            </w:r>
            <w:r>
              <w:rPr>
                <w:rFonts w:ascii="Arial"/>
                <w:spacing w:val="30"/>
              </w:rPr>
              <w:t xml:space="preserve"> </w:t>
            </w:r>
            <w:r>
              <w:rPr>
                <w:rFonts w:ascii="Arial"/>
                <w:spacing w:val="-1"/>
              </w:rPr>
              <w:t>on</w:t>
            </w:r>
            <w:r>
              <w:rPr>
                <w:rFonts w:ascii="Arial"/>
                <w:spacing w:val="31"/>
              </w:rPr>
              <w:t xml:space="preserve"> </w:t>
            </w:r>
            <w:r>
              <w:rPr>
                <w:rFonts w:ascii="Arial"/>
                <w:spacing w:val="-1"/>
              </w:rPr>
              <w:t>or</w:t>
            </w:r>
            <w:r>
              <w:rPr>
                <w:rFonts w:ascii="Arial"/>
                <w:spacing w:val="33"/>
              </w:rPr>
              <w:t xml:space="preserve"> </w:t>
            </w:r>
            <w:r>
              <w:rPr>
                <w:rFonts w:ascii="Arial"/>
                <w:spacing w:val="-1"/>
              </w:rPr>
              <w:t>after</w:t>
            </w:r>
            <w:r>
              <w:rPr>
                <w:rFonts w:ascii="Arial"/>
                <w:spacing w:val="30"/>
              </w:rPr>
              <w:t xml:space="preserve"> </w:t>
            </w:r>
            <w:r>
              <w:rPr>
                <w:rFonts w:ascii="Arial"/>
              </w:rPr>
              <w:t>1</w:t>
            </w:r>
            <w:r>
              <w:rPr>
                <w:rFonts w:ascii="Arial"/>
                <w:spacing w:val="31"/>
              </w:rPr>
              <w:t xml:space="preserve"> </w:t>
            </w:r>
            <w:r>
              <w:rPr>
                <w:rFonts w:ascii="Arial"/>
                <w:spacing w:val="-1"/>
              </w:rPr>
              <w:t>October</w:t>
            </w:r>
            <w:r>
              <w:rPr>
                <w:rFonts w:ascii="Arial"/>
                <w:spacing w:val="33"/>
              </w:rPr>
              <w:t xml:space="preserve"> </w:t>
            </w:r>
            <w:r>
              <w:rPr>
                <w:rFonts w:ascii="Arial"/>
                <w:spacing w:val="-2"/>
              </w:rPr>
              <w:t>2012</w:t>
            </w:r>
            <w:r>
              <w:rPr>
                <w:rFonts w:ascii="Arial"/>
                <w:spacing w:val="36"/>
              </w:rPr>
              <w:t xml:space="preserve"> </w:t>
            </w:r>
            <w:r>
              <w:rPr>
                <w:rFonts w:ascii="Arial"/>
                <w:spacing w:val="-2"/>
              </w:rPr>
              <w:t>which</w:t>
            </w:r>
            <w:r>
              <w:rPr>
                <w:rFonts w:ascii="Arial"/>
                <w:spacing w:val="15"/>
              </w:rPr>
              <w:t xml:space="preserve"> </w:t>
            </w:r>
            <w:r>
              <w:rPr>
                <w:rFonts w:ascii="Arial"/>
                <w:spacing w:val="-1"/>
              </w:rPr>
              <w:t>gives</w:t>
            </w:r>
            <w:r>
              <w:rPr>
                <w:rFonts w:ascii="Arial"/>
                <w:spacing w:val="12"/>
              </w:rPr>
              <w:t xml:space="preserve"> </w:t>
            </w:r>
            <w:r>
              <w:rPr>
                <w:rFonts w:ascii="Arial"/>
                <w:spacing w:val="-1"/>
              </w:rPr>
              <w:t>rise,</w:t>
            </w:r>
            <w:r>
              <w:rPr>
                <w:rFonts w:ascii="Arial"/>
                <w:spacing w:val="10"/>
              </w:rPr>
              <w:t xml:space="preserve"> </w:t>
            </w:r>
            <w:r>
              <w:rPr>
                <w:rFonts w:ascii="Arial"/>
                <w:spacing w:val="-1"/>
              </w:rPr>
              <w:t>on</w:t>
            </w:r>
            <w:r>
              <w:rPr>
                <w:rFonts w:ascii="Arial"/>
                <w:spacing w:val="11"/>
              </w:rPr>
              <w:t xml:space="preserve"> </w:t>
            </w:r>
            <w:r>
              <w:rPr>
                <w:rFonts w:ascii="Arial"/>
                <w:spacing w:val="-2"/>
              </w:rPr>
              <w:t>or</w:t>
            </w:r>
            <w:r>
              <w:rPr>
                <w:rFonts w:ascii="Arial"/>
                <w:spacing w:val="13"/>
              </w:rPr>
              <w:t xml:space="preserve"> </w:t>
            </w:r>
            <w:r>
              <w:rPr>
                <w:rFonts w:ascii="Arial"/>
                <w:spacing w:val="-1"/>
              </w:rPr>
              <w:t>after</w:t>
            </w:r>
            <w:r>
              <w:rPr>
                <w:rFonts w:ascii="Arial"/>
                <w:spacing w:val="10"/>
              </w:rPr>
              <w:t xml:space="preserve"> </w:t>
            </w:r>
            <w:r>
              <w:rPr>
                <w:rFonts w:ascii="Arial"/>
              </w:rPr>
              <w:t>1</w:t>
            </w:r>
            <w:r>
              <w:rPr>
                <w:rFonts w:ascii="Arial"/>
                <w:spacing w:val="11"/>
              </w:rPr>
              <w:t xml:space="preserve"> </w:t>
            </w:r>
            <w:r>
              <w:rPr>
                <w:rFonts w:ascii="Arial"/>
                <w:spacing w:val="-2"/>
              </w:rPr>
              <w:t>April</w:t>
            </w:r>
            <w:r>
              <w:rPr>
                <w:rFonts w:ascii="Arial"/>
                <w:spacing w:val="11"/>
              </w:rPr>
              <w:t xml:space="preserve"> </w:t>
            </w:r>
            <w:r>
              <w:rPr>
                <w:rFonts w:ascii="Arial"/>
                <w:spacing w:val="-1"/>
              </w:rPr>
              <w:t>2013,</w:t>
            </w:r>
            <w:r>
              <w:rPr>
                <w:rFonts w:ascii="Arial"/>
                <w:spacing w:val="11"/>
              </w:rPr>
              <w:t xml:space="preserve"> </w:t>
            </w:r>
            <w:r>
              <w:rPr>
                <w:rFonts w:ascii="Arial"/>
                <w:spacing w:val="-1"/>
              </w:rPr>
              <w:t>to</w:t>
            </w:r>
            <w:r>
              <w:rPr>
                <w:rFonts w:ascii="Arial"/>
                <w:spacing w:val="11"/>
              </w:rPr>
              <w:t xml:space="preserve"> </w:t>
            </w:r>
            <w:r>
              <w:rPr>
                <w:rFonts w:ascii="Arial"/>
              </w:rPr>
              <w:t>a</w:t>
            </w:r>
            <w:r>
              <w:rPr>
                <w:rFonts w:ascii="Arial"/>
                <w:spacing w:val="29"/>
              </w:rPr>
              <w:t xml:space="preserve"> </w:t>
            </w:r>
            <w:r>
              <w:rPr>
                <w:rFonts w:ascii="Arial"/>
                <w:spacing w:val="-1"/>
              </w:rPr>
              <w:t>criminal</w:t>
            </w:r>
            <w:r>
              <w:rPr>
                <w:rFonts w:ascii="Arial"/>
                <w:spacing w:val="24"/>
              </w:rPr>
              <w:t xml:space="preserve"> </w:t>
            </w:r>
            <w:r>
              <w:rPr>
                <w:rFonts w:ascii="Arial"/>
                <w:spacing w:val="-1"/>
              </w:rPr>
              <w:t>conviction</w:t>
            </w:r>
            <w:r>
              <w:rPr>
                <w:rFonts w:ascii="Arial"/>
                <w:spacing w:val="24"/>
              </w:rPr>
              <w:t xml:space="preserve"> </w:t>
            </w:r>
            <w:r>
              <w:rPr>
                <w:rFonts w:ascii="Arial"/>
                <w:spacing w:val="-1"/>
              </w:rPr>
              <w:t>in</w:t>
            </w:r>
            <w:r>
              <w:rPr>
                <w:rFonts w:ascii="Arial"/>
                <w:spacing w:val="24"/>
              </w:rPr>
              <w:t xml:space="preserve"> </w:t>
            </w:r>
            <w:r>
              <w:rPr>
                <w:rFonts w:ascii="Arial"/>
                <w:spacing w:val="-1"/>
              </w:rPr>
              <w:t>any</w:t>
            </w:r>
            <w:r>
              <w:rPr>
                <w:rFonts w:ascii="Arial"/>
                <w:spacing w:val="22"/>
              </w:rPr>
              <w:t xml:space="preserve"> </w:t>
            </w:r>
            <w:r>
              <w:rPr>
                <w:rFonts w:ascii="Arial"/>
                <w:spacing w:val="-1"/>
              </w:rPr>
              <w:t>jurisdiction</w:t>
            </w:r>
            <w:r>
              <w:rPr>
                <w:rFonts w:ascii="Arial"/>
                <w:spacing w:val="22"/>
              </w:rPr>
              <w:t xml:space="preserve"> </w:t>
            </w:r>
            <w:r>
              <w:rPr>
                <w:rFonts w:ascii="Arial"/>
              </w:rPr>
              <w:t>for</w:t>
            </w:r>
            <w:r>
              <w:rPr>
                <w:rFonts w:ascii="Arial"/>
                <w:spacing w:val="23"/>
              </w:rPr>
              <w:t xml:space="preserve"> </w:t>
            </w:r>
            <w:r>
              <w:rPr>
                <w:rFonts w:ascii="Arial"/>
              </w:rPr>
              <w:t>tax</w:t>
            </w:r>
            <w:r>
              <w:rPr>
                <w:rFonts w:ascii="Arial"/>
                <w:spacing w:val="22"/>
              </w:rPr>
              <w:t xml:space="preserve"> </w:t>
            </w:r>
            <w:r>
              <w:rPr>
                <w:rFonts w:ascii="Arial"/>
                <w:spacing w:val="-1"/>
              </w:rPr>
              <w:t>related</w:t>
            </w:r>
            <w:r>
              <w:rPr>
                <w:rFonts w:ascii="Arial"/>
                <w:spacing w:val="29"/>
              </w:rPr>
              <w:t xml:space="preserve"> </w:t>
            </w:r>
            <w:r>
              <w:rPr>
                <w:rFonts w:ascii="Arial"/>
                <w:spacing w:val="-1"/>
              </w:rPr>
              <w:t>offences</w:t>
            </w:r>
            <w:r>
              <w:rPr>
                <w:rFonts w:ascii="Arial"/>
                <w:spacing w:val="10"/>
              </w:rPr>
              <w:t xml:space="preserve"> </w:t>
            </w:r>
            <w:r>
              <w:rPr>
                <w:rFonts w:ascii="Arial"/>
                <w:spacing w:val="-2"/>
              </w:rPr>
              <w:t>which</w:t>
            </w:r>
            <w:r>
              <w:rPr>
                <w:rFonts w:ascii="Arial"/>
                <w:spacing w:val="13"/>
              </w:rPr>
              <w:t xml:space="preserve"> </w:t>
            </w:r>
            <w:r>
              <w:rPr>
                <w:rFonts w:ascii="Arial"/>
                <w:spacing w:val="-1"/>
              </w:rPr>
              <w:t>is</w:t>
            </w:r>
            <w:r>
              <w:rPr>
                <w:rFonts w:ascii="Arial"/>
                <w:spacing w:val="13"/>
              </w:rPr>
              <w:t xml:space="preserve"> </w:t>
            </w:r>
            <w:r>
              <w:rPr>
                <w:rFonts w:ascii="Arial"/>
                <w:spacing w:val="-1"/>
              </w:rPr>
              <w:t>not</w:t>
            </w:r>
            <w:r>
              <w:rPr>
                <w:rFonts w:ascii="Arial"/>
                <w:spacing w:val="11"/>
              </w:rPr>
              <w:t xml:space="preserve"> </w:t>
            </w:r>
            <w:r>
              <w:rPr>
                <w:rFonts w:ascii="Arial"/>
                <w:spacing w:val="-1"/>
              </w:rPr>
              <w:t>spent</w:t>
            </w:r>
            <w:r>
              <w:rPr>
                <w:rFonts w:ascii="Arial"/>
                <w:spacing w:val="11"/>
              </w:rPr>
              <w:t xml:space="preserve"> </w:t>
            </w:r>
            <w:r>
              <w:rPr>
                <w:rFonts w:ascii="Arial"/>
                <w:spacing w:val="-1"/>
              </w:rPr>
              <w:t>at</w:t>
            </w:r>
            <w:r>
              <w:rPr>
                <w:rFonts w:ascii="Arial"/>
                <w:spacing w:val="11"/>
              </w:rPr>
              <w:t xml:space="preserve"> </w:t>
            </w:r>
            <w:r>
              <w:rPr>
                <w:rFonts w:ascii="Arial"/>
              </w:rPr>
              <w:t>the</w:t>
            </w:r>
            <w:r>
              <w:rPr>
                <w:rFonts w:ascii="Arial"/>
                <w:spacing w:val="10"/>
              </w:rPr>
              <w:t xml:space="preserve"> </w:t>
            </w:r>
            <w:r>
              <w:rPr>
                <w:rFonts w:ascii="Arial"/>
                <w:spacing w:val="-2"/>
              </w:rPr>
              <w:t>Call</w:t>
            </w:r>
            <w:r>
              <w:rPr>
                <w:rFonts w:ascii="Arial"/>
                <w:spacing w:val="9"/>
              </w:rPr>
              <w:t xml:space="preserve"> </w:t>
            </w:r>
            <w:r>
              <w:rPr>
                <w:rFonts w:ascii="Arial"/>
                <w:spacing w:val="-1"/>
              </w:rPr>
              <w:t>Off</w:t>
            </w:r>
            <w:r>
              <w:rPr>
                <w:rFonts w:ascii="Arial"/>
                <w:spacing w:val="35"/>
              </w:rPr>
              <w:t xml:space="preserve"> </w:t>
            </w:r>
            <w:r>
              <w:rPr>
                <w:rFonts w:ascii="Arial"/>
                <w:spacing w:val="-1"/>
              </w:rPr>
              <w:t>Commencement</w:t>
            </w:r>
            <w:r>
              <w:rPr>
                <w:rFonts w:ascii="Arial"/>
                <w:spacing w:val="26"/>
              </w:rPr>
              <w:t xml:space="preserve"> </w:t>
            </w:r>
            <w:r>
              <w:rPr>
                <w:rFonts w:ascii="Arial"/>
                <w:spacing w:val="-1"/>
              </w:rPr>
              <w:t>Date</w:t>
            </w:r>
            <w:r>
              <w:rPr>
                <w:rFonts w:ascii="Arial"/>
                <w:spacing w:val="27"/>
              </w:rPr>
              <w:t xml:space="preserve"> </w:t>
            </w:r>
            <w:r>
              <w:rPr>
                <w:rFonts w:ascii="Arial"/>
                <w:spacing w:val="-1"/>
              </w:rPr>
              <w:t>or</w:t>
            </w:r>
            <w:r>
              <w:rPr>
                <w:rFonts w:ascii="Arial"/>
                <w:spacing w:val="26"/>
              </w:rPr>
              <w:t xml:space="preserve"> </w:t>
            </w:r>
            <w:r>
              <w:rPr>
                <w:rFonts w:ascii="Arial"/>
              </w:rPr>
              <w:t>to</w:t>
            </w:r>
            <w:r>
              <w:rPr>
                <w:rFonts w:ascii="Arial"/>
                <w:spacing w:val="27"/>
              </w:rPr>
              <w:t xml:space="preserve"> </w:t>
            </w:r>
            <w:r>
              <w:rPr>
                <w:rFonts w:ascii="Arial"/>
              </w:rPr>
              <w:t>a</w:t>
            </w:r>
            <w:r>
              <w:rPr>
                <w:rFonts w:ascii="Arial"/>
                <w:spacing w:val="27"/>
              </w:rPr>
              <w:t xml:space="preserve"> </w:t>
            </w:r>
            <w:r>
              <w:rPr>
                <w:rFonts w:ascii="Arial"/>
                <w:spacing w:val="-2"/>
              </w:rPr>
              <w:t>civil</w:t>
            </w:r>
            <w:r>
              <w:rPr>
                <w:rFonts w:ascii="Arial"/>
                <w:spacing w:val="27"/>
              </w:rPr>
              <w:t xml:space="preserve"> </w:t>
            </w:r>
            <w:r>
              <w:rPr>
                <w:rFonts w:ascii="Arial"/>
                <w:spacing w:val="-1"/>
              </w:rPr>
              <w:t>penalty</w:t>
            </w:r>
            <w:r>
              <w:rPr>
                <w:rFonts w:ascii="Arial"/>
                <w:spacing w:val="25"/>
              </w:rPr>
              <w:t xml:space="preserve"> </w:t>
            </w:r>
            <w:r>
              <w:rPr>
                <w:rFonts w:ascii="Arial"/>
              </w:rPr>
              <w:t>for</w:t>
            </w:r>
            <w:r>
              <w:rPr>
                <w:rFonts w:ascii="Arial"/>
                <w:spacing w:val="26"/>
              </w:rPr>
              <w:t xml:space="preserve"> </w:t>
            </w:r>
            <w:r>
              <w:rPr>
                <w:rFonts w:ascii="Arial"/>
                <w:spacing w:val="-1"/>
              </w:rPr>
              <w:t>fraud</w:t>
            </w:r>
            <w:r>
              <w:rPr>
                <w:rFonts w:ascii="Arial"/>
                <w:spacing w:val="30"/>
              </w:rPr>
              <w:t xml:space="preserve"> </w:t>
            </w:r>
            <w:r>
              <w:rPr>
                <w:rFonts w:ascii="Arial"/>
                <w:spacing w:val="-1"/>
              </w:rPr>
              <w:t>or</w:t>
            </w:r>
            <w:r>
              <w:rPr>
                <w:rFonts w:ascii="Arial"/>
                <w:spacing w:val="2"/>
              </w:rPr>
              <w:t xml:space="preserve"> </w:t>
            </w:r>
            <w:r>
              <w:rPr>
                <w:rFonts w:ascii="Arial"/>
                <w:spacing w:val="-2"/>
              </w:rPr>
              <w:t>evasion;</w:t>
            </w:r>
          </w:p>
        </w:tc>
      </w:tr>
      <w:tr w:rsidR="008918FA" w:rsidTr="005D2B81">
        <w:trPr>
          <w:trHeight w:hRule="exact" w:val="10692"/>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"Open</w:t>
            </w:r>
            <w:r>
              <w:rPr>
                <w:rFonts w:ascii="Arial"/>
                <w:b/>
                <w:spacing w:val="-2"/>
              </w:rPr>
              <w:t xml:space="preserve"> </w:t>
            </w:r>
            <w:r>
              <w:rPr>
                <w:rFonts w:ascii="Arial"/>
                <w:b/>
                <w:spacing w:val="-1"/>
              </w:rPr>
              <w:t>Book</w:t>
            </w:r>
            <w:r>
              <w:rPr>
                <w:rFonts w:ascii="Arial"/>
                <w:b/>
              </w:rPr>
              <w:t xml:space="preserve"> </w:t>
            </w:r>
            <w:r>
              <w:rPr>
                <w:rFonts w:ascii="Arial"/>
                <w:b/>
                <w:spacing w:val="-1"/>
              </w:rPr>
              <w:t>Data</w:t>
            </w:r>
            <w:r>
              <w:rPr>
                <w:rFonts w:ascii="Arial"/>
                <w:b/>
                <w:spacing w:val="-2"/>
              </w:rPr>
              <w:t xml:space="preserve"> </w:t>
            </w:r>
            <w:r>
              <w:rPr>
                <w:rFonts w:ascii="Arial"/>
                <w:b/>
              </w:rPr>
              <w:t>"</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20"/>
              </w:rPr>
              <w:t xml:space="preserve"> </w:t>
            </w:r>
            <w:r>
              <w:rPr>
                <w:rFonts w:ascii="Arial"/>
                <w:spacing w:val="-1"/>
              </w:rPr>
              <w:t>complete</w:t>
            </w:r>
            <w:r>
              <w:rPr>
                <w:rFonts w:ascii="Arial"/>
                <w:spacing w:val="20"/>
              </w:rPr>
              <w:t xml:space="preserve"> </w:t>
            </w:r>
            <w:r>
              <w:rPr>
                <w:rFonts w:ascii="Arial"/>
                <w:spacing w:val="-1"/>
              </w:rPr>
              <w:t>and</w:t>
            </w:r>
            <w:r>
              <w:rPr>
                <w:rFonts w:ascii="Arial"/>
                <w:spacing w:val="19"/>
              </w:rPr>
              <w:t xml:space="preserve"> </w:t>
            </w:r>
            <w:r>
              <w:rPr>
                <w:rFonts w:ascii="Arial"/>
                <w:spacing w:val="-1"/>
              </w:rPr>
              <w:t>accurate</w:t>
            </w:r>
            <w:r>
              <w:rPr>
                <w:rFonts w:ascii="Arial"/>
                <w:spacing w:val="17"/>
              </w:rPr>
              <w:t xml:space="preserve"> </w:t>
            </w:r>
            <w:r>
              <w:rPr>
                <w:rFonts w:ascii="Arial"/>
                <w:spacing w:val="-1"/>
              </w:rPr>
              <w:t>financial</w:t>
            </w:r>
            <w:r>
              <w:rPr>
                <w:rFonts w:ascii="Arial"/>
                <w:spacing w:val="19"/>
              </w:rPr>
              <w:t xml:space="preserve"> </w:t>
            </w:r>
            <w:r>
              <w:rPr>
                <w:rFonts w:ascii="Arial"/>
                <w:spacing w:val="-1"/>
              </w:rPr>
              <w:t>and</w:t>
            </w:r>
            <w:r>
              <w:rPr>
                <w:rFonts w:ascii="Arial"/>
                <w:spacing w:val="19"/>
              </w:rPr>
              <w:t xml:space="preserve"> </w:t>
            </w:r>
            <w:r>
              <w:rPr>
                <w:rFonts w:ascii="Arial"/>
                <w:spacing w:val="-1"/>
              </w:rPr>
              <w:t>non-financial</w:t>
            </w:r>
            <w:r>
              <w:rPr>
                <w:rFonts w:ascii="Arial"/>
                <w:spacing w:val="28"/>
              </w:rPr>
              <w:t xml:space="preserve"> </w:t>
            </w:r>
            <w:r>
              <w:rPr>
                <w:rFonts w:ascii="Arial"/>
                <w:spacing w:val="-1"/>
              </w:rPr>
              <w:t>information</w:t>
            </w:r>
            <w:r>
              <w:rPr>
                <w:rFonts w:ascii="Arial"/>
                <w:spacing w:val="27"/>
              </w:rPr>
              <w:t xml:space="preserve"> </w:t>
            </w:r>
            <w:r>
              <w:rPr>
                <w:rFonts w:ascii="Arial"/>
                <w:spacing w:val="-2"/>
              </w:rPr>
              <w:t>which</w:t>
            </w:r>
            <w:r>
              <w:rPr>
                <w:rFonts w:ascii="Arial"/>
                <w:spacing w:val="27"/>
              </w:rPr>
              <w:t xml:space="preserve"> </w:t>
            </w:r>
            <w:r>
              <w:rPr>
                <w:rFonts w:ascii="Arial"/>
                <w:spacing w:val="-1"/>
              </w:rPr>
              <w:t>is</w:t>
            </w:r>
            <w:r>
              <w:rPr>
                <w:rFonts w:ascii="Arial"/>
                <w:spacing w:val="27"/>
              </w:rPr>
              <w:t xml:space="preserve"> </w:t>
            </w:r>
            <w:r>
              <w:rPr>
                <w:rFonts w:ascii="Arial"/>
                <w:spacing w:val="-1"/>
              </w:rPr>
              <w:t>sufficient</w:t>
            </w:r>
            <w:r>
              <w:rPr>
                <w:rFonts w:ascii="Arial"/>
                <w:spacing w:val="28"/>
              </w:rPr>
              <w:t xml:space="preserve"> </w:t>
            </w:r>
            <w:r>
              <w:rPr>
                <w:rFonts w:ascii="Arial"/>
              </w:rPr>
              <w:t>to</w:t>
            </w:r>
            <w:r>
              <w:rPr>
                <w:rFonts w:ascii="Arial"/>
                <w:spacing w:val="27"/>
              </w:rPr>
              <w:t xml:space="preserve"> </w:t>
            </w:r>
            <w:r>
              <w:rPr>
                <w:rFonts w:ascii="Arial"/>
                <w:spacing w:val="-1"/>
              </w:rPr>
              <w:t>enable</w:t>
            </w:r>
            <w:r>
              <w:rPr>
                <w:rFonts w:ascii="Arial"/>
                <w:spacing w:val="27"/>
              </w:rPr>
              <w:t xml:space="preserve"> </w:t>
            </w:r>
            <w:r>
              <w:rPr>
                <w:rFonts w:ascii="Arial"/>
              </w:rPr>
              <w:t>the</w:t>
            </w:r>
            <w:r>
              <w:rPr>
                <w:rFonts w:ascii="Arial"/>
                <w:spacing w:val="27"/>
              </w:rPr>
              <w:t xml:space="preserve"> </w:t>
            </w:r>
            <w:r>
              <w:rPr>
                <w:rFonts w:ascii="Arial"/>
                <w:spacing w:val="-2"/>
              </w:rPr>
              <w:t>Customer</w:t>
            </w:r>
            <w:r>
              <w:rPr>
                <w:rFonts w:ascii="Arial"/>
                <w:spacing w:val="28"/>
              </w:rPr>
              <w:t xml:space="preserve"> </w:t>
            </w:r>
            <w:r>
              <w:rPr>
                <w:rFonts w:ascii="Arial"/>
                <w:spacing w:val="-1"/>
              </w:rPr>
              <w:t>to</w:t>
            </w:r>
            <w:r>
              <w:rPr>
                <w:rFonts w:ascii="Arial"/>
                <w:spacing w:val="37"/>
              </w:rPr>
              <w:t xml:space="preserve"> </w:t>
            </w:r>
            <w:r>
              <w:rPr>
                <w:rFonts w:ascii="Arial"/>
                <w:spacing w:val="-1"/>
              </w:rPr>
              <w:t>verify</w:t>
            </w:r>
            <w:r>
              <w:rPr>
                <w:rFonts w:ascii="Arial"/>
                <w:spacing w:val="21"/>
              </w:rPr>
              <w:t xml:space="preserve"> </w:t>
            </w:r>
            <w:r>
              <w:rPr>
                <w:rFonts w:ascii="Arial"/>
              </w:rPr>
              <w:t>the</w:t>
            </w:r>
            <w:r>
              <w:rPr>
                <w:rFonts w:ascii="Arial"/>
                <w:spacing w:val="23"/>
              </w:rPr>
              <w:t xml:space="preserve"> </w:t>
            </w:r>
            <w:r>
              <w:rPr>
                <w:rFonts w:ascii="Arial"/>
                <w:spacing w:val="-2"/>
              </w:rPr>
              <w:t>Call</w:t>
            </w:r>
            <w:r>
              <w:rPr>
                <w:rFonts w:ascii="Arial"/>
                <w:spacing w:val="22"/>
              </w:rPr>
              <w:t xml:space="preserve"> </w:t>
            </w:r>
            <w:r>
              <w:rPr>
                <w:rFonts w:ascii="Arial"/>
              </w:rPr>
              <w:t>Off</w:t>
            </w:r>
            <w:r>
              <w:rPr>
                <w:rFonts w:ascii="Arial"/>
                <w:spacing w:val="25"/>
              </w:rPr>
              <w:t xml:space="preserve"> </w:t>
            </w:r>
            <w:r>
              <w:rPr>
                <w:rFonts w:ascii="Arial"/>
                <w:spacing w:val="-2"/>
              </w:rPr>
              <w:t>Contract</w:t>
            </w:r>
            <w:r>
              <w:rPr>
                <w:rFonts w:ascii="Arial"/>
                <w:spacing w:val="25"/>
              </w:rPr>
              <w:t xml:space="preserve"> </w:t>
            </w:r>
            <w:r>
              <w:rPr>
                <w:rFonts w:ascii="Arial"/>
                <w:spacing w:val="-1"/>
              </w:rPr>
              <w:t>Charges</w:t>
            </w:r>
            <w:r>
              <w:rPr>
                <w:rFonts w:ascii="Arial"/>
                <w:spacing w:val="24"/>
              </w:rPr>
              <w:t xml:space="preserve"> </w:t>
            </w:r>
            <w:r>
              <w:rPr>
                <w:rFonts w:ascii="Arial"/>
                <w:spacing w:val="-1"/>
              </w:rPr>
              <w:t>already</w:t>
            </w:r>
            <w:r>
              <w:rPr>
                <w:rFonts w:ascii="Arial"/>
                <w:spacing w:val="21"/>
              </w:rPr>
              <w:t xml:space="preserve"> </w:t>
            </w:r>
            <w:r>
              <w:rPr>
                <w:rFonts w:ascii="Arial"/>
                <w:spacing w:val="-1"/>
              </w:rPr>
              <w:t>paid</w:t>
            </w:r>
            <w:r>
              <w:rPr>
                <w:rFonts w:ascii="Arial"/>
                <w:spacing w:val="23"/>
              </w:rPr>
              <w:t xml:space="preserve"> </w:t>
            </w:r>
            <w:r>
              <w:rPr>
                <w:rFonts w:ascii="Arial"/>
                <w:spacing w:val="-1"/>
              </w:rPr>
              <w:t>or</w:t>
            </w:r>
            <w:r>
              <w:rPr>
                <w:rFonts w:ascii="Arial"/>
                <w:spacing w:val="36"/>
              </w:rPr>
              <w:t xml:space="preserve"> </w:t>
            </w:r>
            <w:r>
              <w:rPr>
                <w:rFonts w:ascii="Arial"/>
                <w:spacing w:val="-2"/>
              </w:rPr>
              <w:t>payable</w:t>
            </w:r>
            <w:r>
              <w:rPr>
                <w:rFonts w:ascii="Arial"/>
                <w:spacing w:val="3"/>
              </w:rPr>
              <w:t xml:space="preserve"> </w:t>
            </w:r>
            <w:r>
              <w:rPr>
                <w:rFonts w:ascii="Arial"/>
                <w:spacing w:val="-1"/>
              </w:rPr>
              <w:t>and</w:t>
            </w:r>
            <w:r>
              <w:rPr>
                <w:rFonts w:ascii="Arial"/>
                <w:spacing w:val="3"/>
              </w:rPr>
              <w:t xml:space="preserve"> </w:t>
            </w:r>
            <w:r>
              <w:rPr>
                <w:rFonts w:ascii="Arial"/>
                <w:spacing w:val="-2"/>
              </w:rPr>
              <w:t>Call</w:t>
            </w:r>
            <w:r>
              <w:rPr>
                <w:rFonts w:ascii="Arial"/>
                <w:spacing w:val="2"/>
              </w:rPr>
              <w:t xml:space="preserve"> </w:t>
            </w:r>
            <w:r>
              <w:rPr>
                <w:rFonts w:ascii="Arial"/>
              </w:rPr>
              <w:t>Off</w:t>
            </w:r>
            <w:r>
              <w:rPr>
                <w:rFonts w:ascii="Arial"/>
                <w:spacing w:val="4"/>
              </w:rPr>
              <w:t xml:space="preserve"> </w:t>
            </w:r>
            <w:r>
              <w:rPr>
                <w:rFonts w:ascii="Arial"/>
                <w:spacing w:val="-2"/>
              </w:rPr>
              <w:t>Contract</w:t>
            </w:r>
            <w:r>
              <w:rPr>
                <w:rFonts w:ascii="Arial"/>
                <w:spacing w:val="4"/>
              </w:rPr>
              <w:t xml:space="preserve"> </w:t>
            </w:r>
            <w:r>
              <w:rPr>
                <w:rFonts w:ascii="Arial"/>
                <w:spacing w:val="-1"/>
              </w:rPr>
              <w:t>Charges</w:t>
            </w:r>
            <w:r>
              <w:rPr>
                <w:rFonts w:ascii="Arial"/>
                <w:spacing w:val="1"/>
              </w:rPr>
              <w:t xml:space="preserve"> </w:t>
            </w:r>
            <w:r>
              <w:rPr>
                <w:rFonts w:ascii="Arial"/>
                <w:spacing w:val="-1"/>
              </w:rPr>
              <w:t>forecast</w:t>
            </w:r>
            <w:r>
              <w:rPr>
                <w:rFonts w:ascii="Arial"/>
                <w:spacing w:val="2"/>
              </w:rPr>
              <w:t xml:space="preserve"> </w:t>
            </w:r>
            <w:r>
              <w:rPr>
                <w:rFonts w:ascii="Arial"/>
                <w:spacing w:val="-1"/>
              </w:rPr>
              <w:t>to</w:t>
            </w:r>
            <w:r>
              <w:rPr>
                <w:rFonts w:ascii="Arial"/>
                <w:spacing w:val="3"/>
              </w:rPr>
              <w:t xml:space="preserve"> </w:t>
            </w:r>
            <w:r>
              <w:rPr>
                <w:rFonts w:ascii="Arial"/>
                <w:spacing w:val="-1"/>
              </w:rPr>
              <w:t>be</w:t>
            </w:r>
            <w:r>
              <w:rPr>
                <w:rFonts w:ascii="Arial"/>
                <w:spacing w:val="3"/>
              </w:rPr>
              <w:t xml:space="preserve"> </w:t>
            </w:r>
            <w:r>
              <w:rPr>
                <w:rFonts w:ascii="Arial"/>
                <w:spacing w:val="-1"/>
              </w:rPr>
              <w:t>paid</w:t>
            </w:r>
            <w:r>
              <w:rPr>
                <w:rFonts w:ascii="Arial"/>
                <w:spacing w:val="45"/>
              </w:rPr>
              <w:t xml:space="preserve"> </w:t>
            </w:r>
            <w:r>
              <w:rPr>
                <w:rFonts w:ascii="Arial"/>
                <w:spacing w:val="-1"/>
              </w:rPr>
              <w:t>during</w:t>
            </w:r>
            <w:r>
              <w:rPr>
                <w:rFonts w:ascii="Arial"/>
                <w:spacing w:val="39"/>
              </w:rPr>
              <w:t xml:space="preserve"> </w:t>
            </w:r>
            <w:r>
              <w:rPr>
                <w:rFonts w:ascii="Arial"/>
              </w:rPr>
              <w:t>the</w:t>
            </w:r>
            <w:r>
              <w:rPr>
                <w:rFonts w:ascii="Arial"/>
                <w:spacing w:val="38"/>
              </w:rPr>
              <w:t xml:space="preserve"> </w:t>
            </w:r>
            <w:r>
              <w:rPr>
                <w:rFonts w:ascii="Arial"/>
                <w:spacing w:val="-1"/>
              </w:rPr>
              <w:t>remainder</w:t>
            </w:r>
            <w:r>
              <w:rPr>
                <w:rFonts w:ascii="Arial"/>
                <w:spacing w:val="40"/>
              </w:rPr>
              <w:t xml:space="preserve"> </w:t>
            </w:r>
            <w:r>
              <w:rPr>
                <w:rFonts w:ascii="Arial"/>
                <w:spacing w:val="-2"/>
              </w:rPr>
              <w:t>of</w:t>
            </w:r>
            <w:r>
              <w:rPr>
                <w:rFonts w:ascii="Arial"/>
                <w:spacing w:val="40"/>
              </w:rPr>
              <w:t xml:space="preserve"> </w:t>
            </w:r>
            <w:r>
              <w:rPr>
                <w:rFonts w:ascii="Arial"/>
                <w:spacing w:val="-1"/>
              </w:rPr>
              <w:t>this</w:t>
            </w:r>
            <w:r>
              <w:rPr>
                <w:rFonts w:ascii="Arial"/>
                <w:spacing w:val="39"/>
              </w:rPr>
              <w:t xml:space="preserve"> </w:t>
            </w:r>
            <w:r>
              <w:rPr>
                <w:rFonts w:ascii="Arial"/>
                <w:spacing w:val="-2"/>
              </w:rPr>
              <w:t>Call</w:t>
            </w:r>
            <w:r>
              <w:rPr>
                <w:rFonts w:ascii="Arial"/>
                <w:spacing w:val="38"/>
              </w:rPr>
              <w:t xml:space="preserve"> </w:t>
            </w:r>
            <w:r>
              <w:rPr>
                <w:rFonts w:ascii="Arial"/>
                <w:spacing w:val="-1"/>
              </w:rPr>
              <w:t>Off</w:t>
            </w:r>
            <w:r>
              <w:rPr>
                <w:rFonts w:ascii="Arial"/>
                <w:spacing w:val="43"/>
              </w:rPr>
              <w:t xml:space="preserve"> </w:t>
            </w:r>
            <w:r>
              <w:rPr>
                <w:rFonts w:ascii="Arial"/>
                <w:spacing w:val="-1"/>
              </w:rPr>
              <w:t>Contract,</w:t>
            </w:r>
            <w:r>
              <w:rPr>
                <w:rFonts w:ascii="Arial"/>
                <w:spacing w:val="38"/>
              </w:rPr>
              <w:t xml:space="preserve"> </w:t>
            </w:r>
            <w:r>
              <w:rPr>
                <w:rFonts w:ascii="Arial"/>
                <w:spacing w:val="-2"/>
              </w:rPr>
              <w:t>including</w:t>
            </w:r>
            <w:r>
              <w:rPr>
                <w:rFonts w:ascii="Arial"/>
                <w:spacing w:val="32"/>
              </w:rPr>
              <w:t xml:space="preserve"> </w:t>
            </w:r>
            <w:r>
              <w:rPr>
                <w:rFonts w:ascii="Arial"/>
                <w:spacing w:val="-1"/>
              </w:rPr>
              <w:t>details</w:t>
            </w:r>
            <w:r>
              <w:rPr>
                <w:rFonts w:ascii="Arial"/>
                <w:spacing w:val="1"/>
              </w:rPr>
              <w:t xml:space="preserve"> </w:t>
            </w:r>
            <w:r>
              <w:rPr>
                <w:rFonts w:ascii="Arial"/>
                <w:spacing w:val="-1"/>
              </w:rPr>
              <w:t>and</w:t>
            </w:r>
            <w:r>
              <w:rPr>
                <w:rFonts w:ascii="Arial"/>
              </w:rPr>
              <w:t xml:space="preserve"> </w:t>
            </w:r>
            <w:r>
              <w:rPr>
                <w:rFonts w:ascii="Arial"/>
                <w:spacing w:val="-1"/>
              </w:rPr>
              <w:t>all</w:t>
            </w:r>
            <w:r>
              <w:rPr>
                <w:rFonts w:ascii="Arial"/>
              </w:rPr>
              <w:t xml:space="preserve"> </w:t>
            </w:r>
            <w:r>
              <w:rPr>
                <w:rFonts w:ascii="Arial"/>
                <w:spacing w:val="-1"/>
              </w:rPr>
              <w:t>assumptions</w:t>
            </w:r>
            <w:r>
              <w:rPr>
                <w:rFonts w:ascii="Arial"/>
                <w:spacing w:val="1"/>
              </w:rPr>
              <w:t xml:space="preserve"> </w:t>
            </w:r>
            <w:r>
              <w:rPr>
                <w:rFonts w:ascii="Arial"/>
                <w:spacing w:val="-1"/>
              </w:rPr>
              <w:t>relating</w:t>
            </w:r>
            <w:r>
              <w:rPr>
                <w:rFonts w:ascii="Arial"/>
              </w:rPr>
              <w:t xml:space="preserve"> </w:t>
            </w:r>
            <w:r>
              <w:rPr>
                <w:rFonts w:ascii="Arial"/>
                <w:spacing w:val="-1"/>
              </w:rPr>
              <w:t>to:</w:t>
            </w:r>
          </w:p>
          <w:p w:rsidR="008918FA" w:rsidRDefault="008918FA" w:rsidP="005D2B81">
            <w:pPr>
              <w:pStyle w:val="ListParagraph"/>
              <w:numPr>
                <w:ilvl w:val="0"/>
                <w:numId w:val="40"/>
              </w:numPr>
              <w:tabs>
                <w:tab w:val="left" w:pos="820"/>
              </w:tabs>
              <w:spacing w:before="119"/>
              <w:ind w:right="99" w:hanging="544"/>
              <w:jc w:val="both"/>
              <w:rPr>
                <w:rFonts w:ascii="Arial" w:eastAsia="Arial" w:hAnsi="Arial" w:cs="Arial"/>
              </w:rPr>
            </w:pPr>
            <w:r>
              <w:rPr>
                <w:rFonts w:ascii="Arial" w:eastAsia="Arial" w:hAnsi="Arial" w:cs="Arial"/>
                <w:spacing w:val="-2"/>
              </w:rPr>
              <w:t>the</w:t>
            </w:r>
            <w:r>
              <w:rPr>
                <w:rFonts w:ascii="Arial" w:eastAsia="Arial" w:hAnsi="Arial" w:cs="Arial"/>
              </w:rPr>
              <w:t xml:space="preserve"> </w:t>
            </w:r>
            <w:r>
              <w:rPr>
                <w:rFonts w:ascii="Arial" w:eastAsia="Arial" w:hAnsi="Arial" w:cs="Arial"/>
                <w:spacing w:val="-3"/>
              </w:rPr>
              <w:t>Supplier’s</w:t>
            </w:r>
            <w:r>
              <w:rPr>
                <w:rFonts w:ascii="Arial" w:eastAsia="Arial" w:hAnsi="Arial" w:cs="Arial"/>
                <w:spacing w:val="1"/>
              </w:rPr>
              <w:t xml:space="preserve"> </w:t>
            </w:r>
            <w:r>
              <w:rPr>
                <w:rFonts w:ascii="Arial" w:eastAsia="Arial" w:hAnsi="Arial" w:cs="Arial"/>
                <w:spacing w:val="-2"/>
              </w:rPr>
              <w:t>Costs</w:t>
            </w:r>
            <w:r>
              <w:rPr>
                <w:rFonts w:ascii="Arial" w:eastAsia="Arial" w:hAnsi="Arial" w:cs="Arial"/>
                <w:spacing w:val="1"/>
              </w:rPr>
              <w:t xml:space="preserve"> </w:t>
            </w:r>
            <w:r>
              <w:rPr>
                <w:rFonts w:ascii="Arial" w:eastAsia="Arial" w:hAnsi="Arial" w:cs="Arial"/>
                <w:spacing w:val="-3"/>
              </w:rPr>
              <w:t>broken</w:t>
            </w:r>
            <w:r>
              <w:rPr>
                <w:rFonts w:ascii="Arial" w:eastAsia="Arial" w:hAnsi="Arial" w:cs="Arial"/>
              </w:rPr>
              <w:t xml:space="preserve"> </w:t>
            </w:r>
            <w:r>
              <w:rPr>
                <w:rFonts w:ascii="Arial" w:eastAsia="Arial" w:hAnsi="Arial" w:cs="Arial"/>
                <w:spacing w:val="-3"/>
              </w:rPr>
              <w:t>down</w:t>
            </w:r>
            <w:r>
              <w:rPr>
                <w:rFonts w:ascii="Arial" w:eastAsia="Arial" w:hAnsi="Arial" w:cs="Arial"/>
              </w:rPr>
              <w:t xml:space="preserve"> </w:t>
            </w:r>
            <w:r>
              <w:rPr>
                <w:rFonts w:ascii="Arial" w:eastAsia="Arial" w:hAnsi="Arial" w:cs="Arial"/>
                <w:spacing w:val="-3"/>
              </w:rPr>
              <w:t>against</w:t>
            </w:r>
            <w:r>
              <w:rPr>
                <w:rFonts w:ascii="Arial" w:eastAsia="Arial" w:hAnsi="Arial" w:cs="Arial"/>
                <w:spacing w:val="2"/>
              </w:rPr>
              <w:t xml:space="preserve"> </w:t>
            </w:r>
            <w:r>
              <w:rPr>
                <w:rFonts w:ascii="Arial" w:eastAsia="Arial" w:hAnsi="Arial" w:cs="Arial"/>
                <w:spacing w:val="-3"/>
              </w:rPr>
              <w:t>each</w:t>
            </w:r>
            <w:r>
              <w:rPr>
                <w:rFonts w:ascii="Arial" w:eastAsia="Arial" w:hAnsi="Arial" w:cs="Arial"/>
              </w:rPr>
              <w:t xml:space="preserve"> </w:t>
            </w:r>
            <w:r>
              <w:rPr>
                <w:rFonts w:ascii="Arial" w:eastAsia="Arial" w:hAnsi="Arial" w:cs="Arial"/>
                <w:spacing w:val="-2"/>
              </w:rPr>
              <w:t>Good</w:t>
            </w:r>
            <w:r>
              <w:rPr>
                <w:rFonts w:ascii="Arial" w:eastAsia="Arial" w:hAnsi="Arial" w:cs="Arial"/>
                <w:spacing w:val="30"/>
              </w:rPr>
              <w:t xml:space="preserve"> </w:t>
            </w:r>
            <w:r>
              <w:rPr>
                <w:rFonts w:ascii="Arial" w:eastAsia="Arial" w:hAnsi="Arial" w:cs="Arial"/>
                <w:spacing w:val="-3"/>
              </w:rPr>
              <w:t>and/or</w:t>
            </w:r>
            <w:r>
              <w:rPr>
                <w:rFonts w:ascii="Arial" w:eastAsia="Arial" w:hAnsi="Arial" w:cs="Arial"/>
                <w:spacing w:val="57"/>
              </w:rPr>
              <w:t xml:space="preserve"> </w:t>
            </w:r>
            <w:r>
              <w:rPr>
                <w:rFonts w:ascii="Arial" w:eastAsia="Arial" w:hAnsi="Arial" w:cs="Arial"/>
                <w:spacing w:val="-3"/>
              </w:rPr>
              <w:t>Service</w:t>
            </w:r>
            <w:r>
              <w:rPr>
                <w:rFonts w:ascii="Arial" w:eastAsia="Arial" w:hAnsi="Arial" w:cs="Arial"/>
                <w:spacing w:val="58"/>
              </w:rPr>
              <w:t xml:space="preserve"> </w:t>
            </w:r>
            <w:r>
              <w:rPr>
                <w:rFonts w:ascii="Arial" w:eastAsia="Arial" w:hAnsi="Arial" w:cs="Arial"/>
                <w:spacing w:val="-3"/>
              </w:rPr>
              <w:t>and/or</w:t>
            </w:r>
            <w:r>
              <w:rPr>
                <w:rFonts w:ascii="Arial" w:eastAsia="Arial" w:hAnsi="Arial" w:cs="Arial"/>
                <w:spacing w:val="59"/>
              </w:rPr>
              <w:t xml:space="preserve"> </w:t>
            </w:r>
            <w:r>
              <w:rPr>
                <w:rFonts w:ascii="Arial" w:eastAsia="Arial" w:hAnsi="Arial" w:cs="Arial"/>
                <w:spacing w:val="-3"/>
              </w:rPr>
              <w:t>Deliverable,</w:t>
            </w:r>
            <w:r>
              <w:rPr>
                <w:rFonts w:ascii="Arial" w:eastAsia="Arial" w:hAnsi="Arial" w:cs="Arial"/>
                <w:spacing w:val="59"/>
              </w:rPr>
              <w:t xml:space="preserve"> </w:t>
            </w:r>
            <w:r>
              <w:rPr>
                <w:rFonts w:ascii="Arial" w:eastAsia="Arial" w:hAnsi="Arial" w:cs="Arial"/>
                <w:spacing w:val="-3"/>
              </w:rPr>
              <w:t>including</w:t>
            </w:r>
            <w:r>
              <w:rPr>
                <w:rFonts w:ascii="Arial" w:eastAsia="Arial" w:hAnsi="Arial" w:cs="Arial"/>
              </w:rPr>
              <w:t xml:space="preserve">  </w:t>
            </w:r>
            <w:r>
              <w:rPr>
                <w:rFonts w:ascii="Arial" w:eastAsia="Arial" w:hAnsi="Arial" w:cs="Arial"/>
                <w:spacing w:val="-1"/>
              </w:rPr>
              <w:t>actual</w:t>
            </w:r>
            <w:r>
              <w:rPr>
                <w:rFonts w:ascii="Arial" w:eastAsia="Arial" w:hAnsi="Arial" w:cs="Arial"/>
                <w:spacing w:val="38"/>
              </w:rPr>
              <w:t xml:space="preserve"> </w:t>
            </w:r>
            <w:r>
              <w:rPr>
                <w:rFonts w:ascii="Arial" w:eastAsia="Arial" w:hAnsi="Arial" w:cs="Arial"/>
                <w:spacing w:val="-1"/>
              </w:rPr>
              <w:t>capital</w:t>
            </w:r>
            <w:r>
              <w:rPr>
                <w:rFonts w:ascii="Arial" w:eastAsia="Arial" w:hAnsi="Arial" w:cs="Arial"/>
                <w:spacing w:val="13"/>
              </w:rPr>
              <w:t xml:space="preserve"> </w:t>
            </w:r>
            <w:r>
              <w:rPr>
                <w:rFonts w:ascii="Arial" w:eastAsia="Arial" w:hAnsi="Arial" w:cs="Arial"/>
                <w:spacing w:val="-1"/>
              </w:rPr>
              <w:t>expenditure</w:t>
            </w:r>
            <w:r>
              <w:rPr>
                <w:rFonts w:ascii="Arial" w:eastAsia="Arial" w:hAnsi="Arial" w:cs="Arial"/>
                <w:spacing w:val="14"/>
              </w:rPr>
              <w:t xml:space="preserve"> </w:t>
            </w:r>
            <w:r>
              <w:rPr>
                <w:rFonts w:ascii="Arial" w:eastAsia="Arial" w:hAnsi="Arial" w:cs="Arial"/>
                <w:spacing w:val="-1"/>
              </w:rPr>
              <w:t>(including</w:t>
            </w:r>
            <w:r>
              <w:rPr>
                <w:rFonts w:ascii="Arial" w:eastAsia="Arial" w:hAnsi="Arial" w:cs="Arial"/>
                <w:spacing w:val="16"/>
              </w:rPr>
              <w:t xml:space="preserve"> </w:t>
            </w:r>
            <w:r>
              <w:rPr>
                <w:rFonts w:ascii="Arial" w:eastAsia="Arial" w:hAnsi="Arial" w:cs="Arial"/>
                <w:spacing w:val="-1"/>
              </w:rPr>
              <w:t>capital</w:t>
            </w:r>
            <w:r>
              <w:rPr>
                <w:rFonts w:ascii="Arial" w:eastAsia="Arial" w:hAnsi="Arial" w:cs="Arial"/>
                <w:spacing w:val="13"/>
              </w:rPr>
              <w:t xml:space="preserve"> </w:t>
            </w:r>
            <w:r>
              <w:rPr>
                <w:rFonts w:ascii="Arial" w:eastAsia="Arial" w:hAnsi="Arial" w:cs="Arial"/>
                <w:spacing w:val="-1"/>
              </w:rPr>
              <w:t>replacement</w:t>
            </w:r>
            <w:r>
              <w:rPr>
                <w:rFonts w:ascii="Arial" w:eastAsia="Arial" w:hAnsi="Arial" w:cs="Arial"/>
                <w:spacing w:val="27"/>
              </w:rPr>
              <w:t xml:space="preserve"> </w:t>
            </w:r>
            <w:r>
              <w:rPr>
                <w:rFonts w:ascii="Arial" w:eastAsia="Arial" w:hAnsi="Arial" w:cs="Arial"/>
                <w:spacing w:val="-1"/>
              </w:rPr>
              <w:t>costs);</w:t>
            </w:r>
          </w:p>
          <w:p w:rsidR="008918FA" w:rsidRDefault="008918FA" w:rsidP="005D2B81">
            <w:pPr>
              <w:pStyle w:val="ListParagraph"/>
              <w:numPr>
                <w:ilvl w:val="0"/>
                <w:numId w:val="40"/>
              </w:numPr>
              <w:tabs>
                <w:tab w:val="left" w:pos="820"/>
              </w:tabs>
              <w:spacing w:before="119"/>
              <w:ind w:right="101" w:hanging="544"/>
              <w:jc w:val="both"/>
              <w:rPr>
                <w:rFonts w:ascii="Arial" w:eastAsia="Arial" w:hAnsi="Arial" w:cs="Arial"/>
              </w:rPr>
            </w:pPr>
            <w:r>
              <w:rPr>
                <w:rFonts w:ascii="Arial"/>
                <w:spacing w:val="-1"/>
              </w:rPr>
              <w:t>operating</w:t>
            </w:r>
            <w:r>
              <w:rPr>
                <w:rFonts w:ascii="Arial"/>
                <w:spacing w:val="7"/>
              </w:rPr>
              <w:t xml:space="preserve"> </w:t>
            </w:r>
            <w:r>
              <w:rPr>
                <w:rFonts w:ascii="Arial"/>
                <w:spacing w:val="-1"/>
              </w:rPr>
              <w:t>expenditure</w:t>
            </w:r>
            <w:r>
              <w:rPr>
                <w:rFonts w:ascii="Arial"/>
                <w:spacing w:val="5"/>
              </w:rPr>
              <w:t xml:space="preserve"> </w:t>
            </w:r>
            <w:r>
              <w:rPr>
                <w:rFonts w:ascii="Arial"/>
                <w:spacing w:val="-1"/>
              </w:rPr>
              <w:t>relating</w:t>
            </w:r>
            <w:r>
              <w:rPr>
                <w:rFonts w:ascii="Arial"/>
                <w:spacing w:val="7"/>
              </w:rPr>
              <w:t xml:space="preserve"> </w:t>
            </w:r>
            <w:r>
              <w:rPr>
                <w:rFonts w:ascii="Arial"/>
              </w:rPr>
              <w:t>to</w:t>
            </w:r>
            <w:r>
              <w:rPr>
                <w:rFonts w:ascii="Arial"/>
                <w:spacing w:val="3"/>
              </w:rPr>
              <w:t xml:space="preserve"> </w:t>
            </w:r>
            <w:r>
              <w:rPr>
                <w:rFonts w:ascii="Arial"/>
              </w:rPr>
              <w:t>the</w:t>
            </w:r>
            <w:r>
              <w:rPr>
                <w:rFonts w:ascii="Arial"/>
                <w:spacing w:val="5"/>
              </w:rPr>
              <w:t xml:space="preserve"> </w:t>
            </w:r>
            <w:r>
              <w:rPr>
                <w:rFonts w:ascii="Arial"/>
                <w:spacing w:val="-2"/>
              </w:rPr>
              <w:t>provision</w:t>
            </w:r>
            <w:r>
              <w:rPr>
                <w:rFonts w:ascii="Arial"/>
                <w:spacing w:val="5"/>
              </w:rPr>
              <w:t xml:space="preserve"> </w:t>
            </w:r>
            <w:r>
              <w:rPr>
                <w:rFonts w:ascii="Arial"/>
                <w:spacing w:val="-1"/>
              </w:rPr>
              <w:t>of</w:t>
            </w:r>
            <w:r>
              <w:rPr>
                <w:rFonts w:ascii="Arial"/>
                <w:spacing w:val="9"/>
              </w:rPr>
              <w:t xml:space="preserve"> </w:t>
            </w:r>
            <w:r>
              <w:rPr>
                <w:rFonts w:ascii="Arial"/>
                <w:spacing w:val="-2"/>
              </w:rPr>
              <w:t>the</w:t>
            </w:r>
            <w:r>
              <w:rPr>
                <w:rFonts w:ascii="Arial"/>
                <w:spacing w:val="32"/>
              </w:rPr>
              <w:t xml:space="preserve"> </w:t>
            </w:r>
            <w:r>
              <w:rPr>
                <w:rFonts w:ascii="Arial"/>
                <w:spacing w:val="-1"/>
              </w:rPr>
              <w:t>Goods</w:t>
            </w:r>
            <w:r>
              <w:rPr>
                <w:rFonts w:ascii="Arial"/>
                <w:spacing w:val="37"/>
              </w:rPr>
              <w:t xml:space="preserve"> </w:t>
            </w:r>
            <w:r>
              <w:rPr>
                <w:rFonts w:ascii="Arial"/>
                <w:spacing w:val="-1"/>
              </w:rPr>
              <w:t>and/or</w:t>
            </w:r>
            <w:r>
              <w:rPr>
                <w:rFonts w:ascii="Arial"/>
                <w:spacing w:val="35"/>
              </w:rPr>
              <w:t xml:space="preserve"> </w:t>
            </w:r>
            <w:r>
              <w:rPr>
                <w:rFonts w:ascii="Arial"/>
                <w:spacing w:val="-1"/>
              </w:rPr>
              <w:t>Services</w:t>
            </w:r>
            <w:r>
              <w:rPr>
                <w:rFonts w:ascii="Arial"/>
                <w:spacing w:val="37"/>
              </w:rPr>
              <w:t xml:space="preserve"> </w:t>
            </w:r>
            <w:r>
              <w:rPr>
                <w:rFonts w:ascii="Arial"/>
                <w:spacing w:val="-2"/>
              </w:rPr>
              <w:t>including</w:t>
            </w:r>
            <w:r>
              <w:rPr>
                <w:rFonts w:ascii="Arial"/>
                <w:spacing w:val="39"/>
              </w:rPr>
              <w:t xml:space="preserve"> </w:t>
            </w:r>
            <w:r>
              <w:rPr>
                <w:rFonts w:ascii="Arial"/>
                <w:spacing w:val="-1"/>
              </w:rPr>
              <w:t>an</w:t>
            </w:r>
            <w:r>
              <w:rPr>
                <w:rFonts w:ascii="Arial"/>
                <w:spacing w:val="36"/>
              </w:rPr>
              <w:t xml:space="preserve"> </w:t>
            </w:r>
            <w:r>
              <w:rPr>
                <w:rFonts w:ascii="Arial"/>
                <w:spacing w:val="-2"/>
              </w:rPr>
              <w:t>analysis</w:t>
            </w:r>
            <w:r>
              <w:rPr>
                <w:rFonts w:ascii="Arial"/>
                <w:spacing w:val="41"/>
              </w:rPr>
              <w:t xml:space="preserve"> </w:t>
            </w:r>
            <w:r>
              <w:rPr>
                <w:rFonts w:ascii="Arial"/>
                <w:spacing w:val="-1"/>
              </w:rPr>
              <w:t>showing:</w:t>
            </w:r>
          </w:p>
          <w:p w:rsidR="008918FA" w:rsidRDefault="008918FA" w:rsidP="005D2B81">
            <w:pPr>
              <w:pStyle w:val="ListParagraph"/>
              <w:numPr>
                <w:ilvl w:val="1"/>
                <w:numId w:val="40"/>
              </w:numPr>
              <w:tabs>
                <w:tab w:val="left" w:pos="1180"/>
              </w:tabs>
              <w:spacing w:before="119"/>
              <w:ind w:right="99"/>
              <w:jc w:val="both"/>
              <w:rPr>
                <w:rFonts w:ascii="Arial" w:eastAsia="Arial" w:hAnsi="Arial" w:cs="Arial"/>
              </w:rPr>
            </w:pPr>
            <w:r>
              <w:rPr>
                <w:rFonts w:ascii="Arial"/>
              </w:rPr>
              <w:t>the</w:t>
            </w:r>
            <w:r>
              <w:rPr>
                <w:rFonts w:ascii="Arial"/>
                <w:spacing w:val="51"/>
              </w:rPr>
              <w:t xml:space="preserve"> </w:t>
            </w:r>
            <w:r>
              <w:rPr>
                <w:rFonts w:ascii="Arial"/>
                <w:spacing w:val="-1"/>
              </w:rPr>
              <w:t>unit</w:t>
            </w:r>
            <w:r>
              <w:rPr>
                <w:rFonts w:ascii="Arial"/>
                <w:spacing w:val="52"/>
              </w:rPr>
              <w:t xml:space="preserve"> </w:t>
            </w:r>
            <w:r>
              <w:rPr>
                <w:rFonts w:ascii="Arial"/>
                <w:spacing w:val="-1"/>
              </w:rPr>
              <w:t>costs</w:t>
            </w:r>
            <w:r>
              <w:rPr>
                <w:rFonts w:ascii="Arial"/>
                <w:spacing w:val="51"/>
              </w:rPr>
              <w:t xml:space="preserve"> </w:t>
            </w:r>
            <w:r>
              <w:rPr>
                <w:rFonts w:ascii="Arial"/>
                <w:spacing w:val="-1"/>
              </w:rPr>
              <w:t>and</w:t>
            </w:r>
            <w:r>
              <w:rPr>
                <w:rFonts w:ascii="Arial"/>
                <w:spacing w:val="46"/>
              </w:rPr>
              <w:t xml:space="preserve"> </w:t>
            </w:r>
            <w:r>
              <w:rPr>
                <w:rFonts w:ascii="Arial"/>
                <w:spacing w:val="-1"/>
              </w:rPr>
              <w:t>quantity</w:t>
            </w:r>
            <w:r>
              <w:rPr>
                <w:rFonts w:ascii="Arial"/>
                <w:spacing w:val="49"/>
              </w:rPr>
              <w:t xml:space="preserve"> </w:t>
            </w:r>
            <w:r>
              <w:rPr>
                <w:rFonts w:ascii="Arial"/>
                <w:spacing w:val="-2"/>
              </w:rPr>
              <w:t>of</w:t>
            </w:r>
            <w:r>
              <w:rPr>
                <w:rFonts w:ascii="Arial"/>
                <w:spacing w:val="54"/>
              </w:rPr>
              <w:t xml:space="preserve"> </w:t>
            </w:r>
            <w:r>
              <w:rPr>
                <w:rFonts w:ascii="Arial"/>
                <w:spacing w:val="-1"/>
              </w:rPr>
              <w:t>Goods</w:t>
            </w:r>
            <w:r>
              <w:rPr>
                <w:rFonts w:ascii="Arial"/>
                <w:spacing w:val="52"/>
              </w:rPr>
              <w:t xml:space="preserve"> </w:t>
            </w:r>
            <w:r>
              <w:rPr>
                <w:rFonts w:ascii="Arial"/>
                <w:spacing w:val="-1"/>
              </w:rPr>
              <w:t>and</w:t>
            </w:r>
            <w:r>
              <w:rPr>
                <w:rFonts w:ascii="Arial"/>
                <w:spacing w:val="51"/>
              </w:rPr>
              <w:t xml:space="preserve"> </w:t>
            </w:r>
            <w:r>
              <w:rPr>
                <w:rFonts w:ascii="Arial"/>
                <w:spacing w:val="-1"/>
              </w:rPr>
              <w:t>any</w:t>
            </w:r>
            <w:r>
              <w:rPr>
                <w:rFonts w:ascii="Arial"/>
                <w:spacing w:val="22"/>
              </w:rPr>
              <w:t xml:space="preserve"> </w:t>
            </w:r>
            <w:r>
              <w:rPr>
                <w:rFonts w:ascii="Arial"/>
                <w:spacing w:val="-1"/>
              </w:rPr>
              <w:t>other consumables</w:t>
            </w:r>
            <w:r>
              <w:rPr>
                <w:rFonts w:ascii="Arial"/>
                <w:spacing w:val="1"/>
              </w:rPr>
              <w:t xml:space="preserve"> </w:t>
            </w:r>
            <w:r>
              <w:rPr>
                <w:rFonts w:ascii="Arial"/>
                <w:spacing w:val="-1"/>
              </w:rPr>
              <w:t>and</w:t>
            </w:r>
            <w:r>
              <w:rPr>
                <w:rFonts w:ascii="Arial"/>
                <w:spacing w:val="-4"/>
              </w:rPr>
              <w:t xml:space="preserve"> </w:t>
            </w:r>
            <w:r>
              <w:rPr>
                <w:rFonts w:ascii="Arial"/>
                <w:spacing w:val="-1"/>
              </w:rPr>
              <w:t>bought-in</w:t>
            </w:r>
            <w:r>
              <w:rPr>
                <w:rFonts w:ascii="Arial"/>
              </w:rPr>
              <w:t xml:space="preserve"> </w:t>
            </w:r>
            <w:r>
              <w:rPr>
                <w:rFonts w:ascii="Arial"/>
                <w:spacing w:val="-1"/>
              </w:rPr>
              <w:t>services;</w:t>
            </w:r>
          </w:p>
          <w:p w:rsidR="008918FA" w:rsidRDefault="008918FA" w:rsidP="005D2B81">
            <w:pPr>
              <w:pStyle w:val="ListParagraph"/>
              <w:numPr>
                <w:ilvl w:val="1"/>
                <w:numId w:val="40"/>
              </w:numPr>
              <w:tabs>
                <w:tab w:val="left" w:pos="1180"/>
              </w:tabs>
              <w:spacing w:before="119"/>
              <w:ind w:right="101"/>
              <w:jc w:val="both"/>
              <w:rPr>
                <w:rFonts w:ascii="Arial" w:eastAsia="Arial" w:hAnsi="Arial" w:cs="Arial"/>
              </w:rPr>
            </w:pPr>
            <w:r>
              <w:rPr>
                <w:rFonts w:ascii="Arial"/>
                <w:spacing w:val="-2"/>
              </w:rPr>
              <w:t>manpower</w:t>
            </w:r>
            <w:r>
              <w:rPr>
                <w:rFonts w:ascii="Arial"/>
                <w:spacing w:val="60"/>
              </w:rPr>
              <w:t xml:space="preserve"> </w:t>
            </w:r>
            <w:r>
              <w:rPr>
                <w:rFonts w:ascii="Arial"/>
                <w:spacing w:val="-1"/>
              </w:rPr>
              <w:t>resources</w:t>
            </w:r>
            <w:r>
              <w:rPr>
                <w:rFonts w:ascii="Arial"/>
                <w:spacing w:val="55"/>
              </w:rPr>
              <w:t xml:space="preserve"> </w:t>
            </w:r>
            <w:r>
              <w:rPr>
                <w:rFonts w:ascii="Arial"/>
                <w:spacing w:val="-1"/>
              </w:rPr>
              <w:t>broken</w:t>
            </w:r>
            <w:r>
              <w:rPr>
                <w:rFonts w:ascii="Arial"/>
                <w:spacing w:val="59"/>
              </w:rPr>
              <w:t xml:space="preserve"> </w:t>
            </w:r>
            <w:r>
              <w:rPr>
                <w:rFonts w:ascii="Arial"/>
                <w:spacing w:val="-2"/>
              </w:rPr>
              <w:t>down</w:t>
            </w:r>
            <w:r>
              <w:rPr>
                <w:rFonts w:ascii="Arial"/>
                <w:spacing w:val="59"/>
              </w:rPr>
              <w:t xml:space="preserve"> </w:t>
            </w:r>
            <w:r>
              <w:rPr>
                <w:rFonts w:ascii="Arial"/>
                <w:spacing w:val="-1"/>
              </w:rPr>
              <w:t>into</w:t>
            </w:r>
            <w:r>
              <w:rPr>
                <w:rFonts w:ascii="Arial"/>
                <w:spacing w:val="59"/>
              </w:rPr>
              <w:t xml:space="preserve"> </w:t>
            </w:r>
            <w:r>
              <w:rPr>
                <w:rFonts w:ascii="Arial"/>
                <w:spacing w:val="-1"/>
              </w:rPr>
              <w:t>the</w:t>
            </w:r>
            <w:r>
              <w:rPr>
                <w:rFonts w:ascii="Arial"/>
                <w:spacing w:val="42"/>
              </w:rPr>
              <w:t xml:space="preserve"> </w:t>
            </w:r>
            <w:r>
              <w:rPr>
                <w:rFonts w:ascii="Arial"/>
                <w:spacing w:val="-1"/>
              </w:rPr>
              <w:t>number</w:t>
            </w:r>
            <w:r>
              <w:rPr>
                <w:rFonts w:ascii="Arial"/>
                <w:spacing w:val="16"/>
              </w:rPr>
              <w:t xml:space="preserve"> </w:t>
            </w:r>
            <w:r>
              <w:rPr>
                <w:rFonts w:ascii="Arial"/>
                <w:spacing w:val="-1"/>
              </w:rPr>
              <w:t>and</w:t>
            </w:r>
            <w:r>
              <w:rPr>
                <w:rFonts w:ascii="Arial"/>
                <w:spacing w:val="12"/>
              </w:rPr>
              <w:t xml:space="preserve"> </w:t>
            </w:r>
            <w:r>
              <w:rPr>
                <w:rFonts w:ascii="Arial"/>
                <w:spacing w:val="-1"/>
              </w:rPr>
              <w:t>grade/role</w:t>
            </w:r>
            <w:r>
              <w:rPr>
                <w:rFonts w:ascii="Arial"/>
                <w:spacing w:val="15"/>
              </w:rPr>
              <w:t xml:space="preserve"> </w:t>
            </w:r>
            <w:r>
              <w:rPr>
                <w:rFonts w:ascii="Arial"/>
                <w:spacing w:val="-2"/>
              </w:rPr>
              <w:t>of</w:t>
            </w:r>
            <w:r>
              <w:rPr>
                <w:rFonts w:ascii="Arial"/>
                <w:spacing w:val="16"/>
              </w:rPr>
              <w:t xml:space="preserve"> </w:t>
            </w:r>
            <w:r>
              <w:rPr>
                <w:rFonts w:ascii="Arial"/>
                <w:spacing w:val="-1"/>
              </w:rPr>
              <w:t>all</w:t>
            </w:r>
            <w:r>
              <w:rPr>
                <w:rFonts w:ascii="Arial"/>
                <w:spacing w:val="14"/>
              </w:rPr>
              <w:t xml:space="preserve"> </w:t>
            </w:r>
            <w:r>
              <w:rPr>
                <w:rFonts w:ascii="Arial"/>
                <w:spacing w:val="-2"/>
              </w:rPr>
              <w:t>Supplier</w:t>
            </w:r>
            <w:r>
              <w:rPr>
                <w:rFonts w:ascii="Arial"/>
                <w:spacing w:val="16"/>
              </w:rPr>
              <w:t xml:space="preserve"> </w:t>
            </w:r>
            <w:r>
              <w:rPr>
                <w:rFonts w:ascii="Arial"/>
                <w:spacing w:val="-1"/>
              </w:rPr>
              <w:t>Personnel</w:t>
            </w:r>
            <w:r>
              <w:rPr>
                <w:rFonts w:ascii="Arial"/>
                <w:spacing w:val="30"/>
              </w:rPr>
              <w:t xml:space="preserve"> </w:t>
            </w:r>
            <w:r>
              <w:rPr>
                <w:rFonts w:ascii="Arial"/>
                <w:spacing w:val="-1"/>
              </w:rPr>
              <w:t>(free</w:t>
            </w:r>
            <w:r>
              <w:rPr>
                <w:rFonts w:ascii="Arial"/>
                <w:spacing w:val="31"/>
              </w:rPr>
              <w:t xml:space="preserve"> </w:t>
            </w:r>
            <w:r>
              <w:rPr>
                <w:rFonts w:ascii="Arial"/>
                <w:spacing w:val="-2"/>
              </w:rPr>
              <w:t>of</w:t>
            </w:r>
            <w:r>
              <w:rPr>
                <w:rFonts w:ascii="Arial"/>
                <w:spacing w:val="35"/>
              </w:rPr>
              <w:t xml:space="preserve"> </w:t>
            </w:r>
            <w:r>
              <w:rPr>
                <w:rFonts w:ascii="Arial"/>
                <w:spacing w:val="-1"/>
              </w:rPr>
              <w:t>any</w:t>
            </w:r>
            <w:r>
              <w:rPr>
                <w:rFonts w:ascii="Arial"/>
                <w:spacing w:val="30"/>
              </w:rPr>
              <w:t xml:space="preserve"> </w:t>
            </w:r>
            <w:r>
              <w:rPr>
                <w:rFonts w:ascii="Arial"/>
                <w:spacing w:val="-1"/>
              </w:rPr>
              <w:t>contingency)</w:t>
            </w:r>
            <w:r>
              <w:rPr>
                <w:rFonts w:ascii="Arial"/>
                <w:spacing w:val="33"/>
              </w:rPr>
              <w:t xml:space="preserve"> </w:t>
            </w:r>
            <w:r>
              <w:rPr>
                <w:rFonts w:ascii="Arial"/>
                <w:spacing w:val="-1"/>
              </w:rPr>
              <w:t>together</w:t>
            </w:r>
            <w:r>
              <w:rPr>
                <w:rFonts w:ascii="Arial"/>
                <w:spacing w:val="33"/>
              </w:rPr>
              <w:t xml:space="preserve"> </w:t>
            </w:r>
            <w:r>
              <w:rPr>
                <w:rFonts w:ascii="Arial"/>
                <w:spacing w:val="-2"/>
              </w:rPr>
              <w:t>with</w:t>
            </w:r>
            <w:r>
              <w:rPr>
                <w:rFonts w:ascii="Arial"/>
                <w:spacing w:val="31"/>
              </w:rPr>
              <w:t xml:space="preserve"> </w:t>
            </w:r>
            <w:r>
              <w:rPr>
                <w:rFonts w:ascii="Arial"/>
              </w:rPr>
              <w:t>a</w:t>
            </w:r>
            <w:r>
              <w:rPr>
                <w:rFonts w:ascii="Arial"/>
                <w:spacing w:val="31"/>
              </w:rPr>
              <w:t xml:space="preserve"> </w:t>
            </w:r>
            <w:r>
              <w:rPr>
                <w:rFonts w:ascii="Arial"/>
                <w:spacing w:val="-1"/>
              </w:rPr>
              <w:t>list</w:t>
            </w:r>
            <w:r>
              <w:rPr>
                <w:rFonts w:ascii="Arial"/>
                <w:spacing w:val="36"/>
              </w:rPr>
              <w:t xml:space="preserve"> </w:t>
            </w:r>
            <w:r>
              <w:rPr>
                <w:rFonts w:ascii="Arial"/>
                <w:spacing w:val="-3"/>
              </w:rPr>
              <w:t>of</w:t>
            </w:r>
            <w:r>
              <w:rPr>
                <w:rFonts w:ascii="Arial"/>
                <w:spacing w:val="36"/>
              </w:rPr>
              <w:t xml:space="preserve"> </w:t>
            </w:r>
            <w:r>
              <w:rPr>
                <w:rFonts w:ascii="Arial"/>
                <w:spacing w:val="-1"/>
              </w:rPr>
              <w:t>agreed</w:t>
            </w:r>
            <w:r>
              <w:rPr>
                <w:rFonts w:ascii="Arial"/>
                <w:spacing w:val="-2"/>
              </w:rPr>
              <w:t xml:space="preserve"> </w:t>
            </w:r>
            <w:r>
              <w:rPr>
                <w:rFonts w:ascii="Arial"/>
                <w:spacing w:val="-1"/>
              </w:rPr>
              <w:t>rates</w:t>
            </w:r>
            <w:r>
              <w:rPr>
                <w:rFonts w:ascii="Arial"/>
                <w:spacing w:val="-2"/>
              </w:rPr>
              <w:t xml:space="preserve"> </w:t>
            </w:r>
            <w:r>
              <w:rPr>
                <w:rFonts w:ascii="Arial"/>
                <w:spacing w:val="-1"/>
              </w:rPr>
              <w:t>against</w:t>
            </w:r>
            <w:r>
              <w:rPr>
                <w:rFonts w:ascii="Arial"/>
              </w:rPr>
              <w:t xml:space="preserve"> </w:t>
            </w:r>
            <w:r>
              <w:rPr>
                <w:rFonts w:ascii="Arial"/>
                <w:spacing w:val="-2"/>
              </w:rPr>
              <w:t>each</w:t>
            </w:r>
            <w:r>
              <w:rPr>
                <w:rFonts w:ascii="Arial"/>
              </w:rPr>
              <w:t xml:space="preserve"> </w:t>
            </w:r>
            <w:r>
              <w:rPr>
                <w:rFonts w:ascii="Arial"/>
                <w:spacing w:val="-2"/>
              </w:rPr>
              <w:t>manpower</w:t>
            </w:r>
            <w:r>
              <w:rPr>
                <w:rFonts w:ascii="Arial"/>
                <w:spacing w:val="-1"/>
              </w:rPr>
              <w:t xml:space="preserve"> grade;</w:t>
            </w:r>
          </w:p>
          <w:p w:rsidR="008918FA" w:rsidRDefault="008918FA" w:rsidP="005D2B81">
            <w:pPr>
              <w:pStyle w:val="ListParagraph"/>
              <w:numPr>
                <w:ilvl w:val="1"/>
                <w:numId w:val="40"/>
              </w:numPr>
              <w:tabs>
                <w:tab w:val="left" w:pos="1180"/>
              </w:tabs>
              <w:spacing w:before="121"/>
              <w:ind w:right="99"/>
              <w:jc w:val="both"/>
              <w:rPr>
                <w:rFonts w:ascii="Arial" w:eastAsia="Arial" w:hAnsi="Arial" w:cs="Arial"/>
              </w:rPr>
            </w:pPr>
            <w:r>
              <w:rPr>
                <w:rFonts w:ascii="Arial" w:eastAsia="Arial" w:hAnsi="Arial" w:cs="Arial"/>
              </w:rPr>
              <w:t>a</w:t>
            </w:r>
            <w:r>
              <w:rPr>
                <w:rFonts w:ascii="Arial" w:eastAsia="Arial" w:hAnsi="Arial" w:cs="Arial"/>
                <w:spacing w:val="12"/>
              </w:rPr>
              <w:t xml:space="preserve"> </w:t>
            </w:r>
            <w:r>
              <w:rPr>
                <w:rFonts w:ascii="Arial" w:eastAsia="Arial" w:hAnsi="Arial" w:cs="Arial"/>
                <w:spacing w:val="-2"/>
              </w:rPr>
              <w:t>list</w:t>
            </w:r>
            <w:r>
              <w:rPr>
                <w:rFonts w:ascii="Arial" w:eastAsia="Arial" w:hAnsi="Arial" w:cs="Arial"/>
                <w:spacing w:val="14"/>
              </w:rPr>
              <w:t xml:space="preserve"> </w:t>
            </w:r>
            <w:r>
              <w:rPr>
                <w:rFonts w:ascii="Arial" w:eastAsia="Arial" w:hAnsi="Arial" w:cs="Arial"/>
                <w:spacing w:val="-2"/>
              </w:rPr>
              <w:t>of</w:t>
            </w:r>
            <w:r>
              <w:rPr>
                <w:rFonts w:ascii="Arial" w:eastAsia="Arial" w:hAnsi="Arial" w:cs="Arial"/>
                <w:spacing w:val="16"/>
              </w:rPr>
              <w:t xml:space="preserve"> </w:t>
            </w:r>
            <w:r>
              <w:rPr>
                <w:rFonts w:ascii="Arial" w:eastAsia="Arial" w:hAnsi="Arial" w:cs="Arial"/>
                <w:spacing w:val="-1"/>
              </w:rPr>
              <w:t>Costs</w:t>
            </w:r>
            <w:r>
              <w:rPr>
                <w:rFonts w:ascii="Arial" w:eastAsia="Arial" w:hAnsi="Arial" w:cs="Arial"/>
                <w:spacing w:val="10"/>
              </w:rPr>
              <w:t xml:space="preserve"> </w:t>
            </w:r>
            <w:r>
              <w:rPr>
                <w:rFonts w:ascii="Arial" w:eastAsia="Arial" w:hAnsi="Arial" w:cs="Arial"/>
                <w:spacing w:val="-2"/>
              </w:rPr>
              <w:t>underpinning</w:t>
            </w:r>
            <w:r>
              <w:rPr>
                <w:rFonts w:ascii="Arial" w:eastAsia="Arial" w:hAnsi="Arial" w:cs="Arial"/>
                <w:spacing w:val="15"/>
              </w:rPr>
              <w:t xml:space="preserve"> </w:t>
            </w:r>
            <w:r>
              <w:rPr>
                <w:rFonts w:ascii="Arial" w:eastAsia="Arial" w:hAnsi="Arial" w:cs="Arial"/>
                <w:spacing w:val="-1"/>
              </w:rPr>
              <w:t>those</w:t>
            </w:r>
            <w:r>
              <w:rPr>
                <w:rFonts w:ascii="Arial" w:eastAsia="Arial" w:hAnsi="Arial" w:cs="Arial"/>
                <w:spacing w:val="10"/>
              </w:rPr>
              <w:t xml:space="preserve"> </w:t>
            </w:r>
            <w:r>
              <w:rPr>
                <w:rFonts w:ascii="Arial" w:eastAsia="Arial" w:hAnsi="Arial" w:cs="Arial"/>
                <w:spacing w:val="-1"/>
              </w:rPr>
              <w:t>rates</w:t>
            </w:r>
            <w:r>
              <w:rPr>
                <w:rFonts w:ascii="Arial" w:eastAsia="Arial" w:hAnsi="Arial" w:cs="Arial"/>
                <w:spacing w:val="10"/>
              </w:rPr>
              <w:t xml:space="preserve"> </w:t>
            </w:r>
            <w:r>
              <w:rPr>
                <w:rFonts w:ascii="Arial" w:eastAsia="Arial" w:hAnsi="Arial" w:cs="Arial"/>
              </w:rPr>
              <w:t>for</w:t>
            </w:r>
            <w:r>
              <w:rPr>
                <w:rFonts w:ascii="Arial" w:eastAsia="Arial" w:hAnsi="Arial" w:cs="Arial"/>
                <w:spacing w:val="14"/>
              </w:rPr>
              <w:t xml:space="preserve"> </w:t>
            </w:r>
            <w:r>
              <w:rPr>
                <w:rFonts w:ascii="Arial" w:eastAsia="Arial" w:hAnsi="Arial" w:cs="Arial"/>
                <w:spacing w:val="-1"/>
              </w:rPr>
              <w:t>each</w:t>
            </w:r>
            <w:r>
              <w:rPr>
                <w:rFonts w:ascii="Arial" w:eastAsia="Arial" w:hAnsi="Arial" w:cs="Arial"/>
                <w:spacing w:val="42"/>
              </w:rPr>
              <w:t xml:space="preserve"> </w:t>
            </w:r>
            <w:r>
              <w:rPr>
                <w:rFonts w:ascii="Arial" w:eastAsia="Arial" w:hAnsi="Arial" w:cs="Arial"/>
                <w:spacing w:val="-2"/>
              </w:rPr>
              <w:t>manpower</w:t>
            </w:r>
            <w:r>
              <w:rPr>
                <w:rFonts w:ascii="Arial" w:eastAsia="Arial" w:hAnsi="Arial" w:cs="Arial"/>
                <w:spacing w:val="11"/>
              </w:rPr>
              <w:t xml:space="preserve"> </w:t>
            </w:r>
            <w:r>
              <w:rPr>
                <w:rFonts w:ascii="Arial" w:eastAsia="Arial" w:hAnsi="Arial" w:cs="Arial"/>
                <w:spacing w:val="-1"/>
              </w:rPr>
              <w:t>grade,</w:t>
            </w:r>
            <w:r>
              <w:rPr>
                <w:rFonts w:ascii="Arial" w:eastAsia="Arial" w:hAnsi="Arial" w:cs="Arial"/>
                <w:spacing w:val="11"/>
              </w:rPr>
              <w:t xml:space="preserve"> </w:t>
            </w:r>
            <w:r>
              <w:rPr>
                <w:rFonts w:ascii="Arial" w:eastAsia="Arial" w:hAnsi="Arial" w:cs="Arial"/>
                <w:spacing w:val="-1"/>
              </w:rPr>
              <w:t>being</w:t>
            </w:r>
            <w:r>
              <w:rPr>
                <w:rFonts w:ascii="Arial" w:eastAsia="Arial" w:hAnsi="Arial" w:cs="Arial"/>
                <w:spacing w:val="10"/>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spacing w:val="-1"/>
              </w:rPr>
              <w:t>agreed</w:t>
            </w:r>
            <w:r>
              <w:rPr>
                <w:rFonts w:ascii="Arial" w:eastAsia="Arial" w:hAnsi="Arial" w:cs="Arial"/>
                <w:spacing w:val="10"/>
              </w:rPr>
              <w:t xml:space="preserve"> </w:t>
            </w:r>
            <w:r>
              <w:rPr>
                <w:rFonts w:ascii="Arial" w:eastAsia="Arial" w:hAnsi="Arial" w:cs="Arial"/>
                <w:spacing w:val="-1"/>
              </w:rPr>
              <w:t>rate</w:t>
            </w:r>
            <w:r>
              <w:rPr>
                <w:rFonts w:ascii="Arial" w:eastAsia="Arial" w:hAnsi="Arial" w:cs="Arial"/>
                <w:spacing w:val="10"/>
              </w:rPr>
              <w:t xml:space="preserve"> </w:t>
            </w:r>
            <w:r>
              <w:rPr>
                <w:rFonts w:ascii="Arial" w:eastAsia="Arial" w:hAnsi="Arial" w:cs="Arial"/>
                <w:spacing w:val="-1"/>
              </w:rPr>
              <w:t>less</w:t>
            </w:r>
            <w:r>
              <w:rPr>
                <w:rFonts w:ascii="Arial" w:eastAsia="Arial" w:hAnsi="Arial" w:cs="Arial"/>
                <w:spacing w:val="11"/>
              </w:rPr>
              <w:t xml:space="preserve"> </w:t>
            </w:r>
            <w:r>
              <w:rPr>
                <w:rFonts w:ascii="Arial" w:eastAsia="Arial" w:hAnsi="Arial" w:cs="Arial"/>
                <w:spacing w:val="-1"/>
              </w:rPr>
              <w:t>the</w:t>
            </w:r>
            <w:r>
              <w:rPr>
                <w:rFonts w:ascii="Arial" w:eastAsia="Arial" w:hAnsi="Arial" w:cs="Arial"/>
                <w:spacing w:val="32"/>
              </w:rPr>
              <w:t xml:space="preserve"> </w:t>
            </w:r>
            <w:r>
              <w:rPr>
                <w:rFonts w:ascii="Arial" w:eastAsia="Arial" w:hAnsi="Arial" w:cs="Arial"/>
                <w:spacing w:val="-2"/>
              </w:rPr>
              <w:t>Supplier’s</w:t>
            </w:r>
            <w:r>
              <w:rPr>
                <w:rFonts w:ascii="Arial" w:eastAsia="Arial" w:hAnsi="Arial" w:cs="Arial"/>
                <w:spacing w:val="1"/>
              </w:rPr>
              <w:t xml:space="preserve"> </w:t>
            </w:r>
            <w:r>
              <w:rPr>
                <w:rFonts w:ascii="Arial" w:eastAsia="Arial" w:hAnsi="Arial" w:cs="Arial"/>
                <w:spacing w:val="-1"/>
              </w:rPr>
              <w:t>Profit</w:t>
            </w:r>
            <w:r>
              <w:rPr>
                <w:rFonts w:ascii="Arial" w:eastAsia="Arial" w:hAnsi="Arial" w:cs="Arial"/>
              </w:rPr>
              <w:t xml:space="preserve"> </w:t>
            </w:r>
            <w:r>
              <w:rPr>
                <w:rFonts w:ascii="Arial" w:eastAsia="Arial" w:hAnsi="Arial" w:cs="Arial"/>
                <w:spacing w:val="-1"/>
              </w:rPr>
              <w:t>Margin;</w:t>
            </w:r>
            <w:r>
              <w:rPr>
                <w:rFonts w:ascii="Arial" w:eastAsia="Arial" w:hAnsi="Arial" w:cs="Arial"/>
              </w:rPr>
              <w:t xml:space="preserve"> </w:t>
            </w:r>
            <w:r>
              <w:rPr>
                <w:rFonts w:ascii="Arial" w:eastAsia="Arial" w:hAnsi="Arial" w:cs="Arial"/>
                <w:spacing w:val="-1"/>
              </w:rPr>
              <w:t>and</w:t>
            </w:r>
          </w:p>
          <w:p w:rsidR="008918FA" w:rsidRDefault="008918FA" w:rsidP="005D2B81">
            <w:pPr>
              <w:pStyle w:val="ListParagraph"/>
              <w:numPr>
                <w:ilvl w:val="0"/>
                <w:numId w:val="40"/>
              </w:numPr>
              <w:tabs>
                <w:tab w:val="left" w:pos="820"/>
              </w:tabs>
              <w:spacing w:before="121"/>
              <w:jc w:val="both"/>
              <w:rPr>
                <w:rFonts w:ascii="Arial" w:eastAsia="Arial" w:hAnsi="Arial" w:cs="Arial"/>
              </w:rPr>
            </w:pPr>
            <w:r>
              <w:rPr>
                <w:rFonts w:ascii="Arial"/>
                <w:spacing w:val="-1"/>
              </w:rPr>
              <w:t>Overheads;</w:t>
            </w:r>
          </w:p>
          <w:p w:rsidR="008918FA" w:rsidRDefault="008918FA" w:rsidP="005D2B81">
            <w:pPr>
              <w:pStyle w:val="ListParagraph"/>
              <w:numPr>
                <w:ilvl w:val="0"/>
                <w:numId w:val="40"/>
              </w:numPr>
              <w:tabs>
                <w:tab w:val="left" w:pos="820"/>
              </w:tabs>
              <w:spacing w:before="119"/>
              <w:ind w:right="99" w:hanging="544"/>
              <w:jc w:val="both"/>
              <w:rPr>
                <w:rFonts w:ascii="Arial" w:eastAsia="Arial" w:hAnsi="Arial" w:cs="Arial"/>
              </w:rPr>
            </w:pPr>
            <w:r>
              <w:rPr>
                <w:rFonts w:ascii="Arial"/>
                <w:spacing w:val="-1"/>
              </w:rPr>
              <w:t>all</w:t>
            </w:r>
            <w:r>
              <w:rPr>
                <w:rFonts w:ascii="Arial"/>
                <w:spacing w:val="25"/>
              </w:rPr>
              <w:t xml:space="preserve"> </w:t>
            </w:r>
            <w:r>
              <w:rPr>
                <w:rFonts w:ascii="Arial"/>
                <w:spacing w:val="-1"/>
              </w:rPr>
              <w:t>interest,</w:t>
            </w:r>
            <w:r>
              <w:rPr>
                <w:rFonts w:ascii="Arial"/>
                <w:spacing w:val="27"/>
              </w:rPr>
              <w:t xml:space="preserve"> </w:t>
            </w:r>
            <w:r>
              <w:rPr>
                <w:rFonts w:ascii="Arial"/>
                <w:spacing w:val="-1"/>
              </w:rPr>
              <w:t>expenses</w:t>
            </w:r>
            <w:r>
              <w:rPr>
                <w:rFonts w:ascii="Arial"/>
                <w:spacing w:val="24"/>
              </w:rPr>
              <w:t xml:space="preserve"> </w:t>
            </w:r>
            <w:r>
              <w:rPr>
                <w:rFonts w:ascii="Arial"/>
                <w:spacing w:val="-1"/>
              </w:rPr>
              <w:t>and</w:t>
            </w:r>
            <w:r>
              <w:rPr>
                <w:rFonts w:ascii="Arial"/>
                <w:spacing w:val="26"/>
              </w:rPr>
              <w:t xml:space="preserve"> </w:t>
            </w:r>
            <w:r>
              <w:rPr>
                <w:rFonts w:ascii="Arial"/>
                <w:spacing w:val="-1"/>
              </w:rPr>
              <w:t>any</w:t>
            </w:r>
            <w:r>
              <w:rPr>
                <w:rFonts w:ascii="Arial"/>
                <w:spacing w:val="24"/>
              </w:rPr>
              <w:t xml:space="preserve"> </w:t>
            </w:r>
            <w:r>
              <w:rPr>
                <w:rFonts w:ascii="Arial"/>
                <w:spacing w:val="-1"/>
              </w:rPr>
              <w:t>other</w:t>
            </w:r>
            <w:r>
              <w:rPr>
                <w:rFonts w:ascii="Arial"/>
                <w:spacing w:val="27"/>
              </w:rPr>
              <w:t xml:space="preserve"> </w:t>
            </w:r>
            <w:r>
              <w:rPr>
                <w:rFonts w:ascii="Arial"/>
                <w:spacing w:val="-1"/>
              </w:rPr>
              <w:t>third</w:t>
            </w:r>
            <w:r>
              <w:rPr>
                <w:rFonts w:ascii="Arial"/>
                <w:spacing w:val="23"/>
              </w:rPr>
              <w:t xml:space="preserve"> </w:t>
            </w:r>
            <w:r>
              <w:rPr>
                <w:rFonts w:ascii="Arial"/>
                <w:spacing w:val="-1"/>
              </w:rPr>
              <w:t>party</w:t>
            </w:r>
            <w:r>
              <w:rPr>
                <w:rFonts w:ascii="Arial"/>
                <w:spacing w:val="31"/>
              </w:rPr>
              <w:t xml:space="preserve"> </w:t>
            </w:r>
            <w:r>
              <w:rPr>
                <w:rFonts w:ascii="Arial"/>
                <w:spacing w:val="-1"/>
              </w:rPr>
              <w:t>financing</w:t>
            </w:r>
            <w:r>
              <w:rPr>
                <w:rFonts w:ascii="Arial"/>
              </w:rPr>
              <w:t xml:space="preserve"> </w:t>
            </w:r>
            <w:r>
              <w:rPr>
                <w:rFonts w:ascii="Arial"/>
                <w:spacing w:val="-1"/>
              </w:rPr>
              <w:t>costs incurred</w:t>
            </w:r>
            <w:r>
              <w:rPr>
                <w:rFonts w:ascii="Arial"/>
                <w:spacing w:val="-2"/>
              </w:rPr>
              <w:t xml:space="preserve"> </w:t>
            </w:r>
            <w:r>
              <w:rPr>
                <w:rFonts w:ascii="Arial"/>
                <w:spacing w:val="-1"/>
              </w:rPr>
              <w:t>in</w:t>
            </w:r>
            <w:r>
              <w:rPr>
                <w:rFonts w:ascii="Arial"/>
                <w:spacing w:val="-2"/>
              </w:rPr>
              <w:t xml:space="preserve"> </w:t>
            </w:r>
            <w:r>
              <w:rPr>
                <w:rFonts w:ascii="Arial"/>
                <w:spacing w:val="-1"/>
              </w:rPr>
              <w:t>relation</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spacing w:val="-1"/>
              </w:rPr>
              <w:t>provision</w:t>
            </w:r>
            <w:r>
              <w:rPr>
                <w:rFonts w:ascii="Arial"/>
                <w:spacing w:val="-2"/>
              </w:rPr>
              <w:t xml:space="preserve"> </w:t>
            </w:r>
            <w:r>
              <w:rPr>
                <w:rFonts w:ascii="Arial"/>
                <w:spacing w:val="-1"/>
              </w:rPr>
              <w:t>of</w:t>
            </w:r>
            <w:r>
              <w:rPr>
                <w:rFonts w:ascii="Arial"/>
                <w:spacing w:val="24"/>
              </w:rPr>
              <w:t xml:space="preserve"> </w:t>
            </w:r>
            <w:r>
              <w:rPr>
                <w:rFonts w:ascii="Arial"/>
              </w:rPr>
              <w:t xml:space="preserve">the </w:t>
            </w:r>
            <w:r>
              <w:rPr>
                <w:rFonts w:ascii="Arial"/>
                <w:spacing w:val="-2"/>
              </w:rPr>
              <w:t>Services;</w:t>
            </w:r>
          </w:p>
          <w:p w:rsidR="008918FA" w:rsidRDefault="008918FA" w:rsidP="005D2B81">
            <w:pPr>
              <w:pStyle w:val="ListParagraph"/>
              <w:numPr>
                <w:ilvl w:val="0"/>
                <w:numId w:val="40"/>
              </w:numPr>
              <w:tabs>
                <w:tab w:val="left" w:pos="820"/>
              </w:tabs>
              <w:spacing w:before="121"/>
              <w:ind w:right="102" w:hanging="544"/>
              <w:jc w:val="both"/>
              <w:rPr>
                <w:rFonts w:ascii="Arial" w:eastAsia="Arial" w:hAnsi="Arial" w:cs="Arial"/>
              </w:rPr>
            </w:pPr>
            <w:r>
              <w:rPr>
                <w:rFonts w:ascii="Arial"/>
              </w:rPr>
              <w:t>the</w:t>
            </w:r>
            <w:r>
              <w:rPr>
                <w:rFonts w:ascii="Arial"/>
                <w:spacing w:val="49"/>
              </w:rPr>
              <w:t xml:space="preserve"> </w:t>
            </w:r>
            <w:r>
              <w:rPr>
                <w:rFonts w:ascii="Arial"/>
                <w:spacing w:val="-2"/>
              </w:rPr>
              <w:t>Supplier</w:t>
            </w:r>
            <w:r>
              <w:rPr>
                <w:rFonts w:ascii="Arial"/>
                <w:spacing w:val="51"/>
              </w:rPr>
              <w:t xml:space="preserve"> </w:t>
            </w:r>
            <w:r>
              <w:rPr>
                <w:rFonts w:ascii="Arial"/>
                <w:spacing w:val="-1"/>
              </w:rPr>
              <w:t>Profit</w:t>
            </w:r>
            <w:r>
              <w:rPr>
                <w:rFonts w:ascii="Arial"/>
                <w:spacing w:val="51"/>
              </w:rPr>
              <w:t xml:space="preserve"> </w:t>
            </w:r>
            <w:r>
              <w:rPr>
                <w:rFonts w:ascii="Arial"/>
                <w:spacing w:val="-2"/>
              </w:rPr>
              <w:t>achieved</w:t>
            </w:r>
            <w:r>
              <w:rPr>
                <w:rFonts w:ascii="Arial"/>
                <w:spacing w:val="49"/>
              </w:rPr>
              <w:t xml:space="preserve"> </w:t>
            </w:r>
            <w:r>
              <w:rPr>
                <w:rFonts w:ascii="Arial"/>
                <w:spacing w:val="-1"/>
              </w:rPr>
              <w:t>over</w:t>
            </w:r>
            <w:r>
              <w:rPr>
                <w:rFonts w:ascii="Arial"/>
                <w:spacing w:val="51"/>
              </w:rPr>
              <w:t xml:space="preserve"> </w:t>
            </w:r>
            <w:r>
              <w:rPr>
                <w:rFonts w:ascii="Arial"/>
              </w:rPr>
              <w:t>the</w:t>
            </w:r>
            <w:r>
              <w:rPr>
                <w:rFonts w:ascii="Arial"/>
                <w:spacing w:val="49"/>
              </w:rPr>
              <w:t xml:space="preserve"> </w:t>
            </w:r>
            <w:r>
              <w:rPr>
                <w:rFonts w:ascii="Arial"/>
                <w:spacing w:val="-2"/>
              </w:rPr>
              <w:t>Call</w:t>
            </w:r>
            <w:r>
              <w:rPr>
                <w:rFonts w:ascii="Arial"/>
                <w:spacing w:val="50"/>
              </w:rPr>
              <w:t xml:space="preserve"> </w:t>
            </w:r>
            <w:r>
              <w:rPr>
                <w:rFonts w:ascii="Arial"/>
                <w:spacing w:val="-1"/>
              </w:rPr>
              <w:t>Off</w:t>
            </w:r>
            <w:r>
              <w:rPr>
                <w:rFonts w:ascii="Arial"/>
                <w:spacing w:val="41"/>
              </w:rPr>
              <w:t xml:space="preserve"> </w:t>
            </w:r>
            <w:r>
              <w:rPr>
                <w:rFonts w:ascii="Arial"/>
                <w:spacing w:val="-1"/>
              </w:rPr>
              <w:t>Contract</w:t>
            </w:r>
            <w:r>
              <w:rPr>
                <w:rFonts w:ascii="Arial"/>
                <w:spacing w:val="2"/>
              </w:rPr>
              <w:t xml:space="preserve"> </w:t>
            </w:r>
            <w:r>
              <w:rPr>
                <w:rFonts w:ascii="Arial"/>
                <w:spacing w:val="-1"/>
              </w:rPr>
              <w:t>Period</w:t>
            </w:r>
            <w:r>
              <w:rPr>
                <w:rFonts w:ascii="Arial"/>
                <w:spacing w:val="-2"/>
              </w:rPr>
              <w:t xml:space="preserve"> </w:t>
            </w:r>
            <w:r>
              <w:rPr>
                <w:rFonts w:ascii="Arial"/>
                <w:spacing w:val="-1"/>
              </w:rPr>
              <w:t>and</w:t>
            </w:r>
            <w:r>
              <w:rPr>
                <w:rFonts w:ascii="Arial"/>
              </w:rPr>
              <w:t xml:space="preserve"> </w:t>
            </w:r>
            <w:r>
              <w:rPr>
                <w:rFonts w:ascii="Arial"/>
                <w:spacing w:val="-1"/>
              </w:rPr>
              <w:t>on</w:t>
            </w:r>
            <w:r>
              <w:rPr>
                <w:rFonts w:ascii="Arial"/>
                <w:spacing w:val="-2"/>
              </w:rPr>
              <w:t xml:space="preserve"> an</w:t>
            </w:r>
            <w:r>
              <w:rPr>
                <w:rFonts w:ascii="Arial"/>
              </w:rPr>
              <w:t xml:space="preserve"> </w:t>
            </w:r>
            <w:r>
              <w:rPr>
                <w:rFonts w:ascii="Arial"/>
                <w:spacing w:val="-1"/>
              </w:rPr>
              <w:t>annual</w:t>
            </w:r>
            <w:r>
              <w:rPr>
                <w:rFonts w:ascii="Arial"/>
              </w:rPr>
              <w:t xml:space="preserve"> </w:t>
            </w:r>
            <w:r>
              <w:rPr>
                <w:rFonts w:ascii="Arial"/>
                <w:spacing w:val="-1"/>
              </w:rPr>
              <w:t>basis;</w:t>
            </w:r>
          </w:p>
          <w:p w:rsidR="008918FA" w:rsidRDefault="008918FA" w:rsidP="005D2B81">
            <w:pPr>
              <w:pStyle w:val="ListParagraph"/>
              <w:numPr>
                <w:ilvl w:val="0"/>
                <w:numId w:val="40"/>
              </w:numPr>
              <w:tabs>
                <w:tab w:val="left" w:pos="820"/>
              </w:tabs>
              <w:spacing w:before="119"/>
              <w:ind w:right="99" w:hanging="544"/>
              <w:jc w:val="both"/>
              <w:rPr>
                <w:rFonts w:ascii="Arial" w:eastAsia="Arial" w:hAnsi="Arial" w:cs="Arial"/>
              </w:rPr>
            </w:pPr>
            <w:r>
              <w:rPr>
                <w:rFonts w:ascii="Arial"/>
                <w:spacing w:val="-1"/>
              </w:rPr>
              <w:t>confirmation</w:t>
            </w:r>
            <w:r>
              <w:rPr>
                <w:rFonts w:ascii="Arial"/>
                <w:spacing w:val="12"/>
              </w:rPr>
              <w:t xml:space="preserve"> </w:t>
            </w:r>
            <w:r>
              <w:rPr>
                <w:rFonts w:ascii="Arial"/>
                <w:spacing w:val="-1"/>
              </w:rPr>
              <w:t>that</w:t>
            </w:r>
            <w:r>
              <w:rPr>
                <w:rFonts w:ascii="Arial"/>
                <w:spacing w:val="14"/>
              </w:rPr>
              <w:t xml:space="preserve"> </w:t>
            </w:r>
            <w:r>
              <w:rPr>
                <w:rFonts w:ascii="Arial"/>
                <w:spacing w:val="-1"/>
              </w:rPr>
              <w:t>all</w:t>
            </w:r>
            <w:r>
              <w:rPr>
                <w:rFonts w:ascii="Arial"/>
                <w:spacing w:val="12"/>
              </w:rPr>
              <w:t xml:space="preserve"> </w:t>
            </w:r>
            <w:r>
              <w:rPr>
                <w:rFonts w:ascii="Arial"/>
                <w:spacing w:val="-1"/>
              </w:rPr>
              <w:t>methods</w:t>
            </w:r>
            <w:r>
              <w:rPr>
                <w:rFonts w:ascii="Arial"/>
                <w:spacing w:val="13"/>
              </w:rPr>
              <w:t xml:space="preserve"> </w:t>
            </w:r>
            <w:r>
              <w:rPr>
                <w:rFonts w:ascii="Arial"/>
                <w:spacing w:val="-1"/>
              </w:rPr>
              <w:t>of</w:t>
            </w:r>
            <w:r>
              <w:rPr>
                <w:rFonts w:ascii="Arial"/>
                <w:spacing w:val="16"/>
              </w:rPr>
              <w:t xml:space="preserve"> </w:t>
            </w:r>
            <w:r>
              <w:rPr>
                <w:rFonts w:ascii="Arial"/>
                <w:spacing w:val="-1"/>
              </w:rPr>
              <w:t>Cost</w:t>
            </w:r>
            <w:r>
              <w:rPr>
                <w:rFonts w:ascii="Arial"/>
                <w:spacing w:val="14"/>
              </w:rPr>
              <w:t xml:space="preserve"> </w:t>
            </w:r>
            <w:r>
              <w:rPr>
                <w:rFonts w:ascii="Arial"/>
                <w:spacing w:val="-2"/>
              </w:rPr>
              <w:t>apportionment</w:t>
            </w:r>
            <w:r>
              <w:rPr>
                <w:rFonts w:ascii="Arial"/>
                <w:spacing w:val="42"/>
              </w:rPr>
              <w:t xml:space="preserve"> </w:t>
            </w:r>
            <w:r>
              <w:rPr>
                <w:rFonts w:ascii="Arial"/>
                <w:spacing w:val="-1"/>
              </w:rPr>
              <w:t>and</w:t>
            </w:r>
            <w:r>
              <w:rPr>
                <w:rFonts w:ascii="Arial"/>
                <w:spacing w:val="7"/>
              </w:rPr>
              <w:t xml:space="preserve"> </w:t>
            </w:r>
            <w:r>
              <w:rPr>
                <w:rFonts w:ascii="Arial"/>
                <w:spacing w:val="-1"/>
              </w:rPr>
              <w:t>Overhead</w:t>
            </w:r>
            <w:r>
              <w:rPr>
                <w:rFonts w:ascii="Arial"/>
                <w:spacing w:val="7"/>
              </w:rPr>
              <w:t xml:space="preserve"> </w:t>
            </w:r>
            <w:r>
              <w:rPr>
                <w:rFonts w:ascii="Arial"/>
                <w:spacing w:val="-1"/>
              </w:rPr>
              <w:t>allocation</w:t>
            </w:r>
            <w:r>
              <w:rPr>
                <w:rFonts w:ascii="Arial"/>
                <w:spacing w:val="7"/>
              </w:rPr>
              <w:t xml:space="preserve"> </w:t>
            </w:r>
            <w:r>
              <w:rPr>
                <w:rFonts w:ascii="Arial"/>
                <w:spacing w:val="-1"/>
              </w:rPr>
              <w:t>are</w:t>
            </w:r>
            <w:r>
              <w:rPr>
                <w:rFonts w:ascii="Arial"/>
                <w:spacing w:val="7"/>
              </w:rPr>
              <w:t xml:space="preserve"> </w:t>
            </w:r>
            <w:r>
              <w:rPr>
                <w:rFonts w:ascii="Arial"/>
                <w:spacing w:val="-1"/>
              </w:rPr>
              <w:t>consistent</w:t>
            </w:r>
            <w:r>
              <w:rPr>
                <w:rFonts w:ascii="Arial"/>
                <w:spacing w:val="9"/>
              </w:rPr>
              <w:t xml:space="preserve"> </w:t>
            </w:r>
            <w:r>
              <w:rPr>
                <w:rFonts w:ascii="Arial"/>
                <w:spacing w:val="-2"/>
              </w:rPr>
              <w:t>with</w:t>
            </w:r>
            <w:r>
              <w:rPr>
                <w:rFonts w:ascii="Arial"/>
                <w:spacing w:val="7"/>
              </w:rPr>
              <w:t xml:space="preserve"> </w:t>
            </w:r>
            <w:r>
              <w:rPr>
                <w:rFonts w:ascii="Arial"/>
                <w:spacing w:val="-1"/>
              </w:rPr>
              <w:t>and</w:t>
            </w:r>
            <w:r>
              <w:rPr>
                <w:rFonts w:ascii="Arial"/>
                <w:spacing w:val="10"/>
              </w:rPr>
              <w:t xml:space="preserve"> </w:t>
            </w:r>
            <w:r>
              <w:rPr>
                <w:rFonts w:ascii="Arial"/>
                <w:spacing w:val="-1"/>
              </w:rPr>
              <w:t>not</w:t>
            </w:r>
            <w:r>
              <w:rPr>
                <w:rFonts w:ascii="Arial"/>
                <w:spacing w:val="24"/>
              </w:rPr>
              <w:t xml:space="preserve"> </w:t>
            </w:r>
            <w:r>
              <w:rPr>
                <w:rFonts w:ascii="Arial"/>
                <w:spacing w:val="-1"/>
              </w:rPr>
              <w:t>more</w:t>
            </w:r>
            <w:r>
              <w:rPr>
                <w:rFonts w:ascii="Arial"/>
                <w:spacing w:val="20"/>
              </w:rPr>
              <w:t xml:space="preserve"> </w:t>
            </w:r>
            <w:r>
              <w:rPr>
                <w:rFonts w:ascii="Arial"/>
                <w:spacing w:val="-1"/>
              </w:rPr>
              <w:t>onerous</w:t>
            </w:r>
            <w:r>
              <w:rPr>
                <w:rFonts w:ascii="Arial"/>
                <w:spacing w:val="20"/>
              </w:rPr>
              <w:t xml:space="preserve"> </w:t>
            </w:r>
            <w:r>
              <w:rPr>
                <w:rFonts w:ascii="Arial"/>
                <w:spacing w:val="-1"/>
              </w:rPr>
              <w:t>than</w:t>
            </w:r>
            <w:r>
              <w:rPr>
                <w:rFonts w:ascii="Arial"/>
                <w:spacing w:val="19"/>
              </w:rPr>
              <w:t xml:space="preserve"> </w:t>
            </w:r>
            <w:r>
              <w:rPr>
                <w:rFonts w:ascii="Arial"/>
                <w:spacing w:val="-1"/>
              </w:rPr>
              <w:t>such</w:t>
            </w:r>
            <w:r>
              <w:rPr>
                <w:rFonts w:ascii="Arial"/>
                <w:spacing w:val="18"/>
              </w:rPr>
              <w:t xml:space="preserve"> </w:t>
            </w:r>
            <w:r>
              <w:rPr>
                <w:rFonts w:ascii="Arial"/>
                <w:spacing w:val="-1"/>
              </w:rPr>
              <w:t>methods</w:t>
            </w:r>
            <w:r>
              <w:rPr>
                <w:rFonts w:ascii="Arial"/>
                <w:spacing w:val="18"/>
              </w:rPr>
              <w:t xml:space="preserve"> </w:t>
            </w:r>
            <w:r>
              <w:rPr>
                <w:rFonts w:ascii="Arial"/>
                <w:spacing w:val="-2"/>
              </w:rPr>
              <w:t>applied</w:t>
            </w:r>
            <w:r>
              <w:rPr>
                <w:rFonts w:ascii="Arial"/>
                <w:spacing w:val="20"/>
              </w:rPr>
              <w:t xml:space="preserve"> </w:t>
            </w:r>
            <w:r>
              <w:rPr>
                <w:rFonts w:ascii="Arial"/>
                <w:spacing w:val="-1"/>
              </w:rPr>
              <w:t>generally</w:t>
            </w:r>
            <w:r>
              <w:rPr>
                <w:rFonts w:ascii="Arial"/>
                <w:spacing w:val="39"/>
              </w:rPr>
              <w:t xml:space="preserve"> </w:t>
            </w:r>
            <w:r>
              <w:rPr>
                <w:rFonts w:ascii="Arial"/>
                <w:spacing w:val="-1"/>
              </w:rPr>
              <w:t>by</w:t>
            </w:r>
            <w:r>
              <w:rPr>
                <w:rFonts w:ascii="Arial"/>
                <w:spacing w:val="-2"/>
              </w:rPr>
              <w:t xml:space="preserve"> </w:t>
            </w:r>
            <w:r>
              <w:rPr>
                <w:rFonts w:ascii="Arial"/>
              </w:rPr>
              <w:t xml:space="preserve">the </w:t>
            </w:r>
            <w:r>
              <w:rPr>
                <w:rFonts w:ascii="Arial"/>
                <w:spacing w:val="-1"/>
              </w:rPr>
              <w:t>Supplier;</w:t>
            </w:r>
          </w:p>
          <w:p w:rsidR="008918FA" w:rsidRDefault="008918FA" w:rsidP="005D2B81">
            <w:pPr>
              <w:pStyle w:val="ListParagraph"/>
              <w:numPr>
                <w:ilvl w:val="0"/>
                <w:numId w:val="40"/>
              </w:numPr>
              <w:tabs>
                <w:tab w:val="left" w:pos="820"/>
              </w:tabs>
              <w:spacing w:before="119"/>
              <w:ind w:right="99" w:hanging="544"/>
              <w:jc w:val="both"/>
              <w:rPr>
                <w:rFonts w:ascii="Arial" w:eastAsia="Arial" w:hAnsi="Arial" w:cs="Arial"/>
              </w:rPr>
            </w:pPr>
            <w:r>
              <w:rPr>
                <w:rFonts w:ascii="Arial"/>
                <w:spacing w:val="-1"/>
              </w:rPr>
              <w:t>an</w:t>
            </w:r>
            <w:r>
              <w:rPr>
                <w:rFonts w:ascii="Arial"/>
                <w:spacing w:val="55"/>
              </w:rPr>
              <w:t xml:space="preserve"> </w:t>
            </w:r>
            <w:r>
              <w:rPr>
                <w:rFonts w:ascii="Arial"/>
                <w:spacing w:val="-2"/>
              </w:rPr>
              <w:t>explanation</w:t>
            </w:r>
            <w:r>
              <w:rPr>
                <w:rFonts w:ascii="Arial"/>
                <w:spacing w:val="55"/>
              </w:rPr>
              <w:t xml:space="preserve"> </w:t>
            </w:r>
            <w:r>
              <w:rPr>
                <w:rFonts w:ascii="Arial"/>
                <w:spacing w:val="-1"/>
              </w:rPr>
              <w:t>of</w:t>
            </w:r>
            <w:r>
              <w:rPr>
                <w:rFonts w:ascii="Arial"/>
                <w:spacing w:val="59"/>
              </w:rPr>
              <w:t xml:space="preserve"> </w:t>
            </w:r>
            <w:r>
              <w:rPr>
                <w:rFonts w:ascii="Arial"/>
              </w:rPr>
              <w:t>the</w:t>
            </w:r>
            <w:r>
              <w:rPr>
                <w:rFonts w:ascii="Arial"/>
                <w:spacing w:val="55"/>
              </w:rPr>
              <w:t xml:space="preserve"> </w:t>
            </w:r>
            <w:r>
              <w:rPr>
                <w:rFonts w:ascii="Arial"/>
                <w:spacing w:val="-2"/>
              </w:rPr>
              <w:t>type</w:t>
            </w:r>
            <w:r>
              <w:rPr>
                <w:rFonts w:ascii="Arial"/>
                <w:spacing w:val="55"/>
              </w:rPr>
              <w:t xml:space="preserve"> </w:t>
            </w:r>
            <w:r>
              <w:rPr>
                <w:rFonts w:ascii="Arial"/>
                <w:spacing w:val="-1"/>
              </w:rPr>
              <w:t>and</w:t>
            </w:r>
            <w:r>
              <w:rPr>
                <w:rFonts w:ascii="Arial"/>
                <w:spacing w:val="58"/>
              </w:rPr>
              <w:t xml:space="preserve"> </w:t>
            </w:r>
            <w:r>
              <w:rPr>
                <w:rFonts w:ascii="Arial"/>
                <w:spacing w:val="-2"/>
              </w:rPr>
              <w:t>value</w:t>
            </w:r>
            <w:r>
              <w:rPr>
                <w:rFonts w:ascii="Arial"/>
                <w:spacing w:val="59"/>
              </w:rPr>
              <w:t xml:space="preserve"> </w:t>
            </w:r>
            <w:r>
              <w:rPr>
                <w:rFonts w:ascii="Arial"/>
                <w:spacing w:val="-1"/>
              </w:rPr>
              <w:t>of</w:t>
            </w:r>
            <w:r>
              <w:rPr>
                <w:rFonts w:ascii="Arial"/>
                <w:spacing w:val="59"/>
              </w:rPr>
              <w:t xml:space="preserve"> </w:t>
            </w:r>
            <w:r>
              <w:rPr>
                <w:rFonts w:ascii="Arial"/>
                <w:spacing w:val="-2"/>
              </w:rPr>
              <w:t>risk</w:t>
            </w:r>
            <w:r>
              <w:rPr>
                <w:rFonts w:ascii="Arial"/>
                <w:spacing w:val="56"/>
              </w:rPr>
              <w:t xml:space="preserve"> </w:t>
            </w:r>
            <w:r>
              <w:rPr>
                <w:rFonts w:ascii="Arial"/>
                <w:spacing w:val="-1"/>
              </w:rPr>
              <w:t>and</w:t>
            </w:r>
            <w:r>
              <w:rPr>
                <w:rFonts w:ascii="Arial"/>
                <w:spacing w:val="44"/>
              </w:rPr>
              <w:t xml:space="preserve"> </w:t>
            </w:r>
            <w:r>
              <w:rPr>
                <w:rFonts w:ascii="Arial"/>
                <w:spacing w:val="-1"/>
              </w:rPr>
              <w:t>contingencies</w:t>
            </w:r>
            <w:r>
              <w:rPr>
                <w:rFonts w:ascii="Arial"/>
                <w:spacing w:val="49"/>
              </w:rPr>
              <w:t xml:space="preserve"> </w:t>
            </w:r>
            <w:r>
              <w:rPr>
                <w:rFonts w:ascii="Arial"/>
                <w:spacing w:val="-1"/>
              </w:rPr>
              <w:t>associated</w:t>
            </w:r>
            <w:r>
              <w:rPr>
                <w:rFonts w:ascii="Arial"/>
                <w:spacing w:val="48"/>
              </w:rPr>
              <w:t xml:space="preserve"> </w:t>
            </w:r>
            <w:r>
              <w:rPr>
                <w:rFonts w:ascii="Arial"/>
                <w:spacing w:val="-2"/>
              </w:rPr>
              <w:t>with</w:t>
            </w:r>
            <w:r>
              <w:rPr>
                <w:rFonts w:ascii="Arial"/>
                <w:spacing w:val="48"/>
              </w:rPr>
              <w:t xml:space="preserve"> </w:t>
            </w:r>
            <w:r>
              <w:rPr>
                <w:rFonts w:ascii="Arial"/>
              </w:rPr>
              <w:t>the</w:t>
            </w:r>
            <w:r>
              <w:rPr>
                <w:rFonts w:ascii="Arial"/>
                <w:spacing w:val="48"/>
              </w:rPr>
              <w:t xml:space="preserve"> </w:t>
            </w:r>
            <w:r>
              <w:rPr>
                <w:rFonts w:ascii="Arial"/>
                <w:spacing w:val="-2"/>
              </w:rPr>
              <w:t>provision</w:t>
            </w:r>
            <w:r>
              <w:rPr>
                <w:rFonts w:ascii="Arial"/>
                <w:spacing w:val="48"/>
              </w:rPr>
              <w:t xml:space="preserve"> </w:t>
            </w:r>
            <w:r>
              <w:rPr>
                <w:rFonts w:ascii="Arial"/>
                <w:spacing w:val="-1"/>
              </w:rPr>
              <w:t>of</w:t>
            </w:r>
            <w:r>
              <w:rPr>
                <w:rFonts w:ascii="Arial"/>
                <w:spacing w:val="49"/>
              </w:rPr>
              <w:t xml:space="preserve"> </w:t>
            </w:r>
            <w:r>
              <w:rPr>
                <w:rFonts w:ascii="Arial"/>
                <w:spacing w:val="-1"/>
              </w:rPr>
              <w:t>the</w:t>
            </w:r>
            <w:r>
              <w:rPr>
                <w:rFonts w:ascii="Arial"/>
                <w:spacing w:val="40"/>
              </w:rPr>
              <w:t xml:space="preserve"> </w:t>
            </w:r>
            <w:r>
              <w:rPr>
                <w:rFonts w:ascii="Arial"/>
                <w:spacing w:val="-1"/>
              </w:rPr>
              <w:t>Goods</w:t>
            </w:r>
            <w:r>
              <w:rPr>
                <w:rFonts w:ascii="Arial"/>
                <w:spacing w:val="19"/>
              </w:rPr>
              <w:t xml:space="preserve"> </w:t>
            </w:r>
            <w:r>
              <w:rPr>
                <w:rFonts w:ascii="Arial"/>
                <w:spacing w:val="-1"/>
              </w:rPr>
              <w:t>and/or</w:t>
            </w:r>
            <w:r>
              <w:rPr>
                <w:rFonts w:ascii="Arial"/>
                <w:spacing w:val="20"/>
              </w:rPr>
              <w:t xml:space="preserve"> </w:t>
            </w:r>
            <w:r>
              <w:rPr>
                <w:rFonts w:ascii="Arial"/>
                <w:spacing w:val="-1"/>
              </w:rPr>
              <w:t>Services,</w:t>
            </w:r>
            <w:r>
              <w:rPr>
                <w:rFonts w:ascii="Arial"/>
                <w:spacing w:val="20"/>
              </w:rPr>
              <w:t xml:space="preserve"> </w:t>
            </w:r>
            <w:r>
              <w:rPr>
                <w:rFonts w:ascii="Arial"/>
                <w:spacing w:val="-2"/>
              </w:rPr>
              <w:t>including</w:t>
            </w:r>
            <w:r>
              <w:rPr>
                <w:rFonts w:ascii="Arial"/>
                <w:spacing w:val="21"/>
              </w:rPr>
              <w:t xml:space="preserve"> </w:t>
            </w:r>
            <w:r>
              <w:rPr>
                <w:rFonts w:ascii="Arial"/>
              </w:rPr>
              <w:t>the</w:t>
            </w:r>
            <w:r>
              <w:rPr>
                <w:rFonts w:ascii="Arial"/>
                <w:spacing w:val="18"/>
              </w:rPr>
              <w:t xml:space="preserve"> </w:t>
            </w:r>
            <w:r>
              <w:rPr>
                <w:rFonts w:ascii="Arial"/>
                <w:spacing w:val="-1"/>
              </w:rPr>
              <w:t>amount</w:t>
            </w:r>
            <w:r>
              <w:rPr>
                <w:rFonts w:ascii="Arial"/>
                <w:spacing w:val="17"/>
              </w:rPr>
              <w:t xml:space="preserve"> </w:t>
            </w:r>
            <w:r>
              <w:rPr>
                <w:rFonts w:ascii="Arial"/>
                <w:spacing w:val="-1"/>
              </w:rPr>
              <w:t>of</w:t>
            </w:r>
            <w:r>
              <w:rPr>
                <w:rFonts w:ascii="Arial"/>
                <w:spacing w:val="28"/>
              </w:rPr>
              <w:t xml:space="preserve"> </w:t>
            </w:r>
            <w:r>
              <w:rPr>
                <w:rFonts w:ascii="Arial"/>
                <w:spacing w:val="-1"/>
              </w:rPr>
              <w:t>money</w:t>
            </w:r>
            <w:r>
              <w:rPr>
                <w:rFonts w:ascii="Arial"/>
                <w:spacing w:val="51"/>
              </w:rPr>
              <w:t xml:space="preserve"> </w:t>
            </w:r>
            <w:r>
              <w:rPr>
                <w:rFonts w:ascii="Arial"/>
                <w:spacing w:val="-1"/>
              </w:rPr>
              <w:t>attributed</w:t>
            </w:r>
            <w:r>
              <w:rPr>
                <w:rFonts w:ascii="Arial"/>
                <w:spacing w:val="51"/>
              </w:rPr>
              <w:t xml:space="preserve"> </w:t>
            </w:r>
            <w:r>
              <w:rPr>
                <w:rFonts w:ascii="Arial"/>
              </w:rPr>
              <w:t>to</w:t>
            </w:r>
            <w:r>
              <w:rPr>
                <w:rFonts w:ascii="Arial"/>
                <w:spacing w:val="51"/>
              </w:rPr>
              <w:t xml:space="preserve"> </w:t>
            </w:r>
            <w:r>
              <w:rPr>
                <w:rFonts w:ascii="Arial"/>
                <w:spacing w:val="-2"/>
              </w:rPr>
              <w:t>each</w:t>
            </w:r>
            <w:r>
              <w:rPr>
                <w:rFonts w:ascii="Arial"/>
                <w:spacing w:val="53"/>
              </w:rPr>
              <w:t xml:space="preserve"> </w:t>
            </w:r>
            <w:r>
              <w:rPr>
                <w:rFonts w:ascii="Arial"/>
                <w:spacing w:val="-2"/>
              </w:rPr>
              <w:t>risk</w:t>
            </w:r>
            <w:r>
              <w:rPr>
                <w:rFonts w:ascii="Arial"/>
                <w:spacing w:val="53"/>
              </w:rPr>
              <w:t xml:space="preserve"> </w:t>
            </w:r>
            <w:r>
              <w:rPr>
                <w:rFonts w:ascii="Arial"/>
                <w:spacing w:val="-1"/>
              </w:rPr>
              <w:t>and/or</w:t>
            </w:r>
            <w:r>
              <w:rPr>
                <w:rFonts w:ascii="Arial"/>
                <w:spacing w:val="54"/>
              </w:rPr>
              <w:t xml:space="preserve"> </w:t>
            </w:r>
            <w:r>
              <w:rPr>
                <w:rFonts w:ascii="Arial"/>
                <w:spacing w:val="-1"/>
              </w:rPr>
              <w:t>contingency;</w:t>
            </w:r>
            <w:r>
              <w:rPr>
                <w:rFonts w:ascii="Arial"/>
                <w:spacing w:val="31"/>
              </w:rPr>
              <w:t xml:space="preserve"> </w:t>
            </w:r>
            <w:r>
              <w:rPr>
                <w:rFonts w:ascii="Arial"/>
                <w:spacing w:val="-1"/>
              </w:rPr>
              <w:t>and</w:t>
            </w:r>
          </w:p>
        </w:tc>
      </w:tr>
    </w:tbl>
    <w:p w:rsidR="008918FA" w:rsidRDefault="008918FA" w:rsidP="008918FA">
      <w:pPr>
        <w:jc w:val="both"/>
        <w:rPr>
          <w:rFonts w:ascii="Arial" w:eastAsia="Arial" w:hAnsi="Arial" w:cs="Arial"/>
        </w:rPr>
        <w:sectPr w:rsidR="008918FA">
          <w:pgSz w:w="11910" w:h="16840"/>
          <w:pgMar w:top="146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38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tabs>
                <w:tab w:val="left" w:pos="819"/>
              </w:tabs>
              <w:spacing w:line="250" w:lineRule="exact"/>
              <w:ind w:left="275"/>
              <w:rPr>
                <w:rFonts w:ascii="Arial" w:eastAsia="Arial" w:hAnsi="Arial" w:cs="Arial"/>
              </w:rPr>
            </w:pPr>
            <w:r>
              <w:rPr>
                <w:rFonts w:ascii="Arial"/>
                <w:spacing w:val="-1"/>
              </w:rPr>
              <w:t>h)</w:t>
            </w:r>
            <w:r>
              <w:rPr>
                <w:rFonts w:ascii="Arial"/>
                <w:spacing w:val="-1"/>
              </w:rPr>
              <w:tab/>
            </w:r>
            <w:r>
              <w:rPr>
                <w:rFonts w:ascii="Arial"/>
              </w:rPr>
              <w:t xml:space="preserve">the </w:t>
            </w:r>
            <w:r>
              <w:rPr>
                <w:rFonts w:ascii="Arial"/>
                <w:spacing w:val="-1"/>
              </w:rPr>
              <w:t>actual</w:t>
            </w:r>
            <w:r>
              <w:rPr>
                <w:rFonts w:ascii="Arial"/>
              </w:rPr>
              <w:t xml:space="preserve"> </w:t>
            </w:r>
            <w:r>
              <w:rPr>
                <w:rFonts w:ascii="Arial"/>
                <w:spacing w:val="-1"/>
              </w:rPr>
              <w:t>Costs</w:t>
            </w:r>
            <w:r>
              <w:rPr>
                <w:rFonts w:ascii="Arial"/>
                <w:spacing w:val="1"/>
              </w:rPr>
              <w:t xml:space="preserve"> </w:t>
            </w:r>
            <w:r>
              <w:rPr>
                <w:rFonts w:ascii="Arial"/>
                <w:spacing w:val="-1"/>
              </w:rPr>
              <w:t>profile</w:t>
            </w:r>
            <w:r>
              <w:rPr>
                <w:rFonts w:ascii="Arial"/>
                <w:spacing w:val="-2"/>
              </w:rPr>
              <w:t xml:space="preserve"> </w:t>
            </w:r>
            <w:r>
              <w:rPr>
                <w:rFonts w:ascii="Arial"/>
                <w:spacing w:val="-1"/>
              </w:rPr>
              <w:t>for</w:t>
            </w:r>
            <w:r>
              <w:rPr>
                <w:rFonts w:ascii="Arial"/>
                <w:spacing w:val="2"/>
              </w:rPr>
              <w:t xml:space="preserve"> </w:t>
            </w:r>
            <w:r>
              <w:rPr>
                <w:rFonts w:ascii="Arial"/>
                <w:spacing w:val="-1"/>
              </w:rPr>
              <w:t>each</w:t>
            </w:r>
            <w:r>
              <w:rPr>
                <w:rFonts w:ascii="Arial"/>
                <w:spacing w:val="-2"/>
              </w:rPr>
              <w:t xml:space="preserve"> Service</w:t>
            </w:r>
            <w:r>
              <w:rPr>
                <w:rFonts w:ascii="Arial"/>
                <w:spacing w:val="1"/>
              </w:rPr>
              <w:t xml:space="preserve"> </w:t>
            </w:r>
            <w:r>
              <w:rPr>
                <w:rFonts w:ascii="Arial"/>
                <w:spacing w:val="-1"/>
              </w:rPr>
              <w:t>Period.</w:t>
            </w:r>
          </w:p>
        </w:tc>
      </w:tr>
      <w:tr w:rsidR="008918FA" w:rsidTr="005D2B81">
        <w:trPr>
          <w:trHeight w:hRule="exact" w:val="114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"Order"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101"/>
              <w:jc w:val="both"/>
              <w:rPr>
                <w:rFonts w:ascii="Arial" w:eastAsia="Arial" w:hAnsi="Arial" w:cs="Arial"/>
              </w:rPr>
            </w:pPr>
            <w:r>
              <w:rPr>
                <w:rFonts w:ascii="Arial"/>
                <w:spacing w:val="-1"/>
              </w:rPr>
              <w:t>means</w:t>
            </w:r>
            <w:r>
              <w:rPr>
                <w:rFonts w:ascii="Arial"/>
                <w:spacing w:val="46"/>
              </w:rPr>
              <w:t xml:space="preserve"> </w:t>
            </w:r>
            <w:r>
              <w:rPr>
                <w:rFonts w:ascii="Arial"/>
              </w:rPr>
              <w:t>the</w:t>
            </w:r>
            <w:r>
              <w:rPr>
                <w:rFonts w:ascii="Arial"/>
                <w:spacing w:val="48"/>
              </w:rPr>
              <w:t xml:space="preserve"> </w:t>
            </w:r>
            <w:r>
              <w:rPr>
                <w:rFonts w:ascii="Arial"/>
                <w:spacing w:val="-1"/>
              </w:rPr>
              <w:t>order</w:t>
            </w:r>
            <w:r>
              <w:rPr>
                <w:rFonts w:ascii="Arial"/>
                <w:spacing w:val="47"/>
              </w:rPr>
              <w:t xml:space="preserve"> </w:t>
            </w:r>
            <w:r>
              <w:rPr>
                <w:rFonts w:ascii="Arial"/>
              </w:rPr>
              <w:t>for</w:t>
            </w:r>
            <w:r>
              <w:rPr>
                <w:rFonts w:ascii="Arial"/>
                <w:spacing w:val="47"/>
              </w:rPr>
              <w:t xml:space="preserve"> </w:t>
            </w:r>
            <w:r>
              <w:rPr>
                <w:rFonts w:ascii="Arial"/>
                <w:spacing w:val="-1"/>
              </w:rPr>
              <w:t>the</w:t>
            </w:r>
            <w:r>
              <w:rPr>
                <w:rFonts w:ascii="Arial"/>
                <w:spacing w:val="48"/>
              </w:rPr>
              <w:t xml:space="preserve"> </w:t>
            </w:r>
            <w:r>
              <w:rPr>
                <w:rFonts w:ascii="Arial"/>
                <w:spacing w:val="-2"/>
              </w:rPr>
              <w:t>provision</w:t>
            </w:r>
            <w:r>
              <w:rPr>
                <w:rFonts w:ascii="Arial"/>
                <w:spacing w:val="48"/>
              </w:rPr>
              <w:t xml:space="preserve"> </w:t>
            </w:r>
            <w:r>
              <w:rPr>
                <w:rFonts w:ascii="Arial"/>
                <w:spacing w:val="-1"/>
              </w:rPr>
              <w:t>of</w:t>
            </w:r>
            <w:r>
              <w:rPr>
                <w:rFonts w:ascii="Arial"/>
                <w:spacing w:val="50"/>
              </w:rPr>
              <w:t xml:space="preserve"> </w:t>
            </w:r>
            <w:r>
              <w:rPr>
                <w:rFonts w:ascii="Arial"/>
              </w:rPr>
              <w:t>the</w:t>
            </w:r>
            <w:r>
              <w:rPr>
                <w:rFonts w:ascii="Arial"/>
                <w:spacing w:val="46"/>
              </w:rPr>
              <w:t xml:space="preserve"> </w:t>
            </w:r>
            <w:r>
              <w:rPr>
                <w:rFonts w:ascii="Arial"/>
                <w:spacing w:val="-1"/>
              </w:rPr>
              <w:t>Goods</w:t>
            </w:r>
            <w:r>
              <w:rPr>
                <w:rFonts w:ascii="Arial"/>
                <w:spacing w:val="49"/>
              </w:rPr>
              <w:t xml:space="preserve"> </w:t>
            </w:r>
            <w:r>
              <w:rPr>
                <w:rFonts w:ascii="Arial"/>
                <w:spacing w:val="-1"/>
              </w:rPr>
              <w:t>and/or</w:t>
            </w:r>
            <w:r>
              <w:rPr>
                <w:rFonts w:ascii="Arial"/>
                <w:spacing w:val="30"/>
              </w:rPr>
              <w:t xml:space="preserve"> </w:t>
            </w:r>
            <w:r>
              <w:rPr>
                <w:rFonts w:ascii="Arial"/>
                <w:spacing w:val="-1"/>
              </w:rPr>
              <w:t>Services</w:t>
            </w:r>
            <w:r>
              <w:rPr>
                <w:rFonts w:ascii="Arial"/>
                <w:spacing w:val="4"/>
              </w:rPr>
              <w:t xml:space="preserve"> </w:t>
            </w:r>
            <w:r>
              <w:rPr>
                <w:rFonts w:ascii="Arial"/>
                <w:spacing w:val="-1"/>
              </w:rPr>
              <w:t>placed</w:t>
            </w:r>
            <w:r>
              <w:rPr>
                <w:rFonts w:ascii="Arial"/>
                <w:spacing w:val="4"/>
              </w:rPr>
              <w:t xml:space="preserve"> </w:t>
            </w:r>
            <w:r>
              <w:rPr>
                <w:rFonts w:ascii="Arial"/>
                <w:spacing w:val="-1"/>
              </w:rPr>
              <w:t>by</w:t>
            </w:r>
            <w:r>
              <w:rPr>
                <w:rFonts w:ascii="Arial"/>
                <w:spacing w:val="2"/>
              </w:rPr>
              <w:t xml:space="preserve"> </w:t>
            </w:r>
            <w:r>
              <w:rPr>
                <w:rFonts w:ascii="Arial"/>
              </w:rPr>
              <w:t>the</w:t>
            </w:r>
            <w:r>
              <w:rPr>
                <w:rFonts w:ascii="Arial"/>
                <w:spacing w:val="6"/>
              </w:rPr>
              <w:t xml:space="preserve"> </w:t>
            </w:r>
            <w:r>
              <w:rPr>
                <w:rFonts w:ascii="Arial"/>
                <w:spacing w:val="-1"/>
              </w:rPr>
              <w:t>Customer</w:t>
            </w:r>
            <w:r>
              <w:rPr>
                <w:rFonts w:ascii="Arial"/>
                <w:spacing w:val="5"/>
              </w:rPr>
              <w:t xml:space="preserve"> </w:t>
            </w:r>
            <w:r>
              <w:rPr>
                <w:rFonts w:ascii="Arial"/>
                <w:spacing w:val="-2"/>
              </w:rPr>
              <w:t>with</w:t>
            </w:r>
            <w:r>
              <w:rPr>
                <w:rFonts w:ascii="Arial"/>
                <w:spacing w:val="4"/>
              </w:rPr>
              <w:t xml:space="preserve"> </w:t>
            </w:r>
            <w:r>
              <w:rPr>
                <w:rFonts w:ascii="Arial"/>
              </w:rPr>
              <w:t>the</w:t>
            </w:r>
            <w:r>
              <w:rPr>
                <w:rFonts w:ascii="Arial"/>
                <w:spacing w:val="4"/>
              </w:rPr>
              <w:t xml:space="preserve"> </w:t>
            </w:r>
            <w:r>
              <w:rPr>
                <w:rFonts w:ascii="Arial"/>
                <w:spacing w:val="-2"/>
              </w:rPr>
              <w:t>Supplier</w:t>
            </w:r>
            <w:r>
              <w:rPr>
                <w:rFonts w:ascii="Arial"/>
                <w:spacing w:val="5"/>
              </w:rPr>
              <w:t xml:space="preserve"> </w:t>
            </w:r>
            <w:r>
              <w:rPr>
                <w:rFonts w:ascii="Arial"/>
                <w:spacing w:val="-1"/>
              </w:rPr>
              <w:t>in</w:t>
            </w:r>
            <w:r>
              <w:rPr>
                <w:rFonts w:ascii="Arial"/>
                <w:spacing w:val="23"/>
              </w:rPr>
              <w:t xml:space="preserve"> </w:t>
            </w:r>
            <w:r>
              <w:rPr>
                <w:rFonts w:ascii="Arial"/>
                <w:spacing w:val="-1"/>
              </w:rPr>
              <w:t>accordance</w:t>
            </w:r>
            <w:r>
              <w:rPr>
                <w:rFonts w:ascii="Arial"/>
                <w:spacing w:val="61"/>
              </w:rPr>
              <w:t xml:space="preserve"> </w:t>
            </w:r>
            <w:r>
              <w:rPr>
                <w:rFonts w:ascii="Arial"/>
                <w:spacing w:val="-2"/>
              </w:rPr>
              <w:t>with</w:t>
            </w:r>
            <w:r>
              <w:rPr>
                <w:rFonts w:ascii="Arial"/>
                <w:spacing w:val="60"/>
              </w:rPr>
              <w:t xml:space="preserve"> </w:t>
            </w:r>
            <w:r>
              <w:rPr>
                <w:rFonts w:ascii="Arial"/>
              </w:rPr>
              <w:t>the</w:t>
            </w:r>
            <w:r>
              <w:rPr>
                <w:rFonts w:ascii="Arial"/>
                <w:spacing w:val="60"/>
              </w:rPr>
              <w:t xml:space="preserve"> </w:t>
            </w:r>
            <w:r>
              <w:rPr>
                <w:rFonts w:ascii="Arial"/>
                <w:spacing w:val="-2"/>
              </w:rPr>
              <w:t>Framework</w:t>
            </w:r>
            <w:r>
              <w:rPr>
                <w:rFonts w:ascii="Arial"/>
                <w:spacing w:val="2"/>
              </w:rPr>
              <w:t xml:space="preserve"> </w:t>
            </w:r>
            <w:r>
              <w:rPr>
                <w:rFonts w:ascii="Arial"/>
                <w:spacing w:val="-2"/>
              </w:rPr>
              <w:t>Agreement</w:t>
            </w:r>
            <w:r>
              <w:rPr>
                <w:rFonts w:ascii="Arial"/>
                <w:spacing w:val="1"/>
              </w:rPr>
              <w:t xml:space="preserve"> </w:t>
            </w:r>
            <w:r>
              <w:rPr>
                <w:rFonts w:ascii="Arial"/>
                <w:spacing w:val="-2"/>
              </w:rPr>
              <w:t>and</w:t>
            </w:r>
            <w:r>
              <w:rPr>
                <w:rFonts w:ascii="Arial"/>
                <w:spacing w:val="60"/>
              </w:rPr>
              <w:t xml:space="preserve"> </w:t>
            </w:r>
            <w:r>
              <w:rPr>
                <w:rFonts w:ascii="Arial"/>
                <w:spacing w:val="-1"/>
              </w:rPr>
              <w:t>under</w:t>
            </w:r>
            <w:r>
              <w:rPr>
                <w:rFonts w:ascii="Arial"/>
                <w:spacing w:val="46"/>
              </w:rPr>
              <w:t xml:space="preserve"> </w:t>
            </w:r>
            <w:r>
              <w:rPr>
                <w:rFonts w:ascii="Arial"/>
              </w:rPr>
              <w:t>the</w:t>
            </w:r>
            <w:r>
              <w:rPr>
                <w:rFonts w:ascii="Arial"/>
                <w:spacing w:val="-2"/>
              </w:rPr>
              <w:t xml:space="preserve"> </w:t>
            </w:r>
            <w:r>
              <w:rPr>
                <w:rFonts w:ascii="Arial"/>
                <w:spacing w:val="-1"/>
              </w:rPr>
              <w:t>terms</w:t>
            </w:r>
            <w:r>
              <w:rPr>
                <w:rFonts w:ascii="Arial"/>
                <w:spacing w:val="1"/>
              </w:rPr>
              <w:t xml:space="preserve"> </w:t>
            </w:r>
            <w:r>
              <w:rPr>
                <w:rFonts w:ascii="Arial"/>
                <w:spacing w:val="-2"/>
              </w:rPr>
              <w:t>of</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spacing w:val="-3"/>
              </w:rPr>
              <w:t xml:space="preserve"> </w:t>
            </w:r>
            <w:r>
              <w:rPr>
                <w:rFonts w:ascii="Arial"/>
                <w:spacing w:val="-1"/>
              </w:rPr>
              <w:t>Off</w:t>
            </w:r>
            <w:r>
              <w:rPr>
                <w:rFonts w:ascii="Arial"/>
              </w:rPr>
              <w:t xml:space="preserve"> </w:t>
            </w:r>
            <w:r>
              <w:rPr>
                <w:rFonts w:ascii="Arial"/>
                <w:spacing w:val="-1"/>
              </w:rPr>
              <w:t>Contract;</w:t>
            </w:r>
          </w:p>
        </w:tc>
      </w:tr>
      <w:tr w:rsidR="008918FA" w:rsidTr="005D2B81">
        <w:trPr>
          <w:trHeight w:hRule="exact" w:val="140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"Order</w:t>
            </w:r>
            <w:r>
              <w:rPr>
                <w:rFonts w:ascii="Arial"/>
                <w:b/>
                <w:spacing w:val="1"/>
              </w:rPr>
              <w:t xml:space="preserve"> </w:t>
            </w:r>
            <w:r>
              <w:rPr>
                <w:rFonts w:ascii="Arial"/>
                <w:b/>
                <w:spacing w:val="-2"/>
              </w:rPr>
              <w:t>Form"</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44"/>
              </w:rPr>
              <w:t xml:space="preserve"> </w:t>
            </w:r>
            <w:r>
              <w:rPr>
                <w:rFonts w:ascii="Arial"/>
              </w:rPr>
              <w:t>the</w:t>
            </w:r>
            <w:r>
              <w:rPr>
                <w:rFonts w:ascii="Arial"/>
                <w:spacing w:val="41"/>
              </w:rPr>
              <w:t xml:space="preserve"> </w:t>
            </w:r>
            <w:r>
              <w:rPr>
                <w:rFonts w:ascii="Arial"/>
                <w:spacing w:val="-1"/>
              </w:rPr>
              <w:t>form,</w:t>
            </w:r>
            <w:r>
              <w:rPr>
                <w:rFonts w:ascii="Arial"/>
                <w:spacing w:val="45"/>
              </w:rPr>
              <w:t xml:space="preserve"> </w:t>
            </w:r>
            <w:r>
              <w:rPr>
                <w:rFonts w:ascii="Arial"/>
                <w:spacing w:val="-1"/>
              </w:rPr>
              <w:t>as</w:t>
            </w:r>
            <w:r>
              <w:rPr>
                <w:rFonts w:ascii="Arial"/>
                <w:spacing w:val="44"/>
              </w:rPr>
              <w:t xml:space="preserve"> </w:t>
            </w:r>
            <w:r>
              <w:rPr>
                <w:rFonts w:ascii="Arial"/>
                <w:spacing w:val="-1"/>
              </w:rPr>
              <w:t>completed</w:t>
            </w:r>
            <w:r>
              <w:rPr>
                <w:rFonts w:ascii="Arial"/>
                <w:spacing w:val="43"/>
              </w:rPr>
              <w:t xml:space="preserve"> </w:t>
            </w:r>
            <w:r>
              <w:rPr>
                <w:rFonts w:ascii="Arial"/>
                <w:spacing w:val="-1"/>
              </w:rPr>
              <w:t>and</w:t>
            </w:r>
            <w:r>
              <w:rPr>
                <w:rFonts w:ascii="Arial"/>
                <w:spacing w:val="41"/>
              </w:rPr>
              <w:t xml:space="preserve"> </w:t>
            </w:r>
            <w:r>
              <w:rPr>
                <w:rFonts w:ascii="Arial"/>
                <w:spacing w:val="-1"/>
              </w:rPr>
              <w:t>forming</w:t>
            </w:r>
            <w:r>
              <w:rPr>
                <w:rFonts w:ascii="Arial"/>
                <w:spacing w:val="47"/>
              </w:rPr>
              <w:t xml:space="preserve"> </w:t>
            </w:r>
            <w:r>
              <w:rPr>
                <w:rFonts w:ascii="Arial"/>
                <w:spacing w:val="-1"/>
              </w:rPr>
              <w:t>part</w:t>
            </w:r>
            <w:r>
              <w:rPr>
                <w:rFonts w:ascii="Arial"/>
                <w:spacing w:val="45"/>
              </w:rPr>
              <w:t xml:space="preserve"> </w:t>
            </w:r>
            <w:r>
              <w:rPr>
                <w:rFonts w:ascii="Arial"/>
                <w:spacing w:val="-2"/>
              </w:rPr>
              <w:t>of</w:t>
            </w:r>
            <w:r>
              <w:rPr>
                <w:rFonts w:ascii="Arial"/>
                <w:spacing w:val="45"/>
              </w:rPr>
              <w:t xml:space="preserve"> </w:t>
            </w:r>
            <w:r>
              <w:rPr>
                <w:rFonts w:ascii="Arial"/>
                <w:spacing w:val="-1"/>
              </w:rPr>
              <w:t>this</w:t>
            </w:r>
            <w:r>
              <w:rPr>
                <w:rFonts w:ascii="Arial"/>
                <w:spacing w:val="27"/>
              </w:rPr>
              <w:t xml:space="preserve"> </w:t>
            </w:r>
            <w:r>
              <w:rPr>
                <w:rFonts w:ascii="Arial"/>
                <w:spacing w:val="-2"/>
              </w:rPr>
              <w:t>Call</w:t>
            </w:r>
            <w:r>
              <w:rPr>
                <w:rFonts w:ascii="Arial"/>
                <w:spacing w:val="6"/>
              </w:rPr>
              <w:t xml:space="preserve"> </w:t>
            </w:r>
            <w:r>
              <w:rPr>
                <w:rFonts w:ascii="Arial"/>
              </w:rPr>
              <w:t>Off</w:t>
            </w:r>
            <w:r>
              <w:rPr>
                <w:rFonts w:ascii="Arial"/>
                <w:spacing w:val="8"/>
              </w:rPr>
              <w:t xml:space="preserve"> </w:t>
            </w:r>
            <w:r>
              <w:rPr>
                <w:rFonts w:ascii="Arial"/>
                <w:spacing w:val="-1"/>
              </w:rPr>
              <w:t>Contract,</w:t>
            </w:r>
            <w:r>
              <w:rPr>
                <w:rFonts w:ascii="Arial"/>
                <w:spacing w:val="8"/>
              </w:rPr>
              <w:t xml:space="preserve"> </w:t>
            </w:r>
            <w:r>
              <w:rPr>
                <w:rFonts w:ascii="Arial"/>
                <w:spacing w:val="-1"/>
              </w:rPr>
              <w:t>which</w:t>
            </w:r>
            <w:r>
              <w:rPr>
                <w:rFonts w:ascii="Arial"/>
                <w:spacing w:val="6"/>
              </w:rPr>
              <w:t xml:space="preserve"> </w:t>
            </w:r>
            <w:r>
              <w:rPr>
                <w:rFonts w:ascii="Arial"/>
                <w:spacing w:val="-1"/>
              </w:rPr>
              <w:t>contains</w:t>
            </w:r>
            <w:r>
              <w:rPr>
                <w:rFonts w:ascii="Arial"/>
                <w:spacing w:val="7"/>
              </w:rPr>
              <w:t xml:space="preserve"> </w:t>
            </w:r>
            <w:r>
              <w:rPr>
                <w:rFonts w:ascii="Arial"/>
                <w:spacing w:val="-1"/>
              </w:rPr>
              <w:t>details</w:t>
            </w:r>
            <w:r>
              <w:rPr>
                <w:rFonts w:ascii="Arial"/>
                <w:spacing w:val="7"/>
              </w:rPr>
              <w:t xml:space="preserve"> </w:t>
            </w:r>
            <w:r>
              <w:rPr>
                <w:rFonts w:ascii="Arial"/>
                <w:spacing w:val="-2"/>
              </w:rPr>
              <w:t>of</w:t>
            </w:r>
            <w:r>
              <w:rPr>
                <w:rFonts w:ascii="Arial"/>
                <w:spacing w:val="10"/>
              </w:rPr>
              <w:t xml:space="preserve"> </w:t>
            </w:r>
            <w:r>
              <w:rPr>
                <w:rFonts w:ascii="Arial"/>
                <w:spacing w:val="-2"/>
              </w:rPr>
              <w:t>an</w:t>
            </w:r>
            <w:r>
              <w:rPr>
                <w:rFonts w:ascii="Arial"/>
                <w:spacing w:val="6"/>
              </w:rPr>
              <w:t xml:space="preserve"> </w:t>
            </w:r>
            <w:r>
              <w:rPr>
                <w:rFonts w:ascii="Arial"/>
                <w:spacing w:val="-1"/>
              </w:rPr>
              <w:t>Order,</w:t>
            </w:r>
            <w:r>
              <w:rPr>
                <w:rFonts w:ascii="Arial"/>
                <w:spacing w:val="31"/>
              </w:rPr>
              <w:t xml:space="preserve"> </w:t>
            </w:r>
            <w:r>
              <w:rPr>
                <w:rFonts w:ascii="Arial"/>
                <w:spacing w:val="-1"/>
              </w:rPr>
              <w:t>together</w:t>
            </w:r>
            <w:r>
              <w:rPr>
                <w:rFonts w:ascii="Arial"/>
                <w:spacing w:val="30"/>
              </w:rPr>
              <w:t xml:space="preserve"> </w:t>
            </w:r>
            <w:r>
              <w:rPr>
                <w:rFonts w:ascii="Arial"/>
                <w:spacing w:val="-2"/>
              </w:rPr>
              <w:t>with</w:t>
            </w:r>
            <w:r>
              <w:rPr>
                <w:rFonts w:ascii="Arial"/>
                <w:spacing w:val="29"/>
              </w:rPr>
              <w:t xml:space="preserve"> </w:t>
            </w:r>
            <w:r>
              <w:rPr>
                <w:rFonts w:ascii="Arial"/>
                <w:spacing w:val="-1"/>
              </w:rPr>
              <w:t>other</w:t>
            </w:r>
            <w:r>
              <w:rPr>
                <w:rFonts w:ascii="Arial"/>
                <w:spacing w:val="28"/>
              </w:rPr>
              <w:t xml:space="preserve"> </w:t>
            </w:r>
            <w:r>
              <w:rPr>
                <w:rFonts w:ascii="Arial"/>
                <w:spacing w:val="-1"/>
              </w:rPr>
              <w:t>information</w:t>
            </w:r>
            <w:r>
              <w:rPr>
                <w:rFonts w:ascii="Arial"/>
                <w:spacing w:val="29"/>
              </w:rPr>
              <w:t xml:space="preserve"> </w:t>
            </w:r>
            <w:r>
              <w:rPr>
                <w:rFonts w:ascii="Arial"/>
                <w:spacing w:val="-1"/>
              </w:rPr>
              <w:t>in</w:t>
            </w:r>
            <w:r>
              <w:rPr>
                <w:rFonts w:ascii="Arial"/>
                <w:spacing w:val="27"/>
              </w:rPr>
              <w:t xml:space="preserve"> </w:t>
            </w:r>
            <w:r>
              <w:rPr>
                <w:rFonts w:ascii="Arial"/>
                <w:spacing w:val="-1"/>
              </w:rPr>
              <w:t>relation</w:t>
            </w:r>
            <w:r>
              <w:rPr>
                <w:rFonts w:ascii="Arial"/>
                <w:spacing w:val="27"/>
              </w:rPr>
              <w:t xml:space="preserve"> </w:t>
            </w:r>
            <w:r>
              <w:rPr>
                <w:rFonts w:ascii="Arial"/>
              </w:rPr>
              <w:t>to</w:t>
            </w:r>
            <w:r>
              <w:rPr>
                <w:rFonts w:ascii="Arial"/>
                <w:spacing w:val="29"/>
              </w:rPr>
              <w:t xml:space="preserve"> </w:t>
            </w:r>
            <w:r>
              <w:rPr>
                <w:rFonts w:ascii="Arial"/>
                <w:spacing w:val="-1"/>
              </w:rPr>
              <w:t>such</w:t>
            </w:r>
            <w:r>
              <w:rPr>
                <w:rFonts w:ascii="Arial"/>
                <w:spacing w:val="29"/>
              </w:rPr>
              <w:t xml:space="preserve"> </w:t>
            </w:r>
            <w:r>
              <w:rPr>
                <w:rFonts w:ascii="Arial"/>
                <w:spacing w:val="-1"/>
              </w:rPr>
              <w:t>Order,</w:t>
            </w:r>
            <w:r>
              <w:rPr>
                <w:rFonts w:ascii="Arial"/>
                <w:spacing w:val="29"/>
              </w:rPr>
              <w:t xml:space="preserve"> </w:t>
            </w:r>
            <w:r>
              <w:rPr>
                <w:rFonts w:ascii="Arial"/>
                <w:spacing w:val="-2"/>
              </w:rPr>
              <w:t>including</w:t>
            </w:r>
            <w:r>
              <w:rPr>
                <w:rFonts w:ascii="Arial"/>
                <w:spacing w:val="46"/>
              </w:rPr>
              <w:t xml:space="preserve"> </w:t>
            </w:r>
            <w:r>
              <w:rPr>
                <w:rFonts w:ascii="Arial"/>
                <w:spacing w:val="-2"/>
              </w:rPr>
              <w:t>without</w:t>
            </w:r>
            <w:r>
              <w:rPr>
                <w:rFonts w:ascii="Arial"/>
                <w:spacing w:val="45"/>
              </w:rPr>
              <w:t xml:space="preserve"> </w:t>
            </w:r>
            <w:r>
              <w:rPr>
                <w:rFonts w:ascii="Arial"/>
                <w:spacing w:val="-1"/>
              </w:rPr>
              <w:t>limitation</w:t>
            </w:r>
            <w:r>
              <w:rPr>
                <w:rFonts w:ascii="Arial"/>
                <w:spacing w:val="43"/>
              </w:rPr>
              <w:t xml:space="preserve"> </w:t>
            </w:r>
            <w:r>
              <w:rPr>
                <w:rFonts w:ascii="Arial"/>
              </w:rPr>
              <w:t>the</w:t>
            </w:r>
            <w:r>
              <w:rPr>
                <w:rFonts w:ascii="Arial"/>
                <w:spacing w:val="43"/>
              </w:rPr>
              <w:t xml:space="preserve"> </w:t>
            </w:r>
            <w:r>
              <w:rPr>
                <w:rFonts w:ascii="Arial"/>
                <w:spacing w:val="-1"/>
              </w:rPr>
              <w:t>description</w:t>
            </w:r>
            <w:r>
              <w:rPr>
                <w:rFonts w:ascii="Arial"/>
                <w:spacing w:val="43"/>
              </w:rPr>
              <w:t xml:space="preserve"> </w:t>
            </w:r>
            <w:r>
              <w:rPr>
                <w:rFonts w:ascii="Arial"/>
                <w:spacing w:val="-2"/>
              </w:rPr>
              <w:t>of</w:t>
            </w:r>
            <w:r>
              <w:rPr>
                <w:rFonts w:ascii="Arial"/>
                <w:spacing w:val="42"/>
              </w:rPr>
              <w:t xml:space="preserve"> </w:t>
            </w:r>
            <w:r>
              <w:rPr>
                <w:rFonts w:ascii="Arial"/>
                <w:spacing w:val="-1"/>
              </w:rPr>
              <w:t>the</w:t>
            </w:r>
            <w:r>
              <w:rPr>
                <w:rFonts w:ascii="Arial"/>
                <w:spacing w:val="44"/>
              </w:rPr>
              <w:t xml:space="preserve"> </w:t>
            </w:r>
            <w:r>
              <w:rPr>
                <w:rFonts w:ascii="Arial"/>
                <w:spacing w:val="-1"/>
              </w:rPr>
              <w:t>Goods</w:t>
            </w:r>
            <w:r>
              <w:rPr>
                <w:rFonts w:ascii="Arial"/>
                <w:spacing w:val="38"/>
              </w:rPr>
              <w:t xml:space="preserve"> </w:t>
            </w:r>
            <w:r>
              <w:rPr>
                <w:rFonts w:ascii="Arial"/>
                <w:spacing w:val="-1"/>
              </w:rPr>
              <w:t>and/or Services</w:t>
            </w:r>
            <w:r>
              <w:rPr>
                <w:rFonts w:ascii="Arial"/>
                <w:spacing w:val="1"/>
              </w:rPr>
              <w:t xml:space="preserve"> </w:t>
            </w:r>
            <w:r>
              <w:rPr>
                <w:rFonts w:ascii="Arial"/>
              </w:rPr>
              <w:t>to</w:t>
            </w:r>
            <w:r>
              <w:rPr>
                <w:rFonts w:ascii="Arial"/>
                <w:spacing w:val="-2"/>
              </w:rPr>
              <w:t xml:space="preserve"> </w:t>
            </w:r>
            <w:r>
              <w:rPr>
                <w:rFonts w:ascii="Arial"/>
                <w:spacing w:val="-1"/>
              </w:rPr>
              <w:t>be</w:t>
            </w:r>
            <w:r>
              <w:rPr>
                <w:rFonts w:ascii="Arial"/>
              </w:rPr>
              <w:t xml:space="preserve"> </w:t>
            </w:r>
            <w:r>
              <w:rPr>
                <w:rFonts w:ascii="Arial"/>
                <w:spacing w:val="-2"/>
              </w:rPr>
              <w:t>supplied;</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"Other Supplier"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19"/>
              </w:rPr>
              <w:t xml:space="preserve"> </w:t>
            </w:r>
            <w:r>
              <w:rPr>
                <w:rFonts w:ascii="Arial"/>
                <w:spacing w:val="-1"/>
              </w:rPr>
              <w:t>any</w:t>
            </w:r>
            <w:r>
              <w:rPr>
                <w:rFonts w:ascii="Arial"/>
                <w:spacing w:val="16"/>
              </w:rPr>
              <w:t xml:space="preserve"> </w:t>
            </w:r>
            <w:r>
              <w:rPr>
                <w:rFonts w:ascii="Arial"/>
                <w:spacing w:val="-1"/>
              </w:rPr>
              <w:t>supplier</w:t>
            </w:r>
            <w:r>
              <w:rPr>
                <w:rFonts w:ascii="Arial"/>
                <w:spacing w:val="20"/>
              </w:rPr>
              <w:t xml:space="preserve"> </w:t>
            </w:r>
            <w:r>
              <w:rPr>
                <w:rFonts w:ascii="Arial"/>
              </w:rPr>
              <w:t>to</w:t>
            </w:r>
            <w:r>
              <w:rPr>
                <w:rFonts w:ascii="Arial"/>
                <w:spacing w:val="18"/>
              </w:rPr>
              <w:t xml:space="preserve"> </w:t>
            </w:r>
            <w:r>
              <w:rPr>
                <w:rFonts w:ascii="Arial"/>
              </w:rPr>
              <w:t>the</w:t>
            </w:r>
            <w:r>
              <w:rPr>
                <w:rFonts w:ascii="Arial"/>
                <w:spacing w:val="18"/>
              </w:rPr>
              <w:t xml:space="preserve"> </w:t>
            </w:r>
            <w:r>
              <w:rPr>
                <w:rFonts w:ascii="Arial"/>
                <w:spacing w:val="-1"/>
              </w:rPr>
              <w:t>Customer</w:t>
            </w:r>
            <w:r>
              <w:rPr>
                <w:rFonts w:ascii="Arial"/>
                <w:spacing w:val="20"/>
              </w:rPr>
              <w:t xml:space="preserve"> </w:t>
            </w:r>
            <w:r>
              <w:rPr>
                <w:rFonts w:ascii="Arial"/>
                <w:spacing w:val="-1"/>
              </w:rPr>
              <w:t>(other</w:t>
            </w:r>
            <w:r>
              <w:rPr>
                <w:rFonts w:ascii="Arial"/>
                <w:spacing w:val="17"/>
              </w:rPr>
              <w:t xml:space="preserve"> </w:t>
            </w:r>
            <w:r>
              <w:rPr>
                <w:rFonts w:ascii="Arial"/>
                <w:spacing w:val="-1"/>
              </w:rPr>
              <w:t>than</w:t>
            </w:r>
            <w:r>
              <w:rPr>
                <w:rFonts w:ascii="Arial"/>
                <w:spacing w:val="18"/>
              </w:rPr>
              <w:t xml:space="preserve"> </w:t>
            </w:r>
            <w:r>
              <w:rPr>
                <w:rFonts w:ascii="Arial"/>
                <w:spacing w:val="-1"/>
              </w:rPr>
              <w:t>the</w:t>
            </w:r>
            <w:r>
              <w:rPr>
                <w:rFonts w:ascii="Arial"/>
                <w:spacing w:val="24"/>
              </w:rPr>
              <w:t xml:space="preserve"> </w:t>
            </w:r>
            <w:r>
              <w:rPr>
                <w:rFonts w:ascii="Arial"/>
                <w:spacing w:val="-1"/>
              </w:rPr>
              <w:t>Supplier)</w:t>
            </w:r>
            <w:r>
              <w:rPr>
                <w:rFonts w:ascii="Arial"/>
                <w:spacing w:val="2"/>
              </w:rPr>
              <w:t xml:space="preserve"> </w:t>
            </w:r>
            <w:r>
              <w:rPr>
                <w:rFonts w:ascii="Arial"/>
                <w:spacing w:val="-2"/>
              </w:rPr>
              <w:t>which</w:t>
            </w:r>
            <w:r>
              <w:rPr>
                <w:rFonts w:ascii="Arial"/>
                <w:spacing w:val="1"/>
              </w:rPr>
              <w:t xml:space="preserve"> </w:t>
            </w:r>
            <w:r>
              <w:rPr>
                <w:rFonts w:ascii="Arial"/>
                <w:spacing w:val="-1"/>
              </w:rPr>
              <w:t>is</w:t>
            </w:r>
            <w:r>
              <w:rPr>
                <w:rFonts w:ascii="Arial"/>
                <w:spacing w:val="-2"/>
              </w:rPr>
              <w:t xml:space="preserve"> </w:t>
            </w:r>
            <w:r>
              <w:rPr>
                <w:rFonts w:ascii="Arial"/>
                <w:spacing w:val="-1"/>
              </w:rPr>
              <w:t>notified</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Supplier</w:t>
            </w:r>
            <w:r>
              <w:rPr>
                <w:rFonts w:ascii="Arial"/>
                <w:spacing w:val="-1"/>
              </w:rPr>
              <w:t xml:space="preserve"> </w:t>
            </w:r>
            <w:r>
              <w:rPr>
                <w:rFonts w:ascii="Arial"/>
              </w:rPr>
              <w:t>from</w:t>
            </w:r>
            <w:r>
              <w:rPr>
                <w:rFonts w:ascii="Arial"/>
                <w:spacing w:val="-3"/>
              </w:rPr>
              <w:t xml:space="preserve"> </w:t>
            </w:r>
            <w:r>
              <w:rPr>
                <w:rFonts w:ascii="Arial"/>
                <w:spacing w:val="-1"/>
              </w:rPr>
              <w:t>time</w:t>
            </w:r>
            <w:r>
              <w:rPr>
                <w:rFonts w:ascii="Arial"/>
                <w:spacing w:val="-2"/>
              </w:rPr>
              <w:t xml:space="preserve"> </w:t>
            </w:r>
            <w:r>
              <w:rPr>
                <w:rFonts w:ascii="Arial"/>
              </w:rPr>
              <w:t>to</w:t>
            </w:r>
            <w:r>
              <w:rPr>
                <w:rFonts w:ascii="Arial"/>
                <w:spacing w:val="-2"/>
              </w:rPr>
              <w:t xml:space="preserve"> </w:t>
            </w:r>
            <w:r>
              <w:rPr>
                <w:rFonts w:ascii="Arial"/>
                <w:spacing w:val="-1"/>
              </w:rPr>
              <w:t>time</w:t>
            </w:r>
            <w:r>
              <w:rPr>
                <w:rFonts w:ascii="Arial"/>
                <w:spacing w:val="45"/>
              </w:rPr>
              <w:t xml:space="preserve"> </w:t>
            </w:r>
            <w:r>
              <w:rPr>
                <w:rFonts w:ascii="Arial"/>
                <w:spacing w:val="-1"/>
              </w:rPr>
              <w:t xml:space="preserve">and/or </w:t>
            </w:r>
            <w:r>
              <w:rPr>
                <w:rFonts w:ascii="Arial"/>
                <w:spacing w:val="-2"/>
              </w:rPr>
              <w:t>of</w:t>
            </w:r>
            <w:r>
              <w:rPr>
                <w:rFonts w:ascii="Arial"/>
                <w:spacing w:val="2"/>
              </w:rPr>
              <w:t xml:space="preserve"> </w:t>
            </w:r>
            <w:r>
              <w:rPr>
                <w:rFonts w:ascii="Arial"/>
                <w:spacing w:val="-2"/>
              </w:rPr>
              <w:t>which</w:t>
            </w:r>
            <w:r>
              <w:rPr>
                <w:rFonts w:ascii="Arial"/>
                <w:spacing w:val="1"/>
              </w:rPr>
              <w:t xml:space="preserve"> </w:t>
            </w:r>
            <w:r>
              <w:rPr>
                <w:rFonts w:ascii="Arial"/>
              </w:rPr>
              <w:t xml:space="preserve">the </w:t>
            </w:r>
            <w:r>
              <w:rPr>
                <w:rFonts w:ascii="Arial"/>
                <w:spacing w:val="-2"/>
              </w:rPr>
              <w:t>Supplier</w:t>
            </w:r>
            <w:r>
              <w:rPr>
                <w:rFonts w:ascii="Arial"/>
                <w:spacing w:val="2"/>
              </w:rPr>
              <w:t xml:space="preserve"> </w:t>
            </w:r>
            <w:r>
              <w:rPr>
                <w:rFonts w:ascii="Arial"/>
                <w:spacing w:val="-1"/>
              </w:rPr>
              <w:t>should</w:t>
            </w:r>
            <w:r>
              <w:rPr>
                <w:rFonts w:ascii="Arial"/>
              </w:rPr>
              <w:t xml:space="preserve"> </w:t>
            </w:r>
            <w:r>
              <w:rPr>
                <w:rFonts w:ascii="Arial"/>
                <w:spacing w:val="-2"/>
              </w:rPr>
              <w:t>have</w:t>
            </w:r>
            <w:r>
              <w:rPr>
                <w:rFonts w:ascii="Arial"/>
              </w:rPr>
              <w:t xml:space="preserve"> </w:t>
            </w:r>
            <w:r>
              <w:rPr>
                <w:rFonts w:ascii="Arial"/>
                <w:spacing w:val="-1"/>
              </w:rPr>
              <w:t>been</w:t>
            </w:r>
            <w:r>
              <w:rPr>
                <w:rFonts w:ascii="Arial"/>
              </w:rPr>
              <w:t xml:space="preserve"> </w:t>
            </w:r>
            <w:r>
              <w:rPr>
                <w:rFonts w:ascii="Arial"/>
                <w:spacing w:val="-2"/>
              </w:rPr>
              <w:t>aware;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729"/>
              <w:rPr>
                <w:rFonts w:ascii="Arial" w:eastAsia="Arial" w:hAnsi="Arial" w:cs="Arial"/>
              </w:rPr>
            </w:pPr>
            <w:r>
              <w:rPr>
                <w:rFonts w:ascii="Arial"/>
                <w:b/>
                <w:spacing w:val="-1"/>
              </w:rPr>
              <w:t>"Over-Delivered</w:t>
            </w:r>
            <w:r>
              <w:rPr>
                <w:rFonts w:ascii="Arial"/>
                <w:b/>
                <w:spacing w:val="22"/>
              </w:rPr>
              <w:t xml:space="preserve"> </w:t>
            </w:r>
            <w:r>
              <w:rPr>
                <w:rFonts w:ascii="Arial"/>
                <w:b/>
                <w:spacing w:val="-1"/>
              </w:rPr>
              <w:t>Goods"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96" w:hanging="1"/>
              <w:rPr>
                <w:rFonts w:ascii="Arial" w:eastAsia="Arial" w:hAnsi="Arial" w:cs="Arial"/>
              </w:rPr>
            </w:pPr>
            <w:r>
              <w:rPr>
                <w:rFonts w:ascii="Arial"/>
                <w:spacing w:val="-1"/>
              </w:rPr>
              <w:t>has</w:t>
            </w:r>
            <w:r>
              <w:rPr>
                <w:rFonts w:ascii="Arial"/>
              </w:rPr>
              <w:t xml:space="preserve"> </w:t>
            </w:r>
            <w:r>
              <w:rPr>
                <w:rFonts w:ascii="Arial"/>
                <w:spacing w:val="31"/>
              </w:rPr>
              <w:t xml:space="preserve"> </w:t>
            </w:r>
            <w:r>
              <w:rPr>
                <w:rFonts w:ascii="Arial"/>
              </w:rPr>
              <w:t xml:space="preserve">the </w:t>
            </w:r>
            <w:r>
              <w:rPr>
                <w:rFonts w:ascii="Arial"/>
                <w:spacing w:val="30"/>
              </w:rPr>
              <w:t xml:space="preserve"> </w:t>
            </w:r>
            <w:r>
              <w:rPr>
                <w:rFonts w:ascii="Arial"/>
                <w:spacing w:val="-2"/>
              </w:rPr>
              <w:t>meaning</w:t>
            </w:r>
            <w:r>
              <w:rPr>
                <w:rFonts w:ascii="Arial"/>
              </w:rPr>
              <w:t xml:space="preserve"> </w:t>
            </w:r>
            <w:r>
              <w:rPr>
                <w:rFonts w:ascii="Arial"/>
                <w:spacing w:val="30"/>
              </w:rPr>
              <w:t xml:space="preserve"> </w:t>
            </w:r>
            <w:r>
              <w:rPr>
                <w:rFonts w:ascii="Arial"/>
                <w:spacing w:val="-1"/>
              </w:rPr>
              <w:t>given</w:t>
            </w:r>
            <w:r>
              <w:rPr>
                <w:rFonts w:ascii="Arial"/>
              </w:rPr>
              <w:t xml:space="preserve"> </w:t>
            </w:r>
            <w:r>
              <w:rPr>
                <w:rFonts w:ascii="Arial"/>
                <w:spacing w:val="30"/>
              </w:rPr>
              <w:t xml:space="preserve"> </w:t>
            </w:r>
            <w:r>
              <w:rPr>
                <w:rFonts w:ascii="Arial"/>
              </w:rPr>
              <w:t xml:space="preserve">to </w:t>
            </w:r>
            <w:r>
              <w:rPr>
                <w:rFonts w:ascii="Arial"/>
                <w:spacing w:val="30"/>
              </w:rPr>
              <w:t xml:space="preserve"> </w:t>
            </w:r>
            <w:r>
              <w:rPr>
                <w:rFonts w:ascii="Arial"/>
                <w:spacing w:val="-1"/>
              </w:rPr>
              <w:t>it</w:t>
            </w:r>
            <w:r>
              <w:rPr>
                <w:rFonts w:ascii="Arial"/>
              </w:rPr>
              <w:t xml:space="preserve"> </w:t>
            </w:r>
            <w:r>
              <w:rPr>
                <w:rFonts w:ascii="Arial"/>
                <w:spacing w:val="32"/>
              </w:rPr>
              <w:t xml:space="preserve"> </w:t>
            </w:r>
            <w:r>
              <w:rPr>
                <w:rFonts w:ascii="Arial"/>
                <w:spacing w:val="-1"/>
              </w:rPr>
              <w:t>in</w:t>
            </w:r>
            <w:r>
              <w:rPr>
                <w:rFonts w:ascii="Arial"/>
              </w:rPr>
              <w:t xml:space="preserve"> </w:t>
            </w:r>
            <w:r>
              <w:rPr>
                <w:rFonts w:ascii="Arial"/>
                <w:spacing w:val="31"/>
              </w:rPr>
              <w:t xml:space="preserve"> </w:t>
            </w:r>
            <w:r>
              <w:rPr>
                <w:rFonts w:ascii="Arial"/>
                <w:spacing w:val="-1"/>
              </w:rPr>
              <w:t>Clause</w:t>
            </w:r>
            <w:r>
              <w:rPr>
                <w:rFonts w:ascii="Arial"/>
              </w:rPr>
              <w:t xml:space="preserve"> </w:t>
            </w:r>
            <w:r>
              <w:rPr>
                <w:rFonts w:ascii="Arial"/>
                <w:spacing w:val="31"/>
              </w:rPr>
              <w:t xml:space="preserve"> </w:t>
            </w:r>
            <w:hyperlink w:anchor="_bookmark84" w:history="1">
              <w:r>
                <w:rPr>
                  <w:rFonts w:ascii="Arial"/>
                  <w:spacing w:val="-1"/>
                </w:rPr>
                <w:t>9.4.1</w:t>
              </w:r>
            </w:hyperlink>
            <w:r>
              <w:rPr>
                <w:rFonts w:ascii="Arial"/>
              </w:rPr>
              <w:t xml:space="preserve"> </w:t>
            </w:r>
            <w:r>
              <w:rPr>
                <w:rFonts w:ascii="Arial"/>
                <w:spacing w:val="30"/>
              </w:rPr>
              <w:t xml:space="preserve"> </w:t>
            </w:r>
            <w:r>
              <w:rPr>
                <w:rFonts w:ascii="Arial"/>
                <w:spacing w:val="-1"/>
              </w:rPr>
              <w:t>(Over-</w:t>
            </w:r>
            <w:r>
              <w:rPr>
                <w:rFonts w:ascii="Arial"/>
                <w:spacing w:val="29"/>
              </w:rPr>
              <w:t xml:space="preserve"> </w:t>
            </w:r>
            <w:r>
              <w:rPr>
                <w:rFonts w:ascii="Arial"/>
                <w:spacing w:val="-1"/>
              </w:rPr>
              <w:t>Delivered</w:t>
            </w:r>
            <w:r>
              <w:rPr>
                <w:rFonts w:ascii="Arial"/>
              </w:rPr>
              <w:t xml:space="preserve"> </w:t>
            </w:r>
            <w:r>
              <w:rPr>
                <w:rFonts w:ascii="Arial"/>
                <w:spacing w:val="-1"/>
              </w:rPr>
              <w:t>Goods);</w:t>
            </w:r>
          </w:p>
        </w:tc>
      </w:tr>
      <w:tr w:rsidR="008918FA" w:rsidTr="005D2B81">
        <w:trPr>
          <w:trHeight w:hRule="exact" w:val="241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"Overhead"</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eastAsia="Arial" w:hAnsi="Arial" w:cs="Arial"/>
                <w:spacing w:val="-1"/>
              </w:rPr>
              <w:t>means</w:t>
            </w:r>
            <w:r>
              <w:rPr>
                <w:rFonts w:ascii="Arial" w:eastAsia="Arial" w:hAnsi="Arial" w:cs="Arial"/>
                <w:spacing w:val="46"/>
              </w:rPr>
              <w:t xml:space="preserve"> </w:t>
            </w:r>
            <w:r>
              <w:rPr>
                <w:rFonts w:ascii="Arial" w:eastAsia="Arial" w:hAnsi="Arial" w:cs="Arial"/>
                <w:spacing w:val="-1"/>
              </w:rPr>
              <w:t>those</w:t>
            </w:r>
            <w:r>
              <w:rPr>
                <w:rFonts w:ascii="Arial" w:eastAsia="Arial" w:hAnsi="Arial" w:cs="Arial"/>
                <w:spacing w:val="46"/>
              </w:rPr>
              <w:t xml:space="preserve"> </w:t>
            </w:r>
            <w:r>
              <w:rPr>
                <w:rFonts w:ascii="Arial" w:eastAsia="Arial" w:hAnsi="Arial" w:cs="Arial"/>
                <w:spacing w:val="-2"/>
              </w:rPr>
              <w:t>amounts</w:t>
            </w:r>
            <w:r>
              <w:rPr>
                <w:rFonts w:ascii="Arial" w:eastAsia="Arial" w:hAnsi="Arial" w:cs="Arial"/>
                <w:spacing w:val="46"/>
              </w:rPr>
              <w:t xml:space="preserve"> </w:t>
            </w:r>
            <w:r>
              <w:rPr>
                <w:rFonts w:ascii="Arial" w:eastAsia="Arial" w:hAnsi="Arial" w:cs="Arial"/>
                <w:spacing w:val="-1"/>
              </w:rPr>
              <w:t>which</w:t>
            </w:r>
            <w:r>
              <w:rPr>
                <w:rFonts w:ascii="Arial" w:eastAsia="Arial" w:hAnsi="Arial" w:cs="Arial"/>
                <w:spacing w:val="46"/>
              </w:rPr>
              <w:t xml:space="preserve"> </w:t>
            </w:r>
            <w:r>
              <w:rPr>
                <w:rFonts w:ascii="Arial" w:eastAsia="Arial" w:hAnsi="Arial" w:cs="Arial"/>
                <w:spacing w:val="-1"/>
              </w:rPr>
              <w:t>are</w:t>
            </w:r>
            <w:r>
              <w:rPr>
                <w:rFonts w:ascii="Arial" w:eastAsia="Arial" w:hAnsi="Arial" w:cs="Arial"/>
                <w:spacing w:val="46"/>
              </w:rPr>
              <w:t xml:space="preserve"> </w:t>
            </w:r>
            <w:r>
              <w:rPr>
                <w:rFonts w:ascii="Arial" w:eastAsia="Arial" w:hAnsi="Arial" w:cs="Arial"/>
                <w:spacing w:val="-1"/>
              </w:rPr>
              <w:t>intended</w:t>
            </w:r>
            <w:r>
              <w:rPr>
                <w:rFonts w:ascii="Arial" w:eastAsia="Arial" w:hAnsi="Arial" w:cs="Arial"/>
                <w:spacing w:val="46"/>
              </w:rPr>
              <w:t xml:space="preserve"> </w:t>
            </w:r>
            <w:r>
              <w:rPr>
                <w:rFonts w:ascii="Arial" w:eastAsia="Arial" w:hAnsi="Arial" w:cs="Arial"/>
              </w:rPr>
              <w:t>to</w:t>
            </w:r>
            <w:r>
              <w:rPr>
                <w:rFonts w:ascii="Arial" w:eastAsia="Arial" w:hAnsi="Arial" w:cs="Arial"/>
                <w:spacing w:val="47"/>
              </w:rPr>
              <w:t xml:space="preserve"> </w:t>
            </w:r>
            <w:r>
              <w:rPr>
                <w:rFonts w:ascii="Arial" w:eastAsia="Arial" w:hAnsi="Arial" w:cs="Arial"/>
                <w:spacing w:val="-2"/>
              </w:rPr>
              <w:t>recover</w:t>
            </w:r>
            <w:r>
              <w:rPr>
                <w:rFonts w:ascii="Arial" w:eastAsia="Arial" w:hAnsi="Arial" w:cs="Arial"/>
                <w:spacing w:val="47"/>
              </w:rPr>
              <w:t xml:space="preserve"> </w:t>
            </w:r>
            <w:r>
              <w:rPr>
                <w:rFonts w:ascii="Arial" w:eastAsia="Arial" w:hAnsi="Arial" w:cs="Arial"/>
              </w:rPr>
              <w:t>a</w:t>
            </w:r>
            <w:r>
              <w:rPr>
                <w:rFonts w:ascii="Arial" w:eastAsia="Arial" w:hAnsi="Arial" w:cs="Arial"/>
                <w:spacing w:val="45"/>
              </w:rPr>
              <w:t xml:space="preserve"> </w:t>
            </w:r>
            <w:r>
              <w:rPr>
                <w:rFonts w:ascii="Arial" w:eastAsia="Arial" w:hAnsi="Arial" w:cs="Arial"/>
                <w:spacing w:val="-1"/>
              </w:rPr>
              <w:t>proportion</w:t>
            </w:r>
            <w:r>
              <w:rPr>
                <w:rFonts w:ascii="Arial" w:eastAsia="Arial" w:hAnsi="Arial" w:cs="Arial"/>
                <w:spacing w:val="36"/>
              </w:rPr>
              <w:t xml:space="preserve"> </w:t>
            </w:r>
            <w:r>
              <w:rPr>
                <w:rFonts w:ascii="Arial" w:eastAsia="Arial" w:hAnsi="Arial" w:cs="Arial"/>
                <w:spacing w:val="-1"/>
              </w:rPr>
              <w:t>of</w:t>
            </w:r>
            <w:r>
              <w:rPr>
                <w:rFonts w:ascii="Arial" w:eastAsia="Arial" w:hAnsi="Arial" w:cs="Arial"/>
                <w:spacing w:val="40"/>
              </w:rPr>
              <w:t xml:space="preserve"> </w:t>
            </w:r>
            <w:r>
              <w:rPr>
                <w:rFonts w:ascii="Arial" w:eastAsia="Arial" w:hAnsi="Arial" w:cs="Arial"/>
              </w:rPr>
              <w:t>the</w:t>
            </w:r>
            <w:r>
              <w:rPr>
                <w:rFonts w:ascii="Arial" w:eastAsia="Arial" w:hAnsi="Arial" w:cs="Arial"/>
                <w:spacing w:val="36"/>
              </w:rPr>
              <w:t xml:space="preserve"> </w:t>
            </w:r>
            <w:r>
              <w:rPr>
                <w:rFonts w:ascii="Arial" w:eastAsia="Arial" w:hAnsi="Arial" w:cs="Arial"/>
                <w:spacing w:val="-2"/>
              </w:rPr>
              <w:t>Supplier’s</w:t>
            </w:r>
            <w:r>
              <w:rPr>
                <w:rFonts w:ascii="Arial" w:eastAsia="Arial" w:hAnsi="Arial" w:cs="Arial"/>
                <w:spacing w:val="37"/>
              </w:rPr>
              <w:t xml:space="preserve"> </w:t>
            </w:r>
            <w:r>
              <w:rPr>
                <w:rFonts w:ascii="Arial" w:eastAsia="Arial" w:hAnsi="Arial" w:cs="Arial"/>
                <w:spacing w:val="-1"/>
              </w:rPr>
              <w:t>or</w:t>
            </w:r>
            <w:r>
              <w:rPr>
                <w:rFonts w:ascii="Arial" w:eastAsia="Arial" w:hAnsi="Arial" w:cs="Arial"/>
                <w:spacing w:val="38"/>
              </w:rPr>
              <w:t xml:space="preserve"> </w:t>
            </w:r>
            <w:r>
              <w:rPr>
                <w:rFonts w:ascii="Arial" w:eastAsia="Arial" w:hAnsi="Arial" w:cs="Arial"/>
              </w:rPr>
              <w:t>the</w:t>
            </w:r>
            <w:r>
              <w:rPr>
                <w:rFonts w:ascii="Arial" w:eastAsia="Arial" w:hAnsi="Arial" w:cs="Arial"/>
                <w:spacing w:val="36"/>
              </w:rPr>
              <w:t xml:space="preserve"> </w:t>
            </w:r>
            <w:r>
              <w:rPr>
                <w:rFonts w:ascii="Arial" w:eastAsia="Arial" w:hAnsi="Arial" w:cs="Arial"/>
                <w:spacing w:val="-1"/>
              </w:rPr>
              <w:t>Key</w:t>
            </w:r>
            <w:r>
              <w:rPr>
                <w:rFonts w:ascii="Arial" w:eastAsia="Arial" w:hAnsi="Arial" w:cs="Arial"/>
                <w:spacing w:val="38"/>
              </w:rPr>
              <w:t xml:space="preserve"> </w:t>
            </w:r>
            <w:r>
              <w:rPr>
                <w:rFonts w:ascii="Arial" w:eastAsia="Arial" w:hAnsi="Arial" w:cs="Arial"/>
                <w:spacing w:val="-1"/>
              </w:rPr>
              <w:t>Sub-Contractor’s</w:t>
            </w:r>
            <w:r>
              <w:rPr>
                <w:rFonts w:ascii="Arial" w:eastAsia="Arial" w:hAnsi="Arial" w:cs="Arial"/>
                <w:spacing w:val="41"/>
              </w:rPr>
              <w:t xml:space="preserve"> </w:t>
            </w:r>
            <w:r>
              <w:rPr>
                <w:rFonts w:ascii="Arial" w:eastAsia="Arial" w:hAnsi="Arial" w:cs="Arial"/>
                <w:spacing w:val="-1"/>
              </w:rPr>
              <w:t>(as</w:t>
            </w:r>
            <w:r>
              <w:rPr>
                <w:rFonts w:ascii="Arial" w:eastAsia="Arial" w:hAnsi="Arial" w:cs="Arial"/>
                <w:spacing w:val="37"/>
              </w:rPr>
              <w:t xml:space="preserve"> </w:t>
            </w:r>
            <w:r>
              <w:rPr>
                <w:rFonts w:ascii="Arial" w:eastAsia="Arial" w:hAnsi="Arial" w:cs="Arial"/>
              </w:rPr>
              <w:t>the</w:t>
            </w:r>
            <w:r>
              <w:rPr>
                <w:rFonts w:ascii="Arial" w:eastAsia="Arial" w:hAnsi="Arial" w:cs="Arial"/>
                <w:spacing w:val="39"/>
              </w:rPr>
              <w:t xml:space="preserve"> </w:t>
            </w:r>
            <w:r>
              <w:rPr>
                <w:rFonts w:ascii="Arial" w:eastAsia="Arial" w:hAnsi="Arial" w:cs="Arial"/>
                <w:spacing w:val="-1"/>
              </w:rPr>
              <w:t>context</w:t>
            </w:r>
            <w:r>
              <w:rPr>
                <w:rFonts w:ascii="Arial" w:eastAsia="Arial" w:hAnsi="Arial" w:cs="Arial"/>
                <w:spacing w:val="40"/>
              </w:rPr>
              <w:t xml:space="preserve"> </w:t>
            </w:r>
            <w:r>
              <w:rPr>
                <w:rFonts w:ascii="Arial" w:eastAsia="Arial" w:hAnsi="Arial" w:cs="Arial"/>
                <w:spacing w:val="-1"/>
              </w:rPr>
              <w:t>requires)</w:t>
            </w:r>
            <w:r>
              <w:rPr>
                <w:rFonts w:ascii="Arial" w:eastAsia="Arial" w:hAnsi="Arial" w:cs="Arial"/>
                <w:spacing w:val="40"/>
              </w:rPr>
              <w:t xml:space="preserve"> </w:t>
            </w:r>
            <w:r>
              <w:rPr>
                <w:rFonts w:ascii="Arial" w:eastAsia="Arial" w:hAnsi="Arial" w:cs="Arial"/>
                <w:spacing w:val="-2"/>
              </w:rPr>
              <w:t>indirect</w:t>
            </w:r>
            <w:r>
              <w:rPr>
                <w:rFonts w:ascii="Arial" w:eastAsia="Arial" w:hAnsi="Arial" w:cs="Arial"/>
                <w:spacing w:val="40"/>
              </w:rPr>
              <w:t xml:space="preserve"> </w:t>
            </w:r>
            <w:r>
              <w:rPr>
                <w:rFonts w:ascii="Arial" w:eastAsia="Arial" w:hAnsi="Arial" w:cs="Arial"/>
                <w:spacing w:val="-2"/>
              </w:rPr>
              <w:t>corporate</w:t>
            </w:r>
            <w:r>
              <w:rPr>
                <w:rFonts w:ascii="Arial" w:eastAsia="Arial" w:hAnsi="Arial" w:cs="Arial"/>
                <w:spacing w:val="39"/>
              </w:rPr>
              <w:t xml:space="preserve"> </w:t>
            </w:r>
            <w:r>
              <w:rPr>
                <w:rFonts w:ascii="Arial" w:eastAsia="Arial" w:hAnsi="Arial" w:cs="Arial"/>
                <w:spacing w:val="-1"/>
              </w:rPr>
              <w:t>costs</w:t>
            </w:r>
            <w:r>
              <w:rPr>
                <w:rFonts w:ascii="Arial" w:eastAsia="Arial" w:hAnsi="Arial" w:cs="Arial"/>
                <w:spacing w:val="37"/>
              </w:rPr>
              <w:t xml:space="preserve"> </w:t>
            </w:r>
            <w:r>
              <w:rPr>
                <w:rFonts w:ascii="Arial" w:eastAsia="Arial" w:hAnsi="Arial" w:cs="Arial"/>
                <w:spacing w:val="-1"/>
              </w:rPr>
              <w:t>(including</w:t>
            </w:r>
            <w:r>
              <w:rPr>
                <w:rFonts w:ascii="Arial" w:eastAsia="Arial" w:hAnsi="Arial" w:cs="Arial"/>
                <w:spacing w:val="22"/>
              </w:rPr>
              <w:t xml:space="preserve"> </w:t>
            </w:r>
            <w:r>
              <w:rPr>
                <w:rFonts w:ascii="Arial" w:eastAsia="Arial" w:hAnsi="Arial" w:cs="Arial"/>
                <w:spacing w:val="-1"/>
              </w:rPr>
              <w:t>financing,</w:t>
            </w:r>
            <w:r>
              <w:rPr>
                <w:rFonts w:ascii="Arial" w:eastAsia="Arial" w:hAnsi="Arial" w:cs="Arial"/>
                <w:spacing w:val="21"/>
              </w:rPr>
              <w:t xml:space="preserve"> </w:t>
            </w:r>
            <w:r>
              <w:rPr>
                <w:rFonts w:ascii="Arial" w:eastAsia="Arial" w:hAnsi="Arial" w:cs="Arial"/>
                <w:spacing w:val="-1"/>
              </w:rPr>
              <w:t>marketing,</w:t>
            </w:r>
            <w:r>
              <w:rPr>
                <w:rFonts w:ascii="Arial" w:eastAsia="Arial" w:hAnsi="Arial" w:cs="Arial"/>
                <w:spacing w:val="23"/>
              </w:rPr>
              <w:t xml:space="preserve"> </w:t>
            </w:r>
            <w:r>
              <w:rPr>
                <w:rFonts w:ascii="Arial" w:eastAsia="Arial" w:hAnsi="Arial" w:cs="Arial"/>
                <w:spacing w:val="-1"/>
              </w:rPr>
              <w:t>advertising,</w:t>
            </w:r>
            <w:r>
              <w:rPr>
                <w:rFonts w:ascii="Arial" w:eastAsia="Arial" w:hAnsi="Arial" w:cs="Arial"/>
                <w:spacing w:val="21"/>
              </w:rPr>
              <w:t xml:space="preserve"> </w:t>
            </w:r>
            <w:r>
              <w:rPr>
                <w:rFonts w:ascii="Arial" w:eastAsia="Arial" w:hAnsi="Arial" w:cs="Arial"/>
                <w:spacing w:val="-2"/>
              </w:rPr>
              <w:t>research</w:t>
            </w:r>
            <w:r>
              <w:rPr>
                <w:rFonts w:ascii="Arial" w:eastAsia="Arial" w:hAnsi="Arial" w:cs="Arial"/>
                <w:spacing w:val="22"/>
              </w:rPr>
              <w:t xml:space="preserve"> </w:t>
            </w:r>
            <w:r>
              <w:rPr>
                <w:rFonts w:ascii="Arial" w:eastAsia="Arial" w:hAnsi="Arial" w:cs="Arial"/>
                <w:spacing w:val="-1"/>
              </w:rPr>
              <w:t>and</w:t>
            </w:r>
            <w:r>
              <w:rPr>
                <w:rFonts w:ascii="Arial" w:eastAsia="Arial" w:hAnsi="Arial" w:cs="Arial"/>
                <w:spacing w:val="28"/>
              </w:rPr>
              <w:t xml:space="preserve"> </w:t>
            </w:r>
            <w:r>
              <w:rPr>
                <w:rFonts w:ascii="Arial" w:eastAsia="Arial" w:hAnsi="Arial" w:cs="Arial"/>
                <w:spacing w:val="-2"/>
              </w:rPr>
              <w:t>development</w:t>
            </w:r>
            <w:r>
              <w:rPr>
                <w:rFonts w:ascii="Arial" w:eastAsia="Arial" w:hAnsi="Arial" w:cs="Arial"/>
                <w:spacing w:val="49"/>
              </w:rPr>
              <w:t xml:space="preserve"> </w:t>
            </w:r>
            <w:r>
              <w:rPr>
                <w:rFonts w:ascii="Arial" w:eastAsia="Arial" w:hAnsi="Arial" w:cs="Arial"/>
                <w:spacing w:val="-1"/>
              </w:rPr>
              <w:t>and</w:t>
            </w:r>
            <w:r>
              <w:rPr>
                <w:rFonts w:ascii="Arial" w:eastAsia="Arial" w:hAnsi="Arial" w:cs="Arial"/>
                <w:spacing w:val="47"/>
              </w:rPr>
              <w:t xml:space="preserve"> </w:t>
            </w:r>
            <w:r>
              <w:rPr>
                <w:rFonts w:ascii="Arial" w:eastAsia="Arial" w:hAnsi="Arial" w:cs="Arial"/>
                <w:spacing w:val="-1"/>
              </w:rPr>
              <w:t>insurance</w:t>
            </w:r>
            <w:r>
              <w:rPr>
                <w:rFonts w:ascii="Arial" w:eastAsia="Arial" w:hAnsi="Arial" w:cs="Arial"/>
                <w:spacing w:val="47"/>
              </w:rPr>
              <w:t xml:space="preserve"> </w:t>
            </w:r>
            <w:r>
              <w:rPr>
                <w:rFonts w:ascii="Arial" w:eastAsia="Arial" w:hAnsi="Arial" w:cs="Arial"/>
                <w:spacing w:val="-1"/>
              </w:rPr>
              <w:t>costs</w:t>
            </w:r>
            <w:r>
              <w:rPr>
                <w:rFonts w:ascii="Arial" w:eastAsia="Arial" w:hAnsi="Arial" w:cs="Arial"/>
                <w:spacing w:val="47"/>
              </w:rPr>
              <w:t xml:space="preserve"> </w:t>
            </w:r>
            <w:r>
              <w:rPr>
                <w:rFonts w:ascii="Arial" w:eastAsia="Arial" w:hAnsi="Arial" w:cs="Arial"/>
                <w:spacing w:val="-1"/>
              </w:rPr>
              <w:t>and</w:t>
            </w:r>
            <w:r>
              <w:rPr>
                <w:rFonts w:ascii="Arial" w:eastAsia="Arial" w:hAnsi="Arial" w:cs="Arial"/>
                <w:spacing w:val="47"/>
              </w:rPr>
              <w:t xml:space="preserve"> </w:t>
            </w:r>
            <w:r>
              <w:rPr>
                <w:rFonts w:ascii="Arial" w:eastAsia="Arial" w:hAnsi="Arial" w:cs="Arial"/>
                <w:spacing w:val="-1"/>
              </w:rPr>
              <w:t>any</w:t>
            </w:r>
            <w:r>
              <w:rPr>
                <w:rFonts w:ascii="Arial" w:eastAsia="Arial" w:hAnsi="Arial" w:cs="Arial"/>
                <w:spacing w:val="47"/>
              </w:rPr>
              <w:t xml:space="preserve"> </w:t>
            </w:r>
            <w:r>
              <w:rPr>
                <w:rFonts w:ascii="Arial" w:eastAsia="Arial" w:hAnsi="Arial" w:cs="Arial"/>
                <w:spacing w:val="-1"/>
              </w:rPr>
              <w:t>fines</w:t>
            </w:r>
            <w:r>
              <w:rPr>
                <w:rFonts w:ascii="Arial" w:eastAsia="Arial" w:hAnsi="Arial" w:cs="Arial"/>
                <w:spacing w:val="48"/>
              </w:rPr>
              <w:t xml:space="preserve"> </w:t>
            </w:r>
            <w:r>
              <w:rPr>
                <w:rFonts w:ascii="Arial" w:eastAsia="Arial" w:hAnsi="Arial" w:cs="Arial"/>
                <w:spacing w:val="-2"/>
              </w:rPr>
              <w:t>or</w:t>
            </w:r>
            <w:r>
              <w:rPr>
                <w:rFonts w:ascii="Arial" w:eastAsia="Arial" w:hAnsi="Arial" w:cs="Arial"/>
                <w:spacing w:val="49"/>
              </w:rPr>
              <w:t xml:space="preserve"> </w:t>
            </w:r>
            <w:r>
              <w:rPr>
                <w:rFonts w:ascii="Arial" w:eastAsia="Arial" w:hAnsi="Arial" w:cs="Arial"/>
                <w:spacing w:val="-1"/>
              </w:rPr>
              <w:t>penalties)</w:t>
            </w:r>
            <w:r>
              <w:rPr>
                <w:rFonts w:ascii="Arial" w:eastAsia="Arial" w:hAnsi="Arial" w:cs="Arial"/>
                <w:spacing w:val="25"/>
              </w:rPr>
              <w:t xml:space="preserve"> </w:t>
            </w:r>
            <w:r>
              <w:rPr>
                <w:rFonts w:ascii="Arial" w:eastAsia="Arial" w:hAnsi="Arial" w:cs="Arial"/>
                <w:spacing w:val="-1"/>
              </w:rPr>
              <w:t>but</w:t>
            </w:r>
            <w:r>
              <w:rPr>
                <w:rFonts w:ascii="Arial" w:eastAsia="Arial" w:hAnsi="Arial" w:cs="Arial"/>
                <w:spacing w:val="25"/>
              </w:rPr>
              <w:t xml:space="preserve"> </w:t>
            </w:r>
            <w:r>
              <w:rPr>
                <w:rFonts w:ascii="Arial" w:eastAsia="Arial" w:hAnsi="Arial" w:cs="Arial"/>
                <w:spacing w:val="-2"/>
              </w:rPr>
              <w:t>excluding</w:t>
            </w:r>
            <w:r>
              <w:rPr>
                <w:rFonts w:ascii="Arial" w:eastAsia="Arial" w:hAnsi="Arial" w:cs="Arial"/>
                <w:spacing w:val="26"/>
              </w:rPr>
              <w:t xml:space="preserve"> </w:t>
            </w:r>
            <w:r>
              <w:rPr>
                <w:rFonts w:ascii="Arial" w:eastAsia="Arial" w:hAnsi="Arial" w:cs="Arial"/>
                <w:spacing w:val="-2"/>
              </w:rPr>
              <w:t>allowable</w:t>
            </w:r>
            <w:r>
              <w:rPr>
                <w:rFonts w:ascii="Arial" w:eastAsia="Arial" w:hAnsi="Arial" w:cs="Arial"/>
                <w:spacing w:val="23"/>
              </w:rPr>
              <w:t xml:space="preserve"> </w:t>
            </w:r>
            <w:r>
              <w:rPr>
                <w:rFonts w:ascii="Arial" w:eastAsia="Arial" w:hAnsi="Arial" w:cs="Arial"/>
                <w:spacing w:val="-1"/>
              </w:rPr>
              <w:t>indirect</w:t>
            </w:r>
            <w:r>
              <w:rPr>
                <w:rFonts w:ascii="Arial" w:eastAsia="Arial" w:hAnsi="Arial" w:cs="Arial"/>
                <w:spacing w:val="25"/>
              </w:rPr>
              <w:t xml:space="preserve"> </w:t>
            </w:r>
            <w:r>
              <w:rPr>
                <w:rFonts w:ascii="Arial" w:eastAsia="Arial" w:hAnsi="Arial" w:cs="Arial"/>
                <w:spacing w:val="-1"/>
              </w:rPr>
              <w:t>costs</w:t>
            </w:r>
            <w:r>
              <w:rPr>
                <w:rFonts w:ascii="Arial" w:eastAsia="Arial" w:hAnsi="Arial" w:cs="Arial"/>
                <w:spacing w:val="43"/>
              </w:rPr>
              <w:t xml:space="preserve"> </w:t>
            </w:r>
            <w:r>
              <w:rPr>
                <w:rFonts w:ascii="Arial" w:eastAsia="Arial" w:hAnsi="Arial" w:cs="Arial"/>
                <w:spacing w:val="-1"/>
              </w:rPr>
              <w:t>apportioned</w:t>
            </w:r>
            <w:r>
              <w:rPr>
                <w:rFonts w:ascii="Arial" w:eastAsia="Arial" w:hAnsi="Arial" w:cs="Arial"/>
                <w:spacing w:val="3"/>
              </w:rPr>
              <w:t xml:space="preserve"> </w:t>
            </w:r>
            <w:r>
              <w:rPr>
                <w:rFonts w:ascii="Arial" w:eastAsia="Arial" w:hAnsi="Arial" w:cs="Arial"/>
              </w:rPr>
              <w:t xml:space="preserve">to </w:t>
            </w:r>
            <w:r>
              <w:rPr>
                <w:rFonts w:ascii="Arial" w:eastAsia="Arial" w:hAnsi="Arial" w:cs="Arial"/>
                <w:spacing w:val="-1"/>
              </w:rPr>
              <w:t>facilities</w:t>
            </w:r>
            <w:r>
              <w:rPr>
                <w:rFonts w:ascii="Arial" w:eastAsia="Arial" w:hAnsi="Arial" w:cs="Arial"/>
                <w:spacing w:val="3"/>
              </w:rPr>
              <w:t xml:space="preserve"> </w:t>
            </w:r>
            <w:r>
              <w:rPr>
                <w:rFonts w:ascii="Arial" w:eastAsia="Arial" w:hAnsi="Arial" w:cs="Arial"/>
                <w:spacing w:val="-2"/>
              </w:rPr>
              <w:t>and</w:t>
            </w:r>
            <w:r>
              <w:rPr>
                <w:rFonts w:ascii="Arial" w:eastAsia="Arial" w:hAnsi="Arial" w:cs="Arial"/>
                <w:spacing w:val="3"/>
              </w:rPr>
              <w:t xml:space="preserve"> </w:t>
            </w:r>
            <w:r>
              <w:rPr>
                <w:rFonts w:ascii="Arial" w:eastAsia="Arial" w:hAnsi="Arial" w:cs="Arial"/>
                <w:spacing w:val="-1"/>
              </w:rPr>
              <w:t>administration</w:t>
            </w:r>
            <w:r>
              <w:rPr>
                <w:rFonts w:ascii="Arial" w:eastAsia="Arial" w:hAnsi="Arial" w:cs="Arial"/>
                <w:spacing w:val="3"/>
              </w:rPr>
              <w:t xml:space="preserve"> </w:t>
            </w:r>
            <w:r>
              <w:rPr>
                <w:rFonts w:ascii="Arial" w:eastAsia="Arial" w:hAnsi="Arial" w:cs="Arial"/>
                <w:spacing w:val="-1"/>
              </w:rPr>
              <w:t>in</w:t>
            </w:r>
            <w:r>
              <w:rPr>
                <w:rFonts w:ascii="Arial" w:eastAsia="Arial" w:hAnsi="Arial" w:cs="Arial"/>
                <w:spacing w:val="3"/>
              </w:rPr>
              <w:t xml:space="preserve"> </w:t>
            </w:r>
            <w:r>
              <w:rPr>
                <w:rFonts w:ascii="Arial" w:eastAsia="Arial" w:hAnsi="Arial" w:cs="Arial"/>
              </w:rPr>
              <w:t xml:space="preserve">the </w:t>
            </w:r>
            <w:r>
              <w:rPr>
                <w:rFonts w:ascii="Arial" w:eastAsia="Arial" w:hAnsi="Arial" w:cs="Arial"/>
                <w:spacing w:val="-2"/>
              </w:rPr>
              <w:t>provision</w:t>
            </w:r>
            <w:r>
              <w:rPr>
                <w:rFonts w:ascii="Arial" w:eastAsia="Arial" w:hAnsi="Arial" w:cs="Arial"/>
                <w:spacing w:val="37"/>
              </w:rPr>
              <w:t xml:space="preserve"> </w:t>
            </w:r>
            <w:r>
              <w:rPr>
                <w:rFonts w:ascii="Arial" w:eastAsia="Arial" w:hAnsi="Arial" w:cs="Arial"/>
                <w:spacing w:val="-2"/>
              </w:rPr>
              <w:t>of</w:t>
            </w:r>
            <w:r>
              <w:rPr>
                <w:rFonts w:ascii="Arial" w:eastAsia="Arial" w:hAnsi="Arial" w:cs="Arial"/>
                <w:spacing w:val="20"/>
              </w:rPr>
              <w:t xml:space="preserve"> </w:t>
            </w:r>
            <w:r>
              <w:rPr>
                <w:rFonts w:ascii="Arial" w:eastAsia="Arial" w:hAnsi="Arial" w:cs="Arial"/>
                <w:spacing w:val="-2"/>
              </w:rPr>
              <w:t>Supplier</w:t>
            </w:r>
            <w:r>
              <w:rPr>
                <w:rFonts w:ascii="Arial" w:eastAsia="Arial" w:hAnsi="Arial" w:cs="Arial"/>
                <w:spacing w:val="17"/>
              </w:rPr>
              <w:t xml:space="preserve"> </w:t>
            </w:r>
            <w:r>
              <w:rPr>
                <w:rFonts w:ascii="Arial" w:eastAsia="Arial" w:hAnsi="Arial" w:cs="Arial"/>
                <w:spacing w:val="-1"/>
              </w:rPr>
              <w:t>Personnel</w:t>
            </w:r>
            <w:r>
              <w:rPr>
                <w:rFonts w:ascii="Arial" w:eastAsia="Arial" w:hAnsi="Arial" w:cs="Arial"/>
                <w:spacing w:val="13"/>
              </w:rPr>
              <w:t xml:space="preserve"> </w:t>
            </w:r>
            <w:r>
              <w:rPr>
                <w:rFonts w:ascii="Arial" w:eastAsia="Arial" w:hAnsi="Arial" w:cs="Arial"/>
                <w:spacing w:val="-1"/>
              </w:rPr>
              <w:t>and</w:t>
            </w:r>
            <w:r>
              <w:rPr>
                <w:rFonts w:ascii="Arial" w:eastAsia="Arial" w:hAnsi="Arial" w:cs="Arial"/>
                <w:spacing w:val="16"/>
              </w:rPr>
              <w:t xml:space="preserve"> </w:t>
            </w:r>
            <w:r>
              <w:rPr>
                <w:rFonts w:ascii="Arial" w:eastAsia="Arial" w:hAnsi="Arial" w:cs="Arial"/>
                <w:spacing w:val="-1"/>
              </w:rPr>
              <w:t>accordingly</w:t>
            </w:r>
            <w:r>
              <w:rPr>
                <w:rFonts w:ascii="Arial" w:eastAsia="Arial" w:hAnsi="Arial" w:cs="Arial"/>
                <w:spacing w:val="14"/>
              </w:rPr>
              <w:t xml:space="preserve"> </w:t>
            </w:r>
            <w:r>
              <w:rPr>
                <w:rFonts w:ascii="Arial" w:eastAsia="Arial" w:hAnsi="Arial" w:cs="Arial"/>
                <w:spacing w:val="-1"/>
              </w:rPr>
              <w:t>included</w:t>
            </w:r>
            <w:r>
              <w:rPr>
                <w:rFonts w:ascii="Arial" w:eastAsia="Arial" w:hAnsi="Arial" w:cs="Arial"/>
              </w:rPr>
              <w:t xml:space="preserve"> </w:t>
            </w:r>
            <w:r>
              <w:rPr>
                <w:rFonts w:ascii="Arial" w:eastAsia="Arial" w:hAnsi="Arial" w:cs="Arial"/>
                <w:spacing w:val="16"/>
              </w:rPr>
              <w:t xml:space="preserve"> </w:t>
            </w:r>
            <w:r>
              <w:rPr>
                <w:rFonts w:ascii="Arial" w:eastAsia="Arial" w:hAnsi="Arial" w:cs="Arial"/>
                <w:spacing w:val="-2"/>
              </w:rPr>
              <w:t>within</w:t>
            </w:r>
            <w:r>
              <w:rPr>
                <w:rFonts w:ascii="Arial" w:eastAsia="Arial" w:hAnsi="Arial" w:cs="Arial"/>
                <w:spacing w:val="43"/>
              </w:rPr>
              <w:t xml:space="preserve"> </w:t>
            </w:r>
            <w:r>
              <w:rPr>
                <w:rFonts w:ascii="Arial" w:eastAsia="Arial" w:hAnsi="Arial" w:cs="Arial"/>
                <w:spacing w:val="-1"/>
              </w:rPr>
              <w:t>limb</w:t>
            </w:r>
            <w:r>
              <w:rPr>
                <w:rFonts w:ascii="Arial" w:eastAsia="Arial" w:hAnsi="Arial" w:cs="Arial"/>
              </w:rPr>
              <w:t xml:space="preserve"> </w:t>
            </w:r>
            <w:r>
              <w:rPr>
                <w:rFonts w:ascii="Arial" w:eastAsia="Arial" w:hAnsi="Arial" w:cs="Arial"/>
                <w:spacing w:val="-1"/>
              </w:rPr>
              <w:t xml:space="preserve">(a) </w:t>
            </w:r>
            <w:r>
              <w:rPr>
                <w:rFonts w:ascii="Arial" w:eastAsia="Arial" w:hAnsi="Arial" w:cs="Arial"/>
                <w:spacing w:val="-2"/>
              </w:rPr>
              <w:t>of</w:t>
            </w:r>
            <w:r>
              <w:rPr>
                <w:rFonts w:ascii="Arial" w:eastAsia="Arial" w:hAnsi="Arial" w:cs="Arial"/>
              </w:rPr>
              <w:t xml:space="preserve"> the </w:t>
            </w:r>
            <w:r>
              <w:rPr>
                <w:rFonts w:ascii="Arial" w:eastAsia="Arial" w:hAnsi="Arial" w:cs="Arial"/>
                <w:spacing w:val="-1"/>
              </w:rPr>
              <w:t>definition</w:t>
            </w:r>
            <w:r>
              <w:rPr>
                <w:rFonts w:ascii="Arial" w:eastAsia="Arial" w:hAnsi="Arial" w:cs="Arial"/>
                <w:spacing w:val="-4"/>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“Costs”;</w:t>
            </w:r>
          </w:p>
        </w:tc>
      </w:tr>
      <w:tr w:rsidR="008918FA" w:rsidTr="005D2B81">
        <w:trPr>
          <w:trHeight w:hRule="exact" w:val="2160"/>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 xml:space="preserve">"Parent </w:t>
            </w:r>
            <w:r>
              <w:rPr>
                <w:rFonts w:ascii="Arial"/>
                <w:b/>
                <w:spacing w:val="-2"/>
              </w:rPr>
              <w:t>Company"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52"/>
              </w:rPr>
              <w:t xml:space="preserve"> </w:t>
            </w:r>
            <w:r>
              <w:rPr>
                <w:rFonts w:ascii="Arial"/>
                <w:spacing w:val="-1"/>
              </w:rPr>
              <w:t>any</w:t>
            </w:r>
            <w:r>
              <w:rPr>
                <w:rFonts w:ascii="Arial"/>
                <w:spacing w:val="50"/>
              </w:rPr>
              <w:t xml:space="preserve"> </w:t>
            </w:r>
            <w:r>
              <w:rPr>
                <w:rFonts w:ascii="Arial"/>
                <w:spacing w:val="-1"/>
              </w:rPr>
              <w:t>company</w:t>
            </w:r>
            <w:r>
              <w:rPr>
                <w:rFonts w:ascii="Arial"/>
                <w:spacing w:val="47"/>
              </w:rPr>
              <w:t xml:space="preserve"> </w:t>
            </w:r>
            <w:r>
              <w:rPr>
                <w:rFonts w:ascii="Arial"/>
                <w:spacing w:val="-1"/>
              </w:rPr>
              <w:t>which</w:t>
            </w:r>
            <w:r>
              <w:rPr>
                <w:rFonts w:ascii="Arial"/>
                <w:spacing w:val="52"/>
              </w:rPr>
              <w:t xml:space="preserve"> </w:t>
            </w:r>
            <w:r>
              <w:rPr>
                <w:rFonts w:ascii="Arial"/>
                <w:spacing w:val="-1"/>
              </w:rPr>
              <w:t>is</w:t>
            </w:r>
            <w:r>
              <w:rPr>
                <w:rFonts w:ascii="Arial"/>
                <w:spacing w:val="52"/>
              </w:rPr>
              <w:t xml:space="preserve"> </w:t>
            </w:r>
            <w:r>
              <w:rPr>
                <w:rFonts w:ascii="Arial"/>
              </w:rPr>
              <w:t>the</w:t>
            </w:r>
            <w:r>
              <w:rPr>
                <w:rFonts w:ascii="Arial"/>
                <w:spacing w:val="52"/>
              </w:rPr>
              <w:t xml:space="preserve"> </w:t>
            </w:r>
            <w:r>
              <w:rPr>
                <w:rFonts w:ascii="Arial"/>
                <w:spacing w:val="-1"/>
              </w:rPr>
              <w:t>ultimate</w:t>
            </w:r>
            <w:r>
              <w:rPr>
                <w:rFonts w:ascii="Arial"/>
                <w:spacing w:val="50"/>
              </w:rPr>
              <w:t xml:space="preserve"> </w:t>
            </w:r>
            <w:r>
              <w:rPr>
                <w:rFonts w:ascii="Arial"/>
                <w:spacing w:val="-2"/>
              </w:rPr>
              <w:t>Holding</w:t>
            </w:r>
            <w:r>
              <w:rPr>
                <w:rFonts w:ascii="Arial"/>
                <w:spacing w:val="24"/>
              </w:rPr>
              <w:t xml:space="preserve"> </w:t>
            </w:r>
            <w:r>
              <w:rPr>
                <w:rFonts w:ascii="Arial"/>
                <w:spacing w:val="-1"/>
              </w:rPr>
              <w:t>Company</w:t>
            </w:r>
            <w:r>
              <w:rPr>
                <w:rFonts w:ascii="Arial"/>
                <w:spacing w:val="20"/>
              </w:rPr>
              <w:t xml:space="preserve"> </w:t>
            </w:r>
            <w:r>
              <w:rPr>
                <w:rFonts w:ascii="Arial"/>
                <w:spacing w:val="-1"/>
              </w:rPr>
              <w:t>of</w:t>
            </w:r>
            <w:r>
              <w:rPr>
                <w:rFonts w:ascii="Arial"/>
                <w:spacing w:val="23"/>
              </w:rPr>
              <w:t xml:space="preserve"> </w:t>
            </w:r>
            <w:r>
              <w:rPr>
                <w:rFonts w:ascii="Arial"/>
              </w:rPr>
              <w:t>the</w:t>
            </w:r>
            <w:r>
              <w:rPr>
                <w:rFonts w:ascii="Arial"/>
                <w:spacing w:val="22"/>
              </w:rPr>
              <w:t xml:space="preserve"> </w:t>
            </w:r>
            <w:r>
              <w:rPr>
                <w:rFonts w:ascii="Arial"/>
                <w:spacing w:val="-2"/>
              </w:rPr>
              <w:t>Supplier</w:t>
            </w:r>
            <w:r>
              <w:rPr>
                <w:rFonts w:ascii="Arial"/>
                <w:spacing w:val="23"/>
              </w:rPr>
              <w:t xml:space="preserve"> </w:t>
            </w:r>
            <w:r>
              <w:rPr>
                <w:rFonts w:ascii="Arial"/>
                <w:spacing w:val="-1"/>
              </w:rPr>
              <w:t>and</w:t>
            </w:r>
            <w:r>
              <w:rPr>
                <w:rFonts w:ascii="Arial"/>
                <w:spacing w:val="22"/>
              </w:rPr>
              <w:t xml:space="preserve"> </w:t>
            </w:r>
            <w:r>
              <w:rPr>
                <w:rFonts w:ascii="Arial"/>
                <w:spacing w:val="-2"/>
              </w:rPr>
              <w:t>which</w:t>
            </w:r>
            <w:r>
              <w:rPr>
                <w:rFonts w:ascii="Arial"/>
                <w:spacing w:val="22"/>
              </w:rPr>
              <w:t xml:space="preserve"> </w:t>
            </w:r>
            <w:r>
              <w:rPr>
                <w:rFonts w:ascii="Arial"/>
                <w:spacing w:val="-1"/>
              </w:rPr>
              <w:t>is</w:t>
            </w:r>
            <w:r>
              <w:rPr>
                <w:rFonts w:ascii="Arial"/>
                <w:spacing w:val="22"/>
              </w:rPr>
              <w:t xml:space="preserve"> </w:t>
            </w:r>
            <w:r>
              <w:rPr>
                <w:rFonts w:ascii="Arial"/>
                <w:spacing w:val="-1"/>
              </w:rPr>
              <w:t>either</w:t>
            </w:r>
            <w:r>
              <w:rPr>
                <w:rFonts w:ascii="Arial"/>
                <w:spacing w:val="23"/>
              </w:rPr>
              <w:t xml:space="preserve"> </w:t>
            </w:r>
            <w:r>
              <w:rPr>
                <w:rFonts w:ascii="Arial"/>
                <w:spacing w:val="-1"/>
              </w:rPr>
              <w:t>responsible</w:t>
            </w:r>
            <w:r>
              <w:rPr>
                <w:rFonts w:ascii="Arial"/>
                <w:spacing w:val="33"/>
              </w:rPr>
              <w:t xml:space="preserve"> </w:t>
            </w:r>
            <w:r>
              <w:rPr>
                <w:rFonts w:ascii="Arial"/>
                <w:spacing w:val="-1"/>
              </w:rPr>
              <w:t>directly</w:t>
            </w:r>
            <w:r>
              <w:rPr>
                <w:rFonts w:ascii="Arial"/>
                <w:spacing w:val="19"/>
              </w:rPr>
              <w:t xml:space="preserve"> </w:t>
            </w:r>
            <w:r>
              <w:rPr>
                <w:rFonts w:ascii="Arial"/>
                <w:spacing w:val="-1"/>
              </w:rPr>
              <w:t>or</w:t>
            </w:r>
            <w:r>
              <w:rPr>
                <w:rFonts w:ascii="Arial"/>
                <w:spacing w:val="22"/>
              </w:rPr>
              <w:t xml:space="preserve"> </w:t>
            </w:r>
            <w:r>
              <w:rPr>
                <w:rFonts w:ascii="Arial"/>
                <w:spacing w:val="-1"/>
              </w:rPr>
              <w:t>indirectly</w:t>
            </w:r>
            <w:r>
              <w:rPr>
                <w:rFonts w:ascii="Arial"/>
                <w:spacing w:val="19"/>
              </w:rPr>
              <w:t xml:space="preserve"> </w:t>
            </w:r>
            <w:r>
              <w:rPr>
                <w:rFonts w:ascii="Arial"/>
              </w:rPr>
              <w:t>for</w:t>
            </w:r>
            <w:r>
              <w:rPr>
                <w:rFonts w:ascii="Arial"/>
                <w:spacing w:val="20"/>
              </w:rPr>
              <w:t xml:space="preserve"> </w:t>
            </w:r>
            <w:r>
              <w:rPr>
                <w:rFonts w:ascii="Arial"/>
              </w:rPr>
              <w:t>the</w:t>
            </w:r>
            <w:r>
              <w:rPr>
                <w:rFonts w:ascii="Arial"/>
                <w:spacing w:val="22"/>
              </w:rPr>
              <w:t xml:space="preserve"> </w:t>
            </w:r>
            <w:r>
              <w:rPr>
                <w:rFonts w:ascii="Arial"/>
                <w:spacing w:val="-1"/>
              </w:rPr>
              <w:t>business</w:t>
            </w:r>
            <w:r>
              <w:rPr>
                <w:rFonts w:ascii="Arial"/>
                <w:spacing w:val="22"/>
              </w:rPr>
              <w:t xml:space="preserve"> </w:t>
            </w:r>
            <w:r>
              <w:rPr>
                <w:rFonts w:ascii="Arial"/>
                <w:spacing w:val="-2"/>
              </w:rPr>
              <w:t>activities</w:t>
            </w:r>
            <w:r>
              <w:rPr>
                <w:rFonts w:ascii="Arial"/>
                <w:spacing w:val="21"/>
              </w:rPr>
              <w:t xml:space="preserve"> </w:t>
            </w:r>
            <w:r>
              <w:rPr>
                <w:rFonts w:ascii="Arial"/>
                <w:spacing w:val="-2"/>
              </w:rPr>
              <w:t>of</w:t>
            </w:r>
            <w:r>
              <w:rPr>
                <w:rFonts w:ascii="Arial"/>
                <w:spacing w:val="24"/>
              </w:rPr>
              <w:t xml:space="preserve"> </w:t>
            </w:r>
            <w:r>
              <w:rPr>
                <w:rFonts w:ascii="Arial"/>
                <w:spacing w:val="-1"/>
              </w:rPr>
              <w:t>the</w:t>
            </w:r>
            <w:r>
              <w:rPr>
                <w:rFonts w:ascii="Arial"/>
                <w:spacing w:val="32"/>
              </w:rPr>
              <w:t xml:space="preserve"> </w:t>
            </w:r>
            <w:r>
              <w:rPr>
                <w:rFonts w:ascii="Arial"/>
                <w:spacing w:val="-2"/>
              </w:rPr>
              <w:t>Supplier</w:t>
            </w:r>
            <w:r>
              <w:rPr>
                <w:rFonts w:ascii="Arial"/>
                <w:spacing w:val="10"/>
              </w:rPr>
              <w:t xml:space="preserve"> </w:t>
            </w:r>
            <w:r>
              <w:rPr>
                <w:rFonts w:ascii="Arial"/>
                <w:spacing w:val="-1"/>
              </w:rPr>
              <w:t>or</w:t>
            </w:r>
            <w:r>
              <w:rPr>
                <w:rFonts w:ascii="Arial"/>
                <w:spacing w:val="10"/>
              </w:rPr>
              <w:t xml:space="preserve"> </w:t>
            </w:r>
            <w:r>
              <w:rPr>
                <w:rFonts w:ascii="Arial"/>
                <w:spacing w:val="-2"/>
              </w:rPr>
              <w:t>which</w:t>
            </w:r>
            <w:r>
              <w:rPr>
                <w:rFonts w:ascii="Arial"/>
                <w:spacing w:val="9"/>
              </w:rPr>
              <w:t xml:space="preserve"> </w:t>
            </w:r>
            <w:r>
              <w:rPr>
                <w:rFonts w:ascii="Arial"/>
                <w:spacing w:val="-1"/>
              </w:rPr>
              <w:t>is</w:t>
            </w:r>
            <w:r>
              <w:rPr>
                <w:rFonts w:ascii="Arial"/>
                <w:spacing w:val="9"/>
              </w:rPr>
              <w:t xml:space="preserve"> </w:t>
            </w:r>
            <w:r>
              <w:rPr>
                <w:rFonts w:ascii="Arial"/>
              </w:rPr>
              <w:t>engaged</w:t>
            </w:r>
            <w:r>
              <w:rPr>
                <w:rFonts w:ascii="Arial"/>
                <w:spacing w:val="9"/>
              </w:rPr>
              <w:t xml:space="preserve"> </w:t>
            </w:r>
            <w:r>
              <w:rPr>
                <w:rFonts w:ascii="Arial"/>
                <w:spacing w:val="-1"/>
              </w:rPr>
              <w:t>by</w:t>
            </w:r>
            <w:r>
              <w:rPr>
                <w:rFonts w:ascii="Arial"/>
                <w:spacing w:val="7"/>
              </w:rPr>
              <w:t xml:space="preserve"> </w:t>
            </w:r>
            <w:r>
              <w:rPr>
                <w:rFonts w:ascii="Arial"/>
              </w:rPr>
              <w:t>the</w:t>
            </w:r>
            <w:r>
              <w:rPr>
                <w:rFonts w:ascii="Arial"/>
                <w:spacing w:val="9"/>
              </w:rPr>
              <w:t xml:space="preserve"> </w:t>
            </w:r>
            <w:r>
              <w:rPr>
                <w:rFonts w:ascii="Arial"/>
                <w:spacing w:val="-1"/>
              </w:rPr>
              <w:t>same</w:t>
            </w:r>
            <w:r>
              <w:rPr>
                <w:rFonts w:ascii="Arial"/>
                <w:spacing w:val="6"/>
              </w:rPr>
              <w:t xml:space="preserve"> </w:t>
            </w:r>
            <w:r>
              <w:rPr>
                <w:rFonts w:ascii="Arial"/>
                <w:spacing w:val="-1"/>
              </w:rPr>
              <w:t>or</w:t>
            </w:r>
            <w:r>
              <w:rPr>
                <w:rFonts w:ascii="Arial"/>
                <w:spacing w:val="10"/>
              </w:rPr>
              <w:t xml:space="preserve"> </w:t>
            </w:r>
            <w:r>
              <w:rPr>
                <w:rFonts w:ascii="Arial"/>
                <w:spacing w:val="-2"/>
              </w:rPr>
              <w:t>similar</w:t>
            </w:r>
            <w:r>
              <w:rPr>
                <w:rFonts w:ascii="Arial"/>
                <w:spacing w:val="38"/>
              </w:rPr>
              <w:t xml:space="preserve"> </w:t>
            </w:r>
            <w:r>
              <w:rPr>
                <w:rFonts w:ascii="Arial"/>
                <w:spacing w:val="-1"/>
              </w:rPr>
              <w:t>business</w:t>
            </w:r>
            <w:r>
              <w:rPr>
                <w:rFonts w:ascii="Arial"/>
                <w:spacing w:val="59"/>
              </w:rPr>
              <w:t xml:space="preserve"> </w:t>
            </w:r>
            <w:r>
              <w:rPr>
                <w:rFonts w:ascii="Arial"/>
              </w:rPr>
              <w:t>to</w:t>
            </w:r>
            <w:r>
              <w:rPr>
                <w:rFonts w:ascii="Arial"/>
                <w:spacing w:val="58"/>
              </w:rPr>
              <w:t xml:space="preserve"> </w:t>
            </w:r>
            <w:r>
              <w:rPr>
                <w:rFonts w:ascii="Arial"/>
              </w:rPr>
              <w:t>the</w:t>
            </w:r>
            <w:r>
              <w:rPr>
                <w:rFonts w:ascii="Arial"/>
                <w:spacing w:val="58"/>
              </w:rPr>
              <w:t xml:space="preserve"> </w:t>
            </w:r>
            <w:r>
              <w:rPr>
                <w:rFonts w:ascii="Arial"/>
                <w:spacing w:val="-1"/>
              </w:rPr>
              <w:t>Supplier.</w:t>
            </w:r>
            <w:r>
              <w:rPr>
                <w:rFonts w:ascii="Arial"/>
                <w:spacing w:val="57"/>
              </w:rPr>
              <w:t xml:space="preserve"> </w:t>
            </w:r>
            <w:r>
              <w:rPr>
                <w:rFonts w:ascii="Arial"/>
              </w:rPr>
              <w:t>The</w:t>
            </w:r>
            <w:r>
              <w:rPr>
                <w:rFonts w:ascii="Arial"/>
                <w:spacing w:val="58"/>
              </w:rPr>
              <w:t xml:space="preserve"> </w:t>
            </w:r>
            <w:r>
              <w:rPr>
                <w:rFonts w:ascii="Arial"/>
                <w:spacing w:val="-1"/>
              </w:rPr>
              <w:t>term</w:t>
            </w:r>
            <w:r>
              <w:rPr>
                <w:rFonts w:ascii="Arial"/>
                <w:spacing w:val="59"/>
              </w:rPr>
              <w:t xml:space="preserve"> </w:t>
            </w:r>
            <w:r>
              <w:rPr>
                <w:rFonts w:ascii="Arial"/>
                <w:spacing w:val="-2"/>
              </w:rPr>
              <w:t>"Holding</w:t>
            </w:r>
            <w:r>
              <w:rPr>
                <w:rFonts w:ascii="Arial"/>
                <w:spacing w:val="61"/>
              </w:rPr>
              <w:t xml:space="preserve"> </w:t>
            </w:r>
            <w:r>
              <w:rPr>
                <w:rFonts w:ascii="Arial"/>
                <w:spacing w:val="-2"/>
              </w:rPr>
              <w:t>or</w:t>
            </w:r>
            <w:r>
              <w:rPr>
                <w:rFonts w:ascii="Arial"/>
                <w:spacing w:val="57"/>
              </w:rPr>
              <w:t xml:space="preserve"> </w:t>
            </w:r>
            <w:r>
              <w:rPr>
                <w:rFonts w:ascii="Arial"/>
                <w:spacing w:val="-1"/>
              </w:rPr>
              <w:t>Parent</w:t>
            </w:r>
            <w:r>
              <w:rPr>
                <w:rFonts w:ascii="Arial"/>
                <w:spacing w:val="24"/>
              </w:rPr>
              <w:t xml:space="preserve"> </w:t>
            </w:r>
            <w:r>
              <w:rPr>
                <w:rFonts w:ascii="Arial"/>
                <w:spacing w:val="-2"/>
              </w:rPr>
              <w:t>Company"</w:t>
            </w:r>
            <w:r>
              <w:rPr>
                <w:rFonts w:ascii="Arial"/>
                <w:spacing w:val="51"/>
              </w:rPr>
              <w:t xml:space="preserve"> </w:t>
            </w:r>
            <w:r>
              <w:rPr>
                <w:rFonts w:ascii="Arial"/>
                <w:spacing w:val="-1"/>
              </w:rPr>
              <w:t>shall</w:t>
            </w:r>
            <w:r>
              <w:rPr>
                <w:rFonts w:ascii="Arial"/>
                <w:spacing w:val="49"/>
              </w:rPr>
              <w:t xml:space="preserve"> </w:t>
            </w:r>
            <w:r>
              <w:rPr>
                <w:rFonts w:ascii="Arial"/>
                <w:spacing w:val="-2"/>
              </w:rPr>
              <w:t>have</w:t>
            </w:r>
            <w:r>
              <w:rPr>
                <w:rFonts w:ascii="Arial"/>
                <w:spacing w:val="52"/>
              </w:rPr>
              <w:t xml:space="preserve"> </w:t>
            </w:r>
            <w:r>
              <w:rPr>
                <w:rFonts w:ascii="Arial"/>
              </w:rPr>
              <w:t>the</w:t>
            </w:r>
            <w:r>
              <w:rPr>
                <w:rFonts w:ascii="Arial"/>
                <w:spacing w:val="47"/>
              </w:rPr>
              <w:t xml:space="preserve"> </w:t>
            </w:r>
            <w:r>
              <w:rPr>
                <w:rFonts w:ascii="Arial"/>
                <w:spacing w:val="-1"/>
              </w:rPr>
              <w:t>meaning</w:t>
            </w:r>
            <w:r>
              <w:rPr>
                <w:rFonts w:ascii="Arial"/>
                <w:spacing w:val="49"/>
              </w:rPr>
              <w:t xml:space="preserve"> </w:t>
            </w:r>
            <w:r>
              <w:rPr>
                <w:rFonts w:ascii="Arial"/>
                <w:spacing w:val="-1"/>
              </w:rPr>
              <w:t>ascribed</w:t>
            </w:r>
            <w:r>
              <w:rPr>
                <w:rFonts w:ascii="Arial"/>
                <w:spacing w:val="49"/>
              </w:rPr>
              <w:t xml:space="preserve"> </w:t>
            </w:r>
            <w:r>
              <w:rPr>
                <w:rFonts w:ascii="Arial"/>
                <w:spacing w:val="-1"/>
              </w:rPr>
              <w:t>by</w:t>
            </w:r>
            <w:r>
              <w:rPr>
                <w:rFonts w:ascii="Arial"/>
                <w:spacing w:val="48"/>
              </w:rPr>
              <w:t xml:space="preserve"> </w:t>
            </w:r>
            <w:r>
              <w:rPr>
                <w:rFonts w:ascii="Arial"/>
                <w:spacing w:val="-1"/>
              </w:rPr>
              <w:t>the</w:t>
            </w:r>
            <w:r>
              <w:rPr>
                <w:rFonts w:ascii="Arial"/>
                <w:spacing w:val="30"/>
              </w:rPr>
              <w:t xml:space="preserve"> </w:t>
            </w:r>
            <w:r>
              <w:rPr>
                <w:rFonts w:ascii="Arial"/>
                <w:spacing w:val="-1"/>
              </w:rPr>
              <w:t>Companies</w:t>
            </w:r>
            <w:r>
              <w:rPr>
                <w:rFonts w:ascii="Arial"/>
                <w:spacing w:val="2"/>
              </w:rPr>
              <w:t xml:space="preserve"> </w:t>
            </w:r>
            <w:r>
              <w:rPr>
                <w:rFonts w:ascii="Arial"/>
                <w:spacing w:val="-1"/>
              </w:rPr>
              <w:t>Act</w:t>
            </w:r>
            <w:r>
              <w:rPr>
                <w:rFonts w:ascii="Arial"/>
                <w:spacing w:val="1"/>
              </w:rPr>
              <w:t xml:space="preserve"> </w:t>
            </w:r>
            <w:r>
              <w:rPr>
                <w:rFonts w:ascii="Arial"/>
                <w:spacing w:val="-1"/>
              </w:rPr>
              <w:t>2006</w:t>
            </w:r>
            <w:r>
              <w:rPr>
                <w:rFonts w:ascii="Arial"/>
                <w:spacing w:val="2"/>
              </w:rPr>
              <w:t xml:space="preserve"> </w:t>
            </w:r>
            <w:r>
              <w:rPr>
                <w:rFonts w:ascii="Arial"/>
                <w:spacing w:val="-2"/>
              </w:rPr>
              <w:t>or</w:t>
            </w:r>
            <w:r>
              <w:rPr>
                <w:rFonts w:ascii="Arial"/>
                <w:spacing w:val="3"/>
              </w:rPr>
              <w:t xml:space="preserve"> </w:t>
            </w:r>
            <w:r>
              <w:rPr>
                <w:rFonts w:ascii="Arial"/>
                <w:spacing w:val="-1"/>
              </w:rPr>
              <w:t>any</w:t>
            </w:r>
            <w:r>
              <w:rPr>
                <w:rFonts w:ascii="Arial"/>
              </w:rPr>
              <w:t xml:space="preserve">  </w:t>
            </w:r>
            <w:r>
              <w:rPr>
                <w:rFonts w:ascii="Arial"/>
                <w:spacing w:val="-1"/>
              </w:rPr>
              <w:t>statutory</w:t>
            </w:r>
            <w:r>
              <w:rPr>
                <w:rFonts w:ascii="Arial"/>
              </w:rPr>
              <w:t xml:space="preserve">  </w:t>
            </w:r>
            <w:r>
              <w:rPr>
                <w:rFonts w:ascii="Arial"/>
                <w:spacing w:val="-1"/>
              </w:rPr>
              <w:t>re-enactment</w:t>
            </w:r>
            <w:r>
              <w:rPr>
                <w:rFonts w:ascii="Arial"/>
                <w:spacing w:val="1"/>
              </w:rPr>
              <w:t xml:space="preserve"> </w:t>
            </w:r>
            <w:r>
              <w:rPr>
                <w:rFonts w:ascii="Arial"/>
                <w:spacing w:val="-1"/>
              </w:rPr>
              <w:t>or</w:t>
            </w:r>
            <w:r>
              <w:rPr>
                <w:rFonts w:ascii="Arial"/>
                <w:spacing w:val="22"/>
              </w:rPr>
              <w:t xml:space="preserve"> </w:t>
            </w:r>
            <w:r>
              <w:rPr>
                <w:rFonts w:ascii="Arial"/>
                <w:spacing w:val="-1"/>
              </w:rPr>
              <w:t>amendment</w:t>
            </w:r>
            <w:r>
              <w:rPr>
                <w:rFonts w:ascii="Arial"/>
              </w:rPr>
              <w:t xml:space="preserve"> </w:t>
            </w:r>
            <w:r>
              <w:rPr>
                <w:rFonts w:ascii="Arial"/>
                <w:spacing w:val="-1"/>
              </w:rPr>
              <w:t>thereto;</w:t>
            </w:r>
          </w:p>
        </w:tc>
      </w:tr>
      <w:tr w:rsidR="008918FA" w:rsidTr="001C1527">
        <w:trPr>
          <w:trHeight w:hRule="exact" w:val="641"/>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47" w:lineRule="exact"/>
              <w:ind w:left="-6"/>
              <w:rPr>
                <w:rFonts w:ascii="Arial" w:eastAsia="Arial" w:hAnsi="Arial" w:cs="Arial"/>
              </w:rPr>
            </w:pPr>
            <w:r>
              <w:rPr>
                <w:rFonts w:ascii="Arial"/>
                <w:b/>
                <w:spacing w:val="-2"/>
              </w:rPr>
              <w:t>"Party"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1"/>
              <w:rPr>
                <w:rFonts w:ascii="Arial" w:eastAsia="Arial" w:hAnsi="Arial" w:cs="Arial"/>
              </w:rPr>
            </w:pPr>
            <w:r>
              <w:rPr>
                <w:rFonts w:ascii="Arial"/>
                <w:spacing w:val="-1"/>
              </w:rPr>
              <w:t>means</w:t>
            </w:r>
            <w:r>
              <w:rPr>
                <w:rFonts w:ascii="Arial"/>
                <w:spacing w:val="30"/>
              </w:rPr>
              <w:t xml:space="preserve"> </w:t>
            </w:r>
            <w:r>
              <w:rPr>
                <w:rFonts w:ascii="Arial"/>
              </w:rPr>
              <w:t>the</w:t>
            </w:r>
            <w:r>
              <w:rPr>
                <w:rFonts w:ascii="Arial"/>
                <w:spacing w:val="29"/>
              </w:rPr>
              <w:t xml:space="preserve"> </w:t>
            </w:r>
            <w:r>
              <w:rPr>
                <w:rFonts w:ascii="Arial"/>
                <w:spacing w:val="-1"/>
              </w:rPr>
              <w:t>Customer</w:t>
            </w:r>
            <w:r>
              <w:rPr>
                <w:rFonts w:ascii="Arial"/>
                <w:spacing w:val="30"/>
              </w:rPr>
              <w:t xml:space="preserve"> </w:t>
            </w:r>
            <w:r>
              <w:rPr>
                <w:rFonts w:ascii="Arial"/>
                <w:spacing w:val="-2"/>
              </w:rPr>
              <w:t>or</w:t>
            </w:r>
            <w:r>
              <w:rPr>
                <w:rFonts w:ascii="Arial"/>
                <w:spacing w:val="28"/>
              </w:rPr>
              <w:t xml:space="preserve"> </w:t>
            </w:r>
            <w:r>
              <w:rPr>
                <w:rFonts w:ascii="Arial"/>
              </w:rPr>
              <w:t>the</w:t>
            </w:r>
            <w:r>
              <w:rPr>
                <w:rFonts w:ascii="Arial"/>
                <w:spacing w:val="29"/>
              </w:rPr>
              <w:t xml:space="preserve"> </w:t>
            </w:r>
            <w:r>
              <w:rPr>
                <w:rFonts w:ascii="Arial"/>
                <w:spacing w:val="-2"/>
              </w:rPr>
              <w:t>Supplier</w:t>
            </w:r>
            <w:r>
              <w:rPr>
                <w:rFonts w:ascii="Arial"/>
                <w:spacing w:val="30"/>
              </w:rPr>
              <w:t xml:space="preserve"> </w:t>
            </w:r>
            <w:r>
              <w:rPr>
                <w:rFonts w:ascii="Arial"/>
                <w:spacing w:val="-1"/>
              </w:rPr>
              <w:t>and</w:t>
            </w:r>
            <w:r>
              <w:rPr>
                <w:rFonts w:ascii="Arial"/>
                <w:spacing w:val="29"/>
              </w:rPr>
              <w:t xml:space="preserve"> </w:t>
            </w:r>
            <w:r>
              <w:rPr>
                <w:rFonts w:ascii="Arial"/>
                <w:spacing w:val="-1"/>
              </w:rPr>
              <w:t>"</w:t>
            </w:r>
            <w:r>
              <w:rPr>
                <w:rFonts w:ascii="Arial"/>
                <w:b/>
                <w:spacing w:val="-1"/>
              </w:rPr>
              <w:t>Parties</w:t>
            </w:r>
            <w:r>
              <w:rPr>
                <w:rFonts w:ascii="Arial"/>
                <w:spacing w:val="-1"/>
              </w:rPr>
              <w:t>"</w:t>
            </w:r>
            <w:r>
              <w:rPr>
                <w:rFonts w:ascii="Arial"/>
                <w:spacing w:val="30"/>
              </w:rPr>
              <w:t xml:space="preserve"> </w:t>
            </w:r>
            <w:r>
              <w:rPr>
                <w:rFonts w:ascii="Arial"/>
                <w:spacing w:val="-1"/>
              </w:rPr>
              <w:t>shall</w:t>
            </w:r>
            <w:r>
              <w:rPr>
                <w:rFonts w:ascii="Arial"/>
                <w:spacing w:val="37"/>
              </w:rPr>
              <w:t xml:space="preserve"> </w:t>
            </w:r>
            <w:r>
              <w:rPr>
                <w:rFonts w:ascii="Arial"/>
                <w:spacing w:val="-1"/>
              </w:rPr>
              <w:t>mean</w:t>
            </w:r>
            <w:r>
              <w:rPr>
                <w:rFonts w:ascii="Arial"/>
              </w:rPr>
              <w:t xml:space="preserve"> </w:t>
            </w:r>
            <w:r>
              <w:rPr>
                <w:rFonts w:ascii="Arial"/>
                <w:spacing w:val="-1"/>
              </w:rPr>
              <w:t>both</w:t>
            </w:r>
            <w:r>
              <w:rPr>
                <w:rFonts w:ascii="Arial"/>
              </w:rPr>
              <w:t xml:space="preserve"> </w:t>
            </w:r>
            <w:r>
              <w:rPr>
                <w:rFonts w:ascii="Arial"/>
                <w:spacing w:val="-2"/>
              </w:rPr>
              <w:t>of</w:t>
            </w:r>
            <w:r>
              <w:rPr>
                <w:rFonts w:ascii="Arial"/>
              </w:rPr>
              <w:t xml:space="preserve"> </w:t>
            </w:r>
            <w:r>
              <w:rPr>
                <w:rFonts w:ascii="Arial"/>
                <w:spacing w:val="-1"/>
              </w:rPr>
              <w:t>them;</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314"/>
              <w:rPr>
                <w:rFonts w:ascii="Arial" w:eastAsia="Arial" w:hAnsi="Arial" w:cs="Arial"/>
              </w:rPr>
            </w:pPr>
            <w:r>
              <w:rPr>
                <w:rFonts w:ascii="Arial"/>
                <w:b/>
                <w:spacing w:val="-1"/>
              </w:rPr>
              <w:t>"Performance</w:t>
            </w:r>
            <w:r>
              <w:rPr>
                <w:rFonts w:ascii="Arial"/>
                <w:b/>
                <w:spacing w:val="23"/>
              </w:rPr>
              <w:t xml:space="preserve"> </w:t>
            </w:r>
            <w:r>
              <w:rPr>
                <w:rFonts w:ascii="Arial"/>
                <w:b/>
                <w:spacing w:val="-1"/>
              </w:rPr>
              <w:t>Monitoring</w:t>
            </w:r>
            <w:r>
              <w:rPr>
                <w:rFonts w:ascii="Arial"/>
                <w:b/>
              </w:rPr>
              <w:t xml:space="preserve"> </w:t>
            </w:r>
            <w:r>
              <w:rPr>
                <w:rFonts w:ascii="Arial"/>
                <w:b/>
                <w:spacing w:val="-2"/>
              </w:rPr>
              <w:t>System"</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has</w:t>
            </w:r>
            <w:r>
              <w:rPr>
                <w:rFonts w:ascii="Arial"/>
                <w:spacing w:val="3"/>
              </w:rPr>
              <w:t xml:space="preserve"> </w:t>
            </w:r>
            <w:r>
              <w:rPr>
                <w:rFonts w:ascii="Arial"/>
              </w:rPr>
              <w:t>the</w:t>
            </w:r>
            <w:r>
              <w:rPr>
                <w:rFonts w:ascii="Arial"/>
                <w:spacing w:val="3"/>
              </w:rPr>
              <w:t xml:space="preserve"> </w:t>
            </w:r>
            <w:r>
              <w:rPr>
                <w:rFonts w:ascii="Arial"/>
                <w:spacing w:val="-2"/>
              </w:rPr>
              <w:t>meaning</w:t>
            </w:r>
            <w:r>
              <w:rPr>
                <w:rFonts w:ascii="Arial"/>
                <w:spacing w:val="3"/>
              </w:rPr>
              <w:t xml:space="preserve"> </w:t>
            </w:r>
            <w:r>
              <w:rPr>
                <w:rFonts w:ascii="Arial"/>
                <w:spacing w:val="-1"/>
              </w:rPr>
              <w:t>given</w:t>
            </w:r>
            <w:r>
              <w:rPr>
                <w:rFonts w:ascii="Arial"/>
                <w:spacing w:val="3"/>
              </w:rPr>
              <w:t xml:space="preserve"> </w:t>
            </w:r>
            <w:r>
              <w:rPr>
                <w:rFonts w:ascii="Arial"/>
              </w:rPr>
              <w:t>to</w:t>
            </w:r>
            <w:r>
              <w:rPr>
                <w:rFonts w:ascii="Arial"/>
                <w:spacing w:val="3"/>
              </w:rPr>
              <w:t xml:space="preserve"> </w:t>
            </w:r>
            <w:r>
              <w:rPr>
                <w:rFonts w:ascii="Arial"/>
                <w:spacing w:val="-1"/>
              </w:rPr>
              <w:t>it</w:t>
            </w:r>
            <w:r>
              <w:rPr>
                <w:rFonts w:ascii="Arial"/>
                <w:spacing w:val="4"/>
              </w:rPr>
              <w:t xml:space="preserve"> </w:t>
            </w:r>
            <w:r>
              <w:rPr>
                <w:rFonts w:ascii="Arial"/>
                <w:spacing w:val="-1"/>
              </w:rPr>
              <w:t>in</w:t>
            </w:r>
            <w:r>
              <w:rPr>
                <w:rFonts w:ascii="Arial"/>
                <w:spacing w:val="3"/>
              </w:rPr>
              <w:t xml:space="preserve"> </w:t>
            </w:r>
            <w:r>
              <w:rPr>
                <w:rFonts w:ascii="Arial"/>
                <w:spacing w:val="-1"/>
              </w:rPr>
              <w:t>paragraph</w:t>
            </w:r>
            <w:r>
              <w:rPr>
                <w:rFonts w:ascii="Arial"/>
                <w:spacing w:val="5"/>
              </w:rPr>
              <w:t xml:space="preserve"> </w:t>
            </w:r>
            <w:hyperlink w:anchor="_bookmark316" w:history="1">
              <w:r>
                <w:rPr>
                  <w:rFonts w:ascii="Arial"/>
                  <w:spacing w:val="-1"/>
                </w:rPr>
                <w:t>8.1.2</w:t>
              </w:r>
            </w:hyperlink>
            <w:r>
              <w:rPr>
                <w:rFonts w:ascii="Arial"/>
                <w:spacing w:val="3"/>
              </w:rPr>
              <w:t xml:space="preserve"> </w:t>
            </w:r>
            <w:r>
              <w:rPr>
                <w:rFonts w:ascii="Arial"/>
                <w:spacing w:val="-1"/>
              </w:rPr>
              <w:t>in</w:t>
            </w:r>
            <w:r>
              <w:rPr>
                <w:rFonts w:ascii="Arial"/>
              </w:rPr>
              <w:t xml:space="preserve"> </w:t>
            </w:r>
            <w:r>
              <w:rPr>
                <w:rFonts w:ascii="Arial"/>
                <w:spacing w:val="-1"/>
              </w:rPr>
              <w:t>Part</w:t>
            </w:r>
            <w:r>
              <w:rPr>
                <w:rFonts w:ascii="Arial"/>
                <w:spacing w:val="4"/>
              </w:rPr>
              <w:t xml:space="preserve"> </w:t>
            </w:r>
            <w:r>
              <w:rPr>
                <w:rFonts w:ascii="Arial"/>
              </w:rPr>
              <w:t>B</w:t>
            </w:r>
            <w:r>
              <w:rPr>
                <w:rFonts w:ascii="Arial"/>
                <w:spacing w:val="2"/>
              </w:rPr>
              <w:t xml:space="preserve"> </w:t>
            </w:r>
            <w:r>
              <w:rPr>
                <w:rFonts w:ascii="Arial"/>
                <w:spacing w:val="-2"/>
              </w:rPr>
              <w:t>of</w:t>
            </w:r>
            <w:r>
              <w:rPr>
                <w:rFonts w:ascii="Arial"/>
                <w:spacing w:val="43"/>
              </w:rPr>
              <w:t xml:space="preserve"> </w:t>
            </w:r>
            <w:r>
              <w:rPr>
                <w:rFonts w:ascii="Arial"/>
                <w:spacing w:val="-1"/>
              </w:rPr>
              <w:t>Schedule</w:t>
            </w:r>
            <w:r>
              <w:rPr>
                <w:rFonts w:ascii="Arial"/>
                <w:spacing w:val="39"/>
              </w:rPr>
              <w:t xml:space="preserve"> </w:t>
            </w:r>
            <w:r>
              <w:rPr>
                <w:rFonts w:ascii="Arial"/>
              </w:rPr>
              <w:t>6</w:t>
            </w:r>
            <w:r>
              <w:rPr>
                <w:rFonts w:ascii="Arial"/>
                <w:spacing w:val="39"/>
              </w:rPr>
              <w:t xml:space="preserve"> </w:t>
            </w:r>
            <w:r>
              <w:rPr>
                <w:rFonts w:ascii="Arial"/>
                <w:spacing w:val="-1"/>
              </w:rPr>
              <w:t>(Service</w:t>
            </w:r>
            <w:r>
              <w:rPr>
                <w:rFonts w:ascii="Arial"/>
                <w:spacing w:val="39"/>
              </w:rPr>
              <w:t xml:space="preserve"> </w:t>
            </w:r>
            <w:r>
              <w:rPr>
                <w:rFonts w:ascii="Arial"/>
                <w:spacing w:val="-1"/>
              </w:rPr>
              <w:t>Levels,</w:t>
            </w:r>
            <w:r>
              <w:rPr>
                <w:rFonts w:ascii="Arial"/>
                <w:spacing w:val="40"/>
              </w:rPr>
              <w:t xml:space="preserve"> </w:t>
            </w:r>
            <w:r>
              <w:rPr>
                <w:rFonts w:ascii="Arial"/>
                <w:spacing w:val="-2"/>
              </w:rPr>
              <w:t>Service</w:t>
            </w:r>
            <w:r>
              <w:rPr>
                <w:rFonts w:ascii="Arial"/>
                <w:spacing w:val="39"/>
              </w:rPr>
              <w:t xml:space="preserve"> </w:t>
            </w:r>
            <w:r>
              <w:rPr>
                <w:rFonts w:ascii="Arial"/>
                <w:spacing w:val="-1"/>
              </w:rPr>
              <w:t>Credits</w:t>
            </w:r>
            <w:r>
              <w:rPr>
                <w:rFonts w:ascii="Arial"/>
                <w:spacing w:val="39"/>
              </w:rPr>
              <w:t xml:space="preserve"> </w:t>
            </w:r>
            <w:r>
              <w:rPr>
                <w:rFonts w:ascii="Arial"/>
                <w:spacing w:val="-3"/>
              </w:rPr>
              <w:t>and</w:t>
            </w:r>
            <w:r>
              <w:rPr>
                <w:rFonts w:ascii="Arial"/>
                <w:spacing w:val="22"/>
              </w:rPr>
              <w:t xml:space="preserve"> </w:t>
            </w:r>
            <w:r>
              <w:rPr>
                <w:rFonts w:ascii="Arial"/>
                <w:spacing w:val="-1"/>
              </w:rPr>
              <w:t>Performance</w:t>
            </w:r>
            <w:r>
              <w:rPr>
                <w:rFonts w:ascii="Arial"/>
                <w:spacing w:val="-2"/>
              </w:rPr>
              <w:t xml:space="preserve"> </w:t>
            </w:r>
            <w:r>
              <w:rPr>
                <w:rFonts w:ascii="Arial"/>
                <w:spacing w:val="-1"/>
              </w:rPr>
              <w:t>Monitoring);</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264"/>
              <w:rPr>
                <w:rFonts w:ascii="Arial" w:eastAsia="Arial" w:hAnsi="Arial" w:cs="Arial"/>
              </w:rPr>
            </w:pPr>
            <w:r>
              <w:rPr>
                <w:rFonts w:ascii="Arial"/>
                <w:b/>
                <w:spacing w:val="-1"/>
              </w:rPr>
              <w:t>"Performance</w:t>
            </w:r>
            <w:r>
              <w:rPr>
                <w:rFonts w:ascii="Arial"/>
                <w:b/>
                <w:spacing w:val="23"/>
              </w:rPr>
              <w:t xml:space="preserve"> </w:t>
            </w:r>
            <w:r>
              <w:rPr>
                <w:rFonts w:ascii="Arial"/>
                <w:b/>
                <w:spacing w:val="-1"/>
              </w:rPr>
              <w:t>Monitoring</w:t>
            </w:r>
            <w:r>
              <w:rPr>
                <w:rFonts w:ascii="Arial"/>
                <w:b/>
              </w:rPr>
              <w:t xml:space="preserve"> </w:t>
            </w:r>
            <w:r>
              <w:rPr>
                <w:rFonts w:ascii="Arial"/>
                <w:b/>
                <w:spacing w:val="-2"/>
              </w:rPr>
              <w:t>Reports"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has</w:t>
            </w:r>
            <w:r>
              <w:rPr>
                <w:rFonts w:ascii="Arial"/>
                <w:spacing w:val="8"/>
              </w:rPr>
              <w:t xml:space="preserve"> </w:t>
            </w:r>
            <w:r>
              <w:rPr>
                <w:rFonts w:ascii="Arial"/>
              </w:rPr>
              <w:t>the</w:t>
            </w:r>
            <w:r>
              <w:rPr>
                <w:rFonts w:ascii="Arial"/>
                <w:spacing w:val="5"/>
              </w:rPr>
              <w:t xml:space="preserve"> </w:t>
            </w:r>
            <w:r>
              <w:rPr>
                <w:rFonts w:ascii="Arial"/>
                <w:spacing w:val="-1"/>
              </w:rPr>
              <w:t>meaning</w:t>
            </w:r>
            <w:r>
              <w:rPr>
                <w:rFonts w:ascii="Arial"/>
                <w:spacing w:val="5"/>
              </w:rPr>
              <w:t xml:space="preserve"> </w:t>
            </w:r>
            <w:r>
              <w:rPr>
                <w:rFonts w:ascii="Arial"/>
                <w:spacing w:val="-1"/>
              </w:rPr>
              <w:t>given</w:t>
            </w:r>
            <w:r>
              <w:rPr>
                <w:rFonts w:ascii="Arial"/>
                <w:spacing w:val="7"/>
              </w:rPr>
              <w:t xml:space="preserve"> </w:t>
            </w:r>
            <w:r>
              <w:rPr>
                <w:rFonts w:ascii="Arial"/>
              </w:rPr>
              <w:t>to</w:t>
            </w:r>
            <w:r>
              <w:rPr>
                <w:rFonts w:ascii="Arial"/>
                <w:spacing w:val="7"/>
              </w:rPr>
              <w:t xml:space="preserve"> </w:t>
            </w:r>
            <w:r>
              <w:rPr>
                <w:rFonts w:ascii="Arial"/>
                <w:spacing w:val="-1"/>
              </w:rPr>
              <w:t>it</w:t>
            </w:r>
            <w:r>
              <w:rPr>
                <w:rFonts w:ascii="Arial"/>
                <w:spacing w:val="9"/>
              </w:rPr>
              <w:t xml:space="preserve"> </w:t>
            </w:r>
            <w:r>
              <w:rPr>
                <w:rFonts w:ascii="Arial"/>
                <w:spacing w:val="-1"/>
              </w:rPr>
              <w:t>in</w:t>
            </w:r>
            <w:r>
              <w:rPr>
                <w:rFonts w:ascii="Arial"/>
                <w:spacing w:val="7"/>
              </w:rPr>
              <w:t xml:space="preserve"> </w:t>
            </w:r>
            <w:r>
              <w:rPr>
                <w:rFonts w:ascii="Arial"/>
                <w:spacing w:val="-1"/>
              </w:rPr>
              <w:t>paragraph</w:t>
            </w:r>
            <w:r>
              <w:rPr>
                <w:rFonts w:ascii="Arial"/>
                <w:spacing w:val="7"/>
              </w:rPr>
              <w:t xml:space="preserve"> </w:t>
            </w:r>
            <w:hyperlink w:anchor="_bookmark318" w:history="1">
              <w:r>
                <w:rPr>
                  <w:rFonts w:ascii="Arial"/>
                  <w:spacing w:val="-1"/>
                </w:rPr>
                <w:t>10.1</w:t>
              </w:r>
            </w:hyperlink>
            <w:r>
              <w:rPr>
                <w:rFonts w:ascii="Arial"/>
                <w:spacing w:val="8"/>
              </w:rPr>
              <w:t xml:space="preserve"> </w:t>
            </w:r>
            <w:r>
              <w:rPr>
                <w:rFonts w:ascii="Arial"/>
                <w:spacing w:val="-2"/>
              </w:rPr>
              <w:t>of</w:t>
            </w:r>
            <w:r>
              <w:rPr>
                <w:rFonts w:ascii="Arial"/>
                <w:spacing w:val="7"/>
              </w:rPr>
              <w:t xml:space="preserve"> </w:t>
            </w:r>
            <w:r>
              <w:rPr>
                <w:rFonts w:ascii="Arial"/>
                <w:spacing w:val="-1"/>
              </w:rPr>
              <w:t>Part</w:t>
            </w:r>
            <w:r>
              <w:rPr>
                <w:rFonts w:ascii="Arial"/>
                <w:spacing w:val="9"/>
              </w:rPr>
              <w:t xml:space="preserve"> </w:t>
            </w:r>
            <w:r>
              <w:rPr>
                <w:rFonts w:ascii="Arial"/>
              </w:rPr>
              <w:t>B</w:t>
            </w:r>
            <w:r>
              <w:rPr>
                <w:rFonts w:ascii="Arial"/>
                <w:spacing w:val="5"/>
              </w:rPr>
              <w:t xml:space="preserve"> </w:t>
            </w:r>
            <w:r>
              <w:rPr>
                <w:rFonts w:ascii="Arial"/>
                <w:spacing w:val="-2"/>
              </w:rPr>
              <w:t>of</w:t>
            </w:r>
            <w:r>
              <w:rPr>
                <w:rFonts w:ascii="Arial"/>
                <w:spacing w:val="31"/>
              </w:rPr>
              <w:t xml:space="preserve"> </w:t>
            </w:r>
            <w:r>
              <w:rPr>
                <w:rFonts w:ascii="Arial"/>
                <w:spacing w:val="-1"/>
              </w:rPr>
              <w:t>Schedule</w:t>
            </w:r>
            <w:r>
              <w:rPr>
                <w:rFonts w:ascii="Arial"/>
                <w:spacing w:val="14"/>
              </w:rPr>
              <w:t xml:space="preserve"> </w:t>
            </w:r>
            <w:r>
              <w:rPr>
                <w:rFonts w:ascii="Arial"/>
              </w:rPr>
              <w:t>6</w:t>
            </w:r>
            <w:r>
              <w:rPr>
                <w:rFonts w:ascii="Arial"/>
                <w:spacing w:val="14"/>
              </w:rPr>
              <w:t xml:space="preserve"> </w:t>
            </w:r>
            <w:r>
              <w:rPr>
                <w:rFonts w:ascii="Arial"/>
                <w:spacing w:val="-1"/>
              </w:rPr>
              <w:t>(Service</w:t>
            </w:r>
            <w:r>
              <w:rPr>
                <w:rFonts w:ascii="Arial"/>
                <w:spacing w:val="14"/>
              </w:rPr>
              <w:t xml:space="preserve"> </w:t>
            </w:r>
            <w:r>
              <w:rPr>
                <w:rFonts w:ascii="Arial"/>
                <w:spacing w:val="-2"/>
              </w:rPr>
              <w:t>Level,</w:t>
            </w:r>
            <w:r>
              <w:rPr>
                <w:rFonts w:ascii="Arial"/>
                <w:spacing w:val="15"/>
              </w:rPr>
              <w:t xml:space="preserve"> </w:t>
            </w:r>
            <w:r>
              <w:rPr>
                <w:rFonts w:ascii="Arial"/>
                <w:spacing w:val="-2"/>
              </w:rPr>
              <w:t>Service</w:t>
            </w:r>
            <w:r>
              <w:rPr>
                <w:rFonts w:ascii="Arial"/>
                <w:spacing w:val="14"/>
              </w:rPr>
              <w:t xml:space="preserve"> </w:t>
            </w:r>
            <w:r>
              <w:rPr>
                <w:rFonts w:ascii="Arial"/>
                <w:spacing w:val="-1"/>
              </w:rPr>
              <w:t>Credit</w:t>
            </w:r>
            <w:r>
              <w:rPr>
                <w:rFonts w:ascii="Arial"/>
                <w:spacing w:val="15"/>
              </w:rPr>
              <w:t xml:space="preserve"> </w:t>
            </w:r>
            <w:r>
              <w:rPr>
                <w:rFonts w:ascii="Arial"/>
                <w:spacing w:val="-1"/>
              </w:rPr>
              <w:t>and</w:t>
            </w:r>
            <w:r>
              <w:rPr>
                <w:rFonts w:ascii="Arial"/>
                <w:spacing w:val="28"/>
              </w:rPr>
              <w:t xml:space="preserve"> </w:t>
            </w:r>
            <w:r>
              <w:rPr>
                <w:rFonts w:ascii="Arial"/>
                <w:spacing w:val="-1"/>
              </w:rPr>
              <w:t>Performance</w:t>
            </w:r>
            <w:r>
              <w:rPr>
                <w:rFonts w:ascii="Arial"/>
                <w:spacing w:val="-2"/>
              </w:rPr>
              <w:t xml:space="preserve"> </w:t>
            </w:r>
            <w:r>
              <w:rPr>
                <w:rFonts w:ascii="Arial"/>
                <w:spacing w:val="-1"/>
              </w:rPr>
              <w:t>Monitoring);</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"Personal</w:t>
            </w:r>
            <w:r>
              <w:rPr>
                <w:rFonts w:ascii="Arial"/>
                <w:b/>
              </w:rPr>
              <w:t xml:space="preserve"> </w:t>
            </w:r>
            <w:r>
              <w:rPr>
                <w:rFonts w:ascii="Arial"/>
                <w:b/>
                <w:spacing w:val="-2"/>
              </w:rPr>
              <w:t>Data"</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100"/>
              <w:rPr>
                <w:rFonts w:ascii="Arial" w:eastAsia="Arial" w:hAnsi="Arial" w:cs="Arial"/>
              </w:rPr>
            </w:pPr>
            <w:r>
              <w:rPr>
                <w:rFonts w:ascii="Arial"/>
                <w:spacing w:val="-1"/>
              </w:rPr>
              <w:t>has</w:t>
            </w:r>
            <w:r>
              <w:rPr>
                <w:rFonts w:ascii="Arial"/>
                <w:spacing w:val="49"/>
              </w:rPr>
              <w:t xml:space="preserve"> </w:t>
            </w:r>
            <w:r>
              <w:rPr>
                <w:rFonts w:ascii="Arial"/>
              </w:rPr>
              <w:t>the</w:t>
            </w:r>
            <w:r>
              <w:rPr>
                <w:rFonts w:ascii="Arial"/>
                <w:spacing w:val="46"/>
              </w:rPr>
              <w:t xml:space="preserve"> </w:t>
            </w:r>
            <w:r>
              <w:rPr>
                <w:rFonts w:ascii="Arial"/>
                <w:spacing w:val="-1"/>
              </w:rPr>
              <w:t>meaning</w:t>
            </w:r>
            <w:r>
              <w:rPr>
                <w:rFonts w:ascii="Arial"/>
                <w:spacing w:val="46"/>
              </w:rPr>
              <w:t xml:space="preserve"> </w:t>
            </w:r>
            <w:r>
              <w:rPr>
                <w:rFonts w:ascii="Arial"/>
                <w:spacing w:val="-1"/>
              </w:rPr>
              <w:t>given</w:t>
            </w:r>
            <w:r>
              <w:rPr>
                <w:rFonts w:ascii="Arial"/>
                <w:spacing w:val="51"/>
              </w:rPr>
              <w:t xml:space="preserve"> </w:t>
            </w:r>
            <w:r>
              <w:rPr>
                <w:rFonts w:ascii="Arial"/>
              </w:rPr>
              <w:t>to</w:t>
            </w:r>
            <w:r>
              <w:rPr>
                <w:rFonts w:ascii="Arial"/>
                <w:spacing w:val="48"/>
              </w:rPr>
              <w:t xml:space="preserve"> </w:t>
            </w:r>
            <w:r>
              <w:rPr>
                <w:rFonts w:ascii="Arial"/>
                <w:spacing w:val="-1"/>
              </w:rPr>
              <w:t>it</w:t>
            </w:r>
            <w:r>
              <w:rPr>
                <w:rFonts w:ascii="Arial"/>
                <w:spacing w:val="50"/>
              </w:rPr>
              <w:t xml:space="preserve"> </w:t>
            </w:r>
            <w:r>
              <w:rPr>
                <w:rFonts w:ascii="Arial"/>
                <w:spacing w:val="-1"/>
              </w:rPr>
              <w:t>in</w:t>
            </w:r>
            <w:r>
              <w:rPr>
                <w:rFonts w:ascii="Arial"/>
                <w:spacing w:val="47"/>
              </w:rPr>
              <w:t xml:space="preserve"> </w:t>
            </w:r>
            <w:r>
              <w:rPr>
                <w:rFonts w:ascii="Arial"/>
              </w:rPr>
              <w:t>the</w:t>
            </w:r>
            <w:r>
              <w:rPr>
                <w:rFonts w:ascii="Arial"/>
                <w:spacing w:val="48"/>
              </w:rPr>
              <w:t xml:space="preserve"> </w:t>
            </w:r>
            <w:r>
              <w:rPr>
                <w:rFonts w:ascii="Arial"/>
                <w:spacing w:val="-1"/>
              </w:rPr>
              <w:t>Data</w:t>
            </w:r>
            <w:r>
              <w:rPr>
                <w:rFonts w:ascii="Arial"/>
                <w:spacing w:val="48"/>
              </w:rPr>
              <w:t xml:space="preserve"> </w:t>
            </w:r>
            <w:r>
              <w:rPr>
                <w:rFonts w:ascii="Arial"/>
                <w:spacing w:val="-1"/>
              </w:rPr>
              <w:t>Protection</w:t>
            </w:r>
            <w:r>
              <w:rPr>
                <w:rFonts w:ascii="Arial"/>
                <w:spacing w:val="48"/>
              </w:rPr>
              <w:t xml:space="preserve"> </w:t>
            </w:r>
            <w:r>
              <w:rPr>
                <w:rFonts w:ascii="Arial"/>
                <w:spacing w:val="-2"/>
              </w:rPr>
              <w:t>Act</w:t>
            </w:r>
            <w:r>
              <w:rPr>
                <w:rFonts w:ascii="Arial"/>
                <w:spacing w:val="29"/>
              </w:rPr>
              <w:t xml:space="preserve"> </w:t>
            </w:r>
            <w:r>
              <w:rPr>
                <w:rFonts w:ascii="Arial"/>
                <w:spacing w:val="-1"/>
              </w:rPr>
              <w:t>1998;</w:t>
            </w:r>
          </w:p>
        </w:tc>
      </w:tr>
      <w:tr w:rsidR="008918FA" w:rsidTr="005D2B81">
        <w:trPr>
          <w:trHeight w:hRule="exact" w:val="1529"/>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"PQQ</w:t>
            </w:r>
            <w:r>
              <w:rPr>
                <w:rFonts w:ascii="Arial"/>
                <w:b/>
                <w:spacing w:val="2"/>
              </w:rPr>
              <w:t xml:space="preserve"> </w:t>
            </w:r>
            <w:r>
              <w:rPr>
                <w:rFonts w:ascii="Arial"/>
                <w:b/>
                <w:spacing w:val="-2"/>
              </w:rPr>
              <w:t>Response"</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eastAsia="Arial" w:hAnsi="Arial" w:cs="Arial"/>
                <w:spacing w:val="-1"/>
              </w:rPr>
              <w:t>means,</w:t>
            </w:r>
            <w:r>
              <w:rPr>
                <w:rFonts w:ascii="Arial" w:eastAsia="Arial" w:hAnsi="Arial" w:cs="Arial"/>
                <w:spacing w:val="49"/>
              </w:rPr>
              <w:t xml:space="preserve"> </w:t>
            </w:r>
            <w:r>
              <w:rPr>
                <w:rFonts w:ascii="Arial" w:eastAsia="Arial" w:hAnsi="Arial" w:cs="Arial"/>
                <w:spacing w:val="-2"/>
              </w:rPr>
              <w:t>where</w:t>
            </w:r>
            <w:r>
              <w:rPr>
                <w:rFonts w:ascii="Arial" w:eastAsia="Arial" w:hAnsi="Arial" w:cs="Arial"/>
                <w:spacing w:val="47"/>
              </w:rPr>
              <w:t xml:space="preserve"> </w:t>
            </w:r>
            <w:r>
              <w:rPr>
                <w:rFonts w:ascii="Arial" w:eastAsia="Arial" w:hAnsi="Arial" w:cs="Arial"/>
              </w:rPr>
              <w:t>the</w:t>
            </w:r>
            <w:r>
              <w:rPr>
                <w:rFonts w:ascii="Arial" w:eastAsia="Arial" w:hAnsi="Arial" w:cs="Arial"/>
                <w:spacing w:val="47"/>
              </w:rPr>
              <w:t xml:space="preserve"> </w:t>
            </w:r>
            <w:r>
              <w:rPr>
                <w:rFonts w:ascii="Arial" w:eastAsia="Arial" w:hAnsi="Arial" w:cs="Arial"/>
                <w:spacing w:val="-2"/>
              </w:rPr>
              <w:t>Framework</w:t>
            </w:r>
            <w:r>
              <w:rPr>
                <w:rFonts w:ascii="Arial" w:eastAsia="Arial" w:hAnsi="Arial" w:cs="Arial"/>
                <w:spacing w:val="50"/>
              </w:rPr>
              <w:t xml:space="preserve"> </w:t>
            </w:r>
            <w:r>
              <w:rPr>
                <w:rFonts w:ascii="Arial" w:eastAsia="Arial" w:hAnsi="Arial" w:cs="Arial"/>
                <w:spacing w:val="-1"/>
              </w:rPr>
              <w:t>Agreement</w:t>
            </w:r>
            <w:r>
              <w:rPr>
                <w:rFonts w:ascii="Arial" w:eastAsia="Arial" w:hAnsi="Arial" w:cs="Arial"/>
                <w:spacing w:val="49"/>
              </w:rPr>
              <w:t xml:space="preserve"> </w:t>
            </w:r>
            <w:r>
              <w:rPr>
                <w:rFonts w:ascii="Arial" w:eastAsia="Arial" w:hAnsi="Arial" w:cs="Arial"/>
                <w:spacing w:val="-2"/>
              </w:rPr>
              <w:t>has</w:t>
            </w:r>
            <w:r>
              <w:rPr>
                <w:rFonts w:ascii="Arial" w:eastAsia="Arial" w:hAnsi="Arial" w:cs="Arial"/>
                <w:spacing w:val="47"/>
              </w:rPr>
              <w:t xml:space="preserve"> </w:t>
            </w:r>
            <w:r>
              <w:rPr>
                <w:rFonts w:ascii="Arial" w:eastAsia="Arial" w:hAnsi="Arial" w:cs="Arial"/>
                <w:spacing w:val="-1"/>
              </w:rPr>
              <w:t>been</w:t>
            </w:r>
            <w:r>
              <w:rPr>
                <w:rFonts w:ascii="Arial" w:eastAsia="Arial" w:hAnsi="Arial" w:cs="Arial"/>
                <w:spacing w:val="34"/>
              </w:rPr>
              <w:t xml:space="preserve"> </w:t>
            </w:r>
            <w:r>
              <w:rPr>
                <w:rFonts w:ascii="Arial" w:eastAsia="Arial" w:hAnsi="Arial" w:cs="Arial"/>
                <w:spacing w:val="-2"/>
              </w:rPr>
              <w:t>awarded</w:t>
            </w:r>
            <w:r>
              <w:rPr>
                <w:rFonts w:ascii="Arial" w:eastAsia="Arial" w:hAnsi="Arial" w:cs="Arial"/>
                <w:spacing w:val="53"/>
              </w:rPr>
              <w:t xml:space="preserve"> </w:t>
            </w:r>
            <w:r>
              <w:rPr>
                <w:rFonts w:ascii="Arial" w:eastAsia="Arial" w:hAnsi="Arial" w:cs="Arial"/>
                <w:spacing w:val="-1"/>
              </w:rPr>
              <w:t>under</w:t>
            </w:r>
            <w:r>
              <w:rPr>
                <w:rFonts w:ascii="Arial" w:eastAsia="Arial" w:hAnsi="Arial" w:cs="Arial"/>
                <w:spacing w:val="54"/>
              </w:rPr>
              <w:t xml:space="preserve"> </w:t>
            </w:r>
            <w:r>
              <w:rPr>
                <w:rFonts w:ascii="Arial" w:eastAsia="Arial" w:hAnsi="Arial" w:cs="Arial"/>
              </w:rPr>
              <w:t>the</w:t>
            </w:r>
            <w:r>
              <w:rPr>
                <w:rFonts w:ascii="Arial" w:eastAsia="Arial" w:hAnsi="Arial" w:cs="Arial"/>
                <w:spacing w:val="51"/>
              </w:rPr>
              <w:t xml:space="preserve"> </w:t>
            </w:r>
            <w:r>
              <w:rPr>
                <w:rFonts w:ascii="Arial" w:eastAsia="Arial" w:hAnsi="Arial" w:cs="Arial"/>
                <w:spacing w:val="-1"/>
              </w:rPr>
              <w:t>Restricted</w:t>
            </w:r>
            <w:r>
              <w:rPr>
                <w:rFonts w:ascii="Arial" w:eastAsia="Arial" w:hAnsi="Arial" w:cs="Arial"/>
                <w:spacing w:val="51"/>
              </w:rPr>
              <w:t xml:space="preserve"> </w:t>
            </w:r>
            <w:r>
              <w:rPr>
                <w:rFonts w:ascii="Arial" w:eastAsia="Arial" w:hAnsi="Arial" w:cs="Arial"/>
                <w:spacing w:val="-1"/>
              </w:rPr>
              <w:t>Procedure,</w:t>
            </w:r>
            <w:r>
              <w:rPr>
                <w:rFonts w:ascii="Arial" w:eastAsia="Arial" w:hAnsi="Arial" w:cs="Arial"/>
                <w:spacing w:val="52"/>
              </w:rPr>
              <w:t xml:space="preserve"> </w:t>
            </w:r>
            <w:r>
              <w:rPr>
                <w:rFonts w:ascii="Arial" w:eastAsia="Arial" w:hAnsi="Arial" w:cs="Arial"/>
              </w:rPr>
              <w:t>the</w:t>
            </w:r>
            <w:r>
              <w:rPr>
                <w:rFonts w:ascii="Arial" w:eastAsia="Arial" w:hAnsi="Arial" w:cs="Arial"/>
                <w:spacing w:val="51"/>
              </w:rPr>
              <w:t xml:space="preserve"> </w:t>
            </w:r>
            <w:r>
              <w:rPr>
                <w:rFonts w:ascii="Arial" w:eastAsia="Arial" w:hAnsi="Arial" w:cs="Arial"/>
                <w:spacing w:val="-1"/>
              </w:rPr>
              <w:t>response</w:t>
            </w:r>
            <w:r>
              <w:rPr>
                <w:rFonts w:ascii="Arial" w:eastAsia="Arial" w:hAnsi="Arial" w:cs="Arial"/>
                <w:spacing w:val="22"/>
              </w:rPr>
              <w:t xml:space="preserve"> </w:t>
            </w:r>
            <w:r>
              <w:rPr>
                <w:rFonts w:ascii="Arial" w:eastAsia="Arial" w:hAnsi="Arial" w:cs="Arial"/>
                <w:spacing w:val="-1"/>
              </w:rPr>
              <w:t>submitted</w:t>
            </w:r>
            <w:r>
              <w:rPr>
                <w:rFonts w:ascii="Arial" w:eastAsia="Arial" w:hAnsi="Arial" w:cs="Arial"/>
                <w:spacing w:val="24"/>
              </w:rPr>
              <w:t xml:space="preserve"> </w:t>
            </w:r>
            <w:r>
              <w:rPr>
                <w:rFonts w:ascii="Arial" w:eastAsia="Arial" w:hAnsi="Arial" w:cs="Arial"/>
                <w:spacing w:val="-1"/>
              </w:rPr>
              <w:t>by</w:t>
            </w:r>
            <w:r>
              <w:rPr>
                <w:rFonts w:ascii="Arial" w:eastAsia="Arial" w:hAnsi="Arial" w:cs="Arial"/>
                <w:spacing w:val="22"/>
              </w:rPr>
              <w:t xml:space="preserve"> </w:t>
            </w:r>
            <w:r>
              <w:rPr>
                <w:rFonts w:ascii="Arial" w:eastAsia="Arial" w:hAnsi="Arial" w:cs="Arial"/>
              </w:rPr>
              <w:t>the</w:t>
            </w:r>
            <w:r>
              <w:rPr>
                <w:rFonts w:ascii="Arial" w:eastAsia="Arial" w:hAnsi="Arial" w:cs="Arial"/>
                <w:spacing w:val="24"/>
              </w:rPr>
              <w:t xml:space="preserve"> </w:t>
            </w:r>
            <w:r>
              <w:rPr>
                <w:rFonts w:ascii="Arial" w:eastAsia="Arial" w:hAnsi="Arial" w:cs="Arial"/>
                <w:spacing w:val="-1"/>
              </w:rPr>
              <w:t>Supplier</w:t>
            </w:r>
            <w:r>
              <w:rPr>
                <w:rFonts w:ascii="Arial" w:eastAsia="Arial" w:hAnsi="Arial" w:cs="Arial"/>
                <w:spacing w:val="26"/>
              </w:rPr>
              <w:t xml:space="preserve"> </w:t>
            </w:r>
            <w:r>
              <w:rPr>
                <w:rFonts w:ascii="Arial" w:eastAsia="Arial" w:hAnsi="Arial" w:cs="Arial"/>
              </w:rPr>
              <w:t>to</w:t>
            </w:r>
            <w:r>
              <w:rPr>
                <w:rFonts w:ascii="Arial" w:eastAsia="Arial" w:hAnsi="Arial" w:cs="Arial"/>
                <w:spacing w:val="24"/>
              </w:rPr>
              <w:t xml:space="preserve"> </w:t>
            </w:r>
            <w:r>
              <w:rPr>
                <w:rFonts w:ascii="Arial" w:eastAsia="Arial" w:hAnsi="Arial" w:cs="Arial"/>
              </w:rPr>
              <w:t>the</w:t>
            </w:r>
            <w:r>
              <w:rPr>
                <w:rFonts w:ascii="Arial" w:eastAsia="Arial" w:hAnsi="Arial" w:cs="Arial"/>
                <w:spacing w:val="24"/>
              </w:rPr>
              <w:t xml:space="preserve"> </w:t>
            </w:r>
            <w:r>
              <w:rPr>
                <w:rFonts w:ascii="Arial" w:eastAsia="Arial" w:hAnsi="Arial" w:cs="Arial"/>
                <w:spacing w:val="-1"/>
              </w:rPr>
              <w:t>Pre-Qualification</w:t>
            </w:r>
            <w:r>
              <w:rPr>
                <w:rFonts w:ascii="Arial" w:eastAsia="Arial" w:hAnsi="Arial" w:cs="Arial"/>
                <w:spacing w:val="29"/>
              </w:rPr>
              <w:t xml:space="preserve"> </w:t>
            </w:r>
            <w:r>
              <w:rPr>
                <w:rFonts w:ascii="Arial" w:eastAsia="Arial" w:hAnsi="Arial" w:cs="Arial"/>
                <w:spacing w:val="-1"/>
              </w:rPr>
              <w:t>Questionnaire</w:t>
            </w:r>
            <w:r>
              <w:rPr>
                <w:rFonts w:ascii="Arial" w:eastAsia="Arial" w:hAnsi="Arial" w:cs="Arial"/>
                <w:spacing w:val="9"/>
              </w:rPr>
              <w:t xml:space="preserve"> </w:t>
            </w:r>
            <w:r>
              <w:rPr>
                <w:rFonts w:ascii="Arial" w:eastAsia="Arial" w:hAnsi="Arial" w:cs="Arial"/>
                <w:spacing w:val="-1"/>
              </w:rPr>
              <w:t>issued</w:t>
            </w:r>
            <w:r>
              <w:rPr>
                <w:rFonts w:ascii="Arial" w:eastAsia="Arial" w:hAnsi="Arial" w:cs="Arial"/>
                <w:spacing w:val="6"/>
              </w:rPr>
              <w:t xml:space="preserve"> </w:t>
            </w:r>
            <w:r>
              <w:rPr>
                <w:rFonts w:ascii="Arial" w:eastAsia="Arial" w:hAnsi="Arial" w:cs="Arial"/>
                <w:spacing w:val="-1"/>
              </w:rPr>
              <w:t>by</w:t>
            </w:r>
            <w:r>
              <w:rPr>
                <w:rFonts w:ascii="Arial" w:eastAsia="Arial" w:hAnsi="Arial" w:cs="Arial"/>
                <w:spacing w:val="7"/>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spacing w:val="-1"/>
              </w:rPr>
              <w:t>Authority,</w:t>
            </w:r>
            <w:r>
              <w:rPr>
                <w:rFonts w:ascii="Arial" w:eastAsia="Arial" w:hAnsi="Arial" w:cs="Arial"/>
                <w:spacing w:val="10"/>
              </w:rPr>
              <w:t xml:space="preserve"> </w:t>
            </w:r>
            <w:r>
              <w:rPr>
                <w:rFonts w:ascii="Arial" w:eastAsia="Arial" w:hAnsi="Arial" w:cs="Arial"/>
                <w:spacing w:val="-1"/>
              </w:rPr>
              <w:t>and</w:t>
            </w:r>
            <w:r>
              <w:rPr>
                <w:rFonts w:ascii="Arial" w:eastAsia="Arial" w:hAnsi="Arial" w:cs="Arial"/>
                <w:spacing w:val="9"/>
              </w:rPr>
              <w:t xml:space="preserve"> </w:t>
            </w:r>
            <w:r>
              <w:rPr>
                <w:rFonts w:ascii="Arial" w:eastAsia="Arial" w:hAnsi="Arial" w:cs="Arial"/>
                <w:spacing w:val="-1"/>
              </w:rPr>
              <w:t>the</w:t>
            </w:r>
            <w:r>
              <w:rPr>
                <w:rFonts w:ascii="Arial" w:eastAsia="Arial" w:hAnsi="Arial" w:cs="Arial"/>
                <w:spacing w:val="24"/>
              </w:rPr>
              <w:t xml:space="preserve"> </w:t>
            </w:r>
            <w:r>
              <w:rPr>
                <w:rFonts w:ascii="Arial" w:eastAsia="Arial" w:hAnsi="Arial" w:cs="Arial"/>
                <w:spacing w:val="-1"/>
              </w:rPr>
              <w:t>expressions</w:t>
            </w:r>
            <w:r>
              <w:rPr>
                <w:rFonts w:ascii="Arial" w:eastAsia="Arial" w:hAnsi="Arial" w:cs="Arial"/>
                <w:spacing w:val="8"/>
              </w:rPr>
              <w:t xml:space="preserve"> </w:t>
            </w:r>
            <w:r>
              <w:rPr>
                <w:rFonts w:ascii="Arial" w:eastAsia="Arial" w:hAnsi="Arial" w:cs="Arial"/>
                <w:spacing w:val="-1"/>
              </w:rPr>
              <w:t>“Restricted</w:t>
            </w:r>
            <w:r>
              <w:rPr>
                <w:rFonts w:ascii="Arial" w:eastAsia="Arial" w:hAnsi="Arial" w:cs="Arial"/>
                <w:spacing w:val="5"/>
              </w:rPr>
              <w:t xml:space="preserve"> </w:t>
            </w:r>
            <w:r>
              <w:rPr>
                <w:rFonts w:ascii="Arial" w:eastAsia="Arial" w:hAnsi="Arial" w:cs="Arial"/>
                <w:spacing w:val="-1"/>
              </w:rPr>
              <w:t>Procedure”</w:t>
            </w:r>
            <w:r>
              <w:rPr>
                <w:rFonts w:ascii="Arial" w:eastAsia="Arial" w:hAnsi="Arial" w:cs="Arial"/>
                <w:spacing w:val="9"/>
              </w:rPr>
              <w:t xml:space="preserve"> </w:t>
            </w:r>
            <w:r>
              <w:rPr>
                <w:rFonts w:ascii="Arial" w:eastAsia="Arial" w:hAnsi="Arial" w:cs="Arial"/>
                <w:spacing w:val="-1"/>
              </w:rPr>
              <w:t>and</w:t>
            </w:r>
            <w:r>
              <w:rPr>
                <w:rFonts w:ascii="Arial" w:eastAsia="Arial" w:hAnsi="Arial" w:cs="Arial"/>
                <w:spacing w:val="7"/>
              </w:rPr>
              <w:t xml:space="preserve"> </w:t>
            </w:r>
            <w:r>
              <w:rPr>
                <w:rFonts w:ascii="Arial" w:eastAsia="Arial" w:hAnsi="Arial" w:cs="Arial"/>
                <w:spacing w:val="-1"/>
              </w:rPr>
              <w:t>“Pre-Qualification</w:t>
            </w:r>
            <w:r>
              <w:rPr>
                <w:rFonts w:ascii="Arial" w:eastAsia="Arial" w:hAnsi="Arial" w:cs="Arial"/>
                <w:spacing w:val="29"/>
              </w:rPr>
              <w:t xml:space="preserve"> </w:t>
            </w:r>
            <w:r>
              <w:rPr>
                <w:rFonts w:ascii="Arial" w:eastAsia="Arial" w:hAnsi="Arial" w:cs="Arial"/>
                <w:spacing w:val="-1"/>
              </w:rPr>
              <w:t>Questionnaire”</w:t>
            </w:r>
            <w:r>
              <w:rPr>
                <w:rFonts w:ascii="Arial" w:eastAsia="Arial" w:hAnsi="Arial" w:cs="Arial"/>
                <w:spacing w:val="38"/>
              </w:rPr>
              <w:t xml:space="preserve"> </w:t>
            </w:r>
            <w:r>
              <w:rPr>
                <w:rFonts w:ascii="Arial" w:eastAsia="Arial" w:hAnsi="Arial" w:cs="Arial"/>
                <w:spacing w:val="-1"/>
              </w:rPr>
              <w:t>shall</w:t>
            </w:r>
            <w:r>
              <w:rPr>
                <w:rFonts w:ascii="Arial" w:eastAsia="Arial" w:hAnsi="Arial" w:cs="Arial"/>
                <w:spacing w:val="36"/>
              </w:rPr>
              <w:t xml:space="preserve"> </w:t>
            </w:r>
            <w:r>
              <w:rPr>
                <w:rFonts w:ascii="Arial" w:eastAsia="Arial" w:hAnsi="Arial" w:cs="Arial"/>
                <w:spacing w:val="-2"/>
              </w:rPr>
              <w:t>have</w:t>
            </w:r>
            <w:r>
              <w:rPr>
                <w:rFonts w:ascii="Arial" w:eastAsia="Arial" w:hAnsi="Arial" w:cs="Arial"/>
                <w:spacing w:val="36"/>
              </w:rPr>
              <w:t xml:space="preserve"> </w:t>
            </w:r>
            <w:r>
              <w:rPr>
                <w:rFonts w:ascii="Arial" w:eastAsia="Arial" w:hAnsi="Arial" w:cs="Arial"/>
              </w:rPr>
              <w:t>the</w:t>
            </w:r>
            <w:r>
              <w:rPr>
                <w:rFonts w:ascii="Arial" w:eastAsia="Arial" w:hAnsi="Arial" w:cs="Arial"/>
                <w:spacing w:val="34"/>
              </w:rPr>
              <w:t xml:space="preserve"> </w:t>
            </w:r>
            <w:r>
              <w:rPr>
                <w:rFonts w:ascii="Arial" w:eastAsia="Arial" w:hAnsi="Arial" w:cs="Arial"/>
                <w:spacing w:val="-1"/>
              </w:rPr>
              <w:t>meaning</w:t>
            </w:r>
            <w:r>
              <w:rPr>
                <w:rFonts w:ascii="Arial" w:eastAsia="Arial" w:hAnsi="Arial" w:cs="Arial"/>
                <w:spacing w:val="34"/>
              </w:rPr>
              <w:t xml:space="preserve"> </w:t>
            </w:r>
            <w:r>
              <w:rPr>
                <w:rFonts w:ascii="Arial" w:eastAsia="Arial" w:hAnsi="Arial" w:cs="Arial"/>
                <w:spacing w:val="-1"/>
              </w:rPr>
              <w:t>given</w:t>
            </w:r>
            <w:r>
              <w:rPr>
                <w:rFonts w:ascii="Arial" w:eastAsia="Arial" w:hAnsi="Arial" w:cs="Arial"/>
                <w:spacing w:val="36"/>
              </w:rPr>
              <w:t xml:space="preserve"> </w:t>
            </w:r>
            <w:r>
              <w:rPr>
                <w:rFonts w:ascii="Arial" w:eastAsia="Arial" w:hAnsi="Arial" w:cs="Arial"/>
              </w:rPr>
              <w:t>to</w:t>
            </w:r>
            <w:r>
              <w:rPr>
                <w:rFonts w:ascii="Arial" w:eastAsia="Arial" w:hAnsi="Arial" w:cs="Arial"/>
                <w:spacing w:val="37"/>
              </w:rPr>
              <w:t xml:space="preserve"> </w:t>
            </w:r>
            <w:r>
              <w:rPr>
                <w:rFonts w:ascii="Arial" w:eastAsia="Arial" w:hAnsi="Arial" w:cs="Arial"/>
                <w:spacing w:val="-1"/>
              </w:rPr>
              <w:t>them</w:t>
            </w:r>
            <w:r>
              <w:rPr>
                <w:rFonts w:ascii="Arial" w:eastAsia="Arial" w:hAnsi="Arial" w:cs="Arial"/>
                <w:spacing w:val="35"/>
              </w:rPr>
              <w:t xml:space="preserve"> </w:t>
            </w:r>
            <w:r>
              <w:rPr>
                <w:rFonts w:ascii="Arial" w:eastAsia="Arial" w:hAnsi="Arial" w:cs="Arial"/>
                <w:spacing w:val="-1"/>
              </w:rPr>
              <w:t>in</w:t>
            </w:r>
          </w:p>
        </w:tc>
      </w:tr>
    </w:tbl>
    <w:p w:rsidR="008918FA" w:rsidRDefault="008918FA" w:rsidP="008918FA">
      <w:pPr>
        <w:jc w:val="both"/>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38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rPr>
              <w:t xml:space="preserve">the </w:t>
            </w:r>
            <w:r>
              <w:rPr>
                <w:rFonts w:ascii="Arial"/>
                <w:spacing w:val="-1"/>
              </w:rPr>
              <w:t>Regulations;</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"Processing"</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8"/>
              <w:jc w:val="both"/>
              <w:rPr>
                <w:rFonts w:ascii="Arial" w:eastAsia="Arial" w:hAnsi="Arial" w:cs="Arial"/>
              </w:rPr>
            </w:pPr>
            <w:r>
              <w:rPr>
                <w:rFonts w:ascii="Arial"/>
                <w:spacing w:val="-1"/>
              </w:rPr>
              <w:t>has</w:t>
            </w:r>
            <w:r>
              <w:rPr>
                <w:rFonts w:ascii="Arial"/>
                <w:spacing w:val="35"/>
              </w:rPr>
              <w:t xml:space="preserve"> </w:t>
            </w:r>
            <w:r>
              <w:rPr>
                <w:rFonts w:ascii="Arial"/>
              </w:rPr>
              <w:t>the</w:t>
            </w:r>
            <w:r>
              <w:rPr>
                <w:rFonts w:ascii="Arial"/>
                <w:spacing w:val="32"/>
              </w:rPr>
              <w:t xml:space="preserve"> </w:t>
            </w:r>
            <w:r>
              <w:rPr>
                <w:rFonts w:ascii="Arial"/>
                <w:spacing w:val="-2"/>
              </w:rPr>
              <w:t>meaning</w:t>
            </w:r>
            <w:r>
              <w:rPr>
                <w:rFonts w:ascii="Arial"/>
                <w:spacing w:val="35"/>
              </w:rPr>
              <w:t xml:space="preserve"> </w:t>
            </w:r>
            <w:r>
              <w:rPr>
                <w:rFonts w:ascii="Arial"/>
                <w:spacing w:val="-1"/>
              </w:rPr>
              <w:t>given</w:t>
            </w:r>
            <w:r>
              <w:rPr>
                <w:rFonts w:ascii="Arial"/>
                <w:spacing w:val="35"/>
              </w:rPr>
              <w:t xml:space="preserve"> </w:t>
            </w:r>
            <w:r>
              <w:rPr>
                <w:rFonts w:ascii="Arial"/>
                <w:spacing w:val="1"/>
              </w:rPr>
              <w:t>to</w:t>
            </w:r>
            <w:r>
              <w:rPr>
                <w:rFonts w:ascii="Arial"/>
                <w:spacing w:val="35"/>
              </w:rPr>
              <w:t xml:space="preserve"> </w:t>
            </w:r>
            <w:r>
              <w:rPr>
                <w:rFonts w:ascii="Arial"/>
                <w:spacing w:val="-1"/>
              </w:rPr>
              <w:t>it</w:t>
            </w:r>
            <w:r>
              <w:rPr>
                <w:rFonts w:ascii="Arial"/>
                <w:spacing w:val="34"/>
              </w:rPr>
              <w:t xml:space="preserve"> </w:t>
            </w:r>
            <w:r>
              <w:rPr>
                <w:rFonts w:ascii="Arial"/>
                <w:spacing w:val="-1"/>
              </w:rPr>
              <w:t>in</w:t>
            </w:r>
            <w:r>
              <w:rPr>
                <w:rFonts w:ascii="Arial"/>
                <w:spacing w:val="36"/>
              </w:rPr>
              <w:t xml:space="preserve"> </w:t>
            </w:r>
            <w:r>
              <w:rPr>
                <w:rFonts w:ascii="Arial"/>
              </w:rPr>
              <w:t>the</w:t>
            </w:r>
            <w:r>
              <w:rPr>
                <w:rFonts w:ascii="Arial"/>
                <w:spacing w:val="32"/>
              </w:rPr>
              <w:t xml:space="preserve"> </w:t>
            </w:r>
            <w:r>
              <w:rPr>
                <w:rFonts w:ascii="Arial"/>
                <w:spacing w:val="-1"/>
              </w:rPr>
              <w:t>Data</w:t>
            </w:r>
            <w:r>
              <w:rPr>
                <w:rFonts w:ascii="Arial"/>
                <w:spacing w:val="35"/>
              </w:rPr>
              <w:t xml:space="preserve"> </w:t>
            </w:r>
            <w:r>
              <w:rPr>
                <w:rFonts w:ascii="Arial"/>
                <w:spacing w:val="-2"/>
              </w:rPr>
              <w:t>Protection</w:t>
            </w:r>
            <w:r>
              <w:rPr>
                <w:rFonts w:ascii="Arial"/>
                <w:spacing w:val="38"/>
              </w:rPr>
              <w:t xml:space="preserve"> </w:t>
            </w:r>
            <w:r>
              <w:rPr>
                <w:rFonts w:ascii="Arial"/>
                <w:spacing w:val="-1"/>
              </w:rPr>
              <w:t>Legislation</w:t>
            </w:r>
            <w:r>
              <w:rPr>
                <w:rFonts w:ascii="Arial"/>
                <w:spacing w:val="15"/>
              </w:rPr>
              <w:t xml:space="preserve"> </w:t>
            </w:r>
            <w:r>
              <w:rPr>
                <w:rFonts w:ascii="Arial"/>
                <w:spacing w:val="-1"/>
              </w:rPr>
              <w:t>but,</w:t>
            </w:r>
            <w:r>
              <w:rPr>
                <w:rFonts w:ascii="Arial"/>
                <w:spacing w:val="14"/>
              </w:rPr>
              <w:t xml:space="preserve"> </w:t>
            </w:r>
            <w:r>
              <w:rPr>
                <w:rFonts w:ascii="Arial"/>
              </w:rPr>
              <w:t>for</w:t>
            </w:r>
            <w:r>
              <w:rPr>
                <w:rFonts w:ascii="Arial"/>
                <w:spacing w:val="14"/>
              </w:rPr>
              <w:t xml:space="preserve"> </w:t>
            </w:r>
            <w:r>
              <w:rPr>
                <w:rFonts w:ascii="Arial"/>
              </w:rPr>
              <w:t>the</w:t>
            </w:r>
            <w:r>
              <w:rPr>
                <w:rFonts w:ascii="Arial"/>
                <w:spacing w:val="15"/>
              </w:rPr>
              <w:t xml:space="preserve"> </w:t>
            </w:r>
            <w:r>
              <w:rPr>
                <w:rFonts w:ascii="Arial"/>
                <w:spacing w:val="-1"/>
              </w:rPr>
              <w:t>purposes</w:t>
            </w:r>
            <w:r>
              <w:rPr>
                <w:rFonts w:ascii="Arial"/>
                <w:spacing w:val="15"/>
              </w:rPr>
              <w:t xml:space="preserve"> </w:t>
            </w:r>
            <w:r>
              <w:rPr>
                <w:rFonts w:ascii="Arial"/>
                <w:spacing w:val="-2"/>
              </w:rPr>
              <w:t>of</w:t>
            </w:r>
            <w:r>
              <w:rPr>
                <w:rFonts w:ascii="Arial"/>
                <w:spacing w:val="19"/>
              </w:rPr>
              <w:t xml:space="preserve"> </w:t>
            </w:r>
            <w:r>
              <w:rPr>
                <w:rFonts w:ascii="Arial"/>
                <w:spacing w:val="-1"/>
              </w:rPr>
              <w:t>this</w:t>
            </w:r>
            <w:r>
              <w:rPr>
                <w:rFonts w:ascii="Arial"/>
                <w:spacing w:val="15"/>
              </w:rPr>
              <w:t xml:space="preserve"> </w:t>
            </w:r>
            <w:r>
              <w:rPr>
                <w:rFonts w:ascii="Arial"/>
                <w:spacing w:val="-2"/>
              </w:rPr>
              <w:t>Call</w:t>
            </w:r>
            <w:r>
              <w:rPr>
                <w:rFonts w:ascii="Arial"/>
                <w:spacing w:val="14"/>
              </w:rPr>
              <w:t xml:space="preserve"> </w:t>
            </w:r>
            <w:r>
              <w:rPr>
                <w:rFonts w:ascii="Arial"/>
                <w:spacing w:val="-1"/>
              </w:rPr>
              <w:t>Off</w:t>
            </w:r>
            <w:r>
              <w:rPr>
                <w:rFonts w:ascii="Arial"/>
                <w:spacing w:val="16"/>
              </w:rPr>
              <w:t xml:space="preserve"> </w:t>
            </w:r>
            <w:r>
              <w:rPr>
                <w:rFonts w:ascii="Arial"/>
                <w:spacing w:val="-1"/>
              </w:rPr>
              <w:t>Contract,</w:t>
            </w:r>
            <w:r>
              <w:rPr>
                <w:rFonts w:ascii="Arial"/>
                <w:spacing w:val="35"/>
              </w:rPr>
              <w:t xml:space="preserve"> </w:t>
            </w:r>
            <w:r>
              <w:rPr>
                <w:rFonts w:ascii="Arial"/>
                <w:spacing w:val="-1"/>
              </w:rPr>
              <w:t>it</w:t>
            </w:r>
            <w:r>
              <w:rPr>
                <w:rFonts w:ascii="Arial"/>
                <w:spacing w:val="4"/>
              </w:rPr>
              <w:t xml:space="preserve"> </w:t>
            </w:r>
            <w:r>
              <w:rPr>
                <w:rFonts w:ascii="Arial"/>
                <w:spacing w:val="-1"/>
              </w:rPr>
              <w:t>shall</w:t>
            </w:r>
            <w:r>
              <w:rPr>
                <w:rFonts w:ascii="Arial"/>
                <w:spacing w:val="2"/>
              </w:rPr>
              <w:t xml:space="preserve"> </w:t>
            </w:r>
            <w:r>
              <w:rPr>
                <w:rFonts w:ascii="Arial"/>
                <w:spacing w:val="-1"/>
              </w:rPr>
              <w:t>include</w:t>
            </w:r>
            <w:r>
              <w:rPr>
                <w:rFonts w:ascii="Arial"/>
                <w:spacing w:val="3"/>
              </w:rPr>
              <w:t xml:space="preserve"> </w:t>
            </w:r>
            <w:r>
              <w:rPr>
                <w:rFonts w:ascii="Arial"/>
                <w:spacing w:val="-1"/>
              </w:rPr>
              <w:t>both</w:t>
            </w:r>
            <w:r>
              <w:rPr>
                <w:rFonts w:ascii="Arial"/>
                <w:spacing w:val="3"/>
              </w:rPr>
              <w:t xml:space="preserve"> </w:t>
            </w:r>
            <w:r>
              <w:rPr>
                <w:rFonts w:ascii="Arial"/>
                <w:spacing w:val="-2"/>
              </w:rPr>
              <w:t>manual</w:t>
            </w:r>
            <w:r>
              <w:rPr>
                <w:rFonts w:ascii="Arial"/>
                <w:spacing w:val="2"/>
              </w:rPr>
              <w:t xml:space="preserve"> </w:t>
            </w:r>
            <w:r>
              <w:rPr>
                <w:rFonts w:ascii="Arial"/>
                <w:spacing w:val="-1"/>
              </w:rPr>
              <w:t>and</w:t>
            </w:r>
            <w:r>
              <w:rPr>
                <w:rFonts w:ascii="Arial"/>
                <w:spacing w:val="3"/>
              </w:rPr>
              <w:t xml:space="preserve"> </w:t>
            </w:r>
            <w:r>
              <w:rPr>
                <w:rFonts w:ascii="Arial"/>
                <w:spacing w:val="-1"/>
              </w:rPr>
              <w:t>automatic</w:t>
            </w:r>
            <w:r>
              <w:rPr>
                <w:rFonts w:ascii="Arial"/>
                <w:spacing w:val="3"/>
              </w:rPr>
              <w:t xml:space="preserve"> </w:t>
            </w:r>
            <w:r>
              <w:rPr>
                <w:rFonts w:ascii="Arial"/>
                <w:spacing w:val="-2"/>
              </w:rPr>
              <w:t>processing</w:t>
            </w:r>
            <w:r>
              <w:rPr>
                <w:rFonts w:ascii="Arial"/>
                <w:spacing w:val="5"/>
              </w:rPr>
              <w:t xml:space="preserve"> </w:t>
            </w:r>
            <w:r>
              <w:rPr>
                <w:rFonts w:ascii="Arial"/>
                <w:spacing w:val="-1"/>
              </w:rPr>
              <w:t>and</w:t>
            </w:r>
            <w:r>
              <w:rPr>
                <w:rFonts w:ascii="Arial"/>
                <w:spacing w:val="40"/>
              </w:rPr>
              <w:t xml:space="preserve"> </w:t>
            </w:r>
            <w:r>
              <w:rPr>
                <w:rFonts w:ascii="Arial"/>
                <w:spacing w:val="-1"/>
              </w:rPr>
              <w:t>"</w:t>
            </w:r>
            <w:r>
              <w:rPr>
                <w:rFonts w:ascii="Arial"/>
                <w:b/>
                <w:spacing w:val="-1"/>
              </w:rPr>
              <w:t>Process</w:t>
            </w:r>
            <w:r>
              <w:rPr>
                <w:rFonts w:ascii="Arial"/>
                <w:spacing w:val="-1"/>
              </w:rPr>
              <w:t>"</w:t>
            </w:r>
            <w:r>
              <w:rPr>
                <w:rFonts w:ascii="Arial"/>
                <w:spacing w:val="10"/>
              </w:rPr>
              <w:t xml:space="preserve"> </w:t>
            </w:r>
            <w:r>
              <w:rPr>
                <w:rFonts w:ascii="Arial"/>
                <w:spacing w:val="-1"/>
              </w:rPr>
              <w:t>and</w:t>
            </w:r>
            <w:r>
              <w:rPr>
                <w:rFonts w:ascii="Arial"/>
                <w:spacing w:val="9"/>
              </w:rPr>
              <w:t xml:space="preserve"> </w:t>
            </w:r>
            <w:r>
              <w:rPr>
                <w:rFonts w:ascii="Arial"/>
                <w:spacing w:val="-1"/>
              </w:rPr>
              <w:t>"</w:t>
            </w:r>
            <w:r>
              <w:rPr>
                <w:rFonts w:ascii="Arial"/>
                <w:b/>
                <w:spacing w:val="-1"/>
              </w:rPr>
              <w:t>Processed</w:t>
            </w:r>
            <w:r>
              <w:rPr>
                <w:rFonts w:ascii="Arial"/>
                <w:spacing w:val="-1"/>
              </w:rPr>
              <w:t>"</w:t>
            </w:r>
            <w:r>
              <w:rPr>
                <w:rFonts w:ascii="Arial"/>
                <w:spacing w:val="10"/>
              </w:rPr>
              <w:t xml:space="preserve"> </w:t>
            </w:r>
            <w:r>
              <w:rPr>
                <w:rFonts w:ascii="Arial"/>
                <w:spacing w:val="-1"/>
              </w:rPr>
              <w:t>shall</w:t>
            </w:r>
            <w:r>
              <w:rPr>
                <w:rFonts w:ascii="Arial"/>
                <w:spacing w:val="8"/>
              </w:rPr>
              <w:t xml:space="preserve"> </w:t>
            </w:r>
            <w:r>
              <w:rPr>
                <w:rFonts w:ascii="Arial"/>
                <w:spacing w:val="-1"/>
              </w:rPr>
              <w:t>be</w:t>
            </w:r>
            <w:r>
              <w:rPr>
                <w:rFonts w:ascii="Arial"/>
                <w:spacing w:val="11"/>
              </w:rPr>
              <w:t xml:space="preserve"> </w:t>
            </w:r>
            <w:r>
              <w:rPr>
                <w:rFonts w:ascii="Arial"/>
                <w:spacing w:val="-1"/>
              </w:rPr>
              <w:t>interpreted</w:t>
            </w:r>
            <w:r>
              <w:rPr>
                <w:rFonts w:ascii="Arial"/>
                <w:spacing w:val="27"/>
              </w:rPr>
              <w:t xml:space="preserve"> </w:t>
            </w:r>
            <w:r>
              <w:rPr>
                <w:rFonts w:ascii="Arial"/>
                <w:spacing w:val="-1"/>
              </w:rPr>
              <w:t>accordingly;</w:t>
            </w:r>
          </w:p>
        </w:tc>
      </w:tr>
      <w:tr w:rsidR="008918FA" w:rsidTr="005D2B81">
        <w:trPr>
          <w:trHeight w:hRule="exact" w:val="77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"Prohibited</w:t>
            </w:r>
            <w:r>
              <w:rPr>
                <w:rFonts w:ascii="Arial"/>
                <w:b/>
              </w:rPr>
              <w:t xml:space="preserve"> </w:t>
            </w:r>
            <w:r>
              <w:rPr>
                <w:rFonts w:ascii="Arial"/>
                <w:b/>
                <w:spacing w:val="-3"/>
              </w:rPr>
              <w:t>Act"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spacing w:val="-1"/>
              </w:rPr>
              <w:t>any</w:t>
            </w:r>
            <w:r>
              <w:rPr>
                <w:rFonts w:ascii="Arial"/>
                <w:spacing w:val="-2"/>
              </w:rPr>
              <w:t xml:space="preserve"> of</w:t>
            </w:r>
            <w:r>
              <w:rPr>
                <w:rFonts w:ascii="Arial"/>
              </w:rPr>
              <w:t xml:space="preserve"> the</w:t>
            </w:r>
            <w:r>
              <w:rPr>
                <w:rFonts w:ascii="Arial"/>
                <w:spacing w:val="-2"/>
              </w:rPr>
              <w:t xml:space="preserve"> following:</w:t>
            </w:r>
          </w:p>
          <w:p w:rsidR="008918FA" w:rsidRDefault="008918FA" w:rsidP="005D2B81">
            <w:pPr>
              <w:pStyle w:val="ListParagraph"/>
              <w:numPr>
                <w:ilvl w:val="0"/>
                <w:numId w:val="39"/>
              </w:numPr>
              <w:tabs>
                <w:tab w:val="left" w:pos="820"/>
              </w:tabs>
              <w:spacing w:before="121"/>
              <w:ind w:right="100" w:hanging="544"/>
              <w:jc w:val="both"/>
              <w:rPr>
                <w:rFonts w:ascii="Arial" w:eastAsia="Arial" w:hAnsi="Arial" w:cs="Arial"/>
              </w:rPr>
            </w:pPr>
            <w:r>
              <w:rPr>
                <w:rFonts w:ascii="Arial"/>
              </w:rPr>
              <w:t>to</w:t>
            </w:r>
            <w:r>
              <w:rPr>
                <w:rFonts w:ascii="Arial"/>
                <w:spacing w:val="55"/>
              </w:rPr>
              <w:t xml:space="preserve"> </w:t>
            </w:r>
            <w:r>
              <w:rPr>
                <w:rFonts w:ascii="Arial"/>
                <w:spacing w:val="-1"/>
              </w:rPr>
              <w:t>directly</w:t>
            </w:r>
            <w:r>
              <w:rPr>
                <w:rFonts w:ascii="Arial"/>
                <w:spacing w:val="53"/>
              </w:rPr>
              <w:t xml:space="preserve"> </w:t>
            </w:r>
            <w:r>
              <w:rPr>
                <w:rFonts w:ascii="Arial"/>
                <w:spacing w:val="-1"/>
              </w:rPr>
              <w:t>or</w:t>
            </w:r>
            <w:r>
              <w:rPr>
                <w:rFonts w:ascii="Arial"/>
                <w:spacing w:val="57"/>
              </w:rPr>
              <w:t xml:space="preserve"> </w:t>
            </w:r>
            <w:r>
              <w:rPr>
                <w:rFonts w:ascii="Arial"/>
                <w:spacing w:val="-1"/>
              </w:rPr>
              <w:t>indirectly</w:t>
            </w:r>
            <w:r>
              <w:rPr>
                <w:rFonts w:ascii="Arial"/>
                <w:spacing w:val="53"/>
              </w:rPr>
              <w:t xml:space="preserve"> </w:t>
            </w:r>
            <w:r>
              <w:rPr>
                <w:rFonts w:ascii="Arial"/>
                <w:spacing w:val="-1"/>
              </w:rPr>
              <w:t>offer,</w:t>
            </w:r>
            <w:r>
              <w:rPr>
                <w:rFonts w:ascii="Arial"/>
                <w:spacing w:val="57"/>
              </w:rPr>
              <w:t xml:space="preserve"> </w:t>
            </w:r>
            <w:r>
              <w:rPr>
                <w:rFonts w:ascii="Arial"/>
                <w:spacing w:val="-1"/>
              </w:rPr>
              <w:t>promise</w:t>
            </w:r>
            <w:r>
              <w:rPr>
                <w:rFonts w:ascii="Arial"/>
                <w:spacing w:val="56"/>
              </w:rPr>
              <w:t xml:space="preserve"> </w:t>
            </w:r>
            <w:r>
              <w:rPr>
                <w:rFonts w:ascii="Arial"/>
                <w:spacing w:val="-1"/>
              </w:rPr>
              <w:t>or</w:t>
            </w:r>
            <w:r>
              <w:rPr>
                <w:rFonts w:ascii="Arial"/>
                <w:spacing w:val="55"/>
              </w:rPr>
              <w:t xml:space="preserve"> </w:t>
            </w:r>
            <w:r>
              <w:rPr>
                <w:rFonts w:ascii="Arial"/>
                <w:spacing w:val="-1"/>
              </w:rPr>
              <w:t>give</w:t>
            </w:r>
            <w:r>
              <w:rPr>
                <w:rFonts w:ascii="Arial"/>
                <w:spacing w:val="55"/>
              </w:rPr>
              <w:t xml:space="preserve"> </w:t>
            </w:r>
            <w:r>
              <w:rPr>
                <w:rFonts w:ascii="Arial"/>
                <w:spacing w:val="-1"/>
              </w:rPr>
              <w:t>any</w:t>
            </w:r>
            <w:r>
              <w:rPr>
                <w:rFonts w:ascii="Arial"/>
                <w:spacing w:val="22"/>
              </w:rPr>
              <w:t xml:space="preserve"> </w:t>
            </w:r>
            <w:r>
              <w:rPr>
                <w:rFonts w:ascii="Arial"/>
                <w:spacing w:val="-1"/>
              </w:rPr>
              <w:t>person</w:t>
            </w:r>
            <w:r>
              <w:rPr>
                <w:rFonts w:ascii="Arial"/>
                <w:spacing w:val="4"/>
              </w:rPr>
              <w:t xml:space="preserve"> </w:t>
            </w:r>
            <w:r>
              <w:rPr>
                <w:rFonts w:ascii="Arial"/>
                <w:spacing w:val="-2"/>
              </w:rPr>
              <w:t>working</w:t>
            </w:r>
            <w:r>
              <w:rPr>
                <w:rFonts w:ascii="Arial"/>
                <w:spacing w:val="4"/>
              </w:rPr>
              <w:t xml:space="preserve"> </w:t>
            </w:r>
            <w:r>
              <w:rPr>
                <w:rFonts w:ascii="Arial"/>
              </w:rPr>
              <w:t>for</w:t>
            </w:r>
            <w:r>
              <w:rPr>
                <w:rFonts w:ascii="Arial"/>
                <w:spacing w:val="5"/>
              </w:rPr>
              <w:t xml:space="preserve"> </w:t>
            </w:r>
            <w:r>
              <w:rPr>
                <w:rFonts w:ascii="Arial"/>
                <w:spacing w:val="-1"/>
              </w:rPr>
              <w:t>or</w:t>
            </w:r>
            <w:r>
              <w:rPr>
                <w:rFonts w:ascii="Arial"/>
                <w:spacing w:val="3"/>
              </w:rPr>
              <w:t xml:space="preserve"> </w:t>
            </w:r>
            <w:r>
              <w:rPr>
                <w:rFonts w:ascii="Arial"/>
                <w:spacing w:val="-1"/>
              </w:rPr>
              <w:t>engaged</w:t>
            </w:r>
            <w:r>
              <w:rPr>
                <w:rFonts w:ascii="Arial"/>
                <w:spacing w:val="4"/>
              </w:rPr>
              <w:t xml:space="preserve"> </w:t>
            </w:r>
            <w:r>
              <w:rPr>
                <w:rFonts w:ascii="Arial"/>
                <w:spacing w:val="-1"/>
              </w:rPr>
              <w:t>by</w:t>
            </w:r>
            <w:r>
              <w:rPr>
                <w:rFonts w:ascii="Arial"/>
                <w:spacing w:val="2"/>
              </w:rPr>
              <w:t xml:space="preserve"> </w:t>
            </w:r>
            <w:r>
              <w:rPr>
                <w:rFonts w:ascii="Arial"/>
              </w:rPr>
              <w:t>the</w:t>
            </w:r>
            <w:r>
              <w:rPr>
                <w:rFonts w:ascii="Arial"/>
                <w:spacing w:val="4"/>
              </w:rPr>
              <w:t xml:space="preserve"> </w:t>
            </w:r>
            <w:r>
              <w:rPr>
                <w:rFonts w:ascii="Arial"/>
                <w:spacing w:val="-1"/>
              </w:rPr>
              <w:t>Customer</w:t>
            </w:r>
            <w:r>
              <w:rPr>
                <w:rFonts w:ascii="Arial"/>
                <w:spacing w:val="32"/>
              </w:rPr>
              <w:t xml:space="preserve"> </w:t>
            </w:r>
            <w:r>
              <w:rPr>
                <w:rFonts w:ascii="Arial"/>
                <w:spacing w:val="-1"/>
              </w:rPr>
              <w:t>and/or</w:t>
            </w:r>
            <w:r>
              <w:rPr>
                <w:rFonts w:ascii="Arial"/>
                <w:spacing w:val="52"/>
              </w:rPr>
              <w:t xml:space="preserve"> </w:t>
            </w:r>
            <w:r>
              <w:rPr>
                <w:rFonts w:ascii="Arial"/>
              </w:rPr>
              <w:t>the</w:t>
            </w:r>
            <w:r>
              <w:rPr>
                <w:rFonts w:ascii="Arial"/>
                <w:spacing w:val="53"/>
              </w:rPr>
              <w:t xml:space="preserve"> </w:t>
            </w:r>
            <w:r>
              <w:rPr>
                <w:rFonts w:ascii="Arial"/>
                <w:spacing w:val="-1"/>
              </w:rPr>
              <w:t>Authority</w:t>
            </w:r>
            <w:r>
              <w:rPr>
                <w:rFonts w:ascii="Arial"/>
                <w:spacing w:val="51"/>
              </w:rPr>
              <w:t xml:space="preserve"> </w:t>
            </w:r>
            <w:r>
              <w:rPr>
                <w:rFonts w:ascii="Arial"/>
                <w:spacing w:val="-1"/>
              </w:rPr>
              <w:t>or</w:t>
            </w:r>
            <w:r>
              <w:rPr>
                <w:rFonts w:ascii="Arial"/>
                <w:spacing w:val="54"/>
              </w:rPr>
              <w:t xml:space="preserve"> </w:t>
            </w:r>
            <w:r>
              <w:rPr>
                <w:rFonts w:ascii="Arial"/>
                <w:spacing w:val="-1"/>
              </w:rPr>
              <w:t>other</w:t>
            </w:r>
            <w:r>
              <w:rPr>
                <w:rFonts w:ascii="Arial"/>
                <w:spacing w:val="54"/>
              </w:rPr>
              <w:t xml:space="preserve"> </w:t>
            </w:r>
            <w:r>
              <w:rPr>
                <w:rFonts w:ascii="Arial"/>
                <w:spacing w:val="-2"/>
              </w:rPr>
              <w:t>Contracting</w:t>
            </w:r>
            <w:r>
              <w:rPr>
                <w:rFonts w:ascii="Arial"/>
                <w:spacing w:val="55"/>
              </w:rPr>
              <w:t xml:space="preserve"> </w:t>
            </w:r>
            <w:r>
              <w:rPr>
                <w:rFonts w:ascii="Arial"/>
                <w:spacing w:val="-1"/>
              </w:rPr>
              <w:t>Body</w:t>
            </w:r>
            <w:r>
              <w:rPr>
                <w:rFonts w:ascii="Arial"/>
                <w:spacing w:val="52"/>
              </w:rPr>
              <w:t xml:space="preserve"> </w:t>
            </w:r>
            <w:r>
              <w:rPr>
                <w:rFonts w:ascii="Arial"/>
                <w:spacing w:val="-1"/>
              </w:rPr>
              <w:t>or</w:t>
            </w:r>
            <w:r>
              <w:rPr>
                <w:rFonts w:ascii="Arial"/>
                <w:spacing w:val="42"/>
              </w:rPr>
              <w:t xml:space="preserve"> </w:t>
            </w:r>
            <w:r>
              <w:rPr>
                <w:rFonts w:ascii="Arial"/>
                <w:spacing w:val="-1"/>
              </w:rPr>
              <w:t>any</w:t>
            </w:r>
            <w:r>
              <w:rPr>
                <w:rFonts w:ascii="Arial"/>
                <w:spacing w:val="5"/>
              </w:rPr>
              <w:t xml:space="preserve"> </w:t>
            </w:r>
            <w:r>
              <w:rPr>
                <w:rFonts w:ascii="Arial"/>
                <w:spacing w:val="-1"/>
              </w:rPr>
              <w:t>other</w:t>
            </w:r>
            <w:r>
              <w:rPr>
                <w:rFonts w:ascii="Arial"/>
                <w:spacing w:val="9"/>
              </w:rPr>
              <w:t xml:space="preserve"> </w:t>
            </w:r>
            <w:r>
              <w:rPr>
                <w:rFonts w:ascii="Arial"/>
                <w:spacing w:val="-2"/>
              </w:rPr>
              <w:t>public</w:t>
            </w:r>
            <w:r>
              <w:rPr>
                <w:rFonts w:ascii="Arial"/>
                <w:spacing w:val="8"/>
              </w:rPr>
              <w:t xml:space="preserve"> </w:t>
            </w:r>
            <w:r>
              <w:rPr>
                <w:rFonts w:ascii="Arial"/>
              </w:rPr>
              <w:t>body</w:t>
            </w:r>
            <w:r>
              <w:rPr>
                <w:rFonts w:ascii="Arial"/>
                <w:spacing w:val="5"/>
              </w:rPr>
              <w:t xml:space="preserve"> </w:t>
            </w:r>
            <w:r>
              <w:rPr>
                <w:rFonts w:ascii="Arial"/>
              </w:rPr>
              <w:t>a</w:t>
            </w:r>
            <w:r>
              <w:rPr>
                <w:rFonts w:ascii="Arial"/>
                <w:spacing w:val="7"/>
              </w:rPr>
              <w:t xml:space="preserve"> </w:t>
            </w:r>
            <w:r>
              <w:rPr>
                <w:rFonts w:ascii="Arial"/>
                <w:spacing w:val="-1"/>
              </w:rPr>
              <w:t>financial</w:t>
            </w:r>
            <w:r>
              <w:rPr>
                <w:rFonts w:ascii="Arial"/>
                <w:spacing w:val="7"/>
              </w:rPr>
              <w:t xml:space="preserve"> </w:t>
            </w:r>
            <w:r>
              <w:rPr>
                <w:rFonts w:ascii="Arial"/>
                <w:spacing w:val="-1"/>
              </w:rPr>
              <w:t>or</w:t>
            </w:r>
            <w:r>
              <w:rPr>
                <w:rFonts w:ascii="Arial"/>
                <w:spacing w:val="9"/>
              </w:rPr>
              <w:t xml:space="preserve"> </w:t>
            </w:r>
            <w:r>
              <w:rPr>
                <w:rFonts w:ascii="Arial"/>
                <w:spacing w:val="-1"/>
              </w:rPr>
              <w:t>other</w:t>
            </w:r>
            <w:r>
              <w:rPr>
                <w:rFonts w:ascii="Arial"/>
                <w:spacing w:val="9"/>
              </w:rPr>
              <w:t xml:space="preserve"> </w:t>
            </w:r>
            <w:r>
              <w:rPr>
                <w:rFonts w:ascii="Arial"/>
                <w:spacing w:val="-1"/>
              </w:rPr>
              <w:t>advantage</w:t>
            </w:r>
            <w:r>
              <w:rPr>
                <w:rFonts w:ascii="Arial"/>
                <w:spacing w:val="43"/>
              </w:rPr>
              <w:t xml:space="preserve"> </w:t>
            </w:r>
            <w:r>
              <w:rPr>
                <w:rFonts w:ascii="Arial"/>
                <w:spacing w:val="-1"/>
              </w:rPr>
              <w:t>to:</w:t>
            </w:r>
          </w:p>
          <w:p w:rsidR="008918FA" w:rsidRDefault="008918FA" w:rsidP="005D2B81">
            <w:pPr>
              <w:pStyle w:val="ListParagraph"/>
              <w:numPr>
                <w:ilvl w:val="1"/>
                <w:numId w:val="39"/>
              </w:numPr>
              <w:tabs>
                <w:tab w:val="left" w:pos="1180"/>
              </w:tabs>
              <w:spacing w:before="121"/>
              <w:ind w:right="103"/>
              <w:jc w:val="both"/>
              <w:rPr>
                <w:rFonts w:ascii="Arial" w:eastAsia="Arial" w:hAnsi="Arial" w:cs="Arial"/>
              </w:rPr>
            </w:pPr>
            <w:r>
              <w:rPr>
                <w:rFonts w:ascii="Arial"/>
                <w:spacing w:val="-1"/>
              </w:rPr>
              <w:t>induce</w:t>
            </w:r>
            <w:r>
              <w:rPr>
                <w:rFonts w:ascii="Arial"/>
                <w:spacing w:val="40"/>
              </w:rPr>
              <w:t xml:space="preserve"> </w:t>
            </w:r>
            <w:r>
              <w:rPr>
                <w:rFonts w:ascii="Arial"/>
                <w:spacing w:val="-1"/>
              </w:rPr>
              <w:t>that</w:t>
            </w:r>
            <w:r>
              <w:rPr>
                <w:rFonts w:ascii="Arial"/>
                <w:spacing w:val="41"/>
              </w:rPr>
              <w:t xml:space="preserve"> </w:t>
            </w:r>
            <w:r>
              <w:rPr>
                <w:rFonts w:ascii="Arial"/>
                <w:spacing w:val="-1"/>
              </w:rPr>
              <w:t>person</w:t>
            </w:r>
            <w:r>
              <w:rPr>
                <w:rFonts w:ascii="Arial"/>
                <w:spacing w:val="40"/>
              </w:rPr>
              <w:t xml:space="preserve"> </w:t>
            </w:r>
            <w:r>
              <w:rPr>
                <w:rFonts w:ascii="Arial"/>
              </w:rPr>
              <w:t>to</w:t>
            </w:r>
            <w:r>
              <w:rPr>
                <w:rFonts w:ascii="Arial"/>
                <w:spacing w:val="37"/>
              </w:rPr>
              <w:t xml:space="preserve"> </w:t>
            </w:r>
            <w:r>
              <w:rPr>
                <w:rFonts w:ascii="Arial"/>
                <w:spacing w:val="-1"/>
              </w:rPr>
              <w:t>perform</w:t>
            </w:r>
            <w:r>
              <w:rPr>
                <w:rFonts w:ascii="Arial"/>
                <w:spacing w:val="41"/>
              </w:rPr>
              <w:t xml:space="preserve"> </w:t>
            </w:r>
            <w:r>
              <w:rPr>
                <w:rFonts w:ascii="Arial"/>
                <w:spacing w:val="-1"/>
              </w:rPr>
              <w:t>improperly</w:t>
            </w:r>
            <w:r>
              <w:rPr>
                <w:rFonts w:ascii="Arial"/>
                <w:spacing w:val="38"/>
              </w:rPr>
              <w:t xml:space="preserve"> </w:t>
            </w:r>
            <w:r>
              <w:rPr>
                <w:rFonts w:ascii="Arial"/>
              </w:rPr>
              <w:t>a</w:t>
            </w:r>
            <w:r>
              <w:rPr>
                <w:rFonts w:ascii="Arial"/>
                <w:spacing w:val="21"/>
              </w:rPr>
              <w:t xml:space="preserve"> </w:t>
            </w:r>
            <w:r>
              <w:rPr>
                <w:rFonts w:ascii="Arial"/>
                <w:spacing w:val="-2"/>
              </w:rPr>
              <w:t>relevant</w:t>
            </w:r>
            <w:r>
              <w:rPr>
                <w:rFonts w:ascii="Arial"/>
              </w:rPr>
              <w:t xml:space="preserve"> </w:t>
            </w:r>
            <w:r>
              <w:rPr>
                <w:rFonts w:ascii="Arial"/>
                <w:spacing w:val="-1"/>
              </w:rPr>
              <w:t>function</w:t>
            </w:r>
            <w:r>
              <w:rPr>
                <w:rFonts w:ascii="Arial"/>
              </w:rPr>
              <w:t xml:space="preserve"> </w:t>
            </w:r>
            <w:r>
              <w:rPr>
                <w:rFonts w:ascii="Arial"/>
                <w:spacing w:val="-1"/>
              </w:rPr>
              <w:t>or activity;</w:t>
            </w:r>
            <w:r>
              <w:rPr>
                <w:rFonts w:ascii="Arial"/>
                <w:spacing w:val="2"/>
              </w:rPr>
              <w:t xml:space="preserve"> </w:t>
            </w:r>
            <w:r>
              <w:rPr>
                <w:rFonts w:ascii="Arial"/>
                <w:spacing w:val="-1"/>
              </w:rPr>
              <w:t>or</w:t>
            </w:r>
          </w:p>
          <w:p w:rsidR="008918FA" w:rsidRDefault="008918FA" w:rsidP="005D2B81">
            <w:pPr>
              <w:pStyle w:val="ListParagraph"/>
              <w:numPr>
                <w:ilvl w:val="1"/>
                <w:numId w:val="39"/>
              </w:numPr>
              <w:tabs>
                <w:tab w:val="left" w:pos="1180"/>
              </w:tabs>
              <w:spacing w:before="119"/>
              <w:ind w:right="103"/>
              <w:jc w:val="both"/>
              <w:rPr>
                <w:rFonts w:ascii="Arial" w:eastAsia="Arial" w:hAnsi="Arial" w:cs="Arial"/>
              </w:rPr>
            </w:pPr>
            <w:r>
              <w:rPr>
                <w:rFonts w:ascii="Arial"/>
                <w:spacing w:val="-1"/>
              </w:rPr>
              <w:t>reward</w:t>
            </w:r>
            <w:r>
              <w:rPr>
                <w:rFonts w:ascii="Arial"/>
                <w:spacing w:val="22"/>
              </w:rPr>
              <w:t xml:space="preserve"> </w:t>
            </w:r>
            <w:r>
              <w:rPr>
                <w:rFonts w:ascii="Arial"/>
                <w:spacing w:val="-1"/>
              </w:rPr>
              <w:t>that</w:t>
            </w:r>
            <w:r>
              <w:rPr>
                <w:rFonts w:ascii="Arial"/>
                <w:spacing w:val="23"/>
              </w:rPr>
              <w:t xml:space="preserve"> </w:t>
            </w:r>
            <w:r>
              <w:rPr>
                <w:rFonts w:ascii="Arial"/>
                <w:spacing w:val="-1"/>
              </w:rPr>
              <w:t>person</w:t>
            </w:r>
            <w:r>
              <w:rPr>
                <w:rFonts w:ascii="Arial"/>
                <w:spacing w:val="20"/>
              </w:rPr>
              <w:t xml:space="preserve"> </w:t>
            </w:r>
            <w:r>
              <w:rPr>
                <w:rFonts w:ascii="Arial"/>
              </w:rPr>
              <w:t>for</w:t>
            </w:r>
            <w:r>
              <w:rPr>
                <w:rFonts w:ascii="Arial"/>
                <w:spacing w:val="23"/>
              </w:rPr>
              <w:t xml:space="preserve"> </w:t>
            </w:r>
            <w:r>
              <w:rPr>
                <w:rFonts w:ascii="Arial"/>
                <w:spacing w:val="-1"/>
              </w:rPr>
              <w:t>improper</w:t>
            </w:r>
            <w:r>
              <w:rPr>
                <w:rFonts w:ascii="Arial"/>
                <w:spacing w:val="23"/>
              </w:rPr>
              <w:t xml:space="preserve"> </w:t>
            </w:r>
            <w:r>
              <w:rPr>
                <w:rFonts w:ascii="Arial"/>
                <w:spacing w:val="-1"/>
              </w:rPr>
              <w:t>performance</w:t>
            </w:r>
            <w:r>
              <w:rPr>
                <w:rFonts w:ascii="Arial"/>
                <w:spacing w:val="22"/>
              </w:rPr>
              <w:t xml:space="preserve"> </w:t>
            </w:r>
            <w:r>
              <w:rPr>
                <w:rFonts w:ascii="Arial"/>
                <w:spacing w:val="-2"/>
              </w:rPr>
              <w:t>of</w:t>
            </w:r>
            <w:r>
              <w:rPr>
                <w:rFonts w:ascii="Arial"/>
                <w:spacing w:val="30"/>
              </w:rPr>
              <w:t xml:space="preserve"> </w:t>
            </w:r>
            <w:r>
              <w:rPr>
                <w:rFonts w:ascii="Arial"/>
              </w:rPr>
              <w:t xml:space="preserve">a </w:t>
            </w:r>
            <w:r>
              <w:rPr>
                <w:rFonts w:ascii="Arial"/>
                <w:spacing w:val="-2"/>
              </w:rPr>
              <w:t>relevant</w:t>
            </w:r>
            <w:r>
              <w:rPr>
                <w:rFonts w:ascii="Arial"/>
              </w:rPr>
              <w:t xml:space="preserve"> </w:t>
            </w:r>
            <w:r>
              <w:rPr>
                <w:rFonts w:ascii="Arial"/>
                <w:spacing w:val="-1"/>
              </w:rPr>
              <w:t>function</w:t>
            </w:r>
            <w:r>
              <w:rPr>
                <w:rFonts w:ascii="Arial"/>
              </w:rPr>
              <w:t xml:space="preserve"> </w:t>
            </w:r>
            <w:r>
              <w:rPr>
                <w:rFonts w:ascii="Arial"/>
                <w:spacing w:val="-2"/>
              </w:rPr>
              <w:t>or</w:t>
            </w:r>
            <w:r>
              <w:rPr>
                <w:rFonts w:ascii="Arial"/>
                <w:spacing w:val="2"/>
              </w:rPr>
              <w:t xml:space="preserve"> </w:t>
            </w:r>
            <w:r>
              <w:rPr>
                <w:rFonts w:ascii="Arial"/>
                <w:spacing w:val="-2"/>
              </w:rPr>
              <w:t>activity;</w:t>
            </w:r>
          </w:p>
          <w:p w:rsidR="008918FA" w:rsidRDefault="008918FA" w:rsidP="005D2B81">
            <w:pPr>
              <w:pStyle w:val="ListParagraph"/>
              <w:numPr>
                <w:ilvl w:val="0"/>
                <w:numId w:val="39"/>
              </w:numPr>
              <w:tabs>
                <w:tab w:val="left" w:pos="820"/>
              </w:tabs>
              <w:spacing w:before="119"/>
              <w:ind w:right="101" w:hanging="544"/>
              <w:jc w:val="both"/>
              <w:rPr>
                <w:rFonts w:ascii="Arial" w:eastAsia="Arial" w:hAnsi="Arial" w:cs="Arial"/>
              </w:rPr>
            </w:pPr>
            <w:r>
              <w:rPr>
                <w:rFonts w:ascii="Arial"/>
              </w:rPr>
              <w:t>to</w:t>
            </w:r>
            <w:r>
              <w:rPr>
                <w:rFonts w:ascii="Arial"/>
                <w:spacing w:val="29"/>
              </w:rPr>
              <w:t xml:space="preserve"> </w:t>
            </w:r>
            <w:r>
              <w:rPr>
                <w:rFonts w:ascii="Arial"/>
                <w:spacing w:val="-1"/>
              </w:rPr>
              <w:t>directly</w:t>
            </w:r>
            <w:r>
              <w:rPr>
                <w:rFonts w:ascii="Arial"/>
                <w:spacing w:val="27"/>
              </w:rPr>
              <w:t xml:space="preserve"> </w:t>
            </w:r>
            <w:r>
              <w:rPr>
                <w:rFonts w:ascii="Arial"/>
                <w:spacing w:val="-1"/>
              </w:rPr>
              <w:t>or</w:t>
            </w:r>
            <w:r>
              <w:rPr>
                <w:rFonts w:ascii="Arial"/>
                <w:spacing w:val="30"/>
              </w:rPr>
              <w:t xml:space="preserve"> </w:t>
            </w:r>
            <w:r>
              <w:rPr>
                <w:rFonts w:ascii="Arial"/>
                <w:spacing w:val="-1"/>
              </w:rPr>
              <w:t>indirectly</w:t>
            </w:r>
            <w:r>
              <w:rPr>
                <w:rFonts w:ascii="Arial"/>
                <w:spacing w:val="27"/>
              </w:rPr>
              <w:t xml:space="preserve"> </w:t>
            </w:r>
            <w:r>
              <w:rPr>
                <w:rFonts w:ascii="Arial"/>
              </w:rPr>
              <w:t>request,</w:t>
            </w:r>
            <w:r>
              <w:rPr>
                <w:rFonts w:ascii="Arial"/>
                <w:spacing w:val="30"/>
              </w:rPr>
              <w:t xml:space="preserve"> </w:t>
            </w:r>
            <w:r>
              <w:rPr>
                <w:rFonts w:ascii="Arial"/>
                <w:spacing w:val="-1"/>
              </w:rPr>
              <w:t>agree</w:t>
            </w:r>
            <w:r>
              <w:rPr>
                <w:rFonts w:ascii="Arial"/>
                <w:spacing w:val="29"/>
              </w:rPr>
              <w:t xml:space="preserve"> </w:t>
            </w:r>
            <w:r>
              <w:rPr>
                <w:rFonts w:ascii="Arial"/>
              </w:rPr>
              <w:t>to</w:t>
            </w:r>
            <w:r>
              <w:rPr>
                <w:rFonts w:ascii="Arial"/>
                <w:spacing w:val="29"/>
              </w:rPr>
              <w:t xml:space="preserve"> </w:t>
            </w:r>
            <w:r>
              <w:rPr>
                <w:rFonts w:ascii="Arial"/>
                <w:spacing w:val="-1"/>
              </w:rPr>
              <w:t>receive</w:t>
            </w:r>
            <w:r>
              <w:rPr>
                <w:rFonts w:ascii="Arial"/>
                <w:spacing w:val="29"/>
              </w:rPr>
              <w:t xml:space="preserve"> </w:t>
            </w:r>
            <w:r>
              <w:rPr>
                <w:rFonts w:ascii="Arial"/>
                <w:spacing w:val="-1"/>
              </w:rPr>
              <w:t>or</w:t>
            </w:r>
            <w:r>
              <w:rPr>
                <w:rFonts w:ascii="Arial"/>
                <w:spacing w:val="26"/>
              </w:rPr>
              <w:t xml:space="preserve"> </w:t>
            </w:r>
            <w:r>
              <w:rPr>
                <w:rFonts w:ascii="Arial"/>
                <w:spacing w:val="-1"/>
              </w:rPr>
              <w:t>accept</w:t>
            </w:r>
            <w:r>
              <w:rPr>
                <w:rFonts w:ascii="Arial"/>
                <w:spacing w:val="36"/>
              </w:rPr>
              <w:t xml:space="preserve"> </w:t>
            </w:r>
            <w:r>
              <w:rPr>
                <w:rFonts w:ascii="Arial"/>
                <w:spacing w:val="-1"/>
              </w:rPr>
              <w:t>any</w:t>
            </w:r>
            <w:r>
              <w:rPr>
                <w:rFonts w:ascii="Arial"/>
                <w:spacing w:val="33"/>
              </w:rPr>
              <w:t xml:space="preserve"> </w:t>
            </w:r>
            <w:r>
              <w:rPr>
                <w:rFonts w:ascii="Arial"/>
                <w:spacing w:val="-1"/>
              </w:rPr>
              <w:t>financial</w:t>
            </w:r>
            <w:r>
              <w:rPr>
                <w:rFonts w:ascii="Arial"/>
                <w:spacing w:val="34"/>
              </w:rPr>
              <w:t xml:space="preserve"> </w:t>
            </w:r>
            <w:r>
              <w:rPr>
                <w:rFonts w:ascii="Arial"/>
                <w:spacing w:val="-1"/>
              </w:rPr>
              <w:t>or</w:t>
            </w:r>
            <w:r>
              <w:rPr>
                <w:rFonts w:ascii="Arial"/>
                <w:spacing w:val="36"/>
              </w:rPr>
              <w:t xml:space="preserve"> </w:t>
            </w:r>
            <w:r>
              <w:rPr>
                <w:rFonts w:ascii="Arial"/>
                <w:spacing w:val="-1"/>
              </w:rPr>
              <w:t>other</w:t>
            </w:r>
            <w:r>
              <w:rPr>
                <w:rFonts w:ascii="Arial"/>
                <w:spacing w:val="36"/>
              </w:rPr>
              <w:t xml:space="preserve"> </w:t>
            </w:r>
            <w:r>
              <w:rPr>
                <w:rFonts w:ascii="Arial"/>
                <w:spacing w:val="-1"/>
              </w:rPr>
              <w:t>advantage</w:t>
            </w:r>
            <w:r>
              <w:rPr>
                <w:rFonts w:ascii="Arial"/>
                <w:spacing w:val="35"/>
              </w:rPr>
              <w:t xml:space="preserve"> </w:t>
            </w:r>
            <w:r>
              <w:rPr>
                <w:rFonts w:ascii="Arial"/>
                <w:spacing w:val="-1"/>
              </w:rPr>
              <w:t>as</w:t>
            </w:r>
            <w:r>
              <w:rPr>
                <w:rFonts w:ascii="Arial"/>
                <w:spacing w:val="34"/>
              </w:rPr>
              <w:t xml:space="preserve"> </w:t>
            </w:r>
            <w:r>
              <w:rPr>
                <w:rFonts w:ascii="Arial"/>
                <w:spacing w:val="-1"/>
              </w:rPr>
              <w:t>an</w:t>
            </w:r>
            <w:r>
              <w:rPr>
                <w:rFonts w:ascii="Arial"/>
                <w:spacing w:val="28"/>
              </w:rPr>
              <w:t xml:space="preserve"> </w:t>
            </w:r>
            <w:r>
              <w:rPr>
                <w:rFonts w:ascii="Arial"/>
                <w:spacing w:val="-1"/>
              </w:rPr>
              <w:t>inducement</w:t>
            </w:r>
            <w:r>
              <w:rPr>
                <w:rFonts w:ascii="Arial"/>
                <w:spacing w:val="4"/>
              </w:rPr>
              <w:t xml:space="preserve"> </w:t>
            </w:r>
            <w:r>
              <w:rPr>
                <w:rFonts w:ascii="Arial"/>
                <w:spacing w:val="-2"/>
              </w:rPr>
              <w:t>or</w:t>
            </w:r>
            <w:r>
              <w:rPr>
                <w:rFonts w:ascii="Arial"/>
                <w:spacing w:val="4"/>
              </w:rPr>
              <w:t xml:space="preserve"> </w:t>
            </w:r>
            <w:r>
              <w:rPr>
                <w:rFonts w:ascii="Arial"/>
              </w:rPr>
              <w:t>a</w:t>
            </w:r>
            <w:r>
              <w:rPr>
                <w:rFonts w:ascii="Arial"/>
                <w:spacing w:val="3"/>
              </w:rPr>
              <w:t xml:space="preserve"> </w:t>
            </w:r>
            <w:r>
              <w:rPr>
                <w:rFonts w:ascii="Arial"/>
                <w:spacing w:val="-1"/>
              </w:rPr>
              <w:t>reward</w:t>
            </w:r>
            <w:r>
              <w:rPr>
                <w:rFonts w:ascii="Arial"/>
              </w:rPr>
              <w:t xml:space="preserve"> for</w:t>
            </w:r>
            <w:r>
              <w:rPr>
                <w:rFonts w:ascii="Arial"/>
                <w:spacing w:val="4"/>
              </w:rPr>
              <w:t xml:space="preserve"> </w:t>
            </w:r>
            <w:r>
              <w:rPr>
                <w:rFonts w:ascii="Arial"/>
                <w:spacing w:val="-1"/>
              </w:rPr>
              <w:t>improper</w:t>
            </w:r>
            <w:r>
              <w:rPr>
                <w:rFonts w:ascii="Arial"/>
                <w:spacing w:val="4"/>
              </w:rPr>
              <w:t xml:space="preserve"> </w:t>
            </w:r>
            <w:r>
              <w:rPr>
                <w:rFonts w:ascii="Arial"/>
                <w:spacing w:val="-1"/>
              </w:rPr>
              <w:t>performance</w:t>
            </w:r>
            <w:r>
              <w:rPr>
                <w:rFonts w:ascii="Arial"/>
                <w:spacing w:val="1"/>
              </w:rPr>
              <w:t xml:space="preserve"> </w:t>
            </w:r>
            <w:r>
              <w:rPr>
                <w:rFonts w:ascii="Arial"/>
                <w:spacing w:val="-2"/>
              </w:rPr>
              <w:t>of</w:t>
            </w:r>
            <w:r>
              <w:rPr>
                <w:rFonts w:ascii="Arial"/>
                <w:spacing w:val="27"/>
              </w:rPr>
              <w:t xml:space="preserve"> </w:t>
            </w:r>
            <w:r>
              <w:rPr>
                <w:rFonts w:ascii="Arial"/>
              </w:rPr>
              <w:t>a</w:t>
            </w:r>
            <w:r>
              <w:rPr>
                <w:rFonts w:ascii="Arial"/>
                <w:spacing w:val="15"/>
              </w:rPr>
              <w:t xml:space="preserve"> </w:t>
            </w:r>
            <w:r>
              <w:rPr>
                <w:rFonts w:ascii="Arial"/>
                <w:spacing w:val="-2"/>
              </w:rPr>
              <w:t>relevant</w:t>
            </w:r>
            <w:r>
              <w:rPr>
                <w:rFonts w:ascii="Arial"/>
                <w:spacing w:val="14"/>
              </w:rPr>
              <w:t xml:space="preserve"> </w:t>
            </w:r>
            <w:r>
              <w:rPr>
                <w:rFonts w:ascii="Arial"/>
                <w:spacing w:val="-1"/>
              </w:rPr>
              <w:t>function</w:t>
            </w:r>
            <w:r>
              <w:rPr>
                <w:rFonts w:ascii="Arial"/>
                <w:spacing w:val="15"/>
              </w:rPr>
              <w:t xml:space="preserve"> </w:t>
            </w:r>
            <w:r>
              <w:rPr>
                <w:rFonts w:ascii="Arial"/>
                <w:spacing w:val="-2"/>
              </w:rPr>
              <w:t>or</w:t>
            </w:r>
            <w:r>
              <w:rPr>
                <w:rFonts w:ascii="Arial"/>
                <w:spacing w:val="16"/>
              </w:rPr>
              <w:t xml:space="preserve"> </w:t>
            </w:r>
            <w:r>
              <w:rPr>
                <w:rFonts w:ascii="Arial"/>
                <w:spacing w:val="-2"/>
              </w:rPr>
              <w:t>activity</w:t>
            </w:r>
            <w:r>
              <w:rPr>
                <w:rFonts w:ascii="Arial"/>
                <w:spacing w:val="15"/>
              </w:rPr>
              <w:t xml:space="preserve"> </w:t>
            </w:r>
            <w:r>
              <w:rPr>
                <w:rFonts w:ascii="Arial"/>
                <w:spacing w:val="-1"/>
              </w:rPr>
              <w:t>in</w:t>
            </w:r>
            <w:r>
              <w:rPr>
                <w:rFonts w:ascii="Arial"/>
                <w:spacing w:val="15"/>
              </w:rPr>
              <w:t xml:space="preserve"> </w:t>
            </w:r>
            <w:r>
              <w:rPr>
                <w:rFonts w:ascii="Arial"/>
                <w:spacing w:val="-1"/>
              </w:rPr>
              <w:t>connection</w:t>
            </w:r>
            <w:r>
              <w:rPr>
                <w:rFonts w:ascii="Arial"/>
                <w:spacing w:val="15"/>
              </w:rPr>
              <w:t xml:space="preserve"> </w:t>
            </w:r>
            <w:r>
              <w:rPr>
                <w:rFonts w:ascii="Arial"/>
                <w:spacing w:val="-2"/>
              </w:rPr>
              <w:t>with</w:t>
            </w:r>
            <w:r>
              <w:rPr>
                <w:rFonts w:ascii="Arial"/>
                <w:spacing w:val="15"/>
              </w:rPr>
              <w:t xml:space="preserve"> </w:t>
            </w:r>
            <w:r>
              <w:rPr>
                <w:rFonts w:ascii="Arial"/>
                <w:spacing w:val="-1"/>
              </w:rPr>
              <w:t>this</w:t>
            </w:r>
            <w:r>
              <w:rPr>
                <w:rFonts w:ascii="Arial"/>
                <w:spacing w:val="59"/>
              </w:rPr>
              <w:t xml:space="preserve"> </w:t>
            </w:r>
            <w:r>
              <w:rPr>
                <w:rFonts w:ascii="Arial"/>
                <w:spacing w:val="-1"/>
              </w:rPr>
              <w:t>Agreement;</w:t>
            </w:r>
          </w:p>
          <w:p w:rsidR="008918FA" w:rsidRDefault="008918FA" w:rsidP="005D2B81">
            <w:pPr>
              <w:pStyle w:val="ListParagraph"/>
              <w:numPr>
                <w:ilvl w:val="0"/>
                <w:numId w:val="39"/>
              </w:numPr>
              <w:tabs>
                <w:tab w:val="left" w:pos="820"/>
              </w:tabs>
              <w:spacing w:before="119"/>
              <w:ind w:hanging="544"/>
              <w:rPr>
                <w:rFonts w:ascii="Arial" w:eastAsia="Arial" w:hAnsi="Arial" w:cs="Arial"/>
              </w:rPr>
            </w:pPr>
            <w:r>
              <w:rPr>
                <w:rFonts w:ascii="Arial"/>
                <w:spacing w:val="-1"/>
              </w:rPr>
              <w:t>committing</w:t>
            </w:r>
            <w:r>
              <w:rPr>
                <w:rFonts w:ascii="Arial"/>
                <w:spacing w:val="3"/>
              </w:rPr>
              <w:t xml:space="preserve"> </w:t>
            </w:r>
            <w:r>
              <w:rPr>
                <w:rFonts w:ascii="Arial"/>
                <w:spacing w:val="-1"/>
              </w:rPr>
              <w:t>any</w:t>
            </w:r>
            <w:r>
              <w:rPr>
                <w:rFonts w:ascii="Arial"/>
                <w:spacing w:val="-2"/>
              </w:rPr>
              <w:t xml:space="preserve"> </w:t>
            </w:r>
            <w:r>
              <w:rPr>
                <w:rFonts w:ascii="Arial"/>
                <w:spacing w:val="-1"/>
              </w:rPr>
              <w:t>offence:</w:t>
            </w:r>
          </w:p>
          <w:p w:rsidR="008918FA" w:rsidRDefault="008918FA" w:rsidP="005D2B81">
            <w:pPr>
              <w:pStyle w:val="ListParagraph"/>
              <w:numPr>
                <w:ilvl w:val="1"/>
                <w:numId w:val="39"/>
              </w:numPr>
              <w:tabs>
                <w:tab w:val="left" w:pos="1180"/>
              </w:tabs>
              <w:spacing w:before="121"/>
              <w:ind w:right="99"/>
              <w:jc w:val="both"/>
              <w:rPr>
                <w:rFonts w:ascii="Arial" w:eastAsia="Arial" w:hAnsi="Arial" w:cs="Arial"/>
              </w:rPr>
            </w:pPr>
            <w:r>
              <w:rPr>
                <w:rFonts w:ascii="Arial"/>
                <w:spacing w:val="-1"/>
              </w:rPr>
              <w:t>under</w:t>
            </w:r>
            <w:r>
              <w:rPr>
                <w:rFonts w:ascii="Arial"/>
                <w:spacing w:val="52"/>
              </w:rPr>
              <w:t xml:space="preserve"> </w:t>
            </w:r>
            <w:r>
              <w:rPr>
                <w:rFonts w:ascii="Arial"/>
              </w:rPr>
              <w:t>the</w:t>
            </w:r>
            <w:r>
              <w:rPr>
                <w:rFonts w:ascii="Arial"/>
                <w:spacing w:val="51"/>
              </w:rPr>
              <w:t xml:space="preserve"> </w:t>
            </w:r>
            <w:r>
              <w:rPr>
                <w:rFonts w:ascii="Arial"/>
                <w:spacing w:val="-1"/>
              </w:rPr>
              <w:t>Bribery</w:t>
            </w:r>
            <w:r>
              <w:rPr>
                <w:rFonts w:ascii="Arial"/>
                <w:spacing w:val="49"/>
              </w:rPr>
              <w:t xml:space="preserve"> </w:t>
            </w:r>
            <w:r>
              <w:rPr>
                <w:rFonts w:ascii="Arial"/>
                <w:spacing w:val="-1"/>
              </w:rPr>
              <w:t>Act</w:t>
            </w:r>
            <w:r>
              <w:rPr>
                <w:rFonts w:ascii="Arial"/>
                <w:spacing w:val="53"/>
              </w:rPr>
              <w:t xml:space="preserve"> </w:t>
            </w:r>
            <w:r>
              <w:rPr>
                <w:rFonts w:ascii="Arial"/>
                <w:spacing w:val="-1"/>
              </w:rPr>
              <w:t>2010</w:t>
            </w:r>
            <w:r>
              <w:rPr>
                <w:rFonts w:ascii="Arial"/>
                <w:spacing w:val="51"/>
              </w:rPr>
              <w:t xml:space="preserve"> </w:t>
            </w:r>
            <w:r>
              <w:rPr>
                <w:rFonts w:ascii="Arial"/>
                <w:spacing w:val="-1"/>
              </w:rPr>
              <w:t>(or</w:t>
            </w:r>
            <w:r>
              <w:rPr>
                <w:rFonts w:ascii="Arial"/>
                <w:spacing w:val="52"/>
              </w:rPr>
              <w:t xml:space="preserve"> </w:t>
            </w:r>
            <w:r>
              <w:rPr>
                <w:rFonts w:ascii="Arial"/>
                <w:spacing w:val="-1"/>
              </w:rPr>
              <w:t>any</w:t>
            </w:r>
            <w:r>
              <w:rPr>
                <w:rFonts w:ascii="Arial"/>
                <w:spacing w:val="50"/>
              </w:rPr>
              <w:t xml:space="preserve"> </w:t>
            </w:r>
            <w:r>
              <w:rPr>
                <w:rFonts w:ascii="Arial"/>
                <w:spacing w:val="-1"/>
              </w:rPr>
              <w:t>legislation</w:t>
            </w:r>
            <w:r>
              <w:rPr>
                <w:rFonts w:ascii="Arial"/>
                <w:spacing w:val="28"/>
              </w:rPr>
              <w:t xml:space="preserve"> </w:t>
            </w:r>
            <w:r>
              <w:rPr>
                <w:rFonts w:ascii="Arial"/>
                <w:spacing w:val="-1"/>
              </w:rPr>
              <w:t>repealed</w:t>
            </w:r>
            <w:r>
              <w:rPr>
                <w:rFonts w:ascii="Arial"/>
              </w:rPr>
              <w:t xml:space="preserve"> </w:t>
            </w:r>
            <w:r>
              <w:rPr>
                <w:rFonts w:ascii="Arial"/>
                <w:spacing w:val="-1"/>
              </w:rPr>
              <w:t>or revoked</w:t>
            </w:r>
            <w:r>
              <w:rPr>
                <w:rFonts w:ascii="Arial"/>
              </w:rPr>
              <w:t xml:space="preserve"> </w:t>
            </w:r>
            <w:r>
              <w:rPr>
                <w:rFonts w:ascii="Arial"/>
                <w:spacing w:val="-1"/>
              </w:rPr>
              <w:t>by</w:t>
            </w:r>
            <w:r>
              <w:rPr>
                <w:rFonts w:ascii="Arial"/>
                <w:spacing w:val="-2"/>
              </w:rPr>
              <w:t xml:space="preserve"> such</w:t>
            </w:r>
            <w:r>
              <w:rPr>
                <w:rFonts w:ascii="Arial"/>
                <w:spacing w:val="1"/>
              </w:rPr>
              <w:t xml:space="preserve"> </w:t>
            </w:r>
            <w:r>
              <w:rPr>
                <w:rFonts w:ascii="Arial"/>
                <w:spacing w:val="-1"/>
              </w:rPr>
              <w:t>Act)</w:t>
            </w:r>
          </w:p>
          <w:p w:rsidR="008918FA" w:rsidRDefault="008918FA" w:rsidP="005D2B81">
            <w:pPr>
              <w:pStyle w:val="ListParagraph"/>
              <w:numPr>
                <w:ilvl w:val="1"/>
                <w:numId w:val="39"/>
              </w:numPr>
              <w:tabs>
                <w:tab w:val="left" w:pos="1180"/>
              </w:tabs>
              <w:spacing w:before="119"/>
              <w:ind w:right="102"/>
              <w:jc w:val="both"/>
              <w:rPr>
                <w:rFonts w:ascii="Arial" w:eastAsia="Arial" w:hAnsi="Arial" w:cs="Arial"/>
              </w:rPr>
            </w:pPr>
            <w:r>
              <w:rPr>
                <w:rFonts w:ascii="Arial"/>
                <w:spacing w:val="-1"/>
              </w:rPr>
              <w:t>under</w:t>
            </w:r>
            <w:r>
              <w:rPr>
                <w:rFonts w:ascii="Arial"/>
                <w:spacing w:val="34"/>
              </w:rPr>
              <w:t xml:space="preserve"> </w:t>
            </w:r>
            <w:r>
              <w:rPr>
                <w:rFonts w:ascii="Arial"/>
                <w:spacing w:val="-1"/>
              </w:rPr>
              <w:t>legislation</w:t>
            </w:r>
            <w:r>
              <w:rPr>
                <w:rFonts w:ascii="Arial"/>
                <w:spacing w:val="33"/>
              </w:rPr>
              <w:t xml:space="preserve"> </w:t>
            </w:r>
            <w:r>
              <w:rPr>
                <w:rFonts w:ascii="Arial"/>
                <w:spacing w:val="-2"/>
              </w:rPr>
              <w:t>or</w:t>
            </w:r>
            <w:r>
              <w:rPr>
                <w:rFonts w:ascii="Arial"/>
                <w:spacing w:val="34"/>
              </w:rPr>
              <w:t xml:space="preserve"> </w:t>
            </w:r>
            <w:r>
              <w:rPr>
                <w:rFonts w:ascii="Arial"/>
                <w:spacing w:val="-1"/>
              </w:rPr>
              <w:t>common</w:t>
            </w:r>
            <w:r>
              <w:rPr>
                <w:rFonts w:ascii="Arial"/>
                <w:spacing w:val="30"/>
              </w:rPr>
              <w:t xml:space="preserve"> </w:t>
            </w:r>
            <w:r>
              <w:rPr>
                <w:rFonts w:ascii="Arial"/>
                <w:spacing w:val="-1"/>
              </w:rPr>
              <w:t>law</w:t>
            </w:r>
            <w:r>
              <w:rPr>
                <w:rFonts w:ascii="Arial"/>
                <w:spacing w:val="30"/>
              </w:rPr>
              <w:t xml:space="preserve"> </w:t>
            </w:r>
            <w:r>
              <w:rPr>
                <w:rFonts w:ascii="Arial"/>
                <w:spacing w:val="-1"/>
              </w:rPr>
              <w:t>concerning</w:t>
            </w:r>
            <w:r>
              <w:rPr>
                <w:rFonts w:ascii="Arial"/>
                <w:spacing w:val="28"/>
              </w:rPr>
              <w:t xml:space="preserve"> </w:t>
            </w:r>
            <w:r>
              <w:rPr>
                <w:rFonts w:ascii="Arial"/>
                <w:spacing w:val="-1"/>
              </w:rPr>
              <w:t>fraudulent</w:t>
            </w:r>
            <w:r>
              <w:rPr>
                <w:rFonts w:ascii="Arial"/>
              </w:rPr>
              <w:t xml:space="preserve"> </w:t>
            </w:r>
            <w:r>
              <w:rPr>
                <w:rFonts w:ascii="Arial"/>
                <w:spacing w:val="-1"/>
              </w:rPr>
              <w:t>acts;</w:t>
            </w:r>
            <w:r>
              <w:rPr>
                <w:rFonts w:ascii="Arial"/>
              </w:rPr>
              <w:t xml:space="preserve"> </w:t>
            </w:r>
            <w:r>
              <w:rPr>
                <w:rFonts w:ascii="Arial"/>
                <w:spacing w:val="-1"/>
              </w:rPr>
              <w:t>or</w:t>
            </w:r>
          </w:p>
          <w:p w:rsidR="008918FA" w:rsidRDefault="008918FA" w:rsidP="005D2B81">
            <w:pPr>
              <w:pStyle w:val="ListParagraph"/>
              <w:numPr>
                <w:ilvl w:val="1"/>
                <w:numId w:val="39"/>
              </w:numPr>
              <w:tabs>
                <w:tab w:val="left" w:pos="1180"/>
              </w:tabs>
              <w:spacing w:before="119"/>
              <w:ind w:right="100"/>
              <w:jc w:val="both"/>
              <w:rPr>
                <w:rFonts w:ascii="Arial" w:eastAsia="Arial" w:hAnsi="Arial" w:cs="Arial"/>
              </w:rPr>
            </w:pPr>
            <w:r>
              <w:rPr>
                <w:rFonts w:ascii="Arial"/>
                <w:spacing w:val="-1"/>
              </w:rPr>
              <w:t>defrauding,</w:t>
            </w:r>
            <w:r>
              <w:rPr>
                <w:rFonts w:ascii="Arial"/>
                <w:spacing w:val="40"/>
              </w:rPr>
              <w:t xml:space="preserve"> </w:t>
            </w:r>
            <w:r>
              <w:rPr>
                <w:rFonts w:ascii="Arial"/>
                <w:spacing w:val="-1"/>
              </w:rPr>
              <w:t>attempting</w:t>
            </w:r>
            <w:r>
              <w:rPr>
                <w:rFonts w:ascii="Arial"/>
                <w:spacing w:val="41"/>
              </w:rPr>
              <w:t xml:space="preserve"> </w:t>
            </w:r>
            <w:r>
              <w:rPr>
                <w:rFonts w:ascii="Arial"/>
                <w:spacing w:val="-1"/>
              </w:rPr>
              <w:t>to</w:t>
            </w:r>
            <w:r>
              <w:rPr>
                <w:rFonts w:ascii="Arial"/>
                <w:spacing w:val="38"/>
              </w:rPr>
              <w:t xml:space="preserve"> </w:t>
            </w:r>
            <w:r>
              <w:rPr>
                <w:rFonts w:ascii="Arial"/>
                <w:spacing w:val="-1"/>
              </w:rPr>
              <w:t>defraud</w:t>
            </w:r>
            <w:r>
              <w:rPr>
                <w:rFonts w:ascii="Arial"/>
                <w:spacing w:val="39"/>
              </w:rPr>
              <w:t xml:space="preserve"> </w:t>
            </w:r>
            <w:r>
              <w:rPr>
                <w:rFonts w:ascii="Arial"/>
                <w:spacing w:val="-1"/>
              </w:rPr>
              <w:t>or</w:t>
            </w:r>
            <w:r>
              <w:rPr>
                <w:rFonts w:ascii="Arial"/>
                <w:spacing w:val="40"/>
              </w:rPr>
              <w:t xml:space="preserve"> </w:t>
            </w:r>
            <w:r>
              <w:rPr>
                <w:rFonts w:ascii="Arial"/>
                <w:spacing w:val="-1"/>
              </w:rPr>
              <w:t>conspiring</w:t>
            </w:r>
            <w:r>
              <w:rPr>
                <w:rFonts w:ascii="Arial"/>
                <w:spacing w:val="21"/>
              </w:rPr>
              <w:t xml:space="preserve"> </w:t>
            </w:r>
            <w:r>
              <w:rPr>
                <w:rFonts w:ascii="Arial"/>
              </w:rPr>
              <w:t xml:space="preserve">to </w:t>
            </w:r>
            <w:r>
              <w:rPr>
                <w:rFonts w:ascii="Arial"/>
                <w:spacing w:val="-1"/>
              </w:rPr>
              <w:t>defraud</w:t>
            </w:r>
            <w:r>
              <w:rPr>
                <w:rFonts w:ascii="Arial"/>
                <w:spacing w:val="-2"/>
              </w:rPr>
              <w:t xml:space="preserve"> </w:t>
            </w:r>
            <w:r>
              <w:rPr>
                <w:rFonts w:ascii="Arial"/>
              </w:rPr>
              <w:t>the</w:t>
            </w:r>
            <w:r>
              <w:rPr>
                <w:rFonts w:ascii="Arial"/>
                <w:spacing w:val="-2"/>
              </w:rPr>
              <w:t xml:space="preserve"> </w:t>
            </w:r>
            <w:r>
              <w:rPr>
                <w:rFonts w:ascii="Arial"/>
                <w:spacing w:val="-1"/>
              </w:rPr>
              <w:t>Customer;</w:t>
            </w:r>
            <w:r>
              <w:rPr>
                <w:rFonts w:ascii="Arial"/>
              </w:rPr>
              <w:t xml:space="preserve"> </w:t>
            </w:r>
            <w:r>
              <w:rPr>
                <w:rFonts w:ascii="Arial"/>
                <w:spacing w:val="-1"/>
              </w:rPr>
              <w:t>or</w:t>
            </w:r>
          </w:p>
          <w:p w:rsidR="008918FA" w:rsidRDefault="008918FA" w:rsidP="005D2B81">
            <w:pPr>
              <w:pStyle w:val="ListParagraph"/>
              <w:numPr>
                <w:ilvl w:val="1"/>
                <w:numId w:val="39"/>
              </w:numPr>
              <w:tabs>
                <w:tab w:val="left" w:pos="1180"/>
              </w:tabs>
              <w:spacing w:before="119"/>
              <w:ind w:right="99"/>
              <w:jc w:val="both"/>
              <w:rPr>
                <w:rFonts w:ascii="Arial" w:eastAsia="Arial" w:hAnsi="Arial" w:cs="Arial"/>
              </w:rPr>
            </w:pPr>
            <w:r>
              <w:rPr>
                <w:rFonts w:ascii="Arial"/>
                <w:spacing w:val="-1"/>
              </w:rPr>
              <w:t>any</w:t>
            </w:r>
            <w:r>
              <w:rPr>
                <w:rFonts w:ascii="Arial"/>
                <w:spacing w:val="9"/>
              </w:rPr>
              <w:t xml:space="preserve"> </w:t>
            </w:r>
            <w:r>
              <w:rPr>
                <w:rFonts w:ascii="Arial"/>
                <w:spacing w:val="-1"/>
              </w:rPr>
              <w:t>activity,</w:t>
            </w:r>
            <w:r>
              <w:rPr>
                <w:rFonts w:ascii="Arial"/>
                <w:spacing w:val="13"/>
              </w:rPr>
              <w:t xml:space="preserve"> </w:t>
            </w:r>
            <w:r>
              <w:rPr>
                <w:rFonts w:ascii="Arial"/>
                <w:spacing w:val="-1"/>
              </w:rPr>
              <w:t>practice</w:t>
            </w:r>
            <w:r>
              <w:rPr>
                <w:rFonts w:ascii="Arial"/>
                <w:spacing w:val="12"/>
              </w:rPr>
              <w:t xml:space="preserve"> </w:t>
            </w:r>
            <w:r>
              <w:rPr>
                <w:rFonts w:ascii="Arial"/>
                <w:spacing w:val="-2"/>
              </w:rPr>
              <w:t>or</w:t>
            </w:r>
            <w:r>
              <w:rPr>
                <w:rFonts w:ascii="Arial"/>
                <w:spacing w:val="10"/>
              </w:rPr>
              <w:t xml:space="preserve"> </w:t>
            </w:r>
            <w:r>
              <w:rPr>
                <w:rFonts w:ascii="Arial"/>
                <w:spacing w:val="-1"/>
              </w:rPr>
              <w:t>conduct</w:t>
            </w:r>
            <w:r>
              <w:rPr>
                <w:rFonts w:ascii="Arial"/>
                <w:spacing w:val="11"/>
              </w:rPr>
              <w:t xml:space="preserve"> </w:t>
            </w:r>
            <w:r>
              <w:rPr>
                <w:rFonts w:ascii="Arial"/>
                <w:spacing w:val="-2"/>
              </w:rPr>
              <w:t>which</w:t>
            </w:r>
            <w:r>
              <w:rPr>
                <w:rFonts w:ascii="Arial"/>
                <w:spacing w:val="14"/>
              </w:rPr>
              <w:t xml:space="preserve"> </w:t>
            </w:r>
            <w:r>
              <w:rPr>
                <w:rFonts w:ascii="Arial"/>
                <w:spacing w:val="-2"/>
              </w:rPr>
              <w:t>would</w:t>
            </w:r>
            <w:r>
              <w:rPr>
                <w:rFonts w:ascii="Arial"/>
                <w:spacing w:val="25"/>
              </w:rPr>
              <w:t xml:space="preserve"> </w:t>
            </w:r>
            <w:r>
              <w:rPr>
                <w:rFonts w:ascii="Arial"/>
                <w:spacing w:val="-1"/>
              </w:rPr>
              <w:t>constitute</w:t>
            </w:r>
            <w:r>
              <w:rPr>
                <w:rFonts w:ascii="Arial"/>
                <w:spacing w:val="53"/>
              </w:rPr>
              <w:t xml:space="preserve"> </w:t>
            </w:r>
            <w:r>
              <w:rPr>
                <w:rFonts w:ascii="Arial"/>
                <w:spacing w:val="-1"/>
              </w:rPr>
              <w:t>one</w:t>
            </w:r>
            <w:r>
              <w:rPr>
                <w:rFonts w:ascii="Arial"/>
                <w:spacing w:val="53"/>
              </w:rPr>
              <w:t xml:space="preserve"> </w:t>
            </w:r>
            <w:r>
              <w:rPr>
                <w:rFonts w:ascii="Arial"/>
                <w:spacing w:val="-2"/>
              </w:rPr>
              <w:t>of</w:t>
            </w:r>
            <w:r>
              <w:rPr>
                <w:rFonts w:ascii="Arial"/>
                <w:spacing w:val="52"/>
              </w:rPr>
              <w:t xml:space="preserve"> </w:t>
            </w:r>
            <w:r>
              <w:rPr>
                <w:rFonts w:ascii="Arial"/>
              </w:rPr>
              <w:t>the</w:t>
            </w:r>
            <w:r>
              <w:rPr>
                <w:rFonts w:ascii="Arial"/>
                <w:spacing w:val="53"/>
              </w:rPr>
              <w:t xml:space="preserve"> </w:t>
            </w:r>
            <w:r>
              <w:rPr>
                <w:rFonts w:ascii="Arial"/>
                <w:spacing w:val="-1"/>
              </w:rPr>
              <w:t>offences</w:t>
            </w:r>
            <w:r>
              <w:rPr>
                <w:rFonts w:ascii="Arial"/>
                <w:spacing w:val="53"/>
              </w:rPr>
              <w:t xml:space="preserve"> </w:t>
            </w:r>
            <w:r>
              <w:rPr>
                <w:rFonts w:ascii="Arial"/>
                <w:spacing w:val="-1"/>
              </w:rPr>
              <w:t>listed</w:t>
            </w:r>
            <w:r>
              <w:rPr>
                <w:rFonts w:ascii="Arial"/>
                <w:spacing w:val="53"/>
              </w:rPr>
              <w:t xml:space="preserve"> </w:t>
            </w:r>
            <w:r>
              <w:rPr>
                <w:rFonts w:ascii="Arial"/>
                <w:spacing w:val="-2"/>
              </w:rPr>
              <w:t>under</w:t>
            </w:r>
            <w:r>
              <w:rPr>
                <w:rFonts w:ascii="Arial"/>
                <w:spacing w:val="53"/>
              </w:rPr>
              <w:t xml:space="preserve"> </w:t>
            </w:r>
            <w:r>
              <w:rPr>
                <w:rFonts w:ascii="Arial"/>
                <w:spacing w:val="-1"/>
              </w:rPr>
              <w:t>(c)</w:t>
            </w:r>
            <w:r>
              <w:rPr>
                <w:rFonts w:ascii="Arial"/>
                <w:spacing w:val="33"/>
              </w:rPr>
              <w:t xml:space="preserve"> </w:t>
            </w:r>
            <w:r>
              <w:rPr>
                <w:rFonts w:ascii="Arial"/>
                <w:spacing w:val="-2"/>
              </w:rPr>
              <w:t>above</w:t>
            </w:r>
            <w:r>
              <w:rPr>
                <w:rFonts w:ascii="Arial"/>
                <w:spacing w:val="46"/>
              </w:rPr>
              <w:t xml:space="preserve"> </w:t>
            </w:r>
            <w:r>
              <w:rPr>
                <w:rFonts w:ascii="Arial"/>
                <w:spacing w:val="-1"/>
              </w:rPr>
              <w:t>if</w:t>
            </w:r>
            <w:r>
              <w:rPr>
                <w:rFonts w:ascii="Arial"/>
                <w:spacing w:val="49"/>
              </w:rPr>
              <w:t xml:space="preserve"> </w:t>
            </w:r>
            <w:r>
              <w:rPr>
                <w:rFonts w:ascii="Arial"/>
                <w:spacing w:val="-1"/>
              </w:rPr>
              <w:t>such</w:t>
            </w:r>
            <w:r>
              <w:rPr>
                <w:rFonts w:ascii="Arial"/>
                <w:spacing w:val="46"/>
              </w:rPr>
              <w:t xml:space="preserve"> </w:t>
            </w:r>
            <w:r>
              <w:rPr>
                <w:rFonts w:ascii="Arial"/>
                <w:spacing w:val="-2"/>
              </w:rPr>
              <w:t>activity,</w:t>
            </w:r>
            <w:r>
              <w:rPr>
                <w:rFonts w:ascii="Arial"/>
                <w:spacing w:val="47"/>
              </w:rPr>
              <w:t xml:space="preserve"> </w:t>
            </w:r>
            <w:r>
              <w:rPr>
                <w:rFonts w:ascii="Arial"/>
                <w:spacing w:val="-1"/>
              </w:rPr>
              <w:t>practice</w:t>
            </w:r>
            <w:r>
              <w:rPr>
                <w:rFonts w:ascii="Arial"/>
                <w:spacing w:val="46"/>
              </w:rPr>
              <w:t xml:space="preserve"> </w:t>
            </w:r>
            <w:r>
              <w:rPr>
                <w:rFonts w:ascii="Arial"/>
                <w:spacing w:val="-2"/>
              </w:rPr>
              <w:t>or</w:t>
            </w:r>
            <w:r>
              <w:rPr>
                <w:rFonts w:ascii="Arial"/>
                <w:spacing w:val="47"/>
              </w:rPr>
              <w:t xml:space="preserve"> </w:t>
            </w:r>
            <w:r>
              <w:rPr>
                <w:rFonts w:ascii="Arial"/>
                <w:spacing w:val="-1"/>
              </w:rPr>
              <w:t>conduct</w:t>
            </w:r>
            <w:r>
              <w:rPr>
                <w:rFonts w:ascii="Arial"/>
                <w:spacing w:val="48"/>
              </w:rPr>
              <w:t xml:space="preserve"> </w:t>
            </w:r>
            <w:r>
              <w:rPr>
                <w:rFonts w:ascii="Arial"/>
                <w:spacing w:val="-1"/>
              </w:rPr>
              <w:t>had</w:t>
            </w:r>
            <w:r>
              <w:rPr>
                <w:rFonts w:ascii="Arial"/>
                <w:spacing w:val="32"/>
              </w:rPr>
              <w:t xml:space="preserve"> </w:t>
            </w:r>
            <w:r>
              <w:rPr>
                <w:rFonts w:ascii="Arial"/>
                <w:spacing w:val="-1"/>
              </w:rPr>
              <w:t>been</w:t>
            </w:r>
            <w:r>
              <w:rPr>
                <w:rFonts w:ascii="Arial"/>
              </w:rPr>
              <w:t xml:space="preserve"> </w:t>
            </w:r>
            <w:r>
              <w:rPr>
                <w:rFonts w:ascii="Arial"/>
                <w:spacing w:val="-1"/>
              </w:rPr>
              <w:t>carried</w:t>
            </w:r>
            <w:r>
              <w:rPr>
                <w:rFonts w:ascii="Arial"/>
              </w:rPr>
              <w:t xml:space="preserve"> </w:t>
            </w:r>
            <w:r>
              <w:rPr>
                <w:rFonts w:ascii="Arial"/>
                <w:spacing w:val="-1"/>
              </w:rPr>
              <w:t>out</w:t>
            </w:r>
            <w:r>
              <w:rPr>
                <w:rFonts w:ascii="Arial"/>
              </w:rPr>
              <w:t xml:space="preserve"> </w:t>
            </w:r>
            <w:r>
              <w:rPr>
                <w:rFonts w:ascii="Arial"/>
                <w:spacing w:val="-1"/>
              </w:rPr>
              <w:t>in</w:t>
            </w:r>
            <w:r>
              <w:rPr>
                <w:rFonts w:ascii="Arial"/>
                <w:spacing w:val="-2"/>
              </w:rPr>
              <w:t xml:space="preserve"> </w:t>
            </w:r>
            <w:r>
              <w:rPr>
                <w:rFonts w:ascii="Arial"/>
              </w:rPr>
              <w:t xml:space="preserve">the </w:t>
            </w:r>
            <w:r>
              <w:rPr>
                <w:rFonts w:ascii="Arial"/>
                <w:spacing w:val="-2"/>
              </w:rPr>
              <w:t>UK;</w:t>
            </w:r>
          </w:p>
        </w:tc>
      </w:tr>
      <w:tr w:rsidR="008918FA" w:rsidTr="005D2B81">
        <w:trPr>
          <w:trHeight w:hRule="exact" w:val="3530"/>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"Project</w:t>
            </w:r>
            <w:r>
              <w:rPr>
                <w:rFonts w:ascii="Arial"/>
                <w:b/>
                <w:spacing w:val="2"/>
              </w:rPr>
              <w:t xml:space="preserve"> </w:t>
            </w:r>
            <w:r>
              <w:rPr>
                <w:rFonts w:ascii="Arial"/>
                <w:b/>
                <w:spacing w:val="-1"/>
              </w:rPr>
              <w:t>Specific</w:t>
            </w:r>
            <w:r>
              <w:rPr>
                <w:rFonts w:ascii="Arial"/>
                <w:b/>
                <w:spacing w:val="-2"/>
              </w:rPr>
              <w:t xml:space="preserve"> </w:t>
            </w:r>
            <w:r>
              <w:rPr>
                <w:rFonts w:ascii="Arial"/>
                <w:b/>
                <w:spacing w:val="-1"/>
              </w:rPr>
              <w:t>IPR"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38"/>
              </w:numPr>
              <w:tabs>
                <w:tab w:val="left" w:pos="820"/>
              </w:tabs>
              <w:spacing w:before="119"/>
              <w:ind w:right="99" w:hanging="544"/>
              <w:jc w:val="both"/>
              <w:rPr>
                <w:rFonts w:ascii="Arial" w:eastAsia="Arial" w:hAnsi="Arial" w:cs="Arial"/>
              </w:rPr>
            </w:pPr>
            <w:r>
              <w:rPr>
                <w:rFonts w:ascii="Arial"/>
                <w:spacing w:val="-1"/>
              </w:rPr>
              <w:t>Intellectual</w:t>
            </w:r>
            <w:r>
              <w:rPr>
                <w:rFonts w:ascii="Arial"/>
                <w:spacing w:val="31"/>
              </w:rPr>
              <w:t xml:space="preserve"> </w:t>
            </w:r>
            <w:r>
              <w:rPr>
                <w:rFonts w:ascii="Arial"/>
                <w:spacing w:val="-1"/>
              </w:rPr>
              <w:t>Property</w:t>
            </w:r>
            <w:r>
              <w:rPr>
                <w:rFonts w:ascii="Arial"/>
                <w:spacing w:val="30"/>
              </w:rPr>
              <w:t xml:space="preserve"> </w:t>
            </w:r>
            <w:r>
              <w:rPr>
                <w:rFonts w:ascii="Arial"/>
                <w:spacing w:val="-1"/>
              </w:rPr>
              <w:t>Rights</w:t>
            </w:r>
            <w:r>
              <w:rPr>
                <w:rFonts w:ascii="Arial"/>
                <w:spacing w:val="32"/>
              </w:rPr>
              <w:t xml:space="preserve"> </w:t>
            </w:r>
            <w:r>
              <w:rPr>
                <w:rFonts w:ascii="Arial"/>
                <w:spacing w:val="-1"/>
              </w:rPr>
              <w:t>in</w:t>
            </w:r>
            <w:r>
              <w:rPr>
                <w:rFonts w:ascii="Arial"/>
                <w:spacing w:val="31"/>
              </w:rPr>
              <w:t xml:space="preserve"> </w:t>
            </w:r>
            <w:r>
              <w:rPr>
                <w:rFonts w:ascii="Arial"/>
                <w:spacing w:val="-1"/>
              </w:rPr>
              <w:t>items</w:t>
            </w:r>
            <w:r>
              <w:rPr>
                <w:rFonts w:ascii="Arial"/>
                <w:spacing w:val="30"/>
              </w:rPr>
              <w:t xml:space="preserve"> </w:t>
            </w:r>
            <w:r>
              <w:rPr>
                <w:rFonts w:ascii="Arial"/>
                <w:spacing w:val="-1"/>
              </w:rPr>
              <w:t>created</w:t>
            </w:r>
            <w:r>
              <w:rPr>
                <w:rFonts w:ascii="Arial"/>
                <w:spacing w:val="31"/>
              </w:rPr>
              <w:t xml:space="preserve"> </w:t>
            </w:r>
            <w:r>
              <w:rPr>
                <w:rFonts w:ascii="Arial"/>
                <w:spacing w:val="-1"/>
              </w:rPr>
              <w:t>by</w:t>
            </w:r>
            <w:r>
              <w:rPr>
                <w:rFonts w:ascii="Arial"/>
                <w:spacing w:val="27"/>
              </w:rPr>
              <w:t xml:space="preserve"> </w:t>
            </w:r>
            <w:r>
              <w:rPr>
                <w:rFonts w:ascii="Arial"/>
                <w:spacing w:val="-1"/>
              </w:rPr>
              <w:t>the</w:t>
            </w:r>
            <w:r>
              <w:rPr>
                <w:rFonts w:ascii="Arial"/>
                <w:spacing w:val="28"/>
              </w:rPr>
              <w:t xml:space="preserve"> </w:t>
            </w:r>
            <w:r>
              <w:rPr>
                <w:rFonts w:ascii="Arial"/>
                <w:spacing w:val="-2"/>
              </w:rPr>
              <w:t>Supplier</w:t>
            </w:r>
            <w:r>
              <w:rPr>
                <w:rFonts w:ascii="Arial"/>
                <w:spacing w:val="39"/>
              </w:rPr>
              <w:t xml:space="preserve"> </w:t>
            </w:r>
            <w:r>
              <w:rPr>
                <w:rFonts w:ascii="Arial"/>
                <w:spacing w:val="-1"/>
              </w:rPr>
              <w:t>(or</w:t>
            </w:r>
            <w:r>
              <w:rPr>
                <w:rFonts w:ascii="Arial"/>
                <w:spacing w:val="39"/>
              </w:rPr>
              <w:t xml:space="preserve"> </w:t>
            </w:r>
            <w:r>
              <w:rPr>
                <w:rFonts w:ascii="Arial"/>
                <w:spacing w:val="-1"/>
              </w:rPr>
              <w:t>by</w:t>
            </w:r>
            <w:r>
              <w:rPr>
                <w:rFonts w:ascii="Arial"/>
                <w:spacing w:val="35"/>
              </w:rPr>
              <w:t xml:space="preserve"> </w:t>
            </w:r>
            <w:r>
              <w:rPr>
                <w:rFonts w:ascii="Arial"/>
              </w:rPr>
              <w:t>a</w:t>
            </w:r>
            <w:r>
              <w:rPr>
                <w:rFonts w:ascii="Arial"/>
                <w:spacing w:val="37"/>
              </w:rPr>
              <w:t xml:space="preserve"> </w:t>
            </w:r>
            <w:r>
              <w:rPr>
                <w:rFonts w:ascii="Arial"/>
                <w:spacing w:val="-1"/>
              </w:rPr>
              <w:t>third</w:t>
            </w:r>
            <w:r>
              <w:rPr>
                <w:rFonts w:ascii="Arial"/>
                <w:spacing w:val="37"/>
              </w:rPr>
              <w:t xml:space="preserve"> </w:t>
            </w:r>
            <w:r>
              <w:rPr>
                <w:rFonts w:ascii="Arial"/>
                <w:spacing w:val="-1"/>
              </w:rPr>
              <w:t>party</w:t>
            </w:r>
            <w:r>
              <w:rPr>
                <w:rFonts w:ascii="Arial"/>
                <w:spacing w:val="35"/>
              </w:rPr>
              <w:t xml:space="preserve"> </w:t>
            </w:r>
            <w:r>
              <w:rPr>
                <w:rFonts w:ascii="Arial"/>
                <w:spacing w:val="-1"/>
              </w:rPr>
              <w:t>on</w:t>
            </w:r>
            <w:r>
              <w:rPr>
                <w:rFonts w:ascii="Arial"/>
                <w:spacing w:val="38"/>
              </w:rPr>
              <w:t xml:space="preserve"> </w:t>
            </w:r>
            <w:r>
              <w:rPr>
                <w:rFonts w:ascii="Arial"/>
                <w:spacing w:val="-2"/>
              </w:rPr>
              <w:t>behalf</w:t>
            </w:r>
            <w:r>
              <w:rPr>
                <w:rFonts w:ascii="Arial"/>
                <w:spacing w:val="41"/>
              </w:rPr>
              <w:t xml:space="preserve"> </w:t>
            </w:r>
            <w:r>
              <w:rPr>
                <w:rFonts w:ascii="Arial"/>
                <w:spacing w:val="-2"/>
              </w:rPr>
              <w:t>of</w:t>
            </w:r>
            <w:r>
              <w:rPr>
                <w:rFonts w:ascii="Arial"/>
                <w:spacing w:val="36"/>
              </w:rPr>
              <w:t xml:space="preserve"> </w:t>
            </w:r>
            <w:r>
              <w:rPr>
                <w:rFonts w:ascii="Arial"/>
                <w:spacing w:val="-1"/>
              </w:rPr>
              <w:t>the</w:t>
            </w:r>
            <w:r>
              <w:rPr>
                <w:rFonts w:ascii="Arial"/>
                <w:spacing w:val="46"/>
              </w:rPr>
              <w:t xml:space="preserve"> </w:t>
            </w:r>
            <w:r>
              <w:rPr>
                <w:rFonts w:ascii="Arial"/>
                <w:spacing w:val="-1"/>
              </w:rPr>
              <w:t>Supplier)</w:t>
            </w:r>
            <w:r>
              <w:rPr>
                <w:rFonts w:ascii="Arial"/>
                <w:spacing w:val="4"/>
              </w:rPr>
              <w:t xml:space="preserve"> </w:t>
            </w:r>
            <w:r>
              <w:rPr>
                <w:rFonts w:ascii="Arial"/>
                <w:spacing w:val="-1"/>
              </w:rPr>
              <w:t>specifically</w:t>
            </w:r>
            <w:r>
              <w:rPr>
                <w:rFonts w:ascii="Arial"/>
                <w:spacing w:val="1"/>
              </w:rPr>
              <w:t xml:space="preserve"> </w:t>
            </w:r>
            <w:r>
              <w:rPr>
                <w:rFonts w:ascii="Arial"/>
              </w:rPr>
              <w:t>for</w:t>
            </w:r>
            <w:r>
              <w:rPr>
                <w:rFonts w:ascii="Arial"/>
                <w:spacing w:val="2"/>
              </w:rPr>
              <w:t xml:space="preserve"> </w:t>
            </w:r>
            <w:r>
              <w:rPr>
                <w:rFonts w:ascii="Arial"/>
                <w:spacing w:val="-1"/>
              </w:rPr>
              <w:t>the</w:t>
            </w:r>
            <w:r>
              <w:rPr>
                <w:rFonts w:ascii="Arial"/>
                <w:spacing w:val="3"/>
              </w:rPr>
              <w:t xml:space="preserve"> </w:t>
            </w:r>
            <w:r>
              <w:rPr>
                <w:rFonts w:ascii="Arial"/>
                <w:spacing w:val="-1"/>
              </w:rPr>
              <w:t>purposes</w:t>
            </w:r>
            <w:r>
              <w:rPr>
                <w:rFonts w:ascii="Arial"/>
                <w:spacing w:val="3"/>
              </w:rPr>
              <w:t xml:space="preserve"> </w:t>
            </w:r>
            <w:r>
              <w:rPr>
                <w:rFonts w:ascii="Arial"/>
                <w:spacing w:val="-2"/>
              </w:rPr>
              <w:t>of</w:t>
            </w:r>
            <w:r>
              <w:rPr>
                <w:rFonts w:ascii="Arial"/>
                <w:spacing w:val="2"/>
              </w:rPr>
              <w:t xml:space="preserve"> </w:t>
            </w:r>
            <w:r>
              <w:rPr>
                <w:rFonts w:ascii="Arial"/>
                <w:spacing w:val="-1"/>
              </w:rPr>
              <w:t>this</w:t>
            </w:r>
            <w:r>
              <w:rPr>
                <w:rFonts w:ascii="Arial"/>
                <w:spacing w:val="3"/>
              </w:rPr>
              <w:t xml:space="preserve"> </w:t>
            </w:r>
            <w:r>
              <w:rPr>
                <w:rFonts w:ascii="Arial"/>
                <w:spacing w:val="-2"/>
              </w:rPr>
              <w:t>Call</w:t>
            </w:r>
            <w:r>
              <w:rPr>
                <w:rFonts w:ascii="Arial"/>
              </w:rPr>
              <w:t xml:space="preserve"> </w:t>
            </w:r>
            <w:r>
              <w:rPr>
                <w:rFonts w:ascii="Arial"/>
                <w:spacing w:val="-1"/>
              </w:rPr>
              <w:t>Off</w:t>
            </w:r>
            <w:r>
              <w:rPr>
                <w:rFonts w:ascii="Arial"/>
                <w:spacing w:val="29"/>
              </w:rPr>
              <w:t xml:space="preserve"> </w:t>
            </w:r>
            <w:r>
              <w:rPr>
                <w:rFonts w:ascii="Arial"/>
                <w:spacing w:val="-1"/>
              </w:rPr>
              <w:t>Contract</w:t>
            </w:r>
            <w:r>
              <w:rPr>
                <w:rFonts w:ascii="Arial"/>
                <w:spacing w:val="8"/>
              </w:rPr>
              <w:t xml:space="preserve"> </w:t>
            </w:r>
            <w:r>
              <w:rPr>
                <w:rFonts w:ascii="Arial"/>
                <w:spacing w:val="-1"/>
              </w:rPr>
              <w:t>and</w:t>
            </w:r>
            <w:r>
              <w:rPr>
                <w:rFonts w:ascii="Arial"/>
                <w:spacing w:val="6"/>
              </w:rPr>
              <w:t xml:space="preserve"> </w:t>
            </w:r>
            <w:r>
              <w:rPr>
                <w:rFonts w:ascii="Arial"/>
                <w:spacing w:val="-1"/>
              </w:rPr>
              <w:t>updates</w:t>
            </w:r>
            <w:r>
              <w:rPr>
                <w:rFonts w:ascii="Arial"/>
                <w:spacing w:val="7"/>
              </w:rPr>
              <w:t xml:space="preserve"> </w:t>
            </w:r>
            <w:r>
              <w:rPr>
                <w:rFonts w:ascii="Arial"/>
                <w:spacing w:val="-1"/>
              </w:rPr>
              <w:t>and</w:t>
            </w:r>
            <w:r>
              <w:rPr>
                <w:rFonts w:ascii="Arial"/>
                <w:spacing w:val="6"/>
              </w:rPr>
              <w:t xml:space="preserve"> </w:t>
            </w:r>
            <w:r>
              <w:rPr>
                <w:rFonts w:ascii="Arial"/>
                <w:spacing w:val="-1"/>
              </w:rPr>
              <w:t>amendments</w:t>
            </w:r>
            <w:r>
              <w:rPr>
                <w:rFonts w:ascii="Arial"/>
                <w:spacing w:val="7"/>
              </w:rPr>
              <w:t xml:space="preserve"> </w:t>
            </w:r>
            <w:r>
              <w:rPr>
                <w:rFonts w:ascii="Arial"/>
                <w:spacing w:val="-2"/>
              </w:rPr>
              <w:t>of</w:t>
            </w:r>
            <w:r>
              <w:rPr>
                <w:rFonts w:ascii="Arial"/>
                <w:spacing w:val="10"/>
              </w:rPr>
              <w:t xml:space="preserve"> </w:t>
            </w:r>
            <w:r>
              <w:rPr>
                <w:rFonts w:ascii="Arial"/>
                <w:spacing w:val="-1"/>
              </w:rPr>
              <w:t>these</w:t>
            </w:r>
            <w:r>
              <w:rPr>
                <w:rFonts w:ascii="Arial"/>
                <w:spacing w:val="20"/>
              </w:rPr>
              <w:t xml:space="preserve"> </w:t>
            </w:r>
            <w:r>
              <w:rPr>
                <w:rFonts w:ascii="Arial"/>
                <w:spacing w:val="-1"/>
              </w:rPr>
              <w:t>items</w:t>
            </w:r>
            <w:r>
              <w:rPr>
                <w:rFonts w:ascii="Arial"/>
                <w:spacing w:val="25"/>
              </w:rPr>
              <w:t xml:space="preserve"> </w:t>
            </w:r>
            <w:r>
              <w:rPr>
                <w:rFonts w:ascii="Arial"/>
                <w:spacing w:val="-2"/>
              </w:rPr>
              <w:t>including</w:t>
            </w:r>
            <w:r>
              <w:rPr>
                <w:rFonts w:ascii="Arial"/>
                <w:spacing w:val="24"/>
              </w:rPr>
              <w:t xml:space="preserve"> </w:t>
            </w:r>
            <w:r>
              <w:rPr>
                <w:rFonts w:ascii="Arial"/>
                <w:spacing w:val="-1"/>
              </w:rPr>
              <w:t>(but</w:t>
            </w:r>
            <w:r>
              <w:rPr>
                <w:rFonts w:ascii="Arial"/>
                <w:spacing w:val="24"/>
              </w:rPr>
              <w:t xml:space="preserve"> </w:t>
            </w:r>
            <w:r>
              <w:rPr>
                <w:rFonts w:ascii="Arial"/>
                <w:spacing w:val="-1"/>
              </w:rPr>
              <w:t>not</w:t>
            </w:r>
            <w:r>
              <w:rPr>
                <w:rFonts w:ascii="Arial"/>
                <w:spacing w:val="26"/>
              </w:rPr>
              <w:t xml:space="preserve"> </w:t>
            </w:r>
            <w:r>
              <w:rPr>
                <w:rFonts w:ascii="Arial"/>
                <w:spacing w:val="-1"/>
              </w:rPr>
              <w:t>limited</w:t>
            </w:r>
            <w:r>
              <w:rPr>
                <w:rFonts w:ascii="Arial"/>
                <w:spacing w:val="22"/>
              </w:rPr>
              <w:t xml:space="preserve"> </w:t>
            </w:r>
            <w:r>
              <w:rPr>
                <w:rFonts w:ascii="Arial"/>
              </w:rPr>
              <w:t>to)</w:t>
            </w:r>
            <w:r>
              <w:rPr>
                <w:rFonts w:ascii="Arial"/>
                <w:spacing w:val="23"/>
              </w:rPr>
              <w:t xml:space="preserve"> </w:t>
            </w:r>
            <w:r>
              <w:rPr>
                <w:rFonts w:ascii="Arial"/>
                <w:spacing w:val="-1"/>
              </w:rPr>
              <w:t>database</w:t>
            </w:r>
            <w:r>
              <w:rPr>
                <w:rFonts w:ascii="Arial"/>
                <w:spacing w:val="26"/>
              </w:rPr>
              <w:t xml:space="preserve"> </w:t>
            </w:r>
            <w:r>
              <w:rPr>
                <w:rFonts w:ascii="Arial"/>
                <w:spacing w:val="-1"/>
              </w:rPr>
              <w:t>schema;</w:t>
            </w:r>
            <w:r>
              <w:rPr>
                <w:rFonts w:ascii="Arial"/>
                <w:spacing w:val="2"/>
              </w:rPr>
              <w:t xml:space="preserve"> </w:t>
            </w:r>
            <w:r>
              <w:rPr>
                <w:rFonts w:ascii="Arial"/>
                <w:spacing w:val="-1"/>
              </w:rPr>
              <w:t>and/or</w:t>
            </w:r>
          </w:p>
          <w:p w:rsidR="008918FA" w:rsidRDefault="008918FA" w:rsidP="005D2B81">
            <w:pPr>
              <w:pStyle w:val="ListParagraph"/>
              <w:numPr>
                <w:ilvl w:val="0"/>
                <w:numId w:val="38"/>
              </w:numPr>
              <w:tabs>
                <w:tab w:val="left" w:pos="820"/>
              </w:tabs>
              <w:spacing w:before="121"/>
              <w:ind w:right="101" w:hanging="544"/>
              <w:jc w:val="both"/>
              <w:rPr>
                <w:rFonts w:ascii="Arial" w:eastAsia="Arial" w:hAnsi="Arial" w:cs="Arial"/>
              </w:rPr>
            </w:pPr>
            <w:r>
              <w:rPr>
                <w:rFonts w:ascii="Arial" w:eastAsia="Arial" w:hAnsi="Arial" w:cs="Arial"/>
              </w:rPr>
              <w:t>IPR</w:t>
            </w:r>
            <w:r>
              <w:rPr>
                <w:rFonts w:ascii="Arial" w:eastAsia="Arial" w:hAnsi="Arial" w:cs="Arial"/>
                <w:spacing w:val="31"/>
              </w:rPr>
              <w:t xml:space="preserve"> </w:t>
            </w:r>
            <w:r>
              <w:rPr>
                <w:rFonts w:ascii="Arial" w:eastAsia="Arial" w:hAnsi="Arial" w:cs="Arial"/>
                <w:spacing w:val="-1"/>
              </w:rPr>
              <w:t>in</w:t>
            </w:r>
            <w:r>
              <w:rPr>
                <w:rFonts w:ascii="Arial" w:eastAsia="Arial" w:hAnsi="Arial" w:cs="Arial"/>
                <w:spacing w:val="31"/>
              </w:rPr>
              <w:t xml:space="preserve"> </w:t>
            </w:r>
            <w:r>
              <w:rPr>
                <w:rFonts w:ascii="Arial" w:eastAsia="Arial" w:hAnsi="Arial" w:cs="Arial"/>
                <w:spacing w:val="-1"/>
              </w:rPr>
              <w:t>or</w:t>
            </w:r>
            <w:r>
              <w:rPr>
                <w:rFonts w:ascii="Arial" w:eastAsia="Arial" w:hAnsi="Arial" w:cs="Arial"/>
                <w:spacing w:val="33"/>
              </w:rPr>
              <w:t xml:space="preserve"> </w:t>
            </w:r>
            <w:r>
              <w:rPr>
                <w:rFonts w:ascii="Arial" w:eastAsia="Arial" w:hAnsi="Arial" w:cs="Arial"/>
                <w:spacing w:val="-1"/>
              </w:rPr>
              <w:t>arising</w:t>
            </w:r>
            <w:r>
              <w:rPr>
                <w:rFonts w:ascii="Arial" w:eastAsia="Arial" w:hAnsi="Arial" w:cs="Arial"/>
                <w:spacing w:val="34"/>
              </w:rPr>
              <w:t xml:space="preserve"> </w:t>
            </w:r>
            <w:r>
              <w:rPr>
                <w:rFonts w:ascii="Arial" w:eastAsia="Arial" w:hAnsi="Arial" w:cs="Arial"/>
                <w:spacing w:val="-1"/>
              </w:rPr>
              <w:t>as</w:t>
            </w:r>
            <w:r>
              <w:rPr>
                <w:rFonts w:ascii="Arial" w:eastAsia="Arial" w:hAnsi="Arial" w:cs="Arial"/>
                <w:spacing w:val="32"/>
              </w:rPr>
              <w:t xml:space="preserve"> </w:t>
            </w:r>
            <w:r>
              <w:rPr>
                <w:rFonts w:ascii="Arial" w:eastAsia="Arial" w:hAnsi="Arial" w:cs="Arial"/>
              </w:rPr>
              <w:t>a</w:t>
            </w:r>
            <w:r>
              <w:rPr>
                <w:rFonts w:ascii="Arial" w:eastAsia="Arial" w:hAnsi="Arial" w:cs="Arial"/>
                <w:spacing w:val="31"/>
              </w:rPr>
              <w:t xml:space="preserve"> </w:t>
            </w:r>
            <w:r>
              <w:rPr>
                <w:rFonts w:ascii="Arial" w:eastAsia="Arial" w:hAnsi="Arial" w:cs="Arial"/>
                <w:spacing w:val="-1"/>
              </w:rPr>
              <w:t>result</w:t>
            </w:r>
            <w:r>
              <w:rPr>
                <w:rFonts w:ascii="Arial" w:eastAsia="Arial" w:hAnsi="Arial" w:cs="Arial"/>
                <w:spacing w:val="34"/>
              </w:rPr>
              <w:t xml:space="preserve"> </w:t>
            </w:r>
            <w:r>
              <w:rPr>
                <w:rFonts w:ascii="Arial" w:eastAsia="Arial" w:hAnsi="Arial" w:cs="Arial"/>
                <w:spacing w:val="-2"/>
              </w:rPr>
              <w:t>of</w:t>
            </w:r>
            <w:r>
              <w:rPr>
                <w:rFonts w:ascii="Arial" w:eastAsia="Arial" w:hAnsi="Arial" w:cs="Arial"/>
                <w:spacing w:val="35"/>
              </w:rPr>
              <w:t xml:space="preserve"> </w:t>
            </w:r>
            <w:r>
              <w:rPr>
                <w:rFonts w:ascii="Arial" w:eastAsia="Arial" w:hAnsi="Arial" w:cs="Arial"/>
              </w:rPr>
              <w:t>the</w:t>
            </w:r>
            <w:r>
              <w:rPr>
                <w:rFonts w:ascii="Arial" w:eastAsia="Arial" w:hAnsi="Arial" w:cs="Arial"/>
                <w:spacing w:val="31"/>
              </w:rPr>
              <w:t xml:space="preserve"> </w:t>
            </w:r>
            <w:r>
              <w:rPr>
                <w:rFonts w:ascii="Arial" w:eastAsia="Arial" w:hAnsi="Arial" w:cs="Arial"/>
                <w:spacing w:val="-1"/>
              </w:rPr>
              <w:t>performance</w:t>
            </w:r>
            <w:r>
              <w:rPr>
                <w:rFonts w:ascii="Arial" w:eastAsia="Arial" w:hAnsi="Arial" w:cs="Arial"/>
                <w:spacing w:val="31"/>
              </w:rPr>
              <w:t xml:space="preserve"> </w:t>
            </w:r>
            <w:r>
              <w:rPr>
                <w:rFonts w:ascii="Arial" w:eastAsia="Arial" w:hAnsi="Arial" w:cs="Arial"/>
                <w:spacing w:val="-2"/>
              </w:rPr>
              <w:t>of</w:t>
            </w:r>
            <w:r>
              <w:rPr>
                <w:rFonts w:ascii="Arial" w:eastAsia="Arial" w:hAnsi="Arial" w:cs="Arial"/>
                <w:spacing w:val="28"/>
              </w:rPr>
              <w:t xml:space="preserve"> </w:t>
            </w:r>
            <w:r>
              <w:rPr>
                <w:rFonts w:ascii="Arial" w:eastAsia="Arial" w:hAnsi="Arial" w:cs="Arial"/>
              </w:rPr>
              <w:t>the</w:t>
            </w:r>
            <w:r>
              <w:rPr>
                <w:rFonts w:ascii="Arial" w:eastAsia="Arial" w:hAnsi="Arial" w:cs="Arial"/>
                <w:spacing w:val="20"/>
              </w:rPr>
              <w:t xml:space="preserve"> </w:t>
            </w:r>
            <w:r>
              <w:rPr>
                <w:rFonts w:ascii="Arial" w:eastAsia="Arial" w:hAnsi="Arial" w:cs="Arial"/>
                <w:spacing w:val="-2"/>
              </w:rPr>
              <w:t>Supplier’s</w:t>
            </w:r>
            <w:r>
              <w:rPr>
                <w:rFonts w:ascii="Arial" w:eastAsia="Arial" w:hAnsi="Arial" w:cs="Arial"/>
                <w:spacing w:val="20"/>
              </w:rPr>
              <w:t xml:space="preserve"> </w:t>
            </w:r>
            <w:r>
              <w:rPr>
                <w:rFonts w:ascii="Arial" w:eastAsia="Arial" w:hAnsi="Arial" w:cs="Arial"/>
                <w:spacing w:val="-1"/>
              </w:rPr>
              <w:t>obligations</w:t>
            </w:r>
            <w:r>
              <w:rPr>
                <w:rFonts w:ascii="Arial" w:eastAsia="Arial" w:hAnsi="Arial" w:cs="Arial"/>
                <w:spacing w:val="20"/>
              </w:rPr>
              <w:t xml:space="preserve"> </w:t>
            </w:r>
            <w:r>
              <w:rPr>
                <w:rFonts w:ascii="Arial" w:eastAsia="Arial" w:hAnsi="Arial" w:cs="Arial"/>
                <w:spacing w:val="-1"/>
              </w:rPr>
              <w:t>under</w:t>
            </w:r>
            <w:r>
              <w:rPr>
                <w:rFonts w:ascii="Arial" w:eastAsia="Arial" w:hAnsi="Arial" w:cs="Arial"/>
                <w:spacing w:val="21"/>
              </w:rPr>
              <w:t xml:space="preserve"> </w:t>
            </w:r>
            <w:r>
              <w:rPr>
                <w:rFonts w:ascii="Arial" w:eastAsia="Arial" w:hAnsi="Arial" w:cs="Arial"/>
                <w:spacing w:val="-1"/>
              </w:rPr>
              <w:t>this</w:t>
            </w:r>
            <w:r>
              <w:rPr>
                <w:rFonts w:ascii="Arial" w:eastAsia="Arial" w:hAnsi="Arial" w:cs="Arial"/>
                <w:spacing w:val="20"/>
              </w:rPr>
              <w:t xml:space="preserve"> </w:t>
            </w:r>
            <w:r>
              <w:rPr>
                <w:rFonts w:ascii="Arial" w:eastAsia="Arial" w:hAnsi="Arial" w:cs="Arial"/>
                <w:spacing w:val="-2"/>
              </w:rPr>
              <w:t>Call</w:t>
            </w:r>
            <w:r>
              <w:rPr>
                <w:rFonts w:ascii="Arial" w:eastAsia="Arial" w:hAnsi="Arial" w:cs="Arial"/>
                <w:spacing w:val="17"/>
              </w:rPr>
              <w:t xml:space="preserve"> </w:t>
            </w:r>
            <w:r>
              <w:rPr>
                <w:rFonts w:ascii="Arial" w:eastAsia="Arial" w:hAnsi="Arial" w:cs="Arial"/>
                <w:spacing w:val="-1"/>
              </w:rPr>
              <w:t>Off</w:t>
            </w:r>
            <w:r>
              <w:rPr>
                <w:rFonts w:ascii="Arial" w:eastAsia="Arial" w:hAnsi="Arial" w:cs="Arial"/>
                <w:spacing w:val="37"/>
              </w:rPr>
              <w:t xml:space="preserve"> </w:t>
            </w:r>
            <w:r>
              <w:rPr>
                <w:rFonts w:ascii="Arial" w:eastAsia="Arial" w:hAnsi="Arial" w:cs="Arial"/>
                <w:spacing w:val="-1"/>
              </w:rPr>
              <w:t>Contract</w:t>
            </w:r>
            <w:r>
              <w:rPr>
                <w:rFonts w:ascii="Arial" w:eastAsia="Arial" w:hAnsi="Arial" w:cs="Arial"/>
                <w:spacing w:val="52"/>
              </w:rPr>
              <w:t xml:space="preserve"> </w:t>
            </w:r>
            <w:r>
              <w:rPr>
                <w:rFonts w:ascii="Arial" w:eastAsia="Arial" w:hAnsi="Arial" w:cs="Arial"/>
                <w:spacing w:val="-1"/>
              </w:rPr>
              <w:t>and</w:t>
            </w:r>
            <w:r>
              <w:rPr>
                <w:rFonts w:ascii="Arial" w:eastAsia="Arial" w:hAnsi="Arial" w:cs="Arial"/>
                <w:spacing w:val="51"/>
              </w:rPr>
              <w:t xml:space="preserve"> </w:t>
            </w:r>
            <w:r>
              <w:rPr>
                <w:rFonts w:ascii="Arial" w:eastAsia="Arial" w:hAnsi="Arial" w:cs="Arial"/>
                <w:spacing w:val="-1"/>
              </w:rPr>
              <w:t>all</w:t>
            </w:r>
            <w:r>
              <w:rPr>
                <w:rFonts w:ascii="Arial" w:eastAsia="Arial" w:hAnsi="Arial" w:cs="Arial"/>
                <w:spacing w:val="50"/>
              </w:rPr>
              <w:t xml:space="preserve"> </w:t>
            </w:r>
            <w:r>
              <w:rPr>
                <w:rFonts w:ascii="Arial" w:eastAsia="Arial" w:hAnsi="Arial" w:cs="Arial"/>
                <w:spacing w:val="-1"/>
              </w:rPr>
              <w:t>updates</w:t>
            </w:r>
            <w:r>
              <w:rPr>
                <w:rFonts w:ascii="Arial" w:eastAsia="Arial" w:hAnsi="Arial" w:cs="Arial"/>
                <w:spacing w:val="51"/>
              </w:rPr>
              <w:t xml:space="preserve"> </w:t>
            </w:r>
            <w:r>
              <w:rPr>
                <w:rFonts w:ascii="Arial" w:eastAsia="Arial" w:hAnsi="Arial" w:cs="Arial"/>
                <w:spacing w:val="-1"/>
              </w:rPr>
              <w:t>and</w:t>
            </w:r>
            <w:r>
              <w:rPr>
                <w:rFonts w:ascii="Arial" w:eastAsia="Arial" w:hAnsi="Arial" w:cs="Arial"/>
                <w:spacing w:val="51"/>
              </w:rPr>
              <w:t xml:space="preserve"> </w:t>
            </w:r>
            <w:r>
              <w:rPr>
                <w:rFonts w:ascii="Arial" w:eastAsia="Arial" w:hAnsi="Arial" w:cs="Arial"/>
                <w:spacing w:val="-1"/>
              </w:rPr>
              <w:t>amendments</w:t>
            </w:r>
            <w:r>
              <w:rPr>
                <w:rFonts w:ascii="Arial" w:eastAsia="Arial" w:hAnsi="Arial" w:cs="Arial"/>
                <w:spacing w:val="51"/>
              </w:rPr>
              <w:t xml:space="preserve"> </w:t>
            </w:r>
            <w:r>
              <w:rPr>
                <w:rFonts w:ascii="Arial" w:eastAsia="Arial" w:hAnsi="Arial" w:cs="Arial"/>
              </w:rPr>
              <w:t>to</w:t>
            </w:r>
            <w:r>
              <w:rPr>
                <w:rFonts w:ascii="Arial" w:eastAsia="Arial" w:hAnsi="Arial" w:cs="Arial"/>
                <w:spacing w:val="52"/>
              </w:rPr>
              <w:t xml:space="preserve"> </w:t>
            </w:r>
            <w:r>
              <w:rPr>
                <w:rFonts w:ascii="Arial" w:eastAsia="Arial" w:hAnsi="Arial" w:cs="Arial"/>
                <w:spacing w:val="-2"/>
              </w:rPr>
              <w:t>the</w:t>
            </w:r>
            <w:r>
              <w:rPr>
                <w:rFonts w:ascii="Arial" w:eastAsia="Arial" w:hAnsi="Arial" w:cs="Arial"/>
                <w:spacing w:val="24"/>
              </w:rPr>
              <w:t xml:space="preserve"> </w:t>
            </w:r>
            <w:r>
              <w:rPr>
                <w:rFonts w:ascii="Arial" w:eastAsia="Arial" w:hAnsi="Arial" w:cs="Arial"/>
                <w:spacing w:val="-1"/>
              </w:rPr>
              <w:t>same;</w:t>
            </w:r>
          </w:p>
          <w:p w:rsidR="008918FA" w:rsidRDefault="008918FA" w:rsidP="005D2B81">
            <w:pPr>
              <w:pStyle w:val="TableParagraph"/>
              <w:spacing w:before="119"/>
              <w:ind w:left="270"/>
              <w:rPr>
                <w:rFonts w:ascii="Arial" w:eastAsia="Arial" w:hAnsi="Arial" w:cs="Arial"/>
              </w:rPr>
            </w:pPr>
            <w:r>
              <w:rPr>
                <w:rFonts w:ascii="Arial"/>
                <w:spacing w:val="-1"/>
              </w:rPr>
              <w:t>but</w:t>
            </w:r>
            <w:r>
              <w:rPr>
                <w:rFonts w:ascii="Arial"/>
                <w:spacing w:val="2"/>
              </w:rPr>
              <w:t xml:space="preserve"> </w:t>
            </w:r>
            <w:r>
              <w:rPr>
                <w:rFonts w:ascii="Arial"/>
                <w:spacing w:val="-1"/>
              </w:rPr>
              <w:t>shall</w:t>
            </w:r>
            <w:r>
              <w:rPr>
                <w:rFonts w:ascii="Arial"/>
              </w:rPr>
              <w:t xml:space="preserve"> </w:t>
            </w:r>
            <w:r>
              <w:rPr>
                <w:rFonts w:ascii="Arial"/>
                <w:spacing w:val="-2"/>
              </w:rPr>
              <w:t>not</w:t>
            </w:r>
            <w:r>
              <w:rPr>
                <w:rFonts w:ascii="Arial"/>
                <w:spacing w:val="2"/>
              </w:rPr>
              <w:t xml:space="preserve"> </w:t>
            </w:r>
            <w:r>
              <w:rPr>
                <w:rFonts w:ascii="Arial"/>
                <w:spacing w:val="-1"/>
              </w:rPr>
              <w:t>include</w:t>
            </w:r>
            <w:r>
              <w:rPr>
                <w:rFonts w:ascii="Arial"/>
                <w:spacing w:val="-2"/>
              </w:rPr>
              <w:t xml:space="preserve"> </w:t>
            </w:r>
            <w:r>
              <w:rPr>
                <w:rFonts w:ascii="Arial"/>
              </w:rPr>
              <w:t>the</w:t>
            </w:r>
            <w:r>
              <w:rPr>
                <w:rFonts w:ascii="Arial"/>
                <w:spacing w:val="-2"/>
              </w:rPr>
              <w:t xml:space="preserve"> Supplier</w:t>
            </w:r>
            <w:r>
              <w:rPr>
                <w:rFonts w:ascii="Arial"/>
                <w:spacing w:val="2"/>
              </w:rPr>
              <w:t xml:space="preserve"> </w:t>
            </w:r>
            <w:r>
              <w:rPr>
                <w:rFonts w:ascii="Arial"/>
                <w:spacing w:val="-1"/>
              </w:rPr>
              <w:t>Background</w:t>
            </w:r>
            <w:r>
              <w:rPr>
                <w:rFonts w:ascii="Arial"/>
                <w:spacing w:val="-2"/>
              </w:rPr>
              <w:t xml:space="preserve"> IPR;</w:t>
            </w:r>
          </w:p>
        </w:tc>
      </w:tr>
      <w:tr w:rsidR="008918FA" w:rsidTr="005D2B81">
        <w:trPr>
          <w:trHeight w:hRule="exact" w:val="636"/>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"Recipient"</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tabs>
                <w:tab w:val="left" w:pos="860"/>
                <w:tab w:val="left" w:pos="1402"/>
                <w:tab w:val="left" w:pos="2479"/>
                <w:tab w:val="left" w:pos="3237"/>
                <w:tab w:val="left" w:pos="3657"/>
                <w:tab w:val="left" w:pos="4003"/>
                <w:tab w:val="left" w:pos="4408"/>
                <w:tab w:val="left" w:pos="5331"/>
              </w:tabs>
              <w:spacing w:line="241" w:lineRule="auto"/>
              <w:ind w:left="270" w:right="97"/>
              <w:rPr>
                <w:rFonts w:ascii="Arial" w:eastAsia="Arial" w:hAnsi="Arial" w:cs="Arial"/>
              </w:rPr>
            </w:pPr>
            <w:r>
              <w:rPr>
                <w:rFonts w:ascii="Arial"/>
                <w:spacing w:val="-1"/>
              </w:rPr>
              <w:t>has</w:t>
            </w:r>
            <w:r>
              <w:rPr>
                <w:rFonts w:ascii="Arial"/>
                <w:spacing w:val="-1"/>
              </w:rPr>
              <w:tab/>
            </w:r>
            <w:r>
              <w:rPr>
                <w:rFonts w:ascii="Arial"/>
              </w:rPr>
              <w:t>the</w:t>
            </w:r>
            <w:r>
              <w:rPr>
                <w:rFonts w:ascii="Arial"/>
              </w:rPr>
              <w:tab/>
            </w:r>
            <w:r>
              <w:rPr>
                <w:rFonts w:ascii="Arial"/>
                <w:spacing w:val="-2"/>
              </w:rPr>
              <w:t>meaning</w:t>
            </w:r>
            <w:r>
              <w:rPr>
                <w:rFonts w:ascii="Arial"/>
                <w:spacing w:val="-2"/>
              </w:rPr>
              <w:tab/>
              <w:t>given</w:t>
            </w:r>
            <w:r>
              <w:rPr>
                <w:rFonts w:ascii="Arial"/>
                <w:spacing w:val="-2"/>
              </w:rPr>
              <w:tab/>
            </w:r>
            <w:r>
              <w:rPr>
                <w:rFonts w:ascii="Arial"/>
              </w:rPr>
              <w:t>to</w:t>
            </w:r>
            <w:r>
              <w:rPr>
                <w:rFonts w:ascii="Arial"/>
              </w:rPr>
              <w:tab/>
            </w:r>
            <w:r>
              <w:rPr>
                <w:rFonts w:ascii="Arial"/>
                <w:spacing w:val="-1"/>
              </w:rPr>
              <w:t>it</w:t>
            </w:r>
            <w:r>
              <w:rPr>
                <w:rFonts w:ascii="Arial"/>
                <w:spacing w:val="-1"/>
              </w:rPr>
              <w:tab/>
            </w:r>
            <w:r>
              <w:rPr>
                <w:rFonts w:ascii="Arial"/>
                <w:spacing w:val="-1"/>
                <w:w w:val="95"/>
              </w:rPr>
              <w:t>in</w:t>
            </w:r>
            <w:r>
              <w:rPr>
                <w:rFonts w:ascii="Arial"/>
                <w:spacing w:val="-1"/>
                <w:w w:val="95"/>
              </w:rPr>
              <w:tab/>
            </w:r>
            <w:r>
              <w:rPr>
                <w:rFonts w:ascii="Arial"/>
                <w:spacing w:val="-2"/>
              </w:rPr>
              <w:t>Clause</w:t>
            </w:r>
            <w:r>
              <w:rPr>
                <w:rFonts w:ascii="Arial"/>
                <w:spacing w:val="-2"/>
              </w:rPr>
              <w:tab/>
            </w:r>
            <w:hyperlink w:anchor="_bookmark185" w:history="1">
              <w:r>
                <w:rPr>
                  <w:rFonts w:ascii="Arial"/>
                  <w:spacing w:val="-1"/>
                </w:rPr>
                <w:t>34.3.1</w:t>
              </w:r>
            </w:hyperlink>
            <w:r>
              <w:rPr>
                <w:rFonts w:ascii="Arial"/>
                <w:spacing w:val="45"/>
              </w:rPr>
              <w:t xml:space="preserve"> </w:t>
            </w:r>
            <w:r>
              <w:rPr>
                <w:rFonts w:ascii="Arial"/>
                <w:spacing w:val="-1"/>
              </w:rPr>
              <w:t>(Confidentiality);</w:t>
            </w:r>
          </w:p>
        </w:tc>
      </w:tr>
    </w:tbl>
    <w:p w:rsidR="008918FA" w:rsidRDefault="008918FA" w:rsidP="008918FA">
      <w:pPr>
        <w:spacing w:line="241" w:lineRule="auto"/>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641"/>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"Rectification</w:t>
            </w:r>
            <w:r>
              <w:rPr>
                <w:rFonts w:ascii="Arial"/>
                <w:b/>
                <w:spacing w:val="-2"/>
              </w:rPr>
              <w:t xml:space="preserve"> </w:t>
            </w:r>
            <w:r>
              <w:rPr>
                <w:rFonts w:ascii="Arial"/>
                <w:b/>
                <w:spacing w:val="-1"/>
              </w:rPr>
              <w:t>Plan"</w:t>
            </w:r>
          </w:p>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99"/>
              <w:rPr>
                <w:rFonts w:ascii="Arial" w:eastAsia="Arial" w:hAnsi="Arial" w:cs="Arial"/>
              </w:rPr>
            </w:pPr>
            <w:r>
              <w:rPr>
                <w:rFonts w:ascii="Arial"/>
                <w:spacing w:val="-1"/>
              </w:rPr>
              <w:t>means</w:t>
            </w:r>
            <w:r>
              <w:rPr>
                <w:rFonts w:ascii="Arial"/>
                <w:spacing w:val="27"/>
              </w:rPr>
              <w:t xml:space="preserve"> </w:t>
            </w:r>
            <w:r>
              <w:rPr>
                <w:rFonts w:ascii="Arial"/>
              </w:rPr>
              <w:t>the</w:t>
            </w:r>
            <w:r>
              <w:rPr>
                <w:rFonts w:ascii="Arial"/>
                <w:spacing w:val="29"/>
              </w:rPr>
              <w:t xml:space="preserve"> </w:t>
            </w:r>
            <w:r>
              <w:rPr>
                <w:rFonts w:ascii="Arial"/>
                <w:spacing w:val="-1"/>
              </w:rPr>
              <w:t>rectification</w:t>
            </w:r>
            <w:r>
              <w:rPr>
                <w:rFonts w:ascii="Arial"/>
                <w:spacing w:val="27"/>
              </w:rPr>
              <w:t xml:space="preserve"> </w:t>
            </w:r>
            <w:r>
              <w:rPr>
                <w:rFonts w:ascii="Arial"/>
                <w:spacing w:val="-1"/>
              </w:rPr>
              <w:t>plan</w:t>
            </w:r>
            <w:r>
              <w:rPr>
                <w:rFonts w:ascii="Arial"/>
                <w:spacing w:val="29"/>
              </w:rPr>
              <w:t xml:space="preserve"> </w:t>
            </w:r>
            <w:r>
              <w:rPr>
                <w:rFonts w:ascii="Arial"/>
                <w:spacing w:val="-1"/>
              </w:rPr>
              <w:t>pursuant</w:t>
            </w:r>
            <w:r>
              <w:rPr>
                <w:rFonts w:ascii="Arial"/>
                <w:spacing w:val="28"/>
              </w:rPr>
              <w:t xml:space="preserve"> </w:t>
            </w:r>
            <w:r>
              <w:rPr>
                <w:rFonts w:ascii="Arial"/>
              </w:rPr>
              <w:t>to</w:t>
            </w:r>
            <w:r>
              <w:rPr>
                <w:rFonts w:ascii="Arial"/>
                <w:spacing w:val="27"/>
              </w:rPr>
              <w:t xml:space="preserve"> </w:t>
            </w:r>
            <w:r>
              <w:rPr>
                <w:rFonts w:ascii="Arial"/>
              </w:rPr>
              <w:t>the</w:t>
            </w:r>
            <w:r>
              <w:rPr>
                <w:rFonts w:ascii="Arial"/>
                <w:spacing w:val="29"/>
              </w:rPr>
              <w:t xml:space="preserve"> </w:t>
            </w:r>
            <w:r>
              <w:rPr>
                <w:rFonts w:ascii="Arial"/>
                <w:spacing w:val="-1"/>
              </w:rPr>
              <w:t>Rectification</w:t>
            </w:r>
            <w:r>
              <w:rPr>
                <w:rFonts w:ascii="Arial"/>
                <w:spacing w:val="22"/>
              </w:rPr>
              <w:t xml:space="preserve"> </w:t>
            </w:r>
            <w:r>
              <w:rPr>
                <w:rFonts w:ascii="Arial"/>
                <w:spacing w:val="-1"/>
              </w:rPr>
              <w:t>Plan</w:t>
            </w:r>
            <w:r>
              <w:rPr>
                <w:rFonts w:ascii="Arial"/>
              </w:rPr>
              <w:t xml:space="preserve"> </w:t>
            </w:r>
            <w:r>
              <w:rPr>
                <w:rFonts w:ascii="Arial"/>
                <w:spacing w:val="-1"/>
              </w:rPr>
              <w:t>Process;</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445"/>
              <w:rPr>
                <w:rFonts w:ascii="Arial" w:eastAsia="Arial" w:hAnsi="Arial" w:cs="Arial"/>
              </w:rPr>
            </w:pPr>
            <w:r>
              <w:rPr>
                <w:rFonts w:ascii="Arial"/>
                <w:b/>
                <w:spacing w:val="-1"/>
              </w:rPr>
              <w:t>"Rectification</w:t>
            </w:r>
            <w:r>
              <w:rPr>
                <w:rFonts w:ascii="Arial"/>
                <w:b/>
                <w:spacing w:val="-2"/>
              </w:rPr>
              <w:t xml:space="preserve"> </w:t>
            </w:r>
            <w:r>
              <w:rPr>
                <w:rFonts w:ascii="Arial"/>
                <w:b/>
                <w:spacing w:val="-1"/>
              </w:rPr>
              <w:t>Plan</w:t>
            </w:r>
            <w:r>
              <w:rPr>
                <w:rFonts w:ascii="Arial"/>
                <w:b/>
                <w:spacing w:val="27"/>
              </w:rPr>
              <w:t xml:space="preserve"> </w:t>
            </w:r>
            <w:r>
              <w:rPr>
                <w:rFonts w:ascii="Arial"/>
                <w:b/>
                <w:spacing w:val="-1"/>
              </w:rPr>
              <w:t>Process"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99"/>
              <w:rPr>
                <w:rFonts w:ascii="Arial" w:eastAsia="Arial" w:hAnsi="Arial" w:cs="Arial"/>
              </w:rPr>
            </w:pPr>
            <w:r>
              <w:rPr>
                <w:rFonts w:ascii="Arial"/>
                <w:spacing w:val="-1"/>
              </w:rPr>
              <w:t>means</w:t>
            </w:r>
            <w:r>
              <w:rPr>
                <w:rFonts w:ascii="Arial"/>
                <w:spacing w:val="34"/>
              </w:rPr>
              <w:t xml:space="preserve"> </w:t>
            </w:r>
            <w:r>
              <w:rPr>
                <w:rFonts w:ascii="Arial"/>
              </w:rPr>
              <w:t>the</w:t>
            </w:r>
            <w:r>
              <w:rPr>
                <w:rFonts w:ascii="Arial"/>
                <w:spacing w:val="36"/>
              </w:rPr>
              <w:t xml:space="preserve"> </w:t>
            </w:r>
            <w:r>
              <w:rPr>
                <w:rFonts w:ascii="Arial"/>
                <w:spacing w:val="-1"/>
              </w:rPr>
              <w:t>process</w:t>
            </w:r>
            <w:r>
              <w:rPr>
                <w:rFonts w:ascii="Arial"/>
                <w:spacing w:val="37"/>
              </w:rPr>
              <w:t xml:space="preserve"> </w:t>
            </w:r>
            <w:r>
              <w:rPr>
                <w:rFonts w:ascii="Arial"/>
                <w:spacing w:val="-2"/>
              </w:rPr>
              <w:t>set</w:t>
            </w:r>
            <w:r>
              <w:rPr>
                <w:rFonts w:ascii="Arial"/>
                <w:spacing w:val="35"/>
              </w:rPr>
              <w:t xml:space="preserve"> </w:t>
            </w:r>
            <w:r>
              <w:rPr>
                <w:rFonts w:ascii="Arial"/>
                <w:spacing w:val="-1"/>
              </w:rPr>
              <w:t>out</w:t>
            </w:r>
            <w:r>
              <w:rPr>
                <w:rFonts w:ascii="Arial"/>
                <w:spacing w:val="38"/>
              </w:rPr>
              <w:t xml:space="preserve"> </w:t>
            </w:r>
            <w:r>
              <w:rPr>
                <w:rFonts w:ascii="Arial"/>
                <w:spacing w:val="-1"/>
              </w:rPr>
              <w:t>in</w:t>
            </w:r>
            <w:r>
              <w:rPr>
                <w:rFonts w:ascii="Arial"/>
                <w:spacing w:val="36"/>
              </w:rPr>
              <w:t xml:space="preserve"> </w:t>
            </w:r>
            <w:r>
              <w:rPr>
                <w:rFonts w:ascii="Arial"/>
                <w:spacing w:val="-2"/>
              </w:rPr>
              <w:t>Clause</w:t>
            </w:r>
            <w:r>
              <w:rPr>
                <w:rFonts w:ascii="Arial"/>
                <w:spacing w:val="38"/>
              </w:rPr>
              <w:t xml:space="preserve"> </w:t>
            </w:r>
            <w:hyperlink w:anchor="_bookmark220" w:history="1">
              <w:r>
                <w:rPr>
                  <w:rFonts w:ascii="Arial"/>
                  <w:spacing w:val="-1"/>
                </w:rPr>
                <w:t>38.2</w:t>
              </w:r>
            </w:hyperlink>
            <w:r>
              <w:rPr>
                <w:rFonts w:ascii="Arial"/>
                <w:spacing w:val="34"/>
              </w:rPr>
              <w:t xml:space="preserve"> </w:t>
            </w:r>
            <w:r>
              <w:rPr>
                <w:rFonts w:ascii="Arial"/>
                <w:spacing w:val="-1"/>
              </w:rPr>
              <w:t>(Rectification</w:t>
            </w:r>
            <w:r>
              <w:rPr>
                <w:rFonts w:ascii="Arial"/>
                <w:spacing w:val="33"/>
              </w:rPr>
              <w:t xml:space="preserve"> </w:t>
            </w:r>
            <w:r>
              <w:rPr>
                <w:rFonts w:ascii="Arial"/>
                <w:spacing w:val="-1"/>
              </w:rPr>
              <w:t>Plan</w:t>
            </w:r>
            <w:r>
              <w:rPr>
                <w:rFonts w:ascii="Arial"/>
              </w:rPr>
              <w:t xml:space="preserve"> </w:t>
            </w:r>
            <w:r>
              <w:rPr>
                <w:rFonts w:ascii="Arial"/>
                <w:spacing w:val="-1"/>
              </w:rPr>
              <w:t>Process);</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"Registers"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1"/>
              <w:rPr>
                <w:rFonts w:ascii="Arial" w:eastAsia="Arial" w:hAnsi="Arial" w:cs="Arial"/>
              </w:rPr>
            </w:pPr>
            <w:r>
              <w:rPr>
                <w:rFonts w:ascii="Arial"/>
                <w:spacing w:val="-1"/>
              </w:rPr>
              <w:t>has</w:t>
            </w:r>
            <w:r>
              <w:rPr>
                <w:rFonts w:ascii="Arial"/>
                <w:spacing w:val="39"/>
              </w:rPr>
              <w:t xml:space="preserve"> </w:t>
            </w:r>
            <w:r>
              <w:rPr>
                <w:rFonts w:ascii="Arial"/>
              </w:rPr>
              <w:t>the</w:t>
            </w:r>
            <w:r>
              <w:rPr>
                <w:rFonts w:ascii="Arial"/>
                <w:spacing w:val="38"/>
              </w:rPr>
              <w:t xml:space="preserve"> </w:t>
            </w:r>
            <w:r>
              <w:rPr>
                <w:rFonts w:ascii="Arial"/>
                <w:spacing w:val="-2"/>
              </w:rPr>
              <w:t>meaning</w:t>
            </w:r>
            <w:r>
              <w:rPr>
                <w:rFonts w:ascii="Arial"/>
                <w:spacing w:val="41"/>
              </w:rPr>
              <w:t xml:space="preserve"> </w:t>
            </w:r>
            <w:r>
              <w:rPr>
                <w:rFonts w:ascii="Arial"/>
                <w:spacing w:val="-1"/>
              </w:rPr>
              <w:t>given</w:t>
            </w:r>
            <w:r>
              <w:rPr>
                <w:rFonts w:ascii="Arial"/>
                <w:spacing w:val="38"/>
              </w:rPr>
              <w:t xml:space="preserve"> </w:t>
            </w:r>
            <w:r>
              <w:rPr>
                <w:rFonts w:ascii="Arial"/>
              </w:rPr>
              <w:t>to</w:t>
            </w:r>
            <w:r>
              <w:rPr>
                <w:rFonts w:ascii="Arial"/>
                <w:spacing w:val="39"/>
              </w:rPr>
              <w:t xml:space="preserve"> </w:t>
            </w:r>
            <w:r>
              <w:rPr>
                <w:rFonts w:ascii="Arial"/>
                <w:spacing w:val="-1"/>
              </w:rPr>
              <w:t>in</w:t>
            </w:r>
            <w:r>
              <w:rPr>
                <w:rFonts w:ascii="Arial"/>
                <w:spacing w:val="38"/>
              </w:rPr>
              <w:t xml:space="preserve"> </w:t>
            </w:r>
            <w:r>
              <w:rPr>
                <w:rFonts w:ascii="Arial"/>
                <w:spacing w:val="-2"/>
              </w:rPr>
              <w:t>Call</w:t>
            </w:r>
            <w:r>
              <w:rPr>
                <w:rFonts w:ascii="Arial"/>
                <w:spacing w:val="41"/>
              </w:rPr>
              <w:t xml:space="preserve"> </w:t>
            </w:r>
            <w:r>
              <w:rPr>
                <w:rFonts w:ascii="Arial"/>
                <w:spacing w:val="-1"/>
              </w:rPr>
              <w:t>Off</w:t>
            </w:r>
            <w:r>
              <w:rPr>
                <w:rFonts w:ascii="Arial"/>
                <w:spacing w:val="42"/>
              </w:rPr>
              <w:t xml:space="preserve"> </w:t>
            </w:r>
            <w:r>
              <w:rPr>
                <w:rFonts w:ascii="Arial"/>
                <w:spacing w:val="-1"/>
              </w:rPr>
              <w:t>Schedule</w:t>
            </w:r>
            <w:r>
              <w:rPr>
                <w:rFonts w:ascii="Arial"/>
                <w:spacing w:val="38"/>
              </w:rPr>
              <w:t xml:space="preserve"> </w:t>
            </w:r>
            <w:r>
              <w:rPr>
                <w:rFonts w:ascii="Arial"/>
                <w:spacing w:val="1"/>
              </w:rPr>
              <w:t>10</w:t>
            </w:r>
            <w:r>
              <w:rPr>
                <w:rFonts w:ascii="Arial"/>
                <w:spacing w:val="39"/>
              </w:rPr>
              <w:t xml:space="preserve"> </w:t>
            </w:r>
            <w:r>
              <w:rPr>
                <w:rFonts w:ascii="Arial"/>
                <w:spacing w:val="-2"/>
              </w:rPr>
              <w:t>(Exit</w:t>
            </w:r>
            <w:r>
              <w:rPr>
                <w:rFonts w:ascii="Arial"/>
                <w:spacing w:val="39"/>
              </w:rPr>
              <w:t xml:space="preserve"> </w:t>
            </w:r>
            <w:r>
              <w:rPr>
                <w:rFonts w:ascii="Arial"/>
                <w:spacing w:val="-1"/>
              </w:rPr>
              <w:t>Management);</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"Regulations"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22"/>
              </w:rPr>
              <w:t xml:space="preserve"> </w:t>
            </w:r>
            <w:r>
              <w:rPr>
                <w:rFonts w:ascii="Arial"/>
                <w:spacing w:val="-1"/>
              </w:rPr>
              <w:t>the</w:t>
            </w:r>
            <w:r>
              <w:rPr>
                <w:rFonts w:ascii="Arial"/>
                <w:spacing w:val="22"/>
              </w:rPr>
              <w:t xml:space="preserve"> </w:t>
            </w:r>
            <w:r>
              <w:rPr>
                <w:rFonts w:ascii="Arial"/>
                <w:spacing w:val="-2"/>
              </w:rPr>
              <w:t>Public</w:t>
            </w:r>
            <w:r>
              <w:rPr>
                <w:rFonts w:ascii="Arial"/>
                <w:spacing w:val="22"/>
              </w:rPr>
              <w:t xml:space="preserve"> </w:t>
            </w:r>
            <w:r>
              <w:rPr>
                <w:rFonts w:ascii="Arial"/>
                <w:spacing w:val="-1"/>
              </w:rPr>
              <w:t>Contracts</w:t>
            </w:r>
            <w:r>
              <w:rPr>
                <w:rFonts w:ascii="Arial"/>
                <w:spacing w:val="22"/>
              </w:rPr>
              <w:t xml:space="preserve"> </w:t>
            </w:r>
            <w:r>
              <w:rPr>
                <w:rFonts w:ascii="Arial"/>
                <w:spacing w:val="-1"/>
              </w:rPr>
              <w:t>Regulations</w:t>
            </w:r>
            <w:r>
              <w:rPr>
                <w:rFonts w:ascii="Arial"/>
                <w:spacing w:val="22"/>
              </w:rPr>
              <w:t xml:space="preserve"> </w:t>
            </w:r>
            <w:r>
              <w:rPr>
                <w:rFonts w:ascii="Arial"/>
                <w:spacing w:val="-1"/>
              </w:rPr>
              <w:t>2006</w:t>
            </w:r>
            <w:r>
              <w:rPr>
                <w:rFonts w:ascii="Arial"/>
                <w:spacing w:val="22"/>
              </w:rPr>
              <w:t xml:space="preserve"> </w:t>
            </w:r>
            <w:r>
              <w:rPr>
                <w:rFonts w:ascii="Arial"/>
                <w:spacing w:val="-1"/>
              </w:rPr>
              <w:t>and/or</w:t>
            </w:r>
            <w:r>
              <w:rPr>
                <w:rFonts w:ascii="Arial"/>
                <w:spacing w:val="21"/>
              </w:rPr>
              <w:t xml:space="preserve"> </w:t>
            </w:r>
            <w:r>
              <w:rPr>
                <w:rFonts w:ascii="Arial"/>
                <w:spacing w:val="-1"/>
              </w:rPr>
              <w:t>the</w:t>
            </w:r>
            <w:r>
              <w:rPr>
                <w:rFonts w:ascii="Arial"/>
                <w:spacing w:val="32"/>
              </w:rPr>
              <w:t xml:space="preserve"> </w:t>
            </w:r>
            <w:r>
              <w:rPr>
                <w:rFonts w:ascii="Arial"/>
                <w:spacing w:val="-2"/>
              </w:rPr>
              <w:t>Public</w:t>
            </w:r>
            <w:r>
              <w:rPr>
                <w:rFonts w:ascii="Arial"/>
                <w:spacing w:val="21"/>
              </w:rPr>
              <w:t xml:space="preserve"> </w:t>
            </w:r>
            <w:r>
              <w:rPr>
                <w:rFonts w:ascii="Arial"/>
                <w:spacing w:val="-1"/>
              </w:rPr>
              <w:t>Contracts</w:t>
            </w:r>
            <w:r>
              <w:rPr>
                <w:rFonts w:ascii="Arial"/>
                <w:spacing w:val="21"/>
              </w:rPr>
              <w:t xml:space="preserve"> </w:t>
            </w:r>
            <w:r>
              <w:rPr>
                <w:rFonts w:ascii="Arial"/>
                <w:spacing w:val="-1"/>
              </w:rPr>
              <w:t>(Scotland)</w:t>
            </w:r>
            <w:r>
              <w:rPr>
                <w:rFonts w:ascii="Arial"/>
                <w:spacing w:val="22"/>
              </w:rPr>
              <w:t xml:space="preserve"> </w:t>
            </w:r>
            <w:r>
              <w:rPr>
                <w:rFonts w:ascii="Arial"/>
                <w:spacing w:val="-1"/>
              </w:rPr>
              <w:t>Regulations</w:t>
            </w:r>
            <w:r>
              <w:rPr>
                <w:rFonts w:ascii="Arial"/>
                <w:spacing w:val="21"/>
              </w:rPr>
              <w:t xml:space="preserve"> </w:t>
            </w:r>
            <w:r>
              <w:rPr>
                <w:rFonts w:ascii="Arial"/>
                <w:spacing w:val="-1"/>
              </w:rPr>
              <w:t>2012</w:t>
            </w:r>
            <w:r>
              <w:rPr>
                <w:rFonts w:ascii="Arial"/>
                <w:spacing w:val="18"/>
              </w:rPr>
              <w:t xml:space="preserve"> </w:t>
            </w:r>
            <w:r>
              <w:rPr>
                <w:rFonts w:ascii="Arial"/>
                <w:spacing w:val="-1"/>
              </w:rPr>
              <w:t>(as</w:t>
            </w:r>
            <w:r>
              <w:rPr>
                <w:rFonts w:ascii="Arial"/>
                <w:spacing w:val="21"/>
              </w:rPr>
              <w:t xml:space="preserve"> </w:t>
            </w:r>
            <w:r>
              <w:rPr>
                <w:rFonts w:ascii="Arial"/>
                <w:spacing w:val="-1"/>
              </w:rPr>
              <w:t>the</w:t>
            </w:r>
            <w:r>
              <w:rPr>
                <w:rFonts w:ascii="Arial"/>
                <w:spacing w:val="40"/>
              </w:rPr>
              <w:t xml:space="preserve"> </w:t>
            </w:r>
            <w:r>
              <w:rPr>
                <w:rFonts w:ascii="Arial"/>
                <w:spacing w:val="-1"/>
              </w:rPr>
              <w:t>context</w:t>
            </w:r>
            <w:r>
              <w:rPr>
                <w:rFonts w:ascii="Arial"/>
                <w:spacing w:val="2"/>
              </w:rPr>
              <w:t xml:space="preserve"> </w:t>
            </w:r>
            <w:r>
              <w:rPr>
                <w:rFonts w:ascii="Arial"/>
                <w:spacing w:val="-1"/>
              </w:rPr>
              <w:t>requires)</w:t>
            </w:r>
            <w:r>
              <w:rPr>
                <w:rFonts w:ascii="Arial"/>
              </w:rPr>
              <w:t xml:space="preserve"> </w:t>
            </w:r>
            <w:r>
              <w:rPr>
                <w:rFonts w:ascii="Arial"/>
                <w:spacing w:val="-1"/>
              </w:rPr>
              <w:t>as</w:t>
            </w:r>
            <w:r>
              <w:rPr>
                <w:rFonts w:ascii="Arial"/>
                <w:spacing w:val="1"/>
              </w:rPr>
              <w:t xml:space="preserve"> </w:t>
            </w:r>
            <w:r>
              <w:rPr>
                <w:rFonts w:ascii="Arial"/>
                <w:spacing w:val="-2"/>
              </w:rPr>
              <w:t xml:space="preserve">amended </w:t>
            </w:r>
            <w:r>
              <w:rPr>
                <w:rFonts w:ascii="Arial"/>
              </w:rPr>
              <w:t>from</w:t>
            </w:r>
            <w:r>
              <w:rPr>
                <w:rFonts w:ascii="Arial"/>
                <w:spacing w:val="-1"/>
              </w:rPr>
              <w:t xml:space="preserve"> time</w:t>
            </w:r>
            <w:r>
              <w:rPr>
                <w:rFonts w:ascii="Arial"/>
                <w:spacing w:val="-2"/>
              </w:rPr>
              <w:t xml:space="preserve"> </w:t>
            </w:r>
            <w:r>
              <w:rPr>
                <w:rFonts w:ascii="Arial"/>
              </w:rPr>
              <w:t>to</w:t>
            </w:r>
            <w:r>
              <w:rPr>
                <w:rFonts w:ascii="Arial"/>
                <w:spacing w:val="-2"/>
              </w:rPr>
              <w:t xml:space="preserve"> </w:t>
            </w:r>
            <w:r>
              <w:rPr>
                <w:rFonts w:ascii="Arial"/>
                <w:spacing w:val="-1"/>
              </w:rPr>
              <w:t>time;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836"/>
              <w:rPr>
                <w:rFonts w:ascii="Arial" w:eastAsia="Arial" w:hAnsi="Arial" w:cs="Arial"/>
              </w:rPr>
            </w:pPr>
            <w:r>
              <w:rPr>
                <w:rFonts w:ascii="Arial"/>
                <w:b/>
                <w:spacing w:val="-1"/>
              </w:rPr>
              <w:t>"Reimbursable</w:t>
            </w:r>
            <w:r>
              <w:rPr>
                <w:rFonts w:ascii="Arial"/>
                <w:b/>
                <w:spacing w:val="26"/>
              </w:rPr>
              <w:t xml:space="preserve"> </w:t>
            </w:r>
            <w:r>
              <w:rPr>
                <w:rFonts w:ascii="Arial"/>
                <w:b/>
                <w:spacing w:val="-1"/>
              </w:rPr>
              <w:t>Expenses"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before="1" w:line="252" w:lineRule="exact"/>
              <w:ind w:left="270" w:right="102"/>
              <w:rPr>
                <w:rFonts w:ascii="Arial" w:eastAsia="Arial" w:hAnsi="Arial" w:cs="Arial"/>
              </w:rPr>
            </w:pPr>
            <w:r>
              <w:rPr>
                <w:rFonts w:ascii="Arial"/>
                <w:spacing w:val="-1"/>
              </w:rPr>
              <w:t>has</w:t>
            </w:r>
            <w:r>
              <w:rPr>
                <w:rFonts w:ascii="Arial"/>
                <w:spacing w:val="30"/>
              </w:rPr>
              <w:t xml:space="preserve"> </w:t>
            </w:r>
            <w:r>
              <w:rPr>
                <w:rFonts w:ascii="Arial"/>
              </w:rPr>
              <w:t>the</w:t>
            </w:r>
            <w:r>
              <w:rPr>
                <w:rFonts w:ascii="Arial"/>
                <w:spacing w:val="29"/>
              </w:rPr>
              <w:t xml:space="preserve"> </w:t>
            </w:r>
            <w:r>
              <w:rPr>
                <w:rFonts w:ascii="Arial"/>
                <w:spacing w:val="-1"/>
              </w:rPr>
              <w:t>meaning</w:t>
            </w:r>
            <w:r>
              <w:rPr>
                <w:rFonts w:ascii="Arial"/>
                <w:spacing w:val="29"/>
              </w:rPr>
              <w:t xml:space="preserve"> </w:t>
            </w:r>
            <w:r>
              <w:rPr>
                <w:rFonts w:ascii="Arial"/>
                <w:spacing w:val="-1"/>
              </w:rPr>
              <w:t>given</w:t>
            </w:r>
            <w:r>
              <w:rPr>
                <w:rFonts w:ascii="Arial"/>
                <w:spacing w:val="31"/>
              </w:rPr>
              <w:t xml:space="preserve"> </w:t>
            </w:r>
            <w:r>
              <w:rPr>
                <w:rFonts w:ascii="Arial"/>
              </w:rPr>
              <w:t>to</w:t>
            </w:r>
            <w:r>
              <w:rPr>
                <w:rFonts w:ascii="Arial"/>
                <w:spacing w:val="29"/>
              </w:rPr>
              <w:t xml:space="preserve"> </w:t>
            </w:r>
            <w:r>
              <w:rPr>
                <w:rFonts w:ascii="Arial"/>
                <w:spacing w:val="-1"/>
              </w:rPr>
              <w:t>it</w:t>
            </w:r>
            <w:r>
              <w:rPr>
                <w:rFonts w:ascii="Arial"/>
                <w:spacing w:val="30"/>
              </w:rPr>
              <w:t xml:space="preserve"> </w:t>
            </w:r>
            <w:r>
              <w:rPr>
                <w:rFonts w:ascii="Arial"/>
                <w:spacing w:val="-1"/>
              </w:rPr>
              <w:t>in</w:t>
            </w:r>
            <w:r>
              <w:rPr>
                <w:rFonts w:ascii="Arial"/>
                <w:spacing w:val="29"/>
              </w:rPr>
              <w:t xml:space="preserve"> </w:t>
            </w:r>
            <w:r>
              <w:rPr>
                <w:rFonts w:ascii="Arial"/>
                <w:spacing w:val="-1"/>
              </w:rPr>
              <w:t>Call</w:t>
            </w:r>
            <w:r>
              <w:rPr>
                <w:rFonts w:ascii="Arial"/>
                <w:spacing w:val="28"/>
              </w:rPr>
              <w:t xml:space="preserve"> </w:t>
            </w:r>
            <w:r>
              <w:rPr>
                <w:rFonts w:ascii="Arial"/>
              </w:rPr>
              <w:t>Off</w:t>
            </w:r>
            <w:r>
              <w:rPr>
                <w:rFonts w:ascii="Arial"/>
                <w:spacing w:val="34"/>
              </w:rPr>
              <w:t xml:space="preserve"> </w:t>
            </w:r>
            <w:r>
              <w:rPr>
                <w:rFonts w:ascii="Arial"/>
                <w:spacing w:val="-2"/>
              </w:rPr>
              <w:t>Schedule</w:t>
            </w:r>
            <w:r>
              <w:rPr>
                <w:rFonts w:ascii="Arial"/>
                <w:spacing w:val="29"/>
              </w:rPr>
              <w:t xml:space="preserve"> </w:t>
            </w:r>
            <w:r>
              <w:rPr>
                <w:rFonts w:ascii="Arial"/>
              </w:rPr>
              <w:t>3</w:t>
            </w:r>
            <w:r>
              <w:rPr>
                <w:rFonts w:ascii="Arial"/>
                <w:spacing w:val="29"/>
              </w:rPr>
              <w:t xml:space="preserve"> </w:t>
            </w:r>
            <w:r>
              <w:rPr>
                <w:rFonts w:ascii="Arial"/>
                <w:spacing w:val="-1"/>
              </w:rPr>
              <w:t>(Call</w:t>
            </w:r>
            <w:r>
              <w:rPr>
                <w:rFonts w:ascii="Arial"/>
                <w:spacing w:val="31"/>
              </w:rPr>
              <w:t xml:space="preserve"> </w:t>
            </w:r>
            <w:r>
              <w:rPr>
                <w:rFonts w:ascii="Arial"/>
                <w:spacing w:val="-1"/>
              </w:rPr>
              <w:t>Off</w:t>
            </w:r>
            <w:r>
              <w:rPr>
                <w:rFonts w:ascii="Arial"/>
                <w:spacing w:val="2"/>
              </w:rPr>
              <w:t xml:space="preserve"> </w:t>
            </w:r>
            <w:r>
              <w:rPr>
                <w:rFonts w:ascii="Arial"/>
                <w:spacing w:val="-2"/>
              </w:rPr>
              <w:t>Contract</w:t>
            </w:r>
            <w:r>
              <w:rPr>
                <w:rFonts w:ascii="Arial"/>
                <w:spacing w:val="2"/>
              </w:rPr>
              <w:t xml:space="preserve"> </w:t>
            </w:r>
            <w:r>
              <w:rPr>
                <w:rFonts w:ascii="Arial"/>
                <w:spacing w:val="-1"/>
              </w:rPr>
              <w:t>Charges,</w:t>
            </w:r>
            <w:r>
              <w:rPr>
                <w:rFonts w:ascii="Arial"/>
              </w:rPr>
              <w:t xml:space="preserve"> </w:t>
            </w:r>
            <w:r>
              <w:rPr>
                <w:rFonts w:ascii="Arial"/>
                <w:spacing w:val="-2"/>
              </w:rPr>
              <w:t>Payment</w:t>
            </w:r>
            <w:r>
              <w:rPr>
                <w:rFonts w:ascii="Arial"/>
                <w:spacing w:val="2"/>
              </w:rPr>
              <w:t xml:space="preserve"> </w:t>
            </w:r>
            <w:r>
              <w:rPr>
                <w:rFonts w:ascii="Arial"/>
                <w:spacing w:val="-1"/>
              </w:rPr>
              <w:t>and</w:t>
            </w:r>
            <w:r>
              <w:rPr>
                <w:rFonts w:ascii="Arial"/>
                <w:spacing w:val="-2"/>
              </w:rPr>
              <w:t xml:space="preserve"> </w:t>
            </w:r>
            <w:r>
              <w:rPr>
                <w:rFonts w:ascii="Arial"/>
                <w:spacing w:val="-1"/>
              </w:rPr>
              <w:t>Invoicing);</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"Related</w:t>
            </w:r>
            <w:r>
              <w:rPr>
                <w:rFonts w:ascii="Arial"/>
                <w:b/>
                <w:spacing w:val="-2"/>
              </w:rPr>
              <w:t xml:space="preserve"> </w:t>
            </w:r>
            <w:r>
              <w:rPr>
                <w:rFonts w:ascii="Arial"/>
                <w:b/>
                <w:spacing w:val="-1"/>
              </w:rPr>
              <w:t>Supplier"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5"/>
              </w:rPr>
              <w:t xml:space="preserve"> </w:t>
            </w:r>
            <w:r>
              <w:rPr>
                <w:rFonts w:ascii="Arial"/>
                <w:spacing w:val="-1"/>
              </w:rPr>
              <w:t>any</w:t>
            </w:r>
            <w:r>
              <w:rPr>
                <w:rFonts w:ascii="Arial"/>
                <w:spacing w:val="3"/>
              </w:rPr>
              <w:t xml:space="preserve"> </w:t>
            </w:r>
            <w:r>
              <w:rPr>
                <w:rFonts w:ascii="Arial"/>
                <w:spacing w:val="-1"/>
              </w:rPr>
              <w:t>person</w:t>
            </w:r>
            <w:r>
              <w:rPr>
                <w:rFonts w:ascii="Arial"/>
                <w:spacing w:val="5"/>
              </w:rPr>
              <w:t xml:space="preserve"> </w:t>
            </w:r>
            <w:r>
              <w:rPr>
                <w:rFonts w:ascii="Arial"/>
                <w:spacing w:val="-2"/>
              </w:rPr>
              <w:t>who</w:t>
            </w:r>
            <w:r>
              <w:rPr>
                <w:rFonts w:ascii="Arial"/>
                <w:spacing w:val="5"/>
              </w:rPr>
              <w:t xml:space="preserve"> </w:t>
            </w:r>
            <w:r>
              <w:rPr>
                <w:rFonts w:ascii="Arial"/>
                <w:spacing w:val="-2"/>
              </w:rPr>
              <w:t>provides</w:t>
            </w:r>
            <w:r>
              <w:rPr>
                <w:rFonts w:ascii="Arial"/>
                <w:spacing w:val="5"/>
              </w:rPr>
              <w:t xml:space="preserve"> </w:t>
            </w:r>
            <w:r>
              <w:rPr>
                <w:rFonts w:ascii="Arial"/>
                <w:spacing w:val="-1"/>
              </w:rPr>
              <w:t>goods</w:t>
            </w:r>
            <w:r>
              <w:rPr>
                <w:rFonts w:ascii="Arial"/>
                <w:spacing w:val="5"/>
              </w:rPr>
              <w:t xml:space="preserve"> </w:t>
            </w:r>
            <w:r>
              <w:rPr>
                <w:rFonts w:ascii="Arial"/>
                <w:spacing w:val="-1"/>
              </w:rPr>
              <w:t>and/or</w:t>
            </w:r>
            <w:r>
              <w:rPr>
                <w:rFonts w:ascii="Arial"/>
                <w:spacing w:val="6"/>
              </w:rPr>
              <w:t xml:space="preserve"> </w:t>
            </w:r>
            <w:r>
              <w:rPr>
                <w:rFonts w:ascii="Arial"/>
                <w:spacing w:val="-2"/>
              </w:rPr>
              <w:t>services</w:t>
            </w:r>
            <w:r>
              <w:rPr>
                <w:rFonts w:ascii="Arial"/>
                <w:spacing w:val="5"/>
              </w:rPr>
              <w:t xml:space="preserve"> </w:t>
            </w:r>
            <w:r>
              <w:rPr>
                <w:rFonts w:ascii="Arial"/>
              </w:rPr>
              <w:t>to</w:t>
            </w:r>
            <w:r>
              <w:rPr>
                <w:rFonts w:ascii="Arial"/>
                <w:spacing w:val="53"/>
              </w:rPr>
              <w:t xml:space="preserve"> </w:t>
            </w:r>
            <w:r>
              <w:rPr>
                <w:rFonts w:ascii="Arial"/>
              </w:rPr>
              <w:t>the</w:t>
            </w:r>
            <w:r>
              <w:rPr>
                <w:rFonts w:ascii="Arial"/>
                <w:spacing w:val="14"/>
              </w:rPr>
              <w:t xml:space="preserve"> </w:t>
            </w:r>
            <w:r>
              <w:rPr>
                <w:rFonts w:ascii="Arial"/>
                <w:spacing w:val="-1"/>
              </w:rPr>
              <w:t>Customer</w:t>
            </w:r>
            <w:r>
              <w:rPr>
                <w:rFonts w:ascii="Arial"/>
                <w:spacing w:val="15"/>
              </w:rPr>
              <w:t xml:space="preserve"> </w:t>
            </w:r>
            <w:r>
              <w:rPr>
                <w:rFonts w:ascii="Arial"/>
                <w:spacing w:val="-2"/>
              </w:rPr>
              <w:t>which</w:t>
            </w:r>
            <w:r>
              <w:rPr>
                <w:rFonts w:ascii="Arial"/>
                <w:spacing w:val="14"/>
              </w:rPr>
              <w:t xml:space="preserve"> </w:t>
            </w:r>
            <w:r>
              <w:rPr>
                <w:rFonts w:ascii="Arial"/>
              </w:rPr>
              <w:t>are</w:t>
            </w:r>
            <w:r>
              <w:rPr>
                <w:rFonts w:ascii="Arial"/>
                <w:spacing w:val="14"/>
              </w:rPr>
              <w:t xml:space="preserve"> </w:t>
            </w:r>
            <w:r>
              <w:rPr>
                <w:rFonts w:ascii="Arial"/>
                <w:spacing w:val="-1"/>
              </w:rPr>
              <w:t>related</w:t>
            </w:r>
            <w:r>
              <w:rPr>
                <w:rFonts w:ascii="Arial"/>
                <w:spacing w:val="14"/>
              </w:rPr>
              <w:t xml:space="preserve"> </w:t>
            </w:r>
            <w:r>
              <w:rPr>
                <w:rFonts w:ascii="Arial"/>
              </w:rPr>
              <w:t>to</w:t>
            </w:r>
            <w:r>
              <w:rPr>
                <w:rFonts w:ascii="Arial"/>
                <w:spacing w:val="13"/>
              </w:rPr>
              <w:t xml:space="preserve"> </w:t>
            </w:r>
            <w:r>
              <w:rPr>
                <w:rFonts w:ascii="Arial"/>
              </w:rPr>
              <w:t>the</w:t>
            </w:r>
            <w:r>
              <w:rPr>
                <w:rFonts w:ascii="Arial"/>
                <w:spacing w:val="14"/>
              </w:rPr>
              <w:t xml:space="preserve"> </w:t>
            </w:r>
            <w:r>
              <w:rPr>
                <w:rFonts w:ascii="Arial"/>
                <w:spacing w:val="-1"/>
              </w:rPr>
              <w:t>Goods</w:t>
            </w:r>
            <w:r>
              <w:rPr>
                <w:rFonts w:ascii="Arial"/>
                <w:spacing w:val="14"/>
              </w:rPr>
              <w:t xml:space="preserve"> </w:t>
            </w:r>
            <w:r>
              <w:rPr>
                <w:rFonts w:ascii="Arial"/>
                <w:spacing w:val="-1"/>
              </w:rPr>
              <w:t>and/or</w:t>
            </w:r>
            <w:r>
              <w:rPr>
                <w:rFonts w:ascii="Arial"/>
                <w:spacing w:val="23"/>
              </w:rPr>
              <w:t xml:space="preserve"> </w:t>
            </w:r>
            <w:r>
              <w:rPr>
                <w:rFonts w:ascii="Arial"/>
                <w:spacing w:val="-2"/>
              </w:rPr>
              <w:t xml:space="preserve">Services </w:t>
            </w:r>
            <w:r>
              <w:rPr>
                <w:rFonts w:ascii="Arial"/>
              </w:rPr>
              <w:t>from</w:t>
            </w:r>
            <w:r>
              <w:rPr>
                <w:rFonts w:ascii="Arial"/>
                <w:spacing w:val="-1"/>
              </w:rPr>
              <w:t xml:space="preserve"> time</w:t>
            </w:r>
            <w:r>
              <w:rPr>
                <w:rFonts w:ascii="Arial"/>
                <w:spacing w:val="-2"/>
              </w:rPr>
              <w:t xml:space="preserve"> </w:t>
            </w:r>
            <w:r>
              <w:rPr>
                <w:rFonts w:ascii="Arial"/>
              </w:rPr>
              <w:t>to</w:t>
            </w:r>
            <w:r>
              <w:rPr>
                <w:rFonts w:ascii="Arial"/>
                <w:spacing w:val="-2"/>
              </w:rPr>
              <w:t xml:space="preserve"> </w:t>
            </w:r>
            <w:r>
              <w:rPr>
                <w:rFonts w:ascii="Arial"/>
                <w:spacing w:val="-1"/>
              </w:rPr>
              <w:t>time;</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1157"/>
              <w:rPr>
                <w:rFonts w:ascii="Arial" w:eastAsia="Arial" w:hAnsi="Arial" w:cs="Arial"/>
              </w:rPr>
            </w:pPr>
            <w:r>
              <w:rPr>
                <w:rFonts w:ascii="Arial"/>
                <w:b/>
                <w:spacing w:val="-1"/>
              </w:rPr>
              <w:t>"Relevant</w:t>
            </w:r>
            <w:r>
              <w:rPr>
                <w:rFonts w:ascii="Arial"/>
                <w:b/>
                <w:spacing w:val="20"/>
              </w:rPr>
              <w:t xml:space="preserve"> </w:t>
            </w:r>
            <w:r>
              <w:rPr>
                <w:rFonts w:ascii="Arial"/>
                <w:b/>
                <w:spacing w:val="-1"/>
              </w:rPr>
              <w:t>Conviction"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34"/>
              </w:rPr>
              <w:t xml:space="preserve"> </w:t>
            </w:r>
            <w:r>
              <w:rPr>
                <w:rFonts w:ascii="Arial"/>
              </w:rPr>
              <w:t>a</w:t>
            </w:r>
            <w:r>
              <w:rPr>
                <w:rFonts w:ascii="Arial"/>
                <w:spacing w:val="34"/>
              </w:rPr>
              <w:t xml:space="preserve"> </w:t>
            </w:r>
            <w:r>
              <w:rPr>
                <w:rFonts w:ascii="Arial"/>
                <w:spacing w:val="-2"/>
              </w:rPr>
              <w:t>Conviction</w:t>
            </w:r>
            <w:r>
              <w:rPr>
                <w:rFonts w:ascii="Arial"/>
                <w:spacing w:val="34"/>
              </w:rPr>
              <w:t xml:space="preserve"> </w:t>
            </w:r>
            <w:r>
              <w:rPr>
                <w:rFonts w:ascii="Arial"/>
                <w:spacing w:val="-1"/>
              </w:rPr>
              <w:t>that</w:t>
            </w:r>
            <w:r>
              <w:rPr>
                <w:rFonts w:ascii="Arial"/>
                <w:spacing w:val="35"/>
              </w:rPr>
              <w:t xml:space="preserve"> </w:t>
            </w:r>
            <w:r>
              <w:rPr>
                <w:rFonts w:ascii="Arial"/>
                <w:spacing w:val="-1"/>
              </w:rPr>
              <w:t>is</w:t>
            </w:r>
            <w:r>
              <w:rPr>
                <w:rFonts w:ascii="Arial"/>
                <w:spacing w:val="34"/>
              </w:rPr>
              <w:t xml:space="preserve"> </w:t>
            </w:r>
            <w:r>
              <w:rPr>
                <w:rFonts w:ascii="Arial"/>
                <w:spacing w:val="-2"/>
              </w:rPr>
              <w:t>relevant</w:t>
            </w:r>
            <w:r>
              <w:rPr>
                <w:rFonts w:ascii="Arial"/>
                <w:spacing w:val="33"/>
              </w:rPr>
              <w:t xml:space="preserve"> </w:t>
            </w:r>
            <w:r>
              <w:rPr>
                <w:rFonts w:ascii="Arial"/>
              </w:rPr>
              <w:t>to</w:t>
            </w:r>
            <w:r>
              <w:rPr>
                <w:rFonts w:ascii="Arial"/>
                <w:spacing w:val="35"/>
              </w:rPr>
              <w:t xml:space="preserve"> </w:t>
            </w:r>
            <w:r>
              <w:rPr>
                <w:rFonts w:ascii="Arial"/>
              </w:rPr>
              <w:t>the</w:t>
            </w:r>
            <w:r>
              <w:rPr>
                <w:rFonts w:ascii="Arial"/>
                <w:spacing w:val="31"/>
              </w:rPr>
              <w:t xml:space="preserve"> </w:t>
            </w:r>
            <w:r>
              <w:rPr>
                <w:rFonts w:ascii="Arial"/>
                <w:spacing w:val="-1"/>
              </w:rPr>
              <w:t>nature</w:t>
            </w:r>
            <w:r>
              <w:rPr>
                <w:rFonts w:ascii="Arial"/>
                <w:spacing w:val="34"/>
              </w:rPr>
              <w:t xml:space="preserve"> </w:t>
            </w:r>
            <w:r>
              <w:rPr>
                <w:rFonts w:ascii="Arial"/>
                <w:spacing w:val="-2"/>
              </w:rPr>
              <w:t>of</w:t>
            </w:r>
            <w:r>
              <w:rPr>
                <w:rFonts w:ascii="Arial"/>
                <w:spacing w:val="35"/>
              </w:rPr>
              <w:t xml:space="preserve"> </w:t>
            </w:r>
            <w:r>
              <w:rPr>
                <w:rFonts w:ascii="Arial"/>
                <w:spacing w:val="-1"/>
              </w:rPr>
              <w:t>the</w:t>
            </w:r>
            <w:r>
              <w:rPr>
                <w:rFonts w:ascii="Arial"/>
                <w:spacing w:val="47"/>
              </w:rPr>
              <w:t xml:space="preserve"> </w:t>
            </w:r>
            <w:r>
              <w:rPr>
                <w:rFonts w:ascii="Arial"/>
                <w:spacing w:val="-1"/>
              </w:rPr>
              <w:t>Goods</w:t>
            </w:r>
            <w:r>
              <w:rPr>
                <w:rFonts w:ascii="Arial"/>
                <w:spacing w:val="22"/>
              </w:rPr>
              <w:t xml:space="preserve"> </w:t>
            </w:r>
            <w:r>
              <w:rPr>
                <w:rFonts w:ascii="Arial"/>
                <w:spacing w:val="-1"/>
              </w:rPr>
              <w:t>and/or</w:t>
            </w:r>
            <w:r>
              <w:rPr>
                <w:rFonts w:ascii="Arial"/>
                <w:spacing w:val="23"/>
              </w:rPr>
              <w:t xml:space="preserve"> </w:t>
            </w:r>
            <w:r>
              <w:rPr>
                <w:rFonts w:ascii="Arial"/>
                <w:spacing w:val="-1"/>
              </w:rPr>
              <w:t>Services</w:t>
            </w:r>
            <w:r>
              <w:rPr>
                <w:rFonts w:ascii="Arial"/>
                <w:spacing w:val="22"/>
              </w:rPr>
              <w:t xml:space="preserve"> </w:t>
            </w:r>
            <w:r>
              <w:rPr>
                <w:rFonts w:ascii="Arial"/>
                <w:spacing w:val="-1"/>
              </w:rPr>
              <w:t>to</w:t>
            </w:r>
            <w:r>
              <w:rPr>
                <w:rFonts w:ascii="Arial"/>
                <w:spacing w:val="22"/>
              </w:rPr>
              <w:t xml:space="preserve"> </w:t>
            </w:r>
            <w:r>
              <w:rPr>
                <w:rFonts w:ascii="Arial"/>
                <w:spacing w:val="-1"/>
              </w:rPr>
              <w:t>be</w:t>
            </w:r>
            <w:r>
              <w:rPr>
                <w:rFonts w:ascii="Arial"/>
                <w:spacing w:val="22"/>
              </w:rPr>
              <w:t xml:space="preserve"> </w:t>
            </w:r>
            <w:r>
              <w:rPr>
                <w:rFonts w:ascii="Arial"/>
                <w:spacing w:val="-2"/>
              </w:rPr>
              <w:t>provided</w:t>
            </w:r>
            <w:r>
              <w:rPr>
                <w:rFonts w:ascii="Arial"/>
                <w:spacing w:val="22"/>
              </w:rPr>
              <w:t xml:space="preserve"> </w:t>
            </w:r>
            <w:r>
              <w:rPr>
                <w:rFonts w:ascii="Arial"/>
                <w:spacing w:val="-1"/>
              </w:rPr>
              <w:t>or</w:t>
            </w:r>
            <w:r>
              <w:rPr>
                <w:rFonts w:ascii="Arial"/>
                <w:spacing w:val="23"/>
              </w:rPr>
              <w:t xml:space="preserve"> </w:t>
            </w:r>
            <w:r>
              <w:rPr>
                <w:rFonts w:ascii="Arial"/>
                <w:spacing w:val="-1"/>
              </w:rPr>
              <w:t>as</w:t>
            </w:r>
            <w:r>
              <w:rPr>
                <w:rFonts w:ascii="Arial"/>
                <w:spacing w:val="22"/>
              </w:rPr>
              <w:t xml:space="preserve"> </w:t>
            </w:r>
            <w:r>
              <w:rPr>
                <w:rFonts w:ascii="Arial"/>
                <w:spacing w:val="-1"/>
              </w:rPr>
              <w:t>specified</w:t>
            </w:r>
            <w:r>
              <w:rPr>
                <w:rFonts w:ascii="Arial"/>
                <w:spacing w:val="22"/>
              </w:rPr>
              <w:t xml:space="preserve"> </w:t>
            </w:r>
            <w:r>
              <w:rPr>
                <w:rFonts w:ascii="Arial"/>
                <w:spacing w:val="-1"/>
              </w:rPr>
              <w:t>by</w:t>
            </w:r>
            <w:r>
              <w:rPr>
                <w:rFonts w:ascii="Arial"/>
                <w:spacing w:val="38"/>
              </w:rPr>
              <w:t xml:space="preserve"> </w:t>
            </w:r>
            <w:r>
              <w:rPr>
                <w:rFonts w:ascii="Arial"/>
              </w:rPr>
              <w:t>the</w:t>
            </w:r>
            <w:r>
              <w:rPr>
                <w:rFonts w:ascii="Arial"/>
                <w:spacing w:val="15"/>
              </w:rPr>
              <w:t xml:space="preserve"> </w:t>
            </w:r>
            <w:r>
              <w:rPr>
                <w:rFonts w:ascii="Arial"/>
                <w:spacing w:val="-1"/>
              </w:rPr>
              <w:t>Customer</w:t>
            </w:r>
            <w:r>
              <w:rPr>
                <w:rFonts w:ascii="Arial"/>
                <w:spacing w:val="16"/>
              </w:rPr>
              <w:t xml:space="preserve"> </w:t>
            </w:r>
            <w:r>
              <w:rPr>
                <w:rFonts w:ascii="Arial"/>
                <w:spacing w:val="-1"/>
              </w:rPr>
              <w:t>in</w:t>
            </w:r>
            <w:r>
              <w:rPr>
                <w:rFonts w:ascii="Arial"/>
                <w:spacing w:val="15"/>
              </w:rPr>
              <w:t xml:space="preserve"> </w:t>
            </w:r>
            <w:r>
              <w:rPr>
                <w:rFonts w:ascii="Arial"/>
              </w:rPr>
              <w:t>the</w:t>
            </w:r>
            <w:r>
              <w:rPr>
                <w:rFonts w:ascii="Arial"/>
                <w:spacing w:val="12"/>
              </w:rPr>
              <w:t xml:space="preserve"> </w:t>
            </w:r>
            <w:r>
              <w:rPr>
                <w:rFonts w:ascii="Arial"/>
                <w:spacing w:val="-1"/>
              </w:rPr>
              <w:t>Order</w:t>
            </w:r>
            <w:r>
              <w:rPr>
                <w:rFonts w:ascii="Arial"/>
                <w:spacing w:val="16"/>
              </w:rPr>
              <w:t xml:space="preserve"> </w:t>
            </w:r>
            <w:r>
              <w:rPr>
                <w:rFonts w:ascii="Arial"/>
                <w:spacing w:val="-1"/>
              </w:rPr>
              <w:t>Form</w:t>
            </w:r>
            <w:r>
              <w:rPr>
                <w:rFonts w:ascii="Arial"/>
                <w:spacing w:val="16"/>
              </w:rPr>
              <w:t xml:space="preserve"> </w:t>
            </w:r>
            <w:r>
              <w:rPr>
                <w:rFonts w:ascii="Arial"/>
                <w:spacing w:val="-2"/>
              </w:rPr>
              <w:t>or</w:t>
            </w:r>
            <w:r>
              <w:rPr>
                <w:rFonts w:ascii="Arial"/>
                <w:spacing w:val="16"/>
              </w:rPr>
              <w:t xml:space="preserve"> </w:t>
            </w:r>
            <w:r>
              <w:rPr>
                <w:rFonts w:ascii="Arial"/>
                <w:spacing w:val="-2"/>
              </w:rPr>
              <w:t>elsewhere</w:t>
            </w:r>
            <w:r>
              <w:rPr>
                <w:rFonts w:ascii="Arial"/>
                <w:spacing w:val="15"/>
              </w:rPr>
              <w:t xml:space="preserve"> </w:t>
            </w:r>
            <w:r>
              <w:rPr>
                <w:rFonts w:ascii="Arial"/>
                <w:spacing w:val="-1"/>
              </w:rPr>
              <w:t>in</w:t>
            </w:r>
            <w:r>
              <w:rPr>
                <w:rFonts w:ascii="Arial"/>
                <w:spacing w:val="17"/>
              </w:rPr>
              <w:t xml:space="preserve"> </w:t>
            </w:r>
            <w:r>
              <w:rPr>
                <w:rFonts w:ascii="Arial"/>
                <w:spacing w:val="-1"/>
              </w:rPr>
              <w:t>this</w:t>
            </w:r>
            <w:r>
              <w:rPr>
                <w:rFonts w:ascii="Arial"/>
                <w:spacing w:val="15"/>
              </w:rPr>
              <w:t xml:space="preserve"> </w:t>
            </w:r>
            <w:r>
              <w:rPr>
                <w:rFonts w:ascii="Arial"/>
                <w:spacing w:val="-2"/>
              </w:rPr>
              <w:t>Call</w:t>
            </w:r>
            <w:r>
              <w:rPr>
                <w:rFonts w:ascii="Arial"/>
                <w:spacing w:val="39"/>
              </w:rPr>
              <w:t xml:space="preserve"> </w:t>
            </w:r>
            <w:r>
              <w:rPr>
                <w:rFonts w:ascii="Arial"/>
                <w:spacing w:val="-1"/>
              </w:rPr>
              <w:t>Off</w:t>
            </w:r>
            <w:r>
              <w:rPr>
                <w:rFonts w:ascii="Arial"/>
                <w:spacing w:val="2"/>
              </w:rPr>
              <w:t xml:space="preserve"> </w:t>
            </w:r>
            <w:r>
              <w:rPr>
                <w:rFonts w:ascii="Arial"/>
                <w:spacing w:val="-1"/>
              </w:rPr>
              <w:t>Contract;</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826"/>
              <w:rPr>
                <w:rFonts w:ascii="Arial" w:eastAsia="Arial" w:hAnsi="Arial" w:cs="Arial"/>
              </w:rPr>
            </w:pPr>
            <w:r>
              <w:rPr>
                <w:rFonts w:ascii="Arial"/>
                <w:b/>
                <w:spacing w:val="-1"/>
              </w:rPr>
              <w:t>"Relevant</w:t>
            </w:r>
            <w:r>
              <w:rPr>
                <w:rFonts w:ascii="Arial"/>
                <w:b/>
                <w:spacing w:val="20"/>
              </w:rPr>
              <w:t xml:space="preserve"> </w:t>
            </w:r>
            <w:r>
              <w:rPr>
                <w:rFonts w:ascii="Arial"/>
                <w:b/>
                <w:spacing w:val="-1"/>
              </w:rPr>
              <w:t>Requirements"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means</w:t>
            </w:r>
            <w:r>
              <w:rPr>
                <w:rFonts w:ascii="Arial"/>
                <w:spacing w:val="51"/>
              </w:rPr>
              <w:t xml:space="preserve"> </w:t>
            </w:r>
            <w:r>
              <w:rPr>
                <w:rFonts w:ascii="Arial"/>
                <w:spacing w:val="-1"/>
              </w:rPr>
              <w:t>all</w:t>
            </w:r>
            <w:r>
              <w:rPr>
                <w:rFonts w:ascii="Arial"/>
                <w:spacing w:val="50"/>
              </w:rPr>
              <w:t xml:space="preserve"> </w:t>
            </w:r>
            <w:r>
              <w:rPr>
                <w:rFonts w:ascii="Arial"/>
                <w:spacing w:val="-2"/>
              </w:rPr>
              <w:t>applicable</w:t>
            </w:r>
            <w:r>
              <w:rPr>
                <w:rFonts w:ascii="Arial"/>
                <w:spacing w:val="51"/>
              </w:rPr>
              <w:t xml:space="preserve"> </w:t>
            </w:r>
            <w:r>
              <w:rPr>
                <w:rFonts w:ascii="Arial"/>
                <w:spacing w:val="-2"/>
              </w:rPr>
              <w:t>Law</w:t>
            </w:r>
            <w:r>
              <w:rPr>
                <w:rFonts w:ascii="Arial"/>
                <w:spacing w:val="47"/>
              </w:rPr>
              <w:t xml:space="preserve"> </w:t>
            </w:r>
            <w:r>
              <w:rPr>
                <w:rFonts w:ascii="Arial"/>
                <w:spacing w:val="-1"/>
              </w:rPr>
              <w:t>relating</w:t>
            </w:r>
            <w:r>
              <w:rPr>
                <w:rFonts w:ascii="Arial"/>
                <w:spacing w:val="51"/>
              </w:rPr>
              <w:t xml:space="preserve"> </w:t>
            </w:r>
            <w:r>
              <w:rPr>
                <w:rFonts w:ascii="Arial"/>
              </w:rPr>
              <w:t>to</w:t>
            </w:r>
            <w:r>
              <w:rPr>
                <w:rFonts w:ascii="Arial"/>
                <w:spacing w:val="51"/>
              </w:rPr>
              <w:t xml:space="preserve"> </w:t>
            </w:r>
            <w:r>
              <w:rPr>
                <w:rFonts w:ascii="Arial"/>
                <w:spacing w:val="-2"/>
              </w:rPr>
              <w:t>bribery,</w:t>
            </w:r>
            <w:r>
              <w:rPr>
                <w:rFonts w:ascii="Arial"/>
                <w:spacing w:val="53"/>
              </w:rPr>
              <w:t xml:space="preserve"> </w:t>
            </w:r>
            <w:r>
              <w:rPr>
                <w:rFonts w:ascii="Arial"/>
                <w:spacing w:val="-1"/>
              </w:rPr>
              <w:t>corruption</w:t>
            </w:r>
            <w:r>
              <w:rPr>
                <w:rFonts w:ascii="Arial"/>
                <w:spacing w:val="49"/>
              </w:rPr>
              <w:t xml:space="preserve"> </w:t>
            </w:r>
            <w:r>
              <w:rPr>
                <w:rFonts w:ascii="Arial"/>
                <w:spacing w:val="-1"/>
              </w:rPr>
              <w:t>and</w:t>
            </w:r>
            <w:r>
              <w:rPr>
                <w:rFonts w:ascii="Arial"/>
                <w:spacing w:val="42"/>
              </w:rPr>
              <w:t xml:space="preserve"> </w:t>
            </w:r>
            <w:r>
              <w:rPr>
                <w:rFonts w:ascii="Arial"/>
                <w:spacing w:val="-1"/>
              </w:rPr>
              <w:t>fraud,</w:t>
            </w:r>
            <w:r>
              <w:rPr>
                <w:rFonts w:ascii="Arial"/>
                <w:spacing w:val="46"/>
              </w:rPr>
              <w:t xml:space="preserve"> </w:t>
            </w:r>
            <w:r>
              <w:rPr>
                <w:rFonts w:ascii="Arial"/>
                <w:spacing w:val="-2"/>
              </w:rPr>
              <w:t>including</w:t>
            </w:r>
            <w:r>
              <w:rPr>
                <w:rFonts w:ascii="Arial"/>
                <w:spacing w:val="47"/>
              </w:rPr>
              <w:t xml:space="preserve"> </w:t>
            </w:r>
            <w:r>
              <w:rPr>
                <w:rFonts w:ascii="Arial"/>
                <w:spacing w:val="-1"/>
              </w:rPr>
              <w:t>the</w:t>
            </w:r>
            <w:r>
              <w:rPr>
                <w:rFonts w:ascii="Arial"/>
                <w:spacing w:val="45"/>
              </w:rPr>
              <w:t xml:space="preserve"> </w:t>
            </w:r>
            <w:r>
              <w:rPr>
                <w:rFonts w:ascii="Arial"/>
                <w:spacing w:val="-1"/>
              </w:rPr>
              <w:t>Bribery</w:t>
            </w:r>
            <w:r>
              <w:rPr>
                <w:rFonts w:ascii="Arial"/>
                <w:spacing w:val="43"/>
              </w:rPr>
              <w:t xml:space="preserve"> </w:t>
            </w:r>
            <w:r>
              <w:rPr>
                <w:rFonts w:ascii="Arial"/>
                <w:spacing w:val="-1"/>
              </w:rPr>
              <w:t>Act</w:t>
            </w:r>
            <w:r>
              <w:rPr>
                <w:rFonts w:ascii="Arial"/>
                <w:spacing w:val="47"/>
              </w:rPr>
              <w:t xml:space="preserve"> </w:t>
            </w:r>
            <w:r>
              <w:rPr>
                <w:rFonts w:ascii="Arial"/>
                <w:spacing w:val="-1"/>
              </w:rPr>
              <w:t>2010</w:t>
            </w:r>
            <w:r>
              <w:rPr>
                <w:rFonts w:ascii="Arial"/>
                <w:spacing w:val="46"/>
              </w:rPr>
              <w:t xml:space="preserve"> </w:t>
            </w:r>
            <w:r>
              <w:rPr>
                <w:rFonts w:ascii="Arial"/>
                <w:spacing w:val="-1"/>
              </w:rPr>
              <w:t>and</w:t>
            </w:r>
            <w:r>
              <w:rPr>
                <w:rFonts w:ascii="Arial"/>
                <w:spacing w:val="45"/>
              </w:rPr>
              <w:t xml:space="preserve"> </w:t>
            </w:r>
            <w:r>
              <w:rPr>
                <w:rFonts w:ascii="Arial"/>
                <w:spacing w:val="-1"/>
              </w:rPr>
              <w:t>any</w:t>
            </w:r>
            <w:r>
              <w:rPr>
                <w:rFonts w:ascii="Arial"/>
                <w:spacing w:val="36"/>
              </w:rPr>
              <w:t xml:space="preserve"> </w:t>
            </w:r>
            <w:r>
              <w:rPr>
                <w:rFonts w:ascii="Arial"/>
                <w:spacing w:val="-1"/>
              </w:rPr>
              <w:t>guidance</w:t>
            </w:r>
            <w:r>
              <w:rPr>
                <w:rFonts w:ascii="Arial"/>
                <w:spacing w:val="4"/>
              </w:rPr>
              <w:t xml:space="preserve"> </w:t>
            </w:r>
            <w:r>
              <w:rPr>
                <w:rFonts w:ascii="Arial"/>
                <w:spacing w:val="-1"/>
              </w:rPr>
              <w:t>issued</w:t>
            </w:r>
            <w:r>
              <w:rPr>
                <w:rFonts w:ascii="Arial"/>
                <w:spacing w:val="4"/>
              </w:rPr>
              <w:t xml:space="preserve"> </w:t>
            </w:r>
            <w:r>
              <w:rPr>
                <w:rFonts w:ascii="Arial"/>
                <w:spacing w:val="-1"/>
              </w:rPr>
              <w:t>by</w:t>
            </w:r>
            <w:r>
              <w:rPr>
                <w:rFonts w:ascii="Arial"/>
                <w:spacing w:val="2"/>
              </w:rPr>
              <w:t xml:space="preserve"> </w:t>
            </w:r>
            <w:r>
              <w:rPr>
                <w:rFonts w:ascii="Arial"/>
              </w:rPr>
              <w:t>the</w:t>
            </w:r>
            <w:r>
              <w:rPr>
                <w:rFonts w:ascii="Arial"/>
                <w:spacing w:val="6"/>
              </w:rPr>
              <w:t xml:space="preserve"> </w:t>
            </w:r>
            <w:r>
              <w:rPr>
                <w:rFonts w:ascii="Arial"/>
                <w:spacing w:val="-1"/>
              </w:rPr>
              <w:t>Secretary</w:t>
            </w:r>
            <w:r>
              <w:rPr>
                <w:rFonts w:ascii="Arial"/>
                <w:spacing w:val="2"/>
              </w:rPr>
              <w:t xml:space="preserve"> </w:t>
            </w:r>
            <w:r>
              <w:rPr>
                <w:rFonts w:ascii="Arial"/>
                <w:spacing w:val="-1"/>
              </w:rPr>
              <w:t>of</w:t>
            </w:r>
            <w:r>
              <w:rPr>
                <w:rFonts w:ascii="Arial"/>
                <w:spacing w:val="8"/>
              </w:rPr>
              <w:t xml:space="preserve"> </w:t>
            </w:r>
            <w:r>
              <w:rPr>
                <w:rFonts w:ascii="Arial"/>
                <w:spacing w:val="-1"/>
              </w:rPr>
              <w:t>State</w:t>
            </w:r>
            <w:r>
              <w:rPr>
                <w:rFonts w:ascii="Arial"/>
                <w:spacing w:val="2"/>
              </w:rPr>
              <w:t xml:space="preserve"> </w:t>
            </w:r>
            <w:r>
              <w:rPr>
                <w:rFonts w:ascii="Arial"/>
              </w:rPr>
              <w:t>for</w:t>
            </w:r>
            <w:r>
              <w:rPr>
                <w:rFonts w:ascii="Arial"/>
                <w:spacing w:val="3"/>
              </w:rPr>
              <w:t xml:space="preserve"> </w:t>
            </w:r>
            <w:r>
              <w:rPr>
                <w:rFonts w:ascii="Arial"/>
                <w:spacing w:val="-1"/>
              </w:rPr>
              <w:t>Justice</w:t>
            </w:r>
            <w:r>
              <w:rPr>
                <w:rFonts w:ascii="Arial"/>
                <w:spacing w:val="38"/>
              </w:rPr>
              <w:t xml:space="preserve"> </w:t>
            </w:r>
            <w:r>
              <w:rPr>
                <w:rFonts w:ascii="Arial"/>
                <w:spacing w:val="-1"/>
              </w:rPr>
              <w:t>pursuant</w:t>
            </w:r>
            <w:r>
              <w:rPr>
                <w:rFonts w:ascii="Arial"/>
              </w:rPr>
              <w:t xml:space="preserve"> to</w:t>
            </w:r>
            <w:r>
              <w:rPr>
                <w:rFonts w:ascii="Arial"/>
                <w:spacing w:val="-2"/>
              </w:rPr>
              <w:t xml:space="preserve"> </w:t>
            </w:r>
            <w:r>
              <w:rPr>
                <w:rFonts w:ascii="Arial"/>
                <w:spacing w:val="-1"/>
              </w:rPr>
              <w:t>section</w:t>
            </w:r>
            <w:r>
              <w:rPr>
                <w:rFonts w:ascii="Arial"/>
              </w:rPr>
              <w:t xml:space="preserve"> 9 </w:t>
            </w:r>
            <w:r>
              <w:rPr>
                <w:rFonts w:ascii="Arial"/>
                <w:spacing w:val="-2"/>
              </w:rPr>
              <w:t>of</w:t>
            </w:r>
            <w:r>
              <w:rPr>
                <w:rFonts w:ascii="Arial"/>
              </w:rPr>
              <w:t xml:space="preserve"> </w:t>
            </w:r>
            <w:r>
              <w:rPr>
                <w:rFonts w:ascii="Arial"/>
                <w:spacing w:val="-1"/>
              </w:rPr>
              <w:t>the</w:t>
            </w:r>
            <w:r>
              <w:rPr>
                <w:rFonts w:ascii="Arial"/>
              </w:rPr>
              <w:t xml:space="preserve"> </w:t>
            </w:r>
            <w:r>
              <w:rPr>
                <w:rFonts w:ascii="Arial"/>
                <w:spacing w:val="-1"/>
              </w:rPr>
              <w:t>Bribery</w:t>
            </w:r>
            <w:r>
              <w:rPr>
                <w:rFonts w:ascii="Arial"/>
                <w:spacing w:val="-2"/>
              </w:rPr>
              <w:t xml:space="preserve"> </w:t>
            </w:r>
            <w:r>
              <w:rPr>
                <w:rFonts w:ascii="Arial"/>
                <w:spacing w:val="-1"/>
              </w:rPr>
              <w:t>Act</w:t>
            </w:r>
            <w:r>
              <w:rPr>
                <w:rFonts w:ascii="Arial"/>
              </w:rPr>
              <w:t xml:space="preserve"> </w:t>
            </w:r>
            <w:r>
              <w:rPr>
                <w:rFonts w:ascii="Arial"/>
                <w:spacing w:val="-1"/>
              </w:rPr>
              <w:t>2010;</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938"/>
              <w:rPr>
                <w:rFonts w:ascii="Arial" w:eastAsia="Arial" w:hAnsi="Arial" w:cs="Arial"/>
              </w:rPr>
            </w:pPr>
            <w:r>
              <w:rPr>
                <w:rFonts w:ascii="Arial"/>
                <w:b/>
                <w:spacing w:val="-1"/>
              </w:rPr>
              <w:t>"Relevant</w:t>
            </w:r>
            <w:r>
              <w:rPr>
                <w:rFonts w:ascii="Arial"/>
                <w:b/>
                <w:spacing w:val="2"/>
              </w:rPr>
              <w:t xml:space="preserve"> </w:t>
            </w:r>
            <w:r>
              <w:rPr>
                <w:rFonts w:ascii="Arial"/>
                <w:b/>
                <w:spacing w:val="-2"/>
              </w:rPr>
              <w:t>Tax</w:t>
            </w:r>
            <w:r>
              <w:rPr>
                <w:rFonts w:ascii="Arial"/>
                <w:b/>
                <w:spacing w:val="22"/>
              </w:rPr>
              <w:t xml:space="preserve"> </w:t>
            </w:r>
            <w:r>
              <w:rPr>
                <w:rFonts w:ascii="Arial"/>
                <w:b/>
                <w:spacing w:val="-2"/>
              </w:rPr>
              <w:t>Authority"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2"/>
              <w:rPr>
                <w:rFonts w:ascii="Arial" w:eastAsia="Arial" w:hAnsi="Arial" w:cs="Arial"/>
              </w:rPr>
            </w:pPr>
            <w:r>
              <w:rPr>
                <w:rFonts w:ascii="Arial"/>
                <w:spacing w:val="-1"/>
              </w:rPr>
              <w:t>means</w:t>
            </w:r>
            <w:r>
              <w:rPr>
                <w:rFonts w:ascii="Arial"/>
                <w:spacing w:val="44"/>
              </w:rPr>
              <w:t xml:space="preserve"> </w:t>
            </w:r>
            <w:r>
              <w:rPr>
                <w:rFonts w:ascii="Arial"/>
                <w:spacing w:val="-2"/>
              </w:rPr>
              <w:t>HMRC,</w:t>
            </w:r>
            <w:r>
              <w:rPr>
                <w:rFonts w:ascii="Arial"/>
                <w:spacing w:val="45"/>
              </w:rPr>
              <w:t xml:space="preserve"> </w:t>
            </w:r>
            <w:r>
              <w:rPr>
                <w:rFonts w:ascii="Arial"/>
                <w:spacing w:val="-1"/>
              </w:rPr>
              <w:t>or,</w:t>
            </w:r>
            <w:r>
              <w:rPr>
                <w:rFonts w:ascii="Arial"/>
                <w:spacing w:val="45"/>
              </w:rPr>
              <w:t xml:space="preserve"> </w:t>
            </w:r>
            <w:r>
              <w:rPr>
                <w:rFonts w:ascii="Arial"/>
                <w:spacing w:val="-1"/>
              </w:rPr>
              <w:t>if</w:t>
            </w:r>
            <w:r>
              <w:rPr>
                <w:rFonts w:ascii="Arial"/>
                <w:spacing w:val="47"/>
              </w:rPr>
              <w:t xml:space="preserve"> </w:t>
            </w:r>
            <w:r>
              <w:rPr>
                <w:rFonts w:ascii="Arial"/>
                <w:spacing w:val="-2"/>
              </w:rPr>
              <w:t>applicable,</w:t>
            </w:r>
            <w:r>
              <w:rPr>
                <w:rFonts w:ascii="Arial"/>
                <w:spacing w:val="45"/>
              </w:rPr>
              <w:t xml:space="preserve"> </w:t>
            </w:r>
            <w:r>
              <w:rPr>
                <w:rFonts w:ascii="Arial"/>
              </w:rPr>
              <w:t>the</w:t>
            </w:r>
            <w:r>
              <w:rPr>
                <w:rFonts w:ascii="Arial"/>
                <w:spacing w:val="43"/>
              </w:rPr>
              <w:t xml:space="preserve"> </w:t>
            </w:r>
            <w:r>
              <w:rPr>
                <w:rFonts w:ascii="Arial"/>
              </w:rPr>
              <w:t>tax</w:t>
            </w:r>
            <w:r>
              <w:rPr>
                <w:rFonts w:ascii="Arial"/>
                <w:spacing w:val="42"/>
              </w:rPr>
              <w:t xml:space="preserve"> </w:t>
            </w:r>
            <w:r>
              <w:rPr>
                <w:rFonts w:ascii="Arial"/>
                <w:spacing w:val="-1"/>
              </w:rPr>
              <w:t>authority</w:t>
            </w:r>
            <w:r>
              <w:rPr>
                <w:rFonts w:ascii="Arial"/>
                <w:spacing w:val="41"/>
              </w:rPr>
              <w:t xml:space="preserve"> </w:t>
            </w:r>
            <w:r>
              <w:rPr>
                <w:rFonts w:ascii="Arial"/>
                <w:spacing w:val="-1"/>
              </w:rPr>
              <w:t>in</w:t>
            </w:r>
            <w:r>
              <w:rPr>
                <w:rFonts w:ascii="Arial"/>
                <w:spacing w:val="43"/>
              </w:rPr>
              <w:t xml:space="preserve"> </w:t>
            </w:r>
            <w:r>
              <w:rPr>
                <w:rFonts w:ascii="Arial"/>
                <w:spacing w:val="-1"/>
              </w:rPr>
              <w:t>the</w:t>
            </w:r>
            <w:r>
              <w:rPr>
                <w:rFonts w:ascii="Arial"/>
                <w:spacing w:val="38"/>
              </w:rPr>
              <w:t xml:space="preserve"> </w:t>
            </w:r>
            <w:r>
              <w:rPr>
                <w:rFonts w:ascii="Arial"/>
                <w:spacing w:val="-1"/>
              </w:rPr>
              <w:t>jurisdiction</w:t>
            </w:r>
            <w:r>
              <w:rPr>
                <w:rFonts w:ascii="Arial"/>
              </w:rPr>
              <w:t xml:space="preserve"> </w:t>
            </w:r>
            <w:r>
              <w:rPr>
                <w:rFonts w:ascii="Arial"/>
                <w:spacing w:val="-1"/>
              </w:rPr>
              <w:t>in</w:t>
            </w:r>
            <w:r>
              <w:rPr>
                <w:rFonts w:ascii="Arial"/>
                <w:spacing w:val="-2"/>
              </w:rPr>
              <w:t xml:space="preserve"> which</w:t>
            </w:r>
            <w:r>
              <w:rPr>
                <w:rFonts w:ascii="Arial"/>
                <w:spacing w:val="2"/>
              </w:rPr>
              <w:t xml:space="preserve"> </w:t>
            </w:r>
            <w:r>
              <w:rPr>
                <w:rFonts w:ascii="Arial"/>
              </w:rPr>
              <w:t>the</w:t>
            </w:r>
            <w:r>
              <w:rPr>
                <w:rFonts w:ascii="Arial"/>
                <w:spacing w:val="-2"/>
              </w:rPr>
              <w:t xml:space="preserve"> Supplier</w:t>
            </w:r>
            <w:r>
              <w:rPr>
                <w:rFonts w:ascii="Arial"/>
                <w:spacing w:val="2"/>
              </w:rPr>
              <w:t xml:space="preserve"> </w:t>
            </w:r>
            <w:r>
              <w:rPr>
                <w:rFonts w:ascii="Arial"/>
                <w:spacing w:val="-1"/>
              </w:rPr>
              <w:t>is</w:t>
            </w:r>
            <w:r>
              <w:rPr>
                <w:rFonts w:ascii="Arial"/>
                <w:spacing w:val="1"/>
              </w:rPr>
              <w:t xml:space="preserve"> </w:t>
            </w:r>
            <w:r>
              <w:rPr>
                <w:rFonts w:ascii="Arial"/>
                <w:spacing w:val="-1"/>
              </w:rPr>
              <w:t>established;</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"Relevant</w:t>
            </w:r>
            <w:r>
              <w:rPr>
                <w:rFonts w:ascii="Arial"/>
                <w:b/>
                <w:spacing w:val="2"/>
              </w:rPr>
              <w:t xml:space="preserve"> </w:t>
            </w:r>
            <w:r>
              <w:rPr>
                <w:rFonts w:ascii="Arial"/>
                <w:b/>
                <w:spacing w:val="-1"/>
              </w:rPr>
              <w:t>Transfer"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4"/>
              <w:rPr>
                <w:rFonts w:ascii="Arial" w:eastAsia="Arial" w:hAnsi="Arial" w:cs="Arial"/>
              </w:rPr>
            </w:pPr>
            <w:r>
              <w:rPr>
                <w:rFonts w:ascii="Arial"/>
                <w:spacing w:val="-1"/>
              </w:rPr>
              <w:t>means</w:t>
            </w:r>
            <w:r>
              <w:rPr>
                <w:rFonts w:ascii="Arial"/>
                <w:spacing w:val="-2"/>
              </w:rPr>
              <w:t xml:space="preserve"> </w:t>
            </w:r>
            <w:r>
              <w:rPr>
                <w:rFonts w:ascii="Arial"/>
              </w:rPr>
              <w:t>a</w:t>
            </w:r>
            <w:r>
              <w:rPr>
                <w:rFonts w:ascii="Arial"/>
                <w:spacing w:val="-2"/>
              </w:rPr>
              <w:t xml:space="preserve"> </w:t>
            </w:r>
            <w:r>
              <w:rPr>
                <w:rFonts w:ascii="Arial"/>
                <w:spacing w:val="-1"/>
              </w:rPr>
              <w:t xml:space="preserve">transfer </w:t>
            </w:r>
            <w:r>
              <w:rPr>
                <w:rFonts w:ascii="Arial"/>
                <w:spacing w:val="-2"/>
              </w:rPr>
              <w:t>of</w:t>
            </w:r>
            <w:r>
              <w:rPr>
                <w:rFonts w:ascii="Arial"/>
                <w:spacing w:val="2"/>
              </w:rPr>
              <w:t xml:space="preserve"> </w:t>
            </w:r>
            <w:r>
              <w:rPr>
                <w:rFonts w:ascii="Arial"/>
                <w:spacing w:val="-2"/>
              </w:rPr>
              <w:t>employment</w:t>
            </w:r>
            <w:r>
              <w:rPr>
                <w:rFonts w:ascii="Arial"/>
              </w:rPr>
              <w:t xml:space="preserve"> to</w:t>
            </w:r>
            <w:r>
              <w:rPr>
                <w:rFonts w:ascii="Arial"/>
                <w:spacing w:val="-2"/>
              </w:rPr>
              <w:t xml:space="preserve"> </w:t>
            </w:r>
            <w:r>
              <w:rPr>
                <w:rFonts w:ascii="Arial"/>
                <w:spacing w:val="-1"/>
              </w:rPr>
              <w:t>which</w:t>
            </w:r>
            <w:r>
              <w:rPr>
                <w:rFonts w:ascii="Arial"/>
                <w:spacing w:val="-2"/>
              </w:rPr>
              <w:t xml:space="preserve"> </w:t>
            </w:r>
            <w:r>
              <w:rPr>
                <w:rFonts w:ascii="Arial"/>
              </w:rPr>
              <w:t>the</w:t>
            </w:r>
            <w:r>
              <w:rPr>
                <w:rFonts w:ascii="Arial"/>
                <w:spacing w:val="-2"/>
              </w:rPr>
              <w:t xml:space="preserve"> Employment</w:t>
            </w:r>
            <w:r>
              <w:rPr>
                <w:rFonts w:ascii="Arial"/>
                <w:spacing w:val="50"/>
              </w:rPr>
              <w:t xml:space="preserve"> </w:t>
            </w:r>
            <w:r>
              <w:rPr>
                <w:rFonts w:ascii="Arial"/>
                <w:spacing w:val="-1"/>
              </w:rPr>
              <w:t>Regulations</w:t>
            </w:r>
            <w:r>
              <w:rPr>
                <w:rFonts w:ascii="Arial"/>
                <w:spacing w:val="1"/>
              </w:rPr>
              <w:t xml:space="preserve"> </w:t>
            </w:r>
            <w:r>
              <w:rPr>
                <w:rFonts w:ascii="Arial"/>
                <w:spacing w:val="-2"/>
              </w:rPr>
              <w:t>applies;</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435"/>
              <w:rPr>
                <w:rFonts w:ascii="Arial" w:eastAsia="Arial" w:hAnsi="Arial" w:cs="Arial"/>
              </w:rPr>
            </w:pPr>
            <w:r>
              <w:rPr>
                <w:rFonts w:ascii="Arial"/>
                <w:b/>
                <w:spacing w:val="-1"/>
              </w:rPr>
              <w:t>"Relevant</w:t>
            </w:r>
            <w:r>
              <w:rPr>
                <w:rFonts w:ascii="Arial"/>
                <w:b/>
                <w:spacing w:val="2"/>
              </w:rPr>
              <w:t xml:space="preserve"> </w:t>
            </w:r>
            <w:r>
              <w:rPr>
                <w:rFonts w:ascii="Arial"/>
                <w:b/>
                <w:spacing w:val="-1"/>
              </w:rPr>
              <w:t>Transfer</w:t>
            </w:r>
            <w:r>
              <w:rPr>
                <w:rFonts w:ascii="Arial"/>
                <w:b/>
                <w:spacing w:val="21"/>
              </w:rPr>
              <w:t xml:space="preserve"> </w:t>
            </w:r>
            <w:r>
              <w:rPr>
                <w:rFonts w:ascii="Arial"/>
                <w:b/>
                <w:spacing w:val="-1"/>
              </w:rPr>
              <w:t>Date"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0"/>
              <w:rPr>
                <w:rFonts w:ascii="Arial" w:eastAsia="Arial" w:hAnsi="Arial" w:cs="Arial"/>
              </w:rPr>
            </w:pPr>
            <w:r>
              <w:rPr>
                <w:rFonts w:ascii="Arial"/>
                <w:spacing w:val="-1"/>
              </w:rPr>
              <w:t>means,</w:t>
            </w:r>
            <w:r>
              <w:rPr>
                <w:rFonts w:ascii="Arial"/>
                <w:spacing w:val="26"/>
              </w:rPr>
              <w:t xml:space="preserve"> </w:t>
            </w:r>
            <w:r>
              <w:rPr>
                <w:rFonts w:ascii="Arial"/>
                <w:spacing w:val="-1"/>
              </w:rPr>
              <w:t>in</w:t>
            </w:r>
            <w:r>
              <w:rPr>
                <w:rFonts w:ascii="Arial"/>
                <w:spacing w:val="24"/>
              </w:rPr>
              <w:t xml:space="preserve"> </w:t>
            </w:r>
            <w:r>
              <w:rPr>
                <w:rFonts w:ascii="Arial"/>
                <w:spacing w:val="-1"/>
              </w:rPr>
              <w:t>relation</w:t>
            </w:r>
            <w:r>
              <w:rPr>
                <w:rFonts w:ascii="Arial"/>
                <w:spacing w:val="24"/>
              </w:rPr>
              <w:t xml:space="preserve"> </w:t>
            </w:r>
            <w:r>
              <w:rPr>
                <w:rFonts w:ascii="Arial"/>
              </w:rPr>
              <w:t>to</w:t>
            </w:r>
            <w:r>
              <w:rPr>
                <w:rFonts w:ascii="Arial"/>
                <w:spacing w:val="24"/>
              </w:rPr>
              <w:t xml:space="preserve"> </w:t>
            </w:r>
            <w:r>
              <w:rPr>
                <w:rFonts w:ascii="Arial"/>
              </w:rPr>
              <w:t>a</w:t>
            </w:r>
            <w:r>
              <w:rPr>
                <w:rFonts w:ascii="Arial"/>
                <w:spacing w:val="22"/>
              </w:rPr>
              <w:t xml:space="preserve"> </w:t>
            </w:r>
            <w:r>
              <w:rPr>
                <w:rFonts w:ascii="Arial"/>
                <w:spacing w:val="-2"/>
              </w:rPr>
              <w:t>Relevant</w:t>
            </w:r>
            <w:r>
              <w:rPr>
                <w:rFonts w:ascii="Arial"/>
                <w:spacing w:val="26"/>
              </w:rPr>
              <w:t xml:space="preserve"> </w:t>
            </w:r>
            <w:r>
              <w:rPr>
                <w:rFonts w:ascii="Arial"/>
                <w:spacing w:val="-1"/>
              </w:rPr>
              <w:t>Transfer,</w:t>
            </w:r>
            <w:r>
              <w:rPr>
                <w:rFonts w:ascii="Arial"/>
                <w:spacing w:val="23"/>
              </w:rPr>
              <w:t xml:space="preserve"> </w:t>
            </w:r>
            <w:r>
              <w:rPr>
                <w:rFonts w:ascii="Arial"/>
              </w:rPr>
              <w:t>the</w:t>
            </w:r>
            <w:r>
              <w:rPr>
                <w:rFonts w:ascii="Arial"/>
                <w:spacing w:val="24"/>
              </w:rPr>
              <w:t xml:space="preserve"> </w:t>
            </w:r>
            <w:r>
              <w:rPr>
                <w:rFonts w:ascii="Arial"/>
                <w:spacing w:val="-1"/>
              </w:rPr>
              <w:t>date</w:t>
            </w:r>
            <w:r>
              <w:rPr>
                <w:rFonts w:ascii="Arial"/>
                <w:spacing w:val="24"/>
              </w:rPr>
              <w:t xml:space="preserve"> </w:t>
            </w:r>
            <w:r>
              <w:rPr>
                <w:rFonts w:ascii="Arial"/>
                <w:spacing w:val="-1"/>
              </w:rPr>
              <w:t>upon</w:t>
            </w:r>
            <w:r>
              <w:rPr>
                <w:rFonts w:ascii="Arial"/>
                <w:spacing w:val="38"/>
              </w:rPr>
              <w:t xml:space="preserve"> </w:t>
            </w:r>
            <w:r>
              <w:rPr>
                <w:rFonts w:ascii="Arial"/>
                <w:spacing w:val="-1"/>
              </w:rPr>
              <w:t>which</w:t>
            </w:r>
            <w:r>
              <w:rPr>
                <w:rFonts w:ascii="Arial"/>
                <w:spacing w:val="1"/>
              </w:rPr>
              <w:t xml:space="preserve"> </w:t>
            </w:r>
            <w:r>
              <w:rPr>
                <w:rFonts w:ascii="Arial"/>
              </w:rPr>
              <w:t xml:space="preserve">the </w:t>
            </w:r>
            <w:r>
              <w:rPr>
                <w:rFonts w:ascii="Arial"/>
                <w:spacing w:val="-2"/>
              </w:rPr>
              <w:t>Relevant</w:t>
            </w:r>
            <w:r>
              <w:rPr>
                <w:rFonts w:ascii="Arial"/>
              </w:rPr>
              <w:t xml:space="preserve"> </w:t>
            </w:r>
            <w:r>
              <w:rPr>
                <w:rFonts w:ascii="Arial"/>
                <w:spacing w:val="-1"/>
              </w:rPr>
              <w:t>Transfer takes</w:t>
            </w:r>
            <w:r>
              <w:rPr>
                <w:rFonts w:ascii="Arial"/>
                <w:spacing w:val="1"/>
              </w:rPr>
              <w:t xml:space="preserve"> </w:t>
            </w:r>
            <w:r>
              <w:rPr>
                <w:rFonts w:ascii="Arial"/>
                <w:spacing w:val="-1"/>
              </w:rPr>
              <w:t>place;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"Relief</w:t>
            </w:r>
            <w:r>
              <w:rPr>
                <w:rFonts w:ascii="Arial"/>
                <w:b/>
                <w:spacing w:val="2"/>
              </w:rPr>
              <w:t xml:space="preserve"> </w:t>
            </w:r>
            <w:r>
              <w:rPr>
                <w:rFonts w:ascii="Arial"/>
                <w:b/>
                <w:spacing w:val="-2"/>
              </w:rPr>
              <w:t>Notice"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1"/>
              <w:rPr>
                <w:rFonts w:ascii="Arial" w:eastAsia="Arial" w:hAnsi="Arial" w:cs="Arial"/>
              </w:rPr>
            </w:pPr>
            <w:r>
              <w:rPr>
                <w:rFonts w:ascii="Arial"/>
                <w:spacing w:val="-1"/>
              </w:rPr>
              <w:t>has</w:t>
            </w:r>
            <w:r>
              <w:rPr>
                <w:rFonts w:ascii="Arial"/>
                <w:spacing w:val="49"/>
              </w:rPr>
              <w:t xml:space="preserve"> </w:t>
            </w:r>
            <w:r>
              <w:rPr>
                <w:rFonts w:ascii="Arial"/>
              </w:rPr>
              <w:t>the</w:t>
            </w:r>
            <w:r>
              <w:rPr>
                <w:rFonts w:ascii="Arial"/>
                <w:spacing w:val="48"/>
              </w:rPr>
              <w:t xml:space="preserve"> </w:t>
            </w:r>
            <w:r>
              <w:rPr>
                <w:rFonts w:ascii="Arial"/>
                <w:spacing w:val="-1"/>
              </w:rPr>
              <w:t>meaning</w:t>
            </w:r>
            <w:r>
              <w:rPr>
                <w:rFonts w:ascii="Arial"/>
                <w:spacing w:val="48"/>
              </w:rPr>
              <w:t xml:space="preserve"> </w:t>
            </w:r>
            <w:r>
              <w:rPr>
                <w:rFonts w:ascii="Arial"/>
                <w:spacing w:val="-1"/>
              </w:rPr>
              <w:t>given</w:t>
            </w:r>
            <w:r>
              <w:rPr>
                <w:rFonts w:ascii="Arial"/>
                <w:spacing w:val="48"/>
              </w:rPr>
              <w:t xml:space="preserve"> </w:t>
            </w:r>
            <w:r>
              <w:rPr>
                <w:rFonts w:ascii="Arial"/>
              </w:rPr>
              <w:t>to</w:t>
            </w:r>
            <w:r>
              <w:rPr>
                <w:rFonts w:ascii="Arial"/>
                <w:spacing w:val="48"/>
              </w:rPr>
              <w:t xml:space="preserve"> </w:t>
            </w:r>
            <w:r>
              <w:rPr>
                <w:rFonts w:ascii="Arial"/>
                <w:spacing w:val="-1"/>
              </w:rPr>
              <w:t>it</w:t>
            </w:r>
            <w:r>
              <w:rPr>
                <w:rFonts w:ascii="Arial"/>
                <w:spacing w:val="50"/>
              </w:rPr>
              <w:t xml:space="preserve"> </w:t>
            </w:r>
            <w:r>
              <w:rPr>
                <w:rFonts w:ascii="Arial"/>
                <w:spacing w:val="-1"/>
              </w:rPr>
              <w:t>in</w:t>
            </w:r>
            <w:r>
              <w:rPr>
                <w:rFonts w:ascii="Arial"/>
                <w:spacing w:val="49"/>
              </w:rPr>
              <w:t xml:space="preserve"> </w:t>
            </w:r>
            <w:r>
              <w:rPr>
                <w:rFonts w:ascii="Arial"/>
                <w:spacing w:val="-1"/>
              </w:rPr>
              <w:t>Clause</w:t>
            </w:r>
            <w:r>
              <w:rPr>
                <w:rFonts w:ascii="Arial"/>
                <w:spacing w:val="49"/>
              </w:rPr>
              <w:t xml:space="preserve"> </w:t>
            </w:r>
            <w:hyperlink w:anchor="_bookmark224" w:history="1">
              <w:r>
                <w:rPr>
                  <w:rFonts w:ascii="Arial"/>
                  <w:spacing w:val="-1"/>
                </w:rPr>
                <w:t>39.2.2</w:t>
              </w:r>
            </w:hyperlink>
            <w:r>
              <w:rPr>
                <w:rFonts w:ascii="Arial"/>
                <w:spacing w:val="50"/>
              </w:rPr>
              <w:t xml:space="preserve"> </w:t>
            </w:r>
            <w:r>
              <w:rPr>
                <w:rFonts w:ascii="Arial"/>
                <w:spacing w:val="-2"/>
              </w:rPr>
              <w:t>(Supplier</w:t>
            </w:r>
            <w:r>
              <w:rPr>
                <w:rFonts w:ascii="Arial"/>
                <w:spacing w:val="38"/>
              </w:rPr>
              <w:t xml:space="preserve"> </w:t>
            </w:r>
            <w:r>
              <w:rPr>
                <w:rFonts w:ascii="Arial"/>
                <w:spacing w:val="-2"/>
              </w:rPr>
              <w:t>Relief</w:t>
            </w:r>
            <w:r>
              <w:rPr>
                <w:rFonts w:ascii="Arial"/>
                <w:spacing w:val="4"/>
              </w:rPr>
              <w:t xml:space="preserve"> </w:t>
            </w:r>
            <w:r>
              <w:rPr>
                <w:rFonts w:ascii="Arial"/>
                <w:spacing w:val="-1"/>
              </w:rPr>
              <w:t>Due</w:t>
            </w:r>
            <w:r>
              <w:rPr>
                <w:rFonts w:ascii="Arial"/>
                <w:spacing w:val="-2"/>
              </w:rPr>
              <w:t xml:space="preserve"> </w:t>
            </w:r>
            <w:r>
              <w:rPr>
                <w:rFonts w:ascii="Arial"/>
              </w:rPr>
              <w:t>to</w:t>
            </w:r>
            <w:r>
              <w:rPr>
                <w:rFonts w:ascii="Arial"/>
                <w:spacing w:val="-2"/>
              </w:rPr>
              <w:t xml:space="preserve"> </w:t>
            </w:r>
            <w:r>
              <w:rPr>
                <w:rFonts w:ascii="Arial"/>
                <w:spacing w:val="-1"/>
              </w:rPr>
              <w:t>Customer</w:t>
            </w:r>
            <w:r>
              <w:rPr>
                <w:rFonts w:ascii="Arial"/>
                <w:spacing w:val="-3"/>
              </w:rPr>
              <w:t xml:space="preserve"> </w:t>
            </w:r>
            <w:r>
              <w:rPr>
                <w:rFonts w:ascii="Arial"/>
                <w:spacing w:val="-1"/>
              </w:rPr>
              <w:t>Cause);</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924"/>
              <w:rPr>
                <w:rFonts w:ascii="Arial" w:eastAsia="Arial" w:hAnsi="Arial" w:cs="Arial"/>
              </w:rPr>
            </w:pPr>
            <w:r>
              <w:rPr>
                <w:rFonts w:ascii="Arial"/>
                <w:b/>
                <w:spacing w:val="-1"/>
              </w:rPr>
              <w:t>"Replacement</w:t>
            </w:r>
            <w:r>
              <w:rPr>
                <w:rFonts w:ascii="Arial"/>
                <w:b/>
                <w:spacing w:val="23"/>
              </w:rPr>
              <w:t xml:space="preserve"> </w:t>
            </w:r>
            <w:r>
              <w:rPr>
                <w:rFonts w:ascii="Arial"/>
                <w:b/>
                <w:spacing w:val="-1"/>
              </w:rPr>
              <w:t>Goods"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5"/>
              </w:rPr>
              <w:t xml:space="preserve"> </w:t>
            </w:r>
            <w:r>
              <w:rPr>
                <w:rFonts w:ascii="Arial"/>
                <w:spacing w:val="-1"/>
              </w:rPr>
              <w:t>any</w:t>
            </w:r>
            <w:r>
              <w:rPr>
                <w:rFonts w:ascii="Arial"/>
                <w:spacing w:val="3"/>
              </w:rPr>
              <w:t xml:space="preserve"> </w:t>
            </w:r>
            <w:r>
              <w:rPr>
                <w:rFonts w:ascii="Arial"/>
                <w:spacing w:val="-1"/>
              </w:rPr>
              <w:t>goods</w:t>
            </w:r>
            <w:r>
              <w:rPr>
                <w:rFonts w:ascii="Arial"/>
                <w:spacing w:val="5"/>
              </w:rPr>
              <w:t xml:space="preserve"> </w:t>
            </w:r>
            <w:r>
              <w:rPr>
                <w:rFonts w:ascii="Arial"/>
                <w:spacing w:val="-2"/>
              </w:rPr>
              <w:t>which</w:t>
            </w:r>
            <w:r>
              <w:rPr>
                <w:rFonts w:ascii="Arial"/>
                <w:spacing w:val="8"/>
              </w:rPr>
              <w:t xml:space="preserve"> </w:t>
            </w:r>
            <w:r>
              <w:rPr>
                <w:rFonts w:ascii="Arial"/>
                <w:spacing w:val="-1"/>
              </w:rPr>
              <w:t>are</w:t>
            </w:r>
            <w:r>
              <w:rPr>
                <w:rFonts w:ascii="Arial"/>
                <w:spacing w:val="5"/>
              </w:rPr>
              <w:t xml:space="preserve"> </w:t>
            </w:r>
            <w:r>
              <w:rPr>
                <w:rFonts w:ascii="Arial"/>
                <w:spacing w:val="-1"/>
              </w:rPr>
              <w:t>substantially</w:t>
            </w:r>
            <w:r>
              <w:rPr>
                <w:rFonts w:ascii="Arial"/>
                <w:spacing w:val="5"/>
              </w:rPr>
              <w:t xml:space="preserve"> </w:t>
            </w:r>
            <w:r>
              <w:rPr>
                <w:rFonts w:ascii="Arial"/>
                <w:spacing w:val="-1"/>
              </w:rPr>
              <w:t>similar</w:t>
            </w:r>
            <w:r>
              <w:rPr>
                <w:rFonts w:ascii="Arial"/>
                <w:spacing w:val="6"/>
              </w:rPr>
              <w:t xml:space="preserve"> </w:t>
            </w:r>
            <w:r>
              <w:rPr>
                <w:rFonts w:ascii="Arial"/>
              </w:rPr>
              <w:t>to</w:t>
            </w:r>
            <w:r>
              <w:rPr>
                <w:rFonts w:ascii="Arial"/>
                <w:spacing w:val="5"/>
              </w:rPr>
              <w:t xml:space="preserve"> </w:t>
            </w:r>
            <w:r>
              <w:rPr>
                <w:rFonts w:ascii="Arial"/>
                <w:spacing w:val="-1"/>
              </w:rPr>
              <w:t>any</w:t>
            </w:r>
            <w:r>
              <w:rPr>
                <w:rFonts w:ascii="Arial"/>
                <w:spacing w:val="3"/>
              </w:rPr>
              <w:t xml:space="preserve"> </w:t>
            </w:r>
            <w:r>
              <w:rPr>
                <w:rFonts w:ascii="Arial"/>
                <w:spacing w:val="-1"/>
              </w:rPr>
              <w:t>of</w:t>
            </w:r>
            <w:r>
              <w:rPr>
                <w:rFonts w:ascii="Arial"/>
                <w:spacing w:val="28"/>
              </w:rPr>
              <w:t xml:space="preserve"> </w:t>
            </w:r>
            <w:r>
              <w:rPr>
                <w:rFonts w:ascii="Arial"/>
              </w:rPr>
              <w:t>the</w:t>
            </w:r>
            <w:r>
              <w:rPr>
                <w:rFonts w:ascii="Arial"/>
                <w:spacing w:val="34"/>
              </w:rPr>
              <w:t xml:space="preserve"> </w:t>
            </w:r>
            <w:r>
              <w:rPr>
                <w:rFonts w:ascii="Arial"/>
                <w:spacing w:val="-1"/>
              </w:rPr>
              <w:t>Goods</w:t>
            </w:r>
            <w:r>
              <w:rPr>
                <w:rFonts w:ascii="Arial"/>
                <w:spacing w:val="37"/>
              </w:rPr>
              <w:t xml:space="preserve"> </w:t>
            </w:r>
            <w:r>
              <w:rPr>
                <w:rFonts w:ascii="Arial"/>
                <w:spacing w:val="-1"/>
              </w:rPr>
              <w:t>and</w:t>
            </w:r>
            <w:r>
              <w:rPr>
                <w:rFonts w:ascii="Arial"/>
                <w:spacing w:val="36"/>
              </w:rPr>
              <w:t xml:space="preserve"> </w:t>
            </w:r>
            <w:r>
              <w:rPr>
                <w:rFonts w:ascii="Arial"/>
                <w:spacing w:val="-2"/>
              </w:rPr>
              <w:t>which</w:t>
            </w:r>
            <w:r>
              <w:rPr>
                <w:rFonts w:ascii="Arial"/>
                <w:spacing w:val="37"/>
              </w:rPr>
              <w:t xml:space="preserve"> </w:t>
            </w:r>
            <w:r>
              <w:rPr>
                <w:rFonts w:ascii="Arial"/>
              </w:rPr>
              <w:t>the</w:t>
            </w:r>
            <w:r>
              <w:rPr>
                <w:rFonts w:ascii="Arial"/>
                <w:spacing w:val="36"/>
              </w:rPr>
              <w:t xml:space="preserve"> </w:t>
            </w:r>
            <w:r>
              <w:rPr>
                <w:rFonts w:ascii="Arial"/>
                <w:spacing w:val="-2"/>
              </w:rPr>
              <w:t>Customer</w:t>
            </w:r>
            <w:r>
              <w:rPr>
                <w:rFonts w:ascii="Arial"/>
                <w:spacing w:val="35"/>
              </w:rPr>
              <w:t xml:space="preserve"> </w:t>
            </w:r>
            <w:r>
              <w:rPr>
                <w:rFonts w:ascii="Arial"/>
                <w:spacing w:val="-2"/>
              </w:rPr>
              <w:t>receives</w:t>
            </w:r>
            <w:r>
              <w:rPr>
                <w:rFonts w:ascii="Arial"/>
                <w:spacing w:val="38"/>
              </w:rPr>
              <w:t xml:space="preserve"> </w:t>
            </w:r>
            <w:r>
              <w:rPr>
                <w:rFonts w:ascii="Arial"/>
                <w:spacing w:val="-1"/>
              </w:rPr>
              <w:t>in</w:t>
            </w:r>
            <w:r>
              <w:rPr>
                <w:rFonts w:ascii="Arial"/>
                <w:spacing w:val="37"/>
              </w:rPr>
              <w:t xml:space="preserve"> </w:t>
            </w:r>
            <w:r>
              <w:rPr>
                <w:rFonts w:ascii="Arial"/>
                <w:spacing w:val="-1"/>
              </w:rPr>
              <w:t>substitution</w:t>
            </w:r>
            <w:r>
              <w:rPr>
                <w:rFonts w:ascii="Arial"/>
                <w:spacing w:val="43"/>
              </w:rPr>
              <w:t xml:space="preserve"> </w:t>
            </w:r>
            <w:r>
              <w:rPr>
                <w:rFonts w:ascii="Arial"/>
              </w:rPr>
              <w:t>for</w:t>
            </w:r>
            <w:r>
              <w:rPr>
                <w:rFonts w:ascii="Arial"/>
                <w:spacing w:val="47"/>
              </w:rPr>
              <w:t xml:space="preserve"> </w:t>
            </w:r>
            <w:r>
              <w:rPr>
                <w:rFonts w:ascii="Arial"/>
                <w:spacing w:val="-1"/>
              </w:rPr>
              <w:t>any</w:t>
            </w:r>
            <w:r>
              <w:rPr>
                <w:rFonts w:ascii="Arial"/>
                <w:spacing w:val="44"/>
              </w:rPr>
              <w:t xml:space="preserve"> </w:t>
            </w:r>
            <w:r>
              <w:rPr>
                <w:rFonts w:ascii="Arial"/>
                <w:spacing w:val="-1"/>
              </w:rPr>
              <w:t>of</w:t>
            </w:r>
            <w:r>
              <w:rPr>
                <w:rFonts w:ascii="Arial"/>
                <w:spacing w:val="49"/>
              </w:rPr>
              <w:t xml:space="preserve"> </w:t>
            </w:r>
            <w:r>
              <w:rPr>
                <w:rFonts w:ascii="Arial"/>
                <w:spacing w:val="-1"/>
              </w:rPr>
              <w:t>the</w:t>
            </w:r>
            <w:r>
              <w:rPr>
                <w:rFonts w:ascii="Arial"/>
                <w:spacing w:val="46"/>
              </w:rPr>
              <w:t xml:space="preserve"> </w:t>
            </w:r>
            <w:r>
              <w:rPr>
                <w:rFonts w:ascii="Arial"/>
                <w:spacing w:val="-1"/>
              </w:rPr>
              <w:t>Goods</w:t>
            </w:r>
            <w:r>
              <w:rPr>
                <w:rFonts w:ascii="Arial"/>
                <w:spacing w:val="44"/>
              </w:rPr>
              <w:t xml:space="preserve"> </w:t>
            </w:r>
            <w:r>
              <w:rPr>
                <w:rFonts w:ascii="Arial"/>
                <w:spacing w:val="-2"/>
              </w:rPr>
              <w:t>following</w:t>
            </w:r>
            <w:r>
              <w:rPr>
                <w:rFonts w:ascii="Arial"/>
                <w:spacing w:val="49"/>
              </w:rPr>
              <w:t xml:space="preserve"> </w:t>
            </w:r>
            <w:r>
              <w:rPr>
                <w:rFonts w:ascii="Arial"/>
              </w:rPr>
              <w:t>the</w:t>
            </w:r>
            <w:r>
              <w:rPr>
                <w:rFonts w:ascii="Arial"/>
                <w:spacing w:val="46"/>
              </w:rPr>
              <w:t xml:space="preserve"> </w:t>
            </w:r>
            <w:r>
              <w:rPr>
                <w:rFonts w:ascii="Arial"/>
                <w:spacing w:val="-2"/>
              </w:rPr>
              <w:t>Call</w:t>
            </w:r>
            <w:r>
              <w:rPr>
                <w:rFonts w:ascii="Arial"/>
                <w:spacing w:val="45"/>
              </w:rPr>
              <w:t xml:space="preserve"> </w:t>
            </w:r>
            <w:r>
              <w:rPr>
                <w:rFonts w:ascii="Arial"/>
                <w:spacing w:val="-1"/>
              </w:rPr>
              <w:t>Off</w:t>
            </w:r>
            <w:r>
              <w:rPr>
                <w:rFonts w:ascii="Arial"/>
                <w:spacing w:val="49"/>
              </w:rPr>
              <w:t xml:space="preserve"> </w:t>
            </w:r>
            <w:r>
              <w:rPr>
                <w:rFonts w:ascii="Arial"/>
                <w:spacing w:val="-1"/>
              </w:rPr>
              <w:t>Expiry</w:t>
            </w:r>
            <w:r>
              <w:rPr>
                <w:rFonts w:ascii="Arial"/>
                <w:spacing w:val="51"/>
              </w:rPr>
              <w:t xml:space="preserve"> </w:t>
            </w:r>
            <w:r>
              <w:rPr>
                <w:rFonts w:ascii="Arial"/>
                <w:spacing w:val="-1"/>
              </w:rPr>
              <w:t>Date,</w:t>
            </w:r>
            <w:r>
              <w:rPr>
                <w:rFonts w:ascii="Arial"/>
                <w:spacing w:val="55"/>
              </w:rPr>
              <w:t xml:space="preserve"> </w:t>
            </w:r>
            <w:r>
              <w:rPr>
                <w:rFonts w:ascii="Arial"/>
                <w:spacing w:val="-1"/>
              </w:rPr>
              <w:t>whether</w:t>
            </w:r>
            <w:r>
              <w:rPr>
                <w:rFonts w:ascii="Arial"/>
                <w:spacing w:val="54"/>
              </w:rPr>
              <w:t xml:space="preserve"> </w:t>
            </w:r>
            <w:r>
              <w:rPr>
                <w:rFonts w:ascii="Arial"/>
                <w:spacing w:val="-1"/>
              </w:rPr>
              <w:t>those</w:t>
            </w:r>
            <w:r>
              <w:rPr>
                <w:rFonts w:ascii="Arial"/>
                <w:spacing w:val="53"/>
              </w:rPr>
              <w:t xml:space="preserve"> </w:t>
            </w:r>
            <w:r>
              <w:rPr>
                <w:rFonts w:ascii="Arial"/>
                <w:spacing w:val="-1"/>
              </w:rPr>
              <w:t>goods</w:t>
            </w:r>
            <w:r>
              <w:rPr>
                <w:rFonts w:ascii="Arial"/>
                <w:spacing w:val="53"/>
              </w:rPr>
              <w:t xml:space="preserve"> </w:t>
            </w:r>
            <w:r>
              <w:rPr>
                <w:rFonts w:ascii="Arial"/>
                <w:spacing w:val="-1"/>
              </w:rPr>
              <w:t>are</w:t>
            </w:r>
            <w:r>
              <w:rPr>
                <w:rFonts w:ascii="Arial"/>
                <w:spacing w:val="51"/>
              </w:rPr>
              <w:t xml:space="preserve"> </w:t>
            </w:r>
            <w:r>
              <w:rPr>
                <w:rFonts w:ascii="Arial"/>
                <w:spacing w:val="-2"/>
              </w:rPr>
              <w:t>provided</w:t>
            </w:r>
            <w:r>
              <w:rPr>
                <w:rFonts w:ascii="Arial"/>
                <w:spacing w:val="54"/>
              </w:rPr>
              <w:t xml:space="preserve"> </w:t>
            </w:r>
            <w:r>
              <w:rPr>
                <w:rFonts w:ascii="Arial"/>
                <w:spacing w:val="-1"/>
              </w:rPr>
              <w:t>by</w:t>
            </w:r>
            <w:r>
              <w:rPr>
                <w:rFonts w:ascii="Arial"/>
                <w:spacing w:val="51"/>
              </w:rPr>
              <w:t xml:space="preserve"> </w:t>
            </w:r>
            <w:r>
              <w:rPr>
                <w:rFonts w:ascii="Arial"/>
                <w:spacing w:val="-1"/>
              </w:rPr>
              <w:t>the</w:t>
            </w:r>
            <w:r>
              <w:rPr>
                <w:rFonts w:ascii="Arial"/>
                <w:spacing w:val="38"/>
              </w:rPr>
              <w:t xml:space="preserve"> </w:t>
            </w:r>
            <w:r>
              <w:rPr>
                <w:rFonts w:ascii="Arial"/>
                <w:spacing w:val="-1"/>
              </w:rPr>
              <w:t>Customer</w:t>
            </w:r>
            <w:r>
              <w:rPr>
                <w:rFonts w:ascii="Arial"/>
                <w:spacing w:val="2"/>
              </w:rPr>
              <w:t xml:space="preserve"> </w:t>
            </w:r>
            <w:r>
              <w:rPr>
                <w:rFonts w:ascii="Arial"/>
                <w:spacing w:val="-2"/>
              </w:rPr>
              <w:t xml:space="preserve">internally </w:t>
            </w:r>
            <w:r>
              <w:rPr>
                <w:rFonts w:ascii="Arial"/>
                <w:spacing w:val="-1"/>
              </w:rPr>
              <w:t>and/or</w:t>
            </w:r>
            <w:r>
              <w:rPr>
                <w:rFonts w:ascii="Arial"/>
                <w:spacing w:val="2"/>
              </w:rPr>
              <w:t xml:space="preserve"> </w:t>
            </w:r>
            <w:r>
              <w:rPr>
                <w:rFonts w:ascii="Arial"/>
                <w:spacing w:val="-1"/>
              </w:rPr>
              <w:t>by</w:t>
            </w:r>
            <w:r>
              <w:rPr>
                <w:rFonts w:ascii="Arial"/>
                <w:spacing w:val="-2"/>
              </w:rPr>
              <w:t xml:space="preserve"> </w:t>
            </w:r>
            <w:r>
              <w:rPr>
                <w:rFonts w:ascii="Arial"/>
                <w:spacing w:val="-1"/>
              </w:rPr>
              <w:t>any</w:t>
            </w:r>
            <w:r>
              <w:rPr>
                <w:rFonts w:ascii="Arial"/>
                <w:spacing w:val="-2"/>
              </w:rPr>
              <w:t xml:space="preserve"> </w:t>
            </w:r>
            <w:r>
              <w:rPr>
                <w:rFonts w:ascii="Arial"/>
                <w:spacing w:val="-1"/>
              </w:rPr>
              <w:t>third</w:t>
            </w:r>
            <w:r>
              <w:rPr>
                <w:rFonts w:ascii="Arial"/>
                <w:spacing w:val="-2"/>
              </w:rPr>
              <w:t xml:space="preserve"> </w:t>
            </w:r>
            <w:r>
              <w:rPr>
                <w:rFonts w:ascii="Arial"/>
                <w:spacing w:val="-1"/>
              </w:rPr>
              <w:t>party;</w:t>
            </w:r>
          </w:p>
        </w:tc>
      </w:tr>
      <w:tr w:rsidR="008918FA" w:rsidTr="005D2B81">
        <w:trPr>
          <w:trHeight w:hRule="exact" w:val="140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924"/>
              <w:rPr>
                <w:rFonts w:ascii="Arial" w:eastAsia="Arial" w:hAnsi="Arial" w:cs="Arial"/>
              </w:rPr>
            </w:pPr>
            <w:r>
              <w:rPr>
                <w:rFonts w:ascii="Arial"/>
                <w:b/>
                <w:spacing w:val="-1"/>
              </w:rPr>
              <w:t>"Replacement</w:t>
            </w:r>
            <w:r>
              <w:rPr>
                <w:rFonts w:ascii="Arial"/>
                <w:b/>
                <w:spacing w:val="23"/>
              </w:rPr>
              <w:t xml:space="preserve"> </w:t>
            </w:r>
            <w:r>
              <w:rPr>
                <w:rFonts w:ascii="Arial"/>
                <w:b/>
                <w:spacing w:val="-1"/>
              </w:rPr>
              <w:t>Services"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13"/>
              </w:rPr>
              <w:t xml:space="preserve"> </w:t>
            </w:r>
            <w:r>
              <w:rPr>
                <w:rFonts w:ascii="Arial"/>
                <w:spacing w:val="-1"/>
              </w:rPr>
              <w:t>any</w:t>
            </w:r>
            <w:r>
              <w:rPr>
                <w:rFonts w:ascii="Arial"/>
                <w:spacing w:val="10"/>
              </w:rPr>
              <w:t xml:space="preserve"> </w:t>
            </w:r>
            <w:r>
              <w:rPr>
                <w:rFonts w:ascii="Arial"/>
                <w:spacing w:val="-1"/>
              </w:rPr>
              <w:t>services</w:t>
            </w:r>
            <w:r>
              <w:rPr>
                <w:rFonts w:ascii="Arial"/>
                <w:spacing w:val="13"/>
              </w:rPr>
              <w:t xml:space="preserve"> </w:t>
            </w:r>
            <w:r>
              <w:rPr>
                <w:rFonts w:ascii="Arial"/>
                <w:spacing w:val="-1"/>
              </w:rPr>
              <w:t>which</w:t>
            </w:r>
            <w:r>
              <w:rPr>
                <w:rFonts w:ascii="Arial"/>
                <w:spacing w:val="13"/>
              </w:rPr>
              <w:t xml:space="preserve"> </w:t>
            </w:r>
            <w:r>
              <w:rPr>
                <w:rFonts w:ascii="Arial"/>
                <w:spacing w:val="-1"/>
              </w:rPr>
              <w:t>are</w:t>
            </w:r>
            <w:r>
              <w:rPr>
                <w:rFonts w:ascii="Arial"/>
                <w:spacing w:val="10"/>
              </w:rPr>
              <w:t xml:space="preserve"> </w:t>
            </w:r>
            <w:r>
              <w:rPr>
                <w:rFonts w:ascii="Arial"/>
                <w:spacing w:val="-1"/>
              </w:rPr>
              <w:t>substantially</w:t>
            </w:r>
            <w:r>
              <w:rPr>
                <w:rFonts w:ascii="Arial"/>
                <w:spacing w:val="10"/>
              </w:rPr>
              <w:t xml:space="preserve"> </w:t>
            </w:r>
            <w:r>
              <w:rPr>
                <w:rFonts w:ascii="Arial"/>
                <w:spacing w:val="-1"/>
              </w:rPr>
              <w:t>similar</w:t>
            </w:r>
            <w:r>
              <w:rPr>
                <w:rFonts w:ascii="Arial"/>
                <w:spacing w:val="14"/>
              </w:rPr>
              <w:t xml:space="preserve"> </w:t>
            </w:r>
            <w:r>
              <w:rPr>
                <w:rFonts w:ascii="Arial"/>
              </w:rPr>
              <w:t>to</w:t>
            </w:r>
            <w:r>
              <w:rPr>
                <w:rFonts w:ascii="Arial"/>
                <w:spacing w:val="10"/>
              </w:rPr>
              <w:t xml:space="preserve"> </w:t>
            </w:r>
            <w:r>
              <w:rPr>
                <w:rFonts w:ascii="Arial"/>
                <w:spacing w:val="-1"/>
              </w:rPr>
              <w:t>any</w:t>
            </w:r>
            <w:r>
              <w:rPr>
                <w:rFonts w:ascii="Arial"/>
                <w:spacing w:val="22"/>
              </w:rPr>
              <w:t xml:space="preserve"> </w:t>
            </w:r>
            <w:r>
              <w:rPr>
                <w:rFonts w:ascii="Arial"/>
                <w:spacing w:val="-2"/>
              </w:rPr>
              <w:t>of</w:t>
            </w:r>
            <w:r>
              <w:rPr>
                <w:rFonts w:ascii="Arial"/>
                <w:spacing w:val="24"/>
              </w:rPr>
              <w:t xml:space="preserve"> </w:t>
            </w:r>
            <w:r>
              <w:rPr>
                <w:rFonts w:ascii="Arial"/>
              </w:rPr>
              <w:t>the</w:t>
            </w:r>
            <w:r>
              <w:rPr>
                <w:rFonts w:ascii="Arial"/>
                <w:spacing w:val="23"/>
              </w:rPr>
              <w:t xml:space="preserve"> </w:t>
            </w:r>
            <w:r>
              <w:rPr>
                <w:rFonts w:ascii="Arial"/>
                <w:spacing w:val="-1"/>
              </w:rPr>
              <w:t>Services</w:t>
            </w:r>
            <w:r>
              <w:rPr>
                <w:rFonts w:ascii="Arial"/>
                <w:spacing w:val="24"/>
              </w:rPr>
              <w:t xml:space="preserve"> </w:t>
            </w:r>
            <w:r>
              <w:rPr>
                <w:rFonts w:ascii="Arial"/>
                <w:spacing w:val="-1"/>
              </w:rPr>
              <w:t>and</w:t>
            </w:r>
            <w:r>
              <w:rPr>
                <w:rFonts w:ascii="Arial"/>
                <w:spacing w:val="21"/>
              </w:rPr>
              <w:t xml:space="preserve"> </w:t>
            </w:r>
            <w:r>
              <w:rPr>
                <w:rFonts w:ascii="Arial"/>
                <w:spacing w:val="-2"/>
              </w:rPr>
              <w:t>which</w:t>
            </w:r>
            <w:r>
              <w:rPr>
                <w:rFonts w:ascii="Arial"/>
                <w:spacing w:val="24"/>
              </w:rPr>
              <w:t xml:space="preserve"> </w:t>
            </w:r>
            <w:r>
              <w:rPr>
                <w:rFonts w:ascii="Arial"/>
              </w:rPr>
              <w:t>the</w:t>
            </w:r>
            <w:r>
              <w:rPr>
                <w:rFonts w:ascii="Arial"/>
                <w:spacing w:val="23"/>
              </w:rPr>
              <w:t xml:space="preserve"> </w:t>
            </w:r>
            <w:r>
              <w:rPr>
                <w:rFonts w:ascii="Arial"/>
                <w:spacing w:val="-2"/>
              </w:rPr>
              <w:t>Customer</w:t>
            </w:r>
            <w:r>
              <w:rPr>
                <w:rFonts w:ascii="Arial"/>
                <w:spacing w:val="22"/>
              </w:rPr>
              <w:t xml:space="preserve"> </w:t>
            </w:r>
            <w:r>
              <w:rPr>
                <w:rFonts w:ascii="Arial"/>
                <w:spacing w:val="-2"/>
              </w:rPr>
              <w:t>receives</w:t>
            </w:r>
            <w:r>
              <w:rPr>
                <w:rFonts w:ascii="Arial"/>
                <w:spacing w:val="24"/>
              </w:rPr>
              <w:t xml:space="preserve"> </w:t>
            </w:r>
            <w:r>
              <w:rPr>
                <w:rFonts w:ascii="Arial"/>
                <w:spacing w:val="-2"/>
              </w:rPr>
              <w:t>in</w:t>
            </w:r>
            <w:r>
              <w:rPr>
                <w:rFonts w:ascii="Arial"/>
                <w:spacing w:val="39"/>
              </w:rPr>
              <w:t xml:space="preserve"> </w:t>
            </w:r>
            <w:r>
              <w:rPr>
                <w:rFonts w:ascii="Arial"/>
                <w:spacing w:val="-1"/>
              </w:rPr>
              <w:t>substitution</w:t>
            </w:r>
            <w:r>
              <w:rPr>
                <w:rFonts w:ascii="Arial"/>
                <w:spacing w:val="22"/>
              </w:rPr>
              <w:t xml:space="preserve"> </w:t>
            </w:r>
            <w:r>
              <w:rPr>
                <w:rFonts w:ascii="Arial"/>
              </w:rPr>
              <w:t>for</w:t>
            </w:r>
            <w:r>
              <w:rPr>
                <w:rFonts w:ascii="Arial"/>
                <w:spacing w:val="26"/>
              </w:rPr>
              <w:t xml:space="preserve"> </w:t>
            </w:r>
            <w:r>
              <w:rPr>
                <w:rFonts w:ascii="Arial"/>
                <w:spacing w:val="-1"/>
              </w:rPr>
              <w:t>any</w:t>
            </w:r>
            <w:r>
              <w:rPr>
                <w:rFonts w:ascii="Arial"/>
                <w:spacing w:val="22"/>
              </w:rPr>
              <w:t xml:space="preserve"> </w:t>
            </w:r>
            <w:r>
              <w:rPr>
                <w:rFonts w:ascii="Arial"/>
                <w:spacing w:val="-1"/>
              </w:rPr>
              <w:t>of</w:t>
            </w:r>
            <w:r>
              <w:rPr>
                <w:rFonts w:ascii="Arial"/>
                <w:spacing w:val="26"/>
              </w:rPr>
              <w:t xml:space="preserve"> </w:t>
            </w:r>
            <w:r>
              <w:rPr>
                <w:rFonts w:ascii="Arial"/>
                <w:spacing w:val="-1"/>
              </w:rPr>
              <w:t>the</w:t>
            </w:r>
            <w:r>
              <w:rPr>
                <w:rFonts w:ascii="Arial"/>
                <w:spacing w:val="24"/>
              </w:rPr>
              <w:t xml:space="preserve"> </w:t>
            </w:r>
            <w:r>
              <w:rPr>
                <w:rFonts w:ascii="Arial"/>
                <w:spacing w:val="-1"/>
              </w:rPr>
              <w:t>Services</w:t>
            </w:r>
            <w:r>
              <w:rPr>
                <w:rFonts w:ascii="Arial"/>
                <w:spacing w:val="25"/>
              </w:rPr>
              <w:t xml:space="preserve"> </w:t>
            </w:r>
            <w:r>
              <w:rPr>
                <w:rFonts w:ascii="Arial"/>
                <w:spacing w:val="-1"/>
              </w:rPr>
              <w:t>following</w:t>
            </w:r>
            <w:r>
              <w:rPr>
                <w:rFonts w:ascii="Arial"/>
                <w:spacing w:val="27"/>
              </w:rPr>
              <w:t xml:space="preserve"> </w:t>
            </w:r>
            <w:r>
              <w:rPr>
                <w:rFonts w:ascii="Arial"/>
              </w:rPr>
              <w:t>the</w:t>
            </w:r>
            <w:r>
              <w:rPr>
                <w:rFonts w:ascii="Arial"/>
                <w:spacing w:val="22"/>
              </w:rPr>
              <w:t xml:space="preserve"> </w:t>
            </w:r>
            <w:r>
              <w:rPr>
                <w:rFonts w:ascii="Arial"/>
                <w:spacing w:val="-2"/>
              </w:rPr>
              <w:t>Call</w:t>
            </w:r>
            <w:r>
              <w:rPr>
                <w:rFonts w:ascii="Arial"/>
                <w:spacing w:val="24"/>
              </w:rPr>
              <w:t xml:space="preserve"> </w:t>
            </w:r>
            <w:r>
              <w:rPr>
                <w:rFonts w:ascii="Arial"/>
              </w:rPr>
              <w:t>Off</w:t>
            </w:r>
            <w:r>
              <w:rPr>
                <w:rFonts w:ascii="Arial"/>
                <w:spacing w:val="31"/>
              </w:rPr>
              <w:t xml:space="preserve"> </w:t>
            </w:r>
            <w:r>
              <w:rPr>
                <w:rFonts w:ascii="Arial"/>
                <w:spacing w:val="-1"/>
              </w:rPr>
              <w:t>Expiry</w:t>
            </w:r>
            <w:r>
              <w:rPr>
                <w:rFonts w:ascii="Arial"/>
                <w:spacing w:val="25"/>
              </w:rPr>
              <w:t xml:space="preserve"> </w:t>
            </w:r>
            <w:r>
              <w:rPr>
                <w:rFonts w:ascii="Arial"/>
                <w:spacing w:val="-1"/>
              </w:rPr>
              <w:t>Date,</w:t>
            </w:r>
            <w:r>
              <w:rPr>
                <w:rFonts w:ascii="Arial"/>
                <w:spacing w:val="28"/>
              </w:rPr>
              <w:t xml:space="preserve"> </w:t>
            </w:r>
            <w:r>
              <w:rPr>
                <w:rFonts w:ascii="Arial"/>
                <w:spacing w:val="-1"/>
              </w:rPr>
              <w:t>whether</w:t>
            </w:r>
            <w:r>
              <w:rPr>
                <w:rFonts w:ascii="Arial"/>
                <w:spacing w:val="28"/>
              </w:rPr>
              <w:t xml:space="preserve"> </w:t>
            </w:r>
            <w:r>
              <w:rPr>
                <w:rFonts w:ascii="Arial"/>
                <w:spacing w:val="-1"/>
              </w:rPr>
              <w:t>those</w:t>
            </w:r>
            <w:r>
              <w:rPr>
                <w:rFonts w:ascii="Arial"/>
                <w:spacing w:val="27"/>
              </w:rPr>
              <w:t xml:space="preserve"> </w:t>
            </w:r>
            <w:r>
              <w:rPr>
                <w:rFonts w:ascii="Arial"/>
                <w:spacing w:val="-1"/>
              </w:rPr>
              <w:t>services</w:t>
            </w:r>
            <w:r>
              <w:rPr>
                <w:rFonts w:ascii="Arial"/>
                <w:spacing w:val="27"/>
              </w:rPr>
              <w:t xml:space="preserve"> </w:t>
            </w:r>
            <w:r>
              <w:rPr>
                <w:rFonts w:ascii="Arial"/>
                <w:spacing w:val="-1"/>
              </w:rPr>
              <w:t>are</w:t>
            </w:r>
            <w:r>
              <w:rPr>
                <w:rFonts w:ascii="Arial"/>
                <w:spacing w:val="27"/>
              </w:rPr>
              <w:t xml:space="preserve"> </w:t>
            </w:r>
            <w:r>
              <w:rPr>
                <w:rFonts w:ascii="Arial"/>
                <w:spacing w:val="-2"/>
              </w:rPr>
              <w:t>provided</w:t>
            </w:r>
            <w:r>
              <w:rPr>
                <w:rFonts w:ascii="Arial"/>
                <w:spacing w:val="27"/>
              </w:rPr>
              <w:t xml:space="preserve"> </w:t>
            </w:r>
            <w:r>
              <w:rPr>
                <w:rFonts w:ascii="Arial"/>
                <w:spacing w:val="-1"/>
              </w:rPr>
              <w:t>by</w:t>
            </w:r>
            <w:r>
              <w:rPr>
                <w:rFonts w:ascii="Arial"/>
                <w:spacing w:val="25"/>
              </w:rPr>
              <w:t xml:space="preserve"> </w:t>
            </w:r>
            <w:r>
              <w:rPr>
                <w:rFonts w:ascii="Arial"/>
                <w:spacing w:val="-1"/>
              </w:rPr>
              <w:t>the</w:t>
            </w:r>
            <w:r>
              <w:rPr>
                <w:rFonts w:ascii="Arial"/>
                <w:spacing w:val="36"/>
              </w:rPr>
              <w:t xml:space="preserve"> </w:t>
            </w:r>
            <w:r>
              <w:rPr>
                <w:rFonts w:ascii="Arial"/>
                <w:spacing w:val="-1"/>
              </w:rPr>
              <w:t>Customer</w:t>
            </w:r>
            <w:r>
              <w:rPr>
                <w:rFonts w:ascii="Arial"/>
                <w:spacing w:val="2"/>
              </w:rPr>
              <w:t xml:space="preserve"> </w:t>
            </w:r>
            <w:r>
              <w:rPr>
                <w:rFonts w:ascii="Arial"/>
                <w:spacing w:val="-2"/>
              </w:rPr>
              <w:t xml:space="preserve">internally </w:t>
            </w:r>
            <w:r>
              <w:rPr>
                <w:rFonts w:ascii="Arial"/>
                <w:spacing w:val="-1"/>
              </w:rPr>
              <w:t>and/or</w:t>
            </w:r>
            <w:r>
              <w:rPr>
                <w:rFonts w:ascii="Arial"/>
                <w:spacing w:val="2"/>
              </w:rPr>
              <w:t xml:space="preserve"> </w:t>
            </w:r>
            <w:r>
              <w:rPr>
                <w:rFonts w:ascii="Arial"/>
                <w:spacing w:val="-1"/>
              </w:rPr>
              <w:t>by</w:t>
            </w:r>
            <w:r>
              <w:rPr>
                <w:rFonts w:ascii="Arial"/>
                <w:spacing w:val="-2"/>
              </w:rPr>
              <w:t xml:space="preserve"> </w:t>
            </w:r>
            <w:r>
              <w:rPr>
                <w:rFonts w:ascii="Arial"/>
                <w:spacing w:val="-1"/>
              </w:rPr>
              <w:t>any</w:t>
            </w:r>
            <w:r>
              <w:rPr>
                <w:rFonts w:ascii="Arial"/>
                <w:spacing w:val="-2"/>
              </w:rPr>
              <w:t xml:space="preserve"> </w:t>
            </w:r>
            <w:r>
              <w:rPr>
                <w:rFonts w:ascii="Arial"/>
                <w:spacing w:val="-1"/>
              </w:rPr>
              <w:t>third</w:t>
            </w:r>
            <w:r>
              <w:rPr>
                <w:rFonts w:ascii="Arial"/>
                <w:spacing w:val="-2"/>
              </w:rPr>
              <w:t xml:space="preserve"> </w:t>
            </w:r>
            <w:r>
              <w:rPr>
                <w:rFonts w:ascii="Arial"/>
                <w:spacing w:val="-1"/>
              </w:rPr>
              <w:t>party;</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374"/>
              <w:rPr>
                <w:rFonts w:ascii="Arial" w:eastAsia="Arial" w:hAnsi="Arial" w:cs="Arial"/>
              </w:rPr>
            </w:pPr>
            <w:r>
              <w:rPr>
                <w:rFonts w:ascii="Arial"/>
                <w:b/>
                <w:spacing w:val="-1"/>
              </w:rPr>
              <w:t>"Replacement</w:t>
            </w:r>
            <w:r>
              <w:rPr>
                <w:rFonts w:ascii="Arial"/>
                <w:b/>
                <w:spacing w:val="2"/>
              </w:rPr>
              <w:t xml:space="preserve"> </w:t>
            </w:r>
            <w:r>
              <w:rPr>
                <w:rFonts w:ascii="Arial"/>
                <w:b/>
                <w:spacing w:val="-2"/>
              </w:rPr>
              <w:t>Sub-</w:t>
            </w:r>
            <w:r>
              <w:rPr>
                <w:rFonts w:ascii="Arial"/>
                <w:b/>
                <w:spacing w:val="26"/>
              </w:rPr>
              <w:t xml:space="preserve"> </w:t>
            </w:r>
            <w:r>
              <w:rPr>
                <w:rFonts w:ascii="Arial"/>
                <w:b/>
                <w:spacing w:val="-1"/>
              </w:rPr>
              <w:t>Contractor"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8"/>
              <w:jc w:val="both"/>
              <w:rPr>
                <w:rFonts w:ascii="Arial" w:eastAsia="Arial" w:hAnsi="Arial" w:cs="Arial"/>
              </w:rPr>
            </w:pPr>
            <w:r>
              <w:rPr>
                <w:rFonts w:ascii="Arial"/>
                <w:spacing w:val="-1"/>
              </w:rPr>
              <w:t>means</w:t>
            </w:r>
            <w:r>
              <w:rPr>
                <w:rFonts w:ascii="Arial"/>
                <w:spacing w:val="39"/>
              </w:rPr>
              <w:t xml:space="preserve"> </w:t>
            </w:r>
            <w:r>
              <w:rPr>
                <w:rFonts w:ascii="Arial"/>
              </w:rPr>
              <w:t>a</w:t>
            </w:r>
            <w:r>
              <w:rPr>
                <w:rFonts w:ascii="Arial"/>
                <w:spacing w:val="38"/>
              </w:rPr>
              <w:t xml:space="preserve"> </w:t>
            </w:r>
            <w:r>
              <w:rPr>
                <w:rFonts w:ascii="Arial"/>
                <w:spacing w:val="-1"/>
              </w:rPr>
              <w:t>sub-contractor</w:t>
            </w:r>
            <w:r>
              <w:rPr>
                <w:rFonts w:ascii="Arial"/>
                <w:spacing w:val="38"/>
              </w:rPr>
              <w:t xml:space="preserve"> </w:t>
            </w:r>
            <w:r>
              <w:rPr>
                <w:rFonts w:ascii="Arial"/>
                <w:spacing w:val="-1"/>
              </w:rPr>
              <w:t>of</w:t>
            </w:r>
            <w:r>
              <w:rPr>
                <w:rFonts w:ascii="Arial"/>
                <w:spacing w:val="40"/>
              </w:rPr>
              <w:t xml:space="preserve"> </w:t>
            </w:r>
            <w:r>
              <w:rPr>
                <w:rFonts w:ascii="Arial"/>
              </w:rPr>
              <w:t>the</w:t>
            </w:r>
            <w:r>
              <w:rPr>
                <w:rFonts w:ascii="Arial"/>
                <w:spacing w:val="39"/>
              </w:rPr>
              <w:t xml:space="preserve"> </w:t>
            </w:r>
            <w:r>
              <w:rPr>
                <w:rFonts w:ascii="Arial"/>
                <w:spacing w:val="-1"/>
              </w:rPr>
              <w:t>Replacement</w:t>
            </w:r>
            <w:r>
              <w:rPr>
                <w:rFonts w:ascii="Arial"/>
                <w:spacing w:val="40"/>
              </w:rPr>
              <w:t xml:space="preserve"> </w:t>
            </w:r>
            <w:r>
              <w:rPr>
                <w:rFonts w:ascii="Arial"/>
                <w:spacing w:val="-2"/>
              </w:rPr>
              <w:t>Supplier</w:t>
            </w:r>
            <w:r>
              <w:rPr>
                <w:rFonts w:ascii="Arial"/>
                <w:spacing w:val="41"/>
              </w:rPr>
              <w:t xml:space="preserve"> </w:t>
            </w:r>
            <w:r>
              <w:rPr>
                <w:rFonts w:ascii="Arial"/>
              </w:rPr>
              <w:t>to</w:t>
            </w:r>
            <w:r>
              <w:rPr>
                <w:rFonts w:ascii="Arial"/>
                <w:spacing w:val="27"/>
              </w:rPr>
              <w:t xml:space="preserve"> </w:t>
            </w:r>
            <w:r>
              <w:rPr>
                <w:rFonts w:ascii="Arial"/>
                <w:spacing w:val="-2"/>
              </w:rPr>
              <w:t>whom</w:t>
            </w:r>
            <w:r>
              <w:rPr>
                <w:rFonts w:ascii="Arial"/>
                <w:spacing w:val="23"/>
              </w:rPr>
              <w:t xml:space="preserve"> </w:t>
            </w:r>
            <w:r>
              <w:rPr>
                <w:rFonts w:ascii="Arial"/>
                <w:spacing w:val="-1"/>
              </w:rPr>
              <w:t>Transferring</w:t>
            </w:r>
            <w:r>
              <w:rPr>
                <w:rFonts w:ascii="Arial"/>
                <w:spacing w:val="24"/>
              </w:rPr>
              <w:t xml:space="preserve"> </w:t>
            </w:r>
            <w:r>
              <w:rPr>
                <w:rFonts w:ascii="Arial"/>
                <w:spacing w:val="-2"/>
              </w:rPr>
              <w:t>Supplier</w:t>
            </w:r>
            <w:r>
              <w:rPr>
                <w:rFonts w:ascii="Arial"/>
                <w:spacing w:val="23"/>
              </w:rPr>
              <w:t xml:space="preserve"> </w:t>
            </w:r>
            <w:r>
              <w:rPr>
                <w:rFonts w:ascii="Arial"/>
                <w:spacing w:val="-2"/>
              </w:rPr>
              <w:t>Employees</w:t>
            </w:r>
            <w:r>
              <w:rPr>
                <w:rFonts w:ascii="Arial"/>
                <w:spacing w:val="25"/>
              </w:rPr>
              <w:t xml:space="preserve"> </w:t>
            </w:r>
            <w:r>
              <w:rPr>
                <w:rFonts w:ascii="Arial"/>
                <w:spacing w:val="-2"/>
              </w:rPr>
              <w:t>will</w:t>
            </w:r>
            <w:r>
              <w:rPr>
                <w:rFonts w:ascii="Arial"/>
                <w:spacing w:val="21"/>
              </w:rPr>
              <w:t xml:space="preserve"> </w:t>
            </w:r>
            <w:r>
              <w:rPr>
                <w:rFonts w:ascii="Arial"/>
                <w:spacing w:val="-1"/>
              </w:rPr>
              <w:t>transfer</w:t>
            </w:r>
            <w:r>
              <w:rPr>
                <w:rFonts w:ascii="Arial"/>
                <w:spacing w:val="23"/>
              </w:rPr>
              <w:t xml:space="preserve"> </w:t>
            </w:r>
            <w:r>
              <w:rPr>
                <w:rFonts w:ascii="Arial"/>
                <w:spacing w:val="-1"/>
              </w:rPr>
              <w:t>on</w:t>
            </w:r>
            <w:r>
              <w:rPr>
                <w:rFonts w:ascii="Arial"/>
                <w:spacing w:val="20"/>
              </w:rPr>
              <w:t xml:space="preserve"> </w:t>
            </w:r>
            <w:r>
              <w:rPr>
                <w:rFonts w:ascii="Arial"/>
              </w:rPr>
              <w:t>a</w:t>
            </w:r>
            <w:r>
              <w:rPr>
                <w:rFonts w:ascii="Arial"/>
                <w:spacing w:val="59"/>
              </w:rPr>
              <w:t xml:space="preserve"> </w:t>
            </w:r>
            <w:r>
              <w:rPr>
                <w:rFonts w:ascii="Arial"/>
                <w:spacing w:val="-2"/>
              </w:rPr>
              <w:t>Service</w:t>
            </w:r>
            <w:r>
              <w:rPr>
                <w:rFonts w:ascii="Arial"/>
                <w:spacing w:val="18"/>
              </w:rPr>
              <w:t xml:space="preserve"> </w:t>
            </w:r>
            <w:r>
              <w:rPr>
                <w:rFonts w:ascii="Arial"/>
                <w:spacing w:val="-1"/>
              </w:rPr>
              <w:t>Transfer</w:t>
            </w:r>
            <w:r>
              <w:rPr>
                <w:rFonts w:ascii="Arial"/>
                <w:spacing w:val="16"/>
              </w:rPr>
              <w:t xml:space="preserve"> </w:t>
            </w:r>
            <w:r>
              <w:rPr>
                <w:rFonts w:ascii="Arial"/>
                <w:spacing w:val="-1"/>
              </w:rPr>
              <w:t>Date</w:t>
            </w:r>
            <w:r>
              <w:rPr>
                <w:rFonts w:ascii="Arial"/>
                <w:spacing w:val="15"/>
              </w:rPr>
              <w:t xml:space="preserve"> </w:t>
            </w:r>
            <w:r>
              <w:rPr>
                <w:rFonts w:ascii="Arial"/>
                <w:spacing w:val="-1"/>
              </w:rPr>
              <w:t>(or</w:t>
            </w:r>
            <w:r>
              <w:rPr>
                <w:rFonts w:ascii="Arial"/>
                <w:spacing w:val="19"/>
              </w:rPr>
              <w:t xml:space="preserve"> </w:t>
            </w:r>
            <w:r>
              <w:rPr>
                <w:rFonts w:ascii="Arial"/>
                <w:spacing w:val="-1"/>
              </w:rPr>
              <w:t>any</w:t>
            </w:r>
            <w:r>
              <w:rPr>
                <w:rFonts w:ascii="Arial"/>
                <w:spacing w:val="15"/>
              </w:rPr>
              <w:t xml:space="preserve"> </w:t>
            </w:r>
            <w:r>
              <w:rPr>
                <w:rFonts w:ascii="Arial"/>
                <w:spacing w:val="-1"/>
              </w:rPr>
              <w:t>sub-contractor</w:t>
            </w:r>
            <w:r>
              <w:rPr>
                <w:rFonts w:ascii="Arial"/>
                <w:spacing w:val="19"/>
              </w:rPr>
              <w:t xml:space="preserve"> </w:t>
            </w:r>
            <w:r>
              <w:rPr>
                <w:rFonts w:ascii="Arial"/>
                <w:spacing w:val="-2"/>
              </w:rPr>
              <w:t>of</w:t>
            </w:r>
            <w:r>
              <w:rPr>
                <w:rFonts w:ascii="Arial"/>
                <w:spacing w:val="19"/>
              </w:rPr>
              <w:t xml:space="preserve"> </w:t>
            </w:r>
            <w:r>
              <w:rPr>
                <w:rFonts w:ascii="Arial"/>
                <w:spacing w:val="-2"/>
              </w:rPr>
              <w:t>any</w:t>
            </w:r>
            <w:r>
              <w:rPr>
                <w:rFonts w:ascii="Arial"/>
                <w:spacing w:val="15"/>
              </w:rPr>
              <w:t xml:space="preserve"> </w:t>
            </w:r>
            <w:r>
              <w:rPr>
                <w:rFonts w:ascii="Arial"/>
                <w:spacing w:val="-1"/>
              </w:rPr>
              <w:t>such</w:t>
            </w:r>
            <w:r>
              <w:rPr>
                <w:rFonts w:ascii="Arial"/>
                <w:spacing w:val="40"/>
              </w:rPr>
              <w:t xml:space="preserve"> </w:t>
            </w:r>
            <w:r>
              <w:rPr>
                <w:rFonts w:ascii="Arial"/>
                <w:spacing w:val="-1"/>
              </w:rPr>
              <w:t>sub-contractor);</w:t>
            </w:r>
          </w:p>
        </w:tc>
      </w:tr>
      <w:tr w:rsidR="008918FA" w:rsidTr="005D2B81">
        <w:trPr>
          <w:trHeight w:hRule="exact" w:val="636"/>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39" w:lineRule="auto"/>
              <w:ind w:left="-6" w:right="924"/>
              <w:rPr>
                <w:rFonts w:ascii="Arial" w:eastAsia="Arial" w:hAnsi="Arial" w:cs="Arial"/>
              </w:rPr>
            </w:pPr>
            <w:r>
              <w:rPr>
                <w:rFonts w:ascii="Arial"/>
                <w:b/>
                <w:spacing w:val="-1"/>
              </w:rPr>
              <w:t>"Replacement</w:t>
            </w:r>
            <w:r>
              <w:rPr>
                <w:rFonts w:ascii="Arial"/>
                <w:b/>
                <w:spacing w:val="23"/>
              </w:rPr>
              <w:t xml:space="preserve"> </w:t>
            </w:r>
            <w:r>
              <w:rPr>
                <w:rFonts w:ascii="Arial"/>
                <w:b/>
                <w:spacing w:val="-1"/>
              </w:rPr>
              <w:t>Supplier"</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before="1" w:line="252" w:lineRule="exact"/>
              <w:ind w:left="270" w:right="98"/>
              <w:rPr>
                <w:rFonts w:ascii="Arial" w:eastAsia="Arial" w:hAnsi="Arial" w:cs="Arial"/>
              </w:rPr>
            </w:pPr>
            <w:r>
              <w:rPr>
                <w:rFonts w:ascii="Arial"/>
                <w:spacing w:val="-1"/>
              </w:rPr>
              <w:t>means</w:t>
            </w:r>
            <w:r>
              <w:rPr>
                <w:rFonts w:ascii="Arial"/>
                <w:spacing w:val="56"/>
              </w:rPr>
              <w:t xml:space="preserve"> </w:t>
            </w:r>
            <w:r>
              <w:rPr>
                <w:rFonts w:ascii="Arial"/>
                <w:spacing w:val="-1"/>
              </w:rPr>
              <w:t>any</w:t>
            </w:r>
            <w:r>
              <w:rPr>
                <w:rFonts w:ascii="Arial"/>
                <w:spacing w:val="53"/>
              </w:rPr>
              <w:t xml:space="preserve"> </w:t>
            </w:r>
            <w:r>
              <w:rPr>
                <w:rFonts w:ascii="Arial"/>
                <w:spacing w:val="-1"/>
              </w:rPr>
              <w:t>third</w:t>
            </w:r>
            <w:r>
              <w:rPr>
                <w:rFonts w:ascii="Arial"/>
                <w:spacing w:val="55"/>
              </w:rPr>
              <w:t xml:space="preserve"> </w:t>
            </w:r>
            <w:r>
              <w:rPr>
                <w:rFonts w:ascii="Arial"/>
                <w:spacing w:val="-1"/>
              </w:rPr>
              <w:t>party</w:t>
            </w:r>
            <w:r>
              <w:rPr>
                <w:rFonts w:ascii="Arial"/>
                <w:spacing w:val="51"/>
              </w:rPr>
              <w:t xml:space="preserve"> </w:t>
            </w:r>
            <w:r>
              <w:rPr>
                <w:rFonts w:ascii="Arial"/>
                <w:spacing w:val="-2"/>
              </w:rPr>
              <w:t>provider</w:t>
            </w:r>
            <w:r>
              <w:rPr>
                <w:rFonts w:ascii="Arial"/>
                <w:spacing w:val="57"/>
              </w:rPr>
              <w:t xml:space="preserve"> </w:t>
            </w:r>
            <w:r>
              <w:rPr>
                <w:rFonts w:ascii="Arial"/>
                <w:spacing w:val="-2"/>
              </w:rPr>
              <w:t>of</w:t>
            </w:r>
            <w:r>
              <w:rPr>
                <w:rFonts w:ascii="Arial"/>
                <w:spacing w:val="59"/>
              </w:rPr>
              <w:t xml:space="preserve"> </w:t>
            </w:r>
            <w:r>
              <w:rPr>
                <w:rFonts w:ascii="Arial"/>
                <w:spacing w:val="-2"/>
              </w:rPr>
              <w:t>Replacement</w:t>
            </w:r>
            <w:r>
              <w:rPr>
                <w:rFonts w:ascii="Arial"/>
                <w:spacing w:val="58"/>
              </w:rPr>
              <w:t xml:space="preserve"> </w:t>
            </w:r>
            <w:r>
              <w:rPr>
                <w:rFonts w:ascii="Arial"/>
                <w:spacing w:val="-1"/>
              </w:rPr>
              <w:t>Goods</w:t>
            </w:r>
            <w:r>
              <w:rPr>
                <w:rFonts w:ascii="Arial"/>
                <w:spacing w:val="54"/>
              </w:rPr>
              <w:t xml:space="preserve"> </w:t>
            </w:r>
            <w:r>
              <w:rPr>
                <w:rFonts w:ascii="Arial"/>
                <w:spacing w:val="-1"/>
              </w:rPr>
              <w:t>and/or</w:t>
            </w:r>
            <w:r>
              <w:rPr>
                <w:rFonts w:ascii="Arial"/>
                <w:spacing w:val="49"/>
              </w:rPr>
              <w:t xml:space="preserve"> </w:t>
            </w:r>
            <w:r>
              <w:rPr>
                <w:rFonts w:ascii="Arial"/>
                <w:spacing w:val="-1"/>
              </w:rPr>
              <w:t>Services</w:t>
            </w:r>
            <w:r>
              <w:rPr>
                <w:rFonts w:ascii="Arial"/>
                <w:spacing w:val="49"/>
              </w:rPr>
              <w:t xml:space="preserve"> </w:t>
            </w:r>
            <w:r>
              <w:rPr>
                <w:rFonts w:ascii="Arial"/>
                <w:spacing w:val="-1"/>
              </w:rPr>
              <w:t>appointed</w:t>
            </w:r>
            <w:r>
              <w:rPr>
                <w:rFonts w:ascii="Arial"/>
                <w:spacing w:val="48"/>
              </w:rPr>
              <w:t xml:space="preserve"> </w:t>
            </w:r>
            <w:r>
              <w:rPr>
                <w:rFonts w:ascii="Arial"/>
                <w:spacing w:val="-1"/>
              </w:rPr>
              <w:t>by</w:t>
            </w:r>
            <w:r>
              <w:rPr>
                <w:rFonts w:ascii="Arial"/>
                <w:spacing w:val="49"/>
              </w:rPr>
              <w:t xml:space="preserve"> </w:t>
            </w:r>
            <w:r>
              <w:rPr>
                <w:rFonts w:ascii="Arial"/>
                <w:spacing w:val="-1"/>
              </w:rPr>
              <w:t>or</w:t>
            </w:r>
            <w:r>
              <w:rPr>
                <w:rFonts w:ascii="Arial"/>
                <w:spacing w:val="49"/>
              </w:rPr>
              <w:t xml:space="preserve"> </w:t>
            </w:r>
            <w:r>
              <w:rPr>
                <w:rFonts w:ascii="Arial"/>
                <w:spacing w:val="-1"/>
              </w:rPr>
              <w:t>at</w:t>
            </w:r>
            <w:r>
              <w:rPr>
                <w:rFonts w:ascii="Arial"/>
                <w:spacing w:val="50"/>
              </w:rPr>
              <w:t xml:space="preserve"> </w:t>
            </w:r>
            <w:r>
              <w:rPr>
                <w:rFonts w:ascii="Arial"/>
              </w:rPr>
              <w:t>the</w:t>
            </w:r>
            <w:r>
              <w:rPr>
                <w:rFonts w:ascii="Arial"/>
                <w:spacing w:val="49"/>
              </w:rPr>
              <w:t xml:space="preserve"> </w:t>
            </w:r>
            <w:r>
              <w:rPr>
                <w:rFonts w:ascii="Arial"/>
                <w:spacing w:val="-1"/>
              </w:rPr>
              <w:t>direction</w:t>
            </w:r>
            <w:r>
              <w:rPr>
                <w:rFonts w:ascii="Arial"/>
                <w:spacing w:val="48"/>
              </w:rPr>
              <w:t xml:space="preserve"> </w:t>
            </w:r>
            <w:r>
              <w:rPr>
                <w:rFonts w:ascii="Arial"/>
                <w:spacing w:val="-1"/>
              </w:rPr>
              <w:t>of</w:t>
            </w:r>
            <w:r>
              <w:rPr>
                <w:rFonts w:ascii="Arial"/>
                <w:spacing w:val="52"/>
              </w:rPr>
              <w:t xml:space="preserve"> </w:t>
            </w:r>
            <w:r>
              <w:rPr>
                <w:rFonts w:ascii="Arial"/>
                <w:spacing w:val="-1"/>
              </w:rPr>
              <w:t>the</w:t>
            </w:r>
          </w:p>
        </w:tc>
      </w:tr>
    </w:tbl>
    <w:p w:rsidR="008918FA" w:rsidRDefault="008918FA" w:rsidP="008918FA">
      <w:pPr>
        <w:spacing w:line="252" w:lineRule="exact"/>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893"/>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Customer</w:t>
            </w:r>
            <w:r>
              <w:rPr>
                <w:rFonts w:ascii="Arial"/>
                <w:spacing w:val="54"/>
              </w:rPr>
              <w:t xml:space="preserve"> </w:t>
            </w:r>
            <w:r>
              <w:rPr>
                <w:rFonts w:ascii="Arial"/>
                <w:spacing w:val="-1"/>
              </w:rPr>
              <w:t>from</w:t>
            </w:r>
            <w:r>
              <w:rPr>
                <w:rFonts w:ascii="Arial"/>
                <w:spacing w:val="57"/>
              </w:rPr>
              <w:t xml:space="preserve"> </w:t>
            </w:r>
            <w:r>
              <w:rPr>
                <w:rFonts w:ascii="Arial"/>
                <w:spacing w:val="-1"/>
              </w:rPr>
              <w:t>time</w:t>
            </w:r>
            <w:r>
              <w:rPr>
                <w:rFonts w:ascii="Arial"/>
                <w:spacing w:val="55"/>
              </w:rPr>
              <w:t xml:space="preserve"> </w:t>
            </w:r>
            <w:r>
              <w:rPr>
                <w:rFonts w:ascii="Arial"/>
              </w:rPr>
              <w:t>to</w:t>
            </w:r>
            <w:r>
              <w:rPr>
                <w:rFonts w:ascii="Arial"/>
                <w:spacing w:val="53"/>
              </w:rPr>
              <w:t xml:space="preserve"> </w:t>
            </w:r>
            <w:r>
              <w:rPr>
                <w:rFonts w:ascii="Arial"/>
                <w:spacing w:val="-1"/>
              </w:rPr>
              <w:t>time</w:t>
            </w:r>
            <w:r>
              <w:rPr>
                <w:rFonts w:ascii="Arial"/>
                <w:spacing w:val="55"/>
              </w:rPr>
              <w:t xml:space="preserve"> </w:t>
            </w:r>
            <w:r>
              <w:rPr>
                <w:rFonts w:ascii="Arial"/>
                <w:spacing w:val="-2"/>
              </w:rPr>
              <w:t>or</w:t>
            </w:r>
            <w:r>
              <w:rPr>
                <w:rFonts w:ascii="Arial"/>
                <w:spacing w:val="57"/>
              </w:rPr>
              <w:t xml:space="preserve"> </w:t>
            </w:r>
            <w:r>
              <w:rPr>
                <w:rFonts w:ascii="Arial"/>
                <w:spacing w:val="-2"/>
              </w:rPr>
              <w:t>where</w:t>
            </w:r>
            <w:r>
              <w:rPr>
                <w:rFonts w:ascii="Arial"/>
                <w:spacing w:val="56"/>
              </w:rPr>
              <w:t xml:space="preserve"> </w:t>
            </w:r>
            <w:r>
              <w:rPr>
                <w:rFonts w:ascii="Arial"/>
              </w:rPr>
              <w:t>the</w:t>
            </w:r>
            <w:r>
              <w:rPr>
                <w:rFonts w:ascii="Arial"/>
                <w:spacing w:val="53"/>
              </w:rPr>
              <w:t xml:space="preserve"> </w:t>
            </w:r>
            <w:r>
              <w:rPr>
                <w:rFonts w:ascii="Arial"/>
                <w:spacing w:val="-1"/>
              </w:rPr>
              <w:t>Customer</w:t>
            </w:r>
            <w:r>
              <w:rPr>
                <w:rFonts w:ascii="Arial"/>
                <w:spacing w:val="57"/>
              </w:rPr>
              <w:t xml:space="preserve"> </w:t>
            </w:r>
            <w:r>
              <w:rPr>
                <w:rFonts w:ascii="Arial"/>
                <w:spacing w:val="-2"/>
              </w:rPr>
              <w:t>is</w:t>
            </w:r>
            <w:r>
              <w:rPr>
                <w:rFonts w:ascii="Arial"/>
                <w:spacing w:val="29"/>
              </w:rPr>
              <w:t xml:space="preserve"> </w:t>
            </w:r>
            <w:r>
              <w:rPr>
                <w:rFonts w:ascii="Arial"/>
                <w:spacing w:val="-2"/>
              </w:rPr>
              <w:t>providing</w:t>
            </w:r>
            <w:r>
              <w:rPr>
                <w:rFonts w:ascii="Arial"/>
                <w:spacing w:val="10"/>
              </w:rPr>
              <w:t xml:space="preserve"> </w:t>
            </w:r>
            <w:r>
              <w:rPr>
                <w:rFonts w:ascii="Arial"/>
                <w:spacing w:val="-1"/>
              </w:rPr>
              <w:t>Replacement</w:t>
            </w:r>
            <w:r>
              <w:rPr>
                <w:rFonts w:ascii="Arial"/>
                <w:spacing w:val="7"/>
              </w:rPr>
              <w:t xml:space="preserve"> </w:t>
            </w:r>
            <w:r>
              <w:rPr>
                <w:rFonts w:ascii="Arial"/>
                <w:spacing w:val="-1"/>
              </w:rPr>
              <w:t>Goods</w:t>
            </w:r>
            <w:r>
              <w:rPr>
                <w:rFonts w:ascii="Arial"/>
                <w:spacing w:val="8"/>
              </w:rPr>
              <w:t xml:space="preserve"> </w:t>
            </w:r>
            <w:r>
              <w:rPr>
                <w:rFonts w:ascii="Arial"/>
                <w:spacing w:val="-1"/>
              </w:rPr>
              <w:t>and/or</w:t>
            </w:r>
            <w:r>
              <w:rPr>
                <w:rFonts w:ascii="Arial"/>
                <w:spacing w:val="9"/>
              </w:rPr>
              <w:t xml:space="preserve"> </w:t>
            </w:r>
            <w:r>
              <w:rPr>
                <w:rFonts w:ascii="Arial"/>
                <w:spacing w:val="-1"/>
              </w:rPr>
              <w:t>Services</w:t>
            </w:r>
            <w:r>
              <w:rPr>
                <w:rFonts w:ascii="Arial"/>
                <w:spacing w:val="5"/>
              </w:rPr>
              <w:t xml:space="preserve"> </w:t>
            </w:r>
            <w:r>
              <w:rPr>
                <w:rFonts w:ascii="Arial"/>
              </w:rPr>
              <w:t>for</w:t>
            </w:r>
            <w:r>
              <w:rPr>
                <w:rFonts w:ascii="Arial"/>
                <w:spacing w:val="9"/>
              </w:rPr>
              <w:t xml:space="preserve"> </w:t>
            </w:r>
            <w:r>
              <w:rPr>
                <w:rFonts w:ascii="Arial"/>
                <w:spacing w:val="-1"/>
              </w:rPr>
              <w:t>its</w:t>
            </w:r>
            <w:r>
              <w:rPr>
                <w:rFonts w:ascii="Arial"/>
                <w:spacing w:val="8"/>
              </w:rPr>
              <w:t xml:space="preserve"> </w:t>
            </w:r>
            <w:r>
              <w:rPr>
                <w:rFonts w:ascii="Arial"/>
                <w:spacing w:val="-2"/>
              </w:rPr>
              <w:t>own</w:t>
            </w:r>
            <w:r>
              <w:rPr>
                <w:rFonts w:ascii="Arial"/>
                <w:spacing w:val="31"/>
              </w:rPr>
              <w:t xml:space="preserve"> </w:t>
            </w:r>
            <w:r>
              <w:rPr>
                <w:rFonts w:ascii="Arial"/>
                <w:spacing w:val="-1"/>
              </w:rPr>
              <w:t>account,</w:t>
            </w:r>
            <w:r>
              <w:rPr>
                <w:rFonts w:ascii="Arial"/>
              </w:rPr>
              <w:t xml:space="preserve"> </w:t>
            </w:r>
            <w:r>
              <w:rPr>
                <w:rFonts w:ascii="Arial"/>
                <w:spacing w:val="-1"/>
              </w:rPr>
              <w:t>shall</w:t>
            </w:r>
            <w:r>
              <w:rPr>
                <w:rFonts w:ascii="Arial"/>
              </w:rPr>
              <w:t xml:space="preserve"> </w:t>
            </w:r>
            <w:r>
              <w:rPr>
                <w:rFonts w:ascii="Arial"/>
                <w:spacing w:val="-1"/>
              </w:rPr>
              <w:t>also</w:t>
            </w:r>
            <w:r>
              <w:rPr>
                <w:rFonts w:ascii="Arial"/>
                <w:spacing w:val="1"/>
              </w:rPr>
              <w:t xml:space="preserve"> </w:t>
            </w:r>
            <w:r>
              <w:rPr>
                <w:rFonts w:ascii="Arial"/>
                <w:spacing w:val="-2"/>
              </w:rPr>
              <w:t>include</w:t>
            </w:r>
            <w:r>
              <w:rPr>
                <w:rFonts w:ascii="Arial"/>
              </w:rPr>
              <w:t xml:space="preserve"> the</w:t>
            </w:r>
            <w:r>
              <w:rPr>
                <w:rFonts w:ascii="Arial"/>
                <w:spacing w:val="-2"/>
              </w:rPr>
              <w:t xml:space="preserve"> </w:t>
            </w:r>
            <w:r>
              <w:rPr>
                <w:rFonts w:ascii="Arial"/>
                <w:spacing w:val="-1"/>
              </w:rPr>
              <w:t>Customer;</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1070"/>
              <w:rPr>
                <w:rFonts w:ascii="Arial" w:eastAsia="Arial" w:hAnsi="Arial" w:cs="Arial"/>
              </w:rPr>
            </w:pPr>
            <w:r>
              <w:rPr>
                <w:rFonts w:ascii="Arial"/>
                <w:b/>
                <w:spacing w:val="-1"/>
              </w:rPr>
              <w:t>"Request for</w:t>
            </w:r>
            <w:r>
              <w:rPr>
                <w:rFonts w:ascii="Arial"/>
                <w:b/>
                <w:spacing w:val="22"/>
              </w:rPr>
              <w:t xml:space="preserve"> </w:t>
            </w:r>
            <w:r>
              <w:rPr>
                <w:rFonts w:ascii="Arial"/>
                <w:b/>
                <w:spacing w:val="-1"/>
              </w:rPr>
              <w:t>Information"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34"/>
              </w:rPr>
              <w:t xml:space="preserve"> </w:t>
            </w:r>
            <w:r>
              <w:rPr>
                <w:rFonts w:ascii="Arial"/>
              </w:rPr>
              <w:t>a</w:t>
            </w:r>
            <w:r>
              <w:rPr>
                <w:rFonts w:ascii="Arial"/>
                <w:spacing w:val="34"/>
              </w:rPr>
              <w:t xml:space="preserve"> </w:t>
            </w:r>
            <w:r>
              <w:rPr>
                <w:rFonts w:ascii="Arial"/>
                <w:spacing w:val="-1"/>
              </w:rPr>
              <w:t>request</w:t>
            </w:r>
            <w:r>
              <w:rPr>
                <w:rFonts w:ascii="Arial"/>
                <w:spacing w:val="33"/>
              </w:rPr>
              <w:t xml:space="preserve"> </w:t>
            </w:r>
            <w:r>
              <w:rPr>
                <w:rFonts w:ascii="Arial"/>
              </w:rPr>
              <w:t>for</w:t>
            </w:r>
            <w:r>
              <w:rPr>
                <w:rFonts w:ascii="Arial"/>
                <w:spacing w:val="35"/>
              </w:rPr>
              <w:t xml:space="preserve"> </w:t>
            </w:r>
            <w:r>
              <w:rPr>
                <w:rFonts w:ascii="Arial"/>
                <w:spacing w:val="-1"/>
              </w:rPr>
              <w:t>information</w:t>
            </w:r>
            <w:r>
              <w:rPr>
                <w:rFonts w:ascii="Arial"/>
                <w:spacing w:val="34"/>
              </w:rPr>
              <w:t xml:space="preserve"> </w:t>
            </w:r>
            <w:r>
              <w:rPr>
                <w:rFonts w:ascii="Arial"/>
                <w:spacing w:val="-1"/>
              </w:rPr>
              <w:t>or</w:t>
            </w:r>
            <w:r>
              <w:rPr>
                <w:rFonts w:ascii="Arial"/>
                <w:spacing w:val="35"/>
              </w:rPr>
              <w:t xml:space="preserve"> </w:t>
            </w:r>
            <w:r>
              <w:rPr>
                <w:rFonts w:ascii="Arial"/>
                <w:spacing w:val="-1"/>
              </w:rPr>
              <w:t>an</w:t>
            </w:r>
            <w:r>
              <w:rPr>
                <w:rFonts w:ascii="Arial"/>
                <w:spacing w:val="35"/>
              </w:rPr>
              <w:t xml:space="preserve"> </w:t>
            </w:r>
            <w:r>
              <w:rPr>
                <w:rFonts w:ascii="Arial"/>
                <w:spacing w:val="-1"/>
              </w:rPr>
              <w:t>apparent</w:t>
            </w:r>
            <w:r>
              <w:rPr>
                <w:rFonts w:ascii="Arial"/>
                <w:spacing w:val="33"/>
              </w:rPr>
              <w:t xml:space="preserve"> </w:t>
            </w:r>
            <w:r>
              <w:rPr>
                <w:rFonts w:ascii="Arial"/>
                <w:spacing w:val="-1"/>
              </w:rPr>
              <w:t>request</w:t>
            </w:r>
            <w:r>
              <w:rPr>
                <w:rFonts w:ascii="Arial"/>
                <w:spacing w:val="28"/>
              </w:rPr>
              <w:t xml:space="preserve"> </w:t>
            </w:r>
            <w:r>
              <w:rPr>
                <w:rFonts w:ascii="Arial"/>
                <w:spacing w:val="-1"/>
              </w:rPr>
              <w:t>relating</w:t>
            </w:r>
            <w:r>
              <w:rPr>
                <w:rFonts w:ascii="Arial"/>
                <w:spacing w:val="43"/>
              </w:rPr>
              <w:t xml:space="preserve"> </w:t>
            </w:r>
            <w:r>
              <w:rPr>
                <w:rFonts w:ascii="Arial"/>
              </w:rPr>
              <w:t>to</w:t>
            </w:r>
            <w:r>
              <w:rPr>
                <w:rFonts w:ascii="Arial"/>
                <w:spacing w:val="41"/>
              </w:rPr>
              <w:t xml:space="preserve"> </w:t>
            </w:r>
            <w:r>
              <w:rPr>
                <w:rFonts w:ascii="Arial"/>
                <w:spacing w:val="-1"/>
              </w:rPr>
              <w:t>this</w:t>
            </w:r>
            <w:r>
              <w:rPr>
                <w:rFonts w:ascii="Arial"/>
                <w:spacing w:val="44"/>
              </w:rPr>
              <w:t xml:space="preserve"> </w:t>
            </w:r>
            <w:r>
              <w:rPr>
                <w:rFonts w:ascii="Arial"/>
                <w:spacing w:val="-2"/>
              </w:rPr>
              <w:t>Call</w:t>
            </w:r>
            <w:r>
              <w:rPr>
                <w:rFonts w:ascii="Arial"/>
                <w:spacing w:val="43"/>
              </w:rPr>
              <w:t xml:space="preserve"> </w:t>
            </w:r>
            <w:r>
              <w:rPr>
                <w:rFonts w:ascii="Arial"/>
                <w:spacing w:val="-1"/>
              </w:rPr>
              <w:t>Off</w:t>
            </w:r>
            <w:r>
              <w:rPr>
                <w:rFonts w:ascii="Arial"/>
                <w:spacing w:val="42"/>
              </w:rPr>
              <w:t xml:space="preserve"> </w:t>
            </w:r>
            <w:r>
              <w:rPr>
                <w:rFonts w:ascii="Arial"/>
                <w:spacing w:val="-1"/>
              </w:rPr>
              <w:t>Contract</w:t>
            </w:r>
            <w:r>
              <w:rPr>
                <w:rFonts w:ascii="Arial"/>
                <w:spacing w:val="45"/>
              </w:rPr>
              <w:t xml:space="preserve"> </w:t>
            </w:r>
            <w:r>
              <w:rPr>
                <w:rFonts w:ascii="Arial"/>
                <w:spacing w:val="-1"/>
              </w:rPr>
              <w:t>or</w:t>
            </w:r>
            <w:r>
              <w:rPr>
                <w:rFonts w:ascii="Arial"/>
                <w:spacing w:val="43"/>
              </w:rPr>
              <w:t xml:space="preserve"> </w:t>
            </w:r>
            <w:r>
              <w:rPr>
                <w:rFonts w:ascii="Arial"/>
              </w:rPr>
              <w:t>the</w:t>
            </w:r>
            <w:r>
              <w:rPr>
                <w:rFonts w:ascii="Arial"/>
                <w:spacing w:val="43"/>
              </w:rPr>
              <w:t xml:space="preserve"> </w:t>
            </w:r>
            <w:r>
              <w:rPr>
                <w:rFonts w:ascii="Arial"/>
                <w:spacing w:val="-1"/>
              </w:rPr>
              <w:t>provision</w:t>
            </w:r>
            <w:r>
              <w:rPr>
                <w:rFonts w:ascii="Arial"/>
                <w:spacing w:val="43"/>
              </w:rPr>
              <w:t xml:space="preserve"> </w:t>
            </w:r>
            <w:r>
              <w:rPr>
                <w:rFonts w:ascii="Arial"/>
                <w:spacing w:val="-2"/>
              </w:rPr>
              <w:t>of</w:t>
            </w:r>
            <w:r>
              <w:rPr>
                <w:rFonts w:ascii="Arial"/>
                <w:spacing w:val="47"/>
              </w:rPr>
              <w:t xml:space="preserve"> </w:t>
            </w:r>
            <w:r>
              <w:rPr>
                <w:rFonts w:ascii="Arial"/>
                <w:spacing w:val="-1"/>
              </w:rPr>
              <w:t>the</w:t>
            </w:r>
            <w:r>
              <w:rPr>
                <w:rFonts w:ascii="Arial"/>
                <w:spacing w:val="29"/>
              </w:rPr>
              <w:t xml:space="preserve"> </w:t>
            </w:r>
            <w:r>
              <w:rPr>
                <w:rFonts w:ascii="Arial"/>
                <w:spacing w:val="-1"/>
              </w:rPr>
              <w:t>Goods</w:t>
            </w:r>
            <w:r>
              <w:rPr>
                <w:rFonts w:ascii="Arial"/>
                <w:spacing w:val="37"/>
              </w:rPr>
              <w:t xml:space="preserve"> </w:t>
            </w:r>
            <w:r>
              <w:rPr>
                <w:rFonts w:ascii="Arial"/>
                <w:spacing w:val="-1"/>
              </w:rPr>
              <w:t>and/or</w:t>
            </w:r>
            <w:r>
              <w:rPr>
                <w:rFonts w:ascii="Arial"/>
                <w:spacing w:val="38"/>
              </w:rPr>
              <w:t xml:space="preserve"> </w:t>
            </w:r>
            <w:r>
              <w:rPr>
                <w:rFonts w:ascii="Arial"/>
                <w:spacing w:val="-1"/>
              </w:rPr>
              <w:t>Services</w:t>
            </w:r>
            <w:r>
              <w:rPr>
                <w:rFonts w:ascii="Arial"/>
                <w:spacing w:val="39"/>
              </w:rPr>
              <w:t xml:space="preserve"> </w:t>
            </w:r>
            <w:r>
              <w:rPr>
                <w:rFonts w:ascii="Arial"/>
                <w:spacing w:val="-1"/>
              </w:rPr>
              <w:t>or</w:t>
            </w:r>
            <w:r>
              <w:rPr>
                <w:rFonts w:ascii="Arial"/>
                <w:spacing w:val="38"/>
              </w:rPr>
              <w:t xml:space="preserve"> </w:t>
            </w:r>
            <w:r>
              <w:rPr>
                <w:rFonts w:ascii="Arial"/>
                <w:spacing w:val="-1"/>
              </w:rPr>
              <w:t>an</w:t>
            </w:r>
            <w:r>
              <w:rPr>
                <w:rFonts w:ascii="Arial"/>
                <w:spacing w:val="36"/>
              </w:rPr>
              <w:t xml:space="preserve"> </w:t>
            </w:r>
            <w:r>
              <w:rPr>
                <w:rFonts w:ascii="Arial"/>
                <w:spacing w:val="-1"/>
              </w:rPr>
              <w:t>apparent</w:t>
            </w:r>
            <w:r>
              <w:rPr>
                <w:rFonts w:ascii="Arial"/>
                <w:spacing w:val="38"/>
              </w:rPr>
              <w:t xml:space="preserve"> </w:t>
            </w:r>
            <w:r>
              <w:rPr>
                <w:rFonts w:ascii="Arial"/>
                <w:spacing w:val="-1"/>
              </w:rPr>
              <w:t>request</w:t>
            </w:r>
            <w:r>
              <w:rPr>
                <w:rFonts w:ascii="Arial"/>
                <w:spacing w:val="39"/>
              </w:rPr>
              <w:t xml:space="preserve"> </w:t>
            </w:r>
            <w:r>
              <w:rPr>
                <w:rFonts w:ascii="Arial"/>
              </w:rPr>
              <w:t>for</w:t>
            </w:r>
            <w:r>
              <w:rPr>
                <w:rFonts w:ascii="Arial"/>
                <w:spacing w:val="38"/>
              </w:rPr>
              <w:t xml:space="preserve"> </w:t>
            </w:r>
            <w:r>
              <w:rPr>
                <w:rFonts w:ascii="Arial"/>
                <w:spacing w:val="-1"/>
              </w:rPr>
              <w:t>such</w:t>
            </w:r>
            <w:r>
              <w:rPr>
                <w:rFonts w:ascii="Arial"/>
                <w:spacing w:val="30"/>
              </w:rPr>
              <w:t xml:space="preserve"> </w:t>
            </w:r>
            <w:r>
              <w:rPr>
                <w:rFonts w:ascii="Arial"/>
                <w:spacing w:val="-1"/>
              </w:rPr>
              <w:t>information</w:t>
            </w:r>
            <w:r>
              <w:rPr>
                <w:rFonts w:ascii="Arial"/>
              </w:rPr>
              <w:t xml:space="preserve"> </w:t>
            </w:r>
            <w:r>
              <w:rPr>
                <w:rFonts w:ascii="Arial"/>
                <w:spacing w:val="-2"/>
              </w:rPr>
              <w:t>under</w:t>
            </w:r>
            <w:r>
              <w:rPr>
                <w:rFonts w:ascii="Arial"/>
                <w:spacing w:val="-1"/>
              </w:rPr>
              <w:t xml:space="preserve"> </w:t>
            </w:r>
            <w:r>
              <w:rPr>
                <w:rFonts w:ascii="Arial"/>
              </w:rPr>
              <w:t xml:space="preserve">the </w:t>
            </w:r>
            <w:r>
              <w:rPr>
                <w:rFonts w:ascii="Arial"/>
                <w:spacing w:val="-1"/>
              </w:rPr>
              <w:t>FOIA</w:t>
            </w:r>
            <w:r>
              <w:rPr>
                <w:rFonts w:ascii="Arial"/>
              </w:rPr>
              <w:t xml:space="preserve"> </w:t>
            </w:r>
            <w:r>
              <w:rPr>
                <w:rFonts w:ascii="Arial"/>
                <w:spacing w:val="-1"/>
              </w:rPr>
              <w:t xml:space="preserve">or </w:t>
            </w:r>
            <w:r>
              <w:rPr>
                <w:rFonts w:ascii="Arial"/>
              </w:rPr>
              <w:t>the</w:t>
            </w:r>
            <w:r>
              <w:rPr>
                <w:rFonts w:ascii="Arial"/>
                <w:spacing w:val="-2"/>
              </w:rPr>
              <w:t xml:space="preserve"> </w:t>
            </w:r>
            <w:r>
              <w:rPr>
                <w:rFonts w:ascii="Arial"/>
                <w:spacing w:val="-1"/>
              </w:rPr>
              <w:t>EIRs;</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1216"/>
              <w:rPr>
                <w:rFonts w:ascii="Arial" w:eastAsia="Arial" w:hAnsi="Arial" w:cs="Arial"/>
              </w:rPr>
            </w:pPr>
            <w:r>
              <w:rPr>
                <w:rFonts w:ascii="Arial"/>
                <w:b/>
                <w:spacing w:val="-1"/>
              </w:rPr>
              <w:t>"Restricted</w:t>
            </w:r>
            <w:r>
              <w:rPr>
                <w:rFonts w:ascii="Arial"/>
                <w:b/>
                <w:spacing w:val="23"/>
              </w:rPr>
              <w:t xml:space="preserve"> </w:t>
            </w:r>
            <w:r>
              <w:rPr>
                <w:rFonts w:ascii="Arial"/>
                <w:b/>
                <w:spacing w:val="-1"/>
              </w:rPr>
              <w:t>Countries"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1"/>
              <w:rPr>
                <w:rFonts w:ascii="Arial" w:eastAsia="Arial" w:hAnsi="Arial" w:cs="Arial"/>
              </w:rPr>
            </w:pPr>
            <w:r>
              <w:rPr>
                <w:rFonts w:ascii="Arial"/>
                <w:spacing w:val="-1"/>
              </w:rPr>
              <w:t>has</w:t>
            </w:r>
            <w:r>
              <w:rPr>
                <w:rFonts w:ascii="Arial"/>
                <w:spacing w:val="1"/>
              </w:rPr>
              <w:t xml:space="preserve"> </w:t>
            </w:r>
            <w:r>
              <w:rPr>
                <w:rFonts w:ascii="Arial"/>
              </w:rPr>
              <w:t xml:space="preserve">the </w:t>
            </w:r>
            <w:r>
              <w:rPr>
                <w:rFonts w:ascii="Arial"/>
                <w:spacing w:val="-1"/>
              </w:rPr>
              <w:t>meaning</w:t>
            </w:r>
            <w:r>
              <w:rPr>
                <w:rFonts w:ascii="Arial"/>
              </w:rPr>
              <w:t xml:space="preserve"> </w:t>
            </w:r>
            <w:r>
              <w:rPr>
                <w:rFonts w:ascii="Arial"/>
                <w:spacing w:val="-1"/>
              </w:rPr>
              <w:t>given</w:t>
            </w:r>
            <w:r>
              <w:rPr>
                <w:rFonts w:ascii="Arial"/>
              </w:rPr>
              <w:t xml:space="preserve"> to </w:t>
            </w:r>
            <w:r>
              <w:rPr>
                <w:rFonts w:ascii="Arial"/>
                <w:spacing w:val="-1"/>
              </w:rPr>
              <w:t>it</w:t>
            </w:r>
            <w:r>
              <w:rPr>
                <w:rFonts w:ascii="Arial"/>
                <w:spacing w:val="2"/>
              </w:rPr>
              <w:t xml:space="preserve"> </w:t>
            </w:r>
            <w:r>
              <w:rPr>
                <w:rFonts w:ascii="Arial"/>
                <w:spacing w:val="-1"/>
              </w:rPr>
              <w:t>in</w:t>
            </w:r>
            <w:r>
              <w:rPr>
                <w:rFonts w:ascii="Arial"/>
                <w:spacing w:val="3"/>
              </w:rPr>
              <w:t xml:space="preserve"> </w:t>
            </w:r>
            <w:r>
              <w:rPr>
                <w:rFonts w:ascii="Arial"/>
                <w:spacing w:val="-2"/>
              </w:rPr>
              <w:t>Clause</w:t>
            </w:r>
            <w:r>
              <w:rPr>
                <w:rFonts w:ascii="Arial"/>
                <w:spacing w:val="2"/>
              </w:rPr>
              <w:t xml:space="preserve"> </w:t>
            </w:r>
            <w:hyperlink w:anchor="_bookmark195" w:history="1">
              <w:r>
                <w:rPr>
                  <w:rFonts w:ascii="Arial"/>
                  <w:spacing w:val="-1"/>
                </w:rPr>
                <w:t>34.6.3</w:t>
              </w:r>
            </w:hyperlink>
            <w:r>
              <w:rPr>
                <w:rFonts w:ascii="Arial"/>
              </w:rPr>
              <w:t xml:space="preserve"> </w:t>
            </w:r>
            <w:r>
              <w:rPr>
                <w:rFonts w:ascii="Arial"/>
                <w:spacing w:val="-1"/>
              </w:rPr>
              <w:t>(Protection</w:t>
            </w:r>
            <w:r>
              <w:rPr>
                <w:rFonts w:ascii="Arial"/>
              </w:rPr>
              <w:t xml:space="preserve"> </w:t>
            </w:r>
            <w:r>
              <w:rPr>
                <w:rFonts w:ascii="Arial"/>
                <w:spacing w:val="-2"/>
              </w:rPr>
              <w:t>of</w:t>
            </w:r>
            <w:r>
              <w:rPr>
                <w:rFonts w:ascii="Arial"/>
                <w:spacing w:val="43"/>
              </w:rPr>
              <w:t xml:space="preserve"> </w:t>
            </w:r>
            <w:r>
              <w:rPr>
                <w:rFonts w:ascii="Arial"/>
                <w:spacing w:val="-1"/>
              </w:rPr>
              <w:t>Personal</w:t>
            </w:r>
            <w:r>
              <w:rPr>
                <w:rFonts w:ascii="Arial"/>
              </w:rPr>
              <w:t xml:space="preserve"> </w:t>
            </w:r>
            <w:r>
              <w:rPr>
                <w:rFonts w:ascii="Arial"/>
                <w:spacing w:val="-1"/>
              </w:rPr>
              <w:t>Data);</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1045"/>
              <w:rPr>
                <w:rFonts w:ascii="Arial" w:eastAsia="Arial" w:hAnsi="Arial" w:cs="Arial"/>
              </w:rPr>
            </w:pPr>
            <w:r>
              <w:rPr>
                <w:rFonts w:ascii="Arial"/>
                <w:b/>
                <w:spacing w:val="-1"/>
              </w:rPr>
              <w:t>"Satisfaction</w:t>
            </w:r>
            <w:r>
              <w:rPr>
                <w:rFonts w:ascii="Arial"/>
                <w:b/>
                <w:spacing w:val="24"/>
              </w:rPr>
              <w:t xml:space="preserve"> </w:t>
            </w:r>
            <w:r>
              <w:rPr>
                <w:rFonts w:ascii="Arial"/>
                <w:b/>
                <w:spacing w:val="-1"/>
              </w:rPr>
              <w:t>Certificate"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55"/>
              </w:rPr>
              <w:t xml:space="preserve"> </w:t>
            </w:r>
            <w:r>
              <w:rPr>
                <w:rFonts w:ascii="Arial"/>
                <w:spacing w:val="-1"/>
              </w:rPr>
              <w:t>the</w:t>
            </w:r>
            <w:r>
              <w:rPr>
                <w:rFonts w:ascii="Arial"/>
                <w:spacing w:val="54"/>
              </w:rPr>
              <w:t xml:space="preserve"> </w:t>
            </w:r>
            <w:r>
              <w:rPr>
                <w:rFonts w:ascii="Arial"/>
                <w:spacing w:val="-1"/>
              </w:rPr>
              <w:t>certificate</w:t>
            </w:r>
            <w:r>
              <w:rPr>
                <w:rFonts w:ascii="Arial"/>
                <w:spacing w:val="52"/>
              </w:rPr>
              <w:t xml:space="preserve"> </w:t>
            </w:r>
            <w:r>
              <w:rPr>
                <w:rFonts w:ascii="Arial"/>
                <w:spacing w:val="-1"/>
              </w:rPr>
              <w:t>materially</w:t>
            </w:r>
            <w:r>
              <w:rPr>
                <w:rFonts w:ascii="Arial"/>
                <w:spacing w:val="55"/>
              </w:rPr>
              <w:t xml:space="preserve"> </w:t>
            </w:r>
            <w:r>
              <w:rPr>
                <w:rFonts w:ascii="Arial"/>
                <w:spacing w:val="-1"/>
              </w:rPr>
              <w:t>in</w:t>
            </w:r>
            <w:r>
              <w:rPr>
                <w:rFonts w:ascii="Arial"/>
                <w:spacing w:val="54"/>
              </w:rPr>
              <w:t xml:space="preserve"> </w:t>
            </w:r>
            <w:r>
              <w:rPr>
                <w:rFonts w:ascii="Arial"/>
              </w:rPr>
              <w:t>the</w:t>
            </w:r>
            <w:r>
              <w:rPr>
                <w:rFonts w:ascii="Arial"/>
                <w:spacing w:val="52"/>
              </w:rPr>
              <w:t xml:space="preserve"> </w:t>
            </w:r>
            <w:r>
              <w:rPr>
                <w:rFonts w:ascii="Arial"/>
              </w:rPr>
              <w:t>form</w:t>
            </w:r>
            <w:r>
              <w:rPr>
                <w:rFonts w:ascii="Arial"/>
                <w:spacing w:val="54"/>
              </w:rPr>
              <w:t xml:space="preserve"> </w:t>
            </w:r>
            <w:r>
              <w:rPr>
                <w:rFonts w:ascii="Arial"/>
                <w:spacing w:val="-2"/>
              </w:rPr>
              <w:t>of</w:t>
            </w:r>
            <w:r>
              <w:rPr>
                <w:rFonts w:ascii="Arial"/>
                <w:spacing w:val="58"/>
              </w:rPr>
              <w:t xml:space="preserve"> </w:t>
            </w:r>
            <w:r>
              <w:rPr>
                <w:rFonts w:ascii="Arial"/>
                <w:spacing w:val="-1"/>
              </w:rPr>
              <w:t>the</w:t>
            </w:r>
            <w:r>
              <w:rPr>
                <w:rFonts w:ascii="Arial"/>
                <w:spacing w:val="23"/>
              </w:rPr>
              <w:t xml:space="preserve"> </w:t>
            </w:r>
            <w:r>
              <w:rPr>
                <w:rFonts w:ascii="Arial"/>
                <w:spacing w:val="-1"/>
              </w:rPr>
              <w:t>document</w:t>
            </w:r>
            <w:r>
              <w:rPr>
                <w:rFonts w:ascii="Arial"/>
                <w:spacing w:val="20"/>
              </w:rPr>
              <w:t xml:space="preserve"> </w:t>
            </w:r>
            <w:r>
              <w:rPr>
                <w:rFonts w:ascii="Arial"/>
                <w:spacing w:val="-1"/>
              </w:rPr>
              <w:t>contained</w:t>
            </w:r>
            <w:r>
              <w:rPr>
                <w:rFonts w:ascii="Arial"/>
                <w:spacing w:val="21"/>
              </w:rPr>
              <w:t xml:space="preserve"> </w:t>
            </w:r>
            <w:r>
              <w:rPr>
                <w:rFonts w:ascii="Arial"/>
                <w:spacing w:val="-1"/>
              </w:rPr>
              <w:t>in</w:t>
            </w:r>
            <w:r>
              <w:rPr>
                <w:rFonts w:ascii="Arial"/>
                <w:spacing w:val="18"/>
              </w:rPr>
              <w:t xml:space="preserve"> </w:t>
            </w:r>
            <w:r>
              <w:rPr>
                <w:rFonts w:ascii="Arial"/>
                <w:spacing w:val="-2"/>
              </w:rPr>
              <w:t>Call</w:t>
            </w:r>
            <w:r>
              <w:rPr>
                <w:rFonts w:ascii="Arial"/>
                <w:spacing w:val="20"/>
              </w:rPr>
              <w:t xml:space="preserve"> </w:t>
            </w:r>
            <w:r>
              <w:rPr>
                <w:rFonts w:ascii="Arial"/>
                <w:spacing w:val="-1"/>
              </w:rPr>
              <w:t>Off</w:t>
            </w:r>
            <w:r>
              <w:rPr>
                <w:rFonts w:ascii="Arial"/>
                <w:spacing w:val="22"/>
              </w:rPr>
              <w:t xml:space="preserve"> </w:t>
            </w:r>
            <w:r>
              <w:rPr>
                <w:rFonts w:ascii="Arial"/>
                <w:spacing w:val="-1"/>
              </w:rPr>
              <w:t>Schedule</w:t>
            </w:r>
            <w:r>
              <w:rPr>
                <w:rFonts w:ascii="Arial"/>
                <w:spacing w:val="21"/>
              </w:rPr>
              <w:t xml:space="preserve"> </w:t>
            </w:r>
            <w:r>
              <w:rPr>
                <w:rFonts w:ascii="Arial"/>
              </w:rPr>
              <w:t>5</w:t>
            </w:r>
            <w:r>
              <w:rPr>
                <w:rFonts w:ascii="Arial"/>
                <w:spacing w:val="20"/>
              </w:rPr>
              <w:t xml:space="preserve"> </w:t>
            </w:r>
            <w:r>
              <w:rPr>
                <w:rFonts w:ascii="Arial"/>
                <w:spacing w:val="-1"/>
              </w:rPr>
              <w:t>(Testing)</w:t>
            </w:r>
            <w:r>
              <w:rPr>
                <w:rFonts w:ascii="Arial"/>
                <w:spacing w:val="27"/>
              </w:rPr>
              <w:t xml:space="preserve"> </w:t>
            </w:r>
            <w:r>
              <w:rPr>
                <w:rFonts w:ascii="Arial"/>
                <w:spacing w:val="-1"/>
              </w:rPr>
              <w:t>granted</w:t>
            </w:r>
            <w:r>
              <w:rPr>
                <w:rFonts w:ascii="Arial"/>
                <w:spacing w:val="5"/>
              </w:rPr>
              <w:t xml:space="preserve"> </w:t>
            </w:r>
            <w:r>
              <w:rPr>
                <w:rFonts w:ascii="Arial"/>
                <w:spacing w:val="-1"/>
              </w:rPr>
              <w:t>by</w:t>
            </w:r>
            <w:r>
              <w:rPr>
                <w:rFonts w:ascii="Arial"/>
                <w:spacing w:val="3"/>
              </w:rPr>
              <w:t xml:space="preserve"> </w:t>
            </w:r>
            <w:r>
              <w:rPr>
                <w:rFonts w:ascii="Arial"/>
              </w:rPr>
              <w:t>the</w:t>
            </w:r>
            <w:r>
              <w:rPr>
                <w:rFonts w:ascii="Arial"/>
                <w:spacing w:val="5"/>
              </w:rPr>
              <w:t xml:space="preserve"> </w:t>
            </w:r>
            <w:r>
              <w:rPr>
                <w:rFonts w:ascii="Arial"/>
                <w:spacing w:val="-1"/>
              </w:rPr>
              <w:t>Customer</w:t>
            </w:r>
            <w:r>
              <w:rPr>
                <w:rFonts w:ascii="Arial"/>
                <w:spacing w:val="4"/>
              </w:rPr>
              <w:t xml:space="preserve"> </w:t>
            </w:r>
            <w:r>
              <w:rPr>
                <w:rFonts w:ascii="Arial"/>
                <w:spacing w:val="-2"/>
              </w:rPr>
              <w:t>when</w:t>
            </w:r>
            <w:r>
              <w:rPr>
                <w:rFonts w:ascii="Arial"/>
                <w:spacing w:val="5"/>
              </w:rPr>
              <w:t xml:space="preserve"> </w:t>
            </w:r>
            <w:r>
              <w:rPr>
                <w:rFonts w:ascii="Arial"/>
              </w:rPr>
              <w:t>the</w:t>
            </w:r>
            <w:r>
              <w:rPr>
                <w:rFonts w:ascii="Arial"/>
                <w:spacing w:val="5"/>
              </w:rPr>
              <w:t xml:space="preserve"> </w:t>
            </w:r>
            <w:r>
              <w:rPr>
                <w:rFonts w:ascii="Arial"/>
                <w:spacing w:val="-2"/>
              </w:rPr>
              <w:t>Supplier</w:t>
            </w:r>
            <w:r>
              <w:rPr>
                <w:rFonts w:ascii="Arial"/>
                <w:spacing w:val="6"/>
              </w:rPr>
              <w:t xml:space="preserve"> </w:t>
            </w:r>
            <w:r>
              <w:rPr>
                <w:rFonts w:ascii="Arial"/>
                <w:spacing w:val="-1"/>
              </w:rPr>
              <w:t>has</w:t>
            </w:r>
            <w:r>
              <w:rPr>
                <w:rFonts w:ascii="Arial"/>
                <w:spacing w:val="8"/>
              </w:rPr>
              <w:t xml:space="preserve"> </w:t>
            </w:r>
            <w:r>
              <w:rPr>
                <w:rFonts w:ascii="Arial"/>
                <w:spacing w:val="-2"/>
              </w:rPr>
              <w:t>Achieved</w:t>
            </w:r>
            <w:r>
              <w:rPr>
                <w:rFonts w:ascii="Arial"/>
                <w:spacing w:val="46"/>
              </w:rPr>
              <w:t xml:space="preserve"> </w:t>
            </w:r>
            <w:r>
              <w:rPr>
                <w:rFonts w:ascii="Arial"/>
              </w:rPr>
              <w:t xml:space="preserve">a </w:t>
            </w:r>
            <w:r>
              <w:rPr>
                <w:rFonts w:ascii="Arial"/>
                <w:spacing w:val="-1"/>
              </w:rPr>
              <w:t>Milestone</w:t>
            </w:r>
            <w:r>
              <w:rPr>
                <w:rFonts w:ascii="Arial"/>
              </w:rPr>
              <w:t xml:space="preserve"> </w:t>
            </w:r>
            <w:r>
              <w:rPr>
                <w:rFonts w:ascii="Arial"/>
                <w:spacing w:val="-1"/>
              </w:rPr>
              <w:t xml:space="preserve">or </w:t>
            </w:r>
            <w:r>
              <w:rPr>
                <w:rFonts w:ascii="Arial"/>
              </w:rPr>
              <w:t>a</w:t>
            </w:r>
            <w:r>
              <w:rPr>
                <w:rFonts w:ascii="Arial"/>
                <w:spacing w:val="-2"/>
              </w:rPr>
              <w:t xml:space="preserve"> </w:t>
            </w:r>
            <w:r>
              <w:rPr>
                <w:rFonts w:ascii="Arial"/>
                <w:spacing w:val="-1"/>
              </w:rPr>
              <w:t>Test;</w:t>
            </w:r>
          </w:p>
        </w:tc>
      </w:tr>
      <w:tr w:rsidR="008918FA" w:rsidTr="005D2B81">
        <w:trPr>
          <w:trHeight w:hRule="exact" w:val="140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423"/>
              <w:rPr>
                <w:rFonts w:ascii="Arial" w:eastAsia="Arial" w:hAnsi="Arial" w:cs="Arial"/>
              </w:rPr>
            </w:pPr>
            <w:r>
              <w:rPr>
                <w:rFonts w:ascii="Arial"/>
                <w:b/>
                <w:spacing w:val="-1"/>
              </w:rPr>
              <w:t>"Security</w:t>
            </w:r>
            <w:r>
              <w:rPr>
                <w:rFonts w:ascii="Arial"/>
                <w:b/>
                <w:spacing w:val="24"/>
              </w:rPr>
              <w:t xml:space="preserve"> </w:t>
            </w:r>
            <w:r>
              <w:rPr>
                <w:rFonts w:ascii="Arial"/>
                <w:b/>
                <w:spacing w:val="-1"/>
              </w:rPr>
              <w:t>Management</w:t>
            </w:r>
            <w:r>
              <w:rPr>
                <w:rFonts w:ascii="Arial"/>
                <w:b/>
                <w:spacing w:val="2"/>
              </w:rPr>
              <w:t xml:space="preserve"> </w:t>
            </w:r>
            <w:r>
              <w:rPr>
                <w:rFonts w:ascii="Arial"/>
                <w:b/>
                <w:spacing w:val="-2"/>
              </w:rPr>
              <w:t>Plan"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5"/>
              </w:rPr>
              <w:t xml:space="preserve"> </w:t>
            </w:r>
            <w:r>
              <w:rPr>
                <w:rFonts w:ascii="Arial"/>
              </w:rPr>
              <w:t>the</w:t>
            </w:r>
            <w:r>
              <w:rPr>
                <w:rFonts w:ascii="Arial"/>
                <w:spacing w:val="5"/>
              </w:rPr>
              <w:t xml:space="preserve"> </w:t>
            </w:r>
            <w:r>
              <w:rPr>
                <w:rFonts w:ascii="Arial"/>
                <w:spacing w:val="-1"/>
              </w:rPr>
              <w:t>Supplier's</w:t>
            </w:r>
            <w:r>
              <w:rPr>
                <w:rFonts w:ascii="Arial"/>
                <w:spacing w:val="5"/>
              </w:rPr>
              <w:t xml:space="preserve"> </w:t>
            </w:r>
            <w:r>
              <w:rPr>
                <w:rFonts w:ascii="Arial"/>
                <w:spacing w:val="-1"/>
              </w:rPr>
              <w:t>security</w:t>
            </w:r>
            <w:r>
              <w:rPr>
                <w:rFonts w:ascii="Arial"/>
                <w:spacing w:val="3"/>
              </w:rPr>
              <w:t xml:space="preserve"> </w:t>
            </w:r>
            <w:r>
              <w:rPr>
                <w:rFonts w:ascii="Arial"/>
                <w:spacing w:val="-1"/>
              </w:rPr>
              <w:t>management</w:t>
            </w:r>
            <w:r>
              <w:rPr>
                <w:rFonts w:ascii="Arial"/>
                <w:spacing w:val="7"/>
              </w:rPr>
              <w:t xml:space="preserve"> </w:t>
            </w:r>
            <w:r>
              <w:rPr>
                <w:rFonts w:ascii="Arial"/>
                <w:spacing w:val="-1"/>
              </w:rPr>
              <w:t>plan</w:t>
            </w:r>
            <w:r>
              <w:rPr>
                <w:rFonts w:ascii="Arial"/>
                <w:spacing w:val="5"/>
              </w:rPr>
              <w:t xml:space="preserve"> </w:t>
            </w:r>
            <w:r>
              <w:rPr>
                <w:rFonts w:ascii="Arial"/>
                <w:spacing w:val="-1"/>
              </w:rPr>
              <w:t>prepared</w:t>
            </w:r>
            <w:r>
              <w:rPr>
                <w:rFonts w:ascii="Arial"/>
                <w:spacing w:val="29"/>
              </w:rPr>
              <w:t xml:space="preserve"> </w:t>
            </w:r>
            <w:r>
              <w:rPr>
                <w:rFonts w:ascii="Arial"/>
                <w:spacing w:val="-1"/>
              </w:rPr>
              <w:t>pursuant</w:t>
            </w:r>
            <w:r>
              <w:rPr>
                <w:rFonts w:ascii="Arial"/>
                <w:spacing w:val="11"/>
              </w:rPr>
              <w:t xml:space="preserve"> </w:t>
            </w:r>
            <w:r>
              <w:rPr>
                <w:rFonts w:ascii="Arial"/>
              </w:rPr>
              <w:t>to</w:t>
            </w:r>
            <w:r>
              <w:rPr>
                <w:rFonts w:ascii="Arial"/>
                <w:spacing w:val="12"/>
              </w:rPr>
              <w:t xml:space="preserve"> </w:t>
            </w:r>
            <w:r>
              <w:rPr>
                <w:rFonts w:ascii="Arial"/>
                <w:spacing w:val="-1"/>
              </w:rPr>
              <w:t>paragraph</w:t>
            </w:r>
            <w:r>
              <w:rPr>
                <w:rFonts w:ascii="Arial"/>
                <w:spacing w:val="13"/>
              </w:rPr>
              <w:t xml:space="preserve"> </w:t>
            </w:r>
            <w:hyperlink w:anchor="_bookmark339" w:history="1">
              <w:r>
                <w:rPr>
                  <w:rFonts w:ascii="Arial"/>
                </w:rPr>
                <w:t>4</w:t>
              </w:r>
            </w:hyperlink>
            <w:r>
              <w:rPr>
                <w:rFonts w:ascii="Arial"/>
                <w:spacing w:val="12"/>
              </w:rPr>
              <w:t xml:space="preserve"> </w:t>
            </w:r>
            <w:r>
              <w:rPr>
                <w:rFonts w:ascii="Arial"/>
                <w:spacing w:val="-1"/>
              </w:rPr>
              <w:t>of</w:t>
            </w:r>
            <w:r>
              <w:rPr>
                <w:rFonts w:ascii="Arial"/>
                <w:spacing w:val="16"/>
              </w:rPr>
              <w:t xml:space="preserve"> </w:t>
            </w:r>
            <w:r>
              <w:rPr>
                <w:rFonts w:ascii="Arial"/>
                <w:spacing w:val="-2"/>
              </w:rPr>
              <w:t>Call</w:t>
            </w:r>
            <w:r>
              <w:rPr>
                <w:rFonts w:ascii="Arial"/>
                <w:spacing w:val="12"/>
              </w:rPr>
              <w:t xml:space="preserve"> </w:t>
            </w:r>
            <w:r>
              <w:rPr>
                <w:rFonts w:ascii="Arial"/>
                <w:spacing w:val="-1"/>
              </w:rPr>
              <w:t>Off</w:t>
            </w:r>
            <w:r>
              <w:rPr>
                <w:rFonts w:ascii="Arial"/>
                <w:spacing w:val="14"/>
              </w:rPr>
              <w:t xml:space="preserve"> </w:t>
            </w:r>
            <w:r>
              <w:rPr>
                <w:rFonts w:ascii="Arial"/>
                <w:spacing w:val="-1"/>
              </w:rPr>
              <w:t>Schedule</w:t>
            </w:r>
            <w:r>
              <w:rPr>
                <w:rFonts w:ascii="Arial"/>
                <w:spacing w:val="12"/>
              </w:rPr>
              <w:t xml:space="preserve"> </w:t>
            </w:r>
            <w:r>
              <w:rPr>
                <w:rFonts w:ascii="Arial"/>
              </w:rPr>
              <w:t>8</w:t>
            </w:r>
            <w:r>
              <w:rPr>
                <w:rFonts w:ascii="Arial"/>
                <w:spacing w:val="12"/>
              </w:rPr>
              <w:t xml:space="preserve"> </w:t>
            </w:r>
            <w:r>
              <w:rPr>
                <w:rFonts w:ascii="Arial"/>
                <w:spacing w:val="-1"/>
              </w:rPr>
              <w:t>(Security)</w:t>
            </w:r>
            <w:r>
              <w:rPr>
                <w:rFonts w:ascii="Arial"/>
                <w:spacing w:val="27"/>
              </w:rPr>
              <w:t xml:space="preserve"> </w:t>
            </w:r>
            <w:r>
              <w:rPr>
                <w:rFonts w:ascii="Arial"/>
              </w:rPr>
              <w:t>a</w:t>
            </w:r>
            <w:r>
              <w:rPr>
                <w:rFonts w:ascii="Arial"/>
                <w:spacing w:val="15"/>
              </w:rPr>
              <w:t xml:space="preserve"> </w:t>
            </w:r>
            <w:r>
              <w:rPr>
                <w:rFonts w:ascii="Arial"/>
                <w:spacing w:val="-1"/>
              </w:rPr>
              <w:t>draft</w:t>
            </w:r>
            <w:r>
              <w:rPr>
                <w:rFonts w:ascii="Arial"/>
                <w:spacing w:val="16"/>
              </w:rPr>
              <w:t xml:space="preserve"> </w:t>
            </w:r>
            <w:r>
              <w:rPr>
                <w:rFonts w:ascii="Arial"/>
                <w:spacing w:val="-2"/>
              </w:rPr>
              <w:t>of</w:t>
            </w:r>
            <w:r>
              <w:rPr>
                <w:rFonts w:ascii="Arial"/>
                <w:spacing w:val="19"/>
              </w:rPr>
              <w:t xml:space="preserve"> </w:t>
            </w:r>
            <w:r>
              <w:rPr>
                <w:rFonts w:ascii="Arial"/>
                <w:spacing w:val="-2"/>
              </w:rPr>
              <w:t>which</w:t>
            </w:r>
            <w:r>
              <w:rPr>
                <w:rFonts w:ascii="Arial"/>
                <w:spacing w:val="15"/>
              </w:rPr>
              <w:t xml:space="preserve"> </w:t>
            </w:r>
            <w:r>
              <w:rPr>
                <w:rFonts w:ascii="Arial"/>
                <w:spacing w:val="-1"/>
              </w:rPr>
              <w:t>has</w:t>
            </w:r>
            <w:r>
              <w:rPr>
                <w:rFonts w:ascii="Arial"/>
                <w:spacing w:val="15"/>
              </w:rPr>
              <w:t xml:space="preserve"> </w:t>
            </w:r>
            <w:r>
              <w:rPr>
                <w:rFonts w:ascii="Arial"/>
                <w:spacing w:val="-1"/>
              </w:rPr>
              <w:t>been</w:t>
            </w:r>
            <w:r>
              <w:rPr>
                <w:rFonts w:ascii="Arial"/>
                <w:spacing w:val="15"/>
              </w:rPr>
              <w:t xml:space="preserve"> </w:t>
            </w:r>
            <w:r>
              <w:rPr>
                <w:rFonts w:ascii="Arial"/>
                <w:spacing w:val="-2"/>
              </w:rPr>
              <w:t>provided</w:t>
            </w:r>
            <w:r>
              <w:rPr>
                <w:rFonts w:ascii="Arial"/>
                <w:spacing w:val="15"/>
              </w:rPr>
              <w:t xml:space="preserve"> </w:t>
            </w:r>
            <w:r>
              <w:rPr>
                <w:rFonts w:ascii="Arial"/>
                <w:spacing w:val="-1"/>
              </w:rPr>
              <w:t>by</w:t>
            </w:r>
            <w:r>
              <w:rPr>
                <w:rFonts w:ascii="Arial"/>
                <w:spacing w:val="13"/>
              </w:rPr>
              <w:t xml:space="preserve"> </w:t>
            </w:r>
            <w:r>
              <w:rPr>
                <w:rFonts w:ascii="Arial"/>
              </w:rPr>
              <w:t>the</w:t>
            </w:r>
            <w:r>
              <w:rPr>
                <w:rFonts w:ascii="Arial"/>
                <w:spacing w:val="15"/>
              </w:rPr>
              <w:t xml:space="preserve"> </w:t>
            </w:r>
            <w:r>
              <w:rPr>
                <w:rFonts w:ascii="Arial"/>
                <w:spacing w:val="-1"/>
              </w:rPr>
              <w:t>Supplier</w:t>
            </w:r>
            <w:r>
              <w:rPr>
                <w:rFonts w:ascii="Arial"/>
                <w:spacing w:val="16"/>
              </w:rPr>
              <w:t xml:space="preserve"> </w:t>
            </w:r>
            <w:r>
              <w:rPr>
                <w:rFonts w:ascii="Arial"/>
              </w:rPr>
              <w:t>to</w:t>
            </w:r>
            <w:r>
              <w:rPr>
                <w:rFonts w:ascii="Arial"/>
                <w:spacing w:val="12"/>
              </w:rPr>
              <w:t xml:space="preserve"> </w:t>
            </w:r>
            <w:r>
              <w:rPr>
                <w:rFonts w:ascii="Arial"/>
                <w:spacing w:val="-1"/>
              </w:rPr>
              <w:t>the</w:t>
            </w:r>
            <w:r>
              <w:rPr>
                <w:rFonts w:ascii="Arial"/>
                <w:spacing w:val="40"/>
              </w:rPr>
              <w:t xml:space="preserve"> </w:t>
            </w:r>
            <w:r>
              <w:rPr>
                <w:rFonts w:ascii="Arial"/>
                <w:spacing w:val="-1"/>
              </w:rPr>
              <w:t>Customer</w:t>
            </w:r>
            <w:r>
              <w:rPr>
                <w:rFonts w:ascii="Arial"/>
                <w:spacing w:val="8"/>
              </w:rPr>
              <w:t xml:space="preserve"> </w:t>
            </w:r>
            <w:r>
              <w:rPr>
                <w:rFonts w:ascii="Arial"/>
                <w:spacing w:val="-1"/>
              </w:rPr>
              <w:t>in</w:t>
            </w:r>
            <w:r>
              <w:rPr>
                <w:rFonts w:ascii="Arial"/>
                <w:spacing w:val="6"/>
              </w:rPr>
              <w:t xml:space="preserve"> </w:t>
            </w:r>
            <w:r>
              <w:rPr>
                <w:rFonts w:ascii="Arial"/>
                <w:spacing w:val="-1"/>
              </w:rPr>
              <w:t>accordance</w:t>
            </w:r>
            <w:r>
              <w:rPr>
                <w:rFonts w:ascii="Arial"/>
                <w:spacing w:val="6"/>
              </w:rPr>
              <w:t xml:space="preserve"> </w:t>
            </w:r>
            <w:r>
              <w:rPr>
                <w:rFonts w:ascii="Arial"/>
                <w:spacing w:val="-1"/>
              </w:rPr>
              <w:t>with</w:t>
            </w:r>
            <w:r>
              <w:rPr>
                <w:rFonts w:ascii="Arial"/>
                <w:spacing w:val="6"/>
              </w:rPr>
              <w:t xml:space="preserve"> </w:t>
            </w:r>
            <w:r>
              <w:rPr>
                <w:rFonts w:ascii="Arial"/>
                <w:spacing w:val="-1"/>
              </w:rPr>
              <w:t>paragraph</w:t>
            </w:r>
            <w:r>
              <w:rPr>
                <w:rFonts w:ascii="Arial"/>
                <w:spacing w:val="6"/>
              </w:rPr>
              <w:t xml:space="preserve"> </w:t>
            </w:r>
            <w:hyperlink w:anchor="_bookmark339" w:history="1">
              <w:r>
                <w:rPr>
                  <w:rFonts w:ascii="Arial"/>
                </w:rPr>
                <w:t>4</w:t>
              </w:r>
            </w:hyperlink>
            <w:r>
              <w:rPr>
                <w:rFonts w:ascii="Arial"/>
                <w:spacing w:val="8"/>
              </w:rPr>
              <w:t xml:space="preserve"> </w:t>
            </w:r>
            <w:r>
              <w:rPr>
                <w:rFonts w:ascii="Arial"/>
                <w:spacing w:val="-2"/>
              </w:rPr>
              <w:t>of</w:t>
            </w:r>
            <w:r>
              <w:rPr>
                <w:rFonts w:ascii="Arial"/>
                <w:spacing w:val="8"/>
              </w:rPr>
              <w:t xml:space="preserve"> </w:t>
            </w:r>
            <w:r>
              <w:rPr>
                <w:rFonts w:ascii="Arial"/>
                <w:spacing w:val="-2"/>
              </w:rPr>
              <w:t>Call</w:t>
            </w:r>
            <w:r>
              <w:rPr>
                <w:rFonts w:ascii="Arial"/>
                <w:spacing w:val="6"/>
              </w:rPr>
              <w:t xml:space="preserve"> </w:t>
            </w:r>
            <w:r>
              <w:rPr>
                <w:rFonts w:ascii="Arial"/>
                <w:spacing w:val="-1"/>
              </w:rPr>
              <w:t>Off</w:t>
            </w:r>
            <w:r>
              <w:rPr>
                <w:rFonts w:ascii="Arial"/>
                <w:spacing w:val="25"/>
              </w:rPr>
              <w:t xml:space="preserve"> </w:t>
            </w:r>
            <w:r>
              <w:rPr>
                <w:rFonts w:ascii="Arial"/>
                <w:spacing w:val="-1"/>
              </w:rPr>
              <w:t>Schedule</w:t>
            </w:r>
            <w:r>
              <w:rPr>
                <w:rFonts w:ascii="Arial"/>
              </w:rPr>
              <w:t xml:space="preserve"> 8 </w:t>
            </w:r>
            <w:r>
              <w:rPr>
                <w:rFonts w:ascii="Arial"/>
                <w:spacing w:val="-1"/>
              </w:rPr>
              <w:t>(Security)</w:t>
            </w:r>
            <w:r>
              <w:rPr>
                <w:rFonts w:ascii="Arial"/>
                <w:spacing w:val="2"/>
              </w:rPr>
              <w:t xml:space="preserve"> </w:t>
            </w:r>
            <w:r>
              <w:rPr>
                <w:rFonts w:ascii="Arial"/>
                <w:spacing w:val="-2"/>
              </w:rPr>
              <w:t>and</w:t>
            </w:r>
            <w:r>
              <w:rPr>
                <w:rFonts w:ascii="Arial"/>
              </w:rPr>
              <w:t xml:space="preserve"> </w:t>
            </w:r>
            <w:r>
              <w:rPr>
                <w:rFonts w:ascii="Arial"/>
                <w:spacing w:val="-1"/>
              </w:rPr>
              <w:t>as</w:t>
            </w:r>
            <w:r>
              <w:rPr>
                <w:rFonts w:ascii="Arial"/>
                <w:spacing w:val="1"/>
              </w:rPr>
              <w:t xml:space="preserve"> </w:t>
            </w:r>
            <w:r>
              <w:rPr>
                <w:rFonts w:ascii="Arial"/>
                <w:spacing w:val="-1"/>
              </w:rPr>
              <w:t>updated</w:t>
            </w:r>
            <w:r>
              <w:rPr>
                <w:rFonts w:ascii="Arial"/>
                <w:spacing w:val="-2"/>
              </w:rPr>
              <w:t xml:space="preserve"> </w:t>
            </w:r>
            <w:r>
              <w:rPr>
                <w:rFonts w:ascii="Arial"/>
                <w:spacing w:val="-1"/>
              </w:rPr>
              <w:t>from time</w:t>
            </w:r>
            <w:r>
              <w:rPr>
                <w:rFonts w:ascii="Arial"/>
                <w:spacing w:val="-2"/>
              </w:rPr>
              <w:t xml:space="preserve"> </w:t>
            </w:r>
            <w:r>
              <w:rPr>
                <w:rFonts w:ascii="Arial"/>
                <w:spacing w:val="-1"/>
              </w:rPr>
              <w:t>to</w:t>
            </w:r>
            <w:r>
              <w:rPr>
                <w:rFonts w:ascii="Arial"/>
              </w:rPr>
              <w:t xml:space="preserve"> </w:t>
            </w:r>
            <w:r>
              <w:rPr>
                <w:rFonts w:ascii="Arial"/>
                <w:spacing w:val="-1"/>
              </w:rPr>
              <w:t>time;</w:t>
            </w:r>
          </w:p>
        </w:tc>
      </w:tr>
      <w:tr w:rsidR="008918FA" w:rsidTr="005D2B81">
        <w:trPr>
          <w:trHeight w:hRule="exact" w:val="114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"Security</w:t>
            </w:r>
            <w:r>
              <w:rPr>
                <w:rFonts w:ascii="Arial"/>
                <w:b/>
                <w:spacing w:val="-4"/>
              </w:rPr>
              <w:t xml:space="preserve"> </w:t>
            </w:r>
            <w:r>
              <w:rPr>
                <w:rFonts w:ascii="Arial"/>
                <w:b/>
                <w:spacing w:val="-1"/>
              </w:rPr>
              <w:t>Policy"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means</w:t>
            </w:r>
            <w:r>
              <w:rPr>
                <w:rFonts w:ascii="Arial"/>
                <w:spacing w:val="37"/>
              </w:rPr>
              <w:t xml:space="preserve"> </w:t>
            </w:r>
            <w:r>
              <w:rPr>
                <w:rFonts w:ascii="Arial"/>
              </w:rPr>
              <w:t>the</w:t>
            </w:r>
            <w:r>
              <w:rPr>
                <w:rFonts w:ascii="Arial"/>
                <w:spacing w:val="38"/>
              </w:rPr>
              <w:t xml:space="preserve"> </w:t>
            </w:r>
            <w:r>
              <w:rPr>
                <w:rFonts w:ascii="Arial"/>
                <w:spacing w:val="-1"/>
              </w:rPr>
              <w:t>Customer's</w:t>
            </w:r>
            <w:r>
              <w:rPr>
                <w:rFonts w:ascii="Arial"/>
                <w:spacing w:val="34"/>
              </w:rPr>
              <w:t xml:space="preserve"> </w:t>
            </w:r>
            <w:r>
              <w:rPr>
                <w:rFonts w:ascii="Arial"/>
                <w:spacing w:val="-1"/>
              </w:rPr>
              <w:t>security</w:t>
            </w:r>
            <w:r>
              <w:rPr>
                <w:rFonts w:ascii="Arial"/>
                <w:spacing w:val="36"/>
              </w:rPr>
              <w:t xml:space="preserve"> </w:t>
            </w:r>
            <w:r>
              <w:rPr>
                <w:rFonts w:ascii="Arial"/>
                <w:spacing w:val="-2"/>
              </w:rPr>
              <w:t>policy</w:t>
            </w:r>
            <w:r>
              <w:rPr>
                <w:rFonts w:ascii="Arial"/>
                <w:spacing w:val="37"/>
              </w:rPr>
              <w:t xml:space="preserve"> </w:t>
            </w:r>
            <w:r>
              <w:rPr>
                <w:rFonts w:ascii="Arial"/>
                <w:spacing w:val="-1"/>
              </w:rPr>
              <w:t>in</w:t>
            </w:r>
            <w:r>
              <w:rPr>
                <w:rFonts w:ascii="Arial"/>
                <w:spacing w:val="38"/>
              </w:rPr>
              <w:t xml:space="preserve"> </w:t>
            </w:r>
            <w:r>
              <w:rPr>
                <w:rFonts w:ascii="Arial"/>
                <w:spacing w:val="-1"/>
              </w:rPr>
              <w:t>force</w:t>
            </w:r>
            <w:r>
              <w:rPr>
                <w:rFonts w:ascii="Arial"/>
                <w:spacing w:val="38"/>
              </w:rPr>
              <w:t xml:space="preserve"> </w:t>
            </w:r>
            <w:r>
              <w:rPr>
                <w:rFonts w:ascii="Arial"/>
                <w:spacing w:val="-1"/>
              </w:rPr>
              <w:t>as</w:t>
            </w:r>
            <w:r>
              <w:rPr>
                <w:rFonts w:ascii="Arial"/>
                <w:spacing w:val="39"/>
              </w:rPr>
              <w:t xml:space="preserve"> </w:t>
            </w:r>
            <w:r>
              <w:rPr>
                <w:rFonts w:ascii="Arial"/>
                <w:spacing w:val="-1"/>
              </w:rPr>
              <w:t>at</w:t>
            </w:r>
            <w:r>
              <w:rPr>
                <w:rFonts w:ascii="Arial"/>
                <w:spacing w:val="38"/>
              </w:rPr>
              <w:t xml:space="preserve"> </w:t>
            </w:r>
            <w:r>
              <w:rPr>
                <w:rFonts w:ascii="Arial"/>
                <w:spacing w:val="-1"/>
              </w:rPr>
              <w:t>the</w:t>
            </w:r>
            <w:r>
              <w:rPr>
                <w:rFonts w:ascii="Arial"/>
                <w:spacing w:val="44"/>
              </w:rPr>
              <w:t xml:space="preserve"> </w:t>
            </w:r>
            <w:r>
              <w:rPr>
                <w:rFonts w:ascii="Arial"/>
                <w:spacing w:val="-2"/>
              </w:rPr>
              <w:t>Call</w:t>
            </w:r>
            <w:r>
              <w:rPr>
                <w:rFonts w:ascii="Arial"/>
                <w:spacing w:val="12"/>
              </w:rPr>
              <w:t xml:space="preserve"> </w:t>
            </w:r>
            <w:r>
              <w:rPr>
                <w:rFonts w:ascii="Arial"/>
              </w:rPr>
              <w:t>Off</w:t>
            </w:r>
            <w:r>
              <w:rPr>
                <w:rFonts w:ascii="Arial"/>
                <w:spacing w:val="14"/>
              </w:rPr>
              <w:t xml:space="preserve"> </w:t>
            </w:r>
            <w:r>
              <w:rPr>
                <w:rFonts w:ascii="Arial"/>
                <w:spacing w:val="-1"/>
              </w:rPr>
              <w:t>Commencement</w:t>
            </w:r>
            <w:r>
              <w:rPr>
                <w:rFonts w:ascii="Arial"/>
                <w:spacing w:val="11"/>
              </w:rPr>
              <w:t xml:space="preserve"> </w:t>
            </w:r>
            <w:r>
              <w:rPr>
                <w:rFonts w:ascii="Arial"/>
                <w:spacing w:val="-1"/>
              </w:rPr>
              <w:t>Date</w:t>
            </w:r>
            <w:r>
              <w:rPr>
                <w:rFonts w:ascii="Arial"/>
                <w:spacing w:val="12"/>
              </w:rPr>
              <w:t xml:space="preserve"> </w:t>
            </w:r>
            <w:r>
              <w:rPr>
                <w:rFonts w:ascii="Arial"/>
              </w:rPr>
              <w:t>(a</w:t>
            </w:r>
            <w:r>
              <w:rPr>
                <w:rFonts w:ascii="Arial"/>
                <w:spacing w:val="12"/>
              </w:rPr>
              <w:t xml:space="preserve"> </w:t>
            </w:r>
            <w:r>
              <w:rPr>
                <w:rFonts w:ascii="Arial"/>
                <w:spacing w:val="-1"/>
              </w:rPr>
              <w:t>copy</w:t>
            </w:r>
            <w:r>
              <w:rPr>
                <w:rFonts w:ascii="Arial"/>
                <w:spacing w:val="10"/>
              </w:rPr>
              <w:t xml:space="preserve"> </w:t>
            </w:r>
            <w:r>
              <w:rPr>
                <w:rFonts w:ascii="Arial"/>
                <w:spacing w:val="-1"/>
              </w:rPr>
              <w:t>of</w:t>
            </w:r>
            <w:r>
              <w:rPr>
                <w:rFonts w:ascii="Arial"/>
                <w:spacing w:val="16"/>
              </w:rPr>
              <w:t xml:space="preserve"> </w:t>
            </w:r>
            <w:r>
              <w:rPr>
                <w:rFonts w:ascii="Arial"/>
                <w:spacing w:val="-2"/>
              </w:rPr>
              <w:t>which</w:t>
            </w:r>
            <w:r>
              <w:rPr>
                <w:rFonts w:ascii="Arial"/>
                <w:spacing w:val="13"/>
              </w:rPr>
              <w:t xml:space="preserve"> </w:t>
            </w:r>
            <w:r>
              <w:rPr>
                <w:rFonts w:ascii="Arial"/>
                <w:spacing w:val="-1"/>
              </w:rPr>
              <w:t>has</w:t>
            </w:r>
            <w:r>
              <w:rPr>
                <w:rFonts w:ascii="Arial"/>
                <w:spacing w:val="13"/>
              </w:rPr>
              <w:t xml:space="preserve"> </w:t>
            </w:r>
            <w:r>
              <w:rPr>
                <w:rFonts w:ascii="Arial"/>
                <w:spacing w:val="-1"/>
              </w:rPr>
              <w:t>been</w:t>
            </w:r>
            <w:r>
              <w:rPr>
                <w:rFonts w:ascii="Arial"/>
                <w:spacing w:val="26"/>
              </w:rPr>
              <w:t xml:space="preserve"> </w:t>
            </w:r>
            <w:r>
              <w:rPr>
                <w:rFonts w:ascii="Arial"/>
                <w:spacing w:val="-1"/>
              </w:rPr>
              <w:t>supplied</w:t>
            </w:r>
            <w:r>
              <w:rPr>
                <w:rFonts w:ascii="Arial"/>
                <w:spacing w:val="43"/>
              </w:rPr>
              <w:t xml:space="preserve"> </w:t>
            </w:r>
            <w:r>
              <w:rPr>
                <w:rFonts w:ascii="Arial"/>
              </w:rPr>
              <w:t>to</w:t>
            </w:r>
            <w:r>
              <w:rPr>
                <w:rFonts w:ascii="Arial"/>
                <w:spacing w:val="43"/>
              </w:rPr>
              <w:t xml:space="preserve"> </w:t>
            </w:r>
            <w:r>
              <w:rPr>
                <w:rFonts w:ascii="Arial"/>
              </w:rPr>
              <w:t>the</w:t>
            </w:r>
            <w:r>
              <w:rPr>
                <w:rFonts w:ascii="Arial"/>
                <w:spacing w:val="41"/>
              </w:rPr>
              <w:t xml:space="preserve"> </w:t>
            </w:r>
            <w:r>
              <w:rPr>
                <w:rFonts w:ascii="Arial"/>
                <w:spacing w:val="-2"/>
              </w:rPr>
              <w:t>Supplier),</w:t>
            </w:r>
            <w:r>
              <w:rPr>
                <w:rFonts w:ascii="Arial"/>
                <w:spacing w:val="45"/>
              </w:rPr>
              <w:t xml:space="preserve"> </w:t>
            </w:r>
            <w:r>
              <w:rPr>
                <w:rFonts w:ascii="Arial"/>
                <w:spacing w:val="-2"/>
              </w:rPr>
              <w:t>as</w:t>
            </w:r>
            <w:r>
              <w:rPr>
                <w:rFonts w:ascii="Arial"/>
                <w:spacing w:val="44"/>
              </w:rPr>
              <w:t xml:space="preserve"> </w:t>
            </w:r>
            <w:r>
              <w:rPr>
                <w:rFonts w:ascii="Arial"/>
                <w:spacing w:val="-1"/>
              </w:rPr>
              <w:t>updated</w:t>
            </w:r>
            <w:r>
              <w:rPr>
                <w:rFonts w:ascii="Arial"/>
                <w:spacing w:val="41"/>
              </w:rPr>
              <w:t xml:space="preserve"> </w:t>
            </w:r>
            <w:r>
              <w:rPr>
                <w:rFonts w:ascii="Arial"/>
                <w:spacing w:val="-1"/>
              </w:rPr>
              <w:t>from</w:t>
            </w:r>
            <w:r>
              <w:rPr>
                <w:rFonts w:ascii="Arial"/>
                <w:spacing w:val="43"/>
              </w:rPr>
              <w:t xml:space="preserve"> </w:t>
            </w:r>
            <w:r>
              <w:rPr>
                <w:rFonts w:ascii="Arial"/>
                <w:spacing w:val="-1"/>
              </w:rPr>
              <w:t>time</w:t>
            </w:r>
            <w:r>
              <w:rPr>
                <w:rFonts w:ascii="Arial"/>
                <w:spacing w:val="41"/>
              </w:rPr>
              <w:t xml:space="preserve"> </w:t>
            </w:r>
            <w:r>
              <w:rPr>
                <w:rFonts w:ascii="Arial"/>
              </w:rPr>
              <w:t>to</w:t>
            </w:r>
            <w:r>
              <w:rPr>
                <w:rFonts w:ascii="Arial"/>
                <w:spacing w:val="41"/>
              </w:rPr>
              <w:t xml:space="preserve"> </w:t>
            </w:r>
            <w:r>
              <w:rPr>
                <w:rFonts w:ascii="Arial"/>
                <w:spacing w:val="-1"/>
              </w:rPr>
              <w:t>time</w:t>
            </w:r>
            <w:r>
              <w:rPr>
                <w:rFonts w:ascii="Arial"/>
                <w:spacing w:val="43"/>
              </w:rPr>
              <w:t xml:space="preserve"> </w:t>
            </w:r>
            <w:r>
              <w:rPr>
                <w:rFonts w:ascii="Arial"/>
                <w:spacing w:val="-1"/>
              </w:rPr>
              <w:t>and</w:t>
            </w:r>
            <w:r>
              <w:rPr>
                <w:rFonts w:ascii="Arial"/>
                <w:spacing w:val="1"/>
              </w:rPr>
              <w:t xml:space="preserve"> </w:t>
            </w:r>
            <w:r>
              <w:rPr>
                <w:rFonts w:ascii="Arial"/>
                <w:spacing w:val="-1"/>
              </w:rPr>
              <w:t>notified</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spacing w:val="-1"/>
              </w:rPr>
              <w:t>Supplier;</w:t>
            </w:r>
          </w:p>
        </w:tc>
      </w:tr>
      <w:tr w:rsidR="008918FA" w:rsidTr="001C1527">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714"/>
              <w:rPr>
                <w:rFonts w:ascii="Arial" w:eastAsia="Arial" w:hAnsi="Arial" w:cs="Arial"/>
              </w:rPr>
            </w:pPr>
            <w:r>
              <w:rPr>
                <w:rFonts w:ascii="Arial" w:eastAsia="Arial" w:hAnsi="Arial" w:cs="Arial"/>
                <w:b/>
                <w:bCs/>
                <w:spacing w:val="-1"/>
              </w:rPr>
              <w:t>"Security</w:t>
            </w:r>
            <w:r>
              <w:rPr>
                <w:rFonts w:ascii="Arial" w:eastAsia="Arial" w:hAnsi="Arial" w:cs="Arial"/>
                <w:b/>
                <w:bCs/>
                <w:spacing w:val="-4"/>
              </w:rPr>
              <w:t xml:space="preserve"> </w:t>
            </w:r>
            <w:r>
              <w:rPr>
                <w:rFonts w:ascii="Arial" w:eastAsia="Arial" w:hAnsi="Arial" w:cs="Arial"/>
                <w:b/>
                <w:bCs/>
              </w:rPr>
              <w:t>Policy</w:t>
            </w:r>
            <w:r>
              <w:rPr>
                <w:rFonts w:ascii="Arial" w:eastAsia="Arial" w:hAnsi="Arial" w:cs="Arial"/>
                <w:b/>
                <w:bCs/>
                <w:spacing w:val="25"/>
              </w:rPr>
              <w:t xml:space="preserve"> </w:t>
            </w:r>
            <w:r>
              <w:rPr>
                <w:rFonts w:ascii="Arial" w:eastAsia="Arial" w:hAnsi="Arial" w:cs="Arial"/>
                <w:b/>
                <w:bCs/>
                <w:spacing w:val="-1"/>
              </w:rPr>
              <w:t>Framework”</w:t>
            </w:r>
          </w:p>
        </w:tc>
        <w:tc>
          <w:tcPr>
            <w:tcW w:w="6060" w:type="dxa"/>
            <w:tcBorders>
              <w:top w:val="single" w:sz="7" w:space="0" w:color="000000"/>
              <w:left w:val="single" w:sz="7" w:space="0" w:color="000000"/>
              <w:bottom w:val="single" w:sz="7" w:space="0" w:color="000000"/>
              <w:right w:val="single" w:sz="5" w:space="0" w:color="000000"/>
            </w:tcBorders>
            <w:shd w:val="clear" w:color="auto" w:fill="auto"/>
          </w:tcPr>
          <w:p w:rsidR="008918FA" w:rsidRDefault="008918FA" w:rsidP="005D2B81">
            <w:pPr>
              <w:pStyle w:val="TableParagraph"/>
              <w:tabs>
                <w:tab w:val="left" w:pos="1170"/>
                <w:tab w:val="left" w:pos="2274"/>
                <w:tab w:val="left" w:pos="3663"/>
                <w:tab w:val="left" w:pos="4841"/>
              </w:tabs>
              <w:ind w:left="270" w:right="100"/>
              <w:rPr>
                <w:rFonts w:ascii="Arial" w:eastAsia="Arial" w:hAnsi="Arial" w:cs="Arial"/>
              </w:rPr>
            </w:pPr>
            <w:r>
              <w:rPr>
                <w:rFonts w:ascii="Arial"/>
              </w:rPr>
              <w:t>the</w:t>
            </w:r>
            <w:r>
              <w:rPr>
                <w:rFonts w:ascii="Arial"/>
              </w:rPr>
              <w:tab/>
            </w:r>
            <w:r>
              <w:rPr>
                <w:rFonts w:ascii="Arial"/>
                <w:spacing w:val="-2"/>
              </w:rPr>
              <w:t>HMG</w:t>
            </w:r>
            <w:r>
              <w:rPr>
                <w:rFonts w:ascii="Arial"/>
                <w:spacing w:val="-2"/>
              </w:rPr>
              <w:tab/>
            </w:r>
            <w:r>
              <w:rPr>
                <w:rFonts w:ascii="Arial"/>
                <w:spacing w:val="-1"/>
              </w:rPr>
              <w:t>Security</w:t>
            </w:r>
            <w:r>
              <w:rPr>
                <w:rFonts w:ascii="Arial"/>
                <w:spacing w:val="-1"/>
              </w:rPr>
              <w:tab/>
              <w:t>Policy</w:t>
            </w:r>
            <w:r>
              <w:rPr>
                <w:rFonts w:ascii="Arial"/>
                <w:spacing w:val="-1"/>
              </w:rPr>
              <w:tab/>
              <w:t>Framework</w:t>
            </w:r>
            <w:hyperlink r:id="rId11">
              <w:r>
                <w:rPr>
                  <w:rFonts w:ascii="Arial"/>
                  <w:spacing w:val="21"/>
                </w:rPr>
                <w:t xml:space="preserve"> </w:t>
              </w:r>
              <w:r>
                <w:rPr>
                  <w:rFonts w:ascii="Arial"/>
                  <w:spacing w:val="-1"/>
                </w:rPr>
                <w:t>https://www.gov.uk/government/uploads/system/uploads/</w:t>
              </w:r>
            </w:hyperlink>
            <w:r>
              <w:rPr>
                <w:rFonts w:ascii="Arial"/>
                <w:spacing w:val="27"/>
              </w:rPr>
              <w:t xml:space="preserve"> </w:t>
            </w:r>
            <w:hyperlink r:id="rId12">
              <w:r>
                <w:rPr>
                  <w:rFonts w:ascii="Arial"/>
                  <w:spacing w:val="-1"/>
                </w:rPr>
                <w:t>attachment_data/file/255910/HMG_Security_Policy_Fram</w:t>
              </w:r>
            </w:hyperlink>
            <w:r>
              <w:rPr>
                <w:rFonts w:ascii="Arial"/>
                <w:spacing w:val="26"/>
              </w:rPr>
              <w:t xml:space="preserve"> </w:t>
            </w:r>
            <w:hyperlink r:id="rId13">
              <w:r>
                <w:rPr>
                  <w:rFonts w:ascii="Arial"/>
                  <w:spacing w:val="-1"/>
                </w:rPr>
                <w:t>ework_V11.0.pdf</w:t>
              </w:r>
            </w:hyperlink>
            <w:r>
              <w:rPr>
                <w:rFonts w:ascii="Arial"/>
                <w:spacing w:val="-1"/>
              </w:rPr>
              <w:t>;</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"Service</w:t>
            </w:r>
            <w:r>
              <w:rPr>
                <w:rFonts w:ascii="Arial"/>
                <w:b/>
              </w:rPr>
              <w:t xml:space="preserve"> </w:t>
            </w:r>
            <w:r>
              <w:rPr>
                <w:rFonts w:ascii="Arial"/>
                <w:b/>
                <w:spacing w:val="-1"/>
              </w:rPr>
              <w:t xml:space="preserve">Credit </w:t>
            </w:r>
            <w:r>
              <w:rPr>
                <w:rFonts w:ascii="Arial"/>
                <w:b/>
                <w:spacing w:val="-2"/>
              </w:rPr>
              <w:t>Cap"</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has</w:t>
            </w:r>
            <w:r>
              <w:rPr>
                <w:rFonts w:ascii="Arial"/>
                <w:spacing w:val="32"/>
              </w:rPr>
              <w:t xml:space="preserve"> </w:t>
            </w:r>
            <w:r>
              <w:rPr>
                <w:rFonts w:ascii="Arial"/>
              </w:rPr>
              <w:t>the</w:t>
            </w:r>
            <w:r>
              <w:rPr>
                <w:rFonts w:ascii="Arial"/>
                <w:spacing w:val="29"/>
              </w:rPr>
              <w:t xml:space="preserve"> </w:t>
            </w:r>
            <w:r>
              <w:rPr>
                <w:rFonts w:ascii="Arial"/>
                <w:spacing w:val="-2"/>
              </w:rPr>
              <w:t>meaning</w:t>
            </w:r>
            <w:r>
              <w:rPr>
                <w:rFonts w:ascii="Arial"/>
                <w:spacing w:val="31"/>
              </w:rPr>
              <w:t xml:space="preserve"> </w:t>
            </w:r>
            <w:r>
              <w:rPr>
                <w:rFonts w:ascii="Arial"/>
                <w:spacing w:val="-1"/>
              </w:rPr>
              <w:t>given</w:t>
            </w:r>
            <w:r>
              <w:rPr>
                <w:rFonts w:ascii="Arial"/>
                <w:spacing w:val="31"/>
              </w:rPr>
              <w:t xml:space="preserve"> </w:t>
            </w:r>
            <w:r>
              <w:rPr>
                <w:rFonts w:ascii="Arial"/>
              </w:rPr>
              <w:t>to</w:t>
            </w:r>
            <w:r>
              <w:rPr>
                <w:rFonts w:ascii="Arial"/>
                <w:spacing w:val="31"/>
              </w:rPr>
              <w:t xml:space="preserve"> </w:t>
            </w:r>
            <w:r>
              <w:rPr>
                <w:rFonts w:ascii="Arial"/>
                <w:spacing w:val="-1"/>
              </w:rPr>
              <w:t>it</w:t>
            </w:r>
            <w:r>
              <w:rPr>
                <w:rFonts w:ascii="Arial"/>
                <w:spacing w:val="33"/>
              </w:rPr>
              <w:t xml:space="preserve"> </w:t>
            </w:r>
            <w:r>
              <w:rPr>
                <w:rFonts w:ascii="Arial"/>
                <w:spacing w:val="-1"/>
              </w:rPr>
              <w:t>in</w:t>
            </w:r>
            <w:r>
              <w:rPr>
                <w:rFonts w:ascii="Arial"/>
                <w:spacing w:val="30"/>
              </w:rPr>
              <w:t xml:space="preserve"> </w:t>
            </w:r>
            <w:r>
              <w:rPr>
                <w:rFonts w:ascii="Arial"/>
                <w:spacing w:val="-1"/>
              </w:rPr>
              <w:t>Paragraph</w:t>
            </w:r>
            <w:r>
              <w:rPr>
                <w:rFonts w:ascii="Arial"/>
                <w:spacing w:val="30"/>
              </w:rPr>
              <w:t xml:space="preserve"> </w:t>
            </w:r>
            <w:hyperlink w:anchor="_bookmark313" w:history="1">
              <w:r>
                <w:rPr>
                  <w:rFonts w:ascii="Arial"/>
                </w:rPr>
                <w:t>7</w:t>
              </w:r>
            </w:hyperlink>
            <w:r>
              <w:rPr>
                <w:rFonts w:ascii="Arial"/>
                <w:spacing w:val="32"/>
              </w:rPr>
              <w:t xml:space="preserve"> </w:t>
            </w:r>
            <w:r>
              <w:rPr>
                <w:rFonts w:ascii="Arial"/>
                <w:spacing w:val="-2"/>
              </w:rPr>
              <w:t>of</w:t>
            </w:r>
            <w:r>
              <w:rPr>
                <w:rFonts w:ascii="Arial"/>
                <w:spacing w:val="30"/>
              </w:rPr>
              <w:t xml:space="preserve"> </w:t>
            </w:r>
            <w:r>
              <w:rPr>
                <w:rFonts w:ascii="Arial"/>
                <w:spacing w:val="-1"/>
              </w:rPr>
              <w:t>Part</w:t>
            </w:r>
            <w:r>
              <w:rPr>
                <w:rFonts w:ascii="Arial"/>
                <w:spacing w:val="33"/>
              </w:rPr>
              <w:t xml:space="preserve"> </w:t>
            </w:r>
            <w:r>
              <w:rPr>
                <w:rFonts w:ascii="Arial"/>
              </w:rPr>
              <w:t>A</w:t>
            </w:r>
            <w:r>
              <w:rPr>
                <w:rFonts w:ascii="Arial"/>
                <w:spacing w:val="26"/>
              </w:rPr>
              <w:t xml:space="preserve"> </w:t>
            </w:r>
            <w:r>
              <w:rPr>
                <w:rFonts w:ascii="Arial"/>
                <w:spacing w:val="-2"/>
              </w:rPr>
              <w:t>of</w:t>
            </w:r>
            <w:r>
              <w:rPr>
                <w:rFonts w:ascii="Arial"/>
                <w:spacing w:val="35"/>
              </w:rPr>
              <w:t xml:space="preserve"> </w:t>
            </w:r>
            <w:r>
              <w:rPr>
                <w:rFonts w:ascii="Arial"/>
                <w:spacing w:val="-2"/>
              </w:rPr>
              <w:t>Call</w:t>
            </w:r>
            <w:r>
              <w:rPr>
                <w:rFonts w:ascii="Arial"/>
                <w:spacing w:val="19"/>
              </w:rPr>
              <w:t xml:space="preserve"> </w:t>
            </w:r>
            <w:r>
              <w:rPr>
                <w:rFonts w:ascii="Arial"/>
              </w:rPr>
              <w:t>Off</w:t>
            </w:r>
            <w:r>
              <w:rPr>
                <w:rFonts w:ascii="Arial"/>
                <w:spacing w:val="23"/>
              </w:rPr>
              <w:t xml:space="preserve"> </w:t>
            </w:r>
            <w:r>
              <w:rPr>
                <w:rFonts w:ascii="Arial"/>
                <w:spacing w:val="-1"/>
              </w:rPr>
              <w:t>Schedule</w:t>
            </w:r>
            <w:r>
              <w:rPr>
                <w:rFonts w:ascii="Arial"/>
                <w:spacing w:val="20"/>
              </w:rPr>
              <w:t xml:space="preserve"> </w:t>
            </w:r>
            <w:r>
              <w:rPr>
                <w:rFonts w:ascii="Arial"/>
              </w:rPr>
              <w:t>6</w:t>
            </w:r>
            <w:r>
              <w:rPr>
                <w:rFonts w:ascii="Arial"/>
                <w:spacing w:val="20"/>
              </w:rPr>
              <w:t xml:space="preserve"> </w:t>
            </w:r>
            <w:r>
              <w:rPr>
                <w:rFonts w:ascii="Arial"/>
                <w:spacing w:val="-1"/>
              </w:rPr>
              <w:t>(Service</w:t>
            </w:r>
            <w:r>
              <w:rPr>
                <w:rFonts w:ascii="Arial"/>
                <w:spacing w:val="20"/>
              </w:rPr>
              <w:t xml:space="preserve"> </w:t>
            </w:r>
            <w:r>
              <w:rPr>
                <w:rFonts w:ascii="Arial"/>
                <w:spacing w:val="-1"/>
              </w:rPr>
              <w:t>Levels,</w:t>
            </w:r>
            <w:r>
              <w:rPr>
                <w:rFonts w:ascii="Arial"/>
                <w:spacing w:val="21"/>
              </w:rPr>
              <w:t xml:space="preserve"> </w:t>
            </w:r>
            <w:r>
              <w:rPr>
                <w:rFonts w:ascii="Arial"/>
                <w:spacing w:val="-1"/>
              </w:rPr>
              <w:t>Service</w:t>
            </w:r>
            <w:r>
              <w:rPr>
                <w:rFonts w:ascii="Arial"/>
                <w:spacing w:val="20"/>
              </w:rPr>
              <w:t xml:space="preserve"> </w:t>
            </w:r>
            <w:r>
              <w:rPr>
                <w:rFonts w:ascii="Arial"/>
                <w:spacing w:val="-1"/>
              </w:rPr>
              <w:t>Credits</w:t>
            </w:r>
            <w:r>
              <w:rPr>
                <w:rFonts w:ascii="Arial"/>
                <w:spacing w:val="20"/>
              </w:rPr>
              <w:t xml:space="preserve"> </w:t>
            </w:r>
            <w:r>
              <w:rPr>
                <w:rFonts w:ascii="Arial"/>
                <w:spacing w:val="-1"/>
              </w:rPr>
              <w:t>and</w:t>
            </w:r>
            <w:r>
              <w:rPr>
                <w:rFonts w:ascii="Arial"/>
                <w:spacing w:val="28"/>
              </w:rPr>
              <w:t xml:space="preserve"> </w:t>
            </w:r>
            <w:r>
              <w:rPr>
                <w:rFonts w:ascii="Arial"/>
                <w:spacing w:val="-1"/>
              </w:rPr>
              <w:t>Performance</w:t>
            </w:r>
            <w:r>
              <w:rPr>
                <w:rFonts w:ascii="Arial"/>
                <w:spacing w:val="-2"/>
              </w:rPr>
              <w:t xml:space="preserve"> </w:t>
            </w:r>
            <w:r>
              <w:rPr>
                <w:rFonts w:ascii="Arial"/>
                <w:spacing w:val="-1"/>
              </w:rPr>
              <w:t>Monitoring)</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"Service</w:t>
            </w:r>
            <w:r>
              <w:rPr>
                <w:rFonts w:ascii="Arial"/>
                <w:b/>
              </w:rPr>
              <w:t xml:space="preserve"> </w:t>
            </w:r>
            <w:r>
              <w:rPr>
                <w:rFonts w:ascii="Arial"/>
                <w:b/>
                <w:spacing w:val="-1"/>
              </w:rPr>
              <w:t>Credits"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18"/>
              </w:rPr>
              <w:t xml:space="preserve"> </w:t>
            </w:r>
            <w:r>
              <w:rPr>
                <w:rFonts w:ascii="Arial"/>
                <w:spacing w:val="-1"/>
              </w:rPr>
              <w:t>any</w:t>
            </w:r>
            <w:r>
              <w:rPr>
                <w:rFonts w:ascii="Arial"/>
                <w:spacing w:val="15"/>
              </w:rPr>
              <w:t xml:space="preserve"> </w:t>
            </w:r>
            <w:r>
              <w:rPr>
                <w:rFonts w:ascii="Arial"/>
                <w:spacing w:val="-1"/>
              </w:rPr>
              <w:t>service</w:t>
            </w:r>
            <w:r>
              <w:rPr>
                <w:rFonts w:ascii="Arial"/>
                <w:spacing w:val="18"/>
              </w:rPr>
              <w:t xml:space="preserve"> </w:t>
            </w:r>
            <w:r>
              <w:rPr>
                <w:rFonts w:ascii="Arial"/>
                <w:spacing w:val="-1"/>
              </w:rPr>
              <w:t>credits</w:t>
            </w:r>
            <w:r>
              <w:rPr>
                <w:rFonts w:ascii="Arial"/>
                <w:spacing w:val="18"/>
              </w:rPr>
              <w:t xml:space="preserve"> </w:t>
            </w:r>
            <w:r>
              <w:rPr>
                <w:rFonts w:ascii="Arial"/>
                <w:spacing w:val="-1"/>
              </w:rPr>
              <w:t>specified</w:t>
            </w:r>
            <w:r>
              <w:rPr>
                <w:rFonts w:ascii="Arial"/>
                <w:spacing w:val="17"/>
              </w:rPr>
              <w:t xml:space="preserve"> </w:t>
            </w:r>
            <w:r>
              <w:rPr>
                <w:rFonts w:ascii="Arial"/>
                <w:spacing w:val="-1"/>
              </w:rPr>
              <w:t>in</w:t>
            </w:r>
            <w:r>
              <w:rPr>
                <w:rFonts w:ascii="Arial"/>
                <w:spacing w:val="17"/>
              </w:rPr>
              <w:t xml:space="preserve"> </w:t>
            </w:r>
            <w:r>
              <w:rPr>
                <w:rFonts w:ascii="Arial"/>
                <w:spacing w:val="-1"/>
              </w:rPr>
              <w:t>Annex</w:t>
            </w:r>
            <w:r>
              <w:rPr>
                <w:rFonts w:ascii="Arial"/>
                <w:spacing w:val="15"/>
              </w:rPr>
              <w:t xml:space="preserve"> </w:t>
            </w:r>
            <w:r>
              <w:rPr>
                <w:rFonts w:ascii="Arial"/>
              </w:rPr>
              <w:t>1</w:t>
            </w:r>
            <w:r>
              <w:rPr>
                <w:rFonts w:ascii="Arial"/>
                <w:spacing w:val="17"/>
              </w:rPr>
              <w:t xml:space="preserve"> </w:t>
            </w:r>
            <w:r>
              <w:rPr>
                <w:rFonts w:ascii="Arial"/>
              </w:rPr>
              <w:t>to</w:t>
            </w:r>
            <w:r>
              <w:rPr>
                <w:rFonts w:ascii="Arial"/>
                <w:spacing w:val="17"/>
              </w:rPr>
              <w:t xml:space="preserve"> </w:t>
            </w:r>
            <w:r>
              <w:rPr>
                <w:rFonts w:ascii="Arial"/>
                <w:spacing w:val="-1"/>
              </w:rPr>
              <w:t>Part</w:t>
            </w:r>
            <w:r>
              <w:rPr>
                <w:rFonts w:ascii="Arial"/>
                <w:spacing w:val="19"/>
              </w:rPr>
              <w:t xml:space="preserve"> </w:t>
            </w:r>
            <w:r>
              <w:rPr>
                <w:rFonts w:ascii="Arial"/>
              </w:rPr>
              <w:t>A</w:t>
            </w:r>
            <w:r>
              <w:rPr>
                <w:rFonts w:ascii="Arial"/>
                <w:spacing w:val="29"/>
              </w:rPr>
              <w:t xml:space="preserve"> </w:t>
            </w:r>
            <w:r>
              <w:rPr>
                <w:rFonts w:ascii="Arial"/>
                <w:spacing w:val="-2"/>
              </w:rPr>
              <w:t>of</w:t>
            </w:r>
            <w:r>
              <w:rPr>
                <w:rFonts w:ascii="Arial"/>
                <w:spacing w:val="47"/>
              </w:rPr>
              <w:t xml:space="preserve"> </w:t>
            </w:r>
            <w:r>
              <w:rPr>
                <w:rFonts w:ascii="Arial"/>
                <w:spacing w:val="-2"/>
              </w:rPr>
              <w:t>Call</w:t>
            </w:r>
            <w:r>
              <w:rPr>
                <w:rFonts w:ascii="Arial"/>
                <w:spacing w:val="43"/>
              </w:rPr>
              <w:t xml:space="preserve"> </w:t>
            </w:r>
            <w:r>
              <w:rPr>
                <w:rFonts w:ascii="Arial"/>
                <w:spacing w:val="-1"/>
              </w:rPr>
              <w:t>Off</w:t>
            </w:r>
            <w:r>
              <w:rPr>
                <w:rFonts w:ascii="Arial"/>
                <w:spacing w:val="47"/>
              </w:rPr>
              <w:t xml:space="preserve"> </w:t>
            </w:r>
            <w:r>
              <w:rPr>
                <w:rFonts w:ascii="Arial"/>
                <w:spacing w:val="-2"/>
              </w:rPr>
              <w:t>Schedule</w:t>
            </w:r>
            <w:r>
              <w:rPr>
                <w:rFonts w:ascii="Arial"/>
                <w:spacing w:val="43"/>
              </w:rPr>
              <w:t xml:space="preserve"> </w:t>
            </w:r>
            <w:r>
              <w:rPr>
                <w:rFonts w:ascii="Arial"/>
              </w:rPr>
              <w:t>6</w:t>
            </w:r>
            <w:r>
              <w:rPr>
                <w:rFonts w:ascii="Arial"/>
                <w:spacing w:val="43"/>
              </w:rPr>
              <w:t xml:space="preserve"> </w:t>
            </w:r>
            <w:r>
              <w:rPr>
                <w:rFonts w:ascii="Arial"/>
                <w:spacing w:val="-1"/>
              </w:rPr>
              <w:t>(Service</w:t>
            </w:r>
            <w:r>
              <w:rPr>
                <w:rFonts w:ascii="Arial"/>
                <w:spacing w:val="44"/>
              </w:rPr>
              <w:t xml:space="preserve"> </w:t>
            </w:r>
            <w:r>
              <w:rPr>
                <w:rFonts w:ascii="Arial"/>
                <w:spacing w:val="-2"/>
              </w:rPr>
              <w:t>Levels,</w:t>
            </w:r>
            <w:r>
              <w:rPr>
                <w:rFonts w:ascii="Arial"/>
                <w:spacing w:val="46"/>
              </w:rPr>
              <w:t xml:space="preserve"> </w:t>
            </w:r>
            <w:r>
              <w:rPr>
                <w:rFonts w:ascii="Arial"/>
                <w:spacing w:val="-2"/>
              </w:rPr>
              <w:t>Service</w:t>
            </w:r>
            <w:r>
              <w:rPr>
                <w:rFonts w:ascii="Arial"/>
                <w:spacing w:val="46"/>
              </w:rPr>
              <w:t xml:space="preserve"> </w:t>
            </w:r>
            <w:r>
              <w:rPr>
                <w:rFonts w:ascii="Arial"/>
                <w:spacing w:val="-1"/>
              </w:rPr>
              <w:t>Credits</w:t>
            </w:r>
            <w:r>
              <w:rPr>
                <w:rFonts w:ascii="Arial"/>
                <w:spacing w:val="51"/>
              </w:rPr>
              <w:t xml:space="preserve"> </w:t>
            </w:r>
            <w:r>
              <w:rPr>
                <w:rFonts w:ascii="Arial"/>
                <w:spacing w:val="-1"/>
              </w:rPr>
              <w:t>and</w:t>
            </w:r>
            <w:r>
              <w:rPr>
                <w:rFonts w:ascii="Arial"/>
                <w:spacing w:val="33"/>
              </w:rPr>
              <w:t xml:space="preserve"> </w:t>
            </w:r>
            <w:r>
              <w:rPr>
                <w:rFonts w:ascii="Arial"/>
                <w:spacing w:val="-1"/>
              </w:rPr>
              <w:t>Performance</w:t>
            </w:r>
            <w:r>
              <w:rPr>
                <w:rFonts w:ascii="Arial"/>
                <w:spacing w:val="33"/>
              </w:rPr>
              <w:t xml:space="preserve"> </w:t>
            </w:r>
            <w:r>
              <w:rPr>
                <w:rFonts w:ascii="Arial"/>
                <w:spacing w:val="-1"/>
              </w:rPr>
              <w:t>Monitoring)</w:t>
            </w:r>
            <w:r>
              <w:rPr>
                <w:rFonts w:ascii="Arial"/>
                <w:spacing w:val="6"/>
              </w:rPr>
              <w:t xml:space="preserve"> </w:t>
            </w:r>
            <w:r>
              <w:rPr>
                <w:rFonts w:ascii="Arial"/>
                <w:spacing w:val="-1"/>
              </w:rPr>
              <w:t>being</w:t>
            </w:r>
            <w:r>
              <w:rPr>
                <w:rFonts w:ascii="Arial"/>
                <w:spacing w:val="35"/>
              </w:rPr>
              <w:t xml:space="preserve"> </w:t>
            </w:r>
            <w:r>
              <w:rPr>
                <w:rFonts w:ascii="Arial"/>
                <w:spacing w:val="-2"/>
              </w:rPr>
              <w:t>payable</w:t>
            </w:r>
            <w:r>
              <w:rPr>
                <w:rFonts w:ascii="Arial"/>
                <w:spacing w:val="35"/>
              </w:rPr>
              <w:t xml:space="preserve"> </w:t>
            </w:r>
            <w:r>
              <w:rPr>
                <w:rFonts w:ascii="Arial"/>
                <w:spacing w:val="-1"/>
              </w:rPr>
              <w:t>by</w:t>
            </w:r>
            <w:r>
              <w:rPr>
                <w:rFonts w:ascii="Arial"/>
                <w:spacing w:val="33"/>
              </w:rPr>
              <w:t xml:space="preserve"> </w:t>
            </w:r>
            <w:r>
              <w:rPr>
                <w:rFonts w:ascii="Arial"/>
                <w:spacing w:val="-1"/>
              </w:rPr>
              <w:t>the</w:t>
            </w:r>
            <w:r>
              <w:rPr>
                <w:rFonts w:ascii="Arial"/>
                <w:spacing w:val="32"/>
              </w:rPr>
              <w:t xml:space="preserve"> </w:t>
            </w:r>
            <w:r>
              <w:rPr>
                <w:rFonts w:ascii="Arial"/>
                <w:spacing w:val="-2"/>
              </w:rPr>
              <w:t>Supplier</w:t>
            </w:r>
            <w:r>
              <w:rPr>
                <w:rFonts w:ascii="Arial"/>
                <w:spacing w:val="26"/>
              </w:rPr>
              <w:t xml:space="preserve"> </w:t>
            </w:r>
            <w:r>
              <w:rPr>
                <w:rFonts w:ascii="Arial"/>
              </w:rPr>
              <w:t>to</w:t>
            </w:r>
            <w:r>
              <w:rPr>
                <w:rFonts w:ascii="Arial"/>
                <w:spacing w:val="24"/>
              </w:rPr>
              <w:t xml:space="preserve"> </w:t>
            </w:r>
            <w:r>
              <w:rPr>
                <w:rFonts w:ascii="Arial"/>
              </w:rPr>
              <w:t>the</w:t>
            </w:r>
            <w:r>
              <w:rPr>
                <w:rFonts w:ascii="Arial"/>
                <w:spacing w:val="22"/>
              </w:rPr>
              <w:t xml:space="preserve"> </w:t>
            </w:r>
            <w:r>
              <w:rPr>
                <w:rFonts w:ascii="Arial"/>
                <w:spacing w:val="-2"/>
              </w:rPr>
              <w:t>Customer</w:t>
            </w:r>
            <w:r>
              <w:rPr>
                <w:rFonts w:ascii="Arial"/>
                <w:spacing w:val="26"/>
              </w:rPr>
              <w:t xml:space="preserve"> </w:t>
            </w:r>
            <w:r>
              <w:rPr>
                <w:rFonts w:ascii="Arial"/>
                <w:spacing w:val="-1"/>
              </w:rPr>
              <w:t>in</w:t>
            </w:r>
            <w:r>
              <w:rPr>
                <w:rFonts w:ascii="Arial"/>
                <w:spacing w:val="24"/>
              </w:rPr>
              <w:t xml:space="preserve"> </w:t>
            </w:r>
            <w:r>
              <w:rPr>
                <w:rFonts w:ascii="Arial"/>
                <w:spacing w:val="-1"/>
              </w:rPr>
              <w:t>respect</w:t>
            </w:r>
            <w:r>
              <w:rPr>
                <w:rFonts w:ascii="Arial"/>
                <w:spacing w:val="24"/>
              </w:rPr>
              <w:t xml:space="preserve"> </w:t>
            </w:r>
            <w:r>
              <w:rPr>
                <w:rFonts w:ascii="Arial"/>
                <w:spacing w:val="-2"/>
              </w:rPr>
              <w:t>of</w:t>
            </w:r>
            <w:r>
              <w:rPr>
                <w:rFonts w:ascii="Arial"/>
                <w:spacing w:val="28"/>
              </w:rPr>
              <w:t xml:space="preserve"> </w:t>
            </w:r>
            <w:r>
              <w:rPr>
                <w:rFonts w:ascii="Arial"/>
                <w:spacing w:val="-1"/>
              </w:rPr>
              <w:t>any</w:t>
            </w:r>
            <w:r>
              <w:rPr>
                <w:rFonts w:ascii="Arial"/>
                <w:spacing w:val="20"/>
              </w:rPr>
              <w:t xml:space="preserve"> </w:t>
            </w:r>
            <w:r>
              <w:rPr>
                <w:rFonts w:ascii="Arial"/>
                <w:spacing w:val="-1"/>
              </w:rPr>
              <w:t>failure</w:t>
            </w:r>
            <w:r>
              <w:rPr>
                <w:rFonts w:ascii="Arial"/>
                <w:spacing w:val="24"/>
              </w:rPr>
              <w:t xml:space="preserve"> </w:t>
            </w:r>
            <w:r>
              <w:rPr>
                <w:rFonts w:ascii="Arial"/>
                <w:spacing w:val="-1"/>
              </w:rPr>
              <w:t>by</w:t>
            </w:r>
            <w:r>
              <w:rPr>
                <w:rFonts w:ascii="Arial"/>
                <w:spacing w:val="22"/>
              </w:rPr>
              <w:t xml:space="preserve"> </w:t>
            </w:r>
            <w:r>
              <w:rPr>
                <w:rFonts w:ascii="Arial"/>
                <w:spacing w:val="-1"/>
              </w:rPr>
              <w:t>the</w:t>
            </w:r>
            <w:r>
              <w:rPr>
                <w:rFonts w:ascii="Arial"/>
                <w:spacing w:val="46"/>
              </w:rPr>
              <w:t xml:space="preserve"> </w:t>
            </w:r>
            <w:r>
              <w:rPr>
                <w:rFonts w:ascii="Arial"/>
                <w:spacing w:val="-2"/>
              </w:rPr>
              <w:t>Supplier</w:t>
            </w:r>
            <w:r>
              <w:rPr>
                <w:rFonts w:ascii="Arial"/>
                <w:spacing w:val="2"/>
              </w:rPr>
              <w:t xml:space="preserve"> </w:t>
            </w:r>
            <w:r>
              <w:rPr>
                <w:rFonts w:ascii="Arial"/>
              </w:rPr>
              <w:t>to</w:t>
            </w:r>
            <w:r>
              <w:rPr>
                <w:rFonts w:ascii="Arial"/>
                <w:spacing w:val="-2"/>
              </w:rPr>
              <w:t xml:space="preserve"> </w:t>
            </w:r>
            <w:r>
              <w:rPr>
                <w:rFonts w:ascii="Arial"/>
                <w:spacing w:val="-1"/>
              </w:rPr>
              <w:t>meet</w:t>
            </w:r>
            <w:r>
              <w:rPr>
                <w:rFonts w:ascii="Arial"/>
              </w:rPr>
              <w:t xml:space="preserve"> </w:t>
            </w:r>
            <w:r>
              <w:rPr>
                <w:rFonts w:ascii="Arial"/>
                <w:spacing w:val="-1"/>
              </w:rPr>
              <w:t>one</w:t>
            </w:r>
            <w:r>
              <w:rPr>
                <w:rFonts w:ascii="Arial"/>
                <w:spacing w:val="-2"/>
              </w:rPr>
              <w:t xml:space="preserve"> </w:t>
            </w:r>
            <w:r>
              <w:rPr>
                <w:rFonts w:ascii="Arial"/>
                <w:spacing w:val="-1"/>
              </w:rPr>
              <w:t>or</w:t>
            </w:r>
            <w:r>
              <w:rPr>
                <w:rFonts w:ascii="Arial"/>
                <w:spacing w:val="-3"/>
              </w:rPr>
              <w:t xml:space="preserve"> </w:t>
            </w:r>
            <w:r>
              <w:rPr>
                <w:rFonts w:ascii="Arial"/>
                <w:spacing w:val="-1"/>
              </w:rPr>
              <w:t>more</w:t>
            </w:r>
            <w:r>
              <w:rPr>
                <w:rFonts w:ascii="Arial"/>
                <w:spacing w:val="-2"/>
              </w:rPr>
              <w:t xml:space="preserve"> Service</w:t>
            </w:r>
            <w:r>
              <w:rPr>
                <w:rFonts w:ascii="Arial"/>
                <w:spacing w:val="1"/>
              </w:rPr>
              <w:t xml:space="preserve"> </w:t>
            </w:r>
            <w:r>
              <w:rPr>
                <w:rFonts w:ascii="Arial"/>
                <w:spacing w:val="-2"/>
              </w:rPr>
              <w:t>Levels;</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"Service</w:t>
            </w:r>
            <w:r>
              <w:rPr>
                <w:rFonts w:ascii="Arial"/>
                <w:b/>
              </w:rPr>
              <w:t xml:space="preserve"> </w:t>
            </w:r>
            <w:r>
              <w:rPr>
                <w:rFonts w:ascii="Arial"/>
                <w:b/>
                <w:spacing w:val="-1"/>
              </w:rPr>
              <w:t>Failure"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47"/>
              </w:rPr>
              <w:t xml:space="preserve"> </w:t>
            </w:r>
            <w:r>
              <w:rPr>
                <w:rFonts w:ascii="Arial"/>
                <w:spacing w:val="-1"/>
              </w:rPr>
              <w:t>an</w:t>
            </w:r>
            <w:r>
              <w:rPr>
                <w:rFonts w:ascii="Arial"/>
                <w:spacing w:val="45"/>
              </w:rPr>
              <w:t xml:space="preserve"> </w:t>
            </w:r>
            <w:r>
              <w:rPr>
                <w:rFonts w:ascii="Arial"/>
                <w:spacing w:val="-1"/>
              </w:rPr>
              <w:t>unplanned</w:t>
            </w:r>
            <w:r>
              <w:rPr>
                <w:rFonts w:ascii="Arial"/>
                <w:spacing w:val="45"/>
              </w:rPr>
              <w:t xml:space="preserve"> </w:t>
            </w:r>
            <w:r>
              <w:rPr>
                <w:rFonts w:ascii="Arial"/>
                <w:spacing w:val="-1"/>
              </w:rPr>
              <w:t>failure</w:t>
            </w:r>
            <w:r>
              <w:rPr>
                <w:rFonts w:ascii="Arial"/>
                <w:spacing w:val="47"/>
              </w:rPr>
              <w:t xml:space="preserve"> </w:t>
            </w:r>
            <w:r>
              <w:rPr>
                <w:rFonts w:ascii="Arial"/>
                <w:spacing w:val="-1"/>
              </w:rPr>
              <w:t>and</w:t>
            </w:r>
            <w:r>
              <w:rPr>
                <w:rFonts w:ascii="Arial"/>
                <w:spacing w:val="47"/>
              </w:rPr>
              <w:t xml:space="preserve"> </w:t>
            </w:r>
            <w:r>
              <w:rPr>
                <w:rFonts w:ascii="Arial"/>
                <w:spacing w:val="-1"/>
              </w:rPr>
              <w:t>interruption</w:t>
            </w:r>
            <w:r>
              <w:rPr>
                <w:rFonts w:ascii="Arial"/>
                <w:spacing w:val="45"/>
              </w:rPr>
              <w:t xml:space="preserve"> </w:t>
            </w:r>
            <w:r>
              <w:rPr>
                <w:rFonts w:ascii="Arial"/>
              </w:rPr>
              <w:t>to</w:t>
            </w:r>
            <w:r>
              <w:rPr>
                <w:rFonts w:ascii="Arial"/>
                <w:spacing w:val="46"/>
              </w:rPr>
              <w:t xml:space="preserve"> </w:t>
            </w:r>
            <w:r>
              <w:rPr>
                <w:rFonts w:ascii="Arial"/>
              </w:rPr>
              <w:t>the</w:t>
            </w:r>
            <w:r>
              <w:rPr>
                <w:rFonts w:ascii="Arial"/>
                <w:spacing w:val="21"/>
              </w:rPr>
              <w:t xml:space="preserve"> </w:t>
            </w:r>
            <w:r>
              <w:rPr>
                <w:rFonts w:ascii="Arial"/>
                <w:spacing w:val="-2"/>
              </w:rPr>
              <w:t>provision</w:t>
            </w:r>
            <w:r>
              <w:rPr>
                <w:rFonts w:ascii="Arial"/>
                <w:spacing w:val="31"/>
              </w:rPr>
              <w:t xml:space="preserve"> </w:t>
            </w:r>
            <w:r>
              <w:rPr>
                <w:rFonts w:ascii="Arial"/>
                <w:spacing w:val="-1"/>
              </w:rPr>
              <w:t>of</w:t>
            </w:r>
            <w:r>
              <w:rPr>
                <w:rFonts w:ascii="Arial"/>
                <w:spacing w:val="33"/>
              </w:rPr>
              <w:t xml:space="preserve"> </w:t>
            </w:r>
            <w:r>
              <w:rPr>
                <w:rFonts w:ascii="Arial"/>
              </w:rPr>
              <w:t>the</w:t>
            </w:r>
            <w:r>
              <w:rPr>
                <w:rFonts w:ascii="Arial"/>
                <w:spacing w:val="31"/>
              </w:rPr>
              <w:t xml:space="preserve"> </w:t>
            </w:r>
            <w:r>
              <w:rPr>
                <w:rFonts w:ascii="Arial"/>
                <w:spacing w:val="-1"/>
              </w:rPr>
              <w:t>Goods</w:t>
            </w:r>
            <w:r>
              <w:rPr>
                <w:rFonts w:ascii="Arial"/>
                <w:spacing w:val="30"/>
              </w:rPr>
              <w:t xml:space="preserve"> </w:t>
            </w:r>
            <w:r>
              <w:rPr>
                <w:rFonts w:ascii="Arial"/>
                <w:spacing w:val="-1"/>
              </w:rPr>
              <w:t>and/or</w:t>
            </w:r>
            <w:r>
              <w:rPr>
                <w:rFonts w:ascii="Arial"/>
                <w:spacing w:val="33"/>
              </w:rPr>
              <w:t xml:space="preserve"> </w:t>
            </w:r>
            <w:r>
              <w:rPr>
                <w:rFonts w:ascii="Arial"/>
                <w:spacing w:val="-2"/>
              </w:rPr>
              <w:t>Services,</w:t>
            </w:r>
            <w:r>
              <w:rPr>
                <w:rFonts w:ascii="Arial"/>
                <w:spacing w:val="33"/>
              </w:rPr>
              <w:t xml:space="preserve"> </w:t>
            </w:r>
            <w:r>
              <w:rPr>
                <w:rFonts w:ascii="Arial"/>
                <w:spacing w:val="-1"/>
              </w:rPr>
              <w:t>reduction</w:t>
            </w:r>
            <w:r>
              <w:rPr>
                <w:rFonts w:ascii="Arial"/>
                <w:spacing w:val="31"/>
              </w:rPr>
              <w:t xml:space="preserve"> </w:t>
            </w:r>
            <w:r>
              <w:rPr>
                <w:rFonts w:ascii="Arial"/>
                <w:spacing w:val="-1"/>
              </w:rPr>
              <w:t>in</w:t>
            </w:r>
            <w:r>
              <w:rPr>
                <w:rFonts w:ascii="Arial"/>
                <w:spacing w:val="32"/>
              </w:rPr>
              <w:t xml:space="preserve"> </w:t>
            </w:r>
            <w:r>
              <w:rPr>
                <w:rFonts w:ascii="Arial"/>
                <w:spacing w:val="-1"/>
              </w:rPr>
              <w:t>the</w:t>
            </w:r>
            <w:r>
              <w:rPr>
                <w:rFonts w:ascii="Arial"/>
                <w:spacing w:val="46"/>
              </w:rPr>
              <w:t xml:space="preserve"> </w:t>
            </w:r>
            <w:r>
              <w:rPr>
                <w:rFonts w:ascii="Arial"/>
                <w:spacing w:val="-1"/>
              </w:rPr>
              <w:t>quality</w:t>
            </w:r>
            <w:r>
              <w:rPr>
                <w:rFonts w:ascii="Arial"/>
                <w:spacing w:val="32"/>
              </w:rPr>
              <w:t xml:space="preserve"> </w:t>
            </w:r>
            <w:r>
              <w:rPr>
                <w:rFonts w:ascii="Arial"/>
                <w:spacing w:val="-1"/>
              </w:rPr>
              <w:t>of</w:t>
            </w:r>
            <w:r>
              <w:rPr>
                <w:rFonts w:ascii="Arial"/>
                <w:spacing w:val="35"/>
              </w:rPr>
              <w:t xml:space="preserve"> </w:t>
            </w:r>
            <w:r>
              <w:rPr>
                <w:rFonts w:ascii="Arial"/>
              </w:rPr>
              <w:t>the</w:t>
            </w:r>
            <w:r>
              <w:rPr>
                <w:rFonts w:ascii="Arial"/>
                <w:spacing w:val="34"/>
              </w:rPr>
              <w:t xml:space="preserve"> </w:t>
            </w:r>
            <w:r>
              <w:rPr>
                <w:rFonts w:ascii="Arial"/>
                <w:spacing w:val="-2"/>
              </w:rPr>
              <w:t>provision</w:t>
            </w:r>
            <w:r>
              <w:rPr>
                <w:rFonts w:ascii="Arial"/>
                <w:spacing w:val="34"/>
              </w:rPr>
              <w:t xml:space="preserve"> </w:t>
            </w:r>
            <w:r>
              <w:rPr>
                <w:rFonts w:ascii="Arial"/>
                <w:spacing w:val="-2"/>
              </w:rPr>
              <w:t>of</w:t>
            </w:r>
            <w:r>
              <w:rPr>
                <w:rFonts w:ascii="Arial"/>
                <w:spacing w:val="38"/>
              </w:rPr>
              <w:t xml:space="preserve"> </w:t>
            </w:r>
            <w:r>
              <w:rPr>
                <w:rFonts w:ascii="Arial"/>
              </w:rPr>
              <w:t>the</w:t>
            </w:r>
            <w:r>
              <w:rPr>
                <w:rFonts w:ascii="Arial"/>
                <w:spacing w:val="34"/>
              </w:rPr>
              <w:t xml:space="preserve"> </w:t>
            </w:r>
            <w:r>
              <w:rPr>
                <w:rFonts w:ascii="Arial"/>
                <w:spacing w:val="-1"/>
              </w:rPr>
              <w:t>Goods</w:t>
            </w:r>
            <w:r>
              <w:rPr>
                <w:rFonts w:ascii="Arial"/>
                <w:spacing w:val="35"/>
              </w:rPr>
              <w:t xml:space="preserve"> </w:t>
            </w:r>
            <w:r>
              <w:rPr>
                <w:rFonts w:ascii="Arial"/>
                <w:spacing w:val="-1"/>
              </w:rPr>
              <w:t>and/or</w:t>
            </w:r>
            <w:r>
              <w:rPr>
                <w:rFonts w:ascii="Arial"/>
                <w:spacing w:val="35"/>
              </w:rPr>
              <w:t xml:space="preserve"> </w:t>
            </w:r>
            <w:r>
              <w:rPr>
                <w:rFonts w:ascii="Arial"/>
                <w:spacing w:val="-1"/>
              </w:rPr>
              <w:t>Services</w:t>
            </w:r>
            <w:r>
              <w:rPr>
                <w:rFonts w:ascii="Arial"/>
                <w:spacing w:val="34"/>
              </w:rPr>
              <w:t xml:space="preserve"> </w:t>
            </w:r>
            <w:r>
              <w:rPr>
                <w:rFonts w:ascii="Arial"/>
                <w:spacing w:val="-1"/>
              </w:rPr>
              <w:t>or</w:t>
            </w:r>
            <w:r>
              <w:rPr>
                <w:rFonts w:ascii="Arial"/>
                <w:spacing w:val="32"/>
              </w:rPr>
              <w:t xml:space="preserve"> </w:t>
            </w:r>
            <w:r>
              <w:rPr>
                <w:rFonts w:ascii="Arial"/>
                <w:spacing w:val="-2"/>
              </w:rPr>
              <w:t>event</w:t>
            </w:r>
            <w:r>
              <w:rPr>
                <w:rFonts w:ascii="Arial"/>
                <w:spacing w:val="2"/>
              </w:rPr>
              <w:t xml:space="preserve"> </w:t>
            </w:r>
            <w:r>
              <w:rPr>
                <w:rFonts w:ascii="Arial"/>
                <w:spacing w:val="-1"/>
              </w:rPr>
              <w:t>which</w:t>
            </w:r>
            <w:r>
              <w:rPr>
                <w:rFonts w:ascii="Arial"/>
                <w:spacing w:val="1"/>
              </w:rPr>
              <w:t xml:space="preserve"> </w:t>
            </w:r>
            <w:r>
              <w:rPr>
                <w:rFonts w:ascii="Arial"/>
                <w:spacing w:val="-1"/>
              </w:rPr>
              <w:t>could</w:t>
            </w:r>
            <w:r>
              <w:rPr>
                <w:rFonts w:ascii="Arial"/>
              </w:rPr>
              <w:t xml:space="preserve"> </w:t>
            </w:r>
            <w:r>
              <w:rPr>
                <w:rFonts w:ascii="Arial"/>
                <w:spacing w:val="-1"/>
              </w:rPr>
              <w:t>affect</w:t>
            </w:r>
            <w:r>
              <w:rPr>
                <w:rFonts w:ascii="Arial"/>
              </w:rPr>
              <w:t xml:space="preserve"> the </w:t>
            </w:r>
            <w:r>
              <w:rPr>
                <w:rFonts w:ascii="Arial"/>
                <w:spacing w:val="-2"/>
              </w:rPr>
              <w:t>provision</w:t>
            </w:r>
            <w:r>
              <w:rPr>
                <w:rFonts w:ascii="Arial"/>
              </w:rPr>
              <w:t xml:space="preserve"> </w:t>
            </w:r>
            <w:r>
              <w:rPr>
                <w:rFonts w:ascii="Arial"/>
                <w:spacing w:val="-1"/>
              </w:rPr>
              <w:t>of</w:t>
            </w:r>
            <w:r>
              <w:rPr>
                <w:rFonts w:ascii="Arial"/>
                <w:spacing w:val="2"/>
              </w:rPr>
              <w:t xml:space="preserve"> </w:t>
            </w:r>
            <w:r>
              <w:rPr>
                <w:rFonts w:ascii="Arial"/>
              </w:rPr>
              <w:t xml:space="preserve">the </w:t>
            </w:r>
            <w:r>
              <w:rPr>
                <w:rFonts w:ascii="Arial"/>
                <w:spacing w:val="-1"/>
              </w:rPr>
              <w:t>Goods</w:t>
            </w:r>
            <w:r>
              <w:rPr>
                <w:rFonts w:ascii="Arial"/>
                <w:spacing w:val="1"/>
              </w:rPr>
              <w:t xml:space="preserve"> </w:t>
            </w:r>
            <w:r>
              <w:rPr>
                <w:rFonts w:ascii="Arial"/>
                <w:spacing w:val="-1"/>
              </w:rPr>
              <w:t>and/or</w:t>
            </w:r>
            <w:r>
              <w:rPr>
                <w:rFonts w:ascii="Arial"/>
                <w:spacing w:val="43"/>
              </w:rPr>
              <w:t xml:space="preserve"> </w:t>
            </w:r>
            <w:r>
              <w:rPr>
                <w:rFonts w:ascii="Arial"/>
                <w:spacing w:val="-1"/>
              </w:rPr>
              <w:t>Services</w:t>
            </w:r>
            <w:r>
              <w:rPr>
                <w:rFonts w:ascii="Arial"/>
                <w:spacing w:val="1"/>
              </w:rPr>
              <w:t xml:space="preserve"> </w:t>
            </w:r>
            <w:r>
              <w:rPr>
                <w:rFonts w:ascii="Arial"/>
                <w:spacing w:val="-1"/>
              </w:rPr>
              <w:t>in</w:t>
            </w:r>
            <w:r>
              <w:rPr>
                <w:rFonts w:ascii="Arial"/>
              </w:rPr>
              <w:t xml:space="preserve"> the</w:t>
            </w:r>
            <w:r>
              <w:rPr>
                <w:rFonts w:ascii="Arial"/>
                <w:spacing w:val="-2"/>
              </w:rPr>
              <w:t xml:space="preserve"> </w:t>
            </w:r>
            <w:r>
              <w:rPr>
                <w:rFonts w:ascii="Arial"/>
                <w:spacing w:val="-1"/>
              </w:rPr>
              <w:t>future;</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889"/>
              <w:rPr>
                <w:rFonts w:ascii="Arial" w:eastAsia="Arial" w:hAnsi="Arial" w:cs="Arial"/>
              </w:rPr>
            </w:pPr>
            <w:r>
              <w:rPr>
                <w:rFonts w:ascii="Arial"/>
                <w:b/>
                <w:spacing w:val="-1"/>
              </w:rPr>
              <w:t>"Service</w:t>
            </w:r>
            <w:r>
              <w:rPr>
                <w:rFonts w:ascii="Arial"/>
                <w:b/>
              </w:rPr>
              <w:t xml:space="preserve"> </w:t>
            </w:r>
            <w:r>
              <w:rPr>
                <w:rFonts w:ascii="Arial"/>
                <w:b/>
                <w:spacing w:val="-2"/>
              </w:rPr>
              <w:t>Level</w:t>
            </w:r>
            <w:r>
              <w:rPr>
                <w:rFonts w:ascii="Arial"/>
                <w:b/>
                <w:spacing w:val="26"/>
              </w:rPr>
              <w:t xml:space="preserve"> </w:t>
            </w:r>
            <w:r>
              <w:rPr>
                <w:rFonts w:ascii="Arial"/>
                <w:b/>
                <w:spacing w:val="-1"/>
              </w:rPr>
              <w:t>Failure"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37"/>
              </w:rPr>
              <w:t xml:space="preserve"> </w:t>
            </w:r>
            <w:r>
              <w:rPr>
                <w:rFonts w:ascii="Arial"/>
              </w:rPr>
              <w:t>a</w:t>
            </w:r>
            <w:r>
              <w:rPr>
                <w:rFonts w:ascii="Arial"/>
                <w:spacing w:val="34"/>
              </w:rPr>
              <w:t xml:space="preserve"> </w:t>
            </w:r>
            <w:r>
              <w:rPr>
                <w:rFonts w:ascii="Arial"/>
                <w:spacing w:val="-1"/>
              </w:rPr>
              <w:t>failure</w:t>
            </w:r>
            <w:r>
              <w:rPr>
                <w:rFonts w:ascii="Arial"/>
                <w:spacing w:val="36"/>
              </w:rPr>
              <w:t xml:space="preserve"> </w:t>
            </w:r>
            <w:r>
              <w:rPr>
                <w:rFonts w:ascii="Arial"/>
              </w:rPr>
              <w:t>to</w:t>
            </w:r>
            <w:r>
              <w:rPr>
                <w:rFonts w:ascii="Arial"/>
                <w:spacing w:val="36"/>
              </w:rPr>
              <w:t xml:space="preserve"> </w:t>
            </w:r>
            <w:r>
              <w:rPr>
                <w:rFonts w:ascii="Arial"/>
                <w:spacing w:val="-1"/>
              </w:rPr>
              <w:t>meet</w:t>
            </w:r>
            <w:r>
              <w:rPr>
                <w:rFonts w:ascii="Arial"/>
                <w:spacing w:val="35"/>
              </w:rPr>
              <w:t xml:space="preserve"> </w:t>
            </w:r>
            <w:r>
              <w:rPr>
                <w:rFonts w:ascii="Arial"/>
              </w:rPr>
              <w:t>the</w:t>
            </w:r>
            <w:r>
              <w:rPr>
                <w:rFonts w:ascii="Arial"/>
                <w:spacing w:val="36"/>
              </w:rPr>
              <w:t xml:space="preserve"> </w:t>
            </w:r>
            <w:r>
              <w:rPr>
                <w:rFonts w:ascii="Arial"/>
                <w:spacing w:val="-1"/>
              </w:rPr>
              <w:t>Service</w:t>
            </w:r>
            <w:r>
              <w:rPr>
                <w:rFonts w:ascii="Arial"/>
                <w:spacing w:val="38"/>
              </w:rPr>
              <w:t xml:space="preserve"> </w:t>
            </w:r>
            <w:r>
              <w:rPr>
                <w:rFonts w:ascii="Arial"/>
                <w:spacing w:val="-1"/>
              </w:rPr>
              <w:t>Level</w:t>
            </w:r>
            <w:r>
              <w:rPr>
                <w:rFonts w:ascii="Arial"/>
                <w:spacing w:val="38"/>
              </w:rPr>
              <w:t xml:space="preserve"> </w:t>
            </w:r>
            <w:r>
              <w:rPr>
                <w:rFonts w:ascii="Arial"/>
                <w:spacing w:val="-1"/>
              </w:rPr>
              <w:t>Performance</w:t>
            </w:r>
            <w:r>
              <w:rPr>
                <w:rFonts w:ascii="Arial"/>
                <w:spacing w:val="31"/>
              </w:rPr>
              <w:t xml:space="preserve"> </w:t>
            </w:r>
            <w:r>
              <w:rPr>
                <w:rFonts w:ascii="Arial"/>
                <w:spacing w:val="-1"/>
              </w:rPr>
              <w:t>Measure</w:t>
            </w:r>
            <w:r>
              <w:rPr>
                <w:rFonts w:ascii="Arial"/>
                <w:spacing w:val="35"/>
              </w:rPr>
              <w:t xml:space="preserve"> </w:t>
            </w:r>
            <w:r>
              <w:rPr>
                <w:rFonts w:ascii="Arial"/>
                <w:spacing w:val="-1"/>
              </w:rPr>
              <w:t>in</w:t>
            </w:r>
            <w:r>
              <w:rPr>
                <w:rFonts w:ascii="Arial"/>
                <w:spacing w:val="35"/>
              </w:rPr>
              <w:t xml:space="preserve"> </w:t>
            </w:r>
            <w:r>
              <w:rPr>
                <w:rFonts w:ascii="Arial"/>
                <w:spacing w:val="-1"/>
              </w:rPr>
              <w:t>respect</w:t>
            </w:r>
            <w:r>
              <w:rPr>
                <w:rFonts w:ascii="Arial"/>
                <w:spacing w:val="34"/>
              </w:rPr>
              <w:t xml:space="preserve"> </w:t>
            </w:r>
            <w:r>
              <w:rPr>
                <w:rFonts w:ascii="Arial"/>
                <w:spacing w:val="-2"/>
              </w:rPr>
              <w:t>of</w:t>
            </w:r>
            <w:r>
              <w:rPr>
                <w:rFonts w:ascii="Arial"/>
                <w:spacing w:val="36"/>
              </w:rPr>
              <w:t xml:space="preserve"> </w:t>
            </w:r>
            <w:r>
              <w:rPr>
                <w:rFonts w:ascii="Arial"/>
              </w:rPr>
              <w:t>a</w:t>
            </w:r>
            <w:r>
              <w:rPr>
                <w:rFonts w:ascii="Arial"/>
                <w:spacing w:val="35"/>
              </w:rPr>
              <w:t xml:space="preserve"> </w:t>
            </w:r>
            <w:r>
              <w:rPr>
                <w:rFonts w:ascii="Arial"/>
                <w:spacing w:val="-2"/>
              </w:rPr>
              <w:t>Service</w:t>
            </w:r>
            <w:r>
              <w:rPr>
                <w:rFonts w:ascii="Arial"/>
                <w:spacing w:val="35"/>
              </w:rPr>
              <w:t xml:space="preserve"> </w:t>
            </w:r>
            <w:r>
              <w:rPr>
                <w:rFonts w:ascii="Arial"/>
                <w:spacing w:val="-2"/>
              </w:rPr>
              <w:t>Level</w:t>
            </w:r>
            <w:r>
              <w:rPr>
                <w:rFonts w:ascii="Arial"/>
                <w:spacing w:val="35"/>
              </w:rPr>
              <w:t xml:space="preserve"> </w:t>
            </w:r>
            <w:r>
              <w:rPr>
                <w:rFonts w:ascii="Arial"/>
                <w:spacing w:val="-1"/>
              </w:rPr>
              <w:t>Performance</w:t>
            </w:r>
            <w:r>
              <w:rPr>
                <w:rFonts w:ascii="Arial"/>
                <w:spacing w:val="33"/>
              </w:rPr>
              <w:t xml:space="preserve"> </w:t>
            </w:r>
            <w:r>
              <w:rPr>
                <w:rFonts w:ascii="Arial"/>
                <w:spacing w:val="-1"/>
              </w:rPr>
              <w:t>Criterion;</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118"/>
              <w:rPr>
                <w:rFonts w:ascii="Arial" w:eastAsia="Arial" w:hAnsi="Arial" w:cs="Arial"/>
              </w:rPr>
            </w:pPr>
            <w:r>
              <w:rPr>
                <w:rFonts w:ascii="Arial"/>
                <w:b/>
                <w:spacing w:val="-1"/>
              </w:rPr>
              <w:t>"Service</w:t>
            </w:r>
            <w:r>
              <w:rPr>
                <w:rFonts w:ascii="Arial"/>
                <w:b/>
              </w:rPr>
              <w:t xml:space="preserve"> </w:t>
            </w:r>
            <w:r>
              <w:rPr>
                <w:rFonts w:ascii="Arial"/>
                <w:b/>
                <w:spacing w:val="-2"/>
              </w:rPr>
              <w:t>Level</w:t>
            </w:r>
            <w:r>
              <w:rPr>
                <w:rFonts w:ascii="Arial"/>
                <w:b/>
                <w:spacing w:val="26"/>
              </w:rPr>
              <w:t xml:space="preserve"> </w:t>
            </w:r>
            <w:r>
              <w:rPr>
                <w:rFonts w:ascii="Arial"/>
                <w:b/>
                <w:spacing w:val="-1"/>
              </w:rPr>
              <w:t>Performance</w:t>
            </w:r>
            <w:r>
              <w:rPr>
                <w:rFonts w:ascii="Arial"/>
                <w:b/>
              </w:rPr>
              <w:t xml:space="preserve"> </w:t>
            </w:r>
            <w:r>
              <w:rPr>
                <w:rFonts w:ascii="Arial"/>
                <w:b/>
                <w:spacing w:val="-1"/>
              </w:rPr>
              <w:t>Criteria"</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has</w:t>
            </w:r>
            <w:r>
              <w:rPr>
                <w:rFonts w:ascii="Arial"/>
                <w:spacing w:val="18"/>
              </w:rPr>
              <w:t xml:space="preserve"> </w:t>
            </w:r>
            <w:r>
              <w:rPr>
                <w:rFonts w:ascii="Arial"/>
              </w:rPr>
              <w:t>the</w:t>
            </w:r>
            <w:r>
              <w:rPr>
                <w:rFonts w:ascii="Arial"/>
                <w:spacing w:val="17"/>
              </w:rPr>
              <w:t xml:space="preserve"> </w:t>
            </w:r>
            <w:r>
              <w:rPr>
                <w:rFonts w:ascii="Arial"/>
                <w:spacing w:val="-2"/>
              </w:rPr>
              <w:t>meaning</w:t>
            </w:r>
            <w:r>
              <w:rPr>
                <w:rFonts w:ascii="Arial"/>
                <w:spacing w:val="17"/>
              </w:rPr>
              <w:t xml:space="preserve"> </w:t>
            </w:r>
            <w:r>
              <w:rPr>
                <w:rFonts w:ascii="Arial"/>
                <w:spacing w:val="-1"/>
              </w:rPr>
              <w:t>given</w:t>
            </w:r>
            <w:r>
              <w:rPr>
                <w:rFonts w:ascii="Arial"/>
                <w:spacing w:val="17"/>
              </w:rPr>
              <w:t xml:space="preserve"> </w:t>
            </w:r>
            <w:r>
              <w:rPr>
                <w:rFonts w:ascii="Arial"/>
              </w:rPr>
              <w:t>to</w:t>
            </w:r>
            <w:r>
              <w:rPr>
                <w:rFonts w:ascii="Arial"/>
                <w:spacing w:val="17"/>
              </w:rPr>
              <w:t xml:space="preserve"> </w:t>
            </w:r>
            <w:r>
              <w:rPr>
                <w:rFonts w:ascii="Arial"/>
                <w:spacing w:val="-1"/>
              </w:rPr>
              <w:t>it</w:t>
            </w:r>
            <w:r>
              <w:rPr>
                <w:rFonts w:ascii="Arial"/>
                <w:spacing w:val="19"/>
              </w:rPr>
              <w:t xml:space="preserve"> </w:t>
            </w:r>
            <w:r>
              <w:rPr>
                <w:rFonts w:ascii="Arial"/>
                <w:spacing w:val="-1"/>
              </w:rPr>
              <w:t>in</w:t>
            </w:r>
            <w:r>
              <w:rPr>
                <w:rFonts w:ascii="Arial"/>
                <w:spacing w:val="17"/>
              </w:rPr>
              <w:t xml:space="preserve"> </w:t>
            </w:r>
            <w:r>
              <w:rPr>
                <w:rFonts w:ascii="Arial"/>
                <w:spacing w:val="-1"/>
              </w:rPr>
              <w:t>paragraph</w:t>
            </w:r>
            <w:r>
              <w:rPr>
                <w:rFonts w:ascii="Arial"/>
                <w:spacing w:val="18"/>
              </w:rPr>
              <w:t xml:space="preserve"> </w:t>
            </w:r>
            <w:hyperlink w:anchor="_bookmark310" w:history="1">
              <w:r>
                <w:rPr>
                  <w:rFonts w:ascii="Arial"/>
                </w:rPr>
                <w:t>4.2</w:t>
              </w:r>
            </w:hyperlink>
            <w:r>
              <w:rPr>
                <w:rFonts w:ascii="Arial"/>
                <w:spacing w:val="17"/>
              </w:rPr>
              <w:t xml:space="preserve"> </w:t>
            </w:r>
            <w:r>
              <w:rPr>
                <w:rFonts w:ascii="Arial"/>
                <w:spacing w:val="-2"/>
              </w:rPr>
              <w:t>of</w:t>
            </w:r>
            <w:r>
              <w:rPr>
                <w:rFonts w:ascii="Arial"/>
                <w:spacing w:val="19"/>
              </w:rPr>
              <w:t xml:space="preserve"> </w:t>
            </w:r>
            <w:r>
              <w:rPr>
                <w:rFonts w:ascii="Arial"/>
                <w:spacing w:val="-1"/>
              </w:rPr>
              <w:t>Part</w:t>
            </w:r>
            <w:r>
              <w:rPr>
                <w:rFonts w:ascii="Arial"/>
                <w:spacing w:val="19"/>
              </w:rPr>
              <w:t xml:space="preserve"> </w:t>
            </w:r>
            <w:r>
              <w:rPr>
                <w:rFonts w:ascii="Arial"/>
              </w:rPr>
              <w:t>A</w:t>
            </w:r>
            <w:r>
              <w:rPr>
                <w:rFonts w:ascii="Arial"/>
                <w:spacing w:val="14"/>
              </w:rPr>
              <w:t xml:space="preserve"> </w:t>
            </w:r>
            <w:r>
              <w:rPr>
                <w:rFonts w:ascii="Arial"/>
                <w:spacing w:val="-3"/>
              </w:rPr>
              <w:t>of</w:t>
            </w:r>
            <w:r>
              <w:rPr>
                <w:rFonts w:ascii="Arial"/>
                <w:spacing w:val="28"/>
              </w:rPr>
              <w:t xml:space="preserve"> </w:t>
            </w:r>
            <w:r>
              <w:rPr>
                <w:rFonts w:ascii="Arial"/>
                <w:spacing w:val="-2"/>
              </w:rPr>
              <w:t>Call</w:t>
            </w:r>
            <w:r>
              <w:rPr>
                <w:rFonts w:ascii="Arial"/>
                <w:spacing w:val="19"/>
              </w:rPr>
              <w:t xml:space="preserve"> </w:t>
            </w:r>
            <w:r>
              <w:rPr>
                <w:rFonts w:ascii="Arial"/>
              </w:rPr>
              <w:t>Off</w:t>
            </w:r>
            <w:r>
              <w:rPr>
                <w:rFonts w:ascii="Arial"/>
                <w:spacing w:val="23"/>
              </w:rPr>
              <w:t xml:space="preserve"> </w:t>
            </w:r>
            <w:r>
              <w:rPr>
                <w:rFonts w:ascii="Arial"/>
                <w:spacing w:val="-1"/>
              </w:rPr>
              <w:t>Schedule</w:t>
            </w:r>
            <w:r>
              <w:rPr>
                <w:rFonts w:ascii="Arial"/>
                <w:spacing w:val="20"/>
              </w:rPr>
              <w:t xml:space="preserve"> </w:t>
            </w:r>
            <w:r>
              <w:rPr>
                <w:rFonts w:ascii="Arial"/>
              </w:rPr>
              <w:t>6</w:t>
            </w:r>
            <w:r>
              <w:rPr>
                <w:rFonts w:ascii="Arial"/>
                <w:spacing w:val="20"/>
              </w:rPr>
              <w:t xml:space="preserve"> </w:t>
            </w:r>
            <w:r>
              <w:rPr>
                <w:rFonts w:ascii="Arial"/>
                <w:spacing w:val="-1"/>
              </w:rPr>
              <w:t>(Service</w:t>
            </w:r>
            <w:r>
              <w:rPr>
                <w:rFonts w:ascii="Arial"/>
                <w:spacing w:val="20"/>
              </w:rPr>
              <w:t xml:space="preserve"> </w:t>
            </w:r>
            <w:r>
              <w:rPr>
                <w:rFonts w:ascii="Arial"/>
                <w:spacing w:val="-1"/>
              </w:rPr>
              <w:t>Levels,</w:t>
            </w:r>
            <w:r>
              <w:rPr>
                <w:rFonts w:ascii="Arial"/>
                <w:spacing w:val="21"/>
              </w:rPr>
              <w:t xml:space="preserve"> </w:t>
            </w:r>
            <w:r>
              <w:rPr>
                <w:rFonts w:ascii="Arial"/>
                <w:spacing w:val="-1"/>
              </w:rPr>
              <w:t>Service</w:t>
            </w:r>
            <w:r>
              <w:rPr>
                <w:rFonts w:ascii="Arial"/>
                <w:spacing w:val="20"/>
              </w:rPr>
              <w:t xml:space="preserve"> </w:t>
            </w:r>
            <w:r>
              <w:rPr>
                <w:rFonts w:ascii="Arial"/>
                <w:spacing w:val="-1"/>
              </w:rPr>
              <w:t>Credits</w:t>
            </w:r>
            <w:r>
              <w:rPr>
                <w:rFonts w:ascii="Arial"/>
                <w:spacing w:val="20"/>
              </w:rPr>
              <w:t xml:space="preserve"> </w:t>
            </w:r>
            <w:r>
              <w:rPr>
                <w:rFonts w:ascii="Arial"/>
                <w:spacing w:val="-1"/>
              </w:rPr>
              <w:t>and</w:t>
            </w:r>
            <w:r>
              <w:rPr>
                <w:rFonts w:ascii="Arial"/>
                <w:spacing w:val="28"/>
              </w:rPr>
              <w:t xml:space="preserve"> </w:t>
            </w:r>
            <w:r>
              <w:rPr>
                <w:rFonts w:ascii="Arial"/>
                <w:spacing w:val="-1"/>
              </w:rPr>
              <w:t>Performance</w:t>
            </w:r>
            <w:r>
              <w:rPr>
                <w:rFonts w:ascii="Arial"/>
                <w:spacing w:val="-2"/>
              </w:rPr>
              <w:t xml:space="preserve"> </w:t>
            </w:r>
            <w:r>
              <w:rPr>
                <w:rFonts w:ascii="Arial"/>
                <w:spacing w:val="-1"/>
              </w:rPr>
              <w:t>Monitoring);</w:t>
            </w:r>
          </w:p>
        </w:tc>
      </w:tr>
      <w:tr w:rsidR="008918FA" w:rsidTr="005D2B81">
        <w:trPr>
          <w:trHeight w:hRule="exact" w:val="770"/>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before="1" w:line="252" w:lineRule="exact"/>
              <w:ind w:left="-6" w:right="889"/>
              <w:rPr>
                <w:rFonts w:ascii="Arial" w:eastAsia="Arial" w:hAnsi="Arial" w:cs="Arial"/>
              </w:rPr>
            </w:pPr>
            <w:r>
              <w:rPr>
                <w:rFonts w:ascii="Arial"/>
                <w:b/>
                <w:spacing w:val="-1"/>
              </w:rPr>
              <w:t>"Service</w:t>
            </w:r>
            <w:r>
              <w:rPr>
                <w:rFonts w:ascii="Arial"/>
                <w:b/>
              </w:rPr>
              <w:t xml:space="preserve"> </w:t>
            </w:r>
            <w:r>
              <w:rPr>
                <w:rFonts w:ascii="Arial"/>
                <w:b/>
                <w:spacing w:val="-2"/>
              </w:rPr>
              <w:t>Level</w:t>
            </w:r>
            <w:r>
              <w:rPr>
                <w:rFonts w:ascii="Arial"/>
                <w:b/>
                <w:spacing w:val="26"/>
              </w:rPr>
              <w:t xml:space="preserve"> </w:t>
            </w:r>
            <w:r>
              <w:rPr>
                <w:rFonts w:ascii="Arial"/>
                <w:b/>
                <w:spacing w:val="-1"/>
              </w:rPr>
              <w:t>Performance</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shall</w:t>
            </w:r>
            <w:r>
              <w:rPr>
                <w:rFonts w:ascii="Arial"/>
                <w:spacing w:val="57"/>
              </w:rPr>
              <w:t xml:space="preserve"> </w:t>
            </w:r>
            <w:r>
              <w:rPr>
                <w:rFonts w:ascii="Arial"/>
                <w:spacing w:val="-1"/>
              </w:rPr>
              <w:t>be</w:t>
            </w:r>
            <w:r>
              <w:rPr>
                <w:rFonts w:ascii="Arial"/>
                <w:spacing w:val="58"/>
              </w:rPr>
              <w:t xml:space="preserve"> </w:t>
            </w:r>
            <w:r>
              <w:rPr>
                <w:rFonts w:ascii="Arial"/>
                <w:spacing w:val="-1"/>
              </w:rPr>
              <w:t>as</w:t>
            </w:r>
            <w:r>
              <w:rPr>
                <w:rFonts w:ascii="Arial"/>
                <w:spacing w:val="58"/>
              </w:rPr>
              <w:t xml:space="preserve"> </w:t>
            </w:r>
            <w:r>
              <w:rPr>
                <w:rFonts w:ascii="Arial"/>
                <w:spacing w:val="-1"/>
              </w:rPr>
              <w:t>set</w:t>
            </w:r>
            <w:r>
              <w:rPr>
                <w:rFonts w:ascii="Arial"/>
                <w:spacing w:val="59"/>
              </w:rPr>
              <w:t xml:space="preserve"> </w:t>
            </w:r>
            <w:r>
              <w:rPr>
                <w:rFonts w:ascii="Arial"/>
                <w:spacing w:val="-1"/>
              </w:rPr>
              <w:t>out</w:t>
            </w:r>
            <w:r>
              <w:rPr>
                <w:rFonts w:ascii="Arial"/>
                <w:spacing w:val="59"/>
              </w:rPr>
              <w:t xml:space="preserve"> </w:t>
            </w:r>
            <w:r>
              <w:rPr>
                <w:rFonts w:ascii="Arial"/>
                <w:spacing w:val="-1"/>
              </w:rPr>
              <w:t>against</w:t>
            </w:r>
            <w:r>
              <w:rPr>
                <w:rFonts w:ascii="Arial"/>
                <w:spacing w:val="60"/>
              </w:rPr>
              <w:t xml:space="preserve"> </w:t>
            </w:r>
            <w:r>
              <w:rPr>
                <w:rFonts w:ascii="Arial"/>
              </w:rPr>
              <w:t>the</w:t>
            </w:r>
            <w:r>
              <w:rPr>
                <w:rFonts w:ascii="Arial"/>
                <w:spacing w:val="59"/>
              </w:rPr>
              <w:t xml:space="preserve"> </w:t>
            </w:r>
            <w:r>
              <w:rPr>
                <w:rFonts w:ascii="Arial"/>
                <w:spacing w:val="-2"/>
              </w:rPr>
              <w:t>relevant</w:t>
            </w:r>
            <w:r>
              <w:rPr>
                <w:rFonts w:ascii="Arial"/>
                <w:spacing w:val="59"/>
              </w:rPr>
              <w:t xml:space="preserve"> </w:t>
            </w:r>
            <w:r>
              <w:rPr>
                <w:rFonts w:ascii="Arial"/>
                <w:spacing w:val="-1"/>
              </w:rPr>
              <w:t>Service</w:t>
            </w:r>
            <w:r>
              <w:rPr>
                <w:rFonts w:ascii="Arial"/>
                <w:spacing w:val="58"/>
              </w:rPr>
              <w:t xml:space="preserve"> </w:t>
            </w:r>
            <w:r>
              <w:rPr>
                <w:rFonts w:ascii="Arial"/>
                <w:spacing w:val="-2"/>
              </w:rPr>
              <w:t>Level</w:t>
            </w:r>
            <w:r>
              <w:rPr>
                <w:rFonts w:ascii="Arial"/>
                <w:spacing w:val="42"/>
              </w:rPr>
              <w:t xml:space="preserve"> </w:t>
            </w:r>
            <w:r>
              <w:rPr>
                <w:rFonts w:ascii="Arial"/>
                <w:spacing w:val="-1"/>
              </w:rPr>
              <w:t>Performance</w:t>
            </w:r>
            <w:r>
              <w:rPr>
                <w:rFonts w:ascii="Arial"/>
                <w:spacing w:val="51"/>
              </w:rPr>
              <w:t xml:space="preserve"> </w:t>
            </w:r>
            <w:r>
              <w:rPr>
                <w:rFonts w:ascii="Arial"/>
                <w:spacing w:val="-1"/>
              </w:rPr>
              <w:t>Criterion</w:t>
            </w:r>
            <w:r>
              <w:rPr>
                <w:rFonts w:ascii="Arial"/>
                <w:spacing w:val="51"/>
              </w:rPr>
              <w:t xml:space="preserve"> </w:t>
            </w:r>
            <w:r>
              <w:rPr>
                <w:rFonts w:ascii="Arial"/>
                <w:spacing w:val="-1"/>
              </w:rPr>
              <w:t>in</w:t>
            </w:r>
            <w:r>
              <w:rPr>
                <w:rFonts w:ascii="Arial"/>
                <w:spacing w:val="51"/>
              </w:rPr>
              <w:t xml:space="preserve"> </w:t>
            </w:r>
            <w:r>
              <w:rPr>
                <w:rFonts w:ascii="Arial"/>
                <w:spacing w:val="-1"/>
              </w:rPr>
              <w:t>Annex</w:t>
            </w:r>
            <w:r>
              <w:rPr>
                <w:rFonts w:ascii="Arial"/>
                <w:spacing w:val="49"/>
              </w:rPr>
              <w:t xml:space="preserve"> </w:t>
            </w:r>
            <w:r>
              <w:rPr>
                <w:rFonts w:ascii="Arial"/>
              </w:rPr>
              <w:t>1</w:t>
            </w:r>
            <w:r>
              <w:rPr>
                <w:rFonts w:ascii="Arial"/>
                <w:spacing w:val="51"/>
              </w:rPr>
              <w:t xml:space="preserve"> </w:t>
            </w:r>
            <w:r>
              <w:rPr>
                <w:rFonts w:ascii="Arial"/>
                <w:spacing w:val="-1"/>
              </w:rPr>
              <w:t>of</w:t>
            </w:r>
            <w:r>
              <w:rPr>
                <w:rFonts w:ascii="Arial"/>
                <w:spacing w:val="54"/>
              </w:rPr>
              <w:t xml:space="preserve"> </w:t>
            </w:r>
            <w:r>
              <w:rPr>
                <w:rFonts w:ascii="Arial"/>
                <w:spacing w:val="-1"/>
              </w:rPr>
              <w:t>Part</w:t>
            </w:r>
            <w:r>
              <w:rPr>
                <w:rFonts w:ascii="Arial"/>
              </w:rPr>
              <w:t xml:space="preserve"> A</w:t>
            </w:r>
            <w:r>
              <w:rPr>
                <w:rFonts w:ascii="Arial"/>
                <w:spacing w:val="51"/>
              </w:rPr>
              <w:t xml:space="preserve"> </w:t>
            </w:r>
            <w:r>
              <w:rPr>
                <w:rFonts w:ascii="Arial"/>
                <w:spacing w:val="-2"/>
              </w:rPr>
              <w:t>of</w:t>
            </w:r>
            <w:r>
              <w:rPr>
                <w:rFonts w:ascii="Arial"/>
                <w:spacing w:val="52"/>
              </w:rPr>
              <w:t xml:space="preserve"> </w:t>
            </w:r>
            <w:r>
              <w:rPr>
                <w:rFonts w:ascii="Arial"/>
                <w:spacing w:val="-2"/>
              </w:rPr>
              <w:t>Call</w:t>
            </w:r>
            <w:r>
              <w:rPr>
                <w:rFonts w:ascii="Arial"/>
                <w:spacing w:val="47"/>
              </w:rPr>
              <w:t xml:space="preserve"> </w:t>
            </w:r>
            <w:r>
              <w:rPr>
                <w:rFonts w:ascii="Arial"/>
                <w:spacing w:val="-1"/>
              </w:rPr>
              <w:t>Off</w:t>
            </w:r>
            <w:r>
              <w:rPr>
                <w:rFonts w:ascii="Arial"/>
                <w:spacing w:val="29"/>
              </w:rPr>
              <w:t xml:space="preserve"> </w:t>
            </w:r>
            <w:r>
              <w:rPr>
                <w:rFonts w:ascii="Arial"/>
                <w:spacing w:val="-1"/>
              </w:rPr>
              <w:t>Schedule</w:t>
            </w:r>
            <w:r>
              <w:rPr>
                <w:rFonts w:ascii="Arial"/>
              </w:rPr>
              <w:t xml:space="preserve">  </w:t>
            </w:r>
            <w:r>
              <w:rPr>
                <w:rFonts w:ascii="Arial"/>
                <w:spacing w:val="39"/>
              </w:rPr>
              <w:t xml:space="preserve"> </w:t>
            </w:r>
            <w:r>
              <w:rPr>
                <w:rFonts w:ascii="Arial"/>
              </w:rPr>
              <w:t xml:space="preserve">6  </w:t>
            </w:r>
            <w:r>
              <w:rPr>
                <w:rFonts w:ascii="Arial"/>
                <w:spacing w:val="39"/>
              </w:rPr>
              <w:t xml:space="preserve"> </w:t>
            </w:r>
            <w:r>
              <w:rPr>
                <w:rFonts w:ascii="Arial"/>
                <w:spacing w:val="-1"/>
              </w:rPr>
              <w:t>(Service</w:t>
            </w:r>
            <w:r>
              <w:rPr>
                <w:rFonts w:ascii="Arial"/>
              </w:rPr>
              <w:t xml:space="preserve">  </w:t>
            </w:r>
            <w:r>
              <w:rPr>
                <w:rFonts w:ascii="Arial"/>
                <w:spacing w:val="39"/>
              </w:rPr>
              <w:t xml:space="preserve"> </w:t>
            </w:r>
            <w:r>
              <w:rPr>
                <w:rFonts w:ascii="Arial"/>
                <w:spacing w:val="-2"/>
              </w:rPr>
              <w:t>Levels,</w:t>
            </w:r>
            <w:r>
              <w:rPr>
                <w:rFonts w:ascii="Arial"/>
              </w:rPr>
              <w:t xml:space="preserve">  </w:t>
            </w:r>
            <w:r>
              <w:rPr>
                <w:rFonts w:ascii="Arial"/>
                <w:spacing w:val="41"/>
              </w:rPr>
              <w:t xml:space="preserve"> </w:t>
            </w:r>
            <w:r>
              <w:rPr>
                <w:rFonts w:ascii="Arial"/>
                <w:spacing w:val="-2"/>
              </w:rPr>
              <w:t>Service</w:t>
            </w:r>
            <w:r>
              <w:rPr>
                <w:rFonts w:ascii="Arial"/>
              </w:rPr>
              <w:t xml:space="preserve">  </w:t>
            </w:r>
            <w:r>
              <w:rPr>
                <w:rFonts w:ascii="Arial"/>
                <w:spacing w:val="39"/>
              </w:rPr>
              <w:t xml:space="preserve"> </w:t>
            </w:r>
            <w:r>
              <w:rPr>
                <w:rFonts w:ascii="Arial"/>
                <w:spacing w:val="-1"/>
              </w:rPr>
              <w:t>Credits</w:t>
            </w:r>
            <w:r>
              <w:rPr>
                <w:rFonts w:ascii="Arial"/>
              </w:rPr>
              <w:t xml:space="preserve">  </w:t>
            </w:r>
            <w:r>
              <w:rPr>
                <w:rFonts w:ascii="Arial"/>
                <w:spacing w:val="39"/>
              </w:rPr>
              <w:t xml:space="preserve"> </w:t>
            </w:r>
            <w:r>
              <w:rPr>
                <w:rFonts w:ascii="Arial"/>
                <w:spacing w:val="-2"/>
              </w:rPr>
              <w:t>and</w:t>
            </w:r>
          </w:p>
        </w:tc>
      </w:tr>
    </w:tbl>
    <w:p w:rsidR="008918FA" w:rsidRDefault="008918FA" w:rsidP="008918FA">
      <w:pPr>
        <w:jc w:val="both"/>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38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Measure"</w:t>
            </w:r>
          </w:p>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Performance</w:t>
            </w:r>
            <w:r>
              <w:rPr>
                <w:rFonts w:ascii="Arial"/>
                <w:spacing w:val="-2"/>
              </w:rPr>
              <w:t xml:space="preserve"> </w:t>
            </w:r>
            <w:r>
              <w:rPr>
                <w:rFonts w:ascii="Arial"/>
                <w:spacing w:val="-1"/>
              </w:rPr>
              <w:t>Monitoring);</w:t>
            </w:r>
          </w:p>
        </w:tc>
      </w:tr>
      <w:tr w:rsidR="008918FA" w:rsidTr="005D2B81">
        <w:trPr>
          <w:trHeight w:hRule="exact" w:val="114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889"/>
              <w:rPr>
                <w:rFonts w:ascii="Arial" w:eastAsia="Arial" w:hAnsi="Arial" w:cs="Arial"/>
              </w:rPr>
            </w:pPr>
            <w:r>
              <w:rPr>
                <w:rFonts w:ascii="Arial"/>
                <w:b/>
                <w:spacing w:val="-1"/>
              </w:rPr>
              <w:t>"Service</w:t>
            </w:r>
            <w:r>
              <w:rPr>
                <w:rFonts w:ascii="Arial"/>
                <w:b/>
              </w:rPr>
              <w:t xml:space="preserve"> </w:t>
            </w:r>
            <w:r>
              <w:rPr>
                <w:rFonts w:ascii="Arial"/>
                <w:b/>
                <w:spacing w:val="-2"/>
              </w:rPr>
              <w:t>Level</w:t>
            </w:r>
            <w:r>
              <w:rPr>
                <w:rFonts w:ascii="Arial"/>
                <w:b/>
                <w:spacing w:val="26"/>
              </w:rPr>
              <w:t xml:space="preserve"> </w:t>
            </w:r>
            <w:r>
              <w:rPr>
                <w:rFonts w:ascii="Arial"/>
                <w:b/>
                <w:spacing w:val="-1"/>
              </w:rPr>
              <w:t>Threshold"</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spacing w:val="-1"/>
              </w:rPr>
              <w:t>shall</w:t>
            </w:r>
            <w:r>
              <w:rPr>
                <w:rFonts w:ascii="Arial"/>
                <w:spacing w:val="57"/>
              </w:rPr>
              <w:t xml:space="preserve"> </w:t>
            </w:r>
            <w:r>
              <w:rPr>
                <w:rFonts w:ascii="Arial"/>
                <w:spacing w:val="-1"/>
              </w:rPr>
              <w:t>be</w:t>
            </w:r>
            <w:r>
              <w:rPr>
                <w:rFonts w:ascii="Arial"/>
                <w:spacing w:val="58"/>
              </w:rPr>
              <w:t xml:space="preserve"> </w:t>
            </w:r>
            <w:r>
              <w:rPr>
                <w:rFonts w:ascii="Arial"/>
                <w:spacing w:val="-1"/>
              </w:rPr>
              <w:t>as</w:t>
            </w:r>
            <w:r>
              <w:rPr>
                <w:rFonts w:ascii="Arial"/>
                <w:spacing w:val="58"/>
              </w:rPr>
              <w:t xml:space="preserve"> </w:t>
            </w:r>
            <w:r>
              <w:rPr>
                <w:rFonts w:ascii="Arial"/>
                <w:spacing w:val="-1"/>
              </w:rPr>
              <w:t>set</w:t>
            </w:r>
            <w:r>
              <w:rPr>
                <w:rFonts w:ascii="Arial"/>
                <w:spacing w:val="59"/>
              </w:rPr>
              <w:t xml:space="preserve"> </w:t>
            </w:r>
            <w:r>
              <w:rPr>
                <w:rFonts w:ascii="Arial"/>
                <w:spacing w:val="-1"/>
              </w:rPr>
              <w:t>out</w:t>
            </w:r>
            <w:r>
              <w:rPr>
                <w:rFonts w:ascii="Arial"/>
                <w:spacing w:val="59"/>
              </w:rPr>
              <w:t xml:space="preserve"> </w:t>
            </w:r>
            <w:r>
              <w:rPr>
                <w:rFonts w:ascii="Arial"/>
                <w:spacing w:val="-1"/>
              </w:rPr>
              <w:t>against</w:t>
            </w:r>
            <w:r>
              <w:rPr>
                <w:rFonts w:ascii="Arial"/>
                <w:spacing w:val="60"/>
              </w:rPr>
              <w:t xml:space="preserve"> </w:t>
            </w:r>
            <w:r>
              <w:rPr>
                <w:rFonts w:ascii="Arial"/>
              </w:rPr>
              <w:t>the</w:t>
            </w:r>
            <w:r>
              <w:rPr>
                <w:rFonts w:ascii="Arial"/>
                <w:spacing w:val="59"/>
              </w:rPr>
              <w:t xml:space="preserve"> </w:t>
            </w:r>
            <w:r>
              <w:rPr>
                <w:rFonts w:ascii="Arial"/>
                <w:spacing w:val="-2"/>
              </w:rPr>
              <w:t>relevant</w:t>
            </w:r>
            <w:r>
              <w:rPr>
                <w:rFonts w:ascii="Arial"/>
                <w:spacing w:val="59"/>
              </w:rPr>
              <w:t xml:space="preserve"> </w:t>
            </w:r>
            <w:r>
              <w:rPr>
                <w:rFonts w:ascii="Arial"/>
                <w:spacing w:val="-1"/>
              </w:rPr>
              <w:t>Service</w:t>
            </w:r>
            <w:r>
              <w:rPr>
                <w:rFonts w:ascii="Arial"/>
                <w:spacing w:val="58"/>
              </w:rPr>
              <w:t xml:space="preserve"> </w:t>
            </w:r>
            <w:r>
              <w:rPr>
                <w:rFonts w:ascii="Arial"/>
                <w:spacing w:val="-2"/>
              </w:rPr>
              <w:t>Level</w:t>
            </w:r>
            <w:r>
              <w:rPr>
                <w:rFonts w:ascii="Arial"/>
                <w:spacing w:val="42"/>
              </w:rPr>
              <w:t xml:space="preserve"> </w:t>
            </w:r>
            <w:r>
              <w:rPr>
                <w:rFonts w:ascii="Arial"/>
                <w:spacing w:val="-1"/>
              </w:rPr>
              <w:t>Performance</w:t>
            </w:r>
            <w:r>
              <w:rPr>
                <w:rFonts w:ascii="Arial"/>
                <w:spacing w:val="51"/>
              </w:rPr>
              <w:t xml:space="preserve"> </w:t>
            </w:r>
            <w:r>
              <w:rPr>
                <w:rFonts w:ascii="Arial"/>
                <w:spacing w:val="-1"/>
              </w:rPr>
              <w:t>Criterion</w:t>
            </w:r>
            <w:r>
              <w:rPr>
                <w:rFonts w:ascii="Arial"/>
                <w:spacing w:val="51"/>
              </w:rPr>
              <w:t xml:space="preserve"> </w:t>
            </w:r>
            <w:r>
              <w:rPr>
                <w:rFonts w:ascii="Arial"/>
                <w:spacing w:val="-1"/>
              </w:rPr>
              <w:t>in</w:t>
            </w:r>
            <w:r>
              <w:rPr>
                <w:rFonts w:ascii="Arial"/>
                <w:spacing w:val="51"/>
              </w:rPr>
              <w:t xml:space="preserve"> </w:t>
            </w:r>
            <w:r>
              <w:rPr>
                <w:rFonts w:ascii="Arial"/>
                <w:spacing w:val="-1"/>
              </w:rPr>
              <w:t>Annex</w:t>
            </w:r>
            <w:r>
              <w:rPr>
                <w:rFonts w:ascii="Arial"/>
                <w:spacing w:val="49"/>
              </w:rPr>
              <w:t xml:space="preserve"> </w:t>
            </w:r>
            <w:r>
              <w:rPr>
                <w:rFonts w:ascii="Arial"/>
              </w:rPr>
              <w:t>1</w:t>
            </w:r>
            <w:r>
              <w:rPr>
                <w:rFonts w:ascii="Arial"/>
                <w:spacing w:val="51"/>
              </w:rPr>
              <w:t xml:space="preserve"> </w:t>
            </w:r>
            <w:r>
              <w:rPr>
                <w:rFonts w:ascii="Arial"/>
                <w:spacing w:val="-1"/>
              </w:rPr>
              <w:t>of</w:t>
            </w:r>
            <w:r>
              <w:rPr>
                <w:rFonts w:ascii="Arial"/>
                <w:spacing w:val="54"/>
              </w:rPr>
              <w:t xml:space="preserve"> </w:t>
            </w:r>
            <w:r>
              <w:rPr>
                <w:rFonts w:ascii="Arial"/>
                <w:spacing w:val="-1"/>
              </w:rPr>
              <w:t>Part</w:t>
            </w:r>
            <w:r>
              <w:rPr>
                <w:rFonts w:ascii="Arial"/>
                <w:spacing w:val="1"/>
              </w:rPr>
              <w:t xml:space="preserve"> </w:t>
            </w:r>
            <w:r>
              <w:rPr>
                <w:rFonts w:ascii="Arial"/>
              </w:rPr>
              <w:t>A</w:t>
            </w:r>
            <w:r>
              <w:rPr>
                <w:rFonts w:ascii="Arial"/>
                <w:spacing w:val="51"/>
              </w:rPr>
              <w:t xml:space="preserve"> </w:t>
            </w:r>
            <w:r>
              <w:rPr>
                <w:rFonts w:ascii="Arial"/>
                <w:spacing w:val="-2"/>
              </w:rPr>
              <w:t>of</w:t>
            </w:r>
            <w:r>
              <w:rPr>
                <w:rFonts w:ascii="Arial"/>
                <w:spacing w:val="52"/>
              </w:rPr>
              <w:t xml:space="preserve"> </w:t>
            </w:r>
            <w:r>
              <w:rPr>
                <w:rFonts w:ascii="Arial"/>
                <w:spacing w:val="-2"/>
              </w:rPr>
              <w:t>Call</w:t>
            </w:r>
            <w:r>
              <w:rPr>
                <w:rFonts w:ascii="Arial"/>
                <w:spacing w:val="48"/>
              </w:rPr>
              <w:t xml:space="preserve"> </w:t>
            </w:r>
            <w:r>
              <w:rPr>
                <w:rFonts w:ascii="Arial"/>
              </w:rPr>
              <w:t>Off</w:t>
            </w:r>
            <w:r>
              <w:rPr>
                <w:rFonts w:ascii="Arial"/>
                <w:spacing w:val="26"/>
              </w:rPr>
              <w:t xml:space="preserve"> </w:t>
            </w:r>
            <w:r>
              <w:rPr>
                <w:rFonts w:ascii="Arial"/>
                <w:spacing w:val="-1"/>
              </w:rPr>
              <w:t>Schedule</w:t>
            </w:r>
            <w:r>
              <w:rPr>
                <w:rFonts w:ascii="Arial"/>
                <w:spacing w:val="39"/>
              </w:rPr>
              <w:t xml:space="preserve"> </w:t>
            </w:r>
            <w:r>
              <w:rPr>
                <w:rFonts w:ascii="Arial"/>
              </w:rPr>
              <w:t>6</w:t>
            </w:r>
            <w:r>
              <w:rPr>
                <w:rFonts w:ascii="Arial"/>
                <w:spacing w:val="39"/>
              </w:rPr>
              <w:t xml:space="preserve"> </w:t>
            </w:r>
            <w:r>
              <w:rPr>
                <w:rFonts w:ascii="Arial"/>
                <w:spacing w:val="-1"/>
              </w:rPr>
              <w:t>(Service</w:t>
            </w:r>
            <w:r>
              <w:rPr>
                <w:rFonts w:ascii="Arial"/>
                <w:spacing w:val="39"/>
              </w:rPr>
              <w:t xml:space="preserve"> </w:t>
            </w:r>
            <w:r>
              <w:rPr>
                <w:rFonts w:ascii="Arial"/>
                <w:spacing w:val="-2"/>
              </w:rPr>
              <w:t>Levels,</w:t>
            </w:r>
            <w:r>
              <w:rPr>
                <w:rFonts w:ascii="Arial"/>
                <w:spacing w:val="41"/>
              </w:rPr>
              <w:t xml:space="preserve"> </w:t>
            </w:r>
            <w:r>
              <w:rPr>
                <w:rFonts w:ascii="Arial"/>
                <w:spacing w:val="-2"/>
              </w:rPr>
              <w:t>Service</w:t>
            </w:r>
            <w:r>
              <w:rPr>
                <w:rFonts w:ascii="Arial"/>
                <w:spacing w:val="39"/>
              </w:rPr>
              <w:t xml:space="preserve"> </w:t>
            </w:r>
            <w:r>
              <w:rPr>
                <w:rFonts w:ascii="Arial"/>
                <w:spacing w:val="-1"/>
              </w:rPr>
              <w:t>Credits</w:t>
            </w:r>
            <w:r>
              <w:rPr>
                <w:rFonts w:ascii="Arial"/>
                <w:spacing w:val="39"/>
              </w:rPr>
              <w:t xml:space="preserve"> </w:t>
            </w:r>
            <w:r>
              <w:rPr>
                <w:rFonts w:ascii="Arial"/>
                <w:spacing w:val="-2"/>
              </w:rPr>
              <w:t>and</w:t>
            </w:r>
            <w:r>
              <w:rPr>
                <w:rFonts w:ascii="Arial"/>
                <w:spacing w:val="33"/>
              </w:rPr>
              <w:t xml:space="preserve"> </w:t>
            </w:r>
            <w:r>
              <w:rPr>
                <w:rFonts w:ascii="Arial"/>
                <w:spacing w:val="-1"/>
              </w:rPr>
              <w:t>Performance</w:t>
            </w:r>
            <w:r>
              <w:rPr>
                <w:rFonts w:ascii="Arial"/>
                <w:spacing w:val="-2"/>
              </w:rPr>
              <w:t xml:space="preserve"> </w:t>
            </w:r>
            <w:r>
              <w:rPr>
                <w:rFonts w:ascii="Arial"/>
                <w:spacing w:val="-1"/>
              </w:rPr>
              <w:t>Monitoring);</w:t>
            </w:r>
          </w:p>
        </w:tc>
      </w:tr>
      <w:tr w:rsidR="008918FA" w:rsidTr="005D2B81">
        <w:trPr>
          <w:trHeight w:hRule="exact" w:val="140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"Service</w:t>
            </w:r>
            <w:r>
              <w:rPr>
                <w:rFonts w:ascii="Arial"/>
                <w:b/>
              </w:rPr>
              <w:t xml:space="preserve"> </w:t>
            </w:r>
            <w:r>
              <w:rPr>
                <w:rFonts w:ascii="Arial"/>
                <w:b/>
                <w:spacing w:val="-1"/>
              </w:rPr>
              <w:t>Levels"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46"/>
              </w:rPr>
              <w:t xml:space="preserve"> </w:t>
            </w:r>
            <w:r>
              <w:rPr>
                <w:rFonts w:ascii="Arial"/>
                <w:spacing w:val="-1"/>
              </w:rPr>
              <w:t>any</w:t>
            </w:r>
            <w:r>
              <w:rPr>
                <w:rFonts w:ascii="Arial"/>
                <w:spacing w:val="44"/>
              </w:rPr>
              <w:t xml:space="preserve"> </w:t>
            </w:r>
            <w:r>
              <w:rPr>
                <w:rFonts w:ascii="Arial"/>
                <w:spacing w:val="-2"/>
              </w:rPr>
              <w:t>service</w:t>
            </w:r>
            <w:r>
              <w:rPr>
                <w:rFonts w:ascii="Arial"/>
                <w:spacing w:val="46"/>
              </w:rPr>
              <w:t xml:space="preserve"> </w:t>
            </w:r>
            <w:r>
              <w:rPr>
                <w:rFonts w:ascii="Arial"/>
                <w:spacing w:val="-1"/>
              </w:rPr>
              <w:t>levels</w:t>
            </w:r>
            <w:r>
              <w:rPr>
                <w:rFonts w:ascii="Arial"/>
                <w:spacing w:val="46"/>
              </w:rPr>
              <w:t xml:space="preserve"> </w:t>
            </w:r>
            <w:r>
              <w:rPr>
                <w:rFonts w:ascii="Arial"/>
                <w:spacing w:val="-2"/>
              </w:rPr>
              <w:t>applicable</w:t>
            </w:r>
            <w:r>
              <w:rPr>
                <w:rFonts w:ascii="Arial"/>
                <w:spacing w:val="46"/>
              </w:rPr>
              <w:t xml:space="preserve"> </w:t>
            </w:r>
            <w:r>
              <w:rPr>
                <w:rFonts w:ascii="Arial"/>
              </w:rPr>
              <w:t>to</w:t>
            </w:r>
            <w:r>
              <w:rPr>
                <w:rFonts w:ascii="Arial"/>
                <w:spacing w:val="46"/>
              </w:rPr>
              <w:t xml:space="preserve"> </w:t>
            </w:r>
            <w:r>
              <w:rPr>
                <w:rFonts w:ascii="Arial"/>
              </w:rPr>
              <w:t>the</w:t>
            </w:r>
            <w:r>
              <w:rPr>
                <w:rFonts w:ascii="Arial"/>
                <w:spacing w:val="44"/>
              </w:rPr>
              <w:t xml:space="preserve"> </w:t>
            </w:r>
            <w:r>
              <w:rPr>
                <w:rFonts w:ascii="Arial"/>
                <w:spacing w:val="-2"/>
              </w:rPr>
              <w:t>provision</w:t>
            </w:r>
            <w:r>
              <w:rPr>
                <w:rFonts w:ascii="Arial"/>
                <w:spacing w:val="46"/>
              </w:rPr>
              <w:t xml:space="preserve"> </w:t>
            </w:r>
            <w:r>
              <w:rPr>
                <w:rFonts w:ascii="Arial"/>
                <w:spacing w:val="-1"/>
              </w:rPr>
              <w:t>of</w:t>
            </w:r>
            <w:r>
              <w:rPr>
                <w:rFonts w:ascii="Arial"/>
                <w:spacing w:val="46"/>
              </w:rPr>
              <w:t xml:space="preserve"> </w:t>
            </w:r>
            <w:r>
              <w:rPr>
                <w:rFonts w:ascii="Arial"/>
              </w:rPr>
              <w:t>the</w:t>
            </w:r>
            <w:r>
              <w:rPr>
                <w:rFonts w:ascii="Arial"/>
                <w:spacing w:val="43"/>
              </w:rPr>
              <w:t xml:space="preserve"> </w:t>
            </w:r>
            <w:r>
              <w:rPr>
                <w:rFonts w:ascii="Arial"/>
                <w:spacing w:val="-1"/>
              </w:rPr>
              <w:t>Goods</w:t>
            </w:r>
            <w:r>
              <w:rPr>
                <w:rFonts w:ascii="Arial"/>
                <w:spacing w:val="44"/>
              </w:rPr>
              <w:t xml:space="preserve"> </w:t>
            </w:r>
            <w:r>
              <w:rPr>
                <w:rFonts w:ascii="Arial"/>
                <w:spacing w:val="-1"/>
              </w:rPr>
              <w:t>and/or</w:t>
            </w:r>
            <w:r>
              <w:rPr>
                <w:rFonts w:ascii="Arial"/>
                <w:spacing w:val="45"/>
              </w:rPr>
              <w:t xml:space="preserve"> </w:t>
            </w:r>
            <w:r>
              <w:rPr>
                <w:rFonts w:ascii="Arial"/>
                <w:spacing w:val="-1"/>
              </w:rPr>
              <w:t>Services</w:t>
            </w:r>
            <w:r>
              <w:rPr>
                <w:rFonts w:ascii="Arial"/>
                <w:spacing w:val="44"/>
              </w:rPr>
              <w:t xml:space="preserve"> </w:t>
            </w:r>
            <w:r>
              <w:rPr>
                <w:rFonts w:ascii="Arial"/>
                <w:spacing w:val="-1"/>
              </w:rPr>
              <w:t>under</w:t>
            </w:r>
            <w:r>
              <w:rPr>
                <w:rFonts w:ascii="Arial"/>
                <w:spacing w:val="42"/>
              </w:rPr>
              <w:t xml:space="preserve"> </w:t>
            </w:r>
            <w:r>
              <w:rPr>
                <w:rFonts w:ascii="Arial"/>
                <w:spacing w:val="-1"/>
              </w:rPr>
              <w:t>this</w:t>
            </w:r>
            <w:r>
              <w:rPr>
                <w:rFonts w:ascii="Arial"/>
                <w:spacing w:val="44"/>
              </w:rPr>
              <w:t xml:space="preserve"> </w:t>
            </w:r>
            <w:r>
              <w:rPr>
                <w:rFonts w:ascii="Arial"/>
                <w:spacing w:val="-2"/>
              </w:rPr>
              <w:t>Call</w:t>
            </w:r>
            <w:r>
              <w:rPr>
                <w:rFonts w:ascii="Arial"/>
                <w:spacing w:val="44"/>
              </w:rPr>
              <w:t xml:space="preserve"> </w:t>
            </w:r>
            <w:r>
              <w:rPr>
                <w:rFonts w:ascii="Arial"/>
                <w:spacing w:val="-1"/>
              </w:rPr>
              <w:t>Off</w:t>
            </w:r>
            <w:r>
              <w:rPr>
                <w:rFonts w:ascii="Arial"/>
                <w:spacing w:val="45"/>
              </w:rPr>
              <w:t xml:space="preserve"> </w:t>
            </w:r>
            <w:r>
              <w:rPr>
                <w:rFonts w:ascii="Arial"/>
                <w:spacing w:val="-1"/>
              </w:rPr>
              <w:t>Contract</w:t>
            </w:r>
            <w:r>
              <w:rPr>
                <w:rFonts w:ascii="Arial"/>
                <w:spacing w:val="21"/>
              </w:rPr>
              <w:t xml:space="preserve"> </w:t>
            </w:r>
            <w:r>
              <w:rPr>
                <w:rFonts w:ascii="Arial"/>
                <w:spacing w:val="-1"/>
              </w:rPr>
              <w:t>specified</w:t>
            </w:r>
            <w:r>
              <w:rPr>
                <w:rFonts w:ascii="Arial"/>
                <w:spacing w:val="53"/>
              </w:rPr>
              <w:t xml:space="preserve"> </w:t>
            </w:r>
            <w:r>
              <w:rPr>
                <w:rFonts w:ascii="Arial"/>
                <w:spacing w:val="-1"/>
              </w:rPr>
              <w:t>in</w:t>
            </w:r>
            <w:r>
              <w:rPr>
                <w:rFonts w:ascii="Arial"/>
                <w:spacing w:val="53"/>
              </w:rPr>
              <w:t xml:space="preserve"> </w:t>
            </w:r>
            <w:r>
              <w:rPr>
                <w:rFonts w:ascii="Arial"/>
                <w:spacing w:val="-1"/>
              </w:rPr>
              <w:t>Annex</w:t>
            </w:r>
            <w:r>
              <w:rPr>
                <w:rFonts w:ascii="Arial"/>
                <w:spacing w:val="51"/>
              </w:rPr>
              <w:t xml:space="preserve"> </w:t>
            </w:r>
            <w:r>
              <w:rPr>
                <w:rFonts w:ascii="Arial"/>
              </w:rPr>
              <w:t>1</w:t>
            </w:r>
            <w:r>
              <w:rPr>
                <w:rFonts w:ascii="Arial"/>
                <w:spacing w:val="53"/>
              </w:rPr>
              <w:t xml:space="preserve"> </w:t>
            </w:r>
            <w:r>
              <w:rPr>
                <w:rFonts w:ascii="Arial"/>
              </w:rPr>
              <w:t>to</w:t>
            </w:r>
            <w:r>
              <w:rPr>
                <w:rFonts w:ascii="Arial"/>
                <w:spacing w:val="51"/>
              </w:rPr>
              <w:t xml:space="preserve"> </w:t>
            </w:r>
            <w:r>
              <w:rPr>
                <w:rFonts w:ascii="Arial"/>
                <w:spacing w:val="-1"/>
              </w:rPr>
              <w:t>Part</w:t>
            </w:r>
            <w:r>
              <w:rPr>
                <w:rFonts w:ascii="Arial"/>
                <w:spacing w:val="55"/>
              </w:rPr>
              <w:t xml:space="preserve"> </w:t>
            </w:r>
            <w:r>
              <w:rPr>
                <w:rFonts w:ascii="Arial"/>
              </w:rPr>
              <w:t>A</w:t>
            </w:r>
            <w:r>
              <w:rPr>
                <w:rFonts w:ascii="Arial"/>
                <w:spacing w:val="51"/>
              </w:rPr>
              <w:t xml:space="preserve"> </w:t>
            </w:r>
            <w:r>
              <w:rPr>
                <w:rFonts w:ascii="Arial"/>
                <w:spacing w:val="-2"/>
              </w:rPr>
              <w:t>of</w:t>
            </w:r>
            <w:r>
              <w:rPr>
                <w:rFonts w:ascii="Arial"/>
                <w:spacing w:val="57"/>
              </w:rPr>
              <w:t xml:space="preserve"> </w:t>
            </w:r>
            <w:r>
              <w:rPr>
                <w:rFonts w:ascii="Arial"/>
                <w:spacing w:val="-2"/>
              </w:rPr>
              <w:t>Call</w:t>
            </w:r>
            <w:r>
              <w:rPr>
                <w:rFonts w:ascii="Arial"/>
                <w:spacing w:val="50"/>
              </w:rPr>
              <w:t xml:space="preserve"> </w:t>
            </w:r>
            <w:r>
              <w:rPr>
                <w:rFonts w:ascii="Arial"/>
                <w:spacing w:val="-1"/>
              </w:rPr>
              <w:t>Off</w:t>
            </w:r>
            <w:r>
              <w:rPr>
                <w:rFonts w:ascii="Arial"/>
                <w:spacing w:val="55"/>
              </w:rPr>
              <w:t xml:space="preserve"> </w:t>
            </w:r>
            <w:r>
              <w:rPr>
                <w:rFonts w:ascii="Arial"/>
                <w:spacing w:val="-2"/>
              </w:rPr>
              <w:t>Schedule</w:t>
            </w:r>
            <w:r>
              <w:rPr>
                <w:rFonts w:ascii="Arial"/>
                <w:spacing w:val="53"/>
              </w:rPr>
              <w:t xml:space="preserve"> </w:t>
            </w:r>
            <w:r>
              <w:rPr>
                <w:rFonts w:ascii="Arial"/>
              </w:rPr>
              <w:t>6</w:t>
            </w:r>
            <w:r>
              <w:rPr>
                <w:rFonts w:ascii="Arial"/>
                <w:spacing w:val="39"/>
              </w:rPr>
              <w:t xml:space="preserve"> </w:t>
            </w:r>
            <w:r>
              <w:rPr>
                <w:rFonts w:ascii="Arial"/>
                <w:spacing w:val="-1"/>
              </w:rPr>
              <w:t>(Service</w:t>
            </w:r>
            <w:r>
              <w:rPr>
                <w:rFonts w:ascii="Arial"/>
                <w:spacing w:val="39"/>
              </w:rPr>
              <w:t xml:space="preserve"> </w:t>
            </w:r>
            <w:r>
              <w:rPr>
                <w:rFonts w:ascii="Arial"/>
                <w:spacing w:val="-2"/>
              </w:rPr>
              <w:t>Levels,</w:t>
            </w:r>
            <w:r>
              <w:rPr>
                <w:rFonts w:ascii="Arial"/>
                <w:spacing w:val="41"/>
              </w:rPr>
              <w:t xml:space="preserve"> </w:t>
            </w:r>
            <w:r>
              <w:rPr>
                <w:rFonts w:ascii="Arial"/>
                <w:spacing w:val="-1"/>
              </w:rPr>
              <w:t>Service</w:t>
            </w:r>
            <w:r>
              <w:rPr>
                <w:rFonts w:ascii="Arial"/>
                <w:spacing w:val="39"/>
              </w:rPr>
              <w:t xml:space="preserve"> </w:t>
            </w:r>
            <w:r>
              <w:rPr>
                <w:rFonts w:ascii="Arial"/>
                <w:spacing w:val="-1"/>
              </w:rPr>
              <w:t>Credits</w:t>
            </w:r>
            <w:r>
              <w:rPr>
                <w:rFonts w:ascii="Arial"/>
                <w:spacing w:val="39"/>
              </w:rPr>
              <w:t xml:space="preserve"> </w:t>
            </w:r>
            <w:r>
              <w:rPr>
                <w:rFonts w:ascii="Arial"/>
                <w:spacing w:val="-1"/>
              </w:rPr>
              <w:t>and</w:t>
            </w:r>
            <w:r>
              <w:rPr>
                <w:rFonts w:ascii="Arial"/>
                <w:spacing w:val="36"/>
              </w:rPr>
              <w:t xml:space="preserve"> </w:t>
            </w:r>
            <w:r>
              <w:rPr>
                <w:rFonts w:ascii="Arial"/>
                <w:spacing w:val="-1"/>
              </w:rPr>
              <w:t>Performance</w:t>
            </w:r>
            <w:r>
              <w:rPr>
                <w:rFonts w:ascii="Arial"/>
                <w:spacing w:val="25"/>
              </w:rPr>
              <w:t xml:space="preserve"> </w:t>
            </w:r>
            <w:r>
              <w:rPr>
                <w:rFonts w:ascii="Arial"/>
                <w:spacing w:val="-1"/>
              </w:rPr>
              <w:t>Monitoring);</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"Service</w:t>
            </w:r>
            <w:r>
              <w:rPr>
                <w:rFonts w:ascii="Arial"/>
                <w:b/>
              </w:rPr>
              <w:t xml:space="preserve"> </w:t>
            </w:r>
            <w:r>
              <w:rPr>
                <w:rFonts w:ascii="Arial"/>
                <w:b/>
                <w:spacing w:val="-1"/>
              </w:rPr>
              <w:t>Period"</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has</w:t>
            </w:r>
            <w:r>
              <w:rPr>
                <w:rFonts w:ascii="Arial"/>
                <w:spacing w:val="51"/>
              </w:rPr>
              <w:t xml:space="preserve"> </w:t>
            </w:r>
            <w:r>
              <w:rPr>
                <w:rFonts w:ascii="Arial"/>
              </w:rPr>
              <w:t>the</w:t>
            </w:r>
            <w:r>
              <w:rPr>
                <w:rFonts w:ascii="Arial"/>
                <w:spacing w:val="48"/>
              </w:rPr>
              <w:t xml:space="preserve"> </w:t>
            </w:r>
            <w:r>
              <w:rPr>
                <w:rFonts w:ascii="Arial"/>
                <w:spacing w:val="-1"/>
              </w:rPr>
              <w:t>meaning</w:t>
            </w:r>
            <w:r>
              <w:rPr>
                <w:rFonts w:ascii="Arial"/>
                <w:spacing w:val="48"/>
              </w:rPr>
              <w:t xml:space="preserve"> </w:t>
            </w:r>
            <w:r>
              <w:rPr>
                <w:rFonts w:ascii="Arial"/>
                <w:spacing w:val="-1"/>
              </w:rPr>
              <w:t>given</w:t>
            </w:r>
            <w:r>
              <w:rPr>
                <w:rFonts w:ascii="Arial"/>
                <w:spacing w:val="53"/>
              </w:rPr>
              <w:t xml:space="preserve"> </w:t>
            </w:r>
            <w:r>
              <w:rPr>
                <w:rFonts w:ascii="Arial"/>
              </w:rPr>
              <w:t>to</w:t>
            </w:r>
            <w:r>
              <w:rPr>
                <w:rFonts w:ascii="Arial"/>
                <w:spacing w:val="51"/>
              </w:rPr>
              <w:t xml:space="preserve"> </w:t>
            </w:r>
            <w:r>
              <w:rPr>
                <w:rFonts w:ascii="Arial"/>
                <w:spacing w:val="-1"/>
              </w:rPr>
              <w:t>in</w:t>
            </w:r>
            <w:r>
              <w:rPr>
                <w:rFonts w:ascii="Arial"/>
                <w:spacing w:val="51"/>
              </w:rPr>
              <w:t xml:space="preserve"> </w:t>
            </w:r>
            <w:r>
              <w:rPr>
                <w:rFonts w:ascii="Arial"/>
                <w:spacing w:val="-1"/>
              </w:rPr>
              <w:t>paragraph</w:t>
            </w:r>
            <w:r>
              <w:rPr>
                <w:rFonts w:ascii="Arial"/>
                <w:spacing w:val="53"/>
              </w:rPr>
              <w:t xml:space="preserve"> </w:t>
            </w:r>
            <w:hyperlink w:anchor="_bookmark312" w:history="1">
              <w:r>
                <w:rPr>
                  <w:rFonts w:ascii="Arial"/>
                </w:rPr>
                <w:t>5.1</w:t>
              </w:r>
            </w:hyperlink>
            <w:r>
              <w:rPr>
                <w:rFonts w:ascii="Arial"/>
                <w:spacing w:val="48"/>
              </w:rPr>
              <w:t xml:space="preserve"> </w:t>
            </w:r>
            <w:r>
              <w:rPr>
                <w:rFonts w:ascii="Arial"/>
                <w:spacing w:val="-2"/>
              </w:rPr>
              <w:t>of</w:t>
            </w:r>
            <w:r>
              <w:rPr>
                <w:rFonts w:ascii="Arial"/>
                <w:spacing w:val="52"/>
              </w:rPr>
              <w:t xml:space="preserve"> </w:t>
            </w:r>
            <w:r>
              <w:rPr>
                <w:rFonts w:ascii="Arial"/>
                <w:spacing w:val="-2"/>
              </w:rPr>
              <w:t>Call</w:t>
            </w:r>
            <w:r>
              <w:rPr>
                <w:rFonts w:ascii="Arial"/>
                <w:spacing w:val="47"/>
              </w:rPr>
              <w:t xml:space="preserve"> </w:t>
            </w:r>
            <w:r>
              <w:rPr>
                <w:rFonts w:ascii="Arial"/>
                <w:spacing w:val="-1"/>
              </w:rPr>
              <w:t>Off</w:t>
            </w:r>
            <w:r>
              <w:rPr>
                <w:rFonts w:ascii="Arial"/>
                <w:spacing w:val="23"/>
              </w:rPr>
              <w:t xml:space="preserve"> </w:t>
            </w:r>
            <w:r>
              <w:rPr>
                <w:rFonts w:ascii="Arial"/>
                <w:spacing w:val="-1"/>
              </w:rPr>
              <w:t>Schedule</w:t>
            </w:r>
            <w:r>
              <w:rPr>
                <w:rFonts w:ascii="Arial"/>
                <w:spacing w:val="39"/>
              </w:rPr>
              <w:t xml:space="preserve"> </w:t>
            </w:r>
            <w:r>
              <w:rPr>
                <w:rFonts w:ascii="Arial"/>
              </w:rPr>
              <w:t>6</w:t>
            </w:r>
            <w:r>
              <w:rPr>
                <w:rFonts w:ascii="Arial"/>
                <w:spacing w:val="39"/>
              </w:rPr>
              <w:t xml:space="preserve"> </w:t>
            </w:r>
            <w:r>
              <w:rPr>
                <w:rFonts w:ascii="Arial"/>
                <w:spacing w:val="-1"/>
              </w:rPr>
              <w:t>(Service</w:t>
            </w:r>
            <w:r>
              <w:rPr>
                <w:rFonts w:ascii="Arial"/>
                <w:spacing w:val="39"/>
              </w:rPr>
              <w:t xml:space="preserve"> </w:t>
            </w:r>
            <w:r>
              <w:rPr>
                <w:rFonts w:ascii="Arial"/>
                <w:spacing w:val="-2"/>
              </w:rPr>
              <w:t>Levels,</w:t>
            </w:r>
            <w:r>
              <w:rPr>
                <w:rFonts w:ascii="Arial"/>
                <w:spacing w:val="41"/>
              </w:rPr>
              <w:t xml:space="preserve"> </w:t>
            </w:r>
            <w:r>
              <w:rPr>
                <w:rFonts w:ascii="Arial"/>
                <w:spacing w:val="-2"/>
              </w:rPr>
              <w:t>Service</w:t>
            </w:r>
            <w:r>
              <w:rPr>
                <w:rFonts w:ascii="Arial"/>
                <w:spacing w:val="39"/>
              </w:rPr>
              <w:t xml:space="preserve"> </w:t>
            </w:r>
            <w:r>
              <w:rPr>
                <w:rFonts w:ascii="Arial"/>
                <w:spacing w:val="-1"/>
              </w:rPr>
              <w:t>Credits</w:t>
            </w:r>
            <w:r>
              <w:rPr>
                <w:rFonts w:ascii="Arial"/>
                <w:spacing w:val="39"/>
              </w:rPr>
              <w:t xml:space="preserve"> </w:t>
            </w:r>
            <w:r>
              <w:rPr>
                <w:rFonts w:ascii="Arial"/>
                <w:spacing w:val="-2"/>
              </w:rPr>
              <w:t>and</w:t>
            </w:r>
            <w:r>
              <w:rPr>
                <w:rFonts w:ascii="Arial"/>
                <w:spacing w:val="35"/>
              </w:rPr>
              <w:t xml:space="preserve"> </w:t>
            </w:r>
            <w:r>
              <w:rPr>
                <w:rFonts w:ascii="Arial"/>
                <w:spacing w:val="-1"/>
              </w:rPr>
              <w:t>Performance</w:t>
            </w:r>
            <w:r>
              <w:rPr>
                <w:rFonts w:ascii="Arial"/>
                <w:spacing w:val="-2"/>
              </w:rPr>
              <w:t xml:space="preserve"> </w:t>
            </w:r>
            <w:r>
              <w:rPr>
                <w:rFonts w:ascii="Arial"/>
                <w:spacing w:val="-1"/>
              </w:rPr>
              <w:t>Monitoring);</w:t>
            </w:r>
          </w:p>
        </w:tc>
      </w:tr>
      <w:tr w:rsidR="008918FA" w:rsidTr="001C1527">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"Service</w:t>
            </w:r>
            <w:r>
              <w:rPr>
                <w:rFonts w:ascii="Arial"/>
                <w:b/>
              </w:rPr>
              <w:t xml:space="preserve"> </w:t>
            </w:r>
            <w:r>
              <w:rPr>
                <w:rFonts w:ascii="Arial"/>
                <w:b/>
                <w:spacing w:val="-1"/>
              </w:rPr>
              <w:t>Transfer"</w:t>
            </w:r>
          </w:p>
        </w:tc>
        <w:tc>
          <w:tcPr>
            <w:tcW w:w="6060" w:type="dxa"/>
            <w:tcBorders>
              <w:top w:val="single" w:sz="7" w:space="0" w:color="000000"/>
              <w:left w:val="single" w:sz="7" w:space="0" w:color="000000"/>
              <w:bottom w:val="single" w:sz="7" w:space="0" w:color="000000"/>
              <w:right w:val="single" w:sz="5" w:space="0" w:color="000000"/>
            </w:tcBorders>
            <w:shd w:val="clear" w:color="auto" w:fill="auto"/>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15"/>
              </w:rPr>
              <w:t xml:space="preserve"> </w:t>
            </w:r>
            <w:r>
              <w:rPr>
                <w:rFonts w:ascii="Arial"/>
                <w:spacing w:val="-1"/>
              </w:rPr>
              <w:t>any</w:t>
            </w:r>
            <w:r>
              <w:rPr>
                <w:rFonts w:ascii="Arial"/>
                <w:spacing w:val="13"/>
              </w:rPr>
              <w:t xml:space="preserve"> </w:t>
            </w:r>
            <w:r>
              <w:rPr>
                <w:rFonts w:ascii="Arial"/>
                <w:spacing w:val="-1"/>
              </w:rPr>
              <w:t>transfer</w:t>
            </w:r>
            <w:r>
              <w:rPr>
                <w:rFonts w:ascii="Arial"/>
                <w:spacing w:val="16"/>
              </w:rPr>
              <w:t xml:space="preserve"> </w:t>
            </w:r>
            <w:r>
              <w:rPr>
                <w:rFonts w:ascii="Arial"/>
                <w:spacing w:val="-2"/>
              </w:rPr>
              <w:t>of</w:t>
            </w:r>
            <w:r>
              <w:rPr>
                <w:rFonts w:ascii="Arial"/>
                <w:spacing w:val="14"/>
              </w:rPr>
              <w:t xml:space="preserve"> </w:t>
            </w:r>
            <w:r>
              <w:rPr>
                <w:rFonts w:ascii="Arial"/>
                <w:spacing w:val="-1"/>
              </w:rPr>
              <w:t>the</w:t>
            </w:r>
            <w:r>
              <w:rPr>
                <w:rFonts w:ascii="Arial"/>
                <w:spacing w:val="15"/>
              </w:rPr>
              <w:t xml:space="preserve"> </w:t>
            </w:r>
            <w:r>
              <w:rPr>
                <w:rFonts w:ascii="Arial"/>
                <w:spacing w:val="-1"/>
              </w:rPr>
              <w:t>Goods</w:t>
            </w:r>
            <w:r>
              <w:rPr>
                <w:rFonts w:ascii="Arial"/>
                <w:spacing w:val="13"/>
              </w:rPr>
              <w:t xml:space="preserve"> </w:t>
            </w:r>
            <w:r>
              <w:rPr>
                <w:rFonts w:ascii="Arial"/>
                <w:spacing w:val="-1"/>
              </w:rPr>
              <w:t>and/or</w:t>
            </w:r>
            <w:r>
              <w:rPr>
                <w:rFonts w:ascii="Arial"/>
                <w:spacing w:val="16"/>
              </w:rPr>
              <w:t xml:space="preserve"> </w:t>
            </w:r>
            <w:r>
              <w:rPr>
                <w:rFonts w:ascii="Arial"/>
                <w:spacing w:val="-1"/>
              </w:rPr>
              <w:t>Services</w:t>
            </w:r>
            <w:r>
              <w:rPr>
                <w:rFonts w:ascii="Arial"/>
                <w:spacing w:val="15"/>
              </w:rPr>
              <w:t xml:space="preserve"> </w:t>
            </w:r>
            <w:r>
              <w:rPr>
                <w:rFonts w:ascii="Arial"/>
                <w:spacing w:val="-1"/>
              </w:rPr>
              <w:t>(or</w:t>
            </w:r>
            <w:r>
              <w:rPr>
                <w:rFonts w:ascii="Arial"/>
                <w:spacing w:val="14"/>
              </w:rPr>
              <w:t xml:space="preserve"> </w:t>
            </w:r>
            <w:r>
              <w:rPr>
                <w:rFonts w:ascii="Arial"/>
                <w:spacing w:val="-1"/>
              </w:rPr>
              <w:t>any</w:t>
            </w:r>
            <w:r>
              <w:rPr>
                <w:rFonts w:ascii="Arial"/>
                <w:spacing w:val="24"/>
              </w:rPr>
              <w:t xml:space="preserve"> </w:t>
            </w:r>
            <w:r>
              <w:rPr>
                <w:rFonts w:ascii="Arial"/>
                <w:spacing w:val="-1"/>
              </w:rPr>
              <w:t>part</w:t>
            </w:r>
            <w:r>
              <w:rPr>
                <w:rFonts w:ascii="Arial"/>
                <w:spacing w:val="23"/>
              </w:rPr>
              <w:t xml:space="preserve"> </w:t>
            </w:r>
            <w:r>
              <w:rPr>
                <w:rFonts w:ascii="Arial"/>
                <w:spacing w:val="-2"/>
              </w:rPr>
              <w:t>of</w:t>
            </w:r>
            <w:r>
              <w:rPr>
                <w:rFonts w:ascii="Arial"/>
                <w:spacing w:val="23"/>
              </w:rPr>
              <w:t xml:space="preserve"> </w:t>
            </w:r>
            <w:r>
              <w:rPr>
                <w:rFonts w:ascii="Arial"/>
              </w:rPr>
              <w:t>the</w:t>
            </w:r>
            <w:r>
              <w:rPr>
                <w:rFonts w:ascii="Arial"/>
                <w:spacing w:val="20"/>
              </w:rPr>
              <w:t xml:space="preserve"> </w:t>
            </w:r>
            <w:r>
              <w:rPr>
                <w:rFonts w:ascii="Arial"/>
                <w:spacing w:val="-1"/>
              </w:rPr>
              <w:t>Goods</w:t>
            </w:r>
            <w:r>
              <w:rPr>
                <w:rFonts w:ascii="Arial"/>
                <w:spacing w:val="22"/>
              </w:rPr>
              <w:t xml:space="preserve"> </w:t>
            </w:r>
            <w:r>
              <w:rPr>
                <w:rFonts w:ascii="Arial"/>
                <w:spacing w:val="-2"/>
              </w:rPr>
              <w:t>and/or</w:t>
            </w:r>
            <w:r>
              <w:rPr>
                <w:rFonts w:ascii="Arial"/>
                <w:spacing w:val="23"/>
              </w:rPr>
              <w:t xml:space="preserve"> </w:t>
            </w:r>
            <w:r>
              <w:rPr>
                <w:rFonts w:ascii="Arial"/>
                <w:spacing w:val="-1"/>
              </w:rPr>
              <w:t>Services),</w:t>
            </w:r>
            <w:r>
              <w:rPr>
                <w:rFonts w:ascii="Arial"/>
                <w:spacing w:val="21"/>
              </w:rPr>
              <w:t xml:space="preserve"> </w:t>
            </w:r>
            <w:r>
              <w:rPr>
                <w:rFonts w:ascii="Arial"/>
              </w:rPr>
              <w:t>for</w:t>
            </w:r>
            <w:r>
              <w:rPr>
                <w:rFonts w:ascii="Arial"/>
                <w:spacing w:val="23"/>
              </w:rPr>
              <w:t xml:space="preserve"> </w:t>
            </w:r>
            <w:r>
              <w:rPr>
                <w:rFonts w:ascii="Arial"/>
                <w:spacing w:val="-2"/>
              </w:rPr>
              <w:t>whatever</w:t>
            </w:r>
            <w:r>
              <w:rPr>
                <w:rFonts w:ascii="Arial"/>
                <w:spacing w:val="23"/>
              </w:rPr>
              <w:t xml:space="preserve"> </w:t>
            </w:r>
            <w:r>
              <w:rPr>
                <w:rFonts w:ascii="Arial"/>
                <w:spacing w:val="-1"/>
              </w:rPr>
              <w:t>reason,</w:t>
            </w:r>
            <w:r>
              <w:rPr>
                <w:rFonts w:ascii="Arial"/>
                <w:spacing w:val="42"/>
              </w:rPr>
              <w:t xml:space="preserve"> </w:t>
            </w:r>
            <w:r>
              <w:rPr>
                <w:rFonts w:ascii="Arial"/>
                <w:spacing w:val="-1"/>
              </w:rPr>
              <w:t>from</w:t>
            </w:r>
            <w:r>
              <w:rPr>
                <w:rFonts w:ascii="Arial"/>
                <w:spacing w:val="8"/>
              </w:rPr>
              <w:t xml:space="preserve"> </w:t>
            </w:r>
            <w:r>
              <w:rPr>
                <w:rFonts w:ascii="Arial"/>
              </w:rPr>
              <w:t>the</w:t>
            </w:r>
            <w:r>
              <w:rPr>
                <w:rFonts w:ascii="Arial"/>
                <w:spacing w:val="9"/>
              </w:rPr>
              <w:t xml:space="preserve"> </w:t>
            </w:r>
            <w:r>
              <w:rPr>
                <w:rFonts w:ascii="Arial"/>
                <w:spacing w:val="-2"/>
              </w:rPr>
              <w:t>Supplier</w:t>
            </w:r>
            <w:r>
              <w:rPr>
                <w:rFonts w:ascii="Arial"/>
                <w:spacing w:val="10"/>
              </w:rPr>
              <w:t xml:space="preserve"> </w:t>
            </w:r>
            <w:r>
              <w:rPr>
                <w:rFonts w:ascii="Arial"/>
                <w:spacing w:val="-2"/>
              </w:rPr>
              <w:t>or</w:t>
            </w:r>
            <w:r>
              <w:rPr>
                <w:rFonts w:ascii="Arial"/>
                <w:spacing w:val="10"/>
              </w:rPr>
              <w:t xml:space="preserve"> </w:t>
            </w:r>
            <w:r>
              <w:rPr>
                <w:rFonts w:ascii="Arial"/>
                <w:spacing w:val="-1"/>
              </w:rPr>
              <w:t>any</w:t>
            </w:r>
            <w:r>
              <w:rPr>
                <w:rFonts w:ascii="Arial"/>
                <w:spacing w:val="7"/>
              </w:rPr>
              <w:t xml:space="preserve"> </w:t>
            </w:r>
            <w:r>
              <w:rPr>
                <w:rFonts w:ascii="Arial"/>
                <w:spacing w:val="-1"/>
              </w:rPr>
              <w:t>Sub-Contractor</w:t>
            </w:r>
            <w:r>
              <w:rPr>
                <w:rFonts w:ascii="Arial"/>
                <w:spacing w:val="8"/>
              </w:rPr>
              <w:t xml:space="preserve"> </w:t>
            </w:r>
            <w:r>
              <w:rPr>
                <w:rFonts w:ascii="Arial"/>
              </w:rPr>
              <w:t xml:space="preserve">to </w:t>
            </w:r>
            <w:r>
              <w:rPr>
                <w:rFonts w:ascii="Arial"/>
                <w:spacing w:val="6"/>
              </w:rPr>
              <w:t xml:space="preserve"> </w:t>
            </w:r>
            <w:r>
              <w:rPr>
                <w:rFonts w:ascii="Arial"/>
              </w:rPr>
              <w:t>a</w:t>
            </w:r>
            <w:r>
              <w:rPr>
                <w:rFonts w:ascii="Arial"/>
                <w:spacing w:val="31"/>
              </w:rPr>
              <w:t xml:space="preserve"> </w:t>
            </w:r>
            <w:r>
              <w:rPr>
                <w:rFonts w:ascii="Arial"/>
                <w:spacing w:val="-1"/>
              </w:rPr>
              <w:t>Replacement</w:t>
            </w:r>
            <w:r>
              <w:rPr>
                <w:rFonts w:ascii="Arial"/>
                <w:spacing w:val="2"/>
              </w:rPr>
              <w:t xml:space="preserve"> </w:t>
            </w:r>
            <w:r>
              <w:rPr>
                <w:rFonts w:ascii="Arial"/>
                <w:spacing w:val="-2"/>
              </w:rPr>
              <w:t>Supplier</w:t>
            </w:r>
            <w:r>
              <w:rPr>
                <w:rFonts w:ascii="Arial"/>
                <w:spacing w:val="-1"/>
              </w:rPr>
              <w:t xml:space="preserve"> or </w:t>
            </w:r>
            <w:r>
              <w:rPr>
                <w:rFonts w:ascii="Arial"/>
              </w:rPr>
              <w:t xml:space="preserve">a </w:t>
            </w:r>
            <w:r>
              <w:rPr>
                <w:rFonts w:ascii="Arial"/>
                <w:spacing w:val="-2"/>
              </w:rPr>
              <w:t>Replacement</w:t>
            </w:r>
            <w:r>
              <w:rPr>
                <w:rFonts w:ascii="Arial"/>
                <w:spacing w:val="2"/>
              </w:rPr>
              <w:t xml:space="preserve"> </w:t>
            </w:r>
            <w:r>
              <w:rPr>
                <w:rFonts w:ascii="Arial"/>
                <w:spacing w:val="-1"/>
              </w:rPr>
              <w:t>Sub-Contractor;</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569"/>
              <w:rPr>
                <w:rFonts w:ascii="Arial" w:eastAsia="Arial" w:hAnsi="Arial" w:cs="Arial"/>
              </w:rPr>
            </w:pPr>
            <w:r>
              <w:rPr>
                <w:rFonts w:ascii="Arial"/>
                <w:b/>
                <w:spacing w:val="-1"/>
              </w:rPr>
              <w:t>"Service</w:t>
            </w:r>
            <w:r>
              <w:rPr>
                <w:rFonts w:ascii="Arial"/>
                <w:b/>
              </w:rPr>
              <w:t xml:space="preserve"> </w:t>
            </w:r>
            <w:r>
              <w:rPr>
                <w:rFonts w:ascii="Arial"/>
                <w:b/>
                <w:spacing w:val="-1"/>
              </w:rPr>
              <w:t>Transfer</w:t>
            </w:r>
            <w:r>
              <w:rPr>
                <w:rFonts w:ascii="Arial"/>
                <w:b/>
                <w:spacing w:val="23"/>
              </w:rPr>
              <w:t xml:space="preserve"> </w:t>
            </w:r>
            <w:r>
              <w:rPr>
                <w:rFonts w:ascii="Arial"/>
                <w:b/>
                <w:spacing w:val="-1"/>
              </w:rPr>
              <w:t>Date"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2"/>
              </w:rPr>
              <w:t xml:space="preserve"> </w:t>
            </w:r>
            <w:r>
              <w:rPr>
                <w:rFonts w:ascii="Arial"/>
              </w:rPr>
              <w:t xml:space="preserve">the </w:t>
            </w:r>
            <w:r>
              <w:rPr>
                <w:rFonts w:ascii="Arial"/>
                <w:spacing w:val="-1"/>
              </w:rPr>
              <w:t>date</w:t>
            </w:r>
            <w:r>
              <w:rPr>
                <w:rFonts w:ascii="Arial"/>
                <w:spacing w:val="-2"/>
              </w:rPr>
              <w:t xml:space="preserve"> of</w:t>
            </w:r>
            <w:r>
              <w:rPr>
                <w:rFonts w:ascii="Arial"/>
                <w:spacing w:val="2"/>
              </w:rPr>
              <w:t xml:space="preserve"> </w:t>
            </w:r>
            <w:r>
              <w:rPr>
                <w:rFonts w:ascii="Arial"/>
              </w:rPr>
              <w:t xml:space="preserve">a </w:t>
            </w:r>
            <w:r>
              <w:rPr>
                <w:rFonts w:ascii="Arial"/>
                <w:spacing w:val="-2"/>
              </w:rPr>
              <w:t>Service</w:t>
            </w:r>
            <w:r>
              <w:rPr>
                <w:rFonts w:ascii="Arial"/>
                <w:spacing w:val="1"/>
              </w:rPr>
              <w:t xml:space="preserve"> </w:t>
            </w:r>
            <w:r>
              <w:rPr>
                <w:rFonts w:ascii="Arial"/>
                <w:spacing w:val="-1"/>
              </w:rPr>
              <w:t>Transfer;</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"Services"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18"/>
              </w:rPr>
              <w:t xml:space="preserve"> </w:t>
            </w:r>
            <w:r>
              <w:rPr>
                <w:rFonts w:ascii="Arial"/>
              </w:rPr>
              <w:t>the</w:t>
            </w:r>
            <w:r>
              <w:rPr>
                <w:rFonts w:ascii="Arial"/>
                <w:spacing w:val="17"/>
              </w:rPr>
              <w:t xml:space="preserve"> </w:t>
            </w:r>
            <w:r>
              <w:rPr>
                <w:rFonts w:ascii="Arial"/>
                <w:spacing w:val="-2"/>
              </w:rPr>
              <w:t>services</w:t>
            </w:r>
            <w:r>
              <w:rPr>
                <w:rFonts w:ascii="Arial"/>
                <w:spacing w:val="18"/>
              </w:rPr>
              <w:t xml:space="preserve"> </w:t>
            </w:r>
            <w:r>
              <w:rPr>
                <w:rFonts w:ascii="Arial"/>
              </w:rPr>
              <w:t>to</w:t>
            </w:r>
            <w:r>
              <w:rPr>
                <w:rFonts w:ascii="Arial"/>
                <w:spacing w:val="17"/>
              </w:rPr>
              <w:t xml:space="preserve"> </w:t>
            </w:r>
            <w:r>
              <w:rPr>
                <w:rFonts w:ascii="Arial"/>
                <w:spacing w:val="-1"/>
              </w:rPr>
              <w:t>be</w:t>
            </w:r>
            <w:r>
              <w:rPr>
                <w:rFonts w:ascii="Arial"/>
                <w:spacing w:val="17"/>
              </w:rPr>
              <w:t xml:space="preserve"> </w:t>
            </w:r>
            <w:r>
              <w:rPr>
                <w:rFonts w:ascii="Arial"/>
                <w:spacing w:val="-2"/>
              </w:rPr>
              <w:t>provided</w:t>
            </w:r>
            <w:r>
              <w:rPr>
                <w:rFonts w:ascii="Arial"/>
                <w:spacing w:val="17"/>
              </w:rPr>
              <w:t xml:space="preserve"> </w:t>
            </w:r>
            <w:r>
              <w:rPr>
                <w:rFonts w:ascii="Arial"/>
                <w:spacing w:val="1"/>
              </w:rPr>
              <w:t>by</w:t>
            </w:r>
            <w:r>
              <w:rPr>
                <w:rFonts w:ascii="Arial"/>
                <w:spacing w:val="15"/>
              </w:rPr>
              <w:t xml:space="preserve"> </w:t>
            </w:r>
            <w:r>
              <w:rPr>
                <w:rFonts w:ascii="Arial"/>
              </w:rPr>
              <w:t>the</w:t>
            </w:r>
            <w:r>
              <w:rPr>
                <w:rFonts w:ascii="Arial"/>
                <w:spacing w:val="17"/>
              </w:rPr>
              <w:t xml:space="preserve"> </w:t>
            </w:r>
            <w:r>
              <w:rPr>
                <w:rFonts w:ascii="Arial"/>
                <w:spacing w:val="-1"/>
              </w:rPr>
              <w:t>Supplier</w:t>
            </w:r>
            <w:r>
              <w:rPr>
                <w:rFonts w:ascii="Arial"/>
                <w:spacing w:val="19"/>
              </w:rPr>
              <w:t xml:space="preserve"> </w:t>
            </w:r>
            <w:r>
              <w:rPr>
                <w:rFonts w:ascii="Arial"/>
              </w:rPr>
              <w:t>to</w:t>
            </w:r>
            <w:r>
              <w:rPr>
                <w:rFonts w:ascii="Arial"/>
                <w:spacing w:val="17"/>
              </w:rPr>
              <w:t xml:space="preserve"> </w:t>
            </w:r>
            <w:r>
              <w:rPr>
                <w:rFonts w:ascii="Arial"/>
                <w:spacing w:val="-1"/>
              </w:rPr>
              <w:t>the</w:t>
            </w:r>
            <w:r>
              <w:rPr>
                <w:rFonts w:ascii="Arial"/>
                <w:spacing w:val="43"/>
              </w:rPr>
              <w:t xml:space="preserve"> </w:t>
            </w:r>
            <w:r>
              <w:rPr>
                <w:rFonts w:ascii="Arial"/>
                <w:spacing w:val="-1"/>
              </w:rPr>
              <w:t>Customer</w:t>
            </w:r>
            <w:r>
              <w:rPr>
                <w:rFonts w:ascii="Arial"/>
                <w:spacing w:val="26"/>
              </w:rPr>
              <w:t xml:space="preserve"> </w:t>
            </w:r>
            <w:r>
              <w:rPr>
                <w:rFonts w:ascii="Arial"/>
                <w:spacing w:val="-1"/>
              </w:rPr>
              <w:t>as</w:t>
            </w:r>
            <w:r>
              <w:rPr>
                <w:rFonts w:ascii="Arial"/>
                <w:spacing w:val="25"/>
              </w:rPr>
              <w:t xml:space="preserve"> </w:t>
            </w:r>
            <w:r>
              <w:rPr>
                <w:rFonts w:ascii="Arial"/>
                <w:spacing w:val="-1"/>
              </w:rPr>
              <w:t>referred</w:t>
            </w:r>
            <w:r>
              <w:rPr>
                <w:rFonts w:ascii="Arial"/>
                <w:spacing w:val="22"/>
              </w:rPr>
              <w:t xml:space="preserve"> </w:t>
            </w:r>
            <w:r>
              <w:rPr>
                <w:rFonts w:ascii="Arial"/>
              </w:rPr>
              <w:t>to</w:t>
            </w:r>
            <w:r>
              <w:rPr>
                <w:rFonts w:ascii="Arial"/>
                <w:spacing w:val="22"/>
              </w:rPr>
              <w:t xml:space="preserve"> </w:t>
            </w:r>
            <w:r>
              <w:rPr>
                <w:rFonts w:ascii="Arial"/>
                <w:spacing w:val="-1"/>
              </w:rPr>
              <w:t>Annex</w:t>
            </w:r>
            <w:r>
              <w:rPr>
                <w:rFonts w:ascii="Arial"/>
                <w:spacing w:val="22"/>
              </w:rPr>
              <w:t xml:space="preserve"> </w:t>
            </w:r>
            <w:r>
              <w:rPr>
                <w:rFonts w:ascii="Arial"/>
              </w:rPr>
              <w:t>A</w:t>
            </w:r>
            <w:r>
              <w:rPr>
                <w:rFonts w:ascii="Arial"/>
                <w:spacing w:val="26"/>
              </w:rPr>
              <w:t xml:space="preserve"> </w:t>
            </w:r>
            <w:r>
              <w:rPr>
                <w:rFonts w:ascii="Arial"/>
                <w:spacing w:val="-1"/>
              </w:rPr>
              <w:t>of</w:t>
            </w:r>
            <w:r>
              <w:rPr>
                <w:rFonts w:ascii="Arial"/>
                <w:spacing w:val="28"/>
              </w:rPr>
              <w:t xml:space="preserve"> </w:t>
            </w:r>
            <w:r>
              <w:rPr>
                <w:rFonts w:ascii="Arial"/>
                <w:spacing w:val="-2"/>
              </w:rPr>
              <w:t>Call</w:t>
            </w:r>
            <w:r>
              <w:rPr>
                <w:rFonts w:ascii="Arial"/>
                <w:spacing w:val="24"/>
              </w:rPr>
              <w:t xml:space="preserve"> </w:t>
            </w:r>
            <w:r>
              <w:rPr>
                <w:rFonts w:ascii="Arial"/>
                <w:spacing w:val="-1"/>
              </w:rPr>
              <w:t>Off</w:t>
            </w:r>
            <w:r>
              <w:rPr>
                <w:rFonts w:ascii="Arial"/>
                <w:spacing w:val="28"/>
              </w:rPr>
              <w:t xml:space="preserve"> </w:t>
            </w:r>
            <w:r>
              <w:rPr>
                <w:rFonts w:ascii="Arial"/>
                <w:spacing w:val="-2"/>
              </w:rPr>
              <w:t>Schedule</w:t>
            </w:r>
            <w:r>
              <w:rPr>
                <w:rFonts w:ascii="Arial"/>
                <w:spacing w:val="24"/>
              </w:rPr>
              <w:t xml:space="preserve"> </w:t>
            </w:r>
            <w:r>
              <w:rPr>
                <w:rFonts w:ascii="Arial"/>
              </w:rPr>
              <w:t>2</w:t>
            </w:r>
            <w:r>
              <w:rPr>
                <w:rFonts w:ascii="Arial"/>
                <w:spacing w:val="41"/>
              </w:rPr>
              <w:t xml:space="preserve"> </w:t>
            </w:r>
            <w:r>
              <w:rPr>
                <w:rFonts w:ascii="Arial"/>
                <w:spacing w:val="-1"/>
              </w:rPr>
              <w:t>(Goods</w:t>
            </w:r>
            <w:r>
              <w:rPr>
                <w:rFonts w:ascii="Arial"/>
                <w:spacing w:val="-2"/>
              </w:rPr>
              <w:t xml:space="preserve"> </w:t>
            </w:r>
            <w:r>
              <w:rPr>
                <w:rFonts w:ascii="Arial"/>
                <w:spacing w:val="-1"/>
              </w:rPr>
              <w:t>and</w:t>
            </w:r>
            <w:r>
              <w:rPr>
                <w:rFonts w:ascii="Arial"/>
              </w:rPr>
              <w:t xml:space="preserve"> </w:t>
            </w:r>
            <w:r>
              <w:rPr>
                <w:rFonts w:ascii="Arial"/>
                <w:spacing w:val="-1"/>
              </w:rPr>
              <w:t>Services);</w:t>
            </w:r>
          </w:p>
        </w:tc>
      </w:tr>
      <w:tr w:rsidR="008918FA" w:rsidTr="005D2B81">
        <w:trPr>
          <w:trHeight w:hRule="exact" w:val="289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"Sites"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37"/>
              </w:numPr>
              <w:tabs>
                <w:tab w:val="left" w:pos="820"/>
              </w:tabs>
              <w:spacing w:before="119"/>
              <w:ind w:right="102" w:hanging="544"/>
              <w:rPr>
                <w:rFonts w:ascii="Arial" w:eastAsia="Arial" w:hAnsi="Arial" w:cs="Arial"/>
              </w:rPr>
            </w:pPr>
            <w:r>
              <w:rPr>
                <w:rFonts w:ascii="Arial" w:eastAsia="Arial" w:hAnsi="Arial" w:cs="Arial"/>
                <w:spacing w:val="-1"/>
              </w:rPr>
              <w:t>any</w:t>
            </w:r>
            <w:r>
              <w:rPr>
                <w:rFonts w:ascii="Arial" w:eastAsia="Arial" w:hAnsi="Arial" w:cs="Arial"/>
                <w:spacing w:val="1"/>
              </w:rPr>
              <w:t xml:space="preserve"> </w:t>
            </w:r>
            <w:r>
              <w:rPr>
                <w:rFonts w:ascii="Arial" w:eastAsia="Arial" w:hAnsi="Arial" w:cs="Arial"/>
                <w:spacing w:val="-1"/>
              </w:rPr>
              <w:t>premises</w:t>
            </w:r>
            <w:r>
              <w:rPr>
                <w:rFonts w:ascii="Arial" w:eastAsia="Arial" w:hAnsi="Arial" w:cs="Arial"/>
                <w:spacing w:val="3"/>
              </w:rPr>
              <w:t xml:space="preserve"> </w:t>
            </w:r>
            <w:r>
              <w:rPr>
                <w:rFonts w:ascii="Arial" w:eastAsia="Arial" w:hAnsi="Arial" w:cs="Arial"/>
                <w:spacing w:val="-1"/>
              </w:rPr>
              <w:t>(including</w:t>
            </w:r>
            <w:r>
              <w:rPr>
                <w:rFonts w:ascii="Arial" w:eastAsia="Arial" w:hAnsi="Arial" w:cs="Arial"/>
                <w:spacing w:val="5"/>
              </w:rPr>
              <w:t xml:space="preserve"> </w:t>
            </w:r>
            <w:r>
              <w:rPr>
                <w:rFonts w:ascii="Arial" w:eastAsia="Arial" w:hAnsi="Arial" w:cs="Arial"/>
                <w:spacing w:val="-1"/>
              </w:rPr>
              <w:t>the</w:t>
            </w:r>
            <w:r>
              <w:rPr>
                <w:rFonts w:ascii="Arial" w:eastAsia="Arial" w:hAnsi="Arial" w:cs="Arial"/>
                <w:spacing w:val="3"/>
              </w:rPr>
              <w:t xml:space="preserve"> </w:t>
            </w:r>
            <w:r>
              <w:rPr>
                <w:rFonts w:ascii="Arial" w:eastAsia="Arial" w:hAnsi="Arial" w:cs="Arial"/>
                <w:spacing w:val="-1"/>
              </w:rPr>
              <w:t>Customer</w:t>
            </w:r>
            <w:r>
              <w:rPr>
                <w:rFonts w:ascii="Arial" w:eastAsia="Arial" w:hAnsi="Arial" w:cs="Arial"/>
                <w:spacing w:val="4"/>
              </w:rPr>
              <w:t xml:space="preserve"> </w:t>
            </w:r>
            <w:r>
              <w:rPr>
                <w:rFonts w:ascii="Arial" w:eastAsia="Arial" w:hAnsi="Arial" w:cs="Arial"/>
                <w:spacing w:val="-2"/>
              </w:rPr>
              <w:t>Premises,</w:t>
            </w:r>
            <w:r>
              <w:rPr>
                <w:rFonts w:ascii="Arial" w:eastAsia="Arial" w:hAnsi="Arial" w:cs="Arial"/>
                <w:spacing w:val="4"/>
              </w:rPr>
              <w:t xml:space="preserve"> </w:t>
            </w:r>
            <w:r>
              <w:rPr>
                <w:rFonts w:ascii="Arial" w:eastAsia="Arial" w:hAnsi="Arial" w:cs="Arial"/>
                <w:spacing w:val="-2"/>
              </w:rPr>
              <w:t>the</w:t>
            </w:r>
            <w:r>
              <w:rPr>
                <w:rFonts w:ascii="Arial" w:eastAsia="Arial" w:hAnsi="Arial" w:cs="Arial"/>
                <w:spacing w:val="32"/>
              </w:rPr>
              <w:t xml:space="preserve"> </w:t>
            </w:r>
            <w:r>
              <w:rPr>
                <w:rFonts w:ascii="Arial" w:eastAsia="Arial" w:hAnsi="Arial" w:cs="Arial"/>
                <w:spacing w:val="-2"/>
              </w:rPr>
              <w:t>Supplier’s</w:t>
            </w:r>
            <w:r>
              <w:rPr>
                <w:rFonts w:ascii="Arial" w:eastAsia="Arial" w:hAnsi="Arial" w:cs="Arial"/>
                <w:spacing w:val="1"/>
              </w:rPr>
              <w:t xml:space="preserve"> </w:t>
            </w:r>
            <w:r>
              <w:rPr>
                <w:rFonts w:ascii="Arial" w:eastAsia="Arial" w:hAnsi="Arial" w:cs="Arial"/>
                <w:spacing w:val="-1"/>
              </w:rPr>
              <w:t>premises</w:t>
            </w:r>
            <w:r>
              <w:rPr>
                <w:rFonts w:ascii="Arial" w:eastAsia="Arial" w:hAnsi="Arial" w:cs="Arial"/>
                <w:spacing w:val="-2"/>
              </w:rPr>
              <w:t xml:space="preserve"> </w:t>
            </w:r>
            <w:r>
              <w:rPr>
                <w:rFonts w:ascii="Arial" w:eastAsia="Arial" w:hAnsi="Arial" w:cs="Arial"/>
                <w:spacing w:val="-1"/>
              </w:rPr>
              <w:t>or third</w:t>
            </w:r>
            <w:r>
              <w:rPr>
                <w:rFonts w:ascii="Arial" w:eastAsia="Arial" w:hAnsi="Arial" w:cs="Arial"/>
              </w:rPr>
              <w:t xml:space="preserve"> </w:t>
            </w:r>
            <w:r>
              <w:rPr>
                <w:rFonts w:ascii="Arial" w:eastAsia="Arial" w:hAnsi="Arial" w:cs="Arial"/>
                <w:spacing w:val="-1"/>
              </w:rPr>
              <w:t>party</w:t>
            </w:r>
            <w:r>
              <w:rPr>
                <w:rFonts w:ascii="Arial" w:eastAsia="Arial" w:hAnsi="Arial" w:cs="Arial"/>
                <w:spacing w:val="-2"/>
              </w:rPr>
              <w:t xml:space="preserve"> </w:t>
            </w:r>
            <w:r>
              <w:rPr>
                <w:rFonts w:ascii="Arial" w:eastAsia="Arial" w:hAnsi="Arial" w:cs="Arial"/>
                <w:spacing w:val="-1"/>
              </w:rPr>
              <w:t>premises):</w:t>
            </w:r>
          </w:p>
          <w:p w:rsidR="008918FA" w:rsidRDefault="008918FA" w:rsidP="005D2B81">
            <w:pPr>
              <w:pStyle w:val="ListParagraph"/>
              <w:numPr>
                <w:ilvl w:val="1"/>
                <w:numId w:val="37"/>
              </w:numPr>
              <w:tabs>
                <w:tab w:val="left" w:pos="1180"/>
              </w:tabs>
              <w:spacing w:before="119"/>
              <w:rPr>
                <w:rFonts w:ascii="Arial" w:eastAsia="Arial" w:hAnsi="Arial" w:cs="Arial"/>
              </w:rPr>
            </w:pPr>
            <w:r>
              <w:rPr>
                <w:rFonts w:ascii="Arial"/>
                <w:spacing w:val="-1"/>
              </w:rPr>
              <w:t>from,</w:t>
            </w:r>
            <w:r>
              <w:rPr>
                <w:rFonts w:ascii="Arial"/>
              </w:rPr>
              <w:t xml:space="preserve"> to</w:t>
            </w:r>
            <w:r>
              <w:rPr>
                <w:rFonts w:ascii="Arial"/>
                <w:spacing w:val="-2"/>
              </w:rPr>
              <w:t xml:space="preserve"> </w:t>
            </w:r>
            <w:r>
              <w:rPr>
                <w:rFonts w:ascii="Arial"/>
                <w:spacing w:val="-1"/>
              </w:rPr>
              <w:t>or at</w:t>
            </w:r>
            <w:r>
              <w:rPr>
                <w:rFonts w:ascii="Arial"/>
              </w:rPr>
              <w:t xml:space="preserve"> </w:t>
            </w:r>
            <w:r>
              <w:rPr>
                <w:rFonts w:ascii="Arial"/>
                <w:spacing w:val="-2"/>
              </w:rPr>
              <w:t>which:</w:t>
            </w:r>
          </w:p>
          <w:p w:rsidR="008918FA" w:rsidRDefault="008918FA" w:rsidP="005D2B81">
            <w:pPr>
              <w:pStyle w:val="ListParagraph"/>
              <w:numPr>
                <w:ilvl w:val="2"/>
                <w:numId w:val="37"/>
              </w:numPr>
              <w:tabs>
                <w:tab w:val="left" w:pos="1540"/>
              </w:tabs>
              <w:spacing w:before="121"/>
              <w:ind w:right="100"/>
              <w:jc w:val="both"/>
              <w:rPr>
                <w:rFonts w:ascii="Arial" w:eastAsia="Arial" w:hAnsi="Arial" w:cs="Arial"/>
              </w:rPr>
            </w:pPr>
            <w:r>
              <w:rPr>
                <w:rFonts w:ascii="Arial"/>
              </w:rPr>
              <w:t>the</w:t>
            </w:r>
            <w:r>
              <w:rPr>
                <w:rFonts w:ascii="Arial"/>
                <w:spacing w:val="10"/>
              </w:rPr>
              <w:t xml:space="preserve"> </w:t>
            </w:r>
            <w:r>
              <w:rPr>
                <w:rFonts w:ascii="Arial"/>
                <w:spacing w:val="-1"/>
              </w:rPr>
              <w:t>Goods</w:t>
            </w:r>
            <w:r>
              <w:rPr>
                <w:rFonts w:ascii="Arial"/>
                <w:spacing w:val="10"/>
              </w:rPr>
              <w:t xml:space="preserve"> </w:t>
            </w:r>
            <w:r>
              <w:rPr>
                <w:rFonts w:ascii="Arial"/>
                <w:spacing w:val="-1"/>
              </w:rPr>
              <w:t>and/or</w:t>
            </w:r>
            <w:r>
              <w:rPr>
                <w:rFonts w:ascii="Arial"/>
                <w:spacing w:val="11"/>
              </w:rPr>
              <w:t xml:space="preserve"> </w:t>
            </w:r>
            <w:r>
              <w:rPr>
                <w:rFonts w:ascii="Arial"/>
                <w:spacing w:val="-2"/>
              </w:rPr>
              <w:t>Services</w:t>
            </w:r>
            <w:r>
              <w:rPr>
                <w:rFonts w:ascii="Arial"/>
                <w:spacing w:val="10"/>
              </w:rPr>
              <w:t xml:space="preserve"> </w:t>
            </w:r>
            <w:r>
              <w:rPr>
                <w:rFonts w:ascii="Arial"/>
                <w:spacing w:val="-1"/>
              </w:rPr>
              <w:t>are</w:t>
            </w:r>
            <w:r>
              <w:rPr>
                <w:rFonts w:ascii="Arial"/>
                <w:spacing w:val="10"/>
              </w:rPr>
              <w:t xml:space="preserve"> </w:t>
            </w:r>
            <w:r>
              <w:rPr>
                <w:rFonts w:ascii="Arial"/>
                <w:spacing w:val="-1"/>
              </w:rPr>
              <w:t>(or</w:t>
            </w:r>
            <w:r>
              <w:rPr>
                <w:rFonts w:ascii="Arial"/>
                <w:spacing w:val="11"/>
              </w:rPr>
              <w:t xml:space="preserve"> </w:t>
            </w:r>
            <w:r>
              <w:rPr>
                <w:rFonts w:ascii="Arial"/>
                <w:spacing w:val="-1"/>
              </w:rPr>
              <w:t>are</w:t>
            </w:r>
            <w:r>
              <w:rPr>
                <w:rFonts w:ascii="Arial"/>
                <w:spacing w:val="7"/>
              </w:rPr>
              <w:t xml:space="preserve"> </w:t>
            </w:r>
            <w:r>
              <w:rPr>
                <w:rFonts w:ascii="Arial"/>
              </w:rPr>
              <w:t>to</w:t>
            </w:r>
            <w:r>
              <w:rPr>
                <w:rFonts w:ascii="Arial"/>
                <w:spacing w:val="10"/>
              </w:rPr>
              <w:t xml:space="preserve"> </w:t>
            </w:r>
            <w:r>
              <w:rPr>
                <w:rFonts w:ascii="Arial"/>
                <w:spacing w:val="-1"/>
              </w:rPr>
              <w:t>be)</w:t>
            </w:r>
            <w:r>
              <w:rPr>
                <w:rFonts w:ascii="Arial"/>
                <w:spacing w:val="30"/>
              </w:rPr>
              <w:t xml:space="preserve"> </w:t>
            </w:r>
            <w:r>
              <w:rPr>
                <w:rFonts w:ascii="Arial"/>
                <w:spacing w:val="-2"/>
              </w:rPr>
              <w:t>provided;</w:t>
            </w:r>
            <w:r>
              <w:rPr>
                <w:rFonts w:ascii="Arial"/>
                <w:spacing w:val="2"/>
              </w:rPr>
              <w:t xml:space="preserve"> </w:t>
            </w:r>
            <w:r>
              <w:rPr>
                <w:rFonts w:ascii="Arial"/>
                <w:spacing w:val="-1"/>
              </w:rPr>
              <w:t>or</w:t>
            </w:r>
          </w:p>
          <w:p w:rsidR="008918FA" w:rsidRDefault="008918FA" w:rsidP="005D2B81">
            <w:pPr>
              <w:pStyle w:val="ListParagraph"/>
              <w:numPr>
                <w:ilvl w:val="2"/>
                <w:numId w:val="37"/>
              </w:numPr>
              <w:tabs>
                <w:tab w:val="left" w:pos="1540"/>
              </w:tabs>
              <w:spacing w:before="119"/>
              <w:ind w:right="100"/>
              <w:jc w:val="both"/>
              <w:rPr>
                <w:rFonts w:ascii="Arial" w:eastAsia="Arial" w:hAnsi="Arial" w:cs="Arial"/>
              </w:rPr>
            </w:pPr>
            <w:r>
              <w:rPr>
                <w:rFonts w:ascii="Arial"/>
              </w:rPr>
              <w:t>the</w:t>
            </w:r>
            <w:r>
              <w:rPr>
                <w:rFonts w:ascii="Arial"/>
                <w:spacing w:val="47"/>
              </w:rPr>
              <w:t xml:space="preserve"> </w:t>
            </w:r>
            <w:r>
              <w:rPr>
                <w:rFonts w:ascii="Arial"/>
                <w:spacing w:val="-2"/>
              </w:rPr>
              <w:t>Supplier</w:t>
            </w:r>
            <w:r>
              <w:rPr>
                <w:rFonts w:ascii="Arial"/>
                <w:spacing w:val="48"/>
              </w:rPr>
              <w:t xml:space="preserve"> </w:t>
            </w:r>
            <w:r>
              <w:rPr>
                <w:rFonts w:ascii="Arial"/>
                <w:spacing w:val="-1"/>
              </w:rPr>
              <w:t>manages,</w:t>
            </w:r>
            <w:r>
              <w:rPr>
                <w:rFonts w:ascii="Arial"/>
                <w:spacing w:val="49"/>
              </w:rPr>
              <w:t xml:space="preserve"> </w:t>
            </w:r>
            <w:r>
              <w:rPr>
                <w:rFonts w:ascii="Arial"/>
                <w:spacing w:val="-1"/>
              </w:rPr>
              <w:t>organises</w:t>
            </w:r>
            <w:r>
              <w:rPr>
                <w:rFonts w:ascii="Arial"/>
                <w:spacing w:val="48"/>
              </w:rPr>
              <w:t xml:space="preserve"> </w:t>
            </w:r>
            <w:r>
              <w:rPr>
                <w:rFonts w:ascii="Arial"/>
                <w:spacing w:val="-1"/>
              </w:rPr>
              <w:t>or</w:t>
            </w:r>
            <w:r>
              <w:rPr>
                <w:rFonts w:ascii="Arial"/>
                <w:spacing w:val="24"/>
              </w:rPr>
              <w:t xml:space="preserve"> </w:t>
            </w:r>
            <w:r>
              <w:rPr>
                <w:rFonts w:ascii="Arial"/>
                <w:spacing w:val="-1"/>
              </w:rPr>
              <w:t>otherwise</w:t>
            </w:r>
            <w:r>
              <w:rPr>
                <w:rFonts w:ascii="Arial"/>
                <w:spacing w:val="22"/>
              </w:rPr>
              <w:t xml:space="preserve"> </w:t>
            </w:r>
            <w:r>
              <w:rPr>
                <w:rFonts w:ascii="Arial"/>
                <w:spacing w:val="-1"/>
              </w:rPr>
              <w:t>directs</w:t>
            </w:r>
            <w:r>
              <w:rPr>
                <w:rFonts w:ascii="Arial"/>
                <w:spacing w:val="22"/>
              </w:rPr>
              <w:t xml:space="preserve"> </w:t>
            </w:r>
            <w:r>
              <w:rPr>
                <w:rFonts w:ascii="Arial"/>
              </w:rPr>
              <w:t>the</w:t>
            </w:r>
            <w:r>
              <w:rPr>
                <w:rFonts w:ascii="Arial"/>
                <w:spacing w:val="22"/>
              </w:rPr>
              <w:t xml:space="preserve"> </w:t>
            </w:r>
            <w:r>
              <w:rPr>
                <w:rFonts w:ascii="Arial"/>
                <w:spacing w:val="-2"/>
              </w:rPr>
              <w:t>provision</w:t>
            </w:r>
            <w:r>
              <w:rPr>
                <w:rFonts w:ascii="Arial"/>
                <w:spacing w:val="22"/>
              </w:rPr>
              <w:t xml:space="preserve"> </w:t>
            </w:r>
            <w:r>
              <w:rPr>
                <w:rFonts w:ascii="Arial"/>
                <w:spacing w:val="-1"/>
              </w:rPr>
              <w:t>or</w:t>
            </w:r>
            <w:r>
              <w:rPr>
                <w:rFonts w:ascii="Arial"/>
                <w:spacing w:val="23"/>
              </w:rPr>
              <w:t xml:space="preserve"> </w:t>
            </w:r>
            <w:r>
              <w:rPr>
                <w:rFonts w:ascii="Arial"/>
              </w:rPr>
              <w:t>the</w:t>
            </w:r>
            <w:r>
              <w:rPr>
                <w:rFonts w:ascii="Arial"/>
                <w:spacing w:val="22"/>
              </w:rPr>
              <w:t xml:space="preserve"> </w:t>
            </w:r>
            <w:r>
              <w:rPr>
                <w:rFonts w:ascii="Arial"/>
                <w:spacing w:val="-1"/>
              </w:rPr>
              <w:t>use</w:t>
            </w:r>
            <w:r>
              <w:rPr>
                <w:rFonts w:ascii="Arial"/>
                <w:spacing w:val="22"/>
              </w:rPr>
              <w:t xml:space="preserve"> </w:t>
            </w:r>
            <w:r>
              <w:rPr>
                <w:rFonts w:ascii="Arial"/>
                <w:spacing w:val="-1"/>
              </w:rPr>
              <w:t>of</w:t>
            </w:r>
            <w:r>
              <w:rPr>
                <w:rFonts w:ascii="Arial"/>
                <w:spacing w:val="29"/>
              </w:rPr>
              <w:t xml:space="preserve"> </w:t>
            </w:r>
            <w:r>
              <w:rPr>
                <w:rFonts w:ascii="Arial"/>
              </w:rPr>
              <w:t>the</w:t>
            </w:r>
            <w:r>
              <w:rPr>
                <w:rFonts w:ascii="Arial"/>
                <w:spacing w:val="-2"/>
              </w:rPr>
              <w:t xml:space="preserve"> </w:t>
            </w:r>
            <w:r>
              <w:rPr>
                <w:rFonts w:ascii="Arial"/>
                <w:spacing w:val="-1"/>
              </w:rPr>
              <w:t>Goods</w:t>
            </w:r>
            <w:r>
              <w:rPr>
                <w:rFonts w:ascii="Arial"/>
                <w:spacing w:val="-2"/>
              </w:rPr>
              <w:t xml:space="preserve"> </w:t>
            </w:r>
            <w:r>
              <w:rPr>
                <w:rFonts w:ascii="Arial"/>
                <w:spacing w:val="-1"/>
              </w:rPr>
              <w:t>and/or</w:t>
            </w:r>
            <w:r>
              <w:rPr>
                <w:rFonts w:ascii="Arial"/>
                <w:spacing w:val="2"/>
              </w:rPr>
              <w:t xml:space="preserve"> </w:t>
            </w:r>
            <w:r>
              <w:rPr>
                <w:rFonts w:ascii="Arial"/>
                <w:spacing w:val="-1"/>
              </w:rPr>
              <w:t>Services.</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39" w:lineRule="auto"/>
              <w:ind w:left="-6" w:right="324"/>
              <w:rPr>
                <w:rFonts w:ascii="Arial" w:eastAsia="Arial" w:hAnsi="Arial" w:cs="Arial"/>
              </w:rPr>
            </w:pPr>
            <w:r>
              <w:rPr>
                <w:rFonts w:ascii="Arial"/>
                <w:b/>
                <w:spacing w:val="-1"/>
              </w:rPr>
              <w:t>"Specific</w:t>
            </w:r>
            <w:r>
              <w:rPr>
                <w:rFonts w:ascii="Arial"/>
                <w:b/>
                <w:spacing w:val="-2"/>
              </w:rPr>
              <w:t xml:space="preserve"> </w:t>
            </w:r>
            <w:r>
              <w:rPr>
                <w:rFonts w:ascii="Arial"/>
                <w:b/>
                <w:spacing w:val="-1"/>
              </w:rPr>
              <w:t>Change</w:t>
            </w:r>
            <w:r>
              <w:rPr>
                <w:rFonts w:ascii="Arial"/>
                <w:b/>
              </w:rPr>
              <w:t xml:space="preserve"> in</w:t>
            </w:r>
            <w:r>
              <w:rPr>
                <w:rFonts w:ascii="Arial"/>
                <w:b/>
                <w:spacing w:val="27"/>
              </w:rPr>
              <w:t xml:space="preserve"> </w:t>
            </w:r>
            <w:r>
              <w:rPr>
                <w:rFonts w:ascii="Arial"/>
                <w:b/>
                <w:spacing w:val="-1"/>
              </w:rPr>
              <w:t>Law"</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46"/>
              </w:rPr>
              <w:t xml:space="preserve"> </w:t>
            </w:r>
            <w:r>
              <w:rPr>
                <w:rFonts w:ascii="Arial"/>
              </w:rPr>
              <w:t>a</w:t>
            </w:r>
            <w:r>
              <w:rPr>
                <w:rFonts w:ascii="Arial"/>
                <w:spacing w:val="46"/>
              </w:rPr>
              <w:t xml:space="preserve"> </w:t>
            </w:r>
            <w:r>
              <w:rPr>
                <w:rFonts w:ascii="Arial"/>
                <w:spacing w:val="-1"/>
              </w:rPr>
              <w:t>Change</w:t>
            </w:r>
            <w:r>
              <w:rPr>
                <w:rFonts w:ascii="Arial"/>
                <w:spacing w:val="43"/>
              </w:rPr>
              <w:t xml:space="preserve"> </w:t>
            </w:r>
            <w:r>
              <w:rPr>
                <w:rFonts w:ascii="Arial"/>
                <w:spacing w:val="-1"/>
              </w:rPr>
              <w:t>in</w:t>
            </w:r>
            <w:r>
              <w:rPr>
                <w:rFonts w:ascii="Arial"/>
                <w:spacing w:val="46"/>
              </w:rPr>
              <w:t xml:space="preserve"> </w:t>
            </w:r>
            <w:r>
              <w:rPr>
                <w:rFonts w:ascii="Arial"/>
                <w:spacing w:val="-2"/>
              </w:rPr>
              <w:t>Law</w:t>
            </w:r>
            <w:r>
              <w:rPr>
                <w:rFonts w:ascii="Arial"/>
                <w:spacing w:val="43"/>
              </w:rPr>
              <w:t xml:space="preserve"> </w:t>
            </w:r>
            <w:r>
              <w:rPr>
                <w:rFonts w:ascii="Arial"/>
                <w:spacing w:val="-1"/>
              </w:rPr>
              <w:t>that</w:t>
            </w:r>
            <w:r>
              <w:rPr>
                <w:rFonts w:ascii="Arial"/>
                <w:spacing w:val="47"/>
              </w:rPr>
              <w:t xml:space="preserve"> </w:t>
            </w:r>
            <w:r>
              <w:rPr>
                <w:rFonts w:ascii="Arial"/>
                <w:spacing w:val="-1"/>
              </w:rPr>
              <w:t>relates</w:t>
            </w:r>
            <w:r>
              <w:rPr>
                <w:rFonts w:ascii="Arial"/>
                <w:spacing w:val="45"/>
              </w:rPr>
              <w:t xml:space="preserve"> </w:t>
            </w:r>
            <w:r>
              <w:rPr>
                <w:rFonts w:ascii="Arial"/>
                <w:spacing w:val="-1"/>
              </w:rPr>
              <w:t>specifically</w:t>
            </w:r>
            <w:r>
              <w:rPr>
                <w:rFonts w:ascii="Arial"/>
                <w:spacing w:val="44"/>
              </w:rPr>
              <w:t xml:space="preserve"> </w:t>
            </w:r>
            <w:r>
              <w:rPr>
                <w:rFonts w:ascii="Arial"/>
              </w:rPr>
              <w:t>to</w:t>
            </w:r>
            <w:r>
              <w:rPr>
                <w:rFonts w:ascii="Arial"/>
                <w:spacing w:val="46"/>
              </w:rPr>
              <w:t xml:space="preserve"> </w:t>
            </w:r>
            <w:r>
              <w:rPr>
                <w:rFonts w:ascii="Arial"/>
                <w:spacing w:val="-1"/>
              </w:rPr>
              <w:t>the</w:t>
            </w:r>
            <w:r>
              <w:rPr>
                <w:rFonts w:ascii="Arial"/>
                <w:spacing w:val="28"/>
              </w:rPr>
              <w:t xml:space="preserve"> </w:t>
            </w:r>
            <w:r>
              <w:rPr>
                <w:rFonts w:ascii="Arial"/>
                <w:spacing w:val="-1"/>
              </w:rPr>
              <w:t>business</w:t>
            </w:r>
            <w:r>
              <w:rPr>
                <w:rFonts w:ascii="Arial"/>
                <w:spacing w:val="37"/>
              </w:rPr>
              <w:t xml:space="preserve"> </w:t>
            </w:r>
            <w:r>
              <w:rPr>
                <w:rFonts w:ascii="Arial"/>
                <w:spacing w:val="-1"/>
              </w:rPr>
              <w:t>of</w:t>
            </w:r>
            <w:r>
              <w:rPr>
                <w:rFonts w:ascii="Arial"/>
                <w:spacing w:val="38"/>
              </w:rPr>
              <w:t xml:space="preserve"> </w:t>
            </w:r>
            <w:r>
              <w:rPr>
                <w:rFonts w:ascii="Arial"/>
              </w:rPr>
              <w:t>the</w:t>
            </w:r>
            <w:r>
              <w:rPr>
                <w:rFonts w:ascii="Arial"/>
                <w:spacing w:val="36"/>
              </w:rPr>
              <w:t xml:space="preserve"> </w:t>
            </w:r>
            <w:r>
              <w:rPr>
                <w:rFonts w:ascii="Arial"/>
                <w:spacing w:val="-2"/>
              </w:rPr>
              <w:t>Customer</w:t>
            </w:r>
            <w:r>
              <w:rPr>
                <w:rFonts w:ascii="Arial"/>
                <w:spacing w:val="38"/>
              </w:rPr>
              <w:t xml:space="preserve"> </w:t>
            </w:r>
            <w:r>
              <w:rPr>
                <w:rFonts w:ascii="Arial"/>
                <w:spacing w:val="-1"/>
              </w:rPr>
              <w:t>and</w:t>
            </w:r>
            <w:r>
              <w:rPr>
                <w:rFonts w:ascii="Arial"/>
                <w:spacing w:val="36"/>
              </w:rPr>
              <w:t xml:space="preserve"> </w:t>
            </w:r>
            <w:r>
              <w:rPr>
                <w:rFonts w:ascii="Arial"/>
                <w:spacing w:val="-1"/>
              </w:rPr>
              <w:t>which</w:t>
            </w:r>
            <w:r>
              <w:rPr>
                <w:rFonts w:ascii="Arial"/>
                <w:spacing w:val="39"/>
              </w:rPr>
              <w:t xml:space="preserve"> </w:t>
            </w:r>
            <w:r>
              <w:rPr>
                <w:rFonts w:ascii="Arial"/>
                <w:spacing w:val="-2"/>
              </w:rPr>
              <w:t>would</w:t>
            </w:r>
            <w:r>
              <w:rPr>
                <w:rFonts w:ascii="Arial"/>
                <w:spacing w:val="40"/>
              </w:rPr>
              <w:t xml:space="preserve"> </w:t>
            </w:r>
            <w:r>
              <w:rPr>
                <w:rFonts w:ascii="Arial"/>
                <w:spacing w:val="-1"/>
              </w:rPr>
              <w:t>not</w:t>
            </w:r>
            <w:r>
              <w:rPr>
                <w:rFonts w:ascii="Arial"/>
                <w:spacing w:val="38"/>
              </w:rPr>
              <w:t xml:space="preserve"> </w:t>
            </w:r>
            <w:r>
              <w:rPr>
                <w:rFonts w:ascii="Arial"/>
                <w:spacing w:val="-1"/>
              </w:rPr>
              <w:t>affect</w:t>
            </w:r>
            <w:r>
              <w:rPr>
                <w:rFonts w:ascii="Arial"/>
                <w:spacing w:val="38"/>
              </w:rPr>
              <w:t xml:space="preserve"> </w:t>
            </w:r>
            <w:r>
              <w:rPr>
                <w:rFonts w:ascii="Arial"/>
              </w:rPr>
              <w:t>a</w:t>
            </w:r>
            <w:r>
              <w:rPr>
                <w:rFonts w:ascii="Arial"/>
                <w:spacing w:val="37"/>
              </w:rPr>
              <w:t xml:space="preserve"> </w:t>
            </w:r>
            <w:r>
              <w:rPr>
                <w:rFonts w:ascii="Arial"/>
                <w:spacing w:val="-1"/>
              </w:rPr>
              <w:t>Comparable</w:t>
            </w:r>
            <w:r>
              <w:rPr>
                <w:rFonts w:ascii="Arial"/>
              </w:rPr>
              <w:t xml:space="preserve"> </w:t>
            </w:r>
            <w:r>
              <w:rPr>
                <w:rFonts w:ascii="Arial"/>
                <w:spacing w:val="-2"/>
              </w:rPr>
              <w:t>Supply;</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"Staffing</w:t>
            </w:r>
            <w:r>
              <w:rPr>
                <w:rFonts w:ascii="Arial"/>
                <w:b/>
                <w:spacing w:val="-2"/>
              </w:rPr>
              <w:t xml:space="preserve"> </w:t>
            </w:r>
            <w:r>
              <w:rPr>
                <w:rFonts w:ascii="Arial"/>
                <w:b/>
                <w:spacing w:val="-1"/>
              </w:rPr>
              <w:t>Information"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0"/>
              <w:rPr>
                <w:rFonts w:ascii="Arial" w:eastAsia="Arial" w:hAnsi="Arial" w:cs="Arial"/>
              </w:rPr>
            </w:pPr>
            <w:r>
              <w:rPr>
                <w:rFonts w:ascii="Arial"/>
                <w:spacing w:val="-1"/>
              </w:rPr>
              <w:t>has</w:t>
            </w:r>
            <w:r>
              <w:rPr>
                <w:rFonts w:ascii="Arial"/>
                <w:spacing w:val="25"/>
              </w:rPr>
              <w:t xml:space="preserve"> </w:t>
            </w:r>
            <w:r>
              <w:rPr>
                <w:rFonts w:ascii="Arial"/>
              </w:rPr>
              <w:t>the</w:t>
            </w:r>
            <w:r>
              <w:rPr>
                <w:rFonts w:ascii="Arial"/>
                <w:spacing w:val="22"/>
              </w:rPr>
              <w:t xml:space="preserve"> </w:t>
            </w:r>
            <w:r>
              <w:rPr>
                <w:rFonts w:ascii="Arial"/>
                <w:spacing w:val="-2"/>
              </w:rPr>
              <w:t>meaning</w:t>
            </w:r>
            <w:r>
              <w:rPr>
                <w:rFonts w:ascii="Arial"/>
                <w:spacing w:val="24"/>
              </w:rPr>
              <w:t xml:space="preserve"> </w:t>
            </w:r>
            <w:r>
              <w:rPr>
                <w:rFonts w:ascii="Arial"/>
                <w:spacing w:val="-1"/>
              </w:rPr>
              <w:t>give</w:t>
            </w:r>
            <w:r>
              <w:rPr>
                <w:rFonts w:ascii="Arial"/>
                <w:spacing w:val="24"/>
              </w:rPr>
              <w:t xml:space="preserve"> </w:t>
            </w:r>
            <w:r>
              <w:rPr>
                <w:rFonts w:ascii="Arial"/>
              </w:rPr>
              <w:t>to</w:t>
            </w:r>
            <w:r>
              <w:rPr>
                <w:rFonts w:ascii="Arial"/>
                <w:spacing w:val="22"/>
              </w:rPr>
              <w:t xml:space="preserve"> </w:t>
            </w:r>
            <w:r>
              <w:rPr>
                <w:rFonts w:ascii="Arial"/>
                <w:spacing w:val="-1"/>
              </w:rPr>
              <w:t>it</w:t>
            </w:r>
            <w:r>
              <w:rPr>
                <w:rFonts w:ascii="Arial"/>
                <w:spacing w:val="26"/>
              </w:rPr>
              <w:t xml:space="preserve"> </w:t>
            </w:r>
            <w:r>
              <w:rPr>
                <w:rFonts w:ascii="Arial"/>
                <w:spacing w:val="-1"/>
              </w:rPr>
              <w:t>in</w:t>
            </w:r>
            <w:r>
              <w:rPr>
                <w:rFonts w:ascii="Arial"/>
                <w:spacing w:val="24"/>
              </w:rPr>
              <w:t xml:space="preserve"> </w:t>
            </w:r>
            <w:r>
              <w:rPr>
                <w:rFonts w:ascii="Arial"/>
                <w:spacing w:val="-2"/>
              </w:rPr>
              <w:t>Call</w:t>
            </w:r>
            <w:r>
              <w:rPr>
                <w:rFonts w:ascii="Arial"/>
                <w:spacing w:val="24"/>
              </w:rPr>
              <w:t xml:space="preserve"> </w:t>
            </w:r>
            <w:r>
              <w:rPr>
                <w:rFonts w:ascii="Arial"/>
                <w:spacing w:val="-1"/>
              </w:rPr>
              <w:t>Off</w:t>
            </w:r>
            <w:r>
              <w:rPr>
                <w:rFonts w:ascii="Arial"/>
                <w:spacing w:val="26"/>
              </w:rPr>
              <w:t xml:space="preserve"> </w:t>
            </w:r>
            <w:r>
              <w:rPr>
                <w:rFonts w:ascii="Arial"/>
                <w:spacing w:val="-1"/>
              </w:rPr>
              <w:t>Schedule</w:t>
            </w:r>
            <w:r>
              <w:rPr>
                <w:rFonts w:ascii="Arial"/>
                <w:spacing w:val="22"/>
              </w:rPr>
              <w:t xml:space="preserve"> </w:t>
            </w:r>
            <w:r>
              <w:rPr>
                <w:rFonts w:ascii="Arial"/>
                <w:spacing w:val="1"/>
              </w:rPr>
              <w:t>11</w:t>
            </w:r>
            <w:r>
              <w:rPr>
                <w:rFonts w:ascii="Arial"/>
                <w:spacing w:val="24"/>
              </w:rPr>
              <w:t xml:space="preserve"> </w:t>
            </w:r>
            <w:r>
              <w:rPr>
                <w:rFonts w:ascii="Arial"/>
                <w:spacing w:val="-2"/>
              </w:rPr>
              <w:t>(Staff</w:t>
            </w:r>
            <w:r>
              <w:rPr>
                <w:rFonts w:ascii="Arial"/>
                <w:spacing w:val="42"/>
              </w:rPr>
              <w:t xml:space="preserve"> </w:t>
            </w:r>
            <w:r>
              <w:rPr>
                <w:rFonts w:ascii="Arial"/>
                <w:spacing w:val="-1"/>
              </w:rPr>
              <w:t>Transfer);</w:t>
            </w:r>
          </w:p>
        </w:tc>
      </w:tr>
      <w:tr w:rsidR="008918FA" w:rsidTr="005D2B81">
        <w:trPr>
          <w:trHeight w:hRule="exact" w:val="2782"/>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"Standards"</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spacing w:val="-2"/>
              </w:rPr>
              <w:t>any:</w:t>
            </w:r>
          </w:p>
          <w:p w:rsidR="008918FA" w:rsidRDefault="008918FA" w:rsidP="005D2B81">
            <w:pPr>
              <w:pStyle w:val="ListParagraph"/>
              <w:numPr>
                <w:ilvl w:val="0"/>
                <w:numId w:val="36"/>
              </w:numPr>
              <w:tabs>
                <w:tab w:val="left" w:pos="820"/>
              </w:tabs>
              <w:spacing w:before="121"/>
              <w:ind w:right="99" w:hanging="544"/>
              <w:jc w:val="both"/>
              <w:rPr>
                <w:rFonts w:ascii="Arial" w:eastAsia="Arial" w:hAnsi="Arial" w:cs="Arial"/>
              </w:rPr>
            </w:pPr>
            <w:r>
              <w:rPr>
                <w:rFonts w:ascii="Arial"/>
                <w:spacing w:val="-1"/>
              </w:rPr>
              <w:t>standards</w:t>
            </w:r>
            <w:r>
              <w:rPr>
                <w:rFonts w:ascii="Arial"/>
                <w:spacing w:val="46"/>
              </w:rPr>
              <w:t xml:space="preserve"> </w:t>
            </w:r>
            <w:r>
              <w:rPr>
                <w:rFonts w:ascii="Arial"/>
                <w:spacing w:val="-1"/>
              </w:rPr>
              <w:t>published</w:t>
            </w:r>
            <w:r>
              <w:rPr>
                <w:rFonts w:ascii="Arial"/>
                <w:spacing w:val="46"/>
              </w:rPr>
              <w:t xml:space="preserve"> </w:t>
            </w:r>
            <w:r>
              <w:rPr>
                <w:rFonts w:ascii="Arial"/>
                <w:spacing w:val="-1"/>
              </w:rPr>
              <w:t>by</w:t>
            </w:r>
            <w:r>
              <w:rPr>
                <w:rFonts w:ascii="Arial"/>
                <w:spacing w:val="44"/>
              </w:rPr>
              <w:t xml:space="preserve"> </w:t>
            </w:r>
            <w:r>
              <w:rPr>
                <w:rFonts w:ascii="Arial"/>
                <w:spacing w:val="-1"/>
              </w:rPr>
              <w:t>BSI</w:t>
            </w:r>
            <w:r>
              <w:rPr>
                <w:rFonts w:ascii="Arial"/>
                <w:spacing w:val="47"/>
              </w:rPr>
              <w:t xml:space="preserve"> </w:t>
            </w:r>
            <w:r>
              <w:rPr>
                <w:rFonts w:ascii="Arial"/>
                <w:spacing w:val="-1"/>
              </w:rPr>
              <w:t>British</w:t>
            </w:r>
            <w:r>
              <w:rPr>
                <w:rFonts w:ascii="Arial"/>
                <w:spacing w:val="46"/>
              </w:rPr>
              <w:t xml:space="preserve"> </w:t>
            </w:r>
            <w:r>
              <w:rPr>
                <w:rFonts w:ascii="Arial"/>
                <w:spacing w:val="-1"/>
              </w:rPr>
              <w:t>Standards,</w:t>
            </w:r>
            <w:r>
              <w:rPr>
                <w:rFonts w:ascii="Arial"/>
                <w:spacing w:val="45"/>
              </w:rPr>
              <w:t xml:space="preserve"> </w:t>
            </w:r>
            <w:r>
              <w:rPr>
                <w:rFonts w:ascii="Arial"/>
                <w:spacing w:val="-1"/>
              </w:rPr>
              <w:t>the</w:t>
            </w:r>
            <w:r>
              <w:rPr>
                <w:rFonts w:ascii="Arial"/>
                <w:spacing w:val="24"/>
              </w:rPr>
              <w:t xml:space="preserve"> </w:t>
            </w:r>
            <w:r>
              <w:rPr>
                <w:rFonts w:ascii="Arial"/>
                <w:spacing w:val="-1"/>
              </w:rPr>
              <w:t>National</w:t>
            </w:r>
            <w:r>
              <w:rPr>
                <w:rFonts w:ascii="Arial"/>
                <w:spacing w:val="2"/>
              </w:rPr>
              <w:t xml:space="preserve"> </w:t>
            </w:r>
            <w:r>
              <w:rPr>
                <w:rFonts w:ascii="Arial"/>
                <w:spacing w:val="-1"/>
              </w:rPr>
              <w:t>Standards</w:t>
            </w:r>
            <w:r>
              <w:rPr>
                <w:rFonts w:ascii="Arial"/>
                <w:spacing w:val="3"/>
              </w:rPr>
              <w:t xml:space="preserve"> </w:t>
            </w:r>
            <w:r>
              <w:rPr>
                <w:rFonts w:ascii="Arial"/>
                <w:spacing w:val="-1"/>
              </w:rPr>
              <w:t>Body</w:t>
            </w:r>
            <w:r>
              <w:rPr>
                <w:rFonts w:ascii="Arial"/>
                <w:spacing w:val="1"/>
              </w:rPr>
              <w:t xml:space="preserve"> </w:t>
            </w:r>
            <w:r>
              <w:rPr>
                <w:rFonts w:ascii="Arial"/>
                <w:spacing w:val="-2"/>
              </w:rPr>
              <w:t>of</w:t>
            </w:r>
            <w:r>
              <w:rPr>
                <w:rFonts w:ascii="Arial"/>
                <w:spacing w:val="6"/>
              </w:rPr>
              <w:t xml:space="preserve"> </w:t>
            </w:r>
            <w:r>
              <w:rPr>
                <w:rFonts w:ascii="Arial"/>
              </w:rPr>
              <w:t>the</w:t>
            </w:r>
            <w:r>
              <w:rPr>
                <w:rFonts w:ascii="Arial"/>
                <w:spacing w:val="3"/>
              </w:rPr>
              <w:t xml:space="preserve"> </w:t>
            </w:r>
            <w:r>
              <w:rPr>
                <w:rFonts w:ascii="Arial"/>
                <w:spacing w:val="-1"/>
              </w:rPr>
              <w:t>United</w:t>
            </w:r>
            <w:r>
              <w:rPr>
                <w:rFonts w:ascii="Arial"/>
                <w:spacing w:val="3"/>
              </w:rPr>
              <w:t xml:space="preserve"> </w:t>
            </w:r>
            <w:r>
              <w:rPr>
                <w:rFonts w:ascii="Arial"/>
                <w:spacing w:val="-1"/>
              </w:rPr>
              <w:t>Kingdom,</w:t>
            </w:r>
            <w:r>
              <w:rPr>
                <w:rFonts w:ascii="Arial"/>
                <w:spacing w:val="2"/>
              </w:rPr>
              <w:t xml:space="preserve"> </w:t>
            </w:r>
            <w:r>
              <w:rPr>
                <w:rFonts w:ascii="Arial"/>
                <w:spacing w:val="-2"/>
              </w:rPr>
              <w:t>the</w:t>
            </w:r>
            <w:r>
              <w:rPr>
                <w:rFonts w:ascii="Arial"/>
                <w:spacing w:val="20"/>
              </w:rPr>
              <w:t xml:space="preserve"> </w:t>
            </w:r>
            <w:r>
              <w:rPr>
                <w:rFonts w:ascii="Arial"/>
                <w:spacing w:val="-1"/>
              </w:rPr>
              <w:t>International</w:t>
            </w:r>
            <w:r>
              <w:rPr>
                <w:rFonts w:ascii="Arial"/>
                <w:spacing w:val="46"/>
              </w:rPr>
              <w:t xml:space="preserve"> </w:t>
            </w:r>
            <w:r>
              <w:rPr>
                <w:rFonts w:ascii="Arial"/>
                <w:spacing w:val="-1"/>
              </w:rPr>
              <w:t>Organisation</w:t>
            </w:r>
            <w:r>
              <w:rPr>
                <w:rFonts w:ascii="Arial"/>
                <w:spacing w:val="47"/>
              </w:rPr>
              <w:t xml:space="preserve"> </w:t>
            </w:r>
            <w:r>
              <w:rPr>
                <w:rFonts w:ascii="Arial"/>
              </w:rPr>
              <w:t>for</w:t>
            </w:r>
            <w:r>
              <w:rPr>
                <w:rFonts w:ascii="Arial"/>
                <w:spacing w:val="48"/>
              </w:rPr>
              <w:t xml:space="preserve"> </w:t>
            </w:r>
            <w:r>
              <w:rPr>
                <w:rFonts w:ascii="Arial"/>
                <w:spacing w:val="-1"/>
              </w:rPr>
              <w:t>Standardisation</w:t>
            </w:r>
            <w:r>
              <w:rPr>
                <w:rFonts w:ascii="Arial"/>
                <w:spacing w:val="47"/>
              </w:rPr>
              <w:t xml:space="preserve"> </w:t>
            </w:r>
            <w:r>
              <w:rPr>
                <w:rFonts w:ascii="Arial"/>
                <w:spacing w:val="-1"/>
              </w:rPr>
              <w:t>or</w:t>
            </w:r>
            <w:r>
              <w:rPr>
                <w:rFonts w:ascii="Arial"/>
                <w:spacing w:val="20"/>
              </w:rPr>
              <w:t xml:space="preserve"> </w:t>
            </w:r>
            <w:r>
              <w:rPr>
                <w:rFonts w:ascii="Arial"/>
                <w:spacing w:val="-1"/>
              </w:rPr>
              <w:t>other</w:t>
            </w:r>
            <w:r>
              <w:rPr>
                <w:rFonts w:ascii="Arial"/>
                <w:spacing w:val="41"/>
              </w:rPr>
              <w:t xml:space="preserve"> </w:t>
            </w:r>
            <w:r>
              <w:rPr>
                <w:rFonts w:ascii="Arial"/>
                <w:spacing w:val="-1"/>
              </w:rPr>
              <w:t>reputable</w:t>
            </w:r>
            <w:r>
              <w:rPr>
                <w:rFonts w:ascii="Arial"/>
                <w:spacing w:val="42"/>
              </w:rPr>
              <w:t xml:space="preserve"> </w:t>
            </w:r>
            <w:r>
              <w:rPr>
                <w:rFonts w:ascii="Arial"/>
                <w:spacing w:val="-2"/>
              </w:rPr>
              <w:t>or</w:t>
            </w:r>
            <w:r>
              <w:rPr>
                <w:rFonts w:ascii="Arial"/>
                <w:spacing w:val="44"/>
              </w:rPr>
              <w:t xml:space="preserve"> </w:t>
            </w:r>
            <w:r>
              <w:rPr>
                <w:rFonts w:ascii="Arial"/>
                <w:spacing w:val="-2"/>
              </w:rPr>
              <w:t>equivalent</w:t>
            </w:r>
            <w:r>
              <w:rPr>
                <w:rFonts w:ascii="Arial"/>
                <w:spacing w:val="44"/>
              </w:rPr>
              <w:t xml:space="preserve"> </w:t>
            </w:r>
            <w:r>
              <w:rPr>
                <w:rFonts w:ascii="Arial"/>
                <w:spacing w:val="-1"/>
              </w:rPr>
              <w:t>bodies</w:t>
            </w:r>
            <w:r>
              <w:rPr>
                <w:rFonts w:ascii="Arial"/>
                <w:spacing w:val="43"/>
              </w:rPr>
              <w:t xml:space="preserve"> </w:t>
            </w:r>
            <w:r>
              <w:rPr>
                <w:rFonts w:ascii="Arial"/>
                <w:spacing w:val="-1"/>
              </w:rPr>
              <w:t>(and</w:t>
            </w:r>
            <w:r>
              <w:rPr>
                <w:rFonts w:ascii="Arial"/>
                <w:spacing w:val="40"/>
              </w:rPr>
              <w:t xml:space="preserve"> </w:t>
            </w:r>
            <w:r>
              <w:rPr>
                <w:rFonts w:ascii="Arial"/>
                <w:spacing w:val="-2"/>
              </w:rPr>
              <w:t>their</w:t>
            </w:r>
            <w:r>
              <w:rPr>
                <w:rFonts w:ascii="Arial"/>
                <w:spacing w:val="43"/>
              </w:rPr>
              <w:t xml:space="preserve"> </w:t>
            </w:r>
            <w:r>
              <w:rPr>
                <w:rFonts w:ascii="Arial"/>
                <w:spacing w:val="-1"/>
              </w:rPr>
              <w:t>successor</w:t>
            </w:r>
            <w:r>
              <w:rPr>
                <w:rFonts w:ascii="Arial"/>
              </w:rPr>
              <w:t xml:space="preserve"> </w:t>
            </w:r>
            <w:r>
              <w:rPr>
                <w:rFonts w:ascii="Arial"/>
                <w:spacing w:val="-1"/>
              </w:rPr>
              <w:t>bodies)</w:t>
            </w:r>
            <w:r>
              <w:rPr>
                <w:rFonts w:ascii="Arial"/>
                <w:spacing w:val="1"/>
              </w:rPr>
              <w:t xml:space="preserve"> </w:t>
            </w:r>
            <w:r>
              <w:rPr>
                <w:rFonts w:ascii="Arial"/>
                <w:spacing w:val="-1"/>
              </w:rPr>
              <w:t>that</w:t>
            </w:r>
            <w:r>
              <w:rPr>
                <w:rFonts w:ascii="Arial"/>
                <w:spacing w:val="1"/>
              </w:rPr>
              <w:t xml:space="preserve"> </w:t>
            </w:r>
            <w:r>
              <w:rPr>
                <w:rFonts w:ascii="Arial"/>
              </w:rPr>
              <w:t>a</w:t>
            </w:r>
            <w:r>
              <w:rPr>
                <w:rFonts w:ascii="Arial"/>
                <w:spacing w:val="2"/>
              </w:rPr>
              <w:t xml:space="preserve"> </w:t>
            </w:r>
            <w:r>
              <w:rPr>
                <w:rFonts w:ascii="Arial"/>
                <w:spacing w:val="-2"/>
              </w:rPr>
              <w:t>skilled</w:t>
            </w:r>
            <w:r>
              <w:rPr>
                <w:rFonts w:ascii="Arial"/>
                <w:spacing w:val="2"/>
              </w:rPr>
              <w:t xml:space="preserve"> </w:t>
            </w:r>
            <w:r>
              <w:rPr>
                <w:rFonts w:ascii="Arial"/>
                <w:spacing w:val="-1"/>
              </w:rPr>
              <w:t>and</w:t>
            </w:r>
            <w:r>
              <w:rPr>
                <w:rFonts w:ascii="Arial"/>
                <w:spacing w:val="2"/>
              </w:rPr>
              <w:t xml:space="preserve"> </w:t>
            </w:r>
            <w:r>
              <w:rPr>
                <w:rFonts w:ascii="Arial"/>
                <w:spacing w:val="-1"/>
              </w:rPr>
              <w:t>experienced</w:t>
            </w:r>
            <w:r>
              <w:rPr>
                <w:rFonts w:ascii="Arial"/>
                <w:spacing w:val="30"/>
              </w:rPr>
              <w:t xml:space="preserve"> </w:t>
            </w:r>
            <w:r>
              <w:rPr>
                <w:rFonts w:ascii="Arial"/>
                <w:spacing w:val="-1"/>
              </w:rPr>
              <w:t>operator</w:t>
            </w:r>
            <w:r>
              <w:rPr>
                <w:rFonts w:ascii="Arial"/>
                <w:spacing w:val="47"/>
              </w:rPr>
              <w:t xml:space="preserve"> </w:t>
            </w:r>
            <w:r>
              <w:rPr>
                <w:rFonts w:ascii="Arial"/>
                <w:spacing w:val="-1"/>
              </w:rPr>
              <w:t>in</w:t>
            </w:r>
            <w:r>
              <w:rPr>
                <w:rFonts w:ascii="Arial"/>
                <w:spacing w:val="43"/>
              </w:rPr>
              <w:t xml:space="preserve"> </w:t>
            </w:r>
            <w:r>
              <w:rPr>
                <w:rFonts w:ascii="Arial"/>
              </w:rPr>
              <w:t>the</w:t>
            </w:r>
            <w:r>
              <w:rPr>
                <w:rFonts w:ascii="Arial"/>
                <w:spacing w:val="46"/>
              </w:rPr>
              <w:t xml:space="preserve"> </w:t>
            </w:r>
            <w:r>
              <w:rPr>
                <w:rFonts w:ascii="Arial"/>
                <w:spacing w:val="-1"/>
              </w:rPr>
              <w:t>same</w:t>
            </w:r>
            <w:r>
              <w:rPr>
                <w:rFonts w:ascii="Arial"/>
                <w:spacing w:val="43"/>
              </w:rPr>
              <w:t xml:space="preserve"> </w:t>
            </w:r>
            <w:r>
              <w:rPr>
                <w:rFonts w:ascii="Arial"/>
                <w:spacing w:val="-1"/>
              </w:rPr>
              <w:t>type</w:t>
            </w:r>
            <w:r>
              <w:rPr>
                <w:rFonts w:ascii="Arial"/>
                <w:spacing w:val="46"/>
              </w:rPr>
              <w:t xml:space="preserve"> </w:t>
            </w:r>
            <w:r>
              <w:rPr>
                <w:rFonts w:ascii="Arial"/>
                <w:spacing w:val="-2"/>
              </w:rPr>
              <w:t>of</w:t>
            </w:r>
            <w:r>
              <w:rPr>
                <w:rFonts w:ascii="Arial"/>
                <w:spacing w:val="49"/>
              </w:rPr>
              <w:t xml:space="preserve"> </w:t>
            </w:r>
            <w:r>
              <w:rPr>
                <w:rFonts w:ascii="Arial"/>
                <w:spacing w:val="-1"/>
              </w:rPr>
              <w:t>industry</w:t>
            </w:r>
            <w:r>
              <w:rPr>
                <w:rFonts w:ascii="Arial"/>
                <w:spacing w:val="45"/>
              </w:rPr>
              <w:t xml:space="preserve"> </w:t>
            </w:r>
            <w:r>
              <w:rPr>
                <w:rFonts w:ascii="Arial"/>
                <w:spacing w:val="-1"/>
              </w:rPr>
              <w:t>or</w:t>
            </w:r>
            <w:r>
              <w:rPr>
                <w:rFonts w:ascii="Arial"/>
                <w:spacing w:val="45"/>
              </w:rPr>
              <w:t xml:space="preserve"> </w:t>
            </w:r>
            <w:r>
              <w:rPr>
                <w:rFonts w:ascii="Arial"/>
                <w:spacing w:val="-2"/>
              </w:rPr>
              <w:t>business</w:t>
            </w:r>
            <w:r>
              <w:rPr>
                <w:rFonts w:ascii="Arial"/>
                <w:spacing w:val="24"/>
              </w:rPr>
              <w:t xml:space="preserve"> </w:t>
            </w:r>
            <w:r>
              <w:rPr>
                <w:rFonts w:ascii="Arial"/>
                <w:spacing w:val="-1"/>
              </w:rPr>
              <w:t>sector</w:t>
            </w:r>
            <w:r>
              <w:rPr>
                <w:rFonts w:ascii="Arial"/>
                <w:spacing w:val="9"/>
              </w:rPr>
              <w:t xml:space="preserve"> </w:t>
            </w:r>
            <w:r>
              <w:rPr>
                <w:rFonts w:ascii="Arial"/>
                <w:spacing w:val="-1"/>
              </w:rPr>
              <w:t>as</w:t>
            </w:r>
            <w:r>
              <w:rPr>
                <w:rFonts w:ascii="Arial"/>
                <w:spacing w:val="8"/>
              </w:rPr>
              <w:t xml:space="preserve"> </w:t>
            </w:r>
            <w:r>
              <w:rPr>
                <w:rFonts w:ascii="Arial"/>
              </w:rPr>
              <w:t>the</w:t>
            </w:r>
            <w:r>
              <w:rPr>
                <w:rFonts w:ascii="Arial"/>
                <w:spacing w:val="10"/>
              </w:rPr>
              <w:t xml:space="preserve"> </w:t>
            </w:r>
            <w:r>
              <w:rPr>
                <w:rFonts w:ascii="Arial"/>
                <w:spacing w:val="-2"/>
              </w:rPr>
              <w:t>Supplier</w:t>
            </w:r>
            <w:r>
              <w:rPr>
                <w:rFonts w:ascii="Arial"/>
                <w:spacing w:val="11"/>
              </w:rPr>
              <w:t xml:space="preserve"> </w:t>
            </w:r>
            <w:r>
              <w:rPr>
                <w:rFonts w:ascii="Arial"/>
                <w:spacing w:val="-2"/>
              </w:rPr>
              <w:t>would</w:t>
            </w:r>
            <w:r>
              <w:rPr>
                <w:rFonts w:ascii="Arial"/>
                <w:spacing w:val="10"/>
              </w:rPr>
              <w:t xml:space="preserve"> </w:t>
            </w:r>
            <w:r>
              <w:rPr>
                <w:rFonts w:ascii="Arial"/>
                <w:spacing w:val="-1"/>
              </w:rPr>
              <w:t>reasonably</w:t>
            </w:r>
            <w:r>
              <w:rPr>
                <w:rFonts w:ascii="Arial"/>
                <w:spacing w:val="8"/>
              </w:rPr>
              <w:t xml:space="preserve"> </w:t>
            </w:r>
            <w:r>
              <w:rPr>
                <w:rFonts w:ascii="Arial"/>
                <w:spacing w:val="-1"/>
              </w:rPr>
              <w:t>and</w:t>
            </w:r>
            <w:r>
              <w:rPr>
                <w:rFonts w:ascii="Arial"/>
                <w:spacing w:val="32"/>
              </w:rPr>
              <w:t xml:space="preserve"> </w:t>
            </w:r>
            <w:r>
              <w:rPr>
                <w:rFonts w:ascii="Arial"/>
                <w:spacing w:val="-1"/>
              </w:rPr>
              <w:t>ordinarily</w:t>
            </w:r>
            <w:r>
              <w:rPr>
                <w:rFonts w:ascii="Arial"/>
                <w:spacing w:val="-2"/>
              </w:rPr>
              <w:t xml:space="preserve"> </w:t>
            </w:r>
            <w:r>
              <w:rPr>
                <w:rFonts w:ascii="Arial"/>
                <w:spacing w:val="-1"/>
              </w:rPr>
              <w:t>be</w:t>
            </w:r>
            <w:r>
              <w:rPr>
                <w:rFonts w:ascii="Arial"/>
              </w:rPr>
              <w:t xml:space="preserve"> </w:t>
            </w:r>
            <w:r>
              <w:rPr>
                <w:rFonts w:ascii="Arial"/>
                <w:spacing w:val="-1"/>
              </w:rPr>
              <w:t>expected</w:t>
            </w:r>
            <w:r>
              <w:rPr>
                <w:rFonts w:ascii="Arial"/>
              </w:rPr>
              <w:t xml:space="preserve"> to</w:t>
            </w:r>
            <w:r>
              <w:rPr>
                <w:rFonts w:ascii="Arial"/>
                <w:spacing w:val="-2"/>
              </w:rPr>
              <w:t xml:space="preserve"> </w:t>
            </w:r>
            <w:r>
              <w:rPr>
                <w:rFonts w:ascii="Arial"/>
                <w:spacing w:val="-1"/>
              </w:rPr>
              <w:t>comply</w:t>
            </w:r>
            <w:r>
              <w:rPr>
                <w:rFonts w:ascii="Arial"/>
                <w:spacing w:val="-2"/>
              </w:rPr>
              <w:t xml:space="preserve"> with;</w:t>
            </w:r>
          </w:p>
          <w:p w:rsidR="008918FA" w:rsidRDefault="008918FA" w:rsidP="005D2B81">
            <w:pPr>
              <w:pStyle w:val="ListParagraph"/>
              <w:numPr>
                <w:ilvl w:val="0"/>
                <w:numId w:val="36"/>
              </w:numPr>
              <w:tabs>
                <w:tab w:val="left" w:pos="820"/>
              </w:tabs>
              <w:spacing w:before="119"/>
              <w:ind w:hanging="544"/>
              <w:rPr>
                <w:rFonts w:ascii="Arial" w:eastAsia="Arial" w:hAnsi="Arial" w:cs="Arial"/>
              </w:rPr>
            </w:pPr>
            <w:r>
              <w:rPr>
                <w:rFonts w:ascii="Arial"/>
                <w:spacing w:val="-1"/>
              </w:rPr>
              <w:t>standards</w:t>
            </w:r>
            <w:r>
              <w:rPr>
                <w:rFonts w:ascii="Arial"/>
                <w:spacing w:val="8"/>
              </w:rPr>
              <w:t xml:space="preserve"> </w:t>
            </w:r>
            <w:r>
              <w:rPr>
                <w:rFonts w:ascii="Arial"/>
                <w:spacing w:val="-1"/>
              </w:rPr>
              <w:t>detailed</w:t>
            </w:r>
            <w:r>
              <w:rPr>
                <w:rFonts w:ascii="Arial"/>
                <w:spacing w:val="10"/>
              </w:rPr>
              <w:t xml:space="preserve"> </w:t>
            </w:r>
            <w:r>
              <w:rPr>
                <w:rFonts w:ascii="Arial"/>
                <w:spacing w:val="-1"/>
              </w:rPr>
              <w:t>in</w:t>
            </w:r>
            <w:r>
              <w:rPr>
                <w:rFonts w:ascii="Arial"/>
                <w:spacing w:val="10"/>
              </w:rPr>
              <w:t xml:space="preserve"> </w:t>
            </w:r>
            <w:r>
              <w:rPr>
                <w:rFonts w:ascii="Arial"/>
              </w:rPr>
              <w:t>the</w:t>
            </w:r>
            <w:r>
              <w:rPr>
                <w:rFonts w:ascii="Arial"/>
                <w:spacing w:val="7"/>
              </w:rPr>
              <w:t xml:space="preserve"> </w:t>
            </w:r>
            <w:r>
              <w:rPr>
                <w:rFonts w:ascii="Arial"/>
                <w:spacing w:val="-1"/>
              </w:rPr>
              <w:t>specification</w:t>
            </w:r>
            <w:r>
              <w:rPr>
                <w:rFonts w:ascii="Arial"/>
                <w:spacing w:val="10"/>
              </w:rPr>
              <w:t xml:space="preserve"> </w:t>
            </w:r>
            <w:r>
              <w:rPr>
                <w:rFonts w:ascii="Arial"/>
                <w:spacing w:val="-1"/>
              </w:rPr>
              <w:t>in</w:t>
            </w:r>
            <w:r>
              <w:rPr>
                <w:rFonts w:ascii="Arial"/>
                <w:spacing w:val="10"/>
              </w:rPr>
              <w:t xml:space="preserve"> </w:t>
            </w:r>
            <w:r>
              <w:rPr>
                <w:rFonts w:ascii="Arial"/>
                <w:spacing w:val="-2"/>
              </w:rPr>
              <w:t>Framework</w:t>
            </w:r>
          </w:p>
        </w:tc>
      </w:tr>
    </w:tbl>
    <w:p w:rsidR="008918FA" w:rsidRDefault="008918FA" w:rsidP="008918FA">
      <w:pPr>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2146"/>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819" w:right="101"/>
              <w:rPr>
                <w:rFonts w:ascii="Arial" w:eastAsia="Arial" w:hAnsi="Arial" w:cs="Arial"/>
              </w:rPr>
            </w:pPr>
            <w:r>
              <w:rPr>
                <w:rFonts w:ascii="Arial"/>
                <w:spacing w:val="-1"/>
              </w:rPr>
              <w:t>Schedule</w:t>
            </w:r>
            <w:r>
              <w:rPr>
                <w:rFonts w:ascii="Arial"/>
              </w:rPr>
              <w:t xml:space="preserve">  </w:t>
            </w:r>
            <w:r>
              <w:rPr>
                <w:rFonts w:ascii="Arial"/>
                <w:spacing w:val="8"/>
              </w:rPr>
              <w:t xml:space="preserve"> </w:t>
            </w:r>
            <w:r>
              <w:rPr>
                <w:rFonts w:ascii="Arial"/>
              </w:rPr>
              <w:t xml:space="preserve">2  </w:t>
            </w:r>
            <w:r>
              <w:rPr>
                <w:rFonts w:ascii="Arial"/>
                <w:spacing w:val="8"/>
              </w:rPr>
              <w:t xml:space="preserve"> </w:t>
            </w:r>
            <w:r>
              <w:rPr>
                <w:rFonts w:ascii="Arial"/>
                <w:spacing w:val="-1"/>
              </w:rPr>
              <w:t>(Goods</w:t>
            </w:r>
            <w:r>
              <w:rPr>
                <w:rFonts w:ascii="Arial"/>
              </w:rPr>
              <w:t xml:space="preserve">  </w:t>
            </w:r>
            <w:r>
              <w:rPr>
                <w:rFonts w:ascii="Arial"/>
                <w:spacing w:val="3"/>
              </w:rPr>
              <w:t xml:space="preserve"> </w:t>
            </w:r>
            <w:r>
              <w:rPr>
                <w:rFonts w:ascii="Arial"/>
                <w:spacing w:val="-1"/>
              </w:rPr>
              <w:t>and/or</w:t>
            </w:r>
            <w:r>
              <w:rPr>
                <w:rFonts w:ascii="Arial"/>
              </w:rPr>
              <w:t xml:space="preserve">  </w:t>
            </w:r>
            <w:r>
              <w:rPr>
                <w:rFonts w:ascii="Arial"/>
                <w:spacing w:val="9"/>
              </w:rPr>
              <w:t xml:space="preserve"> </w:t>
            </w:r>
            <w:r>
              <w:rPr>
                <w:rFonts w:ascii="Arial"/>
                <w:spacing w:val="-2"/>
              </w:rPr>
              <w:t>Services</w:t>
            </w:r>
            <w:r>
              <w:rPr>
                <w:rFonts w:ascii="Arial"/>
              </w:rPr>
              <w:t xml:space="preserve">  </w:t>
            </w:r>
            <w:r>
              <w:rPr>
                <w:rFonts w:ascii="Arial"/>
                <w:spacing w:val="8"/>
              </w:rPr>
              <w:t xml:space="preserve"> </w:t>
            </w:r>
            <w:r>
              <w:rPr>
                <w:rFonts w:ascii="Arial"/>
                <w:spacing w:val="-1"/>
              </w:rPr>
              <w:t>and</w:t>
            </w:r>
            <w:r>
              <w:rPr>
                <w:rFonts w:ascii="Arial"/>
              </w:rPr>
              <w:t xml:space="preserve">  </w:t>
            </w:r>
            <w:r>
              <w:rPr>
                <w:rFonts w:ascii="Arial"/>
                <w:spacing w:val="8"/>
              </w:rPr>
              <w:t xml:space="preserve"> </w:t>
            </w:r>
            <w:r>
              <w:rPr>
                <w:rFonts w:ascii="Arial"/>
                <w:spacing w:val="-1"/>
              </w:rPr>
              <w:t>Key</w:t>
            </w:r>
            <w:r>
              <w:rPr>
                <w:rFonts w:ascii="Arial"/>
                <w:spacing w:val="30"/>
              </w:rPr>
              <w:t xml:space="preserve"> </w:t>
            </w:r>
            <w:r>
              <w:rPr>
                <w:rFonts w:ascii="Arial"/>
                <w:spacing w:val="-1"/>
              </w:rPr>
              <w:t>Performance</w:t>
            </w:r>
            <w:r>
              <w:rPr>
                <w:rFonts w:ascii="Arial"/>
                <w:spacing w:val="-2"/>
              </w:rPr>
              <w:t xml:space="preserve"> </w:t>
            </w:r>
            <w:r>
              <w:rPr>
                <w:rFonts w:ascii="Arial"/>
                <w:spacing w:val="-1"/>
              </w:rPr>
              <w:t>Indicators);</w:t>
            </w:r>
          </w:p>
          <w:p w:rsidR="008918FA" w:rsidRDefault="008918FA" w:rsidP="005D2B81">
            <w:pPr>
              <w:pStyle w:val="ListParagraph"/>
              <w:numPr>
                <w:ilvl w:val="0"/>
                <w:numId w:val="35"/>
              </w:numPr>
              <w:tabs>
                <w:tab w:val="left" w:pos="820"/>
              </w:tabs>
              <w:spacing w:before="117"/>
              <w:ind w:right="99" w:hanging="544"/>
              <w:jc w:val="both"/>
              <w:rPr>
                <w:rFonts w:ascii="Arial" w:eastAsia="Arial" w:hAnsi="Arial" w:cs="Arial"/>
              </w:rPr>
            </w:pPr>
            <w:r>
              <w:rPr>
                <w:rFonts w:ascii="Arial"/>
                <w:spacing w:val="-1"/>
              </w:rPr>
              <w:t>standards</w:t>
            </w:r>
            <w:r>
              <w:rPr>
                <w:rFonts w:ascii="Arial"/>
                <w:spacing w:val="26"/>
              </w:rPr>
              <w:t xml:space="preserve"> </w:t>
            </w:r>
            <w:r>
              <w:rPr>
                <w:rFonts w:ascii="Arial"/>
                <w:spacing w:val="-1"/>
              </w:rPr>
              <w:t>detailed</w:t>
            </w:r>
            <w:r>
              <w:rPr>
                <w:rFonts w:ascii="Arial"/>
                <w:spacing w:val="28"/>
              </w:rPr>
              <w:t xml:space="preserve"> </w:t>
            </w:r>
            <w:r>
              <w:rPr>
                <w:rFonts w:ascii="Arial"/>
                <w:spacing w:val="-1"/>
              </w:rPr>
              <w:t>by</w:t>
            </w:r>
            <w:r>
              <w:rPr>
                <w:rFonts w:ascii="Arial"/>
                <w:spacing w:val="24"/>
              </w:rPr>
              <w:t xml:space="preserve"> </w:t>
            </w:r>
            <w:r>
              <w:rPr>
                <w:rFonts w:ascii="Arial"/>
              </w:rPr>
              <w:t>the</w:t>
            </w:r>
            <w:r>
              <w:rPr>
                <w:rFonts w:ascii="Arial"/>
                <w:spacing w:val="28"/>
              </w:rPr>
              <w:t xml:space="preserve"> </w:t>
            </w:r>
            <w:r>
              <w:rPr>
                <w:rFonts w:ascii="Arial"/>
                <w:spacing w:val="-2"/>
              </w:rPr>
              <w:t>Customer</w:t>
            </w:r>
            <w:r>
              <w:rPr>
                <w:rFonts w:ascii="Arial"/>
                <w:spacing w:val="29"/>
              </w:rPr>
              <w:t xml:space="preserve"> </w:t>
            </w:r>
            <w:r>
              <w:rPr>
                <w:rFonts w:ascii="Arial"/>
                <w:spacing w:val="-1"/>
              </w:rPr>
              <w:t>in</w:t>
            </w:r>
            <w:r>
              <w:rPr>
                <w:rFonts w:ascii="Arial"/>
                <w:spacing w:val="28"/>
              </w:rPr>
              <w:t xml:space="preserve"> </w:t>
            </w:r>
            <w:r>
              <w:rPr>
                <w:rFonts w:ascii="Arial"/>
                <w:spacing w:val="-2"/>
              </w:rPr>
              <w:t>Call</w:t>
            </w:r>
            <w:r>
              <w:rPr>
                <w:rFonts w:ascii="Arial"/>
                <w:spacing w:val="25"/>
              </w:rPr>
              <w:t xml:space="preserve"> </w:t>
            </w:r>
            <w:r>
              <w:rPr>
                <w:rFonts w:ascii="Arial"/>
                <w:spacing w:val="-1"/>
              </w:rPr>
              <w:t>Off</w:t>
            </w:r>
            <w:r>
              <w:rPr>
                <w:rFonts w:ascii="Arial"/>
                <w:spacing w:val="37"/>
              </w:rPr>
              <w:t xml:space="preserve"> </w:t>
            </w:r>
            <w:r>
              <w:rPr>
                <w:rFonts w:ascii="Arial"/>
                <w:spacing w:val="-1"/>
              </w:rPr>
              <w:t>Schedule</w:t>
            </w:r>
            <w:r>
              <w:rPr>
                <w:rFonts w:ascii="Arial"/>
                <w:spacing w:val="30"/>
              </w:rPr>
              <w:t xml:space="preserve"> </w:t>
            </w:r>
            <w:r>
              <w:rPr>
                <w:rFonts w:ascii="Arial"/>
              </w:rPr>
              <w:t>7</w:t>
            </w:r>
            <w:r>
              <w:rPr>
                <w:rFonts w:ascii="Arial"/>
                <w:spacing w:val="30"/>
              </w:rPr>
              <w:t xml:space="preserve"> </w:t>
            </w:r>
            <w:r>
              <w:rPr>
                <w:rFonts w:ascii="Arial"/>
                <w:spacing w:val="-1"/>
              </w:rPr>
              <w:t>(Standards)</w:t>
            </w:r>
            <w:r>
              <w:rPr>
                <w:rFonts w:ascii="Arial"/>
                <w:spacing w:val="32"/>
              </w:rPr>
              <w:t xml:space="preserve"> </w:t>
            </w:r>
            <w:r>
              <w:rPr>
                <w:rFonts w:ascii="Arial"/>
                <w:spacing w:val="-1"/>
              </w:rPr>
              <w:t>or</w:t>
            </w:r>
            <w:r>
              <w:rPr>
                <w:rFonts w:ascii="Arial"/>
                <w:spacing w:val="29"/>
              </w:rPr>
              <w:t xml:space="preserve"> </w:t>
            </w:r>
            <w:r>
              <w:rPr>
                <w:rFonts w:ascii="Arial"/>
                <w:spacing w:val="-1"/>
              </w:rPr>
              <w:t>agreed</w:t>
            </w:r>
            <w:r>
              <w:rPr>
                <w:rFonts w:ascii="Arial"/>
                <w:spacing w:val="28"/>
              </w:rPr>
              <w:t xml:space="preserve"> </w:t>
            </w:r>
            <w:r>
              <w:rPr>
                <w:rFonts w:ascii="Arial"/>
                <w:spacing w:val="-1"/>
              </w:rPr>
              <w:t>between</w:t>
            </w:r>
            <w:r>
              <w:rPr>
                <w:rFonts w:ascii="Arial"/>
                <w:spacing w:val="30"/>
              </w:rPr>
              <w:t xml:space="preserve"> </w:t>
            </w:r>
            <w:r>
              <w:rPr>
                <w:rFonts w:ascii="Arial"/>
                <w:spacing w:val="-1"/>
              </w:rPr>
              <w:t>the</w:t>
            </w:r>
            <w:r>
              <w:rPr>
                <w:rFonts w:ascii="Arial"/>
                <w:spacing w:val="28"/>
              </w:rPr>
              <w:t xml:space="preserve"> </w:t>
            </w:r>
            <w:r>
              <w:rPr>
                <w:rFonts w:ascii="Arial"/>
                <w:spacing w:val="-1"/>
              </w:rPr>
              <w:t>Parties</w:t>
            </w:r>
            <w:r>
              <w:rPr>
                <w:rFonts w:ascii="Arial"/>
                <w:spacing w:val="-2"/>
              </w:rPr>
              <w:t xml:space="preserve"> </w:t>
            </w:r>
            <w:r>
              <w:rPr>
                <w:rFonts w:ascii="Arial"/>
                <w:spacing w:val="-1"/>
              </w:rPr>
              <w:t>from time</w:t>
            </w:r>
            <w:r>
              <w:rPr>
                <w:rFonts w:ascii="Arial"/>
                <w:spacing w:val="-2"/>
              </w:rPr>
              <w:t xml:space="preserve"> </w:t>
            </w:r>
            <w:r>
              <w:rPr>
                <w:rFonts w:ascii="Arial"/>
              </w:rPr>
              <w:t>to</w:t>
            </w:r>
            <w:r>
              <w:rPr>
                <w:rFonts w:ascii="Arial"/>
                <w:spacing w:val="-2"/>
              </w:rPr>
              <w:t xml:space="preserve"> </w:t>
            </w:r>
            <w:r>
              <w:rPr>
                <w:rFonts w:ascii="Arial"/>
                <w:spacing w:val="-1"/>
              </w:rPr>
              <w:t>time;</w:t>
            </w:r>
          </w:p>
          <w:p w:rsidR="008918FA" w:rsidRDefault="008918FA" w:rsidP="005D2B81">
            <w:pPr>
              <w:pStyle w:val="ListParagraph"/>
              <w:numPr>
                <w:ilvl w:val="0"/>
                <w:numId w:val="35"/>
              </w:numPr>
              <w:tabs>
                <w:tab w:val="left" w:pos="820"/>
              </w:tabs>
              <w:spacing w:before="119"/>
              <w:ind w:right="101" w:hanging="544"/>
              <w:jc w:val="both"/>
              <w:rPr>
                <w:rFonts w:ascii="Arial" w:eastAsia="Arial" w:hAnsi="Arial" w:cs="Arial"/>
              </w:rPr>
            </w:pPr>
            <w:r>
              <w:rPr>
                <w:rFonts w:ascii="Arial"/>
                <w:spacing w:val="-2"/>
              </w:rPr>
              <w:t>relevant</w:t>
            </w:r>
            <w:r>
              <w:rPr>
                <w:rFonts w:ascii="Arial"/>
                <w:spacing w:val="1"/>
              </w:rPr>
              <w:t xml:space="preserve"> </w:t>
            </w:r>
            <w:r>
              <w:rPr>
                <w:rFonts w:ascii="Arial"/>
                <w:spacing w:val="-1"/>
              </w:rPr>
              <w:t>Government</w:t>
            </w:r>
            <w:r>
              <w:rPr>
                <w:rFonts w:ascii="Arial"/>
                <w:spacing w:val="59"/>
              </w:rPr>
              <w:t xml:space="preserve"> </w:t>
            </w:r>
            <w:r>
              <w:rPr>
                <w:rFonts w:ascii="Arial"/>
                <w:spacing w:val="-1"/>
              </w:rPr>
              <w:t>codes</w:t>
            </w:r>
            <w:r>
              <w:rPr>
                <w:rFonts w:ascii="Arial"/>
              </w:rPr>
              <w:t xml:space="preserve">  </w:t>
            </w:r>
            <w:r>
              <w:rPr>
                <w:rFonts w:ascii="Arial"/>
                <w:spacing w:val="-2"/>
              </w:rPr>
              <w:t>of</w:t>
            </w:r>
            <w:r>
              <w:rPr>
                <w:rFonts w:ascii="Arial"/>
                <w:spacing w:val="3"/>
              </w:rPr>
              <w:t xml:space="preserve"> </w:t>
            </w:r>
            <w:r>
              <w:rPr>
                <w:rFonts w:ascii="Arial"/>
                <w:spacing w:val="-1"/>
              </w:rPr>
              <w:t>practice</w:t>
            </w:r>
            <w:r>
              <w:rPr>
                <w:rFonts w:ascii="Arial"/>
                <w:spacing w:val="58"/>
              </w:rPr>
              <w:t xml:space="preserve"> </w:t>
            </w:r>
            <w:r>
              <w:rPr>
                <w:rFonts w:ascii="Arial"/>
                <w:spacing w:val="-1"/>
              </w:rPr>
              <w:t>and</w:t>
            </w:r>
            <w:r>
              <w:rPr>
                <w:rFonts w:ascii="Arial"/>
                <w:spacing w:val="24"/>
              </w:rPr>
              <w:t xml:space="preserve"> </w:t>
            </w:r>
            <w:r>
              <w:rPr>
                <w:rFonts w:ascii="Arial"/>
                <w:spacing w:val="-1"/>
              </w:rPr>
              <w:t>guidance</w:t>
            </w:r>
            <w:r>
              <w:rPr>
                <w:rFonts w:ascii="Arial"/>
                <w:spacing w:val="1"/>
              </w:rPr>
              <w:t xml:space="preserve"> </w:t>
            </w:r>
            <w:r>
              <w:rPr>
                <w:rFonts w:ascii="Arial"/>
                <w:spacing w:val="-2"/>
              </w:rPr>
              <w:t xml:space="preserve">applicable </w:t>
            </w:r>
            <w:r>
              <w:rPr>
                <w:rFonts w:ascii="Arial"/>
                <w:spacing w:val="-1"/>
              </w:rPr>
              <w:t>from time</w:t>
            </w:r>
            <w:r>
              <w:rPr>
                <w:rFonts w:ascii="Arial"/>
                <w:spacing w:val="-2"/>
              </w:rPr>
              <w:t xml:space="preserve"> </w:t>
            </w:r>
            <w:r>
              <w:rPr>
                <w:rFonts w:ascii="Arial"/>
              </w:rPr>
              <w:t>to</w:t>
            </w:r>
            <w:r>
              <w:rPr>
                <w:rFonts w:ascii="Arial"/>
                <w:spacing w:val="-2"/>
              </w:rPr>
              <w:t xml:space="preserve"> </w:t>
            </w:r>
            <w:r>
              <w:rPr>
                <w:rFonts w:ascii="Arial"/>
                <w:spacing w:val="-1"/>
              </w:rPr>
              <w:t>time.</w:t>
            </w:r>
          </w:p>
        </w:tc>
      </w:tr>
      <w:tr w:rsidR="008918FA" w:rsidTr="005D2B81">
        <w:trPr>
          <w:trHeight w:hRule="exact" w:val="2160"/>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"Sub-Contract"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5"/>
              </w:rPr>
              <w:t xml:space="preserve"> </w:t>
            </w:r>
            <w:r>
              <w:rPr>
                <w:rFonts w:ascii="Arial"/>
                <w:spacing w:val="-1"/>
              </w:rPr>
              <w:t>any</w:t>
            </w:r>
            <w:r>
              <w:rPr>
                <w:rFonts w:ascii="Arial"/>
                <w:spacing w:val="3"/>
              </w:rPr>
              <w:t xml:space="preserve"> </w:t>
            </w:r>
            <w:r>
              <w:rPr>
                <w:rFonts w:ascii="Arial"/>
                <w:spacing w:val="-1"/>
              </w:rPr>
              <w:t>contract</w:t>
            </w:r>
            <w:r>
              <w:rPr>
                <w:rFonts w:ascii="Arial"/>
                <w:spacing w:val="7"/>
              </w:rPr>
              <w:t xml:space="preserve"> </w:t>
            </w:r>
            <w:r>
              <w:rPr>
                <w:rFonts w:ascii="Arial"/>
                <w:spacing w:val="-1"/>
              </w:rPr>
              <w:t>or</w:t>
            </w:r>
            <w:r>
              <w:rPr>
                <w:rFonts w:ascii="Arial"/>
                <w:spacing w:val="6"/>
              </w:rPr>
              <w:t xml:space="preserve"> </w:t>
            </w:r>
            <w:r>
              <w:rPr>
                <w:rFonts w:ascii="Arial"/>
                <w:spacing w:val="-1"/>
              </w:rPr>
              <w:t>agreement</w:t>
            </w:r>
            <w:r>
              <w:rPr>
                <w:rFonts w:ascii="Arial"/>
                <w:spacing w:val="7"/>
              </w:rPr>
              <w:t xml:space="preserve"> </w:t>
            </w:r>
            <w:r>
              <w:rPr>
                <w:rFonts w:ascii="Arial"/>
                <w:spacing w:val="-1"/>
              </w:rPr>
              <w:t>or</w:t>
            </w:r>
            <w:r>
              <w:rPr>
                <w:rFonts w:ascii="Arial"/>
                <w:spacing w:val="6"/>
              </w:rPr>
              <w:t xml:space="preserve"> </w:t>
            </w:r>
            <w:r>
              <w:rPr>
                <w:rFonts w:ascii="Arial"/>
                <w:spacing w:val="-1"/>
              </w:rPr>
              <w:t>proposed</w:t>
            </w:r>
            <w:r>
              <w:rPr>
                <w:rFonts w:ascii="Arial"/>
                <w:spacing w:val="5"/>
              </w:rPr>
              <w:t xml:space="preserve"> </w:t>
            </w:r>
            <w:r>
              <w:rPr>
                <w:rFonts w:ascii="Arial"/>
                <w:spacing w:val="-1"/>
              </w:rPr>
              <w:t>contract</w:t>
            </w:r>
            <w:r>
              <w:rPr>
                <w:rFonts w:ascii="Arial"/>
                <w:spacing w:val="7"/>
              </w:rPr>
              <w:t xml:space="preserve"> </w:t>
            </w:r>
            <w:r>
              <w:rPr>
                <w:rFonts w:ascii="Arial"/>
                <w:spacing w:val="-3"/>
              </w:rPr>
              <w:t>or</w:t>
            </w:r>
            <w:r>
              <w:rPr>
                <w:rFonts w:ascii="Arial"/>
                <w:spacing w:val="20"/>
              </w:rPr>
              <w:t xml:space="preserve"> </w:t>
            </w:r>
            <w:r>
              <w:rPr>
                <w:rFonts w:ascii="Arial"/>
                <w:spacing w:val="-1"/>
              </w:rPr>
              <w:t>agreement</w:t>
            </w:r>
            <w:r>
              <w:rPr>
                <w:rFonts w:ascii="Arial"/>
                <w:spacing w:val="27"/>
              </w:rPr>
              <w:t xml:space="preserve"> </w:t>
            </w:r>
            <w:r>
              <w:rPr>
                <w:rFonts w:ascii="Arial"/>
                <w:spacing w:val="-1"/>
              </w:rPr>
              <w:t>between</w:t>
            </w:r>
            <w:r>
              <w:rPr>
                <w:rFonts w:ascii="Arial"/>
                <w:spacing w:val="26"/>
              </w:rPr>
              <w:t xml:space="preserve"> </w:t>
            </w:r>
            <w:r>
              <w:rPr>
                <w:rFonts w:ascii="Arial"/>
                <w:spacing w:val="-1"/>
              </w:rPr>
              <w:t>the</w:t>
            </w:r>
            <w:r>
              <w:rPr>
                <w:rFonts w:ascii="Arial"/>
                <w:spacing w:val="26"/>
              </w:rPr>
              <w:t xml:space="preserve"> </w:t>
            </w:r>
            <w:r>
              <w:rPr>
                <w:rFonts w:ascii="Arial"/>
                <w:spacing w:val="-2"/>
              </w:rPr>
              <w:t>Supplier</w:t>
            </w:r>
            <w:r>
              <w:rPr>
                <w:rFonts w:ascii="Arial"/>
                <w:spacing w:val="27"/>
              </w:rPr>
              <w:t xml:space="preserve"> </w:t>
            </w:r>
            <w:r>
              <w:rPr>
                <w:rFonts w:ascii="Arial"/>
                <w:spacing w:val="-1"/>
              </w:rPr>
              <w:t>and</w:t>
            </w:r>
            <w:r>
              <w:rPr>
                <w:rFonts w:ascii="Arial"/>
                <w:spacing w:val="26"/>
              </w:rPr>
              <w:t xml:space="preserve"> </w:t>
            </w:r>
            <w:r>
              <w:rPr>
                <w:rFonts w:ascii="Arial"/>
                <w:spacing w:val="-1"/>
              </w:rPr>
              <w:t>any</w:t>
            </w:r>
            <w:r>
              <w:rPr>
                <w:rFonts w:ascii="Arial"/>
                <w:spacing w:val="24"/>
              </w:rPr>
              <w:t xml:space="preserve"> </w:t>
            </w:r>
            <w:r>
              <w:rPr>
                <w:rFonts w:ascii="Arial"/>
                <w:spacing w:val="-1"/>
              </w:rPr>
              <w:t>third</w:t>
            </w:r>
            <w:r>
              <w:rPr>
                <w:rFonts w:ascii="Arial"/>
                <w:spacing w:val="26"/>
              </w:rPr>
              <w:t xml:space="preserve"> </w:t>
            </w:r>
            <w:r>
              <w:rPr>
                <w:rFonts w:ascii="Arial"/>
                <w:spacing w:val="-1"/>
              </w:rPr>
              <w:t>party</w:t>
            </w:r>
            <w:r>
              <w:rPr>
                <w:rFonts w:ascii="Arial"/>
                <w:spacing w:val="37"/>
              </w:rPr>
              <w:t xml:space="preserve"> </w:t>
            </w:r>
            <w:r>
              <w:rPr>
                <w:rFonts w:ascii="Arial"/>
                <w:spacing w:val="-1"/>
              </w:rPr>
              <w:t>whereby</w:t>
            </w:r>
            <w:r>
              <w:rPr>
                <w:rFonts w:ascii="Arial"/>
                <w:spacing w:val="13"/>
              </w:rPr>
              <w:t xml:space="preserve"> </w:t>
            </w:r>
            <w:r>
              <w:rPr>
                <w:rFonts w:ascii="Arial"/>
                <w:spacing w:val="-1"/>
              </w:rPr>
              <w:t>that</w:t>
            </w:r>
            <w:r>
              <w:rPr>
                <w:rFonts w:ascii="Arial"/>
                <w:spacing w:val="14"/>
              </w:rPr>
              <w:t xml:space="preserve"> </w:t>
            </w:r>
            <w:r>
              <w:rPr>
                <w:rFonts w:ascii="Arial"/>
                <w:spacing w:val="-1"/>
              </w:rPr>
              <w:t>third</w:t>
            </w:r>
            <w:r>
              <w:rPr>
                <w:rFonts w:ascii="Arial"/>
                <w:spacing w:val="15"/>
              </w:rPr>
              <w:t xml:space="preserve"> </w:t>
            </w:r>
            <w:r>
              <w:rPr>
                <w:rFonts w:ascii="Arial"/>
                <w:spacing w:val="-1"/>
              </w:rPr>
              <w:t>party</w:t>
            </w:r>
            <w:r>
              <w:rPr>
                <w:rFonts w:ascii="Arial"/>
                <w:spacing w:val="10"/>
              </w:rPr>
              <w:t xml:space="preserve"> </w:t>
            </w:r>
            <w:r>
              <w:rPr>
                <w:rFonts w:ascii="Arial"/>
                <w:spacing w:val="-1"/>
              </w:rPr>
              <w:t>agrees</w:t>
            </w:r>
            <w:r>
              <w:rPr>
                <w:rFonts w:ascii="Arial"/>
                <w:spacing w:val="13"/>
              </w:rPr>
              <w:t xml:space="preserve"> </w:t>
            </w:r>
            <w:r>
              <w:rPr>
                <w:rFonts w:ascii="Arial"/>
              </w:rPr>
              <w:t>to</w:t>
            </w:r>
            <w:r>
              <w:rPr>
                <w:rFonts w:ascii="Arial"/>
                <w:spacing w:val="15"/>
              </w:rPr>
              <w:t xml:space="preserve"> </w:t>
            </w:r>
            <w:r>
              <w:rPr>
                <w:rFonts w:ascii="Arial"/>
                <w:spacing w:val="-2"/>
              </w:rPr>
              <w:t>provide</w:t>
            </w:r>
            <w:r>
              <w:rPr>
                <w:rFonts w:ascii="Arial"/>
                <w:spacing w:val="15"/>
              </w:rPr>
              <w:t xml:space="preserve"> </w:t>
            </w:r>
            <w:r>
              <w:rPr>
                <w:rFonts w:ascii="Arial"/>
              </w:rPr>
              <w:t>to</w:t>
            </w:r>
            <w:r>
              <w:rPr>
                <w:rFonts w:ascii="Arial"/>
                <w:spacing w:val="12"/>
              </w:rPr>
              <w:t xml:space="preserve"> </w:t>
            </w:r>
            <w:r>
              <w:rPr>
                <w:rFonts w:ascii="Arial"/>
              </w:rPr>
              <w:t>the</w:t>
            </w:r>
            <w:r>
              <w:rPr>
                <w:rFonts w:ascii="Arial"/>
                <w:spacing w:val="12"/>
              </w:rPr>
              <w:t xml:space="preserve"> </w:t>
            </w:r>
            <w:r>
              <w:rPr>
                <w:rFonts w:ascii="Arial"/>
                <w:spacing w:val="-2"/>
              </w:rPr>
              <w:t>Supplier</w:t>
            </w:r>
            <w:r>
              <w:rPr>
                <w:rFonts w:ascii="Arial"/>
                <w:spacing w:val="52"/>
              </w:rPr>
              <w:t xml:space="preserve"> </w:t>
            </w:r>
            <w:r>
              <w:rPr>
                <w:rFonts w:ascii="Arial"/>
              </w:rPr>
              <w:t>the</w:t>
            </w:r>
            <w:r>
              <w:rPr>
                <w:rFonts w:ascii="Arial"/>
                <w:spacing w:val="3"/>
              </w:rPr>
              <w:t xml:space="preserve"> </w:t>
            </w:r>
            <w:r>
              <w:rPr>
                <w:rFonts w:ascii="Arial"/>
                <w:spacing w:val="-1"/>
              </w:rPr>
              <w:t>Goods</w:t>
            </w:r>
            <w:r>
              <w:rPr>
                <w:rFonts w:ascii="Arial"/>
                <w:spacing w:val="5"/>
              </w:rPr>
              <w:t xml:space="preserve"> </w:t>
            </w:r>
            <w:r>
              <w:rPr>
                <w:rFonts w:ascii="Arial"/>
                <w:spacing w:val="-1"/>
              </w:rPr>
              <w:t>and/or</w:t>
            </w:r>
            <w:r>
              <w:rPr>
                <w:rFonts w:ascii="Arial"/>
                <w:spacing w:val="6"/>
              </w:rPr>
              <w:t xml:space="preserve"> </w:t>
            </w:r>
            <w:r>
              <w:rPr>
                <w:rFonts w:ascii="Arial"/>
                <w:spacing w:val="-2"/>
              </w:rPr>
              <w:t>Services</w:t>
            </w:r>
            <w:r>
              <w:rPr>
                <w:rFonts w:ascii="Arial"/>
                <w:spacing w:val="5"/>
              </w:rPr>
              <w:t xml:space="preserve"> </w:t>
            </w:r>
            <w:r>
              <w:rPr>
                <w:rFonts w:ascii="Arial"/>
                <w:spacing w:val="-1"/>
              </w:rPr>
              <w:t>or</w:t>
            </w:r>
            <w:r>
              <w:rPr>
                <w:rFonts w:ascii="Arial"/>
                <w:spacing w:val="6"/>
              </w:rPr>
              <w:t xml:space="preserve"> </w:t>
            </w:r>
            <w:r>
              <w:rPr>
                <w:rFonts w:ascii="Arial"/>
                <w:spacing w:val="-1"/>
              </w:rPr>
              <w:t>any</w:t>
            </w:r>
            <w:r>
              <w:rPr>
                <w:rFonts w:ascii="Arial"/>
                <w:spacing w:val="3"/>
              </w:rPr>
              <w:t xml:space="preserve"> </w:t>
            </w:r>
            <w:r>
              <w:rPr>
                <w:rFonts w:ascii="Arial"/>
                <w:spacing w:val="-1"/>
              </w:rPr>
              <w:t>part</w:t>
            </w:r>
            <w:r>
              <w:rPr>
                <w:rFonts w:ascii="Arial"/>
                <w:spacing w:val="7"/>
              </w:rPr>
              <w:t xml:space="preserve"> </w:t>
            </w:r>
            <w:r>
              <w:rPr>
                <w:rFonts w:ascii="Arial"/>
                <w:spacing w:val="-1"/>
              </w:rPr>
              <w:t>thereof</w:t>
            </w:r>
            <w:r>
              <w:rPr>
                <w:rFonts w:ascii="Arial"/>
                <w:spacing w:val="7"/>
              </w:rPr>
              <w:t xml:space="preserve"> </w:t>
            </w:r>
            <w:r>
              <w:rPr>
                <w:rFonts w:ascii="Arial"/>
                <w:spacing w:val="-1"/>
              </w:rPr>
              <w:t>or</w:t>
            </w:r>
            <w:r>
              <w:rPr>
                <w:rFonts w:ascii="Arial"/>
                <w:spacing w:val="2"/>
              </w:rPr>
              <w:t xml:space="preserve"> </w:t>
            </w:r>
            <w:r>
              <w:rPr>
                <w:rFonts w:ascii="Arial"/>
                <w:spacing w:val="-1"/>
              </w:rPr>
              <w:t>facilities,</w:t>
            </w:r>
            <w:r>
              <w:rPr>
                <w:rFonts w:ascii="Arial"/>
                <w:spacing w:val="28"/>
              </w:rPr>
              <w:t xml:space="preserve"> </w:t>
            </w:r>
            <w:r>
              <w:rPr>
                <w:rFonts w:ascii="Arial"/>
                <w:spacing w:val="-1"/>
              </w:rPr>
              <w:t>services</w:t>
            </w:r>
            <w:r>
              <w:rPr>
                <w:rFonts w:ascii="Arial"/>
                <w:spacing w:val="20"/>
              </w:rPr>
              <w:t xml:space="preserve"> </w:t>
            </w:r>
            <w:r>
              <w:rPr>
                <w:rFonts w:ascii="Arial"/>
                <w:spacing w:val="-1"/>
              </w:rPr>
              <w:t>necessary</w:t>
            </w:r>
            <w:r>
              <w:rPr>
                <w:rFonts w:ascii="Arial"/>
                <w:spacing w:val="18"/>
              </w:rPr>
              <w:t xml:space="preserve"> </w:t>
            </w:r>
            <w:r>
              <w:rPr>
                <w:rFonts w:ascii="Arial"/>
              </w:rPr>
              <w:t>for</w:t>
            </w:r>
            <w:r>
              <w:rPr>
                <w:rFonts w:ascii="Arial"/>
                <w:spacing w:val="21"/>
              </w:rPr>
              <w:t xml:space="preserve"> </w:t>
            </w:r>
            <w:r>
              <w:rPr>
                <w:rFonts w:ascii="Arial"/>
                <w:spacing w:val="-1"/>
              </w:rPr>
              <w:t>the</w:t>
            </w:r>
            <w:r>
              <w:rPr>
                <w:rFonts w:ascii="Arial"/>
                <w:spacing w:val="19"/>
              </w:rPr>
              <w:t xml:space="preserve"> </w:t>
            </w:r>
            <w:r>
              <w:rPr>
                <w:rFonts w:ascii="Arial"/>
                <w:spacing w:val="-2"/>
              </w:rPr>
              <w:t>provision</w:t>
            </w:r>
            <w:r>
              <w:rPr>
                <w:rFonts w:ascii="Arial"/>
                <w:spacing w:val="22"/>
              </w:rPr>
              <w:t xml:space="preserve"> </w:t>
            </w:r>
            <w:r>
              <w:rPr>
                <w:rFonts w:ascii="Arial"/>
                <w:spacing w:val="-1"/>
              </w:rPr>
              <w:t>of</w:t>
            </w:r>
            <w:r>
              <w:rPr>
                <w:rFonts w:ascii="Arial"/>
                <w:spacing w:val="23"/>
              </w:rPr>
              <w:t xml:space="preserve"> </w:t>
            </w:r>
            <w:r>
              <w:rPr>
                <w:rFonts w:ascii="Arial"/>
              </w:rPr>
              <w:t>the</w:t>
            </w:r>
            <w:r>
              <w:rPr>
                <w:rFonts w:ascii="Arial"/>
                <w:spacing w:val="20"/>
              </w:rPr>
              <w:t xml:space="preserve"> </w:t>
            </w:r>
            <w:r>
              <w:rPr>
                <w:rFonts w:ascii="Arial"/>
                <w:spacing w:val="-1"/>
              </w:rPr>
              <w:t>Goods</w:t>
            </w:r>
            <w:r>
              <w:rPr>
                <w:rFonts w:ascii="Arial"/>
                <w:spacing w:val="20"/>
              </w:rPr>
              <w:t xml:space="preserve"> </w:t>
            </w:r>
            <w:r>
              <w:rPr>
                <w:rFonts w:ascii="Arial"/>
                <w:spacing w:val="-1"/>
              </w:rPr>
              <w:t>and/or</w:t>
            </w:r>
            <w:r>
              <w:rPr>
                <w:rFonts w:ascii="Arial"/>
                <w:spacing w:val="37"/>
              </w:rPr>
              <w:t xml:space="preserve"> </w:t>
            </w:r>
            <w:r>
              <w:rPr>
                <w:rFonts w:ascii="Arial"/>
                <w:spacing w:val="-1"/>
              </w:rPr>
              <w:t>Services</w:t>
            </w:r>
            <w:r>
              <w:rPr>
                <w:rFonts w:ascii="Arial"/>
                <w:spacing w:val="59"/>
              </w:rPr>
              <w:t xml:space="preserve"> </w:t>
            </w:r>
            <w:r>
              <w:rPr>
                <w:rFonts w:ascii="Arial"/>
                <w:spacing w:val="-1"/>
              </w:rPr>
              <w:t>or</w:t>
            </w:r>
            <w:r>
              <w:rPr>
                <w:rFonts w:ascii="Arial"/>
                <w:spacing w:val="60"/>
              </w:rPr>
              <w:t xml:space="preserve"> </w:t>
            </w:r>
            <w:r>
              <w:rPr>
                <w:rFonts w:ascii="Arial"/>
                <w:spacing w:val="-1"/>
              </w:rPr>
              <w:t>any</w:t>
            </w:r>
            <w:r>
              <w:rPr>
                <w:rFonts w:ascii="Arial"/>
                <w:spacing w:val="57"/>
              </w:rPr>
              <w:t xml:space="preserve"> </w:t>
            </w:r>
            <w:r>
              <w:rPr>
                <w:rFonts w:ascii="Arial"/>
                <w:spacing w:val="-1"/>
              </w:rPr>
              <w:t>part</w:t>
            </w:r>
            <w:r>
              <w:rPr>
                <w:rFonts w:ascii="Arial"/>
                <w:spacing w:val="58"/>
              </w:rPr>
              <w:t xml:space="preserve"> </w:t>
            </w:r>
            <w:r>
              <w:rPr>
                <w:rFonts w:ascii="Arial"/>
                <w:spacing w:val="-1"/>
              </w:rPr>
              <w:t>thereof</w:t>
            </w:r>
            <w:r>
              <w:rPr>
                <w:rFonts w:ascii="Arial"/>
              </w:rPr>
              <w:t xml:space="preserve">  </w:t>
            </w:r>
            <w:r>
              <w:rPr>
                <w:rFonts w:ascii="Arial"/>
                <w:spacing w:val="-1"/>
              </w:rPr>
              <w:t>or</w:t>
            </w:r>
            <w:r>
              <w:rPr>
                <w:rFonts w:ascii="Arial"/>
                <w:spacing w:val="58"/>
              </w:rPr>
              <w:t xml:space="preserve"> </w:t>
            </w:r>
            <w:r>
              <w:rPr>
                <w:rFonts w:ascii="Arial"/>
                <w:spacing w:val="-1"/>
              </w:rPr>
              <w:t>necessary</w:t>
            </w:r>
            <w:r>
              <w:rPr>
                <w:rFonts w:ascii="Arial"/>
                <w:spacing w:val="55"/>
              </w:rPr>
              <w:t xml:space="preserve"> </w:t>
            </w:r>
            <w:r>
              <w:rPr>
                <w:rFonts w:ascii="Arial"/>
              </w:rPr>
              <w:t>for</w:t>
            </w:r>
            <w:r>
              <w:rPr>
                <w:rFonts w:ascii="Arial"/>
                <w:spacing w:val="59"/>
              </w:rPr>
              <w:t xml:space="preserve"> </w:t>
            </w:r>
            <w:r>
              <w:rPr>
                <w:rFonts w:ascii="Arial"/>
                <w:spacing w:val="-1"/>
              </w:rPr>
              <w:t>the</w:t>
            </w:r>
            <w:r>
              <w:rPr>
                <w:rFonts w:ascii="Arial"/>
                <w:spacing w:val="26"/>
              </w:rPr>
              <w:t xml:space="preserve"> </w:t>
            </w:r>
            <w:r>
              <w:rPr>
                <w:rFonts w:ascii="Arial"/>
                <w:spacing w:val="-1"/>
              </w:rPr>
              <w:t>management,</w:t>
            </w:r>
            <w:r>
              <w:rPr>
                <w:rFonts w:ascii="Arial"/>
                <w:spacing w:val="35"/>
              </w:rPr>
              <w:t xml:space="preserve"> </w:t>
            </w:r>
            <w:r>
              <w:rPr>
                <w:rFonts w:ascii="Arial"/>
                <w:spacing w:val="-1"/>
              </w:rPr>
              <w:t>direction</w:t>
            </w:r>
            <w:r>
              <w:rPr>
                <w:rFonts w:ascii="Arial"/>
                <w:spacing w:val="36"/>
              </w:rPr>
              <w:t xml:space="preserve"> </w:t>
            </w:r>
            <w:r>
              <w:rPr>
                <w:rFonts w:ascii="Arial"/>
                <w:spacing w:val="-1"/>
              </w:rPr>
              <w:t>or</w:t>
            </w:r>
            <w:r>
              <w:rPr>
                <w:rFonts w:ascii="Arial"/>
                <w:spacing w:val="38"/>
              </w:rPr>
              <w:t xml:space="preserve"> </w:t>
            </w:r>
            <w:r>
              <w:rPr>
                <w:rFonts w:ascii="Arial"/>
                <w:spacing w:val="-1"/>
              </w:rPr>
              <w:t>control</w:t>
            </w:r>
            <w:r>
              <w:rPr>
                <w:rFonts w:ascii="Arial"/>
                <w:spacing w:val="36"/>
              </w:rPr>
              <w:t xml:space="preserve"> </w:t>
            </w:r>
            <w:r>
              <w:rPr>
                <w:rFonts w:ascii="Arial"/>
                <w:spacing w:val="-2"/>
              </w:rPr>
              <w:t>of</w:t>
            </w:r>
            <w:r>
              <w:rPr>
                <w:rFonts w:ascii="Arial"/>
                <w:spacing w:val="38"/>
              </w:rPr>
              <w:t xml:space="preserve"> </w:t>
            </w:r>
            <w:r>
              <w:rPr>
                <w:rFonts w:ascii="Arial"/>
              </w:rPr>
              <w:t>the</w:t>
            </w:r>
            <w:r>
              <w:rPr>
                <w:rFonts w:ascii="Arial"/>
                <w:spacing w:val="36"/>
              </w:rPr>
              <w:t xml:space="preserve"> </w:t>
            </w:r>
            <w:r>
              <w:rPr>
                <w:rFonts w:ascii="Arial"/>
                <w:spacing w:val="-2"/>
              </w:rPr>
              <w:t>provision</w:t>
            </w:r>
            <w:r>
              <w:rPr>
                <w:rFonts w:ascii="Arial"/>
                <w:spacing w:val="37"/>
              </w:rPr>
              <w:t xml:space="preserve"> </w:t>
            </w:r>
            <w:r>
              <w:rPr>
                <w:rFonts w:ascii="Arial"/>
                <w:spacing w:val="-2"/>
              </w:rPr>
              <w:t>of</w:t>
            </w:r>
            <w:r>
              <w:rPr>
                <w:rFonts w:ascii="Arial"/>
                <w:spacing w:val="38"/>
              </w:rPr>
              <w:t xml:space="preserve"> </w:t>
            </w:r>
            <w:r>
              <w:rPr>
                <w:rFonts w:ascii="Arial"/>
                <w:spacing w:val="-1"/>
              </w:rPr>
              <w:t>the</w:t>
            </w:r>
            <w:r>
              <w:rPr>
                <w:rFonts w:ascii="Arial"/>
                <w:spacing w:val="34"/>
              </w:rPr>
              <w:t xml:space="preserve"> </w:t>
            </w:r>
            <w:r>
              <w:rPr>
                <w:rFonts w:ascii="Arial"/>
                <w:spacing w:val="-1"/>
              </w:rPr>
              <w:t>Goods</w:t>
            </w:r>
            <w:r>
              <w:rPr>
                <w:rFonts w:ascii="Arial"/>
                <w:spacing w:val="1"/>
              </w:rPr>
              <w:t xml:space="preserve"> </w:t>
            </w:r>
            <w:r>
              <w:rPr>
                <w:rFonts w:ascii="Arial"/>
                <w:spacing w:val="-1"/>
              </w:rPr>
              <w:t>and/or Services</w:t>
            </w:r>
            <w:r>
              <w:rPr>
                <w:rFonts w:ascii="Arial"/>
                <w:spacing w:val="1"/>
              </w:rPr>
              <w:t xml:space="preserve"> </w:t>
            </w:r>
            <w:r>
              <w:rPr>
                <w:rFonts w:ascii="Arial"/>
                <w:spacing w:val="-2"/>
              </w:rPr>
              <w:t>or</w:t>
            </w:r>
            <w:r>
              <w:rPr>
                <w:rFonts w:ascii="Arial"/>
                <w:spacing w:val="2"/>
              </w:rPr>
              <w:t xml:space="preserve"> </w:t>
            </w:r>
            <w:r>
              <w:rPr>
                <w:rFonts w:ascii="Arial"/>
                <w:spacing w:val="-1"/>
              </w:rPr>
              <w:t>any</w:t>
            </w:r>
            <w:r>
              <w:rPr>
                <w:rFonts w:ascii="Arial"/>
                <w:spacing w:val="-2"/>
              </w:rPr>
              <w:t xml:space="preserve"> </w:t>
            </w:r>
            <w:r>
              <w:rPr>
                <w:rFonts w:ascii="Arial"/>
                <w:spacing w:val="-1"/>
              </w:rPr>
              <w:t>part</w:t>
            </w:r>
            <w:r>
              <w:rPr>
                <w:rFonts w:ascii="Arial"/>
              </w:rPr>
              <w:t xml:space="preserve"> </w:t>
            </w:r>
            <w:r>
              <w:rPr>
                <w:rFonts w:ascii="Arial"/>
                <w:spacing w:val="-1"/>
              </w:rPr>
              <w:t>thereof;</w:t>
            </w:r>
          </w:p>
        </w:tc>
      </w:tr>
      <w:tr w:rsidR="008918FA" w:rsidTr="005D2B81">
        <w:trPr>
          <w:trHeight w:hRule="exact" w:val="165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"Sub-Contractor"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15"/>
              </w:rPr>
              <w:t xml:space="preserve"> </w:t>
            </w:r>
            <w:r>
              <w:rPr>
                <w:rFonts w:ascii="Arial"/>
                <w:spacing w:val="-1"/>
              </w:rPr>
              <w:t>any</w:t>
            </w:r>
            <w:r>
              <w:rPr>
                <w:rFonts w:ascii="Arial"/>
                <w:spacing w:val="13"/>
              </w:rPr>
              <w:t xml:space="preserve"> </w:t>
            </w:r>
            <w:r>
              <w:rPr>
                <w:rFonts w:ascii="Arial"/>
                <w:spacing w:val="-1"/>
              </w:rPr>
              <w:t>third</w:t>
            </w:r>
            <w:r>
              <w:rPr>
                <w:rFonts w:ascii="Arial"/>
                <w:spacing w:val="15"/>
              </w:rPr>
              <w:t xml:space="preserve"> </w:t>
            </w:r>
            <w:r>
              <w:rPr>
                <w:rFonts w:ascii="Arial"/>
                <w:spacing w:val="-1"/>
              </w:rPr>
              <w:t>party</w:t>
            </w:r>
            <w:r>
              <w:rPr>
                <w:rFonts w:ascii="Arial"/>
                <w:spacing w:val="13"/>
              </w:rPr>
              <w:t xml:space="preserve"> </w:t>
            </w:r>
            <w:r>
              <w:rPr>
                <w:rFonts w:ascii="Arial"/>
                <w:spacing w:val="-1"/>
              </w:rPr>
              <w:t>engaged</w:t>
            </w:r>
            <w:r>
              <w:rPr>
                <w:rFonts w:ascii="Arial"/>
                <w:spacing w:val="15"/>
              </w:rPr>
              <w:t xml:space="preserve"> </w:t>
            </w:r>
            <w:r>
              <w:rPr>
                <w:rFonts w:ascii="Arial"/>
                <w:spacing w:val="-1"/>
              </w:rPr>
              <w:t>by</w:t>
            </w:r>
            <w:r>
              <w:rPr>
                <w:rFonts w:ascii="Arial"/>
                <w:spacing w:val="13"/>
              </w:rPr>
              <w:t xml:space="preserve"> </w:t>
            </w:r>
            <w:r>
              <w:rPr>
                <w:rFonts w:ascii="Arial"/>
              </w:rPr>
              <w:t>the</w:t>
            </w:r>
            <w:r>
              <w:rPr>
                <w:rFonts w:ascii="Arial"/>
                <w:spacing w:val="15"/>
              </w:rPr>
              <w:t xml:space="preserve"> </w:t>
            </w:r>
            <w:r>
              <w:rPr>
                <w:rFonts w:ascii="Arial"/>
                <w:spacing w:val="-1"/>
              </w:rPr>
              <w:t>Supplier,</w:t>
            </w:r>
            <w:r>
              <w:rPr>
                <w:rFonts w:ascii="Arial"/>
                <w:spacing w:val="14"/>
              </w:rPr>
              <w:t xml:space="preserve"> </w:t>
            </w:r>
            <w:r>
              <w:rPr>
                <w:rFonts w:ascii="Arial"/>
                <w:spacing w:val="-2"/>
              </w:rPr>
              <w:t>including</w:t>
            </w:r>
            <w:r>
              <w:rPr>
                <w:rFonts w:ascii="Arial"/>
                <w:spacing w:val="38"/>
              </w:rPr>
              <w:t xml:space="preserve"> </w:t>
            </w:r>
            <w:r>
              <w:rPr>
                <w:rFonts w:ascii="Arial"/>
                <w:spacing w:val="-1"/>
              </w:rPr>
              <w:t>any</w:t>
            </w:r>
            <w:r>
              <w:rPr>
                <w:rFonts w:ascii="Arial"/>
                <w:spacing w:val="22"/>
              </w:rPr>
              <w:t xml:space="preserve"> </w:t>
            </w:r>
            <w:r>
              <w:rPr>
                <w:rFonts w:ascii="Arial"/>
              </w:rPr>
              <w:t>Key</w:t>
            </w:r>
            <w:r>
              <w:rPr>
                <w:rFonts w:ascii="Arial"/>
                <w:spacing w:val="22"/>
              </w:rPr>
              <w:t xml:space="preserve"> </w:t>
            </w:r>
            <w:r>
              <w:rPr>
                <w:rFonts w:ascii="Arial"/>
                <w:spacing w:val="-1"/>
              </w:rPr>
              <w:t>Sub-Contractor,</w:t>
            </w:r>
            <w:r>
              <w:rPr>
                <w:rFonts w:ascii="Arial"/>
                <w:spacing w:val="24"/>
              </w:rPr>
              <w:t xml:space="preserve"> </w:t>
            </w:r>
            <w:r>
              <w:rPr>
                <w:rFonts w:ascii="Arial"/>
              </w:rPr>
              <w:t>from</w:t>
            </w:r>
            <w:r>
              <w:rPr>
                <w:rFonts w:ascii="Arial"/>
                <w:spacing w:val="26"/>
              </w:rPr>
              <w:t xml:space="preserve"> </w:t>
            </w:r>
            <w:r>
              <w:rPr>
                <w:rFonts w:ascii="Arial"/>
                <w:spacing w:val="-1"/>
              </w:rPr>
              <w:t>time</w:t>
            </w:r>
            <w:r>
              <w:rPr>
                <w:rFonts w:ascii="Arial"/>
                <w:spacing w:val="24"/>
              </w:rPr>
              <w:t xml:space="preserve"> </w:t>
            </w:r>
            <w:r>
              <w:rPr>
                <w:rFonts w:ascii="Arial"/>
              </w:rPr>
              <w:t>to</w:t>
            </w:r>
            <w:r>
              <w:rPr>
                <w:rFonts w:ascii="Arial"/>
                <w:spacing w:val="24"/>
              </w:rPr>
              <w:t xml:space="preserve"> </w:t>
            </w:r>
            <w:r>
              <w:rPr>
                <w:rFonts w:ascii="Arial"/>
                <w:spacing w:val="-1"/>
              </w:rPr>
              <w:t>time</w:t>
            </w:r>
            <w:r>
              <w:rPr>
                <w:rFonts w:ascii="Arial"/>
                <w:spacing w:val="24"/>
              </w:rPr>
              <w:t xml:space="preserve"> </w:t>
            </w:r>
            <w:r>
              <w:rPr>
                <w:rFonts w:ascii="Arial"/>
                <w:spacing w:val="-2"/>
              </w:rPr>
              <w:t>under</w:t>
            </w:r>
            <w:r>
              <w:rPr>
                <w:rFonts w:ascii="Arial"/>
                <w:spacing w:val="26"/>
              </w:rPr>
              <w:t xml:space="preserve"> </w:t>
            </w:r>
            <w:r>
              <w:rPr>
                <w:rFonts w:ascii="Arial"/>
              </w:rPr>
              <w:t>a</w:t>
            </w:r>
            <w:r>
              <w:rPr>
                <w:rFonts w:ascii="Arial"/>
                <w:spacing w:val="24"/>
              </w:rPr>
              <w:t xml:space="preserve"> </w:t>
            </w:r>
            <w:r>
              <w:rPr>
                <w:rFonts w:ascii="Arial"/>
                <w:spacing w:val="-1"/>
              </w:rPr>
              <w:t>Sub-</w:t>
            </w:r>
            <w:r>
              <w:rPr>
                <w:rFonts w:ascii="Arial"/>
                <w:spacing w:val="37"/>
              </w:rPr>
              <w:t xml:space="preserve"> </w:t>
            </w:r>
            <w:r>
              <w:rPr>
                <w:rFonts w:ascii="Arial"/>
                <w:spacing w:val="-1"/>
              </w:rPr>
              <w:t>Contract</w:t>
            </w:r>
            <w:r>
              <w:rPr>
                <w:rFonts w:ascii="Arial"/>
                <w:spacing w:val="7"/>
              </w:rPr>
              <w:t xml:space="preserve"> </w:t>
            </w:r>
            <w:r>
              <w:rPr>
                <w:rFonts w:ascii="Arial"/>
                <w:spacing w:val="-1"/>
              </w:rPr>
              <w:t>permitted</w:t>
            </w:r>
            <w:r>
              <w:rPr>
                <w:rFonts w:ascii="Arial"/>
                <w:spacing w:val="5"/>
              </w:rPr>
              <w:t xml:space="preserve"> </w:t>
            </w:r>
            <w:r>
              <w:rPr>
                <w:rFonts w:ascii="Arial"/>
                <w:spacing w:val="-2"/>
              </w:rPr>
              <w:t>pursuant</w:t>
            </w:r>
            <w:r>
              <w:rPr>
                <w:rFonts w:ascii="Arial"/>
                <w:spacing w:val="7"/>
              </w:rPr>
              <w:t xml:space="preserve"> </w:t>
            </w:r>
            <w:r>
              <w:rPr>
                <w:rFonts w:ascii="Arial"/>
              </w:rPr>
              <w:t>to</w:t>
            </w:r>
            <w:r>
              <w:rPr>
                <w:rFonts w:ascii="Arial"/>
                <w:spacing w:val="3"/>
              </w:rPr>
              <w:t xml:space="preserve"> </w:t>
            </w:r>
            <w:r>
              <w:rPr>
                <w:rFonts w:ascii="Arial"/>
              </w:rPr>
              <w:t>the</w:t>
            </w:r>
            <w:r>
              <w:rPr>
                <w:rFonts w:ascii="Arial"/>
                <w:spacing w:val="5"/>
              </w:rPr>
              <w:t xml:space="preserve"> </w:t>
            </w:r>
            <w:r>
              <w:rPr>
                <w:rFonts w:ascii="Arial"/>
                <w:spacing w:val="-2"/>
              </w:rPr>
              <w:t>Framework</w:t>
            </w:r>
            <w:r>
              <w:rPr>
                <w:rFonts w:ascii="Arial"/>
                <w:spacing w:val="8"/>
              </w:rPr>
              <w:t xml:space="preserve"> </w:t>
            </w:r>
            <w:r>
              <w:rPr>
                <w:rFonts w:ascii="Arial"/>
                <w:spacing w:val="-2"/>
              </w:rPr>
              <w:t>Agreement</w:t>
            </w:r>
            <w:r>
              <w:rPr>
                <w:rFonts w:ascii="Arial"/>
                <w:spacing w:val="57"/>
              </w:rPr>
              <w:t xml:space="preserve"> </w:t>
            </w:r>
            <w:r>
              <w:rPr>
                <w:rFonts w:ascii="Arial"/>
                <w:spacing w:val="-1"/>
              </w:rPr>
              <w:t>and</w:t>
            </w:r>
            <w:r>
              <w:rPr>
                <w:rFonts w:ascii="Arial"/>
                <w:spacing w:val="36"/>
              </w:rPr>
              <w:t xml:space="preserve"> </w:t>
            </w:r>
            <w:r>
              <w:rPr>
                <w:rFonts w:ascii="Arial"/>
                <w:spacing w:val="-1"/>
              </w:rPr>
              <w:t>this</w:t>
            </w:r>
            <w:r>
              <w:rPr>
                <w:rFonts w:ascii="Arial"/>
                <w:spacing w:val="37"/>
              </w:rPr>
              <w:t xml:space="preserve"> </w:t>
            </w:r>
            <w:r>
              <w:rPr>
                <w:rFonts w:ascii="Arial"/>
                <w:spacing w:val="-2"/>
              </w:rPr>
              <w:t>Call</w:t>
            </w:r>
            <w:r>
              <w:rPr>
                <w:rFonts w:ascii="Arial"/>
                <w:spacing w:val="36"/>
              </w:rPr>
              <w:t xml:space="preserve"> </w:t>
            </w:r>
            <w:r>
              <w:rPr>
                <w:rFonts w:ascii="Arial"/>
              </w:rPr>
              <w:t>Off</w:t>
            </w:r>
            <w:r>
              <w:rPr>
                <w:rFonts w:ascii="Arial"/>
                <w:spacing w:val="40"/>
              </w:rPr>
              <w:t xml:space="preserve"> </w:t>
            </w:r>
            <w:r>
              <w:rPr>
                <w:rFonts w:ascii="Arial"/>
                <w:spacing w:val="-2"/>
              </w:rPr>
              <w:t>Contract</w:t>
            </w:r>
            <w:r>
              <w:rPr>
                <w:rFonts w:ascii="Arial"/>
                <w:spacing w:val="38"/>
              </w:rPr>
              <w:t xml:space="preserve"> </w:t>
            </w:r>
            <w:r>
              <w:rPr>
                <w:rFonts w:ascii="Arial"/>
                <w:spacing w:val="-1"/>
              </w:rPr>
              <w:t>or</w:t>
            </w:r>
            <w:r>
              <w:rPr>
                <w:rFonts w:ascii="Arial"/>
                <w:spacing w:val="38"/>
              </w:rPr>
              <w:t xml:space="preserve"> </w:t>
            </w:r>
            <w:r>
              <w:rPr>
                <w:rFonts w:ascii="Arial"/>
                <w:spacing w:val="-1"/>
              </w:rPr>
              <w:t>its</w:t>
            </w:r>
            <w:r>
              <w:rPr>
                <w:rFonts w:ascii="Arial"/>
                <w:spacing w:val="38"/>
              </w:rPr>
              <w:t xml:space="preserve"> </w:t>
            </w:r>
            <w:r>
              <w:rPr>
                <w:rFonts w:ascii="Arial"/>
                <w:spacing w:val="-1"/>
              </w:rPr>
              <w:t>servants</w:t>
            </w:r>
            <w:r>
              <w:rPr>
                <w:rFonts w:ascii="Arial"/>
                <w:spacing w:val="37"/>
              </w:rPr>
              <w:t xml:space="preserve"> </w:t>
            </w:r>
            <w:r>
              <w:rPr>
                <w:rFonts w:ascii="Arial"/>
                <w:spacing w:val="-1"/>
              </w:rPr>
              <w:t>or</w:t>
            </w:r>
            <w:r>
              <w:rPr>
                <w:rFonts w:ascii="Arial"/>
                <w:spacing w:val="38"/>
              </w:rPr>
              <w:t xml:space="preserve"> </w:t>
            </w:r>
            <w:r>
              <w:rPr>
                <w:rFonts w:ascii="Arial"/>
                <w:spacing w:val="-1"/>
              </w:rPr>
              <w:t>agents</w:t>
            </w:r>
            <w:r>
              <w:rPr>
                <w:rFonts w:ascii="Arial"/>
                <w:spacing w:val="37"/>
              </w:rPr>
              <w:t xml:space="preserve"> </w:t>
            </w:r>
            <w:r>
              <w:rPr>
                <w:rFonts w:ascii="Arial"/>
                <w:spacing w:val="-1"/>
              </w:rPr>
              <w:t>and</w:t>
            </w:r>
            <w:r>
              <w:rPr>
                <w:rFonts w:ascii="Arial"/>
                <w:spacing w:val="44"/>
              </w:rPr>
              <w:t xml:space="preserve"> </w:t>
            </w:r>
            <w:r>
              <w:rPr>
                <w:rFonts w:ascii="Arial"/>
                <w:spacing w:val="-1"/>
              </w:rPr>
              <w:t>any</w:t>
            </w:r>
            <w:r>
              <w:rPr>
                <w:rFonts w:ascii="Arial"/>
                <w:spacing w:val="41"/>
              </w:rPr>
              <w:t xml:space="preserve"> </w:t>
            </w:r>
            <w:r>
              <w:rPr>
                <w:rFonts w:ascii="Arial"/>
                <w:spacing w:val="-1"/>
              </w:rPr>
              <w:t>third</w:t>
            </w:r>
            <w:r>
              <w:rPr>
                <w:rFonts w:ascii="Arial"/>
                <w:spacing w:val="43"/>
              </w:rPr>
              <w:t xml:space="preserve"> </w:t>
            </w:r>
            <w:r>
              <w:rPr>
                <w:rFonts w:ascii="Arial"/>
                <w:spacing w:val="-1"/>
              </w:rPr>
              <w:t>party</w:t>
            </w:r>
            <w:r>
              <w:rPr>
                <w:rFonts w:ascii="Arial"/>
                <w:spacing w:val="41"/>
              </w:rPr>
              <w:t xml:space="preserve"> </w:t>
            </w:r>
            <w:r>
              <w:rPr>
                <w:rFonts w:ascii="Arial"/>
                <w:spacing w:val="-2"/>
              </w:rPr>
              <w:t>with</w:t>
            </w:r>
            <w:r>
              <w:rPr>
                <w:rFonts w:ascii="Arial"/>
                <w:spacing w:val="43"/>
              </w:rPr>
              <w:t xml:space="preserve"> </w:t>
            </w:r>
            <w:r>
              <w:rPr>
                <w:rFonts w:ascii="Arial"/>
                <w:spacing w:val="-1"/>
              </w:rPr>
              <w:t>whom</w:t>
            </w:r>
            <w:r>
              <w:rPr>
                <w:rFonts w:ascii="Arial"/>
                <w:spacing w:val="45"/>
              </w:rPr>
              <w:t xml:space="preserve"> </w:t>
            </w:r>
            <w:r>
              <w:rPr>
                <w:rFonts w:ascii="Arial"/>
                <w:spacing w:val="-1"/>
              </w:rPr>
              <w:t>that</w:t>
            </w:r>
            <w:r>
              <w:rPr>
                <w:rFonts w:ascii="Arial"/>
                <w:spacing w:val="42"/>
              </w:rPr>
              <w:t xml:space="preserve"> </w:t>
            </w:r>
            <w:r>
              <w:rPr>
                <w:rFonts w:ascii="Arial"/>
                <w:spacing w:val="-1"/>
              </w:rPr>
              <w:t>third</w:t>
            </w:r>
            <w:r>
              <w:rPr>
                <w:rFonts w:ascii="Arial"/>
                <w:spacing w:val="44"/>
              </w:rPr>
              <w:t xml:space="preserve"> </w:t>
            </w:r>
            <w:r>
              <w:rPr>
                <w:rFonts w:ascii="Arial"/>
                <w:spacing w:val="-1"/>
              </w:rPr>
              <w:t>party</w:t>
            </w:r>
            <w:r>
              <w:rPr>
                <w:rFonts w:ascii="Arial"/>
                <w:spacing w:val="41"/>
              </w:rPr>
              <w:t xml:space="preserve"> </w:t>
            </w:r>
            <w:r>
              <w:rPr>
                <w:rFonts w:ascii="Arial"/>
                <w:spacing w:val="-1"/>
              </w:rPr>
              <w:t>enters</w:t>
            </w:r>
            <w:r>
              <w:rPr>
                <w:rFonts w:ascii="Arial"/>
                <w:spacing w:val="44"/>
              </w:rPr>
              <w:t xml:space="preserve"> </w:t>
            </w:r>
            <w:r>
              <w:rPr>
                <w:rFonts w:ascii="Arial"/>
                <w:spacing w:val="-1"/>
              </w:rPr>
              <w:t>into</w:t>
            </w:r>
            <w:r>
              <w:rPr>
                <w:rFonts w:ascii="Arial"/>
                <w:spacing w:val="43"/>
              </w:rPr>
              <w:t xml:space="preserve"> </w:t>
            </w:r>
            <w:r>
              <w:rPr>
                <w:rFonts w:ascii="Arial"/>
              </w:rPr>
              <w:t>a</w:t>
            </w:r>
            <w:r>
              <w:rPr>
                <w:rFonts w:ascii="Arial"/>
                <w:spacing w:val="45"/>
              </w:rPr>
              <w:t xml:space="preserve"> </w:t>
            </w:r>
            <w:r>
              <w:rPr>
                <w:rFonts w:ascii="Arial"/>
                <w:spacing w:val="-1"/>
              </w:rPr>
              <w:t>Sub-Contract</w:t>
            </w:r>
            <w:r>
              <w:rPr>
                <w:rFonts w:ascii="Arial"/>
                <w:spacing w:val="2"/>
              </w:rPr>
              <w:t xml:space="preserve"> </w:t>
            </w:r>
            <w:r>
              <w:rPr>
                <w:rFonts w:ascii="Arial"/>
                <w:spacing w:val="-2"/>
              </w:rPr>
              <w:t>or</w:t>
            </w:r>
            <w:r>
              <w:rPr>
                <w:rFonts w:ascii="Arial"/>
                <w:spacing w:val="2"/>
              </w:rPr>
              <w:t xml:space="preserve"> </w:t>
            </w:r>
            <w:r>
              <w:rPr>
                <w:rFonts w:ascii="Arial"/>
                <w:spacing w:val="-1"/>
              </w:rPr>
              <w:t>its</w:t>
            </w:r>
            <w:r>
              <w:rPr>
                <w:rFonts w:ascii="Arial"/>
                <w:spacing w:val="1"/>
              </w:rPr>
              <w:t xml:space="preserve"> </w:t>
            </w:r>
            <w:r>
              <w:rPr>
                <w:rFonts w:ascii="Arial"/>
                <w:spacing w:val="-1"/>
              </w:rPr>
              <w:t>servants</w:t>
            </w:r>
            <w:r>
              <w:rPr>
                <w:rFonts w:ascii="Arial"/>
                <w:spacing w:val="1"/>
              </w:rPr>
              <w:t xml:space="preserve"> </w:t>
            </w:r>
            <w:r>
              <w:rPr>
                <w:rFonts w:ascii="Arial"/>
                <w:spacing w:val="-2"/>
              </w:rPr>
              <w:t>or</w:t>
            </w:r>
            <w:r>
              <w:rPr>
                <w:rFonts w:ascii="Arial"/>
                <w:spacing w:val="2"/>
              </w:rPr>
              <w:t xml:space="preserve"> </w:t>
            </w:r>
            <w:r>
              <w:rPr>
                <w:rFonts w:ascii="Arial"/>
                <w:spacing w:val="-1"/>
              </w:rPr>
              <w:t>agents;</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"Supplier"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31"/>
              </w:rPr>
              <w:t xml:space="preserve"> </w:t>
            </w:r>
            <w:r>
              <w:rPr>
                <w:rFonts w:ascii="Arial"/>
              </w:rPr>
              <w:t>the</w:t>
            </w:r>
            <w:r>
              <w:rPr>
                <w:rFonts w:ascii="Arial"/>
                <w:spacing w:val="30"/>
              </w:rPr>
              <w:t xml:space="preserve"> </w:t>
            </w:r>
            <w:r>
              <w:rPr>
                <w:rFonts w:ascii="Arial"/>
                <w:spacing w:val="-1"/>
              </w:rPr>
              <w:t>person,</w:t>
            </w:r>
            <w:r>
              <w:rPr>
                <w:rFonts w:ascii="Arial"/>
                <w:spacing w:val="30"/>
              </w:rPr>
              <w:t xml:space="preserve"> </w:t>
            </w:r>
            <w:r>
              <w:rPr>
                <w:rFonts w:ascii="Arial"/>
                <w:spacing w:val="-1"/>
              </w:rPr>
              <w:t>firm</w:t>
            </w:r>
            <w:r>
              <w:rPr>
                <w:rFonts w:ascii="Arial"/>
                <w:spacing w:val="32"/>
              </w:rPr>
              <w:t xml:space="preserve"> </w:t>
            </w:r>
            <w:r>
              <w:rPr>
                <w:rFonts w:ascii="Arial"/>
                <w:spacing w:val="-1"/>
              </w:rPr>
              <w:t>or</w:t>
            </w:r>
            <w:r>
              <w:rPr>
                <w:rFonts w:ascii="Arial"/>
                <w:spacing w:val="32"/>
              </w:rPr>
              <w:t xml:space="preserve"> </w:t>
            </w:r>
            <w:r>
              <w:rPr>
                <w:rFonts w:ascii="Arial"/>
                <w:spacing w:val="-1"/>
              </w:rPr>
              <w:t>company</w:t>
            </w:r>
            <w:r>
              <w:rPr>
                <w:rFonts w:ascii="Arial"/>
                <w:spacing w:val="29"/>
              </w:rPr>
              <w:t xml:space="preserve"> </w:t>
            </w:r>
            <w:r>
              <w:rPr>
                <w:rFonts w:ascii="Arial"/>
                <w:spacing w:val="-2"/>
              </w:rPr>
              <w:t>with</w:t>
            </w:r>
            <w:r>
              <w:rPr>
                <w:rFonts w:ascii="Arial"/>
                <w:spacing w:val="32"/>
              </w:rPr>
              <w:t xml:space="preserve"> </w:t>
            </w:r>
            <w:r>
              <w:rPr>
                <w:rFonts w:ascii="Arial"/>
                <w:spacing w:val="-1"/>
              </w:rPr>
              <w:t>whom</w:t>
            </w:r>
            <w:r>
              <w:rPr>
                <w:rFonts w:ascii="Arial"/>
                <w:spacing w:val="32"/>
              </w:rPr>
              <w:t xml:space="preserve"> </w:t>
            </w:r>
            <w:r>
              <w:rPr>
                <w:rFonts w:ascii="Arial"/>
                <w:spacing w:val="-1"/>
              </w:rPr>
              <w:t>the</w:t>
            </w:r>
            <w:r>
              <w:rPr>
                <w:rFonts w:ascii="Arial"/>
                <w:spacing w:val="30"/>
              </w:rPr>
              <w:t xml:space="preserve"> </w:t>
            </w:r>
            <w:r>
              <w:rPr>
                <w:rFonts w:ascii="Arial"/>
                <w:spacing w:val="-1"/>
              </w:rPr>
              <w:t>Customer</w:t>
            </w:r>
            <w:r>
              <w:rPr>
                <w:rFonts w:ascii="Arial"/>
                <w:spacing w:val="9"/>
              </w:rPr>
              <w:t xml:space="preserve"> </w:t>
            </w:r>
            <w:r>
              <w:rPr>
                <w:rFonts w:ascii="Arial"/>
                <w:spacing w:val="-1"/>
              </w:rPr>
              <w:t>enters</w:t>
            </w:r>
            <w:r>
              <w:rPr>
                <w:rFonts w:ascii="Arial"/>
                <w:spacing w:val="8"/>
              </w:rPr>
              <w:t xml:space="preserve"> </w:t>
            </w:r>
            <w:r>
              <w:rPr>
                <w:rFonts w:ascii="Arial"/>
                <w:spacing w:val="-1"/>
              </w:rPr>
              <w:t>into</w:t>
            </w:r>
            <w:r>
              <w:rPr>
                <w:rFonts w:ascii="Arial"/>
                <w:spacing w:val="5"/>
              </w:rPr>
              <w:t xml:space="preserve"> </w:t>
            </w:r>
            <w:r>
              <w:rPr>
                <w:rFonts w:ascii="Arial"/>
                <w:spacing w:val="-1"/>
              </w:rPr>
              <w:t>this</w:t>
            </w:r>
            <w:r>
              <w:rPr>
                <w:rFonts w:ascii="Arial"/>
                <w:spacing w:val="8"/>
              </w:rPr>
              <w:t xml:space="preserve"> </w:t>
            </w:r>
            <w:r>
              <w:rPr>
                <w:rFonts w:ascii="Arial"/>
                <w:spacing w:val="-2"/>
              </w:rPr>
              <w:t>Call</w:t>
            </w:r>
            <w:r>
              <w:rPr>
                <w:rFonts w:ascii="Arial"/>
                <w:spacing w:val="7"/>
              </w:rPr>
              <w:t xml:space="preserve"> </w:t>
            </w:r>
            <w:r>
              <w:rPr>
                <w:rFonts w:ascii="Arial"/>
                <w:spacing w:val="-1"/>
              </w:rPr>
              <w:t>Off</w:t>
            </w:r>
            <w:r>
              <w:rPr>
                <w:rFonts w:ascii="Arial"/>
                <w:spacing w:val="11"/>
              </w:rPr>
              <w:t xml:space="preserve"> </w:t>
            </w:r>
            <w:r>
              <w:rPr>
                <w:rFonts w:ascii="Arial"/>
                <w:spacing w:val="-2"/>
              </w:rPr>
              <w:t>Contract</w:t>
            </w:r>
            <w:r>
              <w:rPr>
                <w:rFonts w:ascii="Arial"/>
                <w:spacing w:val="9"/>
              </w:rPr>
              <w:t xml:space="preserve"> </w:t>
            </w:r>
            <w:r>
              <w:rPr>
                <w:rFonts w:ascii="Arial"/>
                <w:spacing w:val="-1"/>
              </w:rPr>
              <w:t>as</w:t>
            </w:r>
            <w:r>
              <w:rPr>
                <w:rFonts w:ascii="Arial"/>
                <w:spacing w:val="8"/>
              </w:rPr>
              <w:t xml:space="preserve"> </w:t>
            </w:r>
            <w:r>
              <w:rPr>
                <w:rFonts w:ascii="Arial"/>
                <w:spacing w:val="-1"/>
              </w:rPr>
              <w:t>identified</w:t>
            </w:r>
            <w:r>
              <w:rPr>
                <w:rFonts w:ascii="Arial"/>
                <w:spacing w:val="7"/>
              </w:rPr>
              <w:t xml:space="preserve"> </w:t>
            </w:r>
            <w:r>
              <w:rPr>
                <w:rFonts w:ascii="Arial"/>
                <w:spacing w:val="-1"/>
              </w:rPr>
              <w:t>in</w:t>
            </w:r>
            <w:r>
              <w:rPr>
                <w:rFonts w:ascii="Arial"/>
                <w:spacing w:val="37"/>
              </w:rPr>
              <w:t xml:space="preserve"> </w:t>
            </w:r>
            <w:r>
              <w:rPr>
                <w:rFonts w:ascii="Arial"/>
              </w:rPr>
              <w:t>the</w:t>
            </w:r>
            <w:r>
              <w:rPr>
                <w:rFonts w:ascii="Arial"/>
                <w:spacing w:val="-2"/>
              </w:rPr>
              <w:t xml:space="preserve"> </w:t>
            </w:r>
            <w:r>
              <w:rPr>
                <w:rFonts w:ascii="Arial"/>
                <w:spacing w:val="-1"/>
              </w:rPr>
              <w:t>Order</w:t>
            </w:r>
            <w:r>
              <w:rPr>
                <w:rFonts w:ascii="Arial"/>
                <w:spacing w:val="2"/>
              </w:rPr>
              <w:t xml:space="preserve"> </w:t>
            </w:r>
            <w:r>
              <w:rPr>
                <w:rFonts w:ascii="Arial"/>
                <w:spacing w:val="-2"/>
              </w:rPr>
              <w:t>Form;</w:t>
            </w:r>
          </w:p>
        </w:tc>
      </w:tr>
      <w:tr w:rsidR="008918FA" w:rsidTr="001C1527">
        <w:trPr>
          <w:trHeight w:hRule="exact" w:val="893"/>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47" w:lineRule="exact"/>
              <w:ind w:left="-6"/>
              <w:rPr>
                <w:rFonts w:ascii="Arial" w:eastAsia="Arial" w:hAnsi="Arial" w:cs="Arial"/>
              </w:rPr>
            </w:pPr>
            <w:r>
              <w:rPr>
                <w:rFonts w:ascii="Arial"/>
                <w:b/>
                <w:spacing w:val="-1"/>
              </w:rPr>
              <w:t>"Supplier</w:t>
            </w:r>
            <w:r>
              <w:rPr>
                <w:rFonts w:ascii="Arial"/>
                <w:b/>
                <w:spacing w:val="3"/>
              </w:rPr>
              <w:t xml:space="preserve"> </w:t>
            </w:r>
            <w:r>
              <w:rPr>
                <w:rFonts w:ascii="Arial"/>
                <w:b/>
                <w:spacing w:val="-2"/>
              </w:rPr>
              <w:t>Assets"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16"/>
              </w:rPr>
              <w:t xml:space="preserve"> </w:t>
            </w:r>
            <w:r>
              <w:rPr>
                <w:rFonts w:ascii="Arial"/>
                <w:spacing w:val="-1"/>
              </w:rPr>
              <w:t>all</w:t>
            </w:r>
            <w:r>
              <w:rPr>
                <w:rFonts w:ascii="Arial"/>
                <w:spacing w:val="15"/>
              </w:rPr>
              <w:t xml:space="preserve"> </w:t>
            </w:r>
            <w:r>
              <w:rPr>
                <w:rFonts w:ascii="Arial"/>
                <w:spacing w:val="-1"/>
              </w:rPr>
              <w:t>assets</w:t>
            </w:r>
            <w:r>
              <w:rPr>
                <w:rFonts w:ascii="Arial"/>
                <w:spacing w:val="16"/>
              </w:rPr>
              <w:t xml:space="preserve"> </w:t>
            </w:r>
            <w:r>
              <w:rPr>
                <w:rFonts w:ascii="Arial"/>
                <w:spacing w:val="-1"/>
              </w:rPr>
              <w:t>and</w:t>
            </w:r>
            <w:r>
              <w:rPr>
                <w:rFonts w:ascii="Arial"/>
                <w:spacing w:val="14"/>
              </w:rPr>
              <w:t xml:space="preserve"> </w:t>
            </w:r>
            <w:r>
              <w:rPr>
                <w:rFonts w:ascii="Arial"/>
                <w:spacing w:val="-1"/>
              </w:rPr>
              <w:t>rights</w:t>
            </w:r>
            <w:r>
              <w:rPr>
                <w:rFonts w:ascii="Arial"/>
                <w:spacing w:val="16"/>
              </w:rPr>
              <w:t xml:space="preserve"> </w:t>
            </w:r>
            <w:r>
              <w:rPr>
                <w:rFonts w:ascii="Arial"/>
                <w:spacing w:val="-1"/>
              </w:rPr>
              <w:t>used</w:t>
            </w:r>
            <w:r>
              <w:rPr>
                <w:rFonts w:ascii="Arial"/>
                <w:spacing w:val="13"/>
              </w:rPr>
              <w:t xml:space="preserve"> </w:t>
            </w:r>
            <w:r>
              <w:rPr>
                <w:rFonts w:ascii="Arial"/>
                <w:spacing w:val="-1"/>
              </w:rPr>
              <w:t>by</w:t>
            </w:r>
            <w:r>
              <w:rPr>
                <w:rFonts w:ascii="Arial"/>
                <w:spacing w:val="14"/>
              </w:rPr>
              <w:t xml:space="preserve"> </w:t>
            </w:r>
            <w:r>
              <w:rPr>
                <w:rFonts w:ascii="Arial"/>
              </w:rPr>
              <w:t>the</w:t>
            </w:r>
            <w:r>
              <w:rPr>
                <w:rFonts w:ascii="Arial"/>
                <w:spacing w:val="16"/>
              </w:rPr>
              <w:t xml:space="preserve"> </w:t>
            </w:r>
            <w:r>
              <w:rPr>
                <w:rFonts w:ascii="Arial"/>
                <w:spacing w:val="-2"/>
              </w:rPr>
              <w:t>Supplier</w:t>
            </w:r>
            <w:r>
              <w:rPr>
                <w:rFonts w:ascii="Arial"/>
                <w:spacing w:val="17"/>
              </w:rPr>
              <w:t xml:space="preserve"> </w:t>
            </w:r>
            <w:r>
              <w:rPr>
                <w:rFonts w:ascii="Arial"/>
              </w:rPr>
              <w:t>to</w:t>
            </w:r>
            <w:r>
              <w:rPr>
                <w:rFonts w:ascii="Arial"/>
                <w:spacing w:val="37"/>
              </w:rPr>
              <w:t xml:space="preserve"> </w:t>
            </w:r>
            <w:r>
              <w:rPr>
                <w:rFonts w:ascii="Arial"/>
                <w:spacing w:val="-2"/>
              </w:rPr>
              <w:t>provide</w:t>
            </w:r>
            <w:r>
              <w:rPr>
                <w:rFonts w:ascii="Arial"/>
                <w:spacing w:val="55"/>
              </w:rPr>
              <w:t xml:space="preserve"> </w:t>
            </w:r>
            <w:r>
              <w:rPr>
                <w:rFonts w:ascii="Arial"/>
              </w:rPr>
              <w:t>the</w:t>
            </w:r>
            <w:r>
              <w:rPr>
                <w:rFonts w:ascii="Arial"/>
                <w:spacing w:val="55"/>
              </w:rPr>
              <w:t xml:space="preserve"> </w:t>
            </w:r>
            <w:r>
              <w:rPr>
                <w:rFonts w:ascii="Arial"/>
                <w:spacing w:val="-1"/>
              </w:rPr>
              <w:t>Goods</w:t>
            </w:r>
            <w:r>
              <w:rPr>
                <w:rFonts w:ascii="Arial"/>
                <w:spacing w:val="56"/>
              </w:rPr>
              <w:t xml:space="preserve"> </w:t>
            </w:r>
            <w:r>
              <w:rPr>
                <w:rFonts w:ascii="Arial"/>
              </w:rPr>
              <w:t>and/or</w:t>
            </w:r>
            <w:r>
              <w:rPr>
                <w:rFonts w:ascii="Arial"/>
                <w:spacing w:val="57"/>
              </w:rPr>
              <w:t xml:space="preserve"> </w:t>
            </w:r>
            <w:r>
              <w:rPr>
                <w:rFonts w:ascii="Arial"/>
                <w:spacing w:val="-1"/>
              </w:rPr>
              <w:t>Services</w:t>
            </w:r>
            <w:r>
              <w:rPr>
                <w:rFonts w:ascii="Arial"/>
                <w:spacing w:val="56"/>
              </w:rPr>
              <w:t xml:space="preserve"> </w:t>
            </w:r>
            <w:r>
              <w:rPr>
                <w:rFonts w:ascii="Arial"/>
                <w:spacing w:val="-1"/>
              </w:rPr>
              <w:t>in</w:t>
            </w:r>
            <w:r>
              <w:rPr>
                <w:rFonts w:ascii="Arial"/>
                <w:spacing w:val="55"/>
              </w:rPr>
              <w:t xml:space="preserve"> </w:t>
            </w:r>
            <w:r>
              <w:rPr>
                <w:rFonts w:ascii="Arial"/>
                <w:spacing w:val="-1"/>
              </w:rPr>
              <w:t>accordance</w:t>
            </w:r>
            <w:r>
              <w:rPr>
                <w:rFonts w:ascii="Arial"/>
                <w:spacing w:val="57"/>
              </w:rPr>
              <w:t xml:space="preserve"> </w:t>
            </w:r>
            <w:r>
              <w:rPr>
                <w:rFonts w:ascii="Arial"/>
                <w:spacing w:val="-1"/>
              </w:rPr>
              <w:t>with</w:t>
            </w:r>
            <w:r>
              <w:rPr>
                <w:rFonts w:ascii="Arial"/>
                <w:spacing w:val="27"/>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Contract</w:t>
            </w:r>
            <w:r>
              <w:rPr>
                <w:rFonts w:ascii="Arial"/>
              </w:rPr>
              <w:t xml:space="preserve"> </w:t>
            </w:r>
            <w:r>
              <w:rPr>
                <w:rFonts w:ascii="Arial"/>
                <w:spacing w:val="-1"/>
              </w:rPr>
              <w:t>but</w:t>
            </w:r>
            <w:r>
              <w:rPr>
                <w:rFonts w:ascii="Arial"/>
              </w:rPr>
              <w:t xml:space="preserve"> </w:t>
            </w:r>
            <w:r>
              <w:rPr>
                <w:rFonts w:ascii="Arial"/>
                <w:spacing w:val="-2"/>
              </w:rPr>
              <w:t>excluding</w:t>
            </w:r>
            <w:r>
              <w:rPr>
                <w:rFonts w:ascii="Arial"/>
                <w:spacing w:val="3"/>
              </w:rPr>
              <w:t xml:space="preserve"> </w:t>
            </w:r>
            <w:r>
              <w:rPr>
                <w:rFonts w:ascii="Arial"/>
              </w:rPr>
              <w:t>the</w:t>
            </w:r>
            <w:r>
              <w:rPr>
                <w:rFonts w:ascii="Arial"/>
                <w:spacing w:val="-2"/>
              </w:rPr>
              <w:t xml:space="preserve"> </w:t>
            </w:r>
            <w:r>
              <w:rPr>
                <w:rFonts w:ascii="Arial"/>
                <w:spacing w:val="-1"/>
              </w:rPr>
              <w:t>Customer</w:t>
            </w:r>
            <w:r>
              <w:rPr>
                <w:rFonts w:ascii="Arial"/>
                <w:spacing w:val="-3"/>
              </w:rPr>
              <w:t xml:space="preserve"> </w:t>
            </w:r>
            <w:r>
              <w:rPr>
                <w:rFonts w:ascii="Arial"/>
                <w:spacing w:val="-1"/>
              </w:rPr>
              <w:t>Assets;</w:t>
            </w:r>
          </w:p>
        </w:tc>
      </w:tr>
      <w:tr w:rsidR="008918FA" w:rsidTr="005D2B81">
        <w:trPr>
          <w:trHeight w:hRule="exact" w:val="3158"/>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581"/>
              <w:rPr>
                <w:rFonts w:ascii="Arial" w:eastAsia="Arial" w:hAnsi="Arial" w:cs="Arial"/>
              </w:rPr>
            </w:pPr>
            <w:r>
              <w:rPr>
                <w:rFonts w:ascii="Arial"/>
                <w:b/>
                <w:spacing w:val="-1"/>
              </w:rPr>
              <w:t>"Supplier</w:t>
            </w:r>
            <w:r>
              <w:rPr>
                <w:rFonts w:ascii="Arial"/>
                <w:b/>
                <w:spacing w:val="24"/>
              </w:rPr>
              <w:t xml:space="preserve"> </w:t>
            </w:r>
            <w:r>
              <w:rPr>
                <w:rFonts w:ascii="Arial"/>
                <w:b/>
                <w:spacing w:val="-1"/>
              </w:rPr>
              <w:t>Background</w:t>
            </w:r>
            <w:r>
              <w:rPr>
                <w:rFonts w:ascii="Arial"/>
                <w:b/>
              </w:rPr>
              <w:t xml:space="preserve"> </w:t>
            </w:r>
            <w:r>
              <w:rPr>
                <w:rFonts w:ascii="Arial"/>
                <w:b/>
                <w:spacing w:val="-1"/>
              </w:rPr>
              <w:t>IPR"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34"/>
              </w:numPr>
              <w:tabs>
                <w:tab w:val="left" w:pos="820"/>
              </w:tabs>
              <w:spacing w:before="121"/>
              <w:ind w:right="100" w:hanging="544"/>
              <w:jc w:val="both"/>
              <w:rPr>
                <w:rFonts w:ascii="Arial" w:eastAsia="Arial" w:hAnsi="Arial" w:cs="Arial"/>
              </w:rPr>
            </w:pPr>
            <w:r>
              <w:rPr>
                <w:rFonts w:ascii="Arial"/>
                <w:spacing w:val="-1"/>
              </w:rPr>
              <w:t>Intellectual</w:t>
            </w:r>
            <w:r>
              <w:rPr>
                <w:rFonts w:ascii="Arial"/>
                <w:spacing w:val="40"/>
              </w:rPr>
              <w:t xml:space="preserve"> </w:t>
            </w:r>
            <w:r>
              <w:rPr>
                <w:rFonts w:ascii="Arial"/>
                <w:spacing w:val="-1"/>
              </w:rPr>
              <w:t>Property</w:t>
            </w:r>
            <w:r>
              <w:rPr>
                <w:rFonts w:ascii="Arial"/>
                <w:spacing w:val="39"/>
              </w:rPr>
              <w:t xml:space="preserve"> </w:t>
            </w:r>
            <w:r>
              <w:rPr>
                <w:rFonts w:ascii="Arial"/>
                <w:spacing w:val="-1"/>
              </w:rPr>
              <w:t>Rights</w:t>
            </w:r>
            <w:r>
              <w:rPr>
                <w:rFonts w:ascii="Arial"/>
                <w:spacing w:val="41"/>
              </w:rPr>
              <w:t xml:space="preserve"> </w:t>
            </w:r>
            <w:r>
              <w:rPr>
                <w:rFonts w:ascii="Arial"/>
                <w:spacing w:val="-2"/>
              </w:rPr>
              <w:t>owned</w:t>
            </w:r>
            <w:r>
              <w:rPr>
                <w:rFonts w:ascii="Arial"/>
                <w:spacing w:val="41"/>
              </w:rPr>
              <w:t xml:space="preserve"> </w:t>
            </w:r>
            <w:r>
              <w:rPr>
                <w:rFonts w:ascii="Arial"/>
                <w:spacing w:val="1"/>
              </w:rPr>
              <w:t>by</w:t>
            </w:r>
            <w:r>
              <w:rPr>
                <w:rFonts w:ascii="Arial"/>
                <w:spacing w:val="39"/>
              </w:rPr>
              <w:t xml:space="preserve"> </w:t>
            </w:r>
            <w:r>
              <w:rPr>
                <w:rFonts w:ascii="Arial"/>
              </w:rPr>
              <w:t>the</w:t>
            </w:r>
            <w:r>
              <w:rPr>
                <w:rFonts w:ascii="Arial"/>
                <w:spacing w:val="41"/>
              </w:rPr>
              <w:t xml:space="preserve"> </w:t>
            </w:r>
            <w:r>
              <w:rPr>
                <w:rFonts w:ascii="Arial"/>
                <w:spacing w:val="-1"/>
              </w:rPr>
              <w:t>Supplier</w:t>
            </w:r>
            <w:r>
              <w:rPr>
                <w:rFonts w:ascii="Arial"/>
                <w:spacing w:val="32"/>
              </w:rPr>
              <w:t xml:space="preserve"> </w:t>
            </w:r>
            <w:r>
              <w:rPr>
                <w:rFonts w:ascii="Arial"/>
                <w:spacing w:val="-1"/>
              </w:rPr>
              <w:t>before</w:t>
            </w:r>
            <w:r>
              <w:rPr>
                <w:rFonts w:ascii="Arial"/>
                <w:spacing w:val="3"/>
              </w:rPr>
              <w:t xml:space="preserve"> </w:t>
            </w:r>
            <w:r>
              <w:rPr>
                <w:rFonts w:ascii="Arial"/>
              </w:rPr>
              <w:t>the</w:t>
            </w:r>
            <w:r>
              <w:rPr>
                <w:rFonts w:ascii="Arial"/>
                <w:spacing w:val="3"/>
              </w:rPr>
              <w:t xml:space="preserve"> </w:t>
            </w:r>
            <w:r>
              <w:rPr>
                <w:rFonts w:ascii="Arial"/>
                <w:spacing w:val="-2"/>
              </w:rPr>
              <w:t>Call</w:t>
            </w:r>
            <w:r>
              <w:rPr>
                <w:rFonts w:ascii="Arial"/>
                <w:spacing w:val="2"/>
              </w:rPr>
              <w:t xml:space="preserve"> </w:t>
            </w:r>
            <w:r>
              <w:rPr>
                <w:rFonts w:ascii="Arial"/>
                <w:spacing w:val="-1"/>
              </w:rPr>
              <w:t>Off</w:t>
            </w:r>
            <w:r>
              <w:rPr>
                <w:rFonts w:ascii="Arial"/>
                <w:spacing w:val="2"/>
              </w:rPr>
              <w:t xml:space="preserve"> </w:t>
            </w:r>
            <w:r>
              <w:rPr>
                <w:rFonts w:ascii="Arial"/>
                <w:spacing w:val="-1"/>
              </w:rPr>
              <w:t>Commencement</w:t>
            </w:r>
            <w:r>
              <w:rPr>
                <w:rFonts w:ascii="Arial"/>
                <w:spacing w:val="4"/>
              </w:rPr>
              <w:t xml:space="preserve"> </w:t>
            </w:r>
            <w:r>
              <w:rPr>
                <w:rFonts w:ascii="Arial"/>
                <w:spacing w:val="-1"/>
              </w:rPr>
              <w:t>Date,</w:t>
            </w:r>
            <w:r>
              <w:rPr>
                <w:rFonts w:ascii="Arial"/>
                <w:spacing w:val="2"/>
              </w:rPr>
              <w:t xml:space="preserve"> </w:t>
            </w:r>
            <w:r>
              <w:rPr>
                <w:rFonts w:ascii="Arial"/>
              </w:rPr>
              <w:t>for</w:t>
            </w:r>
            <w:r>
              <w:rPr>
                <w:rFonts w:ascii="Arial"/>
                <w:spacing w:val="21"/>
              </w:rPr>
              <w:t xml:space="preserve"> </w:t>
            </w:r>
            <w:r>
              <w:rPr>
                <w:rFonts w:ascii="Arial"/>
                <w:spacing w:val="-2"/>
              </w:rPr>
              <w:t>example</w:t>
            </w:r>
            <w:r>
              <w:rPr>
                <w:rFonts w:ascii="Arial"/>
                <w:spacing w:val="19"/>
              </w:rPr>
              <w:t xml:space="preserve"> </w:t>
            </w:r>
            <w:r>
              <w:rPr>
                <w:rFonts w:ascii="Arial"/>
                <w:spacing w:val="-1"/>
              </w:rPr>
              <w:t>those</w:t>
            </w:r>
            <w:r>
              <w:rPr>
                <w:rFonts w:ascii="Arial"/>
                <w:spacing w:val="20"/>
              </w:rPr>
              <w:t xml:space="preserve"> </w:t>
            </w:r>
            <w:r>
              <w:rPr>
                <w:rFonts w:ascii="Arial"/>
                <w:spacing w:val="-1"/>
              </w:rPr>
              <w:t>subsisting</w:t>
            </w:r>
            <w:r>
              <w:rPr>
                <w:rFonts w:ascii="Arial"/>
                <w:spacing w:val="22"/>
              </w:rPr>
              <w:t xml:space="preserve"> </w:t>
            </w:r>
            <w:r>
              <w:rPr>
                <w:rFonts w:ascii="Arial"/>
                <w:spacing w:val="-1"/>
              </w:rPr>
              <w:t>in</w:t>
            </w:r>
            <w:r>
              <w:rPr>
                <w:rFonts w:ascii="Arial"/>
                <w:spacing w:val="17"/>
              </w:rPr>
              <w:t xml:space="preserve"> </w:t>
            </w:r>
            <w:r>
              <w:rPr>
                <w:rFonts w:ascii="Arial"/>
              </w:rPr>
              <w:t>the</w:t>
            </w:r>
            <w:r>
              <w:rPr>
                <w:rFonts w:ascii="Arial"/>
                <w:spacing w:val="20"/>
              </w:rPr>
              <w:t xml:space="preserve"> </w:t>
            </w:r>
            <w:r>
              <w:rPr>
                <w:rFonts w:ascii="Arial"/>
                <w:spacing w:val="-1"/>
              </w:rPr>
              <w:t>Supplier's</w:t>
            </w:r>
            <w:r>
              <w:rPr>
                <w:rFonts w:ascii="Arial"/>
                <w:spacing w:val="20"/>
              </w:rPr>
              <w:t xml:space="preserve"> </w:t>
            </w:r>
            <w:r>
              <w:rPr>
                <w:rFonts w:ascii="Arial"/>
                <w:spacing w:val="-1"/>
              </w:rPr>
              <w:t>standard</w:t>
            </w:r>
            <w:r>
              <w:rPr>
                <w:rFonts w:ascii="Arial"/>
                <w:spacing w:val="21"/>
              </w:rPr>
              <w:t xml:space="preserve"> </w:t>
            </w:r>
            <w:r>
              <w:rPr>
                <w:rFonts w:ascii="Arial"/>
                <w:spacing w:val="-2"/>
              </w:rPr>
              <w:t>development</w:t>
            </w:r>
            <w:r>
              <w:rPr>
                <w:rFonts w:ascii="Arial"/>
                <w:spacing w:val="37"/>
              </w:rPr>
              <w:t xml:space="preserve"> </w:t>
            </w:r>
            <w:r>
              <w:rPr>
                <w:rFonts w:ascii="Arial"/>
                <w:spacing w:val="-1"/>
              </w:rPr>
              <w:t>tools,</w:t>
            </w:r>
            <w:r>
              <w:rPr>
                <w:rFonts w:ascii="Arial"/>
                <w:spacing w:val="35"/>
              </w:rPr>
              <w:t xml:space="preserve"> </w:t>
            </w:r>
            <w:r>
              <w:rPr>
                <w:rFonts w:ascii="Arial"/>
                <w:spacing w:val="-1"/>
              </w:rPr>
              <w:t>program</w:t>
            </w:r>
            <w:r>
              <w:rPr>
                <w:rFonts w:ascii="Arial"/>
                <w:spacing w:val="36"/>
              </w:rPr>
              <w:t xml:space="preserve"> </w:t>
            </w:r>
            <w:r>
              <w:rPr>
                <w:rFonts w:ascii="Arial"/>
                <w:spacing w:val="-1"/>
              </w:rPr>
              <w:t>components</w:t>
            </w:r>
            <w:r>
              <w:rPr>
                <w:rFonts w:ascii="Arial"/>
                <w:spacing w:val="33"/>
              </w:rPr>
              <w:t xml:space="preserve"> </w:t>
            </w:r>
            <w:r>
              <w:rPr>
                <w:rFonts w:ascii="Arial"/>
                <w:spacing w:val="-1"/>
              </w:rPr>
              <w:t>or</w:t>
            </w:r>
            <w:r>
              <w:rPr>
                <w:rFonts w:ascii="Arial"/>
                <w:spacing w:val="32"/>
              </w:rPr>
              <w:t xml:space="preserve"> </w:t>
            </w:r>
            <w:r>
              <w:rPr>
                <w:rFonts w:ascii="Arial"/>
                <w:spacing w:val="-1"/>
              </w:rPr>
              <w:t>standard</w:t>
            </w:r>
            <w:r>
              <w:rPr>
                <w:rFonts w:ascii="Arial"/>
                <w:spacing w:val="17"/>
              </w:rPr>
              <w:t xml:space="preserve"> </w:t>
            </w:r>
            <w:r>
              <w:rPr>
                <w:rFonts w:ascii="Arial"/>
                <w:spacing w:val="-1"/>
              </w:rPr>
              <w:t>code</w:t>
            </w:r>
            <w:r>
              <w:rPr>
                <w:rFonts w:ascii="Arial"/>
                <w:spacing w:val="17"/>
              </w:rPr>
              <w:t xml:space="preserve"> </w:t>
            </w:r>
            <w:r>
              <w:rPr>
                <w:rFonts w:ascii="Arial"/>
                <w:spacing w:val="-1"/>
              </w:rPr>
              <w:t>used</w:t>
            </w:r>
            <w:r>
              <w:rPr>
                <w:rFonts w:ascii="Arial"/>
                <w:spacing w:val="18"/>
              </w:rPr>
              <w:t xml:space="preserve"> </w:t>
            </w:r>
            <w:r>
              <w:rPr>
                <w:rFonts w:ascii="Arial"/>
                <w:spacing w:val="-1"/>
              </w:rPr>
              <w:t>in</w:t>
            </w:r>
            <w:r>
              <w:rPr>
                <w:rFonts w:ascii="Arial"/>
                <w:spacing w:val="17"/>
              </w:rPr>
              <w:t xml:space="preserve"> </w:t>
            </w:r>
            <w:r>
              <w:rPr>
                <w:rFonts w:ascii="Arial"/>
                <w:spacing w:val="-1"/>
              </w:rPr>
              <w:t>computer</w:t>
            </w:r>
            <w:r>
              <w:rPr>
                <w:rFonts w:ascii="Arial"/>
                <w:spacing w:val="19"/>
              </w:rPr>
              <w:t xml:space="preserve"> </w:t>
            </w:r>
            <w:r>
              <w:rPr>
                <w:rFonts w:ascii="Arial"/>
                <w:spacing w:val="-1"/>
              </w:rPr>
              <w:t>programming</w:t>
            </w:r>
            <w:r>
              <w:rPr>
                <w:rFonts w:ascii="Arial"/>
                <w:spacing w:val="20"/>
              </w:rPr>
              <w:t xml:space="preserve"> </w:t>
            </w:r>
            <w:r>
              <w:rPr>
                <w:rFonts w:ascii="Arial"/>
                <w:spacing w:val="-2"/>
              </w:rPr>
              <w:t>or</w:t>
            </w:r>
            <w:r>
              <w:rPr>
                <w:rFonts w:ascii="Arial"/>
                <w:spacing w:val="19"/>
              </w:rPr>
              <w:t xml:space="preserve"> </w:t>
            </w:r>
            <w:r>
              <w:rPr>
                <w:rFonts w:ascii="Arial"/>
                <w:spacing w:val="-1"/>
              </w:rPr>
              <w:t>in</w:t>
            </w:r>
            <w:r>
              <w:rPr>
                <w:rFonts w:ascii="Arial"/>
                <w:spacing w:val="25"/>
              </w:rPr>
              <w:t xml:space="preserve"> </w:t>
            </w:r>
            <w:r>
              <w:rPr>
                <w:rFonts w:ascii="Arial"/>
                <w:spacing w:val="-1"/>
              </w:rPr>
              <w:t>physical</w:t>
            </w:r>
            <w:r>
              <w:rPr>
                <w:rFonts w:ascii="Arial"/>
                <w:spacing w:val="11"/>
              </w:rPr>
              <w:t xml:space="preserve"> </w:t>
            </w:r>
            <w:r>
              <w:rPr>
                <w:rFonts w:ascii="Arial"/>
                <w:spacing w:val="-1"/>
              </w:rPr>
              <w:t>or</w:t>
            </w:r>
            <w:r>
              <w:rPr>
                <w:rFonts w:ascii="Arial"/>
                <w:spacing w:val="13"/>
              </w:rPr>
              <w:t xml:space="preserve"> </w:t>
            </w:r>
            <w:r>
              <w:rPr>
                <w:rFonts w:ascii="Arial"/>
                <w:spacing w:val="-1"/>
              </w:rPr>
              <w:t>electronic</w:t>
            </w:r>
            <w:r>
              <w:rPr>
                <w:rFonts w:ascii="Arial"/>
                <w:spacing w:val="12"/>
              </w:rPr>
              <w:t xml:space="preserve"> </w:t>
            </w:r>
            <w:r>
              <w:rPr>
                <w:rFonts w:ascii="Arial"/>
                <w:spacing w:val="-1"/>
              </w:rPr>
              <w:t>media</w:t>
            </w:r>
            <w:r>
              <w:rPr>
                <w:rFonts w:ascii="Arial"/>
                <w:spacing w:val="11"/>
              </w:rPr>
              <w:t xml:space="preserve"> </w:t>
            </w:r>
            <w:r>
              <w:rPr>
                <w:rFonts w:ascii="Arial"/>
                <w:spacing w:val="-1"/>
              </w:rPr>
              <w:t>containing</w:t>
            </w:r>
            <w:r>
              <w:rPr>
                <w:rFonts w:ascii="Arial"/>
              </w:rPr>
              <w:t xml:space="preserve"> </w:t>
            </w:r>
            <w:r>
              <w:rPr>
                <w:rFonts w:ascii="Arial"/>
                <w:spacing w:val="11"/>
              </w:rPr>
              <w:t xml:space="preserve"> </w:t>
            </w:r>
            <w:r>
              <w:rPr>
                <w:rFonts w:ascii="Arial"/>
                <w:spacing w:val="-2"/>
              </w:rPr>
              <w:t>the</w:t>
            </w:r>
            <w:r>
              <w:rPr>
                <w:rFonts w:ascii="Arial"/>
                <w:spacing w:val="28"/>
              </w:rPr>
              <w:t xml:space="preserve"> </w:t>
            </w:r>
            <w:r>
              <w:rPr>
                <w:rFonts w:ascii="Arial"/>
                <w:spacing w:val="-1"/>
              </w:rPr>
              <w:t>Supplier's</w:t>
            </w:r>
            <w:r>
              <w:rPr>
                <w:rFonts w:ascii="Arial"/>
                <w:spacing w:val="22"/>
              </w:rPr>
              <w:t xml:space="preserve"> </w:t>
            </w:r>
            <w:r>
              <w:rPr>
                <w:rFonts w:ascii="Arial"/>
                <w:spacing w:val="-1"/>
              </w:rPr>
              <w:t>Know-How</w:t>
            </w:r>
            <w:r>
              <w:rPr>
                <w:rFonts w:ascii="Arial"/>
                <w:spacing w:val="21"/>
              </w:rPr>
              <w:t xml:space="preserve"> </w:t>
            </w:r>
            <w:r>
              <w:rPr>
                <w:rFonts w:ascii="Arial"/>
                <w:spacing w:val="-1"/>
              </w:rPr>
              <w:t>or</w:t>
            </w:r>
            <w:r>
              <w:rPr>
                <w:rFonts w:ascii="Arial"/>
                <w:spacing w:val="23"/>
              </w:rPr>
              <w:t xml:space="preserve"> </w:t>
            </w:r>
            <w:r>
              <w:rPr>
                <w:rFonts w:ascii="Arial"/>
                <w:spacing w:val="-1"/>
              </w:rPr>
              <w:t>generic</w:t>
            </w:r>
            <w:r>
              <w:rPr>
                <w:rFonts w:ascii="Arial"/>
                <w:spacing w:val="22"/>
              </w:rPr>
              <w:t xml:space="preserve"> </w:t>
            </w:r>
            <w:r>
              <w:rPr>
                <w:rFonts w:ascii="Arial"/>
                <w:spacing w:val="-1"/>
              </w:rPr>
              <w:t>business</w:t>
            </w:r>
            <w:r>
              <w:rPr>
                <w:rFonts w:ascii="Arial"/>
                <w:spacing w:val="27"/>
              </w:rPr>
              <w:t xml:space="preserve"> </w:t>
            </w:r>
            <w:r>
              <w:rPr>
                <w:rFonts w:ascii="Arial"/>
                <w:spacing w:val="-1"/>
              </w:rPr>
              <w:t>methodologies;</w:t>
            </w:r>
            <w:r>
              <w:rPr>
                <w:rFonts w:ascii="Arial"/>
              </w:rPr>
              <w:t xml:space="preserve"> </w:t>
            </w:r>
            <w:r>
              <w:rPr>
                <w:rFonts w:ascii="Arial"/>
                <w:spacing w:val="-1"/>
              </w:rPr>
              <w:t>and/or</w:t>
            </w:r>
          </w:p>
          <w:p w:rsidR="008918FA" w:rsidRDefault="008918FA" w:rsidP="005D2B81">
            <w:pPr>
              <w:pStyle w:val="ListParagraph"/>
              <w:numPr>
                <w:ilvl w:val="0"/>
                <w:numId w:val="34"/>
              </w:numPr>
              <w:tabs>
                <w:tab w:val="left" w:pos="820"/>
              </w:tabs>
              <w:spacing w:before="119"/>
              <w:ind w:right="103" w:hanging="544"/>
              <w:jc w:val="both"/>
              <w:rPr>
                <w:rFonts w:ascii="Arial" w:eastAsia="Arial" w:hAnsi="Arial" w:cs="Arial"/>
              </w:rPr>
            </w:pPr>
            <w:r>
              <w:rPr>
                <w:rFonts w:ascii="Arial"/>
                <w:spacing w:val="-1"/>
              </w:rPr>
              <w:t>Intellectual</w:t>
            </w:r>
            <w:r>
              <w:rPr>
                <w:rFonts w:ascii="Arial"/>
                <w:spacing w:val="26"/>
              </w:rPr>
              <w:t xml:space="preserve"> </w:t>
            </w:r>
            <w:r>
              <w:rPr>
                <w:rFonts w:ascii="Arial"/>
                <w:spacing w:val="-1"/>
              </w:rPr>
              <w:t>Property</w:t>
            </w:r>
            <w:r>
              <w:rPr>
                <w:rFonts w:ascii="Arial"/>
                <w:spacing w:val="25"/>
              </w:rPr>
              <w:t xml:space="preserve"> </w:t>
            </w:r>
            <w:r>
              <w:rPr>
                <w:rFonts w:ascii="Arial"/>
                <w:spacing w:val="-1"/>
              </w:rPr>
              <w:t>Rights</w:t>
            </w:r>
            <w:r>
              <w:rPr>
                <w:rFonts w:ascii="Arial"/>
                <w:spacing w:val="27"/>
              </w:rPr>
              <w:t xml:space="preserve"> </w:t>
            </w:r>
            <w:r>
              <w:rPr>
                <w:rFonts w:ascii="Arial"/>
                <w:spacing w:val="-1"/>
              </w:rPr>
              <w:t>created</w:t>
            </w:r>
            <w:r>
              <w:rPr>
                <w:rFonts w:ascii="Arial"/>
                <w:spacing w:val="27"/>
              </w:rPr>
              <w:t xml:space="preserve"> </w:t>
            </w:r>
            <w:r>
              <w:rPr>
                <w:rFonts w:ascii="Arial"/>
                <w:spacing w:val="-1"/>
              </w:rPr>
              <w:t>by</w:t>
            </w:r>
            <w:r>
              <w:rPr>
                <w:rFonts w:ascii="Arial"/>
                <w:spacing w:val="25"/>
              </w:rPr>
              <w:t xml:space="preserve"> </w:t>
            </w:r>
            <w:r>
              <w:rPr>
                <w:rFonts w:ascii="Arial"/>
              </w:rPr>
              <w:t>the</w:t>
            </w:r>
            <w:r>
              <w:rPr>
                <w:rFonts w:ascii="Arial"/>
                <w:spacing w:val="27"/>
              </w:rPr>
              <w:t xml:space="preserve"> </w:t>
            </w:r>
            <w:r>
              <w:rPr>
                <w:rFonts w:ascii="Arial"/>
                <w:spacing w:val="-1"/>
              </w:rPr>
              <w:t>Supplier</w:t>
            </w:r>
            <w:r>
              <w:rPr>
                <w:rFonts w:ascii="Arial"/>
                <w:spacing w:val="34"/>
              </w:rPr>
              <w:t xml:space="preserve"> </w:t>
            </w:r>
            <w:r>
              <w:rPr>
                <w:rFonts w:ascii="Arial"/>
                <w:spacing w:val="-1"/>
              </w:rPr>
              <w:t>independently</w:t>
            </w:r>
            <w:r>
              <w:rPr>
                <w:rFonts w:ascii="Arial"/>
                <w:spacing w:val="-2"/>
              </w:rPr>
              <w:t xml:space="preserve"> </w:t>
            </w:r>
            <w:r>
              <w:rPr>
                <w:rFonts w:ascii="Arial"/>
                <w:spacing w:val="-1"/>
              </w:rPr>
              <w:t>of</w:t>
            </w:r>
            <w:r>
              <w:rPr>
                <w:rFonts w:ascii="Arial"/>
                <w:spacing w:val="2"/>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2"/>
              </w:rPr>
              <w:t>Contract,</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"Supplier</w:t>
            </w:r>
            <w:r>
              <w:rPr>
                <w:rFonts w:ascii="Arial"/>
                <w:b/>
                <w:spacing w:val="1"/>
              </w:rPr>
              <w:t xml:space="preserve"> </w:t>
            </w:r>
            <w:r>
              <w:rPr>
                <w:rFonts w:ascii="Arial"/>
                <w:b/>
                <w:spacing w:val="-2"/>
              </w:rPr>
              <w:t>Personnel"</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39" w:lineRule="auto"/>
              <w:ind w:left="270" w:right="99"/>
              <w:jc w:val="both"/>
              <w:rPr>
                <w:rFonts w:ascii="Arial" w:eastAsia="Arial" w:hAnsi="Arial" w:cs="Arial"/>
              </w:rPr>
            </w:pPr>
            <w:r>
              <w:rPr>
                <w:rFonts w:ascii="Arial" w:eastAsia="Arial" w:hAnsi="Arial" w:cs="Arial"/>
                <w:spacing w:val="-1"/>
              </w:rPr>
              <w:t>means</w:t>
            </w:r>
            <w:r>
              <w:rPr>
                <w:rFonts w:ascii="Arial" w:eastAsia="Arial" w:hAnsi="Arial" w:cs="Arial"/>
                <w:spacing w:val="9"/>
              </w:rPr>
              <w:t xml:space="preserve"> </w:t>
            </w:r>
            <w:r>
              <w:rPr>
                <w:rFonts w:ascii="Arial" w:eastAsia="Arial" w:hAnsi="Arial" w:cs="Arial"/>
                <w:spacing w:val="-1"/>
              </w:rPr>
              <w:t>all</w:t>
            </w:r>
            <w:r>
              <w:rPr>
                <w:rFonts w:ascii="Arial" w:eastAsia="Arial" w:hAnsi="Arial" w:cs="Arial"/>
                <w:spacing w:val="8"/>
              </w:rPr>
              <w:t xml:space="preserve"> </w:t>
            </w:r>
            <w:r>
              <w:rPr>
                <w:rFonts w:ascii="Arial" w:eastAsia="Arial" w:hAnsi="Arial" w:cs="Arial"/>
                <w:spacing w:val="-1"/>
              </w:rPr>
              <w:t>directors,</w:t>
            </w:r>
            <w:r>
              <w:rPr>
                <w:rFonts w:ascii="Arial" w:eastAsia="Arial" w:hAnsi="Arial" w:cs="Arial"/>
                <w:spacing w:val="8"/>
              </w:rPr>
              <w:t xml:space="preserve"> </w:t>
            </w:r>
            <w:r>
              <w:rPr>
                <w:rFonts w:ascii="Arial" w:eastAsia="Arial" w:hAnsi="Arial" w:cs="Arial"/>
                <w:spacing w:val="-1"/>
              </w:rPr>
              <w:t>officers,</w:t>
            </w:r>
            <w:r>
              <w:rPr>
                <w:rFonts w:ascii="Arial" w:eastAsia="Arial" w:hAnsi="Arial" w:cs="Arial"/>
                <w:spacing w:val="11"/>
              </w:rPr>
              <w:t xml:space="preserve"> </w:t>
            </w:r>
            <w:r>
              <w:rPr>
                <w:rFonts w:ascii="Arial" w:eastAsia="Arial" w:hAnsi="Arial" w:cs="Arial"/>
                <w:spacing w:val="-2"/>
              </w:rPr>
              <w:t>employees,</w:t>
            </w:r>
            <w:r>
              <w:rPr>
                <w:rFonts w:ascii="Arial" w:eastAsia="Arial" w:hAnsi="Arial" w:cs="Arial"/>
                <w:spacing w:val="11"/>
              </w:rPr>
              <w:t xml:space="preserve"> </w:t>
            </w:r>
            <w:r>
              <w:rPr>
                <w:rFonts w:ascii="Arial" w:eastAsia="Arial" w:hAnsi="Arial" w:cs="Arial"/>
                <w:spacing w:val="-1"/>
              </w:rPr>
              <w:t>agents,</w:t>
            </w:r>
            <w:r>
              <w:rPr>
                <w:rFonts w:ascii="Arial" w:eastAsia="Arial" w:hAnsi="Arial" w:cs="Arial"/>
                <w:spacing w:val="35"/>
              </w:rPr>
              <w:t xml:space="preserve"> </w:t>
            </w:r>
            <w:r>
              <w:rPr>
                <w:rFonts w:ascii="Arial" w:eastAsia="Arial" w:hAnsi="Arial" w:cs="Arial"/>
                <w:spacing w:val="-1"/>
              </w:rPr>
              <w:t>consultants</w:t>
            </w:r>
            <w:r>
              <w:rPr>
                <w:rFonts w:ascii="Arial" w:eastAsia="Arial" w:hAnsi="Arial" w:cs="Arial"/>
                <w:spacing w:val="17"/>
              </w:rPr>
              <w:t xml:space="preserve"> </w:t>
            </w:r>
            <w:r>
              <w:rPr>
                <w:rFonts w:ascii="Arial" w:eastAsia="Arial" w:hAnsi="Arial" w:cs="Arial"/>
                <w:spacing w:val="-1"/>
              </w:rPr>
              <w:t>and</w:t>
            </w:r>
            <w:r>
              <w:rPr>
                <w:rFonts w:ascii="Arial" w:eastAsia="Arial" w:hAnsi="Arial" w:cs="Arial"/>
                <w:spacing w:val="20"/>
              </w:rPr>
              <w:t xml:space="preserve"> </w:t>
            </w:r>
            <w:r>
              <w:rPr>
                <w:rFonts w:ascii="Arial" w:eastAsia="Arial" w:hAnsi="Arial" w:cs="Arial"/>
                <w:spacing w:val="-1"/>
              </w:rPr>
              <w:t>contractors</w:t>
            </w:r>
            <w:r>
              <w:rPr>
                <w:rFonts w:ascii="Arial" w:eastAsia="Arial" w:hAnsi="Arial" w:cs="Arial"/>
                <w:spacing w:val="20"/>
              </w:rPr>
              <w:t xml:space="preserve"> </w:t>
            </w:r>
            <w:r>
              <w:rPr>
                <w:rFonts w:ascii="Arial" w:eastAsia="Arial" w:hAnsi="Arial" w:cs="Arial"/>
                <w:spacing w:val="-2"/>
              </w:rPr>
              <w:t>of</w:t>
            </w:r>
            <w:r>
              <w:rPr>
                <w:rFonts w:ascii="Arial" w:eastAsia="Arial" w:hAnsi="Arial" w:cs="Arial"/>
                <w:spacing w:val="21"/>
              </w:rPr>
              <w:t xml:space="preserve"> </w:t>
            </w:r>
            <w:r>
              <w:rPr>
                <w:rFonts w:ascii="Arial" w:eastAsia="Arial" w:hAnsi="Arial" w:cs="Arial"/>
              </w:rPr>
              <w:t>the</w:t>
            </w:r>
            <w:r>
              <w:rPr>
                <w:rFonts w:ascii="Arial" w:eastAsia="Arial" w:hAnsi="Arial" w:cs="Arial"/>
                <w:spacing w:val="17"/>
              </w:rPr>
              <w:t xml:space="preserve"> </w:t>
            </w:r>
            <w:r>
              <w:rPr>
                <w:rFonts w:ascii="Arial" w:eastAsia="Arial" w:hAnsi="Arial" w:cs="Arial"/>
                <w:spacing w:val="-2"/>
              </w:rPr>
              <w:t>Supplier</w:t>
            </w:r>
            <w:r>
              <w:rPr>
                <w:rFonts w:ascii="Arial" w:eastAsia="Arial" w:hAnsi="Arial" w:cs="Arial"/>
                <w:spacing w:val="21"/>
              </w:rPr>
              <w:t xml:space="preserve"> </w:t>
            </w:r>
            <w:r>
              <w:rPr>
                <w:rFonts w:ascii="Arial" w:eastAsia="Arial" w:hAnsi="Arial" w:cs="Arial"/>
                <w:spacing w:val="-1"/>
              </w:rPr>
              <w:t>and/or</w:t>
            </w:r>
            <w:r>
              <w:rPr>
                <w:rFonts w:ascii="Arial" w:eastAsia="Arial" w:hAnsi="Arial" w:cs="Arial"/>
                <w:spacing w:val="21"/>
              </w:rPr>
              <w:t xml:space="preserve"> </w:t>
            </w:r>
            <w:r>
              <w:rPr>
                <w:rFonts w:ascii="Arial" w:eastAsia="Arial" w:hAnsi="Arial" w:cs="Arial"/>
                <w:spacing w:val="-2"/>
              </w:rPr>
              <w:t>of</w:t>
            </w:r>
            <w:r>
              <w:rPr>
                <w:rFonts w:ascii="Arial" w:eastAsia="Arial" w:hAnsi="Arial" w:cs="Arial"/>
                <w:spacing w:val="21"/>
              </w:rPr>
              <w:t xml:space="preserve"> </w:t>
            </w:r>
            <w:r>
              <w:rPr>
                <w:rFonts w:ascii="Arial" w:eastAsia="Arial" w:hAnsi="Arial" w:cs="Arial"/>
                <w:spacing w:val="-1"/>
              </w:rPr>
              <w:t>any</w:t>
            </w:r>
            <w:r>
              <w:rPr>
                <w:rFonts w:ascii="Arial" w:eastAsia="Arial" w:hAnsi="Arial" w:cs="Arial"/>
                <w:spacing w:val="34"/>
              </w:rPr>
              <w:t xml:space="preserve"> </w:t>
            </w:r>
            <w:r>
              <w:rPr>
                <w:rFonts w:ascii="Arial" w:eastAsia="Arial" w:hAnsi="Arial" w:cs="Arial"/>
                <w:spacing w:val="-1"/>
              </w:rPr>
              <w:t>Sub-Contractor</w:t>
            </w:r>
            <w:r>
              <w:rPr>
                <w:rFonts w:ascii="Arial" w:eastAsia="Arial" w:hAnsi="Arial" w:cs="Arial"/>
                <w:spacing w:val="4"/>
              </w:rPr>
              <w:t xml:space="preserve"> </w:t>
            </w:r>
            <w:r>
              <w:rPr>
                <w:rFonts w:ascii="Arial" w:eastAsia="Arial" w:hAnsi="Arial" w:cs="Arial"/>
                <w:spacing w:val="-1"/>
              </w:rPr>
              <w:t>engaged</w:t>
            </w:r>
            <w:r>
              <w:rPr>
                <w:rFonts w:ascii="Arial" w:eastAsia="Arial" w:hAnsi="Arial" w:cs="Arial"/>
                <w:spacing w:val="3"/>
              </w:rPr>
              <w:t xml:space="preserve"> </w:t>
            </w:r>
            <w:r>
              <w:rPr>
                <w:rFonts w:ascii="Arial" w:eastAsia="Arial" w:hAnsi="Arial" w:cs="Arial"/>
                <w:spacing w:val="-1"/>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performance</w:t>
            </w:r>
            <w:r>
              <w:rPr>
                <w:rFonts w:ascii="Arial" w:eastAsia="Arial" w:hAnsi="Arial" w:cs="Arial"/>
                <w:spacing w:val="1"/>
              </w:rPr>
              <w:t xml:space="preserve"> </w:t>
            </w:r>
            <w:r>
              <w:rPr>
                <w:rFonts w:ascii="Arial" w:eastAsia="Arial" w:hAnsi="Arial" w:cs="Arial"/>
                <w:spacing w:val="-1"/>
              </w:rPr>
              <w:t>of</w:t>
            </w:r>
            <w:r>
              <w:rPr>
                <w:rFonts w:ascii="Arial" w:eastAsia="Arial" w:hAnsi="Arial" w:cs="Arial"/>
                <w:spacing w:val="4"/>
              </w:rPr>
              <w:t xml:space="preserve"> </w:t>
            </w:r>
            <w:r>
              <w:rPr>
                <w:rFonts w:ascii="Arial" w:eastAsia="Arial" w:hAnsi="Arial" w:cs="Arial"/>
                <w:spacing w:val="-1"/>
              </w:rPr>
              <w:t>the</w:t>
            </w:r>
            <w:r>
              <w:rPr>
                <w:rFonts w:ascii="Arial" w:eastAsia="Arial" w:hAnsi="Arial" w:cs="Arial"/>
                <w:spacing w:val="23"/>
              </w:rPr>
              <w:t xml:space="preserve"> </w:t>
            </w:r>
            <w:r>
              <w:rPr>
                <w:rFonts w:ascii="Arial" w:eastAsia="Arial" w:hAnsi="Arial" w:cs="Arial"/>
                <w:spacing w:val="-2"/>
              </w:rPr>
              <w:t>Supplier’s</w:t>
            </w:r>
            <w:r>
              <w:rPr>
                <w:rFonts w:ascii="Arial" w:eastAsia="Arial" w:hAnsi="Arial" w:cs="Arial"/>
                <w:spacing w:val="1"/>
              </w:rPr>
              <w:t xml:space="preserve"> </w:t>
            </w:r>
            <w:r>
              <w:rPr>
                <w:rFonts w:ascii="Arial" w:eastAsia="Arial" w:hAnsi="Arial" w:cs="Arial"/>
                <w:spacing w:val="-1"/>
              </w:rPr>
              <w:t>obligations</w:t>
            </w:r>
            <w:r>
              <w:rPr>
                <w:rFonts w:ascii="Arial" w:eastAsia="Arial" w:hAnsi="Arial" w:cs="Arial"/>
                <w:spacing w:val="1"/>
              </w:rPr>
              <w:t xml:space="preserve"> </w:t>
            </w:r>
            <w:r>
              <w:rPr>
                <w:rFonts w:ascii="Arial" w:eastAsia="Arial" w:hAnsi="Arial" w:cs="Arial"/>
                <w:spacing w:val="-2"/>
              </w:rPr>
              <w:t>under</w:t>
            </w:r>
            <w:r>
              <w:rPr>
                <w:rFonts w:ascii="Arial" w:eastAsia="Arial" w:hAnsi="Arial" w:cs="Arial"/>
                <w:spacing w:val="-1"/>
              </w:rPr>
              <w:t xml:space="preserve"> this</w:t>
            </w:r>
            <w:r>
              <w:rPr>
                <w:rFonts w:ascii="Arial" w:eastAsia="Arial" w:hAnsi="Arial" w:cs="Arial"/>
                <w:spacing w:val="1"/>
              </w:rPr>
              <w:t xml:space="preserve"> </w:t>
            </w:r>
            <w:r>
              <w:rPr>
                <w:rFonts w:ascii="Arial" w:eastAsia="Arial" w:hAnsi="Arial" w:cs="Arial"/>
                <w:spacing w:val="-2"/>
              </w:rPr>
              <w:t>Call</w:t>
            </w:r>
            <w:r>
              <w:rPr>
                <w:rFonts w:ascii="Arial" w:eastAsia="Arial" w:hAnsi="Arial" w:cs="Arial"/>
              </w:rPr>
              <w:t xml:space="preserve"> </w:t>
            </w:r>
            <w:r>
              <w:rPr>
                <w:rFonts w:ascii="Arial" w:eastAsia="Arial" w:hAnsi="Arial" w:cs="Arial"/>
                <w:spacing w:val="-1"/>
              </w:rPr>
              <w:t>Off</w:t>
            </w:r>
            <w:r>
              <w:rPr>
                <w:rFonts w:ascii="Arial" w:eastAsia="Arial" w:hAnsi="Arial" w:cs="Arial"/>
              </w:rPr>
              <w:t xml:space="preserve"> </w:t>
            </w:r>
            <w:r>
              <w:rPr>
                <w:rFonts w:ascii="Arial" w:eastAsia="Arial" w:hAnsi="Arial" w:cs="Arial"/>
                <w:spacing w:val="-1"/>
              </w:rPr>
              <w:t>Contract;</w:t>
            </w:r>
          </w:p>
        </w:tc>
      </w:tr>
      <w:tr w:rsidR="008918FA" w:rsidTr="005D2B81">
        <w:trPr>
          <w:trHeight w:hRule="exact" w:val="1399"/>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"Supplier</w:t>
            </w:r>
            <w:r>
              <w:rPr>
                <w:rFonts w:ascii="Arial"/>
                <w:b/>
                <w:spacing w:val="1"/>
              </w:rPr>
              <w:t xml:space="preserve"> </w:t>
            </w:r>
            <w:r>
              <w:rPr>
                <w:rFonts w:ascii="Arial"/>
                <w:b/>
                <w:spacing w:val="-1"/>
              </w:rPr>
              <w:t>Equipment"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39"/>
              </w:rPr>
              <w:t xml:space="preserve"> </w:t>
            </w:r>
            <w:r>
              <w:rPr>
                <w:rFonts w:ascii="Arial"/>
              </w:rPr>
              <w:t>the</w:t>
            </w:r>
            <w:r>
              <w:rPr>
                <w:rFonts w:ascii="Arial"/>
                <w:spacing w:val="38"/>
              </w:rPr>
              <w:t xml:space="preserve"> </w:t>
            </w:r>
            <w:r>
              <w:rPr>
                <w:rFonts w:ascii="Arial"/>
                <w:spacing w:val="-2"/>
              </w:rPr>
              <w:t>Supplier's</w:t>
            </w:r>
            <w:r>
              <w:rPr>
                <w:rFonts w:ascii="Arial"/>
                <w:spacing w:val="39"/>
              </w:rPr>
              <w:t xml:space="preserve"> </w:t>
            </w:r>
            <w:r>
              <w:rPr>
                <w:rFonts w:ascii="Arial"/>
                <w:spacing w:val="-1"/>
              </w:rPr>
              <w:t>hardware,</w:t>
            </w:r>
            <w:r>
              <w:rPr>
                <w:rFonts w:ascii="Arial"/>
                <w:spacing w:val="40"/>
              </w:rPr>
              <w:t xml:space="preserve"> </w:t>
            </w:r>
            <w:r>
              <w:rPr>
                <w:rFonts w:ascii="Arial"/>
                <w:spacing w:val="-1"/>
              </w:rPr>
              <w:t>computer</w:t>
            </w:r>
            <w:r>
              <w:rPr>
                <w:rFonts w:ascii="Arial"/>
                <w:spacing w:val="40"/>
              </w:rPr>
              <w:t xml:space="preserve"> </w:t>
            </w:r>
            <w:r>
              <w:rPr>
                <w:rFonts w:ascii="Arial"/>
                <w:spacing w:val="-1"/>
              </w:rPr>
              <w:t>and</w:t>
            </w:r>
            <w:r>
              <w:rPr>
                <w:rFonts w:ascii="Arial"/>
                <w:spacing w:val="36"/>
              </w:rPr>
              <w:t xml:space="preserve"> </w:t>
            </w:r>
            <w:r>
              <w:rPr>
                <w:rFonts w:ascii="Arial"/>
                <w:spacing w:val="-1"/>
              </w:rPr>
              <w:t>telecoms</w:t>
            </w:r>
            <w:r>
              <w:rPr>
                <w:rFonts w:ascii="Arial"/>
                <w:spacing w:val="39"/>
              </w:rPr>
              <w:t xml:space="preserve"> </w:t>
            </w:r>
            <w:r>
              <w:rPr>
                <w:rFonts w:ascii="Arial"/>
                <w:spacing w:val="-2"/>
              </w:rPr>
              <w:t>devices,</w:t>
            </w:r>
            <w:r>
              <w:rPr>
                <w:rFonts w:ascii="Arial"/>
                <w:spacing w:val="9"/>
              </w:rPr>
              <w:t xml:space="preserve"> </w:t>
            </w:r>
            <w:r>
              <w:rPr>
                <w:rFonts w:ascii="Arial"/>
                <w:spacing w:val="-1"/>
              </w:rPr>
              <w:t>equipment,</w:t>
            </w:r>
            <w:r>
              <w:rPr>
                <w:rFonts w:ascii="Arial"/>
                <w:spacing w:val="9"/>
              </w:rPr>
              <w:t xml:space="preserve"> </w:t>
            </w:r>
            <w:r>
              <w:rPr>
                <w:rFonts w:ascii="Arial"/>
                <w:spacing w:val="-1"/>
              </w:rPr>
              <w:t>plant,</w:t>
            </w:r>
            <w:r>
              <w:rPr>
                <w:rFonts w:ascii="Arial"/>
                <w:spacing w:val="7"/>
              </w:rPr>
              <w:t xml:space="preserve"> </w:t>
            </w:r>
            <w:r>
              <w:rPr>
                <w:rFonts w:ascii="Arial"/>
                <w:spacing w:val="-1"/>
              </w:rPr>
              <w:t>materials</w:t>
            </w:r>
            <w:r>
              <w:rPr>
                <w:rFonts w:ascii="Arial"/>
                <w:spacing w:val="8"/>
              </w:rPr>
              <w:t xml:space="preserve"> </w:t>
            </w:r>
            <w:r>
              <w:rPr>
                <w:rFonts w:ascii="Arial"/>
                <w:spacing w:val="-1"/>
              </w:rPr>
              <w:t>and</w:t>
            </w:r>
            <w:r>
              <w:rPr>
                <w:rFonts w:ascii="Arial"/>
                <w:spacing w:val="7"/>
              </w:rPr>
              <w:t xml:space="preserve"> </w:t>
            </w:r>
            <w:r>
              <w:rPr>
                <w:rFonts w:ascii="Arial"/>
                <w:spacing w:val="-1"/>
              </w:rPr>
              <w:t>such</w:t>
            </w:r>
            <w:r>
              <w:rPr>
                <w:rFonts w:ascii="Arial"/>
                <w:spacing w:val="8"/>
              </w:rPr>
              <w:t xml:space="preserve"> </w:t>
            </w:r>
            <w:r>
              <w:rPr>
                <w:rFonts w:ascii="Arial"/>
                <w:spacing w:val="-1"/>
              </w:rPr>
              <w:t>other</w:t>
            </w:r>
            <w:r>
              <w:rPr>
                <w:rFonts w:ascii="Arial"/>
                <w:spacing w:val="9"/>
              </w:rPr>
              <w:t xml:space="preserve"> </w:t>
            </w:r>
            <w:r>
              <w:rPr>
                <w:rFonts w:ascii="Arial"/>
                <w:spacing w:val="-1"/>
              </w:rPr>
              <w:t>items</w:t>
            </w:r>
            <w:r>
              <w:rPr>
                <w:rFonts w:ascii="Arial"/>
                <w:spacing w:val="37"/>
              </w:rPr>
              <w:t xml:space="preserve"> </w:t>
            </w:r>
            <w:r>
              <w:rPr>
                <w:rFonts w:ascii="Arial"/>
                <w:spacing w:val="-1"/>
              </w:rPr>
              <w:t>supplied</w:t>
            </w:r>
            <w:r>
              <w:rPr>
                <w:rFonts w:ascii="Arial"/>
                <w:spacing w:val="24"/>
              </w:rPr>
              <w:t xml:space="preserve"> </w:t>
            </w:r>
            <w:r>
              <w:rPr>
                <w:rFonts w:ascii="Arial"/>
                <w:spacing w:val="-1"/>
              </w:rPr>
              <w:t>and</w:t>
            </w:r>
            <w:r>
              <w:rPr>
                <w:rFonts w:ascii="Arial"/>
                <w:spacing w:val="24"/>
              </w:rPr>
              <w:t xml:space="preserve"> </w:t>
            </w:r>
            <w:r>
              <w:rPr>
                <w:rFonts w:ascii="Arial"/>
                <w:spacing w:val="-1"/>
              </w:rPr>
              <w:t>used</w:t>
            </w:r>
            <w:r>
              <w:rPr>
                <w:rFonts w:ascii="Arial"/>
                <w:spacing w:val="24"/>
              </w:rPr>
              <w:t xml:space="preserve"> </w:t>
            </w:r>
            <w:r>
              <w:rPr>
                <w:rFonts w:ascii="Arial"/>
                <w:spacing w:val="1"/>
              </w:rPr>
              <w:t>by</w:t>
            </w:r>
            <w:r>
              <w:rPr>
                <w:rFonts w:ascii="Arial"/>
                <w:spacing w:val="22"/>
              </w:rPr>
              <w:t xml:space="preserve"> </w:t>
            </w:r>
            <w:r>
              <w:rPr>
                <w:rFonts w:ascii="Arial"/>
              </w:rPr>
              <w:t>the</w:t>
            </w:r>
            <w:r>
              <w:rPr>
                <w:rFonts w:ascii="Arial"/>
                <w:spacing w:val="24"/>
              </w:rPr>
              <w:t xml:space="preserve"> </w:t>
            </w:r>
            <w:r>
              <w:rPr>
                <w:rFonts w:ascii="Arial"/>
                <w:spacing w:val="-2"/>
              </w:rPr>
              <w:t>Supplier</w:t>
            </w:r>
            <w:r>
              <w:rPr>
                <w:rFonts w:ascii="Arial"/>
                <w:spacing w:val="26"/>
              </w:rPr>
              <w:t xml:space="preserve"> </w:t>
            </w:r>
            <w:r>
              <w:rPr>
                <w:rFonts w:ascii="Arial"/>
                <w:spacing w:val="-1"/>
              </w:rPr>
              <w:t>(but</w:t>
            </w:r>
            <w:r>
              <w:rPr>
                <w:rFonts w:ascii="Arial"/>
                <w:spacing w:val="26"/>
              </w:rPr>
              <w:t xml:space="preserve"> </w:t>
            </w:r>
            <w:r>
              <w:rPr>
                <w:rFonts w:ascii="Arial"/>
                <w:spacing w:val="-1"/>
              </w:rPr>
              <w:t>not</w:t>
            </w:r>
            <w:r>
              <w:rPr>
                <w:rFonts w:ascii="Arial"/>
                <w:spacing w:val="26"/>
              </w:rPr>
              <w:t xml:space="preserve"> </w:t>
            </w:r>
            <w:r>
              <w:rPr>
                <w:rFonts w:ascii="Arial"/>
                <w:spacing w:val="-2"/>
              </w:rPr>
              <w:t>hired,</w:t>
            </w:r>
            <w:r>
              <w:rPr>
                <w:rFonts w:ascii="Arial"/>
                <w:spacing w:val="26"/>
              </w:rPr>
              <w:t xml:space="preserve"> </w:t>
            </w:r>
            <w:r>
              <w:rPr>
                <w:rFonts w:ascii="Arial"/>
                <w:spacing w:val="-1"/>
              </w:rPr>
              <w:t>leased</w:t>
            </w:r>
            <w:r>
              <w:rPr>
                <w:rFonts w:ascii="Arial"/>
                <w:spacing w:val="39"/>
              </w:rPr>
              <w:t xml:space="preserve"> </w:t>
            </w:r>
            <w:r>
              <w:rPr>
                <w:rFonts w:ascii="Arial"/>
                <w:spacing w:val="-1"/>
              </w:rPr>
              <w:t>or</w:t>
            </w:r>
            <w:r>
              <w:rPr>
                <w:rFonts w:ascii="Arial"/>
                <w:spacing w:val="42"/>
              </w:rPr>
              <w:t xml:space="preserve"> </w:t>
            </w:r>
            <w:r>
              <w:rPr>
                <w:rFonts w:ascii="Arial"/>
                <w:spacing w:val="-1"/>
              </w:rPr>
              <w:t>loaned</w:t>
            </w:r>
            <w:r>
              <w:rPr>
                <w:rFonts w:ascii="Arial"/>
                <w:spacing w:val="38"/>
              </w:rPr>
              <w:t xml:space="preserve"> </w:t>
            </w:r>
            <w:r>
              <w:rPr>
                <w:rFonts w:ascii="Arial"/>
              </w:rPr>
              <w:t>from</w:t>
            </w:r>
            <w:r>
              <w:rPr>
                <w:rFonts w:ascii="Arial"/>
                <w:spacing w:val="42"/>
              </w:rPr>
              <w:t xml:space="preserve"> </w:t>
            </w:r>
            <w:r>
              <w:rPr>
                <w:rFonts w:ascii="Arial"/>
              </w:rPr>
              <w:t>the</w:t>
            </w:r>
            <w:r>
              <w:rPr>
                <w:rFonts w:ascii="Arial"/>
                <w:spacing w:val="41"/>
              </w:rPr>
              <w:t xml:space="preserve"> </w:t>
            </w:r>
            <w:r>
              <w:rPr>
                <w:rFonts w:ascii="Arial"/>
                <w:spacing w:val="-1"/>
              </w:rPr>
              <w:t>Customer)</w:t>
            </w:r>
            <w:r>
              <w:rPr>
                <w:rFonts w:ascii="Arial"/>
                <w:spacing w:val="42"/>
              </w:rPr>
              <w:t xml:space="preserve"> </w:t>
            </w:r>
            <w:r>
              <w:rPr>
                <w:rFonts w:ascii="Arial"/>
                <w:spacing w:val="-1"/>
              </w:rPr>
              <w:t>in</w:t>
            </w:r>
            <w:r>
              <w:rPr>
                <w:rFonts w:ascii="Arial"/>
                <w:spacing w:val="41"/>
              </w:rPr>
              <w:t xml:space="preserve"> </w:t>
            </w:r>
            <w:r>
              <w:rPr>
                <w:rFonts w:ascii="Arial"/>
              </w:rPr>
              <w:t>the</w:t>
            </w:r>
            <w:r>
              <w:rPr>
                <w:rFonts w:ascii="Arial"/>
                <w:spacing w:val="42"/>
              </w:rPr>
              <w:t xml:space="preserve"> </w:t>
            </w:r>
            <w:r>
              <w:rPr>
                <w:rFonts w:ascii="Arial"/>
                <w:spacing w:val="-1"/>
              </w:rPr>
              <w:t>performance</w:t>
            </w:r>
            <w:r>
              <w:rPr>
                <w:rFonts w:ascii="Arial"/>
                <w:spacing w:val="41"/>
              </w:rPr>
              <w:t xml:space="preserve"> </w:t>
            </w:r>
            <w:r>
              <w:rPr>
                <w:rFonts w:ascii="Arial"/>
                <w:spacing w:val="-2"/>
              </w:rPr>
              <w:t>of</w:t>
            </w:r>
            <w:r>
              <w:rPr>
                <w:rFonts w:ascii="Arial"/>
                <w:spacing w:val="45"/>
              </w:rPr>
              <w:t xml:space="preserve"> </w:t>
            </w:r>
            <w:r>
              <w:rPr>
                <w:rFonts w:ascii="Arial"/>
                <w:spacing w:val="-2"/>
              </w:rPr>
              <w:t>its</w:t>
            </w:r>
            <w:r>
              <w:rPr>
                <w:rFonts w:ascii="Arial"/>
                <w:spacing w:val="25"/>
              </w:rPr>
              <w:t xml:space="preserve"> </w:t>
            </w:r>
            <w:r>
              <w:rPr>
                <w:rFonts w:ascii="Arial"/>
                <w:spacing w:val="-1"/>
              </w:rPr>
              <w:t>obligations</w:t>
            </w:r>
            <w:r>
              <w:rPr>
                <w:rFonts w:ascii="Arial"/>
                <w:spacing w:val="1"/>
              </w:rPr>
              <w:t xml:space="preserve"> </w:t>
            </w:r>
            <w:r>
              <w:rPr>
                <w:rFonts w:ascii="Arial"/>
                <w:spacing w:val="-2"/>
              </w:rPr>
              <w:t>under</w:t>
            </w:r>
            <w:r>
              <w:rPr>
                <w:rFonts w:ascii="Arial"/>
                <w:spacing w:val="-1"/>
              </w:rPr>
              <w:t xml:space="preserve"> 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Contract;</w:t>
            </w:r>
          </w:p>
        </w:tc>
      </w:tr>
      <w:tr w:rsidR="008918FA" w:rsidTr="005D2B81">
        <w:trPr>
          <w:trHeight w:hRule="exact" w:val="264"/>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"Supplier</w:t>
            </w:r>
            <w:r>
              <w:rPr>
                <w:rFonts w:ascii="Arial"/>
                <w:b/>
                <w:spacing w:val="1"/>
              </w:rPr>
              <w:t xml:space="preserve"> </w:t>
            </w:r>
            <w:r>
              <w:rPr>
                <w:rFonts w:ascii="Arial"/>
                <w:b/>
                <w:spacing w:val="-2"/>
              </w:rPr>
              <w:t>Non-</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has</w:t>
            </w:r>
            <w:r>
              <w:rPr>
                <w:rFonts w:ascii="Arial"/>
                <w:spacing w:val="1"/>
              </w:rPr>
              <w:t xml:space="preserve"> </w:t>
            </w:r>
            <w:r>
              <w:rPr>
                <w:rFonts w:ascii="Arial"/>
              </w:rPr>
              <w:t xml:space="preserve">the </w:t>
            </w:r>
            <w:r>
              <w:rPr>
                <w:rFonts w:ascii="Arial"/>
                <w:spacing w:val="-2"/>
              </w:rPr>
              <w:t>meaning</w:t>
            </w:r>
            <w:r>
              <w:rPr>
                <w:rFonts w:ascii="Arial"/>
              </w:rPr>
              <w:t xml:space="preserve"> </w:t>
            </w:r>
            <w:r>
              <w:rPr>
                <w:rFonts w:ascii="Arial"/>
                <w:spacing w:val="-1"/>
              </w:rPr>
              <w:t>given</w:t>
            </w:r>
            <w:r>
              <w:rPr>
                <w:rFonts w:ascii="Arial"/>
              </w:rPr>
              <w:t xml:space="preserve"> </w:t>
            </w:r>
            <w:r>
              <w:rPr>
                <w:rFonts w:ascii="Arial"/>
                <w:spacing w:val="-1"/>
              </w:rPr>
              <w:t>to</w:t>
            </w:r>
            <w:r>
              <w:rPr>
                <w:rFonts w:ascii="Arial"/>
              </w:rPr>
              <w:t xml:space="preserve"> </w:t>
            </w:r>
            <w:r>
              <w:rPr>
                <w:rFonts w:ascii="Arial"/>
                <w:spacing w:val="-1"/>
              </w:rPr>
              <w:t>it</w:t>
            </w:r>
            <w:r>
              <w:rPr>
                <w:rFonts w:ascii="Arial"/>
                <w:spacing w:val="2"/>
              </w:rPr>
              <w:t xml:space="preserve"> </w:t>
            </w:r>
            <w:r>
              <w:rPr>
                <w:rFonts w:ascii="Arial"/>
                <w:spacing w:val="-1"/>
              </w:rPr>
              <w:t>in</w:t>
            </w:r>
            <w:r>
              <w:rPr>
                <w:rFonts w:ascii="Arial"/>
              </w:rPr>
              <w:t xml:space="preserve"> </w:t>
            </w:r>
            <w:r>
              <w:rPr>
                <w:rFonts w:ascii="Arial"/>
                <w:spacing w:val="-2"/>
              </w:rPr>
              <w:t>Clause</w:t>
            </w:r>
            <w:r>
              <w:rPr>
                <w:rFonts w:ascii="Arial"/>
                <w:spacing w:val="2"/>
              </w:rPr>
              <w:t xml:space="preserve"> </w:t>
            </w:r>
            <w:hyperlink w:anchor="_bookmark223" w:history="1">
              <w:r>
                <w:rPr>
                  <w:rFonts w:ascii="Arial"/>
                  <w:spacing w:val="-1"/>
                </w:rPr>
                <w:t>39.1</w:t>
              </w:r>
            </w:hyperlink>
            <w:r>
              <w:rPr>
                <w:rFonts w:ascii="Arial"/>
              </w:rPr>
              <w:t xml:space="preserve"> </w:t>
            </w:r>
            <w:r>
              <w:rPr>
                <w:rFonts w:ascii="Arial"/>
                <w:spacing w:val="-2"/>
              </w:rPr>
              <w:t>(Supplier</w:t>
            </w:r>
            <w:r>
              <w:rPr>
                <w:rFonts w:ascii="Arial"/>
                <w:spacing w:val="2"/>
              </w:rPr>
              <w:t xml:space="preserve"> </w:t>
            </w:r>
            <w:r>
              <w:rPr>
                <w:rFonts w:ascii="Arial"/>
                <w:spacing w:val="-2"/>
              </w:rPr>
              <w:t>Relief</w:t>
            </w:r>
          </w:p>
        </w:tc>
      </w:tr>
    </w:tbl>
    <w:p w:rsidR="008918FA" w:rsidRDefault="008918FA" w:rsidP="008918FA">
      <w:pPr>
        <w:spacing w:line="250" w:lineRule="exact"/>
        <w:rPr>
          <w:rFonts w:ascii="Arial" w:eastAsia="Arial" w:hAnsi="Arial" w:cs="Arial"/>
        </w:rPr>
        <w:sectPr w:rsidR="008918FA">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38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Performance"</w:t>
            </w:r>
          </w:p>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Due</w:t>
            </w:r>
            <w:r>
              <w:rPr>
                <w:rFonts w:ascii="Arial"/>
              </w:rPr>
              <w:t xml:space="preserve"> to </w:t>
            </w:r>
            <w:r>
              <w:rPr>
                <w:rFonts w:ascii="Arial"/>
                <w:spacing w:val="-2"/>
              </w:rPr>
              <w:t>Customer</w:t>
            </w:r>
            <w:r>
              <w:rPr>
                <w:rFonts w:ascii="Arial"/>
                <w:spacing w:val="-1"/>
              </w:rPr>
              <w:t xml:space="preserve"> Cause);</w:t>
            </w:r>
          </w:p>
        </w:tc>
      </w:tr>
      <w:tr w:rsidR="008918FA" w:rsidTr="005D2B81">
        <w:trPr>
          <w:trHeight w:hRule="exact" w:val="165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"Supplier</w:t>
            </w:r>
            <w:r>
              <w:rPr>
                <w:rFonts w:ascii="Arial"/>
                <w:b/>
                <w:spacing w:val="1"/>
              </w:rPr>
              <w:t xml:space="preserve"> </w:t>
            </w:r>
            <w:r>
              <w:rPr>
                <w:rFonts w:ascii="Arial"/>
                <w:b/>
                <w:spacing w:val="-2"/>
              </w:rPr>
              <w:t>Profit"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0"/>
              <w:jc w:val="both"/>
              <w:rPr>
                <w:rFonts w:ascii="Arial" w:eastAsia="Arial" w:hAnsi="Arial" w:cs="Arial"/>
              </w:rPr>
            </w:pPr>
            <w:r>
              <w:rPr>
                <w:rFonts w:ascii="Arial"/>
                <w:spacing w:val="-1"/>
              </w:rPr>
              <w:t>means,</w:t>
            </w:r>
            <w:r>
              <w:rPr>
                <w:rFonts w:ascii="Arial"/>
                <w:spacing w:val="6"/>
              </w:rPr>
              <w:t xml:space="preserve"> </w:t>
            </w:r>
            <w:r>
              <w:rPr>
                <w:rFonts w:ascii="Arial"/>
                <w:spacing w:val="-1"/>
              </w:rPr>
              <w:t>in</w:t>
            </w:r>
            <w:r>
              <w:rPr>
                <w:rFonts w:ascii="Arial"/>
                <w:spacing w:val="2"/>
              </w:rPr>
              <w:t xml:space="preserve"> </w:t>
            </w:r>
            <w:r>
              <w:rPr>
                <w:rFonts w:ascii="Arial"/>
                <w:spacing w:val="-1"/>
              </w:rPr>
              <w:t>relation</w:t>
            </w:r>
            <w:r>
              <w:rPr>
                <w:rFonts w:ascii="Arial"/>
                <w:spacing w:val="4"/>
              </w:rPr>
              <w:t xml:space="preserve"> </w:t>
            </w:r>
            <w:r>
              <w:rPr>
                <w:rFonts w:ascii="Arial"/>
              </w:rPr>
              <w:t>to</w:t>
            </w:r>
            <w:r>
              <w:rPr>
                <w:rFonts w:ascii="Arial"/>
                <w:spacing w:val="4"/>
              </w:rPr>
              <w:t xml:space="preserve"> </w:t>
            </w:r>
            <w:r>
              <w:rPr>
                <w:rFonts w:ascii="Arial"/>
              </w:rPr>
              <w:t>a</w:t>
            </w:r>
            <w:r>
              <w:rPr>
                <w:rFonts w:ascii="Arial"/>
                <w:spacing w:val="2"/>
              </w:rPr>
              <w:t xml:space="preserve"> </w:t>
            </w:r>
            <w:r>
              <w:rPr>
                <w:rFonts w:ascii="Arial"/>
                <w:spacing w:val="-1"/>
              </w:rPr>
              <w:t>period</w:t>
            </w:r>
            <w:r>
              <w:rPr>
                <w:rFonts w:ascii="Arial"/>
                <w:spacing w:val="4"/>
              </w:rPr>
              <w:t xml:space="preserve"> </w:t>
            </w:r>
            <w:r>
              <w:rPr>
                <w:rFonts w:ascii="Arial"/>
                <w:spacing w:val="-1"/>
              </w:rPr>
              <w:t>or</w:t>
            </w:r>
            <w:r>
              <w:rPr>
                <w:rFonts w:ascii="Arial"/>
                <w:spacing w:val="5"/>
              </w:rPr>
              <w:t xml:space="preserve"> </w:t>
            </w:r>
            <w:r>
              <w:rPr>
                <w:rFonts w:ascii="Arial"/>
              </w:rPr>
              <w:t>a</w:t>
            </w:r>
            <w:r>
              <w:rPr>
                <w:rFonts w:ascii="Arial"/>
                <w:spacing w:val="4"/>
              </w:rPr>
              <w:t xml:space="preserve"> </w:t>
            </w:r>
            <w:r>
              <w:rPr>
                <w:rFonts w:ascii="Arial"/>
                <w:spacing w:val="-2"/>
              </w:rPr>
              <w:t>Milestone</w:t>
            </w:r>
            <w:r>
              <w:rPr>
                <w:rFonts w:ascii="Arial"/>
                <w:spacing w:val="6"/>
              </w:rPr>
              <w:t xml:space="preserve"> </w:t>
            </w:r>
            <w:r>
              <w:rPr>
                <w:rFonts w:ascii="Arial"/>
              </w:rPr>
              <w:t>(as</w:t>
            </w:r>
            <w:r>
              <w:rPr>
                <w:rFonts w:ascii="Arial"/>
                <w:spacing w:val="4"/>
              </w:rPr>
              <w:t xml:space="preserve"> </w:t>
            </w:r>
            <w:r>
              <w:rPr>
                <w:rFonts w:ascii="Arial"/>
                <w:spacing w:val="-2"/>
              </w:rPr>
              <w:t>the</w:t>
            </w:r>
            <w:r>
              <w:rPr>
                <w:rFonts w:ascii="Arial"/>
                <w:spacing w:val="30"/>
              </w:rPr>
              <w:t xml:space="preserve"> </w:t>
            </w:r>
            <w:r>
              <w:rPr>
                <w:rFonts w:ascii="Arial"/>
                <w:spacing w:val="-1"/>
              </w:rPr>
              <w:t>context</w:t>
            </w:r>
            <w:r>
              <w:rPr>
                <w:rFonts w:ascii="Arial"/>
                <w:spacing w:val="7"/>
              </w:rPr>
              <w:t xml:space="preserve"> </w:t>
            </w:r>
            <w:r>
              <w:rPr>
                <w:rFonts w:ascii="Arial"/>
                <w:spacing w:val="-1"/>
              </w:rPr>
              <w:t>requires),</w:t>
            </w:r>
            <w:r>
              <w:rPr>
                <w:rFonts w:ascii="Arial"/>
                <w:spacing w:val="4"/>
              </w:rPr>
              <w:t xml:space="preserve"> </w:t>
            </w:r>
            <w:r>
              <w:rPr>
                <w:rFonts w:ascii="Arial"/>
              </w:rPr>
              <w:t>the</w:t>
            </w:r>
            <w:r>
              <w:rPr>
                <w:rFonts w:ascii="Arial"/>
                <w:spacing w:val="5"/>
              </w:rPr>
              <w:t xml:space="preserve"> </w:t>
            </w:r>
            <w:r>
              <w:rPr>
                <w:rFonts w:ascii="Arial"/>
                <w:spacing w:val="-1"/>
              </w:rPr>
              <w:t>difference</w:t>
            </w:r>
            <w:r>
              <w:rPr>
                <w:rFonts w:ascii="Arial"/>
                <w:spacing w:val="5"/>
              </w:rPr>
              <w:t xml:space="preserve"> </w:t>
            </w:r>
            <w:r>
              <w:rPr>
                <w:rFonts w:ascii="Arial"/>
                <w:spacing w:val="-1"/>
              </w:rPr>
              <w:t>between</w:t>
            </w:r>
            <w:r>
              <w:rPr>
                <w:rFonts w:ascii="Arial"/>
                <w:spacing w:val="5"/>
              </w:rPr>
              <w:t xml:space="preserve"> </w:t>
            </w:r>
            <w:r>
              <w:rPr>
                <w:rFonts w:ascii="Arial"/>
              </w:rPr>
              <w:t>the</w:t>
            </w:r>
            <w:r>
              <w:rPr>
                <w:rFonts w:ascii="Arial"/>
                <w:spacing w:val="5"/>
              </w:rPr>
              <w:t xml:space="preserve"> </w:t>
            </w:r>
            <w:r>
              <w:rPr>
                <w:rFonts w:ascii="Arial"/>
                <w:spacing w:val="-1"/>
              </w:rPr>
              <w:t>total</w:t>
            </w:r>
            <w:r>
              <w:rPr>
                <w:rFonts w:ascii="Arial"/>
                <w:spacing w:val="4"/>
              </w:rPr>
              <w:t xml:space="preserve"> </w:t>
            </w:r>
            <w:r>
              <w:rPr>
                <w:rFonts w:ascii="Arial"/>
                <w:spacing w:val="-2"/>
              </w:rPr>
              <w:t>Call</w:t>
            </w:r>
            <w:r>
              <w:rPr>
                <w:rFonts w:ascii="Arial"/>
                <w:spacing w:val="2"/>
              </w:rPr>
              <w:t xml:space="preserve"> </w:t>
            </w:r>
            <w:r>
              <w:rPr>
                <w:rFonts w:ascii="Arial"/>
                <w:spacing w:val="-1"/>
              </w:rPr>
              <w:t>Off</w:t>
            </w:r>
            <w:r>
              <w:rPr>
                <w:rFonts w:ascii="Arial"/>
                <w:spacing w:val="31"/>
              </w:rPr>
              <w:t xml:space="preserve"> </w:t>
            </w:r>
            <w:r>
              <w:rPr>
                <w:rFonts w:ascii="Arial"/>
                <w:spacing w:val="-1"/>
              </w:rPr>
              <w:t>Charges</w:t>
            </w:r>
            <w:r>
              <w:rPr>
                <w:rFonts w:ascii="Arial"/>
                <w:spacing w:val="39"/>
              </w:rPr>
              <w:t xml:space="preserve"> </w:t>
            </w:r>
            <w:r>
              <w:rPr>
                <w:rFonts w:ascii="Arial"/>
                <w:spacing w:val="-1"/>
              </w:rPr>
              <w:t>(in</w:t>
            </w:r>
            <w:r>
              <w:rPr>
                <w:rFonts w:ascii="Arial"/>
                <w:spacing w:val="41"/>
              </w:rPr>
              <w:t xml:space="preserve"> </w:t>
            </w:r>
            <w:r>
              <w:rPr>
                <w:rFonts w:ascii="Arial"/>
                <w:spacing w:val="-1"/>
              </w:rPr>
              <w:t>nominal</w:t>
            </w:r>
            <w:r>
              <w:rPr>
                <w:rFonts w:ascii="Arial"/>
                <w:spacing w:val="40"/>
              </w:rPr>
              <w:t xml:space="preserve"> </w:t>
            </w:r>
            <w:r>
              <w:rPr>
                <w:rFonts w:ascii="Arial"/>
                <w:spacing w:val="-1"/>
              </w:rPr>
              <w:t>cash</w:t>
            </w:r>
            <w:r>
              <w:rPr>
                <w:rFonts w:ascii="Arial"/>
                <w:spacing w:val="41"/>
              </w:rPr>
              <w:t xml:space="preserve"> </w:t>
            </w:r>
            <w:r>
              <w:rPr>
                <w:rFonts w:ascii="Arial"/>
              </w:rPr>
              <w:t>flow</w:t>
            </w:r>
            <w:r>
              <w:rPr>
                <w:rFonts w:ascii="Arial"/>
                <w:spacing w:val="38"/>
              </w:rPr>
              <w:t xml:space="preserve"> </w:t>
            </w:r>
            <w:r>
              <w:rPr>
                <w:rFonts w:ascii="Arial"/>
              </w:rPr>
              <w:t>terms</w:t>
            </w:r>
            <w:r>
              <w:rPr>
                <w:rFonts w:ascii="Arial"/>
                <w:spacing w:val="41"/>
              </w:rPr>
              <w:t xml:space="preserve"> </w:t>
            </w:r>
            <w:r>
              <w:rPr>
                <w:rFonts w:ascii="Arial"/>
                <w:spacing w:val="-2"/>
              </w:rPr>
              <w:t>but</w:t>
            </w:r>
            <w:r>
              <w:rPr>
                <w:rFonts w:ascii="Arial"/>
                <w:spacing w:val="43"/>
              </w:rPr>
              <w:t xml:space="preserve"> </w:t>
            </w:r>
            <w:r>
              <w:rPr>
                <w:rFonts w:ascii="Arial"/>
                <w:spacing w:val="-1"/>
              </w:rPr>
              <w:t>excluding</w:t>
            </w:r>
            <w:r>
              <w:rPr>
                <w:rFonts w:ascii="Arial"/>
                <w:spacing w:val="43"/>
              </w:rPr>
              <w:t xml:space="preserve"> </w:t>
            </w:r>
            <w:r>
              <w:rPr>
                <w:rFonts w:ascii="Arial"/>
                <w:spacing w:val="-1"/>
              </w:rPr>
              <w:t>any</w:t>
            </w:r>
            <w:r>
              <w:rPr>
                <w:rFonts w:ascii="Arial"/>
                <w:spacing w:val="22"/>
              </w:rPr>
              <w:t xml:space="preserve"> </w:t>
            </w:r>
            <w:r>
              <w:rPr>
                <w:rFonts w:ascii="Arial"/>
                <w:spacing w:val="-1"/>
              </w:rPr>
              <w:t>Deductions)</w:t>
            </w:r>
            <w:r>
              <w:rPr>
                <w:rFonts w:ascii="Arial"/>
                <w:spacing w:val="21"/>
              </w:rPr>
              <w:t xml:space="preserve"> </w:t>
            </w:r>
            <w:r>
              <w:rPr>
                <w:rFonts w:ascii="Arial"/>
                <w:spacing w:val="-1"/>
              </w:rPr>
              <w:t>and</w:t>
            </w:r>
            <w:r>
              <w:rPr>
                <w:rFonts w:ascii="Arial"/>
                <w:spacing w:val="20"/>
              </w:rPr>
              <w:t xml:space="preserve"> </w:t>
            </w:r>
            <w:r>
              <w:rPr>
                <w:rFonts w:ascii="Arial"/>
              </w:rPr>
              <w:t>total</w:t>
            </w:r>
            <w:r>
              <w:rPr>
                <w:rFonts w:ascii="Arial"/>
                <w:spacing w:val="19"/>
              </w:rPr>
              <w:t xml:space="preserve"> </w:t>
            </w:r>
            <w:r>
              <w:rPr>
                <w:rFonts w:ascii="Arial"/>
                <w:spacing w:val="-1"/>
              </w:rPr>
              <w:t>Costs</w:t>
            </w:r>
            <w:r>
              <w:rPr>
                <w:rFonts w:ascii="Arial"/>
                <w:spacing w:val="20"/>
              </w:rPr>
              <w:t xml:space="preserve"> </w:t>
            </w:r>
            <w:r>
              <w:rPr>
                <w:rFonts w:ascii="Arial"/>
                <w:spacing w:val="-1"/>
              </w:rPr>
              <w:t>(in</w:t>
            </w:r>
            <w:r>
              <w:rPr>
                <w:rFonts w:ascii="Arial"/>
                <w:spacing w:val="20"/>
              </w:rPr>
              <w:t xml:space="preserve"> </w:t>
            </w:r>
            <w:r>
              <w:rPr>
                <w:rFonts w:ascii="Arial"/>
                <w:spacing w:val="-1"/>
              </w:rPr>
              <w:t>nominal</w:t>
            </w:r>
            <w:r>
              <w:rPr>
                <w:rFonts w:ascii="Arial"/>
                <w:spacing w:val="19"/>
              </w:rPr>
              <w:t xml:space="preserve"> </w:t>
            </w:r>
            <w:r>
              <w:rPr>
                <w:rFonts w:ascii="Arial"/>
                <w:spacing w:val="-1"/>
              </w:rPr>
              <w:t>cash</w:t>
            </w:r>
            <w:r>
              <w:rPr>
                <w:rFonts w:ascii="Arial"/>
                <w:spacing w:val="20"/>
              </w:rPr>
              <w:t xml:space="preserve"> </w:t>
            </w:r>
            <w:r>
              <w:rPr>
                <w:rFonts w:ascii="Arial"/>
                <w:spacing w:val="-1"/>
              </w:rPr>
              <w:t>flow</w:t>
            </w:r>
            <w:r>
              <w:rPr>
                <w:rFonts w:ascii="Arial"/>
                <w:spacing w:val="19"/>
              </w:rPr>
              <w:t xml:space="preserve"> </w:t>
            </w:r>
            <w:r>
              <w:rPr>
                <w:rFonts w:ascii="Arial"/>
                <w:spacing w:val="-1"/>
              </w:rPr>
              <w:t>terms)</w:t>
            </w:r>
            <w:r>
              <w:rPr>
                <w:rFonts w:ascii="Arial"/>
                <w:spacing w:val="27"/>
              </w:rPr>
              <w:t xml:space="preserve"> </w:t>
            </w:r>
            <w:r>
              <w:rPr>
                <w:rFonts w:ascii="Arial"/>
              </w:rPr>
              <w:t>for</w:t>
            </w:r>
            <w:r>
              <w:rPr>
                <w:rFonts w:ascii="Arial"/>
                <w:spacing w:val="27"/>
              </w:rPr>
              <w:t xml:space="preserve"> </w:t>
            </w:r>
            <w:r>
              <w:rPr>
                <w:rFonts w:ascii="Arial"/>
              </w:rPr>
              <w:t>the</w:t>
            </w:r>
            <w:r>
              <w:rPr>
                <w:rFonts w:ascii="Arial"/>
                <w:spacing w:val="28"/>
              </w:rPr>
              <w:t xml:space="preserve"> </w:t>
            </w:r>
            <w:r>
              <w:rPr>
                <w:rFonts w:ascii="Arial"/>
                <w:spacing w:val="-2"/>
              </w:rPr>
              <w:t>relevant</w:t>
            </w:r>
            <w:r>
              <w:rPr>
                <w:rFonts w:ascii="Arial"/>
                <w:spacing w:val="30"/>
              </w:rPr>
              <w:t xml:space="preserve"> </w:t>
            </w:r>
            <w:r>
              <w:rPr>
                <w:rFonts w:ascii="Arial"/>
                <w:spacing w:val="-1"/>
              </w:rPr>
              <w:t>period</w:t>
            </w:r>
            <w:r>
              <w:rPr>
                <w:rFonts w:ascii="Arial"/>
                <w:spacing w:val="26"/>
              </w:rPr>
              <w:t xml:space="preserve"> </w:t>
            </w:r>
            <w:r>
              <w:rPr>
                <w:rFonts w:ascii="Arial"/>
                <w:spacing w:val="-1"/>
              </w:rPr>
              <w:t>or</w:t>
            </w:r>
            <w:r>
              <w:rPr>
                <w:rFonts w:ascii="Arial"/>
                <w:spacing w:val="29"/>
              </w:rPr>
              <w:t xml:space="preserve"> </w:t>
            </w:r>
            <w:r>
              <w:rPr>
                <w:rFonts w:ascii="Arial"/>
                <w:spacing w:val="-1"/>
              </w:rPr>
              <w:t>in</w:t>
            </w:r>
            <w:r>
              <w:rPr>
                <w:rFonts w:ascii="Arial"/>
                <w:spacing w:val="28"/>
              </w:rPr>
              <w:t xml:space="preserve"> </w:t>
            </w:r>
            <w:r>
              <w:rPr>
                <w:rFonts w:ascii="Arial"/>
                <w:spacing w:val="-1"/>
              </w:rPr>
              <w:t>relation</w:t>
            </w:r>
            <w:r>
              <w:rPr>
                <w:rFonts w:ascii="Arial"/>
                <w:spacing w:val="26"/>
              </w:rPr>
              <w:t xml:space="preserve"> </w:t>
            </w:r>
            <w:r>
              <w:rPr>
                <w:rFonts w:ascii="Arial"/>
              </w:rPr>
              <w:t>to</w:t>
            </w:r>
            <w:r>
              <w:rPr>
                <w:rFonts w:ascii="Arial"/>
                <w:spacing w:val="28"/>
              </w:rPr>
              <w:t xml:space="preserve"> </w:t>
            </w:r>
            <w:r>
              <w:rPr>
                <w:rFonts w:ascii="Arial"/>
              </w:rPr>
              <w:t>the</w:t>
            </w:r>
            <w:r>
              <w:rPr>
                <w:rFonts w:ascii="Arial"/>
                <w:spacing w:val="26"/>
              </w:rPr>
              <w:t xml:space="preserve"> </w:t>
            </w:r>
            <w:r>
              <w:rPr>
                <w:rFonts w:ascii="Arial"/>
                <w:spacing w:val="-2"/>
              </w:rPr>
              <w:t>relevant</w:t>
            </w:r>
            <w:r>
              <w:rPr>
                <w:rFonts w:ascii="Arial"/>
                <w:spacing w:val="36"/>
              </w:rPr>
              <w:t xml:space="preserve"> </w:t>
            </w:r>
            <w:r>
              <w:rPr>
                <w:rFonts w:ascii="Arial"/>
                <w:spacing w:val="-2"/>
              </w:rPr>
              <w:t>Milestone;</w:t>
            </w:r>
          </w:p>
        </w:tc>
      </w:tr>
      <w:tr w:rsidR="008918FA" w:rsidTr="005D2B81">
        <w:trPr>
          <w:trHeight w:hRule="exact" w:val="1654"/>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777"/>
              <w:rPr>
                <w:rFonts w:ascii="Arial" w:eastAsia="Arial" w:hAnsi="Arial" w:cs="Arial"/>
              </w:rPr>
            </w:pPr>
            <w:r>
              <w:rPr>
                <w:rFonts w:ascii="Arial"/>
                <w:b/>
                <w:spacing w:val="-1"/>
              </w:rPr>
              <w:t>"Supplier</w:t>
            </w:r>
            <w:r>
              <w:rPr>
                <w:rFonts w:ascii="Arial"/>
                <w:b/>
                <w:spacing w:val="1"/>
              </w:rPr>
              <w:t xml:space="preserve"> </w:t>
            </w:r>
            <w:r>
              <w:rPr>
                <w:rFonts w:ascii="Arial"/>
                <w:b/>
                <w:spacing w:val="-1"/>
              </w:rPr>
              <w:t>Profit</w:t>
            </w:r>
            <w:r>
              <w:rPr>
                <w:rFonts w:ascii="Arial"/>
                <w:b/>
                <w:spacing w:val="25"/>
              </w:rPr>
              <w:t xml:space="preserve"> </w:t>
            </w:r>
            <w:r>
              <w:rPr>
                <w:rFonts w:ascii="Arial"/>
                <w:b/>
                <w:spacing w:val="-1"/>
              </w:rPr>
              <w:t>Margin"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6"/>
              </w:rPr>
              <w:t xml:space="preserve"> </w:t>
            </w:r>
            <w:r>
              <w:rPr>
                <w:rFonts w:ascii="Arial"/>
                <w:spacing w:val="-1"/>
              </w:rPr>
              <w:t>in</w:t>
            </w:r>
            <w:r>
              <w:rPr>
                <w:rFonts w:ascii="Arial"/>
                <w:spacing w:val="2"/>
              </w:rPr>
              <w:t xml:space="preserve"> </w:t>
            </w:r>
            <w:r>
              <w:rPr>
                <w:rFonts w:ascii="Arial"/>
                <w:spacing w:val="-1"/>
              </w:rPr>
              <w:t>relation</w:t>
            </w:r>
            <w:r>
              <w:rPr>
                <w:rFonts w:ascii="Arial"/>
                <w:spacing w:val="4"/>
              </w:rPr>
              <w:t xml:space="preserve"> </w:t>
            </w:r>
            <w:r>
              <w:rPr>
                <w:rFonts w:ascii="Arial"/>
              </w:rPr>
              <w:t>to</w:t>
            </w:r>
            <w:r>
              <w:rPr>
                <w:rFonts w:ascii="Arial"/>
                <w:spacing w:val="4"/>
              </w:rPr>
              <w:t xml:space="preserve"> </w:t>
            </w:r>
            <w:r>
              <w:rPr>
                <w:rFonts w:ascii="Arial"/>
              </w:rPr>
              <w:t>a</w:t>
            </w:r>
            <w:r>
              <w:rPr>
                <w:rFonts w:ascii="Arial"/>
                <w:spacing w:val="2"/>
              </w:rPr>
              <w:t xml:space="preserve"> </w:t>
            </w:r>
            <w:r>
              <w:rPr>
                <w:rFonts w:ascii="Arial"/>
                <w:spacing w:val="-1"/>
              </w:rPr>
              <w:t>period</w:t>
            </w:r>
            <w:r>
              <w:rPr>
                <w:rFonts w:ascii="Arial"/>
                <w:spacing w:val="4"/>
              </w:rPr>
              <w:t xml:space="preserve"> </w:t>
            </w:r>
            <w:r>
              <w:rPr>
                <w:rFonts w:ascii="Arial"/>
                <w:spacing w:val="-1"/>
              </w:rPr>
              <w:t>or</w:t>
            </w:r>
            <w:r>
              <w:rPr>
                <w:rFonts w:ascii="Arial"/>
                <w:spacing w:val="5"/>
              </w:rPr>
              <w:t xml:space="preserve"> </w:t>
            </w:r>
            <w:r>
              <w:rPr>
                <w:rFonts w:ascii="Arial"/>
              </w:rPr>
              <w:t>a</w:t>
            </w:r>
            <w:r>
              <w:rPr>
                <w:rFonts w:ascii="Arial"/>
                <w:spacing w:val="4"/>
              </w:rPr>
              <w:t xml:space="preserve"> </w:t>
            </w:r>
            <w:r>
              <w:rPr>
                <w:rFonts w:ascii="Arial"/>
                <w:spacing w:val="-2"/>
              </w:rPr>
              <w:t>Milestone</w:t>
            </w:r>
            <w:r>
              <w:rPr>
                <w:rFonts w:ascii="Arial"/>
                <w:spacing w:val="8"/>
              </w:rPr>
              <w:t xml:space="preserve"> </w:t>
            </w:r>
            <w:r>
              <w:rPr>
                <w:rFonts w:ascii="Arial"/>
                <w:spacing w:val="-1"/>
              </w:rPr>
              <w:t>(as</w:t>
            </w:r>
            <w:r>
              <w:rPr>
                <w:rFonts w:ascii="Arial"/>
                <w:spacing w:val="4"/>
              </w:rPr>
              <w:t xml:space="preserve"> </w:t>
            </w:r>
            <w:r>
              <w:rPr>
                <w:rFonts w:ascii="Arial"/>
                <w:spacing w:val="-2"/>
              </w:rPr>
              <w:t>the</w:t>
            </w:r>
            <w:r>
              <w:rPr>
                <w:rFonts w:ascii="Arial"/>
                <w:spacing w:val="32"/>
              </w:rPr>
              <w:t xml:space="preserve"> </w:t>
            </w:r>
            <w:r>
              <w:rPr>
                <w:rFonts w:ascii="Arial"/>
                <w:spacing w:val="-1"/>
              </w:rPr>
              <w:t>context</w:t>
            </w:r>
            <w:r>
              <w:rPr>
                <w:rFonts w:ascii="Arial"/>
                <w:spacing w:val="30"/>
              </w:rPr>
              <w:t xml:space="preserve"> </w:t>
            </w:r>
            <w:r>
              <w:rPr>
                <w:rFonts w:ascii="Arial"/>
                <w:spacing w:val="-1"/>
              </w:rPr>
              <w:t>requires),</w:t>
            </w:r>
            <w:r>
              <w:rPr>
                <w:rFonts w:ascii="Arial"/>
                <w:spacing w:val="30"/>
              </w:rPr>
              <w:t xml:space="preserve"> </w:t>
            </w:r>
            <w:r>
              <w:rPr>
                <w:rFonts w:ascii="Arial"/>
              </w:rPr>
              <w:t>the</w:t>
            </w:r>
            <w:r>
              <w:rPr>
                <w:rFonts w:ascii="Arial"/>
                <w:spacing w:val="26"/>
              </w:rPr>
              <w:t xml:space="preserve"> </w:t>
            </w:r>
            <w:r>
              <w:rPr>
                <w:rFonts w:ascii="Arial"/>
                <w:spacing w:val="-2"/>
              </w:rPr>
              <w:t>Supplier</w:t>
            </w:r>
            <w:r>
              <w:rPr>
                <w:rFonts w:ascii="Arial"/>
                <w:spacing w:val="29"/>
              </w:rPr>
              <w:t xml:space="preserve"> </w:t>
            </w:r>
            <w:r>
              <w:rPr>
                <w:rFonts w:ascii="Arial"/>
                <w:spacing w:val="-1"/>
              </w:rPr>
              <w:t>Profit</w:t>
            </w:r>
            <w:r>
              <w:rPr>
                <w:rFonts w:ascii="Arial"/>
                <w:spacing w:val="27"/>
              </w:rPr>
              <w:t xml:space="preserve"> </w:t>
            </w:r>
            <w:r>
              <w:rPr>
                <w:rFonts w:ascii="Arial"/>
              </w:rPr>
              <w:t>for</w:t>
            </w:r>
            <w:r>
              <w:rPr>
                <w:rFonts w:ascii="Arial"/>
                <w:spacing w:val="29"/>
              </w:rPr>
              <w:t xml:space="preserve"> </w:t>
            </w:r>
            <w:r>
              <w:rPr>
                <w:rFonts w:ascii="Arial"/>
              </w:rPr>
              <w:t>the</w:t>
            </w:r>
            <w:r>
              <w:rPr>
                <w:rFonts w:ascii="Arial"/>
                <w:spacing w:val="26"/>
              </w:rPr>
              <w:t xml:space="preserve"> </w:t>
            </w:r>
            <w:r>
              <w:rPr>
                <w:rFonts w:ascii="Arial"/>
                <w:spacing w:val="-2"/>
              </w:rPr>
              <w:t>relevant</w:t>
            </w:r>
            <w:r>
              <w:rPr>
                <w:rFonts w:ascii="Arial"/>
                <w:spacing w:val="46"/>
              </w:rPr>
              <w:t xml:space="preserve"> </w:t>
            </w:r>
            <w:r>
              <w:rPr>
                <w:rFonts w:ascii="Arial"/>
                <w:spacing w:val="-1"/>
              </w:rPr>
              <w:t>period</w:t>
            </w:r>
            <w:r>
              <w:rPr>
                <w:rFonts w:ascii="Arial"/>
                <w:spacing w:val="29"/>
              </w:rPr>
              <w:t xml:space="preserve"> </w:t>
            </w:r>
            <w:r>
              <w:rPr>
                <w:rFonts w:ascii="Arial"/>
                <w:spacing w:val="-1"/>
              </w:rPr>
              <w:t>or</w:t>
            </w:r>
            <w:r>
              <w:rPr>
                <w:rFonts w:ascii="Arial"/>
                <w:spacing w:val="30"/>
              </w:rPr>
              <w:t xml:space="preserve"> </w:t>
            </w:r>
            <w:r>
              <w:rPr>
                <w:rFonts w:ascii="Arial"/>
                <w:spacing w:val="-1"/>
              </w:rPr>
              <w:t>in</w:t>
            </w:r>
            <w:r>
              <w:rPr>
                <w:rFonts w:ascii="Arial"/>
                <w:spacing w:val="29"/>
              </w:rPr>
              <w:t xml:space="preserve"> </w:t>
            </w:r>
            <w:r>
              <w:rPr>
                <w:rFonts w:ascii="Arial"/>
                <w:spacing w:val="-1"/>
              </w:rPr>
              <w:t>relation</w:t>
            </w:r>
            <w:r>
              <w:rPr>
                <w:rFonts w:ascii="Arial"/>
                <w:spacing w:val="29"/>
              </w:rPr>
              <w:t xml:space="preserve"> </w:t>
            </w:r>
            <w:r>
              <w:rPr>
                <w:rFonts w:ascii="Arial"/>
              </w:rPr>
              <w:t>to</w:t>
            </w:r>
            <w:r>
              <w:rPr>
                <w:rFonts w:ascii="Arial"/>
                <w:spacing w:val="29"/>
              </w:rPr>
              <w:t xml:space="preserve"> </w:t>
            </w:r>
            <w:r>
              <w:rPr>
                <w:rFonts w:ascii="Arial"/>
              </w:rPr>
              <w:t>the</w:t>
            </w:r>
            <w:r>
              <w:rPr>
                <w:rFonts w:ascii="Arial"/>
                <w:spacing w:val="29"/>
              </w:rPr>
              <w:t xml:space="preserve"> </w:t>
            </w:r>
            <w:r>
              <w:rPr>
                <w:rFonts w:ascii="Arial"/>
                <w:spacing w:val="-2"/>
              </w:rPr>
              <w:t>relevant</w:t>
            </w:r>
            <w:r>
              <w:rPr>
                <w:rFonts w:ascii="Arial"/>
                <w:spacing w:val="33"/>
              </w:rPr>
              <w:t xml:space="preserve"> </w:t>
            </w:r>
            <w:r>
              <w:rPr>
                <w:rFonts w:ascii="Arial"/>
                <w:spacing w:val="-1"/>
              </w:rPr>
              <w:t>Milestone</w:t>
            </w:r>
            <w:r>
              <w:rPr>
                <w:rFonts w:ascii="Arial"/>
                <w:spacing w:val="29"/>
              </w:rPr>
              <w:t xml:space="preserve"> </w:t>
            </w:r>
            <w:r>
              <w:rPr>
                <w:rFonts w:ascii="Arial"/>
                <w:spacing w:val="-1"/>
              </w:rPr>
              <w:t>divided</w:t>
            </w:r>
            <w:r>
              <w:rPr>
                <w:rFonts w:ascii="Arial"/>
                <w:spacing w:val="31"/>
              </w:rPr>
              <w:t xml:space="preserve"> </w:t>
            </w:r>
            <w:r>
              <w:rPr>
                <w:rFonts w:ascii="Arial"/>
                <w:spacing w:val="-1"/>
              </w:rPr>
              <w:t>by</w:t>
            </w:r>
            <w:r>
              <w:rPr>
                <w:rFonts w:ascii="Arial"/>
                <w:spacing w:val="28"/>
              </w:rPr>
              <w:t xml:space="preserve"> </w:t>
            </w:r>
            <w:r>
              <w:rPr>
                <w:rFonts w:ascii="Arial"/>
              </w:rPr>
              <w:t>the</w:t>
            </w:r>
            <w:r>
              <w:rPr>
                <w:rFonts w:ascii="Arial"/>
                <w:spacing w:val="20"/>
              </w:rPr>
              <w:t xml:space="preserve"> </w:t>
            </w:r>
            <w:r>
              <w:rPr>
                <w:rFonts w:ascii="Arial"/>
                <w:spacing w:val="-1"/>
              </w:rPr>
              <w:t>total</w:t>
            </w:r>
            <w:r>
              <w:rPr>
                <w:rFonts w:ascii="Arial"/>
                <w:spacing w:val="19"/>
              </w:rPr>
              <w:t xml:space="preserve"> </w:t>
            </w:r>
            <w:r>
              <w:rPr>
                <w:rFonts w:ascii="Arial"/>
                <w:spacing w:val="-2"/>
              </w:rPr>
              <w:t>Call</w:t>
            </w:r>
            <w:r>
              <w:rPr>
                <w:rFonts w:ascii="Arial"/>
                <w:spacing w:val="19"/>
              </w:rPr>
              <w:t xml:space="preserve"> </w:t>
            </w:r>
            <w:r>
              <w:rPr>
                <w:rFonts w:ascii="Arial"/>
                <w:spacing w:val="-1"/>
              </w:rPr>
              <w:t>Off</w:t>
            </w:r>
            <w:r>
              <w:rPr>
                <w:rFonts w:ascii="Arial"/>
                <w:spacing w:val="23"/>
              </w:rPr>
              <w:t xml:space="preserve"> </w:t>
            </w:r>
            <w:r>
              <w:rPr>
                <w:rFonts w:ascii="Arial"/>
                <w:spacing w:val="-2"/>
              </w:rPr>
              <w:t>Contract</w:t>
            </w:r>
            <w:r>
              <w:rPr>
                <w:rFonts w:ascii="Arial"/>
                <w:spacing w:val="22"/>
              </w:rPr>
              <w:t xml:space="preserve"> </w:t>
            </w:r>
            <w:r>
              <w:rPr>
                <w:rFonts w:ascii="Arial"/>
                <w:spacing w:val="-1"/>
              </w:rPr>
              <w:t>Charges</w:t>
            </w:r>
            <w:r>
              <w:rPr>
                <w:rFonts w:ascii="Arial"/>
                <w:spacing w:val="20"/>
              </w:rPr>
              <w:t xml:space="preserve"> </w:t>
            </w:r>
            <w:r>
              <w:rPr>
                <w:rFonts w:ascii="Arial"/>
                <w:spacing w:val="-2"/>
              </w:rPr>
              <w:t>over</w:t>
            </w:r>
            <w:r>
              <w:rPr>
                <w:rFonts w:ascii="Arial"/>
                <w:spacing w:val="21"/>
              </w:rPr>
              <w:t xml:space="preserve"> </w:t>
            </w:r>
            <w:r>
              <w:rPr>
                <w:rFonts w:ascii="Arial"/>
                <w:spacing w:val="-1"/>
              </w:rPr>
              <w:t>the</w:t>
            </w:r>
            <w:r>
              <w:rPr>
                <w:rFonts w:ascii="Arial"/>
                <w:spacing w:val="19"/>
              </w:rPr>
              <w:t xml:space="preserve"> </w:t>
            </w:r>
            <w:r>
              <w:rPr>
                <w:rFonts w:ascii="Arial"/>
                <w:spacing w:val="-1"/>
              </w:rPr>
              <w:t>same</w:t>
            </w:r>
            <w:r>
              <w:rPr>
                <w:rFonts w:ascii="Arial"/>
                <w:spacing w:val="20"/>
              </w:rPr>
              <w:t xml:space="preserve"> </w:t>
            </w:r>
            <w:r>
              <w:rPr>
                <w:rFonts w:ascii="Arial"/>
                <w:spacing w:val="-1"/>
              </w:rPr>
              <w:t>period</w:t>
            </w:r>
            <w:r>
              <w:rPr>
                <w:rFonts w:ascii="Arial"/>
                <w:spacing w:val="42"/>
              </w:rPr>
              <w:t xml:space="preserve"> </w:t>
            </w:r>
            <w:r>
              <w:rPr>
                <w:rFonts w:ascii="Arial"/>
                <w:spacing w:val="-1"/>
              </w:rPr>
              <w:t>or</w:t>
            </w:r>
            <w:r>
              <w:rPr>
                <w:rFonts w:ascii="Arial"/>
                <w:spacing w:val="2"/>
              </w:rPr>
              <w:t xml:space="preserve"> </w:t>
            </w:r>
            <w:r>
              <w:rPr>
                <w:rFonts w:ascii="Arial"/>
                <w:spacing w:val="-1"/>
              </w:rPr>
              <w:t>in</w:t>
            </w:r>
            <w:r>
              <w:rPr>
                <w:rFonts w:ascii="Arial"/>
              </w:rPr>
              <w:t xml:space="preserve"> </w:t>
            </w:r>
            <w:r>
              <w:rPr>
                <w:rFonts w:ascii="Arial"/>
                <w:spacing w:val="-1"/>
              </w:rPr>
              <w:t>relation</w:t>
            </w:r>
            <w:r>
              <w:rPr>
                <w:rFonts w:ascii="Arial"/>
              </w:rPr>
              <w:t xml:space="preserve"> to </w:t>
            </w:r>
            <w:r>
              <w:rPr>
                <w:rFonts w:ascii="Arial"/>
                <w:spacing w:val="-1"/>
              </w:rPr>
              <w:t>the</w:t>
            </w:r>
            <w:r>
              <w:rPr>
                <w:rFonts w:ascii="Arial"/>
              </w:rPr>
              <w:t xml:space="preserve"> </w:t>
            </w:r>
            <w:r>
              <w:rPr>
                <w:rFonts w:ascii="Arial"/>
                <w:spacing w:val="-1"/>
              </w:rPr>
              <w:t>relevant</w:t>
            </w:r>
            <w:r>
              <w:rPr>
                <w:rFonts w:ascii="Arial"/>
                <w:spacing w:val="2"/>
              </w:rPr>
              <w:t xml:space="preserve"> </w:t>
            </w:r>
            <w:r>
              <w:rPr>
                <w:rFonts w:ascii="Arial"/>
                <w:spacing w:val="-1"/>
              </w:rPr>
              <w:t>Milestone</w:t>
            </w:r>
            <w:r>
              <w:rPr>
                <w:rFonts w:ascii="Arial"/>
              </w:rPr>
              <w:t xml:space="preserve"> </w:t>
            </w:r>
            <w:r>
              <w:rPr>
                <w:rFonts w:ascii="Arial"/>
                <w:spacing w:val="-1"/>
              </w:rPr>
              <w:t>and</w:t>
            </w:r>
            <w:r>
              <w:rPr>
                <w:rFonts w:ascii="Arial"/>
              </w:rPr>
              <w:t xml:space="preserve"> </w:t>
            </w:r>
            <w:r>
              <w:rPr>
                <w:rFonts w:ascii="Arial"/>
                <w:spacing w:val="-1"/>
              </w:rPr>
              <w:t>expressed</w:t>
            </w:r>
            <w:r>
              <w:rPr>
                <w:rFonts w:ascii="Arial"/>
              </w:rPr>
              <w:t xml:space="preserve"> </w:t>
            </w:r>
            <w:r>
              <w:rPr>
                <w:rFonts w:ascii="Arial"/>
                <w:spacing w:val="-1"/>
              </w:rPr>
              <w:t>as</w:t>
            </w:r>
            <w:r>
              <w:rPr>
                <w:rFonts w:ascii="Arial"/>
                <w:spacing w:val="1"/>
              </w:rPr>
              <w:t xml:space="preserve"> </w:t>
            </w:r>
            <w:r>
              <w:rPr>
                <w:rFonts w:ascii="Arial"/>
              </w:rPr>
              <w:t>a</w:t>
            </w:r>
            <w:r>
              <w:rPr>
                <w:rFonts w:ascii="Arial"/>
                <w:spacing w:val="29"/>
              </w:rPr>
              <w:t xml:space="preserve"> </w:t>
            </w:r>
            <w:r>
              <w:rPr>
                <w:rFonts w:ascii="Arial"/>
                <w:spacing w:val="-1"/>
              </w:rPr>
              <w:t>percentage;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718"/>
              <w:rPr>
                <w:rFonts w:ascii="Arial" w:eastAsia="Arial" w:hAnsi="Arial" w:cs="Arial"/>
              </w:rPr>
            </w:pPr>
            <w:r>
              <w:rPr>
                <w:rFonts w:ascii="Arial"/>
                <w:b/>
                <w:spacing w:val="-1"/>
              </w:rPr>
              <w:t>"Supplier</w:t>
            </w:r>
            <w:r>
              <w:rPr>
                <w:rFonts w:ascii="Arial"/>
                <w:b/>
                <w:spacing w:val="24"/>
              </w:rPr>
              <w:t xml:space="preserve"> </w:t>
            </w:r>
            <w:r>
              <w:rPr>
                <w:rFonts w:ascii="Arial"/>
                <w:b/>
                <w:spacing w:val="-1"/>
              </w:rPr>
              <w:t>Representative"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1"/>
              <w:rPr>
                <w:rFonts w:ascii="Arial" w:eastAsia="Arial" w:hAnsi="Arial" w:cs="Arial"/>
              </w:rPr>
            </w:pPr>
            <w:r>
              <w:rPr>
                <w:rFonts w:ascii="Arial"/>
                <w:spacing w:val="-1"/>
              </w:rPr>
              <w:t>means</w:t>
            </w:r>
            <w:r>
              <w:rPr>
                <w:rFonts w:ascii="Arial"/>
              </w:rPr>
              <w:t xml:space="preserve"> </w:t>
            </w:r>
            <w:r>
              <w:rPr>
                <w:rFonts w:ascii="Arial"/>
                <w:spacing w:val="43"/>
              </w:rPr>
              <w:t xml:space="preserve"> </w:t>
            </w:r>
            <w:r>
              <w:rPr>
                <w:rFonts w:ascii="Arial"/>
              </w:rPr>
              <w:t xml:space="preserve">the </w:t>
            </w:r>
            <w:r>
              <w:rPr>
                <w:rFonts w:ascii="Arial"/>
                <w:spacing w:val="42"/>
              </w:rPr>
              <w:t xml:space="preserve"> </w:t>
            </w:r>
            <w:r>
              <w:rPr>
                <w:rFonts w:ascii="Arial"/>
                <w:spacing w:val="-1"/>
              </w:rPr>
              <w:t>representative</w:t>
            </w:r>
            <w:r>
              <w:rPr>
                <w:rFonts w:ascii="Arial"/>
              </w:rPr>
              <w:t xml:space="preserve"> </w:t>
            </w:r>
            <w:r>
              <w:rPr>
                <w:rFonts w:ascii="Arial"/>
                <w:spacing w:val="45"/>
              </w:rPr>
              <w:t xml:space="preserve"> </w:t>
            </w:r>
            <w:r>
              <w:rPr>
                <w:rFonts w:ascii="Arial"/>
                <w:spacing w:val="-1"/>
              </w:rPr>
              <w:t>appointed</w:t>
            </w:r>
            <w:r>
              <w:rPr>
                <w:rFonts w:ascii="Arial"/>
              </w:rPr>
              <w:t xml:space="preserve"> </w:t>
            </w:r>
            <w:r>
              <w:rPr>
                <w:rFonts w:ascii="Arial"/>
                <w:spacing w:val="45"/>
              </w:rPr>
              <w:t xml:space="preserve"> </w:t>
            </w:r>
            <w:r>
              <w:rPr>
                <w:rFonts w:ascii="Arial"/>
                <w:spacing w:val="-1"/>
              </w:rPr>
              <w:t>by</w:t>
            </w:r>
            <w:r>
              <w:rPr>
                <w:rFonts w:ascii="Arial"/>
              </w:rPr>
              <w:t xml:space="preserve"> </w:t>
            </w:r>
            <w:r>
              <w:rPr>
                <w:rFonts w:ascii="Arial"/>
                <w:spacing w:val="43"/>
              </w:rPr>
              <w:t xml:space="preserve"> </w:t>
            </w:r>
            <w:r>
              <w:rPr>
                <w:rFonts w:ascii="Arial"/>
                <w:spacing w:val="-1"/>
              </w:rPr>
              <w:t>the</w:t>
            </w:r>
            <w:r>
              <w:rPr>
                <w:rFonts w:ascii="Arial"/>
              </w:rPr>
              <w:t xml:space="preserve"> </w:t>
            </w:r>
            <w:r>
              <w:rPr>
                <w:rFonts w:ascii="Arial"/>
                <w:spacing w:val="45"/>
              </w:rPr>
              <w:t xml:space="preserve"> </w:t>
            </w:r>
            <w:r>
              <w:rPr>
                <w:rFonts w:ascii="Arial"/>
                <w:spacing w:val="-2"/>
              </w:rPr>
              <w:t>Supplier</w:t>
            </w:r>
            <w:r>
              <w:rPr>
                <w:rFonts w:ascii="Arial"/>
                <w:spacing w:val="26"/>
              </w:rPr>
              <w:t xml:space="preserve"> </w:t>
            </w:r>
            <w:r>
              <w:rPr>
                <w:rFonts w:ascii="Arial"/>
                <w:spacing w:val="-1"/>
              </w:rPr>
              <w:t>named</w:t>
            </w:r>
            <w:r>
              <w:rPr>
                <w:rFonts w:ascii="Arial"/>
              </w:rPr>
              <w:t xml:space="preserve"> </w:t>
            </w:r>
            <w:r>
              <w:rPr>
                <w:rFonts w:ascii="Arial"/>
                <w:spacing w:val="-1"/>
              </w:rPr>
              <w:t>in</w:t>
            </w:r>
            <w:r>
              <w:rPr>
                <w:rFonts w:ascii="Arial"/>
                <w:spacing w:val="-2"/>
              </w:rPr>
              <w:t xml:space="preserve"> </w:t>
            </w:r>
            <w:r>
              <w:rPr>
                <w:rFonts w:ascii="Arial"/>
              </w:rPr>
              <w:t>the</w:t>
            </w:r>
            <w:r>
              <w:rPr>
                <w:rFonts w:ascii="Arial"/>
                <w:spacing w:val="-2"/>
              </w:rPr>
              <w:t xml:space="preserve"> </w:t>
            </w:r>
            <w:r>
              <w:rPr>
                <w:rFonts w:ascii="Arial"/>
                <w:spacing w:val="-1"/>
              </w:rPr>
              <w:t>Order Form;</w:t>
            </w:r>
          </w:p>
        </w:tc>
      </w:tr>
      <w:tr w:rsidR="008918FA" w:rsidTr="005D2B81">
        <w:trPr>
          <w:trHeight w:hRule="exact" w:val="403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ind w:left="-6" w:right="1084"/>
              <w:rPr>
                <w:rFonts w:ascii="Arial" w:eastAsia="Arial" w:hAnsi="Arial" w:cs="Arial"/>
              </w:rPr>
            </w:pPr>
            <w:r>
              <w:rPr>
                <w:rFonts w:ascii="Arial"/>
                <w:b/>
                <w:spacing w:val="-1"/>
              </w:rPr>
              <w:t>"Supplier's</w:t>
            </w:r>
            <w:r>
              <w:rPr>
                <w:rFonts w:ascii="Arial"/>
                <w:b/>
                <w:spacing w:val="26"/>
              </w:rPr>
              <w:t xml:space="preserve"> </w:t>
            </w:r>
            <w:r>
              <w:rPr>
                <w:rFonts w:ascii="Arial"/>
                <w:b/>
                <w:spacing w:val="-1"/>
              </w:rPr>
              <w:t>Confidential</w:t>
            </w:r>
            <w:r>
              <w:rPr>
                <w:rFonts w:ascii="Arial"/>
                <w:b/>
                <w:spacing w:val="23"/>
              </w:rPr>
              <w:t xml:space="preserve"> </w:t>
            </w:r>
            <w:r>
              <w:rPr>
                <w:rFonts w:ascii="Arial"/>
                <w:b/>
                <w:spacing w:val="-1"/>
              </w:rPr>
              <w:t>Information"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p>
          <w:p w:rsidR="008918FA" w:rsidRDefault="008918FA" w:rsidP="005D2B81">
            <w:pPr>
              <w:pStyle w:val="ListParagraph"/>
              <w:numPr>
                <w:ilvl w:val="0"/>
                <w:numId w:val="33"/>
              </w:numPr>
              <w:tabs>
                <w:tab w:val="left" w:pos="820"/>
              </w:tabs>
              <w:spacing w:before="121"/>
              <w:ind w:right="98" w:hanging="544"/>
              <w:jc w:val="both"/>
              <w:rPr>
                <w:rFonts w:ascii="Arial" w:eastAsia="Arial" w:hAnsi="Arial" w:cs="Arial"/>
              </w:rPr>
            </w:pPr>
            <w:r>
              <w:rPr>
                <w:rFonts w:ascii="Arial"/>
                <w:spacing w:val="-1"/>
              </w:rPr>
              <w:t>any</w:t>
            </w:r>
            <w:r>
              <w:rPr>
                <w:rFonts w:ascii="Arial"/>
                <w:spacing w:val="5"/>
              </w:rPr>
              <w:t xml:space="preserve"> </w:t>
            </w:r>
            <w:r>
              <w:rPr>
                <w:rFonts w:ascii="Arial"/>
                <w:spacing w:val="-1"/>
              </w:rPr>
              <w:t>information,</w:t>
            </w:r>
            <w:r>
              <w:rPr>
                <w:rFonts w:ascii="Arial"/>
                <w:spacing w:val="9"/>
              </w:rPr>
              <w:t xml:space="preserve"> </w:t>
            </w:r>
            <w:r>
              <w:rPr>
                <w:rFonts w:ascii="Arial"/>
                <w:spacing w:val="-2"/>
              </w:rPr>
              <w:t>however</w:t>
            </w:r>
            <w:r>
              <w:rPr>
                <w:rFonts w:ascii="Arial"/>
                <w:spacing w:val="9"/>
              </w:rPr>
              <w:t xml:space="preserve"> </w:t>
            </w:r>
            <w:r>
              <w:rPr>
                <w:rFonts w:ascii="Arial"/>
                <w:spacing w:val="-1"/>
              </w:rPr>
              <w:t>it</w:t>
            </w:r>
            <w:r>
              <w:rPr>
                <w:rFonts w:ascii="Arial"/>
                <w:spacing w:val="9"/>
              </w:rPr>
              <w:t xml:space="preserve"> </w:t>
            </w:r>
            <w:r>
              <w:rPr>
                <w:rFonts w:ascii="Arial"/>
                <w:spacing w:val="-1"/>
              </w:rPr>
              <w:t>is</w:t>
            </w:r>
            <w:r>
              <w:rPr>
                <w:rFonts w:ascii="Arial"/>
                <w:spacing w:val="8"/>
              </w:rPr>
              <w:t xml:space="preserve"> </w:t>
            </w:r>
            <w:r>
              <w:rPr>
                <w:rFonts w:ascii="Arial"/>
                <w:spacing w:val="-2"/>
              </w:rPr>
              <w:t>conveyed,</w:t>
            </w:r>
            <w:r>
              <w:rPr>
                <w:rFonts w:ascii="Arial"/>
                <w:spacing w:val="9"/>
              </w:rPr>
              <w:t xml:space="preserve"> </w:t>
            </w:r>
            <w:r>
              <w:rPr>
                <w:rFonts w:ascii="Arial"/>
                <w:spacing w:val="-1"/>
              </w:rPr>
              <w:t>that</w:t>
            </w:r>
            <w:r>
              <w:rPr>
                <w:rFonts w:ascii="Arial"/>
                <w:spacing w:val="9"/>
              </w:rPr>
              <w:t xml:space="preserve"> </w:t>
            </w:r>
            <w:r>
              <w:rPr>
                <w:rFonts w:ascii="Arial"/>
                <w:spacing w:val="-1"/>
              </w:rPr>
              <w:t>relates</w:t>
            </w:r>
            <w:r>
              <w:rPr>
                <w:rFonts w:ascii="Arial"/>
                <w:spacing w:val="48"/>
              </w:rPr>
              <w:t xml:space="preserve"> </w:t>
            </w:r>
            <w:r>
              <w:rPr>
                <w:rFonts w:ascii="Arial"/>
              </w:rPr>
              <w:t>to</w:t>
            </w:r>
            <w:r>
              <w:rPr>
                <w:rFonts w:ascii="Arial"/>
                <w:spacing w:val="46"/>
              </w:rPr>
              <w:t xml:space="preserve"> </w:t>
            </w:r>
            <w:r>
              <w:rPr>
                <w:rFonts w:ascii="Arial"/>
              </w:rPr>
              <w:t>the</w:t>
            </w:r>
            <w:r>
              <w:rPr>
                <w:rFonts w:ascii="Arial"/>
                <w:spacing w:val="46"/>
              </w:rPr>
              <w:t xml:space="preserve"> </w:t>
            </w:r>
            <w:r>
              <w:rPr>
                <w:rFonts w:ascii="Arial"/>
                <w:spacing w:val="-1"/>
              </w:rPr>
              <w:t>business,</w:t>
            </w:r>
            <w:r>
              <w:rPr>
                <w:rFonts w:ascii="Arial"/>
                <w:spacing w:val="47"/>
              </w:rPr>
              <w:t xml:space="preserve"> </w:t>
            </w:r>
            <w:r>
              <w:rPr>
                <w:rFonts w:ascii="Arial"/>
                <w:spacing w:val="-1"/>
              </w:rPr>
              <w:t>affairs,</w:t>
            </w:r>
            <w:r>
              <w:rPr>
                <w:rFonts w:ascii="Arial"/>
                <w:spacing w:val="45"/>
              </w:rPr>
              <w:t xml:space="preserve"> </w:t>
            </w:r>
            <w:r>
              <w:rPr>
                <w:rFonts w:ascii="Arial"/>
                <w:spacing w:val="-1"/>
              </w:rPr>
              <w:t>developments,</w:t>
            </w:r>
            <w:r>
              <w:rPr>
                <w:rFonts w:ascii="Arial"/>
                <w:spacing w:val="48"/>
              </w:rPr>
              <w:t xml:space="preserve"> </w:t>
            </w:r>
            <w:r>
              <w:rPr>
                <w:rFonts w:ascii="Arial"/>
              </w:rPr>
              <w:t>IPR</w:t>
            </w:r>
            <w:r>
              <w:rPr>
                <w:rFonts w:ascii="Arial"/>
                <w:spacing w:val="45"/>
              </w:rPr>
              <w:t xml:space="preserve"> </w:t>
            </w:r>
            <w:r>
              <w:rPr>
                <w:rFonts w:ascii="Arial"/>
                <w:spacing w:val="-2"/>
              </w:rPr>
              <w:t>of</w:t>
            </w:r>
            <w:r>
              <w:rPr>
                <w:rFonts w:ascii="Arial"/>
                <w:spacing w:val="48"/>
              </w:rPr>
              <w:t xml:space="preserve"> </w:t>
            </w:r>
            <w:r>
              <w:rPr>
                <w:rFonts w:ascii="Arial"/>
                <w:spacing w:val="-1"/>
              </w:rPr>
              <w:t>the</w:t>
            </w:r>
            <w:r>
              <w:rPr>
                <w:rFonts w:ascii="Arial"/>
                <w:spacing w:val="28"/>
              </w:rPr>
              <w:t xml:space="preserve"> </w:t>
            </w:r>
            <w:r>
              <w:rPr>
                <w:rFonts w:ascii="Arial"/>
                <w:spacing w:val="-2"/>
              </w:rPr>
              <w:t>Supplier</w:t>
            </w:r>
            <w:r>
              <w:rPr>
                <w:rFonts w:ascii="Arial"/>
                <w:spacing w:val="8"/>
              </w:rPr>
              <w:t xml:space="preserve"> </w:t>
            </w:r>
            <w:r>
              <w:rPr>
                <w:rFonts w:ascii="Arial"/>
                <w:spacing w:val="-1"/>
              </w:rPr>
              <w:t>(including</w:t>
            </w:r>
            <w:r>
              <w:rPr>
                <w:rFonts w:ascii="Arial"/>
                <w:spacing w:val="9"/>
              </w:rPr>
              <w:t xml:space="preserve"> </w:t>
            </w:r>
            <w:r>
              <w:rPr>
                <w:rFonts w:ascii="Arial"/>
              </w:rPr>
              <w:t>the</w:t>
            </w:r>
            <w:r>
              <w:rPr>
                <w:rFonts w:ascii="Arial"/>
                <w:spacing w:val="4"/>
              </w:rPr>
              <w:t xml:space="preserve"> </w:t>
            </w:r>
            <w:r>
              <w:rPr>
                <w:rFonts w:ascii="Arial"/>
                <w:spacing w:val="-2"/>
              </w:rPr>
              <w:t>Supplier</w:t>
            </w:r>
            <w:r>
              <w:rPr>
                <w:rFonts w:ascii="Arial"/>
                <w:spacing w:val="8"/>
              </w:rPr>
              <w:t xml:space="preserve"> </w:t>
            </w:r>
            <w:r>
              <w:rPr>
                <w:rFonts w:ascii="Arial"/>
                <w:spacing w:val="-1"/>
              </w:rPr>
              <w:t>Background</w:t>
            </w:r>
            <w:r>
              <w:rPr>
                <w:rFonts w:ascii="Arial"/>
                <w:spacing w:val="4"/>
              </w:rPr>
              <w:t xml:space="preserve"> </w:t>
            </w:r>
            <w:r>
              <w:rPr>
                <w:rFonts w:ascii="Arial"/>
                <w:spacing w:val="-2"/>
              </w:rPr>
              <w:t>IPR)</w:t>
            </w:r>
            <w:r>
              <w:rPr>
                <w:rFonts w:ascii="Arial"/>
                <w:spacing w:val="45"/>
              </w:rPr>
              <w:t xml:space="preserve"> </w:t>
            </w:r>
            <w:r>
              <w:rPr>
                <w:rFonts w:ascii="Arial"/>
                <w:spacing w:val="-1"/>
              </w:rPr>
              <w:t>trade</w:t>
            </w:r>
            <w:r>
              <w:rPr>
                <w:rFonts w:ascii="Arial"/>
                <w:spacing w:val="29"/>
              </w:rPr>
              <w:t xml:space="preserve"> </w:t>
            </w:r>
            <w:r>
              <w:rPr>
                <w:rFonts w:ascii="Arial"/>
                <w:spacing w:val="-1"/>
              </w:rPr>
              <w:t>secrets,</w:t>
            </w:r>
            <w:r>
              <w:rPr>
                <w:rFonts w:ascii="Arial"/>
                <w:spacing w:val="33"/>
              </w:rPr>
              <w:t xml:space="preserve"> </w:t>
            </w:r>
            <w:r>
              <w:rPr>
                <w:rFonts w:ascii="Arial"/>
                <w:spacing w:val="-2"/>
              </w:rPr>
              <w:t>Know-How,</w:t>
            </w:r>
            <w:r>
              <w:rPr>
                <w:rFonts w:ascii="Arial"/>
                <w:spacing w:val="4"/>
              </w:rPr>
              <w:t xml:space="preserve"> </w:t>
            </w:r>
            <w:r>
              <w:rPr>
                <w:rFonts w:ascii="Arial"/>
                <w:spacing w:val="-1"/>
              </w:rPr>
              <w:t>and/or</w:t>
            </w:r>
            <w:r>
              <w:rPr>
                <w:rFonts w:ascii="Arial"/>
                <w:spacing w:val="30"/>
              </w:rPr>
              <w:t xml:space="preserve"> </w:t>
            </w:r>
            <w:r>
              <w:rPr>
                <w:rFonts w:ascii="Arial"/>
                <w:spacing w:val="-1"/>
              </w:rPr>
              <w:t>personnel</w:t>
            </w:r>
            <w:r>
              <w:rPr>
                <w:rFonts w:ascii="Arial"/>
                <w:spacing w:val="31"/>
              </w:rPr>
              <w:t xml:space="preserve"> </w:t>
            </w:r>
            <w:r>
              <w:rPr>
                <w:rFonts w:ascii="Arial"/>
                <w:spacing w:val="-2"/>
              </w:rPr>
              <w:t>of</w:t>
            </w:r>
            <w:r>
              <w:rPr>
                <w:rFonts w:ascii="Arial"/>
                <w:spacing w:val="30"/>
              </w:rPr>
              <w:t xml:space="preserve"> </w:t>
            </w:r>
            <w:r>
              <w:rPr>
                <w:rFonts w:ascii="Arial"/>
                <w:spacing w:val="-1"/>
              </w:rPr>
              <w:t>the</w:t>
            </w:r>
            <w:r>
              <w:rPr>
                <w:rFonts w:ascii="Arial"/>
                <w:spacing w:val="38"/>
              </w:rPr>
              <w:t xml:space="preserve"> </w:t>
            </w:r>
            <w:r>
              <w:rPr>
                <w:rFonts w:ascii="Arial"/>
                <w:spacing w:val="-1"/>
              </w:rPr>
              <w:t>Supplier;</w:t>
            </w:r>
          </w:p>
          <w:p w:rsidR="008918FA" w:rsidRDefault="008918FA" w:rsidP="005D2B81">
            <w:pPr>
              <w:pStyle w:val="ListParagraph"/>
              <w:numPr>
                <w:ilvl w:val="0"/>
                <w:numId w:val="33"/>
              </w:numPr>
              <w:tabs>
                <w:tab w:val="left" w:pos="820"/>
              </w:tabs>
              <w:spacing w:before="121"/>
              <w:ind w:right="100" w:hanging="544"/>
              <w:jc w:val="both"/>
              <w:rPr>
                <w:rFonts w:ascii="Arial" w:eastAsia="Arial" w:hAnsi="Arial" w:cs="Arial"/>
              </w:rPr>
            </w:pPr>
            <w:r>
              <w:rPr>
                <w:rFonts w:ascii="Arial" w:eastAsia="Arial" w:hAnsi="Arial" w:cs="Arial"/>
                <w:spacing w:val="-1"/>
              </w:rPr>
              <w:t>any</w:t>
            </w:r>
            <w:r>
              <w:rPr>
                <w:rFonts w:ascii="Arial" w:eastAsia="Arial" w:hAnsi="Arial" w:cs="Arial"/>
                <w:spacing w:val="51"/>
              </w:rPr>
              <w:t xml:space="preserve"> </w:t>
            </w:r>
            <w:r>
              <w:rPr>
                <w:rFonts w:ascii="Arial" w:eastAsia="Arial" w:hAnsi="Arial" w:cs="Arial"/>
                <w:spacing w:val="-1"/>
              </w:rPr>
              <w:t>other</w:t>
            </w:r>
            <w:r>
              <w:rPr>
                <w:rFonts w:ascii="Arial" w:eastAsia="Arial" w:hAnsi="Arial" w:cs="Arial"/>
                <w:spacing w:val="54"/>
              </w:rPr>
              <w:t xml:space="preserve"> </w:t>
            </w:r>
            <w:r>
              <w:rPr>
                <w:rFonts w:ascii="Arial" w:eastAsia="Arial" w:hAnsi="Arial" w:cs="Arial"/>
                <w:spacing w:val="-1"/>
              </w:rPr>
              <w:t>information</w:t>
            </w:r>
            <w:r>
              <w:rPr>
                <w:rFonts w:ascii="Arial" w:eastAsia="Arial" w:hAnsi="Arial" w:cs="Arial"/>
                <w:spacing w:val="53"/>
              </w:rPr>
              <w:t xml:space="preserve"> </w:t>
            </w:r>
            <w:r>
              <w:rPr>
                <w:rFonts w:ascii="Arial" w:eastAsia="Arial" w:hAnsi="Arial" w:cs="Arial"/>
                <w:spacing w:val="-1"/>
              </w:rPr>
              <w:t>clearly</w:t>
            </w:r>
            <w:r>
              <w:rPr>
                <w:rFonts w:ascii="Arial" w:eastAsia="Arial" w:hAnsi="Arial" w:cs="Arial"/>
                <w:spacing w:val="51"/>
              </w:rPr>
              <w:t xml:space="preserve"> </w:t>
            </w:r>
            <w:r>
              <w:rPr>
                <w:rFonts w:ascii="Arial" w:eastAsia="Arial" w:hAnsi="Arial" w:cs="Arial"/>
                <w:spacing w:val="-1"/>
              </w:rPr>
              <w:t>designated</w:t>
            </w:r>
            <w:r>
              <w:rPr>
                <w:rFonts w:ascii="Arial" w:eastAsia="Arial" w:hAnsi="Arial" w:cs="Arial"/>
                <w:spacing w:val="55"/>
              </w:rPr>
              <w:t xml:space="preserve"> </w:t>
            </w:r>
            <w:r>
              <w:rPr>
                <w:rFonts w:ascii="Arial" w:eastAsia="Arial" w:hAnsi="Arial" w:cs="Arial"/>
                <w:spacing w:val="-1"/>
              </w:rPr>
              <w:t>as</w:t>
            </w:r>
            <w:r>
              <w:rPr>
                <w:rFonts w:ascii="Arial" w:eastAsia="Arial" w:hAnsi="Arial" w:cs="Arial"/>
                <w:spacing w:val="53"/>
              </w:rPr>
              <w:t xml:space="preserve"> </w:t>
            </w:r>
            <w:r>
              <w:rPr>
                <w:rFonts w:ascii="Arial" w:eastAsia="Arial" w:hAnsi="Arial" w:cs="Arial"/>
                <w:spacing w:val="-1"/>
              </w:rPr>
              <w:t>being</w:t>
            </w:r>
            <w:r>
              <w:rPr>
                <w:rFonts w:ascii="Arial" w:eastAsia="Arial" w:hAnsi="Arial" w:cs="Arial"/>
                <w:spacing w:val="37"/>
              </w:rPr>
              <w:t xml:space="preserve"> </w:t>
            </w:r>
            <w:r>
              <w:rPr>
                <w:rFonts w:ascii="Arial" w:eastAsia="Arial" w:hAnsi="Arial" w:cs="Arial"/>
                <w:spacing w:val="-1"/>
              </w:rPr>
              <w:t>confidential</w:t>
            </w:r>
            <w:r>
              <w:rPr>
                <w:rFonts w:ascii="Arial" w:eastAsia="Arial" w:hAnsi="Arial" w:cs="Arial"/>
                <w:spacing w:val="17"/>
              </w:rPr>
              <w:t xml:space="preserve"> </w:t>
            </w:r>
            <w:r>
              <w:rPr>
                <w:rFonts w:ascii="Arial" w:eastAsia="Arial" w:hAnsi="Arial" w:cs="Arial"/>
                <w:spacing w:val="-1"/>
              </w:rPr>
              <w:t>(whether</w:t>
            </w:r>
            <w:r>
              <w:rPr>
                <w:rFonts w:ascii="Arial" w:eastAsia="Arial" w:hAnsi="Arial" w:cs="Arial"/>
                <w:spacing w:val="19"/>
              </w:rPr>
              <w:t xml:space="preserve"> </w:t>
            </w:r>
            <w:r>
              <w:rPr>
                <w:rFonts w:ascii="Arial" w:eastAsia="Arial" w:hAnsi="Arial" w:cs="Arial"/>
                <w:spacing w:val="-1"/>
              </w:rPr>
              <w:t>or</w:t>
            </w:r>
            <w:r>
              <w:rPr>
                <w:rFonts w:ascii="Arial" w:eastAsia="Arial" w:hAnsi="Arial" w:cs="Arial"/>
                <w:spacing w:val="19"/>
              </w:rPr>
              <w:t xml:space="preserve"> </w:t>
            </w:r>
            <w:r>
              <w:rPr>
                <w:rFonts w:ascii="Arial" w:eastAsia="Arial" w:hAnsi="Arial" w:cs="Arial"/>
                <w:spacing w:val="-1"/>
              </w:rPr>
              <w:t>not</w:t>
            </w:r>
            <w:r>
              <w:rPr>
                <w:rFonts w:ascii="Arial" w:eastAsia="Arial" w:hAnsi="Arial" w:cs="Arial"/>
                <w:spacing w:val="19"/>
              </w:rPr>
              <w:t xml:space="preserve"> </w:t>
            </w:r>
            <w:r>
              <w:rPr>
                <w:rFonts w:ascii="Arial" w:eastAsia="Arial" w:hAnsi="Arial" w:cs="Arial"/>
                <w:spacing w:val="-1"/>
              </w:rPr>
              <w:t>it</w:t>
            </w:r>
            <w:r>
              <w:rPr>
                <w:rFonts w:ascii="Arial" w:eastAsia="Arial" w:hAnsi="Arial" w:cs="Arial"/>
                <w:spacing w:val="19"/>
              </w:rPr>
              <w:t xml:space="preserve"> </w:t>
            </w:r>
            <w:r>
              <w:rPr>
                <w:rFonts w:ascii="Arial" w:eastAsia="Arial" w:hAnsi="Arial" w:cs="Arial"/>
                <w:spacing w:val="-1"/>
              </w:rPr>
              <w:t>is</w:t>
            </w:r>
            <w:r>
              <w:rPr>
                <w:rFonts w:ascii="Arial" w:eastAsia="Arial" w:hAnsi="Arial" w:cs="Arial"/>
                <w:spacing w:val="18"/>
              </w:rPr>
              <w:t xml:space="preserve"> </w:t>
            </w:r>
            <w:r>
              <w:rPr>
                <w:rFonts w:ascii="Arial" w:eastAsia="Arial" w:hAnsi="Arial" w:cs="Arial"/>
              </w:rPr>
              <w:t>marked</w:t>
            </w:r>
            <w:r>
              <w:rPr>
                <w:rFonts w:ascii="Arial" w:eastAsia="Arial" w:hAnsi="Arial" w:cs="Arial"/>
                <w:spacing w:val="15"/>
              </w:rPr>
              <w:t xml:space="preserve"> </w:t>
            </w:r>
            <w:r>
              <w:rPr>
                <w:rFonts w:ascii="Arial" w:eastAsia="Arial" w:hAnsi="Arial" w:cs="Arial"/>
                <w:spacing w:val="-1"/>
              </w:rPr>
              <w:t>as</w:t>
            </w:r>
            <w:r>
              <w:rPr>
                <w:rFonts w:ascii="Arial" w:eastAsia="Arial" w:hAnsi="Arial" w:cs="Arial"/>
                <w:spacing w:val="27"/>
              </w:rPr>
              <w:t xml:space="preserve"> </w:t>
            </w:r>
            <w:r>
              <w:rPr>
                <w:rFonts w:ascii="Arial" w:eastAsia="Arial" w:hAnsi="Arial" w:cs="Arial"/>
                <w:spacing w:val="-1"/>
              </w:rPr>
              <w:t>"confidential")</w:t>
            </w:r>
            <w:r>
              <w:rPr>
                <w:rFonts w:ascii="Arial" w:eastAsia="Arial" w:hAnsi="Arial" w:cs="Arial"/>
                <w:spacing w:val="39"/>
              </w:rPr>
              <w:t xml:space="preserve"> </w:t>
            </w:r>
            <w:r>
              <w:rPr>
                <w:rFonts w:ascii="Arial" w:eastAsia="Arial" w:hAnsi="Arial" w:cs="Arial"/>
                <w:spacing w:val="-1"/>
              </w:rPr>
              <w:t>or</w:t>
            </w:r>
            <w:r>
              <w:rPr>
                <w:rFonts w:ascii="Arial" w:eastAsia="Arial" w:hAnsi="Arial" w:cs="Arial"/>
                <w:spacing w:val="39"/>
              </w:rPr>
              <w:t xml:space="preserve"> </w:t>
            </w:r>
            <w:r>
              <w:rPr>
                <w:rFonts w:ascii="Arial" w:eastAsia="Arial" w:hAnsi="Arial" w:cs="Arial"/>
                <w:spacing w:val="-2"/>
              </w:rPr>
              <w:t>which</w:t>
            </w:r>
            <w:r>
              <w:rPr>
                <w:rFonts w:ascii="Arial" w:eastAsia="Arial" w:hAnsi="Arial" w:cs="Arial"/>
                <w:spacing w:val="40"/>
              </w:rPr>
              <w:t xml:space="preserve"> </w:t>
            </w:r>
            <w:r>
              <w:rPr>
                <w:rFonts w:ascii="Arial" w:eastAsia="Arial" w:hAnsi="Arial" w:cs="Arial"/>
                <w:spacing w:val="-1"/>
              </w:rPr>
              <w:t>ought</w:t>
            </w:r>
            <w:r>
              <w:rPr>
                <w:rFonts w:ascii="Arial" w:eastAsia="Arial" w:hAnsi="Arial" w:cs="Arial"/>
                <w:spacing w:val="36"/>
              </w:rPr>
              <w:t xml:space="preserve"> </w:t>
            </w:r>
            <w:r>
              <w:rPr>
                <w:rFonts w:ascii="Arial" w:eastAsia="Arial" w:hAnsi="Arial" w:cs="Arial"/>
                <w:spacing w:val="-1"/>
              </w:rPr>
              <w:t>reasonably</w:t>
            </w:r>
            <w:r>
              <w:rPr>
                <w:rFonts w:ascii="Arial" w:eastAsia="Arial" w:hAnsi="Arial" w:cs="Arial"/>
                <w:spacing w:val="35"/>
              </w:rPr>
              <w:t xml:space="preserve"> </w:t>
            </w:r>
            <w:r>
              <w:rPr>
                <w:rFonts w:ascii="Arial" w:eastAsia="Arial" w:hAnsi="Arial" w:cs="Arial"/>
              </w:rPr>
              <w:t>to</w:t>
            </w:r>
            <w:r>
              <w:rPr>
                <w:rFonts w:ascii="Arial" w:eastAsia="Arial" w:hAnsi="Arial" w:cs="Arial"/>
                <w:spacing w:val="37"/>
              </w:rPr>
              <w:t xml:space="preserve"> </w:t>
            </w:r>
            <w:r>
              <w:rPr>
                <w:rFonts w:ascii="Arial" w:eastAsia="Arial" w:hAnsi="Arial" w:cs="Arial"/>
                <w:spacing w:val="-1"/>
              </w:rPr>
              <w:t>be</w:t>
            </w:r>
            <w:r>
              <w:rPr>
                <w:rFonts w:ascii="Arial" w:eastAsia="Arial" w:hAnsi="Arial" w:cs="Arial"/>
                <w:spacing w:val="26"/>
              </w:rPr>
              <w:t xml:space="preserve"> </w:t>
            </w:r>
            <w:r>
              <w:rPr>
                <w:rFonts w:ascii="Arial" w:eastAsia="Arial" w:hAnsi="Arial" w:cs="Arial"/>
                <w:spacing w:val="-1"/>
              </w:rPr>
              <w:t>considered</w:t>
            </w:r>
            <w:r>
              <w:rPr>
                <w:rFonts w:ascii="Arial" w:eastAsia="Arial" w:hAnsi="Arial" w:cs="Arial"/>
                <w:spacing w:val="31"/>
              </w:rPr>
              <w:t xml:space="preserve"> </w:t>
            </w:r>
            <w:r>
              <w:rPr>
                <w:rFonts w:ascii="Arial" w:eastAsia="Arial" w:hAnsi="Arial" w:cs="Arial"/>
              </w:rPr>
              <w:t>to</w:t>
            </w:r>
            <w:r>
              <w:rPr>
                <w:rFonts w:ascii="Arial" w:eastAsia="Arial" w:hAnsi="Arial" w:cs="Arial"/>
                <w:spacing w:val="31"/>
              </w:rPr>
              <w:t xml:space="preserve"> </w:t>
            </w:r>
            <w:r>
              <w:rPr>
                <w:rFonts w:ascii="Arial" w:eastAsia="Arial" w:hAnsi="Arial" w:cs="Arial"/>
                <w:spacing w:val="-1"/>
              </w:rPr>
              <w:t>be</w:t>
            </w:r>
            <w:r>
              <w:rPr>
                <w:rFonts w:ascii="Arial" w:eastAsia="Arial" w:hAnsi="Arial" w:cs="Arial"/>
                <w:spacing w:val="31"/>
              </w:rPr>
              <w:t xml:space="preserve"> </w:t>
            </w:r>
            <w:r>
              <w:rPr>
                <w:rFonts w:ascii="Arial" w:eastAsia="Arial" w:hAnsi="Arial" w:cs="Arial"/>
                <w:spacing w:val="-1"/>
              </w:rPr>
              <w:t>confidential</w:t>
            </w:r>
            <w:r>
              <w:rPr>
                <w:rFonts w:ascii="Arial" w:eastAsia="Arial" w:hAnsi="Arial" w:cs="Arial"/>
                <w:spacing w:val="31"/>
              </w:rPr>
              <w:t xml:space="preserve"> </w:t>
            </w:r>
            <w:r>
              <w:rPr>
                <w:rFonts w:ascii="Arial" w:eastAsia="Arial" w:hAnsi="Arial" w:cs="Arial"/>
                <w:spacing w:val="-1"/>
              </w:rPr>
              <w:t>and</w:t>
            </w:r>
            <w:r>
              <w:rPr>
                <w:rFonts w:ascii="Arial" w:eastAsia="Arial" w:hAnsi="Arial" w:cs="Arial"/>
                <w:spacing w:val="34"/>
              </w:rPr>
              <w:t xml:space="preserve"> </w:t>
            </w:r>
            <w:r>
              <w:rPr>
                <w:rFonts w:ascii="Arial" w:eastAsia="Arial" w:hAnsi="Arial" w:cs="Arial"/>
                <w:spacing w:val="-2"/>
              </w:rPr>
              <w:t>which</w:t>
            </w:r>
            <w:r>
              <w:rPr>
                <w:rFonts w:ascii="Arial" w:eastAsia="Arial" w:hAnsi="Arial" w:cs="Arial"/>
                <w:spacing w:val="32"/>
              </w:rPr>
              <w:t xml:space="preserve"> </w:t>
            </w:r>
            <w:r>
              <w:rPr>
                <w:rFonts w:ascii="Arial" w:eastAsia="Arial" w:hAnsi="Arial" w:cs="Arial"/>
                <w:spacing w:val="-1"/>
              </w:rPr>
              <w:t>comes</w:t>
            </w:r>
            <w:r>
              <w:rPr>
                <w:rFonts w:ascii="Arial" w:eastAsia="Arial" w:hAnsi="Arial" w:cs="Arial"/>
                <w:spacing w:val="33"/>
              </w:rPr>
              <w:t xml:space="preserve"> </w:t>
            </w:r>
            <w:r>
              <w:rPr>
                <w:rFonts w:ascii="Arial" w:eastAsia="Arial" w:hAnsi="Arial" w:cs="Arial"/>
                <w:spacing w:val="-1"/>
              </w:rPr>
              <w:t>(or</w:t>
            </w:r>
            <w:r>
              <w:rPr>
                <w:rFonts w:ascii="Arial" w:eastAsia="Arial" w:hAnsi="Arial" w:cs="Arial"/>
                <w:spacing w:val="28"/>
              </w:rPr>
              <w:t xml:space="preserve"> </w:t>
            </w:r>
            <w:r>
              <w:rPr>
                <w:rFonts w:ascii="Arial" w:eastAsia="Arial" w:hAnsi="Arial" w:cs="Arial"/>
                <w:spacing w:val="-1"/>
              </w:rPr>
              <w:t>has</w:t>
            </w:r>
            <w:r>
              <w:rPr>
                <w:rFonts w:ascii="Arial" w:eastAsia="Arial" w:hAnsi="Arial" w:cs="Arial"/>
                <w:spacing w:val="2"/>
              </w:rPr>
              <w:t xml:space="preserve"> </w:t>
            </w:r>
            <w:r>
              <w:rPr>
                <w:rFonts w:ascii="Arial" w:eastAsia="Arial" w:hAnsi="Arial" w:cs="Arial"/>
                <w:spacing w:val="-1"/>
              </w:rPr>
              <w:t>come)</w:t>
            </w:r>
            <w:r>
              <w:rPr>
                <w:rFonts w:ascii="Arial" w:eastAsia="Arial" w:hAnsi="Arial" w:cs="Arial"/>
              </w:rPr>
              <w:t xml:space="preserve">  to</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2"/>
              </w:rPr>
              <w:t>Supplier’s</w:t>
            </w:r>
            <w:r>
              <w:rPr>
                <w:rFonts w:ascii="Arial" w:eastAsia="Arial" w:hAnsi="Arial" w:cs="Arial"/>
                <w:spacing w:val="2"/>
              </w:rPr>
              <w:t xml:space="preserve"> </w:t>
            </w:r>
            <w:r>
              <w:rPr>
                <w:rFonts w:ascii="Arial" w:eastAsia="Arial" w:hAnsi="Arial" w:cs="Arial"/>
                <w:spacing w:val="-1"/>
              </w:rPr>
              <w:t>attention</w:t>
            </w:r>
            <w:r>
              <w:rPr>
                <w:rFonts w:ascii="Arial" w:eastAsia="Arial" w:hAnsi="Arial" w:cs="Arial"/>
                <w:spacing w:val="2"/>
              </w:rPr>
              <w:t xml:space="preserve"> </w:t>
            </w:r>
            <w:r>
              <w:rPr>
                <w:rFonts w:ascii="Arial" w:eastAsia="Arial" w:hAnsi="Arial" w:cs="Arial"/>
                <w:spacing w:val="-1"/>
              </w:rPr>
              <w:t>or</w:t>
            </w:r>
            <w:r>
              <w:rPr>
                <w:rFonts w:ascii="Arial" w:eastAsia="Arial" w:hAnsi="Arial" w:cs="Arial"/>
                <w:spacing w:val="3"/>
              </w:rPr>
              <w:t xml:space="preserve"> </w:t>
            </w:r>
            <w:r>
              <w:rPr>
                <w:rFonts w:ascii="Arial" w:eastAsia="Arial" w:hAnsi="Arial" w:cs="Arial"/>
                <w:spacing w:val="-1"/>
              </w:rPr>
              <w:t>into</w:t>
            </w:r>
            <w:r>
              <w:rPr>
                <w:rFonts w:ascii="Arial" w:eastAsia="Arial" w:hAnsi="Arial" w:cs="Arial"/>
                <w:spacing w:val="60"/>
              </w:rPr>
              <w:t xml:space="preserve"> </w:t>
            </w:r>
            <w:r>
              <w:rPr>
                <w:rFonts w:ascii="Arial" w:eastAsia="Arial" w:hAnsi="Arial" w:cs="Arial"/>
                <w:spacing w:val="-1"/>
              </w:rPr>
              <w:t>the</w:t>
            </w:r>
            <w:r>
              <w:rPr>
                <w:rFonts w:ascii="Arial" w:eastAsia="Arial" w:hAnsi="Arial" w:cs="Arial"/>
                <w:spacing w:val="46"/>
              </w:rPr>
              <w:t xml:space="preserve"> </w:t>
            </w:r>
            <w:r>
              <w:rPr>
                <w:rFonts w:ascii="Arial" w:eastAsia="Arial" w:hAnsi="Arial" w:cs="Arial"/>
                <w:spacing w:val="-2"/>
              </w:rPr>
              <w:t>Supplier’s</w:t>
            </w:r>
            <w:r>
              <w:rPr>
                <w:rFonts w:ascii="Arial" w:eastAsia="Arial" w:hAnsi="Arial" w:cs="Arial"/>
                <w:spacing w:val="56"/>
              </w:rPr>
              <w:t xml:space="preserve"> </w:t>
            </w:r>
            <w:r>
              <w:rPr>
                <w:rFonts w:ascii="Arial" w:eastAsia="Arial" w:hAnsi="Arial" w:cs="Arial"/>
                <w:spacing w:val="-1"/>
              </w:rPr>
              <w:t>possession</w:t>
            </w:r>
            <w:r>
              <w:rPr>
                <w:rFonts w:ascii="Arial" w:eastAsia="Arial" w:hAnsi="Arial" w:cs="Arial"/>
                <w:spacing w:val="55"/>
              </w:rPr>
              <w:t xml:space="preserve"> </w:t>
            </w:r>
            <w:r>
              <w:rPr>
                <w:rFonts w:ascii="Arial" w:eastAsia="Arial" w:hAnsi="Arial" w:cs="Arial"/>
              </w:rPr>
              <w:t>in</w:t>
            </w:r>
            <w:r>
              <w:rPr>
                <w:rFonts w:ascii="Arial" w:eastAsia="Arial" w:hAnsi="Arial" w:cs="Arial"/>
                <w:spacing w:val="55"/>
              </w:rPr>
              <w:t xml:space="preserve"> </w:t>
            </w:r>
            <w:r>
              <w:rPr>
                <w:rFonts w:ascii="Arial" w:eastAsia="Arial" w:hAnsi="Arial" w:cs="Arial"/>
                <w:spacing w:val="-1"/>
              </w:rPr>
              <w:t>connection</w:t>
            </w:r>
            <w:r>
              <w:rPr>
                <w:rFonts w:ascii="Arial" w:eastAsia="Arial" w:hAnsi="Arial" w:cs="Arial"/>
                <w:spacing w:val="55"/>
              </w:rPr>
              <w:t xml:space="preserve"> </w:t>
            </w:r>
            <w:r>
              <w:rPr>
                <w:rFonts w:ascii="Arial" w:eastAsia="Arial" w:hAnsi="Arial" w:cs="Arial"/>
                <w:spacing w:val="-1"/>
              </w:rPr>
              <w:t>with</w:t>
            </w:r>
            <w:r>
              <w:rPr>
                <w:rFonts w:ascii="Arial" w:eastAsia="Arial" w:hAnsi="Arial" w:cs="Arial"/>
                <w:spacing w:val="55"/>
              </w:rPr>
              <w:t xml:space="preserve"> </w:t>
            </w:r>
            <w:r>
              <w:rPr>
                <w:rFonts w:ascii="Arial" w:eastAsia="Arial" w:hAnsi="Arial" w:cs="Arial"/>
                <w:spacing w:val="-1"/>
              </w:rPr>
              <w:t>this</w:t>
            </w:r>
            <w:r>
              <w:rPr>
                <w:rFonts w:ascii="Arial" w:eastAsia="Arial" w:hAnsi="Arial" w:cs="Arial"/>
                <w:spacing w:val="56"/>
              </w:rPr>
              <w:t xml:space="preserve"> </w:t>
            </w:r>
            <w:r>
              <w:rPr>
                <w:rFonts w:ascii="Arial" w:eastAsia="Arial" w:hAnsi="Arial" w:cs="Arial"/>
                <w:spacing w:val="-2"/>
              </w:rPr>
              <w:t>Call</w:t>
            </w:r>
            <w:r>
              <w:rPr>
                <w:rFonts w:ascii="Arial" w:eastAsia="Arial" w:hAnsi="Arial" w:cs="Arial"/>
                <w:spacing w:val="43"/>
              </w:rPr>
              <w:t xml:space="preserve"> </w:t>
            </w:r>
            <w:r>
              <w:rPr>
                <w:rFonts w:ascii="Arial" w:eastAsia="Arial" w:hAnsi="Arial" w:cs="Arial"/>
                <w:spacing w:val="-1"/>
              </w:rPr>
              <w:t>Off</w:t>
            </w:r>
            <w:r>
              <w:rPr>
                <w:rFonts w:ascii="Arial" w:eastAsia="Arial" w:hAnsi="Arial" w:cs="Arial"/>
                <w:spacing w:val="2"/>
              </w:rPr>
              <w:t xml:space="preserve"> </w:t>
            </w:r>
            <w:r>
              <w:rPr>
                <w:rFonts w:ascii="Arial" w:eastAsia="Arial" w:hAnsi="Arial" w:cs="Arial"/>
                <w:spacing w:val="-1"/>
              </w:rPr>
              <w:t>Contract;</w:t>
            </w:r>
          </w:p>
          <w:p w:rsidR="008918FA" w:rsidRDefault="008918FA" w:rsidP="005D2B81">
            <w:pPr>
              <w:pStyle w:val="ListParagraph"/>
              <w:numPr>
                <w:ilvl w:val="0"/>
                <w:numId w:val="33"/>
              </w:numPr>
              <w:tabs>
                <w:tab w:val="left" w:pos="820"/>
              </w:tabs>
              <w:spacing w:before="121"/>
              <w:ind w:hanging="544"/>
              <w:rPr>
                <w:rFonts w:ascii="Arial" w:eastAsia="Arial" w:hAnsi="Arial" w:cs="Arial"/>
              </w:rPr>
            </w:pPr>
            <w:r>
              <w:rPr>
                <w:rFonts w:ascii="Arial"/>
                <w:spacing w:val="-1"/>
              </w:rPr>
              <w:t>information</w:t>
            </w:r>
            <w:r>
              <w:rPr>
                <w:rFonts w:ascii="Arial"/>
              </w:rPr>
              <w:t xml:space="preserve"> </w:t>
            </w:r>
            <w:r>
              <w:rPr>
                <w:rFonts w:ascii="Arial"/>
                <w:spacing w:val="-2"/>
              </w:rPr>
              <w:t>derived</w:t>
            </w:r>
            <w:r>
              <w:rPr>
                <w:rFonts w:ascii="Arial"/>
              </w:rPr>
              <w:t xml:space="preserve"> </w:t>
            </w:r>
            <w:r>
              <w:rPr>
                <w:rFonts w:ascii="Arial"/>
                <w:spacing w:val="-1"/>
              </w:rPr>
              <w:t>from any</w:t>
            </w:r>
            <w:r>
              <w:rPr>
                <w:rFonts w:ascii="Arial"/>
                <w:spacing w:val="-2"/>
              </w:rPr>
              <w:t xml:space="preserve"> </w:t>
            </w:r>
            <w:r>
              <w:rPr>
                <w:rFonts w:ascii="Arial"/>
                <w:spacing w:val="-1"/>
              </w:rPr>
              <w:t>of</w:t>
            </w:r>
            <w:r>
              <w:rPr>
                <w:rFonts w:ascii="Arial"/>
                <w:spacing w:val="2"/>
              </w:rPr>
              <w:t xml:space="preserve"> </w:t>
            </w:r>
            <w:r>
              <w:rPr>
                <w:rFonts w:ascii="Arial"/>
              </w:rPr>
              <w:t>the</w:t>
            </w:r>
            <w:r>
              <w:rPr>
                <w:rFonts w:ascii="Arial"/>
                <w:spacing w:val="-2"/>
              </w:rPr>
              <w:t xml:space="preserve"> above.</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485"/>
              <w:rPr>
                <w:rFonts w:ascii="Arial" w:eastAsia="Arial" w:hAnsi="Arial" w:cs="Arial"/>
              </w:rPr>
            </w:pPr>
            <w:r>
              <w:rPr>
                <w:rFonts w:ascii="Arial"/>
                <w:b/>
                <w:spacing w:val="-1"/>
              </w:rPr>
              <w:t>"Template</w:t>
            </w:r>
            <w:r>
              <w:rPr>
                <w:rFonts w:ascii="Arial"/>
                <w:b/>
                <w:spacing w:val="-2"/>
              </w:rPr>
              <w:t xml:space="preserve"> </w:t>
            </w:r>
            <w:r>
              <w:rPr>
                <w:rFonts w:ascii="Arial"/>
                <w:b/>
                <w:spacing w:val="-1"/>
              </w:rPr>
              <w:t>Call</w:t>
            </w:r>
            <w:r>
              <w:rPr>
                <w:rFonts w:ascii="Arial"/>
                <w:b/>
                <w:spacing w:val="-3"/>
              </w:rPr>
              <w:t xml:space="preserve"> </w:t>
            </w:r>
            <w:r>
              <w:rPr>
                <w:rFonts w:ascii="Arial"/>
                <w:b/>
                <w:spacing w:val="-1"/>
              </w:rPr>
              <w:t>Off</w:t>
            </w:r>
            <w:r>
              <w:rPr>
                <w:rFonts w:ascii="Arial"/>
                <w:b/>
                <w:spacing w:val="29"/>
              </w:rPr>
              <w:t xml:space="preserve"> </w:t>
            </w:r>
            <w:r>
              <w:rPr>
                <w:rFonts w:ascii="Arial"/>
                <w:b/>
                <w:spacing w:val="-1"/>
              </w:rPr>
              <w:t>Terms"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32"/>
              </w:rPr>
              <w:t xml:space="preserve"> </w:t>
            </w:r>
            <w:r>
              <w:rPr>
                <w:rFonts w:ascii="Arial"/>
              </w:rPr>
              <w:t>the</w:t>
            </w:r>
            <w:r>
              <w:rPr>
                <w:rFonts w:ascii="Arial"/>
                <w:spacing w:val="31"/>
              </w:rPr>
              <w:t xml:space="preserve"> </w:t>
            </w:r>
            <w:r>
              <w:rPr>
                <w:rFonts w:ascii="Arial"/>
                <w:spacing w:val="-1"/>
              </w:rPr>
              <w:t>template</w:t>
            </w:r>
            <w:r>
              <w:rPr>
                <w:rFonts w:ascii="Arial"/>
                <w:spacing w:val="34"/>
              </w:rPr>
              <w:t xml:space="preserve"> </w:t>
            </w:r>
            <w:r>
              <w:rPr>
                <w:rFonts w:ascii="Arial"/>
                <w:spacing w:val="-1"/>
              </w:rPr>
              <w:t>terms</w:t>
            </w:r>
            <w:r>
              <w:rPr>
                <w:rFonts w:ascii="Arial"/>
                <w:spacing w:val="34"/>
              </w:rPr>
              <w:t xml:space="preserve"> </w:t>
            </w:r>
            <w:r>
              <w:rPr>
                <w:rFonts w:ascii="Arial"/>
                <w:spacing w:val="-1"/>
              </w:rPr>
              <w:t>and</w:t>
            </w:r>
            <w:r>
              <w:rPr>
                <w:rFonts w:ascii="Arial"/>
                <w:spacing w:val="31"/>
              </w:rPr>
              <w:t xml:space="preserve"> </w:t>
            </w:r>
            <w:r>
              <w:rPr>
                <w:rFonts w:ascii="Arial"/>
                <w:spacing w:val="-1"/>
              </w:rPr>
              <w:t>conditions</w:t>
            </w:r>
            <w:r>
              <w:rPr>
                <w:rFonts w:ascii="Arial"/>
                <w:spacing w:val="34"/>
              </w:rPr>
              <w:t xml:space="preserve"> </w:t>
            </w:r>
            <w:r>
              <w:rPr>
                <w:rFonts w:ascii="Arial"/>
                <w:spacing w:val="-1"/>
              </w:rPr>
              <w:t>in</w:t>
            </w:r>
            <w:r>
              <w:rPr>
                <w:rFonts w:ascii="Arial"/>
                <w:spacing w:val="35"/>
              </w:rPr>
              <w:t xml:space="preserve"> </w:t>
            </w:r>
            <w:r>
              <w:rPr>
                <w:rFonts w:ascii="Arial"/>
                <w:spacing w:val="-2"/>
              </w:rPr>
              <w:t>Annex</w:t>
            </w:r>
            <w:r>
              <w:rPr>
                <w:rFonts w:ascii="Arial"/>
                <w:spacing w:val="32"/>
              </w:rPr>
              <w:t xml:space="preserve"> </w:t>
            </w:r>
            <w:r>
              <w:rPr>
                <w:rFonts w:ascii="Arial"/>
              </w:rPr>
              <w:t>2</w:t>
            </w:r>
            <w:r>
              <w:rPr>
                <w:rFonts w:ascii="Arial"/>
                <w:spacing w:val="34"/>
              </w:rPr>
              <w:t xml:space="preserve"> </w:t>
            </w:r>
            <w:r>
              <w:rPr>
                <w:rFonts w:ascii="Arial"/>
                <w:spacing w:val="-2"/>
              </w:rPr>
              <w:t>of</w:t>
            </w:r>
            <w:r>
              <w:rPr>
                <w:rFonts w:ascii="Arial"/>
                <w:spacing w:val="25"/>
              </w:rPr>
              <w:t xml:space="preserve"> </w:t>
            </w:r>
            <w:r>
              <w:rPr>
                <w:rFonts w:ascii="Arial"/>
                <w:spacing w:val="-2"/>
              </w:rPr>
              <w:t>Framework</w:t>
            </w:r>
            <w:r>
              <w:rPr>
                <w:rFonts w:ascii="Arial"/>
                <w:spacing w:val="1"/>
              </w:rPr>
              <w:t xml:space="preserve"> </w:t>
            </w:r>
            <w:r>
              <w:rPr>
                <w:rFonts w:ascii="Arial"/>
                <w:spacing w:val="-1"/>
              </w:rPr>
              <w:t>Schedule</w:t>
            </w:r>
            <w:r>
              <w:rPr>
                <w:rFonts w:ascii="Arial"/>
              </w:rPr>
              <w:t xml:space="preserve"> 4</w:t>
            </w:r>
            <w:r>
              <w:rPr>
                <w:rFonts w:ascii="Arial"/>
                <w:spacing w:val="59"/>
              </w:rPr>
              <w:t xml:space="preserve"> </w:t>
            </w:r>
            <w:r>
              <w:rPr>
                <w:rFonts w:ascii="Arial"/>
                <w:spacing w:val="-1"/>
              </w:rPr>
              <w:t>(Template</w:t>
            </w:r>
            <w:r>
              <w:rPr>
                <w:rFonts w:ascii="Arial"/>
                <w:spacing w:val="59"/>
              </w:rPr>
              <w:t xml:space="preserve"> </w:t>
            </w:r>
            <w:r>
              <w:rPr>
                <w:rFonts w:ascii="Arial"/>
                <w:spacing w:val="-1"/>
              </w:rPr>
              <w:t>Order</w:t>
            </w:r>
            <w:r>
              <w:rPr>
                <w:rFonts w:ascii="Arial"/>
                <w:spacing w:val="60"/>
              </w:rPr>
              <w:t xml:space="preserve"> </w:t>
            </w:r>
            <w:r>
              <w:rPr>
                <w:rFonts w:ascii="Arial"/>
                <w:spacing w:val="-1"/>
              </w:rPr>
              <w:t>Form</w:t>
            </w:r>
            <w:r>
              <w:rPr>
                <w:rFonts w:ascii="Arial"/>
                <w:spacing w:val="60"/>
              </w:rPr>
              <w:t xml:space="preserve"> </w:t>
            </w:r>
            <w:r>
              <w:rPr>
                <w:rFonts w:ascii="Arial"/>
                <w:spacing w:val="-1"/>
              </w:rPr>
              <w:t>and</w:t>
            </w:r>
            <w:r>
              <w:rPr>
                <w:rFonts w:ascii="Arial"/>
                <w:spacing w:val="30"/>
              </w:rPr>
              <w:t xml:space="preserve"> </w:t>
            </w:r>
            <w:r>
              <w:rPr>
                <w:rFonts w:ascii="Arial"/>
                <w:spacing w:val="-1"/>
              </w:rPr>
              <w:t>Template</w:t>
            </w:r>
            <w:r>
              <w:rPr>
                <w:rFonts w:ascii="Arial"/>
              </w:rPr>
              <w:t xml:space="preserve"> </w:t>
            </w:r>
            <w:r>
              <w:rPr>
                <w:rFonts w:ascii="Arial"/>
                <w:spacing w:val="-2"/>
              </w:rPr>
              <w:t>Call</w:t>
            </w:r>
            <w:r>
              <w:rPr>
                <w:rFonts w:ascii="Arial"/>
                <w:spacing w:val="-3"/>
              </w:rPr>
              <w:t xml:space="preserve"> </w:t>
            </w:r>
            <w:r>
              <w:rPr>
                <w:rFonts w:ascii="Arial"/>
                <w:spacing w:val="-1"/>
              </w:rPr>
              <w:t>Off</w:t>
            </w:r>
            <w:r>
              <w:rPr>
                <w:rFonts w:ascii="Arial"/>
              </w:rPr>
              <w:t xml:space="preserve"> </w:t>
            </w:r>
            <w:r>
              <w:rPr>
                <w:rFonts w:ascii="Arial"/>
                <w:spacing w:val="-1"/>
              </w:rPr>
              <w:t>Terms);</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before="1" w:line="252" w:lineRule="exact"/>
              <w:ind w:left="-6" w:right="667"/>
              <w:rPr>
                <w:rFonts w:ascii="Arial" w:eastAsia="Arial" w:hAnsi="Arial" w:cs="Arial"/>
              </w:rPr>
            </w:pPr>
            <w:r>
              <w:rPr>
                <w:rFonts w:ascii="Arial"/>
                <w:b/>
                <w:spacing w:val="-1"/>
              </w:rPr>
              <w:t>"Template</w:t>
            </w:r>
            <w:r>
              <w:rPr>
                <w:rFonts w:ascii="Arial"/>
                <w:b/>
                <w:spacing w:val="-2"/>
              </w:rPr>
              <w:t xml:space="preserve"> </w:t>
            </w:r>
            <w:r>
              <w:rPr>
                <w:rFonts w:ascii="Arial"/>
                <w:b/>
                <w:spacing w:val="-1"/>
              </w:rPr>
              <w:t>Order</w:t>
            </w:r>
            <w:r>
              <w:rPr>
                <w:rFonts w:ascii="Arial"/>
                <w:b/>
                <w:spacing w:val="24"/>
              </w:rPr>
              <w:t xml:space="preserve"> </w:t>
            </w:r>
            <w:r>
              <w:rPr>
                <w:rFonts w:ascii="Arial"/>
                <w:b/>
                <w:spacing w:val="-1"/>
              </w:rPr>
              <w:t>Form"</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1"/>
              <w:jc w:val="both"/>
              <w:rPr>
                <w:rFonts w:ascii="Arial" w:eastAsia="Arial" w:hAnsi="Arial" w:cs="Arial"/>
              </w:rPr>
            </w:pPr>
            <w:r>
              <w:rPr>
                <w:rFonts w:ascii="Arial"/>
                <w:spacing w:val="-1"/>
              </w:rPr>
              <w:t>means</w:t>
            </w:r>
            <w:r>
              <w:rPr>
                <w:rFonts w:ascii="Arial"/>
                <w:spacing w:val="15"/>
              </w:rPr>
              <w:t xml:space="preserve"> </w:t>
            </w:r>
            <w:r>
              <w:rPr>
                <w:rFonts w:ascii="Arial"/>
              </w:rPr>
              <w:t>the</w:t>
            </w:r>
            <w:r>
              <w:rPr>
                <w:rFonts w:ascii="Arial"/>
                <w:spacing w:val="17"/>
              </w:rPr>
              <w:t xml:space="preserve"> </w:t>
            </w:r>
            <w:r>
              <w:rPr>
                <w:rFonts w:ascii="Arial"/>
                <w:spacing w:val="-1"/>
              </w:rPr>
              <w:t>template</w:t>
            </w:r>
            <w:r>
              <w:rPr>
                <w:rFonts w:ascii="Arial"/>
                <w:spacing w:val="17"/>
              </w:rPr>
              <w:t xml:space="preserve"> </w:t>
            </w:r>
            <w:r>
              <w:rPr>
                <w:rFonts w:ascii="Arial"/>
                <w:spacing w:val="-2"/>
              </w:rPr>
              <w:t>order</w:t>
            </w:r>
            <w:r>
              <w:rPr>
                <w:rFonts w:ascii="Arial"/>
                <w:spacing w:val="17"/>
              </w:rPr>
              <w:t xml:space="preserve"> </w:t>
            </w:r>
            <w:r>
              <w:rPr>
                <w:rFonts w:ascii="Arial"/>
              </w:rPr>
              <w:t>form</w:t>
            </w:r>
            <w:r>
              <w:rPr>
                <w:rFonts w:ascii="Arial"/>
                <w:spacing w:val="19"/>
              </w:rPr>
              <w:t xml:space="preserve"> </w:t>
            </w:r>
            <w:r>
              <w:rPr>
                <w:rFonts w:ascii="Arial"/>
                <w:spacing w:val="-1"/>
              </w:rPr>
              <w:t>in</w:t>
            </w:r>
            <w:r>
              <w:rPr>
                <w:rFonts w:ascii="Arial"/>
                <w:spacing w:val="17"/>
              </w:rPr>
              <w:t xml:space="preserve"> </w:t>
            </w:r>
            <w:r>
              <w:rPr>
                <w:rFonts w:ascii="Arial"/>
                <w:spacing w:val="-1"/>
              </w:rPr>
              <w:t>Annex</w:t>
            </w:r>
            <w:r>
              <w:rPr>
                <w:rFonts w:ascii="Arial"/>
                <w:spacing w:val="15"/>
              </w:rPr>
              <w:t xml:space="preserve"> </w:t>
            </w:r>
            <w:r>
              <w:rPr>
                <w:rFonts w:ascii="Arial"/>
              </w:rPr>
              <w:t>1</w:t>
            </w:r>
            <w:r>
              <w:rPr>
                <w:rFonts w:ascii="Arial"/>
                <w:spacing w:val="17"/>
              </w:rPr>
              <w:t xml:space="preserve"> </w:t>
            </w:r>
            <w:r>
              <w:rPr>
                <w:rFonts w:ascii="Arial"/>
                <w:spacing w:val="-2"/>
              </w:rPr>
              <w:t>of</w:t>
            </w:r>
            <w:r>
              <w:rPr>
                <w:rFonts w:ascii="Arial"/>
                <w:spacing w:val="21"/>
              </w:rPr>
              <w:t xml:space="preserve"> </w:t>
            </w:r>
            <w:r>
              <w:rPr>
                <w:rFonts w:ascii="Arial"/>
                <w:spacing w:val="-2"/>
              </w:rPr>
              <w:t>Framework</w:t>
            </w:r>
            <w:r>
              <w:rPr>
                <w:rFonts w:ascii="Arial"/>
                <w:spacing w:val="33"/>
              </w:rPr>
              <w:t xml:space="preserve"> </w:t>
            </w:r>
            <w:r>
              <w:rPr>
                <w:rFonts w:ascii="Arial"/>
                <w:spacing w:val="-1"/>
              </w:rPr>
              <w:t>Schedule</w:t>
            </w:r>
            <w:r>
              <w:rPr>
                <w:rFonts w:ascii="Arial"/>
                <w:spacing w:val="15"/>
              </w:rPr>
              <w:t xml:space="preserve"> </w:t>
            </w:r>
            <w:r>
              <w:rPr>
                <w:rFonts w:ascii="Arial"/>
              </w:rPr>
              <w:t>4</w:t>
            </w:r>
            <w:r>
              <w:rPr>
                <w:rFonts w:ascii="Arial"/>
                <w:spacing w:val="15"/>
              </w:rPr>
              <w:t xml:space="preserve"> </w:t>
            </w:r>
            <w:r>
              <w:rPr>
                <w:rFonts w:ascii="Arial"/>
                <w:spacing w:val="-1"/>
              </w:rPr>
              <w:t>(Template</w:t>
            </w:r>
            <w:r>
              <w:rPr>
                <w:rFonts w:ascii="Arial"/>
                <w:spacing w:val="12"/>
              </w:rPr>
              <w:t xml:space="preserve"> </w:t>
            </w:r>
            <w:r>
              <w:rPr>
                <w:rFonts w:ascii="Arial"/>
                <w:spacing w:val="-1"/>
              </w:rPr>
              <w:t>Order</w:t>
            </w:r>
            <w:r>
              <w:rPr>
                <w:rFonts w:ascii="Arial"/>
                <w:spacing w:val="16"/>
              </w:rPr>
              <w:t xml:space="preserve"> </w:t>
            </w:r>
            <w:r>
              <w:rPr>
                <w:rFonts w:ascii="Arial"/>
                <w:spacing w:val="-1"/>
              </w:rPr>
              <w:t>Form</w:t>
            </w:r>
            <w:r>
              <w:rPr>
                <w:rFonts w:ascii="Arial"/>
                <w:spacing w:val="16"/>
              </w:rPr>
              <w:t xml:space="preserve"> </w:t>
            </w:r>
            <w:r>
              <w:rPr>
                <w:rFonts w:ascii="Arial"/>
                <w:spacing w:val="-1"/>
              </w:rPr>
              <w:t>and</w:t>
            </w:r>
            <w:r>
              <w:rPr>
                <w:rFonts w:ascii="Arial"/>
                <w:spacing w:val="10"/>
              </w:rPr>
              <w:t xml:space="preserve"> </w:t>
            </w:r>
            <w:r>
              <w:rPr>
                <w:rFonts w:ascii="Arial"/>
                <w:spacing w:val="-1"/>
              </w:rPr>
              <w:t>Template</w:t>
            </w:r>
            <w:r>
              <w:rPr>
                <w:rFonts w:ascii="Arial"/>
                <w:spacing w:val="12"/>
              </w:rPr>
              <w:t xml:space="preserve"> </w:t>
            </w:r>
            <w:r>
              <w:rPr>
                <w:rFonts w:ascii="Arial"/>
                <w:spacing w:val="-2"/>
              </w:rPr>
              <w:t>Call</w:t>
            </w:r>
            <w:r>
              <w:rPr>
                <w:rFonts w:ascii="Arial"/>
                <w:spacing w:val="12"/>
              </w:rPr>
              <w:t xml:space="preserve"> </w:t>
            </w:r>
            <w:r>
              <w:rPr>
                <w:rFonts w:ascii="Arial"/>
                <w:spacing w:val="-1"/>
              </w:rPr>
              <w:t>Off</w:t>
            </w:r>
            <w:r>
              <w:rPr>
                <w:rFonts w:ascii="Arial"/>
                <w:spacing w:val="37"/>
              </w:rPr>
              <w:t xml:space="preserve"> </w:t>
            </w:r>
            <w:r>
              <w:rPr>
                <w:rFonts w:ascii="Arial"/>
                <w:spacing w:val="-1"/>
              </w:rPr>
              <w:t>Terms);</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"Tender"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38"/>
              </w:rPr>
              <w:t xml:space="preserve"> </w:t>
            </w:r>
            <w:r>
              <w:rPr>
                <w:rFonts w:ascii="Arial"/>
              </w:rPr>
              <w:t>the</w:t>
            </w:r>
            <w:r>
              <w:rPr>
                <w:rFonts w:ascii="Arial"/>
                <w:spacing w:val="37"/>
              </w:rPr>
              <w:t xml:space="preserve"> </w:t>
            </w:r>
            <w:r>
              <w:rPr>
                <w:rFonts w:ascii="Arial"/>
                <w:spacing w:val="-1"/>
              </w:rPr>
              <w:t>tender</w:t>
            </w:r>
            <w:r>
              <w:rPr>
                <w:rFonts w:ascii="Arial"/>
                <w:spacing w:val="39"/>
              </w:rPr>
              <w:t xml:space="preserve"> </w:t>
            </w:r>
            <w:r>
              <w:rPr>
                <w:rFonts w:ascii="Arial"/>
                <w:spacing w:val="-1"/>
              </w:rPr>
              <w:t>submitted</w:t>
            </w:r>
            <w:r>
              <w:rPr>
                <w:rFonts w:ascii="Arial"/>
                <w:spacing w:val="37"/>
              </w:rPr>
              <w:t xml:space="preserve"> </w:t>
            </w:r>
            <w:r>
              <w:rPr>
                <w:rFonts w:ascii="Arial"/>
                <w:spacing w:val="-1"/>
              </w:rPr>
              <w:t>by</w:t>
            </w:r>
            <w:r>
              <w:rPr>
                <w:rFonts w:ascii="Arial"/>
                <w:spacing w:val="35"/>
              </w:rPr>
              <w:t xml:space="preserve"> </w:t>
            </w:r>
            <w:r>
              <w:rPr>
                <w:rFonts w:ascii="Arial"/>
              </w:rPr>
              <w:t>the</w:t>
            </w:r>
            <w:r>
              <w:rPr>
                <w:rFonts w:ascii="Arial"/>
                <w:spacing w:val="37"/>
              </w:rPr>
              <w:t xml:space="preserve"> </w:t>
            </w:r>
            <w:r>
              <w:rPr>
                <w:rFonts w:ascii="Arial"/>
                <w:spacing w:val="-2"/>
              </w:rPr>
              <w:t>Supplier</w:t>
            </w:r>
            <w:r>
              <w:rPr>
                <w:rFonts w:ascii="Arial"/>
                <w:spacing w:val="42"/>
              </w:rPr>
              <w:t xml:space="preserve"> </w:t>
            </w:r>
            <w:r>
              <w:rPr>
                <w:rFonts w:ascii="Arial"/>
              </w:rPr>
              <w:t>to</w:t>
            </w:r>
            <w:r>
              <w:rPr>
                <w:rFonts w:ascii="Arial"/>
                <w:spacing w:val="37"/>
              </w:rPr>
              <w:t xml:space="preserve"> </w:t>
            </w:r>
            <w:r>
              <w:rPr>
                <w:rFonts w:ascii="Arial"/>
                <w:spacing w:val="-1"/>
              </w:rPr>
              <w:t>the</w:t>
            </w:r>
            <w:r>
              <w:rPr>
                <w:rFonts w:ascii="Arial"/>
                <w:spacing w:val="42"/>
              </w:rPr>
              <w:t xml:space="preserve"> </w:t>
            </w:r>
            <w:r>
              <w:rPr>
                <w:rFonts w:ascii="Arial"/>
                <w:spacing w:val="-1"/>
              </w:rPr>
              <w:t>Authority</w:t>
            </w:r>
            <w:r>
              <w:rPr>
                <w:rFonts w:ascii="Arial"/>
                <w:spacing w:val="46"/>
              </w:rPr>
              <w:t xml:space="preserve"> </w:t>
            </w:r>
            <w:r>
              <w:rPr>
                <w:rFonts w:ascii="Arial"/>
                <w:spacing w:val="-1"/>
              </w:rPr>
              <w:t>and</w:t>
            </w:r>
            <w:r>
              <w:rPr>
                <w:rFonts w:ascii="Arial"/>
                <w:spacing w:val="48"/>
              </w:rPr>
              <w:t xml:space="preserve"> </w:t>
            </w:r>
            <w:r>
              <w:rPr>
                <w:rFonts w:ascii="Arial"/>
                <w:spacing w:val="-2"/>
              </w:rPr>
              <w:t>annexed</w:t>
            </w:r>
            <w:r>
              <w:rPr>
                <w:rFonts w:ascii="Arial"/>
                <w:spacing w:val="48"/>
              </w:rPr>
              <w:t xml:space="preserve"> </w:t>
            </w:r>
            <w:r>
              <w:rPr>
                <w:rFonts w:ascii="Arial"/>
              </w:rPr>
              <w:t>to</w:t>
            </w:r>
            <w:r>
              <w:rPr>
                <w:rFonts w:ascii="Arial"/>
                <w:spacing w:val="48"/>
              </w:rPr>
              <w:t xml:space="preserve"> </w:t>
            </w:r>
            <w:r>
              <w:rPr>
                <w:rFonts w:ascii="Arial"/>
                <w:spacing w:val="-1"/>
              </w:rPr>
              <w:t>or</w:t>
            </w:r>
            <w:r>
              <w:rPr>
                <w:rFonts w:ascii="Arial"/>
                <w:spacing w:val="47"/>
              </w:rPr>
              <w:t xml:space="preserve"> </w:t>
            </w:r>
            <w:r>
              <w:rPr>
                <w:rFonts w:ascii="Arial"/>
                <w:spacing w:val="-1"/>
              </w:rPr>
              <w:t>referred</w:t>
            </w:r>
            <w:r>
              <w:rPr>
                <w:rFonts w:ascii="Arial"/>
                <w:spacing w:val="46"/>
              </w:rPr>
              <w:t xml:space="preserve"> </w:t>
            </w:r>
            <w:r>
              <w:rPr>
                <w:rFonts w:ascii="Arial"/>
              </w:rPr>
              <w:t>to</w:t>
            </w:r>
            <w:r>
              <w:rPr>
                <w:rFonts w:ascii="Arial"/>
                <w:spacing w:val="49"/>
              </w:rPr>
              <w:t xml:space="preserve"> </w:t>
            </w:r>
            <w:r>
              <w:rPr>
                <w:rFonts w:ascii="Arial"/>
                <w:spacing w:val="-1"/>
              </w:rPr>
              <w:t>in</w:t>
            </w:r>
            <w:r>
              <w:rPr>
                <w:rFonts w:ascii="Arial"/>
                <w:spacing w:val="38"/>
              </w:rPr>
              <w:t xml:space="preserve"> </w:t>
            </w:r>
            <w:r>
              <w:rPr>
                <w:rFonts w:ascii="Arial"/>
                <w:spacing w:val="-2"/>
              </w:rPr>
              <w:t>Framework</w:t>
            </w:r>
            <w:r>
              <w:rPr>
                <w:rFonts w:ascii="Arial"/>
                <w:spacing w:val="51"/>
              </w:rPr>
              <w:t xml:space="preserve"> </w:t>
            </w:r>
            <w:r>
              <w:rPr>
                <w:rFonts w:ascii="Arial"/>
                <w:spacing w:val="-1"/>
              </w:rPr>
              <w:t>Schedule</w:t>
            </w:r>
            <w:r>
              <w:rPr>
                <w:rFonts w:ascii="Arial"/>
                <w:spacing w:val="1"/>
              </w:rPr>
              <w:t xml:space="preserve"> </w:t>
            </w:r>
            <w:r>
              <w:rPr>
                <w:rFonts w:ascii="Arial"/>
                <w:spacing w:val="-1"/>
              </w:rPr>
              <w:t>20;</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"Tests</w:t>
            </w:r>
            <w:r>
              <w:rPr>
                <w:rFonts w:ascii="Arial"/>
                <w:b/>
                <w:spacing w:val="1"/>
              </w:rPr>
              <w:t xml:space="preserve"> </w:t>
            </w:r>
            <w:r>
              <w:rPr>
                <w:rFonts w:ascii="Arial"/>
                <w:b/>
                <w:spacing w:val="-1"/>
              </w:rPr>
              <w:t>and</w:t>
            </w:r>
            <w:r>
              <w:rPr>
                <w:rFonts w:ascii="Arial"/>
                <w:b/>
              </w:rPr>
              <w:t xml:space="preserve"> </w:t>
            </w:r>
            <w:r>
              <w:rPr>
                <w:rFonts w:ascii="Arial"/>
                <w:b/>
                <w:spacing w:val="-1"/>
              </w:rPr>
              <w:t>Testing"</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eastAsia="Arial" w:hAnsi="Arial" w:cs="Arial"/>
                <w:spacing w:val="-1"/>
              </w:rPr>
              <w:t>means</w:t>
            </w:r>
            <w:r>
              <w:rPr>
                <w:rFonts w:ascii="Arial" w:eastAsia="Arial" w:hAnsi="Arial" w:cs="Arial"/>
                <w:spacing w:val="44"/>
              </w:rPr>
              <w:t xml:space="preserve"> </w:t>
            </w:r>
            <w:r>
              <w:rPr>
                <w:rFonts w:ascii="Arial" w:eastAsia="Arial" w:hAnsi="Arial" w:cs="Arial"/>
                <w:spacing w:val="-1"/>
              </w:rPr>
              <w:t>any</w:t>
            </w:r>
            <w:r>
              <w:rPr>
                <w:rFonts w:ascii="Arial" w:eastAsia="Arial" w:hAnsi="Arial" w:cs="Arial"/>
                <w:spacing w:val="41"/>
              </w:rPr>
              <w:t xml:space="preserve"> </w:t>
            </w:r>
            <w:r>
              <w:rPr>
                <w:rFonts w:ascii="Arial" w:eastAsia="Arial" w:hAnsi="Arial" w:cs="Arial"/>
                <w:spacing w:val="-1"/>
              </w:rPr>
              <w:t>tests</w:t>
            </w:r>
            <w:r>
              <w:rPr>
                <w:rFonts w:ascii="Arial" w:eastAsia="Arial" w:hAnsi="Arial" w:cs="Arial"/>
                <w:spacing w:val="42"/>
              </w:rPr>
              <w:t xml:space="preserve"> </w:t>
            </w:r>
            <w:r>
              <w:rPr>
                <w:rFonts w:ascii="Arial" w:eastAsia="Arial" w:hAnsi="Arial" w:cs="Arial"/>
                <w:spacing w:val="-1"/>
              </w:rPr>
              <w:t>required</w:t>
            </w:r>
            <w:r>
              <w:rPr>
                <w:rFonts w:ascii="Arial" w:eastAsia="Arial" w:hAnsi="Arial" w:cs="Arial"/>
                <w:spacing w:val="43"/>
              </w:rPr>
              <w:t xml:space="preserve"> </w:t>
            </w:r>
            <w:r>
              <w:rPr>
                <w:rFonts w:ascii="Arial" w:eastAsia="Arial" w:hAnsi="Arial" w:cs="Arial"/>
              </w:rPr>
              <w:t>to</w:t>
            </w:r>
            <w:r>
              <w:rPr>
                <w:rFonts w:ascii="Arial" w:eastAsia="Arial" w:hAnsi="Arial" w:cs="Arial"/>
                <w:spacing w:val="43"/>
              </w:rPr>
              <w:t xml:space="preserve"> </w:t>
            </w:r>
            <w:r>
              <w:rPr>
                <w:rFonts w:ascii="Arial" w:eastAsia="Arial" w:hAnsi="Arial" w:cs="Arial"/>
                <w:spacing w:val="-1"/>
              </w:rPr>
              <w:t>be</w:t>
            </w:r>
            <w:r>
              <w:rPr>
                <w:rFonts w:ascii="Arial" w:eastAsia="Arial" w:hAnsi="Arial" w:cs="Arial"/>
                <w:spacing w:val="41"/>
              </w:rPr>
              <w:t xml:space="preserve"> </w:t>
            </w:r>
            <w:r>
              <w:rPr>
                <w:rFonts w:ascii="Arial" w:eastAsia="Arial" w:hAnsi="Arial" w:cs="Arial"/>
                <w:spacing w:val="-1"/>
              </w:rPr>
              <w:t>carried</w:t>
            </w:r>
            <w:r>
              <w:rPr>
                <w:rFonts w:ascii="Arial" w:eastAsia="Arial" w:hAnsi="Arial" w:cs="Arial"/>
                <w:spacing w:val="44"/>
              </w:rPr>
              <w:t xml:space="preserve"> </w:t>
            </w:r>
            <w:r>
              <w:rPr>
                <w:rFonts w:ascii="Arial" w:eastAsia="Arial" w:hAnsi="Arial" w:cs="Arial"/>
                <w:spacing w:val="-2"/>
              </w:rPr>
              <w:t>out</w:t>
            </w:r>
            <w:r>
              <w:rPr>
                <w:rFonts w:ascii="Arial" w:eastAsia="Arial" w:hAnsi="Arial" w:cs="Arial"/>
                <w:spacing w:val="45"/>
              </w:rPr>
              <w:t xml:space="preserve"> </w:t>
            </w:r>
            <w:r>
              <w:rPr>
                <w:rFonts w:ascii="Arial" w:eastAsia="Arial" w:hAnsi="Arial" w:cs="Arial"/>
                <w:spacing w:val="-1"/>
              </w:rPr>
              <w:t>pursuant</w:t>
            </w:r>
            <w:r>
              <w:rPr>
                <w:rFonts w:ascii="Arial" w:eastAsia="Arial" w:hAnsi="Arial" w:cs="Arial"/>
                <w:spacing w:val="42"/>
              </w:rPr>
              <w:t xml:space="preserve"> </w:t>
            </w:r>
            <w:r>
              <w:rPr>
                <w:rFonts w:ascii="Arial" w:eastAsia="Arial" w:hAnsi="Arial" w:cs="Arial"/>
                <w:spacing w:val="-1"/>
              </w:rPr>
              <w:t>to</w:t>
            </w:r>
            <w:r>
              <w:rPr>
                <w:rFonts w:ascii="Arial" w:eastAsia="Arial" w:hAnsi="Arial" w:cs="Arial"/>
                <w:spacing w:val="25"/>
              </w:rPr>
              <w:t xml:space="preserve"> </w:t>
            </w:r>
            <w:r>
              <w:rPr>
                <w:rFonts w:ascii="Arial" w:eastAsia="Arial" w:hAnsi="Arial" w:cs="Arial"/>
                <w:spacing w:val="-1"/>
              </w:rPr>
              <w:t>this</w:t>
            </w:r>
            <w:r>
              <w:rPr>
                <w:rFonts w:ascii="Arial" w:eastAsia="Arial" w:hAnsi="Arial" w:cs="Arial"/>
                <w:spacing w:val="9"/>
              </w:rPr>
              <w:t xml:space="preserve"> </w:t>
            </w:r>
            <w:r>
              <w:rPr>
                <w:rFonts w:ascii="Arial" w:eastAsia="Arial" w:hAnsi="Arial" w:cs="Arial"/>
                <w:spacing w:val="-2"/>
              </w:rPr>
              <w:t>Call</w:t>
            </w:r>
            <w:r>
              <w:rPr>
                <w:rFonts w:ascii="Arial" w:eastAsia="Arial" w:hAnsi="Arial" w:cs="Arial"/>
                <w:spacing w:val="8"/>
              </w:rPr>
              <w:t xml:space="preserve"> </w:t>
            </w:r>
            <w:r>
              <w:rPr>
                <w:rFonts w:ascii="Arial" w:eastAsia="Arial" w:hAnsi="Arial" w:cs="Arial"/>
              </w:rPr>
              <w:t>Off</w:t>
            </w:r>
            <w:r>
              <w:rPr>
                <w:rFonts w:ascii="Arial" w:eastAsia="Arial" w:hAnsi="Arial" w:cs="Arial"/>
                <w:spacing w:val="10"/>
              </w:rPr>
              <w:t xml:space="preserve"> </w:t>
            </w:r>
            <w:r>
              <w:rPr>
                <w:rFonts w:ascii="Arial" w:eastAsia="Arial" w:hAnsi="Arial" w:cs="Arial"/>
                <w:spacing w:val="-1"/>
              </w:rPr>
              <w:t>Contract</w:t>
            </w:r>
            <w:r>
              <w:rPr>
                <w:rFonts w:ascii="Arial" w:eastAsia="Arial" w:hAnsi="Arial" w:cs="Arial"/>
                <w:spacing w:val="8"/>
              </w:rPr>
              <w:t xml:space="preserve"> </w:t>
            </w:r>
            <w:r>
              <w:rPr>
                <w:rFonts w:ascii="Arial" w:eastAsia="Arial" w:hAnsi="Arial" w:cs="Arial"/>
                <w:spacing w:val="-1"/>
              </w:rPr>
              <w:t>as</w:t>
            </w:r>
            <w:r>
              <w:rPr>
                <w:rFonts w:ascii="Arial" w:eastAsia="Arial" w:hAnsi="Arial" w:cs="Arial"/>
                <w:spacing w:val="9"/>
              </w:rPr>
              <w:t xml:space="preserve"> </w:t>
            </w:r>
            <w:r>
              <w:rPr>
                <w:rFonts w:ascii="Arial" w:eastAsia="Arial" w:hAnsi="Arial" w:cs="Arial"/>
                <w:spacing w:val="-1"/>
              </w:rPr>
              <w:t>set</w:t>
            </w:r>
            <w:r>
              <w:rPr>
                <w:rFonts w:ascii="Arial" w:eastAsia="Arial" w:hAnsi="Arial" w:cs="Arial"/>
                <w:spacing w:val="10"/>
              </w:rPr>
              <w:t xml:space="preserve"> </w:t>
            </w:r>
            <w:r>
              <w:rPr>
                <w:rFonts w:ascii="Arial" w:eastAsia="Arial" w:hAnsi="Arial" w:cs="Arial"/>
                <w:spacing w:val="-1"/>
              </w:rPr>
              <w:t>out</w:t>
            </w:r>
            <w:r>
              <w:rPr>
                <w:rFonts w:ascii="Arial" w:eastAsia="Arial" w:hAnsi="Arial" w:cs="Arial"/>
                <w:spacing w:val="10"/>
              </w:rPr>
              <w:t xml:space="preserve"> </w:t>
            </w:r>
            <w:r>
              <w:rPr>
                <w:rFonts w:ascii="Arial" w:eastAsia="Arial" w:hAnsi="Arial" w:cs="Arial"/>
                <w:spacing w:val="-1"/>
              </w:rPr>
              <w:t>in</w:t>
            </w:r>
            <w:r>
              <w:rPr>
                <w:rFonts w:ascii="Arial" w:eastAsia="Arial" w:hAnsi="Arial" w:cs="Arial"/>
                <w:spacing w:val="9"/>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spacing w:val="-1"/>
              </w:rPr>
              <w:t>Test</w:t>
            </w:r>
            <w:r>
              <w:rPr>
                <w:rFonts w:ascii="Arial" w:eastAsia="Arial" w:hAnsi="Arial" w:cs="Arial"/>
                <w:spacing w:val="8"/>
              </w:rPr>
              <w:t xml:space="preserve"> </w:t>
            </w:r>
            <w:r>
              <w:rPr>
                <w:rFonts w:ascii="Arial" w:eastAsia="Arial" w:hAnsi="Arial" w:cs="Arial"/>
                <w:spacing w:val="-1"/>
              </w:rPr>
              <w:t>Plan</w:t>
            </w:r>
            <w:r>
              <w:rPr>
                <w:rFonts w:ascii="Arial" w:eastAsia="Arial" w:hAnsi="Arial" w:cs="Arial"/>
                <w:spacing w:val="9"/>
              </w:rPr>
              <w:t xml:space="preserve"> </w:t>
            </w:r>
            <w:r>
              <w:rPr>
                <w:rFonts w:ascii="Arial" w:eastAsia="Arial" w:hAnsi="Arial" w:cs="Arial"/>
                <w:spacing w:val="-1"/>
              </w:rPr>
              <w:t>or</w:t>
            </w:r>
            <w:r>
              <w:rPr>
                <w:rFonts w:ascii="Arial" w:eastAsia="Arial" w:hAnsi="Arial" w:cs="Arial"/>
                <w:spacing w:val="26"/>
              </w:rPr>
              <w:t xml:space="preserve"> </w:t>
            </w:r>
            <w:r>
              <w:rPr>
                <w:rFonts w:ascii="Arial" w:eastAsia="Arial" w:hAnsi="Arial" w:cs="Arial"/>
                <w:spacing w:val="-2"/>
              </w:rPr>
              <w:t>elsewhere</w:t>
            </w:r>
            <w:r>
              <w:rPr>
                <w:rFonts w:ascii="Arial" w:eastAsia="Arial" w:hAnsi="Arial" w:cs="Arial"/>
                <w:spacing w:val="24"/>
              </w:rPr>
              <w:t xml:space="preserve"> </w:t>
            </w:r>
            <w:r>
              <w:rPr>
                <w:rFonts w:ascii="Arial" w:eastAsia="Arial" w:hAnsi="Arial" w:cs="Arial"/>
                <w:spacing w:val="-1"/>
              </w:rPr>
              <w:t>in</w:t>
            </w:r>
            <w:r>
              <w:rPr>
                <w:rFonts w:ascii="Arial" w:eastAsia="Arial" w:hAnsi="Arial" w:cs="Arial"/>
                <w:spacing w:val="24"/>
              </w:rPr>
              <w:t xml:space="preserve"> </w:t>
            </w:r>
            <w:r>
              <w:rPr>
                <w:rFonts w:ascii="Arial" w:eastAsia="Arial" w:hAnsi="Arial" w:cs="Arial"/>
                <w:spacing w:val="-1"/>
              </w:rPr>
              <w:t>this</w:t>
            </w:r>
            <w:r>
              <w:rPr>
                <w:rFonts w:ascii="Arial" w:eastAsia="Arial" w:hAnsi="Arial" w:cs="Arial"/>
                <w:spacing w:val="25"/>
              </w:rPr>
              <w:t xml:space="preserve"> </w:t>
            </w:r>
            <w:r>
              <w:rPr>
                <w:rFonts w:ascii="Arial" w:eastAsia="Arial" w:hAnsi="Arial" w:cs="Arial"/>
                <w:spacing w:val="-2"/>
              </w:rPr>
              <w:t>Call</w:t>
            </w:r>
            <w:r>
              <w:rPr>
                <w:rFonts w:ascii="Arial" w:eastAsia="Arial" w:hAnsi="Arial" w:cs="Arial"/>
                <w:spacing w:val="24"/>
              </w:rPr>
              <w:t xml:space="preserve"> </w:t>
            </w:r>
            <w:r>
              <w:rPr>
                <w:rFonts w:ascii="Arial" w:eastAsia="Arial" w:hAnsi="Arial" w:cs="Arial"/>
              </w:rPr>
              <w:t>Off</w:t>
            </w:r>
            <w:r>
              <w:rPr>
                <w:rFonts w:ascii="Arial" w:eastAsia="Arial" w:hAnsi="Arial" w:cs="Arial"/>
                <w:spacing w:val="26"/>
              </w:rPr>
              <w:t xml:space="preserve"> </w:t>
            </w:r>
            <w:r>
              <w:rPr>
                <w:rFonts w:ascii="Arial" w:eastAsia="Arial" w:hAnsi="Arial" w:cs="Arial"/>
                <w:spacing w:val="-2"/>
              </w:rPr>
              <w:t>Contract</w:t>
            </w:r>
            <w:r>
              <w:rPr>
                <w:rFonts w:ascii="Arial" w:eastAsia="Arial" w:hAnsi="Arial" w:cs="Arial"/>
                <w:spacing w:val="26"/>
              </w:rPr>
              <w:t xml:space="preserve"> </w:t>
            </w:r>
            <w:r>
              <w:rPr>
                <w:rFonts w:ascii="Arial" w:eastAsia="Arial" w:hAnsi="Arial" w:cs="Arial"/>
                <w:spacing w:val="-1"/>
              </w:rPr>
              <w:t>and</w:t>
            </w:r>
            <w:r>
              <w:rPr>
                <w:rFonts w:ascii="Arial" w:eastAsia="Arial" w:hAnsi="Arial" w:cs="Arial"/>
                <w:spacing w:val="22"/>
              </w:rPr>
              <w:t xml:space="preserve"> </w:t>
            </w:r>
            <w:r>
              <w:rPr>
                <w:rFonts w:ascii="Arial" w:eastAsia="Arial" w:hAnsi="Arial" w:cs="Arial"/>
                <w:spacing w:val="-1"/>
              </w:rPr>
              <w:t>“Tested”</w:t>
            </w:r>
            <w:r>
              <w:rPr>
                <w:rFonts w:ascii="Arial" w:eastAsia="Arial" w:hAnsi="Arial" w:cs="Arial"/>
                <w:spacing w:val="23"/>
              </w:rPr>
              <w:t xml:space="preserve"> </w:t>
            </w:r>
            <w:r>
              <w:rPr>
                <w:rFonts w:ascii="Arial" w:eastAsia="Arial" w:hAnsi="Arial" w:cs="Arial"/>
                <w:spacing w:val="-1"/>
              </w:rPr>
              <w:t>shall</w:t>
            </w:r>
            <w:r>
              <w:rPr>
                <w:rFonts w:ascii="Arial" w:eastAsia="Arial" w:hAnsi="Arial" w:cs="Arial"/>
                <w:spacing w:val="24"/>
              </w:rPr>
              <w:t xml:space="preserve"> </w:t>
            </w:r>
            <w:r>
              <w:rPr>
                <w:rFonts w:ascii="Arial" w:eastAsia="Arial" w:hAnsi="Arial" w:cs="Arial"/>
                <w:spacing w:val="-1"/>
              </w:rPr>
              <w:t>be</w:t>
            </w:r>
            <w:r>
              <w:rPr>
                <w:rFonts w:ascii="Arial" w:eastAsia="Arial" w:hAnsi="Arial" w:cs="Arial"/>
                <w:spacing w:val="52"/>
              </w:rPr>
              <w:t xml:space="preserve"> </w:t>
            </w:r>
            <w:r>
              <w:rPr>
                <w:rFonts w:ascii="Arial" w:eastAsia="Arial" w:hAnsi="Arial" w:cs="Arial"/>
                <w:spacing w:val="-1"/>
              </w:rPr>
              <w:t>construed</w:t>
            </w:r>
            <w:r>
              <w:rPr>
                <w:rFonts w:ascii="Arial" w:eastAsia="Arial" w:hAnsi="Arial" w:cs="Arial"/>
                <w:spacing w:val="-2"/>
              </w:rPr>
              <w:t xml:space="preserve"> </w:t>
            </w:r>
            <w:r>
              <w:rPr>
                <w:rFonts w:ascii="Arial" w:eastAsia="Arial" w:hAnsi="Arial" w:cs="Arial"/>
                <w:spacing w:val="-1"/>
              </w:rPr>
              <w:t>accordingly;</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"Test</w:t>
            </w:r>
            <w:r>
              <w:rPr>
                <w:rFonts w:ascii="Arial"/>
                <w:b/>
                <w:spacing w:val="2"/>
              </w:rPr>
              <w:t xml:space="preserve"> </w:t>
            </w:r>
            <w:r>
              <w:rPr>
                <w:rFonts w:ascii="Arial"/>
                <w:b/>
                <w:spacing w:val="-1"/>
              </w:rPr>
              <w:t>Issue"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jc w:val="both"/>
              <w:rPr>
                <w:rFonts w:ascii="Arial" w:eastAsia="Arial" w:hAnsi="Arial" w:cs="Arial"/>
              </w:rPr>
            </w:pPr>
            <w:r>
              <w:rPr>
                <w:rFonts w:ascii="Arial"/>
                <w:spacing w:val="-1"/>
              </w:rPr>
              <w:t>means</w:t>
            </w:r>
            <w:r>
              <w:rPr>
                <w:rFonts w:ascii="Arial"/>
                <w:spacing w:val="26"/>
              </w:rPr>
              <w:t xml:space="preserve"> </w:t>
            </w:r>
            <w:r>
              <w:rPr>
                <w:rFonts w:ascii="Arial"/>
                <w:spacing w:val="-1"/>
              </w:rPr>
              <w:t>any</w:t>
            </w:r>
            <w:r>
              <w:rPr>
                <w:rFonts w:ascii="Arial"/>
                <w:spacing w:val="24"/>
              </w:rPr>
              <w:t xml:space="preserve"> </w:t>
            </w:r>
            <w:r>
              <w:rPr>
                <w:rFonts w:ascii="Arial"/>
                <w:spacing w:val="-2"/>
              </w:rPr>
              <w:t>variance</w:t>
            </w:r>
            <w:r>
              <w:rPr>
                <w:rFonts w:ascii="Arial"/>
                <w:spacing w:val="26"/>
              </w:rPr>
              <w:t xml:space="preserve"> </w:t>
            </w:r>
            <w:r>
              <w:rPr>
                <w:rFonts w:ascii="Arial"/>
                <w:spacing w:val="-1"/>
              </w:rPr>
              <w:t>or</w:t>
            </w:r>
            <w:r>
              <w:rPr>
                <w:rFonts w:ascii="Arial"/>
                <w:spacing w:val="27"/>
              </w:rPr>
              <w:t xml:space="preserve"> </w:t>
            </w:r>
            <w:r>
              <w:rPr>
                <w:rFonts w:ascii="Arial"/>
                <w:spacing w:val="-1"/>
              </w:rPr>
              <w:t>non-conformity</w:t>
            </w:r>
            <w:r>
              <w:rPr>
                <w:rFonts w:ascii="Arial"/>
                <w:spacing w:val="24"/>
              </w:rPr>
              <w:t xml:space="preserve"> </w:t>
            </w:r>
            <w:r>
              <w:rPr>
                <w:rFonts w:ascii="Arial"/>
                <w:spacing w:val="-2"/>
              </w:rPr>
              <w:t>of</w:t>
            </w:r>
            <w:r>
              <w:rPr>
                <w:rFonts w:ascii="Arial"/>
                <w:spacing w:val="27"/>
              </w:rPr>
              <w:t xml:space="preserve"> </w:t>
            </w:r>
            <w:r>
              <w:rPr>
                <w:rFonts w:ascii="Arial"/>
                <w:spacing w:val="-1"/>
              </w:rPr>
              <w:t>the</w:t>
            </w:r>
            <w:r>
              <w:rPr>
                <w:rFonts w:ascii="Arial"/>
                <w:spacing w:val="26"/>
              </w:rPr>
              <w:t xml:space="preserve"> </w:t>
            </w:r>
            <w:r>
              <w:rPr>
                <w:rFonts w:ascii="Arial"/>
                <w:spacing w:val="-1"/>
              </w:rPr>
              <w:t>Goods</w:t>
            </w:r>
            <w:r>
              <w:rPr>
                <w:rFonts w:ascii="Arial"/>
                <w:spacing w:val="40"/>
              </w:rPr>
              <w:t xml:space="preserve"> </w:t>
            </w:r>
            <w:r>
              <w:rPr>
                <w:rFonts w:ascii="Arial"/>
                <w:spacing w:val="-1"/>
              </w:rPr>
              <w:t>and/or</w:t>
            </w:r>
            <w:r>
              <w:rPr>
                <w:rFonts w:ascii="Arial"/>
                <w:spacing w:val="47"/>
              </w:rPr>
              <w:t xml:space="preserve"> </w:t>
            </w:r>
            <w:r>
              <w:rPr>
                <w:rFonts w:ascii="Arial"/>
                <w:spacing w:val="-1"/>
              </w:rPr>
              <w:t>Services</w:t>
            </w:r>
            <w:r>
              <w:rPr>
                <w:rFonts w:ascii="Arial"/>
                <w:spacing w:val="46"/>
              </w:rPr>
              <w:t xml:space="preserve"> </w:t>
            </w:r>
            <w:r>
              <w:rPr>
                <w:rFonts w:ascii="Arial"/>
                <w:spacing w:val="-1"/>
              </w:rPr>
              <w:t>or</w:t>
            </w:r>
            <w:r>
              <w:rPr>
                <w:rFonts w:ascii="Arial"/>
                <w:spacing w:val="47"/>
              </w:rPr>
              <w:t xml:space="preserve"> </w:t>
            </w:r>
            <w:r>
              <w:rPr>
                <w:rFonts w:ascii="Arial"/>
                <w:spacing w:val="-2"/>
              </w:rPr>
              <w:t>Deliverables</w:t>
            </w:r>
            <w:r>
              <w:rPr>
                <w:rFonts w:ascii="Arial"/>
                <w:spacing w:val="46"/>
              </w:rPr>
              <w:t xml:space="preserve"> </w:t>
            </w:r>
            <w:r>
              <w:rPr>
                <w:rFonts w:ascii="Arial"/>
              </w:rPr>
              <w:t>from</w:t>
            </w:r>
            <w:r>
              <w:rPr>
                <w:rFonts w:ascii="Arial"/>
                <w:spacing w:val="45"/>
              </w:rPr>
              <w:t xml:space="preserve"> </w:t>
            </w:r>
            <w:r>
              <w:rPr>
                <w:rFonts w:ascii="Arial"/>
                <w:spacing w:val="-1"/>
              </w:rPr>
              <w:t>their</w:t>
            </w:r>
            <w:r>
              <w:rPr>
                <w:rFonts w:ascii="Arial"/>
                <w:spacing w:val="47"/>
              </w:rPr>
              <w:t xml:space="preserve"> </w:t>
            </w:r>
            <w:r>
              <w:rPr>
                <w:rFonts w:ascii="Arial"/>
                <w:spacing w:val="-1"/>
              </w:rPr>
              <w:t>requirements</w:t>
            </w:r>
            <w:r>
              <w:rPr>
                <w:rFonts w:ascii="Arial"/>
                <w:spacing w:val="29"/>
              </w:rPr>
              <w:t xml:space="preserve"> </w:t>
            </w:r>
            <w:r>
              <w:rPr>
                <w:rFonts w:ascii="Arial"/>
                <w:spacing w:val="-1"/>
              </w:rPr>
              <w:t>as</w:t>
            </w:r>
            <w:r>
              <w:rPr>
                <w:rFonts w:ascii="Arial"/>
                <w:spacing w:val="1"/>
              </w:rPr>
              <w:t xml:space="preserve"> </w:t>
            </w:r>
            <w:r>
              <w:rPr>
                <w:rFonts w:ascii="Arial"/>
                <w:spacing w:val="-1"/>
              </w:rPr>
              <w:t>set</w:t>
            </w:r>
            <w:r>
              <w:rPr>
                <w:rFonts w:ascii="Arial"/>
              </w:rPr>
              <w:t xml:space="preserve"> </w:t>
            </w:r>
            <w:r>
              <w:rPr>
                <w:rFonts w:ascii="Arial"/>
                <w:spacing w:val="-2"/>
              </w:rPr>
              <w:t>out</w:t>
            </w:r>
            <w:r>
              <w:rPr>
                <w:rFonts w:ascii="Arial"/>
                <w:spacing w:val="2"/>
              </w:rPr>
              <w:t xml:space="preserve"> </w:t>
            </w:r>
            <w:r>
              <w:rPr>
                <w:rFonts w:ascii="Arial"/>
                <w:spacing w:val="-1"/>
              </w:rPr>
              <w:t>in</w:t>
            </w:r>
            <w:r>
              <w:rPr>
                <w:rFonts w:ascii="Arial"/>
                <w:spacing w:val="-2"/>
              </w:rPr>
              <w:t xml:space="preserve"> </w:t>
            </w:r>
            <w:r>
              <w:rPr>
                <w:rFonts w:ascii="Arial"/>
              </w:rPr>
              <w:t xml:space="preserve">the </w:t>
            </w:r>
            <w:r>
              <w:rPr>
                <w:rFonts w:ascii="Arial"/>
                <w:spacing w:val="-2"/>
              </w:rPr>
              <w:t>Call</w:t>
            </w:r>
            <w:r>
              <w:rPr>
                <w:rFonts w:ascii="Arial"/>
                <w:spacing w:val="-3"/>
              </w:rPr>
              <w:t xml:space="preserve"> </w:t>
            </w:r>
            <w:r>
              <w:rPr>
                <w:rFonts w:ascii="Arial"/>
                <w:spacing w:val="-1"/>
              </w:rPr>
              <w:t>Off</w:t>
            </w:r>
            <w:r>
              <w:rPr>
                <w:rFonts w:ascii="Arial"/>
              </w:rPr>
              <w:t xml:space="preserve"> </w:t>
            </w:r>
            <w:r>
              <w:rPr>
                <w:rFonts w:ascii="Arial"/>
                <w:spacing w:val="-1"/>
              </w:rPr>
              <w:t>Contract;</w:t>
            </w:r>
          </w:p>
        </w:tc>
      </w:tr>
      <w:tr w:rsidR="008918FA" w:rsidTr="005D2B81">
        <w:trPr>
          <w:trHeight w:hRule="exact" w:val="384"/>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"Test</w:t>
            </w:r>
            <w:r>
              <w:rPr>
                <w:rFonts w:ascii="Arial"/>
                <w:b/>
                <w:spacing w:val="2"/>
              </w:rPr>
              <w:t xml:space="preserve"> </w:t>
            </w:r>
            <w:r>
              <w:rPr>
                <w:rFonts w:ascii="Arial"/>
                <w:b/>
                <w:spacing w:val="-1"/>
              </w:rPr>
              <w:t>Plan"</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rPr>
              <w:t>a</w:t>
            </w:r>
            <w:r>
              <w:rPr>
                <w:rFonts w:ascii="Arial"/>
                <w:spacing w:val="-2"/>
              </w:rPr>
              <w:t xml:space="preserve"> plan</w:t>
            </w:r>
          </w:p>
        </w:tc>
      </w:tr>
    </w:tbl>
    <w:p w:rsidR="008918FA" w:rsidRDefault="008918FA" w:rsidP="008918FA">
      <w:pPr>
        <w:spacing w:line="250" w:lineRule="exact"/>
        <w:rPr>
          <w:rFonts w:ascii="Arial" w:eastAsia="Arial" w:hAnsi="Arial" w:cs="Arial"/>
        </w:rPr>
        <w:sectPr w:rsidR="008918FA">
          <w:footerReference w:type="default" r:id="rId14"/>
          <w:pgSz w:w="11910" w:h="16840"/>
          <w:pgMar w:top="1480" w:right="1040" w:bottom="1160" w:left="1680" w:header="0" w:footer="967" w:gutter="0"/>
          <w:cols w:space="720"/>
        </w:sectPr>
      </w:pPr>
    </w:p>
    <w:p w:rsidR="008918FA" w:rsidRDefault="008918FA" w:rsidP="008918FA">
      <w:pPr>
        <w:spacing w:before="9"/>
        <w:rPr>
          <w:rFonts w:ascii="Times New Roman" w:eastAsia="Times New Roman" w:hAnsi="Times New Roman" w:cs="Times New Roman"/>
          <w:sz w:val="5"/>
          <w:szCs w:val="5"/>
        </w:rPr>
      </w:pPr>
    </w:p>
    <w:tbl>
      <w:tblPr>
        <w:tblW w:w="0" w:type="auto"/>
        <w:tblInd w:w="606" w:type="dxa"/>
        <w:tblLayout w:type="fixed"/>
        <w:tblCellMar>
          <w:left w:w="0" w:type="dxa"/>
          <w:right w:w="0" w:type="dxa"/>
        </w:tblCellMar>
        <w:tblLook w:val="01E0" w:firstRow="1" w:lastRow="1" w:firstColumn="1" w:lastColumn="1" w:noHBand="0" w:noVBand="0"/>
      </w:tblPr>
      <w:tblGrid>
        <w:gridCol w:w="2410"/>
        <w:gridCol w:w="6060"/>
      </w:tblGrid>
      <w:tr w:rsidR="008918FA" w:rsidTr="005D2B81">
        <w:trPr>
          <w:trHeight w:hRule="exact" w:val="1639"/>
        </w:trPr>
        <w:tc>
          <w:tcPr>
            <w:tcW w:w="2410" w:type="dxa"/>
            <w:tcBorders>
              <w:top w:val="single" w:sz="5" w:space="0" w:color="000000"/>
              <w:left w:val="single" w:sz="5" w:space="0" w:color="000000"/>
              <w:bottom w:val="single" w:sz="7" w:space="0" w:color="000000"/>
              <w:right w:val="single" w:sz="7" w:space="0" w:color="000000"/>
            </w:tcBorders>
          </w:tcPr>
          <w:p w:rsidR="008918FA" w:rsidRDefault="008918FA" w:rsidP="005D2B81"/>
        </w:tc>
        <w:tc>
          <w:tcPr>
            <w:tcW w:w="6060" w:type="dxa"/>
            <w:tcBorders>
              <w:top w:val="single" w:sz="5" w:space="0" w:color="000000"/>
              <w:left w:val="single" w:sz="7" w:space="0" w:color="000000"/>
              <w:bottom w:val="single" w:sz="7" w:space="0" w:color="000000"/>
              <w:right w:val="single" w:sz="5" w:space="0" w:color="000000"/>
            </w:tcBorders>
          </w:tcPr>
          <w:p w:rsidR="008918FA" w:rsidRDefault="008918FA" w:rsidP="005D2B81">
            <w:pPr>
              <w:pStyle w:val="ListParagraph"/>
              <w:numPr>
                <w:ilvl w:val="0"/>
                <w:numId w:val="32"/>
              </w:numPr>
              <w:tabs>
                <w:tab w:val="left" w:pos="820"/>
              </w:tabs>
              <w:spacing w:line="250" w:lineRule="exact"/>
              <w:ind w:hanging="544"/>
              <w:rPr>
                <w:rFonts w:ascii="Arial" w:eastAsia="Arial" w:hAnsi="Arial" w:cs="Arial"/>
              </w:rPr>
            </w:pPr>
            <w:r>
              <w:rPr>
                <w:rFonts w:ascii="Arial"/>
              </w:rPr>
              <w:t>for</w:t>
            </w:r>
            <w:r>
              <w:rPr>
                <w:rFonts w:ascii="Arial"/>
                <w:spacing w:val="-1"/>
              </w:rPr>
              <w:t xml:space="preserve"> </w:t>
            </w:r>
            <w:r>
              <w:rPr>
                <w:rFonts w:ascii="Arial"/>
              </w:rPr>
              <w:t>the</w:t>
            </w:r>
            <w:r>
              <w:rPr>
                <w:rFonts w:ascii="Arial"/>
                <w:spacing w:val="-4"/>
              </w:rPr>
              <w:t xml:space="preserve"> </w:t>
            </w:r>
            <w:r>
              <w:rPr>
                <w:rFonts w:ascii="Arial"/>
                <w:spacing w:val="-1"/>
              </w:rPr>
              <w:t>Testing</w:t>
            </w:r>
            <w:r>
              <w:rPr>
                <w:rFonts w:ascii="Arial"/>
              </w:rPr>
              <w:t xml:space="preserve"> </w:t>
            </w:r>
            <w:r>
              <w:rPr>
                <w:rFonts w:ascii="Arial"/>
                <w:spacing w:val="-2"/>
              </w:rPr>
              <w:t>of</w:t>
            </w:r>
            <w:r>
              <w:rPr>
                <w:rFonts w:ascii="Arial"/>
                <w:spacing w:val="2"/>
              </w:rPr>
              <w:t xml:space="preserve"> </w:t>
            </w:r>
            <w:r>
              <w:rPr>
                <w:rFonts w:ascii="Arial"/>
              </w:rPr>
              <w:t>the</w:t>
            </w:r>
            <w:r>
              <w:rPr>
                <w:rFonts w:ascii="Arial"/>
                <w:spacing w:val="-2"/>
              </w:rPr>
              <w:t xml:space="preserve"> Deliverables;</w:t>
            </w:r>
            <w:r>
              <w:rPr>
                <w:rFonts w:ascii="Arial"/>
                <w:spacing w:val="2"/>
              </w:rPr>
              <w:t xml:space="preserve"> </w:t>
            </w:r>
            <w:r>
              <w:rPr>
                <w:rFonts w:ascii="Arial"/>
                <w:spacing w:val="-1"/>
              </w:rPr>
              <w:t>and</w:t>
            </w:r>
          </w:p>
          <w:p w:rsidR="008918FA" w:rsidRDefault="008918FA" w:rsidP="005D2B81">
            <w:pPr>
              <w:pStyle w:val="ListParagraph"/>
              <w:numPr>
                <w:ilvl w:val="0"/>
                <w:numId w:val="32"/>
              </w:numPr>
              <w:tabs>
                <w:tab w:val="left" w:pos="820"/>
              </w:tabs>
              <w:spacing w:before="121"/>
              <w:ind w:right="101" w:hanging="544"/>
              <w:rPr>
                <w:rFonts w:ascii="Arial" w:eastAsia="Arial" w:hAnsi="Arial" w:cs="Arial"/>
              </w:rPr>
            </w:pPr>
            <w:r>
              <w:rPr>
                <w:rFonts w:ascii="Arial"/>
                <w:spacing w:val="-1"/>
              </w:rPr>
              <w:t>setting</w:t>
            </w:r>
            <w:r>
              <w:rPr>
                <w:rFonts w:ascii="Arial"/>
              </w:rPr>
              <w:t xml:space="preserve"> </w:t>
            </w:r>
            <w:r>
              <w:rPr>
                <w:rFonts w:ascii="Arial"/>
                <w:spacing w:val="45"/>
              </w:rPr>
              <w:t xml:space="preserve"> </w:t>
            </w:r>
            <w:r>
              <w:rPr>
                <w:rFonts w:ascii="Arial"/>
                <w:spacing w:val="-1"/>
              </w:rPr>
              <w:t>out</w:t>
            </w:r>
            <w:r>
              <w:rPr>
                <w:rFonts w:ascii="Arial"/>
              </w:rPr>
              <w:t xml:space="preserve"> </w:t>
            </w:r>
            <w:r>
              <w:rPr>
                <w:rFonts w:ascii="Arial"/>
                <w:spacing w:val="44"/>
              </w:rPr>
              <w:t xml:space="preserve"> </w:t>
            </w:r>
            <w:r>
              <w:rPr>
                <w:rFonts w:ascii="Arial"/>
                <w:spacing w:val="-1"/>
              </w:rPr>
              <w:t>other</w:t>
            </w:r>
            <w:r>
              <w:rPr>
                <w:rFonts w:ascii="Arial"/>
              </w:rPr>
              <w:t xml:space="preserve"> </w:t>
            </w:r>
            <w:r>
              <w:rPr>
                <w:rFonts w:ascii="Arial"/>
                <w:spacing w:val="44"/>
              </w:rPr>
              <w:t xml:space="preserve"> </w:t>
            </w:r>
            <w:r>
              <w:rPr>
                <w:rFonts w:ascii="Arial"/>
                <w:spacing w:val="-2"/>
              </w:rPr>
              <w:t>agreed</w:t>
            </w:r>
            <w:r>
              <w:rPr>
                <w:rFonts w:ascii="Arial"/>
              </w:rPr>
              <w:t xml:space="preserve"> </w:t>
            </w:r>
            <w:r>
              <w:rPr>
                <w:rFonts w:ascii="Arial"/>
                <w:spacing w:val="42"/>
              </w:rPr>
              <w:t xml:space="preserve"> </w:t>
            </w:r>
            <w:r>
              <w:rPr>
                <w:rFonts w:ascii="Arial"/>
                <w:spacing w:val="-1"/>
              </w:rPr>
              <w:t>criteria</w:t>
            </w:r>
            <w:r>
              <w:rPr>
                <w:rFonts w:ascii="Arial"/>
              </w:rPr>
              <w:t xml:space="preserve"> </w:t>
            </w:r>
            <w:r>
              <w:rPr>
                <w:rFonts w:ascii="Arial"/>
                <w:spacing w:val="42"/>
              </w:rPr>
              <w:t xml:space="preserve"> </w:t>
            </w:r>
            <w:r>
              <w:rPr>
                <w:rFonts w:ascii="Arial"/>
                <w:spacing w:val="-1"/>
              </w:rPr>
              <w:t>related</w:t>
            </w:r>
            <w:r>
              <w:rPr>
                <w:rFonts w:ascii="Arial"/>
              </w:rPr>
              <w:t xml:space="preserve"> </w:t>
            </w:r>
            <w:r>
              <w:rPr>
                <w:rFonts w:ascii="Arial"/>
                <w:spacing w:val="40"/>
              </w:rPr>
              <w:t xml:space="preserve"> </w:t>
            </w:r>
            <w:r>
              <w:rPr>
                <w:rFonts w:ascii="Arial"/>
              </w:rPr>
              <w:t xml:space="preserve">to </w:t>
            </w:r>
            <w:r>
              <w:rPr>
                <w:rFonts w:ascii="Arial"/>
                <w:spacing w:val="41"/>
              </w:rPr>
              <w:t xml:space="preserve"> </w:t>
            </w:r>
            <w:r>
              <w:rPr>
                <w:rFonts w:ascii="Arial"/>
                <w:spacing w:val="-1"/>
              </w:rPr>
              <w:t>the</w:t>
            </w:r>
            <w:r>
              <w:rPr>
                <w:rFonts w:ascii="Arial"/>
                <w:spacing w:val="38"/>
              </w:rPr>
              <w:t xml:space="preserve"> </w:t>
            </w:r>
            <w:r>
              <w:rPr>
                <w:rFonts w:ascii="Arial"/>
                <w:spacing w:val="-1"/>
              </w:rPr>
              <w:t>achievement</w:t>
            </w:r>
            <w:r>
              <w:rPr>
                <w:rFonts w:ascii="Arial"/>
                <w:spacing w:val="2"/>
              </w:rPr>
              <w:t xml:space="preserve"> </w:t>
            </w:r>
            <w:r>
              <w:rPr>
                <w:rFonts w:ascii="Arial"/>
                <w:spacing w:val="-2"/>
              </w:rPr>
              <w:t>of</w:t>
            </w:r>
            <w:r>
              <w:rPr>
                <w:rFonts w:ascii="Arial"/>
                <w:spacing w:val="2"/>
              </w:rPr>
              <w:t xml:space="preserve"> </w:t>
            </w:r>
            <w:r>
              <w:rPr>
                <w:rFonts w:ascii="Arial"/>
                <w:spacing w:val="-1"/>
              </w:rPr>
              <w:t>Milestones,</w:t>
            </w:r>
          </w:p>
          <w:p w:rsidR="008918FA" w:rsidRDefault="008918FA" w:rsidP="005D2B81">
            <w:pPr>
              <w:pStyle w:val="TableParagraph"/>
              <w:spacing w:before="119"/>
              <w:ind w:left="270" w:right="102"/>
              <w:rPr>
                <w:rFonts w:ascii="Arial" w:eastAsia="Arial" w:hAnsi="Arial" w:cs="Arial"/>
              </w:rPr>
            </w:pPr>
            <w:r>
              <w:rPr>
                <w:rFonts w:ascii="Arial"/>
                <w:spacing w:val="-1"/>
              </w:rPr>
              <w:t>as</w:t>
            </w:r>
            <w:r>
              <w:rPr>
                <w:rFonts w:ascii="Arial"/>
                <w:spacing w:val="15"/>
              </w:rPr>
              <w:t xml:space="preserve"> </w:t>
            </w:r>
            <w:r>
              <w:rPr>
                <w:rFonts w:ascii="Arial"/>
                <w:spacing w:val="-1"/>
              </w:rPr>
              <w:t>described</w:t>
            </w:r>
            <w:r>
              <w:rPr>
                <w:rFonts w:ascii="Arial"/>
                <w:spacing w:val="12"/>
              </w:rPr>
              <w:t xml:space="preserve"> </w:t>
            </w:r>
            <w:r>
              <w:rPr>
                <w:rFonts w:ascii="Arial"/>
                <w:spacing w:val="-1"/>
              </w:rPr>
              <w:t>further</w:t>
            </w:r>
            <w:r>
              <w:rPr>
                <w:rFonts w:ascii="Arial"/>
                <w:spacing w:val="16"/>
              </w:rPr>
              <w:t xml:space="preserve"> </w:t>
            </w:r>
            <w:r>
              <w:rPr>
                <w:rFonts w:ascii="Arial"/>
                <w:spacing w:val="-1"/>
              </w:rPr>
              <w:t>in</w:t>
            </w:r>
            <w:r>
              <w:rPr>
                <w:rFonts w:ascii="Arial"/>
                <w:spacing w:val="15"/>
              </w:rPr>
              <w:t xml:space="preserve"> </w:t>
            </w:r>
            <w:r>
              <w:rPr>
                <w:rFonts w:ascii="Arial"/>
                <w:spacing w:val="-1"/>
              </w:rPr>
              <w:t>paragraph</w:t>
            </w:r>
            <w:r>
              <w:rPr>
                <w:rFonts w:ascii="Arial"/>
                <w:spacing w:val="15"/>
              </w:rPr>
              <w:t xml:space="preserve"> </w:t>
            </w:r>
            <w:r>
              <w:rPr>
                <w:rFonts w:ascii="Arial"/>
              </w:rPr>
              <w:t>4</w:t>
            </w:r>
            <w:r>
              <w:rPr>
                <w:rFonts w:ascii="Arial"/>
                <w:spacing w:val="15"/>
              </w:rPr>
              <w:t xml:space="preserve"> </w:t>
            </w:r>
            <w:r>
              <w:rPr>
                <w:rFonts w:ascii="Arial"/>
                <w:spacing w:val="-2"/>
              </w:rPr>
              <w:t>of</w:t>
            </w:r>
            <w:r>
              <w:rPr>
                <w:rFonts w:ascii="Arial"/>
                <w:spacing w:val="19"/>
              </w:rPr>
              <w:t xml:space="preserve"> </w:t>
            </w:r>
            <w:r>
              <w:rPr>
                <w:rFonts w:ascii="Arial"/>
                <w:spacing w:val="-2"/>
              </w:rPr>
              <w:t>Call</w:t>
            </w:r>
            <w:r>
              <w:rPr>
                <w:rFonts w:ascii="Arial"/>
                <w:spacing w:val="14"/>
              </w:rPr>
              <w:t xml:space="preserve"> </w:t>
            </w:r>
            <w:r>
              <w:rPr>
                <w:rFonts w:ascii="Arial"/>
                <w:spacing w:val="-2"/>
              </w:rPr>
              <w:t>of</w:t>
            </w:r>
            <w:r>
              <w:rPr>
                <w:rFonts w:ascii="Arial"/>
                <w:spacing w:val="19"/>
              </w:rPr>
              <w:t xml:space="preserve"> </w:t>
            </w:r>
            <w:r>
              <w:rPr>
                <w:rFonts w:ascii="Arial"/>
                <w:spacing w:val="-2"/>
              </w:rPr>
              <w:t>Schedule</w:t>
            </w:r>
            <w:r>
              <w:rPr>
                <w:rFonts w:ascii="Arial"/>
                <w:spacing w:val="15"/>
              </w:rPr>
              <w:t xml:space="preserve"> </w:t>
            </w:r>
            <w:r>
              <w:rPr>
                <w:rFonts w:ascii="Arial"/>
              </w:rPr>
              <w:t>5</w:t>
            </w:r>
            <w:r>
              <w:rPr>
                <w:rFonts w:ascii="Arial"/>
                <w:spacing w:val="45"/>
              </w:rPr>
              <w:t xml:space="preserve"> </w:t>
            </w:r>
            <w:r>
              <w:rPr>
                <w:rFonts w:ascii="Arial"/>
                <w:spacing w:val="-1"/>
              </w:rPr>
              <w:t>(Testing);</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"Test</w:t>
            </w:r>
            <w:r>
              <w:rPr>
                <w:rFonts w:ascii="Arial"/>
                <w:b/>
                <w:spacing w:val="2"/>
              </w:rPr>
              <w:t xml:space="preserve"> </w:t>
            </w:r>
            <w:r>
              <w:rPr>
                <w:rFonts w:ascii="Arial"/>
                <w:b/>
                <w:spacing w:val="-2"/>
              </w:rPr>
              <w:t>Strategy"</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1"/>
              <w:rPr>
                <w:rFonts w:ascii="Arial" w:eastAsia="Arial" w:hAnsi="Arial" w:cs="Arial"/>
              </w:rPr>
            </w:pPr>
            <w:r>
              <w:rPr>
                <w:rFonts w:ascii="Arial"/>
                <w:spacing w:val="-1"/>
              </w:rPr>
              <w:t>means</w:t>
            </w:r>
            <w:r>
              <w:rPr>
                <w:rFonts w:ascii="Arial"/>
                <w:spacing w:val="15"/>
              </w:rPr>
              <w:t xml:space="preserve"> </w:t>
            </w:r>
            <w:r>
              <w:rPr>
                <w:rFonts w:ascii="Arial"/>
              </w:rPr>
              <w:t>a</w:t>
            </w:r>
            <w:r>
              <w:rPr>
                <w:rFonts w:ascii="Arial"/>
                <w:spacing w:val="12"/>
              </w:rPr>
              <w:t xml:space="preserve"> </w:t>
            </w:r>
            <w:r>
              <w:rPr>
                <w:rFonts w:ascii="Arial"/>
                <w:spacing w:val="-1"/>
              </w:rPr>
              <w:t>strategy</w:t>
            </w:r>
            <w:r>
              <w:rPr>
                <w:rFonts w:ascii="Arial"/>
                <w:spacing w:val="10"/>
              </w:rPr>
              <w:t xml:space="preserve"> </w:t>
            </w:r>
            <w:r>
              <w:rPr>
                <w:rFonts w:ascii="Arial"/>
              </w:rPr>
              <w:t>for</w:t>
            </w:r>
            <w:r>
              <w:rPr>
                <w:rFonts w:ascii="Arial"/>
                <w:spacing w:val="14"/>
              </w:rPr>
              <w:t xml:space="preserve"> </w:t>
            </w:r>
            <w:r>
              <w:rPr>
                <w:rFonts w:ascii="Arial"/>
              </w:rPr>
              <w:t>the</w:t>
            </w:r>
            <w:r>
              <w:rPr>
                <w:rFonts w:ascii="Arial"/>
                <w:spacing w:val="12"/>
              </w:rPr>
              <w:t xml:space="preserve"> </w:t>
            </w:r>
            <w:r>
              <w:rPr>
                <w:rFonts w:ascii="Arial"/>
                <w:spacing w:val="-1"/>
              </w:rPr>
              <w:t>conduct</w:t>
            </w:r>
            <w:r>
              <w:rPr>
                <w:rFonts w:ascii="Arial"/>
                <w:spacing w:val="14"/>
              </w:rPr>
              <w:t xml:space="preserve"> </w:t>
            </w:r>
            <w:r>
              <w:rPr>
                <w:rFonts w:ascii="Arial"/>
                <w:spacing w:val="-2"/>
              </w:rPr>
              <w:t>of</w:t>
            </w:r>
            <w:r>
              <w:rPr>
                <w:rFonts w:ascii="Arial"/>
                <w:spacing w:val="16"/>
              </w:rPr>
              <w:t xml:space="preserve"> </w:t>
            </w:r>
            <w:r>
              <w:rPr>
                <w:rFonts w:ascii="Arial"/>
                <w:spacing w:val="-1"/>
              </w:rPr>
              <w:t>Testing</w:t>
            </w:r>
            <w:r>
              <w:rPr>
                <w:rFonts w:ascii="Arial"/>
                <w:spacing w:val="17"/>
              </w:rPr>
              <w:t xml:space="preserve"> </w:t>
            </w:r>
            <w:r>
              <w:rPr>
                <w:rFonts w:ascii="Arial"/>
                <w:spacing w:val="-1"/>
              </w:rPr>
              <w:t>as</w:t>
            </w:r>
            <w:r>
              <w:rPr>
                <w:rFonts w:ascii="Arial"/>
                <w:spacing w:val="13"/>
              </w:rPr>
              <w:t xml:space="preserve"> </w:t>
            </w:r>
            <w:r>
              <w:rPr>
                <w:rFonts w:ascii="Arial"/>
                <w:spacing w:val="-2"/>
              </w:rPr>
              <w:t>described</w:t>
            </w:r>
            <w:r>
              <w:rPr>
                <w:rFonts w:ascii="Arial"/>
                <w:spacing w:val="40"/>
              </w:rPr>
              <w:t xml:space="preserve"> </w:t>
            </w:r>
            <w:r>
              <w:rPr>
                <w:rFonts w:ascii="Arial"/>
                <w:spacing w:val="-1"/>
              </w:rPr>
              <w:t>further in</w:t>
            </w:r>
            <w:r>
              <w:rPr>
                <w:rFonts w:ascii="Arial"/>
              </w:rPr>
              <w:t xml:space="preserve"> </w:t>
            </w:r>
            <w:r>
              <w:rPr>
                <w:rFonts w:ascii="Arial"/>
                <w:spacing w:val="-1"/>
              </w:rPr>
              <w:t>paragraph</w:t>
            </w:r>
            <w:r>
              <w:rPr>
                <w:rFonts w:ascii="Arial"/>
              </w:rPr>
              <w:t xml:space="preserve"> 3</w:t>
            </w:r>
            <w:r>
              <w:rPr>
                <w:rFonts w:ascii="Arial"/>
                <w:spacing w:val="-2"/>
              </w:rPr>
              <w:t xml:space="preserve"> of</w:t>
            </w:r>
            <w:r>
              <w:rPr>
                <w:rFonts w:ascii="Arial"/>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Schedule</w:t>
            </w:r>
            <w:r>
              <w:rPr>
                <w:rFonts w:ascii="Arial"/>
              </w:rPr>
              <w:t xml:space="preserve"> 5</w:t>
            </w:r>
            <w:r>
              <w:rPr>
                <w:rFonts w:ascii="Arial"/>
                <w:spacing w:val="-2"/>
              </w:rPr>
              <w:t xml:space="preserve"> </w:t>
            </w:r>
            <w:r>
              <w:rPr>
                <w:rFonts w:ascii="Arial"/>
                <w:spacing w:val="-1"/>
              </w:rPr>
              <w:t>(Testing);</w:t>
            </w:r>
          </w:p>
        </w:tc>
      </w:tr>
      <w:tr w:rsidR="008918FA" w:rsidTr="005D2B81">
        <w:trPr>
          <w:trHeight w:hRule="exact" w:val="1402"/>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"Termination</w:t>
            </w:r>
            <w:r>
              <w:rPr>
                <w:rFonts w:ascii="Arial"/>
                <w:b/>
              </w:rPr>
              <w:t xml:space="preserve"> </w:t>
            </w:r>
            <w:r>
              <w:rPr>
                <w:rFonts w:ascii="Arial"/>
                <w:b/>
                <w:spacing w:val="-2"/>
              </w:rPr>
              <w:t>Notice"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6"/>
              <w:jc w:val="both"/>
              <w:rPr>
                <w:rFonts w:ascii="Arial" w:eastAsia="Arial" w:hAnsi="Arial" w:cs="Arial"/>
              </w:rPr>
            </w:pPr>
            <w:r>
              <w:rPr>
                <w:rFonts w:ascii="Arial"/>
                <w:spacing w:val="-1"/>
              </w:rPr>
              <w:t>means</w:t>
            </w:r>
            <w:r>
              <w:rPr>
                <w:rFonts w:ascii="Arial"/>
                <w:spacing w:val="22"/>
              </w:rPr>
              <w:t xml:space="preserve"> </w:t>
            </w:r>
            <w:r>
              <w:rPr>
                <w:rFonts w:ascii="Arial"/>
              </w:rPr>
              <w:t>a</w:t>
            </w:r>
            <w:r>
              <w:rPr>
                <w:rFonts w:ascii="Arial"/>
                <w:spacing w:val="20"/>
              </w:rPr>
              <w:t xml:space="preserve"> </w:t>
            </w:r>
            <w:r>
              <w:rPr>
                <w:rFonts w:ascii="Arial"/>
                <w:spacing w:val="-1"/>
              </w:rPr>
              <w:t>written</w:t>
            </w:r>
            <w:r>
              <w:rPr>
                <w:rFonts w:ascii="Arial"/>
                <w:spacing w:val="22"/>
              </w:rPr>
              <w:t xml:space="preserve"> </w:t>
            </w:r>
            <w:r>
              <w:rPr>
                <w:rFonts w:ascii="Arial"/>
                <w:spacing w:val="-1"/>
              </w:rPr>
              <w:t>notice</w:t>
            </w:r>
            <w:r>
              <w:rPr>
                <w:rFonts w:ascii="Arial"/>
                <w:spacing w:val="20"/>
              </w:rPr>
              <w:t xml:space="preserve"> </w:t>
            </w:r>
            <w:r>
              <w:rPr>
                <w:rFonts w:ascii="Arial"/>
                <w:spacing w:val="-2"/>
              </w:rPr>
              <w:t>of</w:t>
            </w:r>
            <w:r>
              <w:rPr>
                <w:rFonts w:ascii="Arial"/>
                <w:spacing w:val="23"/>
              </w:rPr>
              <w:t xml:space="preserve"> </w:t>
            </w:r>
            <w:r>
              <w:rPr>
                <w:rFonts w:ascii="Arial"/>
                <w:spacing w:val="-1"/>
              </w:rPr>
              <w:t>termination</w:t>
            </w:r>
            <w:r>
              <w:rPr>
                <w:rFonts w:ascii="Arial"/>
                <w:spacing w:val="20"/>
              </w:rPr>
              <w:t xml:space="preserve"> </w:t>
            </w:r>
            <w:r>
              <w:rPr>
                <w:rFonts w:ascii="Arial"/>
                <w:spacing w:val="-1"/>
              </w:rPr>
              <w:t>given</w:t>
            </w:r>
            <w:r>
              <w:rPr>
                <w:rFonts w:ascii="Arial"/>
                <w:spacing w:val="22"/>
              </w:rPr>
              <w:t xml:space="preserve"> </w:t>
            </w:r>
            <w:r>
              <w:rPr>
                <w:rFonts w:ascii="Arial"/>
                <w:spacing w:val="-1"/>
              </w:rPr>
              <w:t>by</w:t>
            </w:r>
            <w:r>
              <w:rPr>
                <w:rFonts w:ascii="Arial"/>
                <w:spacing w:val="20"/>
              </w:rPr>
              <w:t xml:space="preserve"> </w:t>
            </w:r>
            <w:r>
              <w:rPr>
                <w:rFonts w:ascii="Arial"/>
                <w:spacing w:val="-1"/>
              </w:rPr>
              <w:t>one</w:t>
            </w:r>
            <w:r>
              <w:rPr>
                <w:rFonts w:ascii="Arial"/>
                <w:spacing w:val="22"/>
              </w:rPr>
              <w:t xml:space="preserve"> </w:t>
            </w:r>
            <w:r>
              <w:rPr>
                <w:rFonts w:ascii="Arial"/>
                <w:spacing w:val="-1"/>
              </w:rPr>
              <w:t>Party</w:t>
            </w:r>
            <w:r>
              <w:rPr>
                <w:rFonts w:ascii="Arial"/>
                <w:spacing w:val="35"/>
              </w:rPr>
              <w:t xml:space="preserve"> </w:t>
            </w:r>
            <w:r>
              <w:rPr>
                <w:rFonts w:ascii="Arial"/>
              </w:rPr>
              <w:t>to</w:t>
            </w:r>
            <w:r>
              <w:rPr>
                <w:rFonts w:ascii="Arial"/>
                <w:spacing w:val="10"/>
              </w:rPr>
              <w:t xml:space="preserve"> </w:t>
            </w:r>
            <w:r>
              <w:rPr>
                <w:rFonts w:ascii="Arial"/>
              </w:rPr>
              <w:t>the</w:t>
            </w:r>
            <w:r>
              <w:rPr>
                <w:rFonts w:ascii="Arial"/>
                <w:spacing w:val="10"/>
              </w:rPr>
              <w:t xml:space="preserve"> </w:t>
            </w:r>
            <w:r>
              <w:rPr>
                <w:rFonts w:ascii="Arial"/>
                <w:spacing w:val="-1"/>
              </w:rPr>
              <w:t>other,</w:t>
            </w:r>
            <w:r>
              <w:rPr>
                <w:rFonts w:ascii="Arial"/>
                <w:spacing w:val="11"/>
              </w:rPr>
              <w:t xml:space="preserve"> </w:t>
            </w:r>
            <w:r>
              <w:rPr>
                <w:rFonts w:ascii="Arial"/>
                <w:spacing w:val="-1"/>
              </w:rPr>
              <w:t>notifying</w:t>
            </w:r>
            <w:r>
              <w:rPr>
                <w:rFonts w:ascii="Arial"/>
                <w:spacing w:val="10"/>
              </w:rPr>
              <w:t xml:space="preserve"> </w:t>
            </w:r>
            <w:r>
              <w:rPr>
                <w:rFonts w:ascii="Arial"/>
                <w:spacing w:val="-1"/>
              </w:rPr>
              <w:t>the</w:t>
            </w:r>
            <w:r>
              <w:rPr>
                <w:rFonts w:ascii="Arial"/>
                <w:spacing w:val="10"/>
              </w:rPr>
              <w:t xml:space="preserve"> </w:t>
            </w:r>
            <w:r>
              <w:rPr>
                <w:rFonts w:ascii="Arial"/>
                <w:spacing w:val="-1"/>
              </w:rPr>
              <w:t>Party</w:t>
            </w:r>
            <w:r>
              <w:rPr>
                <w:rFonts w:ascii="Arial"/>
                <w:spacing w:val="8"/>
              </w:rPr>
              <w:t xml:space="preserve"> </w:t>
            </w:r>
            <w:r>
              <w:rPr>
                <w:rFonts w:ascii="Arial"/>
                <w:spacing w:val="-2"/>
              </w:rPr>
              <w:t>receiving</w:t>
            </w:r>
            <w:r>
              <w:rPr>
                <w:rFonts w:ascii="Arial"/>
                <w:spacing w:val="12"/>
              </w:rPr>
              <w:t xml:space="preserve"> </w:t>
            </w:r>
            <w:r>
              <w:rPr>
                <w:rFonts w:ascii="Arial"/>
              </w:rPr>
              <w:t>the</w:t>
            </w:r>
            <w:r>
              <w:rPr>
                <w:rFonts w:ascii="Arial"/>
                <w:spacing w:val="10"/>
              </w:rPr>
              <w:t xml:space="preserve"> </w:t>
            </w:r>
            <w:r>
              <w:rPr>
                <w:rFonts w:ascii="Arial"/>
                <w:spacing w:val="-2"/>
              </w:rPr>
              <w:t>notice</w:t>
            </w:r>
            <w:r>
              <w:rPr>
                <w:rFonts w:ascii="Arial"/>
                <w:spacing w:val="10"/>
              </w:rPr>
              <w:t xml:space="preserve"> </w:t>
            </w:r>
            <w:r>
              <w:rPr>
                <w:rFonts w:ascii="Arial"/>
                <w:spacing w:val="-1"/>
              </w:rPr>
              <w:t>of</w:t>
            </w:r>
            <w:r>
              <w:rPr>
                <w:rFonts w:ascii="Arial"/>
                <w:spacing w:val="11"/>
              </w:rPr>
              <w:t xml:space="preserve"> </w:t>
            </w:r>
            <w:r>
              <w:rPr>
                <w:rFonts w:ascii="Arial"/>
                <w:spacing w:val="-1"/>
              </w:rPr>
              <w:t>the</w:t>
            </w:r>
            <w:r>
              <w:rPr>
                <w:rFonts w:ascii="Arial"/>
                <w:spacing w:val="46"/>
              </w:rPr>
              <w:t xml:space="preserve"> </w:t>
            </w:r>
            <w:r>
              <w:rPr>
                <w:rFonts w:ascii="Arial"/>
                <w:spacing w:val="-1"/>
              </w:rPr>
              <w:t>intention</w:t>
            </w:r>
            <w:r>
              <w:rPr>
                <w:rFonts w:ascii="Arial"/>
                <w:spacing w:val="41"/>
              </w:rPr>
              <w:t xml:space="preserve"> </w:t>
            </w:r>
            <w:r>
              <w:rPr>
                <w:rFonts w:ascii="Arial"/>
                <w:spacing w:val="-2"/>
              </w:rPr>
              <w:t>of</w:t>
            </w:r>
            <w:r>
              <w:rPr>
                <w:rFonts w:ascii="Arial"/>
                <w:spacing w:val="45"/>
              </w:rPr>
              <w:t xml:space="preserve"> </w:t>
            </w:r>
            <w:r>
              <w:rPr>
                <w:rFonts w:ascii="Arial"/>
              </w:rPr>
              <w:t>the</w:t>
            </w:r>
            <w:r>
              <w:rPr>
                <w:rFonts w:ascii="Arial"/>
                <w:spacing w:val="41"/>
              </w:rPr>
              <w:t xml:space="preserve"> </w:t>
            </w:r>
            <w:r>
              <w:rPr>
                <w:rFonts w:ascii="Arial"/>
                <w:spacing w:val="-1"/>
              </w:rPr>
              <w:t>Party</w:t>
            </w:r>
            <w:r>
              <w:rPr>
                <w:rFonts w:ascii="Arial"/>
                <w:spacing w:val="36"/>
              </w:rPr>
              <w:t xml:space="preserve"> </w:t>
            </w:r>
            <w:r>
              <w:rPr>
                <w:rFonts w:ascii="Arial"/>
                <w:spacing w:val="-1"/>
              </w:rPr>
              <w:t>giving</w:t>
            </w:r>
            <w:r>
              <w:rPr>
                <w:rFonts w:ascii="Arial"/>
                <w:spacing w:val="43"/>
              </w:rPr>
              <w:t xml:space="preserve"> </w:t>
            </w:r>
            <w:r>
              <w:rPr>
                <w:rFonts w:ascii="Arial"/>
              </w:rPr>
              <w:t>the</w:t>
            </w:r>
            <w:r>
              <w:rPr>
                <w:rFonts w:ascii="Arial"/>
                <w:spacing w:val="41"/>
              </w:rPr>
              <w:t xml:space="preserve"> </w:t>
            </w:r>
            <w:r>
              <w:rPr>
                <w:rFonts w:ascii="Arial"/>
                <w:spacing w:val="-1"/>
              </w:rPr>
              <w:t>notice</w:t>
            </w:r>
            <w:r>
              <w:rPr>
                <w:rFonts w:ascii="Arial"/>
                <w:spacing w:val="42"/>
              </w:rPr>
              <w:t xml:space="preserve"> </w:t>
            </w:r>
            <w:r>
              <w:rPr>
                <w:rFonts w:ascii="Arial"/>
              </w:rPr>
              <w:t>to</w:t>
            </w:r>
            <w:r>
              <w:rPr>
                <w:rFonts w:ascii="Arial"/>
                <w:spacing w:val="39"/>
              </w:rPr>
              <w:t xml:space="preserve"> </w:t>
            </w:r>
            <w:r>
              <w:rPr>
                <w:rFonts w:ascii="Arial"/>
                <w:spacing w:val="-1"/>
              </w:rPr>
              <w:t>terminate</w:t>
            </w:r>
            <w:r>
              <w:rPr>
                <w:rFonts w:ascii="Arial"/>
                <w:spacing w:val="41"/>
              </w:rPr>
              <w:t xml:space="preserve"> </w:t>
            </w:r>
            <w:r>
              <w:rPr>
                <w:rFonts w:ascii="Arial"/>
                <w:spacing w:val="-1"/>
              </w:rPr>
              <w:t>this</w:t>
            </w:r>
            <w:r>
              <w:rPr>
                <w:rFonts w:ascii="Arial"/>
                <w:spacing w:val="27"/>
              </w:rPr>
              <w:t xml:space="preserve"> </w:t>
            </w:r>
            <w:r>
              <w:rPr>
                <w:rFonts w:ascii="Arial"/>
                <w:spacing w:val="-2"/>
              </w:rPr>
              <w:t>Call</w:t>
            </w:r>
            <w:r>
              <w:rPr>
                <w:rFonts w:ascii="Arial"/>
                <w:spacing w:val="26"/>
              </w:rPr>
              <w:t xml:space="preserve"> </w:t>
            </w:r>
            <w:r>
              <w:rPr>
                <w:rFonts w:ascii="Arial"/>
                <w:spacing w:val="-1"/>
              </w:rPr>
              <w:t>Off</w:t>
            </w:r>
            <w:r>
              <w:rPr>
                <w:rFonts w:ascii="Arial"/>
                <w:spacing w:val="28"/>
              </w:rPr>
              <w:t xml:space="preserve"> </w:t>
            </w:r>
            <w:r>
              <w:rPr>
                <w:rFonts w:ascii="Arial"/>
                <w:spacing w:val="-1"/>
              </w:rPr>
              <w:t>Contract</w:t>
            </w:r>
            <w:r>
              <w:rPr>
                <w:rFonts w:ascii="Arial"/>
                <w:spacing w:val="29"/>
              </w:rPr>
              <w:t xml:space="preserve"> </w:t>
            </w:r>
            <w:r>
              <w:rPr>
                <w:rFonts w:ascii="Arial"/>
                <w:spacing w:val="-1"/>
              </w:rPr>
              <w:t>on</w:t>
            </w:r>
            <w:r>
              <w:rPr>
                <w:rFonts w:ascii="Arial"/>
                <w:spacing w:val="24"/>
              </w:rPr>
              <w:t xml:space="preserve"> </w:t>
            </w:r>
            <w:r>
              <w:rPr>
                <w:rFonts w:ascii="Arial"/>
              </w:rPr>
              <w:t>a</w:t>
            </w:r>
            <w:r>
              <w:rPr>
                <w:rFonts w:ascii="Arial"/>
                <w:spacing w:val="27"/>
              </w:rPr>
              <w:t xml:space="preserve"> </w:t>
            </w:r>
            <w:r>
              <w:rPr>
                <w:rFonts w:ascii="Arial"/>
                <w:spacing w:val="-1"/>
              </w:rPr>
              <w:t>specified</w:t>
            </w:r>
            <w:r>
              <w:rPr>
                <w:rFonts w:ascii="Arial"/>
                <w:spacing w:val="27"/>
              </w:rPr>
              <w:t xml:space="preserve"> </w:t>
            </w:r>
            <w:r>
              <w:rPr>
                <w:rFonts w:ascii="Arial"/>
                <w:spacing w:val="-1"/>
              </w:rPr>
              <w:t>date</w:t>
            </w:r>
            <w:r>
              <w:rPr>
                <w:rFonts w:ascii="Arial"/>
                <w:spacing w:val="27"/>
              </w:rPr>
              <w:t xml:space="preserve"> </w:t>
            </w:r>
            <w:r>
              <w:rPr>
                <w:rFonts w:ascii="Arial"/>
                <w:spacing w:val="-1"/>
              </w:rPr>
              <w:t>and</w:t>
            </w:r>
            <w:r>
              <w:rPr>
                <w:rFonts w:ascii="Arial"/>
                <w:spacing w:val="24"/>
              </w:rPr>
              <w:t xml:space="preserve"> </w:t>
            </w:r>
            <w:r>
              <w:rPr>
                <w:rFonts w:ascii="Arial"/>
                <w:spacing w:val="-1"/>
              </w:rPr>
              <w:t>setting</w:t>
            </w:r>
            <w:r>
              <w:rPr>
                <w:rFonts w:ascii="Arial"/>
                <w:spacing w:val="29"/>
              </w:rPr>
              <w:t xml:space="preserve"> </w:t>
            </w:r>
            <w:r>
              <w:rPr>
                <w:rFonts w:ascii="Arial"/>
                <w:spacing w:val="-2"/>
              </w:rPr>
              <w:t>out</w:t>
            </w:r>
            <w:r>
              <w:rPr>
                <w:rFonts w:ascii="Arial"/>
                <w:spacing w:val="26"/>
              </w:rPr>
              <w:t xml:space="preserve"> </w:t>
            </w:r>
            <w:r>
              <w:rPr>
                <w:rFonts w:ascii="Arial"/>
                <w:spacing w:val="-1"/>
              </w:rPr>
              <w:t>the</w:t>
            </w:r>
            <w:r>
              <w:rPr>
                <w:rFonts w:ascii="Arial"/>
                <w:spacing w:val="30"/>
              </w:rPr>
              <w:t xml:space="preserve"> </w:t>
            </w:r>
            <w:r>
              <w:rPr>
                <w:rFonts w:ascii="Arial"/>
                <w:spacing w:val="-1"/>
              </w:rPr>
              <w:t>grounds</w:t>
            </w:r>
            <w:r>
              <w:rPr>
                <w:rFonts w:ascii="Arial"/>
                <w:spacing w:val="-2"/>
              </w:rPr>
              <w:t xml:space="preserve"> </w:t>
            </w:r>
            <w:r>
              <w:rPr>
                <w:rFonts w:ascii="Arial"/>
              </w:rPr>
              <w:t>for</w:t>
            </w:r>
            <w:r>
              <w:rPr>
                <w:rFonts w:ascii="Arial"/>
                <w:spacing w:val="-1"/>
              </w:rPr>
              <w:t xml:space="preserve"> termination;</w:t>
            </w:r>
          </w:p>
        </w:tc>
      </w:tr>
      <w:tr w:rsidR="008918FA" w:rsidTr="005D2B81">
        <w:trPr>
          <w:trHeight w:hRule="exact" w:val="89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"Third</w:t>
            </w:r>
            <w:r>
              <w:rPr>
                <w:rFonts w:ascii="Arial"/>
                <w:b/>
              </w:rPr>
              <w:t xml:space="preserve"> </w:t>
            </w:r>
            <w:r>
              <w:rPr>
                <w:rFonts w:ascii="Arial"/>
                <w:b/>
                <w:spacing w:val="-1"/>
              </w:rPr>
              <w:t>Party</w:t>
            </w:r>
            <w:r>
              <w:rPr>
                <w:rFonts w:ascii="Arial"/>
                <w:b/>
                <w:spacing w:val="-4"/>
              </w:rPr>
              <w:t xml:space="preserve"> </w:t>
            </w:r>
            <w:r>
              <w:rPr>
                <w:rFonts w:ascii="Arial"/>
                <w:b/>
                <w:spacing w:val="-1"/>
              </w:rPr>
              <w:t>IPR"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spacing w:val="-1"/>
              </w:rPr>
              <w:t>means</w:t>
            </w:r>
            <w:r>
              <w:rPr>
                <w:rFonts w:ascii="Arial"/>
                <w:spacing w:val="11"/>
              </w:rPr>
              <w:t xml:space="preserve"> </w:t>
            </w:r>
            <w:r>
              <w:rPr>
                <w:rFonts w:ascii="Arial"/>
                <w:spacing w:val="-1"/>
              </w:rPr>
              <w:t>Intellectual</w:t>
            </w:r>
            <w:r>
              <w:rPr>
                <w:rFonts w:ascii="Arial"/>
                <w:spacing w:val="12"/>
              </w:rPr>
              <w:t xml:space="preserve"> </w:t>
            </w:r>
            <w:r>
              <w:rPr>
                <w:rFonts w:ascii="Arial"/>
                <w:spacing w:val="-1"/>
              </w:rPr>
              <w:t>Property</w:t>
            </w:r>
            <w:r>
              <w:rPr>
                <w:rFonts w:ascii="Arial"/>
                <w:spacing w:val="10"/>
              </w:rPr>
              <w:t xml:space="preserve"> </w:t>
            </w:r>
            <w:r>
              <w:rPr>
                <w:rFonts w:ascii="Arial"/>
                <w:spacing w:val="-1"/>
              </w:rPr>
              <w:t>Rights</w:t>
            </w:r>
            <w:r>
              <w:rPr>
                <w:rFonts w:ascii="Arial"/>
                <w:spacing w:val="13"/>
              </w:rPr>
              <w:t xml:space="preserve"> </w:t>
            </w:r>
            <w:r>
              <w:rPr>
                <w:rFonts w:ascii="Arial"/>
                <w:spacing w:val="-2"/>
              </w:rPr>
              <w:t>owned</w:t>
            </w:r>
            <w:r>
              <w:rPr>
                <w:rFonts w:ascii="Arial"/>
                <w:spacing w:val="12"/>
              </w:rPr>
              <w:t xml:space="preserve"> </w:t>
            </w:r>
            <w:r>
              <w:rPr>
                <w:rFonts w:ascii="Arial"/>
                <w:spacing w:val="-1"/>
              </w:rPr>
              <w:t>by</w:t>
            </w:r>
            <w:r>
              <w:rPr>
                <w:rFonts w:ascii="Arial"/>
                <w:spacing w:val="10"/>
              </w:rPr>
              <w:t xml:space="preserve"> </w:t>
            </w:r>
            <w:r>
              <w:rPr>
                <w:rFonts w:ascii="Arial"/>
              </w:rPr>
              <w:t>a</w:t>
            </w:r>
            <w:r>
              <w:rPr>
                <w:rFonts w:ascii="Arial"/>
                <w:spacing w:val="12"/>
              </w:rPr>
              <w:t xml:space="preserve"> </w:t>
            </w:r>
            <w:r>
              <w:rPr>
                <w:rFonts w:ascii="Arial"/>
                <w:spacing w:val="-1"/>
              </w:rPr>
              <w:t>third</w:t>
            </w:r>
            <w:r>
              <w:rPr>
                <w:rFonts w:ascii="Arial"/>
                <w:spacing w:val="12"/>
              </w:rPr>
              <w:t xml:space="preserve"> </w:t>
            </w:r>
            <w:r>
              <w:rPr>
                <w:rFonts w:ascii="Arial"/>
                <w:spacing w:val="-1"/>
              </w:rPr>
              <w:t>party</w:t>
            </w:r>
            <w:r>
              <w:rPr>
                <w:rFonts w:ascii="Arial"/>
                <w:spacing w:val="33"/>
              </w:rPr>
              <w:t xml:space="preserve"> </w:t>
            </w:r>
            <w:r>
              <w:rPr>
                <w:rFonts w:ascii="Arial"/>
                <w:spacing w:val="-1"/>
              </w:rPr>
              <w:t>which</w:t>
            </w:r>
            <w:r>
              <w:rPr>
                <w:rFonts w:ascii="Arial"/>
                <w:spacing w:val="8"/>
              </w:rPr>
              <w:t xml:space="preserve"> </w:t>
            </w:r>
            <w:r>
              <w:rPr>
                <w:rFonts w:ascii="Arial"/>
                <w:spacing w:val="-1"/>
              </w:rPr>
              <w:t>is</w:t>
            </w:r>
            <w:r>
              <w:rPr>
                <w:rFonts w:ascii="Arial"/>
                <w:spacing w:val="8"/>
              </w:rPr>
              <w:t xml:space="preserve"> </w:t>
            </w:r>
            <w:r>
              <w:rPr>
                <w:rFonts w:ascii="Arial"/>
                <w:spacing w:val="-1"/>
              </w:rPr>
              <w:t>or</w:t>
            </w:r>
            <w:r>
              <w:rPr>
                <w:rFonts w:ascii="Arial"/>
                <w:spacing w:val="11"/>
              </w:rPr>
              <w:t xml:space="preserve"> </w:t>
            </w:r>
            <w:r>
              <w:rPr>
                <w:rFonts w:ascii="Arial"/>
                <w:spacing w:val="-2"/>
              </w:rPr>
              <w:t>will</w:t>
            </w:r>
            <w:r>
              <w:rPr>
                <w:rFonts w:ascii="Arial"/>
                <w:spacing w:val="9"/>
              </w:rPr>
              <w:t xml:space="preserve"> </w:t>
            </w:r>
            <w:r>
              <w:rPr>
                <w:rFonts w:ascii="Arial"/>
                <w:spacing w:val="-1"/>
              </w:rPr>
              <w:t>be</w:t>
            </w:r>
            <w:r>
              <w:rPr>
                <w:rFonts w:ascii="Arial"/>
                <w:spacing w:val="7"/>
              </w:rPr>
              <w:t xml:space="preserve"> </w:t>
            </w:r>
            <w:r>
              <w:rPr>
                <w:rFonts w:ascii="Arial"/>
                <w:spacing w:val="-1"/>
              </w:rPr>
              <w:t>used</w:t>
            </w:r>
            <w:r>
              <w:rPr>
                <w:rFonts w:ascii="Arial"/>
                <w:spacing w:val="10"/>
              </w:rPr>
              <w:t xml:space="preserve"> </w:t>
            </w:r>
            <w:r>
              <w:rPr>
                <w:rFonts w:ascii="Arial"/>
                <w:spacing w:val="-1"/>
              </w:rPr>
              <w:t>by</w:t>
            </w:r>
            <w:r>
              <w:rPr>
                <w:rFonts w:ascii="Arial"/>
                <w:spacing w:val="5"/>
              </w:rPr>
              <w:t xml:space="preserve"> </w:t>
            </w:r>
            <w:r>
              <w:rPr>
                <w:rFonts w:ascii="Arial"/>
              </w:rPr>
              <w:t>the</w:t>
            </w:r>
            <w:r>
              <w:rPr>
                <w:rFonts w:ascii="Arial"/>
                <w:spacing w:val="7"/>
              </w:rPr>
              <w:t xml:space="preserve"> </w:t>
            </w:r>
            <w:r>
              <w:rPr>
                <w:rFonts w:ascii="Arial"/>
                <w:spacing w:val="-1"/>
              </w:rPr>
              <w:t>Supplier</w:t>
            </w:r>
            <w:r>
              <w:rPr>
                <w:rFonts w:ascii="Arial"/>
                <w:spacing w:val="9"/>
              </w:rPr>
              <w:t xml:space="preserve"> </w:t>
            </w:r>
            <w:r>
              <w:rPr>
                <w:rFonts w:ascii="Arial"/>
              </w:rPr>
              <w:t>for</w:t>
            </w:r>
            <w:r>
              <w:rPr>
                <w:rFonts w:ascii="Arial"/>
                <w:spacing w:val="9"/>
              </w:rPr>
              <w:t xml:space="preserve"> </w:t>
            </w:r>
            <w:r>
              <w:rPr>
                <w:rFonts w:ascii="Arial"/>
              </w:rPr>
              <w:t>the</w:t>
            </w:r>
            <w:r>
              <w:rPr>
                <w:rFonts w:ascii="Arial"/>
                <w:spacing w:val="7"/>
              </w:rPr>
              <w:t xml:space="preserve"> </w:t>
            </w:r>
            <w:r>
              <w:rPr>
                <w:rFonts w:ascii="Arial"/>
                <w:spacing w:val="-1"/>
              </w:rPr>
              <w:t>purpose</w:t>
            </w:r>
            <w:r>
              <w:rPr>
                <w:rFonts w:ascii="Arial"/>
                <w:spacing w:val="8"/>
              </w:rPr>
              <w:t xml:space="preserve"> </w:t>
            </w:r>
            <w:r>
              <w:rPr>
                <w:rFonts w:ascii="Arial"/>
                <w:spacing w:val="-2"/>
              </w:rPr>
              <w:t>of</w:t>
            </w:r>
            <w:r>
              <w:rPr>
                <w:rFonts w:ascii="Arial"/>
                <w:spacing w:val="21"/>
              </w:rPr>
              <w:t xml:space="preserve"> </w:t>
            </w:r>
            <w:r>
              <w:rPr>
                <w:rFonts w:ascii="Arial"/>
                <w:spacing w:val="-2"/>
              </w:rPr>
              <w:t>providing</w:t>
            </w:r>
            <w:r>
              <w:rPr>
                <w:rFonts w:ascii="Arial"/>
                <w:spacing w:val="3"/>
              </w:rPr>
              <w:t xml:space="preserve"> </w:t>
            </w:r>
            <w:r>
              <w:rPr>
                <w:rFonts w:ascii="Arial"/>
              </w:rPr>
              <w:t>the</w:t>
            </w:r>
            <w:r>
              <w:rPr>
                <w:rFonts w:ascii="Arial"/>
                <w:spacing w:val="-2"/>
              </w:rPr>
              <w:t xml:space="preserve"> </w:t>
            </w:r>
            <w:r>
              <w:rPr>
                <w:rFonts w:ascii="Arial"/>
                <w:spacing w:val="-1"/>
              </w:rPr>
              <w:t>Goods</w:t>
            </w:r>
            <w:r>
              <w:rPr>
                <w:rFonts w:ascii="Arial"/>
                <w:spacing w:val="1"/>
              </w:rPr>
              <w:t xml:space="preserve"> </w:t>
            </w:r>
            <w:r>
              <w:rPr>
                <w:rFonts w:ascii="Arial"/>
                <w:spacing w:val="-1"/>
              </w:rPr>
              <w:t>and/or Services;</w:t>
            </w:r>
          </w:p>
        </w:tc>
      </w:tr>
      <w:tr w:rsidR="008918FA" w:rsidTr="005D2B81">
        <w:trPr>
          <w:trHeight w:hRule="exact" w:val="895"/>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194"/>
              <w:rPr>
                <w:rFonts w:ascii="Arial" w:eastAsia="Arial" w:hAnsi="Arial" w:cs="Arial"/>
              </w:rPr>
            </w:pPr>
            <w:r>
              <w:rPr>
                <w:rFonts w:ascii="Arial"/>
                <w:b/>
                <w:spacing w:val="-1"/>
              </w:rPr>
              <w:t>"Transferring</w:t>
            </w:r>
            <w:r>
              <w:rPr>
                <w:rFonts w:ascii="Arial"/>
                <w:b/>
                <w:spacing w:val="23"/>
              </w:rPr>
              <w:t xml:space="preserve"> </w:t>
            </w:r>
            <w:r>
              <w:rPr>
                <w:rFonts w:ascii="Arial"/>
                <w:b/>
                <w:spacing w:val="-1"/>
              </w:rPr>
              <w:t xml:space="preserve">Supplier </w:t>
            </w:r>
            <w:r>
              <w:rPr>
                <w:rFonts w:ascii="Arial"/>
                <w:b/>
                <w:spacing w:val="-2"/>
              </w:rPr>
              <w:t>Employees"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9"/>
              <w:jc w:val="both"/>
              <w:rPr>
                <w:rFonts w:ascii="Arial" w:eastAsia="Arial" w:hAnsi="Arial" w:cs="Arial"/>
              </w:rPr>
            </w:pPr>
            <w:r>
              <w:rPr>
                <w:rFonts w:ascii="Arial" w:eastAsia="Arial" w:hAnsi="Arial" w:cs="Arial"/>
                <w:spacing w:val="-1"/>
              </w:rPr>
              <w:t>means</w:t>
            </w:r>
            <w:r>
              <w:rPr>
                <w:rFonts w:ascii="Arial" w:eastAsia="Arial" w:hAnsi="Arial" w:cs="Arial"/>
                <w:spacing w:val="45"/>
              </w:rPr>
              <w:t xml:space="preserve"> </w:t>
            </w:r>
            <w:r>
              <w:rPr>
                <w:rFonts w:ascii="Arial" w:eastAsia="Arial" w:hAnsi="Arial" w:cs="Arial"/>
                <w:spacing w:val="-1"/>
              </w:rPr>
              <w:t>those</w:t>
            </w:r>
            <w:r>
              <w:rPr>
                <w:rFonts w:ascii="Arial" w:eastAsia="Arial" w:hAnsi="Arial" w:cs="Arial"/>
                <w:spacing w:val="47"/>
              </w:rPr>
              <w:t xml:space="preserve"> </w:t>
            </w:r>
            <w:r>
              <w:rPr>
                <w:rFonts w:ascii="Arial" w:eastAsia="Arial" w:hAnsi="Arial" w:cs="Arial"/>
                <w:spacing w:val="-2"/>
              </w:rPr>
              <w:t>employees</w:t>
            </w:r>
            <w:r>
              <w:rPr>
                <w:rFonts w:ascii="Arial" w:eastAsia="Arial" w:hAnsi="Arial" w:cs="Arial"/>
                <w:spacing w:val="47"/>
              </w:rPr>
              <w:t xml:space="preserve"> </w:t>
            </w:r>
            <w:r>
              <w:rPr>
                <w:rFonts w:ascii="Arial" w:eastAsia="Arial" w:hAnsi="Arial" w:cs="Arial"/>
                <w:spacing w:val="-2"/>
              </w:rPr>
              <w:t>of</w:t>
            </w:r>
            <w:r>
              <w:rPr>
                <w:rFonts w:ascii="Arial" w:eastAsia="Arial" w:hAnsi="Arial" w:cs="Arial"/>
                <w:spacing w:val="49"/>
              </w:rPr>
              <w:t xml:space="preserve"> </w:t>
            </w:r>
            <w:r>
              <w:rPr>
                <w:rFonts w:ascii="Arial" w:eastAsia="Arial" w:hAnsi="Arial" w:cs="Arial"/>
              </w:rPr>
              <w:t>the</w:t>
            </w:r>
            <w:r>
              <w:rPr>
                <w:rFonts w:ascii="Arial" w:eastAsia="Arial" w:hAnsi="Arial" w:cs="Arial"/>
                <w:spacing w:val="45"/>
              </w:rPr>
              <w:t xml:space="preserve"> </w:t>
            </w:r>
            <w:r>
              <w:rPr>
                <w:rFonts w:ascii="Arial" w:eastAsia="Arial" w:hAnsi="Arial" w:cs="Arial"/>
                <w:spacing w:val="-2"/>
              </w:rPr>
              <w:t>Supplier</w:t>
            </w:r>
            <w:r>
              <w:rPr>
                <w:rFonts w:ascii="Arial" w:eastAsia="Arial" w:hAnsi="Arial" w:cs="Arial"/>
                <w:spacing w:val="48"/>
              </w:rPr>
              <w:t xml:space="preserve"> </w:t>
            </w:r>
            <w:r>
              <w:rPr>
                <w:rFonts w:ascii="Arial" w:eastAsia="Arial" w:hAnsi="Arial" w:cs="Arial"/>
                <w:spacing w:val="-1"/>
              </w:rPr>
              <w:t>and/or</w:t>
            </w:r>
            <w:r>
              <w:rPr>
                <w:rFonts w:ascii="Arial" w:eastAsia="Arial" w:hAnsi="Arial" w:cs="Arial"/>
                <w:spacing w:val="47"/>
              </w:rPr>
              <w:t xml:space="preserve"> </w:t>
            </w:r>
            <w:r>
              <w:rPr>
                <w:rFonts w:ascii="Arial" w:eastAsia="Arial" w:hAnsi="Arial" w:cs="Arial"/>
                <w:spacing w:val="-1"/>
              </w:rPr>
              <w:t>the</w:t>
            </w:r>
            <w:r>
              <w:rPr>
                <w:rFonts w:ascii="Arial" w:eastAsia="Arial" w:hAnsi="Arial" w:cs="Arial"/>
                <w:spacing w:val="44"/>
              </w:rPr>
              <w:t xml:space="preserve"> </w:t>
            </w:r>
            <w:r>
              <w:rPr>
                <w:rFonts w:ascii="Arial" w:eastAsia="Arial" w:hAnsi="Arial" w:cs="Arial"/>
                <w:spacing w:val="-2"/>
              </w:rPr>
              <w:t>Supplier’s</w:t>
            </w:r>
            <w:r>
              <w:rPr>
                <w:rFonts w:ascii="Arial" w:eastAsia="Arial" w:hAnsi="Arial" w:cs="Arial"/>
                <w:spacing w:val="38"/>
              </w:rPr>
              <w:t xml:space="preserve"> </w:t>
            </w:r>
            <w:r>
              <w:rPr>
                <w:rFonts w:ascii="Arial" w:eastAsia="Arial" w:hAnsi="Arial" w:cs="Arial"/>
                <w:spacing w:val="-1"/>
              </w:rPr>
              <w:t>Sub-Contractors</w:t>
            </w:r>
            <w:r>
              <w:rPr>
                <w:rFonts w:ascii="Arial" w:eastAsia="Arial" w:hAnsi="Arial" w:cs="Arial"/>
                <w:spacing w:val="38"/>
              </w:rPr>
              <w:t xml:space="preserve"> </w:t>
            </w:r>
            <w:r>
              <w:rPr>
                <w:rFonts w:ascii="Arial" w:eastAsia="Arial" w:hAnsi="Arial" w:cs="Arial"/>
              </w:rPr>
              <w:t>to</w:t>
            </w:r>
            <w:r>
              <w:rPr>
                <w:rFonts w:ascii="Arial" w:eastAsia="Arial" w:hAnsi="Arial" w:cs="Arial"/>
                <w:spacing w:val="37"/>
              </w:rPr>
              <w:t xml:space="preserve"> </w:t>
            </w:r>
            <w:r>
              <w:rPr>
                <w:rFonts w:ascii="Arial" w:eastAsia="Arial" w:hAnsi="Arial" w:cs="Arial"/>
                <w:spacing w:val="-2"/>
              </w:rPr>
              <w:t>whom</w:t>
            </w:r>
            <w:r>
              <w:rPr>
                <w:rFonts w:ascii="Arial" w:eastAsia="Arial" w:hAnsi="Arial" w:cs="Arial"/>
                <w:spacing w:val="39"/>
              </w:rPr>
              <w:t xml:space="preserve"> </w:t>
            </w:r>
            <w:r>
              <w:rPr>
                <w:rFonts w:ascii="Arial" w:eastAsia="Arial" w:hAnsi="Arial" w:cs="Arial"/>
              </w:rPr>
              <w:t>the</w:t>
            </w:r>
            <w:r>
              <w:rPr>
                <w:rFonts w:ascii="Arial" w:eastAsia="Arial" w:hAnsi="Arial" w:cs="Arial"/>
                <w:spacing w:val="37"/>
              </w:rPr>
              <w:t xml:space="preserve"> </w:t>
            </w:r>
            <w:r>
              <w:rPr>
                <w:rFonts w:ascii="Arial" w:eastAsia="Arial" w:hAnsi="Arial" w:cs="Arial"/>
                <w:spacing w:val="-2"/>
              </w:rPr>
              <w:t>Employment</w:t>
            </w:r>
            <w:r>
              <w:rPr>
                <w:rFonts w:ascii="Arial" w:eastAsia="Arial" w:hAnsi="Arial" w:cs="Arial"/>
                <w:spacing w:val="50"/>
              </w:rPr>
              <w:t xml:space="preserve"> </w:t>
            </w:r>
            <w:r>
              <w:rPr>
                <w:rFonts w:ascii="Arial" w:eastAsia="Arial" w:hAnsi="Arial" w:cs="Arial"/>
                <w:spacing w:val="-1"/>
              </w:rPr>
              <w:t>Regulations</w:t>
            </w:r>
            <w:r>
              <w:rPr>
                <w:rFonts w:ascii="Arial" w:eastAsia="Arial" w:hAnsi="Arial" w:cs="Arial"/>
                <w:spacing w:val="1"/>
              </w:rPr>
              <w:t xml:space="preserve"> </w:t>
            </w:r>
            <w:r>
              <w:rPr>
                <w:rFonts w:ascii="Arial" w:eastAsia="Arial" w:hAnsi="Arial" w:cs="Arial"/>
                <w:spacing w:val="-2"/>
              </w:rPr>
              <w:t>will</w:t>
            </w:r>
            <w:r>
              <w:rPr>
                <w:rFonts w:ascii="Arial" w:eastAsia="Arial" w:hAnsi="Arial" w:cs="Arial"/>
              </w:rPr>
              <w:t xml:space="preserve"> </w:t>
            </w:r>
            <w:r>
              <w:rPr>
                <w:rFonts w:ascii="Arial" w:eastAsia="Arial" w:hAnsi="Arial" w:cs="Arial"/>
                <w:spacing w:val="-1"/>
              </w:rPr>
              <w:t>apply</w:t>
            </w:r>
            <w:r>
              <w:rPr>
                <w:rFonts w:ascii="Arial" w:eastAsia="Arial" w:hAnsi="Arial" w:cs="Arial"/>
                <w:spacing w:val="-2"/>
              </w:rPr>
              <w:t xml:space="preserve"> </w:t>
            </w:r>
            <w:r>
              <w:rPr>
                <w:rFonts w:ascii="Arial" w:eastAsia="Arial" w:hAnsi="Arial" w:cs="Arial"/>
                <w:spacing w:val="-1"/>
              </w:rPr>
              <w:t>on</w:t>
            </w:r>
            <w:r>
              <w:rPr>
                <w:rFonts w:ascii="Arial" w:eastAsia="Arial" w:hAnsi="Arial" w:cs="Arial"/>
              </w:rPr>
              <w:t xml:space="preserve"> the</w:t>
            </w:r>
            <w:r>
              <w:rPr>
                <w:rFonts w:ascii="Arial" w:eastAsia="Arial" w:hAnsi="Arial" w:cs="Arial"/>
                <w:spacing w:val="-2"/>
              </w:rPr>
              <w:t xml:space="preserve"> Service</w:t>
            </w:r>
            <w:r>
              <w:rPr>
                <w:rFonts w:ascii="Arial" w:eastAsia="Arial" w:hAnsi="Arial" w:cs="Arial"/>
                <w:spacing w:val="1"/>
              </w:rPr>
              <w:t xml:space="preserve"> </w:t>
            </w:r>
            <w:r>
              <w:rPr>
                <w:rFonts w:ascii="Arial" w:eastAsia="Arial" w:hAnsi="Arial" w:cs="Arial"/>
                <w:spacing w:val="-1"/>
              </w:rPr>
              <w:t xml:space="preserve">Transfer </w:t>
            </w:r>
            <w:r>
              <w:rPr>
                <w:rFonts w:ascii="Arial" w:eastAsia="Arial" w:hAnsi="Arial" w:cs="Arial"/>
                <w:spacing w:val="-2"/>
              </w:rPr>
              <w:t>Date.</w:t>
            </w:r>
          </w:p>
        </w:tc>
      </w:tr>
      <w:tr w:rsidR="008918FA" w:rsidTr="005D2B81">
        <w:trPr>
          <w:trHeight w:hRule="exact" w:val="38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"Undelivered</w:t>
            </w:r>
            <w:r>
              <w:rPr>
                <w:rFonts w:ascii="Arial"/>
                <w:b/>
                <w:spacing w:val="-2"/>
              </w:rPr>
              <w:t xml:space="preserve"> </w:t>
            </w:r>
            <w:r>
              <w:rPr>
                <w:rFonts w:ascii="Arial"/>
                <w:b/>
                <w:spacing w:val="-1"/>
              </w:rPr>
              <w:t>Goods"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has</w:t>
            </w:r>
            <w:r>
              <w:rPr>
                <w:rFonts w:ascii="Arial"/>
                <w:spacing w:val="1"/>
              </w:rPr>
              <w:t xml:space="preserve"> </w:t>
            </w:r>
            <w:r>
              <w:rPr>
                <w:rFonts w:ascii="Arial"/>
              </w:rPr>
              <w:t>the</w:t>
            </w:r>
            <w:r>
              <w:rPr>
                <w:rFonts w:ascii="Arial"/>
                <w:spacing w:val="-2"/>
              </w:rPr>
              <w:t xml:space="preserve"> meaning </w:t>
            </w:r>
            <w:r>
              <w:rPr>
                <w:rFonts w:ascii="Arial"/>
                <w:spacing w:val="-1"/>
              </w:rPr>
              <w:t>given</w:t>
            </w:r>
            <w:r>
              <w:rPr>
                <w:rFonts w:ascii="Arial"/>
              </w:rPr>
              <w:t xml:space="preserve"> </w:t>
            </w:r>
            <w:r>
              <w:rPr>
                <w:rFonts w:ascii="Arial"/>
                <w:spacing w:val="-1"/>
              </w:rPr>
              <w:t>to</w:t>
            </w:r>
            <w:r>
              <w:rPr>
                <w:rFonts w:ascii="Arial"/>
              </w:rPr>
              <w:t xml:space="preserve"> </w:t>
            </w:r>
            <w:r>
              <w:rPr>
                <w:rFonts w:ascii="Arial"/>
                <w:spacing w:val="-1"/>
              </w:rPr>
              <w:t>it</w:t>
            </w:r>
            <w:r>
              <w:rPr>
                <w:rFonts w:ascii="Arial"/>
                <w:spacing w:val="2"/>
              </w:rPr>
              <w:t xml:space="preserve"> </w:t>
            </w:r>
            <w:r>
              <w:rPr>
                <w:rFonts w:ascii="Arial"/>
                <w:spacing w:val="-1"/>
              </w:rPr>
              <w:t>in</w:t>
            </w:r>
            <w:r>
              <w:rPr>
                <w:rFonts w:ascii="Arial"/>
              </w:rPr>
              <w:t xml:space="preserve"> </w:t>
            </w:r>
            <w:r>
              <w:rPr>
                <w:rFonts w:ascii="Arial"/>
                <w:spacing w:val="-2"/>
              </w:rPr>
              <w:t>Clause</w:t>
            </w:r>
            <w:r>
              <w:rPr>
                <w:rFonts w:ascii="Arial"/>
                <w:spacing w:val="-1"/>
              </w:rPr>
              <w:t xml:space="preserve"> </w:t>
            </w:r>
            <w:hyperlink w:anchor="_bookmark81" w:history="1">
              <w:r>
                <w:rPr>
                  <w:rFonts w:ascii="Arial"/>
                  <w:spacing w:val="-1"/>
                </w:rPr>
                <w:t>9.3.1</w:t>
              </w:r>
            </w:hyperlink>
            <w:r>
              <w:rPr>
                <w:rFonts w:ascii="Arial"/>
                <w:spacing w:val="-2"/>
              </w:rPr>
              <w:t xml:space="preserve"> </w:t>
            </w:r>
            <w:r>
              <w:rPr>
                <w:rFonts w:ascii="Arial"/>
                <w:spacing w:val="-1"/>
              </w:rPr>
              <w:t>(Goods);</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1033"/>
              <w:rPr>
                <w:rFonts w:ascii="Arial" w:eastAsia="Arial" w:hAnsi="Arial" w:cs="Arial"/>
              </w:rPr>
            </w:pPr>
            <w:r>
              <w:rPr>
                <w:rFonts w:ascii="Arial"/>
                <w:b/>
                <w:spacing w:val="-1"/>
              </w:rPr>
              <w:t>"Undelivered</w:t>
            </w:r>
            <w:r>
              <w:rPr>
                <w:rFonts w:ascii="Arial"/>
                <w:b/>
                <w:spacing w:val="23"/>
              </w:rPr>
              <w:t xml:space="preserve"> </w:t>
            </w:r>
            <w:r>
              <w:rPr>
                <w:rFonts w:ascii="Arial"/>
                <w:b/>
                <w:spacing w:val="-1"/>
              </w:rPr>
              <w:t>Services"</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has</w:t>
            </w:r>
            <w:r>
              <w:rPr>
                <w:rFonts w:ascii="Arial"/>
                <w:spacing w:val="1"/>
              </w:rPr>
              <w:t xml:space="preserve"> </w:t>
            </w:r>
            <w:r>
              <w:rPr>
                <w:rFonts w:ascii="Arial"/>
              </w:rPr>
              <w:t>the</w:t>
            </w:r>
            <w:r>
              <w:rPr>
                <w:rFonts w:ascii="Arial"/>
                <w:spacing w:val="-2"/>
              </w:rPr>
              <w:t xml:space="preserve"> meaning </w:t>
            </w:r>
            <w:r>
              <w:rPr>
                <w:rFonts w:ascii="Arial"/>
                <w:spacing w:val="-1"/>
              </w:rPr>
              <w:t>given</w:t>
            </w:r>
            <w:r>
              <w:rPr>
                <w:rFonts w:ascii="Arial"/>
              </w:rPr>
              <w:t xml:space="preserve"> </w:t>
            </w:r>
            <w:r>
              <w:rPr>
                <w:rFonts w:ascii="Arial"/>
                <w:spacing w:val="-1"/>
              </w:rPr>
              <w:t>to</w:t>
            </w:r>
            <w:r>
              <w:rPr>
                <w:rFonts w:ascii="Arial"/>
              </w:rPr>
              <w:t xml:space="preserve"> </w:t>
            </w:r>
            <w:r>
              <w:rPr>
                <w:rFonts w:ascii="Arial"/>
                <w:spacing w:val="-1"/>
              </w:rPr>
              <w:t>it</w:t>
            </w:r>
            <w:r>
              <w:rPr>
                <w:rFonts w:ascii="Arial"/>
                <w:spacing w:val="2"/>
              </w:rPr>
              <w:t xml:space="preserve"> </w:t>
            </w:r>
            <w:r>
              <w:rPr>
                <w:rFonts w:ascii="Arial"/>
                <w:spacing w:val="-1"/>
              </w:rPr>
              <w:t>in</w:t>
            </w:r>
            <w:r>
              <w:rPr>
                <w:rFonts w:ascii="Arial"/>
              </w:rPr>
              <w:t xml:space="preserve"> </w:t>
            </w:r>
            <w:r>
              <w:rPr>
                <w:rFonts w:ascii="Arial"/>
                <w:spacing w:val="-2"/>
              </w:rPr>
              <w:t>Clause</w:t>
            </w:r>
            <w:r>
              <w:rPr>
                <w:rFonts w:ascii="Arial"/>
                <w:spacing w:val="-1"/>
              </w:rPr>
              <w:t xml:space="preserve"> </w:t>
            </w:r>
            <w:hyperlink w:anchor="_bookmark73" w:history="1">
              <w:r>
                <w:rPr>
                  <w:rFonts w:ascii="Arial"/>
                  <w:spacing w:val="-1"/>
                </w:rPr>
                <w:t>8.3.1</w:t>
              </w:r>
            </w:hyperlink>
            <w:r>
              <w:rPr>
                <w:rFonts w:ascii="Arial"/>
                <w:spacing w:val="-2"/>
              </w:rPr>
              <w:t xml:space="preserve"> </w:t>
            </w:r>
            <w:r>
              <w:rPr>
                <w:rFonts w:ascii="Arial"/>
                <w:spacing w:val="-1"/>
              </w:rPr>
              <w:t>(Services);</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1" w:lineRule="auto"/>
              <w:ind w:left="-6" w:right="421"/>
              <w:rPr>
                <w:rFonts w:ascii="Arial" w:eastAsia="Arial" w:hAnsi="Arial" w:cs="Arial"/>
              </w:rPr>
            </w:pPr>
            <w:r>
              <w:rPr>
                <w:rFonts w:ascii="Arial"/>
                <w:b/>
                <w:spacing w:val="-1"/>
              </w:rPr>
              <w:t>"Undisputed</w:t>
            </w:r>
            <w:r>
              <w:rPr>
                <w:rFonts w:ascii="Arial"/>
                <w:b/>
                <w:spacing w:val="-2"/>
              </w:rPr>
              <w:t xml:space="preserve"> </w:t>
            </w:r>
            <w:r>
              <w:rPr>
                <w:rFonts w:ascii="Arial"/>
                <w:b/>
                <w:spacing w:val="-1"/>
              </w:rPr>
              <w:t>Sums</w:t>
            </w:r>
            <w:r>
              <w:rPr>
                <w:rFonts w:ascii="Arial"/>
                <w:b/>
                <w:spacing w:val="26"/>
              </w:rPr>
              <w:t xml:space="preserve"> </w:t>
            </w:r>
            <w:r>
              <w:rPr>
                <w:rFonts w:ascii="Arial"/>
                <w:b/>
                <w:spacing w:val="-1"/>
              </w:rPr>
              <w:t>Time</w:t>
            </w:r>
            <w:r>
              <w:rPr>
                <w:rFonts w:ascii="Arial"/>
                <w:b/>
              </w:rPr>
              <w:t xml:space="preserve"> </w:t>
            </w:r>
            <w:r>
              <w:rPr>
                <w:rFonts w:ascii="Arial"/>
                <w:b/>
                <w:spacing w:val="-1"/>
              </w:rPr>
              <w:t>Period"</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1"/>
              <w:rPr>
                <w:rFonts w:ascii="Arial" w:eastAsia="Arial" w:hAnsi="Arial" w:cs="Arial"/>
              </w:rPr>
            </w:pPr>
            <w:r>
              <w:rPr>
                <w:rFonts w:ascii="Arial"/>
                <w:spacing w:val="-1"/>
              </w:rPr>
              <w:t>has</w:t>
            </w:r>
            <w:r>
              <w:rPr>
                <w:rFonts w:ascii="Arial"/>
                <w:spacing w:val="8"/>
              </w:rPr>
              <w:t xml:space="preserve"> </w:t>
            </w:r>
            <w:r>
              <w:rPr>
                <w:rFonts w:ascii="Arial"/>
              </w:rPr>
              <w:t>the</w:t>
            </w:r>
            <w:r>
              <w:rPr>
                <w:rFonts w:ascii="Arial"/>
                <w:spacing w:val="7"/>
              </w:rPr>
              <w:t xml:space="preserve"> </w:t>
            </w:r>
            <w:r>
              <w:rPr>
                <w:rFonts w:ascii="Arial"/>
                <w:spacing w:val="-1"/>
              </w:rPr>
              <w:t>meaning</w:t>
            </w:r>
            <w:r>
              <w:rPr>
                <w:rFonts w:ascii="Arial"/>
                <w:spacing w:val="7"/>
              </w:rPr>
              <w:t xml:space="preserve"> </w:t>
            </w:r>
            <w:r>
              <w:rPr>
                <w:rFonts w:ascii="Arial"/>
                <w:spacing w:val="-1"/>
              </w:rPr>
              <w:t>given</w:t>
            </w:r>
            <w:r>
              <w:rPr>
                <w:rFonts w:ascii="Arial"/>
                <w:spacing w:val="7"/>
              </w:rPr>
              <w:t xml:space="preserve"> </w:t>
            </w:r>
            <w:r>
              <w:rPr>
                <w:rFonts w:ascii="Arial"/>
              </w:rPr>
              <w:t>to</w:t>
            </w:r>
            <w:r>
              <w:rPr>
                <w:rFonts w:ascii="Arial"/>
                <w:spacing w:val="7"/>
              </w:rPr>
              <w:t xml:space="preserve"> </w:t>
            </w:r>
            <w:r>
              <w:rPr>
                <w:rFonts w:ascii="Arial"/>
                <w:spacing w:val="-1"/>
              </w:rPr>
              <w:t>it</w:t>
            </w:r>
            <w:r>
              <w:rPr>
                <w:rFonts w:ascii="Arial"/>
                <w:spacing w:val="9"/>
              </w:rPr>
              <w:t xml:space="preserve"> </w:t>
            </w:r>
            <w:r>
              <w:rPr>
                <w:rFonts w:ascii="Arial"/>
                <w:spacing w:val="-2"/>
              </w:rPr>
              <w:t>Clause</w:t>
            </w:r>
            <w:r>
              <w:rPr>
                <w:rFonts w:ascii="Arial"/>
                <w:spacing w:val="10"/>
              </w:rPr>
              <w:t xml:space="preserve"> </w:t>
            </w:r>
            <w:hyperlink w:anchor="_bookmark244" w:history="1">
              <w:r>
                <w:rPr>
                  <w:rFonts w:ascii="Arial"/>
                  <w:spacing w:val="-1"/>
                </w:rPr>
                <w:t>42.1.1</w:t>
              </w:r>
            </w:hyperlink>
            <w:r>
              <w:rPr>
                <w:rFonts w:ascii="Arial"/>
                <w:spacing w:val="8"/>
              </w:rPr>
              <w:t xml:space="preserve"> </w:t>
            </w:r>
            <w:r>
              <w:rPr>
                <w:rFonts w:ascii="Arial"/>
                <w:spacing w:val="-1"/>
              </w:rPr>
              <w:t>(Termination</w:t>
            </w:r>
            <w:r>
              <w:rPr>
                <w:rFonts w:ascii="Arial"/>
                <w:spacing w:val="7"/>
              </w:rPr>
              <w:t xml:space="preserve"> </w:t>
            </w:r>
            <w:r>
              <w:rPr>
                <w:rFonts w:ascii="Arial"/>
                <w:spacing w:val="-2"/>
              </w:rPr>
              <w:t>of</w:t>
            </w:r>
            <w:r>
              <w:rPr>
                <w:rFonts w:ascii="Arial"/>
                <w:spacing w:val="39"/>
              </w:rPr>
              <w:t xml:space="preserve"> </w:t>
            </w:r>
            <w:r>
              <w:rPr>
                <w:rFonts w:ascii="Arial"/>
                <w:spacing w:val="-1"/>
              </w:rPr>
              <w:t>Customer</w:t>
            </w:r>
            <w:r>
              <w:rPr>
                <w:rFonts w:ascii="Arial"/>
                <w:spacing w:val="2"/>
              </w:rPr>
              <w:t xml:space="preserve"> </w:t>
            </w:r>
            <w:r>
              <w:rPr>
                <w:rFonts w:ascii="Arial"/>
                <w:spacing w:val="-1"/>
              </w:rPr>
              <w:t>Cause</w:t>
            </w:r>
            <w:r>
              <w:rPr>
                <w:rFonts w:ascii="Arial"/>
                <w:spacing w:val="-4"/>
              </w:rPr>
              <w:t xml:space="preserve"> </w:t>
            </w:r>
            <w:r>
              <w:rPr>
                <w:rFonts w:ascii="Arial"/>
              </w:rPr>
              <w:t>for</w:t>
            </w:r>
            <w:r>
              <w:rPr>
                <w:rFonts w:ascii="Arial"/>
                <w:spacing w:val="2"/>
              </w:rPr>
              <w:t xml:space="preserve"> </w:t>
            </w:r>
            <w:r>
              <w:rPr>
                <w:rFonts w:ascii="Arial"/>
                <w:spacing w:val="-2"/>
              </w:rPr>
              <w:t xml:space="preserve">Failure </w:t>
            </w:r>
            <w:r>
              <w:rPr>
                <w:rFonts w:ascii="Arial"/>
              </w:rPr>
              <w:t xml:space="preserve">to </w:t>
            </w:r>
            <w:r>
              <w:rPr>
                <w:rFonts w:ascii="Arial"/>
                <w:spacing w:val="-1"/>
              </w:rPr>
              <w:t>Pay);</w:t>
            </w:r>
          </w:p>
        </w:tc>
      </w:tr>
      <w:tr w:rsidR="008918FA" w:rsidTr="005D2B81">
        <w:trPr>
          <w:trHeight w:hRule="exact" w:val="1147"/>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rPr>
              <w:t>"Valid</w:t>
            </w:r>
            <w:r>
              <w:rPr>
                <w:rFonts w:ascii="Arial"/>
                <w:b/>
                <w:spacing w:val="-4"/>
              </w:rPr>
              <w:t xml:space="preserve"> </w:t>
            </w:r>
            <w:r>
              <w:rPr>
                <w:rFonts w:ascii="Arial"/>
                <w:b/>
                <w:spacing w:val="-1"/>
              </w:rPr>
              <w:t>Invoice"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7"/>
              <w:jc w:val="both"/>
              <w:rPr>
                <w:rFonts w:ascii="Arial" w:eastAsia="Arial" w:hAnsi="Arial" w:cs="Arial"/>
              </w:rPr>
            </w:pPr>
            <w:r>
              <w:rPr>
                <w:rFonts w:ascii="Arial"/>
                <w:spacing w:val="-1"/>
              </w:rPr>
              <w:t>means</w:t>
            </w:r>
            <w:r>
              <w:rPr>
                <w:rFonts w:ascii="Arial"/>
                <w:spacing w:val="13"/>
              </w:rPr>
              <w:t xml:space="preserve"> </w:t>
            </w:r>
            <w:r>
              <w:rPr>
                <w:rFonts w:ascii="Arial"/>
                <w:spacing w:val="-1"/>
              </w:rPr>
              <w:t>an</w:t>
            </w:r>
            <w:r>
              <w:rPr>
                <w:rFonts w:ascii="Arial"/>
                <w:spacing w:val="10"/>
              </w:rPr>
              <w:t xml:space="preserve"> </w:t>
            </w:r>
            <w:r>
              <w:rPr>
                <w:rFonts w:ascii="Arial"/>
                <w:spacing w:val="-2"/>
              </w:rPr>
              <w:t>invoice</w:t>
            </w:r>
            <w:r>
              <w:rPr>
                <w:rFonts w:ascii="Arial"/>
                <w:spacing w:val="13"/>
              </w:rPr>
              <w:t xml:space="preserve"> </w:t>
            </w:r>
            <w:r>
              <w:rPr>
                <w:rFonts w:ascii="Arial"/>
                <w:spacing w:val="-1"/>
              </w:rPr>
              <w:t>issued</w:t>
            </w:r>
            <w:r>
              <w:rPr>
                <w:rFonts w:ascii="Arial"/>
                <w:spacing w:val="12"/>
              </w:rPr>
              <w:t xml:space="preserve"> </w:t>
            </w:r>
            <w:r>
              <w:rPr>
                <w:rFonts w:ascii="Arial"/>
                <w:spacing w:val="-1"/>
              </w:rPr>
              <w:t>by</w:t>
            </w:r>
            <w:r>
              <w:rPr>
                <w:rFonts w:ascii="Arial"/>
                <w:spacing w:val="10"/>
              </w:rPr>
              <w:t xml:space="preserve"> </w:t>
            </w:r>
            <w:r>
              <w:rPr>
                <w:rFonts w:ascii="Arial"/>
              </w:rPr>
              <w:t>the</w:t>
            </w:r>
            <w:r>
              <w:rPr>
                <w:rFonts w:ascii="Arial"/>
                <w:spacing w:val="12"/>
              </w:rPr>
              <w:t xml:space="preserve"> </w:t>
            </w:r>
            <w:r>
              <w:rPr>
                <w:rFonts w:ascii="Arial"/>
                <w:spacing w:val="-2"/>
              </w:rPr>
              <w:t>Supplier</w:t>
            </w:r>
            <w:r>
              <w:rPr>
                <w:rFonts w:ascii="Arial"/>
                <w:spacing w:val="11"/>
              </w:rPr>
              <w:t xml:space="preserve"> </w:t>
            </w:r>
            <w:r>
              <w:rPr>
                <w:rFonts w:ascii="Arial"/>
              </w:rPr>
              <w:t>to</w:t>
            </w:r>
            <w:r>
              <w:rPr>
                <w:rFonts w:ascii="Arial"/>
                <w:spacing w:val="10"/>
              </w:rPr>
              <w:t xml:space="preserve"> </w:t>
            </w:r>
            <w:r>
              <w:rPr>
                <w:rFonts w:ascii="Arial"/>
              </w:rPr>
              <w:t>the</w:t>
            </w:r>
            <w:r>
              <w:rPr>
                <w:rFonts w:ascii="Arial"/>
                <w:spacing w:val="12"/>
              </w:rPr>
              <w:t xml:space="preserve"> </w:t>
            </w:r>
            <w:r>
              <w:rPr>
                <w:rFonts w:ascii="Arial"/>
                <w:spacing w:val="-2"/>
              </w:rPr>
              <w:t>Customer</w:t>
            </w:r>
            <w:r>
              <w:rPr>
                <w:rFonts w:ascii="Arial"/>
                <w:spacing w:val="49"/>
              </w:rPr>
              <w:t xml:space="preserve"> </w:t>
            </w:r>
            <w:r>
              <w:rPr>
                <w:rFonts w:ascii="Arial"/>
                <w:spacing w:val="-1"/>
              </w:rPr>
              <w:t>that</w:t>
            </w:r>
            <w:r>
              <w:rPr>
                <w:rFonts w:ascii="Arial"/>
                <w:spacing w:val="14"/>
              </w:rPr>
              <w:t xml:space="preserve"> </w:t>
            </w:r>
            <w:r>
              <w:rPr>
                <w:rFonts w:ascii="Arial"/>
                <w:spacing w:val="-2"/>
              </w:rPr>
              <w:t>complies</w:t>
            </w:r>
            <w:r>
              <w:rPr>
                <w:rFonts w:ascii="Arial"/>
                <w:spacing w:val="13"/>
              </w:rPr>
              <w:t xml:space="preserve"> </w:t>
            </w:r>
            <w:r>
              <w:rPr>
                <w:rFonts w:ascii="Arial"/>
                <w:spacing w:val="-1"/>
              </w:rPr>
              <w:t>with</w:t>
            </w:r>
            <w:r>
              <w:rPr>
                <w:rFonts w:ascii="Arial"/>
                <w:spacing w:val="12"/>
              </w:rPr>
              <w:t xml:space="preserve"> </w:t>
            </w:r>
            <w:r>
              <w:rPr>
                <w:rFonts w:ascii="Arial"/>
              </w:rPr>
              <w:t>the</w:t>
            </w:r>
            <w:r>
              <w:rPr>
                <w:rFonts w:ascii="Arial"/>
                <w:spacing w:val="12"/>
              </w:rPr>
              <w:t xml:space="preserve"> </w:t>
            </w:r>
            <w:r>
              <w:rPr>
                <w:rFonts w:ascii="Arial"/>
                <w:spacing w:val="-2"/>
              </w:rPr>
              <w:t>invoicing</w:t>
            </w:r>
            <w:r>
              <w:rPr>
                <w:rFonts w:ascii="Arial"/>
                <w:spacing w:val="15"/>
              </w:rPr>
              <w:t xml:space="preserve"> </w:t>
            </w:r>
            <w:r>
              <w:rPr>
                <w:rFonts w:ascii="Arial"/>
                <w:spacing w:val="-1"/>
              </w:rPr>
              <w:t>procedure</w:t>
            </w:r>
            <w:r>
              <w:rPr>
                <w:rFonts w:ascii="Arial"/>
                <w:spacing w:val="12"/>
              </w:rPr>
              <w:t xml:space="preserve"> </w:t>
            </w:r>
            <w:r>
              <w:rPr>
                <w:rFonts w:ascii="Arial"/>
                <w:spacing w:val="-1"/>
              </w:rPr>
              <w:t>in</w:t>
            </w:r>
            <w:r>
              <w:rPr>
                <w:rFonts w:ascii="Arial"/>
                <w:spacing w:val="12"/>
              </w:rPr>
              <w:t xml:space="preserve"> </w:t>
            </w:r>
            <w:r>
              <w:rPr>
                <w:rFonts w:ascii="Arial"/>
                <w:spacing w:val="-1"/>
              </w:rPr>
              <w:t>paragraph</w:t>
            </w:r>
            <w:r>
              <w:rPr>
                <w:rFonts w:ascii="Arial"/>
                <w:spacing w:val="15"/>
              </w:rPr>
              <w:t xml:space="preserve"> </w:t>
            </w:r>
            <w:hyperlink w:anchor="_bookmark289" w:history="1">
              <w:r>
                <w:rPr>
                  <w:rFonts w:ascii="Arial"/>
                </w:rPr>
                <w:t>6</w:t>
              </w:r>
            </w:hyperlink>
            <w:r>
              <w:rPr>
                <w:rFonts w:ascii="Arial"/>
                <w:spacing w:val="47"/>
              </w:rPr>
              <w:t xml:space="preserve"> </w:t>
            </w:r>
            <w:r>
              <w:rPr>
                <w:rFonts w:ascii="Arial"/>
                <w:spacing w:val="-1"/>
              </w:rPr>
              <w:t>(Invoicing</w:t>
            </w:r>
            <w:r>
              <w:rPr>
                <w:rFonts w:ascii="Arial"/>
                <w:spacing w:val="4"/>
              </w:rPr>
              <w:t xml:space="preserve"> </w:t>
            </w:r>
            <w:r>
              <w:rPr>
                <w:rFonts w:ascii="Arial"/>
                <w:spacing w:val="-1"/>
              </w:rPr>
              <w:t>Procedure)</w:t>
            </w:r>
            <w:r>
              <w:rPr>
                <w:rFonts w:ascii="Arial"/>
                <w:spacing w:val="3"/>
              </w:rPr>
              <w:t xml:space="preserve"> </w:t>
            </w:r>
            <w:r>
              <w:rPr>
                <w:rFonts w:ascii="Arial"/>
                <w:spacing w:val="-2"/>
              </w:rPr>
              <w:t>of</w:t>
            </w:r>
            <w:r>
              <w:rPr>
                <w:rFonts w:ascii="Arial"/>
                <w:spacing w:val="5"/>
              </w:rPr>
              <w:t xml:space="preserve"> </w:t>
            </w:r>
            <w:r>
              <w:rPr>
                <w:rFonts w:ascii="Arial"/>
                <w:spacing w:val="-2"/>
              </w:rPr>
              <w:t>Call</w:t>
            </w:r>
            <w:r>
              <w:rPr>
                <w:rFonts w:ascii="Arial"/>
                <w:spacing w:val="1"/>
              </w:rPr>
              <w:t xml:space="preserve"> </w:t>
            </w:r>
            <w:r>
              <w:rPr>
                <w:rFonts w:ascii="Arial"/>
                <w:spacing w:val="-1"/>
              </w:rPr>
              <w:t>Off</w:t>
            </w:r>
            <w:r>
              <w:rPr>
                <w:rFonts w:ascii="Arial"/>
                <w:spacing w:val="3"/>
              </w:rPr>
              <w:t xml:space="preserve"> </w:t>
            </w:r>
            <w:r>
              <w:rPr>
                <w:rFonts w:ascii="Arial"/>
                <w:spacing w:val="-1"/>
              </w:rPr>
              <w:t>Schedule</w:t>
            </w:r>
            <w:r>
              <w:rPr>
                <w:rFonts w:ascii="Arial"/>
                <w:spacing w:val="2"/>
              </w:rPr>
              <w:t xml:space="preserve"> </w:t>
            </w:r>
            <w:r>
              <w:rPr>
                <w:rFonts w:ascii="Arial"/>
              </w:rPr>
              <w:t>3</w:t>
            </w:r>
            <w:r>
              <w:rPr>
                <w:rFonts w:ascii="Arial"/>
                <w:spacing w:val="2"/>
              </w:rPr>
              <w:t xml:space="preserve"> </w:t>
            </w:r>
            <w:r>
              <w:rPr>
                <w:rFonts w:ascii="Arial"/>
                <w:spacing w:val="-1"/>
              </w:rPr>
              <w:t>(Call</w:t>
            </w:r>
            <w:r>
              <w:rPr>
                <w:rFonts w:ascii="Arial"/>
                <w:spacing w:val="1"/>
              </w:rPr>
              <w:t xml:space="preserve"> </w:t>
            </w:r>
            <w:r>
              <w:rPr>
                <w:rFonts w:ascii="Arial"/>
                <w:spacing w:val="-1"/>
              </w:rPr>
              <w:t>Off</w:t>
            </w:r>
            <w:r>
              <w:rPr>
                <w:rFonts w:ascii="Arial"/>
                <w:spacing w:val="25"/>
              </w:rPr>
              <w:t xml:space="preserve"> </w:t>
            </w:r>
            <w:r>
              <w:rPr>
                <w:rFonts w:ascii="Arial"/>
                <w:spacing w:val="-1"/>
              </w:rPr>
              <w:t>Contract</w:t>
            </w:r>
            <w:r>
              <w:rPr>
                <w:rFonts w:ascii="Arial"/>
                <w:spacing w:val="2"/>
              </w:rPr>
              <w:t xml:space="preserve"> </w:t>
            </w:r>
            <w:r>
              <w:rPr>
                <w:rFonts w:ascii="Arial"/>
                <w:spacing w:val="-1"/>
              </w:rPr>
              <w:t>Charges,</w:t>
            </w:r>
            <w:r>
              <w:rPr>
                <w:rFonts w:ascii="Arial"/>
              </w:rPr>
              <w:t xml:space="preserve"> </w:t>
            </w:r>
            <w:r>
              <w:rPr>
                <w:rFonts w:ascii="Arial"/>
                <w:spacing w:val="-1"/>
              </w:rPr>
              <w:t>Payment</w:t>
            </w:r>
            <w:r>
              <w:rPr>
                <w:rFonts w:ascii="Arial"/>
                <w:spacing w:val="2"/>
              </w:rPr>
              <w:t xml:space="preserve"> </w:t>
            </w:r>
            <w:r>
              <w:rPr>
                <w:rFonts w:ascii="Arial"/>
                <w:spacing w:val="-1"/>
              </w:rPr>
              <w:t>and</w:t>
            </w:r>
            <w:r>
              <w:rPr>
                <w:rFonts w:ascii="Arial"/>
                <w:spacing w:val="-2"/>
              </w:rPr>
              <w:t xml:space="preserve"> </w:t>
            </w:r>
            <w:r>
              <w:rPr>
                <w:rFonts w:ascii="Arial"/>
                <w:spacing w:val="-1"/>
              </w:rPr>
              <w:t>Invoicing);</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"Variation"</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0"/>
              <w:rPr>
                <w:rFonts w:ascii="Arial" w:eastAsia="Arial" w:hAnsi="Arial" w:cs="Arial"/>
              </w:rPr>
            </w:pPr>
            <w:r>
              <w:rPr>
                <w:rFonts w:ascii="Arial"/>
                <w:spacing w:val="-1"/>
              </w:rPr>
              <w:t>has</w:t>
            </w:r>
            <w:r>
              <w:rPr>
                <w:rFonts w:ascii="Arial"/>
              </w:rPr>
              <w:t xml:space="preserve"> </w:t>
            </w:r>
            <w:r>
              <w:rPr>
                <w:rFonts w:ascii="Arial"/>
                <w:spacing w:val="2"/>
              </w:rPr>
              <w:t xml:space="preserve"> </w:t>
            </w:r>
            <w:r>
              <w:rPr>
                <w:rFonts w:ascii="Arial"/>
              </w:rPr>
              <w:t xml:space="preserve">the </w:t>
            </w:r>
            <w:r>
              <w:rPr>
                <w:rFonts w:ascii="Arial"/>
                <w:spacing w:val="2"/>
              </w:rPr>
              <w:t xml:space="preserve"> </w:t>
            </w:r>
            <w:r>
              <w:rPr>
                <w:rFonts w:ascii="Arial"/>
                <w:spacing w:val="-2"/>
              </w:rPr>
              <w:t>meaning</w:t>
            </w:r>
            <w:r>
              <w:rPr>
                <w:rFonts w:ascii="Arial"/>
              </w:rPr>
              <w:t xml:space="preserve"> </w:t>
            </w:r>
            <w:r>
              <w:rPr>
                <w:rFonts w:ascii="Arial"/>
                <w:spacing w:val="2"/>
              </w:rPr>
              <w:t xml:space="preserve"> </w:t>
            </w:r>
            <w:r>
              <w:rPr>
                <w:rFonts w:ascii="Arial"/>
                <w:spacing w:val="-1"/>
              </w:rPr>
              <w:t>given</w:t>
            </w:r>
            <w:r>
              <w:rPr>
                <w:rFonts w:ascii="Arial"/>
              </w:rPr>
              <w:t xml:space="preserve"> </w:t>
            </w:r>
            <w:r>
              <w:rPr>
                <w:rFonts w:ascii="Arial"/>
                <w:spacing w:val="2"/>
              </w:rPr>
              <w:t xml:space="preserve"> </w:t>
            </w:r>
            <w:r>
              <w:rPr>
                <w:rFonts w:ascii="Arial"/>
              </w:rPr>
              <w:t xml:space="preserve">to </w:t>
            </w:r>
            <w:r>
              <w:rPr>
                <w:rFonts w:ascii="Arial"/>
                <w:spacing w:val="2"/>
              </w:rPr>
              <w:t xml:space="preserve"> </w:t>
            </w:r>
            <w:r>
              <w:rPr>
                <w:rFonts w:ascii="Arial"/>
                <w:spacing w:val="-1"/>
              </w:rPr>
              <w:t>it</w:t>
            </w:r>
            <w:r>
              <w:rPr>
                <w:rFonts w:ascii="Arial"/>
              </w:rPr>
              <w:t xml:space="preserve"> </w:t>
            </w:r>
            <w:r>
              <w:rPr>
                <w:rFonts w:ascii="Arial"/>
                <w:spacing w:val="3"/>
              </w:rPr>
              <w:t xml:space="preserve"> </w:t>
            </w:r>
            <w:r>
              <w:rPr>
                <w:rFonts w:ascii="Arial"/>
                <w:spacing w:val="-1"/>
              </w:rPr>
              <w:t>in</w:t>
            </w:r>
            <w:r>
              <w:rPr>
                <w:rFonts w:ascii="Arial"/>
              </w:rPr>
              <w:t xml:space="preserve"> </w:t>
            </w:r>
            <w:r>
              <w:rPr>
                <w:rFonts w:ascii="Arial"/>
                <w:spacing w:val="2"/>
              </w:rPr>
              <w:t xml:space="preserve"> </w:t>
            </w:r>
            <w:r>
              <w:rPr>
                <w:rFonts w:ascii="Arial"/>
                <w:spacing w:val="-2"/>
              </w:rPr>
              <w:t>Clause</w:t>
            </w:r>
            <w:r>
              <w:rPr>
                <w:rFonts w:ascii="Arial"/>
              </w:rPr>
              <w:t xml:space="preserve"> </w:t>
            </w:r>
            <w:r>
              <w:rPr>
                <w:rFonts w:ascii="Arial"/>
                <w:spacing w:val="4"/>
              </w:rPr>
              <w:t xml:space="preserve"> </w:t>
            </w:r>
            <w:hyperlink w:anchor="_bookmark119" w:history="1">
              <w:r>
                <w:rPr>
                  <w:rFonts w:ascii="Arial"/>
                  <w:spacing w:val="-1"/>
                </w:rPr>
                <w:t>22.1</w:t>
              </w:r>
            </w:hyperlink>
            <w:r>
              <w:rPr>
                <w:rFonts w:ascii="Arial"/>
              </w:rPr>
              <w:t xml:space="preserve"> </w:t>
            </w:r>
            <w:r>
              <w:rPr>
                <w:rFonts w:ascii="Arial"/>
                <w:spacing w:val="2"/>
              </w:rPr>
              <w:t xml:space="preserve"> </w:t>
            </w:r>
            <w:r>
              <w:rPr>
                <w:rFonts w:ascii="Arial"/>
                <w:spacing w:val="-1"/>
              </w:rPr>
              <w:t>(Variation</w:t>
            </w:r>
            <w:r>
              <w:rPr>
                <w:rFonts w:ascii="Arial"/>
                <w:spacing w:val="34"/>
              </w:rPr>
              <w:t xml:space="preserve"> </w:t>
            </w:r>
            <w:r>
              <w:rPr>
                <w:rFonts w:ascii="Arial"/>
                <w:spacing w:val="-1"/>
              </w:rPr>
              <w:t>Procedure);</w:t>
            </w:r>
          </w:p>
        </w:tc>
      </w:tr>
      <w:tr w:rsidR="008918FA" w:rsidTr="001C1527">
        <w:trPr>
          <w:trHeight w:hRule="exact" w:val="641"/>
        </w:trPr>
        <w:tc>
          <w:tcPr>
            <w:tcW w:w="2410" w:type="dxa"/>
            <w:tcBorders>
              <w:top w:val="single" w:sz="7" w:space="0" w:color="000000"/>
              <w:left w:val="single" w:sz="5" w:space="0" w:color="000000"/>
              <w:bottom w:val="single" w:sz="7" w:space="0" w:color="000000"/>
              <w:right w:val="single" w:sz="7" w:space="0" w:color="000000"/>
            </w:tcBorders>
            <w:shd w:val="clear" w:color="auto" w:fill="auto"/>
          </w:tcPr>
          <w:p w:rsidR="008918FA" w:rsidRDefault="008918FA" w:rsidP="005D2B81">
            <w:pPr>
              <w:pStyle w:val="TableParagraph"/>
              <w:spacing w:line="247" w:lineRule="exact"/>
              <w:ind w:left="-6"/>
              <w:rPr>
                <w:rFonts w:ascii="Arial" w:eastAsia="Arial" w:hAnsi="Arial" w:cs="Arial"/>
              </w:rPr>
            </w:pPr>
            <w:r>
              <w:rPr>
                <w:rFonts w:ascii="Arial"/>
                <w:b/>
                <w:spacing w:val="-1"/>
              </w:rPr>
              <w:t>"Variation</w:t>
            </w:r>
            <w:r>
              <w:rPr>
                <w:rFonts w:ascii="Arial"/>
                <w:b/>
                <w:spacing w:val="-2"/>
              </w:rPr>
              <w:t xml:space="preserve"> </w:t>
            </w:r>
            <w:r>
              <w:rPr>
                <w:rFonts w:ascii="Arial"/>
                <w:b/>
                <w:spacing w:val="-1"/>
              </w:rPr>
              <w:t>Form"</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spacing w:line="241" w:lineRule="auto"/>
              <w:ind w:left="270" w:right="100"/>
              <w:rPr>
                <w:rFonts w:ascii="Arial" w:eastAsia="Arial" w:hAnsi="Arial" w:cs="Arial"/>
              </w:rPr>
            </w:pPr>
            <w:r>
              <w:rPr>
                <w:rFonts w:ascii="Arial"/>
                <w:spacing w:val="-1"/>
              </w:rPr>
              <w:t>means</w:t>
            </w:r>
            <w:r>
              <w:rPr>
                <w:rFonts w:ascii="Arial"/>
                <w:spacing w:val="10"/>
              </w:rPr>
              <w:t xml:space="preserve"> </w:t>
            </w:r>
            <w:r>
              <w:rPr>
                <w:rFonts w:ascii="Arial"/>
              </w:rPr>
              <w:t>the</w:t>
            </w:r>
            <w:r>
              <w:rPr>
                <w:rFonts w:ascii="Arial"/>
                <w:spacing w:val="7"/>
              </w:rPr>
              <w:t xml:space="preserve"> </w:t>
            </w:r>
            <w:r>
              <w:rPr>
                <w:rFonts w:ascii="Arial"/>
                <w:spacing w:val="-1"/>
              </w:rPr>
              <w:t>form</w:t>
            </w:r>
            <w:r>
              <w:rPr>
                <w:rFonts w:ascii="Arial"/>
                <w:spacing w:val="11"/>
              </w:rPr>
              <w:t xml:space="preserve"> </w:t>
            </w:r>
            <w:r>
              <w:rPr>
                <w:rFonts w:ascii="Arial"/>
                <w:spacing w:val="-2"/>
              </w:rPr>
              <w:t>set</w:t>
            </w:r>
            <w:r>
              <w:rPr>
                <w:rFonts w:ascii="Arial"/>
                <w:spacing w:val="11"/>
              </w:rPr>
              <w:t xml:space="preserve"> </w:t>
            </w:r>
            <w:r>
              <w:rPr>
                <w:rFonts w:ascii="Arial"/>
                <w:spacing w:val="-1"/>
              </w:rPr>
              <w:t>out</w:t>
            </w:r>
            <w:r>
              <w:rPr>
                <w:rFonts w:ascii="Arial"/>
                <w:spacing w:val="11"/>
              </w:rPr>
              <w:t xml:space="preserve"> </w:t>
            </w:r>
            <w:r>
              <w:rPr>
                <w:rFonts w:ascii="Arial"/>
                <w:spacing w:val="-2"/>
              </w:rPr>
              <w:t>in</w:t>
            </w:r>
            <w:r>
              <w:rPr>
                <w:rFonts w:ascii="Arial"/>
                <w:spacing w:val="10"/>
              </w:rPr>
              <w:t xml:space="preserve"> </w:t>
            </w:r>
            <w:r>
              <w:rPr>
                <w:rFonts w:ascii="Arial"/>
                <w:spacing w:val="-2"/>
              </w:rPr>
              <w:t>Call</w:t>
            </w:r>
            <w:r>
              <w:rPr>
                <w:rFonts w:ascii="Arial"/>
                <w:spacing w:val="9"/>
              </w:rPr>
              <w:t xml:space="preserve"> </w:t>
            </w:r>
            <w:r>
              <w:rPr>
                <w:rFonts w:ascii="Arial"/>
              </w:rPr>
              <w:t>Off</w:t>
            </w:r>
            <w:r>
              <w:rPr>
                <w:rFonts w:ascii="Arial"/>
                <w:spacing w:val="11"/>
              </w:rPr>
              <w:t xml:space="preserve"> </w:t>
            </w:r>
            <w:r>
              <w:rPr>
                <w:rFonts w:ascii="Arial"/>
                <w:spacing w:val="-1"/>
              </w:rPr>
              <w:t>Schedule</w:t>
            </w:r>
            <w:r>
              <w:rPr>
                <w:rFonts w:ascii="Arial"/>
                <w:spacing w:val="10"/>
              </w:rPr>
              <w:t xml:space="preserve"> </w:t>
            </w:r>
            <w:r>
              <w:rPr>
                <w:rFonts w:ascii="Arial"/>
              </w:rPr>
              <w:t>13</w:t>
            </w:r>
            <w:r>
              <w:rPr>
                <w:rFonts w:ascii="Arial"/>
                <w:spacing w:val="10"/>
              </w:rPr>
              <w:t xml:space="preserve"> </w:t>
            </w:r>
            <w:r>
              <w:rPr>
                <w:rFonts w:ascii="Arial"/>
                <w:spacing w:val="-1"/>
              </w:rPr>
              <w:t>(Variation</w:t>
            </w:r>
            <w:r>
              <w:rPr>
                <w:rFonts w:ascii="Arial"/>
                <w:spacing w:val="26"/>
              </w:rPr>
              <w:t xml:space="preserve"> </w:t>
            </w:r>
            <w:r>
              <w:rPr>
                <w:rFonts w:ascii="Arial"/>
                <w:spacing w:val="-1"/>
              </w:rPr>
              <w:t>Form);</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"Variation</w:t>
            </w:r>
            <w:r>
              <w:rPr>
                <w:rFonts w:ascii="Arial"/>
                <w:b/>
                <w:spacing w:val="-2"/>
              </w:rPr>
              <w:t xml:space="preserve"> </w:t>
            </w:r>
            <w:r>
              <w:rPr>
                <w:rFonts w:ascii="Arial"/>
                <w:b/>
                <w:spacing w:val="-1"/>
              </w:rPr>
              <w:t>Procedure"</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98"/>
              <w:rPr>
                <w:rFonts w:ascii="Arial" w:eastAsia="Arial" w:hAnsi="Arial" w:cs="Arial"/>
              </w:rPr>
            </w:pPr>
            <w:r>
              <w:rPr>
                <w:rFonts w:ascii="Arial"/>
                <w:spacing w:val="-1"/>
              </w:rPr>
              <w:t>means</w:t>
            </w:r>
            <w:r>
              <w:rPr>
                <w:rFonts w:ascii="Arial"/>
                <w:spacing w:val="49"/>
              </w:rPr>
              <w:t xml:space="preserve"> </w:t>
            </w:r>
            <w:r>
              <w:rPr>
                <w:rFonts w:ascii="Arial"/>
              </w:rPr>
              <w:t>the</w:t>
            </w:r>
            <w:r>
              <w:rPr>
                <w:rFonts w:ascii="Arial"/>
                <w:spacing w:val="48"/>
              </w:rPr>
              <w:t xml:space="preserve"> </w:t>
            </w:r>
            <w:r>
              <w:rPr>
                <w:rFonts w:ascii="Arial"/>
                <w:spacing w:val="-1"/>
              </w:rPr>
              <w:t>procedure</w:t>
            </w:r>
            <w:r>
              <w:rPr>
                <w:rFonts w:ascii="Arial"/>
                <w:spacing w:val="48"/>
              </w:rPr>
              <w:t xml:space="preserve"> </w:t>
            </w:r>
            <w:r>
              <w:rPr>
                <w:rFonts w:ascii="Arial"/>
                <w:spacing w:val="-1"/>
              </w:rPr>
              <w:t>set</w:t>
            </w:r>
            <w:r>
              <w:rPr>
                <w:rFonts w:ascii="Arial"/>
                <w:spacing w:val="50"/>
              </w:rPr>
              <w:t xml:space="preserve"> </w:t>
            </w:r>
            <w:r>
              <w:rPr>
                <w:rFonts w:ascii="Arial"/>
                <w:spacing w:val="-1"/>
              </w:rPr>
              <w:t>out</w:t>
            </w:r>
            <w:r>
              <w:rPr>
                <w:rFonts w:ascii="Arial"/>
                <w:spacing w:val="50"/>
              </w:rPr>
              <w:t xml:space="preserve"> </w:t>
            </w:r>
            <w:r>
              <w:rPr>
                <w:rFonts w:ascii="Arial"/>
                <w:spacing w:val="-1"/>
              </w:rPr>
              <w:t>in</w:t>
            </w:r>
            <w:r>
              <w:rPr>
                <w:rFonts w:ascii="Arial"/>
                <w:spacing w:val="48"/>
              </w:rPr>
              <w:t xml:space="preserve"> </w:t>
            </w:r>
            <w:r>
              <w:rPr>
                <w:rFonts w:ascii="Arial"/>
                <w:spacing w:val="-2"/>
              </w:rPr>
              <w:t>Clause</w:t>
            </w:r>
            <w:r>
              <w:rPr>
                <w:rFonts w:ascii="Arial"/>
                <w:spacing w:val="50"/>
              </w:rPr>
              <w:t xml:space="preserve"> </w:t>
            </w:r>
            <w:hyperlink w:anchor="_bookmark119" w:history="1">
              <w:r>
                <w:rPr>
                  <w:rFonts w:ascii="Arial"/>
                  <w:spacing w:val="-1"/>
                </w:rPr>
                <w:t>22.1</w:t>
              </w:r>
            </w:hyperlink>
            <w:r>
              <w:rPr>
                <w:rFonts w:ascii="Arial"/>
                <w:spacing w:val="50"/>
              </w:rPr>
              <w:t xml:space="preserve"> </w:t>
            </w:r>
            <w:r>
              <w:rPr>
                <w:rFonts w:ascii="Arial"/>
                <w:spacing w:val="-1"/>
              </w:rPr>
              <w:t>(Variation</w:t>
            </w:r>
            <w:r>
              <w:rPr>
                <w:rFonts w:ascii="Arial"/>
                <w:spacing w:val="40"/>
              </w:rPr>
              <w:t xml:space="preserve"> </w:t>
            </w:r>
            <w:r>
              <w:rPr>
                <w:rFonts w:ascii="Arial"/>
                <w:spacing w:val="-1"/>
              </w:rPr>
              <w:t>Procedure);</w:t>
            </w:r>
          </w:p>
        </w:tc>
      </w:tr>
      <w:tr w:rsidR="008918FA" w:rsidTr="005D2B81">
        <w:trPr>
          <w:trHeight w:hRule="exact" w:val="641"/>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2"/>
              </w:rPr>
              <w:t>"VAT"</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5"/>
              <w:rPr>
                <w:rFonts w:ascii="Arial" w:eastAsia="Arial" w:hAnsi="Arial" w:cs="Arial"/>
              </w:rPr>
            </w:pPr>
            <w:r>
              <w:rPr>
                <w:rFonts w:ascii="Arial"/>
                <w:spacing w:val="-1"/>
              </w:rPr>
              <w:t>means</w:t>
            </w:r>
            <w:r>
              <w:rPr>
                <w:rFonts w:ascii="Arial"/>
                <w:spacing w:val="13"/>
              </w:rPr>
              <w:t xml:space="preserve"> </w:t>
            </w:r>
            <w:r>
              <w:rPr>
                <w:rFonts w:ascii="Arial"/>
                <w:spacing w:val="-2"/>
              </w:rPr>
              <w:t>value</w:t>
            </w:r>
            <w:r>
              <w:rPr>
                <w:rFonts w:ascii="Arial"/>
                <w:spacing w:val="12"/>
              </w:rPr>
              <w:t xml:space="preserve"> </w:t>
            </w:r>
            <w:r>
              <w:rPr>
                <w:rFonts w:ascii="Arial"/>
                <w:spacing w:val="-1"/>
              </w:rPr>
              <w:t>added</w:t>
            </w:r>
            <w:r>
              <w:rPr>
                <w:rFonts w:ascii="Arial"/>
                <w:spacing w:val="10"/>
              </w:rPr>
              <w:t xml:space="preserve"> </w:t>
            </w:r>
            <w:r>
              <w:rPr>
                <w:rFonts w:ascii="Arial"/>
              </w:rPr>
              <w:t>tax</w:t>
            </w:r>
            <w:r>
              <w:rPr>
                <w:rFonts w:ascii="Arial"/>
                <w:spacing w:val="10"/>
              </w:rPr>
              <w:t xml:space="preserve"> </w:t>
            </w:r>
            <w:r>
              <w:rPr>
                <w:rFonts w:ascii="Arial"/>
                <w:spacing w:val="-1"/>
              </w:rPr>
              <w:t>in</w:t>
            </w:r>
            <w:r>
              <w:rPr>
                <w:rFonts w:ascii="Arial"/>
                <w:spacing w:val="12"/>
              </w:rPr>
              <w:t xml:space="preserve"> </w:t>
            </w:r>
            <w:r>
              <w:rPr>
                <w:rFonts w:ascii="Arial"/>
                <w:spacing w:val="-1"/>
              </w:rPr>
              <w:t>accordance</w:t>
            </w:r>
            <w:r>
              <w:rPr>
                <w:rFonts w:ascii="Arial"/>
                <w:spacing w:val="13"/>
              </w:rPr>
              <w:t xml:space="preserve"> </w:t>
            </w:r>
            <w:r>
              <w:rPr>
                <w:rFonts w:ascii="Arial"/>
                <w:spacing w:val="-2"/>
              </w:rPr>
              <w:t>with</w:t>
            </w:r>
            <w:r>
              <w:rPr>
                <w:rFonts w:ascii="Arial"/>
                <w:spacing w:val="12"/>
              </w:rPr>
              <w:t xml:space="preserve"> </w:t>
            </w:r>
            <w:r>
              <w:rPr>
                <w:rFonts w:ascii="Arial"/>
              </w:rPr>
              <w:t>the</w:t>
            </w:r>
            <w:r>
              <w:rPr>
                <w:rFonts w:ascii="Arial"/>
                <w:spacing w:val="12"/>
              </w:rPr>
              <w:t xml:space="preserve"> </w:t>
            </w:r>
            <w:r>
              <w:rPr>
                <w:rFonts w:ascii="Arial"/>
                <w:spacing w:val="-2"/>
              </w:rPr>
              <w:t>provisions</w:t>
            </w:r>
            <w:r>
              <w:rPr>
                <w:rFonts w:ascii="Arial"/>
                <w:spacing w:val="28"/>
              </w:rPr>
              <w:t xml:space="preserve"> </w:t>
            </w:r>
            <w:r>
              <w:rPr>
                <w:rFonts w:ascii="Arial"/>
                <w:spacing w:val="-2"/>
              </w:rPr>
              <w:t>of</w:t>
            </w:r>
            <w:r>
              <w:rPr>
                <w:rFonts w:ascii="Arial"/>
                <w:spacing w:val="2"/>
              </w:rPr>
              <w:t xml:space="preserve"> </w:t>
            </w:r>
            <w:r>
              <w:rPr>
                <w:rFonts w:ascii="Arial"/>
              </w:rPr>
              <w:t xml:space="preserve">the </w:t>
            </w:r>
            <w:r>
              <w:rPr>
                <w:rFonts w:ascii="Arial"/>
                <w:spacing w:val="-1"/>
              </w:rPr>
              <w:t>Value</w:t>
            </w:r>
            <w:r>
              <w:rPr>
                <w:rFonts w:ascii="Arial"/>
              </w:rPr>
              <w:t xml:space="preserve"> </w:t>
            </w:r>
            <w:r>
              <w:rPr>
                <w:rFonts w:ascii="Arial"/>
                <w:spacing w:val="-1"/>
              </w:rPr>
              <w:t>Added</w:t>
            </w:r>
            <w:r>
              <w:rPr>
                <w:rFonts w:ascii="Arial"/>
                <w:spacing w:val="-4"/>
              </w:rPr>
              <w:t xml:space="preserve"> </w:t>
            </w:r>
            <w:r>
              <w:rPr>
                <w:rFonts w:ascii="Arial"/>
              </w:rPr>
              <w:t>Tax</w:t>
            </w:r>
            <w:r>
              <w:rPr>
                <w:rFonts w:ascii="Arial"/>
                <w:spacing w:val="-2"/>
              </w:rPr>
              <w:t xml:space="preserve"> </w:t>
            </w:r>
            <w:r>
              <w:rPr>
                <w:rFonts w:ascii="Arial"/>
                <w:spacing w:val="-1"/>
              </w:rPr>
              <w:t>Act</w:t>
            </w:r>
            <w:r>
              <w:rPr>
                <w:rFonts w:ascii="Arial"/>
                <w:spacing w:val="2"/>
              </w:rPr>
              <w:t xml:space="preserve"> </w:t>
            </w:r>
            <w:r>
              <w:rPr>
                <w:rFonts w:ascii="Arial"/>
                <w:spacing w:val="-2"/>
              </w:rPr>
              <w:t>1994;</w:t>
            </w:r>
          </w:p>
        </w:tc>
      </w:tr>
      <w:tr w:rsidR="008918FA" w:rsidTr="005D2B81">
        <w:trPr>
          <w:trHeight w:hRule="exact" w:val="643"/>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50" w:lineRule="exact"/>
              <w:ind w:left="-6"/>
              <w:rPr>
                <w:rFonts w:ascii="Arial" w:eastAsia="Arial" w:hAnsi="Arial" w:cs="Arial"/>
              </w:rPr>
            </w:pPr>
            <w:r>
              <w:rPr>
                <w:rFonts w:ascii="Arial"/>
                <w:b/>
                <w:spacing w:val="-1"/>
              </w:rPr>
              <w:t>"Warranty</w:t>
            </w:r>
            <w:r>
              <w:rPr>
                <w:rFonts w:ascii="Arial"/>
                <w:b/>
                <w:spacing w:val="-4"/>
              </w:rPr>
              <w:t xml:space="preserve"> </w:t>
            </w:r>
            <w:r>
              <w:rPr>
                <w:rFonts w:ascii="Arial"/>
                <w:b/>
                <w:spacing w:val="-1"/>
              </w:rPr>
              <w:t>Period"</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ind w:left="270" w:right="101"/>
              <w:rPr>
                <w:rFonts w:ascii="Arial" w:eastAsia="Arial" w:hAnsi="Arial" w:cs="Arial"/>
              </w:rPr>
            </w:pPr>
            <w:r>
              <w:rPr>
                <w:rFonts w:ascii="Arial"/>
                <w:spacing w:val="-1"/>
              </w:rPr>
              <w:t>means,</w:t>
            </w:r>
            <w:r>
              <w:rPr>
                <w:rFonts w:ascii="Arial"/>
              </w:rPr>
              <w:t xml:space="preserve"> </w:t>
            </w:r>
            <w:r>
              <w:rPr>
                <w:rFonts w:ascii="Arial"/>
                <w:spacing w:val="8"/>
              </w:rPr>
              <w:t xml:space="preserve"> </w:t>
            </w:r>
            <w:r>
              <w:rPr>
                <w:rFonts w:ascii="Arial"/>
                <w:spacing w:val="-1"/>
              </w:rPr>
              <w:t>in</w:t>
            </w:r>
            <w:r>
              <w:rPr>
                <w:rFonts w:ascii="Arial"/>
              </w:rPr>
              <w:t xml:space="preserve"> </w:t>
            </w:r>
            <w:r>
              <w:rPr>
                <w:rFonts w:ascii="Arial"/>
                <w:spacing w:val="9"/>
              </w:rPr>
              <w:t xml:space="preserve"> </w:t>
            </w:r>
            <w:r>
              <w:rPr>
                <w:rFonts w:ascii="Arial"/>
                <w:spacing w:val="-1"/>
              </w:rPr>
              <w:t>relation</w:t>
            </w:r>
            <w:r>
              <w:rPr>
                <w:rFonts w:ascii="Arial"/>
              </w:rPr>
              <w:t xml:space="preserve"> </w:t>
            </w:r>
            <w:r>
              <w:rPr>
                <w:rFonts w:ascii="Arial"/>
                <w:spacing w:val="6"/>
              </w:rPr>
              <w:t xml:space="preserve"> </w:t>
            </w:r>
            <w:r>
              <w:rPr>
                <w:rFonts w:ascii="Arial"/>
              </w:rPr>
              <w:t xml:space="preserve">to </w:t>
            </w:r>
            <w:r>
              <w:rPr>
                <w:rFonts w:ascii="Arial"/>
                <w:spacing w:val="9"/>
              </w:rPr>
              <w:t xml:space="preserve"> </w:t>
            </w:r>
            <w:r>
              <w:rPr>
                <w:rFonts w:ascii="Arial"/>
                <w:spacing w:val="-2"/>
              </w:rPr>
              <w:t>any</w:t>
            </w:r>
            <w:r>
              <w:rPr>
                <w:rFonts w:ascii="Arial"/>
              </w:rPr>
              <w:t xml:space="preserve"> </w:t>
            </w:r>
            <w:r>
              <w:rPr>
                <w:rFonts w:ascii="Arial"/>
                <w:spacing w:val="7"/>
              </w:rPr>
              <w:t xml:space="preserve"> </w:t>
            </w:r>
            <w:r>
              <w:rPr>
                <w:rFonts w:ascii="Arial"/>
                <w:spacing w:val="-1"/>
              </w:rPr>
              <w:t>Goods,</w:t>
            </w:r>
            <w:r>
              <w:rPr>
                <w:rFonts w:ascii="Arial"/>
              </w:rPr>
              <w:t xml:space="preserve"> </w:t>
            </w:r>
            <w:r>
              <w:rPr>
                <w:rFonts w:ascii="Arial"/>
                <w:spacing w:val="8"/>
              </w:rPr>
              <w:t xml:space="preserve"> </w:t>
            </w:r>
            <w:r>
              <w:rPr>
                <w:rFonts w:ascii="Arial"/>
              </w:rPr>
              <w:t xml:space="preserve">the </w:t>
            </w:r>
            <w:r>
              <w:rPr>
                <w:rFonts w:ascii="Arial"/>
                <w:spacing w:val="9"/>
              </w:rPr>
              <w:t xml:space="preserve"> </w:t>
            </w:r>
            <w:r>
              <w:rPr>
                <w:rFonts w:ascii="Arial"/>
                <w:spacing w:val="-2"/>
              </w:rPr>
              <w:t>warranty</w:t>
            </w:r>
            <w:r>
              <w:rPr>
                <w:rFonts w:ascii="Arial"/>
              </w:rPr>
              <w:t xml:space="preserve"> </w:t>
            </w:r>
            <w:r>
              <w:rPr>
                <w:rFonts w:ascii="Arial"/>
                <w:spacing w:val="7"/>
              </w:rPr>
              <w:t xml:space="preserve"> </w:t>
            </w:r>
            <w:r>
              <w:rPr>
                <w:rFonts w:ascii="Arial"/>
                <w:spacing w:val="-1"/>
              </w:rPr>
              <w:t>period</w:t>
            </w:r>
            <w:r>
              <w:rPr>
                <w:rFonts w:ascii="Arial"/>
                <w:spacing w:val="34"/>
              </w:rPr>
              <w:t xml:space="preserve"> </w:t>
            </w:r>
            <w:r>
              <w:rPr>
                <w:rFonts w:ascii="Arial"/>
                <w:spacing w:val="-1"/>
              </w:rPr>
              <w:t>specified</w:t>
            </w:r>
            <w:r>
              <w:rPr>
                <w:rFonts w:ascii="Arial"/>
              </w:rPr>
              <w:t xml:space="preserve"> </w:t>
            </w:r>
            <w:r>
              <w:rPr>
                <w:rFonts w:ascii="Arial"/>
                <w:spacing w:val="-1"/>
              </w:rPr>
              <w:t>in</w:t>
            </w:r>
            <w:r>
              <w:rPr>
                <w:rFonts w:ascii="Arial"/>
              </w:rPr>
              <w:t xml:space="preserve"> the</w:t>
            </w:r>
            <w:r>
              <w:rPr>
                <w:rFonts w:ascii="Arial"/>
                <w:spacing w:val="-4"/>
              </w:rPr>
              <w:t xml:space="preserve"> </w:t>
            </w:r>
            <w:r>
              <w:rPr>
                <w:rFonts w:ascii="Arial"/>
                <w:spacing w:val="-1"/>
              </w:rPr>
              <w:t>Order</w:t>
            </w:r>
            <w:r>
              <w:rPr>
                <w:rFonts w:ascii="Arial"/>
                <w:spacing w:val="2"/>
              </w:rPr>
              <w:t xml:space="preserve"> </w:t>
            </w:r>
            <w:r>
              <w:rPr>
                <w:rFonts w:ascii="Arial"/>
                <w:spacing w:val="-2"/>
              </w:rPr>
              <w:t>Form;</w:t>
            </w:r>
          </w:p>
        </w:tc>
      </w:tr>
      <w:tr w:rsidR="008918FA" w:rsidTr="005D2B81">
        <w:trPr>
          <w:trHeight w:hRule="exact" w:val="1906"/>
        </w:trPr>
        <w:tc>
          <w:tcPr>
            <w:tcW w:w="2410" w:type="dxa"/>
            <w:tcBorders>
              <w:top w:val="single" w:sz="7" w:space="0" w:color="000000"/>
              <w:left w:val="single" w:sz="5" w:space="0" w:color="000000"/>
              <w:bottom w:val="single" w:sz="7"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eastAsia="Arial" w:hAnsi="Arial" w:cs="Arial"/>
                <w:b/>
                <w:bCs/>
                <w:spacing w:val="-1"/>
              </w:rPr>
              <w:t>“Worker”</w:t>
            </w:r>
          </w:p>
        </w:tc>
        <w:tc>
          <w:tcPr>
            <w:tcW w:w="6060" w:type="dxa"/>
            <w:tcBorders>
              <w:top w:val="single" w:sz="7" w:space="0" w:color="000000"/>
              <w:left w:val="single" w:sz="7" w:space="0" w:color="000000"/>
              <w:bottom w:val="single" w:sz="7" w:space="0" w:color="000000"/>
              <w:right w:val="single" w:sz="5" w:space="0" w:color="000000"/>
            </w:tcBorders>
          </w:tcPr>
          <w:p w:rsidR="008918FA" w:rsidRDefault="008918FA" w:rsidP="005D2B81">
            <w:pPr>
              <w:pStyle w:val="TableParagraph"/>
              <w:tabs>
                <w:tab w:val="left" w:pos="2456"/>
                <w:tab w:val="left" w:pos="3442"/>
                <w:tab w:val="left" w:pos="4843"/>
              </w:tabs>
              <w:spacing w:line="239" w:lineRule="auto"/>
              <w:ind w:left="270" w:right="97"/>
              <w:rPr>
                <w:rFonts w:ascii="Arial" w:eastAsia="Arial" w:hAnsi="Arial" w:cs="Arial"/>
              </w:rPr>
            </w:pPr>
            <w:r>
              <w:rPr>
                <w:rFonts w:ascii="Arial" w:eastAsia="Arial" w:hAnsi="Arial" w:cs="Arial"/>
                <w:spacing w:val="-1"/>
              </w:rPr>
              <w:t>means</w:t>
            </w:r>
            <w:r>
              <w:rPr>
                <w:rFonts w:ascii="Arial" w:eastAsia="Arial" w:hAnsi="Arial" w:cs="Arial"/>
              </w:rPr>
              <w:t xml:space="preserve"> </w:t>
            </w:r>
            <w:r>
              <w:rPr>
                <w:rFonts w:ascii="Arial" w:eastAsia="Arial" w:hAnsi="Arial" w:cs="Arial"/>
                <w:spacing w:val="19"/>
              </w:rPr>
              <w:t xml:space="preserve"> </w:t>
            </w:r>
            <w:r>
              <w:rPr>
                <w:rFonts w:ascii="Arial" w:eastAsia="Arial" w:hAnsi="Arial" w:cs="Arial"/>
                <w:spacing w:val="-1"/>
              </w:rPr>
              <w:t>any</w:t>
            </w:r>
            <w:r>
              <w:rPr>
                <w:rFonts w:ascii="Arial" w:eastAsia="Arial" w:hAnsi="Arial" w:cs="Arial"/>
              </w:rPr>
              <w:t xml:space="preserve"> </w:t>
            </w:r>
            <w:r>
              <w:rPr>
                <w:rFonts w:ascii="Arial" w:eastAsia="Arial" w:hAnsi="Arial" w:cs="Arial"/>
                <w:spacing w:val="17"/>
              </w:rPr>
              <w:t xml:space="preserve"> </w:t>
            </w:r>
            <w:r>
              <w:rPr>
                <w:rFonts w:ascii="Arial" w:eastAsia="Arial" w:hAnsi="Arial" w:cs="Arial"/>
                <w:spacing w:val="-1"/>
              </w:rPr>
              <w:t>one</w:t>
            </w:r>
            <w:r>
              <w:rPr>
                <w:rFonts w:ascii="Arial" w:eastAsia="Arial" w:hAnsi="Arial" w:cs="Arial"/>
              </w:rPr>
              <w:t xml:space="preserve"> </w:t>
            </w:r>
            <w:r>
              <w:rPr>
                <w:rFonts w:ascii="Arial" w:eastAsia="Arial" w:hAnsi="Arial" w:cs="Arial"/>
                <w:spacing w:val="18"/>
              </w:rPr>
              <w:t xml:space="preserve"> </w:t>
            </w:r>
            <w:r>
              <w:rPr>
                <w:rFonts w:ascii="Arial" w:eastAsia="Arial" w:hAnsi="Arial" w:cs="Arial"/>
                <w:spacing w:val="-1"/>
              </w:rPr>
              <w:t>of</w:t>
            </w:r>
            <w:r>
              <w:rPr>
                <w:rFonts w:ascii="Arial" w:eastAsia="Arial" w:hAnsi="Arial" w:cs="Arial"/>
              </w:rPr>
              <w:t xml:space="preserve"> </w:t>
            </w:r>
            <w:r>
              <w:rPr>
                <w:rFonts w:ascii="Arial" w:eastAsia="Arial" w:hAnsi="Arial" w:cs="Arial"/>
                <w:spacing w:val="22"/>
              </w:rPr>
              <w:t xml:space="preserve"> </w:t>
            </w:r>
            <w:r>
              <w:rPr>
                <w:rFonts w:ascii="Arial" w:eastAsia="Arial" w:hAnsi="Arial" w:cs="Arial"/>
              </w:rPr>
              <w:t xml:space="preserve">the </w:t>
            </w:r>
            <w:r>
              <w:rPr>
                <w:rFonts w:ascii="Arial" w:eastAsia="Arial" w:hAnsi="Arial" w:cs="Arial"/>
                <w:spacing w:val="16"/>
              </w:rPr>
              <w:t xml:space="preserve"> </w:t>
            </w:r>
            <w:r>
              <w:rPr>
                <w:rFonts w:ascii="Arial" w:eastAsia="Arial" w:hAnsi="Arial" w:cs="Arial"/>
                <w:spacing w:val="-2"/>
              </w:rPr>
              <w:t>Supplier</w:t>
            </w:r>
            <w:r>
              <w:rPr>
                <w:rFonts w:ascii="Arial" w:eastAsia="Arial" w:hAnsi="Arial" w:cs="Arial"/>
              </w:rPr>
              <w:t xml:space="preserve"> </w:t>
            </w:r>
            <w:r>
              <w:rPr>
                <w:rFonts w:ascii="Arial" w:eastAsia="Arial" w:hAnsi="Arial" w:cs="Arial"/>
                <w:spacing w:val="20"/>
              </w:rPr>
              <w:t xml:space="preserve"> </w:t>
            </w:r>
            <w:r>
              <w:rPr>
                <w:rFonts w:ascii="Arial" w:eastAsia="Arial" w:hAnsi="Arial" w:cs="Arial"/>
                <w:spacing w:val="-1"/>
              </w:rPr>
              <w:t>Personnel</w:t>
            </w:r>
            <w:r>
              <w:rPr>
                <w:rFonts w:ascii="Arial" w:eastAsia="Arial" w:hAnsi="Arial" w:cs="Arial"/>
              </w:rPr>
              <w:t xml:space="preserve"> </w:t>
            </w:r>
            <w:r>
              <w:rPr>
                <w:rFonts w:ascii="Arial" w:eastAsia="Arial" w:hAnsi="Arial" w:cs="Arial"/>
                <w:spacing w:val="20"/>
              </w:rPr>
              <w:t xml:space="preserve"> </w:t>
            </w:r>
            <w:r>
              <w:rPr>
                <w:rFonts w:ascii="Arial" w:eastAsia="Arial" w:hAnsi="Arial" w:cs="Arial"/>
                <w:spacing w:val="-2"/>
              </w:rPr>
              <w:t>which</w:t>
            </w:r>
            <w:r>
              <w:rPr>
                <w:rFonts w:ascii="Arial" w:eastAsia="Arial" w:hAnsi="Arial" w:cs="Arial"/>
              </w:rPr>
              <w:t xml:space="preserve"> </w:t>
            </w:r>
            <w:r>
              <w:rPr>
                <w:rFonts w:ascii="Arial" w:eastAsia="Arial" w:hAnsi="Arial" w:cs="Arial"/>
                <w:spacing w:val="19"/>
              </w:rPr>
              <w:t xml:space="preserve"> </w:t>
            </w:r>
            <w:r>
              <w:rPr>
                <w:rFonts w:ascii="Arial" w:eastAsia="Arial" w:hAnsi="Arial" w:cs="Arial"/>
                <w:spacing w:val="-1"/>
              </w:rPr>
              <w:t>the</w:t>
            </w:r>
            <w:r>
              <w:rPr>
                <w:rFonts w:ascii="Arial" w:eastAsia="Arial" w:hAnsi="Arial" w:cs="Arial"/>
                <w:spacing w:val="42"/>
              </w:rPr>
              <w:t xml:space="preserve"> </w:t>
            </w:r>
            <w:r>
              <w:rPr>
                <w:rFonts w:ascii="Arial" w:eastAsia="Arial" w:hAnsi="Arial" w:cs="Arial"/>
                <w:spacing w:val="-1"/>
              </w:rPr>
              <w:t>Customer,</w:t>
            </w:r>
            <w:r>
              <w:rPr>
                <w:rFonts w:ascii="Arial" w:eastAsia="Arial" w:hAnsi="Arial" w:cs="Arial"/>
              </w:rPr>
              <w:t xml:space="preserve"> </w:t>
            </w:r>
            <w:r>
              <w:rPr>
                <w:rFonts w:ascii="Arial" w:eastAsia="Arial" w:hAnsi="Arial" w:cs="Arial"/>
                <w:spacing w:val="30"/>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28"/>
              </w:rPr>
              <w:t xml:space="preserve"> </w:t>
            </w:r>
            <w:r>
              <w:rPr>
                <w:rFonts w:ascii="Arial" w:eastAsia="Arial" w:hAnsi="Arial" w:cs="Arial"/>
                <w:spacing w:val="-1"/>
              </w:rPr>
              <w:t>its</w:t>
            </w:r>
            <w:r>
              <w:rPr>
                <w:rFonts w:ascii="Arial" w:eastAsia="Arial" w:hAnsi="Arial" w:cs="Arial"/>
              </w:rPr>
              <w:t xml:space="preserve"> </w:t>
            </w:r>
            <w:r>
              <w:rPr>
                <w:rFonts w:ascii="Arial" w:eastAsia="Arial" w:hAnsi="Arial" w:cs="Arial"/>
                <w:spacing w:val="28"/>
              </w:rPr>
              <w:t xml:space="preserve"> </w:t>
            </w:r>
            <w:r>
              <w:rPr>
                <w:rFonts w:ascii="Arial" w:eastAsia="Arial" w:hAnsi="Arial" w:cs="Arial"/>
                <w:spacing w:val="-2"/>
              </w:rPr>
              <w:t>reasonable</w:t>
            </w:r>
            <w:r>
              <w:rPr>
                <w:rFonts w:ascii="Arial" w:eastAsia="Arial" w:hAnsi="Arial" w:cs="Arial"/>
              </w:rPr>
              <w:t xml:space="preserve"> </w:t>
            </w:r>
            <w:r>
              <w:rPr>
                <w:rFonts w:ascii="Arial" w:eastAsia="Arial" w:hAnsi="Arial" w:cs="Arial"/>
                <w:spacing w:val="28"/>
              </w:rPr>
              <w:t xml:space="preserve"> </w:t>
            </w:r>
            <w:r>
              <w:rPr>
                <w:rFonts w:ascii="Arial" w:eastAsia="Arial" w:hAnsi="Arial" w:cs="Arial"/>
                <w:spacing w:val="-2"/>
              </w:rPr>
              <w:t>opinion,</w:t>
            </w:r>
            <w:r>
              <w:rPr>
                <w:rFonts w:ascii="Arial" w:eastAsia="Arial" w:hAnsi="Arial" w:cs="Arial"/>
              </w:rPr>
              <w:t xml:space="preserve"> </w:t>
            </w:r>
            <w:r>
              <w:rPr>
                <w:rFonts w:ascii="Arial" w:eastAsia="Arial" w:hAnsi="Arial" w:cs="Arial"/>
                <w:spacing w:val="30"/>
              </w:rPr>
              <w:t xml:space="preserve"> </w:t>
            </w:r>
            <w:r>
              <w:rPr>
                <w:rFonts w:ascii="Arial" w:eastAsia="Arial" w:hAnsi="Arial" w:cs="Arial"/>
                <w:spacing w:val="-1"/>
              </w:rPr>
              <w:t>considers</w:t>
            </w:r>
            <w:r>
              <w:rPr>
                <w:rFonts w:ascii="Arial" w:eastAsia="Arial" w:hAnsi="Arial" w:cs="Arial"/>
              </w:rPr>
              <w:t xml:space="preserve"> </w:t>
            </w:r>
            <w:r>
              <w:rPr>
                <w:rFonts w:ascii="Arial" w:eastAsia="Arial" w:hAnsi="Arial" w:cs="Arial"/>
                <w:spacing w:val="28"/>
              </w:rPr>
              <w:t xml:space="preserve"> </w:t>
            </w:r>
            <w:r>
              <w:rPr>
                <w:rFonts w:ascii="Arial" w:eastAsia="Arial" w:hAnsi="Arial" w:cs="Arial"/>
                <w:spacing w:val="-1"/>
              </w:rPr>
              <w:t>is</w:t>
            </w:r>
            <w:r>
              <w:rPr>
                <w:rFonts w:ascii="Arial" w:eastAsia="Arial" w:hAnsi="Arial" w:cs="Arial"/>
              </w:rPr>
              <w:t xml:space="preserve"> </w:t>
            </w:r>
            <w:r>
              <w:rPr>
                <w:rFonts w:ascii="Arial" w:eastAsia="Arial" w:hAnsi="Arial" w:cs="Arial"/>
                <w:spacing w:val="28"/>
              </w:rPr>
              <w:t xml:space="preserve"> </w:t>
            </w:r>
            <w:r>
              <w:rPr>
                <w:rFonts w:ascii="Arial" w:eastAsia="Arial" w:hAnsi="Arial" w:cs="Arial"/>
                <w:spacing w:val="-1"/>
              </w:rPr>
              <w:t>an</w:t>
            </w:r>
            <w:r>
              <w:rPr>
                <w:rFonts w:ascii="Arial" w:eastAsia="Arial" w:hAnsi="Arial" w:cs="Arial"/>
                <w:spacing w:val="52"/>
              </w:rPr>
              <w:t xml:space="preserve"> </w:t>
            </w:r>
            <w:r>
              <w:rPr>
                <w:rFonts w:ascii="Arial" w:eastAsia="Arial" w:hAnsi="Arial" w:cs="Arial"/>
                <w:spacing w:val="-2"/>
              </w:rPr>
              <w:t>individual</w:t>
            </w:r>
            <w:r>
              <w:rPr>
                <w:rFonts w:ascii="Arial" w:eastAsia="Arial" w:hAnsi="Arial" w:cs="Arial"/>
                <w:spacing w:val="28"/>
              </w:rPr>
              <w:t xml:space="preserve"> </w:t>
            </w:r>
            <w:r>
              <w:rPr>
                <w:rFonts w:ascii="Arial" w:eastAsia="Arial" w:hAnsi="Arial" w:cs="Arial"/>
              </w:rPr>
              <w:t>to</w:t>
            </w:r>
            <w:r>
              <w:rPr>
                <w:rFonts w:ascii="Arial" w:eastAsia="Arial" w:hAnsi="Arial" w:cs="Arial"/>
                <w:spacing w:val="29"/>
              </w:rPr>
              <w:t xml:space="preserve"> </w:t>
            </w:r>
            <w:r>
              <w:rPr>
                <w:rFonts w:ascii="Arial" w:eastAsia="Arial" w:hAnsi="Arial" w:cs="Arial"/>
                <w:spacing w:val="-2"/>
              </w:rPr>
              <w:t>which</w:t>
            </w:r>
            <w:r>
              <w:rPr>
                <w:rFonts w:ascii="Arial" w:eastAsia="Arial" w:hAnsi="Arial" w:cs="Arial"/>
                <w:spacing w:val="30"/>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Policy</w:t>
            </w:r>
            <w:r>
              <w:rPr>
                <w:rFonts w:ascii="Arial" w:eastAsia="Arial" w:hAnsi="Arial" w:cs="Arial"/>
                <w:spacing w:val="28"/>
              </w:rPr>
              <w:t xml:space="preserve"> </w:t>
            </w:r>
            <w:r>
              <w:rPr>
                <w:rFonts w:ascii="Arial" w:eastAsia="Arial" w:hAnsi="Arial" w:cs="Arial"/>
                <w:spacing w:val="-1"/>
              </w:rPr>
              <w:t>Note</w:t>
            </w:r>
            <w:r>
              <w:rPr>
                <w:rFonts w:ascii="Arial" w:eastAsia="Arial" w:hAnsi="Arial" w:cs="Arial"/>
                <w:spacing w:val="29"/>
              </w:rPr>
              <w:t xml:space="preserve"> </w:t>
            </w:r>
            <w:r>
              <w:rPr>
                <w:rFonts w:ascii="Arial" w:eastAsia="Arial" w:hAnsi="Arial" w:cs="Arial"/>
                <w:spacing w:val="-2"/>
              </w:rPr>
              <w:t>0712</w:t>
            </w:r>
            <w:r>
              <w:rPr>
                <w:rFonts w:ascii="Arial" w:eastAsia="Arial" w:hAnsi="Arial" w:cs="Arial"/>
                <w:spacing w:val="29"/>
              </w:rPr>
              <w:t xml:space="preserve"> </w:t>
            </w:r>
            <w:r>
              <w:rPr>
                <w:rFonts w:ascii="Arial" w:eastAsia="Arial" w:hAnsi="Arial" w:cs="Arial"/>
              </w:rPr>
              <w:t>–</w:t>
            </w:r>
            <w:r>
              <w:rPr>
                <w:rFonts w:ascii="Arial" w:eastAsia="Arial" w:hAnsi="Arial" w:cs="Arial"/>
                <w:spacing w:val="29"/>
              </w:rPr>
              <w:t xml:space="preserve"> </w:t>
            </w:r>
            <w:r>
              <w:rPr>
                <w:rFonts w:ascii="Arial" w:eastAsia="Arial" w:hAnsi="Arial" w:cs="Arial"/>
              </w:rPr>
              <w:t>Tax</w:t>
            </w:r>
            <w:r>
              <w:rPr>
                <w:rFonts w:ascii="Arial" w:eastAsia="Arial" w:hAnsi="Arial" w:cs="Arial"/>
                <w:spacing w:val="53"/>
              </w:rPr>
              <w:t xml:space="preserve"> </w:t>
            </w:r>
            <w:r>
              <w:rPr>
                <w:rFonts w:ascii="Arial" w:eastAsia="Arial" w:hAnsi="Arial" w:cs="Arial"/>
                <w:spacing w:val="-1"/>
              </w:rPr>
              <w:t>Arrangements</w:t>
            </w:r>
            <w:r>
              <w:rPr>
                <w:rFonts w:ascii="Arial" w:eastAsia="Arial" w:hAnsi="Arial" w:cs="Arial"/>
                <w:spacing w:val="-1"/>
              </w:rPr>
              <w:tab/>
            </w:r>
            <w:r>
              <w:rPr>
                <w:rFonts w:ascii="Arial" w:eastAsia="Arial" w:hAnsi="Arial" w:cs="Arial"/>
                <w:spacing w:val="-2"/>
              </w:rPr>
              <w:t>of</w:t>
            </w:r>
            <w:r>
              <w:rPr>
                <w:rFonts w:ascii="Arial" w:eastAsia="Arial" w:hAnsi="Arial" w:cs="Arial"/>
                <w:spacing w:val="-2"/>
              </w:rPr>
              <w:tab/>
              <w:t>Public</w:t>
            </w:r>
            <w:r>
              <w:rPr>
                <w:rFonts w:ascii="Arial" w:eastAsia="Arial" w:hAnsi="Arial" w:cs="Arial"/>
                <w:spacing w:val="-2"/>
              </w:rPr>
              <w:tab/>
            </w:r>
            <w:r>
              <w:rPr>
                <w:rFonts w:ascii="Arial" w:eastAsia="Arial" w:hAnsi="Arial" w:cs="Arial"/>
                <w:spacing w:val="-1"/>
              </w:rPr>
              <w:t>Appointees</w:t>
            </w:r>
            <w:hyperlink r:id="rId15">
              <w:r>
                <w:rPr>
                  <w:rFonts w:ascii="Arial" w:eastAsia="Arial" w:hAnsi="Arial" w:cs="Arial"/>
                  <w:spacing w:val="24"/>
                </w:rPr>
                <w:t xml:space="preserve"> </w:t>
              </w:r>
              <w:r>
                <w:rPr>
                  <w:rFonts w:ascii="Arial" w:eastAsia="Arial" w:hAnsi="Arial" w:cs="Arial"/>
                  <w:spacing w:val="-1"/>
                </w:rPr>
                <w:t>https://www.gov.uk/government/publications/procurement-</w:t>
              </w:r>
            </w:hyperlink>
            <w:r>
              <w:rPr>
                <w:rFonts w:ascii="Arial" w:eastAsia="Arial" w:hAnsi="Arial" w:cs="Arial"/>
                <w:spacing w:val="27"/>
              </w:rPr>
              <w:t xml:space="preserve"> </w:t>
            </w:r>
            <w:hyperlink r:id="rId16">
              <w:r>
                <w:rPr>
                  <w:rFonts w:ascii="Arial" w:eastAsia="Arial" w:hAnsi="Arial" w:cs="Arial"/>
                  <w:spacing w:val="-1"/>
                </w:rPr>
                <w:t>policy-note-07-12-tax-arrangements-of-public-appointees</w:t>
              </w:r>
            </w:hyperlink>
            <w:r>
              <w:rPr>
                <w:rFonts w:ascii="Arial" w:eastAsia="Arial" w:hAnsi="Arial" w:cs="Arial"/>
                <w:spacing w:val="28"/>
              </w:rPr>
              <w:t xml:space="preserve"> </w:t>
            </w:r>
            <w:r>
              <w:rPr>
                <w:rFonts w:ascii="Arial" w:eastAsia="Arial" w:hAnsi="Arial" w:cs="Arial"/>
                <w:spacing w:val="-2"/>
              </w:rPr>
              <w:t>applies</w:t>
            </w:r>
            <w:r>
              <w:rPr>
                <w:rFonts w:ascii="Arial" w:eastAsia="Arial" w:hAnsi="Arial" w:cs="Arial"/>
                <w:spacing w:val="1"/>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respect</w:t>
            </w:r>
            <w:r>
              <w:rPr>
                <w:rFonts w:ascii="Arial" w:eastAsia="Arial" w:hAnsi="Arial" w:cs="Arial"/>
                <w:spacing w:val="2"/>
              </w:rPr>
              <w:t xml:space="preserve"> </w:t>
            </w:r>
            <w:r>
              <w:rPr>
                <w:rFonts w:ascii="Arial" w:eastAsia="Arial" w:hAnsi="Arial" w:cs="Arial"/>
                <w:spacing w:val="-2"/>
              </w:rPr>
              <w:t>of</w:t>
            </w:r>
            <w:r>
              <w:rPr>
                <w:rFonts w:ascii="Arial" w:eastAsia="Arial" w:hAnsi="Arial" w:cs="Arial"/>
              </w:rPr>
              <w:t xml:space="preserve"> the</w:t>
            </w:r>
            <w:r>
              <w:rPr>
                <w:rFonts w:ascii="Arial" w:eastAsia="Arial" w:hAnsi="Arial" w:cs="Arial"/>
                <w:spacing w:val="-2"/>
              </w:rPr>
              <w:t xml:space="preserve"> Services.</w:t>
            </w:r>
          </w:p>
        </w:tc>
      </w:tr>
      <w:tr w:rsidR="008918FA" w:rsidTr="005D2B81">
        <w:trPr>
          <w:trHeight w:hRule="exact" w:val="382"/>
        </w:trPr>
        <w:tc>
          <w:tcPr>
            <w:tcW w:w="2410" w:type="dxa"/>
            <w:tcBorders>
              <w:top w:val="single" w:sz="7" w:space="0" w:color="000000"/>
              <w:left w:val="single" w:sz="5" w:space="0" w:color="000000"/>
              <w:bottom w:val="single" w:sz="5" w:space="0" w:color="000000"/>
              <w:right w:val="single" w:sz="7" w:space="0" w:color="000000"/>
            </w:tcBorders>
          </w:tcPr>
          <w:p w:rsidR="008918FA" w:rsidRDefault="008918FA" w:rsidP="005D2B81">
            <w:pPr>
              <w:pStyle w:val="TableParagraph"/>
              <w:spacing w:line="247" w:lineRule="exact"/>
              <w:ind w:left="-6"/>
              <w:rPr>
                <w:rFonts w:ascii="Arial" w:eastAsia="Arial" w:hAnsi="Arial" w:cs="Arial"/>
              </w:rPr>
            </w:pPr>
            <w:r>
              <w:rPr>
                <w:rFonts w:ascii="Arial"/>
                <w:b/>
                <w:spacing w:val="-1"/>
              </w:rPr>
              <w:t>"Working</w:t>
            </w:r>
            <w:r>
              <w:rPr>
                <w:rFonts w:ascii="Arial"/>
                <w:b/>
              </w:rPr>
              <w:t xml:space="preserve"> </w:t>
            </w:r>
            <w:r>
              <w:rPr>
                <w:rFonts w:ascii="Arial"/>
                <w:b/>
                <w:spacing w:val="-3"/>
              </w:rPr>
              <w:t>Day"</w:t>
            </w:r>
          </w:p>
        </w:tc>
        <w:tc>
          <w:tcPr>
            <w:tcW w:w="6060" w:type="dxa"/>
            <w:tcBorders>
              <w:top w:val="single" w:sz="7" w:space="0" w:color="000000"/>
              <w:left w:val="single" w:sz="7" w:space="0" w:color="000000"/>
              <w:bottom w:val="single" w:sz="5" w:space="0" w:color="000000"/>
              <w:right w:val="single" w:sz="5" w:space="0" w:color="000000"/>
            </w:tcBorders>
          </w:tcPr>
          <w:p w:rsidR="008918FA" w:rsidRDefault="008918FA" w:rsidP="005D2B81">
            <w:pPr>
              <w:pStyle w:val="TableParagraph"/>
              <w:spacing w:line="250" w:lineRule="exact"/>
              <w:ind w:left="270"/>
              <w:rPr>
                <w:rFonts w:ascii="Arial" w:eastAsia="Arial" w:hAnsi="Arial" w:cs="Arial"/>
              </w:rPr>
            </w:pPr>
            <w:r>
              <w:rPr>
                <w:rFonts w:ascii="Arial"/>
                <w:spacing w:val="-1"/>
              </w:rPr>
              <w:t>means</w:t>
            </w:r>
            <w:r>
              <w:rPr>
                <w:rFonts w:ascii="Arial"/>
                <w:spacing w:val="1"/>
              </w:rPr>
              <w:t xml:space="preserve"> </w:t>
            </w:r>
            <w:r>
              <w:rPr>
                <w:rFonts w:ascii="Arial"/>
                <w:spacing w:val="-1"/>
              </w:rPr>
              <w:t>any</w:t>
            </w:r>
            <w:r>
              <w:rPr>
                <w:rFonts w:ascii="Arial"/>
                <w:spacing w:val="-2"/>
              </w:rPr>
              <w:t xml:space="preserve"> </w:t>
            </w:r>
            <w:r>
              <w:rPr>
                <w:rFonts w:ascii="Arial"/>
                <w:spacing w:val="-1"/>
              </w:rPr>
              <w:t>Day</w:t>
            </w:r>
            <w:r>
              <w:rPr>
                <w:rFonts w:ascii="Arial"/>
                <w:spacing w:val="-2"/>
              </w:rPr>
              <w:t xml:space="preserve"> </w:t>
            </w:r>
            <w:r>
              <w:rPr>
                <w:rFonts w:ascii="Arial"/>
                <w:spacing w:val="-1"/>
              </w:rPr>
              <w:t>other</w:t>
            </w:r>
            <w:r>
              <w:rPr>
                <w:rFonts w:ascii="Arial"/>
                <w:spacing w:val="2"/>
              </w:rPr>
              <w:t xml:space="preserve"> </w:t>
            </w:r>
            <w:r>
              <w:rPr>
                <w:rFonts w:ascii="Arial"/>
                <w:spacing w:val="-1"/>
              </w:rPr>
              <w:t>than</w:t>
            </w:r>
            <w:r>
              <w:rPr>
                <w:rFonts w:ascii="Arial"/>
              </w:rPr>
              <w:t xml:space="preserve"> a </w:t>
            </w:r>
            <w:r>
              <w:rPr>
                <w:rFonts w:ascii="Arial"/>
                <w:spacing w:val="-1"/>
              </w:rPr>
              <w:t>Saturday</w:t>
            </w:r>
            <w:r>
              <w:rPr>
                <w:rFonts w:ascii="Arial"/>
                <w:spacing w:val="-2"/>
              </w:rPr>
              <w:t xml:space="preserve"> </w:t>
            </w:r>
            <w:r>
              <w:rPr>
                <w:rFonts w:ascii="Arial"/>
                <w:spacing w:val="-1"/>
              </w:rPr>
              <w:t>or</w:t>
            </w:r>
            <w:r>
              <w:rPr>
                <w:rFonts w:ascii="Arial"/>
                <w:spacing w:val="2"/>
              </w:rPr>
              <w:t xml:space="preserve"> </w:t>
            </w:r>
            <w:r>
              <w:rPr>
                <w:rFonts w:ascii="Arial"/>
                <w:spacing w:val="-1"/>
              </w:rPr>
              <w:t>Sunday</w:t>
            </w:r>
            <w:r>
              <w:rPr>
                <w:rFonts w:ascii="Arial"/>
                <w:spacing w:val="-2"/>
              </w:rPr>
              <w:t xml:space="preserve"> </w:t>
            </w:r>
            <w:r>
              <w:rPr>
                <w:rFonts w:ascii="Arial"/>
                <w:spacing w:val="-1"/>
              </w:rPr>
              <w:t>or</w:t>
            </w:r>
            <w:r>
              <w:rPr>
                <w:rFonts w:ascii="Arial"/>
                <w:spacing w:val="2"/>
              </w:rPr>
              <w:t xml:space="preserve"> </w:t>
            </w:r>
            <w:r>
              <w:rPr>
                <w:rFonts w:ascii="Arial"/>
                <w:spacing w:val="-2"/>
              </w:rPr>
              <w:t>public</w:t>
            </w:r>
          </w:p>
        </w:tc>
      </w:tr>
    </w:tbl>
    <w:p w:rsidR="008918FA" w:rsidRDefault="008918FA" w:rsidP="008918FA">
      <w:pPr>
        <w:spacing w:line="250" w:lineRule="exact"/>
        <w:rPr>
          <w:rFonts w:ascii="Arial" w:eastAsia="Arial" w:hAnsi="Arial" w:cs="Arial"/>
        </w:rPr>
        <w:sectPr w:rsidR="008918FA">
          <w:footerReference w:type="default" r:id="rId17"/>
          <w:pgSz w:w="11910" w:h="16840"/>
          <w:pgMar w:top="1480" w:right="1040" w:bottom="1160" w:left="1680" w:header="0" w:footer="967" w:gutter="0"/>
          <w:pgNumType w:start="101"/>
          <w:cols w:space="720"/>
        </w:sectPr>
      </w:pPr>
    </w:p>
    <w:p w:rsidR="008918FA" w:rsidRDefault="008918FA" w:rsidP="008918FA">
      <w:pPr>
        <w:rPr>
          <w:rFonts w:ascii="Times New Roman" w:eastAsia="Times New Roman" w:hAnsi="Times New Roman" w:cs="Times New Roman"/>
          <w:sz w:val="7"/>
          <w:szCs w:val="7"/>
        </w:rPr>
      </w:pPr>
    </w:p>
    <w:p w:rsidR="008918FA" w:rsidRDefault="008918FA" w:rsidP="008918FA">
      <w:pPr>
        <w:spacing w:line="200" w:lineRule="atLeast"/>
        <w:ind w:left="6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19A431DD" wp14:editId="4B19B7C9">
                <wp:extent cx="5391785" cy="251460"/>
                <wp:effectExtent l="9525" t="9525" r="8890" b="5715"/>
                <wp:docPr id="3894" name="Group 3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51460"/>
                          <a:chOff x="0" y="0"/>
                          <a:chExt cx="8491" cy="396"/>
                        </a:xfrm>
                      </wpg:grpSpPr>
                      <wpg:grpSp>
                        <wpg:cNvPr id="3895" name="Group 3896"/>
                        <wpg:cNvGrpSpPr>
                          <a:grpSpLocks/>
                        </wpg:cNvGrpSpPr>
                        <wpg:grpSpPr bwMode="auto">
                          <a:xfrm>
                            <a:off x="6" y="6"/>
                            <a:ext cx="8480" cy="2"/>
                            <a:chOff x="6" y="6"/>
                            <a:chExt cx="8480" cy="2"/>
                          </a:xfrm>
                        </wpg:grpSpPr>
                        <wps:wsp>
                          <wps:cNvPr id="3896" name="Freeform 3897"/>
                          <wps:cNvSpPr>
                            <a:spLocks/>
                          </wps:cNvSpPr>
                          <wps:spPr bwMode="auto">
                            <a:xfrm>
                              <a:off x="6" y="6"/>
                              <a:ext cx="8480" cy="2"/>
                            </a:xfrm>
                            <a:custGeom>
                              <a:avLst/>
                              <a:gdLst>
                                <a:gd name="T0" fmla="+- 0 6 6"/>
                                <a:gd name="T1" fmla="*/ T0 w 8480"/>
                                <a:gd name="T2" fmla="+- 0 8485 6"/>
                                <a:gd name="T3" fmla="*/ T2 w 8480"/>
                              </a:gdLst>
                              <a:ahLst/>
                              <a:cxnLst>
                                <a:cxn ang="0">
                                  <a:pos x="T1" y="0"/>
                                </a:cxn>
                                <a:cxn ang="0">
                                  <a:pos x="T3" y="0"/>
                                </a:cxn>
                              </a:cxnLst>
                              <a:rect l="0" t="0" r="r" b="b"/>
                              <a:pathLst>
                                <a:path w="8480">
                                  <a:moveTo>
                                    <a:pt x="0" y="0"/>
                                  </a:moveTo>
                                  <a:lnTo>
                                    <a:pt x="84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7" name="Group 3894"/>
                        <wpg:cNvGrpSpPr>
                          <a:grpSpLocks/>
                        </wpg:cNvGrpSpPr>
                        <wpg:grpSpPr bwMode="auto">
                          <a:xfrm>
                            <a:off x="11" y="11"/>
                            <a:ext cx="2" cy="375"/>
                            <a:chOff x="11" y="11"/>
                            <a:chExt cx="2" cy="375"/>
                          </a:xfrm>
                        </wpg:grpSpPr>
                        <wps:wsp>
                          <wps:cNvPr id="3898" name="Freeform 3895"/>
                          <wps:cNvSpPr>
                            <a:spLocks/>
                          </wps:cNvSpPr>
                          <wps:spPr bwMode="auto">
                            <a:xfrm>
                              <a:off x="11" y="11"/>
                              <a:ext cx="2" cy="375"/>
                            </a:xfrm>
                            <a:custGeom>
                              <a:avLst/>
                              <a:gdLst>
                                <a:gd name="T0" fmla="+- 0 11 11"/>
                                <a:gd name="T1" fmla="*/ 11 h 375"/>
                                <a:gd name="T2" fmla="+- 0 385 11"/>
                                <a:gd name="T3" fmla="*/ 385 h 375"/>
                              </a:gdLst>
                              <a:ahLst/>
                              <a:cxnLst>
                                <a:cxn ang="0">
                                  <a:pos x="0" y="T1"/>
                                </a:cxn>
                                <a:cxn ang="0">
                                  <a:pos x="0" y="T3"/>
                                </a:cxn>
                              </a:cxnLst>
                              <a:rect l="0" t="0" r="r" b="b"/>
                              <a:pathLst>
                                <a:path h="375">
                                  <a:moveTo>
                                    <a:pt x="0" y="0"/>
                                  </a:moveTo>
                                  <a:lnTo>
                                    <a:pt x="0" y="3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9" name="Group 3892"/>
                        <wpg:cNvGrpSpPr>
                          <a:grpSpLocks/>
                        </wpg:cNvGrpSpPr>
                        <wpg:grpSpPr bwMode="auto">
                          <a:xfrm>
                            <a:off x="6" y="390"/>
                            <a:ext cx="8480" cy="2"/>
                            <a:chOff x="6" y="390"/>
                            <a:chExt cx="8480" cy="2"/>
                          </a:xfrm>
                        </wpg:grpSpPr>
                        <wps:wsp>
                          <wps:cNvPr id="3900" name="Freeform 3893"/>
                          <wps:cNvSpPr>
                            <a:spLocks/>
                          </wps:cNvSpPr>
                          <wps:spPr bwMode="auto">
                            <a:xfrm>
                              <a:off x="6" y="390"/>
                              <a:ext cx="8480" cy="2"/>
                            </a:xfrm>
                            <a:custGeom>
                              <a:avLst/>
                              <a:gdLst>
                                <a:gd name="T0" fmla="+- 0 6 6"/>
                                <a:gd name="T1" fmla="*/ T0 w 8480"/>
                                <a:gd name="T2" fmla="+- 0 8485 6"/>
                                <a:gd name="T3" fmla="*/ T2 w 8480"/>
                              </a:gdLst>
                              <a:ahLst/>
                              <a:cxnLst>
                                <a:cxn ang="0">
                                  <a:pos x="T1" y="0"/>
                                </a:cxn>
                                <a:cxn ang="0">
                                  <a:pos x="T3" y="0"/>
                                </a:cxn>
                              </a:cxnLst>
                              <a:rect l="0" t="0" r="r" b="b"/>
                              <a:pathLst>
                                <a:path w="8480">
                                  <a:moveTo>
                                    <a:pt x="0" y="0"/>
                                  </a:moveTo>
                                  <a:lnTo>
                                    <a:pt x="84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1" name="Group 3890"/>
                        <wpg:cNvGrpSpPr>
                          <a:grpSpLocks/>
                        </wpg:cNvGrpSpPr>
                        <wpg:grpSpPr bwMode="auto">
                          <a:xfrm>
                            <a:off x="2420" y="11"/>
                            <a:ext cx="2" cy="375"/>
                            <a:chOff x="2420" y="11"/>
                            <a:chExt cx="2" cy="375"/>
                          </a:xfrm>
                        </wpg:grpSpPr>
                        <wps:wsp>
                          <wps:cNvPr id="3902" name="Freeform 3891"/>
                          <wps:cNvSpPr>
                            <a:spLocks/>
                          </wps:cNvSpPr>
                          <wps:spPr bwMode="auto">
                            <a:xfrm>
                              <a:off x="2420" y="11"/>
                              <a:ext cx="2" cy="375"/>
                            </a:xfrm>
                            <a:custGeom>
                              <a:avLst/>
                              <a:gdLst>
                                <a:gd name="T0" fmla="+- 0 11 11"/>
                                <a:gd name="T1" fmla="*/ 11 h 375"/>
                                <a:gd name="T2" fmla="+- 0 385 11"/>
                                <a:gd name="T3" fmla="*/ 385 h 375"/>
                              </a:gdLst>
                              <a:ahLst/>
                              <a:cxnLst>
                                <a:cxn ang="0">
                                  <a:pos x="0" y="T1"/>
                                </a:cxn>
                                <a:cxn ang="0">
                                  <a:pos x="0" y="T3"/>
                                </a:cxn>
                              </a:cxnLst>
                              <a:rect l="0" t="0" r="r" b="b"/>
                              <a:pathLst>
                                <a:path h="375">
                                  <a:moveTo>
                                    <a:pt x="0" y="0"/>
                                  </a:moveTo>
                                  <a:lnTo>
                                    <a:pt x="0" y="37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3" name="Group 3887"/>
                        <wpg:cNvGrpSpPr>
                          <a:grpSpLocks/>
                        </wpg:cNvGrpSpPr>
                        <wpg:grpSpPr bwMode="auto">
                          <a:xfrm>
                            <a:off x="8480" y="11"/>
                            <a:ext cx="2" cy="375"/>
                            <a:chOff x="8480" y="11"/>
                            <a:chExt cx="2" cy="375"/>
                          </a:xfrm>
                        </wpg:grpSpPr>
                        <wps:wsp>
                          <wps:cNvPr id="3904" name="Freeform 3889"/>
                          <wps:cNvSpPr>
                            <a:spLocks/>
                          </wps:cNvSpPr>
                          <wps:spPr bwMode="auto">
                            <a:xfrm>
                              <a:off x="8480" y="11"/>
                              <a:ext cx="2" cy="375"/>
                            </a:xfrm>
                            <a:custGeom>
                              <a:avLst/>
                              <a:gdLst>
                                <a:gd name="T0" fmla="+- 0 11 11"/>
                                <a:gd name="T1" fmla="*/ 11 h 375"/>
                                <a:gd name="T2" fmla="+- 0 385 11"/>
                                <a:gd name="T3" fmla="*/ 385 h 375"/>
                              </a:gdLst>
                              <a:ahLst/>
                              <a:cxnLst>
                                <a:cxn ang="0">
                                  <a:pos x="0" y="T1"/>
                                </a:cxn>
                                <a:cxn ang="0">
                                  <a:pos x="0" y="T3"/>
                                </a:cxn>
                              </a:cxnLst>
                              <a:rect l="0" t="0" r="r" b="b"/>
                              <a:pathLst>
                                <a:path h="375">
                                  <a:moveTo>
                                    <a:pt x="0" y="0"/>
                                  </a:moveTo>
                                  <a:lnTo>
                                    <a:pt x="0" y="3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5" name="Text Box 3888"/>
                          <wps:cNvSpPr txBox="1">
                            <a:spLocks noChangeArrowheads="1"/>
                          </wps:cNvSpPr>
                          <wps:spPr bwMode="auto">
                            <a:xfrm>
                              <a:off x="2420" y="6"/>
                              <a:ext cx="606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ind w:left="278"/>
                                  <w:rPr>
                                    <w:rFonts w:ascii="Arial" w:eastAsia="Arial" w:hAnsi="Arial" w:cs="Arial"/>
                                  </w:rPr>
                                </w:pPr>
                                <w:r>
                                  <w:rPr>
                                    <w:rFonts w:ascii="Arial"/>
                                    <w:spacing w:val="-1"/>
                                  </w:rPr>
                                  <w:t>holiday</w:t>
                                </w:r>
                                <w:r>
                                  <w:rPr>
                                    <w:rFonts w:ascii="Arial"/>
                                    <w:spacing w:val="-2"/>
                                  </w:rPr>
                                  <w:t xml:space="preserve"> </w:t>
                                </w:r>
                                <w:r>
                                  <w:rPr>
                                    <w:rFonts w:ascii="Arial"/>
                                    <w:spacing w:val="-1"/>
                                  </w:rPr>
                                  <w:t>in</w:t>
                                </w:r>
                                <w:r>
                                  <w:rPr>
                                    <w:rFonts w:ascii="Arial"/>
                                  </w:rPr>
                                  <w:t xml:space="preserve"> </w:t>
                                </w:r>
                                <w:r>
                                  <w:rPr>
                                    <w:rFonts w:ascii="Arial"/>
                                    <w:spacing w:val="-1"/>
                                  </w:rPr>
                                  <w:t>England</w:t>
                                </w:r>
                                <w:r>
                                  <w:rPr>
                                    <w:rFonts w:ascii="Arial"/>
                                  </w:rPr>
                                  <w:t xml:space="preserve"> </w:t>
                                </w:r>
                                <w:r>
                                  <w:rPr>
                                    <w:rFonts w:ascii="Arial"/>
                                    <w:spacing w:val="-1"/>
                                  </w:rPr>
                                  <w:t>and</w:t>
                                </w:r>
                                <w:r>
                                  <w:rPr>
                                    <w:rFonts w:ascii="Arial"/>
                                    <w:spacing w:val="-4"/>
                                  </w:rPr>
                                  <w:t xml:space="preserve"> </w:t>
                                </w:r>
                                <w:r>
                                  <w:rPr>
                                    <w:rFonts w:ascii="Arial"/>
                                    <w:spacing w:val="-1"/>
                                  </w:rPr>
                                  <w:t>Wales.</w:t>
                                </w:r>
                              </w:p>
                            </w:txbxContent>
                          </wps:txbx>
                          <wps:bodyPr rot="0" vert="horz" wrap="square" lIns="0" tIns="0" rIns="0" bIns="0" anchor="t" anchorCtr="0" upright="1">
                            <a:noAutofit/>
                          </wps:bodyPr>
                        </wps:wsp>
                      </wpg:grpSp>
                    </wpg:wgp>
                  </a:graphicData>
                </a:graphic>
              </wp:inline>
            </w:drawing>
          </mc:Choice>
          <mc:Fallback>
            <w:pict>
              <v:group w14:anchorId="19A431DD" id="Group 3886" o:spid="_x0000_s1168" style="width:424.55pt;height:19.8pt;mso-position-horizontal-relative:char;mso-position-vertical-relative:line" coordsize="849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">
                <v:group id="Group 3896" o:spid="_x0000_s1169" style="position:absolute;left:6;top:6;width:8480;height:2" coordorigin="6,6" coordsize="8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shape id="Freeform 3897" o:spid="_x0000_s1170" style="position:absolute;left:6;top:6;width:8480;height:2;visibility:visible;mso-wrap-style:square;v-text-anchor:top" coordsize="8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OUcgA&#10;AADdAAAADwAAAGRycy9kb3ducmV2LnhtbESPQWsCMRSE70L/Q3iF3mrWCst2NYq0KIUWtFbB42Pz&#10;TBY3L9tNqtv++qZQ8DjMzDfMdN67RpypC7VnBaNhBoK48rpmo2D3sbwvQISIrLHxTAq+KcB8djOY&#10;Yqn9hd/pvI1GJAiHEhXYGNtSylBZchiGviVO3tF3DmOSnZG6w0uCu0Y+ZFkuHdacFiy29GSpOm2/&#10;nILWfG7y1/VidSzezGZtf/zzcn9Q6u62X0xAROrjNfzfftEKxsVjDn9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k5RyAAAAN0AAAAPAAAAAAAAAAAAAAAAAJgCAABk&#10;cnMvZG93bnJldi54bWxQSwUGAAAAAAQABAD1AAAAjQMAAAAA&#10;" path="m,l8479,e" filled="f" strokeweight=".58pt">
                    <v:path arrowok="t" o:connecttype="custom" o:connectlocs="0,0;8479,0" o:connectangles="0,0"/>
                  </v:shape>
                </v:group>
                <v:group id="Group 3894" o:spid="_x0000_s1171" style="position:absolute;left:11;top:11;width:2;height:375" coordorigin="11,11"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Freeform 3895" o:spid="_x0000_s1172" style="position:absolute;left:11;top:11;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XlsIA&#10;AADdAAAADwAAAGRycy9kb3ducmV2LnhtbERPz2vCMBS+D/wfwhvsNlMdqOuMIkJhAz1YxfOjeTZ1&#10;zUtJMtv99+YgePz4fi/Xg23FjXxoHCuYjDMQxJXTDdcKTsfifQEiRGSNrWNS8E8B1qvRyxJz7Xo+&#10;0K2MtUghHHJUYGLscilDZchiGLuOOHEX5y3GBH0ttcc+hdtWTrNsJi02nBoMdrQ1VP2Wf1bBdbfv&#10;N2ZXTPa9PWe+QD9tf+ZKvb0Omy8QkYb4FD/c31rBx+IzzU1v0hO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VeWwgAAAN0AAAAPAAAAAAAAAAAAAAAAAJgCAABkcnMvZG93&#10;bnJldi54bWxQSwUGAAAAAAQABAD1AAAAhwMAAAAA&#10;" path="m,l,374e" filled="f" strokeweight=".58pt">
                    <v:path arrowok="t" o:connecttype="custom" o:connectlocs="0,11;0,385" o:connectangles="0,0"/>
                  </v:shape>
                </v:group>
                <v:group id="Group 3892" o:spid="_x0000_s1173" style="position:absolute;left:6;top:390;width:8480;height:2" coordorigin="6,390" coordsize="8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K4sYAAADdAAAADwAAAGRycy9kb3ducmV2LnhtbESPT4vCMBTE7wt+h/AE&#10;b2taZRetRhFZxYMs+AfE26N5tsXmpTTZtn77jSB4HGbmN8x82ZlSNFS7wrKCeBiBIE6tLjhTcD5t&#10;PicgnEfWWFomBQ9ysFz0PuaYaNvygZqjz0SAsEtQQe59lUjp0pwMuqGtiIN3s7VBH2SdSV1jG+Cm&#10;lKMo+pYGCw4LOVa0zim9H/+Mgm2L7Woc/zT7+239uJ6+fi/7mJQa9LvVDISnzr/Dr/ZO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YrixgAAAN0A&#10;AAAPAAAAAAAAAAAAAAAAAKoCAABkcnMvZG93bnJldi54bWxQSwUGAAAAAAQABAD6AAAAnQMAAAAA&#10;">
                  <v:shape id="Freeform 3893" o:spid="_x0000_s1174" style="position:absolute;left:6;top:390;width:8480;height:2;visibility:visible;mso-wrap-style:square;v-text-anchor:top" coordsize="8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ppMQA&#10;AADdAAAADwAAAGRycy9kb3ducmV2LnhtbERPTWsCMRC9C/0PYQreNNsKYlejSIsitKC1FTwOmzFZ&#10;3EzWTdRtf705CB4f73sya10lLtSE0rOCl34GgrjwumSj4Pdn0RuBCBFZY+WZFPxRgNn0qTPBXPsr&#10;f9NlG41IIRxyVGBjrHMpQ2HJYej7mjhxB984jAk2RuoGryncVfI1y4bSYcmpwWJN75aK4/bsFNTm&#10;tBl+rufLw+jLbNb2338sdnulus/tfAwiUhsf4rt7pRUM3rK0P71JT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6aTEAAAA3QAAAA8AAAAAAAAAAAAAAAAAmAIAAGRycy9k&#10;b3ducmV2LnhtbFBLBQYAAAAABAAEAPUAAACJAwAAAAA=&#10;" path="m,l8479,e" filled="f" strokeweight=".58pt">
                    <v:path arrowok="t" o:connecttype="custom" o:connectlocs="0,0;8479,0" o:connectangles="0,0"/>
                  </v:shape>
                </v:group>
                <v:group id="Group 3890" o:spid="_x0000_s1175" style="position:absolute;left:2420;top:11;width:2;height:375" coordorigin="2420,11"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shape id="Freeform 3891" o:spid="_x0000_s1176" style="position:absolute;left:2420;top:11;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Y1sQA&#10;AADdAAAADwAAAGRycy9kb3ducmV2LnhtbESPQYvCMBSE78L+h/AW9qbpKkqtRlFB1pvY7YLHR/Ns&#10;yzYvtYla/70RBI/DzHzDzJedqcWVWldZVvA9iEAQ51ZXXCjIfrf9GITzyBpry6TgTg6Wi4/eHBNt&#10;b3yga+oLESDsElRQet8kUrq8JINuYBvi4J1sa9AH2RZSt3gLcFPLYRRNpMGKw0KJDW1Kyv/Ti1Gw&#10;+SvOXI+zSfOTmnh70XIdH/dKfX12qxkIT51/h1/tnVYwmkZD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mNbEAAAA3QAAAA8AAAAAAAAAAAAAAAAAmAIAAGRycy9k&#10;b3ducmV2LnhtbFBLBQYAAAAABAAEAPUAAACJAwAAAAA=&#10;" path="m,l,374e" filled="f" strokeweight=".82pt">
                    <v:path arrowok="t" o:connecttype="custom" o:connectlocs="0,11;0,385" o:connectangles="0,0"/>
                  </v:shape>
                </v:group>
                <v:group id="Group 3887" o:spid="_x0000_s1177" style="position:absolute;left:8480;top:11;width:2;height:375" coordorigin="8480,11"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shape id="Freeform 3889" o:spid="_x0000_s1178" style="position:absolute;left:8480;top:11;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HicUA&#10;AADdAAAADwAAAGRycy9kb3ducmV2LnhtbESPUUvDMBSF3wX/Q7iCby7pJjrr0jGEgsL2YJU9X5pr&#10;U21uSpKt9d8bQfDxcM75Dmeznd0gzhRi71lDsVAgiFtveu40vL/VN2sQMSEbHDyThm+KsK0uLzZY&#10;Gj/xK52b1IkM4ViiBpvSWEoZW0sO48KPxNn78MFhyjJ00gScMtwNcqnUnXTYc16wONKTpfarOTkN&#10;n/vDtLP7ujhM7qhCjWE5vNxrfX017x5BJJrTf/iv/Ww0rB7ULfy+yU9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8eJxQAAAN0AAAAPAAAAAAAAAAAAAAAAAJgCAABkcnMv&#10;ZG93bnJldi54bWxQSwUGAAAAAAQABAD1AAAAigMAAAAA&#10;" path="m,l,374e" filled="f" strokeweight=".58pt">
                    <v:path arrowok="t" o:connecttype="custom" o:connectlocs="0,11;0,385" o:connectangles="0,0"/>
                  </v:shape>
                  <v:shape id="Text Box 3888" o:spid="_x0000_s1179" type="#_x0000_t202" style="position:absolute;left:2420;top:6;width:60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SJsYA&#10;AADdAAAADwAAAGRycy9kb3ducmV2LnhtbESPQWsCMRSE70L/Q3iF3jRpS0W3RpGiIBSk6/bQ4+vm&#10;uRvcvGw3Udd/b4SCx2FmvmFmi9414kRdsJ41PI8UCOLSG8uVhu9iPZyACBHZYOOZNFwowGL+MJhh&#10;ZvyZczrtYiUShEOGGuoY20zKUNbkMIx8S5y8ve8cxiS7SpoOzwnuGvmi1Fg6tJwWamzpo6bysDs6&#10;Dcsfzlf2b/v7le9zWxRTxZ/jg9ZPj/3yHUSkPt7D/+2N0fA6VW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ESJsYAAADdAAAADwAAAAAAAAAAAAAAAACYAgAAZHJz&#10;L2Rvd25yZXYueG1sUEsFBgAAAAAEAAQA9QAAAIsDAAAAAA==&#10;" filled="f" stroked="f">
                    <v:textbox inset="0,0,0,0">
                      <w:txbxContent>
                        <w:p w:rsidR="005D2B81" w:rsidRDefault="005D2B81" w:rsidP="008918FA">
                          <w:pPr>
                            <w:spacing w:before="2"/>
                            <w:ind w:left="278"/>
                            <w:rPr>
                              <w:rFonts w:ascii="Arial" w:eastAsia="Arial" w:hAnsi="Arial" w:cs="Arial"/>
                            </w:rPr>
                          </w:pPr>
                          <w:r>
                            <w:rPr>
                              <w:rFonts w:ascii="Arial"/>
                              <w:spacing w:val="-1"/>
                            </w:rPr>
                            <w:t>holiday</w:t>
                          </w:r>
                          <w:r>
                            <w:rPr>
                              <w:rFonts w:ascii="Arial"/>
                              <w:spacing w:val="-2"/>
                            </w:rPr>
                            <w:t xml:space="preserve"> </w:t>
                          </w:r>
                          <w:r>
                            <w:rPr>
                              <w:rFonts w:ascii="Arial"/>
                              <w:spacing w:val="-1"/>
                            </w:rPr>
                            <w:t>in</w:t>
                          </w:r>
                          <w:r>
                            <w:rPr>
                              <w:rFonts w:ascii="Arial"/>
                            </w:rPr>
                            <w:t xml:space="preserve"> </w:t>
                          </w:r>
                          <w:r>
                            <w:rPr>
                              <w:rFonts w:ascii="Arial"/>
                              <w:spacing w:val="-1"/>
                            </w:rPr>
                            <w:t>England</w:t>
                          </w:r>
                          <w:r>
                            <w:rPr>
                              <w:rFonts w:ascii="Arial"/>
                            </w:rPr>
                            <w:t xml:space="preserve"> </w:t>
                          </w:r>
                          <w:r>
                            <w:rPr>
                              <w:rFonts w:ascii="Arial"/>
                              <w:spacing w:val="-1"/>
                            </w:rPr>
                            <w:t>and</w:t>
                          </w:r>
                          <w:r>
                            <w:rPr>
                              <w:rFonts w:ascii="Arial"/>
                              <w:spacing w:val="-4"/>
                            </w:rPr>
                            <w:t xml:space="preserve"> </w:t>
                          </w:r>
                          <w:r>
                            <w:rPr>
                              <w:rFonts w:ascii="Arial"/>
                              <w:spacing w:val="-1"/>
                            </w:rPr>
                            <w:t>Wales.</w:t>
                          </w:r>
                        </w:p>
                      </w:txbxContent>
                    </v:textbox>
                  </v:shape>
                </v:group>
                <w10:anchorlock/>
              </v:group>
            </w:pict>
          </mc:Fallback>
        </mc:AlternateContent>
      </w: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spacing w:before="5"/>
        <w:rPr>
          <w:rFonts w:ascii="Times New Roman" w:eastAsia="Times New Roman" w:hAnsi="Times New Roman" w:cs="Times New Roman"/>
          <w:sz w:val="29"/>
          <w:szCs w:val="29"/>
        </w:rPr>
      </w:pPr>
    </w:p>
    <w:p w:rsidR="008918FA" w:rsidRDefault="008918FA" w:rsidP="008918FA">
      <w:pPr>
        <w:spacing w:line="200" w:lineRule="atLeast"/>
        <w:ind w:left="198"/>
        <w:rPr>
          <w:rFonts w:ascii="Times New Roman" w:eastAsia="Times New Roman" w:hAnsi="Times New Roman" w:cs="Times New Roman"/>
          <w:sz w:val="20"/>
          <w:szCs w:val="20"/>
        </w:rPr>
      </w:pPr>
    </w:p>
    <w:p w:rsidR="008918FA" w:rsidRDefault="008918FA" w:rsidP="008918FA">
      <w:pPr>
        <w:spacing w:line="200" w:lineRule="atLeast"/>
        <w:rPr>
          <w:rFonts w:ascii="Times New Roman" w:eastAsia="Times New Roman" w:hAnsi="Times New Roman" w:cs="Times New Roman"/>
          <w:sz w:val="20"/>
          <w:szCs w:val="20"/>
        </w:rPr>
        <w:sectPr w:rsidR="008918FA">
          <w:pgSz w:w="11910" w:h="16840"/>
          <w:pgMar w:top="1460" w:right="1020" w:bottom="1160" w:left="1680" w:header="0" w:footer="967" w:gutter="0"/>
          <w:cols w:space="720"/>
        </w:sectPr>
      </w:pPr>
    </w:p>
    <w:p w:rsidR="008918FA" w:rsidRDefault="008918FA" w:rsidP="008918FA">
      <w:pPr>
        <w:pStyle w:val="BodyText"/>
        <w:spacing w:before="58"/>
        <w:ind w:left="1822" w:firstLine="0"/>
        <w:rPr>
          <w:rFonts w:ascii="Times New Roman" w:eastAsia="Times New Roman" w:hAnsi="Times New Roman" w:cs="Times New Roman"/>
        </w:rPr>
      </w:pPr>
      <w:bookmarkStart w:id="344" w:name="CALL_OFF_SCHEDULE_2:_GOODS_AND_SERVICES"/>
      <w:bookmarkStart w:id="345" w:name="_bookmark282"/>
      <w:bookmarkEnd w:id="344"/>
      <w:bookmarkEnd w:id="345"/>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5"/>
        </w:rPr>
        <w:t>2:</w:t>
      </w:r>
      <w:r>
        <w:rPr>
          <w:rFonts w:ascii="Times New Roman"/>
          <w:spacing w:val="18"/>
        </w:rPr>
        <w:t xml:space="preserve"> </w:t>
      </w:r>
      <w:r>
        <w:rPr>
          <w:rFonts w:ascii="Times New Roman"/>
          <w:spacing w:val="7"/>
        </w:rPr>
        <w:t>GOODS</w:t>
      </w:r>
      <w:r>
        <w:rPr>
          <w:rFonts w:ascii="Times New Roman"/>
          <w:spacing w:val="33"/>
        </w:rPr>
        <w:t xml:space="preserve"> </w:t>
      </w:r>
      <w:r>
        <w:rPr>
          <w:rFonts w:ascii="Times New Roman"/>
          <w:spacing w:val="-4"/>
        </w:rPr>
        <w:t>AND</w:t>
      </w:r>
      <w:r>
        <w:rPr>
          <w:rFonts w:ascii="Times New Roman"/>
          <w:spacing w:val="6"/>
        </w:rPr>
        <w:t xml:space="preserve"> </w:t>
      </w:r>
      <w:r>
        <w:rPr>
          <w:rFonts w:ascii="Times New Roman"/>
          <w:spacing w:val="5"/>
        </w:rPr>
        <w:t>SERVICES</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numPr>
          <w:ilvl w:val="0"/>
          <w:numId w:val="31"/>
        </w:numPr>
        <w:tabs>
          <w:tab w:val="left" w:pos="467"/>
        </w:tabs>
        <w:spacing w:before="0"/>
        <w:rPr>
          <w:rFonts w:ascii="Times New Roman" w:eastAsia="Times New Roman" w:hAnsi="Times New Roman" w:cs="Times New Roman"/>
        </w:rPr>
      </w:pPr>
      <w:r>
        <w:rPr>
          <w:rFonts w:ascii="Times New Roman"/>
          <w:spacing w:val="1"/>
        </w:rPr>
        <w:t>INTRODUCTION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31"/>
        </w:numPr>
        <w:tabs>
          <w:tab w:val="left" w:pos="829"/>
        </w:tabs>
        <w:spacing w:before="0"/>
      </w:pP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Schedule</w:t>
      </w:r>
      <w:r>
        <w:rPr>
          <w:spacing w:val="-2"/>
        </w:rPr>
        <w:t xml:space="preserve"> </w:t>
      </w:r>
      <w:r>
        <w:rPr>
          <w:spacing w:val="-1"/>
        </w:rPr>
        <w:t>specifies the:</w:t>
      </w:r>
    </w:p>
    <w:p w:rsidR="008918FA" w:rsidRDefault="008918FA" w:rsidP="008918FA">
      <w:pPr>
        <w:pStyle w:val="BodyText"/>
        <w:numPr>
          <w:ilvl w:val="2"/>
          <w:numId w:val="31"/>
        </w:numPr>
        <w:tabs>
          <w:tab w:val="left" w:pos="2027"/>
        </w:tabs>
      </w:pPr>
      <w:r>
        <w:rPr>
          <w:spacing w:val="-1"/>
        </w:rPr>
        <w:t>Services</w:t>
      </w:r>
      <w:r>
        <w:rPr>
          <w:spacing w:val="1"/>
        </w:rPr>
        <w:t xml:space="preserve"> </w:t>
      </w:r>
      <w:r>
        <w:t xml:space="preserve">to </w:t>
      </w:r>
      <w:r>
        <w:rPr>
          <w:spacing w:val="-1"/>
        </w:rPr>
        <w:t>be</w:t>
      </w:r>
      <w:r>
        <w:rPr>
          <w:spacing w:val="-2"/>
        </w:rPr>
        <w:t xml:space="preserve"> provided</w:t>
      </w:r>
      <w:r>
        <w:rPr>
          <w:spacing w:val="-1"/>
        </w:rPr>
        <w:t xml:space="preserve"> under 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in</w:t>
      </w:r>
      <w:r>
        <w:t xml:space="preserve"> </w:t>
      </w:r>
      <w:r>
        <w:rPr>
          <w:spacing w:val="-1"/>
        </w:rPr>
        <w:t>Annex</w:t>
      </w:r>
      <w:r>
        <w:rPr>
          <w:spacing w:val="-2"/>
        </w:rPr>
        <w:t xml:space="preserve"> </w:t>
      </w:r>
      <w:r>
        <w:rPr>
          <w:spacing w:val="-1"/>
        </w:rPr>
        <w:t>1;</w:t>
      </w:r>
      <w:r>
        <w:t xml:space="preserve"> </w:t>
      </w:r>
      <w:r>
        <w:rPr>
          <w:spacing w:val="-1"/>
        </w:rPr>
        <w:t>and</w:t>
      </w:r>
    </w:p>
    <w:p w:rsidR="008918FA" w:rsidRDefault="008918FA" w:rsidP="008918FA">
      <w:pPr>
        <w:pStyle w:val="BodyText"/>
        <w:numPr>
          <w:ilvl w:val="2"/>
          <w:numId w:val="31"/>
        </w:numPr>
        <w:tabs>
          <w:tab w:val="left" w:pos="2027"/>
        </w:tabs>
        <w:spacing w:before="121"/>
      </w:pPr>
      <w:r>
        <w:rPr>
          <w:spacing w:val="-1"/>
        </w:rPr>
        <w:t>Goods</w:t>
      </w:r>
      <w:r>
        <w:rPr>
          <w:spacing w:val="-2"/>
        </w:rPr>
        <w:t xml:space="preserve"> </w:t>
      </w:r>
      <w:r>
        <w:t>to</w:t>
      </w:r>
      <w:r>
        <w:rPr>
          <w:spacing w:val="-2"/>
        </w:rPr>
        <w:t xml:space="preserve"> </w:t>
      </w:r>
      <w:r>
        <w:rPr>
          <w:spacing w:val="-1"/>
        </w:rPr>
        <w:t>be</w:t>
      </w:r>
      <w:r>
        <w:t xml:space="preserve"> </w:t>
      </w:r>
      <w:r>
        <w:rPr>
          <w:spacing w:val="-2"/>
        </w:rPr>
        <w:t>provided</w:t>
      </w:r>
      <w:r>
        <w:t xml:space="preserve"> </w:t>
      </w:r>
      <w:r>
        <w:rPr>
          <w:spacing w:val="-1"/>
        </w:rPr>
        <w:t>under 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1"/>
        </w:rPr>
        <w:t>in</w:t>
      </w:r>
      <w:r>
        <w:t xml:space="preserve"> </w:t>
      </w:r>
      <w:r>
        <w:rPr>
          <w:spacing w:val="-1"/>
        </w:rPr>
        <w:t>Annex</w:t>
      </w:r>
      <w:r>
        <w:rPr>
          <w:spacing w:val="-2"/>
        </w:rPr>
        <w:t xml:space="preserve"> </w:t>
      </w:r>
      <w:r>
        <w:rPr>
          <w:spacing w:val="-1"/>
        </w:rPr>
        <w:t>2.</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3"/>
        <w:rPr>
          <w:rFonts w:ascii="Arial" w:eastAsia="Arial" w:hAnsi="Arial" w:cs="Arial"/>
          <w:sz w:val="11"/>
          <w:szCs w:val="11"/>
        </w:rPr>
      </w:pPr>
    </w:p>
    <w:p w:rsidR="008918FA" w:rsidRDefault="008918FA" w:rsidP="008918FA">
      <w:pPr>
        <w:spacing w:line="200" w:lineRule="atLeast"/>
        <w:ind w:left="33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560" w:bottom="1160" w:left="1540" w:header="0" w:footer="967" w:gutter="0"/>
          <w:cols w:space="720"/>
        </w:sectPr>
      </w:pPr>
    </w:p>
    <w:p w:rsidR="008918FA" w:rsidRDefault="008918FA" w:rsidP="008918FA">
      <w:pPr>
        <w:pStyle w:val="BodyText"/>
        <w:spacing w:before="58"/>
        <w:ind w:left="0" w:firstLine="0"/>
        <w:jc w:val="center"/>
        <w:rPr>
          <w:rFonts w:ascii="Times New Roman" w:eastAsia="Times New Roman" w:hAnsi="Times New Roman" w:cs="Times New Roman"/>
        </w:rPr>
      </w:pPr>
      <w:bookmarkStart w:id="346" w:name="ANNEX_1:_THE_SERVICES"/>
      <w:bookmarkStart w:id="347" w:name="_bookmark283"/>
      <w:bookmarkEnd w:id="346"/>
      <w:bookmarkEnd w:id="347"/>
      <w:r>
        <w:rPr>
          <w:rFonts w:ascii="Times New Roman"/>
          <w:spacing w:val="1"/>
        </w:rPr>
        <w:t>ANNEX</w:t>
      </w:r>
      <w:r>
        <w:rPr>
          <w:rFonts w:ascii="Times New Roman"/>
          <w:spacing w:val="-6"/>
        </w:rPr>
        <w:t xml:space="preserve"> </w:t>
      </w:r>
      <w:r>
        <w:rPr>
          <w:rFonts w:ascii="Times New Roman"/>
          <w:spacing w:val="5"/>
        </w:rPr>
        <w:t>1:</w:t>
      </w:r>
      <w:r>
        <w:rPr>
          <w:rFonts w:ascii="Times New Roman"/>
          <w:spacing w:val="20"/>
        </w:rPr>
        <w:t xml:space="preserve"> </w:t>
      </w:r>
      <w:r>
        <w:rPr>
          <w:rFonts w:ascii="Times New Roman"/>
          <w:spacing w:val="-2"/>
        </w:rPr>
        <w:t>THE</w:t>
      </w:r>
      <w:r>
        <w:rPr>
          <w:rFonts w:ascii="Times New Roman"/>
          <w:spacing w:val="18"/>
        </w:rPr>
        <w:t xml:space="preserve"> </w:t>
      </w:r>
      <w:r>
        <w:rPr>
          <w:rFonts w:ascii="Times New Roman"/>
          <w:spacing w:val="5"/>
        </w:rPr>
        <w:t>SERVICES</w:t>
      </w:r>
    </w:p>
    <w:p w:rsidR="008918FA" w:rsidRDefault="008918FA" w:rsidP="008918FA">
      <w:pPr>
        <w:spacing w:before="7"/>
        <w:rPr>
          <w:rFonts w:ascii="Times New Roman" w:eastAsia="Times New Roman" w:hAnsi="Times New Roman" w:cs="Times New Roman"/>
          <w:sz w:val="14"/>
          <w:szCs w:val="14"/>
        </w:rPr>
      </w:pPr>
    </w:p>
    <w:p w:rsidR="008918FA" w:rsidRDefault="008918FA" w:rsidP="008918FA">
      <w:pPr>
        <w:pStyle w:val="BodyText"/>
        <w:tabs>
          <w:tab w:val="left" w:pos="2423"/>
        </w:tabs>
        <w:spacing w:before="72"/>
        <w:ind w:left="892" w:firstLine="0"/>
      </w:pPr>
      <w:r>
        <w:rPr>
          <w:highlight w:val="yellow"/>
        </w:rPr>
        <w:t>[</w:t>
      </w:r>
      <w:r>
        <w:rPr>
          <w:highlight w:val="yellow"/>
        </w:rPr>
        <w:tab/>
        <w:t>]</w:t>
      </w:r>
    </w:p>
    <w:p w:rsidR="008918FA" w:rsidRDefault="008918FA" w:rsidP="008918FA">
      <w:pPr>
        <w:spacing w:before="8"/>
        <w:rPr>
          <w:rFonts w:ascii="Arial" w:eastAsia="Arial" w:hAnsi="Arial" w:cs="Arial"/>
          <w:sz w:val="14"/>
          <w:szCs w:val="14"/>
        </w:rPr>
      </w:pPr>
    </w:p>
    <w:p w:rsidR="008918FA" w:rsidRDefault="008918FA" w:rsidP="008918FA">
      <w:pPr>
        <w:pStyle w:val="Heading2"/>
        <w:ind w:left="326"/>
        <w:rPr>
          <w:b w:val="0"/>
          <w:bCs w:val="0"/>
          <w:i w:val="0"/>
        </w:rPr>
      </w:pPr>
      <w:r>
        <w:rPr>
          <w:spacing w:val="-1"/>
          <w:highlight w:val="green"/>
        </w:rPr>
        <w:t>[Guidance</w:t>
      </w:r>
      <w:r>
        <w:rPr>
          <w:spacing w:val="1"/>
          <w:highlight w:val="green"/>
        </w:rPr>
        <w:t xml:space="preserve"> </w:t>
      </w:r>
      <w:r>
        <w:rPr>
          <w:spacing w:val="-2"/>
          <w:highlight w:val="green"/>
        </w:rPr>
        <w:t>Note:</w:t>
      </w:r>
      <w:r>
        <w:rPr>
          <w:highlight w:val="green"/>
        </w:rPr>
        <w:t xml:space="preserve"> </w:t>
      </w:r>
      <w:r>
        <w:rPr>
          <w:spacing w:val="-1"/>
          <w:highlight w:val="green"/>
        </w:rPr>
        <w:t>insert details</w:t>
      </w:r>
      <w:r>
        <w:rPr>
          <w:highlight w:val="green"/>
        </w:rPr>
        <w:t xml:space="preserve"> </w:t>
      </w:r>
      <w:r>
        <w:rPr>
          <w:spacing w:val="-2"/>
          <w:highlight w:val="green"/>
        </w:rPr>
        <w:t>of</w:t>
      </w:r>
      <w:r>
        <w:rPr>
          <w:spacing w:val="-1"/>
          <w:highlight w:val="green"/>
        </w:rPr>
        <w:t xml:space="preserve"> the</w:t>
      </w:r>
      <w:r>
        <w:rPr>
          <w:spacing w:val="1"/>
          <w:highlight w:val="green"/>
        </w:rPr>
        <w:t xml:space="preserve"> </w:t>
      </w:r>
      <w:r>
        <w:rPr>
          <w:spacing w:val="-1"/>
          <w:highlight w:val="green"/>
        </w:rPr>
        <w:t>Services</w:t>
      </w:r>
      <w:r>
        <w:rPr>
          <w:spacing w:val="-2"/>
          <w:highlight w:val="green"/>
        </w:rPr>
        <w:t xml:space="preserve"> </w:t>
      </w:r>
      <w:r>
        <w:rPr>
          <w:highlight w:val="green"/>
        </w:rPr>
        <w:t xml:space="preserve">to </w:t>
      </w:r>
      <w:r>
        <w:rPr>
          <w:spacing w:val="-1"/>
          <w:highlight w:val="green"/>
        </w:rPr>
        <w:t>be</w:t>
      </w:r>
      <w:r>
        <w:rPr>
          <w:spacing w:val="-2"/>
          <w:highlight w:val="green"/>
        </w:rPr>
        <w:t xml:space="preserve"> </w:t>
      </w:r>
      <w:r>
        <w:rPr>
          <w:spacing w:val="-1"/>
          <w:highlight w:val="green"/>
        </w:rPr>
        <w:t>provided</w:t>
      </w:r>
      <w:r>
        <w:rPr>
          <w:spacing w:val="-2"/>
          <w:highlight w:val="green"/>
        </w:rPr>
        <w:t xml:space="preserve"> </w:t>
      </w:r>
      <w:r>
        <w:rPr>
          <w:spacing w:val="-1"/>
          <w:highlight w:val="green"/>
        </w:rPr>
        <w:t>by</w:t>
      </w:r>
      <w:r>
        <w:rPr>
          <w:spacing w:val="-2"/>
          <w:highlight w:val="green"/>
        </w:rPr>
        <w:t xml:space="preserve"> </w:t>
      </w:r>
      <w:r>
        <w:rPr>
          <w:spacing w:val="-1"/>
          <w:highlight w:val="green"/>
        </w:rPr>
        <w:t>the</w:t>
      </w:r>
      <w:r>
        <w:rPr>
          <w:spacing w:val="-2"/>
          <w:highlight w:val="green"/>
        </w:rPr>
        <w:t xml:space="preserve"> </w:t>
      </w:r>
      <w:r>
        <w:rPr>
          <w:spacing w:val="-1"/>
          <w:highlight w:val="green"/>
        </w:rPr>
        <w:t>Supplier.]</w:t>
      </w: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spacing w:before="2"/>
        <w:rPr>
          <w:rFonts w:ascii="Arial" w:eastAsia="Arial" w:hAnsi="Arial" w:cs="Arial"/>
          <w:b/>
          <w:bCs/>
          <w:i/>
          <w:sz w:val="16"/>
          <w:szCs w:val="16"/>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680" w:bottom="1160" w:left="1680" w:header="0" w:footer="967" w:gutter="0"/>
          <w:cols w:space="720"/>
        </w:sectPr>
      </w:pPr>
    </w:p>
    <w:p w:rsidR="008918FA" w:rsidRDefault="008918FA" w:rsidP="008918FA">
      <w:pPr>
        <w:pStyle w:val="BodyText"/>
        <w:spacing w:before="58"/>
        <w:ind w:left="1" w:firstLine="0"/>
        <w:jc w:val="center"/>
        <w:rPr>
          <w:rFonts w:ascii="Times New Roman" w:eastAsia="Times New Roman" w:hAnsi="Times New Roman" w:cs="Times New Roman"/>
        </w:rPr>
      </w:pPr>
      <w:bookmarkStart w:id="348" w:name="ANNEX_2:_THE_GOODS"/>
      <w:bookmarkStart w:id="349" w:name="_bookmark284"/>
      <w:bookmarkEnd w:id="348"/>
      <w:bookmarkEnd w:id="349"/>
      <w:r>
        <w:rPr>
          <w:rFonts w:ascii="Times New Roman"/>
          <w:spacing w:val="1"/>
        </w:rPr>
        <w:t>ANNEX</w:t>
      </w:r>
      <w:r>
        <w:rPr>
          <w:rFonts w:ascii="Times New Roman"/>
          <w:spacing w:val="-6"/>
        </w:rPr>
        <w:t xml:space="preserve"> </w:t>
      </w:r>
      <w:r>
        <w:rPr>
          <w:rFonts w:ascii="Times New Roman"/>
          <w:spacing w:val="5"/>
        </w:rPr>
        <w:t>2:</w:t>
      </w:r>
      <w:r>
        <w:rPr>
          <w:rFonts w:ascii="Times New Roman"/>
          <w:spacing w:val="20"/>
        </w:rPr>
        <w:t xml:space="preserve"> </w:t>
      </w:r>
      <w:r>
        <w:rPr>
          <w:rFonts w:ascii="Times New Roman"/>
          <w:spacing w:val="-2"/>
        </w:rPr>
        <w:t>THE</w:t>
      </w:r>
      <w:r>
        <w:rPr>
          <w:rFonts w:ascii="Times New Roman"/>
          <w:spacing w:val="18"/>
        </w:rPr>
        <w:t xml:space="preserve"> </w:t>
      </w:r>
      <w:r>
        <w:rPr>
          <w:rFonts w:ascii="Times New Roman"/>
          <w:spacing w:val="6"/>
        </w:rPr>
        <w:t>GOODS</w:t>
      </w:r>
    </w:p>
    <w:p w:rsidR="008918FA" w:rsidRDefault="008918FA" w:rsidP="008918FA">
      <w:pPr>
        <w:spacing w:before="7"/>
        <w:rPr>
          <w:rFonts w:ascii="Times New Roman" w:eastAsia="Times New Roman" w:hAnsi="Times New Roman" w:cs="Times New Roman"/>
          <w:sz w:val="14"/>
          <w:szCs w:val="14"/>
        </w:rPr>
      </w:pPr>
    </w:p>
    <w:p w:rsidR="008918FA" w:rsidRDefault="008918FA" w:rsidP="008918FA">
      <w:pPr>
        <w:pStyle w:val="BodyText"/>
        <w:tabs>
          <w:tab w:val="left" w:pos="2300"/>
        </w:tabs>
        <w:spacing w:before="72"/>
        <w:ind w:left="892" w:firstLine="0"/>
      </w:pPr>
      <w:r>
        <w:rPr>
          <w:highlight w:val="yellow"/>
        </w:rPr>
        <w:t>[</w:t>
      </w:r>
      <w:r>
        <w:rPr>
          <w:highlight w:val="yellow"/>
        </w:rPr>
        <w:tab/>
        <w:t>]</w:t>
      </w:r>
    </w:p>
    <w:p w:rsidR="008918FA" w:rsidRDefault="008918FA" w:rsidP="008918FA">
      <w:pPr>
        <w:spacing w:before="8"/>
        <w:rPr>
          <w:rFonts w:ascii="Arial" w:eastAsia="Arial" w:hAnsi="Arial" w:cs="Arial"/>
          <w:sz w:val="14"/>
          <w:szCs w:val="14"/>
        </w:rPr>
      </w:pPr>
    </w:p>
    <w:p w:rsidR="008918FA" w:rsidRDefault="008918FA" w:rsidP="008918FA">
      <w:pPr>
        <w:pStyle w:val="Heading2"/>
        <w:ind w:left="326"/>
        <w:rPr>
          <w:b w:val="0"/>
          <w:bCs w:val="0"/>
          <w:i w:val="0"/>
        </w:rPr>
      </w:pPr>
      <w:r>
        <w:rPr>
          <w:spacing w:val="-1"/>
          <w:highlight w:val="green"/>
        </w:rPr>
        <w:t>[Guidance</w:t>
      </w:r>
      <w:r>
        <w:rPr>
          <w:spacing w:val="1"/>
          <w:highlight w:val="green"/>
        </w:rPr>
        <w:t xml:space="preserve"> </w:t>
      </w:r>
      <w:r>
        <w:rPr>
          <w:spacing w:val="-2"/>
          <w:highlight w:val="green"/>
        </w:rPr>
        <w:t>Note:</w:t>
      </w:r>
      <w:r>
        <w:rPr>
          <w:spacing w:val="-1"/>
          <w:highlight w:val="green"/>
        </w:rPr>
        <w:t xml:space="preserve"> insert details</w:t>
      </w:r>
      <w:r>
        <w:rPr>
          <w:highlight w:val="green"/>
        </w:rPr>
        <w:t xml:space="preserve"> </w:t>
      </w:r>
      <w:r>
        <w:rPr>
          <w:spacing w:val="-2"/>
          <w:highlight w:val="green"/>
        </w:rPr>
        <w:t>of</w:t>
      </w:r>
      <w:r>
        <w:rPr>
          <w:spacing w:val="-1"/>
          <w:highlight w:val="green"/>
        </w:rPr>
        <w:t xml:space="preserve"> the</w:t>
      </w:r>
      <w:r>
        <w:rPr>
          <w:spacing w:val="-2"/>
          <w:highlight w:val="green"/>
        </w:rPr>
        <w:t xml:space="preserve"> </w:t>
      </w:r>
      <w:r>
        <w:rPr>
          <w:spacing w:val="-1"/>
          <w:highlight w:val="green"/>
        </w:rPr>
        <w:t>Goods</w:t>
      </w:r>
      <w:r>
        <w:rPr>
          <w:spacing w:val="-2"/>
          <w:highlight w:val="green"/>
        </w:rPr>
        <w:t xml:space="preserve"> </w:t>
      </w:r>
      <w:r>
        <w:rPr>
          <w:highlight w:val="green"/>
        </w:rPr>
        <w:t>to</w:t>
      </w:r>
      <w:r>
        <w:rPr>
          <w:spacing w:val="-2"/>
          <w:highlight w:val="green"/>
        </w:rPr>
        <w:t xml:space="preserve"> </w:t>
      </w:r>
      <w:r>
        <w:rPr>
          <w:spacing w:val="-1"/>
          <w:highlight w:val="green"/>
        </w:rPr>
        <w:t>be</w:t>
      </w:r>
      <w:r>
        <w:rPr>
          <w:spacing w:val="1"/>
          <w:highlight w:val="green"/>
        </w:rPr>
        <w:t xml:space="preserve"> </w:t>
      </w:r>
      <w:r>
        <w:rPr>
          <w:spacing w:val="-1"/>
          <w:highlight w:val="green"/>
        </w:rPr>
        <w:t>provided</w:t>
      </w:r>
      <w:r>
        <w:rPr>
          <w:spacing w:val="-2"/>
          <w:highlight w:val="green"/>
        </w:rPr>
        <w:t xml:space="preserve"> </w:t>
      </w:r>
      <w:r>
        <w:rPr>
          <w:spacing w:val="-1"/>
          <w:highlight w:val="green"/>
        </w:rPr>
        <w:t>by</w:t>
      </w:r>
      <w:r>
        <w:rPr>
          <w:spacing w:val="-2"/>
          <w:highlight w:val="green"/>
        </w:rPr>
        <w:t xml:space="preserve"> </w:t>
      </w:r>
      <w:r>
        <w:rPr>
          <w:spacing w:val="-1"/>
          <w:highlight w:val="green"/>
        </w:rPr>
        <w:t>the</w:t>
      </w:r>
      <w:r>
        <w:rPr>
          <w:spacing w:val="-2"/>
          <w:highlight w:val="green"/>
        </w:rPr>
        <w:t xml:space="preserve"> </w:t>
      </w:r>
      <w:r>
        <w:rPr>
          <w:spacing w:val="-1"/>
          <w:highlight w:val="green"/>
        </w:rPr>
        <w:t>Supplier.]</w:t>
      </w: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spacing w:before="2"/>
        <w:rPr>
          <w:rFonts w:ascii="Arial" w:eastAsia="Arial" w:hAnsi="Arial" w:cs="Arial"/>
          <w:b/>
          <w:bCs/>
          <w:i/>
          <w:sz w:val="16"/>
          <w:szCs w:val="16"/>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680" w:bottom="1160" w:left="1680" w:header="0" w:footer="967" w:gutter="0"/>
          <w:cols w:space="720"/>
        </w:sectPr>
      </w:pPr>
    </w:p>
    <w:p w:rsidR="008918FA" w:rsidRDefault="008918FA" w:rsidP="008918FA">
      <w:pPr>
        <w:pStyle w:val="BodyText"/>
        <w:spacing w:before="58"/>
        <w:ind w:left="3850" w:right="125" w:hanging="3404"/>
        <w:rPr>
          <w:rFonts w:ascii="Times New Roman" w:eastAsia="Times New Roman" w:hAnsi="Times New Roman" w:cs="Times New Roman"/>
        </w:rPr>
      </w:pPr>
      <w:bookmarkStart w:id="350" w:name="CALL_OFF_SCHEDULE_3:_CALL_OFF_CONTRACT_C"/>
      <w:bookmarkStart w:id="351" w:name="_bookmark285"/>
      <w:bookmarkEnd w:id="350"/>
      <w:bookmarkEnd w:id="351"/>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5"/>
        </w:rPr>
        <w:t>3:</w:t>
      </w:r>
      <w:r>
        <w:rPr>
          <w:rFonts w:ascii="Times New Roman"/>
          <w:spacing w:val="20"/>
        </w:rPr>
        <w:t xml:space="preserve"> </w:t>
      </w:r>
      <w:r>
        <w:rPr>
          <w:rFonts w:ascii="Times New Roman"/>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5"/>
        </w:rPr>
        <w:t>CONTRACT</w:t>
      </w:r>
      <w:r>
        <w:rPr>
          <w:rFonts w:ascii="Times New Roman"/>
          <w:spacing w:val="4"/>
        </w:rPr>
        <w:t xml:space="preserve"> </w:t>
      </w:r>
      <w:r>
        <w:rPr>
          <w:rFonts w:ascii="Times New Roman"/>
          <w:spacing w:val="6"/>
        </w:rPr>
        <w:t>CHARGES</w:t>
      </w:r>
      <w:r>
        <w:rPr>
          <w:rFonts w:ascii="Times New Roman"/>
          <w:spacing w:val="-32"/>
        </w:rPr>
        <w:t xml:space="preserve"> </w:t>
      </w:r>
      <w:r>
        <w:rPr>
          <w:rFonts w:ascii="Times New Roman"/>
        </w:rPr>
        <w:t>,</w:t>
      </w:r>
      <w:r>
        <w:rPr>
          <w:rFonts w:ascii="Times New Roman"/>
          <w:spacing w:val="14"/>
        </w:rPr>
        <w:t xml:space="preserve"> </w:t>
      </w:r>
      <w:r>
        <w:rPr>
          <w:rFonts w:ascii="Times New Roman"/>
        </w:rPr>
        <w:t>P</w:t>
      </w:r>
      <w:r>
        <w:rPr>
          <w:rFonts w:ascii="Times New Roman"/>
          <w:spacing w:val="-29"/>
        </w:rPr>
        <w:t xml:space="preserve"> </w:t>
      </w:r>
      <w:r>
        <w:rPr>
          <w:rFonts w:ascii="Times New Roman"/>
          <w:spacing w:val="-4"/>
        </w:rPr>
        <w:t>AYMENT</w:t>
      </w:r>
      <w:r>
        <w:rPr>
          <w:rFonts w:ascii="Times New Roman"/>
          <w:spacing w:val="9"/>
        </w:rPr>
        <w:t xml:space="preserve"> </w:t>
      </w:r>
      <w:r>
        <w:rPr>
          <w:rFonts w:ascii="Times New Roman"/>
          <w:spacing w:val="-3"/>
        </w:rPr>
        <w:t>AND</w:t>
      </w:r>
      <w:r>
        <w:rPr>
          <w:rFonts w:ascii="Times New Roman"/>
          <w:spacing w:val="36"/>
        </w:rPr>
        <w:t xml:space="preserve"> </w:t>
      </w:r>
      <w:r>
        <w:rPr>
          <w:rFonts w:ascii="Times New Roman"/>
          <w:spacing w:val="-4"/>
        </w:rPr>
        <w:t>INVOICING</w:t>
      </w:r>
    </w:p>
    <w:p w:rsidR="008918FA" w:rsidRDefault="008918FA" w:rsidP="008918FA">
      <w:pPr>
        <w:spacing w:before="11"/>
        <w:rPr>
          <w:rFonts w:ascii="Times New Roman" w:eastAsia="Times New Roman" w:hAnsi="Times New Roman" w:cs="Times New Roman"/>
          <w:sz w:val="20"/>
          <w:szCs w:val="20"/>
        </w:rPr>
      </w:pPr>
    </w:p>
    <w:p w:rsidR="008918FA" w:rsidRDefault="008918FA" w:rsidP="008918FA">
      <w:pPr>
        <w:pStyle w:val="BodyText"/>
        <w:numPr>
          <w:ilvl w:val="0"/>
          <w:numId w:val="30"/>
        </w:numPr>
        <w:tabs>
          <w:tab w:val="left" w:pos="467"/>
        </w:tabs>
        <w:spacing w:before="0"/>
        <w:rPr>
          <w:rFonts w:ascii="Times New Roman" w:eastAsia="Times New Roman" w:hAnsi="Times New Roman" w:cs="Times New Roman"/>
        </w:rPr>
      </w:pPr>
      <w:r>
        <w:rPr>
          <w:rFonts w:ascii="Times New Roman"/>
          <w:spacing w:val="-1"/>
        </w:rPr>
        <w:t>DEFINITIONS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30"/>
        </w:numPr>
        <w:tabs>
          <w:tab w:val="left" w:pos="829"/>
        </w:tabs>
        <w:spacing w:before="0"/>
        <w:ind w:right="125"/>
      </w:pPr>
      <w:r>
        <w:t xml:space="preserve">The </w:t>
      </w:r>
      <w:r>
        <w:rPr>
          <w:spacing w:val="14"/>
        </w:rPr>
        <w:t xml:space="preserve"> </w:t>
      </w:r>
      <w:r>
        <w:rPr>
          <w:spacing w:val="-2"/>
        </w:rPr>
        <w:t>following</w:t>
      </w:r>
      <w:r>
        <w:t xml:space="preserve"> </w:t>
      </w:r>
      <w:r>
        <w:rPr>
          <w:spacing w:val="18"/>
        </w:rPr>
        <w:t xml:space="preserve"> </w:t>
      </w:r>
      <w:r>
        <w:rPr>
          <w:spacing w:val="-1"/>
        </w:rPr>
        <w:t>terms</w:t>
      </w:r>
      <w:r>
        <w:t xml:space="preserve"> </w:t>
      </w:r>
      <w:r>
        <w:rPr>
          <w:spacing w:val="14"/>
        </w:rPr>
        <w:t xml:space="preserve"> </w:t>
      </w:r>
      <w:r>
        <w:rPr>
          <w:spacing w:val="-2"/>
        </w:rPr>
        <w:t>used</w:t>
      </w:r>
      <w:r>
        <w:t xml:space="preserve"> </w:t>
      </w:r>
      <w:r>
        <w:rPr>
          <w:spacing w:val="16"/>
        </w:rPr>
        <w:t xml:space="preserve"> </w:t>
      </w:r>
      <w:r>
        <w:rPr>
          <w:spacing w:val="-1"/>
        </w:rPr>
        <w:t>in</w:t>
      </w:r>
      <w:r>
        <w:t xml:space="preserve"> </w:t>
      </w:r>
      <w:r>
        <w:rPr>
          <w:spacing w:val="16"/>
        </w:rPr>
        <w:t xml:space="preserve"> </w:t>
      </w:r>
      <w:r>
        <w:rPr>
          <w:spacing w:val="-1"/>
        </w:rPr>
        <w:t>this</w:t>
      </w:r>
      <w:r>
        <w:t xml:space="preserve"> </w:t>
      </w:r>
      <w:r>
        <w:rPr>
          <w:spacing w:val="18"/>
        </w:rPr>
        <w:t xml:space="preserve"> </w:t>
      </w:r>
      <w:r>
        <w:rPr>
          <w:spacing w:val="-2"/>
        </w:rPr>
        <w:t>Call</w:t>
      </w:r>
      <w:r>
        <w:t xml:space="preserve"> </w:t>
      </w:r>
      <w:r>
        <w:rPr>
          <w:spacing w:val="15"/>
        </w:rPr>
        <w:t xml:space="preserve"> </w:t>
      </w:r>
      <w:r>
        <w:rPr>
          <w:spacing w:val="-1"/>
        </w:rPr>
        <w:t>Off</w:t>
      </w:r>
      <w:r>
        <w:t xml:space="preserve"> </w:t>
      </w:r>
      <w:r>
        <w:rPr>
          <w:spacing w:val="17"/>
        </w:rPr>
        <w:t xml:space="preserve"> </w:t>
      </w:r>
      <w:r>
        <w:rPr>
          <w:spacing w:val="-2"/>
        </w:rPr>
        <w:t>Schedule</w:t>
      </w:r>
      <w:r>
        <w:t xml:space="preserve"> </w:t>
      </w:r>
      <w:r>
        <w:rPr>
          <w:spacing w:val="16"/>
        </w:rPr>
        <w:t xml:space="preserve"> </w:t>
      </w:r>
      <w:r>
        <w:rPr>
          <w:spacing w:val="-1"/>
        </w:rPr>
        <w:t>shall</w:t>
      </w:r>
      <w:r>
        <w:t xml:space="preserve"> </w:t>
      </w:r>
      <w:r>
        <w:rPr>
          <w:spacing w:val="15"/>
        </w:rPr>
        <w:t xml:space="preserve"> </w:t>
      </w:r>
      <w:r>
        <w:rPr>
          <w:spacing w:val="-2"/>
        </w:rPr>
        <w:t>have</w:t>
      </w:r>
      <w:r>
        <w:t xml:space="preserve"> </w:t>
      </w:r>
      <w:r>
        <w:rPr>
          <w:spacing w:val="16"/>
        </w:rPr>
        <w:t xml:space="preserve"> </w:t>
      </w:r>
      <w:r>
        <w:t xml:space="preserve">the </w:t>
      </w:r>
      <w:r>
        <w:rPr>
          <w:spacing w:val="16"/>
        </w:rPr>
        <w:t xml:space="preserve"> </w:t>
      </w:r>
      <w:r>
        <w:rPr>
          <w:spacing w:val="-2"/>
        </w:rPr>
        <w:t>following</w:t>
      </w:r>
      <w:r>
        <w:rPr>
          <w:spacing w:val="78"/>
        </w:rPr>
        <w:t xml:space="preserve"> </w:t>
      </w:r>
      <w:r>
        <w:rPr>
          <w:spacing w:val="-1"/>
        </w:rPr>
        <w:t>meaning:</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1"/>
        <w:rPr>
          <w:rFonts w:ascii="Arial" w:eastAsia="Arial" w:hAnsi="Arial" w:cs="Arial"/>
          <w:sz w:val="21"/>
          <w:szCs w:val="21"/>
        </w:rPr>
      </w:pPr>
    </w:p>
    <w:p w:rsidR="008918FA" w:rsidRDefault="008918FA" w:rsidP="008918FA">
      <w:pPr>
        <w:rPr>
          <w:rFonts w:ascii="Arial" w:eastAsia="Arial" w:hAnsi="Arial" w:cs="Arial"/>
          <w:sz w:val="21"/>
          <w:szCs w:val="21"/>
        </w:rPr>
        <w:sectPr w:rsidR="008918FA">
          <w:pgSz w:w="11910" w:h="16840"/>
          <w:pgMar w:top="1480" w:right="1300" w:bottom="1160" w:left="1540" w:header="0" w:footer="967" w:gutter="0"/>
          <w:cols w:space="720"/>
        </w:sectPr>
      </w:pPr>
    </w:p>
    <w:p w:rsidR="008918FA" w:rsidRPr="007929F1" w:rsidRDefault="008918FA" w:rsidP="008918FA">
      <w:pPr>
        <w:pStyle w:val="Heading1"/>
        <w:spacing w:before="72"/>
        <w:ind w:left="608" w:firstLine="0"/>
        <w:rPr>
          <w:b w:val="0"/>
          <w:bCs w:val="0"/>
          <w:highlight w:val="yellow"/>
        </w:rPr>
      </w:pPr>
      <w:r w:rsidRPr="007929F1">
        <w:rPr>
          <w:spacing w:val="-1"/>
          <w:highlight w:val="yellow"/>
        </w:rPr>
        <w:t>["Review</w:t>
      </w:r>
      <w:r w:rsidRPr="007929F1">
        <w:rPr>
          <w:spacing w:val="6"/>
          <w:highlight w:val="yellow"/>
        </w:rPr>
        <w:t xml:space="preserve"> </w:t>
      </w:r>
      <w:r w:rsidRPr="007929F1">
        <w:rPr>
          <w:spacing w:val="-2"/>
          <w:highlight w:val="yellow"/>
        </w:rPr>
        <w:t>Adjustment</w:t>
      </w:r>
      <w:r w:rsidRPr="007929F1">
        <w:rPr>
          <w:spacing w:val="23"/>
          <w:highlight w:val="yellow"/>
        </w:rPr>
        <w:t xml:space="preserve"> </w:t>
      </w:r>
      <w:r w:rsidRPr="007929F1">
        <w:rPr>
          <w:spacing w:val="-1"/>
          <w:highlight w:val="yellow"/>
        </w:rPr>
        <w:t>Date"</w:t>
      </w:r>
    </w:p>
    <w:p w:rsidR="008918FA" w:rsidRDefault="008918FA" w:rsidP="008918FA">
      <w:pPr>
        <w:pStyle w:val="BodyText"/>
        <w:spacing w:before="75"/>
        <w:ind w:left="608" w:right="542" w:firstLine="0"/>
      </w:pPr>
      <w:r w:rsidRPr="007929F1">
        <w:rPr>
          <w:highlight w:val="yellow"/>
        </w:rPr>
        <w:br w:type="column"/>
      </w:r>
      <w:r w:rsidRPr="007929F1">
        <w:rPr>
          <w:spacing w:val="-1"/>
          <w:highlight w:val="yellow"/>
        </w:rPr>
        <w:t>has</w:t>
      </w:r>
      <w:r w:rsidRPr="007929F1">
        <w:rPr>
          <w:spacing w:val="8"/>
          <w:highlight w:val="yellow"/>
        </w:rPr>
        <w:t xml:space="preserve"> </w:t>
      </w:r>
      <w:r w:rsidRPr="007929F1">
        <w:rPr>
          <w:highlight w:val="yellow"/>
        </w:rPr>
        <w:t>the</w:t>
      </w:r>
      <w:r w:rsidRPr="007929F1">
        <w:rPr>
          <w:spacing w:val="7"/>
          <w:highlight w:val="yellow"/>
        </w:rPr>
        <w:t xml:space="preserve"> </w:t>
      </w:r>
      <w:r w:rsidRPr="007929F1">
        <w:rPr>
          <w:spacing w:val="-2"/>
          <w:highlight w:val="yellow"/>
        </w:rPr>
        <w:t>meaning</w:t>
      </w:r>
      <w:r w:rsidRPr="007929F1">
        <w:rPr>
          <w:spacing w:val="10"/>
          <w:highlight w:val="yellow"/>
        </w:rPr>
        <w:t xml:space="preserve"> </w:t>
      </w:r>
      <w:r w:rsidRPr="007929F1">
        <w:rPr>
          <w:spacing w:val="-1"/>
          <w:highlight w:val="yellow"/>
        </w:rPr>
        <w:t>given</w:t>
      </w:r>
      <w:r w:rsidRPr="007929F1">
        <w:rPr>
          <w:spacing w:val="7"/>
          <w:highlight w:val="yellow"/>
        </w:rPr>
        <w:t xml:space="preserve"> </w:t>
      </w:r>
      <w:r w:rsidRPr="007929F1">
        <w:rPr>
          <w:highlight w:val="yellow"/>
        </w:rPr>
        <w:t>to</w:t>
      </w:r>
      <w:r w:rsidRPr="007929F1">
        <w:rPr>
          <w:spacing w:val="7"/>
          <w:highlight w:val="yellow"/>
        </w:rPr>
        <w:t xml:space="preserve"> </w:t>
      </w:r>
      <w:r w:rsidRPr="007929F1">
        <w:rPr>
          <w:spacing w:val="-1"/>
          <w:highlight w:val="yellow"/>
        </w:rPr>
        <w:t>it</w:t>
      </w:r>
      <w:r w:rsidRPr="007929F1">
        <w:rPr>
          <w:spacing w:val="9"/>
          <w:highlight w:val="yellow"/>
        </w:rPr>
        <w:t xml:space="preserve"> </w:t>
      </w:r>
      <w:r w:rsidRPr="007929F1">
        <w:rPr>
          <w:spacing w:val="-1"/>
          <w:highlight w:val="yellow"/>
        </w:rPr>
        <w:t>in</w:t>
      </w:r>
      <w:r w:rsidRPr="007929F1">
        <w:rPr>
          <w:spacing w:val="7"/>
          <w:highlight w:val="yellow"/>
        </w:rPr>
        <w:t xml:space="preserve"> </w:t>
      </w:r>
      <w:r w:rsidRPr="007929F1">
        <w:rPr>
          <w:spacing w:val="-1"/>
          <w:highlight w:val="yellow"/>
        </w:rPr>
        <w:t>paragraph</w:t>
      </w:r>
      <w:r w:rsidRPr="007929F1">
        <w:rPr>
          <w:spacing w:val="9"/>
          <w:highlight w:val="yellow"/>
        </w:rPr>
        <w:t xml:space="preserve"> </w:t>
      </w:r>
      <w:hyperlink w:anchor="_bookmark300" w:history="1">
        <w:r w:rsidRPr="007929F1">
          <w:rPr>
            <w:spacing w:val="-1"/>
            <w:highlight w:val="yellow"/>
          </w:rPr>
          <w:t>9.1.2</w:t>
        </w:r>
      </w:hyperlink>
      <w:r w:rsidRPr="007929F1">
        <w:rPr>
          <w:spacing w:val="5"/>
          <w:highlight w:val="yellow"/>
        </w:rPr>
        <w:t xml:space="preserve"> </w:t>
      </w:r>
      <w:r w:rsidRPr="007929F1">
        <w:rPr>
          <w:spacing w:val="-3"/>
          <w:highlight w:val="yellow"/>
        </w:rPr>
        <w:t>of</w:t>
      </w:r>
      <w:r w:rsidRPr="007929F1">
        <w:rPr>
          <w:spacing w:val="36"/>
          <w:highlight w:val="yellow"/>
        </w:rPr>
        <w:t xml:space="preserve"> </w:t>
      </w:r>
      <w:r w:rsidRPr="007929F1">
        <w:rPr>
          <w:spacing w:val="-1"/>
          <w:highlight w:val="yellow"/>
        </w:rPr>
        <w:t>this</w:t>
      </w:r>
      <w:r w:rsidRPr="007929F1">
        <w:rPr>
          <w:spacing w:val="1"/>
          <w:highlight w:val="yellow"/>
        </w:rPr>
        <w:t xml:space="preserve"> </w:t>
      </w:r>
      <w:r w:rsidRPr="007929F1">
        <w:rPr>
          <w:spacing w:val="-2"/>
          <w:highlight w:val="yellow"/>
        </w:rPr>
        <w:t>Call</w:t>
      </w:r>
      <w:r w:rsidRPr="007929F1">
        <w:rPr>
          <w:highlight w:val="yellow"/>
        </w:rPr>
        <w:t xml:space="preserve"> </w:t>
      </w:r>
      <w:r w:rsidRPr="007929F1">
        <w:rPr>
          <w:spacing w:val="-1"/>
          <w:highlight w:val="yellow"/>
        </w:rPr>
        <w:t>Off</w:t>
      </w:r>
      <w:r w:rsidRPr="007929F1">
        <w:rPr>
          <w:highlight w:val="yellow"/>
        </w:rPr>
        <w:t xml:space="preserve"> </w:t>
      </w:r>
      <w:r w:rsidRPr="007929F1">
        <w:rPr>
          <w:spacing w:val="-1"/>
          <w:highlight w:val="yellow"/>
        </w:rPr>
        <w:t>Schedule;</w:t>
      </w:r>
    </w:p>
    <w:p w:rsidR="008918FA" w:rsidRDefault="008918FA" w:rsidP="008918FA">
      <w:pPr>
        <w:sectPr w:rsidR="008918FA">
          <w:type w:val="continuous"/>
          <w:pgSz w:w="11910" w:h="16840"/>
          <w:pgMar w:top="180" w:right="1300" w:bottom="280" w:left="1540" w:header="720" w:footer="720" w:gutter="0"/>
          <w:cols w:num="2" w:space="720" w:equalWidth="0">
            <w:col w:w="2815" w:space="300"/>
            <w:col w:w="5955"/>
          </w:cols>
        </w:sect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3"/>
        <w:rPr>
          <w:rFonts w:ascii="Arial" w:eastAsia="Arial" w:hAnsi="Arial" w:cs="Arial"/>
          <w:sz w:val="19"/>
          <w:szCs w:val="19"/>
        </w:rPr>
      </w:pPr>
    </w:p>
    <w:p w:rsidR="008918FA" w:rsidRDefault="008918FA" w:rsidP="008918FA">
      <w:pPr>
        <w:pStyle w:val="BodyText"/>
        <w:numPr>
          <w:ilvl w:val="0"/>
          <w:numId w:val="30"/>
        </w:numPr>
        <w:tabs>
          <w:tab w:val="left" w:pos="467"/>
        </w:tabs>
        <w:spacing w:before="72"/>
        <w:rPr>
          <w:rFonts w:ascii="Times New Roman" w:eastAsia="Times New Roman" w:hAnsi="Times New Roman" w:cs="Times New Roman"/>
        </w:rPr>
      </w:pPr>
      <w:bookmarkStart w:id="352" w:name="_bookmark286"/>
      <w:bookmarkEnd w:id="352"/>
      <w:r>
        <w:rPr>
          <w:rFonts w:ascii="Times New Roman"/>
          <w:spacing w:val="5"/>
        </w:rPr>
        <w:t>GENERAL</w:t>
      </w:r>
      <w:r>
        <w:rPr>
          <w:rFonts w:ascii="Times New Roman"/>
          <w:spacing w:val="7"/>
        </w:rPr>
        <w:t xml:space="preserve"> </w:t>
      </w:r>
      <w:r>
        <w:rPr>
          <w:rFonts w:ascii="Times New Roman"/>
          <w:spacing w:val="4"/>
        </w:rPr>
        <w:t>PROVISIONS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30"/>
        </w:numPr>
        <w:tabs>
          <w:tab w:val="left" w:pos="829"/>
        </w:tabs>
        <w:spacing w:before="0"/>
      </w:pP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Schedule</w:t>
      </w:r>
      <w:r>
        <w:rPr>
          <w:spacing w:val="-2"/>
        </w:rPr>
        <w:t xml:space="preserve"> details:</w:t>
      </w:r>
    </w:p>
    <w:p w:rsidR="008918FA" w:rsidRDefault="008918FA" w:rsidP="008918FA">
      <w:pPr>
        <w:pStyle w:val="BodyText"/>
        <w:numPr>
          <w:ilvl w:val="2"/>
          <w:numId w:val="30"/>
        </w:numPr>
        <w:tabs>
          <w:tab w:val="left" w:pos="2027"/>
        </w:tabs>
        <w:spacing w:before="121"/>
        <w:ind w:right="116"/>
        <w:jc w:val="both"/>
      </w:pPr>
      <w:r>
        <w:t xml:space="preserve">the </w:t>
      </w:r>
      <w:r>
        <w:rPr>
          <w:spacing w:val="-2"/>
        </w:rPr>
        <w:t>Call</w:t>
      </w:r>
      <w:r>
        <w:t xml:space="preserve"> </w:t>
      </w:r>
      <w:r>
        <w:rPr>
          <w:spacing w:val="-1"/>
        </w:rPr>
        <w:t>Off</w:t>
      </w:r>
      <w:r>
        <w:t xml:space="preserve"> </w:t>
      </w:r>
      <w:r>
        <w:rPr>
          <w:spacing w:val="-1"/>
        </w:rPr>
        <w:t>Contract</w:t>
      </w:r>
      <w:r>
        <w:t xml:space="preserve"> </w:t>
      </w:r>
      <w:r>
        <w:rPr>
          <w:spacing w:val="-1"/>
        </w:rPr>
        <w:t>Charges</w:t>
      </w:r>
      <w:r>
        <w:rPr>
          <w:spacing w:val="-2"/>
        </w:rPr>
        <w:t xml:space="preserve"> </w:t>
      </w:r>
      <w:r>
        <w:t>for</w:t>
      </w:r>
      <w:r>
        <w:rPr>
          <w:spacing w:val="-1"/>
        </w:rPr>
        <w:t xml:space="preserve"> </w:t>
      </w:r>
      <w:r>
        <w:t>the</w:t>
      </w:r>
      <w:r>
        <w:rPr>
          <w:spacing w:val="-2"/>
        </w:rPr>
        <w:t xml:space="preserve"> </w:t>
      </w:r>
      <w:r>
        <w:rPr>
          <w:spacing w:val="-1"/>
        </w:rPr>
        <w:t>Goods</w:t>
      </w:r>
      <w:r>
        <w:rPr>
          <w:spacing w:val="1"/>
        </w:rPr>
        <w:t xml:space="preserve"> </w:t>
      </w:r>
      <w:r>
        <w:rPr>
          <w:spacing w:val="-2"/>
        </w:rPr>
        <w:t>and/or</w:t>
      </w:r>
      <w:r>
        <w:rPr>
          <w:spacing w:val="2"/>
        </w:rPr>
        <w:t xml:space="preserve"> </w:t>
      </w:r>
      <w:r>
        <w:rPr>
          <w:spacing w:val="-1"/>
        </w:rPr>
        <w:t>the</w:t>
      </w:r>
      <w:r>
        <w:t xml:space="preserve"> </w:t>
      </w:r>
      <w:r>
        <w:rPr>
          <w:spacing w:val="-1"/>
        </w:rPr>
        <w:t>Services</w:t>
      </w:r>
      <w:r>
        <w:rPr>
          <w:spacing w:val="2"/>
        </w:rPr>
        <w:t xml:space="preserve"> </w:t>
      </w:r>
      <w:r>
        <w:rPr>
          <w:spacing w:val="-2"/>
        </w:rPr>
        <w:t>under</w:t>
      </w:r>
      <w:r>
        <w:rPr>
          <w:spacing w:val="29"/>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2"/>
        </w:rPr>
        <w:t>and</w:t>
      </w:r>
    </w:p>
    <w:p w:rsidR="008918FA" w:rsidRDefault="008918FA" w:rsidP="008918FA">
      <w:pPr>
        <w:pStyle w:val="BodyText"/>
        <w:numPr>
          <w:ilvl w:val="2"/>
          <w:numId w:val="30"/>
        </w:numPr>
        <w:tabs>
          <w:tab w:val="left" w:pos="2027"/>
        </w:tabs>
        <w:spacing w:before="121"/>
      </w:pPr>
      <w:r>
        <w:t xml:space="preserve">the </w:t>
      </w:r>
      <w:r>
        <w:rPr>
          <w:spacing w:val="-1"/>
        </w:rPr>
        <w:t>payment</w:t>
      </w:r>
      <w:r>
        <w:rPr>
          <w:spacing w:val="-3"/>
        </w:rPr>
        <w:t xml:space="preserve"> </w:t>
      </w:r>
      <w:r>
        <w:rPr>
          <w:spacing w:val="-1"/>
        </w:rPr>
        <w:t>terms/profile</w:t>
      </w:r>
      <w:r>
        <w:rPr>
          <w:spacing w:val="-2"/>
        </w:rPr>
        <w:t xml:space="preserve"> </w:t>
      </w:r>
      <w:r>
        <w:t>for</w:t>
      </w:r>
      <w:r>
        <w:rPr>
          <w:spacing w:val="-1"/>
        </w:rPr>
        <w:t xml:space="preserve"> the</w:t>
      </w:r>
      <w:r>
        <w:t xml:space="preserve"> </w:t>
      </w:r>
      <w:r>
        <w:rPr>
          <w:spacing w:val="-2"/>
        </w:rPr>
        <w:t>Call</w:t>
      </w:r>
      <w:r>
        <w:t xml:space="preserve"> </w:t>
      </w:r>
      <w:r>
        <w:rPr>
          <w:spacing w:val="-2"/>
        </w:rPr>
        <w:t>Off</w:t>
      </w:r>
      <w:r>
        <w:rPr>
          <w:spacing w:val="2"/>
        </w:rPr>
        <w:t xml:space="preserve"> </w:t>
      </w:r>
      <w:r>
        <w:rPr>
          <w:spacing w:val="-2"/>
        </w:rPr>
        <w:t>Contract</w:t>
      </w:r>
      <w:r>
        <w:rPr>
          <w:spacing w:val="2"/>
        </w:rPr>
        <w:t xml:space="preserve"> </w:t>
      </w:r>
      <w:r>
        <w:rPr>
          <w:spacing w:val="-2"/>
        </w:rPr>
        <w:t>Charges;</w:t>
      </w:r>
    </w:p>
    <w:p w:rsidR="008918FA" w:rsidRDefault="008918FA" w:rsidP="008918FA">
      <w:pPr>
        <w:pStyle w:val="BodyText"/>
        <w:numPr>
          <w:ilvl w:val="2"/>
          <w:numId w:val="30"/>
        </w:numPr>
        <w:tabs>
          <w:tab w:val="left" w:pos="2027"/>
        </w:tabs>
      </w:pPr>
      <w:r>
        <w:t xml:space="preserve">the </w:t>
      </w:r>
      <w:r>
        <w:rPr>
          <w:spacing w:val="-2"/>
        </w:rPr>
        <w:t>invoicing</w:t>
      </w:r>
      <w:r>
        <w:rPr>
          <w:spacing w:val="3"/>
        </w:rPr>
        <w:t xml:space="preserve"> </w:t>
      </w:r>
      <w:r>
        <w:rPr>
          <w:spacing w:val="-1"/>
        </w:rPr>
        <w:t>procedure;</w:t>
      </w:r>
      <w:r>
        <w:t xml:space="preserve"> </w:t>
      </w:r>
      <w:r>
        <w:rPr>
          <w:spacing w:val="-1"/>
        </w:rPr>
        <w:t>and</w:t>
      </w:r>
    </w:p>
    <w:p w:rsidR="008918FA" w:rsidRDefault="008918FA" w:rsidP="008918FA">
      <w:pPr>
        <w:pStyle w:val="BodyText"/>
        <w:numPr>
          <w:ilvl w:val="2"/>
          <w:numId w:val="30"/>
        </w:numPr>
        <w:tabs>
          <w:tab w:val="left" w:pos="2027"/>
        </w:tabs>
        <w:ind w:right="114"/>
        <w:jc w:val="both"/>
      </w:pPr>
      <w:r>
        <w:t>the</w:t>
      </w:r>
      <w:r>
        <w:rPr>
          <w:spacing w:val="29"/>
        </w:rPr>
        <w:t xml:space="preserve"> </w:t>
      </w:r>
      <w:r>
        <w:rPr>
          <w:spacing w:val="-1"/>
        </w:rPr>
        <w:t>procedure</w:t>
      </w:r>
      <w:r>
        <w:rPr>
          <w:spacing w:val="29"/>
        </w:rPr>
        <w:t xml:space="preserve"> </w:t>
      </w:r>
      <w:r>
        <w:rPr>
          <w:spacing w:val="-2"/>
        </w:rPr>
        <w:t>applicable</w:t>
      </w:r>
      <w:r>
        <w:rPr>
          <w:spacing w:val="29"/>
        </w:rPr>
        <w:t xml:space="preserve"> </w:t>
      </w:r>
      <w:r>
        <w:t>to</w:t>
      </w:r>
      <w:r>
        <w:rPr>
          <w:spacing w:val="29"/>
        </w:rPr>
        <w:t xml:space="preserve"> </w:t>
      </w:r>
      <w:r>
        <w:rPr>
          <w:spacing w:val="-1"/>
        </w:rPr>
        <w:t>any</w:t>
      </w:r>
      <w:r>
        <w:rPr>
          <w:spacing w:val="27"/>
        </w:rPr>
        <w:t xml:space="preserve"> </w:t>
      </w:r>
      <w:r>
        <w:rPr>
          <w:spacing w:val="-1"/>
        </w:rPr>
        <w:t>adjustments</w:t>
      </w:r>
      <w:r>
        <w:rPr>
          <w:spacing w:val="30"/>
        </w:rPr>
        <w:t xml:space="preserve"> </w:t>
      </w:r>
      <w:r>
        <w:rPr>
          <w:spacing w:val="-2"/>
        </w:rPr>
        <w:t>of</w:t>
      </w:r>
      <w:r>
        <w:rPr>
          <w:spacing w:val="30"/>
        </w:rPr>
        <w:t xml:space="preserve"> </w:t>
      </w:r>
      <w:r>
        <w:t>the</w:t>
      </w:r>
      <w:r>
        <w:rPr>
          <w:spacing w:val="29"/>
        </w:rPr>
        <w:t xml:space="preserve"> </w:t>
      </w:r>
      <w:r>
        <w:rPr>
          <w:spacing w:val="-2"/>
        </w:rPr>
        <w:t>Call</w:t>
      </w:r>
      <w:r>
        <w:rPr>
          <w:spacing w:val="28"/>
        </w:rPr>
        <w:t xml:space="preserve"> </w:t>
      </w:r>
      <w:r>
        <w:t>Off</w:t>
      </w:r>
      <w:r>
        <w:rPr>
          <w:spacing w:val="33"/>
        </w:rPr>
        <w:t xml:space="preserve"> </w:t>
      </w:r>
      <w:r>
        <w:rPr>
          <w:spacing w:val="-2"/>
        </w:rPr>
        <w:t>Contract</w:t>
      </w:r>
      <w:r>
        <w:rPr>
          <w:spacing w:val="69"/>
        </w:rPr>
        <w:t xml:space="preserve"> </w:t>
      </w:r>
      <w:r>
        <w:rPr>
          <w:spacing w:val="-1"/>
        </w:rPr>
        <w:t>Charges.</w:t>
      </w:r>
    </w:p>
    <w:p w:rsidR="008918FA" w:rsidRDefault="008918FA" w:rsidP="008918FA">
      <w:pPr>
        <w:pStyle w:val="BodyText"/>
        <w:numPr>
          <w:ilvl w:val="0"/>
          <w:numId w:val="30"/>
        </w:numPr>
        <w:tabs>
          <w:tab w:val="left" w:pos="467"/>
        </w:tabs>
        <w:spacing w:before="117"/>
        <w:rPr>
          <w:rFonts w:ascii="Times New Roman" w:eastAsia="Times New Roman" w:hAnsi="Times New Roman" w:cs="Times New Roman"/>
        </w:rPr>
      </w:pPr>
      <w:bookmarkStart w:id="353" w:name="_bookmark287"/>
      <w:bookmarkEnd w:id="353"/>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5"/>
        </w:rPr>
        <w:t>CONTRACT</w:t>
      </w:r>
      <w:r>
        <w:rPr>
          <w:rFonts w:ascii="Times New Roman"/>
          <w:spacing w:val="4"/>
        </w:rPr>
        <w:t xml:space="preserve"> </w:t>
      </w:r>
      <w:r>
        <w:rPr>
          <w:rFonts w:ascii="Times New Roman"/>
          <w:spacing w:val="6"/>
        </w:rPr>
        <w:t>CHARGES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30"/>
        </w:numPr>
        <w:tabs>
          <w:tab w:val="left" w:pos="829"/>
        </w:tabs>
        <w:spacing w:before="0"/>
        <w:ind w:right="113"/>
        <w:jc w:val="both"/>
      </w:pPr>
      <w:r>
        <w:t>The</w:t>
      </w:r>
      <w:r>
        <w:rPr>
          <w:spacing w:val="3"/>
        </w:rPr>
        <w:t xml:space="preserve"> </w:t>
      </w:r>
      <w:r>
        <w:rPr>
          <w:spacing w:val="-2"/>
        </w:rPr>
        <w:t>Call</w:t>
      </w:r>
      <w:r>
        <w:t xml:space="preserve"> </w:t>
      </w:r>
      <w:r>
        <w:rPr>
          <w:spacing w:val="-1"/>
        </w:rPr>
        <w:t>Off</w:t>
      </w:r>
      <w:r>
        <w:rPr>
          <w:spacing w:val="4"/>
        </w:rPr>
        <w:t xml:space="preserve"> </w:t>
      </w:r>
      <w:r>
        <w:rPr>
          <w:spacing w:val="-1"/>
        </w:rPr>
        <w:t>Contract</w:t>
      </w:r>
      <w:r>
        <w:rPr>
          <w:spacing w:val="2"/>
        </w:rPr>
        <w:t xml:space="preserve"> </w:t>
      </w:r>
      <w:r>
        <w:rPr>
          <w:spacing w:val="-1"/>
        </w:rPr>
        <w:t>Charges</w:t>
      </w:r>
      <w:r>
        <w:rPr>
          <w:spacing w:val="3"/>
        </w:rPr>
        <w:t xml:space="preserve"> </w:t>
      </w:r>
      <w:r>
        <w:rPr>
          <w:spacing w:val="-2"/>
        </w:rPr>
        <w:t>which</w:t>
      </w:r>
      <w:r>
        <w:rPr>
          <w:spacing w:val="3"/>
        </w:rPr>
        <w:t xml:space="preserve"> </w:t>
      </w:r>
      <w:r>
        <w:rPr>
          <w:spacing w:val="-1"/>
        </w:rPr>
        <w:t>are</w:t>
      </w:r>
      <w:r>
        <w:rPr>
          <w:spacing w:val="3"/>
        </w:rPr>
        <w:t xml:space="preserve"> </w:t>
      </w:r>
      <w:r>
        <w:rPr>
          <w:spacing w:val="-2"/>
        </w:rPr>
        <w:t>applicable</w:t>
      </w:r>
      <w:r>
        <w:rPr>
          <w:spacing w:val="3"/>
        </w:rPr>
        <w:t xml:space="preserve"> </w:t>
      </w:r>
      <w:r>
        <w:t>to</w:t>
      </w:r>
      <w:r>
        <w:rPr>
          <w:spacing w:val="3"/>
        </w:rPr>
        <w:t xml:space="preserve"> </w:t>
      </w:r>
      <w:r>
        <w:rPr>
          <w:spacing w:val="-1"/>
        </w:rPr>
        <w:t>this</w:t>
      </w:r>
      <w:r>
        <w:rPr>
          <w:spacing w:val="1"/>
        </w:rPr>
        <w:t xml:space="preserve"> </w:t>
      </w:r>
      <w:r>
        <w:rPr>
          <w:spacing w:val="-2"/>
        </w:rPr>
        <w:t>Call</w:t>
      </w:r>
      <w:r>
        <w:rPr>
          <w:spacing w:val="2"/>
        </w:rPr>
        <w:t xml:space="preserve"> </w:t>
      </w:r>
      <w:r>
        <w:rPr>
          <w:spacing w:val="1"/>
        </w:rPr>
        <w:t>Off</w:t>
      </w:r>
      <w:r>
        <w:rPr>
          <w:spacing w:val="4"/>
        </w:rPr>
        <w:t xml:space="preserve"> </w:t>
      </w:r>
      <w:r>
        <w:rPr>
          <w:spacing w:val="-2"/>
        </w:rPr>
        <w:t>Contract</w:t>
      </w:r>
      <w:r>
        <w:rPr>
          <w:spacing w:val="7"/>
        </w:rPr>
        <w:t xml:space="preserve"> </w:t>
      </w:r>
      <w:r>
        <w:rPr>
          <w:spacing w:val="-1"/>
        </w:rPr>
        <w:t>are</w:t>
      </w:r>
      <w:r>
        <w:rPr>
          <w:spacing w:val="3"/>
        </w:rPr>
        <w:t xml:space="preserve"> </w:t>
      </w:r>
      <w:r>
        <w:rPr>
          <w:spacing w:val="-1"/>
        </w:rPr>
        <w:t>set</w:t>
      </w:r>
      <w:r>
        <w:rPr>
          <w:spacing w:val="59"/>
        </w:rPr>
        <w:t xml:space="preserve"> </w:t>
      </w:r>
      <w:r>
        <w:rPr>
          <w:spacing w:val="-1"/>
        </w:rPr>
        <w:t>out</w:t>
      </w:r>
      <w:r>
        <w:rPr>
          <w:spacing w:val="2"/>
        </w:rPr>
        <w:t xml:space="preserve"> </w:t>
      </w:r>
      <w:r>
        <w:rPr>
          <w:spacing w:val="-1"/>
        </w:rPr>
        <w:t>in</w:t>
      </w:r>
      <w:r>
        <w:t xml:space="preserve"> </w:t>
      </w:r>
      <w:r>
        <w:rPr>
          <w:spacing w:val="-1"/>
        </w:rPr>
        <w:t>Annex</w:t>
      </w:r>
      <w:r>
        <w:rPr>
          <w:spacing w:val="-2"/>
        </w:rPr>
        <w:t xml:space="preserve"> </w:t>
      </w:r>
      <w:r>
        <w:t>1</w:t>
      </w:r>
      <w:r>
        <w:rPr>
          <w:spacing w:val="1"/>
        </w:rPr>
        <w:t xml:space="preserve">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Schedule.</w:t>
      </w:r>
    </w:p>
    <w:p w:rsidR="008918FA" w:rsidRDefault="008918FA" w:rsidP="008918FA">
      <w:pPr>
        <w:pStyle w:val="BodyText"/>
        <w:numPr>
          <w:ilvl w:val="1"/>
          <w:numId w:val="30"/>
        </w:numPr>
        <w:tabs>
          <w:tab w:val="left" w:pos="829"/>
        </w:tabs>
      </w:pPr>
      <w:bookmarkStart w:id="354" w:name="_bookmark288"/>
      <w:bookmarkEnd w:id="354"/>
      <w:r>
        <w:t>The</w:t>
      </w:r>
      <w:r>
        <w:rPr>
          <w:spacing w:val="-2"/>
        </w:rPr>
        <w:t xml:space="preserve"> Supplier</w:t>
      </w:r>
      <w:r>
        <w:rPr>
          <w:spacing w:val="2"/>
        </w:rPr>
        <w:t xml:space="preserve"> </w:t>
      </w:r>
      <w:r>
        <w:rPr>
          <w:spacing w:val="-1"/>
        </w:rPr>
        <w:t>acknowledges</w:t>
      </w:r>
      <w:r>
        <w:rPr>
          <w:spacing w:val="-2"/>
        </w:rPr>
        <w:t xml:space="preserve"> </w:t>
      </w:r>
      <w:r>
        <w:rPr>
          <w:spacing w:val="-1"/>
        </w:rPr>
        <w:t>and</w:t>
      </w:r>
      <w:r>
        <w:t xml:space="preserve"> </w:t>
      </w:r>
      <w:r>
        <w:rPr>
          <w:spacing w:val="-1"/>
        </w:rPr>
        <w:t>agrees</w:t>
      </w:r>
      <w:r>
        <w:rPr>
          <w:spacing w:val="-2"/>
        </w:rPr>
        <w:t xml:space="preserve"> </w:t>
      </w:r>
      <w:r>
        <w:rPr>
          <w:spacing w:val="-1"/>
        </w:rPr>
        <w:t>that:</w:t>
      </w:r>
    </w:p>
    <w:p w:rsidR="008918FA" w:rsidRDefault="008918FA" w:rsidP="008918FA">
      <w:pPr>
        <w:pStyle w:val="BodyText"/>
        <w:numPr>
          <w:ilvl w:val="2"/>
          <w:numId w:val="30"/>
        </w:numPr>
        <w:tabs>
          <w:tab w:val="left" w:pos="2027"/>
        </w:tabs>
        <w:spacing w:before="121"/>
        <w:ind w:left="2025" w:right="112" w:hanging="993"/>
        <w:jc w:val="both"/>
      </w:pPr>
      <w:r>
        <w:t>In</w:t>
      </w:r>
      <w:r>
        <w:rPr>
          <w:spacing w:val="46"/>
        </w:rPr>
        <w:t xml:space="preserve"> </w:t>
      </w:r>
      <w:r>
        <w:rPr>
          <w:spacing w:val="-1"/>
        </w:rPr>
        <w:t>accordance</w:t>
      </w:r>
      <w:r>
        <w:rPr>
          <w:spacing w:val="46"/>
        </w:rPr>
        <w:t xml:space="preserve"> </w:t>
      </w:r>
      <w:r>
        <w:rPr>
          <w:spacing w:val="-2"/>
        </w:rPr>
        <w:t>with</w:t>
      </w:r>
      <w:r>
        <w:rPr>
          <w:spacing w:val="46"/>
        </w:rPr>
        <w:t xml:space="preserve"> </w:t>
      </w:r>
      <w:r>
        <w:rPr>
          <w:spacing w:val="-1"/>
        </w:rPr>
        <w:t>paragraph</w:t>
      </w:r>
      <w:r>
        <w:rPr>
          <w:spacing w:val="46"/>
        </w:rPr>
        <w:t xml:space="preserve"> </w:t>
      </w:r>
      <w:hyperlink w:anchor="_bookmark286" w:history="1">
        <w:r>
          <w:t>2</w:t>
        </w:r>
      </w:hyperlink>
      <w:r>
        <w:rPr>
          <w:spacing w:val="45"/>
        </w:rPr>
        <w:t xml:space="preserve"> </w:t>
      </w:r>
      <w:r>
        <w:rPr>
          <w:spacing w:val="-1"/>
        </w:rPr>
        <w:t>(General</w:t>
      </w:r>
      <w:r>
        <w:rPr>
          <w:spacing w:val="45"/>
        </w:rPr>
        <w:t xml:space="preserve"> </w:t>
      </w:r>
      <w:r>
        <w:rPr>
          <w:spacing w:val="-2"/>
        </w:rPr>
        <w:t>Provisions)</w:t>
      </w:r>
      <w:r>
        <w:rPr>
          <w:spacing w:val="48"/>
        </w:rPr>
        <w:t xml:space="preserve"> </w:t>
      </w:r>
      <w:r>
        <w:rPr>
          <w:spacing w:val="-2"/>
        </w:rPr>
        <w:t>of</w:t>
      </w:r>
      <w:r>
        <w:rPr>
          <w:spacing w:val="49"/>
        </w:rPr>
        <w:t xml:space="preserve"> </w:t>
      </w:r>
      <w:r>
        <w:rPr>
          <w:spacing w:val="-2"/>
        </w:rPr>
        <w:t>Framework</w:t>
      </w:r>
      <w:r>
        <w:rPr>
          <w:spacing w:val="53"/>
        </w:rPr>
        <w:t xml:space="preserve"> </w:t>
      </w:r>
      <w:r>
        <w:rPr>
          <w:spacing w:val="-1"/>
        </w:rPr>
        <w:t>Schedule</w:t>
      </w:r>
      <w:r>
        <w:rPr>
          <w:spacing w:val="31"/>
        </w:rPr>
        <w:t xml:space="preserve"> </w:t>
      </w:r>
      <w:r>
        <w:t>3</w:t>
      </w:r>
      <w:r>
        <w:rPr>
          <w:spacing w:val="31"/>
        </w:rPr>
        <w:t xml:space="preserve"> </w:t>
      </w:r>
      <w:r>
        <w:rPr>
          <w:spacing w:val="-2"/>
        </w:rPr>
        <w:t>(Framework</w:t>
      </w:r>
      <w:r>
        <w:rPr>
          <w:spacing w:val="32"/>
        </w:rPr>
        <w:t xml:space="preserve"> </w:t>
      </w:r>
      <w:r>
        <w:rPr>
          <w:spacing w:val="-1"/>
        </w:rPr>
        <w:t>Prices</w:t>
      </w:r>
      <w:r>
        <w:rPr>
          <w:spacing w:val="32"/>
        </w:rPr>
        <w:t xml:space="preserve"> </w:t>
      </w:r>
      <w:r>
        <w:rPr>
          <w:spacing w:val="-1"/>
        </w:rPr>
        <w:t>and</w:t>
      </w:r>
      <w:r>
        <w:rPr>
          <w:spacing w:val="29"/>
        </w:rPr>
        <w:t xml:space="preserve"> </w:t>
      </w:r>
      <w:r>
        <w:rPr>
          <w:spacing w:val="-2"/>
        </w:rPr>
        <w:t>Charging</w:t>
      </w:r>
      <w:r>
        <w:rPr>
          <w:spacing w:val="34"/>
        </w:rPr>
        <w:t xml:space="preserve"> </w:t>
      </w:r>
      <w:r>
        <w:rPr>
          <w:spacing w:val="-1"/>
        </w:rPr>
        <w:t>Structure),</w:t>
      </w:r>
      <w:r>
        <w:rPr>
          <w:spacing w:val="30"/>
        </w:rPr>
        <w:t xml:space="preserve"> </w:t>
      </w:r>
      <w:r>
        <w:t>the</w:t>
      </w:r>
      <w:r>
        <w:rPr>
          <w:spacing w:val="32"/>
        </w:rPr>
        <w:t xml:space="preserve"> </w:t>
      </w:r>
      <w:r>
        <w:rPr>
          <w:spacing w:val="-2"/>
        </w:rPr>
        <w:t>Call</w:t>
      </w:r>
      <w:r>
        <w:rPr>
          <w:spacing w:val="28"/>
        </w:rPr>
        <w:t xml:space="preserve"> </w:t>
      </w:r>
      <w:r>
        <w:t>Off</w:t>
      </w:r>
      <w:r>
        <w:rPr>
          <w:spacing w:val="50"/>
        </w:rPr>
        <w:t xml:space="preserve"> </w:t>
      </w:r>
      <w:r>
        <w:rPr>
          <w:spacing w:val="-1"/>
        </w:rPr>
        <w:t>Contract</w:t>
      </w:r>
      <w:r>
        <w:rPr>
          <w:spacing w:val="33"/>
        </w:rPr>
        <w:t xml:space="preserve"> </w:t>
      </w:r>
      <w:r>
        <w:rPr>
          <w:spacing w:val="-1"/>
        </w:rPr>
        <w:t>Charges</w:t>
      </w:r>
      <w:r>
        <w:rPr>
          <w:spacing w:val="30"/>
        </w:rPr>
        <w:t xml:space="preserve"> </w:t>
      </w:r>
      <w:r>
        <w:rPr>
          <w:spacing w:val="-1"/>
        </w:rPr>
        <w:t>can</w:t>
      </w:r>
      <w:r>
        <w:rPr>
          <w:spacing w:val="31"/>
        </w:rPr>
        <w:t xml:space="preserve"> </w:t>
      </w:r>
      <w:r>
        <w:rPr>
          <w:spacing w:val="-1"/>
        </w:rPr>
        <w:t>in</w:t>
      </w:r>
      <w:r>
        <w:rPr>
          <w:spacing w:val="31"/>
        </w:rPr>
        <w:t xml:space="preserve"> </w:t>
      </w:r>
      <w:r>
        <w:rPr>
          <w:spacing w:val="-1"/>
        </w:rPr>
        <w:t>no</w:t>
      </w:r>
      <w:r>
        <w:rPr>
          <w:spacing w:val="31"/>
        </w:rPr>
        <w:t xml:space="preserve"> </w:t>
      </w:r>
      <w:r>
        <w:rPr>
          <w:spacing w:val="-2"/>
        </w:rPr>
        <w:t>event</w:t>
      </w:r>
      <w:r>
        <w:rPr>
          <w:spacing w:val="33"/>
        </w:rPr>
        <w:t xml:space="preserve"> </w:t>
      </w:r>
      <w:r>
        <w:rPr>
          <w:spacing w:val="-1"/>
        </w:rPr>
        <w:t>exceed</w:t>
      </w:r>
      <w:r>
        <w:rPr>
          <w:spacing w:val="31"/>
        </w:rPr>
        <w:t xml:space="preserve"> </w:t>
      </w:r>
      <w:r>
        <w:t>the</w:t>
      </w:r>
      <w:r>
        <w:rPr>
          <w:spacing w:val="29"/>
        </w:rPr>
        <w:t xml:space="preserve"> </w:t>
      </w:r>
      <w:r>
        <w:rPr>
          <w:spacing w:val="-2"/>
        </w:rPr>
        <w:t>Framework</w:t>
      </w:r>
      <w:r>
        <w:rPr>
          <w:spacing w:val="35"/>
        </w:rPr>
        <w:t xml:space="preserve"> </w:t>
      </w:r>
      <w:r>
        <w:rPr>
          <w:spacing w:val="-1"/>
        </w:rPr>
        <w:t>Prices</w:t>
      </w:r>
      <w:r>
        <w:rPr>
          <w:spacing w:val="32"/>
        </w:rPr>
        <w:t xml:space="preserve"> </w:t>
      </w:r>
      <w:r>
        <w:rPr>
          <w:spacing w:val="-2"/>
        </w:rPr>
        <w:t>set</w:t>
      </w:r>
      <w:r>
        <w:rPr>
          <w:spacing w:val="45"/>
        </w:rPr>
        <w:t xml:space="preserve"> </w:t>
      </w:r>
      <w:r>
        <w:rPr>
          <w:spacing w:val="-1"/>
        </w:rPr>
        <w:t>out</w:t>
      </w:r>
      <w:r>
        <w:rPr>
          <w:spacing w:val="1"/>
        </w:rPr>
        <w:t xml:space="preserve"> </w:t>
      </w:r>
      <w:r>
        <w:rPr>
          <w:spacing w:val="-1"/>
        </w:rPr>
        <w:t>in</w:t>
      </w:r>
      <w:r>
        <w:rPr>
          <w:spacing w:val="60"/>
        </w:rPr>
        <w:t xml:space="preserve"> </w:t>
      </w:r>
      <w:r>
        <w:rPr>
          <w:spacing w:val="-1"/>
        </w:rPr>
        <w:t>Annex</w:t>
      </w:r>
      <w:r>
        <w:rPr>
          <w:spacing w:val="58"/>
        </w:rPr>
        <w:t xml:space="preserve"> </w:t>
      </w:r>
      <w:r>
        <w:t>3</w:t>
      </w:r>
      <w:r>
        <w:rPr>
          <w:spacing w:val="60"/>
        </w:rPr>
        <w:t xml:space="preserve"> </w:t>
      </w:r>
      <w:r>
        <w:t>to</w:t>
      </w:r>
      <w:r>
        <w:rPr>
          <w:spacing w:val="60"/>
        </w:rPr>
        <w:t xml:space="preserve"> </w:t>
      </w:r>
      <w:r>
        <w:rPr>
          <w:spacing w:val="-1"/>
        </w:rPr>
        <w:t>Framework</w:t>
      </w:r>
      <w:r>
        <w:rPr>
          <w:spacing w:val="2"/>
        </w:rPr>
        <w:t xml:space="preserve"> </w:t>
      </w:r>
      <w:r>
        <w:rPr>
          <w:spacing w:val="-1"/>
        </w:rPr>
        <w:t>Schedule</w:t>
      </w:r>
      <w:r>
        <w:rPr>
          <w:spacing w:val="60"/>
        </w:rPr>
        <w:t xml:space="preserve"> </w:t>
      </w:r>
      <w:r>
        <w:t>3</w:t>
      </w:r>
      <w:r>
        <w:rPr>
          <w:spacing w:val="60"/>
        </w:rPr>
        <w:t xml:space="preserve"> </w:t>
      </w:r>
      <w:r>
        <w:rPr>
          <w:spacing w:val="-1"/>
        </w:rPr>
        <w:t>(Framework</w:t>
      </w:r>
      <w:r>
        <w:rPr>
          <w:spacing w:val="2"/>
        </w:rPr>
        <w:t xml:space="preserve"> </w:t>
      </w:r>
      <w:r>
        <w:rPr>
          <w:spacing w:val="-1"/>
        </w:rPr>
        <w:t>Prices</w:t>
      </w:r>
      <w:r>
        <w:t xml:space="preserve">  </w:t>
      </w:r>
      <w:r>
        <w:rPr>
          <w:spacing w:val="-1"/>
        </w:rPr>
        <w:t>and</w:t>
      </w:r>
      <w:r>
        <w:rPr>
          <w:spacing w:val="27"/>
        </w:rPr>
        <w:t xml:space="preserve"> </w:t>
      </w:r>
      <w:r>
        <w:rPr>
          <w:spacing w:val="-1"/>
        </w:rPr>
        <w:t>Charging</w:t>
      </w:r>
      <w:r>
        <w:t xml:space="preserve"> </w:t>
      </w:r>
      <w:r>
        <w:rPr>
          <w:spacing w:val="-1"/>
        </w:rPr>
        <w:t>Structure);</w:t>
      </w:r>
      <w:r>
        <w:rPr>
          <w:spacing w:val="2"/>
        </w:rPr>
        <w:t xml:space="preserve"> </w:t>
      </w:r>
      <w:r>
        <w:rPr>
          <w:spacing w:val="-1"/>
        </w:rPr>
        <w:t>and</w:t>
      </w:r>
    </w:p>
    <w:p w:rsidR="008918FA" w:rsidRDefault="008918FA" w:rsidP="008918FA">
      <w:pPr>
        <w:pStyle w:val="BodyText"/>
        <w:numPr>
          <w:ilvl w:val="2"/>
          <w:numId w:val="30"/>
        </w:numPr>
        <w:tabs>
          <w:tab w:val="left" w:pos="2026"/>
        </w:tabs>
        <w:spacing w:before="121"/>
        <w:ind w:left="2025" w:right="115" w:hanging="993"/>
        <w:jc w:val="both"/>
      </w:pPr>
      <w:r>
        <w:rPr>
          <w:spacing w:val="-1"/>
        </w:rPr>
        <w:t>subject</w:t>
      </w:r>
      <w:r>
        <w:rPr>
          <w:spacing w:val="4"/>
        </w:rPr>
        <w:t xml:space="preserve"> </w:t>
      </w:r>
      <w:r>
        <w:t>to</w:t>
      </w:r>
      <w:r>
        <w:rPr>
          <w:spacing w:val="3"/>
        </w:rPr>
        <w:t xml:space="preserve"> </w:t>
      </w:r>
      <w:r>
        <w:rPr>
          <w:spacing w:val="-1"/>
        </w:rPr>
        <w:t>paragraph</w:t>
      </w:r>
      <w:r>
        <w:rPr>
          <w:spacing w:val="4"/>
        </w:rPr>
        <w:t xml:space="preserve"> </w:t>
      </w:r>
      <w:hyperlink w:anchor="_bookmark291" w:history="1">
        <w:r>
          <w:t>7</w:t>
        </w:r>
      </w:hyperlink>
      <w:r>
        <w:rPr>
          <w:spacing w:val="3"/>
        </w:rPr>
        <w:t xml:space="preserve"> </w:t>
      </w:r>
      <w:r>
        <w:rPr>
          <w:spacing w:val="-2"/>
        </w:rPr>
        <w:t>of</w:t>
      </w:r>
      <w:r>
        <w:rPr>
          <w:spacing w:val="4"/>
        </w:rPr>
        <w:t xml:space="preserve"> </w:t>
      </w:r>
      <w:r>
        <w:rPr>
          <w:spacing w:val="-1"/>
        </w:rPr>
        <w:t>this</w:t>
      </w:r>
      <w:r>
        <w:rPr>
          <w:spacing w:val="3"/>
        </w:rPr>
        <w:t xml:space="preserve"> </w:t>
      </w:r>
      <w:r>
        <w:rPr>
          <w:spacing w:val="-2"/>
        </w:rPr>
        <w:t>Call</w:t>
      </w:r>
      <w:r>
        <w:rPr>
          <w:spacing w:val="2"/>
        </w:rPr>
        <w:t xml:space="preserve"> </w:t>
      </w:r>
      <w:r>
        <w:rPr>
          <w:spacing w:val="-1"/>
        </w:rPr>
        <w:t>Off</w:t>
      </w:r>
      <w:r>
        <w:rPr>
          <w:spacing w:val="4"/>
        </w:rPr>
        <w:t xml:space="preserve"> </w:t>
      </w:r>
      <w:r>
        <w:rPr>
          <w:spacing w:val="-1"/>
        </w:rPr>
        <w:t>Schedule</w:t>
      </w:r>
      <w:r>
        <w:rPr>
          <w:spacing w:val="3"/>
        </w:rPr>
        <w:t xml:space="preserve"> </w:t>
      </w:r>
      <w:r>
        <w:rPr>
          <w:spacing w:val="-1"/>
        </w:rPr>
        <w:t>(Adjustment</w:t>
      </w:r>
      <w:r>
        <w:rPr>
          <w:spacing w:val="2"/>
        </w:rPr>
        <w:t xml:space="preserve"> </w:t>
      </w:r>
      <w:r>
        <w:rPr>
          <w:spacing w:val="-2"/>
        </w:rPr>
        <w:t>of</w:t>
      </w:r>
      <w:r>
        <w:rPr>
          <w:spacing w:val="6"/>
        </w:rPr>
        <w:t xml:space="preserve"> </w:t>
      </w:r>
      <w:r>
        <w:rPr>
          <w:spacing w:val="-2"/>
        </w:rPr>
        <w:t>Call</w:t>
      </w:r>
      <w:r>
        <w:rPr>
          <w:spacing w:val="-3"/>
        </w:rPr>
        <w:t xml:space="preserve"> </w:t>
      </w:r>
      <w:r>
        <w:rPr>
          <w:spacing w:val="-1"/>
        </w:rPr>
        <w:t>Off</w:t>
      </w:r>
      <w:r>
        <w:rPr>
          <w:spacing w:val="43"/>
        </w:rPr>
        <w:t xml:space="preserve"> </w:t>
      </w:r>
      <w:r>
        <w:rPr>
          <w:spacing w:val="-1"/>
        </w:rPr>
        <w:t>Contract</w:t>
      </w:r>
      <w:r>
        <w:rPr>
          <w:spacing w:val="9"/>
        </w:rPr>
        <w:t xml:space="preserve"> </w:t>
      </w:r>
      <w:r>
        <w:rPr>
          <w:spacing w:val="-1"/>
        </w:rPr>
        <w:t>Charges),</w:t>
      </w:r>
      <w:r>
        <w:rPr>
          <w:spacing w:val="7"/>
        </w:rPr>
        <w:t xml:space="preserve"> </w:t>
      </w:r>
      <w:r>
        <w:t>the</w:t>
      </w:r>
      <w:r>
        <w:rPr>
          <w:spacing w:val="5"/>
        </w:rPr>
        <w:t xml:space="preserve"> </w:t>
      </w:r>
      <w:r>
        <w:rPr>
          <w:spacing w:val="-2"/>
        </w:rPr>
        <w:t>Call</w:t>
      </w:r>
      <w:r>
        <w:rPr>
          <w:spacing w:val="7"/>
        </w:rPr>
        <w:t xml:space="preserve"> </w:t>
      </w:r>
      <w:r>
        <w:rPr>
          <w:spacing w:val="1"/>
        </w:rPr>
        <w:t>Off</w:t>
      </w:r>
      <w:r>
        <w:rPr>
          <w:spacing w:val="9"/>
        </w:rPr>
        <w:t xml:space="preserve"> </w:t>
      </w:r>
      <w:r>
        <w:rPr>
          <w:spacing w:val="-1"/>
        </w:rPr>
        <w:t>Contract</w:t>
      </w:r>
      <w:r>
        <w:rPr>
          <w:spacing w:val="7"/>
        </w:rPr>
        <w:t xml:space="preserve"> </w:t>
      </w:r>
      <w:r>
        <w:rPr>
          <w:spacing w:val="-1"/>
        </w:rPr>
        <w:t>Charges</w:t>
      </w:r>
      <w:r>
        <w:rPr>
          <w:spacing w:val="8"/>
        </w:rPr>
        <w:t xml:space="preserve"> </w:t>
      </w:r>
      <w:r>
        <w:rPr>
          <w:spacing w:val="-1"/>
        </w:rPr>
        <w:t>cannot</w:t>
      </w:r>
      <w:r>
        <w:rPr>
          <w:spacing w:val="9"/>
        </w:rPr>
        <w:t xml:space="preserve"> </w:t>
      </w:r>
      <w:r>
        <w:rPr>
          <w:spacing w:val="-1"/>
        </w:rPr>
        <w:t>be</w:t>
      </w:r>
      <w:r>
        <w:rPr>
          <w:spacing w:val="7"/>
        </w:rPr>
        <w:t xml:space="preserve"> </w:t>
      </w:r>
      <w:r>
        <w:rPr>
          <w:spacing w:val="-1"/>
        </w:rPr>
        <w:t>increased</w:t>
      </w:r>
      <w:r>
        <w:rPr>
          <w:spacing w:val="30"/>
        </w:rPr>
        <w:t xml:space="preserve"> </w:t>
      </w:r>
      <w:r>
        <w:rPr>
          <w:spacing w:val="-1"/>
        </w:rPr>
        <w:t>during</w:t>
      </w:r>
      <w:r>
        <w:t xml:space="preserve"> the</w:t>
      </w:r>
      <w:r>
        <w:rPr>
          <w:spacing w:val="-2"/>
        </w:rPr>
        <w:t xml:space="preserve"> Call</w:t>
      </w:r>
      <w:r>
        <w:t xml:space="preserve"> </w:t>
      </w:r>
      <w:r>
        <w:rPr>
          <w:spacing w:val="-1"/>
        </w:rPr>
        <w:t>Off</w:t>
      </w:r>
      <w:r>
        <w:rPr>
          <w:spacing w:val="2"/>
        </w:rPr>
        <w:t xml:space="preserve"> </w:t>
      </w:r>
      <w:r>
        <w:rPr>
          <w:spacing w:val="-2"/>
        </w:rPr>
        <w:t>Contract</w:t>
      </w:r>
      <w:r>
        <w:rPr>
          <w:spacing w:val="2"/>
        </w:rPr>
        <w:t xml:space="preserve"> </w:t>
      </w:r>
      <w:r>
        <w:rPr>
          <w:spacing w:val="-2"/>
        </w:rPr>
        <w:t>Period.</w:t>
      </w:r>
    </w:p>
    <w:p w:rsidR="008918FA" w:rsidRDefault="008918FA" w:rsidP="008918FA">
      <w:pPr>
        <w:pStyle w:val="BodyText"/>
        <w:numPr>
          <w:ilvl w:val="0"/>
          <w:numId w:val="30"/>
        </w:numPr>
        <w:tabs>
          <w:tab w:val="left" w:pos="466"/>
        </w:tabs>
        <w:spacing w:before="117"/>
        <w:ind w:left="465"/>
        <w:rPr>
          <w:rFonts w:ascii="Times New Roman" w:eastAsia="Times New Roman" w:hAnsi="Times New Roman" w:cs="Times New Roman"/>
        </w:rPr>
      </w:pPr>
      <w:r>
        <w:rPr>
          <w:rFonts w:ascii="Times New Roman"/>
          <w:spacing w:val="8"/>
        </w:rPr>
        <w:t>COS</w:t>
      </w:r>
      <w:r>
        <w:rPr>
          <w:rFonts w:ascii="Times New Roman"/>
          <w:spacing w:val="-32"/>
        </w:rPr>
        <w:t xml:space="preserve"> </w:t>
      </w:r>
      <w:r>
        <w:rPr>
          <w:rFonts w:ascii="Times New Roman"/>
          <w:spacing w:val="-2"/>
        </w:rPr>
        <w:t>TS</w:t>
      </w:r>
      <w:r>
        <w:rPr>
          <w:rFonts w:ascii="Times New Roman"/>
          <w:spacing w:val="33"/>
        </w:rPr>
        <w:t xml:space="preserve"> </w:t>
      </w:r>
      <w:r>
        <w:rPr>
          <w:rFonts w:ascii="Times New Roman"/>
          <w:spacing w:val="-2"/>
        </w:rPr>
        <w:t>AND</w:t>
      </w:r>
      <w:r>
        <w:rPr>
          <w:rFonts w:ascii="Times New Roman"/>
          <w:spacing w:val="6"/>
        </w:rPr>
        <w:t xml:space="preserve"> </w:t>
      </w:r>
      <w:r>
        <w:rPr>
          <w:rFonts w:ascii="Times New Roman"/>
          <w:spacing w:val="11"/>
        </w:rPr>
        <w:t>E</w:t>
      </w:r>
      <w:r>
        <w:rPr>
          <w:rFonts w:ascii="Times New Roman"/>
          <w:spacing w:val="-14"/>
        </w:rPr>
        <w:t>X</w:t>
      </w:r>
      <w:r>
        <w:rPr>
          <w:rFonts w:ascii="Times New Roman"/>
          <w:spacing w:val="23"/>
        </w:rPr>
        <w:t>P</w:t>
      </w:r>
      <w:r>
        <w:rPr>
          <w:rFonts w:ascii="Times New Roman"/>
          <w:spacing w:val="11"/>
        </w:rPr>
        <w:t>E</w:t>
      </w:r>
      <w:r>
        <w:rPr>
          <w:rFonts w:ascii="Times New Roman"/>
          <w:spacing w:val="-2"/>
        </w:rPr>
        <w:t>N</w:t>
      </w:r>
      <w:r>
        <w:rPr>
          <w:rFonts w:ascii="Times New Roman"/>
          <w:spacing w:val="23"/>
        </w:rPr>
        <w:t>S</w:t>
      </w:r>
      <w:r>
        <w:rPr>
          <w:rFonts w:ascii="Times New Roman"/>
          <w:spacing w:val="13"/>
        </w:rPr>
        <w:t>E</w:t>
      </w:r>
      <w:r>
        <w:rPr>
          <w:rFonts w:ascii="Times New Roman"/>
        </w:rPr>
        <w:t>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30"/>
        </w:numPr>
        <w:tabs>
          <w:tab w:val="left" w:pos="828"/>
        </w:tabs>
        <w:spacing w:before="0"/>
        <w:ind w:left="827" w:right="114"/>
        <w:jc w:val="both"/>
      </w:pPr>
      <w:r>
        <w:t xml:space="preserve">The </w:t>
      </w:r>
      <w:r>
        <w:rPr>
          <w:spacing w:val="-2"/>
        </w:rPr>
        <w:t>Call</w:t>
      </w:r>
      <w:r>
        <w:t xml:space="preserve"> </w:t>
      </w:r>
      <w:r>
        <w:rPr>
          <w:spacing w:val="-1"/>
        </w:rPr>
        <w:t>Off</w:t>
      </w:r>
      <w:r>
        <w:rPr>
          <w:spacing w:val="2"/>
        </w:rPr>
        <w:t xml:space="preserve"> </w:t>
      </w:r>
      <w:r>
        <w:rPr>
          <w:spacing w:val="-2"/>
        </w:rPr>
        <w:t>Contract</w:t>
      </w:r>
      <w:r>
        <w:rPr>
          <w:spacing w:val="2"/>
        </w:rPr>
        <w:t xml:space="preserve"> </w:t>
      </w:r>
      <w:r>
        <w:rPr>
          <w:spacing w:val="-1"/>
        </w:rPr>
        <w:t>Charges</w:t>
      </w:r>
      <w:r>
        <w:rPr>
          <w:spacing w:val="1"/>
        </w:rPr>
        <w:t xml:space="preserve"> </w:t>
      </w:r>
      <w:r>
        <w:rPr>
          <w:spacing w:val="-1"/>
        </w:rPr>
        <w:t>include</w:t>
      </w:r>
      <w:r>
        <w:t xml:space="preserve"> </w:t>
      </w:r>
      <w:r>
        <w:rPr>
          <w:spacing w:val="-1"/>
        </w:rPr>
        <w:t>all</w:t>
      </w:r>
      <w:r>
        <w:t xml:space="preserve"> </w:t>
      </w:r>
      <w:r>
        <w:rPr>
          <w:spacing w:val="-1"/>
        </w:rPr>
        <w:t>costs</w:t>
      </w:r>
      <w:r>
        <w:rPr>
          <w:spacing w:val="1"/>
        </w:rPr>
        <w:t xml:space="preserve"> </w:t>
      </w:r>
      <w:r>
        <w:rPr>
          <w:spacing w:val="-2"/>
        </w:rPr>
        <w:t>and</w:t>
      </w:r>
      <w:r>
        <w:t xml:space="preserve"> </w:t>
      </w:r>
      <w:r>
        <w:rPr>
          <w:spacing w:val="-1"/>
        </w:rPr>
        <w:t>expenses</w:t>
      </w:r>
      <w:r>
        <w:rPr>
          <w:spacing w:val="1"/>
        </w:rPr>
        <w:t xml:space="preserve"> </w:t>
      </w:r>
      <w:r>
        <w:rPr>
          <w:spacing w:val="-1"/>
        </w:rPr>
        <w:t>relating</w:t>
      </w:r>
      <w:r>
        <w:t xml:space="preserve"> to </w:t>
      </w:r>
      <w:r>
        <w:rPr>
          <w:spacing w:val="-1"/>
        </w:rPr>
        <w:t>the</w:t>
      </w:r>
      <w:r>
        <w:t xml:space="preserve"> </w:t>
      </w:r>
      <w:r>
        <w:rPr>
          <w:spacing w:val="-1"/>
        </w:rPr>
        <w:t>Goods</w:t>
      </w:r>
      <w:r>
        <w:rPr>
          <w:spacing w:val="49"/>
        </w:rPr>
        <w:t xml:space="preserve"> </w:t>
      </w:r>
      <w:r>
        <w:rPr>
          <w:spacing w:val="-1"/>
        </w:rPr>
        <w:t>and/or</w:t>
      </w:r>
      <w:r>
        <w:rPr>
          <w:spacing w:val="11"/>
        </w:rPr>
        <w:t xml:space="preserve"> </w:t>
      </w:r>
      <w:r>
        <w:rPr>
          <w:spacing w:val="-2"/>
        </w:rPr>
        <w:t>Services</w:t>
      </w:r>
      <w:r>
        <w:rPr>
          <w:spacing w:val="10"/>
        </w:rPr>
        <w:t xml:space="preserve"> </w:t>
      </w:r>
      <w:r>
        <w:rPr>
          <w:spacing w:val="-1"/>
        </w:rPr>
        <w:t>and/or</w:t>
      </w:r>
      <w:r>
        <w:rPr>
          <w:spacing w:val="9"/>
        </w:rPr>
        <w:t xml:space="preserve"> </w:t>
      </w:r>
      <w:r>
        <w:rPr>
          <w:spacing w:val="-1"/>
        </w:rPr>
        <w:t>the</w:t>
      </w:r>
      <w:r>
        <w:rPr>
          <w:spacing w:val="10"/>
        </w:rPr>
        <w:t xml:space="preserve"> </w:t>
      </w:r>
      <w:r>
        <w:rPr>
          <w:spacing w:val="-2"/>
        </w:rPr>
        <w:t>Supplier’s</w:t>
      </w:r>
      <w:r>
        <w:rPr>
          <w:spacing w:val="10"/>
        </w:rPr>
        <w:t xml:space="preserve"> </w:t>
      </w:r>
      <w:r>
        <w:rPr>
          <w:spacing w:val="-1"/>
        </w:rPr>
        <w:t>performance</w:t>
      </w:r>
      <w:r>
        <w:rPr>
          <w:spacing w:val="10"/>
        </w:rPr>
        <w:t xml:space="preserve"> </w:t>
      </w:r>
      <w:r>
        <w:rPr>
          <w:spacing w:val="-2"/>
        </w:rPr>
        <w:t>of</w:t>
      </w:r>
      <w:r>
        <w:rPr>
          <w:spacing w:val="14"/>
        </w:rPr>
        <w:t xml:space="preserve"> </w:t>
      </w:r>
      <w:r>
        <w:rPr>
          <w:spacing w:val="-2"/>
        </w:rPr>
        <w:t>its</w:t>
      </w:r>
      <w:r>
        <w:rPr>
          <w:spacing w:val="10"/>
        </w:rPr>
        <w:t xml:space="preserve"> </w:t>
      </w:r>
      <w:r>
        <w:rPr>
          <w:spacing w:val="-1"/>
        </w:rPr>
        <w:t>obligations</w:t>
      </w:r>
      <w:r>
        <w:rPr>
          <w:spacing w:val="10"/>
        </w:rPr>
        <w:t xml:space="preserve"> </w:t>
      </w:r>
      <w:r>
        <w:rPr>
          <w:spacing w:val="-2"/>
        </w:rPr>
        <w:t>under</w:t>
      </w:r>
      <w:r>
        <w:rPr>
          <w:spacing w:val="11"/>
        </w:rPr>
        <w:t xml:space="preserve"> </w:t>
      </w:r>
      <w:r>
        <w:rPr>
          <w:spacing w:val="-1"/>
        </w:rPr>
        <w:t>this</w:t>
      </w:r>
      <w:r>
        <w:rPr>
          <w:spacing w:val="10"/>
        </w:rPr>
        <w:t xml:space="preserve"> </w:t>
      </w:r>
      <w:r>
        <w:rPr>
          <w:spacing w:val="-2"/>
        </w:rPr>
        <w:t>Call</w:t>
      </w:r>
      <w:r>
        <w:rPr>
          <w:spacing w:val="67"/>
        </w:rPr>
        <w:t xml:space="preserve"> </w:t>
      </w:r>
      <w:r>
        <w:rPr>
          <w:spacing w:val="-1"/>
        </w:rPr>
        <w:t>Off</w:t>
      </w:r>
      <w:r>
        <w:rPr>
          <w:spacing w:val="52"/>
        </w:rPr>
        <w:t xml:space="preserve"> </w:t>
      </w:r>
      <w:r>
        <w:rPr>
          <w:spacing w:val="-2"/>
        </w:rPr>
        <w:t>Contract</w:t>
      </w:r>
      <w:r>
        <w:rPr>
          <w:spacing w:val="52"/>
        </w:rPr>
        <w:t xml:space="preserve"> </w:t>
      </w:r>
      <w:r>
        <w:rPr>
          <w:spacing w:val="-1"/>
        </w:rPr>
        <w:t>and</w:t>
      </w:r>
      <w:r>
        <w:rPr>
          <w:spacing w:val="51"/>
        </w:rPr>
        <w:t xml:space="preserve"> </w:t>
      </w:r>
      <w:r>
        <w:rPr>
          <w:spacing w:val="-1"/>
        </w:rPr>
        <w:t>no</w:t>
      </w:r>
      <w:r>
        <w:rPr>
          <w:spacing w:val="46"/>
        </w:rPr>
        <w:t xml:space="preserve"> </w:t>
      </w:r>
      <w:r>
        <w:rPr>
          <w:spacing w:val="-1"/>
        </w:rPr>
        <w:t>further</w:t>
      </w:r>
      <w:r>
        <w:rPr>
          <w:spacing w:val="52"/>
        </w:rPr>
        <w:t xml:space="preserve"> </w:t>
      </w:r>
      <w:r>
        <w:rPr>
          <w:spacing w:val="-1"/>
        </w:rPr>
        <w:t>amounts</w:t>
      </w:r>
      <w:r>
        <w:rPr>
          <w:spacing w:val="51"/>
        </w:rPr>
        <w:t xml:space="preserve"> </w:t>
      </w:r>
      <w:r>
        <w:rPr>
          <w:spacing w:val="-1"/>
        </w:rPr>
        <w:t>shall</w:t>
      </w:r>
      <w:r>
        <w:rPr>
          <w:spacing w:val="51"/>
        </w:rPr>
        <w:t xml:space="preserve"> </w:t>
      </w:r>
      <w:r>
        <w:rPr>
          <w:spacing w:val="-1"/>
        </w:rPr>
        <w:t>be</w:t>
      </w:r>
      <w:r>
        <w:rPr>
          <w:spacing w:val="48"/>
        </w:rPr>
        <w:t xml:space="preserve"> </w:t>
      </w:r>
      <w:r>
        <w:rPr>
          <w:spacing w:val="-2"/>
        </w:rPr>
        <w:t>payable</w:t>
      </w:r>
      <w:r>
        <w:rPr>
          <w:spacing w:val="51"/>
        </w:rPr>
        <w:t xml:space="preserve"> </w:t>
      </w:r>
      <w:r>
        <w:rPr>
          <w:spacing w:val="1"/>
        </w:rPr>
        <w:t>by</w:t>
      </w:r>
      <w:r>
        <w:rPr>
          <w:spacing w:val="49"/>
        </w:rPr>
        <w:t xml:space="preserve"> </w:t>
      </w:r>
      <w:r>
        <w:t>the</w:t>
      </w:r>
      <w:r>
        <w:rPr>
          <w:spacing w:val="51"/>
        </w:rPr>
        <w:t xml:space="preserve"> </w:t>
      </w:r>
      <w:r>
        <w:rPr>
          <w:spacing w:val="-2"/>
        </w:rPr>
        <w:t>Customer</w:t>
      </w:r>
      <w:r>
        <w:rPr>
          <w:spacing w:val="52"/>
        </w:rPr>
        <w:t xml:space="preserve"> </w:t>
      </w:r>
      <w:r>
        <w:t>to</w:t>
      </w:r>
      <w:r>
        <w:rPr>
          <w:spacing w:val="49"/>
        </w:rPr>
        <w:t xml:space="preserve"> </w:t>
      </w:r>
      <w:r>
        <w:rPr>
          <w:spacing w:val="-1"/>
        </w:rPr>
        <w:t>the</w:t>
      </w:r>
      <w:r>
        <w:rPr>
          <w:spacing w:val="62"/>
        </w:rPr>
        <w:t xml:space="preserve"> </w:t>
      </w:r>
      <w:r>
        <w:rPr>
          <w:spacing w:val="-2"/>
        </w:rPr>
        <w:t>Supplier</w:t>
      </w:r>
      <w:r>
        <w:rPr>
          <w:spacing w:val="2"/>
        </w:rPr>
        <w:t xml:space="preserve"> </w:t>
      </w:r>
      <w:r>
        <w:rPr>
          <w:spacing w:val="-1"/>
        </w:rPr>
        <w:t>in</w:t>
      </w:r>
      <w:r>
        <w:t xml:space="preserve"> </w:t>
      </w:r>
      <w:r>
        <w:rPr>
          <w:spacing w:val="-1"/>
        </w:rPr>
        <w:t>respect</w:t>
      </w:r>
      <w:r>
        <w:rPr>
          <w:spacing w:val="2"/>
        </w:rPr>
        <w:t xml:space="preserve"> </w:t>
      </w:r>
      <w:r>
        <w:rPr>
          <w:spacing w:val="-2"/>
        </w:rPr>
        <w:t>of</w:t>
      </w:r>
      <w:r>
        <w:t xml:space="preserve"> </w:t>
      </w:r>
      <w:r>
        <w:rPr>
          <w:spacing w:val="-2"/>
        </w:rPr>
        <w:t>such</w:t>
      </w:r>
      <w:r>
        <w:rPr>
          <w:spacing w:val="1"/>
        </w:rPr>
        <w:t xml:space="preserve"> </w:t>
      </w:r>
      <w:r>
        <w:rPr>
          <w:spacing w:val="-1"/>
        </w:rPr>
        <w:t>performance,</w:t>
      </w:r>
      <w:r>
        <w:rPr>
          <w:spacing w:val="2"/>
        </w:rPr>
        <w:t xml:space="preserve"> </w:t>
      </w:r>
      <w:r>
        <w:rPr>
          <w:spacing w:val="-2"/>
        </w:rPr>
        <w:t>including</w:t>
      </w:r>
      <w:r>
        <w:t xml:space="preserve"> </w:t>
      </w:r>
      <w:r>
        <w:rPr>
          <w:spacing w:val="-1"/>
        </w:rPr>
        <w:t>in</w:t>
      </w:r>
      <w:r>
        <w:t xml:space="preserve"> </w:t>
      </w:r>
      <w:r>
        <w:rPr>
          <w:spacing w:val="-1"/>
        </w:rPr>
        <w:t>respect</w:t>
      </w:r>
      <w:r>
        <w:t xml:space="preserve"> </w:t>
      </w:r>
      <w:r>
        <w:rPr>
          <w:spacing w:val="-2"/>
        </w:rPr>
        <w:t>of</w:t>
      </w:r>
      <w:r>
        <w:rPr>
          <w:spacing w:val="2"/>
        </w:rPr>
        <w:t xml:space="preserve"> </w:t>
      </w:r>
      <w:r>
        <w:rPr>
          <w:spacing w:val="-1"/>
        </w:rPr>
        <w:t>matters</w:t>
      </w:r>
      <w:r>
        <w:rPr>
          <w:spacing w:val="-2"/>
        </w:rPr>
        <w:t xml:space="preserve"> such</w:t>
      </w:r>
      <w:r>
        <w:rPr>
          <w:spacing w:val="1"/>
        </w:rPr>
        <w:t xml:space="preserve"> </w:t>
      </w:r>
      <w:r>
        <w:rPr>
          <w:spacing w:val="-1"/>
        </w:rPr>
        <w:t>as:</w:t>
      </w:r>
    </w:p>
    <w:p w:rsidR="008918FA" w:rsidRDefault="008918FA" w:rsidP="008918FA">
      <w:pPr>
        <w:pStyle w:val="BodyText"/>
        <w:numPr>
          <w:ilvl w:val="2"/>
          <w:numId w:val="30"/>
        </w:numPr>
        <w:tabs>
          <w:tab w:val="left" w:pos="2026"/>
        </w:tabs>
        <w:ind w:left="2025" w:right="115"/>
        <w:jc w:val="both"/>
      </w:pPr>
      <w:r>
        <w:rPr>
          <w:spacing w:val="-1"/>
        </w:rPr>
        <w:t>any</w:t>
      </w:r>
      <w:r>
        <w:rPr>
          <w:spacing w:val="14"/>
        </w:rPr>
        <w:t xml:space="preserve"> </w:t>
      </w:r>
      <w:r>
        <w:rPr>
          <w:spacing w:val="-1"/>
        </w:rPr>
        <w:t>incidental</w:t>
      </w:r>
      <w:r>
        <w:rPr>
          <w:spacing w:val="13"/>
        </w:rPr>
        <w:t xml:space="preserve"> </w:t>
      </w:r>
      <w:r>
        <w:rPr>
          <w:spacing w:val="-1"/>
        </w:rPr>
        <w:t>expenses</w:t>
      </w:r>
      <w:r>
        <w:rPr>
          <w:spacing w:val="14"/>
        </w:rPr>
        <w:t xml:space="preserve"> </w:t>
      </w:r>
      <w:r>
        <w:rPr>
          <w:spacing w:val="-1"/>
        </w:rPr>
        <w:t>that</w:t>
      </w:r>
      <w:r>
        <w:rPr>
          <w:spacing w:val="15"/>
        </w:rPr>
        <w:t xml:space="preserve"> </w:t>
      </w:r>
      <w:r>
        <w:t>the</w:t>
      </w:r>
      <w:r>
        <w:rPr>
          <w:spacing w:val="14"/>
        </w:rPr>
        <w:t xml:space="preserve"> </w:t>
      </w:r>
      <w:r>
        <w:rPr>
          <w:spacing w:val="-2"/>
        </w:rPr>
        <w:t>Supplier</w:t>
      </w:r>
      <w:r>
        <w:rPr>
          <w:spacing w:val="15"/>
        </w:rPr>
        <w:t xml:space="preserve"> </w:t>
      </w:r>
      <w:r>
        <w:rPr>
          <w:spacing w:val="-1"/>
        </w:rPr>
        <w:t>incurs,</w:t>
      </w:r>
      <w:r>
        <w:rPr>
          <w:spacing w:val="16"/>
        </w:rPr>
        <w:t xml:space="preserve"> </w:t>
      </w:r>
      <w:r>
        <w:rPr>
          <w:spacing w:val="-2"/>
        </w:rPr>
        <w:t>including</w:t>
      </w:r>
      <w:r>
        <w:rPr>
          <w:spacing w:val="16"/>
        </w:rPr>
        <w:t xml:space="preserve"> </w:t>
      </w:r>
      <w:r>
        <w:rPr>
          <w:spacing w:val="-2"/>
        </w:rPr>
        <w:t>travel,</w:t>
      </w:r>
      <w:r>
        <w:rPr>
          <w:spacing w:val="63"/>
        </w:rPr>
        <w:t xml:space="preserve"> </w:t>
      </w:r>
      <w:r>
        <w:rPr>
          <w:spacing w:val="-1"/>
        </w:rPr>
        <w:t>subsistence</w:t>
      </w:r>
      <w:r>
        <w:rPr>
          <w:spacing w:val="41"/>
        </w:rPr>
        <w:t xml:space="preserve"> </w:t>
      </w:r>
      <w:r>
        <w:rPr>
          <w:spacing w:val="-1"/>
        </w:rPr>
        <w:t>and</w:t>
      </w:r>
      <w:r>
        <w:rPr>
          <w:spacing w:val="41"/>
        </w:rPr>
        <w:t xml:space="preserve"> </w:t>
      </w:r>
      <w:r>
        <w:rPr>
          <w:spacing w:val="-1"/>
        </w:rPr>
        <w:t>lodging,</w:t>
      </w:r>
      <w:r>
        <w:rPr>
          <w:spacing w:val="42"/>
        </w:rPr>
        <w:t xml:space="preserve"> </w:t>
      </w:r>
      <w:r>
        <w:rPr>
          <w:spacing w:val="-1"/>
        </w:rPr>
        <w:t>document</w:t>
      </w:r>
      <w:r>
        <w:rPr>
          <w:spacing w:val="42"/>
        </w:rPr>
        <w:t xml:space="preserve"> </w:t>
      </w:r>
      <w:r>
        <w:rPr>
          <w:spacing w:val="-1"/>
        </w:rPr>
        <w:t>or</w:t>
      </w:r>
      <w:r>
        <w:rPr>
          <w:spacing w:val="40"/>
        </w:rPr>
        <w:t xml:space="preserve"> </w:t>
      </w:r>
      <w:r>
        <w:rPr>
          <w:spacing w:val="-1"/>
        </w:rPr>
        <w:t>report</w:t>
      </w:r>
      <w:r>
        <w:rPr>
          <w:spacing w:val="42"/>
        </w:rPr>
        <w:t xml:space="preserve"> </w:t>
      </w:r>
      <w:r>
        <w:rPr>
          <w:spacing w:val="-1"/>
        </w:rPr>
        <w:t>reproduction,</w:t>
      </w:r>
      <w:r>
        <w:rPr>
          <w:spacing w:val="41"/>
        </w:rPr>
        <w:t xml:space="preserve"> </w:t>
      </w:r>
      <w:r>
        <w:rPr>
          <w:spacing w:val="-2"/>
        </w:rPr>
        <w:t>shipping,</w:t>
      </w:r>
      <w:r>
        <w:rPr>
          <w:spacing w:val="36"/>
        </w:rPr>
        <w:t xml:space="preserve"> </w:t>
      </w:r>
      <w:r>
        <w:rPr>
          <w:spacing w:val="-1"/>
        </w:rPr>
        <w:t>desktop</w:t>
      </w:r>
      <w:r>
        <w:rPr>
          <w:spacing w:val="15"/>
        </w:rPr>
        <w:t xml:space="preserve"> </w:t>
      </w:r>
      <w:r>
        <w:rPr>
          <w:spacing w:val="-2"/>
        </w:rPr>
        <w:t>or</w:t>
      </w:r>
      <w:r>
        <w:rPr>
          <w:spacing w:val="16"/>
        </w:rPr>
        <w:t xml:space="preserve"> </w:t>
      </w:r>
      <w:r>
        <w:rPr>
          <w:spacing w:val="-1"/>
        </w:rPr>
        <w:t>office</w:t>
      </w:r>
      <w:r>
        <w:rPr>
          <w:spacing w:val="15"/>
        </w:rPr>
        <w:t xml:space="preserve"> </w:t>
      </w:r>
      <w:r>
        <w:rPr>
          <w:spacing w:val="-1"/>
        </w:rPr>
        <w:t>equipment</w:t>
      </w:r>
      <w:r>
        <w:rPr>
          <w:spacing w:val="16"/>
        </w:rPr>
        <w:t xml:space="preserve"> </w:t>
      </w:r>
      <w:r>
        <w:rPr>
          <w:spacing w:val="-1"/>
        </w:rPr>
        <w:t>costs</w:t>
      </w:r>
      <w:r>
        <w:rPr>
          <w:spacing w:val="13"/>
        </w:rPr>
        <w:t xml:space="preserve"> </w:t>
      </w:r>
      <w:r>
        <w:rPr>
          <w:spacing w:val="-1"/>
        </w:rPr>
        <w:t>required</w:t>
      </w:r>
      <w:r>
        <w:rPr>
          <w:spacing w:val="15"/>
        </w:rPr>
        <w:t xml:space="preserve"> </w:t>
      </w:r>
      <w:r>
        <w:rPr>
          <w:spacing w:val="-1"/>
        </w:rPr>
        <w:t>by</w:t>
      </w:r>
      <w:r>
        <w:rPr>
          <w:spacing w:val="13"/>
        </w:rPr>
        <w:t xml:space="preserve"> </w:t>
      </w:r>
      <w:r>
        <w:rPr>
          <w:spacing w:val="-1"/>
        </w:rPr>
        <w:t>the</w:t>
      </w:r>
      <w:r>
        <w:rPr>
          <w:spacing w:val="15"/>
        </w:rPr>
        <w:t xml:space="preserve"> </w:t>
      </w:r>
      <w:r>
        <w:rPr>
          <w:spacing w:val="-2"/>
        </w:rPr>
        <w:t>Supplier</w:t>
      </w:r>
      <w:r>
        <w:rPr>
          <w:spacing w:val="16"/>
        </w:rPr>
        <w:t xml:space="preserve"> </w:t>
      </w:r>
      <w:r>
        <w:rPr>
          <w:spacing w:val="-1"/>
        </w:rPr>
        <w:t>Personnel,</w:t>
      </w:r>
    </w:p>
    <w:p w:rsidR="008918FA" w:rsidRDefault="008918FA" w:rsidP="008918FA">
      <w:pPr>
        <w:jc w:val="both"/>
        <w:sectPr w:rsidR="008918FA">
          <w:type w:val="continuous"/>
          <w:pgSz w:w="11910" w:h="16840"/>
          <w:pgMar w:top="180" w:right="1300" w:bottom="280" w:left="1540" w:header="720" w:footer="720" w:gutter="0"/>
          <w:cols w:space="720"/>
        </w:sectPr>
      </w:pPr>
    </w:p>
    <w:p w:rsidR="008918FA" w:rsidRDefault="008918FA" w:rsidP="008918FA">
      <w:pPr>
        <w:pStyle w:val="BodyText"/>
        <w:spacing w:before="59"/>
        <w:ind w:left="2026" w:right="120" w:firstLine="0"/>
      </w:pPr>
      <w:r>
        <w:rPr>
          <w:spacing w:val="-1"/>
        </w:rPr>
        <w:t>network</w:t>
      </w:r>
      <w:r>
        <w:t xml:space="preserve"> </w:t>
      </w:r>
      <w:r>
        <w:rPr>
          <w:spacing w:val="-2"/>
        </w:rPr>
        <w:t>or</w:t>
      </w:r>
      <w:r>
        <w:t xml:space="preserve"> </w:t>
      </w:r>
      <w:r>
        <w:rPr>
          <w:spacing w:val="53"/>
        </w:rPr>
        <w:t xml:space="preserve"> </w:t>
      </w:r>
      <w:r>
        <w:rPr>
          <w:spacing w:val="-1"/>
        </w:rPr>
        <w:t>data</w:t>
      </w:r>
      <w:r>
        <w:t xml:space="preserve"> </w:t>
      </w:r>
      <w:r>
        <w:rPr>
          <w:spacing w:val="52"/>
        </w:rPr>
        <w:t xml:space="preserve"> </w:t>
      </w:r>
      <w:r>
        <w:rPr>
          <w:spacing w:val="-1"/>
        </w:rPr>
        <w:t>interchange</w:t>
      </w:r>
      <w:r>
        <w:t xml:space="preserve"> </w:t>
      </w:r>
      <w:r>
        <w:rPr>
          <w:spacing w:val="49"/>
        </w:rPr>
        <w:t xml:space="preserve"> </w:t>
      </w:r>
      <w:r>
        <w:rPr>
          <w:spacing w:val="-1"/>
        </w:rPr>
        <w:t>costs</w:t>
      </w:r>
      <w:r>
        <w:t xml:space="preserve"> </w:t>
      </w:r>
      <w:r>
        <w:rPr>
          <w:spacing w:val="50"/>
        </w:rPr>
        <w:t xml:space="preserve"> </w:t>
      </w:r>
      <w:r>
        <w:rPr>
          <w:spacing w:val="-1"/>
        </w:rPr>
        <w:t>or</w:t>
      </w:r>
      <w:r>
        <w:t xml:space="preserve"> </w:t>
      </w:r>
      <w:r>
        <w:rPr>
          <w:spacing w:val="53"/>
        </w:rPr>
        <w:t xml:space="preserve"> </w:t>
      </w:r>
      <w:r>
        <w:rPr>
          <w:spacing w:val="-2"/>
        </w:rPr>
        <w:t>other</w:t>
      </w:r>
      <w:r>
        <w:t xml:space="preserve"> </w:t>
      </w:r>
      <w:r>
        <w:rPr>
          <w:spacing w:val="54"/>
        </w:rPr>
        <w:t xml:space="preserve"> </w:t>
      </w:r>
      <w:r>
        <w:rPr>
          <w:spacing w:val="-2"/>
        </w:rPr>
        <w:t>telecommunications</w:t>
      </w:r>
      <w:r>
        <w:rPr>
          <w:spacing w:val="68"/>
        </w:rPr>
        <w:t xml:space="preserve"> </w:t>
      </w:r>
      <w:r>
        <w:rPr>
          <w:spacing w:val="-1"/>
        </w:rPr>
        <w:t>charges;</w:t>
      </w:r>
      <w:r>
        <w:t xml:space="preserve"> </w:t>
      </w:r>
      <w:r>
        <w:rPr>
          <w:spacing w:val="-1"/>
        </w:rPr>
        <w:t>or</w:t>
      </w:r>
    </w:p>
    <w:p w:rsidR="008918FA" w:rsidRDefault="008918FA" w:rsidP="008918FA">
      <w:pPr>
        <w:pStyle w:val="BodyText"/>
        <w:numPr>
          <w:ilvl w:val="2"/>
          <w:numId w:val="30"/>
        </w:numPr>
        <w:tabs>
          <w:tab w:val="left" w:pos="2027"/>
        </w:tabs>
        <w:spacing w:before="121"/>
        <w:ind w:right="121"/>
        <w:jc w:val="both"/>
      </w:pPr>
      <w:r>
        <w:rPr>
          <w:spacing w:val="-1"/>
        </w:rPr>
        <w:t>any</w:t>
      </w:r>
      <w:r>
        <w:rPr>
          <w:spacing w:val="1"/>
        </w:rPr>
        <w:t xml:space="preserve"> </w:t>
      </w:r>
      <w:r>
        <w:rPr>
          <w:spacing w:val="-1"/>
        </w:rPr>
        <w:t>amount</w:t>
      </w:r>
      <w:r>
        <w:rPr>
          <w:spacing w:val="4"/>
        </w:rPr>
        <w:t xml:space="preserve"> </w:t>
      </w:r>
      <w:r>
        <w:t>for</w:t>
      </w:r>
      <w:r>
        <w:rPr>
          <w:spacing w:val="4"/>
        </w:rPr>
        <w:t xml:space="preserve"> </w:t>
      </w:r>
      <w:r>
        <w:rPr>
          <w:spacing w:val="-1"/>
        </w:rPr>
        <w:t>any</w:t>
      </w:r>
      <w:r>
        <w:rPr>
          <w:spacing w:val="1"/>
        </w:rPr>
        <w:t xml:space="preserve"> </w:t>
      </w:r>
      <w:r>
        <w:rPr>
          <w:spacing w:val="-1"/>
        </w:rPr>
        <w:t>services</w:t>
      </w:r>
      <w:r>
        <w:rPr>
          <w:spacing w:val="3"/>
        </w:rPr>
        <w:t xml:space="preserve"> </w:t>
      </w:r>
      <w:r>
        <w:rPr>
          <w:spacing w:val="-2"/>
        </w:rPr>
        <w:t>provided</w:t>
      </w:r>
      <w:r>
        <w:rPr>
          <w:spacing w:val="3"/>
        </w:rPr>
        <w:t xml:space="preserve"> </w:t>
      </w:r>
      <w:r>
        <w:rPr>
          <w:spacing w:val="-1"/>
        </w:rPr>
        <w:t>or</w:t>
      </w:r>
      <w:r>
        <w:rPr>
          <w:spacing w:val="4"/>
        </w:rPr>
        <w:t xml:space="preserve"> </w:t>
      </w:r>
      <w:r>
        <w:rPr>
          <w:spacing w:val="-1"/>
        </w:rPr>
        <w:t>costs</w:t>
      </w:r>
      <w:r>
        <w:rPr>
          <w:spacing w:val="3"/>
        </w:rPr>
        <w:t xml:space="preserve"> </w:t>
      </w:r>
      <w:r>
        <w:rPr>
          <w:spacing w:val="-1"/>
        </w:rPr>
        <w:t>incurred</w:t>
      </w:r>
      <w:r>
        <w:rPr>
          <w:spacing w:val="3"/>
        </w:rPr>
        <w:t xml:space="preserve"> </w:t>
      </w:r>
      <w:r>
        <w:rPr>
          <w:spacing w:val="-1"/>
        </w:rPr>
        <w:t>by</w:t>
      </w:r>
      <w:r>
        <w:rPr>
          <w:spacing w:val="1"/>
        </w:rPr>
        <w:t xml:space="preserve"> </w:t>
      </w:r>
      <w:r>
        <w:t>the</w:t>
      </w:r>
      <w:r>
        <w:rPr>
          <w:spacing w:val="3"/>
        </w:rPr>
        <w:t xml:space="preserve"> </w:t>
      </w:r>
      <w:r>
        <w:rPr>
          <w:spacing w:val="-2"/>
        </w:rPr>
        <w:t>Supplier</w:t>
      </w:r>
      <w:r>
        <w:rPr>
          <w:spacing w:val="67"/>
        </w:rPr>
        <w:t xml:space="preserve"> </w:t>
      </w:r>
      <w:r>
        <w:rPr>
          <w:spacing w:val="-1"/>
        </w:rPr>
        <w:t xml:space="preserve">prior </w:t>
      </w:r>
      <w:r>
        <w:t>to</w:t>
      </w:r>
      <w:r>
        <w:rPr>
          <w:spacing w:val="-2"/>
        </w:rPr>
        <w:t xml:space="preserve"> </w:t>
      </w:r>
      <w:r>
        <w:t xml:space="preserve">the </w:t>
      </w:r>
      <w:r>
        <w:rPr>
          <w:spacing w:val="-2"/>
        </w:rPr>
        <w:t>Call</w:t>
      </w:r>
      <w:r>
        <w:rPr>
          <w:spacing w:val="-3"/>
        </w:rPr>
        <w:t xml:space="preserve"> </w:t>
      </w:r>
      <w:r>
        <w:rPr>
          <w:spacing w:val="-1"/>
        </w:rPr>
        <w:t>Off</w:t>
      </w:r>
      <w:r>
        <w:rPr>
          <w:spacing w:val="2"/>
        </w:rPr>
        <w:t xml:space="preserve"> </w:t>
      </w:r>
      <w:r>
        <w:rPr>
          <w:spacing w:val="-2"/>
        </w:rPr>
        <w:t>Commencement</w:t>
      </w:r>
      <w:r>
        <w:t xml:space="preserve"> </w:t>
      </w:r>
      <w:r>
        <w:rPr>
          <w:spacing w:val="-1"/>
        </w:rPr>
        <w:t>Date.</w:t>
      </w:r>
    </w:p>
    <w:p w:rsidR="008918FA" w:rsidRDefault="008918FA" w:rsidP="008918FA">
      <w:pPr>
        <w:pStyle w:val="BodyText"/>
        <w:numPr>
          <w:ilvl w:val="0"/>
          <w:numId w:val="30"/>
        </w:numPr>
        <w:tabs>
          <w:tab w:val="left" w:pos="467"/>
        </w:tabs>
        <w:spacing w:before="120"/>
        <w:rPr>
          <w:rFonts w:ascii="Times New Roman" w:eastAsia="Times New Roman" w:hAnsi="Times New Roman" w:cs="Times New Roman"/>
        </w:rPr>
      </w:pPr>
      <w:r>
        <w:rPr>
          <w:rFonts w:ascii="Times New Roman"/>
          <w:spacing w:val="26"/>
        </w:rPr>
        <w:t>P</w:t>
      </w:r>
      <w:r>
        <w:rPr>
          <w:rFonts w:ascii="Times New Roman"/>
          <w:spacing w:val="-6"/>
        </w:rPr>
        <w:t>A</w:t>
      </w:r>
      <w:r>
        <w:rPr>
          <w:rFonts w:ascii="Times New Roman"/>
          <w:spacing w:val="-14"/>
        </w:rPr>
        <w:t>Y</w:t>
      </w:r>
      <w:r>
        <w:rPr>
          <w:rFonts w:ascii="Times New Roman"/>
          <w:spacing w:val="-12"/>
        </w:rPr>
        <w:t>M</w:t>
      </w:r>
      <w:r>
        <w:rPr>
          <w:rFonts w:ascii="Times New Roman"/>
          <w:spacing w:val="11"/>
        </w:rPr>
        <w:t>E</w:t>
      </w:r>
      <w:r>
        <w:rPr>
          <w:rFonts w:ascii="Times New Roman"/>
          <w:spacing w:val="1"/>
        </w:rPr>
        <w:t>N</w:t>
      </w:r>
      <w:r>
        <w:rPr>
          <w:rFonts w:ascii="Times New Roman"/>
        </w:rPr>
        <w:t>T</w:t>
      </w:r>
      <w:r>
        <w:rPr>
          <w:rFonts w:ascii="Times New Roman"/>
          <w:spacing w:val="6"/>
        </w:rPr>
        <w:t xml:space="preserve"> </w:t>
      </w:r>
      <w:r>
        <w:rPr>
          <w:rFonts w:ascii="Times New Roman"/>
          <w:spacing w:val="1"/>
        </w:rPr>
        <w:t>TERMS</w:t>
      </w:r>
      <w:r>
        <w:rPr>
          <w:rFonts w:ascii="Times New Roman"/>
          <w:spacing w:val="-32"/>
        </w:rPr>
        <w:t xml:space="preserve"> </w:t>
      </w:r>
      <w:r>
        <w:rPr>
          <w:rFonts w:ascii="Times New Roman"/>
          <w:spacing w:val="1"/>
        </w:rPr>
        <w:t>/</w:t>
      </w:r>
      <w:r>
        <w:rPr>
          <w:rFonts w:ascii="Times New Roman"/>
          <w:spacing w:val="26"/>
        </w:rPr>
        <w:t>P</w:t>
      </w:r>
      <w:r>
        <w:rPr>
          <w:rFonts w:ascii="Times New Roman"/>
          <w:spacing w:val="-6"/>
        </w:rPr>
        <w:t>A</w:t>
      </w:r>
      <w:r>
        <w:rPr>
          <w:rFonts w:ascii="Times New Roman"/>
          <w:spacing w:val="-11"/>
        </w:rPr>
        <w:t>Y</w:t>
      </w:r>
      <w:r>
        <w:rPr>
          <w:rFonts w:ascii="Times New Roman"/>
          <w:spacing w:val="-12"/>
        </w:rPr>
        <w:t>M</w:t>
      </w:r>
      <w:r>
        <w:rPr>
          <w:rFonts w:ascii="Times New Roman"/>
          <w:spacing w:val="11"/>
        </w:rPr>
        <w:t>E</w:t>
      </w:r>
      <w:r>
        <w:rPr>
          <w:rFonts w:ascii="Times New Roman"/>
          <w:spacing w:val="-2"/>
        </w:rPr>
        <w:t>N</w:t>
      </w:r>
      <w:r>
        <w:rPr>
          <w:rFonts w:ascii="Times New Roman"/>
        </w:rPr>
        <w:t>T</w:t>
      </w:r>
      <w:r>
        <w:rPr>
          <w:rFonts w:ascii="Times New Roman"/>
          <w:spacing w:val="4"/>
        </w:rPr>
        <w:t xml:space="preserve"> </w:t>
      </w:r>
      <w:r>
        <w:rPr>
          <w:rFonts w:ascii="Times New Roman"/>
          <w:spacing w:val="6"/>
        </w:rPr>
        <w:t>PROFILE</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30"/>
        </w:numPr>
        <w:tabs>
          <w:tab w:val="left" w:pos="829"/>
        </w:tabs>
        <w:spacing w:before="0"/>
        <w:ind w:right="116"/>
        <w:jc w:val="both"/>
      </w:pPr>
      <w:r>
        <w:t>The</w:t>
      </w:r>
      <w:r>
        <w:rPr>
          <w:spacing w:val="5"/>
        </w:rPr>
        <w:t xml:space="preserve"> </w:t>
      </w:r>
      <w:r>
        <w:rPr>
          <w:spacing w:val="-2"/>
        </w:rPr>
        <w:t>payment</w:t>
      </w:r>
      <w:r>
        <w:rPr>
          <w:spacing w:val="7"/>
        </w:rPr>
        <w:t xml:space="preserve"> </w:t>
      </w:r>
      <w:r>
        <w:rPr>
          <w:spacing w:val="-1"/>
        </w:rPr>
        <w:t>terms/profile</w:t>
      </w:r>
      <w:r>
        <w:rPr>
          <w:spacing w:val="5"/>
        </w:rPr>
        <w:t xml:space="preserve"> </w:t>
      </w:r>
      <w:r>
        <w:rPr>
          <w:spacing w:val="-2"/>
        </w:rPr>
        <w:t>which</w:t>
      </w:r>
      <w:r>
        <w:rPr>
          <w:spacing w:val="5"/>
        </w:rPr>
        <w:t xml:space="preserve"> </w:t>
      </w:r>
      <w:r>
        <w:rPr>
          <w:spacing w:val="-1"/>
        </w:rPr>
        <w:t>are</w:t>
      </w:r>
      <w:r>
        <w:rPr>
          <w:spacing w:val="5"/>
        </w:rPr>
        <w:t xml:space="preserve"> </w:t>
      </w:r>
      <w:r>
        <w:rPr>
          <w:spacing w:val="-2"/>
        </w:rPr>
        <w:t>applicable</w:t>
      </w:r>
      <w:r>
        <w:rPr>
          <w:spacing w:val="5"/>
        </w:rPr>
        <w:t xml:space="preserve"> </w:t>
      </w:r>
      <w:r>
        <w:t>to</w:t>
      </w:r>
      <w:r>
        <w:rPr>
          <w:spacing w:val="7"/>
        </w:rPr>
        <w:t xml:space="preserve"> </w:t>
      </w:r>
      <w:r>
        <w:rPr>
          <w:spacing w:val="-1"/>
        </w:rPr>
        <w:t>this</w:t>
      </w:r>
      <w:r>
        <w:rPr>
          <w:spacing w:val="5"/>
        </w:rPr>
        <w:t xml:space="preserve"> </w:t>
      </w:r>
      <w:r>
        <w:rPr>
          <w:spacing w:val="-2"/>
        </w:rPr>
        <w:t>Call</w:t>
      </w:r>
      <w:r>
        <w:rPr>
          <w:spacing w:val="4"/>
        </w:rPr>
        <w:t xml:space="preserve"> </w:t>
      </w:r>
      <w:r>
        <w:rPr>
          <w:spacing w:val="-1"/>
        </w:rPr>
        <w:t>Off</w:t>
      </w:r>
      <w:r>
        <w:rPr>
          <w:spacing w:val="7"/>
        </w:rPr>
        <w:t xml:space="preserve"> </w:t>
      </w:r>
      <w:r>
        <w:rPr>
          <w:spacing w:val="-1"/>
        </w:rPr>
        <w:t>Contract</w:t>
      </w:r>
      <w:r>
        <w:rPr>
          <w:spacing w:val="7"/>
        </w:rPr>
        <w:t xml:space="preserve"> </w:t>
      </w:r>
      <w:r>
        <w:rPr>
          <w:spacing w:val="-2"/>
        </w:rPr>
        <w:t>are</w:t>
      </w:r>
      <w:r>
        <w:rPr>
          <w:spacing w:val="5"/>
        </w:rPr>
        <w:t xml:space="preserve"> </w:t>
      </w:r>
      <w:r>
        <w:rPr>
          <w:spacing w:val="-1"/>
        </w:rPr>
        <w:t>set</w:t>
      </w:r>
      <w:r>
        <w:rPr>
          <w:spacing w:val="7"/>
        </w:rPr>
        <w:t xml:space="preserve"> </w:t>
      </w:r>
      <w:r>
        <w:rPr>
          <w:spacing w:val="-2"/>
        </w:rPr>
        <w:t>out</w:t>
      </w:r>
      <w:r>
        <w:rPr>
          <w:spacing w:val="71"/>
        </w:rPr>
        <w:t xml:space="preserve"> </w:t>
      </w:r>
      <w:r>
        <w:rPr>
          <w:spacing w:val="-1"/>
        </w:rPr>
        <w:t>in</w:t>
      </w:r>
      <w:r>
        <w:t xml:space="preserve"> </w:t>
      </w:r>
      <w:r>
        <w:rPr>
          <w:spacing w:val="-1"/>
        </w:rPr>
        <w:t>Annex</w:t>
      </w:r>
      <w:r>
        <w:rPr>
          <w:spacing w:val="-2"/>
        </w:rPr>
        <w:t xml:space="preserve"> </w:t>
      </w:r>
      <w:r>
        <w:t>2</w:t>
      </w:r>
      <w:r>
        <w:rPr>
          <w:spacing w:val="1"/>
        </w:rPr>
        <w:t xml:space="preserve"> </w:t>
      </w:r>
      <w:r>
        <w:rPr>
          <w:spacing w:val="-2"/>
        </w:rPr>
        <w:t>of</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Schedule.</w:t>
      </w:r>
    </w:p>
    <w:p w:rsidR="008918FA" w:rsidRDefault="008918FA" w:rsidP="008918FA">
      <w:pPr>
        <w:pStyle w:val="BodyText"/>
        <w:numPr>
          <w:ilvl w:val="0"/>
          <w:numId w:val="30"/>
        </w:numPr>
        <w:tabs>
          <w:tab w:val="left" w:pos="467"/>
        </w:tabs>
        <w:spacing w:before="120"/>
        <w:rPr>
          <w:rFonts w:ascii="Times New Roman" w:eastAsia="Times New Roman" w:hAnsi="Times New Roman" w:cs="Times New Roman"/>
        </w:rPr>
      </w:pPr>
      <w:bookmarkStart w:id="355" w:name="_bookmark289"/>
      <w:bookmarkEnd w:id="355"/>
      <w:r>
        <w:rPr>
          <w:rFonts w:ascii="Times New Roman"/>
          <w:spacing w:val="-4"/>
        </w:rPr>
        <w:t>INVOICING</w:t>
      </w:r>
      <w:r>
        <w:rPr>
          <w:rFonts w:ascii="Times New Roman"/>
          <w:spacing w:val="18"/>
        </w:rPr>
        <w:t xml:space="preserve"> </w:t>
      </w:r>
      <w:r>
        <w:rPr>
          <w:rFonts w:ascii="Times New Roman"/>
          <w:spacing w:val="8"/>
        </w:rPr>
        <w:t>PROCEDURE</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30"/>
        </w:numPr>
        <w:tabs>
          <w:tab w:val="left" w:pos="829"/>
        </w:tabs>
        <w:spacing w:before="0"/>
        <w:ind w:right="111"/>
        <w:jc w:val="both"/>
      </w:pPr>
      <w:r>
        <w:t>The</w:t>
      </w:r>
      <w:r>
        <w:rPr>
          <w:spacing w:val="51"/>
        </w:rPr>
        <w:t xml:space="preserve"> </w:t>
      </w:r>
      <w:r>
        <w:rPr>
          <w:spacing w:val="-2"/>
        </w:rPr>
        <w:t>Customer</w:t>
      </w:r>
      <w:r>
        <w:rPr>
          <w:spacing w:val="52"/>
        </w:rPr>
        <w:t xml:space="preserve"> </w:t>
      </w:r>
      <w:r>
        <w:rPr>
          <w:spacing w:val="-1"/>
        </w:rPr>
        <w:t>shall</w:t>
      </w:r>
      <w:r>
        <w:rPr>
          <w:spacing w:val="50"/>
        </w:rPr>
        <w:t xml:space="preserve"> </w:t>
      </w:r>
      <w:r>
        <w:rPr>
          <w:spacing w:val="-1"/>
        </w:rPr>
        <w:t>pay</w:t>
      </w:r>
      <w:r>
        <w:rPr>
          <w:spacing w:val="49"/>
        </w:rPr>
        <w:t xml:space="preserve"> </w:t>
      </w:r>
      <w:r>
        <w:t>all</w:t>
      </w:r>
      <w:r>
        <w:rPr>
          <w:spacing w:val="50"/>
        </w:rPr>
        <w:t xml:space="preserve"> </w:t>
      </w:r>
      <w:r>
        <w:rPr>
          <w:spacing w:val="-1"/>
        </w:rPr>
        <w:t>sums</w:t>
      </w:r>
      <w:r>
        <w:rPr>
          <w:spacing w:val="51"/>
        </w:rPr>
        <w:t xml:space="preserve"> </w:t>
      </w:r>
      <w:r>
        <w:rPr>
          <w:spacing w:val="-1"/>
        </w:rPr>
        <w:t>properly</w:t>
      </w:r>
      <w:r>
        <w:rPr>
          <w:spacing w:val="50"/>
        </w:rPr>
        <w:t xml:space="preserve"> </w:t>
      </w:r>
      <w:r>
        <w:rPr>
          <w:spacing w:val="-1"/>
        </w:rPr>
        <w:t>due</w:t>
      </w:r>
      <w:r>
        <w:rPr>
          <w:spacing w:val="51"/>
        </w:rPr>
        <w:t xml:space="preserve"> </w:t>
      </w:r>
      <w:r>
        <w:rPr>
          <w:spacing w:val="-1"/>
        </w:rPr>
        <w:t>and</w:t>
      </w:r>
      <w:r>
        <w:rPr>
          <w:spacing w:val="51"/>
        </w:rPr>
        <w:t xml:space="preserve"> </w:t>
      </w:r>
      <w:r>
        <w:rPr>
          <w:spacing w:val="-2"/>
        </w:rPr>
        <w:t>payable</w:t>
      </w:r>
      <w:r>
        <w:rPr>
          <w:spacing w:val="51"/>
        </w:rPr>
        <w:t xml:space="preserve"> </w:t>
      </w:r>
      <w:r>
        <w:t>to</w:t>
      </w:r>
      <w:r>
        <w:rPr>
          <w:spacing w:val="51"/>
        </w:rPr>
        <w:t xml:space="preserve"> </w:t>
      </w:r>
      <w:r>
        <w:t>the</w:t>
      </w:r>
      <w:r>
        <w:rPr>
          <w:spacing w:val="51"/>
        </w:rPr>
        <w:t xml:space="preserve"> </w:t>
      </w:r>
      <w:r>
        <w:rPr>
          <w:spacing w:val="-2"/>
        </w:rPr>
        <w:t>Supplier</w:t>
      </w:r>
      <w:r>
        <w:rPr>
          <w:spacing w:val="53"/>
        </w:rPr>
        <w:t xml:space="preserve"> </w:t>
      </w:r>
      <w:r>
        <w:rPr>
          <w:spacing w:val="-1"/>
        </w:rPr>
        <w:t>in</w:t>
      </w:r>
      <w:r>
        <w:rPr>
          <w:spacing w:val="61"/>
        </w:rPr>
        <w:t xml:space="preserve"> </w:t>
      </w:r>
      <w:r>
        <w:rPr>
          <w:spacing w:val="-1"/>
        </w:rPr>
        <w:t>cleared</w:t>
      </w:r>
      <w:r>
        <w:rPr>
          <w:spacing w:val="17"/>
        </w:rPr>
        <w:t xml:space="preserve"> </w:t>
      </w:r>
      <w:r>
        <w:rPr>
          <w:spacing w:val="-1"/>
        </w:rPr>
        <w:t>funds</w:t>
      </w:r>
      <w:r>
        <w:rPr>
          <w:spacing w:val="20"/>
        </w:rPr>
        <w:t xml:space="preserve"> </w:t>
      </w:r>
      <w:r>
        <w:rPr>
          <w:spacing w:val="-2"/>
        </w:rPr>
        <w:t>within</w:t>
      </w:r>
      <w:r>
        <w:rPr>
          <w:spacing w:val="19"/>
        </w:rPr>
        <w:t xml:space="preserve"> </w:t>
      </w:r>
      <w:r>
        <w:rPr>
          <w:spacing w:val="-1"/>
        </w:rPr>
        <w:t>thirty</w:t>
      </w:r>
      <w:r>
        <w:rPr>
          <w:spacing w:val="18"/>
        </w:rPr>
        <w:t xml:space="preserve"> </w:t>
      </w:r>
      <w:r>
        <w:rPr>
          <w:spacing w:val="-1"/>
        </w:rPr>
        <w:t>(30)</w:t>
      </w:r>
      <w:r>
        <w:rPr>
          <w:spacing w:val="21"/>
        </w:rPr>
        <w:t xml:space="preserve"> </w:t>
      </w:r>
      <w:r>
        <w:rPr>
          <w:spacing w:val="-2"/>
        </w:rPr>
        <w:t>days</w:t>
      </w:r>
      <w:r>
        <w:rPr>
          <w:spacing w:val="20"/>
        </w:rPr>
        <w:t xml:space="preserve"> </w:t>
      </w:r>
      <w:r>
        <w:rPr>
          <w:spacing w:val="-2"/>
        </w:rPr>
        <w:t>of</w:t>
      </w:r>
      <w:r>
        <w:rPr>
          <w:spacing w:val="21"/>
        </w:rPr>
        <w:t xml:space="preserve"> </w:t>
      </w:r>
      <w:r>
        <w:rPr>
          <w:spacing w:val="-1"/>
        </w:rPr>
        <w:t>receipt</w:t>
      </w:r>
      <w:r>
        <w:rPr>
          <w:spacing w:val="21"/>
        </w:rPr>
        <w:t xml:space="preserve"> </w:t>
      </w:r>
      <w:r>
        <w:rPr>
          <w:spacing w:val="-2"/>
        </w:rPr>
        <w:t>of</w:t>
      </w:r>
      <w:r>
        <w:rPr>
          <w:spacing w:val="19"/>
        </w:rPr>
        <w:t xml:space="preserve"> </w:t>
      </w:r>
      <w:r>
        <w:t>a</w:t>
      </w:r>
      <w:r>
        <w:rPr>
          <w:spacing w:val="20"/>
        </w:rPr>
        <w:t xml:space="preserve"> </w:t>
      </w:r>
      <w:r>
        <w:rPr>
          <w:spacing w:val="-2"/>
        </w:rPr>
        <w:t>Valid</w:t>
      </w:r>
      <w:r>
        <w:rPr>
          <w:spacing w:val="20"/>
        </w:rPr>
        <w:t xml:space="preserve"> </w:t>
      </w:r>
      <w:r>
        <w:rPr>
          <w:spacing w:val="-1"/>
        </w:rPr>
        <w:t>Invoice,</w:t>
      </w:r>
      <w:r>
        <w:rPr>
          <w:spacing w:val="23"/>
        </w:rPr>
        <w:t xml:space="preserve"> </w:t>
      </w:r>
      <w:r>
        <w:rPr>
          <w:spacing w:val="-2"/>
        </w:rPr>
        <w:t>submitted</w:t>
      </w:r>
      <w:r>
        <w:rPr>
          <w:spacing w:val="20"/>
        </w:rPr>
        <w:t xml:space="preserve"> </w:t>
      </w:r>
      <w:r>
        <w:t>to</w:t>
      </w:r>
      <w:r>
        <w:rPr>
          <w:spacing w:val="17"/>
        </w:rPr>
        <w:t xml:space="preserve"> </w:t>
      </w:r>
      <w:r>
        <w:rPr>
          <w:spacing w:val="-1"/>
        </w:rPr>
        <w:t>the</w:t>
      </w:r>
      <w:r>
        <w:rPr>
          <w:spacing w:val="68"/>
        </w:rPr>
        <w:t xml:space="preserve"> </w:t>
      </w:r>
      <w:r>
        <w:rPr>
          <w:spacing w:val="-1"/>
        </w:rPr>
        <w:t>address</w:t>
      </w:r>
      <w:r>
        <w:rPr>
          <w:spacing w:val="18"/>
        </w:rPr>
        <w:t xml:space="preserve"> </w:t>
      </w:r>
      <w:r>
        <w:rPr>
          <w:spacing w:val="-1"/>
        </w:rPr>
        <w:t>specified</w:t>
      </w:r>
      <w:r>
        <w:rPr>
          <w:spacing w:val="17"/>
        </w:rPr>
        <w:t xml:space="preserve"> </w:t>
      </w:r>
      <w:r>
        <w:rPr>
          <w:spacing w:val="-1"/>
        </w:rPr>
        <w:t>by</w:t>
      </w:r>
      <w:r>
        <w:rPr>
          <w:spacing w:val="15"/>
        </w:rPr>
        <w:t xml:space="preserve"> </w:t>
      </w:r>
      <w:r>
        <w:t>the</w:t>
      </w:r>
      <w:r>
        <w:rPr>
          <w:spacing w:val="15"/>
        </w:rPr>
        <w:t xml:space="preserve"> </w:t>
      </w:r>
      <w:r>
        <w:rPr>
          <w:spacing w:val="-1"/>
        </w:rPr>
        <w:t>Customer</w:t>
      </w:r>
      <w:r>
        <w:rPr>
          <w:spacing w:val="19"/>
        </w:rPr>
        <w:t xml:space="preserve"> </w:t>
      </w:r>
      <w:r>
        <w:rPr>
          <w:spacing w:val="-1"/>
        </w:rPr>
        <w:t>in</w:t>
      </w:r>
      <w:r>
        <w:rPr>
          <w:spacing w:val="15"/>
        </w:rPr>
        <w:t xml:space="preserve"> </w:t>
      </w:r>
      <w:r>
        <w:rPr>
          <w:spacing w:val="-1"/>
        </w:rPr>
        <w:t>paragraph</w:t>
      </w:r>
      <w:r>
        <w:rPr>
          <w:spacing w:val="17"/>
        </w:rPr>
        <w:t xml:space="preserve"> </w:t>
      </w:r>
      <w:hyperlink w:anchor="_bookmark290" w:history="1">
        <w:r>
          <w:t>6.5</w:t>
        </w:r>
      </w:hyperlink>
      <w:r>
        <w:rPr>
          <w:spacing w:val="17"/>
        </w:rPr>
        <w:t xml:space="preserve"> </w:t>
      </w:r>
      <w:r>
        <w:rPr>
          <w:spacing w:val="-2"/>
        </w:rPr>
        <w:t>of</w:t>
      </w:r>
      <w:r>
        <w:rPr>
          <w:spacing w:val="19"/>
        </w:rPr>
        <w:t xml:space="preserve"> </w:t>
      </w:r>
      <w:r>
        <w:rPr>
          <w:spacing w:val="-1"/>
        </w:rPr>
        <w:t>this</w:t>
      </w:r>
      <w:r>
        <w:rPr>
          <w:spacing w:val="15"/>
        </w:rPr>
        <w:t xml:space="preserve"> </w:t>
      </w:r>
      <w:r>
        <w:rPr>
          <w:spacing w:val="-2"/>
        </w:rPr>
        <w:t>Call</w:t>
      </w:r>
      <w:r>
        <w:rPr>
          <w:spacing w:val="17"/>
        </w:rPr>
        <w:t xml:space="preserve"> </w:t>
      </w:r>
      <w:r>
        <w:rPr>
          <w:spacing w:val="-1"/>
        </w:rPr>
        <w:t>Off</w:t>
      </w:r>
      <w:r>
        <w:rPr>
          <w:spacing w:val="19"/>
        </w:rPr>
        <w:t xml:space="preserve"> </w:t>
      </w:r>
      <w:r>
        <w:rPr>
          <w:spacing w:val="-2"/>
        </w:rPr>
        <w:t>Schedule</w:t>
      </w:r>
      <w:r>
        <w:rPr>
          <w:spacing w:val="17"/>
        </w:rPr>
        <w:t xml:space="preserve"> </w:t>
      </w:r>
      <w:r>
        <w:rPr>
          <w:spacing w:val="-1"/>
        </w:rPr>
        <w:t>and</w:t>
      </w:r>
      <w:r>
        <w:rPr>
          <w:spacing w:val="40"/>
        </w:rPr>
        <w:t xml:space="preserve"> </w:t>
      </w:r>
      <w:r>
        <w:rPr>
          <w:spacing w:val="-1"/>
        </w:rPr>
        <w:t>in</w:t>
      </w:r>
      <w:r>
        <w:t xml:space="preserve"> </w:t>
      </w:r>
      <w:r>
        <w:rPr>
          <w:spacing w:val="-1"/>
        </w:rPr>
        <w:t>accordance</w:t>
      </w:r>
      <w:r>
        <w:rPr>
          <w:spacing w:val="-2"/>
        </w:rPr>
        <w:t xml:space="preserve"> with</w:t>
      </w:r>
      <w:r>
        <w:t xml:space="preserve"> the </w:t>
      </w:r>
      <w:r>
        <w:rPr>
          <w:spacing w:val="-2"/>
        </w:rPr>
        <w:t>provisions</w:t>
      </w:r>
      <w:r>
        <w:rPr>
          <w:spacing w:val="1"/>
        </w:rPr>
        <w:t xml:space="preserve"> </w:t>
      </w:r>
      <w:r>
        <w:rPr>
          <w:spacing w:val="-1"/>
        </w:rPr>
        <w:t>of</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t xml:space="preserve"> </w:t>
      </w:r>
      <w:r>
        <w:rPr>
          <w:spacing w:val="-1"/>
        </w:rPr>
        <w:t>Contract.</w:t>
      </w:r>
    </w:p>
    <w:p w:rsidR="008918FA" w:rsidRDefault="008918FA" w:rsidP="008918FA">
      <w:pPr>
        <w:pStyle w:val="BodyText"/>
        <w:numPr>
          <w:ilvl w:val="1"/>
          <w:numId w:val="30"/>
        </w:numPr>
        <w:tabs>
          <w:tab w:val="left" w:pos="829"/>
        </w:tabs>
        <w:ind w:right="112"/>
        <w:jc w:val="both"/>
      </w:pPr>
      <w:r>
        <w:t>The</w:t>
      </w:r>
      <w:r>
        <w:rPr>
          <w:spacing w:val="15"/>
        </w:rPr>
        <w:t xml:space="preserve"> </w:t>
      </w:r>
      <w:r>
        <w:rPr>
          <w:spacing w:val="-2"/>
        </w:rPr>
        <w:t>Supplier</w:t>
      </w:r>
      <w:r>
        <w:rPr>
          <w:spacing w:val="14"/>
        </w:rPr>
        <w:t xml:space="preserve"> </w:t>
      </w:r>
      <w:r>
        <w:rPr>
          <w:spacing w:val="-1"/>
        </w:rPr>
        <w:t>shall</w:t>
      </w:r>
      <w:r>
        <w:rPr>
          <w:spacing w:val="14"/>
        </w:rPr>
        <w:t xml:space="preserve"> </w:t>
      </w:r>
      <w:r>
        <w:rPr>
          <w:spacing w:val="-1"/>
        </w:rPr>
        <w:t>ensure</w:t>
      </w:r>
      <w:r>
        <w:rPr>
          <w:spacing w:val="15"/>
        </w:rPr>
        <w:t xml:space="preserve"> </w:t>
      </w:r>
      <w:r>
        <w:rPr>
          <w:spacing w:val="-1"/>
        </w:rPr>
        <w:t>that</w:t>
      </w:r>
      <w:r>
        <w:rPr>
          <w:spacing w:val="16"/>
        </w:rPr>
        <w:t xml:space="preserve"> </w:t>
      </w:r>
      <w:r>
        <w:rPr>
          <w:spacing w:val="-1"/>
        </w:rPr>
        <w:t>each</w:t>
      </w:r>
      <w:r>
        <w:rPr>
          <w:spacing w:val="13"/>
        </w:rPr>
        <w:t xml:space="preserve"> </w:t>
      </w:r>
      <w:r>
        <w:rPr>
          <w:spacing w:val="-2"/>
        </w:rPr>
        <w:t>invoice</w:t>
      </w:r>
      <w:r>
        <w:rPr>
          <w:spacing w:val="15"/>
        </w:rPr>
        <w:t xml:space="preserve"> </w:t>
      </w:r>
      <w:r>
        <w:rPr>
          <w:spacing w:val="-1"/>
        </w:rPr>
        <w:t>(whether</w:t>
      </w:r>
      <w:r>
        <w:rPr>
          <w:spacing w:val="16"/>
        </w:rPr>
        <w:t xml:space="preserve"> </w:t>
      </w:r>
      <w:r>
        <w:rPr>
          <w:spacing w:val="-1"/>
        </w:rPr>
        <w:t>submitted</w:t>
      </w:r>
      <w:r>
        <w:rPr>
          <w:spacing w:val="15"/>
        </w:rPr>
        <w:t xml:space="preserve"> </w:t>
      </w:r>
      <w:r>
        <w:rPr>
          <w:spacing w:val="-2"/>
        </w:rPr>
        <w:t>electronically</w:t>
      </w:r>
      <w:r>
        <w:rPr>
          <w:spacing w:val="13"/>
        </w:rPr>
        <w:t xml:space="preserve"> </w:t>
      </w:r>
      <w:r>
        <w:rPr>
          <w:spacing w:val="-1"/>
        </w:rPr>
        <w:t>or</w:t>
      </w:r>
      <w:r>
        <w:rPr>
          <w:spacing w:val="16"/>
        </w:rPr>
        <w:t xml:space="preserve"> </w:t>
      </w:r>
      <w:r>
        <w:rPr>
          <w:spacing w:val="-1"/>
        </w:rPr>
        <w:t>in</w:t>
      </w:r>
      <w:r>
        <w:rPr>
          <w:spacing w:val="77"/>
        </w:rPr>
        <w:t xml:space="preserve"> </w:t>
      </w:r>
      <w:r>
        <w:t xml:space="preserve">a </w:t>
      </w:r>
      <w:r>
        <w:rPr>
          <w:spacing w:val="-1"/>
        </w:rPr>
        <w:t>paper</w:t>
      </w:r>
      <w:r>
        <w:rPr>
          <w:spacing w:val="-3"/>
        </w:rPr>
        <w:t xml:space="preserve"> </w:t>
      </w:r>
      <w:r>
        <w:rPr>
          <w:spacing w:val="-1"/>
        </w:rPr>
        <w:t>form,</w:t>
      </w:r>
      <w:r>
        <w:rPr>
          <w:spacing w:val="2"/>
        </w:rPr>
        <w:t xml:space="preserve"> </w:t>
      </w:r>
      <w:r>
        <w:rPr>
          <w:spacing w:val="-1"/>
        </w:rPr>
        <w:t>as</w:t>
      </w:r>
      <w:r>
        <w:rPr>
          <w:spacing w:val="-4"/>
        </w:rPr>
        <w:t xml:space="preserve"> </w:t>
      </w:r>
      <w:r>
        <w:t xml:space="preserve">the </w:t>
      </w:r>
      <w:r>
        <w:rPr>
          <w:spacing w:val="-2"/>
        </w:rPr>
        <w:t>Customer</w:t>
      </w:r>
      <w:r>
        <w:rPr>
          <w:spacing w:val="-1"/>
        </w:rPr>
        <w:t xml:space="preserve"> may</w:t>
      </w:r>
      <w:r>
        <w:rPr>
          <w:spacing w:val="-2"/>
        </w:rPr>
        <w:t xml:space="preserve"> </w:t>
      </w:r>
      <w:r>
        <w:rPr>
          <w:spacing w:val="-1"/>
        </w:rPr>
        <w:t>specify):</w:t>
      </w:r>
    </w:p>
    <w:p w:rsidR="008918FA" w:rsidRDefault="008918FA" w:rsidP="008918FA">
      <w:pPr>
        <w:pStyle w:val="BodyText"/>
        <w:numPr>
          <w:ilvl w:val="2"/>
          <w:numId w:val="30"/>
        </w:numPr>
        <w:tabs>
          <w:tab w:val="left" w:pos="2027"/>
        </w:tabs>
        <w:spacing w:before="121"/>
      </w:pPr>
      <w:r>
        <w:rPr>
          <w:spacing w:val="-1"/>
        </w:rPr>
        <w:t>contains:</w:t>
      </w:r>
    </w:p>
    <w:p w:rsidR="008918FA" w:rsidRDefault="008918FA" w:rsidP="008918FA">
      <w:pPr>
        <w:numPr>
          <w:ilvl w:val="3"/>
          <w:numId w:val="30"/>
        </w:numPr>
        <w:tabs>
          <w:tab w:val="left" w:pos="2735"/>
          <w:tab w:val="left" w:pos="4445"/>
        </w:tabs>
        <w:spacing w:before="119"/>
        <w:ind w:right="112"/>
        <w:jc w:val="both"/>
        <w:rPr>
          <w:rFonts w:ascii="Arial" w:eastAsia="Arial" w:hAnsi="Arial" w:cs="Arial"/>
        </w:rPr>
      </w:pPr>
      <w:r>
        <w:rPr>
          <w:rFonts w:ascii="Arial"/>
          <w:spacing w:val="-1"/>
        </w:rPr>
        <w:t>all</w:t>
      </w:r>
      <w:r>
        <w:rPr>
          <w:rFonts w:ascii="Arial"/>
          <w:spacing w:val="2"/>
        </w:rPr>
        <w:t xml:space="preserve"> </w:t>
      </w:r>
      <w:r>
        <w:rPr>
          <w:rFonts w:ascii="Arial"/>
          <w:spacing w:val="-1"/>
        </w:rPr>
        <w:t>appropriate</w:t>
      </w:r>
      <w:r>
        <w:rPr>
          <w:rFonts w:ascii="Arial"/>
          <w:spacing w:val="3"/>
        </w:rPr>
        <w:t xml:space="preserve"> </w:t>
      </w:r>
      <w:r>
        <w:rPr>
          <w:rFonts w:ascii="Arial"/>
          <w:spacing w:val="-1"/>
        </w:rPr>
        <w:t>references,</w:t>
      </w:r>
      <w:r>
        <w:rPr>
          <w:rFonts w:ascii="Arial"/>
          <w:spacing w:val="5"/>
        </w:rPr>
        <w:t xml:space="preserve"> </w:t>
      </w:r>
      <w:r>
        <w:rPr>
          <w:rFonts w:ascii="Arial"/>
          <w:spacing w:val="-2"/>
        </w:rPr>
        <w:t>including</w:t>
      </w:r>
      <w:r>
        <w:rPr>
          <w:rFonts w:ascii="Arial"/>
          <w:spacing w:val="5"/>
        </w:rPr>
        <w:t xml:space="preserve"> </w:t>
      </w:r>
      <w:r>
        <w:rPr>
          <w:rFonts w:ascii="Arial"/>
        </w:rPr>
        <w:t>the</w:t>
      </w:r>
      <w:r>
        <w:rPr>
          <w:rFonts w:ascii="Arial"/>
          <w:spacing w:val="3"/>
        </w:rPr>
        <w:t xml:space="preserve"> </w:t>
      </w:r>
      <w:r>
        <w:rPr>
          <w:rFonts w:ascii="Arial"/>
          <w:spacing w:val="-1"/>
        </w:rPr>
        <w:t>unique</w:t>
      </w:r>
      <w:r>
        <w:rPr>
          <w:rFonts w:ascii="Arial"/>
        </w:rPr>
        <w:t xml:space="preserve"> </w:t>
      </w:r>
      <w:r>
        <w:rPr>
          <w:rFonts w:ascii="Arial"/>
          <w:spacing w:val="-1"/>
        </w:rPr>
        <w:t>Order</w:t>
      </w:r>
      <w:r>
        <w:rPr>
          <w:rFonts w:ascii="Arial"/>
          <w:spacing w:val="4"/>
        </w:rPr>
        <w:t xml:space="preserve"> </w:t>
      </w:r>
      <w:r>
        <w:rPr>
          <w:rFonts w:ascii="Arial"/>
          <w:spacing w:val="-1"/>
        </w:rPr>
        <w:t>reference</w:t>
      </w:r>
      <w:r>
        <w:rPr>
          <w:rFonts w:ascii="Arial"/>
          <w:spacing w:val="30"/>
        </w:rPr>
        <w:t xml:space="preserve"> </w:t>
      </w:r>
      <w:r>
        <w:rPr>
          <w:rFonts w:ascii="Arial"/>
          <w:spacing w:val="-1"/>
        </w:rPr>
        <w:t>number</w:t>
      </w:r>
      <w:r>
        <w:rPr>
          <w:rFonts w:ascii="Arial"/>
        </w:rPr>
        <w:t xml:space="preserve"> </w:t>
      </w:r>
      <w:r>
        <w:rPr>
          <w:rFonts w:ascii="Arial"/>
          <w:spacing w:val="27"/>
        </w:rPr>
        <w:t xml:space="preserve"> </w:t>
      </w:r>
      <w:r w:rsidRPr="007929F1">
        <w:rPr>
          <w:rFonts w:ascii="Arial"/>
          <w:highlight w:val="yellow"/>
        </w:rPr>
        <w:t>[</w:t>
      </w:r>
      <w:r w:rsidRPr="007929F1">
        <w:rPr>
          <w:rFonts w:ascii="Arial"/>
          <w:highlight w:val="yellow"/>
        </w:rPr>
        <w:tab/>
        <w:t>]</w:t>
      </w:r>
      <w:r>
        <w:rPr>
          <w:rFonts w:ascii="Arial"/>
          <w:spacing w:val="27"/>
        </w:rPr>
        <w:t xml:space="preserve"> </w:t>
      </w:r>
      <w:r w:rsidRPr="007929F1">
        <w:rPr>
          <w:rFonts w:ascii="Arial"/>
          <w:b/>
          <w:i/>
          <w:spacing w:val="-1"/>
          <w:highlight w:val="green"/>
        </w:rPr>
        <w:t>[Guidance</w:t>
      </w:r>
      <w:r w:rsidRPr="007929F1">
        <w:rPr>
          <w:rFonts w:ascii="Arial"/>
          <w:b/>
          <w:i/>
          <w:spacing w:val="28"/>
          <w:highlight w:val="green"/>
        </w:rPr>
        <w:t xml:space="preserve"> </w:t>
      </w:r>
      <w:r w:rsidRPr="007929F1">
        <w:rPr>
          <w:rFonts w:ascii="Arial"/>
          <w:b/>
          <w:i/>
          <w:spacing w:val="-1"/>
          <w:highlight w:val="green"/>
        </w:rPr>
        <w:t>note:</w:t>
      </w:r>
      <w:r w:rsidRPr="007929F1">
        <w:rPr>
          <w:rFonts w:ascii="Arial"/>
          <w:b/>
          <w:i/>
          <w:spacing w:val="27"/>
          <w:highlight w:val="green"/>
        </w:rPr>
        <w:t xml:space="preserve"> </w:t>
      </w:r>
      <w:r w:rsidRPr="007929F1">
        <w:rPr>
          <w:rFonts w:ascii="Arial"/>
          <w:b/>
          <w:i/>
          <w:spacing w:val="-1"/>
          <w:highlight w:val="green"/>
        </w:rPr>
        <w:t>specify</w:t>
      </w:r>
      <w:r w:rsidRPr="007929F1">
        <w:rPr>
          <w:rFonts w:ascii="Arial"/>
          <w:b/>
          <w:i/>
          <w:spacing w:val="26"/>
          <w:highlight w:val="green"/>
        </w:rPr>
        <w:t xml:space="preserve"> </w:t>
      </w:r>
      <w:r w:rsidRPr="007929F1">
        <w:rPr>
          <w:rFonts w:ascii="Arial"/>
          <w:b/>
          <w:i/>
          <w:spacing w:val="-1"/>
          <w:highlight w:val="green"/>
        </w:rPr>
        <w:t>unique</w:t>
      </w:r>
      <w:r w:rsidRPr="007929F1">
        <w:rPr>
          <w:rFonts w:ascii="Arial"/>
          <w:b/>
          <w:i/>
          <w:spacing w:val="26"/>
          <w:highlight w:val="green"/>
        </w:rPr>
        <w:t xml:space="preserve"> </w:t>
      </w:r>
      <w:r w:rsidRPr="007929F1">
        <w:rPr>
          <w:rFonts w:ascii="Arial"/>
          <w:b/>
          <w:i/>
          <w:spacing w:val="-1"/>
          <w:highlight w:val="green"/>
        </w:rPr>
        <w:t>Order</w:t>
      </w:r>
      <w:r w:rsidRPr="007929F1">
        <w:rPr>
          <w:rFonts w:ascii="Arial"/>
          <w:b/>
          <w:i/>
          <w:spacing w:val="24"/>
          <w:highlight w:val="green"/>
        </w:rPr>
        <w:t xml:space="preserve"> </w:t>
      </w:r>
      <w:r w:rsidRPr="007929F1">
        <w:rPr>
          <w:rFonts w:ascii="Arial"/>
          <w:b/>
          <w:i/>
          <w:spacing w:val="-1"/>
          <w:highlight w:val="green"/>
        </w:rPr>
        <w:t>Reference</w:t>
      </w:r>
      <w:r w:rsidRPr="007929F1">
        <w:rPr>
          <w:rFonts w:ascii="Arial"/>
          <w:b/>
          <w:i/>
          <w:highlight w:val="green"/>
        </w:rPr>
        <w:t xml:space="preserve"> </w:t>
      </w:r>
      <w:r w:rsidRPr="007929F1">
        <w:rPr>
          <w:rFonts w:ascii="Arial"/>
          <w:b/>
          <w:i/>
          <w:spacing w:val="-1"/>
          <w:highlight w:val="green"/>
        </w:rPr>
        <w:t>Number]</w:t>
      </w:r>
      <w:r w:rsidRPr="007929F1">
        <w:rPr>
          <w:rFonts w:ascii="Arial"/>
          <w:spacing w:val="-1"/>
          <w:highlight w:val="green"/>
        </w:rPr>
        <w:t>;</w:t>
      </w:r>
      <w:r w:rsidRPr="007929F1">
        <w:rPr>
          <w:rFonts w:ascii="Arial"/>
          <w:highlight w:val="green"/>
        </w:rPr>
        <w:t xml:space="preserve"> </w:t>
      </w:r>
      <w:r w:rsidRPr="007929F1">
        <w:rPr>
          <w:rFonts w:ascii="Arial"/>
          <w:spacing w:val="-3"/>
          <w:highlight w:val="green"/>
        </w:rPr>
        <w:t>and</w:t>
      </w:r>
    </w:p>
    <w:p w:rsidR="008918FA" w:rsidRDefault="008918FA" w:rsidP="008918FA">
      <w:pPr>
        <w:pStyle w:val="BodyText"/>
        <w:numPr>
          <w:ilvl w:val="3"/>
          <w:numId w:val="30"/>
        </w:numPr>
        <w:tabs>
          <w:tab w:val="left" w:pos="2735"/>
        </w:tabs>
        <w:ind w:right="116"/>
        <w:jc w:val="both"/>
      </w:pPr>
      <w:r>
        <w:t>a</w:t>
      </w:r>
      <w:r>
        <w:rPr>
          <w:spacing w:val="20"/>
        </w:rPr>
        <w:t xml:space="preserve"> </w:t>
      </w:r>
      <w:r>
        <w:rPr>
          <w:spacing w:val="-1"/>
        </w:rPr>
        <w:t>detailed</w:t>
      </w:r>
      <w:r>
        <w:rPr>
          <w:spacing w:val="20"/>
        </w:rPr>
        <w:t xml:space="preserve"> </w:t>
      </w:r>
      <w:r>
        <w:rPr>
          <w:spacing w:val="-1"/>
        </w:rPr>
        <w:t>breakdown</w:t>
      </w:r>
      <w:r>
        <w:rPr>
          <w:spacing w:val="19"/>
        </w:rPr>
        <w:t xml:space="preserve"> </w:t>
      </w:r>
      <w:r>
        <w:rPr>
          <w:spacing w:val="-1"/>
        </w:rPr>
        <w:t>of</w:t>
      </w:r>
      <w:r>
        <w:rPr>
          <w:spacing w:val="21"/>
        </w:rPr>
        <w:t xml:space="preserve"> </w:t>
      </w:r>
      <w:r>
        <w:t>the</w:t>
      </w:r>
      <w:r>
        <w:rPr>
          <w:spacing w:val="19"/>
        </w:rPr>
        <w:t xml:space="preserve"> </w:t>
      </w:r>
      <w:r>
        <w:rPr>
          <w:spacing w:val="-2"/>
        </w:rPr>
        <w:t>Delivered</w:t>
      </w:r>
      <w:r>
        <w:rPr>
          <w:spacing w:val="19"/>
        </w:rPr>
        <w:t xml:space="preserve"> </w:t>
      </w:r>
      <w:r>
        <w:rPr>
          <w:spacing w:val="-1"/>
        </w:rPr>
        <w:t>Goods</w:t>
      </w:r>
      <w:r>
        <w:rPr>
          <w:spacing w:val="20"/>
        </w:rPr>
        <w:t xml:space="preserve"> </w:t>
      </w:r>
      <w:r>
        <w:rPr>
          <w:spacing w:val="-1"/>
        </w:rPr>
        <w:t>and/or</w:t>
      </w:r>
      <w:r>
        <w:rPr>
          <w:spacing w:val="21"/>
        </w:rPr>
        <w:t xml:space="preserve"> </w:t>
      </w:r>
      <w:r>
        <w:rPr>
          <w:spacing w:val="-2"/>
        </w:rPr>
        <w:t>Services,</w:t>
      </w:r>
      <w:r>
        <w:rPr>
          <w:spacing w:val="40"/>
        </w:rPr>
        <w:t xml:space="preserve"> </w:t>
      </w:r>
      <w:r>
        <w:rPr>
          <w:spacing w:val="-2"/>
        </w:rPr>
        <w:t>including</w:t>
      </w:r>
      <w:r>
        <w:rPr>
          <w:spacing w:val="15"/>
        </w:rPr>
        <w:t xml:space="preserve"> </w:t>
      </w:r>
      <w:r>
        <w:t>the</w:t>
      </w:r>
      <w:r>
        <w:rPr>
          <w:spacing w:val="12"/>
        </w:rPr>
        <w:t xml:space="preserve"> </w:t>
      </w:r>
      <w:r>
        <w:rPr>
          <w:spacing w:val="-1"/>
        </w:rPr>
        <w:t>Milestone(s)</w:t>
      </w:r>
      <w:r>
        <w:rPr>
          <w:spacing w:val="14"/>
        </w:rPr>
        <w:t xml:space="preserve"> </w:t>
      </w:r>
      <w:r>
        <w:rPr>
          <w:spacing w:val="-2"/>
        </w:rPr>
        <w:t>(if</w:t>
      </w:r>
      <w:r>
        <w:rPr>
          <w:spacing w:val="16"/>
        </w:rPr>
        <w:t xml:space="preserve"> </w:t>
      </w:r>
      <w:r>
        <w:rPr>
          <w:spacing w:val="-2"/>
        </w:rPr>
        <w:t>any)</w:t>
      </w:r>
      <w:r>
        <w:rPr>
          <w:spacing w:val="14"/>
        </w:rPr>
        <w:t xml:space="preserve"> </w:t>
      </w:r>
      <w:r>
        <w:rPr>
          <w:spacing w:val="-1"/>
        </w:rPr>
        <w:t>and</w:t>
      </w:r>
      <w:r>
        <w:rPr>
          <w:spacing w:val="12"/>
        </w:rPr>
        <w:t xml:space="preserve"> </w:t>
      </w:r>
      <w:r>
        <w:rPr>
          <w:spacing w:val="-1"/>
        </w:rPr>
        <w:t>Deliverable(s)</w:t>
      </w:r>
      <w:r>
        <w:rPr>
          <w:spacing w:val="14"/>
        </w:rPr>
        <w:t xml:space="preserve"> </w:t>
      </w:r>
      <w:r>
        <w:rPr>
          <w:spacing w:val="-2"/>
        </w:rPr>
        <w:t>within</w:t>
      </w:r>
      <w:r>
        <w:rPr>
          <w:spacing w:val="12"/>
        </w:rPr>
        <w:t xml:space="preserve"> </w:t>
      </w:r>
      <w:r>
        <w:rPr>
          <w:spacing w:val="-1"/>
        </w:rPr>
        <w:t>this</w:t>
      </w:r>
      <w:r>
        <w:rPr>
          <w:spacing w:val="49"/>
        </w:rPr>
        <w:t xml:space="preserve"> </w:t>
      </w:r>
      <w:r>
        <w:rPr>
          <w:spacing w:val="-2"/>
        </w:rPr>
        <w:t>Call</w:t>
      </w:r>
      <w:r>
        <w:rPr>
          <w:spacing w:val="4"/>
        </w:rPr>
        <w:t xml:space="preserve"> </w:t>
      </w:r>
      <w:r>
        <w:t>Off</w:t>
      </w:r>
      <w:r>
        <w:rPr>
          <w:spacing w:val="9"/>
        </w:rPr>
        <w:t xml:space="preserve"> </w:t>
      </w:r>
      <w:r>
        <w:rPr>
          <w:spacing w:val="-1"/>
        </w:rPr>
        <w:t>Contract</w:t>
      </w:r>
      <w:r>
        <w:rPr>
          <w:spacing w:val="5"/>
        </w:rPr>
        <w:t xml:space="preserve"> </w:t>
      </w:r>
      <w:r>
        <w:t>to</w:t>
      </w:r>
      <w:r>
        <w:rPr>
          <w:spacing w:val="5"/>
        </w:rPr>
        <w:t xml:space="preserve"> </w:t>
      </w:r>
      <w:r>
        <w:rPr>
          <w:spacing w:val="-1"/>
        </w:rPr>
        <w:t>which</w:t>
      </w:r>
      <w:r>
        <w:rPr>
          <w:spacing w:val="5"/>
        </w:rPr>
        <w:t xml:space="preserve"> </w:t>
      </w:r>
      <w:r>
        <w:t>the</w:t>
      </w:r>
      <w:r>
        <w:rPr>
          <w:spacing w:val="5"/>
        </w:rPr>
        <w:t xml:space="preserve"> </w:t>
      </w:r>
      <w:r>
        <w:rPr>
          <w:spacing w:val="-1"/>
        </w:rPr>
        <w:t>Delivered</w:t>
      </w:r>
      <w:r>
        <w:rPr>
          <w:spacing w:val="5"/>
        </w:rPr>
        <w:t xml:space="preserve"> </w:t>
      </w:r>
      <w:r>
        <w:rPr>
          <w:spacing w:val="-1"/>
        </w:rPr>
        <w:t>Goods</w:t>
      </w:r>
      <w:r>
        <w:rPr>
          <w:spacing w:val="5"/>
        </w:rPr>
        <w:t xml:space="preserve"> </w:t>
      </w:r>
      <w:r>
        <w:t>and/or</w:t>
      </w:r>
      <w:r>
        <w:rPr>
          <w:spacing w:val="6"/>
        </w:rPr>
        <w:t xml:space="preserve"> </w:t>
      </w:r>
      <w:r>
        <w:rPr>
          <w:spacing w:val="-1"/>
        </w:rPr>
        <w:t>Services</w:t>
      </w:r>
      <w:r>
        <w:rPr>
          <w:spacing w:val="30"/>
        </w:rPr>
        <w:t xml:space="preserve"> </w:t>
      </w:r>
      <w:r>
        <w:rPr>
          <w:spacing w:val="-1"/>
        </w:rPr>
        <w:t>relate,</w:t>
      </w:r>
      <w:r>
        <w:rPr>
          <w:spacing w:val="4"/>
        </w:rPr>
        <w:t xml:space="preserve"> </w:t>
      </w:r>
      <w:r>
        <w:rPr>
          <w:spacing w:val="-1"/>
        </w:rPr>
        <w:t>against</w:t>
      </w:r>
      <w:r>
        <w:rPr>
          <w:spacing w:val="2"/>
        </w:rPr>
        <w:t xml:space="preserve"> </w:t>
      </w:r>
      <w:r>
        <w:t>the</w:t>
      </w:r>
      <w:r>
        <w:rPr>
          <w:spacing w:val="3"/>
        </w:rPr>
        <w:t xml:space="preserve"> </w:t>
      </w:r>
      <w:r>
        <w:rPr>
          <w:spacing w:val="-2"/>
        </w:rPr>
        <w:t>applicable</w:t>
      </w:r>
      <w:r>
        <w:rPr>
          <w:spacing w:val="3"/>
        </w:rPr>
        <w:t xml:space="preserve"> </w:t>
      </w:r>
      <w:r>
        <w:rPr>
          <w:spacing w:val="-1"/>
        </w:rPr>
        <w:t>due</w:t>
      </w:r>
      <w:r>
        <w:rPr>
          <w:spacing w:val="3"/>
        </w:rPr>
        <w:t xml:space="preserve"> </w:t>
      </w:r>
      <w:r>
        <w:rPr>
          <w:spacing w:val="-1"/>
        </w:rPr>
        <w:t>and</w:t>
      </w:r>
      <w:r>
        <w:rPr>
          <w:spacing w:val="3"/>
        </w:rPr>
        <w:t xml:space="preserve"> </w:t>
      </w:r>
      <w:r>
        <w:rPr>
          <w:spacing w:val="-1"/>
        </w:rPr>
        <w:t>payable</w:t>
      </w:r>
      <w:r>
        <w:rPr>
          <w:spacing w:val="5"/>
        </w:rPr>
        <w:t xml:space="preserve"> </w:t>
      </w:r>
      <w:r>
        <w:rPr>
          <w:spacing w:val="-1"/>
        </w:rPr>
        <w:t>Call</w:t>
      </w:r>
      <w:r>
        <w:rPr>
          <w:spacing w:val="2"/>
        </w:rPr>
        <w:t xml:space="preserve"> </w:t>
      </w:r>
      <w:r>
        <w:t>Off</w:t>
      </w:r>
      <w:r>
        <w:rPr>
          <w:spacing w:val="6"/>
        </w:rPr>
        <w:t xml:space="preserve"> </w:t>
      </w:r>
      <w:r>
        <w:rPr>
          <w:spacing w:val="-2"/>
        </w:rPr>
        <w:t>Contract</w:t>
      </w:r>
      <w:r>
        <w:rPr>
          <w:spacing w:val="52"/>
        </w:rPr>
        <w:t xml:space="preserve"> </w:t>
      </w:r>
      <w:r>
        <w:rPr>
          <w:spacing w:val="-1"/>
        </w:rPr>
        <w:t>Charges;</w:t>
      </w:r>
      <w:r>
        <w:t xml:space="preserve"> </w:t>
      </w:r>
      <w:r>
        <w:rPr>
          <w:spacing w:val="-1"/>
        </w:rPr>
        <w:t>and</w:t>
      </w:r>
    </w:p>
    <w:p w:rsidR="008918FA" w:rsidRDefault="008918FA" w:rsidP="008918FA">
      <w:pPr>
        <w:pStyle w:val="BodyText"/>
        <w:numPr>
          <w:ilvl w:val="2"/>
          <w:numId w:val="30"/>
        </w:numPr>
        <w:tabs>
          <w:tab w:val="left" w:pos="2027"/>
        </w:tabs>
      </w:pPr>
      <w:r>
        <w:rPr>
          <w:spacing w:val="-2"/>
        </w:rPr>
        <w:t>shows</w:t>
      </w:r>
      <w:r>
        <w:rPr>
          <w:spacing w:val="1"/>
        </w:rPr>
        <w:t xml:space="preserve"> </w:t>
      </w:r>
      <w:r>
        <w:rPr>
          <w:spacing w:val="-1"/>
        </w:rPr>
        <w:t>separately:</w:t>
      </w:r>
    </w:p>
    <w:p w:rsidR="008918FA" w:rsidRDefault="008918FA" w:rsidP="008918FA">
      <w:pPr>
        <w:pStyle w:val="BodyText"/>
        <w:numPr>
          <w:ilvl w:val="3"/>
          <w:numId w:val="30"/>
        </w:numPr>
        <w:tabs>
          <w:tab w:val="left" w:pos="2735"/>
        </w:tabs>
        <w:spacing w:before="121"/>
      </w:pPr>
      <w:r>
        <w:rPr>
          <w:spacing w:val="-1"/>
        </w:rPr>
        <w:t>any</w:t>
      </w:r>
      <w:r>
        <w:rPr>
          <w:spacing w:val="-2"/>
        </w:rPr>
        <w:t xml:space="preserve"> Service</w:t>
      </w:r>
      <w:r>
        <w:rPr>
          <w:spacing w:val="1"/>
        </w:rPr>
        <w:t xml:space="preserve"> </w:t>
      </w:r>
      <w:r>
        <w:rPr>
          <w:spacing w:val="-1"/>
        </w:rPr>
        <w:t>Credits</w:t>
      </w:r>
      <w:r>
        <w:rPr>
          <w:spacing w:val="1"/>
        </w:rPr>
        <w:t xml:space="preserve"> </w:t>
      </w:r>
      <w:r>
        <w:rPr>
          <w:spacing w:val="-1"/>
        </w:rPr>
        <w:t>due</w:t>
      </w:r>
      <w:r>
        <w:rPr>
          <w:spacing w:val="-2"/>
        </w:rPr>
        <w:t xml:space="preserve"> </w:t>
      </w:r>
      <w:r>
        <w:t>to</w:t>
      </w:r>
      <w:r>
        <w:rPr>
          <w:spacing w:val="-2"/>
        </w:rPr>
        <w:t xml:space="preserve"> </w:t>
      </w:r>
      <w:r>
        <w:t xml:space="preserve">the </w:t>
      </w:r>
      <w:r>
        <w:rPr>
          <w:spacing w:val="-1"/>
        </w:rPr>
        <w:t>Customer;</w:t>
      </w:r>
      <w:r>
        <w:t xml:space="preserve"> </w:t>
      </w:r>
      <w:r>
        <w:rPr>
          <w:spacing w:val="-1"/>
        </w:rPr>
        <w:t>and</w:t>
      </w:r>
    </w:p>
    <w:p w:rsidR="008918FA" w:rsidRDefault="008918FA" w:rsidP="008918FA">
      <w:pPr>
        <w:pStyle w:val="BodyText"/>
        <w:numPr>
          <w:ilvl w:val="3"/>
          <w:numId w:val="30"/>
        </w:numPr>
        <w:tabs>
          <w:tab w:val="left" w:pos="2735"/>
        </w:tabs>
        <w:ind w:right="115"/>
        <w:jc w:val="both"/>
      </w:pPr>
      <w:r>
        <w:t>the</w:t>
      </w:r>
      <w:r>
        <w:rPr>
          <w:spacing w:val="14"/>
        </w:rPr>
        <w:t xml:space="preserve"> </w:t>
      </w:r>
      <w:r>
        <w:rPr>
          <w:spacing w:val="-1"/>
        </w:rPr>
        <w:t>VAT</w:t>
      </w:r>
      <w:r>
        <w:rPr>
          <w:spacing w:val="16"/>
        </w:rPr>
        <w:t xml:space="preserve"> </w:t>
      </w:r>
      <w:r>
        <w:rPr>
          <w:spacing w:val="-1"/>
        </w:rPr>
        <w:t>added</w:t>
      </w:r>
      <w:r>
        <w:rPr>
          <w:spacing w:val="14"/>
        </w:rPr>
        <w:t xml:space="preserve"> </w:t>
      </w:r>
      <w:r>
        <w:t>to</w:t>
      </w:r>
      <w:r>
        <w:rPr>
          <w:spacing w:val="11"/>
        </w:rPr>
        <w:t xml:space="preserve"> </w:t>
      </w:r>
      <w:r>
        <w:t>the</w:t>
      </w:r>
      <w:r>
        <w:rPr>
          <w:spacing w:val="11"/>
        </w:rPr>
        <w:t xml:space="preserve"> </w:t>
      </w:r>
      <w:r>
        <w:rPr>
          <w:spacing w:val="-1"/>
        </w:rPr>
        <w:t>due</w:t>
      </w:r>
      <w:r>
        <w:rPr>
          <w:spacing w:val="14"/>
        </w:rPr>
        <w:t xml:space="preserve"> </w:t>
      </w:r>
      <w:r>
        <w:rPr>
          <w:spacing w:val="-1"/>
        </w:rPr>
        <w:t>and</w:t>
      </w:r>
      <w:r>
        <w:rPr>
          <w:spacing w:val="14"/>
        </w:rPr>
        <w:t xml:space="preserve"> </w:t>
      </w:r>
      <w:r>
        <w:rPr>
          <w:spacing w:val="-1"/>
        </w:rPr>
        <w:t>payable</w:t>
      </w:r>
      <w:r>
        <w:rPr>
          <w:spacing w:val="14"/>
        </w:rPr>
        <w:t xml:space="preserve"> </w:t>
      </w:r>
      <w:r>
        <w:rPr>
          <w:spacing w:val="-1"/>
        </w:rPr>
        <w:t>Call</w:t>
      </w:r>
      <w:r>
        <w:rPr>
          <w:spacing w:val="15"/>
        </w:rPr>
        <w:t xml:space="preserve"> </w:t>
      </w:r>
      <w:r>
        <w:rPr>
          <w:spacing w:val="-1"/>
        </w:rPr>
        <w:t>Off</w:t>
      </w:r>
      <w:r>
        <w:rPr>
          <w:spacing w:val="17"/>
        </w:rPr>
        <w:t xml:space="preserve"> </w:t>
      </w:r>
      <w:r>
        <w:rPr>
          <w:spacing w:val="-2"/>
        </w:rPr>
        <w:t>Contract</w:t>
      </w:r>
      <w:r>
        <w:rPr>
          <w:spacing w:val="28"/>
        </w:rPr>
        <w:t xml:space="preserve"> </w:t>
      </w:r>
      <w:r>
        <w:rPr>
          <w:spacing w:val="-1"/>
        </w:rPr>
        <w:t>Charges</w:t>
      </w:r>
      <w:r>
        <w:rPr>
          <w:spacing w:val="9"/>
        </w:rPr>
        <w:t xml:space="preserve"> </w:t>
      </w:r>
      <w:r>
        <w:rPr>
          <w:spacing w:val="-1"/>
        </w:rPr>
        <w:t>in</w:t>
      </w:r>
      <w:r>
        <w:rPr>
          <w:spacing w:val="9"/>
        </w:rPr>
        <w:t xml:space="preserve"> </w:t>
      </w:r>
      <w:r>
        <w:rPr>
          <w:spacing w:val="-1"/>
        </w:rPr>
        <w:t>accordance</w:t>
      </w:r>
      <w:r>
        <w:rPr>
          <w:spacing w:val="7"/>
        </w:rPr>
        <w:t xml:space="preserve"> </w:t>
      </w:r>
      <w:r>
        <w:rPr>
          <w:spacing w:val="-1"/>
        </w:rPr>
        <w:t>with</w:t>
      </w:r>
      <w:r>
        <w:rPr>
          <w:spacing w:val="9"/>
        </w:rPr>
        <w:t xml:space="preserve"> </w:t>
      </w:r>
      <w:r>
        <w:rPr>
          <w:spacing w:val="-2"/>
        </w:rPr>
        <w:t>Clause</w:t>
      </w:r>
      <w:r>
        <w:rPr>
          <w:spacing w:val="9"/>
        </w:rPr>
        <w:t xml:space="preserve"> </w:t>
      </w:r>
      <w:hyperlink w:anchor="_bookmark128" w:history="1">
        <w:r>
          <w:rPr>
            <w:spacing w:val="-1"/>
          </w:rPr>
          <w:t>23.2.1</w:t>
        </w:r>
      </w:hyperlink>
      <w:r>
        <w:rPr>
          <w:spacing w:val="10"/>
        </w:rPr>
        <w:t xml:space="preserve"> </w:t>
      </w:r>
      <w:r>
        <w:rPr>
          <w:spacing w:val="-2"/>
        </w:rPr>
        <w:t>of</w:t>
      </w:r>
      <w:r>
        <w:rPr>
          <w:spacing w:val="10"/>
        </w:rPr>
        <w:t xml:space="preserve"> </w:t>
      </w:r>
      <w:r>
        <w:rPr>
          <w:spacing w:val="-1"/>
        </w:rPr>
        <w:t>this</w:t>
      </w:r>
      <w:r>
        <w:rPr>
          <w:spacing w:val="9"/>
        </w:rPr>
        <w:t xml:space="preserve"> </w:t>
      </w:r>
      <w:r>
        <w:rPr>
          <w:spacing w:val="-2"/>
        </w:rPr>
        <w:t>Call</w:t>
      </w:r>
      <w:r>
        <w:rPr>
          <w:spacing w:val="8"/>
        </w:rPr>
        <w:t xml:space="preserve"> </w:t>
      </w:r>
      <w:r>
        <w:rPr>
          <w:spacing w:val="-1"/>
        </w:rPr>
        <w:t>Off</w:t>
      </w:r>
      <w:r>
        <w:rPr>
          <w:spacing w:val="49"/>
        </w:rPr>
        <w:t xml:space="preserve"> </w:t>
      </w:r>
      <w:r>
        <w:rPr>
          <w:spacing w:val="-1"/>
        </w:rPr>
        <w:t>Contract</w:t>
      </w:r>
      <w:r>
        <w:rPr>
          <w:spacing w:val="2"/>
        </w:rPr>
        <w:t xml:space="preserve"> </w:t>
      </w:r>
      <w:r>
        <w:rPr>
          <w:spacing w:val="-2"/>
        </w:rPr>
        <w:t>(VAT)</w:t>
      </w:r>
      <w:r>
        <w:rPr>
          <w:spacing w:val="2"/>
        </w:rPr>
        <w:t xml:space="preserve"> </w:t>
      </w:r>
      <w:r>
        <w:rPr>
          <w:spacing w:val="-1"/>
        </w:rPr>
        <w:t>and</w:t>
      </w:r>
      <w:r>
        <w:rPr>
          <w:spacing w:val="-2"/>
        </w:rPr>
        <w:t xml:space="preserve"> </w:t>
      </w:r>
      <w:r>
        <w:t>the</w:t>
      </w:r>
      <w:r>
        <w:rPr>
          <w:spacing w:val="-2"/>
        </w:rPr>
        <w:t xml:space="preserve"> </w:t>
      </w:r>
      <w:r>
        <w:rPr>
          <w:spacing w:val="-1"/>
        </w:rPr>
        <w:t>tax</w:t>
      </w:r>
      <w:r>
        <w:rPr>
          <w:spacing w:val="-2"/>
        </w:rPr>
        <w:t xml:space="preserve"> </w:t>
      </w:r>
      <w:r>
        <w:rPr>
          <w:spacing w:val="-1"/>
        </w:rPr>
        <w:t>point</w:t>
      </w:r>
      <w:r>
        <w:rPr>
          <w:spacing w:val="2"/>
        </w:rPr>
        <w:t xml:space="preserve"> </w:t>
      </w:r>
      <w:r>
        <w:rPr>
          <w:spacing w:val="-1"/>
        </w:rPr>
        <w:t>date</w:t>
      </w:r>
      <w:r>
        <w:rPr>
          <w:spacing w:val="-2"/>
        </w:rPr>
        <w:t xml:space="preserve"> </w:t>
      </w:r>
      <w:r>
        <w:rPr>
          <w:spacing w:val="-1"/>
        </w:rPr>
        <w:t>relating</w:t>
      </w:r>
      <w:r>
        <w:t xml:space="preserve"> to</w:t>
      </w:r>
      <w:r>
        <w:rPr>
          <w:spacing w:val="-2"/>
        </w:rPr>
        <w:t xml:space="preserve"> </w:t>
      </w:r>
      <w:r>
        <w:rPr>
          <w:spacing w:val="-1"/>
        </w:rPr>
        <w:t>the</w:t>
      </w:r>
      <w:r>
        <w:t xml:space="preserve"> rate</w:t>
      </w:r>
      <w:r>
        <w:rPr>
          <w:spacing w:val="-2"/>
        </w:rPr>
        <w:t xml:space="preserve"> of</w:t>
      </w:r>
      <w:r>
        <w:rPr>
          <w:spacing w:val="2"/>
        </w:rPr>
        <w:t xml:space="preserve"> </w:t>
      </w:r>
      <w:r>
        <w:rPr>
          <w:spacing w:val="-2"/>
        </w:rPr>
        <w:t>VAT</w:t>
      </w:r>
      <w:r>
        <w:rPr>
          <w:spacing w:val="25"/>
        </w:rPr>
        <w:t xml:space="preserve"> </w:t>
      </w:r>
      <w:r>
        <w:rPr>
          <w:spacing w:val="-2"/>
        </w:rPr>
        <w:t>shown;</w:t>
      </w:r>
      <w:r>
        <w:rPr>
          <w:spacing w:val="2"/>
        </w:rPr>
        <w:t xml:space="preserve"> </w:t>
      </w:r>
      <w:r>
        <w:rPr>
          <w:spacing w:val="-1"/>
        </w:rPr>
        <w:t>and</w:t>
      </w:r>
    </w:p>
    <w:p w:rsidR="008918FA" w:rsidRDefault="008918FA" w:rsidP="008918FA">
      <w:pPr>
        <w:pStyle w:val="BodyText"/>
        <w:numPr>
          <w:ilvl w:val="2"/>
          <w:numId w:val="30"/>
        </w:numPr>
        <w:tabs>
          <w:tab w:val="left" w:pos="2027"/>
        </w:tabs>
        <w:spacing w:before="121"/>
        <w:ind w:right="118"/>
        <w:jc w:val="both"/>
      </w:pPr>
      <w:r>
        <w:rPr>
          <w:spacing w:val="-1"/>
        </w:rPr>
        <w:t>is</w:t>
      </w:r>
      <w:r>
        <w:rPr>
          <w:spacing w:val="39"/>
        </w:rPr>
        <w:t xml:space="preserve"> </w:t>
      </w:r>
      <w:r>
        <w:rPr>
          <w:spacing w:val="-1"/>
        </w:rPr>
        <w:t>exclusive</w:t>
      </w:r>
      <w:r>
        <w:rPr>
          <w:spacing w:val="39"/>
        </w:rPr>
        <w:t xml:space="preserve"> </w:t>
      </w:r>
      <w:r>
        <w:rPr>
          <w:spacing w:val="-1"/>
        </w:rPr>
        <w:t>of</w:t>
      </w:r>
      <w:r>
        <w:rPr>
          <w:spacing w:val="42"/>
        </w:rPr>
        <w:t xml:space="preserve"> </w:t>
      </w:r>
      <w:r>
        <w:rPr>
          <w:spacing w:val="-1"/>
        </w:rPr>
        <w:t>any</w:t>
      </w:r>
      <w:r>
        <w:rPr>
          <w:spacing w:val="39"/>
        </w:rPr>
        <w:t xml:space="preserve"> </w:t>
      </w:r>
      <w:r>
        <w:rPr>
          <w:spacing w:val="-1"/>
        </w:rPr>
        <w:t>Management</w:t>
      </w:r>
      <w:r>
        <w:rPr>
          <w:spacing w:val="40"/>
        </w:rPr>
        <w:t xml:space="preserve"> </w:t>
      </w:r>
      <w:r>
        <w:rPr>
          <w:spacing w:val="-1"/>
        </w:rPr>
        <w:t>Charge</w:t>
      </w:r>
      <w:r>
        <w:rPr>
          <w:spacing w:val="36"/>
        </w:rPr>
        <w:t xml:space="preserve"> </w:t>
      </w:r>
      <w:r>
        <w:rPr>
          <w:spacing w:val="-1"/>
          <w:sz w:val="20"/>
        </w:rPr>
        <w:t>(</w:t>
      </w:r>
      <w:r>
        <w:rPr>
          <w:spacing w:val="-1"/>
        </w:rPr>
        <w:t>and</w:t>
      </w:r>
      <w:r>
        <w:rPr>
          <w:spacing w:val="38"/>
        </w:rPr>
        <w:t xml:space="preserve"> </w:t>
      </w:r>
      <w:r>
        <w:rPr>
          <w:spacing w:val="-1"/>
        </w:rPr>
        <w:t>the</w:t>
      </w:r>
      <w:r>
        <w:rPr>
          <w:spacing w:val="38"/>
        </w:rPr>
        <w:t xml:space="preserve"> </w:t>
      </w:r>
      <w:r>
        <w:rPr>
          <w:spacing w:val="-2"/>
        </w:rPr>
        <w:t>Supplier</w:t>
      </w:r>
      <w:r>
        <w:rPr>
          <w:spacing w:val="40"/>
        </w:rPr>
        <w:t xml:space="preserve"> </w:t>
      </w:r>
      <w:r>
        <w:rPr>
          <w:spacing w:val="-1"/>
        </w:rPr>
        <w:t>shall</w:t>
      </w:r>
      <w:r>
        <w:rPr>
          <w:spacing w:val="38"/>
        </w:rPr>
        <w:t xml:space="preserve"> </w:t>
      </w:r>
      <w:r>
        <w:rPr>
          <w:spacing w:val="-1"/>
        </w:rPr>
        <w:t>not</w:t>
      </w:r>
      <w:r>
        <w:rPr>
          <w:spacing w:val="40"/>
        </w:rPr>
        <w:t xml:space="preserve"> </w:t>
      </w:r>
      <w:r>
        <w:rPr>
          <w:spacing w:val="-1"/>
        </w:rPr>
        <w:t>attempt</w:t>
      </w:r>
      <w:r>
        <w:rPr>
          <w:spacing w:val="4"/>
        </w:rPr>
        <w:t xml:space="preserve"> </w:t>
      </w:r>
      <w:r>
        <w:t>to</w:t>
      </w:r>
      <w:r>
        <w:rPr>
          <w:spacing w:val="3"/>
        </w:rPr>
        <w:t xml:space="preserve"> </w:t>
      </w:r>
      <w:r>
        <w:rPr>
          <w:spacing w:val="-1"/>
        </w:rPr>
        <w:t>increase</w:t>
      </w:r>
      <w:r>
        <w:rPr>
          <w:spacing w:val="3"/>
        </w:rPr>
        <w:t xml:space="preserve"> </w:t>
      </w:r>
      <w:r>
        <w:t>the</w:t>
      </w:r>
      <w:r>
        <w:rPr>
          <w:spacing w:val="3"/>
        </w:rPr>
        <w:t xml:space="preserve"> </w:t>
      </w:r>
      <w:r>
        <w:rPr>
          <w:spacing w:val="-2"/>
        </w:rPr>
        <w:t>Call</w:t>
      </w:r>
      <w:r>
        <w:rPr>
          <w:spacing w:val="4"/>
        </w:rPr>
        <w:t xml:space="preserve"> </w:t>
      </w:r>
      <w:r>
        <w:rPr>
          <w:spacing w:val="-1"/>
        </w:rPr>
        <w:t>Off</w:t>
      </w:r>
      <w:r>
        <w:rPr>
          <w:spacing w:val="7"/>
        </w:rPr>
        <w:t xml:space="preserve"> </w:t>
      </w:r>
      <w:r>
        <w:rPr>
          <w:spacing w:val="-1"/>
        </w:rPr>
        <w:t>Contract</w:t>
      </w:r>
      <w:r>
        <w:rPr>
          <w:spacing w:val="5"/>
        </w:rPr>
        <w:t xml:space="preserve"> </w:t>
      </w:r>
      <w:r>
        <w:rPr>
          <w:spacing w:val="-1"/>
        </w:rPr>
        <w:t>Charges</w:t>
      </w:r>
      <w:r>
        <w:rPr>
          <w:spacing w:val="5"/>
        </w:rPr>
        <w:t xml:space="preserve"> </w:t>
      </w:r>
      <w:r>
        <w:rPr>
          <w:spacing w:val="-1"/>
        </w:rPr>
        <w:t>or</w:t>
      </w:r>
      <w:r>
        <w:rPr>
          <w:spacing w:val="6"/>
        </w:rPr>
        <w:t xml:space="preserve"> </w:t>
      </w:r>
      <w:r>
        <w:rPr>
          <w:spacing w:val="-2"/>
        </w:rPr>
        <w:t>otherwise</w:t>
      </w:r>
      <w:r>
        <w:rPr>
          <w:spacing w:val="5"/>
        </w:rPr>
        <w:t xml:space="preserve"> </w:t>
      </w:r>
      <w:r>
        <w:rPr>
          <w:spacing w:val="-1"/>
        </w:rPr>
        <w:t>recover</w:t>
      </w:r>
      <w:r>
        <w:rPr>
          <w:spacing w:val="38"/>
        </w:rPr>
        <w:t xml:space="preserve"> </w:t>
      </w:r>
      <w:r>
        <w:rPr>
          <w:spacing w:val="-1"/>
        </w:rPr>
        <w:t>from</w:t>
      </w:r>
      <w:r>
        <w:rPr>
          <w:spacing w:val="14"/>
        </w:rPr>
        <w:t xml:space="preserve"> </w:t>
      </w:r>
      <w:r>
        <w:t>the</w:t>
      </w:r>
      <w:r>
        <w:rPr>
          <w:spacing w:val="15"/>
        </w:rPr>
        <w:t xml:space="preserve"> </w:t>
      </w:r>
      <w:r>
        <w:rPr>
          <w:spacing w:val="-2"/>
        </w:rPr>
        <w:t>Customer</w:t>
      </w:r>
      <w:r>
        <w:rPr>
          <w:spacing w:val="16"/>
        </w:rPr>
        <w:t xml:space="preserve"> </w:t>
      </w:r>
      <w:r>
        <w:rPr>
          <w:spacing w:val="-1"/>
        </w:rPr>
        <w:t>as</w:t>
      </w:r>
      <w:r>
        <w:rPr>
          <w:spacing w:val="15"/>
        </w:rPr>
        <w:t xml:space="preserve"> </w:t>
      </w:r>
      <w:r>
        <w:t>a</w:t>
      </w:r>
      <w:r>
        <w:rPr>
          <w:spacing w:val="10"/>
        </w:rPr>
        <w:t xml:space="preserve"> </w:t>
      </w:r>
      <w:r>
        <w:rPr>
          <w:spacing w:val="-1"/>
        </w:rPr>
        <w:t>surcharge</w:t>
      </w:r>
      <w:r>
        <w:rPr>
          <w:spacing w:val="12"/>
        </w:rPr>
        <w:t xml:space="preserve"> </w:t>
      </w:r>
      <w:r>
        <w:t>the</w:t>
      </w:r>
      <w:r>
        <w:rPr>
          <w:spacing w:val="12"/>
        </w:rPr>
        <w:t xml:space="preserve"> </w:t>
      </w:r>
      <w:r>
        <w:rPr>
          <w:spacing w:val="-1"/>
        </w:rPr>
        <w:t>Management</w:t>
      </w:r>
      <w:r>
        <w:rPr>
          <w:spacing w:val="16"/>
        </w:rPr>
        <w:t xml:space="preserve"> </w:t>
      </w:r>
      <w:r>
        <w:rPr>
          <w:spacing w:val="-1"/>
        </w:rPr>
        <w:t>Charge</w:t>
      </w:r>
      <w:r>
        <w:rPr>
          <w:spacing w:val="12"/>
        </w:rPr>
        <w:t xml:space="preserve"> </w:t>
      </w:r>
      <w:r>
        <w:rPr>
          <w:spacing w:val="-2"/>
        </w:rPr>
        <w:t>levied</w:t>
      </w:r>
      <w:r>
        <w:rPr>
          <w:spacing w:val="15"/>
        </w:rPr>
        <w:t xml:space="preserve"> </w:t>
      </w:r>
      <w:r>
        <w:rPr>
          <w:spacing w:val="-1"/>
        </w:rPr>
        <w:t>on</w:t>
      </w:r>
      <w:r>
        <w:rPr>
          <w:spacing w:val="42"/>
        </w:rPr>
        <w:t xml:space="preserve"> </w:t>
      </w:r>
      <w:r>
        <w:rPr>
          <w:spacing w:val="-1"/>
        </w:rPr>
        <w:t>it</w:t>
      </w:r>
      <w:r>
        <w:rPr>
          <w:spacing w:val="2"/>
        </w:rPr>
        <w:t xml:space="preserve"> </w:t>
      </w:r>
      <w:r>
        <w:rPr>
          <w:spacing w:val="-1"/>
        </w:rPr>
        <w:t>by</w:t>
      </w:r>
      <w:r>
        <w:rPr>
          <w:spacing w:val="-2"/>
        </w:rPr>
        <w:t xml:space="preserve"> </w:t>
      </w:r>
      <w:r>
        <w:t xml:space="preserve">the </w:t>
      </w:r>
      <w:r>
        <w:rPr>
          <w:spacing w:val="-1"/>
        </w:rPr>
        <w:t>Authority);</w:t>
      </w:r>
      <w:r>
        <w:rPr>
          <w:spacing w:val="2"/>
        </w:rPr>
        <w:t xml:space="preserve"> </w:t>
      </w:r>
      <w:r>
        <w:rPr>
          <w:spacing w:val="-1"/>
        </w:rPr>
        <w:t>and</w:t>
      </w:r>
    </w:p>
    <w:p w:rsidR="008918FA" w:rsidRDefault="008918FA" w:rsidP="008918FA">
      <w:pPr>
        <w:pStyle w:val="BodyText"/>
        <w:numPr>
          <w:ilvl w:val="2"/>
          <w:numId w:val="30"/>
        </w:numPr>
        <w:tabs>
          <w:tab w:val="left" w:pos="2027"/>
        </w:tabs>
        <w:ind w:right="117"/>
        <w:jc w:val="both"/>
      </w:pPr>
      <w:r>
        <w:rPr>
          <w:spacing w:val="-1"/>
        </w:rPr>
        <w:t>it</w:t>
      </w:r>
      <w:r>
        <w:rPr>
          <w:spacing w:val="11"/>
        </w:rPr>
        <w:t xml:space="preserve"> </w:t>
      </w:r>
      <w:r>
        <w:rPr>
          <w:spacing w:val="-1"/>
        </w:rPr>
        <w:t>is</w:t>
      </w:r>
      <w:r>
        <w:rPr>
          <w:spacing w:val="10"/>
        </w:rPr>
        <w:t xml:space="preserve"> </w:t>
      </w:r>
      <w:r>
        <w:rPr>
          <w:spacing w:val="-1"/>
        </w:rPr>
        <w:t>supported</w:t>
      </w:r>
      <w:r>
        <w:rPr>
          <w:spacing w:val="10"/>
        </w:rPr>
        <w:t xml:space="preserve"> </w:t>
      </w:r>
      <w:r>
        <w:rPr>
          <w:spacing w:val="-1"/>
        </w:rPr>
        <w:t>by</w:t>
      </w:r>
      <w:r>
        <w:rPr>
          <w:spacing w:val="8"/>
        </w:rPr>
        <w:t xml:space="preserve"> </w:t>
      </w:r>
      <w:r>
        <w:rPr>
          <w:spacing w:val="-1"/>
        </w:rPr>
        <w:t>any</w:t>
      </w:r>
      <w:r>
        <w:rPr>
          <w:spacing w:val="8"/>
        </w:rPr>
        <w:t xml:space="preserve"> </w:t>
      </w:r>
      <w:r>
        <w:rPr>
          <w:spacing w:val="-1"/>
        </w:rPr>
        <w:t>other</w:t>
      </w:r>
      <w:r>
        <w:rPr>
          <w:spacing w:val="11"/>
        </w:rPr>
        <w:t xml:space="preserve"> </w:t>
      </w:r>
      <w:r>
        <w:rPr>
          <w:spacing w:val="-1"/>
        </w:rPr>
        <w:t>documentation</w:t>
      </w:r>
      <w:r>
        <w:rPr>
          <w:spacing w:val="10"/>
        </w:rPr>
        <w:t xml:space="preserve"> </w:t>
      </w:r>
      <w:r>
        <w:rPr>
          <w:spacing w:val="-2"/>
        </w:rPr>
        <w:t>reasonably</w:t>
      </w:r>
      <w:r>
        <w:rPr>
          <w:spacing w:val="8"/>
        </w:rPr>
        <w:t xml:space="preserve"> </w:t>
      </w:r>
      <w:r>
        <w:rPr>
          <w:spacing w:val="-1"/>
        </w:rPr>
        <w:t>required</w:t>
      </w:r>
      <w:r>
        <w:rPr>
          <w:spacing w:val="10"/>
        </w:rPr>
        <w:t xml:space="preserve"> </w:t>
      </w:r>
      <w:r>
        <w:rPr>
          <w:spacing w:val="-1"/>
        </w:rPr>
        <w:t>by</w:t>
      </w:r>
      <w:r>
        <w:rPr>
          <w:spacing w:val="8"/>
        </w:rPr>
        <w:t xml:space="preserve"> </w:t>
      </w:r>
      <w:r>
        <w:rPr>
          <w:spacing w:val="-1"/>
        </w:rPr>
        <w:t>the</w:t>
      </w:r>
      <w:r>
        <w:rPr>
          <w:spacing w:val="60"/>
        </w:rPr>
        <w:t xml:space="preserve"> </w:t>
      </w:r>
      <w:r>
        <w:rPr>
          <w:spacing w:val="-1"/>
        </w:rPr>
        <w:t xml:space="preserve">Customer </w:t>
      </w:r>
      <w:r>
        <w:t xml:space="preserve">to </w:t>
      </w:r>
      <w:r>
        <w:rPr>
          <w:spacing w:val="-1"/>
        </w:rPr>
        <w:t>substantiate</w:t>
      </w:r>
      <w:r>
        <w:rPr>
          <w:spacing w:val="-2"/>
        </w:rPr>
        <w:t xml:space="preserve"> </w:t>
      </w:r>
      <w:r>
        <w:rPr>
          <w:spacing w:val="-1"/>
        </w:rPr>
        <w:t>that</w:t>
      </w:r>
      <w:r>
        <w:t xml:space="preserve"> the </w:t>
      </w:r>
      <w:r>
        <w:rPr>
          <w:spacing w:val="-2"/>
        </w:rPr>
        <w:t>invoice</w:t>
      </w:r>
      <w:r>
        <w:rPr>
          <w:spacing w:val="1"/>
        </w:rPr>
        <w:t xml:space="preserve"> </w:t>
      </w:r>
      <w:r>
        <w:rPr>
          <w:spacing w:val="-1"/>
        </w:rPr>
        <w:t>is</w:t>
      </w:r>
      <w:r>
        <w:rPr>
          <w:spacing w:val="1"/>
        </w:rPr>
        <w:t xml:space="preserve"> </w:t>
      </w:r>
      <w:r>
        <w:t xml:space="preserve">a </w:t>
      </w:r>
      <w:r>
        <w:rPr>
          <w:spacing w:val="-2"/>
        </w:rPr>
        <w:t>Valid</w:t>
      </w:r>
      <w:r>
        <w:t xml:space="preserve"> </w:t>
      </w:r>
      <w:r>
        <w:rPr>
          <w:spacing w:val="-1"/>
        </w:rPr>
        <w:t>Invoice.</w:t>
      </w:r>
    </w:p>
    <w:p w:rsidR="008918FA" w:rsidRDefault="008918FA" w:rsidP="008918FA">
      <w:pPr>
        <w:pStyle w:val="BodyText"/>
        <w:numPr>
          <w:ilvl w:val="1"/>
          <w:numId w:val="30"/>
        </w:numPr>
        <w:tabs>
          <w:tab w:val="left" w:pos="829"/>
        </w:tabs>
        <w:ind w:right="115"/>
        <w:jc w:val="both"/>
      </w:pPr>
      <w:r>
        <w:t>The</w:t>
      </w:r>
      <w:r>
        <w:rPr>
          <w:spacing w:val="2"/>
        </w:rPr>
        <w:t xml:space="preserve"> </w:t>
      </w:r>
      <w:r>
        <w:rPr>
          <w:spacing w:val="-2"/>
        </w:rPr>
        <w:t>Supplier</w:t>
      </w:r>
      <w:r>
        <w:rPr>
          <w:spacing w:val="3"/>
        </w:rPr>
        <w:t xml:space="preserve"> </w:t>
      </w:r>
      <w:r>
        <w:rPr>
          <w:spacing w:val="-1"/>
        </w:rPr>
        <w:t>shall</w:t>
      </w:r>
      <w:r>
        <w:rPr>
          <w:spacing w:val="1"/>
        </w:rPr>
        <w:t xml:space="preserve"> </w:t>
      </w:r>
      <w:r>
        <w:rPr>
          <w:spacing w:val="-1"/>
        </w:rPr>
        <w:t>accept</w:t>
      </w:r>
      <w:r>
        <w:rPr>
          <w:spacing w:val="3"/>
        </w:rPr>
        <w:t xml:space="preserve"> </w:t>
      </w:r>
      <w:r>
        <w:t>the</w:t>
      </w:r>
      <w:r>
        <w:rPr>
          <w:spacing w:val="2"/>
        </w:rPr>
        <w:t xml:space="preserve"> </w:t>
      </w:r>
      <w:r>
        <w:rPr>
          <w:spacing w:val="-1"/>
        </w:rPr>
        <w:t>Government</w:t>
      </w:r>
      <w:r>
        <w:rPr>
          <w:spacing w:val="3"/>
        </w:rPr>
        <w:t xml:space="preserve"> </w:t>
      </w:r>
      <w:r>
        <w:rPr>
          <w:spacing w:val="-1"/>
        </w:rPr>
        <w:t>Procurement</w:t>
      </w:r>
      <w:r>
        <w:rPr>
          <w:spacing w:val="3"/>
        </w:rPr>
        <w:t xml:space="preserve"> </w:t>
      </w:r>
      <w:r>
        <w:rPr>
          <w:spacing w:val="-1"/>
        </w:rPr>
        <w:t>Card</w:t>
      </w:r>
      <w:r>
        <w:rPr>
          <w:spacing w:val="2"/>
        </w:rPr>
        <w:t xml:space="preserve"> </w:t>
      </w:r>
      <w:r>
        <w:rPr>
          <w:spacing w:val="-1"/>
        </w:rPr>
        <w:t>as</w:t>
      </w:r>
      <w:r>
        <w:rPr>
          <w:spacing w:val="2"/>
        </w:rPr>
        <w:t xml:space="preserve"> </w:t>
      </w:r>
      <w:r>
        <w:t>a</w:t>
      </w:r>
      <w:r>
        <w:rPr>
          <w:spacing w:val="2"/>
        </w:rPr>
        <w:t xml:space="preserve"> </w:t>
      </w:r>
      <w:r>
        <w:rPr>
          <w:spacing w:val="-1"/>
        </w:rPr>
        <w:t>means</w:t>
      </w:r>
      <w:r>
        <w:rPr>
          <w:spacing w:val="2"/>
        </w:rPr>
        <w:t xml:space="preserve"> </w:t>
      </w:r>
      <w:r>
        <w:rPr>
          <w:spacing w:val="-2"/>
        </w:rPr>
        <w:t>of</w:t>
      </w:r>
      <w:r>
        <w:rPr>
          <w:spacing w:val="41"/>
        </w:rPr>
        <w:t xml:space="preserve"> </w:t>
      </w:r>
      <w:r>
        <w:rPr>
          <w:spacing w:val="-1"/>
        </w:rPr>
        <w:t>payment</w:t>
      </w:r>
      <w:r>
        <w:rPr>
          <w:spacing w:val="8"/>
        </w:rPr>
        <w:t xml:space="preserve"> </w:t>
      </w:r>
      <w:r>
        <w:t>for</w:t>
      </w:r>
      <w:r>
        <w:rPr>
          <w:spacing w:val="8"/>
        </w:rPr>
        <w:t xml:space="preserve"> </w:t>
      </w:r>
      <w:r>
        <w:t>the</w:t>
      </w:r>
      <w:r>
        <w:rPr>
          <w:spacing w:val="6"/>
        </w:rPr>
        <w:t xml:space="preserve"> </w:t>
      </w:r>
      <w:r>
        <w:rPr>
          <w:spacing w:val="-1"/>
        </w:rPr>
        <w:t>Goods</w:t>
      </w:r>
      <w:r>
        <w:rPr>
          <w:spacing w:val="4"/>
        </w:rPr>
        <w:t xml:space="preserve"> </w:t>
      </w:r>
      <w:r>
        <w:rPr>
          <w:spacing w:val="-1"/>
        </w:rPr>
        <w:t>and/or</w:t>
      </w:r>
      <w:r>
        <w:rPr>
          <w:spacing w:val="8"/>
        </w:rPr>
        <w:t xml:space="preserve"> </w:t>
      </w:r>
      <w:r>
        <w:rPr>
          <w:spacing w:val="-1"/>
        </w:rPr>
        <w:t>Services</w:t>
      </w:r>
      <w:r>
        <w:rPr>
          <w:spacing w:val="9"/>
        </w:rPr>
        <w:t xml:space="preserve"> </w:t>
      </w:r>
      <w:r>
        <w:rPr>
          <w:spacing w:val="-2"/>
        </w:rPr>
        <w:t>where</w:t>
      </w:r>
      <w:r>
        <w:rPr>
          <w:spacing w:val="6"/>
        </w:rPr>
        <w:t xml:space="preserve"> </w:t>
      </w:r>
      <w:r>
        <w:rPr>
          <w:spacing w:val="-1"/>
        </w:rPr>
        <w:t>such</w:t>
      </w:r>
      <w:r>
        <w:rPr>
          <w:spacing w:val="7"/>
        </w:rPr>
        <w:t xml:space="preserve"> </w:t>
      </w:r>
      <w:r>
        <w:rPr>
          <w:spacing w:val="-1"/>
        </w:rPr>
        <w:t>card</w:t>
      </w:r>
      <w:r>
        <w:rPr>
          <w:spacing w:val="6"/>
        </w:rPr>
        <w:t xml:space="preserve"> </w:t>
      </w:r>
      <w:r>
        <w:rPr>
          <w:spacing w:val="-1"/>
        </w:rPr>
        <w:t>is</w:t>
      </w:r>
      <w:r>
        <w:rPr>
          <w:spacing w:val="7"/>
        </w:rPr>
        <w:t xml:space="preserve"> </w:t>
      </w:r>
      <w:r>
        <w:rPr>
          <w:spacing w:val="-1"/>
        </w:rPr>
        <w:t>agreed</w:t>
      </w:r>
      <w:r>
        <w:rPr>
          <w:spacing w:val="6"/>
        </w:rPr>
        <w:t xml:space="preserve"> </w:t>
      </w:r>
      <w:r>
        <w:rPr>
          <w:spacing w:val="-2"/>
        </w:rPr>
        <w:t>with</w:t>
      </w:r>
      <w:r>
        <w:rPr>
          <w:spacing w:val="6"/>
        </w:rPr>
        <w:t xml:space="preserve"> </w:t>
      </w:r>
      <w:r>
        <w:rPr>
          <w:spacing w:val="-1"/>
        </w:rPr>
        <w:t>the</w:t>
      </w:r>
      <w:r>
        <w:rPr>
          <w:spacing w:val="46"/>
        </w:rPr>
        <w:t xml:space="preserve"> </w:t>
      </w:r>
      <w:r>
        <w:rPr>
          <w:spacing w:val="-1"/>
        </w:rPr>
        <w:t>Customer</w:t>
      </w:r>
      <w:r>
        <w:rPr>
          <w:spacing w:val="9"/>
        </w:rPr>
        <w:t xml:space="preserve"> </w:t>
      </w:r>
      <w:r>
        <w:t>to</w:t>
      </w:r>
      <w:r>
        <w:rPr>
          <w:spacing w:val="5"/>
        </w:rPr>
        <w:t xml:space="preserve"> </w:t>
      </w:r>
      <w:r>
        <w:rPr>
          <w:spacing w:val="-1"/>
        </w:rPr>
        <w:t>be</w:t>
      </w:r>
      <w:r>
        <w:rPr>
          <w:spacing w:val="7"/>
        </w:rPr>
        <w:t xml:space="preserve"> </w:t>
      </w:r>
      <w:r>
        <w:t>a</w:t>
      </w:r>
      <w:r>
        <w:rPr>
          <w:spacing w:val="7"/>
        </w:rPr>
        <w:t xml:space="preserve"> </w:t>
      </w:r>
      <w:r>
        <w:rPr>
          <w:spacing w:val="-1"/>
        </w:rPr>
        <w:t>suitable</w:t>
      </w:r>
      <w:r>
        <w:rPr>
          <w:spacing w:val="7"/>
        </w:rPr>
        <w:t xml:space="preserve"> </w:t>
      </w:r>
      <w:r>
        <w:rPr>
          <w:spacing w:val="-1"/>
        </w:rPr>
        <w:t>means</w:t>
      </w:r>
      <w:r>
        <w:rPr>
          <w:spacing w:val="8"/>
        </w:rPr>
        <w:t xml:space="preserve"> </w:t>
      </w:r>
      <w:r>
        <w:rPr>
          <w:spacing w:val="-2"/>
        </w:rPr>
        <w:t>of</w:t>
      </w:r>
      <w:r>
        <w:rPr>
          <w:spacing w:val="9"/>
        </w:rPr>
        <w:t xml:space="preserve"> </w:t>
      </w:r>
      <w:r>
        <w:rPr>
          <w:spacing w:val="-2"/>
        </w:rPr>
        <w:t>payment.</w:t>
      </w:r>
      <w:r>
        <w:rPr>
          <w:spacing w:val="7"/>
        </w:rPr>
        <w:t xml:space="preserve"> </w:t>
      </w:r>
      <w:r>
        <w:rPr>
          <w:spacing w:val="-1"/>
        </w:rPr>
        <w:t>The</w:t>
      </w:r>
      <w:r>
        <w:rPr>
          <w:spacing w:val="7"/>
        </w:rPr>
        <w:t xml:space="preserve"> </w:t>
      </w:r>
      <w:r>
        <w:rPr>
          <w:spacing w:val="-2"/>
        </w:rPr>
        <w:t>Supplier</w:t>
      </w:r>
      <w:r>
        <w:rPr>
          <w:spacing w:val="9"/>
        </w:rPr>
        <w:t xml:space="preserve"> </w:t>
      </w:r>
      <w:r>
        <w:rPr>
          <w:spacing w:val="-1"/>
        </w:rPr>
        <w:t>shall</w:t>
      </w:r>
      <w:r>
        <w:rPr>
          <w:spacing w:val="7"/>
        </w:rPr>
        <w:t xml:space="preserve"> </w:t>
      </w:r>
      <w:r>
        <w:rPr>
          <w:spacing w:val="-1"/>
        </w:rPr>
        <w:t>be</w:t>
      </w:r>
      <w:r>
        <w:rPr>
          <w:spacing w:val="7"/>
        </w:rPr>
        <w:t xml:space="preserve"> </w:t>
      </w:r>
      <w:r>
        <w:rPr>
          <w:spacing w:val="-1"/>
        </w:rPr>
        <w:t>solely</w:t>
      </w:r>
      <w:r>
        <w:rPr>
          <w:spacing w:val="5"/>
        </w:rPr>
        <w:t xml:space="preserve"> </w:t>
      </w:r>
      <w:r>
        <w:rPr>
          <w:spacing w:val="-1"/>
        </w:rPr>
        <w:t>liable</w:t>
      </w:r>
      <w:r>
        <w:rPr>
          <w:spacing w:val="7"/>
        </w:rPr>
        <w:t xml:space="preserve"> </w:t>
      </w:r>
      <w:r>
        <w:t>to</w:t>
      </w:r>
      <w:r>
        <w:rPr>
          <w:spacing w:val="57"/>
        </w:rPr>
        <w:t xml:space="preserve"> </w:t>
      </w:r>
      <w:r>
        <w:rPr>
          <w:spacing w:val="-1"/>
        </w:rPr>
        <w:t>pay</w:t>
      </w:r>
      <w:r>
        <w:rPr>
          <w:spacing w:val="-2"/>
        </w:rPr>
        <w:t xml:space="preserve"> </w:t>
      </w:r>
      <w:r>
        <w:t>any</w:t>
      </w:r>
      <w:r>
        <w:rPr>
          <w:spacing w:val="-2"/>
        </w:rPr>
        <w:t xml:space="preserve"> </w:t>
      </w:r>
      <w:r>
        <w:rPr>
          <w:spacing w:val="-1"/>
        </w:rPr>
        <w:t>merchant</w:t>
      </w:r>
      <w:r>
        <w:t xml:space="preserve"> fee </w:t>
      </w:r>
      <w:r>
        <w:rPr>
          <w:spacing w:val="-2"/>
        </w:rPr>
        <w:t>levied</w:t>
      </w:r>
      <w:r>
        <w:rPr>
          <w:spacing w:val="3"/>
        </w:rPr>
        <w:t xml:space="preserve"> </w:t>
      </w:r>
      <w:r>
        <w:t>for</w:t>
      </w:r>
      <w:r>
        <w:rPr>
          <w:spacing w:val="2"/>
        </w:rPr>
        <w:t xml:space="preserve"> </w:t>
      </w:r>
      <w:r>
        <w:rPr>
          <w:spacing w:val="-2"/>
        </w:rPr>
        <w:t>using</w:t>
      </w:r>
      <w:r>
        <w:rPr>
          <w:spacing w:val="3"/>
        </w:rPr>
        <w:t xml:space="preserve"> </w:t>
      </w:r>
      <w:r>
        <w:t xml:space="preserve">the </w:t>
      </w:r>
      <w:r>
        <w:rPr>
          <w:spacing w:val="-1"/>
        </w:rPr>
        <w:t>Government</w:t>
      </w:r>
      <w:r>
        <w:rPr>
          <w:spacing w:val="2"/>
        </w:rPr>
        <w:t xml:space="preserve"> </w:t>
      </w:r>
      <w:r>
        <w:rPr>
          <w:spacing w:val="-1"/>
        </w:rPr>
        <w:t>Procurement</w:t>
      </w:r>
      <w:r>
        <w:rPr>
          <w:spacing w:val="2"/>
        </w:rPr>
        <w:t xml:space="preserve"> </w:t>
      </w:r>
      <w:r>
        <w:rPr>
          <w:spacing w:val="-2"/>
        </w:rPr>
        <w:t>Card</w:t>
      </w:r>
      <w:r>
        <w:t xml:space="preserve"> </w:t>
      </w:r>
      <w:r>
        <w:rPr>
          <w:spacing w:val="-1"/>
        </w:rPr>
        <w:t>and</w:t>
      </w:r>
      <w:r>
        <w:t xml:space="preserve"> </w:t>
      </w:r>
      <w:r>
        <w:rPr>
          <w:spacing w:val="-1"/>
        </w:rPr>
        <w:t>shall</w:t>
      </w:r>
      <w:r>
        <w:rPr>
          <w:spacing w:val="47"/>
        </w:rPr>
        <w:t xml:space="preserve"> </w:t>
      </w:r>
      <w:r>
        <w:rPr>
          <w:spacing w:val="-1"/>
        </w:rPr>
        <w:t>not</w:t>
      </w:r>
      <w:r>
        <w:rPr>
          <w:spacing w:val="2"/>
        </w:rPr>
        <w:t xml:space="preserve"> </w:t>
      </w:r>
      <w:r>
        <w:rPr>
          <w:spacing w:val="-1"/>
        </w:rPr>
        <w:t>be</w:t>
      </w:r>
      <w:r>
        <w:rPr>
          <w:spacing w:val="-2"/>
        </w:rPr>
        <w:t xml:space="preserve"> </w:t>
      </w:r>
      <w:r>
        <w:rPr>
          <w:spacing w:val="-1"/>
        </w:rPr>
        <w:t>entitled</w:t>
      </w:r>
      <w:r>
        <w:rPr>
          <w:spacing w:val="-2"/>
        </w:rPr>
        <w:t xml:space="preserve"> </w:t>
      </w:r>
      <w:r>
        <w:t>to</w:t>
      </w:r>
      <w:r>
        <w:rPr>
          <w:spacing w:val="-2"/>
        </w:rPr>
        <w:t xml:space="preserve"> </w:t>
      </w:r>
      <w:r>
        <w:rPr>
          <w:spacing w:val="-1"/>
        </w:rPr>
        <w:t>recover this</w:t>
      </w:r>
      <w:r>
        <w:rPr>
          <w:spacing w:val="-2"/>
        </w:rPr>
        <w:t xml:space="preserve"> </w:t>
      </w:r>
      <w:r>
        <w:rPr>
          <w:spacing w:val="-1"/>
        </w:rPr>
        <w:t>charge</w:t>
      </w:r>
      <w:r>
        <w:rPr>
          <w:spacing w:val="-4"/>
        </w:rPr>
        <w:t xml:space="preserve"> </w:t>
      </w:r>
      <w:r>
        <w:t>from</w:t>
      </w:r>
      <w:r>
        <w:rPr>
          <w:spacing w:val="-1"/>
        </w:rPr>
        <w:t xml:space="preserve"> </w:t>
      </w:r>
      <w:r>
        <w:t>the</w:t>
      </w:r>
      <w:r>
        <w:rPr>
          <w:spacing w:val="-2"/>
        </w:rPr>
        <w:t xml:space="preserve"> </w:t>
      </w:r>
      <w:r>
        <w:rPr>
          <w:spacing w:val="-1"/>
        </w:rPr>
        <w:t>Customer.</w:t>
      </w:r>
    </w:p>
    <w:p w:rsidR="008918FA" w:rsidRDefault="008918FA" w:rsidP="008918FA">
      <w:pPr>
        <w:pStyle w:val="BodyText"/>
        <w:numPr>
          <w:ilvl w:val="1"/>
          <w:numId w:val="30"/>
        </w:numPr>
        <w:tabs>
          <w:tab w:val="left" w:pos="829"/>
        </w:tabs>
        <w:ind w:right="112"/>
        <w:jc w:val="both"/>
      </w:pPr>
      <w:r>
        <w:rPr>
          <w:spacing w:val="-1"/>
        </w:rPr>
        <w:t>All</w:t>
      </w:r>
      <w:r>
        <w:rPr>
          <w:spacing w:val="7"/>
        </w:rPr>
        <w:t xml:space="preserve"> </w:t>
      </w:r>
      <w:r>
        <w:rPr>
          <w:spacing w:val="-1"/>
        </w:rPr>
        <w:t>payments</w:t>
      </w:r>
      <w:r>
        <w:rPr>
          <w:spacing w:val="8"/>
        </w:rPr>
        <w:t xml:space="preserve"> </w:t>
      </w:r>
      <w:r>
        <w:rPr>
          <w:spacing w:val="-1"/>
        </w:rPr>
        <w:t>due</w:t>
      </w:r>
      <w:r>
        <w:rPr>
          <w:spacing w:val="7"/>
        </w:rPr>
        <w:t xml:space="preserve"> </w:t>
      </w:r>
      <w:r>
        <w:rPr>
          <w:spacing w:val="-1"/>
        </w:rPr>
        <w:t>by</w:t>
      </w:r>
      <w:r>
        <w:rPr>
          <w:spacing w:val="8"/>
        </w:rPr>
        <w:t xml:space="preserve"> </w:t>
      </w:r>
      <w:r>
        <w:rPr>
          <w:spacing w:val="-1"/>
        </w:rPr>
        <w:t>one</w:t>
      </w:r>
      <w:r>
        <w:rPr>
          <w:spacing w:val="7"/>
        </w:rPr>
        <w:t xml:space="preserve"> </w:t>
      </w:r>
      <w:r>
        <w:rPr>
          <w:spacing w:val="-1"/>
        </w:rPr>
        <w:t>Party</w:t>
      </w:r>
      <w:r>
        <w:rPr>
          <w:spacing w:val="5"/>
        </w:rPr>
        <w:t xml:space="preserve"> </w:t>
      </w:r>
      <w:r>
        <w:t>to</w:t>
      </w:r>
      <w:r>
        <w:rPr>
          <w:spacing w:val="7"/>
        </w:rPr>
        <w:t xml:space="preserve"> </w:t>
      </w:r>
      <w:r>
        <w:t>the</w:t>
      </w:r>
      <w:r>
        <w:rPr>
          <w:spacing w:val="7"/>
        </w:rPr>
        <w:t xml:space="preserve"> </w:t>
      </w:r>
      <w:r>
        <w:rPr>
          <w:spacing w:val="-1"/>
        </w:rPr>
        <w:t>other</w:t>
      </w:r>
      <w:r>
        <w:rPr>
          <w:spacing w:val="9"/>
        </w:rPr>
        <w:t xml:space="preserve"> </w:t>
      </w:r>
      <w:r>
        <w:rPr>
          <w:spacing w:val="-1"/>
        </w:rPr>
        <w:t>shall</w:t>
      </w:r>
      <w:r>
        <w:rPr>
          <w:spacing w:val="7"/>
        </w:rPr>
        <w:t xml:space="preserve"> </w:t>
      </w:r>
      <w:r>
        <w:rPr>
          <w:spacing w:val="-1"/>
        </w:rPr>
        <w:t>be</w:t>
      </w:r>
      <w:r>
        <w:rPr>
          <w:spacing w:val="7"/>
        </w:rPr>
        <w:t xml:space="preserve"> </w:t>
      </w:r>
      <w:r>
        <w:rPr>
          <w:spacing w:val="-1"/>
        </w:rPr>
        <w:t>made</w:t>
      </w:r>
      <w:r>
        <w:rPr>
          <w:spacing w:val="7"/>
        </w:rPr>
        <w:t xml:space="preserve"> </w:t>
      </w:r>
      <w:r>
        <w:rPr>
          <w:spacing w:val="-1"/>
        </w:rPr>
        <w:t>within</w:t>
      </w:r>
      <w:r>
        <w:rPr>
          <w:spacing w:val="7"/>
        </w:rPr>
        <w:t xml:space="preserve"> </w:t>
      </w:r>
      <w:r>
        <w:rPr>
          <w:spacing w:val="-1"/>
        </w:rPr>
        <w:t>thirty</w:t>
      </w:r>
      <w:r>
        <w:rPr>
          <w:spacing w:val="5"/>
        </w:rPr>
        <w:t xml:space="preserve"> </w:t>
      </w:r>
      <w:r>
        <w:t>(30)</w:t>
      </w:r>
      <w:r>
        <w:rPr>
          <w:spacing w:val="9"/>
        </w:rPr>
        <w:t xml:space="preserve"> </w:t>
      </w:r>
      <w:r>
        <w:rPr>
          <w:spacing w:val="-2"/>
        </w:rPr>
        <w:t>days</w:t>
      </w:r>
      <w:r>
        <w:rPr>
          <w:spacing w:val="8"/>
        </w:rPr>
        <w:t xml:space="preserve"> </w:t>
      </w:r>
      <w:r>
        <w:rPr>
          <w:spacing w:val="-1"/>
        </w:rPr>
        <w:t>of</w:t>
      </w:r>
      <w:r>
        <w:rPr>
          <w:spacing w:val="58"/>
        </w:rPr>
        <w:t xml:space="preserve"> </w:t>
      </w:r>
      <w:r>
        <w:rPr>
          <w:spacing w:val="-1"/>
        </w:rPr>
        <w:t>receipt</w:t>
      </w:r>
      <w:r>
        <w:rPr>
          <w:spacing w:val="38"/>
        </w:rPr>
        <w:t xml:space="preserve"> </w:t>
      </w:r>
      <w:r>
        <w:rPr>
          <w:spacing w:val="-2"/>
        </w:rPr>
        <w:t>of</w:t>
      </w:r>
      <w:r>
        <w:rPr>
          <w:spacing w:val="38"/>
        </w:rPr>
        <w:t xml:space="preserve"> </w:t>
      </w:r>
      <w:r>
        <w:t>a</w:t>
      </w:r>
      <w:r>
        <w:rPr>
          <w:spacing w:val="36"/>
        </w:rPr>
        <w:t xml:space="preserve"> </w:t>
      </w:r>
      <w:r>
        <w:rPr>
          <w:spacing w:val="-2"/>
        </w:rPr>
        <w:t>Valid</w:t>
      </w:r>
      <w:r>
        <w:rPr>
          <w:spacing w:val="36"/>
        </w:rPr>
        <w:t xml:space="preserve"> </w:t>
      </w:r>
      <w:r>
        <w:rPr>
          <w:spacing w:val="-1"/>
        </w:rPr>
        <w:t>Invoice</w:t>
      </w:r>
      <w:r>
        <w:rPr>
          <w:spacing w:val="37"/>
        </w:rPr>
        <w:t xml:space="preserve"> </w:t>
      </w:r>
      <w:r>
        <w:rPr>
          <w:spacing w:val="-1"/>
        </w:rPr>
        <w:t>unless</w:t>
      </w:r>
      <w:r>
        <w:rPr>
          <w:spacing w:val="37"/>
        </w:rPr>
        <w:t xml:space="preserve"> </w:t>
      </w:r>
      <w:r>
        <w:rPr>
          <w:spacing w:val="-1"/>
        </w:rPr>
        <w:t>otherwise</w:t>
      </w:r>
      <w:r>
        <w:rPr>
          <w:spacing w:val="38"/>
        </w:rPr>
        <w:t xml:space="preserve"> </w:t>
      </w:r>
      <w:r>
        <w:rPr>
          <w:spacing w:val="-1"/>
        </w:rPr>
        <w:t>specified</w:t>
      </w:r>
      <w:r>
        <w:rPr>
          <w:spacing w:val="36"/>
        </w:rPr>
        <w:t xml:space="preserve"> </w:t>
      </w:r>
      <w:r>
        <w:rPr>
          <w:spacing w:val="-1"/>
        </w:rPr>
        <w:t>in</w:t>
      </w:r>
      <w:r>
        <w:rPr>
          <w:spacing w:val="36"/>
        </w:rPr>
        <w:t xml:space="preserve"> </w:t>
      </w:r>
      <w:r>
        <w:rPr>
          <w:spacing w:val="-2"/>
        </w:rPr>
        <w:t>this</w:t>
      </w:r>
      <w:r>
        <w:rPr>
          <w:spacing w:val="37"/>
        </w:rPr>
        <w:t xml:space="preserve"> </w:t>
      </w:r>
      <w:r>
        <w:rPr>
          <w:spacing w:val="-2"/>
        </w:rPr>
        <w:t>Call</w:t>
      </w:r>
      <w:r>
        <w:rPr>
          <w:spacing w:val="36"/>
        </w:rPr>
        <w:t xml:space="preserve"> </w:t>
      </w:r>
      <w:r>
        <w:rPr>
          <w:spacing w:val="-1"/>
        </w:rPr>
        <w:t>Off</w:t>
      </w:r>
      <w:r>
        <w:rPr>
          <w:spacing w:val="38"/>
        </w:rPr>
        <w:t xml:space="preserve"> </w:t>
      </w:r>
      <w:r>
        <w:rPr>
          <w:spacing w:val="-1"/>
        </w:rPr>
        <w:t>Contract,</w:t>
      </w:r>
      <w:r>
        <w:rPr>
          <w:spacing w:val="39"/>
        </w:rPr>
        <w:t xml:space="preserve"> </w:t>
      </w:r>
      <w:r>
        <w:rPr>
          <w:spacing w:val="-2"/>
        </w:rPr>
        <w:t>in</w:t>
      </w:r>
      <w:r>
        <w:rPr>
          <w:spacing w:val="47"/>
        </w:rPr>
        <w:t xml:space="preserve"> </w:t>
      </w:r>
      <w:r>
        <w:rPr>
          <w:spacing w:val="-1"/>
        </w:rPr>
        <w:t>cleared</w:t>
      </w:r>
      <w:r>
        <w:rPr>
          <w:spacing w:val="10"/>
        </w:rPr>
        <w:t xml:space="preserve"> </w:t>
      </w:r>
      <w:r>
        <w:rPr>
          <w:spacing w:val="-1"/>
        </w:rPr>
        <w:t>funds,</w:t>
      </w:r>
      <w:r>
        <w:rPr>
          <w:spacing w:val="14"/>
        </w:rPr>
        <w:t xml:space="preserve"> </w:t>
      </w:r>
      <w:r>
        <w:t>to</w:t>
      </w:r>
      <w:r>
        <w:rPr>
          <w:spacing w:val="12"/>
        </w:rPr>
        <w:t xml:space="preserve"> </w:t>
      </w:r>
      <w:r>
        <w:rPr>
          <w:spacing w:val="-1"/>
        </w:rPr>
        <w:t>such</w:t>
      </w:r>
      <w:r>
        <w:rPr>
          <w:spacing w:val="13"/>
        </w:rPr>
        <w:t xml:space="preserve"> </w:t>
      </w:r>
      <w:r>
        <w:rPr>
          <w:spacing w:val="-2"/>
        </w:rPr>
        <w:t>bank</w:t>
      </w:r>
      <w:r>
        <w:rPr>
          <w:spacing w:val="15"/>
        </w:rPr>
        <w:t xml:space="preserve"> </w:t>
      </w:r>
      <w:r>
        <w:rPr>
          <w:spacing w:val="-2"/>
        </w:rPr>
        <w:t>or</w:t>
      </w:r>
      <w:r>
        <w:rPr>
          <w:spacing w:val="14"/>
        </w:rPr>
        <w:t xml:space="preserve"> </w:t>
      </w:r>
      <w:r>
        <w:rPr>
          <w:spacing w:val="-2"/>
        </w:rPr>
        <w:t>building</w:t>
      </w:r>
      <w:r>
        <w:rPr>
          <w:spacing w:val="15"/>
        </w:rPr>
        <w:t xml:space="preserve"> </w:t>
      </w:r>
      <w:r>
        <w:rPr>
          <w:spacing w:val="-1"/>
        </w:rPr>
        <w:t>society</w:t>
      </w:r>
      <w:r>
        <w:rPr>
          <w:spacing w:val="10"/>
        </w:rPr>
        <w:t xml:space="preserve"> </w:t>
      </w:r>
      <w:r>
        <w:rPr>
          <w:spacing w:val="-1"/>
        </w:rPr>
        <w:t>account</w:t>
      </w:r>
      <w:r>
        <w:rPr>
          <w:spacing w:val="14"/>
        </w:rPr>
        <w:t xml:space="preserve"> </w:t>
      </w:r>
      <w:r>
        <w:rPr>
          <w:spacing w:val="-1"/>
        </w:rPr>
        <w:t>as</w:t>
      </w:r>
      <w:r>
        <w:rPr>
          <w:spacing w:val="10"/>
        </w:rPr>
        <w:t xml:space="preserve"> </w:t>
      </w:r>
      <w:r>
        <w:t>the</w:t>
      </w:r>
      <w:r>
        <w:rPr>
          <w:spacing w:val="12"/>
        </w:rPr>
        <w:t xml:space="preserve"> </w:t>
      </w:r>
      <w:r>
        <w:rPr>
          <w:spacing w:val="-1"/>
        </w:rPr>
        <w:t>recipient</w:t>
      </w:r>
      <w:r>
        <w:rPr>
          <w:spacing w:val="11"/>
        </w:rPr>
        <w:t xml:space="preserve"> </w:t>
      </w:r>
      <w:r>
        <w:rPr>
          <w:spacing w:val="-1"/>
        </w:rPr>
        <w:t>Party</w:t>
      </w:r>
      <w:r>
        <w:rPr>
          <w:spacing w:val="10"/>
        </w:rPr>
        <w:t xml:space="preserve"> </w:t>
      </w:r>
      <w:r>
        <w:rPr>
          <w:spacing w:val="-1"/>
        </w:rPr>
        <w:t>may</w:t>
      </w:r>
      <w:r>
        <w:rPr>
          <w:spacing w:val="62"/>
        </w:rPr>
        <w:t xml:space="preserve"> </w:t>
      </w:r>
      <w:r>
        <w:rPr>
          <w:spacing w:val="-1"/>
        </w:rPr>
        <w:t>from time</w:t>
      </w:r>
      <w:r>
        <w:rPr>
          <w:spacing w:val="-2"/>
        </w:rPr>
        <w:t xml:space="preserve"> </w:t>
      </w:r>
      <w:r>
        <w:t>to</w:t>
      </w:r>
      <w:r>
        <w:rPr>
          <w:spacing w:val="-2"/>
        </w:rPr>
        <w:t xml:space="preserve"> </w:t>
      </w:r>
      <w:r>
        <w:rPr>
          <w:spacing w:val="-1"/>
        </w:rPr>
        <w:t>time</w:t>
      </w:r>
      <w:r>
        <w:rPr>
          <w:spacing w:val="-2"/>
        </w:rPr>
        <w:t xml:space="preserve"> </w:t>
      </w:r>
      <w:r>
        <w:rPr>
          <w:spacing w:val="-1"/>
        </w:rPr>
        <w:t>direct.</w:t>
      </w:r>
    </w:p>
    <w:p w:rsidR="008918FA" w:rsidRDefault="008918FA" w:rsidP="008918FA">
      <w:pPr>
        <w:pStyle w:val="BodyText"/>
        <w:numPr>
          <w:ilvl w:val="1"/>
          <w:numId w:val="30"/>
        </w:numPr>
        <w:tabs>
          <w:tab w:val="left" w:pos="830"/>
        </w:tabs>
        <w:ind w:left="829"/>
      </w:pPr>
      <w:bookmarkStart w:id="356" w:name="_bookmark290"/>
      <w:bookmarkEnd w:id="356"/>
      <w:r>
        <w:t>The</w:t>
      </w:r>
      <w:r>
        <w:rPr>
          <w:spacing w:val="-2"/>
        </w:rPr>
        <w:t xml:space="preserve"> Supplier</w:t>
      </w:r>
      <w:r>
        <w:rPr>
          <w:spacing w:val="2"/>
        </w:rPr>
        <w:t xml:space="preserve"> </w:t>
      </w:r>
      <w:r>
        <w:rPr>
          <w:spacing w:val="-1"/>
        </w:rPr>
        <w:t>shall</w:t>
      </w:r>
      <w:r>
        <w:t xml:space="preserve"> </w:t>
      </w:r>
      <w:r>
        <w:rPr>
          <w:spacing w:val="-1"/>
        </w:rPr>
        <w:t>submit</w:t>
      </w:r>
      <w:r>
        <w:rPr>
          <w:spacing w:val="2"/>
        </w:rPr>
        <w:t xml:space="preserve"> </w:t>
      </w:r>
      <w:r>
        <w:rPr>
          <w:spacing w:val="-2"/>
        </w:rPr>
        <w:t>invoices</w:t>
      </w:r>
      <w:r>
        <w:rPr>
          <w:spacing w:val="1"/>
        </w:rPr>
        <w:t xml:space="preserve"> </w:t>
      </w:r>
      <w:r>
        <w:rPr>
          <w:spacing w:val="-1"/>
        </w:rPr>
        <w:t>directly</w:t>
      </w:r>
      <w:r>
        <w:rPr>
          <w:spacing w:val="-2"/>
        </w:rPr>
        <w:t xml:space="preserve"> </w:t>
      </w:r>
      <w:r>
        <w:rPr>
          <w:spacing w:val="-1"/>
        </w:rPr>
        <w:t>to:</w:t>
      </w:r>
    </w:p>
    <w:p w:rsidR="008918FA" w:rsidRDefault="008918FA" w:rsidP="008918FA">
      <w:pPr>
        <w:sectPr w:rsidR="008918FA">
          <w:pgSz w:w="11910" w:h="16840"/>
          <w:pgMar w:top="1480" w:right="1300" w:bottom="1160" w:left="1540" w:header="0" w:footer="967" w:gutter="0"/>
          <w:cols w:space="720"/>
        </w:sectPr>
      </w:pPr>
    </w:p>
    <w:p w:rsidR="008918FA" w:rsidRDefault="008918FA" w:rsidP="008918FA">
      <w:pPr>
        <w:pStyle w:val="BodyText"/>
        <w:tabs>
          <w:tab w:val="left" w:pos="2503"/>
        </w:tabs>
        <w:spacing w:before="59"/>
        <w:ind w:left="1032" w:firstLine="0"/>
      </w:pPr>
      <w:r>
        <w:rPr>
          <w:highlight w:val="yellow"/>
        </w:rPr>
        <w:t>[</w:t>
      </w:r>
      <w:r>
        <w:rPr>
          <w:highlight w:val="yellow"/>
        </w:rPr>
        <w:tab/>
        <w:t>]</w:t>
      </w:r>
    </w:p>
    <w:p w:rsidR="008918FA" w:rsidRDefault="008918FA" w:rsidP="008918FA">
      <w:pPr>
        <w:pStyle w:val="Heading2"/>
        <w:spacing w:before="119"/>
        <w:rPr>
          <w:b w:val="0"/>
          <w:bCs w:val="0"/>
          <w:i w:val="0"/>
        </w:rPr>
      </w:pPr>
      <w:r>
        <w:rPr>
          <w:spacing w:val="-1"/>
          <w:highlight w:val="green"/>
        </w:rPr>
        <w:t>[Guidance</w:t>
      </w:r>
      <w:r>
        <w:rPr>
          <w:spacing w:val="1"/>
          <w:highlight w:val="green"/>
        </w:rPr>
        <w:t xml:space="preserve"> </w:t>
      </w:r>
      <w:r>
        <w:rPr>
          <w:spacing w:val="-2"/>
          <w:highlight w:val="green"/>
        </w:rPr>
        <w:t xml:space="preserve">Note </w:t>
      </w:r>
      <w:r>
        <w:rPr>
          <w:spacing w:val="-1"/>
          <w:highlight w:val="green"/>
        </w:rPr>
        <w:t xml:space="preserve">insert </w:t>
      </w:r>
      <w:r>
        <w:rPr>
          <w:spacing w:val="-2"/>
          <w:highlight w:val="green"/>
        </w:rPr>
        <w:t>the</w:t>
      </w:r>
      <w:r>
        <w:rPr>
          <w:spacing w:val="1"/>
          <w:highlight w:val="green"/>
        </w:rPr>
        <w:t xml:space="preserve"> </w:t>
      </w:r>
      <w:r>
        <w:rPr>
          <w:spacing w:val="-1"/>
          <w:highlight w:val="green"/>
        </w:rPr>
        <w:t>Customer</w:t>
      </w:r>
      <w:r>
        <w:rPr>
          <w:spacing w:val="1"/>
          <w:highlight w:val="green"/>
        </w:rPr>
        <w:t xml:space="preserve"> </w:t>
      </w:r>
      <w:r>
        <w:rPr>
          <w:spacing w:val="-1"/>
          <w:highlight w:val="green"/>
        </w:rPr>
        <w:t>billing</w:t>
      </w:r>
      <w:r>
        <w:rPr>
          <w:spacing w:val="-2"/>
          <w:highlight w:val="green"/>
        </w:rPr>
        <w:t xml:space="preserve"> address]</w:t>
      </w:r>
    </w:p>
    <w:p w:rsidR="008918FA" w:rsidRDefault="008918FA" w:rsidP="008918FA">
      <w:pPr>
        <w:pStyle w:val="BodyText"/>
        <w:numPr>
          <w:ilvl w:val="0"/>
          <w:numId w:val="30"/>
        </w:numPr>
        <w:tabs>
          <w:tab w:val="left" w:pos="467"/>
        </w:tabs>
        <w:spacing w:before="120"/>
        <w:rPr>
          <w:rFonts w:ascii="Times New Roman" w:eastAsia="Times New Roman" w:hAnsi="Times New Roman" w:cs="Times New Roman"/>
        </w:rPr>
      </w:pPr>
      <w:bookmarkStart w:id="357" w:name="_bookmark291"/>
      <w:bookmarkEnd w:id="357"/>
      <w:r>
        <w:rPr>
          <w:rFonts w:ascii="Times New Roman"/>
          <w:spacing w:val="-2"/>
        </w:rPr>
        <w:t>ADJ</w:t>
      </w:r>
      <w:r>
        <w:rPr>
          <w:rFonts w:ascii="Times New Roman"/>
          <w:spacing w:val="-17"/>
        </w:rPr>
        <w:t xml:space="preserve"> </w:t>
      </w:r>
      <w:r>
        <w:rPr>
          <w:rFonts w:ascii="Times New Roman"/>
          <w:spacing w:val="-2"/>
        </w:rPr>
        <w:t>U</w:t>
      </w:r>
      <w:r>
        <w:rPr>
          <w:rFonts w:ascii="Times New Roman"/>
          <w:spacing w:val="26"/>
        </w:rPr>
        <w:t>S</w:t>
      </w:r>
      <w:r>
        <w:rPr>
          <w:rFonts w:ascii="Times New Roman"/>
          <w:spacing w:val="-3"/>
        </w:rPr>
        <w:t>T</w:t>
      </w:r>
      <w:r>
        <w:rPr>
          <w:rFonts w:ascii="Times New Roman"/>
          <w:spacing w:val="-12"/>
        </w:rPr>
        <w:t>M</w:t>
      </w:r>
      <w:r>
        <w:rPr>
          <w:rFonts w:ascii="Times New Roman"/>
          <w:spacing w:val="11"/>
        </w:rPr>
        <w:t>E</w:t>
      </w:r>
      <w:r>
        <w:rPr>
          <w:rFonts w:ascii="Times New Roman"/>
          <w:spacing w:val="-2"/>
        </w:rPr>
        <w:t>N</w:t>
      </w:r>
      <w:r>
        <w:rPr>
          <w:rFonts w:ascii="Times New Roman"/>
        </w:rPr>
        <w:t>T</w:t>
      </w:r>
      <w:r>
        <w:rPr>
          <w:rFonts w:ascii="Times New Roman"/>
          <w:spacing w:val="4"/>
        </w:rPr>
        <w:t xml:space="preserve"> </w:t>
      </w:r>
      <w:r>
        <w:rPr>
          <w:rFonts w:ascii="Times New Roman"/>
          <w:spacing w:val="6"/>
        </w:rPr>
        <w:t>OF</w:t>
      </w:r>
      <w:r>
        <w:rPr>
          <w:rFonts w:ascii="Times New Roman"/>
          <w:spacing w:val="19"/>
        </w:rPr>
        <w:t xml:space="preserve"> </w:t>
      </w:r>
      <w:r>
        <w:rPr>
          <w:rFonts w:ascii="Times New Roman"/>
          <w:spacing w:val="2"/>
        </w:rPr>
        <w:t>CALL</w:t>
      </w:r>
      <w:r>
        <w:rPr>
          <w:rFonts w:ascii="Times New Roman"/>
          <w:spacing w:val="7"/>
        </w:rPr>
        <w:t xml:space="preserve"> OFF</w:t>
      </w:r>
      <w:r>
        <w:rPr>
          <w:rFonts w:ascii="Times New Roman"/>
          <w:spacing w:val="16"/>
        </w:rPr>
        <w:t xml:space="preserve"> </w:t>
      </w:r>
      <w:r>
        <w:rPr>
          <w:rFonts w:ascii="Times New Roman"/>
          <w:spacing w:val="4"/>
        </w:rPr>
        <w:t xml:space="preserve">CONTRACT </w:t>
      </w:r>
      <w:r>
        <w:rPr>
          <w:rFonts w:ascii="Times New Roman"/>
          <w:spacing w:val="6"/>
        </w:rPr>
        <w:t>CHARGES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30"/>
        </w:numPr>
        <w:tabs>
          <w:tab w:val="left" w:pos="829"/>
        </w:tabs>
        <w:spacing w:before="0"/>
      </w:pPr>
      <w:r>
        <w:t>The</w:t>
      </w:r>
      <w:r>
        <w:rPr>
          <w:spacing w:val="-2"/>
        </w:rPr>
        <w:t xml:space="preserve"> Call</w:t>
      </w:r>
      <w:r>
        <w:t xml:space="preserve"> </w:t>
      </w:r>
      <w:r>
        <w:rPr>
          <w:spacing w:val="-1"/>
        </w:rPr>
        <w:t>Off</w:t>
      </w:r>
      <w:r>
        <w:rPr>
          <w:spacing w:val="2"/>
        </w:rPr>
        <w:t xml:space="preserve"> </w:t>
      </w:r>
      <w:r>
        <w:rPr>
          <w:spacing w:val="-2"/>
        </w:rPr>
        <w:t>Contract</w:t>
      </w:r>
      <w:r>
        <w:t xml:space="preserve"> </w:t>
      </w:r>
      <w:r>
        <w:rPr>
          <w:spacing w:val="-1"/>
        </w:rPr>
        <w:t>Charges</w:t>
      </w:r>
      <w:r>
        <w:rPr>
          <w:spacing w:val="1"/>
        </w:rPr>
        <w:t xml:space="preserve"> </w:t>
      </w:r>
      <w:r>
        <w:rPr>
          <w:spacing w:val="-1"/>
        </w:rPr>
        <w:t>shall</w:t>
      </w:r>
      <w:r>
        <w:t xml:space="preserve"> </w:t>
      </w:r>
      <w:r>
        <w:rPr>
          <w:spacing w:val="-1"/>
        </w:rPr>
        <w:t>only</w:t>
      </w:r>
      <w:r>
        <w:rPr>
          <w:spacing w:val="-2"/>
        </w:rPr>
        <w:t xml:space="preserve"> </w:t>
      </w:r>
      <w:r>
        <w:rPr>
          <w:spacing w:val="-1"/>
        </w:rPr>
        <w:t>be</w:t>
      </w:r>
      <w:r>
        <w:t xml:space="preserve"> </w:t>
      </w:r>
      <w:r>
        <w:rPr>
          <w:spacing w:val="-2"/>
        </w:rPr>
        <w:t>varied:</w:t>
      </w:r>
    </w:p>
    <w:p w:rsidR="008918FA" w:rsidRDefault="008918FA" w:rsidP="008918FA">
      <w:pPr>
        <w:pStyle w:val="BodyText"/>
        <w:numPr>
          <w:ilvl w:val="2"/>
          <w:numId w:val="30"/>
        </w:numPr>
        <w:tabs>
          <w:tab w:val="left" w:pos="2027"/>
        </w:tabs>
        <w:spacing w:before="121"/>
        <w:ind w:right="117"/>
        <w:jc w:val="both"/>
      </w:pPr>
      <w:bookmarkStart w:id="358" w:name="_bookmark292"/>
      <w:bookmarkEnd w:id="358"/>
      <w:r>
        <w:rPr>
          <w:spacing w:val="-1"/>
        </w:rPr>
        <w:t>due</w:t>
      </w:r>
      <w:r>
        <w:rPr>
          <w:spacing w:val="10"/>
        </w:rPr>
        <w:t xml:space="preserve"> </w:t>
      </w:r>
      <w:r>
        <w:t>to</w:t>
      </w:r>
      <w:r>
        <w:rPr>
          <w:spacing w:val="10"/>
        </w:rPr>
        <w:t xml:space="preserve"> </w:t>
      </w:r>
      <w:r>
        <w:t>a</w:t>
      </w:r>
      <w:r>
        <w:rPr>
          <w:spacing w:val="10"/>
        </w:rPr>
        <w:t xml:space="preserve"> </w:t>
      </w:r>
      <w:r>
        <w:rPr>
          <w:spacing w:val="-1"/>
        </w:rPr>
        <w:t>Specific</w:t>
      </w:r>
      <w:r>
        <w:rPr>
          <w:spacing w:val="10"/>
        </w:rPr>
        <w:t xml:space="preserve"> </w:t>
      </w:r>
      <w:r>
        <w:rPr>
          <w:spacing w:val="-2"/>
        </w:rPr>
        <w:t>Change</w:t>
      </w:r>
      <w:r>
        <w:rPr>
          <w:spacing w:val="10"/>
        </w:rPr>
        <w:t xml:space="preserve"> </w:t>
      </w:r>
      <w:r>
        <w:rPr>
          <w:spacing w:val="-1"/>
        </w:rPr>
        <w:t>in</w:t>
      </w:r>
      <w:r>
        <w:rPr>
          <w:spacing w:val="10"/>
        </w:rPr>
        <w:t xml:space="preserve"> </w:t>
      </w:r>
      <w:r>
        <w:t>Law</w:t>
      </w:r>
      <w:r>
        <w:rPr>
          <w:spacing w:val="7"/>
        </w:rPr>
        <w:t xml:space="preserve"> </w:t>
      </w:r>
      <w:r>
        <w:rPr>
          <w:spacing w:val="-1"/>
        </w:rPr>
        <w:t>in</w:t>
      </w:r>
      <w:r>
        <w:rPr>
          <w:spacing w:val="12"/>
        </w:rPr>
        <w:t xml:space="preserve"> </w:t>
      </w:r>
      <w:r>
        <w:rPr>
          <w:spacing w:val="-1"/>
        </w:rPr>
        <w:t>relation</w:t>
      </w:r>
      <w:r>
        <w:rPr>
          <w:spacing w:val="10"/>
        </w:rPr>
        <w:t xml:space="preserve"> </w:t>
      </w:r>
      <w:r>
        <w:t>to</w:t>
      </w:r>
      <w:r>
        <w:rPr>
          <w:spacing w:val="10"/>
        </w:rPr>
        <w:t xml:space="preserve"> </w:t>
      </w:r>
      <w:r>
        <w:rPr>
          <w:spacing w:val="-2"/>
        </w:rPr>
        <w:t>which</w:t>
      </w:r>
      <w:r>
        <w:rPr>
          <w:spacing w:val="10"/>
        </w:rPr>
        <w:t xml:space="preserve"> </w:t>
      </w:r>
      <w:r>
        <w:t>the</w:t>
      </w:r>
      <w:r>
        <w:rPr>
          <w:spacing w:val="10"/>
        </w:rPr>
        <w:t xml:space="preserve"> </w:t>
      </w:r>
      <w:r>
        <w:rPr>
          <w:spacing w:val="-1"/>
        </w:rPr>
        <w:t>Parties</w:t>
      </w:r>
      <w:r>
        <w:rPr>
          <w:spacing w:val="10"/>
        </w:rPr>
        <w:t xml:space="preserve"> </w:t>
      </w:r>
      <w:r>
        <w:rPr>
          <w:spacing w:val="-1"/>
        </w:rPr>
        <w:t>agree</w:t>
      </w:r>
      <w:r>
        <w:rPr>
          <w:spacing w:val="44"/>
        </w:rPr>
        <w:t xml:space="preserve"> </w:t>
      </w:r>
      <w:r>
        <w:rPr>
          <w:spacing w:val="-1"/>
        </w:rPr>
        <w:t>that</w:t>
      </w:r>
      <w:r>
        <w:rPr>
          <w:spacing w:val="7"/>
        </w:rPr>
        <w:t xml:space="preserve"> </w:t>
      </w:r>
      <w:r>
        <w:t>a</w:t>
      </w:r>
      <w:r>
        <w:rPr>
          <w:spacing w:val="5"/>
        </w:rPr>
        <w:t xml:space="preserve"> </w:t>
      </w:r>
      <w:r>
        <w:rPr>
          <w:spacing w:val="-1"/>
        </w:rPr>
        <w:t>change</w:t>
      </w:r>
      <w:r>
        <w:rPr>
          <w:spacing w:val="5"/>
        </w:rPr>
        <w:t xml:space="preserve"> </w:t>
      </w:r>
      <w:r>
        <w:rPr>
          <w:spacing w:val="-1"/>
        </w:rPr>
        <w:t>is</w:t>
      </w:r>
      <w:r>
        <w:rPr>
          <w:spacing w:val="5"/>
        </w:rPr>
        <w:t xml:space="preserve"> </w:t>
      </w:r>
      <w:r>
        <w:rPr>
          <w:spacing w:val="-1"/>
        </w:rPr>
        <w:t>required</w:t>
      </w:r>
      <w:r>
        <w:rPr>
          <w:spacing w:val="3"/>
        </w:rPr>
        <w:t xml:space="preserve"> </w:t>
      </w:r>
      <w:r>
        <w:t>to</w:t>
      </w:r>
      <w:r>
        <w:rPr>
          <w:spacing w:val="5"/>
        </w:rPr>
        <w:t xml:space="preserve"> </w:t>
      </w:r>
      <w:r>
        <w:rPr>
          <w:spacing w:val="-1"/>
        </w:rPr>
        <w:t>all</w:t>
      </w:r>
      <w:r>
        <w:rPr>
          <w:spacing w:val="4"/>
        </w:rPr>
        <w:t xml:space="preserve"> </w:t>
      </w:r>
      <w:r>
        <w:rPr>
          <w:spacing w:val="-1"/>
        </w:rPr>
        <w:t>or</w:t>
      </w:r>
      <w:r>
        <w:rPr>
          <w:spacing w:val="6"/>
        </w:rPr>
        <w:t xml:space="preserve"> </w:t>
      </w:r>
      <w:r>
        <w:rPr>
          <w:spacing w:val="-1"/>
        </w:rPr>
        <w:t>part</w:t>
      </w:r>
      <w:r>
        <w:rPr>
          <w:spacing w:val="7"/>
        </w:rPr>
        <w:t xml:space="preserve"> </w:t>
      </w:r>
      <w:r>
        <w:rPr>
          <w:spacing w:val="-2"/>
        </w:rPr>
        <w:t>of</w:t>
      </w:r>
      <w:r>
        <w:rPr>
          <w:spacing w:val="6"/>
        </w:rPr>
        <w:t xml:space="preserve"> </w:t>
      </w:r>
      <w:r>
        <w:t>the</w:t>
      </w:r>
      <w:r>
        <w:rPr>
          <w:spacing w:val="5"/>
        </w:rPr>
        <w:t xml:space="preserve"> </w:t>
      </w:r>
      <w:r>
        <w:rPr>
          <w:spacing w:val="-2"/>
        </w:rPr>
        <w:t>Call</w:t>
      </w:r>
      <w:r>
        <w:rPr>
          <w:spacing w:val="4"/>
        </w:rPr>
        <w:t xml:space="preserve"> </w:t>
      </w:r>
      <w:r>
        <w:rPr>
          <w:spacing w:val="-1"/>
        </w:rPr>
        <w:t>Off</w:t>
      </w:r>
      <w:r>
        <w:rPr>
          <w:spacing w:val="7"/>
        </w:rPr>
        <w:t xml:space="preserve"> </w:t>
      </w:r>
      <w:r>
        <w:rPr>
          <w:spacing w:val="-1"/>
        </w:rPr>
        <w:t>Contract</w:t>
      </w:r>
      <w:r>
        <w:rPr>
          <w:spacing w:val="7"/>
        </w:rPr>
        <w:t xml:space="preserve"> </w:t>
      </w:r>
      <w:r>
        <w:rPr>
          <w:spacing w:val="-1"/>
        </w:rPr>
        <w:t>Charges</w:t>
      </w:r>
      <w:r>
        <w:rPr>
          <w:spacing w:val="35"/>
        </w:rPr>
        <w:t xml:space="preserve"> </w:t>
      </w:r>
      <w:r>
        <w:rPr>
          <w:spacing w:val="-1"/>
        </w:rPr>
        <w:t>in</w:t>
      </w:r>
      <w:r>
        <w:rPr>
          <w:spacing w:val="34"/>
        </w:rPr>
        <w:t xml:space="preserve"> </w:t>
      </w:r>
      <w:r>
        <w:rPr>
          <w:spacing w:val="-1"/>
        </w:rPr>
        <w:t>accordance</w:t>
      </w:r>
      <w:r>
        <w:rPr>
          <w:spacing w:val="34"/>
        </w:rPr>
        <w:t xml:space="preserve"> </w:t>
      </w:r>
      <w:r>
        <w:rPr>
          <w:spacing w:val="-1"/>
        </w:rPr>
        <w:t>with</w:t>
      </w:r>
      <w:r>
        <w:rPr>
          <w:spacing w:val="34"/>
        </w:rPr>
        <w:t xml:space="preserve"> </w:t>
      </w:r>
      <w:r>
        <w:rPr>
          <w:spacing w:val="-1"/>
        </w:rPr>
        <w:t>Clause</w:t>
      </w:r>
      <w:r>
        <w:rPr>
          <w:spacing w:val="34"/>
        </w:rPr>
        <w:t xml:space="preserve"> </w:t>
      </w:r>
      <w:hyperlink w:anchor="_bookmark122" w:history="1">
        <w:r>
          <w:rPr>
            <w:spacing w:val="-1"/>
          </w:rPr>
          <w:t>22.2</w:t>
        </w:r>
      </w:hyperlink>
      <w:r>
        <w:rPr>
          <w:spacing w:val="35"/>
        </w:rPr>
        <w:t xml:space="preserve"> </w:t>
      </w:r>
      <w:r>
        <w:rPr>
          <w:spacing w:val="-2"/>
        </w:rPr>
        <w:t>of</w:t>
      </w:r>
      <w:r>
        <w:rPr>
          <w:spacing w:val="38"/>
        </w:rPr>
        <w:t xml:space="preserve"> </w:t>
      </w:r>
      <w:r>
        <w:rPr>
          <w:spacing w:val="-1"/>
        </w:rPr>
        <w:t>this</w:t>
      </w:r>
      <w:r>
        <w:rPr>
          <w:spacing w:val="35"/>
        </w:rPr>
        <w:t xml:space="preserve"> </w:t>
      </w:r>
      <w:r>
        <w:rPr>
          <w:spacing w:val="-2"/>
        </w:rPr>
        <w:t>Call</w:t>
      </w:r>
      <w:r>
        <w:rPr>
          <w:spacing w:val="33"/>
        </w:rPr>
        <w:t xml:space="preserve"> </w:t>
      </w:r>
      <w:r>
        <w:t>Off</w:t>
      </w:r>
      <w:r>
        <w:rPr>
          <w:spacing w:val="33"/>
        </w:rPr>
        <w:t xml:space="preserve"> </w:t>
      </w:r>
      <w:r>
        <w:rPr>
          <w:spacing w:val="-1"/>
        </w:rPr>
        <w:t>Contract</w:t>
      </w:r>
      <w:r>
        <w:rPr>
          <w:spacing w:val="35"/>
        </w:rPr>
        <w:t xml:space="preserve"> </w:t>
      </w:r>
      <w:r>
        <w:rPr>
          <w:spacing w:val="-1"/>
        </w:rPr>
        <w:t>(Legislative</w:t>
      </w:r>
      <w:r>
        <w:rPr>
          <w:spacing w:val="39"/>
        </w:rPr>
        <w:t xml:space="preserve"> </w:t>
      </w:r>
      <w:r>
        <w:rPr>
          <w:spacing w:val="-1"/>
        </w:rPr>
        <w:t>Change);</w:t>
      </w:r>
    </w:p>
    <w:p w:rsidR="008918FA" w:rsidRDefault="008918FA" w:rsidP="008918FA">
      <w:pPr>
        <w:pStyle w:val="BodyText"/>
        <w:numPr>
          <w:ilvl w:val="2"/>
          <w:numId w:val="30"/>
        </w:numPr>
        <w:tabs>
          <w:tab w:val="left" w:pos="2027"/>
        </w:tabs>
        <w:ind w:right="115"/>
        <w:jc w:val="both"/>
      </w:pPr>
      <w:bookmarkStart w:id="359" w:name="_bookmark293"/>
      <w:bookmarkEnd w:id="359"/>
      <w:r>
        <w:rPr>
          <w:spacing w:val="-1"/>
        </w:rPr>
        <w:t>in</w:t>
      </w:r>
      <w:r>
        <w:rPr>
          <w:spacing w:val="43"/>
        </w:rPr>
        <w:t xml:space="preserve"> </w:t>
      </w:r>
      <w:r>
        <w:rPr>
          <w:spacing w:val="-1"/>
        </w:rPr>
        <w:t>accordance</w:t>
      </w:r>
      <w:r>
        <w:rPr>
          <w:spacing w:val="44"/>
        </w:rPr>
        <w:t xml:space="preserve"> </w:t>
      </w:r>
      <w:r>
        <w:rPr>
          <w:spacing w:val="-2"/>
        </w:rPr>
        <w:t>with</w:t>
      </w:r>
      <w:r>
        <w:rPr>
          <w:spacing w:val="43"/>
        </w:rPr>
        <w:t xml:space="preserve"> </w:t>
      </w:r>
      <w:r>
        <w:rPr>
          <w:spacing w:val="-2"/>
        </w:rPr>
        <w:t>Clause</w:t>
      </w:r>
      <w:r>
        <w:rPr>
          <w:spacing w:val="44"/>
        </w:rPr>
        <w:t xml:space="preserve"> </w:t>
      </w:r>
      <w:hyperlink w:anchor="_bookmark126" w:history="1">
        <w:r>
          <w:rPr>
            <w:spacing w:val="-1"/>
          </w:rPr>
          <w:t>23.1.4</w:t>
        </w:r>
      </w:hyperlink>
      <w:r>
        <w:rPr>
          <w:spacing w:val="45"/>
        </w:rPr>
        <w:t xml:space="preserve"> </w:t>
      </w:r>
      <w:r>
        <w:rPr>
          <w:spacing w:val="-2"/>
        </w:rPr>
        <w:t>of</w:t>
      </w:r>
      <w:r>
        <w:rPr>
          <w:spacing w:val="42"/>
        </w:rPr>
        <w:t xml:space="preserve"> </w:t>
      </w:r>
      <w:r>
        <w:rPr>
          <w:spacing w:val="-1"/>
        </w:rPr>
        <w:t>this</w:t>
      </w:r>
      <w:r>
        <w:rPr>
          <w:spacing w:val="45"/>
        </w:rPr>
        <w:t xml:space="preserve"> </w:t>
      </w:r>
      <w:r>
        <w:rPr>
          <w:spacing w:val="-2"/>
        </w:rPr>
        <w:t>Call</w:t>
      </w:r>
      <w:r>
        <w:rPr>
          <w:spacing w:val="43"/>
        </w:rPr>
        <w:t xml:space="preserve"> </w:t>
      </w:r>
      <w:r>
        <w:rPr>
          <w:spacing w:val="-1"/>
        </w:rPr>
        <w:t>Off</w:t>
      </w:r>
      <w:r>
        <w:rPr>
          <w:spacing w:val="45"/>
        </w:rPr>
        <w:t xml:space="preserve"> </w:t>
      </w:r>
      <w:r>
        <w:rPr>
          <w:spacing w:val="-2"/>
        </w:rPr>
        <w:t>Contract</w:t>
      </w:r>
      <w:r>
        <w:rPr>
          <w:spacing w:val="43"/>
        </w:rPr>
        <w:t xml:space="preserve"> </w:t>
      </w:r>
      <w:r>
        <w:rPr>
          <w:spacing w:val="-1"/>
        </w:rPr>
        <w:t>(Call</w:t>
      </w:r>
      <w:r>
        <w:rPr>
          <w:spacing w:val="40"/>
        </w:rPr>
        <w:t xml:space="preserve"> </w:t>
      </w:r>
      <w:r>
        <w:rPr>
          <w:spacing w:val="-1"/>
        </w:rPr>
        <w:t>Off</w:t>
      </w:r>
      <w:r>
        <w:rPr>
          <w:spacing w:val="61"/>
        </w:rPr>
        <w:t xml:space="preserve"> </w:t>
      </w:r>
      <w:r>
        <w:rPr>
          <w:spacing w:val="-1"/>
        </w:rPr>
        <w:t>Contract</w:t>
      </w:r>
      <w:r>
        <w:rPr>
          <w:spacing w:val="5"/>
        </w:rPr>
        <w:t xml:space="preserve"> </w:t>
      </w:r>
      <w:r>
        <w:rPr>
          <w:spacing w:val="-1"/>
        </w:rPr>
        <w:t>Charges</w:t>
      </w:r>
      <w:r>
        <w:rPr>
          <w:spacing w:val="4"/>
        </w:rPr>
        <w:t xml:space="preserve"> </w:t>
      </w:r>
      <w:r>
        <w:rPr>
          <w:spacing w:val="-1"/>
        </w:rPr>
        <w:t>and</w:t>
      </w:r>
      <w:r>
        <w:rPr>
          <w:spacing w:val="2"/>
        </w:rPr>
        <w:t xml:space="preserve"> </w:t>
      </w:r>
      <w:r>
        <w:rPr>
          <w:spacing w:val="-1"/>
        </w:rPr>
        <w:t>Payment)</w:t>
      </w:r>
      <w:r>
        <w:rPr>
          <w:spacing w:val="5"/>
        </w:rPr>
        <w:t xml:space="preserve"> </w:t>
      </w:r>
      <w:r>
        <w:rPr>
          <w:spacing w:val="-2"/>
        </w:rPr>
        <w:t>where</w:t>
      </w:r>
      <w:r>
        <w:rPr>
          <w:spacing w:val="4"/>
        </w:rPr>
        <w:t xml:space="preserve"> </w:t>
      </w:r>
      <w:r>
        <w:rPr>
          <w:spacing w:val="-1"/>
        </w:rPr>
        <w:t>all</w:t>
      </w:r>
      <w:r>
        <w:rPr>
          <w:spacing w:val="3"/>
        </w:rPr>
        <w:t xml:space="preserve"> </w:t>
      </w:r>
      <w:r>
        <w:rPr>
          <w:spacing w:val="-1"/>
        </w:rPr>
        <w:t>or</w:t>
      </w:r>
      <w:r>
        <w:rPr>
          <w:spacing w:val="5"/>
        </w:rPr>
        <w:t xml:space="preserve"> </w:t>
      </w:r>
      <w:r>
        <w:rPr>
          <w:spacing w:val="-1"/>
        </w:rPr>
        <w:t>part</w:t>
      </w:r>
      <w:r>
        <w:rPr>
          <w:spacing w:val="5"/>
        </w:rPr>
        <w:t xml:space="preserve"> </w:t>
      </w:r>
      <w:r>
        <w:rPr>
          <w:spacing w:val="-2"/>
        </w:rPr>
        <w:t>of</w:t>
      </w:r>
      <w:r>
        <w:rPr>
          <w:spacing w:val="5"/>
        </w:rPr>
        <w:t xml:space="preserve"> </w:t>
      </w:r>
      <w:r>
        <w:rPr>
          <w:spacing w:val="-1"/>
        </w:rPr>
        <w:t>the</w:t>
      </w:r>
      <w:r>
        <w:rPr>
          <w:spacing w:val="4"/>
        </w:rPr>
        <w:t xml:space="preserve"> </w:t>
      </w:r>
      <w:r>
        <w:rPr>
          <w:spacing w:val="-2"/>
        </w:rPr>
        <w:t>Call</w:t>
      </w:r>
      <w:r>
        <w:rPr>
          <w:spacing w:val="1"/>
        </w:rPr>
        <w:t xml:space="preserve"> </w:t>
      </w:r>
      <w:r>
        <w:rPr>
          <w:spacing w:val="-1"/>
        </w:rPr>
        <w:t>Off</w:t>
      </w:r>
      <w:r>
        <w:rPr>
          <w:spacing w:val="41"/>
        </w:rPr>
        <w:t xml:space="preserve"> </w:t>
      </w:r>
      <w:r>
        <w:rPr>
          <w:spacing w:val="-1"/>
        </w:rPr>
        <w:t>Contract</w:t>
      </w:r>
      <w:r>
        <w:rPr>
          <w:spacing w:val="20"/>
        </w:rPr>
        <w:t xml:space="preserve"> </w:t>
      </w:r>
      <w:r>
        <w:rPr>
          <w:spacing w:val="-1"/>
        </w:rPr>
        <w:t>Charges</w:t>
      </w:r>
      <w:r>
        <w:rPr>
          <w:spacing w:val="19"/>
        </w:rPr>
        <w:t xml:space="preserve"> </w:t>
      </w:r>
      <w:r>
        <w:rPr>
          <w:spacing w:val="-1"/>
        </w:rPr>
        <w:t>are</w:t>
      </w:r>
      <w:r>
        <w:rPr>
          <w:spacing w:val="16"/>
        </w:rPr>
        <w:t xml:space="preserve"> </w:t>
      </w:r>
      <w:r>
        <w:rPr>
          <w:spacing w:val="-1"/>
        </w:rPr>
        <w:t>reduced</w:t>
      </w:r>
      <w:r>
        <w:rPr>
          <w:spacing w:val="18"/>
        </w:rPr>
        <w:t xml:space="preserve"> </w:t>
      </w:r>
      <w:r>
        <w:rPr>
          <w:spacing w:val="-1"/>
        </w:rPr>
        <w:t>as</w:t>
      </w:r>
      <w:r>
        <w:rPr>
          <w:spacing w:val="19"/>
        </w:rPr>
        <w:t xml:space="preserve"> </w:t>
      </w:r>
      <w:r>
        <w:t>a</w:t>
      </w:r>
      <w:r>
        <w:rPr>
          <w:spacing w:val="18"/>
        </w:rPr>
        <w:t xml:space="preserve"> </w:t>
      </w:r>
      <w:r>
        <w:rPr>
          <w:spacing w:val="-1"/>
        </w:rPr>
        <w:t>result</w:t>
      </w:r>
      <w:r>
        <w:rPr>
          <w:spacing w:val="20"/>
        </w:rPr>
        <w:t xml:space="preserve"> </w:t>
      </w:r>
      <w:r>
        <w:rPr>
          <w:spacing w:val="-2"/>
        </w:rPr>
        <w:t>of</w:t>
      </w:r>
      <w:r>
        <w:rPr>
          <w:spacing w:val="20"/>
        </w:rPr>
        <w:t xml:space="preserve"> </w:t>
      </w:r>
      <w:r>
        <w:t>a</w:t>
      </w:r>
      <w:r>
        <w:rPr>
          <w:spacing w:val="18"/>
        </w:rPr>
        <w:t xml:space="preserve"> </w:t>
      </w:r>
      <w:r>
        <w:rPr>
          <w:spacing w:val="-1"/>
        </w:rPr>
        <w:t>reduction</w:t>
      </w:r>
      <w:r>
        <w:rPr>
          <w:spacing w:val="18"/>
        </w:rPr>
        <w:t xml:space="preserve"> </w:t>
      </w:r>
      <w:r>
        <w:rPr>
          <w:spacing w:val="-1"/>
        </w:rPr>
        <w:t>in</w:t>
      </w:r>
      <w:r>
        <w:rPr>
          <w:spacing w:val="18"/>
        </w:rPr>
        <w:t xml:space="preserve"> </w:t>
      </w:r>
      <w:r>
        <w:rPr>
          <w:spacing w:val="-1"/>
        </w:rPr>
        <w:t>the</w:t>
      </w:r>
      <w:r>
        <w:rPr>
          <w:spacing w:val="34"/>
        </w:rPr>
        <w:t xml:space="preserve"> </w:t>
      </w:r>
      <w:r>
        <w:rPr>
          <w:spacing w:val="-2"/>
        </w:rPr>
        <w:t>Framework</w:t>
      </w:r>
      <w:r>
        <w:rPr>
          <w:spacing w:val="3"/>
        </w:rPr>
        <w:t xml:space="preserve"> </w:t>
      </w:r>
      <w:r>
        <w:rPr>
          <w:spacing w:val="-1"/>
        </w:rPr>
        <w:t>Prices;</w:t>
      </w:r>
    </w:p>
    <w:p w:rsidR="008918FA" w:rsidRDefault="008918FA" w:rsidP="008918FA">
      <w:pPr>
        <w:pStyle w:val="BodyText"/>
        <w:numPr>
          <w:ilvl w:val="2"/>
          <w:numId w:val="30"/>
        </w:numPr>
        <w:tabs>
          <w:tab w:val="left" w:pos="2027"/>
        </w:tabs>
        <w:spacing w:before="121"/>
        <w:ind w:right="113"/>
        <w:jc w:val="both"/>
      </w:pPr>
      <w:bookmarkStart w:id="360" w:name="_bookmark294"/>
      <w:bookmarkEnd w:id="360"/>
      <w:r>
        <w:rPr>
          <w:spacing w:val="-2"/>
        </w:rPr>
        <w:t>where</w:t>
      </w:r>
      <w:r>
        <w:rPr>
          <w:spacing w:val="34"/>
        </w:rPr>
        <w:t xml:space="preserve"> </w:t>
      </w:r>
      <w:r>
        <w:rPr>
          <w:spacing w:val="-1"/>
        </w:rPr>
        <w:t>all</w:t>
      </w:r>
      <w:r>
        <w:rPr>
          <w:spacing w:val="33"/>
        </w:rPr>
        <w:t xml:space="preserve"> </w:t>
      </w:r>
      <w:r>
        <w:rPr>
          <w:spacing w:val="-1"/>
        </w:rPr>
        <w:t>or</w:t>
      </w:r>
      <w:r>
        <w:rPr>
          <w:spacing w:val="35"/>
        </w:rPr>
        <w:t xml:space="preserve"> </w:t>
      </w:r>
      <w:r>
        <w:rPr>
          <w:spacing w:val="-1"/>
        </w:rPr>
        <w:t>part</w:t>
      </w:r>
      <w:r>
        <w:rPr>
          <w:spacing w:val="33"/>
        </w:rPr>
        <w:t xml:space="preserve"> </w:t>
      </w:r>
      <w:r>
        <w:rPr>
          <w:spacing w:val="-2"/>
        </w:rPr>
        <w:t>of</w:t>
      </w:r>
      <w:r>
        <w:rPr>
          <w:spacing w:val="35"/>
        </w:rPr>
        <w:t xml:space="preserve"> </w:t>
      </w:r>
      <w:r>
        <w:t>the</w:t>
      </w:r>
      <w:r>
        <w:rPr>
          <w:spacing w:val="31"/>
        </w:rPr>
        <w:t xml:space="preserve"> </w:t>
      </w:r>
      <w:r>
        <w:rPr>
          <w:spacing w:val="-2"/>
        </w:rPr>
        <w:t>Call</w:t>
      </w:r>
      <w:r>
        <w:rPr>
          <w:spacing w:val="34"/>
        </w:rPr>
        <w:t xml:space="preserve"> </w:t>
      </w:r>
      <w:r>
        <w:rPr>
          <w:spacing w:val="-1"/>
        </w:rPr>
        <w:t>Off</w:t>
      </w:r>
      <w:r>
        <w:rPr>
          <w:spacing w:val="35"/>
        </w:rPr>
        <w:t xml:space="preserve"> </w:t>
      </w:r>
      <w:r>
        <w:rPr>
          <w:spacing w:val="-1"/>
        </w:rPr>
        <w:t>Contract</w:t>
      </w:r>
      <w:r>
        <w:rPr>
          <w:spacing w:val="36"/>
        </w:rPr>
        <w:t xml:space="preserve"> </w:t>
      </w:r>
      <w:r>
        <w:rPr>
          <w:spacing w:val="-2"/>
        </w:rPr>
        <w:t>Charges</w:t>
      </w:r>
      <w:r>
        <w:rPr>
          <w:spacing w:val="34"/>
        </w:rPr>
        <w:t xml:space="preserve"> </w:t>
      </w:r>
      <w:r>
        <w:rPr>
          <w:spacing w:val="-1"/>
        </w:rPr>
        <w:t>are</w:t>
      </w:r>
      <w:r>
        <w:rPr>
          <w:spacing w:val="31"/>
        </w:rPr>
        <w:t xml:space="preserve"> </w:t>
      </w:r>
      <w:r>
        <w:rPr>
          <w:spacing w:val="-1"/>
        </w:rPr>
        <w:t>reduced</w:t>
      </w:r>
      <w:r>
        <w:rPr>
          <w:spacing w:val="34"/>
        </w:rPr>
        <w:t xml:space="preserve"> </w:t>
      </w:r>
      <w:r>
        <w:rPr>
          <w:spacing w:val="-2"/>
        </w:rPr>
        <w:t>as</w:t>
      </w:r>
      <w:r>
        <w:rPr>
          <w:spacing w:val="35"/>
        </w:rPr>
        <w:t xml:space="preserve"> </w:t>
      </w:r>
      <w:r>
        <w:t>a</w:t>
      </w:r>
      <w:r>
        <w:rPr>
          <w:spacing w:val="49"/>
        </w:rPr>
        <w:t xml:space="preserve"> </w:t>
      </w:r>
      <w:r>
        <w:rPr>
          <w:spacing w:val="-1"/>
        </w:rPr>
        <w:t>result</w:t>
      </w:r>
      <w:r>
        <w:rPr>
          <w:spacing w:val="16"/>
        </w:rPr>
        <w:t xml:space="preserve"> </w:t>
      </w:r>
      <w:r>
        <w:rPr>
          <w:spacing w:val="-2"/>
        </w:rPr>
        <w:t>of</w:t>
      </w:r>
      <w:r>
        <w:rPr>
          <w:spacing w:val="16"/>
        </w:rPr>
        <w:t xml:space="preserve"> </w:t>
      </w:r>
      <w:r>
        <w:t>a</w:t>
      </w:r>
      <w:r>
        <w:rPr>
          <w:spacing w:val="15"/>
        </w:rPr>
        <w:t xml:space="preserve"> </w:t>
      </w:r>
      <w:r>
        <w:rPr>
          <w:spacing w:val="-2"/>
        </w:rPr>
        <w:t>review</w:t>
      </w:r>
      <w:r>
        <w:rPr>
          <w:spacing w:val="12"/>
        </w:rPr>
        <w:t xml:space="preserve"> </w:t>
      </w:r>
      <w:r>
        <w:rPr>
          <w:spacing w:val="-1"/>
        </w:rPr>
        <w:t>of</w:t>
      </w:r>
      <w:r>
        <w:rPr>
          <w:spacing w:val="19"/>
        </w:rPr>
        <w:t xml:space="preserve"> </w:t>
      </w:r>
      <w:r>
        <w:t>the</w:t>
      </w:r>
      <w:r>
        <w:rPr>
          <w:spacing w:val="12"/>
        </w:rPr>
        <w:t xml:space="preserve"> </w:t>
      </w:r>
      <w:r>
        <w:rPr>
          <w:spacing w:val="-2"/>
        </w:rPr>
        <w:t>Call</w:t>
      </w:r>
      <w:r>
        <w:rPr>
          <w:spacing w:val="14"/>
        </w:rPr>
        <w:t xml:space="preserve"> </w:t>
      </w:r>
      <w:r>
        <w:t>Off</w:t>
      </w:r>
      <w:r>
        <w:rPr>
          <w:spacing w:val="16"/>
        </w:rPr>
        <w:t xml:space="preserve"> </w:t>
      </w:r>
      <w:r>
        <w:rPr>
          <w:spacing w:val="-2"/>
        </w:rPr>
        <w:t>Contract</w:t>
      </w:r>
      <w:r>
        <w:rPr>
          <w:spacing w:val="16"/>
        </w:rPr>
        <w:t xml:space="preserve"> </w:t>
      </w:r>
      <w:r>
        <w:rPr>
          <w:spacing w:val="-1"/>
        </w:rPr>
        <w:t>Charges</w:t>
      </w:r>
      <w:r>
        <w:rPr>
          <w:spacing w:val="15"/>
        </w:rPr>
        <w:t xml:space="preserve"> </w:t>
      </w:r>
      <w:r>
        <w:rPr>
          <w:spacing w:val="-1"/>
        </w:rPr>
        <w:t>in</w:t>
      </w:r>
      <w:r>
        <w:rPr>
          <w:spacing w:val="15"/>
        </w:rPr>
        <w:t xml:space="preserve"> </w:t>
      </w:r>
      <w:r>
        <w:rPr>
          <w:spacing w:val="-1"/>
        </w:rPr>
        <w:t>accordance</w:t>
      </w:r>
      <w:r>
        <w:rPr>
          <w:spacing w:val="15"/>
        </w:rPr>
        <w:t xml:space="preserve"> </w:t>
      </w:r>
      <w:r>
        <w:rPr>
          <w:spacing w:val="-2"/>
        </w:rPr>
        <w:t>with</w:t>
      </w:r>
      <w:r>
        <w:rPr>
          <w:spacing w:val="53"/>
        </w:rPr>
        <w:t xml:space="preserve"> </w:t>
      </w:r>
      <w:r>
        <w:rPr>
          <w:spacing w:val="-2"/>
        </w:rPr>
        <w:t>Clause</w:t>
      </w:r>
      <w:r>
        <w:rPr>
          <w:spacing w:val="1"/>
        </w:rPr>
        <w:t xml:space="preserve"> </w:t>
      </w:r>
      <w:hyperlink w:anchor="_bookmark108" w:history="1">
        <w:r>
          <w:rPr>
            <w:spacing w:val="-1"/>
          </w:rPr>
          <w:t>18</w:t>
        </w:r>
      </w:hyperlink>
      <w:r>
        <w:t xml:space="preserve"> </w:t>
      </w:r>
      <w:r>
        <w:rPr>
          <w:spacing w:val="-2"/>
        </w:rPr>
        <w:t>of</w:t>
      </w:r>
      <w:r>
        <w:rPr>
          <w:spacing w:val="2"/>
        </w:rPr>
        <w:t xml:space="preserve"> </w:t>
      </w:r>
      <w:r>
        <w:rPr>
          <w:spacing w:val="-1"/>
        </w:rPr>
        <w:t>this</w:t>
      </w:r>
      <w:r>
        <w:rPr>
          <w:spacing w:val="-2"/>
        </w:rPr>
        <w:t xml:space="preserve"> Call</w:t>
      </w:r>
      <w:r>
        <w:t xml:space="preserve"> </w:t>
      </w:r>
      <w:r>
        <w:rPr>
          <w:spacing w:val="-1"/>
        </w:rPr>
        <w:t>Off</w:t>
      </w:r>
      <w:r>
        <w:t xml:space="preserve"> </w:t>
      </w:r>
      <w:r>
        <w:rPr>
          <w:spacing w:val="-1"/>
        </w:rPr>
        <w:t>Contract</w:t>
      </w:r>
      <w:r>
        <w:rPr>
          <w:spacing w:val="1"/>
        </w:rPr>
        <w:t xml:space="preserve"> </w:t>
      </w:r>
      <w:r>
        <w:rPr>
          <w:spacing w:val="-1"/>
        </w:rPr>
        <w:t>(Continuous</w:t>
      </w:r>
      <w:r>
        <w:rPr>
          <w:spacing w:val="-2"/>
        </w:rPr>
        <w:t xml:space="preserve"> </w:t>
      </w:r>
      <w:r>
        <w:rPr>
          <w:spacing w:val="-1"/>
        </w:rPr>
        <w:t>Improvement);</w:t>
      </w:r>
    </w:p>
    <w:p w:rsidR="008918FA" w:rsidRDefault="008918FA" w:rsidP="008918FA">
      <w:pPr>
        <w:pStyle w:val="BodyText"/>
        <w:numPr>
          <w:ilvl w:val="2"/>
          <w:numId w:val="30"/>
        </w:numPr>
        <w:tabs>
          <w:tab w:val="left" w:pos="2026"/>
        </w:tabs>
        <w:ind w:left="2025" w:right="113" w:hanging="993"/>
        <w:jc w:val="both"/>
      </w:pPr>
      <w:bookmarkStart w:id="361" w:name="_bookmark295"/>
      <w:bookmarkEnd w:id="361"/>
      <w:r>
        <w:rPr>
          <w:spacing w:val="-2"/>
        </w:rPr>
        <w:t>where</w:t>
      </w:r>
      <w:r>
        <w:rPr>
          <w:spacing w:val="34"/>
        </w:rPr>
        <w:t xml:space="preserve"> </w:t>
      </w:r>
      <w:r>
        <w:rPr>
          <w:spacing w:val="-1"/>
        </w:rPr>
        <w:t>all</w:t>
      </w:r>
      <w:r>
        <w:rPr>
          <w:spacing w:val="33"/>
        </w:rPr>
        <w:t xml:space="preserve"> </w:t>
      </w:r>
      <w:r>
        <w:rPr>
          <w:spacing w:val="-1"/>
        </w:rPr>
        <w:t>or</w:t>
      </w:r>
      <w:r>
        <w:rPr>
          <w:spacing w:val="35"/>
        </w:rPr>
        <w:t xml:space="preserve"> </w:t>
      </w:r>
      <w:r>
        <w:rPr>
          <w:spacing w:val="-1"/>
        </w:rPr>
        <w:t>part</w:t>
      </w:r>
      <w:r>
        <w:rPr>
          <w:spacing w:val="33"/>
        </w:rPr>
        <w:t xml:space="preserve"> </w:t>
      </w:r>
      <w:r>
        <w:rPr>
          <w:spacing w:val="-2"/>
        </w:rPr>
        <w:t>of</w:t>
      </w:r>
      <w:r>
        <w:rPr>
          <w:spacing w:val="35"/>
        </w:rPr>
        <w:t xml:space="preserve"> </w:t>
      </w:r>
      <w:r>
        <w:t>the</w:t>
      </w:r>
      <w:r>
        <w:rPr>
          <w:spacing w:val="31"/>
        </w:rPr>
        <w:t xml:space="preserve"> </w:t>
      </w:r>
      <w:r>
        <w:rPr>
          <w:spacing w:val="-2"/>
        </w:rPr>
        <w:t>Call</w:t>
      </w:r>
      <w:r>
        <w:rPr>
          <w:spacing w:val="34"/>
        </w:rPr>
        <w:t xml:space="preserve"> </w:t>
      </w:r>
      <w:r>
        <w:rPr>
          <w:spacing w:val="-1"/>
        </w:rPr>
        <w:t>Off</w:t>
      </w:r>
      <w:r>
        <w:rPr>
          <w:spacing w:val="35"/>
        </w:rPr>
        <w:t xml:space="preserve"> </w:t>
      </w:r>
      <w:r>
        <w:rPr>
          <w:spacing w:val="-1"/>
        </w:rPr>
        <w:t>Contract</w:t>
      </w:r>
      <w:r>
        <w:rPr>
          <w:spacing w:val="36"/>
        </w:rPr>
        <w:t xml:space="preserve"> </w:t>
      </w:r>
      <w:r>
        <w:rPr>
          <w:spacing w:val="-2"/>
        </w:rPr>
        <w:t>Charges</w:t>
      </w:r>
      <w:r>
        <w:rPr>
          <w:spacing w:val="34"/>
        </w:rPr>
        <w:t xml:space="preserve"> </w:t>
      </w:r>
      <w:r>
        <w:rPr>
          <w:spacing w:val="-1"/>
        </w:rPr>
        <w:t>are</w:t>
      </w:r>
      <w:r>
        <w:rPr>
          <w:spacing w:val="31"/>
        </w:rPr>
        <w:t xml:space="preserve"> </w:t>
      </w:r>
      <w:r>
        <w:rPr>
          <w:spacing w:val="-1"/>
        </w:rPr>
        <w:t>reduced</w:t>
      </w:r>
      <w:r>
        <w:rPr>
          <w:spacing w:val="34"/>
        </w:rPr>
        <w:t xml:space="preserve"> </w:t>
      </w:r>
      <w:r>
        <w:rPr>
          <w:spacing w:val="-2"/>
        </w:rPr>
        <w:t>as</w:t>
      </w:r>
      <w:r>
        <w:rPr>
          <w:spacing w:val="35"/>
        </w:rPr>
        <w:t xml:space="preserve"> </w:t>
      </w:r>
      <w:r>
        <w:t>a</w:t>
      </w:r>
      <w:r>
        <w:rPr>
          <w:spacing w:val="49"/>
        </w:rPr>
        <w:t xml:space="preserve"> </w:t>
      </w:r>
      <w:r>
        <w:rPr>
          <w:spacing w:val="-1"/>
        </w:rPr>
        <w:t>result</w:t>
      </w:r>
      <w:r>
        <w:rPr>
          <w:spacing w:val="50"/>
        </w:rPr>
        <w:t xml:space="preserve"> </w:t>
      </w:r>
      <w:r>
        <w:rPr>
          <w:spacing w:val="-2"/>
        </w:rPr>
        <w:t>of</w:t>
      </w:r>
      <w:r>
        <w:rPr>
          <w:spacing w:val="52"/>
        </w:rPr>
        <w:t xml:space="preserve"> </w:t>
      </w:r>
      <w:r>
        <w:t>a</w:t>
      </w:r>
      <w:r>
        <w:rPr>
          <w:spacing w:val="48"/>
        </w:rPr>
        <w:t xml:space="preserve"> </w:t>
      </w:r>
      <w:r>
        <w:rPr>
          <w:spacing w:val="-1"/>
        </w:rPr>
        <w:t>review</w:t>
      </w:r>
      <w:r>
        <w:rPr>
          <w:spacing w:val="45"/>
        </w:rPr>
        <w:t xml:space="preserve"> </w:t>
      </w:r>
      <w:r>
        <w:rPr>
          <w:spacing w:val="-1"/>
        </w:rPr>
        <w:t>of</w:t>
      </w:r>
      <w:r>
        <w:rPr>
          <w:spacing w:val="52"/>
        </w:rPr>
        <w:t xml:space="preserve"> </w:t>
      </w:r>
      <w:r>
        <w:rPr>
          <w:spacing w:val="-2"/>
        </w:rPr>
        <w:t>Call</w:t>
      </w:r>
      <w:r>
        <w:rPr>
          <w:spacing w:val="47"/>
        </w:rPr>
        <w:t xml:space="preserve"> </w:t>
      </w:r>
      <w:r>
        <w:t>Off</w:t>
      </w:r>
      <w:r>
        <w:rPr>
          <w:spacing w:val="53"/>
        </w:rPr>
        <w:t xml:space="preserve"> </w:t>
      </w:r>
      <w:r>
        <w:rPr>
          <w:spacing w:val="-1"/>
        </w:rPr>
        <w:t>Contract</w:t>
      </w:r>
      <w:r>
        <w:rPr>
          <w:spacing w:val="50"/>
        </w:rPr>
        <w:t xml:space="preserve"> </w:t>
      </w:r>
      <w:r>
        <w:rPr>
          <w:spacing w:val="-1"/>
        </w:rPr>
        <w:t>Charges</w:t>
      </w:r>
      <w:r>
        <w:rPr>
          <w:spacing w:val="49"/>
        </w:rPr>
        <w:t xml:space="preserve"> </w:t>
      </w:r>
      <w:r>
        <w:rPr>
          <w:spacing w:val="-1"/>
        </w:rPr>
        <w:t>in</w:t>
      </w:r>
      <w:r>
        <w:rPr>
          <w:spacing w:val="48"/>
        </w:rPr>
        <w:t xml:space="preserve"> </w:t>
      </w:r>
      <w:r>
        <w:rPr>
          <w:spacing w:val="-1"/>
        </w:rPr>
        <w:t>accordance</w:t>
      </w:r>
      <w:r>
        <w:rPr>
          <w:spacing w:val="51"/>
        </w:rPr>
        <w:t xml:space="preserve"> </w:t>
      </w:r>
      <w:r>
        <w:rPr>
          <w:spacing w:val="-2"/>
        </w:rPr>
        <w:t>with</w:t>
      </w:r>
      <w:r>
        <w:rPr>
          <w:spacing w:val="37"/>
        </w:rPr>
        <w:t xml:space="preserve"> </w:t>
      </w:r>
      <w:r>
        <w:rPr>
          <w:spacing w:val="-2"/>
        </w:rPr>
        <w:t>Clause</w:t>
      </w:r>
      <w:r>
        <w:rPr>
          <w:spacing w:val="1"/>
        </w:rPr>
        <w:t xml:space="preserve"> </w:t>
      </w:r>
      <w:r>
        <w:rPr>
          <w:spacing w:val="-1"/>
        </w:rPr>
        <w:t xml:space="preserve">and/or </w:t>
      </w:r>
      <w:r>
        <w:rPr>
          <w:spacing w:val="-2"/>
        </w:rPr>
        <w:t>Clause</w:t>
      </w:r>
      <w:r>
        <w:rPr>
          <w:spacing w:val="1"/>
        </w:rPr>
        <w:t xml:space="preserve"> </w:t>
      </w:r>
      <w:hyperlink w:anchor="_bookmark135" w:history="1">
        <w:r>
          <w:rPr>
            <w:spacing w:val="-1"/>
          </w:rPr>
          <w:t>25</w:t>
        </w:r>
      </w:hyperlink>
      <w:r>
        <w:rPr>
          <w:spacing w:val="-1"/>
        </w:rPr>
        <w:t xml:space="preserve"> </w:t>
      </w:r>
      <w:r>
        <w:rPr>
          <w:spacing w:val="-2"/>
        </w:rPr>
        <w:t>of</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2"/>
        </w:rPr>
        <w:t>Contract</w:t>
      </w:r>
      <w:r>
        <w:t xml:space="preserve"> </w:t>
      </w:r>
      <w:r>
        <w:rPr>
          <w:spacing w:val="-1"/>
        </w:rPr>
        <w:t>(Benchmarking);</w:t>
      </w:r>
    </w:p>
    <w:p w:rsidR="008918FA" w:rsidRDefault="008918FA" w:rsidP="008918FA">
      <w:pPr>
        <w:pStyle w:val="BodyText"/>
        <w:numPr>
          <w:ilvl w:val="2"/>
          <w:numId w:val="30"/>
        </w:numPr>
        <w:tabs>
          <w:tab w:val="left" w:pos="2026"/>
        </w:tabs>
        <w:ind w:left="2025" w:right="118" w:hanging="993"/>
        <w:jc w:val="both"/>
      </w:pPr>
      <w:bookmarkStart w:id="362" w:name="_bookmark296"/>
      <w:bookmarkEnd w:id="362"/>
      <w:r>
        <w:rPr>
          <w:spacing w:val="-2"/>
        </w:rPr>
        <w:t>where</w:t>
      </w:r>
      <w:r>
        <w:rPr>
          <w:spacing w:val="34"/>
        </w:rPr>
        <w:t xml:space="preserve"> </w:t>
      </w:r>
      <w:r>
        <w:rPr>
          <w:spacing w:val="-1"/>
        </w:rPr>
        <w:t>all</w:t>
      </w:r>
      <w:r>
        <w:rPr>
          <w:spacing w:val="33"/>
        </w:rPr>
        <w:t xml:space="preserve"> </w:t>
      </w:r>
      <w:r>
        <w:rPr>
          <w:spacing w:val="-1"/>
        </w:rPr>
        <w:t>or</w:t>
      </w:r>
      <w:r>
        <w:rPr>
          <w:spacing w:val="35"/>
        </w:rPr>
        <w:t xml:space="preserve"> </w:t>
      </w:r>
      <w:r>
        <w:rPr>
          <w:spacing w:val="-1"/>
        </w:rPr>
        <w:t>part</w:t>
      </w:r>
      <w:r>
        <w:rPr>
          <w:spacing w:val="33"/>
        </w:rPr>
        <w:t xml:space="preserve"> </w:t>
      </w:r>
      <w:r>
        <w:rPr>
          <w:spacing w:val="-2"/>
        </w:rPr>
        <w:t>of</w:t>
      </w:r>
      <w:r>
        <w:rPr>
          <w:spacing w:val="35"/>
        </w:rPr>
        <w:t xml:space="preserve"> </w:t>
      </w:r>
      <w:r>
        <w:t>the</w:t>
      </w:r>
      <w:r>
        <w:rPr>
          <w:spacing w:val="29"/>
        </w:rPr>
        <w:t xml:space="preserve"> </w:t>
      </w:r>
      <w:r>
        <w:rPr>
          <w:spacing w:val="-2"/>
        </w:rPr>
        <w:t>Call</w:t>
      </w:r>
      <w:r>
        <w:rPr>
          <w:spacing w:val="33"/>
        </w:rPr>
        <w:t xml:space="preserve"> </w:t>
      </w:r>
      <w:r>
        <w:rPr>
          <w:spacing w:val="-1"/>
        </w:rPr>
        <w:t>Off</w:t>
      </w:r>
      <w:r>
        <w:rPr>
          <w:spacing w:val="36"/>
        </w:rPr>
        <w:t xml:space="preserve"> </w:t>
      </w:r>
      <w:r>
        <w:rPr>
          <w:spacing w:val="-1"/>
        </w:rPr>
        <w:t>Contract</w:t>
      </w:r>
      <w:r>
        <w:rPr>
          <w:spacing w:val="33"/>
        </w:rPr>
        <w:t xml:space="preserve"> </w:t>
      </w:r>
      <w:r>
        <w:rPr>
          <w:spacing w:val="-2"/>
        </w:rPr>
        <w:t>Charges</w:t>
      </w:r>
      <w:r>
        <w:rPr>
          <w:spacing w:val="34"/>
        </w:rPr>
        <w:t xml:space="preserve"> </w:t>
      </w:r>
      <w:r>
        <w:rPr>
          <w:spacing w:val="-1"/>
        </w:rPr>
        <w:t>are</w:t>
      </w:r>
      <w:r>
        <w:rPr>
          <w:spacing w:val="31"/>
        </w:rPr>
        <w:t xml:space="preserve"> </w:t>
      </w:r>
      <w:r>
        <w:rPr>
          <w:spacing w:val="-2"/>
        </w:rPr>
        <w:t>reviewed</w:t>
      </w:r>
      <w:r>
        <w:rPr>
          <w:spacing w:val="34"/>
        </w:rPr>
        <w:t xml:space="preserve"> </w:t>
      </w:r>
      <w:r>
        <w:rPr>
          <w:spacing w:val="-1"/>
        </w:rPr>
        <w:t>and</w:t>
      </w:r>
      <w:r>
        <w:rPr>
          <w:spacing w:val="50"/>
        </w:rPr>
        <w:t xml:space="preserve"> </w:t>
      </w:r>
      <w:r>
        <w:rPr>
          <w:spacing w:val="-1"/>
        </w:rPr>
        <w:t>reduced</w:t>
      </w:r>
      <w:r>
        <w:t xml:space="preserve"> </w:t>
      </w:r>
      <w:r>
        <w:rPr>
          <w:spacing w:val="-1"/>
        </w:rPr>
        <w:t>in</w:t>
      </w:r>
      <w:r>
        <w:t xml:space="preserve"> </w:t>
      </w:r>
      <w:r>
        <w:rPr>
          <w:spacing w:val="-1"/>
        </w:rPr>
        <w:t>accordance</w:t>
      </w:r>
      <w:r>
        <w:rPr>
          <w:spacing w:val="-2"/>
        </w:rPr>
        <w:t xml:space="preserve"> with</w:t>
      </w:r>
      <w:r>
        <w:t xml:space="preserve"> </w:t>
      </w:r>
      <w:r>
        <w:rPr>
          <w:spacing w:val="-1"/>
        </w:rPr>
        <w:t>paragrap</w:t>
      </w:r>
      <w:hyperlink w:anchor="_bookmark298" w:history="1">
        <w:r>
          <w:rPr>
            <w:spacing w:val="-1"/>
          </w:rPr>
          <w:t>h</w:t>
        </w:r>
        <w:r>
          <w:t xml:space="preserve"> 8</w:t>
        </w:r>
      </w:hyperlink>
      <w:r>
        <w:rPr>
          <w:spacing w:val="-1"/>
        </w:rPr>
        <w:t xml:space="preserve"> </w:t>
      </w:r>
      <w:r>
        <w:rPr>
          <w:spacing w:val="-2"/>
        </w:rPr>
        <w:t>of</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Schedule;</w:t>
      </w:r>
    </w:p>
    <w:p w:rsidR="008918FA" w:rsidRDefault="008918FA" w:rsidP="008918FA">
      <w:pPr>
        <w:pStyle w:val="BodyText"/>
        <w:numPr>
          <w:ilvl w:val="2"/>
          <w:numId w:val="30"/>
        </w:numPr>
        <w:tabs>
          <w:tab w:val="left" w:pos="2027"/>
        </w:tabs>
        <w:ind w:right="115"/>
        <w:jc w:val="both"/>
      </w:pPr>
      <w:bookmarkStart w:id="363" w:name="_bookmark297"/>
      <w:bookmarkEnd w:id="363"/>
      <w:r>
        <w:rPr>
          <w:spacing w:val="-2"/>
        </w:rPr>
        <w:t>where</w:t>
      </w:r>
      <w:r>
        <w:rPr>
          <w:spacing w:val="3"/>
        </w:rPr>
        <w:t xml:space="preserve"> </w:t>
      </w:r>
      <w:r>
        <w:t>a</w:t>
      </w:r>
      <w:r>
        <w:rPr>
          <w:spacing w:val="3"/>
        </w:rPr>
        <w:t xml:space="preserve"> </w:t>
      </w:r>
      <w:r>
        <w:rPr>
          <w:spacing w:val="-1"/>
        </w:rPr>
        <w:t>review</w:t>
      </w:r>
      <w:r>
        <w:t xml:space="preserve"> </w:t>
      </w:r>
      <w:r>
        <w:rPr>
          <w:spacing w:val="-1"/>
        </w:rPr>
        <w:t>and</w:t>
      </w:r>
      <w:r>
        <w:rPr>
          <w:spacing w:val="5"/>
        </w:rPr>
        <w:t xml:space="preserve"> </w:t>
      </w:r>
      <w:r>
        <w:rPr>
          <w:spacing w:val="-1"/>
        </w:rPr>
        <w:t>increase</w:t>
      </w:r>
      <w:r>
        <w:rPr>
          <w:spacing w:val="3"/>
        </w:rPr>
        <w:t xml:space="preserve"> </w:t>
      </w:r>
      <w:r>
        <w:rPr>
          <w:spacing w:val="-2"/>
        </w:rPr>
        <w:t>of</w:t>
      </w:r>
      <w:r>
        <w:rPr>
          <w:spacing w:val="6"/>
        </w:rPr>
        <w:t xml:space="preserve"> </w:t>
      </w:r>
      <w:r>
        <w:rPr>
          <w:spacing w:val="-2"/>
        </w:rPr>
        <w:t>Call</w:t>
      </w:r>
      <w:r>
        <w:rPr>
          <w:spacing w:val="2"/>
        </w:rPr>
        <w:t xml:space="preserve"> </w:t>
      </w:r>
      <w:r>
        <w:rPr>
          <w:spacing w:val="-1"/>
        </w:rPr>
        <w:t>Off</w:t>
      </w:r>
      <w:r>
        <w:rPr>
          <w:spacing w:val="4"/>
        </w:rPr>
        <w:t xml:space="preserve"> </w:t>
      </w:r>
      <w:r>
        <w:rPr>
          <w:spacing w:val="-1"/>
        </w:rPr>
        <w:t>Contract</w:t>
      </w:r>
      <w:r>
        <w:rPr>
          <w:spacing w:val="2"/>
        </w:rPr>
        <w:t xml:space="preserve"> </w:t>
      </w:r>
      <w:r>
        <w:rPr>
          <w:spacing w:val="-1"/>
        </w:rPr>
        <w:t>Charges</w:t>
      </w:r>
      <w:r>
        <w:rPr>
          <w:spacing w:val="3"/>
        </w:rPr>
        <w:t xml:space="preserve"> </w:t>
      </w:r>
      <w:r>
        <w:rPr>
          <w:spacing w:val="-1"/>
        </w:rPr>
        <w:t>is</w:t>
      </w:r>
      <w:r>
        <w:rPr>
          <w:spacing w:val="3"/>
        </w:rPr>
        <w:t xml:space="preserve"> </w:t>
      </w:r>
      <w:r>
        <w:rPr>
          <w:spacing w:val="-1"/>
        </w:rPr>
        <w:t>requested</w:t>
      </w:r>
      <w:r>
        <w:rPr>
          <w:spacing w:val="38"/>
        </w:rPr>
        <w:t xml:space="preserve"> </w:t>
      </w:r>
      <w:r>
        <w:rPr>
          <w:spacing w:val="-1"/>
        </w:rPr>
        <w:t>by</w:t>
      </w:r>
      <w:r>
        <w:rPr>
          <w:spacing w:val="39"/>
        </w:rPr>
        <w:t xml:space="preserve"> </w:t>
      </w:r>
      <w:r>
        <w:t>the</w:t>
      </w:r>
      <w:r>
        <w:rPr>
          <w:spacing w:val="41"/>
        </w:rPr>
        <w:t xml:space="preserve"> </w:t>
      </w:r>
      <w:r>
        <w:rPr>
          <w:spacing w:val="-2"/>
        </w:rPr>
        <w:t>Supplier</w:t>
      </w:r>
      <w:r>
        <w:rPr>
          <w:spacing w:val="42"/>
        </w:rPr>
        <w:t xml:space="preserve"> </w:t>
      </w:r>
      <w:r>
        <w:rPr>
          <w:spacing w:val="-1"/>
        </w:rPr>
        <w:t>and</w:t>
      </w:r>
      <w:r>
        <w:rPr>
          <w:spacing w:val="41"/>
        </w:rPr>
        <w:t xml:space="preserve"> </w:t>
      </w:r>
      <w:r>
        <w:rPr>
          <w:spacing w:val="-1"/>
        </w:rPr>
        <w:t>Approved,</w:t>
      </w:r>
      <w:r>
        <w:rPr>
          <w:spacing w:val="42"/>
        </w:rPr>
        <w:t xml:space="preserve"> </w:t>
      </w:r>
      <w:r>
        <w:rPr>
          <w:spacing w:val="-1"/>
        </w:rPr>
        <w:t>in</w:t>
      </w:r>
      <w:r>
        <w:rPr>
          <w:spacing w:val="41"/>
        </w:rPr>
        <w:t xml:space="preserve"> </w:t>
      </w:r>
      <w:r>
        <w:rPr>
          <w:spacing w:val="-1"/>
        </w:rPr>
        <w:t>accordance</w:t>
      </w:r>
      <w:r>
        <w:rPr>
          <w:spacing w:val="40"/>
        </w:rPr>
        <w:t xml:space="preserve"> </w:t>
      </w:r>
      <w:r>
        <w:rPr>
          <w:spacing w:val="-1"/>
        </w:rPr>
        <w:t>with</w:t>
      </w:r>
      <w:r>
        <w:rPr>
          <w:spacing w:val="41"/>
        </w:rPr>
        <w:t xml:space="preserve"> </w:t>
      </w:r>
      <w:r>
        <w:t>the</w:t>
      </w:r>
      <w:r>
        <w:rPr>
          <w:spacing w:val="41"/>
        </w:rPr>
        <w:t xml:space="preserve"> </w:t>
      </w:r>
      <w:r>
        <w:rPr>
          <w:spacing w:val="-2"/>
        </w:rPr>
        <w:t>provisions</w:t>
      </w:r>
      <w:r>
        <w:rPr>
          <w:spacing w:val="41"/>
        </w:rPr>
        <w:t xml:space="preserve"> </w:t>
      </w:r>
      <w:r>
        <w:rPr>
          <w:spacing w:val="-2"/>
        </w:rPr>
        <w:t>of</w:t>
      </w:r>
      <w:r>
        <w:rPr>
          <w:spacing w:val="47"/>
        </w:rPr>
        <w:t xml:space="preserve"> </w:t>
      </w:r>
      <w:r>
        <w:rPr>
          <w:spacing w:val="-1"/>
        </w:rPr>
        <w:t>paragraph</w:t>
      </w:r>
      <w:r>
        <w:rPr>
          <w:spacing w:val="-2"/>
        </w:rPr>
        <w:t xml:space="preserve"> </w:t>
      </w:r>
      <w:hyperlink w:anchor="_bookmark299" w:history="1">
        <w:r>
          <w:t>9</w:t>
        </w:r>
      </w:hyperlink>
      <w:r>
        <w:t xml:space="preserve"> </w:t>
      </w:r>
      <w:r>
        <w:rPr>
          <w:spacing w:val="-2"/>
        </w:rPr>
        <w:t>of</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2"/>
        </w:rPr>
        <w:t>Schedule;</w:t>
      </w:r>
    </w:p>
    <w:p w:rsidR="008918FA" w:rsidRDefault="008918FA" w:rsidP="008918FA">
      <w:pPr>
        <w:pStyle w:val="BodyText"/>
        <w:numPr>
          <w:ilvl w:val="1"/>
          <w:numId w:val="30"/>
        </w:numPr>
        <w:tabs>
          <w:tab w:val="left" w:pos="829"/>
        </w:tabs>
        <w:ind w:right="113"/>
        <w:jc w:val="both"/>
      </w:pPr>
      <w:r>
        <w:rPr>
          <w:spacing w:val="-1"/>
        </w:rPr>
        <w:t>Subject</w:t>
      </w:r>
      <w:r>
        <w:rPr>
          <w:spacing w:val="5"/>
        </w:rPr>
        <w:t xml:space="preserve"> </w:t>
      </w:r>
      <w:r>
        <w:t>to</w:t>
      </w:r>
      <w:r>
        <w:rPr>
          <w:spacing w:val="5"/>
        </w:rPr>
        <w:t xml:space="preserve"> </w:t>
      </w:r>
      <w:r>
        <w:rPr>
          <w:spacing w:val="-1"/>
        </w:rPr>
        <w:t>paragraphs</w:t>
      </w:r>
      <w:r>
        <w:rPr>
          <w:spacing w:val="7"/>
        </w:rPr>
        <w:t xml:space="preserve"> </w:t>
      </w:r>
      <w:hyperlink w:anchor="_bookmark292" w:history="1">
        <w:r>
          <w:rPr>
            <w:spacing w:val="-1"/>
          </w:rPr>
          <w:t>7.1.1</w:t>
        </w:r>
      </w:hyperlink>
      <w:r>
        <w:rPr>
          <w:spacing w:val="5"/>
        </w:rPr>
        <w:t xml:space="preserve"> </w:t>
      </w:r>
      <w:r>
        <w:t>to</w:t>
      </w:r>
      <w:r>
        <w:rPr>
          <w:spacing w:val="5"/>
        </w:rPr>
        <w:t xml:space="preserve"> </w:t>
      </w:r>
      <w:hyperlink w:anchor="_bookmark296" w:history="1">
        <w:r>
          <w:rPr>
            <w:spacing w:val="-1"/>
          </w:rPr>
          <w:t>7.1.5</w:t>
        </w:r>
      </w:hyperlink>
      <w:r>
        <w:rPr>
          <w:spacing w:val="5"/>
        </w:rPr>
        <w:t xml:space="preserve"> </w:t>
      </w:r>
      <w:r>
        <w:rPr>
          <w:spacing w:val="-2"/>
        </w:rPr>
        <w:t>of</w:t>
      </w:r>
      <w:r>
        <w:rPr>
          <w:spacing w:val="6"/>
        </w:rPr>
        <w:t xml:space="preserve"> </w:t>
      </w:r>
      <w:r>
        <w:rPr>
          <w:spacing w:val="-1"/>
        </w:rPr>
        <w:t>this</w:t>
      </w:r>
      <w:r>
        <w:rPr>
          <w:spacing w:val="5"/>
        </w:rPr>
        <w:t xml:space="preserve"> </w:t>
      </w:r>
      <w:r>
        <w:rPr>
          <w:spacing w:val="-2"/>
        </w:rPr>
        <w:t>Call</w:t>
      </w:r>
      <w:r>
        <w:rPr>
          <w:spacing w:val="4"/>
        </w:rPr>
        <w:t xml:space="preserve"> </w:t>
      </w:r>
      <w:r>
        <w:rPr>
          <w:spacing w:val="-1"/>
        </w:rPr>
        <w:t>Off</w:t>
      </w:r>
      <w:r>
        <w:rPr>
          <w:spacing w:val="7"/>
        </w:rPr>
        <w:t xml:space="preserve"> </w:t>
      </w:r>
      <w:r>
        <w:rPr>
          <w:spacing w:val="-1"/>
        </w:rPr>
        <w:t>Schedule,</w:t>
      </w:r>
      <w:r>
        <w:rPr>
          <w:spacing w:val="7"/>
        </w:rPr>
        <w:t xml:space="preserve"> </w:t>
      </w:r>
      <w:r>
        <w:t>the</w:t>
      </w:r>
      <w:r>
        <w:rPr>
          <w:spacing w:val="5"/>
        </w:rPr>
        <w:t xml:space="preserve"> </w:t>
      </w:r>
      <w:r>
        <w:rPr>
          <w:spacing w:val="-2"/>
        </w:rPr>
        <w:t>Call</w:t>
      </w:r>
      <w:r>
        <w:rPr>
          <w:spacing w:val="4"/>
        </w:rPr>
        <w:t xml:space="preserve"> </w:t>
      </w:r>
      <w:r>
        <w:rPr>
          <w:spacing w:val="-1"/>
        </w:rPr>
        <w:t>Off</w:t>
      </w:r>
      <w:r>
        <w:rPr>
          <w:spacing w:val="7"/>
        </w:rPr>
        <w:t xml:space="preserve"> </w:t>
      </w:r>
      <w:r>
        <w:rPr>
          <w:spacing w:val="-2"/>
        </w:rPr>
        <w:t>Contract</w:t>
      </w:r>
      <w:r>
        <w:rPr>
          <w:spacing w:val="61"/>
        </w:rPr>
        <w:t xml:space="preserve"> </w:t>
      </w:r>
      <w:r>
        <w:rPr>
          <w:spacing w:val="-1"/>
        </w:rPr>
        <w:t>Charges</w:t>
      </w:r>
      <w:r>
        <w:rPr>
          <w:spacing w:val="-2"/>
        </w:rPr>
        <w:t xml:space="preserve"> will</w:t>
      </w:r>
      <w:r>
        <w:t xml:space="preserve"> </w:t>
      </w:r>
      <w:r>
        <w:rPr>
          <w:spacing w:val="-1"/>
        </w:rPr>
        <w:t>remain</w:t>
      </w:r>
      <w:r>
        <w:rPr>
          <w:spacing w:val="-2"/>
        </w:rPr>
        <w:t xml:space="preserve"> </w:t>
      </w:r>
      <w:r>
        <w:rPr>
          <w:spacing w:val="-1"/>
        </w:rPr>
        <w:t>fixed</w:t>
      </w:r>
      <w:r>
        <w:rPr>
          <w:spacing w:val="-2"/>
        </w:rPr>
        <w:t xml:space="preserve"> </w:t>
      </w:r>
      <w:r>
        <w:t>for</w:t>
      </w:r>
      <w:r>
        <w:rPr>
          <w:spacing w:val="-1"/>
        </w:rPr>
        <w:t xml:space="preserve"> </w:t>
      </w:r>
      <w:r>
        <w:t>the</w:t>
      </w:r>
      <w:r>
        <w:rPr>
          <w:spacing w:val="-2"/>
        </w:rPr>
        <w:t xml:space="preserve"> </w:t>
      </w:r>
      <w:r>
        <w:rPr>
          <w:spacing w:val="-1"/>
        </w:rPr>
        <w:t>first</w:t>
      </w:r>
      <w:r>
        <w:t xml:space="preserve"> </w:t>
      </w:r>
      <w:r>
        <w:rPr>
          <w:spacing w:val="-1"/>
        </w:rPr>
        <w:t>[two</w:t>
      </w:r>
      <w:r>
        <w:t xml:space="preserve"> </w:t>
      </w:r>
      <w:r>
        <w:rPr>
          <w:spacing w:val="-1"/>
        </w:rPr>
        <w:t>(2)]</w:t>
      </w:r>
      <w:r>
        <w:rPr>
          <w:spacing w:val="3"/>
        </w:rPr>
        <w:t xml:space="preserve"> </w:t>
      </w:r>
      <w:r>
        <w:rPr>
          <w:spacing w:val="-2"/>
        </w:rPr>
        <w:t>Contract</w:t>
      </w:r>
      <w:r>
        <w:rPr>
          <w:spacing w:val="2"/>
        </w:rPr>
        <w:t xml:space="preserve"> </w:t>
      </w:r>
      <w:r>
        <w:rPr>
          <w:spacing w:val="-2"/>
        </w:rPr>
        <w:t>Years.</w:t>
      </w:r>
    </w:p>
    <w:p w:rsidR="008918FA" w:rsidRDefault="008918FA" w:rsidP="008918FA">
      <w:pPr>
        <w:pStyle w:val="BodyText"/>
        <w:numPr>
          <w:ilvl w:val="0"/>
          <w:numId w:val="30"/>
        </w:numPr>
        <w:tabs>
          <w:tab w:val="left" w:pos="467"/>
        </w:tabs>
        <w:spacing w:before="117"/>
        <w:rPr>
          <w:rFonts w:ascii="Times New Roman" w:eastAsia="Times New Roman" w:hAnsi="Times New Roman" w:cs="Times New Roman"/>
        </w:rPr>
      </w:pPr>
      <w:bookmarkStart w:id="364" w:name="_bookmark298"/>
      <w:bookmarkEnd w:id="364"/>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LIER</w:t>
      </w:r>
      <w:r>
        <w:rPr>
          <w:rFonts w:ascii="Times New Roman"/>
          <w:spacing w:val="18"/>
        </w:rPr>
        <w:t xml:space="preserve"> </w:t>
      </w:r>
      <w:r>
        <w:rPr>
          <w:rFonts w:ascii="Times New Roman"/>
          <w:spacing w:val="4"/>
        </w:rPr>
        <w:t>PERIODIC</w:t>
      </w:r>
      <w:r>
        <w:rPr>
          <w:rFonts w:ascii="Times New Roman"/>
          <w:spacing w:val="20"/>
        </w:rPr>
        <w:t xml:space="preserve"> </w:t>
      </w:r>
      <w:r>
        <w:rPr>
          <w:rFonts w:ascii="Times New Roman"/>
          <w:spacing w:val="12"/>
        </w:rPr>
        <w:t>ASSESS</w:t>
      </w:r>
      <w:r>
        <w:rPr>
          <w:rFonts w:ascii="Times New Roman"/>
          <w:spacing w:val="-32"/>
        </w:rPr>
        <w:t xml:space="preserve"> </w:t>
      </w:r>
      <w:r>
        <w:rPr>
          <w:rFonts w:ascii="Times New Roman"/>
          <w:spacing w:val="-1"/>
        </w:rPr>
        <w:t>MENT</w:t>
      </w:r>
      <w:r>
        <w:rPr>
          <w:rFonts w:ascii="Times New Roman"/>
          <w:spacing w:val="4"/>
        </w:rPr>
        <w:t xml:space="preserve"> </w:t>
      </w:r>
      <w:r>
        <w:rPr>
          <w:rFonts w:ascii="Times New Roman"/>
          <w:spacing w:val="6"/>
        </w:rPr>
        <w:t>OF</w:t>
      </w:r>
      <w:r>
        <w:rPr>
          <w:rFonts w:ascii="Times New Roman"/>
          <w:spacing w:val="19"/>
        </w:rPr>
        <w:t xml:space="preserve"> </w:t>
      </w:r>
      <w:r>
        <w:rPr>
          <w:rFonts w:ascii="Times New Roman"/>
          <w:spacing w:val="1"/>
        </w:rPr>
        <w:t>CALL</w:t>
      </w:r>
      <w:r>
        <w:rPr>
          <w:rFonts w:ascii="Times New Roman"/>
          <w:spacing w:val="9"/>
        </w:rPr>
        <w:t xml:space="preserve"> </w:t>
      </w:r>
      <w:r>
        <w:rPr>
          <w:rFonts w:ascii="Times New Roman"/>
          <w:spacing w:val="8"/>
        </w:rPr>
        <w:t>OFF</w:t>
      </w:r>
      <w:r>
        <w:rPr>
          <w:rFonts w:ascii="Times New Roman"/>
          <w:spacing w:val="18"/>
        </w:rPr>
        <w:t xml:space="preserve"> </w:t>
      </w:r>
      <w:r>
        <w:rPr>
          <w:rFonts w:ascii="Times New Roman"/>
          <w:spacing w:val="4"/>
        </w:rPr>
        <w:t xml:space="preserve">CONTRACT </w:t>
      </w:r>
      <w:r>
        <w:rPr>
          <w:rFonts w:ascii="Times New Roman"/>
          <w:spacing w:val="6"/>
        </w:rPr>
        <w:t>CHARGES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30"/>
        </w:numPr>
        <w:tabs>
          <w:tab w:val="left" w:pos="829"/>
        </w:tabs>
        <w:spacing w:before="0"/>
        <w:ind w:right="115"/>
        <w:jc w:val="both"/>
      </w:pPr>
      <w:r>
        <w:rPr>
          <w:spacing w:val="-1"/>
        </w:rPr>
        <w:t>Every</w:t>
      </w:r>
      <w:r>
        <w:rPr>
          <w:spacing w:val="8"/>
        </w:rPr>
        <w:t xml:space="preserve"> </w:t>
      </w:r>
      <w:r>
        <w:t>six</w:t>
      </w:r>
      <w:r>
        <w:rPr>
          <w:spacing w:val="8"/>
        </w:rPr>
        <w:t xml:space="preserve"> </w:t>
      </w:r>
      <w:r>
        <w:rPr>
          <w:spacing w:val="-1"/>
        </w:rPr>
        <w:t>(6)</w:t>
      </w:r>
      <w:r>
        <w:rPr>
          <w:spacing w:val="11"/>
        </w:rPr>
        <w:t xml:space="preserve"> </w:t>
      </w:r>
      <w:r>
        <w:rPr>
          <w:spacing w:val="-1"/>
        </w:rPr>
        <w:t>Months</w:t>
      </w:r>
      <w:r>
        <w:rPr>
          <w:spacing w:val="10"/>
        </w:rPr>
        <w:t xml:space="preserve"> </w:t>
      </w:r>
      <w:r>
        <w:rPr>
          <w:spacing w:val="-1"/>
        </w:rPr>
        <w:t>during</w:t>
      </w:r>
      <w:r>
        <w:rPr>
          <w:spacing w:val="12"/>
        </w:rPr>
        <w:t xml:space="preserve"> </w:t>
      </w:r>
      <w:r>
        <w:t>the</w:t>
      </w:r>
      <w:r>
        <w:rPr>
          <w:spacing w:val="10"/>
        </w:rPr>
        <w:t xml:space="preserve"> </w:t>
      </w:r>
      <w:r>
        <w:rPr>
          <w:spacing w:val="-2"/>
        </w:rPr>
        <w:t>Call</w:t>
      </w:r>
      <w:r>
        <w:rPr>
          <w:spacing w:val="9"/>
        </w:rPr>
        <w:t xml:space="preserve"> </w:t>
      </w:r>
      <w:r>
        <w:rPr>
          <w:spacing w:val="-1"/>
        </w:rPr>
        <w:t>Off</w:t>
      </w:r>
      <w:r>
        <w:rPr>
          <w:spacing w:val="11"/>
        </w:rPr>
        <w:t xml:space="preserve"> </w:t>
      </w:r>
      <w:r>
        <w:rPr>
          <w:spacing w:val="-2"/>
        </w:rPr>
        <w:t>Contract</w:t>
      </w:r>
      <w:r>
        <w:rPr>
          <w:spacing w:val="9"/>
        </w:rPr>
        <w:t xml:space="preserve"> </w:t>
      </w:r>
      <w:r>
        <w:rPr>
          <w:spacing w:val="-1"/>
        </w:rPr>
        <w:t>Period,</w:t>
      </w:r>
      <w:r>
        <w:rPr>
          <w:spacing w:val="11"/>
        </w:rPr>
        <w:t xml:space="preserve"> </w:t>
      </w:r>
      <w:r>
        <w:t>the</w:t>
      </w:r>
      <w:r>
        <w:rPr>
          <w:spacing w:val="10"/>
        </w:rPr>
        <w:t xml:space="preserve"> </w:t>
      </w:r>
      <w:r>
        <w:rPr>
          <w:spacing w:val="-2"/>
        </w:rPr>
        <w:t>Supplier</w:t>
      </w:r>
      <w:r>
        <w:rPr>
          <w:spacing w:val="11"/>
        </w:rPr>
        <w:t xml:space="preserve"> </w:t>
      </w:r>
      <w:r>
        <w:rPr>
          <w:spacing w:val="-2"/>
        </w:rPr>
        <w:t>shall</w:t>
      </w:r>
      <w:r>
        <w:rPr>
          <w:spacing w:val="9"/>
        </w:rPr>
        <w:t xml:space="preserve"> </w:t>
      </w:r>
      <w:r>
        <w:rPr>
          <w:spacing w:val="-1"/>
        </w:rPr>
        <w:t>assess</w:t>
      </w:r>
      <w:r>
        <w:rPr>
          <w:spacing w:val="56"/>
        </w:rPr>
        <w:t xml:space="preserve"> </w:t>
      </w:r>
      <w:r>
        <w:t>the</w:t>
      </w:r>
      <w:r>
        <w:rPr>
          <w:spacing w:val="17"/>
        </w:rPr>
        <w:t xml:space="preserve"> </w:t>
      </w:r>
      <w:r>
        <w:rPr>
          <w:spacing w:val="-2"/>
        </w:rPr>
        <w:t>level</w:t>
      </w:r>
      <w:r>
        <w:rPr>
          <w:spacing w:val="19"/>
        </w:rPr>
        <w:t xml:space="preserve"> </w:t>
      </w:r>
      <w:r>
        <w:rPr>
          <w:spacing w:val="-1"/>
        </w:rPr>
        <w:t>of</w:t>
      </w:r>
      <w:r>
        <w:rPr>
          <w:spacing w:val="21"/>
        </w:rPr>
        <w:t xml:space="preserve"> </w:t>
      </w:r>
      <w:r>
        <w:t>the</w:t>
      </w:r>
      <w:r>
        <w:rPr>
          <w:spacing w:val="17"/>
        </w:rPr>
        <w:t xml:space="preserve"> </w:t>
      </w:r>
      <w:r>
        <w:rPr>
          <w:spacing w:val="-1"/>
        </w:rPr>
        <w:t>Call</w:t>
      </w:r>
      <w:r>
        <w:rPr>
          <w:spacing w:val="17"/>
        </w:rPr>
        <w:t xml:space="preserve"> </w:t>
      </w:r>
      <w:r>
        <w:rPr>
          <w:spacing w:val="-1"/>
        </w:rPr>
        <w:t>Off</w:t>
      </w:r>
      <w:r>
        <w:rPr>
          <w:spacing w:val="19"/>
        </w:rPr>
        <w:t xml:space="preserve"> </w:t>
      </w:r>
      <w:r>
        <w:rPr>
          <w:spacing w:val="-1"/>
        </w:rPr>
        <w:t>Contract</w:t>
      </w:r>
      <w:r>
        <w:rPr>
          <w:spacing w:val="19"/>
        </w:rPr>
        <w:t xml:space="preserve"> </w:t>
      </w:r>
      <w:r>
        <w:rPr>
          <w:spacing w:val="-1"/>
        </w:rPr>
        <w:t>Charges</w:t>
      </w:r>
      <w:r>
        <w:rPr>
          <w:spacing w:val="18"/>
        </w:rPr>
        <w:t xml:space="preserve"> </w:t>
      </w:r>
      <w:r>
        <w:t>to</w:t>
      </w:r>
      <w:r>
        <w:rPr>
          <w:spacing w:val="17"/>
        </w:rPr>
        <w:t xml:space="preserve"> </w:t>
      </w:r>
      <w:r>
        <w:rPr>
          <w:spacing w:val="-1"/>
        </w:rPr>
        <w:t>consider</w:t>
      </w:r>
      <w:r>
        <w:rPr>
          <w:spacing w:val="19"/>
        </w:rPr>
        <w:t xml:space="preserve"> </w:t>
      </w:r>
      <w:r>
        <w:rPr>
          <w:spacing w:val="-1"/>
        </w:rPr>
        <w:t>whether</w:t>
      </w:r>
      <w:r>
        <w:rPr>
          <w:spacing w:val="19"/>
        </w:rPr>
        <w:t xml:space="preserve"> </w:t>
      </w:r>
      <w:r>
        <w:rPr>
          <w:spacing w:val="-1"/>
        </w:rPr>
        <w:t>it</w:t>
      </w:r>
      <w:r>
        <w:rPr>
          <w:spacing w:val="19"/>
        </w:rPr>
        <w:t xml:space="preserve"> </w:t>
      </w:r>
      <w:r>
        <w:rPr>
          <w:spacing w:val="-1"/>
        </w:rPr>
        <w:t>is</w:t>
      </w:r>
      <w:r>
        <w:rPr>
          <w:spacing w:val="18"/>
        </w:rPr>
        <w:t xml:space="preserve"> </w:t>
      </w:r>
      <w:r>
        <w:rPr>
          <w:spacing w:val="-1"/>
        </w:rPr>
        <w:t>able</w:t>
      </w:r>
      <w:r>
        <w:rPr>
          <w:spacing w:val="17"/>
        </w:rPr>
        <w:t xml:space="preserve"> </w:t>
      </w:r>
      <w:r>
        <w:t>to</w:t>
      </w:r>
      <w:r>
        <w:rPr>
          <w:spacing w:val="17"/>
        </w:rPr>
        <w:t xml:space="preserve"> </w:t>
      </w:r>
      <w:r>
        <w:rPr>
          <w:spacing w:val="-1"/>
        </w:rPr>
        <w:t>reduce</w:t>
      </w:r>
      <w:r>
        <w:rPr>
          <w:spacing w:val="30"/>
        </w:rPr>
        <w:t xml:space="preserve"> </w:t>
      </w:r>
      <w:r>
        <w:rPr>
          <w:spacing w:val="-1"/>
        </w:rPr>
        <w:t>them.</w:t>
      </w:r>
    </w:p>
    <w:p w:rsidR="008918FA" w:rsidRDefault="008918FA" w:rsidP="008918FA">
      <w:pPr>
        <w:pStyle w:val="BodyText"/>
        <w:numPr>
          <w:ilvl w:val="1"/>
          <w:numId w:val="30"/>
        </w:numPr>
        <w:tabs>
          <w:tab w:val="left" w:pos="829"/>
        </w:tabs>
        <w:spacing w:before="121"/>
        <w:ind w:right="113"/>
        <w:jc w:val="both"/>
      </w:pPr>
      <w:r>
        <w:rPr>
          <w:spacing w:val="-1"/>
        </w:rPr>
        <w:t>Such</w:t>
      </w:r>
      <w:r>
        <w:rPr>
          <w:spacing w:val="37"/>
        </w:rPr>
        <w:t xml:space="preserve"> </w:t>
      </w:r>
      <w:r>
        <w:rPr>
          <w:spacing w:val="-1"/>
        </w:rPr>
        <w:t>assessments</w:t>
      </w:r>
      <w:r>
        <w:rPr>
          <w:spacing w:val="37"/>
        </w:rPr>
        <w:t xml:space="preserve"> </w:t>
      </w:r>
      <w:r>
        <w:rPr>
          <w:spacing w:val="-1"/>
        </w:rPr>
        <w:t>by</w:t>
      </w:r>
      <w:r>
        <w:rPr>
          <w:spacing w:val="34"/>
        </w:rPr>
        <w:t xml:space="preserve"> </w:t>
      </w:r>
      <w:r>
        <w:t>the</w:t>
      </w:r>
      <w:r>
        <w:rPr>
          <w:spacing w:val="36"/>
        </w:rPr>
        <w:t xml:space="preserve"> </w:t>
      </w:r>
      <w:r>
        <w:rPr>
          <w:spacing w:val="-2"/>
        </w:rPr>
        <w:t>Supplier</w:t>
      </w:r>
      <w:r>
        <w:rPr>
          <w:spacing w:val="38"/>
        </w:rPr>
        <w:t xml:space="preserve"> </w:t>
      </w:r>
      <w:r>
        <w:rPr>
          <w:spacing w:val="-1"/>
        </w:rPr>
        <w:t>under</w:t>
      </w:r>
      <w:r>
        <w:rPr>
          <w:spacing w:val="38"/>
        </w:rPr>
        <w:t xml:space="preserve"> </w:t>
      </w:r>
      <w:r>
        <w:rPr>
          <w:spacing w:val="-1"/>
        </w:rPr>
        <w:t>paragraph</w:t>
      </w:r>
      <w:r>
        <w:rPr>
          <w:spacing w:val="37"/>
        </w:rPr>
        <w:t xml:space="preserve"> </w:t>
      </w:r>
      <w:hyperlink w:anchor="_bookmark298" w:history="1">
        <w:r>
          <w:t>8</w:t>
        </w:r>
      </w:hyperlink>
      <w:r>
        <w:rPr>
          <w:spacing w:val="38"/>
        </w:rPr>
        <w:t xml:space="preserve"> </w:t>
      </w:r>
      <w:r>
        <w:rPr>
          <w:spacing w:val="-2"/>
        </w:rPr>
        <w:t>of</w:t>
      </w:r>
      <w:r>
        <w:rPr>
          <w:spacing w:val="40"/>
        </w:rPr>
        <w:t xml:space="preserve"> </w:t>
      </w:r>
      <w:r>
        <w:rPr>
          <w:spacing w:val="-1"/>
        </w:rPr>
        <w:t>this</w:t>
      </w:r>
      <w:r>
        <w:rPr>
          <w:spacing w:val="37"/>
        </w:rPr>
        <w:t xml:space="preserve"> </w:t>
      </w:r>
      <w:r>
        <w:rPr>
          <w:spacing w:val="-2"/>
        </w:rPr>
        <w:t>Call</w:t>
      </w:r>
      <w:r>
        <w:rPr>
          <w:spacing w:val="36"/>
        </w:rPr>
        <w:t xml:space="preserve"> </w:t>
      </w:r>
      <w:r>
        <w:rPr>
          <w:spacing w:val="-1"/>
        </w:rPr>
        <w:t>Off</w:t>
      </w:r>
      <w:r>
        <w:rPr>
          <w:spacing w:val="38"/>
        </w:rPr>
        <w:t xml:space="preserve"> </w:t>
      </w:r>
      <w:r>
        <w:rPr>
          <w:spacing w:val="-1"/>
        </w:rPr>
        <w:t>Schedule</w:t>
      </w:r>
      <w:r>
        <w:rPr>
          <w:spacing w:val="55"/>
        </w:rPr>
        <w:t xml:space="preserve"> </w:t>
      </w:r>
      <w:r>
        <w:rPr>
          <w:spacing w:val="-1"/>
        </w:rPr>
        <w:t>shall</w:t>
      </w:r>
      <w:r>
        <w:t xml:space="preserve"> </w:t>
      </w:r>
      <w:r>
        <w:rPr>
          <w:spacing w:val="-1"/>
        </w:rPr>
        <w:t>be</w:t>
      </w:r>
      <w:r>
        <w:t xml:space="preserve"> </w:t>
      </w:r>
      <w:r>
        <w:rPr>
          <w:spacing w:val="-1"/>
        </w:rPr>
        <w:t>carried</w:t>
      </w:r>
      <w:r>
        <w:t xml:space="preserve"> </w:t>
      </w:r>
      <w:r>
        <w:rPr>
          <w:spacing w:val="-1"/>
        </w:rPr>
        <w:t>out</w:t>
      </w:r>
      <w:r>
        <w:rPr>
          <w:spacing w:val="2"/>
        </w:rPr>
        <w:t xml:space="preserve"> </w:t>
      </w:r>
      <w:r>
        <w:rPr>
          <w:spacing w:val="-1"/>
        </w:rPr>
        <w:t>on</w:t>
      </w:r>
      <w:r>
        <w:t xml:space="preserve"> 1</w:t>
      </w:r>
      <w:r>
        <w:rPr>
          <w:spacing w:val="-1"/>
        </w:rPr>
        <w:t xml:space="preserve"> July</w:t>
      </w:r>
      <w:r>
        <w:rPr>
          <w:spacing w:val="61"/>
        </w:rPr>
        <w:t xml:space="preserve"> </w:t>
      </w:r>
      <w:r>
        <w:rPr>
          <w:spacing w:val="-1"/>
        </w:rPr>
        <w:t>and</w:t>
      </w:r>
      <w:r>
        <w:rPr>
          <w:spacing w:val="1"/>
        </w:rPr>
        <w:t xml:space="preserve"> </w:t>
      </w:r>
      <w:r>
        <w:t xml:space="preserve">2 </w:t>
      </w:r>
      <w:r>
        <w:rPr>
          <w:spacing w:val="-1"/>
        </w:rPr>
        <w:t>January</w:t>
      </w:r>
      <w:r>
        <w:rPr>
          <w:spacing w:val="2"/>
        </w:rPr>
        <w:t xml:space="preserve"> </w:t>
      </w:r>
      <w:r>
        <w:rPr>
          <w:spacing w:val="-1"/>
        </w:rPr>
        <w:t>in</w:t>
      </w:r>
      <w:r>
        <w:rPr>
          <w:spacing w:val="1"/>
        </w:rPr>
        <w:t xml:space="preserve"> </w:t>
      </w:r>
      <w:r>
        <w:t>each</w:t>
      </w:r>
      <w:r>
        <w:rPr>
          <w:spacing w:val="1"/>
        </w:rPr>
        <w:t xml:space="preserve"> </w:t>
      </w:r>
      <w:r>
        <w:rPr>
          <w:spacing w:val="-1"/>
        </w:rPr>
        <w:t>Contract</w:t>
      </w:r>
      <w:r>
        <w:rPr>
          <w:spacing w:val="2"/>
        </w:rPr>
        <w:t xml:space="preserve"> </w:t>
      </w:r>
      <w:r>
        <w:rPr>
          <w:spacing w:val="-1"/>
        </w:rPr>
        <w:t>Year</w:t>
      </w:r>
      <w:r>
        <w:rPr>
          <w:spacing w:val="2"/>
        </w:rPr>
        <w:t xml:space="preserve"> </w:t>
      </w:r>
      <w:r>
        <w:rPr>
          <w:spacing w:val="-1"/>
        </w:rPr>
        <w:t>(or</w:t>
      </w:r>
      <w:r>
        <w:rPr>
          <w:spacing w:val="2"/>
        </w:rPr>
        <w:t xml:space="preserve"> </w:t>
      </w:r>
      <w:r>
        <w:rPr>
          <w:spacing w:val="-1"/>
        </w:rPr>
        <w:t>in</w:t>
      </w:r>
      <w:r>
        <w:t xml:space="preserve"> the </w:t>
      </w:r>
      <w:r>
        <w:rPr>
          <w:spacing w:val="-2"/>
        </w:rPr>
        <w:t>event</w:t>
      </w:r>
      <w:r>
        <w:rPr>
          <w:spacing w:val="34"/>
        </w:rPr>
        <w:t xml:space="preserve"> </w:t>
      </w:r>
      <w:r>
        <w:rPr>
          <w:spacing w:val="-1"/>
        </w:rPr>
        <w:t>that</w:t>
      </w:r>
      <w:r>
        <w:rPr>
          <w:spacing w:val="26"/>
        </w:rPr>
        <w:t xml:space="preserve"> </w:t>
      </w:r>
      <w:r>
        <w:rPr>
          <w:spacing w:val="-1"/>
        </w:rPr>
        <w:t>such</w:t>
      </w:r>
      <w:r>
        <w:rPr>
          <w:spacing w:val="25"/>
        </w:rPr>
        <w:t xml:space="preserve"> </w:t>
      </w:r>
      <w:r>
        <w:rPr>
          <w:spacing w:val="-1"/>
        </w:rPr>
        <w:t>dates</w:t>
      </w:r>
      <w:r>
        <w:rPr>
          <w:spacing w:val="25"/>
        </w:rPr>
        <w:t xml:space="preserve"> </w:t>
      </w:r>
      <w:r>
        <w:rPr>
          <w:spacing w:val="-1"/>
        </w:rPr>
        <w:t>do</w:t>
      </w:r>
      <w:r>
        <w:rPr>
          <w:spacing w:val="24"/>
        </w:rPr>
        <w:t xml:space="preserve"> </w:t>
      </w:r>
      <w:r>
        <w:rPr>
          <w:spacing w:val="-1"/>
        </w:rPr>
        <w:t>not,</w:t>
      </w:r>
      <w:r>
        <w:rPr>
          <w:spacing w:val="23"/>
        </w:rPr>
        <w:t xml:space="preserve"> </w:t>
      </w:r>
      <w:r>
        <w:rPr>
          <w:spacing w:val="-1"/>
        </w:rPr>
        <w:t>in</w:t>
      </w:r>
      <w:r>
        <w:rPr>
          <w:spacing w:val="24"/>
        </w:rPr>
        <w:t xml:space="preserve"> </w:t>
      </w:r>
      <w:r>
        <w:rPr>
          <w:spacing w:val="-1"/>
        </w:rPr>
        <w:t>any</w:t>
      </w:r>
      <w:r>
        <w:rPr>
          <w:spacing w:val="22"/>
        </w:rPr>
        <w:t xml:space="preserve"> </w:t>
      </w:r>
      <w:r>
        <w:rPr>
          <w:spacing w:val="-1"/>
        </w:rPr>
        <w:t>Contract</w:t>
      </w:r>
      <w:r>
        <w:rPr>
          <w:spacing w:val="26"/>
        </w:rPr>
        <w:t xml:space="preserve"> </w:t>
      </w:r>
      <w:r>
        <w:rPr>
          <w:spacing w:val="-1"/>
        </w:rPr>
        <w:t>Year,</w:t>
      </w:r>
      <w:r>
        <w:rPr>
          <w:spacing w:val="23"/>
        </w:rPr>
        <w:t xml:space="preserve"> </w:t>
      </w:r>
      <w:r>
        <w:rPr>
          <w:spacing w:val="-1"/>
        </w:rPr>
        <w:t>fall</w:t>
      </w:r>
      <w:r>
        <w:rPr>
          <w:spacing w:val="24"/>
        </w:rPr>
        <w:t xml:space="preserve"> </w:t>
      </w:r>
      <w:r>
        <w:rPr>
          <w:spacing w:val="-1"/>
        </w:rPr>
        <w:t>on</w:t>
      </w:r>
      <w:r>
        <w:rPr>
          <w:spacing w:val="24"/>
        </w:rPr>
        <w:t xml:space="preserve"> </w:t>
      </w:r>
      <w:r>
        <w:t>a</w:t>
      </w:r>
      <w:r>
        <w:rPr>
          <w:spacing w:val="20"/>
        </w:rPr>
        <w:t xml:space="preserve"> </w:t>
      </w:r>
      <w:r>
        <w:t>Working</w:t>
      </w:r>
      <w:r>
        <w:rPr>
          <w:spacing w:val="27"/>
        </w:rPr>
        <w:t xml:space="preserve"> </w:t>
      </w:r>
      <w:r>
        <w:rPr>
          <w:spacing w:val="-2"/>
        </w:rPr>
        <w:t>Day,</w:t>
      </w:r>
      <w:r>
        <w:rPr>
          <w:spacing w:val="26"/>
        </w:rPr>
        <w:t xml:space="preserve"> </w:t>
      </w:r>
      <w:r>
        <w:rPr>
          <w:spacing w:val="-1"/>
        </w:rPr>
        <w:t>on</w:t>
      </w:r>
      <w:r>
        <w:rPr>
          <w:spacing w:val="24"/>
        </w:rPr>
        <w:t xml:space="preserve"> </w:t>
      </w:r>
      <w:r>
        <w:t>the</w:t>
      </w:r>
      <w:r>
        <w:rPr>
          <w:spacing w:val="24"/>
        </w:rPr>
        <w:t xml:space="preserve"> </w:t>
      </w:r>
      <w:r>
        <w:rPr>
          <w:spacing w:val="-2"/>
        </w:rPr>
        <w:t>next</w:t>
      </w:r>
      <w:r>
        <w:rPr>
          <w:spacing w:val="45"/>
        </w:rPr>
        <w:t xml:space="preserve"> </w:t>
      </w:r>
      <w:r>
        <w:rPr>
          <w:spacing w:val="-1"/>
        </w:rPr>
        <w:t>Working</w:t>
      </w:r>
      <w:r>
        <w:rPr>
          <w:spacing w:val="58"/>
        </w:rPr>
        <w:t xml:space="preserve"> </w:t>
      </w:r>
      <w:r>
        <w:rPr>
          <w:spacing w:val="-1"/>
        </w:rPr>
        <w:t>Day</w:t>
      </w:r>
      <w:r>
        <w:rPr>
          <w:spacing w:val="53"/>
        </w:rPr>
        <w:t xml:space="preserve"> </w:t>
      </w:r>
      <w:r>
        <w:rPr>
          <w:spacing w:val="-2"/>
        </w:rPr>
        <w:t>following</w:t>
      </w:r>
      <w:r>
        <w:rPr>
          <w:spacing w:val="58"/>
        </w:rPr>
        <w:t xml:space="preserve"> </w:t>
      </w:r>
      <w:r>
        <w:rPr>
          <w:spacing w:val="-1"/>
        </w:rPr>
        <w:t>such</w:t>
      </w:r>
      <w:r>
        <w:rPr>
          <w:spacing w:val="56"/>
        </w:rPr>
        <w:t xml:space="preserve"> </w:t>
      </w:r>
      <w:r>
        <w:rPr>
          <w:spacing w:val="-1"/>
        </w:rPr>
        <w:t>dates).</w:t>
      </w:r>
      <w:r>
        <w:rPr>
          <w:spacing w:val="55"/>
        </w:rPr>
        <w:t xml:space="preserve"> </w:t>
      </w:r>
      <w:r>
        <w:rPr>
          <w:spacing w:val="1"/>
        </w:rPr>
        <w:t>To</w:t>
      </w:r>
      <w:r>
        <w:rPr>
          <w:spacing w:val="55"/>
        </w:rPr>
        <w:t xml:space="preserve"> </w:t>
      </w:r>
      <w:r>
        <w:rPr>
          <w:spacing w:val="-1"/>
        </w:rPr>
        <w:t>the</w:t>
      </w:r>
      <w:r>
        <w:rPr>
          <w:spacing w:val="56"/>
        </w:rPr>
        <w:t xml:space="preserve"> </w:t>
      </w:r>
      <w:r>
        <w:rPr>
          <w:spacing w:val="-1"/>
        </w:rPr>
        <w:t>extent</w:t>
      </w:r>
      <w:r>
        <w:rPr>
          <w:spacing w:val="55"/>
        </w:rPr>
        <w:t xml:space="preserve"> </w:t>
      </w:r>
      <w:r>
        <w:rPr>
          <w:spacing w:val="-1"/>
        </w:rPr>
        <w:t>that</w:t>
      </w:r>
      <w:r>
        <w:rPr>
          <w:spacing w:val="55"/>
        </w:rPr>
        <w:t xml:space="preserve"> </w:t>
      </w:r>
      <w:r>
        <w:t>the</w:t>
      </w:r>
      <w:r>
        <w:rPr>
          <w:spacing w:val="55"/>
        </w:rPr>
        <w:t xml:space="preserve"> </w:t>
      </w:r>
      <w:r>
        <w:rPr>
          <w:spacing w:val="-2"/>
        </w:rPr>
        <w:t>Supplier</w:t>
      </w:r>
      <w:r>
        <w:rPr>
          <w:spacing w:val="57"/>
        </w:rPr>
        <w:t xml:space="preserve"> </w:t>
      </w:r>
      <w:r>
        <w:rPr>
          <w:spacing w:val="-1"/>
        </w:rPr>
        <w:t>is</w:t>
      </w:r>
      <w:r>
        <w:rPr>
          <w:spacing w:val="56"/>
        </w:rPr>
        <w:t xml:space="preserve"> </w:t>
      </w:r>
      <w:r>
        <w:rPr>
          <w:spacing w:val="-1"/>
        </w:rPr>
        <w:t>able</w:t>
      </w:r>
      <w:r>
        <w:rPr>
          <w:spacing w:val="56"/>
        </w:rPr>
        <w:t xml:space="preserve"> </w:t>
      </w:r>
      <w:r>
        <w:t>to</w:t>
      </w:r>
      <w:r>
        <w:rPr>
          <w:spacing w:val="55"/>
        </w:rPr>
        <w:t xml:space="preserve"> </w:t>
      </w:r>
      <w:r>
        <w:rPr>
          <w:spacing w:val="-1"/>
        </w:rPr>
        <w:t>decrease</w:t>
      </w:r>
      <w:r>
        <w:rPr>
          <w:spacing w:val="34"/>
        </w:rPr>
        <w:t xml:space="preserve"> </w:t>
      </w:r>
      <w:r>
        <w:rPr>
          <w:spacing w:val="-1"/>
        </w:rPr>
        <w:t>all</w:t>
      </w:r>
      <w:r>
        <w:rPr>
          <w:spacing w:val="33"/>
        </w:rPr>
        <w:t xml:space="preserve"> </w:t>
      </w:r>
      <w:r>
        <w:rPr>
          <w:spacing w:val="-1"/>
        </w:rPr>
        <w:t>or</w:t>
      </w:r>
      <w:r>
        <w:rPr>
          <w:spacing w:val="35"/>
        </w:rPr>
        <w:t xml:space="preserve"> </w:t>
      </w:r>
      <w:r>
        <w:rPr>
          <w:spacing w:val="-1"/>
        </w:rPr>
        <w:t>part</w:t>
      </w:r>
      <w:r>
        <w:rPr>
          <w:spacing w:val="35"/>
        </w:rPr>
        <w:t xml:space="preserve"> </w:t>
      </w:r>
      <w:r>
        <w:rPr>
          <w:spacing w:val="-1"/>
        </w:rPr>
        <w:t>of</w:t>
      </w:r>
      <w:r>
        <w:rPr>
          <w:spacing w:val="38"/>
        </w:rPr>
        <w:t xml:space="preserve"> </w:t>
      </w:r>
      <w:r>
        <w:rPr>
          <w:spacing w:val="-1"/>
        </w:rPr>
        <w:t>the</w:t>
      </w:r>
      <w:r>
        <w:rPr>
          <w:spacing w:val="34"/>
        </w:rPr>
        <w:t xml:space="preserve"> </w:t>
      </w:r>
      <w:r>
        <w:rPr>
          <w:spacing w:val="-2"/>
        </w:rPr>
        <w:t>Call</w:t>
      </w:r>
      <w:r>
        <w:rPr>
          <w:spacing w:val="37"/>
        </w:rPr>
        <w:t xml:space="preserve"> </w:t>
      </w:r>
      <w:r>
        <w:t>Off</w:t>
      </w:r>
      <w:r>
        <w:rPr>
          <w:spacing w:val="38"/>
        </w:rPr>
        <w:t xml:space="preserve"> </w:t>
      </w:r>
      <w:r>
        <w:rPr>
          <w:spacing w:val="-2"/>
        </w:rPr>
        <w:t>Contract</w:t>
      </w:r>
      <w:r>
        <w:rPr>
          <w:spacing w:val="35"/>
        </w:rPr>
        <w:t xml:space="preserve"> </w:t>
      </w:r>
      <w:r>
        <w:rPr>
          <w:spacing w:val="-1"/>
        </w:rPr>
        <w:t>Charges</w:t>
      </w:r>
      <w:r>
        <w:rPr>
          <w:spacing w:val="34"/>
        </w:rPr>
        <w:t xml:space="preserve"> </w:t>
      </w:r>
      <w:r>
        <w:rPr>
          <w:spacing w:val="-1"/>
        </w:rPr>
        <w:t>it</w:t>
      </w:r>
      <w:r>
        <w:rPr>
          <w:spacing w:val="35"/>
        </w:rPr>
        <w:t xml:space="preserve"> </w:t>
      </w:r>
      <w:r>
        <w:rPr>
          <w:spacing w:val="-1"/>
        </w:rPr>
        <w:t>shall</w:t>
      </w:r>
      <w:r>
        <w:rPr>
          <w:spacing w:val="33"/>
        </w:rPr>
        <w:t xml:space="preserve"> </w:t>
      </w:r>
      <w:r>
        <w:rPr>
          <w:spacing w:val="-1"/>
        </w:rPr>
        <w:t>promptly</w:t>
      </w:r>
      <w:r>
        <w:rPr>
          <w:spacing w:val="35"/>
        </w:rPr>
        <w:t xml:space="preserve"> </w:t>
      </w:r>
      <w:r>
        <w:rPr>
          <w:spacing w:val="-1"/>
        </w:rPr>
        <w:t>notify</w:t>
      </w:r>
      <w:r>
        <w:rPr>
          <w:spacing w:val="32"/>
        </w:rPr>
        <w:t xml:space="preserve"> </w:t>
      </w:r>
      <w:r>
        <w:rPr>
          <w:spacing w:val="-1"/>
        </w:rPr>
        <w:t>the</w:t>
      </w:r>
      <w:r>
        <w:rPr>
          <w:spacing w:val="64"/>
        </w:rPr>
        <w:t xml:space="preserve"> </w:t>
      </w:r>
      <w:r>
        <w:rPr>
          <w:spacing w:val="-1"/>
        </w:rPr>
        <w:t>Customer</w:t>
      </w:r>
      <w:r>
        <w:rPr>
          <w:spacing w:val="28"/>
        </w:rPr>
        <w:t xml:space="preserve"> </w:t>
      </w:r>
      <w:r>
        <w:rPr>
          <w:spacing w:val="-1"/>
        </w:rPr>
        <w:t>in</w:t>
      </w:r>
      <w:r>
        <w:rPr>
          <w:spacing w:val="27"/>
        </w:rPr>
        <w:t xml:space="preserve"> </w:t>
      </w:r>
      <w:r>
        <w:rPr>
          <w:spacing w:val="-2"/>
        </w:rPr>
        <w:t>writing</w:t>
      </w:r>
      <w:r>
        <w:rPr>
          <w:spacing w:val="29"/>
        </w:rPr>
        <w:t xml:space="preserve"> </w:t>
      </w:r>
      <w:r>
        <w:rPr>
          <w:spacing w:val="-1"/>
        </w:rPr>
        <w:t>and</w:t>
      </w:r>
      <w:r>
        <w:rPr>
          <w:spacing w:val="24"/>
        </w:rPr>
        <w:t xml:space="preserve"> </w:t>
      </w:r>
      <w:r>
        <w:rPr>
          <w:spacing w:val="-1"/>
        </w:rPr>
        <w:t>such</w:t>
      </w:r>
      <w:r>
        <w:rPr>
          <w:spacing w:val="27"/>
        </w:rPr>
        <w:t xml:space="preserve"> </w:t>
      </w:r>
      <w:r>
        <w:rPr>
          <w:spacing w:val="-1"/>
        </w:rPr>
        <w:t>reduction</w:t>
      </w:r>
      <w:r>
        <w:rPr>
          <w:spacing w:val="27"/>
        </w:rPr>
        <w:t xml:space="preserve"> </w:t>
      </w:r>
      <w:r>
        <w:rPr>
          <w:spacing w:val="-1"/>
        </w:rPr>
        <w:t>shall</w:t>
      </w:r>
      <w:r>
        <w:rPr>
          <w:spacing w:val="26"/>
        </w:rPr>
        <w:t xml:space="preserve"> </w:t>
      </w:r>
      <w:r>
        <w:rPr>
          <w:spacing w:val="-1"/>
        </w:rPr>
        <w:t>be</w:t>
      </w:r>
      <w:r>
        <w:rPr>
          <w:spacing w:val="24"/>
        </w:rPr>
        <w:t xml:space="preserve"> </w:t>
      </w:r>
      <w:r>
        <w:rPr>
          <w:spacing w:val="-1"/>
        </w:rPr>
        <w:t>implemented</w:t>
      </w:r>
      <w:r>
        <w:rPr>
          <w:spacing w:val="24"/>
        </w:rPr>
        <w:t xml:space="preserve"> </w:t>
      </w:r>
      <w:r>
        <w:rPr>
          <w:spacing w:val="-1"/>
        </w:rPr>
        <w:t>in</w:t>
      </w:r>
      <w:r>
        <w:rPr>
          <w:spacing w:val="27"/>
        </w:rPr>
        <w:t xml:space="preserve"> </w:t>
      </w:r>
      <w:r>
        <w:rPr>
          <w:spacing w:val="-2"/>
        </w:rPr>
        <w:t>accordance</w:t>
      </w:r>
      <w:r>
        <w:rPr>
          <w:spacing w:val="27"/>
        </w:rPr>
        <w:t xml:space="preserve"> </w:t>
      </w:r>
      <w:r>
        <w:rPr>
          <w:spacing w:val="-2"/>
        </w:rPr>
        <w:t>with</w:t>
      </w:r>
      <w:r>
        <w:rPr>
          <w:spacing w:val="57"/>
        </w:rPr>
        <w:t xml:space="preserve"> </w:t>
      </w:r>
      <w:r>
        <w:rPr>
          <w:spacing w:val="-1"/>
        </w:rPr>
        <w:t>paragraph</w:t>
      </w:r>
      <w:r>
        <w:rPr>
          <w:spacing w:val="-2"/>
        </w:rPr>
        <w:t xml:space="preserve"> </w:t>
      </w:r>
      <w:hyperlink w:anchor="_bookmark302" w:history="1">
        <w:r>
          <w:rPr>
            <w:spacing w:val="-1"/>
          </w:rPr>
          <w:t>11.1.5</w:t>
        </w:r>
      </w:hyperlink>
      <w:r>
        <w:t xml:space="preserve"> </w:t>
      </w:r>
      <w:r>
        <w:rPr>
          <w:spacing w:val="-2"/>
        </w:rPr>
        <w:t>of</w:t>
      </w:r>
      <w:r>
        <w:t xml:space="preserve"> </w:t>
      </w:r>
      <w:r>
        <w:rPr>
          <w:spacing w:val="-1"/>
        </w:rPr>
        <w:t>this</w:t>
      </w:r>
      <w:r>
        <w:rPr>
          <w:spacing w:val="-2"/>
        </w:rPr>
        <w:t xml:space="preserve"> Call</w:t>
      </w:r>
      <w:r>
        <w:t xml:space="preserve"> </w:t>
      </w:r>
      <w:r>
        <w:rPr>
          <w:spacing w:val="-1"/>
        </w:rPr>
        <w:t>Off</w:t>
      </w:r>
      <w:r>
        <w:rPr>
          <w:spacing w:val="2"/>
        </w:rPr>
        <w:t xml:space="preserve"> </w:t>
      </w:r>
      <w:r>
        <w:rPr>
          <w:spacing w:val="-1"/>
        </w:rPr>
        <w:t>Schedule</w:t>
      </w:r>
      <w:r>
        <w:t xml:space="preserve"> </w:t>
      </w:r>
      <w:r>
        <w:rPr>
          <w:spacing w:val="-2"/>
        </w:rPr>
        <w:t>below.</w:t>
      </w:r>
    </w:p>
    <w:p w:rsidR="008918FA" w:rsidRDefault="008918FA" w:rsidP="008918FA">
      <w:pPr>
        <w:spacing w:before="9"/>
        <w:rPr>
          <w:rFonts w:ascii="Arial" w:eastAsia="Arial" w:hAnsi="Arial" w:cs="Arial"/>
          <w:sz w:val="10"/>
          <w:szCs w:val="10"/>
        </w:rPr>
      </w:pPr>
    </w:p>
    <w:p w:rsidR="008918FA" w:rsidRDefault="008918FA" w:rsidP="008918FA">
      <w:pPr>
        <w:spacing w:line="200" w:lineRule="atLeast"/>
        <w:ind w:left="106"/>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02E6F626" wp14:editId="717DCBE5">
                <wp:extent cx="5616575" cy="321945"/>
                <wp:effectExtent l="0" t="0" r="3175" b="1905"/>
                <wp:docPr id="3635" name="Group 3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321945"/>
                          <a:chOff x="0" y="0"/>
                          <a:chExt cx="8845" cy="507"/>
                        </a:xfrm>
                      </wpg:grpSpPr>
                      <wpg:grpSp>
                        <wpg:cNvPr id="3636" name="Group 3631"/>
                        <wpg:cNvGrpSpPr>
                          <a:grpSpLocks/>
                        </wpg:cNvGrpSpPr>
                        <wpg:grpSpPr bwMode="auto">
                          <a:xfrm>
                            <a:off x="0" y="0"/>
                            <a:ext cx="8844" cy="252"/>
                            <a:chOff x="0" y="0"/>
                            <a:chExt cx="8844" cy="252"/>
                          </a:xfrm>
                        </wpg:grpSpPr>
                        <wps:wsp>
                          <wps:cNvPr id="3637" name="Freeform 3632"/>
                          <wps:cNvSpPr>
                            <a:spLocks/>
                          </wps:cNvSpPr>
                          <wps:spPr bwMode="auto">
                            <a:xfrm>
                              <a:off x="0" y="0"/>
                              <a:ext cx="8844" cy="252"/>
                            </a:xfrm>
                            <a:custGeom>
                              <a:avLst/>
                              <a:gdLst>
                                <a:gd name="T0" fmla="*/ 0 w 8844"/>
                                <a:gd name="T1" fmla="*/ 252 h 252"/>
                                <a:gd name="T2" fmla="*/ 8844 w 8844"/>
                                <a:gd name="T3" fmla="*/ 252 h 252"/>
                                <a:gd name="T4" fmla="*/ 8844 w 8844"/>
                                <a:gd name="T5" fmla="*/ 0 h 252"/>
                                <a:gd name="T6" fmla="*/ 0 w 8844"/>
                                <a:gd name="T7" fmla="*/ 0 h 252"/>
                                <a:gd name="T8" fmla="*/ 0 w 8844"/>
                                <a:gd name="T9" fmla="*/ 252 h 252"/>
                              </a:gdLst>
                              <a:ahLst/>
                              <a:cxnLst>
                                <a:cxn ang="0">
                                  <a:pos x="T0" y="T1"/>
                                </a:cxn>
                                <a:cxn ang="0">
                                  <a:pos x="T2" y="T3"/>
                                </a:cxn>
                                <a:cxn ang="0">
                                  <a:pos x="T4" y="T5"/>
                                </a:cxn>
                                <a:cxn ang="0">
                                  <a:pos x="T6" y="T7"/>
                                </a:cxn>
                                <a:cxn ang="0">
                                  <a:pos x="T8" y="T9"/>
                                </a:cxn>
                              </a:cxnLst>
                              <a:rect l="0" t="0" r="r" b="b"/>
                              <a:pathLst>
                                <a:path w="8844" h="252">
                                  <a:moveTo>
                                    <a:pt x="0" y="252"/>
                                  </a:moveTo>
                                  <a:lnTo>
                                    <a:pt x="8844" y="252"/>
                                  </a:lnTo>
                                  <a:lnTo>
                                    <a:pt x="8844"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8" name="Group 3628"/>
                        <wpg:cNvGrpSpPr>
                          <a:grpSpLocks/>
                        </wpg:cNvGrpSpPr>
                        <wpg:grpSpPr bwMode="auto">
                          <a:xfrm>
                            <a:off x="360" y="252"/>
                            <a:ext cx="1100" cy="255"/>
                            <a:chOff x="360" y="252"/>
                            <a:chExt cx="1100" cy="255"/>
                          </a:xfrm>
                        </wpg:grpSpPr>
                        <wps:wsp>
                          <wps:cNvPr id="3639" name="Freeform 3630"/>
                          <wps:cNvSpPr>
                            <a:spLocks/>
                          </wps:cNvSpPr>
                          <wps:spPr bwMode="auto">
                            <a:xfrm>
                              <a:off x="360" y="252"/>
                              <a:ext cx="1100" cy="255"/>
                            </a:xfrm>
                            <a:custGeom>
                              <a:avLst/>
                              <a:gdLst>
                                <a:gd name="T0" fmla="+- 0 360 360"/>
                                <a:gd name="T1" fmla="*/ T0 w 1100"/>
                                <a:gd name="T2" fmla="+- 0 506 252"/>
                                <a:gd name="T3" fmla="*/ 506 h 255"/>
                                <a:gd name="T4" fmla="+- 0 1459 360"/>
                                <a:gd name="T5" fmla="*/ T4 w 1100"/>
                                <a:gd name="T6" fmla="+- 0 506 252"/>
                                <a:gd name="T7" fmla="*/ 506 h 255"/>
                                <a:gd name="T8" fmla="+- 0 1459 360"/>
                                <a:gd name="T9" fmla="*/ T8 w 1100"/>
                                <a:gd name="T10" fmla="+- 0 252 252"/>
                                <a:gd name="T11" fmla="*/ 252 h 255"/>
                                <a:gd name="T12" fmla="+- 0 360 360"/>
                                <a:gd name="T13" fmla="*/ T12 w 1100"/>
                                <a:gd name="T14" fmla="+- 0 252 252"/>
                                <a:gd name="T15" fmla="*/ 252 h 255"/>
                                <a:gd name="T16" fmla="+- 0 360 360"/>
                                <a:gd name="T17" fmla="*/ T16 w 1100"/>
                                <a:gd name="T18" fmla="+- 0 506 252"/>
                                <a:gd name="T19" fmla="*/ 506 h 255"/>
                              </a:gdLst>
                              <a:ahLst/>
                              <a:cxnLst>
                                <a:cxn ang="0">
                                  <a:pos x="T1" y="T3"/>
                                </a:cxn>
                                <a:cxn ang="0">
                                  <a:pos x="T5" y="T7"/>
                                </a:cxn>
                                <a:cxn ang="0">
                                  <a:pos x="T9" y="T11"/>
                                </a:cxn>
                                <a:cxn ang="0">
                                  <a:pos x="T13" y="T15"/>
                                </a:cxn>
                                <a:cxn ang="0">
                                  <a:pos x="T17" y="T19"/>
                                </a:cxn>
                              </a:cxnLst>
                              <a:rect l="0" t="0" r="r" b="b"/>
                              <a:pathLst>
                                <a:path w="1100" h="255">
                                  <a:moveTo>
                                    <a:pt x="0" y="254"/>
                                  </a:moveTo>
                                  <a:lnTo>
                                    <a:pt x="1099" y="254"/>
                                  </a:lnTo>
                                  <a:lnTo>
                                    <a:pt x="1099"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0" name="Text Box 3629"/>
                          <wps:cNvSpPr txBox="1">
                            <a:spLocks noChangeArrowheads="1"/>
                          </wps:cNvSpPr>
                          <wps:spPr bwMode="auto">
                            <a:xfrm>
                              <a:off x="0" y="0"/>
                              <a:ext cx="884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1737"/>
                                    <w:tab w:val="left" w:pos="3004"/>
                                    <w:tab w:val="left" w:pos="3674"/>
                                    <w:tab w:val="left" w:pos="5013"/>
                                    <w:tab w:val="left" w:pos="5526"/>
                                    <w:tab w:val="left" w:pos="6170"/>
                                    <w:tab w:val="left" w:pos="6962"/>
                                    <w:tab w:val="left" w:pos="7610"/>
                                  </w:tabs>
                                  <w:spacing w:line="252" w:lineRule="exact"/>
                                  <w:ind w:left="360" w:hanging="360"/>
                                  <w:rPr>
                                    <w:rFonts w:ascii="Times New Roman" w:eastAsia="Times New Roman" w:hAnsi="Times New Roman" w:cs="Times New Roman"/>
                                  </w:rPr>
                                </w:pPr>
                                <w:bookmarkStart w:id="365" w:name="_bookmark299"/>
                                <w:bookmarkEnd w:id="365"/>
                                <w:r>
                                  <w:rPr>
                                    <w:rFonts w:ascii="Times New Roman"/>
                                    <w:spacing w:val="5"/>
                                  </w:rPr>
                                  <w:t>9.</w:t>
                                </w:r>
                                <w:r>
                                  <w:rPr>
                                    <w:rFonts w:ascii="Times New Roman"/>
                                  </w:rPr>
                                  <w:t xml:space="preserve">  </w:t>
                                </w:r>
                                <w:r>
                                  <w:rPr>
                                    <w:rFonts w:ascii="Times New Roman"/>
                                    <w:spacing w:val="17"/>
                                  </w:rPr>
                                  <w:t xml:space="preserve"> </w:t>
                                </w:r>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LIER</w:t>
                                </w:r>
                                <w:r>
                                  <w:rPr>
                                    <w:rFonts w:ascii="Times New Roman"/>
                                    <w:spacing w:val="-1"/>
                                  </w:rPr>
                                  <w:tab/>
                                </w:r>
                                <w:r>
                                  <w:rPr>
                                    <w:rFonts w:ascii="Times New Roman"/>
                                    <w:spacing w:val="9"/>
                                  </w:rPr>
                                  <w:t>REQUEST</w:t>
                                </w:r>
                                <w:r>
                                  <w:rPr>
                                    <w:rFonts w:ascii="Times New Roman"/>
                                    <w:spacing w:val="9"/>
                                  </w:rPr>
                                  <w:tab/>
                                </w:r>
                                <w:r>
                                  <w:rPr>
                                    <w:rFonts w:ascii="Times New Roman"/>
                                    <w:spacing w:val="7"/>
                                    <w:w w:val="95"/>
                                  </w:rPr>
                                  <w:t>FOR</w:t>
                                </w:r>
                                <w:r>
                                  <w:rPr>
                                    <w:rFonts w:ascii="Times New Roman"/>
                                    <w:spacing w:val="7"/>
                                    <w:w w:val="95"/>
                                  </w:rPr>
                                  <w:tab/>
                                </w:r>
                                <w:r>
                                  <w:rPr>
                                    <w:rFonts w:ascii="Times New Roman"/>
                                    <w:spacing w:val="5"/>
                                  </w:rPr>
                                  <w:t>INCREASE</w:t>
                                </w:r>
                                <w:r>
                                  <w:rPr>
                                    <w:rFonts w:ascii="Times New Roman"/>
                                    <w:spacing w:val="5"/>
                                  </w:rPr>
                                  <w:tab/>
                                </w:r>
                                <w:r>
                                  <w:rPr>
                                    <w:rFonts w:ascii="Times New Roman"/>
                                    <w:spacing w:val="7"/>
                                  </w:rPr>
                                  <w:t>OF</w:t>
                                </w:r>
                                <w:r>
                                  <w:rPr>
                                    <w:rFonts w:ascii="Times New Roman"/>
                                    <w:spacing w:val="7"/>
                                  </w:rPr>
                                  <w:tab/>
                                </w:r>
                                <w:r>
                                  <w:rPr>
                                    <w:rFonts w:ascii="Times New Roman"/>
                                    <w:spacing w:val="-1"/>
                                    <w:w w:val="95"/>
                                  </w:rPr>
                                  <w:t>THE</w:t>
                                </w:r>
                                <w:r>
                                  <w:rPr>
                                    <w:rFonts w:ascii="Times New Roman"/>
                                    <w:spacing w:val="-1"/>
                                    <w:w w:val="95"/>
                                  </w:rPr>
                                  <w:tab/>
                                </w:r>
                                <w:r>
                                  <w:rPr>
                                    <w:rFonts w:ascii="Times New Roman"/>
                                    <w:spacing w:val="1"/>
                                    <w:w w:val="95"/>
                                  </w:rPr>
                                  <w:t>CALL</w:t>
                                </w:r>
                                <w:r>
                                  <w:rPr>
                                    <w:rFonts w:ascii="Times New Roman"/>
                                    <w:spacing w:val="1"/>
                                    <w:w w:val="95"/>
                                  </w:rPr>
                                  <w:tab/>
                                </w:r>
                                <w:r>
                                  <w:rPr>
                                    <w:rFonts w:ascii="Times New Roman"/>
                                    <w:spacing w:val="8"/>
                                  </w:rPr>
                                  <w:t>OFF</w:t>
                                </w:r>
                                <w:r>
                                  <w:rPr>
                                    <w:rFonts w:ascii="Times New Roman"/>
                                    <w:spacing w:val="8"/>
                                  </w:rPr>
                                  <w:tab/>
                                </w:r>
                                <w:r>
                                  <w:rPr>
                                    <w:rFonts w:ascii="Times New Roman"/>
                                    <w:spacing w:val="5"/>
                                  </w:rPr>
                                  <w:t>CONTRACT</w:t>
                                </w:r>
                                <w:r>
                                  <w:rPr>
                                    <w:rFonts w:ascii="Times New Roman"/>
                                    <w:spacing w:val="30"/>
                                  </w:rPr>
                                  <w:t xml:space="preserve"> </w:t>
                                </w:r>
                                <w:r>
                                  <w:rPr>
                                    <w:rFonts w:ascii="Times New Roman"/>
                                    <w:spacing w:val="6"/>
                                  </w:rPr>
                                  <w:t>CHARGES</w:t>
                                </w:r>
                              </w:p>
                            </w:txbxContent>
                          </wps:txbx>
                          <wps:bodyPr rot="0" vert="horz" wrap="square" lIns="0" tIns="0" rIns="0" bIns="0" anchor="t" anchorCtr="0" upright="1">
                            <a:noAutofit/>
                          </wps:bodyPr>
                        </wps:wsp>
                      </wpg:grpSp>
                    </wpg:wgp>
                  </a:graphicData>
                </a:graphic>
              </wp:inline>
            </w:drawing>
          </mc:Choice>
          <mc:Fallback>
            <w:pict>
              <v:group w14:anchorId="02E6F626" id="Group 3627" o:spid="_x0000_s1180" style="width:442.25pt;height:25.35pt;mso-position-horizontal-relative:char;mso-position-vertical-relative:line" coordsize="884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">
                <v:group id="Group 3631" o:spid="_x0000_s1181" style="position:absolute;width:8844;height:252" coordsize="884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Freeform 3632" o:spid="_x0000_s1182" style="position:absolute;width:8844;height:252;visibility:visible;mso-wrap-style:square;v-text-anchor:top" coordsize="884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tz8gA&#10;AADdAAAADwAAAGRycy9kb3ducmV2LnhtbESPQWvCQBSE74X+h+UJ3urGpkSNrlJahWoLturF2yP7&#10;TFKzb2N2q/HfdwtCj8PMfMNMZq2pxJkaV1pW0O9FIIgzq0vOFey2i4chCOeRNVaWScGVHMym93cT&#10;TLW98BedNz4XAcIuRQWF93UqpcsKMuh6tiYO3sE2Bn2QTS51g5cAN5V8jKJEGiw5LBRY00tB2XHz&#10;YxQkp/n66ftztH+PS/wYLFan1+NypVS30z6PQXhq/X/41n7TCuIkHsD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63PyAAAAN0AAAAPAAAAAAAAAAAAAAAAAJgCAABk&#10;cnMvZG93bnJldi54bWxQSwUGAAAAAAQABAD1AAAAjQMAAAAA&#10;" path="m,252r8844,l8844,,,,,252xe" fillcolor="yellow" stroked="f">
                    <v:path arrowok="t" o:connecttype="custom" o:connectlocs="0,252;8844,252;8844,0;0,0;0,252" o:connectangles="0,0,0,0,0"/>
                  </v:shape>
                </v:group>
                <v:group id="Group 3628" o:spid="_x0000_s1183" style="position:absolute;left:360;top:252;width:1100;height:255" coordorigin="360,252" coordsize="110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Freeform 3630" o:spid="_x0000_s1184" style="position:absolute;left:360;top:252;width:1100;height:255;visibility:visible;mso-wrap-style:square;v-text-anchor:top" coordsize="11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wVcYA&#10;AADdAAAADwAAAGRycy9kb3ducmV2LnhtbESPT2sCMRTE7wW/Q3gFbzXbCqKrUYqlf+hNt1iPj+S5&#10;2bp5WTZxXfvpm4LgcZiZ3zCLVe9q0VEbKs8KHkcZCGLtTcWlgq/i9WEKIkRkg7VnUnChAKvl4G6B&#10;ufFn3lC3jaVIEA45KrAxNrmUQVtyGEa+IU7ewbcOY5JtKU2L5wR3tXzKsol0WHFasNjQ2pI+bk9O&#10;we64K96L7vNnf3l72Vutu99vkkoN7/vnOYhIfbyFr+0Po2A8Gc/g/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hwVcYAAADdAAAADwAAAAAAAAAAAAAAAACYAgAAZHJz&#10;L2Rvd25yZXYueG1sUEsFBgAAAAAEAAQA9QAAAIsDAAAAAA==&#10;" path="m,254r1099,l1099,,,,,254xe" fillcolor="yellow" stroked="f">
                    <v:path arrowok="t" o:connecttype="custom" o:connectlocs="0,506;1099,506;1099,252;0,252;0,506" o:connectangles="0,0,0,0,0"/>
                  </v:shape>
                  <v:shape id="Text Box 3629" o:spid="_x0000_s1185" type="#_x0000_t202" style="position:absolute;width:884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cKMMA&#10;AADdAAAADwAAAGRycy9kb3ducmV2LnhtbERPz2vCMBS+D/wfwhN2m6k6ilajiEwYDIa1Hjw+m2cb&#10;bF66JtPuv18OgseP7/dy3dtG3KjzxrGC8SgBQVw6bbhScCx2bzMQPiBrbByTgj/ysF4NXpaYaXfn&#10;nG6HUIkYwj5DBXUIbSalL2uy6EeuJY7cxXUWQ4RdJXWH9xhuGzlJklRaNBwbamxpW1N5PfxaBZsT&#10;5x/m5/u8zy+5KYp5wl/pVanXYb9ZgAjUh6f44f7UCqbpe9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cKMMAAADdAAAADwAAAAAAAAAAAAAAAACYAgAAZHJzL2Rv&#10;d25yZXYueG1sUEsFBgAAAAAEAAQA9QAAAIgDAAAAAA==&#10;" filled="f" stroked="f">
                    <v:textbox inset="0,0,0,0">
                      <w:txbxContent>
                        <w:p w:rsidR="005D2B81" w:rsidRDefault="005D2B81" w:rsidP="008918FA">
                          <w:pPr>
                            <w:tabs>
                              <w:tab w:val="left" w:pos="1737"/>
                              <w:tab w:val="left" w:pos="3004"/>
                              <w:tab w:val="left" w:pos="3674"/>
                              <w:tab w:val="left" w:pos="5013"/>
                              <w:tab w:val="left" w:pos="5526"/>
                              <w:tab w:val="left" w:pos="6170"/>
                              <w:tab w:val="left" w:pos="6962"/>
                              <w:tab w:val="left" w:pos="7610"/>
                            </w:tabs>
                            <w:spacing w:line="252" w:lineRule="exact"/>
                            <w:ind w:left="360" w:hanging="360"/>
                            <w:rPr>
                              <w:rFonts w:ascii="Times New Roman" w:eastAsia="Times New Roman" w:hAnsi="Times New Roman" w:cs="Times New Roman"/>
                            </w:rPr>
                          </w:pPr>
                          <w:bookmarkStart w:id="376" w:name="_bookmark299"/>
                          <w:bookmarkEnd w:id="376"/>
                          <w:r>
                            <w:rPr>
                              <w:rFonts w:ascii="Times New Roman"/>
                              <w:spacing w:val="5"/>
                            </w:rPr>
                            <w:t>9.</w:t>
                          </w:r>
                          <w:r>
                            <w:rPr>
                              <w:rFonts w:ascii="Times New Roman"/>
                            </w:rPr>
                            <w:t xml:space="preserve">  </w:t>
                          </w:r>
                          <w:r>
                            <w:rPr>
                              <w:rFonts w:ascii="Times New Roman"/>
                              <w:spacing w:val="17"/>
                            </w:rPr>
                            <w:t xml:space="preserve"> </w:t>
                          </w:r>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LIER</w:t>
                          </w:r>
                          <w:r>
                            <w:rPr>
                              <w:rFonts w:ascii="Times New Roman"/>
                              <w:spacing w:val="-1"/>
                            </w:rPr>
                            <w:tab/>
                          </w:r>
                          <w:r>
                            <w:rPr>
                              <w:rFonts w:ascii="Times New Roman"/>
                              <w:spacing w:val="9"/>
                            </w:rPr>
                            <w:t>REQUEST</w:t>
                          </w:r>
                          <w:r>
                            <w:rPr>
                              <w:rFonts w:ascii="Times New Roman"/>
                              <w:spacing w:val="9"/>
                            </w:rPr>
                            <w:tab/>
                          </w:r>
                          <w:r>
                            <w:rPr>
                              <w:rFonts w:ascii="Times New Roman"/>
                              <w:spacing w:val="7"/>
                              <w:w w:val="95"/>
                            </w:rPr>
                            <w:t>FOR</w:t>
                          </w:r>
                          <w:r>
                            <w:rPr>
                              <w:rFonts w:ascii="Times New Roman"/>
                              <w:spacing w:val="7"/>
                              <w:w w:val="95"/>
                            </w:rPr>
                            <w:tab/>
                          </w:r>
                          <w:r>
                            <w:rPr>
                              <w:rFonts w:ascii="Times New Roman"/>
                              <w:spacing w:val="5"/>
                            </w:rPr>
                            <w:t>INCREASE</w:t>
                          </w:r>
                          <w:r>
                            <w:rPr>
                              <w:rFonts w:ascii="Times New Roman"/>
                              <w:spacing w:val="5"/>
                            </w:rPr>
                            <w:tab/>
                          </w:r>
                          <w:r>
                            <w:rPr>
                              <w:rFonts w:ascii="Times New Roman"/>
                              <w:spacing w:val="7"/>
                            </w:rPr>
                            <w:t>OF</w:t>
                          </w:r>
                          <w:r>
                            <w:rPr>
                              <w:rFonts w:ascii="Times New Roman"/>
                              <w:spacing w:val="7"/>
                            </w:rPr>
                            <w:tab/>
                          </w:r>
                          <w:r>
                            <w:rPr>
                              <w:rFonts w:ascii="Times New Roman"/>
                              <w:spacing w:val="-1"/>
                              <w:w w:val="95"/>
                            </w:rPr>
                            <w:t>THE</w:t>
                          </w:r>
                          <w:r>
                            <w:rPr>
                              <w:rFonts w:ascii="Times New Roman"/>
                              <w:spacing w:val="-1"/>
                              <w:w w:val="95"/>
                            </w:rPr>
                            <w:tab/>
                          </w:r>
                          <w:r>
                            <w:rPr>
                              <w:rFonts w:ascii="Times New Roman"/>
                              <w:spacing w:val="1"/>
                              <w:w w:val="95"/>
                            </w:rPr>
                            <w:t>CALL</w:t>
                          </w:r>
                          <w:r>
                            <w:rPr>
                              <w:rFonts w:ascii="Times New Roman"/>
                              <w:spacing w:val="1"/>
                              <w:w w:val="95"/>
                            </w:rPr>
                            <w:tab/>
                          </w:r>
                          <w:r>
                            <w:rPr>
                              <w:rFonts w:ascii="Times New Roman"/>
                              <w:spacing w:val="8"/>
                            </w:rPr>
                            <w:t>OFF</w:t>
                          </w:r>
                          <w:r>
                            <w:rPr>
                              <w:rFonts w:ascii="Times New Roman"/>
                              <w:spacing w:val="8"/>
                            </w:rPr>
                            <w:tab/>
                          </w:r>
                          <w:r>
                            <w:rPr>
                              <w:rFonts w:ascii="Times New Roman"/>
                              <w:spacing w:val="5"/>
                            </w:rPr>
                            <w:t>CONTRACT</w:t>
                          </w:r>
                          <w:r>
                            <w:rPr>
                              <w:rFonts w:ascii="Times New Roman"/>
                              <w:spacing w:val="30"/>
                            </w:rPr>
                            <w:t xml:space="preserve"> </w:t>
                          </w:r>
                          <w:r>
                            <w:rPr>
                              <w:rFonts w:ascii="Times New Roman"/>
                              <w:spacing w:val="6"/>
                            </w:rPr>
                            <w:t>CHARGES</w:t>
                          </w:r>
                        </w:p>
                      </w:txbxContent>
                    </v:textbox>
                  </v:shape>
                </v:group>
                <w10:anchorlock/>
              </v:group>
            </w:pict>
          </mc:Fallback>
        </mc:AlternateContent>
      </w:r>
    </w:p>
    <w:p w:rsidR="008918FA" w:rsidRDefault="008918FA" w:rsidP="008918FA">
      <w:pPr>
        <w:spacing w:before="10"/>
        <w:rPr>
          <w:rFonts w:ascii="Arial" w:eastAsia="Arial" w:hAnsi="Arial" w:cs="Arial"/>
          <w:sz w:val="20"/>
          <w:szCs w:val="20"/>
        </w:rPr>
      </w:pPr>
    </w:p>
    <w:p w:rsidR="008918FA" w:rsidRDefault="008918FA" w:rsidP="008918FA">
      <w:pPr>
        <w:spacing w:line="200" w:lineRule="atLeast"/>
        <w:ind w:left="466"/>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020403F6" wp14:editId="6F18B0D5">
                <wp:extent cx="5389245" cy="481965"/>
                <wp:effectExtent l="0" t="0" r="1905" b="3810"/>
                <wp:docPr id="3627"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481965"/>
                          <a:chOff x="0" y="0"/>
                          <a:chExt cx="8487" cy="759"/>
                        </a:xfrm>
                      </wpg:grpSpPr>
                      <wpg:grpSp>
                        <wpg:cNvPr id="3628" name="Group 3625"/>
                        <wpg:cNvGrpSpPr>
                          <a:grpSpLocks/>
                        </wpg:cNvGrpSpPr>
                        <wpg:grpSpPr bwMode="auto">
                          <a:xfrm>
                            <a:off x="0" y="0"/>
                            <a:ext cx="8484" cy="252"/>
                            <a:chOff x="0" y="0"/>
                            <a:chExt cx="8484" cy="252"/>
                          </a:xfrm>
                        </wpg:grpSpPr>
                        <wps:wsp>
                          <wps:cNvPr id="3629" name="Freeform 3626"/>
                          <wps:cNvSpPr>
                            <a:spLocks/>
                          </wps:cNvSpPr>
                          <wps:spPr bwMode="auto">
                            <a:xfrm>
                              <a:off x="0" y="0"/>
                              <a:ext cx="8484" cy="252"/>
                            </a:xfrm>
                            <a:custGeom>
                              <a:avLst/>
                              <a:gdLst>
                                <a:gd name="T0" fmla="*/ 0 w 8484"/>
                                <a:gd name="T1" fmla="*/ 252 h 252"/>
                                <a:gd name="T2" fmla="*/ 8484 w 8484"/>
                                <a:gd name="T3" fmla="*/ 252 h 252"/>
                                <a:gd name="T4" fmla="*/ 8484 w 8484"/>
                                <a:gd name="T5" fmla="*/ 0 h 252"/>
                                <a:gd name="T6" fmla="*/ 0 w 8484"/>
                                <a:gd name="T7" fmla="*/ 0 h 252"/>
                                <a:gd name="T8" fmla="*/ 0 w 8484"/>
                                <a:gd name="T9" fmla="*/ 252 h 252"/>
                              </a:gdLst>
                              <a:ahLst/>
                              <a:cxnLst>
                                <a:cxn ang="0">
                                  <a:pos x="T0" y="T1"/>
                                </a:cxn>
                                <a:cxn ang="0">
                                  <a:pos x="T2" y="T3"/>
                                </a:cxn>
                                <a:cxn ang="0">
                                  <a:pos x="T4" y="T5"/>
                                </a:cxn>
                                <a:cxn ang="0">
                                  <a:pos x="T6" y="T7"/>
                                </a:cxn>
                                <a:cxn ang="0">
                                  <a:pos x="T8" y="T9"/>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0" name="Group 3623"/>
                        <wpg:cNvGrpSpPr>
                          <a:grpSpLocks/>
                        </wpg:cNvGrpSpPr>
                        <wpg:grpSpPr bwMode="auto">
                          <a:xfrm>
                            <a:off x="0" y="252"/>
                            <a:ext cx="8484" cy="252"/>
                            <a:chOff x="0" y="252"/>
                            <a:chExt cx="8484" cy="252"/>
                          </a:xfrm>
                        </wpg:grpSpPr>
                        <wps:wsp>
                          <wps:cNvPr id="3631" name="Freeform 3624"/>
                          <wps:cNvSpPr>
                            <a:spLocks/>
                          </wps:cNvSpPr>
                          <wps:spPr bwMode="auto">
                            <a:xfrm>
                              <a:off x="0" y="252"/>
                              <a:ext cx="8484" cy="252"/>
                            </a:xfrm>
                            <a:custGeom>
                              <a:avLst/>
                              <a:gdLst>
                                <a:gd name="T0" fmla="*/ 0 w 8484"/>
                                <a:gd name="T1" fmla="+- 0 504 252"/>
                                <a:gd name="T2" fmla="*/ 504 h 252"/>
                                <a:gd name="T3" fmla="*/ 8484 w 8484"/>
                                <a:gd name="T4" fmla="+- 0 504 252"/>
                                <a:gd name="T5" fmla="*/ 504 h 252"/>
                                <a:gd name="T6" fmla="*/ 8484 w 8484"/>
                                <a:gd name="T7" fmla="+- 0 252 252"/>
                                <a:gd name="T8" fmla="*/ 252 h 252"/>
                                <a:gd name="T9" fmla="*/ 0 w 8484"/>
                                <a:gd name="T10" fmla="+- 0 252 252"/>
                                <a:gd name="T11" fmla="*/ 252 h 252"/>
                                <a:gd name="T12" fmla="*/ 0 w 8484"/>
                                <a:gd name="T13" fmla="+- 0 504 252"/>
                                <a:gd name="T14" fmla="*/ 504 h 252"/>
                              </a:gdLst>
                              <a:ahLst/>
                              <a:cxnLst>
                                <a:cxn ang="0">
                                  <a:pos x="T0" y="T2"/>
                                </a:cxn>
                                <a:cxn ang="0">
                                  <a:pos x="T3" y="T5"/>
                                </a:cxn>
                                <a:cxn ang="0">
                                  <a:pos x="T6" y="T8"/>
                                </a:cxn>
                                <a:cxn ang="0">
                                  <a:pos x="T9" y="T11"/>
                                </a:cxn>
                                <a:cxn ang="0">
                                  <a:pos x="T12" y="T14"/>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2" name="Group 3620"/>
                        <wpg:cNvGrpSpPr>
                          <a:grpSpLocks/>
                        </wpg:cNvGrpSpPr>
                        <wpg:grpSpPr bwMode="auto">
                          <a:xfrm>
                            <a:off x="0" y="504"/>
                            <a:ext cx="4901" cy="255"/>
                            <a:chOff x="0" y="504"/>
                            <a:chExt cx="4901" cy="255"/>
                          </a:xfrm>
                        </wpg:grpSpPr>
                        <wps:wsp>
                          <wps:cNvPr id="3633" name="Freeform 3622"/>
                          <wps:cNvSpPr>
                            <a:spLocks/>
                          </wps:cNvSpPr>
                          <wps:spPr bwMode="auto">
                            <a:xfrm>
                              <a:off x="0" y="504"/>
                              <a:ext cx="4901" cy="255"/>
                            </a:xfrm>
                            <a:custGeom>
                              <a:avLst/>
                              <a:gdLst>
                                <a:gd name="T0" fmla="*/ 0 w 4901"/>
                                <a:gd name="T1" fmla="+- 0 758 504"/>
                                <a:gd name="T2" fmla="*/ 758 h 255"/>
                                <a:gd name="T3" fmla="*/ 4901 w 4901"/>
                                <a:gd name="T4" fmla="+- 0 758 504"/>
                                <a:gd name="T5" fmla="*/ 758 h 255"/>
                                <a:gd name="T6" fmla="*/ 4901 w 4901"/>
                                <a:gd name="T7" fmla="+- 0 504 504"/>
                                <a:gd name="T8" fmla="*/ 504 h 255"/>
                                <a:gd name="T9" fmla="*/ 0 w 4901"/>
                                <a:gd name="T10" fmla="+- 0 504 504"/>
                                <a:gd name="T11" fmla="*/ 504 h 255"/>
                                <a:gd name="T12" fmla="*/ 0 w 4901"/>
                                <a:gd name="T13" fmla="+- 0 758 504"/>
                                <a:gd name="T14" fmla="*/ 758 h 255"/>
                              </a:gdLst>
                              <a:ahLst/>
                              <a:cxnLst>
                                <a:cxn ang="0">
                                  <a:pos x="T0" y="T2"/>
                                </a:cxn>
                                <a:cxn ang="0">
                                  <a:pos x="T3" y="T5"/>
                                </a:cxn>
                                <a:cxn ang="0">
                                  <a:pos x="T6" y="T8"/>
                                </a:cxn>
                                <a:cxn ang="0">
                                  <a:pos x="T9" y="T11"/>
                                </a:cxn>
                                <a:cxn ang="0">
                                  <a:pos x="T12" y="T14"/>
                                </a:cxn>
                              </a:cxnLst>
                              <a:rect l="0" t="0" r="r" b="b"/>
                              <a:pathLst>
                                <a:path w="4901" h="255">
                                  <a:moveTo>
                                    <a:pt x="0" y="254"/>
                                  </a:moveTo>
                                  <a:lnTo>
                                    <a:pt x="4901" y="254"/>
                                  </a:lnTo>
                                  <a:lnTo>
                                    <a:pt x="4901"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4" name="Text Box 3621"/>
                          <wps:cNvSpPr txBox="1">
                            <a:spLocks noChangeArrowheads="1"/>
                          </wps:cNvSpPr>
                          <wps:spPr bwMode="auto">
                            <a:xfrm>
                              <a:off x="0" y="0"/>
                              <a:ext cx="848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line="252" w:lineRule="exact"/>
                                  <w:jc w:val="both"/>
                                  <w:rPr>
                                    <w:rFonts w:ascii="Arial" w:eastAsia="Arial" w:hAnsi="Arial" w:cs="Arial"/>
                                  </w:rPr>
                                </w:pPr>
                                <w:r>
                                  <w:rPr>
                                    <w:rFonts w:ascii="Arial"/>
                                    <w:b/>
                                    <w:i/>
                                    <w:spacing w:val="-1"/>
                                  </w:rPr>
                                  <w:t>[Guidance</w:t>
                                </w:r>
                                <w:r>
                                  <w:rPr>
                                    <w:rFonts w:ascii="Arial"/>
                                    <w:b/>
                                    <w:i/>
                                    <w:spacing w:val="29"/>
                                  </w:rPr>
                                  <w:t xml:space="preserve"> </w:t>
                                </w:r>
                                <w:r>
                                  <w:rPr>
                                    <w:rFonts w:ascii="Arial"/>
                                    <w:b/>
                                    <w:i/>
                                    <w:spacing w:val="-1"/>
                                  </w:rPr>
                                  <w:t>Note:</w:t>
                                </w:r>
                                <w:r>
                                  <w:rPr>
                                    <w:rFonts w:ascii="Arial"/>
                                    <w:b/>
                                    <w:i/>
                                    <w:spacing w:val="30"/>
                                  </w:rPr>
                                  <w:t xml:space="preserve"> </w:t>
                                </w:r>
                                <w:r>
                                  <w:rPr>
                                    <w:rFonts w:ascii="Arial"/>
                                    <w:b/>
                                    <w:i/>
                                    <w:spacing w:val="-1"/>
                                  </w:rPr>
                                  <w:t>See</w:t>
                                </w:r>
                                <w:r>
                                  <w:rPr>
                                    <w:rFonts w:ascii="Arial"/>
                                    <w:b/>
                                    <w:i/>
                                    <w:spacing w:val="29"/>
                                  </w:rPr>
                                  <w:t xml:space="preserve"> </w:t>
                                </w:r>
                                <w:r>
                                  <w:rPr>
                                    <w:rFonts w:ascii="Arial"/>
                                    <w:b/>
                                    <w:i/>
                                    <w:spacing w:val="-1"/>
                                  </w:rPr>
                                  <w:t>optional</w:t>
                                </w:r>
                                <w:r>
                                  <w:rPr>
                                    <w:rFonts w:ascii="Arial"/>
                                    <w:b/>
                                    <w:i/>
                                    <w:spacing w:val="30"/>
                                  </w:rPr>
                                  <w:t xml:space="preserve"> </w:t>
                                </w:r>
                                <w:r>
                                  <w:rPr>
                                    <w:rFonts w:ascii="Arial"/>
                                    <w:b/>
                                    <w:i/>
                                    <w:spacing w:val="-1"/>
                                  </w:rPr>
                                  <w:t>paragraph</w:t>
                                </w:r>
                                <w:r>
                                  <w:rPr>
                                    <w:rFonts w:ascii="Arial"/>
                                    <w:b/>
                                    <w:i/>
                                    <w:spacing w:val="29"/>
                                  </w:rPr>
                                  <w:t xml:space="preserve"> </w:t>
                                </w:r>
                                <w:hyperlink w:anchor="_bookmark297" w:history="1">
                                  <w:r>
                                    <w:rPr>
                                      <w:rFonts w:ascii="Arial"/>
                                      <w:b/>
                                      <w:i/>
                                      <w:spacing w:val="-1"/>
                                    </w:rPr>
                                    <w:t>7.1.6</w:t>
                                  </w:r>
                                </w:hyperlink>
                                <w:r>
                                  <w:rPr>
                                    <w:rFonts w:ascii="Arial"/>
                                    <w:b/>
                                    <w:i/>
                                    <w:spacing w:val="29"/>
                                  </w:rPr>
                                  <w:t xml:space="preserve"> </w:t>
                                </w:r>
                                <w:r>
                                  <w:rPr>
                                    <w:rFonts w:ascii="Arial"/>
                                    <w:b/>
                                    <w:i/>
                                    <w:spacing w:val="-1"/>
                                  </w:rPr>
                                  <w:t>above</w:t>
                                </w:r>
                                <w:r>
                                  <w:rPr>
                                    <w:rFonts w:ascii="Arial"/>
                                    <w:b/>
                                    <w:i/>
                                    <w:spacing w:val="29"/>
                                  </w:rPr>
                                  <w:t xml:space="preserve"> </w:t>
                                </w:r>
                                <w:r>
                                  <w:rPr>
                                    <w:rFonts w:ascii="Arial"/>
                                    <w:b/>
                                    <w:i/>
                                    <w:spacing w:val="-1"/>
                                  </w:rPr>
                                  <w:t>and</w:t>
                                </w:r>
                                <w:r>
                                  <w:rPr>
                                    <w:rFonts w:ascii="Arial"/>
                                    <w:b/>
                                    <w:i/>
                                    <w:spacing w:val="29"/>
                                  </w:rPr>
                                  <w:t xml:space="preserve"> </w:t>
                                </w:r>
                                <w:r>
                                  <w:rPr>
                                    <w:rFonts w:ascii="Arial"/>
                                    <w:b/>
                                    <w:i/>
                                    <w:spacing w:val="-1"/>
                                  </w:rPr>
                                  <w:t>consider</w:t>
                                </w:r>
                                <w:r>
                                  <w:rPr>
                                    <w:rFonts w:ascii="Arial"/>
                                    <w:b/>
                                    <w:i/>
                                    <w:spacing w:val="30"/>
                                  </w:rPr>
                                  <w:t xml:space="preserve"> </w:t>
                                </w:r>
                                <w:r>
                                  <w:rPr>
                                    <w:rFonts w:ascii="Arial"/>
                                    <w:b/>
                                    <w:i/>
                                    <w:spacing w:val="-1"/>
                                  </w:rPr>
                                  <w:t>whether</w:t>
                                </w:r>
                                <w:r>
                                  <w:rPr>
                                    <w:rFonts w:ascii="Arial"/>
                                    <w:b/>
                                    <w:i/>
                                    <w:spacing w:val="30"/>
                                  </w:rPr>
                                  <w:t xml:space="preserve"> </w:t>
                                </w:r>
                                <w:r>
                                  <w:rPr>
                                    <w:rFonts w:ascii="Arial"/>
                                    <w:b/>
                                    <w:i/>
                                    <w:spacing w:val="-1"/>
                                  </w:rPr>
                                  <w:t>the</w:t>
                                </w:r>
                                <w:r>
                                  <w:rPr>
                                    <w:rFonts w:ascii="Arial"/>
                                    <w:b/>
                                    <w:i/>
                                    <w:spacing w:val="34"/>
                                  </w:rPr>
                                  <w:t xml:space="preserve"> </w:t>
                                </w:r>
                                <w:r>
                                  <w:rPr>
                                    <w:rFonts w:ascii="Arial"/>
                                    <w:b/>
                                    <w:i/>
                                    <w:spacing w:val="-1"/>
                                  </w:rPr>
                                  <w:t>approach</w:t>
                                </w:r>
                                <w:r>
                                  <w:rPr>
                                    <w:rFonts w:ascii="Arial"/>
                                    <w:b/>
                                    <w:i/>
                                    <w:spacing w:val="7"/>
                                  </w:rPr>
                                  <w:t xml:space="preserve"> </w:t>
                                </w:r>
                                <w:r>
                                  <w:rPr>
                                    <w:rFonts w:ascii="Arial"/>
                                    <w:b/>
                                    <w:i/>
                                  </w:rPr>
                                  <w:t>to</w:t>
                                </w:r>
                                <w:r>
                                  <w:rPr>
                                    <w:rFonts w:ascii="Arial"/>
                                    <w:b/>
                                    <w:i/>
                                    <w:spacing w:val="7"/>
                                  </w:rPr>
                                  <w:t xml:space="preserve"> </w:t>
                                </w:r>
                                <w:r>
                                  <w:rPr>
                                    <w:rFonts w:ascii="Arial"/>
                                    <w:b/>
                                    <w:i/>
                                    <w:spacing w:val="-1"/>
                                  </w:rPr>
                                  <w:t>price</w:t>
                                </w:r>
                                <w:r>
                                  <w:rPr>
                                    <w:rFonts w:ascii="Arial"/>
                                    <w:b/>
                                    <w:i/>
                                    <w:spacing w:val="7"/>
                                  </w:rPr>
                                  <w:t xml:space="preserve"> </w:t>
                                </w:r>
                                <w:r>
                                  <w:rPr>
                                    <w:rFonts w:ascii="Arial"/>
                                    <w:b/>
                                    <w:i/>
                                    <w:spacing w:val="-1"/>
                                  </w:rPr>
                                  <w:t>review</w:t>
                                </w:r>
                                <w:r>
                                  <w:rPr>
                                    <w:rFonts w:ascii="Arial"/>
                                    <w:b/>
                                    <w:i/>
                                    <w:spacing w:val="9"/>
                                  </w:rPr>
                                  <w:t xml:space="preserve"> </w:t>
                                </w:r>
                                <w:r>
                                  <w:rPr>
                                    <w:rFonts w:ascii="Arial"/>
                                    <w:b/>
                                    <w:i/>
                                    <w:spacing w:val="-1"/>
                                  </w:rPr>
                                  <w:t>set</w:t>
                                </w:r>
                                <w:r>
                                  <w:rPr>
                                    <w:rFonts w:ascii="Arial"/>
                                    <w:b/>
                                    <w:i/>
                                    <w:spacing w:val="9"/>
                                  </w:rPr>
                                  <w:t xml:space="preserve"> </w:t>
                                </w:r>
                                <w:r>
                                  <w:rPr>
                                    <w:rFonts w:ascii="Arial"/>
                                    <w:b/>
                                    <w:i/>
                                    <w:spacing w:val="-1"/>
                                  </w:rPr>
                                  <w:t>out</w:t>
                                </w:r>
                                <w:r>
                                  <w:rPr>
                                    <w:rFonts w:ascii="Arial"/>
                                    <w:b/>
                                    <w:i/>
                                    <w:spacing w:val="9"/>
                                  </w:rPr>
                                  <w:t xml:space="preserve"> </w:t>
                                </w:r>
                                <w:r>
                                  <w:rPr>
                                    <w:rFonts w:ascii="Arial"/>
                                    <w:b/>
                                    <w:i/>
                                  </w:rPr>
                                  <w:t>in</w:t>
                                </w:r>
                                <w:r>
                                  <w:rPr>
                                    <w:rFonts w:ascii="Arial"/>
                                    <w:b/>
                                    <w:i/>
                                    <w:spacing w:val="7"/>
                                  </w:rPr>
                                  <w:t xml:space="preserve"> </w:t>
                                </w:r>
                                <w:r>
                                  <w:rPr>
                                    <w:rFonts w:ascii="Arial"/>
                                    <w:b/>
                                    <w:i/>
                                  </w:rPr>
                                  <w:t>this</w:t>
                                </w:r>
                                <w:r>
                                  <w:rPr>
                                    <w:rFonts w:ascii="Arial"/>
                                    <w:b/>
                                    <w:i/>
                                    <w:spacing w:val="7"/>
                                  </w:rPr>
                                  <w:t xml:space="preserve"> </w:t>
                                </w:r>
                                <w:r>
                                  <w:rPr>
                                    <w:rFonts w:ascii="Arial"/>
                                    <w:b/>
                                    <w:i/>
                                    <w:spacing w:val="-2"/>
                                  </w:rPr>
                                  <w:t>paragraph</w:t>
                                </w:r>
                                <w:r>
                                  <w:rPr>
                                    <w:rFonts w:ascii="Arial"/>
                                    <w:b/>
                                    <w:i/>
                                    <w:spacing w:val="8"/>
                                  </w:rPr>
                                  <w:t xml:space="preserve"> </w:t>
                                </w:r>
                                <w:hyperlink w:anchor="_bookmark299" w:history="1">
                                  <w:r>
                                    <w:rPr>
                                      <w:rFonts w:ascii="Arial"/>
                                      <w:b/>
                                      <w:i/>
                                      <w:spacing w:val="-1"/>
                                    </w:rPr>
                                    <w:t>9</w:t>
                                  </w:r>
                                </w:hyperlink>
                                <w:r>
                                  <w:rPr>
                                    <w:rFonts w:ascii="Arial"/>
                                    <w:b/>
                                    <w:i/>
                                    <w:spacing w:val="-1"/>
                                  </w:rPr>
                                  <w:t>,</w:t>
                                </w:r>
                                <w:r>
                                  <w:rPr>
                                    <w:rFonts w:ascii="Arial"/>
                                    <w:b/>
                                    <w:i/>
                                    <w:spacing w:val="9"/>
                                  </w:rPr>
                                  <w:t xml:space="preserve"> </w:t>
                                </w:r>
                                <w:r>
                                  <w:rPr>
                                    <w:rFonts w:ascii="Arial"/>
                                    <w:b/>
                                    <w:i/>
                                  </w:rPr>
                                  <w:t>to</w:t>
                                </w:r>
                                <w:r>
                                  <w:rPr>
                                    <w:rFonts w:ascii="Arial"/>
                                    <w:b/>
                                    <w:i/>
                                    <w:spacing w:val="7"/>
                                  </w:rPr>
                                  <w:t xml:space="preserve"> </w:t>
                                </w:r>
                                <w:r>
                                  <w:rPr>
                                    <w:rFonts w:ascii="Arial"/>
                                    <w:b/>
                                    <w:i/>
                                  </w:rPr>
                                  <w:t>which</w:t>
                                </w:r>
                                <w:r>
                                  <w:rPr>
                                    <w:rFonts w:ascii="Arial"/>
                                    <w:b/>
                                    <w:i/>
                                    <w:spacing w:val="7"/>
                                  </w:rPr>
                                  <w:t xml:space="preserve"> </w:t>
                                </w:r>
                                <w:r>
                                  <w:rPr>
                                    <w:rFonts w:ascii="Arial"/>
                                    <w:b/>
                                    <w:i/>
                                    <w:spacing w:val="-1"/>
                                  </w:rPr>
                                  <w:t>paragraph</w:t>
                                </w:r>
                                <w:r>
                                  <w:rPr>
                                    <w:rFonts w:ascii="Arial"/>
                                    <w:b/>
                                    <w:i/>
                                    <w:spacing w:val="7"/>
                                  </w:rPr>
                                  <w:t xml:space="preserve"> </w:t>
                                </w:r>
                                <w:hyperlink w:anchor="_bookmark297" w:history="1">
                                  <w:r>
                                    <w:rPr>
                                      <w:rFonts w:ascii="Arial"/>
                                      <w:b/>
                                      <w:i/>
                                    </w:rPr>
                                    <w:t>7.1.6</w:t>
                                  </w:r>
                                </w:hyperlink>
                                <w:r>
                                  <w:rPr>
                                    <w:rFonts w:ascii="Arial"/>
                                    <w:b/>
                                    <w:i/>
                                    <w:spacing w:val="8"/>
                                  </w:rPr>
                                  <w:t xml:space="preserve"> </w:t>
                                </w:r>
                                <w:r>
                                  <w:rPr>
                                    <w:rFonts w:ascii="Arial"/>
                                    <w:b/>
                                    <w:i/>
                                  </w:rPr>
                                  <w:t>is</w:t>
                                </w:r>
                                <w:r>
                                  <w:rPr>
                                    <w:rFonts w:ascii="Arial"/>
                                    <w:b/>
                                    <w:i/>
                                    <w:spacing w:val="45"/>
                                  </w:rPr>
                                  <w:t xml:space="preserve"> </w:t>
                                </w:r>
                                <w:r>
                                  <w:rPr>
                                    <w:rFonts w:ascii="Arial"/>
                                    <w:b/>
                                    <w:i/>
                                    <w:spacing w:val="-1"/>
                                  </w:rPr>
                                  <w:t>linked,</w:t>
                                </w:r>
                                <w:r>
                                  <w:rPr>
                                    <w:rFonts w:ascii="Arial"/>
                                    <w:b/>
                                    <w:i/>
                                  </w:rPr>
                                  <w:t xml:space="preserve"> is </w:t>
                                </w:r>
                                <w:r>
                                  <w:rPr>
                                    <w:rFonts w:ascii="Arial"/>
                                    <w:b/>
                                    <w:i/>
                                    <w:spacing w:val="-1"/>
                                  </w:rPr>
                                  <w:t>appropriate</w:t>
                                </w:r>
                                <w:r>
                                  <w:rPr>
                                    <w:rFonts w:ascii="Arial"/>
                                    <w:b/>
                                    <w:i/>
                                    <w:spacing w:val="-2"/>
                                  </w:rPr>
                                  <w:t xml:space="preserve"> </w:t>
                                </w:r>
                                <w:r>
                                  <w:rPr>
                                    <w:rFonts w:ascii="Arial"/>
                                    <w:b/>
                                    <w:i/>
                                    <w:spacing w:val="-1"/>
                                  </w:rPr>
                                  <w:t>to</w:t>
                                </w:r>
                                <w:r>
                                  <w:rPr>
                                    <w:rFonts w:ascii="Arial"/>
                                    <w:b/>
                                    <w:i/>
                                  </w:rPr>
                                  <w:t xml:space="preserve"> </w:t>
                                </w:r>
                                <w:r>
                                  <w:rPr>
                                    <w:rFonts w:ascii="Arial"/>
                                    <w:b/>
                                    <w:i/>
                                    <w:spacing w:val="-1"/>
                                  </w:rPr>
                                  <w:t>your</w:t>
                                </w:r>
                                <w:r>
                                  <w:rPr>
                                    <w:rFonts w:ascii="Arial"/>
                                    <w:b/>
                                    <w:i/>
                                    <w:spacing w:val="1"/>
                                  </w:rPr>
                                  <w:t xml:space="preserve"> </w:t>
                                </w:r>
                                <w:r>
                                  <w:rPr>
                                    <w:rFonts w:ascii="Arial"/>
                                    <w:b/>
                                    <w:i/>
                                    <w:spacing w:val="-1"/>
                                  </w:rPr>
                                  <w:t>Call</w:t>
                                </w:r>
                                <w:r>
                                  <w:rPr>
                                    <w:rFonts w:ascii="Arial"/>
                                    <w:b/>
                                    <w:i/>
                                    <w:spacing w:val="-3"/>
                                  </w:rPr>
                                  <w:t xml:space="preserve"> </w:t>
                                </w:r>
                                <w:r>
                                  <w:rPr>
                                    <w:rFonts w:ascii="Arial"/>
                                    <w:b/>
                                    <w:i/>
                                  </w:rPr>
                                  <w:t>Off</w:t>
                                </w:r>
                                <w:r>
                                  <w:rPr>
                                    <w:rFonts w:ascii="Arial"/>
                                    <w:b/>
                                    <w:i/>
                                    <w:spacing w:val="-1"/>
                                  </w:rPr>
                                  <w:t xml:space="preserve"> </w:t>
                                </w:r>
                                <w:r>
                                  <w:rPr>
                                    <w:rFonts w:ascii="Arial"/>
                                    <w:b/>
                                    <w:i/>
                                    <w:spacing w:val="-2"/>
                                  </w:rPr>
                                  <w:t>Contract]</w:t>
                                </w:r>
                              </w:p>
                            </w:txbxContent>
                          </wps:txbx>
                          <wps:bodyPr rot="0" vert="horz" wrap="square" lIns="0" tIns="0" rIns="0" bIns="0" anchor="t" anchorCtr="0" upright="1">
                            <a:noAutofit/>
                          </wps:bodyPr>
                        </wps:wsp>
                      </wpg:grpSp>
                    </wpg:wgp>
                  </a:graphicData>
                </a:graphic>
              </wp:inline>
            </w:drawing>
          </mc:Choice>
          <mc:Fallback>
            <w:pict>
              <v:group w14:anchorId="020403F6" id="Group 3619" o:spid="_x0000_s1186" style="width:424.35pt;height:37.95pt;mso-position-horizontal-relative:char;mso-position-vertical-relative:line" coordsize="84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">
                <v:group id="Group 3625" o:spid="_x0000_s1187" style="position:absolute;width:8484;height:252"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shape id="Freeform 3626" o:spid="_x0000_s1188" style="position:absolute;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GOMYA&#10;AADdAAAADwAAAGRycy9kb3ducmV2LnhtbESPQWvCQBSE74L/YXmCN91UQdvUVYooqBc1LfT6mn1N&#10;YrNvQ3ZN4r93BaHHYWa+YRarzpSiodoVlhW8jCMQxKnVBWcKvj63o1cQziNrLC2Tghs5WC37vQXG&#10;2rZ8pibxmQgQdjEqyL2vYildmpNBN7YVcfB+bW3QB1lnUtfYBrgp5SSKZtJgwWEhx4rWOaV/ydUo&#10;2EzP1ffhZ3vc7PWluczbU2OTTKnhoPt4B+Gp8//hZ3unFUxnk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iGOMYAAADdAAAADwAAAAAAAAAAAAAAAACYAgAAZHJz&#10;L2Rvd25yZXYueG1sUEsFBgAAAAAEAAQA9QAAAIsDAAAAAA==&#10;" path="m,252r8484,l8484,,,,,252xe" fillcolor="lime" stroked="f">
                    <v:path arrowok="t" o:connecttype="custom" o:connectlocs="0,252;8484,252;8484,0;0,0;0,252" o:connectangles="0,0,0,0,0"/>
                  </v:shape>
                </v:group>
                <v:group id="Group 3623" o:spid="_x0000_s1189" style="position:absolute;top:252;width:8484;height:252" coordorigin=",252"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shape id="Freeform 3624" o:spid="_x0000_s1190" style="position:absolute;top:252;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c48YA&#10;AADdAAAADwAAAGRycy9kb3ducmV2LnhtbESPQWvCQBSE74X+h+UVvNWNDWiJbkIpCtqLNS14fWaf&#10;SWz2bciuSfrv3YLQ4zAz3zCrbDSN6KlztWUFs2kEgriwuuZSwffX5vkVhPPIGhvLpOCXHGTp48MK&#10;E20HPlCf+1IECLsEFVTet4mUrqjIoJvaljh4Z9sZ9EF2pdQdDgFuGvkSRXNpsOawUGFL7xUVP/nV&#10;KFjHh/b4cdrs1zt96S+L4bO3eanU5Gl8W4LwNPr/8L291QrieTyDv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cc48YAAADdAAAADwAAAAAAAAAAAAAAAACYAgAAZHJz&#10;L2Rvd25yZXYueG1sUEsFBgAAAAAEAAQA9QAAAIsDAAAAAA==&#10;" path="m,252r8484,l8484,,,,,252xe" fillcolor="lime" stroked="f">
                    <v:path arrowok="t" o:connecttype="custom" o:connectlocs="0,504;8484,504;8484,252;0,252;0,504" o:connectangles="0,0,0,0,0"/>
                  </v:shape>
                </v:group>
                <v:group id="Group 3620" o:spid="_x0000_s1191" style="position:absolute;top:504;width:4901;height:255" coordorigin=",504" coordsize="490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shape id="Freeform 3622" o:spid="_x0000_s1192" style="position:absolute;top:504;width:4901;height:255;visibility:visible;mso-wrap-style:square;v-text-anchor:top" coordsize="490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NsMUA&#10;AADdAAAADwAAAGRycy9kb3ducmV2LnhtbESPUWvCMBSF3wX/Q7jCXkTTWSZSTcsYzPVJnPMHXJpr&#10;U2xusibT7t8vg8EeD+ec73B21Wh7caMhdI4VPC4zEMSN0x23Cs4fr4sNiBCRNfaOScE3BajK6WSH&#10;hXZ3fqfbKbYiQTgUqMDE6AspQ2PIYlg6T5y8ixssxiSHVuoB7wlue7nKsrW02HFaMOjpxVBzPX1Z&#10;BdnhzdThaD5t3Jtj8E+H2vu5Ug+z8XkLItIY/8N/7VoryNd5Dr9v0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42wxQAAAN0AAAAPAAAAAAAAAAAAAAAAAJgCAABkcnMv&#10;ZG93bnJldi54bWxQSwUGAAAAAAQABAD1AAAAigMAAAAA&#10;" path="m,254r4901,l4901,,,,,254xe" fillcolor="lime" stroked="f">
                    <v:path arrowok="t" o:connecttype="custom" o:connectlocs="0,758;4901,758;4901,504;0,504;0,758" o:connectangles="0,0,0,0,0"/>
                  </v:shape>
                  <v:shape id="Text Box 3621" o:spid="_x0000_s1193" type="#_x0000_t202" style="position:absolute;width:8487;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pVsYA&#10;AADdAAAADwAAAGRycy9kb3ducmV2LnhtbESPQWvCQBSE74X+h+UVvNVNq4Q2dRUpCoIgjenB4zP7&#10;TBazb2N21fjvXaHQ4zAz3zCTWW8bcaHOG8cK3oYJCOLSacOVgt9i+foBwgdkjY1jUnAjD7Pp89ME&#10;M+2unNNlGyoRIewzVFCH0GZS+rImi37oWuLoHVxnMUTZVVJ3eI1w28j3JEmlRcNxocaWvmsqj9uz&#10;VTDfcb4wp83+Jz/kpig+E16nR6UGL/38C0SgPvyH/9orrWCUjs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pVsYAAADdAAAADwAAAAAAAAAAAAAAAACYAgAAZHJz&#10;L2Rvd25yZXYueG1sUEsFBgAAAAAEAAQA9QAAAIsDAAAAAA==&#10;" filled="f" stroked="f">
                    <v:textbox inset="0,0,0,0">
                      <w:txbxContent>
                        <w:p w:rsidR="005D2B81" w:rsidRDefault="005D2B81" w:rsidP="008918FA">
                          <w:pPr>
                            <w:spacing w:before="2" w:line="252" w:lineRule="exact"/>
                            <w:jc w:val="both"/>
                            <w:rPr>
                              <w:rFonts w:ascii="Arial" w:eastAsia="Arial" w:hAnsi="Arial" w:cs="Arial"/>
                            </w:rPr>
                          </w:pPr>
                          <w:r>
                            <w:rPr>
                              <w:rFonts w:ascii="Arial"/>
                              <w:b/>
                              <w:i/>
                              <w:spacing w:val="-1"/>
                            </w:rPr>
                            <w:t>[Guidance</w:t>
                          </w:r>
                          <w:r>
                            <w:rPr>
                              <w:rFonts w:ascii="Arial"/>
                              <w:b/>
                              <w:i/>
                              <w:spacing w:val="29"/>
                            </w:rPr>
                            <w:t xml:space="preserve"> </w:t>
                          </w:r>
                          <w:r>
                            <w:rPr>
                              <w:rFonts w:ascii="Arial"/>
                              <w:b/>
                              <w:i/>
                              <w:spacing w:val="-1"/>
                            </w:rPr>
                            <w:t>Note:</w:t>
                          </w:r>
                          <w:r>
                            <w:rPr>
                              <w:rFonts w:ascii="Arial"/>
                              <w:b/>
                              <w:i/>
                              <w:spacing w:val="30"/>
                            </w:rPr>
                            <w:t xml:space="preserve"> </w:t>
                          </w:r>
                          <w:r>
                            <w:rPr>
                              <w:rFonts w:ascii="Arial"/>
                              <w:b/>
                              <w:i/>
                              <w:spacing w:val="-1"/>
                            </w:rPr>
                            <w:t>See</w:t>
                          </w:r>
                          <w:r>
                            <w:rPr>
                              <w:rFonts w:ascii="Arial"/>
                              <w:b/>
                              <w:i/>
                              <w:spacing w:val="29"/>
                            </w:rPr>
                            <w:t xml:space="preserve"> </w:t>
                          </w:r>
                          <w:r>
                            <w:rPr>
                              <w:rFonts w:ascii="Arial"/>
                              <w:b/>
                              <w:i/>
                              <w:spacing w:val="-1"/>
                            </w:rPr>
                            <w:t>optional</w:t>
                          </w:r>
                          <w:r>
                            <w:rPr>
                              <w:rFonts w:ascii="Arial"/>
                              <w:b/>
                              <w:i/>
                              <w:spacing w:val="30"/>
                            </w:rPr>
                            <w:t xml:space="preserve"> </w:t>
                          </w:r>
                          <w:r>
                            <w:rPr>
                              <w:rFonts w:ascii="Arial"/>
                              <w:b/>
                              <w:i/>
                              <w:spacing w:val="-1"/>
                            </w:rPr>
                            <w:t>paragraph</w:t>
                          </w:r>
                          <w:r>
                            <w:rPr>
                              <w:rFonts w:ascii="Arial"/>
                              <w:b/>
                              <w:i/>
                              <w:spacing w:val="29"/>
                            </w:rPr>
                            <w:t xml:space="preserve"> </w:t>
                          </w:r>
                          <w:hyperlink w:anchor="_bookmark297" w:history="1">
                            <w:r>
                              <w:rPr>
                                <w:rFonts w:ascii="Arial"/>
                                <w:b/>
                                <w:i/>
                                <w:spacing w:val="-1"/>
                              </w:rPr>
                              <w:t>7.1.6</w:t>
                            </w:r>
                          </w:hyperlink>
                          <w:r>
                            <w:rPr>
                              <w:rFonts w:ascii="Arial"/>
                              <w:b/>
                              <w:i/>
                              <w:spacing w:val="29"/>
                            </w:rPr>
                            <w:t xml:space="preserve"> </w:t>
                          </w:r>
                          <w:r>
                            <w:rPr>
                              <w:rFonts w:ascii="Arial"/>
                              <w:b/>
                              <w:i/>
                              <w:spacing w:val="-1"/>
                            </w:rPr>
                            <w:t>above</w:t>
                          </w:r>
                          <w:r>
                            <w:rPr>
                              <w:rFonts w:ascii="Arial"/>
                              <w:b/>
                              <w:i/>
                              <w:spacing w:val="29"/>
                            </w:rPr>
                            <w:t xml:space="preserve"> </w:t>
                          </w:r>
                          <w:r>
                            <w:rPr>
                              <w:rFonts w:ascii="Arial"/>
                              <w:b/>
                              <w:i/>
                              <w:spacing w:val="-1"/>
                            </w:rPr>
                            <w:t>and</w:t>
                          </w:r>
                          <w:r>
                            <w:rPr>
                              <w:rFonts w:ascii="Arial"/>
                              <w:b/>
                              <w:i/>
                              <w:spacing w:val="29"/>
                            </w:rPr>
                            <w:t xml:space="preserve"> </w:t>
                          </w:r>
                          <w:r>
                            <w:rPr>
                              <w:rFonts w:ascii="Arial"/>
                              <w:b/>
                              <w:i/>
                              <w:spacing w:val="-1"/>
                            </w:rPr>
                            <w:t>consider</w:t>
                          </w:r>
                          <w:r>
                            <w:rPr>
                              <w:rFonts w:ascii="Arial"/>
                              <w:b/>
                              <w:i/>
                              <w:spacing w:val="30"/>
                            </w:rPr>
                            <w:t xml:space="preserve"> </w:t>
                          </w:r>
                          <w:r>
                            <w:rPr>
                              <w:rFonts w:ascii="Arial"/>
                              <w:b/>
                              <w:i/>
                              <w:spacing w:val="-1"/>
                            </w:rPr>
                            <w:t>whether</w:t>
                          </w:r>
                          <w:r>
                            <w:rPr>
                              <w:rFonts w:ascii="Arial"/>
                              <w:b/>
                              <w:i/>
                              <w:spacing w:val="30"/>
                            </w:rPr>
                            <w:t xml:space="preserve"> </w:t>
                          </w:r>
                          <w:r>
                            <w:rPr>
                              <w:rFonts w:ascii="Arial"/>
                              <w:b/>
                              <w:i/>
                              <w:spacing w:val="-1"/>
                            </w:rPr>
                            <w:t>the</w:t>
                          </w:r>
                          <w:r>
                            <w:rPr>
                              <w:rFonts w:ascii="Arial"/>
                              <w:b/>
                              <w:i/>
                              <w:spacing w:val="34"/>
                            </w:rPr>
                            <w:t xml:space="preserve"> </w:t>
                          </w:r>
                          <w:r>
                            <w:rPr>
                              <w:rFonts w:ascii="Arial"/>
                              <w:b/>
                              <w:i/>
                              <w:spacing w:val="-1"/>
                            </w:rPr>
                            <w:t>approach</w:t>
                          </w:r>
                          <w:r>
                            <w:rPr>
                              <w:rFonts w:ascii="Arial"/>
                              <w:b/>
                              <w:i/>
                              <w:spacing w:val="7"/>
                            </w:rPr>
                            <w:t xml:space="preserve"> </w:t>
                          </w:r>
                          <w:r>
                            <w:rPr>
                              <w:rFonts w:ascii="Arial"/>
                              <w:b/>
                              <w:i/>
                            </w:rPr>
                            <w:t>to</w:t>
                          </w:r>
                          <w:r>
                            <w:rPr>
                              <w:rFonts w:ascii="Arial"/>
                              <w:b/>
                              <w:i/>
                              <w:spacing w:val="7"/>
                            </w:rPr>
                            <w:t xml:space="preserve"> </w:t>
                          </w:r>
                          <w:r>
                            <w:rPr>
                              <w:rFonts w:ascii="Arial"/>
                              <w:b/>
                              <w:i/>
                              <w:spacing w:val="-1"/>
                            </w:rPr>
                            <w:t>price</w:t>
                          </w:r>
                          <w:r>
                            <w:rPr>
                              <w:rFonts w:ascii="Arial"/>
                              <w:b/>
                              <w:i/>
                              <w:spacing w:val="7"/>
                            </w:rPr>
                            <w:t xml:space="preserve"> </w:t>
                          </w:r>
                          <w:r>
                            <w:rPr>
                              <w:rFonts w:ascii="Arial"/>
                              <w:b/>
                              <w:i/>
                              <w:spacing w:val="-1"/>
                            </w:rPr>
                            <w:t>review</w:t>
                          </w:r>
                          <w:r>
                            <w:rPr>
                              <w:rFonts w:ascii="Arial"/>
                              <w:b/>
                              <w:i/>
                              <w:spacing w:val="9"/>
                            </w:rPr>
                            <w:t xml:space="preserve"> </w:t>
                          </w:r>
                          <w:r>
                            <w:rPr>
                              <w:rFonts w:ascii="Arial"/>
                              <w:b/>
                              <w:i/>
                              <w:spacing w:val="-1"/>
                            </w:rPr>
                            <w:t>set</w:t>
                          </w:r>
                          <w:r>
                            <w:rPr>
                              <w:rFonts w:ascii="Arial"/>
                              <w:b/>
                              <w:i/>
                              <w:spacing w:val="9"/>
                            </w:rPr>
                            <w:t xml:space="preserve"> </w:t>
                          </w:r>
                          <w:r>
                            <w:rPr>
                              <w:rFonts w:ascii="Arial"/>
                              <w:b/>
                              <w:i/>
                              <w:spacing w:val="-1"/>
                            </w:rPr>
                            <w:t>out</w:t>
                          </w:r>
                          <w:r>
                            <w:rPr>
                              <w:rFonts w:ascii="Arial"/>
                              <w:b/>
                              <w:i/>
                              <w:spacing w:val="9"/>
                            </w:rPr>
                            <w:t xml:space="preserve"> </w:t>
                          </w:r>
                          <w:r>
                            <w:rPr>
                              <w:rFonts w:ascii="Arial"/>
                              <w:b/>
                              <w:i/>
                            </w:rPr>
                            <w:t>in</w:t>
                          </w:r>
                          <w:r>
                            <w:rPr>
                              <w:rFonts w:ascii="Arial"/>
                              <w:b/>
                              <w:i/>
                              <w:spacing w:val="7"/>
                            </w:rPr>
                            <w:t xml:space="preserve"> </w:t>
                          </w:r>
                          <w:r>
                            <w:rPr>
                              <w:rFonts w:ascii="Arial"/>
                              <w:b/>
                              <w:i/>
                            </w:rPr>
                            <w:t>this</w:t>
                          </w:r>
                          <w:r>
                            <w:rPr>
                              <w:rFonts w:ascii="Arial"/>
                              <w:b/>
                              <w:i/>
                              <w:spacing w:val="7"/>
                            </w:rPr>
                            <w:t xml:space="preserve"> </w:t>
                          </w:r>
                          <w:r>
                            <w:rPr>
                              <w:rFonts w:ascii="Arial"/>
                              <w:b/>
                              <w:i/>
                              <w:spacing w:val="-2"/>
                            </w:rPr>
                            <w:t>paragraph</w:t>
                          </w:r>
                          <w:r>
                            <w:rPr>
                              <w:rFonts w:ascii="Arial"/>
                              <w:b/>
                              <w:i/>
                              <w:spacing w:val="8"/>
                            </w:rPr>
                            <w:t xml:space="preserve"> </w:t>
                          </w:r>
                          <w:hyperlink w:anchor="_bookmark299" w:history="1">
                            <w:r>
                              <w:rPr>
                                <w:rFonts w:ascii="Arial"/>
                                <w:b/>
                                <w:i/>
                                <w:spacing w:val="-1"/>
                              </w:rPr>
                              <w:t>9</w:t>
                            </w:r>
                          </w:hyperlink>
                          <w:r>
                            <w:rPr>
                              <w:rFonts w:ascii="Arial"/>
                              <w:b/>
                              <w:i/>
                              <w:spacing w:val="-1"/>
                            </w:rPr>
                            <w:t>,</w:t>
                          </w:r>
                          <w:r>
                            <w:rPr>
                              <w:rFonts w:ascii="Arial"/>
                              <w:b/>
                              <w:i/>
                              <w:spacing w:val="9"/>
                            </w:rPr>
                            <w:t xml:space="preserve"> </w:t>
                          </w:r>
                          <w:r>
                            <w:rPr>
                              <w:rFonts w:ascii="Arial"/>
                              <w:b/>
                              <w:i/>
                            </w:rPr>
                            <w:t>to</w:t>
                          </w:r>
                          <w:r>
                            <w:rPr>
                              <w:rFonts w:ascii="Arial"/>
                              <w:b/>
                              <w:i/>
                              <w:spacing w:val="7"/>
                            </w:rPr>
                            <w:t xml:space="preserve"> </w:t>
                          </w:r>
                          <w:r>
                            <w:rPr>
                              <w:rFonts w:ascii="Arial"/>
                              <w:b/>
                              <w:i/>
                            </w:rPr>
                            <w:t>which</w:t>
                          </w:r>
                          <w:r>
                            <w:rPr>
                              <w:rFonts w:ascii="Arial"/>
                              <w:b/>
                              <w:i/>
                              <w:spacing w:val="7"/>
                            </w:rPr>
                            <w:t xml:space="preserve"> </w:t>
                          </w:r>
                          <w:r>
                            <w:rPr>
                              <w:rFonts w:ascii="Arial"/>
                              <w:b/>
                              <w:i/>
                              <w:spacing w:val="-1"/>
                            </w:rPr>
                            <w:t>paragraph</w:t>
                          </w:r>
                          <w:r>
                            <w:rPr>
                              <w:rFonts w:ascii="Arial"/>
                              <w:b/>
                              <w:i/>
                              <w:spacing w:val="7"/>
                            </w:rPr>
                            <w:t xml:space="preserve"> </w:t>
                          </w:r>
                          <w:hyperlink w:anchor="_bookmark297" w:history="1">
                            <w:r>
                              <w:rPr>
                                <w:rFonts w:ascii="Arial"/>
                                <w:b/>
                                <w:i/>
                              </w:rPr>
                              <w:t>7.1.6</w:t>
                            </w:r>
                          </w:hyperlink>
                          <w:r>
                            <w:rPr>
                              <w:rFonts w:ascii="Arial"/>
                              <w:b/>
                              <w:i/>
                              <w:spacing w:val="8"/>
                            </w:rPr>
                            <w:t xml:space="preserve"> </w:t>
                          </w:r>
                          <w:r>
                            <w:rPr>
                              <w:rFonts w:ascii="Arial"/>
                              <w:b/>
                              <w:i/>
                            </w:rPr>
                            <w:t>is</w:t>
                          </w:r>
                          <w:r>
                            <w:rPr>
                              <w:rFonts w:ascii="Arial"/>
                              <w:b/>
                              <w:i/>
                              <w:spacing w:val="45"/>
                            </w:rPr>
                            <w:t xml:space="preserve"> </w:t>
                          </w:r>
                          <w:r>
                            <w:rPr>
                              <w:rFonts w:ascii="Arial"/>
                              <w:b/>
                              <w:i/>
                              <w:spacing w:val="-1"/>
                            </w:rPr>
                            <w:t>linked,</w:t>
                          </w:r>
                          <w:r>
                            <w:rPr>
                              <w:rFonts w:ascii="Arial"/>
                              <w:b/>
                              <w:i/>
                            </w:rPr>
                            <w:t xml:space="preserve"> is </w:t>
                          </w:r>
                          <w:r>
                            <w:rPr>
                              <w:rFonts w:ascii="Arial"/>
                              <w:b/>
                              <w:i/>
                              <w:spacing w:val="-1"/>
                            </w:rPr>
                            <w:t>appropriate</w:t>
                          </w:r>
                          <w:r>
                            <w:rPr>
                              <w:rFonts w:ascii="Arial"/>
                              <w:b/>
                              <w:i/>
                              <w:spacing w:val="-2"/>
                            </w:rPr>
                            <w:t xml:space="preserve"> </w:t>
                          </w:r>
                          <w:r>
                            <w:rPr>
                              <w:rFonts w:ascii="Arial"/>
                              <w:b/>
                              <w:i/>
                              <w:spacing w:val="-1"/>
                            </w:rPr>
                            <w:t>to</w:t>
                          </w:r>
                          <w:r>
                            <w:rPr>
                              <w:rFonts w:ascii="Arial"/>
                              <w:b/>
                              <w:i/>
                            </w:rPr>
                            <w:t xml:space="preserve"> </w:t>
                          </w:r>
                          <w:r>
                            <w:rPr>
                              <w:rFonts w:ascii="Arial"/>
                              <w:b/>
                              <w:i/>
                              <w:spacing w:val="-1"/>
                            </w:rPr>
                            <w:t>your</w:t>
                          </w:r>
                          <w:r>
                            <w:rPr>
                              <w:rFonts w:ascii="Arial"/>
                              <w:b/>
                              <w:i/>
                              <w:spacing w:val="1"/>
                            </w:rPr>
                            <w:t xml:space="preserve"> </w:t>
                          </w:r>
                          <w:r>
                            <w:rPr>
                              <w:rFonts w:ascii="Arial"/>
                              <w:b/>
                              <w:i/>
                              <w:spacing w:val="-1"/>
                            </w:rPr>
                            <w:t>Call</w:t>
                          </w:r>
                          <w:r>
                            <w:rPr>
                              <w:rFonts w:ascii="Arial"/>
                              <w:b/>
                              <w:i/>
                              <w:spacing w:val="-3"/>
                            </w:rPr>
                            <w:t xml:space="preserve"> </w:t>
                          </w:r>
                          <w:r>
                            <w:rPr>
                              <w:rFonts w:ascii="Arial"/>
                              <w:b/>
                              <w:i/>
                            </w:rPr>
                            <w:t>Off</w:t>
                          </w:r>
                          <w:r>
                            <w:rPr>
                              <w:rFonts w:ascii="Arial"/>
                              <w:b/>
                              <w:i/>
                              <w:spacing w:val="-1"/>
                            </w:rPr>
                            <w:t xml:space="preserve"> </w:t>
                          </w:r>
                          <w:r>
                            <w:rPr>
                              <w:rFonts w:ascii="Arial"/>
                              <w:b/>
                              <w:i/>
                              <w:spacing w:val="-2"/>
                            </w:rPr>
                            <w:t>Contract]</w:t>
                          </w:r>
                        </w:p>
                      </w:txbxContent>
                    </v:textbox>
                  </v:shape>
                </v:group>
                <w10:anchorlock/>
              </v:group>
            </w:pict>
          </mc:Fallback>
        </mc:AlternateContent>
      </w:r>
    </w:p>
    <w:p w:rsidR="008918FA" w:rsidRDefault="008918FA" w:rsidP="008918FA">
      <w:pPr>
        <w:spacing w:before="5"/>
        <w:rPr>
          <w:rFonts w:ascii="Arial" w:eastAsia="Arial" w:hAnsi="Arial" w:cs="Arial"/>
          <w:sz w:val="10"/>
          <w:szCs w:val="10"/>
        </w:rPr>
      </w:pPr>
    </w:p>
    <w:p w:rsidR="008918FA" w:rsidRDefault="008918FA" w:rsidP="008918FA">
      <w:pPr>
        <w:spacing w:line="200" w:lineRule="atLeast"/>
        <w:ind w:left="468"/>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2144CBA0" wp14:editId="6744876C">
                <wp:extent cx="5386705" cy="321945"/>
                <wp:effectExtent l="0" t="0" r="4445" b="1905"/>
                <wp:docPr id="3621" name="Group 3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321945"/>
                          <a:chOff x="0" y="0"/>
                          <a:chExt cx="8483" cy="507"/>
                        </a:xfrm>
                      </wpg:grpSpPr>
                      <wpg:grpSp>
                        <wpg:cNvPr id="3622" name="Group 3617"/>
                        <wpg:cNvGrpSpPr>
                          <a:grpSpLocks/>
                        </wpg:cNvGrpSpPr>
                        <wpg:grpSpPr bwMode="auto">
                          <a:xfrm>
                            <a:off x="0" y="0"/>
                            <a:ext cx="8482" cy="252"/>
                            <a:chOff x="0" y="0"/>
                            <a:chExt cx="8482" cy="252"/>
                          </a:xfrm>
                        </wpg:grpSpPr>
                        <wps:wsp>
                          <wps:cNvPr id="3623" name="Freeform 3618"/>
                          <wps:cNvSpPr>
                            <a:spLocks/>
                          </wps:cNvSpPr>
                          <wps:spPr bwMode="auto">
                            <a:xfrm>
                              <a:off x="0" y="0"/>
                              <a:ext cx="8482" cy="252"/>
                            </a:xfrm>
                            <a:custGeom>
                              <a:avLst/>
                              <a:gdLst>
                                <a:gd name="T0" fmla="*/ 0 w 8482"/>
                                <a:gd name="T1" fmla="*/ 252 h 252"/>
                                <a:gd name="T2" fmla="*/ 8482 w 8482"/>
                                <a:gd name="T3" fmla="*/ 252 h 252"/>
                                <a:gd name="T4" fmla="*/ 8482 w 8482"/>
                                <a:gd name="T5" fmla="*/ 0 h 252"/>
                                <a:gd name="T6" fmla="*/ 0 w 8482"/>
                                <a:gd name="T7" fmla="*/ 0 h 252"/>
                                <a:gd name="T8" fmla="*/ 0 w 8482"/>
                                <a:gd name="T9" fmla="*/ 252 h 252"/>
                              </a:gdLst>
                              <a:ahLst/>
                              <a:cxnLst>
                                <a:cxn ang="0">
                                  <a:pos x="T0" y="T1"/>
                                </a:cxn>
                                <a:cxn ang="0">
                                  <a:pos x="T2" y="T3"/>
                                </a:cxn>
                                <a:cxn ang="0">
                                  <a:pos x="T4" y="T5"/>
                                </a:cxn>
                                <a:cxn ang="0">
                                  <a:pos x="T6" y="T7"/>
                                </a:cxn>
                                <a:cxn ang="0">
                                  <a:pos x="T8" y="T9"/>
                                </a:cxn>
                              </a:cxnLst>
                              <a:rect l="0" t="0" r="r" b="b"/>
                              <a:pathLst>
                                <a:path w="8482" h="252">
                                  <a:moveTo>
                                    <a:pt x="0" y="252"/>
                                  </a:moveTo>
                                  <a:lnTo>
                                    <a:pt x="8482" y="252"/>
                                  </a:lnTo>
                                  <a:lnTo>
                                    <a:pt x="8482"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4" name="Group 3614"/>
                        <wpg:cNvGrpSpPr>
                          <a:grpSpLocks/>
                        </wpg:cNvGrpSpPr>
                        <wpg:grpSpPr bwMode="auto">
                          <a:xfrm>
                            <a:off x="360" y="252"/>
                            <a:ext cx="7959" cy="255"/>
                            <a:chOff x="360" y="252"/>
                            <a:chExt cx="7959" cy="255"/>
                          </a:xfrm>
                        </wpg:grpSpPr>
                        <wps:wsp>
                          <wps:cNvPr id="3625" name="Freeform 3616"/>
                          <wps:cNvSpPr>
                            <a:spLocks/>
                          </wps:cNvSpPr>
                          <wps:spPr bwMode="auto">
                            <a:xfrm>
                              <a:off x="360" y="252"/>
                              <a:ext cx="7959" cy="255"/>
                            </a:xfrm>
                            <a:custGeom>
                              <a:avLst/>
                              <a:gdLst>
                                <a:gd name="T0" fmla="+- 0 360 360"/>
                                <a:gd name="T1" fmla="*/ T0 w 7959"/>
                                <a:gd name="T2" fmla="+- 0 506 252"/>
                                <a:gd name="T3" fmla="*/ 506 h 255"/>
                                <a:gd name="T4" fmla="+- 0 8318 360"/>
                                <a:gd name="T5" fmla="*/ T4 w 7959"/>
                                <a:gd name="T6" fmla="+- 0 506 252"/>
                                <a:gd name="T7" fmla="*/ 506 h 255"/>
                                <a:gd name="T8" fmla="+- 0 8318 360"/>
                                <a:gd name="T9" fmla="*/ T8 w 7959"/>
                                <a:gd name="T10" fmla="+- 0 252 252"/>
                                <a:gd name="T11" fmla="*/ 252 h 255"/>
                                <a:gd name="T12" fmla="+- 0 360 360"/>
                                <a:gd name="T13" fmla="*/ T12 w 7959"/>
                                <a:gd name="T14" fmla="+- 0 252 252"/>
                                <a:gd name="T15" fmla="*/ 252 h 255"/>
                                <a:gd name="T16" fmla="+- 0 360 360"/>
                                <a:gd name="T17" fmla="*/ T16 w 7959"/>
                                <a:gd name="T18" fmla="+- 0 506 252"/>
                                <a:gd name="T19" fmla="*/ 506 h 255"/>
                              </a:gdLst>
                              <a:ahLst/>
                              <a:cxnLst>
                                <a:cxn ang="0">
                                  <a:pos x="T1" y="T3"/>
                                </a:cxn>
                                <a:cxn ang="0">
                                  <a:pos x="T5" y="T7"/>
                                </a:cxn>
                                <a:cxn ang="0">
                                  <a:pos x="T9" y="T11"/>
                                </a:cxn>
                                <a:cxn ang="0">
                                  <a:pos x="T13" y="T15"/>
                                </a:cxn>
                                <a:cxn ang="0">
                                  <a:pos x="T17" y="T19"/>
                                </a:cxn>
                              </a:cxnLst>
                              <a:rect l="0" t="0" r="r" b="b"/>
                              <a:pathLst>
                                <a:path w="7959" h="255">
                                  <a:moveTo>
                                    <a:pt x="0" y="254"/>
                                  </a:moveTo>
                                  <a:lnTo>
                                    <a:pt x="7958" y="254"/>
                                  </a:lnTo>
                                  <a:lnTo>
                                    <a:pt x="7958"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6" name="Text Box 3615"/>
                          <wps:cNvSpPr txBox="1">
                            <a:spLocks noChangeArrowheads="1"/>
                          </wps:cNvSpPr>
                          <wps:spPr bwMode="auto">
                            <a:xfrm>
                              <a:off x="0" y="0"/>
                              <a:ext cx="848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line="252" w:lineRule="exact"/>
                                  <w:ind w:left="360" w:hanging="360"/>
                                  <w:rPr>
                                    <w:rFonts w:ascii="Arial" w:eastAsia="Arial" w:hAnsi="Arial" w:cs="Arial"/>
                                  </w:rPr>
                                </w:pPr>
                                <w:r>
                                  <w:rPr>
                                    <w:rFonts w:ascii="Arial"/>
                                  </w:rPr>
                                  <w:t>9.1</w:t>
                                </w:r>
                                <w:r>
                                  <w:rPr>
                                    <w:rFonts w:ascii="Arial"/>
                                    <w:spacing w:val="-9"/>
                                  </w:rPr>
                                  <w:t xml:space="preserve"> </w:t>
                                </w:r>
                                <w:r>
                                  <w:rPr>
                                    <w:rFonts w:ascii="Arial"/>
                                  </w:rPr>
                                  <w:t xml:space="preserve">The </w:t>
                                </w:r>
                                <w:r>
                                  <w:rPr>
                                    <w:rFonts w:ascii="Arial"/>
                                    <w:spacing w:val="-2"/>
                                  </w:rPr>
                                  <w:t>Supplier</w:t>
                                </w:r>
                                <w:r>
                                  <w:rPr>
                                    <w:rFonts w:ascii="Arial"/>
                                    <w:spacing w:val="-1"/>
                                  </w:rPr>
                                  <w:t xml:space="preserve"> may</w:t>
                                </w:r>
                                <w:r>
                                  <w:rPr>
                                    <w:rFonts w:ascii="Arial"/>
                                    <w:spacing w:val="-2"/>
                                  </w:rPr>
                                  <w:t xml:space="preserve"> </w:t>
                                </w:r>
                                <w:r>
                                  <w:rPr>
                                    <w:rFonts w:ascii="Arial"/>
                                    <w:spacing w:val="-1"/>
                                  </w:rPr>
                                  <w:t>request</w:t>
                                </w:r>
                                <w:r>
                                  <w:rPr>
                                    <w:rFonts w:ascii="Arial"/>
                                    <w:spacing w:val="2"/>
                                  </w:rPr>
                                  <w:t xml:space="preserve"> </w:t>
                                </w:r>
                                <w:r>
                                  <w:rPr>
                                    <w:rFonts w:ascii="Arial"/>
                                    <w:spacing w:val="-1"/>
                                  </w:rPr>
                                  <w:t>an</w:t>
                                </w:r>
                                <w:r>
                                  <w:rPr>
                                    <w:rFonts w:ascii="Arial"/>
                                    <w:spacing w:val="-2"/>
                                  </w:rPr>
                                  <w:t xml:space="preserve"> </w:t>
                                </w:r>
                                <w:r>
                                  <w:rPr>
                                    <w:rFonts w:ascii="Arial"/>
                                    <w:spacing w:val="-1"/>
                                  </w:rPr>
                                  <w:t>increase</w:t>
                                </w:r>
                                <w:r>
                                  <w:rPr>
                                    <w:rFonts w:ascii="Arial"/>
                                    <w:spacing w:val="-2"/>
                                  </w:rPr>
                                  <w:t xml:space="preserve"> </w:t>
                                </w:r>
                                <w:r>
                                  <w:rPr>
                                    <w:rFonts w:ascii="Arial"/>
                                    <w:spacing w:val="-1"/>
                                  </w:rPr>
                                  <w:t>in</w:t>
                                </w:r>
                                <w:r>
                                  <w:rPr>
                                    <w:rFonts w:ascii="Arial"/>
                                  </w:rPr>
                                  <w:t xml:space="preserve"> </w:t>
                                </w:r>
                                <w:r>
                                  <w:rPr>
                                    <w:rFonts w:ascii="Arial"/>
                                    <w:spacing w:val="-1"/>
                                  </w:rPr>
                                  <w:t>all</w:t>
                                </w:r>
                                <w:r>
                                  <w:rPr>
                                    <w:rFonts w:ascii="Arial"/>
                                  </w:rPr>
                                  <w:t xml:space="preserve"> </w:t>
                                </w:r>
                                <w:r>
                                  <w:rPr>
                                    <w:rFonts w:ascii="Arial"/>
                                    <w:spacing w:val="-1"/>
                                  </w:rPr>
                                  <w:t>or</w:t>
                                </w:r>
                                <w:r>
                                  <w:rPr>
                                    <w:rFonts w:ascii="Arial"/>
                                    <w:spacing w:val="2"/>
                                  </w:rPr>
                                  <w:t xml:space="preserve"> </w:t>
                                </w:r>
                                <w:r>
                                  <w:rPr>
                                    <w:rFonts w:ascii="Arial"/>
                                    <w:spacing w:val="-1"/>
                                  </w:rPr>
                                  <w:t>part</w:t>
                                </w:r>
                                <w:r>
                                  <w:rPr>
                                    <w:rFonts w:ascii="Arial"/>
                                    <w:spacing w:val="2"/>
                                  </w:rPr>
                                  <w:t xml:space="preserve"> </w:t>
                                </w:r>
                                <w:r>
                                  <w:rPr>
                                    <w:rFonts w:ascii="Arial"/>
                                    <w:spacing w:val="-2"/>
                                  </w:rPr>
                                  <w:t>of</w:t>
                                </w:r>
                                <w:r>
                                  <w:rPr>
                                    <w:rFonts w:ascii="Arial"/>
                                  </w:rPr>
                                  <w:t xml:space="preserve"> the </w:t>
                                </w:r>
                                <w:r>
                                  <w:rPr>
                                    <w:rFonts w:ascii="Arial"/>
                                    <w:spacing w:val="-2"/>
                                  </w:rPr>
                                  <w:t>Call</w:t>
                                </w:r>
                                <w:r>
                                  <w:rPr>
                                    <w:rFonts w:ascii="Arial"/>
                                    <w:spacing w:val="-3"/>
                                  </w:rPr>
                                  <w:t xml:space="preserve"> </w:t>
                                </w:r>
                                <w:r>
                                  <w:rPr>
                                    <w:rFonts w:ascii="Arial"/>
                                    <w:spacing w:val="-1"/>
                                  </w:rPr>
                                  <w:t>Off</w:t>
                                </w:r>
                                <w:r>
                                  <w:rPr>
                                    <w:rFonts w:ascii="Arial"/>
                                    <w:spacing w:val="2"/>
                                  </w:rPr>
                                  <w:t xml:space="preserve"> </w:t>
                                </w:r>
                                <w:r>
                                  <w:rPr>
                                    <w:rFonts w:ascii="Arial"/>
                                    <w:spacing w:val="-2"/>
                                  </w:rPr>
                                  <w:t>Contract</w:t>
                                </w:r>
                                <w:r>
                                  <w:rPr>
                                    <w:rFonts w:ascii="Arial"/>
                                  </w:rPr>
                                  <w:t xml:space="preserve"> </w:t>
                                </w:r>
                                <w:r>
                                  <w:rPr>
                                    <w:rFonts w:ascii="Arial"/>
                                    <w:spacing w:val="-1"/>
                                  </w:rPr>
                                  <w:t>Charges</w:t>
                                </w:r>
                                <w:r>
                                  <w:rPr>
                                    <w:rFonts w:ascii="Arial"/>
                                    <w:spacing w:val="57"/>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w:t>
                                </w:r>
                                <w:r>
                                  <w:rPr>
                                    <w:rFonts w:ascii="Arial"/>
                                    <w:spacing w:val="-2"/>
                                  </w:rPr>
                                  <w:t xml:space="preserve"> remaining</w:t>
                                </w:r>
                                <w:r>
                                  <w:rPr>
                                    <w:rFonts w:ascii="Arial"/>
                                  </w:rPr>
                                  <w:t xml:space="preserve"> </w:t>
                                </w:r>
                                <w:r>
                                  <w:rPr>
                                    <w:rFonts w:ascii="Arial"/>
                                    <w:spacing w:val="-2"/>
                                  </w:rPr>
                                  <w:t>provisions</w:t>
                                </w:r>
                                <w:r>
                                  <w:rPr>
                                    <w:rFonts w:ascii="Arial"/>
                                    <w:spacing w:val="1"/>
                                  </w:rPr>
                                  <w:t xml:space="preserve"> </w:t>
                                </w:r>
                                <w:r>
                                  <w:rPr>
                                    <w:rFonts w:ascii="Arial"/>
                                    <w:spacing w:val="-2"/>
                                  </w:rPr>
                                  <w:t>of</w:t>
                                </w:r>
                                <w:r>
                                  <w:rPr>
                                    <w:rFonts w:ascii="Arial"/>
                                    <w:spacing w:val="2"/>
                                  </w:rPr>
                                  <w:t xml:space="preserve"> </w:t>
                                </w:r>
                                <w:r>
                                  <w:rPr>
                                    <w:rFonts w:ascii="Arial"/>
                                    <w:spacing w:val="-1"/>
                                  </w:rPr>
                                  <w:t>this</w:t>
                                </w:r>
                                <w:r>
                                  <w:rPr>
                                    <w:rFonts w:ascii="Arial"/>
                                    <w:spacing w:val="1"/>
                                  </w:rPr>
                                  <w:t xml:space="preserve"> </w:t>
                                </w:r>
                                <w:r>
                                  <w:rPr>
                                    <w:rFonts w:ascii="Arial"/>
                                    <w:spacing w:val="-1"/>
                                  </w:rPr>
                                  <w:t>paragraph</w:t>
                                </w:r>
                                <w:r>
                                  <w:rPr>
                                    <w:rFonts w:ascii="Arial"/>
                                    <w:spacing w:val="3"/>
                                  </w:rPr>
                                  <w:t xml:space="preserve"> </w:t>
                                </w:r>
                                <w:hyperlink w:anchor="_bookmark299" w:history="1">
                                  <w:r>
                                    <w:rPr>
                                      <w:rFonts w:ascii="Arial"/>
                                    </w:rPr>
                                    <w:t>9</w:t>
                                  </w:r>
                                </w:hyperlink>
                                <w:r>
                                  <w:rPr>
                                    <w:rFonts w:ascii="Arial"/>
                                    <w:spacing w:val="-2"/>
                                  </w:rPr>
                                  <w:t xml:space="preserve"> </w:t>
                                </w:r>
                                <w:r>
                                  <w:rPr>
                                    <w:rFonts w:ascii="Arial"/>
                                    <w:spacing w:val="-1"/>
                                  </w:rPr>
                                  <w:t>subject</w:t>
                                </w:r>
                                <w:r>
                                  <w:rPr>
                                    <w:rFonts w:ascii="Arial"/>
                                  </w:rPr>
                                  <w:t xml:space="preserve"> </w:t>
                                </w:r>
                                <w:r>
                                  <w:rPr>
                                    <w:rFonts w:ascii="Arial"/>
                                    <w:spacing w:val="-2"/>
                                  </w:rPr>
                                  <w:t>always</w:t>
                                </w:r>
                                <w:r>
                                  <w:rPr>
                                    <w:rFonts w:ascii="Arial"/>
                                    <w:spacing w:val="1"/>
                                  </w:rPr>
                                  <w:t xml:space="preserve"> </w:t>
                                </w:r>
                                <w:r>
                                  <w:rPr>
                                    <w:rFonts w:ascii="Arial"/>
                                    <w:spacing w:val="-1"/>
                                  </w:rPr>
                                  <w:t>to:</w:t>
                                </w:r>
                              </w:p>
                            </w:txbxContent>
                          </wps:txbx>
                          <wps:bodyPr rot="0" vert="horz" wrap="square" lIns="0" tIns="0" rIns="0" bIns="0" anchor="t" anchorCtr="0" upright="1">
                            <a:noAutofit/>
                          </wps:bodyPr>
                        </wps:wsp>
                      </wpg:grpSp>
                    </wpg:wgp>
                  </a:graphicData>
                </a:graphic>
              </wp:inline>
            </w:drawing>
          </mc:Choice>
          <mc:Fallback>
            <w:pict>
              <v:group w14:anchorId="2144CBA0" id="Group 3613" o:spid="_x0000_s1194" style="width:424.15pt;height:25.35pt;mso-position-horizontal-relative:char;mso-position-vertical-relative:line" coordsize="848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">
                <v:group id="Group 3617" o:spid="_x0000_s1195" style="position:absolute;width:8482;height:252" coordsize="848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shape id="Freeform 3618" o:spid="_x0000_s1196" style="position:absolute;width:8482;height:252;visibility:visible;mso-wrap-style:square;v-text-anchor:top" coordsize="84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D08YA&#10;AADdAAAADwAAAGRycy9kb3ducmV2LnhtbESPQWsCMRSE7wX/Q3hCbzWrwlK3RhGxYHsp1UJ7fCTP&#10;zbKblyVJ1/XfN4VCj8PMfMOst6PrxEAhNp4VzGcFCGLtTcO1go/z88MjiJiQDXaeScGNImw3k7s1&#10;VsZf+Z2GU6pFhnCsUIFNqa+kjNqSwzjzPXH2Lj44TFmGWpqA1wx3nVwURSkdNpwXLPa0t6Tb07dT&#10;EPDrOP/UtR3ebrpdrcrXQ/tSKnU/HXdPIBKN6T/81z4aBctysYT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6D08YAAADdAAAADwAAAAAAAAAAAAAAAACYAgAAZHJz&#10;L2Rvd25yZXYueG1sUEsFBgAAAAAEAAQA9QAAAIsDAAAAAA==&#10;" path="m,252r8482,l8482,,,,,252xe" fillcolor="yellow" stroked="f">
                    <v:path arrowok="t" o:connecttype="custom" o:connectlocs="0,252;8482,252;8482,0;0,0;0,252" o:connectangles="0,0,0,0,0"/>
                  </v:shape>
                </v:group>
                <v:group id="Group 3614" o:spid="_x0000_s1197" style="position:absolute;left:360;top:252;width:7959;height:255" coordorigin="360,252" coordsize="795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3616" o:spid="_x0000_s1198" style="position:absolute;left:360;top:252;width:7959;height:255;visibility:visible;mso-wrap-style:square;v-text-anchor:top" coordsize="79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jKMUA&#10;AADdAAAADwAAAGRycy9kb3ducmV2LnhtbESPS4vCQBCE78L+h6EFbzrxFSTrKIsg7EnxdfDWm2mT&#10;kExPyMwm2X+/Iwgei6r6ilpve1OJlhpXWFYwnUQgiFOrC84UXC/78QqE88gaK8uk4I8cbDcfgzUm&#10;2nZ8ovbsMxEg7BJUkHtfJ1K6NCeDbmJr4uA9bGPQB9lkUjfYBbip5CyKYmmw4LCQY027nNLy/GsU&#10;LKZ3an/KTvfH6HgvfXu7zg83pUbD/usThKfev8Ov9rdWMI9nS3i+C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6MoxQAAAN0AAAAPAAAAAAAAAAAAAAAAAJgCAABkcnMv&#10;ZG93bnJldi54bWxQSwUGAAAAAAQABAD1AAAAigMAAAAA&#10;" path="m,254r7958,l7958,,,,,254xe" fillcolor="yellow" stroked="f">
                    <v:path arrowok="t" o:connecttype="custom" o:connectlocs="0,506;7958,506;7958,252;0,252;0,506" o:connectangles="0,0,0,0,0"/>
                  </v:shape>
                  <v:shape id="Text Box 3615" o:spid="_x0000_s1199" type="#_x0000_t202" style="position:absolute;width:848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EZ8UA&#10;AADdAAAADwAAAGRycy9kb3ducmV2LnhtbESPQWvCQBSE70L/w/IK3nSjQqjRVUQUCkJpjIceX7PP&#10;ZDH7Nma3Gv99t1DwOMzMN8xy3dtG3KjzxrGCyTgBQVw6bbhScCr2ozcQPiBrbByTggd5WK9eBkvM&#10;tLtzTrdjqESEsM9QQR1Cm0npy5os+rFriaN3dp3FEGVXSd3hPcJtI6dJkkqLhuNCjS1tayovxx+r&#10;YPPF+c5cP74/83NuimKe8CG9KDV87TcLEIH68Az/t9+1glk6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kRnxQAAAN0AAAAPAAAAAAAAAAAAAAAAAJgCAABkcnMv&#10;ZG93bnJldi54bWxQSwUGAAAAAAQABAD1AAAAigMAAAAA&#10;" filled="f" stroked="f">
                    <v:textbox inset="0,0,0,0">
                      <w:txbxContent>
                        <w:p w:rsidR="005D2B81" w:rsidRDefault="005D2B81" w:rsidP="008918FA">
                          <w:pPr>
                            <w:spacing w:before="2" w:line="252" w:lineRule="exact"/>
                            <w:ind w:left="360" w:hanging="360"/>
                            <w:rPr>
                              <w:rFonts w:ascii="Arial" w:eastAsia="Arial" w:hAnsi="Arial" w:cs="Arial"/>
                            </w:rPr>
                          </w:pPr>
                          <w:r>
                            <w:rPr>
                              <w:rFonts w:ascii="Arial"/>
                            </w:rPr>
                            <w:t>9.1</w:t>
                          </w:r>
                          <w:r>
                            <w:rPr>
                              <w:rFonts w:ascii="Arial"/>
                              <w:spacing w:val="-9"/>
                            </w:rPr>
                            <w:t xml:space="preserve"> </w:t>
                          </w:r>
                          <w:r>
                            <w:rPr>
                              <w:rFonts w:ascii="Arial"/>
                            </w:rPr>
                            <w:t xml:space="preserve">The </w:t>
                          </w:r>
                          <w:r>
                            <w:rPr>
                              <w:rFonts w:ascii="Arial"/>
                              <w:spacing w:val="-2"/>
                            </w:rPr>
                            <w:t>Supplier</w:t>
                          </w:r>
                          <w:r>
                            <w:rPr>
                              <w:rFonts w:ascii="Arial"/>
                              <w:spacing w:val="-1"/>
                            </w:rPr>
                            <w:t xml:space="preserve"> may</w:t>
                          </w:r>
                          <w:r>
                            <w:rPr>
                              <w:rFonts w:ascii="Arial"/>
                              <w:spacing w:val="-2"/>
                            </w:rPr>
                            <w:t xml:space="preserve"> </w:t>
                          </w:r>
                          <w:r>
                            <w:rPr>
                              <w:rFonts w:ascii="Arial"/>
                              <w:spacing w:val="-1"/>
                            </w:rPr>
                            <w:t>request</w:t>
                          </w:r>
                          <w:r>
                            <w:rPr>
                              <w:rFonts w:ascii="Arial"/>
                              <w:spacing w:val="2"/>
                            </w:rPr>
                            <w:t xml:space="preserve"> </w:t>
                          </w:r>
                          <w:r>
                            <w:rPr>
                              <w:rFonts w:ascii="Arial"/>
                              <w:spacing w:val="-1"/>
                            </w:rPr>
                            <w:t>an</w:t>
                          </w:r>
                          <w:r>
                            <w:rPr>
                              <w:rFonts w:ascii="Arial"/>
                              <w:spacing w:val="-2"/>
                            </w:rPr>
                            <w:t xml:space="preserve"> </w:t>
                          </w:r>
                          <w:r>
                            <w:rPr>
                              <w:rFonts w:ascii="Arial"/>
                              <w:spacing w:val="-1"/>
                            </w:rPr>
                            <w:t>increase</w:t>
                          </w:r>
                          <w:r>
                            <w:rPr>
                              <w:rFonts w:ascii="Arial"/>
                              <w:spacing w:val="-2"/>
                            </w:rPr>
                            <w:t xml:space="preserve"> </w:t>
                          </w:r>
                          <w:r>
                            <w:rPr>
                              <w:rFonts w:ascii="Arial"/>
                              <w:spacing w:val="-1"/>
                            </w:rPr>
                            <w:t>in</w:t>
                          </w:r>
                          <w:r>
                            <w:rPr>
                              <w:rFonts w:ascii="Arial"/>
                            </w:rPr>
                            <w:t xml:space="preserve"> </w:t>
                          </w:r>
                          <w:r>
                            <w:rPr>
                              <w:rFonts w:ascii="Arial"/>
                              <w:spacing w:val="-1"/>
                            </w:rPr>
                            <w:t>all</w:t>
                          </w:r>
                          <w:r>
                            <w:rPr>
                              <w:rFonts w:ascii="Arial"/>
                            </w:rPr>
                            <w:t xml:space="preserve"> </w:t>
                          </w:r>
                          <w:r>
                            <w:rPr>
                              <w:rFonts w:ascii="Arial"/>
                              <w:spacing w:val="-1"/>
                            </w:rPr>
                            <w:t>or</w:t>
                          </w:r>
                          <w:r>
                            <w:rPr>
                              <w:rFonts w:ascii="Arial"/>
                              <w:spacing w:val="2"/>
                            </w:rPr>
                            <w:t xml:space="preserve"> </w:t>
                          </w:r>
                          <w:r>
                            <w:rPr>
                              <w:rFonts w:ascii="Arial"/>
                              <w:spacing w:val="-1"/>
                            </w:rPr>
                            <w:t>part</w:t>
                          </w:r>
                          <w:r>
                            <w:rPr>
                              <w:rFonts w:ascii="Arial"/>
                              <w:spacing w:val="2"/>
                            </w:rPr>
                            <w:t xml:space="preserve"> </w:t>
                          </w:r>
                          <w:r>
                            <w:rPr>
                              <w:rFonts w:ascii="Arial"/>
                              <w:spacing w:val="-2"/>
                            </w:rPr>
                            <w:t>of</w:t>
                          </w:r>
                          <w:r>
                            <w:rPr>
                              <w:rFonts w:ascii="Arial"/>
                            </w:rPr>
                            <w:t xml:space="preserve"> the </w:t>
                          </w:r>
                          <w:r>
                            <w:rPr>
                              <w:rFonts w:ascii="Arial"/>
                              <w:spacing w:val="-2"/>
                            </w:rPr>
                            <w:t>Call</w:t>
                          </w:r>
                          <w:r>
                            <w:rPr>
                              <w:rFonts w:ascii="Arial"/>
                              <w:spacing w:val="-3"/>
                            </w:rPr>
                            <w:t xml:space="preserve"> </w:t>
                          </w:r>
                          <w:r>
                            <w:rPr>
                              <w:rFonts w:ascii="Arial"/>
                              <w:spacing w:val="-1"/>
                            </w:rPr>
                            <w:t>Off</w:t>
                          </w:r>
                          <w:r>
                            <w:rPr>
                              <w:rFonts w:ascii="Arial"/>
                              <w:spacing w:val="2"/>
                            </w:rPr>
                            <w:t xml:space="preserve"> </w:t>
                          </w:r>
                          <w:r>
                            <w:rPr>
                              <w:rFonts w:ascii="Arial"/>
                              <w:spacing w:val="-2"/>
                            </w:rPr>
                            <w:t>Contract</w:t>
                          </w:r>
                          <w:r>
                            <w:rPr>
                              <w:rFonts w:ascii="Arial"/>
                            </w:rPr>
                            <w:t xml:space="preserve"> </w:t>
                          </w:r>
                          <w:r>
                            <w:rPr>
                              <w:rFonts w:ascii="Arial"/>
                              <w:spacing w:val="-1"/>
                            </w:rPr>
                            <w:t>Charges</w:t>
                          </w:r>
                          <w:r>
                            <w:rPr>
                              <w:rFonts w:ascii="Arial"/>
                              <w:spacing w:val="57"/>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w:t>
                          </w:r>
                          <w:r>
                            <w:rPr>
                              <w:rFonts w:ascii="Arial"/>
                              <w:spacing w:val="-2"/>
                            </w:rPr>
                            <w:t xml:space="preserve"> remaining</w:t>
                          </w:r>
                          <w:r>
                            <w:rPr>
                              <w:rFonts w:ascii="Arial"/>
                            </w:rPr>
                            <w:t xml:space="preserve"> </w:t>
                          </w:r>
                          <w:r>
                            <w:rPr>
                              <w:rFonts w:ascii="Arial"/>
                              <w:spacing w:val="-2"/>
                            </w:rPr>
                            <w:t>provisions</w:t>
                          </w:r>
                          <w:r>
                            <w:rPr>
                              <w:rFonts w:ascii="Arial"/>
                              <w:spacing w:val="1"/>
                            </w:rPr>
                            <w:t xml:space="preserve"> </w:t>
                          </w:r>
                          <w:r>
                            <w:rPr>
                              <w:rFonts w:ascii="Arial"/>
                              <w:spacing w:val="-2"/>
                            </w:rPr>
                            <w:t>of</w:t>
                          </w:r>
                          <w:r>
                            <w:rPr>
                              <w:rFonts w:ascii="Arial"/>
                              <w:spacing w:val="2"/>
                            </w:rPr>
                            <w:t xml:space="preserve"> </w:t>
                          </w:r>
                          <w:r>
                            <w:rPr>
                              <w:rFonts w:ascii="Arial"/>
                              <w:spacing w:val="-1"/>
                            </w:rPr>
                            <w:t>this</w:t>
                          </w:r>
                          <w:r>
                            <w:rPr>
                              <w:rFonts w:ascii="Arial"/>
                              <w:spacing w:val="1"/>
                            </w:rPr>
                            <w:t xml:space="preserve"> </w:t>
                          </w:r>
                          <w:r>
                            <w:rPr>
                              <w:rFonts w:ascii="Arial"/>
                              <w:spacing w:val="-1"/>
                            </w:rPr>
                            <w:t>paragraph</w:t>
                          </w:r>
                          <w:r>
                            <w:rPr>
                              <w:rFonts w:ascii="Arial"/>
                              <w:spacing w:val="3"/>
                            </w:rPr>
                            <w:t xml:space="preserve"> </w:t>
                          </w:r>
                          <w:hyperlink w:anchor="_bookmark299" w:history="1">
                            <w:r>
                              <w:rPr>
                                <w:rFonts w:ascii="Arial"/>
                              </w:rPr>
                              <w:t>9</w:t>
                            </w:r>
                          </w:hyperlink>
                          <w:r>
                            <w:rPr>
                              <w:rFonts w:ascii="Arial"/>
                              <w:spacing w:val="-2"/>
                            </w:rPr>
                            <w:t xml:space="preserve"> </w:t>
                          </w:r>
                          <w:r>
                            <w:rPr>
                              <w:rFonts w:ascii="Arial"/>
                              <w:spacing w:val="-1"/>
                            </w:rPr>
                            <w:t>subject</w:t>
                          </w:r>
                          <w:r>
                            <w:rPr>
                              <w:rFonts w:ascii="Arial"/>
                            </w:rPr>
                            <w:t xml:space="preserve"> </w:t>
                          </w:r>
                          <w:r>
                            <w:rPr>
                              <w:rFonts w:ascii="Arial"/>
                              <w:spacing w:val="-2"/>
                            </w:rPr>
                            <w:t>always</w:t>
                          </w:r>
                          <w:r>
                            <w:rPr>
                              <w:rFonts w:ascii="Arial"/>
                              <w:spacing w:val="1"/>
                            </w:rPr>
                            <w:t xml:space="preserve"> </w:t>
                          </w:r>
                          <w:r>
                            <w:rPr>
                              <w:rFonts w:ascii="Arial"/>
                              <w:spacing w:val="-1"/>
                            </w:rPr>
                            <w:t>to:</w:t>
                          </w:r>
                        </w:p>
                      </w:txbxContent>
                    </v:textbox>
                  </v:shape>
                </v:group>
                <w10:anchorlock/>
              </v:group>
            </w:pict>
          </mc:Fallback>
        </mc:AlternateContent>
      </w:r>
    </w:p>
    <w:p w:rsidR="008918FA" w:rsidRDefault="008918FA" w:rsidP="008918FA">
      <w:pPr>
        <w:pStyle w:val="BodyText"/>
        <w:tabs>
          <w:tab w:val="left" w:pos="2026"/>
        </w:tabs>
        <w:spacing w:before="117"/>
        <w:ind w:left="1032" w:firstLine="0"/>
      </w:pPr>
      <w:r>
        <w:rPr>
          <w:highlight w:val="yellow"/>
        </w:rPr>
        <w:t>9.1.1</w:t>
      </w:r>
      <w:r>
        <w:rPr>
          <w:highlight w:val="yellow"/>
        </w:rPr>
        <w:tab/>
      </w:r>
      <w:r>
        <w:rPr>
          <w:spacing w:val="-1"/>
          <w:highlight w:val="yellow"/>
        </w:rPr>
        <w:t xml:space="preserve">paragraph </w:t>
      </w:r>
      <w:hyperlink w:anchor="_bookmark288" w:history="1">
        <w:r>
          <w:rPr>
            <w:highlight w:val="yellow"/>
          </w:rPr>
          <w:t>3.2</w:t>
        </w:r>
      </w:hyperlink>
      <w:r>
        <w:rPr>
          <w:spacing w:val="-2"/>
          <w:highlight w:val="yellow"/>
        </w:rPr>
        <w:t xml:space="preserve"> of</w:t>
      </w:r>
      <w:r>
        <w:rPr>
          <w:spacing w:val="2"/>
          <w:highlight w:val="yellow"/>
        </w:rPr>
        <w:t xml:space="preserve"> </w:t>
      </w:r>
      <w:r>
        <w:rPr>
          <w:spacing w:val="-1"/>
          <w:highlight w:val="yellow"/>
        </w:rPr>
        <w:t>this</w:t>
      </w:r>
      <w:r>
        <w:rPr>
          <w:spacing w:val="-2"/>
          <w:highlight w:val="yellow"/>
        </w:rPr>
        <w:t xml:space="preserve"> Call</w:t>
      </w:r>
      <w:r>
        <w:rPr>
          <w:highlight w:val="yellow"/>
        </w:rPr>
        <w:t xml:space="preserve"> </w:t>
      </w:r>
      <w:r>
        <w:rPr>
          <w:spacing w:val="-1"/>
          <w:highlight w:val="yellow"/>
        </w:rPr>
        <w:t>Off</w:t>
      </w:r>
      <w:r>
        <w:rPr>
          <w:spacing w:val="2"/>
          <w:highlight w:val="yellow"/>
        </w:rPr>
        <w:t xml:space="preserve"> </w:t>
      </w:r>
      <w:r>
        <w:rPr>
          <w:spacing w:val="-2"/>
          <w:highlight w:val="yellow"/>
        </w:rPr>
        <w:t>Schedule;</w:t>
      </w:r>
    </w:p>
    <w:p w:rsidR="008918FA" w:rsidRDefault="008918FA" w:rsidP="008918FA">
      <w:pPr>
        <w:sectPr w:rsidR="008918FA">
          <w:pgSz w:w="11910" w:h="16840"/>
          <w:pgMar w:top="1480" w:right="1300" w:bottom="1160" w:left="1540" w:header="0" w:footer="967" w:gutter="0"/>
          <w:cols w:space="720"/>
        </w:sectPr>
      </w:pPr>
    </w:p>
    <w:p w:rsidR="008918FA" w:rsidRDefault="008918FA" w:rsidP="008918FA">
      <w:pPr>
        <w:spacing w:before="1"/>
        <w:rPr>
          <w:rFonts w:ascii="Arial" w:eastAsia="Arial" w:hAnsi="Arial" w:cs="Arial"/>
          <w:sz w:val="7"/>
          <w:szCs w:val="7"/>
        </w:rPr>
      </w:pPr>
    </w:p>
    <w:p w:rsidR="008918FA" w:rsidRDefault="008918FA" w:rsidP="008918FA">
      <w:pPr>
        <w:spacing w:line="200" w:lineRule="atLeast"/>
        <w:ind w:left="1032"/>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4B0C3351" wp14:editId="2E1998A6">
                <wp:extent cx="5027930" cy="643255"/>
                <wp:effectExtent l="0" t="0" r="1270" b="4445"/>
                <wp:docPr id="3610" name="Group 3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643255"/>
                          <a:chOff x="0" y="0"/>
                          <a:chExt cx="7918" cy="1013"/>
                        </a:xfrm>
                      </wpg:grpSpPr>
                      <wpg:grpSp>
                        <wpg:cNvPr id="3611" name="Group 3611"/>
                        <wpg:cNvGrpSpPr>
                          <a:grpSpLocks/>
                        </wpg:cNvGrpSpPr>
                        <wpg:grpSpPr bwMode="auto">
                          <a:xfrm>
                            <a:off x="0" y="0"/>
                            <a:ext cx="7918" cy="252"/>
                            <a:chOff x="0" y="0"/>
                            <a:chExt cx="7918" cy="252"/>
                          </a:xfrm>
                        </wpg:grpSpPr>
                        <wps:wsp>
                          <wps:cNvPr id="3612" name="Freeform 3612"/>
                          <wps:cNvSpPr>
                            <a:spLocks/>
                          </wps:cNvSpPr>
                          <wps:spPr bwMode="auto">
                            <a:xfrm>
                              <a:off x="0" y="0"/>
                              <a:ext cx="7918" cy="252"/>
                            </a:xfrm>
                            <a:custGeom>
                              <a:avLst/>
                              <a:gdLst>
                                <a:gd name="T0" fmla="*/ 0 w 7918"/>
                                <a:gd name="T1" fmla="*/ 252 h 252"/>
                                <a:gd name="T2" fmla="*/ 7918 w 7918"/>
                                <a:gd name="T3" fmla="*/ 252 h 252"/>
                                <a:gd name="T4" fmla="*/ 7918 w 7918"/>
                                <a:gd name="T5" fmla="*/ 0 h 252"/>
                                <a:gd name="T6" fmla="*/ 0 w 7918"/>
                                <a:gd name="T7" fmla="*/ 0 h 252"/>
                                <a:gd name="T8" fmla="*/ 0 w 7918"/>
                                <a:gd name="T9" fmla="*/ 252 h 252"/>
                              </a:gdLst>
                              <a:ahLst/>
                              <a:cxnLst>
                                <a:cxn ang="0">
                                  <a:pos x="T0" y="T1"/>
                                </a:cxn>
                                <a:cxn ang="0">
                                  <a:pos x="T2" y="T3"/>
                                </a:cxn>
                                <a:cxn ang="0">
                                  <a:pos x="T4" y="T5"/>
                                </a:cxn>
                                <a:cxn ang="0">
                                  <a:pos x="T6" y="T7"/>
                                </a:cxn>
                                <a:cxn ang="0">
                                  <a:pos x="T8" y="T9"/>
                                </a:cxn>
                              </a:cxnLst>
                              <a:rect l="0" t="0" r="r" b="b"/>
                              <a:pathLst>
                                <a:path w="7918" h="252">
                                  <a:moveTo>
                                    <a:pt x="0" y="252"/>
                                  </a:moveTo>
                                  <a:lnTo>
                                    <a:pt x="7918" y="252"/>
                                  </a:lnTo>
                                  <a:lnTo>
                                    <a:pt x="7918"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3" name="Group 3609"/>
                        <wpg:cNvGrpSpPr>
                          <a:grpSpLocks/>
                        </wpg:cNvGrpSpPr>
                        <wpg:grpSpPr bwMode="auto">
                          <a:xfrm>
                            <a:off x="994" y="252"/>
                            <a:ext cx="6924" cy="255"/>
                            <a:chOff x="994" y="252"/>
                            <a:chExt cx="6924" cy="255"/>
                          </a:xfrm>
                        </wpg:grpSpPr>
                        <wps:wsp>
                          <wps:cNvPr id="3614" name="Freeform 3610"/>
                          <wps:cNvSpPr>
                            <a:spLocks/>
                          </wps:cNvSpPr>
                          <wps:spPr bwMode="auto">
                            <a:xfrm>
                              <a:off x="994" y="252"/>
                              <a:ext cx="6924" cy="255"/>
                            </a:xfrm>
                            <a:custGeom>
                              <a:avLst/>
                              <a:gdLst>
                                <a:gd name="T0" fmla="+- 0 994 994"/>
                                <a:gd name="T1" fmla="*/ T0 w 6924"/>
                                <a:gd name="T2" fmla="+- 0 506 252"/>
                                <a:gd name="T3" fmla="*/ 506 h 255"/>
                                <a:gd name="T4" fmla="+- 0 7918 994"/>
                                <a:gd name="T5" fmla="*/ T4 w 6924"/>
                                <a:gd name="T6" fmla="+- 0 506 252"/>
                                <a:gd name="T7" fmla="*/ 506 h 255"/>
                                <a:gd name="T8" fmla="+- 0 7918 994"/>
                                <a:gd name="T9" fmla="*/ T8 w 6924"/>
                                <a:gd name="T10" fmla="+- 0 252 252"/>
                                <a:gd name="T11" fmla="*/ 252 h 255"/>
                                <a:gd name="T12" fmla="+- 0 994 994"/>
                                <a:gd name="T13" fmla="*/ T12 w 6924"/>
                                <a:gd name="T14" fmla="+- 0 252 252"/>
                                <a:gd name="T15" fmla="*/ 252 h 255"/>
                                <a:gd name="T16" fmla="+- 0 994 994"/>
                                <a:gd name="T17" fmla="*/ T16 w 6924"/>
                                <a:gd name="T18" fmla="+- 0 506 252"/>
                                <a:gd name="T19" fmla="*/ 506 h 255"/>
                              </a:gdLst>
                              <a:ahLst/>
                              <a:cxnLst>
                                <a:cxn ang="0">
                                  <a:pos x="T1" y="T3"/>
                                </a:cxn>
                                <a:cxn ang="0">
                                  <a:pos x="T5" y="T7"/>
                                </a:cxn>
                                <a:cxn ang="0">
                                  <a:pos x="T9" y="T11"/>
                                </a:cxn>
                                <a:cxn ang="0">
                                  <a:pos x="T13" y="T15"/>
                                </a:cxn>
                                <a:cxn ang="0">
                                  <a:pos x="T17" y="T19"/>
                                </a:cxn>
                              </a:cxnLst>
                              <a:rect l="0" t="0" r="r" b="b"/>
                              <a:pathLst>
                                <a:path w="6924" h="255">
                                  <a:moveTo>
                                    <a:pt x="0" y="254"/>
                                  </a:moveTo>
                                  <a:lnTo>
                                    <a:pt x="6924" y="254"/>
                                  </a:lnTo>
                                  <a:lnTo>
                                    <a:pt x="6924"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5" name="Group 3607"/>
                        <wpg:cNvGrpSpPr>
                          <a:grpSpLocks/>
                        </wpg:cNvGrpSpPr>
                        <wpg:grpSpPr bwMode="auto">
                          <a:xfrm>
                            <a:off x="994" y="506"/>
                            <a:ext cx="6924" cy="252"/>
                            <a:chOff x="994" y="506"/>
                            <a:chExt cx="6924" cy="252"/>
                          </a:xfrm>
                        </wpg:grpSpPr>
                        <wps:wsp>
                          <wps:cNvPr id="3616" name="Freeform 3608"/>
                          <wps:cNvSpPr>
                            <a:spLocks/>
                          </wps:cNvSpPr>
                          <wps:spPr bwMode="auto">
                            <a:xfrm>
                              <a:off x="994" y="506"/>
                              <a:ext cx="6924" cy="252"/>
                            </a:xfrm>
                            <a:custGeom>
                              <a:avLst/>
                              <a:gdLst>
                                <a:gd name="T0" fmla="+- 0 994 994"/>
                                <a:gd name="T1" fmla="*/ T0 w 6924"/>
                                <a:gd name="T2" fmla="+- 0 758 506"/>
                                <a:gd name="T3" fmla="*/ 758 h 252"/>
                                <a:gd name="T4" fmla="+- 0 7918 994"/>
                                <a:gd name="T5" fmla="*/ T4 w 6924"/>
                                <a:gd name="T6" fmla="+- 0 758 506"/>
                                <a:gd name="T7" fmla="*/ 758 h 252"/>
                                <a:gd name="T8" fmla="+- 0 7918 994"/>
                                <a:gd name="T9" fmla="*/ T8 w 6924"/>
                                <a:gd name="T10" fmla="+- 0 506 506"/>
                                <a:gd name="T11" fmla="*/ 506 h 252"/>
                                <a:gd name="T12" fmla="+- 0 994 994"/>
                                <a:gd name="T13" fmla="*/ T12 w 6924"/>
                                <a:gd name="T14" fmla="+- 0 506 506"/>
                                <a:gd name="T15" fmla="*/ 506 h 252"/>
                                <a:gd name="T16" fmla="+- 0 994 994"/>
                                <a:gd name="T17" fmla="*/ T16 w 6924"/>
                                <a:gd name="T18" fmla="+- 0 758 506"/>
                                <a:gd name="T19" fmla="*/ 758 h 252"/>
                              </a:gdLst>
                              <a:ahLst/>
                              <a:cxnLst>
                                <a:cxn ang="0">
                                  <a:pos x="T1" y="T3"/>
                                </a:cxn>
                                <a:cxn ang="0">
                                  <a:pos x="T5" y="T7"/>
                                </a:cxn>
                                <a:cxn ang="0">
                                  <a:pos x="T9" y="T11"/>
                                </a:cxn>
                                <a:cxn ang="0">
                                  <a:pos x="T13" y="T15"/>
                                </a:cxn>
                                <a:cxn ang="0">
                                  <a:pos x="T17" y="T19"/>
                                </a:cxn>
                              </a:cxnLst>
                              <a:rect l="0" t="0" r="r" b="b"/>
                              <a:pathLst>
                                <a:path w="6924" h="252">
                                  <a:moveTo>
                                    <a:pt x="0" y="252"/>
                                  </a:moveTo>
                                  <a:lnTo>
                                    <a:pt x="6924" y="252"/>
                                  </a:lnTo>
                                  <a:lnTo>
                                    <a:pt x="6924"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7" name="Group 3603"/>
                        <wpg:cNvGrpSpPr>
                          <a:grpSpLocks/>
                        </wpg:cNvGrpSpPr>
                        <wpg:grpSpPr bwMode="auto">
                          <a:xfrm>
                            <a:off x="994" y="758"/>
                            <a:ext cx="6104" cy="255"/>
                            <a:chOff x="994" y="758"/>
                            <a:chExt cx="6104" cy="255"/>
                          </a:xfrm>
                        </wpg:grpSpPr>
                        <wps:wsp>
                          <wps:cNvPr id="3618" name="Freeform 3606"/>
                          <wps:cNvSpPr>
                            <a:spLocks/>
                          </wps:cNvSpPr>
                          <wps:spPr bwMode="auto">
                            <a:xfrm>
                              <a:off x="994" y="758"/>
                              <a:ext cx="6104" cy="255"/>
                            </a:xfrm>
                            <a:custGeom>
                              <a:avLst/>
                              <a:gdLst>
                                <a:gd name="T0" fmla="+- 0 994 994"/>
                                <a:gd name="T1" fmla="*/ T0 w 6104"/>
                                <a:gd name="T2" fmla="+- 0 1013 758"/>
                                <a:gd name="T3" fmla="*/ 1013 h 255"/>
                                <a:gd name="T4" fmla="+- 0 7097 994"/>
                                <a:gd name="T5" fmla="*/ T4 w 6104"/>
                                <a:gd name="T6" fmla="+- 0 1013 758"/>
                                <a:gd name="T7" fmla="*/ 1013 h 255"/>
                                <a:gd name="T8" fmla="+- 0 7097 994"/>
                                <a:gd name="T9" fmla="*/ T8 w 6104"/>
                                <a:gd name="T10" fmla="+- 0 758 758"/>
                                <a:gd name="T11" fmla="*/ 758 h 255"/>
                                <a:gd name="T12" fmla="+- 0 994 994"/>
                                <a:gd name="T13" fmla="*/ T12 w 6104"/>
                                <a:gd name="T14" fmla="+- 0 758 758"/>
                                <a:gd name="T15" fmla="*/ 758 h 255"/>
                                <a:gd name="T16" fmla="+- 0 994 994"/>
                                <a:gd name="T17" fmla="*/ T16 w 6104"/>
                                <a:gd name="T18" fmla="+- 0 1013 758"/>
                                <a:gd name="T19" fmla="*/ 1013 h 255"/>
                              </a:gdLst>
                              <a:ahLst/>
                              <a:cxnLst>
                                <a:cxn ang="0">
                                  <a:pos x="T1" y="T3"/>
                                </a:cxn>
                                <a:cxn ang="0">
                                  <a:pos x="T5" y="T7"/>
                                </a:cxn>
                                <a:cxn ang="0">
                                  <a:pos x="T9" y="T11"/>
                                </a:cxn>
                                <a:cxn ang="0">
                                  <a:pos x="T13" y="T15"/>
                                </a:cxn>
                                <a:cxn ang="0">
                                  <a:pos x="T17" y="T19"/>
                                </a:cxn>
                              </a:cxnLst>
                              <a:rect l="0" t="0" r="r" b="b"/>
                              <a:pathLst>
                                <a:path w="6104" h="255">
                                  <a:moveTo>
                                    <a:pt x="0" y="255"/>
                                  </a:moveTo>
                                  <a:lnTo>
                                    <a:pt x="6103" y="255"/>
                                  </a:lnTo>
                                  <a:lnTo>
                                    <a:pt x="6103"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9" name="Text Box 3605"/>
                          <wps:cNvSpPr txBox="1">
                            <a:spLocks noChangeArrowheads="1"/>
                          </wps:cNvSpPr>
                          <wps:spPr bwMode="auto">
                            <a:xfrm>
                              <a:off x="0" y="25"/>
                              <a:ext cx="4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1" w:lineRule="exact"/>
                                  <w:rPr>
                                    <w:rFonts w:ascii="Arial" w:eastAsia="Arial" w:hAnsi="Arial" w:cs="Arial"/>
                                  </w:rPr>
                                </w:pPr>
                                <w:bookmarkStart w:id="366" w:name="_bookmark300"/>
                                <w:bookmarkEnd w:id="366"/>
                                <w:r>
                                  <w:rPr>
                                    <w:rFonts w:ascii="Arial"/>
                                  </w:rPr>
                                  <w:t>9.1.2</w:t>
                                </w:r>
                              </w:p>
                            </w:txbxContent>
                          </wps:txbx>
                          <wps:bodyPr rot="0" vert="horz" wrap="square" lIns="0" tIns="0" rIns="0" bIns="0" anchor="t" anchorCtr="0" upright="1">
                            <a:noAutofit/>
                          </wps:bodyPr>
                        </wps:wsp>
                        <wps:wsp>
                          <wps:cNvPr id="3620" name="Text Box 3604"/>
                          <wps:cNvSpPr txBox="1">
                            <a:spLocks noChangeArrowheads="1"/>
                          </wps:cNvSpPr>
                          <wps:spPr bwMode="auto">
                            <a:xfrm>
                              <a:off x="994" y="25"/>
                              <a:ext cx="692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5" w:lineRule="exact"/>
                                  <w:jc w:val="both"/>
                                  <w:rPr>
                                    <w:rFonts w:ascii="Arial" w:eastAsia="Arial" w:hAnsi="Arial" w:cs="Arial"/>
                                  </w:rPr>
                                </w:pPr>
                                <w:r>
                                  <w:rPr>
                                    <w:rFonts w:ascii="Arial"/>
                                  </w:rPr>
                                  <w:t>the</w:t>
                                </w:r>
                                <w:r>
                                  <w:rPr>
                                    <w:rFonts w:ascii="Arial"/>
                                    <w:spacing w:val="58"/>
                                  </w:rPr>
                                  <w:t xml:space="preserve"> </w:t>
                                </w:r>
                                <w:r>
                                  <w:rPr>
                                    <w:rFonts w:ascii="Arial"/>
                                    <w:spacing w:val="-1"/>
                                  </w:rPr>
                                  <w:t>Supplier's</w:t>
                                </w:r>
                                <w:r>
                                  <w:rPr>
                                    <w:rFonts w:ascii="Arial"/>
                                    <w:spacing w:val="58"/>
                                  </w:rPr>
                                  <w:t xml:space="preserve"> </w:t>
                                </w:r>
                                <w:r>
                                  <w:rPr>
                                    <w:rFonts w:ascii="Arial"/>
                                    <w:spacing w:val="-1"/>
                                  </w:rPr>
                                  <w:t>request</w:t>
                                </w:r>
                                <w:r>
                                  <w:rPr>
                                    <w:rFonts w:ascii="Arial"/>
                                    <w:spacing w:val="59"/>
                                  </w:rPr>
                                  <w:t xml:space="preserve"> </w:t>
                                </w:r>
                                <w:r>
                                  <w:rPr>
                                    <w:rFonts w:ascii="Arial"/>
                                    <w:spacing w:val="-1"/>
                                  </w:rPr>
                                  <w:t>being</w:t>
                                </w:r>
                                <w:r>
                                  <w:rPr>
                                    <w:rFonts w:ascii="Arial"/>
                                  </w:rPr>
                                  <w:t xml:space="preserve"> </w:t>
                                </w:r>
                                <w:r>
                                  <w:rPr>
                                    <w:rFonts w:ascii="Arial"/>
                                    <w:spacing w:val="1"/>
                                  </w:rPr>
                                  <w:t xml:space="preserve"> </w:t>
                                </w:r>
                                <w:r>
                                  <w:rPr>
                                    <w:rFonts w:ascii="Arial"/>
                                    <w:spacing w:val="-1"/>
                                  </w:rPr>
                                  <w:t>submitted</w:t>
                                </w:r>
                                <w:r>
                                  <w:rPr>
                                    <w:rFonts w:ascii="Arial"/>
                                    <w:spacing w:val="58"/>
                                  </w:rPr>
                                  <w:t xml:space="preserve"> </w:t>
                                </w:r>
                                <w:r>
                                  <w:rPr>
                                    <w:rFonts w:ascii="Arial"/>
                                    <w:spacing w:val="-1"/>
                                  </w:rPr>
                                  <w:t>in</w:t>
                                </w:r>
                                <w:r>
                                  <w:rPr>
                                    <w:rFonts w:ascii="Arial"/>
                                    <w:spacing w:val="58"/>
                                  </w:rPr>
                                  <w:t xml:space="preserve"> </w:t>
                                </w:r>
                                <w:r>
                                  <w:rPr>
                                    <w:rFonts w:ascii="Arial"/>
                                    <w:spacing w:val="-1"/>
                                  </w:rPr>
                                  <w:t>writing</w:t>
                                </w:r>
                                <w:r>
                                  <w:rPr>
                                    <w:rFonts w:ascii="Arial"/>
                                    <w:spacing w:val="60"/>
                                  </w:rPr>
                                  <w:t xml:space="preserve"> </w:t>
                                </w:r>
                                <w:r>
                                  <w:rPr>
                                    <w:rFonts w:ascii="Arial"/>
                                    <w:spacing w:val="-1"/>
                                  </w:rPr>
                                  <w:t>at</w:t>
                                </w:r>
                                <w:r>
                                  <w:rPr>
                                    <w:rFonts w:ascii="Arial"/>
                                    <w:spacing w:val="60"/>
                                  </w:rPr>
                                  <w:t xml:space="preserve"> </w:t>
                                </w:r>
                                <w:r>
                                  <w:rPr>
                                    <w:rFonts w:ascii="Arial"/>
                                    <w:spacing w:val="-1"/>
                                  </w:rPr>
                                  <w:t>least</w:t>
                                </w:r>
                                <w:r>
                                  <w:rPr>
                                    <w:rFonts w:ascii="Arial"/>
                                    <w:spacing w:val="57"/>
                                  </w:rPr>
                                  <w:t xml:space="preserve"> </w:t>
                                </w:r>
                                <w:r>
                                  <w:rPr>
                                    <w:rFonts w:ascii="Arial"/>
                                    <w:spacing w:val="-1"/>
                                  </w:rPr>
                                  <w:t>three</w:t>
                                </w:r>
                                <w:r>
                                  <w:rPr>
                                    <w:rFonts w:ascii="Arial"/>
                                    <w:spacing w:val="58"/>
                                  </w:rPr>
                                  <w:t xml:space="preserve"> </w:t>
                                </w:r>
                                <w:r>
                                  <w:rPr>
                                    <w:rFonts w:ascii="Arial"/>
                                    <w:spacing w:val="-1"/>
                                  </w:rPr>
                                  <w:t>(3)</w:t>
                                </w:r>
                              </w:p>
                              <w:p w:rsidR="005D2B81" w:rsidRDefault="005D2B81" w:rsidP="008918FA">
                                <w:pPr>
                                  <w:ind w:right="1"/>
                                  <w:jc w:val="both"/>
                                  <w:rPr>
                                    <w:rFonts w:ascii="Arial" w:eastAsia="Arial" w:hAnsi="Arial" w:cs="Arial"/>
                                  </w:rPr>
                                </w:pPr>
                                <w:r>
                                  <w:rPr>
                                    <w:rFonts w:ascii="Arial"/>
                                    <w:spacing w:val="-1"/>
                                  </w:rPr>
                                  <w:t>Months</w:t>
                                </w:r>
                                <w:r>
                                  <w:rPr>
                                    <w:rFonts w:ascii="Arial"/>
                                    <w:spacing w:val="61"/>
                                  </w:rPr>
                                  <w:t xml:space="preserve"> </w:t>
                                </w:r>
                                <w:r>
                                  <w:rPr>
                                    <w:rFonts w:ascii="Arial"/>
                                  </w:rPr>
                                  <w:t>before</w:t>
                                </w:r>
                                <w:r>
                                  <w:rPr>
                                    <w:rFonts w:ascii="Arial"/>
                                    <w:spacing w:val="60"/>
                                  </w:rPr>
                                  <w:t xml:space="preserve"> </w:t>
                                </w:r>
                                <w:r>
                                  <w:rPr>
                                    <w:rFonts w:ascii="Arial"/>
                                  </w:rPr>
                                  <w:t>the</w:t>
                                </w:r>
                                <w:r>
                                  <w:rPr>
                                    <w:rFonts w:ascii="Arial"/>
                                    <w:spacing w:val="60"/>
                                  </w:rPr>
                                  <w:t xml:space="preserve"> </w:t>
                                </w:r>
                                <w:r>
                                  <w:rPr>
                                    <w:rFonts w:ascii="Arial"/>
                                    <w:spacing w:val="-1"/>
                                  </w:rPr>
                                  <w:t>effective</w:t>
                                </w:r>
                                <w:r>
                                  <w:rPr>
                                    <w:rFonts w:ascii="Arial"/>
                                    <w:spacing w:val="60"/>
                                  </w:rPr>
                                  <w:t xml:space="preserve"> </w:t>
                                </w:r>
                                <w:r>
                                  <w:rPr>
                                    <w:rFonts w:ascii="Arial"/>
                                    <w:spacing w:val="-1"/>
                                  </w:rPr>
                                  <w:t>date</w:t>
                                </w:r>
                                <w:r>
                                  <w:rPr>
                                    <w:rFonts w:ascii="Arial"/>
                                    <w:spacing w:val="60"/>
                                  </w:rPr>
                                  <w:t xml:space="preserve"> </w:t>
                                </w:r>
                                <w:r>
                                  <w:rPr>
                                    <w:rFonts w:ascii="Arial"/>
                                  </w:rPr>
                                  <w:t>for  the</w:t>
                                </w:r>
                                <w:r>
                                  <w:rPr>
                                    <w:rFonts w:ascii="Arial"/>
                                    <w:spacing w:val="60"/>
                                  </w:rPr>
                                  <w:t xml:space="preserve"> </w:t>
                                </w:r>
                                <w:r>
                                  <w:rPr>
                                    <w:rFonts w:ascii="Arial"/>
                                    <w:spacing w:val="-1"/>
                                  </w:rPr>
                                  <w:t>proposed</w:t>
                                </w:r>
                                <w:r>
                                  <w:rPr>
                                    <w:rFonts w:ascii="Arial"/>
                                    <w:spacing w:val="61"/>
                                  </w:rPr>
                                  <w:t xml:space="preserve"> </w:t>
                                </w:r>
                                <w:r>
                                  <w:rPr>
                                    <w:rFonts w:ascii="Arial"/>
                                    <w:spacing w:val="-1"/>
                                  </w:rPr>
                                  <w:t>increase</w:t>
                                </w:r>
                                <w:r>
                                  <w:rPr>
                                    <w:rFonts w:ascii="Arial"/>
                                  </w:rPr>
                                  <w:t xml:space="preserve">  </w:t>
                                </w:r>
                                <w:r>
                                  <w:rPr>
                                    <w:rFonts w:ascii="Arial"/>
                                    <w:spacing w:val="-1"/>
                                  </w:rPr>
                                  <w:t>in</w:t>
                                </w:r>
                                <w:r>
                                  <w:rPr>
                                    <w:rFonts w:ascii="Arial"/>
                                    <w:spacing w:val="60"/>
                                  </w:rPr>
                                  <w:t xml:space="preserve"> </w:t>
                                </w:r>
                                <w:r>
                                  <w:rPr>
                                    <w:rFonts w:ascii="Arial"/>
                                    <w:spacing w:val="-1"/>
                                  </w:rPr>
                                  <w:t>the</w:t>
                                </w:r>
                                <w:r>
                                  <w:rPr>
                                    <w:rFonts w:ascii="Arial"/>
                                    <w:spacing w:val="20"/>
                                  </w:rPr>
                                  <w:t xml:space="preserve"> </w:t>
                                </w:r>
                                <w:r>
                                  <w:rPr>
                                    <w:rFonts w:ascii="Arial"/>
                                    <w:spacing w:val="-2"/>
                                  </w:rPr>
                                  <w:t>relevant</w:t>
                                </w:r>
                                <w:r>
                                  <w:rPr>
                                    <w:rFonts w:ascii="Arial"/>
                                    <w:spacing w:val="2"/>
                                  </w:rPr>
                                  <w:t xml:space="preserve"> </w:t>
                                </w:r>
                                <w:r>
                                  <w:rPr>
                                    <w:rFonts w:ascii="Arial"/>
                                    <w:spacing w:val="-2"/>
                                  </w:rPr>
                                  <w:t>Call</w:t>
                                </w:r>
                                <w:r>
                                  <w:rPr>
                                    <w:rFonts w:ascii="Arial"/>
                                  </w:rPr>
                                  <w:t xml:space="preserve"> </w:t>
                                </w:r>
                                <w:r>
                                  <w:rPr>
                                    <w:rFonts w:ascii="Arial"/>
                                    <w:spacing w:val="-1"/>
                                  </w:rPr>
                                  <w:t>Off</w:t>
                                </w:r>
                                <w:r>
                                  <w:rPr>
                                    <w:rFonts w:ascii="Arial"/>
                                    <w:spacing w:val="4"/>
                                  </w:rPr>
                                  <w:t xml:space="preserve"> </w:t>
                                </w:r>
                                <w:r>
                                  <w:rPr>
                                    <w:rFonts w:ascii="Arial"/>
                                    <w:spacing w:val="-2"/>
                                  </w:rPr>
                                  <w:t>Contract</w:t>
                                </w:r>
                                <w:r>
                                  <w:rPr>
                                    <w:rFonts w:ascii="Arial"/>
                                    <w:spacing w:val="2"/>
                                  </w:rPr>
                                  <w:t xml:space="preserve"> </w:t>
                                </w:r>
                                <w:r>
                                  <w:rPr>
                                    <w:rFonts w:ascii="Arial"/>
                                    <w:spacing w:val="-1"/>
                                  </w:rPr>
                                  <w:t>Charges</w:t>
                                </w:r>
                                <w:r>
                                  <w:rPr>
                                    <w:rFonts w:ascii="Arial"/>
                                    <w:spacing w:val="-2"/>
                                  </w:rPr>
                                  <w:t xml:space="preserve"> </w:t>
                                </w:r>
                                <w:r>
                                  <w:rPr>
                                    <w:rFonts w:ascii="Arial"/>
                                    <w:spacing w:val="-1"/>
                                  </w:rPr>
                                  <w:t>("</w:t>
                                </w:r>
                                <w:r>
                                  <w:rPr>
                                    <w:rFonts w:ascii="Arial"/>
                                    <w:b/>
                                    <w:spacing w:val="-1"/>
                                  </w:rPr>
                                  <w:t>Review</w:t>
                                </w:r>
                                <w:r>
                                  <w:rPr>
                                    <w:rFonts w:ascii="Arial"/>
                                    <w:b/>
                                    <w:spacing w:val="4"/>
                                  </w:rPr>
                                  <w:t xml:space="preserve"> </w:t>
                                </w:r>
                                <w:r>
                                  <w:rPr>
                                    <w:rFonts w:ascii="Arial"/>
                                    <w:b/>
                                    <w:spacing w:val="-2"/>
                                  </w:rPr>
                                  <w:t>Adjustment</w:t>
                                </w:r>
                                <w:r>
                                  <w:rPr>
                                    <w:rFonts w:ascii="Arial"/>
                                    <w:b/>
                                    <w:spacing w:val="-1"/>
                                  </w:rPr>
                                  <w:t xml:space="preserve"> Date</w:t>
                                </w:r>
                                <w:r>
                                  <w:rPr>
                                    <w:rFonts w:ascii="Arial"/>
                                    <w:spacing w:val="-1"/>
                                  </w:rPr>
                                  <w:t>")</w:t>
                                </w:r>
                                <w:r>
                                  <w:rPr>
                                    <w:rFonts w:ascii="Arial"/>
                                    <w:spacing w:val="2"/>
                                  </w:rPr>
                                  <w:t xml:space="preserve"> </w:t>
                                </w:r>
                                <w:r>
                                  <w:rPr>
                                    <w:rFonts w:ascii="Arial"/>
                                    <w:spacing w:val="-2"/>
                                  </w:rPr>
                                  <w:t>which</w:t>
                                </w:r>
                                <w:r>
                                  <w:rPr>
                                    <w:rFonts w:ascii="Arial"/>
                                    <w:spacing w:val="64"/>
                                  </w:rPr>
                                  <w:t xml:space="preserve"> </w:t>
                                </w:r>
                                <w:r>
                                  <w:rPr>
                                    <w:rFonts w:ascii="Arial"/>
                                    <w:spacing w:val="-1"/>
                                  </w:rPr>
                                  <w:t>shall</w:t>
                                </w:r>
                                <w:r>
                                  <w:rPr>
                                    <w:rFonts w:ascii="Arial"/>
                                  </w:rPr>
                                  <w:t xml:space="preserve"> </w:t>
                                </w:r>
                                <w:r>
                                  <w:rPr>
                                    <w:rFonts w:ascii="Arial"/>
                                    <w:spacing w:val="-1"/>
                                  </w:rPr>
                                  <w:t>be</w:t>
                                </w:r>
                                <w:r>
                                  <w:rPr>
                                    <w:rFonts w:ascii="Arial"/>
                                  </w:rPr>
                                  <w:t xml:space="preserve"> </w:t>
                                </w:r>
                                <w:r>
                                  <w:rPr>
                                    <w:rFonts w:ascii="Arial"/>
                                    <w:spacing w:val="-1"/>
                                  </w:rPr>
                                  <w:t>subject</w:t>
                                </w:r>
                                <w:r>
                                  <w:rPr>
                                    <w:rFonts w:ascii="Arial"/>
                                  </w:rPr>
                                  <w:t xml:space="preserve"> to</w:t>
                                </w:r>
                                <w:r>
                                  <w:rPr>
                                    <w:rFonts w:ascii="Arial"/>
                                    <w:spacing w:val="-2"/>
                                  </w:rPr>
                                  <w:t xml:space="preserve"> </w:t>
                                </w:r>
                                <w:r>
                                  <w:rPr>
                                    <w:rFonts w:ascii="Arial"/>
                                    <w:spacing w:val="-1"/>
                                  </w:rPr>
                                  <w:t>paragraph</w:t>
                                </w:r>
                                <w:r>
                                  <w:rPr>
                                    <w:rFonts w:ascii="Arial"/>
                                    <w:spacing w:val="1"/>
                                  </w:rPr>
                                  <w:t xml:space="preserve"> </w:t>
                                </w:r>
                                <w:hyperlink w:anchor="_bookmark301" w:history="1">
                                  <w:r>
                                    <w:rPr>
                                      <w:rFonts w:ascii="Arial"/>
                                      <w:spacing w:val="-1"/>
                                    </w:rPr>
                                    <w:t>9.2</w:t>
                                  </w:r>
                                </w:hyperlink>
                                <w:r>
                                  <w:rPr>
                                    <w:rFonts w:ascii="Arial"/>
                                  </w:rPr>
                                  <w:t xml:space="preserve"> </w:t>
                                </w:r>
                                <w:r>
                                  <w:rPr>
                                    <w:rFonts w:ascii="Arial"/>
                                    <w:spacing w:val="-2"/>
                                  </w:rPr>
                                  <w:t>of</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3"/>
                                  </w:rPr>
                                  <w:t xml:space="preserve"> </w:t>
                                </w:r>
                                <w:r>
                                  <w:rPr>
                                    <w:rFonts w:ascii="Arial"/>
                                    <w:spacing w:val="-1"/>
                                  </w:rPr>
                                  <w:t>Schedule;</w:t>
                                </w:r>
                                <w:r>
                                  <w:rPr>
                                    <w:rFonts w:ascii="Arial"/>
                                    <w:spacing w:val="2"/>
                                  </w:rPr>
                                  <w:t xml:space="preserve"> </w:t>
                                </w:r>
                                <w:r>
                                  <w:rPr>
                                    <w:rFonts w:ascii="Arial"/>
                                    <w:spacing w:val="-1"/>
                                  </w:rPr>
                                  <w:t>and</w:t>
                                </w:r>
                              </w:p>
                            </w:txbxContent>
                          </wps:txbx>
                          <wps:bodyPr rot="0" vert="horz" wrap="square" lIns="0" tIns="0" rIns="0" bIns="0" anchor="t" anchorCtr="0" upright="1">
                            <a:noAutofit/>
                          </wps:bodyPr>
                        </wps:wsp>
                      </wpg:grpSp>
                    </wpg:wgp>
                  </a:graphicData>
                </a:graphic>
              </wp:inline>
            </w:drawing>
          </mc:Choice>
          <mc:Fallback>
            <w:pict>
              <v:group w14:anchorId="4B0C3351" id="Group 3602" o:spid="_x0000_s1200" style="width:395.9pt;height:50.65pt;mso-position-horizontal-relative:char;mso-position-vertical-relative:line" coordsize="791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">
                <v:group id="Group 3611" o:spid="_x0000_s1201" style="position:absolute;width:7918;height:252" coordsize="79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shape id="Freeform 3612" o:spid="_x0000_s1202" style="position:absolute;width:7918;height:252;visibility:visible;mso-wrap-style:square;v-text-anchor:top" coordsize="79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4LcUA&#10;AADdAAAADwAAAGRycy9kb3ducmV2LnhtbESPQWsCMRSE7wX/Q3iCt5pVYWm3RqmCoAehWi/eHpvn&#10;ZtvNy5Jkdf33Rij0OMzMN8x82dtGXMmH2rGCyTgDQVw6XXOl4PS9eX0DESKyxsYxKbhTgOVi8DLH&#10;QrsbH+h6jJVIEA4FKjAxtoWUoTRkMYxdS5y8i/MWY5K+ktrjLcFtI6dZlkuLNacFgy2tDZW/x84q&#10;uMzev7yLq93PfnPoc2y789p0So2G/ecHiEh9/A//tbdawSyfTOH5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gtxQAAAN0AAAAPAAAAAAAAAAAAAAAAAJgCAABkcnMv&#10;ZG93bnJldi54bWxQSwUGAAAAAAQABAD1AAAAigMAAAAA&#10;" path="m,252r7918,l7918,,,,,252xe" fillcolor="yellow" stroked="f">
                    <v:path arrowok="t" o:connecttype="custom" o:connectlocs="0,252;7918,252;7918,0;0,0;0,252" o:connectangles="0,0,0,0,0"/>
                  </v:shape>
                </v:group>
                <v:group id="Group 3609" o:spid="_x0000_s1203" style="position:absolute;left:994;top:252;width:6924;height:255" coordorigin="994,252" coordsize="69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lmcUAAADdAAAADwAAAGRycy9kb3ducmV2LnhtbESPQYvCMBSE7wv+h/AE&#10;b2tay4pUo4ioeJCFVUG8PZpnW2xeShPb+u/NwsIeh5n5hlmselOJlhpXWlYQjyMQxJnVJecKLufd&#10;5wyE88gaK8uk4EUOVsvBxwJTbTv+ofbkcxEg7FJUUHhfp1K6rCCDbmxr4uDdbWPQB9nkUjfYBbip&#10;5CSKptJgyWGhwJo2BWWP09Mo2HfYrZ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rJZnFAAAA3QAA&#10;AA8AAAAAAAAAAAAAAAAAqgIAAGRycy9kb3ducmV2LnhtbFBLBQYAAAAABAAEAPoAAACcAwAAAAA=&#10;">
                  <v:shape id="Freeform 3610" o:spid="_x0000_s1204" style="position:absolute;left:994;top:252;width:6924;height:255;visibility:visible;mso-wrap-style:square;v-text-anchor:top" coordsize="69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RV8UA&#10;AADdAAAADwAAAGRycy9kb3ducmV2LnhtbESP3WoCMRSE7wXfIZyCd5poxZ+tUUSoLAWh1T7AYXPc&#10;LN2cLJuoq0/fFApeDjPzDbPadK4WV2pD5VnDeKRAEBfeVFxq+D69DxcgQkQ2WHsmDXcKsFn3eyvM&#10;jL/xF12PsRQJwiFDDTbGJpMyFJYchpFviJN39q3DmGRbStPiLcFdLSdKzaTDitOCxYZ2loqf48Vp&#10;mO/d4cPu5e5xnuf10nyqZV4prQcv3fYNRKQuPsP/7dxoeJ2Np/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BFXxQAAAN0AAAAPAAAAAAAAAAAAAAAAAJgCAABkcnMv&#10;ZG93bnJldi54bWxQSwUGAAAAAAQABAD1AAAAigMAAAAA&#10;" path="m,254r6924,l6924,,,,,254xe" fillcolor="yellow" stroked="f">
                    <v:path arrowok="t" o:connecttype="custom" o:connectlocs="0,506;6924,506;6924,252;0,252;0,506" o:connectangles="0,0,0,0,0"/>
                  </v:shape>
                </v:group>
                <v:group id="Group 3607" o:spid="_x0000_s1205" style="position:absolute;left:994;top:506;width:6924;height:252" coordorigin="994,506" coordsize="69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shape id="Freeform 3608" o:spid="_x0000_s1206" style="position:absolute;left:994;top:506;width:6924;height:252;visibility:visible;mso-wrap-style:square;v-text-anchor:top" coordsize="69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dl8UA&#10;AADdAAAADwAAAGRycy9kb3ducmV2LnhtbESPQWvCQBSE7wX/w/KEXsRsUiFImo1oobReCmqh12f2&#10;NQlm367Zrab/3i0UPA4z8w1TrkbTiwsNvrOsIEtSEMS11R03Cj4Pr/MlCB+QNfaWScEveVhVk4cS&#10;C22vvKPLPjQiQtgXqKANwRVS+rolgz6xjjh633YwGKIcGqkHvEa46eVTmubSYMdxoUVHLy3Vp/2P&#10;UTCTHzt7pLMzm5nfZm7kfvH1ptTjdFw/gwg0hnv4v/2uFSzyLIe/N/EJy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x2XxQAAAN0AAAAPAAAAAAAAAAAAAAAAAJgCAABkcnMv&#10;ZG93bnJldi54bWxQSwUGAAAAAAQABAD1AAAAigMAAAAA&#10;" path="m,252r6924,l6924,,,,,252xe" fillcolor="yellow" stroked="f">
                    <v:path arrowok="t" o:connecttype="custom" o:connectlocs="0,758;6924,758;6924,506;0,506;0,758" o:connectangles="0,0,0,0,0"/>
                  </v:shape>
                </v:group>
                <v:group id="Group 3603" o:spid="_x0000_s1207" style="position:absolute;left:994;top:758;width:6104;height:255" coordorigin="994,758" coordsize="610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shape id="Freeform 3606" o:spid="_x0000_s1208" style="position:absolute;left:994;top:758;width:6104;height:255;visibility:visible;mso-wrap-style:square;v-text-anchor:top" coordsize="610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RxsQA&#10;AADdAAAADwAAAGRycy9kb3ducmV2LnhtbESPwW7CMAyG75N4h8hIu42ETUKsIyCENIkddljhAUxj&#10;2kLjlCSD7u3nAxJH6/f/+fNiNfhOXSmmNrCF6cSAIq6Ca7m2sN99vsxBpYzssAtMFv4owWo5elpg&#10;4cKNf+ha5loJhFOBFpqc+0LrVDXkMU1CTyzZMUSPWcZYaxfxJnDf6VdjZtpjy3KhwZ42DVXn8teL&#10;xmkz0KnE74iHbYqHL/NeXYy1z+Nh/QEq05Afy/f21ll4m01FV74RB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8UcbEAAAA3QAAAA8AAAAAAAAAAAAAAAAAmAIAAGRycy9k&#10;b3ducmV2LnhtbFBLBQYAAAAABAAEAPUAAACJAwAAAAA=&#10;" path="m,255r6103,l6103,,,,,255xe" fillcolor="yellow" stroked="f">
                    <v:path arrowok="t" o:connecttype="custom" o:connectlocs="0,1013;6103,1013;6103,758;0,758;0,1013" o:connectangles="0,0,0,0,0"/>
                  </v:shape>
                  <v:shape id="Text Box 3605" o:spid="_x0000_s1209" type="#_x0000_t202" style="position:absolute;top:25;width:4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aqMYA&#10;AADdAAAADwAAAGRycy9kb3ducmV2LnhtbESPQWvCQBSE74X+h+UJvdWNLQSNbkRKC0JBjOmhx9fs&#10;M1mSfZtmV03/vSsIPQ4z8w2zWo+2E2cavHGsYDZNQBBXThuuFXyVH89zED4ga+wck4I/8rDOHx9W&#10;mGl34YLOh1CLCGGfoYImhD6T0lcNWfRT1xNH7+gGiyHKoZZ6wEuE206+JEkqLRqOCw329NZQ1R5O&#10;VsHmm4t387v72RfHwpTlIuHPtFXqaTJuliACjeE/fG9vtYLXdLaA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EaqMYAAADdAAAADwAAAAAAAAAAAAAAAACYAgAAZHJz&#10;L2Rvd25yZXYueG1sUEsFBgAAAAAEAAQA9QAAAIsDAAAAAA==&#10;" filled="f" stroked="f">
                    <v:textbox inset="0,0,0,0">
                      <w:txbxContent>
                        <w:p w:rsidR="005D2B81" w:rsidRDefault="005D2B81" w:rsidP="008918FA">
                          <w:pPr>
                            <w:spacing w:line="221" w:lineRule="exact"/>
                            <w:rPr>
                              <w:rFonts w:ascii="Arial" w:eastAsia="Arial" w:hAnsi="Arial" w:cs="Arial"/>
                            </w:rPr>
                          </w:pPr>
                          <w:bookmarkStart w:id="378" w:name="_bookmark300"/>
                          <w:bookmarkEnd w:id="378"/>
                          <w:r>
                            <w:rPr>
                              <w:rFonts w:ascii="Arial"/>
                            </w:rPr>
                            <w:t>9.1.2</w:t>
                          </w:r>
                        </w:p>
                      </w:txbxContent>
                    </v:textbox>
                  </v:shape>
                  <v:shape id="Text Box 3604" o:spid="_x0000_s1210" type="#_x0000_t202" style="position:absolute;left:994;top:25;width:6925;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5iMMA&#10;AADdAAAADwAAAGRycy9kb3ducmV2LnhtbERPz2vCMBS+D/Y/hDfwNtMplNmZigyFgSBr62HHt+a1&#10;DTYvXZNp/e/NYbDjx/d7vZlsLy40euNYwcs8AUFcO224VXCq9s+vIHxA1tg7JgU38rDJHx/WmGl3&#10;5YIuZWhFDGGfoYIuhCGT0tcdWfRzNxBHrnGjxRDh2Eo94jWG214ukiSVFg3Hhg4Heu+oPpe/VsH2&#10;i4ud+Tl+fxZNYapqlfAhPSs1e5q2byACTeFf/Of+0AqW6S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d5iMMAAADdAAAADwAAAAAAAAAAAAAAAACYAgAAZHJzL2Rv&#10;d25yZXYueG1sUEsFBgAAAAAEAAQA9QAAAIgDAAAAAA==&#10;" filled="f" stroked="f">
                    <v:textbox inset="0,0,0,0">
                      <w:txbxContent>
                        <w:p w:rsidR="005D2B81" w:rsidRDefault="005D2B81" w:rsidP="008918FA">
                          <w:pPr>
                            <w:spacing w:line="225" w:lineRule="exact"/>
                            <w:jc w:val="both"/>
                            <w:rPr>
                              <w:rFonts w:ascii="Arial" w:eastAsia="Arial" w:hAnsi="Arial" w:cs="Arial"/>
                            </w:rPr>
                          </w:pPr>
                          <w:r>
                            <w:rPr>
                              <w:rFonts w:ascii="Arial"/>
                            </w:rPr>
                            <w:t>the</w:t>
                          </w:r>
                          <w:r>
                            <w:rPr>
                              <w:rFonts w:ascii="Arial"/>
                              <w:spacing w:val="58"/>
                            </w:rPr>
                            <w:t xml:space="preserve"> </w:t>
                          </w:r>
                          <w:r>
                            <w:rPr>
                              <w:rFonts w:ascii="Arial"/>
                              <w:spacing w:val="-1"/>
                            </w:rPr>
                            <w:t>Supplier's</w:t>
                          </w:r>
                          <w:r>
                            <w:rPr>
                              <w:rFonts w:ascii="Arial"/>
                              <w:spacing w:val="58"/>
                            </w:rPr>
                            <w:t xml:space="preserve"> </w:t>
                          </w:r>
                          <w:r>
                            <w:rPr>
                              <w:rFonts w:ascii="Arial"/>
                              <w:spacing w:val="-1"/>
                            </w:rPr>
                            <w:t>request</w:t>
                          </w:r>
                          <w:r>
                            <w:rPr>
                              <w:rFonts w:ascii="Arial"/>
                              <w:spacing w:val="59"/>
                            </w:rPr>
                            <w:t xml:space="preserve"> </w:t>
                          </w:r>
                          <w:r>
                            <w:rPr>
                              <w:rFonts w:ascii="Arial"/>
                              <w:spacing w:val="-1"/>
                            </w:rPr>
                            <w:t>being</w:t>
                          </w:r>
                          <w:r>
                            <w:rPr>
                              <w:rFonts w:ascii="Arial"/>
                            </w:rPr>
                            <w:t xml:space="preserve"> </w:t>
                          </w:r>
                          <w:r>
                            <w:rPr>
                              <w:rFonts w:ascii="Arial"/>
                              <w:spacing w:val="1"/>
                            </w:rPr>
                            <w:t xml:space="preserve"> </w:t>
                          </w:r>
                          <w:r>
                            <w:rPr>
                              <w:rFonts w:ascii="Arial"/>
                              <w:spacing w:val="-1"/>
                            </w:rPr>
                            <w:t>submitted</w:t>
                          </w:r>
                          <w:r>
                            <w:rPr>
                              <w:rFonts w:ascii="Arial"/>
                              <w:spacing w:val="58"/>
                            </w:rPr>
                            <w:t xml:space="preserve"> </w:t>
                          </w:r>
                          <w:r>
                            <w:rPr>
                              <w:rFonts w:ascii="Arial"/>
                              <w:spacing w:val="-1"/>
                            </w:rPr>
                            <w:t>in</w:t>
                          </w:r>
                          <w:r>
                            <w:rPr>
                              <w:rFonts w:ascii="Arial"/>
                              <w:spacing w:val="58"/>
                            </w:rPr>
                            <w:t xml:space="preserve"> </w:t>
                          </w:r>
                          <w:r>
                            <w:rPr>
                              <w:rFonts w:ascii="Arial"/>
                              <w:spacing w:val="-1"/>
                            </w:rPr>
                            <w:t>writing</w:t>
                          </w:r>
                          <w:r>
                            <w:rPr>
                              <w:rFonts w:ascii="Arial"/>
                              <w:spacing w:val="60"/>
                            </w:rPr>
                            <w:t xml:space="preserve"> </w:t>
                          </w:r>
                          <w:r>
                            <w:rPr>
                              <w:rFonts w:ascii="Arial"/>
                              <w:spacing w:val="-1"/>
                            </w:rPr>
                            <w:t>at</w:t>
                          </w:r>
                          <w:r>
                            <w:rPr>
                              <w:rFonts w:ascii="Arial"/>
                              <w:spacing w:val="60"/>
                            </w:rPr>
                            <w:t xml:space="preserve"> </w:t>
                          </w:r>
                          <w:r>
                            <w:rPr>
                              <w:rFonts w:ascii="Arial"/>
                              <w:spacing w:val="-1"/>
                            </w:rPr>
                            <w:t>least</w:t>
                          </w:r>
                          <w:r>
                            <w:rPr>
                              <w:rFonts w:ascii="Arial"/>
                              <w:spacing w:val="57"/>
                            </w:rPr>
                            <w:t xml:space="preserve"> </w:t>
                          </w:r>
                          <w:r>
                            <w:rPr>
                              <w:rFonts w:ascii="Arial"/>
                              <w:spacing w:val="-1"/>
                            </w:rPr>
                            <w:t>three</w:t>
                          </w:r>
                          <w:r>
                            <w:rPr>
                              <w:rFonts w:ascii="Arial"/>
                              <w:spacing w:val="58"/>
                            </w:rPr>
                            <w:t xml:space="preserve"> </w:t>
                          </w:r>
                          <w:r>
                            <w:rPr>
                              <w:rFonts w:ascii="Arial"/>
                              <w:spacing w:val="-1"/>
                            </w:rPr>
                            <w:t>(3)</w:t>
                          </w:r>
                        </w:p>
                        <w:p w:rsidR="005D2B81" w:rsidRDefault="005D2B81" w:rsidP="008918FA">
                          <w:pPr>
                            <w:ind w:right="1"/>
                            <w:jc w:val="both"/>
                            <w:rPr>
                              <w:rFonts w:ascii="Arial" w:eastAsia="Arial" w:hAnsi="Arial" w:cs="Arial"/>
                            </w:rPr>
                          </w:pPr>
                          <w:r>
                            <w:rPr>
                              <w:rFonts w:ascii="Arial"/>
                              <w:spacing w:val="-1"/>
                            </w:rPr>
                            <w:t>Months</w:t>
                          </w:r>
                          <w:r>
                            <w:rPr>
                              <w:rFonts w:ascii="Arial"/>
                              <w:spacing w:val="61"/>
                            </w:rPr>
                            <w:t xml:space="preserve"> </w:t>
                          </w:r>
                          <w:r>
                            <w:rPr>
                              <w:rFonts w:ascii="Arial"/>
                            </w:rPr>
                            <w:t>before</w:t>
                          </w:r>
                          <w:r>
                            <w:rPr>
                              <w:rFonts w:ascii="Arial"/>
                              <w:spacing w:val="60"/>
                            </w:rPr>
                            <w:t xml:space="preserve"> </w:t>
                          </w:r>
                          <w:r>
                            <w:rPr>
                              <w:rFonts w:ascii="Arial"/>
                            </w:rPr>
                            <w:t>the</w:t>
                          </w:r>
                          <w:r>
                            <w:rPr>
                              <w:rFonts w:ascii="Arial"/>
                              <w:spacing w:val="60"/>
                            </w:rPr>
                            <w:t xml:space="preserve"> </w:t>
                          </w:r>
                          <w:r>
                            <w:rPr>
                              <w:rFonts w:ascii="Arial"/>
                              <w:spacing w:val="-1"/>
                            </w:rPr>
                            <w:t>effective</w:t>
                          </w:r>
                          <w:r>
                            <w:rPr>
                              <w:rFonts w:ascii="Arial"/>
                              <w:spacing w:val="60"/>
                            </w:rPr>
                            <w:t xml:space="preserve"> </w:t>
                          </w:r>
                          <w:r>
                            <w:rPr>
                              <w:rFonts w:ascii="Arial"/>
                              <w:spacing w:val="-1"/>
                            </w:rPr>
                            <w:t>date</w:t>
                          </w:r>
                          <w:r>
                            <w:rPr>
                              <w:rFonts w:ascii="Arial"/>
                              <w:spacing w:val="60"/>
                            </w:rPr>
                            <w:t xml:space="preserve"> </w:t>
                          </w:r>
                          <w:r>
                            <w:rPr>
                              <w:rFonts w:ascii="Arial"/>
                            </w:rPr>
                            <w:t>for  the</w:t>
                          </w:r>
                          <w:r>
                            <w:rPr>
                              <w:rFonts w:ascii="Arial"/>
                              <w:spacing w:val="60"/>
                            </w:rPr>
                            <w:t xml:space="preserve"> </w:t>
                          </w:r>
                          <w:r>
                            <w:rPr>
                              <w:rFonts w:ascii="Arial"/>
                              <w:spacing w:val="-1"/>
                            </w:rPr>
                            <w:t>proposed</w:t>
                          </w:r>
                          <w:r>
                            <w:rPr>
                              <w:rFonts w:ascii="Arial"/>
                              <w:spacing w:val="61"/>
                            </w:rPr>
                            <w:t xml:space="preserve"> </w:t>
                          </w:r>
                          <w:r>
                            <w:rPr>
                              <w:rFonts w:ascii="Arial"/>
                              <w:spacing w:val="-1"/>
                            </w:rPr>
                            <w:t>increase</w:t>
                          </w:r>
                          <w:r>
                            <w:rPr>
                              <w:rFonts w:ascii="Arial"/>
                            </w:rPr>
                            <w:t xml:space="preserve">  </w:t>
                          </w:r>
                          <w:r>
                            <w:rPr>
                              <w:rFonts w:ascii="Arial"/>
                              <w:spacing w:val="-1"/>
                            </w:rPr>
                            <w:t>in</w:t>
                          </w:r>
                          <w:r>
                            <w:rPr>
                              <w:rFonts w:ascii="Arial"/>
                              <w:spacing w:val="60"/>
                            </w:rPr>
                            <w:t xml:space="preserve"> </w:t>
                          </w:r>
                          <w:r>
                            <w:rPr>
                              <w:rFonts w:ascii="Arial"/>
                              <w:spacing w:val="-1"/>
                            </w:rPr>
                            <w:t>the</w:t>
                          </w:r>
                          <w:r>
                            <w:rPr>
                              <w:rFonts w:ascii="Arial"/>
                              <w:spacing w:val="20"/>
                            </w:rPr>
                            <w:t xml:space="preserve"> </w:t>
                          </w:r>
                          <w:r>
                            <w:rPr>
                              <w:rFonts w:ascii="Arial"/>
                              <w:spacing w:val="-2"/>
                            </w:rPr>
                            <w:t>relevant</w:t>
                          </w:r>
                          <w:r>
                            <w:rPr>
                              <w:rFonts w:ascii="Arial"/>
                              <w:spacing w:val="2"/>
                            </w:rPr>
                            <w:t xml:space="preserve"> </w:t>
                          </w:r>
                          <w:r>
                            <w:rPr>
                              <w:rFonts w:ascii="Arial"/>
                              <w:spacing w:val="-2"/>
                            </w:rPr>
                            <w:t>Call</w:t>
                          </w:r>
                          <w:r>
                            <w:rPr>
                              <w:rFonts w:ascii="Arial"/>
                            </w:rPr>
                            <w:t xml:space="preserve"> </w:t>
                          </w:r>
                          <w:r>
                            <w:rPr>
                              <w:rFonts w:ascii="Arial"/>
                              <w:spacing w:val="-1"/>
                            </w:rPr>
                            <w:t>Off</w:t>
                          </w:r>
                          <w:r>
                            <w:rPr>
                              <w:rFonts w:ascii="Arial"/>
                              <w:spacing w:val="4"/>
                            </w:rPr>
                            <w:t xml:space="preserve"> </w:t>
                          </w:r>
                          <w:r>
                            <w:rPr>
                              <w:rFonts w:ascii="Arial"/>
                              <w:spacing w:val="-2"/>
                            </w:rPr>
                            <w:t>Contract</w:t>
                          </w:r>
                          <w:r>
                            <w:rPr>
                              <w:rFonts w:ascii="Arial"/>
                              <w:spacing w:val="2"/>
                            </w:rPr>
                            <w:t xml:space="preserve"> </w:t>
                          </w:r>
                          <w:r>
                            <w:rPr>
                              <w:rFonts w:ascii="Arial"/>
                              <w:spacing w:val="-1"/>
                            </w:rPr>
                            <w:t>Charges</w:t>
                          </w:r>
                          <w:r>
                            <w:rPr>
                              <w:rFonts w:ascii="Arial"/>
                              <w:spacing w:val="-2"/>
                            </w:rPr>
                            <w:t xml:space="preserve"> </w:t>
                          </w:r>
                          <w:r>
                            <w:rPr>
                              <w:rFonts w:ascii="Arial"/>
                              <w:spacing w:val="-1"/>
                            </w:rPr>
                            <w:t>("</w:t>
                          </w:r>
                          <w:r>
                            <w:rPr>
                              <w:rFonts w:ascii="Arial"/>
                              <w:b/>
                              <w:spacing w:val="-1"/>
                            </w:rPr>
                            <w:t>Review</w:t>
                          </w:r>
                          <w:r>
                            <w:rPr>
                              <w:rFonts w:ascii="Arial"/>
                              <w:b/>
                              <w:spacing w:val="4"/>
                            </w:rPr>
                            <w:t xml:space="preserve"> </w:t>
                          </w:r>
                          <w:r>
                            <w:rPr>
                              <w:rFonts w:ascii="Arial"/>
                              <w:b/>
                              <w:spacing w:val="-2"/>
                            </w:rPr>
                            <w:t>Adjustment</w:t>
                          </w:r>
                          <w:r>
                            <w:rPr>
                              <w:rFonts w:ascii="Arial"/>
                              <w:b/>
                              <w:spacing w:val="-1"/>
                            </w:rPr>
                            <w:t xml:space="preserve"> Date</w:t>
                          </w:r>
                          <w:r>
                            <w:rPr>
                              <w:rFonts w:ascii="Arial"/>
                              <w:spacing w:val="-1"/>
                            </w:rPr>
                            <w:t>")</w:t>
                          </w:r>
                          <w:r>
                            <w:rPr>
                              <w:rFonts w:ascii="Arial"/>
                              <w:spacing w:val="2"/>
                            </w:rPr>
                            <w:t xml:space="preserve"> </w:t>
                          </w:r>
                          <w:r>
                            <w:rPr>
                              <w:rFonts w:ascii="Arial"/>
                              <w:spacing w:val="-2"/>
                            </w:rPr>
                            <w:t>which</w:t>
                          </w:r>
                          <w:r>
                            <w:rPr>
                              <w:rFonts w:ascii="Arial"/>
                              <w:spacing w:val="64"/>
                            </w:rPr>
                            <w:t xml:space="preserve"> </w:t>
                          </w:r>
                          <w:r>
                            <w:rPr>
                              <w:rFonts w:ascii="Arial"/>
                              <w:spacing w:val="-1"/>
                            </w:rPr>
                            <w:t>shall</w:t>
                          </w:r>
                          <w:r>
                            <w:rPr>
                              <w:rFonts w:ascii="Arial"/>
                            </w:rPr>
                            <w:t xml:space="preserve"> </w:t>
                          </w:r>
                          <w:r>
                            <w:rPr>
                              <w:rFonts w:ascii="Arial"/>
                              <w:spacing w:val="-1"/>
                            </w:rPr>
                            <w:t>be</w:t>
                          </w:r>
                          <w:r>
                            <w:rPr>
                              <w:rFonts w:ascii="Arial"/>
                            </w:rPr>
                            <w:t xml:space="preserve"> </w:t>
                          </w:r>
                          <w:r>
                            <w:rPr>
                              <w:rFonts w:ascii="Arial"/>
                              <w:spacing w:val="-1"/>
                            </w:rPr>
                            <w:t>subject</w:t>
                          </w:r>
                          <w:r>
                            <w:rPr>
                              <w:rFonts w:ascii="Arial"/>
                            </w:rPr>
                            <w:t xml:space="preserve"> to</w:t>
                          </w:r>
                          <w:r>
                            <w:rPr>
                              <w:rFonts w:ascii="Arial"/>
                              <w:spacing w:val="-2"/>
                            </w:rPr>
                            <w:t xml:space="preserve"> </w:t>
                          </w:r>
                          <w:r>
                            <w:rPr>
                              <w:rFonts w:ascii="Arial"/>
                              <w:spacing w:val="-1"/>
                            </w:rPr>
                            <w:t>paragraph</w:t>
                          </w:r>
                          <w:r>
                            <w:rPr>
                              <w:rFonts w:ascii="Arial"/>
                              <w:spacing w:val="1"/>
                            </w:rPr>
                            <w:t xml:space="preserve"> </w:t>
                          </w:r>
                          <w:hyperlink w:anchor="_bookmark301" w:history="1">
                            <w:r>
                              <w:rPr>
                                <w:rFonts w:ascii="Arial"/>
                                <w:spacing w:val="-1"/>
                              </w:rPr>
                              <w:t>9.2</w:t>
                            </w:r>
                          </w:hyperlink>
                          <w:r>
                            <w:rPr>
                              <w:rFonts w:ascii="Arial"/>
                            </w:rPr>
                            <w:t xml:space="preserve"> </w:t>
                          </w:r>
                          <w:r>
                            <w:rPr>
                              <w:rFonts w:ascii="Arial"/>
                              <w:spacing w:val="-2"/>
                            </w:rPr>
                            <w:t>of</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3"/>
                            </w:rPr>
                            <w:t xml:space="preserve"> </w:t>
                          </w:r>
                          <w:r>
                            <w:rPr>
                              <w:rFonts w:ascii="Arial"/>
                              <w:spacing w:val="-1"/>
                            </w:rPr>
                            <w:t>Schedule;</w:t>
                          </w:r>
                          <w:r>
                            <w:rPr>
                              <w:rFonts w:ascii="Arial"/>
                              <w:spacing w:val="2"/>
                            </w:rPr>
                            <w:t xml:space="preserve"> </w:t>
                          </w:r>
                          <w:r>
                            <w:rPr>
                              <w:rFonts w:ascii="Arial"/>
                              <w:spacing w:val="-1"/>
                            </w:rPr>
                            <w:t>and</w:t>
                          </w:r>
                        </w:p>
                      </w:txbxContent>
                    </v:textbox>
                  </v:shape>
                </v:group>
                <w10:anchorlock/>
              </v:group>
            </w:pict>
          </mc:Fallback>
        </mc:AlternateContent>
      </w:r>
    </w:p>
    <w:p w:rsidR="008918FA" w:rsidRDefault="008918FA" w:rsidP="008918FA">
      <w:pPr>
        <w:spacing w:before="5"/>
        <w:rPr>
          <w:rFonts w:ascii="Arial" w:eastAsia="Arial" w:hAnsi="Arial" w:cs="Arial"/>
          <w:sz w:val="10"/>
          <w:szCs w:val="10"/>
        </w:rPr>
      </w:pPr>
    </w:p>
    <w:p w:rsidR="008918FA" w:rsidRDefault="008918FA" w:rsidP="008918FA">
      <w:pPr>
        <w:spacing w:line="200" w:lineRule="atLeast"/>
        <w:ind w:left="1032"/>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2701D333" wp14:editId="0C101C87">
                <wp:extent cx="5027930" cy="320040"/>
                <wp:effectExtent l="0" t="0" r="1270" b="3810"/>
                <wp:docPr id="3603" name="Group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320040"/>
                          <a:chOff x="0" y="0"/>
                          <a:chExt cx="7918" cy="504"/>
                        </a:xfrm>
                      </wpg:grpSpPr>
                      <wpg:grpSp>
                        <wpg:cNvPr id="3604" name="Group 3600"/>
                        <wpg:cNvGrpSpPr>
                          <a:grpSpLocks/>
                        </wpg:cNvGrpSpPr>
                        <wpg:grpSpPr bwMode="auto">
                          <a:xfrm>
                            <a:off x="0" y="0"/>
                            <a:ext cx="7918" cy="252"/>
                            <a:chOff x="0" y="0"/>
                            <a:chExt cx="7918" cy="252"/>
                          </a:xfrm>
                        </wpg:grpSpPr>
                        <wps:wsp>
                          <wps:cNvPr id="3605" name="Freeform 3601"/>
                          <wps:cNvSpPr>
                            <a:spLocks/>
                          </wps:cNvSpPr>
                          <wps:spPr bwMode="auto">
                            <a:xfrm>
                              <a:off x="0" y="0"/>
                              <a:ext cx="7918" cy="252"/>
                            </a:xfrm>
                            <a:custGeom>
                              <a:avLst/>
                              <a:gdLst>
                                <a:gd name="T0" fmla="*/ 0 w 7918"/>
                                <a:gd name="T1" fmla="*/ 252 h 252"/>
                                <a:gd name="T2" fmla="*/ 7918 w 7918"/>
                                <a:gd name="T3" fmla="*/ 252 h 252"/>
                                <a:gd name="T4" fmla="*/ 7918 w 7918"/>
                                <a:gd name="T5" fmla="*/ 0 h 252"/>
                                <a:gd name="T6" fmla="*/ 0 w 7918"/>
                                <a:gd name="T7" fmla="*/ 0 h 252"/>
                                <a:gd name="T8" fmla="*/ 0 w 7918"/>
                                <a:gd name="T9" fmla="*/ 252 h 252"/>
                              </a:gdLst>
                              <a:ahLst/>
                              <a:cxnLst>
                                <a:cxn ang="0">
                                  <a:pos x="T0" y="T1"/>
                                </a:cxn>
                                <a:cxn ang="0">
                                  <a:pos x="T2" y="T3"/>
                                </a:cxn>
                                <a:cxn ang="0">
                                  <a:pos x="T4" y="T5"/>
                                </a:cxn>
                                <a:cxn ang="0">
                                  <a:pos x="T6" y="T7"/>
                                </a:cxn>
                                <a:cxn ang="0">
                                  <a:pos x="T8" y="T9"/>
                                </a:cxn>
                              </a:cxnLst>
                              <a:rect l="0" t="0" r="r" b="b"/>
                              <a:pathLst>
                                <a:path w="7918" h="252">
                                  <a:moveTo>
                                    <a:pt x="0" y="252"/>
                                  </a:moveTo>
                                  <a:lnTo>
                                    <a:pt x="7918" y="252"/>
                                  </a:lnTo>
                                  <a:lnTo>
                                    <a:pt x="7918"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6" name="Group 3596"/>
                        <wpg:cNvGrpSpPr>
                          <a:grpSpLocks/>
                        </wpg:cNvGrpSpPr>
                        <wpg:grpSpPr bwMode="auto">
                          <a:xfrm>
                            <a:off x="994" y="252"/>
                            <a:ext cx="1467" cy="252"/>
                            <a:chOff x="994" y="252"/>
                            <a:chExt cx="1467" cy="252"/>
                          </a:xfrm>
                        </wpg:grpSpPr>
                        <wps:wsp>
                          <wps:cNvPr id="3607" name="Freeform 3599"/>
                          <wps:cNvSpPr>
                            <a:spLocks/>
                          </wps:cNvSpPr>
                          <wps:spPr bwMode="auto">
                            <a:xfrm>
                              <a:off x="994" y="252"/>
                              <a:ext cx="1467" cy="252"/>
                            </a:xfrm>
                            <a:custGeom>
                              <a:avLst/>
                              <a:gdLst>
                                <a:gd name="T0" fmla="+- 0 994 994"/>
                                <a:gd name="T1" fmla="*/ T0 w 1467"/>
                                <a:gd name="T2" fmla="+- 0 504 252"/>
                                <a:gd name="T3" fmla="*/ 504 h 252"/>
                                <a:gd name="T4" fmla="+- 0 2460 994"/>
                                <a:gd name="T5" fmla="*/ T4 w 1467"/>
                                <a:gd name="T6" fmla="+- 0 504 252"/>
                                <a:gd name="T7" fmla="*/ 504 h 252"/>
                                <a:gd name="T8" fmla="+- 0 2460 994"/>
                                <a:gd name="T9" fmla="*/ T8 w 1467"/>
                                <a:gd name="T10" fmla="+- 0 252 252"/>
                                <a:gd name="T11" fmla="*/ 252 h 252"/>
                                <a:gd name="T12" fmla="+- 0 994 994"/>
                                <a:gd name="T13" fmla="*/ T12 w 1467"/>
                                <a:gd name="T14" fmla="+- 0 252 252"/>
                                <a:gd name="T15" fmla="*/ 252 h 252"/>
                                <a:gd name="T16" fmla="+- 0 994 994"/>
                                <a:gd name="T17" fmla="*/ T16 w 1467"/>
                                <a:gd name="T18" fmla="+- 0 504 252"/>
                                <a:gd name="T19" fmla="*/ 504 h 252"/>
                              </a:gdLst>
                              <a:ahLst/>
                              <a:cxnLst>
                                <a:cxn ang="0">
                                  <a:pos x="T1" y="T3"/>
                                </a:cxn>
                                <a:cxn ang="0">
                                  <a:pos x="T5" y="T7"/>
                                </a:cxn>
                                <a:cxn ang="0">
                                  <a:pos x="T9" y="T11"/>
                                </a:cxn>
                                <a:cxn ang="0">
                                  <a:pos x="T13" y="T15"/>
                                </a:cxn>
                                <a:cxn ang="0">
                                  <a:pos x="T17" y="T19"/>
                                </a:cxn>
                              </a:cxnLst>
                              <a:rect l="0" t="0" r="r" b="b"/>
                              <a:pathLst>
                                <a:path w="1467" h="252">
                                  <a:moveTo>
                                    <a:pt x="0" y="252"/>
                                  </a:moveTo>
                                  <a:lnTo>
                                    <a:pt x="1466" y="252"/>
                                  </a:lnTo>
                                  <a:lnTo>
                                    <a:pt x="1466"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8" name="Text Box 3598"/>
                          <wps:cNvSpPr txBox="1">
                            <a:spLocks noChangeArrowheads="1"/>
                          </wps:cNvSpPr>
                          <wps:spPr bwMode="auto">
                            <a:xfrm>
                              <a:off x="0" y="25"/>
                              <a:ext cx="4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1" w:lineRule="exact"/>
                                  <w:rPr>
                                    <w:rFonts w:ascii="Arial" w:eastAsia="Arial" w:hAnsi="Arial" w:cs="Arial"/>
                                  </w:rPr>
                                </w:pPr>
                                <w:r>
                                  <w:rPr>
                                    <w:rFonts w:ascii="Arial"/>
                                  </w:rPr>
                                  <w:t>9.1.3</w:t>
                                </w:r>
                              </w:p>
                            </w:txbxContent>
                          </wps:txbx>
                          <wps:bodyPr rot="0" vert="horz" wrap="square" lIns="0" tIns="0" rIns="0" bIns="0" anchor="t" anchorCtr="0" upright="1">
                            <a:noAutofit/>
                          </wps:bodyPr>
                        </wps:wsp>
                        <wps:wsp>
                          <wps:cNvPr id="3609" name="Text Box 3597"/>
                          <wps:cNvSpPr txBox="1">
                            <a:spLocks noChangeArrowheads="1"/>
                          </wps:cNvSpPr>
                          <wps:spPr bwMode="auto">
                            <a:xfrm>
                              <a:off x="994" y="25"/>
                              <a:ext cx="692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5" w:lineRule="exact"/>
                                  <w:rPr>
                                    <w:rFonts w:ascii="Arial" w:eastAsia="Arial" w:hAnsi="Arial" w:cs="Arial"/>
                                  </w:rPr>
                                </w:pPr>
                                <w:r>
                                  <w:rPr>
                                    <w:rFonts w:ascii="Arial" w:eastAsia="Arial" w:hAnsi="Arial" w:cs="Arial"/>
                                  </w:rPr>
                                  <w:t>the</w:t>
                                </w:r>
                                <w:r>
                                  <w:rPr>
                                    <w:rFonts w:ascii="Arial" w:eastAsia="Arial" w:hAnsi="Arial" w:cs="Arial"/>
                                    <w:spacing w:val="3"/>
                                  </w:rPr>
                                  <w:t xml:space="preserve"> </w:t>
                                </w:r>
                                <w:r>
                                  <w:rPr>
                                    <w:rFonts w:ascii="Arial" w:eastAsia="Arial" w:hAnsi="Arial" w:cs="Arial"/>
                                    <w:spacing w:val="-1"/>
                                  </w:rPr>
                                  <w:t>Approval</w:t>
                                </w:r>
                                <w:r>
                                  <w:rPr>
                                    <w:rFonts w:ascii="Arial" w:eastAsia="Arial" w:hAnsi="Arial" w:cs="Arial"/>
                                    <w:spacing w:val="2"/>
                                  </w:rPr>
                                  <w:t xml:space="preserve"> </w:t>
                                </w:r>
                                <w:r>
                                  <w:rPr>
                                    <w:rFonts w:ascii="Arial" w:eastAsia="Arial" w:hAnsi="Arial" w:cs="Arial"/>
                                    <w:spacing w:val="-1"/>
                                  </w:rPr>
                                  <w:t>of</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2"/>
                                  </w:rPr>
                                  <w:t>Customer</w:t>
                                </w:r>
                                <w:r>
                                  <w:rPr>
                                    <w:rFonts w:ascii="Arial" w:eastAsia="Arial" w:hAnsi="Arial" w:cs="Arial"/>
                                    <w:spacing w:val="4"/>
                                  </w:rPr>
                                  <w:t xml:space="preserve"> </w:t>
                                </w:r>
                                <w:r>
                                  <w:rPr>
                                    <w:rFonts w:ascii="Arial" w:eastAsia="Arial" w:hAnsi="Arial" w:cs="Arial"/>
                                    <w:spacing w:val="-2"/>
                                  </w:rPr>
                                  <w:t>which</w:t>
                                </w:r>
                                <w:r>
                                  <w:rPr>
                                    <w:rFonts w:ascii="Arial" w:eastAsia="Arial" w:hAnsi="Arial" w:cs="Arial"/>
                                    <w:spacing w:val="3"/>
                                  </w:rPr>
                                  <w:t xml:space="preserve"> </w:t>
                                </w:r>
                                <w:r>
                                  <w:rPr>
                                    <w:rFonts w:ascii="Arial" w:eastAsia="Arial" w:hAnsi="Arial" w:cs="Arial"/>
                                    <w:spacing w:val="-1"/>
                                  </w:rPr>
                                  <w:t>shall</w:t>
                                </w:r>
                                <w:r>
                                  <w:rPr>
                                    <w:rFonts w:ascii="Arial" w:eastAsia="Arial" w:hAnsi="Arial" w:cs="Arial"/>
                                    <w:spacing w:val="2"/>
                                  </w:rPr>
                                  <w:t xml:space="preserve"> </w:t>
                                </w:r>
                                <w:r>
                                  <w:rPr>
                                    <w:rFonts w:ascii="Arial" w:eastAsia="Arial" w:hAnsi="Arial" w:cs="Arial"/>
                                    <w:spacing w:val="-1"/>
                                  </w:rPr>
                                  <w:t>be</w:t>
                                </w:r>
                                <w:r>
                                  <w:rPr>
                                    <w:rFonts w:ascii="Arial" w:eastAsia="Arial" w:hAnsi="Arial" w:cs="Arial"/>
                                    <w:spacing w:val="3"/>
                                  </w:rPr>
                                  <w:t xml:space="preserve"> </w:t>
                                </w:r>
                                <w:r>
                                  <w:rPr>
                                    <w:rFonts w:ascii="Arial" w:eastAsia="Arial" w:hAnsi="Arial" w:cs="Arial"/>
                                    <w:spacing w:val="-1"/>
                                  </w:rPr>
                                  <w:t>granted</w:t>
                                </w:r>
                                <w:r>
                                  <w:rPr>
                                    <w:rFonts w:ascii="Arial" w:eastAsia="Arial" w:hAnsi="Arial" w:cs="Arial"/>
                                    <w:spacing w:val="3"/>
                                  </w:rPr>
                                  <w:t xml:space="preserve"> </w:t>
                                </w:r>
                                <w:r>
                                  <w:rPr>
                                    <w:rFonts w:ascii="Arial" w:eastAsia="Arial" w:hAnsi="Arial" w:cs="Arial"/>
                                    <w:spacing w:val="-1"/>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2"/>
                                  </w:rPr>
                                  <w:t>Customer’s</w:t>
                                </w:r>
                              </w:p>
                              <w:p w:rsidR="005D2B81" w:rsidRDefault="005D2B81" w:rsidP="008918FA">
                                <w:pPr>
                                  <w:spacing w:line="248" w:lineRule="exact"/>
                                  <w:rPr>
                                    <w:rFonts w:ascii="Arial" w:eastAsia="Arial" w:hAnsi="Arial" w:cs="Arial"/>
                                  </w:rPr>
                                </w:pPr>
                                <w:r>
                                  <w:rPr>
                                    <w:rFonts w:ascii="Arial"/>
                                    <w:spacing w:val="-1"/>
                                  </w:rPr>
                                  <w:t>sole</w:t>
                                </w:r>
                                <w:r>
                                  <w:rPr>
                                    <w:rFonts w:ascii="Arial"/>
                                  </w:rPr>
                                  <w:t xml:space="preserve"> </w:t>
                                </w:r>
                                <w:r>
                                  <w:rPr>
                                    <w:rFonts w:ascii="Arial"/>
                                    <w:spacing w:val="-1"/>
                                  </w:rPr>
                                  <w:t>discretion.</w:t>
                                </w:r>
                              </w:p>
                            </w:txbxContent>
                          </wps:txbx>
                          <wps:bodyPr rot="0" vert="horz" wrap="square" lIns="0" tIns="0" rIns="0" bIns="0" anchor="t" anchorCtr="0" upright="1">
                            <a:noAutofit/>
                          </wps:bodyPr>
                        </wps:wsp>
                      </wpg:grpSp>
                    </wpg:wgp>
                  </a:graphicData>
                </a:graphic>
              </wp:inline>
            </w:drawing>
          </mc:Choice>
          <mc:Fallback>
            <w:pict>
              <v:group w14:anchorId="2701D333" id="Group 3595" o:spid="_x0000_s1211" style="width:395.9pt;height:25.2pt;mso-position-horizontal-relative:char;mso-position-vertical-relative:line" coordsize="791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">
                <v:group id="Group 3600" o:spid="_x0000_s1212" style="position:absolute;width:7918;height:252" coordsize="79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shape id="Freeform 3601" o:spid="_x0000_s1213" style="position:absolute;width:7918;height:252;visibility:visible;mso-wrap-style:square;v-text-anchor:top" coordsize="79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2hMYA&#10;AADdAAAADwAAAGRycy9kb3ducmV2LnhtbESPQWsCMRSE70L/Q3hCb5q14tJujdIKQnsQdNtLb4/N&#10;c7Pt5mVJsrr990YQPA4z8w2zXA+2FSfyoXGsYDbNQBBXTjdcK/j+2k6eQYSIrLF1TAr+KcB69TBa&#10;YqHdmQ90KmMtEoRDgQpMjF0hZagMWQxT1xEn7+i8xZikr6X2eE5w28qnLMulxYbTgsGONoaqv7K3&#10;Co7zl7138f3zd7c9DDl2/c/G9Eo9joe3VxCRhngP39ofWsE8zxZ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P2hMYAAADdAAAADwAAAAAAAAAAAAAAAACYAgAAZHJz&#10;L2Rvd25yZXYueG1sUEsFBgAAAAAEAAQA9QAAAIsDAAAAAA==&#10;" path="m,252r7918,l7918,,,,,252xe" fillcolor="yellow" stroked="f">
                    <v:path arrowok="t" o:connecttype="custom" o:connectlocs="0,252;7918,252;7918,0;0,0;0,252" o:connectangles="0,0,0,0,0"/>
                  </v:shape>
                </v:group>
                <v:group id="Group 3596" o:spid="_x0000_s1214" style="position:absolute;left:994;top:252;width:1467;height:252" coordorigin="994,252" coordsize="146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shape id="Freeform 3599" o:spid="_x0000_s1215" style="position:absolute;left:994;top:252;width:1467;height:252;visibility:visible;mso-wrap-style:square;v-text-anchor:top" coordsize="146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nCsQA&#10;AADdAAAADwAAAGRycy9kb3ducmV2LnhtbESPUWsCMRCE3wv+h7BC32qigsrVKCJIq4WCWvq8XLZ3&#10;1152r5eo5783hYKPw8x8w8yXna/VmdpQCVsYDgwo4lxcxYWFj+PmaQYqRGSHtTBZuFKA5aL3MMfM&#10;yYX3dD7EQiUIhwwtlDE2mdYhL8ljGEhDnLwvaT3GJNtCuxYvCe5rPTJmoj1WnBZKbGhdUv5zOHkL&#10;O5T4u32Xa5C3/bT53ow/jXmx9rHfrZ5BReriPfzffnUWxhMzhb836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wrEAAAA3QAAAA8AAAAAAAAAAAAAAAAAmAIAAGRycy9k&#10;b3ducmV2LnhtbFBLBQYAAAAABAAEAPUAAACJAwAAAAA=&#10;" path="m,252r1466,l1466,,,,,252xe" fillcolor="yellow" stroked="f">
                    <v:path arrowok="t" o:connecttype="custom" o:connectlocs="0,504;1466,504;1466,252;0,252;0,504" o:connectangles="0,0,0,0,0"/>
                  </v:shape>
                  <v:shape id="Text Box 3598" o:spid="_x0000_s1216" type="#_x0000_t202" style="position:absolute;top:25;width:4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p7sMA&#10;AADdAAAADwAAAGRycy9kb3ducmV2LnhtbERPz2vCMBS+C/sfwhvspsk2KNoZRYYDYTDW1oPHt+bZ&#10;BpuX2kTt/vvlMPD48f1erkfXiSsNwXrW8DxTIIhrbyw3GvbVx3QOIkRkg51n0vBLAdarh8kSc+Nv&#10;XNC1jI1IIRxy1NDG2OdShrolh2Hme+LEHf3gMCY4NNIMeEvhrpMvSmXSoeXU0GJP7y3Vp/LiNGwO&#10;XGzt+evnuzgWtqoWij+zk9ZPj+PmDUSkMd7F/+6d0fCaqT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p7sMAAADdAAAADwAAAAAAAAAAAAAAAACYAgAAZHJzL2Rv&#10;d25yZXYueG1sUEsFBgAAAAAEAAQA9QAAAIgDAAAAAA==&#10;" filled="f" stroked="f">
                    <v:textbox inset="0,0,0,0">
                      <w:txbxContent>
                        <w:p w:rsidR="005D2B81" w:rsidRDefault="005D2B81" w:rsidP="008918FA">
                          <w:pPr>
                            <w:spacing w:line="221" w:lineRule="exact"/>
                            <w:rPr>
                              <w:rFonts w:ascii="Arial" w:eastAsia="Arial" w:hAnsi="Arial" w:cs="Arial"/>
                            </w:rPr>
                          </w:pPr>
                          <w:r>
                            <w:rPr>
                              <w:rFonts w:ascii="Arial"/>
                            </w:rPr>
                            <w:t>9.1.3</w:t>
                          </w:r>
                        </w:p>
                      </w:txbxContent>
                    </v:textbox>
                  </v:shape>
                  <v:shape id="Text Box 3597" o:spid="_x0000_s1217" type="#_x0000_t202" style="position:absolute;left:994;top:25;width:6921;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MdcYA&#10;AADdAAAADwAAAGRycy9kb3ducmV2LnhtbESPQWsCMRSE70L/Q3iCN02ssNStUaRYKAil6/bQ4+vm&#10;uRvcvKybVNd/3xQKHoeZ+YZZbQbXigv1wXrWMJ8pEMSVN5ZrDZ/l6/QJRIjIBlvPpOFGATbrh9EK&#10;c+OvXNDlEGuRIBxy1NDE2OVShqohh2HmO+LkHX3vMCbZ19L0eE1w18pHpTLp0HJaaLCjl4aq0+HH&#10;adh+cbGz5/fvj+JY2LJcKt5nJ60n42H7DCLSEO/h//ab0bDI1B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iMdcYAAADdAAAADwAAAAAAAAAAAAAAAACYAgAAZHJz&#10;L2Rvd25yZXYueG1sUEsFBgAAAAAEAAQA9QAAAIsDAAAAAA==&#10;" filled="f" stroked="f">
                    <v:textbox inset="0,0,0,0">
                      <w:txbxContent>
                        <w:p w:rsidR="005D2B81" w:rsidRDefault="005D2B81" w:rsidP="008918FA">
                          <w:pPr>
                            <w:spacing w:line="225" w:lineRule="exact"/>
                            <w:rPr>
                              <w:rFonts w:ascii="Arial" w:eastAsia="Arial" w:hAnsi="Arial" w:cs="Arial"/>
                            </w:rPr>
                          </w:pPr>
                          <w:r>
                            <w:rPr>
                              <w:rFonts w:ascii="Arial" w:eastAsia="Arial" w:hAnsi="Arial" w:cs="Arial"/>
                            </w:rPr>
                            <w:t>the</w:t>
                          </w:r>
                          <w:r>
                            <w:rPr>
                              <w:rFonts w:ascii="Arial" w:eastAsia="Arial" w:hAnsi="Arial" w:cs="Arial"/>
                              <w:spacing w:val="3"/>
                            </w:rPr>
                            <w:t xml:space="preserve"> </w:t>
                          </w:r>
                          <w:r>
                            <w:rPr>
                              <w:rFonts w:ascii="Arial" w:eastAsia="Arial" w:hAnsi="Arial" w:cs="Arial"/>
                              <w:spacing w:val="-1"/>
                            </w:rPr>
                            <w:t>Approval</w:t>
                          </w:r>
                          <w:r>
                            <w:rPr>
                              <w:rFonts w:ascii="Arial" w:eastAsia="Arial" w:hAnsi="Arial" w:cs="Arial"/>
                              <w:spacing w:val="2"/>
                            </w:rPr>
                            <w:t xml:space="preserve"> </w:t>
                          </w:r>
                          <w:r>
                            <w:rPr>
                              <w:rFonts w:ascii="Arial" w:eastAsia="Arial" w:hAnsi="Arial" w:cs="Arial"/>
                              <w:spacing w:val="-1"/>
                            </w:rPr>
                            <w:t>of</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2"/>
                            </w:rPr>
                            <w:t>Customer</w:t>
                          </w:r>
                          <w:r>
                            <w:rPr>
                              <w:rFonts w:ascii="Arial" w:eastAsia="Arial" w:hAnsi="Arial" w:cs="Arial"/>
                              <w:spacing w:val="4"/>
                            </w:rPr>
                            <w:t xml:space="preserve"> </w:t>
                          </w:r>
                          <w:r>
                            <w:rPr>
                              <w:rFonts w:ascii="Arial" w:eastAsia="Arial" w:hAnsi="Arial" w:cs="Arial"/>
                              <w:spacing w:val="-2"/>
                            </w:rPr>
                            <w:t>which</w:t>
                          </w:r>
                          <w:r>
                            <w:rPr>
                              <w:rFonts w:ascii="Arial" w:eastAsia="Arial" w:hAnsi="Arial" w:cs="Arial"/>
                              <w:spacing w:val="3"/>
                            </w:rPr>
                            <w:t xml:space="preserve"> </w:t>
                          </w:r>
                          <w:r>
                            <w:rPr>
                              <w:rFonts w:ascii="Arial" w:eastAsia="Arial" w:hAnsi="Arial" w:cs="Arial"/>
                              <w:spacing w:val="-1"/>
                            </w:rPr>
                            <w:t>shall</w:t>
                          </w:r>
                          <w:r>
                            <w:rPr>
                              <w:rFonts w:ascii="Arial" w:eastAsia="Arial" w:hAnsi="Arial" w:cs="Arial"/>
                              <w:spacing w:val="2"/>
                            </w:rPr>
                            <w:t xml:space="preserve"> </w:t>
                          </w:r>
                          <w:r>
                            <w:rPr>
                              <w:rFonts w:ascii="Arial" w:eastAsia="Arial" w:hAnsi="Arial" w:cs="Arial"/>
                              <w:spacing w:val="-1"/>
                            </w:rPr>
                            <w:t>be</w:t>
                          </w:r>
                          <w:r>
                            <w:rPr>
                              <w:rFonts w:ascii="Arial" w:eastAsia="Arial" w:hAnsi="Arial" w:cs="Arial"/>
                              <w:spacing w:val="3"/>
                            </w:rPr>
                            <w:t xml:space="preserve"> </w:t>
                          </w:r>
                          <w:r>
                            <w:rPr>
                              <w:rFonts w:ascii="Arial" w:eastAsia="Arial" w:hAnsi="Arial" w:cs="Arial"/>
                              <w:spacing w:val="-1"/>
                            </w:rPr>
                            <w:t>granted</w:t>
                          </w:r>
                          <w:r>
                            <w:rPr>
                              <w:rFonts w:ascii="Arial" w:eastAsia="Arial" w:hAnsi="Arial" w:cs="Arial"/>
                              <w:spacing w:val="3"/>
                            </w:rPr>
                            <w:t xml:space="preserve"> </w:t>
                          </w:r>
                          <w:r>
                            <w:rPr>
                              <w:rFonts w:ascii="Arial" w:eastAsia="Arial" w:hAnsi="Arial" w:cs="Arial"/>
                              <w:spacing w:val="-1"/>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2"/>
                            </w:rPr>
                            <w:t>Customer’s</w:t>
                          </w:r>
                        </w:p>
                        <w:p w:rsidR="005D2B81" w:rsidRDefault="005D2B81" w:rsidP="008918FA">
                          <w:pPr>
                            <w:spacing w:line="248" w:lineRule="exact"/>
                            <w:rPr>
                              <w:rFonts w:ascii="Arial" w:eastAsia="Arial" w:hAnsi="Arial" w:cs="Arial"/>
                            </w:rPr>
                          </w:pPr>
                          <w:r>
                            <w:rPr>
                              <w:rFonts w:ascii="Arial"/>
                              <w:spacing w:val="-1"/>
                            </w:rPr>
                            <w:t>sole</w:t>
                          </w:r>
                          <w:r>
                            <w:rPr>
                              <w:rFonts w:ascii="Arial"/>
                            </w:rPr>
                            <w:t xml:space="preserve"> </w:t>
                          </w:r>
                          <w:r>
                            <w:rPr>
                              <w:rFonts w:ascii="Arial"/>
                              <w:spacing w:val="-1"/>
                            </w:rPr>
                            <w:t>discretion.</w:t>
                          </w:r>
                        </w:p>
                      </w:txbxContent>
                    </v:textbox>
                  </v:shape>
                </v:group>
                <w10:anchorlock/>
              </v:group>
            </w:pict>
          </mc:Fallback>
        </mc:AlternateContent>
      </w:r>
    </w:p>
    <w:p w:rsidR="008918FA" w:rsidRPr="007929F1" w:rsidRDefault="008918FA" w:rsidP="008918FA">
      <w:pPr>
        <w:pStyle w:val="BodyText"/>
        <w:numPr>
          <w:ilvl w:val="1"/>
          <w:numId w:val="29"/>
        </w:numPr>
        <w:tabs>
          <w:tab w:val="left" w:pos="829"/>
        </w:tabs>
        <w:spacing w:before="117"/>
        <w:ind w:right="112"/>
        <w:jc w:val="both"/>
        <w:rPr>
          <w:highlight w:val="yellow"/>
        </w:rPr>
      </w:pPr>
      <w:bookmarkStart w:id="367" w:name="_bookmark301"/>
      <w:bookmarkEnd w:id="367"/>
      <w:r w:rsidRPr="007929F1">
        <w:rPr>
          <w:highlight w:val="yellow"/>
        </w:rPr>
        <w:t>The</w:t>
      </w:r>
      <w:r w:rsidRPr="007929F1">
        <w:rPr>
          <w:spacing w:val="24"/>
          <w:highlight w:val="yellow"/>
        </w:rPr>
        <w:t xml:space="preserve"> </w:t>
      </w:r>
      <w:r w:rsidRPr="007929F1">
        <w:rPr>
          <w:spacing w:val="-1"/>
          <w:highlight w:val="yellow"/>
        </w:rPr>
        <w:t>earliest</w:t>
      </w:r>
      <w:r w:rsidRPr="007929F1">
        <w:rPr>
          <w:spacing w:val="26"/>
          <w:highlight w:val="yellow"/>
        </w:rPr>
        <w:t xml:space="preserve"> </w:t>
      </w:r>
      <w:r w:rsidRPr="007929F1">
        <w:rPr>
          <w:spacing w:val="-2"/>
          <w:highlight w:val="yellow"/>
        </w:rPr>
        <w:t>Review</w:t>
      </w:r>
      <w:r w:rsidRPr="007929F1">
        <w:rPr>
          <w:spacing w:val="24"/>
          <w:highlight w:val="yellow"/>
        </w:rPr>
        <w:t xml:space="preserve"> </w:t>
      </w:r>
      <w:r w:rsidRPr="007929F1">
        <w:rPr>
          <w:spacing w:val="-1"/>
          <w:highlight w:val="yellow"/>
        </w:rPr>
        <w:t>Adjustment</w:t>
      </w:r>
      <w:r w:rsidRPr="007929F1">
        <w:rPr>
          <w:spacing w:val="26"/>
          <w:highlight w:val="yellow"/>
        </w:rPr>
        <w:t xml:space="preserve"> </w:t>
      </w:r>
      <w:r w:rsidRPr="007929F1">
        <w:rPr>
          <w:spacing w:val="-1"/>
          <w:highlight w:val="yellow"/>
        </w:rPr>
        <w:t>Date</w:t>
      </w:r>
      <w:r w:rsidRPr="007929F1">
        <w:rPr>
          <w:spacing w:val="24"/>
          <w:highlight w:val="yellow"/>
        </w:rPr>
        <w:t xml:space="preserve"> </w:t>
      </w:r>
      <w:r w:rsidRPr="007929F1">
        <w:rPr>
          <w:spacing w:val="-2"/>
          <w:highlight w:val="yellow"/>
        </w:rPr>
        <w:t>will</w:t>
      </w:r>
      <w:r w:rsidRPr="007929F1">
        <w:rPr>
          <w:spacing w:val="26"/>
          <w:highlight w:val="yellow"/>
        </w:rPr>
        <w:t xml:space="preserve"> </w:t>
      </w:r>
      <w:r w:rsidRPr="007929F1">
        <w:rPr>
          <w:spacing w:val="-1"/>
          <w:highlight w:val="yellow"/>
        </w:rPr>
        <w:t>be</w:t>
      </w:r>
      <w:r w:rsidRPr="007929F1">
        <w:rPr>
          <w:spacing w:val="24"/>
          <w:highlight w:val="yellow"/>
        </w:rPr>
        <w:t xml:space="preserve"> </w:t>
      </w:r>
      <w:r w:rsidRPr="007929F1">
        <w:rPr>
          <w:highlight w:val="yellow"/>
        </w:rPr>
        <w:t>the</w:t>
      </w:r>
      <w:r w:rsidRPr="007929F1">
        <w:rPr>
          <w:spacing w:val="24"/>
          <w:highlight w:val="yellow"/>
        </w:rPr>
        <w:t xml:space="preserve"> </w:t>
      </w:r>
      <w:r w:rsidRPr="007929F1">
        <w:rPr>
          <w:spacing w:val="-1"/>
          <w:highlight w:val="yellow"/>
        </w:rPr>
        <w:t>first</w:t>
      </w:r>
      <w:r w:rsidRPr="007929F1">
        <w:rPr>
          <w:spacing w:val="26"/>
          <w:highlight w:val="yellow"/>
        </w:rPr>
        <w:t xml:space="preserve"> </w:t>
      </w:r>
      <w:r w:rsidRPr="007929F1">
        <w:rPr>
          <w:spacing w:val="-1"/>
          <w:highlight w:val="yellow"/>
        </w:rPr>
        <w:t>(1st)</w:t>
      </w:r>
      <w:r w:rsidRPr="007929F1">
        <w:rPr>
          <w:spacing w:val="21"/>
          <w:highlight w:val="yellow"/>
        </w:rPr>
        <w:t xml:space="preserve"> </w:t>
      </w:r>
      <w:r w:rsidRPr="007929F1">
        <w:rPr>
          <w:spacing w:val="-1"/>
          <w:highlight w:val="yellow"/>
        </w:rPr>
        <w:t>Working</w:t>
      </w:r>
      <w:r w:rsidRPr="007929F1">
        <w:rPr>
          <w:spacing w:val="27"/>
          <w:highlight w:val="yellow"/>
        </w:rPr>
        <w:t xml:space="preserve"> </w:t>
      </w:r>
      <w:r w:rsidRPr="007929F1">
        <w:rPr>
          <w:spacing w:val="-1"/>
          <w:highlight w:val="yellow"/>
        </w:rPr>
        <w:t>Day</w:t>
      </w:r>
      <w:r w:rsidRPr="007929F1">
        <w:rPr>
          <w:spacing w:val="22"/>
          <w:highlight w:val="yellow"/>
        </w:rPr>
        <w:t xml:space="preserve"> </w:t>
      </w:r>
      <w:r w:rsidRPr="007929F1">
        <w:rPr>
          <w:spacing w:val="-2"/>
          <w:highlight w:val="yellow"/>
        </w:rPr>
        <w:t>following</w:t>
      </w:r>
      <w:r w:rsidRPr="007929F1">
        <w:rPr>
          <w:spacing w:val="54"/>
          <w:highlight w:val="yellow"/>
        </w:rPr>
        <w:t xml:space="preserve"> </w:t>
      </w:r>
      <w:r w:rsidRPr="007929F1">
        <w:rPr>
          <w:highlight w:val="yellow"/>
        </w:rPr>
        <w:t>the</w:t>
      </w:r>
      <w:r w:rsidRPr="007929F1">
        <w:rPr>
          <w:spacing w:val="38"/>
          <w:highlight w:val="yellow"/>
        </w:rPr>
        <w:t xml:space="preserve"> </w:t>
      </w:r>
      <w:r w:rsidRPr="007929F1">
        <w:rPr>
          <w:spacing w:val="-1"/>
          <w:highlight w:val="yellow"/>
        </w:rPr>
        <w:t>[second</w:t>
      </w:r>
      <w:r w:rsidRPr="007929F1">
        <w:rPr>
          <w:spacing w:val="38"/>
          <w:highlight w:val="yellow"/>
        </w:rPr>
        <w:t xml:space="preserve"> </w:t>
      </w:r>
      <w:r w:rsidRPr="007929F1">
        <w:rPr>
          <w:spacing w:val="-1"/>
          <w:highlight w:val="yellow"/>
        </w:rPr>
        <w:t>(2nd)]</w:t>
      </w:r>
      <w:r w:rsidRPr="007929F1">
        <w:rPr>
          <w:spacing w:val="40"/>
          <w:highlight w:val="yellow"/>
        </w:rPr>
        <w:t xml:space="preserve"> </w:t>
      </w:r>
      <w:r w:rsidRPr="007929F1">
        <w:rPr>
          <w:spacing w:val="-1"/>
          <w:highlight w:val="yellow"/>
        </w:rPr>
        <w:t>anniversary</w:t>
      </w:r>
      <w:r w:rsidRPr="007929F1">
        <w:rPr>
          <w:spacing w:val="36"/>
          <w:highlight w:val="yellow"/>
        </w:rPr>
        <w:t xml:space="preserve"> </w:t>
      </w:r>
      <w:r w:rsidRPr="007929F1">
        <w:rPr>
          <w:spacing w:val="-1"/>
          <w:highlight w:val="yellow"/>
        </w:rPr>
        <w:t>of</w:t>
      </w:r>
      <w:r w:rsidRPr="007929F1">
        <w:rPr>
          <w:spacing w:val="42"/>
          <w:highlight w:val="yellow"/>
        </w:rPr>
        <w:t xml:space="preserve"> </w:t>
      </w:r>
      <w:r w:rsidRPr="007929F1">
        <w:rPr>
          <w:highlight w:val="yellow"/>
        </w:rPr>
        <w:t>the</w:t>
      </w:r>
      <w:r w:rsidRPr="007929F1">
        <w:rPr>
          <w:spacing w:val="38"/>
          <w:highlight w:val="yellow"/>
        </w:rPr>
        <w:t xml:space="preserve"> </w:t>
      </w:r>
      <w:r w:rsidRPr="007929F1">
        <w:rPr>
          <w:spacing w:val="-2"/>
          <w:highlight w:val="yellow"/>
        </w:rPr>
        <w:t>Call</w:t>
      </w:r>
      <w:r w:rsidRPr="007929F1">
        <w:rPr>
          <w:spacing w:val="39"/>
          <w:highlight w:val="yellow"/>
        </w:rPr>
        <w:t xml:space="preserve"> </w:t>
      </w:r>
      <w:r w:rsidRPr="007929F1">
        <w:rPr>
          <w:highlight w:val="yellow"/>
        </w:rPr>
        <w:t>Off</w:t>
      </w:r>
      <w:r w:rsidRPr="007929F1">
        <w:rPr>
          <w:spacing w:val="40"/>
          <w:highlight w:val="yellow"/>
        </w:rPr>
        <w:t xml:space="preserve"> </w:t>
      </w:r>
      <w:r w:rsidRPr="007929F1">
        <w:rPr>
          <w:spacing w:val="-1"/>
          <w:highlight w:val="yellow"/>
        </w:rPr>
        <w:t>Commencement</w:t>
      </w:r>
      <w:r w:rsidRPr="007929F1">
        <w:rPr>
          <w:spacing w:val="40"/>
          <w:highlight w:val="yellow"/>
        </w:rPr>
        <w:t xml:space="preserve"> </w:t>
      </w:r>
      <w:r w:rsidRPr="007929F1">
        <w:rPr>
          <w:spacing w:val="-1"/>
          <w:highlight w:val="yellow"/>
        </w:rPr>
        <w:t>Date.</w:t>
      </w:r>
      <w:r w:rsidRPr="007929F1">
        <w:rPr>
          <w:spacing w:val="38"/>
          <w:highlight w:val="yellow"/>
        </w:rPr>
        <w:t xml:space="preserve"> </w:t>
      </w:r>
      <w:r w:rsidRPr="007929F1">
        <w:rPr>
          <w:spacing w:val="-1"/>
          <w:highlight w:val="yellow"/>
        </w:rPr>
        <w:t>Thereafter</w:t>
      </w:r>
      <w:r w:rsidRPr="007929F1">
        <w:rPr>
          <w:spacing w:val="33"/>
          <w:highlight w:val="yellow"/>
        </w:rPr>
        <w:t xml:space="preserve"> </w:t>
      </w:r>
      <w:r w:rsidRPr="007929F1">
        <w:rPr>
          <w:spacing w:val="-1"/>
          <w:highlight w:val="yellow"/>
        </w:rPr>
        <w:t>any</w:t>
      </w:r>
      <w:r w:rsidRPr="007929F1">
        <w:rPr>
          <w:spacing w:val="30"/>
          <w:highlight w:val="yellow"/>
        </w:rPr>
        <w:t xml:space="preserve"> </w:t>
      </w:r>
      <w:r w:rsidRPr="007929F1">
        <w:rPr>
          <w:spacing w:val="-1"/>
          <w:highlight w:val="yellow"/>
        </w:rPr>
        <w:t>subsequent</w:t>
      </w:r>
      <w:r w:rsidRPr="007929F1">
        <w:rPr>
          <w:spacing w:val="33"/>
          <w:highlight w:val="yellow"/>
        </w:rPr>
        <w:t xml:space="preserve"> </w:t>
      </w:r>
      <w:r w:rsidRPr="007929F1">
        <w:rPr>
          <w:spacing w:val="-1"/>
          <w:highlight w:val="yellow"/>
        </w:rPr>
        <w:t>increase</w:t>
      </w:r>
      <w:r w:rsidRPr="007929F1">
        <w:rPr>
          <w:spacing w:val="31"/>
          <w:highlight w:val="yellow"/>
        </w:rPr>
        <w:t xml:space="preserve"> </w:t>
      </w:r>
      <w:r w:rsidRPr="007929F1">
        <w:rPr>
          <w:highlight w:val="yellow"/>
        </w:rPr>
        <w:t>to</w:t>
      </w:r>
      <w:r w:rsidRPr="007929F1">
        <w:rPr>
          <w:spacing w:val="31"/>
          <w:highlight w:val="yellow"/>
        </w:rPr>
        <w:t xml:space="preserve"> </w:t>
      </w:r>
      <w:r w:rsidRPr="007929F1">
        <w:rPr>
          <w:spacing w:val="-1"/>
          <w:highlight w:val="yellow"/>
        </w:rPr>
        <w:t>any</w:t>
      </w:r>
      <w:r w:rsidRPr="007929F1">
        <w:rPr>
          <w:spacing w:val="30"/>
          <w:highlight w:val="yellow"/>
        </w:rPr>
        <w:t xml:space="preserve"> </w:t>
      </w:r>
      <w:r w:rsidRPr="007929F1">
        <w:rPr>
          <w:spacing w:val="-1"/>
          <w:highlight w:val="yellow"/>
        </w:rPr>
        <w:t>of</w:t>
      </w:r>
      <w:r w:rsidRPr="007929F1">
        <w:rPr>
          <w:spacing w:val="35"/>
          <w:highlight w:val="yellow"/>
        </w:rPr>
        <w:t xml:space="preserve"> </w:t>
      </w:r>
      <w:r w:rsidRPr="007929F1">
        <w:rPr>
          <w:highlight w:val="yellow"/>
        </w:rPr>
        <w:t>the</w:t>
      </w:r>
      <w:r w:rsidRPr="007929F1">
        <w:rPr>
          <w:spacing w:val="31"/>
          <w:highlight w:val="yellow"/>
        </w:rPr>
        <w:t xml:space="preserve"> </w:t>
      </w:r>
      <w:r w:rsidRPr="007929F1">
        <w:rPr>
          <w:spacing w:val="-2"/>
          <w:highlight w:val="yellow"/>
        </w:rPr>
        <w:t>Call</w:t>
      </w:r>
      <w:r w:rsidRPr="007929F1">
        <w:rPr>
          <w:spacing w:val="31"/>
          <w:highlight w:val="yellow"/>
        </w:rPr>
        <w:t xml:space="preserve"> </w:t>
      </w:r>
      <w:r w:rsidRPr="007929F1">
        <w:rPr>
          <w:spacing w:val="-1"/>
          <w:highlight w:val="yellow"/>
        </w:rPr>
        <w:t>Off</w:t>
      </w:r>
      <w:r w:rsidRPr="007929F1">
        <w:rPr>
          <w:spacing w:val="31"/>
          <w:highlight w:val="yellow"/>
        </w:rPr>
        <w:t xml:space="preserve"> </w:t>
      </w:r>
      <w:r w:rsidRPr="007929F1">
        <w:rPr>
          <w:spacing w:val="-1"/>
          <w:highlight w:val="yellow"/>
        </w:rPr>
        <w:t>Contract</w:t>
      </w:r>
      <w:r w:rsidRPr="007929F1">
        <w:rPr>
          <w:spacing w:val="33"/>
          <w:highlight w:val="yellow"/>
        </w:rPr>
        <w:t xml:space="preserve"> </w:t>
      </w:r>
      <w:r w:rsidRPr="007929F1">
        <w:rPr>
          <w:spacing w:val="-1"/>
          <w:highlight w:val="yellow"/>
        </w:rPr>
        <w:t>Charges</w:t>
      </w:r>
      <w:r w:rsidRPr="007929F1">
        <w:rPr>
          <w:spacing w:val="32"/>
          <w:highlight w:val="yellow"/>
        </w:rPr>
        <w:t xml:space="preserve"> </w:t>
      </w:r>
      <w:r w:rsidRPr="007929F1">
        <w:rPr>
          <w:spacing w:val="-1"/>
          <w:highlight w:val="yellow"/>
        </w:rPr>
        <w:t>in</w:t>
      </w:r>
      <w:r w:rsidRPr="007929F1">
        <w:rPr>
          <w:spacing w:val="31"/>
          <w:highlight w:val="yellow"/>
        </w:rPr>
        <w:t xml:space="preserve"> </w:t>
      </w:r>
      <w:r w:rsidRPr="007929F1">
        <w:rPr>
          <w:spacing w:val="-1"/>
          <w:highlight w:val="yellow"/>
        </w:rPr>
        <w:t>accordance</w:t>
      </w:r>
      <w:r w:rsidRPr="007929F1">
        <w:rPr>
          <w:spacing w:val="39"/>
          <w:highlight w:val="yellow"/>
        </w:rPr>
        <w:t xml:space="preserve"> </w:t>
      </w:r>
      <w:r w:rsidRPr="007929F1">
        <w:rPr>
          <w:spacing w:val="-1"/>
          <w:highlight w:val="yellow"/>
        </w:rPr>
        <w:t>with</w:t>
      </w:r>
      <w:r w:rsidRPr="007929F1">
        <w:rPr>
          <w:spacing w:val="26"/>
          <w:highlight w:val="yellow"/>
        </w:rPr>
        <w:t xml:space="preserve"> </w:t>
      </w:r>
      <w:r w:rsidRPr="007929F1">
        <w:rPr>
          <w:spacing w:val="-1"/>
          <w:highlight w:val="yellow"/>
        </w:rPr>
        <w:t>this</w:t>
      </w:r>
      <w:r w:rsidRPr="007929F1">
        <w:rPr>
          <w:spacing w:val="26"/>
          <w:highlight w:val="yellow"/>
        </w:rPr>
        <w:t xml:space="preserve"> </w:t>
      </w:r>
      <w:r w:rsidRPr="007929F1">
        <w:rPr>
          <w:spacing w:val="-1"/>
          <w:highlight w:val="yellow"/>
        </w:rPr>
        <w:t>paragraph</w:t>
      </w:r>
      <w:r w:rsidRPr="007929F1">
        <w:rPr>
          <w:spacing w:val="24"/>
          <w:highlight w:val="yellow"/>
        </w:rPr>
        <w:t xml:space="preserve"> </w:t>
      </w:r>
      <w:hyperlink w:anchor="_bookmark299" w:history="1">
        <w:r w:rsidRPr="007929F1">
          <w:rPr>
            <w:highlight w:val="yellow"/>
          </w:rPr>
          <w:t>9</w:t>
        </w:r>
      </w:hyperlink>
      <w:r w:rsidRPr="007929F1">
        <w:rPr>
          <w:spacing w:val="23"/>
          <w:highlight w:val="yellow"/>
        </w:rPr>
        <w:t xml:space="preserve"> </w:t>
      </w:r>
      <w:r w:rsidRPr="007929F1">
        <w:rPr>
          <w:spacing w:val="-2"/>
          <w:highlight w:val="yellow"/>
        </w:rPr>
        <w:t>of</w:t>
      </w:r>
      <w:r w:rsidRPr="007929F1">
        <w:rPr>
          <w:spacing w:val="29"/>
          <w:highlight w:val="yellow"/>
        </w:rPr>
        <w:t xml:space="preserve"> </w:t>
      </w:r>
      <w:r w:rsidRPr="007929F1">
        <w:rPr>
          <w:spacing w:val="-1"/>
          <w:highlight w:val="yellow"/>
        </w:rPr>
        <w:t>this</w:t>
      </w:r>
      <w:r w:rsidRPr="007929F1">
        <w:rPr>
          <w:spacing w:val="24"/>
          <w:highlight w:val="yellow"/>
        </w:rPr>
        <w:t xml:space="preserve"> </w:t>
      </w:r>
      <w:r w:rsidRPr="007929F1">
        <w:rPr>
          <w:spacing w:val="-2"/>
          <w:highlight w:val="yellow"/>
        </w:rPr>
        <w:t>Call</w:t>
      </w:r>
      <w:r w:rsidRPr="007929F1">
        <w:rPr>
          <w:spacing w:val="25"/>
          <w:highlight w:val="yellow"/>
        </w:rPr>
        <w:t xml:space="preserve"> </w:t>
      </w:r>
      <w:r w:rsidRPr="007929F1">
        <w:rPr>
          <w:spacing w:val="-1"/>
          <w:highlight w:val="yellow"/>
        </w:rPr>
        <w:t>Off</w:t>
      </w:r>
      <w:r w:rsidRPr="007929F1">
        <w:rPr>
          <w:spacing w:val="27"/>
          <w:highlight w:val="yellow"/>
        </w:rPr>
        <w:t xml:space="preserve"> </w:t>
      </w:r>
      <w:r w:rsidRPr="007929F1">
        <w:rPr>
          <w:spacing w:val="-2"/>
          <w:highlight w:val="yellow"/>
        </w:rPr>
        <w:t>Schedule</w:t>
      </w:r>
      <w:r w:rsidRPr="007929F1">
        <w:rPr>
          <w:spacing w:val="26"/>
          <w:highlight w:val="yellow"/>
        </w:rPr>
        <w:t xml:space="preserve"> </w:t>
      </w:r>
      <w:r w:rsidRPr="007929F1">
        <w:rPr>
          <w:spacing w:val="-1"/>
          <w:highlight w:val="yellow"/>
        </w:rPr>
        <w:t>shall</w:t>
      </w:r>
      <w:r w:rsidRPr="007929F1">
        <w:rPr>
          <w:spacing w:val="25"/>
          <w:highlight w:val="yellow"/>
        </w:rPr>
        <w:t xml:space="preserve"> </w:t>
      </w:r>
      <w:r w:rsidRPr="007929F1">
        <w:rPr>
          <w:spacing w:val="-1"/>
          <w:highlight w:val="yellow"/>
        </w:rPr>
        <w:t>not</w:t>
      </w:r>
      <w:r w:rsidRPr="007929F1">
        <w:rPr>
          <w:spacing w:val="27"/>
          <w:highlight w:val="yellow"/>
        </w:rPr>
        <w:t xml:space="preserve"> </w:t>
      </w:r>
      <w:r w:rsidRPr="007929F1">
        <w:rPr>
          <w:spacing w:val="-1"/>
          <w:highlight w:val="yellow"/>
        </w:rPr>
        <w:t>occur</w:t>
      </w:r>
      <w:r w:rsidRPr="007929F1">
        <w:rPr>
          <w:spacing w:val="27"/>
          <w:highlight w:val="yellow"/>
        </w:rPr>
        <w:t xml:space="preserve"> </w:t>
      </w:r>
      <w:r w:rsidRPr="007929F1">
        <w:rPr>
          <w:spacing w:val="-1"/>
          <w:highlight w:val="yellow"/>
        </w:rPr>
        <w:t>before</w:t>
      </w:r>
      <w:r w:rsidRPr="007929F1">
        <w:rPr>
          <w:spacing w:val="23"/>
          <w:highlight w:val="yellow"/>
        </w:rPr>
        <w:t xml:space="preserve"> </w:t>
      </w:r>
      <w:r w:rsidRPr="007929F1">
        <w:rPr>
          <w:spacing w:val="-1"/>
          <w:highlight w:val="yellow"/>
        </w:rPr>
        <w:t>the</w:t>
      </w:r>
      <w:r w:rsidRPr="007929F1">
        <w:rPr>
          <w:spacing w:val="51"/>
          <w:highlight w:val="yellow"/>
        </w:rPr>
        <w:t xml:space="preserve"> </w:t>
      </w:r>
      <w:r w:rsidRPr="007929F1">
        <w:rPr>
          <w:spacing w:val="-1"/>
          <w:highlight w:val="yellow"/>
        </w:rPr>
        <w:t>anniversary</w:t>
      </w:r>
      <w:r w:rsidRPr="007929F1">
        <w:rPr>
          <w:spacing w:val="22"/>
          <w:highlight w:val="yellow"/>
        </w:rPr>
        <w:t xml:space="preserve"> </w:t>
      </w:r>
      <w:r w:rsidRPr="007929F1">
        <w:rPr>
          <w:spacing w:val="-1"/>
          <w:highlight w:val="yellow"/>
        </w:rPr>
        <w:t>of</w:t>
      </w:r>
      <w:r w:rsidRPr="007929F1">
        <w:rPr>
          <w:spacing w:val="28"/>
          <w:highlight w:val="yellow"/>
        </w:rPr>
        <w:t xml:space="preserve"> </w:t>
      </w:r>
      <w:r w:rsidRPr="007929F1">
        <w:rPr>
          <w:highlight w:val="yellow"/>
        </w:rPr>
        <w:t>the</w:t>
      </w:r>
      <w:r w:rsidRPr="007929F1">
        <w:rPr>
          <w:spacing w:val="24"/>
          <w:highlight w:val="yellow"/>
        </w:rPr>
        <w:t xml:space="preserve"> </w:t>
      </w:r>
      <w:r w:rsidRPr="007929F1">
        <w:rPr>
          <w:spacing w:val="-2"/>
          <w:highlight w:val="yellow"/>
        </w:rPr>
        <w:t>previous</w:t>
      </w:r>
      <w:r w:rsidRPr="007929F1">
        <w:rPr>
          <w:spacing w:val="25"/>
          <w:highlight w:val="yellow"/>
        </w:rPr>
        <w:t xml:space="preserve"> </w:t>
      </w:r>
      <w:r w:rsidRPr="007929F1">
        <w:rPr>
          <w:spacing w:val="-1"/>
          <w:highlight w:val="yellow"/>
        </w:rPr>
        <w:t>Review</w:t>
      </w:r>
      <w:r w:rsidRPr="007929F1">
        <w:rPr>
          <w:spacing w:val="24"/>
          <w:highlight w:val="yellow"/>
        </w:rPr>
        <w:t xml:space="preserve"> </w:t>
      </w:r>
      <w:r w:rsidRPr="007929F1">
        <w:rPr>
          <w:spacing w:val="-1"/>
          <w:highlight w:val="yellow"/>
        </w:rPr>
        <w:t>Adjustment</w:t>
      </w:r>
      <w:r w:rsidRPr="007929F1">
        <w:rPr>
          <w:spacing w:val="26"/>
          <w:highlight w:val="yellow"/>
        </w:rPr>
        <w:t xml:space="preserve"> </w:t>
      </w:r>
      <w:r w:rsidRPr="007929F1">
        <w:rPr>
          <w:spacing w:val="-1"/>
          <w:highlight w:val="yellow"/>
        </w:rPr>
        <w:t>Date</w:t>
      </w:r>
      <w:r w:rsidRPr="007929F1">
        <w:rPr>
          <w:spacing w:val="24"/>
          <w:highlight w:val="yellow"/>
        </w:rPr>
        <w:t xml:space="preserve"> </w:t>
      </w:r>
      <w:r w:rsidRPr="007929F1">
        <w:rPr>
          <w:spacing w:val="-1"/>
          <w:highlight w:val="yellow"/>
        </w:rPr>
        <w:t>during</w:t>
      </w:r>
      <w:r w:rsidRPr="007929F1">
        <w:rPr>
          <w:spacing w:val="24"/>
          <w:highlight w:val="yellow"/>
        </w:rPr>
        <w:t xml:space="preserve"> </w:t>
      </w:r>
      <w:r w:rsidRPr="007929F1">
        <w:rPr>
          <w:highlight w:val="yellow"/>
        </w:rPr>
        <w:t>the</w:t>
      </w:r>
      <w:r w:rsidRPr="007929F1">
        <w:rPr>
          <w:spacing w:val="24"/>
          <w:highlight w:val="yellow"/>
        </w:rPr>
        <w:t xml:space="preserve"> </w:t>
      </w:r>
      <w:r w:rsidRPr="007929F1">
        <w:rPr>
          <w:spacing w:val="-2"/>
          <w:highlight w:val="yellow"/>
        </w:rPr>
        <w:t>Call</w:t>
      </w:r>
      <w:r w:rsidRPr="007929F1">
        <w:rPr>
          <w:spacing w:val="24"/>
          <w:highlight w:val="yellow"/>
        </w:rPr>
        <w:t xml:space="preserve"> </w:t>
      </w:r>
      <w:r w:rsidRPr="007929F1">
        <w:rPr>
          <w:highlight w:val="yellow"/>
        </w:rPr>
        <w:t>Off</w:t>
      </w:r>
      <w:r w:rsidRPr="007929F1">
        <w:rPr>
          <w:spacing w:val="23"/>
          <w:highlight w:val="yellow"/>
        </w:rPr>
        <w:t xml:space="preserve"> </w:t>
      </w:r>
      <w:r w:rsidRPr="007929F1">
        <w:rPr>
          <w:spacing w:val="-1"/>
          <w:highlight w:val="yellow"/>
        </w:rPr>
        <w:t>Contract</w:t>
      </w:r>
      <w:r w:rsidRPr="007929F1">
        <w:rPr>
          <w:spacing w:val="45"/>
          <w:highlight w:val="yellow"/>
        </w:rPr>
        <w:t xml:space="preserve"> </w:t>
      </w:r>
      <w:r w:rsidRPr="007929F1">
        <w:rPr>
          <w:spacing w:val="-1"/>
          <w:highlight w:val="yellow"/>
        </w:rPr>
        <w:t>Period.</w:t>
      </w:r>
    </w:p>
    <w:p w:rsidR="008918FA" w:rsidRPr="007929F1" w:rsidRDefault="008918FA" w:rsidP="008918FA">
      <w:pPr>
        <w:pStyle w:val="BodyText"/>
        <w:numPr>
          <w:ilvl w:val="1"/>
          <w:numId w:val="29"/>
        </w:numPr>
        <w:tabs>
          <w:tab w:val="left" w:pos="829"/>
        </w:tabs>
        <w:spacing w:before="121"/>
        <w:ind w:right="114"/>
        <w:jc w:val="both"/>
        <w:rPr>
          <w:highlight w:val="yellow"/>
        </w:rPr>
      </w:pPr>
      <w:r w:rsidRPr="007929F1">
        <w:rPr>
          <w:spacing w:val="1"/>
          <w:highlight w:val="yellow"/>
        </w:rPr>
        <w:t>To</w:t>
      </w:r>
      <w:r w:rsidRPr="007929F1">
        <w:rPr>
          <w:spacing w:val="10"/>
          <w:highlight w:val="yellow"/>
        </w:rPr>
        <w:t xml:space="preserve"> </w:t>
      </w:r>
      <w:r w:rsidRPr="007929F1">
        <w:rPr>
          <w:spacing w:val="-1"/>
          <w:highlight w:val="yellow"/>
        </w:rPr>
        <w:t>make</w:t>
      </w:r>
      <w:r w:rsidRPr="007929F1">
        <w:rPr>
          <w:spacing w:val="10"/>
          <w:highlight w:val="yellow"/>
        </w:rPr>
        <w:t xml:space="preserve"> </w:t>
      </w:r>
      <w:r w:rsidRPr="007929F1">
        <w:rPr>
          <w:highlight w:val="yellow"/>
        </w:rPr>
        <w:t>a</w:t>
      </w:r>
      <w:r w:rsidRPr="007929F1">
        <w:rPr>
          <w:spacing w:val="12"/>
          <w:highlight w:val="yellow"/>
        </w:rPr>
        <w:t xml:space="preserve"> </w:t>
      </w:r>
      <w:r w:rsidRPr="007929F1">
        <w:rPr>
          <w:spacing w:val="-1"/>
          <w:highlight w:val="yellow"/>
        </w:rPr>
        <w:t>request</w:t>
      </w:r>
      <w:r w:rsidRPr="007929F1">
        <w:rPr>
          <w:spacing w:val="9"/>
          <w:highlight w:val="yellow"/>
        </w:rPr>
        <w:t xml:space="preserve"> </w:t>
      </w:r>
      <w:r w:rsidRPr="007929F1">
        <w:rPr>
          <w:highlight w:val="yellow"/>
        </w:rPr>
        <w:t>for</w:t>
      </w:r>
      <w:r w:rsidRPr="007929F1">
        <w:rPr>
          <w:spacing w:val="14"/>
          <w:highlight w:val="yellow"/>
        </w:rPr>
        <w:t xml:space="preserve"> </w:t>
      </w:r>
      <w:r w:rsidRPr="007929F1">
        <w:rPr>
          <w:spacing w:val="-2"/>
          <w:highlight w:val="yellow"/>
        </w:rPr>
        <w:t>an</w:t>
      </w:r>
      <w:r w:rsidRPr="007929F1">
        <w:rPr>
          <w:spacing w:val="12"/>
          <w:highlight w:val="yellow"/>
        </w:rPr>
        <w:t xml:space="preserve"> </w:t>
      </w:r>
      <w:r w:rsidRPr="007929F1">
        <w:rPr>
          <w:spacing w:val="-1"/>
          <w:highlight w:val="yellow"/>
        </w:rPr>
        <w:t>increase</w:t>
      </w:r>
      <w:r w:rsidRPr="007929F1">
        <w:rPr>
          <w:spacing w:val="13"/>
          <w:highlight w:val="yellow"/>
        </w:rPr>
        <w:t xml:space="preserve"> </w:t>
      </w:r>
      <w:r w:rsidRPr="007929F1">
        <w:rPr>
          <w:spacing w:val="-2"/>
          <w:highlight w:val="yellow"/>
        </w:rPr>
        <w:t>of</w:t>
      </w:r>
      <w:r w:rsidRPr="007929F1">
        <w:rPr>
          <w:spacing w:val="14"/>
          <w:highlight w:val="yellow"/>
        </w:rPr>
        <w:t xml:space="preserve"> </w:t>
      </w:r>
      <w:r w:rsidRPr="007929F1">
        <w:rPr>
          <w:spacing w:val="-1"/>
          <w:highlight w:val="yellow"/>
        </w:rPr>
        <w:t>some</w:t>
      </w:r>
      <w:r w:rsidRPr="007929F1">
        <w:rPr>
          <w:spacing w:val="12"/>
          <w:highlight w:val="yellow"/>
        </w:rPr>
        <w:t xml:space="preserve"> </w:t>
      </w:r>
      <w:r w:rsidRPr="007929F1">
        <w:rPr>
          <w:spacing w:val="-2"/>
          <w:highlight w:val="yellow"/>
        </w:rPr>
        <w:t>or</w:t>
      </w:r>
      <w:r w:rsidRPr="007929F1">
        <w:rPr>
          <w:spacing w:val="14"/>
          <w:highlight w:val="yellow"/>
        </w:rPr>
        <w:t xml:space="preserve"> </w:t>
      </w:r>
      <w:r w:rsidRPr="007929F1">
        <w:rPr>
          <w:spacing w:val="-2"/>
          <w:highlight w:val="yellow"/>
        </w:rPr>
        <w:t>all</w:t>
      </w:r>
      <w:r w:rsidRPr="007929F1">
        <w:rPr>
          <w:spacing w:val="12"/>
          <w:highlight w:val="yellow"/>
        </w:rPr>
        <w:t xml:space="preserve"> </w:t>
      </w:r>
      <w:r w:rsidRPr="007929F1">
        <w:rPr>
          <w:spacing w:val="-2"/>
          <w:highlight w:val="yellow"/>
        </w:rPr>
        <w:t>of</w:t>
      </w:r>
      <w:r w:rsidRPr="007929F1">
        <w:rPr>
          <w:spacing w:val="16"/>
          <w:highlight w:val="yellow"/>
        </w:rPr>
        <w:t xml:space="preserve"> </w:t>
      </w:r>
      <w:r w:rsidRPr="007929F1">
        <w:rPr>
          <w:highlight w:val="yellow"/>
        </w:rPr>
        <w:t>the</w:t>
      </w:r>
      <w:r w:rsidRPr="007929F1">
        <w:rPr>
          <w:spacing w:val="10"/>
          <w:highlight w:val="yellow"/>
        </w:rPr>
        <w:t xml:space="preserve"> </w:t>
      </w:r>
      <w:r w:rsidRPr="007929F1">
        <w:rPr>
          <w:spacing w:val="-2"/>
          <w:highlight w:val="yellow"/>
        </w:rPr>
        <w:t>Call</w:t>
      </w:r>
      <w:r w:rsidRPr="007929F1">
        <w:rPr>
          <w:spacing w:val="12"/>
          <w:highlight w:val="yellow"/>
        </w:rPr>
        <w:t xml:space="preserve"> </w:t>
      </w:r>
      <w:r w:rsidRPr="007929F1">
        <w:rPr>
          <w:spacing w:val="-1"/>
          <w:highlight w:val="yellow"/>
        </w:rPr>
        <w:t>Off</w:t>
      </w:r>
      <w:r w:rsidRPr="007929F1">
        <w:rPr>
          <w:spacing w:val="14"/>
          <w:highlight w:val="yellow"/>
        </w:rPr>
        <w:t xml:space="preserve"> </w:t>
      </w:r>
      <w:r w:rsidRPr="007929F1">
        <w:rPr>
          <w:spacing w:val="-2"/>
          <w:highlight w:val="yellow"/>
        </w:rPr>
        <w:t>Contract</w:t>
      </w:r>
      <w:r w:rsidRPr="007929F1">
        <w:rPr>
          <w:spacing w:val="11"/>
          <w:highlight w:val="yellow"/>
        </w:rPr>
        <w:t xml:space="preserve"> </w:t>
      </w:r>
      <w:r w:rsidRPr="007929F1">
        <w:rPr>
          <w:spacing w:val="-1"/>
          <w:highlight w:val="yellow"/>
        </w:rPr>
        <w:t>Charges</w:t>
      </w:r>
      <w:r w:rsidRPr="007929F1">
        <w:rPr>
          <w:spacing w:val="48"/>
          <w:highlight w:val="yellow"/>
        </w:rPr>
        <w:t xml:space="preserve"> </w:t>
      </w:r>
      <w:r w:rsidRPr="007929F1">
        <w:rPr>
          <w:spacing w:val="-1"/>
          <w:highlight w:val="yellow"/>
        </w:rPr>
        <w:t>in</w:t>
      </w:r>
      <w:r w:rsidRPr="007929F1">
        <w:rPr>
          <w:highlight w:val="yellow"/>
        </w:rPr>
        <w:t xml:space="preserve"> </w:t>
      </w:r>
      <w:r w:rsidRPr="007929F1">
        <w:rPr>
          <w:spacing w:val="-1"/>
          <w:highlight w:val="yellow"/>
        </w:rPr>
        <w:t>accordance</w:t>
      </w:r>
      <w:r w:rsidRPr="007929F1">
        <w:rPr>
          <w:spacing w:val="-2"/>
          <w:highlight w:val="yellow"/>
        </w:rPr>
        <w:t xml:space="preserve"> with</w:t>
      </w:r>
      <w:r w:rsidRPr="007929F1">
        <w:rPr>
          <w:highlight w:val="yellow"/>
        </w:rPr>
        <w:t xml:space="preserve"> </w:t>
      </w:r>
      <w:r w:rsidRPr="007929F1">
        <w:rPr>
          <w:spacing w:val="-1"/>
          <w:highlight w:val="yellow"/>
        </w:rPr>
        <w:t>this</w:t>
      </w:r>
      <w:r w:rsidRPr="007929F1">
        <w:rPr>
          <w:spacing w:val="1"/>
          <w:highlight w:val="yellow"/>
        </w:rPr>
        <w:t xml:space="preserve"> </w:t>
      </w:r>
      <w:r w:rsidRPr="007929F1">
        <w:rPr>
          <w:spacing w:val="-1"/>
          <w:highlight w:val="yellow"/>
        </w:rPr>
        <w:t xml:space="preserve">paragraph </w:t>
      </w:r>
      <w:hyperlink w:anchor="_bookmark299" w:history="1">
        <w:r w:rsidRPr="007929F1">
          <w:rPr>
            <w:spacing w:val="-1"/>
            <w:highlight w:val="yellow"/>
          </w:rPr>
          <w:t>9</w:t>
        </w:r>
      </w:hyperlink>
      <w:r w:rsidRPr="007929F1">
        <w:rPr>
          <w:spacing w:val="-1"/>
          <w:highlight w:val="yellow"/>
        </w:rPr>
        <w:t>,</w:t>
      </w:r>
      <w:r w:rsidRPr="007929F1">
        <w:rPr>
          <w:highlight w:val="yellow"/>
        </w:rPr>
        <w:t xml:space="preserve"> the</w:t>
      </w:r>
      <w:r w:rsidRPr="007929F1">
        <w:rPr>
          <w:spacing w:val="-2"/>
          <w:highlight w:val="yellow"/>
        </w:rPr>
        <w:t xml:space="preserve"> Supplier</w:t>
      </w:r>
      <w:r w:rsidRPr="007929F1">
        <w:rPr>
          <w:spacing w:val="-1"/>
          <w:highlight w:val="yellow"/>
        </w:rPr>
        <w:t xml:space="preserve"> shall</w:t>
      </w:r>
      <w:r w:rsidRPr="007929F1">
        <w:rPr>
          <w:highlight w:val="yellow"/>
        </w:rPr>
        <w:t xml:space="preserve"> </w:t>
      </w:r>
      <w:r w:rsidRPr="007929F1">
        <w:rPr>
          <w:spacing w:val="-2"/>
          <w:highlight w:val="yellow"/>
        </w:rPr>
        <w:t>provide</w:t>
      </w:r>
      <w:r w:rsidRPr="007929F1">
        <w:rPr>
          <w:highlight w:val="yellow"/>
        </w:rPr>
        <w:t xml:space="preserve"> the </w:t>
      </w:r>
      <w:r w:rsidRPr="007929F1">
        <w:rPr>
          <w:spacing w:val="-2"/>
          <w:highlight w:val="yellow"/>
        </w:rPr>
        <w:t>Customer</w:t>
      </w:r>
      <w:r w:rsidRPr="007929F1">
        <w:rPr>
          <w:spacing w:val="2"/>
          <w:highlight w:val="yellow"/>
        </w:rPr>
        <w:t xml:space="preserve"> </w:t>
      </w:r>
      <w:r w:rsidRPr="007929F1">
        <w:rPr>
          <w:spacing w:val="-2"/>
          <w:highlight w:val="yellow"/>
        </w:rPr>
        <w:t>with:</w:t>
      </w:r>
    </w:p>
    <w:p w:rsidR="008918FA" w:rsidRPr="007929F1" w:rsidRDefault="008918FA" w:rsidP="008918FA">
      <w:pPr>
        <w:spacing w:before="9"/>
        <w:rPr>
          <w:rFonts w:ascii="Arial" w:eastAsia="Arial" w:hAnsi="Arial" w:cs="Arial"/>
          <w:sz w:val="10"/>
          <w:szCs w:val="10"/>
          <w:highlight w:val="yellow"/>
        </w:rPr>
      </w:pPr>
    </w:p>
    <w:p w:rsidR="008918FA" w:rsidRPr="007929F1" w:rsidRDefault="008918FA" w:rsidP="008918FA">
      <w:pPr>
        <w:spacing w:line="200" w:lineRule="atLeast"/>
        <w:ind w:left="1032"/>
        <w:rPr>
          <w:rFonts w:ascii="Arial" w:eastAsia="Arial" w:hAnsi="Arial" w:cs="Arial"/>
          <w:sz w:val="20"/>
          <w:szCs w:val="20"/>
          <w:highlight w:val="yellow"/>
        </w:rPr>
      </w:pPr>
      <w:r w:rsidRPr="007929F1">
        <w:rPr>
          <w:rFonts w:ascii="Arial" w:eastAsia="Arial" w:hAnsi="Arial" w:cs="Arial"/>
          <w:noProof/>
          <w:sz w:val="20"/>
          <w:szCs w:val="20"/>
          <w:highlight w:val="yellow"/>
          <w:lang w:eastAsia="en-GB"/>
        </w:rPr>
        <mc:AlternateContent>
          <mc:Choice Requires="wps">
            <w:drawing>
              <wp:inline distT="0" distB="0" distL="0" distR="0" wp14:anchorId="5EFC6E82" wp14:editId="15285CE7">
                <wp:extent cx="4157980" cy="160020"/>
                <wp:effectExtent l="0" t="0" r="4445" b="1905"/>
                <wp:docPr id="3533" name="Text Box 3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993"/>
                              </w:tabs>
                              <w:spacing w:line="251" w:lineRule="exact"/>
                              <w:rPr>
                                <w:rFonts w:ascii="Arial" w:eastAsia="Arial" w:hAnsi="Arial" w:cs="Arial"/>
                              </w:rPr>
                            </w:pPr>
                            <w:r>
                              <w:rPr>
                                <w:rFonts w:ascii="Arial"/>
                              </w:rPr>
                              <w:t>9.3.1</w:t>
                            </w:r>
                            <w:r>
                              <w:rPr>
                                <w:rFonts w:ascii="Arial"/>
                              </w:rPr>
                              <w:tab/>
                              <w:t xml:space="preserve">a </w:t>
                            </w:r>
                            <w:r>
                              <w:rPr>
                                <w:rFonts w:ascii="Arial"/>
                                <w:spacing w:val="-2"/>
                              </w:rPr>
                              <w:t>list</w:t>
                            </w:r>
                            <w:r>
                              <w:rPr>
                                <w:rFonts w:ascii="Arial"/>
                                <w:spacing w:val="2"/>
                              </w:rPr>
                              <w:t xml:space="preserve"> </w:t>
                            </w:r>
                            <w:r>
                              <w:rPr>
                                <w:rFonts w:ascii="Arial"/>
                                <w:spacing w:val="-2"/>
                              </w:rPr>
                              <w:t>of</w:t>
                            </w:r>
                            <w:r>
                              <w:rPr>
                                <w:rFonts w:ascii="Arial"/>
                              </w:rPr>
                              <w:t xml:space="preserve"> the </w:t>
                            </w:r>
                            <w:r>
                              <w:rPr>
                                <w:rFonts w:ascii="Arial"/>
                                <w:spacing w:val="-2"/>
                              </w:rPr>
                              <w:t>Call</w:t>
                            </w:r>
                            <w:r>
                              <w:rPr>
                                <w:rFonts w:ascii="Arial"/>
                                <w:spacing w:val="-3"/>
                              </w:rPr>
                              <w:t xml:space="preserve"> </w:t>
                            </w:r>
                            <w:r>
                              <w:rPr>
                                <w:rFonts w:ascii="Arial"/>
                                <w:spacing w:val="-1"/>
                              </w:rPr>
                              <w:t>Off</w:t>
                            </w:r>
                            <w:r>
                              <w:rPr>
                                <w:rFonts w:ascii="Arial"/>
                                <w:spacing w:val="2"/>
                              </w:rPr>
                              <w:t xml:space="preserve"> </w:t>
                            </w:r>
                            <w:r>
                              <w:rPr>
                                <w:rFonts w:ascii="Arial"/>
                                <w:spacing w:val="-1"/>
                              </w:rPr>
                              <w:t>Contract</w:t>
                            </w:r>
                            <w:r>
                              <w:rPr>
                                <w:rFonts w:ascii="Arial"/>
                              </w:rPr>
                              <w:t xml:space="preserve"> </w:t>
                            </w:r>
                            <w:r>
                              <w:rPr>
                                <w:rFonts w:ascii="Arial"/>
                                <w:spacing w:val="-1"/>
                              </w:rPr>
                              <w:t>Charges</w:t>
                            </w:r>
                            <w:r>
                              <w:rPr>
                                <w:rFonts w:ascii="Arial"/>
                                <w:spacing w:val="-2"/>
                              </w:rPr>
                              <w:t xml:space="preserve"> </w:t>
                            </w:r>
                            <w:r>
                              <w:rPr>
                                <w:rFonts w:ascii="Arial"/>
                                <w:spacing w:val="-1"/>
                              </w:rPr>
                              <w:t>it</w:t>
                            </w:r>
                            <w:r>
                              <w:rPr>
                                <w:rFonts w:ascii="Arial"/>
                                <w:spacing w:val="2"/>
                              </w:rPr>
                              <w:t xml:space="preserve"> </w:t>
                            </w:r>
                            <w:r>
                              <w:rPr>
                                <w:rFonts w:ascii="Arial"/>
                                <w:spacing w:val="-2"/>
                              </w:rPr>
                              <w:t>wishes</w:t>
                            </w:r>
                            <w:r>
                              <w:rPr>
                                <w:rFonts w:ascii="Arial"/>
                                <w:spacing w:val="1"/>
                              </w:rPr>
                              <w:t xml:space="preserve"> </w:t>
                            </w:r>
                            <w:r>
                              <w:rPr>
                                <w:rFonts w:ascii="Arial"/>
                              </w:rPr>
                              <w:t>to</w:t>
                            </w:r>
                            <w:r>
                              <w:rPr>
                                <w:rFonts w:ascii="Arial"/>
                                <w:spacing w:val="-2"/>
                              </w:rPr>
                              <w:t xml:space="preserve"> review;</w:t>
                            </w:r>
                          </w:p>
                        </w:txbxContent>
                      </wps:txbx>
                      <wps:bodyPr rot="0" vert="horz" wrap="square" lIns="0" tIns="0" rIns="0" bIns="0" anchor="t" anchorCtr="0" upright="1">
                        <a:noAutofit/>
                      </wps:bodyPr>
                    </wps:wsp>
                  </a:graphicData>
                </a:graphic>
              </wp:inline>
            </w:drawing>
          </mc:Choice>
          <mc:Fallback>
            <w:pict>
              <v:shape w14:anchorId="5EFC6E82" id="Text Box 3525" o:spid="_x0000_s1218" type="#_x0000_t202" style="width:327.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" fillcolor="yellow" stroked="f">
                <v:textbox inset="0,0,0,0">
                  <w:txbxContent>
                    <w:p w:rsidR="005D2B81" w:rsidRDefault="005D2B81" w:rsidP="008918FA">
                      <w:pPr>
                        <w:tabs>
                          <w:tab w:val="left" w:pos="993"/>
                        </w:tabs>
                        <w:spacing w:line="251" w:lineRule="exact"/>
                        <w:rPr>
                          <w:rFonts w:ascii="Arial" w:eastAsia="Arial" w:hAnsi="Arial" w:cs="Arial"/>
                        </w:rPr>
                      </w:pPr>
                      <w:r>
                        <w:rPr>
                          <w:rFonts w:ascii="Arial"/>
                        </w:rPr>
                        <w:t>9.3.1</w:t>
                      </w:r>
                      <w:r>
                        <w:rPr>
                          <w:rFonts w:ascii="Arial"/>
                        </w:rPr>
                        <w:tab/>
                        <w:t xml:space="preserve">a </w:t>
                      </w:r>
                      <w:r>
                        <w:rPr>
                          <w:rFonts w:ascii="Arial"/>
                          <w:spacing w:val="-2"/>
                        </w:rPr>
                        <w:t>list</w:t>
                      </w:r>
                      <w:r>
                        <w:rPr>
                          <w:rFonts w:ascii="Arial"/>
                          <w:spacing w:val="2"/>
                        </w:rPr>
                        <w:t xml:space="preserve"> </w:t>
                      </w:r>
                      <w:r>
                        <w:rPr>
                          <w:rFonts w:ascii="Arial"/>
                          <w:spacing w:val="-2"/>
                        </w:rPr>
                        <w:t>of</w:t>
                      </w:r>
                      <w:r>
                        <w:rPr>
                          <w:rFonts w:ascii="Arial"/>
                        </w:rPr>
                        <w:t xml:space="preserve"> the </w:t>
                      </w:r>
                      <w:r>
                        <w:rPr>
                          <w:rFonts w:ascii="Arial"/>
                          <w:spacing w:val="-2"/>
                        </w:rPr>
                        <w:t>Call</w:t>
                      </w:r>
                      <w:r>
                        <w:rPr>
                          <w:rFonts w:ascii="Arial"/>
                          <w:spacing w:val="-3"/>
                        </w:rPr>
                        <w:t xml:space="preserve"> </w:t>
                      </w:r>
                      <w:r>
                        <w:rPr>
                          <w:rFonts w:ascii="Arial"/>
                          <w:spacing w:val="-1"/>
                        </w:rPr>
                        <w:t>Off</w:t>
                      </w:r>
                      <w:r>
                        <w:rPr>
                          <w:rFonts w:ascii="Arial"/>
                          <w:spacing w:val="2"/>
                        </w:rPr>
                        <w:t xml:space="preserve"> </w:t>
                      </w:r>
                      <w:r>
                        <w:rPr>
                          <w:rFonts w:ascii="Arial"/>
                          <w:spacing w:val="-1"/>
                        </w:rPr>
                        <w:t>Contract</w:t>
                      </w:r>
                      <w:r>
                        <w:rPr>
                          <w:rFonts w:ascii="Arial"/>
                        </w:rPr>
                        <w:t xml:space="preserve"> </w:t>
                      </w:r>
                      <w:r>
                        <w:rPr>
                          <w:rFonts w:ascii="Arial"/>
                          <w:spacing w:val="-1"/>
                        </w:rPr>
                        <w:t>Charges</w:t>
                      </w:r>
                      <w:r>
                        <w:rPr>
                          <w:rFonts w:ascii="Arial"/>
                          <w:spacing w:val="-2"/>
                        </w:rPr>
                        <w:t xml:space="preserve"> </w:t>
                      </w:r>
                      <w:r>
                        <w:rPr>
                          <w:rFonts w:ascii="Arial"/>
                          <w:spacing w:val="-1"/>
                        </w:rPr>
                        <w:t>it</w:t>
                      </w:r>
                      <w:r>
                        <w:rPr>
                          <w:rFonts w:ascii="Arial"/>
                          <w:spacing w:val="2"/>
                        </w:rPr>
                        <w:t xml:space="preserve"> </w:t>
                      </w:r>
                      <w:r>
                        <w:rPr>
                          <w:rFonts w:ascii="Arial"/>
                          <w:spacing w:val="-2"/>
                        </w:rPr>
                        <w:t>wishes</w:t>
                      </w:r>
                      <w:r>
                        <w:rPr>
                          <w:rFonts w:ascii="Arial"/>
                          <w:spacing w:val="1"/>
                        </w:rPr>
                        <w:t xml:space="preserve"> </w:t>
                      </w:r>
                      <w:r>
                        <w:rPr>
                          <w:rFonts w:ascii="Arial"/>
                        </w:rPr>
                        <w:t>to</w:t>
                      </w:r>
                      <w:r>
                        <w:rPr>
                          <w:rFonts w:ascii="Arial"/>
                          <w:spacing w:val="-2"/>
                        </w:rPr>
                        <w:t xml:space="preserve"> review;</w:t>
                      </w:r>
                    </w:p>
                  </w:txbxContent>
                </v:textbox>
                <w10:anchorlock/>
              </v:shape>
            </w:pict>
          </mc:Fallback>
        </mc:AlternateContent>
      </w:r>
    </w:p>
    <w:p w:rsidR="008918FA" w:rsidRPr="007929F1" w:rsidRDefault="008918FA" w:rsidP="008918FA">
      <w:pPr>
        <w:pStyle w:val="BodyText"/>
        <w:numPr>
          <w:ilvl w:val="2"/>
          <w:numId w:val="29"/>
        </w:numPr>
        <w:tabs>
          <w:tab w:val="left" w:pos="2027"/>
        </w:tabs>
        <w:spacing w:before="117"/>
        <w:ind w:right="116"/>
        <w:jc w:val="both"/>
        <w:rPr>
          <w:highlight w:val="yellow"/>
        </w:rPr>
      </w:pPr>
      <w:r w:rsidRPr="007929F1">
        <w:rPr>
          <w:highlight w:val="yellow"/>
        </w:rPr>
        <w:t>for</w:t>
      </w:r>
      <w:r w:rsidRPr="007929F1">
        <w:rPr>
          <w:spacing w:val="24"/>
          <w:highlight w:val="yellow"/>
        </w:rPr>
        <w:t xml:space="preserve"> </w:t>
      </w:r>
      <w:r w:rsidRPr="007929F1">
        <w:rPr>
          <w:spacing w:val="-2"/>
          <w:highlight w:val="yellow"/>
        </w:rPr>
        <w:t>each</w:t>
      </w:r>
      <w:r w:rsidRPr="007929F1">
        <w:rPr>
          <w:spacing w:val="23"/>
          <w:highlight w:val="yellow"/>
        </w:rPr>
        <w:t xml:space="preserve"> </w:t>
      </w:r>
      <w:r w:rsidRPr="007929F1">
        <w:rPr>
          <w:spacing w:val="-2"/>
          <w:highlight w:val="yellow"/>
        </w:rPr>
        <w:t>of</w:t>
      </w:r>
      <w:r w:rsidRPr="007929F1">
        <w:rPr>
          <w:spacing w:val="25"/>
          <w:highlight w:val="yellow"/>
        </w:rPr>
        <w:t xml:space="preserve"> </w:t>
      </w:r>
      <w:r w:rsidRPr="007929F1">
        <w:rPr>
          <w:highlight w:val="yellow"/>
        </w:rPr>
        <w:t>the</w:t>
      </w:r>
      <w:r w:rsidRPr="007929F1">
        <w:rPr>
          <w:spacing w:val="23"/>
          <w:highlight w:val="yellow"/>
        </w:rPr>
        <w:t xml:space="preserve"> </w:t>
      </w:r>
      <w:r w:rsidRPr="007929F1">
        <w:rPr>
          <w:spacing w:val="-2"/>
          <w:highlight w:val="yellow"/>
        </w:rPr>
        <w:t>Call</w:t>
      </w:r>
      <w:r w:rsidRPr="007929F1">
        <w:rPr>
          <w:spacing w:val="20"/>
          <w:highlight w:val="yellow"/>
        </w:rPr>
        <w:t xml:space="preserve"> </w:t>
      </w:r>
      <w:r w:rsidRPr="007929F1">
        <w:rPr>
          <w:spacing w:val="-1"/>
          <w:highlight w:val="yellow"/>
        </w:rPr>
        <w:t>Off</w:t>
      </w:r>
      <w:r w:rsidRPr="007929F1">
        <w:rPr>
          <w:spacing w:val="25"/>
          <w:highlight w:val="yellow"/>
        </w:rPr>
        <w:t xml:space="preserve"> </w:t>
      </w:r>
      <w:r w:rsidRPr="007929F1">
        <w:rPr>
          <w:spacing w:val="-2"/>
          <w:highlight w:val="yellow"/>
        </w:rPr>
        <w:t>Contract</w:t>
      </w:r>
      <w:r w:rsidRPr="007929F1">
        <w:rPr>
          <w:spacing w:val="25"/>
          <w:highlight w:val="yellow"/>
        </w:rPr>
        <w:t xml:space="preserve"> </w:t>
      </w:r>
      <w:r w:rsidRPr="007929F1">
        <w:rPr>
          <w:spacing w:val="-1"/>
          <w:highlight w:val="yellow"/>
        </w:rPr>
        <w:t>Charges</w:t>
      </w:r>
      <w:r w:rsidRPr="007929F1">
        <w:rPr>
          <w:spacing w:val="19"/>
          <w:highlight w:val="yellow"/>
        </w:rPr>
        <w:t xml:space="preserve"> </w:t>
      </w:r>
      <w:r w:rsidRPr="007929F1">
        <w:rPr>
          <w:spacing w:val="-1"/>
          <w:highlight w:val="yellow"/>
        </w:rPr>
        <w:t>under</w:t>
      </w:r>
      <w:r w:rsidRPr="007929F1">
        <w:rPr>
          <w:spacing w:val="24"/>
          <w:highlight w:val="yellow"/>
        </w:rPr>
        <w:t xml:space="preserve"> </w:t>
      </w:r>
      <w:r w:rsidRPr="007929F1">
        <w:rPr>
          <w:spacing w:val="-2"/>
          <w:highlight w:val="yellow"/>
        </w:rPr>
        <w:t>review,</w:t>
      </w:r>
      <w:r w:rsidRPr="007929F1">
        <w:rPr>
          <w:spacing w:val="25"/>
          <w:highlight w:val="yellow"/>
        </w:rPr>
        <w:t xml:space="preserve"> </w:t>
      </w:r>
      <w:r w:rsidRPr="007929F1">
        <w:rPr>
          <w:spacing w:val="-1"/>
          <w:highlight w:val="yellow"/>
        </w:rPr>
        <w:t>written</w:t>
      </w:r>
      <w:r w:rsidRPr="007929F1">
        <w:rPr>
          <w:spacing w:val="51"/>
          <w:highlight w:val="yellow"/>
        </w:rPr>
        <w:t xml:space="preserve"> </w:t>
      </w:r>
      <w:r w:rsidRPr="007929F1">
        <w:rPr>
          <w:spacing w:val="-2"/>
          <w:highlight w:val="yellow"/>
        </w:rPr>
        <w:t>evidence</w:t>
      </w:r>
      <w:r w:rsidRPr="007929F1">
        <w:rPr>
          <w:spacing w:val="1"/>
          <w:highlight w:val="yellow"/>
        </w:rPr>
        <w:t xml:space="preserve"> </w:t>
      </w:r>
      <w:r w:rsidRPr="007929F1">
        <w:rPr>
          <w:spacing w:val="-1"/>
          <w:highlight w:val="yellow"/>
        </w:rPr>
        <w:t>of</w:t>
      </w:r>
      <w:r w:rsidRPr="007929F1">
        <w:rPr>
          <w:spacing w:val="2"/>
          <w:highlight w:val="yellow"/>
        </w:rPr>
        <w:t xml:space="preserve"> </w:t>
      </w:r>
      <w:r w:rsidRPr="007929F1">
        <w:rPr>
          <w:highlight w:val="yellow"/>
        </w:rPr>
        <w:t>the</w:t>
      </w:r>
      <w:r w:rsidRPr="007929F1">
        <w:rPr>
          <w:spacing w:val="-2"/>
          <w:highlight w:val="yellow"/>
        </w:rPr>
        <w:t xml:space="preserve"> </w:t>
      </w:r>
      <w:r w:rsidRPr="007929F1">
        <w:rPr>
          <w:spacing w:val="-1"/>
          <w:highlight w:val="yellow"/>
        </w:rPr>
        <w:t>justification</w:t>
      </w:r>
      <w:r w:rsidRPr="007929F1">
        <w:rPr>
          <w:spacing w:val="-2"/>
          <w:highlight w:val="yellow"/>
        </w:rPr>
        <w:t xml:space="preserve"> </w:t>
      </w:r>
      <w:r w:rsidRPr="007929F1">
        <w:rPr>
          <w:highlight w:val="yellow"/>
        </w:rPr>
        <w:t>for</w:t>
      </w:r>
      <w:r w:rsidRPr="007929F1">
        <w:rPr>
          <w:spacing w:val="-1"/>
          <w:highlight w:val="yellow"/>
        </w:rPr>
        <w:t xml:space="preserve"> </w:t>
      </w:r>
      <w:r w:rsidRPr="007929F1">
        <w:rPr>
          <w:highlight w:val="yellow"/>
        </w:rPr>
        <w:t>the</w:t>
      </w:r>
      <w:r w:rsidRPr="007929F1">
        <w:rPr>
          <w:spacing w:val="-2"/>
          <w:highlight w:val="yellow"/>
        </w:rPr>
        <w:t xml:space="preserve"> </w:t>
      </w:r>
      <w:r w:rsidRPr="007929F1">
        <w:rPr>
          <w:spacing w:val="-1"/>
          <w:highlight w:val="yellow"/>
        </w:rPr>
        <w:t>requested</w:t>
      </w:r>
      <w:r w:rsidRPr="007929F1">
        <w:rPr>
          <w:spacing w:val="-2"/>
          <w:highlight w:val="yellow"/>
        </w:rPr>
        <w:t xml:space="preserve"> increase</w:t>
      </w:r>
      <w:r w:rsidRPr="007929F1">
        <w:rPr>
          <w:spacing w:val="1"/>
          <w:highlight w:val="yellow"/>
        </w:rPr>
        <w:t xml:space="preserve"> </w:t>
      </w:r>
      <w:r w:rsidRPr="007929F1">
        <w:rPr>
          <w:spacing w:val="-1"/>
          <w:highlight w:val="yellow"/>
        </w:rPr>
        <w:t>including:</w:t>
      </w:r>
    </w:p>
    <w:p w:rsidR="008918FA" w:rsidRPr="007929F1" w:rsidRDefault="008918FA" w:rsidP="008918FA">
      <w:pPr>
        <w:pStyle w:val="BodyText"/>
        <w:numPr>
          <w:ilvl w:val="3"/>
          <w:numId w:val="29"/>
        </w:numPr>
        <w:tabs>
          <w:tab w:val="left" w:pos="2735"/>
        </w:tabs>
        <w:ind w:right="113"/>
        <w:jc w:val="both"/>
        <w:rPr>
          <w:highlight w:val="yellow"/>
        </w:rPr>
      </w:pPr>
      <w:r w:rsidRPr="007929F1">
        <w:rPr>
          <w:spacing w:val="-2"/>
          <w:highlight w:val="yellow"/>
        </w:rPr>
        <w:t>evidence</w:t>
      </w:r>
      <w:r w:rsidRPr="007929F1">
        <w:rPr>
          <w:spacing w:val="1"/>
          <w:highlight w:val="yellow"/>
        </w:rPr>
        <w:t xml:space="preserve"> </w:t>
      </w:r>
      <w:r w:rsidRPr="007929F1">
        <w:rPr>
          <w:spacing w:val="-1"/>
          <w:highlight w:val="yellow"/>
        </w:rPr>
        <w:t>that</w:t>
      </w:r>
      <w:r w:rsidRPr="007929F1">
        <w:rPr>
          <w:highlight w:val="yellow"/>
        </w:rPr>
        <w:t xml:space="preserve"> the </w:t>
      </w:r>
      <w:r w:rsidRPr="007929F1">
        <w:rPr>
          <w:spacing w:val="-2"/>
          <w:highlight w:val="yellow"/>
        </w:rPr>
        <w:t>Supplier</w:t>
      </w:r>
      <w:r w:rsidRPr="007929F1">
        <w:rPr>
          <w:spacing w:val="2"/>
          <w:highlight w:val="yellow"/>
        </w:rPr>
        <w:t xml:space="preserve"> </w:t>
      </w:r>
      <w:r w:rsidRPr="007929F1">
        <w:rPr>
          <w:spacing w:val="-1"/>
          <w:highlight w:val="yellow"/>
        </w:rPr>
        <w:t>has</w:t>
      </w:r>
      <w:r w:rsidRPr="007929F1">
        <w:rPr>
          <w:spacing w:val="-2"/>
          <w:highlight w:val="yellow"/>
        </w:rPr>
        <w:t xml:space="preserve"> </w:t>
      </w:r>
      <w:r w:rsidRPr="007929F1">
        <w:rPr>
          <w:spacing w:val="-1"/>
          <w:highlight w:val="yellow"/>
        </w:rPr>
        <w:t>attempted</w:t>
      </w:r>
      <w:r w:rsidRPr="007929F1">
        <w:rPr>
          <w:spacing w:val="-2"/>
          <w:highlight w:val="yellow"/>
        </w:rPr>
        <w:t xml:space="preserve"> </w:t>
      </w:r>
      <w:r w:rsidRPr="007929F1">
        <w:rPr>
          <w:highlight w:val="yellow"/>
        </w:rPr>
        <w:t>to</w:t>
      </w:r>
      <w:r w:rsidRPr="007929F1">
        <w:rPr>
          <w:spacing w:val="-2"/>
          <w:highlight w:val="yellow"/>
        </w:rPr>
        <w:t xml:space="preserve"> </w:t>
      </w:r>
      <w:r w:rsidRPr="007929F1">
        <w:rPr>
          <w:spacing w:val="-1"/>
          <w:highlight w:val="yellow"/>
        </w:rPr>
        <w:t>mitigate</w:t>
      </w:r>
      <w:r w:rsidRPr="007929F1">
        <w:rPr>
          <w:highlight w:val="yellow"/>
        </w:rPr>
        <w:t xml:space="preserve"> </w:t>
      </w:r>
      <w:r w:rsidRPr="007929F1">
        <w:rPr>
          <w:spacing w:val="-1"/>
          <w:highlight w:val="yellow"/>
        </w:rPr>
        <w:t>against</w:t>
      </w:r>
      <w:r w:rsidRPr="007929F1">
        <w:rPr>
          <w:highlight w:val="yellow"/>
        </w:rPr>
        <w:t xml:space="preserve"> </w:t>
      </w:r>
      <w:r w:rsidRPr="007929F1">
        <w:rPr>
          <w:spacing w:val="-1"/>
          <w:highlight w:val="yellow"/>
        </w:rPr>
        <w:t>the</w:t>
      </w:r>
      <w:r w:rsidRPr="007929F1">
        <w:rPr>
          <w:spacing w:val="52"/>
          <w:highlight w:val="yellow"/>
        </w:rPr>
        <w:t xml:space="preserve"> </w:t>
      </w:r>
      <w:r w:rsidRPr="007929F1">
        <w:rPr>
          <w:spacing w:val="-1"/>
          <w:highlight w:val="yellow"/>
        </w:rPr>
        <w:t>increase</w:t>
      </w:r>
      <w:r w:rsidRPr="007929F1">
        <w:rPr>
          <w:spacing w:val="1"/>
          <w:highlight w:val="yellow"/>
        </w:rPr>
        <w:t xml:space="preserve"> </w:t>
      </w:r>
      <w:r w:rsidRPr="007929F1">
        <w:rPr>
          <w:spacing w:val="-1"/>
          <w:highlight w:val="yellow"/>
        </w:rPr>
        <w:t>in</w:t>
      </w:r>
      <w:r w:rsidRPr="007929F1">
        <w:rPr>
          <w:spacing w:val="-2"/>
          <w:highlight w:val="yellow"/>
        </w:rPr>
        <w:t xml:space="preserve"> </w:t>
      </w:r>
      <w:r w:rsidRPr="007929F1">
        <w:rPr>
          <w:highlight w:val="yellow"/>
        </w:rPr>
        <w:t>the</w:t>
      </w:r>
      <w:r w:rsidRPr="007929F1">
        <w:rPr>
          <w:spacing w:val="-2"/>
          <w:highlight w:val="yellow"/>
        </w:rPr>
        <w:t xml:space="preserve"> relevant</w:t>
      </w:r>
      <w:r w:rsidRPr="007929F1">
        <w:rPr>
          <w:spacing w:val="2"/>
          <w:highlight w:val="yellow"/>
        </w:rPr>
        <w:t xml:space="preserve"> </w:t>
      </w:r>
      <w:r w:rsidRPr="007929F1">
        <w:rPr>
          <w:spacing w:val="-2"/>
          <w:highlight w:val="yellow"/>
        </w:rPr>
        <w:t>cost</w:t>
      </w:r>
      <w:r w:rsidRPr="007929F1">
        <w:rPr>
          <w:spacing w:val="2"/>
          <w:highlight w:val="yellow"/>
        </w:rPr>
        <w:t xml:space="preserve"> </w:t>
      </w:r>
      <w:r w:rsidRPr="007929F1">
        <w:rPr>
          <w:spacing w:val="-1"/>
          <w:highlight w:val="yellow"/>
        </w:rPr>
        <w:t>components;</w:t>
      </w:r>
      <w:r w:rsidRPr="007929F1">
        <w:rPr>
          <w:highlight w:val="yellow"/>
        </w:rPr>
        <w:t xml:space="preserve"> </w:t>
      </w:r>
      <w:r w:rsidRPr="007929F1">
        <w:rPr>
          <w:spacing w:val="-1"/>
          <w:highlight w:val="yellow"/>
        </w:rPr>
        <w:t>and</w:t>
      </w:r>
    </w:p>
    <w:p w:rsidR="008918FA" w:rsidRPr="007929F1" w:rsidRDefault="008918FA" w:rsidP="008918FA">
      <w:pPr>
        <w:pStyle w:val="BodyText"/>
        <w:numPr>
          <w:ilvl w:val="3"/>
          <w:numId w:val="29"/>
        </w:numPr>
        <w:tabs>
          <w:tab w:val="left" w:pos="2735"/>
        </w:tabs>
        <w:spacing w:before="121"/>
        <w:ind w:right="115"/>
        <w:jc w:val="both"/>
        <w:rPr>
          <w:highlight w:val="yellow"/>
        </w:rPr>
      </w:pPr>
      <w:r w:rsidRPr="007929F1">
        <w:rPr>
          <w:spacing w:val="-2"/>
          <w:highlight w:val="yellow"/>
        </w:rPr>
        <w:t>evidence</w:t>
      </w:r>
      <w:r w:rsidRPr="007929F1">
        <w:rPr>
          <w:spacing w:val="44"/>
          <w:highlight w:val="yellow"/>
        </w:rPr>
        <w:t xml:space="preserve"> </w:t>
      </w:r>
      <w:r w:rsidRPr="007929F1">
        <w:rPr>
          <w:spacing w:val="-1"/>
          <w:highlight w:val="yellow"/>
        </w:rPr>
        <w:t>that</w:t>
      </w:r>
      <w:r w:rsidRPr="007929F1">
        <w:rPr>
          <w:spacing w:val="45"/>
          <w:highlight w:val="yellow"/>
        </w:rPr>
        <w:t xml:space="preserve"> </w:t>
      </w:r>
      <w:r w:rsidRPr="007929F1">
        <w:rPr>
          <w:highlight w:val="yellow"/>
        </w:rPr>
        <w:t>the</w:t>
      </w:r>
      <w:r w:rsidRPr="007929F1">
        <w:rPr>
          <w:spacing w:val="43"/>
          <w:highlight w:val="yellow"/>
        </w:rPr>
        <w:t xml:space="preserve"> </w:t>
      </w:r>
      <w:r w:rsidRPr="007929F1">
        <w:rPr>
          <w:spacing w:val="-1"/>
          <w:highlight w:val="yellow"/>
        </w:rPr>
        <w:t>Supplier’s</w:t>
      </w:r>
      <w:r w:rsidRPr="007929F1">
        <w:rPr>
          <w:spacing w:val="44"/>
          <w:highlight w:val="yellow"/>
        </w:rPr>
        <w:t xml:space="preserve"> </w:t>
      </w:r>
      <w:r w:rsidRPr="007929F1">
        <w:rPr>
          <w:spacing w:val="-1"/>
          <w:highlight w:val="yellow"/>
        </w:rPr>
        <w:t>profit</w:t>
      </w:r>
      <w:r w:rsidRPr="007929F1">
        <w:rPr>
          <w:spacing w:val="45"/>
          <w:highlight w:val="yellow"/>
        </w:rPr>
        <w:t xml:space="preserve"> </w:t>
      </w:r>
      <w:r w:rsidRPr="007929F1">
        <w:rPr>
          <w:spacing w:val="-1"/>
          <w:highlight w:val="yellow"/>
        </w:rPr>
        <w:t>component</w:t>
      </w:r>
      <w:r w:rsidRPr="007929F1">
        <w:rPr>
          <w:spacing w:val="45"/>
          <w:highlight w:val="yellow"/>
        </w:rPr>
        <w:t xml:space="preserve"> </w:t>
      </w:r>
      <w:r w:rsidRPr="007929F1">
        <w:rPr>
          <w:spacing w:val="-2"/>
          <w:highlight w:val="yellow"/>
        </w:rPr>
        <w:t>of</w:t>
      </w:r>
      <w:r w:rsidRPr="007929F1">
        <w:rPr>
          <w:spacing w:val="46"/>
          <w:highlight w:val="yellow"/>
        </w:rPr>
        <w:t xml:space="preserve"> </w:t>
      </w:r>
      <w:r w:rsidRPr="007929F1">
        <w:rPr>
          <w:highlight w:val="yellow"/>
        </w:rPr>
        <w:t>the</w:t>
      </w:r>
      <w:r w:rsidRPr="007929F1">
        <w:rPr>
          <w:spacing w:val="43"/>
          <w:highlight w:val="yellow"/>
        </w:rPr>
        <w:t xml:space="preserve"> </w:t>
      </w:r>
      <w:r w:rsidRPr="007929F1">
        <w:rPr>
          <w:spacing w:val="-2"/>
          <w:highlight w:val="yellow"/>
        </w:rPr>
        <w:t>relevant</w:t>
      </w:r>
      <w:r w:rsidRPr="007929F1">
        <w:rPr>
          <w:spacing w:val="40"/>
          <w:highlight w:val="yellow"/>
        </w:rPr>
        <w:t xml:space="preserve"> </w:t>
      </w:r>
      <w:r w:rsidRPr="007929F1">
        <w:rPr>
          <w:spacing w:val="-2"/>
          <w:highlight w:val="yellow"/>
        </w:rPr>
        <w:t>Call</w:t>
      </w:r>
      <w:r w:rsidRPr="007929F1">
        <w:rPr>
          <w:spacing w:val="2"/>
          <w:highlight w:val="yellow"/>
        </w:rPr>
        <w:t xml:space="preserve"> </w:t>
      </w:r>
      <w:r w:rsidRPr="007929F1">
        <w:rPr>
          <w:highlight w:val="yellow"/>
        </w:rPr>
        <w:t>Off</w:t>
      </w:r>
      <w:r w:rsidRPr="007929F1">
        <w:rPr>
          <w:spacing w:val="4"/>
          <w:highlight w:val="yellow"/>
        </w:rPr>
        <w:t xml:space="preserve"> </w:t>
      </w:r>
      <w:r w:rsidRPr="007929F1">
        <w:rPr>
          <w:spacing w:val="-1"/>
          <w:highlight w:val="yellow"/>
        </w:rPr>
        <w:t>Contract</w:t>
      </w:r>
      <w:r w:rsidRPr="007929F1">
        <w:rPr>
          <w:spacing w:val="5"/>
          <w:highlight w:val="yellow"/>
        </w:rPr>
        <w:t xml:space="preserve"> </w:t>
      </w:r>
      <w:r w:rsidRPr="007929F1">
        <w:rPr>
          <w:spacing w:val="-1"/>
          <w:highlight w:val="yellow"/>
        </w:rPr>
        <w:t>Charge</w:t>
      </w:r>
      <w:r w:rsidRPr="007929F1">
        <w:rPr>
          <w:highlight w:val="yellow"/>
        </w:rPr>
        <w:t xml:space="preserve"> </w:t>
      </w:r>
      <w:r w:rsidRPr="007929F1">
        <w:rPr>
          <w:spacing w:val="-1"/>
          <w:highlight w:val="yellow"/>
        </w:rPr>
        <w:t>is</w:t>
      </w:r>
      <w:r w:rsidRPr="007929F1">
        <w:rPr>
          <w:spacing w:val="3"/>
          <w:highlight w:val="yellow"/>
        </w:rPr>
        <w:t xml:space="preserve"> </w:t>
      </w:r>
      <w:r w:rsidRPr="007929F1">
        <w:rPr>
          <w:spacing w:val="-1"/>
          <w:highlight w:val="yellow"/>
        </w:rPr>
        <w:t>no</w:t>
      </w:r>
      <w:r w:rsidRPr="007929F1">
        <w:rPr>
          <w:spacing w:val="3"/>
          <w:highlight w:val="yellow"/>
        </w:rPr>
        <w:t xml:space="preserve"> </w:t>
      </w:r>
      <w:r w:rsidRPr="007929F1">
        <w:rPr>
          <w:spacing w:val="-1"/>
          <w:highlight w:val="yellow"/>
        </w:rPr>
        <w:t>greater</w:t>
      </w:r>
      <w:r w:rsidRPr="007929F1">
        <w:rPr>
          <w:spacing w:val="2"/>
          <w:highlight w:val="yellow"/>
        </w:rPr>
        <w:t xml:space="preserve"> </w:t>
      </w:r>
      <w:r w:rsidRPr="007929F1">
        <w:rPr>
          <w:spacing w:val="-1"/>
          <w:highlight w:val="yellow"/>
        </w:rPr>
        <w:t>than</w:t>
      </w:r>
      <w:r w:rsidRPr="007929F1">
        <w:rPr>
          <w:highlight w:val="yellow"/>
        </w:rPr>
        <w:t xml:space="preserve"> </w:t>
      </w:r>
      <w:r w:rsidRPr="007929F1">
        <w:rPr>
          <w:spacing w:val="-1"/>
          <w:highlight w:val="yellow"/>
        </w:rPr>
        <w:t>that</w:t>
      </w:r>
      <w:r w:rsidRPr="007929F1">
        <w:rPr>
          <w:spacing w:val="4"/>
          <w:highlight w:val="yellow"/>
        </w:rPr>
        <w:t xml:space="preserve"> </w:t>
      </w:r>
      <w:r w:rsidRPr="007929F1">
        <w:rPr>
          <w:spacing w:val="-2"/>
          <w:highlight w:val="yellow"/>
        </w:rPr>
        <w:t>applying</w:t>
      </w:r>
      <w:r w:rsidRPr="007929F1">
        <w:rPr>
          <w:spacing w:val="5"/>
          <w:highlight w:val="yellow"/>
        </w:rPr>
        <w:t xml:space="preserve"> </w:t>
      </w:r>
      <w:r w:rsidRPr="007929F1">
        <w:rPr>
          <w:highlight w:val="yellow"/>
        </w:rPr>
        <w:t>to</w:t>
      </w:r>
      <w:r w:rsidRPr="007929F1">
        <w:rPr>
          <w:spacing w:val="3"/>
          <w:highlight w:val="yellow"/>
        </w:rPr>
        <w:t xml:space="preserve"> </w:t>
      </w:r>
      <w:r w:rsidRPr="007929F1">
        <w:rPr>
          <w:spacing w:val="-2"/>
          <w:highlight w:val="yellow"/>
        </w:rPr>
        <w:t>Call</w:t>
      </w:r>
      <w:r w:rsidRPr="007929F1">
        <w:rPr>
          <w:spacing w:val="55"/>
          <w:highlight w:val="yellow"/>
        </w:rPr>
        <w:t xml:space="preserve"> </w:t>
      </w:r>
      <w:r w:rsidRPr="007929F1">
        <w:rPr>
          <w:spacing w:val="-1"/>
          <w:highlight w:val="yellow"/>
        </w:rPr>
        <w:t>Off</w:t>
      </w:r>
      <w:r w:rsidRPr="007929F1">
        <w:rPr>
          <w:spacing w:val="19"/>
          <w:highlight w:val="yellow"/>
        </w:rPr>
        <w:t xml:space="preserve"> </w:t>
      </w:r>
      <w:r w:rsidRPr="007929F1">
        <w:rPr>
          <w:spacing w:val="-2"/>
          <w:highlight w:val="yellow"/>
        </w:rPr>
        <w:t>Contract</w:t>
      </w:r>
      <w:r w:rsidRPr="007929F1">
        <w:rPr>
          <w:spacing w:val="16"/>
          <w:highlight w:val="yellow"/>
        </w:rPr>
        <w:t xml:space="preserve"> </w:t>
      </w:r>
      <w:r w:rsidRPr="007929F1">
        <w:rPr>
          <w:spacing w:val="-1"/>
          <w:highlight w:val="yellow"/>
        </w:rPr>
        <w:t>Charges</w:t>
      </w:r>
      <w:r w:rsidRPr="007929F1">
        <w:rPr>
          <w:spacing w:val="15"/>
          <w:highlight w:val="yellow"/>
        </w:rPr>
        <w:t xml:space="preserve"> </w:t>
      </w:r>
      <w:r w:rsidRPr="007929F1">
        <w:rPr>
          <w:spacing w:val="-2"/>
          <w:highlight w:val="yellow"/>
        </w:rPr>
        <w:t>using</w:t>
      </w:r>
      <w:r w:rsidRPr="007929F1">
        <w:rPr>
          <w:spacing w:val="17"/>
          <w:highlight w:val="yellow"/>
        </w:rPr>
        <w:t xml:space="preserve"> </w:t>
      </w:r>
      <w:r w:rsidRPr="007929F1">
        <w:rPr>
          <w:highlight w:val="yellow"/>
        </w:rPr>
        <w:t>the</w:t>
      </w:r>
      <w:r w:rsidRPr="007929F1">
        <w:rPr>
          <w:spacing w:val="15"/>
          <w:highlight w:val="yellow"/>
        </w:rPr>
        <w:t xml:space="preserve"> </w:t>
      </w:r>
      <w:r w:rsidRPr="007929F1">
        <w:rPr>
          <w:spacing w:val="-1"/>
          <w:highlight w:val="yellow"/>
        </w:rPr>
        <w:t>same</w:t>
      </w:r>
      <w:r w:rsidRPr="007929F1">
        <w:rPr>
          <w:spacing w:val="15"/>
          <w:highlight w:val="yellow"/>
        </w:rPr>
        <w:t xml:space="preserve"> </w:t>
      </w:r>
      <w:r w:rsidRPr="007929F1">
        <w:rPr>
          <w:spacing w:val="-2"/>
          <w:highlight w:val="yellow"/>
        </w:rPr>
        <w:t>pricing</w:t>
      </w:r>
      <w:r w:rsidRPr="007929F1">
        <w:rPr>
          <w:spacing w:val="17"/>
          <w:highlight w:val="yellow"/>
        </w:rPr>
        <w:t xml:space="preserve"> </w:t>
      </w:r>
      <w:r w:rsidRPr="007929F1">
        <w:rPr>
          <w:spacing w:val="-1"/>
          <w:highlight w:val="yellow"/>
        </w:rPr>
        <w:t>mechanism</w:t>
      </w:r>
      <w:r w:rsidRPr="007929F1">
        <w:rPr>
          <w:spacing w:val="17"/>
          <w:highlight w:val="yellow"/>
        </w:rPr>
        <w:t xml:space="preserve"> </w:t>
      </w:r>
      <w:r w:rsidRPr="007929F1">
        <w:rPr>
          <w:spacing w:val="-1"/>
          <w:highlight w:val="yellow"/>
        </w:rPr>
        <w:t>as</w:t>
      </w:r>
      <w:r w:rsidRPr="007929F1">
        <w:rPr>
          <w:spacing w:val="15"/>
          <w:highlight w:val="yellow"/>
        </w:rPr>
        <w:t xml:space="preserve"> </w:t>
      </w:r>
      <w:r w:rsidRPr="007929F1">
        <w:rPr>
          <w:spacing w:val="-1"/>
          <w:highlight w:val="yellow"/>
        </w:rPr>
        <w:t>at</w:t>
      </w:r>
      <w:r w:rsidRPr="007929F1">
        <w:rPr>
          <w:spacing w:val="48"/>
          <w:highlight w:val="yellow"/>
        </w:rPr>
        <w:t xml:space="preserve"> </w:t>
      </w:r>
      <w:r w:rsidRPr="007929F1">
        <w:rPr>
          <w:highlight w:val="yellow"/>
        </w:rPr>
        <w:t xml:space="preserve">the </w:t>
      </w:r>
      <w:r w:rsidRPr="007929F1">
        <w:rPr>
          <w:spacing w:val="-2"/>
          <w:highlight w:val="yellow"/>
        </w:rPr>
        <w:t>Call</w:t>
      </w:r>
      <w:r w:rsidRPr="007929F1">
        <w:rPr>
          <w:highlight w:val="yellow"/>
        </w:rPr>
        <w:t xml:space="preserve"> </w:t>
      </w:r>
      <w:r w:rsidRPr="007929F1">
        <w:rPr>
          <w:spacing w:val="-1"/>
          <w:highlight w:val="yellow"/>
        </w:rPr>
        <w:t>Off</w:t>
      </w:r>
      <w:r w:rsidRPr="007929F1">
        <w:rPr>
          <w:highlight w:val="yellow"/>
        </w:rPr>
        <w:t xml:space="preserve"> </w:t>
      </w:r>
      <w:r w:rsidRPr="007929F1">
        <w:rPr>
          <w:spacing w:val="-2"/>
          <w:highlight w:val="yellow"/>
        </w:rPr>
        <w:t>Commencement</w:t>
      </w:r>
      <w:r w:rsidRPr="007929F1">
        <w:rPr>
          <w:highlight w:val="yellow"/>
        </w:rPr>
        <w:t xml:space="preserve"> </w:t>
      </w:r>
      <w:r w:rsidRPr="007929F1">
        <w:rPr>
          <w:spacing w:val="-1"/>
          <w:highlight w:val="yellow"/>
        </w:rPr>
        <w:t>Date.</w:t>
      </w:r>
    </w:p>
    <w:p w:rsidR="008918FA" w:rsidRDefault="008918FA" w:rsidP="008918FA">
      <w:pPr>
        <w:pStyle w:val="Heading2"/>
        <w:spacing w:before="119"/>
        <w:ind w:right="125"/>
        <w:rPr>
          <w:b w:val="0"/>
          <w:bCs w:val="0"/>
          <w:i w:val="0"/>
        </w:rPr>
      </w:pPr>
      <w:r w:rsidRPr="007929F1">
        <w:rPr>
          <w:spacing w:val="-1"/>
          <w:highlight w:val="green"/>
        </w:rPr>
        <w:t>[Guidance</w:t>
      </w:r>
      <w:r w:rsidRPr="007929F1">
        <w:rPr>
          <w:spacing w:val="22"/>
          <w:highlight w:val="green"/>
        </w:rPr>
        <w:t xml:space="preserve"> </w:t>
      </w:r>
      <w:r w:rsidRPr="007929F1">
        <w:rPr>
          <w:spacing w:val="-1"/>
          <w:highlight w:val="green"/>
        </w:rPr>
        <w:t>Note:</w:t>
      </w:r>
      <w:r w:rsidRPr="007929F1">
        <w:rPr>
          <w:spacing w:val="23"/>
          <w:highlight w:val="green"/>
        </w:rPr>
        <w:t xml:space="preserve"> </w:t>
      </w:r>
      <w:r w:rsidRPr="007929F1">
        <w:rPr>
          <w:spacing w:val="-1"/>
          <w:highlight w:val="green"/>
        </w:rPr>
        <w:t>Add</w:t>
      </w:r>
      <w:r w:rsidRPr="007929F1">
        <w:rPr>
          <w:spacing w:val="22"/>
          <w:highlight w:val="green"/>
        </w:rPr>
        <w:t xml:space="preserve"> </w:t>
      </w:r>
      <w:r w:rsidRPr="007929F1">
        <w:rPr>
          <w:spacing w:val="-1"/>
          <w:highlight w:val="green"/>
        </w:rPr>
        <w:t>anything</w:t>
      </w:r>
      <w:r w:rsidRPr="007929F1">
        <w:rPr>
          <w:spacing w:val="22"/>
          <w:highlight w:val="green"/>
        </w:rPr>
        <w:t xml:space="preserve"> </w:t>
      </w:r>
      <w:r w:rsidRPr="007929F1">
        <w:rPr>
          <w:spacing w:val="-1"/>
          <w:highlight w:val="green"/>
        </w:rPr>
        <w:t>else</w:t>
      </w:r>
      <w:r w:rsidRPr="007929F1">
        <w:rPr>
          <w:spacing w:val="22"/>
          <w:highlight w:val="green"/>
        </w:rPr>
        <w:t xml:space="preserve"> </w:t>
      </w:r>
      <w:r w:rsidRPr="007929F1">
        <w:rPr>
          <w:spacing w:val="-1"/>
          <w:highlight w:val="green"/>
        </w:rPr>
        <w:t>the</w:t>
      </w:r>
      <w:r w:rsidRPr="007929F1">
        <w:rPr>
          <w:spacing w:val="22"/>
          <w:highlight w:val="green"/>
        </w:rPr>
        <w:t xml:space="preserve"> </w:t>
      </w:r>
      <w:r w:rsidRPr="007929F1">
        <w:rPr>
          <w:spacing w:val="-1"/>
          <w:highlight w:val="green"/>
        </w:rPr>
        <w:t>Customer</w:t>
      </w:r>
      <w:r w:rsidRPr="007929F1">
        <w:rPr>
          <w:spacing w:val="23"/>
          <w:highlight w:val="green"/>
        </w:rPr>
        <w:t xml:space="preserve"> </w:t>
      </w:r>
      <w:r w:rsidRPr="007929F1">
        <w:rPr>
          <w:spacing w:val="-1"/>
          <w:highlight w:val="green"/>
        </w:rPr>
        <w:t>expects</w:t>
      </w:r>
      <w:r w:rsidRPr="007929F1">
        <w:rPr>
          <w:spacing w:val="22"/>
          <w:highlight w:val="green"/>
        </w:rPr>
        <w:t xml:space="preserve"> </w:t>
      </w:r>
      <w:r w:rsidRPr="007929F1">
        <w:rPr>
          <w:highlight w:val="green"/>
        </w:rPr>
        <w:t>to</w:t>
      </w:r>
      <w:r w:rsidRPr="007929F1">
        <w:rPr>
          <w:spacing w:val="22"/>
          <w:highlight w:val="green"/>
        </w:rPr>
        <w:t xml:space="preserve"> </w:t>
      </w:r>
      <w:r w:rsidRPr="007929F1">
        <w:rPr>
          <w:spacing w:val="-1"/>
          <w:highlight w:val="green"/>
        </w:rPr>
        <w:t>see</w:t>
      </w:r>
      <w:r w:rsidRPr="007929F1">
        <w:rPr>
          <w:spacing w:val="22"/>
          <w:highlight w:val="green"/>
        </w:rPr>
        <w:t xml:space="preserve"> </w:t>
      </w:r>
      <w:r w:rsidRPr="007929F1">
        <w:rPr>
          <w:spacing w:val="-1"/>
          <w:highlight w:val="green"/>
        </w:rPr>
        <w:t>from</w:t>
      </w:r>
      <w:r w:rsidRPr="007929F1">
        <w:rPr>
          <w:spacing w:val="23"/>
          <w:highlight w:val="green"/>
        </w:rPr>
        <w:t xml:space="preserve"> </w:t>
      </w:r>
      <w:r w:rsidRPr="007929F1">
        <w:rPr>
          <w:spacing w:val="-1"/>
          <w:highlight w:val="green"/>
        </w:rPr>
        <w:t>the</w:t>
      </w:r>
      <w:r w:rsidRPr="007929F1">
        <w:rPr>
          <w:spacing w:val="38"/>
          <w:highlight w:val="green"/>
        </w:rPr>
        <w:t xml:space="preserve"> </w:t>
      </w:r>
      <w:r w:rsidRPr="007929F1">
        <w:rPr>
          <w:spacing w:val="-1"/>
          <w:highlight w:val="green"/>
        </w:rPr>
        <w:t>Supplier]</w:t>
      </w:r>
    </w:p>
    <w:p w:rsidR="008918FA" w:rsidRDefault="008918FA" w:rsidP="008918FA">
      <w:pPr>
        <w:pStyle w:val="BodyText"/>
        <w:numPr>
          <w:ilvl w:val="0"/>
          <w:numId w:val="28"/>
        </w:numPr>
        <w:tabs>
          <w:tab w:val="left" w:pos="467"/>
        </w:tabs>
        <w:spacing w:before="117"/>
        <w:rPr>
          <w:rFonts w:ascii="Times New Roman" w:eastAsia="Times New Roman" w:hAnsi="Times New Roman" w:cs="Times New Roman"/>
        </w:rPr>
      </w:pPr>
      <w:r>
        <w:rPr>
          <w:rFonts w:ascii="Times New Roman"/>
          <w:spacing w:val="-3"/>
        </w:rPr>
        <w:t>INDEXATION</w:t>
      </w:r>
    </w:p>
    <w:p w:rsidR="008918FA" w:rsidRDefault="008918FA" w:rsidP="008918FA">
      <w:pPr>
        <w:spacing w:before="1"/>
        <w:rPr>
          <w:rFonts w:ascii="Times New Roman" w:eastAsia="Times New Roman" w:hAnsi="Times New Roman" w:cs="Times New Roman"/>
          <w:sz w:val="21"/>
          <w:szCs w:val="21"/>
        </w:rPr>
      </w:pPr>
    </w:p>
    <w:p w:rsidR="008918FA" w:rsidRPr="001C1527" w:rsidRDefault="008918FA" w:rsidP="008918FA">
      <w:pPr>
        <w:pStyle w:val="BodyText"/>
        <w:numPr>
          <w:ilvl w:val="1"/>
          <w:numId w:val="28"/>
        </w:numPr>
        <w:tabs>
          <w:tab w:val="left" w:pos="1033"/>
        </w:tabs>
        <w:spacing w:before="0"/>
        <w:ind w:hanging="564"/>
        <w:rPr>
          <w:b/>
        </w:rPr>
      </w:pPr>
      <w:r w:rsidRPr="001C1527">
        <w:rPr>
          <w:b/>
          <w:spacing w:val="-1"/>
        </w:rPr>
        <w:t>Not</w:t>
      </w:r>
      <w:r w:rsidRPr="001C1527">
        <w:rPr>
          <w:b/>
          <w:spacing w:val="2"/>
        </w:rPr>
        <w:t xml:space="preserve"> </w:t>
      </w:r>
      <w:r w:rsidRPr="001C1527">
        <w:rPr>
          <w:b/>
          <w:spacing w:val="-1"/>
        </w:rPr>
        <w:t>used</w:t>
      </w:r>
    </w:p>
    <w:p w:rsidR="008918FA" w:rsidRDefault="008918FA" w:rsidP="008918FA">
      <w:pPr>
        <w:pStyle w:val="BodyText"/>
        <w:numPr>
          <w:ilvl w:val="0"/>
          <w:numId w:val="28"/>
        </w:numPr>
        <w:tabs>
          <w:tab w:val="left" w:pos="467"/>
        </w:tabs>
        <w:spacing w:before="117"/>
        <w:rPr>
          <w:rFonts w:ascii="Times New Roman" w:eastAsia="Times New Roman" w:hAnsi="Times New Roman" w:cs="Times New Roman"/>
        </w:rPr>
      </w:pPr>
      <w:r>
        <w:rPr>
          <w:rFonts w:ascii="Times New Roman"/>
          <w:spacing w:val="-8"/>
        </w:rPr>
        <w:t>IMP</w:t>
      </w:r>
      <w:r>
        <w:rPr>
          <w:rFonts w:ascii="Times New Roman"/>
          <w:spacing w:val="-32"/>
        </w:rPr>
        <w:t xml:space="preserve"> </w:t>
      </w:r>
      <w:r>
        <w:rPr>
          <w:rFonts w:ascii="Times New Roman"/>
        </w:rPr>
        <w:t>LEMENTATION</w:t>
      </w:r>
      <w:r>
        <w:rPr>
          <w:rFonts w:ascii="Times New Roman"/>
          <w:spacing w:val="6"/>
        </w:rPr>
        <w:t xml:space="preserve"> OF</w:t>
      </w:r>
      <w:r>
        <w:rPr>
          <w:rFonts w:ascii="Times New Roman"/>
          <w:spacing w:val="14"/>
        </w:rPr>
        <w:t xml:space="preserve"> </w:t>
      </w:r>
      <w:r>
        <w:rPr>
          <w:rFonts w:ascii="Times New Roman"/>
          <w:spacing w:val="-2"/>
        </w:rPr>
        <w:t>ADJ</w:t>
      </w:r>
      <w:r>
        <w:rPr>
          <w:rFonts w:ascii="Times New Roman"/>
          <w:spacing w:val="-17"/>
        </w:rPr>
        <w:t xml:space="preserve"> </w:t>
      </w:r>
      <w:r>
        <w:rPr>
          <w:rFonts w:ascii="Times New Roman"/>
          <w:spacing w:val="-1"/>
        </w:rPr>
        <w:t>US</w:t>
      </w:r>
      <w:r>
        <w:rPr>
          <w:rFonts w:ascii="Times New Roman"/>
          <w:spacing w:val="-29"/>
        </w:rPr>
        <w:t xml:space="preserve"> </w:t>
      </w:r>
      <w:r>
        <w:rPr>
          <w:rFonts w:ascii="Times New Roman"/>
          <w:spacing w:val="2"/>
        </w:rPr>
        <w:t>TED</w:t>
      </w:r>
      <w:r>
        <w:rPr>
          <w:rFonts w:ascii="Times New Roman"/>
          <w:spacing w:val="6"/>
        </w:rPr>
        <w:t xml:space="preserve"> </w:t>
      </w:r>
      <w:r>
        <w:rPr>
          <w:rFonts w:ascii="Times New Roman"/>
          <w:spacing w:val="2"/>
        </w:rPr>
        <w:t>CALL</w:t>
      </w:r>
      <w:r>
        <w:rPr>
          <w:rFonts w:ascii="Times New Roman"/>
          <w:spacing w:val="7"/>
        </w:rPr>
        <w:t xml:space="preserve"> </w:t>
      </w:r>
      <w:r>
        <w:rPr>
          <w:rFonts w:ascii="Times New Roman"/>
          <w:spacing w:val="8"/>
        </w:rPr>
        <w:t>OFF</w:t>
      </w:r>
      <w:r>
        <w:rPr>
          <w:rFonts w:ascii="Times New Roman"/>
          <w:spacing w:val="16"/>
        </w:rPr>
        <w:t xml:space="preserve"> </w:t>
      </w:r>
      <w:r>
        <w:rPr>
          <w:rFonts w:ascii="Times New Roman"/>
          <w:spacing w:val="5"/>
        </w:rPr>
        <w:t>CONTRACT</w:t>
      </w:r>
      <w:r>
        <w:rPr>
          <w:rFonts w:ascii="Times New Roman"/>
          <w:spacing w:val="4"/>
        </w:rPr>
        <w:t xml:space="preserve"> </w:t>
      </w:r>
      <w:r>
        <w:rPr>
          <w:rFonts w:ascii="Times New Roman"/>
          <w:spacing w:val="6"/>
        </w:rPr>
        <w:t>CHARGES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8"/>
        </w:numPr>
        <w:tabs>
          <w:tab w:val="left" w:pos="1033"/>
        </w:tabs>
        <w:spacing w:before="0"/>
        <w:ind w:left="828" w:right="114" w:hanging="360"/>
        <w:jc w:val="both"/>
      </w:pPr>
      <w:r>
        <w:rPr>
          <w:spacing w:val="-1"/>
        </w:rPr>
        <w:t>Variations</w:t>
      </w:r>
      <w:r>
        <w:rPr>
          <w:spacing w:val="32"/>
        </w:rPr>
        <w:t xml:space="preserve"> </w:t>
      </w:r>
      <w:r>
        <w:rPr>
          <w:spacing w:val="-1"/>
        </w:rPr>
        <w:t>in</w:t>
      </w:r>
      <w:r>
        <w:rPr>
          <w:spacing w:val="31"/>
        </w:rPr>
        <w:t xml:space="preserve"> </w:t>
      </w:r>
      <w:r>
        <w:rPr>
          <w:spacing w:val="-1"/>
        </w:rPr>
        <w:t>accordance</w:t>
      </w:r>
      <w:r>
        <w:rPr>
          <w:spacing w:val="34"/>
        </w:rPr>
        <w:t xml:space="preserve"> </w:t>
      </w:r>
      <w:r>
        <w:rPr>
          <w:spacing w:val="-2"/>
        </w:rPr>
        <w:t>with</w:t>
      </w:r>
      <w:r>
        <w:rPr>
          <w:spacing w:val="31"/>
        </w:rPr>
        <w:t xml:space="preserve"> </w:t>
      </w:r>
      <w:r>
        <w:t>the</w:t>
      </w:r>
      <w:r>
        <w:rPr>
          <w:spacing w:val="31"/>
        </w:rPr>
        <w:t xml:space="preserve"> </w:t>
      </w:r>
      <w:r>
        <w:rPr>
          <w:spacing w:val="-2"/>
        </w:rPr>
        <w:t>provisions</w:t>
      </w:r>
      <w:r>
        <w:rPr>
          <w:spacing w:val="32"/>
        </w:rPr>
        <w:t xml:space="preserve"> </w:t>
      </w:r>
      <w:r>
        <w:rPr>
          <w:spacing w:val="-1"/>
        </w:rPr>
        <w:t>of</w:t>
      </w:r>
      <w:r>
        <w:rPr>
          <w:spacing w:val="36"/>
        </w:rPr>
        <w:t xml:space="preserve"> </w:t>
      </w:r>
      <w:r>
        <w:rPr>
          <w:spacing w:val="-1"/>
        </w:rPr>
        <w:t>this</w:t>
      </w:r>
      <w:r>
        <w:rPr>
          <w:spacing w:val="32"/>
        </w:rPr>
        <w:t xml:space="preserve"> </w:t>
      </w:r>
      <w:r>
        <w:rPr>
          <w:spacing w:val="-2"/>
        </w:rPr>
        <w:t>Call</w:t>
      </w:r>
      <w:r>
        <w:rPr>
          <w:spacing w:val="33"/>
        </w:rPr>
        <w:t xml:space="preserve"> </w:t>
      </w:r>
      <w:r>
        <w:rPr>
          <w:spacing w:val="-1"/>
        </w:rPr>
        <w:t>Off</w:t>
      </w:r>
      <w:r>
        <w:rPr>
          <w:spacing w:val="35"/>
        </w:rPr>
        <w:t xml:space="preserve"> </w:t>
      </w:r>
      <w:r>
        <w:rPr>
          <w:spacing w:val="-1"/>
        </w:rPr>
        <w:t>Schedule</w:t>
      </w:r>
      <w:r>
        <w:rPr>
          <w:spacing w:val="31"/>
        </w:rPr>
        <w:t xml:space="preserve"> </w:t>
      </w:r>
      <w:r>
        <w:t>to</w:t>
      </w:r>
      <w:r>
        <w:rPr>
          <w:spacing w:val="31"/>
        </w:rPr>
        <w:t xml:space="preserve"> </w:t>
      </w:r>
      <w:r>
        <w:rPr>
          <w:spacing w:val="-1"/>
        </w:rPr>
        <w:t>all</w:t>
      </w:r>
      <w:r>
        <w:rPr>
          <w:spacing w:val="32"/>
        </w:rPr>
        <w:t xml:space="preserve"> </w:t>
      </w:r>
      <w:r>
        <w:rPr>
          <w:spacing w:val="-1"/>
        </w:rPr>
        <w:t>or</w:t>
      </w:r>
      <w:r>
        <w:rPr>
          <w:spacing w:val="54"/>
        </w:rPr>
        <w:t xml:space="preserve"> </w:t>
      </w:r>
      <w:r>
        <w:rPr>
          <w:spacing w:val="-1"/>
        </w:rPr>
        <w:t>part</w:t>
      </w:r>
      <w:r>
        <w:rPr>
          <w:spacing w:val="38"/>
        </w:rPr>
        <w:t xml:space="preserve"> </w:t>
      </w:r>
      <w:r>
        <w:t>the</w:t>
      </w:r>
      <w:r>
        <w:rPr>
          <w:spacing w:val="38"/>
        </w:rPr>
        <w:t xml:space="preserve"> </w:t>
      </w:r>
      <w:r>
        <w:rPr>
          <w:spacing w:val="-2"/>
        </w:rPr>
        <w:t>Call</w:t>
      </w:r>
      <w:r>
        <w:rPr>
          <w:spacing w:val="38"/>
        </w:rPr>
        <w:t xml:space="preserve"> </w:t>
      </w:r>
      <w:r>
        <w:rPr>
          <w:spacing w:val="-1"/>
        </w:rPr>
        <w:t>Off</w:t>
      </w:r>
      <w:r>
        <w:rPr>
          <w:spacing w:val="40"/>
        </w:rPr>
        <w:t xml:space="preserve"> </w:t>
      </w:r>
      <w:r>
        <w:rPr>
          <w:spacing w:val="-2"/>
        </w:rPr>
        <w:t>Contract</w:t>
      </w:r>
      <w:r>
        <w:rPr>
          <w:spacing w:val="40"/>
        </w:rPr>
        <w:t xml:space="preserve"> </w:t>
      </w:r>
      <w:r>
        <w:rPr>
          <w:spacing w:val="-1"/>
        </w:rPr>
        <w:t>Charges</w:t>
      </w:r>
      <w:r>
        <w:rPr>
          <w:spacing w:val="37"/>
        </w:rPr>
        <w:t xml:space="preserve"> </w:t>
      </w:r>
      <w:r>
        <w:rPr>
          <w:spacing w:val="-1"/>
        </w:rPr>
        <w:t>(as</w:t>
      </w:r>
      <w:r>
        <w:rPr>
          <w:spacing w:val="38"/>
        </w:rPr>
        <w:t xml:space="preserve"> </w:t>
      </w:r>
      <w:r>
        <w:t>the</w:t>
      </w:r>
      <w:r>
        <w:rPr>
          <w:spacing w:val="38"/>
        </w:rPr>
        <w:t xml:space="preserve"> </w:t>
      </w:r>
      <w:r>
        <w:rPr>
          <w:spacing w:val="-1"/>
        </w:rPr>
        <w:t>case</w:t>
      </w:r>
      <w:r>
        <w:rPr>
          <w:spacing w:val="38"/>
        </w:rPr>
        <w:t xml:space="preserve"> </w:t>
      </w:r>
      <w:r>
        <w:rPr>
          <w:spacing w:val="-1"/>
        </w:rPr>
        <w:t>may</w:t>
      </w:r>
      <w:r>
        <w:rPr>
          <w:spacing w:val="36"/>
        </w:rPr>
        <w:t xml:space="preserve"> </w:t>
      </w:r>
      <w:r>
        <w:rPr>
          <w:spacing w:val="-1"/>
        </w:rPr>
        <w:t>be)</w:t>
      </w:r>
      <w:r>
        <w:rPr>
          <w:spacing w:val="40"/>
        </w:rPr>
        <w:t xml:space="preserve"> </w:t>
      </w:r>
      <w:r>
        <w:rPr>
          <w:spacing w:val="-1"/>
        </w:rPr>
        <w:t>shall</w:t>
      </w:r>
      <w:r>
        <w:rPr>
          <w:spacing w:val="38"/>
        </w:rPr>
        <w:t xml:space="preserve"> </w:t>
      </w:r>
      <w:r>
        <w:rPr>
          <w:spacing w:val="-1"/>
        </w:rPr>
        <w:t>be</w:t>
      </w:r>
      <w:r>
        <w:rPr>
          <w:spacing w:val="39"/>
        </w:rPr>
        <w:t xml:space="preserve"> </w:t>
      </w:r>
      <w:r>
        <w:rPr>
          <w:spacing w:val="-1"/>
        </w:rPr>
        <w:t>made</w:t>
      </w:r>
      <w:r>
        <w:rPr>
          <w:spacing w:val="38"/>
        </w:rPr>
        <w:t xml:space="preserve"> </w:t>
      </w:r>
      <w:r>
        <w:rPr>
          <w:spacing w:val="-1"/>
        </w:rPr>
        <w:t>by</w:t>
      </w:r>
      <w:r>
        <w:rPr>
          <w:spacing w:val="36"/>
        </w:rPr>
        <w:t xml:space="preserve"> </w:t>
      </w:r>
      <w:r>
        <w:rPr>
          <w:spacing w:val="-1"/>
        </w:rPr>
        <w:t>the</w:t>
      </w:r>
      <w:r>
        <w:rPr>
          <w:spacing w:val="50"/>
        </w:rPr>
        <w:t xml:space="preserve"> </w:t>
      </w:r>
      <w:r>
        <w:rPr>
          <w:spacing w:val="-1"/>
        </w:rPr>
        <w:t xml:space="preserve">Customer </w:t>
      </w:r>
      <w:r>
        <w:t>to</w:t>
      </w:r>
      <w:r>
        <w:rPr>
          <w:spacing w:val="-2"/>
        </w:rPr>
        <w:t xml:space="preserve"> </w:t>
      </w:r>
      <w:r>
        <w:t>take</w:t>
      </w:r>
      <w:r>
        <w:rPr>
          <w:spacing w:val="-2"/>
        </w:rPr>
        <w:t xml:space="preserve"> </w:t>
      </w:r>
      <w:r>
        <w:rPr>
          <w:spacing w:val="-1"/>
        </w:rPr>
        <w:t>effect:</w:t>
      </w:r>
    </w:p>
    <w:p w:rsidR="008918FA" w:rsidRDefault="008918FA" w:rsidP="008918FA">
      <w:pPr>
        <w:pStyle w:val="BodyText"/>
        <w:numPr>
          <w:ilvl w:val="2"/>
          <w:numId w:val="28"/>
        </w:numPr>
        <w:tabs>
          <w:tab w:val="left" w:pos="2027"/>
        </w:tabs>
        <w:spacing w:before="121"/>
        <w:ind w:right="112"/>
        <w:jc w:val="both"/>
      </w:pPr>
      <w:r>
        <w:rPr>
          <w:spacing w:val="-1"/>
        </w:rPr>
        <w:t>in</w:t>
      </w:r>
      <w:r>
        <w:rPr>
          <w:spacing w:val="34"/>
        </w:rPr>
        <w:t xml:space="preserve"> </w:t>
      </w:r>
      <w:r>
        <w:rPr>
          <w:spacing w:val="-1"/>
        </w:rPr>
        <w:t>accordance</w:t>
      </w:r>
      <w:r>
        <w:rPr>
          <w:spacing w:val="34"/>
        </w:rPr>
        <w:t xml:space="preserve"> </w:t>
      </w:r>
      <w:r>
        <w:rPr>
          <w:spacing w:val="-1"/>
        </w:rPr>
        <w:t>with</w:t>
      </w:r>
      <w:r>
        <w:rPr>
          <w:spacing w:val="34"/>
        </w:rPr>
        <w:t xml:space="preserve"> </w:t>
      </w:r>
      <w:r>
        <w:rPr>
          <w:spacing w:val="-1"/>
        </w:rPr>
        <w:t>Clause</w:t>
      </w:r>
      <w:r>
        <w:rPr>
          <w:spacing w:val="34"/>
        </w:rPr>
        <w:t xml:space="preserve"> </w:t>
      </w:r>
      <w:hyperlink w:anchor="_bookmark122" w:history="1">
        <w:r>
          <w:rPr>
            <w:spacing w:val="-1"/>
          </w:rPr>
          <w:t>22.2</w:t>
        </w:r>
      </w:hyperlink>
      <w:r>
        <w:rPr>
          <w:spacing w:val="35"/>
        </w:rPr>
        <w:t xml:space="preserve"> </w:t>
      </w:r>
      <w:r>
        <w:rPr>
          <w:spacing w:val="-2"/>
        </w:rPr>
        <w:t>of</w:t>
      </w:r>
      <w:r>
        <w:rPr>
          <w:spacing w:val="38"/>
        </w:rPr>
        <w:t xml:space="preserve"> </w:t>
      </w:r>
      <w:r>
        <w:rPr>
          <w:spacing w:val="-1"/>
        </w:rPr>
        <w:t>this</w:t>
      </w:r>
      <w:r>
        <w:rPr>
          <w:spacing w:val="35"/>
        </w:rPr>
        <w:t xml:space="preserve"> </w:t>
      </w:r>
      <w:r>
        <w:rPr>
          <w:spacing w:val="-2"/>
        </w:rPr>
        <w:t>Call</w:t>
      </w:r>
      <w:r>
        <w:rPr>
          <w:spacing w:val="33"/>
        </w:rPr>
        <w:t xml:space="preserve"> </w:t>
      </w:r>
      <w:r>
        <w:t>Off</w:t>
      </w:r>
      <w:r>
        <w:rPr>
          <w:spacing w:val="33"/>
        </w:rPr>
        <w:t xml:space="preserve"> </w:t>
      </w:r>
      <w:r>
        <w:rPr>
          <w:spacing w:val="-1"/>
        </w:rPr>
        <w:t>Contract</w:t>
      </w:r>
      <w:r>
        <w:rPr>
          <w:spacing w:val="35"/>
        </w:rPr>
        <w:t xml:space="preserve"> </w:t>
      </w:r>
      <w:r>
        <w:rPr>
          <w:spacing w:val="-1"/>
        </w:rPr>
        <w:t>(Legislative</w:t>
      </w:r>
      <w:r>
        <w:rPr>
          <w:spacing w:val="39"/>
        </w:rPr>
        <w:t xml:space="preserve"> </w:t>
      </w:r>
      <w:r>
        <w:rPr>
          <w:spacing w:val="-1"/>
        </w:rPr>
        <w:t>Change)</w:t>
      </w:r>
      <w:r>
        <w:rPr>
          <w:spacing w:val="57"/>
        </w:rPr>
        <w:t xml:space="preserve"> </w:t>
      </w:r>
      <w:r>
        <w:rPr>
          <w:spacing w:val="-2"/>
        </w:rPr>
        <w:t>where</w:t>
      </w:r>
      <w:r>
        <w:rPr>
          <w:spacing w:val="55"/>
        </w:rPr>
        <w:t xml:space="preserve"> </w:t>
      </w:r>
      <w:r>
        <w:rPr>
          <w:spacing w:val="-1"/>
        </w:rPr>
        <w:t>an</w:t>
      </w:r>
      <w:r>
        <w:rPr>
          <w:spacing w:val="55"/>
        </w:rPr>
        <w:t xml:space="preserve"> </w:t>
      </w:r>
      <w:r>
        <w:rPr>
          <w:spacing w:val="-1"/>
        </w:rPr>
        <w:t>adjustment</w:t>
      </w:r>
      <w:r>
        <w:rPr>
          <w:spacing w:val="57"/>
        </w:rPr>
        <w:t xml:space="preserve"> </w:t>
      </w:r>
      <w:r>
        <w:t>to</w:t>
      </w:r>
      <w:r>
        <w:rPr>
          <w:spacing w:val="53"/>
        </w:rPr>
        <w:t xml:space="preserve"> </w:t>
      </w:r>
      <w:r>
        <w:t>the</w:t>
      </w:r>
      <w:r>
        <w:rPr>
          <w:spacing w:val="55"/>
        </w:rPr>
        <w:t xml:space="preserve"> </w:t>
      </w:r>
      <w:r>
        <w:rPr>
          <w:spacing w:val="-2"/>
        </w:rPr>
        <w:t>Call</w:t>
      </w:r>
      <w:r>
        <w:rPr>
          <w:spacing w:val="56"/>
        </w:rPr>
        <w:t xml:space="preserve"> </w:t>
      </w:r>
      <w:r>
        <w:rPr>
          <w:spacing w:val="-1"/>
        </w:rPr>
        <w:t>Off</w:t>
      </w:r>
      <w:r>
        <w:rPr>
          <w:spacing w:val="55"/>
        </w:rPr>
        <w:t xml:space="preserve"> </w:t>
      </w:r>
      <w:r>
        <w:rPr>
          <w:spacing w:val="-1"/>
        </w:rPr>
        <w:t>Contract</w:t>
      </w:r>
      <w:r>
        <w:rPr>
          <w:spacing w:val="57"/>
        </w:rPr>
        <w:t xml:space="preserve"> </w:t>
      </w:r>
      <w:r>
        <w:rPr>
          <w:spacing w:val="-1"/>
        </w:rPr>
        <w:t>Charges</w:t>
      </w:r>
      <w:r>
        <w:rPr>
          <w:spacing w:val="56"/>
        </w:rPr>
        <w:t xml:space="preserve"> </w:t>
      </w:r>
      <w:r>
        <w:rPr>
          <w:spacing w:val="-1"/>
        </w:rPr>
        <w:t>is</w:t>
      </w:r>
      <w:r>
        <w:rPr>
          <w:spacing w:val="37"/>
        </w:rPr>
        <w:t xml:space="preserve"> </w:t>
      </w:r>
      <w:r>
        <w:rPr>
          <w:spacing w:val="-1"/>
        </w:rPr>
        <w:t>made</w:t>
      </w:r>
      <w:r>
        <w:rPr>
          <w:spacing w:val="1"/>
        </w:rPr>
        <w:t xml:space="preserve"> </w:t>
      </w:r>
      <w:r>
        <w:rPr>
          <w:spacing w:val="-1"/>
        </w:rPr>
        <w:t>in</w:t>
      </w:r>
      <w:r>
        <w:t xml:space="preserve"> </w:t>
      </w:r>
      <w:r>
        <w:rPr>
          <w:spacing w:val="-1"/>
        </w:rPr>
        <w:t>accordance</w:t>
      </w:r>
      <w:r>
        <w:rPr>
          <w:spacing w:val="-2"/>
        </w:rPr>
        <w:t xml:space="preserve"> with</w:t>
      </w:r>
      <w:r>
        <w:t xml:space="preserve"> </w:t>
      </w:r>
      <w:r>
        <w:rPr>
          <w:spacing w:val="-1"/>
        </w:rPr>
        <w:t>paragraph</w:t>
      </w:r>
      <w:r>
        <w:t xml:space="preserve"> </w:t>
      </w:r>
      <w:hyperlink w:anchor="_bookmark292" w:history="1">
        <w:r>
          <w:rPr>
            <w:spacing w:val="-1"/>
          </w:rPr>
          <w:t>7.1.1</w:t>
        </w:r>
      </w:hyperlink>
      <w:r>
        <w:rPr>
          <w:spacing w:val="-1"/>
        </w:rPr>
        <w:t xml:space="preserve"> </w:t>
      </w:r>
      <w:r>
        <w:rPr>
          <w:spacing w:val="-2"/>
        </w:rPr>
        <w:t>of</w:t>
      </w:r>
      <w:r>
        <w:rPr>
          <w:spacing w:val="2"/>
        </w:rPr>
        <w:t xml:space="preserve"> </w:t>
      </w:r>
      <w:r>
        <w:rPr>
          <w:spacing w:val="-1"/>
        </w:rPr>
        <w:t>this</w:t>
      </w:r>
      <w:r>
        <w:rPr>
          <w:spacing w:val="-4"/>
        </w:rPr>
        <w:t xml:space="preserve"> </w:t>
      </w:r>
      <w:r>
        <w:rPr>
          <w:spacing w:val="-2"/>
        </w:rPr>
        <w:t>Call</w:t>
      </w:r>
      <w:r>
        <w:t xml:space="preserve"> </w:t>
      </w:r>
      <w:r>
        <w:rPr>
          <w:spacing w:val="-1"/>
        </w:rPr>
        <w:t>Off</w:t>
      </w:r>
      <w:r>
        <w:rPr>
          <w:spacing w:val="2"/>
        </w:rPr>
        <w:t xml:space="preserve"> </w:t>
      </w:r>
      <w:r>
        <w:rPr>
          <w:spacing w:val="-1"/>
        </w:rPr>
        <w:t>Schedule;</w:t>
      </w:r>
    </w:p>
    <w:p w:rsidR="008918FA" w:rsidRDefault="008918FA" w:rsidP="008918FA">
      <w:pPr>
        <w:pStyle w:val="BodyText"/>
        <w:numPr>
          <w:ilvl w:val="2"/>
          <w:numId w:val="28"/>
        </w:numPr>
        <w:tabs>
          <w:tab w:val="left" w:pos="2027"/>
        </w:tabs>
        <w:spacing w:before="121"/>
        <w:ind w:right="111"/>
        <w:jc w:val="both"/>
      </w:pPr>
      <w:r>
        <w:rPr>
          <w:spacing w:val="-1"/>
        </w:rPr>
        <w:t>in</w:t>
      </w:r>
      <w:r>
        <w:rPr>
          <w:spacing w:val="43"/>
        </w:rPr>
        <w:t xml:space="preserve"> </w:t>
      </w:r>
      <w:r>
        <w:rPr>
          <w:spacing w:val="-1"/>
        </w:rPr>
        <w:t>accordance</w:t>
      </w:r>
      <w:r>
        <w:rPr>
          <w:spacing w:val="44"/>
        </w:rPr>
        <w:t xml:space="preserve"> </w:t>
      </w:r>
      <w:r>
        <w:rPr>
          <w:spacing w:val="-2"/>
        </w:rPr>
        <w:t>with</w:t>
      </w:r>
      <w:r>
        <w:rPr>
          <w:spacing w:val="43"/>
        </w:rPr>
        <w:t xml:space="preserve"> </w:t>
      </w:r>
      <w:r>
        <w:rPr>
          <w:spacing w:val="-2"/>
        </w:rPr>
        <w:t>Clause</w:t>
      </w:r>
      <w:r>
        <w:rPr>
          <w:spacing w:val="44"/>
        </w:rPr>
        <w:t xml:space="preserve"> </w:t>
      </w:r>
      <w:hyperlink w:anchor="_bookmark126" w:history="1">
        <w:r>
          <w:rPr>
            <w:spacing w:val="-1"/>
          </w:rPr>
          <w:t>23.1.4</w:t>
        </w:r>
      </w:hyperlink>
      <w:r>
        <w:rPr>
          <w:spacing w:val="45"/>
        </w:rPr>
        <w:t xml:space="preserve"> </w:t>
      </w:r>
      <w:r>
        <w:rPr>
          <w:spacing w:val="-2"/>
        </w:rPr>
        <w:t>of</w:t>
      </w:r>
      <w:r>
        <w:rPr>
          <w:spacing w:val="42"/>
        </w:rPr>
        <w:t xml:space="preserve"> </w:t>
      </w:r>
      <w:r>
        <w:rPr>
          <w:spacing w:val="-1"/>
        </w:rPr>
        <w:t>this</w:t>
      </w:r>
      <w:r>
        <w:rPr>
          <w:spacing w:val="45"/>
        </w:rPr>
        <w:t xml:space="preserve"> </w:t>
      </w:r>
      <w:r>
        <w:rPr>
          <w:spacing w:val="-2"/>
        </w:rPr>
        <w:t>Call</w:t>
      </w:r>
      <w:r>
        <w:rPr>
          <w:spacing w:val="43"/>
        </w:rPr>
        <w:t xml:space="preserve"> </w:t>
      </w:r>
      <w:r>
        <w:rPr>
          <w:spacing w:val="-1"/>
        </w:rPr>
        <w:t>Off</w:t>
      </w:r>
      <w:r>
        <w:rPr>
          <w:spacing w:val="45"/>
        </w:rPr>
        <w:t xml:space="preserve"> </w:t>
      </w:r>
      <w:r>
        <w:rPr>
          <w:spacing w:val="-2"/>
        </w:rPr>
        <w:t>Contract</w:t>
      </w:r>
      <w:r>
        <w:rPr>
          <w:spacing w:val="43"/>
        </w:rPr>
        <w:t xml:space="preserve"> </w:t>
      </w:r>
      <w:r>
        <w:rPr>
          <w:spacing w:val="-1"/>
        </w:rPr>
        <w:t>(Call</w:t>
      </w:r>
      <w:r>
        <w:rPr>
          <w:spacing w:val="40"/>
        </w:rPr>
        <w:t xml:space="preserve"> </w:t>
      </w:r>
      <w:r>
        <w:rPr>
          <w:spacing w:val="-1"/>
        </w:rPr>
        <w:t>Off</w:t>
      </w:r>
      <w:r>
        <w:rPr>
          <w:spacing w:val="61"/>
        </w:rPr>
        <w:t xml:space="preserve"> </w:t>
      </w:r>
      <w:r>
        <w:rPr>
          <w:spacing w:val="-1"/>
        </w:rPr>
        <w:t>Contract</w:t>
      </w:r>
      <w:r>
        <w:rPr>
          <w:spacing w:val="26"/>
        </w:rPr>
        <w:t xml:space="preserve"> </w:t>
      </w:r>
      <w:r>
        <w:rPr>
          <w:spacing w:val="-1"/>
        </w:rPr>
        <w:t>Charges</w:t>
      </w:r>
      <w:r>
        <w:rPr>
          <w:spacing w:val="25"/>
        </w:rPr>
        <w:t xml:space="preserve"> </w:t>
      </w:r>
      <w:r>
        <w:rPr>
          <w:spacing w:val="-1"/>
        </w:rPr>
        <w:t>and</w:t>
      </w:r>
      <w:r>
        <w:rPr>
          <w:spacing w:val="24"/>
        </w:rPr>
        <w:t xml:space="preserve"> </w:t>
      </w:r>
      <w:r>
        <w:rPr>
          <w:spacing w:val="-1"/>
        </w:rPr>
        <w:t>Payment)</w:t>
      </w:r>
      <w:r>
        <w:rPr>
          <w:spacing w:val="26"/>
        </w:rPr>
        <w:t xml:space="preserve"> </w:t>
      </w:r>
      <w:r>
        <w:rPr>
          <w:spacing w:val="-2"/>
        </w:rPr>
        <w:t>where</w:t>
      </w:r>
      <w:r>
        <w:rPr>
          <w:spacing w:val="24"/>
        </w:rPr>
        <w:t xml:space="preserve"> </w:t>
      </w:r>
      <w:r>
        <w:rPr>
          <w:spacing w:val="-1"/>
        </w:rPr>
        <w:t>an</w:t>
      </w:r>
      <w:r>
        <w:rPr>
          <w:spacing w:val="24"/>
        </w:rPr>
        <w:t xml:space="preserve"> </w:t>
      </w:r>
      <w:r>
        <w:rPr>
          <w:spacing w:val="-1"/>
        </w:rPr>
        <w:t>adjustment</w:t>
      </w:r>
      <w:r>
        <w:rPr>
          <w:spacing w:val="26"/>
        </w:rPr>
        <w:t xml:space="preserve"> </w:t>
      </w:r>
      <w:r>
        <w:t>to</w:t>
      </w:r>
      <w:r>
        <w:rPr>
          <w:spacing w:val="24"/>
        </w:rPr>
        <w:t xml:space="preserve"> </w:t>
      </w:r>
      <w:r>
        <w:t>the</w:t>
      </w:r>
      <w:r>
        <w:rPr>
          <w:spacing w:val="24"/>
        </w:rPr>
        <w:t xml:space="preserve"> </w:t>
      </w:r>
      <w:r>
        <w:rPr>
          <w:spacing w:val="-2"/>
        </w:rPr>
        <w:t>Call</w:t>
      </w:r>
      <w:r>
        <w:rPr>
          <w:spacing w:val="21"/>
        </w:rPr>
        <w:t xml:space="preserve"> </w:t>
      </w:r>
      <w:r>
        <w:rPr>
          <w:spacing w:val="-1"/>
        </w:rPr>
        <w:t>Off</w:t>
      </w:r>
      <w:r>
        <w:rPr>
          <w:spacing w:val="43"/>
        </w:rPr>
        <w:t xml:space="preserve"> </w:t>
      </w:r>
      <w:r>
        <w:rPr>
          <w:spacing w:val="-1"/>
        </w:rPr>
        <w:t>Contract</w:t>
      </w:r>
      <w:r>
        <w:rPr>
          <w:spacing w:val="23"/>
        </w:rPr>
        <w:t xml:space="preserve"> </w:t>
      </w:r>
      <w:r>
        <w:rPr>
          <w:spacing w:val="-1"/>
        </w:rPr>
        <w:t>Charges</w:t>
      </w:r>
      <w:r>
        <w:rPr>
          <w:spacing w:val="20"/>
        </w:rPr>
        <w:t xml:space="preserve"> </w:t>
      </w:r>
      <w:r>
        <w:rPr>
          <w:spacing w:val="-1"/>
        </w:rPr>
        <w:t>is</w:t>
      </w:r>
      <w:r>
        <w:rPr>
          <w:spacing w:val="22"/>
        </w:rPr>
        <w:t xml:space="preserve"> </w:t>
      </w:r>
      <w:r>
        <w:rPr>
          <w:spacing w:val="-1"/>
        </w:rPr>
        <w:t>made</w:t>
      </w:r>
      <w:r>
        <w:rPr>
          <w:spacing w:val="22"/>
        </w:rPr>
        <w:t xml:space="preserve"> </w:t>
      </w:r>
      <w:r>
        <w:rPr>
          <w:spacing w:val="-1"/>
        </w:rPr>
        <w:t>in</w:t>
      </w:r>
      <w:r>
        <w:rPr>
          <w:spacing w:val="22"/>
        </w:rPr>
        <w:t xml:space="preserve"> </w:t>
      </w:r>
      <w:r>
        <w:rPr>
          <w:spacing w:val="-1"/>
        </w:rPr>
        <w:t>accordance</w:t>
      </w:r>
      <w:r>
        <w:rPr>
          <w:spacing w:val="20"/>
        </w:rPr>
        <w:t xml:space="preserve"> </w:t>
      </w:r>
      <w:r>
        <w:rPr>
          <w:spacing w:val="-2"/>
        </w:rPr>
        <w:t>with</w:t>
      </w:r>
      <w:r>
        <w:rPr>
          <w:spacing w:val="22"/>
        </w:rPr>
        <w:t xml:space="preserve"> </w:t>
      </w:r>
      <w:r>
        <w:rPr>
          <w:spacing w:val="-1"/>
        </w:rPr>
        <w:t>paragraph</w:t>
      </w:r>
      <w:r>
        <w:rPr>
          <w:spacing w:val="25"/>
        </w:rPr>
        <w:t xml:space="preserve"> </w:t>
      </w:r>
      <w:hyperlink w:anchor="_bookmark293" w:history="1">
        <w:r>
          <w:rPr>
            <w:spacing w:val="-1"/>
          </w:rPr>
          <w:t>7.1.2</w:t>
        </w:r>
      </w:hyperlink>
      <w:r>
        <w:rPr>
          <w:spacing w:val="20"/>
        </w:rPr>
        <w:t xml:space="preserve"> </w:t>
      </w:r>
      <w:r>
        <w:rPr>
          <w:spacing w:val="-2"/>
        </w:rPr>
        <w:t>of</w:t>
      </w:r>
      <w:r>
        <w:rPr>
          <w:spacing w:val="23"/>
        </w:rPr>
        <w:t xml:space="preserve"> </w:t>
      </w:r>
      <w:r>
        <w:rPr>
          <w:spacing w:val="-1"/>
        </w:rPr>
        <w:t>this</w:t>
      </w:r>
      <w:r>
        <w:rPr>
          <w:spacing w:val="39"/>
        </w:rPr>
        <w:t xml:space="preserve"> </w:t>
      </w:r>
      <w:r>
        <w:rPr>
          <w:spacing w:val="-2"/>
        </w:rPr>
        <w:t>Call</w:t>
      </w:r>
      <w:r>
        <w:t xml:space="preserve"> </w:t>
      </w:r>
      <w:r>
        <w:rPr>
          <w:spacing w:val="-1"/>
        </w:rPr>
        <w:t>Off</w:t>
      </w:r>
      <w:r>
        <w:rPr>
          <w:spacing w:val="2"/>
        </w:rPr>
        <w:t xml:space="preserve"> </w:t>
      </w:r>
      <w:r>
        <w:rPr>
          <w:spacing w:val="-1"/>
        </w:rPr>
        <w:t>Schedule;</w:t>
      </w:r>
    </w:p>
    <w:p w:rsidR="008918FA" w:rsidRDefault="008918FA" w:rsidP="008918FA">
      <w:pPr>
        <w:pStyle w:val="BodyText"/>
        <w:numPr>
          <w:ilvl w:val="2"/>
          <w:numId w:val="28"/>
        </w:numPr>
        <w:tabs>
          <w:tab w:val="left" w:pos="2027"/>
        </w:tabs>
        <w:spacing w:before="121"/>
        <w:ind w:right="112"/>
        <w:jc w:val="both"/>
      </w:pPr>
      <w:r>
        <w:rPr>
          <w:spacing w:val="-1"/>
        </w:rPr>
        <w:t>in</w:t>
      </w:r>
      <w:r>
        <w:rPr>
          <w:spacing w:val="46"/>
        </w:rPr>
        <w:t xml:space="preserve"> </w:t>
      </w:r>
      <w:r>
        <w:rPr>
          <w:spacing w:val="-1"/>
        </w:rPr>
        <w:t>accordance</w:t>
      </w:r>
      <w:r>
        <w:rPr>
          <w:spacing w:val="46"/>
        </w:rPr>
        <w:t xml:space="preserve"> </w:t>
      </w:r>
      <w:r>
        <w:rPr>
          <w:spacing w:val="-2"/>
        </w:rPr>
        <w:t>with</w:t>
      </w:r>
      <w:r>
        <w:rPr>
          <w:spacing w:val="46"/>
        </w:rPr>
        <w:t xml:space="preserve"> </w:t>
      </w:r>
      <w:r>
        <w:rPr>
          <w:spacing w:val="-1"/>
        </w:rPr>
        <w:t>Clause</w:t>
      </w:r>
      <w:r>
        <w:rPr>
          <w:spacing w:val="46"/>
        </w:rPr>
        <w:t xml:space="preserve"> </w:t>
      </w:r>
      <w:hyperlink w:anchor="_bookmark108" w:history="1">
        <w:r>
          <w:rPr>
            <w:spacing w:val="-1"/>
          </w:rPr>
          <w:t>18</w:t>
        </w:r>
      </w:hyperlink>
      <w:r>
        <w:rPr>
          <w:spacing w:val="47"/>
        </w:rPr>
        <w:t xml:space="preserve"> </w:t>
      </w:r>
      <w:r>
        <w:rPr>
          <w:spacing w:val="-2"/>
        </w:rPr>
        <w:t>of</w:t>
      </w:r>
      <w:r>
        <w:rPr>
          <w:spacing w:val="47"/>
        </w:rPr>
        <w:t xml:space="preserve"> </w:t>
      </w:r>
      <w:r>
        <w:rPr>
          <w:spacing w:val="-1"/>
        </w:rPr>
        <w:t>this</w:t>
      </w:r>
      <w:r>
        <w:rPr>
          <w:spacing w:val="47"/>
        </w:rPr>
        <w:t xml:space="preserve"> </w:t>
      </w:r>
      <w:r>
        <w:rPr>
          <w:spacing w:val="-2"/>
        </w:rPr>
        <w:t>Call</w:t>
      </w:r>
      <w:r>
        <w:rPr>
          <w:spacing w:val="45"/>
        </w:rPr>
        <w:t xml:space="preserve"> </w:t>
      </w:r>
      <w:r>
        <w:rPr>
          <w:spacing w:val="-1"/>
        </w:rPr>
        <w:t>Off</w:t>
      </w:r>
      <w:r>
        <w:rPr>
          <w:spacing w:val="47"/>
        </w:rPr>
        <w:t xml:space="preserve"> </w:t>
      </w:r>
      <w:r>
        <w:rPr>
          <w:spacing w:val="-1"/>
        </w:rPr>
        <w:t>Contract</w:t>
      </w:r>
      <w:r>
        <w:rPr>
          <w:spacing w:val="48"/>
        </w:rPr>
        <w:t xml:space="preserve"> </w:t>
      </w:r>
      <w:r>
        <w:rPr>
          <w:spacing w:val="-1"/>
        </w:rPr>
        <w:t>(Continuous</w:t>
      </w:r>
      <w:r>
        <w:rPr>
          <w:spacing w:val="37"/>
        </w:rPr>
        <w:t xml:space="preserve"> </w:t>
      </w:r>
      <w:r>
        <w:rPr>
          <w:spacing w:val="-1"/>
        </w:rPr>
        <w:t>Improvement)</w:t>
      </w:r>
      <w:r>
        <w:rPr>
          <w:spacing w:val="6"/>
        </w:rPr>
        <w:t xml:space="preserve"> </w:t>
      </w:r>
      <w:r>
        <w:rPr>
          <w:spacing w:val="-2"/>
        </w:rPr>
        <w:t>where</w:t>
      </w:r>
      <w:r>
        <w:rPr>
          <w:spacing w:val="5"/>
        </w:rPr>
        <w:t xml:space="preserve"> </w:t>
      </w:r>
      <w:r>
        <w:rPr>
          <w:spacing w:val="-1"/>
        </w:rPr>
        <w:t>an</w:t>
      </w:r>
      <w:r>
        <w:rPr>
          <w:spacing w:val="3"/>
        </w:rPr>
        <w:t xml:space="preserve"> </w:t>
      </w:r>
      <w:r>
        <w:rPr>
          <w:spacing w:val="-1"/>
        </w:rPr>
        <w:t>adjustment</w:t>
      </w:r>
      <w:r>
        <w:rPr>
          <w:spacing w:val="7"/>
        </w:rPr>
        <w:t xml:space="preserve"> </w:t>
      </w:r>
      <w:r>
        <w:rPr>
          <w:spacing w:val="-1"/>
        </w:rPr>
        <w:t>to</w:t>
      </w:r>
      <w:r>
        <w:rPr>
          <w:spacing w:val="5"/>
        </w:rPr>
        <w:t xml:space="preserve"> </w:t>
      </w:r>
      <w:r>
        <w:t>the</w:t>
      </w:r>
      <w:r>
        <w:rPr>
          <w:spacing w:val="3"/>
        </w:rPr>
        <w:t xml:space="preserve"> </w:t>
      </w:r>
      <w:r>
        <w:rPr>
          <w:spacing w:val="-1"/>
        </w:rPr>
        <w:t>Call</w:t>
      </w:r>
      <w:r>
        <w:rPr>
          <w:spacing w:val="4"/>
        </w:rPr>
        <w:t xml:space="preserve"> </w:t>
      </w:r>
      <w:r>
        <w:rPr>
          <w:spacing w:val="-2"/>
        </w:rPr>
        <w:t>Off</w:t>
      </w:r>
      <w:r>
        <w:rPr>
          <w:spacing w:val="7"/>
        </w:rPr>
        <w:t xml:space="preserve"> </w:t>
      </w:r>
      <w:r>
        <w:rPr>
          <w:spacing w:val="-1"/>
        </w:rPr>
        <w:t>Contract</w:t>
      </w:r>
      <w:r>
        <w:rPr>
          <w:spacing w:val="5"/>
        </w:rPr>
        <w:t xml:space="preserve"> </w:t>
      </w:r>
      <w:r>
        <w:rPr>
          <w:spacing w:val="-1"/>
        </w:rPr>
        <w:t>Charges</w:t>
      </w:r>
      <w:r>
        <w:rPr>
          <w:spacing w:val="3"/>
        </w:rPr>
        <w:t xml:space="preserve"> </w:t>
      </w:r>
      <w:r>
        <w:rPr>
          <w:spacing w:val="-1"/>
        </w:rPr>
        <w:t>is</w:t>
      </w:r>
      <w:r>
        <w:rPr>
          <w:spacing w:val="27"/>
        </w:rPr>
        <w:t xml:space="preserve"> </w:t>
      </w:r>
      <w:r>
        <w:rPr>
          <w:spacing w:val="-1"/>
        </w:rPr>
        <w:t>made</w:t>
      </w:r>
      <w:r>
        <w:t xml:space="preserve"> </w:t>
      </w:r>
      <w:r>
        <w:rPr>
          <w:spacing w:val="-1"/>
        </w:rPr>
        <w:t>in</w:t>
      </w:r>
      <w:r>
        <w:t xml:space="preserve"> </w:t>
      </w:r>
      <w:r>
        <w:rPr>
          <w:spacing w:val="-1"/>
        </w:rPr>
        <w:t>accordance</w:t>
      </w:r>
      <w:r>
        <w:rPr>
          <w:spacing w:val="-2"/>
        </w:rPr>
        <w:t xml:space="preserve"> with</w:t>
      </w:r>
      <w:r>
        <w:t xml:space="preserve"> </w:t>
      </w:r>
      <w:r>
        <w:rPr>
          <w:spacing w:val="-1"/>
        </w:rPr>
        <w:t>paragraph</w:t>
      </w:r>
      <w:r>
        <w:t xml:space="preserve"> </w:t>
      </w:r>
      <w:hyperlink w:anchor="_bookmark294" w:history="1">
        <w:r>
          <w:rPr>
            <w:spacing w:val="-1"/>
          </w:rPr>
          <w:t>7.1.3</w:t>
        </w:r>
      </w:hyperlink>
      <w:r>
        <w:rPr>
          <w:spacing w:val="-1"/>
        </w:rPr>
        <w:t xml:space="preserve"> </w:t>
      </w:r>
      <w:r>
        <w:rPr>
          <w:spacing w:val="-2"/>
        </w:rPr>
        <w:t>of</w:t>
      </w:r>
      <w:r>
        <w:rPr>
          <w:spacing w:val="2"/>
        </w:rPr>
        <w:t xml:space="preserve"> </w:t>
      </w:r>
      <w:r>
        <w:rPr>
          <w:spacing w:val="-1"/>
        </w:rPr>
        <w:t>this</w:t>
      </w:r>
      <w:r>
        <w:rPr>
          <w:spacing w:val="-4"/>
        </w:rPr>
        <w:t xml:space="preserve"> </w:t>
      </w:r>
      <w:r>
        <w:rPr>
          <w:spacing w:val="-2"/>
        </w:rPr>
        <w:t>Call</w:t>
      </w:r>
      <w:r>
        <w:t xml:space="preserve"> </w:t>
      </w:r>
      <w:r>
        <w:rPr>
          <w:spacing w:val="-1"/>
        </w:rPr>
        <w:t>Off</w:t>
      </w:r>
      <w:r>
        <w:rPr>
          <w:spacing w:val="2"/>
        </w:rPr>
        <w:t xml:space="preserve"> </w:t>
      </w:r>
      <w:r>
        <w:rPr>
          <w:spacing w:val="-1"/>
        </w:rPr>
        <w:t>Schedule;</w:t>
      </w:r>
    </w:p>
    <w:p w:rsidR="008918FA" w:rsidRDefault="008918FA" w:rsidP="008918FA">
      <w:pPr>
        <w:pStyle w:val="BodyText"/>
        <w:numPr>
          <w:ilvl w:val="2"/>
          <w:numId w:val="28"/>
        </w:numPr>
        <w:tabs>
          <w:tab w:val="left" w:pos="2027"/>
        </w:tabs>
        <w:spacing w:before="121"/>
        <w:ind w:right="112"/>
        <w:jc w:val="both"/>
      </w:pPr>
      <w:r>
        <w:rPr>
          <w:spacing w:val="-1"/>
        </w:rPr>
        <w:t>in</w:t>
      </w:r>
      <w:r>
        <w:rPr>
          <w:spacing w:val="10"/>
        </w:rPr>
        <w:t xml:space="preserve"> </w:t>
      </w:r>
      <w:r>
        <w:rPr>
          <w:spacing w:val="-1"/>
        </w:rPr>
        <w:t>accordance</w:t>
      </w:r>
      <w:r>
        <w:rPr>
          <w:spacing w:val="10"/>
        </w:rPr>
        <w:t xml:space="preserve"> </w:t>
      </w:r>
      <w:r>
        <w:rPr>
          <w:spacing w:val="-2"/>
        </w:rPr>
        <w:t>with</w:t>
      </w:r>
      <w:r>
        <w:rPr>
          <w:spacing w:val="10"/>
        </w:rPr>
        <w:t xml:space="preserve"> </w:t>
      </w:r>
      <w:r>
        <w:rPr>
          <w:spacing w:val="-2"/>
        </w:rPr>
        <w:t>Clause</w:t>
      </w:r>
      <w:r>
        <w:rPr>
          <w:spacing w:val="10"/>
        </w:rPr>
        <w:t xml:space="preserve"> </w:t>
      </w:r>
      <w:hyperlink w:anchor="_bookmark135" w:history="1">
        <w:r>
          <w:rPr>
            <w:spacing w:val="-1"/>
          </w:rPr>
          <w:t>25</w:t>
        </w:r>
      </w:hyperlink>
      <w:r>
        <w:rPr>
          <w:spacing w:val="11"/>
        </w:rPr>
        <w:t xml:space="preserve"> </w:t>
      </w:r>
      <w:r>
        <w:rPr>
          <w:spacing w:val="-2"/>
        </w:rPr>
        <w:t>of</w:t>
      </w:r>
      <w:r>
        <w:rPr>
          <w:spacing w:val="11"/>
        </w:rPr>
        <w:t xml:space="preserve"> </w:t>
      </w:r>
      <w:r>
        <w:rPr>
          <w:spacing w:val="-1"/>
        </w:rPr>
        <w:t>this</w:t>
      </w:r>
      <w:r>
        <w:rPr>
          <w:spacing w:val="8"/>
        </w:rPr>
        <w:t xml:space="preserve"> </w:t>
      </w:r>
      <w:r>
        <w:rPr>
          <w:spacing w:val="-2"/>
        </w:rPr>
        <w:t>Call</w:t>
      </w:r>
      <w:r>
        <w:rPr>
          <w:spacing w:val="9"/>
        </w:rPr>
        <w:t xml:space="preserve"> </w:t>
      </w:r>
      <w:r>
        <w:rPr>
          <w:spacing w:val="-1"/>
        </w:rPr>
        <w:t>Off</w:t>
      </w:r>
      <w:r>
        <w:rPr>
          <w:spacing w:val="11"/>
        </w:rPr>
        <w:t xml:space="preserve"> </w:t>
      </w:r>
      <w:r>
        <w:rPr>
          <w:spacing w:val="-2"/>
        </w:rPr>
        <w:t>Contract</w:t>
      </w:r>
      <w:r>
        <w:rPr>
          <w:spacing w:val="9"/>
        </w:rPr>
        <w:t xml:space="preserve"> </w:t>
      </w:r>
      <w:r>
        <w:rPr>
          <w:spacing w:val="-1"/>
        </w:rPr>
        <w:t>(Benchmarking)</w:t>
      </w:r>
      <w:r>
        <w:rPr>
          <w:spacing w:val="63"/>
        </w:rPr>
        <w:t xml:space="preserve"> </w:t>
      </w:r>
      <w:r>
        <w:rPr>
          <w:spacing w:val="-2"/>
        </w:rPr>
        <w:t>where</w:t>
      </w:r>
      <w:r>
        <w:rPr>
          <w:spacing w:val="55"/>
        </w:rPr>
        <w:t xml:space="preserve"> </w:t>
      </w:r>
      <w:r>
        <w:rPr>
          <w:spacing w:val="-1"/>
        </w:rPr>
        <w:t>an</w:t>
      </w:r>
      <w:r>
        <w:rPr>
          <w:spacing w:val="55"/>
        </w:rPr>
        <w:t xml:space="preserve"> </w:t>
      </w:r>
      <w:r>
        <w:rPr>
          <w:spacing w:val="-1"/>
        </w:rPr>
        <w:t>adjustment</w:t>
      </w:r>
      <w:r>
        <w:rPr>
          <w:spacing w:val="57"/>
        </w:rPr>
        <w:t xml:space="preserve"> </w:t>
      </w:r>
      <w:r>
        <w:rPr>
          <w:spacing w:val="-1"/>
        </w:rPr>
        <w:t>to</w:t>
      </w:r>
      <w:r>
        <w:rPr>
          <w:spacing w:val="55"/>
        </w:rPr>
        <w:t xml:space="preserve"> </w:t>
      </w:r>
      <w:r>
        <w:t>the</w:t>
      </w:r>
      <w:r>
        <w:rPr>
          <w:spacing w:val="55"/>
        </w:rPr>
        <w:t xml:space="preserve"> </w:t>
      </w:r>
      <w:r>
        <w:rPr>
          <w:spacing w:val="-2"/>
        </w:rPr>
        <w:t>Call</w:t>
      </w:r>
      <w:r>
        <w:rPr>
          <w:spacing w:val="55"/>
        </w:rPr>
        <w:t xml:space="preserve"> </w:t>
      </w:r>
      <w:r>
        <w:t>Off</w:t>
      </w:r>
      <w:r>
        <w:rPr>
          <w:spacing w:val="58"/>
        </w:rPr>
        <w:t xml:space="preserve"> </w:t>
      </w:r>
      <w:r>
        <w:rPr>
          <w:spacing w:val="-1"/>
        </w:rPr>
        <w:t>Contract</w:t>
      </w:r>
      <w:r>
        <w:rPr>
          <w:spacing w:val="55"/>
        </w:rPr>
        <w:t xml:space="preserve"> </w:t>
      </w:r>
      <w:r>
        <w:rPr>
          <w:spacing w:val="-1"/>
        </w:rPr>
        <w:t>Charges</w:t>
      </w:r>
      <w:r>
        <w:rPr>
          <w:spacing w:val="56"/>
        </w:rPr>
        <w:t xml:space="preserve"> </w:t>
      </w:r>
      <w:r>
        <w:rPr>
          <w:spacing w:val="-1"/>
        </w:rPr>
        <w:t>is</w:t>
      </w:r>
      <w:r>
        <w:rPr>
          <w:spacing w:val="56"/>
        </w:rPr>
        <w:t xml:space="preserve"> </w:t>
      </w:r>
      <w:r>
        <w:rPr>
          <w:spacing w:val="-1"/>
        </w:rPr>
        <w:t>made</w:t>
      </w:r>
      <w:r>
        <w:rPr>
          <w:spacing w:val="55"/>
        </w:rPr>
        <w:t xml:space="preserve"> </w:t>
      </w:r>
      <w:r>
        <w:rPr>
          <w:spacing w:val="-1"/>
        </w:rPr>
        <w:t>in</w:t>
      </w:r>
      <w:r>
        <w:rPr>
          <w:spacing w:val="41"/>
        </w:rPr>
        <w:t xml:space="preserve"> </w:t>
      </w:r>
      <w:r>
        <w:rPr>
          <w:spacing w:val="-1"/>
        </w:rPr>
        <w:t>accordance</w:t>
      </w:r>
      <w:r>
        <w:rPr>
          <w:spacing w:val="-2"/>
        </w:rPr>
        <w:t xml:space="preserve"> with</w:t>
      </w:r>
      <w:r>
        <w:t xml:space="preserve"> </w:t>
      </w:r>
      <w:r>
        <w:rPr>
          <w:spacing w:val="-1"/>
        </w:rPr>
        <w:t>paragraph</w:t>
      </w:r>
      <w:r>
        <w:rPr>
          <w:spacing w:val="1"/>
        </w:rPr>
        <w:t xml:space="preserve"> </w:t>
      </w:r>
      <w:hyperlink w:anchor="_bookmark295" w:history="1">
        <w:r>
          <w:rPr>
            <w:spacing w:val="-1"/>
          </w:rPr>
          <w:t>7.1.4</w:t>
        </w:r>
      </w:hyperlink>
      <w:r>
        <w:t xml:space="preserve"> </w:t>
      </w:r>
      <w:r>
        <w:rPr>
          <w:spacing w:val="-2"/>
        </w:rPr>
        <w:t>of</w:t>
      </w:r>
      <w:r>
        <w:t xml:space="preserve"> </w:t>
      </w:r>
      <w:r>
        <w:rPr>
          <w:spacing w:val="-1"/>
        </w:rPr>
        <w:t>this</w:t>
      </w:r>
      <w:r>
        <w:rPr>
          <w:spacing w:val="1"/>
        </w:rPr>
        <w:t xml:space="preserve"> </w:t>
      </w:r>
      <w:r>
        <w:rPr>
          <w:spacing w:val="-2"/>
        </w:rPr>
        <w:t>Call</w:t>
      </w:r>
      <w:r>
        <w:t xml:space="preserve"> </w:t>
      </w:r>
      <w:r>
        <w:rPr>
          <w:spacing w:val="-2"/>
        </w:rPr>
        <w:t>Off</w:t>
      </w:r>
      <w:r>
        <w:rPr>
          <w:spacing w:val="2"/>
        </w:rPr>
        <w:t xml:space="preserve"> </w:t>
      </w:r>
      <w:r>
        <w:rPr>
          <w:spacing w:val="-2"/>
        </w:rPr>
        <w:t>Schedule</w:t>
      </w:r>
      <w:r>
        <w:t xml:space="preserve"> </w:t>
      </w:r>
      <w:r>
        <w:rPr>
          <w:spacing w:val="-1"/>
          <w:highlight w:val="yellow"/>
        </w:rPr>
        <w:t>[or]</w:t>
      </w:r>
    </w:p>
    <w:p w:rsidR="008918FA" w:rsidRDefault="008918FA" w:rsidP="008918FA">
      <w:pPr>
        <w:jc w:val="both"/>
        <w:sectPr w:rsidR="008918FA">
          <w:pgSz w:w="11910" w:h="16840"/>
          <w:pgMar w:top="1460" w:right="1300" w:bottom="1160" w:left="1540" w:header="0" w:footer="967" w:gutter="0"/>
          <w:cols w:space="720"/>
        </w:sectPr>
      </w:pPr>
    </w:p>
    <w:p w:rsidR="008918FA" w:rsidRDefault="008918FA" w:rsidP="008918FA">
      <w:pPr>
        <w:pStyle w:val="BodyText"/>
        <w:numPr>
          <w:ilvl w:val="2"/>
          <w:numId w:val="28"/>
        </w:numPr>
        <w:tabs>
          <w:tab w:val="left" w:pos="1887"/>
        </w:tabs>
        <w:spacing w:before="59"/>
        <w:ind w:left="1886" w:right="112"/>
        <w:jc w:val="both"/>
      </w:pPr>
      <w:bookmarkStart w:id="368" w:name="_bookmark302"/>
      <w:bookmarkEnd w:id="368"/>
      <w:r>
        <w:rPr>
          <w:spacing w:val="-1"/>
        </w:rPr>
        <w:t>on</w:t>
      </w:r>
      <w:r>
        <w:rPr>
          <w:spacing w:val="17"/>
        </w:rPr>
        <w:t xml:space="preserve"> </w:t>
      </w:r>
      <w:r>
        <w:rPr>
          <w:highlight w:val="yellow"/>
        </w:rPr>
        <w:t>[1</w:t>
      </w:r>
      <w:r>
        <w:rPr>
          <w:spacing w:val="17"/>
          <w:highlight w:val="yellow"/>
        </w:rPr>
        <w:t xml:space="preserve"> </w:t>
      </w:r>
      <w:r>
        <w:rPr>
          <w:spacing w:val="-1"/>
          <w:highlight w:val="yellow"/>
        </w:rPr>
        <w:t>August</w:t>
      </w:r>
      <w:r>
        <w:rPr>
          <w:spacing w:val="17"/>
          <w:highlight w:val="yellow"/>
        </w:rPr>
        <w:t xml:space="preserve"> </w:t>
      </w:r>
      <w:r>
        <w:rPr>
          <w:highlight w:val="yellow"/>
        </w:rPr>
        <w:t>]</w:t>
      </w:r>
      <w:r>
        <w:rPr>
          <w:spacing w:val="16"/>
          <w:highlight w:val="yellow"/>
        </w:rPr>
        <w:t xml:space="preserve"> </w:t>
      </w:r>
      <w:r>
        <w:t>for</w:t>
      </w:r>
      <w:r>
        <w:rPr>
          <w:spacing w:val="19"/>
        </w:rPr>
        <w:t xml:space="preserve"> </w:t>
      </w:r>
      <w:r>
        <w:rPr>
          <w:spacing w:val="-1"/>
        </w:rPr>
        <w:t>assessments</w:t>
      </w:r>
      <w:r>
        <w:rPr>
          <w:spacing w:val="18"/>
        </w:rPr>
        <w:t xml:space="preserve"> </w:t>
      </w:r>
      <w:r>
        <w:rPr>
          <w:spacing w:val="-1"/>
        </w:rPr>
        <w:t>made</w:t>
      </w:r>
      <w:r>
        <w:rPr>
          <w:spacing w:val="17"/>
        </w:rPr>
        <w:t xml:space="preserve"> </w:t>
      </w:r>
      <w:r>
        <w:rPr>
          <w:spacing w:val="-1"/>
        </w:rPr>
        <w:t>on</w:t>
      </w:r>
      <w:r>
        <w:rPr>
          <w:spacing w:val="17"/>
        </w:rPr>
        <w:t xml:space="preserve"> </w:t>
      </w:r>
      <w:r>
        <w:rPr>
          <w:highlight w:val="yellow"/>
        </w:rPr>
        <w:t>[1</w:t>
      </w:r>
      <w:r>
        <w:rPr>
          <w:spacing w:val="17"/>
          <w:highlight w:val="yellow"/>
        </w:rPr>
        <w:t xml:space="preserve"> </w:t>
      </w:r>
      <w:r>
        <w:rPr>
          <w:spacing w:val="-1"/>
          <w:highlight w:val="yellow"/>
        </w:rPr>
        <w:t>July]</w:t>
      </w:r>
      <w:r>
        <w:rPr>
          <w:spacing w:val="19"/>
          <w:highlight w:val="yellow"/>
        </w:rPr>
        <w:t xml:space="preserve"> </w:t>
      </w:r>
      <w:r>
        <w:rPr>
          <w:spacing w:val="-1"/>
        </w:rPr>
        <w:t>and</w:t>
      </w:r>
      <w:r>
        <w:rPr>
          <w:spacing w:val="17"/>
        </w:rPr>
        <w:t xml:space="preserve"> </w:t>
      </w:r>
      <w:r>
        <w:rPr>
          <w:spacing w:val="-1"/>
        </w:rPr>
        <w:t>on</w:t>
      </w:r>
      <w:r>
        <w:rPr>
          <w:spacing w:val="17"/>
        </w:rPr>
        <w:t xml:space="preserve"> </w:t>
      </w:r>
      <w:r>
        <w:rPr>
          <w:spacing w:val="1"/>
          <w:highlight w:val="yellow"/>
        </w:rPr>
        <w:t>[2</w:t>
      </w:r>
      <w:r>
        <w:rPr>
          <w:spacing w:val="16"/>
          <w:highlight w:val="yellow"/>
        </w:rPr>
        <w:t xml:space="preserve"> </w:t>
      </w:r>
      <w:r>
        <w:rPr>
          <w:spacing w:val="-1"/>
          <w:highlight w:val="yellow"/>
        </w:rPr>
        <w:t>February]</w:t>
      </w:r>
      <w:r>
        <w:rPr>
          <w:spacing w:val="33"/>
        </w:rPr>
        <w:t xml:space="preserve"> </w:t>
      </w:r>
      <w:r>
        <w:t>for</w:t>
      </w:r>
      <w:r>
        <w:rPr>
          <w:spacing w:val="9"/>
        </w:rPr>
        <w:t xml:space="preserve"> </w:t>
      </w:r>
      <w:r>
        <w:rPr>
          <w:spacing w:val="-1"/>
        </w:rPr>
        <w:t>assessments</w:t>
      </w:r>
      <w:r>
        <w:rPr>
          <w:spacing w:val="8"/>
        </w:rPr>
        <w:t xml:space="preserve"> </w:t>
      </w:r>
      <w:r>
        <w:rPr>
          <w:spacing w:val="-1"/>
        </w:rPr>
        <w:t>made</w:t>
      </w:r>
      <w:r>
        <w:rPr>
          <w:spacing w:val="7"/>
        </w:rPr>
        <w:t xml:space="preserve"> </w:t>
      </w:r>
      <w:r>
        <w:rPr>
          <w:spacing w:val="-2"/>
        </w:rPr>
        <w:t>on</w:t>
      </w:r>
      <w:r>
        <w:rPr>
          <w:spacing w:val="7"/>
        </w:rPr>
        <w:t xml:space="preserve"> </w:t>
      </w:r>
      <w:r>
        <w:rPr>
          <w:highlight w:val="yellow"/>
        </w:rPr>
        <w:t>[2</w:t>
      </w:r>
      <w:r>
        <w:rPr>
          <w:spacing w:val="7"/>
          <w:highlight w:val="yellow"/>
        </w:rPr>
        <w:t xml:space="preserve"> </w:t>
      </w:r>
      <w:r>
        <w:rPr>
          <w:spacing w:val="-1"/>
          <w:highlight w:val="yellow"/>
        </w:rPr>
        <w:t>January]</w:t>
      </w:r>
      <w:r>
        <w:rPr>
          <w:spacing w:val="9"/>
          <w:highlight w:val="yellow"/>
        </w:rPr>
        <w:t xml:space="preserve"> </w:t>
      </w:r>
      <w:r>
        <w:rPr>
          <w:spacing w:val="-2"/>
        </w:rPr>
        <w:t>where</w:t>
      </w:r>
      <w:r>
        <w:rPr>
          <w:spacing w:val="7"/>
        </w:rPr>
        <w:t xml:space="preserve"> </w:t>
      </w:r>
      <w:r>
        <w:rPr>
          <w:spacing w:val="-1"/>
        </w:rPr>
        <w:t>an</w:t>
      </w:r>
      <w:r>
        <w:rPr>
          <w:spacing w:val="10"/>
        </w:rPr>
        <w:t xml:space="preserve"> </w:t>
      </w:r>
      <w:r>
        <w:rPr>
          <w:spacing w:val="-1"/>
        </w:rPr>
        <w:t>adjustment</w:t>
      </w:r>
      <w:r>
        <w:rPr>
          <w:spacing w:val="9"/>
        </w:rPr>
        <w:t xml:space="preserve"> </w:t>
      </w:r>
      <w:r>
        <w:t>to</w:t>
      </w:r>
      <w:r>
        <w:rPr>
          <w:spacing w:val="7"/>
        </w:rPr>
        <w:t xml:space="preserve"> </w:t>
      </w:r>
      <w:r>
        <w:t>the</w:t>
      </w:r>
      <w:r>
        <w:rPr>
          <w:spacing w:val="7"/>
        </w:rPr>
        <w:t xml:space="preserve"> </w:t>
      </w:r>
      <w:r>
        <w:rPr>
          <w:spacing w:val="-2"/>
        </w:rPr>
        <w:t>Call</w:t>
      </w:r>
      <w:r>
        <w:rPr>
          <w:spacing w:val="39"/>
        </w:rPr>
        <w:t xml:space="preserve"> </w:t>
      </w:r>
      <w:r>
        <w:rPr>
          <w:spacing w:val="-1"/>
        </w:rPr>
        <w:t>Off</w:t>
      </w:r>
      <w:r>
        <w:rPr>
          <w:spacing w:val="28"/>
        </w:rPr>
        <w:t xml:space="preserve"> </w:t>
      </w:r>
      <w:r>
        <w:rPr>
          <w:spacing w:val="-2"/>
        </w:rPr>
        <w:t>Contract</w:t>
      </w:r>
      <w:r>
        <w:rPr>
          <w:spacing w:val="28"/>
        </w:rPr>
        <w:t xml:space="preserve"> </w:t>
      </w:r>
      <w:r>
        <w:rPr>
          <w:spacing w:val="-1"/>
        </w:rPr>
        <w:t>Charges</w:t>
      </w:r>
      <w:r>
        <w:rPr>
          <w:spacing w:val="25"/>
        </w:rPr>
        <w:t xml:space="preserve"> </w:t>
      </w:r>
      <w:r>
        <w:rPr>
          <w:spacing w:val="-1"/>
        </w:rPr>
        <w:t>is</w:t>
      </w:r>
      <w:r>
        <w:rPr>
          <w:spacing w:val="28"/>
        </w:rPr>
        <w:t xml:space="preserve"> </w:t>
      </w:r>
      <w:r>
        <w:rPr>
          <w:spacing w:val="-1"/>
        </w:rPr>
        <w:t>made</w:t>
      </w:r>
      <w:r>
        <w:rPr>
          <w:spacing w:val="27"/>
        </w:rPr>
        <w:t xml:space="preserve"> </w:t>
      </w:r>
      <w:r>
        <w:rPr>
          <w:spacing w:val="-1"/>
        </w:rPr>
        <w:t>in</w:t>
      </w:r>
      <w:r>
        <w:rPr>
          <w:spacing w:val="27"/>
        </w:rPr>
        <w:t xml:space="preserve"> </w:t>
      </w:r>
      <w:r>
        <w:rPr>
          <w:spacing w:val="-1"/>
        </w:rPr>
        <w:t>accordance</w:t>
      </w:r>
      <w:r>
        <w:rPr>
          <w:spacing w:val="27"/>
        </w:rPr>
        <w:t xml:space="preserve"> </w:t>
      </w:r>
      <w:r>
        <w:rPr>
          <w:spacing w:val="-2"/>
        </w:rPr>
        <w:t>with</w:t>
      </w:r>
      <w:r>
        <w:rPr>
          <w:spacing w:val="27"/>
        </w:rPr>
        <w:t xml:space="preserve"> </w:t>
      </w:r>
      <w:r>
        <w:rPr>
          <w:spacing w:val="-1"/>
        </w:rPr>
        <w:t>paragraph</w:t>
      </w:r>
      <w:r>
        <w:rPr>
          <w:spacing w:val="28"/>
        </w:rPr>
        <w:t xml:space="preserve"> </w:t>
      </w:r>
      <w:hyperlink w:anchor="_bookmark296" w:history="1">
        <w:r>
          <w:rPr>
            <w:spacing w:val="-1"/>
          </w:rPr>
          <w:t>7.1.5</w:t>
        </w:r>
      </w:hyperlink>
      <w:r>
        <w:rPr>
          <w:spacing w:val="24"/>
        </w:rPr>
        <w:t xml:space="preserve"> </w:t>
      </w:r>
      <w:r>
        <w:rPr>
          <w:spacing w:val="-3"/>
        </w:rPr>
        <w:t>of</w:t>
      </w:r>
      <w:r>
        <w:rPr>
          <w:spacing w:val="38"/>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1"/>
          <w:highlight w:val="yellow"/>
        </w:rPr>
        <w:t>[.]</w:t>
      </w:r>
      <w:r>
        <w:rPr>
          <w:highlight w:val="yellow"/>
        </w:rPr>
        <w:t xml:space="preserve"> </w:t>
      </w:r>
      <w:r>
        <w:rPr>
          <w:spacing w:val="-1"/>
          <w:highlight w:val="yellow"/>
        </w:rPr>
        <w:t>[;</w:t>
      </w:r>
      <w:r>
        <w:rPr>
          <w:spacing w:val="2"/>
          <w:highlight w:val="yellow"/>
        </w:rPr>
        <w:t xml:space="preserve"> </w:t>
      </w:r>
      <w:r>
        <w:rPr>
          <w:spacing w:val="-1"/>
          <w:highlight w:val="yellow"/>
        </w:rPr>
        <w:t>or]</w:t>
      </w:r>
    </w:p>
    <w:p w:rsidR="008918FA" w:rsidRDefault="008918FA" w:rsidP="008918FA">
      <w:pPr>
        <w:spacing w:before="9"/>
        <w:rPr>
          <w:rFonts w:ascii="Arial" w:eastAsia="Arial" w:hAnsi="Arial" w:cs="Arial"/>
          <w:sz w:val="10"/>
          <w:szCs w:val="10"/>
        </w:rPr>
      </w:pPr>
    </w:p>
    <w:p w:rsidR="008918FA" w:rsidRDefault="008918FA" w:rsidP="008918FA">
      <w:pPr>
        <w:spacing w:line="200" w:lineRule="atLeast"/>
        <w:ind w:left="892"/>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4880BE11" wp14:editId="0E087C34">
                <wp:extent cx="5029200" cy="481965"/>
                <wp:effectExtent l="0" t="0" r="0" b="3810"/>
                <wp:docPr id="3525" name="Group 3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81965"/>
                          <a:chOff x="0" y="0"/>
                          <a:chExt cx="7920" cy="759"/>
                        </a:xfrm>
                      </wpg:grpSpPr>
                      <wpg:grpSp>
                        <wpg:cNvPr id="3526" name="Group 3523"/>
                        <wpg:cNvGrpSpPr>
                          <a:grpSpLocks/>
                        </wpg:cNvGrpSpPr>
                        <wpg:grpSpPr bwMode="auto">
                          <a:xfrm>
                            <a:off x="0" y="0"/>
                            <a:ext cx="7918" cy="252"/>
                            <a:chOff x="0" y="0"/>
                            <a:chExt cx="7918" cy="252"/>
                          </a:xfrm>
                        </wpg:grpSpPr>
                        <wps:wsp>
                          <wps:cNvPr id="3527" name="Freeform 3524"/>
                          <wps:cNvSpPr>
                            <a:spLocks/>
                          </wps:cNvSpPr>
                          <wps:spPr bwMode="auto">
                            <a:xfrm>
                              <a:off x="0" y="0"/>
                              <a:ext cx="7918" cy="252"/>
                            </a:xfrm>
                            <a:custGeom>
                              <a:avLst/>
                              <a:gdLst>
                                <a:gd name="T0" fmla="*/ 0 w 7918"/>
                                <a:gd name="T1" fmla="*/ 252 h 252"/>
                                <a:gd name="T2" fmla="*/ 7918 w 7918"/>
                                <a:gd name="T3" fmla="*/ 252 h 252"/>
                                <a:gd name="T4" fmla="*/ 7918 w 7918"/>
                                <a:gd name="T5" fmla="*/ 0 h 252"/>
                                <a:gd name="T6" fmla="*/ 0 w 7918"/>
                                <a:gd name="T7" fmla="*/ 0 h 252"/>
                                <a:gd name="T8" fmla="*/ 0 w 7918"/>
                                <a:gd name="T9" fmla="*/ 252 h 252"/>
                              </a:gdLst>
                              <a:ahLst/>
                              <a:cxnLst>
                                <a:cxn ang="0">
                                  <a:pos x="T0" y="T1"/>
                                </a:cxn>
                                <a:cxn ang="0">
                                  <a:pos x="T2" y="T3"/>
                                </a:cxn>
                                <a:cxn ang="0">
                                  <a:pos x="T4" y="T5"/>
                                </a:cxn>
                                <a:cxn ang="0">
                                  <a:pos x="T6" y="T7"/>
                                </a:cxn>
                                <a:cxn ang="0">
                                  <a:pos x="T8" y="T9"/>
                                </a:cxn>
                              </a:cxnLst>
                              <a:rect l="0" t="0" r="r" b="b"/>
                              <a:pathLst>
                                <a:path w="7918" h="252">
                                  <a:moveTo>
                                    <a:pt x="0" y="252"/>
                                  </a:moveTo>
                                  <a:lnTo>
                                    <a:pt x="7918" y="252"/>
                                  </a:lnTo>
                                  <a:lnTo>
                                    <a:pt x="7918"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8" name="Group 3521"/>
                        <wpg:cNvGrpSpPr>
                          <a:grpSpLocks/>
                        </wpg:cNvGrpSpPr>
                        <wpg:grpSpPr bwMode="auto">
                          <a:xfrm>
                            <a:off x="994" y="252"/>
                            <a:ext cx="6924" cy="252"/>
                            <a:chOff x="994" y="252"/>
                            <a:chExt cx="6924" cy="252"/>
                          </a:xfrm>
                        </wpg:grpSpPr>
                        <wps:wsp>
                          <wps:cNvPr id="3529" name="Freeform 3522"/>
                          <wps:cNvSpPr>
                            <a:spLocks/>
                          </wps:cNvSpPr>
                          <wps:spPr bwMode="auto">
                            <a:xfrm>
                              <a:off x="994" y="252"/>
                              <a:ext cx="6924" cy="252"/>
                            </a:xfrm>
                            <a:custGeom>
                              <a:avLst/>
                              <a:gdLst>
                                <a:gd name="T0" fmla="+- 0 994 994"/>
                                <a:gd name="T1" fmla="*/ T0 w 6924"/>
                                <a:gd name="T2" fmla="+- 0 504 252"/>
                                <a:gd name="T3" fmla="*/ 504 h 252"/>
                                <a:gd name="T4" fmla="+- 0 7918 994"/>
                                <a:gd name="T5" fmla="*/ T4 w 6924"/>
                                <a:gd name="T6" fmla="+- 0 504 252"/>
                                <a:gd name="T7" fmla="*/ 504 h 252"/>
                                <a:gd name="T8" fmla="+- 0 7918 994"/>
                                <a:gd name="T9" fmla="*/ T8 w 6924"/>
                                <a:gd name="T10" fmla="+- 0 252 252"/>
                                <a:gd name="T11" fmla="*/ 252 h 252"/>
                                <a:gd name="T12" fmla="+- 0 994 994"/>
                                <a:gd name="T13" fmla="*/ T12 w 6924"/>
                                <a:gd name="T14" fmla="+- 0 252 252"/>
                                <a:gd name="T15" fmla="*/ 252 h 252"/>
                                <a:gd name="T16" fmla="+- 0 994 994"/>
                                <a:gd name="T17" fmla="*/ T16 w 6924"/>
                                <a:gd name="T18" fmla="+- 0 504 252"/>
                                <a:gd name="T19" fmla="*/ 504 h 252"/>
                              </a:gdLst>
                              <a:ahLst/>
                              <a:cxnLst>
                                <a:cxn ang="0">
                                  <a:pos x="T1" y="T3"/>
                                </a:cxn>
                                <a:cxn ang="0">
                                  <a:pos x="T5" y="T7"/>
                                </a:cxn>
                                <a:cxn ang="0">
                                  <a:pos x="T9" y="T11"/>
                                </a:cxn>
                                <a:cxn ang="0">
                                  <a:pos x="T13" y="T15"/>
                                </a:cxn>
                                <a:cxn ang="0">
                                  <a:pos x="T17" y="T19"/>
                                </a:cxn>
                              </a:cxnLst>
                              <a:rect l="0" t="0" r="r" b="b"/>
                              <a:pathLst>
                                <a:path w="6924" h="252">
                                  <a:moveTo>
                                    <a:pt x="0" y="252"/>
                                  </a:moveTo>
                                  <a:lnTo>
                                    <a:pt x="6924" y="252"/>
                                  </a:lnTo>
                                  <a:lnTo>
                                    <a:pt x="6924"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0" name="Group 3518"/>
                        <wpg:cNvGrpSpPr>
                          <a:grpSpLocks/>
                        </wpg:cNvGrpSpPr>
                        <wpg:grpSpPr bwMode="auto">
                          <a:xfrm>
                            <a:off x="994" y="504"/>
                            <a:ext cx="1834" cy="255"/>
                            <a:chOff x="994" y="504"/>
                            <a:chExt cx="1834" cy="255"/>
                          </a:xfrm>
                        </wpg:grpSpPr>
                        <wps:wsp>
                          <wps:cNvPr id="3531" name="Freeform 3520"/>
                          <wps:cNvSpPr>
                            <a:spLocks/>
                          </wps:cNvSpPr>
                          <wps:spPr bwMode="auto">
                            <a:xfrm>
                              <a:off x="994" y="504"/>
                              <a:ext cx="1834" cy="255"/>
                            </a:xfrm>
                            <a:custGeom>
                              <a:avLst/>
                              <a:gdLst>
                                <a:gd name="T0" fmla="+- 0 994 994"/>
                                <a:gd name="T1" fmla="*/ T0 w 1834"/>
                                <a:gd name="T2" fmla="+- 0 758 504"/>
                                <a:gd name="T3" fmla="*/ 758 h 255"/>
                                <a:gd name="T4" fmla="+- 0 2827 994"/>
                                <a:gd name="T5" fmla="*/ T4 w 1834"/>
                                <a:gd name="T6" fmla="+- 0 758 504"/>
                                <a:gd name="T7" fmla="*/ 758 h 255"/>
                                <a:gd name="T8" fmla="+- 0 2827 994"/>
                                <a:gd name="T9" fmla="*/ T8 w 1834"/>
                                <a:gd name="T10" fmla="+- 0 504 504"/>
                                <a:gd name="T11" fmla="*/ 504 h 255"/>
                                <a:gd name="T12" fmla="+- 0 994 994"/>
                                <a:gd name="T13" fmla="*/ T12 w 1834"/>
                                <a:gd name="T14" fmla="+- 0 504 504"/>
                                <a:gd name="T15" fmla="*/ 504 h 255"/>
                                <a:gd name="T16" fmla="+- 0 994 994"/>
                                <a:gd name="T17" fmla="*/ T16 w 1834"/>
                                <a:gd name="T18" fmla="+- 0 758 504"/>
                                <a:gd name="T19" fmla="*/ 758 h 255"/>
                              </a:gdLst>
                              <a:ahLst/>
                              <a:cxnLst>
                                <a:cxn ang="0">
                                  <a:pos x="T1" y="T3"/>
                                </a:cxn>
                                <a:cxn ang="0">
                                  <a:pos x="T5" y="T7"/>
                                </a:cxn>
                                <a:cxn ang="0">
                                  <a:pos x="T9" y="T11"/>
                                </a:cxn>
                                <a:cxn ang="0">
                                  <a:pos x="T13" y="T15"/>
                                </a:cxn>
                                <a:cxn ang="0">
                                  <a:pos x="T17" y="T19"/>
                                </a:cxn>
                              </a:cxnLst>
                              <a:rect l="0" t="0" r="r" b="b"/>
                              <a:pathLst>
                                <a:path w="1834" h="255">
                                  <a:moveTo>
                                    <a:pt x="0" y="254"/>
                                  </a:moveTo>
                                  <a:lnTo>
                                    <a:pt x="1833" y="254"/>
                                  </a:lnTo>
                                  <a:lnTo>
                                    <a:pt x="1833"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 name="Text Box 3519"/>
                          <wps:cNvSpPr txBox="1">
                            <a:spLocks noChangeArrowheads="1"/>
                          </wps:cNvSpPr>
                          <wps:spPr bwMode="auto">
                            <a:xfrm>
                              <a:off x="0" y="0"/>
                              <a:ext cx="792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line="252" w:lineRule="exact"/>
                                  <w:ind w:left="993" w:hanging="994"/>
                                  <w:jc w:val="both"/>
                                  <w:rPr>
                                    <w:rFonts w:ascii="Arial" w:eastAsia="Arial" w:hAnsi="Arial" w:cs="Arial"/>
                                  </w:rPr>
                                </w:pPr>
                                <w:r>
                                  <w:rPr>
                                    <w:rFonts w:ascii="Arial"/>
                                    <w:spacing w:val="-1"/>
                                  </w:rPr>
                                  <w:t>11.1.6</w:t>
                                </w:r>
                                <w:r>
                                  <w:rPr>
                                    <w:rFonts w:ascii="Arial"/>
                                    <w:spacing w:val="11"/>
                                  </w:rPr>
                                  <w:t xml:space="preserve"> </w:t>
                                </w:r>
                                <w:r>
                                  <w:rPr>
                                    <w:rFonts w:ascii="Arial"/>
                                  </w:rPr>
                                  <w:t>[on</w:t>
                                </w:r>
                                <w:r>
                                  <w:rPr>
                                    <w:rFonts w:ascii="Arial"/>
                                    <w:spacing w:val="24"/>
                                  </w:rPr>
                                  <w:t xml:space="preserve"> </w:t>
                                </w:r>
                                <w:r>
                                  <w:rPr>
                                    <w:rFonts w:ascii="Arial"/>
                                  </w:rPr>
                                  <w:t>the</w:t>
                                </w:r>
                                <w:r>
                                  <w:rPr>
                                    <w:rFonts w:ascii="Arial"/>
                                    <w:spacing w:val="22"/>
                                  </w:rPr>
                                  <w:t xml:space="preserve"> </w:t>
                                </w:r>
                                <w:r>
                                  <w:rPr>
                                    <w:rFonts w:ascii="Arial"/>
                                    <w:spacing w:val="-1"/>
                                  </w:rPr>
                                  <w:t>Review</w:t>
                                </w:r>
                                <w:r>
                                  <w:rPr>
                                    <w:rFonts w:ascii="Arial"/>
                                    <w:spacing w:val="21"/>
                                  </w:rPr>
                                  <w:t xml:space="preserve"> </w:t>
                                </w:r>
                                <w:r>
                                  <w:rPr>
                                    <w:rFonts w:ascii="Arial"/>
                                    <w:spacing w:val="-1"/>
                                  </w:rPr>
                                  <w:t>Adjustment</w:t>
                                </w:r>
                                <w:r>
                                  <w:rPr>
                                    <w:rFonts w:ascii="Arial"/>
                                    <w:spacing w:val="26"/>
                                  </w:rPr>
                                  <w:t xml:space="preserve"> </w:t>
                                </w:r>
                                <w:r>
                                  <w:rPr>
                                    <w:rFonts w:ascii="Arial"/>
                                    <w:spacing w:val="-1"/>
                                  </w:rPr>
                                  <w:t>Date</w:t>
                                </w:r>
                                <w:r>
                                  <w:rPr>
                                    <w:rFonts w:ascii="Arial"/>
                                    <w:spacing w:val="24"/>
                                  </w:rPr>
                                  <w:t xml:space="preserve"> </w:t>
                                </w:r>
                                <w:r>
                                  <w:rPr>
                                    <w:rFonts w:ascii="Arial"/>
                                    <w:spacing w:val="-2"/>
                                  </w:rPr>
                                  <w:t>where</w:t>
                                </w:r>
                                <w:r>
                                  <w:rPr>
                                    <w:rFonts w:ascii="Arial"/>
                                    <w:spacing w:val="24"/>
                                  </w:rPr>
                                  <w:t xml:space="preserve"> </w:t>
                                </w:r>
                                <w:r>
                                  <w:rPr>
                                    <w:rFonts w:ascii="Arial"/>
                                    <w:spacing w:val="-1"/>
                                  </w:rPr>
                                  <w:t>an</w:t>
                                </w:r>
                                <w:r>
                                  <w:rPr>
                                    <w:rFonts w:ascii="Arial"/>
                                    <w:spacing w:val="24"/>
                                  </w:rPr>
                                  <w:t xml:space="preserve"> </w:t>
                                </w:r>
                                <w:r>
                                  <w:rPr>
                                    <w:rFonts w:ascii="Arial"/>
                                    <w:spacing w:val="-1"/>
                                  </w:rPr>
                                  <w:t>adjustment</w:t>
                                </w:r>
                                <w:r>
                                  <w:rPr>
                                    <w:rFonts w:ascii="Arial"/>
                                    <w:spacing w:val="23"/>
                                  </w:rPr>
                                  <w:t xml:space="preserve"> </w:t>
                                </w:r>
                                <w:r>
                                  <w:rPr>
                                    <w:rFonts w:ascii="Arial"/>
                                  </w:rPr>
                                  <w:t>to</w:t>
                                </w:r>
                                <w:r>
                                  <w:rPr>
                                    <w:rFonts w:ascii="Arial"/>
                                    <w:spacing w:val="22"/>
                                  </w:rPr>
                                  <w:t xml:space="preserve"> </w:t>
                                </w:r>
                                <w:r>
                                  <w:rPr>
                                    <w:rFonts w:ascii="Arial"/>
                                  </w:rPr>
                                  <w:t>the</w:t>
                                </w:r>
                                <w:r>
                                  <w:rPr>
                                    <w:rFonts w:ascii="Arial"/>
                                    <w:spacing w:val="24"/>
                                  </w:rPr>
                                  <w:t xml:space="preserve"> </w:t>
                                </w:r>
                                <w:r>
                                  <w:rPr>
                                    <w:rFonts w:ascii="Arial"/>
                                    <w:spacing w:val="-2"/>
                                  </w:rPr>
                                  <w:t>Call</w:t>
                                </w:r>
                                <w:r>
                                  <w:rPr>
                                    <w:rFonts w:ascii="Arial"/>
                                    <w:spacing w:val="21"/>
                                  </w:rPr>
                                  <w:t xml:space="preserve"> </w:t>
                                </w:r>
                                <w:r>
                                  <w:rPr>
                                    <w:rFonts w:ascii="Arial"/>
                                    <w:spacing w:val="-1"/>
                                  </w:rPr>
                                  <w:t>Off</w:t>
                                </w:r>
                                <w:r>
                                  <w:rPr>
                                    <w:rFonts w:ascii="Arial"/>
                                    <w:spacing w:val="45"/>
                                  </w:rPr>
                                  <w:t xml:space="preserve"> </w:t>
                                </w:r>
                                <w:r>
                                  <w:rPr>
                                    <w:rFonts w:ascii="Arial"/>
                                    <w:spacing w:val="-1"/>
                                  </w:rPr>
                                  <w:t>Contract</w:t>
                                </w:r>
                                <w:r>
                                  <w:rPr>
                                    <w:rFonts w:ascii="Arial"/>
                                    <w:spacing w:val="23"/>
                                  </w:rPr>
                                  <w:t xml:space="preserve"> </w:t>
                                </w:r>
                                <w:r>
                                  <w:rPr>
                                    <w:rFonts w:ascii="Arial"/>
                                    <w:spacing w:val="-1"/>
                                  </w:rPr>
                                  <w:t>Charges</w:t>
                                </w:r>
                                <w:r>
                                  <w:rPr>
                                    <w:rFonts w:ascii="Arial"/>
                                    <w:spacing w:val="20"/>
                                  </w:rPr>
                                  <w:t xml:space="preserve"> </w:t>
                                </w:r>
                                <w:r>
                                  <w:rPr>
                                    <w:rFonts w:ascii="Arial"/>
                                    <w:spacing w:val="-1"/>
                                  </w:rPr>
                                  <w:t>is</w:t>
                                </w:r>
                                <w:r>
                                  <w:rPr>
                                    <w:rFonts w:ascii="Arial"/>
                                    <w:spacing w:val="23"/>
                                  </w:rPr>
                                  <w:t xml:space="preserve"> </w:t>
                                </w:r>
                                <w:r>
                                  <w:rPr>
                                    <w:rFonts w:ascii="Arial"/>
                                    <w:spacing w:val="-1"/>
                                  </w:rPr>
                                  <w:t>made</w:t>
                                </w:r>
                                <w:r>
                                  <w:rPr>
                                    <w:rFonts w:ascii="Arial"/>
                                    <w:spacing w:val="22"/>
                                  </w:rPr>
                                  <w:t xml:space="preserve"> </w:t>
                                </w:r>
                                <w:r>
                                  <w:rPr>
                                    <w:rFonts w:ascii="Arial"/>
                                    <w:spacing w:val="-1"/>
                                  </w:rPr>
                                  <w:t>in</w:t>
                                </w:r>
                                <w:r>
                                  <w:rPr>
                                    <w:rFonts w:ascii="Arial"/>
                                    <w:spacing w:val="22"/>
                                  </w:rPr>
                                  <w:t xml:space="preserve"> </w:t>
                                </w:r>
                                <w:r>
                                  <w:rPr>
                                    <w:rFonts w:ascii="Arial"/>
                                    <w:spacing w:val="-1"/>
                                  </w:rPr>
                                  <w:t>accordance</w:t>
                                </w:r>
                                <w:r>
                                  <w:rPr>
                                    <w:rFonts w:ascii="Arial"/>
                                    <w:spacing w:val="20"/>
                                  </w:rPr>
                                  <w:t xml:space="preserve"> </w:t>
                                </w:r>
                                <w:r>
                                  <w:rPr>
                                    <w:rFonts w:ascii="Arial"/>
                                    <w:spacing w:val="-2"/>
                                  </w:rPr>
                                  <w:t>with</w:t>
                                </w:r>
                                <w:r>
                                  <w:rPr>
                                    <w:rFonts w:ascii="Arial"/>
                                    <w:spacing w:val="22"/>
                                  </w:rPr>
                                  <w:t xml:space="preserve"> </w:t>
                                </w:r>
                                <w:r>
                                  <w:rPr>
                                    <w:rFonts w:ascii="Arial"/>
                                    <w:spacing w:val="-1"/>
                                  </w:rPr>
                                  <w:t>paragraph</w:t>
                                </w:r>
                                <w:r>
                                  <w:rPr>
                                    <w:rFonts w:ascii="Arial"/>
                                    <w:spacing w:val="24"/>
                                  </w:rPr>
                                  <w:t xml:space="preserve"> </w:t>
                                </w:r>
                                <w:hyperlink w:anchor="_bookmark297" w:history="1">
                                  <w:r>
                                    <w:rPr>
                                      <w:rFonts w:ascii="Arial"/>
                                      <w:spacing w:val="-1"/>
                                    </w:rPr>
                                    <w:t>7.1.6</w:t>
                                  </w:r>
                                </w:hyperlink>
                                <w:r>
                                  <w:rPr>
                                    <w:rFonts w:ascii="Arial"/>
                                    <w:spacing w:val="20"/>
                                  </w:rPr>
                                  <w:t xml:space="preserve"> </w:t>
                                </w:r>
                                <w:r>
                                  <w:rPr>
                                    <w:rFonts w:ascii="Arial"/>
                                    <w:spacing w:val="-2"/>
                                  </w:rPr>
                                  <w:t>of</w:t>
                                </w:r>
                                <w:r>
                                  <w:rPr>
                                    <w:rFonts w:ascii="Arial"/>
                                    <w:spacing w:val="23"/>
                                  </w:rPr>
                                  <w:t xml:space="preserve"> </w:t>
                                </w:r>
                                <w:r>
                                  <w:rPr>
                                    <w:rFonts w:ascii="Arial"/>
                                    <w:spacing w:val="-1"/>
                                  </w:rPr>
                                  <w:t>this</w:t>
                                </w:r>
                                <w:r>
                                  <w:rPr>
                                    <w:rFonts w:ascii="Arial"/>
                                    <w:spacing w:val="39"/>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Schedule;]</w:t>
                                </w:r>
                              </w:p>
                            </w:txbxContent>
                          </wps:txbx>
                          <wps:bodyPr rot="0" vert="horz" wrap="square" lIns="0" tIns="0" rIns="0" bIns="0" anchor="t" anchorCtr="0" upright="1">
                            <a:noAutofit/>
                          </wps:bodyPr>
                        </wps:wsp>
                      </wpg:grpSp>
                    </wpg:wgp>
                  </a:graphicData>
                </a:graphic>
              </wp:inline>
            </w:drawing>
          </mc:Choice>
          <mc:Fallback>
            <w:pict>
              <v:group w14:anchorId="4880BE11" id="Group 3517" o:spid="_x0000_s1219" style="width:396pt;height:37.95pt;mso-position-horizontal-relative:char;mso-position-vertical-relative:line" coordsize="792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">
                <v:group id="Group 3523" o:spid="_x0000_s1220" style="position:absolute;width:7918;height:252" coordsize="79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3524" o:spid="_x0000_s1221" style="position:absolute;width:7918;height:252;visibility:visible;mso-wrap-style:square;v-text-anchor:top" coordsize="79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wdMYA&#10;AADdAAAADwAAAGRycy9kb3ducmV2LnhtbESPQWsCMRSE74L/ITzBW81W0bZbo6gg6KGgtpfeHpvn&#10;ZtvNy5Jkdf33plDwOMzMN8x82dlaXMiHyrGC51EGgrhwuuJSwdfn9ukVRIjIGmvHpOBGAZaLfm+O&#10;uXZXPtLlFEuRIBxyVGBibHIpQ2HIYhi5hjh5Z+ctxiR9KbXHa4LbWo6zbCYtVpwWDDa0MVT8nlqr&#10;4Dx5O3gX1/ufj+2xm2HTfm9Mq9Rw0K3eQUTq4iP8395pBZPp+AX+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3wdMYAAADdAAAADwAAAAAAAAAAAAAAAACYAgAAZHJz&#10;L2Rvd25yZXYueG1sUEsFBgAAAAAEAAQA9QAAAIsDAAAAAA==&#10;" path="m,252r7918,l7918,,,,,252xe" fillcolor="yellow" stroked="f">
                    <v:path arrowok="t" o:connecttype="custom" o:connectlocs="0,252;7918,252;7918,0;0,0;0,252" o:connectangles="0,0,0,0,0"/>
                  </v:shape>
                </v:group>
                <v:group id="Group 3521" o:spid="_x0000_s1222" style="position:absolute;left:994;top:252;width:6924;height:252" coordorigin="994,252" coordsize="69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3522" o:spid="_x0000_s1223" style="position:absolute;left:994;top:252;width:6924;height:252;visibility:visible;mso-wrap-style:square;v-text-anchor:top" coordsize="69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iJMUA&#10;AADdAAAADwAAAGRycy9kb3ducmV2LnhtbESPQWsCMRSE74L/ITzBi9SsitKuRlFBrBdBW+j1uXnd&#10;Xbp5iZuo239vBMHjMDPfMLNFYypxpdqXlhUM+gkI4szqknMF31+bt3cQPiBrrCyTgn/ysJi3WzNM&#10;tb3xga7HkIsIYZ+igiIEl0rps4IM+r51xNH7tbXBEGWdS13jLcJNJYdJMpEGS44LBTpaF5T9HS9G&#10;QU/uD/ZEZ2dWPb8buIar0c9WqW6nWU5BBGrCK/xsf2oFo/HwAx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SIkxQAAAN0AAAAPAAAAAAAAAAAAAAAAAJgCAABkcnMv&#10;ZG93bnJldi54bWxQSwUGAAAAAAQABAD1AAAAigMAAAAA&#10;" path="m,252r6924,l6924,,,,,252xe" fillcolor="yellow" stroked="f">
                    <v:path arrowok="t" o:connecttype="custom" o:connectlocs="0,504;6924,504;6924,252;0,252;0,504" o:connectangles="0,0,0,0,0"/>
                  </v:shape>
                </v:group>
                <v:group id="Group 3518" o:spid="_x0000_s1224" style="position:absolute;left:994;top:504;width:1834;height:255" coordorigin="994,504" coordsize="183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3520" o:spid="_x0000_s1225" style="position:absolute;left:994;top:504;width:1834;height:255;visibility:visible;mso-wrap-style:square;v-text-anchor:top" coordsize="183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0cUA&#10;AADdAAAADwAAAGRycy9kb3ducmV2LnhtbESPT4vCMBTE74LfIbyFvWlaXVftGkUFwZt/1oPHZ/O2&#10;7dq8lCZq/fZGEDwOM/MbZjJrTCmuVLvCsoK4G4EgTq0uOFNw+F11RiCcR9ZYWiYFd3Iwm7ZbE0y0&#10;vfGOrnufiQBhl6CC3PsqkdKlORl0XVsRB+/P1gZ9kHUmdY23ADel7EXRtzRYcFjIsaJlTul5fzEK&#10;6BzLU7wZLVfHsfm/fA2b4bZaKPX50cx/QHhq/Dv8aq+1gv6gH8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BzRxQAAAN0AAAAPAAAAAAAAAAAAAAAAAJgCAABkcnMv&#10;ZG93bnJldi54bWxQSwUGAAAAAAQABAD1AAAAigMAAAAA&#10;" path="m,254r1833,l1833,,,,,254xe" fillcolor="yellow" stroked="f">
                    <v:path arrowok="t" o:connecttype="custom" o:connectlocs="0,758;1833,758;1833,504;0,504;0,758" o:connectangles="0,0,0,0,0"/>
                  </v:shape>
                  <v:shape id="Text Box 3519" o:spid="_x0000_s1226" type="#_x0000_t202" style="position:absolute;width:792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1xcYA&#10;AADdAAAADwAAAGRycy9kb3ducmV2LnhtbESPQWvCQBSE7wX/w/IEb3WjUtHoKiIVCoXSGA8en9ln&#10;sph9m2a3Gv+9Wyh4HGbmG2a57mwtrtR641jBaJiAIC6cNlwqOOS71xkIH5A11o5JwZ08rFe9lyWm&#10;2t04o+s+lCJC2KeooAqhSaX0RUUW/dA1xNE7u9ZiiLItpW7xFuG2luMkmUqLhuNChQ1tKyou+1+r&#10;YHPk7N38fJ2+s3Nm8nye8Of0otSg320WIAJ14Rn+b39oBZO3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1xcYAAADdAAAADwAAAAAAAAAAAAAAAACYAgAAZHJz&#10;L2Rvd25yZXYueG1sUEsFBgAAAAAEAAQA9QAAAIsDAAAAAA==&#10;" filled="f" stroked="f">
                    <v:textbox inset="0,0,0,0">
                      <w:txbxContent>
                        <w:p w:rsidR="005D2B81" w:rsidRDefault="005D2B81" w:rsidP="008918FA">
                          <w:pPr>
                            <w:spacing w:before="2" w:line="252" w:lineRule="exact"/>
                            <w:ind w:left="993" w:hanging="994"/>
                            <w:jc w:val="both"/>
                            <w:rPr>
                              <w:rFonts w:ascii="Arial" w:eastAsia="Arial" w:hAnsi="Arial" w:cs="Arial"/>
                            </w:rPr>
                          </w:pPr>
                          <w:r>
                            <w:rPr>
                              <w:rFonts w:ascii="Arial"/>
                              <w:spacing w:val="-1"/>
                            </w:rPr>
                            <w:t>11.1.6</w:t>
                          </w:r>
                          <w:r>
                            <w:rPr>
                              <w:rFonts w:ascii="Arial"/>
                              <w:spacing w:val="11"/>
                            </w:rPr>
                            <w:t xml:space="preserve"> </w:t>
                          </w:r>
                          <w:r>
                            <w:rPr>
                              <w:rFonts w:ascii="Arial"/>
                            </w:rPr>
                            <w:t>[on</w:t>
                          </w:r>
                          <w:r>
                            <w:rPr>
                              <w:rFonts w:ascii="Arial"/>
                              <w:spacing w:val="24"/>
                            </w:rPr>
                            <w:t xml:space="preserve"> </w:t>
                          </w:r>
                          <w:r>
                            <w:rPr>
                              <w:rFonts w:ascii="Arial"/>
                            </w:rPr>
                            <w:t>the</w:t>
                          </w:r>
                          <w:r>
                            <w:rPr>
                              <w:rFonts w:ascii="Arial"/>
                              <w:spacing w:val="22"/>
                            </w:rPr>
                            <w:t xml:space="preserve"> </w:t>
                          </w:r>
                          <w:r>
                            <w:rPr>
                              <w:rFonts w:ascii="Arial"/>
                              <w:spacing w:val="-1"/>
                            </w:rPr>
                            <w:t>Review</w:t>
                          </w:r>
                          <w:r>
                            <w:rPr>
                              <w:rFonts w:ascii="Arial"/>
                              <w:spacing w:val="21"/>
                            </w:rPr>
                            <w:t xml:space="preserve"> </w:t>
                          </w:r>
                          <w:r>
                            <w:rPr>
                              <w:rFonts w:ascii="Arial"/>
                              <w:spacing w:val="-1"/>
                            </w:rPr>
                            <w:t>Adjustment</w:t>
                          </w:r>
                          <w:r>
                            <w:rPr>
                              <w:rFonts w:ascii="Arial"/>
                              <w:spacing w:val="26"/>
                            </w:rPr>
                            <w:t xml:space="preserve"> </w:t>
                          </w:r>
                          <w:r>
                            <w:rPr>
                              <w:rFonts w:ascii="Arial"/>
                              <w:spacing w:val="-1"/>
                            </w:rPr>
                            <w:t>Date</w:t>
                          </w:r>
                          <w:r>
                            <w:rPr>
                              <w:rFonts w:ascii="Arial"/>
                              <w:spacing w:val="24"/>
                            </w:rPr>
                            <w:t xml:space="preserve"> </w:t>
                          </w:r>
                          <w:r>
                            <w:rPr>
                              <w:rFonts w:ascii="Arial"/>
                              <w:spacing w:val="-2"/>
                            </w:rPr>
                            <w:t>where</w:t>
                          </w:r>
                          <w:r>
                            <w:rPr>
                              <w:rFonts w:ascii="Arial"/>
                              <w:spacing w:val="24"/>
                            </w:rPr>
                            <w:t xml:space="preserve"> </w:t>
                          </w:r>
                          <w:r>
                            <w:rPr>
                              <w:rFonts w:ascii="Arial"/>
                              <w:spacing w:val="-1"/>
                            </w:rPr>
                            <w:t>an</w:t>
                          </w:r>
                          <w:r>
                            <w:rPr>
                              <w:rFonts w:ascii="Arial"/>
                              <w:spacing w:val="24"/>
                            </w:rPr>
                            <w:t xml:space="preserve"> </w:t>
                          </w:r>
                          <w:r>
                            <w:rPr>
                              <w:rFonts w:ascii="Arial"/>
                              <w:spacing w:val="-1"/>
                            </w:rPr>
                            <w:t>adjustment</w:t>
                          </w:r>
                          <w:r>
                            <w:rPr>
                              <w:rFonts w:ascii="Arial"/>
                              <w:spacing w:val="23"/>
                            </w:rPr>
                            <w:t xml:space="preserve"> </w:t>
                          </w:r>
                          <w:r>
                            <w:rPr>
                              <w:rFonts w:ascii="Arial"/>
                            </w:rPr>
                            <w:t>to</w:t>
                          </w:r>
                          <w:r>
                            <w:rPr>
                              <w:rFonts w:ascii="Arial"/>
                              <w:spacing w:val="22"/>
                            </w:rPr>
                            <w:t xml:space="preserve"> </w:t>
                          </w:r>
                          <w:r>
                            <w:rPr>
                              <w:rFonts w:ascii="Arial"/>
                            </w:rPr>
                            <w:t>the</w:t>
                          </w:r>
                          <w:r>
                            <w:rPr>
                              <w:rFonts w:ascii="Arial"/>
                              <w:spacing w:val="24"/>
                            </w:rPr>
                            <w:t xml:space="preserve"> </w:t>
                          </w:r>
                          <w:r>
                            <w:rPr>
                              <w:rFonts w:ascii="Arial"/>
                              <w:spacing w:val="-2"/>
                            </w:rPr>
                            <w:t>Call</w:t>
                          </w:r>
                          <w:r>
                            <w:rPr>
                              <w:rFonts w:ascii="Arial"/>
                              <w:spacing w:val="21"/>
                            </w:rPr>
                            <w:t xml:space="preserve"> </w:t>
                          </w:r>
                          <w:r>
                            <w:rPr>
                              <w:rFonts w:ascii="Arial"/>
                              <w:spacing w:val="-1"/>
                            </w:rPr>
                            <w:t>Off</w:t>
                          </w:r>
                          <w:r>
                            <w:rPr>
                              <w:rFonts w:ascii="Arial"/>
                              <w:spacing w:val="45"/>
                            </w:rPr>
                            <w:t xml:space="preserve"> </w:t>
                          </w:r>
                          <w:r>
                            <w:rPr>
                              <w:rFonts w:ascii="Arial"/>
                              <w:spacing w:val="-1"/>
                            </w:rPr>
                            <w:t>Contract</w:t>
                          </w:r>
                          <w:r>
                            <w:rPr>
                              <w:rFonts w:ascii="Arial"/>
                              <w:spacing w:val="23"/>
                            </w:rPr>
                            <w:t xml:space="preserve"> </w:t>
                          </w:r>
                          <w:r>
                            <w:rPr>
                              <w:rFonts w:ascii="Arial"/>
                              <w:spacing w:val="-1"/>
                            </w:rPr>
                            <w:t>Charges</w:t>
                          </w:r>
                          <w:r>
                            <w:rPr>
                              <w:rFonts w:ascii="Arial"/>
                              <w:spacing w:val="20"/>
                            </w:rPr>
                            <w:t xml:space="preserve"> </w:t>
                          </w:r>
                          <w:r>
                            <w:rPr>
                              <w:rFonts w:ascii="Arial"/>
                              <w:spacing w:val="-1"/>
                            </w:rPr>
                            <w:t>is</w:t>
                          </w:r>
                          <w:r>
                            <w:rPr>
                              <w:rFonts w:ascii="Arial"/>
                              <w:spacing w:val="23"/>
                            </w:rPr>
                            <w:t xml:space="preserve"> </w:t>
                          </w:r>
                          <w:r>
                            <w:rPr>
                              <w:rFonts w:ascii="Arial"/>
                              <w:spacing w:val="-1"/>
                            </w:rPr>
                            <w:t>made</w:t>
                          </w:r>
                          <w:r>
                            <w:rPr>
                              <w:rFonts w:ascii="Arial"/>
                              <w:spacing w:val="22"/>
                            </w:rPr>
                            <w:t xml:space="preserve"> </w:t>
                          </w:r>
                          <w:r>
                            <w:rPr>
                              <w:rFonts w:ascii="Arial"/>
                              <w:spacing w:val="-1"/>
                            </w:rPr>
                            <w:t>in</w:t>
                          </w:r>
                          <w:r>
                            <w:rPr>
                              <w:rFonts w:ascii="Arial"/>
                              <w:spacing w:val="22"/>
                            </w:rPr>
                            <w:t xml:space="preserve"> </w:t>
                          </w:r>
                          <w:r>
                            <w:rPr>
                              <w:rFonts w:ascii="Arial"/>
                              <w:spacing w:val="-1"/>
                            </w:rPr>
                            <w:t>accordance</w:t>
                          </w:r>
                          <w:r>
                            <w:rPr>
                              <w:rFonts w:ascii="Arial"/>
                              <w:spacing w:val="20"/>
                            </w:rPr>
                            <w:t xml:space="preserve"> </w:t>
                          </w:r>
                          <w:r>
                            <w:rPr>
                              <w:rFonts w:ascii="Arial"/>
                              <w:spacing w:val="-2"/>
                            </w:rPr>
                            <w:t>with</w:t>
                          </w:r>
                          <w:r>
                            <w:rPr>
                              <w:rFonts w:ascii="Arial"/>
                              <w:spacing w:val="22"/>
                            </w:rPr>
                            <w:t xml:space="preserve"> </w:t>
                          </w:r>
                          <w:r>
                            <w:rPr>
                              <w:rFonts w:ascii="Arial"/>
                              <w:spacing w:val="-1"/>
                            </w:rPr>
                            <w:t>paragraph</w:t>
                          </w:r>
                          <w:r>
                            <w:rPr>
                              <w:rFonts w:ascii="Arial"/>
                              <w:spacing w:val="24"/>
                            </w:rPr>
                            <w:t xml:space="preserve"> </w:t>
                          </w:r>
                          <w:hyperlink w:anchor="_bookmark297" w:history="1">
                            <w:r>
                              <w:rPr>
                                <w:rFonts w:ascii="Arial"/>
                                <w:spacing w:val="-1"/>
                              </w:rPr>
                              <w:t>7.1.6</w:t>
                            </w:r>
                          </w:hyperlink>
                          <w:r>
                            <w:rPr>
                              <w:rFonts w:ascii="Arial"/>
                              <w:spacing w:val="20"/>
                            </w:rPr>
                            <w:t xml:space="preserve"> </w:t>
                          </w:r>
                          <w:r>
                            <w:rPr>
                              <w:rFonts w:ascii="Arial"/>
                              <w:spacing w:val="-2"/>
                            </w:rPr>
                            <w:t>of</w:t>
                          </w:r>
                          <w:r>
                            <w:rPr>
                              <w:rFonts w:ascii="Arial"/>
                              <w:spacing w:val="23"/>
                            </w:rPr>
                            <w:t xml:space="preserve"> </w:t>
                          </w:r>
                          <w:r>
                            <w:rPr>
                              <w:rFonts w:ascii="Arial"/>
                              <w:spacing w:val="-1"/>
                            </w:rPr>
                            <w:t>this</w:t>
                          </w:r>
                          <w:r>
                            <w:rPr>
                              <w:rFonts w:ascii="Arial"/>
                              <w:spacing w:val="39"/>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Schedule;]</w:t>
                          </w:r>
                        </w:p>
                      </w:txbxContent>
                    </v:textbox>
                  </v:shape>
                </v:group>
                <w10:anchorlock/>
              </v:group>
            </w:pict>
          </mc:Fallback>
        </mc:AlternateContent>
      </w:r>
    </w:p>
    <w:p w:rsidR="008918FA" w:rsidRDefault="008918FA" w:rsidP="008918FA">
      <w:pPr>
        <w:pStyle w:val="BodyText"/>
        <w:spacing w:before="117"/>
        <w:ind w:left="892" w:right="115" w:firstLine="0"/>
      </w:pPr>
      <w:r>
        <w:rPr>
          <w:spacing w:val="-1"/>
        </w:rPr>
        <w:t>and</w:t>
      </w:r>
      <w:r>
        <w:rPr>
          <w:spacing w:val="12"/>
        </w:rPr>
        <w:t xml:space="preserve"> </w:t>
      </w:r>
      <w:r>
        <w:t>the</w:t>
      </w:r>
      <w:r>
        <w:rPr>
          <w:spacing w:val="12"/>
        </w:rPr>
        <w:t xml:space="preserve"> </w:t>
      </w:r>
      <w:r>
        <w:rPr>
          <w:spacing w:val="-1"/>
        </w:rPr>
        <w:t>Parties</w:t>
      </w:r>
      <w:r>
        <w:rPr>
          <w:spacing w:val="13"/>
        </w:rPr>
        <w:t xml:space="preserve"> </w:t>
      </w:r>
      <w:r>
        <w:rPr>
          <w:spacing w:val="-1"/>
        </w:rPr>
        <w:t>shall</w:t>
      </w:r>
      <w:r>
        <w:rPr>
          <w:spacing w:val="12"/>
        </w:rPr>
        <w:t xml:space="preserve"> </w:t>
      </w:r>
      <w:r>
        <w:rPr>
          <w:spacing w:val="-1"/>
        </w:rPr>
        <w:t>amend</w:t>
      </w:r>
      <w:r>
        <w:rPr>
          <w:spacing w:val="12"/>
        </w:rPr>
        <w:t xml:space="preserve"> </w:t>
      </w:r>
      <w:r>
        <w:t>the</w:t>
      </w:r>
      <w:r>
        <w:rPr>
          <w:spacing w:val="12"/>
        </w:rPr>
        <w:t xml:space="preserve"> </w:t>
      </w:r>
      <w:r>
        <w:rPr>
          <w:spacing w:val="-2"/>
        </w:rPr>
        <w:t>Call</w:t>
      </w:r>
      <w:r>
        <w:rPr>
          <w:spacing w:val="14"/>
        </w:rPr>
        <w:t xml:space="preserve"> </w:t>
      </w:r>
      <w:r>
        <w:rPr>
          <w:spacing w:val="-1"/>
        </w:rPr>
        <w:t>Off</w:t>
      </w:r>
      <w:r>
        <w:rPr>
          <w:spacing w:val="16"/>
        </w:rPr>
        <w:t xml:space="preserve"> </w:t>
      </w:r>
      <w:r>
        <w:rPr>
          <w:spacing w:val="-2"/>
        </w:rPr>
        <w:t>Contract</w:t>
      </w:r>
      <w:r>
        <w:rPr>
          <w:spacing w:val="14"/>
        </w:rPr>
        <w:t xml:space="preserve"> </w:t>
      </w:r>
      <w:r>
        <w:rPr>
          <w:spacing w:val="-1"/>
        </w:rPr>
        <w:t>Charges</w:t>
      </w:r>
      <w:r>
        <w:rPr>
          <w:spacing w:val="13"/>
        </w:rPr>
        <w:t xml:space="preserve"> </w:t>
      </w:r>
      <w:r>
        <w:rPr>
          <w:spacing w:val="-2"/>
        </w:rPr>
        <w:t>shown</w:t>
      </w:r>
      <w:r>
        <w:rPr>
          <w:spacing w:val="15"/>
        </w:rPr>
        <w:t xml:space="preserve"> </w:t>
      </w:r>
      <w:r>
        <w:rPr>
          <w:spacing w:val="-1"/>
        </w:rPr>
        <w:t>in</w:t>
      </w:r>
      <w:r>
        <w:rPr>
          <w:spacing w:val="12"/>
        </w:rPr>
        <w:t xml:space="preserve"> </w:t>
      </w:r>
      <w:r>
        <w:rPr>
          <w:spacing w:val="-1"/>
        </w:rPr>
        <w:t>Annex</w:t>
      </w:r>
      <w:r>
        <w:rPr>
          <w:spacing w:val="10"/>
        </w:rPr>
        <w:t xml:space="preserve"> </w:t>
      </w:r>
      <w:r>
        <w:t>1</w:t>
      </w:r>
      <w:r>
        <w:rPr>
          <w:spacing w:val="15"/>
        </w:rPr>
        <w:t xml:space="preserve"> </w:t>
      </w:r>
      <w:r>
        <w:t>to</w:t>
      </w:r>
      <w:r>
        <w:rPr>
          <w:spacing w:val="59"/>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2"/>
        </w:rPr>
        <w:t xml:space="preserve"> </w:t>
      </w:r>
      <w:r>
        <w:t>to</w:t>
      </w:r>
      <w:r>
        <w:rPr>
          <w:spacing w:val="-2"/>
        </w:rPr>
        <w:t xml:space="preserve"> </w:t>
      </w:r>
      <w:r>
        <w:rPr>
          <w:spacing w:val="-1"/>
        </w:rPr>
        <w:t>reflect</w:t>
      </w:r>
      <w:r>
        <w:t xml:space="preserve"> </w:t>
      </w:r>
      <w:r>
        <w:rPr>
          <w:spacing w:val="-1"/>
        </w:rPr>
        <w:t>such</w:t>
      </w:r>
      <w:r>
        <w:rPr>
          <w:spacing w:val="-2"/>
        </w:rPr>
        <w:t xml:space="preserve"> variations.</w:t>
      </w:r>
    </w:p>
    <w:p w:rsidR="008918FA" w:rsidRDefault="008918FA" w:rsidP="008918FA">
      <w:pPr>
        <w:rPr>
          <w:rFonts w:ascii="Arial" w:eastAsia="Arial" w:hAnsi="Arial" w:cs="Arial"/>
          <w:sz w:val="20"/>
          <w:szCs w:val="20"/>
        </w:rPr>
      </w:pPr>
    </w:p>
    <w:p w:rsidR="008918FA" w:rsidRDefault="008918FA" w:rsidP="008918FA">
      <w:pPr>
        <w:spacing w:before="2"/>
        <w:rPr>
          <w:rFonts w:ascii="Arial" w:eastAsia="Arial" w:hAnsi="Arial" w:cs="Arial"/>
          <w:sz w:val="25"/>
          <w:szCs w:val="25"/>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60" w:left="1680" w:header="0" w:footer="967" w:gutter="0"/>
          <w:cols w:space="720"/>
        </w:sectPr>
      </w:pPr>
    </w:p>
    <w:p w:rsidR="008918FA" w:rsidRDefault="008918FA" w:rsidP="008918FA">
      <w:pPr>
        <w:pStyle w:val="BodyText"/>
        <w:spacing w:before="58"/>
        <w:ind w:left="1970" w:firstLine="0"/>
        <w:rPr>
          <w:rFonts w:ascii="Times New Roman" w:eastAsia="Times New Roman" w:hAnsi="Times New Roman" w:cs="Times New Roman"/>
        </w:rPr>
      </w:pPr>
      <w:bookmarkStart w:id="369" w:name="ANNEX_1:_CALL_OFF_CONTRACT_CHARGES"/>
      <w:bookmarkStart w:id="370" w:name="_bookmark303"/>
      <w:bookmarkEnd w:id="369"/>
      <w:bookmarkEnd w:id="370"/>
      <w:r>
        <w:rPr>
          <w:rFonts w:ascii="Times New Roman"/>
          <w:spacing w:val="1"/>
        </w:rPr>
        <w:t>ANNEX</w:t>
      </w:r>
      <w:r>
        <w:rPr>
          <w:rFonts w:ascii="Times New Roman"/>
          <w:spacing w:val="-6"/>
        </w:rPr>
        <w:t xml:space="preserve"> </w:t>
      </w:r>
      <w:r>
        <w:rPr>
          <w:rFonts w:ascii="Times New Roman"/>
          <w:spacing w:val="5"/>
        </w:rPr>
        <w:t>1:</w:t>
      </w:r>
      <w:r>
        <w:rPr>
          <w:rFonts w:ascii="Times New Roman"/>
          <w:spacing w:val="20"/>
        </w:rPr>
        <w:t xml:space="preserve"> </w:t>
      </w:r>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 xml:space="preserve">CONTRACT </w:t>
      </w:r>
      <w:r>
        <w:rPr>
          <w:rFonts w:ascii="Times New Roman"/>
          <w:spacing w:val="6"/>
        </w:rPr>
        <w:t>CHARGES</w:t>
      </w:r>
    </w:p>
    <w:p w:rsidR="008918FA" w:rsidRDefault="008918FA" w:rsidP="008918FA">
      <w:pPr>
        <w:spacing w:before="7"/>
        <w:rPr>
          <w:rFonts w:ascii="Times New Roman" w:eastAsia="Times New Roman" w:hAnsi="Times New Roman" w:cs="Times New Roman"/>
          <w:sz w:val="14"/>
          <w:szCs w:val="14"/>
        </w:rPr>
      </w:pPr>
    </w:p>
    <w:p w:rsidR="008918FA" w:rsidRDefault="008918FA" w:rsidP="008918FA">
      <w:pPr>
        <w:pStyle w:val="BodyText"/>
        <w:tabs>
          <w:tab w:val="left" w:pos="2240"/>
        </w:tabs>
        <w:spacing w:before="72"/>
        <w:ind w:left="892" w:firstLine="0"/>
      </w:pPr>
      <w:r>
        <w:rPr>
          <w:highlight w:val="yellow"/>
        </w:rPr>
        <w:t>[</w:t>
      </w:r>
      <w:r>
        <w:rPr>
          <w:highlight w:val="yellow"/>
        </w:rPr>
        <w:tab/>
        <w:t>]</w:t>
      </w:r>
    </w:p>
    <w:p w:rsidR="008918FA" w:rsidRDefault="008918FA" w:rsidP="008918FA">
      <w:pPr>
        <w:spacing w:before="2"/>
        <w:rPr>
          <w:rFonts w:ascii="Arial" w:eastAsia="Arial" w:hAnsi="Arial" w:cs="Arial"/>
          <w:sz w:val="21"/>
          <w:szCs w:val="21"/>
        </w:rPr>
      </w:pPr>
    </w:p>
    <w:p w:rsidR="008918FA" w:rsidRDefault="008918FA" w:rsidP="008918FA">
      <w:pPr>
        <w:spacing w:line="200" w:lineRule="atLeast"/>
        <w:ind w:left="326"/>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306A238D" wp14:editId="72E2B189">
                <wp:extent cx="5388610" cy="481965"/>
                <wp:effectExtent l="0" t="0" r="2540" b="3810"/>
                <wp:docPr id="3484" name="Group 3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481965"/>
                          <a:chOff x="0" y="0"/>
                          <a:chExt cx="8486" cy="759"/>
                        </a:xfrm>
                      </wpg:grpSpPr>
                      <wpg:grpSp>
                        <wpg:cNvPr id="3485" name="Group 3482"/>
                        <wpg:cNvGrpSpPr>
                          <a:grpSpLocks/>
                        </wpg:cNvGrpSpPr>
                        <wpg:grpSpPr bwMode="auto">
                          <a:xfrm>
                            <a:off x="0" y="0"/>
                            <a:ext cx="8484" cy="252"/>
                            <a:chOff x="0" y="0"/>
                            <a:chExt cx="8484" cy="252"/>
                          </a:xfrm>
                        </wpg:grpSpPr>
                        <wps:wsp>
                          <wps:cNvPr id="3486" name="Freeform 3483"/>
                          <wps:cNvSpPr>
                            <a:spLocks/>
                          </wps:cNvSpPr>
                          <wps:spPr bwMode="auto">
                            <a:xfrm>
                              <a:off x="0" y="0"/>
                              <a:ext cx="8484" cy="252"/>
                            </a:xfrm>
                            <a:custGeom>
                              <a:avLst/>
                              <a:gdLst>
                                <a:gd name="T0" fmla="*/ 0 w 8484"/>
                                <a:gd name="T1" fmla="*/ 252 h 252"/>
                                <a:gd name="T2" fmla="*/ 8484 w 8484"/>
                                <a:gd name="T3" fmla="*/ 252 h 252"/>
                                <a:gd name="T4" fmla="*/ 8484 w 8484"/>
                                <a:gd name="T5" fmla="*/ 0 h 252"/>
                                <a:gd name="T6" fmla="*/ 0 w 8484"/>
                                <a:gd name="T7" fmla="*/ 0 h 252"/>
                                <a:gd name="T8" fmla="*/ 0 w 8484"/>
                                <a:gd name="T9" fmla="*/ 252 h 252"/>
                              </a:gdLst>
                              <a:ahLst/>
                              <a:cxnLst>
                                <a:cxn ang="0">
                                  <a:pos x="T0" y="T1"/>
                                </a:cxn>
                                <a:cxn ang="0">
                                  <a:pos x="T2" y="T3"/>
                                </a:cxn>
                                <a:cxn ang="0">
                                  <a:pos x="T4" y="T5"/>
                                </a:cxn>
                                <a:cxn ang="0">
                                  <a:pos x="T6" y="T7"/>
                                </a:cxn>
                                <a:cxn ang="0">
                                  <a:pos x="T8" y="T9"/>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7" name="Group 3480"/>
                        <wpg:cNvGrpSpPr>
                          <a:grpSpLocks/>
                        </wpg:cNvGrpSpPr>
                        <wpg:grpSpPr bwMode="auto">
                          <a:xfrm>
                            <a:off x="0" y="252"/>
                            <a:ext cx="8484" cy="255"/>
                            <a:chOff x="0" y="252"/>
                            <a:chExt cx="8484" cy="255"/>
                          </a:xfrm>
                        </wpg:grpSpPr>
                        <wps:wsp>
                          <wps:cNvPr id="3488" name="Freeform 3481"/>
                          <wps:cNvSpPr>
                            <a:spLocks/>
                          </wps:cNvSpPr>
                          <wps:spPr bwMode="auto">
                            <a:xfrm>
                              <a:off x="0" y="252"/>
                              <a:ext cx="8484" cy="255"/>
                            </a:xfrm>
                            <a:custGeom>
                              <a:avLst/>
                              <a:gdLst>
                                <a:gd name="T0" fmla="*/ 0 w 8484"/>
                                <a:gd name="T1" fmla="+- 0 506 252"/>
                                <a:gd name="T2" fmla="*/ 506 h 255"/>
                                <a:gd name="T3" fmla="*/ 8484 w 8484"/>
                                <a:gd name="T4" fmla="+- 0 506 252"/>
                                <a:gd name="T5" fmla="*/ 506 h 255"/>
                                <a:gd name="T6" fmla="*/ 8484 w 8484"/>
                                <a:gd name="T7" fmla="+- 0 252 252"/>
                                <a:gd name="T8" fmla="*/ 252 h 255"/>
                                <a:gd name="T9" fmla="*/ 0 w 8484"/>
                                <a:gd name="T10" fmla="+- 0 252 252"/>
                                <a:gd name="T11" fmla="*/ 252 h 255"/>
                                <a:gd name="T12" fmla="*/ 0 w 8484"/>
                                <a:gd name="T13" fmla="+- 0 506 252"/>
                                <a:gd name="T14" fmla="*/ 506 h 255"/>
                              </a:gdLst>
                              <a:ahLst/>
                              <a:cxnLst>
                                <a:cxn ang="0">
                                  <a:pos x="T0" y="T2"/>
                                </a:cxn>
                                <a:cxn ang="0">
                                  <a:pos x="T3" y="T5"/>
                                </a:cxn>
                                <a:cxn ang="0">
                                  <a:pos x="T6" y="T8"/>
                                </a:cxn>
                                <a:cxn ang="0">
                                  <a:pos x="T9" y="T11"/>
                                </a:cxn>
                                <a:cxn ang="0">
                                  <a:pos x="T12" y="T14"/>
                                </a:cxn>
                              </a:cxnLst>
                              <a:rect l="0" t="0" r="r" b="b"/>
                              <a:pathLst>
                                <a:path w="8484" h="255">
                                  <a:moveTo>
                                    <a:pt x="0" y="254"/>
                                  </a:moveTo>
                                  <a:lnTo>
                                    <a:pt x="8484" y="254"/>
                                  </a:lnTo>
                                  <a:lnTo>
                                    <a:pt x="8484"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9" name="Group 3477"/>
                        <wpg:cNvGrpSpPr>
                          <a:grpSpLocks/>
                        </wpg:cNvGrpSpPr>
                        <wpg:grpSpPr bwMode="auto">
                          <a:xfrm>
                            <a:off x="0" y="506"/>
                            <a:ext cx="5907" cy="252"/>
                            <a:chOff x="0" y="506"/>
                            <a:chExt cx="5907" cy="252"/>
                          </a:xfrm>
                        </wpg:grpSpPr>
                        <wps:wsp>
                          <wps:cNvPr id="3490" name="Freeform 3479"/>
                          <wps:cNvSpPr>
                            <a:spLocks/>
                          </wps:cNvSpPr>
                          <wps:spPr bwMode="auto">
                            <a:xfrm>
                              <a:off x="0" y="506"/>
                              <a:ext cx="5907" cy="252"/>
                            </a:xfrm>
                            <a:custGeom>
                              <a:avLst/>
                              <a:gdLst>
                                <a:gd name="T0" fmla="*/ 0 w 5907"/>
                                <a:gd name="T1" fmla="+- 0 758 506"/>
                                <a:gd name="T2" fmla="*/ 758 h 252"/>
                                <a:gd name="T3" fmla="*/ 5906 w 5907"/>
                                <a:gd name="T4" fmla="+- 0 758 506"/>
                                <a:gd name="T5" fmla="*/ 758 h 252"/>
                                <a:gd name="T6" fmla="*/ 5906 w 5907"/>
                                <a:gd name="T7" fmla="+- 0 506 506"/>
                                <a:gd name="T8" fmla="*/ 506 h 252"/>
                                <a:gd name="T9" fmla="*/ 0 w 5907"/>
                                <a:gd name="T10" fmla="+- 0 506 506"/>
                                <a:gd name="T11" fmla="*/ 506 h 252"/>
                                <a:gd name="T12" fmla="*/ 0 w 5907"/>
                                <a:gd name="T13" fmla="+- 0 758 506"/>
                                <a:gd name="T14" fmla="*/ 758 h 252"/>
                              </a:gdLst>
                              <a:ahLst/>
                              <a:cxnLst>
                                <a:cxn ang="0">
                                  <a:pos x="T0" y="T2"/>
                                </a:cxn>
                                <a:cxn ang="0">
                                  <a:pos x="T3" y="T5"/>
                                </a:cxn>
                                <a:cxn ang="0">
                                  <a:pos x="T6" y="T8"/>
                                </a:cxn>
                                <a:cxn ang="0">
                                  <a:pos x="T9" y="T11"/>
                                </a:cxn>
                                <a:cxn ang="0">
                                  <a:pos x="T12" y="T14"/>
                                </a:cxn>
                              </a:cxnLst>
                              <a:rect l="0" t="0" r="r" b="b"/>
                              <a:pathLst>
                                <a:path w="5907" h="252">
                                  <a:moveTo>
                                    <a:pt x="0" y="252"/>
                                  </a:moveTo>
                                  <a:lnTo>
                                    <a:pt x="5906" y="252"/>
                                  </a:lnTo>
                                  <a:lnTo>
                                    <a:pt x="5906"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 name="Text Box 3478"/>
                          <wps:cNvSpPr txBox="1">
                            <a:spLocks noChangeArrowheads="1"/>
                          </wps:cNvSpPr>
                          <wps:spPr bwMode="auto">
                            <a:xfrm>
                              <a:off x="0" y="0"/>
                              <a:ext cx="8486"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jc w:val="both"/>
                                  <w:rPr>
                                    <w:rFonts w:ascii="Arial" w:eastAsia="Arial" w:hAnsi="Arial" w:cs="Arial"/>
                                  </w:rPr>
                                </w:pPr>
                                <w:r>
                                  <w:rPr>
                                    <w:rFonts w:ascii="Arial" w:eastAsia="Arial" w:hAnsi="Arial" w:cs="Arial"/>
                                    <w:b/>
                                    <w:bCs/>
                                    <w:i/>
                                    <w:spacing w:val="-1"/>
                                  </w:rPr>
                                  <w:t>[Guidance</w:t>
                                </w:r>
                                <w:r>
                                  <w:rPr>
                                    <w:rFonts w:ascii="Arial" w:eastAsia="Arial" w:hAnsi="Arial" w:cs="Arial"/>
                                    <w:b/>
                                    <w:bCs/>
                                    <w:i/>
                                    <w:spacing w:val="14"/>
                                  </w:rPr>
                                  <w:t xml:space="preserve"> </w:t>
                                </w:r>
                                <w:r>
                                  <w:rPr>
                                    <w:rFonts w:ascii="Arial" w:eastAsia="Arial" w:hAnsi="Arial" w:cs="Arial"/>
                                    <w:b/>
                                    <w:bCs/>
                                    <w:i/>
                                    <w:spacing w:val="-2"/>
                                  </w:rPr>
                                  <w:t>Note:</w:t>
                                </w:r>
                                <w:r>
                                  <w:rPr>
                                    <w:rFonts w:ascii="Arial" w:eastAsia="Arial" w:hAnsi="Arial" w:cs="Arial"/>
                                    <w:b/>
                                    <w:bCs/>
                                    <w:i/>
                                    <w:spacing w:val="15"/>
                                  </w:rPr>
                                  <w:t xml:space="preserve"> </w:t>
                                </w:r>
                                <w:r>
                                  <w:rPr>
                                    <w:rFonts w:ascii="Arial" w:eastAsia="Arial" w:hAnsi="Arial" w:cs="Arial"/>
                                    <w:b/>
                                    <w:bCs/>
                                    <w:i/>
                                    <w:spacing w:val="-1"/>
                                  </w:rPr>
                                  <w:t>Prior</w:t>
                                </w:r>
                                <w:r>
                                  <w:rPr>
                                    <w:rFonts w:ascii="Arial" w:eastAsia="Arial" w:hAnsi="Arial" w:cs="Arial"/>
                                    <w:b/>
                                    <w:bCs/>
                                    <w:i/>
                                    <w:spacing w:val="12"/>
                                  </w:rPr>
                                  <w:t xml:space="preserve"> </w:t>
                                </w:r>
                                <w:r>
                                  <w:rPr>
                                    <w:rFonts w:ascii="Arial" w:eastAsia="Arial" w:hAnsi="Arial" w:cs="Arial"/>
                                    <w:b/>
                                    <w:bCs/>
                                    <w:i/>
                                  </w:rPr>
                                  <w:t>to</w:t>
                                </w:r>
                                <w:r>
                                  <w:rPr>
                                    <w:rFonts w:ascii="Arial" w:eastAsia="Arial" w:hAnsi="Arial" w:cs="Arial"/>
                                    <w:b/>
                                    <w:bCs/>
                                    <w:i/>
                                    <w:spacing w:val="13"/>
                                  </w:rPr>
                                  <w:t xml:space="preserve"> </w:t>
                                </w:r>
                                <w:r>
                                  <w:rPr>
                                    <w:rFonts w:ascii="Arial" w:eastAsia="Arial" w:hAnsi="Arial" w:cs="Arial"/>
                                    <w:b/>
                                    <w:bCs/>
                                    <w:i/>
                                    <w:spacing w:val="-1"/>
                                  </w:rPr>
                                  <w:t>the</w:t>
                                </w:r>
                                <w:r>
                                  <w:rPr>
                                    <w:rFonts w:ascii="Arial" w:eastAsia="Arial" w:hAnsi="Arial" w:cs="Arial"/>
                                    <w:b/>
                                    <w:bCs/>
                                    <w:i/>
                                    <w:spacing w:val="14"/>
                                  </w:rPr>
                                  <w:t xml:space="preserve"> </w:t>
                                </w:r>
                                <w:r>
                                  <w:rPr>
                                    <w:rFonts w:ascii="Arial" w:eastAsia="Arial" w:hAnsi="Arial" w:cs="Arial"/>
                                    <w:b/>
                                    <w:bCs/>
                                    <w:i/>
                                    <w:spacing w:val="-2"/>
                                  </w:rPr>
                                  <w:t>commencement</w:t>
                                </w:r>
                                <w:r>
                                  <w:rPr>
                                    <w:rFonts w:ascii="Arial" w:eastAsia="Arial" w:hAnsi="Arial" w:cs="Arial"/>
                                    <w:b/>
                                    <w:bCs/>
                                    <w:i/>
                                    <w:spacing w:val="15"/>
                                  </w:rPr>
                                  <w:t xml:space="preserve"> </w:t>
                                </w:r>
                                <w:r>
                                  <w:rPr>
                                    <w:rFonts w:ascii="Arial" w:eastAsia="Arial" w:hAnsi="Arial" w:cs="Arial"/>
                                    <w:b/>
                                    <w:bCs/>
                                    <w:i/>
                                    <w:spacing w:val="-1"/>
                                  </w:rPr>
                                  <w:t>of</w:t>
                                </w:r>
                                <w:r>
                                  <w:rPr>
                                    <w:rFonts w:ascii="Arial" w:eastAsia="Arial" w:hAnsi="Arial" w:cs="Arial"/>
                                    <w:b/>
                                    <w:bCs/>
                                    <w:i/>
                                    <w:spacing w:val="13"/>
                                  </w:rPr>
                                  <w:t xml:space="preserve"> </w:t>
                                </w:r>
                                <w:r>
                                  <w:rPr>
                                    <w:rFonts w:ascii="Arial" w:eastAsia="Arial" w:hAnsi="Arial" w:cs="Arial"/>
                                    <w:b/>
                                    <w:bCs/>
                                    <w:i/>
                                  </w:rPr>
                                  <w:t>this</w:t>
                                </w:r>
                                <w:r>
                                  <w:rPr>
                                    <w:rFonts w:ascii="Arial" w:eastAsia="Arial" w:hAnsi="Arial" w:cs="Arial"/>
                                    <w:b/>
                                    <w:bCs/>
                                    <w:i/>
                                    <w:spacing w:val="14"/>
                                  </w:rPr>
                                  <w:t xml:space="preserve"> </w:t>
                                </w:r>
                                <w:r>
                                  <w:rPr>
                                    <w:rFonts w:ascii="Arial" w:eastAsia="Arial" w:hAnsi="Arial" w:cs="Arial"/>
                                    <w:b/>
                                    <w:bCs/>
                                    <w:i/>
                                    <w:spacing w:val="-2"/>
                                  </w:rPr>
                                  <w:t>Call</w:t>
                                </w:r>
                                <w:r>
                                  <w:rPr>
                                    <w:rFonts w:ascii="Arial" w:eastAsia="Arial" w:hAnsi="Arial" w:cs="Arial"/>
                                    <w:b/>
                                    <w:bCs/>
                                    <w:i/>
                                    <w:spacing w:val="13"/>
                                  </w:rPr>
                                  <w:t xml:space="preserve"> </w:t>
                                </w:r>
                                <w:r>
                                  <w:rPr>
                                    <w:rFonts w:ascii="Arial" w:eastAsia="Arial" w:hAnsi="Arial" w:cs="Arial"/>
                                    <w:b/>
                                    <w:bCs/>
                                    <w:i/>
                                    <w:spacing w:val="-1"/>
                                  </w:rPr>
                                  <w:t>Off</w:t>
                                </w:r>
                                <w:r>
                                  <w:rPr>
                                    <w:rFonts w:ascii="Arial" w:eastAsia="Arial" w:hAnsi="Arial" w:cs="Arial"/>
                                    <w:b/>
                                    <w:bCs/>
                                    <w:i/>
                                    <w:spacing w:val="15"/>
                                  </w:rPr>
                                  <w:t xml:space="preserve"> </w:t>
                                </w:r>
                                <w:r>
                                  <w:rPr>
                                    <w:rFonts w:ascii="Arial" w:eastAsia="Arial" w:hAnsi="Arial" w:cs="Arial"/>
                                    <w:b/>
                                    <w:bCs/>
                                    <w:i/>
                                    <w:spacing w:val="-2"/>
                                  </w:rPr>
                                  <w:t>Contract,</w:t>
                                </w:r>
                                <w:r>
                                  <w:rPr>
                                    <w:rFonts w:ascii="Arial" w:eastAsia="Arial" w:hAnsi="Arial" w:cs="Arial"/>
                                    <w:b/>
                                    <w:bCs/>
                                    <w:i/>
                                    <w:spacing w:val="15"/>
                                  </w:rPr>
                                  <w:t xml:space="preserve"> </w:t>
                                </w:r>
                                <w:r>
                                  <w:rPr>
                                    <w:rFonts w:ascii="Arial" w:eastAsia="Arial" w:hAnsi="Arial" w:cs="Arial"/>
                                    <w:b/>
                                    <w:bCs/>
                                    <w:i/>
                                    <w:spacing w:val="-1"/>
                                  </w:rPr>
                                  <w:t>the</w:t>
                                </w:r>
                                <w:r>
                                  <w:rPr>
                                    <w:rFonts w:ascii="Arial" w:eastAsia="Arial" w:hAnsi="Arial" w:cs="Arial"/>
                                    <w:b/>
                                    <w:bCs/>
                                    <w:i/>
                                    <w:spacing w:val="74"/>
                                  </w:rPr>
                                  <w:t xml:space="preserve"> </w:t>
                                </w:r>
                                <w:r>
                                  <w:rPr>
                                    <w:rFonts w:ascii="Arial" w:eastAsia="Arial" w:hAnsi="Arial" w:cs="Arial"/>
                                    <w:b/>
                                    <w:bCs/>
                                    <w:i/>
                                    <w:spacing w:val="-1"/>
                                  </w:rPr>
                                  <w:t>Customer</w:t>
                                </w:r>
                                <w:r>
                                  <w:rPr>
                                    <w:rFonts w:ascii="Arial" w:eastAsia="Arial" w:hAnsi="Arial" w:cs="Arial"/>
                                    <w:b/>
                                    <w:bCs/>
                                    <w:i/>
                                    <w:spacing w:val="41"/>
                                  </w:rPr>
                                  <w:t xml:space="preserve"> </w:t>
                                </w:r>
                                <w:r>
                                  <w:rPr>
                                    <w:rFonts w:ascii="Arial" w:eastAsia="Arial" w:hAnsi="Arial" w:cs="Arial"/>
                                    <w:b/>
                                    <w:bCs/>
                                    <w:i/>
                                    <w:spacing w:val="-1"/>
                                  </w:rPr>
                                  <w:t>will</w:t>
                                </w:r>
                                <w:r>
                                  <w:rPr>
                                    <w:rFonts w:ascii="Arial" w:eastAsia="Arial" w:hAnsi="Arial" w:cs="Arial"/>
                                    <w:b/>
                                    <w:bCs/>
                                    <w:i/>
                                    <w:spacing w:val="41"/>
                                  </w:rPr>
                                  <w:t xml:space="preserve"> </w:t>
                                </w:r>
                                <w:r>
                                  <w:rPr>
                                    <w:rFonts w:ascii="Arial" w:eastAsia="Arial" w:hAnsi="Arial" w:cs="Arial"/>
                                    <w:b/>
                                    <w:bCs/>
                                    <w:i/>
                                    <w:spacing w:val="-1"/>
                                  </w:rPr>
                                  <w:t>incorporate</w:t>
                                </w:r>
                                <w:r>
                                  <w:rPr>
                                    <w:rFonts w:ascii="Arial" w:eastAsia="Arial" w:hAnsi="Arial" w:cs="Arial"/>
                                    <w:b/>
                                    <w:bCs/>
                                    <w:i/>
                                    <w:spacing w:val="40"/>
                                  </w:rPr>
                                  <w:t xml:space="preserve"> </w:t>
                                </w:r>
                                <w:r>
                                  <w:rPr>
                                    <w:rFonts w:ascii="Arial" w:eastAsia="Arial" w:hAnsi="Arial" w:cs="Arial"/>
                                    <w:b/>
                                    <w:bCs/>
                                    <w:i/>
                                    <w:spacing w:val="-1"/>
                                  </w:rPr>
                                  <w:t>here</w:t>
                                </w:r>
                                <w:r>
                                  <w:rPr>
                                    <w:rFonts w:ascii="Arial" w:eastAsia="Arial" w:hAnsi="Arial" w:cs="Arial"/>
                                    <w:b/>
                                    <w:bCs/>
                                    <w:i/>
                                    <w:spacing w:val="40"/>
                                  </w:rPr>
                                  <w:t xml:space="preserve"> </w:t>
                                </w:r>
                                <w:r>
                                  <w:rPr>
                                    <w:rFonts w:ascii="Arial" w:eastAsia="Arial" w:hAnsi="Arial" w:cs="Arial"/>
                                    <w:b/>
                                    <w:bCs/>
                                    <w:i/>
                                    <w:spacing w:val="-1"/>
                                  </w:rPr>
                                  <w:t>the</w:t>
                                </w:r>
                                <w:r>
                                  <w:rPr>
                                    <w:rFonts w:ascii="Arial" w:eastAsia="Arial" w:hAnsi="Arial" w:cs="Arial"/>
                                    <w:b/>
                                    <w:bCs/>
                                    <w:i/>
                                    <w:spacing w:val="40"/>
                                  </w:rPr>
                                  <w:t xml:space="preserve"> </w:t>
                                </w:r>
                                <w:r>
                                  <w:rPr>
                                    <w:rFonts w:ascii="Arial" w:eastAsia="Arial" w:hAnsi="Arial" w:cs="Arial"/>
                                    <w:b/>
                                    <w:bCs/>
                                    <w:i/>
                                    <w:spacing w:val="-1"/>
                                  </w:rPr>
                                  <w:t>Supplier’s</w:t>
                                </w:r>
                                <w:r>
                                  <w:rPr>
                                    <w:rFonts w:ascii="Arial" w:eastAsia="Arial" w:hAnsi="Arial" w:cs="Arial"/>
                                    <w:b/>
                                    <w:bCs/>
                                    <w:i/>
                                    <w:spacing w:val="40"/>
                                  </w:rPr>
                                  <w:t xml:space="preserve"> </w:t>
                                </w:r>
                                <w:r>
                                  <w:rPr>
                                    <w:rFonts w:ascii="Arial" w:eastAsia="Arial" w:hAnsi="Arial" w:cs="Arial"/>
                                    <w:b/>
                                    <w:bCs/>
                                    <w:i/>
                                    <w:spacing w:val="-1"/>
                                  </w:rPr>
                                  <w:t>tendered</w:t>
                                </w:r>
                                <w:r>
                                  <w:rPr>
                                    <w:rFonts w:ascii="Arial" w:eastAsia="Arial" w:hAnsi="Arial" w:cs="Arial"/>
                                    <w:b/>
                                    <w:bCs/>
                                    <w:i/>
                                    <w:spacing w:val="41"/>
                                  </w:rPr>
                                  <w:t xml:space="preserve"> </w:t>
                                </w:r>
                                <w:r>
                                  <w:rPr>
                                    <w:rFonts w:ascii="Arial" w:eastAsia="Arial" w:hAnsi="Arial" w:cs="Arial"/>
                                    <w:b/>
                                    <w:bCs/>
                                    <w:i/>
                                    <w:spacing w:val="-1"/>
                                  </w:rPr>
                                  <w:t>Call</w:t>
                                </w:r>
                                <w:r>
                                  <w:rPr>
                                    <w:rFonts w:ascii="Arial" w:eastAsia="Arial" w:hAnsi="Arial" w:cs="Arial"/>
                                    <w:b/>
                                    <w:bCs/>
                                    <w:i/>
                                    <w:spacing w:val="41"/>
                                  </w:rPr>
                                  <w:t xml:space="preserve"> </w:t>
                                </w:r>
                                <w:r>
                                  <w:rPr>
                                    <w:rFonts w:ascii="Arial" w:eastAsia="Arial" w:hAnsi="Arial" w:cs="Arial"/>
                                    <w:b/>
                                    <w:bCs/>
                                    <w:i/>
                                    <w:spacing w:val="-1"/>
                                  </w:rPr>
                                  <w:t>Off</w:t>
                                </w:r>
                                <w:r>
                                  <w:rPr>
                                    <w:rFonts w:ascii="Arial" w:eastAsia="Arial" w:hAnsi="Arial" w:cs="Arial"/>
                                    <w:b/>
                                    <w:bCs/>
                                    <w:i/>
                                    <w:spacing w:val="41"/>
                                  </w:rPr>
                                  <w:t xml:space="preserve"> </w:t>
                                </w:r>
                                <w:r>
                                  <w:rPr>
                                    <w:rFonts w:ascii="Arial" w:eastAsia="Arial" w:hAnsi="Arial" w:cs="Arial"/>
                                    <w:b/>
                                    <w:bCs/>
                                    <w:i/>
                                    <w:spacing w:val="-1"/>
                                  </w:rPr>
                                  <w:t>Contract</w:t>
                                </w:r>
                                <w:r>
                                  <w:rPr>
                                    <w:rFonts w:ascii="Arial" w:eastAsia="Arial" w:hAnsi="Arial" w:cs="Arial"/>
                                    <w:b/>
                                    <w:bCs/>
                                    <w:i/>
                                    <w:spacing w:val="41"/>
                                  </w:rPr>
                                  <w:t xml:space="preserve"> </w:t>
                                </w:r>
                                <w:r>
                                  <w:rPr>
                                    <w:rFonts w:ascii="Arial" w:eastAsia="Arial" w:hAnsi="Arial" w:cs="Arial"/>
                                    <w:b/>
                                    <w:bCs/>
                                    <w:i/>
                                    <w:spacing w:val="-1"/>
                                  </w:rPr>
                                  <w:t>Charges</w:t>
                                </w:r>
                                <w:r>
                                  <w:rPr>
                                    <w:rFonts w:ascii="Arial" w:eastAsia="Arial" w:hAnsi="Arial" w:cs="Arial"/>
                                    <w:b/>
                                    <w:bCs/>
                                    <w:i/>
                                  </w:rPr>
                                  <w:t xml:space="preserve"> </w:t>
                                </w:r>
                                <w:r>
                                  <w:rPr>
                                    <w:rFonts w:ascii="Arial" w:eastAsia="Arial" w:hAnsi="Arial" w:cs="Arial"/>
                                    <w:b/>
                                    <w:bCs/>
                                    <w:i/>
                                    <w:spacing w:val="-1"/>
                                  </w:rPr>
                                  <w:t>including</w:t>
                                </w:r>
                                <w:r>
                                  <w:rPr>
                                    <w:rFonts w:ascii="Arial" w:eastAsia="Arial" w:hAnsi="Arial" w:cs="Arial"/>
                                    <w:b/>
                                    <w:bCs/>
                                    <w:i/>
                                    <w:spacing w:val="-2"/>
                                  </w:rPr>
                                  <w:t xml:space="preserve"> </w:t>
                                </w:r>
                                <w:r>
                                  <w:rPr>
                                    <w:rFonts w:ascii="Arial" w:eastAsia="Arial" w:hAnsi="Arial" w:cs="Arial"/>
                                    <w:b/>
                                    <w:bCs/>
                                    <w:i/>
                                    <w:spacing w:val="-1"/>
                                  </w:rPr>
                                  <w:t>any</w:t>
                                </w:r>
                                <w:r>
                                  <w:rPr>
                                    <w:rFonts w:ascii="Arial" w:eastAsia="Arial" w:hAnsi="Arial" w:cs="Arial"/>
                                    <w:b/>
                                    <w:bCs/>
                                    <w:i/>
                                    <w:spacing w:val="-2"/>
                                  </w:rPr>
                                  <w:t xml:space="preserve"> </w:t>
                                </w:r>
                                <w:r>
                                  <w:rPr>
                                    <w:rFonts w:ascii="Arial" w:eastAsia="Arial" w:hAnsi="Arial" w:cs="Arial"/>
                                    <w:b/>
                                    <w:bCs/>
                                    <w:i/>
                                    <w:spacing w:val="-1"/>
                                  </w:rPr>
                                  <w:t>discounts</w:t>
                                </w:r>
                                <w:r>
                                  <w:rPr>
                                    <w:rFonts w:ascii="Arial" w:eastAsia="Arial" w:hAnsi="Arial" w:cs="Arial"/>
                                    <w:b/>
                                    <w:bCs/>
                                    <w:i/>
                                    <w:spacing w:val="-2"/>
                                  </w:rPr>
                                  <w:t xml:space="preserve"> </w:t>
                                </w:r>
                                <w:r>
                                  <w:rPr>
                                    <w:rFonts w:ascii="Arial" w:eastAsia="Arial" w:hAnsi="Arial" w:cs="Arial"/>
                                    <w:b/>
                                    <w:bCs/>
                                    <w:i/>
                                    <w:spacing w:val="-1"/>
                                  </w:rPr>
                                  <w:t>e.g.</w:t>
                                </w:r>
                                <w:r>
                                  <w:rPr>
                                    <w:rFonts w:ascii="Arial" w:eastAsia="Arial" w:hAnsi="Arial" w:cs="Arial"/>
                                    <w:b/>
                                    <w:bCs/>
                                    <w:i/>
                                    <w:spacing w:val="2"/>
                                  </w:rPr>
                                  <w:t xml:space="preserve"> </w:t>
                                </w:r>
                                <w:r>
                                  <w:rPr>
                                    <w:rFonts w:ascii="Arial" w:eastAsia="Arial" w:hAnsi="Arial" w:cs="Arial"/>
                                    <w:b/>
                                    <w:bCs/>
                                    <w:i/>
                                    <w:spacing w:val="-1"/>
                                  </w:rPr>
                                  <w:t>volume</w:t>
                                </w:r>
                                <w:r>
                                  <w:rPr>
                                    <w:rFonts w:ascii="Arial" w:eastAsia="Arial" w:hAnsi="Arial" w:cs="Arial"/>
                                    <w:b/>
                                    <w:bCs/>
                                    <w:i/>
                                    <w:spacing w:val="-4"/>
                                  </w:rPr>
                                  <w:t xml:space="preserve"> </w:t>
                                </w:r>
                                <w:r>
                                  <w:rPr>
                                    <w:rFonts w:ascii="Arial" w:eastAsia="Arial" w:hAnsi="Arial" w:cs="Arial"/>
                                    <w:b/>
                                    <w:bCs/>
                                    <w:i/>
                                    <w:spacing w:val="-2"/>
                                  </w:rPr>
                                  <w:t>discounts]</w:t>
                                </w:r>
                              </w:p>
                            </w:txbxContent>
                          </wps:txbx>
                          <wps:bodyPr rot="0" vert="horz" wrap="square" lIns="0" tIns="0" rIns="0" bIns="0" anchor="t" anchorCtr="0" upright="1">
                            <a:noAutofit/>
                          </wps:bodyPr>
                        </wps:wsp>
                      </wpg:grpSp>
                    </wpg:wgp>
                  </a:graphicData>
                </a:graphic>
              </wp:inline>
            </w:drawing>
          </mc:Choice>
          <mc:Fallback>
            <w:pict>
              <v:group w14:anchorId="306A238D" id="Group 3476" o:spid="_x0000_s1227" style="width:424.3pt;height:37.95pt;mso-position-horizontal-relative:char;mso-position-vertical-relative:line" coordsize="848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">
                <v:group id="Group 3482" o:spid="_x0000_s1228" style="position:absolute;width:8484;height:252"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Freeform 3483" o:spid="_x0000_s1229" style="position:absolute;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jkccA&#10;AADdAAAADwAAAGRycy9kb3ducmV2LnhtbESPQWvCQBSE7wX/w/KE3urGWlRiNiKi0PaipoVeX7PP&#10;JJp9G7LbJP333YLgcZiZb5hkPZhadNS6yrKC6SQCQZxbXXGh4PNj/7QE4TyyxtoyKfglB+t09JBg&#10;rG3PJ+oyX4gAYRejgtL7JpbS5SUZdBPbEAfvbFuDPsi2kLrFPsBNLZ+jaC4NVhwWSmxoW1J+zX6M&#10;gt3s1Hy9f+8Puzd96S6L/tjZrFDqcTxsViA8Df4evrVftYLZy3IO/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VI5HHAAAA3QAAAA8AAAAAAAAAAAAAAAAAmAIAAGRy&#10;cy9kb3ducmV2LnhtbFBLBQYAAAAABAAEAPUAAACMAwAAAAA=&#10;" path="m,252r8484,l8484,,,,,252xe" fillcolor="lime" stroked="f">
                    <v:path arrowok="t" o:connecttype="custom" o:connectlocs="0,252;8484,252;8484,0;0,0;0,252" o:connectangles="0,0,0,0,0"/>
                  </v:shape>
                </v:group>
                <v:group id="Group 3480" o:spid="_x0000_s1230" style="position:absolute;top:252;width:8484;height:255" coordorigin=",252"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shape id="Freeform 3481" o:spid="_x0000_s1231" style="position:absolute;top:252;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mKMQA&#10;AADdAAAADwAAAGRycy9kb3ducmV2LnhtbERP3U7CMBS+J/EdmmPinXSgGJgUYkg0JBIXJw9wsh7X&#10;yXpa2grz7emFCZdfvv/lerC9OFGInWMFk3EBgrhxuuNWwf7r9X4OIiZkjb1jUvBHEdarm9ESS+3O&#10;/EmnOrUih3AsUYFJyZdSxsaQxTh2njhz3y5YTBmGVuqA5xxuezktiidpsePcYNDTxlBzqH+tgo9J&#10;9eOn/fHwvtu+zcJiV1fG10rd3Q4vzyASDekq/ndvtYKHx3mem9/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JijEAAAA3QAAAA8AAAAAAAAAAAAAAAAAmAIAAGRycy9k&#10;b3ducmV2LnhtbFBLBQYAAAAABAAEAPUAAACJAwAAAAA=&#10;" path="m,254r8484,l8484,,,,,254xe" fillcolor="lime" stroked="f">
                    <v:path arrowok="t" o:connecttype="custom" o:connectlocs="0,506;8484,506;8484,252;0,252;0,506" o:connectangles="0,0,0,0,0"/>
                  </v:shape>
                </v:group>
                <v:group id="Group 3477" o:spid="_x0000_s1232" style="position:absolute;top:506;width:5907;height:252" coordorigin=",506" coordsize="59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shape id="Freeform 3479" o:spid="_x0000_s1233" style="position:absolute;top:506;width:5907;height:252;visibility:visible;mso-wrap-style:square;v-text-anchor:top" coordsize="59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868IA&#10;AADdAAAADwAAAGRycy9kb3ducmV2LnhtbERPz2vCMBS+C/4P4Q12s+mciHZGEcFRcBerhx0fzTMt&#10;Ni+liW23v345CDt+fL83u9E2oqfO144VvCUpCOLS6ZqNguvlOFuB8AFZY+OYFPyQh912Otlgpt3A&#10;Z+qLYEQMYZ+hgiqENpPSlxVZ9IlriSN3c53FEGFnpO5wiOG2kfM0XUqLNceGCls6VFTei4dVMJrv&#10;r2FBfHq4tbG/OX3WZm+Ven0Z9x8gAo3hX/x051rB+2Id98c38Qn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rzrwgAAAN0AAAAPAAAAAAAAAAAAAAAAAJgCAABkcnMvZG93&#10;bnJldi54bWxQSwUGAAAAAAQABAD1AAAAhwMAAAAA&#10;" path="m,252r5906,l5906,,,,,252xe" fillcolor="lime" stroked="f">
                    <v:path arrowok="t" o:connecttype="custom" o:connectlocs="0,758;5906,758;5906,506;0,506;0,758" o:connectangles="0,0,0,0,0"/>
                  </v:shape>
                  <v:shape id="Text Box 3478" o:spid="_x0000_s1234" type="#_x0000_t202" style="position:absolute;width:8486;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7FcYA&#10;AADdAAAADwAAAGRycy9kb3ducmV2LnhtbESPQWvCQBSE74L/YXmCN91Yi2h0FRGFQqE0xoPHZ/aZ&#10;LGbfptmtpv++Wyh4HGbmG2a16Wwt7tR641jBZJyAIC6cNlwqOOWH0RyED8gaa8ek4Ic8bNb93gpT&#10;7R6c0f0YShEh7FNUUIXQpFL6oiKLfuwa4uhdXWsxRNmWUrf4iHBby5ckmUmLhuNChQ3tKipux2+r&#10;YHvmbG++Pi6f2TUzeb5I+H12U2o46LZLEIG68Az/t9+0gunrY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7FcYAAADdAAAADwAAAAAAAAAAAAAAAACYAgAAZHJz&#10;L2Rvd25yZXYueG1sUEsFBgAAAAAEAAQA9QAAAIsDAAAAAA==&#10;" filled="f" stroked="f">
                    <v:textbox inset="0,0,0,0">
                      <w:txbxContent>
                        <w:p w:rsidR="005D2B81" w:rsidRDefault="005D2B81" w:rsidP="008918FA">
                          <w:pPr>
                            <w:jc w:val="both"/>
                            <w:rPr>
                              <w:rFonts w:ascii="Arial" w:eastAsia="Arial" w:hAnsi="Arial" w:cs="Arial"/>
                            </w:rPr>
                          </w:pPr>
                          <w:r>
                            <w:rPr>
                              <w:rFonts w:ascii="Arial" w:eastAsia="Arial" w:hAnsi="Arial" w:cs="Arial"/>
                              <w:b/>
                              <w:bCs/>
                              <w:i/>
                              <w:spacing w:val="-1"/>
                            </w:rPr>
                            <w:t>[Guidance</w:t>
                          </w:r>
                          <w:r>
                            <w:rPr>
                              <w:rFonts w:ascii="Arial" w:eastAsia="Arial" w:hAnsi="Arial" w:cs="Arial"/>
                              <w:b/>
                              <w:bCs/>
                              <w:i/>
                              <w:spacing w:val="14"/>
                            </w:rPr>
                            <w:t xml:space="preserve"> </w:t>
                          </w:r>
                          <w:r>
                            <w:rPr>
                              <w:rFonts w:ascii="Arial" w:eastAsia="Arial" w:hAnsi="Arial" w:cs="Arial"/>
                              <w:b/>
                              <w:bCs/>
                              <w:i/>
                              <w:spacing w:val="-2"/>
                            </w:rPr>
                            <w:t>Note:</w:t>
                          </w:r>
                          <w:r>
                            <w:rPr>
                              <w:rFonts w:ascii="Arial" w:eastAsia="Arial" w:hAnsi="Arial" w:cs="Arial"/>
                              <w:b/>
                              <w:bCs/>
                              <w:i/>
                              <w:spacing w:val="15"/>
                            </w:rPr>
                            <w:t xml:space="preserve"> </w:t>
                          </w:r>
                          <w:r>
                            <w:rPr>
                              <w:rFonts w:ascii="Arial" w:eastAsia="Arial" w:hAnsi="Arial" w:cs="Arial"/>
                              <w:b/>
                              <w:bCs/>
                              <w:i/>
                              <w:spacing w:val="-1"/>
                            </w:rPr>
                            <w:t>Prior</w:t>
                          </w:r>
                          <w:r>
                            <w:rPr>
                              <w:rFonts w:ascii="Arial" w:eastAsia="Arial" w:hAnsi="Arial" w:cs="Arial"/>
                              <w:b/>
                              <w:bCs/>
                              <w:i/>
                              <w:spacing w:val="12"/>
                            </w:rPr>
                            <w:t xml:space="preserve"> </w:t>
                          </w:r>
                          <w:r>
                            <w:rPr>
                              <w:rFonts w:ascii="Arial" w:eastAsia="Arial" w:hAnsi="Arial" w:cs="Arial"/>
                              <w:b/>
                              <w:bCs/>
                              <w:i/>
                            </w:rPr>
                            <w:t>to</w:t>
                          </w:r>
                          <w:r>
                            <w:rPr>
                              <w:rFonts w:ascii="Arial" w:eastAsia="Arial" w:hAnsi="Arial" w:cs="Arial"/>
                              <w:b/>
                              <w:bCs/>
                              <w:i/>
                              <w:spacing w:val="13"/>
                            </w:rPr>
                            <w:t xml:space="preserve"> </w:t>
                          </w:r>
                          <w:r>
                            <w:rPr>
                              <w:rFonts w:ascii="Arial" w:eastAsia="Arial" w:hAnsi="Arial" w:cs="Arial"/>
                              <w:b/>
                              <w:bCs/>
                              <w:i/>
                              <w:spacing w:val="-1"/>
                            </w:rPr>
                            <w:t>the</w:t>
                          </w:r>
                          <w:r>
                            <w:rPr>
                              <w:rFonts w:ascii="Arial" w:eastAsia="Arial" w:hAnsi="Arial" w:cs="Arial"/>
                              <w:b/>
                              <w:bCs/>
                              <w:i/>
                              <w:spacing w:val="14"/>
                            </w:rPr>
                            <w:t xml:space="preserve"> </w:t>
                          </w:r>
                          <w:r>
                            <w:rPr>
                              <w:rFonts w:ascii="Arial" w:eastAsia="Arial" w:hAnsi="Arial" w:cs="Arial"/>
                              <w:b/>
                              <w:bCs/>
                              <w:i/>
                              <w:spacing w:val="-2"/>
                            </w:rPr>
                            <w:t>commencement</w:t>
                          </w:r>
                          <w:r>
                            <w:rPr>
                              <w:rFonts w:ascii="Arial" w:eastAsia="Arial" w:hAnsi="Arial" w:cs="Arial"/>
                              <w:b/>
                              <w:bCs/>
                              <w:i/>
                              <w:spacing w:val="15"/>
                            </w:rPr>
                            <w:t xml:space="preserve"> </w:t>
                          </w:r>
                          <w:r>
                            <w:rPr>
                              <w:rFonts w:ascii="Arial" w:eastAsia="Arial" w:hAnsi="Arial" w:cs="Arial"/>
                              <w:b/>
                              <w:bCs/>
                              <w:i/>
                              <w:spacing w:val="-1"/>
                            </w:rPr>
                            <w:t>of</w:t>
                          </w:r>
                          <w:r>
                            <w:rPr>
                              <w:rFonts w:ascii="Arial" w:eastAsia="Arial" w:hAnsi="Arial" w:cs="Arial"/>
                              <w:b/>
                              <w:bCs/>
                              <w:i/>
                              <w:spacing w:val="13"/>
                            </w:rPr>
                            <w:t xml:space="preserve"> </w:t>
                          </w:r>
                          <w:r>
                            <w:rPr>
                              <w:rFonts w:ascii="Arial" w:eastAsia="Arial" w:hAnsi="Arial" w:cs="Arial"/>
                              <w:b/>
                              <w:bCs/>
                              <w:i/>
                            </w:rPr>
                            <w:t>this</w:t>
                          </w:r>
                          <w:r>
                            <w:rPr>
                              <w:rFonts w:ascii="Arial" w:eastAsia="Arial" w:hAnsi="Arial" w:cs="Arial"/>
                              <w:b/>
                              <w:bCs/>
                              <w:i/>
                              <w:spacing w:val="14"/>
                            </w:rPr>
                            <w:t xml:space="preserve"> </w:t>
                          </w:r>
                          <w:r>
                            <w:rPr>
                              <w:rFonts w:ascii="Arial" w:eastAsia="Arial" w:hAnsi="Arial" w:cs="Arial"/>
                              <w:b/>
                              <w:bCs/>
                              <w:i/>
                              <w:spacing w:val="-2"/>
                            </w:rPr>
                            <w:t>Call</w:t>
                          </w:r>
                          <w:r>
                            <w:rPr>
                              <w:rFonts w:ascii="Arial" w:eastAsia="Arial" w:hAnsi="Arial" w:cs="Arial"/>
                              <w:b/>
                              <w:bCs/>
                              <w:i/>
                              <w:spacing w:val="13"/>
                            </w:rPr>
                            <w:t xml:space="preserve"> </w:t>
                          </w:r>
                          <w:r>
                            <w:rPr>
                              <w:rFonts w:ascii="Arial" w:eastAsia="Arial" w:hAnsi="Arial" w:cs="Arial"/>
                              <w:b/>
                              <w:bCs/>
                              <w:i/>
                              <w:spacing w:val="-1"/>
                            </w:rPr>
                            <w:t>Off</w:t>
                          </w:r>
                          <w:r>
                            <w:rPr>
                              <w:rFonts w:ascii="Arial" w:eastAsia="Arial" w:hAnsi="Arial" w:cs="Arial"/>
                              <w:b/>
                              <w:bCs/>
                              <w:i/>
                              <w:spacing w:val="15"/>
                            </w:rPr>
                            <w:t xml:space="preserve"> </w:t>
                          </w:r>
                          <w:r>
                            <w:rPr>
                              <w:rFonts w:ascii="Arial" w:eastAsia="Arial" w:hAnsi="Arial" w:cs="Arial"/>
                              <w:b/>
                              <w:bCs/>
                              <w:i/>
                              <w:spacing w:val="-2"/>
                            </w:rPr>
                            <w:t>Contract,</w:t>
                          </w:r>
                          <w:r>
                            <w:rPr>
                              <w:rFonts w:ascii="Arial" w:eastAsia="Arial" w:hAnsi="Arial" w:cs="Arial"/>
                              <w:b/>
                              <w:bCs/>
                              <w:i/>
                              <w:spacing w:val="15"/>
                            </w:rPr>
                            <w:t xml:space="preserve"> </w:t>
                          </w:r>
                          <w:r>
                            <w:rPr>
                              <w:rFonts w:ascii="Arial" w:eastAsia="Arial" w:hAnsi="Arial" w:cs="Arial"/>
                              <w:b/>
                              <w:bCs/>
                              <w:i/>
                              <w:spacing w:val="-1"/>
                            </w:rPr>
                            <w:t>the</w:t>
                          </w:r>
                          <w:r>
                            <w:rPr>
                              <w:rFonts w:ascii="Arial" w:eastAsia="Arial" w:hAnsi="Arial" w:cs="Arial"/>
                              <w:b/>
                              <w:bCs/>
                              <w:i/>
                              <w:spacing w:val="74"/>
                            </w:rPr>
                            <w:t xml:space="preserve"> </w:t>
                          </w:r>
                          <w:r>
                            <w:rPr>
                              <w:rFonts w:ascii="Arial" w:eastAsia="Arial" w:hAnsi="Arial" w:cs="Arial"/>
                              <w:b/>
                              <w:bCs/>
                              <w:i/>
                              <w:spacing w:val="-1"/>
                            </w:rPr>
                            <w:t>Customer</w:t>
                          </w:r>
                          <w:r>
                            <w:rPr>
                              <w:rFonts w:ascii="Arial" w:eastAsia="Arial" w:hAnsi="Arial" w:cs="Arial"/>
                              <w:b/>
                              <w:bCs/>
                              <w:i/>
                              <w:spacing w:val="41"/>
                            </w:rPr>
                            <w:t xml:space="preserve"> </w:t>
                          </w:r>
                          <w:r>
                            <w:rPr>
                              <w:rFonts w:ascii="Arial" w:eastAsia="Arial" w:hAnsi="Arial" w:cs="Arial"/>
                              <w:b/>
                              <w:bCs/>
                              <w:i/>
                              <w:spacing w:val="-1"/>
                            </w:rPr>
                            <w:t>will</w:t>
                          </w:r>
                          <w:r>
                            <w:rPr>
                              <w:rFonts w:ascii="Arial" w:eastAsia="Arial" w:hAnsi="Arial" w:cs="Arial"/>
                              <w:b/>
                              <w:bCs/>
                              <w:i/>
                              <w:spacing w:val="41"/>
                            </w:rPr>
                            <w:t xml:space="preserve"> </w:t>
                          </w:r>
                          <w:r>
                            <w:rPr>
                              <w:rFonts w:ascii="Arial" w:eastAsia="Arial" w:hAnsi="Arial" w:cs="Arial"/>
                              <w:b/>
                              <w:bCs/>
                              <w:i/>
                              <w:spacing w:val="-1"/>
                            </w:rPr>
                            <w:t>incorporate</w:t>
                          </w:r>
                          <w:r>
                            <w:rPr>
                              <w:rFonts w:ascii="Arial" w:eastAsia="Arial" w:hAnsi="Arial" w:cs="Arial"/>
                              <w:b/>
                              <w:bCs/>
                              <w:i/>
                              <w:spacing w:val="40"/>
                            </w:rPr>
                            <w:t xml:space="preserve"> </w:t>
                          </w:r>
                          <w:r>
                            <w:rPr>
                              <w:rFonts w:ascii="Arial" w:eastAsia="Arial" w:hAnsi="Arial" w:cs="Arial"/>
                              <w:b/>
                              <w:bCs/>
                              <w:i/>
                              <w:spacing w:val="-1"/>
                            </w:rPr>
                            <w:t>here</w:t>
                          </w:r>
                          <w:r>
                            <w:rPr>
                              <w:rFonts w:ascii="Arial" w:eastAsia="Arial" w:hAnsi="Arial" w:cs="Arial"/>
                              <w:b/>
                              <w:bCs/>
                              <w:i/>
                              <w:spacing w:val="40"/>
                            </w:rPr>
                            <w:t xml:space="preserve"> </w:t>
                          </w:r>
                          <w:r>
                            <w:rPr>
                              <w:rFonts w:ascii="Arial" w:eastAsia="Arial" w:hAnsi="Arial" w:cs="Arial"/>
                              <w:b/>
                              <w:bCs/>
                              <w:i/>
                              <w:spacing w:val="-1"/>
                            </w:rPr>
                            <w:t>the</w:t>
                          </w:r>
                          <w:r>
                            <w:rPr>
                              <w:rFonts w:ascii="Arial" w:eastAsia="Arial" w:hAnsi="Arial" w:cs="Arial"/>
                              <w:b/>
                              <w:bCs/>
                              <w:i/>
                              <w:spacing w:val="40"/>
                            </w:rPr>
                            <w:t xml:space="preserve"> </w:t>
                          </w:r>
                          <w:r>
                            <w:rPr>
                              <w:rFonts w:ascii="Arial" w:eastAsia="Arial" w:hAnsi="Arial" w:cs="Arial"/>
                              <w:b/>
                              <w:bCs/>
                              <w:i/>
                              <w:spacing w:val="-1"/>
                            </w:rPr>
                            <w:t>Supplier’s</w:t>
                          </w:r>
                          <w:r>
                            <w:rPr>
                              <w:rFonts w:ascii="Arial" w:eastAsia="Arial" w:hAnsi="Arial" w:cs="Arial"/>
                              <w:b/>
                              <w:bCs/>
                              <w:i/>
                              <w:spacing w:val="40"/>
                            </w:rPr>
                            <w:t xml:space="preserve"> </w:t>
                          </w:r>
                          <w:r>
                            <w:rPr>
                              <w:rFonts w:ascii="Arial" w:eastAsia="Arial" w:hAnsi="Arial" w:cs="Arial"/>
                              <w:b/>
                              <w:bCs/>
                              <w:i/>
                              <w:spacing w:val="-1"/>
                            </w:rPr>
                            <w:t>tendered</w:t>
                          </w:r>
                          <w:r>
                            <w:rPr>
                              <w:rFonts w:ascii="Arial" w:eastAsia="Arial" w:hAnsi="Arial" w:cs="Arial"/>
                              <w:b/>
                              <w:bCs/>
                              <w:i/>
                              <w:spacing w:val="41"/>
                            </w:rPr>
                            <w:t xml:space="preserve"> </w:t>
                          </w:r>
                          <w:r>
                            <w:rPr>
                              <w:rFonts w:ascii="Arial" w:eastAsia="Arial" w:hAnsi="Arial" w:cs="Arial"/>
                              <w:b/>
                              <w:bCs/>
                              <w:i/>
                              <w:spacing w:val="-1"/>
                            </w:rPr>
                            <w:t>Call</w:t>
                          </w:r>
                          <w:r>
                            <w:rPr>
                              <w:rFonts w:ascii="Arial" w:eastAsia="Arial" w:hAnsi="Arial" w:cs="Arial"/>
                              <w:b/>
                              <w:bCs/>
                              <w:i/>
                              <w:spacing w:val="41"/>
                            </w:rPr>
                            <w:t xml:space="preserve"> </w:t>
                          </w:r>
                          <w:r>
                            <w:rPr>
                              <w:rFonts w:ascii="Arial" w:eastAsia="Arial" w:hAnsi="Arial" w:cs="Arial"/>
                              <w:b/>
                              <w:bCs/>
                              <w:i/>
                              <w:spacing w:val="-1"/>
                            </w:rPr>
                            <w:t>Off</w:t>
                          </w:r>
                          <w:r>
                            <w:rPr>
                              <w:rFonts w:ascii="Arial" w:eastAsia="Arial" w:hAnsi="Arial" w:cs="Arial"/>
                              <w:b/>
                              <w:bCs/>
                              <w:i/>
                              <w:spacing w:val="41"/>
                            </w:rPr>
                            <w:t xml:space="preserve"> </w:t>
                          </w:r>
                          <w:r>
                            <w:rPr>
                              <w:rFonts w:ascii="Arial" w:eastAsia="Arial" w:hAnsi="Arial" w:cs="Arial"/>
                              <w:b/>
                              <w:bCs/>
                              <w:i/>
                              <w:spacing w:val="-1"/>
                            </w:rPr>
                            <w:t>Contract</w:t>
                          </w:r>
                          <w:r>
                            <w:rPr>
                              <w:rFonts w:ascii="Arial" w:eastAsia="Arial" w:hAnsi="Arial" w:cs="Arial"/>
                              <w:b/>
                              <w:bCs/>
                              <w:i/>
                              <w:spacing w:val="41"/>
                            </w:rPr>
                            <w:t xml:space="preserve"> </w:t>
                          </w:r>
                          <w:r>
                            <w:rPr>
                              <w:rFonts w:ascii="Arial" w:eastAsia="Arial" w:hAnsi="Arial" w:cs="Arial"/>
                              <w:b/>
                              <w:bCs/>
                              <w:i/>
                              <w:spacing w:val="-1"/>
                            </w:rPr>
                            <w:t>Charges</w:t>
                          </w:r>
                          <w:r>
                            <w:rPr>
                              <w:rFonts w:ascii="Arial" w:eastAsia="Arial" w:hAnsi="Arial" w:cs="Arial"/>
                              <w:b/>
                              <w:bCs/>
                              <w:i/>
                            </w:rPr>
                            <w:t xml:space="preserve"> </w:t>
                          </w:r>
                          <w:r>
                            <w:rPr>
                              <w:rFonts w:ascii="Arial" w:eastAsia="Arial" w:hAnsi="Arial" w:cs="Arial"/>
                              <w:b/>
                              <w:bCs/>
                              <w:i/>
                              <w:spacing w:val="-1"/>
                            </w:rPr>
                            <w:t>including</w:t>
                          </w:r>
                          <w:r>
                            <w:rPr>
                              <w:rFonts w:ascii="Arial" w:eastAsia="Arial" w:hAnsi="Arial" w:cs="Arial"/>
                              <w:b/>
                              <w:bCs/>
                              <w:i/>
                              <w:spacing w:val="-2"/>
                            </w:rPr>
                            <w:t xml:space="preserve"> </w:t>
                          </w:r>
                          <w:r>
                            <w:rPr>
                              <w:rFonts w:ascii="Arial" w:eastAsia="Arial" w:hAnsi="Arial" w:cs="Arial"/>
                              <w:b/>
                              <w:bCs/>
                              <w:i/>
                              <w:spacing w:val="-1"/>
                            </w:rPr>
                            <w:t>any</w:t>
                          </w:r>
                          <w:r>
                            <w:rPr>
                              <w:rFonts w:ascii="Arial" w:eastAsia="Arial" w:hAnsi="Arial" w:cs="Arial"/>
                              <w:b/>
                              <w:bCs/>
                              <w:i/>
                              <w:spacing w:val="-2"/>
                            </w:rPr>
                            <w:t xml:space="preserve"> </w:t>
                          </w:r>
                          <w:r>
                            <w:rPr>
                              <w:rFonts w:ascii="Arial" w:eastAsia="Arial" w:hAnsi="Arial" w:cs="Arial"/>
                              <w:b/>
                              <w:bCs/>
                              <w:i/>
                              <w:spacing w:val="-1"/>
                            </w:rPr>
                            <w:t>discounts</w:t>
                          </w:r>
                          <w:r>
                            <w:rPr>
                              <w:rFonts w:ascii="Arial" w:eastAsia="Arial" w:hAnsi="Arial" w:cs="Arial"/>
                              <w:b/>
                              <w:bCs/>
                              <w:i/>
                              <w:spacing w:val="-2"/>
                            </w:rPr>
                            <w:t xml:space="preserve"> </w:t>
                          </w:r>
                          <w:r>
                            <w:rPr>
                              <w:rFonts w:ascii="Arial" w:eastAsia="Arial" w:hAnsi="Arial" w:cs="Arial"/>
                              <w:b/>
                              <w:bCs/>
                              <w:i/>
                              <w:spacing w:val="-1"/>
                            </w:rPr>
                            <w:t>e.g.</w:t>
                          </w:r>
                          <w:r>
                            <w:rPr>
                              <w:rFonts w:ascii="Arial" w:eastAsia="Arial" w:hAnsi="Arial" w:cs="Arial"/>
                              <w:b/>
                              <w:bCs/>
                              <w:i/>
                              <w:spacing w:val="2"/>
                            </w:rPr>
                            <w:t xml:space="preserve"> </w:t>
                          </w:r>
                          <w:r>
                            <w:rPr>
                              <w:rFonts w:ascii="Arial" w:eastAsia="Arial" w:hAnsi="Arial" w:cs="Arial"/>
                              <w:b/>
                              <w:bCs/>
                              <w:i/>
                              <w:spacing w:val="-1"/>
                            </w:rPr>
                            <w:t>volume</w:t>
                          </w:r>
                          <w:r>
                            <w:rPr>
                              <w:rFonts w:ascii="Arial" w:eastAsia="Arial" w:hAnsi="Arial" w:cs="Arial"/>
                              <w:b/>
                              <w:bCs/>
                              <w:i/>
                              <w:spacing w:val="-4"/>
                            </w:rPr>
                            <w:t xml:space="preserve"> </w:t>
                          </w:r>
                          <w:r>
                            <w:rPr>
                              <w:rFonts w:ascii="Arial" w:eastAsia="Arial" w:hAnsi="Arial" w:cs="Arial"/>
                              <w:b/>
                              <w:bCs/>
                              <w:i/>
                              <w:spacing w:val="-2"/>
                            </w:rPr>
                            <w:t>discounts]</w:t>
                          </w:r>
                        </w:p>
                      </w:txbxContent>
                    </v:textbox>
                  </v:shape>
                </v:group>
                <w10:anchorlock/>
              </v:group>
            </w:pict>
          </mc:Fallback>
        </mc:AlternateContent>
      </w:r>
    </w:p>
    <w:p w:rsidR="008918FA" w:rsidRDefault="008918FA" w:rsidP="008918FA">
      <w:pPr>
        <w:spacing w:before="10"/>
        <w:rPr>
          <w:rFonts w:ascii="Arial" w:eastAsia="Arial" w:hAnsi="Arial" w:cs="Arial"/>
          <w:sz w:val="20"/>
          <w:szCs w:val="20"/>
        </w:rPr>
      </w:pPr>
    </w:p>
    <w:p w:rsidR="008918FA" w:rsidRDefault="008918FA" w:rsidP="008918FA">
      <w:pPr>
        <w:spacing w:line="200" w:lineRule="atLeast"/>
        <w:ind w:left="326"/>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7DC1C263" wp14:editId="0D4B4648">
                <wp:extent cx="5389880" cy="481965"/>
                <wp:effectExtent l="0" t="0" r="1270" b="3810"/>
                <wp:docPr id="3476" name="Group 3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481965"/>
                          <a:chOff x="0" y="0"/>
                          <a:chExt cx="8488" cy="759"/>
                        </a:xfrm>
                      </wpg:grpSpPr>
                      <wpg:grpSp>
                        <wpg:cNvPr id="3477" name="Group 3474"/>
                        <wpg:cNvGrpSpPr>
                          <a:grpSpLocks/>
                        </wpg:cNvGrpSpPr>
                        <wpg:grpSpPr bwMode="auto">
                          <a:xfrm>
                            <a:off x="0" y="0"/>
                            <a:ext cx="8484" cy="252"/>
                            <a:chOff x="0" y="0"/>
                            <a:chExt cx="8484" cy="252"/>
                          </a:xfrm>
                        </wpg:grpSpPr>
                        <wps:wsp>
                          <wps:cNvPr id="3478" name="Freeform 3475"/>
                          <wps:cNvSpPr>
                            <a:spLocks/>
                          </wps:cNvSpPr>
                          <wps:spPr bwMode="auto">
                            <a:xfrm>
                              <a:off x="0" y="0"/>
                              <a:ext cx="8484" cy="252"/>
                            </a:xfrm>
                            <a:custGeom>
                              <a:avLst/>
                              <a:gdLst>
                                <a:gd name="T0" fmla="*/ 0 w 8484"/>
                                <a:gd name="T1" fmla="*/ 252 h 252"/>
                                <a:gd name="T2" fmla="*/ 8484 w 8484"/>
                                <a:gd name="T3" fmla="*/ 252 h 252"/>
                                <a:gd name="T4" fmla="*/ 8484 w 8484"/>
                                <a:gd name="T5" fmla="*/ 0 h 252"/>
                                <a:gd name="T6" fmla="*/ 0 w 8484"/>
                                <a:gd name="T7" fmla="*/ 0 h 252"/>
                                <a:gd name="T8" fmla="*/ 0 w 8484"/>
                                <a:gd name="T9" fmla="*/ 252 h 252"/>
                              </a:gdLst>
                              <a:ahLst/>
                              <a:cxnLst>
                                <a:cxn ang="0">
                                  <a:pos x="T0" y="T1"/>
                                </a:cxn>
                                <a:cxn ang="0">
                                  <a:pos x="T2" y="T3"/>
                                </a:cxn>
                                <a:cxn ang="0">
                                  <a:pos x="T4" y="T5"/>
                                </a:cxn>
                                <a:cxn ang="0">
                                  <a:pos x="T6" y="T7"/>
                                </a:cxn>
                                <a:cxn ang="0">
                                  <a:pos x="T8" y="T9"/>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9" name="Group 3472"/>
                        <wpg:cNvGrpSpPr>
                          <a:grpSpLocks/>
                        </wpg:cNvGrpSpPr>
                        <wpg:grpSpPr bwMode="auto">
                          <a:xfrm>
                            <a:off x="0" y="252"/>
                            <a:ext cx="8484" cy="255"/>
                            <a:chOff x="0" y="252"/>
                            <a:chExt cx="8484" cy="255"/>
                          </a:xfrm>
                        </wpg:grpSpPr>
                        <wps:wsp>
                          <wps:cNvPr id="3480" name="Freeform 3473"/>
                          <wps:cNvSpPr>
                            <a:spLocks/>
                          </wps:cNvSpPr>
                          <wps:spPr bwMode="auto">
                            <a:xfrm>
                              <a:off x="0" y="252"/>
                              <a:ext cx="8484" cy="255"/>
                            </a:xfrm>
                            <a:custGeom>
                              <a:avLst/>
                              <a:gdLst>
                                <a:gd name="T0" fmla="*/ 0 w 8484"/>
                                <a:gd name="T1" fmla="+- 0 506 252"/>
                                <a:gd name="T2" fmla="*/ 506 h 255"/>
                                <a:gd name="T3" fmla="*/ 8484 w 8484"/>
                                <a:gd name="T4" fmla="+- 0 506 252"/>
                                <a:gd name="T5" fmla="*/ 506 h 255"/>
                                <a:gd name="T6" fmla="*/ 8484 w 8484"/>
                                <a:gd name="T7" fmla="+- 0 252 252"/>
                                <a:gd name="T8" fmla="*/ 252 h 255"/>
                                <a:gd name="T9" fmla="*/ 0 w 8484"/>
                                <a:gd name="T10" fmla="+- 0 252 252"/>
                                <a:gd name="T11" fmla="*/ 252 h 255"/>
                                <a:gd name="T12" fmla="*/ 0 w 8484"/>
                                <a:gd name="T13" fmla="+- 0 506 252"/>
                                <a:gd name="T14" fmla="*/ 506 h 255"/>
                              </a:gdLst>
                              <a:ahLst/>
                              <a:cxnLst>
                                <a:cxn ang="0">
                                  <a:pos x="T0" y="T2"/>
                                </a:cxn>
                                <a:cxn ang="0">
                                  <a:pos x="T3" y="T5"/>
                                </a:cxn>
                                <a:cxn ang="0">
                                  <a:pos x="T6" y="T8"/>
                                </a:cxn>
                                <a:cxn ang="0">
                                  <a:pos x="T9" y="T11"/>
                                </a:cxn>
                                <a:cxn ang="0">
                                  <a:pos x="T12" y="T14"/>
                                </a:cxn>
                              </a:cxnLst>
                              <a:rect l="0" t="0" r="r" b="b"/>
                              <a:pathLst>
                                <a:path w="8484" h="255">
                                  <a:moveTo>
                                    <a:pt x="0" y="254"/>
                                  </a:moveTo>
                                  <a:lnTo>
                                    <a:pt x="8484" y="254"/>
                                  </a:lnTo>
                                  <a:lnTo>
                                    <a:pt x="8484"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1" name="Group 3469"/>
                        <wpg:cNvGrpSpPr>
                          <a:grpSpLocks/>
                        </wpg:cNvGrpSpPr>
                        <wpg:grpSpPr bwMode="auto">
                          <a:xfrm>
                            <a:off x="0" y="506"/>
                            <a:ext cx="4390" cy="252"/>
                            <a:chOff x="0" y="506"/>
                            <a:chExt cx="4390" cy="252"/>
                          </a:xfrm>
                        </wpg:grpSpPr>
                        <wps:wsp>
                          <wps:cNvPr id="3482" name="Freeform 3471"/>
                          <wps:cNvSpPr>
                            <a:spLocks/>
                          </wps:cNvSpPr>
                          <wps:spPr bwMode="auto">
                            <a:xfrm>
                              <a:off x="0" y="506"/>
                              <a:ext cx="4390" cy="252"/>
                            </a:xfrm>
                            <a:custGeom>
                              <a:avLst/>
                              <a:gdLst>
                                <a:gd name="T0" fmla="*/ 0 w 4390"/>
                                <a:gd name="T1" fmla="+- 0 758 506"/>
                                <a:gd name="T2" fmla="*/ 758 h 252"/>
                                <a:gd name="T3" fmla="*/ 4390 w 4390"/>
                                <a:gd name="T4" fmla="+- 0 758 506"/>
                                <a:gd name="T5" fmla="*/ 758 h 252"/>
                                <a:gd name="T6" fmla="*/ 4390 w 4390"/>
                                <a:gd name="T7" fmla="+- 0 506 506"/>
                                <a:gd name="T8" fmla="*/ 506 h 252"/>
                                <a:gd name="T9" fmla="*/ 0 w 4390"/>
                                <a:gd name="T10" fmla="+- 0 506 506"/>
                                <a:gd name="T11" fmla="*/ 506 h 252"/>
                                <a:gd name="T12" fmla="*/ 0 w 4390"/>
                                <a:gd name="T13" fmla="+- 0 758 506"/>
                                <a:gd name="T14" fmla="*/ 758 h 252"/>
                              </a:gdLst>
                              <a:ahLst/>
                              <a:cxnLst>
                                <a:cxn ang="0">
                                  <a:pos x="T0" y="T2"/>
                                </a:cxn>
                                <a:cxn ang="0">
                                  <a:pos x="T3" y="T5"/>
                                </a:cxn>
                                <a:cxn ang="0">
                                  <a:pos x="T6" y="T8"/>
                                </a:cxn>
                                <a:cxn ang="0">
                                  <a:pos x="T9" y="T11"/>
                                </a:cxn>
                                <a:cxn ang="0">
                                  <a:pos x="T12" y="T14"/>
                                </a:cxn>
                              </a:cxnLst>
                              <a:rect l="0" t="0" r="r" b="b"/>
                              <a:pathLst>
                                <a:path w="4390" h="252">
                                  <a:moveTo>
                                    <a:pt x="0" y="252"/>
                                  </a:moveTo>
                                  <a:lnTo>
                                    <a:pt x="4390" y="252"/>
                                  </a:lnTo>
                                  <a:lnTo>
                                    <a:pt x="4390"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Text Box 3470"/>
                          <wps:cNvSpPr txBox="1">
                            <a:spLocks noChangeArrowheads="1"/>
                          </wps:cNvSpPr>
                          <wps:spPr bwMode="auto">
                            <a:xfrm>
                              <a:off x="0" y="0"/>
                              <a:ext cx="848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jc w:val="both"/>
                                  <w:rPr>
                                    <w:rFonts w:ascii="Arial" w:eastAsia="Arial" w:hAnsi="Arial" w:cs="Arial"/>
                                  </w:rPr>
                                </w:pPr>
                                <w:r>
                                  <w:rPr>
                                    <w:rFonts w:ascii="Arial"/>
                                    <w:b/>
                                    <w:i/>
                                    <w:spacing w:val="-1"/>
                                  </w:rPr>
                                  <w:t>[Guidance</w:t>
                                </w:r>
                                <w:r>
                                  <w:rPr>
                                    <w:rFonts w:ascii="Arial"/>
                                    <w:b/>
                                    <w:i/>
                                    <w:spacing w:val="60"/>
                                  </w:rPr>
                                  <w:t xml:space="preserve"> </w:t>
                                </w:r>
                                <w:r>
                                  <w:rPr>
                                    <w:rFonts w:ascii="Arial"/>
                                    <w:b/>
                                    <w:i/>
                                    <w:spacing w:val="-1"/>
                                  </w:rPr>
                                  <w:t>Note:</w:t>
                                </w:r>
                                <w:r>
                                  <w:rPr>
                                    <w:rFonts w:ascii="Arial"/>
                                    <w:b/>
                                    <w:i/>
                                  </w:rPr>
                                  <w:t xml:space="preserve"> </w:t>
                                </w:r>
                                <w:r>
                                  <w:rPr>
                                    <w:rFonts w:ascii="Arial"/>
                                    <w:b/>
                                    <w:i/>
                                    <w:spacing w:val="-1"/>
                                  </w:rPr>
                                  <w:t>the</w:t>
                                </w:r>
                                <w:r>
                                  <w:rPr>
                                    <w:rFonts w:ascii="Arial"/>
                                    <w:b/>
                                    <w:i/>
                                    <w:spacing w:val="58"/>
                                  </w:rPr>
                                  <w:t xml:space="preserve"> </w:t>
                                </w:r>
                                <w:r>
                                  <w:rPr>
                                    <w:rFonts w:ascii="Arial"/>
                                    <w:b/>
                                    <w:i/>
                                    <w:spacing w:val="-1"/>
                                  </w:rPr>
                                  <w:t>Call</w:t>
                                </w:r>
                                <w:r>
                                  <w:rPr>
                                    <w:rFonts w:ascii="Arial"/>
                                    <w:b/>
                                    <w:i/>
                                    <w:spacing w:val="1"/>
                                  </w:rPr>
                                  <w:t xml:space="preserve"> </w:t>
                                </w:r>
                                <w:r>
                                  <w:rPr>
                                    <w:rFonts w:ascii="Arial"/>
                                    <w:b/>
                                    <w:i/>
                                    <w:spacing w:val="-1"/>
                                  </w:rPr>
                                  <w:t>Off</w:t>
                                </w:r>
                                <w:r>
                                  <w:rPr>
                                    <w:rFonts w:ascii="Arial"/>
                                    <w:b/>
                                    <w:i/>
                                  </w:rPr>
                                  <w:t xml:space="preserve">  </w:t>
                                </w:r>
                                <w:r>
                                  <w:rPr>
                                    <w:rFonts w:ascii="Arial"/>
                                    <w:b/>
                                    <w:i/>
                                    <w:spacing w:val="-1"/>
                                  </w:rPr>
                                  <w:t>Contract</w:t>
                                </w:r>
                                <w:r>
                                  <w:rPr>
                                    <w:rFonts w:ascii="Arial"/>
                                    <w:b/>
                                    <w:i/>
                                  </w:rPr>
                                  <w:t xml:space="preserve">  </w:t>
                                </w:r>
                                <w:r>
                                  <w:rPr>
                                    <w:rFonts w:ascii="Arial"/>
                                    <w:b/>
                                    <w:i/>
                                    <w:spacing w:val="-1"/>
                                  </w:rPr>
                                  <w:t>Charges</w:t>
                                </w:r>
                                <w:r>
                                  <w:rPr>
                                    <w:rFonts w:ascii="Arial"/>
                                    <w:b/>
                                    <w:i/>
                                    <w:spacing w:val="60"/>
                                  </w:rPr>
                                  <w:t xml:space="preserve"> </w:t>
                                </w:r>
                                <w:r>
                                  <w:rPr>
                                    <w:rFonts w:ascii="Arial"/>
                                    <w:b/>
                                    <w:i/>
                                    <w:spacing w:val="-1"/>
                                  </w:rPr>
                                  <w:t>must</w:t>
                                </w:r>
                                <w:r>
                                  <w:rPr>
                                    <w:rFonts w:ascii="Arial"/>
                                    <w:b/>
                                    <w:i/>
                                  </w:rPr>
                                  <w:t xml:space="preserve">  </w:t>
                                </w:r>
                                <w:r>
                                  <w:rPr>
                                    <w:rFonts w:ascii="Arial"/>
                                    <w:b/>
                                    <w:i/>
                                    <w:spacing w:val="-1"/>
                                  </w:rPr>
                                  <w:t>be</w:t>
                                </w:r>
                                <w:r>
                                  <w:rPr>
                                    <w:rFonts w:ascii="Arial"/>
                                    <w:b/>
                                    <w:i/>
                                    <w:spacing w:val="60"/>
                                  </w:rPr>
                                  <w:t xml:space="preserve"> </w:t>
                                </w:r>
                                <w:r>
                                  <w:rPr>
                                    <w:rFonts w:ascii="Arial"/>
                                    <w:b/>
                                    <w:i/>
                                    <w:spacing w:val="-1"/>
                                  </w:rPr>
                                  <w:t>consistent</w:t>
                                </w:r>
                                <w:r>
                                  <w:rPr>
                                    <w:rFonts w:ascii="Arial"/>
                                    <w:b/>
                                    <w:i/>
                                  </w:rPr>
                                  <w:t xml:space="preserve">  </w:t>
                                </w:r>
                                <w:r>
                                  <w:rPr>
                                    <w:rFonts w:ascii="Arial"/>
                                    <w:b/>
                                    <w:i/>
                                    <w:spacing w:val="-1"/>
                                  </w:rPr>
                                  <w:t>with</w:t>
                                </w:r>
                                <w:r>
                                  <w:rPr>
                                    <w:rFonts w:ascii="Arial"/>
                                    <w:b/>
                                    <w:i/>
                                    <w:spacing w:val="60"/>
                                  </w:rPr>
                                  <w:t xml:space="preserve"> </w:t>
                                </w:r>
                                <w:r>
                                  <w:rPr>
                                    <w:rFonts w:ascii="Arial"/>
                                    <w:b/>
                                    <w:i/>
                                    <w:spacing w:val="-1"/>
                                  </w:rPr>
                                  <w:t>the</w:t>
                                </w:r>
                                <w:r>
                                  <w:rPr>
                                    <w:rFonts w:ascii="Arial"/>
                                    <w:b/>
                                    <w:i/>
                                    <w:spacing w:val="40"/>
                                  </w:rPr>
                                  <w:t xml:space="preserve"> </w:t>
                                </w:r>
                                <w:r>
                                  <w:rPr>
                                    <w:rFonts w:ascii="Arial"/>
                                    <w:b/>
                                    <w:i/>
                                    <w:spacing w:val="-1"/>
                                  </w:rPr>
                                  <w:t>provisions</w:t>
                                </w:r>
                                <w:r>
                                  <w:rPr>
                                    <w:rFonts w:ascii="Arial"/>
                                    <w:b/>
                                    <w:i/>
                                  </w:rPr>
                                  <w:t xml:space="preserve"> </w:t>
                                </w:r>
                                <w:r>
                                  <w:rPr>
                                    <w:rFonts w:ascii="Arial"/>
                                    <w:b/>
                                    <w:i/>
                                    <w:spacing w:val="-1"/>
                                  </w:rPr>
                                  <w:t>of</w:t>
                                </w:r>
                                <w:r>
                                  <w:rPr>
                                    <w:rFonts w:ascii="Arial"/>
                                    <w:b/>
                                    <w:i/>
                                    <w:spacing w:val="2"/>
                                  </w:rPr>
                                  <w:t xml:space="preserve"> </w:t>
                                </w:r>
                                <w:r>
                                  <w:rPr>
                                    <w:rFonts w:ascii="Arial"/>
                                    <w:b/>
                                    <w:i/>
                                    <w:spacing w:val="-1"/>
                                  </w:rPr>
                                  <w:t>Framework</w:t>
                                </w:r>
                                <w:r>
                                  <w:rPr>
                                    <w:rFonts w:ascii="Arial"/>
                                    <w:b/>
                                    <w:i/>
                                    <w:spacing w:val="3"/>
                                  </w:rPr>
                                  <w:t xml:space="preserve"> </w:t>
                                </w:r>
                                <w:r>
                                  <w:rPr>
                                    <w:rFonts w:ascii="Arial"/>
                                    <w:b/>
                                    <w:i/>
                                    <w:spacing w:val="-1"/>
                                  </w:rPr>
                                  <w:t>Schedule</w:t>
                                </w:r>
                                <w:r>
                                  <w:rPr>
                                    <w:rFonts w:ascii="Arial"/>
                                    <w:b/>
                                    <w:i/>
                                  </w:rPr>
                                  <w:t xml:space="preserve"> 3 </w:t>
                                </w:r>
                                <w:r>
                                  <w:rPr>
                                    <w:rFonts w:ascii="Arial"/>
                                    <w:b/>
                                    <w:i/>
                                    <w:spacing w:val="-1"/>
                                  </w:rPr>
                                  <w:t>(Framework</w:t>
                                </w:r>
                                <w:r>
                                  <w:rPr>
                                    <w:rFonts w:ascii="Arial"/>
                                    <w:b/>
                                    <w:i/>
                                    <w:spacing w:val="3"/>
                                  </w:rPr>
                                  <w:t xml:space="preserve"> </w:t>
                                </w:r>
                                <w:r>
                                  <w:rPr>
                                    <w:rFonts w:ascii="Arial"/>
                                    <w:b/>
                                    <w:i/>
                                    <w:spacing w:val="-1"/>
                                  </w:rPr>
                                  <w:t>Prices</w:t>
                                </w:r>
                                <w:r>
                                  <w:rPr>
                                    <w:rFonts w:ascii="Arial"/>
                                    <w:b/>
                                    <w:i/>
                                    <w:spacing w:val="3"/>
                                  </w:rPr>
                                  <w:t xml:space="preserve"> </w:t>
                                </w:r>
                                <w:r>
                                  <w:rPr>
                                    <w:rFonts w:ascii="Arial"/>
                                    <w:b/>
                                    <w:i/>
                                    <w:spacing w:val="-1"/>
                                  </w:rPr>
                                  <w:t>and</w:t>
                                </w:r>
                                <w:r>
                                  <w:rPr>
                                    <w:rFonts w:ascii="Arial"/>
                                    <w:b/>
                                    <w:i/>
                                    <w:spacing w:val="1"/>
                                  </w:rPr>
                                  <w:t xml:space="preserve"> </w:t>
                                </w:r>
                                <w:r>
                                  <w:rPr>
                                    <w:rFonts w:ascii="Arial"/>
                                    <w:b/>
                                    <w:i/>
                                    <w:spacing w:val="-1"/>
                                  </w:rPr>
                                  <w:t>Charging</w:t>
                                </w:r>
                                <w:r>
                                  <w:rPr>
                                    <w:rFonts w:ascii="Arial"/>
                                    <w:b/>
                                    <w:i/>
                                    <w:spacing w:val="3"/>
                                  </w:rPr>
                                  <w:t xml:space="preserve"> </w:t>
                                </w:r>
                                <w:r>
                                  <w:rPr>
                                    <w:rFonts w:ascii="Arial"/>
                                    <w:b/>
                                    <w:i/>
                                    <w:spacing w:val="-1"/>
                                  </w:rPr>
                                  <w:t>Structure)</w:t>
                                </w:r>
                                <w:r>
                                  <w:rPr>
                                    <w:rFonts w:ascii="Arial"/>
                                    <w:b/>
                                    <w:i/>
                                    <w:spacing w:val="42"/>
                                  </w:rPr>
                                  <w:t xml:space="preserve"> </w:t>
                                </w:r>
                                <w:r>
                                  <w:rPr>
                                    <w:rFonts w:ascii="Arial"/>
                                    <w:b/>
                                    <w:i/>
                                    <w:spacing w:val="-1"/>
                                  </w:rPr>
                                  <w:t>and</w:t>
                                </w:r>
                                <w:r>
                                  <w:rPr>
                                    <w:rFonts w:ascii="Arial"/>
                                    <w:b/>
                                    <w:i/>
                                  </w:rPr>
                                  <w:t xml:space="preserve"> </w:t>
                                </w:r>
                                <w:r>
                                  <w:rPr>
                                    <w:rFonts w:ascii="Arial"/>
                                    <w:b/>
                                    <w:i/>
                                    <w:spacing w:val="-1"/>
                                  </w:rPr>
                                  <w:t>paragraph</w:t>
                                </w:r>
                                <w:r>
                                  <w:rPr>
                                    <w:rFonts w:ascii="Arial"/>
                                    <w:b/>
                                    <w:i/>
                                    <w:spacing w:val="-2"/>
                                  </w:rPr>
                                  <w:t xml:space="preserve"> </w:t>
                                </w:r>
                                <w:hyperlink w:anchor="_bookmark287" w:history="1">
                                  <w:r>
                                    <w:rPr>
                                      <w:rFonts w:ascii="Arial"/>
                                      <w:b/>
                                      <w:i/>
                                    </w:rPr>
                                    <w:t>3</w:t>
                                  </w:r>
                                </w:hyperlink>
                                <w:r>
                                  <w:rPr>
                                    <w:rFonts w:ascii="Arial"/>
                                    <w:b/>
                                    <w:i/>
                                  </w:rPr>
                                  <w:t xml:space="preserve"> </w:t>
                                </w:r>
                                <w:r>
                                  <w:rPr>
                                    <w:rFonts w:ascii="Arial"/>
                                    <w:b/>
                                    <w:i/>
                                    <w:spacing w:val="-2"/>
                                  </w:rPr>
                                  <w:t>of</w:t>
                                </w:r>
                                <w:r>
                                  <w:rPr>
                                    <w:rFonts w:ascii="Arial"/>
                                    <w:b/>
                                    <w:i/>
                                    <w:spacing w:val="-1"/>
                                  </w:rPr>
                                  <w:t xml:space="preserve"> </w:t>
                                </w:r>
                                <w:r>
                                  <w:rPr>
                                    <w:rFonts w:ascii="Arial"/>
                                    <w:b/>
                                    <w:i/>
                                  </w:rPr>
                                  <w:t>this</w:t>
                                </w:r>
                                <w:r>
                                  <w:rPr>
                                    <w:rFonts w:ascii="Arial"/>
                                    <w:b/>
                                    <w:i/>
                                    <w:spacing w:val="-2"/>
                                  </w:rPr>
                                  <w:t xml:space="preserve"> </w:t>
                                </w:r>
                                <w:r>
                                  <w:rPr>
                                    <w:rFonts w:ascii="Arial"/>
                                    <w:b/>
                                    <w:i/>
                                    <w:spacing w:val="-1"/>
                                  </w:rPr>
                                  <w:t>Call</w:t>
                                </w:r>
                                <w:r>
                                  <w:rPr>
                                    <w:rFonts w:ascii="Arial"/>
                                    <w:b/>
                                    <w:i/>
                                    <w:spacing w:val="-3"/>
                                  </w:rPr>
                                  <w:t xml:space="preserve"> </w:t>
                                </w:r>
                                <w:r>
                                  <w:rPr>
                                    <w:rFonts w:ascii="Arial"/>
                                    <w:b/>
                                    <w:i/>
                                    <w:spacing w:val="-1"/>
                                  </w:rPr>
                                  <w:t>Off</w:t>
                                </w:r>
                                <w:r>
                                  <w:rPr>
                                    <w:rFonts w:ascii="Arial"/>
                                    <w:b/>
                                    <w:i/>
                                    <w:spacing w:val="2"/>
                                  </w:rPr>
                                  <w:t xml:space="preserve"> </w:t>
                                </w:r>
                                <w:r>
                                  <w:rPr>
                                    <w:rFonts w:ascii="Arial"/>
                                    <w:b/>
                                    <w:i/>
                                    <w:spacing w:val="-2"/>
                                  </w:rPr>
                                  <w:t>Schedule]</w:t>
                                </w:r>
                              </w:p>
                            </w:txbxContent>
                          </wps:txbx>
                          <wps:bodyPr rot="0" vert="horz" wrap="square" lIns="0" tIns="0" rIns="0" bIns="0" anchor="t" anchorCtr="0" upright="1">
                            <a:noAutofit/>
                          </wps:bodyPr>
                        </wps:wsp>
                      </wpg:grpSp>
                    </wpg:wgp>
                  </a:graphicData>
                </a:graphic>
              </wp:inline>
            </w:drawing>
          </mc:Choice>
          <mc:Fallback>
            <w:pict>
              <v:group w14:anchorId="7DC1C263" id="Group 3468" o:spid="_x0000_s1235" style="width:424.4pt;height:37.95pt;mso-position-horizontal-relative:char;mso-position-vertical-relative:line" coordsize="848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">
                <v:group id="Group 3474" o:spid="_x0000_s1236" style="position:absolute;width:8484;height:252"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3475" o:spid="_x0000_s1237" style="position:absolute;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iX8QA&#10;AADdAAAADwAAAGRycy9kb3ducmV2LnhtbERPy2rCQBTdF/yH4Ra6q5NW0RKdiIhC7aZNWnB7zVzz&#10;MHMnZKZJ+vedheDycN7rzWga0VPnKssKXqYRCOLc6ooLBT/fh+c3EM4ja2wsk4I/crBJJg9rjLUd&#10;OKU+84UIIexiVFB638ZSurwkg25qW+LAXWxn0AfYFVJ3OIRw08jXKFpIgxWHhhJb2pWUX7Nfo2A/&#10;S9vTx/nwuT/quq+Xw1dvs0Kpp8dxuwLhafR38c39rhXM5sswN7wJT0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Yl/EAAAA3QAAAA8AAAAAAAAAAAAAAAAAmAIAAGRycy9k&#10;b3ducmV2LnhtbFBLBQYAAAAABAAEAPUAAACJAwAAAAA=&#10;" path="m,252r8484,l8484,,,,,252xe" fillcolor="lime" stroked="f">
                    <v:path arrowok="t" o:connecttype="custom" o:connectlocs="0,252;8484,252;8484,0;0,0;0,252" o:connectangles="0,0,0,0,0"/>
                  </v:shape>
                </v:group>
                <v:group id="Group 3472" o:spid="_x0000_s1238" style="position:absolute;top:252;width:8484;height:255" coordorigin=",252"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3473" o:spid="_x0000_s1239" style="position:absolute;top:252;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qLsQA&#10;AADdAAAADwAAAGRycy9kb3ducmV2LnhtbERP3U7CMBS+J/EdmmPinXSgGJgUYkg0JBIXJw9wsh7X&#10;yXpa2grz7emFCZdfvv/lerC9OFGInWMFk3EBgrhxuuNWwf7r9X4OIiZkjb1jUvBHEdarm9ESS+3O&#10;/EmnOrUih3AsUYFJyZdSxsaQxTh2njhz3y5YTBmGVuqA5xxuezktiidpsePcYNDTxlBzqH+tgo9J&#10;9eOn/fHwvtu+zcJiV1fG10rd3Q4vzyASDekq/ndvtYKHx3nen9/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Ki7EAAAA3QAAAA8AAAAAAAAAAAAAAAAAmAIAAGRycy9k&#10;b3ducmV2LnhtbFBLBQYAAAAABAAEAPUAAACJAwAAAAA=&#10;" path="m,254r8484,l8484,,,,,254xe" fillcolor="lime" stroked="f">
                    <v:path arrowok="t" o:connecttype="custom" o:connectlocs="0,506;8484,506;8484,252;0,252;0,506" o:connectangles="0,0,0,0,0"/>
                  </v:shape>
                </v:group>
                <v:group id="Group 3469" o:spid="_x0000_s1240" style="position:absolute;top:506;width:4390;height:252" coordorigin=",506" coordsize="43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3471" o:spid="_x0000_s1241" style="position:absolute;top:506;width:4390;height:252;visibility:visible;mso-wrap-style:square;v-text-anchor:top" coordsize="43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4dcQA&#10;AADdAAAADwAAAGRycy9kb3ducmV2LnhtbESPQWsCMRSE7wX/Q3iCt5qobVm2RmkLSo/WlZ4fm+dm&#10;dfOyJKmu/fVNodDjMDPfMMv14DpxoRBbzxpmUwWCuPam5UbDodrcFyBiQjbYeSYNN4qwXo3ullga&#10;f+UPuuxTIzKEY4kabEp9KWWsLTmMU98TZ+/og8OUZWikCXjNcNfJuVJP0mHLecFiT2+W6vP+y2l4&#10;bWyxvaVqd4jftXoMqtp9upPWk/Hw8gwi0ZD+w3/td6Nh8VDM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HXEAAAA3QAAAA8AAAAAAAAAAAAAAAAAmAIAAGRycy9k&#10;b3ducmV2LnhtbFBLBQYAAAAABAAEAPUAAACJAwAAAAA=&#10;" path="m,252r4390,l4390,,,,,252xe" fillcolor="lime" stroked="f">
                    <v:path arrowok="t" o:connecttype="custom" o:connectlocs="0,758;4390,758;4390,506;0,506;0,758" o:connectangles="0,0,0,0,0"/>
                  </v:shape>
                  <v:shape id="Text Box 3470" o:spid="_x0000_s1242" type="#_x0000_t202" style="position:absolute;width:848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WJMYA&#10;AADdAAAADwAAAGRycy9kb3ducmV2LnhtbESPQWvCQBSE70L/w/IEb7qxitjoKlJaEITSGA89PrPP&#10;ZDH7Ns2uGv99tyB4HGbmG2a57mwtrtR641jBeJSAIC6cNlwqOOSfwzkIH5A11o5JwZ08rFcvvSWm&#10;2t04o+s+lCJC2KeooAqhSaX0RUUW/cg1xNE7udZiiLItpW7xFuG2lq9JMpMWDceFCht6r6g47y9W&#10;weaHsw/z+3X8zk6ZyfO3hHezs1KDfrdZgAjUhWf40d5qBZPp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WJMYAAADdAAAADwAAAAAAAAAAAAAAAACYAgAAZHJz&#10;L2Rvd25yZXYueG1sUEsFBgAAAAAEAAQA9QAAAIsDAAAAAA==&#10;" filled="f" stroked="f">
                    <v:textbox inset="0,0,0,0">
                      <w:txbxContent>
                        <w:p w:rsidR="005D2B81" w:rsidRDefault="005D2B81" w:rsidP="008918FA">
                          <w:pPr>
                            <w:jc w:val="both"/>
                            <w:rPr>
                              <w:rFonts w:ascii="Arial" w:eastAsia="Arial" w:hAnsi="Arial" w:cs="Arial"/>
                            </w:rPr>
                          </w:pPr>
                          <w:r>
                            <w:rPr>
                              <w:rFonts w:ascii="Arial"/>
                              <w:b/>
                              <w:i/>
                              <w:spacing w:val="-1"/>
                            </w:rPr>
                            <w:t>[Guidance</w:t>
                          </w:r>
                          <w:r>
                            <w:rPr>
                              <w:rFonts w:ascii="Arial"/>
                              <w:b/>
                              <w:i/>
                              <w:spacing w:val="60"/>
                            </w:rPr>
                            <w:t xml:space="preserve"> </w:t>
                          </w:r>
                          <w:r>
                            <w:rPr>
                              <w:rFonts w:ascii="Arial"/>
                              <w:b/>
                              <w:i/>
                              <w:spacing w:val="-1"/>
                            </w:rPr>
                            <w:t>Note:</w:t>
                          </w:r>
                          <w:r>
                            <w:rPr>
                              <w:rFonts w:ascii="Arial"/>
                              <w:b/>
                              <w:i/>
                            </w:rPr>
                            <w:t xml:space="preserve"> </w:t>
                          </w:r>
                          <w:r>
                            <w:rPr>
                              <w:rFonts w:ascii="Arial"/>
                              <w:b/>
                              <w:i/>
                              <w:spacing w:val="-1"/>
                            </w:rPr>
                            <w:t>the</w:t>
                          </w:r>
                          <w:r>
                            <w:rPr>
                              <w:rFonts w:ascii="Arial"/>
                              <w:b/>
                              <w:i/>
                              <w:spacing w:val="58"/>
                            </w:rPr>
                            <w:t xml:space="preserve"> </w:t>
                          </w:r>
                          <w:r>
                            <w:rPr>
                              <w:rFonts w:ascii="Arial"/>
                              <w:b/>
                              <w:i/>
                              <w:spacing w:val="-1"/>
                            </w:rPr>
                            <w:t>Call</w:t>
                          </w:r>
                          <w:r>
                            <w:rPr>
                              <w:rFonts w:ascii="Arial"/>
                              <w:b/>
                              <w:i/>
                              <w:spacing w:val="1"/>
                            </w:rPr>
                            <w:t xml:space="preserve"> </w:t>
                          </w:r>
                          <w:r>
                            <w:rPr>
                              <w:rFonts w:ascii="Arial"/>
                              <w:b/>
                              <w:i/>
                              <w:spacing w:val="-1"/>
                            </w:rPr>
                            <w:t>Off</w:t>
                          </w:r>
                          <w:r>
                            <w:rPr>
                              <w:rFonts w:ascii="Arial"/>
                              <w:b/>
                              <w:i/>
                            </w:rPr>
                            <w:t xml:space="preserve">  </w:t>
                          </w:r>
                          <w:r>
                            <w:rPr>
                              <w:rFonts w:ascii="Arial"/>
                              <w:b/>
                              <w:i/>
                              <w:spacing w:val="-1"/>
                            </w:rPr>
                            <w:t>Contract</w:t>
                          </w:r>
                          <w:r>
                            <w:rPr>
                              <w:rFonts w:ascii="Arial"/>
                              <w:b/>
                              <w:i/>
                            </w:rPr>
                            <w:t xml:space="preserve">  </w:t>
                          </w:r>
                          <w:r>
                            <w:rPr>
                              <w:rFonts w:ascii="Arial"/>
                              <w:b/>
                              <w:i/>
                              <w:spacing w:val="-1"/>
                            </w:rPr>
                            <w:t>Charges</w:t>
                          </w:r>
                          <w:r>
                            <w:rPr>
                              <w:rFonts w:ascii="Arial"/>
                              <w:b/>
                              <w:i/>
                              <w:spacing w:val="60"/>
                            </w:rPr>
                            <w:t xml:space="preserve"> </w:t>
                          </w:r>
                          <w:r>
                            <w:rPr>
                              <w:rFonts w:ascii="Arial"/>
                              <w:b/>
                              <w:i/>
                              <w:spacing w:val="-1"/>
                            </w:rPr>
                            <w:t>must</w:t>
                          </w:r>
                          <w:r>
                            <w:rPr>
                              <w:rFonts w:ascii="Arial"/>
                              <w:b/>
                              <w:i/>
                            </w:rPr>
                            <w:t xml:space="preserve">  </w:t>
                          </w:r>
                          <w:r>
                            <w:rPr>
                              <w:rFonts w:ascii="Arial"/>
                              <w:b/>
                              <w:i/>
                              <w:spacing w:val="-1"/>
                            </w:rPr>
                            <w:t>be</w:t>
                          </w:r>
                          <w:r>
                            <w:rPr>
                              <w:rFonts w:ascii="Arial"/>
                              <w:b/>
                              <w:i/>
                              <w:spacing w:val="60"/>
                            </w:rPr>
                            <w:t xml:space="preserve"> </w:t>
                          </w:r>
                          <w:r>
                            <w:rPr>
                              <w:rFonts w:ascii="Arial"/>
                              <w:b/>
                              <w:i/>
                              <w:spacing w:val="-1"/>
                            </w:rPr>
                            <w:t>consistent</w:t>
                          </w:r>
                          <w:r>
                            <w:rPr>
                              <w:rFonts w:ascii="Arial"/>
                              <w:b/>
                              <w:i/>
                            </w:rPr>
                            <w:t xml:space="preserve">  </w:t>
                          </w:r>
                          <w:r>
                            <w:rPr>
                              <w:rFonts w:ascii="Arial"/>
                              <w:b/>
                              <w:i/>
                              <w:spacing w:val="-1"/>
                            </w:rPr>
                            <w:t>with</w:t>
                          </w:r>
                          <w:r>
                            <w:rPr>
                              <w:rFonts w:ascii="Arial"/>
                              <w:b/>
                              <w:i/>
                              <w:spacing w:val="60"/>
                            </w:rPr>
                            <w:t xml:space="preserve"> </w:t>
                          </w:r>
                          <w:r>
                            <w:rPr>
                              <w:rFonts w:ascii="Arial"/>
                              <w:b/>
                              <w:i/>
                              <w:spacing w:val="-1"/>
                            </w:rPr>
                            <w:t>the</w:t>
                          </w:r>
                          <w:r>
                            <w:rPr>
                              <w:rFonts w:ascii="Arial"/>
                              <w:b/>
                              <w:i/>
                              <w:spacing w:val="40"/>
                            </w:rPr>
                            <w:t xml:space="preserve"> </w:t>
                          </w:r>
                          <w:r>
                            <w:rPr>
                              <w:rFonts w:ascii="Arial"/>
                              <w:b/>
                              <w:i/>
                              <w:spacing w:val="-1"/>
                            </w:rPr>
                            <w:t>provisions</w:t>
                          </w:r>
                          <w:r>
                            <w:rPr>
                              <w:rFonts w:ascii="Arial"/>
                              <w:b/>
                              <w:i/>
                            </w:rPr>
                            <w:t xml:space="preserve"> </w:t>
                          </w:r>
                          <w:r>
                            <w:rPr>
                              <w:rFonts w:ascii="Arial"/>
                              <w:b/>
                              <w:i/>
                              <w:spacing w:val="-1"/>
                            </w:rPr>
                            <w:t>of</w:t>
                          </w:r>
                          <w:r>
                            <w:rPr>
                              <w:rFonts w:ascii="Arial"/>
                              <w:b/>
                              <w:i/>
                              <w:spacing w:val="2"/>
                            </w:rPr>
                            <w:t xml:space="preserve"> </w:t>
                          </w:r>
                          <w:r>
                            <w:rPr>
                              <w:rFonts w:ascii="Arial"/>
                              <w:b/>
                              <w:i/>
                              <w:spacing w:val="-1"/>
                            </w:rPr>
                            <w:t>Framework</w:t>
                          </w:r>
                          <w:r>
                            <w:rPr>
                              <w:rFonts w:ascii="Arial"/>
                              <w:b/>
                              <w:i/>
                              <w:spacing w:val="3"/>
                            </w:rPr>
                            <w:t xml:space="preserve"> </w:t>
                          </w:r>
                          <w:r>
                            <w:rPr>
                              <w:rFonts w:ascii="Arial"/>
                              <w:b/>
                              <w:i/>
                              <w:spacing w:val="-1"/>
                            </w:rPr>
                            <w:t>Schedule</w:t>
                          </w:r>
                          <w:r>
                            <w:rPr>
                              <w:rFonts w:ascii="Arial"/>
                              <w:b/>
                              <w:i/>
                            </w:rPr>
                            <w:t xml:space="preserve"> 3 </w:t>
                          </w:r>
                          <w:r>
                            <w:rPr>
                              <w:rFonts w:ascii="Arial"/>
                              <w:b/>
                              <w:i/>
                              <w:spacing w:val="-1"/>
                            </w:rPr>
                            <w:t>(Framework</w:t>
                          </w:r>
                          <w:r>
                            <w:rPr>
                              <w:rFonts w:ascii="Arial"/>
                              <w:b/>
                              <w:i/>
                              <w:spacing w:val="3"/>
                            </w:rPr>
                            <w:t xml:space="preserve"> </w:t>
                          </w:r>
                          <w:r>
                            <w:rPr>
                              <w:rFonts w:ascii="Arial"/>
                              <w:b/>
                              <w:i/>
                              <w:spacing w:val="-1"/>
                            </w:rPr>
                            <w:t>Prices</w:t>
                          </w:r>
                          <w:r>
                            <w:rPr>
                              <w:rFonts w:ascii="Arial"/>
                              <w:b/>
                              <w:i/>
                              <w:spacing w:val="3"/>
                            </w:rPr>
                            <w:t xml:space="preserve"> </w:t>
                          </w:r>
                          <w:r>
                            <w:rPr>
                              <w:rFonts w:ascii="Arial"/>
                              <w:b/>
                              <w:i/>
                              <w:spacing w:val="-1"/>
                            </w:rPr>
                            <w:t>and</w:t>
                          </w:r>
                          <w:r>
                            <w:rPr>
                              <w:rFonts w:ascii="Arial"/>
                              <w:b/>
                              <w:i/>
                              <w:spacing w:val="1"/>
                            </w:rPr>
                            <w:t xml:space="preserve"> </w:t>
                          </w:r>
                          <w:r>
                            <w:rPr>
                              <w:rFonts w:ascii="Arial"/>
                              <w:b/>
                              <w:i/>
                              <w:spacing w:val="-1"/>
                            </w:rPr>
                            <w:t>Charging</w:t>
                          </w:r>
                          <w:r>
                            <w:rPr>
                              <w:rFonts w:ascii="Arial"/>
                              <w:b/>
                              <w:i/>
                              <w:spacing w:val="3"/>
                            </w:rPr>
                            <w:t xml:space="preserve"> </w:t>
                          </w:r>
                          <w:r>
                            <w:rPr>
                              <w:rFonts w:ascii="Arial"/>
                              <w:b/>
                              <w:i/>
                              <w:spacing w:val="-1"/>
                            </w:rPr>
                            <w:t>Structure)</w:t>
                          </w:r>
                          <w:r>
                            <w:rPr>
                              <w:rFonts w:ascii="Arial"/>
                              <w:b/>
                              <w:i/>
                              <w:spacing w:val="42"/>
                            </w:rPr>
                            <w:t xml:space="preserve"> </w:t>
                          </w:r>
                          <w:r>
                            <w:rPr>
                              <w:rFonts w:ascii="Arial"/>
                              <w:b/>
                              <w:i/>
                              <w:spacing w:val="-1"/>
                            </w:rPr>
                            <w:t>and</w:t>
                          </w:r>
                          <w:r>
                            <w:rPr>
                              <w:rFonts w:ascii="Arial"/>
                              <w:b/>
                              <w:i/>
                            </w:rPr>
                            <w:t xml:space="preserve"> </w:t>
                          </w:r>
                          <w:r>
                            <w:rPr>
                              <w:rFonts w:ascii="Arial"/>
                              <w:b/>
                              <w:i/>
                              <w:spacing w:val="-1"/>
                            </w:rPr>
                            <w:t>paragraph</w:t>
                          </w:r>
                          <w:r>
                            <w:rPr>
                              <w:rFonts w:ascii="Arial"/>
                              <w:b/>
                              <w:i/>
                              <w:spacing w:val="-2"/>
                            </w:rPr>
                            <w:t xml:space="preserve"> </w:t>
                          </w:r>
                          <w:hyperlink w:anchor="_bookmark287" w:history="1">
                            <w:r>
                              <w:rPr>
                                <w:rFonts w:ascii="Arial"/>
                                <w:b/>
                                <w:i/>
                              </w:rPr>
                              <w:t>3</w:t>
                            </w:r>
                          </w:hyperlink>
                          <w:r>
                            <w:rPr>
                              <w:rFonts w:ascii="Arial"/>
                              <w:b/>
                              <w:i/>
                            </w:rPr>
                            <w:t xml:space="preserve"> </w:t>
                          </w:r>
                          <w:r>
                            <w:rPr>
                              <w:rFonts w:ascii="Arial"/>
                              <w:b/>
                              <w:i/>
                              <w:spacing w:val="-2"/>
                            </w:rPr>
                            <w:t>of</w:t>
                          </w:r>
                          <w:r>
                            <w:rPr>
                              <w:rFonts w:ascii="Arial"/>
                              <w:b/>
                              <w:i/>
                              <w:spacing w:val="-1"/>
                            </w:rPr>
                            <w:t xml:space="preserve"> </w:t>
                          </w:r>
                          <w:r>
                            <w:rPr>
                              <w:rFonts w:ascii="Arial"/>
                              <w:b/>
                              <w:i/>
                            </w:rPr>
                            <w:t>this</w:t>
                          </w:r>
                          <w:r>
                            <w:rPr>
                              <w:rFonts w:ascii="Arial"/>
                              <w:b/>
                              <w:i/>
                              <w:spacing w:val="-2"/>
                            </w:rPr>
                            <w:t xml:space="preserve"> </w:t>
                          </w:r>
                          <w:r>
                            <w:rPr>
                              <w:rFonts w:ascii="Arial"/>
                              <w:b/>
                              <w:i/>
                              <w:spacing w:val="-1"/>
                            </w:rPr>
                            <w:t>Call</w:t>
                          </w:r>
                          <w:r>
                            <w:rPr>
                              <w:rFonts w:ascii="Arial"/>
                              <w:b/>
                              <w:i/>
                              <w:spacing w:val="-3"/>
                            </w:rPr>
                            <w:t xml:space="preserve"> </w:t>
                          </w:r>
                          <w:r>
                            <w:rPr>
                              <w:rFonts w:ascii="Arial"/>
                              <w:b/>
                              <w:i/>
                              <w:spacing w:val="-1"/>
                            </w:rPr>
                            <w:t>Off</w:t>
                          </w:r>
                          <w:r>
                            <w:rPr>
                              <w:rFonts w:ascii="Arial"/>
                              <w:b/>
                              <w:i/>
                              <w:spacing w:val="2"/>
                            </w:rPr>
                            <w:t xml:space="preserve"> </w:t>
                          </w:r>
                          <w:r>
                            <w:rPr>
                              <w:rFonts w:ascii="Arial"/>
                              <w:b/>
                              <w:i/>
                              <w:spacing w:val="-2"/>
                            </w:rPr>
                            <w:t>Schedule]</w:t>
                          </w:r>
                        </w:p>
                      </w:txbxContent>
                    </v:textbox>
                  </v:shape>
                </v:group>
                <w10:anchorlock/>
              </v:group>
            </w:pict>
          </mc:Fallback>
        </mc:AlternateContent>
      </w:r>
    </w:p>
    <w:p w:rsidR="008918FA" w:rsidRDefault="008918FA" w:rsidP="008918FA">
      <w:pPr>
        <w:spacing w:before="2"/>
        <w:rPr>
          <w:rFonts w:ascii="Arial" w:eastAsia="Arial" w:hAnsi="Arial" w:cs="Arial"/>
          <w:sz w:val="25"/>
          <w:szCs w:val="25"/>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60" w:left="1680" w:header="0" w:footer="967" w:gutter="0"/>
          <w:cols w:space="720"/>
        </w:sectPr>
      </w:pPr>
    </w:p>
    <w:p w:rsidR="008918FA" w:rsidRDefault="008918FA" w:rsidP="008918FA">
      <w:pPr>
        <w:pStyle w:val="BodyText"/>
        <w:spacing w:before="58"/>
        <w:ind w:left="2279" w:firstLine="0"/>
        <w:rPr>
          <w:rFonts w:ascii="Times New Roman" w:eastAsia="Times New Roman" w:hAnsi="Times New Roman" w:cs="Times New Roman"/>
        </w:rPr>
      </w:pPr>
      <w:bookmarkStart w:id="371" w:name="ANNEX_2:_PAYMENT_TERMS/PROFILE"/>
      <w:bookmarkStart w:id="372" w:name="_bookmark304"/>
      <w:bookmarkEnd w:id="371"/>
      <w:bookmarkEnd w:id="372"/>
      <w:r>
        <w:rPr>
          <w:rFonts w:ascii="Times New Roman"/>
          <w:spacing w:val="1"/>
        </w:rPr>
        <w:t>ANNEX</w:t>
      </w:r>
      <w:r>
        <w:rPr>
          <w:rFonts w:ascii="Times New Roman"/>
          <w:spacing w:val="-6"/>
        </w:rPr>
        <w:t xml:space="preserve"> </w:t>
      </w:r>
      <w:r>
        <w:rPr>
          <w:rFonts w:ascii="Times New Roman"/>
          <w:spacing w:val="5"/>
        </w:rPr>
        <w:t>2:</w:t>
      </w:r>
      <w:r>
        <w:rPr>
          <w:rFonts w:ascii="Times New Roman"/>
          <w:spacing w:val="20"/>
        </w:rPr>
        <w:t xml:space="preserve"> </w:t>
      </w:r>
      <w:r>
        <w:rPr>
          <w:rFonts w:ascii="Times New Roman"/>
          <w:spacing w:val="26"/>
        </w:rPr>
        <w:t>P</w:t>
      </w:r>
      <w:r>
        <w:rPr>
          <w:rFonts w:ascii="Times New Roman"/>
          <w:spacing w:val="-6"/>
        </w:rPr>
        <w:t>A</w:t>
      </w:r>
      <w:r>
        <w:rPr>
          <w:rFonts w:ascii="Times New Roman"/>
          <w:spacing w:val="-14"/>
        </w:rPr>
        <w:t>Y</w:t>
      </w:r>
      <w:r>
        <w:rPr>
          <w:rFonts w:ascii="Times New Roman"/>
          <w:spacing w:val="-12"/>
        </w:rPr>
        <w:t>M</w:t>
      </w:r>
      <w:r>
        <w:rPr>
          <w:rFonts w:ascii="Times New Roman"/>
          <w:spacing w:val="11"/>
        </w:rPr>
        <w:t>E</w:t>
      </w:r>
      <w:r>
        <w:rPr>
          <w:rFonts w:ascii="Times New Roman"/>
          <w:spacing w:val="1"/>
        </w:rPr>
        <w:t>N</w:t>
      </w:r>
      <w:r>
        <w:rPr>
          <w:rFonts w:ascii="Times New Roman"/>
        </w:rPr>
        <w:t>T</w:t>
      </w:r>
      <w:r>
        <w:rPr>
          <w:rFonts w:ascii="Times New Roman"/>
          <w:spacing w:val="4"/>
        </w:rPr>
        <w:t xml:space="preserve"> </w:t>
      </w:r>
      <w:r>
        <w:rPr>
          <w:rFonts w:ascii="Times New Roman"/>
          <w:spacing w:val="5"/>
        </w:rPr>
        <w:t>TERMS/PROFILE</w:t>
      </w:r>
    </w:p>
    <w:p w:rsidR="008918FA" w:rsidRDefault="008918FA" w:rsidP="008918FA">
      <w:pPr>
        <w:spacing w:before="7"/>
        <w:rPr>
          <w:rFonts w:ascii="Times New Roman" w:eastAsia="Times New Roman" w:hAnsi="Times New Roman" w:cs="Times New Roman"/>
          <w:sz w:val="14"/>
          <w:szCs w:val="14"/>
        </w:rPr>
      </w:pPr>
    </w:p>
    <w:p w:rsidR="008918FA" w:rsidRDefault="008918FA" w:rsidP="008918FA">
      <w:pPr>
        <w:pStyle w:val="BodyText"/>
        <w:tabs>
          <w:tab w:val="left" w:pos="2055"/>
        </w:tabs>
        <w:spacing w:before="72"/>
        <w:ind w:left="892" w:firstLine="0"/>
      </w:pPr>
      <w:r>
        <w:rPr>
          <w:highlight w:val="yellow"/>
        </w:rPr>
        <w:t>[</w:t>
      </w:r>
      <w:r>
        <w:rPr>
          <w:highlight w:val="yellow"/>
        </w:rPr>
        <w:tab/>
        <w:t>]</w:t>
      </w:r>
    </w:p>
    <w:p w:rsidR="008918FA" w:rsidRDefault="008918FA" w:rsidP="008918FA">
      <w:pPr>
        <w:spacing w:before="9"/>
        <w:rPr>
          <w:rFonts w:ascii="Arial" w:eastAsia="Arial" w:hAnsi="Arial" w:cs="Arial"/>
          <w:sz w:val="10"/>
          <w:szCs w:val="10"/>
        </w:rPr>
      </w:pPr>
    </w:p>
    <w:p w:rsidR="008918FA" w:rsidRDefault="008918FA" w:rsidP="008918FA">
      <w:pPr>
        <w:spacing w:line="200" w:lineRule="atLeast"/>
        <w:ind w:left="892"/>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41A57391" wp14:editId="034F524D">
                <wp:extent cx="5027930" cy="321945"/>
                <wp:effectExtent l="0" t="0" r="1270" b="1905"/>
                <wp:docPr id="3437" name="Group 3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321945"/>
                          <a:chOff x="0" y="0"/>
                          <a:chExt cx="7918" cy="507"/>
                        </a:xfrm>
                      </wpg:grpSpPr>
                      <wpg:grpSp>
                        <wpg:cNvPr id="3438" name="Group 3433"/>
                        <wpg:cNvGrpSpPr>
                          <a:grpSpLocks/>
                        </wpg:cNvGrpSpPr>
                        <wpg:grpSpPr bwMode="auto">
                          <a:xfrm>
                            <a:off x="0" y="0"/>
                            <a:ext cx="7918" cy="252"/>
                            <a:chOff x="0" y="0"/>
                            <a:chExt cx="7918" cy="252"/>
                          </a:xfrm>
                        </wpg:grpSpPr>
                        <wps:wsp>
                          <wps:cNvPr id="3439" name="Freeform 3434"/>
                          <wps:cNvSpPr>
                            <a:spLocks/>
                          </wps:cNvSpPr>
                          <wps:spPr bwMode="auto">
                            <a:xfrm>
                              <a:off x="0" y="0"/>
                              <a:ext cx="7918" cy="252"/>
                            </a:xfrm>
                            <a:custGeom>
                              <a:avLst/>
                              <a:gdLst>
                                <a:gd name="T0" fmla="*/ 0 w 7918"/>
                                <a:gd name="T1" fmla="*/ 252 h 252"/>
                                <a:gd name="T2" fmla="*/ 7918 w 7918"/>
                                <a:gd name="T3" fmla="*/ 252 h 252"/>
                                <a:gd name="T4" fmla="*/ 7918 w 7918"/>
                                <a:gd name="T5" fmla="*/ 0 h 252"/>
                                <a:gd name="T6" fmla="*/ 0 w 7918"/>
                                <a:gd name="T7" fmla="*/ 0 h 252"/>
                                <a:gd name="T8" fmla="*/ 0 w 7918"/>
                                <a:gd name="T9" fmla="*/ 252 h 252"/>
                              </a:gdLst>
                              <a:ahLst/>
                              <a:cxnLst>
                                <a:cxn ang="0">
                                  <a:pos x="T0" y="T1"/>
                                </a:cxn>
                                <a:cxn ang="0">
                                  <a:pos x="T2" y="T3"/>
                                </a:cxn>
                                <a:cxn ang="0">
                                  <a:pos x="T4" y="T5"/>
                                </a:cxn>
                                <a:cxn ang="0">
                                  <a:pos x="T6" y="T7"/>
                                </a:cxn>
                                <a:cxn ang="0">
                                  <a:pos x="T8" y="T9"/>
                                </a:cxn>
                              </a:cxnLst>
                              <a:rect l="0" t="0" r="r" b="b"/>
                              <a:pathLst>
                                <a:path w="7918" h="252">
                                  <a:moveTo>
                                    <a:pt x="0" y="252"/>
                                  </a:moveTo>
                                  <a:lnTo>
                                    <a:pt x="7918" y="252"/>
                                  </a:lnTo>
                                  <a:lnTo>
                                    <a:pt x="7918"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0" name="Group 3430"/>
                        <wpg:cNvGrpSpPr>
                          <a:grpSpLocks/>
                        </wpg:cNvGrpSpPr>
                        <wpg:grpSpPr bwMode="auto">
                          <a:xfrm>
                            <a:off x="0" y="252"/>
                            <a:ext cx="747" cy="255"/>
                            <a:chOff x="0" y="252"/>
                            <a:chExt cx="747" cy="255"/>
                          </a:xfrm>
                        </wpg:grpSpPr>
                        <wps:wsp>
                          <wps:cNvPr id="3441" name="Freeform 3432"/>
                          <wps:cNvSpPr>
                            <a:spLocks/>
                          </wps:cNvSpPr>
                          <wps:spPr bwMode="auto">
                            <a:xfrm>
                              <a:off x="0" y="252"/>
                              <a:ext cx="747" cy="255"/>
                            </a:xfrm>
                            <a:custGeom>
                              <a:avLst/>
                              <a:gdLst>
                                <a:gd name="T0" fmla="*/ 0 w 747"/>
                                <a:gd name="T1" fmla="+- 0 506 252"/>
                                <a:gd name="T2" fmla="*/ 506 h 255"/>
                                <a:gd name="T3" fmla="*/ 746 w 747"/>
                                <a:gd name="T4" fmla="+- 0 506 252"/>
                                <a:gd name="T5" fmla="*/ 506 h 255"/>
                                <a:gd name="T6" fmla="*/ 746 w 747"/>
                                <a:gd name="T7" fmla="+- 0 252 252"/>
                                <a:gd name="T8" fmla="*/ 252 h 255"/>
                                <a:gd name="T9" fmla="*/ 0 w 747"/>
                                <a:gd name="T10" fmla="+- 0 252 252"/>
                                <a:gd name="T11" fmla="*/ 252 h 255"/>
                                <a:gd name="T12" fmla="*/ 0 w 747"/>
                                <a:gd name="T13" fmla="+- 0 506 252"/>
                                <a:gd name="T14" fmla="*/ 506 h 255"/>
                              </a:gdLst>
                              <a:ahLst/>
                              <a:cxnLst>
                                <a:cxn ang="0">
                                  <a:pos x="T0" y="T2"/>
                                </a:cxn>
                                <a:cxn ang="0">
                                  <a:pos x="T3" y="T5"/>
                                </a:cxn>
                                <a:cxn ang="0">
                                  <a:pos x="T6" y="T8"/>
                                </a:cxn>
                                <a:cxn ang="0">
                                  <a:pos x="T9" y="T11"/>
                                </a:cxn>
                                <a:cxn ang="0">
                                  <a:pos x="T12" y="T14"/>
                                </a:cxn>
                              </a:cxnLst>
                              <a:rect l="0" t="0" r="r" b="b"/>
                              <a:pathLst>
                                <a:path w="747" h="255">
                                  <a:moveTo>
                                    <a:pt x="0" y="254"/>
                                  </a:moveTo>
                                  <a:lnTo>
                                    <a:pt x="746" y="254"/>
                                  </a:lnTo>
                                  <a:lnTo>
                                    <a:pt x="746"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 name="Text Box 3431"/>
                          <wps:cNvSpPr txBox="1">
                            <a:spLocks noChangeArrowheads="1"/>
                          </wps:cNvSpPr>
                          <wps:spPr bwMode="auto">
                            <a:xfrm>
                              <a:off x="0" y="0"/>
                              <a:ext cx="7918"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line="252" w:lineRule="exact"/>
                                  <w:ind w:right="1"/>
                                  <w:rPr>
                                    <w:rFonts w:ascii="Arial" w:eastAsia="Arial" w:hAnsi="Arial" w:cs="Arial"/>
                                  </w:rPr>
                                </w:pPr>
                                <w:r>
                                  <w:rPr>
                                    <w:rFonts w:ascii="Arial"/>
                                    <w:b/>
                                    <w:i/>
                                    <w:spacing w:val="-1"/>
                                  </w:rPr>
                                  <w:t>[Guidance</w:t>
                                </w:r>
                                <w:r>
                                  <w:rPr>
                                    <w:rFonts w:ascii="Arial"/>
                                    <w:b/>
                                    <w:i/>
                                  </w:rPr>
                                  <w:t xml:space="preserve"> </w:t>
                                </w:r>
                                <w:r>
                                  <w:rPr>
                                    <w:rFonts w:ascii="Arial"/>
                                    <w:b/>
                                    <w:i/>
                                    <w:spacing w:val="33"/>
                                  </w:rPr>
                                  <w:t xml:space="preserve"> </w:t>
                                </w:r>
                                <w:r>
                                  <w:rPr>
                                    <w:rFonts w:ascii="Arial"/>
                                    <w:b/>
                                    <w:i/>
                                    <w:spacing w:val="-1"/>
                                  </w:rPr>
                                  <w:t>Note:</w:t>
                                </w:r>
                                <w:r>
                                  <w:rPr>
                                    <w:rFonts w:ascii="Arial"/>
                                    <w:b/>
                                    <w:i/>
                                  </w:rPr>
                                  <w:t xml:space="preserve"> </w:t>
                                </w:r>
                                <w:r>
                                  <w:rPr>
                                    <w:rFonts w:ascii="Arial"/>
                                    <w:b/>
                                    <w:i/>
                                    <w:spacing w:val="34"/>
                                  </w:rPr>
                                  <w:t xml:space="preserve"> </w:t>
                                </w:r>
                                <w:r>
                                  <w:rPr>
                                    <w:rFonts w:ascii="Arial"/>
                                    <w:b/>
                                    <w:i/>
                                    <w:spacing w:val="-1"/>
                                  </w:rPr>
                                  <w:t>insert</w:t>
                                </w:r>
                                <w:r>
                                  <w:rPr>
                                    <w:rFonts w:ascii="Arial"/>
                                    <w:b/>
                                    <w:i/>
                                  </w:rPr>
                                  <w:t xml:space="preserve"> </w:t>
                                </w:r>
                                <w:r>
                                  <w:rPr>
                                    <w:rFonts w:ascii="Arial"/>
                                    <w:b/>
                                    <w:i/>
                                    <w:spacing w:val="34"/>
                                  </w:rPr>
                                  <w:t xml:space="preserve"> </w:t>
                                </w:r>
                                <w:r>
                                  <w:rPr>
                                    <w:rFonts w:ascii="Arial"/>
                                    <w:b/>
                                    <w:i/>
                                    <w:spacing w:val="-1"/>
                                  </w:rPr>
                                  <w:t>details</w:t>
                                </w:r>
                                <w:r>
                                  <w:rPr>
                                    <w:rFonts w:ascii="Arial"/>
                                    <w:b/>
                                    <w:i/>
                                  </w:rPr>
                                  <w:t xml:space="preserve"> </w:t>
                                </w:r>
                                <w:r>
                                  <w:rPr>
                                    <w:rFonts w:ascii="Arial"/>
                                    <w:b/>
                                    <w:i/>
                                    <w:spacing w:val="32"/>
                                  </w:rPr>
                                  <w:t xml:space="preserve"> </w:t>
                                </w:r>
                                <w:r>
                                  <w:rPr>
                                    <w:rFonts w:ascii="Arial"/>
                                    <w:b/>
                                    <w:i/>
                                    <w:spacing w:val="-1"/>
                                  </w:rPr>
                                  <w:t>of</w:t>
                                </w:r>
                                <w:r>
                                  <w:rPr>
                                    <w:rFonts w:ascii="Arial"/>
                                    <w:b/>
                                    <w:i/>
                                  </w:rPr>
                                  <w:t xml:space="preserve"> </w:t>
                                </w:r>
                                <w:r>
                                  <w:rPr>
                                    <w:rFonts w:ascii="Arial"/>
                                    <w:b/>
                                    <w:i/>
                                    <w:spacing w:val="34"/>
                                  </w:rPr>
                                  <w:t xml:space="preserve"> </w:t>
                                </w:r>
                                <w:r>
                                  <w:rPr>
                                    <w:rFonts w:ascii="Arial"/>
                                    <w:b/>
                                    <w:i/>
                                    <w:spacing w:val="-1"/>
                                  </w:rPr>
                                  <w:t>the</w:t>
                                </w:r>
                                <w:r>
                                  <w:rPr>
                                    <w:rFonts w:ascii="Arial"/>
                                    <w:b/>
                                    <w:i/>
                                  </w:rPr>
                                  <w:t xml:space="preserve"> </w:t>
                                </w:r>
                                <w:r>
                                  <w:rPr>
                                    <w:rFonts w:ascii="Arial"/>
                                    <w:b/>
                                    <w:i/>
                                    <w:spacing w:val="32"/>
                                  </w:rPr>
                                  <w:t xml:space="preserve"> </w:t>
                                </w:r>
                                <w:r>
                                  <w:rPr>
                                    <w:rFonts w:ascii="Arial"/>
                                    <w:b/>
                                    <w:i/>
                                    <w:spacing w:val="-2"/>
                                  </w:rPr>
                                  <w:t>agreed</w:t>
                                </w:r>
                                <w:r>
                                  <w:rPr>
                                    <w:rFonts w:ascii="Arial"/>
                                    <w:b/>
                                    <w:i/>
                                  </w:rPr>
                                  <w:t xml:space="preserve"> </w:t>
                                </w:r>
                                <w:r>
                                  <w:rPr>
                                    <w:rFonts w:ascii="Arial"/>
                                    <w:b/>
                                    <w:i/>
                                    <w:spacing w:val="33"/>
                                  </w:rPr>
                                  <w:t xml:space="preserve"> </w:t>
                                </w:r>
                                <w:r>
                                  <w:rPr>
                                    <w:rFonts w:ascii="Arial"/>
                                    <w:b/>
                                    <w:i/>
                                    <w:spacing w:val="-1"/>
                                  </w:rPr>
                                  <w:t>payment</w:t>
                                </w:r>
                                <w:r>
                                  <w:rPr>
                                    <w:rFonts w:ascii="Arial"/>
                                    <w:b/>
                                    <w:i/>
                                  </w:rPr>
                                  <w:t xml:space="preserve"> </w:t>
                                </w:r>
                                <w:r>
                                  <w:rPr>
                                    <w:rFonts w:ascii="Arial"/>
                                    <w:b/>
                                    <w:i/>
                                    <w:spacing w:val="34"/>
                                  </w:rPr>
                                  <w:t xml:space="preserve"> </w:t>
                                </w:r>
                                <w:r>
                                  <w:rPr>
                                    <w:rFonts w:ascii="Arial"/>
                                    <w:b/>
                                    <w:i/>
                                    <w:spacing w:val="-1"/>
                                  </w:rPr>
                                  <w:t>terms/payment</w:t>
                                </w:r>
                                <w:r>
                                  <w:rPr>
                                    <w:rFonts w:ascii="Arial"/>
                                    <w:b/>
                                    <w:i/>
                                    <w:spacing w:val="42"/>
                                  </w:rPr>
                                  <w:t xml:space="preserve"> </w:t>
                                </w:r>
                                <w:r>
                                  <w:rPr>
                                    <w:rFonts w:ascii="Arial"/>
                                    <w:b/>
                                    <w:i/>
                                    <w:spacing w:val="-1"/>
                                  </w:rPr>
                                  <w:t>profile]</w:t>
                                </w:r>
                              </w:p>
                            </w:txbxContent>
                          </wps:txbx>
                          <wps:bodyPr rot="0" vert="horz" wrap="square" lIns="0" tIns="0" rIns="0" bIns="0" anchor="t" anchorCtr="0" upright="1">
                            <a:noAutofit/>
                          </wps:bodyPr>
                        </wps:wsp>
                      </wpg:grpSp>
                    </wpg:wgp>
                  </a:graphicData>
                </a:graphic>
              </wp:inline>
            </w:drawing>
          </mc:Choice>
          <mc:Fallback>
            <w:pict>
              <v:group w14:anchorId="41A57391" id="Group 3429" o:spid="_x0000_s1243" style="width:395.9pt;height:25.35pt;mso-position-horizontal-relative:char;mso-position-vertical-relative:line" coordsize="791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">
                <v:group id="Group 3433" o:spid="_x0000_s1244" style="position:absolute;width:7918;height:252" coordsize="79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3434" o:spid="_x0000_s1245" style="position:absolute;width:7918;height:252;visibility:visible;mso-wrap-style:square;v-text-anchor:top" coordsize="79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8G8UA&#10;AADdAAAADwAAAGRycy9kb3ducmV2LnhtbESPT2sCMRTE74LfIbxCb5qtFrFbo6i04M1q7aG3x+bt&#10;H7p5CZu4pv30piB4HGbmN8xiFU0reup8Y1nB0zgDQVxY3XCl4PT5PpqD8AFZY2uZFPySh9VyOFhg&#10;ru2FD9QfQyUShH2OCuoQXC6lL2oy6MfWESevtJ3BkGRXSd3hJcFNKydZNpMGG04LNTra1lT8HM9G&#10;wfr7sDPxI27+3L78Knv3tiE6KfX4ENevIALFcA/f2jutYPo8fYH/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wbxQAAAN0AAAAPAAAAAAAAAAAAAAAAAJgCAABkcnMv&#10;ZG93bnJldi54bWxQSwUGAAAAAAQABAD1AAAAigMAAAAA&#10;" path="m,252r7918,l7918,,,,,252xe" fillcolor="lime" stroked="f">
                    <v:path arrowok="t" o:connecttype="custom" o:connectlocs="0,252;7918,252;7918,0;0,0;0,252" o:connectangles="0,0,0,0,0"/>
                  </v:shape>
                </v:group>
                <v:group id="Group 3430" o:spid="_x0000_s1246" style="position:absolute;top:252;width:747;height:255" coordorigin=",252" coordsize="74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3432" o:spid="_x0000_s1247" style="position:absolute;top:252;width:747;height:255;visibility:visible;mso-wrap-style:square;v-text-anchor:top" coordsize="74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wQ8QA&#10;AADdAAAADwAAAGRycy9kb3ducmV2LnhtbESPQWsCMRSE70L/Q3iF3jRr1Va3RimFgociVovnx+Z1&#10;s3TzEpK4rv++EQSPw8x8wyzXvW1FRyE2jhWMRwUI4srphmsFP4fP4RxETMgaW8ek4EIR1quHwRJL&#10;7c78Td0+1SJDOJaowKTkSyljZchiHDlPnL1fFyymLEMtdcBzhttWPhfFi7TYcF4w6OnDUPW3P1kF&#10;gfxkgd3X3O9mp9eD4+0xmq1ST4/9+xuIRH26h2/tjVYwmU7HcH2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58EPEAAAA3QAAAA8AAAAAAAAAAAAAAAAAmAIAAGRycy9k&#10;b3ducmV2LnhtbFBLBQYAAAAABAAEAPUAAACJAwAAAAA=&#10;" path="m,254r746,l746,,,,,254xe" fillcolor="lime" stroked="f">
                    <v:path arrowok="t" o:connecttype="custom" o:connectlocs="0,506;746,506;746,252;0,252;0,506" o:connectangles="0,0,0,0,0"/>
                  </v:shape>
                  <v:shape id="Text Box 3431" o:spid="_x0000_s1248" type="#_x0000_t202" style="position:absolute;width:7918;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JJcYA&#10;AADdAAAADwAAAGRycy9kb3ducmV2LnhtbESPQWvCQBSE70L/w/KE3nSjFbHRVaRYEIRijIcen9ln&#10;sph9G7NbTf99tyB4HGbmG2ax6mwtbtR641jBaJiAIC6cNlwqOOafgxkIH5A11o5JwS95WC1fegtM&#10;tbtzRrdDKEWEsE9RQRVCk0rpi4os+qFriKN3dq3FEGVbSt3iPcJtLcdJMpUWDceFChv6qKi4HH6s&#10;gvU3Zxtz/Trts3Nm8vw94d30otRrv1vPQQTqwjP8aG+1grfJZA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LJJcYAAADdAAAADwAAAAAAAAAAAAAAAACYAgAAZHJz&#10;L2Rvd25yZXYueG1sUEsFBgAAAAAEAAQA9QAAAIsDAAAAAA==&#10;" filled="f" stroked="f">
                    <v:textbox inset="0,0,0,0">
                      <w:txbxContent>
                        <w:p w:rsidR="005D2B81" w:rsidRDefault="005D2B81" w:rsidP="008918FA">
                          <w:pPr>
                            <w:spacing w:before="2" w:line="252" w:lineRule="exact"/>
                            <w:ind w:right="1"/>
                            <w:rPr>
                              <w:rFonts w:ascii="Arial" w:eastAsia="Arial" w:hAnsi="Arial" w:cs="Arial"/>
                            </w:rPr>
                          </w:pPr>
                          <w:r>
                            <w:rPr>
                              <w:rFonts w:ascii="Arial"/>
                              <w:b/>
                              <w:i/>
                              <w:spacing w:val="-1"/>
                            </w:rPr>
                            <w:t>[Guidance</w:t>
                          </w:r>
                          <w:r>
                            <w:rPr>
                              <w:rFonts w:ascii="Arial"/>
                              <w:b/>
                              <w:i/>
                            </w:rPr>
                            <w:t xml:space="preserve"> </w:t>
                          </w:r>
                          <w:r>
                            <w:rPr>
                              <w:rFonts w:ascii="Arial"/>
                              <w:b/>
                              <w:i/>
                              <w:spacing w:val="33"/>
                            </w:rPr>
                            <w:t xml:space="preserve"> </w:t>
                          </w:r>
                          <w:r>
                            <w:rPr>
                              <w:rFonts w:ascii="Arial"/>
                              <w:b/>
                              <w:i/>
                              <w:spacing w:val="-1"/>
                            </w:rPr>
                            <w:t>Note:</w:t>
                          </w:r>
                          <w:r>
                            <w:rPr>
                              <w:rFonts w:ascii="Arial"/>
                              <w:b/>
                              <w:i/>
                            </w:rPr>
                            <w:t xml:space="preserve"> </w:t>
                          </w:r>
                          <w:r>
                            <w:rPr>
                              <w:rFonts w:ascii="Arial"/>
                              <w:b/>
                              <w:i/>
                              <w:spacing w:val="34"/>
                            </w:rPr>
                            <w:t xml:space="preserve"> </w:t>
                          </w:r>
                          <w:r>
                            <w:rPr>
                              <w:rFonts w:ascii="Arial"/>
                              <w:b/>
                              <w:i/>
                              <w:spacing w:val="-1"/>
                            </w:rPr>
                            <w:t>insert</w:t>
                          </w:r>
                          <w:r>
                            <w:rPr>
                              <w:rFonts w:ascii="Arial"/>
                              <w:b/>
                              <w:i/>
                            </w:rPr>
                            <w:t xml:space="preserve"> </w:t>
                          </w:r>
                          <w:r>
                            <w:rPr>
                              <w:rFonts w:ascii="Arial"/>
                              <w:b/>
                              <w:i/>
                              <w:spacing w:val="34"/>
                            </w:rPr>
                            <w:t xml:space="preserve"> </w:t>
                          </w:r>
                          <w:r>
                            <w:rPr>
                              <w:rFonts w:ascii="Arial"/>
                              <w:b/>
                              <w:i/>
                              <w:spacing w:val="-1"/>
                            </w:rPr>
                            <w:t>details</w:t>
                          </w:r>
                          <w:r>
                            <w:rPr>
                              <w:rFonts w:ascii="Arial"/>
                              <w:b/>
                              <w:i/>
                            </w:rPr>
                            <w:t xml:space="preserve"> </w:t>
                          </w:r>
                          <w:r>
                            <w:rPr>
                              <w:rFonts w:ascii="Arial"/>
                              <w:b/>
                              <w:i/>
                              <w:spacing w:val="32"/>
                            </w:rPr>
                            <w:t xml:space="preserve"> </w:t>
                          </w:r>
                          <w:r>
                            <w:rPr>
                              <w:rFonts w:ascii="Arial"/>
                              <w:b/>
                              <w:i/>
                              <w:spacing w:val="-1"/>
                            </w:rPr>
                            <w:t>of</w:t>
                          </w:r>
                          <w:r>
                            <w:rPr>
                              <w:rFonts w:ascii="Arial"/>
                              <w:b/>
                              <w:i/>
                            </w:rPr>
                            <w:t xml:space="preserve"> </w:t>
                          </w:r>
                          <w:r>
                            <w:rPr>
                              <w:rFonts w:ascii="Arial"/>
                              <w:b/>
                              <w:i/>
                              <w:spacing w:val="34"/>
                            </w:rPr>
                            <w:t xml:space="preserve"> </w:t>
                          </w:r>
                          <w:r>
                            <w:rPr>
                              <w:rFonts w:ascii="Arial"/>
                              <w:b/>
                              <w:i/>
                              <w:spacing w:val="-1"/>
                            </w:rPr>
                            <w:t>the</w:t>
                          </w:r>
                          <w:r>
                            <w:rPr>
                              <w:rFonts w:ascii="Arial"/>
                              <w:b/>
                              <w:i/>
                            </w:rPr>
                            <w:t xml:space="preserve"> </w:t>
                          </w:r>
                          <w:r>
                            <w:rPr>
                              <w:rFonts w:ascii="Arial"/>
                              <w:b/>
                              <w:i/>
                              <w:spacing w:val="32"/>
                            </w:rPr>
                            <w:t xml:space="preserve"> </w:t>
                          </w:r>
                          <w:r>
                            <w:rPr>
                              <w:rFonts w:ascii="Arial"/>
                              <w:b/>
                              <w:i/>
                              <w:spacing w:val="-2"/>
                            </w:rPr>
                            <w:t>agreed</w:t>
                          </w:r>
                          <w:r>
                            <w:rPr>
                              <w:rFonts w:ascii="Arial"/>
                              <w:b/>
                              <w:i/>
                            </w:rPr>
                            <w:t xml:space="preserve"> </w:t>
                          </w:r>
                          <w:r>
                            <w:rPr>
                              <w:rFonts w:ascii="Arial"/>
                              <w:b/>
                              <w:i/>
                              <w:spacing w:val="33"/>
                            </w:rPr>
                            <w:t xml:space="preserve"> </w:t>
                          </w:r>
                          <w:r>
                            <w:rPr>
                              <w:rFonts w:ascii="Arial"/>
                              <w:b/>
                              <w:i/>
                              <w:spacing w:val="-1"/>
                            </w:rPr>
                            <w:t>payment</w:t>
                          </w:r>
                          <w:r>
                            <w:rPr>
                              <w:rFonts w:ascii="Arial"/>
                              <w:b/>
                              <w:i/>
                            </w:rPr>
                            <w:t xml:space="preserve"> </w:t>
                          </w:r>
                          <w:r>
                            <w:rPr>
                              <w:rFonts w:ascii="Arial"/>
                              <w:b/>
                              <w:i/>
                              <w:spacing w:val="34"/>
                            </w:rPr>
                            <w:t xml:space="preserve"> </w:t>
                          </w:r>
                          <w:r>
                            <w:rPr>
                              <w:rFonts w:ascii="Arial"/>
                              <w:b/>
                              <w:i/>
                              <w:spacing w:val="-1"/>
                            </w:rPr>
                            <w:t>terms/payment</w:t>
                          </w:r>
                          <w:r>
                            <w:rPr>
                              <w:rFonts w:ascii="Arial"/>
                              <w:b/>
                              <w:i/>
                              <w:spacing w:val="42"/>
                            </w:rPr>
                            <w:t xml:space="preserve"> </w:t>
                          </w:r>
                          <w:r>
                            <w:rPr>
                              <w:rFonts w:ascii="Arial"/>
                              <w:b/>
                              <w:i/>
                              <w:spacing w:val="-1"/>
                            </w:rPr>
                            <w:t>profile]</w:t>
                          </w:r>
                        </w:p>
                      </w:txbxContent>
                    </v:textbox>
                  </v:shape>
                </v:group>
                <w10:anchorlock/>
              </v:group>
            </w:pict>
          </mc:Fallback>
        </mc:AlternateConten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4"/>
        <w:rPr>
          <w:rFonts w:ascii="Arial" w:eastAsia="Arial" w:hAnsi="Arial" w:cs="Arial"/>
          <w:sz w:val="24"/>
          <w:szCs w:val="24"/>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60" w:left="1680" w:header="0" w:footer="967" w:gutter="0"/>
          <w:cols w:space="720"/>
        </w:sectPr>
      </w:pPr>
    </w:p>
    <w:p w:rsidR="008918FA" w:rsidRDefault="008918FA" w:rsidP="008918FA">
      <w:pPr>
        <w:pStyle w:val="BodyText"/>
        <w:spacing w:before="58"/>
        <w:ind w:left="3294" w:right="262" w:hanging="3190"/>
        <w:rPr>
          <w:rFonts w:ascii="Times New Roman" w:eastAsia="Times New Roman" w:hAnsi="Times New Roman" w:cs="Times New Roman"/>
        </w:rPr>
      </w:pPr>
      <w:bookmarkStart w:id="373" w:name="CALL_OFF_SCHEDULE_4:_IMPLEMENTATION_PLAN"/>
      <w:bookmarkStart w:id="374" w:name="_bookmark305"/>
      <w:bookmarkEnd w:id="373"/>
      <w:bookmarkEnd w:id="374"/>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5"/>
        </w:rPr>
        <w:t>4:</w:t>
      </w:r>
      <w:r>
        <w:rPr>
          <w:rFonts w:ascii="Times New Roman"/>
          <w:spacing w:val="17"/>
        </w:rPr>
        <w:t xml:space="preserve"> </w:t>
      </w:r>
      <w:r>
        <w:rPr>
          <w:rFonts w:ascii="Times New Roman"/>
          <w:spacing w:val="-12"/>
        </w:rPr>
        <w:t>IM</w:t>
      </w:r>
      <w:r>
        <w:rPr>
          <w:rFonts w:ascii="Times New Roman"/>
          <w:spacing w:val="23"/>
        </w:rPr>
        <w:t>P</w:t>
      </w:r>
      <w:r>
        <w:rPr>
          <w:rFonts w:ascii="Times New Roman"/>
          <w:spacing w:val="-1"/>
        </w:rPr>
        <w:t>L</w:t>
      </w:r>
      <w:r>
        <w:rPr>
          <w:rFonts w:ascii="Times New Roman"/>
          <w:spacing w:val="9"/>
        </w:rPr>
        <w:t>E</w:t>
      </w:r>
      <w:r>
        <w:rPr>
          <w:rFonts w:ascii="Times New Roman"/>
          <w:spacing w:val="-12"/>
        </w:rPr>
        <w:t>M</w:t>
      </w:r>
      <w:r>
        <w:rPr>
          <w:rFonts w:ascii="Times New Roman"/>
          <w:spacing w:val="11"/>
        </w:rPr>
        <w:t>E</w:t>
      </w:r>
      <w:r>
        <w:rPr>
          <w:rFonts w:ascii="Times New Roman"/>
          <w:spacing w:val="-2"/>
        </w:rPr>
        <w:t>N</w:t>
      </w:r>
      <w:r>
        <w:rPr>
          <w:rFonts w:ascii="Times New Roman"/>
          <w:spacing w:val="2"/>
        </w:rPr>
        <w:t>T</w:t>
      </w:r>
      <w:r>
        <w:rPr>
          <w:rFonts w:ascii="Times New Roman"/>
          <w:spacing w:val="-6"/>
        </w:rPr>
        <w:t>A</w:t>
      </w:r>
      <w:r>
        <w:rPr>
          <w:rFonts w:ascii="Times New Roman"/>
          <w:spacing w:val="-1"/>
        </w:rPr>
        <w:t>T</w:t>
      </w:r>
      <w:r>
        <w:rPr>
          <w:rFonts w:ascii="Times New Roman"/>
          <w:spacing w:val="-12"/>
        </w:rPr>
        <w:t>I</w:t>
      </w:r>
      <w:r>
        <w:rPr>
          <w:rFonts w:ascii="Times New Roman"/>
          <w:spacing w:val="13"/>
        </w:rPr>
        <w:t>O</w:t>
      </w:r>
      <w:r>
        <w:rPr>
          <w:rFonts w:ascii="Times New Roman"/>
        </w:rPr>
        <w:t>N</w:t>
      </w:r>
      <w:r>
        <w:rPr>
          <w:rFonts w:ascii="Times New Roman"/>
          <w:spacing w:val="6"/>
        </w:rPr>
        <w:t xml:space="preserve"> </w:t>
      </w:r>
      <w:r>
        <w:rPr>
          <w:rFonts w:ascii="Times New Roman"/>
          <w:spacing w:val="3"/>
        </w:rPr>
        <w:t>PLAN,</w:t>
      </w:r>
      <w:r>
        <w:rPr>
          <w:rFonts w:ascii="Times New Roman"/>
          <w:spacing w:val="14"/>
        </w:rPr>
        <w:t xml:space="preserve"> </w:t>
      </w:r>
      <w:r>
        <w:rPr>
          <w:rFonts w:ascii="Times New Roman"/>
          <w:spacing w:val="11"/>
        </w:rPr>
        <w:t>C</w:t>
      </w:r>
      <w:r>
        <w:rPr>
          <w:rFonts w:ascii="Times New Roman"/>
          <w:spacing w:val="-2"/>
        </w:rPr>
        <w:t>U</w:t>
      </w:r>
      <w:r>
        <w:rPr>
          <w:rFonts w:ascii="Times New Roman"/>
          <w:spacing w:val="26"/>
        </w:rPr>
        <w:t>S</w:t>
      </w:r>
      <w:r>
        <w:rPr>
          <w:rFonts w:ascii="Times New Roman"/>
          <w:spacing w:val="-3"/>
        </w:rPr>
        <w:t>T</w:t>
      </w:r>
      <w:r>
        <w:rPr>
          <w:rFonts w:ascii="Times New Roman"/>
          <w:spacing w:val="13"/>
        </w:rPr>
        <w:t>O</w:t>
      </w:r>
      <w:r>
        <w:rPr>
          <w:rFonts w:ascii="Times New Roman"/>
          <w:spacing w:val="-12"/>
        </w:rPr>
        <w:t>M</w:t>
      </w:r>
      <w:r>
        <w:rPr>
          <w:rFonts w:ascii="Times New Roman"/>
          <w:spacing w:val="11"/>
        </w:rPr>
        <w:t>E</w:t>
      </w:r>
      <w:r>
        <w:rPr>
          <w:rFonts w:ascii="Times New Roman"/>
        </w:rPr>
        <w:t>R</w:t>
      </w:r>
      <w:r>
        <w:rPr>
          <w:rFonts w:ascii="Times New Roman"/>
          <w:spacing w:val="18"/>
        </w:rPr>
        <w:t xml:space="preserve"> </w:t>
      </w:r>
      <w:r>
        <w:rPr>
          <w:rFonts w:ascii="Times New Roman"/>
          <w:spacing w:val="4"/>
        </w:rPr>
        <w:t>RESPONSIBILITIES</w:t>
      </w:r>
      <w:r>
        <w:rPr>
          <w:rFonts w:ascii="Times New Roman"/>
          <w:spacing w:val="122"/>
        </w:rPr>
        <w:t xml:space="preserve"> </w:t>
      </w:r>
      <w:r>
        <w:rPr>
          <w:rFonts w:ascii="Times New Roman"/>
          <w:spacing w:val="-2"/>
        </w:rPr>
        <w:t>AND</w:t>
      </w:r>
      <w:r>
        <w:rPr>
          <w:rFonts w:ascii="Times New Roman"/>
          <w:spacing w:val="6"/>
        </w:rPr>
        <w:t xml:space="preserve"> </w:t>
      </w:r>
      <w:r>
        <w:rPr>
          <w:rFonts w:ascii="Times New Roman"/>
          <w:spacing w:val="3"/>
        </w:rPr>
        <w:t>KEY</w:t>
      </w:r>
      <w:r>
        <w:rPr>
          <w:rFonts w:ascii="Times New Roman"/>
          <w:spacing w:val="-6"/>
        </w:rPr>
        <w:t xml:space="preserve"> </w:t>
      </w:r>
      <w:r>
        <w:rPr>
          <w:rFonts w:ascii="Times New Roman"/>
          <w:spacing w:val="9"/>
        </w:rPr>
        <w:t>PERSONNEL</w:t>
      </w:r>
    </w:p>
    <w:p w:rsidR="008918FA" w:rsidRDefault="008918FA" w:rsidP="008918FA">
      <w:pPr>
        <w:spacing w:before="11"/>
        <w:rPr>
          <w:rFonts w:ascii="Times New Roman" w:eastAsia="Times New Roman" w:hAnsi="Times New Roman" w:cs="Times New Roman"/>
          <w:sz w:val="20"/>
          <w:szCs w:val="20"/>
        </w:rPr>
      </w:pPr>
    </w:p>
    <w:p w:rsidR="008918FA" w:rsidRDefault="008918FA" w:rsidP="008918FA">
      <w:pPr>
        <w:pStyle w:val="BodyText"/>
        <w:numPr>
          <w:ilvl w:val="0"/>
          <w:numId w:val="27"/>
        </w:numPr>
        <w:tabs>
          <w:tab w:val="left" w:pos="547"/>
        </w:tabs>
        <w:spacing w:before="0"/>
        <w:jc w:val="left"/>
        <w:rPr>
          <w:rFonts w:ascii="Times New Roman" w:eastAsia="Times New Roman" w:hAnsi="Times New Roman" w:cs="Times New Roman"/>
        </w:rPr>
      </w:pPr>
      <w:r>
        <w:rPr>
          <w:rFonts w:ascii="Times New Roman"/>
          <w:spacing w:val="1"/>
        </w:rPr>
        <w:t>INTRODUCTION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7"/>
        </w:numPr>
        <w:tabs>
          <w:tab w:val="left" w:pos="909"/>
        </w:tabs>
        <w:spacing w:before="0"/>
      </w:pP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Schedule</w:t>
      </w:r>
      <w:r>
        <w:rPr>
          <w:spacing w:val="-2"/>
        </w:rPr>
        <w:t xml:space="preserve"> </w:t>
      </w:r>
      <w:r>
        <w:rPr>
          <w:spacing w:val="-1"/>
        </w:rPr>
        <w:t>specifies:</w:t>
      </w:r>
    </w:p>
    <w:p w:rsidR="008918FA" w:rsidRDefault="008918FA" w:rsidP="008918FA">
      <w:pPr>
        <w:pStyle w:val="BodyText"/>
        <w:numPr>
          <w:ilvl w:val="2"/>
          <w:numId w:val="27"/>
        </w:numPr>
        <w:tabs>
          <w:tab w:val="left" w:pos="2107"/>
        </w:tabs>
        <w:spacing w:before="121"/>
        <w:ind w:right="115"/>
        <w:jc w:val="both"/>
      </w:pPr>
      <w:r>
        <w:t>In</w:t>
      </w:r>
      <w:r>
        <w:rPr>
          <w:spacing w:val="9"/>
        </w:rPr>
        <w:t xml:space="preserve"> </w:t>
      </w:r>
      <w:r>
        <w:rPr>
          <w:spacing w:val="-1"/>
        </w:rPr>
        <w:t>Part</w:t>
      </w:r>
      <w:r>
        <w:rPr>
          <w:spacing w:val="10"/>
        </w:rPr>
        <w:t xml:space="preserve"> </w:t>
      </w:r>
      <w:r>
        <w:rPr>
          <w:spacing w:val="-2"/>
        </w:rPr>
        <w:t>A,</w:t>
      </w:r>
      <w:r>
        <w:rPr>
          <w:spacing w:val="8"/>
        </w:rPr>
        <w:t xml:space="preserve"> </w:t>
      </w:r>
      <w:r>
        <w:t>the</w:t>
      </w:r>
      <w:r>
        <w:rPr>
          <w:spacing w:val="6"/>
        </w:rPr>
        <w:t xml:space="preserve"> </w:t>
      </w:r>
      <w:r>
        <w:rPr>
          <w:spacing w:val="-1"/>
        </w:rPr>
        <w:t>Implementation</w:t>
      </w:r>
      <w:r>
        <w:rPr>
          <w:spacing w:val="9"/>
        </w:rPr>
        <w:t xml:space="preserve"> </w:t>
      </w:r>
      <w:r>
        <w:rPr>
          <w:spacing w:val="-1"/>
        </w:rPr>
        <w:t>Plan</w:t>
      </w:r>
      <w:r>
        <w:rPr>
          <w:spacing w:val="9"/>
        </w:rPr>
        <w:t xml:space="preserve"> </w:t>
      </w:r>
      <w:r>
        <w:rPr>
          <w:spacing w:val="-1"/>
        </w:rPr>
        <w:t>in</w:t>
      </w:r>
      <w:r>
        <w:rPr>
          <w:spacing w:val="9"/>
        </w:rPr>
        <w:t xml:space="preserve"> </w:t>
      </w:r>
      <w:r>
        <w:rPr>
          <w:spacing w:val="-2"/>
        </w:rPr>
        <w:t>accordance</w:t>
      </w:r>
      <w:r>
        <w:rPr>
          <w:spacing w:val="9"/>
        </w:rPr>
        <w:t xml:space="preserve"> </w:t>
      </w:r>
      <w:r>
        <w:rPr>
          <w:spacing w:val="-2"/>
        </w:rPr>
        <w:t>with</w:t>
      </w:r>
      <w:r>
        <w:rPr>
          <w:spacing w:val="9"/>
        </w:rPr>
        <w:t xml:space="preserve"> </w:t>
      </w:r>
      <w:r>
        <w:rPr>
          <w:spacing w:val="-1"/>
        </w:rPr>
        <w:t>which</w:t>
      </w:r>
      <w:r>
        <w:rPr>
          <w:spacing w:val="9"/>
        </w:rPr>
        <w:t xml:space="preserve"> </w:t>
      </w:r>
      <w:r>
        <w:rPr>
          <w:spacing w:val="-1"/>
        </w:rPr>
        <w:t>the</w:t>
      </w:r>
      <w:r>
        <w:rPr>
          <w:spacing w:val="36"/>
        </w:rPr>
        <w:t xml:space="preserve"> </w:t>
      </w:r>
      <w:r>
        <w:rPr>
          <w:spacing w:val="-2"/>
        </w:rPr>
        <w:t>Supplier</w:t>
      </w:r>
      <w:r>
        <w:rPr>
          <w:spacing w:val="2"/>
        </w:rPr>
        <w:t xml:space="preserve"> </w:t>
      </w:r>
      <w:r>
        <w:rPr>
          <w:spacing w:val="-1"/>
        </w:rPr>
        <w:t>shall</w:t>
      </w:r>
      <w:r>
        <w:t xml:space="preserve"> </w:t>
      </w:r>
      <w:r>
        <w:rPr>
          <w:spacing w:val="-2"/>
        </w:rPr>
        <w:t>provide</w:t>
      </w:r>
      <w:r>
        <w:t xml:space="preserve"> </w:t>
      </w:r>
      <w:r>
        <w:rPr>
          <w:spacing w:val="-1"/>
        </w:rPr>
        <w:t>the</w:t>
      </w:r>
      <w:r>
        <w:t xml:space="preserve"> </w:t>
      </w:r>
      <w:r>
        <w:rPr>
          <w:spacing w:val="-1"/>
        </w:rPr>
        <w:t>Goods</w:t>
      </w:r>
      <w:r>
        <w:rPr>
          <w:spacing w:val="-2"/>
        </w:rPr>
        <w:t xml:space="preserve"> </w:t>
      </w:r>
      <w:r>
        <w:rPr>
          <w:spacing w:val="-1"/>
        </w:rPr>
        <w:t>and/or Services;</w:t>
      </w:r>
    </w:p>
    <w:p w:rsidR="008918FA" w:rsidRDefault="008918FA" w:rsidP="008918FA">
      <w:pPr>
        <w:pStyle w:val="BodyText"/>
        <w:numPr>
          <w:ilvl w:val="2"/>
          <w:numId w:val="27"/>
        </w:numPr>
        <w:tabs>
          <w:tab w:val="left" w:pos="2107"/>
        </w:tabs>
        <w:ind w:right="115"/>
        <w:jc w:val="both"/>
      </w:pPr>
      <w:r>
        <w:t>In</w:t>
      </w:r>
      <w:r>
        <w:rPr>
          <w:spacing w:val="36"/>
        </w:rPr>
        <w:t xml:space="preserve"> </w:t>
      </w:r>
      <w:r>
        <w:rPr>
          <w:spacing w:val="-1"/>
        </w:rPr>
        <w:t>Part</w:t>
      </w:r>
      <w:r>
        <w:rPr>
          <w:spacing w:val="38"/>
        </w:rPr>
        <w:t xml:space="preserve"> </w:t>
      </w:r>
      <w:r>
        <w:rPr>
          <w:spacing w:val="-1"/>
        </w:rPr>
        <w:t>B,</w:t>
      </w:r>
      <w:r>
        <w:rPr>
          <w:spacing w:val="35"/>
        </w:rPr>
        <w:t xml:space="preserve"> </w:t>
      </w:r>
      <w:r>
        <w:t>the</w:t>
      </w:r>
      <w:r>
        <w:rPr>
          <w:spacing w:val="36"/>
        </w:rPr>
        <w:t xml:space="preserve"> </w:t>
      </w:r>
      <w:r>
        <w:rPr>
          <w:spacing w:val="-2"/>
        </w:rPr>
        <w:t>Customer</w:t>
      </w:r>
      <w:r>
        <w:rPr>
          <w:spacing w:val="35"/>
        </w:rPr>
        <w:t xml:space="preserve"> </w:t>
      </w:r>
      <w:r>
        <w:rPr>
          <w:spacing w:val="-2"/>
        </w:rPr>
        <w:t>Responsibilities</w:t>
      </w:r>
      <w:r>
        <w:rPr>
          <w:spacing w:val="37"/>
        </w:rPr>
        <w:t xml:space="preserve"> </w:t>
      </w:r>
      <w:r>
        <w:rPr>
          <w:spacing w:val="-1"/>
        </w:rPr>
        <w:t>in</w:t>
      </w:r>
      <w:r>
        <w:rPr>
          <w:spacing w:val="37"/>
        </w:rPr>
        <w:t xml:space="preserve"> </w:t>
      </w:r>
      <w:r>
        <w:rPr>
          <w:spacing w:val="-1"/>
        </w:rPr>
        <w:t>respect</w:t>
      </w:r>
      <w:r>
        <w:rPr>
          <w:spacing w:val="38"/>
        </w:rPr>
        <w:t xml:space="preserve"> </w:t>
      </w:r>
      <w:r>
        <w:rPr>
          <w:spacing w:val="-2"/>
        </w:rPr>
        <w:t>of</w:t>
      </w:r>
      <w:r>
        <w:rPr>
          <w:spacing w:val="35"/>
        </w:rPr>
        <w:t xml:space="preserve"> </w:t>
      </w:r>
      <w:r>
        <w:rPr>
          <w:spacing w:val="-1"/>
        </w:rPr>
        <w:t>facilitating</w:t>
      </w:r>
      <w:r>
        <w:rPr>
          <w:spacing w:val="36"/>
        </w:rPr>
        <w:t xml:space="preserve"> </w:t>
      </w:r>
      <w:r>
        <w:rPr>
          <w:spacing w:val="-1"/>
        </w:rPr>
        <w:t>the</w:t>
      </w:r>
      <w:r>
        <w:rPr>
          <w:spacing w:val="68"/>
        </w:rPr>
        <w:t xml:space="preserve"> </w:t>
      </w:r>
      <w:r>
        <w:rPr>
          <w:spacing w:val="-2"/>
        </w:rPr>
        <w:t>Supplier’s</w:t>
      </w:r>
      <w:r>
        <w:rPr>
          <w:spacing w:val="1"/>
        </w:rPr>
        <w:t xml:space="preserve"> </w:t>
      </w:r>
      <w:r>
        <w:rPr>
          <w:spacing w:val="-1"/>
        </w:rPr>
        <w:t>achievement</w:t>
      </w:r>
      <w:r>
        <w:t xml:space="preserve"> </w:t>
      </w:r>
      <w:r>
        <w:rPr>
          <w:spacing w:val="-2"/>
        </w:rPr>
        <w:t>of</w:t>
      </w:r>
      <w:r>
        <w:rPr>
          <w:spacing w:val="2"/>
        </w:rPr>
        <w:t xml:space="preserve"> </w:t>
      </w:r>
      <w:r>
        <w:t>the</w:t>
      </w:r>
      <w:r>
        <w:rPr>
          <w:spacing w:val="-2"/>
        </w:rPr>
        <w:t xml:space="preserve"> </w:t>
      </w:r>
      <w:r>
        <w:rPr>
          <w:spacing w:val="-1"/>
        </w:rPr>
        <w:t>Implementation</w:t>
      </w:r>
      <w:r>
        <w:t xml:space="preserve"> </w:t>
      </w:r>
      <w:r>
        <w:rPr>
          <w:spacing w:val="-1"/>
        </w:rPr>
        <w:t>Plan;</w:t>
      </w:r>
      <w:r>
        <w:rPr>
          <w:spacing w:val="2"/>
        </w:rPr>
        <w:t xml:space="preserve"> </w:t>
      </w:r>
      <w:r>
        <w:rPr>
          <w:spacing w:val="-1"/>
        </w:rPr>
        <w:t>and</w:t>
      </w:r>
    </w:p>
    <w:p w:rsidR="008918FA" w:rsidRDefault="008918FA" w:rsidP="008918FA">
      <w:pPr>
        <w:pStyle w:val="BodyText"/>
        <w:numPr>
          <w:ilvl w:val="2"/>
          <w:numId w:val="27"/>
        </w:numPr>
        <w:tabs>
          <w:tab w:val="left" w:pos="2107"/>
        </w:tabs>
        <w:ind w:left="2105" w:right="112" w:hanging="993"/>
        <w:jc w:val="both"/>
      </w:pPr>
      <w:r>
        <w:t>In</w:t>
      </w:r>
      <w:r>
        <w:rPr>
          <w:spacing w:val="38"/>
        </w:rPr>
        <w:t xml:space="preserve"> </w:t>
      </w:r>
      <w:r>
        <w:rPr>
          <w:spacing w:val="-1"/>
        </w:rPr>
        <w:t>Part</w:t>
      </w:r>
      <w:r>
        <w:rPr>
          <w:spacing w:val="40"/>
        </w:rPr>
        <w:t xml:space="preserve"> </w:t>
      </w:r>
      <w:r>
        <w:rPr>
          <w:spacing w:val="-2"/>
        </w:rPr>
        <w:t>C,</w:t>
      </w:r>
      <w:r>
        <w:rPr>
          <w:spacing w:val="38"/>
        </w:rPr>
        <w:t xml:space="preserve"> </w:t>
      </w:r>
      <w:r>
        <w:t>The</w:t>
      </w:r>
      <w:r>
        <w:rPr>
          <w:spacing w:val="38"/>
        </w:rPr>
        <w:t xml:space="preserve"> </w:t>
      </w:r>
      <w:r>
        <w:rPr>
          <w:spacing w:val="-1"/>
        </w:rPr>
        <w:t>Key</w:t>
      </w:r>
      <w:r>
        <w:rPr>
          <w:spacing w:val="36"/>
        </w:rPr>
        <w:t xml:space="preserve"> </w:t>
      </w:r>
      <w:r>
        <w:rPr>
          <w:spacing w:val="-1"/>
        </w:rPr>
        <w:t>Personnel</w:t>
      </w:r>
      <w:r>
        <w:rPr>
          <w:spacing w:val="38"/>
        </w:rPr>
        <w:t xml:space="preserve"> </w:t>
      </w:r>
      <w:r>
        <w:rPr>
          <w:spacing w:val="-1"/>
        </w:rPr>
        <w:t>and</w:t>
      </w:r>
      <w:r>
        <w:rPr>
          <w:spacing w:val="40"/>
        </w:rPr>
        <w:t xml:space="preserve"> </w:t>
      </w:r>
      <w:r>
        <w:rPr>
          <w:spacing w:val="-1"/>
        </w:rPr>
        <w:t>their</w:t>
      </w:r>
      <w:r>
        <w:rPr>
          <w:spacing w:val="40"/>
        </w:rPr>
        <w:t xml:space="preserve"> </w:t>
      </w:r>
      <w:r>
        <w:rPr>
          <w:spacing w:val="-1"/>
        </w:rPr>
        <w:t>Key</w:t>
      </w:r>
      <w:r>
        <w:rPr>
          <w:spacing w:val="37"/>
        </w:rPr>
        <w:t xml:space="preserve"> </w:t>
      </w:r>
      <w:r>
        <w:rPr>
          <w:spacing w:val="-1"/>
        </w:rPr>
        <w:t>Roles</w:t>
      </w:r>
      <w:r>
        <w:rPr>
          <w:spacing w:val="39"/>
        </w:rPr>
        <w:t xml:space="preserve"> </w:t>
      </w:r>
      <w:r>
        <w:rPr>
          <w:spacing w:val="-1"/>
        </w:rPr>
        <w:t>assigned</w:t>
      </w:r>
      <w:r>
        <w:rPr>
          <w:spacing w:val="38"/>
        </w:rPr>
        <w:t xml:space="preserve"> </w:t>
      </w:r>
      <w:r>
        <w:rPr>
          <w:spacing w:val="-1"/>
        </w:rPr>
        <w:t>by</w:t>
      </w:r>
      <w:r>
        <w:rPr>
          <w:spacing w:val="36"/>
        </w:rPr>
        <w:t xml:space="preserve"> </w:t>
      </w:r>
      <w:r>
        <w:rPr>
          <w:spacing w:val="-1"/>
        </w:rPr>
        <w:t>the</w:t>
      </w:r>
      <w:r>
        <w:rPr>
          <w:spacing w:val="42"/>
        </w:rPr>
        <w:t xml:space="preserve"> </w:t>
      </w:r>
      <w:r>
        <w:rPr>
          <w:spacing w:val="-2"/>
        </w:rPr>
        <w:t>Supplier</w:t>
      </w:r>
      <w:r>
        <w:rPr>
          <w:spacing w:val="2"/>
        </w:rPr>
        <w:t xml:space="preserve"> </w:t>
      </w:r>
      <w:r>
        <w:t xml:space="preserve">to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1"/>
        </w:rPr>
        <w:t>in</w:t>
      </w:r>
      <w:r>
        <w:t xml:space="preserve"> </w:t>
      </w:r>
      <w:r>
        <w:rPr>
          <w:spacing w:val="-1"/>
        </w:rPr>
        <w:t>accordance</w:t>
      </w:r>
      <w:r>
        <w:rPr>
          <w:spacing w:val="-2"/>
        </w:rPr>
        <w:t xml:space="preserve"> </w:t>
      </w:r>
      <w:r>
        <w:rPr>
          <w:spacing w:val="-1"/>
        </w:rPr>
        <w:t>with</w:t>
      </w:r>
      <w:r>
        <w:t xml:space="preserve"> </w:t>
      </w:r>
      <w:r>
        <w:rPr>
          <w:spacing w:val="-1"/>
        </w:rPr>
        <w:t>Clause</w:t>
      </w:r>
      <w:r>
        <w:t xml:space="preserve"> </w:t>
      </w:r>
      <w:hyperlink w:anchor="_bookmark139" w:history="1">
        <w:r>
          <w:rPr>
            <w:spacing w:val="-1"/>
          </w:rPr>
          <w:t>26.1</w:t>
        </w:r>
      </w:hyperlink>
      <w:r>
        <w:t xml:space="preserve"> </w:t>
      </w:r>
      <w:r>
        <w:rPr>
          <w:spacing w:val="-2"/>
        </w:rPr>
        <w:t>of</w:t>
      </w:r>
      <w:r>
        <w:rPr>
          <w:spacing w:val="4"/>
        </w:rPr>
        <w:t xml:space="preserve"> </w:t>
      </w:r>
      <w:r>
        <w:rPr>
          <w:spacing w:val="-1"/>
        </w:rPr>
        <w:t>this</w:t>
      </w:r>
      <w:r>
        <w:rPr>
          <w:spacing w:val="55"/>
        </w:rPr>
        <w:t xml:space="preserve"> </w:t>
      </w:r>
      <w:r>
        <w:rPr>
          <w:spacing w:val="-2"/>
        </w:rPr>
        <w:t>Call</w:t>
      </w:r>
      <w:r>
        <w:t xml:space="preserve"> </w:t>
      </w:r>
      <w:r>
        <w:rPr>
          <w:spacing w:val="-1"/>
        </w:rPr>
        <w:t>Off</w:t>
      </w:r>
      <w:r>
        <w:rPr>
          <w:spacing w:val="2"/>
        </w:rPr>
        <w:t xml:space="preserve"> </w:t>
      </w:r>
      <w:r>
        <w:rPr>
          <w:spacing w:val="-2"/>
        </w:rPr>
        <w:t>Contract</w:t>
      </w:r>
      <w:r>
        <w:rPr>
          <w:spacing w:val="1"/>
        </w:rPr>
        <w:t xml:space="preserve"> </w:t>
      </w:r>
      <w:r>
        <w:rPr>
          <w:spacing w:val="-1"/>
        </w:rPr>
        <w:t>(Key</w:t>
      </w:r>
      <w:r>
        <w:rPr>
          <w:spacing w:val="-2"/>
        </w:rPr>
        <w:t xml:space="preserve"> </w:t>
      </w:r>
      <w:r>
        <w:rPr>
          <w:spacing w:val="-1"/>
        </w:rPr>
        <w:t>Personnel).</w:t>
      </w:r>
    </w:p>
    <w:p w:rsidR="008918FA" w:rsidRDefault="008918FA" w:rsidP="008918FA">
      <w:pPr>
        <w:jc w:val="both"/>
        <w:sectPr w:rsidR="008918FA">
          <w:pgSz w:w="11910" w:h="16840"/>
          <w:pgMar w:top="1480" w:right="1300" w:bottom="1160" w:left="1460" w:header="0" w:footer="967" w:gutter="0"/>
          <w:cols w:space="720"/>
        </w:sectPr>
      </w:pPr>
    </w:p>
    <w:p w:rsidR="008918FA" w:rsidRDefault="008918FA" w:rsidP="008918FA">
      <w:pPr>
        <w:pStyle w:val="BodyText"/>
        <w:spacing w:before="58"/>
        <w:ind w:left="2948" w:firstLine="0"/>
        <w:rPr>
          <w:rFonts w:ascii="Times New Roman" w:eastAsia="Times New Roman" w:hAnsi="Times New Roman" w:cs="Times New Roman"/>
        </w:rPr>
      </w:pPr>
      <w:r>
        <w:rPr>
          <w:rFonts w:ascii="Times New Roman"/>
          <w:spacing w:val="8"/>
        </w:rPr>
        <w:t>PART</w:t>
      </w:r>
      <w:r>
        <w:rPr>
          <w:rFonts w:ascii="Times New Roman"/>
          <w:spacing w:val="9"/>
        </w:rPr>
        <w:t xml:space="preserve"> </w:t>
      </w:r>
      <w:r>
        <w:rPr>
          <w:rFonts w:ascii="Times New Roman"/>
          <w:spacing w:val="-3"/>
        </w:rPr>
        <w:t>A:</w:t>
      </w:r>
      <w:r>
        <w:rPr>
          <w:rFonts w:ascii="Times New Roman"/>
          <w:spacing w:val="20"/>
        </w:rPr>
        <w:t xml:space="preserve"> </w:t>
      </w:r>
      <w:r>
        <w:rPr>
          <w:rFonts w:ascii="Times New Roman"/>
          <w:spacing w:val="-8"/>
        </w:rPr>
        <w:t>IMP</w:t>
      </w:r>
      <w:r>
        <w:rPr>
          <w:rFonts w:ascii="Times New Roman"/>
          <w:spacing w:val="-32"/>
        </w:rPr>
        <w:t xml:space="preserve"> </w:t>
      </w:r>
      <w:r>
        <w:rPr>
          <w:rFonts w:ascii="Times New Roman"/>
        </w:rPr>
        <w:t>LEMENTATION</w:t>
      </w:r>
      <w:r>
        <w:rPr>
          <w:rFonts w:ascii="Times New Roman"/>
          <w:spacing w:val="6"/>
        </w:rPr>
        <w:t xml:space="preserve"> </w:t>
      </w:r>
      <w:r>
        <w:rPr>
          <w:rFonts w:ascii="Times New Roman"/>
          <w:spacing w:val="3"/>
        </w:rPr>
        <w:t>PLAN</w:t>
      </w:r>
    </w:p>
    <w:p w:rsidR="008918FA" w:rsidRDefault="008918FA" w:rsidP="008918FA">
      <w:pPr>
        <w:spacing w:before="6"/>
        <w:rPr>
          <w:rFonts w:ascii="Times New Roman" w:eastAsia="Times New Roman" w:hAnsi="Times New Roman" w:cs="Times New Roman"/>
          <w:sz w:val="14"/>
          <w:szCs w:val="14"/>
        </w:rPr>
      </w:pPr>
    </w:p>
    <w:p w:rsidR="008918FA" w:rsidRDefault="008918FA" w:rsidP="008918FA">
      <w:pPr>
        <w:pStyle w:val="BodyText"/>
        <w:numPr>
          <w:ilvl w:val="0"/>
          <w:numId w:val="27"/>
        </w:numPr>
        <w:tabs>
          <w:tab w:val="left" w:pos="787"/>
        </w:tabs>
        <w:spacing w:before="72"/>
        <w:ind w:left="786"/>
        <w:jc w:val="left"/>
        <w:rPr>
          <w:rFonts w:ascii="Times New Roman" w:eastAsia="Times New Roman" w:hAnsi="Times New Roman" w:cs="Times New Roman"/>
        </w:rPr>
      </w:pPr>
      <w:r>
        <w:rPr>
          <w:rFonts w:ascii="Times New Roman"/>
          <w:spacing w:val="5"/>
        </w:rPr>
        <w:t>GENERAL</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7"/>
        </w:numPr>
        <w:tabs>
          <w:tab w:val="left" w:pos="1149"/>
        </w:tabs>
        <w:spacing w:before="0"/>
        <w:ind w:left="1148"/>
      </w:pPr>
      <w:r>
        <w:t>The</w:t>
      </w:r>
      <w:r>
        <w:rPr>
          <w:spacing w:val="-2"/>
        </w:rPr>
        <w:t xml:space="preserve"> </w:t>
      </w:r>
      <w:r>
        <w:rPr>
          <w:spacing w:val="-1"/>
        </w:rPr>
        <w:t>Implementation</w:t>
      </w:r>
      <w:r>
        <w:t xml:space="preserve"> </w:t>
      </w:r>
      <w:r>
        <w:rPr>
          <w:spacing w:val="-1"/>
        </w:rPr>
        <w:t>Plan</w:t>
      </w:r>
      <w:r>
        <w:rPr>
          <w:spacing w:val="-2"/>
        </w:rPr>
        <w:t xml:space="preserve"> </w:t>
      </w:r>
      <w:r>
        <w:rPr>
          <w:spacing w:val="-1"/>
        </w:rPr>
        <w:t>is</w:t>
      </w:r>
      <w:r>
        <w:rPr>
          <w:spacing w:val="1"/>
        </w:rPr>
        <w:t xml:space="preserve"> </w:t>
      </w:r>
      <w:r>
        <w:rPr>
          <w:spacing w:val="-2"/>
        </w:rPr>
        <w:t>set</w:t>
      </w:r>
      <w:r>
        <w:rPr>
          <w:spacing w:val="2"/>
        </w:rPr>
        <w:t xml:space="preserve"> </w:t>
      </w:r>
      <w:r>
        <w:rPr>
          <w:spacing w:val="-2"/>
        </w:rPr>
        <w:t>out</w:t>
      </w:r>
      <w:r>
        <w:rPr>
          <w:spacing w:val="2"/>
        </w:rPr>
        <w:t xml:space="preserve"> </w:t>
      </w:r>
      <w:r>
        <w:rPr>
          <w:spacing w:val="-2"/>
        </w:rPr>
        <w:t>below:</w:t>
      </w:r>
    </w:p>
    <w:p w:rsidR="008918FA" w:rsidRDefault="008918FA" w:rsidP="008918FA">
      <w:pPr>
        <w:pStyle w:val="BodyText"/>
        <w:numPr>
          <w:ilvl w:val="1"/>
          <w:numId w:val="27"/>
        </w:numPr>
        <w:tabs>
          <w:tab w:val="left" w:pos="1149"/>
        </w:tabs>
        <w:ind w:left="1148"/>
      </w:pPr>
      <w:r>
        <w:t>The</w:t>
      </w:r>
      <w:r>
        <w:rPr>
          <w:spacing w:val="-2"/>
        </w:rPr>
        <w:t xml:space="preserve"> </w:t>
      </w:r>
      <w:r>
        <w:rPr>
          <w:spacing w:val="-1"/>
        </w:rPr>
        <w:t>Milestones</w:t>
      </w:r>
      <w:r>
        <w:rPr>
          <w:spacing w:val="1"/>
        </w:rPr>
        <w:t xml:space="preserve"> </w:t>
      </w:r>
      <w:r>
        <w:t>to</w:t>
      </w:r>
      <w:r>
        <w:rPr>
          <w:spacing w:val="-2"/>
        </w:rPr>
        <w:t xml:space="preserve"> </w:t>
      </w:r>
      <w:r>
        <w:rPr>
          <w:spacing w:val="-1"/>
        </w:rPr>
        <w:t>be</w:t>
      </w:r>
      <w:r>
        <w:rPr>
          <w:spacing w:val="-2"/>
        </w:rPr>
        <w:t xml:space="preserve"> Achieved</w:t>
      </w:r>
      <w:r>
        <w:t xml:space="preserve"> </w:t>
      </w:r>
      <w:r>
        <w:rPr>
          <w:spacing w:val="-1"/>
        </w:rPr>
        <w:t>are</w:t>
      </w:r>
      <w:r>
        <w:t xml:space="preserve"> </w:t>
      </w:r>
      <w:r>
        <w:rPr>
          <w:spacing w:val="-1"/>
        </w:rPr>
        <w:t>Identified</w:t>
      </w:r>
      <w:r>
        <w:t xml:space="preserve"> </w:t>
      </w:r>
      <w:r>
        <w:rPr>
          <w:spacing w:val="-2"/>
        </w:rPr>
        <w:t>below:</w:t>
      </w:r>
    </w:p>
    <w:p w:rsidR="008918FA" w:rsidRDefault="008918FA" w:rsidP="008918FA">
      <w:pPr>
        <w:spacing w:before="6"/>
        <w:rPr>
          <w:rFonts w:ascii="Arial" w:eastAsia="Arial" w:hAnsi="Arial" w:cs="Arial"/>
          <w:sz w:val="15"/>
          <w:szCs w:val="15"/>
        </w:rPr>
      </w:pPr>
    </w:p>
    <w:p w:rsidR="008918FA" w:rsidRDefault="008918FA" w:rsidP="008918FA">
      <w:pPr>
        <w:rPr>
          <w:rFonts w:ascii="Arial" w:eastAsia="Arial" w:hAnsi="Arial" w:cs="Arial"/>
          <w:sz w:val="15"/>
          <w:szCs w:val="15"/>
        </w:rPr>
        <w:sectPr w:rsidR="008918FA">
          <w:pgSz w:w="11910" w:h="16840"/>
          <w:pgMar w:top="1480" w:right="1140" w:bottom="1160" w:left="1220" w:header="0" w:footer="967" w:gutter="0"/>
          <w:cols w:space="720"/>
        </w:sectPr>
      </w:pPr>
    </w:p>
    <w:p w:rsidR="008918FA" w:rsidRDefault="008918FA" w:rsidP="008918FA">
      <w:pPr>
        <w:rPr>
          <w:rFonts w:ascii="Arial Unicode MS" w:eastAsia="Arial Unicode MS" w:hAnsi="Arial Unicode MS" w:cs="Arial Unicode MS"/>
          <w:sz w:val="20"/>
          <w:szCs w:val="20"/>
        </w:rPr>
      </w:pPr>
    </w:p>
    <w:tbl>
      <w:tblPr>
        <w:tblStyle w:val="TableGrid"/>
        <w:tblW w:w="0" w:type="auto"/>
        <w:tblLook w:val="04A0" w:firstRow="1" w:lastRow="0" w:firstColumn="1" w:lastColumn="0" w:noHBand="0" w:noVBand="1"/>
      </w:tblPr>
      <w:tblGrid>
        <w:gridCol w:w="1288"/>
        <w:gridCol w:w="1315"/>
        <w:gridCol w:w="1288"/>
        <w:gridCol w:w="1288"/>
        <w:gridCol w:w="1602"/>
        <w:gridCol w:w="1288"/>
        <w:gridCol w:w="1288"/>
      </w:tblGrid>
      <w:tr w:rsidR="00910DED" w:rsidTr="00AF24EE">
        <w:trPr>
          <w:trHeight w:val="983"/>
        </w:trPr>
        <w:tc>
          <w:tcPr>
            <w:tcW w:w="1288" w:type="dxa"/>
          </w:tcPr>
          <w:p w:rsidR="00910DED" w:rsidRPr="00910DED" w:rsidRDefault="00910DED" w:rsidP="00AF24EE">
            <w:pPr>
              <w:rPr>
                <w:highlight w:val="yellow"/>
              </w:rPr>
            </w:pPr>
            <w:r w:rsidRPr="00910DED">
              <w:rPr>
                <w:highlight w:val="yellow"/>
              </w:rPr>
              <w:t>Milestone</w:t>
            </w:r>
          </w:p>
        </w:tc>
        <w:tc>
          <w:tcPr>
            <w:tcW w:w="1288" w:type="dxa"/>
          </w:tcPr>
          <w:p w:rsidR="00910DED" w:rsidRPr="00910DED" w:rsidRDefault="00910DED" w:rsidP="00AF24EE">
            <w:pPr>
              <w:rPr>
                <w:highlight w:val="yellow"/>
              </w:rPr>
            </w:pPr>
            <w:r w:rsidRPr="00910DED">
              <w:rPr>
                <w:highlight w:val="yellow"/>
              </w:rPr>
              <w:t>Deliverables</w:t>
            </w:r>
          </w:p>
        </w:tc>
        <w:tc>
          <w:tcPr>
            <w:tcW w:w="1288" w:type="dxa"/>
          </w:tcPr>
          <w:p w:rsidR="00910DED" w:rsidRPr="00910DED" w:rsidRDefault="00910DED" w:rsidP="00AF24EE">
            <w:pPr>
              <w:rPr>
                <w:highlight w:val="yellow"/>
              </w:rPr>
            </w:pPr>
            <w:r w:rsidRPr="00910DED">
              <w:rPr>
                <w:highlight w:val="yellow"/>
              </w:rPr>
              <w:t>Duration</w:t>
            </w:r>
          </w:p>
        </w:tc>
        <w:tc>
          <w:tcPr>
            <w:tcW w:w="1288" w:type="dxa"/>
          </w:tcPr>
          <w:p w:rsidR="00910DED" w:rsidRPr="00910DED" w:rsidRDefault="00910DED" w:rsidP="00AF24EE">
            <w:pPr>
              <w:rPr>
                <w:highlight w:val="yellow"/>
              </w:rPr>
            </w:pPr>
            <w:r w:rsidRPr="00910DED">
              <w:rPr>
                <w:highlight w:val="yellow"/>
              </w:rPr>
              <w:t>Milestone Date</w:t>
            </w:r>
          </w:p>
        </w:tc>
        <w:tc>
          <w:tcPr>
            <w:tcW w:w="1288" w:type="dxa"/>
          </w:tcPr>
          <w:p w:rsidR="00910DED" w:rsidRPr="00910DED" w:rsidRDefault="00910DED" w:rsidP="00AF24EE">
            <w:pPr>
              <w:rPr>
                <w:highlight w:val="yellow"/>
              </w:rPr>
            </w:pPr>
            <w:r w:rsidRPr="00910DED">
              <w:rPr>
                <w:highlight w:val="yellow"/>
              </w:rPr>
              <w:t>Customer Responsibilities</w:t>
            </w:r>
          </w:p>
        </w:tc>
        <w:tc>
          <w:tcPr>
            <w:tcW w:w="1288" w:type="dxa"/>
          </w:tcPr>
          <w:p w:rsidR="00910DED" w:rsidRPr="00910DED" w:rsidRDefault="00910DED" w:rsidP="00AF24EE">
            <w:pPr>
              <w:rPr>
                <w:highlight w:val="yellow"/>
              </w:rPr>
            </w:pPr>
            <w:r w:rsidRPr="00910DED">
              <w:rPr>
                <w:highlight w:val="yellow"/>
              </w:rPr>
              <w:t>Milestone Payments</w:t>
            </w:r>
          </w:p>
        </w:tc>
        <w:tc>
          <w:tcPr>
            <w:tcW w:w="1288" w:type="dxa"/>
          </w:tcPr>
          <w:p w:rsidR="00910DED" w:rsidRPr="00910DED" w:rsidRDefault="00910DED" w:rsidP="00AF24EE">
            <w:pPr>
              <w:rPr>
                <w:highlight w:val="yellow"/>
              </w:rPr>
            </w:pPr>
            <w:r w:rsidRPr="00910DED">
              <w:rPr>
                <w:highlight w:val="yellow"/>
              </w:rPr>
              <w:t>Delay Payments</w:t>
            </w:r>
          </w:p>
        </w:tc>
      </w:tr>
      <w:tr w:rsidR="00910DED" w:rsidTr="00AF24EE">
        <w:trPr>
          <w:trHeight w:val="1114"/>
        </w:trPr>
        <w:tc>
          <w:tcPr>
            <w:tcW w:w="1288" w:type="dxa"/>
          </w:tcPr>
          <w:p w:rsidR="00910DED" w:rsidRDefault="00910DED" w:rsidP="00AF24EE">
            <w:r>
              <w:rPr>
                <w:spacing w:val="1"/>
              </w:rPr>
              <w:t>[</w:t>
            </w:r>
            <w:r>
              <w:rPr>
                <w:rFonts w:ascii="Arial Unicode MS" w:eastAsia="Arial Unicode MS" w:hAnsi="Arial Unicode MS" w:cs="Arial Unicode MS"/>
                <w:spacing w:val="-58"/>
              </w:rPr>
              <w:t></w:t>
            </w:r>
            <w:r>
              <w:rPr>
                <w:rFonts w:ascii="Arial Unicode MS" w:eastAsia="Arial Unicode MS" w:hAnsi="Arial Unicode MS" w:cs="Arial Unicode MS"/>
              </w:rPr>
              <w:t></w:t>
            </w:r>
            <w:r>
              <w:rPr>
                <w:rFonts w:ascii="Arial Unicode MS" w:eastAsia="Arial Unicode MS" w:hAnsi="Arial Unicode MS" w:cs="Arial Unicode MS"/>
                <w:spacing w:val="-4"/>
              </w:rPr>
              <w:t xml:space="preserve"> </w:t>
            </w:r>
            <w:r>
              <w:rPr>
                <w:rFonts w:ascii="Arial Unicode MS" w:eastAsia="Arial Unicode MS" w:hAnsi="Arial Unicode MS" w:cs="Arial Unicode MS"/>
              </w:rPr>
              <w:t>]</w:t>
            </w:r>
          </w:p>
        </w:tc>
        <w:tc>
          <w:tcPr>
            <w:tcW w:w="1288" w:type="dxa"/>
          </w:tcPr>
          <w:p w:rsidR="00910DED" w:rsidRDefault="00910DED" w:rsidP="00AF24EE">
            <w:r>
              <w:rPr>
                <w:spacing w:val="1"/>
              </w:rPr>
              <w:t>[</w:t>
            </w:r>
            <w:r>
              <w:rPr>
                <w:rFonts w:ascii="Arial Unicode MS" w:eastAsia="Arial Unicode MS" w:hAnsi="Arial Unicode MS" w:cs="Arial Unicode MS"/>
                <w:spacing w:val="-58"/>
              </w:rPr>
              <w:t></w:t>
            </w:r>
            <w:r>
              <w:rPr>
                <w:rFonts w:ascii="Arial Unicode MS" w:eastAsia="Arial Unicode MS" w:hAnsi="Arial Unicode MS" w:cs="Arial Unicode MS"/>
              </w:rPr>
              <w:t></w:t>
            </w:r>
            <w:r>
              <w:rPr>
                <w:rFonts w:ascii="Arial Unicode MS" w:eastAsia="Arial Unicode MS" w:hAnsi="Arial Unicode MS" w:cs="Arial Unicode MS"/>
                <w:spacing w:val="-4"/>
              </w:rPr>
              <w:t xml:space="preserve"> </w:t>
            </w:r>
            <w:r>
              <w:rPr>
                <w:rFonts w:ascii="Arial Unicode MS" w:eastAsia="Arial Unicode MS" w:hAnsi="Arial Unicode MS" w:cs="Arial Unicode MS"/>
              </w:rPr>
              <w:t>]</w:t>
            </w:r>
          </w:p>
        </w:tc>
        <w:tc>
          <w:tcPr>
            <w:tcW w:w="1288" w:type="dxa"/>
          </w:tcPr>
          <w:p w:rsidR="00910DED" w:rsidRDefault="00910DED" w:rsidP="00AF24EE">
            <w:r>
              <w:rPr>
                <w:spacing w:val="1"/>
              </w:rPr>
              <w:t>[</w:t>
            </w:r>
            <w:r>
              <w:rPr>
                <w:rFonts w:ascii="Arial Unicode MS" w:eastAsia="Arial Unicode MS" w:hAnsi="Arial Unicode MS" w:cs="Arial Unicode MS"/>
                <w:spacing w:val="-58"/>
              </w:rPr>
              <w:t></w:t>
            </w:r>
            <w:r>
              <w:rPr>
                <w:rFonts w:ascii="Arial Unicode MS" w:eastAsia="Arial Unicode MS" w:hAnsi="Arial Unicode MS" w:cs="Arial Unicode MS"/>
              </w:rPr>
              <w:t></w:t>
            </w:r>
            <w:r>
              <w:rPr>
                <w:rFonts w:ascii="Arial Unicode MS" w:eastAsia="Arial Unicode MS" w:hAnsi="Arial Unicode MS" w:cs="Arial Unicode MS"/>
                <w:spacing w:val="-4"/>
              </w:rPr>
              <w:t xml:space="preserve"> </w:t>
            </w:r>
            <w:r>
              <w:rPr>
                <w:rFonts w:ascii="Arial Unicode MS" w:eastAsia="Arial Unicode MS" w:hAnsi="Arial Unicode MS" w:cs="Arial Unicode MS"/>
              </w:rPr>
              <w:t>]</w:t>
            </w:r>
          </w:p>
        </w:tc>
        <w:tc>
          <w:tcPr>
            <w:tcW w:w="1288" w:type="dxa"/>
          </w:tcPr>
          <w:p w:rsidR="00910DED" w:rsidRDefault="00910DED" w:rsidP="00AF24EE">
            <w:r>
              <w:rPr>
                <w:spacing w:val="1"/>
              </w:rPr>
              <w:t>[</w:t>
            </w:r>
            <w:r>
              <w:rPr>
                <w:rFonts w:ascii="Arial Unicode MS" w:eastAsia="Arial Unicode MS" w:hAnsi="Arial Unicode MS" w:cs="Arial Unicode MS"/>
                <w:spacing w:val="-58"/>
              </w:rPr>
              <w:t></w:t>
            </w:r>
            <w:r>
              <w:rPr>
                <w:rFonts w:ascii="Arial Unicode MS" w:eastAsia="Arial Unicode MS" w:hAnsi="Arial Unicode MS" w:cs="Arial Unicode MS"/>
              </w:rPr>
              <w:t></w:t>
            </w:r>
            <w:r>
              <w:rPr>
                <w:rFonts w:ascii="Arial Unicode MS" w:eastAsia="Arial Unicode MS" w:hAnsi="Arial Unicode MS" w:cs="Arial Unicode MS"/>
                <w:spacing w:val="-4"/>
              </w:rPr>
              <w:t xml:space="preserve"> </w:t>
            </w:r>
            <w:r>
              <w:rPr>
                <w:rFonts w:ascii="Arial Unicode MS" w:eastAsia="Arial Unicode MS" w:hAnsi="Arial Unicode MS" w:cs="Arial Unicode MS"/>
              </w:rPr>
              <w:t>]</w:t>
            </w:r>
          </w:p>
        </w:tc>
        <w:tc>
          <w:tcPr>
            <w:tcW w:w="1288" w:type="dxa"/>
          </w:tcPr>
          <w:p w:rsidR="00910DED" w:rsidRDefault="00910DED" w:rsidP="00AF24EE">
            <w:r>
              <w:rPr>
                <w:spacing w:val="1"/>
              </w:rPr>
              <w:t>[</w:t>
            </w:r>
            <w:r>
              <w:rPr>
                <w:rFonts w:ascii="Arial Unicode MS" w:eastAsia="Arial Unicode MS" w:hAnsi="Arial Unicode MS" w:cs="Arial Unicode MS"/>
                <w:spacing w:val="-58"/>
              </w:rPr>
              <w:t></w:t>
            </w:r>
            <w:r>
              <w:rPr>
                <w:rFonts w:ascii="Arial Unicode MS" w:eastAsia="Arial Unicode MS" w:hAnsi="Arial Unicode MS" w:cs="Arial Unicode MS"/>
              </w:rPr>
              <w:t></w:t>
            </w:r>
            <w:r>
              <w:rPr>
                <w:rFonts w:ascii="Arial Unicode MS" w:eastAsia="Arial Unicode MS" w:hAnsi="Arial Unicode MS" w:cs="Arial Unicode MS"/>
                <w:spacing w:val="-4"/>
              </w:rPr>
              <w:t xml:space="preserve"> </w:t>
            </w:r>
            <w:r>
              <w:rPr>
                <w:rFonts w:ascii="Arial Unicode MS" w:eastAsia="Arial Unicode MS" w:hAnsi="Arial Unicode MS" w:cs="Arial Unicode MS"/>
              </w:rPr>
              <w:t>]</w:t>
            </w:r>
          </w:p>
        </w:tc>
        <w:tc>
          <w:tcPr>
            <w:tcW w:w="1288" w:type="dxa"/>
          </w:tcPr>
          <w:p w:rsidR="00910DED" w:rsidRDefault="00910DED" w:rsidP="00AF24EE">
            <w:r>
              <w:rPr>
                <w:spacing w:val="1"/>
              </w:rPr>
              <w:t>[</w:t>
            </w:r>
            <w:r>
              <w:rPr>
                <w:rFonts w:ascii="Arial Unicode MS" w:eastAsia="Arial Unicode MS" w:hAnsi="Arial Unicode MS" w:cs="Arial Unicode MS"/>
                <w:spacing w:val="-58"/>
              </w:rPr>
              <w:t></w:t>
            </w:r>
            <w:r>
              <w:rPr>
                <w:rFonts w:ascii="Arial Unicode MS" w:eastAsia="Arial Unicode MS" w:hAnsi="Arial Unicode MS" w:cs="Arial Unicode MS"/>
              </w:rPr>
              <w:t></w:t>
            </w:r>
            <w:r>
              <w:rPr>
                <w:rFonts w:ascii="Arial Unicode MS" w:eastAsia="Arial Unicode MS" w:hAnsi="Arial Unicode MS" w:cs="Arial Unicode MS"/>
                <w:spacing w:val="-4"/>
              </w:rPr>
              <w:t xml:space="preserve"> </w:t>
            </w:r>
            <w:r>
              <w:rPr>
                <w:rFonts w:ascii="Arial Unicode MS" w:eastAsia="Arial Unicode MS" w:hAnsi="Arial Unicode MS" w:cs="Arial Unicode MS"/>
              </w:rPr>
              <w:t>]</w:t>
            </w:r>
          </w:p>
        </w:tc>
        <w:tc>
          <w:tcPr>
            <w:tcW w:w="1288" w:type="dxa"/>
          </w:tcPr>
          <w:p w:rsidR="00910DED" w:rsidRDefault="00910DED" w:rsidP="00AF24EE">
            <w:r>
              <w:rPr>
                <w:spacing w:val="1"/>
              </w:rPr>
              <w:t>[</w:t>
            </w:r>
            <w:r>
              <w:rPr>
                <w:rFonts w:ascii="Arial Unicode MS" w:eastAsia="Arial Unicode MS" w:hAnsi="Arial Unicode MS" w:cs="Arial Unicode MS"/>
                <w:spacing w:val="-58"/>
              </w:rPr>
              <w:t></w:t>
            </w:r>
            <w:r>
              <w:rPr>
                <w:rFonts w:ascii="Arial Unicode MS" w:eastAsia="Arial Unicode MS" w:hAnsi="Arial Unicode MS" w:cs="Arial Unicode MS"/>
              </w:rPr>
              <w:t></w:t>
            </w:r>
            <w:r>
              <w:rPr>
                <w:rFonts w:ascii="Arial Unicode MS" w:eastAsia="Arial Unicode MS" w:hAnsi="Arial Unicode MS" w:cs="Arial Unicode MS"/>
                <w:spacing w:val="-4"/>
              </w:rPr>
              <w:t xml:space="preserve"> </w:t>
            </w:r>
            <w:r>
              <w:rPr>
                <w:rFonts w:ascii="Arial Unicode MS" w:eastAsia="Arial Unicode MS" w:hAnsi="Arial Unicode MS" w:cs="Arial Unicode MS"/>
              </w:rPr>
              <w:t>]</w:t>
            </w:r>
          </w:p>
        </w:tc>
      </w:tr>
      <w:tr w:rsidR="00910DED" w:rsidTr="00AF24EE">
        <w:trPr>
          <w:trHeight w:val="998"/>
        </w:trPr>
        <w:tc>
          <w:tcPr>
            <w:tcW w:w="9016" w:type="dxa"/>
            <w:gridSpan w:val="7"/>
          </w:tcPr>
          <w:p w:rsidR="00910DED" w:rsidRDefault="00910DED" w:rsidP="00910DED">
            <w:pPr>
              <w:pStyle w:val="Heading2"/>
              <w:ind w:left="1352"/>
              <w:outlineLvl w:val="1"/>
              <w:rPr>
                <w:b w:val="0"/>
                <w:bCs w:val="0"/>
                <w:i w:val="0"/>
              </w:rPr>
            </w:pPr>
            <w:r>
              <w:rPr>
                <w:spacing w:val="-1"/>
              </w:rPr>
              <w:t>The</w:t>
            </w:r>
            <w:r>
              <w:rPr>
                <w:spacing w:val="39"/>
              </w:rPr>
              <w:t xml:space="preserve"> </w:t>
            </w:r>
            <w:r>
              <w:rPr>
                <w:spacing w:val="-1"/>
              </w:rPr>
              <w:t>Milestones</w:t>
            </w:r>
            <w:r>
              <w:rPr>
                <w:spacing w:val="38"/>
              </w:rPr>
              <w:t xml:space="preserve"> </w:t>
            </w:r>
            <w:r>
              <w:rPr>
                <w:spacing w:val="-1"/>
              </w:rPr>
              <w:t>will</w:t>
            </w:r>
            <w:r>
              <w:rPr>
                <w:spacing w:val="40"/>
              </w:rPr>
              <w:t xml:space="preserve"> </w:t>
            </w:r>
            <w:r>
              <w:rPr>
                <w:spacing w:val="-1"/>
              </w:rPr>
              <w:t>be</w:t>
            </w:r>
            <w:r>
              <w:rPr>
                <w:spacing w:val="36"/>
              </w:rPr>
              <w:t xml:space="preserve"> </w:t>
            </w:r>
            <w:r>
              <w:rPr>
                <w:spacing w:val="-1"/>
              </w:rPr>
              <w:t>Achieved</w:t>
            </w:r>
            <w:r>
              <w:rPr>
                <w:spacing w:val="39"/>
              </w:rPr>
              <w:t xml:space="preserve"> </w:t>
            </w:r>
            <w:r>
              <w:t>in</w:t>
            </w:r>
            <w:r>
              <w:rPr>
                <w:spacing w:val="36"/>
              </w:rPr>
              <w:t xml:space="preserve"> </w:t>
            </w:r>
            <w:r>
              <w:rPr>
                <w:spacing w:val="-1"/>
              </w:rPr>
              <w:t>accordance</w:t>
            </w:r>
            <w:r>
              <w:rPr>
                <w:spacing w:val="39"/>
              </w:rPr>
              <w:t xml:space="preserve"> </w:t>
            </w:r>
            <w:r>
              <w:rPr>
                <w:spacing w:val="-1"/>
              </w:rPr>
              <w:t>with</w:t>
            </w:r>
            <w:r>
              <w:rPr>
                <w:spacing w:val="36"/>
              </w:rPr>
              <w:t xml:space="preserve"> </w:t>
            </w:r>
            <w:r>
              <w:rPr>
                <w:spacing w:val="-1"/>
              </w:rPr>
              <w:t>[Call</w:t>
            </w:r>
            <w:r>
              <w:rPr>
                <w:spacing w:val="38"/>
              </w:rPr>
              <w:t xml:space="preserve"> </w:t>
            </w:r>
            <w:r>
              <w:rPr>
                <w:spacing w:val="-1"/>
              </w:rPr>
              <w:t>Off</w:t>
            </w:r>
            <w:r>
              <w:rPr>
                <w:spacing w:val="40"/>
              </w:rPr>
              <w:t xml:space="preserve"> </w:t>
            </w:r>
            <w:r>
              <w:rPr>
                <w:spacing w:val="-1"/>
              </w:rPr>
              <w:t>Schedule</w:t>
            </w:r>
            <w:r>
              <w:rPr>
                <w:spacing w:val="38"/>
              </w:rPr>
              <w:t xml:space="preserve"> </w:t>
            </w:r>
            <w:r>
              <w:t>5</w:t>
            </w:r>
            <w:r>
              <w:rPr>
                <w:spacing w:val="29"/>
              </w:rPr>
              <w:t xml:space="preserve"> </w:t>
            </w:r>
            <w:r>
              <w:rPr>
                <w:spacing w:val="-1"/>
              </w:rPr>
              <w:t>(Testing)].</w:t>
            </w:r>
          </w:p>
          <w:p w:rsidR="00910DED" w:rsidRDefault="00910DED" w:rsidP="00910DED">
            <w:pPr>
              <w:spacing w:before="119"/>
              <w:ind w:left="1352"/>
              <w:rPr>
                <w:rFonts w:ascii="Arial" w:eastAsia="Arial" w:hAnsi="Arial" w:cs="Arial"/>
              </w:rPr>
            </w:pPr>
            <w:r>
              <w:rPr>
                <w:rFonts w:ascii="Arial" w:eastAsia="Arial" w:hAnsi="Arial" w:cs="Arial"/>
                <w:b/>
                <w:bCs/>
                <w:i/>
                <w:spacing w:val="-1"/>
              </w:rPr>
              <w:t>For</w:t>
            </w:r>
            <w:r>
              <w:rPr>
                <w:rFonts w:ascii="Arial" w:eastAsia="Arial" w:hAnsi="Arial" w:cs="Arial"/>
                <w:b/>
                <w:bCs/>
                <w:i/>
                <w:spacing w:val="28"/>
              </w:rPr>
              <w:t xml:space="preserve"> </w:t>
            </w:r>
            <w:r>
              <w:rPr>
                <w:rFonts w:ascii="Arial" w:eastAsia="Arial" w:hAnsi="Arial" w:cs="Arial"/>
                <w:b/>
                <w:bCs/>
                <w:i/>
                <w:spacing w:val="-1"/>
              </w:rPr>
              <w:t>the</w:t>
            </w:r>
            <w:r>
              <w:rPr>
                <w:rFonts w:ascii="Arial" w:eastAsia="Arial" w:hAnsi="Arial" w:cs="Arial"/>
                <w:b/>
                <w:bCs/>
                <w:i/>
                <w:spacing w:val="24"/>
              </w:rPr>
              <w:t xml:space="preserve"> </w:t>
            </w:r>
            <w:r>
              <w:rPr>
                <w:rFonts w:ascii="Arial" w:eastAsia="Arial" w:hAnsi="Arial" w:cs="Arial"/>
                <w:b/>
                <w:bCs/>
                <w:i/>
                <w:spacing w:val="-1"/>
              </w:rPr>
              <w:t>purposes</w:t>
            </w:r>
            <w:r>
              <w:rPr>
                <w:rFonts w:ascii="Arial" w:eastAsia="Arial" w:hAnsi="Arial" w:cs="Arial"/>
                <w:b/>
                <w:bCs/>
                <w:i/>
                <w:spacing w:val="27"/>
              </w:rPr>
              <w:t xml:space="preserve"> </w:t>
            </w:r>
            <w:r>
              <w:rPr>
                <w:rFonts w:ascii="Arial" w:eastAsia="Arial" w:hAnsi="Arial" w:cs="Arial"/>
                <w:b/>
                <w:bCs/>
                <w:i/>
                <w:spacing w:val="-2"/>
              </w:rPr>
              <w:t>of</w:t>
            </w:r>
            <w:r>
              <w:rPr>
                <w:rFonts w:ascii="Arial" w:eastAsia="Arial" w:hAnsi="Arial" w:cs="Arial"/>
                <w:b/>
                <w:bCs/>
                <w:i/>
                <w:spacing w:val="28"/>
              </w:rPr>
              <w:t xml:space="preserve"> </w:t>
            </w:r>
            <w:r>
              <w:rPr>
                <w:rFonts w:ascii="Arial" w:eastAsia="Arial" w:hAnsi="Arial" w:cs="Arial"/>
                <w:b/>
                <w:bCs/>
                <w:i/>
                <w:spacing w:val="-2"/>
              </w:rPr>
              <w:t>Clause</w:t>
            </w:r>
            <w:r>
              <w:rPr>
                <w:rFonts w:ascii="Arial" w:eastAsia="Arial" w:hAnsi="Arial" w:cs="Arial"/>
                <w:b/>
                <w:bCs/>
                <w:i/>
                <w:spacing w:val="27"/>
              </w:rPr>
              <w:t xml:space="preserve"> </w:t>
            </w:r>
            <w:hyperlink w:anchor="_bookmark63" w:history="1">
              <w:r>
                <w:rPr>
                  <w:rFonts w:ascii="Arial" w:eastAsia="Arial" w:hAnsi="Arial" w:cs="Arial"/>
                  <w:b/>
                  <w:bCs/>
                  <w:i/>
                  <w:spacing w:val="-1"/>
                </w:rPr>
                <w:t>6.4.1(b)(ii)</w:t>
              </w:r>
            </w:hyperlink>
            <w:r>
              <w:rPr>
                <w:rFonts w:ascii="Arial" w:eastAsia="Arial" w:hAnsi="Arial" w:cs="Arial"/>
                <w:b/>
                <w:bCs/>
                <w:i/>
                <w:spacing w:val="25"/>
              </w:rPr>
              <w:t xml:space="preserve"> </w:t>
            </w:r>
            <w:r>
              <w:rPr>
                <w:rFonts w:ascii="Arial" w:eastAsia="Arial" w:hAnsi="Arial" w:cs="Arial"/>
                <w:b/>
                <w:bCs/>
                <w:i/>
                <w:spacing w:val="-1"/>
              </w:rPr>
              <w:t>the</w:t>
            </w:r>
            <w:r>
              <w:rPr>
                <w:rFonts w:ascii="Arial" w:eastAsia="Arial" w:hAnsi="Arial" w:cs="Arial"/>
                <w:b/>
                <w:bCs/>
                <w:i/>
                <w:spacing w:val="24"/>
              </w:rPr>
              <w:t xml:space="preserve"> </w:t>
            </w:r>
            <w:r>
              <w:rPr>
                <w:rFonts w:ascii="Arial" w:eastAsia="Arial" w:hAnsi="Arial" w:cs="Arial"/>
                <w:b/>
                <w:bCs/>
                <w:i/>
                <w:spacing w:val="-1"/>
              </w:rPr>
              <w:t>number</w:t>
            </w:r>
            <w:r>
              <w:rPr>
                <w:rFonts w:ascii="Arial" w:eastAsia="Arial" w:hAnsi="Arial" w:cs="Arial"/>
                <w:b/>
                <w:bCs/>
                <w:i/>
                <w:spacing w:val="28"/>
              </w:rPr>
              <w:t xml:space="preserve"> </w:t>
            </w:r>
            <w:r>
              <w:rPr>
                <w:rFonts w:ascii="Arial" w:eastAsia="Arial" w:hAnsi="Arial" w:cs="Arial"/>
                <w:b/>
                <w:bCs/>
                <w:i/>
                <w:spacing w:val="-2"/>
              </w:rPr>
              <w:t>of</w:t>
            </w:r>
            <w:r>
              <w:rPr>
                <w:rFonts w:ascii="Arial" w:eastAsia="Arial" w:hAnsi="Arial" w:cs="Arial"/>
                <w:b/>
                <w:bCs/>
                <w:i/>
                <w:spacing w:val="28"/>
              </w:rPr>
              <w:t xml:space="preserve"> </w:t>
            </w:r>
            <w:r>
              <w:rPr>
                <w:rFonts w:ascii="Arial" w:eastAsia="Arial" w:hAnsi="Arial" w:cs="Arial"/>
                <w:b/>
                <w:bCs/>
                <w:i/>
                <w:spacing w:val="-1"/>
              </w:rPr>
              <w:t>days</w:t>
            </w:r>
            <w:r>
              <w:rPr>
                <w:rFonts w:ascii="Arial" w:eastAsia="Arial" w:hAnsi="Arial" w:cs="Arial"/>
                <w:b/>
                <w:bCs/>
                <w:i/>
                <w:spacing w:val="24"/>
              </w:rPr>
              <w:t xml:space="preserve"> </w:t>
            </w:r>
            <w:r>
              <w:rPr>
                <w:rFonts w:ascii="Arial" w:eastAsia="Arial" w:hAnsi="Arial" w:cs="Arial"/>
                <w:b/>
                <w:bCs/>
                <w:i/>
                <w:spacing w:val="-1"/>
              </w:rPr>
              <w:t>shall</w:t>
            </w:r>
            <w:r>
              <w:rPr>
                <w:rFonts w:ascii="Arial" w:eastAsia="Arial" w:hAnsi="Arial" w:cs="Arial"/>
                <w:b/>
                <w:bCs/>
                <w:i/>
                <w:spacing w:val="28"/>
              </w:rPr>
              <w:t xml:space="preserve"> </w:t>
            </w:r>
            <w:r>
              <w:rPr>
                <w:rFonts w:ascii="Arial" w:eastAsia="Arial" w:hAnsi="Arial" w:cs="Arial"/>
                <w:b/>
                <w:bCs/>
                <w:i/>
                <w:spacing w:val="-1"/>
              </w:rPr>
              <w:t>be</w:t>
            </w:r>
            <w:r>
              <w:rPr>
                <w:rFonts w:ascii="Arial" w:eastAsia="Arial" w:hAnsi="Arial" w:cs="Arial"/>
                <w:b/>
                <w:bCs/>
                <w:i/>
                <w:spacing w:val="22"/>
              </w:rPr>
              <w:t xml:space="preserve"> </w:t>
            </w:r>
            <w:r>
              <w:rPr>
                <w:rFonts w:ascii="Arial" w:eastAsia="Arial" w:hAnsi="Arial" w:cs="Arial"/>
                <w:b/>
                <w:bCs/>
                <w:i/>
                <w:spacing w:val="-1"/>
              </w:rPr>
              <w:t>[insert</w:t>
            </w:r>
            <w:r>
              <w:rPr>
                <w:rFonts w:ascii="Arial" w:eastAsia="Arial" w:hAnsi="Arial" w:cs="Arial"/>
                <w:b/>
                <w:bCs/>
                <w:i/>
                <w:spacing w:val="47"/>
              </w:rPr>
              <w:t xml:space="preserve"> </w:t>
            </w:r>
            <w:r>
              <w:rPr>
                <w:rFonts w:ascii="Arial" w:eastAsia="Arial" w:hAnsi="Arial" w:cs="Arial"/>
                <w:b/>
                <w:bCs/>
                <w:i/>
                <w:spacing w:val="-1"/>
              </w:rPr>
              <w:t>number</w:t>
            </w:r>
            <w:r>
              <w:rPr>
                <w:rFonts w:ascii="Arial" w:eastAsia="Arial" w:hAnsi="Arial" w:cs="Arial"/>
                <w:b/>
                <w:bCs/>
                <w:i/>
                <w:spacing w:val="1"/>
              </w:rPr>
              <w:t xml:space="preserve"> </w:t>
            </w:r>
            <w:r>
              <w:rPr>
                <w:rFonts w:ascii="Arial" w:eastAsia="Arial" w:hAnsi="Arial" w:cs="Arial"/>
                <w:b/>
                <w:bCs/>
                <w:i/>
                <w:spacing w:val="-2"/>
              </w:rPr>
              <w:t>of</w:t>
            </w:r>
            <w:r>
              <w:rPr>
                <w:rFonts w:ascii="Arial" w:eastAsia="Arial" w:hAnsi="Arial" w:cs="Arial"/>
                <w:b/>
                <w:bCs/>
                <w:i/>
                <w:spacing w:val="2"/>
              </w:rPr>
              <w:t xml:space="preserve"> </w:t>
            </w:r>
            <w:r>
              <w:rPr>
                <w:rFonts w:ascii="Arial" w:eastAsia="Arial" w:hAnsi="Arial" w:cs="Arial"/>
                <w:b/>
                <w:bCs/>
                <w:i/>
                <w:spacing w:val="-2"/>
              </w:rPr>
              <w:t>days]</w:t>
            </w:r>
            <w:r>
              <w:rPr>
                <w:rFonts w:ascii="Arial" w:eastAsia="Arial" w:hAnsi="Arial" w:cs="Arial"/>
                <w:b/>
                <w:bCs/>
                <w:i/>
                <w:spacing w:val="4"/>
              </w:rPr>
              <w:t xml:space="preserve"> </w:t>
            </w:r>
            <w:r>
              <w:rPr>
                <w:rFonts w:ascii="Arial" w:eastAsia="Arial" w:hAnsi="Arial" w:cs="Arial"/>
                <w:b/>
                <w:bCs/>
                <w:i/>
                <w:spacing w:val="-1"/>
              </w:rPr>
              <w:t>days</w:t>
            </w:r>
            <w:r>
              <w:rPr>
                <w:rFonts w:ascii="Arial" w:eastAsia="Arial" w:hAnsi="Arial" w:cs="Arial"/>
                <w:b/>
                <w:bCs/>
                <w:i/>
                <w:spacing w:val="-2"/>
              </w:rPr>
              <w:t xml:space="preserve"> </w:t>
            </w:r>
            <w:r>
              <w:rPr>
                <w:rFonts w:ascii="Arial" w:eastAsia="Arial" w:hAnsi="Arial" w:cs="Arial"/>
                <w:b/>
                <w:bCs/>
                <w:i/>
                <w:spacing w:val="-1"/>
              </w:rPr>
              <w:t>(‘the</w:t>
            </w:r>
            <w:r>
              <w:rPr>
                <w:rFonts w:ascii="Arial" w:eastAsia="Arial" w:hAnsi="Arial" w:cs="Arial"/>
                <w:b/>
                <w:bCs/>
                <w:i/>
              </w:rPr>
              <w:t xml:space="preserve"> </w:t>
            </w:r>
            <w:r>
              <w:rPr>
                <w:rFonts w:ascii="Arial" w:eastAsia="Arial" w:hAnsi="Arial" w:cs="Arial"/>
                <w:b/>
                <w:bCs/>
                <w:i/>
                <w:spacing w:val="-1"/>
              </w:rPr>
              <w:t>Delay</w:t>
            </w:r>
            <w:r>
              <w:rPr>
                <w:rFonts w:ascii="Arial" w:eastAsia="Arial" w:hAnsi="Arial" w:cs="Arial"/>
                <w:b/>
                <w:bCs/>
                <w:i/>
              </w:rPr>
              <w:t xml:space="preserve"> </w:t>
            </w:r>
            <w:r>
              <w:rPr>
                <w:rFonts w:ascii="Arial" w:eastAsia="Arial" w:hAnsi="Arial" w:cs="Arial"/>
                <w:b/>
                <w:bCs/>
                <w:i/>
                <w:spacing w:val="-1"/>
              </w:rPr>
              <w:t>Period</w:t>
            </w:r>
            <w:r>
              <w:rPr>
                <w:rFonts w:ascii="Arial" w:eastAsia="Arial" w:hAnsi="Arial" w:cs="Arial"/>
                <w:b/>
                <w:bCs/>
                <w:i/>
                <w:spacing w:val="-2"/>
              </w:rPr>
              <w:t xml:space="preserve"> </w:t>
            </w:r>
            <w:r>
              <w:rPr>
                <w:rFonts w:ascii="Arial" w:eastAsia="Arial" w:hAnsi="Arial" w:cs="Arial"/>
                <w:b/>
                <w:bCs/>
                <w:i/>
                <w:spacing w:val="-1"/>
              </w:rPr>
              <w:t>Limit’)</w:t>
            </w:r>
          </w:p>
          <w:p w:rsidR="00910DED" w:rsidRDefault="00910DED" w:rsidP="00AF24EE"/>
        </w:tc>
      </w:tr>
    </w:tbl>
    <w:p w:rsidR="008918FA" w:rsidRDefault="008918FA" w:rsidP="008918FA">
      <w:pPr>
        <w:rPr>
          <w:rFonts w:ascii="Arial Unicode MS" w:eastAsia="Arial Unicode MS" w:hAnsi="Arial Unicode MS" w:cs="Arial Unicode MS"/>
          <w:sz w:val="20"/>
          <w:szCs w:val="20"/>
        </w:rPr>
      </w:pPr>
    </w:p>
    <w:p w:rsidR="008918FA" w:rsidRDefault="008918FA" w:rsidP="008918FA">
      <w:pPr>
        <w:spacing w:before="7"/>
        <w:rPr>
          <w:rFonts w:ascii="Arial Unicode MS" w:eastAsia="Arial Unicode MS" w:hAnsi="Arial Unicode MS" w:cs="Arial Unicode MS"/>
          <w:sz w:val="12"/>
          <w:szCs w:val="12"/>
        </w:rPr>
      </w:pPr>
    </w:p>
    <w:p w:rsidR="008918FA" w:rsidRPr="00910DED" w:rsidRDefault="008918FA" w:rsidP="008918FA">
      <w:pPr>
        <w:spacing w:before="197"/>
        <w:ind w:left="1352" w:right="272"/>
        <w:jc w:val="both"/>
        <w:rPr>
          <w:rFonts w:ascii="Arial" w:eastAsia="Arial" w:hAnsi="Arial" w:cs="Arial"/>
          <w:highlight w:val="green"/>
        </w:rPr>
      </w:pPr>
      <w:r w:rsidRPr="00910DED">
        <w:rPr>
          <w:rFonts w:ascii="Arial"/>
          <w:b/>
          <w:i/>
          <w:spacing w:val="-1"/>
          <w:highlight w:val="green"/>
        </w:rPr>
        <w:t>Guidance</w:t>
      </w:r>
      <w:r w:rsidRPr="00910DED">
        <w:rPr>
          <w:rFonts w:ascii="Arial"/>
          <w:b/>
          <w:i/>
          <w:spacing w:val="58"/>
          <w:highlight w:val="green"/>
        </w:rPr>
        <w:t xml:space="preserve"> </w:t>
      </w:r>
      <w:r w:rsidRPr="00910DED">
        <w:rPr>
          <w:rFonts w:ascii="Arial"/>
          <w:b/>
          <w:i/>
          <w:spacing w:val="-1"/>
          <w:highlight w:val="green"/>
        </w:rPr>
        <w:t>Note:</w:t>
      </w:r>
      <w:r w:rsidRPr="00910DED">
        <w:rPr>
          <w:rFonts w:ascii="Arial"/>
          <w:b/>
          <w:i/>
          <w:spacing w:val="59"/>
          <w:highlight w:val="green"/>
        </w:rPr>
        <w:t xml:space="preserve"> </w:t>
      </w:r>
      <w:r w:rsidRPr="00910DED">
        <w:rPr>
          <w:rFonts w:ascii="Arial"/>
          <w:b/>
          <w:i/>
          <w:spacing w:val="-1"/>
          <w:highlight w:val="green"/>
        </w:rPr>
        <w:t>See</w:t>
      </w:r>
      <w:r w:rsidRPr="00910DED">
        <w:rPr>
          <w:rFonts w:ascii="Arial"/>
          <w:b/>
          <w:i/>
          <w:spacing w:val="58"/>
          <w:highlight w:val="green"/>
        </w:rPr>
        <w:t xml:space="preserve"> </w:t>
      </w:r>
      <w:r w:rsidRPr="00910DED">
        <w:rPr>
          <w:rFonts w:ascii="Arial"/>
          <w:b/>
          <w:i/>
          <w:spacing w:val="-1"/>
          <w:highlight w:val="green"/>
        </w:rPr>
        <w:t>Clauses</w:t>
      </w:r>
      <w:r w:rsidRPr="00910DED">
        <w:rPr>
          <w:rFonts w:ascii="Arial"/>
          <w:b/>
          <w:i/>
          <w:spacing w:val="58"/>
          <w:highlight w:val="green"/>
        </w:rPr>
        <w:t xml:space="preserve"> </w:t>
      </w:r>
      <w:hyperlink w:anchor="_bookmark57" w:history="1">
        <w:r w:rsidRPr="00910DED">
          <w:rPr>
            <w:rFonts w:ascii="Arial"/>
            <w:b/>
            <w:i/>
            <w:spacing w:val="-1"/>
            <w:highlight w:val="green"/>
          </w:rPr>
          <w:t>6</w:t>
        </w:r>
      </w:hyperlink>
      <w:r w:rsidRPr="00910DED">
        <w:rPr>
          <w:rFonts w:ascii="Arial"/>
          <w:b/>
          <w:i/>
          <w:spacing w:val="-1"/>
          <w:highlight w:val="green"/>
        </w:rPr>
        <w:t>,</w:t>
      </w:r>
      <w:r w:rsidRPr="00910DED">
        <w:rPr>
          <w:rFonts w:ascii="Arial"/>
          <w:b/>
          <w:i/>
          <w:spacing w:val="59"/>
          <w:highlight w:val="green"/>
        </w:rPr>
        <w:t xml:space="preserve"> </w:t>
      </w:r>
      <w:hyperlink w:anchor="_bookmark66" w:history="1">
        <w:r w:rsidRPr="00910DED">
          <w:rPr>
            <w:rFonts w:ascii="Arial"/>
            <w:b/>
            <w:i/>
            <w:highlight w:val="green"/>
          </w:rPr>
          <w:t>7.1.2</w:t>
        </w:r>
      </w:hyperlink>
      <w:r w:rsidRPr="00910DED">
        <w:rPr>
          <w:rFonts w:ascii="Arial"/>
          <w:b/>
          <w:i/>
          <w:spacing w:val="58"/>
          <w:highlight w:val="green"/>
        </w:rPr>
        <w:t xml:space="preserve"> </w:t>
      </w:r>
      <w:r w:rsidRPr="00910DED">
        <w:rPr>
          <w:rFonts w:ascii="Arial"/>
          <w:b/>
          <w:i/>
          <w:spacing w:val="-1"/>
          <w:highlight w:val="green"/>
        </w:rPr>
        <w:t>and</w:t>
      </w:r>
      <w:r w:rsidRPr="00910DED">
        <w:rPr>
          <w:rFonts w:ascii="Arial"/>
          <w:b/>
          <w:i/>
          <w:spacing w:val="56"/>
          <w:highlight w:val="green"/>
        </w:rPr>
        <w:t xml:space="preserve"> </w:t>
      </w:r>
      <w:hyperlink w:anchor="_bookmark77" w:history="1">
        <w:r w:rsidRPr="00910DED">
          <w:rPr>
            <w:rFonts w:ascii="Arial"/>
            <w:b/>
            <w:i/>
            <w:highlight w:val="green"/>
          </w:rPr>
          <w:t>9.1</w:t>
        </w:r>
      </w:hyperlink>
      <w:r w:rsidRPr="00910DED">
        <w:rPr>
          <w:rFonts w:ascii="Arial"/>
          <w:b/>
          <w:i/>
          <w:spacing w:val="58"/>
          <w:highlight w:val="green"/>
        </w:rPr>
        <w:t xml:space="preserve"> </w:t>
      </w:r>
      <w:r w:rsidRPr="00910DED">
        <w:rPr>
          <w:rFonts w:ascii="Arial"/>
          <w:b/>
          <w:i/>
          <w:spacing w:val="-1"/>
          <w:highlight w:val="green"/>
        </w:rPr>
        <w:t>of</w:t>
      </w:r>
      <w:r w:rsidRPr="00910DED">
        <w:rPr>
          <w:rFonts w:ascii="Arial"/>
          <w:b/>
          <w:i/>
          <w:spacing w:val="59"/>
          <w:highlight w:val="green"/>
        </w:rPr>
        <w:t xml:space="preserve"> </w:t>
      </w:r>
      <w:r w:rsidRPr="00910DED">
        <w:rPr>
          <w:rFonts w:ascii="Arial"/>
          <w:b/>
          <w:i/>
          <w:spacing w:val="-1"/>
          <w:highlight w:val="green"/>
        </w:rPr>
        <w:t>the</w:t>
      </w:r>
      <w:r w:rsidRPr="00910DED">
        <w:rPr>
          <w:rFonts w:ascii="Arial"/>
          <w:b/>
          <w:i/>
          <w:spacing w:val="58"/>
          <w:highlight w:val="green"/>
        </w:rPr>
        <w:t xml:space="preserve"> </w:t>
      </w:r>
      <w:r w:rsidRPr="00910DED">
        <w:rPr>
          <w:rFonts w:ascii="Arial"/>
          <w:b/>
          <w:i/>
          <w:spacing w:val="-1"/>
          <w:highlight w:val="green"/>
        </w:rPr>
        <w:t>Template</w:t>
      </w:r>
      <w:r w:rsidRPr="00910DED">
        <w:rPr>
          <w:rFonts w:ascii="Arial"/>
          <w:b/>
          <w:i/>
          <w:spacing w:val="58"/>
          <w:highlight w:val="green"/>
        </w:rPr>
        <w:t xml:space="preserve"> </w:t>
      </w:r>
      <w:r w:rsidRPr="00910DED">
        <w:rPr>
          <w:rFonts w:ascii="Arial"/>
          <w:b/>
          <w:i/>
          <w:spacing w:val="-1"/>
          <w:highlight w:val="green"/>
        </w:rPr>
        <w:t>Call</w:t>
      </w:r>
      <w:r w:rsidRPr="00910DED">
        <w:rPr>
          <w:rFonts w:ascii="Arial"/>
          <w:b/>
          <w:i/>
          <w:spacing w:val="59"/>
          <w:highlight w:val="green"/>
        </w:rPr>
        <w:t xml:space="preserve"> </w:t>
      </w:r>
      <w:r w:rsidRPr="00910DED">
        <w:rPr>
          <w:rFonts w:ascii="Arial"/>
          <w:b/>
          <w:i/>
          <w:spacing w:val="-1"/>
          <w:highlight w:val="green"/>
        </w:rPr>
        <w:t>Off</w:t>
      </w:r>
      <w:r w:rsidRPr="00910DED">
        <w:rPr>
          <w:rFonts w:ascii="Arial"/>
          <w:b/>
          <w:i/>
          <w:spacing w:val="35"/>
          <w:highlight w:val="green"/>
        </w:rPr>
        <w:t xml:space="preserve"> </w:t>
      </w:r>
      <w:r w:rsidRPr="00910DED">
        <w:rPr>
          <w:rFonts w:ascii="Arial"/>
          <w:b/>
          <w:i/>
          <w:spacing w:val="-1"/>
          <w:highlight w:val="green"/>
        </w:rPr>
        <w:t>Terms</w:t>
      </w:r>
      <w:r w:rsidRPr="00910DED">
        <w:rPr>
          <w:rFonts w:ascii="Arial"/>
          <w:b/>
          <w:i/>
          <w:spacing w:val="38"/>
          <w:highlight w:val="green"/>
        </w:rPr>
        <w:t xml:space="preserve"> </w:t>
      </w:r>
      <w:r w:rsidRPr="00910DED">
        <w:rPr>
          <w:rFonts w:ascii="Arial"/>
          <w:b/>
          <w:i/>
          <w:spacing w:val="-1"/>
          <w:highlight w:val="green"/>
        </w:rPr>
        <w:t>and</w:t>
      </w:r>
      <w:r w:rsidRPr="00910DED">
        <w:rPr>
          <w:rFonts w:ascii="Arial"/>
          <w:b/>
          <w:i/>
          <w:spacing w:val="36"/>
          <w:highlight w:val="green"/>
        </w:rPr>
        <w:t xml:space="preserve"> </w:t>
      </w:r>
      <w:r w:rsidRPr="00910DED">
        <w:rPr>
          <w:rFonts w:ascii="Arial"/>
          <w:b/>
          <w:i/>
          <w:spacing w:val="-1"/>
          <w:highlight w:val="green"/>
        </w:rPr>
        <w:t>refer</w:t>
      </w:r>
      <w:r w:rsidRPr="00910DED">
        <w:rPr>
          <w:rFonts w:ascii="Arial"/>
          <w:b/>
          <w:i/>
          <w:spacing w:val="37"/>
          <w:highlight w:val="green"/>
        </w:rPr>
        <w:t xml:space="preserve"> </w:t>
      </w:r>
      <w:r w:rsidRPr="00910DED">
        <w:rPr>
          <w:rFonts w:ascii="Arial"/>
          <w:b/>
          <w:i/>
          <w:highlight w:val="green"/>
        </w:rPr>
        <w:t>to</w:t>
      </w:r>
      <w:r w:rsidRPr="00910DED">
        <w:rPr>
          <w:rFonts w:ascii="Arial"/>
          <w:b/>
          <w:i/>
          <w:spacing w:val="36"/>
          <w:highlight w:val="green"/>
        </w:rPr>
        <w:t xml:space="preserve"> </w:t>
      </w:r>
      <w:r w:rsidRPr="00910DED">
        <w:rPr>
          <w:rFonts w:ascii="Arial"/>
          <w:b/>
          <w:i/>
          <w:spacing w:val="-1"/>
          <w:highlight w:val="green"/>
        </w:rPr>
        <w:t>the</w:t>
      </w:r>
      <w:r w:rsidRPr="00910DED">
        <w:rPr>
          <w:rFonts w:ascii="Arial"/>
          <w:b/>
          <w:i/>
          <w:spacing w:val="38"/>
          <w:highlight w:val="green"/>
        </w:rPr>
        <w:t xml:space="preserve"> </w:t>
      </w:r>
      <w:r w:rsidRPr="00910DED">
        <w:rPr>
          <w:rFonts w:ascii="Arial"/>
          <w:b/>
          <w:i/>
          <w:spacing w:val="-1"/>
          <w:highlight w:val="green"/>
        </w:rPr>
        <w:t>Specification</w:t>
      </w:r>
      <w:r w:rsidRPr="00910DED">
        <w:rPr>
          <w:rFonts w:ascii="Arial"/>
          <w:b/>
          <w:i/>
          <w:spacing w:val="38"/>
          <w:highlight w:val="green"/>
        </w:rPr>
        <w:t xml:space="preserve"> </w:t>
      </w:r>
      <w:r w:rsidRPr="00910DED">
        <w:rPr>
          <w:rFonts w:ascii="Arial"/>
          <w:b/>
          <w:i/>
          <w:highlight w:val="green"/>
        </w:rPr>
        <w:t>in</w:t>
      </w:r>
      <w:r w:rsidRPr="00910DED">
        <w:rPr>
          <w:rFonts w:ascii="Arial"/>
          <w:b/>
          <w:i/>
          <w:spacing w:val="37"/>
          <w:highlight w:val="green"/>
        </w:rPr>
        <w:t xml:space="preserve"> </w:t>
      </w:r>
      <w:r w:rsidRPr="00910DED">
        <w:rPr>
          <w:rFonts w:ascii="Arial"/>
          <w:b/>
          <w:i/>
          <w:spacing w:val="-1"/>
          <w:highlight w:val="green"/>
        </w:rPr>
        <w:t>Part</w:t>
      </w:r>
      <w:r w:rsidRPr="00910DED">
        <w:rPr>
          <w:rFonts w:ascii="Arial"/>
          <w:b/>
          <w:i/>
          <w:spacing w:val="37"/>
          <w:highlight w:val="green"/>
        </w:rPr>
        <w:t xml:space="preserve"> </w:t>
      </w:r>
      <w:r w:rsidRPr="00910DED">
        <w:rPr>
          <w:rFonts w:ascii="Arial"/>
          <w:b/>
          <w:i/>
          <w:highlight w:val="green"/>
        </w:rPr>
        <w:t>A</w:t>
      </w:r>
      <w:r w:rsidRPr="00910DED">
        <w:rPr>
          <w:rFonts w:ascii="Arial"/>
          <w:b/>
          <w:i/>
          <w:spacing w:val="38"/>
          <w:highlight w:val="green"/>
        </w:rPr>
        <w:t xml:space="preserve"> </w:t>
      </w:r>
      <w:r w:rsidRPr="00910DED">
        <w:rPr>
          <w:rFonts w:ascii="Arial"/>
          <w:b/>
          <w:i/>
          <w:spacing w:val="-1"/>
          <w:highlight w:val="green"/>
        </w:rPr>
        <w:t>of</w:t>
      </w:r>
      <w:r w:rsidRPr="00910DED">
        <w:rPr>
          <w:rFonts w:ascii="Arial"/>
          <w:b/>
          <w:i/>
          <w:spacing w:val="40"/>
          <w:highlight w:val="green"/>
        </w:rPr>
        <w:t xml:space="preserve"> </w:t>
      </w:r>
      <w:r w:rsidRPr="00910DED">
        <w:rPr>
          <w:rFonts w:ascii="Arial"/>
          <w:b/>
          <w:i/>
          <w:spacing w:val="-1"/>
          <w:highlight w:val="green"/>
        </w:rPr>
        <w:t>Framework</w:t>
      </w:r>
      <w:r w:rsidRPr="00910DED">
        <w:rPr>
          <w:rFonts w:ascii="Arial"/>
          <w:b/>
          <w:i/>
          <w:spacing w:val="38"/>
          <w:highlight w:val="green"/>
        </w:rPr>
        <w:t xml:space="preserve"> </w:t>
      </w:r>
      <w:r w:rsidRPr="00910DED">
        <w:rPr>
          <w:rFonts w:ascii="Arial"/>
          <w:b/>
          <w:i/>
          <w:spacing w:val="-1"/>
          <w:highlight w:val="green"/>
        </w:rPr>
        <w:t>Schedule</w:t>
      </w:r>
      <w:r w:rsidRPr="00910DED">
        <w:rPr>
          <w:rFonts w:ascii="Arial"/>
          <w:b/>
          <w:i/>
          <w:spacing w:val="38"/>
          <w:highlight w:val="green"/>
        </w:rPr>
        <w:t xml:space="preserve"> </w:t>
      </w:r>
      <w:r w:rsidRPr="00910DED">
        <w:rPr>
          <w:rFonts w:ascii="Arial"/>
          <w:b/>
          <w:i/>
          <w:highlight w:val="green"/>
        </w:rPr>
        <w:t>1</w:t>
      </w:r>
      <w:r w:rsidRPr="00910DED">
        <w:rPr>
          <w:rFonts w:ascii="Arial"/>
          <w:b/>
          <w:i/>
          <w:spacing w:val="39"/>
          <w:highlight w:val="green"/>
        </w:rPr>
        <w:t xml:space="preserve"> </w:t>
      </w:r>
      <w:r w:rsidRPr="00910DED">
        <w:rPr>
          <w:rFonts w:ascii="Arial"/>
          <w:b/>
          <w:i/>
          <w:spacing w:val="-1"/>
          <w:highlight w:val="green"/>
        </w:rPr>
        <w:t>(Goods</w:t>
      </w:r>
      <w:r w:rsidRPr="00910DED">
        <w:rPr>
          <w:rFonts w:ascii="Arial"/>
          <w:b/>
          <w:i/>
          <w:spacing w:val="12"/>
          <w:highlight w:val="green"/>
        </w:rPr>
        <w:t xml:space="preserve"> </w:t>
      </w:r>
      <w:r w:rsidRPr="00910DED">
        <w:rPr>
          <w:rFonts w:ascii="Arial"/>
          <w:b/>
          <w:i/>
          <w:spacing w:val="-1"/>
          <w:highlight w:val="green"/>
        </w:rPr>
        <w:t>and/or</w:t>
      </w:r>
      <w:r w:rsidRPr="00910DED">
        <w:rPr>
          <w:rFonts w:ascii="Arial"/>
          <w:b/>
          <w:i/>
          <w:spacing w:val="13"/>
          <w:highlight w:val="green"/>
        </w:rPr>
        <w:t xml:space="preserve"> </w:t>
      </w:r>
      <w:r w:rsidRPr="00910DED">
        <w:rPr>
          <w:rFonts w:ascii="Arial"/>
          <w:b/>
          <w:i/>
          <w:spacing w:val="-1"/>
          <w:highlight w:val="green"/>
        </w:rPr>
        <w:t>Services</w:t>
      </w:r>
      <w:r w:rsidRPr="00910DED">
        <w:rPr>
          <w:rFonts w:ascii="Arial"/>
          <w:b/>
          <w:i/>
          <w:spacing w:val="12"/>
          <w:highlight w:val="green"/>
        </w:rPr>
        <w:t xml:space="preserve"> </w:t>
      </w:r>
      <w:r w:rsidRPr="00910DED">
        <w:rPr>
          <w:rFonts w:ascii="Arial"/>
          <w:b/>
          <w:i/>
          <w:spacing w:val="-1"/>
          <w:highlight w:val="green"/>
        </w:rPr>
        <w:t>and</w:t>
      </w:r>
      <w:r w:rsidRPr="00910DED">
        <w:rPr>
          <w:rFonts w:ascii="Arial"/>
          <w:b/>
          <w:i/>
          <w:spacing w:val="12"/>
          <w:highlight w:val="green"/>
        </w:rPr>
        <w:t xml:space="preserve"> </w:t>
      </w:r>
      <w:r w:rsidRPr="00910DED">
        <w:rPr>
          <w:rFonts w:ascii="Arial"/>
          <w:b/>
          <w:i/>
          <w:spacing w:val="-1"/>
          <w:highlight w:val="green"/>
        </w:rPr>
        <w:t>Key</w:t>
      </w:r>
      <w:r w:rsidRPr="00910DED">
        <w:rPr>
          <w:rFonts w:ascii="Arial"/>
          <w:b/>
          <w:i/>
          <w:spacing w:val="15"/>
          <w:highlight w:val="green"/>
        </w:rPr>
        <w:t xml:space="preserve"> </w:t>
      </w:r>
      <w:r w:rsidRPr="00910DED">
        <w:rPr>
          <w:rFonts w:ascii="Arial"/>
          <w:b/>
          <w:i/>
          <w:spacing w:val="-1"/>
          <w:highlight w:val="green"/>
        </w:rPr>
        <w:t>Performance</w:t>
      </w:r>
      <w:r w:rsidRPr="00910DED">
        <w:rPr>
          <w:rFonts w:ascii="Arial"/>
          <w:b/>
          <w:i/>
          <w:spacing w:val="12"/>
          <w:highlight w:val="green"/>
        </w:rPr>
        <w:t xml:space="preserve"> </w:t>
      </w:r>
      <w:r w:rsidRPr="00910DED">
        <w:rPr>
          <w:rFonts w:ascii="Arial"/>
          <w:b/>
          <w:i/>
          <w:spacing w:val="-1"/>
          <w:highlight w:val="green"/>
        </w:rPr>
        <w:t>Indicators).</w:t>
      </w:r>
      <w:r w:rsidRPr="00910DED">
        <w:rPr>
          <w:rFonts w:ascii="Arial"/>
          <w:b/>
          <w:i/>
          <w:spacing w:val="14"/>
          <w:highlight w:val="green"/>
        </w:rPr>
        <w:t xml:space="preserve"> </w:t>
      </w:r>
      <w:r w:rsidRPr="00910DED">
        <w:rPr>
          <w:rFonts w:ascii="Arial"/>
          <w:b/>
          <w:i/>
          <w:spacing w:val="-1"/>
          <w:highlight w:val="green"/>
        </w:rPr>
        <w:t>Consider</w:t>
      </w:r>
      <w:r w:rsidRPr="00910DED">
        <w:rPr>
          <w:rFonts w:ascii="Arial"/>
          <w:b/>
          <w:i/>
          <w:spacing w:val="11"/>
          <w:highlight w:val="green"/>
        </w:rPr>
        <w:t xml:space="preserve"> </w:t>
      </w:r>
      <w:r w:rsidRPr="00910DED">
        <w:rPr>
          <w:rFonts w:ascii="Arial"/>
          <w:b/>
          <w:i/>
          <w:highlight w:val="green"/>
        </w:rPr>
        <w:t>If</w:t>
      </w:r>
      <w:r w:rsidRPr="00910DED">
        <w:rPr>
          <w:rFonts w:ascii="Arial"/>
          <w:b/>
          <w:i/>
          <w:spacing w:val="14"/>
          <w:highlight w:val="green"/>
        </w:rPr>
        <w:t xml:space="preserve"> </w:t>
      </w:r>
      <w:r w:rsidRPr="00910DED">
        <w:rPr>
          <w:rFonts w:ascii="Arial"/>
          <w:b/>
          <w:i/>
          <w:spacing w:val="-1"/>
          <w:highlight w:val="green"/>
        </w:rPr>
        <w:t>your</w:t>
      </w:r>
      <w:r w:rsidRPr="00910DED">
        <w:rPr>
          <w:rFonts w:ascii="Arial"/>
          <w:b/>
          <w:i/>
          <w:spacing w:val="36"/>
          <w:highlight w:val="green"/>
        </w:rPr>
        <w:t xml:space="preserve"> </w:t>
      </w:r>
      <w:r w:rsidRPr="00910DED">
        <w:rPr>
          <w:rFonts w:ascii="Arial"/>
          <w:b/>
          <w:i/>
          <w:spacing w:val="-1"/>
          <w:highlight w:val="green"/>
        </w:rPr>
        <w:t>need</w:t>
      </w:r>
      <w:r w:rsidRPr="00910DED">
        <w:rPr>
          <w:rFonts w:ascii="Arial"/>
          <w:b/>
          <w:i/>
          <w:spacing w:val="20"/>
          <w:highlight w:val="green"/>
        </w:rPr>
        <w:t xml:space="preserve"> </w:t>
      </w:r>
      <w:r w:rsidRPr="00910DED">
        <w:rPr>
          <w:rFonts w:ascii="Arial"/>
          <w:b/>
          <w:i/>
          <w:spacing w:val="-1"/>
          <w:highlight w:val="green"/>
        </w:rPr>
        <w:t>an</w:t>
      </w:r>
      <w:r w:rsidRPr="00910DED">
        <w:rPr>
          <w:rFonts w:ascii="Arial"/>
          <w:b/>
          <w:i/>
          <w:spacing w:val="20"/>
          <w:highlight w:val="green"/>
        </w:rPr>
        <w:t xml:space="preserve"> </w:t>
      </w:r>
      <w:r w:rsidRPr="00910DED">
        <w:rPr>
          <w:rFonts w:ascii="Arial"/>
          <w:b/>
          <w:i/>
          <w:spacing w:val="-1"/>
          <w:highlight w:val="green"/>
        </w:rPr>
        <w:t>Implementation</w:t>
      </w:r>
      <w:r w:rsidRPr="00910DED">
        <w:rPr>
          <w:rFonts w:ascii="Arial"/>
          <w:b/>
          <w:i/>
          <w:spacing w:val="20"/>
          <w:highlight w:val="green"/>
        </w:rPr>
        <w:t xml:space="preserve"> </w:t>
      </w:r>
      <w:r w:rsidRPr="00910DED">
        <w:rPr>
          <w:rFonts w:ascii="Arial"/>
          <w:b/>
          <w:i/>
          <w:spacing w:val="-1"/>
          <w:highlight w:val="green"/>
        </w:rPr>
        <w:t>Plan</w:t>
      </w:r>
      <w:r w:rsidRPr="00910DED">
        <w:rPr>
          <w:rFonts w:ascii="Arial"/>
          <w:b/>
          <w:i/>
          <w:spacing w:val="20"/>
          <w:highlight w:val="green"/>
        </w:rPr>
        <w:t xml:space="preserve"> </w:t>
      </w:r>
      <w:r w:rsidRPr="00910DED">
        <w:rPr>
          <w:rFonts w:ascii="Arial"/>
          <w:b/>
          <w:i/>
          <w:spacing w:val="-1"/>
          <w:highlight w:val="green"/>
        </w:rPr>
        <w:t>prior</w:t>
      </w:r>
      <w:r w:rsidRPr="00910DED">
        <w:rPr>
          <w:rFonts w:ascii="Arial"/>
          <w:b/>
          <w:i/>
          <w:spacing w:val="20"/>
          <w:highlight w:val="green"/>
        </w:rPr>
        <w:t xml:space="preserve"> </w:t>
      </w:r>
      <w:r w:rsidRPr="00910DED">
        <w:rPr>
          <w:rFonts w:ascii="Arial"/>
          <w:b/>
          <w:i/>
          <w:highlight w:val="green"/>
        </w:rPr>
        <w:t>to</w:t>
      </w:r>
      <w:r w:rsidRPr="00910DED">
        <w:rPr>
          <w:rFonts w:ascii="Arial"/>
          <w:b/>
          <w:i/>
          <w:spacing w:val="17"/>
          <w:highlight w:val="green"/>
        </w:rPr>
        <w:t xml:space="preserve"> </w:t>
      </w:r>
      <w:r w:rsidRPr="00910DED">
        <w:rPr>
          <w:rFonts w:ascii="Arial"/>
          <w:b/>
          <w:i/>
          <w:spacing w:val="-1"/>
          <w:highlight w:val="green"/>
        </w:rPr>
        <w:t>the</w:t>
      </w:r>
      <w:r w:rsidRPr="00910DED">
        <w:rPr>
          <w:rFonts w:ascii="Arial"/>
          <w:b/>
          <w:i/>
          <w:spacing w:val="20"/>
          <w:highlight w:val="green"/>
        </w:rPr>
        <w:t xml:space="preserve"> </w:t>
      </w:r>
      <w:r w:rsidRPr="00910DED">
        <w:rPr>
          <w:rFonts w:ascii="Arial"/>
          <w:b/>
          <w:i/>
          <w:spacing w:val="-1"/>
          <w:highlight w:val="green"/>
        </w:rPr>
        <w:t>commencement</w:t>
      </w:r>
      <w:r w:rsidRPr="00910DED">
        <w:rPr>
          <w:rFonts w:ascii="Arial"/>
          <w:b/>
          <w:i/>
          <w:spacing w:val="21"/>
          <w:highlight w:val="green"/>
        </w:rPr>
        <w:t xml:space="preserve"> </w:t>
      </w:r>
      <w:r w:rsidRPr="00910DED">
        <w:rPr>
          <w:rFonts w:ascii="Arial"/>
          <w:b/>
          <w:i/>
          <w:spacing w:val="-2"/>
          <w:highlight w:val="green"/>
        </w:rPr>
        <w:t>of</w:t>
      </w:r>
      <w:r w:rsidRPr="00910DED">
        <w:rPr>
          <w:rFonts w:ascii="Arial"/>
          <w:b/>
          <w:i/>
          <w:spacing w:val="21"/>
          <w:highlight w:val="green"/>
        </w:rPr>
        <w:t xml:space="preserve"> </w:t>
      </w:r>
      <w:r w:rsidRPr="00910DED">
        <w:rPr>
          <w:rFonts w:ascii="Arial"/>
          <w:b/>
          <w:i/>
          <w:spacing w:val="-1"/>
          <w:highlight w:val="green"/>
        </w:rPr>
        <w:t>the</w:t>
      </w:r>
      <w:r w:rsidRPr="00910DED">
        <w:rPr>
          <w:rFonts w:ascii="Arial"/>
          <w:b/>
          <w:i/>
          <w:spacing w:val="19"/>
          <w:highlight w:val="green"/>
        </w:rPr>
        <w:t xml:space="preserve"> </w:t>
      </w:r>
      <w:r w:rsidRPr="00910DED">
        <w:rPr>
          <w:rFonts w:ascii="Arial"/>
          <w:b/>
          <w:i/>
          <w:spacing w:val="-1"/>
          <w:highlight w:val="green"/>
        </w:rPr>
        <w:t>provision</w:t>
      </w:r>
      <w:r w:rsidRPr="00910DED">
        <w:rPr>
          <w:rFonts w:ascii="Arial"/>
          <w:b/>
          <w:i/>
          <w:spacing w:val="32"/>
          <w:highlight w:val="green"/>
        </w:rPr>
        <w:t xml:space="preserve"> </w:t>
      </w:r>
      <w:r w:rsidRPr="00910DED">
        <w:rPr>
          <w:rFonts w:ascii="Arial"/>
          <w:b/>
          <w:i/>
          <w:spacing w:val="-1"/>
          <w:highlight w:val="green"/>
        </w:rPr>
        <w:t>of</w:t>
      </w:r>
      <w:r w:rsidRPr="00910DED">
        <w:rPr>
          <w:rFonts w:ascii="Arial"/>
          <w:b/>
          <w:i/>
          <w:spacing w:val="19"/>
          <w:highlight w:val="green"/>
        </w:rPr>
        <w:t xml:space="preserve"> </w:t>
      </w:r>
      <w:r w:rsidRPr="00910DED">
        <w:rPr>
          <w:rFonts w:ascii="Arial"/>
          <w:b/>
          <w:i/>
          <w:spacing w:val="-1"/>
          <w:highlight w:val="green"/>
        </w:rPr>
        <w:t>the</w:t>
      </w:r>
      <w:r w:rsidRPr="00910DED">
        <w:rPr>
          <w:rFonts w:ascii="Arial"/>
          <w:b/>
          <w:i/>
          <w:spacing w:val="17"/>
          <w:highlight w:val="green"/>
        </w:rPr>
        <w:t xml:space="preserve"> </w:t>
      </w:r>
      <w:r w:rsidRPr="00910DED">
        <w:rPr>
          <w:rFonts w:ascii="Arial"/>
          <w:b/>
          <w:i/>
          <w:spacing w:val="-1"/>
          <w:highlight w:val="green"/>
        </w:rPr>
        <w:t>Services.</w:t>
      </w:r>
      <w:r w:rsidRPr="00910DED">
        <w:rPr>
          <w:rFonts w:ascii="Arial"/>
          <w:b/>
          <w:i/>
          <w:spacing w:val="19"/>
          <w:highlight w:val="green"/>
        </w:rPr>
        <w:t xml:space="preserve"> </w:t>
      </w:r>
      <w:r w:rsidRPr="00910DED">
        <w:rPr>
          <w:rFonts w:ascii="Arial"/>
          <w:b/>
          <w:i/>
          <w:spacing w:val="-2"/>
          <w:highlight w:val="green"/>
        </w:rPr>
        <w:t>Consider</w:t>
      </w:r>
      <w:r w:rsidRPr="00910DED">
        <w:rPr>
          <w:rFonts w:ascii="Arial"/>
          <w:b/>
          <w:i/>
          <w:spacing w:val="18"/>
          <w:highlight w:val="green"/>
        </w:rPr>
        <w:t xml:space="preserve"> </w:t>
      </w:r>
      <w:r w:rsidRPr="00910DED">
        <w:rPr>
          <w:rFonts w:ascii="Arial"/>
          <w:b/>
          <w:i/>
          <w:spacing w:val="-1"/>
          <w:highlight w:val="green"/>
        </w:rPr>
        <w:t>if</w:t>
      </w:r>
      <w:r w:rsidRPr="00910DED">
        <w:rPr>
          <w:rFonts w:ascii="Arial"/>
          <w:b/>
          <w:i/>
          <w:spacing w:val="19"/>
          <w:highlight w:val="green"/>
        </w:rPr>
        <w:t xml:space="preserve"> </w:t>
      </w:r>
      <w:r w:rsidRPr="00910DED">
        <w:rPr>
          <w:rFonts w:ascii="Arial"/>
          <w:b/>
          <w:i/>
          <w:spacing w:val="-1"/>
          <w:highlight w:val="green"/>
        </w:rPr>
        <w:t>you</w:t>
      </w:r>
      <w:r w:rsidRPr="00910DED">
        <w:rPr>
          <w:rFonts w:ascii="Arial"/>
          <w:b/>
          <w:i/>
          <w:spacing w:val="17"/>
          <w:highlight w:val="green"/>
        </w:rPr>
        <w:t xml:space="preserve"> </w:t>
      </w:r>
      <w:r w:rsidRPr="00910DED">
        <w:rPr>
          <w:rFonts w:ascii="Arial"/>
          <w:b/>
          <w:i/>
          <w:spacing w:val="-1"/>
          <w:highlight w:val="green"/>
        </w:rPr>
        <w:t>should</w:t>
      </w:r>
      <w:r w:rsidRPr="00910DED">
        <w:rPr>
          <w:rFonts w:ascii="Arial"/>
          <w:b/>
          <w:i/>
          <w:spacing w:val="17"/>
          <w:highlight w:val="green"/>
        </w:rPr>
        <w:t xml:space="preserve"> </w:t>
      </w:r>
      <w:r w:rsidRPr="00910DED">
        <w:rPr>
          <w:rFonts w:ascii="Arial"/>
          <w:b/>
          <w:i/>
          <w:spacing w:val="-1"/>
          <w:highlight w:val="green"/>
        </w:rPr>
        <w:t>ask</w:t>
      </w:r>
      <w:r w:rsidRPr="00910DED">
        <w:rPr>
          <w:rFonts w:ascii="Arial"/>
          <w:b/>
          <w:i/>
          <w:spacing w:val="15"/>
          <w:highlight w:val="green"/>
        </w:rPr>
        <w:t xml:space="preserve"> </w:t>
      </w:r>
      <w:r w:rsidRPr="00910DED">
        <w:rPr>
          <w:rFonts w:ascii="Arial"/>
          <w:b/>
          <w:i/>
          <w:spacing w:val="-1"/>
          <w:highlight w:val="green"/>
        </w:rPr>
        <w:t>the</w:t>
      </w:r>
      <w:r w:rsidRPr="00910DED">
        <w:rPr>
          <w:rFonts w:ascii="Arial"/>
          <w:b/>
          <w:i/>
          <w:spacing w:val="17"/>
          <w:highlight w:val="green"/>
        </w:rPr>
        <w:t xml:space="preserve"> </w:t>
      </w:r>
      <w:r w:rsidRPr="00910DED">
        <w:rPr>
          <w:rFonts w:ascii="Arial"/>
          <w:b/>
          <w:i/>
          <w:spacing w:val="-1"/>
          <w:highlight w:val="green"/>
        </w:rPr>
        <w:t>Supplier</w:t>
      </w:r>
      <w:r w:rsidRPr="00910DED">
        <w:rPr>
          <w:rFonts w:ascii="Arial"/>
          <w:b/>
          <w:i/>
          <w:spacing w:val="18"/>
          <w:highlight w:val="green"/>
        </w:rPr>
        <w:t xml:space="preserve"> </w:t>
      </w:r>
      <w:r w:rsidRPr="00910DED">
        <w:rPr>
          <w:rFonts w:ascii="Arial"/>
          <w:b/>
          <w:i/>
          <w:highlight w:val="green"/>
        </w:rPr>
        <w:t>to</w:t>
      </w:r>
      <w:r w:rsidRPr="00910DED">
        <w:rPr>
          <w:rFonts w:ascii="Arial"/>
          <w:b/>
          <w:i/>
          <w:spacing w:val="15"/>
          <w:highlight w:val="green"/>
        </w:rPr>
        <w:t xml:space="preserve"> </w:t>
      </w:r>
      <w:r w:rsidRPr="00910DED">
        <w:rPr>
          <w:rFonts w:ascii="Arial"/>
          <w:b/>
          <w:i/>
          <w:spacing w:val="-1"/>
          <w:highlight w:val="green"/>
        </w:rPr>
        <w:t>provide</w:t>
      </w:r>
      <w:r w:rsidRPr="00910DED">
        <w:rPr>
          <w:rFonts w:ascii="Arial"/>
          <w:b/>
          <w:i/>
          <w:spacing w:val="12"/>
          <w:highlight w:val="green"/>
        </w:rPr>
        <w:t xml:space="preserve"> </w:t>
      </w:r>
      <w:r w:rsidRPr="00910DED">
        <w:rPr>
          <w:rFonts w:ascii="Arial"/>
          <w:b/>
          <w:i/>
          <w:highlight w:val="green"/>
        </w:rPr>
        <w:t>a</w:t>
      </w:r>
      <w:r w:rsidRPr="00910DED">
        <w:rPr>
          <w:rFonts w:ascii="Arial"/>
          <w:b/>
          <w:i/>
          <w:spacing w:val="17"/>
          <w:highlight w:val="green"/>
        </w:rPr>
        <w:t xml:space="preserve"> </w:t>
      </w:r>
      <w:r w:rsidRPr="00910DED">
        <w:rPr>
          <w:rFonts w:ascii="Arial"/>
          <w:b/>
          <w:i/>
          <w:spacing w:val="-1"/>
          <w:highlight w:val="green"/>
        </w:rPr>
        <w:t>draft</w:t>
      </w:r>
      <w:r w:rsidRPr="00910DED">
        <w:rPr>
          <w:rFonts w:ascii="Arial"/>
          <w:b/>
          <w:i/>
          <w:spacing w:val="43"/>
          <w:highlight w:val="green"/>
        </w:rPr>
        <w:t xml:space="preserve"> </w:t>
      </w:r>
      <w:r w:rsidRPr="00910DED">
        <w:rPr>
          <w:rFonts w:ascii="Arial"/>
          <w:b/>
          <w:i/>
          <w:spacing w:val="-1"/>
          <w:highlight w:val="green"/>
        </w:rPr>
        <w:t>Implementation</w:t>
      </w:r>
      <w:r w:rsidRPr="00910DED">
        <w:rPr>
          <w:rFonts w:ascii="Arial"/>
          <w:b/>
          <w:i/>
          <w:spacing w:val="53"/>
          <w:highlight w:val="green"/>
        </w:rPr>
        <w:t xml:space="preserve"> </w:t>
      </w:r>
      <w:r w:rsidRPr="00910DED">
        <w:rPr>
          <w:rFonts w:ascii="Arial"/>
          <w:b/>
          <w:i/>
          <w:spacing w:val="-1"/>
          <w:highlight w:val="green"/>
        </w:rPr>
        <w:t>Plan</w:t>
      </w:r>
      <w:r w:rsidRPr="00910DED">
        <w:rPr>
          <w:rFonts w:ascii="Arial"/>
          <w:b/>
          <w:i/>
          <w:spacing w:val="51"/>
          <w:highlight w:val="green"/>
        </w:rPr>
        <w:t xml:space="preserve"> </w:t>
      </w:r>
      <w:r w:rsidRPr="00910DED">
        <w:rPr>
          <w:rFonts w:ascii="Arial"/>
          <w:b/>
          <w:i/>
          <w:spacing w:val="-2"/>
          <w:highlight w:val="green"/>
        </w:rPr>
        <w:t>and,</w:t>
      </w:r>
      <w:r w:rsidRPr="00910DED">
        <w:rPr>
          <w:rFonts w:ascii="Arial"/>
          <w:b/>
          <w:i/>
          <w:spacing w:val="55"/>
          <w:highlight w:val="green"/>
        </w:rPr>
        <w:t xml:space="preserve"> </w:t>
      </w:r>
      <w:r w:rsidRPr="00910DED">
        <w:rPr>
          <w:rFonts w:ascii="Arial"/>
          <w:b/>
          <w:i/>
          <w:spacing w:val="-1"/>
          <w:highlight w:val="green"/>
        </w:rPr>
        <w:t>if</w:t>
      </w:r>
      <w:r w:rsidRPr="00910DED">
        <w:rPr>
          <w:rFonts w:ascii="Arial"/>
          <w:b/>
          <w:i/>
          <w:spacing w:val="54"/>
          <w:highlight w:val="green"/>
        </w:rPr>
        <w:t xml:space="preserve"> </w:t>
      </w:r>
      <w:r w:rsidRPr="00910DED">
        <w:rPr>
          <w:rFonts w:ascii="Arial"/>
          <w:b/>
          <w:i/>
          <w:spacing w:val="-2"/>
          <w:highlight w:val="green"/>
        </w:rPr>
        <w:t>so,</w:t>
      </w:r>
      <w:r w:rsidRPr="00910DED">
        <w:rPr>
          <w:rFonts w:ascii="Arial"/>
          <w:b/>
          <w:i/>
          <w:spacing w:val="55"/>
          <w:highlight w:val="green"/>
        </w:rPr>
        <w:t xml:space="preserve"> </w:t>
      </w:r>
      <w:r w:rsidRPr="00910DED">
        <w:rPr>
          <w:rFonts w:ascii="Arial"/>
          <w:b/>
          <w:i/>
          <w:spacing w:val="-1"/>
          <w:highlight w:val="green"/>
        </w:rPr>
        <w:t>specify</w:t>
      </w:r>
      <w:r w:rsidRPr="00910DED">
        <w:rPr>
          <w:rFonts w:ascii="Arial"/>
          <w:b/>
          <w:i/>
          <w:spacing w:val="51"/>
          <w:highlight w:val="green"/>
        </w:rPr>
        <w:t xml:space="preserve"> </w:t>
      </w:r>
      <w:r w:rsidRPr="00910DED">
        <w:rPr>
          <w:rFonts w:ascii="Arial"/>
          <w:b/>
          <w:i/>
          <w:spacing w:val="-1"/>
          <w:highlight w:val="green"/>
        </w:rPr>
        <w:t>within</w:t>
      </w:r>
      <w:r w:rsidRPr="00910DED">
        <w:rPr>
          <w:rFonts w:ascii="Arial"/>
          <w:b/>
          <w:i/>
          <w:spacing w:val="52"/>
          <w:highlight w:val="green"/>
        </w:rPr>
        <w:t xml:space="preserve"> </w:t>
      </w:r>
      <w:r w:rsidRPr="00910DED">
        <w:rPr>
          <w:rFonts w:ascii="Arial"/>
          <w:b/>
          <w:i/>
          <w:spacing w:val="-1"/>
          <w:highlight w:val="green"/>
        </w:rPr>
        <w:t>what</w:t>
      </w:r>
      <w:r w:rsidRPr="00910DED">
        <w:rPr>
          <w:rFonts w:ascii="Arial"/>
          <w:b/>
          <w:i/>
          <w:spacing w:val="54"/>
          <w:highlight w:val="green"/>
        </w:rPr>
        <w:t xml:space="preserve"> </w:t>
      </w:r>
      <w:r w:rsidRPr="00910DED">
        <w:rPr>
          <w:rFonts w:ascii="Arial"/>
          <w:b/>
          <w:i/>
          <w:spacing w:val="-1"/>
          <w:highlight w:val="green"/>
        </w:rPr>
        <w:t>period</w:t>
      </w:r>
      <w:r w:rsidRPr="00910DED">
        <w:rPr>
          <w:rFonts w:ascii="Arial"/>
          <w:b/>
          <w:i/>
          <w:spacing w:val="49"/>
          <w:highlight w:val="green"/>
        </w:rPr>
        <w:t xml:space="preserve"> </w:t>
      </w:r>
      <w:r w:rsidRPr="00910DED">
        <w:rPr>
          <w:rFonts w:ascii="Arial"/>
          <w:b/>
          <w:i/>
          <w:spacing w:val="-1"/>
          <w:highlight w:val="green"/>
        </w:rPr>
        <w:t>the</w:t>
      </w:r>
      <w:r w:rsidRPr="00910DED">
        <w:rPr>
          <w:rFonts w:ascii="Arial"/>
          <w:b/>
          <w:i/>
          <w:spacing w:val="53"/>
          <w:highlight w:val="green"/>
        </w:rPr>
        <w:t xml:space="preserve"> </w:t>
      </w:r>
      <w:r w:rsidRPr="00910DED">
        <w:rPr>
          <w:rFonts w:ascii="Arial"/>
          <w:b/>
          <w:i/>
          <w:spacing w:val="-1"/>
          <w:highlight w:val="green"/>
        </w:rPr>
        <w:t>Supplier</w:t>
      </w:r>
      <w:r w:rsidRPr="00910DED">
        <w:rPr>
          <w:rFonts w:ascii="Arial"/>
          <w:b/>
          <w:i/>
          <w:spacing w:val="54"/>
          <w:highlight w:val="green"/>
        </w:rPr>
        <w:t xml:space="preserve"> </w:t>
      </w:r>
      <w:r w:rsidRPr="00910DED">
        <w:rPr>
          <w:rFonts w:ascii="Arial"/>
          <w:b/>
          <w:i/>
          <w:spacing w:val="-1"/>
          <w:highlight w:val="green"/>
        </w:rPr>
        <w:t>should</w:t>
      </w:r>
      <w:r w:rsidRPr="00910DED">
        <w:rPr>
          <w:rFonts w:ascii="Arial"/>
          <w:b/>
          <w:i/>
          <w:highlight w:val="green"/>
        </w:rPr>
        <w:t xml:space="preserve"> </w:t>
      </w:r>
      <w:r w:rsidRPr="00910DED">
        <w:rPr>
          <w:rFonts w:ascii="Arial"/>
          <w:b/>
          <w:i/>
          <w:spacing w:val="-1"/>
          <w:highlight w:val="green"/>
        </w:rPr>
        <w:t>provide</w:t>
      </w:r>
      <w:r w:rsidRPr="00910DED">
        <w:rPr>
          <w:rFonts w:ascii="Arial"/>
          <w:b/>
          <w:i/>
          <w:spacing w:val="-2"/>
          <w:highlight w:val="green"/>
        </w:rPr>
        <w:t xml:space="preserve"> </w:t>
      </w:r>
      <w:r w:rsidRPr="00910DED">
        <w:rPr>
          <w:rFonts w:ascii="Arial"/>
          <w:b/>
          <w:i/>
          <w:spacing w:val="-1"/>
          <w:highlight w:val="green"/>
        </w:rPr>
        <w:t>the</w:t>
      </w:r>
      <w:r w:rsidRPr="00910DED">
        <w:rPr>
          <w:rFonts w:ascii="Arial"/>
          <w:b/>
          <w:i/>
          <w:spacing w:val="-2"/>
          <w:highlight w:val="green"/>
        </w:rPr>
        <w:t xml:space="preserve"> </w:t>
      </w:r>
      <w:r w:rsidRPr="00910DED">
        <w:rPr>
          <w:rFonts w:ascii="Arial"/>
          <w:b/>
          <w:i/>
          <w:spacing w:val="-1"/>
          <w:highlight w:val="green"/>
        </w:rPr>
        <w:t>draft</w:t>
      </w:r>
      <w:r w:rsidRPr="00910DED">
        <w:rPr>
          <w:rFonts w:ascii="Arial"/>
          <w:b/>
          <w:i/>
          <w:spacing w:val="2"/>
          <w:highlight w:val="green"/>
        </w:rPr>
        <w:t xml:space="preserve"> </w:t>
      </w:r>
      <w:r w:rsidRPr="00910DED">
        <w:rPr>
          <w:rFonts w:ascii="Arial"/>
          <w:b/>
          <w:i/>
          <w:spacing w:val="-1"/>
          <w:highlight w:val="green"/>
        </w:rPr>
        <w:t>for</w:t>
      </w:r>
      <w:r w:rsidRPr="00910DED">
        <w:rPr>
          <w:rFonts w:ascii="Arial"/>
          <w:b/>
          <w:i/>
          <w:spacing w:val="1"/>
          <w:highlight w:val="green"/>
        </w:rPr>
        <w:t xml:space="preserve"> </w:t>
      </w:r>
      <w:r w:rsidRPr="00910DED">
        <w:rPr>
          <w:rFonts w:ascii="Arial"/>
          <w:b/>
          <w:i/>
          <w:spacing w:val="-2"/>
          <w:highlight w:val="green"/>
        </w:rPr>
        <w:t>Approval.]</w:t>
      </w:r>
    </w:p>
    <w:p w:rsidR="008918FA" w:rsidRPr="00910DED" w:rsidRDefault="008918FA" w:rsidP="008918FA">
      <w:pPr>
        <w:spacing w:before="121"/>
        <w:ind w:left="1352" w:right="273"/>
        <w:jc w:val="both"/>
        <w:rPr>
          <w:rFonts w:ascii="Arial" w:eastAsia="Arial" w:hAnsi="Arial" w:cs="Arial"/>
          <w:highlight w:val="green"/>
        </w:rPr>
      </w:pPr>
      <w:r w:rsidRPr="00910DED">
        <w:rPr>
          <w:rFonts w:ascii="Arial"/>
          <w:b/>
          <w:i/>
          <w:spacing w:val="-1"/>
          <w:highlight w:val="green"/>
        </w:rPr>
        <w:t>[Guidance</w:t>
      </w:r>
      <w:r w:rsidRPr="00910DED">
        <w:rPr>
          <w:rFonts w:ascii="Arial"/>
          <w:b/>
          <w:i/>
          <w:spacing w:val="7"/>
          <w:highlight w:val="green"/>
        </w:rPr>
        <w:t xml:space="preserve"> </w:t>
      </w:r>
      <w:r w:rsidRPr="00910DED">
        <w:rPr>
          <w:rFonts w:ascii="Arial"/>
          <w:b/>
          <w:i/>
          <w:spacing w:val="-1"/>
          <w:highlight w:val="green"/>
        </w:rPr>
        <w:t>Note:</w:t>
      </w:r>
      <w:r w:rsidRPr="00910DED">
        <w:rPr>
          <w:rFonts w:ascii="Arial"/>
          <w:b/>
          <w:i/>
          <w:spacing w:val="9"/>
          <w:highlight w:val="green"/>
        </w:rPr>
        <w:t xml:space="preserve"> </w:t>
      </w:r>
      <w:r w:rsidRPr="00910DED">
        <w:rPr>
          <w:rFonts w:ascii="Arial"/>
          <w:b/>
          <w:i/>
          <w:spacing w:val="-1"/>
          <w:highlight w:val="green"/>
        </w:rPr>
        <w:t>Under</w:t>
      </w:r>
      <w:r w:rsidRPr="00910DED">
        <w:rPr>
          <w:rFonts w:ascii="Arial"/>
          <w:b/>
          <w:i/>
          <w:spacing w:val="6"/>
          <w:highlight w:val="green"/>
        </w:rPr>
        <w:t xml:space="preserve"> </w:t>
      </w:r>
      <w:r w:rsidRPr="00910DED">
        <w:rPr>
          <w:rFonts w:ascii="Arial"/>
          <w:b/>
          <w:i/>
          <w:spacing w:val="-1"/>
          <w:highlight w:val="green"/>
        </w:rPr>
        <w:t>Clause</w:t>
      </w:r>
      <w:r w:rsidRPr="00910DED">
        <w:rPr>
          <w:rFonts w:ascii="Arial"/>
          <w:b/>
          <w:i/>
          <w:spacing w:val="8"/>
          <w:highlight w:val="green"/>
        </w:rPr>
        <w:t xml:space="preserve"> </w:t>
      </w:r>
      <w:hyperlink w:anchor="_bookmark63" w:history="1">
        <w:r w:rsidRPr="00910DED">
          <w:rPr>
            <w:rFonts w:ascii="Arial"/>
            <w:b/>
            <w:i/>
            <w:spacing w:val="-1"/>
            <w:highlight w:val="green"/>
          </w:rPr>
          <w:t>6.4.1(b)(ii)</w:t>
        </w:r>
      </w:hyperlink>
      <w:r w:rsidRPr="00910DED">
        <w:rPr>
          <w:rFonts w:ascii="Arial"/>
          <w:b/>
          <w:i/>
          <w:spacing w:val="6"/>
          <w:highlight w:val="green"/>
        </w:rPr>
        <w:t xml:space="preserve"> </w:t>
      </w:r>
      <w:r w:rsidRPr="00910DED">
        <w:rPr>
          <w:rFonts w:ascii="Arial"/>
          <w:b/>
          <w:i/>
          <w:spacing w:val="-1"/>
          <w:highlight w:val="green"/>
        </w:rPr>
        <w:t>the</w:t>
      </w:r>
      <w:r w:rsidRPr="00910DED">
        <w:rPr>
          <w:rFonts w:ascii="Arial"/>
          <w:b/>
          <w:i/>
          <w:spacing w:val="7"/>
          <w:highlight w:val="green"/>
        </w:rPr>
        <w:t xml:space="preserve"> </w:t>
      </w:r>
      <w:r w:rsidRPr="00910DED">
        <w:rPr>
          <w:rFonts w:ascii="Arial"/>
          <w:b/>
          <w:i/>
          <w:spacing w:val="-1"/>
          <w:highlight w:val="green"/>
        </w:rPr>
        <w:t>Customer</w:t>
      </w:r>
      <w:r w:rsidRPr="00910DED">
        <w:rPr>
          <w:rFonts w:ascii="Arial"/>
          <w:b/>
          <w:i/>
          <w:spacing w:val="6"/>
          <w:highlight w:val="green"/>
        </w:rPr>
        <w:t xml:space="preserve"> </w:t>
      </w:r>
      <w:r w:rsidRPr="00910DED">
        <w:rPr>
          <w:rFonts w:ascii="Arial"/>
          <w:b/>
          <w:i/>
          <w:highlight w:val="green"/>
        </w:rPr>
        <w:t>will</w:t>
      </w:r>
      <w:r w:rsidRPr="00910DED">
        <w:rPr>
          <w:rFonts w:ascii="Arial"/>
          <w:b/>
          <w:i/>
          <w:spacing w:val="9"/>
          <w:highlight w:val="green"/>
        </w:rPr>
        <w:t xml:space="preserve"> </w:t>
      </w:r>
      <w:r w:rsidRPr="00910DED">
        <w:rPr>
          <w:rFonts w:ascii="Arial"/>
          <w:b/>
          <w:i/>
          <w:spacing w:val="-1"/>
          <w:highlight w:val="green"/>
        </w:rPr>
        <w:t>have</w:t>
      </w:r>
      <w:r w:rsidRPr="00910DED">
        <w:rPr>
          <w:rFonts w:ascii="Arial"/>
          <w:b/>
          <w:i/>
          <w:spacing w:val="7"/>
          <w:highlight w:val="green"/>
        </w:rPr>
        <w:t xml:space="preserve"> </w:t>
      </w:r>
      <w:r w:rsidRPr="00910DED">
        <w:rPr>
          <w:rFonts w:ascii="Arial"/>
          <w:b/>
          <w:i/>
          <w:spacing w:val="-1"/>
          <w:highlight w:val="green"/>
        </w:rPr>
        <w:t>additional</w:t>
      </w:r>
      <w:r w:rsidRPr="00910DED">
        <w:rPr>
          <w:rFonts w:ascii="Arial"/>
          <w:b/>
          <w:i/>
          <w:spacing w:val="36"/>
          <w:highlight w:val="green"/>
        </w:rPr>
        <w:t xml:space="preserve"> </w:t>
      </w:r>
      <w:r w:rsidRPr="00910DED">
        <w:rPr>
          <w:rFonts w:ascii="Arial"/>
          <w:b/>
          <w:i/>
          <w:spacing w:val="-1"/>
          <w:highlight w:val="green"/>
        </w:rPr>
        <w:t>remedies</w:t>
      </w:r>
      <w:r w:rsidRPr="00910DED">
        <w:rPr>
          <w:rFonts w:ascii="Arial"/>
          <w:b/>
          <w:i/>
          <w:spacing w:val="24"/>
          <w:highlight w:val="green"/>
        </w:rPr>
        <w:t xml:space="preserve"> </w:t>
      </w:r>
      <w:r w:rsidRPr="00910DED">
        <w:rPr>
          <w:rFonts w:ascii="Arial"/>
          <w:b/>
          <w:i/>
          <w:spacing w:val="-1"/>
          <w:highlight w:val="green"/>
        </w:rPr>
        <w:t>for</w:t>
      </w:r>
      <w:r w:rsidRPr="00910DED">
        <w:rPr>
          <w:rFonts w:ascii="Arial"/>
          <w:b/>
          <w:i/>
          <w:spacing w:val="25"/>
          <w:highlight w:val="green"/>
        </w:rPr>
        <w:t xml:space="preserve"> </w:t>
      </w:r>
      <w:r w:rsidRPr="00910DED">
        <w:rPr>
          <w:rFonts w:ascii="Arial"/>
          <w:b/>
          <w:i/>
          <w:spacing w:val="-1"/>
          <w:highlight w:val="green"/>
        </w:rPr>
        <w:t>delay</w:t>
      </w:r>
      <w:r w:rsidRPr="00910DED">
        <w:rPr>
          <w:rFonts w:ascii="Arial"/>
          <w:b/>
          <w:i/>
          <w:spacing w:val="24"/>
          <w:highlight w:val="green"/>
        </w:rPr>
        <w:t xml:space="preserve"> </w:t>
      </w:r>
      <w:r w:rsidRPr="00910DED">
        <w:rPr>
          <w:rFonts w:ascii="Arial"/>
          <w:b/>
          <w:i/>
          <w:spacing w:val="-1"/>
          <w:highlight w:val="green"/>
        </w:rPr>
        <w:t>(over</w:t>
      </w:r>
      <w:r w:rsidRPr="00910DED">
        <w:rPr>
          <w:rFonts w:ascii="Arial"/>
          <w:b/>
          <w:i/>
          <w:spacing w:val="28"/>
          <w:highlight w:val="green"/>
        </w:rPr>
        <w:t xml:space="preserve"> </w:t>
      </w:r>
      <w:r w:rsidRPr="00910DED">
        <w:rPr>
          <w:rFonts w:ascii="Arial"/>
          <w:b/>
          <w:i/>
          <w:spacing w:val="-1"/>
          <w:highlight w:val="green"/>
        </w:rPr>
        <w:t>and</w:t>
      </w:r>
      <w:r w:rsidRPr="00910DED">
        <w:rPr>
          <w:rFonts w:ascii="Arial"/>
          <w:b/>
          <w:i/>
          <w:spacing w:val="27"/>
          <w:highlight w:val="green"/>
        </w:rPr>
        <w:t xml:space="preserve"> </w:t>
      </w:r>
      <w:r w:rsidRPr="00910DED">
        <w:rPr>
          <w:rFonts w:ascii="Arial"/>
          <w:b/>
          <w:i/>
          <w:spacing w:val="-1"/>
          <w:highlight w:val="green"/>
        </w:rPr>
        <w:t>above</w:t>
      </w:r>
      <w:r w:rsidRPr="00910DED">
        <w:rPr>
          <w:rFonts w:ascii="Arial"/>
          <w:b/>
          <w:i/>
          <w:spacing w:val="24"/>
          <w:highlight w:val="green"/>
        </w:rPr>
        <w:t xml:space="preserve"> </w:t>
      </w:r>
      <w:r w:rsidRPr="00910DED">
        <w:rPr>
          <w:rFonts w:ascii="Arial"/>
          <w:b/>
          <w:i/>
          <w:spacing w:val="-1"/>
          <w:highlight w:val="green"/>
        </w:rPr>
        <w:t>the</w:t>
      </w:r>
      <w:r w:rsidRPr="00910DED">
        <w:rPr>
          <w:rFonts w:ascii="Arial"/>
          <w:b/>
          <w:i/>
          <w:spacing w:val="27"/>
          <w:highlight w:val="green"/>
        </w:rPr>
        <w:t xml:space="preserve"> </w:t>
      </w:r>
      <w:r w:rsidRPr="00910DED">
        <w:rPr>
          <w:rFonts w:ascii="Arial"/>
          <w:b/>
          <w:i/>
          <w:spacing w:val="-1"/>
          <w:highlight w:val="green"/>
        </w:rPr>
        <w:t>Delay</w:t>
      </w:r>
      <w:r w:rsidRPr="00910DED">
        <w:rPr>
          <w:rFonts w:ascii="Arial"/>
          <w:b/>
          <w:i/>
          <w:spacing w:val="27"/>
          <w:highlight w:val="green"/>
        </w:rPr>
        <w:t xml:space="preserve"> </w:t>
      </w:r>
      <w:r w:rsidRPr="00910DED">
        <w:rPr>
          <w:rFonts w:ascii="Arial"/>
          <w:b/>
          <w:i/>
          <w:spacing w:val="-1"/>
          <w:highlight w:val="green"/>
        </w:rPr>
        <w:t>Payments)</w:t>
      </w:r>
      <w:r w:rsidRPr="00910DED">
        <w:rPr>
          <w:rFonts w:ascii="Arial"/>
          <w:b/>
          <w:i/>
          <w:spacing w:val="26"/>
          <w:highlight w:val="green"/>
        </w:rPr>
        <w:t xml:space="preserve"> </w:t>
      </w:r>
      <w:r w:rsidRPr="00910DED">
        <w:rPr>
          <w:rFonts w:ascii="Arial"/>
          <w:b/>
          <w:i/>
          <w:spacing w:val="-1"/>
          <w:highlight w:val="green"/>
        </w:rPr>
        <w:t>where</w:t>
      </w:r>
      <w:r w:rsidRPr="00910DED">
        <w:rPr>
          <w:rFonts w:ascii="Arial"/>
          <w:b/>
          <w:i/>
          <w:spacing w:val="24"/>
          <w:highlight w:val="green"/>
        </w:rPr>
        <w:t xml:space="preserve"> </w:t>
      </w:r>
      <w:r w:rsidRPr="00910DED">
        <w:rPr>
          <w:rFonts w:ascii="Arial"/>
          <w:b/>
          <w:i/>
          <w:spacing w:val="-1"/>
          <w:highlight w:val="green"/>
        </w:rPr>
        <w:t>the</w:t>
      </w:r>
      <w:r w:rsidRPr="00910DED">
        <w:rPr>
          <w:rFonts w:ascii="Arial"/>
          <w:b/>
          <w:i/>
          <w:spacing w:val="27"/>
          <w:highlight w:val="green"/>
        </w:rPr>
        <w:t xml:space="preserve"> </w:t>
      </w:r>
      <w:r w:rsidRPr="00910DED">
        <w:rPr>
          <w:rFonts w:ascii="Arial"/>
          <w:b/>
          <w:i/>
          <w:spacing w:val="-1"/>
          <w:highlight w:val="green"/>
        </w:rPr>
        <w:t>delay</w:t>
      </w:r>
      <w:r w:rsidRPr="00910DED">
        <w:rPr>
          <w:rFonts w:ascii="Arial"/>
          <w:b/>
          <w:i/>
          <w:spacing w:val="42"/>
          <w:highlight w:val="green"/>
        </w:rPr>
        <w:t xml:space="preserve"> </w:t>
      </w:r>
      <w:r w:rsidRPr="00910DED">
        <w:rPr>
          <w:rFonts w:ascii="Arial"/>
          <w:b/>
          <w:i/>
          <w:spacing w:val="-1"/>
          <w:highlight w:val="green"/>
        </w:rPr>
        <w:t>exceeds</w:t>
      </w:r>
      <w:r w:rsidRPr="00910DED">
        <w:rPr>
          <w:rFonts w:ascii="Arial"/>
          <w:b/>
          <w:i/>
          <w:spacing w:val="20"/>
          <w:highlight w:val="green"/>
        </w:rPr>
        <w:t xml:space="preserve"> </w:t>
      </w:r>
      <w:r w:rsidRPr="00910DED">
        <w:rPr>
          <w:rFonts w:ascii="Arial"/>
          <w:b/>
          <w:i/>
          <w:spacing w:val="-1"/>
          <w:highlight w:val="green"/>
        </w:rPr>
        <w:t>the</w:t>
      </w:r>
      <w:r w:rsidRPr="00910DED">
        <w:rPr>
          <w:rFonts w:ascii="Arial"/>
          <w:b/>
          <w:i/>
          <w:spacing w:val="20"/>
          <w:highlight w:val="green"/>
        </w:rPr>
        <w:t xml:space="preserve"> </w:t>
      </w:r>
      <w:r w:rsidRPr="00910DED">
        <w:rPr>
          <w:rFonts w:ascii="Arial"/>
          <w:b/>
          <w:i/>
          <w:spacing w:val="-1"/>
          <w:highlight w:val="green"/>
        </w:rPr>
        <w:t>time</w:t>
      </w:r>
      <w:r w:rsidRPr="00910DED">
        <w:rPr>
          <w:rFonts w:ascii="Arial"/>
          <w:b/>
          <w:i/>
          <w:spacing w:val="19"/>
          <w:highlight w:val="green"/>
        </w:rPr>
        <w:t xml:space="preserve"> </w:t>
      </w:r>
      <w:r w:rsidRPr="00910DED">
        <w:rPr>
          <w:rFonts w:ascii="Arial"/>
          <w:b/>
          <w:i/>
          <w:spacing w:val="-1"/>
          <w:highlight w:val="green"/>
        </w:rPr>
        <w:t>specified</w:t>
      </w:r>
      <w:r w:rsidRPr="00910DED">
        <w:rPr>
          <w:rFonts w:ascii="Arial"/>
          <w:b/>
          <w:i/>
          <w:spacing w:val="20"/>
          <w:highlight w:val="green"/>
        </w:rPr>
        <w:t xml:space="preserve"> </w:t>
      </w:r>
      <w:r w:rsidRPr="00910DED">
        <w:rPr>
          <w:rFonts w:ascii="Arial"/>
          <w:b/>
          <w:i/>
          <w:spacing w:val="-1"/>
          <w:highlight w:val="green"/>
        </w:rPr>
        <w:t>above</w:t>
      </w:r>
      <w:r w:rsidRPr="00910DED">
        <w:rPr>
          <w:rFonts w:ascii="Arial"/>
          <w:b/>
          <w:i/>
          <w:spacing w:val="20"/>
          <w:highlight w:val="green"/>
        </w:rPr>
        <w:t xml:space="preserve"> </w:t>
      </w:r>
      <w:r w:rsidRPr="00910DED">
        <w:rPr>
          <w:rFonts w:ascii="Arial"/>
          <w:b/>
          <w:i/>
          <w:spacing w:val="-1"/>
          <w:highlight w:val="green"/>
        </w:rPr>
        <w:t>for</w:t>
      </w:r>
      <w:r w:rsidRPr="00910DED">
        <w:rPr>
          <w:rFonts w:ascii="Arial"/>
          <w:b/>
          <w:i/>
          <w:spacing w:val="18"/>
          <w:highlight w:val="green"/>
        </w:rPr>
        <w:t xml:space="preserve"> </w:t>
      </w:r>
      <w:r w:rsidRPr="00910DED">
        <w:rPr>
          <w:rFonts w:ascii="Arial"/>
          <w:b/>
          <w:i/>
          <w:spacing w:val="-1"/>
          <w:highlight w:val="green"/>
        </w:rPr>
        <w:t>the</w:t>
      </w:r>
      <w:r w:rsidRPr="00910DED">
        <w:rPr>
          <w:rFonts w:ascii="Arial"/>
          <w:b/>
          <w:i/>
          <w:spacing w:val="19"/>
          <w:highlight w:val="green"/>
        </w:rPr>
        <w:t xml:space="preserve"> </w:t>
      </w:r>
      <w:r w:rsidRPr="00910DED">
        <w:rPr>
          <w:rFonts w:ascii="Arial"/>
          <w:b/>
          <w:i/>
          <w:spacing w:val="-2"/>
          <w:highlight w:val="green"/>
        </w:rPr>
        <w:t>Delay</w:t>
      </w:r>
      <w:r w:rsidRPr="00910DED">
        <w:rPr>
          <w:rFonts w:ascii="Arial"/>
          <w:b/>
          <w:i/>
          <w:spacing w:val="20"/>
          <w:highlight w:val="green"/>
        </w:rPr>
        <w:t xml:space="preserve"> </w:t>
      </w:r>
      <w:r w:rsidRPr="00910DED">
        <w:rPr>
          <w:rFonts w:ascii="Arial"/>
          <w:b/>
          <w:i/>
          <w:spacing w:val="-1"/>
          <w:highlight w:val="green"/>
        </w:rPr>
        <w:t>Period</w:t>
      </w:r>
      <w:r w:rsidRPr="00910DED">
        <w:rPr>
          <w:rFonts w:ascii="Arial"/>
          <w:b/>
          <w:i/>
          <w:spacing w:val="19"/>
          <w:highlight w:val="green"/>
        </w:rPr>
        <w:t xml:space="preserve"> </w:t>
      </w:r>
      <w:r w:rsidRPr="00910DED">
        <w:rPr>
          <w:rFonts w:ascii="Arial"/>
          <w:b/>
          <w:i/>
          <w:spacing w:val="-1"/>
          <w:highlight w:val="green"/>
        </w:rPr>
        <w:t>Limit.</w:t>
      </w:r>
      <w:r w:rsidRPr="00910DED">
        <w:rPr>
          <w:rFonts w:ascii="Arial"/>
          <w:b/>
          <w:i/>
          <w:spacing w:val="21"/>
          <w:highlight w:val="green"/>
        </w:rPr>
        <w:t xml:space="preserve"> </w:t>
      </w:r>
      <w:r w:rsidRPr="00910DED">
        <w:rPr>
          <w:rFonts w:ascii="Arial"/>
          <w:b/>
          <w:i/>
          <w:spacing w:val="-2"/>
          <w:highlight w:val="green"/>
        </w:rPr>
        <w:t>Please</w:t>
      </w:r>
      <w:r w:rsidRPr="00910DED">
        <w:rPr>
          <w:rFonts w:ascii="Arial"/>
          <w:b/>
          <w:i/>
          <w:spacing w:val="20"/>
          <w:highlight w:val="green"/>
        </w:rPr>
        <w:t xml:space="preserve"> </w:t>
      </w:r>
      <w:r w:rsidRPr="00910DED">
        <w:rPr>
          <w:rFonts w:ascii="Arial"/>
          <w:b/>
          <w:i/>
          <w:spacing w:val="-1"/>
          <w:highlight w:val="green"/>
        </w:rPr>
        <w:t>insert</w:t>
      </w:r>
      <w:r w:rsidRPr="00910DED">
        <w:rPr>
          <w:rFonts w:ascii="Arial"/>
          <w:b/>
          <w:i/>
          <w:spacing w:val="61"/>
          <w:highlight w:val="green"/>
        </w:rPr>
        <w:t xml:space="preserve"> </w:t>
      </w:r>
      <w:r w:rsidRPr="00910DED">
        <w:rPr>
          <w:rFonts w:ascii="Arial"/>
          <w:b/>
          <w:i/>
          <w:spacing w:val="-1"/>
          <w:highlight w:val="green"/>
        </w:rPr>
        <w:t>the</w:t>
      </w:r>
      <w:r w:rsidRPr="00910DED">
        <w:rPr>
          <w:rFonts w:ascii="Arial"/>
          <w:b/>
          <w:i/>
          <w:highlight w:val="green"/>
        </w:rPr>
        <w:t xml:space="preserve"> </w:t>
      </w:r>
      <w:r w:rsidRPr="00910DED">
        <w:rPr>
          <w:rFonts w:ascii="Arial"/>
          <w:b/>
          <w:i/>
          <w:spacing w:val="-1"/>
          <w:highlight w:val="green"/>
        </w:rPr>
        <w:t>desired</w:t>
      </w:r>
      <w:r w:rsidRPr="00910DED">
        <w:rPr>
          <w:rFonts w:ascii="Arial"/>
          <w:b/>
          <w:i/>
          <w:highlight w:val="green"/>
        </w:rPr>
        <w:t xml:space="preserve"> </w:t>
      </w:r>
      <w:r w:rsidRPr="00910DED">
        <w:rPr>
          <w:rFonts w:ascii="Arial"/>
          <w:b/>
          <w:i/>
          <w:spacing w:val="-1"/>
          <w:highlight w:val="green"/>
        </w:rPr>
        <w:t>number of</w:t>
      </w:r>
      <w:r w:rsidRPr="00910DED">
        <w:rPr>
          <w:rFonts w:ascii="Arial"/>
          <w:b/>
          <w:i/>
          <w:spacing w:val="-3"/>
          <w:highlight w:val="green"/>
        </w:rPr>
        <w:t xml:space="preserve"> </w:t>
      </w:r>
      <w:r w:rsidRPr="00910DED">
        <w:rPr>
          <w:rFonts w:ascii="Arial"/>
          <w:b/>
          <w:i/>
          <w:spacing w:val="-2"/>
          <w:highlight w:val="green"/>
        </w:rPr>
        <w:t>days]</w:t>
      </w:r>
    </w:p>
    <w:p w:rsidR="008918FA" w:rsidRPr="00910DED" w:rsidRDefault="008918FA" w:rsidP="008918FA">
      <w:pPr>
        <w:spacing w:before="119"/>
        <w:ind w:left="1352" w:right="271"/>
        <w:jc w:val="both"/>
        <w:rPr>
          <w:rFonts w:ascii="Arial" w:eastAsia="Arial" w:hAnsi="Arial" w:cs="Arial"/>
          <w:highlight w:val="green"/>
        </w:rPr>
      </w:pPr>
      <w:r w:rsidRPr="00910DED">
        <w:rPr>
          <w:rFonts w:ascii="Arial" w:eastAsia="Arial" w:hAnsi="Arial" w:cs="Arial"/>
          <w:b/>
          <w:bCs/>
          <w:i/>
          <w:spacing w:val="-1"/>
          <w:highlight w:val="green"/>
        </w:rPr>
        <w:t>[Guidance</w:t>
      </w:r>
      <w:r w:rsidRPr="00910DED">
        <w:rPr>
          <w:rFonts w:ascii="Arial" w:eastAsia="Arial" w:hAnsi="Arial" w:cs="Arial"/>
          <w:b/>
          <w:bCs/>
          <w:i/>
          <w:spacing w:val="51"/>
          <w:highlight w:val="green"/>
        </w:rPr>
        <w:t xml:space="preserve"> </w:t>
      </w:r>
      <w:r w:rsidRPr="00910DED">
        <w:rPr>
          <w:rFonts w:ascii="Arial" w:eastAsia="Arial" w:hAnsi="Arial" w:cs="Arial"/>
          <w:b/>
          <w:bCs/>
          <w:i/>
          <w:spacing w:val="-1"/>
          <w:highlight w:val="green"/>
        </w:rPr>
        <w:t>Note:</w:t>
      </w:r>
      <w:r w:rsidRPr="00910DED">
        <w:rPr>
          <w:rFonts w:ascii="Arial" w:eastAsia="Arial" w:hAnsi="Arial" w:cs="Arial"/>
          <w:b/>
          <w:bCs/>
          <w:i/>
          <w:spacing w:val="52"/>
          <w:highlight w:val="green"/>
        </w:rPr>
        <w:t xml:space="preserve"> </w:t>
      </w:r>
      <w:r w:rsidRPr="00910DED">
        <w:rPr>
          <w:rFonts w:ascii="Arial" w:eastAsia="Arial" w:hAnsi="Arial" w:cs="Arial"/>
          <w:b/>
          <w:bCs/>
          <w:i/>
          <w:spacing w:val="-1"/>
          <w:highlight w:val="green"/>
        </w:rPr>
        <w:t>Consider</w:t>
      </w:r>
      <w:r w:rsidRPr="00910DED">
        <w:rPr>
          <w:rFonts w:ascii="Arial" w:eastAsia="Arial" w:hAnsi="Arial" w:cs="Arial"/>
          <w:b/>
          <w:bCs/>
          <w:i/>
          <w:spacing w:val="51"/>
          <w:highlight w:val="green"/>
        </w:rPr>
        <w:t xml:space="preserve"> </w:t>
      </w:r>
      <w:r w:rsidRPr="00910DED">
        <w:rPr>
          <w:rFonts w:ascii="Arial" w:eastAsia="Arial" w:hAnsi="Arial" w:cs="Arial"/>
          <w:b/>
          <w:bCs/>
          <w:i/>
          <w:spacing w:val="-1"/>
          <w:highlight w:val="green"/>
        </w:rPr>
        <w:t>what</w:t>
      </w:r>
      <w:r w:rsidRPr="00910DED">
        <w:rPr>
          <w:rFonts w:ascii="Arial" w:eastAsia="Arial" w:hAnsi="Arial" w:cs="Arial"/>
          <w:b/>
          <w:bCs/>
          <w:i/>
          <w:spacing w:val="52"/>
          <w:highlight w:val="green"/>
        </w:rPr>
        <w:t xml:space="preserve"> </w:t>
      </w:r>
      <w:r w:rsidRPr="00910DED">
        <w:rPr>
          <w:rFonts w:ascii="Arial" w:eastAsia="Arial" w:hAnsi="Arial" w:cs="Arial"/>
          <w:b/>
          <w:bCs/>
          <w:i/>
          <w:spacing w:val="-1"/>
          <w:highlight w:val="green"/>
        </w:rPr>
        <w:t>Milestones</w:t>
      </w:r>
      <w:r w:rsidRPr="00910DED">
        <w:rPr>
          <w:rFonts w:ascii="Arial" w:eastAsia="Arial" w:hAnsi="Arial" w:cs="Arial"/>
          <w:b/>
          <w:bCs/>
          <w:i/>
          <w:spacing w:val="48"/>
          <w:highlight w:val="green"/>
        </w:rPr>
        <w:t xml:space="preserve"> </w:t>
      </w:r>
      <w:r w:rsidRPr="00910DED">
        <w:rPr>
          <w:rFonts w:ascii="Arial" w:eastAsia="Arial" w:hAnsi="Arial" w:cs="Arial"/>
          <w:b/>
          <w:bCs/>
          <w:i/>
          <w:spacing w:val="-1"/>
          <w:highlight w:val="green"/>
        </w:rPr>
        <w:t>should</w:t>
      </w:r>
      <w:r w:rsidRPr="00910DED">
        <w:rPr>
          <w:rFonts w:ascii="Arial" w:eastAsia="Arial" w:hAnsi="Arial" w:cs="Arial"/>
          <w:b/>
          <w:bCs/>
          <w:i/>
          <w:spacing w:val="51"/>
          <w:highlight w:val="green"/>
        </w:rPr>
        <w:t xml:space="preserve"> </w:t>
      </w:r>
      <w:r w:rsidRPr="00910DED">
        <w:rPr>
          <w:rFonts w:ascii="Arial" w:eastAsia="Arial" w:hAnsi="Arial" w:cs="Arial"/>
          <w:b/>
          <w:bCs/>
          <w:i/>
          <w:spacing w:val="-1"/>
          <w:highlight w:val="green"/>
        </w:rPr>
        <w:t>be</w:t>
      </w:r>
      <w:r w:rsidRPr="00910DED">
        <w:rPr>
          <w:rFonts w:ascii="Arial" w:eastAsia="Arial" w:hAnsi="Arial" w:cs="Arial"/>
          <w:b/>
          <w:bCs/>
          <w:i/>
          <w:spacing w:val="52"/>
          <w:highlight w:val="green"/>
        </w:rPr>
        <w:t xml:space="preserve"> </w:t>
      </w:r>
      <w:r w:rsidRPr="00910DED">
        <w:rPr>
          <w:rFonts w:ascii="Arial" w:eastAsia="Arial" w:hAnsi="Arial" w:cs="Arial"/>
          <w:b/>
          <w:bCs/>
          <w:i/>
          <w:spacing w:val="-1"/>
          <w:highlight w:val="green"/>
        </w:rPr>
        <w:t>inserted,</w:t>
      </w:r>
      <w:r w:rsidRPr="00910DED">
        <w:rPr>
          <w:rFonts w:ascii="Arial" w:eastAsia="Arial" w:hAnsi="Arial" w:cs="Arial"/>
          <w:b/>
          <w:bCs/>
          <w:i/>
          <w:spacing w:val="52"/>
          <w:highlight w:val="green"/>
        </w:rPr>
        <w:t xml:space="preserve"> </w:t>
      </w:r>
      <w:r w:rsidRPr="00910DED">
        <w:rPr>
          <w:rFonts w:ascii="Arial" w:eastAsia="Arial" w:hAnsi="Arial" w:cs="Arial"/>
          <w:b/>
          <w:bCs/>
          <w:i/>
          <w:spacing w:val="-1"/>
          <w:highlight w:val="green"/>
        </w:rPr>
        <w:t>together</w:t>
      </w:r>
      <w:r w:rsidRPr="00910DED">
        <w:rPr>
          <w:rFonts w:ascii="Arial" w:eastAsia="Arial" w:hAnsi="Arial" w:cs="Arial"/>
          <w:b/>
          <w:bCs/>
          <w:i/>
          <w:spacing w:val="42"/>
          <w:highlight w:val="green"/>
        </w:rPr>
        <w:t xml:space="preserve"> </w:t>
      </w:r>
      <w:r w:rsidRPr="00910DED">
        <w:rPr>
          <w:rFonts w:ascii="Arial" w:eastAsia="Arial" w:hAnsi="Arial" w:cs="Arial"/>
          <w:b/>
          <w:bCs/>
          <w:i/>
          <w:spacing w:val="-1"/>
          <w:highlight w:val="green"/>
        </w:rPr>
        <w:t>with</w:t>
      </w:r>
      <w:r w:rsidRPr="00910DED">
        <w:rPr>
          <w:rFonts w:ascii="Arial" w:eastAsia="Arial" w:hAnsi="Arial" w:cs="Arial"/>
          <w:b/>
          <w:bCs/>
          <w:i/>
          <w:spacing w:val="48"/>
          <w:highlight w:val="green"/>
        </w:rPr>
        <w:t xml:space="preserve"> </w:t>
      </w:r>
      <w:r w:rsidRPr="00910DED">
        <w:rPr>
          <w:rFonts w:ascii="Arial" w:eastAsia="Arial" w:hAnsi="Arial" w:cs="Arial"/>
          <w:b/>
          <w:bCs/>
          <w:i/>
          <w:spacing w:val="-1"/>
          <w:highlight w:val="green"/>
        </w:rPr>
        <w:t>associated</w:t>
      </w:r>
      <w:r w:rsidRPr="00910DED">
        <w:rPr>
          <w:rFonts w:ascii="Arial" w:eastAsia="Arial" w:hAnsi="Arial" w:cs="Arial"/>
          <w:b/>
          <w:bCs/>
          <w:i/>
          <w:spacing w:val="48"/>
          <w:highlight w:val="green"/>
        </w:rPr>
        <w:t xml:space="preserve"> </w:t>
      </w:r>
      <w:r w:rsidRPr="00910DED">
        <w:rPr>
          <w:rFonts w:ascii="Arial" w:eastAsia="Arial" w:hAnsi="Arial" w:cs="Arial"/>
          <w:b/>
          <w:bCs/>
          <w:i/>
          <w:spacing w:val="-1"/>
          <w:highlight w:val="green"/>
        </w:rPr>
        <w:t>Deliverables</w:t>
      </w:r>
      <w:r w:rsidRPr="00910DED">
        <w:rPr>
          <w:rFonts w:ascii="Arial" w:eastAsia="Arial" w:hAnsi="Arial" w:cs="Arial"/>
          <w:b/>
          <w:bCs/>
          <w:i/>
          <w:spacing w:val="48"/>
          <w:highlight w:val="green"/>
        </w:rPr>
        <w:t xml:space="preserve"> </w:t>
      </w:r>
      <w:r w:rsidRPr="00910DED">
        <w:rPr>
          <w:rFonts w:ascii="Arial" w:eastAsia="Arial" w:hAnsi="Arial" w:cs="Arial"/>
          <w:b/>
          <w:bCs/>
          <w:i/>
          <w:spacing w:val="-1"/>
          <w:highlight w:val="green"/>
        </w:rPr>
        <w:t>and</w:t>
      </w:r>
      <w:r w:rsidRPr="00910DED">
        <w:rPr>
          <w:rFonts w:ascii="Arial" w:eastAsia="Arial" w:hAnsi="Arial" w:cs="Arial"/>
          <w:b/>
          <w:bCs/>
          <w:i/>
          <w:spacing w:val="48"/>
          <w:highlight w:val="green"/>
        </w:rPr>
        <w:t xml:space="preserve"> </w:t>
      </w:r>
      <w:r w:rsidRPr="00910DED">
        <w:rPr>
          <w:rFonts w:ascii="Arial" w:eastAsia="Arial" w:hAnsi="Arial" w:cs="Arial"/>
          <w:b/>
          <w:bCs/>
          <w:i/>
          <w:spacing w:val="-1"/>
          <w:highlight w:val="green"/>
        </w:rPr>
        <w:t>Milestone</w:t>
      </w:r>
      <w:r w:rsidRPr="00910DED">
        <w:rPr>
          <w:rFonts w:ascii="Arial" w:eastAsia="Arial" w:hAnsi="Arial" w:cs="Arial"/>
          <w:b/>
          <w:bCs/>
          <w:i/>
          <w:spacing w:val="46"/>
          <w:highlight w:val="green"/>
        </w:rPr>
        <w:t xml:space="preserve"> </w:t>
      </w:r>
      <w:r w:rsidRPr="00910DED">
        <w:rPr>
          <w:rFonts w:ascii="Arial" w:eastAsia="Arial" w:hAnsi="Arial" w:cs="Arial"/>
          <w:b/>
          <w:bCs/>
          <w:i/>
          <w:spacing w:val="-1"/>
          <w:highlight w:val="green"/>
        </w:rPr>
        <w:t>Dates.</w:t>
      </w:r>
      <w:r w:rsidRPr="00910DED">
        <w:rPr>
          <w:rFonts w:ascii="Arial" w:eastAsia="Arial" w:hAnsi="Arial" w:cs="Arial"/>
          <w:b/>
          <w:bCs/>
          <w:i/>
          <w:spacing w:val="50"/>
          <w:highlight w:val="green"/>
        </w:rPr>
        <w:t xml:space="preserve"> </w:t>
      </w:r>
      <w:r w:rsidRPr="00910DED">
        <w:rPr>
          <w:rFonts w:ascii="Arial" w:eastAsia="Arial" w:hAnsi="Arial" w:cs="Arial"/>
          <w:b/>
          <w:bCs/>
          <w:i/>
          <w:spacing w:val="-1"/>
          <w:highlight w:val="green"/>
        </w:rPr>
        <w:t>See</w:t>
      </w:r>
      <w:r w:rsidRPr="00910DED">
        <w:rPr>
          <w:rFonts w:ascii="Arial" w:eastAsia="Arial" w:hAnsi="Arial" w:cs="Arial"/>
          <w:b/>
          <w:bCs/>
          <w:i/>
          <w:spacing w:val="49"/>
          <w:highlight w:val="green"/>
        </w:rPr>
        <w:t xml:space="preserve"> </w:t>
      </w:r>
      <w:r w:rsidRPr="00910DED">
        <w:rPr>
          <w:rFonts w:ascii="Arial" w:eastAsia="Arial" w:hAnsi="Arial" w:cs="Arial"/>
          <w:b/>
          <w:bCs/>
          <w:i/>
          <w:spacing w:val="-1"/>
          <w:highlight w:val="green"/>
        </w:rPr>
        <w:t>also</w:t>
      </w:r>
      <w:r w:rsidRPr="00910DED">
        <w:rPr>
          <w:rFonts w:ascii="Arial" w:eastAsia="Arial" w:hAnsi="Arial" w:cs="Arial"/>
          <w:b/>
          <w:bCs/>
          <w:i/>
          <w:spacing w:val="48"/>
          <w:highlight w:val="green"/>
        </w:rPr>
        <w:t xml:space="preserve"> </w:t>
      </w:r>
      <w:r w:rsidRPr="00910DED">
        <w:rPr>
          <w:rFonts w:ascii="Arial" w:eastAsia="Arial" w:hAnsi="Arial" w:cs="Arial"/>
          <w:b/>
          <w:bCs/>
          <w:i/>
          <w:spacing w:val="-1"/>
          <w:highlight w:val="green"/>
        </w:rPr>
        <w:t>Clauses</w:t>
      </w:r>
      <w:r w:rsidRPr="00910DED">
        <w:rPr>
          <w:rFonts w:ascii="Arial" w:eastAsia="Arial" w:hAnsi="Arial" w:cs="Arial"/>
          <w:b/>
          <w:bCs/>
          <w:i/>
          <w:spacing w:val="49"/>
          <w:highlight w:val="green"/>
        </w:rPr>
        <w:t xml:space="preserve"> </w:t>
      </w:r>
      <w:hyperlink w:anchor="_bookmark71" w:history="1">
        <w:r w:rsidRPr="00910DED">
          <w:rPr>
            <w:rFonts w:ascii="Arial" w:eastAsia="Arial" w:hAnsi="Arial" w:cs="Arial"/>
            <w:b/>
            <w:bCs/>
            <w:i/>
            <w:highlight w:val="green"/>
          </w:rPr>
          <w:t>8.1</w:t>
        </w:r>
      </w:hyperlink>
      <w:r w:rsidRPr="00910DED">
        <w:rPr>
          <w:rFonts w:ascii="Arial" w:eastAsia="Arial" w:hAnsi="Arial" w:cs="Arial"/>
          <w:b/>
          <w:bCs/>
          <w:i/>
          <w:spacing w:val="33"/>
          <w:highlight w:val="green"/>
        </w:rPr>
        <w:t xml:space="preserve"> </w:t>
      </w:r>
      <w:r w:rsidRPr="00910DED">
        <w:rPr>
          <w:rFonts w:ascii="Arial" w:eastAsia="Arial" w:hAnsi="Arial" w:cs="Arial"/>
          <w:b/>
          <w:bCs/>
          <w:i/>
          <w:spacing w:val="-1"/>
          <w:highlight w:val="green"/>
        </w:rPr>
        <w:t>and/or</w:t>
      </w:r>
      <w:r w:rsidRPr="00910DED">
        <w:rPr>
          <w:rFonts w:ascii="Arial" w:eastAsia="Arial" w:hAnsi="Arial" w:cs="Arial"/>
          <w:b/>
          <w:bCs/>
          <w:i/>
          <w:spacing w:val="6"/>
          <w:highlight w:val="green"/>
        </w:rPr>
        <w:t xml:space="preserve"> </w:t>
      </w:r>
      <w:hyperlink w:anchor="_bookmark77" w:history="1">
        <w:r w:rsidRPr="00910DED">
          <w:rPr>
            <w:rFonts w:ascii="Arial" w:eastAsia="Arial" w:hAnsi="Arial" w:cs="Arial"/>
            <w:b/>
            <w:bCs/>
            <w:i/>
            <w:highlight w:val="green"/>
          </w:rPr>
          <w:t>9.1</w:t>
        </w:r>
      </w:hyperlink>
      <w:r w:rsidRPr="00910DED">
        <w:rPr>
          <w:rFonts w:ascii="Arial" w:eastAsia="Arial" w:hAnsi="Arial" w:cs="Arial"/>
          <w:b/>
          <w:bCs/>
          <w:i/>
          <w:spacing w:val="5"/>
          <w:highlight w:val="green"/>
        </w:rPr>
        <w:t xml:space="preserve"> </w:t>
      </w:r>
      <w:r w:rsidRPr="00910DED">
        <w:rPr>
          <w:rFonts w:ascii="Arial" w:eastAsia="Arial" w:hAnsi="Arial" w:cs="Arial"/>
          <w:b/>
          <w:bCs/>
          <w:i/>
          <w:spacing w:val="-1"/>
          <w:highlight w:val="green"/>
        </w:rPr>
        <w:t>of</w:t>
      </w:r>
      <w:r w:rsidRPr="00910DED">
        <w:rPr>
          <w:rFonts w:ascii="Arial" w:eastAsia="Arial" w:hAnsi="Arial" w:cs="Arial"/>
          <w:b/>
          <w:bCs/>
          <w:i/>
          <w:spacing w:val="4"/>
          <w:highlight w:val="green"/>
        </w:rPr>
        <w:t xml:space="preserve"> </w:t>
      </w:r>
      <w:r w:rsidRPr="00910DED">
        <w:rPr>
          <w:rFonts w:ascii="Arial" w:eastAsia="Arial" w:hAnsi="Arial" w:cs="Arial"/>
          <w:b/>
          <w:bCs/>
          <w:i/>
          <w:spacing w:val="-1"/>
          <w:highlight w:val="green"/>
        </w:rPr>
        <w:t>the</w:t>
      </w:r>
      <w:r w:rsidRPr="00910DED">
        <w:rPr>
          <w:rFonts w:ascii="Arial" w:eastAsia="Arial" w:hAnsi="Arial" w:cs="Arial"/>
          <w:b/>
          <w:bCs/>
          <w:i/>
          <w:spacing w:val="5"/>
          <w:highlight w:val="green"/>
        </w:rPr>
        <w:t xml:space="preserve"> </w:t>
      </w:r>
      <w:r w:rsidRPr="00910DED">
        <w:rPr>
          <w:rFonts w:ascii="Arial" w:eastAsia="Arial" w:hAnsi="Arial" w:cs="Arial"/>
          <w:b/>
          <w:bCs/>
          <w:i/>
          <w:spacing w:val="-1"/>
          <w:highlight w:val="green"/>
        </w:rPr>
        <w:t>Template</w:t>
      </w:r>
      <w:r w:rsidRPr="00910DED">
        <w:rPr>
          <w:rFonts w:ascii="Arial" w:eastAsia="Arial" w:hAnsi="Arial" w:cs="Arial"/>
          <w:b/>
          <w:bCs/>
          <w:i/>
          <w:spacing w:val="5"/>
          <w:highlight w:val="green"/>
        </w:rPr>
        <w:t xml:space="preserve"> </w:t>
      </w:r>
      <w:r w:rsidRPr="00910DED">
        <w:rPr>
          <w:rFonts w:ascii="Arial" w:eastAsia="Arial" w:hAnsi="Arial" w:cs="Arial"/>
          <w:b/>
          <w:bCs/>
          <w:i/>
          <w:spacing w:val="-1"/>
          <w:highlight w:val="green"/>
        </w:rPr>
        <w:t>Call</w:t>
      </w:r>
      <w:r w:rsidRPr="00910DED">
        <w:rPr>
          <w:rFonts w:ascii="Arial" w:eastAsia="Arial" w:hAnsi="Arial" w:cs="Arial"/>
          <w:b/>
          <w:bCs/>
          <w:i/>
          <w:spacing w:val="4"/>
          <w:highlight w:val="green"/>
        </w:rPr>
        <w:t xml:space="preserve"> </w:t>
      </w:r>
      <w:r w:rsidRPr="00910DED">
        <w:rPr>
          <w:rFonts w:ascii="Arial" w:eastAsia="Arial" w:hAnsi="Arial" w:cs="Arial"/>
          <w:b/>
          <w:bCs/>
          <w:i/>
          <w:spacing w:val="-1"/>
          <w:highlight w:val="green"/>
        </w:rPr>
        <w:t>Off</w:t>
      </w:r>
      <w:r w:rsidRPr="00910DED">
        <w:rPr>
          <w:rFonts w:ascii="Arial" w:eastAsia="Arial" w:hAnsi="Arial" w:cs="Arial"/>
          <w:b/>
          <w:bCs/>
          <w:i/>
          <w:spacing w:val="6"/>
          <w:highlight w:val="green"/>
        </w:rPr>
        <w:t xml:space="preserve"> </w:t>
      </w:r>
      <w:r w:rsidRPr="00910DED">
        <w:rPr>
          <w:rFonts w:ascii="Arial" w:eastAsia="Arial" w:hAnsi="Arial" w:cs="Arial"/>
          <w:b/>
          <w:bCs/>
          <w:i/>
          <w:spacing w:val="-1"/>
          <w:highlight w:val="green"/>
        </w:rPr>
        <w:t>Terms</w:t>
      </w:r>
      <w:r w:rsidRPr="00910DED">
        <w:rPr>
          <w:rFonts w:ascii="Arial" w:eastAsia="Arial" w:hAnsi="Arial" w:cs="Arial"/>
          <w:b/>
          <w:bCs/>
          <w:i/>
          <w:spacing w:val="3"/>
          <w:highlight w:val="green"/>
        </w:rPr>
        <w:t xml:space="preserve"> </w:t>
      </w:r>
      <w:r w:rsidRPr="00910DED">
        <w:rPr>
          <w:rFonts w:ascii="Arial" w:eastAsia="Arial" w:hAnsi="Arial" w:cs="Arial"/>
          <w:b/>
          <w:bCs/>
          <w:i/>
          <w:highlight w:val="green"/>
        </w:rPr>
        <w:t>in</w:t>
      </w:r>
      <w:r w:rsidRPr="00910DED">
        <w:rPr>
          <w:rFonts w:ascii="Arial" w:eastAsia="Arial" w:hAnsi="Arial" w:cs="Arial"/>
          <w:b/>
          <w:bCs/>
          <w:i/>
          <w:spacing w:val="5"/>
          <w:highlight w:val="green"/>
        </w:rPr>
        <w:t xml:space="preserve"> </w:t>
      </w:r>
      <w:r w:rsidRPr="00910DED">
        <w:rPr>
          <w:rFonts w:ascii="Arial" w:eastAsia="Arial" w:hAnsi="Arial" w:cs="Arial"/>
          <w:b/>
          <w:bCs/>
          <w:i/>
          <w:spacing w:val="-1"/>
          <w:highlight w:val="green"/>
        </w:rPr>
        <w:t>relation</w:t>
      </w:r>
      <w:r w:rsidRPr="00910DED">
        <w:rPr>
          <w:rFonts w:ascii="Arial" w:eastAsia="Arial" w:hAnsi="Arial" w:cs="Arial"/>
          <w:b/>
          <w:bCs/>
          <w:i/>
          <w:spacing w:val="5"/>
          <w:highlight w:val="green"/>
        </w:rPr>
        <w:t xml:space="preserve"> </w:t>
      </w:r>
      <w:r w:rsidRPr="00910DED">
        <w:rPr>
          <w:rFonts w:ascii="Arial" w:eastAsia="Arial" w:hAnsi="Arial" w:cs="Arial"/>
          <w:b/>
          <w:bCs/>
          <w:i/>
          <w:highlight w:val="green"/>
        </w:rPr>
        <w:t>to</w:t>
      </w:r>
      <w:r w:rsidRPr="00910DED">
        <w:rPr>
          <w:rFonts w:ascii="Arial" w:eastAsia="Arial" w:hAnsi="Arial" w:cs="Arial"/>
          <w:b/>
          <w:bCs/>
          <w:i/>
          <w:spacing w:val="5"/>
          <w:highlight w:val="green"/>
        </w:rPr>
        <w:t xml:space="preserve"> </w:t>
      </w:r>
      <w:r w:rsidRPr="00910DED">
        <w:rPr>
          <w:rFonts w:ascii="Arial" w:eastAsia="Arial" w:hAnsi="Arial" w:cs="Arial"/>
          <w:b/>
          <w:bCs/>
          <w:i/>
          <w:spacing w:val="-1"/>
          <w:highlight w:val="green"/>
        </w:rPr>
        <w:t>time</w:t>
      </w:r>
      <w:r w:rsidRPr="00910DED">
        <w:rPr>
          <w:rFonts w:ascii="Arial" w:eastAsia="Arial" w:hAnsi="Arial" w:cs="Arial"/>
          <w:b/>
          <w:bCs/>
          <w:i/>
          <w:spacing w:val="5"/>
          <w:highlight w:val="green"/>
        </w:rPr>
        <w:t xml:space="preserve"> </w:t>
      </w:r>
      <w:r w:rsidRPr="00910DED">
        <w:rPr>
          <w:rFonts w:ascii="Arial" w:eastAsia="Arial" w:hAnsi="Arial" w:cs="Arial"/>
          <w:b/>
          <w:bCs/>
          <w:i/>
          <w:spacing w:val="-1"/>
          <w:highlight w:val="green"/>
        </w:rPr>
        <w:t>of</w:t>
      </w:r>
      <w:r w:rsidRPr="00910DED">
        <w:rPr>
          <w:rFonts w:ascii="Arial" w:eastAsia="Arial" w:hAnsi="Arial" w:cs="Arial"/>
          <w:b/>
          <w:bCs/>
          <w:i/>
          <w:spacing w:val="6"/>
          <w:highlight w:val="green"/>
        </w:rPr>
        <w:t xml:space="preserve"> </w:t>
      </w:r>
      <w:r w:rsidRPr="00910DED">
        <w:rPr>
          <w:rFonts w:ascii="Arial" w:eastAsia="Arial" w:hAnsi="Arial" w:cs="Arial"/>
          <w:b/>
          <w:bCs/>
          <w:i/>
          <w:spacing w:val="-1"/>
          <w:highlight w:val="green"/>
        </w:rPr>
        <w:t>Delivery</w:t>
      </w:r>
      <w:r w:rsidRPr="00910DED">
        <w:rPr>
          <w:rFonts w:ascii="Arial" w:eastAsia="Arial" w:hAnsi="Arial" w:cs="Arial"/>
          <w:b/>
          <w:bCs/>
          <w:i/>
          <w:spacing w:val="5"/>
          <w:highlight w:val="green"/>
        </w:rPr>
        <w:t xml:space="preserve"> </w:t>
      </w:r>
      <w:r w:rsidRPr="00910DED">
        <w:rPr>
          <w:rFonts w:ascii="Arial" w:eastAsia="Arial" w:hAnsi="Arial" w:cs="Arial"/>
          <w:b/>
          <w:bCs/>
          <w:i/>
          <w:spacing w:val="-1"/>
          <w:highlight w:val="green"/>
        </w:rPr>
        <w:t>and</w:t>
      </w:r>
      <w:r w:rsidRPr="00910DED">
        <w:rPr>
          <w:rFonts w:ascii="Arial" w:eastAsia="Arial" w:hAnsi="Arial" w:cs="Arial"/>
          <w:b/>
          <w:bCs/>
          <w:i/>
          <w:spacing w:val="42"/>
          <w:highlight w:val="green"/>
        </w:rPr>
        <w:t xml:space="preserve"> </w:t>
      </w:r>
      <w:r w:rsidRPr="00910DED">
        <w:rPr>
          <w:rFonts w:ascii="Arial" w:eastAsia="Arial" w:hAnsi="Arial" w:cs="Arial"/>
          <w:b/>
          <w:bCs/>
          <w:i/>
          <w:spacing w:val="-1"/>
          <w:highlight w:val="green"/>
        </w:rPr>
        <w:t>consider</w:t>
      </w:r>
      <w:r w:rsidRPr="00910DED">
        <w:rPr>
          <w:rFonts w:ascii="Arial" w:eastAsia="Arial" w:hAnsi="Arial" w:cs="Arial"/>
          <w:b/>
          <w:bCs/>
          <w:i/>
          <w:spacing w:val="10"/>
          <w:highlight w:val="green"/>
        </w:rPr>
        <w:t xml:space="preserve"> </w:t>
      </w:r>
      <w:r w:rsidRPr="00910DED">
        <w:rPr>
          <w:rFonts w:ascii="Arial" w:eastAsia="Arial" w:hAnsi="Arial" w:cs="Arial"/>
          <w:b/>
          <w:bCs/>
          <w:i/>
          <w:highlight w:val="green"/>
        </w:rPr>
        <w:t>if</w:t>
      </w:r>
      <w:r w:rsidRPr="00910DED">
        <w:rPr>
          <w:rFonts w:ascii="Arial" w:eastAsia="Arial" w:hAnsi="Arial" w:cs="Arial"/>
          <w:b/>
          <w:bCs/>
          <w:i/>
          <w:spacing w:val="10"/>
          <w:highlight w:val="green"/>
        </w:rPr>
        <w:t xml:space="preserve"> </w:t>
      </w:r>
      <w:r w:rsidRPr="00910DED">
        <w:rPr>
          <w:rFonts w:ascii="Arial" w:eastAsia="Arial" w:hAnsi="Arial" w:cs="Arial"/>
          <w:b/>
          <w:bCs/>
          <w:i/>
          <w:spacing w:val="-1"/>
          <w:highlight w:val="green"/>
        </w:rPr>
        <w:t>you</w:t>
      </w:r>
      <w:r w:rsidRPr="00910DED">
        <w:rPr>
          <w:rFonts w:ascii="Arial" w:eastAsia="Arial" w:hAnsi="Arial" w:cs="Arial"/>
          <w:b/>
          <w:bCs/>
          <w:i/>
          <w:spacing w:val="11"/>
          <w:highlight w:val="green"/>
        </w:rPr>
        <w:t xml:space="preserve"> </w:t>
      </w:r>
      <w:r w:rsidRPr="00910DED">
        <w:rPr>
          <w:rFonts w:ascii="Arial" w:eastAsia="Arial" w:hAnsi="Arial" w:cs="Arial"/>
          <w:b/>
          <w:bCs/>
          <w:i/>
          <w:spacing w:val="-1"/>
          <w:highlight w:val="green"/>
        </w:rPr>
        <w:t>should</w:t>
      </w:r>
      <w:r w:rsidRPr="00910DED">
        <w:rPr>
          <w:rFonts w:ascii="Arial" w:eastAsia="Arial" w:hAnsi="Arial" w:cs="Arial"/>
          <w:b/>
          <w:bCs/>
          <w:i/>
          <w:spacing w:val="11"/>
          <w:highlight w:val="green"/>
        </w:rPr>
        <w:t xml:space="preserve"> </w:t>
      </w:r>
      <w:r w:rsidRPr="00910DED">
        <w:rPr>
          <w:rFonts w:ascii="Arial" w:eastAsia="Arial" w:hAnsi="Arial" w:cs="Arial"/>
          <w:b/>
          <w:bCs/>
          <w:i/>
          <w:spacing w:val="-1"/>
          <w:highlight w:val="green"/>
        </w:rPr>
        <w:t>make</w:t>
      </w:r>
      <w:r w:rsidRPr="00910DED">
        <w:rPr>
          <w:rFonts w:ascii="Arial" w:eastAsia="Arial" w:hAnsi="Arial" w:cs="Arial"/>
          <w:b/>
          <w:bCs/>
          <w:i/>
          <w:spacing w:val="11"/>
          <w:highlight w:val="green"/>
        </w:rPr>
        <w:t xml:space="preserve"> </w:t>
      </w:r>
      <w:r w:rsidRPr="00910DED">
        <w:rPr>
          <w:rFonts w:ascii="Arial" w:eastAsia="Arial" w:hAnsi="Arial" w:cs="Arial"/>
          <w:b/>
          <w:bCs/>
          <w:i/>
          <w:spacing w:val="-1"/>
          <w:highlight w:val="green"/>
        </w:rPr>
        <w:t>'time</w:t>
      </w:r>
      <w:r w:rsidRPr="00910DED">
        <w:rPr>
          <w:rFonts w:ascii="Arial" w:eastAsia="Arial" w:hAnsi="Arial" w:cs="Arial"/>
          <w:b/>
          <w:bCs/>
          <w:i/>
          <w:spacing w:val="11"/>
          <w:highlight w:val="green"/>
        </w:rPr>
        <w:t xml:space="preserve"> </w:t>
      </w:r>
      <w:r w:rsidRPr="00910DED">
        <w:rPr>
          <w:rFonts w:ascii="Arial" w:eastAsia="Arial" w:hAnsi="Arial" w:cs="Arial"/>
          <w:b/>
          <w:bCs/>
          <w:i/>
          <w:spacing w:val="-2"/>
          <w:highlight w:val="green"/>
        </w:rPr>
        <w:t>of</w:t>
      </w:r>
      <w:r w:rsidRPr="00910DED">
        <w:rPr>
          <w:rFonts w:ascii="Arial" w:eastAsia="Arial" w:hAnsi="Arial" w:cs="Arial"/>
          <w:b/>
          <w:bCs/>
          <w:i/>
          <w:spacing w:val="13"/>
          <w:highlight w:val="green"/>
        </w:rPr>
        <w:t xml:space="preserve"> </w:t>
      </w:r>
      <w:r w:rsidRPr="00910DED">
        <w:rPr>
          <w:rFonts w:ascii="Arial" w:eastAsia="Arial" w:hAnsi="Arial" w:cs="Arial"/>
          <w:b/>
          <w:bCs/>
          <w:i/>
          <w:spacing w:val="-1"/>
          <w:highlight w:val="green"/>
        </w:rPr>
        <w:t>the</w:t>
      </w:r>
      <w:r w:rsidRPr="00910DED">
        <w:rPr>
          <w:rFonts w:ascii="Arial" w:eastAsia="Arial" w:hAnsi="Arial" w:cs="Arial"/>
          <w:b/>
          <w:bCs/>
          <w:i/>
          <w:spacing w:val="6"/>
          <w:highlight w:val="green"/>
        </w:rPr>
        <w:t xml:space="preserve"> </w:t>
      </w:r>
      <w:r w:rsidRPr="00910DED">
        <w:rPr>
          <w:rFonts w:ascii="Arial" w:eastAsia="Arial" w:hAnsi="Arial" w:cs="Arial"/>
          <w:b/>
          <w:bCs/>
          <w:i/>
          <w:spacing w:val="-1"/>
          <w:highlight w:val="green"/>
        </w:rPr>
        <w:t>essence”</w:t>
      </w:r>
      <w:r w:rsidRPr="00910DED">
        <w:rPr>
          <w:rFonts w:ascii="Arial" w:eastAsia="Arial" w:hAnsi="Arial" w:cs="Arial"/>
          <w:b/>
          <w:bCs/>
          <w:i/>
          <w:spacing w:val="12"/>
          <w:highlight w:val="green"/>
        </w:rPr>
        <w:t xml:space="preserve"> </w:t>
      </w:r>
      <w:r w:rsidRPr="00910DED">
        <w:rPr>
          <w:rFonts w:ascii="Arial" w:eastAsia="Arial" w:hAnsi="Arial" w:cs="Arial"/>
          <w:b/>
          <w:bCs/>
          <w:i/>
          <w:highlight w:val="green"/>
        </w:rPr>
        <w:t>in</w:t>
      </w:r>
      <w:r w:rsidRPr="00910DED">
        <w:rPr>
          <w:rFonts w:ascii="Arial" w:eastAsia="Arial" w:hAnsi="Arial" w:cs="Arial"/>
          <w:b/>
          <w:bCs/>
          <w:i/>
          <w:spacing w:val="9"/>
          <w:highlight w:val="green"/>
        </w:rPr>
        <w:t xml:space="preserve"> </w:t>
      </w:r>
      <w:r w:rsidRPr="00910DED">
        <w:rPr>
          <w:rFonts w:ascii="Arial" w:eastAsia="Arial" w:hAnsi="Arial" w:cs="Arial"/>
          <w:b/>
          <w:bCs/>
          <w:i/>
          <w:spacing w:val="-1"/>
          <w:highlight w:val="green"/>
        </w:rPr>
        <w:t>respect</w:t>
      </w:r>
      <w:r w:rsidRPr="00910DED">
        <w:rPr>
          <w:rFonts w:ascii="Arial" w:eastAsia="Arial" w:hAnsi="Arial" w:cs="Arial"/>
          <w:b/>
          <w:bCs/>
          <w:i/>
          <w:spacing w:val="8"/>
          <w:highlight w:val="green"/>
        </w:rPr>
        <w:t xml:space="preserve"> </w:t>
      </w:r>
      <w:r w:rsidRPr="00910DED">
        <w:rPr>
          <w:rFonts w:ascii="Arial" w:eastAsia="Arial" w:hAnsi="Arial" w:cs="Arial"/>
          <w:b/>
          <w:bCs/>
          <w:i/>
          <w:spacing w:val="-1"/>
          <w:highlight w:val="green"/>
        </w:rPr>
        <w:t>of</w:t>
      </w:r>
      <w:r w:rsidRPr="00910DED">
        <w:rPr>
          <w:rFonts w:ascii="Arial" w:eastAsia="Arial" w:hAnsi="Arial" w:cs="Arial"/>
          <w:b/>
          <w:bCs/>
          <w:i/>
          <w:spacing w:val="13"/>
          <w:highlight w:val="green"/>
        </w:rPr>
        <w:t xml:space="preserve"> </w:t>
      </w:r>
      <w:r w:rsidRPr="00910DED">
        <w:rPr>
          <w:rFonts w:ascii="Arial" w:eastAsia="Arial" w:hAnsi="Arial" w:cs="Arial"/>
          <w:b/>
          <w:bCs/>
          <w:i/>
          <w:spacing w:val="-1"/>
          <w:highlight w:val="green"/>
        </w:rPr>
        <w:t>any</w:t>
      </w:r>
      <w:r w:rsidRPr="00910DED">
        <w:rPr>
          <w:rFonts w:ascii="Arial" w:eastAsia="Arial" w:hAnsi="Arial" w:cs="Arial"/>
          <w:b/>
          <w:bCs/>
          <w:i/>
          <w:spacing w:val="30"/>
          <w:highlight w:val="green"/>
        </w:rPr>
        <w:t xml:space="preserve"> </w:t>
      </w:r>
      <w:r w:rsidRPr="00910DED">
        <w:rPr>
          <w:rFonts w:ascii="Arial" w:eastAsia="Arial" w:hAnsi="Arial" w:cs="Arial"/>
          <w:b/>
          <w:bCs/>
          <w:i/>
          <w:spacing w:val="-1"/>
          <w:highlight w:val="green"/>
        </w:rPr>
        <w:t>Milestone</w:t>
      </w:r>
      <w:r w:rsidRPr="00910DED">
        <w:rPr>
          <w:rFonts w:ascii="Arial" w:eastAsia="Arial" w:hAnsi="Arial" w:cs="Arial"/>
          <w:b/>
          <w:bCs/>
          <w:i/>
          <w:spacing w:val="-2"/>
          <w:highlight w:val="green"/>
        </w:rPr>
        <w:t xml:space="preserve"> Dates.]</w:t>
      </w:r>
    </w:p>
    <w:p w:rsidR="008918FA" w:rsidRPr="00910DED" w:rsidRDefault="008918FA" w:rsidP="008918FA">
      <w:pPr>
        <w:spacing w:before="119"/>
        <w:ind w:left="1352" w:right="272"/>
        <w:jc w:val="both"/>
        <w:rPr>
          <w:rFonts w:ascii="Arial" w:eastAsia="Arial" w:hAnsi="Arial" w:cs="Arial"/>
          <w:highlight w:val="green"/>
        </w:rPr>
      </w:pPr>
      <w:r w:rsidRPr="00910DED">
        <w:rPr>
          <w:rFonts w:ascii="Arial"/>
          <w:b/>
          <w:i/>
          <w:spacing w:val="-1"/>
          <w:highlight w:val="green"/>
        </w:rPr>
        <w:t>[Guidance</w:t>
      </w:r>
      <w:r w:rsidRPr="00910DED">
        <w:rPr>
          <w:rFonts w:ascii="Arial"/>
          <w:b/>
          <w:i/>
          <w:spacing w:val="36"/>
          <w:highlight w:val="green"/>
        </w:rPr>
        <w:t xml:space="preserve"> </w:t>
      </w:r>
      <w:r w:rsidRPr="00910DED">
        <w:rPr>
          <w:rFonts w:ascii="Arial"/>
          <w:b/>
          <w:i/>
          <w:spacing w:val="-2"/>
          <w:highlight w:val="green"/>
        </w:rPr>
        <w:t>Note:</w:t>
      </w:r>
      <w:r w:rsidRPr="00910DED">
        <w:rPr>
          <w:rFonts w:ascii="Arial"/>
          <w:b/>
          <w:i/>
          <w:spacing w:val="38"/>
          <w:highlight w:val="green"/>
        </w:rPr>
        <w:t xml:space="preserve"> </w:t>
      </w:r>
      <w:r w:rsidRPr="00910DED">
        <w:rPr>
          <w:rFonts w:ascii="Arial"/>
          <w:b/>
          <w:i/>
          <w:spacing w:val="-2"/>
          <w:highlight w:val="green"/>
        </w:rPr>
        <w:t>Consider</w:t>
      </w:r>
      <w:r w:rsidRPr="00910DED">
        <w:rPr>
          <w:rFonts w:ascii="Arial"/>
          <w:b/>
          <w:i/>
          <w:spacing w:val="37"/>
          <w:highlight w:val="green"/>
        </w:rPr>
        <w:t xml:space="preserve"> </w:t>
      </w:r>
      <w:r w:rsidRPr="00910DED">
        <w:rPr>
          <w:rFonts w:ascii="Arial"/>
          <w:b/>
          <w:i/>
          <w:spacing w:val="-1"/>
          <w:highlight w:val="green"/>
        </w:rPr>
        <w:t>if</w:t>
      </w:r>
      <w:r w:rsidRPr="00910DED">
        <w:rPr>
          <w:rFonts w:ascii="Arial"/>
          <w:b/>
          <w:i/>
          <w:spacing w:val="38"/>
          <w:highlight w:val="green"/>
        </w:rPr>
        <w:t xml:space="preserve"> </w:t>
      </w:r>
      <w:r w:rsidRPr="00910DED">
        <w:rPr>
          <w:rFonts w:ascii="Arial"/>
          <w:b/>
          <w:i/>
          <w:spacing w:val="-1"/>
          <w:highlight w:val="green"/>
        </w:rPr>
        <w:t>you</w:t>
      </w:r>
      <w:r w:rsidRPr="00910DED">
        <w:rPr>
          <w:rFonts w:ascii="Arial"/>
          <w:b/>
          <w:i/>
          <w:spacing w:val="34"/>
          <w:highlight w:val="green"/>
        </w:rPr>
        <w:t xml:space="preserve"> </w:t>
      </w:r>
      <w:r w:rsidRPr="00910DED">
        <w:rPr>
          <w:rFonts w:ascii="Arial"/>
          <w:b/>
          <w:i/>
          <w:spacing w:val="-1"/>
          <w:highlight w:val="green"/>
        </w:rPr>
        <w:t>should</w:t>
      </w:r>
      <w:r w:rsidRPr="00910DED">
        <w:rPr>
          <w:rFonts w:ascii="Arial"/>
          <w:b/>
          <w:i/>
          <w:spacing w:val="34"/>
          <w:highlight w:val="green"/>
        </w:rPr>
        <w:t xml:space="preserve"> </w:t>
      </w:r>
      <w:r w:rsidRPr="00910DED">
        <w:rPr>
          <w:rFonts w:ascii="Arial"/>
          <w:b/>
          <w:i/>
          <w:spacing w:val="-1"/>
          <w:highlight w:val="green"/>
        </w:rPr>
        <w:t>include</w:t>
      </w:r>
      <w:r w:rsidRPr="00910DED">
        <w:rPr>
          <w:rFonts w:ascii="Arial"/>
          <w:b/>
          <w:i/>
          <w:spacing w:val="37"/>
          <w:highlight w:val="green"/>
        </w:rPr>
        <w:t xml:space="preserve"> </w:t>
      </w:r>
      <w:r w:rsidRPr="00910DED">
        <w:rPr>
          <w:rFonts w:ascii="Arial"/>
          <w:b/>
          <w:i/>
          <w:spacing w:val="-1"/>
          <w:highlight w:val="green"/>
        </w:rPr>
        <w:t>any</w:t>
      </w:r>
      <w:r w:rsidRPr="00910DED">
        <w:rPr>
          <w:rFonts w:ascii="Arial"/>
          <w:b/>
          <w:i/>
          <w:spacing w:val="34"/>
          <w:highlight w:val="green"/>
        </w:rPr>
        <w:t xml:space="preserve"> </w:t>
      </w:r>
      <w:r w:rsidRPr="00910DED">
        <w:rPr>
          <w:rFonts w:ascii="Arial"/>
          <w:b/>
          <w:i/>
          <w:spacing w:val="-1"/>
          <w:highlight w:val="green"/>
        </w:rPr>
        <w:t>Milestone</w:t>
      </w:r>
      <w:r w:rsidRPr="00910DED">
        <w:rPr>
          <w:rFonts w:ascii="Arial"/>
          <w:b/>
          <w:i/>
          <w:spacing w:val="34"/>
          <w:highlight w:val="green"/>
        </w:rPr>
        <w:t xml:space="preserve"> </w:t>
      </w:r>
      <w:r w:rsidRPr="00910DED">
        <w:rPr>
          <w:rFonts w:ascii="Arial"/>
          <w:b/>
          <w:i/>
          <w:spacing w:val="-1"/>
          <w:highlight w:val="green"/>
        </w:rPr>
        <w:t>Payments</w:t>
      </w:r>
      <w:r w:rsidRPr="00910DED">
        <w:rPr>
          <w:rFonts w:ascii="Arial"/>
          <w:b/>
          <w:i/>
          <w:spacing w:val="47"/>
          <w:highlight w:val="green"/>
        </w:rPr>
        <w:t xml:space="preserve"> </w:t>
      </w:r>
      <w:r w:rsidRPr="00910DED">
        <w:rPr>
          <w:rFonts w:ascii="Arial"/>
          <w:b/>
          <w:i/>
          <w:spacing w:val="-1"/>
          <w:highlight w:val="green"/>
        </w:rPr>
        <w:t>for</w:t>
      </w:r>
      <w:r w:rsidRPr="00910DED">
        <w:rPr>
          <w:rFonts w:ascii="Arial"/>
          <w:b/>
          <w:i/>
          <w:spacing w:val="8"/>
          <w:highlight w:val="green"/>
        </w:rPr>
        <w:t xml:space="preserve"> </w:t>
      </w:r>
      <w:r w:rsidRPr="00910DED">
        <w:rPr>
          <w:rFonts w:ascii="Arial"/>
          <w:b/>
          <w:i/>
          <w:spacing w:val="-1"/>
          <w:highlight w:val="green"/>
        </w:rPr>
        <w:t>Achievement</w:t>
      </w:r>
      <w:r w:rsidRPr="00910DED">
        <w:rPr>
          <w:rFonts w:ascii="Arial"/>
          <w:b/>
          <w:i/>
          <w:spacing w:val="9"/>
          <w:highlight w:val="green"/>
        </w:rPr>
        <w:t xml:space="preserve"> </w:t>
      </w:r>
      <w:r w:rsidRPr="00910DED">
        <w:rPr>
          <w:rFonts w:ascii="Arial"/>
          <w:b/>
          <w:i/>
          <w:spacing w:val="-1"/>
          <w:highlight w:val="green"/>
        </w:rPr>
        <w:t>of</w:t>
      </w:r>
      <w:r w:rsidRPr="00910DED">
        <w:rPr>
          <w:rFonts w:ascii="Arial"/>
          <w:b/>
          <w:i/>
          <w:spacing w:val="9"/>
          <w:highlight w:val="green"/>
        </w:rPr>
        <w:t xml:space="preserve"> </w:t>
      </w:r>
      <w:r w:rsidRPr="00910DED">
        <w:rPr>
          <w:rFonts w:ascii="Arial"/>
          <w:b/>
          <w:i/>
          <w:spacing w:val="-1"/>
          <w:highlight w:val="green"/>
        </w:rPr>
        <w:t>certain</w:t>
      </w:r>
      <w:r w:rsidRPr="00910DED">
        <w:rPr>
          <w:rFonts w:ascii="Arial"/>
          <w:b/>
          <w:i/>
          <w:spacing w:val="7"/>
          <w:highlight w:val="green"/>
        </w:rPr>
        <w:t xml:space="preserve"> </w:t>
      </w:r>
      <w:r w:rsidRPr="00910DED">
        <w:rPr>
          <w:rFonts w:ascii="Arial"/>
          <w:b/>
          <w:i/>
          <w:spacing w:val="-1"/>
          <w:highlight w:val="green"/>
        </w:rPr>
        <w:t>Milestones.</w:t>
      </w:r>
      <w:r w:rsidRPr="00910DED">
        <w:rPr>
          <w:rFonts w:ascii="Arial"/>
          <w:b/>
          <w:i/>
          <w:spacing w:val="9"/>
          <w:highlight w:val="green"/>
        </w:rPr>
        <w:t xml:space="preserve"> </w:t>
      </w:r>
      <w:r w:rsidRPr="00910DED">
        <w:rPr>
          <w:rFonts w:ascii="Arial"/>
          <w:b/>
          <w:i/>
          <w:spacing w:val="-1"/>
          <w:highlight w:val="green"/>
        </w:rPr>
        <w:t>If</w:t>
      </w:r>
      <w:r w:rsidRPr="00910DED">
        <w:rPr>
          <w:rFonts w:ascii="Arial"/>
          <w:b/>
          <w:i/>
          <w:spacing w:val="9"/>
          <w:highlight w:val="green"/>
        </w:rPr>
        <w:t xml:space="preserve"> </w:t>
      </w:r>
      <w:r w:rsidRPr="00910DED">
        <w:rPr>
          <w:rFonts w:ascii="Arial"/>
          <w:b/>
          <w:i/>
          <w:spacing w:val="-1"/>
          <w:highlight w:val="green"/>
        </w:rPr>
        <w:t>so,</w:t>
      </w:r>
      <w:r w:rsidRPr="00910DED">
        <w:rPr>
          <w:rFonts w:ascii="Arial"/>
          <w:b/>
          <w:i/>
          <w:spacing w:val="9"/>
          <w:highlight w:val="green"/>
        </w:rPr>
        <w:t xml:space="preserve"> </w:t>
      </w:r>
      <w:r w:rsidRPr="00910DED">
        <w:rPr>
          <w:rFonts w:ascii="Arial"/>
          <w:b/>
          <w:i/>
          <w:spacing w:val="-1"/>
          <w:highlight w:val="green"/>
        </w:rPr>
        <w:t>tie</w:t>
      </w:r>
      <w:r w:rsidRPr="00910DED">
        <w:rPr>
          <w:rFonts w:ascii="Arial"/>
          <w:b/>
          <w:i/>
          <w:spacing w:val="7"/>
          <w:highlight w:val="green"/>
        </w:rPr>
        <w:t xml:space="preserve"> </w:t>
      </w:r>
      <w:r w:rsidRPr="00910DED">
        <w:rPr>
          <w:rFonts w:ascii="Arial"/>
          <w:b/>
          <w:i/>
          <w:spacing w:val="-1"/>
          <w:highlight w:val="green"/>
        </w:rPr>
        <w:t>any</w:t>
      </w:r>
      <w:r w:rsidRPr="00910DED">
        <w:rPr>
          <w:rFonts w:ascii="Arial"/>
          <w:b/>
          <w:i/>
          <w:spacing w:val="7"/>
          <w:highlight w:val="green"/>
        </w:rPr>
        <w:t xml:space="preserve"> </w:t>
      </w:r>
      <w:r w:rsidRPr="00910DED">
        <w:rPr>
          <w:rFonts w:ascii="Arial"/>
          <w:b/>
          <w:i/>
          <w:spacing w:val="-1"/>
          <w:highlight w:val="green"/>
        </w:rPr>
        <w:t>Milestone</w:t>
      </w:r>
      <w:r w:rsidRPr="00910DED">
        <w:rPr>
          <w:rFonts w:ascii="Arial"/>
          <w:b/>
          <w:i/>
          <w:spacing w:val="7"/>
          <w:highlight w:val="green"/>
        </w:rPr>
        <w:t xml:space="preserve"> </w:t>
      </w:r>
      <w:r w:rsidRPr="00910DED">
        <w:rPr>
          <w:rFonts w:ascii="Arial"/>
          <w:b/>
          <w:i/>
          <w:spacing w:val="-1"/>
          <w:highlight w:val="green"/>
        </w:rPr>
        <w:t>Payments</w:t>
      </w:r>
      <w:r w:rsidRPr="00910DED">
        <w:rPr>
          <w:rFonts w:ascii="Arial"/>
          <w:b/>
          <w:i/>
          <w:spacing w:val="7"/>
          <w:highlight w:val="green"/>
        </w:rPr>
        <w:t xml:space="preserve"> </w:t>
      </w:r>
      <w:r w:rsidRPr="00910DED">
        <w:rPr>
          <w:rFonts w:ascii="Arial"/>
          <w:b/>
          <w:i/>
          <w:highlight w:val="green"/>
        </w:rPr>
        <w:t>to</w:t>
      </w:r>
      <w:r w:rsidRPr="00910DED">
        <w:rPr>
          <w:rFonts w:ascii="Arial"/>
          <w:b/>
          <w:i/>
          <w:spacing w:val="41"/>
          <w:highlight w:val="green"/>
        </w:rPr>
        <w:t xml:space="preserve"> </w:t>
      </w:r>
      <w:r w:rsidRPr="00910DED">
        <w:rPr>
          <w:rFonts w:ascii="Arial"/>
          <w:b/>
          <w:i/>
          <w:spacing w:val="-1"/>
          <w:highlight w:val="green"/>
        </w:rPr>
        <w:t>Clause</w:t>
      </w:r>
      <w:r w:rsidRPr="00910DED">
        <w:rPr>
          <w:rFonts w:ascii="Arial"/>
          <w:b/>
          <w:i/>
          <w:spacing w:val="12"/>
          <w:highlight w:val="green"/>
        </w:rPr>
        <w:t xml:space="preserve"> </w:t>
      </w:r>
      <w:hyperlink w:anchor="_bookmark125" w:history="1">
        <w:r w:rsidRPr="00910DED">
          <w:rPr>
            <w:rFonts w:ascii="Arial"/>
            <w:b/>
            <w:i/>
            <w:spacing w:val="-1"/>
            <w:highlight w:val="green"/>
          </w:rPr>
          <w:t>23</w:t>
        </w:r>
      </w:hyperlink>
      <w:r w:rsidRPr="00910DED">
        <w:rPr>
          <w:rFonts w:ascii="Arial"/>
          <w:b/>
          <w:i/>
          <w:spacing w:val="12"/>
          <w:highlight w:val="green"/>
        </w:rPr>
        <w:t xml:space="preserve"> </w:t>
      </w:r>
      <w:r w:rsidRPr="00910DED">
        <w:rPr>
          <w:rFonts w:ascii="Arial"/>
          <w:b/>
          <w:i/>
          <w:spacing w:val="-1"/>
          <w:highlight w:val="green"/>
        </w:rPr>
        <w:t>of</w:t>
      </w:r>
      <w:r w:rsidRPr="00910DED">
        <w:rPr>
          <w:rFonts w:ascii="Arial"/>
          <w:b/>
          <w:i/>
          <w:spacing w:val="11"/>
          <w:highlight w:val="green"/>
        </w:rPr>
        <w:t xml:space="preserve"> </w:t>
      </w:r>
      <w:r w:rsidRPr="00910DED">
        <w:rPr>
          <w:rFonts w:ascii="Arial"/>
          <w:b/>
          <w:i/>
          <w:spacing w:val="-1"/>
          <w:highlight w:val="green"/>
        </w:rPr>
        <w:t>the</w:t>
      </w:r>
      <w:r w:rsidRPr="00910DED">
        <w:rPr>
          <w:rFonts w:ascii="Arial"/>
          <w:b/>
          <w:i/>
          <w:spacing w:val="12"/>
          <w:highlight w:val="green"/>
        </w:rPr>
        <w:t xml:space="preserve"> </w:t>
      </w:r>
      <w:r w:rsidRPr="00910DED">
        <w:rPr>
          <w:rFonts w:ascii="Arial"/>
          <w:b/>
          <w:i/>
          <w:spacing w:val="-1"/>
          <w:highlight w:val="green"/>
        </w:rPr>
        <w:t>Template</w:t>
      </w:r>
      <w:r w:rsidRPr="00910DED">
        <w:rPr>
          <w:rFonts w:ascii="Arial"/>
          <w:b/>
          <w:i/>
          <w:spacing w:val="12"/>
          <w:highlight w:val="green"/>
        </w:rPr>
        <w:t xml:space="preserve"> </w:t>
      </w:r>
      <w:r w:rsidRPr="00910DED">
        <w:rPr>
          <w:rFonts w:ascii="Arial"/>
          <w:b/>
          <w:i/>
          <w:spacing w:val="-2"/>
          <w:highlight w:val="green"/>
        </w:rPr>
        <w:t>Call</w:t>
      </w:r>
      <w:r w:rsidRPr="00910DED">
        <w:rPr>
          <w:rFonts w:ascii="Arial"/>
          <w:b/>
          <w:i/>
          <w:spacing w:val="11"/>
          <w:highlight w:val="green"/>
        </w:rPr>
        <w:t xml:space="preserve"> </w:t>
      </w:r>
      <w:r w:rsidRPr="00910DED">
        <w:rPr>
          <w:rFonts w:ascii="Arial"/>
          <w:b/>
          <w:i/>
          <w:highlight w:val="green"/>
        </w:rPr>
        <w:t>Off</w:t>
      </w:r>
      <w:r w:rsidRPr="00910DED">
        <w:rPr>
          <w:rFonts w:ascii="Arial"/>
          <w:b/>
          <w:i/>
          <w:spacing w:val="11"/>
          <w:highlight w:val="green"/>
        </w:rPr>
        <w:t xml:space="preserve"> </w:t>
      </w:r>
      <w:r w:rsidRPr="00910DED">
        <w:rPr>
          <w:rFonts w:ascii="Arial"/>
          <w:b/>
          <w:i/>
          <w:spacing w:val="-1"/>
          <w:highlight w:val="green"/>
        </w:rPr>
        <w:t>terms</w:t>
      </w:r>
      <w:r w:rsidRPr="00910DED">
        <w:rPr>
          <w:rFonts w:ascii="Arial"/>
          <w:b/>
          <w:i/>
          <w:spacing w:val="12"/>
          <w:highlight w:val="green"/>
        </w:rPr>
        <w:t xml:space="preserve"> </w:t>
      </w:r>
      <w:r w:rsidRPr="00910DED">
        <w:rPr>
          <w:rFonts w:ascii="Arial"/>
          <w:b/>
          <w:i/>
          <w:spacing w:val="-1"/>
          <w:highlight w:val="green"/>
        </w:rPr>
        <w:t>and</w:t>
      </w:r>
      <w:r w:rsidRPr="00910DED">
        <w:rPr>
          <w:rFonts w:ascii="Arial"/>
          <w:b/>
          <w:i/>
          <w:spacing w:val="8"/>
          <w:highlight w:val="green"/>
        </w:rPr>
        <w:t xml:space="preserve"> </w:t>
      </w:r>
      <w:r w:rsidRPr="00910DED">
        <w:rPr>
          <w:rFonts w:ascii="Arial"/>
          <w:b/>
          <w:i/>
          <w:spacing w:val="-1"/>
          <w:highlight w:val="green"/>
        </w:rPr>
        <w:t>Annex</w:t>
      </w:r>
      <w:r w:rsidRPr="00910DED">
        <w:rPr>
          <w:rFonts w:ascii="Arial"/>
          <w:b/>
          <w:i/>
          <w:spacing w:val="12"/>
          <w:highlight w:val="green"/>
        </w:rPr>
        <w:t xml:space="preserve"> </w:t>
      </w:r>
      <w:r w:rsidRPr="00910DED">
        <w:rPr>
          <w:rFonts w:ascii="Arial"/>
          <w:b/>
          <w:i/>
          <w:highlight w:val="green"/>
        </w:rPr>
        <w:t>1</w:t>
      </w:r>
      <w:r w:rsidRPr="00910DED">
        <w:rPr>
          <w:rFonts w:ascii="Arial"/>
          <w:b/>
          <w:i/>
          <w:spacing w:val="12"/>
          <w:highlight w:val="green"/>
        </w:rPr>
        <w:t xml:space="preserve"> </w:t>
      </w:r>
      <w:r w:rsidRPr="00910DED">
        <w:rPr>
          <w:rFonts w:ascii="Arial"/>
          <w:b/>
          <w:i/>
          <w:spacing w:val="-1"/>
          <w:highlight w:val="green"/>
        </w:rPr>
        <w:t>of</w:t>
      </w:r>
      <w:r w:rsidRPr="00910DED">
        <w:rPr>
          <w:rFonts w:ascii="Arial"/>
          <w:b/>
          <w:i/>
          <w:spacing w:val="14"/>
          <w:highlight w:val="green"/>
        </w:rPr>
        <w:t xml:space="preserve"> </w:t>
      </w:r>
      <w:r w:rsidRPr="00910DED">
        <w:rPr>
          <w:rFonts w:ascii="Arial"/>
          <w:b/>
          <w:i/>
          <w:spacing w:val="-2"/>
          <w:highlight w:val="green"/>
        </w:rPr>
        <w:t>Call</w:t>
      </w:r>
      <w:r w:rsidRPr="00910DED">
        <w:rPr>
          <w:rFonts w:ascii="Arial"/>
          <w:b/>
          <w:i/>
          <w:spacing w:val="11"/>
          <w:highlight w:val="green"/>
        </w:rPr>
        <w:t xml:space="preserve"> </w:t>
      </w:r>
      <w:r w:rsidRPr="00910DED">
        <w:rPr>
          <w:rFonts w:ascii="Arial"/>
          <w:b/>
          <w:i/>
          <w:spacing w:val="-1"/>
          <w:highlight w:val="green"/>
        </w:rPr>
        <w:t>Off</w:t>
      </w:r>
      <w:r w:rsidRPr="00910DED">
        <w:rPr>
          <w:rFonts w:ascii="Arial"/>
          <w:b/>
          <w:i/>
          <w:spacing w:val="14"/>
          <w:highlight w:val="green"/>
        </w:rPr>
        <w:t xml:space="preserve"> </w:t>
      </w:r>
      <w:r w:rsidRPr="00910DED">
        <w:rPr>
          <w:rFonts w:ascii="Arial"/>
          <w:b/>
          <w:i/>
          <w:spacing w:val="-1"/>
          <w:highlight w:val="green"/>
        </w:rPr>
        <w:t>Schedule</w:t>
      </w:r>
      <w:r w:rsidRPr="00910DED">
        <w:rPr>
          <w:rFonts w:ascii="Arial"/>
          <w:b/>
          <w:i/>
          <w:spacing w:val="41"/>
          <w:highlight w:val="green"/>
        </w:rPr>
        <w:t xml:space="preserve"> </w:t>
      </w:r>
      <w:r w:rsidRPr="00910DED">
        <w:rPr>
          <w:rFonts w:ascii="Arial"/>
          <w:b/>
          <w:i/>
          <w:highlight w:val="green"/>
        </w:rPr>
        <w:t>3</w:t>
      </w:r>
      <w:r w:rsidRPr="00910DED">
        <w:rPr>
          <w:rFonts w:ascii="Arial"/>
          <w:b/>
          <w:i/>
          <w:spacing w:val="20"/>
          <w:highlight w:val="green"/>
        </w:rPr>
        <w:t xml:space="preserve"> </w:t>
      </w:r>
      <w:r w:rsidRPr="00910DED">
        <w:rPr>
          <w:rFonts w:ascii="Arial"/>
          <w:b/>
          <w:i/>
          <w:spacing w:val="-1"/>
          <w:highlight w:val="green"/>
        </w:rPr>
        <w:t>(Call</w:t>
      </w:r>
      <w:r w:rsidRPr="00910DED">
        <w:rPr>
          <w:rFonts w:ascii="Arial"/>
          <w:b/>
          <w:i/>
          <w:spacing w:val="19"/>
          <w:highlight w:val="green"/>
        </w:rPr>
        <w:t xml:space="preserve"> </w:t>
      </w:r>
      <w:r w:rsidRPr="00910DED">
        <w:rPr>
          <w:rFonts w:ascii="Arial"/>
          <w:b/>
          <w:i/>
          <w:spacing w:val="-1"/>
          <w:highlight w:val="green"/>
        </w:rPr>
        <w:t>Off</w:t>
      </w:r>
      <w:r w:rsidRPr="00910DED">
        <w:rPr>
          <w:rFonts w:ascii="Arial"/>
          <w:b/>
          <w:i/>
          <w:spacing w:val="21"/>
          <w:highlight w:val="green"/>
        </w:rPr>
        <w:t xml:space="preserve"> </w:t>
      </w:r>
      <w:r w:rsidRPr="00910DED">
        <w:rPr>
          <w:rFonts w:ascii="Arial"/>
          <w:b/>
          <w:i/>
          <w:spacing w:val="-1"/>
          <w:highlight w:val="green"/>
        </w:rPr>
        <w:t>Contract</w:t>
      </w:r>
      <w:r w:rsidRPr="00910DED">
        <w:rPr>
          <w:rFonts w:ascii="Arial"/>
          <w:b/>
          <w:i/>
          <w:spacing w:val="19"/>
          <w:highlight w:val="green"/>
        </w:rPr>
        <w:t xml:space="preserve"> </w:t>
      </w:r>
      <w:r w:rsidRPr="00910DED">
        <w:rPr>
          <w:rFonts w:ascii="Arial"/>
          <w:b/>
          <w:i/>
          <w:spacing w:val="-2"/>
          <w:highlight w:val="green"/>
        </w:rPr>
        <w:t>Charges,</w:t>
      </w:r>
      <w:r w:rsidRPr="00910DED">
        <w:rPr>
          <w:rFonts w:ascii="Arial"/>
          <w:b/>
          <w:i/>
          <w:spacing w:val="19"/>
          <w:highlight w:val="green"/>
        </w:rPr>
        <w:t xml:space="preserve"> </w:t>
      </w:r>
      <w:r w:rsidRPr="00910DED">
        <w:rPr>
          <w:rFonts w:ascii="Arial"/>
          <w:b/>
          <w:i/>
          <w:spacing w:val="-1"/>
          <w:highlight w:val="green"/>
        </w:rPr>
        <w:t>Invoicing</w:t>
      </w:r>
      <w:r w:rsidRPr="00910DED">
        <w:rPr>
          <w:rFonts w:ascii="Arial"/>
          <w:b/>
          <w:i/>
          <w:spacing w:val="20"/>
          <w:highlight w:val="green"/>
        </w:rPr>
        <w:t xml:space="preserve"> </w:t>
      </w:r>
      <w:r w:rsidRPr="00910DED">
        <w:rPr>
          <w:rFonts w:ascii="Arial"/>
          <w:b/>
          <w:i/>
          <w:spacing w:val="-1"/>
          <w:highlight w:val="green"/>
        </w:rPr>
        <w:t>and</w:t>
      </w:r>
      <w:r w:rsidRPr="00910DED">
        <w:rPr>
          <w:rFonts w:ascii="Arial"/>
          <w:b/>
          <w:i/>
          <w:spacing w:val="17"/>
          <w:highlight w:val="green"/>
        </w:rPr>
        <w:t xml:space="preserve"> </w:t>
      </w:r>
      <w:r w:rsidRPr="00910DED">
        <w:rPr>
          <w:rFonts w:ascii="Arial"/>
          <w:b/>
          <w:i/>
          <w:spacing w:val="-2"/>
          <w:highlight w:val="green"/>
        </w:rPr>
        <w:t>Payment).</w:t>
      </w:r>
      <w:r w:rsidRPr="00910DED">
        <w:rPr>
          <w:rFonts w:ascii="Arial"/>
          <w:b/>
          <w:i/>
          <w:spacing w:val="21"/>
          <w:highlight w:val="green"/>
        </w:rPr>
        <w:t xml:space="preserve"> </w:t>
      </w:r>
      <w:r w:rsidRPr="00910DED">
        <w:rPr>
          <w:rFonts w:ascii="Arial"/>
          <w:b/>
          <w:i/>
          <w:spacing w:val="-1"/>
          <w:highlight w:val="green"/>
        </w:rPr>
        <w:t>See</w:t>
      </w:r>
      <w:r w:rsidRPr="00910DED">
        <w:rPr>
          <w:rFonts w:ascii="Arial"/>
          <w:b/>
          <w:i/>
          <w:spacing w:val="17"/>
          <w:highlight w:val="green"/>
        </w:rPr>
        <w:t xml:space="preserve"> </w:t>
      </w:r>
      <w:r w:rsidRPr="00910DED">
        <w:rPr>
          <w:rFonts w:ascii="Arial"/>
          <w:b/>
          <w:i/>
          <w:spacing w:val="-1"/>
          <w:highlight w:val="green"/>
        </w:rPr>
        <w:t>also</w:t>
      </w:r>
      <w:r w:rsidRPr="00910DED">
        <w:rPr>
          <w:rFonts w:ascii="Arial"/>
          <w:b/>
          <w:i/>
          <w:spacing w:val="17"/>
          <w:highlight w:val="green"/>
        </w:rPr>
        <w:t xml:space="preserve"> </w:t>
      </w:r>
      <w:r w:rsidRPr="00910DED">
        <w:rPr>
          <w:rFonts w:ascii="Arial"/>
          <w:b/>
          <w:i/>
          <w:spacing w:val="-1"/>
          <w:highlight w:val="green"/>
        </w:rPr>
        <w:t>Clause</w:t>
      </w:r>
      <w:r w:rsidRPr="00910DED">
        <w:rPr>
          <w:rFonts w:ascii="Arial"/>
          <w:b/>
          <w:i/>
          <w:spacing w:val="19"/>
          <w:highlight w:val="green"/>
        </w:rPr>
        <w:t xml:space="preserve"> </w:t>
      </w:r>
      <w:hyperlink w:anchor="_bookmark60" w:history="1">
        <w:r w:rsidRPr="00910DED">
          <w:rPr>
            <w:rFonts w:ascii="Arial"/>
            <w:b/>
            <w:i/>
            <w:highlight w:val="green"/>
          </w:rPr>
          <w:t>6.4</w:t>
        </w:r>
      </w:hyperlink>
      <w:r w:rsidRPr="00910DED">
        <w:rPr>
          <w:rFonts w:ascii="Arial"/>
          <w:b/>
          <w:i/>
          <w:spacing w:val="55"/>
          <w:highlight w:val="green"/>
        </w:rPr>
        <w:t xml:space="preserve"> </w:t>
      </w:r>
      <w:r w:rsidRPr="00910DED">
        <w:rPr>
          <w:rFonts w:ascii="Arial"/>
          <w:b/>
          <w:i/>
          <w:spacing w:val="-1"/>
          <w:highlight w:val="green"/>
        </w:rPr>
        <w:t>of</w:t>
      </w:r>
      <w:r w:rsidRPr="00910DED">
        <w:rPr>
          <w:rFonts w:ascii="Arial"/>
          <w:b/>
          <w:i/>
          <w:spacing w:val="6"/>
          <w:highlight w:val="green"/>
        </w:rPr>
        <w:t xml:space="preserve"> </w:t>
      </w:r>
      <w:r w:rsidRPr="00910DED">
        <w:rPr>
          <w:rFonts w:ascii="Arial"/>
          <w:b/>
          <w:i/>
          <w:spacing w:val="-1"/>
          <w:highlight w:val="green"/>
        </w:rPr>
        <w:t>the</w:t>
      </w:r>
      <w:r w:rsidRPr="00910DED">
        <w:rPr>
          <w:rFonts w:ascii="Arial"/>
          <w:b/>
          <w:i/>
          <w:spacing w:val="5"/>
          <w:highlight w:val="green"/>
        </w:rPr>
        <w:t xml:space="preserve"> </w:t>
      </w:r>
      <w:r w:rsidRPr="00910DED">
        <w:rPr>
          <w:rFonts w:ascii="Arial"/>
          <w:b/>
          <w:i/>
          <w:spacing w:val="-1"/>
          <w:highlight w:val="green"/>
        </w:rPr>
        <w:t>Template</w:t>
      </w:r>
      <w:r w:rsidRPr="00910DED">
        <w:rPr>
          <w:rFonts w:ascii="Arial"/>
          <w:b/>
          <w:i/>
          <w:spacing w:val="5"/>
          <w:highlight w:val="green"/>
        </w:rPr>
        <w:t xml:space="preserve"> </w:t>
      </w:r>
      <w:r w:rsidRPr="00910DED">
        <w:rPr>
          <w:rFonts w:ascii="Arial"/>
          <w:b/>
          <w:i/>
          <w:spacing w:val="-1"/>
          <w:highlight w:val="green"/>
        </w:rPr>
        <w:t>Call</w:t>
      </w:r>
      <w:r w:rsidRPr="00910DED">
        <w:rPr>
          <w:rFonts w:ascii="Arial"/>
          <w:b/>
          <w:i/>
          <w:spacing w:val="7"/>
          <w:highlight w:val="green"/>
        </w:rPr>
        <w:t xml:space="preserve"> </w:t>
      </w:r>
      <w:r w:rsidRPr="00910DED">
        <w:rPr>
          <w:rFonts w:ascii="Arial"/>
          <w:b/>
          <w:i/>
          <w:spacing w:val="-2"/>
          <w:highlight w:val="green"/>
        </w:rPr>
        <w:t>Off</w:t>
      </w:r>
      <w:r w:rsidRPr="00910DED">
        <w:rPr>
          <w:rFonts w:ascii="Arial"/>
          <w:b/>
          <w:i/>
          <w:spacing w:val="6"/>
          <w:highlight w:val="green"/>
        </w:rPr>
        <w:t xml:space="preserve"> </w:t>
      </w:r>
      <w:r w:rsidRPr="00910DED">
        <w:rPr>
          <w:rFonts w:ascii="Arial"/>
          <w:b/>
          <w:i/>
          <w:spacing w:val="-1"/>
          <w:highlight w:val="green"/>
        </w:rPr>
        <w:t>Terms</w:t>
      </w:r>
      <w:r w:rsidRPr="00910DED">
        <w:rPr>
          <w:rFonts w:ascii="Arial"/>
          <w:b/>
          <w:i/>
          <w:spacing w:val="5"/>
          <w:highlight w:val="green"/>
        </w:rPr>
        <w:t xml:space="preserve"> </w:t>
      </w:r>
      <w:r w:rsidRPr="00910DED">
        <w:rPr>
          <w:rFonts w:ascii="Arial"/>
          <w:b/>
          <w:i/>
          <w:highlight w:val="green"/>
        </w:rPr>
        <w:t>in</w:t>
      </w:r>
      <w:r w:rsidRPr="00910DED">
        <w:rPr>
          <w:rFonts w:ascii="Arial"/>
          <w:b/>
          <w:i/>
          <w:spacing w:val="5"/>
          <w:highlight w:val="green"/>
        </w:rPr>
        <w:t xml:space="preserve"> </w:t>
      </w:r>
      <w:r w:rsidRPr="00910DED">
        <w:rPr>
          <w:rFonts w:ascii="Arial"/>
          <w:b/>
          <w:i/>
          <w:spacing w:val="-1"/>
          <w:highlight w:val="green"/>
        </w:rPr>
        <w:t>relation</w:t>
      </w:r>
      <w:r w:rsidRPr="00910DED">
        <w:rPr>
          <w:rFonts w:ascii="Arial"/>
          <w:b/>
          <w:i/>
          <w:spacing w:val="3"/>
          <w:highlight w:val="green"/>
        </w:rPr>
        <w:t xml:space="preserve"> </w:t>
      </w:r>
      <w:r w:rsidRPr="00910DED">
        <w:rPr>
          <w:rFonts w:ascii="Arial"/>
          <w:b/>
          <w:i/>
          <w:highlight w:val="green"/>
        </w:rPr>
        <w:t>to</w:t>
      </w:r>
      <w:r w:rsidRPr="00910DED">
        <w:rPr>
          <w:rFonts w:ascii="Arial"/>
          <w:b/>
          <w:i/>
          <w:spacing w:val="5"/>
          <w:highlight w:val="green"/>
        </w:rPr>
        <w:t xml:space="preserve"> </w:t>
      </w:r>
      <w:r w:rsidRPr="00910DED">
        <w:rPr>
          <w:rFonts w:ascii="Arial"/>
          <w:b/>
          <w:i/>
          <w:spacing w:val="-1"/>
          <w:highlight w:val="green"/>
        </w:rPr>
        <w:t>Delay</w:t>
      </w:r>
      <w:r w:rsidRPr="00910DED">
        <w:rPr>
          <w:rFonts w:ascii="Arial"/>
          <w:b/>
          <w:i/>
          <w:spacing w:val="5"/>
          <w:highlight w:val="green"/>
        </w:rPr>
        <w:t xml:space="preserve"> </w:t>
      </w:r>
      <w:r w:rsidRPr="00910DED">
        <w:rPr>
          <w:rFonts w:ascii="Arial"/>
          <w:b/>
          <w:i/>
          <w:spacing w:val="-1"/>
          <w:highlight w:val="green"/>
        </w:rPr>
        <w:t>Payments</w:t>
      </w:r>
      <w:r w:rsidRPr="00910DED">
        <w:rPr>
          <w:rFonts w:ascii="Arial"/>
          <w:b/>
          <w:i/>
          <w:spacing w:val="5"/>
          <w:highlight w:val="green"/>
        </w:rPr>
        <w:t xml:space="preserve"> </w:t>
      </w:r>
      <w:r w:rsidRPr="00910DED">
        <w:rPr>
          <w:rFonts w:ascii="Arial"/>
          <w:b/>
          <w:i/>
          <w:spacing w:val="-1"/>
          <w:highlight w:val="green"/>
        </w:rPr>
        <w:t>and</w:t>
      </w:r>
      <w:r w:rsidRPr="00910DED">
        <w:rPr>
          <w:rFonts w:ascii="Arial"/>
          <w:b/>
          <w:i/>
          <w:spacing w:val="5"/>
          <w:highlight w:val="green"/>
        </w:rPr>
        <w:t xml:space="preserve"> </w:t>
      </w:r>
      <w:r w:rsidRPr="00910DED">
        <w:rPr>
          <w:rFonts w:ascii="Arial"/>
          <w:b/>
          <w:i/>
          <w:spacing w:val="-1"/>
          <w:highlight w:val="green"/>
        </w:rPr>
        <w:t>refine</w:t>
      </w:r>
      <w:r w:rsidRPr="00910DED">
        <w:rPr>
          <w:rFonts w:ascii="Arial"/>
          <w:b/>
          <w:i/>
          <w:spacing w:val="5"/>
          <w:highlight w:val="green"/>
        </w:rPr>
        <w:t xml:space="preserve"> </w:t>
      </w:r>
      <w:r w:rsidRPr="00910DED">
        <w:rPr>
          <w:rFonts w:ascii="Arial"/>
          <w:b/>
          <w:i/>
          <w:spacing w:val="-1"/>
          <w:highlight w:val="green"/>
        </w:rPr>
        <w:t>the</w:t>
      </w:r>
      <w:r w:rsidRPr="00910DED">
        <w:rPr>
          <w:rFonts w:ascii="Arial"/>
          <w:b/>
          <w:i/>
          <w:spacing w:val="54"/>
          <w:highlight w:val="green"/>
        </w:rPr>
        <w:t xml:space="preserve"> </w:t>
      </w:r>
      <w:r w:rsidRPr="00910DED">
        <w:rPr>
          <w:rFonts w:ascii="Arial"/>
          <w:b/>
          <w:i/>
          <w:spacing w:val="-1"/>
          <w:highlight w:val="green"/>
        </w:rPr>
        <w:t>Delay</w:t>
      </w:r>
      <w:r w:rsidRPr="00910DED">
        <w:rPr>
          <w:rFonts w:ascii="Arial"/>
          <w:b/>
          <w:i/>
          <w:spacing w:val="7"/>
          <w:highlight w:val="green"/>
        </w:rPr>
        <w:t xml:space="preserve"> </w:t>
      </w:r>
      <w:r w:rsidRPr="00910DED">
        <w:rPr>
          <w:rFonts w:ascii="Arial"/>
          <w:b/>
          <w:i/>
          <w:spacing w:val="-1"/>
          <w:highlight w:val="green"/>
        </w:rPr>
        <w:t>Payment</w:t>
      </w:r>
      <w:r w:rsidRPr="00910DED">
        <w:rPr>
          <w:rFonts w:ascii="Arial"/>
          <w:b/>
          <w:i/>
          <w:spacing w:val="9"/>
          <w:highlight w:val="green"/>
        </w:rPr>
        <w:t xml:space="preserve"> </w:t>
      </w:r>
      <w:r w:rsidRPr="00910DED">
        <w:rPr>
          <w:rFonts w:ascii="Arial"/>
          <w:b/>
          <w:i/>
          <w:spacing w:val="-2"/>
          <w:highlight w:val="green"/>
        </w:rPr>
        <w:t>provisions</w:t>
      </w:r>
      <w:r w:rsidRPr="00910DED">
        <w:rPr>
          <w:rFonts w:ascii="Arial"/>
          <w:b/>
          <w:i/>
          <w:spacing w:val="7"/>
          <w:highlight w:val="green"/>
        </w:rPr>
        <w:t xml:space="preserve"> </w:t>
      </w:r>
      <w:r w:rsidRPr="00910DED">
        <w:rPr>
          <w:rFonts w:ascii="Arial"/>
          <w:b/>
          <w:i/>
          <w:highlight w:val="green"/>
        </w:rPr>
        <w:t>if</w:t>
      </w:r>
      <w:r w:rsidRPr="00910DED">
        <w:rPr>
          <w:rFonts w:ascii="Arial"/>
          <w:b/>
          <w:i/>
          <w:spacing w:val="9"/>
          <w:highlight w:val="green"/>
        </w:rPr>
        <w:t xml:space="preserve"> </w:t>
      </w:r>
      <w:r w:rsidRPr="00910DED">
        <w:rPr>
          <w:rFonts w:ascii="Arial"/>
          <w:b/>
          <w:i/>
          <w:spacing w:val="-1"/>
          <w:highlight w:val="green"/>
        </w:rPr>
        <w:t>needed]Guidance</w:t>
      </w:r>
      <w:r w:rsidRPr="00910DED">
        <w:rPr>
          <w:rFonts w:ascii="Arial"/>
          <w:b/>
          <w:i/>
          <w:spacing w:val="7"/>
          <w:highlight w:val="green"/>
        </w:rPr>
        <w:t xml:space="preserve"> </w:t>
      </w:r>
      <w:r w:rsidRPr="00910DED">
        <w:rPr>
          <w:rFonts w:ascii="Arial"/>
          <w:b/>
          <w:i/>
          <w:spacing w:val="-1"/>
          <w:highlight w:val="green"/>
        </w:rPr>
        <w:t>Note:</w:t>
      </w:r>
      <w:r w:rsidRPr="00910DED">
        <w:rPr>
          <w:rFonts w:ascii="Arial"/>
          <w:b/>
          <w:i/>
          <w:spacing w:val="9"/>
          <w:highlight w:val="green"/>
        </w:rPr>
        <w:t xml:space="preserve"> </w:t>
      </w:r>
      <w:r w:rsidRPr="00910DED">
        <w:rPr>
          <w:rFonts w:ascii="Arial"/>
          <w:b/>
          <w:i/>
          <w:spacing w:val="-1"/>
          <w:highlight w:val="green"/>
        </w:rPr>
        <w:t>Consider</w:t>
      </w:r>
      <w:r w:rsidRPr="00910DED">
        <w:rPr>
          <w:rFonts w:ascii="Arial"/>
          <w:b/>
          <w:i/>
          <w:spacing w:val="6"/>
          <w:highlight w:val="green"/>
        </w:rPr>
        <w:t xml:space="preserve"> </w:t>
      </w:r>
      <w:r w:rsidRPr="00910DED">
        <w:rPr>
          <w:rFonts w:ascii="Arial"/>
          <w:b/>
          <w:i/>
          <w:spacing w:val="-1"/>
          <w:highlight w:val="green"/>
        </w:rPr>
        <w:t>whether</w:t>
      </w:r>
      <w:r w:rsidRPr="00910DED">
        <w:rPr>
          <w:rFonts w:ascii="Arial"/>
          <w:b/>
          <w:i/>
          <w:spacing w:val="8"/>
          <w:highlight w:val="green"/>
        </w:rPr>
        <w:t xml:space="preserve"> </w:t>
      </w:r>
      <w:r w:rsidRPr="00910DED">
        <w:rPr>
          <w:rFonts w:ascii="Arial"/>
          <w:b/>
          <w:i/>
          <w:spacing w:val="-1"/>
          <w:highlight w:val="green"/>
        </w:rPr>
        <w:t>Call</w:t>
      </w:r>
      <w:r w:rsidRPr="00910DED">
        <w:rPr>
          <w:rFonts w:ascii="Arial"/>
          <w:b/>
          <w:i/>
          <w:spacing w:val="39"/>
          <w:highlight w:val="green"/>
        </w:rPr>
        <w:t xml:space="preserve"> </w:t>
      </w:r>
      <w:r w:rsidRPr="00910DED">
        <w:rPr>
          <w:rFonts w:ascii="Arial"/>
          <w:b/>
          <w:i/>
          <w:spacing w:val="-1"/>
          <w:highlight w:val="green"/>
        </w:rPr>
        <w:t>Off</w:t>
      </w:r>
      <w:r w:rsidRPr="00910DED">
        <w:rPr>
          <w:rFonts w:ascii="Arial"/>
          <w:b/>
          <w:i/>
          <w:spacing w:val="32"/>
          <w:highlight w:val="green"/>
        </w:rPr>
        <w:t xml:space="preserve"> </w:t>
      </w:r>
      <w:r w:rsidRPr="00910DED">
        <w:rPr>
          <w:rFonts w:ascii="Arial"/>
          <w:b/>
          <w:i/>
          <w:spacing w:val="-1"/>
          <w:highlight w:val="green"/>
        </w:rPr>
        <w:t>Schedule</w:t>
      </w:r>
      <w:r w:rsidRPr="00910DED">
        <w:rPr>
          <w:rFonts w:ascii="Arial"/>
          <w:b/>
          <w:i/>
          <w:spacing w:val="30"/>
          <w:highlight w:val="green"/>
        </w:rPr>
        <w:t xml:space="preserve"> </w:t>
      </w:r>
      <w:r w:rsidRPr="00910DED">
        <w:rPr>
          <w:rFonts w:ascii="Arial"/>
          <w:b/>
          <w:i/>
          <w:highlight w:val="green"/>
        </w:rPr>
        <w:t>5</w:t>
      </w:r>
      <w:r w:rsidRPr="00910DED">
        <w:rPr>
          <w:rFonts w:ascii="Arial"/>
          <w:b/>
          <w:i/>
          <w:spacing w:val="30"/>
          <w:highlight w:val="green"/>
        </w:rPr>
        <w:t xml:space="preserve"> </w:t>
      </w:r>
      <w:r w:rsidRPr="00910DED">
        <w:rPr>
          <w:rFonts w:ascii="Arial"/>
          <w:b/>
          <w:i/>
          <w:spacing w:val="-1"/>
          <w:highlight w:val="green"/>
        </w:rPr>
        <w:t>provides</w:t>
      </w:r>
      <w:r w:rsidRPr="00910DED">
        <w:rPr>
          <w:rFonts w:ascii="Arial"/>
          <w:b/>
          <w:i/>
          <w:spacing w:val="30"/>
          <w:highlight w:val="green"/>
        </w:rPr>
        <w:t xml:space="preserve"> </w:t>
      </w:r>
      <w:r w:rsidRPr="00910DED">
        <w:rPr>
          <w:rFonts w:ascii="Arial"/>
          <w:b/>
          <w:i/>
          <w:spacing w:val="-1"/>
          <w:highlight w:val="green"/>
        </w:rPr>
        <w:t>an</w:t>
      </w:r>
      <w:r w:rsidRPr="00910DED">
        <w:rPr>
          <w:rFonts w:ascii="Arial"/>
          <w:b/>
          <w:i/>
          <w:spacing w:val="30"/>
          <w:highlight w:val="green"/>
        </w:rPr>
        <w:t xml:space="preserve"> </w:t>
      </w:r>
      <w:r w:rsidRPr="00910DED">
        <w:rPr>
          <w:rFonts w:ascii="Arial"/>
          <w:b/>
          <w:i/>
          <w:spacing w:val="-1"/>
          <w:highlight w:val="green"/>
        </w:rPr>
        <w:t>appropriate</w:t>
      </w:r>
      <w:r w:rsidRPr="00910DED">
        <w:rPr>
          <w:rFonts w:ascii="Arial"/>
          <w:b/>
          <w:i/>
          <w:spacing w:val="30"/>
          <w:highlight w:val="green"/>
        </w:rPr>
        <w:t xml:space="preserve"> </w:t>
      </w:r>
      <w:r w:rsidRPr="00910DED">
        <w:rPr>
          <w:rFonts w:ascii="Arial"/>
          <w:b/>
          <w:i/>
          <w:spacing w:val="-1"/>
          <w:highlight w:val="green"/>
        </w:rPr>
        <w:t>test</w:t>
      </w:r>
      <w:r w:rsidRPr="00910DED">
        <w:rPr>
          <w:rFonts w:ascii="Arial"/>
          <w:b/>
          <w:i/>
          <w:spacing w:val="33"/>
          <w:highlight w:val="green"/>
        </w:rPr>
        <w:t xml:space="preserve"> </w:t>
      </w:r>
      <w:r w:rsidRPr="00910DED">
        <w:rPr>
          <w:rFonts w:ascii="Arial"/>
          <w:b/>
          <w:i/>
          <w:spacing w:val="-1"/>
          <w:highlight w:val="green"/>
        </w:rPr>
        <w:t>strategy</w:t>
      </w:r>
      <w:r w:rsidRPr="00910DED">
        <w:rPr>
          <w:rFonts w:ascii="Arial"/>
          <w:b/>
          <w:i/>
          <w:spacing w:val="30"/>
          <w:highlight w:val="green"/>
        </w:rPr>
        <w:t xml:space="preserve"> </w:t>
      </w:r>
      <w:r w:rsidRPr="00910DED">
        <w:rPr>
          <w:rFonts w:ascii="Arial"/>
          <w:b/>
          <w:i/>
          <w:spacing w:val="-1"/>
          <w:highlight w:val="green"/>
        </w:rPr>
        <w:t>or</w:t>
      </w:r>
      <w:r w:rsidRPr="00910DED">
        <w:rPr>
          <w:rFonts w:ascii="Arial"/>
          <w:b/>
          <w:i/>
          <w:spacing w:val="29"/>
          <w:highlight w:val="green"/>
        </w:rPr>
        <w:t xml:space="preserve"> </w:t>
      </w:r>
      <w:r w:rsidRPr="00910DED">
        <w:rPr>
          <w:rFonts w:ascii="Arial"/>
          <w:b/>
          <w:i/>
          <w:spacing w:val="-1"/>
          <w:highlight w:val="green"/>
        </w:rPr>
        <w:t>whether</w:t>
      </w:r>
      <w:r w:rsidRPr="00910DED">
        <w:rPr>
          <w:rFonts w:ascii="Arial"/>
          <w:b/>
          <w:i/>
          <w:spacing w:val="31"/>
          <w:highlight w:val="green"/>
        </w:rPr>
        <w:t xml:space="preserve"> </w:t>
      </w:r>
      <w:r w:rsidRPr="00910DED">
        <w:rPr>
          <w:rFonts w:ascii="Arial"/>
          <w:b/>
          <w:i/>
          <w:spacing w:val="-1"/>
          <w:highlight w:val="green"/>
        </w:rPr>
        <w:t>an</w:t>
      </w:r>
      <w:r w:rsidRPr="00910DED">
        <w:rPr>
          <w:rFonts w:ascii="Arial"/>
          <w:b/>
          <w:i/>
          <w:spacing w:val="40"/>
          <w:highlight w:val="green"/>
        </w:rPr>
        <w:t xml:space="preserve"> </w:t>
      </w:r>
      <w:r w:rsidRPr="00910DED">
        <w:rPr>
          <w:rFonts w:ascii="Arial"/>
          <w:b/>
          <w:i/>
          <w:spacing w:val="-1"/>
          <w:highlight w:val="green"/>
        </w:rPr>
        <w:t>alternative</w:t>
      </w:r>
      <w:r w:rsidRPr="00910DED">
        <w:rPr>
          <w:rFonts w:ascii="Arial"/>
          <w:b/>
          <w:i/>
          <w:spacing w:val="-2"/>
          <w:highlight w:val="green"/>
        </w:rPr>
        <w:t xml:space="preserve"> </w:t>
      </w:r>
      <w:r w:rsidRPr="00910DED">
        <w:rPr>
          <w:rFonts w:ascii="Arial"/>
          <w:b/>
          <w:i/>
          <w:spacing w:val="-1"/>
          <w:highlight w:val="green"/>
        </w:rPr>
        <w:t>plan</w:t>
      </w:r>
      <w:r w:rsidRPr="00910DED">
        <w:rPr>
          <w:rFonts w:ascii="Arial"/>
          <w:b/>
          <w:i/>
          <w:spacing w:val="-2"/>
          <w:highlight w:val="green"/>
        </w:rPr>
        <w:t xml:space="preserve"> </w:t>
      </w:r>
      <w:r w:rsidRPr="00910DED">
        <w:rPr>
          <w:rFonts w:ascii="Arial"/>
          <w:b/>
          <w:i/>
          <w:spacing w:val="-1"/>
          <w:highlight w:val="green"/>
        </w:rPr>
        <w:t>needs</w:t>
      </w:r>
      <w:r w:rsidRPr="00910DED">
        <w:rPr>
          <w:rFonts w:ascii="Arial"/>
          <w:b/>
          <w:i/>
          <w:spacing w:val="-2"/>
          <w:highlight w:val="green"/>
        </w:rPr>
        <w:t xml:space="preserve"> </w:t>
      </w:r>
      <w:r w:rsidRPr="00910DED">
        <w:rPr>
          <w:rFonts w:ascii="Arial"/>
          <w:b/>
          <w:i/>
          <w:spacing w:val="-1"/>
          <w:highlight w:val="green"/>
        </w:rPr>
        <w:t>to</w:t>
      </w:r>
      <w:r w:rsidRPr="00910DED">
        <w:rPr>
          <w:rFonts w:ascii="Arial"/>
          <w:b/>
          <w:i/>
          <w:highlight w:val="green"/>
        </w:rPr>
        <w:t xml:space="preserve"> </w:t>
      </w:r>
      <w:r w:rsidRPr="00910DED">
        <w:rPr>
          <w:rFonts w:ascii="Arial"/>
          <w:b/>
          <w:i/>
          <w:spacing w:val="-1"/>
          <w:highlight w:val="green"/>
        </w:rPr>
        <w:t>be</w:t>
      </w:r>
      <w:r w:rsidRPr="00910DED">
        <w:rPr>
          <w:rFonts w:ascii="Arial"/>
          <w:b/>
          <w:i/>
          <w:highlight w:val="green"/>
        </w:rPr>
        <w:t xml:space="preserve"> </w:t>
      </w:r>
      <w:r w:rsidRPr="00910DED">
        <w:rPr>
          <w:rFonts w:ascii="Arial"/>
          <w:b/>
          <w:i/>
          <w:spacing w:val="-1"/>
          <w:highlight w:val="green"/>
        </w:rPr>
        <w:t>produced</w:t>
      </w:r>
      <w:r w:rsidRPr="00910DED">
        <w:rPr>
          <w:rFonts w:ascii="Arial"/>
          <w:b/>
          <w:i/>
          <w:spacing w:val="-2"/>
          <w:highlight w:val="green"/>
        </w:rPr>
        <w:t xml:space="preserve"> </w:t>
      </w:r>
      <w:r w:rsidRPr="00910DED">
        <w:rPr>
          <w:rFonts w:ascii="Arial"/>
          <w:b/>
          <w:i/>
          <w:spacing w:val="-1"/>
          <w:highlight w:val="green"/>
        </w:rPr>
        <w:t>by</w:t>
      </w:r>
      <w:r w:rsidRPr="00910DED">
        <w:rPr>
          <w:rFonts w:ascii="Arial"/>
          <w:b/>
          <w:i/>
          <w:spacing w:val="-2"/>
          <w:highlight w:val="green"/>
        </w:rPr>
        <w:t xml:space="preserve"> </w:t>
      </w:r>
      <w:r w:rsidRPr="00910DED">
        <w:rPr>
          <w:rFonts w:ascii="Arial"/>
          <w:b/>
          <w:i/>
          <w:spacing w:val="-1"/>
          <w:highlight w:val="green"/>
        </w:rPr>
        <w:t>the</w:t>
      </w:r>
      <w:r w:rsidRPr="00910DED">
        <w:rPr>
          <w:rFonts w:ascii="Arial"/>
          <w:b/>
          <w:i/>
          <w:spacing w:val="-2"/>
          <w:highlight w:val="green"/>
        </w:rPr>
        <w:t xml:space="preserve"> </w:t>
      </w:r>
      <w:r w:rsidRPr="00910DED">
        <w:rPr>
          <w:rFonts w:ascii="Arial"/>
          <w:b/>
          <w:i/>
          <w:spacing w:val="-1"/>
          <w:highlight w:val="green"/>
        </w:rPr>
        <w:t>Supplier.]</w:t>
      </w:r>
    </w:p>
    <w:p w:rsidR="008918FA" w:rsidRPr="00910DED" w:rsidRDefault="008918FA" w:rsidP="008918FA">
      <w:pPr>
        <w:spacing w:before="9"/>
        <w:rPr>
          <w:rFonts w:ascii="Arial" w:eastAsia="Arial" w:hAnsi="Arial" w:cs="Arial"/>
          <w:b/>
          <w:bCs/>
          <w:i/>
          <w:sz w:val="10"/>
          <w:szCs w:val="10"/>
          <w:highlight w:val="green"/>
        </w:rPr>
      </w:pPr>
    </w:p>
    <w:p w:rsidR="008918FA" w:rsidRDefault="008918FA" w:rsidP="008918FA">
      <w:pPr>
        <w:spacing w:line="200" w:lineRule="atLeast"/>
        <w:ind w:left="1352"/>
        <w:rPr>
          <w:rFonts w:ascii="Arial" w:eastAsia="Arial" w:hAnsi="Arial" w:cs="Arial"/>
          <w:sz w:val="20"/>
          <w:szCs w:val="20"/>
        </w:rPr>
      </w:pPr>
      <w:r w:rsidRPr="00910DED">
        <w:rPr>
          <w:rFonts w:ascii="Arial" w:eastAsia="Arial" w:hAnsi="Arial" w:cs="Arial"/>
          <w:noProof/>
          <w:sz w:val="20"/>
          <w:szCs w:val="20"/>
          <w:highlight w:val="green"/>
          <w:lang w:eastAsia="en-GB"/>
        </w:rPr>
        <mc:AlternateContent>
          <mc:Choice Requires="wpg">
            <w:drawing>
              <wp:inline distT="0" distB="0" distL="0" distR="0" wp14:anchorId="00CCB50A" wp14:editId="4849F562">
                <wp:extent cx="5029200" cy="481965"/>
                <wp:effectExtent l="0" t="0" r="0" b="3810"/>
                <wp:docPr id="3202" name="Group 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81965"/>
                          <a:chOff x="0" y="0"/>
                          <a:chExt cx="7920" cy="759"/>
                        </a:xfrm>
                      </wpg:grpSpPr>
                      <wpg:grpSp>
                        <wpg:cNvPr id="3203" name="Group 3200"/>
                        <wpg:cNvGrpSpPr>
                          <a:grpSpLocks/>
                        </wpg:cNvGrpSpPr>
                        <wpg:grpSpPr bwMode="auto">
                          <a:xfrm>
                            <a:off x="0" y="0"/>
                            <a:ext cx="7918" cy="252"/>
                            <a:chOff x="0" y="0"/>
                            <a:chExt cx="7918" cy="252"/>
                          </a:xfrm>
                        </wpg:grpSpPr>
                        <wps:wsp>
                          <wps:cNvPr id="3204" name="Freeform 3201"/>
                          <wps:cNvSpPr>
                            <a:spLocks/>
                          </wps:cNvSpPr>
                          <wps:spPr bwMode="auto">
                            <a:xfrm>
                              <a:off x="0" y="0"/>
                              <a:ext cx="7918" cy="252"/>
                            </a:xfrm>
                            <a:custGeom>
                              <a:avLst/>
                              <a:gdLst>
                                <a:gd name="T0" fmla="*/ 0 w 7918"/>
                                <a:gd name="T1" fmla="*/ 252 h 252"/>
                                <a:gd name="T2" fmla="*/ 7918 w 7918"/>
                                <a:gd name="T3" fmla="*/ 252 h 252"/>
                                <a:gd name="T4" fmla="*/ 7918 w 7918"/>
                                <a:gd name="T5" fmla="*/ 0 h 252"/>
                                <a:gd name="T6" fmla="*/ 0 w 7918"/>
                                <a:gd name="T7" fmla="*/ 0 h 252"/>
                                <a:gd name="T8" fmla="*/ 0 w 7918"/>
                                <a:gd name="T9" fmla="*/ 252 h 252"/>
                              </a:gdLst>
                              <a:ahLst/>
                              <a:cxnLst>
                                <a:cxn ang="0">
                                  <a:pos x="T0" y="T1"/>
                                </a:cxn>
                                <a:cxn ang="0">
                                  <a:pos x="T2" y="T3"/>
                                </a:cxn>
                                <a:cxn ang="0">
                                  <a:pos x="T4" y="T5"/>
                                </a:cxn>
                                <a:cxn ang="0">
                                  <a:pos x="T6" y="T7"/>
                                </a:cxn>
                                <a:cxn ang="0">
                                  <a:pos x="T8" y="T9"/>
                                </a:cxn>
                              </a:cxnLst>
                              <a:rect l="0" t="0" r="r" b="b"/>
                              <a:pathLst>
                                <a:path w="7918" h="252">
                                  <a:moveTo>
                                    <a:pt x="0" y="252"/>
                                  </a:moveTo>
                                  <a:lnTo>
                                    <a:pt x="7918" y="252"/>
                                  </a:lnTo>
                                  <a:lnTo>
                                    <a:pt x="7918"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5" name="Group 3198"/>
                        <wpg:cNvGrpSpPr>
                          <a:grpSpLocks/>
                        </wpg:cNvGrpSpPr>
                        <wpg:grpSpPr bwMode="auto">
                          <a:xfrm>
                            <a:off x="0" y="252"/>
                            <a:ext cx="7918" cy="252"/>
                            <a:chOff x="0" y="252"/>
                            <a:chExt cx="7918" cy="252"/>
                          </a:xfrm>
                        </wpg:grpSpPr>
                        <wps:wsp>
                          <wps:cNvPr id="3206" name="Freeform 3199"/>
                          <wps:cNvSpPr>
                            <a:spLocks/>
                          </wps:cNvSpPr>
                          <wps:spPr bwMode="auto">
                            <a:xfrm>
                              <a:off x="0" y="252"/>
                              <a:ext cx="7918" cy="252"/>
                            </a:xfrm>
                            <a:custGeom>
                              <a:avLst/>
                              <a:gdLst>
                                <a:gd name="T0" fmla="*/ 0 w 7918"/>
                                <a:gd name="T1" fmla="+- 0 504 252"/>
                                <a:gd name="T2" fmla="*/ 504 h 252"/>
                                <a:gd name="T3" fmla="*/ 7918 w 7918"/>
                                <a:gd name="T4" fmla="+- 0 504 252"/>
                                <a:gd name="T5" fmla="*/ 504 h 252"/>
                                <a:gd name="T6" fmla="*/ 7918 w 7918"/>
                                <a:gd name="T7" fmla="+- 0 252 252"/>
                                <a:gd name="T8" fmla="*/ 252 h 252"/>
                                <a:gd name="T9" fmla="*/ 0 w 7918"/>
                                <a:gd name="T10" fmla="+- 0 252 252"/>
                                <a:gd name="T11" fmla="*/ 252 h 252"/>
                                <a:gd name="T12" fmla="*/ 0 w 7918"/>
                                <a:gd name="T13" fmla="+- 0 504 252"/>
                                <a:gd name="T14" fmla="*/ 504 h 252"/>
                              </a:gdLst>
                              <a:ahLst/>
                              <a:cxnLst>
                                <a:cxn ang="0">
                                  <a:pos x="T0" y="T2"/>
                                </a:cxn>
                                <a:cxn ang="0">
                                  <a:pos x="T3" y="T5"/>
                                </a:cxn>
                                <a:cxn ang="0">
                                  <a:pos x="T6" y="T8"/>
                                </a:cxn>
                                <a:cxn ang="0">
                                  <a:pos x="T9" y="T11"/>
                                </a:cxn>
                                <a:cxn ang="0">
                                  <a:pos x="T12" y="T14"/>
                                </a:cxn>
                              </a:cxnLst>
                              <a:rect l="0" t="0" r="r" b="b"/>
                              <a:pathLst>
                                <a:path w="7918" h="252">
                                  <a:moveTo>
                                    <a:pt x="0" y="252"/>
                                  </a:moveTo>
                                  <a:lnTo>
                                    <a:pt x="7918" y="252"/>
                                  </a:lnTo>
                                  <a:lnTo>
                                    <a:pt x="7918"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7" name="Group 3195"/>
                        <wpg:cNvGrpSpPr>
                          <a:grpSpLocks/>
                        </wpg:cNvGrpSpPr>
                        <wpg:grpSpPr bwMode="auto">
                          <a:xfrm>
                            <a:off x="0" y="504"/>
                            <a:ext cx="5050" cy="255"/>
                            <a:chOff x="0" y="504"/>
                            <a:chExt cx="5050" cy="255"/>
                          </a:xfrm>
                        </wpg:grpSpPr>
                        <wps:wsp>
                          <wps:cNvPr id="3208" name="Freeform 3197"/>
                          <wps:cNvSpPr>
                            <a:spLocks/>
                          </wps:cNvSpPr>
                          <wps:spPr bwMode="auto">
                            <a:xfrm>
                              <a:off x="0" y="504"/>
                              <a:ext cx="5050" cy="255"/>
                            </a:xfrm>
                            <a:custGeom>
                              <a:avLst/>
                              <a:gdLst>
                                <a:gd name="T0" fmla="*/ 0 w 5050"/>
                                <a:gd name="T1" fmla="+- 0 758 504"/>
                                <a:gd name="T2" fmla="*/ 758 h 255"/>
                                <a:gd name="T3" fmla="*/ 5050 w 5050"/>
                                <a:gd name="T4" fmla="+- 0 758 504"/>
                                <a:gd name="T5" fmla="*/ 758 h 255"/>
                                <a:gd name="T6" fmla="*/ 5050 w 5050"/>
                                <a:gd name="T7" fmla="+- 0 504 504"/>
                                <a:gd name="T8" fmla="*/ 504 h 255"/>
                                <a:gd name="T9" fmla="*/ 0 w 5050"/>
                                <a:gd name="T10" fmla="+- 0 504 504"/>
                                <a:gd name="T11" fmla="*/ 504 h 255"/>
                                <a:gd name="T12" fmla="*/ 0 w 5050"/>
                                <a:gd name="T13" fmla="+- 0 758 504"/>
                                <a:gd name="T14" fmla="*/ 758 h 255"/>
                              </a:gdLst>
                              <a:ahLst/>
                              <a:cxnLst>
                                <a:cxn ang="0">
                                  <a:pos x="T0" y="T2"/>
                                </a:cxn>
                                <a:cxn ang="0">
                                  <a:pos x="T3" y="T5"/>
                                </a:cxn>
                                <a:cxn ang="0">
                                  <a:pos x="T6" y="T8"/>
                                </a:cxn>
                                <a:cxn ang="0">
                                  <a:pos x="T9" y="T11"/>
                                </a:cxn>
                                <a:cxn ang="0">
                                  <a:pos x="T12" y="T14"/>
                                </a:cxn>
                              </a:cxnLst>
                              <a:rect l="0" t="0" r="r" b="b"/>
                              <a:pathLst>
                                <a:path w="5050" h="255">
                                  <a:moveTo>
                                    <a:pt x="0" y="254"/>
                                  </a:moveTo>
                                  <a:lnTo>
                                    <a:pt x="5050" y="254"/>
                                  </a:lnTo>
                                  <a:lnTo>
                                    <a:pt x="5050"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Text Box 3196"/>
                          <wps:cNvSpPr txBox="1">
                            <a:spLocks noChangeArrowheads="1"/>
                          </wps:cNvSpPr>
                          <wps:spPr bwMode="auto">
                            <a:xfrm>
                              <a:off x="0" y="0"/>
                              <a:ext cx="792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line="252" w:lineRule="exact"/>
                                  <w:jc w:val="both"/>
                                  <w:rPr>
                                    <w:rFonts w:ascii="Arial" w:eastAsia="Arial" w:hAnsi="Arial" w:cs="Arial"/>
                                  </w:rPr>
                                </w:pPr>
                                <w:r>
                                  <w:rPr>
                                    <w:rFonts w:ascii="Arial" w:eastAsia="Arial" w:hAnsi="Arial" w:cs="Arial"/>
                                    <w:b/>
                                    <w:bCs/>
                                    <w:i/>
                                    <w:spacing w:val="-1"/>
                                  </w:rPr>
                                  <w:t>[Guidance</w:t>
                                </w:r>
                                <w:r>
                                  <w:rPr>
                                    <w:rFonts w:ascii="Arial" w:eastAsia="Arial" w:hAnsi="Arial" w:cs="Arial"/>
                                    <w:b/>
                                    <w:bCs/>
                                    <w:i/>
                                    <w:spacing w:val="29"/>
                                  </w:rPr>
                                  <w:t xml:space="preserve"> </w:t>
                                </w:r>
                                <w:r>
                                  <w:rPr>
                                    <w:rFonts w:ascii="Arial" w:eastAsia="Arial" w:hAnsi="Arial" w:cs="Arial"/>
                                    <w:b/>
                                    <w:bCs/>
                                    <w:i/>
                                    <w:spacing w:val="-2"/>
                                  </w:rPr>
                                  <w:t>Note:</w:t>
                                </w:r>
                                <w:r>
                                  <w:rPr>
                                    <w:rFonts w:ascii="Arial" w:eastAsia="Arial" w:hAnsi="Arial" w:cs="Arial"/>
                                    <w:b/>
                                    <w:bCs/>
                                    <w:i/>
                                    <w:spacing w:val="30"/>
                                  </w:rPr>
                                  <w:t xml:space="preserve"> </w:t>
                                </w:r>
                                <w:r>
                                  <w:rPr>
                                    <w:rFonts w:ascii="Arial" w:eastAsia="Arial" w:hAnsi="Arial" w:cs="Arial"/>
                                    <w:b/>
                                    <w:bCs/>
                                    <w:i/>
                                    <w:spacing w:val="-1"/>
                                  </w:rPr>
                                  <w:t>See</w:t>
                                </w:r>
                                <w:r>
                                  <w:rPr>
                                    <w:rFonts w:ascii="Arial" w:eastAsia="Arial" w:hAnsi="Arial" w:cs="Arial"/>
                                    <w:b/>
                                    <w:bCs/>
                                    <w:i/>
                                    <w:spacing w:val="29"/>
                                  </w:rPr>
                                  <w:t xml:space="preserve"> </w:t>
                                </w:r>
                                <w:r>
                                  <w:rPr>
                                    <w:rFonts w:ascii="Arial" w:eastAsia="Arial" w:hAnsi="Arial" w:cs="Arial"/>
                                    <w:b/>
                                    <w:bCs/>
                                    <w:i/>
                                    <w:spacing w:val="-1"/>
                                  </w:rPr>
                                  <w:t>also</w:t>
                                </w:r>
                                <w:r>
                                  <w:rPr>
                                    <w:rFonts w:ascii="Arial" w:eastAsia="Arial" w:hAnsi="Arial" w:cs="Arial"/>
                                    <w:b/>
                                    <w:bCs/>
                                    <w:i/>
                                    <w:spacing w:val="29"/>
                                  </w:rPr>
                                  <w:t xml:space="preserve"> </w:t>
                                </w:r>
                                <w:r>
                                  <w:rPr>
                                    <w:rFonts w:ascii="Arial" w:eastAsia="Arial" w:hAnsi="Arial" w:cs="Arial"/>
                                    <w:b/>
                                    <w:bCs/>
                                    <w:i/>
                                    <w:spacing w:val="-1"/>
                                  </w:rPr>
                                  <w:t>Clauses</w:t>
                                </w:r>
                                <w:r>
                                  <w:rPr>
                                    <w:rFonts w:ascii="Arial" w:eastAsia="Arial" w:hAnsi="Arial" w:cs="Arial"/>
                                    <w:b/>
                                    <w:bCs/>
                                    <w:i/>
                                    <w:spacing w:val="30"/>
                                  </w:rPr>
                                  <w:t xml:space="preserve"> </w:t>
                                </w:r>
                                <w:hyperlink w:anchor="_bookmark71" w:history="1">
                                  <w:r>
                                    <w:rPr>
                                      <w:rFonts w:ascii="Arial" w:eastAsia="Arial" w:hAnsi="Arial" w:cs="Arial"/>
                                      <w:b/>
                                      <w:bCs/>
                                      <w:i/>
                                      <w:spacing w:val="-1"/>
                                    </w:rPr>
                                    <w:t>8.1</w:t>
                                  </w:r>
                                </w:hyperlink>
                                <w:r>
                                  <w:rPr>
                                    <w:rFonts w:ascii="Arial" w:eastAsia="Arial" w:hAnsi="Arial" w:cs="Arial"/>
                                    <w:b/>
                                    <w:bCs/>
                                    <w:i/>
                                    <w:spacing w:val="29"/>
                                  </w:rPr>
                                  <w:t xml:space="preserve"> </w:t>
                                </w:r>
                                <w:r>
                                  <w:rPr>
                                    <w:rFonts w:ascii="Arial" w:eastAsia="Arial" w:hAnsi="Arial" w:cs="Arial"/>
                                    <w:b/>
                                    <w:bCs/>
                                    <w:i/>
                                    <w:spacing w:val="-1"/>
                                  </w:rPr>
                                  <w:t>and/or</w:t>
                                </w:r>
                                <w:r>
                                  <w:rPr>
                                    <w:rFonts w:ascii="Arial" w:eastAsia="Arial" w:hAnsi="Arial" w:cs="Arial"/>
                                    <w:b/>
                                    <w:bCs/>
                                    <w:i/>
                                    <w:spacing w:val="28"/>
                                  </w:rPr>
                                  <w:t xml:space="preserve"> </w:t>
                                </w:r>
                                <w:hyperlink w:anchor="_bookmark77" w:history="1">
                                  <w:r>
                                    <w:rPr>
                                      <w:rFonts w:ascii="Arial" w:eastAsia="Arial" w:hAnsi="Arial" w:cs="Arial"/>
                                      <w:b/>
                                      <w:bCs/>
                                      <w:i/>
                                    </w:rPr>
                                    <w:t>9.1</w:t>
                                  </w:r>
                                </w:hyperlink>
                                <w:r>
                                  <w:rPr>
                                    <w:rFonts w:ascii="Arial" w:eastAsia="Arial" w:hAnsi="Arial" w:cs="Arial"/>
                                    <w:b/>
                                    <w:bCs/>
                                    <w:i/>
                                    <w:spacing w:val="29"/>
                                  </w:rPr>
                                  <w:t xml:space="preserve"> </w:t>
                                </w:r>
                                <w:r>
                                  <w:rPr>
                                    <w:rFonts w:ascii="Arial" w:eastAsia="Arial" w:hAnsi="Arial" w:cs="Arial"/>
                                    <w:b/>
                                    <w:bCs/>
                                    <w:i/>
                                    <w:spacing w:val="-1"/>
                                  </w:rPr>
                                  <w:t>of</w:t>
                                </w:r>
                                <w:r>
                                  <w:rPr>
                                    <w:rFonts w:ascii="Arial" w:eastAsia="Arial" w:hAnsi="Arial" w:cs="Arial"/>
                                    <w:b/>
                                    <w:bCs/>
                                    <w:i/>
                                    <w:spacing w:val="28"/>
                                  </w:rPr>
                                  <w:t xml:space="preserve"> </w:t>
                                </w:r>
                                <w:r>
                                  <w:rPr>
                                    <w:rFonts w:ascii="Arial" w:eastAsia="Arial" w:hAnsi="Arial" w:cs="Arial"/>
                                    <w:b/>
                                    <w:bCs/>
                                    <w:i/>
                                    <w:spacing w:val="-1"/>
                                  </w:rPr>
                                  <w:t>the</w:t>
                                </w:r>
                                <w:r>
                                  <w:rPr>
                                    <w:rFonts w:ascii="Arial" w:eastAsia="Arial" w:hAnsi="Arial" w:cs="Arial"/>
                                    <w:b/>
                                    <w:bCs/>
                                    <w:i/>
                                    <w:spacing w:val="29"/>
                                  </w:rPr>
                                  <w:t xml:space="preserve"> </w:t>
                                </w:r>
                                <w:r>
                                  <w:rPr>
                                    <w:rFonts w:ascii="Arial" w:eastAsia="Arial" w:hAnsi="Arial" w:cs="Arial"/>
                                    <w:b/>
                                    <w:bCs/>
                                    <w:i/>
                                    <w:spacing w:val="-1"/>
                                  </w:rPr>
                                  <w:t>Template</w:t>
                                </w:r>
                                <w:r>
                                  <w:rPr>
                                    <w:rFonts w:ascii="Arial" w:eastAsia="Arial" w:hAnsi="Arial" w:cs="Arial"/>
                                    <w:b/>
                                    <w:bCs/>
                                    <w:i/>
                                    <w:spacing w:val="29"/>
                                  </w:rPr>
                                  <w:t xml:space="preserve"> </w:t>
                                </w:r>
                                <w:r>
                                  <w:rPr>
                                    <w:rFonts w:ascii="Arial" w:eastAsia="Arial" w:hAnsi="Arial" w:cs="Arial"/>
                                    <w:b/>
                                    <w:bCs/>
                                    <w:i/>
                                    <w:spacing w:val="-1"/>
                                  </w:rPr>
                                  <w:t>Call</w:t>
                                </w:r>
                                <w:r>
                                  <w:rPr>
                                    <w:rFonts w:ascii="Arial" w:eastAsia="Arial" w:hAnsi="Arial" w:cs="Arial"/>
                                    <w:b/>
                                    <w:bCs/>
                                    <w:i/>
                                    <w:spacing w:val="28"/>
                                  </w:rPr>
                                  <w:t xml:space="preserve"> </w:t>
                                </w:r>
                                <w:r>
                                  <w:rPr>
                                    <w:rFonts w:ascii="Arial" w:eastAsia="Arial" w:hAnsi="Arial" w:cs="Arial"/>
                                    <w:b/>
                                    <w:bCs/>
                                    <w:i/>
                                    <w:spacing w:val="-1"/>
                                  </w:rPr>
                                  <w:t>Off</w:t>
                                </w:r>
                                <w:r>
                                  <w:rPr>
                                    <w:rFonts w:ascii="Arial" w:eastAsia="Arial" w:hAnsi="Arial" w:cs="Arial"/>
                                    <w:b/>
                                    <w:bCs/>
                                    <w:i/>
                                    <w:spacing w:val="51"/>
                                  </w:rPr>
                                  <w:t xml:space="preserve"> </w:t>
                                </w:r>
                                <w:r>
                                  <w:rPr>
                                    <w:rFonts w:ascii="Arial" w:eastAsia="Arial" w:hAnsi="Arial" w:cs="Arial"/>
                                    <w:b/>
                                    <w:bCs/>
                                    <w:i/>
                                    <w:spacing w:val="-1"/>
                                  </w:rPr>
                                  <w:t>Terms</w:t>
                                </w:r>
                                <w:r>
                                  <w:rPr>
                                    <w:rFonts w:ascii="Arial" w:eastAsia="Arial" w:hAnsi="Arial" w:cs="Arial"/>
                                    <w:b/>
                                    <w:bCs/>
                                    <w:i/>
                                    <w:spacing w:val="15"/>
                                  </w:rPr>
                                  <w:t xml:space="preserve"> </w:t>
                                </w:r>
                                <w:r>
                                  <w:rPr>
                                    <w:rFonts w:ascii="Arial" w:eastAsia="Arial" w:hAnsi="Arial" w:cs="Arial"/>
                                    <w:b/>
                                    <w:bCs/>
                                    <w:i/>
                                  </w:rPr>
                                  <w:t>in</w:t>
                                </w:r>
                                <w:r>
                                  <w:rPr>
                                    <w:rFonts w:ascii="Arial" w:eastAsia="Arial" w:hAnsi="Arial" w:cs="Arial"/>
                                    <w:b/>
                                    <w:bCs/>
                                    <w:i/>
                                    <w:spacing w:val="15"/>
                                  </w:rPr>
                                  <w:t xml:space="preserve"> </w:t>
                                </w:r>
                                <w:r>
                                  <w:rPr>
                                    <w:rFonts w:ascii="Arial" w:eastAsia="Arial" w:hAnsi="Arial" w:cs="Arial"/>
                                    <w:b/>
                                    <w:bCs/>
                                    <w:i/>
                                    <w:spacing w:val="-1"/>
                                  </w:rPr>
                                  <w:t>relation</w:t>
                                </w:r>
                                <w:r>
                                  <w:rPr>
                                    <w:rFonts w:ascii="Arial" w:eastAsia="Arial" w:hAnsi="Arial" w:cs="Arial"/>
                                    <w:b/>
                                    <w:bCs/>
                                    <w:i/>
                                    <w:spacing w:val="15"/>
                                  </w:rPr>
                                  <w:t xml:space="preserve"> </w:t>
                                </w:r>
                                <w:r>
                                  <w:rPr>
                                    <w:rFonts w:ascii="Arial" w:eastAsia="Arial" w:hAnsi="Arial" w:cs="Arial"/>
                                    <w:b/>
                                    <w:bCs/>
                                    <w:i/>
                                  </w:rPr>
                                  <w:t>to</w:t>
                                </w:r>
                                <w:r>
                                  <w:rPr>
                                    <w:rFonts w:ascii="Arial" w:eastAsia="Arial" w:hAnsi="Arial" w:cs="Arial"/>
                                    <w:b/>
                                    <w:bCs/>
                                    <w:i/>
                                    <w:spacing w:val="15"/>
                                  </w:rPr>
                                  <w:t xml:space="preserve"> </w:t>
                                </w:r>
                                <w:r>
                                  <w:rPr>
                                    <w:rFonts w:ascii="Arial" w:eastAsia="Arial" w:hAnsi="Arial" w:cs="Arial"/>
                                    <w:b/>
                                    <w:bCs/>
                                    <w:i/>
                                    <w:spacing w:val="-1"/>
                                  </w:rPr>
                                  <w:t>time</w:t>
                                </w:r>
                                <w:r>
                                  <w:rPr>
                                    <w:rFonts w:ascii="Arial" w:eastAsia="Arial" w:hAnsi="Arial" w:cs="Arial"/>
                                    <w:b/>
                                    <w:bCs/>
                                    <w:i/>
                                    <w:spacing w:val="15"/>
                                  </w:rPr>
                                  <w:t xml:space="preserve"> </w:t>
                                </w:r>
                                <w:r>
                                  <w:rPr>
                                    <w:rFonts w:ascii="Arial" w:eastAsia="Arial" w:hAnsi="Arial" w:cs="Arial"/>
                                    <w:b/>
                                    <w:bCs/>
                                    <w:i/>
                                    <w:spacing w:val="-1"/>
                                  </w:rPr>
                                  <w:t>of</w:t>
                                </w:r>
                                <w:r>
                                  <w:rPr>
                                    <w:rFonts w:ascii="Arial" w:eastAsia="Arial" w:hAnsi="Arial" w:cs="Arial"/>
                                    <w:b/>
                                    <w:bCs/>
                                    <w:i/>
                                    <w:spacing w:val="16"/>
                                  </w:rPr>
                                  <w:t xml:space="preserve"> </w:t>
                                </w:r>
                                <w:r>
                                  <w:rPr>
                                    <w:rFonts w:ascii="Arial" w:eastAsia="Arial" w:hAnsi="Arial" w:cs="Arial"/>
                                    <w:b/>
                                    <w:bCs/>
                                    <w:i/>
                                    <w:spacing w:val="-1"/>
                                  </w:rPr>
                                  <w:t>Delivery.</w:t>
                                </w:r>
                                <w:r>
                                  <w:rPr>
                                    <w:rFonts w:ascii="Arial" w:eastAsia="Arial" w:hAnsi="Arial" w:cs="Arial"/>
                                    <w:b/>
                                    <w:bCs/>
                                    <w:i/>
                                    <w:spacing w:val="16"/>
                                  </w:rPr>
                                  <w:t xml:space="preserve"> </w:t>
                                </w:r>
                                <w:r>
                                  <w:rPr>
                                    <w:rFonts w:ascii="Arial" w:eastAsia="Arial" w:hAnsi="Arial" w:cs="Arial"/>
                                    <w:b/>
                                    <w:bCs/>
                                    <w:i/>
                                    <w:spacing w:val="-1"/>
                                  </w:rPr>
                                  <w:t>Consider</w:t>
                                </w:r>
                                <w:r>
                                  <w:rPr>
                                    <w:rFonts w:ascii="Arial" w:eastAsia="Arial" w:hAnsi="Arial" w:cs="Arial"/>
                                    <w:b/>
                                    <w:bCs/>
                                    <w:i/>
                                    <w:spacing w:val="16"/>
                                  </w:rPr>
                                  <w:t xml:space="preserve"> </w:t>
                                </w:r>
                                <w:r>
                                  <w:rPr>
                                    <w:rFonts w:ascii="Arial" w:eastAsia="Arial" w:hAnsi="Arial" w:cs="Arial"/>
                                    <w:b/>
                                    <w:bCs/>
                                    <w:i/>
                                  </w:rPr>
                                  <w:t>if</w:t>
                                </w:r>
                                <w:r>
                                  <w:rPr>
                                    <w:rFonts w:ascii="Arial" w:eastAsia="Arial" w:hAnsi="Arial" w:cs="Arial"/>
                                    <w:b/>
                                    <w:bCs/>
                                    <w:i/>
                                    <w:spacing w:val="16"/>
                                  </w:rPr>
                                  <w:t xml:space="preserve"> </w:t>
                                </w:r>
                                <w:r>
                                  <w:rPr>
                                    <w:rFonts w:ascii="Arial" w:eastAsia="Arial" w:hAnsi="Arial" w:cs="Arial"/>
                                    <w:b/>
                                    <w:bCs/>
                                    <w:i/>
                                    <w:spacing w:val="-1"/>
                                  </w:rPr>
                                  <w:t>you</w:t>
                                </w:r>
                                <w:r>
                                  <w:rPr>
                                    <w:rFonts w:ascii="Arial" w:eastAsia="Arial" w:hAnsi="Arial" w:cs="Arial"/>
                                    <w:b/>
                                    <w:bCs/>
                                    <w:i/>
                                    <w:spacing w:val="15"/>
                                  </w:rPr>
                                  <w:t xml:space="preserve"> </w:t>
                                </w:r>
                                <w:r>
                                  <w:rPr>
                                    <w:rFonts w:ascii="Arial" w:eastAsia="Arial" w:hAnsi="Arial" w:cs="Arial"/>
                                    <w:b/>
                                    <w:bCs/>
                                    <w:i/>
                                    <w:spacing w:val="-1"/>
                                  </w:rPr>
                                  <w:t>should</w:t>
                                </w:r>
                                <w:r>
                                  <w:rPr>
                                    <w:rFonts w:ascii="Arial" w:eastAsia="Arial" w:hAnsi="Arial" w:cs="Arial"/>
                                    <w:b/>
                                    <w:bCs/>
                                    <w:i/>
                                    <w:spacing w:val="15"/>
                                  </w:rPr>
                                  <w:t xml:space="preserve"> </w:t>
                                </w:r>
                                <w:r>
                                  <w:rPr>
                                    <w:rFonts w:ascii="Arial" w:eastAsia="Arial" w:hAnsi="Arial" w:cs="Arial"/>
                                    <w:b/>
                                    <w:bCs/>
                                    <w:i/>
                                    <w:spacing w:val="-1"/>
                                  </w:rPr>
                                  <w:t>make</w:t>
                                </w:r>
                                <w:r>
                                  <w:rPr>
                                    <w:rFonts w:ascii="Arial" w:eastAsia="Arial" w:hAnsi="Arial" w:cs="Arial"/>
                                    <w:b/>
                                    <w:bCs/>
                                    <w:i/>
                                    <w:spacing w:val="15"/>
                                  </w:rPr>
                                  <w:t xml:space="preserve"> </w:t>
                                </w:r>
                                <w:r>
                                  <w:rPr>
                                    <w:rFonts w:ascii="Arial" w:eastAsia="Arial" w:hAnsi="Arial" w:cs="Arial"/>
                                    <w:b/>
                                    <w:bCs/>
                                    <w:i/>
                                    <w:spacing w:val="-1"/>
                                  </w:rPr>
                                  <w:t>'time</w:t>
                                </w:r>
                                <w:r>
                                  <w:rPr>
                                    <w:rFonts w:ascii="Arial" w:eastAsia="Arial" w:hAnsi="Arial" w:cs="Arial"/>
                                    <w:b/>
                                    <w:bCs/>
                                    <w:i/>
                                    <w:spacing w:val="15"/>
                                  </w:rPr>
                                  <w:t xml:space="preserve"> </w:t>
                                </w:r>
                                <w:r>
                                  <w:rPr>
                                    <w:rFonts w:ascii="Arial" w:eastAsia="Arial" w:hAnsi="Arial" w:cs="Arial"/>
                                    <w:b/>
                                    <w:bCs/>
                                    <w:i/>
                                    <w:spacing w:val="-1"/>
                                  </w:rPr>
                                  <w:t>of</w:t>
                                </w:r>
                                <w:r>
                                  <w:rPr>
                                    <w:rFonts w:ascii="Arial" w:eastAsia="Arial" w:hAnsi="Arial" w:cs="Arial"/>
                                    <w:b/>
                                    <w:bCs/>
                                    <w:i/>
                                    <w:spacing w:val="38"/>
                                  </w:rPr>
                                  <w:t xml:space="preserve"> </w:t>
                                </w:r>
                                <w:r>
                                  <w:rPr>
                                    <w:rFonts w:ascii="Arial" w:eastAsia="Arial" w:hAnsi="Arial" w:cs="Arial"/>
                                    <w:b/>
                                    <w:bCs/>
                                    <w:i/>
                                    <w:spacing w:val="-1"/>
                                  </w:rPr>
                                  <w:t>the</w:t>
                                </w:r>
                                <w:r>
                                  <w:rPr>
                                    <w:rFonts w:ascii="Arial" w:eastAsia="Arial" w:hAnsi="Arial" w:cs="Arial"/>
                                    <w:b/>
                                    <w:bCs/>
                                    <w:i/>
                                  </w:rPr>
                                  <w:t xml:space="preserve"> </w:t>
                                </w:r>
                                <w:r>
                                  <w:rPr>
                                    <w:rFonts w:ascii="Arial" w:eastAsia="Arial" w:hAnsi="Arial" w:cs="Arial"/>
                                    <w:b/>
                                    <w:bCs/>
                                    <w:i/>
                                    <w:spacing w:val="-1"/>
                                  </w:rPr>
                                  <w:t>essence”</w:t>
                                </w:r>
                                <w:r>
                                  <w:rPr>
                                    <w:rFonts w:ascii="Arial" w:eastAsia="Arial" w:hAnsi="Arial" w:cs="Arial"/>
                                    <w:b/>
                                    <w:bCs/>
                                    <w:i/>
                                    <w:spacing w:val="-2"/>
                                  </w:rPr>
                                  <w:t xml:space="preserve"> </w:t>
                                </w:r>
                                <w:r>
                                  <w:rPr>
                                    <w:rFonts w:ascii="Arial" w:eastAsia="Arial" w:hAnsi="Arial" w:cs="Arial"/>
                                    <w:b/>
                                    <w:bCs/>
                                    <w:i/>
                                  </w:rPr>
                                  <w:t>in</w:t>
                                </w:r>
                                <w:r>
                                  <w:rPr>
                                    <w:rFonts w:ascii="Arial" w:eastAsia="Arial" w:hAnsi="Arial" w:cs="Arial"/>
                                    <w:b/>
                                    <w:bCs/>
                                    <w:i/>
                                    <w:spacing w:val="-2"/>
                                  </w:rPr>
                                  <w:t xml:space="preserve"> </w:t>
                                </w:r>
                                <w:r>
                                  <w:rPr>
                                    <w:rFonts w:ascii="Arial" w:eastAsia="Arial" w:hAnsi="Arial" w:cs="Arial"/>
                                    <w:b/>
                                    <w:bCs/>
                                    <w:i/>
                                    <w:spacing w:val="-1"/>
                                  </w:rPr>
                                  <w:t>respect</w:t>
                                </w:r>
                                <w:r>
                                  <w:rPr>
                                    <w:rFonts w:ascii="Arial" w:eastAsia="Arial" w:hAnsi="Arial" w:cs="Arial"/>
                                    <w:b/>
                                    <w:bCs/>
                                    <w:i/>
                                    <w:spacing w:val="2"/>
                                  </w:rPr>
                                  <w:t xml:space="preserve"> </w:t>
                                </w:r>
                                <w:r>
                                  <w:rPr>
                                    <w:rFonts w:ascii="Arial" w:eastAsia="Arial" w:hAnsi="Arial" w:cs="Arial"/>
                                    <w:b/>
                                    <w:bCs/>
                                    <w:i/>
                                    <w:spacing w:val="-1"/>
                                  </w:rPr>
                                  <w:t>of any</w:t>
                                </w:r>
                                <w:r>
                                  <w:rPr>
                                    <w:rFonts w:ascii="Arial" w:eastAsia="Arial" w:hAnsi="Arial" w:cs="Arial"/>
                                    <w:b/>
                                    <w:bCs/>
                                    <w:i/>
                                    <w:spacing w:val="-2"/>
                                  </w:rPr>
                                  <w:t xml:space="preserve"> </w:t>
                                </w:r>
                                <w:r>
                                  <w:rPr>
                                    <w:rFonts w:ascii="Arial" w:eastAsia="Arial" w:hAnsi="Arial" w:cs="Arial"/>
                                    <w:b/>
                                    <w:bCs/>
                                    <w:i/>
                                    <w:spacing w:val="-1"/>
                                  </w:rPr>
                                  <w:t>Milestone</w:t>
                                </w:r>
                                <w:r>
                                  <w:rPr>
                                    <w:rFonts w:ascii="Arial" w:eastAsia="Arial" w:hAnsi="Arial" w:cs="Arial"/>
                                    <w:b/>
                                    <w:bCs/>
                                    <w:i/>
                                  </w:rPr>
                                  <w:t xml:space="preserve"> </w:t>
                                </w:r>
                                <w:r>
                                  <w:rPr>
                                    <w:rFonts w:ascii="Arial" w:eastAsia="Arial" w:hAnsi="Arial" w:cs="Arial"/>
                                    <w:b/>
                                    <w:bCs/>
                                    <w:i/>
                                    <w:spacing w:val="-2"/>
                                  </w:rPr>
                                  <w:t>Dates.]</w:t>
                                </w:r>
                              </w:p>
                            </w:txbxContent>
                          </wps:txbx>
                          <wps:bodyPr rot="0" vert="horz" wrap="square" lIns="0" tIns="0" rIns="0" bIns="0" anchor="t" anchorCtr="0" upright="1">
                            <a:noAutofit/>
                          </wps:bodyPr>
                        </wps:wsp>
                      </wpg:grpSp>
                    </wpg:wgp>
                  </a:graphicData>
                </a:graphic>
              </wp:inline>
            </w:drawing>
          </mc:Choice>
          <mc:Fallback>
            <w:pict>
              <v:group w14:anchorId="00CCB50A" id="Group 3194" o:spid="_x0000_s1249" style="width:396pt;height:37.95pt;mso-position-horizontal-relative:char;mso-position-vertical-relative:line" coordsize="792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">
                <v:group id="Group 3200" o:spid="_x0000_s1250" style="position:absolute;width:7918;height:252" coordsize="79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shape id="Freeform 3201" o:spid="_x0000_s1251" style="position:absolute;width:7918;height:252;visibility:visible;mso-wrap-style:square;v-text-anchor:top" coordsize="79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bwMUA&#10;AADdAAAADwAAAGRycy9kb3ducmV2LnhtbESPzWsCMRTE74L/Q3iF3jRbW0S2RlFpwZufPfT22Lz9&#10;oJuXsEnX1L++EQSPw8z8hpkvo2lFT51vLCt4GWcgiAurG64UnE+foxkIH5A1tpZJwR95WC6Ggznm&#10;2l74QP0xVCJB2OeooA7B5VL6oiaDfmwdcfJK2xkMSXaV1B1eEty0cpJlU2mw4bRQo6NNTcXP8dco&#10;WH0ftibu4/rqduVX2buPNdFZqeenuHoHESiGR/je3moFr5PsDW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pvAxQAAAN0AAAAPAAAAAAAAAAAAAAAAAJgCAABkcnMv&#10;ZG93bnJldi54bWxQSwUGAAAAAAQABAD1AAAAigMAAAAA&#10;" path="m,252r7918,l7918,,,,,252xe" fillcolor="lime" stroked="f">
                    <v:path arrowok="t" o:connecttype="custom" o:connectlocs="0,252;7918,252;7918,0;0,0;0,252" o:connectangles="0,0,0,0,0"/>
                  </v:shape>
                </v:group>
                <v:group id="Group 3198" o:spid="_x0000_s1252" style="position:absolute;top:252;width:7918;height:252" coordorigin=",252" coordsize="79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3199" o:spid="_x0000_s1253" style="position:absolute;top:252;width:7918;height:252;visibility:visible;mso-wrap-style:square;v-text-anchor:top" coordsize="79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gLMQA&#10;AADdAAAADwAAAGRycy9kb3ducmV2LnhtbESPzWsCMRTE70L/h/AKvWm2ClK2RtGi4K1+Hrw9Nm8/&#10;6OYlbOKa9q83gtDjMDO/YWaLaFrRU+cbywreRxkI4sLqhisFp+Nm+AHCB2SNrWVS8EseFvOXwQxz&#10;bW+8p/4QKpEg7HNUUIfgcil9UZNBP7KOOHml7QyGJLtK6g5vCW5aOc6yqTTYcFqo0dFXTcXP4WoU&#10;LC/7rYm7uPpz3+W57N16RXRS6u01Lj9BBIrhP/xsb7WCyTibwuNNe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oCzEAAAA3QAAAA8AAAAAAAAAAAAAAAAAmAIAAGRycy9k&#10;b3ducmV2LnhtbFBLBQYAAAAABAAEAPUAAACJAwAAAAA=&#10;" path="m,252r7918,l7918,,,,,252xe" fillcolor="lime" stroked="f">
                    <v:path arrowok="t" o:connecttype="custom" o:connectlocs="0,504;7918,504;7918,252;0,252;0,504" o:connectangles="0,0,0,0,0"/>
                  </v:shape>
                </v:group>
                <v:group id="Group 3195" o:spid="_x0000_s1254" style="position:absolute;top:504;width:5050;height:255" coordorigin=",504" coordsize="505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3197" o:spid="_x0000_s1255" style="position:absolute;top:504;width:5050;height:255;visibility:visible;mso-wrap-style:square;v-text-anchor:top" coordsize="505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rGcMA&#10;AADdAAAADwAAAGRycy9kb3ducmV2LnhtbERPz2vCMBS+D/wfwhN2W1MV3aiNIoqwXQa6redH80y7&#10;NS+1ydr635vDYMeP73e+HW0jeup87VjBLElBEJdO12wUfH4cn15A+ICssXFMCm7kYbuZPOSYaTfw&#10;ifpzMCKGsM9QQRVCm0npy4os+sS1xJG7uM5iiLAzUnc4xHDbyHmarqTFmmNDhS3tKyp/zr9Wwde3&#10;ucri7fi+HIN5bgt7WM7ooNTjdNytQQQaw7/4z/2qFSzmaZwb38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hrGcMAAADdAAAADwAAAAAAAAAAAAAAAACYAgAAZHJzL2Rv&#10;d25yZXYueG1sUEsFBgAAAAAEAAQA9QAAAIgDAAAAAA==&#10;" path="m,254r5050,l5050,,,,,254xe" fillcolor="lime" stroked="f">
                    <v:path arrowok="t" o:connecttype="custom" o:connectlocs="0,758;5050,758;5050,504;0,504;0,758" o:connectangles="0,0,0,0,0"/>
                  </v:shape>
                  <v:shape id="Text Box 3196" o:spid="_x0000_s1256" type="#_x0000_t202" style="position:absolute;width:792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gbMUA&#10;AADdAAAADwAAAGRycy9kb3ducmV2LnhtbESPQWsCMRSE70L/Q3iF3jSpBdGtUaQoCEJx3R56fN08&#10;d4Obl+0m6vrvG0HocZiZb5j5sneNuFAXrGcNryMFgrj0xnKl4avYDKcgQkQ22HgmDTcKsFw8DeaY&#10;GX/lnC6HWIkE4ZChhjrGNpMylDU5DCPfEifv6DuHMcmukqbDa4K7Ro6VmkiHltNCjS191FSeDmen&#10;YfXN+dr+fv7s82Nui2KmeDc5af3y3K/eQUTq43/40d4aDW9j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yBsxQAAAN0AAAAPAAAAAAAAAAAAAAAAAJgCAABkcnMv&#10;ZG93bnJldi54bWxQSwUGAAAAAAQABAD1AAAAigMAAAAA&#10;" filled="f" stroked="f">
                    <v:textbox inset="0,0,0,0">
                      <w:txbxContent>
                        <w:p w:rsidR="005D2B81" w:rsidRDefault="005D2B81" w:rsidP="008918FA">
                          <w:pPr>
                            <w:spacing w:before="2" w:line="252" w:lineRule="exact"/>
                            <w:jc w:val="both"/>
                            <w:rPr>
                              <w:rFonts w:ascii="Arial" w:eastAsia="Arial" w:hAnsi="Arial" w:cs="Arial"/>
                            </w:rPr>
                          </w:pPr>
                          <w:r>
                            <w:rPr>
                              <w:rFonts w:ascii="Arial" w:eastAsia="Arial" w:hAnsi="Arial" w:cs="Arial"/>
                              <w:b/>
                              <w:bCs/>
                              <w:i/>
                              <w:spacing w:val="-1"/>
                            </w:rPr>
                            <w:t>[Guidance</w:t>
                          </w:r>
                          <w:r>
                            <w:rPr>
                              <w:rFonts w:ascii="Arial" w:eastAsia="Arial" w:hAnsi="Arial" w:cs="Arial"/>
                              <w:b/>
                              <w:bCs/>
                              <w:i/>
                              <w:spacing w:val="29"/>
                            </w:rPr>
                            <w:t xml:space="preserve"> </w:t>
                          </w:r>
                          <w:r>
                            <w:rPr>
                              <w:rFonts w:ascii="Arial" w:eastAsia="Arial" w:hAnsi="Arial" w:cs="Arial"/>
                              <w:b/>
                              <w:bCs/>
                              <w:i/>
                              <w:spacing w:val="-2"/>
                            </w:rPr>
                            <w:t>Note:</w:t>
                          </w:r>
                          <w:r>
                            <w:rPr>
                              <w:rFonts w:ascii="Arial" w:eastAsia="Arial" w:hAnsi="Arial" w:cs="Arial"/>
                              <w:b/>
                              <w:bCs/>
                              <w:i/>
                              <w:spacing w:val="30"/>
                            </w:rPr>
                            <w:t xml:space="preserve"> </w:t>
                          </w:r>
                          <w:r>
                            <w:rPr>
                              <w:rFonts w:ascii="Arial" w:eastAsia="Arial" w:hAnsi="Arial" w:cs="Arial"/>
                              <w:b/>
                              <w:bCs/>
                              <w:i/>
                              <w:spacing w:val="-1"/>
                            </w:rPr>
                            <w:t>See</w:t>
                          </w:r>
                          <w:r>
                            <w:rPr>
                              <w:rFonts w:ascii="Arial" w:eastAsia="Arial" w:hAnsi="Arial" w:cs="Arial"/>
                              <w:b/>
                              <w:bCs/>
                              <w:i/>
                              <w:spacing w:val="29"/>
                            </w:rPr>
                            <w:t xml:space="preserve"> </w:t>
                          </w:r>
                          <w:r>
                            <w:rPr>
                              <w:rFonts w:ascii="Arial" w:eastAsia="Arial" w:hAnsi="Arial" w:cs="Arial"/>
                              <w:b/>
                              <w:bCs/>
                              <w:i/>
                              <w:spacing w:val="-1"/>
                            </w:rPr>
                            <w:t>also</w:t>
                          </w:r>
                          <w:r>
                            <w:rPr>
                              <w:rFonts w:ascii="Arial" w:eastAsia="Arial" w:hAnsi="Arial" w:cs="Arial"/>
                              <w:b/>
                              <w:bCs/>
                              <w:i/>
                              <w:spacing w:val="29"/>
                            </w:rPr>
                            <w:t xml:space="preserve"> </w:t>
                          </w:r>
                          <w:r>
                            <w:rPr>
                              <w:rFonts w:ascii="Arial" w:eastAsia="Arial" w:hAnsi="Arial" w:cs="Arial"/>
                              <w:b/>
                              <w:bCs/>
                              <w:i/>
                              <w:spacing w:val="-1"/>
                            </w:rPr>
                            <w:t>Clauses</w:t>
                          </w:r>
                          <w:r>
                            <w:rPr>
                              <w:rFonts w:ascii="Arial" w:eastAsia="Arial" w:hAnsi="Arial" w:cs="Arial"/>
                              <w:b/>
                              <w:bCs/>
                              <w:i/>
                              <w:spacing w:val="30"/>
                            </w:rPr>
                            <w:t xml:space="preserve"> </w:t>
                          </w:r>
                          <w:hyperlink w:anchor="_bookmark71" w:history="1">
                            <w:r>
                              <w:rPr>
                                <w:rFonts w:ascii="Arial" w:eastAsia="Arial" w:hAnsi="Arial" w:cs="Arial"/>
                                <w:b/>
                                <w:bCs/>
                                <w:i/>
                                <w:spacing w:val="-1"/>
                              </w:rPr>
                              <w:t>8.1</w:t>
                            </w:r>
                          </w:hyperlink>
                          <w:r>
                            <w:rPr>
                              <w:rFonts w:ascii="Arial" w:eastAsia="Arial" w:hAnsi="Arial" w:cs="Arial"/>
                              <w:b/>
                              <w:bCs/>
                              <w:i/>
                              <w:spacing w:val="29"/>
                            </w:rPr>
                            <w:t xml:space="preserve"> </w:t>
                          </w:r>
                          <w:r>
                            <w:rPr>
                              <w:rFonts w:ascii="Arial" w:eastAsia="Arial" w:hAnsi="Arial" w:cs="Arial"/>
                              <w:b/>
                              <w:bCs/>
                              <w:i/>
                              <w:spacing w:val="-1"/>
                            </w:rPr>
                            <w:t>and/or</w:t>
                          </w:r>
                          <w:r>
                            <w:rPr>
                              <w:rFonts w:ascii="Arial" w:eastAsia="Arial" w:hAnsi="Arial" w:cs="Arial"/>
                              <w:b/>
                              <w:bCs/>
                              <w:i/>
                              <w:spacing w:val="28"/>
                            </w:rPr>
                            <w:t xml:space="preserve"> </w:t>
                          </w:r>
                          <w:hyperlink w:anchor="_bookmark77" w:history="1">
                            <w:r>
                              <w:rPr>
                                <w:rFonts w:ascii="Arial" w:eastAsia="Arial" w:hAnsi="Arial" w:cs="Arial"/>
                                <w:b/>
                                <w:bCs/>
                                <w:i/>
                              </w:rPr>
                              <w:t>9.1</w:t>
                            </w:r>
                          </w:hyperlink>
                          <w:r>
                            <w:rPr>
                              <w:rFonts w:ascii="Arial" w:eastAsia="Arial" w:hAnsi="Arial" w:cs="Arial"/>
                              <w:b/>
                              <w:bCs/>
                              <w:i/>
                              <w:spacing w:val="29"/>
                            </w:rPr>
                            <w:t xml:space="preserve"> </w:t>
                          </w:r>
                          <w:r>
                            <w:rPr>
                              <w:rFonts w:ascii="Arial" w:eastAsia="Arial" w:hAnsi="Arial" w:cs="Arial"/>
                              <w:b/>
                              <w:bCs/>
                              <w:i/>
                              <w:spacing w:val="-1"/>
                            </w:rPr>
                            <w:t>of</w:t>
                          </w:r>
                          <w:r>
                            <w:rPr>
                              <w:rFonts w:ascii="Arial" w:eastAsia="Arial" w:hAnsi="Arial" w:cs="Arial"/>
                              <w:b/>
                              <w:bCs/>
                              <w:i/>
                              <w:spacing w:val="28"/>
                            </w:rPr>
                            <w:t xml:space="preserve"> </w:t>
                          </w:r>
                          <w:r>
                            <w:rPr>
                              <w:rFonts w:ascii="Arial" w:eastAsia="Arial" w:hAnsi="Arial" w:cs="Arial"/>
                              <w:b/>
                              <w:bCs/>
                              <w:i/>
                              <w:spacing w:val="-1"/>
                            </w:rPr>
                            <w:t>the</w:t>
                          </w:r>
                          <w:r>
                            <w:rPr>
                              <w:rFonts w:ascii="Arial" w:eastAsia="Arial" w:hAnsi="Arial" w:cs="Arial"/>
                              <w:b/>
                              <w:bCs/>
                              <w:i/>
                              <w:spacing w:val="29"/>
                            </w:rPr>
                            <w:t xml:space="preserve"> </w:t>
                          </w:r>
                          <w:r>
                            <w:rPr>
                              <w:rFonts w:ascii="Arial" w:eastAsia="Arial" w:hAnsi="Arial" w:cs="Arial"/>
                              <w:b/>
                              <w:bCs/>
                              <w:i/>
                              <w:spacing w:val="-1"/>
                            </w:rPr>
                            <w:t>Template</w:t>
                          </w:r>
                          <w:r>
                            <w:rPr>
                              <w:rFonts w:ascii="Arial" w:eastAsia="Arial" w:hAnsi="Arial" w:cs="Arial"/>
                              <w:b/>
                              <w:bCs/>
                              <w:i/>
                              <w:spacing w:val="29"/>
                            </w:rPr>
                            <w:t xml:space="preserve"> </w:t>
                          </w:r>
                          <w:r>
                            <w:rPr>
                              <w:rFonts w:ascii="Arial" w:eastAsia="Arial" w:hAnsi="Arial" w:cs="Arial"/>
                              <w:b/>
                              <w:bCs/>
                              <w:i/>
                              <w:spacing w:val="-1"/>
                            </w:rPr>
                            <w:t>Call</w:t>
                          </w:r>
                          <w:r>
                            <w:rPr>
                              <w:rFonts w:ascii="Arial" w:eastAsia="Arial" w:hAnsi="Arial" w:cs="Arial"/>
                              <w:b/>
                              <w:bCs/>
                              <w:i/>
                              <w:spacing w:val="28"/>
                            </w:rPr>
                            <w:t xml:space="preserve"> </w:t>
                          </w:r>
                          <w:r>
                            <w:rPr>
                              <w:rFonts w:ascii="Arial" w:eastAsia="Arial" w:hAnsi="Arial" w:cs="Arial"/>
                              <w:b/>
                              <w:bCs/>
                              <w:i/>
                              <w:spacing w:val="-1"/>
                            </w:rPr>
                            <w:t>Off</w:t>
                          </w:r>
                          <w:r>
                            <w:rPr>
                              <w:rFonts w:ascii="Arial" w:eastAsia="Arial" w:hAnsi="Arial" w:cs="Arial"/>
                              <w:b/>
                              <w:bCs/>
                              <w:i/>
                              <w:spacing w:val="51"/>
                            </w:rPr>
                            <w:t xml:space="preserve"> </w:t>
                          </w:r>
                          <w:r>
                            <w:rPr>
                              <w:rFonts w:ascii="Arial" w:eastAsia="Arial" w:hAnsi="Arial" w:cs="Arial"/>
                              <w:b/>
                              <w:bCs/>
                              <w:i/>
                              <w:spacing w:val="-1"/>
                            </w:rPr>
                            <w:t>Terms</w:t>
                          </w:r>
                          <w:r>
                            <w:rPr>
                              <w:rFonts w:ascii="Arial" w:eastAsia="Arial" w:hAnsi="Arial" w:cs="Arial"/>
                              <w:b/>
                              <w:bCs/>
                              <w:i/>
                              <w:spacing w:val="15"/>
                            </w:rPr>
                            <w:t xml:space="preserve"> </w:t>
                          </w:r>
                          <w:r>
                            <w:rPr>
                              <w:rFonts w:ascii="Arial" w:eastAsia="Arial" w:hAnsi="Arial" w:cs="Arial"/>
                              <w:b/>
                              <w:bCs/>
                              <w:i/>
                            </w:rPr>
                            <w:t>in</w:t>
                          </w:r>
                          <w:r>
                            <w:rPr>
                              <w:rFonts w:ascii="Arial" w:eastAsia="Arial" w:hAnsi="Arial" w:cs="Arial"/>
                              <w:b/>
                              <w:bCs/>
                              <w:i/>
                              <w:spacing w:val="15"/>
                            </w:rPr>
                            <w:t xml:space="preserve"> </w:t>
                          </w:r>
                          <w:r>
                            <w:rPr>
                              <w:rFonts w:ascii="Arial" w:eastAsia="Arial" w:hAnsi="Arial" w:cs="Arial"/>
                              <w:b/>
                              <w:bCs/>
                              <w:i/>
                              <w:spacing w:val="-1"/>
                            </w:rPr>
                            <w:t>relation</w:t>
                          </w:r>
                          <w:r>
                            <w:rPr>
                              <w:rFonts w:ascii="Arial" w:eastAsia="Arial" w:hAnsi="Arial" w:cs="Arial"/>
                              <w:b/>
                              <w:bCs/>
                              <w:i/>
                              <w:spacing w:val="15"/>
                            </w:rPr>
                            <w:t xml:space="preserve"> </w:t>
                          </w:r>
                          <w:r>
                            <w:rPr>
                              <w:rFonts w:ascii="Arial" w:eastAsia="Arial" w:hAnsi="Arial" w:cs="Arial"/>
                              <w:b/>
                              <w:bCs/>
                              <w:i/>
                            </w:rPr>
                            <w:t>to</w:t>
                          </w:r>
                          <w:r>
                            <w:rPr>
                              <w:rFonts w:ascii="Arial" w:eastAsia="Arial" w:hAnsi="Arial" w:cs="Arial"/>
                              <w:b/>
                              <w:bCs/>
                              <w:i/>
                              <w:spacing w:val="15"/>
                            </w:rPr>
                            <w:t xml:space="preserve"> </w:t>
                          </w:r>
                          <w:r>
                            <w:rPr>
                              <w:rFonts w:ascii="Arial" w:eastAsia="Arial" w:hAnsi="Arial" w:cs="Arial"/>
                              <w:b/>
                              <w:bCs/>
                              <w:i/>
                              <w:spacing w:val="-1"/>
                            </w:rPr>
                            <w:t>time</w:t>
                          </w:r>
                          <w:r>
                            <w:rPr>
                              <w:rFonts w:ascii="Arial" w:eastAsia="Arial" w:hAnsi="Arial" w:cs="Arial"/>
                              <w:b/>
                              <w:bCs/>
                              <w:i/>
                              <w:spacing w:val="15"/>
                            </w:rPr>
                            <w:t xml:space="preserve"> </w:t>
                          </w:r>
                          <w:r>
                            <w:rPr>
                              <w:rFonts w:ascii="Arial" w:eastAsia="Arial" w:hAnsi="Arial" w:cs="Arial"/>
                              <w:b/>
                              <w:bCs/>
                              <w:i/>
                              <w:spacing w:val="-1"/>
                            </w:rPr>
                            <w:t>of</w:t>
                          </w:r>
                          <w:r>
                            <w:rPr>
                              <w:rFonts w:ascii="Arial" w:eastAsia="Arial" w:hAnsi="Arial" w:cs="Arial"/>
                              <w:b/>
                              <w:bCs/>
                              <w:i/>
                              <w:spacing w:val="16"/>
                            </w:rPr>
                            <w:t xml:space="preserve"> </w:t>
                          </w:r>
                          <w:r>
                            <w:rPr>
                              <w:rFonts w:ascii="Arial" w:eastAsia="Arial" w:hAnsi="Arial" w:cs="Arial"/>
                              <w:b/>
                              <w:bCs/>
                              <w:i/>
                              <w:spacing w:val="-1"/>
                            </w:rPr>
                            <w:t>Delivery.</w:t>
                          </w:r>
                          <w:r>
                            <w:rPr>
                              <w:rFonts w:ascii="Arial" w:eastAsia="Arial" w:hAnsi="Arial" w:cs="Arial"/>
                              <w:b/>
                              <w:bCs/>
                              <w:i/>
                              <w:spacing w:val="16"/>
                            </w:rPr>
                            <w:t xml:space="preserve"> </w:t>
                          </w:r>
                          <w:r>
                            <w:rPr>
                              <w:rFonts w:ascii="Arial" w:eastAsia="Arial" w:hAnsi="Arial" w:cs="Arial"/>
                              <w:b/>
                              <w:bCs/>
                              <w:i/>
                              <w:spacing w:val="-1"/>
                            </w:rPr>
                            <w:t>Consider</w:t>
                          </w:r>
                          <w:r>
                            <w:rPr>
                              <w:rFonts w:ascii="Arial" w:eastAsia="Arial" w:hAnsi="Arial" w:cs="Arial"/>
                              <w:b/>
                              <w:bCs/>
                              <w:i/>
                              <w:spacing w:val="16"/>
                            </w:rPr>
                            <w:t xml:space="preserve"> </w:t>
                          </w:r>
                          <w:r>
                            <w:rPr>
                              <w:rFonts w:ascii="Arial" w:eastAsia="Arial" w:hAnsi="Arial" w:cs="Arial"/>
                              <w:b/>
                              <w:bCs/>
                              <w:i/>
                            </w:rPr>
                            <w:t>if</w:t>
                          </w:r>
                          <w:r>
                            <w:rPr>
                              <w:rFonts w:ascii="Arial" w:eastAsia="Arial" w:hAnsi="Arial" w:cs="Arial"/>
                              <w:b/>
                              <w:bCs/>
                              <w:i/>
                              <w:spacing w:val="16"/>
                            </w:rPr>
                            <w:t xml:space="preserve"> </w:t>
                          </w:r>
                          <w:r>
                            <w:rPr>
                              <w:rFonts w:ascii="Arial" w:eastAsia="Arial" w:hAnsi="Arial" w:cs="Arial"/>
                              <w:b/>
                              <w:bCs/>
                              <w:i/>
                              <w:spacing w:val="-1"/>
                            </w:rPr>
                            <w:t>you</w:t>
                          </w:r>
                          <w:r>
                            <w:rPr>
                              <w:rFonts w:ascii="Arial" w:eastAsia="Arial" w:hAnsi="Arial" w:cs="Arial"/>
                              <w:b/>
                              <w:bCs/>
                              <w:i/>
                              <w:spacing w:val="15"/>
                            </w:rPr>
                            <w:t xml:space="preserve"> </w:t>
                          </w:r>
                          <w:r>
                            <w:rPr>
                              <w:rFonts w:ascii="Arial" w:eastAsia="Arial" w:hAnsi="Arial" w:cs="Arial"/>
                              <w:b/>
                              <w:bCs/>
                              <w:i/>
                              <w:spacing w:val="-1"/>
                            </w:rPr>
                            <w:t>should</w:t>
                          </w:r>
                          <w:r>
                            <w:rPr>
                              <w:rFonts w:ascii="Arial" w:eastAsia="Arial" w:hAnsi="Arial" w:cs="Arial"/>
                              <w:b/>
                              <w:bCs/>
                              <w:i/>
                              <w:spacing w:val="15"/>
                            </w:rPr>
                            <w:t xml:space="preserve"> </w:t>
                          </w:r>
                          <w:r>
                            <w:rPr>
                              <w:rFonts w:ascii="Arial" w:eastAsia="Arial" w:hAnsi="Arial" w:cs="Arial"/>
                              <w:b/>
                              <w:bCs/>
                              <w:i/>
                              <w:spacing w:val="-1"/>
                            </w:rPr>
                            <w:t>make</w:t>
                          </w:r>
                          <w:r>
                            <w:rPr>
                              <w:rFonts w:ascii="Arial" w:eastAsia="Arial" w:hAnsi="Arial" w:cs="Arial"/>
                              <w:b/>
                              <w:bCs/>
                              <w:i/>
                              <w:spacing w:val="15"/>
                            </w:rPr>
                            <w:t xml:space="preserve"> </w:t>
                          </w:r>
                          <w:r>
                            <w:rPr>
                              <w:rFonts w:ascii="Arial" w:eastAsia="Arial" w:hAnsi="Arial" w:cs="Arial"/>
                              <w:b/>
                              <w:bCs/>
                              <w:i/>
                              <w:spacing w:val="-1"/>
                            </w:rPr>
                            <w:t>'time</w:t>
                          </w:r>
                          <w:r>
                            <w:rPr>
                              <w:rFonts w:ascii="Arial" w:eastAsia="Arial" w:hAnsi="Arial" w:cs="Arial"/>
                              <w:b/>
                              <w:bCs/>
                              <w:i/>
                              <w:spacing w:val="15"/>
                            </w:rPr>
                            <w:t xml:space="preserve"> </w:t>
                          </w:r>
                          <w:r>
                            <w:rPr>
                              <w:rFonts w:ascii="Arial" w:eastAsia="Arial" w:hAnsi="Arial" w:cs="Arial"/>
                              <w:b/>
                              <w:bCs/>
                              <w:i/>
                              <w:spacing w:val="-1"/>
                            </w:rPr>
                            <w:t>of</w:t>
                          </w:r>
                          <w:r>
                            <w:rPr>
                              <w:rFonts w:ascii="Arial" w:eastAsia="Arial" w:hAnsi="Arial" w:cs="Arial"/>
                              <w:b/>
                              <w:bCs/>
                              <w:i/>
                              <w:spacing w:val="38"/>
                            </w:rPr>
                            <w:t xml:space="preserve"> </w:t>
                          </w:r>
                          <w:r>
                            <w:rPr>
                              <w:rFonts w:ascii="Arial" w:eastAsia="Arial" w:hAnsi="Arial" w:cs="Arial"/>
                              <w:b/>
                              <w:bCs/>
                              <w:i/>
                              <w:spacing w:val="-1"/>
                            </w:rPr>
                            <w:t>the</w:t>
                          </w:r>
                          <w:r>
                            <w:rPr>
                              <w:rFonts w:ascii="Arial" w:eastAsia="Arial" w:hAnsi="Arial" w:cs="Arial"/>
                              <w:b/>
                              <w:bCs/>
                              <w:i/>
                            </w:rPr>
                            <w:t xml:space="preserve"> </w:t>
                          </w:r>
                          <w:r>
                            <w:rPr>
                              <w:rFonts w:ascii="Arial" w:eastAsia="Arial" w:hAnsi="Arial" w:cs="Arial"/>
                              <w:b/>
                              <w:bCs/>
                              <w:i/>
                              <w:spacing w:val="-1"/>
                            </w:rPr>
                            <w:t>essence”</w:t>
                          </w:r>
                          <w:r>
                            <w:rPr>
                              <w:rFonts w:ascii="Arial" w:eastAsia="Arial" w:hAnsi="Arial" w:cs="Arial"/>
                              <w:b/>
                              <w:bCs/>
                              <w:i/>
                              <w:spacing w:val="-2"/>
                            </w:rPr>
                            <w:t xml:space="preserve"> </w:t>
                          </w:r>
                          <w:r>
                            <w:rPr>
                              <w:rFonts w:ascii="Arial" w:eastAsia="Arial" w:hAnsi="Arial" w:cs="Arial"/>
                              <w:b/>
                              <w:bCs/>
                              <w:i/>
                            </w:rPr>
                            <w:t>in</w:t>
                          </w:r>
                          <w:r>
                            <w:rPr>
                              <w:rFonts w:ascii="Arial" w:eastAsia="Arial" w:hAnsi="Arial" w:cs="Arial"/>
                              <w:b/>
                              <w:bCs/>
                              <w:i/>
                              <w:spacing w:val="-2"/>
                            </w:rPr>
                            <w:t xml:space="preserve"> </w:t>
                          </w:r>
                          <w:r>
                            <w:rPr>
                              <w:rFonts w:ascii="Arial" w:eastAsia="Arial" w:hAnsi="Arial" w:cs="Arial"/>
                              <w:b/>
                              <w:bCs/>
                              <w:i/>
                              <w:spacing w:val="-1"/>
                            </w:rPr>
                            <w:t>respect</w:t>
                          </w:r>
                          <w:r>
                            <w:rPr>
                              <w:rFonts w:ascii="Arial" w:eastAsia="Arial" w:hAnsi="Arial" w:cs="Arial"/>
                              <w:b/>
                              <w:bCs/>
                              <w:i/>
                              <w:spacing w:val="2"/>
                            </w:rPr>
                            <w:t xml:space="preserve"> </w:t>
                          </w:r>
                          <w:r>
                            <w:rPr>
                              <w:rFonts w:ascii="Arial" w:eastAsia="Arial" w:hAnsi="Arial" w:cs="Arial"/>
                              <w:b/>
                              <w:bCs/>
                              <w:i/>
                              <w:spacing w:val="-1"/>
                            </w:rPr>
                            <w:t>of any</w:t>
                          </w:r>
                          <w:r>
                            <w:rPr>
                              <w:rFonts w:ascii="Arial" w:eastAsia="Arial" w:hAnsi="Arial" w:cs="Arial"/>
                              <w:b/>
                              <w:bCs/>
                              <w:i/>
                              <w:spacing w:val="-2"/>
                            </w:rPr>
                            <w:t xml:space="preserve"> </w:t>
                          </w:r>
                          <w:r>
                            <w:rPr>
                              <w:rFonts w:ascii="Arial" w:eastAsia="Arial" w:hAnsi="Arial" w:cs="Arial"/>
                              <w:b/>
                              <w:bCs/>
                              <w:i/>
                              <w:spacing w:val="-1"/>
                            </w:rPr>
                            <w:t>Milestone</w:t>
                          </w:r>
                          <w:r>
                            <w:rPr>
                              <w:rFonts w:ascii="Arial" w:eastAsia="Arial" w:hAnsi="Arial" w:cs="Arial"/>
                              <w:b/>
                              <w:bCs/>
                              <w:i/>
                            </w:rPr>
                            <w:t xml:space="preserve"> </w:t>
                          </w:r>
                          <w:r>
                            <w:rPr>
                              <w:rFonts w:ascii="Arial" w:eastAsia="Arial" w:hAnsi="Arial" w:cs="Arial"/>
                              <w:b/>
                              <w:bCs/>
                              <w:i/>
                              <w:spacing w:val="-2"/>
                            </w:rPr>
                            <w:t>Dates.]</w:t>
                          </w:r>
                        </w:p>
                      </w:txbxContent>
                    </v:textbox>
                  </v:shape>
                </v:group>
                <w10:anchorlock/>
              </v:group>
            </w:pict>
          </mc:Fallback>
        </mc:AlternateContent>
      </w:r>
    </w:p>
    <w:p w:rsidR="008918FA" w:rsidRDefault="008918FA" w:rsidP="008918FA">
      <w:pPr>
        <w:spacing w:line="200" w:lineRule="atLeast"/>
        <w:rPr>
          <w:rFonts w:ascii="Arial" w:eastAsia="Arial" w:hAnsi="Arial" w:cs="Arial"/>
          <w:sz w:val="20"/>
          <w:szCs w:val="20"/>
        </w:rPr>
        <w:sectPr w:rsidR="008918FA">
          <w:type w:val="continuous"/>
          <w:pgSz w:w="11910" w:h="16840"/>
          <w:pgMar w:top="180" w:right="1140" w:bottom="280" w:left="1220" w:header="720" w:footer="720" w:gutter="0"/>
          <w:cols w:space="720"/>
        </w:sectPr>
      </w:pPr>
    </w:p>
    <w:p w:rsidR="008918FA" w:rsidRDefault="008918FA" w:rsidP="008918FA">
      <w:pPr>
        <w:rPr>
          <w:rFonts w:ascii="Arial" w:eastAsia="Arial" w:hAnsi="Arial" w:cs="Arial"/>
          <w:b/>
          <w:bCs/>
          <w:i/>
          <w:sz w:val="20"/>
          <w:szCs w:val="20"/>
        </w:rPr>
      </w:pPr>
    </w:p>
    <w:p w:rsidR="008918FA" w:rsidRDefault="008918FA" w:rsidP="008918FA">
      <w:pPr>
        <w:spacing w:before="1"/>
        <w:rPr>
          <w:rFonts w:ascii="Arial" w:eastAsia="Arial" w:hAnsi="Arial" w:cs="Arial"/>
          <w:b/>
          <w:bCs/>
          <w:i/>
          <w:sz w:val="19"/>
          <w:szCs w:val="19"/>
        </w:rPr>
      </w:pPr>
    </w:p>
    <w:p w:rsidR="008918FA" w:rsidRDefault="008918FA" w:rsidP="008918FA">
      <w:pPr>
        <w:pStyle w:val="BodyText"/>
        <w:spacing w:before="0"/>
        <w:ind w:left="2266" w:firstLine="0"/>
        <w:rPr>
          <w:rFonts w:ascii="Times New Roman" w:eastAsia="Times New Roman" w:hAnsi="Times New Roman" w:cs="Times New Roman"/>
        </w:rPr>
      </w:pPr>
      <w:r>
        <w:rPr>
          <w:rFonts w:ascii="Times New Roman"/>
          <w:spacing w:val="8"/>
        </w:rPr>
        <w:t>PART</w:t>
      </w:r>
      <w:r>
        <w:rPr>
          <w:rFonts w:ascii="Times New Roman"/>
          <w:spacing w:val="4"/>
        </w:rPr>
        <w:t xml:space="preserve"> </w:t>
      </w:r>
      <w:r>
        <w:rPr>
          <w:rFonts w:ascii="Times New Roman"/>
          <w:spacing w:val="5"/>
        </w:rPr>
        <w:t>B:</w:t>
      </w:r>
      <w:r>
        <w:rPr>
          <w:rFonts w:ascii="Times New Roman"/>
          <w:spacing w:val="20"/>
        </w:rPr>
        <w:t xml:space="preserve"> </w:t>
      </w:r>
      <w:r>
        <w:rPr>
          <w:rFonts w:ascii="Times New Roman"/>
          <w:spacing w:val="11"/>
        </w:rPr>
        <w:t>C</w:t>
      </w:r>
      <w:r>
        <w:rPr>
          <w:rFonts w:ascii="Times New Roman"/>
          <w:spacing w:val="-2"/>
        </w:rPr>
        <w:t>U</w:t>
      </w:r>
      <w:r>
        <w:rPr>
          <w:rFonts w:ascii="Times New Roman"/>
          <w:spacing w:val="26"/>
        </w:rPr>
        <w:t>S</w:t>
      </w:r>
      <w:r>
        <w:rPr>
          <w:rFonts w:ascii="Times New Roman"/>
          <w:spacing w:val="-3"/>
        </w:rPr>
        <w:t>T</w:t>
      </w:r>
      <w:r>
        <w:rPr>
          <w:rFonts w:ascii="Times New Roman"/>
          <w:spacing w:val="13"/>
        </w:rPr>
        <w:t>O</w:t>
      </w:r>
      <w:r>
        <w:rPr>
          <w:rFonts w:ascii="Times New Roman"/>
          <w:spacing w:val="-12"/>
        </w:rPr>
        <w:t>M</w:t>
      </w:r>
      <w:r>
        <w:rPr>
          <w:rFonts w:ascii="Times New Roman"/>
          <w:spacing w:val="11"/>
        </w:rPr>
        <w:t>E</w:t>
      </w:r>
      <w:r>
        <w:rPr>
          <w:rFonts w:ascii="Times New Roman"/>
        </w:rPr>
        <w:t>R</w:t>
      </w:r>
      <w:r>
        <w:rPr>
          <w:rFonts w:ascii="Times New Roman"/>
          <w:spacing w:val="18"/>
        </w:rPr>
        <w:t xml:space="preserve"> </w:t>
      </w:r>
      <w:r>
        <w:rPr>
          <w:rFonts w:ascii="Times New Roman"/>
          <w:spacing w:val="10"/>
        </w:rPr>
        <w:t>RESPONS</w:t>
      </w:r>
      <w:r>
        <w:rPr>
          <w:rFonts w:ascii="Times New Roman"/>
          <w:spacing w:val="-32"/>
        </w:rPr>
        <w:t xml:space="preserve"> </w:t>
      </w:r>
      <w:r>
        <w:rPr>
          <w:rFonts w:ascii="Times New Roman"/>
          <w:spacing w:val="-4"/>
        </w:rPr>
        <w:t>IBILITIES</w:t>
      </w:r>
    </w:p>
    <w:p w:rsidR="008918FA" w:rsidRDefault="008918FA" w:rsidP="008918FA">
      <w:pPr>
        <w:spacing w:before="8"/>
        <w:rPr>
          <w:rFonts w:ascii="Times New Roman" w:eastAsia="Times New Roman" w:hAnsi="Times New Roman" w:cs="Times New Roman"/>
          <w:sz w:val="14"/>
          <w:szCs w:val="14"/>
        </w:rPr>
      </w:pPr>
    </w:p>
    <w:p w:rsidR="008918FA" w:rsidRDefault="008918FA" w:rsidP="008918FA">
      <w:pPr>
        <w:pStyle w:val="BodyText"/>
        <w:numPr>
          <w:ilvl w:val="0"/>
          <w:numId w:val="27"/>
        </w:numPr>
        <w:tabs>
          <w:tab w:val="left" w:pos="467"/>
        </w:tabs>
        <w:spacing w:before="72"/>
        <w:ind w:left="466"/>
        <w:jc w:val="left"/>
        <w:rPr>
          <w:rFonts w:ascii="Times New Roman" w:eastAsia="Times New Roman" w:hAnsi="Times New Roman" w:cs="Times New Roman"/>
        </w:rPr>
      </w:pPr>
      <w:r>
        <w:rPr>
          <w:rFonts w:ascii="Times New Roman"/>
          <w:spacing w:val="5"/>
        </w:rPr>
        <w:t>GENERAL</w:t>
      </w:r>
    </w:p>
    <w:p w:rsidR="008918FA" w:rsidRDefault="008918FA" w:rsidP="008918FA">
      <w:pPr>
        <w:spacing w:before="10"/>
        <w:rPr>
          <w:rFonts w:ascii="Times New Roman" w:eastAsia="Times New Roman" w:hAnsi="Times New Roman" w:cs="Times New Roman"/>
          <w:sz w:val="20"/>
          <w:szCs w:val="20"/>
        </w:rPr>
      </w:pPr>
    </w:p>
    <w:p w:rsidR="008918FA" w:rsidRPr="00424408" w:rsidRDefault="008918FA" w:rsidP="008918FA">
      <w:pPr>
        <w:pStyle w:val="BodyText"/>
        <w:numPr>
          <w:ilvl w:val="1"/>
          <w:numId w:val="27"/>
        </w:numPr>
        <w:tabs>
          <w:tab w:val="left" w:pos="829"/>
        </w:tabs>
        <w:spacing w:before="0"/>
        <w:ind w:left="828" w:right="115"/>
        <w:jc w:val="both"/>
      </w:pPr>
      <w:r>
        <w:t>The</w:t>
      </w:r>
      <w:r>
        <w:rPr>
          <w:spacing w:val="60"/>
        </w:rPr>
        <w:t xml:space="preserve"> </w:t>
      </w:r>
      <w:r>
        <w:rPr>
          <w:spacing w:val="-2"/>
        </w:rPr>
        <w:t>Customer</w:t>
      </w:r>
      <w:r>
        <w:t xml:space="preserve"> </w:t>
      </w:r>
      <w:r>
        <w:rPr>
          <w:spacing w:val="-2"/>
        </w:rPr>
        <w:t>Responsibilities</w:t>
      </w:r>
      <w:r w:rsidR="001C1527">
        <w:t xml:space="preserve"> </w:t>
      </w:r>
      <w:r>
        <w:rPr>
          <w:spacing w:val="-1"/>
        </w:rPr>
        <w:t>associated</w:t>
      </w:r>
      <w:r>
        <w:rPr>
          <w:spacing w:val="2"/>
        </w:rPr>
        <w:t xml:space="preserve"> </w:t>
      </w:r>
      <w:r>
        <w:rPr>
          <w:spacing w:val="-2"/>
        </w:rPr>
        <w:t>with</w:t>
      </w:r>
      <w:r>
        <w:rPr>
          <w:spacing w:val="2"/>
        </w:rPr>
        <w:t xml:space="preserve"> </w:t>
      </w:r>
      <w:r>
        <w:t>the</w:t>
      </w:r>
      <w:r>
        <w:rPr>
          <w:spacing w:val="60"/>
        </w:rPr>
        <w:t xml:space="preserve"> </w:t>
      </w:r>
      <w:r>
        <w:rPr>
          <w:spacing w:val="-1"/>
        </w:rPr>
        <w:t>Milestones</w:t>
      </w:r>
      <w:r>
        <w:t xml:space="preserve"> </w:t>
      </w:r>
      <w:r>
        <w:rPr>
          <w:spacing w:val="-1"/>
        </w:rPr>
        <w:t>identified</w:t>
      </w:r>
      <w:r>
        <w:rPr>
          <w:spacing w:val="60"/>
        </w:rPr>
        <w:t xml:space="preserve"> </w:t>
      </w:r>
      <w:r>
        <w:rPr>
          <w:spacing w:val="-1"/>
        </w:rPr>
        <w:t>in</w:t>
      </w:r>
      <w:r>
        <w:rPr>
          <w:spacing w:val="60"/>
        </w:rPr>
        <w:t xml:space="preserve"> </w:t>
      </w:r>
      <w:r>
        <w:rPr>
          <w:spacing w:val="-1"/>
        </w:rPr>
        <w:t>the</w:t>
      </w:r>
      <w:r>
        <w:rPr>
          <w:spacing w:val="64"/>
        </w:rPr>
        <w:t xml:space="preserve"> </w:t>
      </w:r>
      <w:r>
        <w:rPr>
          <w:spacing w:val="-1"/>
        </w:rPr>
        <w:t>Implementation</w:t>
      </w:r>
      <w:r>
        <w:rPr>
          <w:spacing w:val="3"/>
        </w:rPr>
        <w:t xml:space="preserve"> </w:t>
      </w:r>
      <w:r>
        <w:rPr>
          <w:spacing w:val="-1"/>
        </w:rPr>
        <w:t>Plan</w:t>
      </w:r>
      <w:r>
        <w:rPr>
          <w:spacing w:val="3"/>
        </w:rPr>
        <w:t xml:space="preserve"> </w:t>
      </w:r>
      <w:r>
        <w:rPr>
          <w:spacing w:val="-1"/>
        </w:rPr>
        <w:t>are</w:t>
      </w:r>
      <w:r>
        <w:rPr>
          <w:spacing w:val="3"/>
        </w:rPr>
        <w:t xml:space="preserve"> </w:t>
      </w:r>
      <w:r>
        <w:rPr>
          <w:spacing w:val="-1"/>
        </w:rPr>
        <w:t>set</w:t>
      </w:r>
      <w:r>
        <w:rPr>
          <w:spacing w:val="4"/>
        </w:rPr>
        <w:t xml:space="preserve"> </w:t>
      </w:r>
      <w:r>
        <w:rPr>
          <w:spacing w:val="-1"/>
        </w:rPr>
        <w:t>out</w:t>
      </w:r>
      <w:r>
        <w:rPr>
          <w:spacing w:val="4"/>
        </w:rPr>
        <w:t xml:space="preserve"> </w:t>
      </w:r>
      <w:r>
        <w:rPr>
          <w:spacing w:val="-1"/>
        </w:rPr>
        <w:t>in</w:t>
      </w:r>
      <w:r>
        <w:t xml:space="preserve"> the</w:t>
      </w:r>
      <w:r>
        <w:rPr>
          <w:spacing w:val="3"/>
        </w:rPr>
        <w:t xml:space="preserve"> </w:t>
      </w:r>
      <w:r>
        <w:rPr>
          <w:spacing w:val="-1"/>
        </w:rPr>
        <w:t>column</w:t>
      </w:r>
      <w:r>
        <w:rPr>
          <w:spacing w:val="3"/>
        </w:rPr>
        <w:t xml:space="preserve"> </w:t>
      </w:r>
      <w:r>
        <w:rPr>
          <w:spacing w:val="-1"/>
        </w:rPr>
        <w:t>entitled</w:t>
      </w:r>
      <w:r>
        <w:rPr>
          <w:spacing w:val="5"/>
        </w:rPr>
        <w:t xml:space="preserve"> </w:t>
      </w:r>
      <w:r>
        <w:rPr>
          <w:spacing w:val="-1"/>
        </w:rPr>
        <w:t>Customer</w:t>
      </w:r>
      <w:r>
        <w:rPr>
          <w:spacing w:val="4"/>
        </w:rPr>
        <w:t xml:space="preserve"> </w:t>
      </w:r>
      <w:r>
        <w:rPr>
          <w:spacing w:val="-2"/>
        </w:rPr>
        <w:t>Responsibilities</w:t>
      </w:r>
      <w:r>
        <w:rPr>
          <w:spacing w:val="3"/>
        </w:rPr>
        <w:t xml:space="preserve"> </w:t>
      </w:r>
      <w:r>
        <w:rPr>
          <w:spacing w:val="-2"/>
        </w:rPr>
        <w:t>in</w:t>
      </w:r>
      <w:r>
        <w:rPr>
          <w:spacing w:val="45"/>
        </w:rPr>
        <w:t xml:space="preserve"> </w:t>
      </w:r>
      <w:r>
        <w:t>the</w:t>
      </w:r>
      <w:r>
        <w:rPr>
          <w:spacing w:val="-2"/>
        </w:rPr>
        <w:t xml:space="preserve"> </w:t>
      </w:r>
      <w:r>
        <w:rPr>
          <w:spacing w:val="-1"/>
        </w:rPr>
        <w:t>Implementation</w:t>
      </w:r>
      <w:r>
        <w:t xml:space="preserve"> </w:t>
      </w:r>
      <w:r>
        <w:rPr>
          <w:spacing w:val="-2"/>
        </w:rPr>
        <w:t>Plan.</w:t>
      </w:r>
    </w:p>
    <w:p w:rsidR="00424408" w:rsidRDefault="00424408" w:rsidP="00424408">
      <w:pPr>
        <w:pStyle w:val="BodyText"/>
        <w:tabs>
          <w:tab w:val="left" w:pos="829"/>
        </w:tabs>
        <w:spacing w:before="0"/>
        <w:ind w:left="0" w:right="115" w:firstLine="0"/>
        <w:rPr>
          <w:spacing w:val="-2"/>
        </w:rPr>
      </w:pPr>
    </w:p>
    <w:p w:rsidR="00424408" w:rsidRPr="00424408" w:rsidRDefault="00424408" w:rsidP="00424408">
      <w:pPr>
        <w:ind w:left="694" w:right="1"/>
        <w:jc w:val="both"/>
        <w:rPr>
          <w:rFonts w:ascii="Arial" w:eastAsia="Arial" w:hAnsi="Arial" w:cs="Arial"/>
          <w:highlight w:val="green"/>
        </w:rPr>
      </w:pPr>
      <w:r w:rsidRPr="00424408">
        <w:rPr>
          <w:rFonts w:ascii="Arial"/>
          <w:b/>
          <w:i/>
          <w:spacing w:val="-1"/>
          <w:highlight w:val="green"/>
        </w:rPr>
        <w:t>[Guidance</w:t>
      </w:r>
      <w:r w:rsidRPr="00424408">
        <w:rPr>
          <w:rFonts w:ascii="Arial"/>
          <w:b/>
          <w:i/>
          <w:spacing w:val="17"/>
          <w:highlight w:val="green"/>
        </w:rPr>
        <w:t xml:space="preserve"> </w:t>
      </w:r>
      <w:r w:rsidRPr="00424408">
        <w:rPr>
          <w:rFonts w:ascii="Arial"/>
          <w:b/>
          <w:i/>
          <w:spacing w:val="-2"/>
          <w:highlight w:val="green"/>
        </w:rPr>
        <w:t>Note:</w:t>
      </w:r>
      <w:r w:rsidRPr="00424408">
        <w:rPr>
          <w:rFonts w:ascii="Arial"/>
          <w:b/>
          <w:i/>
          <w:spacing w:val="19"/>
          <w:highlight w:val="green"/>
        </w:rPr>
        <w:t xml:space="preserve"> </w:t>
      </w:r>
      <w:r w:rsidRPr="00424408">
        <w:rPr>
          <w:rFonts w:ascii="Arial"/>
          <w:b/>
          <w:i/>
          <w:spacing w:val="-1"/>
          <w:highlight w:val="green"/>
        </w:rPr>
        <w:t>Include</w:t>
      </w:r>
      <w:r w:rsidRPr="00424408">
        <w:rPr>
          <w:rFonts w:ascii="Arial"/>
          <w:b/>
          <w:i/>
          <w:spacing w:val="17"/>
          <w:highlight w:val="green"/>
        </w:rPr>
        <w:t xml:space="preserve"> </w:t>
      </w:r>
      <w:r w:rsidRPr="00424408">
        <w:rPr>
          <w:rFonts w:ascii="Arial"/>
          <w:b/>
          <w:i/>
          <w:highlight w:val="green"/>
        </w:rPr>
        <w:t>in</w:t>
      </w:r>
      <w:r w:rsidRPr="00424408">
        <w:rPr>
          <w:rFonts w:ascii="Arial"/>
          <w:b/>
          <w:i/>
          <w:spacing w:val="17"/>
          <w:highlight w:val="green"/>
        </w:rPr>
        <w:t xml:space="preserve"> </w:t>
      </w:r>
      <w:r w:rsidRPr="00424408">
        <w:rPr>
          <w:rFonts w:ascii="Arial"/>
          <w:b/>
          <w:i/>
          <w:spacing w:val="-1"/>
          <w:highlight w:val="green"/>
        </w:rPr>
        <w:t>the</w:t>
      </w:r>
      <w:r w:rsidRPr="00424408">
        <w:rPr>
          <w:rFonts w:ascii="Arial"/>
          <w:b/>
          <w:i/>
          <w:spacing w:val="15"/>
          <w:highlight w:val="green"/>
        </w:rPr>
        <w:t xml:space="preserve"> </w:t>
      </w:r>
      <w:r w:rsidRPr="00424408">
        <w:rPr>
          <w:rFonts w:ascii="Arial"/>
          <w:b/>
          <w:i/>
          <w:spacing w:val="-1"/>
          <w:highlight w:val="green"/>
        </w:rPr>
        <w:t>Implementation</w:t>
      </w:r>
      <w:r w:rsidRPr="00424408">
        <w:rPr>
          <w:rFonts w:ascii="Arial"/>
          <w:b/>
          <w:i/>
          <w:spacing w:val="17"/>
          <w:highlight w:val="green"/>
        </w:rPr>
        <w:t xml:space="preserve"> </w:t>
      </w:r>
      <w:r w:rsidRPr="00424408">
        <w:rPr>
          <w:rFonts w:ascii="Arial"/>
          <w:b/>
          <w:i/>
          <w:spacing w:val="-1"/>
          <w:highlight w:val="green"/>
        </w:rPr>
        <w:t>Plan</w:t>
      </w:r>
      <w:r w:rsidRPr="00424408">
        <w:rPr>
          <w:rFonts w:ascii="Arial"/>
          <w:b/>
          <w:i/>
          <w:spacing w:val="17"/>
          <w:highlight w:val="green"/>
        </w:rPr>
        <w:t xml:space="preserve"> </w:t>
      </w:r>
      <w:r w:rsidRPr="00424408">
        <w:rPr>
          <w:rFonts w:ascii="Arial"/>
          <w:b/>
          <w:i/>
          <w:spacing w:val="-1"/>
          <w:highlight w:val="green"/>
        </w:rPr>
        <w:t>details</w:t>
      </w:r>
      <w:r w:rsidRPr="00424408">
        <w:rPr>
          <w:rFonts w:ascii="Arial"/>
          <w:b/>
          <w:i/>
          <w:spacing w:val="17"/>
          <w:highlight w:val="green"/>
        </w:rPr>
        <w:t xml:space="preserve"> </w:t>
      </w:r>
      <w:r w:rsidRPr="00424408">
        <w:rPr>
          <w:rFonts w:ascii="Arial"/>
          <w:b/>
          <w:i/>
          <w:spacing w:val="-2"/>
          <w:highlight w:val="green"/>
        </w:rPr>
        <w:t>of</w:t>
      </w:r>
      <w:r w:rsidRPr="00424408">
        <w:rPr>
          <w:rFonts w:ascii="Arial"/>
          <w:b/>
          <w:i/>
          <w:spacing w:val="19"/>
          <w:highlight w:val="green"/>
        </w:rPr>
        <w:t xml:space="preserve"> </w:t>
      </w:r>
      <w:r w:rsidRPr="00424408">
        <w:rPr>
          <w:rFonts w:ascii="Arial"/>
          <w:b/>
          <w:i/>
          <w:spacing w:val="-1"/>
          <w:highlight w:val="green"/>
        </w:rPr>
        <w:t>any</w:t>
      </w:r>
      <w:r w:rsidRPr="00424408">
        <w:rPr>
          <w:rFonts w:ascii="Arial"/>
          <w:b/>
          <w:i/>
          <w:spacing w:val="17"/>
          <w:highlight w:val="green"/>
        </w:rPr>
        <w:t xml:space="preserve"> </w:t>
      </w:r>
      <w:r w:rsidRPr="00424408">
        <w:rPr>
          <w:rFonts w:ascii="Arial"/>
          <w:b/>
          <w:i/>
          <w:spacing w:val="-1"/>
          <w:highlight w:val="green"/>
        </w:rPr>
        <w:t>specific</w:t>
      </w:r>
      <w:r w:rsidRPr="00424408">
        <w:rPr>
          <w:rFonts w:ascii="Arial"/>
          <w:b/>
          <w:i/>
          <w:spacing w:val="53"/>
          <w:highlight w:val="green"/>
        </w:rPr>
        <w:t xml:space="preserve"> </w:t>
      </w:r>
      <w:r w:rsidRPr="00424408">
        <w:rPr>
          <w:rFonts w:ascii="Arial"/>
          <w:b/>
          <w:i/>
          <w:spacing w:val="-1"/>
          <w:highlight w:val="green"/>
        </w:rPr>
        <w:t>responsibilities</w:t>
      </w:r>
      <w:r w:rsidRPr="00424408">
        <w:rPr>
          <w:rFonts w:ascii="Arial"/>
          <w:b/>
          <w:i/>
          <w:spacing w:val="7"/>
          <w:highlight w:val="green"/>
        </w:rPr>
        <w:t xml:space="preserve"> </w:t>
      </w:r>
      <w:r w:rsidRPr="00424408">
        <w:rPr>
          <w:rFonts w:ascii="Arial"/>
          <w:b/>
          <w:i/>
          <w:spacing w:val="-2"/>
          <w:highlight w:val="green"/>
        </w:rPr>
        <w:t>of</w:t>
      </w:r>
      <w:r w:rsidRPr="00424408">
        <w:rPr>
          <w:rFonts w:ascii="Arial"/>
          <w:b/>
          <w:i/>
          <w:spacing w:val="9"/>
          <w:highlight w:val="green"/>
        </w:rPr>
        <w:t xml:space="preserve"> </w:t>
      </w:r>
      <w:r w:rsidRPr="00424408">
        <w:rPr>
          <w:rFonts w:ascii="Arial"/>
          <w:b/>
          <w:i/>
          <w:spacing w:val="-1"/>
          <w:highlight w:val="green"/>
        </w:rPr>
        <w:t>the</w:t>
      </w:r>
      <w:r w:rsidRPr="00424408">
        <w:rPr>
          <w:rFonts w:ascii="Arial"/>
          <w:b/>
          <w:i/>
          <w:spacing w:val="3"/>
          <w:highlight w:val="green"/>
        </w:rPr>
        <w:t xml:space="preserve"> </w:t>
      </w:r>
      <w:r w:rsidRPr="00424408">
        <w:rPr>
          <w:rFonts w:ascii="Arial"/>
          <w:b/>
          <w:i/>
          <w:spacing w:val="-1"/>
          <w:highlight w:val="green"/>
        </w:rPr>
        <w:t>Customer,</w:t>
      </w:r>
      <w:r w:rsidRPr="00424408">
        <w:rPr>
          <w:rFonts w:ascii="Arial"/>
          <w:b/>
          <w:i/>
          <w:spacing w:val="7"/>
          <w:highlight w:val="green"/>
        </w:rPr>
        <w:t xml:space="preserve"> </w:t>
      </w:r>
      <w:r w:rsidRPr="00424408">
        <w:rPr>
          <w:rFonts w:ascii="Arial"/>
          <w:b/>
          <w:i/>
          <w:spacing w:val="-1"/>
          <w:highlight w:val="green"/>
        </w:rPr>
        <w:t>for</w:t>
      </w:r>
      <w:r w:rsidRPr="00424408">
        <w:rPr>
          <w:rFonts w:ascii="Arial"/>
          <w:b/>
          <w:i/>
          <w:spacing w:val="8"/>
          <w:highlight w:val="green"/>
        </w:rPr>
        <w:t xml:space="preserve"> </w:t>
      </w:r>
      <w:r w:rsidRPr="00424408">
        <w:rPr>
          <w:rFonts w:ascii="Arial"/>
          <w:b/>
          <w:i/>
          <w:spacing w:val="-2"/>
          <w:highlight w:val="green"/>
        </w:rPr>
        <w:t>example,</w:t>
      </w:r>
      <w:r w:rsidRPr="00424408">
        <w:rPr>
          <w:rFonts w:ascii="Arial"/>
          <w:b/>
          <w:i/>
          <w:spacing w:val="7"/>
          <w:highlight w:val="green"/>
        </w:rPr>
        <w:t xml:space="preserve"> </w:t>
      </w:r>
      <w:r w:rsidRPr="00424408">
        <w:rPr>
          <w:rFonts w:ascii="Arial"/>
          <w:b/>
          <w:i/>
          <w:spacing w:val="-1"/>
          <w:highlight w:val="green"/>
        </w:rPr>
        <w:t>the</w:t>
      </w:r>
      <w:r w:rsidRPr="00424408">
        <w:rPr>
          <w:rFonts w:ascii="Arial"/>
          <w:b/>
          <w:i/>
          <w:spacing w:val="5"/>
          <w:highlight w:val="green"/>
        </w:rPr>
        <w:t xml:space="preserve"> </w:t>
      </w:r>
      <w:r w:rsidRPr="00424408">
        <w:rPr>
          <w:rFonts w:ascii="Arial"/>
          <w:b/>
          <w:i/>
          <w:spacing w:val="-1"/>
          <w:highlight w:val="green"/>
        </w:rPr>
        <w:t>granting</w:t>
      </w:r>
      <w:r w:rsidRPr="00424408">
        <w:rPr>
          <w:rFonts w:ascii="Arial"/>
          <w:b/>
          <w:i/>
          <w:spacing w:val="5"/>
          <w:highlight w:val="green"/>
        </w:rPr>
        <w:t xml:space="preserve"> </w:t>
      </w:r>
      <w:r w:rsidRPr="00424408">
        <w:rPr>
          <w:rFonts w:ascii="Arial"/>
          <w:b/>
          <w:i/>
          <w:spacing w:val="-1"/>
          <w:highlight w:val="green"/>
        </w:rPr>
        <w:t>of</w:t>
      </w:r>
      <w:r w:rsidRPr="00424408">
        <w:rPr>
          <w:rFonts w:ascii="Arial"/>
          <w:b/>
          <w:i/>
          <w:spacing w:val="6"/>
          <w:highlight w:val="green"/>
        </w:rPr>
        <w:t xml:space="preserve"> </w:t>
      </w:r>
      <w:r w:rsidRPr="00424408">
        <w:rPr>
          <w:rFonts w:ascii="Arial"/>
          <w:b/>
          <w:i/>
          <w:spacing w:val="-2"/>
          <w:highlight w:val="green"/>
        </w:rPr>
        <w:t>access</w:t>
      </w:r>
      <w:r w:rsidRPr="00424408">
        <w:rPr>
          <w:rFonts w:ascii="Arial"/>
          <w:b/>
          <w:i/>
          <w:spacing w:val="5"/>
          <w:highlight w:val="green"/>
        </w:rPr>
        <w:t xml:space="preserve"> </w:t>
      </w:r>
      <w:r w:rsidRPr="00424408">
        <w:rPr>
          <w:rFonts w:ascii="Arial"/>
          <w:b/>
          <w:i/>
          <w:highlight w:val="green"/>
        </w:rPr>
        <w:t>to</w:t>
      </w:r>
      <w:r w:rsidRPr="00424408">
        <w:rPr>
          <w:rFonts w:ascii="Arial"/>
          <w:b/>
          <w:i/>
          <w:spacing w:val="5"/>
          <w:highlight w:val="green"/>
        </w:rPr>
        <w:t xml:space="preserve"> </w:t>
      </w:r>
      <w:r w:rsidRPr="00424408">
        <w:rPr>
          <w:rFonts w:ascii="Arial"/>
          <w:b/>
          <w:i/>
          <w:spacing w:val="-1"/>
          <w:highlight w:val="green"/>
        </w:rPr>
        <w:t>the</w:t>
      </w:r>
      <w:r w:rsidRPr="00424408">
        <w:rPr>
          <w:rFonts w:ascii="Arial"/>
          <w:b/>
          <w:i/>
          <w:spacing w:val="62"/>
          <w:highlight w:val="green"/>
        </w:rPr>
        <w:t xml:space="preserve"> </w:t>
      </w:r>
      <w:r w:rsidRPr="00424408">
        <w:rPr>
          <w:rFonts w:ascii="Arial"/>
          <w:b/>
          <w:i/>
          <w:spacing w:val="-1"/>
          <w:highlight w:val="green"/>
        </w:rPr>
        <w:t>Customer</w:t>
      </w:r>
      <w:r w:rsidRPr="00424408">
        <w:rPr>
          <w:rFonts w:ascii="Arial"/>
          <w:b/>
          <w:i/>
          <w:spacing w:val="59"/>
          <w:highlight w:val="green"/>
        </w:rPr>
        <w:t xml:space="preserve"> </w:t>
      </w:r>
      <w:r w:rsidRPr="00424408">
        <w:rPr>
          <w:rFonts w:ascii="Arial"/>
          <w:b/>
          <w:i/>
          <w:spacing w:val="-2"/>
          <w:highlight w:val="green"/>
        </w:rPr>
        <w:t>Sites,</w:t>
      </w:r>
      <w:r w:rsidRPr="00424408">
        <w:rPr>
          <w:rFonts w:ascii="Arial"/>
          <w:b/>
          <w:i/>
          <w:spacing w:val="59"/>
          <w:highlight w:val="green"/>
        </w:rPr>
        <w:t xml:space="preserve"> </w:t>
      </w:r>
      <w:r w:rsidRPr="00424408">
        <w:rPr>
          <w:rFonts w:ascii="Arial"/>
          <w:b/>
          <w:i/>
          <w:spacing w:val="-1"/>
          <w:highlight w:val="green"/>
        </w:rPr>
        <w:t>provision</w:t>
      </w:r>
      <w:r w:rsidRPr="00424408">
        <w:rPr>
          <w:rFonts w:ascii="Arial"/>
          <w:b/>
          <w:i/>
          <w:spacing w:val="58"/>
          <w:highlight w:val="green"/>
        </w:rPr>
        <w:t xml:space="preserve"> </w:t>
      </w:r>
      <w:r w:rsidRPr="00424408">
        <w:rPr>
          <w:rFonts w:ascii="Arial"/>
          <w:b/>
          <w:i/>
          <w:spacing w:val="-1"/>
          <w:highlight w:val="green"/>
        </w:rPr>
        <w:t>of</w:t>
      </w:r>
      <w:r w:rsidRPr="00424408">
        <w:rPr>
          <w:rFonts w:ascii="Arial"/>
          <w:b/>
          <w:i/>
          <w:spacing w:val="59"/>
          <w:highlight w:val="green"/>
        </w:rPr>
        <w:t xml:space="preserve"> </w:t>
      </w:r>
      <w:r w:rsidRPr="00424408">
        <w:rPr>
          <w:rFonts w:ascii="Arial"/>
          <w:b/>
          <w:i/>
          <w:spacing w:val="-1"/>
          <w:highlight w:val="green"/>
        </w:rPr>
        <w:t>Property,</w:t>
      </w:r>
      <w:r w:rsidRPr="00424408">
        <w:rPr>
          <w:rFonts w:ascii="Arial"/>
          <w:b/>
          <w:i/>
          <w:spacing w:val="59"/>
          <w:highlight w:val="green"/>
        </w:rPr>
        <w:t xml:space="preserve"> </w:t>
      </w:r>
      <w:r w:rsidRPr="00424408">
        <w:rPr>
          <w:rFonts w:ascii="Arial"/>
          <w:b/>
          <w:i/>
          <w:spacing w:val="-1"/>
          <w:highlight w:val="green"/>
        </w:rPr>
        <w:t>Customer</w:t>
      </w:r>
      <w:r w:rsidRPr="00424408">
        <w:rPr>
          <w:rFonts w:ascii="Arial"/>
          <w:b/>
          <w:i/>
          <w:spacing w:val="59"/>
          <w:highlight w:val="green"/>
        </w:rPr>
        <w:t xml:space="preserve"> </w:t>
      </w:r>
      <w:r w:rsidRPr="00424408">
        <w:rPr>
          <w:rFonts w:ascii="Arial"/>
          <w:b/>
          <w:i/>
          <w:spacing w:val="-1"/>
          <w:highlight w:val="green"/>
        </w:rPr>
        <w:t>Assets</w:t>
      </w:r>
      <w:r w:rsidRPr="00424408">
        <w:rPr>
          <w:rFonts w:ascii="Arial"/>
          <w:b/>
          <w:i/>
          <w:spacing w:val="59"/>
          <w:highlight w:val="green"/>
        </w:rPr>
        <w:t xml:space="preserve"> </w:t>
      </w:r>
      <w:r w:rsidRPr="00424408">
        <w:rPr>
          <w:rFonts w:ascii="Arial"/>
          <w:b/>
          <w:i/>
          <w:spacing w:val="-1"/>
          <w:highlight w:val="green"/>
        </w:rPr>
        <w:t>or</w:t>
      </w:r>
      <w:r w:rsidRPr="00424408">
        <w:rPr>
          <w:rFonts w:ascii="Arial"/>
          <w:b/>
          <w:i/>
          <w:spacing w:val="59"/>
          <w:highlight w:val="green"/>
        </w:rPr>
        <w:t xml:space="preserve"> </w:t>
      </w:r>
      <w:r w:rsidRPr="00424408">
        <w:rPr>
          <w:rFonts w:ascii="Arial"/>
          <w:b/>
          <w:i/>
          <w:spacing w:val="-1"/>
          <w:highlight w:val="green"/>
        </w:rPr>
        <w:t>information</w:t>
      </w:r>
      <w:r w:rsidRPr="00424408">
        <w:rPr>
          <w:rFonts w:ascii="Arial"/>
          <w:b/>
          <w:i/>
          <w:spacing w:val="34"/>
          <w:highlight w:val="green"/>
        </w:rPr>
        <w:t xml:space="preserve"> </w:t>
      </w:r>
      <w:r w:rsidRPr="00424408">
        <w:rPr>
          <w:rFonts w:ascii="Arial"/>
          <w:b/>
          <w:i/>
          <w:spacing w:val="-1"/>
          <w:highlight w:val="green"/>
        </w:rPr>
        <w:t>(e.g.</w:t>
      </w:r>
      <w:r w:rsidRPr="00424408">
        <w:rPr>
          <w:rFonts w:ascii="Arial"/>
          <w:b/>
          <w:i/>
          <w:spacing w:val="2"/>
          <w:highlight w:val="green"/>
        </w:rPr>
        <w:t xml:space="preserve"> </w:t>
      </w:r>
      <w:r w:rsidRPr="00424408">
        <w:rPr>
          <w:rFonts w:ascii="Arial"/>
          <w:b/>
          <w:i/>
          <w:spacing w:val="-1"/>
          <w:highlight w:val="green"/>
        </w:rPr>
        <w:t>copies</w:t>
      </w:r>
      <w:r w:rsidRPr="00424408">
        <w:rPr>
          <w:rFonts w:ascii="Arial"/>
          <w:b/>
          <w:i/>
          <w:highlight w:val="green"/>
        </w:rPr>
        <w:t xml:space="preserve"> </w:t>
      </w:r>
      <w:r w:rsidRPr="00424408">
        <w:rPr>
          <w:rFonts w:ascii="Arial"/>
          <w:b/>
          <w:i/>
          <w:spacing w:val="-2"/>
          <w:highlight w:val="green"/>
        </w:rPr>
        <w:t>of</w:t>
      </w:r>
      <w:r w:rsidRPr="00424408">
        <w:rPr>
          <w:rFonts w:ascii="Arial"/>
          <w:b/>
          <w:i/>
          <w:spacing w:val="-1"/>
          <w:highlight w:val="green"/>
        </w:rPr>
        <w:t xml:space="preserve"> the</w:t>
      </w:r>
      <w:r w:rsidRPr="00424408">
        <w:rPr>
          <w:rFonts w:ascii="Arial"/>
          <w:b/>
          <w:i/>
          <w:highlight w:val="green"/>
        </w:rPr>
        <w:t xml:space="preserve"> </w:t>
      </w:r>
      <w:r w:rsidRPr="00424408">
        <w:rPr>
          <w:rFonts w:ascii="Arial"/>
          <w:b/>
          <w:i/>
          <w:spacing w:val="-1"/>
          <w:highlight w:val="green"/>
        </w:rPr>
        <w:t>Security</w:t>
      </w:r>
      <w:r w:rsidRPr="00424408">
        <w:rPr>
          <w:rFonts w:ascii="Arial"/>
          <w:b/>
          <w:i/>
          <w:spacing w:val="-2"/>
          <w:highlight w:val="green"/>
        </w:rPr>
        <w:t xml:space="preserve"> </w:t>
      </w:r>
      <w:r w:rsidRPr="00424408">
        <w:rPr>
          <w:rFonts w:ascii="Arial"/>
          <w:b/>
          <w:i/>
          <w:spacing w:val="-1"/>
          <w:highlight w:val="green"/>
        </w:rPr>
        <w:t>Policy</w:t>
      </w:r>
      <w:r w:rsidRPr="00424408">
        <w:rPr>
          <w:rFonts w:ascii="Arial"/>
          <w:b/>
          <w:i/>
          <w:highlight w:val="green"/>
        </w:rPr>
        <w:t xml:space="preserve"> </w:t>
      </w:r>
      <w:r w:rsidRPr="00424408">
        <w:rPr>
          <w:rFonts w:ascii="Arial"/>
          <w:b/>
          <w:i/>
          <w:spacing w:val="-1"/>
          <w:highlight w:val="green"/>
        </w:rPr>
        <w:t>and</w:t>
      </w:r>
      <w:r w:rsidRPr="00424408">
        <w:rPr>
          <w:rFonts w:ascii="Arial"/>
          <w:b/>
          <w:i/>
          <w:spacing w:val="-2"/>
          <w:highlight w:val="green"/>
        </w:rPr>
        <w:t xml:space="preserve"> </w:t>
      </w:r>
      <w:r w:rsidRPr="00424408">
        <w:rPr>
          <w:rFonts w:ascii="Arial"/>
          <w:b/>
          <w:i/>
          <w:spacing w:val="-1"/>
          <w:highlight w:val="green"/>
        </w:rPr>
        <w:t>the</w:t>
      </w:r>
      <w:r w:rsidRPr="00424408">
        <w:rPr>
          <w:rFonts w:ascii="Arial"/>
          <w:b/>
          <w:i/>
          <w:spacing w:val="-2"/>
          <w:highlight w:val="green"/>
        </w:rPr>
        <w:t xml:space="preserve"> </w:t>
      </w:r>
      <w:r w:rsidRPr="00424408">
        <w:rPr>
          <w:rFonts w:ascii="Arial"/>
          <w:b/>
          <w:i/>
          <w:spacing w:val="-1"/>
          <w:highlight w:val="green"/>
        </w:rPr>
        <w:t>ICT</w:t>
      </w:r>
      <w:r w:rsidRPr="00424408">
        <w:rPr>
          <w:rFonts w:ascii="Arial"/>
          <w:b/>
          <w:i/>
          <w:spacing w:val="-2"/>
          <w:highlight w:val="green"/>
        </w:rPr>
        <w:t xml:space="preserve"> </w:t>
      </w:r>
      <w:r w:rsidRPr="00424408">
        <w:rPr>
          <w:rFonts w:ascii="Arial"/>
          <w:b/>
          <w:i/>
          <w:spacing w:val="-1"/>
          <w:highlight w:val="green"/>
        </w:rPr>
        <w:t xml:space="preserve">Policy) </w:t>
      </w:r>
      <w:r w:rsidRPr="00424408">
        <w:rPr>
          <w:rFonts w:ascii="Arial"/>
          <w:b/>
          <w:i/>
          <w:spacing w:val="-2"/>
          <w:highlight w:val="green"/>
        </w:rPr>
        <w:t>etc.]</w:t>
      </w:r>
    </w:p>
    <w:p w:rsidR="00424408" w:rsidRDefault="00424408" w:rsidP="00424408">
      <w:pPr>
        <w:spacing w:before="118"/>
        <w:ind w:left="694"/>
        <w:jc w:val="both"/>
        <w:rPr>
          <w:rFonts w:ascii="Arial" w:eastAsia="Arial" w:hAnsi="Arial" w:cs="Arial"/>
        </w:rPr>
      </w:pPr>
      <w:r w:rsidRPr="00424408">
        <w:rPr>
          <w:rFonts w:ascii="Arial"/>
          <w:b/>
          <w:i/>
          <w:spacing w:val="-1"/>
          <w:highlight w:val="green"/>
        </w:rPr>
        <w:t>[Guidance</w:t>
      </w:r>
      <w:r w:rsidRPr="00424408">
        <w:rPr>
          <w:rFonts w:ascii="Arial"/>
          <w:b/>
          <w:i/>
          <w:spacing w:val="39"/>
          <w:highlight w:val="green"/>
        </w:rPr>
        <w:t xml:space="preserve"> </w:t>
      </w:r>
      <w:r w:rsidRPr="00424408">
        <w:rPr>
          <w:rFonts w:ascii="Arial"/>
          <w:b/>
          <w:i/>
          <w:spacing w:val="-1"/>
          <w:highlight w:val="green"/>
        </w:rPr>
        <w:t>Note:</w:t>
      </w:r>
      <w:r w:rsidRPr="00424408">
        <w:rPr>
          <w:rFonts w:ascii="Arial"/>
          <w:b/>
          <w:i/>
          <w:spacing w:val="40"/>
          <w:highlight w:val="green"/>
        </w:rPr>
        <w:t xml:space="preserve"> </w:t>
      </w:r>
      <w:r w:rsidRPr="00424408">
        <w:rPr>
          <w:rFonts w:ascii="Arial"/>
          <w:b/>
          <w:i/>
          <w:spacing w:val="-1"/>
          <w:highlight w:val="green"/>
        </w:rPr>
        <w:t>See</w:t>
      </w:r>
      <w:r w:rsidRPr="00424408">
        <w:rPr>
          <w:rFonts w:ascii="Arial"/>
          <w:b/>
          <w:i/>
          <w:spacing w:val="39"/>
          <w:highlight w:val="green"/>
        </w:rPr>
        <w:t xml:space="preserve"> </w:t>
      </w:r>
      <w:r w:rsidRPr="00424408">
        <w:rPr>
          <w:rFonts w:ascii="Arial"/>
          <w:b/>
          <w:i/>
          <w:spacing w:val="-1"/>
          <w:highlight w:val="green"/>
        </w:rPr>
        <w:t>also</w:t>
      </w:r>
      <w:r w:rsidRPr="00424408">
        <w:rPr>
          <w:rFonts w:ascii="Arial"/>
          <w:b/>
          <w:i/>
          <w:spacing w:val="39"/>
          <w:highlight w:val="green"/>
        </w:rPr>
        <w:t xml:space="preserve"> </w:t>
      </w:r>
      <w:r w:rsidRPr="00424408">
        <w:rPr>
          <w:rFonts w:ascii="Arial"/>
          <w:b/>
          <w:i/>
          <w:spacing w:val="-1"/>
          <w:highlight w:val="green"/>
        </w:rPr>
        <w:t>Clauses</w:t>
      </w:r>
      <w:r w:rsidRPr="00424408">
        <w:rPr>
          <w:rFonts w:ascii="Arial"/>
          <w:b/>
          <w:i/>
          <w:spacing w:val="39"/>
          <w:highlight w:val="green"/>
        </w:rPr>
        <w:t xml:space="preserve"> </w:t>
      </w:r>
      <w:hyperlink w:anchor="_bookmark47" w:history="1">
        <w:r w:rsidRPr="00424408">
          <w:rPr>
            <w:rFonts w:ascii="Arial"/>
            <w:b/>
            <w:i/>
            <w:spacing w:val="-1"/>
            <w:highlight w:val="green"/>
          </w:rPr>
          <w:t>2</w:t>
        </w:r>
      </w:hyperlink>
      <w:r w:rsidRPr="00424408">
        <w:rPr>
          <w:rFonts w:ascii="Arial"/>
          <w:b/>
          <w:i/>
          <w:spacing w:val="-1"/>
          <w:highlight w:val="green"/>
        </w:rPr>
        <w:t>,</w:t>
      </w:r>
      <w:r w:rsidRPr="00424408">
        <w:rPr>
          <w:rFonts w:ascii="Arial"/>
          <w:b/>
          <w:i/>
          <w:spacing w:val="40"/>
          <w:highlight w:val="green"/>
        </w:rPr>
        <w:t xml:space="preserve"> </w:t>
      </w:r>
      <w:hyperlink w:anchor="_bookmark154" w:history="1">
        <w:r w:rsidRPr="00424408">
          <w:rPr>
            <w:rFonts w:ascii="Arial"/>
            <w:b/>
            <w:i/>
            <w:spacing w:val="-1"/>
            <w:highlight w:val="green"/>
          </w:rPr>
          <w:t>30</w:t>
        </w:r>
      </w:hyperlink>
      <w:r w:rsidRPr="00424408">
        <w:rPr>
          <w:rFonts w:ascii="Arial"/>
          <w:b/>
          <w:i/>
          <w:spacing w:val="40"/>
          <w:highlight w:val="green"/>
        </w:rPr>
        <w:t xml:space="preserve"> </w:t>
      </w:r>
      <w:r w:rsidRPr="00424408">
        <w:rPr>
          <w:rFonts w:ascii="Arial"/>
          <w:b/>
          <w:i/>
          <w:spacing w:val="-1"/>
          <w:highlight w:val="green"/>
        </w:rPr>
        <w:t>and</w:t>
      </w:r>
      <w:r w:rsidRPr="00424408">
        <w:rPr>
          <w:rFonts w:ascii="Arial"/>
          <w:b/>
          <w:i/>
          <w:spacing w:val="36"/>
          <w:highlight w:val="green"/>
        </w:rPr>
        <w:t xml:space="preserve"> </w:t>
      </w:r>
      <w:hyperlink w:anchor="_bookmark156" w:history="1">
        <w:r w:rsidRPr="00424408">
          <w:rPr>
            <w:rFonts w:ascii="Arial"/>
            <w:b/>
            <w:i/>
            <w:spacing w:val="-1"/>
            <w:highlight w:val="green"/>
          </w:rPr>
          <w:t>31</w:t>
        </w:r>
      </w:hyperlink>
      <w:r w:rsidRPr="00424408">
        <w:rPr>
          <w:rFonts w:ascii="Arial"/>
          <w:b/>
          <w:i/>
          <w:spacing w:val="39"/>
          <w:highlight w:val="green"/>
        </w:rPr>
        <w:t xml:space="preserve"> </w:t>
      </w:r>
      <w:r w:rsidRPr="00424408">
        <w:rPr>
          <w:rFonts w:ascii="Arial"/>
          <w:b/>
          <w:i/>
          <w:spacing w:val="-1"/>
          <w:highlight w:val="green"/>
        </w:rPr>
        <w:t>of</w:t>
      </w:r>
      <w:r w:rsidRPr="00424408">
        <w:rPr>
          <w:rFonts w:ascii="Arial"/>
          <w:b/>
          <w:i/>
          <w:spacing w:val="40"/>
          <w:highlight w:val="green"/>
        </w:rPr>
        <w:t xml:space="preserve"> </w:t>
      </w:r>
      <w:r w:rsidRPr="00424408">
        <w:rPr>
          <w:rFonts w:ascii="Arial"/>
          <w:b/>
          <w:i/>
          <w:spacing w:val="-1"/>
          <w:highlight w:val="green"/>
        </w:rPr>
        <w:t>the</w:t>
      </w:r>
      <w:r w:rsidRPr="00424408">
        <w:rPr>
          <w:rFonts w:ascii="Arial"/>
          <w:b/>
          <w:i/>
          <w:spacing w:val="38"/>
          <w:highlight w:val="green"/>
        </w:rPr>
        <w:t xml:space="preserve"> </w:t>
      </w:r>
      <w:r w:rsidRPr="00424408">
        <w:rPr>
          <w:rFonts w:ascii="Arial"/>
          <w:b/>
          <w:i/>
          <w:spacing w:val="-1"/>
          <w:highlight w:val="green"/>
        </w:rPr>
        <w:t>Template</w:t>
      </w:r>
      <w:r w:rsidRPr="00424408">
        <w:rPr>
          <w:rFonts w:ascii="Arial"/>
          <w:b/>
          <w:i/>
          <w:spacing w:val="38"/>
          <w:highlight w:val="green"/>
        </w:rPr>
        <w:t xml:space="preserve"> </w:t>
      </w:r>
      <w:r w:rsidRPr="00424408">
        <w:rPr>
          <w:rFonts w:ascii="Arial"/>
          <w:b/>
          <w:i/>
          <w:spacing w:val="-1"/>
          <w:highlight w:val="green"/>
        </w:rPr>
        <w:t>Call</w:t>
      </w:r>
      <w:r w:rsidRPr="00424408">
        <w:rPr>
          <w:rFonts w:ascii="Arial"/>
          <w:b/>
          <w:i/>
          <w:spacing w:val="39"/>
          <w:highlight w:val="green"/>
        </w:rPr>
        <w:t xml:space="preserve"> </w:t>
      </w:r>
      <w:r w:rsidRPr="00424408">
        <w:rPr>
          <w:rFonts w:ascii="Arial"/>
          <w:b/>
          <w:i/>
          <w:spacing w:val="-1"/>
          <w:highlight w:val="green"/>
        </w:rPr>
        <w:t>Off</w:t>
      </w:r>
      <w:r w:rsidRPr="00424408">
        <w:rPr>
          <w:rFonts w:ascii="Arial"/>
          <w:b/>
          <w:i/>
          <w:spacing w:val="43"/>
          <w:highlight w:val="green"/>
        </w:rPr>
        <w:t xml:space="preserve"> </w:t>
      </w:r>
      <w:r w:rsidRPr="00424408">
        <w:rPr>
          <w:rFonts w:ascii="Arial"/>
          <w:b/>
          <w:i/>
          <w:spacing w:val="-1"/>
          <w:highlight w:val="green"/>
        </w:rPr>
        <w:t>Terms.</w:t>
      </w:r>
      <w:r w:rsidRPr="00424408">
        <w:rPr>
          <w:rFonts w:ascii="Arial"/>
          <w:b/>
          <w:i/>
          <w:spacing w:val="19"/>
          <w:highlight w:val="green"/>
        </w:rPr>
        <w:t xml:space="preserve"> </w:t>
      </w:r>
      <w:r w:rsidRPr="00424408">
        <w:rPr>
          <w:rFonts w:ascii="Arial"/>
          <w:b/>
          <w:i/>
          <w:spacing w:val="-1"/>
          <w:highlight w:val="green"/>
        </w:rPr>
        <w:t>Consider</w:t>
      </w:r>
      <w:r w:rsidRPr="00424408">
        <w:rPr>
          <w:rFonts w:ascii="Arial"/>
          <w:b/>
          <w:i/>
          <w:spacing w:val="18"/>
          <w:highlight w:val="green"/>
        </w:rPr>
        <w:t xml:space="preserve"> </w:t>
      </w:r>
      <w:r w:rsidRPr="00424408">
        <w:rPr>
          <w:rFonts w:ascii="Arial"/>
          <w:b/>
          <w:i/>
          <w:spacing w:val="-1"/>
          <w:highlight w:val="green"/>
        </w:rPr>
        <w:t>whether</w:t>
      </w:r>
      <w:r w:rsidRPr="00424408">
        <w:rPr>
          <w:rFonts w:ascii="Arial"/>
          <w:b/>
          <w:i/>
          <w:spacing w:val="18"/>
          <w:highlight w:val="green"/>
        </w:rPr>
        <w:t xml:space="preserve"> </w:t>
      </w:r>
      <w:r w:rsidRPr="00424408">
        <w:rPr>
          <w:rFonts w:ascii="Arial"/>
          <w:b/>
          <w:i/>
          <w:highlight w:val="green"/>
        </w:rPr>
        <w:t>to</w:t>
      </w:r>
      <w:r w:rsidRPr="00424408">
        <w:rPr>
          <w:rFonts w:ascii="Arial"/>
          <w:b/>
          <w:i/>
          <w:spacing w:val="17"/>
          <w:highlight w:val="green"/>
        </w:rPr>
        <w:t xml:space="preserve"> </w:t>
      </w:r>
      <w:r w:rsidRPr="00424408">
        <w:rPr>
          <w:rFonts w:ascii="Arial"/>
          <w:b/>
          <w:i/>
          <w:spacing w:val="-1"/>
          <w:highlight w:val="green"/>
        </w:rPr>
        <w:t>include</w:t>
      </w:r>
      <w:r w:rsidRPr="00424408">
        <w:rPr>
          <w:rFonts w:ascii="Arial"/>
          <w:b/>
          <w:i/>
          <w:spacing w:val="17"/>
          <w:highlight w:val="green"/>
        </w:rPr>
        <w:t xml:space="preserve"> </w:t>
      </w:r>
      <w:r w:rsidRPr="00424408">
        <w:rPr>
          <w:rFonts w:ascii="Arial"/>
          <w:b/>
          <w:i/>
          <w:spacing w:val="-1"/>
          <w:highlight w:val="green"/>
        </w:rPr>
        <w:t>any</w:t>
      </w:r>
      <w:r w:rsidRPr="00424408">
        <w:rPr>
          <w:rFonts w:ascii="Arial"/>
          <w:b/>
          <w:i/>
          <w:spacing w:val="17"/>
          <w:highlight w:val="green"/>
        </w:rPr>
        <w:t xml:space="preserve"> </w:t>
      </w:r>
      <w:r w:rsidRPr="00424408">
        <w:rPr>
          <w:rFonts w:ascii="Arial"/>
          <w:b/>
          <w:i/>
          <w:spacing w:val="-1"/>
          <w:highlight w:val="green"/>
        </w:rPr>
        <w:t>specific</w:t>
      </w:r>
      <w:r w:rsidRPr="00424408">
        <w:rPr>
          <w:rFonts w:ascii="Arial"/>
          <w:b/>
          <w:i/>
          <w:spacing w:val="17"/>
          <w:highlight w:val="green"/>
        </w:rPr>
        <w:t xml:space="preserve"> </w:t>
      </w:r>
      <w:r w:rsidRPr="00424408">
        <w:rPr>
          <w:rFonts w:ascii="Arial"/>
          <w:b/>
          <w:i/>
          <w:spacing w:val="-1"/>
          <w:highlight w:val="green"/>
        </w:rPr>
        <w:t>mechanisms</w:t>
      </w:r>
      <w:r w:rsidRPr="00424408">
        <w:rPr>
          <w:rFonts w:ascii="Arial"/>
          <w:b/>
          <w:i/>
          <w:spacing w:val="17"/>
          <w:highlight w:val="green"/>
        </w:rPr>
        <w:t xml:space="preserve"> </w:t>
      </w:r>
      <w:r w:rsidRPr="00424408">
        <w:rPr>
          <w:rFonts w:ascii="Arial"/>
          <w:b/>
          <w:i/>
          <w:highlight w:val="green"/>
        </w:rPr>
        <w:t>to</w:t>
      </w:r>
      <w:r w:rsidRPr="00424408">
        <w:rPr>
          <w:rFonts w:ascii="Arial"/>
          <w:b/>
          <w:i/>
          <w:spacing w:val="17"/>
          <w:highlight w:val="green"/>
        </w:rPr>
        <w:t xml:space="preserve"> </w:t>
      </w:r>
      <w:r w:rsidRPr="00424408">
        <w:rPr>
          <w:rFonts w:ascii="Arial"/>
          <w:b/>
          <w:i/>
          <w:spacing w:val="-2"/>
          <w:highlight w:val="green"/>
        </w:rPr>
        <w:t>deal</w:t>
      </w:r>
      <w:r w:rsidRPr="00424408">
        <w:rPr>
          <w:rFonts w:ascii="Arial"/>
          <w:b/>
          <w:i/>
          <w:spacing w:val="19"/>
          <w:highlight w:val="green"/>
        </w:rPr>
        <w:t xml:space="preserve"> </w:t>
      </w:r>
      <w:r w:rsidRPr="00424408">
        <w:rPr>
          <w:rFonts w:ascii="Arial"/>
          <w:b/>
          <w:i/>
          <w:spacing w:val="-1"/>
          <w:highlight w:val="green"/>
        </w:rPr>
        <w:t>with</w:t>
      </w:r>
      <w:r w:rsidRPr="00424408">
        <w:rPr>
          <w:rFonts w:ascii="Arial"/>
          <w:b/>
          <w:i/>
          <w:spacing w:val="45"/>
          <w:highlight w:val="green"/>
        </w:rPr>
        <w:t xml:space="preserve"> </w:t>
      </w:r>
      <w:r w:rsidRPr="00424408">
        <w:rPr>
          <w:rFonts w:ascii="Arial"/>
          <w:b/>
          <w:i/>
          <w:spacing w:val="-1"/>
          <w:highlight w:val="green"/>
        </w:rPr>
        <w:t>the</w:t>
      </w:r>
      <w:r w:rsidRPr="00424408">
        <w:rPr>
          <w:rFonts w:ascii="Arial"/>
          <w:b/>
          <w:i/>
          <w:spacing w:val="37"/>
          <w:highlight w:val="green"/>
        </w:rPr>
        <w:t xml:space="preserve"> </w:t>
      </w:r>
      <w:r w:rsidRPr="00424408">
        <w:rPr>
          <w:rFonts w:ascii="Arial"/>
          <w:b/>
          <w:i/>
          <w:spacing w:val="-1"/>
          <w:highlight w:val="green"/>
        </w:rPr>
        <w:t>consequences</w:t>
      </w:r>
      <w:r w:rsidRPr="00424408">
        <w:rPr>
          <w:rFonts w:ascii="Arial"/>
          <w:b/>
          <w:i/>
          <w:spacing w:val="37"/>
          <w:highlight w:val="green"/>
        </w:rPr>
        <w:t xml:space="preserve"> </w:t>
      </w:r>
      <w:r w:rsidRPr="00424408">
        <w:rPr>
          <w:rFonts w:ascii="Arial"/>
          <w:b/>
          <w:i/>
          <w:spacing w:val="-1"/>
          <w:highlight w:val="green"/>
        </w:rPr>
        <w:t>of</w:t>
      </w:r>
      <w:r w:rsidRPr="00424408">
        <w:rPr>
          <w:rFonts w:ascii="Arial"/>
          <w:b/>
          <w:i/>
          <w:spacing w:val="39"/>
          <w:highlight w:val="green"/>
        </w:rPr>
        <w:t xml:space="preserve"> </w:t>
      </w:r>
      <w:r w:rsidRPr="00424408">
        <w:rPr>
          <w:rFonts w:ascii="Arial"/>
          <w:b/>
          <w:i/>
          <w:highlight w:val="green"/>
        </w:rPr>
        <w:t>a</w:t>
      </w:r>
      <w:r w:rsidRPr="00424408">
        <w:rPr>
          <w:rFonts w:ascii="Arial"/>
          <w:b/>
          <w:i/>
          <w:spacing w:val="37"/>
          <w:highlight w:val="green"/>
        </w:rPr>
        <w:t xml:space="preserve"> </w:t>
      </w:r>
      <w:r w:rsidRPr="00424408">
        <w:rPr>
          <w:rFonts w:ascii="Arial"/>
          <w:b/>
          <w:i/>
          <w:highlight w:val="green"/>
        </w:rPr>
        <w:t>failure</w:t>
      </w:r>
      <w:r w:rsidRPr="00424408">
        <w:rPr>
          <w:rFonts w:ascii="Arial"/>
          <w:b/>
          <w:i/>
          <w:spacing w:val="37"/>
          <w:highlight w:val="green"/>
        </w:rPr>
        <w:t xml:space="preserve"> </w:t>
      </w:r>
      <w:r w:rsidRPr="00424408">
        <w:rPr>
          <w:rFonts w:ascii="Arial"/>
          <w:b/>
          <w:i/>
          <w:spacing w:val="-1"/>
          <w:highlight w:val="green"/>
        </w:rPr>
        <w:t>by</w:t>
      </w:r>
      <w:r w:rsidRPr="00424408">
        <w:rPr>
          <w:rFonts w:ascii="Arial"/>
          <w:b/>
          <w:i/>
          <w:spacing w:val="37"/>
          <w:highlight w:val="green"/>
        </w:rPr>
        <w:t xml:space="preserve"> </w:t>
      </w:r>
      <w:r w:rsidRPr="00424408">
        <w:rPr>
          <w:rFonts w:ascii="Arial"/>
          <w:b/>
          <w:i/>
          <w:spacing w:val="-1"/>
          <w:highlight w:val="green"/>
        </w:rPr>
        <w:t>the</w:t>
      </w:r>
      <w:r w:rsidRPr="00424408">
        <w:rPr>
          <w:rFonts w:ascii="Arial"/>
          <w:b/>
          <w:i/>
          <w:spacing w:val="38"/>
          <w:highlight w:val="green"/>
        </w:rPr>
        <w:t xml:space="preserve"> </w:t>
      </w:r>
      <w:r w:rsidRPr="00424408">
        <w:rPr>
          <w:rFonts w:ascii="Arial"/>
          <w:b/>
          <w:i/>
          <w:spacing w:val="-1"/>
          <w:highlight w:val="green"/>
        </w:rPr>
        <w:t>Customer</w:t>
      </w:r>
      <w:r w:rsidRPr="00424408">
        <w:rPr>
          <w:rFonts w:ascii="Arial"/>
          <w:b/>
          <w:i/>
          <w:spacing w:val="38"/>
          <w:highlight w:val="green"/>
        </w:rPr>
        <w:t xml:space="preserve"> </w:t>
      </w:r>
      <w:r w:rsidRPr="00424408">
        <w:rPr>
          <w:rFonts w:ascii="Arial"/>
          <w:b/>
          <w:i/>
          <w:highlight w:val="green"/>
        </w:rPr>
        <w:t>to</w:t>
      </w:r>
      <w:r w:rsidRPr="00424408">
        <w:rPr>
          <w:rFonts w:ascii="Arial"/>
          <w:b/>
          <w:i/>
          <w:spacing w:val="37"/>
          <w:highlight w:val="green"/>
        </w:rPr>
        <w:t xml:space="preserve"> </w:t>
      </w:r>
      <w:r w:rsidRPr="00424408">
        <w:rPr>
          <w:rFonts w:ascii="Arial"/>
          <w:b/>
          <w:i/>
          <w:spacing w:val="-1"/>
          <w:highlight w:val="green"/>
        </w:rPr>
        <w:t>comply</w:t>
      </w:r>
      <w:r w:rsidRPr="00424408">
        <w:rPr>
          <w:rFonts w:ascii="Arial"/>
          <w:b/>
          <w:i/>
          <w:spacing w:val="35"/>
          <w:highlight w:val="green"/>
        </w:rPr>
        <w:t xml:space="preserve"> </w:t>
      </w:r>
      <w:r w:rsidRPr="00424408">
        <w:rPr>
          <w:rFonts w:ascii="Arial"/>
          <w:b/>
          <w:i/>
          <w:spacing w:val="-1"/>
          <w:highlight w:val="green"/>
        </w:rPr>
        <w:t>with</w:t>
      </w:r>
      <w:r w:rsidRPr="00424408">
        <w:rPr>
          <w:rFonts w:ascii="Arial"/>
          <w:b/>
          <w:i/>
          <w:spacing w:val="37"/>
          <w:highlight w:val="green"/>
        </w:rPr>
        <w:t xml:space="preserve"> </w:t>
      </w:r>
      <w:r w:rsidRPr="00424408">
        <w:rPr>
          <w:rFonts w:ascii="Arial"/>
          <w:b/>
          <w:i/>
          <w:highlight w:val="green"/>
        </w:rPr>
        <w:t>its</w:t>
      </w:r>
      <w:r w:rsidRPr="00424408">
        <w:rPr>
          <w:rFonts w:ascii="Arial"/>
          <w:b/>
          <w:i/>
          <w:spacing w:val="31"/>
          <w:highlight w:val="green"/>
        </w:rPr>
        <w:t xml:space="preserve"> </w:t>
      </w:r>
      <w:r w:rsidRPr="00424408">
        <w:rPr>
          <w:rFonts w:ascii="Arial"/>
          <w:b/>
          <w:i/>
          <w:spacing w:val="-1"/>
          <w:highlight w:val="green"/>
        </w:rPr>
        <w:t>responsibilities</w:t>
      </w:r>
      <w:r w:rsidRPr="00424408">
        <w:rPr>
          <w:rFonts w:ascii="Arial"/>
          <w:b/>
          <w:i/>
          <w:spacing w:val="23"/>
          <w:highlight w:val="green"/>
        </w:rPr>
        <w:t xml:space="preserve"> </w:t>
      </w:r>
      <w:r w:rsidRPr="00424408">
        <w:rPr>
          <w:rFonts w:ascii="Arial"/>
          <w:b/>
          <w:i/>
          <w:spacing w:val="-1"/>
          <w:highlight w:val="green"/>
        </w:rPr>
        <w:t>e.g.</w:t>
      </w:r>
      <w:r w:rsidRPr="00424408">
        <w:rPr>
          <w:rFonts w:ascii="Arial"/>
          <w:b/>
          <w:i/>
          <w:spacing w:val="25"/>
          <w:highlight w:val="green"/>
        </w:rPr>
        <w:t xml:space="preserve"> </w:t>
      </w:r>
      <w:r w:rsidRPr="00424408">
        <w:rPr>
          <w:rFonts w:ascii="Arial"/>
          <w:b/>
          <w:i/>
          <w:spacing w:val="-1"/>
          <w:highlight w:val="green"/>
        </w:rPr>
        <w:t>the</w:t>
      </w:r>
      <w:r w:rsidRPr="00424408">
        <w:rPr>
          <w:rFonts w:ascii="Arial"/>
          <w:b/>
          <w:i/>
          <w:spacing w:val="23"/>
          <w:highlight w:val="green"/>
        </w:rPr>
        <w:t xml:space="preserve"> </w:t>
      </w:r>
      <w:r w:rsidRPr="00424408">
        <w:rPr>
          <w:rFonts w:ascii="Arial"/>
          <w:b/>
          <w:i/>
          <w:spacing w:val="-1"/>
          <w:highlight w:val="green"/>
        </w:rPr>
        <w:t>Supplier</w:t>
      </w:r>
      <w:r w:rsidRPr="00424408">
        <w:rPr>
          <w:rFonts w:ascii="Arial"/>
          <w:b/>
          <w:i/>
          <w:spacing w:val="24"/>
          <w:highlight w:val="green"/>
        </w:rPr>
        <w:t xml:space="preserve"> </w:t>
      </w:r>
      <w:r w:rsidRPr="00424408">
        <w:rPr>
          <w:rFonts w:ascii="Arial"/>
          <w:b/>
          <w:i/>
          <w:spacing w:val="-1"/>
          <w:highlight w:val="green"/>
        </w:rPr>
        <w:t>will</w:t>
      </w:r>
      <w:r w:rsidRPr="00424408">
        <w:rPr>
          <w:rFonts w:ascii="Arial"/>
          <w:b/>
          <w:i/>
          <w:spacing w:val="25"/>
          <w:highlight w:val="green"/>
        </w:rPr>
        <w:t xml:space="preserve"> </w:t>
      </w:r>
      <w:r w:rsidRPr="00424408">
        <w:rPr>
          <w:rFonts w:ascii="Arial"/>
          <w:b/>
          <w:i/>
          <w:spacing w:val="-1"/>
          <w:highlight w:val="green"/>
        </w:rPr>
        <w:t>be</w:t>
      </w:r>
      <w:r w:rsidRPr="00424408">
        <w:rPr>
          <w:rFonts w:ascii="Arial"/>
          <w:b/>
          <w:i/>
          <w:spacing w:val="23"/>
          <w:highlight w:val="green"/>
        </w:rPr>
        <w:t xml:space="preserve"> </w:t>
      </w:r>
      <w:r w:rsidRPr="00424408">
        <w:rPr>
          <w:rFonts w:ascii="Arial"/>
          <w:b/>
          <w:i/>
          <w:spacing w:val="-1"/>
          <w:highlight w:val="green"/>
        </w:rPr>
        <w:t>given</w:t>
      </w:r>
      <w:r w:rsidRPr="00424408">
        <w:rPr>
          <w:rFonts w:ascii="Arial"/>
          <w:b/>
          <w:i/>
          <w:spacing w:val="23"/>
          <w:highlight w:val="green"/>
        </w:rPr>
        <w:t xml:space="preserve"> </w:t>
      </w:r>
      <w:r w:rsidRPr="00424408">
        <w:rPr>
          <w:rFonts w:ascii="Arial"/>
          <w:b/>
          <w:i/>
          <w:spacing w:val="-1"/>
          <w:highlight w:val="green"/>
        </w:rPr>
        <w:t>extra</w:t>
      </w:r>
      <w:r w:rsidRPr="00424408">
        <w:rPr>
          <w:rFonts w:ascii="Arial"/>
          <w:b/>
          <w:i/>
          <w:spacing w:val="23"/>
          <w:highlight w:val="green"/>
        </w:rPr>
        <w:t xml:space="preserve"> </w:t>
      </w:r>
      <w:r w:rsidRPr="00424408">
        <w:rPr>
          <w:rFonts w:ascii="Arial"/>
          <w:b/>
          <w:i/>
          <w:spacing w:val="-1"/>
          <w:highlight w:val="green"/>
        </w:rPr>
        <w:t>time</w:t>
      </w:r>
      <w:r w:rsidRPr="00424408">
        <w:rPr>
          <w:rFonts w:ascii="Arial"/>
          <w:b/>
          <w:i/>
          <w:spacing w:val="23"/>
          <w:highlight w:val="green"/>
        </w:rPr>
        <w:t xml:space="preserve"> </w:t>
      </w:r>
      <w:r w:rsidRPr="00424408">
        <w:rPr>
          <w:rFonts w:ascii="Arial"/>
          <w:b/>
          <w:i/>
          <w:highlight w:val="green"/>
        </w:rPr>
        <w:t>to</w:t>
      </w:r>
      <w:r w:rsidRPr="00424408">
        <w:rPr>
          <w:rFonts w:ascii="Arial"/>
          <w:b/>
          <w:i/>
          <w:spacing w:val="23"/>
          <w:highlight w:val="green"/>
        </w:rPr>
        <w:t xml:space="preserve"> </w:t>
      </w:r>
      <w:r w:rsidRPr="00424408">
        <w:rPr>
          <w:rFonts w:ascii="Arial"/>
          <w:b/>
          <w:i/>
          <w:spacing w:val="-1"/>
          <w:highlight w:val="green"/>
        </w:rPr>
        <w:t>fulfil</w:t>
      </w:r>
      <w:r w:rsidRPr="00424408">
        <w:rPr>
          <w:rFonts w:ascii="Arial"/>
          <w:b/>
          <w:i/>
          <w:spacing w:val="25"/>
          <w:highlight w:val="green"/>
        </w:rPr>
        <w:t xml:space="preserve"> </w:t>
      </w:r>
      <w:r w:rsidRPr="00424408">
        <w:rPr>
          <w:rFonts w:ascii="Arial"/>
          <w:b/>
          <w:i/>
          <w:spacing w:val="-1"/>
          <w:highlight w:val="green"/>
        </w:rPr>
        <w:t>its</w:t>
      </w:r>
      <w:r w:rsidRPr="00424408">
        <w:rPr>
          <w:rFonts w:ascii="Arial"/>
          <w:b/>
          <w:i/>
          <w:spacing w:val="57"/>
          <w:highlight w:val="green"/>
        </w:rPr>
        <w:t xml:space="preserve"> </w:t>
      </w:r>
      <w:r w:rsidRPr="00424408">
        <w:rPr>
          <w:rFonts w:ascii="Arial"/>
          <w:b/>
          <w:i/>
          <w:spacing w:val="-1"/>
          <w:highlight w:val="green"/>
        </w:rPr>
        <w:t>obligations]</w:t>
      </w:r>
    </w:p>
    <w:p w:rsidR="00424408" w:rsidRDefault="00424408" w:rsidP="00424408">
      <w:pPr>
        <w:pStyle w:val="BodyText"/>
        <w:tabs>
          <w:tab w:val="left" w:pos="829"/>
        </w:tabs>
        <w:spacing w:before="0"/>
        <w:ind w:left="0" w:right="115" w:firstLine="0"/>
      </w:pPr>
    </w:p>
    <w:p w:rsidR="008918FA" w:rsidRDefault="008918FA" w:rsidP="008918FA">
      <w:pPr>
        <w:spacing w:before="6"/>
        <w:rPr>
          <w:rFonts w:ascii="Arial" w:eastAsia="Arial" w:hAnsi="Arial" w:cs="Arial"/>
          <w:sz w:val="10"/>
          <w:szCs w:val="10"/>
        </w:rPr>
      </w:pPr>
    </w:p>
    <w:p w:rsidR="008918FA" w:rsidRDefault="008918FA" w:rsidP="008918FA">
      <w:pPr>
        <w:spacing w:line="200" w:lineRule="atLeast"/>
        <w:ind w:left="33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580" w:right="1300" w:bottom="1160" w:left="1540" w:header="0" w:footer="967" w:gutter="0"/>
          <w:cols w:space="720"/>
        </w:sectPr>
      </w:pPr>
    </w:p>
    <w:p w:rsidR="008918FA" w:rsidRDefault="008918FA" w:rsidP="008918FA">
      <w:pPr>
        <w:pStyle w:val="BodyText"/>
        <w:spacing w:before="58"/>
        <w:ind w:left="3007" w:firstLine="0"/>
        <w:rPr>
          <w:rFonts w:ascii="Times New Roman" w:eastAsia="Times New Roman" w:hAnsi="Times New Roman" w:cs="Times New Roman"/>
        </w:rPr>
      </w:pPr>
      <w:r>
        <w:rPr>
          <w:rFonts w:ascii="Times New Roman"/>
          <w:spacing w:val="8"/>
        </w:rPr>
        <w:t>PART</w:t>
      </w:r>
      <w:r>
        <w:rPr>
          <w:rFonts w:ascii="Times New Roman"/>
          <w:spacing w:val="4"/>
        </w:rPr>
        <w:t xml:space="preserve"> </w:t>
      </w:r>
      <w:r>
        <w:rPr>
          <w:rFonts w:ascii="Times New Roman"/>
          <w:spacing w:val="5"/>
        </w:rPr>
        <w:t>C:</w:t>
      </w:r>
      <w:r>
        <w:rPr>
          <w:rFonts w:ascii="Times New Roman"/>
          <w:spacing w:val="20"/>
        </w:rPr>
        <w:t xml:space="preserve"> </w:t>
      </w:r>
      <w:r>
        <w:rPr>
          <w:rFonts w:ascii="Times New Roman"/>
          <w:spacing w:val="3"/>
        </w:rPr>
        <w:t>KEY</w:t>
      </w:r>
      <w:r>
        <w:rPr>
          <w:rFonts w:ascii="Times New Roman"/>
          <w:spacing w:val="-6"/>
        </w:rPr>
        <w:t xml:space="preserve"> </w:t>
      </w:r>
      <w:r>
        <w:rPr>
          <w:rFonts w:ascii="Times New Roman"/>
          <w:spacing w:val="9"/>
        </w:rPr>
        <w:t>PERSONNEL</w:t>
      </w:r>
    </w:p>
    <w:p w:rsidR="008918FA" w:rsidRDefault="008918FA" w:rsidP="008918FA">
      <w:pPr>
        <w:spacing w:before="6"/>
        <w:rPr>
          <w:rFonts w:ascii="Times New Roman" w:eastAsia="Times New Roman" w:hAnsi="Times New Roman" w:cs="Times New Roman"/>
          <w:sz w:val="14"/>
          <w:szCs w:val="14"/>
        </w:rPr>
      </w:pPr>
    </w:p>
    <w:p w:rsidR="008918FA" w:rsidRDefault="008918FA" w:rsidP="008918FA">
      <w:pPr>
        <w:pStyle w:val="BodyText"/>
        <w:numPr>
          <w:ilvl w:val="0"/>
          <w:numId w:val="27"/>
        </w:numPr>
        <w:tabs>
          <w:tab w:val="left" w:pos="467"/>
        </w:tabs>
        <w:spacing w:before="72"/>
        <w:ind w:left="466"/>
        <w:jc w:val="left"/>
        <w:rPr>
          <w:rFonts w:ascii="Times New Roman" w:eastAsia="Times New Roman" w:hAnsi="Times New Roman" w:cs="Times New Roman"/>
        </w:rPr>
      </w:pPr>
      <w:r>
        <w:rPr>
          <w:rFonts w:ascii="Times New Roman"/>
          <w:spacing w:val="5"/>
        </w:rPr>
        <w:t>GENERAL</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7"/>
        </w:numPr>
        <w:tabs>
          <w:tab w:val="left" w:pos="829"/>
        </w:tabs>
        <w:spacing w:before="0"/>
        <w:ind w:left="828" w:right="125"/>
      </w:pPr>
      <w:r>
        <w:t>The</w:t>
      </w:r>
      <w:r>
        <w:rPr>
          <w:spacing w:val="12"/>
        </w:rPr>
        <w:t xml:space="preserve"> </w:t>
      </w:r>
      <w:r>
        <w:rPr>
          <w:spacing w:val="-2"/>
        </w:rPr>
        <w:t>Supplier</w:t>
      </w:r>
      <w:r>
        <w:rPr>
          <w:spacing w:val="14"/>
        </w:rPr>
        <w:t xml:space="preserve"> </w:t>
      </w:r>
      <w:r>
        <w:rPr>
          <w:spacing w:val="-1"/>
        </w:rPr>
        <w:t>has</w:t>
      </w:r>
      <w:r>
        <w:rPr>
          <w:spacing w:val="13"/>
        </w:rPr>
        <w:t xml:space="preserve"> </w:t>
      </w:r>
      <w:r>
        <w:rPr>
          <w:spacing w:val="-1"/>
        </w:rPr>
        <w:t>assigned</w:t>
      </w:r>
      <w:r>
        <w:rPr>
          <w:spacing w:val="12"/>
        </w:rPr>
        <w:t xml:space="preserve"> </w:t>
      </w:r>
      <w:r>
        <w:t>the</w:t>
      </w:r>
      <w:r>
        <w:rPr>
          <w:spacing w:val="10"/>
        </w:rPr>
        <w:t xml:space="preserve"> </w:t>
      </w:r>
      <w:r>
        <w:rPr>
          <w:spacing w:val="-2"/>
        </w:rPr>
        <w:t>following</w:t>
      </w:r>
      <w:r>
        <w:rPr>
          <w:spacing w:val="15"/>
        </w:rPr>
        <w:t xml:space="preserve"> </w:t>
      </w:r>
      <w:r>
        <w:rPr>
          <w:spacing w:val="-1"/>
        </w:rPr>
        <w:t>Key</w:t>
      </w:r>
      <w:r>
        <w:rPr>
          <w:spacing w:val="10"/>
        </w:rPr>
        <w:t xml:space="preserve"> </w:t>
      </w:r>
      <w:r>
        <w:rPr>
          <w:spacing w:val="-1"/>
        </w:rPr>
        <w:t>Personnel</w:t>
      </w:r>
      <w:r>
        <w:rPr>
          <w:spacing w:val="12"/>
        </w:rPr>
        <w:t xml:space="preserve"> </w:t>
      </w:r>
      <w:r>
        <w:t>to</w:t>
      </w:r>
      <w:r>
        <w:rPr>
          <w:spacing w:val="12"/>
        </w:rPr>
        <w:t xml:space="preserve"> </w:t>
      </w:r>
      <w:r>
        <w:rPr>
          <w:spacing w:val="-1"/>
        </w:rPr>
        <w:t>this</w:t>
      </w:r>
      <w:r>
        <w:rPr>
          <w:spacing w:val="15"/>
        </w:rPr>
        <w:t xml:space="preserve"> </w:t>
      </w:r>
      <w:r>
        <w:rPr>
          <w:spacing w:val="-2"/>
        </w:rPr>
        <w:t>Call</w:t>
      </w:r>
      <w:r>
        <w:rPr>
          <w:spacing w:val="12"/>
        </w:rPr>
        <w:t xml:space="preserve"> </w:t>
      </w:r>
      <w:r>
        <w:rPr>
          <w:spacing w:val="-1"/>
        </w:rPr>
        <w:t>Off</w:t>
      </w:r>
      <w:r>
        <w:rPr>
          <w:spacing w:val="16"/>
        </w:rPr>
        <w:t xml:space="preserve"> </w:t>
      </w:r>
      <w:r>
        <w:rPr>
          <w:spacing w:val="-2"/>
        </w:rPr>
        <w:t>Contract</w:t>
      </w:r>
      <w:r>
        <w:rPr>
          <w:spacing w:val="14"/>
        </w:rPr>
        <w:t xml:space="preserve"> </w:t>
      </w:r>
      <w:r>
        <w:rPr>
          <w:spacing w:val="-1"/>
        </w:rPr>
        <w:t>in</w:t>
      </w:r>
      <w:r>
        <w:rPr>
          <w:spacing w:val="79"/>
        </w:rPr>
        <w:t xml:space="preserve"> </w:t>
      </w:r>
      <w:r>
        <w:t xml:space="preserve">the </w:t>
      </w:r>
      <w:r>
        <w:rPr>
          <w:spacing w:val="-1"/>
        </w:rPr>
        <w:t>Key</w:t>
      </w:r>
      <w:r>
        <w:rPr>
          <w:spacing w:val="-2"/>
        </w:rPr>
        <w:t xml:space="preserve"> Roles</w:t>
      </w:r>
      <w:r>
        <w:rPr>
          <w:spacing w:val="1"/>
        </w:rPr>
        <w:t xml:space="preserve"> </w:t>
      </w:r>
      <w:r>
        <w:rPr>
          <w:spacing w:val="-1"/>
        </w:rPr>
        <w:t>detailed</w:t>
      </w:r>
      <w:r>
        <w:t xml:space="preserve"> </w:t>
      </w:r>
      <w:r>
        <w:rPr>
          <w:spacing w:val="-2"/>
        </w:rPr>
        <w:t>below:</w:t>
      </w:r>
    </w:p>
    <w:p w:rsidR="008918FA" w:rsidRDefault="008918FA" w:rsidP="008918FA">
      <w:pPr>
        <w:pStyle w:val="BodyText"/>
        <w:tabs>
          <w:tab w:val="left" w:pos="2440"/>
        </w:tabs>
        <w:spacing w:before="121"/>
        <w:ind w:left="1032" w:firstLine="0"/>
      </w:pPr>
      <w:r>
        <w:rPr>
          <w:highlight w:val="yellow"/>
        </w:rPr>
        <w:t>[</w:t>
      </w:r>
      <w:r>
        <w:rPr>
          <w:highlight w:val="yellow"/>
        </w:rPr>
        <w:tab/>
        <w:t>]</w:t>
      </w:r>
    </w:p>
    <w:p w:rsidR="008918FA" w:rsidRDefault="008918FA" w:rsidP="008918FA">
      <w:pPr>
        <w:pStyle w:val="Heading2"/>
        <w:spacing w:before="119"/>
        <w:rPr>
          <w:b w:val="0"/>
          <w:bCs w:val="0"/>
          <w:i w:val="0"/>
        </w:rPr>
      </w:pPr>
      <w:r>
        <w:rPr>
          <w:spacing w:val="-1"/>
          <w:highlight w:val="green"/>
        </w:rPr>
        <w:t>[Guidance</w:t>
      </w:r>
      <w:r>
        <w:rPr>
          <w:spacing w:val="1"/>
          <w:highlight w:val="green"/>
        </w:rPr>
        <w:t xml:space="preserve"> </w:t>
      </w:r>
      <w:r>
        <w:rPr>
          <w:spacing w:val="-2"/>
          <w:highlight w:val="green"/>
        </w:rPr>
        <w:t>Note:</w:t>
      </w:r>
      <w:r>
        <w:rPr>
          <w:highlight w:val="green"/>
        </w:rPr>
        <w:t xml:space="preserve"> </w:t>
      </w:r>
      <w:r>
        <w:rPr>
          <w:spacing w:val="-1"/>
          <w:highlight w:val="green"/>
        </w:rPr>
        <w:t>Insert details</w:t>
      </w:r>
      <w:r>
        <w:rPr>
          <w:highlight w:val="green"/>
        </w:rPr>
        <w:t xml:space="preserve"> </w:t>
      </w:r>
      <w:r>
        <w:rPr>
          <w:spacing w:val="-2"/>
          <w:highlight w:val="green"/>
        </w:rPr>
        <w:t>of</w:t>
      </w:r>
      <w:r>
        <w:rPr>
          <w:spacing w:val="2"/>
          <w:highlight w:val="green"/>
        </w:rPr>
        <w:t xml:space="preserve"> </w:t>
      </w:r>
      <w:r>
        <w:rPr>
          <w:spacing w:val="-1"/>
          <w:highlight w:val="green"/>
        </w:rPr>
        <w:t>any</w:t>
      </w:r>
      <w:r>
        <w:rPr>
          <w:spacing w:val="-2"/>
          <w:highlight w:val="green"/>
        </w:rPr>
        <w:t xml:space="preserve"> Key</w:t>
      </w:r>
      <w:r>
        <w:rPr>
          <w:spacing w:val="1"/>
          <w:highlight w:val="green"/>
        </w:rPr>
        <w:t xml:space="preserve"> </w:t>
      </w:r>
      <w:r>
        <w:rPr>
          <w:spacing w:val="-2"/>
          <w:highlight w:val="green"/>
        </w:rPr>
        <w:t>Personnel</w:t>
      </w:r>
      <w:r>
        <w:rPr>
          <w:spacing w:val="2"/>
          <w:highlight w:val="green"/>
        </w:rPr>
        <w:t xml:space="preserve"> </w:t>
      </w:r>
      <w:r>
        <w:rPr>
          <w:spacing w:val="-1"/>
          <w:highlight w:val="green"/>
        </w:rPr>
        <w:t>and</w:t>
      </w:r>
      <w:r>
        <w:rPr>
          <w:spacing w:val="-2"/>
          <w:highlight w:val="green"/>
        </w:rPr>
        <w:t xml:space="preserve"> </w:t>
      </w:r>
      <w:r>
        <w:rPr>
          <w:spacing w:val="-1"/>
          <w:highlight w:val="green"/>
        </w:rPr>
        <w:t xml:space="preserve">their </w:t>
      </w:r>
      <w:r>
        <w:rPr>
          <w:spacing w:val="-2"/>
          <w:highlight w:val="green"/>
        </w:rPr>
        <w:t>Key</w:t>
      </w:r>
      <w:r>
        <w:rPr>
          <w:spacing w:val="1"/>
          <w:highlight w:val="green"/>
        </w:rPr>
        <w:t xml:space="preserve"> </w:t>
      </w:r>
      <w:r>
        <w:rPr>
          <w:spacing w:val="-2"/>
          <w:highlight w:val="green"/>
        </w:rPr>
        <w:t>Roles]</w:t>
      </w: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spacing w:before="4"/>
        <w:rPr>
          <w:rFonts w:ascii="Arial" w:eastAsia="Arial" w:hAnsi="Arial" w:cs="Arial"/>
          <w:b/>
          <w:bCs/>
          <w:i/>
          <w:sz w:val="29"/>
          <w:szCs w:val="29"/>
        </w:rPr>
      </w:pPr>
    </w:p>
    <w:p w:rsidR="008918FA" w:rsidRDefault="008918FA" w:rsidP="008918FA">
      <w:pPr>
        <w:spacing w:line="200" w:lineRule="atLeast"/>
        <w:ind w:left="33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60" w:left="1540" w:header="0" w:footer="967" w:gutter="0"/>
          <w:cols w:space="720"/>
        </w:sectPr>
      </w:pPr>
    </w:p>
    <w:p w:rsidR="008918FA" w:rsidRDefault="008918FA" w:rsidP="008918FA">
      <w:pPr>
        <w:pStyle w:val="BodyText"/>
        <w:spacing w:before="58"/>
        <w:ind w:left="2609" w:firstLine="0"/>
        <w:rPr>
          <w:rFonts w:ascii="Times New Roman" w:eastAsia="Times New Roman" w:hAnsi="Times New Roman" w:cs="Times New Roman"/>
        </w:rPr>
      </w:pPr>
      <w:bookmarkStart w:id="375" w:name="CALL_OFF_SCHEDULE_5:_TESTING"/>
      <w:bookmarkStart w:id="376" w:name="_bookmark306"/>
      <w:bookmarkEnd w:id="375"/>
      <w:bookmarkEnd w:id="376"/>
      <w:r>
        <w:rPr>
          <w:rFonts w:ascii="Times New Roman"/>
          <w:highlight w:val="yellow"/>
        </w:rPr>
        <w:t>C</w:t>
      </w:r>
      <w:r>
        <w:rPr>
          <w:rFonts w:ascii="Times New Roman"/>
          <w:spacing w:val="-42"/>
          <w:highlight w:val="yellow"/>
        </w:rPr>
        <w:t xml:space="preserve"> </w:t>
      </w:r>
      <w:r>
        <w:rPr>
          <w:rFonts w:ascii="Times New Roman"/>
          <w:spacing w:val="-3"/>
          <w:highlight w:val="yellow"/>
        </w:rPr>
        <w:t>ALL</w:t>
      </w:r>
      <w:r>
        <w:rPr>
          <w:rFonts w:ascii="Times New Roman"/>
          <w:spacing w:val="7"/>
          <w:highlight w:val="yellow"/>
        </w:rPr>
        <w:t xml:space="preserve"> </w:t>
      </w:r>
      <w:r>
        <w:rPr>
          <w:rFonts w:ascii="Times New Roman"/>
          <w:highlight w:val="yellow"/>
        </w:rPr>
        <w:t>O</w:t>
      </w:r>
      <w:r>
        <w:rPr>
          <w:rFonts w:ascii="Times New Roman"/>
          <w:spacing w:val="-42"/>
          <w:highlight w:val="yellow"/>
        </w:rPr>
        <w:t xml:space="preserve"> </w:t>
      </w:r>
      <w:r>
        <w:rPr>
          <w:rFonts w:ascii="Times New Roman"/>
          <w:highlight w:val="yellow"/>
        </w:rPr>
        <w:t>F</w:t>
      </w:r>
      <w:r>
        <w:rPr>
          <w:rFonts w:ascii="Times New Roman"/>
          <w:spacing w:val="-44"/>
          <w:highlight w:val="yellow"/>
        </w:rPr>
        <w:t xml:space="preserve"> </w:t>
      </w:r>
      <w:r>
        <w:rPr>
          <w:rFonts w:ascii="Times New Roman"/>
          <w:highlight w:val="yellow"/>
        </w:rPr>
        <w:t>F</w:t>
      </w:r>
      <w:r>
        <w:rPr>
          <w:rFonts w:ascii="Times New Roman"/>
          <w:spacing w:val="19"/>
          <w:highlight w:val="yellow"/>
        </w:rPr>
        <w:t xml:space="preserve"> </w:t>
      </w:r>
      <w:r>
        <w:rPr>
          <w:rFonts w:ascii="Times New Roman"/>
          <w:highlight w:val="yellow"/>
        </w:rPr>
        <w:t>S</w:t>
      </w:r>
      <w:r>
        <w:rPr>
          <w:rFonts w:ascii="Times New Roman"/>
          <w:spacing w:val="-32"/>
          <w:highlight w:val="yellow"/>
        </w:rPr>
        <w:t xml:space="preserve"> </w:t>
      </w:r>
      <w:r>
        <w:rPr>
          <w:rFonts w:ascii="Times New Roman"/>
          <w:highlight w:val="yellow"/>
        </w:rPr>
        <w:t>C</w:t>
      </w:r>
      <w:r>
        <w:rPr>
          <w:rFonts w:ascii="Times New Roman"/>
          <w:spacing w:val="-45"/>
          <w:highlight w:val="yellow"/>
        </w:rPr>
        <w:t xml:space="preserve"> </w:t>
      </w:r>
      <w:r>
        <w:rPr>
          <w:rFonts w:ascii="Times New Roman"/>
          <w:highlight w:val="yellow"/>
        </w:rPr>
        <w:t>HEDULE</w:t>
      </w:r>
      <w:r>
        <w:rPr>
          <w:rFonts w:ascii="Times New Roman"/>
          <w:spacing w:val="18"/>
          <w:highlight w:val="yellow"/>
        </w:rPr>
        <w:t xml:space="preserve"> </w:t>
      </w:r>
      <w:r>
        <w:rPr>
          <w:rFonts w:ascii="Times New Roman"/>
          <w:highlight w:val="yellow"/>
        </w:rPr>
        <w:t>5</w:t>
      </w:r>
      <w:r>
        <w:rPr>
          <w:rFonts w:ascii="Times New Roman"/>
          <w:spacing w:val="-44"/>
          <w:highlight w:val="yellow"/>
        </w:rPr>
        <w:t xml:space="preserve"> </w:t>
      </w:r>
      <w:r>
        <w:rPr>
          <w:rFonts w:ascii="Times New Roman"/>
          <w:highlight w:val="yellow"/>
        </w:rPr>
        <w:t>:</w:t>
      </w:r>
      <w:r>
        <w:rPr>
          <w:rFonts w:ascii="Times New Roman"/>
          <w:spacing w:val="20"/>
          <w:highlight w:val="yellow"/>
        </w:rPr>
        <w:t xml:space="preserve"> </w:t>
      </w:r>
      <w:r>
        <w:rPr>
          <w:rFonts w:ascii="Times New Roman"/>
          <w:spacing w:val="-2"/>
          <w:highlight w:val="yellow"/>
        </w:rPr>
        <w:t>TE</w:t>
      </w:r>
      <w:r>
        <w:rPr>
          <w:rFonts w:ascii="Times New Roman"/>
          <w:spacing w:val="-44"/>
          <w:highlight w:val="yellow"/>
        </w:rPr>
        <w:t xml:space="preserve"> </w:t>
      </w:r>
      <w:r>
        <w:rPr>
          <w:rFonts w:ascii="Times New Roman"/>
          <w:highlight w:val="yellow"/>
        </w:rPr>
        <w:t>S</w:t>
      </w:r>
      <w:r>
        <w:rPr>
          <w:rFonts w:ascii="Times New Roman"/>
          <w:spacing w:val="-32"/>
          <w:highlight w:val="yellow"/>
        </w:rPr>
        <w:t xml:space="preserve"> </w:t>
      </w:r>
      <w:r>
        <w:rPr>
          <w:rFonts w:ascii="Times New Roman"/>
          <w:spacing w:val="-5"/>
          <w:highlight w:val="yellow"/>
        </w:rPr>
        <w:t>TING</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spacing w:line="200" w:lineRule="atLeast"/>
        <w:ind w:left="4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6785E35B" wp14:editId="16701911">
                <wp:extent cx="5389880" cy="1125220"/>
                <wp:effectExtent l="0" t="0" r="1270" b="0"/>
                <wp:docPr id="3101" name="Group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1125220"/>
                          <a:chOff x="0" y="0"/>
                          <a:chExt cx="8488" cy="1772"/>
                        </a:xfrm>
                      </wpg:grpSpPr>
                      <wpg:grpSp>
                        <wpg:cNvPr id="3102" name="Group 3107"/>
                        <wpg:cNvGrpSpPr>
                          <a:grpSpLocks/>
                        </wpg:cNvGrpSpPr>
                        <wpg:grpSpPr bwMode="auto">
                          <a:xfrm>
                            <a:off x="0" y="0"/>
                            <a:ext cx="8484" cy="255"/>
                            <a:chOff x="0" y="0"/>
                            <a:chExt cx="8484" cy="255"/>
                          </a:xfrm>
                        </wpg:grpSpPr>
                        <wps:wsp>
                          <wps:cNvPr id="3103" name="Freeform 3108"/>
                          <wps:cNvSpPr>
                            <a:spLocks/>
                          </wps:cNvSpPr>
                          <wps:spPr bwMode="auto">
                            <a:xfrm>
                              <a:off x="0" y="0"/>
                              <a:ext cx="8484" cy="255"/>
                            </a:xfrm>
                            <a:custGeom>
                              <a:avLst/>
                              <a:gdLst>
                                <a:gd name="T0" fmla="*/ 0 w 8484"/>
                                <a:gd name="T1" fmla="*/ 254 h 255"/>
                                <a:gd name="T2" fmla="*/ 8484 w 8484"/>
                                <a:gd name="T3" fmla="*/ 254 h 255"/>
                                <a:gd name="T4" fmla="*/ 8484 w 8484"/>
                                <a:gd name="T5" fmla="*/ 0 h 255"/>
                                <a:gd name="T6" fmla="*/ 0 w 8484"/>
                                <a:gd name="T7" fmla="*/ 0 h 255"/>
                                <a:gd name="T8" fmla="*/ 0 w 8484"/>
                                <a:gd name="T9" fmla="*/ 254 h 255"/>
                              </a:gdLst>
                              <a:ahLst/>
                              <a:cxnLst>
                                <a:cxn ang="0">
                                  <a:pos x="T0" y="T1"/>
                                </a:cxn>
                                <a:cxn ang="0">
                                  <a:pos x="T2" y="T3"/>
                                </a:cxn>
                                <a:cxn ang="0">
                                  <a:pos x="T4" y="T5"/>
                                </a:cxn>
                                <a:cxn ang="0">
                                  <a:pos x="T6" y="T7"/>
                                </a:cxn>
                                <a:cxn ang="0">
                                  <a:pos x="T8" y="T9"/>
                                </a:cxn>
                              </a:cxnLst>
                              <a:rect l="0" t="0" r="r" b="b"/>
                              <a:pathLst>
                                <a:path w="8484" h="255">
                                  <a:moveTo>
                                    <a:pt x="0" y="254"/>
                                  </a:moveTo>
                                  <a:lnTo>
                                    <a:pt x="8484" y="254"/>
                                  </a:lnTo>
                                  <a:lnTo>
                                    <a:pt x="8484"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4" name="Group 3105"/>
                        <wpg:cNvGrpSpPr>
                          <a:grpSpLocks/>
                        </wpg:cNvGrpSpPr>
                        <wpg:grpSpPr bwMode="auto">
                          <a:xfrm>
                            <a:off x="0" y="254"/>
                            <a:ext cx="8484" cy="252"/>
                            <a:chOff x="0" y="254"/>
                            <a:chExt cx="8484" cy="252"/>
                          </a:xfrm>
                        </wpg:grpSpPr>
                        <wps:wsp>
                          <wps:cNvPr id="3105" name="Freeform 3106"/>
                          <wps:cNvSpPr>
                            <a:spLocks/>
                          </wps:cNvSpPr>
                          <wps:spPr bwMode="auto">
                            <a:xfrm>
                              <a:off x="0" y="254"/>
                              <a:ext cx="8484" cy="252"/>
                            </a:xfrm>
                            <a:custGeom>
                              <a:avLst/>
                              <a:gdLst>
                                <a:gd name="T0" fmla="*/ 0 w 8484"/>
                                <a:gd name="T1" fmla="+- 0 506 254"/>
                                <a:gd name="T2" fmla="*/ 506 h 252"/>
                                <a:gd name="T3" fmla="*/ 8484 w 8484"/>
                                <a:gd name="T4" fmla="+- 0 506 254"/>
                                <a:gd name="T5" fmla="*/ 506 h 252"/>
                                <a:gd name="T6" fmla="*/ 8484 w 8484"/>
                                <a:gd name="T7" fmla="+- 0 254 254"/>
                                <a:gd name="T8" fmla="*/ 254 h 252"/>
                                <a:gd name="T9" fmla="*/ 0 w 8484"/>
                                <a:gd name="T10" fmla="+- 0 254 254"/>
                                <a:gd name="T11" fmla="*/ 254 h 252"/>
                                <a:gd name="T12" fmla="*/ 0 w 8484"/>
                                <a:gd name="T13" fmla="+- 0 506 254"/>
                                <a:gd name="T14" fmla="*/ 506 h 252"/>
                              </a:gdLst>
                              <a:ahLst/>
                              <a:cxnLst>
                                <a:cxn ang="0">
                                  <a:pos x="T0" y="T2"/>
                                </a:cxn>
                                <a:cxn ang="0">
                                  <a:pos x="T3" y="T5"/>
                                </a:cxn>
                                <a:cxn ang="0">
                                  <a:pos x="T6" y="T8"/>
                                </a:cxn>
                                <a:cxn ang="0">
                                  <a:pos x="T9" y="T11"/>
                                </a:cxn>
                                <a:cxn ang="0">
                                  <a:pos x="T12" y="T14"/>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6" name="Group 3103"/>
                        <wpg:cNvGrpSpPr>
                          <a:grpSpLocks/>
                        </wpg:cNvGrpSpPr>
                        <wpg:grpSpPr bwMode="auto">
                          <a:xfrm>
                            <a:off x="0" y="506"/>
                            <a:ext cx="8484" cy="255"/>
                            <a:chOff x="0" y="506"/>
                            <a:chExt cx="8484" cy="255"/>
                          </a:xfrm>
                        </wpg:grpSpPr>
                        <wps:wsp>
                          <wps:cNvPr id="3107" name="Freeform 3104"/>
                          <wps:cNvSpPr>
                            <a:spLocks/>
                          </wps:cNvSpPr>
                          <wps:spPr bwMode="auto">
                            <a:xfrm>
                              <a:off x="0" y="506"/>
                              <a:ext cx="8484" cy="255"/>
                            </a:xfrm>
                            <a:custGeom>
                              <a:avLst/>
                              <a:gdLst>
                                <a:gd name="T0" fmla="*/ 0 w 8484"/>
                                <a:gd name="T1" fmla="+- 0 761 506"/>
                                <a:gd name="T2" fmla="*/ 761 h 255"/>
                                <a:gd name="T3" fmla="*/ 8484 w 8484"/>
                                <a:gd name="T4" fmla="+- 0 761 506"/>
                                <a:gd name="T5" fmla="*/ 761 h 255"/>
                                <a:gd name="T6" fmla="*/ 8484 w 8484"/>
                                <a:gd name="T7" fmla="+- 0 506 506"/>
                                <a:gd name="T8" fmla="*/ 506 h 255"/>
                                <a:gd name="T9" fmla="*/ 0 w 8484"/>
                                <a:gd name="T10" fmla="+- 0 506 506"/>
                                <a:gd name="T11" fmla="*/ 506 h 255"/>
                                <a:gd name="T12" fmla="*/ 0 w 8484"/>
                                <a:gd name="T13" fmla="+- 0 761 506"/>
                                <a:gd name="T14" fmla="*/ 761 h 255"/>
                              </a:gdLst>
                              <a:ahLst/>
                              <a:cxnLst>
                                <a:cxn ang="0">
                                  <a:pos x="T0" y="T2"/>
                                </a:cxn>
                                <a:cxn ang="0">
                                  <a:pos x="T3" y="T5"/>
                                </a:cxn>
                                <a:cxn ang="0">
                                  <a:pos x="T6" y="T8"/>
                                </a:cxn>
                                <a:cxn ang="0">
                                  <a:pos x="T9" y="T11"/>
                                </a:cxn>
                                <a:cxn ang="0">
                                  <a:pos x="T12" y="T14"/>
                                </a:cxn>
                              </a:cxnLst>
                              <a:rect l="0" t="0" r="r" b="b"/>
                              <a:pathLst>
                                <a:path w="8484" h="255">
                                  <a:moveTo>
                                    <a:pt x="0" y="255"/>
                                  </a:moveTo>
                                  <a:lnTo>
                                    <a:pt x="8484" y="255"/>
                                  </a:lnTo>
                                  <a:lnTo>
                                    <a:pt x="8484" y="0"/>
                                  </a:lnTo>
                                  <a:lnTo>
                                    <a:pt x="0" y="0"/>
                                  </a:lnTo>
                                  <a:lnTo>
                                    <a:pt x="0" y="25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8" name="Group 3101"/>
                        <wpg:cNvGrpSpPr>
                          <a:grpSpLocks/>
                        </wpg:cNvGrpSpPr>
                        <wpg:grpSpPr bwMode="auto">
                          <a:xfrm>
                            <a:off x="0" y="761"/>
                            <a:ext cx="8484" cy="252"/>
                            <a:chOff x="0" y="761"/>
                            <a:chExt cx="8484" cy="252"/>
                          </a:xfrm>
                        </wpg:grpSpPr>
                        <wps:wsp>
                          <wps:cNvPr id="3109" name="Freeform 3102"/>
                          <wps:cNvSpPr>
                            <a:spLocks/>
                          </wps:cNvSpPr>
                          <wps:spPr bwMode="auto">
                            <a:xfrm>
                              <a:off x="0" y="761"/>
                              <a:ext cx="8484" cy="252"/>
                            </a:xfrm>
                            <a:custGeom>
                              <a:avLst/>
                              <a:gdLst>
                                <a:gd name="T0" fmla="*/ 0 w 8484"/>
                                <a:gd name="T1" fmla="+- 0 1013 761"/>
                                <a:gd name="T2" fmla="*/ 1013 h 252"/>
                                <a:gd name="T3" fmla="*/ 8484 w 8484"/>
                                <a:gd name="T4" fmla="+- 0 1013 761"/>
                                <a:gd name="T5" fmla="*/ 1013 h 252"/>
                                <a:gd name="T6" fmla="*/ 8484 w 8484"/>
                                <a:gd name="T7" fmla="+- 0 761 761"/>
                                <a:gd name="T8" fmla="*/ 761 h 252"/>
                                <a:gd name="T9" fmla="*/ 0 w 8484"/>
                                <a:gd name="T10" fmla="+- 0 761 761"/>
                                <a:gd name="T11" fmla="*/ 761 h 252"/>
                                <a:gd name="T12" fmla="*/ 0 w 8484"/>
                                <a:gd name="T13" fmla="+- 0 1013 761"/>
                                <a:gd name="T14" fmla="*/ 1013 h 252"/>
                              </a:gdLst>
                              <a:ahLst/>
                              <a:cxnLst>
                                <a:cxn ang="0">
                                  <a:pos x="T0" y="T2"/>
                                </a:cxn>
                                <a:cxn ang="0">
                                  <a:pos x="T3" y="T5"/>
                                </a:cxn>
                                <a:cxn ang="0">
                                  <a:pos x="T6" y="T8"/>
                                </a:cxn>
                                <a:cxn ang="0">
                                  <a:pos x="T9" y="T11"/>
                                </a:cxn>
                                <a:cxn ang="0">
                                  <a:pos x="T12" y="T14"/>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0" name="Group 3099"/>
                        <wpg:cNvGrpSpPr>
                          <a:grpSpLocks/>
                        </wpg:cNvGrpSpPr>
                        <wpg:grpSpPr bwMode="auto">
                          <a:xfrm>
                            <a:off x="0" y="1013"/>
                            <a:ext cx="8484" cy="252"/>
                            <a:chOff x="0" y="1013"/>
                            <a:chExt cx="8484" cy="252"/>
                          </a:xfrm>
                        </wpg:grpSpPr>
                        <wps:wsp>
                          <wps:cNvPr id="3111" name="Freeform 3100"/>
                          <wps:cNvSpPr>
                            <a:spLocks/>
                          </wps:cNvSpPr>
                          <wps:spPr bwMode="auto">
                            <a:xfrm>
                              <a:off x="0" y="1013"/>
                              <a:ext cx="8484" cy="252"/>
                            </a:xfrm>
                            <a:custGeom>
                              <a:avLst/>
                              <a:gdLst>
                                <a:gd name="T0" fmla="*/ 0 w 8484"/>
                                <a:gd name="T1" fmla="+- 0 1265 1013"/>
                                <a:gd name="T2" fmla="*/ 1265 h 252"/>
                                <a:gd name="T3" fmla="*/ 8484 w 8484"/>
                                <a:gd name="T4" fmla="+- 0 1265 1013"/>
                                <a:gd name="T5" fmla="*/ 1265 h 252"/>
                                <a:gd name="T6" fmla="*/ 8484 w 8484"/>
                                <a:gd name="T7" fmla="+- 0 1013 1013"/>
                                <a:gd name="T8" fmla="*/ 1013 h 252"/>
                                <a:gd name="T9" fmla="*/ 0 w 8484"/>
                                <a:gd name="T10" fmla="+- 0 1013 1013"/>
                                <a:gd name="T11" fmla="*/ 1013 h 252"/>
                                <a:gd name="T12" fmla="*/ 0 w 8484"/>
                                <a:gd name="T13" fmla="+- 0 1265 1013"/>
                                <a:gd name="T14" fmla="*/ 1265 h 252"/>
                              </a:gdLst>
                              <a:ahLst/>
                              <a:cxnLst>
                                <a:cxn ang="0">
                                  <a:pos x="T0" y="T2"/>
                                </a:cxn>
                                <a:cxn ang="0">
                                  <a:pos x="T3" y="T5"/>
                                </a:cxn>
                                <a:cxn ang="0">
                                  <a:pos x="T6" y="T8"/>
                                </a:cxn>
                                <a:cxn ang="0">
                                  <a:pos x="T9" y="T11"/>
                                </a:cxn>
                                <a:cxn ang="0">
                                  <a:pos x="T12" y="T14"/>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3097"/>
                        <wpg:cNvGrpSpPr>
                          <a:grpSpLocks/>
                        </wpg:cNvGrpSpPr>
                        <wpg:grpSpPr bwMode="auto">
                          <a:xfrm>
                            <a:off x="0" y="1265"/>
                            <a:ext cx="8484" cy="255"/>
                            <a:chOff x="0" y="1265"/>
                            <a:chExt cx="8484" cy="255"/>
                          </a:xfrm>
                        </wpg:grpSpPr>
                        <wps:wsp>
                          <wps:cNvPr id="3113" name="Freeform 3098"/>
                          <wps:cNvSpPr>
                            <a:spLocks/>
                          </wps:cNvSpPr>
                          <wps:spPr bwMode="auto">
                            <a:xfrm>
                              <a:off x="0" y="1265"/>
                              <a:ext cx="8484" cy="255"/>
                            </a:xfrm>
                            <a:custGeom>
                              <a:avLst/>
                              <a:gdLst>
                                <a:gd name="T0" fmla="*/ 0 w 8484"/>
                                <a:gd name="T1" fmla="+- 0 1519 1265"/>
                                <a:gd name="T2" fmla="*/ 1519 h 255"/>
                                <a:gd name="T3" fmla="*/ 8484 w 8484"/>
                                <a:gd name="T4" fmla="+- 0 1519 1265"/>
                                <a:gd name="T5" fmla="*/ 1519 h 255"/>
                                <a:gd name="T6" fmla="*/ 8484 w 8484"/>
                                <a:gd name="T7" fmla="+- 0 1265 1265"/>
                                <a:gd name="T8" fmla="*/ 1265 h 255"/>
                                <a:gd name="T9" fmla="*/ 0 w 8484"/>
                                <a:gd name="T10" fmla="+- 0 1265 1265"/>
                                <a:gd name="T11" fmla="*/ 1265 h 255"/>
                                <a:gd name="T12" fmla="*/ 0 w 8484"/>
                                <a:gd name="T13" fmla="+- 0 1519 1265"/>
                                <a:gd name="T14" fmla="*/ 1519 h 255"/>
                              </a:gdLst>
                              <a:ahLst/>
                              <a:cxnLst>
                                <a:cxn ang="0">
                                  <a:pos x="T0" y="T2"/>
                                </a:cxn>
                                <a:cxn ang="0">
                                  <a:pos x="T3" y="T5"/>
                                </a:cxn>
                                <a:cxn ang="0">
                                  <a:pos x="T6" y="T8"/>
                                </a:cxn>
                                <a:cxn ang="0">
                                  <a:pos x="T9" y="T11"/>
                                </a:cxn>
                                <a:cxn ang="0">
                                  <a:pos x="T12" y="T14"/>
                                </a:cxn>
                              </a:cxnLst>
                              <a:rect l="0" t="0" r="r" b="b"/>
                              <a:pathLst>
                                <a:path w="8484" h="255">
                                  <a:moveTo>
                                    <a:pt x="0" y="254"/>
                                  </a:moveTo>
                                  <a:lnTo>
                                    <a:pt x="8484" y="254"/>
                                  </a:lnTo>
                                  <a:lnTo>
                                    <a:pt x="8484"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4" name="Group 3094"/>
                        <wpg:cNvGrpSpPr>
                          <a:grpSpLocks/>
                        </wpg:cNvGrpSpPr>
                        <wpg:grpSpPr bwMode="auto">
                          <a:xfrm>
                            <a:off x="0" y="1519"/>
                            <a:ext cx="3010" cy="252"/>
                            <a:chOff x="0" y="1519"/>
                            <a:chExt cx="3010" cy="252"/>
                          </a:xfrm>
                        </wpg:grpSpPr>
                        <wps:wsp>
                          <wps:cNvPr id="3115" name="Freeform 3096"/>
                          <wps:cNvSpPr>
                            <a:spLocks/>
                          </wps:cNvSpPr>
                          <wps:spPr bwMode="auto">
                            <a:xfrm>
                              <a:off x="0" y="1519"/>
                              <a:ext cx="3010" cy="252"/>
                            </a:xfrm>
                            <a:custGeom>
                              <a:avLst/>
                              <a:gdLst>
                                <a:gd name="T0" fmla="*/ 0 w 3010"/>
                                <a:gd name="T1" fmla="+- 0 1771 1519"/>
                                <a:gd name="T2" fmla="*/ 1771 h 252"/>
                                <a:gd name="T3" fmla="*/ 3010 w 3010"/>
                                <a:gd name="T4" fmla="+- 0 1771 1519"/>
                                <a:gd name="T5" fmla="*/ 1771 h 252"/>
                                <a:gd name="T6" fmla="*/ 3010 w 3010"/>
                                <a:gd name="T7" fmla="+- 0 1519 1519"/>
                                <a:gd name="T8" fmla="*/ 1519 h 252"/>
                                <a:gd name="T9" fmla="*/ 0 w 3010"/>
                                <a:gd name="T10" fmla="+- 0 1519 1519"/>
                                <a:gd name="T11" fmla="*/ 1519 h 252"/>
                                <a:gd name="T12" fmla="*/ 0 w 3010"/>
                                <a:gd name="T13" fmla="+- 0 1771 1519"/>
                                <a:gd name="T14" fmla="*/ 1771 h 252"/>
                              </a:gdLst>
                              <a:ahLst/>
                              <a:cxnLst>
                                <a:cxn ang="0">
                                  <a:pos x="T0" y="T2"/>
                                </a:cxn>
                                <a:cxn ang="0">
                                  <a:pos x="T3" y="T5"/>
                                </a:cxn>
                                <a:cxn ang="0">
                                  <a:pos x="T6" y="T8"/>
                                </a:cxn>
                                <a:cxn ang="0">
                                  <a:pos x="T9" y="T11"/>
                                </a:cxn>
                                <a:cxn ang="0">
                                  <a:pos x="T12" y="T14"/>
                                </a:cxn>
                              </a:cxnLst>
                              <a:rect l="0" t="0" r="r" b="b"/>
                              <a:pathLst>
                                <a:path w="3010" h="252">
                                  <a:moveTo>
                                    <a:pt x="0" y="252"/>
                                  </a:moveTo>
                                  <a:lnTo>
                                    <a:pt x="3010" y="252"/>
                                  </a:lnTo>
                                  <a:lnTo>
                                    <a:pt x="3010"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Text Box 3095"/>
                          <wps:cNvSpPr txBox="1">
                            <a:spLocks noChangeArrowheads="1"/>
                          </wps:cNvSpPr>
                          <wps:spPr bwMode="auto">
                            <a:xfrm>
                              <a:off x="0" y="0"/>
                              <a:ext cx="8488"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jc w:val="both"/>
                                  <w:rPr>
                                    <w:rFonts w:ascii="Arial" w:eastAsia="Arial" w:hAnsi="Arial" w:cs="Arial"/>
                                  </w:rPr>
                                </w:pPr>
                                <w:r>
                                  <w:rPr>
                                    <w:rFonts w:ascii="Arial" w:eastAsia="Arial" w:hAnsi="Arial" w:cs="Arial"/>
                                    <w:b/>
                                    <w:bCs/>
                                    <w:i/>
                                    <w:spacing w:val="-1"/>
                                  </w:rPr>
                                  <w:t>[Guidance</w:t>
                                </w:r>
                                <w:r>
                                  <w:rPr>
                                    <w:rFonts w:ascii="Arial" w:eastAsia="Arial" w:hAnsi="Arial" w:cs="Arial"/>
                                    <w:b/>
                                    <w:bCs/>
                                    <w:i/>
                                    <w:spacing w:val="22"/>
                                  </w:rPr>
                                  <w:t xml:space="preserve"> </w:t>
                                </w:r>
                                <w:r>
                                  <w:rPr>
                                    <w:rFonts w:ascii="Arial" w:eastAsia="Arial" w:hAnsi="Arial" w:cs="Arial"/>
                                    <w:b/>
                                    <w:bCs/>
                                    <w:i/>
                                    <w:spacing w:val="-1"/>
                                  </w:rPr>
                                  <w:t>Note:</w:t>
                                </w:r>
                                <w:r>
                                  <w:rPr>
                                    <w:rFonts w:ascii="Arial" w:eastAsia="Arial" w:hAnsi="Arial" w:cs="Arial"/>
                                    <w:b/>
                                    <w:bCs/>
                                    <w:i/>
                                    <w:spacing w:val="23"/>
                                  </w:rPr>
                                  <w:t xml:space="preserve"> </w:t>
                                </w:r>
                                <w:r>
                                  <w:rPr>
                                    <w:rFonts w:ascii="Arial" w:eastAsia="Arial" w:hAnsi="Arial" w:cs="Arial"/>
                                    <w:b/>
                                    <w:bCs/>
                                    <w:i/>
                                    <w:spacing w:val="-2"/>
                                  </w:rPr>
                                  <w:t>Consider</w:t>
                                </w:r>
                                <w:r>
                                  <w:rPr>
                                    <w:rFonts w:ascii="Arial" w:eastAsia="Arial" w:hAnsi="Arial" w:cs="Arial"/>
                                    <w:b/>
                                    <w:bCs/>
                                    <w:i/>
                                    <w:spacing w:val="23"/>
                                  </w:rPr>
                                  <w:t xml:space="preserve"> </w:t>
                                </w:r>
                                <w:r>
                                  <w:rPr>
                                    <w:rFonts w:ascii="Arial" w:eastAsia="Arial" w:hAnsi="Arial" w:cs="Arial"/>
                                    <w:b/>
                                    <w:bCs/>
                                    <w:i/>
                                    <w:spacing w:val="-1"/>
                                  </w:rPr>
                                  <w:t>the</w:t>
                                </w:r>
                                <w:r>
                                  <w:rPr>
                                    <w:rFonts w:ascii="Arial" w:eastAsia="Arial" w:hAnsi="Arial" w:cs="Arial"/>
                                    <w:b/>
                                    <w:bCs/>
                                    <w:i/>
                                    <w:spacing w:val="22"/>
                                  </w:rPr>
                                  <w:t xml:space="preserve"> </w:t>
                                </w:r>
                                <w:r>
                                  <w:rPr>
                                    <w:rFonts w:ascii="Arial" w:eastAsia="Arial" w:hAnsi="Arial" w:cs="Arial"/>
                                    <w:b/>
                                    <w:bCs/>
                                    <w:i/>
                                    <w:spacing w:val="-1"/>
                                  </w:rPr>
                                  <w:t>Guidance</w:t>
                                </w:r>
                                <w:r>
                                  <w:rPr>
                                    <w:rFonts w:ascii="Arial" w:eastAsia="Arial" w:hAnsi="Arial" w:cs="Arial"/>
                                    <w:b/>
                                    <w:bCs/>
                                    <w:i/>
                                    <w:spacing w:val="22"/>
                                  </w:rPr>
                                  <w:t xml:space="preserve"> </w:t>
                                </w:r>
                                <w:r>
                                  <w:rPr>
                                    <w:rFonts w:ascii="Arial" w:eastAsia="Arial" w:hAnsi="Arial" w:cs="Arial"/>
                                    <w:b/>
                                    <w:bCs/>
                                    <w:i/>
                                    <w:spacing w:val="-1"/>
                                  </w:rPr>
                                  <w:t>Note</w:t>
                                </w:r>
                                <w:r>
                                  <w:rPr>
                                    <w:rFonts w:ascii="Arial" w:eastAsia="Arial" w:hAnsi="Arial" w:cs="Arial"/>
                                    <w:b/>
                                    <w:bCs/>
                                    <w:i/>
                                    <w:spacing w:val="19"/>
                                  </w:rPr>
                                  <w:t xml:space="preserve"> </w:t>
                                </w:r>
                                <w:r>
                                  <w:rPr>
                                    <w:rFonts w:ascii="Arial" w:eastAsia="Arial" w:hAnsi="Arial" w:cs="Arial"/>
                                    <w:b/>
                                    <w:bCs/>
                                    <w:i/>
                                    <w:spacing w:val="-1"/>
                                  </w:rPr>
                                  <w:t>on</w:t>
                                </w:r>
                                <w:r>
                                  <w:rPr>
                                    <w:rFonts w:ascii="Arial" w:eastAsia="Arial" w:hAnsi="Arial" w:cs="Arial"/>
                                    <w:b/>
                                    <w:bCs/>
                                    <w:i/>
                                    <w:spacing w:val="22"/>
                                  </w:rPr>
                                  <w:t xml:space="preserve"> </w:t>
                                </w:r>
                                <w:r>
                                  <w:rPr>
                                    <w:rFonts w:ascii="Arial" w:eastAsia="Arial" w:hAnsi="Arial" w:cs="Arial"/>
                                    <w:b/>
                                    <w:bCs/>
                                    <w:i/>
                                    <w:spacing w:val="-1"/>
                                  </w:rPr>
                                  <w:t>Testing</w:t>
                                </w:r>
                                <w:r>
                                  <w:rPr>
                                    <w:rFonts w:ascii="Arial" w:eastAsia="Arial" w:hAnsi="Arial" w:cs="Arial"/>
                                    <w:b/>
                                    <w:bCs/>
                                    <w:i/>
                                    <w:spacing w:val="22"/>
                                  </w:rPr>
                                  <w:t xml:space="preserve"> </w:t>
                                </w:r>
                                <w:r>
                                  <w:rPr>
                                    <w:rFonts w:ascii="Arial" w:eastAsia="Arial" w:hAnsi="Arial" w:cs="Arial"/>
                                    <w:b/>
                                    <w:bCs/>
                                    <w:i/>
                                  </w:rPr>
                                  <w:t>in</w:t>
                                </w:r>
                                <w:r>
                                  <w:rPr>
                                    <w:rFonts w:ascii="Arial" w:eastAsia="Arial" w:hAnsi="Arial" w:cs="Arial"/>
                                    <w:b/>
                                    <w:bCs/>
                                    <w:i/>
                                    <w:spacing w:val="22"/>
                                  </w:rPr>
                                  <w:t xml:space="preserve"> </w:t>
                                </w:r>
                                <w:r>
                                  <w:rPr>
                                    <w:rFonts w:ascii="Arial" w:eastAsia="Arial" w:hAnsi="Arial" w:cs="Arial"/>
                                    <w:b/>
                                    <w:bCs/>
                                    <w:i/>
                                    <w:spacing w:val="-1"/>
                                  </w:rPr>
                                  <w:t>the</w:t>
                                </w:r>
                                <w:r>
                                  <w:rPr>
                                    <w:rFonts w:ascii="Arial" w:eastAsia="Arial" w:hAnsi="Arial" w:cs="Arial"/>
                                    <w:b/>
                                    <w:bCs/>
                                    <w:i/>
                                    <w:spacing w:val="22"/>
                                  </w:rPr>
                                  <w:t xml:space="preserve"> </w:t>
                                </w:r>
                                <w:r>
                                  <w:rPr>
                                    <w:rFonts w:ascii="Arial" w:eastAsia="Arial" w:hAnsi="Arial" w:cs="Arial"/>
                                    <w:b/>
                                    <w:bCs/>
                                    <w:i/>
                                    <w:spacing w:val="-1"/>
                                  </w:rPr>
                                  <w:t>Template</w:t>
                                </w:r>
                                <w:r>
                                  <w:rPr>
                                    <w:rFonts w:ascii="Arial" w:eastAsia="Arial" w:hAnsi="Arial" w:cs="Arial"/>
                                    <w:b/>
                                    <w:bCs/>
                                    <w:i/>
                                    <w:spacing w:val="20"/>
                                  </w:rPr>
                                  <w:t xml:space="preserve"> </w:t>
                                </w:r>
                                <w:r>
                                  <w:rPr>
                                    <w:rFonts w:ascii="Arial" w:eastAsia="Arial" w:hAnsi="Arial" w:cs="Arial"/>
                                    <w:b/>
                                    <w:bCs/>
                                    <w:i/>
                                    <w:spacing w:val="-1"/>
                                  </w:rPr>
                                  <w:t>Order</w:t>
                                </w:r>
                                <w:r>
                                  <w:rPr>
                                    <w:rFonts w:ascii="Arial" w:eastAsia="Arial" w:hAnsi="Arial" w:cs="Arial"/>
                                    <w:b/>
                                    <w:bCs/>
                                    <w:i/>
                                    <w:spacing w:val="60"/>
                                  </w:rPr>
                                  <w:t xml:space="preserve"> </w:t>
                                </w:r>
                                <w:r>
                                  <w:rPr>
                                    <w:rFonts w:ascii="Arial" w:eastAsia="Arial" w:hAnsi="Arial" w:cs="Arial"/>
                                    <w:b/>
                                    <w:bCs/>
                                    <w:i/>
                                    <w:spacing w:val="-1"/>
                                  </w:rPr>
                                  <w:t>Form</w:t>
                                </w:r>
                                <w:r>
                                  <w:rPr>
                                    <w:rFonts w:ascii="Arial" w:eastAsia="Arial" w:hAnsi="Arial" w:cs="Arial"/>
                                    <w:b/>
                                    <w:bCs/>
                                    <w:i/>
                                    <w:spacing w:val="18"/>
                                  </w:rPr>
                                  <w:t xml:space="preserve"> </w:t>
                                </w:r>
                                <w:r>
                                  <w:rPr>
                                    <w:rFonts w:ascii="Arial" w:eastAsia="Arial" w:hAnsi="Arial" w:cs="Arial"/>
                                    <w:b/>
                                    <w:bCs/>
                                    <w:i/>
                                    <w:spacing w:val="-1"/>
                                  </w:rPr>
                                  <w:t>and</w:t>
                                </w:r>
                                <w:r>
                                  <w:rPr>
                                    <w:rFonts w:ascii="Arial" w:eastAsia="Arial" w:hAnsi="Arial" w:cs="Arial"/>
                                    <w:b/>
                                    <w:bCs/>
                                    <w:i/>
                                    <w:spacing w:val="17"/>
                                  </w:rPr>
                                  <w:t xml:space="preserve"> </w:t>
                                </w:r>
                                <w:r>
                                  <w:rPr>
                                    <w:rFonts w:ascii="Arial" w:eastAsia="Arial" w:hAnsi="Arial" w:cs="Arial"/>
                                    <w:b/>
                                    <w:bCs/>
                                    <w:i/>
                                    <w:spacing w:val="-1"/>
                                  </w:rPr>
                                  <w:t>Clause</w:t>
                                </w:r>
                                <w:r>
                                  <w:rPr>
                                    <w:rFonts w:ascii="Arial" w:eastAsia="Arial" w:hAnsi="Arial" w:cs="Arial"/>
                                    <w:b/>
                                    <w:bCs/>
                                    <w:i/>
                                    <w:spacing w:val="17"/>
                                  </w:rPr>
                                  <w:t xml:space="preserve"> </w:t>
                                </w:r>
                                <w:hyperlink w:anchor="_bookmark92" w:history="1">
                                  <w:r>
                                    <w:rPr>
                                      <w:rFonts w:ascii="Arial" w:eastAsia="Arial" w:hAnsi="Arial" w:cs="Arial"/>
                                      <w:b/>
                                      <w:bCs/>
                                      <w:i/>
                                      <w:spacing w:val="-1"/>
                                    </w:rPr>
                                    <w:t>11.6</w:t>
                                  </w:r>
                                </w:hyperlink>
                                <w:r>
                                  <w:rPr>
                                    <w:rFonts w:ascii="Arial" w:eastAsia="Arial" w:hAnsi="Arial" w:cs="Arial"/>
                                    <w:b/>
                                    <w:bCs/>
                                    <w:i/>
                                    <w:spacing w:val="17"/>
                                  </w:rPr>
                                  <w:t xml:space="preserve"> </w:t>
                                </w:r>
                                <w:r>
                                  <w:rPr>
                                    <w:rFonts w:ascii="Arial" w:eastAsia="Arial" w:hAnsi="Arial" w:cs="Arial"/>
                                    <w:b/>
                                    <w:bCs/>
                                    <w:i/>
                                    <w:spacing w:val="-1"/>
                                  </w:rPr>
                                  <w:t>of</w:t>
                                </w:r>
                                <w:r>
                                  <w:rPr>
                                    <w:rFonts w:ascii="Arial" w:eastAsia="Arial" w:hAnsi="Arial" w:cs="Arial"/>
                                    <w:b/>
                                    <w:bCs/>
                                    <w:i/>
                                    <w:spacing w:val="19"/>
                                  </w:rPr>
                                  <w:t xml:space="preserve"> </w:t>
                                </w:r>
                                <w:r>
                                  <w:rPr>
                                    <w:rFonts w:ascii="Arial" w:eastAsia="Arial" w:hAnsi="Arial" w:cs="Arial"/>
                                    <w:b/>
                                    <w:bCs/>
                                    <w:i/>
                                    <w:spacing w:val="-1"/>
                                  </w:rPr>
                                  <w:t>the</w:t>
                                </w:r>
                                <w:r>
                                  <w:rPr>
                                    <w:rFonts w:ascii="Arial" w:eastAsia="Arial" w:hAnsi="Arial" w:cs="Arial"/>
                                    <w:b/>
                                    <w:bCs/>
                                    <w:i/>
                                    <w:spacing w:val="17"/>
                                  </w:rPr>
                                  <w:t xml:space="preserve"> </w:t>
                                </w:r>
                                <w:r>
                                  <w:rPr>
                                    <w:rFonts w:ascii="Arial" w:eastAsia="Arial" w:hAnsi="Arial" w:cs="Arial"/>
                                    <w:b/>
                                    <w:bCs/>
                                    <w:i/>
                                    <w:spacing w:val="-1"/>
                                  </w:rPr>
                                  <w:t>Template</w:t>
                                </w:r>
                                <w:r>
                                  <w:rPr>
                                    <w:rFonts w:ascii="Arial" w:eastAsia="Arial" w:hAnsi="Arial" w:cs="Arial"/>
                                    <w:b/>
                                    <w:bCs/>
                                    <w:i/>
                                    <w:spacing w:val="17"/>
                                  </w:rPr>
                                  <w:t xml:space="preserve"> </w:t>
                                </w:r>
                                <w:r>
                                  <w:rPr>
                                    <w:rFonts w:ascii="Arial" w:eastAsia="Arial" w:hAnsi="Arial" w:cs="Arial"/>
                                    <w:b/>
                                    <w:bCs/>
                                    <w:i/>
                                    <w:spacing w:val="-1"/>
                                  </w:rPr>
                                  <w:t>Call</w:t>
                                </w:r>
                                <w:r>
                                  <w:rPr>
                                    <w:rFonts w:ascii="Arial" w:eastAsia="Arial" w:hAnsi="Arial" w:cs="Arial"/>
                                    <w:b/>
                                    <w:bCs/>
                                    <w:i/>
                                    <w:spacing w:val="16"/>
                                  </w:rPr>
                                  <w:t xml:space="preserve"> </w:t>
                                </w:r>
                                <w:r>
                                  <w:rPr>
                                    <w:rFonts w:ascii="Arial" w:eastAsia="Arial" w:hAnsi="Arial" w:cs="Arial"/>
                                    <w:b/>
                                    <w:bCs/>
                                    <w:i/>
                                    <w:spacing w:val="-1"/>
                                  </w:rPr>
                                  <w:t>Off</w:t>
                                </w:r>
                                <w:r>
                                  <w:rPr>
                                    <w:rFonts w:ascii="Arial" w:eastAsia="Arial" w:hAnsi="Arial" w:cs="Arial"/>
                                    <w:b/>
                                    <w:bCs/>
                                    <w:i/>
                                    <w:spacing w:val="19"/>
                                  </w:rPr>
                                  <w:t xml:space="preserve"> </w:t>
                                </w:r>
                                <w:r>
                                  <w:rPr>
                                    <w:rFonts w:ascii="Arial" w:eastAsia="Arial" w:hAnsi="Arial" w:cs="Arial"/>
                                    <w:b/>
                                    <w:bCs/>
                                    <w:i/>
                                    <w:spacing w:val="-1"/>
                                  </w:rPr>
                                  <w:t>Terms.</w:t>
                                </w:r>
                                <w:r>
                                  <w:rPr>
                                    <w:rFonts w:ascii="Arial" w:eastAsia="Arial" w:hAnsi="Arial" w:cs="Arial"/>
                                    <w:b/>
                                    <w:bCs/>
                                    <w:i/>
                                    <w:spacing w:val="19"/>
                                  </w:rPr>
                                  <w:t xml:space="preserve"> </w:t>
                                </w:r>
                                <w:r>
                                  <w:rPr>
                                    <w:rFonts w:ascii="Arial" w:eastAsia="Arial" w:hAnsi="Arial" w:cs="Arial"/>
                                    <w:b/>
                                    <w:bCs/>
                                    <w:i/>
                                    <w:spacing w:val="-1"/>
                                  </w:rPr>
                                  <w:t>This</w:t>
                                </w:r>
                                <w:r>
                                  <w:rPr>
                                    <w:rFonts w:ascii="Arial" w:eastAsia="Arial" w:hAnsi="Arial" w:cs="Arial"/>
                                    <w:b/>
                                    <w:bCs/>
                                    <w:i/>
                                    <w:spacing w:val="17"/>
                                  </w:rPr>
                                  <w:t xml:space="preserve"> </w:t>
                                </w:r>
                                <w:r>
                                  <w:rPr>
                                    <w:rFonts w:ascii="Arial" w:eastAsia="Arial" w:hAnsi="Arial" w:cs="Arial"/>
                                    <w:b/>
                                    <w:bCs/>
                                    <w:i/>
                                    <w:spacing w:val="-2"/>
                                  </w:rPr>
                                  <w:t>Call</w:t>
                                </w:r>
                                <w:r>
                                  <w:rPr>
                                    <w:rFonts w:ascii="Arial" w:eastAsia="Arial" w:hAnsi="Arial" w:cs="Arial"/>
                                    <w:b/>
                                    <w:bCs/>
                                    <w:i/>
                                    <w:spacing w:val="19"/>
                                  </w:rPr>
                                  <w:t xml:space="preserve"> </w:t>
                                </w:r>
                                <w:r>
                                  <w:rPr>
                                    <w:rFonts w:ascii="Arial" w:eastAsia="Arial" w:hAnsi="Arial" w:cs="Arial"/>
                                    <w:b/>
                                    <w:bCs/>
                                    <w:i/>
                                    <w:spacing w:val="-1"/>
                                  </w:rPr>
                                  <w:t>Off</w:t>
                                </w:r>
                                <w:r>
                                  <w:rPr>
                                    <w:rFonts w:ascii="Arial" w:eastAsia="Arial" w:hAnsi="Arial" w:cs="Arial"/>
                                    <w:b/>
                                    <w:bCs/>
                                    <w:i/>
                                    <w:spacing w:val="16"/>
                                  </w:rPr>
                                  <w:t xml:space="preserve"> </w:t>
                                </w:r>
                                <w:r>
                                  <w:rPr>
                                    <w:rFonts w:ascii="Arial" w:eastAsia="Arial" w:hAnsi="Arial" w:cs="Arial"/>
                                    <w:b/>
                                    <w:bCs/>
                                    <w:i/>
                                    <w:spacing w:val="-1"/>
                                  </w:rPr>
                                  <w:t>Schedule</w:t>
                                </w:r>
                                <w:r>
                                  <w:rPr>
                                    <w:rFonts w:ascii="Arial" w:eastAsia="Arial" w:hAnsi="Arial" w:cs="Arial"/>
                                    <w:b/>
                                    <w:bCs/>
                                    <w:i/>
                                    <w:spacing w:val="17"/>
                                  </w:rPr>
                                  <w:t xml:space="preserve"> </w:t>
                                </w:r>
                                <w:r>
                                  <w:rPr>
                                    <w:rFonts w:ascii="Arial" w:eastAsia="Arial" w:hAnsi="Arial" w:cs="Arial"/>
                                    <w:b/>
                                    <w:bCs/>
                                    <w:i/>
                                  </w:rPr>
                                  <w:t>is</w:t>
                                </w:r>
                                <w:r>
                                  <w:rPr>
                                    <w:rFonts w:ascii="Arial" w:eastAsia="Arial" w:hAnsi="Arial" w:cs="Arial"/>
                                    <w:b/>
                                    <w:bCs/>
                                    <w:i/>
                                    <w:spacing w:val="47"/>
                                  </w:rPr>
                                  <w:t xml:space="preserve"> </w:t>
                                </w:r>
                                <w:r>
                                  <w:rPr>
                                    <w:rFonts w:ascii="Arial" w:eastAsia="Arial" w:hAnsi="Arial" w:cs="Arial"/>
                                    <w:b/>
                                    <w:bCs/>
                                    <w:i/>
                                    <w:spacing w:val="-1"/>
                                  </w:rPr>
                                  <w:t>more</w:t>
                                </w:r>
                                <w:r>
                                  <w:rPr>
                                    <w:rFonts w:ascii="Arial" w:eastAsia="Arial" w:hAnsi="Arial" w:cs="Arial"/>
                                    <w:b/>
                                    <w:bCs/>
                                    <w:i/>
                                  </w:rPr>
                                  <w:t xml:space="preserve"> </w:t>
                                </w:r>
                                <w:r>
                                  <w:rPr>
                                    <w:rFonts w:ascii="Arial" w:eastAsia="Arial" w:hAnsi="Arial" w:cs="Arial"/>
                                    <w:b/>
                                    <w:bCs/>
                                    <w:i/>
                                    <w:spacing w:val="-1"/>
                                  </w:rPr>
                                  <w:t>likely</w:t>
                                </w:r>
                                <w:r>
                                  <w:rPr>
                                    <w:rFonts w:ascii="Arial" w:eastAsia="Arial" w:hAnsi="Arial" w:cs="Arial"/>
                                    <w:b/>
                                    <w:bCs/>
                                    <w:i/>
                                  </w:rPr>
                                  <w:t xml:space="preserve"> to</w:t>
                                </w:r>
                                <w:r>
                                  <w:rPr>
                                    <w:rFonts w:ascii="Arial" w:eastAsia="Arial" w:hAnsi="Arial" w:cs="Arial"/>
                                    <w:b/>
                                    <w:bCs/>
                                    <w:i/>
                                    <w:spacing w:val="3"/>
                                  </w:rPr>
                                  <w:t xml:space="preserve"> </w:t>
                                </w:r>
                                <w:r>
                                  <w:rPr>
                                    <w:rFonts w:ascii="Arial" w:eastAsia="Arial" w:hAnsi="Arial" w:cs="Arial"/>
                                    <w:b/>
                                    <w:bCs/>
                                    <w:i/>
                                    <w:spacing w:val="-1"/>
                                  </w:rPr>
                                  <w:t>be</w:t>
                                </w:r>
                                <w:r>
                                  <w:rPr>
                                    <w:rFonts w:ascii="Arial" w:eastAsia="Arial" w:hAnsi="Arial" w:cs="Arial"/>
                                    <w:b/>
                                    <w:bCs/>
                                    <w:i/>
                                  </w:rPr>
                                  <w:t xml:space="preserve"> </w:t>
                                </w:r>
                                <w:r>
                                  <w:rPr>
                                    <w:rFonts w:ascii="Arial" w:eastAsia="Arial" w:hAnsi="Arial" w:cs="Arial"/>
                                    <w:b/>
                                    <w:bCs/>
                                    <w:i/>
                                    <w:spacing w:val="-1"/>
                                  </w:rPr>
                                  <w:t>relevant</w:t>
                                </w:r>
                                <w:r>
                                  <w:rPr>
                                    <w:rFonts w:ascii="Arial" w:eastAsia="Arial" w:hAnsi="Arial" w:cs="Arial"/>
                                    <w:b/>
                                    <w:bCs/>
                                    <w:i/>
                                    <w:spacing w:val="4"/>
                                  </w:rPr>
                                  <w:t xml:space="preserve"> </w:t>
                                </w:r>
                                <w:r>
                                  <w:rPr>
                                    <w:rFonts w:ascii="Arial" w:eastAsia="Arial" w:hAnsi="Arial" w:cs="Arial"/>
                                    <w:b/>
                                    <w:bCs/>
                                    <w:i/>
                                  </w:rPr>
                                  <w:t xml:space="preserve">in </w:t>
                                </w:r>
                                <w:r>
                                  <w:rPr>
                                    <w:rFonts w:ascii="Arial" w:eastAsia="Arial" w:hAnsi="Arial" w:cs="Arial"/>
                                    <w:b/>
                                    <w:bCs/>
                                    <w:i/>
                                    <w:spacing w:val="-1"/>
                                  </w:rPr>
                                  <w:t>the</w:t>
                                </w:r>
                                <w:r>
                                  <w:rPr>
                                    <w:rFonts w:ascii="Arial" w:eastAsia="Arial" w:hAnsi="Arial" w:cs="Arial"/>
                                    <w:b/>
                                    <w:bCs/>
                                    <w:i/>
                                  </w:rPr>
                                  <w:t xml:space="preserve"> </w:t>
                                </w:r>
                                <w:r>
                                  <w:rPr>
                                    <w:rFonts w:ascii="Arial" w:eastAsia="Arial" w:hAnsi="Arial" w:cs="Arial"/>
                                    <w:b/>
                                    <w:bCs/>
                                    <w:i/>
                                    <w:spacing w:val="-1"/>
                                  </w:rPr>
                                  <w:t>context</w:t>
                                </w:r>
                                <w:r>
                                  <w:rPr>
                                    <w:rFonts w:ascii="Arial" w:eastAsia="Arial" w:hAnsi="Arial" w:cs="Arial"/>
                                    <w:b/>
                                    <w:bCs/>
                                    <w:i/>
                                    <w:spacing w:val="4"/>
                                  </w:rPr>
                                  <w:t xml:space="preserve"> </w:t>
                                </w:r>
                                <w:r>
                                  <w:rPr>
                                    <w:rFonts w:ascii="Arial" w:eastAsia="Arial" w:hAnsi="Arial" w:cs="Arial"/>
                                    <w:b/>
                                    <w:bCs/>
                                    <w:i/>
                                    <w:spacing w:val="-2"/>
                                  </w:rPr>
                                  <w:t>of</w:t>
                                </w:r>
                                <w:r>
                                  <w:rPr>
                                    <w:rFonts w:ascii="Arial" w:eastAsia="Arial" w:hAnsi="Arial" w:cs="Arial"/>
                                    <w:b/>
                                    <w:bCs/>
                                    <w:i/>
                                    <w:spacing w:val="4"/>
                                  </w:rPr>
                                  <w:t xml:space="preserve"> </w:t>
                                </w:r>
                                <w:r>
                                  <w:rPr>
                                    <w:rFonts w:ascii="Arial" w:eastAsia="Arial" w:hAnsi="Arial" w:cs="Arial"/>
                                    <w:b/>
                                    <w:bCs/>
                                    <w:i/>
                                    <w:spacing w:val="-1"/>
                                  </w:rPr>
                                  <w:t>procuring</w:t>
                                </w:r>
                                <w:r>
                                  <w:rPr>
                                    <w:rFonts w:ascii="Arial" w:eastAsia="Arial" w:hAnsi="Arial" w:cs="Arial"/>
                                    <w:b/>
                                    <w:bCs/>
                                    <w:i/>
                                    <w:spacing w:val="5"/>
                                  </w:rPr>
                                  <w:t xml:space="preserve"> </w:t>
                                </w:r>
                                <w:r>
                                  <w:rPr>
                                    <w:rFonts w:ascii="Arial" w:eastAsia="Arial" w:hAnsi="Arial" w:cs="Arial"/>
                                    <w:b/>
                                    <w:bCs/>
                                    <w:i/>
                                    <w:spacing w:val="-1"/>
                                  </w:rPr>
                                  <w:t>complex,</w:t>
                                </w:r>
                                <w:r>
                                  <w:rPr>
                                    <w:rFonts w:ascii="Arial" w:eastAsia="Arial" w:hAnsi="Arial" w:cs="Arial"/>
                                    <w:b/>
                                    <w:bCs/>
                                    <w:i/>
                                    <w:spacing w:val="2"/>
                                  </w:rPr>
                                  <w:t xml:space="preserve"> </w:t>
                                </w:r>
                                <w:r>
                                  <w:rPr>
                                    <w:rFonts w:ascii="Arial" w:eastAsia="Arial" w:hAnsi="Arial" w:cs="Arial"/>
                                    <w:b/>
                                    <w:bCs/>
                                    <w:i/>
                                    <w:spacing w:val="-1"/>
                                  </w:rPr>
                                  <w:t>high</w:t>
                                </w:r>
                                <w:r>
                                  <w:rPr>
                                    <w:rFonts w:ascii="Arial" w:eastAsia="Arial" w:hAnsi="Arial" w:cs="Arial"/>
                                    <w:b/>
                                    <w:bCs/>
                                    <w:i/>
                                    <w:spacing w:val="-2"/>
                                  </w:rPr>
                                  <w:t xml:space="preserve"> </w:t>
                                </w:r>
                                <w:r>
                                  <w:rPr>
                                    <w:rFonts w:ascii="Arial" w:eastAsia="Arial" w:hAnsi="Arial" w:cs="Arial"/>
                                    <w:b/>
                                    <w:bCs/>
                                    <w:i/>
                                    <w:spacing w:val="-1"/>
                                  </w:rPr>
                                  <w:t>value</w:t>
                                </w:r>
                                <w:r>
                                  <w:rPr>
                                    <w:rFonts w:ascii="Arial" w:eastAsia="Arial" w:hAnsi="Arial" w:cs="Arial"/>
                                    <w:b/>
                                    <w:bCs/>
                                    <w:i/>
                                    <w:spacing w:val="3"/>
                                  </w:rPr>
                                  <w:t xml:space="preserve"> </w:t>
                                </w:r>
                                <w:r>
                                  <w:rPr>
                                    <w:rFonts w:ascii="Arial" w:eastAsia="Arial" w:hAnsi="Arial" w:cs="Arial"/>
                                    <w:b/>
                                    <w:bCs/>
                                    <w:i/>
                                    <w:spacing w:val="-1"/>
                                  </w:rPr>
                                  <w:t>and/or</w:t>
                                </w:r>
                                <w:r>
                                  <w:rPr>
                                    <w:rFonts w:ascii="Arial" w:eastAsia="Arial" w:hAnsi="Arial" w:cs="Arial"/>
                                    <w:b/>
                                    <w:bCs/>
                                    <w:i/>
                                    <w:spacing w:val="44"/>
                                  </w:rPr>
                                  <w:t xml:space="preserve"> </w:t>
                                </w:r>
                                <w:r>
                                  <w:rPr>
                                    <w:rFonts w:ascii="Arial" w:eastAsia="Arial" w:hAnsi="Arial" w:cs="Arial"/>
                                    <w:b/>
                                    <w:bCs/>
                                    <w:i/>
                                    <w:spacing w:val="-1"/>
                                  </w:rPr>
                                  <w:t>high</w:t>
                                </w:r>
                                <w:r>
                                  <w:rPr>
                                    <w:rFonts w:ascii="Arial" w:eastAsia="Arial" w:hAnsi="Arial" w:cs="Arial"/>
                                    <w:b/>
                                    <w:bCs/>
                                    <w:i/>
                                    <w:spacing w:val="22"/>
                                  </w:rPr>
                                  <w:t xml:space="preserve"> </w:t>
                                </w:r>
                                <w:r>
                                  <w:rPr>
                                    <w:rFonts w:ascii="Arial" w:eastAsia="Arial" w:hAnsi="Arial" w:cs="Arial"/>
                                    <w:b/>
                                    <w:bCs/>
                                    <w:i/>
                                    <w:spacing w:val="-1"/>
                                  </w:rPr>
                                  <w:t>importance</w:t>
                                </w:r>
                                <w:r>
                                  <w:rPr>
                                    <w:rFonts w:ascii="Arial" w:eastAsia="Arial" w:hAnsi="Arial" w:cs="Arial"/>
                                    <w:b/>
                                    <w:bCs/>
                                    <w:i/>
                                    <w:spacing w:val="22"/>
                                  </w:rPr>
                                  <w:t xml:space="preserve"> </w:t>
                                </w:r>
                                <w:r>
                                  <w:rPr>
                                    <w:rFonts w:ascii="Arial" w:eastAsia="Arial" w:hAnsi="Arial" w:cs="Arial"/>
                                    <w:b/>
                                    <w:bCs/>
                                    <w:i/>
                                    <w:spacing w:val="-2"/>
                                  </w:rPr>
                                  <w:t>Services</w:t>
                                </w:r>
                                <w:r>
                                  <w:rPr>
                                    <w:rFonts w:ascii="Arial" w:eastAsia="Arial" w:hAnsi="Arial" w:cs="Arial"/>
                                    <w:b/>
                                    <w:bCs/>
                                    <w:i/>
                                    <w:spacing w:val="22"/>
                                  </w:rPr>
                                  <w:t xml:space="preserve"> </w:t>
                                </w:r>
                                <w:r>
                                  <w:rPr>
                                    <w:rFonts w:ascii="Arial" w:eastAsia="Arial" w:hAnsi="Arial" w:cs="Arial"/>
                                    <w:b/>
                                    <w:bCs/>
                                    <w:i/>
                                    <w:spacing w:val="-1"/>
                                  </w:rPr>
                                  <w:t>where</w:t>
                                </w:r>
                                <w:r>
                                  <w:rPr>
                                    <w:rFonts w:ascii="Arial" w:eastAsia="Arial" w:hAnsi="Arial" w:cs="Arial"/>
                                    <w:b/>
                                    <w:bCs/>
                                    <w:i/>
                                    <w:spacing w:val="20"/>
                                  </w:rPr>
                                  <w:t xml:space="preserve"> </w:t>
                                </w:r>
                                <w:r>
                                  <w:rPr>
                                    <w:rFonts w:ascii="Arial" w:eastAsia="Arial" w:hAnsi="Arial" w:cs="Arial"/>
                                    <w:b/>
                                    <w:bCs/>
                                    <w:i/>
                                    <w:spacing w:val="-1"/>
                                  </w:rPr>
                                  <w:t>there</w:t>
                                </w:r>
                                <w:r>
                                  <w:rPr>
                                    <w:rFonts w:ascii="Arial" w:eastAsia="Arial" w:hAnsi="Arial" w:cs="Arial"/>
                                    <w:b/>
                                    <w:bCs/>
                                    <w:i/>
                                    <w:spacing w:val="19"/>
                                  </w:rPr>
                                  <w:t xml:space="preserve"> </w:t>
                                </w:r>
                                <w:r>
                                  <w:rPr>
                                    <w:rFonts w:ascii="Arial" w:eastAsia="Arial" w:hAnsi="Arial" w:cs="Arial"/>
                                    <w:b/>
                                    <w:bCs/>
                                    <w:i/>
                                  </w:rPr>
                                  <w:t>is</w:t>
                                </w:r>
                                <w:r>
                                  <w:rPr>
                                    <w:rFonts w:ascii="Arial" w:eastAsia="Arial" w:hAnsi="Arial" w:cs="Arial"/>
                                    <w:b/>
                                    <w:bCs/>
                                    <w:i/>
                                    <w:spacing w:val="22"/>
                                  </w:rPr>
                                  <w:t xml:space="preserve"> </w:t>
                                </w:r>
                                <w:r>
                                  <w:rPr>
                                    <w:rFonts w:ascii="Arial" w:eastAsia="Arial" w:hAnsi="Arial" w:cs="Arial"/>
                                    <w:b/>
                                    <w:bCs/>
                                    <w:i/>
                                  </w:rPr>
                                  <w:t>a</w:t>
                                </w:r>
                                <w:r>
                                  <w:rPr>
                                    <w:rFonts w:ascii="Arial" w:eastAsia="Arial" w:hAnsi="Arial" w:cs="Arial"/>
                                    <w:b/>
                                    <w:bCs/>
                                    <w:i/>
                                    <w:spacing w:val="22"/>
                                  </w:rPr>
                                  <w:t xml:space="preserve"> </w:t>
                                </w:r>
                                <w:r>
                                  <w:rPr>
                                    <w:rFonts w:ascii="Arial" w:eastAsia="Arial" w:hAnsi="Arial" w:cs="Arial"/>
                                    <w:b/>
                                    <w:bCs/>
                                    <w:i/>
                                    <w:spacing w:val="-2"/>
                                  </w:rPr>
                                  <w:t>need</w:t>
                                </w:r>
                                <w:r>
                                  <w:rPr>
                                    <w:rFonts w:ascii="Arial" w:eastAsia="Arial" w:hAnsi="Arial" w:cs="Arial"/>
                                    <w:b/>
                                    <w:bCs/>
                                    <w:i/>
                                    <w:spacing w:val="22"/>
                                  </w:rPr>
                                  <w:t xml:space="preserve"> </w:t>
                                </w:r>
                                <w:r>
                                  <w:rPr>
                                    <w:rFonts w:ascii="Arial" w:eastAsia="Arial" w:hAnsi="Arial" w:cs="Arial"/>
                                    <w:b/>
                                    <w:bCs/>
                                    <w:i/>
                                  </w:rPr>
                                  <w:t>to</w:t>
                                </w:r>
                                <w:r>
                                  <w:rPr>
                                    <w:rFonts w:ascii="Arial" w:eastAsia="Arial" w:hAnsi="Arial" w:cs="Arial"/>
                                    <w:b/>
                                    <w:bCs/>
                                    <w:i/>
                                    <w:spacing w:val="22"/>
                                  </w:rPr>
                                  <w:t xml:space="preserve"> </w:t>
                                </w:r>
                                <w:r>
                                  <w:rPr>
                                    <w:rFonts w:ascii="Arial" w:eastAsia="Arial" w:hAnsi="Arial" w:cs="Arial"/>
                                    <w:b/>
                                    <w:bCs/>
                                    <w:i/>
                                    <w:spacing w:val="-1"/>
                                  </w:rPr>
                                  <w:t>test</w:t>
                                </w:r>
                                <w:r>
                                  <w:rPr>
                                    <w:rFonts w:ascii="Arial" w:eastAsia="Arial" w:hAnsi="Arial" w:cs="Arial"/>
                                    <w:b/>
                                    <w:bCs/>
                                    <w:i/>
                                    <w:spacing w:val="21"/>
                                  </w:rPr>
                                  <w:t xml:space="preserve"> </w:t>
                                </w:r>
                                <w:r>
                                  <w:rPr>
                                    <w:rFonts w:ascii="Arial" w:eastAsia="Arial" w:hAnsi="Arial" w:cs="Arial"/>
                                    <w:b/>
                                    <w:bCs/>
                                    <w:i/>
                                    <w:spacing w:val="-1"/>
                                  </w:rPr>
                                  <w:t>the</w:t>
                                </w:r>
                                <w:r>
                                  <w:rPr>
                                    <w:rFonts w:ascii="Arial" w:eastAsia="Arial" w:hAnsi="Arial" w:cs="Arial"/>
                                    <w:b/>
                                    <w:bCs/>
                                    <w:i/>
                                    <w:spacing w:val="22"/>
                                  </w:rPr>
                                  <w:t xml:space="preserve"> </w:t>
                                </w:r>
                                <w:r>
                                  <w:rPr>
                                    <w:rFonts w:ascii="Arial" w:eastAsia="Arial" w:hAnsi="Arial" w:cs="Arial"/>
                                    <w:b/>
                                    <w:bCs/>
                                    <w:i/>
                                    <w:spacing w:val="-1"/>
                                  </w:rPr>
                                  <w:t>Services.</w:t>
                                </w:r>
                                <w:r>
                                  <w:rPr>
                                    <w:rFonts w:ascii="Arial" w:eastAsia="Arial" w:hAnsi="Arial" w:cs="Arial"/>
                                    <w:b/>
                                    <w:bCs/>
                                    <w:i/>
                                    <w:spacing w:val="23"/>
                                  </w:rPr>
                                  <w:t xml:space="preserve"> </w:t>
                                </w:r>
                                <w:r>
                                  <w:rPr>
                                    <w:rFonts w:ascii="Arial" w:eastAsia="Arial" w:hAnsi="Arial" w:cs="Arial"/>
                                    <w:b/>
                                    <w:bCs/>
                                    <w:i/>
                                    <w:spacing w:val="-1"/>
                                  </w:rPr>
                                  <w:t>Switch</w:t>
                                </w:r>
                                <w:r>
                                  <w:rPr>
                                    <w:rFonts w:ascii="Arial" w:eastAsia="Arial" w:hAnsi="Arial" w:cs="Arial"/>
                                    <w:b/>
                                    <w:bCs/>
                                    <w:i/>
                                    <w:spacing w:val="20"/>
                                  </w:rPr>
                                  <w:t xml:space="preserve"> </w:t>
                                </w:r>
                                <w:r>
                                  <w:rPr>
                                    <w:rFonts w:ascii="Arial" w:eastAsia="Arial" w:hAnsi="Arial" w:cs="Arial"/>
                                    <w:b/>
                                    <w:bCs/>
                                    <w:i/>
                                    <w:spacing w:val="-2"/>
                                  </w:rPr>
                                  <w:t>all</w:t>
                                </w:r>
                                <w:r>
                                  <w:rPr>
                                    <w:rFonts w:ascii="Arial" w:eastAsia="Arial" w:hAnsi="Arial" w:cs="Arial"/>
                                    <w:b/>
                                    <w:bCs/>
                                    <w:i/>
                                    <w:spacing w:val="57"/>
                                  </w:rPr>
                                  <w:t xml:space="preserve"> </w:t>
                                </w:r>
                                <w:r>
                                  <w:rPr>
                                    <w:rFonts w:ascii="Arial" w:eastAsia="Arial" w:hAnsi="Arial" w:cs="Arial"/>
                                    <w:b/>
                                    <w:bCs/>
                                    <w:i/>
                                    <w:spacing w:val="-1"/>
                                  </w:rPr>
                                  <w:t>paragraphs</w:t>
                                </w:r>
                                <w:r>
                                  <w:rPr>
                                    <w:rFonts w:ascii="Arial" w:eastAsia="Arial" w:hAnsi="Arial" w:cs="Arial"/>
                                    <w:b/>
                                    <w:bCs/>
                                    <w:i/>
                                    <w:spacing w:val="15"/>
                                  </w:rPr>
                                  <w:t xml:space="preserve"> </w:t>
                                </w:r>
                                <w:r>
                                  <w:rPr>
                                    <w:rFonts w:ascii="Arial" w:eastAsia="Arial" w:hAnsi="Arial" w:cs="Arial"/>
                                    <w:b/>
                                    <w:bCs/>
                                    <w:i/>
                                  </w:rPr>
                                  <w:t>to</w:t>
                                </w:r>
                                <w:r>
                                  <w:rPr>
                                    <w:rFonts w:ascii="Arial" w:eastAsia="Arial" w:hAnsi="Arial" w:cs="Arial"/>
                                    <w:b/>
                                    <w:bCs/>
                                    <w:i/>
                                    <w:spacing w:val="12"/>
                                  </w:rPr>
                                  <w:t xml:space="preserve"> </w:t>
                                </w:r>
                                <w:r>
                                  <w:rPr>
                                    <w:rFonts w:ascii="Arial" w:eastAsia="Arial" w:hAnsi="Arial" w:cs="Arial"/>
                                    <w:b/>
                                    <w:bCs/>
                                    <w:i/>
                                    <w:spacing w:val="-1"/>
                                  </w:rPr>
                                  <w:t>“Not</w:t>
                                </w:r>
                                <w:r>
                                  <w:rPr>
                                    <w:rFonts w:ascii="Arial" w:eastAsia="Arial" w:hAnsi="Arial" w:cs="Arial"/>
                                    <w:b/>
                                    <w:bCs/>
                                    <w:i/>
                                    <w:spacing w:val="16"/>
                                  </w:rPr>
                                  <w:t xml:space="preserve"> </w:t>
                                </w:r>
                                <w:r>
                                  <w:rPr>
                                    <w:rFonts w:ascii="Arial" w:eastAsia="Arial" w:hAnsi="Arial" w:cs="Arial"/>
                                    <w:b/>
                                    <w:bCs/>
                                    <w:i/>
                                    <w:spacing w:val="-2"/>
                                  </w:rPr>
                                  <w:t>Used”</w:t>
                                </w:r>
                                <w:r>
                                  <w:rPr>
                                    <w:rFonts w:ascii="Arial" w:eastAsia="Arial" w:hAnsi="Arial" w:cs="Arial"/>
                                    <w:b/>
                                    <w:bCs/>
                                    <w:i/>
                                    <w:spacing w:val="15"/>
                                  </w:rPr>
                                  <w:t xml:space="preserve"> </w:t>
                                </w:r>
                                <w:r>
                                  <w:rPr>
                                    <w:rFonts w:ascii="Arial" w:eastAsia="Arial" w:hAnsi="Arial" w:cs="Arial"/>
                                    <w:b/>
                                    <w:bCs/>
                                    <w:i/>
                                  </w:rPr>
                                  <w:t>if</w:t>
                                </w:r>
                                <w:r>
                                  <w:rPr>
                                    <w:rFonts w:ascii="Arial" w:eastAsia="Arial" w:hAnsi="Arial" w:cs="Arial"/>
                                    <w:b/>
                                    <w:bCs/>
                                    <w:i/>
                                    <w:spacing w:val="16"/>
                                  </w:rPr>
                                  <w:t xml:space="preserve"> </w:t>
                                </w:r>
                                <w:r>
                                  <w:rPr>
                                    <w:rFonts w:ascii="Arial" w:eastAsia="Arial" w:hAnsi="Arial" w:cs="Arial"/>
                                    <w:b/>
                                    <w:bCs/>
                                    <w:i/>
                                    <w:spacing w:val="-2"/>
                                  </w:rPr>
                                  <w:t>not</w:t>
                                </w:r>
                                <w:r>
                                  <w:rPr>
                                    <w:rFonts w:ascii="Arial" w:eastAsia="Arial" w:hAnsi="Arial" w:cs="Arial"/>
                                    <w:b/>
                                    <w:bCs/>
                                    <w:i/>
                                    <w:spacing w:val="16"/>
                                  </w:rPr>
                                  <w:t xml:space="preserve"> </w:t>
                                </w:r>
                                <w:r>
                                  <w:rPr>
                                    <w:rFonts w:ascii="Arial" w:eastAsia="Arial" w:hAnsi="Arial" w:cs="Arial"/>
                                    <w:b/>
                                    <w:bCs/>
                                    <w:i/>
                                    <w:spacing w:val="-1"/>
                                  </w:rPr>
                                  <w:t>required.</w:t>
                                </w:r>
                                <w:r>
                                  <w:rPr>
                                    <w:rFonts w:ascii="Arial" w:eastAsia="Arial" w:hAnsi="Arial" w:cs="Arial"/>
                                    <w:b/>
                                    <w:bCs/>
                                    <w:i/>
                                    <w:spacing w:val="16"/>
                                  </w:rPr>
                                  <w:t xml:space="preserve"> </w:t>
                                </w:r>
                                <w:r>
                                  <w:rPr>
                                    <w:rFonts w:ascii="Arial" w:eastAsia="Arial" w:hAnsi="Arial" w:cs="Arial"/>
                                    <w:b/>
                                    <w:bCs/>
                                    <w:i/>
                                    <w:spacing w:val="-2"/>
                                  </w:rPr>
                                  <w:t>However,</w:t>
                                </w:r>
                                <w:r>
                                  <w:rPr>
                                    <w:rFonts w:ascii="Arial" w:eastAsia="Arial" w:hAnsi="Arial" w:cs="Arial"/>
                                    <w:b/>
                                    <w:bCs/>
                                    <w:i/>
                                    <w:spacing w:val="16"/>
                                  </w:rPr>
                                  <w:t xml:space="preserve"> </w:t>
                                </w:r>
                                <w:r>
                                  <w:rPr>
                                    <w:rFonts w:ascii="Arial" w:eastAsia="Arial" w:hAnsi="Arial" w:cs="Arial"/>
                                    <w:b/>
                                    <w:bCs/>
                                    <w:i/>
                                    <w:spacing w:val="-1"/>
                                  </w:rPr>
                                  <w:t>retain</w:t>
                                </w:r>
                                <w:r>
                                  <w:rPr>
                                    <w:rFonts w:ascii="Arial" w:eastAsia="Arial" w:hAnsi="Arial" w:cs="Arial"/>
                                    <w:b/>
                                    <w:bCs/>
                                    <w:i/>
                                    <w:spacing w:val="15"/>
                                  </w:rPr>
                                  <w:t xml:space="preserve"> </w:t>
                                </w:r>
                                <w:r>
                                  <w:rPr>
                                    <w:rFonts w:ascii="Arial" w:eastAsia="Arial" w:hAnsi="Arial" w:cs="Arial"/>
                                    <w:b/>
                                    <w:bCs/>
                                    <w:i/>
                                    <w:spacing w:val="-1"/>
                                  </w:rPr>
                                  <w:t>Annex</w:t>
                                </w:r>
                                <w:r>
                                  <w:rPr>
                                    <w:rFonts w:ascii="Arial" w:eastAsia="Arial" w:hAnsi="Arial" w:cs="Arial"/>
                                    <w:b/>
                                    <w:bCs/>
                                    <w:i/>
                                    <w:spacing w:val="15"/>
                                  </w:rPr>
                                  <w:t xml:space="preserve"> </w:t>
                                </w:r>
                                <w:r>
                                  <w:rPr>
                                    <w:rFonts w:ascii="Arial" w:eastAsia="Arial" w:hAnsi="Arial" w:cs="Arial"/>
                                    <w:b/>
                                    <w:bCs/>
                                    <w:i/>
                                  </w:rPr>
                                  <w:t>1</w:t>
                                </w:r>
                                <w:r>
                                  <w:rPr>
                                    <w:rFonts w:ascii="Arial" w:eastAsia="Arial" w:hAnsi="Arial" w:cs="Arial"/>
                                    <w:b/>
                                    <w:bCs/>
                                    <w:i/>
                                    <w:spacing w:val="12"/>
                                  </w:rPr>
                                  <w:t xml:space="preserve"> </w:t>
                                </w:r>
                                <w:r>
                                  <w:rPr>
                                    <w:rFonts w:ascii="Arial" w:eastAsia="Arial" w:hAnsi="Arial" w:cs="Arial"/>
                                    <w:b/>
                                    <w:bCs/>
                                    <w:i/>
                                    <w:spacing w:val="-1"/>
                                  </w:rPr>
                                  <w:t>(Satisfaction</w:t>
                                </w:r>
                                <w:r>
                                  <w:rPr>
                                    <w:rFonts w:ascii="Arial" w:eastAsia="Arial" w:hAnsi="Arial" w:cs="Arial"/>
                                    <w:b/>
                                    <w:bCs/>
                                    <w:i/>
                                    <w:spacing w:val="50"/>
                                  </w:rPr>
                                  <w:t xml:space="preserve"> </w:t>
                                </w:r>
                                <w:r>
                                  <w:rPr>
                                    <w:rFonts w:ascii="Arial" w:eastAsia="Arial" w:hAnsi="Arial" w:cs="Arial"/>
                                    <w:b/>
                                    <w:bCs/>
                                    <w:i/>
                                    <w:spacing w:val="-1"/>
                                  </w:rPr>
                                  <w:t>Certificate)</w:t>
                                </w:r>
                                <w:r>
                                  <w:rPr>
                                    <w:rFonts w:ascii="Arial" w:eastAsia="Arial" w:hAnsi="Arial" w:cs="Arial"/>
                                    <w:b/>
                                    <w:bCs/>
                                    <w:i/>
                                    <w:spacing w:val="51"/>
                                  </w:rPr>
                                  <w:t xml:space="preserve"> </w:t>
                                </w:r>
                                <w:r>
                                  <w:rPr>
                                    <w:rFonts w:ascii="Arial" w:eastAsia="Arial" w:hAnsi="Arial" w:cs="Arial"/>
                                    <w:b/>
                                    <w:bCs/>
                                    <w:i/>
                                    <w:spacing w:val="-1"/>
                                  </w:rPr>
                                  <w:t>for</w:t>
                                </w:r>
                                <w:r>
                                  <w:rPr>
                                    <w:rFonts w:ascii="Arial" w:eastAsia="Arial" w:hAnsi="Arial" w:cs="Arial"/>
                                    <w:b/>
                                    <w:bCs/>
                                    <w:i/>
                                    <w:spacing w:val="53"/>
                                  </w:rPr>
                                  <w:t xml:space="preserve"> </w:t>
                                </w:r>
                                <w:r>
                                  <w:rPr>
                                    <w:rFonts w:ascii="Arial" w:eastAsia="Arial" w:hAnsi="Arial" w:cs="Arial"/>
                                    <w:b/>
                                    <w:bCs/>
                                    <w:i/>
                                    <w:spacing w:val="-1"/>
                                  </w:rPr>
                                  <w:t>use</w:t>
                                </w:r>
                                <w:r>
                                  <w:rPr>
                                    <w:rFonts w:ascii="Arial" w:eastAsia="Arial" w:hAnsi="Arial" w:cs="Arial"/>
                                    <w:b/>
                                    <w:bCs/>
                                    <w:i/>
                                    <w:spacing w:val="52"/>
                                  </w:rPr>
                                  <w:t xml:space="preserve"> </w:t>
                                </w:r>
                                <w:r>
                                  <w:rPr>
                                    <w:rFonts w:ascii="Arial" w:eastAsia="Arial" w:hAnsi="Arial" w:cs="Arial"/>
                                    <w:b/>
                                    <w:bCs/>
                                    <w:i/>
                                    <w:spacing w:val="-1"/>
                                  </w:rPr>
                                  <w:t>in</w:t>
                                </w:r>
                                <w:r>
                                  <w:rPr>
                                    <w:rFonts w:ascii="Arial" w:eastAsia="Arial" w:hAnsi="Arial" w:cs="Arial"/>
                                    <w:b/>
                                    <w:bCs/>
                                    <w:i/>
                                    <w:spacing w:val="52"/>
                                  </w:rPr>
                                  <w:t xml:space="preserve"> </w:t>
                                </w:r>
                                <w:r>
                                  <w:rPr>
                                    <w:rFonts w:ascii="Arial" w:eastAsia="Arial" w:hAnsi="Arial" w:cs="Arial"/>
                                    <w:b/>
                                    <w:bCs/>
                                    <w:i/>
                                    <w:spacing w:val="-1"/>
                                  </w:rPr>
                                  <w:t>respect</w:t>
                                </w:r>
                                <w:r>
                                  <w:rPr>
                                    <w:rFonts w:ascii="Arial" w:eastAsia="Arial" w:hAnsi="Arial" w:cs="Arial"/>
                                    <w:b/>
                                    <w:bCs/>
                                    <w:i/>
                                    <w:spacing w:val="53"/>
                                  </w:rPr>
                                  <w:t xml:space="preserve"> </w:t>
                                </w:r>
                                <w:r>
                                  <w:rPr>
                                    <w:rFonts w:ascii="Arial" w:eastAsia="Arial" w:hAnsi="Arial" w:cs="Arial"/>
                                    <w:b/>
                                    <w:bCs/>
                                    <w:i/>
                                    <w:spacing w:val="-1"/>
                                  </w:rPr>
                                  <w:t>of</w:t>
                                </w:r>
                                <w:r>
                                  <w:rPr>
                                    <w:rFonts w:ascii="Arial" w:eastAsia="Arial" w:hAnsi="Arial" w:cs="Arial"/>
                                    <w:b/>
                                    <w:bCs/>
                                    <w:i/>
                                    <w:spacing w:val="53"/>
                                  </w:rPr>
                                  <w:t xml:space="preserve"> </w:t>
                                </w:r>
                                <w:r>
                                  <w:rPr>
                                    <w:rFonts w:ascii="Arial" w:eastAsia="Arial" w:hAnsi="Arial" w:cs="Arial"/>
                                    <w:b/>
                                    <w:bCs/>
                                    <w:i/>
                                    <w:spacing w:val="-1"/>
                                  </w:rPr>
                                  <w:t>Achievement</w:t>
                                </w:r>
                                <w:r>
                                  <w:rPr>
                                    <w:rFonts w:ascii="Arial" w:eastAsia="Arial" w:hAnsi="Arial" w:cs="Arial"/>
                                    <w:b/>
                                    <w:bCs/>
                                    <w:i/>
                                    <w:spacing w:val="54"/>
                                  </w:rPr>
                                  <w:t xml:space="preserve"> </w:t>
                                </w:r>
                                <w:r>
                                  <w:rPr>
                                    <w:rFonts w:ascii="Arial" w:eastAsia="Arial" w:hAnsi="Arial" w:cs="Arial"/>
                                    <w:b/>
                                    <w:bCs/>
                                    <w:i/>
                                    <w:spacing w:val="-1"/>
                                  </w:rPr>
                                  <w:t>of</w:t>
                                </w:r>
                                <w:r>
                                  <w:rPr>
                                    <w:rFonts w:ascii="Arial" w:eastAsia="Arial" w:hAnsi="Arial" w:cs="Arial"/>
                                    <w:b/>
                                    <w:bCs/>
                                    <w:i/>
                                    <w:spacing w:val="53"/>
                                  </w:rPr>
                                  <w:t xml:space="preserve"> </w:t>
                                </w:r>
                                <w:r>
                                  <w:rPr>
                                    <w:rFonts w:ascii="Arial" w:eastAsia="Arial" w:hAnsi="Arial" w:cs="Arial"/>
                                    <w:b/>
                                    <w:bCs/>
                                    <w:i/>
                                    <w:spacing w:val="-1"/>
                                  </w:rPr>
                                  <w:t>any</w:t>
                                </w:r>
                                <w:r>
                                  <w:rPr>
                                    <w:rFonts w:ascii="Arial" w:eastAsia="Arial" w:hAnsi="Arial" w:cs="Arial"/>
                                    <w:b/>
                                    <w:bCs/>
                                    <w:i/>
                                    <w:spacing w:val="49"/>
                                  </w:rPr>
                                  <w:t xml:space="preserve"> </w:t>
                                </w:r>
                                <w:r>
                                  <w:rPr>
                                    <w:rFonts w:ascii="Arial" w:eastAsia="Arial" w:hAnsi="Arial" w:cs="Arial"/>
                                    <w:b/>
                                    <w:bCs/>
                                    <w:i/>
                                    <w:spacing w:val="-1"/>
                                  </w:rPr>
                                  <w:t>Milestones</w:t>
                                </w:r>
                                <w:r>
                                  <w:rPr>
                                    <w:rFonts w:ascii="Arial" w:eastAsia="Arial" w:hAnsi="Arial" w:cs="Arial"/>
                                    <w:b/>
                                    <w:bCs/>
                                    <w:i/>
                                    <w:spacing w:val="52"/>
                                  </w:rPr>
                                  <w:t xml:space="preserve"> </w:t>
                                </w:r>
                                <w:r>
                                  <w:rPr>
                                    <w:rFonts w:ascii="Arial" w:eastAsia="Arial" w:hAnsi="Arial" w:cs="Arial"/>
                                    <w:b/>
                                    <w:bCs/>
                                    <w:i/>
                                  </w:rPr>
                                  <w:t>in</w:t>
                                </w:r>
                                <w:r>
                                  <w:rPr>
                                    <w:rFonts w:ascii="Arial" w:eastAsia="Arial" w:hAnsi="Arial" w:cs="Arial"/>
                                    <w:b/>
                                    <w:bCs/>
                                    <w:i/>
                                    <w:spacing w:val="52"/>
                                  </w:rPr>
                                  <w:t xml:space="preserve"> </w:t>
                                </w:r>
                                <w:r>
                                  <w:rPr>
                                    <w:rFonts w:ascii="Arial" w:eastAsia="Arial" w:hAnsi="Arial" w:cs="Arial"/>
                                    <w:b/>
                                    <w:bCs/>
                                    <w:i/>
                                    <w:spacing w:val="-1"/>
                                  </w:rPr>
                                  <w:t>an</w:t>
                                </w:r>
                                <w:r>
                                  <w:rPr>
                                    <w:rFonts w:ascii="Arial" w:eastAsia="Arial" w:hAnsi="Arial" w:cs="Arial"/>
                                    <w:b/>
                                    <w:bCs/>
                                    <w:i/>
                                    <w:spacing w:val="30"/>
                                  </w:rPr>
                                  <w:t xml:space="preserve"> </w:t>
                                </w:r>
                                <w:r>
                                  <w:rPr>
                                    <w:rFonts w:ascii="Arial" w:eastAsia="Arial" w:hAnsi="Arial" w:cs="Arial"/>
                                    <w:b/>
                                    <w:bCs/>
                                    <w:i/>
                                    <w:spacing w:val="-1"/>
                                  </w:rPr>
                                  <w:t>Implementation</w:t>
                                </w:r>
                                <w:r>
                                  <w:rPr>
                                    <w:rFonts w:ascii="Arial" w:eastAsia="Arial" w:hAnsi="Arial" w:cs="Arial"/>
                                    <w:b/>
                                    <w:bCs/>
                                    <w:i/>
                                  </w:rPr>
                                  <w:t xml:space="preserve"> </w:t>
                                </w:r>
                                <w:r>
                                  <w:rPr>
                                    <w:rFonts w:ascii="Arial" w:eastAsia="Arial" w:hAnsi="Arial" w:cs="Arial"/>
                                    <w:b/>
                                    <w:bCs/>
                                    <w:i/>
                                    <w:spacing w:val="-1"/>
                                  </w:rPr>
                                  <w:t>Plan</w:t>
                                </w:r>
                                <w:r>
                                  <w:rPr>
                                    <w:rFonts w:ascii="Arial" w:eastAsia="Arial" w:hAnsi="Arial" w:cs="Arial"/>
                                    <w:b/>
                                    <w:bCs/>
                                    <w:i/>
                                    <w:spacing w:val="-2"/>
                                  </w:rPr>
                                  <w:t xml:space="preserve"> </w:t>
                                </w:r>
                                <w:r>
                                  <w:rPr>
                                    <w:rFonts w:ascii="Arial" w:eastAsia="Arial" w:hAnsi="Arial" w:cs="Arial"/>
                                    <w:b/>
                                    <w:bCs/>
                                    <w:i/>
                                    <w:spacing w:val="-1"/>
                                  </w:rPr>
                                  <w:t xml:space="preserve">(if </w:t>
                                </w:r>
                                <w:r>
                                  <w:rPr>
                                    <w:rFonts w:ascii="Arial" w:eastAsia="Arial" w:hAnsi="Arial" w:cs="Arial"/>
                                    <w:b/>
                                    <w:bCs/>
                                    <w:i/>
                                    <w:spacing w:val="-2"/>
                                  </w:rPr>
                                  <w:t>any)]</w:t>
                                </w:r>
                              </w:p>
                            </w:txbxContent>
                          </wps:txbx>
                          <wps:bodyPr rot="0" vert="horz" wrap="square" lIns="0" tIns="0" rIns="0" bIns="0" anchor="t" anchorCtr="0" upright="1">
                            <a:noAutofit/>
                          </wps:bodyPr>
                        </wps:wsp>
                      </wpg:grpSp>
                    </wpg:wgp>
                  </a:graphicData>
                </a:graphic>
              </wp:inline>
            </w:drawing>
          </mc:Choice>
          <mc:Fallback>
            <w:pict>
              <v:group w14:anchorId="6785E35B" id="Group 3093" o:spid="_x0000_s1257" style="width:424.4pt;height:88.6pt;mso-position-horizontal-relative:char;mso-position-vertical-relative:line" coordsize="8488,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">
                <v:group id="Group 3107" o:spid="_x0000_s1258" style="position:absolute;width:8484;height:255"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shape id="Freeform 3108" o:spid="_x0000_s1259" style="position:absolute;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Uh8YA&#10;AADdAAAADwAAAGRycy9kb3ducmV2LnhtbESP0UoDMRRE3wv+Q7hC39rstii6Ni0itBQsLa5+wGVz&#10;3azd3MQkbde/NwXBx2FmzjCL1WB7caYQO8cKymkBgrhxuuNWwcf7evIAIiZkjb1jUvBDEVbLm9EC&#10;K+0u/EbnOrUiQzhWqMCk5CspY2PIYpw6T5y9TxcspixDK3XAS4bbXs6K4l5a7DgvGPT0Yqg51ier&#10;YF8evvys/z6+7rabu/C4qw/G10qNb4fnJxCJhvQf/mtvtYJ5Wcz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UUh8YAAADdAAAADwAAAAAAAAAAAAAAAACYAgAAZHJz&#10;L2Rvd25yZXYueG1sUEsFBgAAAAAEAAQA9QAAAIsDAAAAAA==&#10;" path="m,254r8484,l8484,,,,,254xe" fillcolor="lime" stroked="f">
                    <v:path arrowok="t" o:connecttype="custom" o:connectlocs="0,254;8484,254;8484,0;0,0;0,254" o:connectangles="0,0,0,0,0"/>
                  </v:shape>
                </v:group>
                <v:group id="Group 3105" o:spid="_x0000_s1260" style="position:absolute;top:254;width:8484;height:252" coordorigin=",254"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Freeform 3106" o:spid="_x0000_s1261" style="position:absolute;top:254;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dOMYA&#10;AADdAAAADwAAAGRycy9kb3ducmV2LnhtbESPT2vCQBTE70K/w/IKvelGxT+krlJEofVijYLXZ/Y1&#10;ic2+DdltEr+9Kwg9DjPzG2ax6kwpGqpdYVnBcBCBIE6tLjhTcDpu+3MQziNrLC2Tghs5WC1feguM&#10;tW35QE3iMxEg7GJUkHtfxVK6NCeDbmAr4uD92NqgD7LOpK6xDXBTylEUTaXBgsNCjhWtc0p/kz+j&#10;YDM+VOfdZbvffOlrc521341NMqXeXruPdxCeOv8ffrY/tYLxMJrA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dOMYAAADdAAAADwAAAAAAAAAAAAAAAACYAgAAZHJz&#10;L2Rvd25yZXYueG1sUEsFBgAAAAAEAAQA9QAAAIsDAAAAAA==&#10;" path="m,252r8484,l8484,,,,,252xe" fillcolor="lime" stroked="f">
                    <v:path arrowok="t" o:connecttype="custom" o:connectlocs="0,506;8484,506;8484,254;0,254;0,506" o:connectangles="0,0,0,0,0"/>
                  </v:shape>
                </v:group>
                <v:group id="Group 3103" o:spid="_x0000_s1262" style="position:absolute;top:506;width:8484;height:255" coordorigin=",506"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shape id="Freeform 3104" o:spid="_x0000_s1263" style="position:absolute;top:506;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ShMYA&#10;AADdAAAADwAAAGRycy9kb3ducmV2LnhtbESP0UoDMRRE3wX/IVzBN5vdila3TYsISsHS0tUPuGxu&#10;N2s3NzGJ7fr3TUHo4zAzZ5jZYrC9OFCInWMF5agAQdw43XGr4Ovz7e4JREzIGnvHpOCPIizm11cz&#10;rLQ78pYOdWpFhnCsUIFJyVdSxsaQxThynjh7OxcspixDK3XAY4bbXo6L4lFa7DgvGPT0aqjZ179W&#10;wbrcfPtx/7P/WC3fH8Lzqt4YXyt1ezO8TEEkGtIl/N9eagX3ZTGB85v8BO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ShMYAAADdAAAADwAAAAAAAAAAAAAAAACYAgAAZHJz&#10;L2Rvd25yZXYueG1sUEsFBgAAAAAEAAQA9QAAAIsDAAAAAA==&#10;" path="m,255r8484,l8484,,,,,255xe" fillcolor="lime" stroked="f">
                    <v:path arrowok="t" o:connecttype="custom" o:connectlocs="0,761;8484,761;8484,506;0,506;0,761" o:connectangles="0,0,0,0,0"/>
                  </v:shape>
                </v:group>
                <v:group id="Group 3101" o:spid="_x0000_s1264" style="position:absolute;top:761;width:8484;height:252" coordorigin=",761"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shape id="Freeform 3102" o:spid="_x0000_s1265" style="position:absolute;top:761;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XPcYA&#10;AADdAAAADwAAAGRycy9kb3ducmV2LnhtbESPT2vCQBTE70K/w/IKvelGBf+krlJEofVijYLXZ/Y1&#10;ic2+DdltEr+9Kwg9DjPzG2ax6kwpGqpdYVnBcBCBIE6tLjhTcDpu+zMQziNrLC2Tghs5WC1feguM&#10;tW35QE3iMxEg7GJUkHtfxVK6NCeDbmAr4uD92NqgD7LOpK6xDXBTylEUTaTBgsNCjhWtc0p/kz+j&#10;YDM+VOfdZbvffOlrc522341NMqXeXruPdxCeOv8ffrY/tYLxMJrD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XPcYAAADdAAAADwAAAAAAAAAAAAAAAACYAgAAZHJz&#10;L2Rvd25yZXYueG1sUEsFBgAAAAAEAAQA9QAAAIsDAAAAAA==&#10;" path="m,252r8484,l8484,,,,,252xe" fillcolor="lime" stroked="f">
                    <v:path arrowok="t" o:connecttype="custom" o:connectlocs="0,1013;8484,1013;8484,761;0,761;0,1013" o:connectangles="0,0,0,0,0"/>
                  </v:shape>
                </v:group>
                <v:group id="Group 3099" o:spid="_x0000_s1266" style="position:absolute;top:1013;width:8484;height:252" coordorigin=",1013"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3100" o:spid="_x0000_s1267" style="position:absolute;top:1013;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N5sUA&#10;AADdAAAADwAAAGRycy9kb3ducmV2LnhtbESPQWvCQBSE7wX/w/IK3uomCiqpqxRRUC/WWOj1Nfua&#10;xGbfhuyaxH/vFgSPw8x8wyxWvalES40rLSuIRxEI4szqknMFX+ft2xyE88gaK8uk4EYOVsvBywIT&#10;bTs+UZv6XAQIuwQVFN7XiZQuK8igG9maOHi/tjHog2xyqRvsAtxUchxFU2mw5LBQYE3rgrK/9GoU&#10;bCan+vvwsz1u9vrSXmbdZ2vTXKnha//xDsJT75/hR3unFUziOIb/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I3mxQAAAN0AAAAPAAAAAAAAAAAAAAAAAJgCAABkcnMv&#10;ZG93bnJldi54bWxQSwUGAAAAAAQABAD1AAAAigMAAAAA&#10;" path="m,252r8484,l8484,,,,,252xe" fillcolor="lime" stroked="f">
                    <v:path arrowok="t" o:connecttype="custom" o:connectlocs="0,1265;8484,1265;8484,1013;0,1013;0,1265" o:connectangles="0,0,0,0,0"/>
                  </v:shape>
                </v:group>
                <v:group id="Group 3097" o:spid="_x0000_s1268" style="position:absolute;top:1265;width:8484;height:255" coordorigin=",1265"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Freeform 3098" o:spid="_x0000_s1269" style="position:absolute;top:1265;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CWsYA&#10;AADdAAAADwAAAGRycy9kb3ducmV2LnhtbESP0UoDMRRE3wv+Q7hC39rstii6Ni0itBQsLa5+wGVz&#10;3azd3MQkbde/NwXBx2FmzjCL1WB7caYQO8cKymkBgrhxuuNWwcf7evIAIiZkjb1jUvBDEVbLm9EC&#10;K+0u/EbnOrUiQzhWqMCk5CspY2PIYpw6T5y9TxcspixDK3XAS4bbXs6K4l5a7DgvGPT0Yqg51ier&#10;YF8evvys/z6+7rabu/C4qw/G10qNb4fnJxCJhvQf/mtvtYJ5Wc7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yCWsYAAADdAAAADwAAAAAAAAAAAAAAAACYAgAAZHJz&#10;L2Rvd25yZXYueG1sUEsFBgAAAAAEAAQA9QAAAIsDAAAAAA==&#10;" path="m,254r8484,l8484,,,,,254xe" fillcolor="lime" stroked="f">
                    <v:path arrowok="t" o:connecttype="custom" o:connectlocs="0,1519;8484,1519;8484,1265;0,1265;0,1519" o:connectangles="0,0,0,0,0"/>
                  </v:shape>
                </v:group>
                <v:group id="Group 3094" o:spid="_x0000_s1270" style="position:absolute;top:1519;width:3010;height:252" coordorigin=",1519" coordsize="301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shape id="Freeform 3096" o:spid="_x0000_s1271" style="position:absolute;top:1519;width:3010;height:252;visibility:visible;mso-wrap-style:square;v-text-anchor:top" coordsize="301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frMYA&#10;AADdAAAADwAAAGRycy9kb3ducmV2LnhtbESPQWsCMRSE7wX/Q3hCbzW71RZZjVIKSqE9VN2Dx+fm&#10;uVndvGyTVNd/3xQKPQ4z8w0zX/a2FRfyoXGsIB9lIIgrpxuuFZS71cMURIjIGlvHpOBGAZaLwd0c&#10;C+2uvKHLNtYiQTgUqMDE2BVShsqQxTByHXHyjs5bjEn6WmqP1wS3rXzMsmdpseG0YLCjV0PVeftt&#10;Faw6czKTz6rs330bP+xXuT7sM6Xuh/3LDESkPv6H/9pvWsE4z5/g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frMYAAADdAAAADwAAAAAAAAAAAAAAAACYAgAAZHJz&#10;L2Rvd25yZXYueG1sUEsFBgAAAAAEAAQA9QAAAIsDAAAAAA==&#10;" path="m,252r3010,l3010,,,,,252xe" fillcolor="lime" stroked="f">
                    <v:path arrowok="t" o:connecttype="custom" o:connectlocs="0,1771;3010,1771;3010,1519;0,1519;0,1771" o:connectangles="0,0,0,0,0"/>
                  </v:shape>
                  <v:shape id="Text Box 3095" o:spid="_x0000_s1272" type="#_x0000_t202" style="position:absolute;width:8488;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Dv8YA&#10;AADdAAAADwAAAGRycy9kb3ducmV2LnhtbESPQWvCQBSE74X+h+UJvTWbtBDa6CpSWhAKYkwPHp/Z&#10;Z7KYfZtmV03/vSsUPA4z8w0zW4y2E2cavHGsIEtSEMS104YbBT/V1/MbCB+QNXaOScEfeVjMHx9m&#10;WGh34ZLO29CICGFfoII2hL6Q0tctWfSJ64mjd3CDxRDl0Eg94CXCbSdf0jSXFg3HhRZ7+mipPm5P&#10;VsFyx+Wn+V3vN+WhNFX1nvJ3flTqaTIupyACjeEe/m+vtILXLMv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Dv8YAAADdAAAADwAAAAAAAAAAAAAAAACYAgAAZHJz&#10;L2Rvd25yZXYueG1sUEsFBgAAAAAEAAQA9QAAAIsDAAAAAA==&#10;" filled="f" stroked="f">
                    <v:textbox inset="0,0,0,0">
                      <w:txbxContent>
                        <w:p w:rsidR="005D2B81" w:rsidRDefault="005D2B81" w:rsidP="008918FA">
                          <w:pPr>
                            <w:jc w:val="both"/>
                            <w:rPr>
                              <w:rFonts w:ascii="Arial" w:eastAsia="Arial" w:hAnsi="Arial" w:cs="Arial"/>
                            </w:rPr>
                          </w:pPr>
                          <w:r>
                            <w:rPr>
                              <w:rFonts w:ascii="Arial" w:eastAsia="Arial" w:hAnsi="Arial" w:cs="Arial"/>
                              <w:b/>
                              <w:bCs/>
                              <w:i/>
                              <w:spacing w:val="-1"/>
                            </w:rPr>
                            <w:t>[Guidance</w:t>
                          </w:r>
                          <w:r>
                            <w:rPr>
                              <w:rFonts w:ascii="Arial" w:eastAsia="Arial" w:hAnsi="Arial" w:cs="Arial"/>
                              <w:b/>
                              <w:bCs/>
                              <w:i/>
                              <w:spacing w:val="22"/>
                            </w:rPr>
                            <w:t xml:space="preserve"> </w:t>
                          </w:r>
                          <w:r>
                            <w:rPr>
                              <w:rFonts w:ascii="Arial" w:eastAsia="Arial" w:hAnsi="Arial" w:cs="Arial"/>
                              <w:b/>
                              <w:bCs/>
                              <w:i/>
                              <w:spacing w:val="-1"/>
                            </w:rPr>
                            <w:t>Note:</w:t>
                          </w:r>
                          <w:r>
                            <w:rPr>
                              <w:rFonts w:ascii="Arial" w:eastAsia="Arial" w:hAnsi="Arial" w:cs="Arial"/>
                              <w:b/>
                              <w:bCs/>
                              <w:i/>
                              <w:spacing w:val="23"/>
                            </w:rPr>
                            <w:t xml:space="preserve"> </w:t>
                          </w:r>
                          <w:r>
                            <w:rPr>
                              <w:rFonts w:ascii="Arial" w:eastAsia="Arial" w:hAnsi="Arial" w:cs="Arial"/>
                              <w:b/>
                              <w:bCs/>
                              <w:i/>
                              <w:spacing w:val="-2"/>
                            </w:rPr>
                            <w:t>Consider</w:t>
                          </w:r>
                          <w:r>
                            <w:rPr>
                              <w:rFonts w:ascii="Arial" w:eastAsia="Arial" w:hAnsi="Arial" w:cs="Arial"/>
                              <w:b/>
                              <w:bCs/>
                              <w:i/>
                              <w:spacing w:val="23"/>
                            </w:rPr>
                            <w:t xml:space="preserve"> </w:t>
                          </w:r>
                          <w:r>
                            <w:rPr>
                              <w:rFonts w:ascii="Arial" w:eastAsia="Arial" w:hAnsi="Arial" w:cs="Arial"/>
                              <w:b/>
                              <w:bCs/>
                              <w:i/>
                              <w:spacing w:val="-1"/>
                            </w:rPr>
                            <w:t>the</w:t>
                          </w:r>
                          <w:r>
                            <w:rPr>
                              <w:rFonts w:ascii="Arial" w:eastAsia="Arial" w:hAnsi="Arial" w:cs="Arial"/>
                              <w:b/>
                              <w:bCs/>
                              <w:i/>
                              <w:spacing w:val="22"/>
                            </w:rPr>
                            <w:t xml:space="preserve"> </w:t>
                          </w:r>
                          <w:r>
                            <w:rPr>
                              <w:rFonts w:ascii="Arial" w:eastAsia="Arial" w:hAnsi="Arial" w:cs="Arial"/>
                              <w:b/>
                              <w:bCs/>
                              <w:i/>
                              <w:spacing w:val="-1"/>
                            </w:rPr>
                            <w:t>Guidance</w:t>
                          </w:r>
                          <w:r>
                            <w:rPr>
                              <w:rFonts w:ascii="Arial" w:eastAsia="Arial" w:hAnsi="Arial" w:cs="Arial"/>
                              <w:b/>
                              <w:bCs/>
                              <w:i/>
                              <w:spacing w:val="22"/>
                            </w:rPr>
                            <w:t xml:space="preserve"> </w:t>
                          </w:r>
                          <w:r>
                            <w:rPr>
                              <w:rFonts w:ascii="Arial" w:eastAsia="Arial" w:hAnsi="Arial" w:cs="Arial"/>
                              <w:b/>
                              <w:bCs/>
                              <w:i/>
                              <w:spacing w:val="-1"/>
                            </w:rPr>
                            <w:t>Note</w:t>
                          </w:r>
                          <w:r>
                            <w:rPr>
                              <w:rFonts w:ascii="Arial" w:eastAsia="Arial" w:hAnsi="Arial" w:cs="Arial"/>
                              <w:b/>
                              <w:bCs/>
                              <w:i/>
                              <w:spacing w:val="19"/>
                            </w:rPr>
                            <w:t xml:space="preserve"> </w:t>
                          </w:r>
                          <w:r>
                            <w:rPr>
                              <w:rFonts w:ascii="Arial" w:eastAsia="Arial" w:hAnsi="Arial" w:cs="Arial"/>
                              <w:b/>
                              <w:bCs/>
                              <w:i/>
                              <w:spacing w:val="-1"/>
                            </w:rPr>
                            <w:t>on</w:t>
                          </w:r>
                          <w:r>
                            <w:rPr>
                              <w:rFonts w:ascii="Arial" w:eastAsia="Arial" w:hAnsi="Arial" w:cs="Arial"/>
                              <w:b/>
                              <w:bCs/>
                              <w:i/>
                              <w:spacing w:val="22"/>
                            </w:rPr>
                            <w:t xml:space="preserve"> </w:t>
                          </w:r>
                          <w:r>
                            <w:rPr>
                              <w:rFonts w:ascii="Arial" w:eastAsia="Arial" w:hAnsi="Arial" w:cs="Arial"/>
                              <w:b/>
                              <w:bCs/>
                              <w:i/>
                              <w:spacing w:val="-1"/>
                            </w:rPr>
                            <w:t>Testing</w:t>
                          </w:r>
                          <w:r>
                            <w:rPr>
                              <w:rFonts w:ascii="Arial" w:eastAsia="Arial" w:hAnsi="Arial" w:cs="Arial"/>
                              <w:b/>
                              <w:bCs/>
                              <w:i/>
                              <w:spacing w:val="22"/>
                            </w:rPr>
                            <w:t xml:space="preserve"> </w:t>
                          </w:r>
                          <w:r>
                            <w:rPr>
                              <w:rFonts w:ascii="Arial" w:eastAsia="Arial" w:hAnsi="Arial" w:cs="Arial"/>
                              <w:b/>
                              <w:bCs/>
                              <w:i/>
                            </w:rPr>
                            <w:t>in</w:t>
                          </w:r>
                          <w:r>
                            <w:rPr>
                              <w:rFonts w:ascii="Arial" w:eastAsia="Arial" w:hAnsi="Arial" w:cs="Arial"/>
                              <w:b/>
                              <w:bCs/>
                              <w:i/>
                              <w:spacing w:val="22"/>
                            </w:rPr>
                            <w:t xml:space="preserve"> </w:t>
                          </w:r>
                          <w:r>
                            <w:rPr>
                              <w:rFonts w:ascii="Arial" w:eastAsia="Arial" w:hAnsi="Arial" w:cs="Arial"/>
                              <w:b/>
                              <w:bCs/>
                              <w:i/>
                              <w:spacing w:val="-1"/>
                            </w:rPr>
                            <w:t>the</w:t>
                          </w:r>
                          <w:r>
                            <w:rPr>
                              <w:rFonts w:ascii="Arial" w:eastAsia="Arial" w:hAnsi="Arial" w:cs="Arial"/>
                              <w:b/>
                              <w:bCs/>
                              <w:i/>
                              <w:spacing w:val="22"/>
                            </w:rPr>
                            <w:t xml:space="preserve"> </w:t>
                          </w:r>
                          <w:r>
                            <w:rPr>
                              <w:rFonts w:ascii="Arial" w:eastAsia="Arial" w:hAnsi="Arial" w:cs="Arial"/>
                              <w:b/>
                              <w:bCs/>
                              <w:i/>
                              <w:spacing w:val="-1"/>
                            </w:rPr>
                            <w:t>Template</w:t>
                          </w:r>
                          <w:r>
                            <w:rPr>
                              <w:rFonts w:ascii="Arial" w:eastAsia="Arial" w:hAnsi="Arial" w:cs="Arial"/>
                              <w:b/>
                              <w:bCs/>
                              <w:i/>
                              <w:spacing w:val="20"/>
                            </w:rPr>
                            <w:t xml:space="preserve"> </w:t>
                          </w:r>
                          <w:r>
                            <w:rPr>
                              <w:rFonts w:ascii="Arial" w:eastAsia="Arial" w:hAnsi="Arial" w:cs="Arial"/>
                              <w:b/>
                              <w:bCs/>
                              <w:i/>
                              <w:spacing w:val="-1"/>
                            </w:rPr>
                            <w:t>Order</w:t>
                          </w:r>
                          <w:r>
                            <w:rPr>
                              <w:rFonts w:ascii="Arial" w:eastAsia="Arial" w:hAnsi="Arial" w:cs="Arial"/>
                              <w:b/>
                              <w:bCs/>
                              <w:i/>
                              <w:spacing w:val="60"/>
                            </w:rPr>
                            <w:t xml:space="preserve"> </w:t>
                          </w:r>
                          <w:r>
                            <w:rPr>
                              <w:rFonts w:ascii="Arial" w:eastAsia="Arial" w:hAnsi="Arial" w:cs="Arial"/>
                              <w:b/>
                              <w:bCs/>
                              <w:i/>
                              <w:spacing w:val="-1"/>
                            </w:rPr>
                            <w:t>Form</w:t>
                          </w:r>
                          <w:r>
                            <w:rPr>
                              <w:rFonts w:ascii="Arial" w:eastAsia="Arial" w:hAnsi="Arial" w:cs="Arial"/>
                              <w:b/>
                              <w:bCs/>
                              <w:i/>
                              <w:spacing w:val="18"/>
                            </w:rPr>
                            <w:t xml:space="preserve"> </w:t>
                          </w:r>
                          <w:r>
                            <w:rPr>
                              <w:rFonts w:ascii="Arial" w:eastAsia="Arial" w:hAnsi="Arial" w:cs="Arial"/>
                              <w:b/>
                              <w:bCs/>
                              <w:i/>
                              <w:spacing w:val="-1"/>
                            </w:rPr>
                            <w:t>and</w:t>
                          </w:r>
                          <w:r>
                            <w:rPr>
                              <w:rFonts w:ascii="Arial" w:eastAsia="Arial" w:hAnsi="Arial" w:cs="Arial"/>
                              <w:b/>
                              <w:bCs/>
                              <w:i/>
                              <w:spacing w:val="17"/>
                            </w:rPr>
                            <w:t xml:space="preserve"> </w:t>
                          </w:r>
                          <w:r>
                            <w:rPr>
                              <w:rFonts w:ascii="Arial" w:eastAsia="Arial" w:hAnsi="Arial" w:cs="Arial"/>
                              <w:b/>
                              <w:bCs/>
                              <w:i/>
                              <w:spacing w:val="-1"/>
                            </w:rPr>
                            <w:t>Clause</w:t>
                          </w:r>
                          <w:r>
                            <w:rPr>
                              <w:rFonts w:ascii="Arial" w:eastAsia="Arial" w:hAnsi="Arial" w:cs="Arial"/>
                              <w:b/>
                              <w:bCs/>
                              <w:i/>
                              <w:spacing w:val="17"/>
                            </w:rPr>
                            <w:t xml:space="preserve"> </w:t>
                          </w:r>
                          <w:hyperlink w:anchor="_bookmark92" w:history="1">
                            <w:r>
                              <w:rPr>
                                <w:rFonts w:ascii="Arial" w:eastAsia="Arial" w:hAnsi="Arial" w:cs="Arial"/>
                                <w:b/>
                                <w:bCs/>
                                <w:i/>
                                <w:spacing w:val="-1"/>
                              </w:rPr>
                              <w:t>11.6</w:t>
                            </w:r>
                          </w:hyperlink>
                          <w:r>
                            <w:rPr>
                              <w:rFonts w:ascii="Arial" w:eastAsia="Arial" w:hAnsi="Arial" w:cs="Arial"/>
                              <w:b/>
                              <w:bCs/>
                              <w:i/>
                              <w:spacing w:val="17"/>
                            </w:rPr>
                            <w:t xml:space="preserve"> </w:t>
                          </w:r>
                          <w:r>
                            <w:rPr>
                              <w:rFonts w:ascii="Arial" w:eastAsia="Arial" w:hAnsi="Arial" w:cs="Arial"/>
                              <w:b/>
                              <w:bCs/>
                              <w:i/>
                              <w:spacing w:val="-1"/>
                            </w:rPr>
                            <w:t>of</w:t>
                          </w:r>
                          <w:r>
                            <w:rPr>
                              <w:rFonts w:ascii="Arial" w:eastAsia="Arial" w:hAnsi="Arial" w:cs="Arial"/>
                              <w:b/>
                              <w:bCs/>
                              <w:i/>
                              <w:spacing w:val="19"/>
                            </w:rPr>
                            <w:t xml:space="preserve"> </w:t>
                          </w:r>
                          <w:r>
                            <w:rPr>
                              <w:rFonts w:ascii="Arial" w:eastAsia="Arial" w:hAnsi="Arial" w:cs="Arial"/>
                              <w:b/>
                              <w:bCs/>
                              <w:i/>
                              <w:spacing w:val="-1"/>
                            </w:rPr>
                            <w:t>the</w:t>
                          </w:r>
                          <w:r>
                            <w:rPr>
                              <w:rFonts w:ascii="Arial" w:eastAsia="Arial" w:hAnsi="Arial" w:cs="Arial"/>
                              <w:b/>
                              <w:bCs/>
                              <w:i/>
                              <w:spacing w:val="17"/>
                            </w:rPr>
                            <w:t xml:space="preserve"> </w:t>
                          </w:r>
                          <w:r>
                            <w:rPr>
                              <w:rFonts w:ascii="Arial" w:eastAsia="Arial" w:hAnsi="Arial" w:cs="Arial"/>
                              <w:b/>
                              <w:bCs/>
                              <w:i/>
                              <w:spacing w:val="-1"/>
                            </w:rPr>
                            <w:t>Template</w:t>
                          </w:r>
                          <w:r>
                            <w:rPr>
                              <w:rFonts w:ascii="Arial" w:eastAsia="Arial" w:hAnsi="Arial" w:cs="Arial"/>
                              <w:b/>
                              <w:bCs/>
                              <w:i/>
                              <w:spacing w:val="17"/>
                            </w:rPr>
                            <w:t xml:space="preserve"> </w:t>
                          </w:r>
                          <w:r>
                            <w:rPr>
                              <w:rFonts w:ascii="Arial" w:eastAsia="Arial" w:hAnsi="Arial" w:cs="Arial"/>
                              <w:b/>
                              <w:bCs/>
                              <w:i/>
                              <w:spacing w:val="-1"/>
                            </w:rPr>
                            <w:t>Call</w:t>
                          </w:r>
                          <w:r>
                            <w:rPr>
                              <w:rFonts w:ascii="Arial" w:eastAsia="Arial" w:hAnsi="Arial" w:cs="Arial"/>
                              <w:b/>
                              <w:bCs/>
                              <w:i/>
                              <w:spacing w:val="16"/>
                            </w:rPr>
                            <w:t xml:space="preserve"> </w:t>
                          </w:r>
                          <w:r>
                            <w:rPr>
                              <w:rFonts w:ascii="Arial" w:eastAsia="Arial" w:hAnsi="Arial" w:cs="Arial"/>
                              <w:b/>
                              <w:bCs/>
                              <w:i/>
                              <w:spacing w:val="-1"/>
                            </w:rPr>
                            <w:t>Off</w:t>
                          </w:r>
                          <w:r>
                            <w:rPr>
                              <w:rFonts w:ascii="Arial" w:eastAsia="Arial" w:hAnsi="Arial" w:cs="Arial"/>
                              <w:b/>
                              <w:bCs/>
                              <w:i/>
                              <w:spacing w:val="19"/>
                            </w:rPr>
                            <w:t xml:space="preserve"> </w:t>
                          </w:r>
                          <w:r>
                            <w:rPr>
                              <w:rFonts w:ascii="Arial" w:eastAsia="Arial" w:hAnsi="Arial" w:cs="Arial"/>
                              <w:b/>
                              <w:bCs/>
                              <w:i/>
                              <w:spacing w:val="-1"/>
                            </w:rPr>
                            <w:t>Terms.</w:t>
                          </w:r>
                          <w:r>
                            <w:rPr>
                              <w:rFonts w:ascii="Arial" w:eastAsia="Arial" w:hAnsi="Arial" w:cs="Arial"/>
                              <w:b/>
                              <w:bCs/>
                              <w:i/>
                              <w:spacing w:val="19"/>
                            </w:rPr>
                            <w:t xml:space="preserve"> </w:t>
                          </w:r>
                          <w:r>
                            <w:rPr>
                              <w:rFonts w:ascii="Arial" w:eastAsia="Arial" w:hAnsi="Arial" w:cs="Arial"/>
                              <w:b/>
                              <w:bCs/>
                              <w:i/>
                              <w:spacing w:val="-1"/>
                            </w:rPr>
                            <w:t>This</w:t>
                          </w:r>
                          <w:r>
                            <w:rPr>
                              <w:rFonts w:ascii="Arial" w:eastAsia="Arial" w:hAnsi="Arial" w:cs="Arial"/>
                              <w:b/>
                              <w:bCs/>
                              <w:i/>
                              <w:spacing w:val="17"/>
                            </w:rPr>
                            <w:t xml:space="preserve"> </w:t>
                          </w:r>
                          <w:r>
                            <w:rPr>
                              <w:rFonts w:ascii="Arial" w:eastAsia="Arial" w:hAnsi="Arial" w:cs="Arial"/>
                              <w:b/>
                              <w:bCs/>
                              <w:i/>
                              <w:spacing w:val="-2"/>
                            </w:rPr>
                            <w:t>Call</w:t>
                          </w:r>
                          <w:r>
                            <w:rPr>
                              <w:rFonts w:ascii="Arial" w:eastAsia="Arial" w:hAnsi="Arial" w:cs="Arial"/>
                              <w:b/>
                              <w:bCs/>
                              <w:i/>
                              <w:spacing w:val="19"/>
                            </w:rPr>
                            <w:t xml:space="preserve"> </w:t>
                          </w:r>
                          <w:r>
                            <w:rPr>
                              <w:rFonts w:ascii="Arial" w:eastAsia="Arial" w:hAnsi="Arial" w:cs="Arial"/>
                              <w:b/>
                              <w:bCs/>
                              <w:i/>
                              <w:spacing w:val="-1"/>
                            </w:rPr>
                            <w:t>Off</w:t>
                          </w:r>
                          <w:r>
                            <w:rPr>
                              <w:rFonts w:ascii="Arial" w:eastAsia="Arial" w:hAnsi="Arial" w:cs="Arial"/>
                              <w:b/>
                              <w:bCs/>
                              <w:i/>
                              <w:spacing w:val="16"/>
                            </w:rPr>
                            <w:t xml:space="preserve"> </w:t>
                          </w:r>
                          <w:r>
                            <w:rPr>
                              <w:rFonts w:ascii="Arial" w:eastAsia="Arial" w:hAnsi="Arial" w:cs="Arial"/>
                              <w:b/>
                              <w:bCs/>
                              <w:i/>
                              <w:spacing w:val="-1"/>
                            </w:rPr>
                            <w:t>Schedule</w:t>
                          </w:r>
                          <w:r>
                            <w:rPr>
                              <w:rFonts w:ascii="Arial" w:eastAsia="Arial" w:hAnsi="Arial" w:cs="Arial"/>
                              <w:b/>
                              <w:bCs/>
                              <w:i/>
                              <w:spacing w:val="17"/>
                            </w:rPr>
                            <w:t xml:space="preserve"> </w:t>
                          </w:r>
                          <w:r>
                            <w:rPr>
                              <w:rFonts w:ascii="Arial" w:eastAsia="Arial" w:hAnsi="Arial" w:cs="Arial"/>
                              <w:b/>
                              <w:bCs/>
                              <w:i/>
                            </w:rPr>
                            <w:t>is</w:t>
                          </w:r>
                          <w:r>
                            <w:rPr>
                              <w:rFonts w:ascii="Arial" w:eastAsia="Arial" w:hAnsi="Arial" w:cs="Arial"/>
                              <w:b/>
                              <w:bCs/>
                              <w:i/>
                              <w:spacing w:val="47"/>
                            </w:rPr>
                            <w:t xml:space="preserve"> </w:t>
                          </w:r>
                          <w:r>
                            <w:rPr>
                              <w:rFonts w:ascii="Arial" w:eastAsia="Arial" w:hAnsi="Arial" w:cs="Arial"/>
                              <w:b/>
                              <w:bCs/>
                              <w:i/>
                              <w:spacing w:val="-1"/>
                            </w:rPr>
                            <w:t>more</w:t>
                          </w:r>
                          <w:r>
                            <w:rPr>
                              <w:rFonts w:ascii="Arial" w:eastAsia="Arial" w:hAnsi="Arial" w:cs="Arial"/>
                              <w:b/>
                              <w:bCs/>
                              <w:i/>
                            </w:rPr>
                            <w:t xml:space="preserve"> </w:t>
                          </w:r>
                          <w:r>
                            <w:rPr>
                              <w:rFonts w:ascii="Arial" w:eastAsia="Arial" w:hAnsi="Arial" w:cs="Arial"/>
                              <w:b/>
                              <w:bCs/>
                              <w:i/>
                              <w:spacing w:val="-1"/>
                            </w:rPr>
                            <w:t>likely</w:t>
                          </w:r>
                          <w:r>
                            <w:rPr>
                              <w:rFonts w:ascii="Arial" w:eastAsia="Arial" w:hAnsi="Arial" w:cs="Arial"/>
                              <w:b/>
                              <w:bCs/>
                              <w:i/>
                            </w:rPr>
                            <w:t xml:space="preserve"> to</w:t>
                          </w:r>
                          <w:r>
                            <w:rPr>
                              <w:rFonts w:ascii="Arial" w:eastAsia="Arial" w:hAnsi="Arial" w:cs="Arial"/>
                              <w:b/>
                              <w:bCs/>
                              <w:i/>
                              <w:spacing w:val="3"/>
                            </w:rPr>
                            <w:t xml:space="preserve"> </w:t>
                          </w:r>
                          <w:r>
                            <w:rPr>
                              <w:rFonts w:ascii="Arial" w:eastAsia="Arial" w:hAnsi="Arial" w:cs="Arial"/>
                              <w:b/>
                              <w:bCs/>
                              <w:i/>
                              <w:spacing w:val="-1"/>
                            </w:rPr>
                            <w:t>be</w:t>
                          </w:r>
                          <w:r>
                            <w:rPr>
                              <w:rFonts w:ascii="Arial" w:eastAsia="Arial" w:hAnsi="Arial" w:cs="Arial"/>
                              <w:b/>
                              <w:bCs/>
                              <w:i/>
                            </w:rPr>
                            <w:t xml:space="preserve"> </w:t>
                          </w:r>
                          <w:r>
                            <w:rPr>
                              <w:rFonts w:ascii="Arial" w:eastAsia="Arial" w:hAnsi="Arial" w:cs="Arial"/>
                              <w:b/>
                              <w:bCs/>
                              <w:i/>
                              <w:spacing w:val="-1"/>
                            </w:rPr>
                            <w:t>relevant</w:t>
                          </w:r>
                          <w:r>
                            <w:rPr>
                              <w:rFonts w:ascii="Arial" w:eastAsia="Arial" w:hAnsi="Arial" w:cs="Arial"/>
                              <w:b/>
                              <w:bCs/>
                              <w:i/>
                              <w:spacing w:val="4"/>
                            </w:rPr>
                            <w:t xml:space="preserve"> </w:t>
                          </w:r>
                          <w:r>
                            <w:rPr>
                              <w:rFonts w:ascii="Arial" w:eastAsia="Arial" w:hAnsi="Arial" w:cs="Arial"/>
                              <w:b/>
                              <w:bCs/>
                              <w:i/>
                            </w:rPr>
                            <w:t xml:space="preserve">in </w:t>
                          </w:r>
                          <w:r>
                            <w:rPr>
                              <w:rFonts w:ascii="Arial" w:eastAsia="Arial" w:hAnsi="Arial" w:cs="Arial"/>
                              <w:b/>
                              <w:bCs/>
                              <w:i/>
                              <w:spacing w:val="-1"/>
                            </w:rPr>
                            <w:t>the</w:t>
                          </w:r>
                          <w:r>
                            <w:rPr>
                              <w:rFonts w:ascii="Arial" w:eastAsia="Arial" w:hAnsi="Arial" w:cs="Arial"/>
                              <w:b/>
                              <w:bCs/>
                              <w:i/>
                            </w:rPr>
                            <w:t xml:space="preserve"> </w:t>
                          </w:r>
                          <w:r>
                            <w:rPr>
                              <w:rFonts w:ascii="Arial" w:eastAsia="Arial" w:hAnsi="Arial" w:cs="Arial"/>
                              <w:b/>
                              <w:bCs/>
                              <w:i/>
                              <w:spacing w:val="-1"/>
                            </w:rPr>
                            <w:t>context</w:t>
                          </w:r>
                          <w:r>
                            <w:rPr>
                              <w:rFonts w:ascii="Arial" w:eastAsia="Arial" w:hAnsi="Arial" w:cs="Arial"/>
                              <w:b/>
                              <w:bCs/>
                              <w:i/>
                              <w:spacing w:val="4"/>
                            </w:rPr>
                            <w:t xml:space="preserve"> </w:t>
                          </w:r>
                          <w:r>
                            <w:rPr>
                              <w:rFonts w:ascii="Arial" w:eastAsia="Arial" w:hAnsi="Arial" w:cs="Arial"/>
                              <w:b/>
                              <w:bCs/>
                              <w:i/>
                              <w:spacing w:val="-2"/>
                            </w:rPr>
                            <w:t>of</w:t>
                          </w:r>
                          <w:r>
                            <w:rPr>
                              <w:rFonts w:ascii="Arial" w:eastAsia="Arial" w:hAnsi="Arial" w:cs="Arial"/>
                              <w:b/>
                              <w:bCs/>
                              <w:i/>
                              <w:spacing w:val="4"/>
                            </w:rPr>
                            <w:t xml:space="preserve"> </w:t>
                          </w:r>
                          <w:r>
                            <w:rPr>
                              <w:rFonts w:ascii="Arial" w:eastAsia="Arial" w:hAnsi="Arial" w:cs="Arial"/>
                              <w:b/>
                              <w:bCs/>
                              <w:i/>
                              <w:spacing w:val="-1"/>
                            </w:rPr>
                            <w:t>procuring</w:t>
                          </w:r>
                          <w:r>
                            <w:rPr>
                              <w:rFonts w:ascii="Arial" w:eastAsia="Arial" w:hAnsi="Arial" w:cs="Arial"/>
                              <w:b/>
                              <w:bCs/>
                              <w:i/>
                              <w:spacing w:val="5"/>
                            </w:rPr>
                            <w:t xml:space="preserve"> </w:t>
                          </w:r>
                          <w:r>
                            <w:rPr>
                              <w:rFonts w:ascii="Arial" w:eastAsia="Arial" w:hAnsi="Arial" w:cs="Arial"/>
                              <w:b/>
                              <w:bCs/>
                              <w:i/>
                              <w:spacing w:val="-1"/>
                            </w:rPr>
                            <w:t>complex,</w:t>
                          </w:r>
                          <w:r>
                            <w:rPr>
                              <w:rFonts w:ascii="Arial" w:eastAsia="Arial" w:hAnsi="Arial" w:cs="Arial"/>
                              <w:b/>
                              <w:bCs/>
                              <w:i/>
                              <w:spacing w:val="2"/>
                            </w:rPr>
                            <w:t xml:space="preserve"> </w:t>
                          </w:r>
                          <w:r>
                            <w:rPr>
                              <w:rFonts w:ascii="Arial" w:eastAsia="Arial" w:hAnsi="Arial" w:cs="Arial"/>
                              <w:b/>
                              <w:bCs/>
                              <w:i/>
                              <w:spacing w:val="-1"/>
                            </w:rPr>
                            <w:t>high</w:t>
                          </w:r>
                          <w:r>
                            <w:rPr>
                              <w:rFonts w:ascii="Arial" w:eastAsia="Arial" w:hAnsi="Arial" w:cs="Arial"/>
                              <w:b/>
                              <w:bCs/>
                              <w:i/>
                              <w:spacing w:val="-2"/>
                            </w:rPr>
                            <w:t xml:space="preserve"> </w:t>
                          </w:r>
                          <w:r>
                            <w:rPr>
                              <w:rFonts w:ascii="Arial" w:eastAsia="Arial" w:hAnsi="Arial" w:cs="Arial"/>
                              <w:b/>
                              <w:bCs/>
                              <w:i/>
                              <w:spacing w:val="-1"/>
                            </w:rPr>
                            <w:t>value</w:t>
                          </w:r>
                          <w:r>
                            <w:rPr>
                              <w:rFonts w:ascii="Arial" w:eastAsia="Arial" w:hAnsi="Arial" w:cs="Arial"/>
                              <w:b/>
                              <w:bCs/>
                              <w:i/>
                              <w:spacing w:val="3"/>
                            </w:rPr>
                            <w:t xml:space="preserve"> </w:t>
                          </w:r>
                          <w:r>
                            <w:rPr>
                              <w:rFonts w:ascii="Arial" w:eastAsia="Arial" w:hAnsi="Arial" w:cs="Arial"/>
                              <w:b/>
                              <w:bCs/>
                              <w:i/>
                              <w:spacing w:val="-1"/>
                            </w:rPr>
                            <w:t>and/or</w:t>
                          </w:r>
                          <w:r>
                            <w:rPr>
                              <w:rFonts w:ascii="Arial" w:eastAsia="Arial" w:hAnsi="Arial" w:cs="Arial"/>
                              <w:b/>
                              <w:bCs/>
                              <w:i/>
                              <w:spacing w:val="44"/>
                            </w:rPr>
                            <w:t xml:space="preserve"> </w:t>
                          </w:r>
                          <w:r>
                            <w:rPr>
                              <w:rFonts w:ascii="Arial" w:eastAsia="Arial" w:hAnsi="Arial" w:cs="Arial"/>
                              <w:b/>
                              <w:bCs/>
                              <w:i/>
                              <w:spacing w:val="-1"/>
                            </w:rPr>
                            <w:t>high</w:t>
                          </w:r>
                          <w:r>
                            <w:rPr>
                              <w:rFonts w:ascii="Arial" w:eastAsia="Arial" w:hAnsi="Arial" w:cs="Arial"/>
                              <w:b/>
                              <w:bCs/>
                              <w:i/>
                              <w:spacing w:val="22"/>
                            </w:rPr>
                            <w:t xml:space="preserve"> </w:t>
                          </w:r>
                          <w:r>
                            <w:rPr>
                              <w:rFonts w:ascii="Arial" w:eastAsia="Arial" w:hAnsi="Arial" w:cs="Arial"/>
                              <w:b/>
                              <w:bCs/>
                              <w:i/>
                              <w:spacing w:val="-1"/>
                            </w:rPr>
                            <w:t>importance</w:t>
                          </w:r>
                          <w:r>
                            <w:rPr>
                              <w:rFonts w:ascii="Arial" w:eastAsia="Arial" w:hAnsi="Arial" w:cs="Arial"/>
                              <w:b/>
                              <w:bCs/>
                              <w:i/>
                              <w:spacing w:val="22"/>
                            </w:rPr>
                            <w:t xml:space="preserve"> </w:t>
                          </w:r>
                          <w:r>
                            <w:rPr>
                              <w:rFonts w:ascii="Arial" w:eastAsia="Arial" w:hAnsi="Arial" w:cs="Arial"/>
                              <w:b/>
                              <w:bCs/>
                              <w:i/>
                              <w:spacing w:val="-2"/>
                            </w:rPr>
                            <w:t>Services</w:t>
                          </w:r>
                          <w:r>
                            <w:rPr>
                              <w:rFonts w:ascii="Arial" w:eastAsia="Arial" w:hAnsi="Arial" w:cs="Arial"/>
                              <w:b/>
                              <w:bCs/>
                              <w:i/>
                              <w:spacing w:val="22"/>
                            </w:rPr>
                            <w:t xml:space="preserve"> </w:t>
                          </w:r>
                          <w:r>
                            <w:rPr>
                              <w:rFonts w:ascii="Arial" w:eastAsia="Arial" w:hAnsi="Arial" w:cs="Arial"/>
                              <w:b/>
                              <w:bCs/>
                              <w:i/>
                              <w:spacing w:val="-1"/>
                            </w:rPr>
                            <w:t>where</w:t>
                          </w:r>
                          <w:r>
                            <w:rPr>
                              <w:rFonts w:ascii="Arial" w:eastAsia="Arial" w:hAnsi="Arial" w:cs="Arial"/>
                              <w:b/>
                              <w:bCs/>
                              <w:i/>
                              <w:spacing w:val="20"/>
                            </w:rPr>
                            <w:t xml:space="preserve"> </w:t>
                          </w:r>
                          <w:r>
                            <w:rPr>
                              <w:rFonts w:ascii="Arial" w:eastAsia="Arial" w:hAnsi="Arial" w:cs="Arial"/>
                              <w:b/>
                              <w:bCs/>
                              <w:i/>
                              <w:spacing w:val="-1"/>
                            </w:rPr>
                            <w:t>there</w:t>
                          </w:r>
                          <w:r>
                            <w:rPr>
                              <w:rFonts w:ascii="Arial" w:eastAsia="Arial" w:hAnsi="Arial" w:cs="Arial"/>
                              <w:b/>
                              <w:bCs/>
                              <w:i/>
                              <w:spacing w:val="19"/>
                            </w:rPr>
                            <w:t xml:space="preserve"> </w:t>
                          </w:r>
                          <w:r>
                            <w:rPr>
                              <w:rFonts w:ascii="Arial" w:eastAsia="Arial" w:hAnsi="Arial" w:cs="Arial"/>
                              <w:b/>
                              <w:bCs/>
                              <w:i/>
                            </w:rPr>
                            <w:t>is</w:t>
                          </w:r>
                          <w:r>
                            <w:rPr>
                              <w:rFonts w:ascii="Arial" w:eastAsia="Arial" w:hAnsi="Arial" w:cs="Arial"/>
                              <w:b/>
                              <w:bCs/>
                              <w:i/>
                              <w:spacing w:val="22"/>
                            </w:rPr>
                            <w:t xml:space="preserve"> </w:t>
                          </w:r>
                          <w:r>
                            <w:rPr>
                              <w:rFonts w:ascii="Arial" w:eastAsia="Arial" w:hAnsi="Arial" w:cs="Arial"/>
                              <w:b/>
                              <w:bCs/>
                              <w:i/>
                            </w:rPr>
                            <w:t>a</w:t>
                          </w:r>
                          <w:r>
                            <w:rPr>
                              <w:rFonts w:ascii="Arial" w:eastAsia="Arial" w:hAnsi="Arial" w:cs="Arial"/>
                              <w:b/>
                              <w:bCs/>
                              <w:i/>
                              <w:spacing w:val="22"/>
                            </w:rPr>
                            <w:t xml:space="preserve"> </w:t>
                          </w:r>
                          <w:r>
                            <w:rPr>
                              <w:rFonts w:ascii="Arial" w:eastAsia="Arial" w:hAnsi="Arial" w:cs="Arial"/>
                              <w:b/>
                              <w:bCs/>
                              <w:i/>
                              <w:spacing w:val="-2"/>
                            </w:rPr>
                            <w:t>need</w:t>
                          </w:r>
                          <w:r>
                            <w:rPr>
                              <w:rFonts w:ascii="Arial" w:eastAsia="Arial" w:hAnsi="Arial" w:cs="Arial"/>
                              <w:b/>
                              <w:bCs/>
                              <w:i/>
                              <w:spacing w:val="22"/>
                            </w:rPr>
                            <w:t xml:space="preserve"> </w:t>
                          </w:r>
                          <w:r>
                            <w:rPr>
                              <w:rFonts w:ascii="Arial" w:eastAsia="Arial" w:hAnsi="Arial" w:cs="Arial"/>
                              <w:b/>
                              <w:bCs/>
                              <w:i/>
                            </w:rPr>
                            <w:t>to</w:t>
                          </w:r>
                          <w:r>
                            <w:rPr>
                              <w:rFonts w:ascii="Arial" w:eastAsia="Arial" w:hAnsi="Arial" w:cs="Arial"/>
                              <w:b/>
                              <w:bCs/>
                              <w:i/>
                              <w:spacing w:val="22"/>
                            </w:rPr>
                            <w:t xml:space="preserve"> </w:t>
                          </w:r>
                          <w:r>
                            <w:rPr>
                              <w:rFonts w:ascii="Arial" w:eastAsia="Arial" w:hAnsi="Arial" w:cs="Arial"/>
                              <w:b/>
                              <w:bCs/>
                              <w:i/>
                              <w:spacing w:val="-1"/>
                            </w:rPr>
                            <w:t>test</w:t>
                          </w:r>
                          <w:r>
                            <w:rPr>
                              <w:rFonts w:ascii="Arial" w:eastAsia="Arial" w:hAnsi="Arial" w:cs="Arial"/>
                              <w:b/>
                              <w:bCs/>
                              <w:i/>
                              <w:spacing w:val="21"/>
                            </w:rPr>
                            <w:t xml:space="preserve"> </w:t>
                          </w:r>
                          <w:r>
                            <w:rPr>
                              <w:rFonts w:ascii="Arial" w:eastAsia="Arial" w:hAnsi="Arial" w:cs="Arial"/>
                              <w:b/>
                              <w:bCs/>
                              <w:i/>
                              <w:spacing w:val="-1"/>
                            </w:rPr>
                            <w:t>the</w:t>
                          </w:r>
                          <w:r>
                            <w:rPr>
                              <w:rFonts w:ascii="Arial" w:eastAsia="Arial" w:hAnsi="Arial" w:cs="Arial"/>
                              <w:b/>
                              <w:bCs/>
                              <w:i/>
                              <w:spacing w:val="22"/>
                            </w:rPr>
                            <w:t xml:space="preserve"> </w:t>
                          </w:r>
                          <w:r>
                            <w:rPr>
                              <w:rFonts w:ascii="Arial" w:eastAsia="Arial" w:hAnsi="Arial" w:cs="Arial"/>
                              <w:b/>
                              <w:bCs/>
                              <w:i/>
                              <w:spacing w:val="-1"/>
                            </w:rPr>
                            <w:t>Services.</w:t>
                          </w:r>
                          <w:r>
                            <w:rPr>
                              <w:rFonts w:ascii="Arial" w:eastAsia="Arial" w:hAnsi="Arial" w:cs="Arial"/>
                              <w:b/>
                              <w:bCs/>
                              <w:i/>
                              <w:spacing w:val="23"/>
                            </w:rPr>
                            <w:t xml:space="preserve"> </w:t>
                          </w:r>
                          <w:r>
                            <w:rPr>
                              <w:rFonts w:ascii="Arial" w:eastAsia="Arial" w:hAnsi="Arial" w:cs="Arial"/>
                              <w:b/>
                              <w:bCs/>
                              <w:i/>
                              <w:spacing w:val="-1"/>
                            </w:rPr>
                            <w:t>Switch</w:t>
                          </w:r>
                          <w:r>
                            <w:rPr>
                              <w:rFonts w:ascii="Arial" w:eastAsia="Arial" w:hAnsi="Arial" w:cs="Arial"/>
                              <w:b/>
                              <w:bCs/>
                              <w:i/>
                              <w:spacing w:val="20"/>
                            </w:rPr>
                            <w:t xml:space="preserve"> </w:t>
                          </w:r>
                          <w:r>
                            <w:rPr>
                              <w:rFonts w:ascii="Arial" w:eastAsia="Arial" w:hAnsi="Arial" w:cs="Arial"/>
                              <w:b/>
                              <w:bCs/>
                              <w:i/>
                              <w:spacing w:val="-2"/>
                            </w:rPr>
                            <w:t>all</w:t>
                          </w:r>
                          <w:r>
                            <w:rPr>
                              <w:rFonts w:ascii="Arial" w:eastAsia="Arial" w:hAnsi="Arial" w:cs="Arial"/>
                              <w:b/>
                              <w:bCs/>
                              <w:i/>
                              <w:spacing w:val="57"/>
                            </w:rPr>
                            <w:t xml:space="preserve"> </w:t>
                          </w:r>
                          <w:r>
                            <w:rPr>
                              <w:rFonts w:ascii="Arial" w:eastAsia="Arial" w:hAnsi="Arial" w:cs="Arial"/>
                              <w:b/>
                              <w:bCs/>
                              <w:i/>
                              <w:spacing w:val="-1"/>
                            </w:rPr>
                            <w:t>paragraphs</w:t>
                          </w:r>
                          <w:r>
                            <w:rPr>
                              <w:rFonts w:ascii="Arial" w:eastAsia="Arial" w:hAnsi="Arial" w:cs="Arial"/>
                              <w:b/>
                              <w:bCs/>
                              <w:i/>
                              <w:spacing w:val="15"/>
                            </w:rPr>
                            <w:t xml:space="preserve"> </w:t>
                          </w:r>
                          <w:r>
                            <w:rPr>
                              <w:rFonts w:ascii="Arial" w:eastAsia="Arial" w:hAnsi="Arial" w:cs="Arial"/>
                              <w:b/>
                              <w:bCs/>
                              <w:i/>
                            </w:rPr>
                            <w:t>to</w:t>
                          </w:r>
                          <w:r>
                            <w:rPr>
                              <w:rFonts w:ascii="Arial" w:eastAsia="Arial" w:hAnsi="Arial" w:cs="Arial"/>
                              <w:b/>
                              <w:bCs/>
                              <w:i/>
                              <w:spacing w:val="12"/>
                            </w:rPr>
                            <w:t xml:space="preserve"> </w:t>
                          </w:r>
                          <w:r>
                            <w:rPr>
                              <w:rFonts w:ascii="Arial" w:eastAsia="Arial" w:hAnsi="Arial" w:cs="Arial"/>
                              <w:b/>
                              <w:bCs/>
                              <w:i/>
                              <w:spacing w:val="-1"/>
                            </w:rPr>
                            <w:t>“Not</w:t>
                          </w:r>
                          <w:r>
                            <w:rPr>
                              <w:rFonts w:ascii="Arial" w:eastAsia="Arial" w:hAnsi="Arial" w:cs="Arial"/>
                              <w:b/>
                              <w:bCs/>
                              <w:i/>
                              <w:spacing w:val="16"/>
                            </w:rPr>
                            <w:t xml:space="preserve"> </w:t>
                          </w:r>
                          <w:r>
                            <w:rPr>
                              <w:rFonts w:ascii="Arial" w:eastAsia="Arial" w:hAnsi="Arial" w:cs="Arial"/>
                              <w:b/>
                              <w:bCs/>
                              <w:i/>
                              <w:spacing w:val="-2"/>
                            </w:rPr>
                            <w:t>Used”</w:t>
                          </w:r>
                          <w:r>
                            <w:rPr>
                              <w:rFonts w:ascii="Arial" w:eastAsia="Arial" w:hAnsi="Arial" w:cs="Arial"/>
                              <w:b/>
                              <w:bCs/>
                              <w:i/>
                              <w:spacing w:val="15"/>
                            </w:rPr>
                            <w:t xml:space="preserve"> </w:t>
                          </w:r>
                          <w:r>
                            <w:rPr>
                              <w:rFonts w:ascii="Arial" w:eastAsia="Arial" w:hAnsi="Arial" w:cs="Arial"/>
                              <w:b/>
                              <w:bCs/>
                              <w:i/>
                            </w:rPr>
                            <w:t>if</w:t>
                          </w:r>
                          <w:r>
                            <w:rPr>
                              <w:rFonts w:ascii="Arial" w:eastAsia="Arial" w:hAnsi="Arial" w:cs="Arial"/>
                              <w:b/>
                              <w:bCs/>
                              <w:i/>
                              <w:spacing w:val="16"/>
                            </w:rPr>
                            <w:t xml:space="preserve"> </w:t>
                          </w:r>
                          <w:r>
                            <w:rPr>
                              <w:rFonts w:ascii="Arial" w:eastAsia="Arial" w:hAnsi="Arial" w:cs="Arial"/>
                              <w:b/>
                              <w:bCs/>
                              <w:i/>
                              <w:spacing w:val="-2"/>
                            </w:rPr>
                            <w:t>not</w:t>
                          </w:r>
                          <w:r>
                            <w:rPr>
                              <w:rFonts w:ascii="Arial" w:eastAsia="Arial" w:hAnsi="Arial" w:cs="Arial"/>
                              <w:b/>
                              <w:bCs/>
                              <w:i/>
                              <w:spacing w:val="16"/>
                            </w:rPr>
                            <w:t xml:space="preserve"> </w:t>
                          </w:r>
                          <w:r>
                            <w:rPr>
                              <w:rFonts w:ascii="Arial" w:eastAsia="Arial" w:hAnsi="Arial" w:cs="Arial"/>
                              <w:b/>
                              <w:bCs/>
                              <w:i/>
                              <w:spacing w:val="-1"/>
                            </w:rPr>
                            <w:t>required.</w:t>
                          </w:r>
                          <w:r>
                            <w:rPr>
                              <w:rFonts w:ascii="Arial" w:eastAsia="Arial" w:hAnsi="Arial" w:cs="Arial"/>
                              <w:b/>
                              <w:bCs/>
                              <w:i/>
                              <w:spacing w:val="16"/>
                            </w:rPr>
                            <w:t xml:space="preserve"> </w:t>
                          </w:r>
                          <w:r>
                            <w:rPr>
                              <w:rFonts w:ascii="Arial" w:eastAsia="Arial" w:hAnsi="Arial" w:cs="Arial"/>
                              <w:b/>
                              <w:bCs/>
                              <w:i/>
                              <w:spacing w:val="-2"/>
                            </w:rPr>
                            <w:t>However,</w:t>
                          </w:r>
                          <w:r>
                            <w:rPr>
                              <w:rFonts w:ascii="Arial" w:eastAsia="Arial" w:hAnsi="Arial" w:cs="Arial"/>
                              <w:b/>
                              <w:bCs/>
                              <w:i/>
                              <w:spacing w:val="16"/>
                            </w:rPr>
                            <w:t xml:space="preserve"> </w:t>
                          </w:r>
                          <w:r>
                            <w:rPr>
                              <w:rFonts w:ascii="Arial" w:eastAsia="Arial" w:hAnsi="Arial" w:cs="Arial"/>
                              <w:b/>
                              <w:bCs/>
                              <w:i/>
                              <w:spacing w:val="-1"/>
                            </w:rPr>
                            <w:t>retain</w:t>
                          </w:r>
                          <w:r>
                            <w:rPr>
                              <w:rFonts w:ascii="Arial" w:eastAsia="Arial" w:hAnsi="Arial" w:cs="Arial"/>
                              <w:b/>
                              <w:bCs/>
                              <w:i/>
                              <w:spacing w:val="15"/>
                            </w:rPr>
                            <w:t xml:space="preserve"> </w:t>
                          </w:r>
                          <w:r>
                            <w:rPr>
                              <w:rFonts w:ascii="Arial" w:eastAsia="Arial" w:hAnsi="Arial" w:cs="Arial"/>
                              <w:b/>
                              <w:bCs/>
                              <w:i/>
                              <w:spacing w:val="-1"/>
                            </w:rPr>
                            <w:t>Annex</w:t>
                          </w:r>
                          <w:r>
                            <w:rPr>
                              <w:rFonts w:ascii="Arial" w:eastAsia="Arial" w:hAnsi="Arial" w:cs="Arial"/>
                              <w:b/>
                              <w:bCs/>
                              <w:i/>
                              <w:spacing w:val="15"/>
                            </w:rPr>
                            <w:t xml:space="preserve"> </w:t>
                          </w:r>
                          <w:r>
                            <w:rPr>
                              <w:rFonts w:ascii="Arial" w:eastAsia="Arial" w:hAnsi="Arial" w:cs="Arial"/>
                              <w:b/>
                              <w:bCs/>
                              <w:i/>
                            </w:rPr>
                            <w:t>1</w:t>
                          </w:r>
                          <w:r>
                            <w:rPr>
                              <w:rFonts w:ascii="Arial" w:eastAsia="Arial" w:hAnsi="Arial" w:cs="Arial"/>
                              <w:b/>
                              <w:bCs/>
                              <w:i/>
                              <w:spacing w:val="12"/>
                            </w:rPr>
                            <w:t xml:space="preserve"> </w:t>
                          </w:r>
                          <w:r>
                            <w:rPr>
                              <w:rFonts w:ascii="Arial" w:eastAsia="Arial" w:hAnsi="Arial" w:cs="Arial"/>
                              <w:b/>
                              <w:bCs/>
                              <w:i/>
                              <w:spacing w:val="-1"/>
                            </w:rPr>
                            <w:t>(Satisfaction</w:t>
                          </w:r>
                          <w:r>
                            <w:rPr>
                              <w:rFonts w:ascii="Arial" w:eastAsia="Arial" w:hAnsi="Arial" w:cs="Arial"/>
                              <w:b/>
                              <w:bCs/>
                              <w:i/>
                              <w:spacing w:val="50"/>
                            </w:rPr>
                            <w:t xml:space="preserve"> </w:t>
                          </w:r>
                          <w:r>
                            <w:rPr>
                              <w:rFonts w:ascii="Arial" w:eastAsia="Arial" w:hAnsi="Arial" w:cs="Arial"/>
                              <w:b/>
                              <w:bCs/>
                              <w:i/>
                              <w:spacing w:val="-1"/>
                            </w:rPr>
                            <w:t>Certificate)</w:t>
                          </w:r>
                          <w:r>
                            <w:rPr>
                              <w:rFonts w:ascii="Arial" w:eastAsia="Arial" w:hAnsi="Arial" w:cs="Arial"/>
                              <w:b/>
                              <w:bCs/>
                              <w:i/>
                              <w:spacing w:val="51"/>
                            </w:rPr>
                            <w:t xml:space="preserve"> </w:t>
                          </w:r>
                          <w:r>
                            <w:rPr>
                              <w:rFonts w:ascii="Arial" w:eastAsia="Arial" w:hAnsi="Arial" w:cs="Arial"/>
                              <w:b/>
                              <w:bCs/>
                              <w:i/>
                              <w:spacing w:val="-1"/>
                            </w:rPr>
                            <w:t>for</w:t>
                          </w:r>
                          <w:r>
                            <w:rPr>
                              <w:rFonts w:ascii="Arial" w:eastAsia="Arial" w:hAnsi="Arial" w:cs="Arial"/>
                              <w:b/>
                              <w:bCs/>
                              <w:i/>
                              <w:spacing w:val="53"/>
                            </w:rPr>
                            <w:t xml:space="preserve"> </w:t>
                          </w:r>
                          <w:r>
                            <w:rPr>
                              <w:rFonts w:ascii="Arial" w:eastAsia="Arial" w:hAnsi="Arial" w:cs="Arial"/>
                              <w:b/>
                              <w:bCs/>
                              <w:i/>
                              <w:spacing w:val="-1"/>
                            </w:rPr>
                            <w:t>use</w:t>
                          </w:r>
                          <w:r>
                            <w:rPr>
                              <w:rFonts w:ascii="Arial" w:eastAsia="Arial" w:hAnsi="Arial" w:cs="Arial"/>
                              <w:b/>
                              <w:bCs/>
                              <w:i/>
                              <w:spacing w:val="52"/>
                            </w:rPr>
                            <w:t xml:space="preserve"> </w:t>
                          </w:r>
                          <w:r>
                            <w:rPr>
                              <w:rFonts w:ascii="Arial" w:eastAsia="Arial" w:hAnsi="Arial" w:cs="Arial"/>
                              <w:b/>
                              <w:bCs/>
                              <w:i/>
                              <w:spacing w:val="-1"/>
                            </w:rPr>
                            <w:t>in</w:t>
                          </w:r>
                          <w:r>
                            <w:rPr>
                              <w:rFonts w:ascii="Arial" w:eastAsia="Arial" w:hAnsi="Arial" w:cs="Arial"/>
                              <w:b/>
                              <w:bCs/>
                              <w:i/>
                              <w:spacing w:val="52"/>
                            </w:rPr>
                            <w:t xml:space="preserve"> </w:t>
                          </w:r>
                          <w:r>
                            <w:rPr>
                              <w:rFonts w:ascii="Arial" w:eastAsia="Arial" w:hAnsi="Arial" w:cs="Arial"/>
                              <w:b/>
                              <w:bCs/>
                              <w:i/>
                              <w:spacing w:val="-1"/>
                            </w:rPr>
                            <w:t>respect</w:t>
                          </w:r>
                          <w:r>
                            <w:rPr>
                              <w:rFonts w:ascii="Arial" w:eastAsia="Arial" w:hAnsi="Arial" w:cs="Arial"/>
                              <w:b/>
                              <w:bCs/>
                              <w:i/>
                              <w:spacing w:val="53"/>
                            </w:rPr>
                            <w:t xml:space="preserve"> </w:t>
                          </w:r>
                          <w:r>
                            <w:rPr>
                              <w:rFonts w:ascii="Arial" w:eastAsia="Arial" w:hAnsi="Arial" w:cs="Arial"/>
                              <w:b/>
                              <w:bCs/>
                              <w:i/>
                              <w:spacing w:val="-1"/>
                            </w:rPr>
                            <w:t>of</w:t>
                          </w:r>
                          <w:r>
                            <w:rPr>
                              <w:rFonts w:ascii="Arial" w:eastAsia="Arial" w:hAnsi="Arial" w:cs="Arial"/>
                              <w:b/>
                              <w:bCs/>
                              <w:i/>
                              <w:spacing w:val="53"/>
                            </w:rPr>
                            <w:t xml:space="preserve"> </w:t>
                          </w:r>
                          <w:r>
                            <w:rPr>
                              <w:rFonts w:ascii="Arial" w:eastAsia="Arial" w:hAnsi="Arial" w:cs="Arial"/>
                              <w:b/>
                              <w:bCs/>
                              <w:i/>
                              <w:spacing w:val="-1"/>
                            </w:rPr>
                            <w:t>Achievement</w:t>
                          </w:r>
                          <w:r>
                            <w:rPr>
                              <w:rFonts w:ascii="Arial" w:eastAsia="Arial" w:hAnsi="Arial" w:cs="Arial"/>
                              <w:b/>
                              <w:bCs/>
                              <w:i/>
                              <w:spacing w:val="54"/>
                            </w:rPr>
                            <w:t xml:space="preserve"> </w:t>
                          </w:r>
                          <w:r>
                            <w:rPr>
                              <w:rFonts w:ascii="Arial" w:eastAsia="Arial" w:hAnsi="Arial" w:cs="Arial"/>
                              <w:b/>
                              <w:bCs/>
                              <w:i/>
                              <w:spacing w:val="-1"/>
                            </w:rPr>
                            <w:t>of</w:t>
                          </w:r>
                          <w:r>
                            <w:rPr>
                              <w:rFonts w:ascii="Arial" w:eastAsia="Arial" w:hAnsi="Arial" w:cs="Arial"/>
                              <w:b/>
                              <w:bCs/>
                              <w:i/>
                              <w:spacing w:val="53"/>
                            </w:rPr>
                            <w:t xml:space="preserve"> </w:t>
                          </w:r>
                          <w:r>
                            <w:rPr>
                              <w:rFonts w:ascii="Arial" w:eastAsia="Arial" w:hAnsi="Arial" w:cs="Arial"/>
                              <w:b/>
                              <w:bCs/>
                              <w:i/>
                              <w:spacing w:val="-1"/>
                            </w:rPr>
                            <w:t>any</w:t>
                          </w:r>
                          <w:r>
                            <w:rPr>
                              <w:rFonts w:ascii="Arial" w:eastAsia="Arial" w:hAnsi="Arial" w:cs="Arial"/>
                              <w:b/>
                              <w:bCs/>
                              <w:i/>
                              <w:spacing w:val="49"/>
                            </w:rPr>
                            <w:t xml:space="preserve"> </w:t>
                          </w:r>
                          <w:r>
                            <w:rPr>
                              <w:rFonts w:ascii="Arial" w:eastAsia="Arial" w:hAnsi="Arial" w:cs="Arial"/>
                              <w:b/>
                              <w:bCs/>
                              <w:i/>
                              <w:spacing w:val="-1"/>
                            </w:rPr>
                            <w:t>Milestones</w:t>
                          </w:r>
                          <w:r>
                            <w:rPr>
                              <w:rFonts w:ascii="Arial" w:eastAsia="Arial" w:hAnsi="Arial" w:cs="Arial"/>
                              <w:b/>
                              <w:bCs/>
                              <w:i/>
                              <w:spacing w:val="52"/>
                            </w:rPr>
                            <w:t xml:space="preserve"> </w:t>
                          </w:r>
                          <w:r>
                            <w:rPr>
                              <w:rFonts w:ascii="Arial" w:eastAsia="Arial" w:hAnsi="Arial" w:cs="Arial"/>
                              <w:b/>
                              <w:bCs/>
                              <w:i/>
                            </w:rPr>
                            <w:t>in</w:t>
                          </w:r>
                          <w:r>
                            <w:rPr>
                              <w:rFonts w:ascii="Arial" w:eastAsia="Arial" w:hAnsi="Arial" w:cs="Arial"/>
                              <w:b/>
                              <w:bCs/>
                              <w:i/>
                              <w:spacing w:val="52"/>
                            </w:rPr>
                            <w:t xml:space="preserve"> </w:t>
                          </w:r>
                          <w:r>
                            <w:rPr>
                              <w:rFonts w:ascii="Arial" w:eastAsia="Arial" w:hAnsi="Arial" w:cs="Arial"/>
                              <w:b/>
                              <w:bCs/>
                              <w:i/>
                              <w:spacing w:val="-1"/>
                            </w:rPr>
                            <w:t>an</w:t>
                          </w:r>
                          <w:r>
                            <w:rPr>
                              <w:rFonts w:ascii="Arial" w:eastAsia="Arial" w:hAnsi="Arial" w:cs="Arial"/>
                              <w:b/>
                              <w:bCs/>
                              <w:i/>
                              <w:spacing w:val="30"/>
                            </w:rPr>
                            <w:t xml:space="preserve"> </w:t>
                          </w:r>
                          <w:r>
                            <w:rPr>
                              <w:rFonts w:ascii="Arial" w:eastAsia="Arial" w:hAnsi="Arial" w:cs="Arial"/>
                              <w:b/>
                              <w:bCs/>
                              <w:i/>
                              <w:spacing w:val="-1"/>
                            </w:rPr>
                            <w:t>Implementation</w:t>
                          </w:r>
                          <w:r>
                            <w:rPr>
                              <w:rFonts w:ascii="Arial" w:eastAsia="Arial" w:hAnsi="Arial" w:cs="Arial"/>
                              <w:b/>
                              <w:bCs/>
                              <w:i/>
                            </w:rPr>
                            <w:t xml:space="preserve"> </w:t>
                          </w:r>
                          <w:r>
                            <w:rPr>
                              <w:rFonts w:ascii="Arial" w:eastAsia="Arial" w:hAnsi="Arial" w:cs="Arial"/>
                              <w:b/>
                              <w:bCs/>
                              <w:i/>
                              <w:spacing w:val="-1"/>
                            </w:rPr>
                            <w:t>Plan</w:t>
                          </w:r>
                          <w:r>
                            <w:rPr>
                              <w:rFonts w:ascii="Arial" w:eastAsia="Arial" w:hAnsi="Arial" w:cs="Arial"/>
                              <w:b/>
                              <w:bCs/>
                              <w:i/>
                              <w:spacing w:val="-2"/>
                            </w:rPr>
                            <w:t xml:space="preserve"> </w:t>
                          </w:r>
                          <w:r>
                            <w:rPr>
                              <w:rFonts w:ascii="Arial" w:eastAsia="Arial" w:hAnsi="Arial" w:cs="Arial"/>
                              <w:b/>
                              <w:bCs/>
                              <w:i/>
                              <w:spacing w:val="-1"/>
                            </w:rPr>
                            <w:t xml:space="preserve">(if </w:t>
                          </w:r>
                          <w:r>
                            <w:rPr>
                              <w:rFonts w:ascii="Arial" w:eastAsia="Arial" w:hAnsi="Arial" w:cs="Arial"/>
                              <w:b/>
                              <w:bCs/>
                              <w:i/>
                              <w:spacing w:val="-2"/>
                            </w:rPr>
                            <w:t>any)]</w:t>
                          </w:r>
                        </w:p>
                      </w:txbxContent>
                    </v:textbox>
                  </v:shape>
                </v:group>
                <w10:anchorlock/>
              </v:group>
            </w:pict>
          </mc:Fallback>
        </mc:AlternateContent>
      </w:r>
    </w:p>
    <w:p w:rsidR="008918FA" w:rsidRDefault="008918FA" w:rsidP="008918FA">
      <w:pPr>
        <w:pStyle w:val="BodyText"/>
        <w:numPr>
          <w:ilvl w:val="0"/>
          <w:numId w:val="26"/>
        </w:numPr>
        <w:tabs>
          <w:tab w:val="left" w:pos="467"/>
        </w:tabs>
        <w:spacing w:before="116"/>
        <w:rPr>
          <w:rFonts w:ascii="Times New Roman" w:eastAsia="Times New Roman" w:hAnsi="Times New Roman" w:cs="Times New Roman"/>
        </w:rPr>
      </w:pPr>
      <w:r>
        <w:rPr>
          <w:rFonts w:ascii="Times New Roman"/>
          <w:spacing w:val="1"/>
        </w:rPr>
        <w:t>INTRODUCTION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6"/>
        </w:numPr>
        <w:tabs>
          <w:tab w:val="left" w:pos="829"/>
        </w:tabs>
        <w:spacing w:before="0"/>
        <w:ind w:right="114"/>
        <w:jc w:val="both"/>
      </w:pPr>
      <w:r>
        <w:rPr>
          <w:spacing w:val="-1"/>
        </w:rPr>
        <w:t>This</w:t>
      </w:r>
      <w:r>
        <w:rPr>
          <w:spacing w:val="10"/>
        </w:rPr>
        <w:t xml:space="preserve"> </w:t>
      </w:r>
      <w:r>
        <w:rPr>
          <w:spacing w:val="-2"/>
        </w:rPr>
        <w:t>Call</w:t>
      </w:r>
      <w:r>
        <w:rPr>
          <w:spacing w:val="9"/>
        </w:rPr>
        <w:t xml:space="preserve"> </w:t>
      </w:r>
      <w:r>
        <w:rPr>
          <w:spacing w:val="-1"/>
        </w:rPr>
        <w:t>Off</w:t>
      </w:r>
      <w:r>
        <w:rPr>
          <w:spacing w:val="14"/>
        </w:rPr>
        <w:t xml:space="preserve"> </w:t>
      </w:r>
      <w:r>
        <w:rPr>
          <w:spacing w:val="-1"/>
        </w:rPr>
        <w:t>Schedule</w:t>
      </w:r>
      <w:r>
        <w:rPr>
          <w:spacing w:val="11"/>
        </w:rPr>
        <w:t xml:space="preserve"> </w:t>
      </w:r>
      <w:r>
        <w:rPr>
          <w:spacing w:val="-1"/>
        </w:rPr>
        <w:t>(Testing)</w:t>
      </w:r>
      <w:r>
        <w:rPr>
          <w:spacing w:val="12"/>
        </w:rPr>
        <w:t xml:space="preserve"> </w:t>
      </w:r>
      <w:r>
        <w:t>sets</w:t>
      </w:r>
      <w:r>
        <w:rPr>
          <w:spacing w:val="10"/>
        </w:rPr>
        <w:t xml:space="preserve"> </w:t>
      </w:r>
      <w:r>
        <w:rPr>
          <w:spacing w:val="-2"/>
        </w:rPr>
        <w:t>out</w:t>
      </w:r>
      <w:r>
        <w:rPr>
          <w:spacing w:val="11"/>
        </w:rPr>
        <w:t xml:space="preserve"> </w:t>
      </w:r>
      <w:r>
        <w:t>the</w:t>
      </w:r>
      <w:r>
        <w:rPr>
          <w:spacing w:val="10"/>
        </w:rPr>
        <w:t xml:space="preserve"> </w:t>
      </w:r>
      <w:r>
        <w:rPr>
          <w:spacing w:val="-1"/>
        </w:rPr>
        <w:t>approach</w:t>
      </w:r>
      <w:r>
        <w:rPr>
          <w:spacing w:val="10"/>
        </w:rPr>
        <w:t xml:space="preserve"> </w:t>
      </w:r>
      <w:r>
        <w:t>to</w:t>
      </w:r>
      <w:r>
        <w:rPr>
          <w:spacing w:val="7"/>
        </w:rPr>
        <w:t xml:space="preserve"> </w:t>
      </w:r>
      <w:r>
        <w:rPr>
          <w:spacing w:val="-1"/>
        </w:rPr>
        <w:t>Testing</w:t>
      </w:r>
      <w:r>
        <w:rPr>
          <w:spacing w:val="12"/>
        </w:rPr>
        <w:t xml:space="preserve"> </w:t>
      </w:r>
      <w:r>
        <w:rPr>
          <w:spacing w:val="-1"/>
        </w:rPr>
        <w:t>and</w:t>
      </w:r>
      <w:r>
        <w:rPr>
          <w:spacing w:val="10"/>
        </w:rPr>
        <w:t xml:space="preserve"> </w:t>
      </w:r>
      <w:r>
        <w:rPr>
          <w:spacing w:val="-1"/>
        </w:rPr>
        <w:t>the</w:t>
      </w:r>
      <w:r>
        <w:rPr>
          <w:spacing w:val="10"/>
        </w:rPr>
        <w:t xml:space="preserve"> </w:t>
      </w:r>
      <w:r>
        <w:rPr>
          <w:spacing w:val="-1"/>
        </w:rPr>
        <w:t>different</w:t>
      </w:r>
      <w:r>
        <w:rPr>
          <w:spacing w:val="41"/>
        </w:rPr>
        <w:t xml:space="preserve"> </w:t>
      </w:r>
      <w:r>
        <w:rPr>
          <w:spacing w:val="-1"/>
        </w:rPr>
        <w:t>Testing</w:t>
      </w:r>
      <w:r>
        <w:rPr>
          <w:spacing w:val="10"/>
        </w:rPr>
        <w:t xml:space="preserve"> </w:t>
      </w:r>
      <w:r>
        <w:rPr>
          <w:spacing w:val="-2"/>
        </w:rPr>
        <w:t>activities</w:t>
      </w:r>
      <w:r>
        <w:rPr>
          <w:spacing w:val="8"/>
        </w:rPr>
        <w:t xml:space="preserve"> </w:t>
      </w:r>
      <w:r>
        <w:t>to</w:t>
      </w:r>
      <w:r>
        <w:rPr>
          <w:spacing w:val="7"/>
        </w:rPr>
        <w:t xml:space="preserve"> </w:t>
      </w:r>
      <w:r>
        <w:rPr>
          <w:spacing w:val="-1"/>
        </w:rPr>
        <w:t>be</w:t>
      </w:r>
      <w:r>
        <w:rPr>
          <w:spacing w:val="7"/>
        </w:rPr>
        <w:t xml:space="preserve"> </w:t>
      </w:r>
      <w:r>
        <w:rPr>
          <w:spacing w:val="-1"/>
        </w:rPr>
        <w:t>undertaken,</w:t>
      </w:r>
      <w:r>
        <w:rPr>
          <w:spacing w:val="9"/>
        </w:rPr>
        <w:t xml:space="preserve"> </w:t>
      </w:r>
      <w:r>
        <w:rPr>
          <w:spacing w:val="-2"/>
        </w:rPr>
        <w:t>including</w:t>
      </w:r>
      <w:r>
        <w:rPr>
          <w:spacing w:val="10"/>
        </w:rPr>
        <w:t xml:space="preserve"> </w:t>
      </w:r>
      <w:r>
        <w:t>the</w:t>
      </w:r>
      <w:r>
        <w:rPr>
          <w:spacing w:val="5"/>
        </w:rPr>
        <w:t xml:space="preserve"> </w:t>
      </w:r>
      <w:r>
        <w:rPr>
          <w:spacing w:val="-1"/>
        </w:rPr>
        <w:t>preparation</w:t>
      </w:r>
      <w:r>
        <w:rPr>
          <w:spacing w:val="7"/>
        </w:rPr>
        <w:t xml:space="preserve"> </w:t>
      </w:r>
      <w:r>
        <w:rPr>
          <w:spacing w:val="-1"/>
        </w:rPr>
        <w:t>and</w:t>
      </w:r>
      <w:r>
        <w:rPr>
          <w:spacing w:val="7"/>
        </w:rPr>
        <w:t xml:space="preserve"> </w:t>
      </w:r>
      <w:r>
        <w:rPr>
          <w:spacing w:val="-1"/>
        </w:rPr>
        <w:t>agreement</w:t>
      </w:r>
      <w:r>
        <w:rPr>
          <w:spacing w:val="9"/>
        </w:rPr>
        <w:t xml:space="preserve"> </w:t>
      </w:r>
      <w:r>
        <w:rPr>
          <w:spacing w:val="-2"/>
        </w:rPr>
        <w:t>of</w:t>
      </w:r>
      <w:r>
        <w:rPr>
          <w:spacing w:val="11"/>
        </w:rPr>
        <w:t xml:space="preserve"> </w:t>
      </w:r>
      <w:r>
        <w:rPr>
          <w:spacing w:val="-1"/>
        </w:rPr>
        <w:t>the</w:t>
      </w:r>
      <w:r>
        <w:rPr>
          <w:spacing w:val="64"/>
        </w:rPr>
        <w:t xml:space="preserve"> </w:t>
      </w:r>
      <w:r>
        <w:rPr>
          <w:spacing w:val="-1"/>
        </w:rPr>
        <w:t>Test</w:t>
      </w:r>
      <w:r>
        <w:rPr>
          <w:spacing w:val="2"/>
        </w:rPr>
        <w:t xml:space="preserve"> </w:t>
      </w:r>
      <w:r>
        <w:rPr>
          <w:spacing w:val="-1"/>
        </w:rPr>
        <w:t>Strategy</w:t>
      </w:r>
      <w:r>
        <w:rPr>
          <w:spacing w:val="-2"/>
        </w:rPr>
        <w:t xml:space="preserve"> </w:t>
      </w:r>
      <w:r>
        <w:rPr>
          <w:spacing w:val="-1"/>
        </w:rPr>
        <w:t>and</w:t>
      </w:r>
      <w:r>
        <w:rPr>
          <w:spacing w:val="-2"/>
        </w:rPr>
        <w:t xml:space="preserve"> </w:t>
      </w:r>
      <w:r>
        <w:rPr>
          <w:spacing w:val="-1"/>
        </w:rPr>
        <w:t>Test</w:t>
      </w:r>
      <w:r>
        <w:rPr>
          <w:spacing w:val="2"/>
        </w:rPr>
        <w:t xml:space="preserve"> </w:t>
      </w:r>
      <w:r>
        <w:rPr>
          <w:spacing w:val="-2"/>
        </w:rPr>
        <w:t>Plans.</w:t>
      </w:r>
    </w:p>
    <w:p w:rsidR="008918FA" w:rsidRDefault="008918FA" w:rsidP="008918FA">
      <w:pPr>
        <w:pStyle w:val="BodyText"/>
        <w:numPr>
          <w:ilvl w:val="0"/>
          <w:numId w:val="26"/>
        </w:numPr>
        <w:tabs>
          <w:tab w:val="left" w:pos="467"/>
        </w:tabs>
        <w:spacing w:before="117"/>
        <w:rPr>
          <w:rFonts w:ascii="Times New Roman" w:eastAsia="Times New Roman" w:hAnsi="Times New Roman" w:cs="Times New Roman"/>
        </w:rPr>
      </w:pPr>
      <w:r>
        <w:rPr>
          <w:rFonts w:ascii="Times New Roman"/>
          <w:spacing w:val="-3"/>
        </w:rPr>
        <w:t>T</w:t>
      </w:r>
      <w:r>
        <w:rPr>
          <w:rFonts w:ascii="Times New Roman"/>
          <w:spacing w:val="11"/>
        </w:rPr>
        <w:t>E</w:t>
      </w:r>
      <w:r>
        <w:rPr>
          <w:rFonts w:ascii="Times New Roman"/>
          <w:spacing w:val="26"/>
        </w:rPr>
        <w:t>S</w:t>
      </w:r>
      <w:r>
        <w:rPr>
          <w:rFonts w:ascii="Times New Roman"/>
          <w:spacing w:val="-3"/>
        </w:rPr>
        <w:t>T</w:t>
      </w:r>
      <w:r>
        <w:rPr>
          <w:rFonts w:ascii="Times New Roman"/>
          <w:spacing w:val="-12"/>
        </w:rPr>
        <w:t>I</w:t>
      </w:r>
      <w:r>
        <w:rPr>
          <w:rFonts w:ascii="Times New Roman"/>
          <w:spacing w:val="-2"/>
        </w:rPr>
        <w:t>N</w:t>
      </w:r>
      <w:r>
        <w:rPr>
          <w:rFonts w:ascii="Times New Roman"/>
        </w:rPr>
        <w:t>G</w:t>
      </w:r>
      <w:r>
        <w:rPr>
          <w:rFonts w:ascii="Times New Roman"/>
          <w:spacing w:val="20"/>
        </w:rPr>
        <w:t xml:space="preserve"> </w:t>
      </w:r>
      <w:r>
        <w:rPr>
          <w:rFonts w:ascii="Times New Roman"/>
          <w:spacing w:val="2"/>
        </w:rPr>
        <w:t>OVERVIEW</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6"/>
        </w:numPr>
        <w:tabs>
          <w:tab w:val="left" w:pos="829"/>
        </w:tabs>
        <w:spacing w:before="0"/>
        <w:ind w:right="117"/>
        <w:jc w:val="both"/>
      </w:pPr>
      <w:r>
        <w:rPr>
          <w:spacing w:val="-1"/>
        </w:rPr>
        <w:t>All</w:t>
      </w:r>
      <w:r>
        <w:rPr>
          <w:spacing w:val="2"/>
        </w:rPr>
        <w:t xml:space="preserve"> </w:t>
      </w:r>
      <w:r>
        <w:t>Tests</w:t>
      </w:r>
      <w:r>
        <w:rPr>
          <w:spacing w:val="1"/>
        </w:rPr>
        <w:t xml:space="preserve"> </w:t>
      </w:r>
      <w:r>
        <w:rPr>
          <w:spacing w:val="-1"/>
        </w:rPr>
        <w:t>conducted</w:t>
      </w:r>
      <w:r>
        <w:rPr>
          <w:spacing w:val="3"/>
        </w:rPr>
        <w:t xml:space="preserve"> </w:t>
      </w:r>
      <w:r>
        <w:rPr>
          <w:spacing w:val="-1"/>
        </w:rPr>
        <w:t>by</w:t>
      </w:r>
      <w:r>
        <w:rPr>
          <w:spacing w:val="1"/>
        </w:rPr>
        <w:t xml:space="preserve"> </w:t>
      </w:r>
      <w:r>
        <w:rPr>
          <w:spacing w:val="-1"/>
        </w:rPr>
        <w:t>the</w:t>
      </w:r>
      <w:r>
        <w:rPr>
          <w:spacing w:val="3"/>
        </w:rPr>
        <w:t xml:space="preserve"> </w:t>
      </w:r>
      <w:r>
        <w:rPr>
          <w:spacing w:val="-2"/>
        </w:rPr>
        <w:t>Supplier</w:t>
      </w:r>
      <w:r>
        <w:rPr>
          <w:spacing w:val="4"/>
        </w:rPr>
        <w:t xml:space="preserve"> </w:t>
      </w:r>
      <w:r>
        <w:rPr>
          <w:spacing w:val="-1"/>
        </w:rPr>
        <w:t>shall</w:t>
      </w:r>
      <w:r>
        <w:rPr>
          <w:spacing w:val="2"/>
        </w:rPr>
        <w:t xml:space="preserve"> </w:t>
      </w:r>
      <w:r>
        <w:rPr>
          <w:spacing w:val="-1"/>
        </w:rPr>
        <w:t>be</w:t>
      </w:r>
      <w:r>
        <w:rPr>
          <w:spacing w:val="3"/>
        </w:rPr>
        <w:t xml:space="preserve"> </w:t>
      </w:r>
      <w:r>
        <w:rPr>
          <w:spacing w:val="-1"/>
        </w:rPr>
        <w:t>conducted</w:t>
      </w:r>
      <w:r>
        <w:rPr>
          <w:spacing w:val="3"/>
        </w:rPr>
        <w:t xml:space="preserve"> </w:t>
      </w:r>
      <w:r>
        <w:rPr>
          <w:spacing w:val="-1"/>
        </w:rPr>
        <w:t>in</w:t>
      </w:r>
      <w:r>
        <w:rPr>
          <w:spacing w:val="3"/>
        </w:rPr>
        <w:t xml:space="preserve"> </w:t>
      </w:r>
      <w:r>
        <w:rPr>
          <w:spacing w:val="-1"/>
        </w:rPr>
        <w:t>accordance</w:t>
      </w:r>
      <w:r>
        <w:rPr>
          <w:spacing w:val="3"/>
        </w:rPr>
        <w:t xml:space="preserve"> </w:t>
      </w:r>
      <w:r>
        <w:rPr>
          <w:spacing w:val="-2"/>
        </w:rPr>
        <w:t>with</w:t>
      </w:r>
      <w:r>
        <w:rPr>
          <w:spacing w:val="3"/>
        </w:rPr>
        <w:t xml:space="preserve"> </w:t>
      </w:r>
      <w:r>
        <w:t xml:space="preserve">the </w:t>
      </w:r>
      <w:r>
        <w:rPr>
          <w:spacing w:val="-1"/>
        </w:rPr>
        <w:t>Test</w:t>
      </w:r>
      <w:r>
        <w:rPr>
          <w:spacing w:val="43"/>
        </w:rPr>
        <w:t xml:space="preserve"> </w:t>
      </w:r>
      <w:r>
        <w:rPr>
          <w:spacing w:val="-1"/>
        </w:rPr>
        <w:t>Strategy</w:t>
      </w:r>
      <w:r>
        <w:rPr>
          <w:spacing w:val="-2"/>
        </w:rPr>
        <w:t xml:space="preserve"> </w:t>
      </w:r>
      <w:r>
        <w:rPr>
          <w:spacing w:val="-1"/>
        </w:rPr>
        <w:t>and</w:t>
      </w:r>
      <w:r>
        <w:rPr>
          <w:spacing w:val="-2"/>
        </w:rPr>
        <w:t xml:space="preserve"> </w:t>
      </w:r>
      <w:r>
        <w:t>the</w:t>
      </w:r>
      <w:r>
        <w:rPr>
          <w:spacing w:val="-4"/>
        </w:rPr>
        <w:t xml:space="preserve"> </w:t>
      </w:r>
      <w:r>
        <w:rPr>
          <w:spacing w:val="-1"/>
        </w:rPr>
        <w:t>Test</w:t>
      </w:r>
      <w:r>
        <w:rPr>
          <w:spacing w:val="2"/>
        </w:rPr>
        <w:t xml:space="preserve"> </w:t>
      </w:r>
      <w:r>
        <w:rPr>
          <w:spacing w:val="-2"/>
        </w:rPr>
        <w:t>Plans.</w:t>
      </w:r>
    </w:p>
    <w:p w:rsidR="008918FA" w:rsidRDefault="008918FA" w:rsidP="008918FA">
      <w:pPr>
        <w:pStyle w:val="BodyText"/>
        <w:numPr>
          <w:ilvl w:val="1"/>
          <w:numId w:val="26"/>
        </w:numPr>
        <w:tabs>
          <w:tab w:val="left" w:pos="828"/>
        </w:tabs>
        <w:ind w:left="827" w:right="114" w:hanging="359"/>
        <w:jc w:val="both"/>
      </w:pPr>
      <w:r>
        <w:rPr>
          <w:spacing w:val="-1"/>
        </w:rPr>
        <w:t>Any</w:t>
      </w:r>
      <w:r>
        <w:rPr>
          <w:spacing w:val="18"/>
        </w:rPr>
        <w:t xml:space="preserve"> </w:t>
      </w:r>
      <w:r>
        <w:rPr>
          <w:spacing w:val="-1"/>
        </w:rPr>
        <w:t>disputes</w:t>
      </w:r>
      <w:r>
        <w:rPr>
          <w:spacing w:val="20"/>
        </w:rPr>
        <w:t xml:space="preserve"> </w:t>
      </w:r>
      <w:r>
        <w:rPr>
          <w:spacing w:val="-1"/>
        </w:rPr>
        <w:t>between</w:t>
      </w:r>
      <w:r>
        <w:rPr>
          <w:spacing w:val="19"/>
        </w:rPr>
        <w:t xml:space="preserve"> </w:t>
      </w:r>
      <w:r>
        <w:t>the</w:t>
      </w:r>
      <w:r>
        <w:rPr>
          <w:spacing w:val="20"/>
        </w:rPr>
        <w:t xml:space="preserve"> </w:t>
      </w:r>
      <w:r>
        <w:rPr>
          <w:spacing w:val="-2"/>
        </w:rPr>
        <w:t>Supplier</w:t>
      </w:r>
      <w:r>
        <w:rPr>
          <w:spacing w:val="21"/>
        </w:rPr>
        <w:t xml:space="preserve"> </w:t>
      </w:r>
      <w:r>
        <w:rPr>
          <w:spacing w:val="-1"/>
        </w:rPr>
        <w:t>and</w:t>
      </w:r>
      <w:r>
        <w:rPr>
          <w:spacing w:val="19"/>
        </w:rPr>
        <w:t xml:space="preserve"> </w:t>
      </w:r>
      <w:r>
        <w:t>the</w:t>
      </w:r>
      <w:r>
        <w:rPr>
          <w:spacing w:val="20"/>
        </w:rPr>
        <w:t xml:space="preserve"> </w:t>
      </w:r>
      <w:r>
        <w:rPr>
          <w:spacing w:val="-1"/>
        </w:rPr>
        <w:t>Customer</w:t>
      </w:r>
      <w:r>
        <w:rPr>
          <w:spacing w:val="21"/>
        </w:rPr>
        <w:t xml:space="preserve"> </w:t>
      </w:r>
      <w:r>
        <w:rPr>
          <w:spacing w:val="-1"/>
        </w:rPr>
        <w:t>regarding</w:t>
      </w:r>
      <w:r>
        <w:rPr>
          <w:spacing w:val="22"/>
        </w:rPr>
        <w:t xml:space="preserve"> </w:t>
      </w:r>
      <w:r>
        <w:rPr>
          <w:spacing w:val="-1"/>
        </w:rPr>
        <w:t>this</w:t>
      </w:r>
      <w:r>
        <w:rPr>
          <w:spacing w:val="18"/>
        </w:rPr>
        <w:t xml:space="preserve"> </w:t>
      </w:r>
      <w:r>
        <w:rPr>
          <w:spacing w:val="-1"/>
        </w:rPr>
        <w:t>Testing</w:t>
      </w:r>
      <w:r>
        <w:rPr>
          <w:spacing w:val="22"/>
        </w:rPr>
        <w:t xml:space="preserve"> </w:t>
      </w:r>
      <w:r>
        <w:rPr>
          <w:spacing w:val="-1"/>
        </w:rPr>
        <w:t>shall</w:t>
      </w:r>
      <w:r>
        <w:rPr>
          <w:spacing w:val="57"/>
        </w:rPr>
        <w:t xml:space="preserve"> </w:t>
      </w:r>
      <w:r>
        <w:rPr>
          <w:spacing w:val="-1"/>
        </w:rPr>
        <w:t>be</w:t>
      </w:r>
      <w:r>
        <w:t xml:space="preserve"> </w:t>
      </w:r>
      <w:r>
        <w:rPr>
          <w:spacing w:val="-1"/>
        </w:rPr>
        <w:t>referred</w:t>
      </w:r>
      <w:r>
        <w:rPr>
          <w:spacing w:val="-2"/>
        </w:rPr>
        <w:t xml:space="preserve"> </w:t>
      </w:r>
      <w:r>
        <w:t>to</w:t>
      </w:r>
      <w:r>
        <w:rPr>
          <w:spacing w:val="-2"/>
        </w:rPr>
        <w:t xml:space="preserve"> </w:t>
      </w:r>
      <w:r>
        <w:t xml:space="preserve">the </w:t>
      </w:r>
      <w:r>
        <w:rPr>
          <w:spacing w:val="-2"/>
        </w:rPr>
        <w:t>Dispute</w:t>
      </w:r>
      <w:r>
        <w:t xml:space="preserve"> </w:t>
      </w:r>
      <w:r>
        <w:rPr>
          <w:spacing w:val="-1"/>
        </w:rPr>
        <w:t>Resolution</w:t>
      </w:r>
      <w:r>
        <w:t xml:space="preserve"> </w:t>
      </w:r>
      <w:r>
        <w:rPr>
          <w:spacing w:val="-1"/>
        </w:rPr>
        <w:t>Procedure.</w:t>
      </w:r>
    </w:p>
    <w:p w:rsidR="008918FA" w:rsidRDefault="008918FA" w:rsidP="008918FA">
      <w:pPr>
        <w:pStyle w:val="BodyText"/>
        <w:numPr>
          <w:ilvl w:val="0"/>
          <w:numId w:val="26"/>
        </w:numPr>
        <w:tabs>
          <w:tab w:val="left" w:pos="466"/>
        </w:tabs>
        <w:spacing w:before="117"/>
        <w:ind w:left="465"/>
        <w:rPr>
          <w:rFonts w:ascii="Times New Roman" w:eastAsia="Times New Roman" w:hAnsi="Times New Roman" w:cs="Times New Roman"/>
        </w:rPr>
      </w:pPr>
      <w:r>
        <w:rPr>
          <w:rFonts w:ascii="Times New Roman"/>
          <w:spacing w:val="2"/>
        </w:rPr>
        <w:t>TES</w:t>
      </w:r>
      <w:r>
        <w:rPr>
          <w:rFonts w:ascii="Times New Roman"/>
          <w:spacing w:val="-29"/>
        </w:rPr>
        <w:t xml:space="preserve"> </w:t>
      </w:r>
      <w:r>
        <w:rPr>
          <w:rFonts w:ascii="Times New Roman"/>
        </w:rPr>
        <w:t>T</w:t>
      </w:r>
      <w:r>
        <w:rPr>
          <w:rFonts w:ascii="Times New Roman"/>
          <w:spacing w:val="4"/>
        </w:rPr>
        <w:t xml:space="preserve"> </w:t>
      </w:r>
      <w:r>
        <w:rPr>
          <w:rFonts w:ascii="Times New Roman"/>
        </w:rPr>
        <w:t>S</w:t>
      </w:r>
      <w:r>
        <w:rPr>
          <w:rFonts w:ascii="Times New Roman"/>
          <w:spacing w:val="-29"/>
        </w:rPr>
        <w:t xml:space="preserve"> </w:t>
      </w:r>
      <w:r>
        <w:rPr>
          <w:rFonts w:ascii="Times New Roman"/>
          <w:spacing w:val="4"/>
        </w:rPr>
        <w:t>TRATEGY</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6"/>
        </w:numPr>
        <w:tabs>
          <w:tab w:val="left" w:pos="828"/>
        </w:tabs>
        <w:spacing w:before="0"/>
        <w:ind w:left="827" w:right="114" w:hanging="359"/>
        <w:jc w:val="both"/>
      </w:pPr>
      <w:r>
        <w:t>The</w:t>
      </w:r>
      <w:r>
        <w:rPr>
          <w:spacing w:val="3"/>
        </w:rPr>
        <w:t xml:space="preserve"> </w:t>
      </w:r>
      <w:r>
        <w:rPr>
          <w:spacing w:val="-2"/>
        </w:rPr>
        <w:t>Supplier</w:t>
      </w:r>
      <w:r>
        <w:rPr>
          <w:spacing w:val="4"/>
        </w:rPr>
        <w:t xml:space="preserve"> </w:t>
      </w:r>
      <w:r>
        <w:rPr>
          <w:spacing w:val="-1"/>
        </w:rPr>
        <w:t>shall</w:t>
      </w:r>
      <w:r>
        <w:rPr>
          <w:spacing w:val="2"/>
        </w:rPr>
        <w:t xml:space="preserve"> </w:t>
      </w:r>
      <w:r>
        <w:rPr>
          <w:spacing w:val="-1"/>
        </w:rPr>
        <w:t>develop</w:t>
      </w:r>
      <w:r>
        <w:rPr>
          <w:spacing w:val="3"/>
        </w:rPr>
        <w:t xml:space="preserve"> </w:t>
      </w:r>
      <w:r>
        <w:t>the</w:t>
      </w:r>
      <w:r>
        <w:rPr>
          <w:spacing w:val="3"/>
        </w:rPr>
        <w:t xml:space="preserve"> </w:t>
      </w:r>
      <w:r>
        <w:rPr>
          <w:spacing w:val="-1"/>
        </w:rPr>
        <w:t>final</w:t>
      </w:r>
      <w:r>
        <w:rPr>
          <w:spacing w:val="2"/>
        </w:rPr>
        <w:t xml:space="preserve"> </w:t>
      </w:r>
      <w:r>
        <w:rPr>
          <w:spacing w:val="-1"/>
        </w:rPr>
        <w:t>Test</w:t>
      </w:r>
      <w:r>
        <w:rPr>
          <w:spacing w:val="5"/>
        </w:rPr>
        <w:t xml:space="preserve"> </w:t>
      </w:r>
      <w:r>
        <w:rPr>
          <w:spacing w:val="-1"/>
        </w:rPr>
        <w:t>Strategy</w:t>
      </w:r>
      <w:r>
        <w:rPr>
          <w:spacing w:val="1"/>
        </w:rPr>
        <w:t xml:space="preserve"> </w:t>
      </w:r>
      <w:r>
        <w:rPr>
          <w:spacing w:val="-1"/>
        </w:rPr>
        <w:t>as</w:t>
      </w:r>
      <w:r>
        <w:rPr>
          <w:spacing w:val="3"/>
        </w:rPr>
        <w:t xml:space="preserve"> </w:t>
      </w:r>
      <w:r>
        <w:rPr>
          <w:spacing w:val="-1"/>
        </w:rPr>
        <w:t>soon</w:t>
      </w:r>
      <w:r>
        <w:rPr>
          <w:spacing w:val="3"/>
        </w:rPr>
        <w:t xml:space="preserve"> </w:t>
      </w:r>
      <w:r>
        <w:rPr>
          <w:spacing w:val="-1"/>
        </w:rPr>
        <w:t>as</w:t>
      </w:r>
      <w:r>
        <w:rPr>
          <w:spacing w:val="5"/>
        </w:rPr>
        <w:t xml:space="preserve"> </w:t>
      </w:r>
      <w:r>
        <w:rPr>
          <w:spacing w:val="-1"/>
        </w:rPr>
        <w:t>practicable</w:t>
      </w:r>
      <w:r>
        <w:rPr>
          <w:spacing w:val="3"/>
        </w:rPr>
        <w:t xml:space="preserve"> </w:t>
      </w:r>
      <w:r>
        <w:rPr>
          <w:spacing w:val="-1"/>
        </w:rPr>
        <w:t>but</w:t>
      </w:r>
      <w:r>
        <w:rPr>
          <w:spacing w:val="4"/>
        </w:rPr>
        <w:t xml:space="preserve"> </w:t>
      </w:r>
      <w:r>
        <w:rPr>
          <w:spacing w:val="-1"/>
        </w:rPr>
        <w:t>in</w:t>
      </w:r>
      <w:r>
        <w:rPr>
          <w:spacing w:val="3"/>
        </w:rPr>
        <w:t xml:space="preserve"> </w:t>
      </w:r>
      <w:r>
        <w:rPr>
          <w:spacing w:val="-1"/>
        </w:rPr>
        <w:t>any</w:t>
      </w:r>
      <w:r>
        <w:rPr>
          <w:spacing w:val="56"/>
        </w:rPr>
        <w:t xml:space="preserve"> </w:t>
      </w:r>
      <w:r>
        <w:rPr>
          <w:spacing w:val="-1"/>
        </w:rPr>
        <w:t>case</w:t>
      </w:r>
      <w:r>
        <w:rPr>
          <w:spacing w:val="1"/>
        </w:rPr>
        <w:t xml:space="preserve"> </w:t>
      </w:r>
      <w:r>
        <w:rPr>
          <w:spacing w:val="-1"/>
        </w:rPr>
        <w:t>no</w:t>
      </w:r>
      <w:r>
        <w:t xml:space="preserve"> </w:t>
      </w:r>
      <w:r>
        <w:rPr>
          <w:spacing w:val="-1"/>
        </w:rPr>
        <w:t>later than</w:t>
      </w:r>
      <w:r>
        <w:t xml:space="preserve"> </w:t>
      </w:r>
      <w:r>
        <w:rPr>
          <w:spacing w:val="-1"/>
        </w:rPr>
        <w:t>sixty</w:t>
      </w:r>
      <w:r>
        <w:rPr>
          <w:spacing w:val="-2"/>
        </w:rPr>
        <w:t xml:space="preserve"> </w:t>
      </w:r>
      <w:r>
        <w:rPr>
          <w:spacing w:val="-1"/>
        </w:rPr>
        <w:t>(60)</w:t>
      </w:r>
      <w:r>
        <w:rPr>
          <w:spacing w:val="-3"/>
        </w:rPr>
        <w:t xml:space="preserve"> </w:t>
      </w:r>
      <w:r>
        <w:rPr>
          <w:spacing w:val="-1"/>
        </w:rPr>
        <w:t>Working</w:t>
      </w:r>
      <w:r>
        <w:t xml:space="preserve"> </w:t>
      </w:r>
      <w:r>
        <w:rPr>
          <w:spacing w:val="-2"/>
        </w:rPr>
        <w:t>Days</w:t>
      </w:r>
      <w:r>
        <w:rPr>
          <w:spacing w:val="1"/>
        </w:rPr>
        <w:t xml:space="preserve"> </w:t>
      </w:r>
      <w:r>
        <w:rPr>
          <w:spacing w:val="-1"/>
        </w:rPr>
        <w:t>(or</w:t>
      </w:r>
      <w:r>
        <w:rPr>
          <w:spacing w:val="2"/>
        </w:rPr>
        <w:t xml:space="preserve"> </w:t>
      </w:r>
      <w:r>
        <w:rPr>
          <w:spacing w:val="-2"/>
        </w:rPr>
        <w:t>such</w:t>
      </w:r>
      <w:r>
        <w:rPr>
          <w:spacing w:val="1"/>
        </w:rPr>
        <w:t xml:space="preserve"> </w:t>
      </w:r>
      <w:r>
        <w:rPr>
          <w:spacing w:val="-1"/>
        </w:rPr>
        <w:t>other</w:t>
      </w:r>
      <w:r>
        <w:rPr>
          <w:spacing w:val="2"/>
        </w:rPr>
        <w:t xml:space="preserve"> </w:t>
      </w:r>
      <w:r>
        <w:rPr>
          <w:spacing w:val="-2"/>
        </w:rPr>
        <w:t>period</w:t>
      </w:r>
      <w:r>
        <w:t xml:space="preserve"> </w:t>
      </w:r>
      <w:r>
        <w:rPr>
          <w:spacing w:val="-1"/>
        </w:rPr>
        <w:t>as</w:t>
      </w:r>
      <w:r>
        <w:rPr>
          <w:spacing w:val="-2"/>
        </w:rPr>
        <w:t xml:space="preserve"> </w:t>
      </w:r>
      <w:r>
        <w:t xml:space="preserve">the </w:t>
      </w:r>
      <w:r>
        <w:rPr>
          <w:spacing w:val="-1"/>
        </w:rPr>
        <w:t>Parties</w:t>
      </w:r>
      <w:r>
        <w:rPr>
          <w:spacing w:val="-2"/>
        </w:rPr>
        <w:t xml:space="preserve"> </w:t>
      </w:r>
      <w:r>
        <w:rPr>
          <w:spacing w:val="-1"/>
        </w:rPr>
        <w:t>may</w:t>
      </w:r>
      <w:r>
        <w:rPr>
          <w:spacing w:val="68"/>
        </w:rPr>
        <w:t xml:space="preserve"> </w:t>
      </w:r>
      <w:r>
        <w:rPr>
          <w:spacing w:val="-1"/>
        </w:rPr>
        <w:t xml:space="preserve">agree) after </w:t>
      </w:r>
      <w:r>
        <w:t>the</w:t>
      </w:r>
      <w:r>
        <w:rPr>
          <w:spacing w:val="-2"/>
        </w:rPr>
        <w:t xml:space="preserve"> Call</w:t>
      </w:r>
      <w:r>
        <w:t xml:space="preserve"> </w:t>
      </w:r>
      <w:r>
        <w:rPr>
          <w:spacing w:val="-1"/>
        </w:rPr>
        <w:t>Off</w:t>
      </w:r>
      <w:r>
        <w:rPr>
          <w:spacing w:val="-3"/>
        </w:rPr>
        <w:t xml:space="preserve"> </w:t>
      </w:r>
      <w:r>
        <w:rPr>
          <w:spacing w:val="-1"/>
        </w:rPr>
        <w:t>Commencement</w:t>
      </w:r>
      <w:r>
        <w:t xml:space="preserve"> </w:t>
      </w:r>
      <w:r>
        <w:rPr>
          <w:spacing w:val="-1"/>
        </w:rPr>
        <w:t>Date.</w:t>
      </w:r>
    </w:p>
    <w:p w:rsidR="008918FA" w:rsidRDefault="008918FA" w:rsidP="008918FA">
      <w:pPr>
        <w:pStyle w:val="BodyText"/>
        <w:numPr>
          <w:ilvl w:val="1"/>
          <w:numId w:val="26"/>
        </w:numPr>
        <w:tabs>
          <w:tab w:val="left" w:pos="828"/>
        </w:tabs>
        <w:spacing w:before="121"/>
        <w:ind w:left="827"/>
      </w:pPr>
      <w:r>
        <w:t>The</w:t>
      </w:r>
      <w:r>
        <w:rPr>
          <w:spacing w:val="-4"/>
        </w:rPr>
        <w:t xml:space="preserve"> </w:t>
      </w:r>
      <w:r>
        <w:rPr>
          <w:spacing w:val="-1"/>
        </w:rPr>
        <w:t>final</w:t>
      </w:r>
      <w:r>
        <w:rPr>
          <w:spacing w:val="-3"/>
        </w:rPr>
        <w:t xml:space="preserve"> </w:t>
      </w:r>
      <w:r>
        <w:rPr>
          <w:spacing w:val="-1"/>
        </w:rPr>
        <w:t>Test</w:t>
      </w:r>
      <w:r>
        <w:rPr>
          <w:spacing w:val="2"/>
        </w:rPr>
        <w:t xml:space="preserve"> </w:t>
      </w:r>
      <w:r>
        <w:rPr>
          <w:spacing w:val="-1"/>
        </w:rPr>
        <w:t>Strategy</w:t>
      </w:r>
      <w:r>
        <w:rPr>
          <w:spacing w:val="-2"/>
        </w:rPr>
        <w:t xml:space="preserve"> </w:t>
      </w:r>
      <w:r>
        <w:rPr>
          <w:spacing w:val="-1"/>
        </w:rPr>
        <w:t>shall</w:t>
      </w:r>
      <w:r>
        <w:t xml:space="preserve"> </w:t>
      </w:r>
      <w:r>
        <w:rPr>
          <w:spacing w:val="-2"/>
        </w:rPr>
        <w:t>include:</w:t>
      </w:r>
    </w:p>
    <w:p w:rsidR="008918FA" w:rsidRDefault="008918FA" w:rsidP="008918FA">
      <w:pPr>
        <w:pStyle w:val="BodyText"/>
        <w:numPr>
          <w:ilvl w:val="2"/>
          <w:numId w:val="26"/>
        </w:numPr>
        <w:tabs>
          <w:tab w:val="left" w:pos="2026"/>
        </w:tabs>
        <w:ind w:right="116"/>
        <w:jc w:val="both"/>
      </w:pPr>
      <w:r>
        <w:rPr>
          <w:spacing w:val="-1"/>
        </w:rPr>
        <w:t>an</w:t>
      </w:r>
      <w:r>
        <w:rPr>
          <w:spacing w:val="18"/>
        </w:rPr>
        <w:t xml:space="preserve"> </w:t>
      </w:r>
      <w:r>
        <w:rPr>
          <w:spacing w:val="-1"/>
        </w:rPr>
        <w:t>overview</w:t>
      </w:r>
      <w:r>
        <w:rPr>
          <w:spacing w:val="15"/>
        </w:rPr>
        <w:t xml:space="preserve"> </w:t>
      </w:r>
      <w:r>
        <w:rPr>
          <w:spacing w:val="-1"/>
        </w:rPr>
        <w:t>of</w:t>
      </w:r>
      <w:r>
        <w:rPr>
          <w:spacing w:val="22"/>
        </w:rPr>
        <w:t xml:space="preserve"> </w:t>
      </w:r>
      <w:r>
        <w:rPr>
          <w:spacing w:val="-1"/>
        </w:rPr>
        <w:t>how</w:t>
      </w:r>
      <w:r>
        <w:rPr>
          <w:spacing w:val="15"/>
        </w:rPr>
        <w:t xml:space="preserve"> </w:t>
      </w:r>
      <w:r>
        <w:rPr>
          <w:spacing w:val="-1"/>
        </w:rPr>
        <w:t>Testing</w:t>
      </w:r>
      <w:r>
        <w:rPr>
          <w:spacing w:val="21"/>
        </w:rPr>
        <w:t xml:space="preserve"> </w:t>
      </w:r>
      <w:r>
        <w:rPr>
          <w:spacing w:val="-2"/>
        </w:rPr>
        <w:t>will</w:t>
      </w:r>
      <w:r>
        <w:rPr>
          <w:spacing w:val="18"/>
        </w:rPr>
        <w:t xml:space="preserve"> </w:t>
      </w:r>
      <w:r>
        <w:rPr>
          <w:spacing w:val="-1"/>
        </w:rPr>
        <w:t>be</w:t>
      </w:r>
      <w:r>
        <w:rPr>
          <w:spacing w:val="18"/>
        </w:rPr>
        <w:t xml:space="preserve"> </w:t>
      </w:r>
      <w:r>
        <w:rPr>
          <w:spacing w:val="-1"/>
        </w:rPr>
        <w:t>conducted</w:t>
      </w:r>
      <w:r>
        <w:rPr>
          <w:spacing w:val="18"/>
        </w:rPr>
        <w:t xml:space="preserve"> </w:t>
      </w:r>
      <w:r>
        <w:rPr>
          <w:spacing w:val="-1"/>
        </w:rPr>
        <w:t>in</w:t>
      </w:r>
      <w:r>
        <w:rPr>
          <w:spacing w:val="18"/>
        </w:rPr>
        <w:t xml:space="preserve"> </w:t>
      </w:r>
      <w:r>
        <w:rPr>
          <w:spacing w:val="-1"/>
        </w:rPr>
        <w:t>relation</w:t>
      </w:r>
      <w:r>
        <w:rPr>
          <w:spacing w:val="18"/>
        </w:rPr>
        <w:t xml:space="preserve"> </w:t>
      </w:r>
      <w:r>
        <w:t>to</w:t>
      </w:r>
      <w:r>
        <w:rPr>
          <w:spacing w:val="16"/>
        </w:rPr>
        <w:t xml:space="preserve"> </w:t>
      </w:r>
      <w:r>
        <w:rPr>
          <w:spacing w:val="-1"/>
        </w:rPr>
        <w:t>the</w:t>
      </w:r>
      <w:r>
        <w:rPr>
          <w:spacing w:val="36"/>
        </w:rPr>
        <w:t xml:space="preserve"> </w:t>
      </w:r>
      <w:r>
        <w:rPr>
          <w:spacing w:val="-1"/>
        </w:rPr>
        <w:t>Implementation</w:t>
      </w:r>
      <w:r>
        <w:t xml:space="preserve"> </w:t>
      </w:r>
      <w:r>
        <w:rPr>
          <w:spacing w:val="-2"/>
        </w:rPr>
        <w:t>Plan;</w:t>
      </w:r>
    </w:p>
    <w:p w:rsidR="008918FA" w:rsidRDefault="008918FA" w:rsidP="008918FA">
      <w:pPr>
        <w:pStyle w:val="BodyText"/>
        <w:numPr>
          <w:ilvl w:val="2"/>
          <w:numId w:val="26"/>
        </w:numPr>
        <w:tabs>
          <w:tab w:val="left" w:pos="2026"/>
        </w:tabs>
        <w:spacing w:before="121"/>
        <w:ind w:right="114"/>
        <w:jc w:val="both"/>
      </w:pPr>
      <w:r>
        <w:t>the</w:t>
      </w:r>
      <w:r>
        <w:rPr>
          <w:spacing w:val="46"/>
        </w:rPr>
        <w:t xml:space="preserve"> </w:t>
      </w:r>
      <w:r>
        <w:rPr>
          <w:spacing w:val="-1"/>
        </w:rPr>
        <w:t>process</w:t>
      </w:r>
      <w:r>
        <w:rPr>
          <w:spacing w:val="44"/>
        </w:rPr>
        <w:t xml:space="preserve"> </w:t>
      </w:r>
      <w:r>
        <w:t>to</w:t>
      </w:r>
      <w:r>
        <w:rPr>
          <w:spacing w:val="46"/>
        </w:rPr>
        <w:t xml:space="preserve"> </w:t>
      </w:r>
      <w:r>
        <w:rPr>
          <w:spacing w:val="-1"/>
        </w:rPr>
        <w:t>be</w:t>
      </w:r>
      <w:r>
        <w:rPr>
          <w:spacing w:val="43"/>
        </w:rPr>
        <w:t xml:space="preserve"> </w:t>
      </w:r>
      <w:r>
        <w:rPr>
          <w:spacing w:val="-1"/>
        </w:rPr>
        <w:t>used</w:t>
      </w:r>
      <w:r>
        <w:rPr>
          <w:spacing w:val="43"/>
        </w:rPr>
        <w:t xml:space="preserve"> </w:t>
      </w:r>
      <w:r>
        <w:t>to</w:t>
      </w:r>
      <w:r>
        <w:rPr>
          <w:spacing w:val="46"/>
        </w:rPr>
        <w:t xml:space="preserve"> </w:t>
      </w:r>
      <w:r>
        <w:rPr>
          <w:spacing w:val="-1"/>
        </w:rPr>
        <w:t>capture</w:t>
      </w:r>
      <w:r>
        <w:rPr>
          <w:spacing w:val="47"/>
        </w:rPr>
        <w:t xml:space="preserve"> </w:t>
      </w:r>
      <w:r>
        <w:rPr>
          <w:spacing w:val="-1"/>
        </w:rPr>
        <w:t>and</w:t>
      </w:r>
      <w:r>
        <w:rPr>
          <w:spacing w:val="43"/>
        </w:rPr>
        <w:t xml:space="preserve"> </w:t>
      </w:r>
      <w:r>
        <w:rPr>
          <w:spacing w:val="-1"/>
        </w:rPr>
        <w:t>record</w:t>
      </w:r>
      <w:r>
        <w:rPr>
          <w:spacing w:val="41"/>
        </w:rPr>
        <w:t xml:space="preserve"> </w:t>
      </w:r>
      <w:r>
        <w:rPr>
          <w:spacing w:val="-1"/>
        </w:rPr>
        <w:t>Test</w:t>
      </w:r>
      <w:r>
        <w:rPr>
          <w:spacing w:val="45"/>
        </w:rPr>
        <w:t xml:space="preserve"> </w:t>
      </w:r>
      <w:r>
        <w:rPr>
          <w:spacing w:val="-1"/>
        </w:rPr>
        <w:t>results</w:t>
      </w:r>
      <w:r>
        <w:rPr>
          <w:spacing w:val="46"/>
        </w:rPr>
        <w:t xml:space="preserve"> </w:t>
      </w:r>
      <w:r>
        <w:rPr>
          <w:spacing w:val="-2"/>
        </w:rPr>
        <w:t>and</w:t>
      </w:r>
      <w:r>
        <w:rPr>
          <w:spacing w:val="46"/>
        </w:rPr>
        <w:t xml:space="preserve"> </w:t>
      </w:r>
      <w:r>
        <w:rPr>
          <w:spacing w:val="-1"/>
        </w:rPr>
        <w:t>the</w:t>
      </w:r>
      <w:r>
        <w:rPr>
          <w:spacing w:val="44"/>
        </w:rPr>
        <w:t xml:space="preserve"> </w:t>
      </w:r>
      <w:r>
        <w:rPr>
          <w:spacing w:val="-1"/>
        </w:rPr>
        <w:t>categorisation</w:t>
      </w:r>
      <w:r>
        <w:t xml:space="preserve"> </w:t>
      </w:r>
      <w:r>
        <w:rPr>
          <w:spacing w:val="-2"/>
        </w:rPr>
        <w:t>of</w:t>
      </w:r>
      <w:r>
        <w:t xml:space="preserve"> </w:t>
      </w:r>
      <w:r>
        <w:rPr>
          <w:spacing w:val="-1"/>
        </w:rPr>
        <w:t>Test</w:t>
      </w:r>
      <w:r>
        <w:t xml:space="preserve"> </w:t>
      </w:r>
      <w:r>
        <w:rPr>
          <w:spacing w:val="-2"/>
        </w:rPr>
        <w:t>Issues;</w:t>
      </w:r>
    </w:p>
    <w:p w:rsidR="008918FA" w:rsidRDefault="008918FA" w:rsidP="008918FA">
      <w:pPr>
        <w:pStyle w:val="BodyText"/>
        <w:numPr>
          <w:ilvl w:val="2"/>
          <w:numId w:val="26"/>
        </w:numPr>
        <w:tabs>
          <w:tab w:val="left" w:pos="2026"/>
        </w:tabs>
        <w:spacing w:before="121"/>
        <w:ind w:right="116"/>
        <w:jc w:val="both"/>
      </w:pPr>
      <w:r>
        <w:t>the</w:t>
      </w:r>
      <w:r>
        <w:rPr>
          <w:spacing w:val="12"/>
        </w:rPr>
        <w:t xml:space="preserve"> </w:t>
      </w:r>
      <w:r>
        <w:rPr>
          <w:spacing w:val="-1"/>
        </w:rPr>
        <w:t>procedure</w:t>
      </w:r>
      <w:r>
        <w:rPr>
          <w:spacing w:val="12"/>
        </w:rPr>
        <w:t xml:space="preserve"> </w:t>
      </w:r>
      <w:r>
        <w:t>to</w:t>
      </w:r>
      <w:r>
        <w:rPr>
          <w:spacing w:val="12"/>
        </w:rPr>
        <w:t xml:space="preserve"> </w:t>
      </w:r>
      <w:r>
        <w:rPr>
          <w:spacing w:val="-1"/>
        </w:rPr>
        <w:t>be</w:t>
      </w:r>
      <w:r>
        <w:rPr>
          <w:spacing w:val="10"/>
        </w:rPr>
        <w:t xml:space="preserve"> </w:t>
      </w:r>
      <w:r>
        <w:rPr>
          <w:spacing w:val="-2"/>
        </w:rPr>
        <w:t>followed</w:t>
      </w:r>
      <w:r>
        <w:rPr>
          <w:spacing w:val="12"/>
        </w:rPr>
        <w:t xml:space="preserve"> </w:t>
      </w:r>
      <w:r>
        <w:rPr>
          <w:spacing w:val="-1"/>
        </w:rPr>
        <w:t>should</w:t>
      </w:r>
      <w:r>
        <w:rPr>
          <w:spacing w:val="12"/>
        </w:rPr>
        <w:t xml:space="preserve"> </w:t>
      </w:r>
      <w:r>
        <w:t>a</w:t>
      </w:r>
      <w:r>
        <w:rPr>
          <w:spacing w:val="15"/>
        </w:rPr>
        <w:t xml:space="preserve"> </w:t>
      </w:r>
      <w:r>
        <w:rPr>
          <w:spacing w:val="-1"/>
        </w:rPr>
        <w:t>Deliverable</w:t>
      </w:r>
      <w:r>
        <w:rPr>
          <w:spacing w:val="10"/>
        </w:rPr>
        <w:t xml:space="preserve"> </w:t>
      </w:r>
      <w:r>
        <w:t>fail</w:t>
      </w:r>
      <w:r>
        <w:rPr>
          <w:spacing w:val="12"/>
        </w:rPr>
        <w:t xml:space="preserve"> </w:t>
      </w:r>
      <w:r>
        <w:t>a</w:t>
      </w:r>
      <w:r>
        <w:rPr>
          <w:spacing w:val="12"/>
        </w:rPr>
        <w:t xml:space="preserve"> </w:t>
      </w:r>
      <w:r>
        <w:t>Test</w:t>
      </w:r>
      <w:r>
        <w:rPr>
          <w:spacing w:val="14"/>
        </w:rPr>
        <w:t xml:space="preserve"> </w:t>
      </w:r>
      <w:r>
        <w:rPr>
          <w:spacing w:val="-2"/>
        </w:rPr>
        <w:t>or</w:t>
      </w:r>
      <w:r>
        <w:rPr>
          <w:spacing w:val="14"/>
        </w:rPr>
        <w:t xml:space="preserve"> </w:t>
      </w:r>
      <w:r>
        <w:rPr>
          <w:spacing w:val="-2"/>
        </w:rPr>
        <w:t>where</w:t>
      </w:r>
      <w:r>
        <w:rPr>
          <w:spacing w:val="37"/>
        </w:rPr>
        <w:t xml:space="preserve"> </w:t>
      </w:r>
      <w:r>
        <w:t>a</w:t>
      </w:r>
      <w:r>
        <w:rPr>
          <w:spacing w:val="27"/>
        </w:rPr>
        <w:t xml:space="preserve"> </w:t>
      </w:r>
      <w:r>
        <w:rPr>
          <w:spacing w:val="-2"/>
        </w:rPr>
        <w:t>Deliverable</w:t>
      </w:r>
      <w:r>
        <w:rPr>
          <w:spacing w:val="27"/>
        </w:rPr>
        <w:t xml:space="preserve"> </w:t>
      </w:r>
      <w:r>
        <w:rPr>
          <w:spacing w:val="-1"/>
        </w:rPr>
        <w:t>produces</w:t>
      </w:r>
      <w:r>
        <w:rPr>
          <w:spacing w:val="27"/>
        </w:rPr>
        <w:t xml:space="preserve"> </w:t>
      </w:r>
      <w:r>
        <w:rPr>
          <w:spacing w:val="-1"/>
        </w:rPr>
        <w:t>unexpected</w:t>
      </w:r>
      <w:r>
        <w:rPr>
          <w:spacing w:val="27"/>
        </w:rPr>
        <w:t xml:space="preserve"> </w:t>
      </w:r>
      <w:r>
        <w:rPr>
          <w:spacing w:val="-1"/>
        </w:rPr>
        <w:t>results,</w:t>
      </w:r>
      <w:r>
        <w:rPr>
          <w:spacing w:val="29"/>
        </w:rPr>
        <w:t xml:space="preserve"> </w:t>
      </w:r>
      <w:r>
        <w:rPr>
          <w:spacing w:val="-2"/>
        </w:rPr>
        <w:t>including</w:t>
      </w:r>
      <w:r>
        <w:rPr>
          <w:spacing w:val="29"/>
        </w:rPr>
        <w:t xml:space="preserve"> </w:t>
      </w:r>
      <w:r>
        <w:t>a</w:t>
      </w:r>
      <w:r>
        <w:rPr>
          <w:spacing w:val="27"/>
        </w:rPr>
        <w:t xml:space="preserve"> </w:t>
      </w:r>
      <w:r>
        <w:rPr>
          <w:spacing w:val="-1"/>
        </w:rPr>
        <w:t>procedure</w:t>
      </w:r>
      <w:r>
        <w:rPr>
          <w:spacing w:val="24"/>
        </w:rPr>
        <w:t xml:space="preserve"> </w:t>
      </w:r>
      <w:r>
        <w:t>for</w:t>
      </w:r>
      <w:r>
        <w:rPr>
          <w:spacing w:val="51"/>
        </w:rPr>
        <w:t xml:space="preserve"> </w:t>
      </w:r>
      <w:r>
        <w:t>the</w:t>
      </w:r>
      <w:r>
        <w:rPr>
          <w:spacing w:val="-2"/>
        </w:rPr>
        <w:t xml:space="preserve"> </w:t>
      </w:r>
      <w:r>
        <w:rPr>
          <w:spacing w:val="-1"/>
        </w:rPr>
        <w:t>resolution</w:t>
      </w:r>
      <w:r>
        <w:t xml:space="preserve"> </w:t>
      </w:r>
      <w:r>
        <w:rPr>
          <w:spacing w:val="-2"/>
        </w:rPr>
        <w:t>of</w:t>
      </w:r>
      <w:r>
        <w:t xml:space="preserve"> </w:t>
      </w:r>
      <w:r>
        <w:rPr>
          <w:spacing w:val="-1"/>
        </w:rPr>
        <w:t>Test</w:t>
      </w:r>
      <w:r>
        <w:t xml:space="preserve"> </w:t>
      </w:r>
      <w:r>
        <w:rPr>
          <w:spacing w:val="-1"/>
        </w:rPr>
        <w:t>Issues;</w:t>
      </w:r>
    </w:p>
    <w:p w:rsidR="008918FA" w:rsidRDefault="008918FA" w:rsidP="008918FA">
      <w:pPr>
        <w:pStyle w:val="BodyText"/>
        <w:numPr>
          <w:ilvl w:val="2"/>
          <w:numId w:val="26"/>
        </w:numPr>
        <w:tabs>
          <w:tab w:val="left" w:pos="2026"/>
        </w:tabs>
        <w:spacing w:before="121"/>
      </w:pPr>
      <w:r>
        <w:t xml:space="preserve">the </w:t>
      </w:r>
      <w:r>
        <w:rPr>
          <w:spacing w:val="-1"/>
        </w:rPr>
        <w:t>procedure</w:t>
      </w:r>
      <w:r>
        <w:rPr>
          <w:spacing w:val="-2"/>
        </w:rPr>
        <w:t xml:space="preserve"> </w:t>
      </w:r>
      <w:r>
        <w:t>to</w:t>
      </w:r>
      <w:r>
        <w:rPr>
          <w:spacing w:val="-2"/>
        </w:rPr>
        <w:t xml:space="preserve"> </w:t>
      </w:r>
      <w:r>
        <w:rPr>
          <w:spacing w:val="-1"/>
        </w:rPr>
        <w:t>be</w:t>
      </w:r>
      <w:r>
        <w:rPr>
          <w:spacing w:val="-2"/>
        </w:rPr>
        <w:t xml:space="preserve"> followed</w:t>
      </w:r>
      <w:r>
        <w:t xml:space="preserve"> to sign</w:t>
      </w:r>
      <w:r>
        <w:rPr>
          <w:spacing w:val="-2"/>
        </w:rPr>
        <w:t xml:space="preserve"> </w:t>
      </w:r>
      <w:r>
        <w:rPr>
          <w:spacing w:val="-1"/>
        </w:rPr>
        <w:t>off</w:t>
      </w:r>
      <w:r>
        <w:rPr>
          <w:spacing w:val="2"/>
        </w:rPr>
        <w:t xml:space="preserve"> </w:t>
      </w:r>
      <w:r>
        <w:rPr>
          <w:spacing w:val="-2"/>
        </w:rPr>
        <w:t xml:space="preserve">each </w:t>
      </w:r>
      <w:r>
        <w:rPr>
          <w:spacing w:val="-1"/>
        </w:rPr>
        <w:t>Test;</w:t>
      </w:r>
      <w:r>
        <w:rPr>
          <w:spacing w:val="2"/>
        </w:rPr>
        <w:t xml:space="preserve"> </w:t>
      </w:r>
      <w:r>
        <w:rPr>
          <w:spacing w:val="-1"/>
        </w:rPr>
        <w:t>and</w:t>
      </w:r>
    </w:p>
    <w:p w:rsidR="008918FA" w:rsidRDefault="008918FA" w:rsidP="008918FA">
      <w:pPr>
        <w:pStyle w:val="BodyText"/>
        <w:numPr>
          <w:ilvl w:val="2"/>
          <w:numId w:val="26"/>
        </w:numPr>
        <w:tabs>
          <w:tab w:val="left" w:pos="2026"/>
        </w:tabs>
        <w:ind w:right="115"/>
        <w:jc w:val="both"/>
      </w:pPr>
      <w:r>
        <w:t>the</w:t>
      </w:r>
      <w:r>
        <w:rPr>
          <w:spacing w:val="24"/>
        </w:rPr>
        <w:t xml:space="preserve"> </w:t>
      </w:r>
      <w:r>
        <w:rPr>
          <w:spacing w:val="-1"/>
        </w:rPr>
        <w:t>process</w:t>
      </w:r>
      <w:r>
        <w:rPr>
          <w:spacing w:val="23"/>
        </w:rPr>
        <w:t xml:space="preserve"> </w:t>
      </w:r>
      <w:r>
        <w:t>for</w:t>
      </w:r>
      <w:r>
        <w:rPr>
          <w:spacing w:val="23"/>
        </w:rPr>
        <w:t xml:space="preserve"> </w:t>
      </w:r>
      <w:r>
        <w:t>the</w:t>
      </w:r>
      <w:r>
        <w:rPr>
          <w:spacing w:val="24"/>
        </w:rPr>
        <w:t xml:space="preserve"> </w:t>
      </w:r>
      <w:r>
        <w:rPr>
          <w:spacing w:val="-2"/>
        </w:rPr>
        <w:t>production</w:t>
      </w:r>
      <w:r>
        <w:rPr>
          <w:spacing w:val="24"/>
        </w:rPr>
        <w:t xml:space="preserve"> </w:t>
      </w:r>
      <w:r>
        <w:rPr>
          <w:spacing w:val="-1"/>
        </w:rPr>
        <w:t>and</w:t>
      </w:r>
      <w:r>
        <w:rPr>
          <w:spacing w:val="22"/>
        </w:rPr>
        <w:t xml:space="preserve"> </w:t>
      </w:r>
      <w:r>
        <w:rPr>
          <w:spacing w:val="-1"/>
        </w:rPr>
        <w:t>maintenance</w:t>
      </w:r>
      <w:r>
        <w:rPr>
          <w:spacing w:val="22"/>
        </w:rPr>
        <w:t xml:space="preserve"> </w:t>
      </w:r>
      <w:r>
        <w:rPr>
          <w:spacing w:val="-2"/>
        </w:rPr>
        <w:t>of</w:t>
      </w:r>
      <w:r>
        <w:rPr>
          <w:spacing w:val="26"/>
        </w:rPr>
        <w:t xml:space="preserve"> </w:t>
      </w:r>
      <w:r>
        <w:rPr>
          <w:spacing w:val="-1"/>
        </w:rPr>
        <w:t>reports</w:t>
      </w:r>
      <w:r>
        <w:rPr>
          <w:spacing w:val="22"/>
        </w:rPr>
        <w:t xml:space="preserve"> </w:t>
      </w:r>
      <w:r>
        <w:rPr>
          <w:spacing w:val="-1"/>
        </w:rPr>
        <w:t>relating</w:t>
      </w:r>
      <w:r>
        <w:rPr>
          <w:spacing w:val="24"/>
        </w:rPr>
        <w:t xml:space="preserve"> </w:t>
      </w:r>
      <w:r>
        <w:t>to</w:t>
      </w:r>
      <w:r>
        <w:rPr>
          <w:spacing w:val="43"/>
        </w:rPr>
        <w:t xml:space="preserve"> </w:t>
      </w:r>
      <w:r>
        <w:rPr>
          <w:spacing w:val="-2"/>
        </w:rPr>
        <w:t>Tests.</w:t>
      </w:r>
    </w:p>
    <w:p w:rsidR="008918FA" w:rsidRDefault="008918FA" w:rsidP="008918FA">
      <w:pPr>
        <w:pStyle w:val="BodyText"/>
        <w:numPr>
          <w:ilvl w:val="0"/>
          <w:numId w:val="26"/>
        </w:numPr>
        <w:tabs>
          <w:tab w:val="left" w:pos="465"/>
        </w:tabs>
        <w:spacing w:before="117"/>
        <w:ind w:left="464" w:hanging="359"/>
        <w:rPr>
          <w:rFonts w:ascii="Times New Roman" w:eastAsia="Times New Roman" w:hAnsi="Times New Roman" w:cs="Times New Roman"/>
        </w:rPr>
      </w:pPr>
      <w:r>
        <w:rPr>
          <w:rFonts w:ascii="Times New Roman"/>
          <w:spacing w:val="2"/>
        </w:rPr>
        <w:t>TES</w:t>
      </w:r>
      <w:r>
        <w:rPr>
          <w:rFonts w:ascii="Times New Roman"/>
          <w:spacing w:val="-29"/>
        </w:rPr>
        <w:t xml:space="preserve"> </w:t>
      </w:r>
      <w:r>
        <w:rPr>
          <w:rFonts w:ascii="Times New Roman"/>
        </w:rPr>
        <w:t>T</w:t>
      </w:r>
      <w:r>
        <w:rPr>
          <w:rFonts w:ascii="Times New Roman"/>
          <w:spacing w:val="4"/>
        </w:rPr>
        <w:t xml:space="preserve"> </w:t>
      </w:r>
      <w:r>
        <w:rPr>
          <w:rFonts w:ascii="Times New Roman"/>
          <w:spacing w:val="3"/>
        </w:rPr>
        <w:t>PLANS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6"/>
        </w:numPr>
        <w:tabs>
          <w:tab w:val="left" w:pos="828"/>
        </w:tabs>
        <w:spacing w:before="0"/>
        <w:ind w:left="827" w:right="116"/>
        <w:jc w:val="both"/>
      </w:pPr>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1"/>
        </w:rPr>
        <w:t>develop</w:t>
      </w:r>
      <w:r>
        <w:rPr>
          <w:spacing w:val="5"/>
        </w:rPr>
        <w:t xml:space="preserve"> </w:t>
      </w:r>
      <w:r>
        <w:rPr>
          <w:spacing w:val="-1"/>
        </w:rPr>
        <w:t>Test</w:t>
      </w:r>
      <w:r>
        <w:rPr>
          <w:spacing w:val="7"/>
        </w:rPr>
        <w:t xml:space="preserve"> </w:t>
      </w:r>
      <w:r>
        <w:rPr>
          <w:spacing w:val="-1"/>
        </w:rPr>
        <w:t>Plans</w:t>
      </w:r>
      <w:r>
        <w:rPr>
          <w:spacing w:val="3"/>
        </w:rPr>
        <w:t xml:space="preserve"> </w:t>
      </w:r>
      <w:r>
        <w:t>for</w:t>
      </w:r>
      <w:r>
        <w:rPr>
          <w:spacing w:val="4"/>
        </w:rPr>
        <w:t xml:space="preserve"> </w:t>
      </w:r>
      <w:r>
        <w:t>the</w:t>
      </w:r>
      <w:r>
        <w:rPr>
          <w:spacing w:val="5"/>
        </w:rPr>
        <w:t xml:space="preserve"> </w:t>
      </w:r>
      <w:r>
        <w:rPr>
          <w:spacing w:val="-2"/>
        </w:rPr>
        <w:t>approval</w:t>
      </w:r>
      <w:r>
        <w:rPr>
          <w:spacing w:val="4"/>
        </w:rPr>
        <w:t xml:space="preserve"> </w:t>
      </w:r>
      <w:r>
        <w:rPr>
          <w:spacing w:val="-1"/>
        </w:rPr>
        <w:t>of</w:t>
      </w:r>
      <w:r>
        <w:rPr>
          <w:spacing w:val="9"/>
        </w:rPr>
        <w:t xml:space="preserve"> </w:t>
      </w:r>
      <w:r>
        <w:t>the</w:t>
      </w:r>
      <w:r>
        <w:rPr>
          <w:spacing w:val="5"/>
        </w:rPr>
        <w:t xml:space="preserve"> </w:t>
      </w:r>
      <w:r>
        <w:rPr>
          <w:spacing w:val="-2"/>
        </w:rPr>
        <w:t>Customer</w:t>
      </w:r>
      <w:r>
        <w:rPr>
          <w:spacing w:val="6"/>
        </w:rPr>
        <w:t xml:space="preserve"> </w:t>
      </w:r>
      <w:r>
        <w:rPr>
          <w:spacing w:val="-2"/>
        </w:rPr>
        <w:t>as</w:t>
      </w:r>
      <w:r>
        <w:rPr>
          <w:spacing w:val="5"/>
        </w:rPr>
        <w:t xml:space="preserve"> </w:t>
      </w:r>
      <w:r>
        <w:rPr>
          <w:spacing w:val="-1"/>
        </w:rPr>
        <w:t>soon</w:t>
      </w:r>
      <w:r>
        <w:rPr>
          <w:spacing w:val="5"/>
        </w:rPr>
        <w:t xml:space="preserve"> </w:t>
      </w:r>
      <w:r>
        <w:rPr>
          <w:spacing w:val="-1"/>
        </w:rPr>
        <w:t>as</w:t>
      </w:r>
      <w:r>
        <w:rPr>
          <w:spacing w:val="62"/>
        </w:rPr>
        <w:t xml:space="preserve"> </w:t>
      </w:r>
      <w:r>
        <w:rPr>
          <w:spacing w:val="-1"/>
        </w:rPr>
        <w:t>practicable</w:t>
      </w:r>
      <w:r>
        <w:rPr>
          <w:spacing w:val="29"/>
        </w:rPr>
        <w:t xml:space="preserve"> </w:t>
      </w:r>
      <w:r>
        <w:rPr>
          <w:spacing w:val="-1"/>
        </w:rPr>
        <w:t>but</w:t>
      </w:r>
      <w:r>
        <w:rPr>
          <w:spacing w:val="30"/>
        </w:rPr>
        <w:t xml:space="preserve"> </w:t>
      </w:r>
      <w:r>
        <w:rPr>
          <w:spacing w:val="-1"/>
        </w:rPr>
        <w:t>in</w:t>
      </w:r>
      <w:r>
        <w:rPr>
          <w:spacing w:val="29"/>
        </w:rPr>
        <w:t xml:space="preserve"> </w:t>
      </w:r>
      <w:r>
        <w:rPr>
          <w:spacing w:val="-1"/>
        </w:rPr>
        <w:t>any</w:t>
      </w:r>
      <w:r>
        <w:rPr>
          <w:spacing w:val="27"/>
        </w:rPr>
        <w:t xml:space="preserve"> </w:t>
      </w:r>
      <w:r>
        <w:t>case</w:t>
      </w:r>
      <w:r>
        <w:rPr>
          <w:spacing w:val="30"/>
        </w:rPr>
        <w:t xml:space="preserve"> </w:t>
      </w:r>
      <w:r>
        <w:rPr>
          <w:spacing w:val="-1"/>
        </w:rPr>
        <w:t>no</w:t>
      </w:r>
      <w:r>
        <w:rPr>
          <w:spacing w:val="29"/>
        </w:rPr>
        <w:t xml:space="preserve"> </w:t>
      </w:r>
      <w:r>
        <w:rPr>
          <w:spacing w:val="-1"/>
        </w:rPr>
        <w:t>later</w:t>
      </w:r>
      <w:r>
        <w:rPr>
          <w:spacing w:val="30"/>
        </w:rPr>
        <w:t xml:space="preserve"> </w:t>
      </w:r>
      <w:r>
        <w:rPr>
          <w:spacing w:val="-1"/>
        </w:rPr>
        <w:t>than</w:t>
      </w:r>
      <w:r>
        <w:rPr>
          <w:spacing w:val="29"/>
        </w:rPr>
        <w:t xml:space="preserve"> </w:t>
      </w:r>
      <w:r>
        <w:rPr>
          <w:spacing w:val="-1"/>
        </w:rPr>
        <w:t>sixty</w:t>
      </w:r>
      <w:r>
        <w:rPr>
          <w:spacing w:val="27"/>
        </w:rPr>
        <w:t xml:space="preserve"> </w:t>
      </w:r>
      <w:r>
        <w:t>(60)</w:t>
      </w:r>
      <w:r>
        <w:rPr>
          <w:spacing w:val="26"/>
        </w:rPr>
        <w:t xml:space="preserve"> </w:t>
      </w:r>
      <w:r>
        <w:rPr>
          <w:spacing w:val="-1"/>
        </w:rPr>
        <w:t>Working</w:t>
      </w:r>
      <w:r>
        <w:rPr>
          <w:spacing w:val="31"/>
        </w:rPr>
        <w:t xml:space="preserve"> </w:t>
      </w:r>
      <w:r>
        <w:rPr>
          <w:spacing w:val="-2"/>
        </w:rPr>
        <w:t>Days</w:t>
      </w:r>
      <w:r>
        <w:rPr>
          <w:spacing w:val="30"/>
        </w:rPr>
        <w:t xml:space="preserve"> </w:t>
      </w:r>
      <w:r>
        <w:rPr>
          <w:spacing w:val="-1"/>
        </w:rPr>
        <w:t>(or</w:t>
      </w:r>
      <w:r>
        <w:rPr>
          <w:spacing w:val="30"/>
        </w:rPr>
        <w:t xml:space="preserve"> </w:t>
      </w:r>
      <w:r>
        <w:rPr>
          <w:spacing w:val="-1"/>
        </w:rPr>
        <w:t>such</w:t>
      </w:r>
      <w:r>
        <w:rPr>
          <w:spacing w:val="30"/>
        </w:rPr>
        <w:t xml:space="preserve"> </w:t>
      </w:r>
      <w:r>
        <w:rPr>
          <w:spacing w:val="-1"/>
        </w:rPr>
        <w:t>other</w:t>
      </w:r>
      <w:r>
        <w:rPr>
          <w:spacing w:val="53"/>
        </w:rPr>
        <w:t xml:space="preserve"> </w:t>
      </w:r>
      <w:r>
        <w:rPr>
          <w:spacing w:val="-1"/>
        </w:rPr>
        <w:t>period</w:t>
      </w:r>
      <w:r>
        <w:rPr>
          <w:spacing w:val="5"/>
        </w:rPr>
        <w:t xml:space="preserve"> </w:t>
      </w:r>
      <w:r>
        <w:rPr>
          <w:spacing w:val="-1"/>
        </w:rPr>
        <w:t>as</w:t>
      </w:r>
      <w:r>
        <w:rPr>
          <w:spacing w:val="5"/>
        </w:rPr>
        <w:t xml:space="preserve"> </w:t>
      </w:r>
      <w:r>
        <w:t>the</w:t>
      </w:r>
      <w:r>
        <w:rPr>
          <w:spacing w:val="5"/>
        </w:rPr>
        <w:t xml:space="preserve"> </w:t>
      </w:r>
      <w:r>
        <w:rPr>
          <w:spacing w:val="-1"/>
        </w:rPr>
        <w:t>Parties</w:t>
      </w:r>
      <w:r>
        <w:rPr>
          <w:spacing w:val="5"/>
        </w:rPr>
        <w:t xml:space="preserve"> </w:t>
      </w:r>
      <w:r>
        <w:rPr>
          <w:spacing w:val="-1"/>
        </w:rPr>
        <w:t>may</w:t>
      </w:r>
      <w:r>
        <w:rPr>
          <w:spacing w:val="3"/>
        </w:rPr>
        <w:t xml:space="preserve"> </w:t>
      </w:r>
      <w:r>
        <w:t>agree</w:t>
      </w:r>
      <w:r>
        <w:rPr>
          <w:spacing w:val="5"/>
        </w:rPr>
        <w:t xml:space="preserve"> </w:t>
      </w:r>
      <w:r>
        <w:rPr>
          <w:spacing w:val="-1"/>
        </w:rPr>
        <w:t>in</w:t>
      </w:r>
      <w:r>
        <w:rPr>
          <w:spacing w:val="5"/>
        </w:rPr>
        <w:t xml:space="preserve"> </w:t>
      </w:r>
      <w:r>
        <w:t>the</w:t>
      </w:r>
      <w:r>
        <w:rPr>
          <w:spacing w:val="5"/>
        </w:rPr>
        <w:t xml:space="preserve"> </w:t>
      </w:r>
      <w:r>
        <w:rPr>
          <w:spacing w:val="-1"/>
        </w:rPr>
        <w:t>Test</w:t>
      </w:r>
      <w:r>
        <w:rPr>
          <w:spacing w:val="7"/>
        </w:rPr>
        <w:t xml:space="preserve"> </w:t>
      </w:r>
      <w:r>
        <w:rPr>
          <w:spacing w:val="-1"/>
        </w:rPr>
        <w:t>Strategy</w:t>
      </w:r>
      <w:r>
        <w:rPr>
          <w:spacing w:val="3"/>
        </w:rPr>
        <w:t xml:space="preserve"> </w:t>
      </w:r>
      <w:r>
        <w:rPr>
          <w:spacing w:val="-1"/>
        </w:rPr>
        <w:t>or</w:t>
      </w:r>
      <w:r>
        <w:rPr>
          <w:spacing w:val="6"/>
        </w:rPr>
        <w:t xml:space="preserve"> </w:t>
      </w:r>
      <w:r>
        <w:rPr>
          <w:spacing w:val="-1"/>
        </w:rPr>
        <w:t>otherwise)</w:t>
      </w:r>
      <w:r>
        <w:rPr>
          <w:spacing w:val="6"/>
        </w:rPr>
        <w:t xml:space="preserve"> </w:t>
      </w:r>
      <w:r>
        <w:rPr>
          <w:spacing w:val="-1"/>
        </w:rPr>
        <w:t>prior</w:t>
      </w:r>
      <w:r>
        <w:rPr>
          <w:spacing w:val="6"/>
        </w:rPr>
        <w:t xml:space="preserve"> </w:t>
      </w:r>
      <w:r>
        <w:rPr>
          <w:spacing w:val="-1"/>
        </w:rPr>
        <w:t>to</w:t>
      </w:r>
      <w:r>
        <w:rPr>
          <w:spacing w:val="5"/>
        </w:rPr>
        <w:t xml:space="preserve"> </w:t>
      </w:r>
      <w:r>
        <w:t>the</w:t>
      </w:r>
      <w:r>
        <w:rPr>
          <w:spacing w:val="5"/>
        </w:rPr>
        <w:t xml:space="preserve"> </w:t>
      </w:r>
      <w:r>
        <w:rPr>
          <w:spacing w:val="-1"/>
        </w:rPr>
        <w:t>start</w:t>
      </w:r>
      <w:r>
        <w:rPr>
          <w:spacing w:val="35"/>
        </w:rPr>
        <w:t xml:space="preserve"> </w:t>
      </w:r>
      <w:r>
        <w:rPr>
          <w:spacing w:val="-1"/>
        </w:rPr>
        <w:t>date</w:t>
      </w:r>
      <w:r>
        <w:rPr>
          <w:spacing w:val="-2"/>
        </w:rPr>
        <w:t xml:space="preserve"> </w:t>
      </w:r>
      <w:r>
        <w:t>for</w:t>
      </w:r>
      <w:r>
        <w:rPr>
          <w:spacing w:val="-1"/>
        </w:rPr>
        <w:t xml:space="preserve"> </w:t>
      </w:r>
      <w:r>
        <w:t>the</w:t>
      </w:r>
      <w:r>
        <w:rPr>
          <w:spacing w:val="-2"/>
        </w:rPr>
        <w:t xml:space="preserve"> relevant</w:t>
      </w:r>
      <w:r>
        <w:t xml:space="preserve"> </w:t>
      </w:r>
      <w:r>
        <w:rPr>
          <w:spacing w:val="-2"/>
        </w:rPr>
        <w:t>Testing</w:t>
      </w:r>
      <w:r>
        <w:rPr>
          <w:spacing w:val="3"/>
        </w:rPr>
        <w:t xml:space="preserve"> </w:t>
      </w:r>
      <w:r>
        <w:rPr>
          <w:spacing w:val="-1"/>
        </w:rPr>
        <w:t>as</w:t>
      </w:r>
      <w:r>
        <w:rPr>
          <w:spacing w:val="-2"/>
        </w:rPr>
        <w:t xml:space="preserve"> </w:t>
      </w:r>
      <w:r>
        <w:rPr>
          <w:spacing w:val="-1"/>
        </w:rPr>
        <w:t>specified</w:t>
      </w:r>
      <w:r>
        <w:rPr>
          <w:spacing w:val="-2"/>
        </w:rPr>
        <w:t xml:space="preserve"> </w:t>
      </w:r>
      <w:r>
        <w:rPr>
          <w:spacing w:val="-1"/>
        </w:rPr>
        <w:t>in</w:t>
      </w:r>
      <w:r>
        <w:t xml:space="preserve"> the</w:t>
      </w:r>
      <w:r>
        <w:rPr>
          <w:spacing w:val="-2"/>
        </w:rPr>
        <w:t xml:space="preserve"> </w:t>
      </w:r>
      <w:r>
        <w:rPr>
          <w:spacing w:val="-1"/>
        </w:rPr>
        <w:t>Implementation</w:t>
      </w:r>
      <w:r>
        <w:rPr>
          <w:spacing w:val="-2"/>
        </w:rPr>
        <w:t xml:space="preserve"> Plan.</w:t>
      </w:r>
    </w:p>
    <w:p w:rsidR="008918FA" w:rsidRDefault="008918FA" w:rsidP="008918FA">
      <w:pPr>
        <w:pStyle w:val="BodyText"/>
        <w:numPr>
          <w:ilvl w:val="1"/>
          <w:numId w:val="26"/>
        </w:numPr>
        <w:tabs>
          <w:tab w:val="left" w:pos="828"/>
        </w:tabs>
        <w:ind w:left="827"/>
      </w:pPr>
      <w:r>
        <w:rPr>
          <w:spacing w:val="-1"/>
        </w:rPr>
        <w:t>Each</w:t>
      </w:r>
      <w:r>
        <w:rPr>
          <w:spacing w:val="-2"/>
        </w:rPr>
        <w:t xml:space="preserve"> </w:t>
      </w:r>
      <w:r>
        <w:rPr>
          <w:spacing w:val="-1"/>
        </w:rPr>
        <w:t>Test</w:t>
      </w:r>
      <w:r>
        <w:t xml:space="preserve"> </w:t>
      </w:r>
      <w:r>
        <w:rPr>
          <w:spacing w:val="-1"/>
        </w:rPr>
        <w:t>Plan</w:t>
      </w:r>
      <w:r>
        <w:t xml:space="preserve"> </w:t>
      </w:r>
      <w:r>
        <w:rPr>
          <w:spacing w:val="-1"/>
        </w:rPr>
        <w:t>shall</w:t>
      </w:r>
      <w:r>
        <w:t xml:space="preserve"> </w:t>
      </w:r>
      <w:r>
        <w:rPr>
          <w:spacing w:val="-1"/>
        </w:rPr>
        <w:t>include</w:t>
      </w:r>
      <w:r>
        <w:t xml:space="preserve"> </w:t>
      </w:r>
      <w:r>
        <w:rPr>
          <w:spacing w:val="-1"/>
        </w:rPr>
        <w:t>as</w:t>
      </w:r>
      <w:r>
        <w:rPr>
          <w:spacing w:val="1"/>
        </w:rPr>
        <w:t xml:space="preserve"> </w:t>
      </w:r>
      <w:r>
        <w:t>a</w:t>
      </w:r>
      <w:r>
        <w:rPr>
          <w:spacing w:val="-2"/>
        </w:rPr>
        <w:t xml:space="preserve"> minimum:</w:t>
      </w:r>
    </w:p>
    <w:p w:rsidR="008918FA" w:rsidRDefault="008918FA" w:rsidP="008918FA">
      <w:pPr>
        <w:pStyle w:val="BodyText"/>
        <w:numPr>
          <w:ilvl w:val="2"/>
          <w:numId w:val="26"/>
        </w:numPr>
        <w:tabs>
          <w:tab w:val="left" w:pos="2025"/>
        </w:tabs>
        <w:spacing w:before="121"/>
        <w:ind w:left="2024" w:right="120" w:hanging="993"/>
      </w:pPr>
      <w:r>
        <w:t>the</w:t>
      </w:r>
      <w:r>
        <w:rPr>
          <w:spacing w:val="15"/>
        </w:rPr>
        <w:t xml:space="preserve"> </w:t>
      </w:r>
      <w:r>
        <w:rPr>
          <w:spacing w:val="-2"/>
        </w:rPr>
        <w:t>relevant</w:t>
      </w:r>
      <w:r>
        <w:rPr>
          <w:spacing w:val="16"/>
        </w:rPr>
        <w:t xml:space="preserve"> </w:t>
      </w:r>
      <w:r>
        <w:rPr>
          <w:spacing w:val="-1"/>
        </w:rPr>
        <w:t>Test</w:t>
      </w:r>
      <w:r>
        <w:rPr>
          <w:spacing w:val="14"/>
        </w:rPr>
        <w:t xml:space="preserve"> </w:t>
      </w:r>
      <w:r>
        <w:rPr>
          <w:spacing w:val="-1"/>
        </w:rPr>
        <w:t>definition</w:t>
      </w:r>
      <w:r>
        <w:rPr>
          <w:spacing w:val="15"/>
        </w:rPr>
        <w:t xml:space="preserve"> </w:t>
      </w:r>
      <w:r>
        <w:rPr>
          <w:spacing w:val="-1"/>
        </w:rPr>
        <w:t>and</w:t>
      </w:r>
      <w:r>
        <w:rPr>
          <w:spacing w:val="12"/>
        </w:rPr>
        <w:t xml:space="preserve"> </w:t>
      </w:r>
      <w:r>
        <w:t>the</w:t>
      </w:r>
      <w:r>
        <w:rPr>
          <w:spacing w:val="15"/>
        </w:rPr>
        <w:t xml:space="preserve"> </w:t>
      </w:r>
      <w:r>
        <w:rPr>
          <w:spacing w:val="-1"/>
        </w:rPr>
        <w:t>purpose</w:t>
      </w:r>
      <w:r>
        <w:rPr>
          <w:spacing w:val="15"/>
        </w:rPr>
        <w:t xml:space="preserve"> </w:t>
      </w:r>
      <w:r>
        <w:rPr>
          <w:spacing w:val="-2"/>
        </w:rPr>
        <w:t>of</w:t>
      </w:r>
      <w:r>
        <w:rPr>
          <w:spacing w:val="14"/>
        </w:rPr>
        <w:t xml:space="preserve"> </w:t>
      </w:r>
      <w:r>
        <w:rPr>
          <w:spacing w:val="-1"/>
        </w:rPr>
        <w:t>the</w:t>
      </w:r>
      <w:r>
        <w:rPr>
          <w:spacing w:val="12"/>
        </w:rPr>
        <w:t xml:space="preserve"> </w:t>
      </w:r>
      <w:r>
        <w:rPr>
          <w:spacing w:val="-1"/>
        </w:rPr>
        <w:t>Test,</w:t>
      </w:r>
      <w:r>
        <w:rPr>
          <w:spacing w:val="14"/>
        </w:rPr>
        <w:t xml:space="preserve"> </w:t>
      </w:r>
      <w:r>
        <w:t>the</w:t>
      </w:r>
      <w:r>
        <w:rPr>
          <w:spacing w:val="15"/>
        </w:rPr>
        <w:t xml:space="preserve"> </w:t>
      </w:r>
      <w:r>
        <w:rPr>
          <w:spacing w:val="-2"/>
        </w:rPr>
        <w:t>Milestone</w:t>
      </w:r>
      <w:r>
        <w:rPr>
          <w:spacing w:val="36"/>
        </w:rPr>
        <w:t xml:space="preserve"> </w:t>
      </w:r>
      <w:r>
        <w:t xml:space="preserve">to </w:t>
      </w:r>
      <w:r>
        <w:rPr>
          <w:spacing w:val="-2"/>
        </w:rPr>
        <w:t>which</w:t>
      </w:r>
      <w:r>
        <w:t xml:space="preserve"> </w:t>
      </w:r>
      <w:r>
        <w:rPr>
          <w:spacing w:val="-1"/>
        </w:rPr>
        <w:t>it</w:t>
      </w:r>
      <w:r>
        <w:rPr>
          <w:spacing w:val="2"/>
        </w:rPr>
        <w:t xml:space="preserve"> </w:t>
      </w:r>
      <w:r>
        <w:rPr>
          <w:spacing w:val="-1"/>
        </w:rPr>
        <w:t>relates,</w:t>
      </w:r>
      <w:r>
        <w:t xml:space="preserve"> the</w:t>
      </w:r>
      <w:r>
        <w:rPr>
          <w:spacing w:val="-2"/>
        </w:rPr>
        <w:t xml:space="preserve"> </w:t>
      </w:r>
      <w:r>
        <w:rPr>
          <w:spacing w:val="-1"/>
        </w:rPr>
        <w:t>requirements</w:t>
      </w:r>
      <w:r>
        <w:rPr>
          <w:spacing w:val="1"/>
        </w:rPr>
        <w:t xml:space="preserve"> </w:t>
      </w:r>
      <w:r>
        <w:rPr>
          <w:spacing w:val="-2"/>
        </w:rPr>
        <w:t>being</w:t>
      </w:r>
      <w:r>
        <w:t xml:space="preserve"> </w:t>
      </w:r>
      <w:r>
        <w:rPr>
          <w:spacing w:val="-1"/>
        </w:rPr>
        <w:t>Tested;</w:t>
      </w:r>
    </w:p>
    <w:p w:rsidR="008918FA" w:rsidRDefault="008918FA" w:rsidP="008918FA">
      <w:pPr>
        <w:pStyle w:val="BodyText"/>
        <w:numPr>
          <w:ilvl w:val="2"/>
          <w:numId w:val="26"/>
        </w:numPr>
        <w:tabs>
          <w:tab w:val="left" w:pos="2025"/>
        </w:tabs>
        <w:ind w:left="2024" w:hanging="993"/>
      </w:pPr>
      <w:r>
        <w:t xml:space="preserve">a </w:t>
      </w:r>
      <w:r>
        <w:rPr>
          <w:spacing w:val="-1"/>
        </w:rPr>
        <w:t>detailed</w:t>
      </w:r>
      <w:r>
        <w:t xml:space="preserve"> </w:t>
      </w:r>
      <w:r>
        <w:rPr>
          <w:spacing w:val="-1"/>
        </w:rPr>
        <w:t>procedure</w:t>
      </w:r>
      <w:r>
        <w:rPr>
          <w:spacing w:val="-4"/>
        </w:rPr>
        <w:t xml:space="preserve"> </w:t>
      </w:r>
      <w:r>
        <w:t>for</w:t>
      </w:r>
      <w:r>
        <w:rPr>
          <w:spacing w:val="-1"/>
        </w:rPr>
        <w:t xml:space="preserve"> the</w:t>
      </w:r>
      <w:r>
        <w:rPr>
          <w:spacing w:val="-2"/>
        </w:rPr>
        <w:t xml:space="preserve"> </w:t>
      </w:r>
      <w:r>
        <w:t>Tests</w:t>
      </w:r>
      <w:r>
        <w:rPr>
          <w:spacing w:val="-2"/>
        </w:rPr>
        <w:t xml:space="preserve"> </w:t>
      </w:r>
      <w:r>
        <w:rPr>
          <w:spacing w:val="-1"/>
        </w:rPr>
        <w:t>to</w:t>
      </w:r>
      <w:r>
        <w:t xml:space="preserve"> </w:t>
      </w:r>
      <w:r>
        <w:rPr>
          <w:spacing w:val="-1"/>
        </w:rPr>
        <w:t>be</w:t>
      </w:r>
      <w:r>
        <w:rPr>
          <w:spacing w:val="-2"/>
        </w:rPr>
        <w:t xml:space="preserve"> </w:t>
      </w:r>
      <w:r>
        <w:rPr>
          <w:spacing w:val="-1"/>
        </w:rPr>
        <w:t>carried</w:t>
      </w:r>
      <w:r>
        <w:t xml:space="preserve"> </w:t>
      </w:r>
      <w:r>
        <w:rPr>
          <w:spacing w:val="-1"/>
        </w:rPr>
        <w:t>out,</w:t>
      </w:r>
      <w:r>
        <w:t xml:space="preserve"> </w:t>
      </w:r>
      <w:r>
        <w:rPr>
          <w:spacing w:val="-1"/>
        </w:rPr>
        <w:t>including:</w:t>
      </w:r>
    </w:p>
    <w:p w:rsidR="008918FA" w:rsidRDefault="008918FA" w:rsidP="008918FA">
      <w:pPr>
        <w:pStyle w:val="BodyText"/>
        <w:numPr>
          <w:ilvl w:val="3"/>
          <w:numId w:val="26"/>
        </w:numPr>
        <w:tabs>
          <w:tab w:val="left" w:pos="2733"/>
        </w:tabs>
        <w:spacing w:before="121"/>
        <w:ind w:hanging="709"/>
      </w:pPr>
      <w:r>
        <w:t>the</w:t>
      </w:r>
      <w:r>
        <w:rPr>
          <w:spacing w:val="-2"/>
        </w:rPr>
        <w:t xml:space="preserve"> </w:t>
      </w:r>
      <w:r>
        <w:rPr>
          <w:spacing w:val="-1"/>
        </w:rPr>
        <w:t>timetable</w:t>
      </w:r>
      <w:r>
        <w:rPr>
          <w:spacing w:val="-4"/>
        </w:rPr>
        <w:t xml:space="preserve"> </w:t>
      </w:r>
      <w:r>
        <w:t>for</w:t>
      </w:r>
      <w:r>
        <w:rPr>
          <w:spacing w:val="-1"/>
        </w:rPr>
        <w:t xml:space="preserve"> </w:t>
      </w:r>
      <w:r>
        <w:t>the</w:t>
      </w:r>
      <w:r>
        <w:rPr>
          <w:spacing w:val="-2"/>
        </w:rPr>
        <w:t xml:space="preserve"> </w:t>
      </w:r>
      <w:r>
        <w:rPr>
          <w:spacing w:val="-1"/>
        </w:rPr>
        <w:t>Tests</w:t>
      </w:r>
      <w:r>
        <w:rPr>
          <w:spacing w:val="1"/>
        </w:rPr>
        <w:t xml:space="preserve"> </w:t>
      </w:r>
      <w:r>
        <w:rPr>
          <w:spacing w:val="-2"/>
        </w:rPr>
        <w:t>including</w:t>
      </w:r>
      <w:r>
        <w:t xml:space="preserve"> </w:t>
      </w:r>
      <w:r>
        <w:rPr>
          <w:spacing w:val="-1"/>
        </w:rPr>
        <w:t>start</w:t>
      </w:r>
      <w:r>
        <w:t xml:space="preserve"> </w:t>
      </w:r>
      <w:r>
        <w:rPr>
          <w:spacing w:val="-1"/>
        </w:rPr>
        <w:t>and</w:t>
      </w:r>
      <w:r>
        <w:t xml:space="preserve"> </w:t>
      </w:r>
      <w:r>
        <w:rPr>
          <w:spacing w:val="-1"/>
        </w:rPr>
        <w:t>end</w:t>
      </w:r>
      <w:r>
        <w:rPr>
          <w:spacing w:val="-4"/>
        </w:rPr>
        <w:t xml:space="preserve"> </w:t>
      </w:r>
      <w:r>
        <w:rPr>
          <w:spacing w:val="-1"/>
        </w:rPr>
        <w:t>dates;</w:t>
      </w:r>
    </w:p>
    <w:p w:rsidR="008918FA" w:rsidRDefault="008918FA" w:rsidP="008918FA">
      <w:pPr>
        <w:sectPr w:rsidR="008918FA">
          <w:pgSz w:w="11910" w:h="16840"/>
          <w:pgMar w:top="1480" w:right="1300" w:bottom="1160" w:left="1540" w:header="0" w:footer="967" w:gutter="0"/>
          <w:cols w:space="720"/>
        </w:sectPr>
      </w:pPr>
    </w:p>
    <w:p w:rsidR="008918FA" w:rsidRDefault="008918FA" w:rsidP="008918FA">
      <w:pPr>
        <w:pStyle w:val="BodyText"/>
        <w:numPr>
          <w:ilvl w:val="3"/>
          <w:numId w:val="26"/>
        </w:numPr>
        <w:tabs>
          <w:tab w:val="left" w:pos="2735"/>
        </w:tabs>
        <w:spacing w:before="59"/>
        <w:ind w:left="2734"/>
      </w:pPr>
      <w:r>
        <w:t>the</w:t>
      </w:r>
      <w:r>
        <w:rPr>
          <w:spacing w:val="-2"/>
        </w:rPr>
        <w:t xml:space="preserve"> </w:t>
      </w:r>
      <w:r>
        <w:rPr>
          <w:spacing w:val="-1"/>
        </w:rPr>
        <w:t>Testing</w:t>
      </w:r>
      <w:r>
        <w:rPr>
          <w:spacing w:val="-2"/>
        </w:rPr>
        <w:t xml:space="preserve"> </w:t>
      </w:r>
      <w:r>
        <w:rPr>
          <w:spacing w:val="-1"/>
        </w:rPr>
        <w:t>mechanism;</w:t>
      </w:r>
    </w:p>
    <w:p w:rsidR="008918FA" w:rsidRDefault="008918FA" w:rsidP="008918FA">
      <w:pPr>
        <w:pStyle w:val="BodyText"/>
        <w:numPr>
          <w:ilvl w:val="3"/>
          <w:numId w:val="26"/>
        </w:numPr>
        <w:tabs>
          <w:tab w:val="left" w:pos="2734"/>
        </w:tabs>
        <w:ind w:right="120" w:hanging="707"/>
      </w:pPr>
      <w:r>
        <w:rPr>
          <w:spacing w:val="-1"/>
        </w:rPr>
        <w:t>dates</w:t>
      </w:r>
      <w:r>
        <w:rPr>
          <w:spacing w:val="41"/>
        </w:rPr>
        <w:t xml:space="preserve"> </w:t>
      </w:r>
      <w:r>
        <w:rPr>
          <w:spacing w:val="-1"/>
        </w:rPr>
        <w:t>and</w:t>
      </w:r>
      <w:r>
        <w:rPr>
          <w:spacing w:val="41"/>
        </w:rPr>
        <w:t xml:space="preserve"> </w:t>
      </w:r>
      <w:r>
        <w:rPr>
          <w:spacing w:val="-1"/>
        </w:rPr>
        <w:t>methods</w:t>
      </w:r>
      <w:r>
        <w:rPr>
          <w:spacing w:val="41"/>
        </w:rPr>
        <w:t xml:space="preserve"> </w:t>
      </w:r>
      <w:r>
        <w:rPr>
          <w:spacing w:val="-1"/>
        </w:rPr>
        <w:t>by</w:t>
      </w:r>
      <w:r>
        <w:rPr>
          <w:spacing w:val="39"/>
        </w:rPr>
        <w:t xml:space="preserve"> </w:t>
      </w:r>
      <w:r>
        <w:rPr>
          <w:spacing w:val="-1"/>
        </w:rPr>
        <w:t>which</w:t>
      </w:r>
      <w:r>
        <w:rPr>
          <w:spacing w:val="41"/>
        </w:rPr>
        <w:t xml:space="preserve"> </w:t>
      </w:r>
      <w:r>
        <w:t>the</w:t>
      </w:r>
      <w:r>
        <w:rPr>
          <w:spacing w:val="41"/>
        </w:rPr>
        <w:t xml:space="preserve"> </w:t>
      </w:r>
      <w:r>
        <w:rPr>
          <w:spacing w:val="-1"/>
        </w:rPr>
        <w:t>Customer</w:t>
      </w:r>
      <w:r>
        <w:rPr>
          <w:spacing w:val="43"/>
        </w:rPr>
        <w:t xml:space="preserve"> </w:t>
      </w:r>
      <w:r>
        <w:rPr>
          <w:spacing w:val="-2"/>
        </w:rPr>
        <w:t>can</w:t>
      </w:r>
      <w:r>
        <w:rPr>
          <w:spacing w:val="41"/>
        </w:rPr>
        <w:t xml:space="preserve"> </w:t>
      </w:r>
      <w:r>
        <w:rPr>
          <w:spacing w:val="-1"/>
        </w:rPr>
        <w:t>inspect</w:t>
      </w:r>
      <w:r>
        <w:rPr>
          <w:spacing w:val="43"/>
        </w:rPr>
        <w:t xml:space="preserve"> </w:t>
      </w:r>
      <w:r>
        <w:rPr>
          <w:spacing w:val="-1"/>
        </w:rPr>
        <w:t>Test</w:t>
      </w:r>
      <w:r>
        <w:rPr>
          <w:spacing w:val="25"/>
        </w:rPr>
        <w:t xml:space="preserve"> </w:t>
      </w:r>
      <w:r>
        <w:rPr>
          <w:spacing w:val="-1"/>
        </w:rPr>
        <w:t>results;</w:t>
      </w:r>
    </w:p>
    <w:p w:rsidR="008918FA" w:rsidRDefault="008918FA" w:rsidP="008918FA">
      <w:pPr>
        <w:pStyle w:val="BodyText"/>
        <w:numPr>
          <w:ilvl w:val="3"/>
          <w:numId w:val="26"/>
        </w:numPr>
        <w:tabs>
          <w:tab w:val="left" w:pos="2734"/>
        </w:tabs>
        <w:ind w:right="120" w:hanging="707"/>
      </w:pPr>
      <w:r>
        <w:t xml:space="preserve">the </w:t>
      </w:r>
      <w:r>
        <w:rPr>
          <w:spacing w:val="14"/>
        </w:rPr>
        <w:t xml:space="preserve"> </w:t>
      </w:r>
      <w:r>
        <w:rPr>
          <w:spacing w:val="-1"/>
        </w:rPr>
        <w:t>mechanism</w:t>
      </w:r>
      <w:r>
        <w:t xml:space="preserve"> </w:t>
      </w:r>
      <w:r>
        <w:rPr>
          <w:spacing w:val="13"/>
        </w:rPr>
        <w:t xml:space="preserve"> </w:t>
      </w:r>
      <w:r>
        <w:t xml:space="preserve">for </w:t>
      </w:r>
      <w:r>
        <w:rPr>
          <w:spacing w:val="15"/>
        </w:rPr>
        <w:t xml:space="preserve"> </w:t>
      </w:r>
      <w:r>
        <w:rPr>
          <w:spacing w:val="-2"/>
        </w:rPr>
        <w:t>ensuring</w:t>
      </w:r>
      <w:r>
        <w:t xml:space="preserve"> </w:t>
      </w:r>
      <w:r>
        <w:rPr>
          <w:spacing w:val="14"/>
        </w:rPr>
        <w:t xml:space="preserve"> </w:t>
      </w:r>
      <w:r>
        <w:t xml:space="preserve">the </w:t>
      </w:r>
      <w:r>
        <w:rPr>
          <w:spacing w:val="11"/>
        </w:rPr>
        <w:t xml:space="preserve"> </w:t>
      </w:r>
      <w:r>
        <w:rPr>
          <w:spacing w:val="-1"/>
        </w:rPr>
        <w:t>quality,</w:t>
      </w:r>
      <w:r>
        <w:t xml:space="preserve"> </w:t>
      </w:r>
      <w:r>
        <w:rPr>
          <w:spacing w:val="15"/>
        </w:rPr>
        <w:t xml:space="preserve"> </w:t>
      </w:r>
      <w:r>
        <w:rPr>
          <w:spacing w:val="-1"/>
        </w:rPr>
        <w:t>completeness</w:t>
      </w:r>
      <w:r>
        <w:t xml:space="preserve"> </w:t>
      </w:r>
      <w:r>
        <w:rPr>
          <w:spacing w:val="15"/>
        </w:rPr>
        <w:t xml:space="preserve"> </w:t>
      </w:r>
      <w:r>
        <w:rPr>
          <w:spacing w:val="-1"/>
        </w:rPr>
        <w:t>and</w:t>
      </w:r>
      <w:r>
        <w:rPr>
          <w:spacing w:val="22"/>
        </w:rPr>
        <w:t xml:space="preserve"> </w:t>
      </w:r>
      <w:r>
        <w:rPr>
          <w:spacing w:val="-2"/>
        </w:rPr>
        <w:t>relevance</w:t>
      </w:r>
      <w:r>
        <w:rPr>
          <w:spacing w:val="1"/>
        </w:rPr>
        <w:t xml:space="preserve"> </w:t>
      </w:r>
      <w:r>
        <w:rPr>
          <w:spacing w:val="-2"/>
        </w:rPr>
        <w:t>of</w:t>
      </w:r>
      <w:r>
        <w:rPr>
          <w:spacing w:val="2"/>
        </w:rPr>
        <w:t xml:space="preserve"> </w:t>
      </w:r>
      <w:r>
        <w:t>the</w:t>
      </w:r>
      <w:r>
        <w:rPr>
          <w:spacing w:val="-2"/>
        </w:rPr>
        <w:t xml:space="preserve"> </w:t>
      </w:r>
      <w:r>
        <w:rPr>
          <w:spacing w:val="-1"/>
        </w:rPr>
        <w:t>Tests;</w:t>
      </w:r>
    </w:p>
    <w:p w:rsidR="008918FA" w:rsidRDefault="008918FA" w:rsidP="008918FA">
      <w:pPr>
        <w:pStyle w:val="BodyText"/>
        <w:numPr>
          <w:ilvl w:val="3"/>
          <w:numId w:val="26"/>
        </w:numPr>
        <w:tabs>
          <w:tab w:val="left" w:pos="2734"/>
        </w:tabs>
        <w:ind w:right="125"/>
      </w:pPr>
      <w:r>
        <w:t>the</w:t>
      </w:r>
      <w:r>
        <w:rPr>
          <w:spacing w:val="41"/>
        </w:rPr>
        <w:t xml:space="preserve"> </w:t>
      </w:r>
      <w:r>
        <w:rPr>
          <w:spacing w:val="-1"/>
        </w:rPr>
        <w:t>process</w:t>
      </w:r>
      <w:r>
        <w:rPr>
          <w:spacing w:val="42"/>
        </w:rPr>
        <w:t xml:space="preserve"> </w:t>
      </w:r>
      <w:r>
        <w:rPr>
          <w:spacing w:val="-2"/>
        </w:rPr>
        <w:t>with</w:t>
      </w:r>
      <w:r>
        <w:rPr>
          <w:spacing w:val="41"/>
        </w:rPr>
        <w:t xml:space="preserve"> </w:t>
      </w:r>
      <w:r>
        <w:rPr>
          <w:spacing w:val="-2"/>
        </w:rPr>
        <w:t>which</w:t>
      </w:r>
      <w:r>
        <w:rPr>
          <w:spacing w:val="41"/>
        </w:rPr>
        <w:t xml:space="preserve"> </w:t>
      </w:r>
      <w:r>
        <w:t>the</w:t>
      </w:r>
      <w:r>
        <w:rPr>
          <w:spacing w:val="41"/>
        </w:rPr>
        <w:t xml:space="preserve"> </w:t>
      </w:r>
      <w:r>
        <w:rPr>
          <w:spacing w:val="-2"/>
        </w:rPr>
        <w:t>Customer</w:t>
      </w:r>
      <w:r>
        <w:rPr>
          <w:spacing w:val="42"/>
        </w:rPr>
        <w:t xml:space="preserve"> </w:t>
      </w:r>
      <w:r>
        <w:rPr>
          <w:spacing w:val="-2"/>
        </w:rPr>
        <w:t>will</w:t>
      </w:r>
      <w:r>
        <w:rPr>
          <w:spacing w:val="41"/>
        </w:rPr>
        <w:t xml:space="preserve"> </w:t>
      </w:r>
      <w:r>
        <w:rPr>
          <w:spacing w:val="-1"/>
        </w:rPr>
        <w:t>review</w:t>
      </w:r>
      <w:r>
        <w:rPr>
          <w:spacing w:val="38"/>
        </w:rPr>
        <w:t xml:space="preserve"> </w:t>
      </w:r>
      <w:r>
        <w:t>Test</w:t>
      </w:r>
      <w:r>
        <w:rPr>
          <w:spacing w:val="40"/>
        </w:rPr>
        <w:t xml:space="preserve"> </w:t>
      </w:r>
      <w:r>
        <w:rPr>
          <w:spacing w:val="-1"/>
        </w:rPr>
        <w:t>Issues</w:t>
      </w:r>
      <w:r>
        <w:rPr>
          <w:spacing w:val="42"/>
        </w:rPr>
        <w:t xml:space="preserve"> </w:t>
      </w:r>
      <w:r>
        <w:rPr>
          <w:spacing w:val="-1"/>
        </w:rPr>
        <w:t>and</w:t>
      </w:r>
      <w:r>
        <w:t xml:space="preserve"> </w:t>
      </w:r>
      <w:r>
        <w:rPr>
          <w:spacing w:val="-1"/>
        </w:rPr>
        <w:t>progress</w:t>
      </w:r>
      <w:r>
        <w:rPr>
          <w:spacing w:val="1"/>
        </w:rPr>
        <w:t xml:space="preserve"> </w:t>
      </w:r>
      <w:r>
        <w:rPr>
          <w:spacing w:val="-1"/>
        </w:rPr>
        <w:t>on</w:t>
      </w:r>
      <w:r>
        <w:rPr>
          <w:spacing w:val="-2"/>
        </w:rPr>
        <w:t xml:space="preserve"> </w:t>
      </w:r>
      <w:r>
        <w:t>a</w:t>
      </w:r>
      <w:r>
        <w:rPr>
          <w:spacing w:val="-2"/>
        </w:rPr>
        <w:t xml:space="preserve"> </w:t>
      </w:r>
      <w:r>
        <w:rPr>
          <w:spacing w:val="-1"/>
        </w:rPr>
        <w:t>timely</w:t>
      </w:r>
      <w:r>
        <w:rPr>
          <w:spacing w:val="-2"/>
        </w:rPr>
        <w:t xml:space="preserve"> </w:t>
      </w:r>
      <w:r>
        <w:rPr>
          <w:spacing w:val="-1"/>
        </w:rPr>
        <w:t>basis;</w:t>
      </w:r>
      <w:r>
        <w:t xml:space="preserve"> </w:t>
      </w:r>
      <w:r>
        <w:rPr>
          <w:spacing w:val="-1"/>
        </w:rPr>
        <w:t>and</w:t>
      </w:r>
    </w:p>
    <w:p w:rsidR="008918FA" w:rsidRDefault="008918FA" w:rsidP="008918FA">
      <w:pPr>
        <w:pStyle w:val="BodyText"/>
        <w:numPr>
          <w:ilvl w:val="3"/>
          <w:numId w:val="26"/>
        </w:numPr>
        <w:tabs>
          <w:tab w:val="left" w:pos="2734"/>
        </w:tabs>
        <w:spacing w:before="121"/>
        <w:ind w:right="125"/>
      </w:pPr>
      <w:r>
        <w:t>the</w:t>
      </w:r>
      <w:r>
        <w:rPr>
          <w:spacing w:val="34"/>
        </w:rPr>
        <w:t xml:space="preserve"> </w:t>
      </w:r>
      <w:r>
        <w:rPr>
          <w:spacing w:val="-1"/>
        </w:rPr>
        <w:t>re-Test</w:t>
      </w:r>
      <w:r>
        <w:rPr>
          <w:spacing w:val="35"/>
        </w:rPr>
        <w:t xml:space="preserve"> </w:t>
      </w:r>
      <w:r>
        <w:rPr>
          <w:spacing w:val="-1"/>
        </w:rPr>
        <w:t>procedure,</w:t>
      </w:r>
      <w:r>
        <w:rPr>
          <w:spacing w:val="33"/>
        </w:rPr>
        <w:t xml:space="preserve"> </w:t>
      </w:r>
      <w:r>
        <w:rPr>
          <w:spacing w:val="-1"/>
        </w:rPr>
        <w:t>the</w:t>
      </w:r>
      <w:r>
        <w:rPr>
          <w:spacing w:val="34"/>
        </w:rPr>
        <w:t xml:space="preserve"> </w:t>
      </w:r>
      <w:r>
        <w:rPr>
          <w:spacing w:val="-1"/>
        </w:rPr>
        <w:t>timetable</w:t>
      </w:r>
      <w:r>
        <w:rPr>
          <w:spacing w:val="34"/>
        </w:rPr>
        <w:t xml:space="preserve"> </w:t>
      </w:r>
      <w:r>
        <w:rPr>
          <w:spacing w:val="-1"/>
        </w:rPr>
        <w:t>and</w:t>
      </w:r>
      <w:r>
        <w:rPr>
          <w:spacing w:val="31"/>
        </w:rPr>
        <w:t xml:space="preserve"> </w:t>
      </w:r>
      <w:r>
        <w:t>the</w:t>
      </w:r>
      <w:r>
        <w:rPr>
          <w:spacing w:val="32"/>
        </w:rPr>
        <w:t xml:space="preserve"> </w:t>
      </w:r>
      <w:r>
        <w:rPr>
          <w:spacing w:val="-1"/>
        </w:rPr>
        <w:t>resources</w:t>
      </w:r>
      <w:r>
        <w:rPr>
          <w:spacing w:val="34"/>
        </w:rPr>
        <w:t xml:space="preserve"> </w:t>
      </w:r>
      <w:r>
        <w:rPr>
          <w:spacing w:val="-2"/>
        </w:rPr>
        <w:t>which</w:t>
      </w:r>
      <w:r>
        <w:rPr>
          <w:spacing w:val="27"/>
        </w:rPr>
        <w:t xml:space="preserve"> </w:t>
      </w:r>
      <w:r>
        <w:rPr>
          <w:spacing w:val="-1"/>
        </w:rPr>
        <w:t>would</w:t>
      </w:r>
      <w:r>
        <w:t xml:space="preserve"> </w:t>
      </w:r>
      <w:r>
        <w:rPr>
          <w:spacing w:val="-1"/>
        </w:rPr>
        <w:t>be</w:t>
      </w:r>
      <w:r>
        <w:t xml:space="preserve"> </w:t>
      </w:r>
      <w:r>
        <w:rPr>
          <w:spacing w:val="-1"/>
        </w:rPr>
        <w:t>required</w:t>
      </w:r>
      <w:r>
        <w:rPr>
          <w:spacing w:val="-4"/>
        </w:rPr>
        <w:t xml:space="preserve"> </w:t>
      </w:r>
      <w:r>
        <w:t>for</w:t>
      </w:r>
      <w:r>
        <w:rPr>
          <w:spacing w:val="-1"/>
        </w:rPr>
        <w:t xml:space="preserve"> re-Testing.</w:t>
      </w:r>
    </w:p>
    <w:p w:rsidR="008918FA" w:rsidRDefault="008918FA" w:rsidP="008918FA">
      <w:pPr>
        <w:pStyle w:val="BodyText"/>
        <w:numPr>
          <w:ilvl w:val="1"/>
          <w:numId w:val="26"/>
        </w:numPr>
        <w:tabs>
          <w:tab w:val="left" w:pos="829"/>
        </w:tabs>
        <w:spacing w:before="121"/>
        <w:ind w:right="116"/>
        <w:jc w:val="both"/>
      </w:pPr>
      <w:r>
        <w:t>The</w:t>
      </w:r>
      <w:r>
        <w:rPr>
          <w:spacing w:val="38"/>
        </w:rPr>
        <w:t xml:space="preserve"> </w:t>
      </w:r>
      <w:r>
        <w:rPr>
          <w:spacing w:val="-2"/>
        </w:rPr>
        <w:t>Customer</w:t>
      </w:r>
      <w:r>
        <w:rPr>
          <w:spacing w:val="40"/>
        </w:rPr>
        <w:t xml:space="preserve"> </w:t>
      </w:r>
      <w:r>
        <w:rPr>
          <w:spacing w:val="-2"/>
        </w:rPr>
        <w:t>shall</w:t>
      </w:r>
      <w:r>
        <w:rPr>
          <w:spacing w:val="38"/>
        </w:rPr>
        <w:t xml:space="preserve"> </w:t>
      </w:r>
      <w:r>
        <w:rPr>
          <w:spacing w:val="-1"/>
        </w:rPr>
        <w:t>not</w:t>
      </w:r>
      <w:r>
        <w:rPr>
          <w:spacing w:val="38"/>
        </w:rPr>
        <w:t xml:space="preserve"> </w:t>
      </w:r>
      <w:r>
        <w:rPr>
          <w:spacing w:val="-1"/>
        </w:rPr>
        <w:t>unreasonably</w:t>
      </w:r>
      <w:r>
        <w:rPr>
          <w:spacing w:val="37"/>
        </w:rPr>
        <w:t xml:space="preserve"> </w:t>
      </w:r>
      <w:r>
        <w:rPr>
          <w:spacing w:val="-2"/>
        </w:rPr>
        <w:t>withhold</w:t>
      </w:r>
      <w:r>
        <w:rPr>
          <w:spacing w:val="41"/>
        </w:rPr>
        <w:t xml:space="preserve"> </w:t>
      </w:r>
      <w:r>
        <w:rPr>
          <w:spacing w:val="-1"/>
        </w:rPr>
        <w:t>or</w:t>
      </w:r>
      <w:r>
        <w:rPr>
          <w:spacing w:val="41"/>
        </w:rPr>
        <w:t xml:space="preserve"> </w:t>
      </w:r>
      <w:r>
        <w:rPr>
          <w:spacing w:val="-1"/>
        </w:rPr>
        <w:t>delay</w:t>
      </w:r>
      <w:r>
        <w:rPr>
          <w:spacing w:val="37"/>
        </w:rPr>
        <w:t xml:space="preserve"> </w:t>
      </w:r>
      <w:r>
        <w:rPr>
          <w:spacing w:val="-1"/>
        </w:rPr>
        <w:t>its</w:t>
      </w:r>
      <w:r>
        <w:rPr>
          <w:spacing w:val="39"/>
        </w:rPr>
        <w:t xml:space="preserve"> </w:t>
      </w:r>
      <w:r>
        <w:rPr>
          <w:spacing w:val="-1"/>
        </w:rPr>
        <w:t>approval</w:t>
      </w:r>
      <w:r>
        <w:rPr>
          <w:spacing w:val="38"/>
        </w:rPr>
        <w:t xml:space="preserve"> </w:t>
      </w:r>
      <w:r>
        <w:rPr>
          <w:spacing w:val="-2"/>
        </w:rPr>
        <w:t>of</w:t>
      </w:r>
      <w:r>
        <w:rPr>
          <w:spacing w:val="40"/>
        </w:rPr>
        <w:t xml:space="preserve"> </w:t>
      </w:r>
      <w:r>
        <w:t>the</w:t>
      </w:r>
      <w:r>
        <w:rPr>
          <w:spacing w:val="36"/>
        </w:rPr>
        <w:t xml:space="preserve"> </w:t>
      </w:r>
      <w:r>
        <w:rPr>
          <w:spacing w:val="-1"/>
        </w:rPr>
        <w:t>Test</w:t>
      </w:r>
      <w:r>
        <w:rPr>
          <w:spacing w:val="51"/>
        </w:rPr>
        <w:t xml:space="preserve"> </w:t>
      </w:r>
      <w:r>
        <w:rPr>
          <w:spacing w:val="-1"/>
        </w:rPr>
        <w:t>Plans</w:t>
      </w:r>
      <w:r>
        <w:rPr>
          <w:spacing w:val="19"/>
        </w:rPr>
        <w:t xml:space="preserve"> </w:t>
      </w:r>
      <w:r>
        <w:rPr>
          <w:spacing w:val="-1"/>
        </w:rPr>
        <w:t>and</w:t>
      </w:r>
      <w:r>
        <w:rPr>
          <w:spacing w:val="18"/>
        </w:rPr>
        <w:t xml:space="preserve"> </w:t>
      </w:r>
      <w:r>
        <w:t>the</w:t>
      </w:r>
      <w:r>
        <w:rPr>
          <w:spacing w:val="18"/>
        </w:rPr>
        <w:t xml:space="preserve"> </w:t>
      </w:r>
      <w:r>
        <w:rPr>
          <w:spacing w:val="-2"/>
        </w:rPr>
        <w:t>Supplier</w:t>
      </w:r>
      <w:r>
        <w:rPr>
          <w:spacing w:val="17"/>
        </w:rPr>
        <w:t xml:space="preserve"> </w:t>
      </w:r>
      <w:r>
        <w:rPr>
          <w:spacing w:val="-1"/>
        </w:rPr>
        <w:t>shall</w:t>
      </w:r>
      <w:r>
        <w:rPr>
          <w:spacing w:val="18"/>
        </w:rPr>
        <w:t xml:space="preserve"> </w:t>
      </w:r>
      <w:r>
        <w:rPr>
          <w:spacing w:val="-1"/>
        </w:rPr>
        <w:t>implement</w:t>
      </w:r>
      <w:r>
        <w:rPr>
          <w:spacing w:val="17"/>
        </w:rPr>
        <w:t xml:space="preserve"> </w:t>
      </w:r>
      <w:r>
        <w:rPr>
          <w:spacing w:val="-1"/>
        </w:rPr>
        <w:t>any</w:t>
      </w:r>
      <w:r>
        <w:rPr>
          <w:spacing w:val="16"/>
        </w:rPr>
        <w:t xml:space="preserve"> </w:t>
      </w:r>
      <w:r>
        <w:rPr>
          <w:spacing w:val="-1"/>
        </w:rPr>
        <w:t>reasonable</w:t>
      </w:r>
      <w:r>
        <w:rPr>
          <w:spacing w:val="18"/>
        </w:rPr>
        <w:t xml:space="preserve"> </w:t>
      </w:r>
      <w:r>
        <w:rPr>
          <w:spacing w:val="-2"/>
        </w:rPr>
        <w:t>requirements</w:t>
      </w:r>
      <w:r>
        <w:rPr>
          <w:spacing w:val="19"/>
        </w:rPr>
        <w:t xml:space="preserve"> </w:t>
      </w:r>
      <w:r>
        <w:rPr>
          <w:spacing w:val="-2"/>
        </w:rPr>
        <w:t>of</w:t>
      </w:r>
      <w:r>
        <w:rPr>
          <w:spacing w:val="20"/>
        </w:rPr>
        <w:t xml:space="preserve"> </w:t>
      </w:r>
      <w:r>
        <w:rPr>
          <w:spacing w:val="-1"/>
        </w:rPr>
        <w:t>the</w:t>
      </w:r>
      <w:r>
        <w:rPr>
          <w:spacing w:val="54"/>
        </w:rPr>
        <w:t xml:space="preserve"> </w:t>
      </w:r>
      <w:r>
        <w:rPr>
          <w:spacing w:val="-1"/>
        </w:rPr>
        <w:t>Customer</w:t>
      </w:r>
      <w:r>
        <w:rPr>
          <w:spacing w:val="2"/>
        </w:rPr>
        <w:t xml:space="preserve"> </w:t>
      </w:r>
      <w:r>
        <w:rPr>
          <w:spacing w:val="-1"/>
        </w:rPr>
        <w:t>in</w:t>
      </w:r>
      <w:r>
        <w:rPr>
          <w:spacing w:val="-2"/>
        </w:rPr>
        <w:t xml:space="preserve"> </w:t>
      </w:r>
      <w:r>
        <w:t>the</w:t>
      </w:r>
      <w:r>
        <w:rPr>
          <w:spacing w:val="-2"/>
        </w:rPr>
        <w:t xml:space="preserve"> </w:t>
      </w:r>
      <w:r>
        <w:rPr>
          <w:spacing w:val="-1"/>
        </w:rPr>
        <w:t>Test</w:t>
      </w:r>
      <w:r>
        <w:t xml:space="preserve"> </w:t>
      </w:r>
      <w:r>
        <w:rPr>
          <w:spacing w:val="-2"/>
        </w:rPr>
        <w:t>Plans.</w:t>
      </w:r>
    </w:p>
    <w:p w:rsidR="008918FA" w:rsidRDefault="008918FA" w:rsidP="008918FA">
      <w:pPr>
        <w:pStyle w:val="BodyText"/>
        <w:numPr>
          <w:ilvl w:val="0"/>
          <w:numId w:val="26"/>
        </w:numPr>
        <w:tabs>
          <w:tab w:val="left" w:pos="466"/>
        </w:tabs>
        <w:spacing w:before="120"/>
        <w:ind w:left="465"/>
        <w:rPr>
          <w:rFonts w:ascii="Times New Roman" w:eastAsia="Times New Roman" w:hAnsi="Times New Roman" w:cs="Times New Roman"/>
        </w:rPr>
      </w:pPr>
      <w:r>
        <w:rPr>
          <w:rFonts w:ascii="Times New Roman"/>
          <w:spacing w:val="2"/>
        </w:rPr>
        <w:t>TES</w:t>
      </w:r>
      <w:r>
        <w:rPr>
          <w:rFonts w:ascii="Times New Roman"/>
          <w:spacing w:val="-29"/>
        </w:rPr>
        <w:t xml:space="preserve"> </w:t>
      </w:r>
      <w:r>
        <w:rPr>
          <w:rFonts w:ascii="Times New Roman"/>
          <w:spacing w:val="-5"/>
        </w:rPr>
        <w:t>TING</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6"/>
        </w:numPr>
        <w:tabs>
          <w:tab w:val="left" w:pos="828"/>
        </w:tabs>
        <w:spacing w:before="0"/>
        <w:ind w:left="827" w:right="112"/>
        <w:jc w:val="both"/>
      </w:pPr>
      <w:r>
        <w:rPr>
          <w:spacing w:val="-1"/>
        </w:rPr>
        <w:t>When</w:t>
      </w:r>
      <w:r>
        <w:rPr>
          <w:spacing w:val="31"/>
        </w:rPr>
        <w:t xml:space="preserve"> </w:t>
      </w:r>
      <w:r>
        <w:t>the</w:t>
      </w:r>
      <w:r>
        <w:rPr>
          <w:spacing w:val="31"/>
        </w:rPr>
        <w:t xml:space="preserve"> </w:t>
      </w:r>
      <w:r>
        <w:rPr>
          <w:spacing w:val="-2"/>
        </w:rPr>
        <w:t>Supplier</w:t>
      </w:r>
      <w:r>
        <w:rPr>
          <w:spacing w:val="33"/>
        </w:rPr>
        <w:t xml:space="preserve"> </w:t>
      </w:r>
      <w:r>
        <w:rPr>
          <w:spacing w:val="-1"/>
        </w:rPr>
        <w:t>has</w:t>
      </w:r>
      <w:r>
        <w:rPr>
          <w:spacing w:val="30"/>
        </w:rPr>
        <w:t xml:space="preserve"> </w:t>
      </w:r>
      <w:r>
        <w:rPr>
          <w:spacing w:val="-1"/>
        </w:rPr>
        <w:t>completed</w:t>
      </w:r>
      <w:r>
        <w:rPr>
          <w:spacing w:val="29"/>
        </w:rPr>
        <w:t xml:space="preserve"> </w:t>
      </w:r>
      <w:r>
        <w:t>the</w:t>
      </w:r>
      <w:r>
        <w:rPr>
          <w:spacing w:val="31"/>
        </w:rPr>
        <w:t xml:space="preserve"> </w:t>
      </w:r>
      <w:r>
        <w:rPr>
          <w:spacing w:val="-1"/>
        </w:rPr>
        <w:t>Services</w:t>
      </w:r>
      <w:r>
        <w:rPr>
          <w:spacing w:val="32"/>
        </w:rPr>
        <w:t xml:space="preserve"> </w:t>
      </w:r>
      <w:r>
        <w:rPr>
          <w:spacing w:val="-1"/>
        </w:rPr>
        <w:t>in</w:t>
      </w:r>
      <w:r>
        <w:rPr>
          <w:spacing w:val="31"/>
        </w:rPr>
        <w:t xml:space="preserve"> </w:t>
      </w:r>
      <w:r>
        <w:rPr>
          <w:spacing w:val="-1"/>
        </w:rPr>
        <w:t>respect</w:t>
      </w:r>
      <w:r>
        <w:rPr>
          <w:spacing w:val="34"/>
        </w:rPr>
        <w:t xml:space="preserve"> </w:t>
      </w:r>
      <w:r>
        <w:rPr>
          <w:spacing w:val="-2"/>
        </w:rPr>
        <w:t>of</w:t>
      </w:r>
      <w:r>
        <w:rPr>
          <w:spacing w:val="33"/>
        </w:rPr>
        <w:t xml:space="preserve"> </w:t>
      </w:r>
      <w:r>
        <w:t>a</w:t>
      </w:r>
      <w:r>
        <w:rPr>
          <w:spacing w:val="31"/>
        </w:rPr>
        <w:t xml:space="preserve"> </w:t>
      </w:r>
      <w:r>
        <w:rPr>
          <w:spacing w:val="-2"/>
        </w:rPr>
        <w:t>Milestone</w:t>
      </w:r>
      <w:r>
        <w:rPr>
          <w:spacing w:val="31"/>
        </w:rPr>
        <w:t xml:space="preserve"> </w:t>
      </w:r>
      <w:r>
        <w:rPr>
          <w:spacing w:val="-1"/>
        </w:rPr>
        <w:t>it</w:t>
      </w:r>
      <w:r>
        <w:rPr>
          <w:spacing w:val="33"/>
        </w:rPr>
        <w:t xml:space="preserve"> </w:t>
      </w:r>
      <w:r>
        <w:rPr>
          <w:spacing w:val="-1"/>
        </w:rPr>
        <w:t>shall</w:t>
      </w:r>
      <w:r>
        <w:rPr>
          <w:spacing w:val="57"/>
        </w:rPr>
        <w:t xml:space="preserve"> </w:t>
      </w:r>
      <w:r>
        <w:rPr>
          <w:spacing w:val="-1"/>
        </w:rPr>
        <w:t>submit</w:t>
      </w:r>
      <w:r>
        <w:t xml:space="preserve"> </w:t>
      </w:r>
      <w:r>
        <w:rPr>
          <w:spacing w:val="-1"/>
        </w:rPr>
        <w:t>any</w:t>
      </w:r>
      <w:r>
        <w:rPr>
          <w:spacing w:val="-2"/>
        </w:rPr>
        <w:t xml:space="preserve"> Deliverables</w:t>
      </w:r>
      <w:r>
        <w:rPr>
          <w:spacing w:val="1"/>
        </w:rPr>
        <w:t xml:space="preserve"> </w:t>
      </w:r>
      <w:r>
        <w:rPr>
          <w:spacing w:val="-1"/>
        </w:rPr>
        <w:t>relating</w:t>
      </w:r>
      <w:r>
        <w:t xml:space="preserve"> to</w:t>
      </w:r>
      <w:r>
        <w:rPr>
          <w:spacing w:val="-2"/>
        </w:rPr>
        <w:t xml:space="preserve"> </w:t>
      </w:r>
      <w:r>
        <w:rPr>
          <w:spacing w:val="-1"/>
        </w:rPr>
        <w:t>that</w:t>
      </w:r>
      <w:r>
        <w:t xml:space="preserve"> </w:t>
      </w:r>
      <w:r>
        <w:rPr>
          <w:spacing w:val="-1"/>
        </w:rPr>
        <w:t>Milestone</w:t>
      </w:r>
      <w:r>
        <w:rPr>
          <w:spacing w:val="-2"/>
        </w:rPr>
        <w:t xml:space="preserve"> </w:t>
      </w:r>
      <w:r>
        <w:t>for</w:t>
      </w:r>
      <w:r>
        <w:rPr>
          <w:spacing w:val="-1"/>
        </w:rPr>
        <w:t xml:space="preserve"> Testing.</w:t>
      </w:r>
    </w:p>
    <w:p w:rsidR="008918FA" w:rsidRDefault="008918FA" w:rsidP="008918FA">
      <w:pPr>
        <w:pStyle w:val="BodyText"/>
        <w:numPr>
          <w:ilvl w:val="1"/>
          <w:numId w:val="26"/>
        </w:numPr>
        <w:tabs>
          <w:tab w:val="left" w:pos="828"/>
        </w:tabs>
        <w:ind w:left="827" w:right="113"/>
        <w:jc w:val="both"/>
      </w:pPr>
      <w:r>
        <w:rPr>
          <w:spacing w:val="-1"/>
        </w:rPr>
        <w:t>Each</w:t>
      </w:r>
      <w:r>
        <w:rPr>
          <w:spacing w:val="56"/>
        </w:rPr>
        <w:t xml:space="preserve"> </w:t>
      </w:r>
      <w:r>
        <w:rPr>
          <w:spacing w:val="-1"/>
        </w:rPr>
        <w:t>party</w:t>
      </w:r>
      <w:r>
        <w:rPr>
          <w:spacing w:val="53"/>
        </w:rPr>
        <w:t xml:space="preserve"> </w:t>
      </w:r>
      <w:r>
        <w:rPr>
          <w:spacing w:val="-1"/>
        </w:rPr>
        <w:t>shall</w:t>
      </w:r>
      <w:r>
        <w:rPr>
          <w:spacing w:val="55"/>
        </w:rPr>
        <w:t xml:space="preserve"> </w:t>
      </w:r>
      <w:r>
        <w:rPr>
          <w:spacing w:val="-1"/>
        </w:rPr>
        <w:t>bear</w:t>
      </w:r>
      <w:r>
        <w:rPr>
          <w:spacing w:val="57"/>
        </w:rPr>
        <w:t xml:space="preserve"> </w:t>
      </w:r>
      <w:r>
        <w:t>its</w:t>
      </w:r>
      <w:r>
        <w:rPr>
          <w:spacing w:val="56"/>
        </w:rPr>
        <w:t xml:space="preserve"> </w:t>
      </w:r>
      <w:r>
        <w:rPr>
          <w:spacing w:val="-2"/>
        </w:rPr>
        <w:t>own</w:t>
      </w:r>
      <w:r>
        <w:rPr>
          <w:spacing w:val="55"/>
        </w:rPr>
        <w:t xml:space="preserve"> </w:t>
      </w:r>
      <w:r>
        <w:rPr>
          <w:spacing w:val="-1"/>
        </w:rPr>
        <w:t>costs</w:t>
      </w:r>
      <w:r>
        <w:rPr>
          <w:spacing w:val="57"/>
        </w:rPr>
        <w:t xml:space="preserve"> </w:t>
      </w:r>
      <w:r>
        <w:rPr>
          <w:spacing w:val="-1"/>
        </w:rPr>
        <w:t>in</w:t>
      </w:r>
      <w:r>
        <w:rPr>
          <w:spacing w:val="55"/>
        </w:rPr>
        <w:t xml:space="preserve"> </w:t>
      </w:r>
      <w:r>
        <w:rPr>
          <w:spacing w:val="-1"/>
        </w:rPr>
        <w:t>respect</w:t>
      </w:r>
      <w:r>
        <w:rPr>
          <w:spacing w:val="57"/>
        </w:rPr>
        <w:t xml:space="preserve"> </w:t>
      </w:r>
      <w:r>
        <w:rPr>
          <w:spacing w:val="-1"/>
        </w:rPr>
        <w:t>of</w:t>
      </w:r>
      <w:r>
        <w:rPr>
          <w:spacing w:val="59"/>
        </w:rPr>
        <w:t xml:space="preserve"> </w:t>
      </w:r>
      <w:r>
        <w:t>the</w:t>
      </w:r>
      <w:r>
        <w:rPr>
          <w:spacing w:val="53"/>
        </w:rPr>
        <w:t xml:space="preserve"> </w:t>
      </w:r>
      <w:r>
        <w:rPr>
          <w:spacing w:val="-1"/>
        </w:rPr>
        <w:t>Testing.</w:t>
      </w:r>
      <w:r>
        <w:rPr>
          <w:spacing w:val="52"/>
        </w:rPr>
        <w:t xml:space="preserve"> </w:t>
      </w:r>
      <w:r>
        <w:rPr>
          <w:spacing w:val="-2"/>
        </w:rPr>
        <w:t>However,</w:t>
      </w:r>
      <w:r>
        <w:rPr>
          <w:spacing w:val="58"/>
        </w:rPr>
        <w:t xml:space="preserve"> </w:t>
      </w:r>
      <w:r>
        <w:rPr>
          <w:spacing w:val="-1"/>
        </w:rPr>
        <w:t>if</w:t>
      </w:r>
      <w:r>
        <w:rPr>
          <w:spacing w:val="59"/>
        </w:rPr>
        <w:t xml:space="preserve"> </w:t>
      </w:r>
      <w:r>
        <w:t>a</w:t>
      </w:r>
      <w:r>
        <w:rPr>
          <w:spacing w:val="57"/>
        </w:rPr>
        <w:t xml:space="preserve"> </w:t>
      </w:r>
      <w:r>
        <w:rPr>
          <w:spacing w:val="-1"/>
        </w:rPr>
        <w:t>Milestone</w:t>
      </w:r>
      <w:r>
        <w:rPr>
          <w:spacing w:val="60"/>
        </w:rPr>
        <w:t xml:space="preserve"> </w:t>
      </w:r>
      <w:r>
        <w:rPr>
          <w:spacing w:val="-1"/>
        </w:rPr>
        <w:t>is</w:t>
      </w:r>
      <w:r>
        <w:t xml:space="preserve"> </w:t>
      </w:r>
      <w:r>
        <w:rPr>
          <w:spacing w:val="-1"/>
        </w:rPr>
        <w:t>not</w:t>
      </w:r>
      <w:r>
        <w:rPr>
          <w:spacing w:val="3"/>
        </w:rPr>
        <w:t xml:space="preserve"> </w:t>
      </w:r>
      <w:r>
        <w:rPr>
          <w:spacing w:val="-1"/>
        </w:rPr>
        <w:t>Achieved</w:t>
      </w:r>
      <w:r>
        <w:rPr>
          <w:spacing w:val="60"/>
        </w:rPr>
        <w:t xml:space="preserve"> </w:t>
      </w:r>
      <w:r>
        <w:t>the</w:t>
      </w:r>
      <w:r>
        <w:rPr>
          <w:spacing w:val="60"/>
        </w:rPr>
        <w:t xml:space="preserve"> </w:t>
      </w:r>
      <w:r>
        <w:rPr>
          <w:spacing w:val="-1"/>
        </w:rPr>
        <w:t>Customer</w:t>
      </w:r>
      <w:r w:rsidR="00514A63">
        <w:t xml:space="preserve"> </w:t>
      </w:r>
      <w:r>
        <w:rPr>
          <w:spacing w:val="-1"/>
        </w:rPr>
        <w:t>shall</w:t>
      </w:r>
      <w:r>
        <w:rPr>
          <w:spacing w:val="59"/>
        </w:rPr>
        <w:t xml:space="preserve"> </w:t>
      </w:r>
      <w:r>
        <w:rPr>
          <w:spacing w:val="-1"/>
        </w:rPr>
        <w:t>be</w:t>
      </w:r>
      <w:r>
        <w:rPr>
          <w:spacing w:val="60"/>
        </w:rPr>
        <w:t xml:space="preserve"> </w:t>
      </w:r>
      <w:r>
        <w:rPr>
          <w:spacing w:val="-1"/>
        </w:rPr>
        <w:t>entitled</w:t>
      </w:r>
      <w:r>
        <w:rPr>
          <w:spacing w:val="60"/>
        </w:rPr>
        <w:t xml:space="preserve"> </w:t>
      </w:r>
      <w:r>
        <w:t>to</w:t>
      </w:r>
      <w:r>
        <w:rPr>
          <w:spacing w:val="61"/>
        </w:rPr>
        <w:t xml:space="preserve"> </w:t>
      </w:r>
      <w:r>
        <w:rPr>
          <w:spacing w:val="-1"/>
        </w:rPr>
        <w:t>recover</w:t>
      </w:r>
      <w:r>
        <w:t xml:space="preserve">  from  </w:t>
      </w:r>
      <w:r>
        <w:rPr>
          <w:spacing w:val="-1"/>
        </w:rPr>
        <w:t>the</w:t>
      </w:r>
      <w:r>
        <w:rPr>
          <w:spacing w:val="35"/>
        </w:rPr>
        <w:t xml:space="preserve"> </w:t>
      </w:r>
      <w:r>
        <w:rPr>
          <w:spacing w:val="-1"/>
        </w:rPr>
        <w:t>Supplier,</w:t>
      </w:r>
      <w:r>
        <w:rPr>
          <w:spacing w:val="23"/>
        </w:rPr>
        <w:t xml:space="preserve"> </w:t>
      </w:r>
      <w:r>
        <w:rPr>
          <w:spacing w:val="-1"/>
        </w:rPr>
        <w:t>any</w:t>
      </w:r>
      <w:r>
        <w:rPr>
          <w:spacing w:val="20"/>
        </w:rPr>
        <w:t xml:space="preserve"> </w:t>
      </w:r>
      <w:r>
        <w:rPr>
          <w:spacing w:val="-1"/>
        </w:rPr>
        <w:t>reasonable</w:t>
      </w:r>
      <w:r>
        <w:rPr>
          <w:spacing w:val="22"/>
        </w:rPr>
        <w:t xml:space="preserve"> </w:t>
      </w:r>
      <w:r>
        <w:rPr>
          <w:spacing w:val="-1"/>
        </w:rPr>
        <w:t>additional</w:t>
      </w:r>
      <w:r>
        <w:rPr>
          <w:spacing w:val="21"/>
        </w:rPr>
        <w:t xml:space="preserve"> </w:t>
      </w:r>
      <w:r>
        <w:rPr>
          <w:spacing w:val="-1"/>
        </w:rPr>
        <w:t>costs</w:t>
      </w:r>
      <w:r>
        <w:rPr>
          <w:spacing w:val="22"/>
        </w:rPr>
        <w:t xml:space="preserve"> </w:t>
      </w:r>
      <w:r>
        <w:rPr>
          <w:spacing w:val="-1"/>
        </w:rPr>
        <w:t>it</w:t>
      </w:r>
      <w:r>
        <w:rPr>
          <w:spacing w:val="23"/>
        </w:rPr>
        <w:t xml:space="preserve"> </w:t>
      </w:r>
      <w:r>
        <w:rPr>
          <w:spacing w:val="-1"/>
        </w:rPr>
        <w:t>may</w:t>
      </w:r>
      <w:r>
        <w:rPr>
          <w:spacing w:val="22"/>
        </w:rPr>
        <w:t xml:space="preserve"> </w:t>
      </w:r>
      <w:r>
        <w:rPr>
          <w:spacing w:val="-1"/>
        </w:rPr>
        <w:t>incur</w:t>
      </w:r>
      <w:r>
        <w:rPr>
          <w:spacing w:val="23"/>
        </w:rPr>
        <w:t xml:space="preserve"> </w:t>
      </w:r>
      <w:r>
        <w:rPr>
          <w:spacing w:val="-1"/>
        </w:rPr>
        <w:t>as</w:t>
      </w:r>
      <w:r>
        <w:rPr>
          <w:spacing w:val="22"/>
        </w:rPr>
        <w:t xml:space="preserve"> </w:t>
      </w:r>
      <w:r>
        <w:t>a</w:t>
      </w:r>
      <w:r>
        <w:rPr>
          <w:spacing w:val="22"/>
        </w:rPr>
        <w:t xml:space="preserve"> </w:t>
      </w:r>
      <w:r>
        <w:rPr>
          <w:spacing w:val="-1"/>
        </w:rPr>
        <w:t>direct</w:t>
      </w:r>
      <w:r>
        <w:rPr>
          <w:spacing w:val="24"/>
        </w:rPr>
        <w:t xml:space="preserve"> </w:t>
      </w:r>
      <w:r>
        <w:rPr>
          <w:spacing w:val="-1"/>
        </w:rPr>
        <w:t>result</w:t>
      </w:r>
      <w:r>
        <w:rPr>
          <w:spacing w:val="23"/>
        </w:rPr>
        <w:t xml:space="preserve"> </w:t>
      </w:r>
      <w:r>
        <w:rPr>
          <w:spacing w:val="-2"/>
        </w:rPr>
        <w:t>of</w:t>
      </w:r>
      <w:r>
        <w:rPr>
          <w:spacing w:val="23"/>
        </w:rPr>
        <w:t xml:space="preserve"> </w:t>
      </w:r>
      <w:r>
        <w:rPr>
          <w:spacing w:val="-1"/>
        </w:rPr>
        <w:t>further</w:t>
      </w:r>
      <w:r>
        <w:rPr>
          <w:spacing w:val="47"/>
        </w:rPr>
        <w:t xml:space="preserve"> </w:t>
      </w:r>
      <w:r>
        <w:rPr>
          <w:spacing w:val="-1"/>
        </w:rPr>
        <w:t>review</w:t>
      </w:r>
      <w:r>
        <w:rPr>
          <w:spacing w:val="-3"/>
        </w:rPr>
        <w:t xml:space="preserve"> </w:t>
      </w:r>
      <w:r>
        <w:rPr>
          <w:spacing w:val="-1"/>
        </w:rPr>
        <w:t>or</w:t>
      </w:r>
      <w:r>
        <w:rPr>
          <w:spacing w:val="2"/>
        </w:rPr>
        <w:t xml:space="preserve"> </w:t>
      </w:r>
      <w:r>
        <w:rPr>
          <w:spacing w:val="-1"/>
        </w:rPr>
        <w:t>re-Testing</w:t>
      </w:r>
      <w:r>
        <w:t xml:space="preserve"> </w:t>
      </w:r>
      <w:r>
        <w:rPr>
          <w:spacing w:val="-2"/>
        </w:rPr>
        <w:t>of</w:t>
      </w:r>
      <w:r>
        <w:rPr>
          <w:spacing w:val="2"/>
        </w:rPr>
        <w:t xml:space="preserve"> </w:t>
      </w:r>
      <w:r>
        <w:t>a</w:t>
      </w:r>
      <w:r>
        <w:rPr>
          <w:spacing w:val="-2"/>
        </w:rPr>
        <w:t xml:space="preserve"> Milestone.</w:t>
      </w:r>
    </w:p>
    <w:p w:rsidR="008918FA" w:rsidRDefault="008918FA" w:rsidP="008918FA">
      <w:pPr>
        <w:pStyle w:val="BodyText"/>
        <w:numPr>
          <w:ilvl w:val="1"/>
          <w:numId w:val="26"/>
        </w:numPr>
        <w:tabs>
          <w:tab w:val="left" w:pos="828"/>
        </w:tabs>
        <w:spacing w:before="121"/>
        <w:ind w:left="827" w:right="115"/>
        <w:jc w:val="both"/>
      </w:pPr>
      <w:r>
        <w:rPr>
          <w:spacing w:val="-1"/>
        </w:rPr>
        <w:t>If</w:t>
      </w:r>
      <w:r>
        <w:rPr>
          <w:spacing w:val="6"/>
        </w:rPr>
        <w:t xml:space="preserve"> </w:t>
      </w:r>
      <w:r>
        <w:t>the</w:t>
      </w:r>
      <w:r>
        <w:rPr>
          <w:spacing w:val="5"/>
        </w:rPr>
        <w:t xml:space="preserve"> </w:t>
      </w:r>
      <w:r>
        <w:rPr>
          <w:spacing w:val="-2"/>
        </w:rPr>
        <w:t>Supplier</w:t>
      </w:r>
      <w:r>
        <w:rPr>
          <w:spacing w:val="6"/>
        </w:rPr>
        <w:t xml:space="preserve"> </w:t>
      </w:r>
      <w:r>
        <w:rPr>
          <w:spacing w:val="-1"/>
        </w:rPr>
        <w:t>successfully</w:t>
      </w:r>
      <w:r>
        <w:rPr>
          <w:spacing w:val="3"/>
        </w:rPr>
        <w:t xml:space="preserve"> </w:t>
      </w:r>
      <w:r>
        <w:rPr>
          <w:spacing w:val="-1"/>
        </w:rPr>
        <w:t>completes</w:t>
      </w:r>
      <w:r>
        <w:rPr>
          <w:spacing w:val="5"/>
        </w:rPr>
        <w:t xml:space="preserve"> </w:t>
      </w:r>
      <w:r>
        <w:t>the</w:t>
      </w:r>
      <w:r>
        <w:rPr>
          <w:spacing w:val="3"/>
        </w:rPr>
        <w:t xml:space="preserve"> </w:t>
      </w:r>
      <w:r>
        <w:rPr>
          <w:spacing w:val="-1"/>
        </w:rPr>
        <w:t>requisite</w:t>
      </w:r>
      <w:r>
        <w:rPr>
          <w:spacing w:val="5"/>
        </w:rPr>
        <w:t xml:space="preserve"> </w:t>
      </w:r>
      <w:r>
        <w:rPr>
          <w:spacing w:val="-1"/>
        </w:rPr>
        <w:t>Tests,</w:t>
      </w:r>
      <w:r>
        <w:rPr>
          <w:spacing w:val="7"/>
        </w:rPr>
        <w:t xml:space="preserve"> </w:t>
      </w:r>
      <w:r>
        <w:t>the</w:t>
      </w:r>
      <w:r>
        <w:rPr>
          <w:spacing w:val="5"/>
        </w:rPr>
        <w:t xml:space="preserve"> </w:t>
      </w:r>
      <w:r>
        <w:rPr>
          <w:spacing w:val="-2"/>
        </w:rPr>
        <w:t>Customer</w:t>
      </w:r>
      <w:r>
        <w:rPr>
          <w:spacing w:val="6"/>
        </w:rPr>
        <w:t xml:space="preserve"> </w:t>
      </w:r>
      <w:r>
        <w:rPr>
          <w:spacing w:val="-2"/>
        </w:rPr>
        <w:t>shall</w:t>
      </w:r>
      <w:r>
        <w:rPr>
          <w:spacing w:val="4"/>
        </w:rPr>
        <w:t xml:space="preserve"> </w:t>
      </w:r>
      <w:r>
        <w:rPr>
          <w:spacing w:val="-1"/>
        </w:rPr>
        <w:t>issue</w:t>
      </w:r>
      <w:r>
        <w:rPr>
          <w:spacing w:val="57"/>
        </w:rPr>
        <w:t xml:space="preserve"> </w:t>
      </w:r>
      <w:r>
        <w:t>a</w:t>
      </w:r>
      <w:r>
        <w:rPr>
          <w:spacing w:val="7"/>
        </w:rPr>
        <w:t xml:space="preserve"> </w:t>
      </w:r>
      <w:r>
        <w:rPr>
          <w:spacing w:val="-1"/>
        </w:rPr>
        <w:t>Satisfaction</w:t>
      </w:r>
      <w:r>
        <w:rPr>
          <w:spacing w:val="7"/>
        </w:rPr>
        <w:t xml:space="preserve"> </w:t>
      </w:r>
      <w:r>
        <w:rPr>
          <w:spacing w:val="-1"/>
        </w:rPr>
        <w:t>Certificate</w:t>
      </w:r>
      <w:r>
        <w:rPr>
          <w:spacing w:val="3"/>
        </w:rPr>
        <w:t xml:space="preserve"> </w:t>
      </w:r>
      <w:r>
        <w:rPr>
          <w:spacing w:val="-1"/>
        </w:rPr>
        <w:t>as</w:t>
      </w:r>
      <w:r>
        <w:rPr>
          <w:spacing w:val="8"/>
        </w:rPr>
        <w:t xml:space="preserve"> </w:t>
      </w:r>
      <w:r>
        <w:rPr>
          <w:spacing w:val="-1"/>
        </w:rPr>
        <w:t>soon</w:t>
      </w:r>
      <w:r>
        <w:rPr>
          <w:spacing w:val="7"/>
        </w:rPr>
        <w:t xml:space="preserve"> </w:t>
      </w:r>
      <w:r>
        <w:rPr>
          <w:spacing w:val="-1"/>
        </w:rPr>
        <w:t>as</w:t>
      </w:r>
      <w:r>
        <w:rPr>
          <w:spacing w:val="5"/>
        </w:rPr>
        <w:t xml:space="preserve"> </w:t>
      </w:r>
      <w:r>
        <w:rPr>
          <w:spacing w:val="-1"/>
        </w:rPr>
        <w:t>reasonably</w:t>
      </w:r>
      <w:r>
        <w:rPr>
          <w:spacing w:val="8"/>
        </w:rPr>
        <w:t xml:space="preserve"> </w:t>
      </w:r>
      <w:r>
        <w:rPr>
          <w:spacing w:val="-1"/>
        </w:rPr>
        <w:t>practical</w:t>
      </w:r>
      <w:r>
        <w:rPr>
          <w:spacing w:val="4"/>
        </w:rPr>
        <w:t xml:space="preserve"> </w:t>
      </w:r>
      <w:r>
        <w:rPr>
          <w:spacing w:val="-2"/>
        </w:rPr>
        <w:t>following</w:t>
      </w:r>
      <w:r>
        <w:rPr>
          <w:spacing w:val="10"/>
        </w:rPr>
        <w:t xml:space="preserve"> </w:t>
      </w:r>
      <w:r>
        <w:rPr>
          <w:spacing w:val="-1"/>
        </w:rPr>
        <w:t>such</w:t>
      </w:r>
      <w:r>
        <w:rPr>
          <w:spacing w:val="5"/>
        </w:rPr>
        <w:t xml:space="preserve"> </w:t>
      </w:r>
      <w:r>
        <w:rPr>
          <w:spacing w:val="-1"/>
        </w:rPr>
        <w:t>successful</w:t>
      </w:r>
      <w:r>
        <w:rPr>
          <w:spacing w:val="54"/>
        </w:rPr>
        <w:t xml:space="preserve"> </w:t>
      </w:r>
      <w:r>
        <w:rPr>
          <w:spacing w:val="-1"/>
        </w:rPr>
        <w:t>completion.</w:t>
      </w:r>
      <w:r>
        <w:rPr>
          <w:spacing w:val="7"/>
        </w:rPr>
        <w:t xml:space="preserve"> </w:t>
      </w:r>
      <w:r>
        <w:rPr>
          <w:spacing w:val="-2"/>
        </w:rPr>
        <w:t>Notwithstanding</w:t>
      </w:r>
      <w:r>
        <w:rPr>
          <w:spacing w:val="35"/>
        </w:rPr>
        <w:t xml:space="preserve"> </w:t>
      </w:r>
      <w:r>
        <w:t>the</w:t>
      </w:r>
      <w:r>
        <w:rPr>
          <w:spacing w:val="32"/>
        </w:rPr>
        <w:t xml:space="preserve"> </w:t>
      </w:r>
      <w:r>
        <w:rPr>
          <w:spacing w:val="-2"/>
        </w:rPr>
        <w:t>issuing</w:t>
      </w:r>
      <w:r>
        <w:rPr>
          <w:spacing w:val="35"/>
        </w:rPr>
        <w:t xml:space="preserve"> </w:t>
      </w:r>
      <w:r>
        <w:rPr>
          <w:spacing w:val="-2"/>
        </w:rPr>
        <w:t>of</w:t>
      </w:r>
      <w:r>
        <w:rPr>
          <w:spacing w:val="34"/>
        </w:rPr>
        <w:t xml:space="preserve"> </w:t>
      </w:r>
      <w:r>
        <w:rPr>
          <w:spacing w:val="-1"/>
        </w:rPr>
        <w:t>any</w:t>
      </w:r>
      <w:r>
        <w:rPr>
          <w:spacing w:val="30"/>
        </w:rPr>
        <w:t xml:space="preserve"> </w:t>
      </w:r>
      <w:r>
        <w:rPr>
          <w:spacing w:val="-1"/>
        </w:rPr>
        <w:t>Satisfaction</w:t>
      </w:r>
      <w:r>
        <w:rPr>
          <w:spacing w:val="32"/>
        </w:rPr>
        <w:t xml:space="preserve"> </w:t>
      </w:r>
      <w:r>
        <w:rPr>
          <w:spacing w:val="-1"/>
        </w:rPr>
        <w:t>Certificate,</w:t>
      </w:r>
      <w:r>
        <w:rPr>
          <w:spacing w:val="33"/>
        </w:rPr>
        <w:t xml:space="preserve"> </w:t>
      </w:r>
      <w:r>
        <w:rPr>
          <w:spacing w:val="-1"/>
        </w:rPr>
        <w:t>the</w:t>
      </w:r>
      <w:r>
        <w:rPr>
          <w:spacing w:val="72"/>
        </w:rPr>
        <w:t xml:space="preserve"> </w:t>
      </w:r>
      <w:r>
        <w:rPr>
          <w:spacing w:val="-2"/>
        </w:rPr>
        <w:t>Supplier</w:t>
      </w:r>
      <w:r>
        <w:rPr>
          <w:spacing w:val="34"/>
        </w:rPr>
        <w:t xml:space="preserve"> </w:t>
      </w:r>
      <w:r>
        <w:rPr>
          <w:spacing w:val="-1"/>
        </w:rPr>
        <w:t>shall</w:t>
      </w:r>
      <w:r>
        <w:rPr>
          <w:spacing w:val="34"/>
        </w:rPr>
        <w:t xml:space="preserve"> </w:t>
      </w:r>
      <w:r>
        <w:rPr>
          <w:spacing w:val="-1"/>
        </w:rPr>
        <w:t>remain</w:t>
      </w:r>
      <w:r>
        <w:rPr>
          <w:spacing w:val="32"/>
        </w:rPr>
        <w:t xml:space="preserve"> </w:t>
      </w:r>
      <w:r>
        <w:rPr>
          <w:spacing w:val="-1"/>
        </w:rPr>
        <w:t>solely</w:t>
      </w:r>
      <w:r>
        <w:rPr>
          <w:spacing w:val="33"/>
        </w:rPr>
        <w:t xml:space="preserve"> </w:t>
      </w:r>
      <w:r>
        <w:rPr>
          <w:spacing w:val="-1"/>
        </w:rPr>
        <w:t>responsible</w:t>
      </w:r>
      <w:r>
        <w:rPr>
          <w:spacing w:val="33"/>
        </w:rPr>
        <w:t xml:space="preserve"> </w:t>
      </w:r>
      <w:r>
        <w:t>for</w:t>
      </w:r>
      <w:r>
        <w:rPr>
          <w:spacing w:val="32"/>
        </w:rPr>
        <w:t xml:space="preserve"> </w:t>
      </w:r>
      <w:r>
        <w:rPr>
          <w:spacing w:val="-1"/>
        </w:rPr>
        <w:t>ensuring</w:t>
      </w:r>
      <w:r>
        <w:rPr>
          <w:spacing w:val="34"/>
        </w:rPr>
        <w:t xml:space="preserve"> </w:t>
      </w:r>
      <w:r>
        <w:rPr>
          <w:spacing w:val="-1"/>
        </w:rPr>
        <w:t>that</w:t>
      </w:r>
      <w:r>
        <w:rPr>
          <w:spacing w:val="34"/>
        </w:rPr>
        <w:t xml:space="preserve"> </w:t>
      </w:r>
      <w:r>
        <w:t>the</w:t>
      </w:r>
      <w:r>
        <w:rPr>
          <w:spacing w:val="35"/>
        </w:rPr>
        <w:t xml:space="preserve"> </w:t>
      </w:r>
      <w:r>
        <w:rPr>
          <w:spacing w:val="-2"/>
        </w:rPr>
        <w:t>Services</w:t>
      </w:r>
      <w:r>
        <w:rPr>
          <w:spacing w:val="33"/>
        </w:rPr>
        <w:t xml:space="preserve"> </w:t>
      </w:r>
      <w:r>
        <w:rPr>
          <w:spacing w:val="-1"/>
        </w:rPr>
        <w:t>are</w:t>
      </w:r>
      <w:r>
        <w:rPr>
          <w:spacing w:val="55"/>
        </w:rPr>
        <w:t xml:space="preserve"> </w:t>
      </w:r>
      <w:r>
        <w:rPr>
          <w:spacing w:val="-1"/>
        </w:rPr>
        <w:t>implemented</w:t>
      </w:r>
      <w:r>
        <w:rPr>
          <w:spacing w:val="-2"/>
        </w:rPr>
        <w:t xml:space="preserve"> </w:t>
      </w:r>
      <w:r>
        <w:rPr>
          <w:spacing w:val="-1"/>
        </w:rPr>
        <w:t>in</w:t>
      </w:r>
      <w:r>
        <w:t xml:space="preserve"> </w:t>
      </w:r>
      <w:r>
        <w:rPr>
          <w:spacing w:val="-2"/>
        </w:rPr>
        <w:t>accordance</w:t>
      </w:r>
      <w:r>
        <w:rPr>
          <w:spacing w:val="1"/>
        </w:rPr>
        <w:t xml:space="preserve"> </w:t>
      </w:r>
      <w:r>
        <w:rPr>
          <w:spacing w:val="-2"/>
        </w:rPr>
        <w:t>with</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p>
    <w:p w:rsidR="008918FA" w:rsidRDefault="008918FA" w:rsidP="008918FA">
      <w:pPr>
        <w:pStyle w:val="BodyText"/>
        <w:numPr>
          <w:ilvl w:val="0"/>
          <w:numId w:val="26"/>
        </w:numPr>
        <w:tabs>
          <w:tab w:val="left" w:pos="465"/>
        </w:tabs>
        <w:spacing w:before="120"/>
        <w:ind w:left="464"/>
        <w:rPr>
          <w:rFonts w:ascii="Times New Roman" w:eastAsia="Times New Roman" w:hAnsi="Times New Roman" w:cs="Times New Roman"/>
        </w:rPr>
      </w:pPr>
      <w:r>
        <w:rPr>
          <w:rFonts w:ascii="Times New Roman"/>
          <w:spacing w:val="2"/>
        </w:rPr>
        <w:t>TES</w:t>
      </w:r>
      <w:r>
        <w:rPr>
          <w:rFonts w:ascii="Times New Roman"/>
          <w:spacing w:val="-29"/>
        </w:rPr>
        <w:t xml:space="preserve"> </w:t>
      </w:r>
      <w:r>
        <w:rPr>
          <w:rFonts w:ascii="Times New Roman"/>
        </w:rPr>
        <w:t>T</w:t>
      </w:r>
      <w:r>
        <w:rPr>
          <w:rFonts w:ascii="Times New Roman"/>
          <w:spacing w:val="4"/>
        </w:rPr>
        <w:t xml:space="preserve"> </w:t>
      </w:r>
      <w:r>
        <w:rPr>
          <w:rFonts w:ascii="Times New Roman"/>
          <w:spacing w:val="-12"/>
        </w:rPr>
        <w:t>I</w:t>
      </w:r>
      <w:r>
        <w:rPr>
          <w:rFonts w:ascii="Times New Roman"/>
          <w:spacing w:val="23"/>
        </w:rPr>
        <w:t>SS</w:t>
      </w:r>
      <w:r>
        <w:rPr>
          <w:rFonts w:ascii="Times New Roman"/>
          <w:spacing w:val="-2"/>
        </w:rPr>
        <w:t>U</w:t>
      </w:r>
      <w:r>
        <w:rPr>
          <w:rFonts w:ascii="Times New Roman"/>
          <w:spacing w:val="11"/>
        </w:rPr>
        <w:t>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6"/>
        </w:numPr>
        <w:tabs>
          <w:tab w:val="left" w:pos="828"/>
        </w:tabs>
        <w:spacing w:before="0"/>
        <w:ind w:left="827" w:right="121"/>
        <w:jc w:val="both"/>
      </w:pPr>
      <w:r>
        <w:rPr>
          <w:spacing w:val="-1"/>
        </w:rPr>
        <w:t>Where</w:t>
      </w:r>
      <w:r>
        <w:rPr>
          <w:spacing w:val="15"/>
        </w:rPr>
        <w:t xml:space="preserve"> </w:t>
      </w:r>
      <w:r>
        <w:t>a</w:t>
      </w:r>
      <w:r>
        <w:rPr>
          <w:spacing w:val="12"/>
        </w:rPr>
        <w:t xml:space="preserve"> </w:t>
      </w:r>
      <w:r>
        <w:rPr>
          <w:spacing w:val="-1"/>
        </w:rPr>
        <w:t>Test</w:t>
      </w:r>
      <w:r>
        <w:rPr>
          <w:spacing w:val="16"/>
        </w:rPr>
        <w:t xml:space="preserve"> </w:t>
      </w:r>
      <w:r>
        <w:rPr>
          <w:spacing w:val="-1"/>
        </w:rPr>
        <w:t>Issue</w:t>
      </w:r>
      <w:r>
        <w:rPr>
          <w:spacing w:val="15"/>
        </w:rPr>
        <w:t xml:space="preserve"> </w:t>
      </w:r>
      <w:r>
        <w:rPr>
          <w:spacing w:val="-1"/>
        </w:rPr>
        <w:t>is</w:t>
      </w:r>
      <w:r>
        <w:rPr>
          <w:spacing w:val="15"/>
        </w:rPr>
        <w:t xml:space="preserve"> </w:t>
      </w:r>
      <w:r>
        <w:rPr>
          <w:spacing w:val="-1"/>
        </w:rPr>
        <w:t>identified</w:t>
      </w:r>
      <w:r>
        <w:rPr>
          <w:spacing w:val="15"/>
        </w:rPr>
        <w:t xml:space="preserve"> </w:t>
      </w:r>
      <w:r>
        <w:rPr>
          <w:spacing w:val="-1"/>
        </w:rPr>
        <w:t>by</w:t>
      </w:r>
      <w:r>
        <w:rPr>
          <w:spacing w:val="13"/>
        </w:rPr>
        <w:t xml:space="preserve"> </w:t>
      </w:r>
      <w:r>
        <w:t>the</w:t>
      </w:r>
      <w:r>
        <w:rPr>
          <w:spacing w:val="15"/>
        </w:rPr>
        <w:t xml:space="preserve"> </w:t>
      </w:r>
      <w:r>
        <w:rPr>
          <w:spacing w:val="-1"/>
        </w:rPr>
        <w:t>Supplier,</w:t>
      </w:r>
      <w:r>
        <w:rPr>
          <w:spacing w:val="16"/>
        </w:rPr>
        <w:t xml:space="preserve"> </w:t>
      </w:r>
      <w:r>
        <w:t>the</w:t>
      </w:r>
      <w:r>
        <w:rPr>
          <w:spacing w:val="15"/>
        </w:rPr>
        <w:t xml:space="preserve"> </w:t>
      </w:r>
      <w:r>
        <w:rPr>
          <w:spacing w:val="-1"/>
        </w:rPr>
        <w:t>Parties</w:t>
      </w:r>
      <w:r>
        <w:rPr>
          <w:spacing w:val="15"/>
        </w:rPr>
        <w:t xml:space="preserve"> </w:t>
      </w:r>
      <w:r>
        <w:rPr>
          <w:spacing w:val="-1"/>
        </w:rPr>
        <w:t>shall</w:t>
      </w:r>
      <w:r>
        <w:rPr>
          <w:spacing w:val="14"/>
        </w:rPr>
        <w:t xml:space="preserve"> </w:t>
      </w:r>
      <w:r>
        <w:rPr>
          <w:spacing w:val="-1"/>
        </w:rPr>
        <w:t>agree</w:t>
      </w:r>
      <w:r>
        <w:rPr>
          <w:spacing w:val="15"/>
        </w:rPr>
        <w:t xml:space="preserve"> </w:t>
      </w:r>
      <w:r>
        <w:rPr>
          <w:spacing w:val="-2"/>
        </w:rPr>
        <w:t>how</w:t>
      </w:r>
      <w:r>
        <w:rPr>
          <w:spacing w:val="12"/>
        </w:rPr>
        <w:t xml:space="preserve"> </w:t>
      </w:r>
      <w:r>
        <w:rPr>
          <w:spacing w:val="-1"/>
        </w:rPr>
        <w:t>such</w:t>
      </w:r>
      <w:r>
        <w:rPr>
          <w:spacing w:val="38"/>
        </w:rPr>
        <w:t xml:space="preserve"> </w:t>
      </w:r>
      <w:r>
        <w:rPr>
          <w:spacing w:val="-1"/>
        </w:rPr>
        <w:t>Test</w:t>
      </w:r>
      <w:r>
        <w:rPr>
          <w:spacing w:val="47"/>
        </w:rPr>
        <w:t xml:space="preserve"> </w:t>
      </w:r>
      <w:r>
        <w:rPr>
          <w:spacing w:val="-1"/>
        </w:rPr>
        <w:t>Issue</w:t>
      </w:r>
      <w:r>
        <w:rPr>
          <w:spacing w:val="46"/>
        </w:rPr>
        <w:t xml:space="preserve"> </w:t>
      </w:r>
      <w:r>
        <w:rPr>
          <w:spacing w:val="-1"/>
        </w:rPr>
        <w:t>shall</w:t>
      </w:r>
      <w:r>
        <w:rPr>
          <w:spacing w:val="45"/>
        </w:rPr>
        <w:t xml:space="preserve"> </w:t>
      </w:r>
      <w:r>
        <w:rPr>
          <w:spacing w:val="-1"/>
        </w:rPr>
        <w:t>be</w:t>
      </w:r>
      <w:r>
        <w:rPr>
          <w:spacing w:val="46"/>
        </w:rPr>
        <w:t xml:space="preserve"> </w:t>
      </w:r>
      <w:r>
        <w:rPr>
          <w:spacing w:val="-2"/>
        </w:rPr>
        <w:t>dealt</w:t>
      </w:r>
      <w:r>
        <w:rPr>
          <w:spacing w:val="47"/>
        </w:rPr>
        <w:t xml:space="preserve"> </w:t>
      </w:r>
      <w:r>
        <w:rPr>
          <w:spacing w:val="-2"/>
        </w:rPr>
        <w:t>with</w:t>
      </w:r>
      <w:r>
        <w:rPr>
          <w:spacing w:val="46"/>
        </w:rPr>
        <w:t xml:space="preserve"> </w:t>
      </w:r>
      <w:r>
        <w:rPr>
          <w:spacing w:val="-1"/>
        </w:rPr>
        <w:t>and</w:t>
      </w:r>
      <w:r>
        <w:rPr>
          <w:spacing w:val="47"/>
        </w:rPr>
        <w:t xml:space="preserve"> </w:t>
      </w:r>
      <w:r>
        <w:rPr>
          <w:spacing w:val="-1"/>
        </w:rPr>
        <w:t>any</w:t>
      </w:r>
      <w:r>
        <w:rPr>
          <w:spacing w:val="44"/>
        </w:rPr>
        <w:t xml:space="preserve"> </w:t>
      </w:r>
      <w:r>
        <w:rPr>
          <w:spacing w:val="-1"/>
        </w:rPr>
        <w:t>failure</w:t>
      </w:r>
      <w:r>
        <w:rPr>
          <w:spacing w:val="46"/>
        </w:rPr>
        <w:t xml:space="preserve"> </w:t>
      </w:r>
      <w:r>
        <w:rPr>
          <w:spacing w:val="-1"/>
        </w:rPr>
        <w:t>to</w:t>
      </w:r>
      <w:r>
        <w:rPr>
          <w:spacing w:val="46"/>
        </w:rPr>
        <w:t xml:space="preserve"> </w:t>
      </w:r>
      <w:r>
        <w:rPr>
          <w:spacing w:val="-1"/>
        </w:rPr>
        <w:t>agree</w:t>
      </w:r>
      <w:r>
        <w:rPr>
          <w:spacing w:val="46"/>
        </w:rPr>
        <w:t xml:space="preserve"> </w:t>
      </w:r>
      <w:r>
        <w:rPr>
          <w:spacing w:val="-1"/>
        </w:rPr>
        <w:t>by</w:t>
      </w:r>
      <w:r>
        <w:rPr>
          <w:spacing w:val="44"/>
        </w:rPr>
        <w:t xml:space="preserve"> </w:t>
      </w:r>
      <w:r>
        <w:t>the</w:t>
      </w:r>
      <w:r>
        <w:rPr>
          <w:spacing w:val="47"/>
        </w:rPr>
        <w:t xml:space="preserve"> </w:t>
      </w:r>
      <w:r>
        <w:rPr>
          <w:spacing w:val="-1"/>
        </w:rPr>
        <w:t>Parties</w:t>
      </w:r>
      <w:r>
        <w:rPr>
          <w:spacing w:val="44"/>
        </w:rPr>
        <w:t xml:space="preserve"> </w:t>
      </w:r>
      <w:r>
        <w:rPr>
          <w:spacing w:val="-1"/>
        </w:rPr>
        <w:t>shall</w:t>
      </w:r>
      <w:r>
        <w:rPr>
          <w:spacing w:val="45"/>
        </w:rPr>
        <w:t xml:space="preserve"> </w:t>
      </w:r>
      <w:r>
        <w:rPr>
          <w:spacing w:val="-1"/>
        </w:rPr>
        <w:t>be</w:t>
      </w:r>
      <w:r>
        <w:rPr>
          <w:spacing w:val="44"/>
        </w:rPr>
        <w:t xml:space="preserve"> </w:t>
      </w:r>
      <w:r>
        <w:rPr>
          <w:spacing w:val="-1"/>
        </w:rPr>
        <w:t>resolved</w:t>
      </w:r>
      <w:r>
        <w:t xml:space="preserve"> </w:t>
      </w:r>
      <w:r>
        <w:rPr>
          <w:spacing w:val="-1"/>
        </w:rPr>
        <w:t>in</w:t>
      </w:r>
      <w:r>
        <w:t xml:space="preserve"> </w:t>
      </w:r>
      <w:r>
        <w:rPr>
          <w:spacing w:val="-1"/>
        </w:rPr>
        <w:t>accordance</w:t>
      </w:r>
      <w:r>
        <w:rPr>
          <w:spacing w:val="-4"/>
        </w:rPr>
        <w:t xml:space="preserve"> </w:t>
      </w:r>
      <w:r>
        <w:rPr>
          <w:spacing w:val="-1"/>
        </w:rPr>
        <w:t>with</w:t>
      </w:r>
      <w:r>
        <w:t xml:space="preserve"> the</w:t>
      </w:r>
      <w:r>
        <w:rPr>
          <w:spacing w:val="-2"/>
        </w:rPr>
        <w:t xml:space="preserve"> </w:t>
      </w:r>
      <w:r>
        <w:rPr>
          <w:spacing w:val="-1"/>
        </w:rPr>
        <w:t>Dispute</w:t>
      </w:r>
      <w:r>
        <w:t xml:space="preserve"> </w:t>
      </w:r>
      <w:r>
        <w:rPr>
          <w:spacing w:val="-2"/>
        </w:rPr>
        <w:t>Resolution</w:t>
      </w:r>
      <w:r>
        <w:t xml:space="preserve"> </w:t>
      </w:r>
      <w:r>
        <w:rPr>
          <w:spacing w:val="-1"/>
        </w:rPr>
        <w:t>Procedure.</w:t>
      </w:r>
    </w:p>
    <w:p w:rsidR="008918FA" w:rsidRDefault="008918FA" w:rsidP="008918FA">
      <w:pPr>
        <w:pStyle w:val="BodyText"/>
        <w:numPr>
          <w:ilvl w:val="0"/>
          <w:numId w:val="26"/>
        </w:numPr>
        <w:tabs>
          <w:tab w:val="left" w:pos="465"/>
        </w:tabs>
        <w:spacing w:before="117"/>
        <w:ind w:left="464"/>
        <w:rPr>
          <w:rFonts w:ascii="Times New Roman" w:eastAsia="Times New Roman" w:hAnsi="Times New Roman" w:cs="Times New Roman"/>
        </w:rPr>
      </w:pPr>
      <w:r>
        <w:rPr>
          <w:rFonts w:ascii="Times New Roman"/>
          <w:spacing w:val="2"/>
        </w:rPr>
        <w:t>TES</w:t>
      </w:r>
      <w:r>
        <w:rPr>
          <w:rFonts w:ascii="Times New Roman"/>
          <w:spacing w:val="-29"/>
        </w:rPr>
        <w:t xml:space="preserve"> </w:t>
      </w:r>
      <w:r>
        <w:rPr>
          <w:rFonts w:ascii="Times New Roman"/>
        </w:rPr>
        <w:t>T</w:t>
      </w:r>
      <w:r>
        <w:rPr>
          <w:rFonts w:ascii="Times New Roman"/>
          <w:spacing w:val="4"/>
        </w:rPr>
        <w:t xml:space="preserve"> </w:t>
      </w:r>
      <w:r>
        <w:rPr>
          <w:rFonts w:ascii="Times New Roman"/>
          <w:spacing w:val="-1"/>
        </w:rPr>
        <w:t xml:space="preserve">QUALITY </w:t>
      </w:r>
      <w:r>
        <w:rPr>
          <w:rFonts w:ascii="Times New Roman"/>
          <w:spacing w:val="-4"/>
        </w:rPr>
        <w:t>AUDIT</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6"/>
        </w:numPr>
        <w:tabs>
          <w:tab w:val="left" w:pos="827"/>
        </w:tabs>
        <w:spacing w:before="0"/>
        <w:ind w:left="826" w:right="115" w:hanging="359"/>
        <w:jc w:val="both"/>
      </w:pPr>
      <w:bookmarkStart w:id="377" w:name="_bookmark307"/>
      <w:bookmarkEnd w:id="377"/>
      <w:r>
        <w:rPr>
          <w:spacing w:val="-1"/>
        </w:rPr>
        <w:t>Without</w:t>
      </w:r>
      <w:r>
        <w:rPr>
          <w:spacing w:val="19"/>
        </w:rPr>
        <w:t xml:space="preserve"> </w:t>
      </w:r>
      <w:r>
        <w:rPr>
          <w:spacing w:val="-1"/>
        </w:rPr>
        <w:t>prejudice</w:t>
      </w:r>
      <w:r>
        <w:rPr>
          <w:spacing w:val="20"/>
        </w:rPr>
        <w:t xml:space="preserve"> </w:t>
      </w:r>
      <w:r>
        <w:t>to</w:t>
      </w:r>
      <w:r>
        <w:rPr>
          <w:spacing w:val="17"/>
        </w:rPr>
        <w:t xml:space="preserve"> </w:t>
      </w:r>
      <w:r>
        <w:rPr>
          <w:spacing w:val="-1"/>
        </w:rPr>
        <w:t>its</w:t>
      </w:r>
      <w:r>
        <w:rPr>
          <w:spacing w:val="18"/>
        </w:rPr>
        <w:t xml:space="preserve"> </w:t>
      </w:r>
      <w:r>
        <w:rPr>
          <w:spacing w:val="-1"/>
        </w:rPr>
        <w:t>rights</w:t>
      </w:r>
      <w:r>
        <w:rPr>
          <w:spacing w:val="17"/>
        </w:rPr>
        <w:t xml:space="preserve"> </w:t>
      </w:r>
      <w:r>
        <w:rPr>
          <w:spacing w:val="-1"/>
        </w:rPr>
        <w:t>pursuant</w:t>
      </w:r>
      <w:r>
        <w:rPr>
          <w:spacing w:val="19"/>
        </w:rPr>
        <w:t xml:space="preserve"> </w:t>
      </w:r>
      <w:r>
        <w:t>to</w:t>
      </w:r>
      <w:r>
        <w:rPr>
          <w:spacing w:val="20"/>
        </w:rPr>
        <w:t xml:space="preserve"> </w:t>
      </w:r>
      <w:r>
        <w:rPr>
          <w:spacing w:val="-2"/>
        </w:rPr>
        <w:t>Clause</w:t>
      </w:r>
      <w:r>
        <w:rPr>
          <w:spacing w:val="19"/>
        </w:rPr>
        <w:t xml:space="preserve"> </w:t>
      </w:r>
      <w:hyperlink w:anchor="_bookmark115" w:history="1">
        <w:r>
          <w:rPr>
            <w:spacing w:val="-1"/>
          </w:rPr>
          <w:t>21</w:t>
        </w:r>
      </w:hyperlink>
      <w:r>
        <w:rPr>
          <w:spacing w:val="20"/>
        </w:rPr>
        <w:t xml:space="preserve"> </w:t>
      </w:r>
      <w:r>
        <w:rPr>
          <w:spacing w:val="-1"/>
        </w:rPr>
        <w:t>(Records</w:t>
      </w:r>
      <w:r>
        <w:rPr>
          <w:spacing w:val="20"/>
        </w:rPr>
        <w:t xml:space="preserve"> </w:t>
      </w:r>
      <w:r>
        <w:rPr>
          <w:spacing w:val="-1"/>
        </w:rPr>
        <w:t>and</w:t>
      </w:r>
      <w:r>
        <w:rPr>
          <w:spacing w:val="17"/>
        </w:rPr>
        <w:t xml:space="preserve"> </w:t>
      </w:r>
      <w:r>
        <w:rPr>
          <w:spacing w:val="-1"/>
        </w:rPr>
        <w:t>Audit</w:t>
      </w:r>
      <w:r>
        <w:rPr>
          <w:spacing w:val="19"/>
        </w:rPr>
        <w:t xml:space="preserve"> </w:t>
      </w:r>
      <w:r>
        <w:rPr>
          <w:spacing w:val="-1"/>
        </w:rPr>
        <w:t>Access),</w:t>
      </w:r>
      <w:r>
        <w:rPr>
          <w:spacing w:val="45"/>
        </w:rPr>
        <w:t xml:space="preserve"> </w:t>
      </w:r>
      <w:r>
        <w:t>the</w:t>
      </w:r>
      <w:r>
        <w:rPr>
          <w:spacing w:val="27"/>
        </w:rPr>
        <w:t xml:space="preserve"> </w:t>
      </w:r>
      <w:r>
        <w:rPr>
          <w:spacing w:val="-1"/>
        </w:rPr>
        <w:t>Customer</w:t>
      </w:r>
      <w:r>
        <w:rPr>
          <w:spacing w:val="28"/>
        </w:rPr>
        <w:t xml:space="preserve"> </w:t>
      </w:r>
      <w:r>
        <w:rPr>
          <w:spacing w:val="-2"/>
        </w:rPr>
        <w:t>or</w:t>
      </w:r>
      <w:r>
        <w:rPr>
          <w:spacing w:val="28"/>
        </w:rPr>
        <w:t xml:space="preserve"> </w:t>
      </w:r>
      <w:r>
        <w:rPr>
          <w:spacing w:val="-1"/>
        </w:rPr>
        <w:t>an</w:t>
      </w:r>
      <w:r>
        <w:rPr>
          <w:spacing w:val="27"/>
        </w:rPr>
        <w:t xml:space="preserve"> </w:t>
      </w:r>
      <w:r>
        <w:rPr>
          <w:spacing w:val="-1"/>
        </w:rPr>
        <w:t>agent</w:t>
      </w:r>
      <w:r>
        <w:rPr>
          <w:spacing w:val="28"/>
        </w:rPr>
        <w:t xml:space="preserve"> </w:t>
      </w:r>
      <w:r>
        <w:rPr>
          <w:spacing w:val="-1"/>
        </w:rPr>
        <w:t>or</w:t>
      </w:r>
      <w:r>
        <w:rPr>
          <w:spacing w:val="28"/>
        </w:rPr>
        <w:t xml:space="preserve"> </w:t>
      </w:r>
      <w:r>
        <w:rPr>
          <w:spacing w:val="-1"/>
        </w:rPr>
        <w:t>contractor</w:t>
      </w:r>
      <w:r>
        <w:rPr>
          <w:spacing w:val="28"/>
        </w:rPr>
        <w:t xml:space="preserve"> </w:t>
      </w:r>
      <w:r>
        <w:rPr>
          <w:spacing w:val="-2"/>
        </w:rPr>
        <w:t>appointed</w:t>
      </w:r>
      <w:r>
        <w:rPr>
          <w:spacing w:val="27"/>
        </w:rPr>
        <w:t xml:space="preserve"> </w:t>
      </w:r>
      <w:r>
        <w:rPr>
          <w:spacing w:val="-1"/>
        </w:rPr>
        <w:t>by</w:t>
      </w:r>
      <w:r>
        <w:rPr>
          <w:spacing w:val="25"/>
        </w:rPr>
        <w:t xml:space="preserve"> </w:t>
      </w:r>
      <w:r>
        <w:t>the</w:t>
      </w:r>
      <w:r>
        <w:rPr>
          <w:spacing w:val="27"/>
        </w:rPr>
        <w:t xml:space="preserve"> </w:t>
      </w:r>
      <w:r>
        <w:rPr>
          <w:spacing w:val="-1"/>
        </w:rPr>
        <w:t>Customer</w:t>
      </w:r>
      <w:r>
        <w:rPr>
          <w:spacing w:val="26"/>
        </w:rPr>
        <w:t xml:space="preserve"> </w:t>
      </w:r>
      <w:r>
        <w:rPr>
          <w:spacing w:val="-1"/>
        </w:rPr>
        <w:t>may</w:t>
      </w:r>
      <w:r>
        <w:rPr>
          <w:spacing w:val="25"/>
        </w:rPr>
        <w:t xml:space="preserve"> </w:t>
      </w:r>
      <w:r>
        <w:rPr>
          <w:spacing w:val="-1"/>
        </w:rPr>
        <w:t>perform</w:t>
      </w:r>
      <w:r>
        <w:rPr>
          <w:spacing w:val="45"/>
        </w:rPr>
        <w:t xml:space="preserve"> </w:t>
      </w:r>
      <w:r>
        <w:rPr>
          <w:spacing w:val="-1"/>
        </w:rPr>
        <w:t>on-going</w:t>
      </w:r>
      <w:r>
        <w:rPr>
          <w:spacing w:val="-2"/>
        </w:rPr>
        <w:t xml:space="preserve"> </w:t>
      </w:r>
      <w:r>
        <w:rPr>
          <w:spacing w:val="-1"/>
        </w:rPr>
        <w:t>quality</w:t>
      </w:r>
      <w:r>
        <w:rPr>
          <w:spacing w:val="-2"/>
        </w:rPr>
        <w:t xml:space="preserve"> </w:t>
      </w:r>
      <w:r>
        <w:rPr>
          <w:spacing w:val="-1"/>
        </w:rPr>
        <w:t>audits</w:t>
      </w:r>
      <w:r>
        <w:rPr>
          <w:spacing w:val="1"/>
        </w:rPr>
        <w:t xml:space="preserve"> </w:t>
      </w:r>
      <w:r>
        <w:rPr>
          <w:spacing w:val="-1"/>
        </w:rPr>
        <w:t>in</w:t>
      </w:r>
      <w:r>
        <w:rPr>
          <w:spacing w:val="-2"/>
        </w:rPr>
        <w:t xml:space="preserve"> </w:t>
      </w:r>
      <w:r>
        <w:rPr>
          <w:spacing w:val="-1"/>
        </w:rPr>
        <w:t>respect</w:t>
      </w:r>
      <w:r>
        <w:rPr>
          <w:spacing w:val="2"/>
        </w:rPr>
        <w:t xml:space="preserve"> </w:t>
      </w:r>
      <w:r>
        <w:rPr>
          <w:spacing w:val="-2"/>
        </w:rPr>
        <w:t>of</w:t>
      </w:r>
      <w:r>
        <w:t xml:space="preserve"> </w:t>
      </w:r>
      <w:r>
        <w:rPr>
          <w:spacing w:val="-1"/>
        </w:rPr>
        <w:t>any</w:t>
      </w:r>
      <w:r>
        <w:rPr>
          <w:spacing w:val="-2"/>
        </w:rPr>
        <w:t xml:space="preserve"> </w:t>
      </w:r>
      <w:r>
        <w:rPr>
          <w:spacing w:val="-1"/>
        </w:rPr>
        <w:t>part</w:t>
      </w:r>
      <w:r>
        <w:t xml:space="preserve"> </w:t>
      </w:r>
      <w:r>
        <w:rPr>
          <w:spacing w:val="-2"/>
        </w:rPr>
        <w:t>of</w:t>
      </w:r>
      <w:r>
        <w:rPr>
          <w:spacing w:val="2"/>
        </w:rPr>
        <w:t xml:space="preserve"> </w:t>
      </w:r>
      <w:r>
        <w:rPr>
          <w:spacing w:val="-1"/>
        </w:rPr>
        <w:t>the</w:t>
      </w:r>
      <w:r>
        <w:rPr>
          <w:spacing w:val="-2"/>
        </w:rPr>
        <w:t xml:space="preserve"> </w:t>
      </w:r>
      <w:r>
        <w:rPr>
          <w:spacing w:val="-1"/>
        </w:rPr>
        <w:t>Testing.</w:t>
      </w:r>
    </w:p>
    <w:p w:rsidR="008918FA" w:rsidRDefault="008918FA" w:rsidP="008918FA">
      <w:pPr>
        <w:pStyle w:val="BodyText"/>
        <w:numPr>
          <w:ilvl w:val="1"/>
          <w:numId w:val="26"/>
        </w:numPr>
        <w:tabs>
          <w:tab w:val="left" w:pos="827"/>
        </w:tabs>
        <w:spacing w:line="252" w:lineRule="exact"/>
        <w:ind w:left="826"/>
      </w:pPr>
      <w:r>
        <w:rPr>
          <w:spacing w:val="-1"/>
        </w:rPr>
        <w:t>If</w:t>
      </w:r>
      <w:r>
        <w:rPr>
          <w:spacing w:val="11"/>
        </w:rPr>
        <w:t xml:space="preserve"> </w:t>
      </w:r>
      <w:r>
        <w:t>the</w:t>
      </w:r>
      <w:r>
        <w:rPr>
          <w:spacing w:val="10"/>
        </w:rPr>
        <w:t xml:space="preserve"> </w:t>
      </w:r>
      <w:r>
        <w:rPr>
          <w:spacing w:val="-2"/>
        </w:rPr>
        <w:t>Customer</w:t>
      </w:r>
      <w:r>
        <w:rPr>
          <w:spacing w:val="11"/>
        </w:rPr>
        <w:t xml:space="preserve"> </w:t>
      </w:r>
      <w:r>
        <w:rPr>
          <w:spacing w:val="-1"/>
        </w:rPr>
        <w:t>has</w:t>
      </w:r>
      <w:r>
        <w:rPr>
          <w:spacing w:val="10"/>
        </w:rPr>
        <w:t xml:space="preserve"> </w:t>
      </w:r>
      <w:r>
        <w:rPr>
          <w:spacing w:val="-1"/>
        </w:rPr>
        <w:t>any</w:t>
      </w:r>
      <w:r>
        <w:rPr>
          <w:spacing w:val="6"/>
        </w:rPr>
        <w:t xml:space="preserve"> </w:t>
      </w:r>
      <w:r>
        <w:rPr>
          <w:spacing w:val="-1"/>
        </w:rPr>
        <w:t>concerns</w:t>
      </w:r>
      <w:r>
        <w:rPr>
          <w:spacing w:val="8"/>
        </w:rPr>
        <w:t xml:space="preserve"> </w:t>
      </w:r>
      <w:r>
        <w:rPr>
          <w:spacing w:val="-2"/>
        </w:rPr>
        <w:t>following</w:t>
      </w:r>
      <w:r>
        <w:rPr>
          <w:spacing w:val="12"/>
        </w:rPr>
        <w:t xml:space="preserve"> </w:t>
      </w:r>
      <w:r>
        <w:rPr>
          <w:spacing w:val="-1"/>
        </w:rPr>
        <w:t>an</w:t>
      </w:r>
      <w:r>
        <w:rPr>
          <w:spacing w:val="10"/>
        </w:rPr>
        <w:t xml:space="preserve"> </w:t>
      </w:r>
      <w:r>
        <w:rPr>
          <w:spacing w:val="-2"/>
        </w:rPr>
        <w:t>audit</w:t>
      </w:r>
      <w:r>
        <w:rPr>
          <w:spacing w:val="11"/>
        </w:rPr>
        <w:t xml:space="preserve"> </w:t>
      </w:r>
      <w:r>
        <w:rPr>
          <w:spacing w:val="-1"/>
        </w:rPr>
        <w:t>in</w:t>
      </w:r>
      <w:r>
        <w:rPr>
          <w:spacing w:val="10"/>
        </w:rPr>
        <w:t xml:space="preserve"> </w:t>
      </w:r>
      <w:r>
        <w:rPr>
          <w:spacing w:val="-1"/>
        </w:rPr>
        <w:t>accordance</w:t>
      </w:r>
      <w:r>
        <w:rPr>
          <w:spacing w:val="8"/>
        </w:rPr>
        <w:t xml:space="preserve"> </w:t>
      </w:r>
      <w:r>
        <w:rPr>
          <w:spacing w:val="-2"/>
        </w:rPr>
        <w:t>with</w:t>
      </w:r>
      <w:r>
        <w:rPr>
          <w:spacing w:val="10"/>
        </w:rPr>
        <w:t xml:space="preserve"> </w:t>
      </w:r>
      <w:r>
        <w:rPr>
          <w:spacing w:val="-1"/>
        </w:rPr>
        <w:t>paragraph</w:t>
      </w:r>
    </w:p>
    <w:p w:rsidR="008918FA" w:rsidRDefault="00E32C6B" w:rsidP="008918FA">
      <w:pPr>
        <w:pStyle w:val="BodyText"/>
        <w:spacing w:before="0"/>
        <w:ind w:left="826" w:right="116" w:firstLine="0"/>
        <w:jc w:val="both"/>
      </w:pPr>
      <w:hyperlink w:anchor="_bookmark307" w:history="1">
        <w:r w:rsidR="008918FA">
          <w:t>7.1</w:t>
        </w:r>
      </w:hyperlink>
      <w:r w:rsidR="008918FA">
        <w:rPr>
          <w:spacing w:val="31"/>
        </w:rPr>
        <w:t xml:space="preserve"> </w:t>
      </w:r>
      <w:r w:rsidR="008918FA">
        <w:rPr>
          <w:spacing w:val="-2"/>
        </w:rPr>
        <w:t>above</w:t>
      </w:r>
      <w:r w:rsidR="008918FA">
        <w:rPr>
          <w:spacing w:val="31"/>
        </w:rPr>
        <w:t xml:space="preserve"> </w:t>
      </w:r>
      <w:r w:rsidR="008918FA">
        <w:t>the</w:t>
      </w:r>
      <w:r w:rsidR="008918FA">
        <w:rPr>
          <w:spacing w:val="31"/>
        </w:rPr>
        <w:t xml:space="preserve"> </w:t>
      </w:r>
      <w:r w:rsidR="008918FA">
        <w:rPr>
          <w:spacing w:val="-2"/>
        </w:rPr>
        <w:t>Customer</w:t>
      </w:r>
      <w:r w:rsidR="008918FA">
        <w:rPr>
          <w:spacing w:val="30"/>
        </w:rPr>
        <w:t xml:space="preserve"> </w:t>
      </w:r>
      <w:r w:rsidR="008918FA">
        <w:rPr>
          <w:spacing w:val="-2"/>
        </w:rPr>
        <w:t>will</w:t>
      </w:r>
      <w:r w:rsidR="008918FA">
        <w:rPr>
          <w:spacing w:val="31"/>
        </w:rPr>
        <w:t xml:space="preserve"> </w:t>
      </w:r>
      <w:r w:rsidR="008918FA">
        <w:rPr>
          <w:spacing w:val="-1"/>
        </w:rPr>
        <w:t>discuss</w:t>
      </w:r>
      <w:r w:rsidR="008918FA">
        <w:rPr>
          <w:spacing w:val="32"/>
        </w:rPr>
        <w:t xml:space="preserve"> </w:t>
      </w:r>
      <w:r w:rsidR="008918FA">
        <w:rPr>
          <w:spacing w:val="-1"/>
        </w:rPr>
        <w:t>such</w:t>
      </w:r>
      <w:r w:rsidR="008918FA">
        <w:rPr>
          <w:spacing w:val="33"/>
        </w:rPr>
        <w:t xml:space="preserve"> </w:t>
      </w:r>
      <w:r w:rsidR="008918FA">
        <w:rPr>
          <w:spacing w:val="-1"/>
        </w:rPr>
        <w:t>concerns</w:t>
      </w:r>
      <w:r w:rsidR="008918FA">
        <w:rPr>
          <w:spacing w:val="32"/>
        </w:rPr>
        <w:t xml:space="preserve"> </w:t>
      </w:r>
      <w:r w:rsidR="008918FA">
        <w:rPr>
          <w:spacing w:val="-2"/>
        </w:rPr>
        <w:t>with</w:t>
      </w:r>
      <w:r w:rsidR="008918FA">
        <w:rPr>
          <w:spacing w:val="31"/>
        </w:rPr>
        <w:t xml:space="preserve"> </w:t>
      </w:r>
      <w:r w:rsidR="008918FA">
        <w:t>the</w:t>
      </w:r>
      <w:r w:rsidR="008918FA">
        <w:rPr>
          <w:spacing w:val="31"/>
        </w:rPr>
        <w:t xml:space="preserve"> </w:t>
      </w:r>
      <w:r w:rsidR="008918FA">
        <w:rPr>
          <w:spacing w:val="-1"/>
        </w:rPr>
        <w:t>Supplier,</w:t>
      </w:r>
      <w:r w:rsidR="008918FA">
        <w:rPr>
          <w:spacing w:val="28"/>
        </w:rPr>
        <w:t xml:space="preserve"> </w:t>
      </w:r>
      <w:r w:rsidR="008918FA">
        <w:rPr>
          <w:spacing w:val="-1"/>
        </w:rPr>
        <w:t>giving</w:t>
      </w:r>
      <w:r w:rsidR="008918FA">
        <w:rPr>
          <w:spacing w:val="34"/>
        </w:rPr>
        <w:t xml:space="preserve"> </w:t>
      </w:r>
      <w:r w:rsidR="008918FA">
        <w:rPr>
          <w:spacing w:val="-1"/>
        </w:rPr>
        <w:t>the</w:t>
      </w:r>
      <w:r w:rsidR="008918FA">
        <w:rPr>
          <w:spacing w:val="46"/>
        </w:rPr>
        <w:t xml:space="preserve"> </w:t>
      </w:r>
      <w:r w:rsidR="008918FA">
        <w:rPr>
          <w:spacing w:val="-2"/>
        </w:rPr>
        <w:t>Supplier</w:t>
      </w:r>
      <w:r w:rsidR="008918FA">
        <w:rPr>
          <w:spacing w:val="33"/>
        </w:rPr>
        <w:t xml:space="preserve"> </w:t>
      </w:r>
      <w:r w:rsidR="008918FA">
        <w:t>the</w:t>
      </w:r>
      <w:r w:rsidR="008918FA">
        <w:rPr>
          <w:spacing w:val="31"/>
        </w:rPr>
        <w:t xml:space="preserve"> </w:t>
      </w:r>
      <w:r w:rsidR="008918FA">
        <w:rPr>
          <w:spacing w:val="-1"/>
        </w:rPr>
        <w:t>opportunity</w:t>
      </w:r>
      <w:r w:rsidR="008918FA">
        <w:rPr>
          <w:spacing w:val="30"/>
        </w:rPr>
        <w:t xml:space="preserve"> </w:t>
      </w:r>
      <w:r w:rsidR="008918FA">
        <w:t>to</w:t>
      </w:r>
      <w:r w:rsidR="008918FA">
        <w:rPr>
          <w:spacing w:val="31"/>
        </w:rPr>
        <w:t xml:space="preserve"> </w:t>
      </w:r>
      <w:r w:rsidR="008918FA">
        <w:rPr>
          <w:spacing w:val="-2"/>
        </w:rPr>
        <w:t>provide</w:t>
      </w:r>
      <w:r w:rsidR="008918FA">
        <w:rPr>
          <w:spacing w:val="31"/>
        </w:rPr>
        <w:t xml:space="preserve"> </w:t>
      </w:r>
      <w:r w:rsidR="008918FA">
        <w:rPr>
          <w:spacing w:val="-1"/>
        </w:rPr>
        <w:t>feedback</w:t>
      </w:r>
      <w:r w:rsidR="008918FA">
        <w:rPr>
          <w:spacing w:val="34"/>
        </w:rPr>
        <w:t xml:space="preserve"> </w:t>
      </w:r>
      <w:r w:rsidR="008918FA">
        <w:rPr>
          <w:spacing w:val="-1"/>
        </w:rPr>
        <w:t>in</w:t>
      </w:r>
      <w:r w:rsidR="008918FA">
        <w:rPr>
          <w:spacing w:val="34"/>
        </w:rPr>
        <w:t xml:space="preserve"> </w:t>
      </w:r>
      <w:r w:rsidR="008918FA">
        <w:rPr>
          <w:spacing w:val="-1"/>
        </w:rPr>
        <w:t>relation</w:t>
      </w:r>
      <w:r w:rsidR="008918FA">
        <w:rPr>
          <w:spacing w:val="32"/>
        </w:rPr>
        <w:t xml:space="preserve"> </w:t>
      </w:r>
      <w:r w:rsidR="008918FA">
        <w:t>to</w:t>
      </w:r>
      <w:r w:rsidR="008918FA">
        <w:rPr>
          <w:spacing w:val="31"/>
        </w:rPr>
        <w:t xml:space="preserve"> </w:t>
      </w:r>
      <w:r w:rsidR="008918FA">
        <w:rPr>
          <w:spacing w:val="-1"/>
        </w:rPr>
        <w:t>specific</w:t>
      </w:r>
      <w:r w:rsidR="008918FA">
        <w:rPr>
          <w:spacing w:val="32"/>
        </w:rPr>
        <w:t xml:space="preserve"> </w:t>
      </w:r>
      <w:r w:rsidR="008918FA">
        <w:rPr>
          <w:spacing w:val="-1"/>
        </w:rPr>
        <w:t>activities,</w:t>
      </w:r>
      <w:r w:rsidR="008918FA">
        <w:rPr>
          <w:spacing w:val="33"/>
        </w:rPr>
        <w:t xml:space="preserve"> </w:t>
      </w:r>
      <w:r w:rsidR="008918FA">
        <w:rPr>
          <w:spacing w:val="-1"/>
        </w:rPr>
        <w:t>and</w:t>
      </w:r>
      <w:r w:rsidR="008918FA">
        <w:rPr>
          <w:spacing w:val="62"/>
        </w:rPr>
        <w:t xml:space="preserve"> </w:t>
      </w:r>
      <w:r w:rsidR="008918FA">
        <w:rPr>
          <w:spacing w:val="-1"/>
        </w:rPr>
        <w:t>subsequently</w:t>
      </w:r>
      <w:r w:rsidR="008918FA">
        <w:rPr>
          <w:spacing w:val="15"/>
        </w:rPr>
        <w:t xml:space="preserve"> </w:t>
      </w:r>
      <w:r w:rsidR="008918FA">
        <w:rPr>
          <w:spacing w:val="-1"/>
        </w:rPr>
        <w:t>prepare</w:t>
      </w:r>
      <w:r w:rsidR="008918FA">
        <w:rPr>
          <w:spacing w:val="17"/>
        </w:rPr>
        <w:t xml:space="preserve"> </w:t>
      </w:r>
      <w:r w:rsidR="008918FA">
        <w:t>a</w:t>
      </w:r>
      <w:r w:rsidR="008918FA">
        <w:rPr>
          <w:spacing w:val="13"/>
        </w:rPr>
        <w:t xml:space="preserve"> </w:t>
      </w:r>
      <w:r w:rsidR="008918FA">
        <w:rPr>
          <w:spacing w:val="-1"/>
        </w:rPr>
        <w:t>written</w:t>
      </w:r>
      <w:r w:rsidR="008918FA">
        <w:rPr>
          <w:spacing w:val="17"/>
        </w:rPr>
        <w:t xml:space="preserve"> </w:t>
      </w:r>
      <w:r w:rsidR="008918FA">
        <w:rPr>
          <w:spacing w:val="-1"/>
        </w:rPr>
        <w:t>report</w:t>
      </w:r>
      <w:r w:rsidR="008918FA">
        <w:rPr>
          <w:spacing w:val="16"/>
        </w:rPr>
        <w:t xml:space="preserve"> </w:t>
      </w:r>
      <w:r w:rsidR="008918FA">
        <w:t>for</w:t>
      </w:r>
      <w:r w:rsidR="008918FA">
        <w:rPr>
          <w:spacing w:val="16"/>
        </w:rPr>
        <w:t xml:space="preserve"> </w:t>
      </w:r>
      <w:r w:rsidR="008918FA">
        <w:t>the</w:t>
      </w:r>
      <w:r w:rsidR="008918FA">
        <w:rPr>
          <w:spacing w:val="17"/>
        </w:rPr>
        <w:t xml:space="preserve"> </w:t>
      </w:r>
      <w:r w:rsidR="008918FA">
        <w:rPr>
          <w:spacing w:val="-2"/>
        </w:rPr>
        <w:t>Supplier</w:t>
      </w:r>
      <w:r w:rsidR="008918FA">
        <w:rPr>
          <w:spacing w:val="19"/>
        </w:rPr>
        <w:t xml:space="preserve"> </w:t>
      </w:r>
      <w:r w:rsidR="008918FA">
        <w:rPr>
          <w:spacing w:val="-1"/>
        </w:rPr>
        <w:t>detailing</w:t>
      </w:r>
      <w:r w:rsidR="008918FA">
        <w:rPr>
          <w:spacing w:val="20"/>
        </w:rPr>
        <w:t xml:space="preserve"> </w:t>
      </w:r>
      <w:r w:rsidR="008918FA">
        <w:t>the</w:t>
      </w:r>
      <w:r w:rsidR="008918FA">
        <w:rPr>
          <w:spacing w:val="15"/>
        </w:rPr>
        <w:t xml:space="preserve"> </w:t>
      </w:r>
      <w:r w:rsidR="008918FA">
        <w:rPr>
          <w:spacing w:val="-1"/>
        </w:rPr>
        <w:t>same</w:t>
      </w:r>
      <w:r w:rsidR="008918FA">
        <w:rPr>
          <w:spacing w:val="15"/>
        </w:rPr>
        <w:t xml:space="preserve"> </w:t>
      </w:r>
      <w:r w:rsidR="008918FA">
        <w:t>to</w:t>
      </w:r>
      <w:r w:rsidR="008918FA">
        <w:rPr>
          <w:spacing w:val="17"/>
        </w:rPr>
        <w:t xml:space="preserve"> </w:t>
      </w:r>
      <w:r w:rsidR="008918FA">
        <w:rPr>
          <w:spacing w:val="-2"/>
        </w:rPr>
        <w:t>which</w:t>
      </w:r>
      <w:r w:rsidR="008918FA">
        <w:rPr>
          <w:spacing w:val="42"/>
        </w:rPr>
        <w:t xml:space="preserve"> </w:t>
      </w:r>
      <w:r w:rsidR="008918FA">
        <w:t xml:space="preserve">the </w:t>
      </w:r>
      <w:r w:rsidR="008918FA">
        <w:rPr>
          <w:spacing w:val="-2"/>
        </w:rPr>
        <w:t>Supplier</w:t>
      </w:r>
      <w:r w:rsidR="008918FA">
        <w:rPr>
          <w:spacing w:val="2"/>
        </w:rPr>
        <w:t xml:space="preserve"> </w:t>
      </w:r>
      <w:r w:rsidR="008918FA">
        <w:rPr>
          <w:spacing w:val="-1"/>
        </w:rPr>
        <w:t>shall,</w:t>
      </w:r>
      <w:r w:rsidR="008918FA">
        <w:t xml:space="preserve"> </w:t>
      </w:r>
      <w:r w:rsidR="008918FA">
        <w:rPr>
          <w:spacing w:val="-2"/>
        </w:rPr>
        <w:t>within</w:t>
      </w:r>
      <w:r w:rsidR="008918FA">
        <w:t xml:space="preserve"> a </w:t>
      </w:r>
      <w:r w:rsidR="008918FA">
        <w:rPr>
          <w:spacing w:val="-1"/>
        </w:rPr>
        <w:t>reasonable</w:t>
      </w:r>
      <w:r w:rsidR="008918FA">
        <w:rPr>
          <w:spacing w:val="-2"/>
        </w:rPr>
        <w:t xml:space="preserve"> </w:t>
      </w:r>
      <w:r w:rsidR="008918FA">
        <w:rPr>
          <w:spacing w:val="-1"/>
        </w:rPr>
        <w:t>timeframe,</w:t>
      </w:r>
      <w:r w:rsidR="008918FA">
        <w:rPr>
          <w:spacing w:val="-3"/>
        </w:rPr>
        <w:t xml:space="preserve"> </w:t>
      </w:r>
      <w:r w:rsidR="008918FA">
        <w:rPr>
          <w:spacing w:val="-1"/>
        </w:rPr>
        <w:t>respond</w:t>
      </w:r>
      <w:r w:rsidR="008918FA">
        <w:t xml:space="preserve"> </w:t>
      </w:r>
      <w:r w:rsidR="008918FA">
        <w:rPr>
          <w:spacing w:val="-1"/>
        </w:rPr>
        <w:t>in</w:t>
      </w:r>
      <w:r w:rsidR="008918FA">
        <w:t xml:space="preserve"> </w:t>
      </w:r>
      <w:r w:rsidR="008918FA">
        <w:rPr>
          <w:spacing w:val="-1"/>
        </w:rPr>
        <w:t>writing.</w:t>
      </w:r>
    </w:p>
    <w:p w:rsidR="008918FA" w:rsidRDefault="008918FA" w:rsidP="008918FA">
      <w:pPr>
        <w:pStyle w:val="BodyText"/>
        <w:numPr>
          <w:ilvl w:val="1"/>
          <w:numId w:val="26"/>
        </w:numPr>
        <w:tabs>
          <w:tab w:val="left" w:pos="827"/>
        </w:tabs>
        <w:ind w:left="826" w:right="114"/>
        <w:jc w:val="both"/>
      </w:pPr>
      <w:r>
        <w:t>In</w:t>
      </w:r>
      <w:r>
        <w:rPr>
          <w:spacing w:val="12"/>
        </w:rPr>
        <w:t xml:space="preserve"> </w:t>
      </w:r>
      <w:r>
        <w:t>the</w:t>
      </w:r>
      <w:r>
        <w:rPr>
          <w:spacing w:val="12"/>
        </w:rPr>
        <w:t xml:space="preserve"> </w:t>
      </w:r>
      <w:r>
        <w:rPr>
          <w:spacing w:val="-2"/>
        </w:rPr>
        <w:t>event</w:t>
      </w:r>
      <w:r>
        <w:rPr>
          <w:spacing w:val="14"/>
        </w:rPr>
        <w:t xml:space="preserve"> </w:t>
      </w:r>
      <w:r>
        <w:rPr>
          <w:spacing w:val="-2"/>
        </w:rPr>
        <w:t>of</w:t>
      </w:r>
      <w:r>
        <w:rPr>
          <w:spacing w:val="14"/>
        </w:rPr>
        <w:t xml:space="preserve"> </w:t>
      </w:r>
      <w:r>
        <w:rPr>
          <w:spacing w:val="-1"/>
        </w:rPr>
        <w:t>an</w:t>
      </w:r>
      <w:r>
        <w:rPr>
          <w:spacing w:val="12"/>
        </w:rPr>
        <w:t xml:space="preserve"> </w:t>
      </w:r>
      <w:r>
        <w:rPr>
          <w:spacing w:val="-1"/>
        </w:rPr>
        <w:t>inadequate</w:t>
      </w:r>
      <w:r>
        <w:rPr>
          <w:spacing w:val="12"/>
        </w:rPr>
        <w:t xml:space="preserve"> </w:t>
      </w:r>
      <w:r>
        <w:rPr>
          <w:spacing w:val="-1"/>
        </w:rPr>
        <w:t>response</w:t>
      </w:r>
      <w:r>
        <w:rPr>
          <w:spacing w:val="10"/>
        </w:rPr>
        <w:t xml:space="preserve"> </w:t>
      </w:r>
      <w:r>
        <w:t>to</w:t>
      </w:r>
      <w:r>
        <w:rPr>
          <w:spacing w:val="10"/>
        </w:rPr>
        <w:t xml:space="preserve"> </w:t>
      </w:r>
      <w:r>
        <w:t>the</w:t>
      </w:r>
      <w:r>
        <w:rPr>
          <w:spacing w:val="12"/>
        </w:rPr>
        <w:t xml:space="preserve"> </w:t>
      </w:r>
      <w:r>
        <w:rPr>
          <w:spacing w:val="-1"/>
        </w:rPr>
        <w:t>written</w:t>
      </w:r>
      <w:r>
        <w:rPr>
          <w:spacing w:val="10"/>
        </w:rPr>
        <w:t xml:space="preserve"> </w:t>
      </w:r>
      <w:r>
        <w:rPr>
          <w:spacing w:val="-1"/>
        </w:rPr>
        <w:t>report</w:t>
      </w:r>
      <w:r>
        <w:rPr>
          <w:spacing w:val="11"/>
        </w:rPr>
        <w:t xml:space="preserve"> </w:t>
      </w:r>
      <w:r>
        <w:t>from</w:t>
      </w:r>
      <w:r>
        <w:rPr>
          <w:spacing w:val="11"/>
        </w:rPr>
        <w:t xml:space="preserve"> </w:t>
      </w:r>
      <w:r>
        <w:t>the</w:t>
      </w:r>
      <w:r>
        <w:rPr>
          <w:spacing w:val="12"/>
        </w:rPr>
        <w:t xml:space="preserve"> </w:t>
      </w:r>
      <w:r>
        <w:rPr>
          <w:spacing w:val="-2"/>
        </w:rPr>
        <w:t>Supplier,</w:t>
      </w:r>
      <w:r>
        <w:rPr>
          <w:spacing w:val="14"/>
        </w:rPr>
        <w:t xml:space="preserve"> </w:t>
      </w:r>
      <w:r>
        <w:rPr>
          <w:spacing w:val="-1"/>
        </w:rPr>
        <w:t>the</w:t>
      </w:r>
      <w:r>
        <w:rPr>
          <w:spacing w:val="59"/>
        </w:rPr>
        <w:t xml:space="preserve"> </w:t>
      </w:r>
      <w:r>
        <w:rPr>
          <w:spacing w:val="-1"/>
        </w:rPr>
        <w:t>Customer</w:t>
      </w:r>
      <w:r>
        <w:rPr>
          <w:spacing w:val="8"/>
        </w:rPr>
        <w:t xml:space="preserve"> </w:t>
      </w:r>
      <w:r>
        <w:rPr>
          <w:spacing w:val="-1"/>
        </w:rPr>
        <w:t>(acting</w:t>
      </w:r>
      <w:r>
        <w:rPr>
          <w:spacing w:val="9"/>
        </w:rPr>
        <w:t xml:space="preserve"> </w:t>
      </w:r>
      <w:r>
        <w:rPr>
          <w:spacing w:val="-2"/>
        </w:rPr>
        <w:t>reasonably)</w:t>
      </w:r>
      <w:r>
        <w:rPr>
          <w:spacing w:val="8"/>
        </w:rPr>
        <w:t xml:space="preserve"> </w:t>
      </w:r>
      <w:r>
        <w:rPr>
          <w:spacing w:val="-1"/>
        </w:rPr>
        <w:t>may</w:t>
      </w:r>
      <w:r>
        <w:rPr>
          <w:spacing w:val="9"/>
        </w:rPr>
        <w:t xml:space="preserve"> </w:t>
      </w:r>
      <w:r>
        <w:rPr>
          <w:spacing w:val="-2"/>
        </w:rPr>
        <w:t>withhold</w:t>
      </w:r>
      <w:r>
        <w:rPr>
          <w:spacing w:val="9"/>
        </w:rPr>
        <w:t xml:space="preserve"> </w:t>
      </w:r>
      <w:r>
        <w:t>a</w:t>
      </w:r>
      <w:r>
        <w:rPr>
          <w:spacing w:val="9"/>
        </w:rPr>
        <w:t xml:space="preserve"> </w:t>
      </w:r>
      <w:r>
        <w:rPr>
          <w:spacing w:val="-1"/>
        </w:rPr>
        <w:t>Satisfaction</w:t>
      </w:r>
      <w:r>
        <w:rPr>
          <w:spacing w:val="6"/>
        </w:rPr>
        <w:t xml:space="preserve"> </w:t>
      </w:r>
      <w:r>
        <w:rPr>
          <w:spacing w:val="-1"/>
        </w:rPr>
        <w:t>Certificate</w:t>
      </w:r>
      <w:r>
        <w:rPr>
          <w:spacing w:val="4"/>
        </w:rPr>
        <w:t xml:space="preserve"> </w:t>
      </w:r>
      <w:r>
        <w:rPr>
          <w:spacing w:val="-1"/>
        </w:rPr>
        <w:t>until</w:t>
      </w:r>
      <w:r>
        <w:t xml:space="preserve"> </w:t>
      </w:r>
      <w:r>
        <w:rPr>
          <w:spacing w:val="6"/>
        </w:rPr>
        <w:t xml:space="preserve"> </w:t>
      </w:r>
      <w:r>
        <w:rPr>
          <w:spacing w:val="-1"/>
        </w:rPr>
        <w:t>the</w:t>
      </w:r>
      <w:r>
        <w:rPr>
          <w:spacing w:val="66"/>
        </w:rPr>
        <w:t xml:space="preserve"> </w:t>
      </w:r>
      <w:r>
        <w:rPr>
          <w:spacing w:val="-1"/>
        </w:rPr>
        <w:t>issues</w:t>
      </w:r>
      <w:r>
        <w:rPr>
          <w:spacing w:val="46"/>
        </w:rPr>
        <w:t xml:space="preserve"> </w:t>
      </w:r>
      <w:r>
        <w:rPr>
          <w:spacing w:val="-1"/>
        </w:rPr>
        <w:t>in</w:t>
      </w:r>
      <w:r>
        <w:rPr>
          <w:spacing w:val="46"/>
        </w:rPr>
        <w:t xml:space="preserve"> </w:t>
      </w:r>
      <w:r>
        <w:t>the</w:t>
      </w:r>
      <w:r>
        <w:rPr>
          <w:spacing w:val="43"/>
        </w:rPr>
        <w:t xml:space="preserve"> </w:t>
      </w:r>
      <w:r>
        <w:rPr>
          <w:spacing w:val="-1"/>
        </w:rPr>
        <w:t>report</w:t>
      </w:r>
      <w:r>
        <w:rPr>
          <w:spacing w:val="47"/>
        </w:rPr>
        <w:t xml:space="preserve"> </w:t>
      </w:r>
      <w:r>
        <w:rPr>
          <w:spacing w:val="-2"/>
        </w:rPr>
        <w:t>have</w:t>
      </w:r>
      <w:r>
        <w:rPr>
          <w:spacing w:val="46"/>
        </w:rPr>
        <w:t xml:space="preserve"> </w:t>
      </w:r>
      <w:r>
        <w:rPr>
          <w:spacing w:val="-1"/>
        </w:rPr>
        <w:t>been</w:t>
      </w:r>
      <w:r>
        <w:rPr>
          <w:spacing w:val="46"/>
        </w:rPr>
        <w:t xml:space="preserve"> </w:t>
      </w:r>
      <w:r>
        <w:rPr>
          <w:spacing w:val="-1"/>
        </w:rPr>
        <w:t>addressed</w:t>
      </w:r>
      <w:r>
        <w:rPr>
          <w:spacing w:val="44"/>
        </w:rPr>
        <w:t xml:space="preserve"> </w:t>
      </w:r>
      <w:r>
        <w:t>to</w:t>
      </w:r>
      <w:r>
        <w:rPr>
          <w:spacing w:val="43"/>
        </w:rPr>
        <w:t xml:space="preserve"> </w:t>
      </w:r>
      <w:r>
        <w:rPr>
          <w:spacing w:val="-1"/>
        </w:rPr>
        <w:t>the</w:t>
      </w:r>
      <w:r>
        <w:rPr>
          <w:spacing w:val="46"/>
        </w:rPr>
        <w:t xml:space="preserve"> </w:t>
      </w:r>
      <w:r>
        <w:rPr>
          <w:spacing w:val="-1"/>
        </w:rPr>
        <w:t>reasonable</w:t>
      </w:r>
      <w:r>
        <w:rPr>
          <w:spacing w:val="46"/>
        </w:rPr>
        <w:t xml:space="preserve"> </w:t>
      </w:r>
      <w:r>
        <w:rPr>
          <w:spacing w:val="-2"/>
        </w:rPr>
        <w:t>satisfaction</w:t>
      </w:r>
      <w:r>
        <w:rPr>
          <w:spacing w:val="46"/>
        </w:rPr>
        <w:t xml:space="preserve"> </w:t>
      </w:r>
      <w:r>
        <w:rPr>
          <w:spacing w:val="-2"/>
        </w:rPr>
        <w:t>of</w:t>
      </w:r>
      <w:r>
        <w:rPr>
          <w:spacing w:val="47"/>
        </w:rPr>
        <w:t xml:space="preserve"> </w:t>
      </w:r>
      <w:r>
        <w:rPr>
          <w:spacing w:val="-1"/>
        </w:rPr>
        <w:t>the</w:t>
      </w:r>
      <w:r>
        <w:rPr>
          <w:spacing w:val="48"/>
        </w:rPr>
        <w:t xml:space="preserve"> </w:t>
      </w:r>
      <w:r>
        <w:rPr>
          <w:spacing w:val="-1"/>
        </w:rPr>
        <w:t>Customer.</w:t>
      </w:r>
    </w:p>
    <w:p w:rsidR="008918FA" w:rsidRDefault="008918FA" w:rsidP="008918FA">
      <w:pPr>
        <w:pStyle w:val="BodyText"/>
        <w:numPr>
          <w:ilvl w:val="0"/>
          <w:numId w:val="26"/>
        </w:numPr>
        <w:tabs>
          <w:tab w:val="left" w:pos="464"/>
        </w:tabs>
        <w:spacing w:before="120"/>
        <w:ind w:left="463" w:hanging="359"/>
        <w:rPr>
          <w:rFonts w:ascii="Times New Roman" w:eastAsia="Times New Roman" w:hAnsi="Times New Roman" w:cs="Times New Roman"/>
        </w:rPr>
      </w:pPr>
      <w:r>
        <w:rPr>
          <w:rFonts w:ascii="Times New Roman"/>
          <w:spacing w:val="2"/>
        </w:rPr>
        <w:t>OUTCOME</w:t>
      </w:r>
      <w:r>
        <w:rPr>
          <w:rFonts w:ascii="Times New Roman"/>
          <w:spacing w:val="16"/>
        </w:rPr>
        <w:t xml:space="preserve"> </w:t>
      </w:r>
      <w:r>
        <w:rPr>
          <w:rFonts w:ascii="Times New Roman"/>
          <w:spacing w:val="6"/>
        </w:rPr>
        <w:t>OF</w:t>
      </w:r>
      <w:r>
        <w:rPr>
          <w:rFonts w:ascii="Times New Roman"/>
          <w:spacing w:val="19"/>
        </w:rPr>
        <w:t xml:space="preserve"> </w:t>
      </w:r>
      <w:r>
        <w:rPr>
          <w:rFonts w:ascii="Times New Roman"/>
          <w:spacing w:val="2"/>
        </w:rPr>
        <w:t>TES</w:t>
      </w:r>
      <w:r>
        <w:rPr>
          <w:rFonts w:ascii="Times New Roman"/>
          <w:spacing w:val="-32"/>
        </w:rPr>
        <w:t xml:space="preserve"> </w:t>
      </w:r>
      <w:r>
        <w:rPr>
          <w:rFonts w:ascii="Times New Roman"/>
          <w:spacing w:val="-4"/>
        </w:rPr>
        <w:t>TING</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6"/>
        </w:numPr>
        <w:tabs>
          <w:tab w:val="left" w:pos="827"/>
        </w:tabs>
        <w:spacing w:before="0"/>
        <w:ind w:left="826" w:right="116"/>
        <w:jc w:val="both"/>
      </w:pPr>
      <w:r>
        <w:t>The</w:t>
      </w:r>
      <w:r>
        <w:rPr>
          <w:spacing w:val="13"/>
        </w:rPr>
        <w:t xml:space="preserve"> </w:t>
      </w:r>
      <w:r>
        <w:rPr>
          <w:spacing w:val="-2"/>
        </w:rPr>
        <w:t>Customer</w:t>
      </w:r>
      <w:r>
        <w:rPr>
          <w:spacing w:val="13"/>
        </w:rPr>
        <w:t xml:space="preserve"> </w:t>
      </w:r>
      <w:r>
        <w:rPr>
          <w:spacing w:val="-2"/>
        </w:rPr>
        <w:t>will</w:t>
      </w:r>
      <w:r>
        <w:rPr>
          <w:spacing w:val="13"/>
        </w:rPr>
        <w:t xml:space="preserve"> </w:t>
      </w:r>
      <w:r>
        <w:rPr>
          <w:spacing w:val="-1"/>
        </w:rPr>
        <w:t>issue</w:t>
      </w:r>
      <w:r>
        <w:rPr>
          <w:spacing w:val="13"/>
        </w:rPr>
        <w:t xml:space="preserve"> </w:t>
      </w:r>
      <w:r>
        <w:t>a</w:t>
      </w:r>
      <w:r>
        <w:rPr>
          <w:spacing w:val="13"/>
        </w:rPr>
        <w:t xml:space="preserve"> </w:t>
      </w:r>
      <w:r>
        <w:rPr>
          <w:spacing w:val="-1"/>
        </w:rPr>
        <w:t>Satisfaction</w:t>
      </w:r>
      <w:r>
        <w:rPr>
          <w:spacing w:val="14"/>
        </w:rPr>
        <w:t xml:space="preserve"> </w:t>
      </w:r>
      <w:r>
        <w:rPr>
          <w:spacing w:val="-1"/>
        </w:rPr>
        <w:t>Certificate</w:t>
      </w:r>
      <w:r>
        <w:rPr>
          <w:spacing w:val="14"/>
        </w:rPr>
        <w:t xml:space="preserve"> </w:t>
      </w:r>
      <w:r>
        <w:rPr>
          <w:spacing w:val="-2"/>
        </w:rPr>
        <w:t>when</w:t>
      </w:r>
      <w:r>
        <w:rPr>
          <w:spacing w:val="13"/>
        </w:rPr>
        <w:t xml:space="preserve"> </w:t>
      </w:r>
      <w:r>
        <w:rPr>
          <w:spacing w:val="-1"/>
        </w:rPr>
        <w:t>it</w:t>
      </w:r>
      <w:r>
        <w:rPr>
          <w:spacing w:val="15"/>
        </w:rPr>
        <w:t xml:space="preserve"> </w:t>
      </w:r>
      <w:r>
        <w:rPr>
          <w:spacing w:val="-1"/>
        </w:rPr>
        <w:t>is</w:t>
      </w:r>
      <w:r>
        <w:rPr>
          <w:spacing w:val="14"/>
        </w:rPr>
        <w:t xml:space="preserve"> </w:t>
      </w:r>
      <w:r>
        <w:rPr>
          <w:spacing w:val="-2"/>
        </w:rPr>
        <w:t>satisfied</w:t>
      </w:r>
      <w:r>
        <w:rPr>
          <w:spacing w:val="13"/>
        </w:rPr>
        <w:t xml:space="preserve"> </w:t>
      </w:r>
      <w:r>
        <w:rPr>
          <w:spacing w:val="-1"/>
        </w:rPr>
        <w:t>that</w:t>
      </w:r>
      <w:r>
        <w:rPr>
          <w:spacing w:val="15"/>
        </w:rPr>
        <w:t xml:space="preserve"> </w:t>
      </w:r>
      <w:r>
        <w:t>a</w:t>
      </w:r>
      <w:r>
        <w:rPr>
          <w:spacing w:val="57"/>
        </w:rPr>
        <w:t xml:space="preserve"> </w:t>
      </w:r>
      <w:r>
        <w:rPr>
          <w:spacing w:val="-1"/>
        </w:rPr>
        <w:t>Milestone</w:t>
      </w:r>
      <w:r>
        <w:t xml:space="preserve"> </w:t>
      </w:r>
      <w:r>
        <w:rPr>
          <w:spacing w:val="-1"/>
        </w:rPr>
        <w:t>has</w:t>
      </w:r>
      <w:r>
        <w:rPr>
          <w:spacing w:val="1"/>
        </w:rPr>
        <w:t xml:space="preserve"> </w:t>
      </w:r>
      <w:r>
        <w:rPr>
          <w:spacing w:val="-1"/>
        </w:rPr>
        <w:t>been</w:t>
      </w:r>
      <w:r>
        <w:rPr>
          <w:spacing w:val="-2"/>
        </w:rPr>
        <w:t xml:space="preserve"> Achieved.</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numPr>
          <w:ilvl w:val="1"/>
          <w:numId w:val="26"/>
        </w:numPr>
        <w:tabs>
          <w:tab w:val="left" w:pos="689"/>
        </w:tabs>
        <w:spacing w:before="59"/>
        <w:ind w:left="688" w:right="115"/>
      </w:pPr>
      <w:r>
        <w:rPr>
          <w:spacing w:val="-1"/>
        </w:rPr>
        <w:t>If</w:t>
      </w:r>
      <w:r>
        <w:rPr>
          <w:spacing w:val="42"/>
        </w:rPr>
        <w:t xml:space="preserve"> </w:t>
      </w:r>
      <w:r>
        <w:rPr>
          <w:spacing w:val="-1"/>
        </w:rPr>
        <w:t>any</w:t>
      </w:r>
      <w:r>
        <w:rPr>
          <w:spacing w:val="36"/>
        </w:rPr>
        <w:t xml:space="preserve"> </w:t>
      </w:r>
      <w:r>
        <w:rPr>
          <w:spacing w:val="-1"/>
        </w:rPr>
        <w:t>Milestones</w:t>
      </w:r>
      <w:r>
        <w:rPr>
          <w:spacing w:val="39"/>
        </w:rPr>
        <w:t xml:space="preserve"> </w:t>
      </w:r>
      <w:r>
        <w:rPr>
          <w:spacing w:val="-1"/>
        </w:rPr>
        <w:t>(or</w:t>
      </w:r>
      <w:r>
        <w:rPr>
          <w:spacing w:val="40"/>
        </w:rPr>
        <w:t xml:space="preserve"> </w:t>
      </w:r>
      <w:r>
        <w:rPr>
          <w:spacing w:val="-2"/>
        </w:rPr>
        <w:t>any</w:t>
      </w:r>
      <w:r>
        <w:rPr>
          <w:spacing w:val="36"/>
        </w:rPr>
        <w:t xml:space="preserve"> </w:t>
      </w:r>
      <w:r>
        <w:rPr>
          <w:spacing w:val="-2"/>
        </w:rPr>
        <w:t>relevant</w:t>
      </w:r>
      <w:r>
        <w:rPr>
          <w:spacing w:val="40"/>
        </w:rPr>
        <w:t xml:space="preserve"> </w:t>
      </w:r>
      <w:r>
        <w:rPr>
          <w:spacing w:val="-1"/>
        </w:rPr>
        <w:t>part</w:t>
      </w:r>
      <w:r>
        <w:rPr>
          <w:spacing w:val="41"/>
        </w:rPr>
        <w:t xml:space="preserve"> </w:t>
      </w:r>
      <w:r>
        <w:rPr>
          <w:spacing w:val="-1"/>
        </w:rPr>
        <w:t>thereof)</w:t>
      </w:r>
      <w:r>
        <w:rPr>
          <w:spacing w:val="38"/>
        </w:rPr>
        <w:t xml:space="preserve"> </w:t>
      </w:r>
      <w:r>
        <w:rPr>
          <w:spacing w:val="-1"/>
        </w:rPr>
        <w:t>do</w:t>
      </w:r>
      <w:r>
        <w:rPr>
          <w:spacing w:val="38"/>
        </w:rPr>
        <w:t xml:space="preserve"> </w:t>
      </w:r>
      <w:r>
        <w:rPr>
          <w:spacing w:val="-1"/>
        </w:rPr>
        <w:t>not</w:t>
      </w:r>
      <w:r>
        <w:rPr>
          <w:spacing w:val="40"/>
        </w:rPr>
        <w:t xml:space="preserve"> </w:t>
      </w:r>
      <w:r>
        <w:rPr>
          <w:spacing w:val="-1"/>
        </w:rPr>
        <w:t>pass</w:t>
      </w:r>
      <w:r>
        <w:rPr>
          <w:spacing w:val="37"/>
        </w:rPr>
        <w:t xml:space="preserve"> </w:t>
      </w:r>
      <w:r>
        <w:t>the</w:t>
      </w:r>
      <w:r>
        <w:rPr>
          <w:spacing w:val="36"/>
        </w:rPr>
        <w:t xml:space="preserve"> </w:t>
      </w:r>
      <w:r>
        <w:rPr>
          <w:spacing w:val="-1"/>
        </w:rPr>
        <w:t>Test</w:t>
      </w:r>
      <w:r>
        <w:rPr>
          <w:spacing w:val="41"/>
        </w:rPr>
        <w:t xml:space="preserve"> </w:t>
      </w:r>
      <w:r>
        <w:rPr>
          <w:spacing w:val="-1"/>
        </w:rPr>
        <w:t>in</w:t>
      </w:r>
      <w:r>
        <w:rPr>
          <w:spacing w:val="38"/>
        </w:rPr>
        <w:t xml:space="preserve"> </w:t>
      </w:r>
      <w:r>
        <w:rPr>
          <w:spacing w:val="-2"/>
        </w:rPr>
        <w:t>respect</w:t>
      </w:r>
      <w:r>
        <w:rPr>
          <w:spacing w:val="61"/>
        </w:rPr>
        <w:t xml:space="preserve"> </w:t>
      </w:r>
      <w:r>
        <w:rPr>
          <w:spacing w:val="-1"/>
        </w:rPr>
        <w:t>thereof</w:t>
      </w:r>
      <w:r>
        <w:t xml:space="preserve"> </w:t>
      </w:r>
      <w:r>
        <w:rPr>
          <w:spacing w:val="-1"/>
        </w:rPr>
        <w:t>then:</w:t>
      </w:r>
    </w:p>
    <w:p w:rsidR="008918FA" w:rsidRDefault="008918FA" w:rsidP="008918FA">
      <w:pPr>
        <w:pStyle w:val="BodyText"/>
        <w:numPr>
          <w:ilvl w:val="2"/>
          <w:numId w:val="26"/>
        </w:numPr>
        <w:tabs>
          <w:tab w:val="left" w:pos="1887"/>
        </w:tabs>
        <w:spacing w:before="121"/>
        <w:ind w:left="1886" w:right="114"/>
        <w:jc w:val="both"/>
      </w:pPr>
      <w:r>
        <w:t>the</w:t>
      </w:r>
      <w:r>
        <w:rPr>
          <w:spacing w:val="46"/>
        </w:rPr>
        <w:t xml:space="preserve"> </w:t>
      </w:r>
      <w:r>
        <w:rPr>
          <w:spacing w:val="-2"/>
        </w:rPr>
        <w:t>Supplier</w:t>
      </w:r>
      <w:r>
        <w:rPr>
          <w:spacing w:val="47"/>
        </w:rPr>
        <w:t xml:space="preserve"> </w:t>
      </w:r>
      <w:r>
        <w:rPr>
          <w:spacing w:val="-1"/>
        </w:rPr>
        <w:t>shall</w:t>
      </w:r>
      <w:r>
        <w:rPr>
          <w:spacing w:val="47"/>
        </w:rPr>
        <w:t xml:space="preserve"> </w:t>
      </w:r>
      <w:r>
        <w:rPr>
          <w:spacing w:val="-1"/>
        </w:rPr>
        <w:t>rectify</w:t>
      </w:r>
      <w:r>
        <w:rPr>
          <w:spacing w:val="44"/>
        </w:rPr>
        <w:t xml:space="preserve"> </w:t>
      </w:r>
      <w:r>
        <w:t>the</w:t>
      </w:r>
      <w:r>
        <w:rPr>
          <w:spacing w:val="46"/>
        </w:rPr>
        <w:t xml:space="preserve"> </w:t>
      </w:r>
      <w:r>
        <w:rPr>
          <w:spacing w:val="-1"/>
        </w:rPr>
        <w:t>cause</w:t>
      </w:r>
      <w:r>
        <w:rPr>
          <w:spacing w:val="46"/>
        </w:rPr>
        <w:t xml:space="preserve"> </w:t>
      </w:r>
      <w:r>
        <w:rPr>
          <w:spacing w:val="-1"/>
        </w:rPr>
        <w:t>of</w:t>
      </w:r>
      <w:r>
        <w:rPr>
          <w:spacing w:val="50"/>
        </w:rPr>
        <w:t xml:space="preserve"> </w:t>
      </w:r>
      <w:r>
        <w:t>the</w:t>
      </w:r>
      <w:r>
        <w:rPr>
          <w:spacing w:val="43"/>
        </w:rPr>
        <w:t xml:space="preserve"> </w:t>
      </w:r>
      <w:r>
        <w:rPr>
          <w:spacing w:val="-1"/>
        </w:rPr>
        <w:t>failure</w:t>
      </w:r>
      <w:r>
        <w:rPr>
          <w:spacing w:val="46"/>
        </w:rPr>
        <w:t xml:space="preserve"> </w:t>
      </w:r>
      <w:r>
        <w:rPr>
          <w:spacing w:val="-1"/>
        </w:rPr>
        <w:t>and</w:t>
      </w:r>
      <w:r>
        <w:rPr>
          <w:spacing w:val="46"/>
        </w:rPr>
        <w:t xml:space="preserve"> </w:t>
      </w:r>
      <w:r>
        <w:rPr>
          <w:spacing w:val="-1"/>
        </w:rPr>
        <w:t>re-submit</w:t>
      </w:r>
      <w:r>
        <w:rPr>
          <w:spacing w:val="47"/>
        </w:rPr>
        <w:t xml:space="preserve"> </w:t>
      </w:r>
      <w:r>
        <w:rPr>
          <w:spacing w:val="-1"/>
        </w:rPr>
        <w:t>the</w:t>
      </w:r>
      <w:r>
        <w:rPr>
          <w:spacing w:val="52"/>
        </w:rPr>
        <w:t xml:space="preserve"> </w:t>
      </w:r>
      <w:r>
        <w:rPr>
          <w:spacing w:val="-2"/>
        </w:rPr>
        <w:t>Deliverables</w:t>
      </w:r>
      <w:r>
        <w:rPr>
          <w:spacing w:val="13"/>
        </w:rPr>
        <w:t xml:space="preserve"> </w:t>
      </w:r>
      <w:r>
        <w:rPr>
          <w:spacing w:val="-1"/>
        </w:rPr>
        <w:t>(or</w:t>
      </w:r>
      <w:r>
        <w:rPr>
          <w:spacing w:val="11"/>
        </w:rPr>
        <w:t xml:space="preserve"> </w:t>
      </w:r>
      <w:r>
        <w:t>the</w:t>
      </w:r>
      <w:r>
        <w:rPr>
          <w:spacing w:val="10"/>
        </w:rPr>
        <w:t xml:space="preserve"> </w:t>
      </w:r>
      <w:r>
        <w:rPr>
          <w:spacing w:val="-2"/>
        </w:rPr>
        <w:t>relevant</w:t>
      </w:r>
      <w:r>
        <w:rPr>
          <w:spacing w:val="14"/>
        </w:rPr>
        <w:t xml:space="preserve"> </w:t>
      </w:r>
      <w:r>
        <w:rPr>
          <w:spacing w:val="-1"/>
        </w:rPr>
        <w:t>part)</w:t>
      </w:r>
      <w:r>
        <w:rPr>
          <w:spacing w:val="14"/>
        </w:rPr>
        <w:t xml:space="preserve"> </w:t>
      </w:r>
      <w:r>
        <w:t>to</w:t>
      </w:r>
      <w:r>
        <w:rPr>
          <w:spacing w:val="7"/>
        </w:rPr>
        <w:t xml:space="preserve"> </w:t>
      </w:r>
      <w:r>
        <w:rPr>
          <w:spacing w:val="-1"/>
        </w:rPr>
        <w:t>Testing,</w:t>
      </w:r>
      <w:r>
        <w:rPr>
          <w:spacing w:val="14"/>
        </w:rPr>
        <w:t xml:space="preserve"> </w:t>
      </w:r>
      <w:r>
        <w:rPr>
          <w:spacing w:val="-2"/>
        </w:rPr>
        <w:t>provided</w:t>
      </w:r>
      <w:r>
        <w:rPr>
          <w:spacing w:val="12"/>
        </w:rPr>
        <w:t xml:space="preserve"> </w:t>
      </w:r>
      <w:r>
        <w:rPr>
          <w:spacing w:val="-1"/>
        </w:rPr>
        <w:t>that</w:t>
      </w:r>
      <w:r>
        <w:rPr>
          <w:spacing w:val="14"/>
        </w:rPr>
        <w:t xml:space="preserve"> </w:t>
      </w:r>
      <w:r>
        <w:t>the</w:t>
      </w:r>
      <w:r>
        <w:rPr>
          <w:spacing w:val="10"/>
        </w:rPr>
        <w:t xml:space="preserve"> </w:t>
      </w:r>
      <w:r>
        <w:rPr>
          <w:spacing w:val="-1"/>
        </w:rPr>
        <w:t>Parties</w:t>
      </w:r>
      <w:r>
        <w:rPr>
          <w:spacing w:val="66"/>
        </w:rPr>
        <w:t xml:space="preserve"> </w:t>
      </w:r>
      <w:r>
        <w:rPr>
          <w:spacing w:val="-1"/>
        </w:rPr>
        <w:t>agree</w:t>
      </w:r>
      <w:r>
        <w:rPr>
          <w:spacing w:val="31"/>
        </w:rPr>
        <w:t xml:space="preserve"> </w:t>
      </w:r>
      <w:r>
        <w:rPr>
          <w:spacing w:val="-1"/>
        </w:rPr>
        <w:t>that</w:t>
      </w:r>
      <w:r>
        <w:rPr>
          <w:spacing w:val="33"/>
        </w:rPr>
        <w:t xml:space="preserve"> </w:t>
      </w:r>
      <w:r>
        <w:rPr>
          <w:spacing w:val="-1"/>
        </w:rPr>
        <w:t>there</w:t>
      </w:r>
      <w:r>
        <w:rPr>
          <w:spacing w:val="31"/>
        </w:rPr>
        <w:t xml:space="preserve"> </w:t>
      </w:r>
      <w:r>
        <w:rPr>
          <w:spacing w:val="-1"/>
        </w:rPr>
        <w:t>is</w:t>
      </w:r>
      <w:r>
        <w:rPr>
          <w:spacing w:val="32"/>
        </w:rPr>
        <w:t xml:space="preserve"> </w:t>
      </w:r>
      <w:r>
        <w:rPr>
          <w:spacing w:val="-1"/>
        </w:rPr>
        <w:t>sufficient</w:t>
      </w:r>
      <w:r>
        <w:rPr>
          <w:spacing w:val="33"/>
        </w:rPr>
        <w:t xml:space="preserve"> </w:t>
      </w:r>
      <w:r>
        <w:rPr>
          <w:spacing w:val="-1"/>
        </w:rPr>
        <w:t>time</w:t>
      </w:r>
      <w:r>
        <w:rPr>
          <w:spacing w:val="29"/>
        </w:rPr>
        <w:t xml:space="preserve"> </w:t>
      </w:r>
      <w:r>
        <w:t>for</w:t>
      </w:r>
      <w:r>
        <w:rPr>
          <w:spacing w:val="33"/>
        </w:rPr>
        <w:t xml:space="preserve"> </w:t>
      </w:r>
      <w:r>
        <w:rPr>
          <w:spacing w:val="-1"/>
        </w:rPr>
        <w:t>that</w:t>
      </w:r>
      <w:r>
        <w:rPr>
          <w:spacing w:val="34"/>
        </w:rPr>
        <w:t xml:space="preserve"> </w:t>
      </w:r>
      <w:r>
        <w:rPr>
          <w:spacing w:val="-1"/>
        </w:rPr>
        <w:t>action</w:t>
      </w:r>
      <w:r>
        <w:rPr>
          <w:spacing w:val="31"/>
        </w:rPr>
        <w:t xml:space="preserve"> </w:t>
      </w:r>
      <w:r>
        <w:rPr>
          <w:spacing w:val="-1"/>
        </w:rPr>
        <w:t>prior</w:t>
      </w:r>
      <w:r>
        <w:rPr>
          <w:spacing w:val="33"/>
        </w:rPr>
        <w:t xml:space="preserve"> </w:t>
      </w:r>
      <w:r>
        <w:t>to</w:t>
      </w:r>
      <w:r>
        <w:rPr>
          <w:spacing w:val="31"/>
        </w:rPr>
        <w:t xml:space="preserve"> </w:t>
      </w:r>
      <w:r>
        <w:t>the</w:t>
      </w:r>
      <w:r>
        <w:rPr>
          <w:spacing w:val="29"/>
        </w:rPr>
        <w:t xml:space="preserve"> </w:t>
      </w:r>
      <w:r>
        <w:rPr>
          <w:spacing w:val="-2"/>
        </w:rPr>
        <w:t>relevant</w:t>
      </w:r>
      <w:r>
        <w:rPr>
          <w:spacing w:val="38"/>
        </w:rPr>
        <w:t xml:space="preserve"> </w:t>
      </w:r>
      <w:r>
        <w:rPr>
          <w:spacing w:val="-1"/>
        </w:rPr>
        <w:t>Milestone</w:t>
      </w:r>
      <w:r>
        <w:t xml:space="preserve"> </w:t>
      </w:r>
      <w:r>
        <w:rPr>
          <w:spacing w:val="-1"/>
        </w:rPr>
        <w:t>Date;</w:t>
      </w:r>
      <w:r>
        <w:t xml:space="preserve"> </w:t>
      </w:r>
      <w:r>
        <w:rPr>
          <w:spacing w:val="-1"/>
        </w:rPr>
        <w:t>or</w:t>
      </w:r>
    </w:p>
    <w:p w:rsidR="008918FA" w:rsidRDefault="008918FA" w:rsidP="008918FA">
      <w:pPr>
        <w:pStyle w:val="BodyText"/>
        <w:numPr>
          <w:ilvl w:val="2"/>
          <w:numId w:val="26"/>
        </w:numPr>
        <w:tabs>
          <w:tab w:val="left" w:pos="1887"/>
        </w:tabs>
        <w:ind w:left="1886"/>
      </w:pPr>
      <w:r>
        <w:t xml:space="preserve">the </w:t>
      </w:r>
      <w:r>
        <w:rPr>
          <w:spacing w:val="-1"/>
        </w:rPr>
        <w:t>Parties</w:t>
      </w:r>
      <w:r>
        <w:rPr>
          <w:spacing w:val="1"/>
        </w:rPr>
        <w:t xml:space="preserve"> </w:t>
      </w:r>
      <w:r>
        <w:rPr>
          <w:spacing w:val="-1"/>
        </w:rPr>
        <w:t>shall</w:t>
      </w:r>
      <w:r>
        <w:rPr>
          <w:spacing w:val="-3"/>
        </w:rPr>
        <w:t xml:space="preserve"> </w:t>
      </w:r>
      <w:r>
        <w:rPr>
          <w:spacing w:val="-1"/>
        </w:rPr>
        <w:t>treat</w:t>
      </w:r>
      <w:r>
        <w:t xml:space="preserve"> the</w:t>
      </w:r>
      <w:r>
        <w:rPr>
          <w:spacing w:val="-4"/>
        </w:rPr>
        <w:t xml:space="preserve"> </w:t>
      </w:r>
      <w:r>
        <w:rPr>
          <w:spacing w:val="-1"/>
        </w:rPr>
        <w:t>failure</w:t>
      </w:r>
      <w:r>
        <w:t xml:space="preserve"> </w:t>
      </w:r>
      <w:r>
        <w:rPr>
          <w:spacing w:val="-2"/>
        </w:rPr>
        <w:t>as</w:t>
      </w:r>
      <w:r>
        <w:rPr>
          <w:spacing w:val="1"/>
        </w:rPr>
        <w:t xml:space="preserve"> </w:t>
      </w:r>
      <w:r>
        <w:t>a</w:t>
      </w:r>
      <w:r>
        <w:rPr>
          <w:spacing w:val="-2"/>
        </w:rPr>
        <w:t xml:space="preserve"> Supplier</w:t>
      </w:r>
      <w:r>
        <w:rPr>
          <w:spacing w:val="2"/>
        </w:rPr>
        <w:t xml:space="preserve"> </w:t>
      </w:r>
      <w:r>
        <w:rPr>
          <w:spacing w:val="-1"/>
        </w:rPr>
        <w:t>Default.</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2"/>
        <w:rPr>
          <w:rFonts w:ascii="Arial" w:eastAsia="Arial" w:hAnsi="Arial" w:cs="Arial"/>
          <w:sz w:val="29"/>
          <w:szCs w:val="29"/>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60" w:left="1680" w:header="0" w:footer="967" w:gutter="0"/>
          <w:cols w:space="720"/>
        </w:sectPr>
      </w:pPr>
    </w:p>
    <w:p w:rsidR="008918FA" w:rsidRDefault="008918FA" w:rsidP="008918FA">
      <w:pPr>
        <w:pStyle w:val="Heading1"/>
        <w:spacing w:before="57"/>
        <w:ind w:left="2169" w:firstLine="0"/>
        <w:rPr>
          <w:b w:val="0"/>
          <w:bCs w:val="0"/>
        </w:rPr>
      </w:pPr>
      <w:bookmarkStart w:id="378" w:name="ANNEX_1:_SATISFACTION_CERTIFICATE"/>
      <w:bookmarkStart w:id="379" w:name="_bookmark308"/>
      <w:bookmarkEnd w:id="378"/>
      <w:bookmarkEnd w:id="379"/>
      <w:r>
        <w:rPr>
          <w:spacing w:val="-1"/>
        </w:rPr>
        <w:t>ANNEX</w:t>
      </w:r>
      <w:r>
        <w:t xml:space="preserve"> </w:t>
      </w:r>
      <w:r>
        <w:rPr>
          <w:spacing w:val="-1"/>
        </w:rPr>
        <w:t>1:</w:t>
      </w:r>
      <w:r>
        <w:rPr>
          <w:spacing w:val="2"/>
        </w:rPr>
        <w:t xml:space="preserve"> </w:t>
      </w:r>
      <w:r>
        <w:rPr>
          <w:spacing w:val="-1"/>
        </w:rPr>
        <w:t>SATISFACTION</w:t>
      </w:r>
      <w:r>
        <w:t xml:space="preserve"> </w:t>
      </w:r>
      <w:r>
        <w:rPr>
          <w:spacing w:val="-2"/>
        </w:rPr>
        <w:t>CERTIFICATE</w:t>
      </w:r>
    </w:p>
    <w:p w:rsidR="008918FA" w:rsidRDefault="008918FA" w:rsidP="008918FA">
      <w:pPr>
        <w:rPr>
          <w:rFonts w:ascii="Arial" w:eastAsia="Arial" w:hAnsi="Arial" w:cs="Arial"/>
          <w:b/>
          <w:bCs/>
          <w:sz w:val="20"/>
          <w:szCs w:val="20"/>
        </w:rPr>
      </w:pPr>
    </w:p>
    <w:p w:rsidR="008918FA" w:rsidRDefault="008918FA" w:rsidP="008918FA">
      <w:pPr>
        <w:spacing w:before="3"/>
        <w:rPr>
          <w:rFonts w:ascii="Arial" w:eastAsia="Arial" w:hAnsi="Arial" w:cs="Arial"/>
          <w:b/>
          <w:bCs/>
          <w:sz w:val="23"/>
          <w:szCs w:val="23"/>
        </w:rPr>
      </w:pPr>
    </w:p>
    <w:p w:rsidR="008918FA" w:rsidRDefault="008918FA" w:rsidP="008918FA">
      <w:pPr>
        <w:pStyle w:val="BodyText"/>
        <w:spacing w:before="72"/>
        <w:ind w:left="326" w:firstLine="0"/>
      </w:pPr>
      <w:r>
        <w:rPr>
          <w:spacing w:val="-1"/>
        </w:rPr>
        <w:t>To:</w:t>
      </w:r>
      <w:r>
        <w:t xml:space="preserve">   </w:t>
      </w:r>
      <w:r>
        <w:rPr>
          <w:spacing w:val="-1"/>
          <w:highlight w:val="yellow"/>
        </w:rPr>
        <w:t>[insert name</w:t>
      </w:r>
      <w:r>
        <w:rPr>
          <w:highlight w:val="yellow"/>
        </w:rPr>
        <w:t xml:space="preserve"> </w:t>
      </w:r>
      <w:r>
        <w:rPr>
          <w:spacing w:val="-2"/>
          <w:highlight w:val="yellow"/>
        </w:rPr>
        <w:t>of</w:t>
      </w:r>
      <w:r>
        <w:rPr>
          <w:spacing w:val="2"/>
          <w:highlight w:val="yellow"/>
        </w:rPr>
        <w:t xml:space="preserve"> </w:t>
      </w:r>
      <w:r>
        <w:rPr>
          <w:spacing w:val="-2"/>
          <w:highlight w:val="yellow"/>
        </w:rPr>
        <w:t>Supplier]</w:t>
      </w:r>
    </w:p>
    <w:p w:rsidR="008918FA" w:rsidRDefault="008918FA" w:rsidP="008918FA">
      <w:pPr>
        <w:spacing w:before="5"/>
        <w:rPr>
          <w:rFonts w:ascii="Arial" w:eastAsia="Arial" w:hAnsi="Arial" w:cs="Arial"/>
          <w:sz w:val="14"/>
          <w:szCs w:val="14"/>
        </w:rPr>
      </w:pPr>
    </w:p>
    <w:p w:rsidR="008918FA" w:rsidRDefault="008918FA" w:rsidP="008918FA">
      <w:pPr>
        <w:pStyle w:val="BodyText"/>
        <w:tabs>
          <w:tab w:val="left" w:pos="1291"/>
        </w:tabs>
        <w:spacing w:before="72"/>
        <w:ind w:left="326" w:firstLine="0"/>
      </w:pPr>
      <w:r>
        <w:rPr>
          <w:spacing w:val="-2"/>
        </w:rPr>
        <w:t>FROM:</w:t>
      </w:r>
      <w:r>
        <w:rPr>
          <w:spacing w:val="-2"/>
        </w:rPr>
        <w:tab/>
      </w:r>
      <w:r>
        <w:rPr>
          <w:spacing w:val="-1"/>
          <w:highlight w:val="yellow"/>
        </w:rPr>
        <w:t>[insert name</w:t>
      </w:r>
      <w:r>
        <w:rPr>
          <w:highlight w:val="yellow"/>
        </w:rPr>
        <w:t xml:space="preserve"> </w:t>
      </w:r>
      <w:r>
        <w:rPr>
          <w:spacing w:val="-2"/>
          <w:highlight w:val="yellow"/>
        </w:rPr>
        <w:t>of</w:t>
      </w:r>
      <w:r>
        <w:rPr>
          <w:spacing w:val="2"/>
          <w:highlight w:val="yellow"/>
        </w:rPr>
        <w:t xml:space="preserve"> </w:t>
      </w:r>
      <w:r>
        <w:rPr>
          <w:spacing w:val="-1"/>
          <w:highlight w:val="yellow"/>
        </w:rPr>
        <w:t>Customer]</w:t>
      </w:r>
    </w:p>
    <w:p w:rsidR="008918FA" w:rsidRDefault="008918FA" w:rsidP="008918FA">
      <w:pPr>
        <w:spacing w:before="5"/>
        <w:rPr>
          <w:rFonts w:ascii="Arial" w:eastAsia="Arial" w:hAnsi="Arial" w:cs="Arial"/>
          <w:sz w:val="14"/>
          <w:szCs w:val="14"/>
        </w:rPr>
      </w:pPr>
    </w:p>
    <w:p w:rsidR="008918FA" w:rsidRDefault="001C1527" w:rsidP="008918FA">
      <w:pPr>
        <w:pStyle w:val="BodyText"/>
        <w:spacing w:before="72"/>
        <w:ind w:left="326" w:firstLine="0"/>
      </w:pPr>
      <w:r>
        <w:rPr>
          <w:spacing w:val="-1"/>
          <w:highlight w:val="yellow"/>
        </w:rPr>
        <w:t>[I</w:t>
      </w:r>
      <w:r w:rsidR="008918FA">
        <w:rPr>
          <w:spacing w:val="-1"/>
          <w:highlight w:val="yellow"/>
        </w:rPr>
        <w:t>nsert Date:</w:t>
      </w:r>
      <w:r w:rsidR="008918FA">
        <w:rPr>
          <w:spacing w:val="2"/>
          <w:highlight w:val="yellow"/>
        </w:rPr>
        <w:t xml:space="preserve"> </w:t>
      </w:r>
      <w:r w:rsidR="008918FA">
        <w:rPr>
          <w:spacing w:val="-1"/>
          <w:highlight w:val="yellow"/>
        </w:rPr>
        <w:t>dd/mm/yyyy]</w:t>
      </w:r>
    </w:p>
    <w:p w:rsidR="008918FA" w:rsidRDefault="008918FA" w:rsidP="008918FA">
      <w:pPr>
        <w:rPr>
          <w:rFonts w:ascii="Arial" w:eastAsia="Arial" w:hAnsi="Arial" w:cs="Arial"/>
        </w:rPr>
      </w:pPr>
    </w:p>
    <w:p w:rsidR="008918FA" w:rsidRDefault="008918FA" w:rsidP="008918FA">
      <w:pPr>
        <w:spacing w:before="4"/>
        <w:rPr>
          <w:rFonts w:ascii="Arial" w:eastAsia="Arial" w:hAnsi="Arial" w:cs="Arial"/>
          <w:sz w:val="31"/>
          <w:szCs w:val="31"/>
        </w:rPr>
      </w:pPr>
    </w:p>
    <w:p w:rsidR="008918FA" w:rsidRDefault="008918FA" w:rsidP="008918FA">
      <w:pPr>
        <w:pStyle w:val="BodyText"/>
        <w:spacing w:before="0"/>
        <w:ind w:left="326" w:firstLine="0"/>
      </w:pPr>
      <w:r>
        <w:rPr>
          <w:spacing w:val="-1"/>
        </w:rPr>
        <w:t>Dear</w:t>
      </w:r>
      <w:r>
        <w:rPr>
          <w:spacing w:val="2"/>
        </w:rPr>
        <w:t xml:space="preserve"> </w:t>
      </w:r>
      <w:r>
        <w:rPr>
          <w:spacing w:val="-2"/>
        </w:rPr>
        <w:t>Sirs,</w:t>
      </w:r>
    </w:p>
    <w:p w:rsidR="008918FA" w:rsidRDefault="008918FA" w:rsidP="008918FA">
      <w:pPr>
        <w:spacing w:before="9"/>
        <w:rPr>
          <w:rFonts w:ascii="Arial" w:eastAsia="Arial" w:hAnsi="Arial" w:cs="Arial"/>
          <w:sz w:val="20"/>
          <w:szCs w:val="20"/>
        </w:rPr>
      </w:pPr>
    </w:p>
    <w:p w:rsidR="008918FA" w:rsidRDefault="008918FA" w:rsidP="008918FA">
      <w:pPr>
        <w:pStyle w:val="Heading1"/>
        <w:spacing w:before="0"/>
        <w:ind w:left="2784" w:firstLine="0"/>
        <w:rPr>
          <w:b w:val="0"/>
          <w:bCs w:val="0"/>
        </w:rPr>
      </w:pPr>
      <w:r>
        <w:rPr>
          <w:spacing w:val="-1"/>
        </w:rPr>
        <w:t>SATISFACTION</w:t>
      </w:r>
      <w:r>
        <w:t xml:space="preserve"> </w:t>
      </w:r>
      <w:r>
        <w:rPr>
          <w:spacing w:val="-1"/>
        </w:rPr>
        <w:t>CERTIFICATE</w:t>
      </w:r>
    </w:p>
    <w:p w:rsidR="008918FA" w:rsidRDefault="008918FA" w:rsidP="008918FA">
      <w:pPr>
        <w:rPr>
          <w:rFonts w:ascii="Arial" w:eastAsia="Arial" w:hAnsi="Arial" w:cs="Arial"/>
          <w:b/>
          <w:bCs/>
        </w:rPr>
      </w:pPr>
    </w:p>
    <w:p w:rsidR="008918FA" w:rsidRDefault="008918FA" w:rsidP="008918FA">
      <w:pPr>
        <w:spacing w:before="6"/>
        <w:rPr>
          <w:rFonts w:ascii="Arial" w:eastAsia="Arial" w:hAnsi="Arial" w:cs="Arial"/>
          <w:b/>
          <w:bCs/>
          <w:sz w:val="31"/>
          <w:szCs w:val="31"/>
        </w:rPr>
      </w:pPr>
    </w:p>
    <w:p w:rsidR="008918FA" w:rsidRDefault="008918FA" w:rsidP="008918FA">
      <w:pPr>
        <w:pStyle w:val="BodyText"/>
        <w:spacing w:before="0"/>
        <w:ind w:left="326" w:firstLine="0"/>
      </w:pPr>
      <w:r>
        <w:rPr>
          <w:spacing w:val="-2"/>
        </w:rPr>
        <w:t>Milestones:</w:t>
      </w:r>
    </w:p>
    <w:p w:rsidR="008918FA" w:rsidRDefault="008918FA" w:rsidP="008918FA">
      <w:pPr>
        <w:spacing w:before="5"/>
        <w:rPr>
          <w:rFonts w:ascii="Arial" w:eastAsia="Arial" w:hAnsi="Arial" w:cs="Arial"/>
          <w:sz w:val="14"/>
          <w:szCs w:val="14"/>
        </w:rPr>
      </w:pPr>
    </w:p>
    <w:p w:rsidR="008918FA" w:rsidRDefault="008918FA" w:rsidP="008918FA">
      <w:pPr>
        <w:pStyle w:val="Heading2"/>
        <w:ind w:left="326" w:right="115"/>
        <w:jc w:val="both"/>
        <w:rPr>
          <w:b w:val="0"/>
          <w:bCs w:val="0"/>
          <w:i w:val="0"/>
        </w:rPr>
      </w:pPr>
      <w:r w:rsidRPr="009A0751">
        <w:rPr>
          <w:spacing w:val="-1"/>
          <w:highlight w:val="green"/>
        </w:rPr>
        <w:t>[Guidance</w:t>
      </w:r>
      <w:r w:rsidRPr="009A0751">
        <w:rPr>
          <w:spacing w:val="59"/>
          <w:highlight w:val="green"/>
        </w:rPr>
        <w:t xml:space="preserve"> </w:t>
      </w:r>
      <w:r w:rsidRPr="009A0751">
        <w:rPr>
          <w:spacing w:val="-1"/>
          <w:highlight w:val="green"/>
        </w:rPr>
        <w:t>Note</w:t>
      </w:r>
      <w:r w:rsidRPr="009A0751">
        <w:rPr>
          <w:spacing w:val="59"/>
          <w:highlight w:val="green"/>
        </w:rPr>
        <w:t xml:space="preserve"> </w:t>
      </w:r>
      <w:r w:rsidRPr="009A0751">
        <w:rPr>
          <w:highlight w:val="green"/>
        </w:rPr>
        <w:t>to</w:t>
      </w:r>
      <w:r w:rsidRPr="009A0751">
        <w:rPr>
          <w:spacing w:val="57"/>
          <w:highlight w:val="green"/>
        </w:rPr>
        <w:t xml:space="preserve"> </w:t>
      </w:r>
      <w:r w:rsidRPr="009A0751">
        <w:rPr>
          <w:spacing w:val="-1"/>
          <w:highlight w:val="green"/>
        </w:rPr>
        <w:t>Customer:</w:t>
      </w:r>
      <w:r w:rsidRPr="009A0751">
        <w:rPr>
          <w:spacing w:val="60"/>
          <w:highlight w:val="green"/>
        </w:rPr>
        <w:t xml:space="preserve"> </w:t>
      </w:r>
      <w:r w:rsidRPr="009A0751">
        <w:rPr>
          <w:spacing w:val="-1"/>
          <w:highlight w:val="green"/>
        </w:rPr>
        <w:t>Insert</w:t>
      </w:r>
      <w:r w:rsidRPr="009A0751">
        <w:rPr>
          <w:spacing w:val="58"/>
          <w:highlight w:val="green"/>
        </w:rPr>
        <w:t xml:space="preserve"> </w:t>
      </w:r>
      <w:r w:rsidRPr="009A0751">
        <w:rPr>
          <w:spacing w:val="-1"/>
          <w:highlight w:val="green"/>
        </w:rPr>
        <w:t>description</w:t>
      </w:r>
      <w:r w:rsidRPr="009A0751">
        <w:rPr>
          <w:spacing w:val="59"/>
          <w:highlight w:val="green"/>
        </w:rPr>
        <w:t xml:space="preserve"> </w:t>
      </w:r>
      <w:r w:rsidRPr="009A0751">
        <w:rPr>
          <w:spacing w:val="-1"/>
          <w:highlight w:val="green"/>
        </w:rPr>
        <w:t>of</w:t>
      </w:r>
      <w:r w:rsidRPr="009A0751">
        <w:rPr>
          <w:spacing w:val="61"/>
          <w:highlight w:val="green"/>
        </w:rPr>
        <w:t xml:space="preserve"> </w:t>
      </w:r>
      <w:r w:rsidRPr="009A0751">
        <w:rPr>
          <w:spacing w:val="-1"/>
          <w:highlight w:val="green"/>
        </w:rPr>
        <w:t>the</w:t>
      </w:r>
      <w:r w:rsidRPr="009A0751">
        <w:rPr>
          <w:spacing w:val="59"/>
          <w:highlight w:val="green"/>
        </w:rPr>
        <w:t xml:space="preserve"> </w:t>
      </w:r>
      <w:r w:rsidRPr="009A0751">
        <w:rPr>
          <w:spacing w:val="-1"/>
          <w:highlight w:val="green"/>
        </w:rPr>
        <w:t>relevant</w:t>
      </w:r>
      <w:r w:rsidRPr="009A0751">
        <w:rPr>
          <w:spacing w:val="38"/>
          <w:highlight w:val="green"/>
        </w:rPr>
        <w:t xml:space="preserve"> </w:t>
      </w:r>
      <w:r w:rsidRPr="009A0751">
        <w:rPr>
          <w:spacing w:val="-1"/>
          <w:highlight w:val="green"/>
        </w:rPr>
        <w:t>Deliverables/Milestones]</w:t>
      </w:r>
    </w:p>
    <w:p w:rsidR="008918FA" w:rsidRDefault="008918FA" w:rsidP="008918FA">
      <w:pPr>
        <w:spacing w:before="119"/>
        <w:ind w:left="326" w:right="111"/>
        <w:jc w:val="both"/>
        <w:rPr>
          <w:rFonts w:ascii="Arial" w:eastAsia="Arial" w:hAnsi="Arial" w:cs="Arial"/>
        </w:rPr>
      </w:pPr>
      <w:r>
        <w:rPr>
          <w:rFonts w:ascii="Arial"/>
          <w:spacing w:val="2"/>
        </w:rPr>
        <w:t>We</w:t>
      </w:r>
      <w:r>
        <w:rPr>
          <w:rFonts w:ascii="Arial"/>
        </w:rPr>
        <w:t xml:space="preserve"> </w:t>
      </w:r>
      <w:r>
        <w:rPr>
          <w:rFonts w:ascii="Arial"/>
          <w:spacing w:val="-1"/>
        </w:rPr>
        <w:t>refer</w:t>
      </w:r>
      <w:r>
        <w:rPr>
          <w:rFonts w:ascii="Arial"/>
          <w:spacing w:val="6"/>
        </w:rPr>
        <w:t xml:space="preserve"> </w:t>
      </w:r>
      <w:r>
        <w:rPr>
          <w:rFonts w:ascii="Arial"/>
        </w:rPr>
        <w:t>to</w:t>
      </w:r>
      <w:r>
        <w:rPr>
          <w:rFonts w:ascii="Arial"/>
          <w:spacing w:val="6"/>
        </w:rPr>
        <w:t xml:space="preserve"> </w:t>
      </w:r>
      <w:r>
        <w:rPr>
          <w:rFonts w:ascii="Arial"/>
        </w:rPr>
        <w:t>the</w:t>
      </w:r>
      <w:r>
        <w:rPr>
          <w:rFonts w:ascii="Arial"/>
          <w:spacing w:val="5"/>
        </w:rPr>
        <w:t xml:space="preserve"> </w:t>
      </w:r>
      <w:r>
        <w:rPr>
          <w:rFonts w:ascii="Arial"/>
          <w:spacing w:val="-1"/>
        </w:rPr>
        <w:t>agreement</w:t>
      </w:r>
      <w:r>
        <w:rPr>
          <w:rFonts w:ascii="Arial"/>
          <w:spacing w:val="7"/>
        </w:rPr>
        <w:t xml:space="preserve"> </w:t>
      </w:r>
      <w:r>
        <w:rPr>
          <w:rFonts w:ascii="Arial"/>
          <w:spacing w:val="-1"/>
        </w:rPr>
        <w:t>(</w:t>
      </w:r>
      <w:r>
        <w:rPr>
          <w:rFonts w:ascii="Arial"/>
          <w:b/>
          <w:spacing w:val="-1"/>
        </w:rPr>
        <w:t>"Call</w:t>
      </w:r>
      <w:r>
        <w:rPr>
          <w:rFonts w:ascii="Arial"/>
          <w:b/>
          <w:spacing w:val="4"/>
        </w:rPr>
        <w:t xml:space="preserve"> </w:t>
      </w:r>
      <w:r>
        <w:rPr>
          <w:rFonts w:ascii="Arial"/>
          <w:b/>
          <w:spacing w:val="-1"/>
        </w:rPr>
        <w:t>Off</w:t>
      </w:r>
      <w:r>
        <w:rPr>
          <w:rFonts w:ascii="Arial"/>
          <w:b/>
          <w:spacing w:val="6"/>
        </w:rPr>
        <w:t xml:space="preserve"> </w:t>
      </w:r>
      <w:r>
        <w:rPr>
          <w:rFonts w:ascii="Arial"/>
          <w:b/>
          <w:spacing w:val="-1"/>
        </w:rPr>
        <w:t>Contract"</w:t>
      </w:r>
      <w:r>
        <w:rPr>
          <w:rFonts w:ascii="Arial"/>
          <w:spacing w:val="-1"/>
        </w:rPr>
        <w:t>)</w:t>
      </w:r>
      <w:r>
        <w:rPr>
          <w:rFonts w:ascii="Arial"/>
          <w:spacing w:val="4"/>
        </w:rPr>
        <w:t xml:space="preserve"> </w:t>
      </w:r>
      <w:r>
        <w:rPr>
          <w:rFonts w:ascii="Arial"/>
          <w:spacing w:val="-1"/>
        </w:rPr>
        <w:t>relating</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spacing w:val="-2"/>
        </w:rPr>
        <w:t>provision</w:t>
      </w:r>
      <w:r>
        <w:rPr>
          <w:rFonts w:ascii="Arial"/>
          <w:spacing w:val="7"/>
        </w:rPr>
        <w:t xml:space="preserve"> </w:t>
      </w:r>
      <w:r>
        <w:rPr>
          <w:rFonts w:ascii="Arial"/>
          <w:spacing w:val="-2"/>
        </w:rPr>
        <w:t>of</w:t>
      </w:r>
      <w:r>
        <w:rPr>
          <w:rFonts w:ascii="Arial"/>
          <w:spacing w:val="9"/>
        </w:rPr>
        <w:t xml:space="preserve"> </w:t>
      </w:r>
      <w:r>
        <w:rPr>
          <w:rFonts w:ascii="Arial"/>
        </w:rPr>
        <w:t>the</w:t>
      </w:r>
      <w:r>
        <w:rPr>
          <w:rFonts w:ascii="Arial"/>
          <w:spacing w:val="7"/>
        </w:rPr>
        <w:t xml:space="preserve"> </w:t>
      </w:r>
      <w:r>
        <w:rPr>
          <w:rFonts w:ascii="Arial"/>
          <w:spacing w:val="-1"/>
        </w:rPr>
        <w:t>Goods</w:t>
      </w:r>
      <w:r>
        <w:rPr>
          <w:rFonts w:ascii="Arial"/>
          <w:spacing w:val="51"/>
        </w:rPr>
        <w:t xml:space="preserve"> </w:t>
      </w:r>
      <w:r>
        <w:rPr>
          <w:rFonts w:ascii="Arial"/>
          <w:spacing w:val="-1"/>
        </w:rPr>
        <w:t>and/or</w:t>
      </w:r>
      <w:r>
        <w:rPr>
          <w:rFonts w:ascii="Arial"/>
          <w:spacing w:val="57"/>
        </w:rPr>
        <w:t xml:space="preserve"> </w:t>
      </w:r>
      <w:r w:rsidRPr="009A0751">
        <w:rPr>
          <w:rFonts w:ascii="Arial"/>
          <w:spacing w:val="-1"/>
          <w:highlight w:val="yellow"/>
        </w:rPr>
        <w:t>[Services</w:t>
      </w:r>
      <w:r w:rsidRPr="009A0751">
        <w:rPr>
          <w:rFonts w:ascii="Arial"/>
          <w:highlight w:val="yellow"/>
        </w:rPr>
        <w:t>]</w:t>
      </w:r>
      <w:r>
        <w:rPr>
          <w:rFonts w:ascii="Arial"/>
          <w:spacing w:val="52"/>
        </w:rPr>
        <w:t xml:space="preserve"> </w:t>
      </w:r>
      <w:r>
        <w:rPr>
          <w:rFonts w:ascii="Arial"/>
          <w:spacing w:val="-2"/>
        </w:rPr>
        <w:t>between</w:t>
      </w:r>
      <w:r>
        <w:rPr>
          <w:rFonts w:ascii="Arial"/>
          <w:spacing w:val="55"/>
        </w:rPr>
        <w:t xml:space="preserve"> </w:t>
      </w:r>
      <w:r>
        <w:rPr>
          <w:rFonts w:ascii="Arial"/>
        </w:rPr>
        <w:t>the</w:t>
      </w:r>
      <w:r>
        <w:rPr>
          <w:rFonts w:ascii="Arial"/>
          <w:spacing w:val="55"/>
        </w:rPr>
        <w:t xml:space="preserve"> </w:t>
      </w:r>
      <w:r w:rsidRPr="009A0751">
        <w:rPr>
          <w:rFonts w:ascii="Arial"/>
          <w:spacing w:val="-1"/>
          <w:highlight w:val="yellow"/>
        </w:rPr>
        <w:t>[</w:t>
      </w:r>
      <w:r w:rsidRPr="009A0751">
        <w:rPr>
          <w:rFonts w:ascii="Arial"/>
          <w:i/>
          <w:spacing w:val="-1"/>
          <w:highlight w:val="yellow"/>
        </w:rPr>
        <w:t>insert</w:t>
      </w:r>
      <w:r w:rsidRPr="009A0751">
        <w:rPr>
          <w:rFonts w:ascii="Arial"/>
          <w:i/>
          <w:spacing w:val="57"/>
          <w:highlight w:val="yellow"/>
        </w:rPr>
        <w:t xml:space="preserve"> </w:t>
      </w:r>
      <w:r w:rsidRPr="009A0751">
        <w:rPr>
          <w:rFonts w:ascii="Arial"/>
          <w:i/>
          <w:spacing w:val="-1"/>
          <w:highlight w:val="yellow"/>
        </w:rPr>
        <w:t>Customer</w:t>
      </w:r>
      <w:r w:rsidRPr="009A0751">
        <w:rPr>
          <w:rFonts w:ascii="Arial"/>
          <w:i/>
          <w:spacing w:val="57"/>
          <w:highlight w:val="yellow"/>
        </w:rPr>
        <w:t xml:space="preserve"> </w:t>
      </w:r>
      <w:r w:rsidRPr="009A0751">
        <w:rPr>
          <w:rFonts w:ascii="Arial"/>
          <w:i/>
          <w:spacing w:val="-1"/>
          <w:highlight w:val="yellow"/>
        </w:rPr>
        <w:t>name</w:t>
      </w:r>
      <w:r w:rsidRPr="009A0751">
        <w:rPr>
          <w:rFonts w:ascii="Arial"/>
          <w:spacing w:val="-1"/>
          <w:highlight w:val="yellow"/>
        </w:rPr>
        <w:t>]</w:t>
      </w:r>
      <w:r>
        <w:rPr>
          <w:rFonts w:ascii="Arial"/>
          <w:spacing w:val="58"/>
        </w:rPr>
        <w:t xml:space="preserve"> </w:t>
      </w:r>
      <w:r>
        <w:rPr>
          <w:rFonts w:ascii="Arial"/>
          <w:spacing w:val="-1"/>
        </w:rPr>
        <w:t>(</w:t>
      </w:r>
      <w:r>
        <w:rPr>
          <w:rFonts w:ascii="Arial"/>
          <w:b/>
          <w:spacing w:val="-1"/>
        </w:rPr>
        <w:t>"Customer"</w:t>
      </w:r>
      <w:r>
        <w:rPr>
          <w:rFonts w:ascii="Arial"/>
          <w:spacing w:val="-1"/>
        </w:rPr>
        <w:t>)</w:t>
      </w:r>
      <w:r>
        <w:rPr>
          <w:rFonts w:ascii="Arial"/>
          <w:spacing w:val="57"/>
        </w:rPr>
        <w:t xml:space="preserve"> </w:t>
      </w:r>
      <w:r>
        <w:rPr>
          <w:rFonts w:ascii="Arial"/>
          <w:spacing w:val="-1"/>
        </w:rPr>
        <w:t>and</w:t>
      </w:r>
      <w:r>
        <w:rPr>
          <w:rFonts w:ascii="Arial"/>
          <w:spacing w:val="55"/>
        </w:rPr>
        <w:t xml:space="preserve"> </w:t>
      </w:r>
      <w:r w:rsidRPr="009A0751">
        <w:rPr>
          <w:rFonts w:ascii="Arial"/>
          <w:spacing w:val="-1"/>
          <w:highlight w:val="yellow"/>
        </w:rPr>
        <w:t>[</w:t>
      </w:r>
      <w:r w:rsidRPr="009A0751">
        <w:rPr>
          <w:rFonts w:ascii="Arial"/>
          <w:i/>
          <w:spacing w:val="-1"/>
          <w:highlight w:val="yellow"/>
        </w:rPr>
        <w:t>insert</w:t>
      </w:r>
      <w:r w:rsidRPr="009A0751">
        <w:rPr>
          <w:rFonts w:ascii="Arial"/>
          <w:i/>
          <w:spacing w:val="37"/>
          <w:highlight w:val="yellow"/>
        </w:rPr>
        <w:t xml:space="preserve"> </w:t>
      </w:r>
      <w:r w:rsidRPr="009A0751">
        <w:rPr>
          <w:rFonts w:ascii="Arial"/>
          <w:i/>
          <w:spacing w:val="-2"/>
          <w:highlight w:val="yellow"/>
        </w:rPr>
        <w:t>Supplier</w:t>
      </w:r>
      <w:r w:rsidRPr="009A0751">
        <w:rPr>
          <w:rFonts w:ascii="Arial"/>
          <w:i/>
          <w:spacing w:val="14"/>
          <w:highlight w:val="yellow"/>
        </w:rPr>
        <w:t xml:space="preserve"> </w:t>
      </w:r>
      <w:r w:rsidRPr="009A0751">
        <w:rPr>
          <w:rFonts w:ascii="Arial"/>
          <w:i/>
          <w:spacing w:val="-1"/>
          <w:highlight w:val="yellow"/>
        </w:rPr>
        <w:t>name</w:t>
      </w:r>
      <w:r w:rsidRPr="009A0751">
        <w:rPr>
          <w:rFonts w:ascii="Arial"/>
          <w:spacing w:val="-1"/>
          <w:highlight w:val="yellow"/>
        </w:rPr>
        <w:t>]</w:t>
      </w:r>
      <w:r>
        <w:rPr>
          <w:rFonts w:ascii="Arial"/>
        </w:rPr>
        <w:t xml:space="preserve"> </w:t>
      </w:r>
      <w:r>
        <w:rPr>
          <w:rFonts w:ascii="Arial"/>
          <w:spacing w:val="-1"/>
        </w:rPr>
        <w:t>(</w:t>
      </w:r>
      <w:r>
        <w:rPr>
          <w:rFonts w:ascii="Arial"/>
          <w:b/>
          <w:spacing w:val="-1"/>
        </w:rPr>
        <w:t>"Supplier"</w:t>
      </w:r>
      <w:r>
        <w:rPr>
          <w:rFonts w:ascii="Arial"/>
          <w:spacing w:val="-1"/>
        </w:rPr>
        <w:t>)</w:t>
      </w:r>
      <w:r>
        <w:rPr>
          <w:rFonts w:ascii="Arial"/>
          <w:spacing w:val="14"/>
        </w:rPr>
        <w:t xml:space="preserve"> </w:t>
      </w:r>
      <w:r>
        <w:rPr>
          <w:rFonts w:ascii="Arial"/>
          <w:spacing w:val="-1"/>
        </w:rPr>
        <w:t>dated</w:t>
      </w:r>
      <w:r>
        <w:rPr>
          <w:rFonts w:ascii="Arial"/>
          <w:spacing w:val="12"/>
        </w:rPr>
        <w:t xml:space="preserve"> </w:t>
      </w:r>
      <w:r w:rsidRPr="009A0751">
        <w:rPr>
          <w:rFonts w:ascii="Arial"/>
          <w:spacing w:val="-1"/>
          <w:highlight w:val="yellow"/>
        </w:rPr>
        <w:t>[</w:t>
      </w:r>
      <w:r w:rsidRPr="009A0751">
        <w:rPr>
          <w:rFonts w:ascii="Arial"/>
          <w:i/>
          <w:spacing w:val="-1"/>
          <w:highlight w:val="yellow"/>
        </w:rPr>
        <w:t>insert</w:t>
      </w:r>
      <w:r w:rsidRPr="009A0751">
        <w:rPr>
          <w:rFonts w:ascii="Arial"/>
          <w:i/>
          <w:spacing w:val="14"/>
          <w:highlight w:val="yellow"/>
        </w:rPr>
        <w:t xml:space="preserve"> </w:t>
      </w:r>
      <w:r w:rsidRPr="009A0751">
        <w:rPr>
          <w:rFonts w:ascii="Arial"/>
          <w:i/>
          <w:spacing w:val="-2"/>
          <w:highlight w:val="yellow"/>
        </w:rPr>
        <w:t>Call</w:t>
      </w:r>
      <w:r w:rsidRPr="009A0751">
        <w:rPr>
          <w:rFonts w:ascii="Arial"/>
          <w:i/>
          <w:spacing w:val="12"/>
          <w:highlight w:val="yellow"/>
        </w:rPr>
        <w:t xml:space="preserve"> </w:t>
      </w:r>
      <w:r w:rsidRPr="009A0751">
        <w:rPr>
          <w:rFonts w:ascii="Arial"/>
          <w:i/>
          <w:highlight w:val="yellow"/>
        </w:rPr>
        <w:t>Off</w:t>
      </w:r>
      <w:r w:rsidRPr="009A0751">
        <w:rPr>
          <w:rFonts w:ascii="Arial"/>
          <w:i/>
          <w:spacing w:val="14"/>
          <w:highlight w:val="yellow"/>
        </w:rPr>
        <w:t xml:space="preserve"> </w:t>
      </w:r>
      <w:r w:rsidRPr="009A0751">
        <w:rPr>
          <w:rFonts w:ascii="Arial"/>
          <w:i/>
          <w:spacing w:val="-2"/>
          <w:highlight w:val="yellow"/>
        </w:rPr>
        <w:t>Commencement</w:t>
      </w:r>
      <w:r w:rsidRPr="009A0751">
        <w:rPr>
          <w:rFonts w:ascii="Arial"/>
          <w:i/>
          <w:spacing w:val="14"/>
          <w:highlight w:val="yellow"/>
        </w:rPr>
        <w:t xml:space="preserve"> </w:t>
      </w:r>
      <w:r w:rsidRPr="009A0751">
        <w:rPr>
          <w:rFonts w:ascii="Arial"/>
          <w:i/>
          <w:spacing w:val="-1"/>
          <w:highlight w:val="yellow"/>
        </w:rPr>
        <w:t>Date</w:t>
      </w:r>
      <w:r w:rsidRPr="009A0751">
        <w:rPr>
          <w:rFonts w:ascii="Arial"/>
          <w:i/>
          <w:spacing w:val="10"/>
          <w:highlight w:val="yellow"/>
        </w:rPr>
        <w:t xml:space="preserve"> </w:t>
      </w:r>
      <w:r w:rsidRPr="009A0751">
        <w:rPr>
          <w:rFonts w:ascii="Arial"/>
          <w:i/>
          <w:spacing w:val="-1"/>
          <w:highlight w:val="yellow"/>
        </w:rPr>
        <w:t>dd/mm/yyyy</w:t>
      </w:r>
    </w:p>
    <w:p w:rsidR="008918FA" w:rsidRDefault="008918FA" w:rsidP="008918FA">
      <w:pPr>
        <w:pStyle w:val="BodyText"/>
        <w:spacing w:before="1"/>
        <w:ind w:left="326" w:firstLine="0"/>
        <w:jc w:val="both"/>
      </w:pPr>
      <w:r>
        <w:t>].</w:t>
      </w:r>
    </w:p>
    <w:p w:rsidR="008918FA" w:rsidRDefault="008918FA" w:rsidP="008918FA">
      <w:pPr>
        <w:spacing w:before="9"/>
        <w:rPr>
          <w:rFonts w:ascii="Arial" w:eastAsia="Arial" w:hAnsi="Arial" w:cs="Arial"/>
          <w:sz w:val="20"/>
          <w:szCs w:val="20"/>
        </w:rPr>
      </w:pPr>
    </w:p>
    <w:p w:rsidR="008918FA" w:rsidRDefault="008918FA" w:rsidP="008918FA">
      <w:pPr>
        <w:pStyle w:val="BodyText"/>
        <w:spacing w:before="0"/>
        <w:ind w:left="326" w:right="117" w:firstLine="0"/>
        <w:jc w:val="both"/>
      </w:pPr>
      <w:r>
        <w:t>The</w:t>
      </w:r>
      <w:r>
        <w:rPr>
          <w:spacing w:val="2"/>
        </w:rPr>
        <w:t xml:space="preserve"> </w:t>
      </w:r>
      <w:r>
        <w:rPr>
          <w:spacing w:val="-1"/>
        </w:rPr>
        <w:t>definitions</w:t>
      </w:r>
      <w:r>
        <w:t xml:space="preserve"> for </w:t>
      </w:r>
      <w:r>
        <w:rPr>
          <w:spacing w:val="-1"/>
        </w:rPr>
        <w:t>terms</w:t>
      </w:r>
      <w:r>
        <w:rPr>
          <w:spacing w:val="2"/>
        </w:rPr>
        <w:t xml:space="preserve"> </w:t>
      </w:r>
      <w:r>
        <w:rPr>
          <w:spacing w:val="-1"/>
        </w:rPr>
        <w:t>capitalised</w:t>
      </w:r>
      <w:r>
        <w:rPr>
          <w:spacing w:val="2"/>
        </w:rPr>
        <w:t xml:space="preserve"> </w:t>
      </w:r>
      <w:r>
        <w:rPr>
          <w:spacing w:val="-1"/>
        </w:rPr>
        <w:t>in</w:t>
      </w:r>
      <w:r>
        <w:rPr>
          <w:spacing w:val="2"/>
        </w:rPr>
        <w:t xml:space="preserve"> </w:t>
      </w:r>
      <w:r>
        <w:rPr>
          <w:spacing w:val="-1"/>
        </w:rPr>
        <w:t>this</w:t>
      </w:r>
      <w:r>
        <w:rPr>
          <w:spacing w:val="2"/>
        </w:rPr>
        <w:t xml:space="preserve"> </w:t>
      </w:r>
      <w:r>
        <w:rPr>
          <w:spacing w:val="-1"/>
        </w:rPr>
        <w:t>certificate</w:t>
      </w:r>
      <w:r>
        <w:rPr>
          <w:spacing w:val="2"/>
        </w:rPr>
        <w:t xml:space="preserve"> </w:t>
      </w:r>
      <w:r>
        <w:rPr>
          <w:spacing w:val="-1"/>
        </w:rPr>
        <w:t>are</w:t>
      </w:r>
      <w:r>
        <w:rPr>
          <w:spacing w:val="2"/>
        </w:rPr>
        <w:t xml:space="preserve"> </w:t>
      </w:r>
      <w:r>
        <w:rPr>
          <w:spacing w:val="-2"/>
        </w:rPr>
        <w:t>set</w:t>
      </w:r>
      <w:r>
        <w:rPr>
          <w:spacing w:val="3"/>
        </w:rPr>
        <w:t xml:space="preserve"> </w:t>
      </w:r>
      <w:r>
        <w:rPr>
          <w:spacing w:val="-1"/>
        </w:rPr>
        <w:t>out</w:t>
      </w:r>
      <w:r>
        <w:rPr>
          <w:spacing w:val="1"/>
        </w:rPr>
        <w:t xml:space="preserve"> </w:t>
      </w:r>
      <w:r>
        <w:rPr>
          <w:spacing w:val="-1"/>
        </w:rPr>
        <w:t>in</w:t>
      </w:r>
      <w:r>
        <w:rPr>
          <w:spacing w:val="2"/>
        </w:rPr>
        <w:t xml:space="preserve"> </w:t>
      </w:r>
      <w:r>
        <w:t>the</w:t>
      </w:r>
      <w:r>
        <w:rPr>
          <w:spacing w:val="2"/>
        </w:rPr>
        <w:t xml:space="preserve"> </w:t>
      </w:r>
      <w:r>
        <w:rPr>
          <w:spacing w:val="-2"/>
        </w:rPr>
        <w:t>Call</w:t>
      </w:r>
      <w:r>
        <w:rPr>
          <w:spacing w:val="59"/>
        </w:rPr>
        <w:t xml:space="preserve"> </w:t>
      </w:r>
      <w:r>
        <w:rPr>
          <w:spacing w:val="-1"/>
        </w:rPr>
        <w:t>Off</w:t>
      </w:r>
      <w:r>
        <w:rPr>
          <w:spacing w:val="47"/>
        </w:rPr>
        <w:t xml:space="preserve"> </w:t>
      </w:r>
      <w:r>
        <w:rPr>
          <w:spacing w:val="-1"/>
        </w:rPr>
        <w:t>Contract.</w:t>
      </w:r>
    </w:p>
    <w:p w:rsidR="008918FA" w:rsidRDefault="008918FA" w:rsidP="008918FA">
      <w:pPr>
        <w:spacing w:before="6"/>
        <w:rPr>
          <w:rFonts w:ascii="Arial" w:eastAsia="Arial" w:hAnsi="Arial" w:cs="Arial"/>
          <w:sz w:val="14"/>
          <w:szCs w:val="14"/>
        </w:rPr>
      </w:pPr>
    </w:p>
    <w:p w:rsidR="008918FA" w:rsidRDefault="008918FA" w:rsidP="008918FA">
      <w:pPr>
        <w:spacing w:before="72"/>
        <w:ind w:left="326" w:right="112"/>
        <w:jc w:val="both"/>
        <w:rPr>
          <w:rFonts w:ascii="Arial" w:eastAsia="Arial" w:hAnsi="Arial" w:cs="Arial"/>
        </w:rPr>
      </w:pPr>
      <w:r>
        <w:rPr>
          <w:rFonts w:ascii="Arial"/>
          <w:spacing w:val="1"/>
        </w:rPr>
        <w:t>[We</w:t>
      </w:r>
      <w:r>
        <w:rPr>
          <w:rFonts w:ascii="Arial"/>
          <w:spacing w:val="22"/>
        </w:rPr>
        <w:t xml:space="preserve"> </w:t>
      </w:r>
      <w:r>
        <w:rPr>
          <w:rFonts w:ascii="Arial"/>
          <w:spacing w:val="-1"/>
        </w:rPr>
        <w:t>confirm</w:t>
      </w:r>
      <w:r>
        <w:rPr>
          <w:rFonts w:ascii="Arial"/>
          <w:spacing w:val="26"/>
        </w:rPr>
        <w:t xml:space="preserve"> </w:t>
      </w:r>
      <w:r>
        <w:rPr>
          <w:rFonts w:ascii="Arial"/>
          <w:spacing w:val="-1"/>
        </w:rPr>
        <w:t>that</w:t>
      </w:r>
      <w:r>
        <w:rPr>
          <w:rFonts w:ascii="Arial"/>
          <w:spacing w:val="26"/>
        </w:rPr>
        <w:t xml:space="preserve"> </w:t>
      </w:r>
      <w:r>
        <w:rPr>
          <w:rFonts w:ascii="Arial"/>
          <w:spacing w:val="-1"/>
        </w:rPr>
        <w:t>all</w:t>
      </w:r>
      <w:r>
        <w:rPr>
          <w:rFonts w:ascii="Arial"/>
          <w:spacing w:val="26"/>
        </w:rPr>
        <w:t xml:space="preserve"> </w:t>
      </w:r>
      <w:r>
        <w:rPr>
          <w:rFonts w:ascii="Arial"/>
          <w:spacing w:val="-2"/>
        </w:rPr>
        <w:t>of</w:t>
      </w:r>
      <w:r>
        <w:rPr>
          <w:rFonts w:ascii="Arial"/>
          <w:spacing w:val="28"/>
        </w:rPr>
        <w:t xml:space="preserve"> </w:t>
      </w:r>
      <w:r>
        <w:rPr>
          <w:rFonts w:ascii="Arial"/>
          <w:spacing w:val="-1"/>
        </w:rPr>
        <w:t>the</w:t>
      </w:r>
      <w:r>
        <w:rPr>
          <w:rFonts w:ascii="Arial"/>
          <w:spacing w:val="28"/>
        </w:rPr>
        <w:t xml:space="preserve"> </w:t>
      </w:r>
      <w:r>
        <w:rPr>
          <w:rFonts w:ascii="Arial"/>
          <w:spacing w:val="-2"/>
        </w:rPr>
        <w:t>[Deliverables</w:t>
      </w:r>
      <w:r>
        <w:rPr>
          <w:rFonts w:ascii="Arial"/>
          <w:spacing w:val="27"/>
        </w:rPr>
        <w:t xml:space="preserve"> </w:t>
      </w:r>
      <w:r>
        <w:rPr>
          <w:rFonts w:ascii="Arial"/>
          <w:spacing w:val="-1"/>
        </w:rPr>
        <w:t>relating</w:t>
      </w:r>
      <w:r>
        <w:rPr>
          <w:rFonts w:ascii="Arial"/>
          <w:spacing w:val="27"/>
        </w:rPr>
        <w:t xml:space="preserve"> </w:t>
      </w:r>
      <w:r>
        <w:rPr>
          <w:rFonts w:ascii="Arial"/>
        </w:rPr>
        <w:t>to</w:t>
      </w:r>
      <w:r>
        <w:rPr>
          <w:rFonts w:ascii="Arial"/>
          <w:spacing w:val="27"/>
        </w:rPr>
        <w:t xml:space="preserve"> </w:t>
      </w:r>
      <w:r>
        <w:rPr>
          <w:rFonts w:ascii="Arial"/>
          <w:spacing w:val="-1"/>
        </w:rPr>
        <w:t>Milestone(s)]/[Milestone(s)]</w:t>
      </w:r>
      <w:r>
        <w:rPr>
          <w:rFonts w:ascii="Arial"/>
          <w:spacing w:val="26"/>
        </w:rPr>
        <w:t xml:space="preserve"> </w:t>
      </w:r>
      <w:r w:rsidRPr="009A0751">
        <w:rPr>
          <w:rFonts w:ascii="Arial"/>
          <w:i/>
          <w:spacing w:val="-1"/>
          <w:highlight w:val="yellow"/>
        </w:rPr>
        <w:t>[insert</w:t>
      </w:r>
      <w:r w:rsidRPr="009A0751">
        <w:rPr>
          <w:rFonts w:ascii="Arial"/>
          <w:i/>
          <w:spacing w:val="53"/>
          <w:highlight w:val="yellow"/>
        </w:rPr>
        <w:t xml:space="preserve"> </w:t>
      </w:r>
      <w:r w:rsidRPr="009A0751">
        <w:rPr>
          <w:rFonts w:ascii="Arial"/>
          <w:i/>
          <w:spacing w:val="-1"/>
          <w:highlight w:val="yellow"/>
        </w:rPr>
        <w:t>relevant</w:t>
      </w:r>
      <w:r w:rsidRPr="009A0751">
        <w:rPr>
          <w:rFonts w:ascii="Arial"/>
          <w:i/>
          <w:spacing w:val="21"/>
          <w:highlight w:val="yellow"/>
        </w:rPr>
        <w:t xml:space="preserve"> </w:t>
      </w:r>
      <w:r w:rsidRPr="009A0751">
        <w:rPr>
          <w:rFonts w:ascii="Arial"/>
          <w:i/>
          <w:spacing w:val="-1"/>
          <w:highlight w:val="yellow"/>
        </w:rPr>
        <w:t>description</w:t>
      </w:r>
      <w:r w:rsidRPr="009A0751">
        <w:rPr>
          <w:rFonts w:ascii="Arial"/>
          <w:i/>
          <w:spacing w:val="20"/>
          <w:highlight w:val="yellow"/>
        </w:rPr>
        <w:t xml:space="preserve"> </w:t>
      </w:r>
      <w:r w:rsidRPr="009A0751">
        <w:rPr>
          <w:rFonts w:ascii="Arial"/>
          <w:i/>
          <w:spacing w:val="-1"/>
          <w:highlight w:val="yellow"/>
        </w:rPr>
        <w:t>and/or</w:t>
      </w:r>
      <w:r w:rsidRPr="009A0751">
        <w:rPr>
          <w:rFonts w:ascii="Arial"/>
          <w:i/>
          <w:spacing w:val="21"/>
          <w:highlight w:val="yellow"/>
        </w:rPr>
        <w:t xml:space="preserve"> </w:t>
      </w:r>
      <w:r w:rsidRPr="009A0751">
        <w:rPr>
          <w:rFonts w:ascii="Arial"/>
          <w:i/>
          <w:spacing w:val="-1"/>
          <w:highlight w:val="yellow"/>
        </w:rPr>
        <w:t>reference</w:t>
      </w:r>
      <w:r w:rsidRPr="009A0751">
        <w:rPr>
          <w:rFonts w:ascii="Arial"/>
          <w:i/>
          <w:spacing w:val="20"/>
          <w:highlight w:val="yellow"/>
        </w:rPr>
        <w:t xml:space="preserve"> </w:t>
      </w:r>
      <w:r w:rsidRPr="009A0751">
        <w:rPr>
          <w:rFonts w:ascii="Arial"/>
          <w:i/>
          <w:spacing w:val="-1"/>
          <w:highlight w:val="yellow"/>
        </w:rPr>
        <w:t>numbers(s)</w:t>
      </w:r>
      <w:r w:rsidRPr="009A0751">
        <w:rPr>
          <w:rFonts w:ascii="Arial"/>
          <w:i/>
          <w:spacing w:val="18"/>
          <w:highlight w:val="yellow"/>
        </w:rPr>
        <w:t xml:space="preserve"> </w:t>
      </w:r>
      <w:r w:rsidRPr="009A0751">
        <w:rPr>
          <w:rFonts w:ascii="Arial"/>
          <w:i/>
          <w:highlight w:val="yellow"/>
        </w:rPr>
        <w:t>from</w:t>
      </w:r>
      <w:r w:rsidRPr="009A0751">
        <w:rPr>
          <w:rFonts w:ascii="Arial"/>
          <w:i/>
          <w:spacing w:val="21"/>
          <w:highlight w:val="yellow"/>
        </w:rPr>
        <w:t xml:space="preserve"> </w:t>
      </w:r>
      <w:r w:rsidRPr="009A0751">
        <w:rPr>
          <w:rFonts w:ascii="Arial"/>
          <w:i/>
          <w:highlight w:val="yellow"/>
        </w:rPr>
        <w:t>the</w:t>
      </w:r>
      <w:r w:rsidRPr="009A0751">
        <w:rPr>
          <w:rFonts w:ascii="Arial"/>
          <w:i/>
          <w:spacing w:val="17"/>
          <w:highlight w:val="yellow"/>
        </w:rPr>
        <w:t xml:space="preserve"> </w:t>
      </w:r>
      <w:r w:rsidRPr="009A0751">
        <w:rPr>
          <w:rFonts w:ascii="Arial"/>
          <w:i/>
          <w:spacing w:val="-1"/>
          <w:highlight w:val="yellow"/>
        </w:rPr>
        <w:t>Implementation</w:t>
      </w:r>
      <w:r w:rsidRPr="009A0751">
        <w:rPr>
          <w:rFonts w:ascii="Arial"/>
          <w:i/>
          <w:spacing w:val="19"/>
          <w:highlight w:val="yellow"/>
        </w:rPr>
        <w:t xml:space="preserve"> </w:t>
      </w:r>
      <w:r w:rsidRPr="009A0751">
        <w:rPr>
          <w:rFonts w:ascii="Arial"/>
          <w:i/>
          <w:spacing w:val="-1"/>
          <w:highlight w:val="yellow"/>
        </w:rPr>
        <w:t>Plan]</w:t>
      </w:r>
      <w:r>
        <w:rPr>
          <w:rFonts w:ascii="Arial"/>
          <w:i/>
          <w:spacing w:val="23"/>
        </w:rPr>
        <w:t xml:space="preserve"> </w:t>
      </w:r>
      <w:r>
        <w:rPr>
          <w:rFonts w:ascii="Arial"/>
          <w:spacing w:val="-2"/>
        </w:rPr>
        <w:t>have</w:t>
      </w:r>
      <w:r>
        <w:rPr>
          <w:rFonts w:ascii="Arial"/>
          <w:spacing w:val="31"/>
        </w:rPr>
        <w:t xml:space="preserve"> </w:t>
      </w:r>
      <w:r>
        <w:rPr>
          <w:rFonts w:ascii="Arial"/>
          <w:spacing w:val="-1"/>
        </w:rPr>
        <w:t>been</w:t>
      </w:r>
      <w:r>
        <w:rPr>
          <w:rFonts w:ascii="Arial"/>
          <w:spacing w:val="34"/>
        </w:rPr>
        <w:t xml:space="preserve"> </w:t>
      </w:r>
      <w:r>
        <w:rPr>
          <w:rFonts w:ascii="Arial"/>
          <w:spacing w:val="-1"/>
        </w:rPr>
        <w:t>successfully</w:t>
      </w:r>
      <w:r>
        <w:rPr>
          <w:rFonts w:ascii="Arial"/>
          <w:spacing w:val="32"/>
        </w:rPr>
        <w:t xml:space="preserve"> </w:t>
      </w:r>
      <w:r>
        <w:rPr>
          <w:rFonts w:ascii="Arial"/>
          <w:spacing w:val="-1"/>
        </w:rPr>
        <w:t>Achieved</w:t>
      </w:r>
      <w:r>
        <w:rPr>
          <w:rFonts w:ascii="Arial"/>
          <w:spacing w:val="34"/>
        </w:rPr>
        <w:t xml:space="preserve"> </w:t>
      </w:r>
      <w:r>
        <w:rPr>
          <w:rFonts w:ascii="Arial"/>
          <w:spacing w:val="1"/>
        </w:rPr>
        <w:t>by</w:t>
      </w:r>
      <w:r>
        <w:rPr>
          <w:rFonts w:ascii="Arial"/>
          <w:spacing w:val="32"/>
        </w:rPr>
        <w:t xml:space="preserve"> </w:t>
      </w:r>
      <w:r>
        <w:rPr>
          <w:rFonts w:ascii="Arial"/>
        </w:rPr>
        <w:t>the</w:t>
      </w:r>
      <w:r>
        <w:rPr>
          <w:rFonts w:ascii="Arial"/>
          <w:spacing w:val="34"/>
        </w:rPr>
        <w:t xml:space="preserve"> </w:t>
      </w:r>
      <w:r>
        <w:rPr>
          <w:rFonts w:ascii="Arial"/>
          <w:spacing w:val="-2"/>
        </w:rPr>
        <w:t>Supplier</w:t>
      </w:r>
      <w:r>
        <w:rPr>
          <w:rFonts w:ascii="Arial"/>
          <w:spacing w:val="38"/>
        </w:rPr>
        <w:t xml:space="preserve"> </w:t>
      </w:r>
      <w:r>
        <w:rPr>
          <w:rFonts w:ascii="Arial"/>
          <w:spacing w:val="-1"/>
        </w:rPr>
        <w:t>in</w:t>
      </w:r>
      <w:r>
        <w:rPr>
          <w:rFonts w:ascii="Arial"/>
          <w:spacing w:val="37"/>
        </w:rPr>
        <w:t xml:space="preserve"> </w:t>
      </w:r>
      <w:r>
        <w:rPr>
          <w:rFonts w:ascii="Arial"/>
          <w:spacing w:val="-1"/>
        </w:rPr>
        <w:t>accordance</w:t>
      </w:r>
      <w:r>
        <w:rPr>
          <w:rFonts w:ascii="Arial"/>
          <w:spacing w:val="34"/>
        </w:rPr>
        <w:t xml:space="preserve"> </w:t>
      </w:r>
      <w:r>
        <w:rPr>
          <w:rFonts w:ascii="Arial"/>
          <w:spacing w:val="-2"/>
        </w:rPr>
        <w:t>with</w:t>
      </w:r>
      <w:r>
        <w:rPr>
          <w:rFonts w:ascii="Arial"/>
          <w:spacing w:val="34"/>
        </w:rPr>
        <w:t xml:space="preserve"> </w:t>
      </w:r>
      <w:r>
        <w:rPr>
          <w:rFonts w:ascii="Arial"/>
        </w:rPr>
        <w:t>the</w:t>
      </w:r>
      <w:r>
        <w:rPr>
          <w:rFonts w:ascii="Arial"/>
          <w:spacing w:val="34"/>
        </w:rPr>
        <w:t xml:space="preserve"> </w:t>
      </w:r>
      <w:r>
        <w:rPr>
          <w:rFonts w:ascii="Arial"/>
          <w:spacing w:val="-1"/>
        </w:rPr>
        <w:t>Test</w:t>
      </w:r>
      <w:r>
        <w:rPr>
          <w:rFonts w:ascii="Arial"/>
          <w:spacing w:val="36"/>
        </w:rPr>
        <w:t xml:space="preserve"> </w:t>
      </w:r>
      <w:r>
        <w:rPr>
          <w:rFonts w:ascii="Arial"/>
          <w:spacing w:val="-2"/>
        </w:rPr>
        <w:t>relevant</w:t>
      </w:r>
      <w:r>
        <w:rPr>
          <w:rFonts w:ascii="Arial"/>
          <w:spacing w:val="35"/>
        </w:rPr>
        <w:t xml:space="preserve"> </w:t>
      </w:r>
      <w:r>
        <w:rPr>
          <w:rFonts w:ascii="Arial"/>
        </w:rPr>
        <w:t>to</w:t>
      </w:r>
      <w:r>
        <w:rPr>
          <w:rFonts w:ascii="Arial"/>
          <w:spacing w:val="61"/>
        </w:rPr>
        <w:t xml:space="preserve"> </w:t>
      </w:r>
      <w:r>
        <w:rPr>
          <w:rFonts w:ascii="Arial"/>
          <w:spacing w:val="-1"/>
        </w:rPr>
        <w:t>those</w:t>
      </w:r>
      <w:r>
        <w:rPr>
          <w:rFonts w:ascii="Arial"/>
          <w:spacing w:val="1"/>
        </w:rPr>
        <w:t xml:space="preserve"> </w:t>
      </w:r>
      <w:r>
        <w:rPr>
          <w:rFonts w:ascii="Arial"/>
          <w:spacing w:val="-1"/>
        </w:rPr>
        <w:t>Milestone(s).]</w:t>
      </w:r>
    </w:p>
    <w:p w:rsidR="008918FA" w:rsidRDefault="008918FA" w:rsidP="008918FA">
      <w:pPr>
        <w:spacing w:before="11"/>
        <w:rPr>
          <w:rFonts w:ascii="Arial" w:eastAsia="Arial" w:hAnsi="Arial" w:cs="Arial"/>
          <w:sz w:val="20"/>
          <w:szCs w:val="20"/>
        </w:rPr>
      </w:pPr>
    </w:p>
    <w:p w:rsidR="008918FA" w:rsidRDefault="008918FA" w:rsidP="008918FA">
      <w:pPr>
        <w:pStyle w:val="BodyText"/>
        <w:spacing w:before="0"/>
        <w:ind w:left="326" w:firstLine="0"/>
        <w:jc w:val="both"/>
      </w:pPr>
      <w:r>
        <w:rPr>
          <w:spacing w:val="-1"/>
        </w:rPr>
        <w:t>Yours</w:t>
      </w:r>
      <w:r>
        <w:rPr>
          <w:spacing w:val="-2"/>
        </w:rPr>
        <w:t xml:space="preserve"> </w:t>
      </w:r>
      <w:r>
        <w:rPr>
          <w:spacing w:val="-1"/>
        </w:rPr>
        <w:t>faithfully</w:t>
      </w:r>
    </w:p>
    <w:p w:rsidR="008918FA" w:rsidRDefault="008918FA" w:rsidP="008918FA">
      <w:pPr>
        <w:spacing w:before="11"/>
        <w:rPr>
          <w:rFonts w:ascii="Arial" w:eastAsia="Arial" w:hAnsi="Arial" w:cs="Arial"/>
          <w:sz w:val="20"/>
          <w:szCs w:val="20"/>
        </w:rPr>
      </w:pPr>
    </w:p>
    <w:p w:rsidR="008918FA" w:rsidRDefault="008918FA" w:rsidP="008918FA">
      <w:pPr>
        <w:spacing w:line="200" w:lineRule="atLeast"/>
        <w:ind w:left="3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3977FF27" wp14:editId="4B845C20">
                <wp:extent cx="830580" cy="161925"/>
                <wp:effectExtent l="0" t="0" r="0" b="0"/>
                <wp:docPr id="2944" name="Text 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2"/>
                              <w:rPr>
                                <w:rFonts w:ascii="Arial" w:eastAsia="Arial" w:hAnsi="Arial" w:cs="Arial"/>
                              </w:rPr>
                            </w:pPr>
                            <w:r>
                              <w:rPr>
                                <w:rFonts w:ascii="Arial"/>
                                <w:spacing w:val="-1"/>
                              </w:rPr>
                              <w:t>[insert</w:t>
                            </w:r>
                            <w:r>
                              <w:rPr>
                                <w:rFonts w:ascii="Arial"/>
                              </w:rPr>
                              <w:t xml:space="preserve"> </w:t>
                            </w:r>
                            <w:r>
                              <w:rPr>
                                <w:rFonts w:ascii="Arial"/>
                                <w:spacing w:val="-2"/>
                              </w:rPr>
                              <w:t>Name]</w:t>
                            </w:r>
                          </w:p>
                        </w:txbxContent>
                      </wps:txbx>
                      <wps:bodyPr rot="0" vert="horz" wrap="square" lIns="0" tIns="0" rIns="0" bIns="0" anchor="t" anchorCtr="0" upright="1">
                        <a:noAutofit/>
                      </wps:bodyPr>
                    </wps:wsp>
                  </a:graphicData>
                </a:graphic>
              </wp:inline>
            </w:drawing>
          </mc:Choice>
          <mc:Fallback>
            <w:pict>
              <v:shape w14:anchorId="3977FF27" id="Text Box 2936" o:spid="_x0000_s1273" type="#_x0000_t202" style="width:65.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" fillcolor="yellow" stroked="f">
                <v:textbox inset="0,0,0,0">
                  <w:txbxContent>
                    <w:p w:rsidR="005D2B81" w:rsidRDefault="005D2B81" w:rsidP="008918FA">
                      <w:pPr>
                        <w:spacing w:line="251" w:lineRule="exact"/>
                        <w:ind w:right="-2"/>
                        <w:rPr>
                          <w:rFonts w:ascii="Arial" w:eastAsia="Arial" w:hAnsi="Arial" w:cs="Arial"/>
                        </w:rPr>
                      </w:pPr>
                      <w:r>
                        <w:rPr>
                          <w:rFonts w:ascii="Arial"/>
                          <w:spacing w:val="-1"/>
                        </w:rPr>
                        <w:t>[insert</w:t>
                      </w:r>
                      <w:r>
                        <w:rPr>
                          <w:rFonts w:ascii="Arial"/>
                        </w:rPr>
                        <w:t xml:space="preserve"> </w:t>
                      </w:r>
                      <w:r>
                        <w:rPr>
                          <w:rFonts w:ascii="Arial"/>
                          <w:spacing w:val="-2"/>
                        </w:rPr>
                        <w:t>Name]</w:t>
                      </w:r>
                    </w:p>
                  </w:txbxContent>
                </v:textbox>
                <w10:anchorlock/>
              </v:shape>
            </w:pict>
          </mc:Fallback>
        </mc:AlternateContent>
      </w:r>
    </w:p>
    <w:p w:rsidR="008918FA" w:rsidRDefault="008918FA" w:rsidP="008918FA">
      <w:pPr>
        <w:spacing w:before="10"/>
        <w:rPr>
          <w:rFonts w:ascii="Arial" w:eastAsia="Arial" w:hAnsi="Arial" w:cs="Arial"/>
          <w:sz w:val="20"/>
          <w:szCs w:val="20"/>
        </w:rPr>
      </w:pPr>
    </w:p>
    <w:p w:rsidR="008918FA" w:rsidRDefault="008918FA" w:rsidP="008918FA">
      <w:pPr>
        <w:spacing w:line="200" w:lineRule="atLeast"/>
        <w:ind w:left="3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2FCF131D" wp14:editId="361D110F">
                <wp:extent cx="955675" cy="160020"/>
                <wp:effectExtent l="0" t="0" r="0" b="1905"/>
                <wp:docPr id="2943" name="Text Box 2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1"/>
                              <w:rPr>
                                <w:rFonts w:ascii="Arial" w:eastAsia="Arial" w:hAnsi="Arial" w:cs="Arial"/>
                              </w:rPr>
                            </w:pPr>
                            <w:r>
                              <w:rPr>
                                <w:rFonts w:ascii="Arial"/>
                                <w:spacing w:val="-1"/>
                              </w:rPr>
                              <w:t>[insert</w:t>
                            </w:r>
                            <w:r>
                              <w:rPr>
                                <w:rFonts w:ascii="Arial"/>
                              </w:rPr>
                              <w:t xml:space="preserve"> </w:t>
                            </w:r>
                            <w:r>
                              <w:rPr>
                                <w:rFonts w:ascii="Arial"/>
                                <w:spacing w:val="-1"/>
                              </w:rPr>
                              <w:t>Position]</w:t>
                            </w:r>
                          </w:p>
                        </w:txbxContent>
                      </wps:txbx>
                      <wps:bodyPr rot="0" vert="horz" wrap="square" lIns="0" tIns="0" rIns="0" bIns="0" anchor="t" anchorCtr="0" upright="1">
                        <a:noAutofit/>
                      </wps:bodyPr>
                    </wps:wsp>
                  </a:graphicData>
                </a:graphic>
              </wp:inline>
            </w:drawing>
          </mc:Choice>
          <mc:Fallback>
            <w:pict>
              <v:shape w14:anchorId="2FCF131D" id="Text Box 2935" o:spid="_x0000_s1274" type="#_x0000_t202" style="width:75.2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" fillcolor="yellow" stroked="f">
                <v:textbox inset="0,0,0,0">
                  <w:txbxContent>
                    <w:p w:rsidR="005D2B81" w:rsidRDefault="005D2B81" w:rsidP="008918FA">
                      <w:pPr>
                        <w:spacing w:line="251" w:lineRule="exact"/>
                        <w:ind w:right="-1"/>
                        <w:rPr>
                          <w:rFonts w:ascii="Arial" w:eastAsia="Arial" w:hAnsi="Arial" w:cs="Arial"/>
                        </w:rPr>
                      </w:pPr>
                      <w:r>
                        <w:rPr>
                          <w:rFonts w:ascii="Arial"/>
                          <w:spacing w:val="-1"/>
                        </w:rPr>
                        <w:t>[insert</w:t>
                      </w:r>
                      <w:r>
                        <w:rPr>
                          <w:rFonts w:ascii="Arial"/>
                        </w:rPr>
                        <w:t xml:space="preserve"> </w:t>
                      </w:r>
                      <w:r>
                        <w:rPr>
                          <w:rFonts w:ascii="Arial"/>
                          <w:spacing w:val="-1"/>
                        </w:rPr>
                        <w:t>Position]</w:t>
                      </w:r>
                    </w:p>
                  </w:txbxContent>
                </v:textbox>
                <w10:anchorlock/>
              </v:shape>
            </w:pict>
          </mc:Fallback>
        </mc:AlternateContent>
      </w:r>
    </w:p>
    <w:p w:rsidR="008918FA" w:rsidRDefault="008918FA" w:rsidP="008918FA">
      <w:pPr>
        <w:spacing w:before="4"/>
        <w:rPr>
          <w:rFonts w:ascii="Arial" w:eastAsia="Arial" w:hAnsi="Arial" w:cs="Arial"/>
          <w:sz w:val="14"/>
          <w:szCs w:val="14"/>
        </w:rPr>
      </w:pPr>
    </w:p>
    <w:p w:rsidR="008918FA" w:rsidRDefault="008918FA" w:rsidP="008918FA">
      <w:pPr>
        <w:pStyle w:val="BodyText"/>
        <w:spacing w:before="72"/>
        <w:ind w:left="326" w:firstLine="0"/>
      </w:pPr>
      <w:r>
        <w:rPr>
          <w:noProof/>
          <w:lang w:eastAsia="en-GB"/>
        </w:rPr>
        <mc:AlternateContent>
          <mc:Choice Requires="wps">
            <w:drawing>
              <wp:anchor distT="0" distB="0" distL="114300" distR="114300" simplePos="0" relativeHeight="251660288" behindDoc="0" locked="0" layoutInCell="1" allowOverlap="1" wp14:anchorId="142437E8" wp14:editId="4C816F63">
                <wp:simplePos x="0" y="0"/>
                <wp:positionH relativeFrom="page">
                  <wp:posOffset>2454910</wp:posOffset>
                </wp:positionH>
                <wp:positionV relativeFrom="paragraph">
                  <wp:posOffset>46990</wp:posOffset>
                </wp:positionV>
                <wp:extent cx="1607820" cy="160020"/>
                <wp:effectExtent l="0" t="0" r="4445" b="2540"/>
                <wp:wrapNone/>
                <wp:docPr id="2942"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pStyle w:val="BodyText"/>
                              <w:spacing w:before="0" w:line="251" w:lineRule="exact"/>
                              <w:ind w:left="0" w:firstLine="0"/>
                            </w:pPr>
                            <w:r>
                              <w:rPr>
                                <w:spacing w:val="-1"/>
                              </w:rPr>
                              <w:t>[insert</w:t>
                            </w:r>
                            <w:r>
                              <w:rPr>
                                <w:spacing w:val="2"/>
                              </w:rPr>
                              <w:t xml:space="preserve"> </w:t>
                            </w:r>
                            <w:r>
                              <w:rPr>
                                <w:spacing w:val="-1"/>
                              </w:rPr>
                              <w:t>name</w:t>
                            </w:r>
                            <w:r>
                              <w:t xml:space="preserve"> </w:t>
                            </w:r>
                            <w:r>
                              <w:rPr>
                                <w:spacing w:val="-2"/>
                              </w:rPr>
                              <w:t>of</w:t>
                            </w:r>
                            <w:r>
                              <w:rPr>
                                <w:spacing w:val="2"/>
                              </w:rPr>
                              <w:t xml:space="preserve"> </w:t>
                            </w:r>
                            <w:r>
                              <w:rPr>
                                <w:spacing w:val="-2"/>
                              </w:rPr>
                              <w:t>Customer]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437E8" id="Text Box 2934" o:spid="_x0000_s1275" type="#_x0000_t202" style="position:absolute;left:0;text-align:left;margin-left:193.3pt;margin-top:3.7pt;width:126.6pt;height:1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" fillcolor="yellow" stroked="f">
                <v:textbox inset="0,0,0,0">
                  <w:txbxContent>
                    <w:p w:rsidR="005D2B81" w:rsidRDefault="005D2B81" w:rsidP="008918FA">
                      <w:pPr>
                        <w:pStyle w:val="BodyText"/>
                        <w:spacing w:before="0" w:line="251" w:lineRule="exact"/>
                        <w:ind w:left="0" w:firstLine="0"/>
                      </w:pPr>
                      <w:r>
                        <w:rPr>
                          <w:spacing w:val="-1"/>
                        </w:rPr>
                        <w:t>[insert</w:t>
                      </w:r>
                      <w:r>
                        <w:rPr>
                          <w:spacing w:val="2"/>
                        </w:rPr>
                        <w:t xml:space="preserve"> </w:t>
                      </w:r>
                      <w:r>
                        <w:rPr>
                          <w:spacing w:val="-1"/>
                        </w:rPr>
                        <w:t>name</w:t>
                      </w:r>
                      <w:r>
                        <w:t xml:space="preserve"> </w:t>
                      </w:r>
                      <w:r>
                        <w:rPr>
                          <w:spacing w:val="-2"/>
                        </w:rPr>
                        <w:t>of</w:t>
                      </w:r>
                      <w:r>
                        <w:rPr>
                          <w:spacing w:val="2"/>
                        </w:rPr>
                        <w:t xml:space="preserve"> </w:t>
                      </w:r>
                      <w:r>
                        <w:rPr>
                          <w:spacing w:val="-2"/>
                        </w:rPr>
                        <w:t>Customer]</w:t>
                      </w:r>
                    </w:p>
                  </w:txbxContent>
                </v:textbox>
                <w10:wrap anchorx="page"/>
              </v:shape>
            </w:pict>
          </mc:Fallback>
        </mc:AlternateContent>
      </w:r>
      <w:r>
        <w:rPr>
          <w:spacing w:val="-1"/>
        </w:rPr>
        <w:t>acting</w:t>
      </w:r>
      <w:r>
        <w:t xml:space="preserve"> </w:t>
      </w:r>
      <w:r>
        <w:rPr>
          <w:spacing w:val="-1"/>
        </w:rPr>
        <w:t>on</w:t>
      </w:r>
      <w:r>
        <w:t xml:space="preserve"> </w:t>
      </w:r>
      <w:r>
        <w:rPr>
          <w:spacing w:val="-2"/>
        </w:rPr>
        <w:t>behalf</w:t>
      </w:r>
      <w:r>
        <w:rPr>
          <w:spacing w:val="4"/>
        </w:rPr>
        <w:t xml:space="preserve"> </w:t>
      </w:r>
      <w:r>
        <w:rPr>
          <w:spacing w:val="-2"/>
        </w:rPr>
        <w:t>of</w:t>
      </w:r>
    </w:p>
    <w:p w:rsidR="008918FA" w:rsidRDefault="008918FA" w:rsidP="008918FA">
      <w:pPr>
        <w:sectPr w:rsidR="008918FA">
          <w:pgSz w:w="11910" w:h="16840"/>
          <w:pgMar w:top="1480" w:right="1300" w:bottom="1160" w:left="1680" w:header="0" w:footer="967" w:gutter="0"/>
          <w:cols w:space="720"/>
        </w:sect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4"/>
        <w:rPr>
          <w:rFonts w:ascii="Arial" w:eastAsia="Arial" w:hAnsi="Arial" w:cs="Arial"/>
          <w:sz w:val="25"/>
          <w:szCs w:val="25"/>
        </w:rPr>
      </w:pPr>
    </w:p>
    <w:p w:rsidR="008918FA" w:rsidRDefault="008918FA" w:rsidP="008918FA">
      <w:pPr>
        <w:pStyle w:val="BodyText"/>
        <w:spacing w:before="72"/>
        <w:ind w:left="100" w:right="116" w:hanging="1"/>
        <w:rPr>
          <w:rFonts w:ascii="Times New Roman" w:eastAsia="Times New Roman" w:hAnsi="Times New Roman" w:cs="Times New Roman"/>
        </w:rPr>
      </w:pPr>
      <w:bookmarkStart w:id="380" w:name="_bookmark309"/>
      <w:bookmarkEnd w:id="380"/>
      <w:r>
        <w:rPr>
          <w:rFonts w:ascii="Times New Roman"/>
          <w:spacing w:val="1"/>
        </w:rPr>
        <w:t>CALL</w:t>
      </w:r>
      <w:r>
        <w:rPr>
          <w:rFonts w:ascii="Times New Roman"/>
          <w:spacing w:val="11"/>
        </w:rPr>
        <w:t xml:space="preserve"> </w:t>
      </w:r>
      <w:r>
        <w:rPr>
          <w:rFonts w:ascii="Times New Roman"/>
          <w:spacing w:val="8"/>
        </w:rPr>
        <w:t>OF</w:t>
      </w:r>
      <w:bookmarkStart w:id="381" w:name="CALL_OFF_SCHEDULE_6:_SERVICE_LEVELS,_SER"/>
      <w:bookmarkEnd w:id="381"/>
      <w:r>
        <w:rPr>
          <w:rFonts w:ascii="Times New Roman"/>
          <w:spacing w:val="8"/>
        </w:rPr>
        <w:t>F</w:t>
      </w:r>
      <w:r>
        <w:rPr>
          <w:rFonts w:ascii="Times New Roman"/>
          <w:spacing w:val="23"/>
        </w:rPr>
        <w:t xml:space="preserve"> </w:t>
      </w:r>
      <w:r>
        <w:rPr>
          <w:rFonts w:ascii="Times New Roman"/>
          <w:spacing w:val="5"/>
        </w:rPr>
        <w:t>SCHEDULE</w:t>
      </w:r>
      <w:r>
        <w:rPr>
          <w:rFonts w:ascii="Times New Roman"/>
          <w:spacing w:val="26"/>
        </w:rPr>
        <w:t xml:space="preserve"> </w:t>
      </w:r>
      <w:r>
        <w:rPr>
          <w:rFonts w:ascii="Times New Roman"/>
          <w:spacing w:val="5"/>
        </w:rPr>
        <w:t>6:</w:t>
      </w:r>
      <w:r>
        <w:rPr>
          <w:rFonts w:ascii="Times New Roman"/>
          <w:spacing w:val="25"/>
        </w:rPr>
        <w:t xml:space="preserve"> </w:t>
      </w:r>
      <w:r>
        <w:rPr>
          <w:rFonts w:ascii="Times New Roman"/>
          <w:spacing w:val="4"/>
        </w:rPr>
        <w:t>SERVICE</w:t>
      </w:r>
      <w:r>
        <w:rPr>
          <w:rFonts w:ascii="Times New Roman"/>
          <w:spacing w:val="23"/>
        </w:rPr>
        <w:t xml:space="preserve"> </w:t>
      </w:r>
      <w:r>
        <w:rPr>
          <w:rFonts w:ascii="Times New Roman"/>
          <w:spacing w:val="1"/>
        </w:rPr>
        <w:t>LEVELS</w:t>
      </w:r>
      <w:r>
        <w:rPr>
          <w:rFonts w:ascii="Times New Roman"/>
          <w:spacing w:val="-32"/>
        </w:rPr>
        <w:t xml:space="preserve"> </w:t>
      </w:r>
      <w:r>
        <w:rPr>
          <w:rFonts w:ascii="Times New Roman"/>
        </w:rPr>
        <w:t>,</w:t>
      </w:r>
      <w:r>
        <w:rPr>
          <w:rFonts w:ascii="Times New Roman"/>
          <w:spacing w:val="19"/>
        </w:rPr>
        <w:t xml:space="preserve"> </w:t>
      </w:r>
      <w:r>
        <w:rPr>
          <w:rFonts w:ascii="Times New Roman"/>
          <w:spacing w:val="4"/>
        </w:rPr>
        <w:t>SERVICE</w:t>
      </w:r>
      <w:r>
        <w:rPr>
          <w:rFonts w:ascii="Times New Roman"/>
          <w:spacing w:val="23"/>
        </w:rPr>
        <w:t xml:space="preserve"> </w:t>
      </w:r>
      <w:r>
        <w:rPr>
          <w:rFonts w:ascii="Times New Roman"/>
          <w:spacing w:val="2"/>
        </w:rPr>
        <w:t>CREDITS</w:t>
      </w:r>
      <w:r>
        <w:rPr>
          <w:rFonts w:ascii="Times New Roman"/>
          <w:spacing w:val="40"/>
        </w:rPr>
        <w:t xml:space="preserve"> </w:t>
      </w:r>
      <w:r>
        <w:rPr>
          <w:rFonts w:ascii="Times New Roman"/>
          <w:spacing w:val="-3"/>
        </w:rPr>
        <w:t>AND</w:t>
      </w:r>
      <w:r>
        <w:rPr>
          <w:rFonts w:ascii="Times New Roman"/>
          <w:spacing w:val="13"/>
        </w:rPr>
        <w:t xml:space="preserve"> </w:t>
      </w:r>
      <w:r>
        <w:rPr>
          <w:rFonts w:ascii="Times New Roman"/>
          <w:spacing w:val="7"/>
        </w:rPr>
        <w:t>PERFORMANCE</w:t>
      </w:r>
      <w:r>
        <w:rPr>
          <w:rFonts w:ascii="Times New Roman"/>
          <w:spacing w:val="51"/>
        </w:rPr>
        <w:t xml:space="preserve"> </w:t>
      </w:r>
      <w:r>
        <w:rPr>
          <w:rFonts w:ascii="Times New Roman"/>
          <w:spacing w:val="-1"/>
        </w:rPr>
        <w:t>MONITORING</w:t>
      </w:r>
    </w:p>
    <w:p w:rsidR="008918FA" w:rsidRDefault="008918FA" w:rsidP="008918FA">
      <w:pPr>
        <w:spacing w:before="11"/>
        <w:rPr>
          <w:rFonts w:ascii="Times New Roman" w:eastAsia="Times New Roman" w:hAnsi="Times New Roman" w:cs="Times New Roman"/>
          <w:sz w:val="20"/>
          <w:szCs w:val="20"/>
        </w:rPr>
      </w:pPr>
    </w:p>
    <w:p w:rsidR="008918FA" w:rsidRDefault="008918FA" w:rsidP="008918FA">
      <w:pPr>
        <w:pStyle w:val="BodyText"/>
        <w:numPr>
          <w:ilvl w:val="0"/>
          <w:numId w:val="25"/>
        </w:numPr>
        <w:tabs>
          <w:tab w:val="left" w:pos="667"/>
        </w:tabs>
        <w:spacing w:before="0"/>
        <w:jc w:val="left"/>
        <w:rPr>
          <w:rFonts w:ascii="Times New Roman" w:eastAsia="Times New Roman" w:hAnsi="Times New Roman" w:cs="Times New Roman"/>
        </w:rPr>
      </w:pPr>
      <w:r>
        <w:rPr>
          <w:rFonts w:ascii="Times New Roman"/>
          <w:spacing w:val="23"/>
        </w:rPr>
        <w:t>S</w:t>
      </w:r>
      <w:r>
        <w:rPr>
          <w:rFonts w:ascii="Times New Roman"/>
          <w:spacing w:val="11"/>
        </w:rPr>
        <w:t>C</w:t>
      </w:r>
      <w:r>
        <w:rPr>
          <w:rFonts w:ascii="Times New Roman"/>
          <w:spacing w:val="13"/>
        </w:rPr>
        <w:t>O</w:t>
      </w:r>
      <w:r>
        <w:rPr>
          <w:rFonts w:ascii="Times New Roman"/>
          <w:spacing w:val="23"/>
        </w:rPr>
        <w:t>P</w:t>
      </w:r>
      <w:r>
        <w:rPr>
          <w:rFonts w:ascii="Times New Roman"/>
        </w:rPr>
        <w:t>E</w:t>
      </w:r>
      <w:r>
        <w:rPr>
          <w:rFonts w:ascii="Times New Roman"/>
          <w:spacing w:val="-32"/>
        </w:rPr>
        <w:t xml:space="preserve"> </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5"/>
        </w:numPr>
        <w:tabs>
          <w:tab w:val="left" w:pos="1029"/>
        </w:tabs>
        <w:spacing w:before="0"/>
        <w:ind w:right="112" w:hanging="359"/>
        <w:jc w:val="both"/>
      </w:pPr>
      <w:r>
        <w:rPr>
          <w:spacing w:val="-1"/>
        </w:rPr>
        <w:t>This</w:t>
      </w:r>
      <w:r>
        <w:rPr>
          <w:spacing w:val="50"/>
        </w:rPr>
        <w:t xml:space="preserve"> </w:t>
      </w:r>
      <w:r>
        <w:rPr>
          <w:spacing w:val="-2"/>
        </w:rPr>
        <w:t>Call</w:t>
      </w:r>
      <w:r>
        <w:rPr>
          <w:spacing w:val="49"/>
        </w:rPr>
        <w:t xml:space="preserve"> </w:t>
      </w:r>
      <w:r>
        <w:rPr>
          <w:spacing w:val="-1"/>
        </w:rPr>
        <w:t>Off</w:t>
      </w:r>
      <w:r>
        <w:rPr>
          <w:spacing w:val="51"/>
        </w:rPr>
        <w:t xml:space="preserve"> </w:t>
      </w:r>
      <w:r>
        <w:rPr>
          <w:spacing w:val="-1"/>
        </w:rPr>
        <w:t>Schedule</w:t>
      </w:r>
      <w:r>
        <w:rPr>
          <w:spacing w:val="49"/>
        </w:rPr>
        <w:t xml:space="preserve"> </w:t>
      </w:r>
      <w:r>
        <w:rPr>
          <w:spacing w:val="-1"/>
        </w:rPr>
        <w:t>(Service</w:t>
      </w:r>
      <w:r>
        <w:rPr>
          <w:spacing w:val="50"/>
        </w:rPr>
        <w:t xml:space="preserve"> </w:t>
      </w:r>
      <w:r>
        <w:rPr>
          <w:spacing w:val="-2"/>
        </w:rPr>
        <w:t>Levels,</w:t>
      </w:r>
      <w:r>
        <w:rPr>
          <w:spacing w:val="51"/>
        </w:rPr>
        <w:t xml:space="preserve"> </w:t>
      </w:r>
      <w:r>
        <w:rPr>
          <w:spacing w:val="-1"/>
        </w:rPr>
        <w:t>Service</w:t>
      </w:r>
      <w:r>
        <w:rPr>
          <w:spacing w:val="51"/>
        </w:rPr>
        <w:t xml:space="preserve"> </w:t>
      </w:r>
      <w:r>
        <w:rPr>
          <w:spacing w:val="-1"/>
        </w:rPr>
        <w:t>Credits</w:t>
      </w:r>
      <w:r>
        <w:rPr>
          <w:spacing w:val="50"/>
        </w:rPr>
        <w:t xml:space="preserve"> </w:t>
      </w:r>
      <w:r>
        <w:rPr>
          <w:spacing w:val="-1"/>
        </w:rPr>
        <w:t>and</w:t>
      </w:r>
      <w:r>
        <w:rPr>
          <w:spacing w:val="49"/>
        </w:rPr>
        <w:t xml:space="preserve"> </w:t>
      </w:r>
      <w:r>
        <w:rPr>
          <w:spacing w:val="-1"/>
        </w:rPr>
        <w:t>Performance</w:t>
      </w:r>
      <w:r>
        <w:rPr>
          <w:spacing w:val="43"/>
        </w:rPr>
        <w:t xml:space="preserve"> </w:t>
      </w:r>
      <w:r>
        <w:rPr>
          <w:spacing w:val="-1"/>
        </w:rPr>
        <w:t>Monitoring)</w:t>
      </w:r>
      <w:r>
        <w:rPr>
          <w:spacing w:val="26"/>
        </w:rPr>
        <w:t xml:space="preserve"> </w:t>
      </w:r>
      <w:r>
        <w:rPr>
          <w:spacing w:val="-1"/>
        </w:rPr>
        <w:t>sets</w:t>
      </w:r>
      <w:r>
        <w:rPr>
          <w:spacing w:val="27"/>
        </w:rPr>
        <w:t xml:space="preserve"> </w:t>
      </w:r>
      <w:r>
        <w:rPr>
          <w:spacing w:val="-2"/>
        </w:rPr>
        <w:t>out</w:t>
      </w:r>
      <w:r>
        <w:rPr>
          <w:spacing w:val="26"/>
        </w:rPr>
        <w:t xml:space="preserve"> </w:t>
      </w:r>
      <w:r>
        <w:t>the</w:t>
      </w:r>
      <w:r>
        <w:rPr>
          <w:spacing w:val="24"/>
        </w:rPr>
        <w:t xml:space="preserve"> </w:t>
      </w:r>
      <w:r>
        <w:rPr>
          <w:spacing w:val="-2"/>
        </w:rPr>
        <w:t>Service</w:t>
      </w:r>
      <w:r>
        <w:rPr>
          <w:spacing w:val="27"/>
        </w:rPr>
        <w:t xml:space="preserve"> </w:t>
      </w:r>
      <w:r>
        <w:rPr>
          <w:spacing w:val="-2"/>
        </w:rPr>
        <w:t>Levels</w:t>
      </w:r>
      <w:r>
        <w:rPr>
          <w:spacing w:val="30"/>
        </w:rPr>
        <w:t xml:space="preserve"> </w:t>
      </w:r>
      <w:r>
        <w:rPr>
          <w:spacing w:val="-2"/>
        </w:rPr>
        <w:t>which</w:t>
      </w:r>
      <w:r>
        <w:rPr>
          <w:spacing w:val="27"/>
        </w:rPr>
        <w:t xml:space="preserve"> </w:t>
      </w:r>
      <w:r>
        <w:t>the</w:t>
      </w:r>
      <w:r>
        <w:rPr>
          <w:spacing w:val="27"/>
        </w:rPr>
        <w:t xml:space="preserve"> </w:t>
      </w:r>
      <w:r>
        <w:rPr>
          <w:spacing w:val="-2"/>
        </w:rPr>
        <w:t>Supplier</w:t>
      </w:r>
      <w:r>
        <w:rPr>
          <w:spacing w:val="28"/>
        </w:rPr>
        <w:t xml:space="preserve"> </w:t>
      </w:r>
      <w:r>
        <w:rPr>
          <w:spacing w:val="-1"/>
        </w:rPr>
        <w:t>is</w:t>
      </w:r>
      <w:r>
        <w:rPr>
          <w:spacing w:val="27"/>
        </w:rPr>
        <w:t xml:space="preserve"> </w:t>
      </w:r>
      <w:r>
        <w:rPr>
          <w:spacing w:val="-1"/>
        </w:rPr>
        <w:t>required</w:t>
      </w:r>
      <w:r>
        <w:rPr>
          <w:spacing w:val="24"/>
        </w:rPr>
        <w:t xml:space="preserve"> </w:t>
      </w:r>
      <w:r>
        <w:rPr>
          <w:spacing w:val="-1"/>
        </w:rPr>
        <w:t>to</w:t>
      </w:r>
      <w:r>
        <w:rPr>
          <w:spacing w:val="27"/>
        </w:rPr>
        <w:t xml:space="preserve"> </w:t>
      </w:r>
      <w:r>
        <w:rPr>
          <w:spacing w:val="-2"/>
        </w:rPr>
        <w:t>achieve</w:t>
      </w:r>
      <w:r>
        <w:rPr>
          <w:spacing w:val="73"/>
        </w:rPr>
        <w:t xml:space="preserve"> </w:t>
      </w:r>
      <w:r>
        <w:rPr>
          <w:spacing w:val="-2"/>
        </w:rPr>
        <w:t>when</w:t>
      </w:r>
      <w:r>
        <w:rPr>
          <w:spacing w:val="5"/>
        </w:rPr>
        <w:t xml:space="preserve"> </w:t>
      </w:r>
      <w:r>
        <w:rPr>
          <w:spacing w:val="-1"/>
        </w:rPr>
        <w:t>providing</w:t>
      </w:r>
      <w:r>
        <w:rPr>
          <w:spacing w:val="7"/>
        </w:rPr>
        <w:t xml:space="preserve"> </w:t>
      </w:r>
      <w:r>
        <w:t>the</w:t>
      </w:r>
      <w:r>
        <w:rPr>
          <w:spacing w:val="5"/>
        </w:rPr>
        <w:t xml:space="preserve"> </w:t>
      </w:r>
      <w:r>
        <w:rPr>
          <w:spacing w:val="-1"/>
        </w:rPr>
        <w:t>Goods</w:t>
      </w:r>
      <w:r>
        <w:rPr>
          <w:spacing w:val="5"/>
        </w:rPr>
        <w:t xml:space="preserve"> </w:t>
      </w:r>
      <w:r>
        <w:rPr>
          <w:spacing w:val="-1"/>
        </w:rPr>
        <w:t>and/or</w:t>
      </w:r>
      <w:r>
        <w:rPr>
          <w:spacing w:val="7"/>
        </w:rPr>
        <w:t xml:space="preserve"> </w:t>
      </w:r>
      <w:r>
        <w:rPr>
          <w:spacing w:val="-2"/>
        </w:rPr>
        <w:t>Services,</w:t>
      </w:r>
      <w:r>
        <w:rPr>
          <w:spacing w:val="7"/>
        </w:rPr>
        <w:t xml:space="preserve"> </w:t>
      </w:r>
      <w:r>
        <w:t>the</w:t>
      </w:r>
      <w:r>
        <w:rPr>
          <w:spacing w:val="3"/>
        </w:rPr>
        <w:t xml:space="preserve"> </w:t>
      </w:r>
      <w:r>
        <w:rPr>
          <w:spacing w:val="-1"/>
        </w:rPr>
        <w:t>mechanism</w:t>
      </w:r>
      <w:r>
        <w:rPr>
          <w:spacing w:val="7"/>
        </w:rPr>
        <w:t xml:space="preserve"> </w:t>
      </w:r>
      <w:r>
        <w:rPr>
          <w:spacing w:val="-1"/>
        </w:rPr>
        <w:t>by</w:t>
      </w:r>
      <w:r>
        <w:rPr>
          <w:spacing w:val="3"/>
        </w:rPr>
        <w:t xml:space="preserve"> </w:t>
      </w:r>
      <w:r>
        <w:rPr>
          <w:spacing w:val="-2"/>
        </w:rPr>
        <w:t>which</w:t>
      </w:r>
      <w:r>
        <w:rPr>
          <w:spacing w:val="5"/>
        </w:rPr>
        <w:t xml:space="preserve"> </w:t>
      </w:r>
      <w:r>
        <w:rPr>
          <w:spacing w:val="-1"/>
        </w:rPr>
        <w:t>Service</w:t>
      </w:r>
      <w:r>
        <w:rPr>
          <w:spacing w:val="5"/>
        </w:rPr>
        <w:t xml:space="preserve"> </w:t>
      </w:r>
      <w:r>
        <w:rPr>
          <w:spacing w:val="-1"/>
        </w:rPr>
        <w:t>Level</w:t>
      </w:r>
      <w:r>
        <w:rPr>
          <w:spacing w:val="49"/>
        </w:rPr>
        <w:t xml:space="preserve"> </w:t>
      </w:r>
      <w:r>
        <w:rPr>
          <w:spacing w:val="-1"/>
        </w:rPr>
        <w:t>Failures</w:t>
      </w:r>
      <w:r>
        <w:rPr>
          <w:spacing w:val="34"/>
        </w:rPr>
        <w:t xml:space="preserve"> </w:t>
      </w:r>
      <w:r>
        <w:rPr>
          <w:spacing w:val="-1"/>
        </w:rPr>
        <w:t>and</w:t>
      </w:r>
      <w:r>
        <w:rPr>
          <w:spacing w:val="34"/>
        </w:rPr>
        <w:t xml:space="preserve"> </w:t>
      </w:r>
      <w:r>
        <w:rPr>
          <w:spacing w:val="-1"/>
        </w:rPr>
        <w:t>Critical</w:t>
      </w:r>
      <w:r>
        <w:rPr>
          <w:spacing w:val="33"/>
        </w:rPr>
        <w:t xml:space="preserve"> </w:t>
      </w:r>
      <w:r>
        <w:rPr>
          <w:spacing w:val="-2"/>
        </w:rPr>
        <w:t>Service</w:t>
      </w:r>
      <w:r>
        <w:rPr>
          <w:spacing w:val="34"/>
        </w:rPr>
        <w:t xml:space="preserve"> </w:t>
      </w:r>
      <w:r>
        <w:rPr>
          <w:spacing w:val="-1"/>
        </w:rPr>
        <w:t>Level</w:t>
      </w:r>
      <w:r>
        <w:rPr>
          <w:spacing w:val="33"/>
        </w:rPr>
        <w:t xml:space="preserve"> </w:t>
      </w:r>
      <w:r>
        <w:rPr>
          <w:spacing w:val="-1"/>
        </w:rPr>
        <w:t>Failures</w:t>
      </w:r>
      <w:r>
        <w:rPr>
          <w:spacing w:val="34"/>
        </w:rPr>
        <w:t xml:space="preserve"> </w:t>
      </w:r>
      <w:r>
        <w:rPr>
          <w:spacing w:val="-1"/>
        </w:rPr>
        <w:t>will</w:t>
      </w:r>
      <w:r>
        <w:rPr>
          <w:spacing w:val="34"/>
        </w:rPr>
        <w:t xml:space="preserve"> </w:t>
      </w:r>
      <w:r>
        <w:rPr>
          <w:spacing w:val="-1"/>
        </w:rPr>
        <w:t>be</w:t>
      </w:r>
      <w:r>
        <w:rPr>
          <w:spacing w:val="34"/>
        </w:rPr>
        <w:t xml:space="preserve"> </w:t>
      </w:r>
      <w:r>
        <w:rPr>
          <w:spacing w:val="-1"/>
        </w:rPr>
        <w:t>managed</w:t>
      </w:r>
      <w:r>
        <w:rPr>
          <w:spacing w:val="34"/>
        </w:rPr>
        <w:t xml:space="preserve"> </w:t>
      </w:r>
      <w:r>
        <w:rPr>
          <w:spacing w:val="-1"/>
        </w:rPr>
        <w:t>and</w:t>
      </w:r>
      <w:r>
        <w:rPr>
          <w:spacing w:val="34"/>
        </w:rPr>
        <w:t xml:space="preserve"> </w:t>
      </w:r>
      <w:r>
        <w:t>the</w:t>
      </w:r>
      <w:r>
        <w:rPr>
          <w:spacing w:val="31"/>
        </w:rPr>
        <w:t xml:space="preserve"> </w:t>
      </w:r>
      <w:r>
        <w:rPr>
          <w:spacing w:val="-1"/>
        </w:rPr>
        <w:t>method</w:t>
      </w:r>
      <w:r>
        <w:rPr>
          <w:spacing w:val="34"/>
        </w:rPr>
        <w:t xml:space="preserve"> </w:t>
      </w:r>
      <w:r>
        <w:rPr>
          <w:spacing w:val="-1"/>
        </w:rPr>
        <w:t>by</w:t>
      </w:r>
      <w:r>
        <w:rPr>
          <w:spacing w:val="44"/>
        </w:rPr>
        <w:t xml:space="preserve"> </w:t>
      </w:r>
      <w:r>
        <w:rPr>
          <w:spacing w:val="-1"/>
        </w:rPr>
        <w:t>which</w:t>
      </w:r>
      <w:r>
        <w:rPr>
          <w:spacing w:val="12"/>
        </w:rPr>
        <w:t xml:space="preserve"> </w:t>
      </w:r>
      <w:r>
        <w:t>the</w:t>
      </w:r>
      <w:r>
        <w:rPr>
          <w:spacing w:val="11"/>
        </w:rPr>
        <w:t xml:space="preserve"> </w:t>
      </w:r>
      <w:r>
        <w:rPr>
          <w:spacing w:val="-1"/>
        </w:rPr>
        <w:t>Supplier's</w:t>
      </w:r>
      <w:r>
        <w:rPr>
          <w:spacing w:val="9"/>
        </w:rPr>
        <w:t xml:space="preserve"> </w:t>
      </w:r>
      <w:r>
        <w:rPr>
          <w:spacing w:val="-1"/>
        </w:rPr>
        <w:t>performance</w:t>
      </w:r>
      <w:r>
        <w:rPr>
          <w:spacing w:val="9"/>
        </w:rPr>
        <w:t xml:space="preserve"> </w:t>
      </w:r>
      <w:r>
        <w:rPr>
          <w:spacing w:val="-1"/>
        </w:rPr>
        <w:t>in</w:t>
      </w:r>
      <w:r>
        <w:rPr>
          <w:spacing w:val="9"/>
        </w:rPr>
        <w:t xml:space="preserve"> </w:t>
      </w:r>
      <w:r>
        <w:t>the</w:t>
      </w:r>
      <w:r>
        <w:rPr>
          <w:spacing w:val="11"/>
        </w:rPr>
        <w:t xml:space="preserve"> </w:t>
      </w:r>
      <w:r>
        <w:rPr>
          <w:spacing w:val="-2"/>
        </w:rPr>
        <w:t>provision</w:t>
      </w:r>
      <w:r>
        <w:rPr>
          <w:spacing w:val="11"/>
        </w:rPr>
        <w:t xml:space="preserve"> </w:t>
      </w:r>
      <w:r>
        <w:rPr>
          <w:spacing w:val="-1"/>
        </w:rPr>
        <w:t>by</w:t>
      </w:r>
      <w:r>
        <w:rPr>
          <w:spacing w:val="9"/>
        </w:rPr>
        <w:t xml:space="preserve"> </w:t>
      </w:r>
      <w:r>
        <w:rPr>
          <w:spacing w:val="-1"/>
        </w:rPr>
        <w:t>it</w:t>
      </w:r>
      <w:r>
        <w:rPr>
          <w:spacing w:val="13"/>
        </w:rPr>
        <w:t xml:space="preserve"> </w:t>
      </w:r>
      <w:r>
        <w:rPr>
          <w:spacing w:val="-2"/>
        </w:rPr>
        <w:t>of</w:t>
      </w:r>
      <w:r>
        <w:rPr>
          <w:spacing w:val="13"/>
        </w:rPr>
        <w:t xml:space="preserve"> </w:t>
      </w:r>
      <w:r>
        <w:t>the</w:t>
      </w:r>
      <w:r>
        <w:rPr>
          <w:spacing w:val="11"/>
        </w:rPr>
        <w:t xml:space="preserve"> </w:t>
      </w:r>
      <w:r>
        <w:rPr>
          <w:spacing w:val="-1"/>
        </w:rPr>
        <w:t>Goods</w:t>
      </w:r>
      <w:r>
        <w:rPr>
          <w:spacing w:val="12"/>
        </w:rPr>
        <w:t xml:space="preserve"> </w:t>
      </w:r>
      <w:r>
        <w:rPr>
          <w:spacing w:val="-1"/>
        </w:rPr>
        <w:t>and/or</w:t>
      </w:r>
      <w:r>
        <w:rPr>
          <w:spacing w:val="29"/>
        </w:rPr>
        <w:t xml:space="preserve"> </w:t>
      </w:r>
      <w:r>
        <w:rPr>
          <w:spacing w:val="-1"/>
        </w:rPr>
        <w:t>Services</w:t>
      </w:r>
      <w:r>
        <w:rPr>
          <w:spacing w:val="1"/>
        </w:rPr>
        <w:t xml:space="preserve"> </w:t>
      </w:r>
      <w:r>
        <w:rPr>
          <w:spacing w:val="-2"/>
        </w:rPr>
        <w:t>will</w:t>
      </w:r>
      <w:r>
        <w:t xml:space="preserve"> </w:t>
      </w:r>
      <w:r>
        <w:rPr>
          <w:spacing w:val="-1"/>
        </w:rPr>
        <w:t>be</w:t>
      </w:r>
      <w:r>
        <w:t xml:space="preserve"> </w:t>
      </w:r>
      <w:r>
        <w:rPr>
          <w:spacing w:val="-1"/>
        </w:rPr>
        <w:t>monitored.</w:t>
      </w:r>
    </w:p>
    <w:p w:rsidR="008918FA" w:rsidRDefault="008918FA" w:rsidP="008918FA">
      <w:pPr>
        <w:pStyle w:val="BodyText"/>
        <w:numPr>
          <w:ilvl w:val="1"/>
          <w:numId w:val="25"/>
        </w:numPr>
        <w:tabs>
          <w:tab w:val="left" w:pos="1029"/>
        </w:tabs>
        <w:spacing w:before="121"/>
      </w:pP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Schedule</w:t>
      </w:r>
      <w:r>
        <w:rPr>
          <w:spacing w:val="-2"/>
        </w:rPr>
        <w:t xml:space="preserve"> comprises:</w:t>
      </w:r>
    </w:p>
    <w:p w:rsidR="008918FA" w:rsidRDefault="008918FA" w:rsidP="008918FA">
      <w:pPr>
        <w:pStyle w:val="BodyText"/>
        <w:numPr>
          <w:ilvl w:val="2"/>
          <w:numId w:val="25"/>
        </w:numPr>
        <w:tabs>
          <w:tab w:val="left" w:pos="2227"/>
        </w:tabs>
      </w:pPr>
      <w:r>
        <w:rPr>
          <w:spacing w:val="-1"/>
        </w:rPr>
        <w:t>Part</w:t>
      </w:r>
      <w:r>
        <w:rPr>
          <w:spacing w:val="2"/>
        </w:rPr>
        <w:t xml:space="preserve"> </w:t>
      </w:r>
      <w:r>
        <w:rPr>
          <w:spacing w:val="-2"/>
        </w:rPr>
        <w:t>A:</w:t>
      </w:r>
      <w:r>
        <w:rPr>
          <w:spacing w:val="2"/>
        </w:rPr>
        <w:t xml:space="preserve"> </w:t>
      </w:r>
      <w:r>
        <w:rPr>
          <w:spacing w:val="-2"/>
        </w:rPr>
        <w:t>Service</w:t>
      </w:r>
      <w:r>
        <w:rPr>
          <w:spacing w:val="1"/>
        </w:rPr>
        <w:t xml:space="preserve"> </w:t>
      </w:r>
      <w:r>
        <w:rPr>
          <w:spacing w:val="-2"/>
        </w:rPr>
        <w:t>Levels</w:t>
      </w:r>
      <w:r>
        <w:rPr>
          <w:spacing w:val="1"/>
        </w:rPr>
        <w:t xml:space="preserve"> </w:t>
      </w:r>
      <w:r>
        <w:rPr>
          <w:spacing w:val="-1"/>
        </w:rPr>
        <w:t>and</w:t>
      </w:r>
      <w:r>
        <w:t xml:space="preserve"> </w:t>
      </w:r>
      <w:r>
        <w:rPr>
          <w:spacing w:val="-2"/>
        </w:rPr>
        <w:t>Service</w:t>
      </w:r>
      <w:r>
        <w:rPr>
          <w:spacing w:val="1"/>
        </w:rPr>
        <w:t xml:space="preserve"> </w:t>
      </w:r>
      <w:r>
        <w:rPr>
          <w:spacing w:val="-1"/>
        </w:rPr>
        <w:t>Credits;</w:t>
      </w:r>
    </w:p>
    <w:p w:rsidR="008918FA" w:rsidRDefault="008918FA" w:rsidP="008918FA">
      <w:pPr>
        <w:pStyle w:val="BodyText"/>
        <w:numPr>
          <w:ilvl w:val="2"/>
          <w:numId w:val="25"/>
        </w:numPr>
        <w:tabs>
          <w:tab w:val="left" w:pos="2227"/>
        </w:tabs>
      </w:pPr>
      <w:r>
        <w:rPr>
          <w:spacing w:val="-1"/>
        </w:rPr>
        <w:t>Annex</w:t>
      </w:r>
      <w:r>
        <w:rPr>
          <w:spacing w:val="-2"/>
        </w:rPr>
        <w:t xml:space="preserve"> </w:t>
      </w:r>
      <w:r>
        <w:t xml:space="preserve">1 to </w:t>
      </w:r>
      <w:r>
        <w:rPr>
          <w:spacing w:val="-1"/>
        </w:rPr>
        <w:t>Part</w:t>
      </w:r>
      <w:r>
        <w:t xml:space="preserve"> A -</w:t>
      </w:r>
      <w:r>
        <w:rPr>
          <w:spacing w:val="-1"/>
        </w:rPr>
        <w:t xml:space="preserve"> </w:t>
      </w:r>
      <w:r>
        <w:rPr>
          <w:spacing w:val="-2"/>
        </w:rPr>
        <w:t>Service</w:t>
      </w:r>
      <w:r>
        <w:rPr>
          <w:spacing w:val="1"/>
        </w:rPr>
        <w:t xml:space="preserve"> </w:t>
      </w:r>
      <w:r>
        <w:rPr>
          <w:spacing w:val="-2"/>
        </w:rPr>
        <w:t>Levels</w:t>
      </w:r>
      <w:r>
        <w:rPr>
          <w:spacing w:val="1"/>
        </w:rPr>
        <w:t xml:space="preserve"> </w:t>
      </w:r>
      <w:r>
        <w:rPr>
          <w:spacing w:val="-1"/>
        </w:rPr>
        <w:t>and</w:t>
      </w:r>
      <w:r>
        <w:t xml:space="preserve"> </w:t>
      </w:r>
      <w:r>
        <w:rPr>
          <w:spacing w:val="-2"/>
        </w:rPr>
        <w:t>Service</w:t>
      </w:r>
      <w:r>
        <w:rPr>
          <w:spacing w:val="1"/>
        </w:rPr>
        <w:t xml:space="preserve"> </w:t>
      </w:r>
      <w:r>
        <w:rPr>
          <w:spacing w:val="-1"/>
        </w:rPr>
        <w:t>Credits</w:t>
      </w:r>
      <w:r>
        <w:rPr>
          <w:spacing w:val="-2"/>
        </w:rPr>
        <w:t xml:space="preserve"> </w:t>
      </w:r>
      <w:r>
        <w:rPr>
          <w:spacing w:val="-1"/>
        </w:rPr>
        <w:t>Table;</w:t>
      </w:r>
    </w:p>
    <w:p w:rsidR="008918FA" w:rsidRDefault="008918FA" w:rsidP="008918FA">
      <w:pPr>
        <w:pStyle w:val="BodyText"/>
        <w:numPr>
          <w:ilvl w:val="2"/>
          <w:numId w:val="25"/>
        </w:numPr>
        <w:tabs>
          <w:tab w:val="left" w:pos="2227"/>
        </w:tabs>
        <w:spacing w:before="121"/>
      </w:pPr>
      <w:r>
        <w:rPr>
          <w:spacing w:val="-1"/>
        </w:rPr>
        <w:t>Annex</w:t>
      </w:r>
      <w:r>
        <w:rPr>
          <w:spacing w:val="-2"/>
        </w:rPr>
        <w:t xml:space="preserve"> </w:t>
      </w:r>
      <w:r>
        <w:t xml:space="preserve">2 to </w:t>
      </w:r>
      <w:r>
        <w:rPr>
          <w:spacing w:val="-1"/>
        </w:rPr>
        <w:t>Part</w:t>
      </w:r>
      <w:r>
        <w:t xml:space="preserve"> A –</w:t>
      </w:r>
      <w:r>
        <w:rPr>
          <w:spacing w:val="-2"/>
        </w:rPr>
        <w:t xml:space="preserve"> </w:t>
      </w:r>
      <w:r>
        <w:rPr>
          <w:spacing w:val="-1"/>
        </w:rPr>
        <w:t>Critical</w:t>
      </w:r>
      <w:r>
        <w:t xml:space="preserve"> </w:t>
      </w:r>
      <w:r>
        <w:rPr>
          <w:spacing w:val="-2"/>
        </w:rPr>
        <w:t>Service</w:t>
      </w:r>
      <w:r>
        <w:rPr>
          <w:spacing w:val="1"/>
        </w:rPr>
        <w:t xml:space="preserve"> </w:t>
      </w:r>
      <w:r>
        <w:rPr>
          <w:spacing w:val="-2"/>
        </w:rPr>
        <w:t>Level</w:t>
      </w:r>
      <w:r>
        <w:t xml:space="preserve"> </w:t>
      </w:r>
      <w:r>
        <w:rPr>
          <w:spacing w:val="-1"/>
        </w:rPr>
        <w:t>Failure;</w:t>
      </w:r>
    </w:p>
    <w:p w:rsidR="008918FA" w:rsidRDefault="008918FA" w:rsidP="008918FA">
      <w:pPr>
        <w:pStyle w:val="BodyText"/>
        <w:numPr>
          <w:ilvl w:val="2"/>
          <w:numId w:val="25"/>
        </w:numPr>
        <w:tabs>
          <w:tab w:val="left" w:pos="2227"/>
        </w:tabs>
      </w:pPr>
      <w:r>
        <w:rPr>
          <w:spacing w:val="-1"/>
        </w:rPr>
        <w:t>Part</w:t>
      </w:r>
      <w:r>
        <w:rPr>
          <w:spacing w:val="2"/>
        </w:rPr>
        <w:t xml:space="preserve"> </w:t>
      </w:r>
      <w:r>
        <w:rPr>
          <w:spacing w:val="-2"/>
        </w:rPr>
        <w:t>B:</w:t>
      </w:r>
      <w:r>
        <w:rPr>
          <w:spacing w:val="2"/>
        </w:rPr>
        <w:t xml:space="preserve"> </w:t>
      </w:r>
      <w:r>
        <w:rPr>
          <w:spacing w:val="-1"/>
        </w:rPr>
        <w:t>Performance</w:t>
      </w:r>
      <w:r>
        <w:rPr>
          <w:spacing w:val="1"/>
        </w:rPr>
        <w:t xml:space="preserve"> </w:t>
      </w:r>
      <w:r>
        <w:rPr>
          <w:spacing w:val="-2"/>
        </w:rPr>
        <w:t>Monitoring;</w:t>
      </w:r>
      <w:r>
        <w:rPr>
          <w:spacing w:val="2"/>
        </w:rPr>
        <w:t xml:space="preserve"> </w:t>
      </w:r>
      <w:r>
        <w:rPr>
          <w:spacing w:val="-1"/>
        </w:rPr>
        <w:t>and</w:t>
      </w:r>
    </w:p>
    <w:p w:rsidR="008918FA" w:rsidRDefault="008918FA" w:rsidP="008918FA">
      <w:pPr>
        <w:pStyle w:val="BodyText"/>
        <w:numPr>
          <w:ilvl w:val="2"/>
          <w:numId w:val="25"/>
        </w:numPr>
        <w:tabs>
          <w:tab w:val="left" w:pos="2227"/>
        </w:tabs>
        <w:spacing w:before="121"/>
      </w:pPr>
      <w:r>
        <w:rPr>
          <w:spacing w:val="-1"/>
        </w:rPr>
        <w:t>Annex</w:t>
      </w:r>
      <w:r>
        <w:rPr>
          <w:spacing w:val="-2"/>
        </w:rPr>
        <w:t xml:space="preserve"> </w:t>
      </w:r>
      <w:r>
        <w:t xml:space="preserve">1 to </w:t>
      </w:r>
      <w:r>
        <w:rPr>
          <w:spacing w:val="-1"/>
        </w:rPr>
        <w:t>Part</w:t>
      </w:r>
      <w:r>
        <w:t xml:space="preserve"> </w:t>
      </w:r>
      <w:r>
        <w:rPr>
          <w:spacing w:val="-1"/>
        </w:rPr>
        <w:t>B:</w:t>
      </w:r>
      <w:r>
        <w:t xml:space="preserve"> </w:t>
      </w:r>
      <w:r>
        <w:rPr>
          <w:spacing w:val="-1"/>
        </w:rPr>
        <w:t>Additional</w:t>
      </w:r>
      <w:r>
        <w:t xml:space="preserve"> </w:t>
      </w:r>
      <w:r>
        <w:rPr>
          <w:spacing w:val="-1"/>
        </w:rPr>
        <w:t>Performance</w:t>
      </w:r>
      <w:r>
        <w:rPr>
          <w:spacing w:val="-2"/>
        </w:rPr>
        <w:t xml:space="preserve"> Monitoring</w:t>
      </w:r>
      <w:r>
        <w:t xml:space="preserve"> </w:t>
      </w:r>
      <w:r>
        <w:rPr>
          <w:spacing w:val="-1"/>
        </w:rPr>
        <w:t>Requirements.</w:t>
      </w:r>
    </w:p>
    <w:p w:rsidR="008918FA" w:rsidRDefault="008918FA" w:rsidP="008918FA">
      <w:pPr>
        <w:sectPr w:rsidR="008918FA">
          <w:pgSz w:w="11910" w:h="16840"/>
          <w:pgMar w:top="1580" w:right="1300" w:bottom="1160" w:left="1340" w:header="0" w:footer="967" w:gutter="0"/>
          <w:cols w:space="720"/>
        </w:sectPr>
      </w:pPr>
    </w:p>
    <w:p w:rsidR="008918FA" w:rsidRDefault="008918FA" w:rsidP="008918FA">
      <w:pPr>
        <w:pStyle w:val="BodyText"/>
        <w:spacing w:before="58"/>
        <w:ind w:left="1711" w:firstLine="0"/>
        <w:rPr>
          <w:rFonts w:ascii="Times New Roman" w:eastAsia="Times New Roman" w:hAnsi="Times New Roman" w:cs="Times New Roman"/>
        </w:rPr>
      </w:pPr>
      <w:r>
        <w:rPr>
          <w:rFonts w:ascii="Times New Roman"/>
          <w:spacing w:val="8"/>
        </w:rPr>
        <w:t>PART</w:t>
      </w:r>
      <w:r>
        <w:rPr>
          <w:rFonts w:ascii="Times New Roman"/>
          <w:spacing w:val="9"/>
        </w:rPr>
        <w:t xml:space="preserve"> </w:t>
      </w:r>
      <w:r>
        <w:rPr>
          <w:rFonts w:ascii="Times New Roman"/>
          <w:spacing w:val="-3"/>
        </w:rPr>
        <w:t>A:</w:t>
      </w:r>
      <w:r>
        <w:rPr>
          <w:rFonts w:ascii="Times New Roman"/>
          <w:spacing w:val="20"/>
        </w:rPr>
        <w:t xml:space="preserve"> </w:t>
      </w:r>
      <w:r>
        <w:rPr>
          <w:rFonts w:ascii="Times New Roman"/>
          <w:spacing w:val="4"/>
        </w:rPr>
        <w:t>SERVICE</w:t>
      </w:r>
      <w:r>
        <w:rPr>
          <w:rFonts w:ascii="Times New Roman"/>
          <w:spacing w:val="18"/>
        </w:rPr>
        <w:t xml:space="preserve"> </w:t>
      </w:r>
      <w:r>
        <w:rPr>
          <w:rFonts w:ascii="Times New Roman"/>
          <w:spacing w:val="1"/>
        </w:rPr>
        <w:t>LEVELS</w:t>
      </w:r>
      <w:r>
        <w:rPr>
          <w:rFonts w:ascii="Times New Roman"/>
          <w:spacing w:val="33"/>
        </w:rPr>
        <w:t xml:space="preserve"> </w:t>
      </w:r>
      <w:r>
        <w:rPr>
          <w:rFonts w:ascii="Times New Roman"/>
          <w:spacing w:val="-3"/>
        </w:rPr>
        <w:t>AND</w:t>
      </w:r>
      <w:r>
        <w:rPr>
          <w:rFonts w:ascii="Times New Roman"/>
          <w:spacing w:val="6"/>
        </w:rPr>
        <w:t xml:space="preserve"> </w:t>
      </w:r>
      <w:r>
        <w:rPr>
          <w:rFonts w:ascii="Times New Roman"/>
          <w:spacing w:val="4"/>
        </w:rPr>
        <w:t>SERVICE</w:t>
      </w:r>
      <w:r>
        <w:rPr>
          <w:rFonts w:ascii="Times New Roman"/>
          <w:spacing w:val="18"/>
        </w:rPr>
        <w:t xml:space="preserve"> </w:t>
      </w:r>
      <w:r>
        <w:rPr>
          <w:rFonts w:ascii="Times New Roman"/>
          <w:spacing w:val="2"/>
        </w:rPr>
        <w:t>CREDITS</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numPr>
          <w:ilvl w:val="0"/>
          <w:numId w:val="25"/>
        </w:numPr>
        <w:tabs>
          <w:tab w:val="left" w:pos="466"/>
        </w:tabs>
        <w:spacing w:before="0"/>
        <w:ind w:left="465" w:hanging="359"/>
        <w:jc w:val="left"/>
        <w:rPr>
          <w:rFonts w:ascii="Times New Roman" w:eastAsia="Times New Roman" w:hAnsi="Times New Roman" w:cs="Times New Roman"/>
        </w:rPr>
      </w:pPr>
      <w:r>
        <w:rPr>
          <w:rFonts w:ascii="Times New Roman"/>
          <w:spacing w:val="5"/>
        </w:rPr>
        <w:t>GENERAL</w:t>
      </w:r>
      <w:r>
        <w:rPr>
          <w:rFonts w:ascii="Times New Roman"/>
          <w:spacing w:val="7"/>
        </w:rPr>
        <w:t xml:space="preserve"> </w:t>
      </w:r>
      <w:r>
        <w:rPr>
          <w:rFonts w:ascii="Times New Roman"/>
          <w:spacing w:val="4"/>
        </w:rPr>
        <w:t>PROVISIONS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5"/>
        </w:numPr>
        <w:tabs>
          <w:tab w:val="left" w:pos="829"/>
        </w:tabs>
        <w:spacing w:before="0"/>
        <w:ind w:left="828" w:right="111"/>
        <w:jc w:val="both"/>
      </w:pPr>
      <w:r>
        <w:t>The</w:t>
      </w:r>
      <w:r>
        <w:rPr>
          <w:spacing w:val="10"/>
        </w:rPr>
        <w:t xml:space="preserve"> </w:t>
      </w:r>
      <w:r>
        <w:rPr>
          <w:spacing w:val="-2"/>
        </w:rPr>
        <w:t>Supplier</w:t>
      </w:r>
      <w:r>
        <w:rPr>
          <w:spacing w:val="11"/>
        </w:rPr>
        <w:t xml:space="preserve"> </w:t>
      </w:r>
      <w:r>
        <w:rPr>
          <w:spacing w:val="-1"/>
        </w:rPr>
        <w:t>shall</w:t>
      </w:r>
      <w:r>
        <w:rPr>
          <w:spacing w:val="9"/>
        </w:rPr>
        <w:t xml:space="preserve"> </w:t>
      </w:r>
      <w:r>
        <w:rPr>
          <w:spacing w:val="-2"/>
        </w:rPr>
        <w:t>provide</w:t>
      </w:r>
      <w:r>
        <w:rPr>
          <w:spacing w:val="10"/>
        </w:rPr>
        <w:t xml:space="preserve"> </w:t>
      </w:r>
      <w:r>
        <w:t>a</w:t>
      </w:r>
      <w:r>
        <w:rPr>
          <w:spacing w:val="10"/>
        </w:rPr>
        <w:t xml:space="preserve"> </w:t>
      </w:r>
      <w:r>
        <w:rPr>
          <w:spacing w:val="-2"/>
        </w:rPr>
        <w:t>proactive</w:t>
      </w:r>
      <w:r>
        <w:rPr>
          <w:spacing w:val="10"/>
        </w:rPr>
        <w:t xml:space="preserve"> </w:t>
      </w:r>
      <w:r>
        <w:rPr>
          <w:spacing w:val="-2"/>
        </w:rPr>
        <w:t>Call</w:t>
      </w:r>
      <w:r>
        <w:rPr>
          <w:spacing w:val="9"/>
        </w:rPr>
        <w:t xml:space="preserve"> </w:t>
      </w:r>
      <w:r>
        <w:t>Off</w:t>
      </w:r>
      <w:r>
        <w:rPr>
          <w:spacing w:val="11"/>
        </w:rPr>
        <w:t xml:space="preserve"> </w:t>
      </w:r>
      <w:r>
        <w:rPr>
          <w:spacing w:val="-1"/>
        </w:rPr>
        <w:t>Contract</w:t>
      </w:r>
      <w:r>
        <w:rPr>
          <w:spacing w:val="9"/>
        </w:rPr>
        <w:t xml:space="preserve"> </w:t>
      </w:r>
      <w:r>
        <w:rPr>
          <w:spacing w:val="-1"/>
        </w:rPr>
        <w:t>manager</w:t>
      </w:r>
      <w:r>
        <w:rPr>
          <w:spacing w:val="9"/>
        </w:rPr>
        <w:t xml:space="preserve"> </w:t>
      </w:r>
      <w:r>
        <w:t>to</w:t>
      </w:r>
      <w:r>
        <w:rPr>
          <w:spacing w:val="10"/>
        </w:rPr>
        <w:t xml:space="preserve"> </w:t>
      </w:r>
      <w:r>
        <w:rPr>
          <w:spacing w:val="-2"/>
        </w:rPr>
        <w:t>ensure</w:t>
      </w:r>
      <w:r>
        <w:rPr>
          <w:spacing w:val="10"/>
        </w:rPr>
        <w:t xml:space="preserve"> </w:t>
      </w:r>
      <w:r>
        <w:rPr>
          <w:spacing w:val="-1"/>
        </w:rPr>
        <w:t>that</w:t>
      </w:r>
      <w:r>
        <w:rPr>
          <w:spacing w:val="11"/>
        </w:rPr>
        <w:t xml:space="preserve"> </w:t>
      </w:r>
      <w:r>
        <w:rPr>
          <w:spacing w:val="-1"/>
        </w:rPr>
        <w:t>all</w:t>
      </w:r>
      <w:r>
        <w:rPr>
          <w:spacing w:val="81"/>
        </w:rPr>
        <w:t xml:space="preserve"> </w:t>
      </w:r>
      <w:r>
        <w:rPr>
          <w:spacing w:val="-2"/>
        </w:rPr>
        <w:t>Service</w:t>
      </w:r>
      <w:r>
        <w:rPr>
          <w:spacing w:val="46"/>
        </w:rPr>
        <w:t xml:space="preserve"> </w:t>
      </w:r>
      <w:r>
        <w:rPr>
          <w:spacing w:val="-1"/>
        </w:rPr>
        <w:t>Levels</w:t>
      </w:r>
      <w:r>
        <w:rPr>
          <w:spacing w:val="46"/>
        </w:rPr>
        <w:t xml:space="preserve"> </w:t>
      </w:r>
      <w:r>
        <w:rPr>
          <w:spacing w:val="-1"/>
        </w:rPr>
        <w:t>in</w:t>
      </w:r>
      <w:r>
        <w:rPr>
          <w:spacing w:val="46"/>
        </w:rPr>
        <w:t xml:space="preserve"> </w:t>
      </w:r>
      <w:r>
        <w:rPr>
          <w:spacing w:val="-1"/>
        </w:rPr>
        <w:t>this</w:t>
      </w:r>
      <w:r>
        <w:rPr>
          <w:spacing w:val="49"/>
        </w:rPr>
        <w:t xml:space="preserve"> </w:t>
      </w:r>
      <w:r>
        <w:rPr>
          <w:spacing w:val="-2"/>
        </w:rPr>
        <w:t>Call</w:t>
      </w:r>
      <w:r>
        <w:rPr>
          <w:spacing w:val="45"/>
        </w:rPr>
        <w:t xml:space="preserve"> </w:t>
      </w:r>
      <w:r>
        <w:t>Off</w:t>
      </w:r>
      <w:r>
        <w:rPr>
          <w:spacing w:val="47"/>
        </w:rPr>
        <w:t xml:space="preserve"> </w:t>
      </w:r>
      <w:r>
        <w:rPr>
          <w:spacing w:val="-1"/>
        </w:rPr>
        <w:t>Contract</w:t>
      </w:r>
      <w:r>
        <w:rPr>
          <w:spacing w:val="49"/>
        </w:rPr>
        <w:t xml:space="preserve"> </w:t>
      </w:r>
      <w:r>
        <w:rPr>
          <w:spacing w:val="-1"/>
        </w:rPr>
        <w:t>and</w:t>
      </w:r>
      <w:r>
        <w:rPr>
          <w:spacing w:val="46"/>
        </w:rPr>
        <w:t xml:space="preserve"> </w:t>
      </w:r>
      <w:r>
        <w:rPr>
          <w:spacing w:val="-2"/>
        </w:rPr>
        <w:t>Key</w:t>
      </w:r>
      <w:r>
        <w:rPr>
          <w:spacing w:val="44"/>
        </w:rPr>
        <w:t xml:space="preserve"> </w:t>
      </w:r>
      <w:r>
        <w:rPr>
          <w:spacing w:val="-1"/>
        </w:rPr>
        <w:t>Performance</w:t>
      </w:r>
      <w:r>
        <w:rPr>
          <w:spacing w:val="44"/>
        </w:rPr>
        <w:t xml:space="preserve"> </w:t>
      </w:r>
      <w:r>
        <w:rPr>
          <w:spacing w:val="-1"/>
        </w:rPr>
        <w:t>Indicators</w:t>
      </w:r>
      <w:r>
        <w:rPr>
          <w:spacing w:val="46"/>
        </w:rPr>
        <w:t xml:space="preserve"> </w:t>
      </w:r>
      <w:r>
        <w:rPr>
          <w:spacing w:val="-1"/>
        </w:rPr>
        <w:t>in</w:t>
      </w:r>
      <w:r>
        <w:rPr>
          <w:spacing w:val="46"/>
        </w:rPr>
        <w:t xml:space="preserve"> </w:t>
      </w:r>
      <w:r>
        <w:t>the</w:t>
      </w:r>
      <w:r>
        <w:rPr>
          <w:spacing w:val="57"/>
        </w:rPr>
        <w:t xml:space="preserve"> </w:t>
      </w:r>
      <w:r>
        <w:rPr>
          <w:spacing w:val="-2"/>
        </w:rPr>
        <w:t>Framework</w:t>
      </w:r>
      <w:r>
        <w:rPr>
          <w:spacing w:val="15"/>
        </w:rPr>
        <w:t xml:space="preserve"> </w:t>
      </w:r>
      <w:r>
        <w:rPr>
          <w:spacing w:val="-1"/>
        </w:rPr>
        <w:t>Agreement</w:t>
      </w:r>
      <w:r>
        <w:rPr>
          <w:spacing w:val="11"/>
        </w:rPr>
        <w:t xml:space="preserve"> </w:t>
      </w:r>
      <w:r>
        <w:rPr>
          <w:spacing w:val="-1"/>
        </w:rPr>
        <w:t>are</w:t>
      </w:r>
      <w:r>
        <w:rPr>
          <w:spacing w:val="12"/>
        </w:rPr>
        <w:t xml:space="preserve"> </w:t>
      </w:r>
      <w:r>
        <w:rPr>
          <w:spacing w:val="-2"/>
        </w:rPr>
        <w:t>achieved</w:t>
      </w:r>
      <w:r>
        <w:rPr>
          <w:spacing w:val="12"/>
        </w:rPr>
        <w:t xml:space="preserve"> </w:t>
      </w:r>
      <w:r>
        <w:t>to</w:t>
      </w:r>
      <w:r>
        <w:rPr>
          <w:spacing w:val="12"/>
        </w:rPr>
        <w:t xml:space="preserve"> </w:t>
      </w:r>
      <w:r>
        <w:t>the</w:t>
      </w:r>
      <w:r>
        <w:rPr>
          <w:spacing w:val="12"/>
        </w:rPr>
        <w:t xml:space="preserve"> </w:t>
      </w:r>
      <w:r>
        <w:rPr>
          <w:spacing w:val="-1"/>
        </w:rPr>
        <w:t>highest</w:t>
      </w:r>
      <w:r>
        <w:rPr>
          <w:spacing w:val="14"/>
        </w:rPr>
        <w:t xml:space="preserve"> </w:t>
      </w:r>
      <w:r>
        <w:rPr>
          <w:spacing w:val="-1"/>
        </w:rPr>
        <w:t>standard</w:t>
      </w:r>
      <w:r>
        <w:rPr>
          <w:spacing w:val="12"/>
        </w:rPr>
        <w:t xml:space="preserve"> </w:t>
      </w:r>
      <w:r>
        <w:rPr>
          <w:spacing w:val="-1"/>
        </w:rPr>
        <w:t>throughout,</w:t>
      </w:r>
      <w:r>
        <w:rPr>
          <w:spacing w:val="51"/>
        </w:rPr>
        <w:t xml:space="preserve"> </w:t>
      </w:r>
      <w:r>
        <w:rPr>
          <w:spacing w:val="-2"/>
        </w:rPr>
        <w:t>respectively,</w:t>
      </w:r>
      <w:r>
        <w:rPr>
          <w:spacing w:val="2"/>
        </w:rPr>
        <w:t xml:space="preserve"> </w:t>
      </w:r>
      <w:r>
        <w:t xml:space="preserve">the </w:t>
      </w:r>
      <w:r>
        <w:rPr>
          <w:spacing w:val="-2"/>
        </w:rPr>
        <w:t>Call</w:t>
      </w:r>
      <w:r>
        <w:t xml:space="preserve"> </w:t>
      </w:r>
      <w:r>
        <w:rPr>
          <w:spacing w:val="-1"/>
        </w:rPr>
        <w:t>Off</w:t>
      </w:r>
      <w:r>
        <w:rPr>
          <w:spacing w:val="-3"/>
        </w:rPr>
        <w:t xml:space="preserve"> </w:t>
      </w:r>
      <w:r>
        <w:rPr>
          <w:spacing w:val="-1"/>
        </w:rPr>
        <w:t>Contract</w:t>
      </w:r>
      <w:r>
        <w:rPr>
          <w:spacing w:val="2"/>
        </w:rPr>
        <w:t xml:space="preserve"> </w:t>
      </w:r>
      <w:r>
        <w:rPr>
          <w:spacing w:val="-1"/>
        </w:rPr>
        <w:t>Period</w:t>
      </w:r>
      <w:r>
        <w:rPr>
          <w:spacing w:val="-2"/>
        </w:rPr>
        <w:t xml:space="preserve"> </w:t>
      </w:r>
      <w:r>
        <w:rPr>
          <w:spacing w:val="-1"/>
        </w:rPr>
        <w:t>and</w:t>
      </w:r>
      <w:r>
        <w:rPr>
          <w:spacing w:val="-2"/>
        </w:rPr>
        <w:t xml:space="preserve"> </w:t>
      </w:r>
      <w:r>
        <w:t>the</w:t>
      </w:r>
      <w:r>
        <w:rPr>
          <w:spacing w:val="-2"/>
        </w:rPr>
        <w:t xml:space="preserve"> Framework</w:t>
      </w:r>
      <w:r>
        <w:rPr>
          <w:spacing w:val="3"/>
        </w:rPr>
        <w:t xml:space="preserve"> </w:t>
      </w:r>
      <w:r>
        <w:rPr>
          <w:spacing w:val="-2"/>
        </w:rPr>
        <w:t>Period.</w:t>
      </w:r>
    </w:p>
    <w:p w:rsidR="008918FA" w:rsidRDefault="008918FA" w:rsidP="008918FA">
      <w:pPr>
        <w:pStyle w:val="BodyText"/>
        <w:numPr>
          <w:ilvl w:val="1"/>
          <w:numId w:val="25"/>
        </w:numPr>
        <w:tabs>
          <w:tab w:val="left" w:pos="829"/>
        </w:tabs>
        <w:ind w:left="828" w:right="118"/>
        <w:jc w:val="both"/>
      </w:pPr>
      <w:r>
        <w:t>The</w:t>
      </w:r>
      <w:r>
        <w:rPr>
          <w:spacing w:val="7"/>
        </w:rPr>
        <w:t xml:space="preserve"> </w:t>
      </w:r>
      <w:r>
        <w:rPr>
          <w:spacing w:val="-2"/>
        </w:rPr>
        <w:t>Supplier</w:t>
      </w:r>
      <w:r>
        <w:rPr>
          <w:spacing w:val="9"/>
        </w:rPr>
        <w:t xml:space="preserve"> </w:t>
      </w:r>
      <w:r>
        <w:rPr>
          <w:spacing w:val="-1"/>
        </w:rPr>
        <w:t>shall</w:t>
      </w:r>
      <w:r>
        <w:rPr>
          <w:spacing w:val="7"/>
        </w:rPr>
        <w:t xml:space="preserve"> </w:t>
      </w:r>
      <w:r>
        <w:rPr>
          <w:spacing w:val="-2"/>
        </w:rPr>
        <w:t>provide</w:t>
      </w:r>
      <w:r>
        <w:rPr>
          <w:spacing w:val="7"/>
        </w:rPr>
        <w:t xml:space="preserve"> </w:t>
      </w:r>
      <w:r>
        <w:t>a</w:t>
      </w:r>
      <w:r>
        <w:rPr>
          <w:spacing w:val="7"/>
        </w:rPr>
        <w:t xml:space="preserve"> </w:t>
      </w:r>
      <w:r>
        <w:rPr>
          <w:spacing w:val="-1"/>
        </w:rPr>
        <w:t>managed</w:t>
      </w:r>
      <w:r>
        <w:rPr>
          <w:spacing w:val="7"/>
        </w:rPr>
        <w:t xml:space="preserve"> </w:t>
      </w:r>
      <w:r>
        <w:rPr>
          <w:spacing w:val="-2"/>
        </w:rPr>
        <w:t>service</w:t>
      </w:r>
      <w:r>
        <w:rPr>
          <w:spacing w:val="8"/>
        </w:rPr>
        <w:t xml:space="preserve"> </w:t>
      </w:r>
      <w:r>
        <w:rPr>
          <w:spacing w:val="-1"/>
        </w:rPr>
        <w:t>through</w:t>
      </w:r>
      <w:r>
        <w:rPr>
          <w:spacing w:val="5"/>
        </w:rPr>
        <w:t xml:space="preserve"> </w:t>
      </w:r>
      <w:r>
        <w:t>the</w:t>
      </w:r>
      <w:r>
        <w:rPr>
          <w:spacing w:val="7"/>
        </w:rPr>
        <w:t xml:space="preserve"> </w:t>
      </w:r>
      <w:r>
        <w:rPr>
          <w:spacing w:val="-2"/>
        </w:rPr>
        <w:t>provision</w:t>
      </w:r>
      <w:r>
        <w:rPr>
          <w:spacing w:val="7"/>
        </w:rPr>
        <w:t xml:space="preserve"> </w:t>
      </w:r>
      <w:r>
        <w:rPr>
          <w:spacing w:val="-2"/>
        </w:rPr>
        <w:t>of</w:t>
      </w:r>
      <w:r>
        <w:rPr>
          <w:spacing w:val="11"/>
        </w:rPr>
        <w:t xml:space="preserve"> </w:t>
      </w:r>
      <w:r>
        <w:t>a</w:t>
      </w:r>
      <w:r>
        <w:rPr>
          <w:spacing w:val="7"/>
        </w:rPr>
        <w:t xml:space="preserve"> </w:t>
      </w:r>
      <w:r>
        <w:rPr>
          <w:spacing w:val="-1"/>
        </w:rPr>
        <w:t>dedicated</w:t>
      </w:r>
      <w:r>
        <w:rPr>
          <w:spacing w:val="72"/>
        </w:rPr>
        <w:t xml:space="preserve"> </w:t>
      </w:r>
      <w:r>
        <w:rPr>
          <w:spacing w:val="-2"/>
        </w:rPr>
        <w:t>Call</w:t>
      </w:r>
      <w:r>
        <w:t xml:space="preserve"> </w:t>
      </w:r>
      <w:r>
        <w:rPr>
          <w:spacing w:val="-1"/>
        </w:rPr>
        <w:t>Off</w:t>
      </w:r>
      <w:r>
        <w:rPr>
          <w:spacing w:val="2"/>
        </w:rPr>
        <w:t xml:space="preserve"> </w:t>
      </w:r>
      <w:r>
        <w:rPr>
          <w:spacing w:val="-1"/>
        </w:rPr>
        <w:t>Contract</w:t>
      </w:r>
      <w:r>
        <w:rPr>
          <w:spacing w:val="-2"/>
        </w:rPr>
        <w:t xml:space="preserve"> </w:t>
      </w:r>
      <w:r>
        <w:rPr>
          <w:spacing w:val="-1"/>
        </w:rPr>
        <w:t>manager</w:t>
      </w:r>
      <w:r>
        <w:rPr>
          <w:spacing w:val="2"/>
        </w:rPr>
        <w:t xml:space="preserve"> </w:t>
      </w:r>
      <w:r>
        <w:rPr>
          <w:spacing w:val="-2"/>
        </w:rPr>
        <w:t>where</w:t>
      </w:r>
      <w:r>
        <w:t xml:space="preserve"> </w:t>
      </w:r>
      <w:r>
        <w:rPr>
          <w:spacing w:val="-1"/>
        </w:rPr>
        <w:t>required</w:t>
      </w:r>
      <w:r>
        <w:t xml:space="preserve"> </w:t>
      </w:r>
      <w:r>
        <w:rPr>
          <w:spacing w:val="-1"/>
        </w:rPr>
        <w:t>on</w:t>
      </w:r>
      <w:r>
        <w:rPr>
          <w:spacing w:val="-2"/>
        </w:rPr>
        <w:t xml:space="preserve"> </w:t>
      </w:r>
      <w:r>
        <w:rPr>
          <w:spacing w:val="-1"/>
        </w:rPr>
        <w:t>matters</w:t>
      </w:r>
      <w:r>
        <w:rPr>
          <w:spacing w:val="-2"/>
        </w:rPr>
        <w:t xml:space="preserve"> </w:t>
      </w:r>
      <w:r>
        <w:rPr>
          <w:spacing w:val="-1"/>
        </w:rPr>
        <w:t>relating</w:t>
      </w:r>
      <w:r>
        <w:t xml:space="preserve"> to:</w:t>
      </w:r>
    </w:p>
    <w:p w:rsidR="008918FA" w:rsidRDefault="008918FA" w:rsidP="008918FA">
      <w:pPr>
        <w:pStyle w:val="BodyText"/>
        <w:numPr>
          <w:ilvl w:val="2"/>
          <w:numId w:val="25"/>
        </w:numPr>
        <w:tabs>
          <w:tab w:val="left" w:pos="1526"/>
          <w:tab w:val="left" w:pos="2026"/>
        </w:tabs>
        <w:spacing w:before="116"/>
        <w:ind w:left="1525" w:hanging="493"/>
      </w:pPr>
      <w:r>
        <w:rPr>
          <w:b/>
          <w:spacing w:val="-1"/>
          <w:highlight w:val="yellow"/>
        </w:rPr>
        <w:t>[</w:t>
      </w:r>
      <w:r>
        <w:rPr>
          <w:spacing w:val="-1"/>
          <w:highlight w:val="yellow"/>
        </w:rPr>
        <w:t>Supply</w:t>
      </w:r>
      <w:r>
        <w:rPr>
          <w:spacing w:val="-2"/>
          <w:highlight w:val="yellow"/>
        </w:rPr>
        <w:t xml:space="preserve"> </w:t>
      </w:r>
      <w:r>
        <w:rPr>
          <w:spacing w:val="-1"/>
          <w:highlight w:val="yellow"/>
        </w:rPr>
        <w:t>performance;</w:t>
      </w:r>
    </w:p>
    <w:p w:rsidR="008918FA" w:rsidRDefault="008918FA" w:rsidP="008918FA">
      <w:pPr>
        <w:spacing w:before="11"/>
        <w:rPr>
          <w:rFonts w:ascii="Arial" w:eastAsia="Arial" w:hAnsi="Arial" w:cs="Arial"/>
          <w:sz w:val="10"/>
          <w:szCs w:val="10"/>
        </w:rPr>
      </w:pPr>
    </w:p>
    <w:p w:rsidR="008918FA" w:rsidRDefault="008918FA" w:rsidP="008918FA">
      <w:pPr>
        <w:spacing w:line="200" w:lineRule="atLeast"/>
        <w:ind w:left="1032"/>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0FD7F045" wp14:editId="6A29318C">
                <wp:extent cx="2796540" cy="160020"/>
                <wp:effectExtent l="0" t="0" r="3810" b="1905"/>
                <wp:docPr id="2908"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993"/>
                              </w:tabs>
                              <w:spacing w:line="251" w:lineRule="exact"/>
                              <w:rPr>
                                <w:rFonts w:ascii="Arial" w:eastAsia="Arial" w:hAnsi="Arial" w:cs="Arial"/>
                              </w:rPr>
                            </w:pPr>
                            <w:r>
                              <w:rPr>
                                <w:rFonts w:ascii="Arial"/>
                              </w:rPr>
                              <w:t>2.2.2</w:t>
                            </w:r>
                            <w:r>
                              <w:rPr>
                                <w:rFonts w:ascii="Arial"/>
                              </w:rPr>
                              <w:tab/>
                            </w:r>
                            <w:r>
                              <w:rPr>
                                <w:rFonts w:ascii="Arial"/>
                                <w:spacing w:val="-1"/>
                              </w:rPr>
                              <w:t>Quality</w:t>
                            </w:r>
                            <w:r>
                              <w:rPr>
                                <w:rFonts w:ascii="Arial"/>
                                <w:spacing w:val="-2"/>
                              </w:rPr>
                              <w:t xml:space="preserve"> of</w:t>
                            </w:r>
                            <w:r>
                              <w:rPr>
                                <w:rFonts w:ascii="Arial"/>
                                <w:spacing w:val="2"/>
                              </w:rPr>
                              <w:t xml:space="preserve"> </w:t>
                            </w:r>
                            <w:r>
                              <w:rPr>
                                <w:rFonts w:ascii="Arial"/>
                                <w:spacing w:val="-1"/>
                              </w:rPr>
                              <w:t>[Goods</w:t>
                            </w:r>
                            <w:r>
                              <w:rPr>
                                <w:rFonts w:ascii="Arial"/>
                                <w:spacing w:val="1"/>
                              </w:rPr>
                              <w:t xml:space="preserve"> </w:t>
                            </w:r>
                            <w:r>
                              <w:rPr>
                                <w:rFonts w:ascii="Arial"/>
                                <w:spacing w:val="-1"/>
                              </w:rPr>
                              <w:t>and/or]</w:t>
                            </w:r>
                            <w:r>
                              <w:rPr>
                                <w:rFonts w:ascii="Arial"/>
                              </w:rPr>
                              <w:t xml:space="preserve"> </w:t>
                            </w:r>
                            <w:r>
                              <w:rPr>
                                <w:rFonts w:ascii="Arial"/>
                                <w:spacing w:val="-2"/>
                              </w:rPr>
                              <w:t>Services;</w:t>
                            </w:r>
                          </w:p>
                        </w:txbxContent>
                      </wps:txbx>
                      <wps:bodyPr rot="0" vert="horz" wrap="square" lIns="0" tIns="0" rIns="0" bIns="0" anchor="t" anchorCtr="0" upright="1">
                        <a:noAutofit/>
                      </wps:bodyPr>
                    </wps:wsp>
                  </a:graphicData>
                </a:graphic>
              </wp:inline>
            </w:drawing>
          </mc:Choice>
          <mc:Fallback>
            <w:pict>
              <v:shape w14:anchorId="0FD7F045" id="Text Box 2900" o:spid="_x0000_s1276" type="#_x0000_t202" style="width:220.2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" fillcolor="yellow" stroked="f">
                <v:textbox inset="0,0,0,0">
                  <w:txbxContent>
                    <w:p w:rsidR="005D2B81" w:rsidRDefault="005D2B81" w:rsidP="008918FA">
                      <w:pPr>
                        <w:tabs>
                          <w:tab w:val="left" w:pos="993"/>
                        </w:tabs>
                        <w:spacing w:line="251" w:lineRule="exact"/>
                        <w:rPr>
                          <w:rFonts w:ascii="Arial" w:eastAsia="Arial" w:hAnsi="Arial" w:cs="Arial"/>
                        </w:rPr>
                      </w:pPr>
                      <w:r>
                        <w:rPr>
                          <w:rFonts w:ascii="Arial"/>
                        </w:rPr>
                        <w:t>2.2.2</w:t>
                      </w:r>
                      <w:r>
                        <w:rPr>
                          <w:rFonts w:ascii="Arial"/>
                        </w:rPr>
                        <w:tab/>
                      </w:r>
                      <w:r>
                        <w:rPr>
                          <w:rFonts w:ascii="Arial"/>
                          <w:spacing w:val="-1"/>
                        </w:rPr>
                        <w:t>Quality</w:t>
                      </w:r>
                      <w:r>
                        <w:rPr>
                          <w:rFonts w:ascii="Arial"/>
                          <w:spacing w:val="-2"/>
                        </w:rPr>
                        <w:t xml:space="preserve"> of</w:t>
                      </w:r>
                      <w:r>
                        <w:rPr>
                          <w:rFonts w:ascii="Arial"/>
                          <w:spacing w:val="2"/>
                        </w:rPr>
                        <w:t xml:space="preserve"> </w:t>
                      </w:r>
                      <w:r>
                        <w:rPr>
                          <w:rFonts w:ascii="Arial"/>
                          <w:spacing w:val="-1"/>
                        </w:rPr>
                        <w:t>[Goods</w:t>
                      </w:r>
                      <w:r>
                        <w:rPr>
                          <w:rFonts w:ascii="Arial"/>
                          <w:spacing w:val="1"/>
                        </w:rPr>
                        <w:t xml:space="preserve"> </w:t>
                      </w:r>
                      <w:r>
                        <w:rPr>
                          <w:rFonts w:ascii="Arial"/>
                          <w:spacing w:val="-1"/>
                        </w:rPr>
                        <w:t>and/or]</w:t>
                      </w:r>
                      <w:r>
                        <w:rPr>
                          <w:rFonts w:ascii="Arial"/>
                        </w:rPr>
                        <w:t xml:space="preserve"> </w:t>
                      </w:r>
                      <w:r>
                        <w:rPr>
                          <w:rFonts w:ascii="Arial"/>
                          <w:spacing w:val="-2"/>
                        </w:rPr>
                        <w:t>Services;</w:t>
                      </w:r>
                    </w:p>
                  </w:txbxContent>
                </v:textbox>
                <w10:anchorlock/>
              </v:shape>
            </w:pict>
          </mc:Fallback>
        </mc:AlternateContent>
      </w:r>
    </w:p>
    <w:p w:rsidR="008918FA" w:rsidRDefault="008918FA" w:rsidP="008918FA">
      <w:pPr>
        <w:pStyle w:val="BodyText"/>
        <w:numPr>
          <w:ilvl w:val="2"/>
          <w:numId w:val="24"/>
        </w:numPr>
        <w:tabs>
          <w:tab w:val="left" w:pos="1526"/>
          <w:tab w:val="left" w:pos="2026"/>
        </w:tabs>
        <w:spacing w:before="117"/>
      </w:pPr>
      <w:r>
        <w:rPr>
          <w:spacing w:val="-1"/>
          <w:highlight w:val="yellow"/>
        </w:rPr>
        <w:t>Customer</w:t>
      </w:r>
      <w:r>
        <w:rPr>
          <w:spacing w:val="2"/>
          <w:highlight w:val="yellow"/>
        </w:rPr>
        <w:t xml:space="preserve"> </w:t>
      </w:r>
      <w:r>
        <w:rPr>
          <w:spacing w:val="-1"/>
          <w:highlight w:val="yellow"/>
        </w:rPr>
        <w:t>support;</w:t>
      </w:r>
    </w:p>
    <w:p w:rsidR="008918FA" w:rsidRDefault="008918FA" w:rsidP="008918FA">
      <w:pPr>
        <w:pStyle w:val="BodyText"/>
        <w:numPr>
          <w:ilvl w:val="2"/>
          <w:numId w:val="24"/>
        </w:numPr>
        <w:tabs>
          <w:tab w:val="left" w:pos="1526"/>
          <w:tab w:val="left" w:pos="2026"/>
        </w:tabs>
        <w:spacing w:before="121"/>
      </w:pPr>
      <w:r>
        <w:rPr>
          <w:spacing w:val="-1"/>
          <w:highlight w:val="yellow"/>
        </w:rPr>
        <w:t>Complaints</w:t>
      </w:r>
      <w:r>
        <w:rPr>
          <w:spacing w:val="1"/>
          <w:highlight w:val="yellow"/>
        </w:rPr>
        <w:t xml:space="preserve"> </w:t>
      </w:r>
      <w:r>
        <w:rPr>
          <w:spacing w:val="-2"/>
          <w:highlight w:val="yellow"/>
        </w:rPr>
        <w:t>handling;</w:t>
      </w:r>
      <w:r>
        <w:rPr>
          <w:spacing w:val="2"/>
          <w:highlight w:val="yellow"/>
        </w:rPr>
        <w:t xml:space="preserve"> </w:t>
      </w:r>
      <w:r>
        <w:rPr>
          <w:spacing w:val="-2"/>
          <w:highlight w:val="yellow"/>
        </w:rPr>
        <w:t>and</w:t>
      </w:r>
    </w:p>
    <w:p w:rsidR="008918FA" w:rsidRDefault="008918FA" w:rsidP="008918FA">
      <w:pPr>
        <w:spacing w:before="6"/>
        <w:rPr>
          <w:rFonts w:ascii="Arial" w:eastAsia="Arial" w:hAnsi="Arial" w:cs="Arial"/>
          <w:sz w:val="10"/>
          <w:szCs w:val="10"/>
        </w:rPr>
      </w:pPr>
    </w:p>
    <w:p w:rsidR="008918FA" w:rsidRDefault="008918FA" w:rsidP="008918FA">
      <w:pPr>
        <w:spacing w:line="200" w:lineRule="atLeast"/>
        <w:ind w:left="1032"/>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57835FFB" wp14:editId="660612E6">
                <wp:extent cx="2487295" cy="160020"/>
                <wp:effectExtent l="0" t="0" r="0" b="1905"/>
                <wp:docPr id="2868"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993"/>
                              </w:tabs>
                              <w:spacing w:line="248" w:lineRule="exact"/>
                              <w:ind w:right="-2"/>
                              <w:rPr>
                                <w:rFonts w:ascii="Arial" w:eastAsia="Arial" w:hAnsi="Arial" w:cs="Arial"/>
                              </w:rPr>
                            </w:pPr>
                            <w:r>
                              <w:rPr>
                                <w:rFonts w:ascii="Arial"/>
                              </w:rPr>
                              <w:t>2.2.5</w:t>
                            </w:r>
                            <w:r>
                              <w:rPr>
                                <w:rFonts w:ascii="Arial"/>
                              </w:rPr>
                              <w:tab/>
                            </w:r>
                            <w:r>
                              <w:rPr>
                                <w:rFonts w:ascii="Arial"/>
                                <w:spacing w:val="-1"/>
                              </w:rPr>
                              <w:t>Accurate</w:t>
                            </w:r>
                            <w:r>
                              <w:rPr>
                                <w:rFonts w:ascii="Arial"/>
                                <w:spacing w:val="-2"/>
                              </w:rPr>
                              <w:t xml:space="preserve"> </w:t>
                            </w:r>
                            <w:r>
                              <w:rPr>
                                <w:rFonts w:ascii="Arial"/>
                                <w:spacing w:val="-1"/>
                              </w:rPr>
                              <w:t>and</w:t>
                            </w:r>
                            <w:r>
                              <w:rPr>
                                <w:rFonts w:ascii="Arial"/>
                                <w:spacing w:val="-2"/>
                              </w:rPr>
                              <w:t xml:space="preserve"> </w:t>
                            </w:r>
                            <w:r>
                              <w:rPr>
                                <w:rFonts w:ascii="Arial"/>
                                <w:spacing w:val="-1"/>
                              </w:rPr>
                              <w:t>timely</w:t>
                            </w:r>
                            <w:r>
                              <w:rPr>
                                <w:rFonts w:ascii="Arial"/>
                                <w:spacing w:val="-2"/>
                              </w:rPr>
                              <w:t xml:space="preserve"> </w:t>
                            </w:r>
                            <w:r>
                              <w:rPr>
                                <w:rFonts w:ascii="Arial"/>
                                <w:spacing w:val="-1"/>
                              </w:rPr>
                              <w:t>invoices.</w:t>
                            </w:r>
                            <w:r>
                              <w:rPr>
                                <w:rFonts w:ascii="Arial"/>
                                <w:b/>
                                <w:spacing w:val="-1"/>
                              </w:rPr>
                              <w:t>]</w:t>
                            </w:r>
                          </w:p>
                        </w:txbxContent>
                      </wps:txbx>
                      <wps:bodyPr rot="0" vert="horz" wrap="square" lIns="0" tIns="0" rIns="0" bIns="0" anchor="t" anchorCtr="0" upright="1">
                        <a:noAutofit/>
                      </wps:bodyPr>
                    </wps:wsp>
                  </a:graphicData>
                </a:graphic>
              </wp:inline>
            </w:drawing>
          </mc:Choice>
          <mc:Fallback>
            <w:pict>
              <v:shape w14:anchorId="57835FFB" id="Text Box 2860" o:spid="_x0000_s1277" type="#_x0000_t202" style="width:195.8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" fillcolor="yellow" stroked="f">
                <v:textbox inset="0,0,0,0">
                  <w:txbxContent>
                    <w:p w:rsidR="005D2B81" w:rsidRDefault="005D2B81" w:rsidP="008918FA">
                      <w:pPr>
                        <w:tabs>
                          <w:tab w:val="left" w:pos="993"/>
                        </w:tabs>
                        <w:spacing w:line="248" w:lineRule="exact"/>
                        <w:ind w:right="-2"/>
                        <w:rPr>
                          <w:rFonts w:ascii="Arial" w:eastAsia="Arial" w:hAnsi="Arial" w:cs="Arial"/>
                        </w:rPr>
                      </w:pPr>
                      <w:r>
                        <w:rPr>
                          <w:rFonts w:ascii="Arial"/>
                        </w:rPr>
                        <w:t>2.2.5</w:t>
                      </w:r>
                      <w:r>
                        <w:rPr>
                          <w:rFonts w:ascii="Arial"/>
                        </w:rPr>
                        <w:tab/>
                      </w:r>
                      <w:r>
                        <w:rPr>
                          <w:rFonts w:ascii="Arial"/>
                          <w:spacing w:val="-1"/>
                        </w:rPr>
                        <w:t>Accurate</w:t>
                      </w:r>
                      <w:r>
                        <w:rPr>
                          <w:rFonts w:ascii="Arial"/>
                          <w:spacing w:val="-2"/>
                        </w:rPr>
                        <w:t xml:space="preserve"> </w:t>
                      </w:r>
                      <w:r>
                        <w:rPr>
                          <w:rFonts w:ascii="Arial"/>
                          <w:spacing w:val="-1"/>
                        </w:rPr>
                        <w:t>and</w:t>
                      </w:r>
                      <w:r>
                        <w:rPr>
                          <w:rFonts w:ascii="Arial"/>
                          <w:spacing w:val="-2"/>
                        </w:rPr>
                        <w:t xml:space="preserve"> </w:t>
                      </w:r>
                      <w:r>
                        <w:rPr>
                          <w:rFonts w:ascii="Arial"/>
                          <w:spacing w:val="-1"/>
                        </w:rPr>
                        <w:t>timely</w:t>
                      </w:r>
                      <w:r>
                        <w:rPr>
                          <w:rFonts w:ascii="Arial"/>
                          <w:spacing w:val="-2"/>
                        </w:rPr>
                        <w:t xml:space="preserve"> </w:t>
                      </w:r>
                      <w:r>
                        <w:rPr>
                          <w:rFonts w:ascii="Arial"/>
                          <w:spacing w:val="-1"/>
                        </w:rPr>
                        <w:t>invoices.</w:t>
                      </w:r>
                      <w:r>
                        <w:rPr>
                          <w:rFonts w:ascii="Arial"/>
                          <w:b/>
                          <w:spacing w:val="-1"/>
                        </w:rPr>
                        <w:t>]</w:t>
                      </w:r>
                    </w:p>
                  </w:txbxContent>
                </v:textbox>
                <w10:anchorlock/>
              </v:shape>
            </w:pict>
          </mc:Fallback>
        </mc:AlternateContent>
      </w:r>
    </w:p>
    <w:p w:rsidR="008918FA" w:rsidRDefault="008918FA" w:rsidP="008918FA">
      <w:pPr>
        <w:pStyle w:val="Heading2"/>
        <w:spacing w:before="117"/>
        <w:ind w:right="111"/>
        <w:jc w:val="both"/>
        <w:rPr>
          <w:b w:val="0"/>
          <w:bCs w:val="0"/>
          <w:i w:val="0"/>
        </w:rPr>
      </w:pPr>
      <w:r w:rsidRPr="009A0751">
        <w:rPr>
          <w:spacing w:val="-1"/>
          <w:highlight w:val="green"/>
        </w:rPr>
        <w:t>[Guidance</w:t>
      </w:r>
      <w:r w:rsidRPr="009A0751">
        <w:rPr>
          <w:spacing w:val="53"/>
          <w:highlight w:val="green"/>
        </w:rPr>
        <w:t xml:space="preserve"> </w:t>
      </w:r>
      <w:r w:rsidRPr="009A0751">
        <w:rPr>
          <w:spacing w:val="-2"/>
          <w:highlight w:val="green"/>
        </w:rPr>
        <w:t>Note:</w:t>
      </w:r>
      <w:r w:rsidRPr="009A0751">
        <w:rPr>
          <w:spacing w:val="54"/>
          <w:highlight w:val="green"/>
        </w:rPr>
        <w:t xml:space="preserve"> </w:t>
      </w:r>
      <w:r w:rsidRPr="009A0751">
        <w:rPr>
          <w:spacing w:val="-1"/>
          <w:highlight w:val="green"/>
        </w:rPr>
        <w:t>Consider</w:t>
      </w:r>
      <w:r w:rsidRPr="009A0751">
        <w:rPr>
          <w:spacing w:val="54"/>
          <w:highlight w:val="green"/>
        </w:rPr>
        <w:t xml:space="preserve"> </w:t>
      </w:r>
      <w:r w:rsidRPr="009A0751">
        <w:rPr>
          <w:spacing w:val="-1"/>
          <w:highlight w:val="green"/>
        </w:rPr>
        <w:t>if</w:t>
      </w:r>
      <w:r w:rsidRPr="009A0751">
        <w:rPr>
          <w:spacing w:val="54"/>
          <w:highlight w:val="green"/>
        </w:rPr>
        <w:t xml:space="preserve"> </w:t>
      </w:r>
      <w:r w:rsidRPr="009A0751">
        <w:rPr>
          <w:spacing w:val="-1"/>
          <w:highlight w:val="green"/>
        </w:rPr>
        <w:t>the</w:t>
      </w:r>
      <w:r w:rsidRPr="009A0751">
        <w:rPr>
          <w:spacing w:val="53"/>
          <w:highlight w:val="green"/>
        </w:rPr>
        <w:t xml:space="preserve"> </w:t>
      </w:r>
      <w:r w:rsidRPr="009A0751">
        <w:rPr>
          <w:spacing w:val="-1"/>
          <w:highlight w:val="green"/>
        </w:rPr>
        <w:t>above</w:t>
      </w:r>
      <w:r w:rsidRPr="009A0751">
        <w:rPr>
          <w:spacing w:val="51"/>
          <w:highlight w:val="green"/>
        </w:rPr>
        <w:t xml:space="preserve"> </w:t>
      </w:r>
      <w:r w:rsidRPr="009A0751">
        <w:rPr>
          <w:spacing w:val="-1"/>
          <w:highlight w:val="green"/>
        </w:rPr>
        <w:t>list</w:t>
      </w:r>
      <w:r w:rsidRPr="009A0751">
        <w:rPr>
          <w:spacing w:val="53"/>
          <w:highlight w:val="green"/>
        </w:rPr>
        <w:t xml:space="preserve"> </w:t>
      </w:r>
      <w:r w:rsidRPr="009A0751">
        <w:rPr>
          <w:spacing w:val="-1"/>
          <w:highlight w:val="green"/>
        </w:rPr>
        <w:t>should</w:t>
      </w:r>
      <w:r w:rsidRPr="009A0751">
        <w:rPr>
          <w:spacing w:val="53"/>
          <w:highlight w:val="green"/>
        </w:rPr>
        <w:t xml:space="preserve"> </w:t>
      </w:r>
      <w:r w:rsidRPr="009A0751">
        <w:rPr>
          <w:spacing w:val="-1"/>
          <w:highlight w:val="green"/>
        </w:rPr>
        <w:t>be</w:t>
      </w:r>
      <w:r w:rsidRPr="009A0751">
        <w:rPr>
          <w:spacing w:val="53"/>
          <w:highlight w:val="green"/>
        </w:rPr>
        <w:t xml:space="preserve"> </w:t>
      </w:r>
      <w:r w:rsidRPr="009A0751">
        <w:rPr>
          <w:spacing w:val="-1"/>
          <w:highlight w:val="green"/>
        </w:rPr>
        <w:t>refined</w:t>
      </w:r>
      <w:r w:rsidRPr="009A0751">
        <w:rPr>
          <w:spacing w:val="53"/>
          <w:highlight w:val="green"/>
        </w:rPr>
        <w:t xml:space="preserve"> </w:t>
      </w:r>
      <w:r w:rsidRPr="009A0751">
        <w:rPr>
          <w:spacing w:val="-1"/>
          <w:highlight w:val="green"/>
        </w:rPr>
        <w:t>or</w:t>
      </w:r>
      <w:r w:rsidRPr="009A0751">
        <w:rPr>
          <w:spacing w:val="51"/>
          <w:highlight w:val="green"/>
        </w:rPr>
        <w:t xml:space="preserve"> </w:t>
      </w:r>
      <w:r w:rsidRPr="009A0751">
        <w:rPr>
          <w:spacing w:val="-1"/>
          <w:highlight w:val="green"/>
        </w:rPr>
        <w:t>further</w:t>
      </w:r>
      <w:r w:rsidRPr="009A0751">
        <w:rPr>
          <w:spacing w:val="51"/>
          <w:highlight w:val="green"/>
        </w:rPr>
        <w:t xml:space="preserve"> </w:t>
      </w:r>
      <w:r w:rsidRPr="009A0751">
        <w:rPr>
          <w:spacing w:val="-1"/>
          <w:highlight w:val="green"/>
        </w:rPr>
        <w:t>supplemented;</w:t>
      </w:r>
      <w:r w:rsidRPr="009A0751">
        <w:rPr>
          <w:spacing w:val="14"/>
          <w:highlight w:val="green"/>
        </w:rPr>
        <w:t xml:space="preserve"> </w:t>
      </w:r>
      <w:r w:rsidRPr="009A0751">
        <w:rPr>
          <w:spacing w:val="-1"/>
          <w:highlight w:val="green"/>
        </w:rPr>
        <w:t>and</w:t>
      </w:r>
      <w:r w:rsidRPr="009A0751">
        <w:rPr>
          <w:spacing w:val="10"/>
          <w:highlight w:val="green"/>
        </w:rPr>
        <w:t xml:space="preserve"> </w:t>
      </w:r>
      <w:r w:rsidRPr="009A0751">
        <w:rPr>
          <w:spacing w:val="-1"/>
          <w:highlight w:val="green"/>
        </w:rPr>
        <w:t>include</w:t>
      </w:r>
      <w:r w:rsidRPr="009A0751">
        <w:rPr>
          <w:spacing w:val="12"/>
          <w:highlight w:val="green"/>
        </w:rPr>
        <w:t xml:space="preserve"> </w:t>
      </w:r>
      <w:r w:rsidRPr="009A0751">
        <w:rPr>
          <w:spacing w:val="-1"/>
          <w:highlight w:val="green"/>
        </w:rPr>
        <w:t>your</w:t>
      </w:r>
      <w:r w:rsidRPr="009A0751">
        <w:rPr>
          <w:spacing w:val="13"/>
          <w:highlight w:val="green"/>
        </w:rPr>
        <w:t xml:space="preserve"> </w:t>
      </w:r>
      <w:r w:rsidRPr="009A0751">
        <w:rPr>
          <w:spacing w:val="-1"/>
          <w:highlight w:val="green"/>
        </w:rPr>
        <w:t>corresponding</w:t>
      </w:r>
      <w:r w:rsidRPr="009A0751">
        <w:rPr>
          <w:spacing w:val="12"/>
          <w:highlight w:val="green"/>
        </w:rPr>
        <w:t xml:space="preserve"> </w:t>
      </w:r>
      <w:r w:rsidRPr="009A0751">
        <w:rPr>
          <w:spacing w:val="-1"/>
          <w:highlight w:val="green"/>
        </w:rPr>
        <w:t>Service</w:t>
      </w:r>
      <w:r w:rsidRPr="009A0751">
        <w:rPr>
          <w:spacing w:val="12"/>
          <w:highlight w:val="green"/>
        </w:rPr>
        <w:t xml:space="preserve"> </w:t>
      </w:r>
      <w:r w:rsidRPr="009A0751">
        <w:rPr>
          <w:spacing w:val="-1"/>
          <w:highlight w:val="green"/>
        </w:rPr>
        <w:t>Levels</w:t>
      </w:r>
      <w:r w:rsidRPr="009A0751">
        <w:rPr>
          <w:spacing w:val="12"/>
          <w:highlight w:val="green"/>
        </w:rPr>
        <w:t xml:space="preserve"> </w:t>
      </w:r>
      <w:r w:rsidRPr="009A0751">
        <w:rPr>
          <w:highlight w:val="green"/>
        </w:rPr>
        <w:t>in</w:t>
      </w:r>
      <w:r w:rsidRPr="009A0751">
        <w:rPr>
          <w:spacing w:val="10"/>
          <w:highlight w:val="green"/>
        </w:rPr>
        <w:t xml:space="preserve"> </w:t>
      </w:r>
      <w:r w:rsidRPr="009A0751">
        <w:rPr>
          <w:spacing w:val="-1"/>
          <w:highlight w:val="green"/>
        </w:rPr>
        <w:t>the</w:t>
      </w:r>
      <w:r w:rsidRPr="009A0751">
        <w:rPr>
          <w:spacing w:val="12"/>
          <w:highlight w:val="green"/>
        </w:rPr>
        <w:t xml:space="preserve"> </w:t>
      </w:r>
      <w:r w:rsidRPr="009A0751">
        <w:rPr>
          <w:spacing w:val="-1"/>
          <w:highlight w:val="green"/>
        </w:rPr>
        <w:t>table</w:t>
      </w:r>
      <w:r w:rsidRPr="009A0751">
        <w:rPr>
          <w:spacing w:val="37"/>
          <w:highlight w:val="green"/>
        </w:rPr>
        <w:t xml:space="preserve"> </w:t>
      </w:r>
      <w:r w:rsidRPr="009A0751">
        <w:rPr>
          <w:highlight w:val="green"/>
        </w:rPr>
        <w:t xml:space="preserve">in </w:t>
      </w:r>
      <w:r w:rsidRPr="009A0751">
        <w:rPr>
          <w:spacing w:val="-1"/>
          <w:highlight w:val="green"/>
        </w:rPr>
        <w:t>Annex</w:t>
      </w:r>
      <w:r w:rsidRPr="009A0751">
        <w:rPr>
          <w:highlight w:val="green"/>
        </w:rPr>
        <w:t xml:space="preserve"> 1</w:t>
      </w:r>
      <w:r w:rsidRPr="009A0751">
        <w:rPr>
          <w:spacing w:val="-2"/>
          <w:highlight w:val="green"/>
        </w:rPr>
        <w:t xml:space="preserve"> </w:t>
      </w:r>
      <w:r w:rsidRPr="009A0751">
        <w:rPr>
          <w:highlight w:val="green"/>
        </w:rPr>
        <w:t>to</w:t>
      </w:r>
      <w:r w:rsidRPr="009A0751">
        <w:rPr>
          <w:spacing w:val="-2"/>
          <w:highlight w:val="green"/>
        </w:rPr>
        <w:t xml:space="preserve"> </w:t>
      </w:r>
      <w:r w:rsidRPr="009A0751">
        <w:rPr>
          <w:spacing w:val="-1"/>
          <w:highlight w:val="green"/>
        </w:rPr>
        <w:t>this</w:t>
      </w:r>
      <w:r w:rsidRPr="009A0751">
        <w:rPr>
          <w:spacing w:val="-2"/>
          <w:highlight w:val="green"/>
        </w:rPr>
        <w:t xml:space="preserve"> </w:t>
      </w:r>
      <w:r w:rsidRPr="009A0751">
        <w:rPr>
          <w:spacing w:val="-1"/>
          <w:highlight w:val="green"/>
        </w:rPr>
        <w:t>Part</w:t>
      </w:r>
      <w:r w:rsidRPr="009A0751">
        <w:rPr>
          <w:spacing w:val="-3"/>
          <w:highlight w:val="green"/>
        </w:rPr>
        <w:t xml:space="preserve"> </w:t>
      </w:r>
      <w:r w:rsidRPr="009A0751">
        <w:rPr>
          <w:highlight w:val="green"/>
        </w:rPr>
        <w:t xml:space="preserve">A </w:t>
      </w:r>
      <w:r w:rsidRPr="009A0751">
        <w:rPr>
          <w:spacing w:val="-1"/>
          <w:highlight w:val="green"/>
        </w:rPr>
        <w:t xml:space="preserve">of </w:t>
      </w:r>
      <w:r w:rsidRPr="009A0751">
        <w:rPr>
          <w:highlight w:val="green"/>
        </w:rPr>
        <w:t>this</w:t>
      </w:r>
      <w:r w:rsidRPr="009A0751">
        <w:rPr>
          <w:spacing w:val="-2"/>
          <w:highlight w:val="green"/>
        </w:rPr>
        <w:t xml:space="preserve"> Call</w:t>
      </w:r>
      <w:r w:rsidRPr="009A0751">
        <w:rPr>
          <w:highlight w:val="green"/>
        </w:rPr>
        <w:t xml:space="preserve"> </w:t>
      </w:r>
      <w:r w:rsidRPr="009A0751">
        <w:rPr>
          <w:spacing w:val="-1"/>
          <w:highlight w:val="green"/>
        </w:rPr>
        <w:t>Off</w:t>
      </w:r>
      <w:r w:rsidRPr="009A0751">
        <w:rPr>
          <w:spacing w:val="2"/>
          <w:highlight w:val="green"/>
        </w:rPr>
        <w:t xml:space="preserve"> </w:t>
      </w:r>
      <w:r w:rsidRPr="009A0751">
        <w:rPr>
          <w:spacing w:val="-2"/>
          <w:highlight w:val="green"/>
        </w:rPr>
        <w:t>Schedule]</w:t>
      </w:r>
    </w:p>
    <w:p w:rsidR="008918FA" w:rsidRDefault="008918FA" w:rsidP="008918FA">
      <w:pPr>
        <w:pStyle w:val="BodyText"/>
        <w:spacing w:before="121"/>
        <w:ind w:left="828" w:right="115"/>
        <w:jc w:val="both"/>
      </w:pPr>
      <w:r>
        <w:t>2.3</w:t>
      </w:r>
      <w:r>
        <w:rPr>
          <w:spacing w:val="-9"/>
        </w:rPr>
        <w:t xml:space="preserve"> </w:t>
      </w:r>
      <w:r>
        <w:t>The</w:t>
      </w:r>
      <w:r>
        <w:rPr>
          <w:spacing w:val="48"/>
        </w:rPr>
        <w:t xml:space="preserve"> </w:t>
      </w:r>
      <w:r>
        <w:rPr>
          <w:spacing w:val="-2"/>
        </w:rPr>
        <w:t>Supplier</w:t>
      </w:r>
      <w:r>
        <w:rPr>
          <w:spacing w:val="49"/>
        </w:rPr>
        <w:t xml:space="preserve"> </w:t>
      </w:r>
      <w:r>
        <w:rPr>
          <w:spacing w:val="-1"/>
        </w:rPr>
        <w:t>accepts</w:t>
      </w:r>
      <w:r>
        <w:rPr>
          <w:spacing w:val="49"/>
        </w:rPr>
        <w:t xml:space="preserve"> </w:t>
      </w:r>
      <w:r>
        <w:rPr>
          <w:spacing w:val="-2"/>
        </w:rPr>
        <w:t>and</w:t>
      </w:r>
      <w:r>
        <w:rPr>
          <w:spacing w:val="48"/>
        </w:rPr>
        <w:t xml:space="preserve"> </w:t>
      </w:r>
      <w:r>
        <w:rPr>
          <w:spacing w:val="-1"/>
        </w:rPr>
        <w:t>acknowledges</w:t>
      </w:r>
      <w:r>
        <w:rPr>
          <w:spacing w:val="46"/>
        </w:rPr>
        <w:t xml:space="preserve"> </w:t>
      </w:r>
      <w:r>
        <w:rPr>
          <w:spacing w:val="-1"/>
        </w:rPr>
        <w:t>that</w:t>
      </w:r>
      <w:r>
        <w:rPr>
          <w:spacing w:val="47"/>
        </w:rPr>
        <w:t xml:space="preserve"> </w:t>
      </w:r>
      <w:r>
        <w:rPr>
          <w:spacing w:val="-2"/>
        </w:rPr>
        <w:t>failure</w:t>
      </w:r>
      <w:r>
        <w:rPr>
          <w:spacing w:val="49"/>
        </w:rPr>
        <w:t xml:space="preserve"> </w:t>
      </w:r>
      <w:r>
        <w:t>to</w:t>
      </w:r>
      <w:r>
        <w:rPr>
          <w:spacing w:val="48"/>
        </w:rPr>
        <w:t xml:space="preserve"> </w:t>
      </w:r>
      <w:r>
        <w:rPr>
          <w:spacing w:val="-1"/>
        </w:rPr>
        <w:t>meet</w:t>
      </w:r>
      <w:r>
        <w:rPr>
          <w:spacing w:val="50"/>
        </w:rPr>
        <w:t xml:space="preserve"> </w:t>
      </w:r>
      <w:r>
        <w:t>the</w:t>
      </w:r>
      <w:r>
        <w:rPr>
          <w:spacing w:val="48"/>
        </w:rPr>
        <w:t xml:space="preserve"> </w:t>
      </w:r>
      <w:r>
        <w:rPr>
          <w:spacing w:val="-2"/>
        </w:rPr>
        <w:t>Service</w:t>
      </w:r>
      <w:r>
        <w:rPr>
          <w:spacing w:val="49"/>
        </w:rPr>
        <w:t xml:space="preserve"> </w:t>
      </w:r>
      <w:r>
        <w:rPr>
          <w:spacing w:val="-2"/>
        </w:rPr>
        <w:t>Level</w:t>
      </w:r>
      <w:r>
        <w:rPr>
          <w:spacing w:val="64"/>
        </w:rPr>
        <w:t xml:space="preserve"> </w:t>
      </w:r>
      <w:r>
        <w:rPr>
          <w:spacing w:val="-1"/>
        </w:rPr>
        <w:t>Performance</w:t>
      </w:r>
      <w:r>
        <w:rPr>
          <w:spacing w:val="5"/>
        </w:rPr>
        <w:t xml:space="preserve"> </w:t>
      </w:r>
      <w:r>
        <w:rPr>
          <w:spacing w:val="-1"/>
        </w:rPr>
        <w:t>Measures</w:t>
      </w:r>
      <w:r>
        <w:rPr>
          <w:spacing w:val="5"/>
        </w:rPr>
        <w:t xml:space="preserve"> </w:t>
      </w:r>
      <w:r>
        <w:rPr>
          <w:spacing w:val="-1"/>
        </w:rPr>
        <w:t>set</w:t>
      </w:r>
      <w:r>
        <w:rPr>
          <w:spacing w:val="7"/>
        </w:rPr>
        <w:t xml:space="preserve"> </w:t>
      </w:r>
      <w:r>
        <w:rPr>
          <w:spacing w:val="-1"/>
        </w:rPr>
        <w:t>out</w:t>
      </w:r>
      <w:r>
        <w:rPr>
          <w:spacing w:val="7"/>
        </w:rPr>
        <w:t xml:space="preserve"> </w:t>
      </w:r>
      <w:r>
        <w:rPr>
          <w:spacing w:val="-1"/>
        </w:rPr>
        <w:t>in</w:t>
      </w:r>
      <w:r>
        <w:rPr>
          <w:spacing w:val="5"/>
        </w:rPr>
        <w:t xml:space="preserve"> </w:t>
      </w:r>
      <w:r>
        <w:t>the</w:t>
      </w:r>
      <w:r>
        <w:rPr>
          <w:spacing w:val="5"/>
        </w:rPr>
        <w:t xml:space="preserve"> </w:t>
      </w:r>
      <w:r>
        <w:rPr>
          <w:spacing w:val="-1"/>
        </w:rPr>
        <w:t>table</w:t>
      </w:r>
      <w:r>
        <w:rPr>
          <w:spacing w:val="5"/>
        </w:rPr>
        <w:t xml:space="preserve"> </w:t>
      </w:r>
      <w:r>
        <w:rPr>
          <w:spacing w:val="-1"/>
        </w:rPr>
        <w:t>in</w:t>
      </w:r>
      <w:r>
        <w:rPr>
          <w:spacing w:val="5"/>
        </w:rPr>
        <w:t xml:space="preserve"> </w:t>
      </w:r>
      <w:r>
        <w:rPr>
          <w:spacing w:val="-1"/>
        </w:rPr>
        <w:t>Annex</w:t>
      </w:r>
      <w:r>
        <w:rPr>
          <w:spacing w:val="3"/>
        </w:rPr>
        <w:t xml:space="preserve"> </w:t>
      </w:r>
      <w:r>
        <w:t>1</w:t>
      </w:r>
      <w:r>
        <w:rPr>
          <w:spacing w:val="5"/>
        </w:rPr>
        <w:t xml:space="preserve"> </w:t>
      </w:r>
      <w:r>
        <w:t>to</w:t>
      </w:r>
      <w:r>
        <w:rPr>
          <w:spacing w:val="5"/>
        </w:rPr>
        <w:t xml:space="preserve"> </w:t>
      </w:r>
      <w:r>
        <w:rPr>
          <w:spacing w:val="-1"/>
        </w:rPr>
        <w:t>this</w:t>
      </w:r>
      <w:r>
        <w:rPr>
          <w:spacing w:val="5"/>
        </w:rPr>
        <w:t xml:space="preserve"> </w:t>
      </w:r>
      <w:r>
        <w:rPr>
          <w:spacing w:val="-1"/>
        </w:rPr>
        <w:t>Part</w:t>
      </w:r>
      <w:r>
        <w:rPr>
          <w:spacing w:val="7"/>
        </w:rPr>
        <w:t xml:space="preserve"> </w:t>
      </w:r>
      <w:r>
        <w:t>A</w:t>
      </w:r>
      <w:r>
        <w:rPr>
          <w:spacing w:val="5"/>
        </w:rPr>
        <w:t xml:space="preserve"> </w:t>
      </w:r>
      <w:r>
        <w:rPr>
          <w:spacing w:val="-1"/>
        </w:rPr>
        <w:t>of</w:t>
      </w:r>
      <w:r>
        <w:rPr>
          <w:spacing w:val="12"/>
        </w:rPr>
        <w:t xml:space="preserve"> </w:t>
      </w:r>
      <w:r>
        <w:rPr>
          <w:spacing w:val="-1"/>
        </w:rPr>
        <w:t>this</w:t>
      </w:r>
      <w:r>
        <w:rPr>
          <w:spacing w:val="5"/>
        </w:rPr>
        <w:t xml:space="preserve"> </w:t>
      </w:r>
      <w:r>
        <w:rPr>
          <w:spacing w:val="-2"/>
        </w:rPr>
        <w:t>Call</w:t>
      </w:r>
      <w:r>
        <w:rPr>
          <w:spacing w:val="4"/>
        </w:rPr>
        <w:t xml:space="preserve"> </w:t>
      </w:r>
      <w:r>
        <w:rPr>
          <w:spacing w:val="-1"/>
        </w:rPr>
        <w:t>Off</w:t>
      </w:r>
      <w:r>
        <w:rPr>
          <w:spacing w:val="43"/>
        </w:rPr>
        <w:t xml:space="preserve"> </w:t>
      </w:r>
      <w:r>
        <w:rPr>
          <w:spacing w:val="-1"/>
        </w:rPr>
        <w:t>Schedule</w:t>
      </w:r>
      <w:r>
        <w:t xml:space="preserve"> </w:t>
      </w:r>
      <w:r>
        <w:rPr>
          <w:spacing w:val="-2"/>
        </w:rPr>
        <w:t>will</w:t>
      </w:r>
      <w:r>
        <w:t xml:space="preserve"> </w:t>
      </w:r>
      <w:r>
        <w:rPr>
          <w:spacing w:val="-1"/>
        </w:rPr>
        <w:t>result</w:t>
      </w:r>
      <w:r>
        <w:rPr>
          <w:spacing w:val="2"/>
        </w:rPr>
        <w:t xml:space="preserve"> </w:t>
      </w:r>
      <w:r>
        <w:rPr>
          <w:spacing w:val="-1"/>
        </w:rPr>
        <w:t>in</w:t>
      </w:r>
      <w:r>
        <w:t xml:space="preserve"> </w:t>
      </w:r>
      <w:r>
        <w:rPr>
          <w:spacing w:val="-2"/>
        </w:rPr>
        <w:t>Service</w:t>
      </w:r>
      <w:r>
        <w:rPr>
          <w:spacing w:val="1"/>
        </w:rPr>
        <w:t xml:space="preserve"> </w:t>
      </w:r>
      <w:r>
        <w:rPr>
          <w:spacing w:val="-1"/>
        </w:rPr>
        <w:t>Credits</w:t>
      </w:r>
      <w:r>
        <w:rPr>
          <w:spacing w:val="1"/>
        </w:rPr>
        <w:t xml:space="preserve"> </w:t>
      </w:r>
      <w:r>
        <w:rPr>
          <w:spacing w:val="-2"/>
        </w:rPr>
        <w:t>being</w:t>
      </w:r>
      <w:r>
        <w:rPr>
          <w:spacing w:val="3"/>
        </w:rPr>
        <w:t xml:space="preserve"> </w:t>
      </w:r>
      <w:r>
        <w:rPr>
          <w:spacing w:val="-2"/>
        </w:rPr>
        <w:t>issued</w:t>
      </w:r>
      <w:r>
        <w:t xml:space="preserve"> to</w:t>
      </w:r>
      <w:r>
        <w:rPr>
          <w:spacing w:val="-2"/>
        </w:rPr>
        <w:t xml:space="preserve"> </w:t>
      </w:r>
      <w:r>
        <w:rPr>
          <w:spacing w:val="-1"/>
        </w:rPr>
        <w:t>Customers.</w:t>
      </w:r>
    </w:p>
    <w:p w:rsidR="008918FA" w:rsidRDefault="008918FA" w:rsidP="008918FA">
      <w:pPr>
        <w:pStyle w:val="BodyText"/>
        <w:numPr>
          <w:ilvl w:val="0"/>
          <w:numId w:val="25"/>
        </w:numPr>
        <w:tabs>
          <w:tab w:val="left" w:pos="467"/>
        </w:tabs>
        <w:spacing w:before="120"/>
        <w:ind w:left="466"/>
        <w:jc w:val="left"/>
        <w:rPr>
          <w:rFonts w:ascii="Times New Roman" w:eastAsia="Times New Roman" w:hAnsi="Times New Roman" w:cs="Times New Roman"/>
        </w:rPr>
      </w:pPr>
      <w:r>
        <w:rPr>
          <w:rFonts w:ascii="Times New Roman"/>
          <w:spacing w:val="23"/>
        </w:rPr>
        <w:t>P</w:t>
      </w:r>
      <w:r>
        <w:rPr>
          <w:rFonts w:ascii="Times New Roman"/>
          <w:spacing w:val="11"/>
        </w:rPr>
        <w:t>R</w:t>
      </w:r>
      <w:r>
        <w:rPr>
          <w:rFonts w:ascii="Times New Roman"/>
          <w:spacing w:val="-12"/>
        </w:rPr>
        <w:t>I</w:t>
      </w:r>
      <w:r>
        <w:rPr>
          <w:rFonts w:ascii="Times New Roman"/>
          <w:spacing w:val="-2"/>
        </w:rPr>
        <w:t>N</w:t>
      </w:r>
      <w:r>
        <w:rPr>
          <w:rFonts w:ascii="Times New Roman"/>
          <w:spacing w:val="11"/>
        </w:rPr>
        <w:t>C</w:t>
      </w:r>
      <w:r>
        <w:rPr>
          <w:rFonts w:ascii="Times New Roman"/>
          <w:spacing w:val="-12"/>
        </w:rPr>
        <w:t>I</w:t>
      </w:r>
      <w:r>
        <w:rPr>
          <w:rFonts w:ascii="Times New Roman"/>
        </w:rPr>
        <w:t>P</w:t>
      </w:r>
      <w:r>
        <w:rPr>
          <w:rFonts w:ascii="Times New Roman"/>
          <w:spacing w:val="-29"/>
        </w:rPr>
        <w:t xml:space="preserve"> </w:t>
      </w:r>
      <w:r>
        <w:rPr>
          <w:rFonts w:ascii="Times New Roman"/>
          <w:spacing w:val="-3"/>
        </w:rPr>
        <w:t>AL</w:t>
      </w:r>
      <w:r>
        <w:rPr>
          <w:rFonts w:ascii="Times New Roman"/>
          <w:spacing w:val="7"/>
        </w:rPr>
        <w:t xml:space="preserve"> </w:t>
      </w:r>
      <w:r>
        <w:rPr>
          <w:rFonts w:ascii="Times New Roman"/>
          <w:spacing w:val="3"/>
        </w:rPr>
        <w:t>POINTS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5"/>
        </w:numPr>
        <w:tabs>
          <w:tab w:val="left" w:pos="829"/>
        </w:tabs>
        <w:spacing w:before="0"/>
        <w:ind w:left="828"/>
      </w:pPr>
      <w:r>
        <w:t>The</w:t>
      </w:r>
      <w:r>
        <w:rPr>
          <w:spacing w:val="-2"/>
        </w:rPr>
        <w:t xml:space="preserve"> </w:t>
      </w:r>
      <w:r>
        <w:rPr>
          <w:spacing w:val="-1"/>
        </w:rPr>
        <w:t>objectives</w:t>
      </w:r>
      <w:r>
        <w:rPr>
          <w:spacing w:val="1"/>
        </w:rPr>
        <w:t xml:space="preserve"> </w:t>
      </w:r>
      <w:r>
        <w:rPr>
          <w:spacing w:val="-2"/>
        </w:rPr>
        <w:t>of</w:t>
      </w:r>
      <w:r>
        <w:rPr>
          <w:spacing w:val="2"/>
        </w:rPr>
        <w:t xml:space="preserve"> </w:t>
      </w:r>
      <w:r>
        <w:t>the</w:t>
      </w:r>
      <w:r>
        <w:rPr>
          <w:spacing w:val="-2"/>
        </w:rPr>
        <w:t xml:space="preserve"> Service</w:t>
      </w:r>
      <w:r>
        <w:rPr>
          <w:spacing w:val="1"/>
        </w:rPr>
        <w:t xml:space="preserve"> </w:t>
      </w:r>
      <w:r>
        <w:rPr>
          <w:spacing w:val="-1"/>
        </w:rPr>
        <w:t>Levels</w:t>
      </w:r>
      <w:r>
        <w:rPr>
          <w:spacing w:val="1"/>
        </w:rPr>
        <w:t xml:space="preserve"> </w:t>
      </w:r>
      <w:r>
        <w:rPr>
          <w:spacing w:val="-1"/>
        </w:rPr>
        <w:t>and</w:t>
      </w:r>
      <w:r>
        <w:t xml:space="preserve"> </w:t>
      </w:r>
      <w:r>
        <w:rPr>
          <w:spacing w:val="-2"/>
        </w:rPr>
        <w:t>Service</w:t>
      </w:r>
      <w:r>
        <w:rPr>
          <w:spacing w:val="1"/>
        </w:rPr>
        <w:t xml:space="preserve"> </w:t>
      </w:r>
      <w:r>
        <w:rPr>
          <w:spacing w:val="-1"/>
        </w:rPr>
        <w:t>Credits</w:t>
      </w:r>
      <w:r>
        <w:rPr>
          <w:spacing w:val="1"/>
        </w:rPr>
        <w:t xml:space="preserve"> </w:t>
      </w:r>
      <w:r>
        <w:rPr>
          <w:spacing w:val="-1"/>
        </w:rPr>
        <w:t>are</w:t>
      </w:r>
      <w:r>
        <w:rPr>
          <w:spacing w:val="-2"/>
        </w:rPr>
        <w:t xml:space="preserve"> </w:t>
      </w:r>
      <w:r>
        <w:rPr>
          <w:spacing w:val="-1"/>
        </w:rPr>
        <w:t>to:</w:t>
      </w:r>
    </w:p>
    <w:p w:rsidR="008918FA" w:rsidRDefault="008918FA" w:rsidP="008918FA">
      <w:pPr>
        <w:pStyle w:val="BodyText"/>
        <w:numPr>
          <w:ilvl w:val="2"/>
          <w:numId w:val="25"/>
        </w:numPr>
        <w:tabs>
          <w:tab w:val="left" w:pos="2027"/>
        </w:tabs>
        <w:spacing w:before="121"/>
        <w:ind w:left="2026" w:right="115"/>
        <w:jc w:val="both"/>
      </w:pPr>
      <w:r>
        <w:rPr>
          <w:spacing w:val="-1"/>
        </w:rPr>
        <w:t>ensure</w:t>
      </w:r>
      <w:r>
        <w:rPr>
          <w:spacing w:val="4"/>
        </w:rPr>
        <w:t xml:space="preserve"> </w:t>
      </w:r>
      <w:r>
        <w:rPr>
          <w:spacing w:val="-1"/>
        </w:rPr>
        <w:t>that</w:t>
      </w:r>
      <w:r>
        <w:rPr>
          <w:spacing w:val="5"/>
        </w:rPr>
        <w:t xml:space="preserve"> </w:t>
      </w:r>
      <w:r>
        <w:t>the</w:t>
      </w:r>
      <w:r>
        <w:rPr>
          <w:spacing w:val="2"/>
        </w:rPr>
        <w:t xml:space="preserve"> </w:t>
      </w:r>
      <w:r>
        <w:rPr>
          <w:spacing w:val="-1"/>
        </w:rPr>
        <w:t>Goods</w:t>
      </w:r>
      <w:r>
        <w:rPr>
          <w:spacing w:val="2"/>
        </w:rPr>
        <w:t xml:space="preserve"> </w:t>
      </w:r>
      <w:r>
        <w:rPr>
          <w:spacing w:val="-1"/>
        </w:rPr>
        <w:t>and/or</w:t>
      </w:r>
      <w:r>
        <w:rPr>
          <w:spacing w:val="5"/>
        </w:rPr>
        <w:t xml:space="preserve"> </w:t>
      </w:r>
      <w:r>
        <w:rPr>
          <w:spacing w:val="-1"/>
        </w:rPr>
        <w:t>Services</w:t>
      </w:r>
      <w:r>
        <w:rPr>
          <w:spacing w:val="4"/>
        </w:rPr>
        <w:t xml:space="preserve"> </w:t>
      </w:r>
      <w:r>
        <w:rPr>
          <w:spacing w:val="-1"/>
        </w:rPr>
        <w:t>are</w:t>
      </w:r>
      <w:r>
        <w:rPr>
          <w:spacing w:val="4"/>
        </w:rPr>
        <w:t xml:space="preserve"> </w:t>
      </w:r>
      <w:r>
        <w:rPr>
          <w:spacing w:val="-2"/>
        </w:rPr>
        <w:t>of</w:t>
      </w:r>
      <w:r>
        <w:rPr>
          <w:spacing w:val="5"/>
        </w:rPr>
        <w:t xml:space="preserve"> </w:t>
      </w:r>
      <w:r>
        <w:t>a</w:t>
      </w:r>
      <w:r>
        <w:rPr>
          <w:spacing w:val="4"/>
        </w:rPr>
        <w:t xml:space="preserve"> </w:t>
      </w:r>
      <w:r>
        <w:rPr>
          <w:spacing w:val="-1"/>
        </w:rPr>
        <w:t>consistently</w:t>
      </w:r>
      <w:r>
        <w:t xml:space="preserve"> </w:t>
      </w:r>
      <w:r>
        <w:rPr>
          <w:spacing w:val="2"/>
        </w:rPr>
        <w:t xml:space="preserve"> </w:t>
      </w:r>
      <w:r>
        <w:rPr>
          <w:spacing w:val="-1"/>
        </w:rPr>
        <w:t>high</w:t>
      </w:r>
      <w:r>
        <w:rPr>
          <w:spacing w:val="39"/>
        </w:rPr>
        <w:t xml:space="preserve"> </w:t>
      </w:r>
      <w:r>
        <w:rPr>
          <w:spacing w:val="-1"/>
        </w:rPr>
        <w:t>quality</w:t>
      </w:r>
      <w:r>
        <w:rPr>
          <w:spacing w:val="-2"/>
        </w:rPr>
        <w:t xml:space="preserve"> </w:t>
      </w:r>
      <w:r>
        <w:rPr>
          <w:spacing w:val="-1"/>
        </w:rPr>
        <w:t>and</w:t>
      </w:r>
      <w:r>
        <w:rPr>
          <w:spacing w:val="-2"/>
        </w:rPr>
        <w:t xml:space="preserve"> </w:t>
      </w:r>
      <w:r>
        <w:rPr>
          <w:spacing w:val="-1"/>
        </w:rPr>
        <w:t>meet</w:t>
      </w:r>
      <w:r>
        <w:t xml:space="preserve"> the</w:t>
      </w:r>
      <w:r>
        <w:rPr>
          <w:spacing w:val="-2"/>
        </w:rPr>
        <w:t xml:space="preserve"> </w:t>
      </w:r>
      <w:r>
        <w:rPr>
          <w:spacing w:val="-1"/>
        </w:rPr>
        <w:t>requirements</w:t>
      </w:r>
      <w:r>
        <w:rPr>
          <w:spacing w:val="-2"/>
        </w:rPr>
        <w:t xml:space="preserve"> of</w:t>
      </w:r>
      <w:r>
        <w:t xml:space="preserve"> the </w:t>
      </w:r>
      <w:r>
        <w:rPr>
          <w:spacing w:val="-1"/>
        </w:rPr>
        <w:t>Customer;</w:t>
      </w:r>
    </w:p>
    <w:p w:rsidR="008918FA" w:rsidRDefault="008918FA" w:rsidP="008918FA">
      <w:pPr>
        <w:pStyle w:val="BodyText"/>
        <w:numPr>
          <w:ilvl w:val="2"/>
          <w:numId w:val="25"/>
        </w:numPr>
        <w:tabs>
          <w:tab w:val="left" w:pos="2027"/>
        </w:tabs>
        <w:ind w:left="2026" w:right="113"/>
        <w:jc w:val="both"/>
      </w:pPr>
      <w:r>
        <w:rPr>
          <w:spacing w:val="-2"/>
        </w:rPr>
        <w:t>provide</w:t>
      </w:r>
      <w:r>
        <w:rPr>
          <w:spacing w:val="51"/>
        </w:rPr>
        <w:t xml:space="preserve"> </w:t>
      </w:r>
      <w:r>
        <w:t>a</w:t>
      </w:r>
      <w:r>
        <w:rPr>
          <w:spacing w:val="51"/>
        </w:rPr>
        <w:t xml:space="preserve"> </w:t>
      </w:r>
      <w:r>
        <w:rPr>
          <w:spacing w:val="-1"/>
        </w:rPr>
        <w:t>mechanism</w:t>
      </w:r>
      <w:r>
        <w:rPr>
          <w:spacing w:val="47"/>
        </w:rPr>
        <w:t xml:space="preserve"> </w:t>
      </w:r>
      <w:r>
        <w:rPr>
          <w:spacing w:val="-1"/>
        </w:rPr>
        <w:t>whereby</w:t>
      </w:r>
      <w:r>
        <w:rPr>
          <w:spacing w:val="49"/>
        </w:rPr>
        <w:t xml:space="preserve"> </w:t>
      </w:r>
      <w:r>
        <w:t>the</w:t>
      </w:r>
      <w:r>
        <w:rPr>
          <w:spacing w:val="51"/>
        </w:rPr>
        <w:t xml:space="preserve"> </w:t>
      </w:r>
      <w:r>
        <w:rPr>
          <w:spacing w:val="-2"/>
        </w:rPr>
        <w:t>Customer</w:t>
      </w:r>
      <w:r>
        <w:rPr>
          <w:spacing w:val="49"/>
        </w:rPr>
        <w:t xml:space="preserve"> </w:t>
      </w:r>
      <w:r>
        <w:rPr>
          <w:spacing w:val="-1"/>
        </w:rPr>
        <w:t>can</w:t>
      </w:r>
      <w:r>
        <w:rPr>
          <w:spacing w:val="52"/>
        </w:rPr>
        <w:t xml:space="preserve"> </w:t>
      </w:r>
      <w:r>
        <w:rPr>
          <w:spacing w:val="-1"/>
        </w:rPr>
        <w:t>attain</w:t>
      </w:r>
      <w:r>
        <w:rPr>
          <w:spacing w:val="51"/>
        </w:rPr>
        <w:t xml:space="preserve"> </w:t>
      </w:r>
      <w:r>
        <w:rPr>
          <w:spacing w:val="-1"/>
        </w:rPr>
        <w:t>meaningful</w:t>
      </w:r>
      <w:r>
        <w:rPr>
          <w:spacing w:val="40"/>
        </w:rPr>
        <w:t xml:space="preserve"> </w:t>
      </w:r>
      <w:r>
        <w:rPr>
          <w:spacing w:val="-1"/>
        </w:rPr>
        <w:t>recognition</w:t>
      </w:r>
      <w:r>
        <w:rPr>
          <w:spacing w:val="24"/>
        </w:rPr>
        <w:t xml:space="preserve"> </w:t>
      </w:r>
      <w:r>
        <w:rPr>
          <w:spacing w:val="-2"/>
        </w:rPr>
        <w:t>of</w:t>
      </w:r>
      <w:r>
        <w:rPr>
          <w:spacing w:val="28"/>
        </w:rPr>
        <w:t xml:space="preserve"> </w:t>
      </w:r>
      <w:r>
        <w:rPr>
          <w:spacing w:val="-1"/>
        </w:rPr>
        <w:t>inconvenience</w:t>
      </w:r>
      <w:r>
        <w:rPr>
          <w:spacing w:val="25"/>
        </w:rPr>
        <w:t xml:space="preserve"> </w:t>
      </w:r>
      <w:r>
        <w:rPr>
          <w:spacing w:val="-1"/>
        </w:rPr>
        <w:t>and/or</w:t>
      </w:r>
      <w:r>
        <w:rPr>
          <w:spacing w:val="26"/>
        </w:rPr>
        <w:t xml:space="preserve"> </w:t>
      </w:r>
      <w:r>
        <w:rPr>
          <w:spacing w:val="-1"/>
        </w:rPr>
        <w:t>loss</w:t>
      </w:r>
      <w:r>
        <w:rPr>
          <w:spacing w:val="25"/>
        </w:rPr>
        <w:t xml:space="preserve"> </w:t>
      </w:r>
      <w:r>
        <w:rPr>
          <w:spacing w:val="-1"/>
        </w:rPr>
        <w:t>resulting</w:t>
      </w:r>
      <w:r>
        <w:rPr>
          <w:spacing w:val="24"/>
        </w:rPr>
        <w:t xml:space="preserve"> </w:t>
      </w:r>
      <w:r>
        <w:t>from</w:t>
      </w:r>
      <w:r>
        <w:rPr>
          <w:spacing w:val="26"/>
        </w:rPr>
        <w:t xml:space="preserve"> </w:t>
      </w:r>
      <w:r>
        <w:rPr>
          <w:spacing w:val="-1"/>
        </w:rPr>
        <w:t>the</w:t>
      </w:r>
      <w:r>
        <w:rPr>
          <w:spacing w:val="24"/>
        </w:rPr>
        <w:t xml:space="preserve"> </w:t>
      </w:r>
      <w:r>
        <w:rPr>
          <w:spacing w:val="-2"/>
        </w:rPr>
        <w:t>Supplier’s</w:t>
      </w:r>
      <w:r>
        <w:rPr>
          <w:spacing w:val="39"/>
        </w:rPr>
        <w:t xml:space="preserve"> </w:t>
      </w:r>
      <w:r>
        <w:rPr>
          <w:spacing w:val="-1"/>
        </w:rPr>
        <w:t>failure</w:t>
      </w:r>
      <w:r>
        <w:rPr>
          <w:spacing w:val="51"/>
        </w:rPr>
        <w:t xml:space="preserve"> </w:t>
      </w:r>
      <w:r>
        <w:t>to</w:t>
      </w:r>
      <w:r>
        <w:rPr>
          <w:spacing w:val="51"/>
        </w:rPr>
        <w:t xml:space="preserve"> </w:t>
      </w:r>
      <w:r>
        <w:rPr>
          <w:spacing w:val="-2"/>
        </w:rPr>
        <w:t>deliver</w:t>
      </w:r>
      <w:r>
        <w:rPr>
          <w:spacing w:val="52"/>
        </w:rPr>
        <w:t xml:space="preserve"> </w:t>
      </w:r>
      <w:r>
        <w:t>the</w:t>
      </w:r>
      <w:r>
        <w:rPr>
          <w:spacing w:val="51"/>
        </w:rPr>
        <w:t xml:space="preserve"> </w:t>
      </w:r>
      <w:r>
        <w:rPr>
          <w:spacing w:val="-1"/>
        </w:rPr>
        <w:t>level</w:t>
      </w:r>
      <w:r>
        <w:rPr>
          <w:spacing w:val="50"/>
        </w:rPr>
        <w:t xml:space="preserve"> </w:t>
      </w:r>
      <w:r>
        <w:rPr>
          <w:spacing w:val="-1"/>
        </w:rPr>
        <w:t>of</w:t>
      </w:r>
      <w:r>
        <w:rPr>
          <w:spacing w:val="54"/>
        </w:rPr>
        <w:t xml:space="preserve"> </w:t>
      </w:r>
      <w:r>
        <w:rPr>
          <w:spacing w:val="-1"/>
        </w:rPr>
        <w:t>service</w:t>
      </w:r>
      <w:r>
        <w:rPr>
          <w:spacing w:val="52"/>
        </w:rPr>
        <w:t xml:space="preserve"> </w:t>
      </w:r>
      <w:r>
        <w:t>for</w:t>
      </w:r>
      <w:r>
        <w:rPr>
          <w:spacing w:val="52"/>
        </w:rPr>
        <w:t xml:space="preserve"> </w:t>
      </w:r>
      <w:r>
        <w:rPr>
          <w:spacing w:val="-2"/>
        </w:rPr>
        <w:t>which</w:t>
      </w:r>
      <w:r>
        <w:rPr>
          <w:spacing w:val="51"/>
        </w:rPr>
        <w:t xml:space="preserve"> </w:t>
      </w:r>
      <w:r>
        <w:rPr>
          <w:spacing w:val="-1"/>
        </w:rPr>
        <w:t>it</w:t>
      </w:r>
      <w:r>
        <w:rPr>
          <w:spacing w:val="52"/>
        </w:rPr>
        <w:t xml:space="preserve"> </w:t>
      </w:r>
      <w:r>
        <w:rPr>
          <w:spacing w:val="-1"/>
        </w:rPr>
        <w:t>has</w:t>
      </w:r>
      <w:r>
        <w:rPr>
          <w:spacing w:val="51"/>
        </w:rPr>
        <w:t xml:space="preserve"> </w:t>
      </w:r>
      <w:r>
        <w:rPr>
          <w:spacing w:val="-1"/>
        </w:rPr>
        <w:t>contracted</w:t>
      </w:r>
      <w:r>
        <w:rPr>
          <w:spacing w:val="51"/>
        </w:rPr>
        <w:t xml:space="preserve"> </w:t>
      </w:r>
      <w:r>
        <w:t>to</w:t>
      </w:r>
      <w:r>
        <w:rPr>
          <w:spacing w:val="41"/>
        </w:rPr>
        <w:t xml:space="preserve"> </w:t>
      </w:r>
      <w:r>
        <w:rPr>
          <w:spacing w:val="-1"/>
        </w:rPr>
        <w:t>deliver;</w:t>
      </w:r>
      <w:r>
        <w:rPr>
          <w:spacing w:val="2"/>
        </w:rPr>
        <w:t xml:space="preserve"> </w:t>
      </w:r>
      <w:r>
        <w:rPr>
          <w:spacing w:val="-1"/>
        </w:rPr>
        <w:t>and</w:t>
      </w:r>
    </w:p>
    <w:p w:rsidR="008918FA" w:rsidRDefault="008918FA" w:rsidP="008918FA">
      <w:pPr>
        <w:pStyle w:val="BodyText"/>
        <w:numPr>
          <w:ilvl w:val="2"/>
          <w:numId w:val="25"/>
        </w:numPr>
        <w:tabs>
          <w:tab w:val="left" w:pos="2027"/>
        </w:tabs>
        <w:ind w:left="2026" w:right="117"/>
        <w:jc w:val="both"/>
      </w:pPr>
      <w:r>
        <w:rPr>
          <w:spacing w:val="-2"/>
        </w:rPr>
        <w:t>incentivise</w:t>
      </w:r>
      <w:r>
        <w:rPr>
          <w:spacing w:val="44"/>
        </w:rPr>
        <w:t xml:space="preserve"> </w:t>
      </w:r>
      <w:r>
        <w:t>the</w:t>
      </w:r>
      <w:r>
        <w:rPr>
          <w:spacing w:val="43"/>
        </w:rPr>
        <w:t xml:space="preserve"> </w:t>
      </w:r>
      <w:r>
        <w:rPr>
          <w:spacing w:val="-1"/>
        </w:rPr>
        <w:t>Supplier</w:t>
      </w:r>
      <w:r>
        <w:rPr>
          <w:spacing w:val="45"/>
        </w:rPr>
        <w:t xml:space="preserve"> </w:t>
      </w:r>
      <w:r>
        <w:t>to</w:t>
      </w:r>
      <w:r>
        <w:rPr>
          <w:spacing w:val="43"/>
        </w:rPr>
        <w:t xml:space="preserve"> </w:t>
      </w:r>
      <w:r>
        <w:rPr>
          <w:spacing w:val="-1"/>
        </w:rPr>
        <w:t>comply</w:t>
      </w:r>
      <w:r>
        <w:rPr>
          <w:spacing w:val="44"/>
        </w:rPr>
        <w:t xml:space="preserve"> </w:t>
      </w:r>
      <w:r>
        <w:rPr>
          <w:spacing w:val="-2"/>
        </w:rPr>
        <w:t>with</w:t>
      </w:r>
      <w:r>
        <w:rPr>
          <w:spacing w:val="43"/>
        </w:rPr>
        <w:t xml:space="preserve"> </w:t>
      </w:r>
      <w:r>
        <w:rPr>
          <w:spacing w:val="-1"/>
        </w:rPr>
        <w:t>and</w:t>
      </w:r>
      <w:r>
        <w:rPr>
          <w:spacing w:val="44"/>
        </w:rPr>
        <w:t xml:space="preserve"> </w:t>
      </w:r>
      <w:r>
        <w:t>to</w:t>
      </w:r>
      <w:r>
        <w:rPr>
          <w:spacing w:val="43"/>
        </w:rPr>
        <w:t xml:space="preserve"> </w:t>
      </w:r>
      <w:r>
        <w:rPr>
          <w:spacing w:val="-1"/>
        </w:rPr>
        <w:t>expeditiously</w:t>
      </w:r>
      <w:r>
        <w:rPr>
          <w:spacing w:val="41"/>
        </w:rPr>
        <w:t xml:space="preserve"> </w:t>
      </w:r>
      <w:r>
        <w:t>remedy</w:t>
      </w:r>
      <w:r>
        <w:rPr>
          <w:spacing w:val="43"/>
        </w:rPr>
        <w:t xml:space="preserve"> </w:t>
      </w:r>
      <w:r>
        <w:rPr>
          <w:spacing w:val="-1"/>
        </w:rPr>
        <w:t>any</w:t>
      </w:r>
      <w:r>
        <w:rPr>
          <w:spacing w:val="-2"/>
        </w:rPr>
        <w:t xml:space="preserve"> </w:t>
      </w:r>
      <w:r>
        <w:rPr>
          <w:spacing w:val="-1"/>
        </w:rPr>
        <w:t>failure</w:t>
      </w:r>
      <w:r>
        <w:rPr>
          <w:spacing w:val="-2"/>
        </w:rPr>
        <w:t xml:space="preserve"> </w:t>
      </w:r>
      <w:r>
        <w:t>to</w:t>
      </w:r>
      <w:r>
        <w:rPr>
          <w:spacing w:val="-2"/>
        </w:rPr>
        <w:t xml:space="preserve"> </w:t>
      </w:r>
      <w:r>
        <w:rPr>
          <w:spacing w:val="-1"/>
        </w:rPr>
        <w:t>comply</w:t>
      </w:r>
      <w:r>
        <w:rPr>
          <w:spacing w:val="-2"/>
        </w:rPr>
        <w:t xml:space="preserve"> with</w:t>
      </w:r>
      <w:r>
        <w:t xml:space="preserve"> the</w:t>
      </w:r>
      <w:r>
        <w:rPr>
          <w:spacing w:val="-2"/>
        </w:rPr>
        <w:t xml:space="preserve"> Service</w:t>
      </w:r>
      <w:r>
        <w:rPr>
          <w:spacing w:val="1"/>
        </w:rPr>
        <w:t xml:space="preserve"> </w:t>
      </w:r>
      <w:r>
        <w:rPr>
          <w:spacing w:val="-2"/>
        </w:rPr>
        <w:t>Levels.</w:t>
      </w:r>
    </w:p>
    <w:p w:rsidR="008918FA" w:rsidRDefault="008918FA" w:rsidP="008918FA">
      <w:pPr>
        <w:pStyle w:val="BodyText"/>
        <w:numPr>
          <w:ilvl w:val="0"/>
          <w:numId w:val="25"/>
        </w:numPr>
        <w:tabs>
          <w:tab w:val="left" w:pos="466"/>
        </w:tabs>
        <w:spacing w:before="120"/>
        <w:ind w:left="465" w:hanging="359"/>
        <w:jc w:val="left"/>
        <w:rPr>
          <w:rFonts w:ascii="Times New Roman" w:eastAsia="Times New Roman" w:hAnsi="Times New Roman" w:cs="Times New Roman"/>
        </w:rPr>
      </w:pPr>
      <w:r>
        <w:rPr>
          <w:rFonts w:ascii="Times New Roman"/>
          <w:spacing w:val="4"/>
        </w:rPr>
        <w:t>SERVICE</w:t>
      </w:r>
      <w:r>
        <w:rPr>
          <w:rFonts w:ascii="Times New Roman"/>
          <w:spacing w:val="18"/>
        </w:rPr>
        <w:t xml:space="preserve"> </w:t>
      </w:r>
      <w:r>
        <w:rPr>
          <w:rFonts w:ascii="Times New Roman"/>
          <w:spacing w:val="1"/>
        </w:rPr>
        <w:t>LEVELS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5"/>
        </w:numPr>
        <w:tabs>
          <w:tab w:val="left" w:pos="829"/>
        </w:tabs>
        <w:spacing w:before="0"/>
        <w:ind w:left="828" w:right="116"/>
        <w:jc w:val="both"/>
      </w:pPr>
      <w:r>
        <w:rPr>
          <w:spacing w:val="-1"/>
        </w:rPr>
        <w:t>Annex</w:t>
      </w:r>
      <w:r>
        <w:rPr>
          <w:spacing w:val="30"/>
        </w:rPr>
        <w:t xml:space="preserve"> </w:t>
      </w:r>
      <w:r>
        <w:t>1</w:t>
      </w:r>
      <w:r>
        <w:rPr>
          <w:spacing w:val="31"/>
        </w:rPr>
        <w:t xml:space="preserve"> </w:t>
      </w:r>
      <w:r>
        <w:t>to</w:t>
      </w:r>
      <w:r>
        <w:rPr>
          <w:spacing w:val="31"/>
        </w:rPr>
        <w:t xml:space="preserve"> </w:t>
      </w:r>
      <w:r>
        <w:rPr>
          <w:spacing w:val="-1"/>
        </w:rPr>
        <w:t>this</w:t>
      </w:r>
      <w:r>
        <w:rPr>
          <w:spacing w:val="32"/>
        </w:rPr>
        <w:t xml:space="preserve"> </w:t>
      </w:r>
      <w:r>
        <w:rPr>
          <w:spacing w:val="-1"/>
        </w:rPr>
        <w:t>Part</w:t>
      </w:r>
      <w:r>
        <w:rPr>
          <w:spacing w:val="33"/>
        </w:rPr>
        <w:t xml:space="preserve"> </w:t>
      </w:r>
      <w:r>
        <w:t>A</w:t>
      </w:r>
      <w:r>
        <w:rPr>
          <w:spacing w:val="29"/>
        </w:rPr>
        <w:t xml:space="preserve"> </w:t>
      </w:r>
      <w:r>
        <w:rPr>
          <w:spacing w:val="-2"/>
        </w:rPr>
        <w:t>of</w:t>
      </w:r>
      <w:r>
        <w:rPr>
          <w:spacing w:val="35"/>
        </w:rPr>
        <w:t xml:space="preserve"> </w:t>
      </w:r>
      <w:r>
        <w:rPr>
          <w:spacing w:val="-1"/>
        </w:rPr>
        <w:t>this</w:t>
      </w:r>
      <w:r>
        <w:rPr>
          <w:spacing w:val="32"/>
        </w:rPr>
        <w:t xml:space="preserve"> </w:t>
      </w:r>
      <w:r>
        <w:rPr>
          <w:spacing w:val="-2"/>
        </w:rPr>
        <w:t>Call</w:t>
      </w:r>
      <w:r>
        <w:rPr>
          <w:spacing w:val="32"/>
        </w:rPr>
        <w:t xml:space="preserve"> </w:t>
      </w:r>
      <w:r>
        <w:rPr>
          <w:spacing w:val="-1"/>
        </w:rPr>
        <w:t>Off</w:t>
      </w:r>
      <w:r>
        <w:rPr>
          <w:spacing w:val="33"/>
        </w:rPr>
        <w:t xml:space="preserve"> </w:t>
      </w:r>
      <w:r>
        <w:rPr>
          <w:spacing w:val="-2"/>
        </w:rPr>
        <w:t>Schedule</w:t>
      </w:r>
      <w:r>
        <w:rPr>
          <w:spacing w:val="31"/>
        </w:rPr>
        <w:t xml:space="preserve"> </w:t>
      </w:r>
      <w:r>
        <w:t>sets</w:t>
      </w:r>
      <w:r>
        <w:rPr>
          <w:spacing w:val="32"/>
        </w:rPr>
        <w:t xml:space="preserve"> </w:t>
      </w:r>
      <w:r>
        <w:rPr>
          <w:spacing w:val="-2"/>
        </w:rPr>
        <w:t>out</w:t>
      </w:r>
      <w:r>
        <w:rPr>
          <w:spacing w:val="33"/>
        </w:rPr>
        <w:t xml:space="preserve"> </w:t>
      </w:r>
      <w:r>
        <w:t>the</w:t>
      </w:r>
      <w:r>
        <w:rPr>
          <w:spacing w:val="31"/>
        </w:rPr>
        <w:t xml:space="preserve"> </w:t>
      </w:r>
      <w:r>
        <w:rPr>
          <w:spacing w:val="-2"/>
        </w:rPr>
        <w:t>Service</w:t>
      </w:r>
      <w:r>
        <w:rPr>
          <w:spacing w:val="33"/>
        </w:rPr>
        <w:t xml:space="preserve"> </w:t>
      </w:r>
      <w:r>
        <w:rPr>
          <w:spacing w:val="-2"/>
        </w:rPr>
        <w:t>Levels</w:t>
      </w:r>
      <w:r>
        <w:rPr>
          <w:spacing w:val="32"/>
        </w:rPr>
        <w:t xml:space="preserve"> </w:t>
      </w:r>
      <w:r>
        <w:rPr>
          <w:spacing w:val="-1"/>
        </w:rPr>
        <w:t>the</w:t>
      </w:r>
      <w:r>
        <w:rPr>
          <w:spacing w:val="66"/>
        </w:rPr>
        <w:t xml:space="preserve"> </w:t>
      </w:r>
      <w:r>
        <w:rPr>
          <w:spacing w:val="-1"/>
        </w:rPr>
        <w:t>performance</w:t>
      </w:r>
      <w:r>
        <w:rPr>
          <w:spacing w:val="-2"/>
        </w:rPr>
        <w:t xml:space="preserve"> of</w:t>
      </w:r>
      <w:r>
        <w:rPr>
          <w:spacing w:val="2"/>
        </w:rPr>
        <w:t xml:space="preserve"> </w:t>
      </w:r>
      <w:r>
        <w:rPr>
          <w:spacing w:val="-2"/>
        </w:rPr>
        <w:t>which</w:t>
      </w:r>
      <w:r>
        <w:rPr>
          <w:spacing w:val="1"/>
        </w:rPr>
        <w:t xml:space="preserve"> </w:t>
      </w:r>
      <w:r>
        <w:rPr>
          <w:spacing w:val="-1"/>
        </w:rPr>
        <w:t>the</w:t>
      </w:r>
      <w:r>
        <w:t xml:space="preserve"> </w:t>
      </w:r>
      <w:r>
        <w:rPr>
          <w:spacing w:val="-1"/>
        </w:rPr>
        <w:t>Parties</w:t>
      </w:r>
      <w:r>
        <w:rPr>
          <w:spacing w:val="-2"/>
        </w:rPr>
        <w:t xml:space="preserve"> have</w:t>
      </w:r>
      <w:r>
        <w:t xml:space="preserve"> </w:t>
      </w:r>
      <w:r>
        <w:rPr>
          <w:spacing w:val="-1"/>
        </w:rPr>
        <w:t>agreed</w:t>
      </w:r>
      <w:r>
        <w:rPr>
          <w:spacing w:val="-2"/>
        </w:rPr>
        <w:t xml:space="preserve"> </w:t>
      </w:r>
      <w:r>
        <w:t>to</w:t>
      </w:r>
      <w:r>
        <w:rPr>
          <w:spacing w:val="-2"/>
        </w:rPr>
        <w:t xml:space="preserve"> </w:t>
      </w:r>
      <w:r>
        <w:rPr>
          <w:spacing w:val="-1"/>
        </w:rPr>
        <w:t>measure.</w:t>
      </w:r>
    </w:p>
    <w:p w:rsidR="008918FA" w:rsidRDefault="008918FA" w:rsidP="008918FA">
      <w:pPr>
        <w:pStyle w:val="BodyText"/>
        <w:numPr>
          <w:ilvl w:val="1"/>
          <w:numId w:val="25"/>
        </w:numPr>
        <w:tabs>
          <w:tab w:val="left" w:pos="829"/>
        </w:tabs>
        <w:ind w:left="828" w:right="115"/>
        <w:jc w:val="both"/>
      </w:pPr>
      <w:bookmarkStart w:id="382" w:name="_bookmark310"/>
      <w:bookmarkEnd w:id="382"/>
      <w:r>
        <w:t>The</w:t>
      </w:r>
      <w:r>
        <w:rPr>
          <w:spacing w:val="7"/>
        </w:rPr>
        <w:t xml:space="preserve"> </w:t>
      </w:r>
      <w:r>
        <w:rPr>
          <w:spacing w:val="-2"/>
        </w:rPr>
        <w:t>Supplier</w:t>
      </w:r>
      <w:r>
        <w:rPr>
          <w:spacing w:val="9"/>
        </w:rPr>
        <w:t xml:space="preserve"> </w:t>
      </w:r>
      <w:r>
        <w:rPr>
          <w:spacing w:val="-1"/>
        </w:rPr>
        <w:t>shall</w:t>
      </w:r>
      <w:r>
        <w:rPr>
          <w:spacing w:val="7"/>
        </w:rPr>
        <w:t xml:space="preserve"> </w:t>
      </w:r>
      <w:r>
        <w:rPr>
          <w:spacing w:val="-1"/>
        </w:rPr>
        <w:t>monitor</w:t>
      </w:r>
      <w:r>
        <w:rPr>
          <w:spacing w:val="9"/>
        </w:rPr>
        <w:t xml:space="preserve"> </w:t>
      </w:r>
      <w:r>
        <w:rPr>
          <w:spacing w:val="-1"/>
        </w:rPr>
        <w:t>its</w:t>
      </w:r>
      <w:r>
        <w:rPr>
          <w:spacing w:val="8"/>
        </w:rPr>
        <w:t xml:space="preserve"> </w:t>
      </w:r>
      <w:r>
        <w:rPr>
          <w:spacing w:val="-1"/>
        </w:rPr>
        <w:t>performance</w:t>
      </w:r>
      <w:r>
        <w:rPr>
          <w:spacing w:val="8"/>
        </w:rPr>
        <w:t xml:space="preserve"> </w:t>
      </w:r>
      <w:r>
        <w:rPr>
          <w:spacing w:val="-2"/>
        </w:rPr>
        <w:t>of</w:t>
      </w:r>
      <w:r>
        <w:rPr>
          <w:spacing w:val="11"/>
        </w:rPr>
        <w:t xml:space="preserve"> </w:t>
      </w:r>
      <w:r>
        <w:rPr>
          <w:spacing w:val="-1"/>
        </w:rPr>
        <w:t>this</w:t>
      </w:r>
      <w:r>
        <w:rPr>
          <w:spacing w:val="8"/>
        </w:rPr>
        <w:t xml:space="preserve"> </w:t>
      </w:r>
      <w:r>
        <w:rPr>
          <w:spacing w:val="-2"/>
        </w:rPr>
        <w:t>Call</w:t>
      </w:r>
      <w:r>
        <w:rPr>
          <w:spacing w:val="9"/>
        </w:rPr>
        <w:t xml:space="preserve"> </w:t>
      </w:r>
      <w:r>
        <w:t>Off</w:t>
      </w:r>
      <w:r>
        <w:rPr>
          <w:spacing w:val="9"/>
        </w:rPr>
        <w:t xml:space="preserve"> </w:t>
      </w:r>
      <w:r>
        <w:rPr>
          <w:spacing w:val="-1"/>
        </w:rPr>
        <w:t>Contract</w:t>
      </w:r>
      <w:r>
        <w:rPr>
          <w:spacing w:val="9"/>
        </w:rPr>
        <w:t xml:space="preserve"> </w:t>
      </w:r>
      <w:r>
        <w:rPr>
          <w:spacing w:val="-1"/>
        </w:rPr>
        <w:t>by</w:t>
      </w:r>
      <w:r>
        <w:rPr>
          <w:spacing w:val="5"/>
        </w:rPr>
        <w:t xml:space="preserve"> </w:t>
      </w:r>
      <w:r>
        <w:rPr>
          <w:spacing w:val="-1"/>
        </w:rPr>
        <w:t>reference</w:t>
      </w:r>
      <w:r>
        <w:rPr>
          <w:spacing w:val="8"/>
        </w:rPr>
        <w:t xml:space="preserve"> </w:t>
      </w:r>
      <w:r>
        <w:t>to</w:t>
      </w:r>
      <w:r>
        <w:rPr>
          <w:spacing w:val="65"/>
        </w:rPr>
        <w:t xml:space="preserve"> </w:t>
      </w:r>
      <w:r>
        <w:t>the</w:t>
      </w:r>
      <w:r>
        <w:rPr>
          <w:spacing w:val="15"/>
        </w:rPr>
        <w:t xml:space="preserve"> </w:t>
      </w:r>
      <w:r>
        <w:rPr>
          <w:spacing w:val="-2"/>
        </w:rPr>
        <w:t>relevant</w:t>
      </w:r>
      <w:r>
        <w:rPr>
          <w:spacing w:val="16"/>
        </w:rPr>
        <w:t xml:space="preserve"> </w:t>
      </w:r>
      <w:r>
        <w:rPr>
          <w:spacing w:val="-1"/>
        </w:rPr>
        <w:t>performance</w:t>
      </w:r>
      <w:r>
        <w:rPr>
          <w:spacing w:val="15"/>
        </w:rPr>
        <w:t xml:space="preserve"> </w:t>
      </w:r>
      <w:r>
        <w:rPr>
          <w:spacing w:val="-1"/>
        </w:rPr>
        <w:t>criteria</w:t>
      </w:r>
      <w:r>
        <w:rPr>
          <w:spacing w:val="12"/>
        </w:rPr>
        <w:t xml:space="preserve"> </w:t>
      </w:r>
      <w:r>
        <w:t>for</w:t>
      </w:r>
      <w:r>
        <w:rPr>
          <w:spacing w:val="16"/>
        </w:rPr>
        <w:t xml:space="preserve"> </w:t>
      </w:r>
      <w:r>
        <w:rPr>
          <w:spacing w:val="-2"/>
        </w:rPr>
        <w:t>achieving</w:t>
      </w:r>
      <w:r>
        <w:rPr>
          <w:spacing w:val="17"/>
        </w:rPr>
        <w:t xml:space="preserve"> </w:t>
      </w:r>
      <w:r>
        <w:rPr>
          <w:spacing w:val="-1"/>
        </w:rPr>
        <w:t>the</w:t>
      </w:r>
      <w:r>
        <w:rPr>
          <w:spacing w:val="15"/>
        </w:rPr>
        <w:t xml:space="preserve"> </w:t>
      </w:r>
      <w:r>
        <w:rPr>
          <w:spacing w:val="-2"/>
        </w:rPr>
        <w:t>Service</w:t>
      </w:r>
      <w:r>
        <w:rPr>
          <w:spacing w:val="15"/>
        </w:rPr>
        <w:t xml:space="preserve"> </w:t>
      </w:r>
      <w:r>
        <w:rPr>
          <w:spacing w:val="-1"/>
        </w:rPr>
        <w:t>Levels</w:t>
      </w:r>
      <w:r>
        <w:rPr>
          <w:spacing w:val="15"/>
        </w:rPr>
        <w:t xml:space="preserve"> </w:t>
      </w:r>
      <w:r>
        <w:rPr>
          <w:spacing w:val="-1"/>
        </w:rPr>
        <w:t>shown</w:t>
      </w:r>
      <w:r>
        <w:rPr>
          <w:spacing w:val="15"/>
        </w:rPr>
        <w:t xml:space="preserve"> </w:t>
      </w:r>
      <w:r>
        <w:rPr>
          <w:spacing w:val="-1"/>
        </w:rPr>
        <w:t>in</w:t>
      </w:r>
      <w:r>
        <w:rPr>
          <w:spacing w:val="15"/>
        </w:rPr>
        <w:t xml:space="preserve"> </w:t>
      </w:r>
      <w:r>
        <w:rPr>
          <w:spacing w:val="-1"/>
        </w:rPr>
        <w:t>Annex</w:t>
      </w:r>
    </w:p>
    <w:p w:rsidR="008918FA" w:rsidRDefault="008918FA" w:rsidP="008918FA">
      <w:pPr>
        <w:pStyle w:val="BodyText"/>
        <w:spacing w:before="0"/>
        <w:ind w:left="828" w:right="112" w:firstLine="0"/>
        <w:jc w:val="both"/>
      </w:pPr>
      <w:r>
        <w:t>1</w:t>
      </w:r>
      <w:r>
        <w:rPr>
          <w:spacing w:val="4"/>
        </w:rPr>
        <w:t xml:space="preserve"> </w:t>
      </w:r>
      <w:r>
        <w:t>to</w:t>
      </w:r>
      <w:r>
        <w:rPr>
          <w:spacing w:val="4"/>
        </w:rPr>
        <w:t xml:space="preserve"> </w:t>
      </w:r>
      <w:r>
        <w:rPr>
          <w:spacing w:val="-1"/>
        </w:rPr>
        <w:t>this</w:t>
      </w:r>
      <w:r>
        <w:rPr>
          <w:spacing w:val="4"/>
        </w:rPr>
        <w:t xml:space="preserve"> </w:t>
      </w:r>
      <w:r>
        <w:rPr>
          <w:spacing w:val="-1"/>
        </w:rPr>
        <w:t>Part</w:t>
      </w:r>
      <w:r>
        <w:rPr>
          <w:spacing w:val="5"/>
        </w:rPr>
        <w:t xml:space="preserve"> </w:t>
      </w:r>
      <w:r>
        <w:t>A</w:t>
      </w:r>
      <w:r>
        <w:rPr>
          <w:spacing w:val="3"/>
        </w:rPr>
        <w:t xml:space="preserve"> </w:t>
      </w:r>
      <w:r>
        <w:rPr>
          <w:spacing w:val="-1"/>
        </w:rPr>
        <w:t>of</w:t>
      </w:r>
      <w:r>
        <w:rPr>
          <w:spacing w:val="8"/>
        </w:rPr>
        <w:t xml:space="preserve"> </w:t>
      </w:r>
      <w:r>
        <w:rPr>
          <w:spacing w:val="-1"/>
        </w:rPr>
        <w:t>this</w:t>
      </w:r>
      <w:r>
        <w:rPr>
          <w:spacing w:val="4"/>
        </w:rPr>
        <w:t xml:space="preserve"> </w:t>
      </w:r>
      <w:r>
        <w:rPr>
          <w:spacing w:val="-2"/>
        </w:rPr>
        <w:t>Call</w:t>
      </w:r>
      <w:r>
        <w:rPr>
          <w:spacing w:val="6"/>
        </w:rPr>
        <w:t xml:space="preserve"> </w:t>
      </w:r>
      <w:r>
        <w:rPr>
          <w:spacing w:val="-1"/>
        </w:rPr>
        <w:t>Off</w:t>
      </w:r>
      <w:r>
        <w:rPr>
          <w:spacing w:val="8"/>
        </w:rPr>
        <w:t xml:space="preserve"> </w:t>
      </w:r>
      <w:r>
        <w:rPr>
          <w:spacing w:val="-1"/>
        </w:rPr>
        <w:t>Schedule</w:t>
      </w:r>
      <w:r>
        <w:rPr>
          <w:spacing w:val="4"/>
        </w:rPr>
        <w:t xml:space="preserve"> </w:t>
      </w:r>
      <w:r>
        <w:rPr>
          <w:spacing w:val="-1"/>
        </w:rPr>
        <w:t>(the</w:t>
      </w:r>
      <w:r>
        <w:rPr>
          <w:spacing w:val="4"/>
        </w:rPr>
        <w:t xml:space="preserve"> </w:t>
      </w:r>
      <w:r>
        <w:rPr>
          <w:spacing w:val="-1"/>
        </w:rPr>
        <w:t>“</w:t>
      </w:r>
      <w:r>
        <w:rPr>
          <w:rFonts w:cs="Arial"/>
          <w:b/>
          <w:bCs/>
          <w:spacing w:val="-1"/>
        </w:rPr>
        <w:t>Service</w:t>
      </w:r>
      <w:r>
        <w:rPr>
          <w:rFonts w:cs="Arial"/>
          <w:b/>
          <w:bCs/>
          <w:spacing w:val="4"/>
        </w:rPr>
        <w:t xml:space="preserve"> </w:t>
      </w:r>
      <w:r>
        <w:rPr>
          <w:rFonts w:cs="Arial"/>
          <w:b/>
          <w:bCs/>
          <w:spacing w:val="-2"/>
        </w:rPr>
        <w:t>Level</w:t>
      </w:r>
      <w:r>
        <w:rPr>
          <w:rFonts w:cs="Arial"/>
          <w:b/>
          <w:bCs/>
          <w:spacing w:val="5"/>
        </w:rPr>
        <w:t xml:space="preserve"> </w:t>
      </w:r>
      <w:r>
        <w:rPr>
          <w:rFonts w:cs="Arial"/>
          <w:b/>
          <w:bCs/>
          <w:spacing w:val="-1"/>
        </w:rPr>
        <w:t>Performance</w:t>
      </w:r>
      <w:r>
        <w:rPr>
          <w:rFonts w:cs="Arial"/>
          <w:b/>
          <w:bCs/>
          <w:spacing w:val="55"/>
        </w:rPr>
        <w:t xml:space="preserve"> </w:t>
      </w:r>
      <w:r>
        <w:rPr>
          <w:rFonts w:cs="Arial"/>
          <w:b/>
          <w:bCs/>
          <w:spacing w:val="-1"/>
        </w:rPr>
        <w:t>Criteria</w:t>
      </w:r>
      <w:r>
        <w:rPr>
          <w:spacing w:val="-1"/>
        </w:rPr>
        <w:t>”)</w:t>
      </w:r>
      <w:r>
        <w:rPr>
          <w:spacing w:val="16"/>
        </w:rPr>
        <w:t xml:space="preserve"> </w:t>
      </w:r>
      <w:r>
        <w:rPr>
          <w:spacing w:val="-1"/>
        </w:rPr>
        <w:t>and</w:t>
      </w:r>
      <w:r>
        <w:rPr>
          <w:spacing w:val="13"/>
        </w:rPr>
        <w:t xml:space="preserve"> </w:t>
      </w:r>
      <w:r>
        <w:rPr>
          <w:spacing w:val="-1"/>
        </w:rPr>
        <w:t>shall</w:t>
      </w:r>
      <w:r>
        <w:rPr>
          <w:spacing w:val="14"/>
        </w:rPr>
        <w:t xml:space="preserve"> </w:t>
      </w:r>
      <w:r>
        <w:rPr>
          <w:spacing w:val="-1"/>
        </w:rPr>
        <w:t>send</w:t>
      </w:r>
      <w:r>
        <w:rPr>
          <w:spacing w:val="12"/>
        </w:rPr>
        <w:t xml:space="preserve"> </w:t>
      </w:r>
      <w:r>
        <w:t>the</w:t>
      </w:r>
      <w:r>
        <w:rPr>
          <w:spacing w:val="15"/>
        </w:rPr>
        <w:t xml:space="preserve"> </w:t>
      </w:r>
      <w:r>
        <w:rPr>
          <w:spacing w:val="-2"/>
        </w:rPr>
        <w:t>Customer</w:t>
      </w:r>
      <w:r>
        <w:rPr>
          <w:spacing w:val="16"/>
        </w:rPr>
        <w:t xml:space="preserve"> </w:t>
      </w:r>
      <w:r>
        <w:t>a</w:t>
      </w:r>
      <w:r>
        <w:rPr>
          <w:spacing w:val="15"/>
        </w:rPr>
        <w:t xml:space="preserve"> </w:t>
      </w:r>
      <w:r>
        <w:rPr>
          <w:spacing w:val="-1"/>
        </w:rPr>
        <w:t>Performance</w:t>
      </w:r>
      <w:r>
        <w:rPr>
          <w:spacing w:val="15"/>
        </w:rPr>
        <w:t xml:space="preserve"> </w:t>
      </w:r>
      <w:r>
        <w:rPr>
          <w:spacing w:val="-2"/>
        </w:rPr>
        <w:t>Monitoring</w:t>
      </w:r>
      <w:r>
        <w:rPr>
          <w:spacing w:val="17"/>
        </w:rPr>
        <w:t xml:space="preserve"> </w:t>
      </w:r>
      <w:r>
        <w:rPr>
          <w:spacing w:val="-2"/>
        </w:rPr>
        <w:t>Report</w:t>
      </w:r>
      <w:r>
        <w:rPr>
          <w:spacing w:val="16"/>
        </w:rPr>
        <w:t xml:space="preserve"> </w:t>
      </w:r>
      <w:r>
        <w:rPr>
          <w:spacing w:val="-2"/>
        </w:rPr>
        <w:t>detailing</w:t>
      </w:r>
      <w:r>
        <w:rPr>
          <w:spacing w:val="70"/>
        </w:rPr>
        <w:t xml:space="preserve"> </w:t>
      </w:r>
      <w:r>
        <w:t>the</w:t>
      </w:r>
      <w:r>
        <w:rPr>
          <w:spacing w:val="3"/>
        </w:rPr>
        <w:t xml:space="preserve"> </w:t>
      </w:r>
      <w:r>
        <w:rPr>
          <w:spacing w:val="-2"/>
        </w:rPr>
        <w:t>level</w:t>
      </w:r>
      <w:r>
        <w:rPr>
          <w:spacing w:val="4"/>
        </w:rPr>
        <w:t xml:space="preserve"> </w:t>
      </w:r>
      <w:r>
        <w:rPr>
          <w:spacing w:val="-1"/>
        </w:rPr>
        <w:t>of</w:t>
      </w:r>
      <w:r>
        <w:rPr>
          <w:spacing w:val="6"/>
        </w:rPr>
        <w:t xml:space="preserve"> </w:t>
      </w:r>
      <w:r>
        <w:rPr>
          <w:spacing w:val="-1"/>
        </w:rPr>
        <w:t>service</w:t>
      </w:r>
      <w:r>
        <w:rPr>
          <w:spacing w:val="3"/>
        </w:rPr>
        <w:t xml:space="preserve"> </w:t>
      </w:r>
      <w:r>
        <w:rPr>
          <w:spacing w:val="-1"/>
        </w:rPr>
        <w:t>which</w:t>
      </w:r>
      <w:r>
        <w:rPr>
          <w:spacing w:val="5"/>
        </w:rPr>
        <w:t xml:space="preserve"> </w:t>
      </w:r>
      <w:r>
        <w:rPr>
          <w:spacing w:val="-2"/>
        </w:rPr>
        <w:t>was</w:t>
      </w:r>
      <w:r>
        <w:rPr>
          <w:spacing w:val="3"/>
        </w:rPr>
        <w:t xml:space="preserve"> </w:t>
      </w:r>
      <w:r>
        <w:rPr>
          <w:spacing w:val="-1"/>
        </w:rPr>
        <w:t>achieved</w:t>
      </w:r>
      <w:r>
        <w:rPr>
          <w:spacing w:val="3"/>
        </w:rPr>
        <w:t xml:space="preserve"> </w:t>
      </w:r>
      <w:r>
        <w:rPr>
          <w:spacing w:val="-1"/>
        </w:rPr>
        <w:t>in</w:t>
      </w:r>
      <w:r>
        <w:rPr>
          <w:spacing w:val="5"/>
        </w:rPr>
        <w:t xml:space="preserve"> </w:t>
      </w:r>
      <w:r>
        <w:rPr>
          <w:spacing w:val="-1"/>
        </w:rPr>
        <w:t>accordance</w:t>
      </w:r>
      <w:r>
        <w:rPr>
          <w:spacing w:val="3"/>
        </w:rPr>
        <w:t xml:space="preserve"> </w:t>
      </w:r>
      <w:r>
        <w:rPr>
          <w:spacing w:val="-1"/>
        </w:rPr>
        <w:t>with</w:t>
      </w:r>
      <w:r>
        <w:rPr>
          <w:spacing w:val="3"/>
        </w:rPr>
        <w:t xml:space="preserve"> </w:t>
      </w:r>
      <w:r>
        <w:t>the</w:t>
      </w:r>
      <w:r>
        <w:rPr>
          <w:spacing w:val="3"/>
        </w:rPr>
        <w:t xml:space="preserve"> </w:t>
      </w:r>
      <w:r>
        <w:rPr>
          <w:spacing w:val="-1"/>
        </w:rPr>
        <w:t>provisions</w:t>
      </w:r>
      <w:r>
        <w:rPr>
          <w:spacing w:val="3"/>
        </w:rPr>
        <w:t xml:space="preserve"> </w:t>
      </w:r>
      <w:r>
        <w:rPr>
          <w:spacing w:val="-1"/>
        </w:rPr>
        <w:t>of</w:t>
      </w:r>
      <w:r>
        <w:rPr>
          <w:spacing w:val="6"/>
        </w:rPr>
        <w:t xml:space="preserve"> </w:t>
      </w:r>
      <w:r>
        <w:rPr>
          <w:spacing w:val="-1"/>
        </w:rPr>
        <w:t>Part</w:t>
      </w:r>
      <w:r>
        <w:rPr>
          <w:spacing w:val="4"/>
        </w:rPr>
        <w:t xml:space="preserve"> </w:t>
      </w:r>
      <w:r>
        <w:t>B</w:t>
      </w:r>
      <w:r>
        <w:rPr>
          <w:spacing w:val="35"/>
        </w:rPr>
        <w:t xml:space="preserve"> </w:t>
      </w:r>
      <w:r>
        <w:rPr>
          <w:spacing w:val="-1"/>
        </w:rPr>
        <w:t>(Performance</w:t>
      </w:r>
      <w:r>
        <w:rPr>
          <w:spacing w:val="1"/>
        </w:rPr>
        <w:t xml:space="preserve"> </w:t>
      </w:r>
      <w:r>
        <w:rPr>
          <w:spacing w:val="-2"/>
        </w:rPr>
        <w:t>Monitoring)</w:t>
      </w:r>
      <w:r>
        <w:rPr>
          <w:spacing w:val="2"/>
        </w:rPr>
        <w:t xml:space="preserve">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2"/>
        </w:rPr>
        <w:t>Schedule.</w:t>
      </w:r>
    </w:p>
    <w:p w:rsidR="008918FA" w:rsidRDefault="008918FA" w:rsidP="008918FA">
      <w:pPr>
        <w:pStyle w:val="BodyText"/>
        <w:numPr>
          <w:ilvl w:val="1"/>
          <w:numId w:val="25"/>
        </w:numPr>
        <w:tabs>
          <w:tab w:val="left" w:pos="829"/>
        </w:tabs>
        <w:spacing w:before="121"/>
        <w:ind w:left="828" w:right="111"/>
        <w:jc w:val="both"/>
      </w:pPr>
      <w:r>
        <w:t>The</w:t>
      </w:r>
      <w:r>
        <w:rPr>
          <w:spacing w:val="55"/>
        </w:rPr>
        <w:t xml:space="preserve"> </w:t>
      </w:r>
      <w:r>
        <w:rPr>
          <w:spacing w:val="-2"/>
        </w:rPr>
        <w:t>Supplier</w:t>
      </w:r>
      <w:r>
        <w:rPr>
          <w:spacing w:val="57"/>
        </w:rPr>
        <w:t xml:space="preserve"> </w:t>
      </w:r>
      <w:r>
        <w:rPr>
          <w:spacing w:val="-1"/>
        </w:rPr>
        <w:t>shall,</w:t>
      </w:r>
      <w:r>
        <w:rPr>
          <w:spacing w:val="57"/>
        </w:rPr>
        <w:t xml:space="preserve"> </w:t>
      </w:r>
      <w:r>
        <w:rPr>
          <w:spacing w:val="-1"/>
        </w:rPr>
        <w:t>at</w:t>
      </w:r>
      <w:r>
        <w:rPr>
          <w:spacing w:val="55"/>
        </w:rPr>
        <w:t xml:space="preserve"> </w:t>
      </w:r>
      <w:r>
        <w:rPr>
          <w:spacing w:val="-1"/>
        </w:rPr>
        <w:t>all</w:t>
      </w:r>
      <w:r>
        <w:rPr>
          <w:spacing w:val="55"/>
        </w:rPr>
        <w:t xml:space="preserve"> </w:t>
      </w:r>
      <w:r>
        <w:rPr>
          <w:spacing w:val="-1"/>
        </w:rPr>
        <w:t>times,</w:t>
      </w:r>
      <w:r>
        <w:rPr>
          <w:spacing w:val="57"/>
        </w:rPr>
        <w:t xml:space="preserve"> </w:t>
      </w:r>
      <w:r>
        <w:rPr>
          <w:spacing w:val="-2"/>
        </w:rPr>
        <w:t>provide</w:t>
      </w:r>
      <w:r>
        <w:rPr>
          <w:spacing w:val="56"/>
        </w:rPr>
        <w:t xml:space="preserve"> </w:t>
      </w:r>
      <w:r>
        <w:t>the</w:t>
      </w:r>
      <w:r>
        <w:rPr>
          <w:spacing w:val="55"/>
        </w:rPr>
        <w:t xml:space="preserve"> </w:t>
      </w:r>
      <w:r>
        <w:rPr>
          <w:spacing w:val="-1"/>
        </w:rPr>
        <w:t>Goods</w:t>
      </w:r>
      <w:r>
        <w:rPr>
          <w:spacing w:val="56"/>
        </w:rPr>
        <w:t xml:space="preserve"> </w:t>
      </w:r>
      <w:r>
        <w:rPr>
          <w:spacing w:val="-1"/>
        </w:rPr>
        <w:t>and/or</w:t>
      </w:r>
      <w:r>
        <w:rPr>
          <w:spacing w:val="57"/>
        </w:rPr>
        <w:t xml:space="preserve"> </w:t>
      </w:r>
      <w:r>
        <w:rPr>
          <w:spacing w:val="-1"/>
        </w:rPr>
        <w:t>Services</w:t>
      </w:r>
      <w:r>
        <w:rPr>
          <w:spacing w:val="57"/>
        </w:rPr>
        <w:t xml:space="preserve"> </w:t>
      </w:r>
      <w:r>
        <w:rPr>
          <w:spacing w:val="-1"/>
        </w:rPr>
        <w:t>in</w:t>
      </w:r>
      <w:r>
        <w:rPr>
          <w:spacing w:val="55"/>
        </w:rPr>
        <w:t xml:space="preserve"> </w:t>
      </w:r>
      <w:r>
        <w:rPr>
          <w:spacing w:val="-1"/>
        </w:rPr>
        <w:t>such</w:t>
      </w:r>
      <w:r>
        <w:rPr>
          <w:spacing w:val="57"/>
        </w:rPr>
        <w:t xml:space="preserve"> </w:t>
      </w:r>
      <w:r>
        <w:t>a</w:t>
      </w:r>
      <w:r>
        <w:rPr>
          <w:spacing w:val="49"/>
        </w:rPr>
        <w:t xml:space="preserve"> </w:t>
      </w:r>
      <w:r>
        <w:rPr>
          <w:spacing w:val="-1"/>
        </w:rPr>
        <w:t>manner that</w:t>
      </w:r>
      <w:r>
        <w:t xml:space="preserve"> the </w:t>
      </w:r>
      <w:r>
        <w:rPr>
          <w:spacing w:val="-2"/>
        </w:rPr>
        <w:t>Service</w:t>
      </w:r>
      <w:r>
        <w:rPr>
          <w:spacing w:val="1"/>
        </w:rPr>
        <w:t xml:space="preserve"> </w:t>
      </w:r>
      <w:r>
        <w:rPr>
          <w:spacing w:val="-2"/>
        </w:rPr>
        <w:t>Levels</w:t>
      </w:r>
      <w:r>
        <w:rPr>
          <w:spacing w:val="1"/>
        </w:rPr>
        <w:t xml:space="preserve"> </w:t>
      </w:r>
      <w:r>
        <w:rPr>
          <w:spacing w:val="-1"/>
        </w:rPr>
        <w:t>Performance</w:t>
      </w:r>
      <w:r>
        <w:rPr>
          <w:spacing w:val="1"/>
        </w:rPr>
        <w:t xml:space="preserve"> </w:t>
      </w:r>
      <w:r>
        <w:rPr>
          <w:spacing w:val="-1"/>
        </w:rPr>
        <w:t>Measures</w:t>
      </w:r>
      <w:r>
        <w:rPr>
          <w:spacing w:val="1"/>
        </w:rPr>
        <w:t xml:space="preserve"> </w:t>
      </w:r>
      <w:r>
        <w:rPr>
          <w:spacing w:val="-1"/>
        </w:rPr>
        <w:t>are</w:t>
      </w:r>
      <w:r>
        <w:t xml:space="preserve"> </w:t>
      </w:r>
      <w:r>
        <w:rPr>
          <w:spacing w:val="-2"/>
        </w:rPr>
        <w:t>achieved.</w:t>
      </w:r>
    </w:p>
    <w:p w:rsidR="008918FA" w:rsidRDefault="008918FA" w:rsidP="008918FA">
      <w:pPr>
        <w:pStyle w:val="BodyText"/>
        <w:numPr>
          <w:ilvl w:val="1"/>
          <w:numId w:val="25"/>
        </w:numPr>
        <w:tabs>
          <w:tab w:val="left" w:pos="829"/>
        </w:tabs>
        <w:ind w:left="828" w:right="119"/>
        <w:jc w:val="both"/>
      </w:pPr>
      <w:r>
        <w:rPr>
          <w:spacing w:val="-1"/>
        </w:rPr>
        <w:t>If</w:t>
      </w:r>
      <w:r>
        <w:rPr>
          <w:spacing w:val="23"/>
        </w:rPr>
        <w:t xml:space="preserve"> </w:t>
      </w:r>
      <w:r>
        <w:rPr>
          <w:spacing w:val="-1"/>
        </w:rPr>
        <w:t>the</w:t>
      </w:r>
      <w:r>
        <w:rPr>
          <w:spacing w:val="20"/>
        </w:rPr>
        <w:t xml:space="preserve"> </w:t>
      </w:r>
      <w:r>
        <w:rPr>
          <w:spacing w:val="-2"/>
        </w:rPr>
        <w:t>level</w:t>
      </w:r>
      <w:r>
        <w:rPr>
          <w:spacing w:val="19"/>
        </w:rPr>
        <w:t xml:space="preserve"> </w:t>
      </w:r>
      <w:r>
        <w:rPr>
          <w:spacing w:val="-1"/>
        </w:rPr>
        <w:t>of</w:t>
      </w:r>
      <w:r>
        <w:rPr>
          <w:spacing w:val="23"/>
        </w:rPr>
        <w:t xml:space="preserve"> </w:t>
      </w:r>
      <w:r>
        <w:rPr>
          <w:spacing w:val="-1"/>
        </w:rPr>
        <w:t>performance</w:t>
      </w:r>
      <w:r>
        <w:rPr>
          <w:spacing w:val="20"/>
        </w:rPr>
        <w:t xml:space="preserve"> </w:t>
      </w:r>
      <w:r>
        <w:rPr>
          <w:spacing w:val="-2"/>
        </w:rPr>
        <w:t>of</w:t>
      </w:r>
      <w:r>
        <w:rPr>
          <w:spacing w:val="23"/>
        </w:rPr>
        <w:t xml:space="preserve"> </w:t>
      </w:r>
      <w:r>
        <w:t>the</w:t>
      </w:r>
      <w:r>
        <w:rPr>
          <w:spacing w:val="19"/>
        </w:rPr>
        <w:t xml:space="preserve"> </w:t>
      </w:r>
      <w:r>
        <w:rPr>
          <w:spacing w:val="-2"/>
        </w:rPr>
        <w:t>Supplier</w:t>
      </w:r>
      <w:r>
        <w:rPr>
          <w:spacing w:val="21"/>
        </w:rPr>
        <w:t xml:space="preserve"> </w:t>
      </w:r>
      <w:r>
        <w:rPr>
          <w:spacing w:val="-2"/>
        </w:rPr>
        <w:t>of</w:t>
      </w:r>
      <w:r>
        <w:rPr>
          <w:spacing w:val="23"/>
        </w:rPr>
        <w:t xml:space="preserve"> </w:t>
      </w:r>
      <w:r>
        <w:rPr>
          <w:spacing w:val="-2"/>
        </w:rPr>
        <w:t>any</w:t>
      </w:r>
      <w:r>
        <w:rPr>
          <w:spacing w:val="17"/>
        </w:rPr>
        <w:t xml:space="preserve"> </w:t>
      </w:r>
      <w:r>
        <w:rPr>
          <w:spacing w:val="-1"/>
        </w:rPr>
        <w:t>element</w:t>
      </w:r>
      <w:r>
        <w:rPr>
          <w:spacing w:val="21"/>
        </w:rPr>
        <w:t xml:space="preserve"> </w:t>
      </w:r>
      <w:r>
        <w:rPr>
          <w:spacing w:val="-1"/>
        </w:rPr>
        <w:t>of</w:t>
      </w:r>
      <w:r>
        <w:rPr>
          <w:spacing w:val="21"/>
        </w:rPr>
        <w:t xml:space="preserve"> </w:t>
      </w:r>
      <w:r>
        <w:t>the</w:t>
      </w:r>
      <w:r>
        <w:rPr>
          <w:spacing w:val="19"/>
        </w:rPr>
        <w:t xml:space="preserve"> </w:t>
      </w:r>
      <w:r>
        <w:rPr>
          <w:spacing w:val="-2"/>
        </w:rPr>
        <w:t>provision</w:t>
      </w:r>
      <w:r>
        <w:rPr>
          <w:spacing w:val="20"/>
        </w:rPr>
        <w:t xml:space="preserve"> </w:t>
      </w:r>
      <w:r>
        <w:rPr>
          <w:spacing w:val="-1"/>
        </w:rPr>
        <w:t>by</w:t>
      </w:r>
      <w:r>
        <w:rPr>
          <w:spacing w:val="18"/>
        </w:rPr>
        <w:t xml:space="preserve"> </w:t>
      </w:r>
      <w:r>
        <w:rPr>
          <w:spacing w:val="-1"/>
        </w:rPr>
        <w:t>it</w:t>
      </w:r>
      <w:r>
        <w:rPr>
          <w:spacing w:val="21"/>
        </w:rPr>
        <w:t xml:space="preserve"> </w:t>
      </w:r>
      <w:r>
        <w:rPr>
          <w:spacing w:val="-1"/>
        </w:rPr>
        <w:t>of</w:t>
      </w:r>
      <w:r>
        <w:rPr>
          <w:spacing w:val="58"/>
        </w:rPr>
        <w:t xml:space="preserve"> </w:t>
      </w:r>
      <w:r>
        <w:t>the</w:t>
      </w:r>
      <w:r>
        <w:rPr>
          <w:spacing w:val="-2"/>
        </w:rPr>
        <w:t xml:space="preserve"> </w:t>
      </w:r>
      <w:r>
        <w:rPr>
          <w:spacing w:val="-1"/>
        </w:rPr>
        <w:t>Goods</w:t>
      </w:r>
      <w:r>
        <w:rPr>
          <w:spacing w:val="-2"/>
        </w:rPr>
        <w:t xml:space="preserve"> </w:t>
      </w:r>
      <w:r>
        <w:rPr>
          <w:spacing w:val="-1"/>
        </w:rPr>
        <w:t>and/or</w:t>
      </w:r>
      <w:r>
        <w:rPr>
          <w:spacing w:val="2"/>
        </w:rPr>
        <w:t xml:space="preserve"> </w:t>
      </w:r>
      <w:r>
        <w:rPr>
          <w:spacing w:val="-1"/>
        </w:rPr>
        <w:t>Services</w:t>
      </w:r>
      <w:r>
        <w:rPr>
          <w:spacing w:val="1"/>
        </w:rPr>
        <w:t xml:space="preserve"> </w:t>
      </w:r>
      <w:r>
        <w:rPr>
          <w:spacing w:val="-2"/>
        </w:rPr>
        <w:t>during</w:t>
      </w:r>
      <w:r>
        <w:t xml:space="preserve"> the </w:t>
      </w:r>
      <w:r>
        <w:rPr>
          <w:spacing w:val="-2"/>
        </w:rPr>
        <w:t>Call</w:t>
      </w:r>
      <w:r>
        <w:rPr>
          <w:spacing w:val="-3"/>
        </w:rPr>
        <w:t xml:space="preserve"> </w:t>
      </w:r>
      <w:r>
        <w:rPr>
          <w:spacing w:val="-1"/>
        </w:rPr>
        <w:t>Off</w:t>
      </w:r>
      <w:r>
        <w:rPr>
          <w:spacing w:val="2"/>
        </w:rPr>
        <w:t xml:space="preserve"> </w:t>
      </w:r>
      <w:r>
        <w:rPr>
          <w:spacing w:val="-2"/>
        </w:rPr>
        <w:t>Contract</w:t>
      </w:r>
      <w:r>
        <w:rPr>
          <w:spacing w:val="2"/>
        </w:rPr>
        <w:t xml:space="preserve"> </w:t>
      </w:r>
      <w:r>
        <w:rPr>
          <w:spacing w:val="-2"/>
        </w:rPr>
        <w:t>Period:</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numPr>
          <w:ilvl w:val="2"/>
          <w:numId w:val="25"/>
        </w:numPr>
        <w:tabs>
          <w:tab w:val="left" w:pos="2027"/>
        </w:tabs>
        <w:spacing w:before="59"/>
        <w:ind w:left="2026"/>
      </w:pPr>
      <w:r>
        <w:rPr>
          <w:spacing w:val="-1"/>
        </w:rPr>
        <w:t>is</w:t>
      </w:r>
      <w:r>
        <w:rPr>
          <w:spacing w:val="1"/>
        </w:rPr>
        <w:t xml:space="preserve"> </w:t>
      </w:r>
      <w:r>
        <w:rPr>
          <w:spacing w:val="-1"/>
        </w:rPr>
        <w:t>likely</w:t>
      </w:r>
      <w:r>
        <w:rPr>
          <w:spacing w:val="-2"/>
        </w:rPr>
        <w:t xml:space="preserve"> </w:t>
      </w:r>
      <w:r>
        <w:t xml:space="preserve">to </w:t>
      </w:r>
      <w:r>
        <w:rPr>
          <w:spacing w:val="-2"/>
        </w:rPr>
        <w:t>or</w:t>
      </w:r>
      <w:r>
        <w:rPr>
          <w:spacing w:val="-1"/>
        </w:rPr>
        <w:t xml:space="preserve"> fails</w:t>
      </w:r>
      <w:r>
        <w:rPr>
          <w:spacing w:val="1"/>
        </w:rPr>
        <w:t xml:space="preserve"> </w:t>
      </w:r>
      <w:r>
        <w:t>to</w:t>
      </w:r>
      <w:r>
        <w:rPr>
          <w:spacing w:val="-2"/>
        </w:rPr>
        <w:t xml:space="preserve"> </w:t>
      </w:r>
      <w:r>
        <w:rPr>
          <w:spacing w:val="-1"/>
        </w:rPr>
        <w:t>meet</w:t>
      </w:r>
      <w:r>
        <w:rPr>
          <w:spacing w:val="2"/>
        </w:rPr>
        <w:t xml:space="preserve"> </w:t>
      </w:r>
      <w:r>
        <w:rPr>
          <w:spacing w:val="-1"/>
        </w:rPr>
        <w:t>any</w:t>
      </w:r>
      <w:r>
        <w:rPr>
          <w:spacing w:val="-2"/>
        </w:rPr>
        <w:t xml:space="preserve"> Service</w:t>
      </w:r>
      <w:r>
        <w:rPr>
          <w:spacing w:val="1"/>
        </w:rPr>
        <w:t xml:space="preserve"> </w:t>
      </w:r>
      <w:r>
        <w:rPr>
          <w:spacing w:val="-2"/>
        </w:rPr>
        <w:t>Level</w:t>
      </w:r>
      <w:r>
        <w:t xml:space="preserve"> </w:t>
      </w:r>
      <w:r>
        <w:rPr>
          <w:spacing w:val="-1"/>
        </w:rPr>
        <w:t>Performance</w:t>
      </w:r>
      <w:r>
        <w:rPr>
          <w:spacing w:val="-2"/>
        </w:rPr>
        <w:t xml:space="preserve"> </w:t>
      </w:r>
      <w:r>
        <w:rPr>
          <w:spacing w:val="-1"/>
        </w:rPr>
        <w:t>Measure</w:t>
      </w:r>
      <w:r>
        <w:t xml:space="preserve"> </w:t>
      </w:r>
      <w:r>
        <w:rPr>
          <w:spacing w:val="-1"/>
        </w:rPr>
        <w:t>or</w:t>
      </w:r>
    </w:p>
    <w:p w:rsidR="008918FA" w:rsidRDefault="008918FA" w:rsidP="008918FA">
      <w:pPr>
        <w:pStyle w:val="BodyText"/>
        <w:numPr>
          <w:ilvl w:val="2"/>
          <w:numId w:val="25"/>
        </w:numPr>
        <w:tabs>
          <w:tab w:val="left" w:pos="2027"/>
        </w:tabs>
        <w:ind w:left="2026"/>
      </w:pPr>
      <w:r>
        <w:rPr>
          <w:spacing w:val="-1"/>
        </w:rPr>
        <w:t>is</w:t>
      </w:r>
      <w:r>
        <w:rPr>
          <w:spacing w:val="1"/>
        </w:rPr>
        <w:t xml:space="preserve"> </w:t>
      </w:r>
      <w:r>
        <w:rPr>
          <w:spacing w:val="-1"/>
        </w:rPr>
        <w:t>likely</w:t>
      </w:r>
      <w:r>
        <w:rPr>
          <w:spacing w:val="-2"/>
        </w:rPr>
        <w:t xml:space="preserve"> </w:t>
      </w:r>
      <w:r>
        <w:t xml:space="preserve">to </w:t>
      </w:r>
      <w:r>
        <w:rPr>
          <w:spacing w:val="-1"/>
        </w:rPr>
        <w:t>cause</w:t>
      </w:r>
      <w:r>
        <w:rPr>
          <w:spacing w:val="1"/>
        </w:rPr>
        <w:t xml:space="preserve"> </w:t>
      </w:r>
      <w:r>
        <w:rPr>
          <w:spacing w:val="-2"/>
        </w:rPr>
        <w:t>or</w:t>
      </w:r>
      <w:r>
        <w:rPr>
          <w:spacing w:val="2"/>
        </w:rPr>
        <w:t xml:space="preserve"> </w:t>
      </w:r>
      <w:r>
        <w:rPr>
          <w:spacing w:val="-1"/>
        </w:rPr>
        <w:t>causes</w:t>
      </w:r>
      <w:r>
        <w:rPr>
          <w:spacing w:val="1"/>
        </w:rPr>
        <w:t xml:space="preserve"> </w:t>
      </w:r>
      <w:r>
        <w:t xml:space="preserve">a </w:t>
      </w:r>
      <w:r>
        <w:rPr>
          <w:spacing w:val="-1"/>
        </w:rPr>
        <w:t>Critical</w:t>
      </w:r>
      <w:r>
        <w:t xml:space="preserve"> </w:t>
      </w:r>
      <w:r>
        <w:rPr>
          <w:spacing w:val="-2"/>
        </w:rPr>
        <w:t>Service</w:t>
      </w:r>
      <w:r>
        <w:rPr>
          <w:spacing w:val="1"/>
        </w:rPr>
        <w:t xml:space="preserve"> </w:t>
      </w:r>
      <w:r>
        <w:rPr>
          <w:spacing w:val="-1"/>
        </w:rPr>
        <w:t>Failure</w:t>
      </w:r>
      <w:r>
        <w:rPr>
          <w:spacing w:val="-2"/>
        </w:rPr>
        <w:t xml:space="preserve"> </w:t>
      </w:r>
      <w:r>
        <w:t xml:space="preserve">to </w:t>
      </w:r>
      <w:r>
        <w:rPr>
          <w:spacing w:val="-1"/>
        </w:rPr>
        <w:t>occur,</w:t>
      </w:r>
    </w:p>
    <w:p w:rsidR="008918FA" w:rsidRDefault="008918FA" w:rsidP="008918FA">
      <w:pPr>
        <w:pStyle w:val="BodyText"/>
        <w:numPr>
          <w:ilvl w:val="2"/>
          <w:numId w:val="25"/>
        </w:numPr>
        <w:tabs>
          <w:tab w:val="left" w:pos="2027"/>
        </w:tabs>
        <w:spacing w:before="121"/>
        <w:ind w:left="2026" w:right="113"/>
        <w:jc w:val="both"/>
      </w:pPr>
      <w:r>
        <w:t>the</w:t>
      </w:r>
      <w:r>
        <w:rPr>
          <w:spacing w:val="29"/>
        </w:rPr>
        <w:t xml:space="preserve"> </w:t>
      </w:r>
      <w:r>
        <w:rPr>
          <w:spacing w:val="-2"/>
        </w:rPr>
        <w:t>Supplier</w:t>
      </w:r>
      <w:r>
        <w:rPr>
          <w:spacing w:val="30"/>
        </w:rPr>
        <w:t xml:space="preserve"> </w:t>
      </w:r>
      <w:r>
        <w:rPr>
          <w:spacing w:val="-1"/>
        </w:rPr>
        <w:t>shall</w:t>
      </w:r>
      <w:r>
        <w:rPr>
          <w:spacing w:val="31"/>
        </w:rPr>
        <w:t xml:space="preserve"> </w:t>
      </w:r>
      <w:r>
        <w:rPr>
          <w:spacing w:val="-1"/>
        </w:rPr>
        <w:t>immediately</w:t>
      </w:r>
      <w:r>
        <w:rPr>
          <w:spacing w:val="27"/>
        </w:rPr>
        <w:t xml:space="preserve"> </w:t>
      </w:r>
      <w:r>
        <w:t>notify</w:t>
      </w:r>
      <w:r>
        <w:rPr>
          <w:spacing w:val="27"/>
        </w:rPr>
        <w:t xml:space="preserve"> </w:t>
      </w:r>
      <w:r>
        <w:t>the</w:t>
      </w:r>
      <w:r>
        <w:rPr>
          <w:spacing w:val="29"/>
        </w:rPr>
        <w:t xml:space="preserve"> </w:t>
      </w:r>
      <w:r>
        <w:rPr>
          <w:spacing w:val="-1"/>
        </w:rPr>
        <w:t>Customer</w:t>
      </w:r>
      <w:r>
        <w:rPr>
          <w:spacing w:val="30"/>
        </w:rPr>
        <w:t xml:space="preserve"> </w:t>
      </w:r>
      <w:r>
        <w:rPr>
          <w:spacing w:val="-1"/>
        </w:rPr>
        <w:t>in</w:t>
      </w:r>
      <w:r>
        <w:rPr>
          <w:spacing w:val="29"/>
        </w:rPr>
        <w:t xml:space="preserve"> </w:t>
      </w:r>
      <w:r>
        <w:rPr>
          <w:spacing w:val="-2"/>
        </w:rPr>
        <w:t>writing</w:t>
      </w:r>
      <w:r>
        <w:rPr>
          <w:spacing w:val="31"/>
        </w:rPr>
        <w:t xml:space="preserve"> </w:t>
      </w:r>
      <w:r>
        <w:rPr>
          <w:spacing w:val="-1"/>
        </w:rPr>
        <w:t>and</w:t>
      </w:r>
      <w:r>
        <w:rPr>
          <w:spacing w:val="29"/>
        </w:rPr>
        <w:t xml:space="preserve"> </w:t>
      </w:r>
      <w:r>
        <w:rPr>
          <w:spacing w:val="-1"/>
        </w:rPr>
        <w:t>the</w:t>
      </w:r>
      <w:r>
        <w:rPr>
          <w:spacing w:val="40"/>
        </w:rPr>
        <w:t xml:space="preserve"> </w:t>
      </w:r>
      <w:r>
        <w:rPr>
          <w:spacing w:val="-1"/>
        </w:rPr>
        <w:t>Customer,</w:t>
      </w:r>
      <w:r>
        <w:rPr>
          <w:spacing w:val="14"/>
        </w:rPr>
        <w:t xml:space="preserve"> </w:t>
      </w:r>
      <w:r>
        <w:rPr>
          <w:spacing w:val="-1"/>
        </w:rPr>
        <w:t>in</w:t>
      </w:r>
      <w:r>
        <w:rPr>
          <w:spacing w:val="12"/>
        </w:rPr>
        <w:t xml:space="preserve"> </w:t>
      </w:r>
      <w:r>
        <w:rPr>
          <w:spacing w:val="-1"/>
        </w:rPr>
        <w:t>its</w:t>
      </w:r>
      <w:r>
        <w:rPr>
          <w:spacing w:val="13"/>
        </w:rPr>
        <w:t xml:space="preserve"> </w:t>
      </w:r>
      <w:r>
        <w:rPr>
          <w:spacing w:val="-1"/>
        </w:rPr>
        <w:t>absolute</w:t>
      </w:r>
      <w:r>
        <w:rPr>
          <w:spacing w:val="12"/>
        </w:rPr>
        <w:t xml:space="preserve"> </w:t>
      </w:r>
      <w:r>
        <w:rPr>
          <w:spacing w:val="-1"/>
        </w:rPr>
        <w:t>discretion</w:t>
      </w:r>
      <w:r>
        <w:rPr>
          <w:spacing w:val="12"/>
        </w:rPr>
        <w:t xml:space="preserve"> </w:t>
      </w:r>
      <w:r>
        <w:rPr>
          <w:spacing w:val="-1"/>
        </w:rPr>
        <w:t>and</w:t>
      </w:r>
      <w:r>
        <w:rPr>
          <w:spacing w:val="12"/>
        </w:rPr>
        <w:t xml:space="preserve"> </w:t>
      </w:r>
      <w:r>
        <w:rPr>
          <w:spacing w:val="-2"/>
        </w:rPr>
        <w:t>without</w:t>
      </w:r>
      <w:r>
        <w:rPr>
          <w:spacing w:val="14"/>
        </w:rPr>
        <w:t xml:space="preserve"> </w:t>
      </w:r>
      <w:r>
        <w:rPr>
          <w:spacing w:val="-1"/>
        </w:rPr>
        <w:t>prejudice</w:t>
      </w:r>
      <w:r>
        <w:rPr>
          <w:spacing w:val="13"/>
        </w:rPr>
        <w:t xml:space="preserve"> </w:t>
      </w:r>
      <w:r>
        <w:t>to</w:t>
      </w:r>
      <w:r>
        <w:rPr>
          <w:spacing w:val="12"/>
        </w:rPr>
        <w:t xml:space="preserve"> </w:t>
      </w:r>
      <w:r>
        <w:rPr>
          <w:spacing w:val="-1"/>
        </w:rPr>
        <w:t>any</w:t>
      </w:r>
      <w:r>
        <w:rPr>
          <w:spacing w:val="13"/>
        </w:rPr>
        <w:t xml:space="preserve"> </w:t>
      </w:r>
      <w:r>
        <w:rPr>
          <w:spacing w:val="-1"/>
        </w:rPr>
        <w:t>other</w:t>
      </w:r>
      <w:r>
        <w:rPr>
          <w:spacing w:val="42"/>
        </w:rPr>
        <w:t xml:space="preserve"> </w:t>
      </w:r>
      <w:r>
        <w:rPr>
          <w:spacing w:val="-2"/>
        </w:rPr>
        <w:t>of</w:t>
      </w:r>
      <w:r>
        <w:rPr>
          <w:spacing w:val="33"/>
        </w:rPr>
        <w:t xml:space="preserve"> </w:t>
      </w:r>
      <w:r>
        <w:rPr>
          <w:spacing w:val="-1"/>
        </w:rPr>
        <w:t>its</w:t>
      </w:r>
      <w:r>
        <w:rPr>
          <w:spacing w:val="30"/>
        </w:rPr>
        <w:t xml:space="preserve"> </w:t>
      </w:r>
      <w:r>
        <w:rPr>
          <w:spacing w:val="-1"/>
        </w:rPr>
        <w:t>rights</w:t>
      </w:r>
      <w:r>
        <w:rPr>
          <w:spacing w:val="30"/>
        </w:rPr>
        <w:t xml:space="preserve"> </w:t>
      </w:r>
      <w:r>
        <w:rPr>
          <w:spacing w:val="-2"/>
        </w:rPr>
        <w:t>howsoever</w:t>
      </w:r>
      <w:r>
        <w:rPr>
          <w:spacing w:val="33"/>
        </w:rPr>
        <w:t xml:space="preserve"> </w:t>
      </w:r>
      <w:r>
        <w:rPr>
          <w:spacing w:val="-1"/>
        </w:rPr>
        <w:t>arising</w:t>
      </w:r>
      <w:r>
        <w:rPr>
          <w:spacing w:val="31"/>
        </w:rPr>
        <w:t xml:space="preserve"> </w:t>
      </w:r>
      <w:r>
        <w:rPr>
          <w:spacing w:val="-2"/>
        </w:rPr>
        <w:t>including</w:t>
      </w:r>
      <w:r>
        <w:rPr>
          <w:spacing w:val="31"/>
        </w:rPr>
        <w:t xml:space="preserve"> </w:t>
      </w:r>
      <w:r>
        <w:rPr>
          <w:spacing w:val="-2"/>
        </w:rPr>
        <w:t>under</w:t>
      </w:r>
      <w:r>
        <w:rPr>
          <w:spacing w:val="30"/>
        </w:rPr>
        <w:t xml:space="preserve"> </w:t>
      </w:r>
      <w:r>
        <w:rPr>
          <w:spacing w:val="-2"/>
        </w:rPr>
        <w:t>Clause</w:t>
      </w:r>
      <w:r>
        <w:rPr>
          <w:spacing w:val="30"/>
        </w:rPr>
        <w:t xml:space="preserve"> </w:t>
      </w:r>
      <w:hyperlink w:anchor="_bookmark94" w:history="1">
        <w:r>
          <w:rPr>
            <w:spacing w:val="-1"/>
          </w:rPr>
          <w:t>13</w:t>
        </w:r>
      </w:hyperlink>
      <w:r>
        <w:rPr>
          <w:spacing w:val="32"/>
        </w:rPr>
        <w:t xml:space="preserve"> </w:t>
      </w:r>
      <w:r>
        <w:rPr>
          <w:spacing w:val="-1"/>
        </w:rPr>
        <w:t>of</w:t>
      </w:r>
      <w:r>
        <w:rPr>
          <w:spacing w:val="31"/>
        </w:rPr>
        <w:t xml:space="preserve"> </w:t>
      </w:r>
      <w:r>
        <w:rPr>
          <w:spacing w:val="-1"/>
        </w:rPr>
        <w:t>this</w:t>
      </w:r>
      <w:r>
        <w:rPr>
          <w:spacing w:val="30"/>
        </w:rPr>
        <w:t xml:space="preserve"> </w:t>
      </w:r>
      <w:r>
        <w:rPr>
          <w:spacing w:val="-2"/>
        </w:rPr>
        <w:t>Call</w:t>
      </w:r>
      <w:r>
        <w:rPr>
          <w:spacing w:val="65"/>
        </w:rPr>
        <w:t xml:space="preserve"> </w:t>
      </w:r>
      <w:r>
        <w:rPr>
          <w:spacing w:val="-1"/>
        </w:rPr>
        <w:t>Off</w:t>
      </w:r>
      <w:r>
        <w:rPr>
          <w:spacing w:val="2"/>
        </w:rPr>
        <w:t xml:space="preserve"> </w:t>
      </w:r>
      <w:r>
        <w:rPr>
          <w:spacing w:val="-2"/>
        </w:rPr>
        <w:t>Contract</w:t>
      </w:r>
      <w:r>
        <w:rPr>
          <w:spacing w:val="-1"/>
        </w:rPr>
        <w:t xml:space="preserve"> (Service</w:t>
      </w:r>
      <w:r>
        <w:rPr>
          <w:spacing w:val="1"/>
        </w:rPr>
        <w:t xml:space="preserve"> </w:t>
      </w:r>
      <w:r>
        <w:rPr>
          <w:spacing w:val="-2"/>
        </w:rPr>
        <w:t>Levels</w:t>
      </w:r>
      <w:r>
        <w:rPr>
          <w:spacing w:val="1"/>
        </w:rPr>
        <w:t xml:space="preserve"> </w:t>
      </w:r>
      <w:r>
        <w:rPr>
          <w:spacing w:val="-1"/>
        </w:rPr>
        <w:t>and</w:t>
      </w:r>
      <w:r>
        <w:t xml:space="preserve"> </w:t>
      </w:r>
      <w:r>
        <w:rPr>
          <w:spacing w:val="-2"/>
        </w:rPr>
        <w:t>Service</w:t>
      </w:r>
      <w:r>
        <w:rPr>
          <w:spacing w:val="1"/>
        </w:rPr>
        <w:t xml:space="preserve"> </w:t>
      </w:r>
      <w:r>
        <w:rPr>
          <w:spacing w:val="-1"/>
        </w:rPr>
        <w:t>Credits),</w:t>
      </w:r>
      <w:r>
        <w:t xml:space="preserve"> </w:t>
      </w:r>
      <w:r>
        <w:rPr>
          <w:spacing w:val="-1"/>
        </w:rPr>
        <w:t>may:</w:t>
      </w:r>
    </w:p>
    <w:p w:rsidR="008918FA" w:rsidRDefault="008918FA" w:rsidP="008918FA">
      <w:pPr>
        <w:pStyle w:val="BodyText"/>
        <w:numPr>
          <w:ilvl w:val="3"/>
          <w:numId w:val="25"/>
        </w:numPr>
        <w:tabs>
          <w:tab w:val="left" w:pos="2735"/>
        </w:tabs>
        <w:ind w:right="114"/>
        <w:jc w:val="both"/>
      </w:pPr>
      <w:bookmarkStart w:id="383" w:name="_bookmark311"/>
      <w:bookmarkEnd w:id="383"/>
      <w:r>
        <w:rPr>
          <w:spacing w:val="-1"/>
        </w:rPr>
        <w:t>require</w:t>
      </w:r>
      <w:r>
        <w:rPr>
          <w:spacing w:val="7"/>
        </w:rPr>
        <w:t xml:space="preserve"> </w:t>
      </w:r>
      <w:r>
        <w:t>the</w:t>
      </w:r>
      <w:r>
        <w:rPr>
          <w:spacing w:val="7"/>
        </w:rPr>
        <w:t xml:space="preserve"> </w:t>
      </w:r>
      <w:r>
        <w:rPr>
          <w:spacing w:val="-2"/>
        </w:rPr>
        <w:t>Supplier</w:t>
      </w:r>
      <w:r>
        <w:rPr>
          <w:spacing w:val="9"/>
        </w:rPr>
        <w:t xml:space="preserve"> </w:t>
      </w:r>
      <w:r>
        <w:t>to</w:t>
      </w:r>
      <w:r>
        <w:rPr>
          <w:spacing w:val="7"/>
        </w:rPr>
        <w:t xml:space="preserve"> </w:t>
      </w:r>
      <w:r>
        <w:rPr>
          <w:spacing w:val="-1"/>
        </w:rPr>
        <w:t>immediately</w:t>
      </w:r>
      <w:r>
        <w:rPr>
          <w:spacing w:val="5"/>
        </w:rPr>
        <w:t xml:space="preserve"> </w:t>
      </w:r>
      <w:r>
        <w:t>take</w:t>
      </w:r>
      <w:r>
        <w:rPr>
          <w:spacing w:val="7"/>
        </w:rPr>
        <w:t xml:space="preserve"> </w:t>
      </w:r>
      <w:r>
        <w:rPr>
          <w:spacing w:val="-1"/>
        </w:rPr>
        <w:t>all</w:t>
      </w:r>
      <w:r>
        <w:rPr>
          <w:spacing w:val="7"/>
        </w:rPr>
        <w:t xml:space="preserve"> </w:t>
      </w:r>
      <w:r>
        <w:rPr>
          <w:spacing w:val="-1"/>
        </w:rPr>
        <w:t>remedial</w:t>
      </w:r>
      <w:r>
        <w:rPr>
          <w:spacing w:val="7"/>
        </w:rPr>
        <w:t xml:space="preserve"> </w:t>
      </w:r>
      <w:r>
        <w:rPr>
          <w:spacing w:val="-1"/>
        </w:rPr>
        <w:t>action</w:t>
      </w:r>
      <w:r>
        <w:rPr>
          <w:spacing w:val="7"/>
        </w:rPr>
        <w:t xml:space="preserve"> </w:t>
      </w:r>
      <w:r>
        <w:rPr>
          <w:spacing w:val="-1"/>
        </w:rPr>
        <w:t>that</w:t>
      </w:r>
      <w:r>
        <w:rPr>
          <w:spacing w:val="34"/>
        </w:rPr>
        <w:t xml:space="preserve"> </w:t>
      </w:r>
      <w:r>
        <w:rPr>
          <w:spacing w:val="-1"/>
        </w:rPr>
        <w:t>is</w:t>
      </w:r>
      <w:r>
        <w:rPr>
          <w:spacing w:val="39"/>
        </w:rPr>
        <w:t xml:space="preserve"> </w:t>
      </w:r>
      <w:r>
        <w:rPr>
          <w:spacing w:val="-1"/>
        </w:rPr>
        <w:t>reasonable</w:t>
      </w:r>
      <w:r>
        <w:rPr>
          <w:spacing w:val="38"/>
        </w:rPr>
        <w:t xml:space="preserve"> </w:t>
      </w:r>
      <w:r>
        <w:t>to</w:t>
      </w:r>
      <w:r>
        <w:rPr>
          <w:spacing w:val="36"/>
        </w:rPr>
        <w:t xml:space="preserve"> </w:t>
      </w:r>
      <w:r>
        <w:rPr>
          <w:spacing w:val="-1"/>
        </w:rPr>
        <w:t>mitigate</w:t>
      </w:r>
      <w:r>
        <w:rPr>
          <w:spacing w:val="39"/>
        </w:rPr>
        <w:t xml:space="preserve"> </w:t>
      </w:r>
      <w:r>
        <w:t>the</w:t>
      </w:r>
      <w:r>
        <w:rPr>
          <w:spacing w:val="38"/>
        </w:rPr>
        <w:t xml:space="preserve"> </w:t>
      </w:r>
      <w:r>
        <w:rPr>
          <w:spacing w:val="-2"/>
        </w:rPr>
        <w:t>impact</w:t>
      </w:r>
      <w:r>
        <w:rPr>
          <w:spacing w:val="40"/>
        </w:rPr>
        <w:t xml:space="preserve"> </w:t>
      </w:r>
      <w:r>
        <w:rPr>
          <w:spacing w:val="-1"/>
        </w:rPr>
        <w:t>on</w:t>
      </w:r>
      <w:r>
        <w:rPr>
          <w:spacing w:val="37"/>
        </w:rPr>
        <w:t xml:space="preserve"> </w:t>
      </w:r>
      <w:r>
        <w:t>the</w:t>
      </w:r>
      <w:r>
        <w:rPr>
          <w:spacing w:val="38"/>
        </w:rPr>
        <w:t xml:space="preserve"> </w:t>
      </w:r>
      <w:r>
        <w:rPr>
          <w:spacing w:val="-2"/>
        </w:rPr>
        <w:t>Customer</w:t>
      </w:r>
      <w:r>
        <w:rPr>
          <w:spacing w:val="40"/>
        </w:rPr>
        <w:t xml:space="preserve"> </w:t>
      </w:r>
      <w:r>
        <w:rPr>
          <w:spacing w:val="-1"/>
        </w:rPr>
        <w:t>and</w:t>
      </w:r>
      <w:r>
        <w:rPr>
          <w:spacing w:val="36"/>
        </w:rPr>
        <w:t xml:space="preserve"> </w:t>
      </w:r>
      <w:r>
        <w:t>to</w:t>
      </w:r>
      <w:r>
        <w:rPr>
          <w:spacing w:val="39"/>
        </w:rPr>
        <w:t xml:space="preserve"> </w:t>
      </w:r>
      <w:r>
        <w:rPr>
          <w:spacing w:val="-1"/>
        </w:rPr>
        <w:t>rectify</w:t>
      </w:r>
      <w:r>
        <w:rPr>
          <w:spacing w:val="51"/>
        </w:rPr>
        <w:t xml:space="preserve"> </w:t>
      </w:r>
      <w:r>
        <w:rPr>
          <w:spacing w:val="-1"/>
        </w:rPr>
        <w:t>or</w:t>
      </w:r>
      <w:r>
        <w:rPr>
          <w:spacing w:val="54"/>
        </w:rPr>
        <w:t xml:space="preserve"> </w:t>
      </w:r>
      <w:r>
        <w:rPr>
          <w:spacing w:val="-1"/>
        </w:rPr>
        <w:t>prevent</w:t>
      </w:r>
      <w:r>
        <w:rPr>
          <w:spacing w:val="55"/>
        </w:rPr>
        <w:t xml:space="preserve"> </w:t>
      </w:r>
      <w:r>
        <w:t>a</w:t>
      </w:r>
      <w:r>
        <w:rPr>
          <w:spacing w:val="53"/>
        </w:rPr>
        <w:t xml:space="preserve"> </w:t>
      </w:r>
      <w:r>
        <w:rPr>
          <w:spacing w:val="-2"/>
        </w:rPr>
        <w:t>Service</w:t>
      </w:r>
      <w:r>
        <w:rPr>
          <w:spacing w:val="53"/>
        </w:rPr>
        <w:t xml:space="preserve"> </w:t>
      </w:r>
      <w:r>
        <w:rPr>
          <w:spacing w:val="-1"/>
        </w:rPr>
        <w:t>Level</w:t>
      </w:r>
      <w:r>
        <w:rPr>
          <w:spacing w:val="55"/>
        </w:rPr>
        <w:t xml:space="preserve"> </w:t>
      </w:r>
      <w:r>
        <w:rPr>
          <w:spacing w:val="-1"/>
        </w:rPr>
        <w:t>Failure</w:t>
      </w:r>
      <w:r>
        <w:rPr>
          <w:spacing w:val="54"/>
        </w:rPr>
        <w:t xml:space="preserve"> </w:t>
      </w:r>
      <w:r>
        <w:rPr>
          <w:spacing w:val="-1"/>
        </w:rPr>
        <w:t>or</w:t>
      </w:r>
      <w:r>
        <w:rPr>
          <w:spacing w:val="54"/>
        </w:rPr>
        <w:t xml:space="preserve"> </w:t>
      </w:r>
      <w:r>
        <w:rPr>
          <w:spacing w:val="-1"/>
        </w:rPr>
        <w:t>Critical</w:t>
      </w:r>
      <w:r>
        <w:rPr>
          <w:spacing w:val="52"/>
        </w:rPr>
        <w:t xml:space="preserve"> </w:t>
      </w:r>
      <w:r>
        <w:rPr>
          <w:spacing w:val="-2"/>
        </w:rPr>
        <w:t>Service</w:t>
      </w:r>
      <w:r>
        <w:rPr>
          <w:spacing w:val="50"/>
        </w:rPr>
        <w:t xml:space="preserve"> </w:t>
      </w:r>
      <w:r>
        <w:rPr>
          <w:spacing w:val="-2"/>
        </w:rPr>
        <w:t>Level</w:t>
      </w:r>
      <w:r>
        <w:t xml:space="preserve"> </w:t>
      </w:r>
      <w:r>
        <w:rPr>
          <w:spacing w:val="-1"/>
        </w:rPr>
        <w:t>Failure</w:t>
      </w:r>
      <w:r>
        <w:t xml:space="preserve"> from</w:t>
      </w:r>
      <w:r>
        <w:rPr>
          <w:spacing w:val="-1"/>
        </w:rPr>
        <w:t xml:space="preserve"> taking</w:t>
      </w:r>
      <w:r>
        <w:t xml:space="preserve"> </w:t>
      </w:r>
      <w:r>
        <w:rPr>
          <w:spacing w:val="-1"/>
        </w:rPr>
        <w:t>place</w:t>
      </w:r>
      <w:r>
        <w:rPr>
          <w:spacing w:val="1"/>
        </w:rPr>
        <w:t xml:space="preserve"> </w:t>
      </w:r>
      <w:r>
        <w:rPr>
          <w:spacing w:val="-1"/>
        </w:rPr>
        <w:t>or recurring;</w:t>
      </w:r>
      <w:r>
        <w:rPr>
          <w:spacing w:val="2"/>
        </w:rPr>
        <w:t xml:space="preserve"> </w:t>
      </w:r>
      <w:r>
        <w:rPr>
          <w:spacing w:val="-1"/>
        </w:rPr>
        <w:t>and</w:t>
      </w:r>
    </w:p>
    <w:p w:rsidR="008918FA" w:rsidRDefault="008918FA" w:rsidP="008918FA">
      <w:pPr>
        <w:pStyle w:val="BodyText"/>
        <w:numPr>
          <w:ilvl w:val="3"/>
          <w:numId w:val="25"/>
        </w:numPr>
        <w:tabs>
          <w:tab w:val="left" w:pos="2734"/>
        </w:tabs>
        <w:ind w:left="2733" w:right="111" w:hanging="707"/>
        <w:jc w:val="both"/>
      </w:pPr>
      <w:r>
        <w:rPr>
          <w:spacing w:val="-1"/>
        </w:rPr>
        <w:t>if</w:t>
      </w:r>
      <w:r>
        <w:rPr>
          <w:spacing w:val="26"/>
        </w:rPr>
        <w:t xml:space="preserve"> </w:t>
      </w:r>
      <w:r>
        <w:t>the</w:t>
      </w:r>
      <w:r>
        <w:rPr>
          <w:spacing w:val="24"/>
        </w:rPr>
        <w:t xml:space="preserve"> </w:t>
      </w:r>
      <w:r>
        <w:rPr>
          <w:spacing w:val="-1"/>
        </w:rPr>
        <w:t>action</w:t>
      </w:r>
      <w:r>
        <w:rPr>
          <w:spacing w:val="24"/>
        </w:rPr>
        <w:t xml:space="preserve"> </w:t>
      </w:r>
      <w:r>
        <w:rPr>
          <w:spacing w:val="-1"/>
        </w:rPr>
        <w:t>taken</w:t>
      </w:r>
      <w:r>
        <w:rPr>
          <w:spacing w:val="24"/>
        </w:rPr>
        <w:t xml:space="preserve"> </w:t>
      </w:r>
      <w:r>
        <w:rPr>
          <w:spacing w:val="-1"/>
        </w:rPr>
        <w:t>under</w:t>
      </w:r>
      <w:r>
        <w:rPr>
          <w:spacing w:val="23"/>
        </w:rPr>
        <w:t xml:space="preserve"> </w:t>
      </w:r>
      <w:r>
        <w:rPr>
          <w:spacing w:val="-1"/>
        </w:rPr>
        <w:t>paragraph</w:t>
      </w:r>
      <w:r>
        <w:rPr>
          <w:spacing w:val="24"/>
        </w:rPr>
        <w:t xml:space="preserve"> </w:t>
      </w:r>
      <w:hyperlink w:anchor="_bookmark311" w:history="1">
        <w:r>
          <w:rPr>
            <w:spacing w:val="-1"/>
          </w:rPr>
          <w:t>(a)</w:t>
        </w:r>
      </w:hyperlink>
      <w:r>
        <w:rPr>
          <w:spacing w:val="26"/>
        </w:rPr>
        <w:t xml:space="preserve"> </w:t>
      </w:r>
      <w:r>
        <w:rPr>
          <w:spacing w:val="-2"/>
        </w:rPr>
        <w:t>above</w:t>
      </w:r>
      <w:r>
        <w:rPr>
          <w:spacing w:val="24"/>
        </w:rPr>
        <w:t xml:space="preserve"> </w:t>
      </w:r>
      <w:r>
        <w:rPr>
          <w:spacing w:val="-1"/>
        </w:rPr>
        <w:t>has</w:t>
      </w:r>
      <w:r>
        <w:rPr>
          <w:spacing w:val="25"/>
        </w:rPr>
        <w:t xml:space="preserve"> </w:t>
      </w:r>
      <w:r>
        <w:rPr>
          <w:spacing w:val="-1"/>
        </w:rPr>
        <w:t>not</w:t>
      </w:r>
      <w:r>
        <w:rPr>
          <w:spacing w:val="26"/>
        </w:rPr>
        <w:t xml:space="preserve"> </w:t>
      </w:r>
      <w:r>
        <w:rPr>
          <w:spacing w:val="-1"/>
        </w:rPr>
        <w:t>already</w:t>
      </w:r>
      <w:r>
        <w:rPr>
          <w:spacing w:val="26"/>
        </w:rPr>
        <w:t xml:space="preserve"> </w:t>
      </w:r>
      <w:r>
        <w:rPr>
          <w:spacing w:val="-1"/>
        </w:rPr>
        <w:t>prevented</w:t>
      </w:r>
      <w:r>
        <w:rPr>
          <w:spacing w:val="4"/>
        </w:rPr>
        <w:t xml:space="preserve"> </w:t>
      </w:r>
      <w:r>
        <w:rPr>
          <w:spacing w:val="-1"/>
        </w:rPr>
        <w:t>or</w:t>
      </w:r>
      <w:r>
        <w:rPr>
          <w:spacing w:val="5"/>
        </w:rPr>
        <w:t xml:space="preserve"> </w:t>
      </w:r>
      <w:r>
        <w:rPr>
          <w:spacing w:val="-1"/>
        </w:rPr>
        <w:t>remedied</w:t>
      </w:r>
      <w:r>
        <w:rPr>
          <w:spacing w:val="2"/>
        </w:rPr>
        <w:t xml:space="preserve"> </w:t>
      </w:r>
      <w:r>
        <w:t>the</w:t>
      </w:r>
      <w:r>
        <w:rPr>
          <w:spacing w:val="4"/>
        </w:rPr>
        <w:t xml:space="preserve"> </w:t>
      </w:r>
      <w:r>
        <w:rPr>
          <w:spacing w:val="-2"/>
        </w:rPr>
        <w:t>Service</w:t>
      </w:r>
      <w:r>
        <w:rPr>
          <w:spacing w:val="4"/>
        </w:rPr>
        <w:t xml:space="preserve"> </w:t>
      </w:r>
      <w:r>
        <w:rPr>
          <w:spacing w:val="-2"/>
        </w:rPr>
        <w:t>Level</w:t>
      </w:r>
      <w:r>
        <w:rPr>
          <w:spacing w:val="3"/>
        </w:rPr>
        <w:t xml:space="preserve"> </w:t>
      </w:r>
      <w:r>
        <w:rPr>
          <w:spacing w:val="-1"/>
        </w:rPr>
        <w:t>Failure</w:t>
      </w:r>
      <w:r>
        <w:rPr>
          <w:spacing w:val="4"/>
        </w:rPr>
        <w:t xml:space="preserve"> </w:t>
      </w:r>
      <w:r>
        <w:rPr>
          <w:spacing w:val="-1"/>
        </w:rPr>
        <w:t>or</w:t>
      </w:r>
      <w:r>
        <w:rPr>
          <w:spacing w:val="5"/>
        </w:rPr>
        <w:t xml:space="preserve"> </w:t>
      </w:r>
      <w:r>
        <w:rPr>
          <w:spacing w:val="-1"/>
        </w:rPr>
        <w:t>Critical</w:t>
      </w:r>
      <w:r>
        <w:rPr>
          <w:spacing w:val="45"/>
        </w:rPr>
        <w:t xml:space="preserve"> </w:t>
      </w:r>
      <w:r>
        <w:rPr>
          <w:spacing w:val="-2"/>
        </w:rPr>
        <w:t>Service</w:t>
      </w:r>
      <w:r>
        <w:rPr>
          <w:spacing w:val="13"/>
        </w:rPr>
        <w:t xml:space="preserve"> </w:t>
      </w:r>
      <w:r>
        <w:rPr>
          <w:spacing w:val="-1"/>
        </w:rPr>
        <w:t>Level</w:t>
      </w:r>
      <w:r>
        <w:rPr>
          <w:spacing w:val="12"/>
        </w:rPr>
        <w:t xml:space="preserve"> </w:t>
      </w:r>
      <w:r>
        <w:rPr>
          <w:spacing w:val="-1"/>
        </w:rPr>
        <w:t>Failure,</w:t>
      </w:r>
      <w:r>
        <w:rPr>
          <w:spacing w:val="14"/>
        </w:rPr>
        <w:t xml:space="preserve"> </w:t>
      </w:r>
      <w:r>
        <w:rPr>
          <w:spacing w:val="-1"/>
        </w:rPr>
        <w:t>the</w:t>
      </w:r>
      <w:r>
        <w:rPr>
          <w:spacing w:val="12"/>
        </w:rPr>
        <w:t xml:space="preserve"> </w:t>
      </w:r>
      <w:r>
        <w:rPr>
          <w:spacing w:val="-1"/>
        </w:rPr>
        <w:t>Customer</w:t>
      </w:r>
      <w:r>
        <w:rPr>
          <w:spacing w:val="14"/>
        </w:rPr>
        <w:t xml:space="preserve"> </w:t>
      </w:r>
      <w:r>
        <w:rPr>
          <w:spacing w:val="-1"/>
        </w:rPr>
        <w:t>shall</w:t>
      </w:r>
      <w:r>
        <w:rPr>
          <w:spacing w:val="12"/>
        </w:rPr>
        <w:t xml:space="preserve"> </w:t>
      </w:r>
      <w:r>
        <w:rPr>
          <w:spacing w:val="-1"/>
        </w:rPr>
        <w:t>be</w:t>
      </w:r>
      <w:r>
        <w:rPr>
          <w:spacing w:val="12"/>
        </w:rPr>
        <w:t xml:space="preserve"> </w:t>
      </w:r>
      <w:r>
        <w:rPr>
          <w:spacing w:val="-1"/>
        </w:rPr>
        <w:t>entitled</w:t>
      </w:r>
      <w:r>
        <w:rPr>
          <w:spacing w:val="12"/>
        </w:rPr>
        <w:t xml:space="preserve"> </w:t>
      </w:r>
      <w:r>
        <w:t>to</w:t>
      </w:r>
      <w:r>
        <w:rPr>
          <w:spacing w:val="12"/>
        </w:rPr>
        <w:t xml:space="preserve"> </w:t>
      </w:r>
      <w:r>
        <w:rPr>
          <w:spacing w:val="-2"/>
        </w:rPr>
        <w:t>instruct</w:t>
      </w:r>
      <w:r>
        <w:rPr>
          <w:spacing w:val="43"/>
        </w:rPr>
        <w:t xml:space="preserve"> </w:t>
      </w:r>
      <w:r>
        <w:t xml:space="preserve">the </w:t>
      </w:r>
      <w:r>
        <w:rPr>
          <w:spacing w:val="-2"/>
        </w:rPr>
        <w:t>Supplier</w:t>
      </w:r>
      <w:r>
        <w:rPr>
          <w:spacing w:val="-1"/>
        </w:rPr>
        <w:t xml:space="preserve"> </w:t>
      </w:r>
      <w:r>
        <w:t>to</w:t>
      </w:r>
      <w:r>
        <w:rPr>
          <w:spacing w:val="-2"/>
        </w:rPr>
        <w:t xml:space="preserve"> </w:t>
      </w:r>
      <w:r>
        <w:rPr>
          <w:spacing w:val="-1"/>
        </w:rPr>
        <w:t>comply with</w:t>
      </w:r>
      <w:r>
        <w:rPr>
          <w:spacing w:val="-2"/>
        </w:rPr>
        <w:t xml:space="preserve"> </w:t>
      </w:r>
      <w:r>
        <w:t xml:space="preserve">the </w:t>
      </w:r>
      <w:r>
        <w:rPr>
          <w:spacing w:val="-1"/>
        </w:rPr>
        <w:t>Rectification</w:t>
      </w:r>
      <w:r>
        <w:t xml:space="preserve"> </w:t>
      </w:r>
      <w:r>
        <w:rPr>
          <w:spacing w:val="-1"/>
        </w:rPr>
        <w:t>Plan</w:t>
      </w:r>
      <w:r>
        <w:rPr>
          <w:spacing w:val="-2"/>
        </w:rPr>
        <w:t xml:space="preserve"> </w:t>
      </w:r>
      <w:r>
        <w:rPr>
          <w:spacing w:val="-1"/>
        </w:rPr>
        <w:t>Process;</w:t>
      </w:r>
      <w:r>
        <w:t xml:space="preserve"> </w:t>
      </w:r>
      <w:r>
        <w:rPr>
          <w:spacing w:val="-1"/>
        </w:rPr>
        <w:t>or</w:t>
      </w:r>
    </w:p>
    <w:p w:rsidR="008918FA" w:rsidRDefault="008918FA" w:rsidP="008918FA">
      <w:pPr>
        <w:pStyle w:val="BodyText"/>
        <w:numPr>
          <w:ilvl w:val="3"/>
          <w:numId w:val="25"/>
        </w:numPr>
        <w:tabs>
          <w:tab w:val="left" w:pos="2734"/>
        </w:tabs>
        <w:spacing w:before="121"/>
        <w:ind w:left="2733" w:right="117"/>
        <w:jc w:val="both"/>
      </w:pPr>
      <w:r>
        <w:rPr>
          <w:spacing w:val="-1"/>
        </w:rPr>
        <w:t>if</w:t>
      </w:r>
      <w:r>
        <w:rPr>
          <w:spacing w:val="4"/>
        </w:rPr>
        <w:t xml:space="preserve"> </w:t>
      </w:r>
      <w:r>
        <w:t>a</w:t>
      </w:r>
      <w:r>
        <w:rPr>
          <w:spacing w:val="3"/>
        </w:rPr>
        <w:t xml:space="preserve"> </w:t>
      </w:r>
      <w:r>
        <w:rPr>
          <w:spacing w:val="-2"/>
        </w:rPr>
        <w:t>Service</w:t>
      </w:r>
      <w:r>
        <w:rPr>
          <w:spacing w:val="3"/>
        </w:rPr>
        <w:t xml:space="preserve"> </w:t>
      </w:r>
      <w:r>
        <w:rPr>
          <w:spacing w:val="-2"/>
        </w:rPr>
        <w:t>Level</w:t>
      </w:r>
      <w:r>
        <w:rPr>
          <w:spacing w:val="2"/>
        </w:rPr>
        <w:t xml:space="preserve"> </w:t>
      </w:r>
      <w:r>
        <w:rPr>
          <w:spacing w:val="-1"/>
        </w:rPr>
        <w:t>Failure</w:t>
      </w:r>
      <w:r>
        <w:rPr>
          <w:spacing w:val="3"/>
        </w:rPr>
        <w:t xml:space="preserve"> </w:t>
      </w:r>
      <w:r>
        <w:rPr>
          <w:spacing w:val="-1"/>
        </w:rPr>
        <w:t>has</w:t>
      </w:r>
      <w:r>
        <w:rPr>
          <w:spacing w:val="3"/>
        </w:rPr>
        <w:t xml:space="preserve"> </w:t>
      </w:r>
      <w:r>
        <w:rPr>
          <w:spacing w:val="-1"/>
        </w:rPr>
        <w:t>occurred,</w:t>
      </w:r>
      <w:r>
        <w:rPr>
          <w:spacing w:val="4"/>
        </w:rPr>
        <w:t xml:space="preserve"> </w:t>
      </w:r>
      <w:r>
        <w:rPr>
          <w:spacing w:val="-2"/>
        </w:rPr>
        <w:t>deduct</w:t>
      </w:r>
      <w:r>
        <w:t xml:space="preserve"> </w:t>
      </w:r>
      <w:r>
        <w:rPr>
          <w:spacing w:val="-1"/>
        </w:rPr>
        <w:t>from</w:t>
      </w:r>
      <w:r>
        <w:rPr>
          <w:spacing w:val="2"/>
        </w:rPr>
        <w:t xml:space="preserve"> </w:t>
      </w:r>
      <w:r>
        <w:t>the</w:t>
      </w:r>
      <w:r>
        <w:rPr>
          <w:spacing w:val="3"/>
        </w:rPr>
        <w:t xml:space="preserve"> </w:t>
      </w:r>
      <w:r>
        <w:rPr>
          <w:spacing w:val="-2"/>
        </w:rPr>
        <w:t>Call</w:t>
      </w:r>
      <w:r>
        <w:t xml:space="preserve"> </w:t>
      </w:r>
      <w:r>
        <w:rPr>
          <w:spacing w:val="-1"/>
        </w:rPr>
        <w:t>Off</w:t>
      </w:r>
      <w:r>
        <w:rPr>
          <w:spacing w:val="47"/>
        </w:rPr>
        <w:t xml:space="preserve"> </w:t>
      </w:r>
      <w:r>
        <w:rPr>
          <w:spacing w:val="-1"/>
        </w:rPr>
        <w:t>Contract</w:t>
      </w:r>
      <w:r>
        <w:rPr>
          <w:spacing w:val="14"/>
        </w:rPr>
        <w:t xml:space="preserve"> </w:t>
      </w:r>
      <w:r>
        <w:rPr>
          <w:spacing w:val="-1"/>
        </w:rPr>
        <w:t>Charges</w:t>
      </w:r>
      <w:r>
        <w:rPr>
          <w:spacing w:val="13"/>
        </w:rPr>
        <w:t xml:space="preserve"> </w:t>
      </w:r>
      <w:r>
        <w:t>the</w:t>
      </w:r>
      <w:r>
        <w:rPr>
          <w:spacing w:val="12"/>
        </w:rPr>
        <w:t xml:space="preserve"> </w:t>
      </w:r>
      <w:r>
        <w:rPr>
          <w:spacing w:val="-2"/>
        </w:rPr>
        <w:t>applicable</w:t>
      </w:r>
      <w:r>
        <w:rPr>
          <w:spacing w:val="12"/>
        </w:rPr>
        <w:t xml:space="preserve"> </w:t>
      </w:r>
      <w:r>
        <w:rPr>
          <w:spacing w:val="-1"/>
        </w:rPr>
        <w:t>Service</w:t>
      </w:r>
      <w:r>
        <w:rPr>
          <w:spacing w:val="13"/>
        </w:rPr>
        <w:t xml:space="preserve"> </w:t>
      </w:r>
      <w:r>
        <w:t>Level</w:t>
      </w:r>
      <w:r>
        <w:rPr>
          <w:spacing w:val="12"/>
        </w:rPr>
        <w:t xml:space="preserve"> </w:t>
      </w:r>
      <w:r>
        <w:rPr>
          <w:spacing w:val="-1"/>
        </w:rPr>
        <w:t>Credits</w:t>
      </w:r>
      <w:r>
        <w:rPr>
          <w:spacing w:val="13"/>
        </w:rPr>
        <w:t xml:space="preserve"> </w:t>
      </w:r>
      <w:r>
        <w:rPr>
          <w:spacing w:val="-2"/>
        </w:rPr>
        <w:t>payable</w:t>
      </w:r>
      <w:r>
        <w:rPr>
          <w:spacing w:val="49"/>
        </w:rPr>
        <w:t xml:space="preserve"> </w:t>
      </w:r>
      <w:r>
        <w:rPr>
          <w:spacing w:val="-1"/>
        </w:rPr>
        <w:t>by</w:t>
      </w:r>
      <w:r>
        <w:rPr>
          <w:spacing w:val="33"/>
        </w:rPr>
        <w:t xml:space="preserve"> </w:t>
      </w:r>
      <w:r>
        <w:t>the</w:t>
      </w:r>
      <w:r>
        <w:rPr>
          <w:spacing w:val="35"/>
        </w:rPr>
        <w:t xml:space="preserve"> </w:t>
      </w:r>
      <w:r>
        <w:rPr>
          <w:spacing w:val="-2"/>
        </w:rPr>
        <w:t>Supplier</w:t>
      </w:r>
      <w:r>
        <w:rPr>
          <w:spacing w:val="36"/>
        </w:rPr>
        <w:t xml:space="preserve"> </w:t>
      </w:r>
      <w:r>
        <w:t>to</w:t>
      </w:r>
      <w:r>
        <w:rPr>
          <w:spacing w:val="35"/>
        </w:rPr>
        <w:t xml:space="preserve"> </w:t>
      </w:r>
      <w:r>
        <w:rPr>
          <w:spacing w:val="-1"/>
        </w:rPr>
        <w:t>the</w:t>
      </w:r>
      <w:r>
        <w:rPr>
          <w:spacing w:val="35"/>
        </w:rPr>
        <w:t xml:space="preserve"> </w:t>
      </w:r>
      <w:r>
        <w:rPr>
          <w:spacing w:val="-1"/>
        </w:rPr>
        <w:t>Customer</w:t>
      </w:r>
      <w:r>
        <w:rPr>
          <w:spacing w:val="36"/>
        </w:rPr>
        <w:t xml:space="preserve"> </w:t>
      </w:r>
      <w:r>
        <w:rPr>
          <w:spacing w:val="-1"/>
        </w:rPr>
        <w:t>in</w:t>
      </w:r>
      <w:r>
        <w:rPr>
          <w:spacing w:val="36"/>
        </w:rPr>
        <w:t xml:space="preserve"> </w:t>
      </w:r>
      <w:r>
        <w:rPr>
          <w:spacing w:val="-2"/>
        </w:rPr>
        <w:t>accordance</w:t>
      </w:r>
      <w:r>
        <w:rPr>
          <w:spacing w:val="35"/>
        </w:rPr>
        <w:t xml:space="preserve"> </w:t>
      </w:r>
      <w:r>
        <w:rPr>
          <w:spacing w:val="-2"/>
        </w:rPr>
        <w:t>with</w:t>
      </w:r>
      <w:r>
        <w:rPr>
          <w:spacing w:val="35"/>
        </w:rPr>
        <w:t xml:space="preserve"> </w:t>
      </w:r>
      <w:r>
        <w:rPr>
          <w:spacing w:val="-1"/>
        </w:rPr>
        <w:t>the</w:t>
      </w:r>
      <w:r>
        <w:rPr>
          <w:spacing w:val="50"/>
        </w:rPr>
        <w:t xml:space="preserve"> </w:t>
      </w:r>
      <w:r>
        <w:rPr>
          <w:spacing w:val="-1"/>
        </w:rPr>
        <w:t>calculation</w:t>
      </w:r>
      <w:r>
        <w:rPr>
          <w:spacing w:val="10"/>
        </w:rPr>
        <w:t xml:space="preserve"> </w:t>
      </w:r>
      <w:r>
        <w:rPr>
          <w:spacing w:val="-1"/>
        </w:rPr>
        <w:t>formula</w:t>
      </w:r>
      <w:r>
        <w:rPr>
          <w:spacing w:val="10"/>
        </w:rPr>
        <w:t xml:space="preserve"> </w:t>
      </w:r>
      <w:r>
        <w:rPr>
          <w:spacing w:val="-1"/>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1"/>
        </w:rPr>
        <w:t>Annex</w:t>
      </w:r>
      <w:r>
        <w:rPr>
          <w:spacing w:val="10"/>
        </w:rPr>
        <w:t xml:space="preserve"> </w:t>
      </w:r>
      <w:r>
        <w:t>1</w:t>
      </w:r>
      <w:r>
        <w:rPr>
          <w:spacing w:val="10"/>
        </w:rPr>
        <w:t xml:space="preserve"> </w:t>
      </w:r>
      <w:r>
        <w:rPr>
          <w:spacing w:val="-1"/>
        </w:rPr>
        <w:t>of</w:t>
      </w:r>
      <w:r>
        <w:rPr>
          <w:spacing w:val="14"/>
        </w:rPr>
        <w:t xml:space="preserve"> </w:t>
      </w:r>
      <w:r>
        <w:rPr>
          <w:spacing w:val="-1"/>
        </w:rPr>
        <w:t>this</w:t>
      </w:r>
      <w:r>
        <w:rPr>
          <w:spacing w:val="10"/>
        </w:rPr>
        <w:t xml:space="preserve"> </w:t>
      </w:r>
      <w:r>
        <w:rPr>
          <w:spacing w:val="-1"/>
        </w:rPr>
        <w:t>Part</w:t>
      </w:r>
      <w:r>
        <w:rPr>
          <w:spacing w:val="11"/>
        </w:rPr>
        <w:t xml:space="preserve"> </w:t>
      </w:r>
      <w:r>
        <w:t>A</w:t>
      </w:r>
      <w:r>
        <w:rPr>
          <w:spacing w:val="9"/>
        </w:rPr>
        <w:t xml:space="preserve"> </w:t>
      </w:r>
      <w:r>
        <w:rPr>
          <w:spacing w:val="-1"/>
        </w:rPr>
        <w:t>of</w:t>
      </w:r>
      <w:r>
        <w:rPr>
          <w:spacing w:val="11"/>
        </w:rPr>
        <w:t xml:space="preserve"> </w:t>
      </w:r>
      <w:r>
        <w:rPr>
          <w:spacing w:val="-1"/>
        </w:rPr>
        <w:t>this</w:t>
      </w:r>
      <w:r>
        <w:rPr>
          <w:spacing w:val="10"/>
        </w:rPr>
        <w:t xml:space="preserve"> </w:t>
      </w:r>
      <w:r>
        <w:rPr>
          <w:spacing w:val="-2"/>
        </w:rPr>
        <w:t>Call</w:t>
      </w:r>
      <w:r>
        <w:rPr>
          <w:spacing w:val="41"/>
        </w:rPr>
        <w:t xml:space="preserve"> </w:t>
      </w:r>
      <w:r>
        <w:rPr>
          <w:spacing w:val="-1"/>
        </w:rPr>
        <w:t>Off</w:t>
      </w:r>
      <w:r>
        <w:rPr>
          <w:spacing w:val="2"/>
        </w:rPr>
        <w:t xml:space="preserve"> </w:t>
      </w:r>
      <w:r>
        <w:rPr>
          <w:spacing w:val="-2"/>
        </w:rPr>
        <w:t>Schedule;</w:t>
      </w:r>
      <w:r>
        <w:rPr>
          <w:spacing w:val="2"/>
        </w:rPr>
        <w:t xml:space="preserve"> </w:t>
      </w:r>
      <w:r>
        <w:rPr>
          <w:spacing w:val="-2"/>
        </w:rPr>
        <w:t>or</w:t>
      </w:r>
    </w:p>
    <w:p w:rsidR="008918FA" w:rsidRDefault="008918FA" w:rsidP="008918FA">
      <w:pPr>
        <w:pStyle w:val="BodyText"/>
        <w:numPr>
          <w:ilvl w:val="3"/>
          <w:numId w:val="25"/>
        </w:numPr>
        <w:tabs>
          <w:tab w:val="left" w:pos="2734"/>
        </w:tabs>
        <w:spacing w:before="121"/>
        <w:ind w:left="2733" w:right="114"/>
        <w:jc w:val="both"/>
      </w:pPr>
      <w:r>
        <w:rPr>
          <w:spacing w:val="-1"/>
        </w:rPr>
        <w:t>if</w:t>
      </w:r>
      <w:r>
        <w:rPr>
          <w:spacing w:val="4"/>
        </w:rPr>
        <w:t xml:space="preserve"> </w:t>
      </w:r>
      <w:r>
        <w:t>a</w:t>
      </w:r>
      <w:r>
        <w:rPr>
          <w:spacing w:val="3"/>
        </w:rPr>
        <w:t xml:space="preserve"> </w:t>
      </w:r>
      <w:r>
        <w:rPr>
          <w:spacing w:val="-1"/>
        </w:rPr>
        <w:t>Critical</w:t>
      </w:r>
      <w:r>
        <w:rPr>
          <w:spacing w:val="2"/>
        </w:rPr>
        <w:t xml:space="preserve"> </w:t>
      </w:r>
      <w:r>
        <w:rPr>
          <w:spacing w:val="-2"/>
        </w:rPr>
        <w:t>Service</w:t>
      </w:r>
      <w:r>
        <w:rPr>
          <w:spacing w:val="3"/>
        </w:rPr>
        <w:t xml:space="preserve"> </w:t>
      </w:r>
      <w:r>
        <w:rPr>
          <w:spacing w:val="-2"/>
        </w:rPr>
        <w:t>Level</w:t>
      </w:r>
      <w:r>
        <w:rPr>
          <w:spacing w:val="2"/>
        </w:rPr>
        <w:t xml:space="preserve"> </w:t>
      </w:r>
      <w:r>
        <w:rPr>
          <w:spacing w:val="-1"/>
        </w:rPr>
        <w:t>Failure</w:t>
      </w:r>
      <w:r>
        <w:rPr>
          <w:spacing w:val="3"/>
        </w:rPr>
        <w:t xml:space="preserve"> </w:t>
      </w:r>
      <w:r>
        <w:rPr>
          <w:spacing w:val="-1"/>
        </w:rPr>
        <w:t>has</w:t>
      </w:r>
      <w:r>
        <w:rPr>
          <w:spacing w:val="3"/>
        </w:rPr>
        <w:t xml:space="preserve"> </w:t>
      </w:r>
      <w:r>
        <w:rPr>
          <w:spacing w:val="-1"/>
        </w:rPr>
        <w:t>occurred,</w:t>
      </w:r>
      <w:r>
        <w:rPr>
          <w:spacing w:val="4"/>
        </w:rPr>
        <w:t xml:space="preserve"> </w:t>
      </w:r>
      <w:r>
        <w:rPr>
          <w:spacing w:val="-1"/>
        </w:rPr>
        <w:t>exercise</w:t>
      </w:r>
      <w:r>
        <w:rPr>
          <w:spacing w:val="3"/>
        </w:rPr>
        <w:t xml:space="preserve"> </w:t>
      </w:r>
      <w:r>
        <w:rPr>
          <w:spacing w:val="-1"/>
        </w:rPr>
        <w:t>its</w:t>
      </w:r>
      <w:r>
        <w:rPr>
          <w:spacing w:val="1"/>
        </w:rPr>
        <w:t xml:space="preserve"> </w:t>
      </w:r>
      <w:r>
        <w:rPr>
          <w:spacing w:val="-1"/>
        </w:rPr>
        <w:t>right</w:t>
      </w:r>
      <w:r>
        <w:rPr>
          <w:spacing w:val="32"/>
        </w:rPr>
        <w:t xml:space="preserve"> </w:t>
      </w:r>
      <w:r>
        <w:t>to</w:t>
      </w:r>
      <w:r>
        <w:rPr>
          <w:spacing w:val="41"/>
        </w:rPr>
        <w:t xml:space="preserve"> </w:t>
      </w:r>
      <w:r>
        <w:rPr>
          <w:spacing w:val="-1"/>
        </w:rPr>
        <w:t>Compensation</w:t>
      </w:r>
      <w:r>
        <w:rPr>
          <w:spacing w:val="39"/>
        </w:rPr>
        <w:t xml:space="preserve"> </w:t>
      </w:r>
      <w:r>
        <w:t>for</w:t>
      </w:r>
      <w:r>
        <w:rPr>
          <w:spacing w:val="40"/>
        </w:rPr>
        <w:t xml:space="preserve"> </w:t>
      </w:r>
      <w:r>
        <w:rPr>
          <w:spacing w:val="-1"/>
        </w:rPr>
        <w:t>Critical</w:t>
      </w:r>
      <w:r>
        <w:rPr>
          <w:spacing w:val="40"/>
        </w:rPr>
        <w:t xml:space="preserve"> </w:t>
      </w:r>
      <w:r>
        <w:rPr>
          <w:spacing w:val="-2"/>
        </w:rPr>
        <w:t>Service</w:t>
      </w:r>
      <w:r>
        <w:rPr>
          <w:spacing w:val="42"/>
        </w:rPr>
        <w:t xml:space="preserve"> </w:t>
      </w:r>
      <w:r>
        <w:t>Level</w:t>
      </w:r>
      <w:r>
        <w:rPr>
          <w:spacing w:val="40"/>
        </w:rPr>
        <w:t xml:space="preserve"> </w:t>
      </w:r>
      <w:r>
        <w:rPr>
          <w:spacing w:val="-1"/>
        </w:rPr>
        <w:t>Failure</w:t>
      </w:r>
      <w:r>
        <w:rPr>
          <w:spacing w:val="42"/>
        </w:rPr>
        <w:t xml:space="preserve"> </w:t>
      </w:r>
      <w:r>
        <w:rPr>
          <w:spacing w:val="-1"/>
        </w:rPr>
        <w:t>in</w:t>
      </w:r>
      <w:r>
        <w:rPr>
          <w:spacing w:val="23"/>
        </w:rPr>
        <w:t xml:space="preserve"> </w:t>
      </w:r>
      <w:r>
        <w:rPr>
          <w:spacing w:val="-1"/>
        </w:rPr>
        <w:t>accordance</w:t>
      </w:r>
      <w:r>
        <w:rPr>
          <w:spacing w:val="46"/>
        </w:rPr>
        <w:t xml:space="preserve"> </w:t>
      </w:r>
      <w:r>
        <w:rPr>
          <w:spacing w:val="-2"/>
        </w:rPr>
        <w:t>with</w:t>
      </w:r>
      <w:r>
        <w:rPr>
          <w:spacing w:val="46"/>
        </w:rPr>
        <w:t xml:space="preserve"> </w:t>
      </w:r>
      <w:r>
        <w:rPr>
          <w:spacing w:val="-2"/>
        </w:rPr>
        <w:t>Clause</w:t>
      </w:r>
      <w:r>
        <w:rPr>
          <w:spacing w:val="49"/>
        </w:rPr>
        <w:t xml:space="preserve"> </w:t>
      </w:r>
      <w:hyperlink w:anchor="_bookmark99" w:history="1">
        <w:r>
          <w:rPr>
            <w:spacing w:val="-1"/>
          </w:rPr>
          <w:t>14</w:t>
        </w:r>
      </w:hyperlink>
      <w:r>
        <w:rPr>
          <w:spacing w:val="47"/>
        </w:rPr>
        <w:t xml:space="preserve"> </w:t>
      </w:r>
      <w:r>
        <w:rPr>
          <w:spacing w:val="-1"/>
        </w:rPr>
        <w:t>of</w:t>
      </w:r>
      <w:r>
        <w:rPr>
          <w:spacing w:val="49"/>
        </w:rPr>
        <w:t xml:space="preserve"> </w:t>
      </w:r>
      <w:r>
        <w:rPr>
          <w:spacing w:val="-1"/>
        </w:rPr>
        <w:t>this</w:t>
      </w:r>
      <w:r>
        <w:rPr>
          <w:spacing w:val="46"/>
        </w:rPr>
        <w:t xml:space="preserve"> </w:t>
      </w:r>
      <w:r>
        <w:rPr>
          <w:spacing w:val="-2"/>
        </w:rPr>
        <w:t>Call</w:t>
      </w:r>
      <w:r>
        <w:rPr>
          <w:spacing w:val="46"/>
        </w:rPr>
        <w:t xml:space="preserve"> </w:t>
      </w:r>
      <w:r>
        <w:t>Off</w:t>
      </w:r>
      <w:r>
        <w:rPr>
          <w:spacing w:val="49"/>
        </w:rPr>
        <w:t xml:space="preserve"> </w:t>
      </w:r>
      <w:r>
        <w:rPr>
          <w:spacing w:val="-2"/>
        </w:rPr>
        <w:t>Contract</w:t>
      </w:r>
      <w:r>
        <w:rPr>
          <w:spacing w:val="47"/>
        </w:rPr>
        <w:t xml:space="preserve"> </w:t>
      </w:r>
      <w:r>
        <w:rPr>
          <w:spacing w:val="-1"/>
        </w:rPr>
        <w:t>(Critical</w:t>
      </w:r>
      <w:r>
        <w:rPr>
          <w:spacing w:val="59"/>
        </w:rPr>
        <w:t xml:space="preserve"> </w:t>
      </w:r>
      <w:r>
        <w:rPr>
          <w:spacing w:val="-2"/>
        </w:rPr>
        <w:t>Service</w:t>
      </w:r>
      <w:r>
        <w:rPr>
          <w:spacing w:val="34"/>
        </w:rPr>
        <w:t xml:space="preserve"> </w:t>
      </w:r>
      <w:r>
        <w:rPr>
          <w:spacing w:val="-2"/>
        </w:rPr>
        <w:t>Level</w:t>
      </w:r>
      <w:r>
        <w:rPr>
          <w:spacing w:val="33"/>
        </w:rPr>
        <w:t xml:space="preserve"> </w:t>
      </w:r>
      <w:r>
        <w:rPr>
          <w:spacing w:val="-1"/>
        </w:rPr>
        <w:t>Failure)</w:t>
      </w:r>
      <w:r>
        <w:rPr>
          <w:spacing w:val="35"/>
        </w:rPr>
        <w:t xml:space="preserve"> </w:t>
      </w:r>
      <w:r>
        <w:rPr>
          <w:spacing w:val="-2"/>
        </w:rPr>
        <w:t>(including</w:t>
      </w:r>
      <w:r>
        <w:rPr>
          <w:spacing w:val="36"/>
        </w:rPr>
        <w:t xml:space="preserve"> </w:t>
      </w:r>
      <w:r>
        <w:rPr>
          <w:spacing w:val="-1"/>
        </w:rPr>
        <w:t>subject,</w:t>
      </w:r>
      <w:r>
        <w:rPr>
          <w:spacing w:val="33"/>
        </w:rPr>
        <w:t xml:space="preserve"> </w:t>
      </w:r>
      <w:r>
        <w:t>for</w:t>
      </w:r>
      <w:r>
        <w:rPr>
          <w:spacing w:val="33"/>
        </w:rPr>
        <w:t xml:space="preserve"> </w:t>
      </w:r>
      <w:r>
        <w:t>the</w:t>
      </w:r>
      <w:r>
        <w:rPr>
          <w:spacing w:val="32"/>
        </w:rPr>
        <w:t xml:space="preserve"> </w:t>
      </w:r>
      <w:r>
        <w:rPr>
          <w:spacing w:val="-2"/>
        </w:rPr>
        <w:t>avoidance</w:t>
      </w:r>
      <w:r>
        <w:rPr>
          <w:spacing w:val="34"/>
        </w:rPr>
        <w:t xml:space="preserve"> </w:t>
      </w:r>
      <w:r>
        <w:rPr>
          <w:spacing w:val="-1"/>
        </w:rPr>
        <w:t>of</w:t>
      </w:r>
      <w:r>
        <w:rPr>
          <w:spacing w:val="60"/>
        </w:rPr>
        <w:t xml:space="preserve"> </w:t>
      </w:r>
      <w:r>
        <w:rPr>
          <w:spacing w:val="-1"/>
        </w:rPr>
        <w:t>doubt,</w:t>
      </w:r>
      <w:r>
        <w:rPr>
          <w:spacing w:val="21"/>
        </w:rPr>
        <w:t xml:space="preserve"> </w:t>
      </w:r>
      <w:r>
        <w:t>the</w:t>
      </w:r>
      <w:r>
        <w:rPr>
          <w:spacing w:val="22"/>
        </w:rPr>
        <w:t xml:space="preserve"> </w:t>
      </w:r>
      <w:r>
        <w:rPr>
          <w:spacing w:val="-2"/>
        </w:rPr>
        <w:t>proviso</w:t>
      </w:r>
      <w:r>
        <w:rPr>
          <w:spacing w:val="22"/>
        </w:rPr>
        <w:t xml:space="preserve"> </w:t>
      </w:r>
      <w:r>
        <w:rPr>
          <w:spacing w:val="-1"/>
        </w:rPr>
        <w:t>in</w:t>
      </w:r>
      <w:r>
        <w:rPr>
          <w:spacing w:val="22"/>
        </w:rPr>
        <w:t xml:space="preserve"> </w:t>
      </w:r>
      <w:r>
        <w:rPr>
          <w:spacing w:val="-1"/>
        </w:rPr>
        <w:t>Clause</w:t>
      </w:r>
      <w:r>
        <w:rPr>
          <w:spacing w:val="24"/>
        </w:rPr>
        <w:t xml:space="preserve"> </w:t>
      </w:r>
      <w:hyperlink w:anchor="_bookmark101" w:history="1">
        <w:r>
          <w:rPr>
            <w:spacing w:val="-1"/>
          </w:rPr>
          <w:t>14.1.2</w:t>
        </w:r>
      </w:hyperlink>
      <w:r>
        <w:rPr>
          <w:spacing w:val="20"/>
        </w:rPr>
        <w:t xml:space="preserve"> </w:t>
      </w:r>
      <w:r>
        <w:rPr>
          <w:spacing w:val="-2"/>
        </w:rPr>
        <w:t>of</w:t>
      </w:r>
      <w:r>
        <w:rPr>
          <w:spacing w:val="23"/>
        </w:rPr>
        <w:t xml:space="preserve"> </w:t>
      </w:r>
      <w:r>
        <w:rPr>
          <w:spacing w:val="-1"/>
        </w:rPr>
        <w:t>this</w:t>
      </w:r>
      <w:r>
        <w:rPr>
          <w:spacing w:val="22"/>
        </w:rPr>
        <w:t xml:space="preserve"> </w:t>
      </w:r>
      <w:r>
        <w:rPr>
          <w:spacing w:val="-2"/>
        </w:rPr>
        <w:t>Call</w:t>
      </w:r>
      <w:r>
        <w:rPr>
          <w:spacing w:val="21"/>
        </w:rPr>
        <w:t xml:space="preserve"> </w:t>
      </w:r>
      <w:r>
        <w:rPr>
          <w:spacing w:val="-1"/>
        </w:rPr>
        <w:t>Off</w:t>
      </w:r>
      <w:r>
        <w:rPr>
          <w:spacing w:val="23"/>
        </w:rPr>
        <w:t xml:space="preserve"> </w:t>
      </w:r>
      <w:r>
        <w:rPr>
          <w:spacing w:val="-2"/>
        </w:rPr>
        <w:t>Contract</w:t>
      </w:r>
      <w:r>
        <w:rPr>
          <w:spacing w:val="23"/>
        </w:rPr>
        <w:t xml:space="preserve"> </w:t>
      </w:r>
      <w:r>
        <w:rPr>
          <w:spacing w:val="-2"/>
        </w:rPr>
        <w:t>in</w:t>
      </w:r>
      <w:r>
        <w:rPr>
          <w:spacing w:val="57"/>
        </w:rPr>
        <w:t xml:space="preserve"> </w:t>
      </w:r>
      <w:r>
        <w:rPr>
          <w:spacing w:val="-1"/>
        </w:rPr>
        <w:t>relation</w:t>
      </w:r>
      <w:r>
        <w:t xml:space="preserve"> to</w:t>
      </w:r>
      <w:r>
        <w:rPr>
          <w:spacing w:val="-2"/>
        </w:rPr>
        <w:t xml:space="preserve"> </w:t>
      </w:r>
      <w:r>
        <w:rPr>
          <w:spacing w:val="-1"/>
        </w:rPr>
        <w:t>Material</w:t>
      </w:r>
      <w:r>
        <w:t xml:space="preserve"> </w:t>
      </w:r>
      <w:r>
        <w:rPr>
          <w:spacing w:val="-1"/>
        </w:rPr>
        <w:t>Breach).</w:t>
      </w:r>
    </w:p>
    <w:p w:rsidR="008918FA" w:rsidRDefault="008918FA" w:rsidP="008918FA">
      <w:pPr>
        <w:pStyle w:val="BodyText"/>
        <w:numPr>
          <w:ilvl w:val="1"/>
          <w:numId w:val="25"/>
        </w:numPr>
        <w:tabs>
          <w:tab w:val="left" w:pos="828"/>
        </w:tabs>
        <w:ind w:left="827" w:right="113"/>
        <w:jc w:val="both"/>
      </w:pPr>
      <w:r>
        <w:rPr>
          <w:spacing w:val="-1"/>
        </w:rPr>
        <w:t>Approval</w:t>
      </w:r>
      <w:r>
        <w:rPr>
          <w:spacing w:val="26"/>
        </w:rPr>
        <w:t xml:space="preserve"> </w:t>
      </w:r>
      <w:r>
        <w:rPr>
          <w:spacing w:val="-1"/>
        </w:rPr>
        <w:t>and</w:t>
      </w:r>
      <w:r>
        <w:rPr>
          <w:spacing w:val="27"/>
        </w:rPr>
        <w:t xml:space="preserve"> </w:t>
      </w:r>
      <w:r>
        <w:rPr>
          <w:spacing w:val="-1"/>
        </w:rPr>
        <w:t>implementation</w:t>
      </w:r>
      <w:r>
        <w:rPr>
          <w:spacing w:val="27"/>
        </w:rPr>
        <w:t xml:space="preserve"> </w:t>
      </w:r>
      <w:r>
        <w:rPr>
          <w:spacing w:val="-1"/>
        </w:rPr>
        <w:t>by</w:t>
      </w:r>
      <w:r>
        <w:rPr>
          <w:spacing w:val="25"/>
        </w:rPr>
        <w:t xml:space="preserve"> </w:t>
      </w:r>
      <w:r>
        <w:t>the</w:t>
      </w:r>
      <w:r>
        <w:rPr>
          <w:spacing w:val="27"/>
        </w:rPr>
        <w:t xml:space="preserve"> </w:t>
      </w:r>
      <w:r>
        <w:rPr>
          <w:spacing w:val="-2"/>
        </w:rPr>
        <w:t>Customer</w:t>
      </w:r>
      <w:r>
        <w:rPr>
          <w:spacing w:val="28"/>
        </w:rPr>
        <w:t xml:space="preserve"> </w:t>
      </w:r>
      <w:r>
        <w:rPr>
          <w:spacing w:val="-2"/>
        </w:rPr>
        <w:t>of</w:t>
      </w:r>
      <w:r>
        <w:rPr>
          <w:spacing w:val="28"/>
        </w:rPr>
        <w:t xml:space="preserve"> </w:t>
      </w:r>
      <w:r>
        <w:rPr>
          <w:spacing w:val="-1"/>
        </w:rPr>
        <w:t>any</w:t>
      </w:r>
      <w:r>
        <w:rPr>
          <w:spacing w:val="25"/>
        </w:rPr>
        <w:t xml:space="preserve"> </w:t>
      </w:r>
      <w:r>
        <w:rPr>
          <w:spacing w:val="-1"/>
        </w:rPr>
        <w:t>Rectification</w:t>
      </w:r>
      <w:r>
        <w:rPr>
          <w:spacing w:val="30"/>
        </w:rPr>
        <w:t xml:space="preserve"> </w:t>
      </w:r>
      <w:r>
        <w:rPr>
          <w:spacing w:val="-1"/>
        </w:rPr>
        <w:t>Plan</w:t>
      </w:r>
      <w:r>
        <w:rPr>
          <w:spacing w:val="24"/>
        </w:rPr>
        <w:t xml:space="preserve"> </w:t>
      </w:r>
      <w:r>
        <w:rPr>
          <w:spacing w:val="-1"/>
        </w:rPr>
        <w:t>shall</w:t>
      </w:r>
      <w:r>
        <w:rPr>
          <w:spacing w:val="26"/>
        </w:rPr>
        <w:t xml:space="preserve"> </w:t>
      </w:r>
      <w:r>
        <w:rPr>
          <w:spacing w:val="-1"/>
        </w:rPr>
        <w:t>not</w:t>
      </w:r>
      <w:r>
        <w:rPr>
          <w:spacing w:val="32"/>
        </w:rPr>
        <w:t xml:space="preserve"> </w:t>
      </w:r>
      <w:r>
        <w:rPr>
          <w:spacing w:val="-2"/>
        </w:rPr>
        <w:t>relieve</w:t>
      </w:r>
      <w:r>
        <w:rPr>
          <w:spacing w:val="17"/>
        </w:rPr>
        <w:t xml:space="preserve"> </w:t>
      </w:r>
      <w:r>
        <w:t>the</w:t>
      </w:r>
      <w:r>
        <w:rPr>
          <w:spacing w:val="17"/>
        </w:rPr>
        <w:t xml:space="preserve"> </w:t>
      </w:r>
      <w:r>
        <w:rPr>
          <w:spacing w:val="-2"/>
        </w:rPr>
        <w:t>Supplier</w:t>
      </w:r>
      <w:r>
        <w:rPr>
          <w:spacing w:val="19"/>
        </w:rPr>
        <w:t xml:space="preserve"> </w:t>
      </w:r>
      <w:r>
        <w:rPr>
          <w:spacing w:val="-1"/>
        </w:rPr>
        <w:t>of</w:t>
      </w:r>
      <w:r>
        <w:rPr>
          <w:spacing w:val="21"/>
        </w:rPr>
        <w:t xml:space="preserve"> </w:t>
      </w:r>
      <w:r>
        <w:rPr>
          <w:spacing w:val="-2"/>
        </w:rPr>
        <w:t>any</w:t>
      </w:r>
      <w:r>
        <w:rPr>
          <w:spacing w:val="15"/>
        </w:rPr>
        <w:t xml:space="preserve"> </w:t>
      </w:r>
      <w:r>
        <w:rPr>
          <w:spacing w:val="-1"/>
        </w:rPr>
        <w:t>continuing</w:t>
      </w:r>
      <w:r>
        <w:rPr>
          <w:spacing w:val="20"/>
        </w:rPr>
        <w:t xml:space="preserve"> </w:t>
      </w:r>
      <w:r>
        <w:rPr>
          <w:spacing w:val="-1"/>
        </w:rPr>
        <w:t>responsibility</w:t>
      </w:r>
      <w:r>
        <w:rPr>
          <w:spacing w:val="15"/>
        </w:rPr>
        <w:t xml:space="preserve"> </w:t>
      </w:r>
      <w:r>
        <w:t>to</w:t>
      </w:r>
      <w:r>
        <w:rPr>
          <w:spacing w:val="17"/>
        </w:rPr>
        <w:t xml:space="preserve"> </w:t>
      </w:r>
      <w:r>
        <w:rPr>
          <w:spacing w:val="-2"/>
        </w:rPr>
        <w:t>achieve</w:t>
      </w:r>
      <w:r>
        <w:rPr>
          <w:spacing w:val="17"/>
        </w:rPr>
        <w:t xml:space="preserve"> </w:t>
      </w:r>
      <w:r>
        <w:t>the</w:t>
      </w:r>
      <w:r>
        <w:rPr>
          <w:spacing w:val="17"/>
        </w:rPr>
        <w:t xml:space="preserve"> </w:t>
      </w:r>
      <w:r>
        <w:rPr>
          <w:spacing w:val="-1"/>
        </w:rPr>
        <w:t>Service</w:t>
      </w:r>
      <w:r>
        <w:rPr>
          <w:spacing w:val="17"/>
        </w:rPr>
        <w:t xml:space="preserve"> </w:t>
      </w:r>
      <w:r>
        <w:rPr>
          <w:spacing w:val="-2"/>
        </w:rPr>
        <w:t>Levels,</w:t>
      </w:r>
      <w:r>
        <w:rPr>
          <w:spacing w:val="65"/>
        </w:rPr>
        <w:t xml:space="preserve"> </w:t>
      </w:r>
      <w:r>
        <w:rPr>
          <w:spacing w:val="-1"/>
        </w:rPr>
        <w:t>or</w:t>
      </w:r>
      <w:r>
        <w:rPr>
          <w:spacing w:val="33"/>
        </w:rPr>
        <w:t xml:space="preserve"> </w:t>
      </w:r>
      <w:r>
        <w:rPr>
          <w:spacing w:val="-1"/>
        </w:rPr>
        <w:t>remedy</w:t>
      </w:r>
      <w:r>
        <w:rPr>
          <w:spacing w:val="30"/>
        </w:rPr>
        <w:t xml:space="preserve"> </w:t>
      </w:r>
      <w:r>
        <w:rPr>
          <w:spacing w:val="-1"/>
        </w:rPr>
        <w:t>any</w:t>
      </w:r>
      <w:r>
        <w:rPr>
          <w:spacing w:val="30"/>
        </w:rPr>
        <w:t xml:space="preserve"> </w:t>
      </w:r>
      <w:r>
        <w:rPr>
          <w:spacing w:val="-1"/>
        </w:rPr>
        <w:t>failure</w:t>
      </w:r>
      <w:r>
        <w:rPr>
          <w:spacing w:val="31"/>
        </w:rPr>
        <w:t xml:space="preserve"> </w:t>
      </w:r>
      <w:r>
        <w:t>to</w:t>
      </w:r>
      <w:r>
        <w:rPr>
          <w:spacing w:val="31"/>
        </w:rPr>
        <w:t xml:space="preserve"> </w:t>
      </w:r>
      <w:r>
        <w:rPr>
          <w:spacing w:val="-1"/>
        </w:rPr>
        <w:t>do</w:t>
      </w:r>
      <w:r>
        <w:rPr>
          <w:spacing w:val="31"/>
        </w:rPr>
        <w:t xml:space="preserve"> </w:t>
      </w:r>
      <w:r>
        <w:rPr>
          <w:spacing w:val="-1"/>
        </w:rPr>
        <w:t>so,</w:t>
      </w:r>
      <w:r>
        <w:rPr>
          <w:spacing w:val="33"/>
        </w:rPr>
        <w:t xml:space="preserve"> </w:t>
      </w:r>
      <w:r>
        <w:rPr>
          <w:spacing w:val="-1"/>
        </w:rPr>
        <w:t>and</w:t>
      </w:r>
      <w:r>
        <w:rPr>
          <w:spacing w:val="31"/>
        </w:rPr>
        <w:t xml:space="preserve"> </w:t>
      </w:r>
      <w:r>
        <w:rPr>
          <w:spacing w:val="-1"/>
        </w:rPr>
        <w:t>no</w:t>
      </w:r>
      <w:r>
        <w:rPr>
          <w:spacing w:val="32"/>
        </w:rPr>
        <w:t xml:space="preserve"> </w:t>
      </w:r>
      <w:r>
        <w:rPr>
          <w:spacing w:val="-1"/>
        </w:rPr>
        <w:t>estoppels</w:t>
      </w:r>
      <w:r>
        <w:rPr>
          <w:spacing w:val="32"/>
        </w:rPr>
        <w:t xml:space="preserve"> </w:t>
      </w:r>
      <w:r>
        <w:rPr>
          <w:spacing w:val="-1"/>
        </w:rPr>
        <w:t>or</w:t>
      </w:r>
      <w:r>
        <w:rPr>
          <w:spacing w:val="33"/>
        </w:rPr>
        <w:t xml:space="preserve"> </w:t>
      </w:r>
      <w:r>
        <w:rPr>
          <w:spacing w:val="-2"/>
        </w:rPr>
        <w:t>waiver</w:t>
      </w:r>
      <w:r>
        <w:rPr>
          <w:spacing w:val="33"/>
        </w:rPr>
        <w:t xml:space="preserve"> </w:t>
      </w:r>
      <w:r>
        <w:rPr>
          <w:spacing w:val="-1"/>
        </w:rPr>
        <w:t>shall</w:t>
      </w:r>
      <w:r>
        <w:rPr>
          <w:spacing w:val="31"/>
        </w:rPr>
        <w:t xml:space="preserve"> </w:t>
      </w:r>
      <w:r>
        <w:rPr>
          <w:spacing w:val="-1"/>
        </w:rPr>
        <w:t>arise</w:t>
      </w:r>
      <w:r>
        <w:rPr>
          <w:spacing w:val="32"/>
        </w:rPr>
        <w:t xml:space="preserve"> </w:t>
      </w:r>
      <w:r>
        <w:t>from</w:t>
      </w:r>
      <w:r>
        <w:rPr>
          <w:spacing w:val="34"/>
        </w:rPr>
        <w:t xml:space="preserve"> </w:t>
      </w:r>
      <w:r>
        <w:rPr>
          <w:spacing w:val="-1"/>
        </w:rPr>
        <w:t>any</w:t>
      </w:r>
      <w:r>
        <w:rPr>
          <w:spacing w:val="44"/>
        </w:rPr>
        <w:t xml:space="preserve"> </w:t>
      </w:r>
      <w:r>
        <w:rPr>
          <w:spacing w:val="-1"/>
        </w:rPr>
        <w:t>such</w:t>
      </w:r>
      <w:r>
        <w:rPr>
          <w:spacing w:val="1"/>
        </w:rPr>
        <w:t xml:space="preserve"> </w:t>
      </w:r>
      <w:r>
        <w:rPr>
          <w:spacing w:val="-1"/>
        </w:rPr>
        <w:t>Approval</w:t>
      </w:r>
      <w:r>
        <w:t xml:space="preserve"> </w:t>
      </w:r>
      <w:r>
        <w:rPr>
          <w:spacing w:val="-1"/>
        </w:rPr>
        <w:t>and/or</w:t>
      </w:r>
      <w:r>
        <w:rPr>
          <w:spacing w:val="2"/>
        </w:rPr>
        <w:t xml:space="preserve"> </w:t>
      </w:r>
      <w:r>
        <w:rPr>
          <w:spacing w:val="-1"/>
        </w:rPr>
        <w:t>implementation</w:t>
      </w:r>
      <w:r>
        <w:rPr>
          <w:spacing w:val="-2"/>
        </w:rPr>
        <w:t xml:space="preserve"> </w:t>
      </w:r>
      <w:r>
        <w:rPr>
          <w:spacing w:val="-1"/>
        </w:rPr>
        <w:t>by</w:t>
      </w:r>
      <w:r>
        <w:rPr>
          <w:spacing w:val="-2"/>
        </w:rPr>
        <w:t xml:space="preserve"> </w:t>
      </w:r>
      <w:r>
        <w:t xml:space="preserve">the </w:t>
      </w:r>
      <w:r>
        <w:rPr>
          <w:spacing w:val="-2"/>
        </w:rPr>
        <w:t>Customer.</w:t>
      </w:r>
    </w:p>
    <w:p w:rsidR="008918FA" w:rsidRDefault="008918FA" w:rsidP="008918FA">
      <w:pPr>
        <w:pStyle w:val="BodyText"/>
        <w:numPr>
          <w:ilvl w:val="0"/>
          <w:numId w:val="25"/>
        </w:numPr>
        <w:tabs>
          <w:tab w:val="left" w:pos="466"/>
        </w:tabs>
        <w:spacing w:before="120"/>
        <w:ind w:left="465"/>
        <w:jc w:val="left"/>
        <w:rPr>
          <w:rFonts w:ascii="Times New Roman" w:eastAsia="Times New Roman" w:hAnsi="Times New Roman" w:cs="Times New Roman"/>
        </w:rPr>
      </w:pPr>
      <w:r>
        <w:rPr>
          <w:rFonts w:ascii="Times New Roman"/>
          <w:spacing w:val="4"/>
        </w:rPr>
        <w:t>SERVICE</w:t>
      </w:r>
      <w:r>
        <w:rPr>
          <w:rFonts w:ascii="Times New Roman"/>
          <w:spacing w:val="18"/>
        </w:rPr>
        <w:t xml:space="preserve"> </w:t>
      </w:r>
      <w:r>
        <w:rPr>
          <w:rFonts w:ascii="Times New Roman"/>
          <w:spacing w:val="2"/>
        </w:rPr>
        <w:t>CREDITS</w:t>
      </w:r>
    </w:p>
    <w:p w:rsidR="008918FA" w:rsidRDefault="008918FA" w:rsidP="008918FA">
      <w:pPr>
        <w:rPr>
          <w:rFonts w:ascii="Times New Roman" w:eastAsia="Times New Roman" w:hAnsi="Times New Roman" w:cs="Times New Roman"/>
          <w:sz w:val="21"/>
          <w:szCs w:val="21"/>
        </w:rPr>
      </w:pPr>
    </w:p>
    <w:p w:rsidR="008918FA" w:rsidRDefault="008918FA" w:rsidP="008918FA">
      <w:pPr>
        <w:pStyle w:val="BodyText"/>
        <w:numPr>
          <w:ilvl w:val="1"/>
          <w:numId w:val="25"/>
        </w:numPr>
        <w:tabs>
          <w:tab w:val="left" w:pos="829"/>
        </w:tabs>
        <w:spacing w:before="0" w:line="239" w:lineRule="auto"/>
        <w:ind w:left="828" w:right="115"/>
        <w:jc w:val="both"/>
      </w:pPr>
      <w:bookmarkStart w:id="384" w:name="_bookmark312"/>
      <w:bookmarkEnd w:id="384"/>
      <w:r>
        <w:rPr>
          <w:spacing w:val="-1"/>
        </w:rPr>
        <w:t>Annex</w:t>
      </w:r>
      <w:r>
        <w:rPr>
          <w:spacing w:val="46"/>
        </w:rPr>
        <w:t xml:space="preserve"> </w:t>
      </w:r>
      <w:r>
        <w:t>1</w:t>
      </w:r>
      <w:r>
        <w:rPr>
          <w:spacing w:val="48"/>
        </w:rPr>
        <w:t xml:space="preserve"> </w:t>
      </w:r>
      <w:r>
        <w:t>to</w:t>
      </w:r>
      <w:r>
        <w:rPr>
          <w:spacing w:val="48"/>
        </w:rPr>
        <w:t xml:space="preserve"> </w:t>
      </w:r>
      <w:r>
        <w:rPr>
          <w:spacing w:val="-1"/>
        </w:rPr>
        <w:t>this</w:t>
      </w:r>
      <w:r>
        <w:rPr>
          <w:spacing w:val="49"/>
        </w:rPr>
        <w:t xml:space="preserve"> </w:t>
      </w:r>
      <w:r>
        <w:rPr>
          <w:spacing w:val="-1"/>
        </w:rPr>
        <w:t>Part</w:t>
      </w:r>
      <w:r>
        <w:rPr>
          <w:spacing w:val="50"/>
        </w:rPr>
        <w:t xml:space="preserve"> </w:t>
      </w:r>
      <w:r>
        <w:t>A</w:t>
      </w:r>
      <w:r>
        <w:rPr>
          <w:spacing w:val="48"/>
        </w:rPr>
        <w:t xml:space="preserve"> </w:t>
      </w:r>
      <w:r>
        <w:rPr>
          <w:spacing w:val="-1"/>
        </w:rPr>
        <w:t>of</w:t>
      </w:r>
      <w:r>
        <w:rPr>
          <w:spacing w:val="50"/>
        </w:rPr>
        <w:t xml:space="preserve"> </w:t>
      </w:r>
      <w:r>
        <w:rPr>
          <w:spacing w:val="-1"/>
        </w:rPr>
        <w:t>this</w:t>
      </w:r>
      <w:r>
        <w:rPr>
          <w:spacing w:val="49"/>
        </w:rPr>
        <w:t xml:space="preserve"> </w:t>
      </w:r>
      <w:r>
        <w:rPr>
          <w:spacing w:val="-2"/>
        </w:rPr>
        <w:t>Call</w:t>
      </w:r>
      <w:r>
        <w:rPr>
          <w:spacing w:val="47"/>
        </w:rPr>
        <w:t xml:space="preserve"> </w:t>
      </w:r>
      <w:r>
        <w:t>Off</w:t>
      </w:r>
      <w:r>
        <w:rPr>
          <w:spacing w:val="50"/>
        </w:rPr>
        <w:t xml:space="preserve"> </w:t>
      </w:r>
      <w:r>
        <w:rPr>
          <w:spacing w:val="-2"/>
        </w:rPr>
        <w:t>Schedule</w:t>
      </w:r>
      <w:r>
        <w:rPr>
          <w:spacing w:val="48"/>
        </w:rPr>
        <w:t xml:space="preserve"> </w:t>
      </w:r>
      <w:r>
        <w:t>sets</w:t>
      </w:r>
      <w:r>
        <w:rPr>
          <w:spacing w:val="49"/>
        </w:rPr>
        <w:t xml:space="preserve"> </w:t>
      </w:r>
      <w:r>
        <w:rPr>
          <w:spacing w:val="-1"/>
        </w:rPr>
        <w:t>out</w:t>
      </w:r>
      <w:r>
        <w:rPr>
          <w:spacing w:val="51"/>
        </w:rPr>
        <w:t xml:space="preserve"> </w:t>
      </w:r>
      <w:r>
        <w:t>the</w:t>
      </w:r>
      <w:r>
        <w:rPr>
          <w:spacing w:val="46"/>
        </w:rPr>
        <w:t xml:space="preserve"> </w:t>
      </w:r>
      <w:r>
        <w:rPr>
          <w:spacing w:val="-1"/>
        </w:rPr>
        <w:t>formula</w:t>
      </w:r>
      <w:r>
        <w:rPr>
          <w:spacing w:val="48"/>
        </w:rPr>
        <w:t xml:space="preserve"> </w:t>
      </w:r>
      <w:r>
        <w:rPr>
          <w:spacing w:val="-1"/>
        </w:rPr>
        <w:t>used</w:t>
      </w:r>
      <w:r>
        <w:rPr>
          <w:spacing w:val="48"/>
        </w:rPr>
        <w:t xml:space="preserve"> </w:t>
      </w:r>
      <w:r>
        <w:t>to</w:t>
      </w:r>
      <w:r>
        <w:rPr>
          <w:spacing w:val="55"/>
        </w:rPr>
        <w:t xml:space="preserve"> </w:t>
      </w:r>
      <w:r>
        <w:rPr>
          <w:spacing w:val="-1"/>
        </w:rPr>
        <w:t>calculate</w:t>
      </w:r>
      <w:r>
        <w:rPr>
          <w:spacing w:val="19"/>
        </w:rPr>
        <w:t xml:space="preserve"> </w:t>
      </w:r>
      <w:r>
        <w:t>a</w:t>
      </w:r>
      <w:r>
        <w:rPr>
          <w:spacing w:val="20"/>
        </w:rPr>
        <w:t xml:space="preserve"> </w:t>
      </w:r>
      <w:r>
        <w:rPr>
          <w:spacing w:val="-2"/>
        </w:rPr>
        <w:t>Service</w:t>
      </w:r>
      <w:r>
        <w:rPr>
          <w:spacing w:val="20"/>
        </w:rPr>
        <w:t xml:space="preserve"> </w:t>
      </w:r>
      <w:r>
        <w:rPr>
          <w:spacing w:val="-1"/>
        </w:rPr>
        <w:t>Credit</w:t>
      </w:r>
      <w:r>
        <w:rPr>
          <w:spacing w:val="21"/>
        </w:rPr>
        <w:t xml:space="preserve"> </w:t>
      </w:r>
      <w:r>
        <w:rPr>
          <w:spacing w:val="-2"/>
        </w:rPr>
        <w:t>payable</w:t>
      </w:r>
      <w:r>
        <w:rPr>
          <w:spacing w:val="20"/>
        </w:rPr>
        <w:t xml:space="preserve"> </w:t>
      </w:r>
      <w:r>
        <w:t>to</w:t>
      </w:r>
      <w:r>
        <w:rPr>
          <w:spacing w:val="20"/>
        </w:rPr>
        <w:t xml:space="preserve"> </w:t>
      </w:r>
      <w:r>
        <w:t>the</w:t>
      </w:r>
      <w:r>
        <w:rPr>
          <w:spacing w:val="20"/>
        </w:rPr>
        <w:t xml:space="preserve"> </w:t>
      </w:r>
      <w:r>
        <w:rPr>
          <w:spacing w:val="-2"/>
        </w:rPr>
        <w:t>Customer</w:t>
      </w:r>
      <w:r>
        <w:rPr>
          <w:spacing w:val="21"/>
        </w:rPr>
        <w:t xml:space="preserve"> </w:t>
      </w:r>
      <w:r>
        <w:rPr>
          <w:spacing w:val="-1"/>
        </w:rPr>
        <w:t>as</w:t>
      </w:r>
      <w:r>
        <w:rPr>
          <w:spacing w:val="20"/>
        </w:rPr>
        <w:t xml:space="preserve"> </w:t>
      </w:r>
      <w:r>
        <w:t>a</w:t>
      </w:r>
      <w:r>
        <w:rPr>
          <w:spacing w:val="20"/>
        </w:rPr>
        <w:t xml:space="preserve"> </w:t>
      </w:r>
      <w:r>
        <w:rPr>
          <w:spacing w:val="-1"/>
        </w:rPr>
        <w:t>result</w:t>
      </w:r>
      <w:r>
        <w:rPr>
          <w:spacing w:val="21"/>
        </w:rPr>
        <w:t xml:space="preserve"> </w:t>
      </w:r>
      <w:r>
        <w:rPr>
          <w:spacing w:val="-2"/>
        </w:rPr>
        <w:t>of</w:t>
      </w:r>
      <w:r>
        <w:rPr>
          <w:spacing w:val="21"/>
        </w:rPr>
        <w:t xml:space="preserve"> </w:t>
      </w:r>
      <w:r>
        <w:t>a</w:t>
      </w:r>
      <w:r>
        <w:rPr>
          <w:spacing w:val="20"/>
        </w:rPr>
        <w:t xml:space="preserve"> </w:t>
      </w:r>
      <w:r>
        <w:rPr>
          <w:spacing w:val="-2"/>
        </w:rPr>
        <w:t>Service</w:t>
      </w:r>
      <w:r>
        <w:rPr>
          <w:spacing w:val="20"/>
        </w:rPr>
        <w:t xml:space="preserve"> </w:t>
      </w:r>
      <w:r>
        <w:rPr>
          <w:spacing w:val="-2"/>
        </w:rPr>
        <w:t>Level</w:t>
      </w:r>
      <w:r>
        <w:rPr>
          <w:spacing w:val="66"/>
        </w:rPr>
        <w:t xml:space="preserve"> </w:t>
      </w:r>
      <w:r>
        <w:rPr>
          <w:spacing w:val="-1"/>
        </w:rPr>
        <w:t>Failure</w:t>
      </w:r>
      <w:r>
        <w:rPr>
          <w:spacing w:val="22"/>
        </w:rPr>
        <w:t xml:space="preserve"> </w:t>
      </w:r>
      <w:r>
        <w:rPr>
          <w:spacing w:val="-1"/>
        </w:rPr>
        <w:t>in</w:t>
      </w:r>
      <w:r>
        <w:rPr>
          <w:spacing w:val="22"/>
        </w:rPr>
        <w:t xml:space="preserve"> </w:t>
      </w:r>
      <w:r>
        <w:t>a</w:t>
      </w:r>
      <w:r>
        <w:rPr>
          <w:spacing w:val="20"/>
        </w:rPr>
        <w:t xml:space="preserve"> </w:t>
      </w:r>
      <w:r>
        <w:rPr>
          <w:spacing w:val="-1"/>
        </w:rPr>
        <w:t>given</w:t>
      </w:r>
      <w:r>
        <w:rPr>
          <w:spacing w:val="22"/>
        </w:rPr>
        <w:t xml:space="preserve"> </w:t>
      </w:r>
      <w:r>
        <w:rPr>
          <w:spacing w:val="-1"/>
        </w:rPr>
        <w:t>service</w:t>
      </w:r>
      <w:r>
        <w:rPr>
          <w:spacing w:val="22"/>
        </w:rPr>
        <w:t xml:space="preserve"> </w:t>
      </w:r>
      <w:r>
        <w:rPr>
          <w:spacing w:val="-1"/>
        </w:rPr>
        <w:t>period</w:t>
      </w:r>
      <w:r>
        <w:rPr>
          <w:spacing w:val="22"/>
        </w:rPr>
        <w:t xml:space="preserve"> </w:t>
      </w:r>
      <w:r>
        <w:rPr>
          <w:spacing w:val="-2"/>
        </w:rPr>
        <w:t>which,</w:t>
      </w:r>
      <w:r>
        <w:rPr>
          <w:spacing w:val="21"/>
        </w:rPr>
        <w:t xml:space="preserve"> </w:t>
      </w:r>
      <w:r>
        <w:t>for</w:t>
      </w:r>
      <w:r>
        <w:rPr>
          <w:spacing w:val="21"/>
        </w:rPr>
        <w:t xml:space="preserve"> </w:t>
      </w:r>
      <w:r>
        <w:t>the</w:t>
      </w:r>
      <w:r>
        <w:rPr>
          <w:spacing w:val="17"/>
        </w:rPr>
        <w:t xml:space="preserve"> </w:t>
      </w:r>
      <w:r>
        <w:rPr>
          <w:spacing w:val="-1"/>
        </w:rPr>
        <w:t>purpose</w:t>
      </w:r>
      <w:r>
        <w:rPr>
          <w:spacing w:val="22"/>
        </w:rPr>
        <w:t xml:space="preserve"> </w:t>
      </w:r>
      <w:r>
        <w:rPr>
          <w:spacing w:val="-2"/>
        </w:rPr>
        <w:t>of</w:t>
      </w:r>
      <w:r>
        <w:rPr>
          <w:spacing w:val="21"/>
        </w:rPr>
        <w:t xml:space="preserve"> </w:t>
      </w:r>
      <w:r>
        <w:rPr>
          <w:spacing w:val="-1"/>
        </w:rPr>
        <w:t>this</w:t>
      </w:r>
      <w:r>
        <w:rPr>
          <w:spacing w:val="22"/>
        </w:rPr>
        <w:t xml:space="preserve"> </w:t>
      </w:r>
      <w:r>
        <w:rPr>
          <w:spacing w:val="-2"/>
        </w:rPr>
        <w:t>Call</w:t>
      </w:r>
      <w:r>
        <w:rPr>
          <w:spacing w:val="21"/>
        </w:rPr>
        <w:t xml:space="preserve"> </w:t>
      </w:r>
      <w:r>
        <w:rPr>
          <w:spacing w:val="-1"/>
        </w:rPr>
        <w:t>Off</w:t>
      </w:r>
      <w:r>
        <w:rPr>
          <w:spacing w:val="21"/>
        </w:rPr>
        <w:t xml:space="preserve"> </w:t>
      </w:r>
      <w:r>
        <w:rPr>
          <w:spacing w:val="-1"/>
        </w:rPr>
        <w:t>Schedule,</w:t>
      </w:r>
      <w:r>
        <w:rPr>
          <w:spacing w:val="42"/>
        </w:rPr>
        <w:t xml:space="preserve"> </w:t>
      </w:r>
      <w:r>
        <w:rPr>
          <w:spacing w:val="-1"/>
        </w:rPr>
        <w:t>shall</w:t>
      </w:r>
      <w:r>
        <w:rPr>
          <w:spacing w:val="9"/>
        </w:rPr>
        <w:t xml:space="preserve"> </w:t>
      </w:r>
      <w:r>
        <w:rPr>
          <w:spacing w:val="-1"/>
        </w:rPr>
        <w:t>be</w:t>
      </w:r>
      <w:r>
        <w:rPr>
          <w:spacing w:val="10"/>
        </w:rPr>
        <w:t xml:space="preserve"> </w:t>
      </w:r>
      <w:r>
        <w:t>a</w:t>
      </w:r>
      <w:r>
        <w:rPr>
          <w:spacing w:val="10"/>
        </w:rPr>
        <w:t xml:space="preserve"> </w:t>
      </w:r>
      <w:r>
        <w:rPr>
          <w:spacing w:val="-1"/>
        </w:rPr>
        <w:t>recurrent</w:t>
      </w:r>
      <w:r>
        <w:rPr>
          <w:spacing w:val="11"/>
        </w:rPr>
        <w:t xml:space="preserve"> </w:t>
      </w:r>
      <w:r>
        <w:rPr>
          <w:spacing w:val="-2"/>
        </w:rPr>
        <w:t>period</w:t>
      </w:r>
      <w:r>
        <w:rPr>
          <w:spacing w:val="10"/>
        </w:rPr>
        <w:t xml:space="preserve"> </w:t>
      </w:r>
      <w:r>
        <w:rPr>
          <w:spacing w:val="-2"/>
        </w:rPr>
        <w:t>of</w:t>
      </w:r>
      <w:r>
        <w:rPr>
          <w:spacing w:val="13"/>
        </w:rPr>
        <w:t xml:space="preserve"> </w:t>
      </w:r>
      <w:r>
        <w:rPr>
          <w:rFonts w:cs="Arial"/>
          <w:b/>
          <w:bCs/>
          <w:spacing w:val="-1"/>
          <w:highlight w:val="yellow"/>
        </w:rPr>
        <w:t>[one</w:t>
      </w:r>
      <w:r>
        <w:rPr>
          <w:rFonts w:cs="Arial"/>
          <w:b/>
          <w:bCs/>
          <w:spacing w:val="8"/>
          <w:highlight w:val="yellow"/>
        </w:rPr>
        <w:t xml:space="preserve"> </w:t>
      </w:r>
      <w:r>
        <w:rPr>
          <w:rFonts w:cs="Arial"/>
          <w:b/>
          <w:bCs/>
          <w:spacing w:val="-1"/>
          <w:highlight w:val="yellow"/>
        </w:rPr>
        <w:t>Month]</w:t>
      </w:r>
      <w:r>
        <w:rPr>
          <w:rFonts w:cs="Arial"/>
          <w:b/>
          <w:bCs/>
          <w:spacing w:val="11"/>
          <w:highlight w:val="yellow"/>
        </w:rPr>
        <w:t xml:space="preserve"> </w:t>
      </w:r>
      <w:r>
        <w:rPr>
          <w:spacing w:val="-2"/>
        </w:rPr>
        <w:t>during</w:t>
      </w:r>
      <w:r>
        <w:rPr>
          <w:spacing w:val="10"/>
        </w:rPr>
        <w:t xml:space="preserve"> </w:t>
      </w:r>
      <w:r>
        <w:t>the</w:t>
      </w:r>
      <w:r>
        <w:rPr>
          <w:spacing w:val="10"/>
        </w:rPr>
        <w:t xml:space="preserve"> </w:t>
      </w:r>
      <w:r>
        <w:rPr>
          <w:spacing w:val="-2"/>
        </w:rPr>
        <w:t>Call</w:t>
      </w:r>
      <w:r>
        <w:rPr>
          <w:spacing w:val="7"/>
        </w:rPr>
        <w:t xml:space="preserve"> </w:t>
      </w:r>
      <w:r>
        <w:rPr>
          <w:spacing w:val="-1"/>
        </w:rPr>
        <w:t>Off</w:t>
      </w:r>
      <w:r>
        <w:rPr>
          <w:spacing w:val="11"/>
        </w:rPr>
        <w:t xml:space="preserve"> </w:t>
      </w:r>
      <w:r>
        <w:rPr>
          <w:spacing w:val="-2"/>
        </w:rPr>
        <w:t>Contract</w:t>
      </w:r>
      <w:r>
        <w:rPr>
          <w:spacing w:val="11"/>
        </w:rPr>
        <w:t xml:space="preserve"> </w:t>
      </w:r>
      <w:r>
        <w:rPr>
          <w:spacing w:val="-2"/>
        </w:rPr>
        <w:t>Period</w:t>
      </w:r>
      <w:r>
        <w:rPr>
          <w:spacing w:val="10"/>
        </w:rPr>
        <w:t xml:space="preserve"> </w:t>
      </w:r>
      <w:r>
        <w:rPr>
          <w:spacing w:val="-1"/>
        </w:rPr>
        <w:t>(the</w:t>
      </w:r>
      <w:r>
        <w:rPr>
          <w:spacing w:val="54"/>
        </w:rPr>
        <w:t xml:space="preserve"> </w:t>
      </w:r>
      <w:r>
        <w:rPr>
          <w:spacing w:val="-1"/>
        </w:rPr>
        <w:t>“</w:t>
      </w:r>
      <w:r>
        <w:rPr>
          <w:rFonts w:cs="Arial"/>
          <w:b/>
          <w:bCs/>
          <w:spacing w:val="-1"/>
        </w:rPr>
        <w:t>Service</w:t>
      </w:r>
      <w:r>
        <w:rPr>
          <w:rFonts w:cs="Arial"/>
          <w:b/>
          <w:bCs/>
        </w:rPr>
        <w:t xml:space="preserve"> </w:t>
      </w:r>
      <w:r>
        <w:rPr>
          <w:rFonts w:cs="Arial"/>
          <w:b/>
          <w:bCs/>
          <w:spacing w:val="-1"/>
        </w:rPr>
        <w:t>Period</w:t>
      </w:r>
      <w:r>
        <w:rPr>
          <w:spacing w:val="-1"/>
        </w:rPr>
        <w:t>”).</w:t>
      </w:r>
    </w:p>
    <w:p w:rsidR="008918FA" w:rsidRDefault="008918FA" w:rsidP="008918FA">
      <w:pPr>
        <w:numPr>
          <w:ilvl w:val="1"/>
          <w:numId w:val="25"/>
        </w:numPr>
        <w:tabs>
          <w:tab w:val="left" w:pos="829"/>
        </w:tabs>
        <w:spacing w:before="121"/>
        <w:ind w:left="828" w:right="114"/>
        <w:jc w:val="both"/>
        <w:rPr>
          <w:rFonts w:ascii="Arial" w:eastAsia="Arial" w:hAnsi="Arial" w:cs="Arial"/>
        </w:rPr>
      </w:pPr>
      <w:r>
        <w:rPr>
          <w:rFonts w:ascii="Arial"/>
          <w:spacing w:val="-1"/>
        </w:rPr>
        <w:t>Annex</w:t>
      </w:r>
      <w:r>
        <w:rPr>
          <w:rFonts w:ascii="Arial"/>
          <w:spacing w:val="25"/>
        </w:rPr>
        <w:t xml:space="preserve"> </w:t>
      </w:r>
      <w:r>
        <w:rPr>
          <w:rFonts w:ascii="Arial"/>
        </w:rPr>
        <w:t>1</w:t>
      </w:r>
      <w:r>
        <w:rPr>
          <w:rFonts w:ascii="Arial"/>
          <w:spacing w:val="29"/>
        </w:rPr>
        <w:t xml:space="preserve"> </w:t>
      </w:r>
      <w:r>
        <w:rPr>
          <w:rFonts w:ascii="Arial"/>
        </w:rPr>
        <w:t>to</w:t>
      </w:r>
      <w:r>
        <w:rPr>
          <w:rFonts w:ascii="Arial"/>
          <w:spacing w:val="27"/>
        </w:rPr>
        <w:t xml:space="preserve"> </w:t>
      </w:r>
      <w:r>
        <w:rPr>
          <w:rFonts w:ascii="Arial"/>
          <w:spacing w:val="-1"/>
        </w:rPr>
        <w:t>this</w:t>
      </w:r>
      <w:r>
        <w:rPr>
          <w:rFonts w:ascii="Arial"/>
          <w:spacing w:val="27"/>
        </w:rPr>
        <w:t xml:space="preserve"> </w:t>
      </w:r>
      <w:r>
        <w:rPr>
          <w:rFonts w:ascii="Arial"/>
          <w:spacing w:val="-1"/>
        </w:rPr>
        <w:t>Part</w:t>
      </w:r>
      <w:r>
        <w:rPr>
          <w:rFonts w:ascii="Arial"/>
          <w:spacing w:val="28"/>
        </w:rPr>
        <w:t xml:space="preserve"> </w:t>
      </w:r>
      <w:r>
        <w:rPr>
          <w:rFonts w:ascii="Arial"/>
        </w:rPr>
        <w:t>A</w:t>
      </w:r>
      <w:r>
        <w:rPr>
          <w:rFonts w:ascii="Arial"/>
          <w:spacing w:val="29"/>
        </w:rPr>
        <w:t xml:space="preserve"> </w:t>
      </w:r>
      <w:r>
        <w:rPr>
          <w:rFonts w:ascii="Arial"/>
          <w:spacing w:val="-2"/>
        </w:rPr>
        <w:t>of</w:t>
      </w:r>
      <w:r>
        <w:rPr>
          <w:rFonts w:ascii="Arial"/>
          <w:spacing w:val="30"/>
        </w:rPr>
        <w:t xml:space="preserve"> </w:t>
      </w:r>
      <w:r>
        <w:rPr>
          <w:rFonts w:ascii="Arial"/>
          <w:spacing w:val="-1"/>
        </w:rPr>
        <w:t>this</w:t>
      </w:r>
      <w:r>
        <w:rPr>
          <w:rFonts w:ascii="Arial"/>
          <w:spacing w:val="27"/>
        </w:rPr>
        <w:t xml:space="preserve"> </w:t>
      </w:r>
      <w:r>
        <w:rPr>
          <w:rFonts w:ascii="Arial"/>
          <w:spacing w:val="-2"/>
        </w:rPr>
        <w:t>Call</w:t>
      </w:r>
      <w:r>
        <w:rPr>
          <w:rFonts w:ascii="Arial"/>
          <w:spacing w:val="26"/>
        </w:rPr>
        <w:t xml:space="preserve"> </w:t>
      </w:r>
      <w:r>
        <w:rPr>
          <w:rFonts w:ascii="Arial"/>
        </w:rPr>
        <w:t>Off</w:t>
      </w:r>
      <w:r>
        <w:rPr>
          <w:rFonts w:ascii="Arial"/>
          <w:spacing w:val="30"/>
        </w:rPr>
        <w:t xml:space="preserve"> </w:t>
      </w:r>
      <w:r>
        <w:rPr>
          <w:rFonts w:ascii="Arial"/>
          <w:spacing w:val="-2"/>
        </w:rPr>
        <w:t>Schedule</w:t>
      </w:r>
      <w:r>
        <w:rPr>
          <w:rFonts w:ascii="Arial"/>
          <w:spacing w:val="27"/>
        </w:rPr>
        <w:t xml:space="preserve"> </w:t>
      </w:r>
      <w:r>
        <w:rPr>
          <w:rFonts w:ascii="Arial"/>
          <w:spacing w:val="-1"/>
        </w:rPr>
        <w:t>includes</w:t>
      </w:r>
      <w:r>
        <w:rPr>
          <w:rFonts w:ascii="Arial"/>
          <w:spacing w:val="27"/>
        </w:rPr>
        <w:t xml:space="preserve"> </w:t>
      </w:r>
      <w:r>
        <w:rPr>
          <w:rFonts w:ascii="Arial"/>
          <w:spacing w:val="-1"/>
        </w:rPr>
        <w:t>details</w:t>
      </w:r>
      <w:r>
        <w:rPr>
          <w:rFonts w:ascii="Arial"/>
          <w:spacing w:val="30"/>
        </w:rPr>
        <w:t xml:space="preserve"> </w:t>
      </w:r>
      <w:r>
        <w:rPr>
          <w:rFonts w:ascii="Arial"/>
          <w:spacing w:val="-1"/>
        </w:rPr>
        <w:t>of</w:t>
      </w:r>
      <w:r>
        <w:rPr>
          <w:rFonts w:ascii="Arial"/>
          <w:spacing w:val="30"/>
        </w:rPr>
        <w:t xml:space="preserve"> </w:t>
      </w:r>
      <w:r>
        <w:rPr>
          <w:rFonts w:ascii="Arial"/>
          <w:spacing w:val="-2"/>
        </w:rPr>
        <w:t>each</w:t>
      </w:r>
      <w:r>
        <w:rPr>
          <w:rFonts w:ascii="Arial"/>
          <w:spacing w:val="27"/>
        </w:rPr>
        <w:t xml:space="preserve"> </w:t>
      </w:r>
      <w:r>
        <w:rPr>
          <w:rFonts w:ascii="Arial"/>
          <w:spacing w:val="-2"/>
        </w:rPr>
        <w:t>Service</w:t>
      </w:r>
      <w:r>
        <w:rPr>
          <w:rFonts w:ascii="Arial"/>
          <w:spacing w:val="62"/>
        </w:rPr>
        <w:t xml:space="preserve"> </w:t>
      </w:r>
      <w:r>
        <w:rPr>
          <w:rFonts w:ascii="Arial"/>
          <w:spacing w:val="-1"/>
        </w:rPr>
        <w:t>Credit</w:t>
      </w:r>
      <w:r>
        <w:rPr>
          <w:rFonts w:ascii="Arial"/>
          <w:spacing w:val="3"/>
        </w:rPr>
        <w:t xml:space="preserve"> </w:t>
      </w:r>
      <w:r>
        <w:rPr>
          <w:rFonts w:ascii="Arial"/>
          <w:spacing w:val="-2"/>
        </w:rPr>
        <w:t>available</w:t>
      </w:r>
      <w:r>
        <w:rPr>
          <w:rFonts w:ascii="Arial"/>
          <w:spacing w:val="4"/>
        </w:rPr>
        <w:t xml:space="preserve"> </w:t>
      </w:r>
      <w:r>
        <w:rPr>
          <w:rFonts w:ascii="Arial"/>
        </w:rPr>
        <w:t>to</w:t>
      </w:r>
      <w:r>
        <w:rPr>
          <w:rFonts w:ascii="Arial"/>
          <w:spacing w:val="2"/>
        </w:rPr>
        <w:t xml:space="preserve"> </w:t>
      </w:r>
      <w:r>
        <w:rPr>
          <w:rFonts w:ascii="Arial"/>
          <w:spacing w:val="-1"/>
        </w:rPr>
        <w:t>each</w:t>
      </w:r>
      <w:r>
        <w:rPr>
          <w:rFonts w:ascii="Arial"/>
          <w:spacing w:val="2"/>
        </w:rPr>
        <w:t xml:space="preserve"> </w:t>
      </w:r>
      <w:r>
        <w:rPr>
          <w:rFonts w:ascii="Arial"/>
          <w:spacing w:val="-2"/>
        </w:rPr>
        <w:t>Service</w:t>
      </w:r>
      <w:r>
        <w:rPr>
          <w:rFonts w:ascii="Arial"/>
          <w:spacing w:val="2"/>
        </w:rPr>
        <w:t xml:space="preserve"> </w:t>
      </w:r>
      <w:r>
        <w:rPr>
          <w:rFonts w:ascii="Arial"/>
          <w:spacing w:val="-1"/>
        </w:rPr>
        <w:t>Level</w:t>
      </w:r>
      <w:r>
        <w:rPr>
          <w:rFonts w:ascii="Arial"/>
          <w:spacing w:val="1"/>
        </w:rPr>
        <w:t xml:space="preserve"> </w:t>
      </w:r>
      <w:r>
        <w:rPr>
          <w:rFonts w:ascii="Arial"/>
          <w:spacing w:val="-1"/>
        </w:rPr>
        <w:t>Performance</w:t>
      </w:r>
      <w:r>
        <w:rPr>
          <w:rFonts w:ascii="Arial"/>
          <w:spacing w:val="2"/>
        </w:rPr>
        <w:t xml:space="preserve"> </w:t>
      </w:r>
      <w:r>
        <w:rPr>
          <w:rFonts w:ascii="Arial"/>
          <w:spacing w:val="-1"/>
        </w:rPr>
        <w:t>Criterion</w:t>
      </w:r>
      <w:r>
        <w:rPr>
          <w:rFonts w:ascii="Arial"/>
          <w:spacing w:val="2"/>
        </w:rPr>
        <w:t xml:space="preserve"> </w:t>
      </w:r>
      <w:r>
        <w:rPr>
          <w:rFonts w:ascii="Arial"/>
          <w:spacing w:val="-1"/>
        </w:rPr>
        <w:t>if</w:t>
      </w:r>
      <w:r>
        <w:rPr>
          <w:rFonts w:ascii="Arial"/>
          <w:spacing w:val="3"/>
        </w:rPr>
        <w:t xml:space="preserve"> </w:t>
      </w:r>
      <w:r>
        <w:rPr>
          <w:rFonts w:ascii="Arial"/>
        </w:rPr>
        <w:t>the</w:t>
      </w:r>
      <w:r>
        <w:rPr>
          <w:rFonts w:ascii="Arial"/>
          <w:spacing w:val="60"/>
        </w:rPr>
        <w:t xml:space="preserve"> </w:t>
      </w:r>
      <w:r>
        <w:rPr>
          <w:rFonts w:ascii="Arial"/>
          <w:spacing w:val="-2"/>
        </w:rPr>
        <w:t>applicable</w:t>
      </w:r>
      <w:r>
        <w:rPr>
          <w:rFonts w:ascii="Arial"/>
          <w:spacing w:val="61"/>
        </w:rPr>
        <w:t xml:space="preserve"> </w:t>
      </w:r>
      <w:r>
        <w:rPr>
          <w:rFonts w:ascii="Arial"/>
          <w:spacing w:val="-2"/>
        </w:rPr>
        <w:t>Service</w:t>
      </w:r>
      <w:r>
        <w:rPr>
          <w:rFonts w:ascii="Arial"/>
          <w:spacing w:val="18"/>
        </w:rPr>
        <w:t xml:space="preserve"> </w:t>
      </w:r>
      <w:r>
        <w:rPr>
          <w:rFonts w:ascii="Arial"/>
          <w:spacing w:val="-1"/>
        </w:rPr>
        <w:t>Level</w:t>
      </w:r>
      <w:r>
        <w:rPr>
          <w:rFonts w:ascii="Arial"/>
          <w:spacing w:val="17"/>
        </w:rPr>
        <w:t xml:space="preserve"> </w:t>
      </w:r>
      <w:r>
        <w:rPr>
          <w:rFonts w:ascii="Arial"/>
          <w:spacing w:val="-1"/>
        </w:rPr>
        <w:t>Performance</w:t>
      </w:r>
      <w:r>
        <w:rPr>
          <w:rFonts w:ascii="Arial"/>
          <w:spacing w:val="18"/>
        </w:rPr>
        <w:t xml:space="preserve"> </w:t>
      </w:r>
      <w:r>
        <w:rPr>
          <w:rFonts w:ascii="Arial"/>
          <w:spacing w:val="-1"/>
        </w:rPr>
        <w:t>Measure</w:t>
      </w:r>
      <w:r>
        <w:rPr>
          <w:rFonts w:ascii="Arial"/>
          <w:spacing w:val="17"/>
        </w:rPr>
        <w:t xml:space="preserve"> </w:t>
      </w:r>
      <w:r>
        <w:rPr>
          <w:rFonts w:ascii="Arial"/>
          <w:spacing w:val="-1"/>
        </w:rPr>
        <w:t>is</w:t>
      </w:r>
      <w:r>
        <w:rPr>
          <w:rFonts w:ascii="Arial"/>
          <w:spacing w:val="18"/>
        </w:rPr>
        <w:t xml:space="preserve"> </w:t>
      </w:r>
      <w:r>
        <w:rPr>
          <w:rFonts w:ascii="Arial"/>
          <w:spacing w:val="-1"/>
        </w:rPr>
        <w:t>not</w:t>
      </w:r>
      <w:r>
        <w:rPr>
          <w:rFonts w:ascii="Arial"/>
          <w:spacing w:val="19"/>
        </w:rPr>
        <w:t xml:space="preserve"> </w:t>
      </w:r>
      <w:r>
        <w:rPr>
          <w:rFonts w:ascii="Arial"/>
          <w:spacing w:val="-1"/>
        </w:rPr>
        <w:t>met</w:t>
      </w:r>
      <w:r>
        <w:rPr>
          <w:rFonts w:ascii="Arial"/>
          <w:spacing w:val="19"/>
        </w:rPr>
        <w:t xml:space="preserve"> </w:t>
      </w:r>
      <w:r>
        <w:rPr>
          <w:rFonts w:ascii="Arial"/>
          <w:spacing w:val="-2"/>
        </w:rPr>
        <w:t>by</w:t>
      </w:r>
      <w:r>
        <w:rPr>
          <w:rFonts w:ascii="Arial"/>
          <w:spacing w:val="15"/>
        </w:rPr>
        <w:t xml:space="preserve"> </w:t>
      </w:r>
      <w:r>
        <w:rPr>
          <w:rFonts w:ascii="Arial"/>
        </w:rPr>
        <w:t>the</w:t>
      </w:r>
      <w:r>
        <w:rPr>
          <w:rFonts w:ascii="Arial"/>
          <w:spacing w:val="17"/>
        </w:rPr>
        <w:t xml:space="preserve"> </w:t>
      </w:r>
      <w:r>
        <w:rPr>
          <w:rFonts w:ascii="Arial"/>
          <w:spacing w:val="-1"/>
        </w:rPr>
        <w:t>Supplier.</w:t>
      </w:r>
      <w:r>
        <w:rPr>
          <w:rFonts w:ascii="Arial"/>
          <w:spacing w:val="19"/>
        </w:rPr>
        <w:t xml:space="preserve"> </w:t>
      </w:r>
      <w:r w:rsidRPr="009A0751">
        <w:rPr>
          <w:rFonts w:ascii="Arial"/>
          <w:b/>
          <w:i/>
          <w:spacing w:val="-1"/>
          <w:highlight w:val="green"/>
        </w:rPr>
        <w:t>[Guidance</w:t>
      </w:r>
      <w:r w:rsidRPr="009A0751">
        <w:rPr>
          <w:rFonts w:ascii="Arial"/>
          <w:b/>
          <w:i/>
          <w:spacing w:val="17"/>
          <w:highlight w:val="green"/>
        </w:rPr>
        <w:t xml:space="preserve"> </w:t>
      </w:r>
      <w:r w:rsidRPr="009A0751">
        <w:rPr>
          <w:rFonts w:ascii="Arial"/>
          <w:b/>
          <w:i/>
          <w:spacing w:val="-1"/>
          <w:highlight w:val="green"/>
        </w:rPr>
        <w:t>Note:</w:t>
      </w:r>
      <w:r w:rsidRPr="009A0751">
        <w:rPr>
          <w:rFonts w:ascii="Arial"/>
          <w:b/>
          <w:i/>
          <w:spacing w:val="36"/>
          <w:highlight w:val="green"/>
        </w:rPr>
        <w:t xml:space="preserve"> </w:t>
      </w:r>
      <w:r w:rsidRPr="009A0751">
        <w:rPr>
          <w:rFonts w:ascii="Arial"/>
          <w:b/>
          <w:i/>
          <w:spacing w:val="-1"/>
          <w:highlight w:val="green"/>
        </w:rPr>
        <w:t>please</w:t>
      </w:r>
      <w:r w:rsidRPr="009A0751">
        <w:rPr>
          <w:rFonts w:ascii="Arial"/>
          <w:b/>
          <w:i/>
          <w:highlight w:val="green"/>
        </w:rPr>
        <w:t xml:space="preserve"> </w:t>
      </w:r>
      <w:r w:rsidRPr="009A0751">
        <w:rPr>
          <w:rFonts w:ascii="Arial"/>
          <w:b/>
          <w:i/>
          <w:spacing w:val="-1"/>
          <w:highlight w:val="green"/>
        </w:rPr>
        <w:t>populate</w:t>
      </w:r>
      <w:r w:rsidRPr="009A0751">
        <w:rPr>
          <w:rFonts w:ascii="Arial"/>
          <w:b/>
          <w:i/>
          <w:spacing w:val="-2"/>
          <w:highlight w:val="green"/>
        </w:rPr>
        <w:t xml:space="preserve"> </w:t>
      </w:r>
      <w:r w:rsidRPr="009A0751">
        <w:rPr>
          <w:rFonts w:ascii="Arial"/>
          <w:b/>
          <w:i/>
          <w:spacing w:val="-1"/>
          <w:highlight w:val="green"/>
        </w:rPr>
        <w:t>the</w:t>
      </w:r>
      <w:r w:rsidRPr="009A0751">
        <w:rPr>
          <w:rFonts w:ascii="Arial"/>
          <w:b/>
          <w:i/>
          <w:spacing w:val="-2"/>
          <w:highlight w:val="green"/>
        </w:rPr>
        <w:t xml:space="preserve"> </w:t>
      </w:r>
      <w:r w:rsidRPr="009A0751">
        <w:rPr>
          <w:rFonts w:ascii="Arial"/>
          <w:b/>
          <w:i/>
          <w:spacing w:val="-1"/>
          <w:highlight w:val="green"/>
        </w:rPr>
        <w:t>table</w:t>
      </w:r>
      <w:r w:rsidRPr="009A0751">
        <w:rPr>
          <w:rFonts w:ascii="Arial"/>
          <w:b/>
          <w:i/>
          <w:spacing w:val="-2"/>
          <w:highlight w:val="green"/>
        </w:rPr>
        <w:t xml:space="preserve"> </w:t>
      </w:r>
      <w:r w:rsidRPr="009A0751">
        <w:rPr>
          <w:rFonts w:ascii="Arial"/>
          <w:b/>
          <w:i/>
          <w:highlight w:val="green"/>
        </w:rPr>
        <w:t xml:space="preserve">in </w:t>
      </w:r>
      <w:r w:rsidRPr="009A0751">
        <w:rPr>
          <w:rFonts w:ascii="Arial"/>
          <w:b/>
          <w:i/>
          <w:spacing w:val="-1"/>
          <w:highlight w:val="green"/>
        </w:rPr>
        <w:t>Annex</w:t>
      </w:r>
      <w:r w:rsidRPr="009A0751">
        <w:rPr>
          <w:rFonts w:ascii="Arial"/>
          <w:b/>
          <w:i/>
          <w:spacing w:val="-2"/>
          <w:highlight w:val="green"/>
        </w:rPr>
        <w:t xml:space="preserve"> </w:t>
      </w:r>
      <w:r w:rsidRPr="009A0751">
        <w:rPr>
          <w:rFonts w:ascii="Arial"/>
          <w:b/>
          <w:i/>
          <w:highlight w:val="green"/>
        </w:rPr>
        <w:t>1</w:t>
      </w:r>
      <w:r w:rsidRPr="009A0751">
        <w:rPr>
          <w:rFonts w:ascii="Arial"/>
          <w:b/>
          <w:i/>
          <w:spacing w:val="-2"/>
          <w:highlight w:val="green"/>
        </w:rPr>
        <w:t xml:space="preserve"> </w:t>
      </w:r>
      <w:r w:rsidRPr="009A0751">
        <w:rPr>
          <w:rFonts w:ascii="Arial"/>
          <w:b/>
          <w:i/>
          <w:highlight w:val="green"/>
        </w:rPr>
        <w:t>to</w:t>
      </w:r>
      <w:r w:rsidRPr="009A0751">
        <w:rPr>
          <w:rFonts w:ascii="Arial"/>
          <w:b/>
          <w:i/>
          <w:spacing w:val="-2"/>
          <w:highlight w:val="green"/>
        </w:rPr>
        <w:t xml:space="preserve"> </w:t>
      </w:r>
      <w:r w:rsidRPr="009A0751">
        <w:rPr>
          <w:rFonts w:ascii="Arial"/>
          <w:b/>
          <w:i/>
          <w:highlight w:val="green"/>
        </w:rPr>
        <w:t>this</w:t>
      </w:r>
      <w:r w:rsidRPr="009A0751">
        <w:rPr>
          <w:rFonts w:ascii="Arial"/>
          <w:b/>
          <w:i/>
          <w:spacing w:val="-2"/>
          <w:highlight w:val="green"/>
        </w:rPr>
        <w:t xml:space="preserve"> </w:t>
      </w:r>
      <w:r w:rsidRPr="009A0751">
        <w:rPr>
          <w:rFonts w:ascii="Arial"/>
          <w:b/>
          <w:i/>
          <w:spacing w:val="-1"/>
          <w:highlight w:val="green"/>
        </w:rPr>
        <w:t>Part</w:t>
      </w:r>
      <w:r w:rsidRPr="009A0751">
        <w:rPr>
          <w:rFonts w:ascii="Arial"/>
          <w:b/>
          <w:i/>
          <w:spacing w:val="2"/>
          <w:highlight w:val="green"/>
        </w:rPr>
        <w:t xml:space="preserve"> </w:t>
      </w:r>
      <w:r w:rsidRPr="009A0751">
        <w:rPr>
          <w:rFonts w:ascii="Arial"/>
          <w:b/>
          <w:i/>
          <w:highlight w:val="green"/>
        </w:rPr>
        <w:t>A</w:t>
      </w:r>
      <w:r w:rsidRPr="009A0751">
        <w:rPr>
          <w:rFonts w:ascii="Arial"/>
          <w:b/>
          <w:i/>
          <w:spacing w:val="-3"/>
          <w:highlight w:val="green"/>
        </w:rPr>
        <w:t xml:space="preserve"> </w:t>
      </w:r>
      <w:r w:rsidRPr="009A0751">
        <w:rPr>
          <w:rFonts w:ascii="Arial"/>
          <w:b/>
          <w:i/>
          <w:spacing w:val="-1"/>
          <w:highlight w:val="green"/>
        </w:rPr>
        <w:t>of this</w:t>
      </w:r>
      <w:r w:rsidRPr="009A0751">
        <w:rPr>
          <w:rFonts w:ascii="Arial"/>
          <w:b/>
          <w:i/>
          <w:highlight w:val="green"/>
        </w:rPr>
        <w:t xml:space="preserve"> </w:t>
      </w:r>
      <w:r w:rsidRPr="009A0751">
        <w:rPr>
          <w:rFonts w:ascii="Arial"/>
          <w:b/>
          <w:i/>
          <w:spacing w:val="-1"/>
          <w:highlight w:val="green"/>
        </w:rPr>
        <w:t>Call</w:t>
      </w:r>
      <w:r w:rsidRPr="009A0751">
        <w:rPr>
          <w:rFonts w:ascii="Arial"/>
          <w:b/>
          <w:i/>
          <w:highlight w:val="green"/>
        </w:rPr>
        <w:t xml:space="preserve"> </w:t>
      </w:r>
      <w:r w:rsidRPr="009A0751">
        <w:rPr>
          <w:rFonts w:ascii="Arial"/>
          <w:b/>
          <w:i/>
          <w:spacing w:val="-1"/>
          <w:highlight w:val="green"/>
        </w:rPr>
        <w:t xml:space="preserve">Off </w:t>
      </w:r>
      <w:r w:rsidRPr="009A0751">
        <w:rPr>
          <w:rFonts w:ascii="Arial"/>
          <w:b/>
          <w:i/>
          <w:spacing w:val="-2"/>
          <w:highlight w:val="green"/>
        </w:rPr>
        <w:t>Schedule]</w:t>
      </w:r>
    </w:p>
    <w:p w:rsidR="008918FA" w:rsidRDefault="008918FA" w:rsidP="008918FA">
      <w:pPr>
        <w:pStyle w:val="BodyText"/>
        <w:numPr>
          <w:ilvl w:val="1"/>
          <w:numId w:val="25"/>
        </w:numPr>
        <w:tabs>
          <w:tab w:val="left" w:pos="829"/>
        </w:tabs>
        <w:ind w:left="828" w:right="111"/>
        <w:jc w:val="both"/>
      </w:pPr>
      <w:r>
        <w:t>The</w:t>
      </w:r>
      <w:r>
        <w:rPr>
          <w:spacing w:val="4"/>
        </w:rPr>
        <w:t xml:space="preserve"> </w:t>
      </w:r>
      <w:r>
        <w:rPr>
          <w:spacing w:val="-2"/>
        </w:rPr>
        <w:t>Customer</w:t>
      </w:r>
      <w:r>
        <w:rPr>
          <w:spacing w:val="3"/>
        </w:rPr>
        <w:t xml:space="preserve"> </w:t>
      </w:r>
      <w:r>
        <w:rPr>
          <w:spacing w:val="-1"/>
        </w:rPr>
        <w:t>shall</w:t>
      </w:r>
      <w:r>
        <w:rPr>
          <w:spacing w:val="3"/>
        </w:rPr>
        <w:t xml:space="preserve"> </w:t>
      </w:r>
      <w:r>
        <w:rPr>
          <w:spacing w:val="-2"/>
        </w:rPr>
        <w:t>use</w:t>
      </w:r>
      <w:r>
        <w:rPr>
          <w:spacing w:val="4"/>
        </w:rPr>
        <w:t xml:space="preserve"> </w:t>
      </w:r>
      <w:r>
        <w:t>the</w:t>
      </w:r>
      <w:r>
        <w:rPr>
          <w:spacing w:val="4"/>
        </w:rPr>
        <w:t xml:space="preserve"> </w:t>
      </w:r>
      <w:r>
        <w:rPr>
          <w:spacing w:val="-2"/>
        </w:rPr>
        <w:t>Performance</w:t>
      </w:r>
      <w:r>
        <w:rPr>
          <w:spacing w:val="7"/>
        </w:rPr>
        <w:t xml:space="preserve"> </w:t>
      </w:r>
      <w:r>
        <w:rPr>
          <w:spacing w:val="-2"/>
        </w:rPr>
        <w:t>Monitoring</w:t>
      </w:r>
      <w:r>
        <w:rPr>
          <w:spacing w:val="4"/>
        </w:rPr>
        <w:t xml:space="preserve"> </w:t>
      </w:r>
      <w:r>
        <w:rPr>
          <w:spacing w:val="-1"/>
        </w:rPr>
        <w:t>Reports</w:t>
      </w:r>
      <w:r>
        <w:rPr>
          <w:spacing w:val="4"/>
        </w:rPr>
        <w:t xml:space="preserve"> </w:t>
      </w:r>
      <w:r>
        <w:rPr>
          <w:spacing w:val="-2"/>
        </w:rPr>
        <w:t>supplied</w:t>
      </w:r>
      <w:r>
        <w:rPr>
          <w:spacing w:val="4"/>
        </w:rPr>
        <w:t xml:space="preserve"> </w:t>
      </w:r>
      <w:r>
        <w:rPr>
          <w:spacing w:val="-1"/>
        </w:rPr>
        <w:t>by</w:t>
      </w:r>
      <w:r>
        <w:rPr>
          <w:spacing w:val="2"/>
        </w:rPr>
        <w:t xml:space="preserve"> </w:t>
      </w:r>
      <w:r>
        <w:rPr>
          <w:spacing w:val="-1"/>
        </w:rPr>
        <w:t>the</w:t>
      </w:r>
      <w:r>
        <w:rPr>
          <w:spacing w:val="80"/>
        </w:rPr>
        <w:t xml:space="preserve"> </w:t>
      </w:r>
      <w:r>
        <w:rPr>
          <w:spacing w:val="-2"/>
        </w:rPr>
        <w:t>Supplier</w:t>
      </w:r>
      <w:r>
        <w:rPr>
          <w:spacing w:val="19"/>
        </w:rPr>
        <w:t xml:space="preserve"> </w:t>
      </w:r>
      <w:r>
        <w:rPr>
          <w:spacing w:val="-1"/>
        </w:rPr>
        <w:t>under</w:t>
      </w:r>
      <w:r>
        <w:rPr>
          <w:spacing w:val="19"/>
        </w:rPr>
        <w:t xml:space="preserve"> </w:t>
      </w:r>
      <w:r>
        <w:rPr>
          <w:spacing w:val="-1"/>
        </w:rPr>
        <w:t>Part</w:t>
      </w:r>
      <w:r>
        <w:rPr>
          <w:spacing w:val="16"/>
        </w:rPr>
        <w:t xml:space="preserve"> </w:t>
      </w:r>
      <w:r>
        <w:t>B</w:t>
      </w:r>
      <w:r>
        <w:rPr>
          <w:spacing w:val="17"/>
        </w:rPr>
        <w:t xml:space="preserve"> </w:t>
      </w:r>
      <w:r>
        <w:rPr>
          <w:spacing w:val="-1"/>
        </w:rPr>
        <w:t>(Performance</w:t>
      </w:r>
      <w:r>
        <w:rPr>
          <w:spacing w:val="15"/>
        </w:rPr>
        <w:t xml:space="preserve"> </w:t>
      </w:r>
      <w:r>
        <w:rPr>
          <w:spacing w:val="-1"/>
        </w:rPr>
        <w:t>Monitoring)</w:t>
      </w:r>
      <w:r>
        <w:rPr>
          <w:spacing w:val="16"/>
        </w:rPr>
        <w:t xml:space="preserve"> </w:t>
      </w:r>
      <w:r>
        <w:rPr>
          <w:spacing w:val="-2"/>
        </w:rPr>
        <w:t>of</w:t>
      </w:r>
      <w:r>
        <w:rPr>
          <w:spacing w:val="21"/>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19"/>
        </w:rPr>
        <w:t xml:space="preserve"> </w:t>
      </w:r>
      <w:r>
        <w:rPr>
          <w:spacing w:val="-2"/>
        </w:rPr>
        <w:t>Schedule</w:t>
      </w:r>
      <w:r>
        <w:rPr>
          <w:spacing w:val="17"/>
        </w:rPr>
        <w:t xml:space="preserve"> </w:t>
      </w:r>
      <w:r>
        <w:t>to</w:t>
      </w:r>
      <w:r>
        <w:rPr>
          <w:spacing w:val="17"/>
        </w:rPr>
        <w:t xml:space="preserve"> </w:t>
      </w:r>
      <w:r>
        <w:rPr>
          <w:spacing w:val="-1"/>
        </w:rPr>
        <w:t>verify</w:t>
      </w:r>
      <w:r>
        <w:rPr>
          <w:spacing w:val="61"/>
        </w:rPr>
        <w:t xml:space="preserve"> </w:t>
      </w:r>
      <w:r>
        <w:t>the</w:t>
      </w:r>
      <w:r>
        <w:rPr>
          <w:spacing w:val="53"/>
        </w:rPr>
        <w:t xml:space="preserve"> </w:t>
      </w:r>
      <w:r>
        <w:rPr>
          <w:spacing w:val="-1"/>
        </w:rPr>
        <w:t>calculation</w:t>
      </w:r>
      <w:r>
        <w:rPr>
          <w:spacing w:val="53"/>
        </w:rPr>
        <w:t xml:space="preserve"> </w:t>
      </w:r>
      <w:r>
        <w:rPr>
          <w:spacing w:val="-1"/>
        </w:rPr>
        <w:t>and</w:t>
      </w:r>
      <w:r>
        <w:rPr>
          <w:spacing w:val="51"/>
        </w:rPr>
        <w:t xml:space="preserve"> </w:t>
      </w:r>
      <w:r>
        <w:rPr>
          <w:spacing w:val="-1"/>
        </w:rPr>
        <w:t>accuracy</w:t>
      </w:r>
      <w:r>
        <w:rPr>
          <w:spacing w:val="51"/>
        </w:rPr>
        <w:t xml:space="preserve"> </w:t>
      </w:r>
      <w:r>
        <w:rPr>
          <w:spacing w:val="-2"/>
        </w:rPr>
        <w:t>of</w:t>
      </w:r>
      <w:r>
        <w:rPr>
          <w:spacing w:val="54"/>
        </w:rPr>
        <w:t xml:space="preserve"> </w:t>
      </w:r>
      <w:r>
        <w:t>the</w:t>
      </w:r>
      <w:r>
        <w:rPr>
          <w:spacing w:val="53"/>
        </w:rPr>
        <w:t xml:space="preserve"> </w:t>
      </w:r>
      <w:r>
        <w:rPr>
          <w:spacing w:val="-2"/>
        </w:rPr>
        <w:t>Service</w:t>
      </w:r>
      <w:r>
        <w:rPr>
          <w:spacing w:val="54"/>
        </w:rPr>
        <w:t xml:space="preserve"> </w:t>
      </w:r>
      <w:r>
        <w:rPr>
          <w:spacing w:val="-1"/>
        </w:rPr>
        <w:t>Credits,</w:t>
      </w:r>
      <w:r>
        <w:rPr>
          <w:spacing w:val="55"/>
        </w:rPr>
        <w:t xml:space="preserve"> </w:t>
      </w:r>
      <w:r>
        <w:rPr>
          <w:spacing w:val="-2"/>
        </w:rPr>
        <w:t>if</w:t>
      </w:r>
      <w:r>
        <w:rPr>
          <w:spacing w:val="55"/>
        </w:rPr>
        <w:t xml:space="preserve"> </w:t>
      </w:r>
      <w:r>
        <w:rPr>
          <w:spacing w:val="-2"/>
        </w:rPr>
        <w:t>any,</w:t>
      </w:r>
      <w:r>
        <w:rPr>
          <w:spacing w:val="55"/>
        </w:rPr>
        <w:t xml:space="preserve"> </w:t>
      </w:r>
      <w:r>
        <w:rPr>
          <w:spacing w:val="-2"/>
        </w:rPr>
        <w:t>applicable</w:t>
      </w:r>
      <w:r>
        <w:rPr>
          <w:spacing w:val="53"/>
        </w:rPr>
        <w:t xml:space="preserve"> </w:t>
      </w:r>
      <w:r>
        <w:t>to</w:t>
      </w:r>
      <w:r>
        <w:rPr>
          <w:spacing w:val="53"/>
        </w:rPr>
        <w:t xml:space="preserve"> </w:t>
      </w:r>
      <w:r>
        <w:rPr>
          <w:spacing w:val="-2"/>
        </w:rPr>
        <w:t>each</w:t>
      </w:r>
      <w:r>
        <w:rPr>
          <w:spacing w:val="56"/>
        </w:rPr>
        <w:t xml:space="preserve"> </w:t>
      </w:r>
      <w:r>
        <w:rPr>
          <w:spacing w:val="-2"/>
        </w:rPr>
        <w:t>relevant</w:t>
      </w:r>
      <w:r>
        <w:rPr>
          <w:spacing w:val="2"/>
        </w:rPr>
        <w:t xml:space="preserve"> </w:t>
      </w:r>
      <w:r>
        <w:rPr>
          <w:spacing w:val="-2"/>
        </w:rPr>
        <w:t>Service</w:t>
      </w:r>
      <w:r>
        <w:rPr>
          <w:spacing w:val="1"/>
        </w:rPr>
        <w:t xml:space="preserve"> </w:t>
      </w:r>
      <w:r>
        <w:rPr>
          <w:spacing w:val="-1"/>
        </w:rPr>
        <w:t>Period.</w:t>
      </w:r>
    </w:p>
    <w:p w:rsidR="008918FA" w:rsidRDefault="008918FA" w:rsidP="008918FA">
      <w:pPr>
        <w:pStyle w:val="BodyText"/>
        <w:numPr>
          <w:ilvl w:val="1"/>
          <w:numId w:val="25"/>
        </w:numPr>
        <w:tabs>
          <w:tab w:val="left" w:pos="829"/>
        </w:tabs>
        <w:spacing w:before="121"/>
        <w:ind w:left="828" w:right="110"/>
        <w:jc w:val="both"/>
      </w:pPr>
      <w:r>
        <w:rPr>
          <w:spacing w:val="-2"/>
        </w:rPr>
        <w:t>Service</w:t>
      </w:r>
      <w:r>
        <w:rPr>
          <w:spacing w:val="32"/>
        </w:rPr>
        <w:t xml:space="preserve"> </w:t>
      </w:r>
      <w:r>
        <w:rPr>
          <w:spacing w:val="-1"/>
        </w:rPr>
        <w:t>Credits</w:t>
      </w:r>
      <w:r>
        <w:rPr>
          <w:spacing w:val="32"/>
        </w:rPr>
        <w:t xml:space="preserve"> </w:t>
      </w:r>
      <w:r>
        <w:rPr>
          <w:spacing w:val="-1"/>
        </w:rPr>
        <w:t>are</w:t>
      </w:r>
      <w:r>
        <w:rPr>
          <w:spacing w:val="31"/>
        </w:rPr>
        <w:t xml:space="preserve"> </w:t>
      </w:r>
      <w:r>
        <w:t>a</w:t>
      </w:r>
      <w:r>
        <w:rPr>
          <w:spacing w:val="31"/>
        </w:rPr>
        <w:t xml:space="preserve"> </w:t>
      </w:r>
      <w:r>
        <w:rPr>
          <w:spacing w:val="-2"/>
        </w:rPr>
        <w:t>reduction</w:t>
      </w:r>
      <w:r>
        <w:rPr>
          <w:spacing w:val="31"/>
        </w:rPr>
        <w:t xml:space="preserve"> </w:t>
      </w:r>
      <w:r>
        <w:rPr>
          <w:spacing w:val="-2"/>
        </w:rPr>
        <w:t>of</w:t>
      </w:r>
      <w:r>
        <w:rPr>
          <w:spacing w:val="33"/>
        </w:rPr>
        <w:t xml:space="preserve"> </w:t>
      </w:r>
      <w:r>
        <w:t>the</w:t>
      </w:r>
      <w:r>
        <w:rPr>
          <w:spacing w:val="32"/>
        </w:rPr>
        <w:t xml:space="preserve"> </w:t>
      </w:r>
      <w:r>
        <w:rPr>
          <w:spacing w:val="-1"/>
        </w:rPr>
        <w:t>amounts</w:t>
      </w:r>
      <w:r>
        <w:rPr>
          <w:spacing w:val="30"/>
        </w:rPr>
        <w:t xml:space="preserve"> </w:t>
      </w:r>
      <w:r>
        <w:rPr>
          <w:spacing w:val="-2"/>
        </w:rPr>
        <w:t>payable</w:t>
      </w:r>
      <w:r>
        <w:rPr>
          <w:spacing w:val="31"/>
        </w:rPr>
        <w:t xml:space="preserve"> </w:t>
      </w:r>
      <w:r>
        <w:rPr>
          <w:spacing w:val="-1"/>
        </w:rPr>
        <w:t>in</w:t>
      </w:r>
      <w:r>
        <w:rPr>
          <w:spacing w:val="31"/>
        </w:rPr>
        <w:t xml:space="preserve"> </w:t>
      </w:r>
      <w:r>
        <w:rPr>
          <w:spacing w:val="-1"/>
        </w:rPr>
        <w:t>respect</w:t>
      </w:r>
      <w:r>
        <w:rPr>
          <w:spacing w:val="33"/>
        </w:rPr>
        <w:t xml:space="preserve"> </w:t>
      </w:r>
      <w:r>
        <w:rPr>
          <w:spacing w:val="-2"/>
        </w:rPr>
        <w:t>of</w:t>
      </w:r>
      <w:r>
        <w:rPr>
          <w:spacing w:val="33"/>
        </w:rPr>
        <w:t xml:space="preserve"> </w:t>
      </w:r>
      <w:r>
        <w:rPr>
          <w:spacing w:val="-1"/>
        </w:rPr>
        <w:t>the</w:t>
      </w:r>
      <w:r>
        <w:rPr>
          <w:spacing w:val="31"/>
        </w:rPr>
        <w:t xml:space="preserve"> </w:t>
      </w:r>
      <w:r>
        <w:rPr>
          <w:spacing w:val="-1"/>
        </w:rPr>
        <w:t>Goods</w:t>
      </w:r>
      <w:r>
        <w:rPr>
          <w:spacing w:val="66"/>
        </w:rPr>
        <w:t xml:space="preserve"> </w:t>
      </w:r>
      <w:r>
        <w:rPr>
          <w:spacing w:val="-1"/>
        </w:rPr>
        <w:t>and/or</w:t>
      </w:r>
      <w:r>
        <w:rPr>
          <w:spacing w:val="6"/>
        </w:rPr>
        <w:t xml:space="preserve"> </w:t>
      </w:r>
      <w:r>
        <w:rPr>
          <w:spacing w:val="-2"/>
        </w:rPr>
        <w:t>Services</w:t>
      </w:r>
      <w:r>
        <w:rPr>
          <w:spacing w:val="6"/>
        </w:rPr>
        <w:t xml:space="preserve"> </w:t>
      </w:r>
      <w:r>
        <w:rPr>
          <w:spacing w:val="-1"/>
        </w:rPr>
        <w:t>and</w:t>
      </w:r>
      <w:r>
        <w:rPr>
          <w:spacing w:val="5"/>
        </w:rPr>
        <w:t xml:space="preserve"> </w:t>
      </w:r>
      <w:r>
        <w:rPr>
          <w:spacing w:val="-1"/>
        </w:rPr>
        <w:t>do</w:t>
      </w:r>
      <w:r>
        <w:rPr>
          <w:spacing w:val="3"/>
        </w:rPr>
        <w:t xml:space="preserve"> </w:t>
      </w:r>
      <w:r>
        <w:rPr>
          <w:spacing w:val="-1"/>
        </w:rPr>
        <w:t>not</w:t>
      </w:r>
      <w:r>
        <w:rPr>
          <w:spacing w:val="7"/>
        </w:rPr>
        <w:t xml:space="preserve"> </w:t>
      </w:r>
      <w:r>
        <w:rPr>
          <w:spacing w:val="-1"/>
        </w:rPr>
        <w:t>include</w:t>
      </w:r>
      <w:r>
        <w:rPr>
          <w:spacing w:val="5"/>
        </w:rPr>
        <w:t xml:space="preserve"> </w:t>
      </w:r>
      <w:r>
        <w:rPr>
          <w:spacing w:val="-1"/>
        </w:rPr>
        <w:t>VAT.</w:t>
      </w:r>
      <w:r>
        <w:rPr>
          <w:spacing w:val="4"/>
        </w:rPr>
        <w:t xml:space="preserve"> </w:t>
      </w:r>
      <w:r>
        <w:t>The</w:t>
      </w:r>
      <w:r>
        <w:rPr>
          <w:spacing w:val="3"/>
        </w:rPr>
        <w:t xml:space="preserve"> </w:t>
      </w:r>
      <w:r>
        <w:rPr>
          <w:spacing w:val="-2"/>
        </w:rPr>
        <w:t>Supplier</w:t>
      </w:r>
      <w:r>
        <w:rPr>
          <w:spacing w:val="6"/>
        </w:rPr>
        <w:t xml:space="preserve"> </w:t>
      </w:r>
      <w:r>
        <w:rPr>
          <w:spacing w:val="-1"/>
        </w:rPr>
        <w:t>shall</w:t>
      </w:r>
      <w:r>
        <w:rPr>
          <w:spacing w:val="4"/>
        </w:rPr>
        <w:t xml:space="preserve"> </w:t>
      </w:r>
      <w:r>
        <w:t>set-off</w:t>
      </w:r>
      <w:r>
        <w:rPr>
          <w:spacing w:val="4"/>
        </w:rPr>
        <w:t xml:space="preserve"> </w:t>
      </w:r>
      <w:r>
        <w:t>the</w:t>
      </w:r>
      <w:r>
        <w:rPr>
          <w:spacing w:val="5"/>
        </w:rPr>
        <w:t xml:space="preserve"> </w:t>
      </w:r>
      <w:r>
        <w:rPr>
          <w:spacing w:val="-2"/>
        </w:rPr>
        <w:t>value</w:t>
      </w:r>
      <w:r>
        <w:rPr>
          <w:spacing w:val="5"/>
        </w:rPr>
        <w:t xml:space="preserve"> </w:t>
      </w:r>
      <w:r>
        <w:rPr>
          <w:spacing w:val="-2"/>
        </w:rPr>
        <w:t>of</w:t>
      </w:r>
      <w:r>
        <w:rPr>
          <w:spacing w:val="9"/>
        </w:rPr>
        <w:t xml:space="preserve"> </w:t>
      </w:r>
      <w:r>
        <w:rPr>
          <w:spacing w:val="-1"/>
        </w:rPr>
        <w:t>any</w:t>
      </w:r>
      <w:r>
        <w:rPr>
          <w:spacing w:val="50"/>
        </w:rPr>
        <w:t xml:space="preserve"> </w:t>
      </w:r>
      <w:r>
        <w:rPr>
          <w:spacing w:val="-2"/>
        </w:rPr>
        <w:t>Service</w:t>
      </w:r>
      <w:r>
        <w:rPr>
          <w:spacing w:val="4"/>
        </w:rPr>
        <w:t xml:space="preserve"> </w:t>
      </w:r>
      <w:r>
        <w:rPr>
          <w:spacing w:val="-1"/>
        </w:rPr>
        <w:t>Credits</w:t>
      </w:r>
      <w:r>
        <w:rPr>
          <w:spacing w:val="4"/>
        </w:rPr>
        <w:t xml:space="preserve"> </w:t>
      </w:r>
      <w:r>
        <w:rPr>
          <w:spacing w:val="-1"/>
        </w:rPr>
        <w:t>against</w:t>
      </w:r>
      <w:r>
        <w:rPr>
          <w:spacing w:val="3"/>
        </w:rPr>
        <w:t xml:space="preserve"> </w:t>
      </w:r>
      <w:r>
        <w:t>the</w:t>
      </w:r>
      <w:r>
        <w:rPr>
          <w:spacing w:val="4"/>
        </w:rPr>
        <w:t xml:space="preserve"> </w:t>
      </w:r>
      <w:r>
        <w:rPr>
          <w:spacing w:val="-1"/>
        </w:rPr>
        <w:t>appropriate</w:t>
      </w:r>
      <w:r>
        <w:rPr>
          <w:spacing w:val="2"/>
        </w:rPr>
        <w:t xml:space="preserve"> </w:t>
      </w:r>
      <w:r>
        <w:rPr>
          <w:spacing w:val="-1"/>
        </w:rPr>
        <w:t>invoice</w:t>
      </w:r>
      <w:r>
        <w:rPr>
          <w:spacing w:val="4"/>
        </w:rPr>
        <w:t xml:space="preserve"> </w:t>
      </w:r>
      <w:r>
        <w:rPr>
          <w:spacing w:val="-1"/>
        </w:rPr>
        <w:t>in</w:t>
      </w:r>
      <w:r>
        <w:rPr>
          <w:spacing w:val="4"/>
        </w:rPr>
        <w:t xml:space="preserve"> </w:t>
      </w:r>
      <w:r>
        <w:rPr>
          <w:spacing w:val="-1"/>
        </w:rPr>
        <w:t>accordance</w:t>
      </w:r>
      <w:r>
        <w:rPr>
          <w:spacing w:val="4"/>
        </w:rPr>
        <w:t xml:space="preserve"> </w:t>
      </w:r>
      <w:r>
        <w:rPr>
          <w:spacing w:val="-2"/>
        </w:rPr>
        <w:t>with</w:t>
      </w:r>
      <w:r>
        <w:rPr>
          <w:spacing w:val="4"/>
        </w:rPr>
        <w:t xml:space="preserve"> </w:t>
      </w:r>
      <w:r>
        <w:rPr>
          <w:spacing w:val="-2"/>
        </w:rPr>
        <w:t>calculation</w:t>
      </w:r>
      <w:r>
        <w:rPr>
          <w:spacing w:val="50"/>
        </w:rPr>
        <w:t xml:space="preserve"> </w:t>
      </w:r>
      <w:r>
        <w:rPr>
          <w:spacing w:val="-1"/>
        </w:rPr>
        <w:t>formula</w:t>
      </w:r>
      <w:r>
        <w:t xml:space="preserve"> </w:t>
      </w:r>
      <w:r>
        <w:rPr>
          <w:spacing w:val="-1"/>
        </w:rPr>
        <w:t>in</w:t>
      </w:r>
      <w:r>
        <w:t xml:space="preserve"> </w:t>
      </w:r>
      <w:r>
        <w:rPr>
          <w:spacing w:val="-1"/>
        </w:rPr>
        <w:t>Annex</w:t>
      </w:r>
      <w:r>
        <w:rPr>
          <w:spacing w:val="-2"/>
        </w:rPr>
        <w:t xml:space="preserve"> </w:t>
      </w:r>
      <w:r>
        <w:t xml:space="preserve">1 </w:t>
      </w:r>
      <w:r>
        <w:rPr>
          <w:spacing w:val="-2"/>
        </w:rPr>
        <w:t>of</w:t>
      </w:r>
      <w:r>
        <w:rPr>
          <w:spacing w:val="2"/>
        </w:rPr>
        <w:t xml:space="preserve"> </w:t>
      </w:r>
      <w:r>
        <w:rPr>
          <w:spacing w:val="-1"/>
        </w:rPr>
        <w:t>Part</w:t>
      </w:r>
      <w:r>
        <w:t xml:space="preserve"> A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2"/>
        </w:rPr>
        <w:t>Schedule.</w:t>
      </w:r>
    </w:p>
    <w:p w:rsidR="008918FA" w:rsidRDefault="008918FA" w:rsidP="008918FA">
      <w:pPr>
        <w:pStyle w:val="BodyText"/>
        <w:numPr>
          <w:ilvl w:val="0"/>
          <w:numId w:val="25"/>
        </w:numPr>
        <w:tabs>
          <w:tab w:val="left" w:pos="467"/>
        </w:tabs>
        <w:spacing w:before="117"/>
        <w:ind w:left="466"/>
        <w:jc w:val="left"/>
        <w:rPr>
          <w:rFonts w:ascii="Times New Roman" w:eastAsia="Times New Roman" w:hAnsi="Times New Roman" w:cs="Times New Roman"/>
        </w:rPr>
      </w:pPr>
      <w:r>
        <w:rPr>
          <w:rFonts w:ascii="Times New Roman"/>
          <w:spacing w:val="1"/>
        </w:rPr>
        <w:t>NATURE</w:t>
      </w:r>
      <w:r>
        <w:rPr>
          <w:rFonts w:ascii="Times New Roman"/>
          <w:spacing w:val="18"/>
        </w:rPr>
        <w:t xml:space="preserve"> </w:t>
      </w:r>
      <w:r>
        <w:rPr>
          <w:rFonts w:ascii="Times New Roman"/>
          <w:spacing w:val="6"/>
        </w:rPr>
        <w:t>OF</w:t>
      </w:r>
      <w:r>
        <w:rPr>
          <w:rFonts w:ascii="Times New Roman"/>
          <w:spacing w:val="19"/>
        </w:rPr>
        <w:t xml:space="preserve"> </w:t>
      </w:r>
      <w:r>
        <w:rPr>
          <w:rFonts w:ascii="Times New Roman"/>
          <w:spacing w:val="4"/>
        </w:rPr>
        <w:t>SERVICE</w:t>
      </w:r>
      <w:r>
        <w:rPr>
          <w:rFonts w:ascii="Times New Roman"/>
          <w:spacing w:val="16"/>
        </w:rPr>
        <w:t xml:space="preserve"> </w:t>
      </w:r>
      <w:r>
        <w:rPr>
          <w:rFonts w:ascii="Times New Roman"/>
          <w:spacing w:val="2"/>
        </w:rPr>
        <w:t>CREDITS</w:t>
      </w:r>
    </w:p>
    <w:p w:rsidR="008918FA" w:rsidRDefault="008918FA" w:rsidP="008918FA">
      <w:pPr>
        <w:rPr>
          <w:rFonts w:ascii="Times New Roman" w:eastAsia="Times New Roman" w:hAnsi="Times New Roman" w:cs="Times New Roman"/>
        </w:rPr>
        <w:sectPr w:rsidR="008918FA">
          <w:pgSz w:w="11910" w:h="16840"/>
          <w:pgMar w:top="1480" w:right="1300" w:bottom="1160" w:left="1540" w:header="0" w:footer="967" w:gutter="0"/>
          <w:cols w:space="720"/>
        </w:sectPr>
      </w:pPr>
    </w:p>
    <w:p w:rsidR="008918FA" w:rsidRDefault="008918FA" w:rsidP="008918FA">
      <w:pPr>
        <w:pStyle w:val="BodyText"/>
        <w:numPr>
          <w:ilvl w:val="1"/>
          <w:numId w:val="25"/>
        </w:numPr>
        <w:tabs>
          <w:tab w:val="left" w:pos="829"/>
        </w:tabs>
        <w:spacing w:before="59"/>
        <w:ind w:left="828" w:right="114"/>
        <w:jc w:val="both"/>
      </w:pPr>
      <w:r>
        <w:t>The</w:t>
      </w:r>
      <w:r>
        <w:rPr>
          <w:spacing w:val="7"/>
        </w:rPr>
        <w:t xml:space="preserve"> </w:t>
      </w:r>
      <w:r>
        <w:rPr>
          <w:spacing w:val="-2"/>
        </w:rPr>
        <w:t>Supplier</w:t>
      </w:r>
      <w:r>
        <w:rPr>
          <w:spacing w:val="9"/>
        </w:rPr>
        <w:t xml:space="preserve"> </w:t>
      </w:r>
      <w:r>
        <w:rPr>
          <w:spacing w:val="-1"/>
        </w:rPr>
        <w:t>confirms</w:t>
      </w:r>
      <w:r>
        <w:rPr>
          <w:spacing w:val="5"/>
        </w:rPr>
        <w:t xml:space="preserve"> </w:t>
      </w:r>
      <w:r>
        <w:rPr>
          <w:spacing w:val="-1"/>
        </w:rPr>
        <w:t>that</w:t>
      </w:r>
      <w:r>
        <w:rPr>
          <w:spacing w:val="9"/>
        </w:rPr>
        <w:t xml:space="preserve"> </w:t>
      </w:r>
      <w:r>
        <w:rPr>
          <w:spacing w:val="-1"/>
        </w:rPr>
        <w:t>it</w:t>
      </w:r>
      <w:r>
        <w:rPr>
          <w:spacing w:val="9"/>
        </w:rPr>
        <w:t xml:space="preserve"> </w:t>
      </w:r>
      <w:r>
        <w:rPr>
          <w:spacing w:val="-2"/>
        </w:rPr>
        <w:t>has</w:t>
      </w:r>
      <w:r>
        <w:rPr>
          <w:spacing w:val="8"/>
        </w:rPr>
        <w:t xml:space="preserve"> </w:t>
      </w:r>
      <w:r>
        <w:rPr>
          <w:spacing w:val="-2"/>
        </w:rPr>
        <w:t>modelled</w:t>
      </w:r>
      <w:r>
        <w:rPr>
          <w:spacing w:val="7"/>
        </w:rPr>
        <w:t xml:space="preserve"> </w:t>
      </w:r>
      <w:r>
        <w:t>the</w:t>
      </w:r>
      <w:r>
        <w:rPr>
          <w:spacing w:val="7"/>
        </w:rPr>
        <w:t xml:space="preserve"> </w:t>
      </w:r>
      <w:r>
        <w:rPr>
          <w:spacing w:val="-2"/>
        </w:rPr>
        <w:t>Service</w:t>
      </w:r>
      <w:r>
        <w:rPr>
          <w:spacing w:val="8"/>
        </w:rPr>
        <w:t xml:space="preserve"> </w:t>
      </w:r>
      <w:r>
        <w:rPr>
          <w:spacing w:val="-1"/>
        </w:rPr>
        <w:t>Credits</w:t>
      </w:r>
      <w:r>
        <w:rPr>
          <w:spacing w:val="8"/>
        </w:rPr>
        <w:t xml:space="preserve"> </w:t>
      </w:r>
      <w:r>
        <w:rPr>
          <w:spacing w:val="-1"/>
        </w:rPr>
        <w:t>and</w:t>
      </w:r>
      <w:r>
        <w:rPr>
          <w:spacing w:val="7"/>
        </w:rPr>
        <w:t xml:space="preserve"> </w:t>
      </w:r>
      <w:r>
        <w:rPr>
          <w:spacing w:val="-1"/>
        </w:rPr>
        <w:t>has</w:t>
      </w:r>
      <w:r>
        <w:rPr>
          <w:spacing w:val="5"/>
        </w:rPr>
        <w:t xml:space="preserve"> </w:t>
      </w:r>
      <w:r>
        <w:rPr>
          <w:spacing w:val="-1"/>
        </w:rPr>
        <w:t>taken</w:t>
      </w:r>
      <w:r>
        <w:rPr>
          <w:spacing w:val="5"/>
        </w:rPr>
        <w:t xml:space="preserve"> </w:t>
      </w:r>
      <w:r>
        <w:rPr>
          <w:spacing w:val="-1"/>
        </w:rPr>
        <w:t>them</w:t>
      </w:r>
      <w:r>
        <w:rPr>
          <w:spacing w:val="57"/>
        </w:rPr>
        <w:t xml:space="preserve"> </w:t>
      </w:r>
      <w:r>
        <w:rPr>
          <w:spacing w:val="-1"/>
        </w:rPr>
        <w:t>into</w:t>
      </w:r>
      <w:r>
        <w:rPr>
          <w:spacing w:val="46"/>
        </w:rPr>
        <w:t xml:space="preserve"> </w:t>
      </w:r>
      <w:r>
        <w:rPr>
          <w:spacing w:val="-1"/>
        </w:rPr>
        <w:t>account</w:t>
      </w:r>
      <w:r>
        <w:rPr>
          <w:spacing w:val="45"/>
        </w:rPr>
        <w:t xml:space="preserve"> </w:t>
      </w:r>
      <w:r>
        <w:rPr>
          <w:spacing w:val="-1"/>
        </w:rPr>
        <w:t>in</w:t>
      </w:r>
      <w:r>
        <w:rPr>
          <w:spacing w:val="46"/>
        </w:rPr>
        <w:t xml:space="preserve"> </w:t>
      </w:r>
      <w:r>
        <w:rPr>
          <w:spacing w:val="-1"/>
        </w:rPr>
        <w:t>setting</w:t>
      </w:r>
      <w:r>
        <w:rPr>
          <w:spacing w:val="46"/>
        </w:rPr>
        <w:t xml:space="preserve"> </w:t>
      </w:r>
      <w:r>
        <w:rPr>
          <w:spacing w:val="-1"/>
        </w:rPr>
        <w:t>the</w:t>
      </w:r>
      <w:r>
        <w:rPr>
          <w:spacing w:val="46"/>
        </w:rPr>
        <w:t xml:space="preserve"> </w:t>
      </w:r>
      <w:r>
        <w:rPr>
          <w:spacing w:val="-2"/>
        </w:rPr>
        <w:t>level</w:t>
      </w:r>
      <w:r>
        <w:rPr>
          <w:spacing w:val="45"/>
        </w:rPr>
        <w:t xml:space="preserve"> </w:t>
      </w:r>
      <w:r>
        <w:rPr>
          <w:spacing w:val="-1"/>
        </w:rPr>
        <w:t>of</w:t>
      </w:r>
      <w:r>
        <w:rPr>
          <w:spacing w:val="50"/>
        </w:rPr>
        <w:t xml:space="preserve"> </w:t>
      </w:r>
      <w:r>
        <w:t>the</w:t>
      </w:r>
      <w:r>
        <w:rPr>
          <w:spacing w:val="43"/>
        </w:rPr>
        <w:t xml:space="preserve"> </w:t>
      </w:r>
      <w:r>
        <w:rPr>
          <w:spacing w:val="-2"/>
        </w:rPr>
        <w:t>Call</w:t>
      </w:r>
      <w:r>
        <w:rPr>
          <w:spacing w:val="45"/>
        </w:rPr>
        <w:t xml:space="preserve"> </w:t>
      </w:r>
      <w:r>
        <w:rPr>
          <w:spacing w:val="-1"/>
        </w:rPr>
        <w:t>Off</w:t>
      </w:r>
      <w:r>
        <w:rPr>
          <w:spacing w:val="45"/>
        </w:rPr>
        <w:t xml:space="preserve"> </w:t>
      </w:r>
      <w:r>
        <w:rPr>
          <w:spacing w:val="-1"/>
        </w:rPr>
        <w:t>Contract</w:t>
      </w:r>
      <w:r>
        <w:rPr>
          <w:spacing w:val="47"/>
        </w:rPr>
        <w:t xml:space="preserve"> </w:t>
      </w:r>
      <w:r>
        <w:rPr>
          <w:spacing w:val="-1"/>
        </w:rPr>
        <w:t>Charges.</w:t>
      </w:r>
      <w:r>
        <w:rPr>
          <w:spacing w:val="48"/>
        </w:rPr>
        <w:t xml:space="preserve"> </w:t>
      </w:r>
      <w:r>
        <w:rPr>
          <w:spacing w:val="-2"/>
        </w:rPr>
        <w:t>Both</w:t>
      </w:r>
      <w:r>
        <w:rPr>
          <w:spacing w:val="47"/>
        </w:rPr>
        <w:t xml:space="preserve"> </w:t>
      </w:r>
      <w:r>
        <w:rPr>
          <w:spacing w:val="-1"/>
        </w:rPr>
        <w:t>Parties</w:t>
      </w:r>
      <w:r>
        <w:rPr>
          <w:spacing w:val="40"/>
        </w:rPr>
        <w:t xml:space="preserve"> </w:t>
      </w:r>
      <w:r>
        <w:rPr>
          <w:spacing w:val="-1"/>
        </w:rPr>
        <w:t>agree</w:t>
      </w:r>
      <w:r>
        <w:rPr>
          <w:spacing w:val="43"/>
        </w:rPr>
        <w:t xml:space="preserve"> </w:t>
      </w:r>
      <w:r>
        <w:rPr>
          <w:spacing w:val="-1"/>
        </w:rPr>
        <w:t>that</w:t>
      </w:r>
      <w:r>
        <w:rPr>
          <w:spacing w:val="42"/>
        </w:rPr>
        <w:t xml:space="preserve"> </w:t>
      </w:r>
      <w:r>
        <w:t>the</w:t>
      </w:r>
      <w:r>
        <w:rPr>
          <w:spacing w:val="43"/>
        </w:rPr>
        <w:t xml:space="preserve"> </w:t>
      </w:r>
      <w:r>
        <w:rPr>
          <w:spacing w:val="-2"/>
        </w:rPr>
        <w:t>Service</w:t>
      </w:r>
      <w:r>
        <w:rPr>
          <w:spacing w:val="44"/>
        </w:rPr>
        <w:t xml:space="preserve"> </w:t>
      </w:r>
      <w:r>
        <w:rPr>
          <w:spacing w:val="-1"/>
        </w:rPr>
        <w:t>Credits</w:t>
      </w:r>
      <w:r>
        <w:rPr>
          <w:spacing w:val="44"/>
        </w:rPr>
        <w:t xml:space="preserve"> </w:t>
      </w:r>
      <w:r>
        <w:rPr>
          <w:spacing w:val="-1"/>
        </w:rPr>
        <w:t>are</w:t>
      </w:r>
      <w:r>
        <w:rPr>
          <w:spacing w:val="43"/>
        </w:rPr>
        <w:t xml:space="preserve"> </w:t>
      </w:r>
      <w:r>
        <w:t>a</w:t>
      </w:r>
      <w:r>
        <w:rPr>
          <w:spacing w:val="44"/>
        </w:rPr>
        <w:t xml:space="preserve"> </w:t>
      </w:r>
      <w:r>
        <w:rPr>
          <w:spacing w:val="-1"/>
        </w:rPr>
        <w:t>reasonable</w:t>
      </w:r>
      <w:r>
        <w:rPr>
          <w:spacing w:val="43"/>
        </w:rPr>
        <w:t xml:space="preserve"> </w:t>
      </w:r>
      <w:r>
        <w:rPr>
          <w:spacing w:val="-1"/>
        </w:rPr>
        <w:t>method</w:t>
      </w:r>
      <w:r>
        <w:rPr>
          <w:spacing w:val="43"/>
        </w:rPr>
        <w:t xml:space="preserve"> </w:t>
      </w:r>
      <w:r>
        <w:rPr>
          <w:spacing w:val="-2"/>
        </w:rPr>
        <w:t>of</w:t>
      </w:r>
      <w:r>
        <w:rPr>
          <w:spacing w:val="47"/>
        </w:rPr>
        <w:t xml:space="preserve"> </w:t>
      </w:r>
      <w:r>
        <w:rPr>
          <w:spacing w:val="-2"/>
        </w:rPr>
        <w:t>price</w:t>
      </w:r>
      <w:r>
        <w:rPr>
          <w:spacing w:val="44"/>
        </w:rPr>
        <w:t xml:space="preserve"> </w:t>
      </w:r>
      <w:r>
        <w:rPr>
          <w:spacing w:val="-1"/>
        </w:rPr>
        <w:t>adjustment</w:t>
      </w:r>
      <w:r>
        <w:rPr>
          <w:spacing w:val="45"/>
        </w:rPr>
        <w:t xml:space="preserve"> </w:t>
      </w:r>
      <w:r>
        <w:t>to</w:t>
      </w:r>
      <w:r>
        <w:rPr>
          <w:spacing w:val="55"/>
        </w:rPr>
        <w:t xml:space="preserve"> </w:t>
      </w:r>
      <w:r>
        <w:rPr>
          <w:spacing w:val="-1"/>
        </w:rPr>
        <w:t>reflect</w:t>
      </w:r>
      <w:r>
        <w:t xml:space="preserve"> </w:t>
      </w:r>
      <w:r>
        <w:rPr>
          <w:spacing w:val="-1"/>
        </w:rPr>
        <w:t>poor performance.</w:t>
      </w:r>
    </w:p>
    <w:p w:rsidR="008918FA" w:rsidRDefault="008918FA" w:rsidP="008918FA">
      <w:pPr>
        <w:pStyle w:val="BodyText"/>
        <w:numPr>
          <w:ilvl w:val="0"/>
          <w:numId w:val="25"/>
        </w:numPr>
        <w:tabs>
          <w:tab w:val="left" w:pos="467"/>
        </w:tabs>
        <w:spacing w:before="120"/>
        <w:ind w:left="466"/>
        <w:jc w:val="left"/>
        <w:rPr>
          <w:rFonts w:ascii="Times New Roman" w:eastAsia="Times New Roman" w:hAnsi="Times New Roman" w:cs="Times New Roman"/>
        </w:rPr>
      </w:pPr>
      <w:bookmarkStart w:id="385" w:name="_bookmark313"/>
      <w:bookmarkEnd w:id="385"/>
      <w:r>
        <w:rPr>
          <w:rFonts w:ascii="Times New Roman"/>
          <w:spacing w:val="4"/>
        </w:rPr>
        <w:t>SERVICE</w:t>
      </w:r>
      <w:r>
        <w:rPr>
          <w:rFonts w:ascii="Times New Roman"/>
          <w:spacing w:val="18"/>
        </w:rPr>
        <w:t xml:space="preserve"> </w:t>
      </w:r>
      <w:r>
        <w:rPr>
          <w:rFonts w:ascii="Times New Roman"/>
          <w:spacing w:val="3"/>
        </w:rPr>
        <w:t>CREDIT</w:t>
      </w:r>
      <w:r>
        <w:rPr>
          <w:rFonts w:ascii="Times New Roman"/>
          <w:spacing w:val="4"/>
        </w:rPr>
        <w:t xml:space="preserve"> </w:t>
      </w:r>
      <w:r>
        <w:rPr>
          <w:rFonts w:ascii="Times New Roman"/>
          <w:spacing w:val="1"/>
        </w:rPr>
        <w:t>CAP</w:t>
      </w:r>
    </w:p>
    <w:p w:rsidR="008918FA" w:rsidRDefault="008918FA" w:rsidP="008918FA">
      <w:pPr>
        <w:spacing w:before="8"/>
        <w:rPr>
          <w:rFonts w:ascii="Times New Roman" w:eastAsia="Times New Roman" w:hAnsi="Times New Roman" w:cs="Times New Roman"/>
          <w:sz w:val="20"/>
          <w:szCs w:val="20"/>
        </w:rPr>
      </w:pPr>
    </w:p>
    <w:p w:rsidR="008918FA" w:rsidRDefault="008918FA" w:rsidP="008918FA">
      <w:pPr>
        <w:numPr>
          <w:ilvl w:val="1"/>
          <w:numId w:val="25"/>
        </w:numPr>
        <w:tabs>
          <w:tab w:val="left" w:pos="829"/>
        </w:tabs>
        <w:ind w:left="828"/>
        <w:rPr>
          <w:rFonts w:ascii="Arial" w:eastAsia="Arial" w:hAnsi="Arial" w:cs="Arial"/>
        </w:rPr>
      </w:pPr>
      <w:r>
        <w:rPr>
          <w:rFonts w:ascii="Arial"/>
          <w:spacing w:val="-1"/>
        </w:rPr>
        <w:t xml:space="preserve">For </w:t>
      </w:r>
      <w:r>
        <w:rPr>
          <w:rFonts w:ascii="Arial"/>
        </w:rPr>
        <w:t xml:space="preserve">the </w:t>
      </w:r>
      <w:r>
        <w:rPr>
          <w:rFonts w:ascii="Arial"/>
          <w:spacing w:val="-1"/>
        </w:rPr>
        <w:t>purposes</w:t>
      </w:r>
      <w:r>
        <w:rPr>
          <w:rFonts w:ascii="Arial"/>
          <w:spacing w:val="-2"/>
        </w:rPr>
        <w:t xml:space="preserve"> of</w:t>
      </w:r>
      <w:r>
        <w:rPr>
          <w:rFonts w:ascii="Arial"/>
          <w:spacing w:val="2"/>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Contract</w:t>
      </w:r>
      <w:r>
        <w:rPr>
          <w:rFonts w:ascii="Arial"/>
        </w:rPr>
        <w:t xml:space="preserve"> </w:t>
      </w:r>
      <w:r>
        <w:rPr>
          <w:rFonts w:ascii="Arial"/>
          <w:spacing w:val="-1"/>
        </w:rPr>
        <w:t>the</w:t>
      </w:r>
      <w:r>
        <w:rPr>
          <w:rFonts w:ascii="Arial"/>
        </w:rPr>
        <w:t xml:space="preserve"> </w:t>
      </w:r>
      <w:r>
        <w:rPr>
          <w:rFonts w:ascii="Arial"/>
          <w:b/>
          <w:spacing w:val="-1"/>
        </w:rPr>
        <w:t>Service</w:t>
      </w:r>
      <w:r>
        <w:rPr>
          <w:rFonts w:ascii="Arial"/>
          <w:b/>
        </w:rPr>
        <w:t xml:space="preserve"> </w:t>
      </w:r>
      <w:r>
        <w:rPr>
          <w:rFonts w:ascii="Arial"/>
          <w:b/>
          <w:spacing w:val="-1"/>
        </w:rPr>
        <w:t xml:space="preserve">Credit Cap </w:t>
      </w:r>
      <w:r>
        <w:rPr>
          <w:rFonts w:ascii="Arial"/>
          <w:spacing w:val="-1"/>
        </w:rPr>
        <w:t>means:</w:t>
      </w:r>
    </w:p>
    <w:p w:rsidR="008918FA" w:rsidRDefault="008918FA" w:rsidP="008918FA">
      <w:pPr>
        <w:pStyle w:val="BodyText"/>
        <w:numPr>
          <w:ilvl w:val="0"/>
          <w:numId w:val="23"/>
        </w:numPr>
        <w:tabs>
          <w:tab w:val="left" w:pos="2735"/>
        </w:tabs>
        <w:spacing w:before="121"/>
        <w:ind w:right="113"/>
        <w:jc w:val="both"/>
      </w:pPr>
      <w:r>
        <w:t>In</w:t>
      </w:r>
      <w:r>
        <w:rPr>
          <w:spacing w:val="7"/>
        </w:rPr>
        <w:t xml:space="preserve"> </w:t>
      </w:r>
      <w:r>
        <w:t>the</w:t>
      </w:r>
      <w:r>
        <w:rPr>
          <w:spacing w:val="7"/>
        </w:rPr>
        <w:t xml:space="preserve"> </w:t>
      </w:r>
      <w:r>
        <w:rPr>
          <w:spacing w:val="-2"/>
        </w:rPr>
        <w:t>period</w:t>
      </w:r>
      <w:r>
        <w:rPr>
          <w:spacing w:val="5"/>
        </w:rPr>
        <w:t xml:space="preserve"> </w:t>
      </w:r>
      <w:r>
        <w:t>from</w:t>
      </w:r>
      <w:r>
        <w:rPr>
          <w:spacing w:val="6"/>
        </w:rPr>
        <w:t xml:space="preserve"> </w:t>
      </w:r>
      <w:r>
        <w:t>the</w:t>
      </w:r>
      <w:r>
        <w:rPr>
          <w:spacing w:val="7"/>
        </w:rPr>
        <w:t xml:space="preserve"> </w:t>
      </w:r>
      <w:r>
        <w:rPr>
          <w:spacing w:val="-2"/>
        </w:rPr>
        <w:t>Call</w:t>
      </w:r>
      <w:r>
        <w:rPr>
          <w:spacing w:val="7"/>
        </w:rPr>
        <w:t xml:space="preserve"> </w:t>
      </w:r>
      <w:r>
        <w:rPr>
          <w:spacing w:val="-1"/>
        </w:rPr>
        <w:t>Off</w:t>
      </w:r>
      <w:r>
        <w:rPr>
          <w:spacing w:val="11"/>
        </w:rPr>
        <w:t xml:space="preserve"> </w:t>
      </w:r>
      <w:r>
        <w:rPr>
          <w:spacing w:val="-2"/>
        </w:rPr>
        <w:t>Commencement</w:t>
      </w:r>
      <w:r>
        <w:rPr>
          <w:spacing w:val="7"/>
        </w:rPr>
        <w:t xml:space="preserve"> </w:t>
      </w:r>
      <w:r>
        <w:rPr>
          <w:spacing w:val="-1"/>
        </w:rPr>
        <w:t>Date</w:t>
      </w:r>
      <w:r>
        <w:rPr>
          <w:spacing w:val="7"/>
        </w:rPr>
        <w:t xml:space="preserve"> </w:t>
      </w:r>
      <w:r>
        <w:t>to</w:t>
      </w:r>
      <w:r>
        <w:rPr>
          <w:spacing w:val="5"/>
        </w:rPr>
        <w:t xml:space="preserve"> </w:t>
      </w:r>
      <w:r>
        <w:t>the</w:t>
      </w:r>
      <w:r>
        <w:rPr>
          <w:spacing w:val="7"/>
        </w:rPr>
        <w:t xml:space="preserve"> </w:t>
      </w:r>
      <w:r>
        <w:rPr>
          <w:spacing w:val="-1"/>
        </w:rPr>
        <w:t>end</w:t>
      </w:r>
      <w:r>
        <w:rPr>
          <w:spacing w:val="44"/>
        </w:rPr>
        <w:t xml:space="preserve"> </w:t>
      </w:r>
      <w:r>
        <w:rPr>
          <w:spacing w:val="-2"/>
        </w:rPr>
        <w:t>of</w:t>
      </w:r>
      <w:r>
        <w:rPr>
          <w:spacing w:val="11"/>
        </w:rPr>
        <w:t xml:space="preserve"> </w:t>
      </w:r>
      <w:r>
        <w:t>the</w:t>
      </w:r>
      <w:r>
        <w:rPr>
          <w:spacing w:val="5"/>
        </w:rPr>
        <w:t xml:space="preserve"> </w:t>
      </w:r>
      <w:r>
        <w:rPr>
          <w:spacing w:val="-1"/>
        </w:rPr>
        <w:t>first</w:t>
      </w:r>
      <w:r>
        <w:rPr>
          <w:spacing w:val="9"/>
        </w:rPr>
        <w:t xml:space="preserve"> </w:t>
      </w:r>
      <w:r>
        <w:rPr>
          <w:spacing w:val="-2"/>
        </w:rPr>
        <w:t>Call</w:t>
      </w:r>
      <w:r>
        <w:rPr>
          <w:spacing w:val="7"/>
        </w:rPr>
        <w:t xml:space="preserve"> </w:t>
      </w:r>
      <w:r>
        <w:rPr>
          <w:spacing w:val="-1"/>
        </w:rPr>
        <w:t>Off</w:t>
      </w:r>
      <w:r>
        <w:rPr>
          <w:spacing w:val="9"/>
        </w:rPr>
        <w:t xml:space="preserve"> </w:t>
      </w:r>
      <w:r>
        <w:rPr>
          <w:spacing w:val="-2"/>
        </w:rPr>
        <w:t>Contract</w:t>
      </w:r>
      <w:r>
        <w:rPr>
          <w:spacing w:val="9"/>
        </w:rPr>
        <w:t xml:space="preserve"> </w:t>
      </w:r>
      <w:r>
        <w:rPr>
          <w:spacing w:val="-1"/>
        </w:rPr>
        <w:t>Year</w:t>
      </w:r>
      <w:r>
        <w:rPr>
          <w:spacing w:val="7"/>
        </w:rPr>
        <w:t xml:space="preserve"> </w:t>
      </w:r>
      <w:r>
        <w:rPr>
          <w:b/>
          <w:spacing w:val="-1"/>
          <w:highlight w:val="yellow"/>
        </w:rPr>
        <w:t>[xxx]</w:t>
      </w:r>
      <w:r>
        <w:rPr>
          <w:b/>
          <w:spacing w:val="-1"/>
        </w:rPr>
        <w:t>%</w:t>
      </w:r>
      <w:r>
        <w:rPr>
          <w:b/>
          <w:spacing w:val="6"/>
        </w:rPr>
        <w:t xml:space="preserve"> </w:t>
      </w:r>
      <w:r>
        <w:rPr>
          <w:spacing w:val="-2"/>
        </w:rPr>
        <w:t>of</w:t>
      </w:r>
      <w:r>
        <w:rPr>
          <w:spacing w:val="9"/>
        </w:rPr>
        <w:t xml:space="preserve"> </w:t>
      </w:r>
      <w:r>
        <w:t>the</w:t>
      </w:r>
      <w:r>
        <w:rPr>
          <w:spacing w:val="7"/>
        </w:rPr>
        <w:t xml:space="preserve"> </w:t>
      </w:r>
      <w:r>
        <w:rPr>
          <w:spacing w:val="-1"/>
        </w:rPr>
        <w:t>Estimated</w:t>
      </w:r>
      <w:r>
        <w:rPr>
          <w:spacing w:val="7"/>
        </w:rPr>
        <w:t xml:space="preserve"> </w:t>
      </w:r>
      <w:r>
        <w:rPr>
          <w:spacing w:val="-1"/>
        </w:rPr>
        <w:t>Year</w:t>
      </w:r>
      <w:r>
        <w:rPr>
          <w:spacing w:val="38"/>
        </w:rPr>
        <w:t xml:space="preserve"> </w:t>
      </w:r>
      <w:r>
        <w:t xml:space="preserve">1 </w:t>
      </w:r>
      <w:r>
        <w:rPr>
          <w:spacing w:val="-2"/>
        </w:rPr>
        <w:t>Call</w:t>
      </w:r>
      <w:r>
        <w:t xml:space="preserve"> </w:t>
      </w:r>
      <w:r>
        <w:rPr>
          <w:spacing w:val="-1"/>
        </w:rPr>
        <w:t>Off</w:t>
      </w:r>
      <w:r>
        <w:rPr>
          <w:spacing w:val="2"/>
        </w:rPr>
        <w:t xml:space="preserve"> </w:t>
      </w:r>
      <w:r>
        <w:rPr>
          <w:spacing w:val="-2"/>
        </w:rPr>
        <w:t>Contract</w:t>
      </w:r>
      <w:r>
        <w:t xml:space="preserve"> </w:t>
      </w:r>
      <w:r>
        <w:rPr>
          <w:spacing w:val="-1"/>
        </w:rPr>
        <w:t>Charges;</w:t>
      </w:r>
      <w:r>
        <w:rPr>
          <w:spacing w:val="2"/>
        </w:rPr>
        <w:t xml:space="preserve"> </w:t>
      </w:r>
      <w:r>
        <w:rPr>
          <w:spacing w:val="-1"/>
        </w:rPr>
        <w:t>and</w:t>
      </w:r>
    </w:p>
    <w:p w:rsidR="008918FA" w:rsidRDefault="008918FA" w:rsidP="008918FA">
      <w:pPr>
        <w:pStyle w:val="BodyText"/>
        <w:numPr>
          <w:ilvl w:val="0"/>
          <w:numId w:val="23"/>
        </w:numPr>
        <w:tabs>
          <w:tab w:val="left" w:pos="2735"/>
        </w:tabs>
        <w:ind w:right="113"/>
        <w:jc w:val="both"/>
      </w:pPr>
      <w:r>
        <w:rPr>
          <w:spacing w:val="-1"/>
        </w:rPr>
        <w:t>during</w:t>
      </w:r>
      <w:r>
        <w:rPr>
          <w:spacing w:val="10"/>
        </w:rPr>
        <w:t xml:space="preserve"> </w:t>
      </w:r>
      <w:r>
        <w:t>the</w:t>
      </w:r>
      <w:r>
        <w:rPr>
          <w:spacing w:val="10"/>
        </w:rPr>
        <w:t xml:space="preserve"> </w:t>
      </w:r>
      <w:r>
        <w:rPr>
          <w:spacing w:val="-1"/>
        </w:rPr>
        <w:t>remainder</w:t>
      </w:r>
      <w:r>
        <w:rPr>
          <w:spacing w:val="11"/>
        </w:rPr>
        <w:t xml:space="preserve"> </w:t>
      </w:r>
      <w:r>
        <w:rPr>
          <w:spacing w:val="-2"/>
        </w:rPr>
        <w:t>of</w:t>
      </w:r>
      <w:r>
        <w:rPr>
          <w:spacing w:val="14"/>
        </w:rPr>
        <w:t xml:space="preserve"> </w:t>
      </w:r>
      <w:r>
        <w:rPr>
          <w:spacing w:val="-1"/>
        </w:rPr>
        <w:t>the</w:t>
      </w:r>
      <w:r>
        <w:rPr>
          <w:spacing w:val="10"/>
        </w:rPr>
        <w:t xml:space="preserve"> </w:t>
      </w:r>
      <w:r>
        <w:rPr>
          <w:spacing w:val="-2"/>
        </w:rPr>
        <w:t>Call</w:t>
      </w:r>
      <w:r>
        <w:rPr>
          <w:spacing w:val="9"/>
        </w:rPr>
        <w:t xml:space="preserve"> </w:t>
      </w:r>
      <w:r>
        <w:t>Off</w:t>
      </w:r>
      <w:r>
        <w:rPr>
          <w:spacing w:val="14"/>
        </w:rPr>
        <w:t xml:space="preserve"> </w:t>
      </w:r>
      <w:r>
        <w:rPr>
          <w:spacing w:val="-2"/>
        </w:rPr>
        <w:t>Contract</w:t>
      </w:r>
      <w:r>
        <w:rPr>
          <w:spacing w:val="11"/>
        </w:rPr>
        <w:t xml:space="preserve"> </w:t>
      </w:r>
      <w:r>
        <w:rPr>
          <w:spacing w:val="-2"/>
        </w:rPr>
        <w:t>Period,</w:t>
      </w:r>
      <w:r>
        <w:rPr>
          <w:spacing w:val="11"/>
        </w:rPr>
        <w:t xml:space="preserve"> </w:t>
      </w:r>
      <w:r>
        <w:rPr>
          <w:b/>
          <w:spacing w:val="-1"/>
          <w:highlight w:val="yellow"/>
        </w:rPr>
        <w:t>[xxx]</w:t>
      </w:r>
      <w:r>
        <w:rPr>
          <w:spacing w:val="-1"/>
        </w:rPr>
        <w:t>%</w:t>
      </w:r>
      <w:r>
        <w:rPr>
          <w:spacing w:val="11"/>
        </w:rPr>
        <w:t xml:space="preserve"> </w:t>
      </w:r>
      <w:r>
        <w:rPr>
          <w:spacing w:val="-3"/>
        </w:rPr>
        <w:t>of</w:t>
      </w:r>
      <w:r>
        <w:rPr>
          <w:spacing w:val="44"/>
        </w:rPr>
        <w:t xml:space="preserve"> </w:t>
      </w:r>
      <w:r>
        <w:t>the</w:t>
      </w:r>
      <w:r>
        <w:rPr>
          <w:spacing w:val="31"/>
        </w:rPr>
        <w:t xml:space="preserve"> </w:t>
      </w:r>
      <w:r>
        <w:rPr>
          <w:spacing w:val="-2"/>
        </w:rPr>
        <w:t>Call</w:t>
      </w:r>
      <w:r>
        <w:rPr>
          <w:spacing w:val="31"/>
        </w:rPr>
        <w:t xml:space="preserve"> </w:t>
      </w:r>
      <w:r>
        <w:t>Off</w:t>
      </w:r>
      <w:r>
        <w:rPr>
          <w:spacing w:val="35"/>
        </w:rPr>
        <w:t xml:space="preserve"> </w:t>
      </w:r>
      <w:r>
        <w:rPr>
          <w:spacing w:val="-2"/>
        </w:rPr>
        <w:t>Contract</w:t>
      </w:r>
      <w:r>
        <w:rPr>
          <w:spacing w:val="4"/>
        </w:rPr>
        <w:t xml:space="preserve"> </w:t>
      </w:r>
      <w:r>
        <w:rPr>
          <w:spacing w:val="-1"/>
        </w:rPr>
        <w:t>Charges</w:t>
      </w:r>
      <w:r>
        <w:rPr>
          <w:spacing w:val="32"/>
        </w:rPr>
        <w:t xml:space="preserve"> </w:t>
      </w:r>
      <w:r>
        <w:rPr>
          <w:spacing w:val="-2"/>
        </w:rPr>
        <w:t>payable</w:t>
      </w:r>
      <w:r>
        <w:rPr>
          <w:spacing w:val="31"/>
        </w:rPr>
        <w:t xml:space="preserve"> </w:t>
      </w:r>
      <w:r>
        <w:t>to</w:t>
      </w:r>
      <w:r>
        <w:rPr>
          <w:spacing w:val="31"/>
        </w:rPr>
        <w:t xml:space="preserve"> </w:t>
      </w:r>
      <w:r>
        <w:t>the</w:t>
      </w:r>
      <w:r>
        <w:rPr>
          <w:spacing w:val="35"/>
        </w:rPr>
        <w:t xml:space="preserve"> </w:t>
      </w:r>
      <w:r>
        <w:rPr>
          <w:spacing w:val="-2"/>
        </w:rPr>
        <w:t>Supplier</w:t>
      </w:r>
      <w:r>
        <w:rPr>
          <w:spacing w:val="33"/>
        </w:rPr>
        <w:t xml:space="preserve"> </w:t>
      </w:r>
      <w:r>
        <w:rPr>
          <w:spacing w:val="-1"/>
        </w:rPr>
        <w:t>under</w:t>
      </w:r>
      <w:r>
        <w:rPr>
          <w:spacing w:val="54"/>
        </w:rPr>
        <w:t xml:space="preserve"> </w:t>
      </w:r>
      <w:r>
        <w:rPr>
          <w:spacing w:val="-1"/>
        </w:rPr>
        <w:t>this</w:t>
      </w:r>
      <w:r>
        <w:rPr>
          <w:spacing w:val="34"/>
        </w:rPr>
        <w:t xml:space="preserve"> </w:t>
      </w:r>
      <w:r>
        <w:rPr>
          <w:spacing w:val="-2"/>
        </w:rPr>
        <w:t>Call</w:t>
      </w:r>
      <w:r>
        <w:rPr>
          <w:spacing w:val="33"/>
        </w:rPr>
        <w:t xml:space="preserve"> </w:t>
      </w:r>
      <w:r>
        <w:rPr>
          <w:spacing w:val="-1"/>
        </w:rPr>
        <w:t>Off</w:t>
      </w:r>
      <w:r>
        <w:rPr>
          <w:spacing w:val="35"/>
        </w:rPr>
        <w:t xml:space="preserve"> </w:t>
      </w:r>
      <w:r>
        <w:rPr>
          <w:spacing w:val="-1"/>
        </w:rPr>
        <w:t>Contract</w:t>
      </w:r>
      <w:r>
        <w:rPr>
          <w:spacing w:val="36"/>
        </w:rPr>
        <w:t xml:space="preserve"> </w:t>
      </w:r>
      <w:r>
        <w:rPr>
          <w:spacing w:val="-1"/>
        </w:rPr>
        <w:t>in</w:t>
      </w:r>
      <w:r>
        <w:rPr>
          <w:spacing w:val="31"/>
        </w:rPr>
        <w:t xml:space="preserve"> </w:t>
      </w:r>
      <w:r>
        <w:t>the</w:t>
      </w:r>
      <w:r>
        <w:rPr>
          <w:spacing w:val="34"/>
        </w:rPr>
        <w:t xml:space="preserve"> </w:t>
      </w:r>
      <w:r>
        <w:rPr>
          <w:spacing w:val="-1"/>
        </w:rPr>
        <w:t>period</w:t>
      </w:r>
      <w:r>
        <w:rPr>
          <w:spacing w:val="35"/>
        </w:rPr>
        <w:t xml:space="preserve"> </w:t>
      </w:r>
      <w:r>
        <w:rPr>
          <w:spacing w:val="-2"/>
        </w:rPr>
        <w:t>of</w:t>
      </w:r>
      <w:r>
        <w:rPr>
          <w:spacing w:val="35"/>
        </w:rPr>
        <w:t xml:space="preserve"> </w:t>
      </w:r>
      <w:r>
        <w:rPr>
          <w:spacing w:val="-1"/>
        </w:rPr>
        <w:t>12</w:t>
      </w:r>
      <w:r>
        <w:rPr>
          <w:spacing w:val="34"/>
        </w:rPr>
        <w:t xml:space="preserve"> </w:t>
      </w:r>
      <w:r>
        <w:rPr>
          <w:spacing w:val="-1"/>
        </w:rPr>
        <w:t>Months</w:t>
      </w:r>
      <w:r>
        <w:rPr>
          <w:spacing w:val="34"/>
        </w:rPr>
        <w:t xml:space="preserve"> </w:t>
      </w:r>
      <w:r>
        <w:rPr>
          <w:spacing w:val="-1"/>
        </w:rPr>
        <w:t>immediately</w:t>
      </w:r>
      <w:r>
        <w:rPr>
          <w:spacing w:val="27"/>
        </w:rPr>
        <w:t xml:space="preserve"> </w:t>
      </w:r>
      <w:r>
        <w:rPr>
          <w:spacing w:val="-1"/>
        </w:rPr>
        <w:t>preceding</w:t>
      </w:r>
      <w:r>
        <w:rPr>
          <w:spacing w:val="43"/>
        </w:rPr>
        <w:t xml:space="preserve"> </w:t>
      </w:r>
      <w:r>
        <w:t>the</w:t>
      </w:r>
      <w:r>
        <w:rPr>
          <w:spacing w:val="43"/>
        </w:rPr>
        <w:t xml:space="preserve"> </w:t>
      </w:r>
      <w:r>
        <w:rPr>
          <w:spacing w:val="-1"/>
        </w:rPr>
        <w:t>Month</w:t>
      </w:r>
      <w:r>
        <w:rPr>
          <w:spacing w:val="43"/>
        </w:rPr>
        <w:t xml:space="preserve"> </w:t>
      </w:r>
      <w:r>
        <w:rPr>
          <w:spacing w:val="-1"/>
        </w:rPr>
        <w:t>in</w:t>
      </w:r>
      <w:r>
        <w:rPr>
          <w:spacing w:val="41"/>
        </w:rPr>
        <w:t xml:space="preserve"> </w:t>
      </w:r>
      <w:r>
        <w:rPr>
          <w:spacing w:val="-1"/>
        </w:rPr>
        <w:t>respect</w:t>
      </w:r>
      <w:r>
        <w:rPr>
          <w:spacing w:val="45"/>
        </w:rPr>
        <w:t xml:space="preserve"> </w:t>
      </w:r>
      <w:r>
        <w:rPr>
          <w:spacing w:val="-2"/>
        </w:rPr>
        <w:t>of</w:t>
      </w:r>
      <w:r>
        <w:rPr>
          <w:spacing w:val="45"/>
        </w:rPr>
        <w:t xml:space="preserve"> </w:t>
      </w:r>
      <w:r>
        <w:rPr>
          <w:spacing w:val="-2"/>
        </w:rPr>
        <w:t>which</w:t>
      </w:r>
      <w:r>
        <w:rPr>
          <w:spacing w:val="45"/>
        </w:rPr>
        <w:t xml:space="preserve"> </w:t>
      </w:r>
      <w:r>
        <w:rPr>
          <w:spacing w:val="-1"/>
        </w:rPr>
        <w:t>Service</w:t>
      </w:r>
      <w:r>
        <w:rPr>
          <w:spacing w:val="44"/>
        </w:rPr>
        <w:t xml:space="preserve"> </w:t>
      </w:r>
      <w:r>
        <w:rPr>
          <w:spacing w:val="-1"/>
        </w:rPr>
        <w:t>Credits</w:t>
      </w:r>
      <w:r>
        <w:rPr>
          <w:spacing w:val="44"/>
        </w:rPr>
        <w:t xml:space="preserve"> </w:t>
      </w:r>
      <w:r>
        <w:rPr>
          <w:spacing w:val="-1"/>
        </w:rPr>
        <w:t>are</w:t>
      </w:r>
      <w:r>
        <w:rPr>
          <w:spacing w:val="21"/>
        </w:rPr>
        <w:t xml:space="preserve"> </w:t>
      </w:r>
      <w:r>
        <w:rPr>
          <w:spacing w:val="-1"/>
        </w:rPr>
        <w:t>accrued.</w:t>
      </w:r>
    </w:p>
    <w:p w:rsidR="008918FA" w:rsidRPr="009A0751" w:rsidRDefault="008918FA" w:rsidP="008918FA">
      <w:pPr>
        <w:pStyle w:val="Heading2"/>
        <w:spacing w:before="121" w:line="252" w:lineRule="exact"/>
        <w:rPr>
          <w:b w:val="0"/>
          <w:bCs w:val="0"/>
          <w:i w:val="0"/>
          <w:highlight w:val="green"/>
        </w:rPr>
      </w:pPr>
      <w:r w:rsidRPr="009A0751">
        <w:rPr>
          <w:spacing w:val="-1"/>
          <w:highlight w:val="green"/>
        </w:rPr>
        <w:t>[Guidance</w:t>
      </w:r>
      <w:r w:rsidRPr="009A0751">
        <w:rPr>
          <w:spacing w:val="12"/>
          <w:highlight w:val="green"/>
        </w:rPr>
        <w:t xml:space="preserve"> </w:t>
      </w:r>
      <w:r w:rsidRPr="009A0751">
        <w:rPr>
          <w:spacing w:val="-2"/>
          <w:highlight w:val="green"/>
        </w:rPr>
        <w:t>Note:</w:t>
      </w:r>
      <w:r w:rsidRPr="009A0751">
        <w:rPr>
          <w:spacing w:val="14"/>
          <w:highlight w:val="green"/>
        </w:rPr>
        <w:t xml:space="preserve"> </w:t>
      </w:r>
      <w:r w:rsidRPr="009A0751">
        <w:rPr>
          <w:spacing w:val="-1"/>
          <w:highlight w:val="green"/>
        </w:rPr>
        <w:t>please</w:t>
      </w:r>
      <w:r w:rsidRPr="009A0751">
        <w:rPr>
          <w:spacing w:val="12"/>
          <w:highlight w:val="green"/>
        </w:rPr>
        <w:t xml:space="preserve"> </w:t>
      </w:r>
      <w:r w:rsidRPr="009A0751">
        <w:rPr>
          <w:spacing w:val="-1"/>
          <w:highlight w:val="green"/>
        </w:rPr>
        <w:t>populate</w:t>
      </w:r>
      <w:r w:rsidRPr="009A0751">
        <w:rPr>
          <w:spacing w:val="10"/>
          <w:highlight w:val="green"/>
        </w:rPr>
        <w:t xml:space="preserve"> </w:t>
      </w:r>
      <w:r w:rsidRPr="009A0751">
        <w:rPr>
          <w:spacing w:val="-1"/>
          <w:highlight w:val="green"/>
        </w:rPr>
        <w:t>the</w:t>
      </w:r>
      <w:r w:rsidRPr="009A0751">
        <w:rPr>
          <w:spacing w:val="12"/>
          <w:highlight w:val="green"/>
        </w:rPr>
        <w:t xml:space="preserve"> </w:t>
      </w:r>
      <w:r w:rsidRPr="009A0751">
        <w:rPr>
          <w:spacing w:val="-1"/>
          <w:highlight w:val="green"/>
        </w:rPr>
        <w:t>yellow</w:t>
      </w:r>
      <w:r w:rsidRPr="009A0751">
        <w:rPr>
          <w:spacing w:val="11"/>
          <w:highlight w:val="green"/>
        </w:rPr>
        <w:t xml:space="preserve"> </w:t>
      </w:r>
      <w:r w:rsidRPr="009A0751">
        <w:rPr>
          <w:spacing w:val="-1"/>
          <w:highlight w:val="green"/>
        </w:rPr>
        <w:t>boxes</w:t>
      </w:r>
      <w:r w:rsidRPr="009A0751">
        <w:rPr>
          <w:spacing w:val="12"/>
          <w:highlight w:val="green"/>
        </w:rPr>
        <w:t xml:space="preserve"> </w:t>
      </w:r>
      <w:r w:rsidRPr="009A0751">
        <w:rPr>
          <w:spacing w:val="-1"/>
          <w:highlight w:val="green"/>
        </w:rPr>
        <w:t>above</w:t>
      </w:r>
      <w:r w:rsidRPr="009A0751">
        <w:rPr>
          <w:spacing w:val="12"/>
          <w:highlight w:val="green"/>
        </w:rPr>
        <w:t xml:space="preserve"> </w:t>
      </w:r>
      <w:r w:rsidRPr="009A0751">
        <w:rPr>
          <w:highlight w:val="green"/>
        </w:rPr>
        <w:t>in</w:t>
      </w:r>
      <w:r w:rsidRPr="009A0751">
        <w:rPr>
          <w:spacing w:val="10"/>
          <w:highlight w:val="green"/>
        </w:rPr>
        <w:t xml:space="preserve"> </w:t>
      </w:r>
      <w:r w:rsidRPr="009A0751">
        <w:rPr>
          <w:highlight w:val="green"/>
        </w:rPr>
        <w:t>this</w:t>
      </w:r>
      <w:r w:rsidRPr="009A0751">
        <w:rPr>
          <w:spacing w:val="12"/>
          <w:highlight w:val="green"/>
        </w:rPr>
        <w:t xml:space="preserve"> </w:t>
      </w:r>
      <w:r w:rsidRPr="009A0751">
        <w:rPr>
          <w:spacing w:val="-1"/>
          <w:highlight w:val="green"/>
        </w:rPr>
        <w:t>paragraph</w:t>
      </w:r>
    </w:p>
    <w:p w:rsidR="008918FA" w:rsidRDefault="008918FA" w:rsidP="008918FA">
      <w:pPr>
        <w:ind w:left="1032" w:right="125"/>
        <w:rPr>
          <w:rFonts w:ascii="Arial" w:eastAsia="Arial" w:hAnsi="Arial" w:cs="Arial"/>
        </w:rPr>
      </w:pPr>
      <w:r w:rsidRPr="009A0751">
        <w:rPr>
          <w:rFonts w:ascii="Arial"/>
          <w:b/>
          <w:i/>
          <w:highlight w:val="green"/>
        </w:rPr>
        <w:t xml:space="preserve">7 </w:t>
      </w:r>
      <w:r w:rsidRPr="009A0751">
        <w:rPr>
          <w:rFonts w:ascii="Arial"/>
          <w:b/>
          <w:i/>
          <w:spacing w:val="28"/>
          <w:highlight w:val="green"/>
        </w:rPr>
        <w:t xml:space="preserve"> </w:t>
      </w:r>
      <w:r w:rsidRPr="009A0751">
        <w:rPr>
          <w:rFonts w:ascii="Arial"/>
          <w:b/>
          <w:i/>
          <w:highlight w:val="green"/>
        </w:rPr>
        <w:t xml:space="preserve">with </w:t>
      </w:r>
      <w:r w:rsidRPr="009A0751">
        <w:rPr>
          <w:rFonts w:ascii="Arial"/>
          <w:b/>
          <w:i/>
          <w:spacing w:val="28"/>
          <w:highlight w:val="green"/>
        </w:rPr>
        <w:t xml:space="preserve"> </w:t>
      </w:r>
      <w:r w:rsidRPr="009A0751">
        <w:rPr>
          <w:rFonts w:ascii="Arial"/>
          <w:b/>
          <w:i/>
          <w:spacing w:val="-1"/>
          <w:highlight w:val="green"/>
        </w:rPr>
        <w:t>appropriate</w:t>
      </w:r>
      <w:r w:rsidRPr="009A0751">
        <w:rPr>
          <w:rFonts w:ascii="Arial"/>
          <w:b/>
          <w:i/>
          <w:highlight w:val="green"/>
        </w:rPr>
        <w:t xml:space="preserve"> </w:t>
      </w:r>
      <w:r w:rsidRPr="009A0751">
        <w:rPr>
          <w:rFonts w:ascii="Arial"/>
          <w:b/>
          <w:i/>
          <w:spacing w:val="28"/>
          <w:highlight w:val="green"/>
        </w:rPr>
        <w:t xml:space="preserve"> </w:t>
      </w:r>
      <w:r w:rsidRPr="009A0751">
        <w:rPr>
          <w:rFonts w:ascii="Arial"/>
          <w:b/>
          <w:i/>
          <w:spacing w:val="-1"/>
          <w:highlight w:val="green"/>
        </w:rPr>
        <w:t>percentages.</w:t>
      </w:r>
      <w:r w:rsidRPr="009A0751">
        <w:rPr>
          <w:rFonts w:ascii="Arial"/>
          <w:b/>
          <w:i/>
          <w:highlight w:val="green"/>
        </w:rPr>
        <w:t xml:space="preserve"> </w:t>
      </w:r>
      <w:r w:rsidRPr="009A0751">
        <w:rPr>
          <w:rFonts w:ascii="Arial"/>
          <w:b/>
          <w:i/>
          <w:spacing w:val="30"/>
          <w:highlight w:val="green"/>
        </w:rPr>
        <w:t xml:space="preserve"> </w:t>
      </w:r>
      <w:r w:rsidRPr="009A0751">
        <w:rPr>
          <w:rFonts w:ascii="Arial"/>
          <w:b/>
          <w:i/>
          <w:spacing w:val="-1"/>
          <w:highlight w:val="green"/>
        </w:rPr>
        <w:t>Please</w:t>
      </w:r>
      <w:r w:rsidRPr="009A0751">
        <w:rPr>
          <w:rFonts w:ascii="Arial"/>
          <w:b/>
          <w:i/>
          <w:highlight w:val="green"/>
        </w:rPr>
        <w:t xml:space="preserve"> </w:t>
      </w:r>
      <w:r w:rsidRPr="009A0751">
        <w:rPr>
          <w:rFonts w:ascii="Arial"/>
          <w:b/>
          <w:i/>
          <w:spacing w:val="28"/>
          <w:highlight w:val="green"/>
        </w:rPr>
        <w:t xml:space="preserve"> </w:t>
      </w:r>
      <w:r w:rsidRPr="009A0751">
        <w:rPr>
          <w:rFonts w:ascii="Arial"/>
          <w:b/>
          <w:i/>
          <w:spacing w:val="-1"/>
          <w:highlight w:val="green"/>
        </w:rPr>
        <w:t>refer</w:t>
      </w:r>
      <w:r w:rsidRPr="009A0751">
        <w:rPr>
          <w:rFonts w:ascii="Arial"/>
          <w:b/>
          <w:i/>
          <w:highlight w:val="green"/>
        </w:rPr>
        <w:t xml:space="preserve"> </w:t>
      </w:r>
      <w:r w:rsidRPr="009A0751">
        <w:rPr>
          <w:rFonts w:ascii="Arial"/>
          <w:b/>
          <w:i/>
          <w:spacing w:val="29"/>
          <w:highlight w:val="green"/>
        </w:rPr>
        <w:t xml:space="preserve"> </w:t>
      </w:r>
      <w:r w:rsidRPr="009A0751">
        <w:rPr>
          <w:rFonts w:ascii="Arial"/>
          <w:b/>
          <w:i/>
          <w:highlight w:val="green"/>
        </w:rPr>
        <w:t xml:space="preserve">to </w:t>
      </w:r>
      <w:r w:rsidRPr="009A0751">
        <w:rPr>
          <w:rFonts w:ascii="Arial"/>
          <w:b/>
          <w:i/>
          <w:spacing w:val="28"/>
          <w:highlight w:val="green"/>
        </w:rPr>
        <w:t xml:space="preserve"> </w:t>
      </w:r>
      <w:r w:rsidRPr="009A0751">
        <w:rPr>
          <w:rFonts w:ascii="Arial"/>
          <w:b/>
          <w:i/>
          <w:spacing w:val="-1"/>
          <w:highlight w:val="green"/>
        </w:rPr>
        <w:t>Clause</w:t>
      </w:r>
      <w:r w:rsidRPr="009A0751">
        <w:rPr>
          <w:rFonts w:ascii="Arial"/>
          <w:b/>
          <w:i/>
          <w:highlight w:val="green"/>
        </w:rPr>
        <w:t xml:space="preserve"> </w:t>
      </w:r>
      <w:r w:rsidRPr="009A0751">
        <w:rPr>
          <w:rFonts w:ascii="Arial"/>
          <w:b/>
          <w:i/>
          <w:spacing w:val="28"/>
          <w:highlight w:val="green"/>
        </w:rPr>
        <w:t xml:space="preserve"> </w:t>
      </w:r>
      <w:hyperlink w:anchor="_bookmark96" w:history="1">
        <w:r w:rsidRPr="009A0751">
          <w:rPr>
            <w:rFonts w:ascii="Arial"/>
            <w:b/>
            <w:i/>
            <w:spacing w:val="-1"/>
            <w:highlight w:val="green"/>
          </w:rPr>
          <w:t>13.5.1</w:t>
        </w:r>
      </w:hyperlink>
      <w:r w:rsidRPr="009A0751">
        <w:rPr>
          <w:rFonts w:ascii="Arial"/>
          <w:b/>
          <w:i/>
          <w:highlight w:val="green"/>
        </w:rPr>
        <w:t xml:space="preserve"> </w:t>
      </w:r>
      <w:r w:rsidRPr="009A0751">
        <w:rPr>
          <w:rFonts w:ascii="Arial"/>
          <w:b/>
          <w:i/>
          <w:spacing w:val="28"/>
          <w:highlight w:val="green"/>
        </w:rPr>
        <w:t xml:space="preserve"> </w:t>
      </w:r>
      <w:r w:rsidRPr="009A0751">
        <w:rPr>
          <w:rFonts w:ascii="Arial"/>
          <w:b/>
          <w:i/>
          <w:spacing w:val="-1"/>
          <w:highlight w:val="green"/>
        </w:rPr>
        <w:t>of</w:t>
      </w:r>
      <w:r w:rsidRPr="009A0751">
        <w:rPr>
          <w:rFonts w:ascii="Arial"/>
          <w:b/>
          <w:i/>
          <w:highlight w:val="green"/>
        </w:rPr>
        <w:t xml:space="preserve"> </w:t>
      </w:r>
      <w:r w:rsidRPr="009A0751">
        <w:rPr>
          <w:rFonts w:ascii="Arial"/>
          <w:b/>
          <w:i/>
          <w:spacing w:val="29"/>
          <w:highlight w:val="green"/>
        </w:rPr>
        <w:t xml:space="preserve"> </w:t>
      </w:r>
      <w:r w:rsidRPr="009A0751">
        <w:rPr>
          <w:rFonts w:ascii="Arial"/>
          <w:b/>
          <w:i/>
          <w:spacing w:val="-1"/>
          <w:highlight w:val="green"/>
        </w:rPr>
        <w:t>the</w:t>
      </w:r>
      <w:r w:rsidRPr="009A0751">
        <w:rPr>
          <w:rFonts w:ascii="Arial"/>
          <w:b/>
          <w:i/>
          <w:spacing w:val="36"/>
          <w:highlight w:val="green"/>
        </w:rPr>
        <w:t xml:space="preserve"> </w:t>
      </w:r>
      <w:r w:rsidRPr="009A0751">
        <w:rPr>
          <w:rFonts w:ascii="Arial"/>
          <w:b/>
          <w:i/>
          <w:spacing w:val="-1"/>
          <w:highlight w:val="green"/>
        </w:rPr>
        <w:t>Template</w:t>
      </w:r>
      <w:r w:rsidRPr="009A0751">
        <w:rPr>
          <w:rFonts w:ascii="Arial"/>
          <w:b/>
          <w:i/>
          <w:highlight w:val="green"/>
        </w:rPr>
        <w:t xml:space="preserve"> </w:t>
      </w:r>
      <w:r w:rsidRPr="009A0751">
        <w:rPr>
          <w:rFonts w:ascii="Arial"/>
          <w:b/>
          <w:i/>
          <w:spacing w:val="-2"/>
          <w:highlight w:val="green"/>
        </w:rPr>
        <w:t>Call</w:t>
      </w:r>
      <w:r w:rsidRPr="009A0751">
        <w:rPr>
          <w:rFonts w:ascii="Arial"/>
          <w:b/>
          <w:i/>
          <w:highlight w:val="green"/>
        </w:rPr>
        <w:t xml:space="preserve"> </w:t>
      </w:r>
      <w:r w:rsidRPr="009A0751">
        <w:rPr>
          <w:rFonts w:ascii="Arial"/>
          <w:b/>
          <w:i/>
          <w:spacing w:val="-1"/>
          <w:highlight w:val="green"/>
        </w:rPr>
        <w:t xml:space="preserve">Off </w:t>
      </w:r>
      <w:r w:rsidRPr="009A0751">
        <w:rPr>
          <w:rFonts w:ascii="Arial"/>
          <w:b/>
          <w:i/>
          <w:spacing w:val="-2"/>
          <w:highlight w:val="green"/>
        </w:rPr>
        <w:t>Terms</w:t>
      </w:r>
      <w:r>
        <w:rPr>
          <w:rFonts w:ascii="Arial"/>
          <w:b/>
          <w:i/>
          <w:spacing w:val="-2"/>
        </w:rPr>
        <w:t>]</w:t>
      </w:r>
    </w:p>
    <w:p w:rsidR="008918FA" w:rsidRDefault="008918FA" w:rsidP="008918FA">
      <w:pPr>
        <w:rPr>
          <w:rFonts w:ascii="Arial" w:eastAsia="Arial" w:hAnsi="Arial" w:cs="Arial"/>
        </w:rPr>
        <w:sectPr w:rsidR="008918FA">
          <w:pgSz w:w="11910" w:h="16840"/>
          <w:pgMar w:top="1480" w:right="1300" w:bottom="1160" w:left="1540" w:header="0" w:footer="967" w:gutter="0"/>
          <w:cols w:space="720"/>
        </w:sectPr>
      </w:pPr>
    </w:p>
    <w:p w:rsidR="008918FA" w:rsidRDefault="008918FA" w:rsidP="008918FA">
      <w:pPr>
        <w:spacing w:before="57"/>
        <w:ind w:left="562"/>
        <w:rPr>
          <w:rFonts w:ascii="Arial" w:eastAsia="Arial" w:hAnsi="Arial" w:cs="Arial"/>
        </w:rPr>
      </w:pPr>
      <w:bookmarkStart w:id="386" w:name="ANNEX_1_TO_PART_A:_SERVICE_LEVELS_AND_SE"/>
      <w:bookmarkStart w:id="387" w:name="_bookmark314"/>
      <w:bookmarkEnd w:id="386"/>
      <w:bookmarkEnd w:id="387"/>
      <w:r>
        <w:rPr>
          <w:rFonts w:ascii="Arial"/>
          <w:b/>
          <w:spacing w:val="-1"/>
        </w:rPr>
        <w:t>ANNEX</w:t>
      </w:r>
      <w:r>
        <w:rPr>
          <w:rFonts w:ascii="Arial"/>
          <w:b/>
        </w:rPr>
        <w:t xml:space="preserve"> 1 </w:t>
      </w:r>
      <w:r>
        <w:rPr>
          <w:rFonts w:ascii="Arial"/>
          <w:b/>
          <w:spacing w:val="-2"/>
        </w:rPr>
        <w:t>TO</w:t>
      </w:r>
      <w:r>
        <w:rPr>
          <w:rFonts w:ascii="Arial"/>
          <w:b/>
          <w:spacing w:val="2"/>
        </w:rPr>
        <w:t xml:space="preserve"> </w:t>
      </w:r>
      <w:r>
        <w:rPr>
          <w:rFonts w:ascii="Arial"/>
          <w:b/>
          <w:spacing w:val="-1"/>
        </w:rPr>
        <w:t>PART</w:t>
      </w:r>
      <w:r>
        <w:rPr>
          <w:rFonts w:ascii="Arial"/>
          <w:b/>
          <w:spacing w:val="3"/>
        </w:rPr>
        <w:t xml:space="preserve"> </w:t>
      </w:r>
      <w:r>
        <w:rPr>
          <w:rFonts w:ascii="Arial"/>
          <w:b/>
          <w:spacing w:val="-5"/>
        </w:rPr>
        <w:t>A:</w:t>
      </w:r>
      <w:r>
        <w:rPr>
          <w:rFonts w:ascii="Arial"/>
          <w:b/>
          <w:spacing w:val="4"/>
        </w:rPr>
        <w:t xml:space="preserve"> </w:t>
      </w:r>
      <w:r>
        <w:rPr>
          <w:rFonts w:ascii="Arial"/>
          <w:b/>
          <w:spacing w:val="-1"/>
        </w:rPr>
        <w:t>SERVICE</w:t>
      </w:r>
      <w:r>
        <w:rPr>
          <w:rFonts w:ascii="Arial"/>
          <w:b/>
        </w:rPr>
        <w:t xml:space="preserve"> </w:t>
      </w:r>
      <w:r>
        <w:rPr>
          <w:rFonts w:ascii="Arial"/>
          <w:b/>
          <w:spacing w:val="-1"/>
        </w:rPr>
        <w:t>LEVELS</w:t>
      </w:r>
      <w:r>
        <w:rPr>
          <w:rFonts w:ascii="Arial"/>
          <w:b/>
          <w:spacing w:val="2"/>
        </w:rPr>
        <w:t xml:space="preserve"> </w:t>
      </w:r>
      <w:r>
        <w:rPr>
          <w:rFonts w:ascii="Arial"/>
          <w:b/>
          <w:spacing w:val="-2"/>
        </w:rPr>
        <w:t>AND</w:t>
      </w:r>
      <w:r>
        <w:rPr>
          <w:rFonts w:ascii="Arial"/>
          <w:b/>
          <w:spacing w:val="2"/>
        </w:rPr>
        <w:t xml:space="preserve"> </w:t>
      </w:r>
      <w:r>
        <w:rPr>
          <w:rFonts w:ascii="Arial"/>
          <w:b/>
          <w:spacing w:val="-1"/>
        </w:rPr>
        <w:t>SERVICE</w:t>
      </w:r>
      <w:r>
        <w:rPr>
          <w:rFonts w:ascii="Arial"/>
          <w:b/>
        </w:rPr>
        <w:t xml:space="preserve"> </w:t>
      </w:r>
      <w:r>
        <w:rPr>
          <w:rFonts w:ascii="Arial"/>
          <w:b/>
          <w:spacing w:val="-2"/>
        </w:rPr>
        <w:t>CREDITS</w:t>
      </w:r>
      <w:r>
        <w:rPr>
          <w:rFonts w:ascii="Arial"/>
          <w:b/>
        </w:rPr>
        <w:t xml:space="preserve"> </w:t>
      </w:r>
      <w:r>
        <w:rPr>
          <w:rFonts w:ascii="Arial"/>
          <w:b/>
          <w:spacing w:val="-1"/>
        </w:rPr>
        <w:t>TABLE</w:t>
      </w:r>
    </w:p>
    <w:p w:rsidR="008918FA" w:rsidRDefault="008918FA" w:rsidP="008918FA">
      <w:pPr>
        <w:spacing w:before="2"/>
        <w:rPr>
          <w:rFonts w:ascii="Arial" w:eastAsia="Arial" w:hAnsi="Arial" w:cs="Arial"/>
          <w:b/>
          <w:bCs/>
          <w:sz w:val="21"/>
          <w:szCs w:val="21"/>
        </w:rPr>
      </w:pPr>
    </w:p>
    <w:tbl>
      <w:tblPr>
        <w:tblW w:w="0" w:type="auto"/>
        <w:tblInd w:w="105" w:type="dxa"/>
        <w:tblLayout w:type="fixed"/>
        <w:tblCellMar>
          <w:left w:w="0" w:type="dxa"/>
          <w:right w:w="0" w:type="dxa"/>
        </w:tblCellMar>
        <w:tblLook w:val="01E0" w:firstRow="1" w:lastRow="1" w:firstColumn="1" w:lastColumn="1" w:noHBand="0" w:noVBand="0"/>
      </w:tblPr>
      <w:tblGrid>
        <w:gridCol w:w="168"/>
        <w:gridCol w:w="648"/>
        <w:gridCol w:w="98"/>
        <w:gridCol w:w="135"/>
        <w:gridCol w:w="110"/>
        <w:gridCol w:w="147"/>
        <w:gridCol w:w="96"/>
        <w:gridCol w:w="240"/>
        <w:gridCol w:w="108"/>
        <w:gridCol w:w="204"/>
        <w:gridCol w:w="684"/>
        <w:gridCol w:w="158"/>
        <w:gridCol w:w="63"/>
        <w:gridCol w:w="62"/>
        <w:gridCol w:w="63"/>
        <w:gridCol w:w="113"/>
        <w:gridCol w:w="108"/>
        <w:gridCol w:w="1051"/>
        <w:gridCol w:w="293"/>
        <w:gridCol w:w="106"/>
        <w:gridCol w:w="204"/>
        <w:gridCol w:w="305"/>
        <w:gridCol w:w="898"/>
        <w:gridCol w:w="204"/>
        <w:gridCol w:w="857"/>
        <w:gridCol w:w="72"/>
        <w:gridCol w:w="1169"/>
        <w:gridCol w:w="108"/>
      </w:tblGrid>
      <w:tr w:rsidR="008918FA" w:rsidTr="005D2B81">
        <w:trPr>
          <w:trHeight w:hRule="exact" w:val="1223"/>
        </w:trPr>
        <w:tc>
          <w:tcPr>
            <w:tcW w:w="6060" w:type="dxa"/>
            <w:gridSpan w:val="23"/>
            <w:tcBorders>
              <w:top w:val="single" w:sz="5" w:space="0" w:color="000000"/>
              <w:left w:val="single" w:sz="5" w:space="0" w:color="000000"/>
              <w:bottom w:val="single" w:sz="5" w:space="0" w:color="000000"/>
              <w:right w:val="single" w:sz="5" w:space="0" w:color="000000"/>
            </w:tcBorders>
            <w:shd w:val="clear" w:color="auto" w:fill="DADADA"/>
          </w:tcPr>
          <w:p w:rsidR="008918FA" w:rsidRDefault="008918FA" w:rsidP="005D2B81">
            <w:pPr>
              <w:pStyle w:val="TableParagraph"/>
              <w:spacing w:line="251" w:lineRule="exact"/>
              <w:ind w:left="129"/>
              <w:jc w:val="center"/>
              <w:rPr>
                <w:rFonts w:ascii="Arial" w:eastAsia="Arial" w:hAnsi="Arial" w:cs="Arial"/>
              </w:rPr>
            </w:pPr>
            <w:r>
              <w:rPr>
                <w:rFonts w:ascii="Arial"/>
                <w:spacing w:val="-2"/>
              </w:rPr>
              <w:t>Service</w:t>
            </w:r>
            <w:r>
              <w:rPr>
                <w:rFonts w:ascii="Arial"/>
                <w:spacing w:val="1"/>
              </w:rPr>
              <w:t xml:space="preserve"> </w:t>
            </w:r>
            <w:r>
              <w:rPr>
                <w:rFonts w:ascii="Arial"/>
                <w:spacing w:val="-2"/>
              </w:rPr>
              <w:t>Levels</w:t>
            </w:r>
          </w:p>
        </w:tc>
        <w:tc>
          <w:tcPr>
            <w:tcW w:w="2410" w:type="dxa"/>
            <w:gridSpan w:val="5"/>
            <w:vMerge w:val="restart"/>
            <w:tcBorders>
              <w:top w:val="single" w:sz="5" w:space="0" w:color="000000"/>
              <w:left w:val="single" w:sz="5" w:space="0" w:color="000000"/>
              <w:right w:val="single" w:sz="5" w:space="0" w:color="000000"/>
            </w:tcBorders>
            <w:shd w:val="clear" w:color="auto" w:fill="DADADA"/>
          </w:tcPr>
          <w:p w:rsidR="008918FA" w:rsidRDefault="008918FA" w:rsidP="005D2B81">
            <w:pPr>
              <w:pStyle w:val="TableParagraph"/>
              <w:rPr>
                <w:rFonts w:ascii="Arial" w:eastAsia="Arial" w:hAnsi="Arial" w:cs="Arial"/>
                <w:b/>
                <w:bCs/>
              </w:rPr>
            </w:pPr>
          </w:p>
          <w:p w:rsidR="008918FA" w:rsidRDefault="008918FA" w:rsidP="005D2B81">
            <w:pPr>
              <w:pStyle w:val="TableParagraph"/>
              <w:spacing w:before="9"/>
              <w:rPr>
                <w:rFonts w:ascii="Arial" w:eastAsia="Arial" w:hAnsi="Arial" w:cs="Arial"/>
                <w:b/>
                <w:bCs/>
                <w:sz w:val="29"/>
                <w:szCs w:val="29"/>
              </w:rPr>
            </w:pPr>
          </w:p>
          <w:p w:rsidR="008918FA" w:rsidRDefault="008918FA" w:rsidP="005D2B81">
            <w:pPr>
              <w:pStyle w:val="TableParagraph"/>
              <w:tabs>
                <w:tab w:val="left" w:pos="1191"/>
                <w:tab w:val="left" w:pos="2038"/>
              </w:tabs>
              <w:ind w:left="198" w:right="101"/>
              <w:rPr>
                <w:rFonts w:ascii="Arial" w:eastAsia="Arial" w:hAnsi="Arial" w:cs="Arial"/>
              </w:rPr>
            </w:pPr>
            <w:r>
              <w:rPr>
                <w:rFonts w:ascii="Arial"/>
                <w:spacing w:val="-2"/>
              </w:rPr>
              <w:t>Service</w:t>
            </w:r>
            <w:r>
              <w:rPr>
                <w:rFonts w:ascii="Arial"/>
                <w:spacing w:val="-2"/>
              </w:rPr>
              <w:tab/>
            </w:r>
            <w:r>
              <w:rPr>
                <w:rFonts w:ascii="Arial"/>
                <w:spacing w:val="-1"/>
              </w:rPr>
              <w:t>Credit</w:t>
            </w:r>
            <w:r>
              <w:rPr>
                <w:rFonts w:ascii="Arial"/>
                <w:spacing w:val="-1"/>
              </w:rPr>
              <w:tab/>
              <w:t>for</w:t>
            </w:r>
            <w:r>
              <w:rPr>
                <w:rFonts w:ascii="Arial"/>
                <w:spacing w:val="24"/>
              </w:rPr>
              <w:t xml:space="preserve"> </w:t>
            </w:r>
            <w:r>
              <w:rPr>
                <w:rFonts w:ascii="Arial"/>
                <w:spacing w:val="-1"/>
              </w:rPr>
              <w:t>each</w:t>
            </w:r>
            <w:r>
              <w:rPr>
                <w:rFonts w:ascii="Arial"/>
                <w:spacing w:val="1"/>
              </w:rPr>
              <w:t xml:space="preserve"> </w:t>
            </w:r>
            <w:r>
              <w:rPr>
                <w:rFonts w:ascii="Arial"/>
                <w:spacing w:val="-2"/>
              </w:rPr>
              <w:t>Service</w:t>
            </w:r>
            <w:r>
              <w:rPr>
                <w:rFonts w:ascii="Arial"/>
                <w:spacing w:val="1"/>
              </w:rPr>
              <w:t xml:space="preserve"> </w:t>
            </w:r>
            <w:r>
              <w:rPr>
                <w:rFonts w:ascii="Arial"/>
                <w:spacing w:val="-1"/>
              </w:rPr>
              <w:t>Period</w:t>
            </w:r>
          </w:p>
        </w:tc>
      </w:tr>
      <w:tr w:rsidR="008918FA" w:rsidTr="005D2B81">
        <w:trPr>
          <w:trHeight w:hRule="exact" w:val="1224"/>
        </w:trPr>
        <w:tc>
          <w:tcPr>
            <w:tcW w:w="1750" w:type="dxa"/>
            <w:gridSpan w:val="9"/>
            <w:tcBorders>
              <w:top w:val="single" w:sz="5" w:space="0" w:color="000000"/>
              <w:left w:val="single" w:sz="5" w:space="0" w:color="000000"/>
              <w:bottom w:val="single" w:sz="5" w:space="0" w:color="000000"/>
              <w:right w:val="single" w:sz="5" w:space="0" w:color="000000"/>
            </w:tcBorders>
            <w:shd w:val="clear" w:color="auto" w:fill="DADADA"/>
          </w:tcPr>
          <w:p w:rsidR="008918FA" w:rsidRDefault="008918FA" w:rsidP="005D2B81">
            <w:pPr>
              <w:pStyle w:val="TableParagraph"/>
              <w:spacing w:before="104"/>
              <w:ind w:left="162" w:right="138"/>
              <w:rPr>
                <w:rFonts w:ascii="Arial" w:eastAsia="Arial" w:hAnsi="Arial" w:cs="Arial"/>
              </w:rPr>
            </w:pPr>
            <w:r>
              <w:rPr>
                <w:rFonts w:ascii="Arial"/>
                <w:spacing w:val="-2"/>
              </w:rPr>
              <w:t>Service</w:t>
            </w:r>
            <w:r>
              <w:rPr>
                <w:rFonts w:ascii="Arial"/>
              </w:rPr>
              <w:t xml:space="preserve"> </w:t>
            </w:r>
            <w:r>
              <w:rPr>
                <w:rFonts w:ascii="Arial"/>
                <w:spacing w:val="55"/>
              </w:rPr>
              <w:t xml:space="preserve"> </w:t>
            </w:r>
            <w:r>
              <w:rPr>
                <w:rFonts w:ascii="Arial"/>
                <w:spacing w:val="-1"/>
              </w:rPr>
              <w:t>Level</w:t>
            </w:r>
            <w:r>
              <w:rPr>
                <w:rFonts w:ascii="Arial"/>
                <w:spacing w:val="29"/>
              </w:rPr>
              <w:t xml:space="preserve"> </w:t>
            </w:r>
            <w:r>
              <w:rPr>
                <w:rFonts w:ascii="Arial"/>
                <w:spacing w:val="-1"/>
              </w:rPr>
              <w:t>Performance</w:t>
            </w:r>
            <w:r>
              <w:rPr>
                <w:rFonts w:ascii="Arial"/>
                <w:spacing w:val="23"/>
              </w:rPr>
              <w:t xml:space="preserve"> </w:t>
            </w:r>
            <w:r>
              <w:rPr>
                <w:rFonts w:ascii="Arial"/>
                <w:spacing w:val="-1"/>
              </w:rPr>
              <w:t>Criterion</w:t>
            </w:r>
          </w:p>
        </w:tc>
        <w:tc>
          <w:tcPr>
            <w:tcW w:w="1346" w:type="dxa"/>
            <w:gridSpan w:val="7"/>
            <w:tcBorders>
              <w:top w:val="single" w:sz="5" w:space="0" w:color="000000"/>
              <w:left w:val="single" w:sz="5" w:space="0" w:color="000000"/>
              <w:bottom w:val="single" w:sz="5" w:space="0" w:color="000000"/>
              <w:right w:val="single" w:sz="5" w:space="0" w:color="000000"/>
            </w:tcBorders>
            <w:shd w:val="clear" w:color="auto" w:fill="DADADA"/>
          </w:tcPr>
          <w:p w:rsidR="008918FA" w:rsidRDefault="008918FA" w:rsidP="005D2B81">
            <w:pPr>
              <w:pStyle w:val="TableParagraph"/>
              <w:spacing w:before="11"/>
              <w:rPr>
                <w:rFonts w:ascii="Arial" w:eastAsia="Arial" w:hAnsi="Arial" w:cs="Arial"/>
                <w:b/>
                <w:bCs/>
                <w:sz w:val="19"/>
                <w:szCs w:val="19"/>
              </w:rPr>
            </w:pPr>
          </w:p>
          <w:p w:rsidR="008918FA" w:rsidRDefault="008918FA" w:rsidP="005D2B81">
            <w:pPr>
              <w:pStyle w:val="TableParagraph"/>
              <w:ind w:left="198" w:right="288"/>
              <w:rPr>
                <w:rFonts w:ascii="Arial" w:eastAsia="Arial" w:hAnsi="Arial" w:cs="Arial"/>
              </w:rPr>
            </w:pPr>
            <w:r>
              <w:rPr>
                <w:rFonts w:ascii="Arial"/>
                <w:spacing w:val="-1"/>
              </w:rPr>
              <w:t>Key</w:t>
            </w:r>
            <w:r>
              <w:rPr>
                <w:rFonts w:ascii="Arial"/>
                <w:spacing w:val="21"/>
              </w:rPr>
              <w:t xml:space="preserve"> </w:t>
            </w:r>
            <w:r>
              <w:rPr>
                <w:rFonts w:ascii="Arial"/>
                <w:spacing w:val="-1"/>
              </w:rPr>
              <w:t>Indicator</w:t>
            </w:r>
          </w:p>
        </w:tc>
        <w:tc>
          <w:tcPr>
            <w:tcW w:w="1558" w:type="dxa"/>
            <w:gridSpan w:val="4"/>
            <w:tcBorders>
              <w:top w:val="single" w:sz="5" w:space="0" w:color="000000"/>
              <w:left w:val="single" w:sz="5" w:space="0" w:color="000000"/>
              <w:bottom w:val="single" w:sz="5" w:space="0" w:color="000000"/>
              <w:right w:val="single" w:sz="5" w:space="0" w:color="000000"/>
            </w:tcBorders>
            <w:shd w:val="clear" w:color="auto" w:fill="DADADA"/>
          </w:tcPr>
          <w:p w:rsidR="008918FA" w:rsidRDefault="008918FA" w:rsidP="005D2B81">
            <w:pPr>
              <w:pStyle w:val="TableParagraph"/>
              <w:spacing w:before="104"/>
              <w:ind w:left="102" w:right="99"/>
              <w:rPr>
                <w:rFonts w:ascii="Arial" w:eastAsia="Arial" w:hAnsi="Arial" w:cs="Arial"/>
              </w:rPr>
            </w:pPr>
            <w:r>
              <w:rPr>
                <w:rFonts w:ascii="Arial"/>
                <w:spacing w:val="-2"/>
              </w:rPr>
              <w:t>Service</w:t>
            </w:r>
            <w:r>
              <w:rPr>
                <w:rFonts w:ascii="Arial"/>
                <w:spacing w:val="22"/>
              </w:rPr>
              <w:t xml:space="preserve"> </w:t>
            </w:r>
            <w:r>
              <w:rPr>
                <w:rFonts w:ascii="Arial"/>
                <w:spacing w:val="-1"/>
              </w:rPr>
              <w:t>Level</w:t>
            </w:r>
            <w:r>
              <w:rPr>
                <w:rFonts w:ascii="Arial"/>
                <w:spacing w:val="29"/>
              </w:rPr>
              <w:t xml:space="preserve"> </w:t>
            </w:r>
            <w:r>
              <w:rPr>
                <w:rFonts w:ascii="Arial"/>
                <w:spacing w:val="-1"/>
              </w:rPr>
              <w:t>Performance</w:t>
            </w:r>
            <w:r>
              <w:rPr>
                <w:rFonts w:ascii="Arial"/>
                <w:spacing w:val="23"/>
              </w:rPr>
              <w:t xml:space="preserve"> </w:t>
            </w:r>
            <w:r>
              <w:rPr>
                <w:rFonts w:ascii="Arial"/>
                <w:spacing w:val="-1"/>
              </w:rPr>
              <w:t>Measure</w:t>
            </w:r>
          </w:p>
        </w:tc>
        <w:tc>
          <w:tcPr>
            <w:tcW w:w="1406" w:type="dxa"/>
            <w:gridSpan w:val="3"/>
            <w:tcBorders>
              <w:top w:val="single" w:sz="5" w:space="0" w:color="000000"/>
              <w:left w:val="single" w:sz="5" w:space="0" w:color="000000"/>
              <w:bottom w:val="single" w:sz="5" w:space="0" w:color="000000"/>
              <w:right w:val="single" w:sz="5" w:space="0" w:color="000000"/>
            </w:tcBorders>
            <w:shd w:val="clear" w:color="auto" w:fill="DADADA"/>
          </w:tcPr>
          <w:p w:rsidR="008918FA" w:rsidRDefault="008918FA" w:rsidP="005D2B81">
            <w:pPr>
              <w:pStyle w:val="TableParagraph"/>
              <w:ind w:left="198" w:right="215"/>
              <w:rPr>
                <w:rFonts w:ascii="Arial" w:eastAsia="Arial" w:hAnsi="Arial" w:cs="Arial"/>
              </w:rPr>
            </w:pPr>
            <w:r>
              <w:rPr>
                <w:rFonts w:ascii="Arial"/>
                <w:spacing w:val="-2"/>
              </w:rPr>
              <w:t>Service</w:t>
            </w:r>
            <w:r>
              <w:rPr>
                <w:rFonts w:ascii="Arial"/>
                <w:spacing w:val="25"/>
              </w:rPr>
              <w:t xml:space="preserve"> </w:t>
            </w:r>
            <w:r>
              <w:rPr>
                <w:rFonts w:ascii="Arial"/>
                <w:spacing w:val="-2"/>
              </w:rPr>
              <w:t>Level</w:t>
            </w:r>
            <w:r>
              <w:rPr>
                <w:rFonts w:ascii="Arial"/>
                <w:spacing w:val="23"/>
              </w:rPr>
              <w:t xml:space="preserve"> </w:t>
            </w:r>
            <w:r>
              <w:rPr>
                <w:rFonts w:ascii="Arial"/>
                <w:spacing w:val="-1"/>
              </w:rPr>
              <w:t>Threshold</w:t>
            </w:r>
          </w:p>
        </w:tc>
        <w:tc>
          <w:tcPr>
            <w:tcW w:w="2410" w:type="dxa"/>
            <w:gridSpan w:val="5"/>
            <w:vMerge/>
            <w:tcBorders>
              <w:left w:val="single" w:sz="5" w:space="0" w:color="000000"/>
              <w:bottom w:val="single" w:sz="5" w:space="0" w:color="000000"/>
              <w:right w:val="single" w:sz="5" w:space="0" w:color="000000"/>
            </w:tcBorders>
            <w:shd w:val="clear" w:color="auto" w:fill="DADADA"/>
          </w:tcPr>
          <w:p w:rsidR="008918FA" w:rsidRDefault="008918FA" w:rsidP="005D2B81"/>
        </w:tc>
      </w:tr>
      <w:tr w:rsidR="008918FA" w:rsidTr="005D2B81">
        <w:trPr>
          <w:trHeight w:hRule="exact" w:val="257"/>
        </w:trPr>
        <w:tc>
          <w:tcPr>
            <w:tcW w:w="168" w:type="dxa"/>
            <w:vMerge w:val="restart"/>
            <w:tcBorders>
              <w:top w:val="single" w:sz="5" w:space="0" w:color="000000"/>
              <w:left w:val="single" w:sz="5" w:space="0" w:color="000000"/>
              <w:right w:val="nil"/>
            </w:tcBorders>
          </w:tcPr>
          <w:p w:rsidR="008918FA" w:rsidRDefault="008918FA" w:rsidP="005D2B81"/>
        </w:tc>
        <w:tc>
          <w:tcPr>
            <w:tcW w:w="1474" w:type="dxa"/>
            <w:gridSpan w:val="7"/>
            <w:vMerge w:val="restart"/>
            <w:tcBorders>
              <w:top w:val="single" w:sz="5" w:space="0" w:color="000000"/>
              <w:left w:val="nil"/>
              <w:right w:val="nil"/>
            </w:tcBorders>
            <w:shd w:val="clear" w:color="auto" w:fill="FFFF00"/>
          </w:tcPr>
          <w:p w:rsidR="008918FA" w:rsidRDefault="008918FA" w:rsidP="005D2B81">
            <w:pPr>
              <w:pStyle w:val="TableParagraph"/>
              <w:tabs>
                <w:tab w:val="left" w:pos="873"/>
              </w:tabs>
              <w:spacing w:line="241" w:lineRule="auto"/>
              <w:ind w:right="34"/>
              <w:rPr>
                <w:rFonts w:ascii="Arial" w:eastAsia="Arial" w:hAnsi="Arial" w:cs="Arial"/>
              </w:rPr>
            </w:pPr>
            <w:r>
              <w:rPr>
                <w:rFonts w:ascii="Arial"/>
                <w:b/>
                <w:spacing w:val="-1"/>
              </w:rPr>
              <w:t>[</w:t>
            </w:r>
            <w:r>
              <w:rPr>
                <w:rFonts w:ascii="Arial"/>
                <w:spacing w:val="-1"/>
              </w:rPr>
              <w:t>Accurate</w:t>
            </w:r>
            <w:r>
              <w:rPr>
                <w:rFonts w:ascii="Arial"/>
              </w:rPr>
              <w:t xml:space="preserve"> </w:t>
            </w:r>
            <w:r>
              <w:rPr>
                <w:rFonts w:ascii="Arial"/>
                <w:spacing w:val="4"/>
              </w:rPr>
              <w:t xml:space="preserve"> </w:t>
            </w:r>
            <w:r>
              <w:rPr>
                <w:rFonts w:ascii="Arial"/>
                <w:spacing w:val="-1"/>
              </w:rPr>
              <w:t>and</w:t>
            </w:r>
            <w:r>
              <w:rPr>
                <w:rFonts w:ascii="Arial"/>
                <w:spacing w:val="24"/>
              </w:rPr>
              <w:t xml:space="preserve"> </w:t>
            </w:r>
            <w:r>
              <w:rPr>
                <w:rFonts w:ascii="Arial"/>
                <w:spacing w:val="-1"/>
              </w:rPr>
              <w:t>timely</w:t>
            </w:r>
            <w:r>
              <w:rPr>
                <w:rFonts w:ascii="Arial"/>
                <w:spacing w:val="-1"/>
              </w:rPr>
              <w:tab/>
            </w:r>
            <w:r>
              <w:rPr>
                <w:rFonts w:ascii="Arial"/>
                <w:spacing w:val="-2"/>
              </w:rPr>
              <w:t>billing</w:t>
            </w:r>
          </w:p>
        </w:tc>
        <w:tc>
          <w:tcPr>
            <w:tcW w:w="108" w:type="dxa"/>
            <w:vMerge w:val="restart"/>
            <w:tcBorders>
              <w:top w:val="single" w:sz="5" w:space="0" w:color="000000"/>
              <w:left w:val="nil"/>
              <w:right w:val="single" w:sz="5" w:space="0" w:color="000000"/>
            </w:tcBorders>
          </w:tcPr>
          <w:p w:rsidR="008918FA" w:rsidRDefault="008918FA" w:rsidP="005D2B81"/>
        </w:tc>
        <w:tc>
          <w:tcPr>
            <w:tcW w:w="204" w:type="dxa"/>
            <w:vMerge w:val="restart"/>
            <w:tcBorders>
              <w:top w:val="single" w:sz="5" w:space="0" w:color="000000"/>
              <w:left w:val="single" w:sz="5" w:space="0" w:color="000000"/>
              <w:right w:val="nil"/>
            </w:tcBorders>
          </w:tcPr>
          <w:p w:rsidR="008918FA" w:rsidRDefault="008918FA" w:rsidP="005D2B81"/>
        </w:tc>
        <w:tc>
          <w:tcPr>
            <w:tcW w:w="905" w:type="dxa"/>
            <w:gridSpan w:val="3"/>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3"/>
              <w:rPr>
                <w:rFonts w:ascii="Arial" w:eastAsia="Arial" w:hAnsi="Arial" w:cs="Arial"/>
              </w:rPr>
            </w:pPr>
            <w:r>
              <w:rPr>
                <w:rFonts w:ascii="Arial"/>
                <w:spacing w:val="-1"/>
              </w:rPr>
              <w:t>Accuracy</w:t>
            </w:r>
          </w:p>
        </w:tc>
        <w:tc>
          <w:tcPr>
            <w:tcW w:w="238" w:type="dxa"/>
            <w:gridSpan w:val="3"/>
            <w:tcBorders>
              <w:top w:val="single" w:sz="5" w:space="0" w:color="000000"/>
              <w:left w:val="nil"/>
              <w:bottom w:val="nil"/>
              <w:right w:val="single" w:sz="5" w:space="0" w:color="000000"/>
            </w:tcBorders>
          </w:tcPr>
          <w:p w:rsidR="008918FA" w:rsidRDefault="008918FA" w:rsidP="005D2B81"/>
        </w:tc>
        <w:tc>
          <w:tcPr>
            <w:tcW w:w="108" w:type="dxa"/>
            <w:vMerge w:val="restart"/>
            <w:tcBorders>
              <w:top w:val="single" w:sz="5" w:space="0" w:color="000000"/>
              <w:left w:val="single" w:sz="5" w:space="0" w:color="000000"/>
              <w:right w:val="nil"/>
            </w:tcBorders>
          </w:tcPr>
          <w:p w:rsidR="008918FA" w:rsidRDefault="008918FA" w:rsidP="005D2B81"/>
        </w:tc>
        <w:tc>
          <w:tcPr>
            <w:tcW w:w="1344" w:type="dxa"/>
            <w:gridSpan w:val="2"/>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spacing w:val="-1"/>
              </w:rPr>
              <w:t>at</w:t>
            </w:r>
            <w:r>
              <w:rPr>
                <w:rFonts w:ascii="Arial"/>
              </w:rPr>
              <w:t xml:space="preserve"> </w:t>
            </w:r>
            <w:r>
              <w:rPr>
                <w:rFonts w:ascii="Arial"/>
                <w:spacing w:val="5"/>
              </w:rPr>
              <w:t xml:space="preserve"> </w:t>
            </w:r>
            <w:r>
              <w:rPr>
                <w:rFonts w:ascii="Arial"/>
                <w:spacing w:val="-1"/>
              </w:rPr>
              <w:t>least</w:t>
            </w:r>
            <w:r>
              <w:rPr>
                <w:rFonts w:ascii="Arial"/>
              </w:rPr>
              <w:t xml:space="preserve"> </w:t>
            </w:r>
            <w:r>
              <w:rPr>
                <w:rFonts w:ascii="Arial"/>
                <w:spacing w:val="6"/>
              </w:rPr>
              <w:t xml:space="preserve"> </w:t>
            </w:r>
            <w:r>
              <w:rPr>
                <w:rFonts w:ascii="Arial"/>
                <w:spacing w:val="-1"/>
              </w:rPr>
              <w:t>98%</w:t>
            </w:r>
          </w:p>
        </w:tc>
        <w:tc>
          <w:tcPr>
            <w:tcW w:w="106" w:type="dxa"/>
            <w:tcBorders>
              <w:top w:val="single" w:sz="5" w:space="0" w:color="000000"/>
              <w:left w:val="nil"/>
              <w:bottom w:val="nil"/>
              <w:right w:val="single" w:sz="5" w:space="0" w:color="000000"/>
            </w:tcBorders>
          </w:tcPr>
          <w:p w:rsidR="008918FA" w:rsidRDefault="008918FA" w:rsidP="005D2B81"/>
        </w:tc>
        <w:tc>
          <w:tcPr>
            <w:tcW w:w="204" w:type="dxa"/>
            <w:tcBorders>
              <w:top w:val="single" w:sz="5" w:space="0" w:color="000000"/>
              <w:left w:val="single" w:sz="5" w:space="0" w:color="000000"/>
              <w:bottom w:val="nil"/>
              <w:right w:val="nil"/>
            </w:tcBorders>
          </w:tcPr>
          <w:p w:rsidR="008918FA" w:rsidRDefault="008918FA" w:rsidP="005D2B81"/>
        </w:tc>
        <w:tc>
          <w:tcPr>
            <w:tcW w:w="305" w:type="dxa"/>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rPr>
              <w:t xml:space="preserve">[ </w:t>
            </w:r>
            <w:r>
              <w:rPr>
                <w:rFonts w:ascii="Arial"/>
                <w:spacing w:val="61"/>
              </w:rPr>
              <w:t xml:space="preserve"> </w:t>
            </w:r>
            <w:r>
              <w:rPr>
                <w:rFonts w:ascii="Arial"/>
              </w:rPr>
              <w:t>]</w:t>
            </w:r>
          </w:p>
        </w:tc>
        <w:tc>
          <w:tcPr>
            <w:tcW w:w="898" w:type="dxa"/>
            <w:tcBorders>
              <w:top w:val="single" w:sz="5" w:space="0" w:color="000000"/>
              <w:left w:val="nil"/>
              <w:bottom w:val="nil"/>
              <w:right w:val="single" w:sz="5" w:space="0" w:color="000000"/>
            </w:tcBorders>
          </w:tcPr>
          <w:p w:rsidR="008918FA" w:rsidRDefault="008918FA" w:rsidP="005D2B81"/>
        </w:tc>
        <w:tc>
          <w:tcPr>
            <w:tcW w:w="204" w:type="dxa"/>
            <w:vMerge w:val="restart"/>
            <w:tcBorders>
              <w:top w:val="single" w:sz="5" w:space="0" w:color="000000"/>
              <w:left w:val="single" w:sz="5" w:space="0" w:color="000000"/>
              <w:right w:val="nil"/>
            </w:tcBorders>
          </w:tcPr>
          <w:p w:rsidR="008918FA" w:rsidRDefault="008918FA" w:rsidP="005D2B81"/>
        </w:tc>
        <w:tc>
          <w:tcPr>
            <w:tcW w:w="2098" w:type="dxa"/>
            <w:gridSpan w:val="3"/>
            <w:vMerge w:val="restart"/>
            <w:tcBorders>
              <w:top w:val="single" w:sz="5" w:space="0" w:color="000000"/>
              <w:left w:val="nil"/>
              <w:right w:val="nil"/>
            </w:tcBorders>
            <w:shd w:val="clear" w:color="auto" w:fill="FFFF00"/>
          </w:tcPr>
          <w:p w:rsidR="008918FA" w:rsidRDefault="008918FA" w:rsidP="005D2B81">
            <w:pPr>
              <w:pStyle w:val="TableParagraph"/>
              <w:spacing w:line="239" w:lineRule="auto"/>
              <w:ind w:right="-2"/>
              <w:jc w:val="both"/>
              <w:rPr>
                <w:rFonts w:ascii="Arial" w:eastAsia="Arial" w:hAnsi="Arial" w:cs="Arial"/>
              </w:rPr>
            </w:pPr>
            <w:r>
              <w:rPr>
                <w:rFonts w:ascii="Arial"/>
                <w:spacing w:val="-1"/>
              </w:rPr>
              <w:t>0.5%</w:t>
            </w:r>
            <w:r>
              <w:rPr>
                <w:rFonts w:ascii="Arial"/>
                <w:spacing w:val="14"/>
              </w:rPr>
              <w:t xml:space="preserve"> </w:t>
            </w:r>
            <w:r>
              <w:rPr>
                <w:rFonts w:ascii="Arial"/>
                <w:spacing w:val="-2"/>
              </w:rPr>
              <w:t>Service</w:t>
            </w:r>
            <w:r>
              <w:rPr>
                <w:rFonts w:ascii="Arial"/>
                <w:spacing w:val="16"/>
              </w:rPr>
              <w:t xml:space="preserve"> </w:t>
            </w:r>
            <w:r>
              <w:rPr>
                <w:rFonts w:ascii="Arial"/>
                <w:spacing w:val="-1"/>
              </w:rPr>
              <w:t>Credit</w:t>
            </w:r>
            <w:r>
              <w:rPr>
                <w:rFonts w:ascii="Arial"/>
                <w:spacing w:val="30"/>
              </w:rPr>
              <w:t xml:space="preserve"> </w:t>
            </w:r>
            <w:r>
              <w:rPr>
                <w:rFonts w:ascii="Arial"/>
                <w:spacing w:val="-1"/>
              </w:rPr>
              <w:t>gained</w:t>
            </w:r>
            <w:r>
              <w:rPr>
                <w:rFonts w:ascii="Arial"/>
                <w:spacing w:val="44"/>
              </w:rPr>
              <w:t xml:space="preserve"> </w:t>
            </w:r>
            <w:r>
              <w:rPr>
                <w:rFonts w:ascii="Arial"/>
              </w:rPr>
              <w:t>for</w:t>
            </w:r>
            <w:r>
              <w:rPr>
                <w:rFonts w:ascii="Arial"/>
                <w:spacing w:val="45"/>
              </w:rPr>
              <w:t xml:space="preserve"> </w:t>
            </w:r>
            <w:r>
              <w:rPr>
                <w:rFonts w:ascii="Arial"/>
                <w:spacing w:val="-1"/>
              </w:rPr>
              <w:t>each</w:t>
            </w:r>
            <w:r>
              <w:rPr>
                <w:rFonts w:ascii="Arial"/>
                <w:spacing w:val="23"/>
              </w:rPr>
              <w:t xml:space="preserve"> </w:t>
            </w:r>
            <w:r>
              <w:rPr>
                <w:rFonts w:ascii="Arial"/>
                <w:spacing w:val="-1"/>
              </w:rPr>
              <w:t>percentage</w:t>
            </w:r>
            <w:r>
              <w:rPr>
                <w:rFonts w:ascii="Arial"/>
                <w:spacing w:val="3"/>
              </w:rPr>
              <w:t xml:space="preserve"> </w:t>
            </w:r>
            <w:r>
              <w:rPr>
                <w:rFonts w:ascii="Arial"/>
                <w:spacing w:val="-2"/>
              </w:rPr>
              <w:t>under</w:t>
            </w:r>
            <w:r>
              <w:rPr>
                <w:rFonts w:ascii="Arial"/>
                <w:spacing w:val="2"/>
              </w:rPr>
              <w:t xml:space="preserve"> </w:t>
            </w:r>
            <w:r>
              <w:rPr>
                <w:rFonts w:ascii="Arial"/>
                <w:spacing w:val="-1"/>
              </w:rPr>
              <w:t>the</w:t>
            </w:r>
            <w:r>
              <w:rPr>
                <w:rFonts w:ascii="Arial"/>
                <w:spacing w:val="24"/>
              </w:rPr>
              <w:t xml:space="preserve"> </w:t>
            </w:r>
            <w:r>
              <w:rPr>
                <w:rFonts w:ascii="Arial"/>
                <w:spacing w:val="-1"/>
              </w:rPr>
              <w:t>specified</w:t>
            </w:r>
            <w:r>
              <w:rPr>
                <w:rFonts w:ascii="Arial"/>
                <w:spacing w:val="7"/>
              </w:rPr>
              <w:t xml:space="preserve"> </w:t>
            </w:r>
            <w:r>
              <w:rPr>
                <w:rFonts w:ascii="Arial"/>
                <w:spacing w:val="-2"/>
              </w:rPr>
              <w:t>Service</w:t>
            </w:r>
            <w:r>
              <w:rPr>
                <w:rFonts w:ascii="Arial"/>
                <w:spacing w:val="27"/>
              </w:rPr>
              <w:t xml:space="preserve"> </w:t>
            </w:r>
            <w:r>
              <w:rPr>
                <w:rFonts w:ascii="Arial"/>
                <w:spacing w:val="-2"/>
              </w:rPr>
              <w:t>Level</w:t>
            </w:r>
            <w:r>
              <w:rPr>
                <w:rFonts w:ascii="Arial"/>
              </w:rPr>
              <w:t xml:space="preserve">    </w:t>
            </w:r>
            <w:r>
              <w:rPr>
                <w:rFonts w:ascii="Arial"/>
                <w:spacing w:val="7"/>
              </w:rPr>
              <w:t xml:space="preserve"> </w:t>
            </w:r>
            <w:r>
              <w:rPr>
                <w:rFonts w:ascii="Arial"/>
                <w:spacing w:val="-1"/>
              </w:rPr>
              <w:t>Performance</w:t>
            </w:r>
          </w:p>
        </w:tc>
        <w:tc>
          <w:tcPr>
            <w:tcW w:w="108" w:type="dxa"/>
            <w:vMerge w:val="restart"/>
            <w:tcBorders>
              <w:top w:val="single" w:sz="5" w:space="0" w:color="000000"/>
              <w:left w:val="nil"/>
              <w:right w:val="single" w:sz="5" w:space="0" w:color="000000"/>
            </w:tcBorders>
          </w:tcPr>
          <w:p w:rsidR="008918FA" w:rsidRDefault="008918FA" w:rsidP="005D2B81"/>
        </w:tc>
      </w:tr>
      <w:tr w:rsidR="008918FA" w:rsidTr="005D2B81">
        <w:trPr>
          <w:trHeight w:hRule="exact" w:val="254"/>
        </w:trPr>
        <w:tc>
          <w:tcPr>
            <w:tcW w:w="168" w:type="dxa"/>
            <w:vMerge/>
            <w:tcBorders>
              <w:left w:val="single" w:sz="5" w:space="0" w:color="000000"/>
              <w:right w:val="nil"/>
            </w:tcBorders>
          </w:tcPr>
          <w:p w:rsidR="008918FA" w:rsidRDefault="008918FA" w:rsidP="005D2B81"/>
        </w:tc>
        <w:tc>
          <w:tcPr>
            <w:tcW w:w="1474" w:type="dxa"/>
            <w:gridSpan w:val="7"/>
            <w:vMerge/>
            <w:tcBorders>
              <w:left w:val="nil"/>
              <w:bottom w:val="nil"/>
              <w:right w:val="nil"/>
            </w:tcBorders>
            <w:shd w:val="clear" w:color="auto" w:fill="FFFF00"/>
          </w:tcPr>
          <w:p w:rsidR="008918FA" w:rsidRDefault="008918FA" w:rsidP="005D2B81"/>
        </w:tc>
        <w:tc>
          <w:tcPr>
            <w:tcW w:w="108" w:type="dxa"/>
            <w:vMerge/>
            <w:tcBorders>
              <w:left w:val="nil"/>
              <w:bottom w:val="nil"/>
              <w:right w:val="single" w:sz="5" w:space="0" w:color="000000"/>
            </w:tcBorders>
          </w:tcPr>
          <w:p w:rsidR="008918FA" w:rsidRDefault="008918FA" w:rsidP="005D2B81"/>
        </w:tc>
        <w:tc>
          <w:tcPr>
            <w:tcW w:w="204" w:type="dxa"/>
            <w:vMerge/>
            <w:tcBorders>
              <w:left w:val="single" w:sz="5" w:space="0" w:color="000000"/>
              <w:bottom w:val="nil"/>
              <w:right w:val="nil"/>
            </w:tcBorders>
          </w:tcPr>
          <w:p w:rsidR="008918FA" w:rsidRDefault="008918FA" w:rsidP="005D2B81"/>
        </w:tc>
        <w:tc>
          <w:tcPr>
            <w:tcW w:w="967" w:type="dxa"/>
            <w:gridSpan w:val="4"/>
            <w:tcBorders>
              <w:top w:val="nil"/>
              <w:left w:val="nil"/>
              <w:bottom w:val="nil"/>
              <w:right w:val="nil"/>
            </w:tcBorders>
            <w:shd w:val="clear" w:color="auto" w:fill="FFFF00"/>
          </w:tcPr>
          <w:p w:rsidR="008918FA" w:rsidRDefault="008918FA" w:rsidP="005D2B81">
            <w:pPr>
              <w:pStyle w:val="TableParagraph"/>
              <w:spacing w:line="251" w:lineRule="exact"/>
              <w:ind w:right="-36"/>
              <w:rPr>
                <w:rFonts w:ascii="Arial" w:eastAsia="Arial" w:hAnsi="Arial" w:cs="Arial"/>
              </w:rPr>
            </w:pPr>
            <w:r>
              <w:rPr>
                <w:rFonts w:ascii="Arial"/>
                <w:spacing w:val="-1"/>
              </w:rPr>
              <w:t>/Timelines</w:t>
            </w:r>
          </w:p>
        </w:tc>
        <w:tc>
          <w:tcPr>
            <w:tcW w:w="175" w:type="dxa"/>
            <w:gridSpan w:val="2"/>
            <w:tcBorders>
              <w:top w:val="nil"/>
              <w:left w:val="nil"/>
              <w:bottom w:val="nil"/>
              <w:right w:val="single" w:sz="5" w:space="0" w:color="000000"/>
            </w:tcBorders>
          </w:tcPr>
          <w:p w:rsidR="008918FA" w:rsidRDefault="008918FA" w:rsidP="005D2B81"/>
        </w:tc>
        <w:tc>
          <w:tcPr>
            <w:tcW w:w="108" w:type="dxa"/>
            <w:vMerge/>
            <w:tcBorders>
              <w:left w:val="single" w:sz="5" w:space="0" w:color="000000"/>
              <w:bottom w:val="nil"/>
              <w:right w:val="nil"/>
            </w:tcBorders>
          </w:tcPr>
          <w:p w:rsidR="008918FA" w:rsidRDefault="008918FA" w:rsidP="005D2B81"/>
        </w:tc>
        <w:tc>
          <w:tcPr>
            <w:tcW w:w="1051" w:type="dxa"/>
            <w:tcBorders>
              <w:top w:val="nil"/>
              <w:left w:val="nil"/>
              <w:bottom w:val="nil"/>
              <w:right w:val="nil"/>
            </w:tcBorders>
            <w:shd w:val="clear" w:color="auto" w:fill="FFFF00"/>
          </w:tcPr>
          <w:p w:rsidR="008918FA" w:rsidRDefault="008918FA" w:rsidP="005D2B81">
            <w:pPr>
              <w:pStyle w:val="TableParagraph"/>
              <w:spacing w:line="251" w:lineRule="exact"/>
              <w:ind w:right="-2"/>
              <w:rPr>
                <w:rFonts w:ascii="Arial" w:eastAsia="Arial" w:hAnsi="Arial" w:cs="Arial"/>
              </w:rPr>
            </w:pPr>
            <w:r>
              <w:rPr>
                <w:rFonts w:ascii="Arial"/>
                <w:spacing w:val="-1"/>
              </w:rPr>
              <w:t>at</w:t>
            </w:r>
            <w:r>
              <w:rPr>
                <w:rFonts w:ascii="Arial"/>
                <w:spacing w:val="2"/>
              </w:rPr>
              <w:t xml:space="preserve"> </w:t>
            </w:r>
            <w:r>
              <w:rPr>
                <w:rFonts w:ascii="Arial"/>
                <w:spacing w:val="-1"/>
              </w:rPr>
              <w:t>all</w:t>
            </w:r>
            <w:r>
              <w:rPr>
                <w:rFonts w:ascii="Arial"/>
              </w:rPr>
              <w:t xml:space="preserve"> </w:t>
            </w:r>
            <w:r>
              <w:rPr>
                <w:rFonts w:ascii="Arial"/>
                <w:spacing w:val="-1"/>
              </w:rPr>
              <w:t>times</w:t>
            </w:r>
          </w:p>
        </w:tc>
        <w:tc>
          <w:tcPr>
            <w:tcW w:w="398" w:type="dxa"/>
            <w:gridSpan w:val="2"/>
            <w:tcBorders>
              <w:top w:val="nil"/>
              <w:left w:val="nil"/>
              <w:bottom w:val="nil"/>
              <w:right w:val="single" w:sz="5" w:space="0" w:color="000000"/>
            </w:tcBorders>
          </w:tcPr>
          <w:p w:rsidR="008918FA" w:rsidRDefault="008918FA" w:rsidP="005D2B81"/>
        </w:tc>
        <w:tc>
          <w:tcPr>
            <w:tcW w:w="1406" w:type="dxa"/>
            <w:gridSpan w:val="3"/>
            <w:vMerge w:val="restart"/>
            <w:tcBorders>
              <w:top w:val="nil"/>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5D2B81">
        <w:trPr>
          <w:trHeight w:hRule="exact" w:val="252"/>
        </w:trPr>
        <w:tc>
          <w:tcPr>
            <w:tcW w:w="168" w:type="dxa"/>
            <w:vMerge/>
            <w:tcBorders>
              <w:left w:val="single" w:sz="5" w:space="0" w:color="000000"/>
              <w:bottom w:val="nil"/>
              <w:right w:val="nil"/>
            </w:tcBorders>
          </w:tcPr>
          <w:p w:rsidR="008918FA" w:rsidRDefault="008918FA" w:rsidP="005D2B81"/>
        </w:tc>
        <w:tc>
          <w:tcPr>
            <w:tcW w:w="1234" w:type="dxa"/>
            <w:gridSpan w:val="6"/>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2"/>
              </w:rPr>
              <w:t>of</w:t>
            </w:r>
            <w:r>
              <w:rPr>
                <w:rFonts w:ascii="Arial"/>
                <w:spacing w:val="4"/>
              </w:rPr>
              <w:t xml:space="preserve"> </w:t>
            </w:r>
            <w:r>
              <w:rPr>
                <w:rFonts w:ascii="Arial"/>
                <w:spacing w:val="-2"/>
              </w:rPr>
              <w:t>Customer</w:t>
            </w:r>
          </w:p>
        </w:tc>
        <w:tc>
          <w:tcPr>
            <w:tcW w:w="348" w:type="dxa"/>
            <w:gridSpan w:val="2"/>
            <w:tcBorders>
              <w:top w:val="nil"/>
              <w:left w:val="nil"/>
              <w:bottom w:val="nil"/>
              <w:right w:val="single" w:sz="5" w:space="0" w:color="000000"/>
            </w:tcBorders>
          </w:tcPr>
          <w:p w:rsidR="008918FA" w:rsidRDefault="008918FA" w:rsidP="005D2B81"/>
        </w:tc>
        <w:tc>
          <w:tcPr>
            <w:tcW w:w="1346" w:type="dxa"/>
            <w:gridSpan w:val="7"/>
            <w:vMerge w:val="restart"/>
            <w:tcBorders>
              <w:top w:val="nil"/>
              <w:left w:val="single" w:sz="5" w:space="0" w:color="000000"/>
              <w:right w:val="single" w:sz="5" w:space="0" w:color="000000"/>
            </w:tcBorders>
          </w:tcPr>
          <w:p w:rsidR="008918FA" w:rsidRDefault="008918FA" w:rsidP="005D2B81"/>
        </w:tc>
        <w:tc>
          <w:tcPr>
            <w:tcW w:w="1558" w:type="dxa"/>
            <w:gridSpan w:val="4"/>
            <w:vMerge w:val="restart"/>
            <w:tcBorders>
              <w:top w:val="nil"/>
              <w:left w:val="single" w:sz="5" w:space="0" w:color="000000"/>
              <w:right w:val="single" w:sz="5" w:space="0" w:color="000000"/>
            </w:tcBorders>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5D2B81">
        <w:trPr>
          <w:trHeight w:hRule="exact" w:val="506"/>
        </w:trPr>
        <w:tc>
          <w:tcPr>
            <w:tcW w:w="1750" w:type="dxa"/>
            <w:gridSpan w:val="9"/>
            <w:vMerge w:val="restart"/>
            <w:tcBorders>
              <w:top w:val="nil"/>
              <w:left w:val="single" w:sz="5" w:space="0" w:color="000000"/>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tcPr>
          <w:p w:rsidR="008918FA" w:rsidRDefault="008918FA" w:rsidP="005D2B81"/>
        </w:tc>
        <w:tc>
          <w:tcPr>
            <w:tcW w:w="1558" w:type="dxa"/>
            <w:gridSpan w:val="4"/>
            <w:vMerge/>
            <w:tcBorders>
              <w:left w:val="single" w:sz="5" w:space="0" w:color="000000"/>
              <w:right w:val="single" w:sz="5" w:space="0" w:color="000000"/>
            </w:tcBorders>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bottom w:val="nil"/>
              <w:right w:val="nil"/>
            </w:tcBorders>
            <w:shd w:val="clear" w:color="auto" w:fill="FFFF00"/>
          </w:tcPr>
          <w:p w:rsidR="008918FA" w:rsidRDefault="008918FA" w:rsidP="005D2B81"/>
        </w:tc>
        <w:tc>
          <w:tcPr>
            <w:tcW w:w="108" w:type="dxa"/>
            <w:vMerge/>
            <w:tcBorders>
              <w:left w:val="nil"/>
              <w:bottom w:val="nil"/>
              <w:right w:val="single" w:sz="5" w:space="0" w:color="000000"/>
            </w:tcBorders>
          </w:tcPr>
          <w:p w:rsidR="008918FA" w:rsidRDefault="008918FA" w:rsidP="005D2B81"/>
        </w:tc>
      </w:tr>
      <w:tr w:rsidR="008918FA" w:rsidTr="005D2B81">
        <w:trPr>
          <w:trHeight w:hRule="exact" w:val="252"/>
        </w:trPr>
        <w:tc>
          <w:tcPr>
            <w:tcW w:w="1750" w:type="dxa"/>
            <w:gridSpan w:val="9"/>
            <w:vMerge/>
            <w:tcBorders>
              <w:left w:val="single" w:sz="5" w:space="0" w:color="000000"/>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tcPr>
          <w:p w:rsidR="008918FA" w:rsidRDefault="008918FA" w:rsidP="005D2B81"/>
        </w:tc>
        <w:tc>
          <w:tcPr>
            <w:tcW w:w="1558" w:type="dxa"/>
            <w:gridSpan w:val="4"/>
            <w:vMerge/>
            <w:tcBorders>
              <w:left w:val="single" w:sz="5" w:space="0" w:color="000000"/>
              <w:right w:val="single" w:sz="5" w:space="0" w:color="000000"/>
            </w:tcBorders>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bottom w:val="nil"/>
              <w:right w:val="nil"/>
            </w:tcBorders>
          </w:tcPr>
          <w:p w:rsidR="008918FA" w:rsidRDefault="008918FA" w:rsidP="005D2B81"/>
        </w:tc>
        <w:tc>
          <w:tcPr>
            <w:tcW w:w="857" w:type="dxa"/>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1"/>
              </w:rPr>
              <w:t>Measure</w:t>
            </w:r>
          </w:p>
        </w:tc>
        <w:tc>
          <w:tcPr>
            <w:tcW w:w="1349" w:type="dxa"/>
            <w:gridSpan w:val="3"/>
            <w:tcBorders>
              <w:top w:val="nil"/>
              <w:left w:val="nil"/>
              <w:bottom w:val="nil"/>
              <w:right w:val="single" w:sz="5" w:space="0" w:color="000000"/>
            </w:tcBorders>
          </w:tcPr>
          <w:p w:rsidR="008918FA" w:rsidRDefault="008918FA" w:rsidP="005D2B81"/>
        </w:tc>
      </w:tr>
      <w:tr w:rsidR="008918FA" w:rsidTr="005D2B81">
        <w:trPr>
          <w:trHeight w:hRule="exact" w:val="125"/>
        </w:trPr>
        <w:tc>
          <w:tcPr>
            <w:tcW w:w="1750" w:type="dxa"/>
            <w:gridSpan w:val="9"/>
            <w:vMerge/>
            <w:tcBorders>
              <w:left w:val="single" w:sz="5" w:space="0" w:color="000000"/>
              <w:bottom w:val="single" w:sz="5" w:space="0" w:color="000000"/>
              <w:right w:val="single" w:sz="5" w:space="0" w:color="000000"/>
            </w:tcBorders>
          </w:tcPr>
          <w:p w:rsidR="008918FA" w:rsidRDefault="008918FA" w:rsidP="005D2B81"/>
        </w:tc>
        <w:tc>
          <w:tcPr>
            <w:tcW w:w="1346" w:type="dxa"/>
            <w:gridSpan w:val="7"/>
            <w:vMerge/>
            <w:tcBorders>
              <w:left w:val="single" w:sz="5" w:space="0" w:color="000000"/>
              <w:bottom w:val="single" w:sz="5" w:space="0" w:color="000000"/>
              <w:right w:val="single" w:sz="5" w:space="0" w:color="000000"/>
            </w:tcBorders>
          </w:tcPr>
          <w:p w:rsidR="008918FA" w:rsidRDefault="008918FA" w:rsidP="005D2B81"/>
        </w:tc>
        <w:tc>
          <w:tcPr>
            <w:tcW w:w="1558" w:type="dxa"/>
            <w:gridSpan w:val="4"/>
            <w:vMerge/>
            <w:tcBorders>
              <w:left w:val="single" w:sz="5" w:space="0" w:color="000000"/>
              <w:bottom w:val="single" w:sz="5" w:space="0" w:color="000000"/>
              <w:right w:val="single" w:sz="5" w:space="0" w:color="000000"/>
            </w:tcBorders>
          </w:tcPr>
          <w:p w:rsidR="008918FA" w:rsidRDefault="008918FA" w:rsidP="005D2B81"/>
        </w:tc>
        <w:tc>
          <w:tcPr>
            <w:tcW w:w="1406" w:type="dxa"/>
            <w:gridSpan w:val="3"/>
            <w:vMerge/>
            <w:tcBorders>
              <w:left w:val="single" w:sz="5" w:space="0" w:color="000000"/>
              <w:bottom w:val="single" w:sz="5" w:space="0" w:color="000000"/>
              <w:right w:val="single" w:sz="5" w:space="0" w:color="000000"/>
            </w:tcBorders>
          </w:tcPr>
          <w:p w:rsidR="008918FA" w:rsidRDefault="008918FA" w:rsidP="005D2B81"/>
        </w:tc>
        <w:tc>
          <w:tcPr>
            <w:tcW w:w="2410" w:type="dxa"/>
            <w:gridSpan w:val="5"/>
            <w:tcBorders>
              <w:top w:val="nil"/>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259"/>
        </w:trPr>
        <w:tc>
          <w:tcPr>
            <w:tcW w:w="168" w:type="dxa"/>
            <w:vMerge w:val="restart"/>
            <w:tcBorders>
              <w:top w:val="single" w:sz="5" w:space="0" w:color="000000"/>
              <w:left w:val="single" w:sz="5" w:space="0" w:color="000000"/>
              <w:right w:val="nil"/>
            </w:tcBorders>
          </w:tcPr>
          <w:p w:rsidR="008918FA" w:rsidRDefault="008918FA" w:rsidP="005D2B81"/>
        </w:tc>
        <w:tc>
          <w:tcPr>
            <w:tcW w:w="1474" w:type="dxa"/>
            <w:gridSpan w:val="7"/>
            <w:tcBorders>
              <w:top w:val="single" w:sz="5" w:space="0" w:color="000000"/>
              <w:left w:val="nil"/>
              <w:bottom w:val="nil"/>
              <w:right w:val="nil"/>
            </w:tcBorders>
            <w:shd w:val="clear" w:color="auto" w:fill="FFFF00"/>
          </w:tcPr>
          <w:p w:rsidR="008918FA" w:rsidRDefault="008918FA" w:rsidP="005D2B81">
            <w:pPr>
              <w:pStyle w:val="TableParagraph"/>
              <w:tabs>
                <w:tab w:val="left" w:pos="1252"/>
              </w:tabs>
              <w:spacing w:line="250" w:lineRule="exact"/>
              <w:rPr>
                <w:rFonts w:ascii="Arial" w:eastAsia="Arial" w:hAnsi="Arial" w:cs="Arial"/>
              </w:rPr>
            </w:pPr>
            <w:r>
              <w:rPr>
                <w:rFonts w:ascii="Arial"/>
                <w:spacing w:val="-1"/>
              </w:rPr>
              <w:t>Access</w:t>
            </w:r>
            <w:r>
              <w:rPr>
                <w:rFonts w:ascii="Arial"/>
                <w:spacing w:val="-1"/>
              </w:rPr>
              <w:tab/>
            </w:r>
            <w:r>
              <w:rPr>
                <w:rFonts w:ascii="Arial"/>
              </w:rPr>
              <w:t>to</w:t>
            </w:r>
          </w:p>
        </w:tc>
        <w:tc>
          <w:tcPr>
            <w:tcW w:w="108" w:type="dxa"/>
            <w:tcBorders>
              <w:top w:val="single" w:sz="5" w:space="0" w:color="000000"/>
              <w:left w:val="nil"/>
              <w:bottom w:val="nil"/>
              <w:right w:val="single" w:sz="5" w:space="0" w:color="000000"/>
            </w:tcBorders>
          </w:tcPr>
          <w:p w:rsidR="008918FA" w:rsidRDefault="008918FA" w:rsidP="005D2B81"/>
        </w:tc>
        <w:tc>
          <w:tcPr>
            <w:tcW w:w="204" w:type="dxa"/>
            <w:tcBorders>
              <w:top w:val="single" w:sz="5" w:space="0" w:color="000000"/>
              <w:left w:val="single" w:sz="5" w:space="0" w:color="000000"/>
              <w:bottom w:val="nil"/>
              <w:right w:val="nil"/>
            </w:tcBorders>
          </w:tcPr>
          <w:p w:rsidR="008918FA" w:rsidRDefault="008918FA" w:rsidP="005D2B81"/>
        </w:tc>
        <w:tc>
          <w:tcPr>
            <w:tcW w:w="967" w:type="dxa"/>
            <w:gridSpan w:val="4"/>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72"/>
              <w:rPr>
                <w:rFonts w:ascii="Arial" w:eastAsia="Arial" w:hAnsi="Arial" w:cs="Arial"/>
              </w:rPr>
            </w:pPr>
            <w:r>
              <w:rPr>
                <w:rFonts w:ascii="Arial"/>
                <w:spacing w:val="-1"/>
              </w:rPr>
              <w:t>Availability</w:t>
            </w:r>
          </w:p>
        </w:tc>
        <w:tc>
          <w:tcPr>
            <w:tcW w:w="175" w:type="dxa"/>
            <w:gridSpan w:val="2"/>
            <w:tcBorders>
              <w:top w:val="single" w:sz="5" w:space="0" w:color="000000"/>
              <w:left w:val="nil"/>
              <w:bottom w:val="nil"/>
              <w:right w:val="single" w:sz="5" w:space="0" w:color="000000"/>
            </w:tcBorders>
          </w:tcPr>
          <w:p w:rsidR="008918FA" w:rsidRDefault="008918FA" w:rsidP="005D2B81"/>
        </w:tc>
        <w:tc>
          <w:tcPr>
            <w:tcW w:w="108" w:type="dxa"/>
            <w:vMerge w:val="restart"/>
            <w:tcBorders>
              <w:top w:val="single" w:sz="5" w:space="0" w:color="000000"/>
              <w:left w:val="single" w:sz="5" w:space="0" w:color="000000"/>
              <w:right w:val="nil"/>
            </w:tcBorders>
          </w:tcPr>
          <w:p w:rsidR="008918FA" w:rsidRDefault="008918FA" w:rsidP="005D2B81"/>
        </w:tc>
        <w:tc>
          <w:tcPr>
            <w:tcW w:w="1344" w:type="dxa"/>
            <w:gridSpan w:val="2"/>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spacing w:val="-1"/>
              </w:rPr>
              <w:t>at</w:t>
            </w:r>
            <w:r>
              <w:rPr>
                <w:rFonts w:ascii="Arial"/>
              </w:rPr>
              <w:t xml:space="preserve"> </w:t>
            </w:r>
            <w:r>
              <w:rPr>
                <w:rFonts w:ascii="Arial"/>
                <w:spacing w:val="5"/>
              </w:rPr>
              <w:t xml:space="preserve"> </w:t>
            </w:r>
            <w:r>
              <w:rPr>
                <w:rFonts w:ascii="Arial"/>
                <w:spacing w:val="-1"/>
              </w:rPr>
              <w:t>least</w:t>
            </w:r>
            <w:r>
              <w:rPr>
                <w:rFonts w:ascii="Arial"/>
              </w:rPr>
              <w:t xml:space="preserve"> </w:t>
            </w:r>
            <w:r>
              <w:rPr>
                <w:rFonts w:ascii="Arial"/>
                <w:spacing w:val="6"/>
              </w:rPr>
              <w:t xml:space="preserve"> </w:t>
            </w:r>
            <w:r>
              <w:rPr>
                <w:rFonts w:ascii="Arial"/>
                <w:spacing w:val="-1"/>
              </w:rPr>
              <w:t>98%</w:t>
            </w:r>
          </w:p>
        </w:tc>
        <w:tc>
          <w:tcPr>
            <w:tcW w:w="106" w:type="dxa"/>
            <w:tcBorders>
              <w:top w:val="single" w:sz="5" w:space="0" w:color="000000"/>
              <w:left w:val="nil"/>
              <w:bottom w:val="nil"/>
              <w:right w:val="single" w:sz="5" w:space="0" w:color="000000"/>
            </w:tcBorders>
          </w:tcPr>
          <w:p w:rsidR="008918FA" w:rsidRDefault="008918FA" w:rsidP="005D2B81"/>
        </w:tc>
        <w:tc>
          <w:tcPr>
            <w:tcW w:w="204" w:type="dxa"/>
            <w:tcBorders>
              <w:top w:val="single" w:sz="5" w:space="0" w:color="000000"/>
              <w:left w:val="single" w:sz="5" w:space="0" w:color="000000"/>
              <w:bottom w:val="nil"/>
              <w:right w:val="nil"/>
            </w:tcBorders>
          </w:tcPr>
          <w:p w:rsidR="008918FA" w:rsidRDefault="008918FA" w:rsidP="005D2B81"/>
        </w:tc>
        <w:tc>
          <w:tcPr>
            <w:tcW w:w="305" w:type="dxa"/>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rPr>
              <w:t xml:space="preserve">[ </w:t>
            </w:r>
            <w:r>
              <w:rPr>
                <w:rFonts w:ascii="Arial"/>
                <w:spacing w:val="61"/>
              </w:rPr>
              <w:t xml:space="preserve"> </w:t>
            </w:r>
            <w:r>
              <w:rPr>
                <w:rFonts w:ascii="Arial"/>
              </w:rPr>
              <w:t>]</w:t>
            </w:r>
          </w:p>
        </w:tc>
        <w:tc>
          <w:tcPr>
            <w:tcW w:w="898" w:type="dxa"/>
            <w:tcBorders>
              <w:top w:val="single" w:sz="5" w:space="0" w:color="000000"/>
              <w:left w:val="nil"/>
              <w:bottom w:val="nil"/>
              <w:right w:val="single" w:sz="5" w:space="0" w:color="000000"/>
            </w:tcBorders>
          </w:tcPr>
          <w:p w:rsidR="008918FA" w:rsidRDefault="008918FA" w:rsidP="005D2B81"/>
        </w:tc>
        <w:tc>
          <w:tcPr>
            <w:tcW w:w="204" w:type="dxa"/>
            <w:vMerge w:val="restart"/>
            <w:tcBorders>
              <w:top w:val="single" w:sz="5" w:space="0" w:color="000000"/>
              <w:left w:val="single" w:sz="5" w:space="0" w:color="000000"/>
              <w:right w:val="nil"/>
            </w:tcBorders>
          </w:tcPr>
          <w:p w:rsidR="008918FA" w:rsidRDefault="008918FA" w:rsidP="005D2B81"/>
        </w:tc>
        <w:tc>
          <w:tcPr>
            <w:tcW w:w="2098" w:type="dxa"/>
            <w:gridSpan w:val="3"/>
            <w:vMerge w:val="restart"/>
            <w:tcBorders>
              <w:top w:val="single" w:sz="5" w:space="0" w:color="000000"/>
              <w:left w:val="nil"/>
              <w:right w:val="nil"/>
            </w:tcBorders>
            <w:shd w:val="clear" w:color="auto" w:fill="FFFF00"/>
          </w:tcPr>
          <w:p w:rsidR="008918FA" w:rsidRDefault="008918FA" w:rsidP="005D2B81">
            <w:pPr>
              <w:pStyle w:val="TableParagraph"/>
              <w:ind w:right="-2"/>
              <w:jc w:val="both"/>
              <w:rPr>
                <w:rFonts w:ascii="Arial" w:eastAsia="Arial" w:hAnsi="Arial" w:cs="Arial"/>
              </w:rPr>
            </w:pPr>
            <w:r>
              <w:rPr>
                <w:rFonts w:ascii="Arial"/>
                <w:spacing w:val="-1"/>
              </w:rPr>
              <w:t>0.5%</w:t>
            </w:r>
            <w:r>
              <w:rPr>
                <w:rFonts w:ascii="Arial"/>
                <w:spacing w:val="14"/>
              </w:rPr>
              <w:t xml:space="preserve"> </w:t>
            </w:r>
            <w:r>
              <w:rPr>
                <w:rFonts w:ascii="Arial"/>
                <w:spacing w:val="-2"/>
              </w:rPr>
              <w:t>Service</w:t>
            </w:r>
            <w:r>
              <w:rPr>
                <w:rFonts w:ascii="Arial"/>
                <w:spacing w:val="16"/>
              </w:rPr>
              <w:t xml:space="preserve"> </w:t>
            </w:r>
            <w:r>
              <w:rPr>
                <w:rFonts w:ascii="Arial"/>
                <w:spacing w:val="-1"/>
              </w:rPr>
              <w:t>Credit</w:t>
            </w:r>
            <w:r>
              <w:rPr>
                <w:rFonts w:ascii="Arial"/>
                <w:spacing w:val="30"/>
              </w:rPr>
              <w:t xml:space="preserve"> </w:t>
            </w:r>
            <w:r>
              <w:rPr>
                <w:rFonts w:ascii="Arial"/>
                <w:spacing w:val="-1"/>
              </w:rPr>
              <w:t>gained</w:t>
            </w:r>
            <w:r>
              <w:rPr>
                <w:rFonts w:ascii="Arial"/>
                <w:spacing w:val="44"/>
              </w:rPr>
              <w:t xml:space="preserve"> </w:t>
            </w:r>
            <w:r>
              <w:rPr>
                <w:rFonts w:ascii="Arial"/>
              </w:rPr>
              <w:t>for</w:t>
            </w:r>
            <w:r>
              <w:rPr>
                <w:rFonts w:ascii="Arial"/>
                <w:spacing w:val="45"/>
              </w:rPr>
              <w:t xml:space="preserve"> </w:t>
            </w:r>
            <w:r>
              <w:rPr>
                <w:rFonts w:ascii="Arial"/>
                <w:spacing w:val="-1"/>
              </w:rPr>
              <w:t>each</w:t>
            </w:r>
            <w:r>
              <w:rPr>
                <w:rFonts w:ascii="Arial"/>
                <w:spacing w:val="23"/>
              </w:rPr>
              <w:t xml:space="preserve"> </w:t>
            </w:r>
            <w:r>
              <w:rPr>
                <w:rFonts w:ascii="Arial"/>
                <w:spacing w:val="-1"/>
              </w:rPr>
              <w:t>percentage</w:t>
            </w:r>
            <w:r>
              <w:rPr>
                <w:rFonts w:ascii="Arial"/>
                <w:spacing w:val="3"/>
              </w:rPr>
              <w:t xml:space="preserve"> </w:t>
            </w:r>
            <w:r>
              <w:rPr>
                <w:rFonts w:ascii="Arial"/>
                <w:spacing w:val="-2"/>
              </w:rPr>
              <w:t>under</w:t>
            </w:r>
            <w:r>
              <w:rPr>
                <w:rFonts w:ascii="Arial"/>
                <w:spacing w:val="2"/>
              </w:rPr>
              <w:t xml:space="preserve"> </w:t>
            </w:r>
            <w:r>
              <w:rPr>
                <w:rFonts w:ascii="Arial"/>
                <w:spacing w:val="-1"/>
              </w:rPr>
              <w:t>the</w:t>
            </w:r>
            <w:r>
              <w:rPr>
                <w:rFonts w:ascii="Arial"/>
                <w:spacing w:val="24"/>
              </w:rPr>
              <w:t xml:space="preserve"> </w:t>
            </w:r>
            <w:r>
              <w:rPr>
                <w:rFonts w:ascii="Arial"/>
                <w:spacing w:val="-1"/>
              </w:rPr>
              <w:t>specified</w:t>
            </w:r>
            <w:r>
              <w:rPr>
                <w:rFonts w:ascii="Arial"/>
                <w:spacing w:val="7"/>
              </w:rPr>
              <w:t xml:space="preserve"> </w:t>
            </w:r>
            <w:r>
              <w:rPr>
                <w:rFonts w:ascii="Arial"/>
                <w:spacing w:val="-2"/>
              </w:rPr>
              <w:t>Service</w:t>
            </w:r>
            <w:r>
              <w:rPr>
                <w:rFonts w:ascii="Arial"/>
                <w:spacing w:val="27"/>
              </w:rPr>
              <w:t xml:space="preserve"> </w:t>
            </w:r>
            <w:r>
              <w:rPr>
                <w:rFonts w:ascii="Arial"/>
                <w:spacing w:val="-2"/>
              </w:rPr>
              <w:t>Level</w:t>
            </w:r>
            <w:r>
              <w:rPr>
                <w:rFonts w:ascii="Arial"/>
              </w:rPr>
              <w:t xml:space="preserve">    </w:t>
            </w:r>
            <w:r>
              <w:rPr>
                <w:rFonts w:ascii="Arial"/>
                <w:spacing w:val="7"/>
              </w:rPr>
              <w:t xml:space="preserve"> </w:t>
            </w:r>
            <w:r>
              <w:rPr>
                <w:rFonts w:ascii="Arial"/>
                <w:spacing w:val="-1"/>
              </w:rPr>
              <w:t>Performance</w:t>
            </w:r>
          </w:p>
        </w:tc>
        <w:tc>
          <w:tcPr>
            <w:tcW w:w="108" w:type="dxa"/>
            <w:vMerge w:val="restart"/>
            <w:tcBorders>
              <w:top w:val="single" w:sz="5" w:space="0" w:color="000000"/>
              <w:left w:val="nil"/>
              <w:right w:val="single" w:sz="5" w:space="0" w:color="000000"/>
            </w:tcBorders>
          </w:tcPr>
          <w:p w:rsidR="008918FA" w:rsidRDefault="008918FA" w:rsidP="005D2B81"/>
        </w:tc>
      </w:tr>
      <w:tr w:rsidR="008918FA" w:rsidTr="005D2B81">
        <w:trPr>
          <w:trHeight w:hRule="exact" w:val="252"/>
        </w:trPr>
        <w:tc>
          <w:tcPr>
            <w:tcW w:w="168" w:type="dxa"/>
            <w:vMerge/>
            <w:tcBorders>
              <w:left w:val="single" w:sz="5" w:space="0" w:color="000000"/>
              <w:right w:val="nil"/>
            </w:tcBorders>
          </w:tcPr>
          <w:p w:rsidR="008918FA" w:rsidRDefault="008918FA" w:rsidP="005D2B81"/>
        </w:tc>
        <w:tc>
          <w:tcPr>
            <w:tcW w:w="991" w:type="dxa"/>
            <w:gridSpan w:val="4"/>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1"/>
              </w:rPr>
              <w:t>Customer</w:t>
            </w:r>
          </w:p>
        </w:tc>
        <w:tc>
          <w:tcPr>
            <w:tcW w:w="590" w:type="dxa"/>
            <w:gridSpan w:val="4"/>
            <w:tcBorders>
              <w:top w:val="nil"/>
              <w:left w:val="nil"/>
              <w:bottom w:val="nil"/>
              <w:right w:val="single" w:sz="5" w:space="0" w:color="000000"/>
            </w:tcBorders>
          </w:tcPr>
          <w:p w:rsidR="008918FA" w:rsidRDefault="008918FA" w:rsidP="005D2B81"/>
        </w:tc>
        <w:tc>
          <w:tcPr>
            <w:tcW w:w="1346" w:type="dxa"/>
            <w:gridSpan w:val="7"/>
            <w:vMerge w:val="restart"/>
            <w:tcBorders>
              <w:top w:val="nil"/>
              <w:left w:val="single" w:sz="5" w:space="0" w:color="000000"/>
              <w:right w:val="single" w:sz="5" w:space="0" w:color="000000"/>
            </w:tcBorders>
          </w:tcPr>
          <w:p w:rsidR="008918FA" w:rsidRDefault="008918FA" w:rsidP="005D2B81"/>
        </w:tc>
        <w:tc>
          <w:tcPr>
            <w:tcW w:w="108" w:type="dxa"/>
            <w:vMerge/>
            <w:tcBorders>
              <w:left w:val="single" w:sz="5" w:space="0" w:color="000000"/>
              <w:bottom w:val="nil"/>
              <w:right w:val="nil"/>
            </w:tcBorders>
          </w:tcPr>
          <w:p w:rsidR="008918FA" w:rsidRDefault="008918FA" w:rsidP="005D2B81"/>
        </w:tc>
        <w:tc>
          <w:tcPr>
            <w:tcW w:w="1051" w:type="dxa"/>
            <w:tcBorders>
              <w:top w:val="nil"/>
              <w:left w:val="nil"/>
              <w:bottom w:val="nil"/>
              <w:right w:val="nil"/>
            </w:tcBorders>
            <w:shd w:val="clear" w:color="auto" w:fill="FFFF00"/>
          </w:tcPr>
          <w:p w:rsidR="008918FA" w:rsidRDefault="008918FA" w:rsidP="005D2B81">
            <w:pPr>
              <w:pStyle w:val="TableParagraph"/>
              <w:spacing w:line="251" w:lineRule="exact"/>
              <w:ind w:right="-2"/>
              <w:rPr>
                <w:rFonts w:ascii="Arial" w:eastAsia="Arial" w:hAnsi="Arial" w:cs="Arial"/>
              </w:rPr>
            </w:pPr>
            <w:r>
              <w:rPr>
                <w:rFonts w:ascii="Arial"/>
                <w:spacing w:val="-1"/>
              </w:rPr>
              <w:t>at</w:t>
            </w:r>
            <w:r>
              <w:rPr>
                <w:rFonts w:ascii="Arial"/>
                <w:spacing w:val="2"/>
              </w:rPr>
              <w:t xml:space="preserve"> </w:t>
            </w:r>
            <w:r>
              <w:rPr>
                <w:rFonts w:ascii="Arial"/>
                <w:spacing w:val="-1"/>
              </w:rPr>
              <w:t>all</w:t>
            </w:r>
            <w:r>
              <w:rPr>
                <w:rFonts w:ascii="Arial"/>
              </w:rPr>
              <w:t xml:space="preserve"> </w:t>
            </w:r>
            <w:r>
              <w:rPr>
                <w:rFonts w:ascii="Arial"/>
                <w:spacing w:val="-1"/>
              </w:rPr>
              <w:t>times</w:t>
            </w:r>
          </w:p>
        </w:tc>
        <w:tc>
          <w:tcPr>
            <w:tcW w:w="398" w:type="dxa"/>
            <w:gridSpan w:val="2"/>
            <w:tcBorders>
              <w:top w:val="nil"/>
              <w:left w:val="nil"/>
              <w:bottom w:val="nil"/>
              <w:right w:val="single" w:sz="5" w:space="0" w:color="000000"/>
            </w:tcBorders>
          </w:tcPr>
          <w:p w:rsidR="008918FA" w:rsidRDefault="008918FA" w:rsidP="005D2B81"/>
        </w:tc>
        <w:tc>
          <w:tcPr>
            <w:tcW w:w="1406" w:type="dxa"/>
            <w:gridSpan w:val="3"/>
            <w:vMerge w:val="restart"/>
            <w:tcBorders>
              <w:top w:val="nil"/>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1C1527">
        <w:trPr>
          <w:trHeight w:hRule="exact" w:val="254"/>
        </w:trPr>
        <w:tc>
          <w:tcPr>
            <w:tcW w:w="168" w:type="dxa"/>
            <w:vMerge/>
            <w:tcBorders>
              <w:left w:val="single" w:sz="5" w:space="0" w:color="000000"/>
              <w:bottom w:val="nil"/>
              <w:right w:val="nil"/>
            </w:tcBorders>
          </w:tcPr>
          <w:p w:rsidR="008918FA" w:rsidRDefault="008918FA" w:rsidP="005D2B81"/>
        </w:tc>
        <w:tc>
          <w:tcPr>
            <w:tcW w:w="746" w:type="dxa"/>
            <w:gridSpan w:val="2"/>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1"/>
              </w:rPr>
              <w:t>support</w:t>
            </w:r>
          </w:p>
        </w:tc>
        <w:tc>
          <w:tcPr>
            <w:tcW w:w="835" w:type="dxa"/>
            <w:gridSpan w:val="6"/>
            <w:tcBorders>
              <w:top w:val="nil"/>
              <w:left w:val="nil"/>
              <w:bottom w:val="nil"/>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tcPr>
          <w:p w:rsidR="008918FA" w:rsidRDefault="008918FA" w:rsidP="005D2B81"/>
        </w:tc>
        <w:tc>
          <w:tcPr>
            <w:tcW w:w="1558" w:type="dxa"/>
            <w:gridSpan w:val="4"/>
            <w:vMerge w:val="restart"/>
            <w:tcBorders>
              <w:top w:val="nil"/>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1C1527">
        <w:trPr>
          <w:trHeight w:hRule="exact" w:val="504"/>
        </w:trPr>
        <w:tc>
          <w:tcPr>
            <w:tcW w:w="1750" w:type="dxa"/>
            <w:gridSpan w:val="9"/>
            <w:vMerge w:val="restart"/>
            <w:tcBorders>
              <w:top w:val="nil"/>
              <w:left w:val="single" w:sz="5" w:space="0" w:color="000000"/>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tcPr>
          <w:p w:rsidR="008918FA" w:rsidRDefault="008918FA" w:rsidP="005D2B81"/>
        </w:tc>
        <w:tc>
          <w:tcPr>
            <w:tcW w:w="1558" w:type="dxa"/>
            <w:gridSpan w:val="4"/>
            <w:vMerge/>
            <w:tcBorders>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bottom w:val="nil"/>
              <w:right w:val="nil"/>
            </w:tcBorders>
            <w:shd w:val="clear" w:color="auto" w:fill="FFFF00"/>
          </w:tcPr>
          <w:p w:rsidR="008918FA" w:rsidRDefault="008918FA" w:rsidP="005D2B81"/>
        </w:tc>
        <w:tc>
          <w:tcPr>
            <w:tcW w:w="108" w:type="dxa"/>
            <w:vMerge/>
            <w:tcBorders>
              <w:left w:val="nil"/>
              <w:bottom w:val="nil"/>
              <w:right w:val="single" w:sz="5" w:space="0" w:color="000000"/>
            </w:tcBorders>
          </w:tcPr>
          <w:p w:rsidR="008918FA" w:rsidRDefault="008918FA" w:rsidP="005D2B81"/>
        </w:tc>
      </w:tr>
      <w:tr w:rsidR="008918FA" w:rsidTr="001C1527">
        <w:trPr>
          <w:trHeight w:hRule="exact" w:val="254"/>
        </w:trPr>
        <w:tc>
          <w:tcPr>
            <w:tcW w:w="1750" w:type="dxa"/>
            <w:gridSpan w:val="9"/>
            <w:vMerge/>
            <w:tcBorders>
              <w:left w:val="single" w:sz="5" w:space="0" w:color="000000"/>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tcPr>
          <w:p w:rsidR="008918FA" w:rsidRDefault="008918FA" w:rsidP="005D2B81"/>
        </w:tc>
        <w:tc>
          <w:tcPr>
            <w:tcW w:w="1558" w:type="dxa"/>
            <w:gridSpan w:val="4"/>
            <w:vMerge/>
            <w:tcBorders>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bottom w:val="nil"/>
              <w:right w:val="nil"/>
            </w:tcBorders>
          </w:tcPr>
          <w:p w:rsidR="008918FA" w:rsidRDefault="008918FA" w:rsidP="005D2B81"/>
        </w:tc>
        <w:tc>
          <w:tcPr>
            <w:tcW w:w="857" w:type="dxa"/>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1"/>
              </w:rPr>
              <w:t>Measure</w:t>
            </w:r>
          </w:p>
        </w:tc>
        <w:tc>
          <w:tcPr>
            <w:tcW w:w="1349" w:type="dxa"/>
            <w:gridSpan w:val="3"/>
            <w:tcBorders>
              <w:top w:val="nil"/>
              <w:left w:val="nil"/>
              <w:bottom w:val="nil"/>
              <w:right w:val="single" w:sz="5" w:space="0" w:color="000000"/>
            </w:tcBorders>
          </w:tcPr>
          <w:p w:rsidR="008918FA" w:rsidRDefault="008918FA" w:rsidP="005D2B81"/>
        </w:tc>
      </w:tr>
      <w:tr w:rsidR="008918FA" w:rsidTr="001C1527">
        <w:trPr>
          <w:trHeight w:hRule="exact" w:val="125"/>
        </w:trPr>
        <w:tc>
          <w:tcPr>
            <w:tcW w:w="1750" w:type="dxa"/>
            <w:gridSpan w:val="9"/>
            <w:vMerge/>
            <w:tcBorders>
              <w:left w:val="single" w:sz="5" w:space="0" w:color="000000"/>
              <w:bottom w:val="single" w:sz="5" w:space="0" w:color="000000"/>
              <w:right w:val="single" w:sz="5" w:space="0" w:color="000000"/>
            </w:tcBorders>
          </w:tcPr>
          <w:p w:rsidR="008918FA" w:rsidRDefault="008918FA" w:rsidP="005D2B81"/>
        </w:tc>
        <w:tc>
          <w:tcPr>
            <w:tcW w:w="1346" w:type="dxa"/>
            <w:gridSpan w:val="7"/>
            <w:vMerge/>
            <w:tcBorders>
              <w:left w:val="single" w:sz="5" w:space="0" w:color="000000"/>
              <w:bottom w:val="single" w:sz="5" w:space="0" w:color="000000"/>
              <w:right w:val="single" w:sz="5" w:space="0" w:color="000000"/>
            </w:tcBorders>
          </w:tcPr>
          <w:p w:rsidR="008918FA" w:rsidRDefault="008918FA" w:rsidP="005D2B81"/>
        </w:tc>
        <w:tc>
          <w:tcPr>
            <w:tcW w:w="1558" w:type="dxa"/>
            <w:gridSpan w:val="4"/>
            <w:vMerge/>
            <w:tcBorders>
              <w:left w:val="single" w:sz="5" w:space="0" w:color="000000"/>
              <w:bottom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bottom w:val="single" w:sz="5" w:space="0" w:color="000000"/>
              <w:right w:val="single" w:sz="5" w:space="0" w:color="000000"/>
            </w:tcBorders>
          </w:tcPr>
          <w:p w:rsidR="008918FA" w:rsidRDefault="008918FA" w:rsidP="005D2B81"/>
        </w:tc>
        <w:tc>
          <w:tcPr>
            <w:tcW w:w="2410" w:type="dxa"/>
            <w:gridSpan w:val="5"/>
            <w:tcBorders>
              <w:top w:val="nil"/>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257"/>
        </w:trPr>
        <w:tc>
          <w:tcPr>
            <w:tcW w:w="168" w:type="dxa"/>
            <w:vMerge w:val="restart"/>
            <w:tcBorders>
              <w:top w:val="single" w:sz="5" w:space="0" w:color="000000"/>
              <w:left w:val="single" w:sz="5" w:space="0" w:color="000000"/>
              <w:right w:val="nil"/>
            </w:tcBorders>
          </w:tcPr>
          <w:p w:rsidR="008918FA" w:rsidRDefault="008918FA" w:rsidP="005D2B81"/>
        </w:tc>
        <w:tc>
          <w:tcPr>
            <w:tcW w:w="1138" w:type="dxa"/>
            <w:gridSpan w:val="5"/>
            <w:tcBorders>
              <w:top w:val="single" w:sz="5" w:space="0" w:color="000000"/>
              <w:left w:val="nil"/>
              <w:bottom w:val="nil"/>
              <w:right w:val="nil"/>
            </w:tcBorders>
            <w:shd w:val="clear" w:color="auto" w:fill="FFFF00"/>
          </w:tcPr>
          <w:p w:rsidR="008918FA" w:rsidRDefault="008918FA" w:rsidP="005D2B81">
            <w:pPr>
              <w:pStyle w:val="TableParagraph"/>
              <w:spacing w:line="250" w:lineRule="exact"/>
              <w:rPr>
                <w:rFonts w:ascii="Arial" w:eastAsia="Arial" w:hAnsi="Arial" w:cs="Arial"/>
              </w:rPr>
            </w:pPr>
            <w:r>
              <w:rPr>
                <w:rFonts w:ascii="Arial"/>
                <w:spacing w:val="-1"/>
              </w:rPr>
              <w:t>Complaints</w:t>
            </w:r>
          </w:p>
        </w:tc>
        <w:tc>
          <w:tcPr>
            <w:tcW w:w="444" w:type="dxa"/>
            <w:gridSpan w:val="3"/>
            <w:tcBorders>
              <w:top w:val="single" w:sz="5" w:space="0" w:color="000000"/>
              <w:left w:val="nil"/>
              <w:bottom w:val="nil"/>
              <w:right w:val="single" w:sz="5" w:space="0" w:color="000000"/>
            </w:tcBorders>
          </w:tcPr>
          <w:p w:rsidR="008918FA" w:rsidRDefault="008918FA" w:rsidP="005D2B81"/>
        </w:tc>
        <w:tc>
          <w:tcPr>
            <w:tcW w:w="204" w:type="dxa"/>
            <w:vMerge w:val="restart"/>
            <w:tcBorders>
              <w:top w:val="single" w:sz="5" w:space="0" w:color="000000"/>
              <w:left w:val="single" w:sz="5" w:space="0" w:color="000000"/>
              <w:right w:val="nil"/>
            </w:tcBorders>
          </w:tcPr>
          <w:p w:rsidR="008918FA" w:rsidRDefault="008918FA" w:rsidP="005D2B81"/>
        </w:tc>
        <w:tc>
          <w:tcPr>
            <w:tcW w:w="1030" w:type="dxa"/>
            <w:gridSpan w:val="5"/>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68"/>
              <w:rPr>
                <w:rFonts w:ascii="Arial" w:eastAsia="Arial" w:hAnsi="Arial" w:cs="Arial"/>
              </w:rPr>
            </w:pPr>
            <w:r>
              <w:rPr>
                <w:rFonts w:ascii="Arial"/>
                <w:spacing w:val="-1"/>
              </w:rPr>
              <w:t>Availability/</w:t>
            </w:r>
          </w:p>
        </w:tc>
        <w:tc>
          <w:tcPr>
            <w:tcW w:w="113" w:type="dxa"/>
            <w:tcBorders>
              <w:top w:val="single" w:sz="5" w:space="0" w:color="000000"/>
              <w:left w:val="nil"/>
              <w:bottom w:val="nil"/>
              <w:right w:val="single" w:sz="5" w:space="0" w:color="000000"/>
            </w:tcBorders>
          </w:tcPr>
          <w:p w:rsidR="008918FA" w:rsidRDefault="008918FA" w:rsidP="005D2B81"/>
        </w:tc>
        <w:tc>
          <w:tcPr>
            <w:tcW w:w="108" w:type="dxa"/>
            <w:vMerge w:val="restart"/>
            <w:tcBorders>
              <w:top w:val="single" w:sz="5" w:space="0" w:color="000000"/>
              <w:left w:val="single" w:sz="5" w:space="0" w:color="000000"/>
              <w:right w:val="nil"/>
            </w:tcBorders>
          </w:tcPr>
          <w:p w:rsidR="008918FA" w:rsidRDefault="008918FA" w:rsidP="005D2B81"/>
        </w:tc>
        <w:tc>
          <w:tcPr>
            <w:tcW w:w="1344" w:type="dxa"/>
            <w:gridSpan w:val="2"/>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spacing w:val="-1"/>
              </w:rPr>
              <w:t>At</w:t>
            </w:r>
            <w:r>
              <w:rPr>
                <w:rFonts w:ascii="Arial"/>
                <w:spacing w:val="55"/>
              </w:rPr>
              <w:t xml:space="preserve"> </w:t>
            </w:r>
            <w:r>
              <w:rPr>
                <w:rFonts w:ascii="Arial"/>
                <w:spacing w:val="-1"/>
              </w:rPr>
              <w:t>least</w:t>
            </w:r>
            <w:r>
              <w:rPr>
                <w:rFonts w:ascii="Arial"/>
                <w:spacing w:val="55"/>
              </w:rPr>
              <w:t xml:space="preserve"> </w:t>
            </w:r>
            <w:r>
              <w:rPr>
                <w:rFonts w:ascii="Arial"/>
                <w:spacing w:val="-1"/>
              </w:rPr>
              <w:t>98%</w:t>
            </w:r>
          </w:p>
        </w:tc>
        <w:tc>
          <w:tcPr>
            <w:tcW w:w="106" w:type="dxa"/>
            <w:tcBorders>
              <w:top w:val="single" w:sz="5" w:space="0" w:color="000000"/>
              <w:left w:val="nil"/>
              <w:bottom w:val="nil"/>
              <w:right w:val="single" w:sz="5" w:space="0" w:color="000000"/>
            </w:tcBorders>
          </w:tcPr>
          <w:p w:rsidR="008918FA" w:rsidRDefault="008918FA" w:rsidP="005D2B81"/>
        </w:tc>
        <w:tc>
          <w:tcPr>
            <w:tcW w:w="204" w:type="dxa"/>
            <w:tcBorders>
              <w:top w:val="single" w:sz="5" w:space="0" w:color="000000"/>
              <w:left w:val="single" w:sz="5" w:space="0" w:color="000000"/>
              <w:bottom w:val="nil"/>
              <w:right w:val="nil"/>
            </w:tcBorders>
          </w:tcPr>
          <w:p w:rsidR="008918FA" w:rsidRDefault="008918FA" w:rsidP="005D2B81"/>
        </w:tc>
        <w:tc>
          <w:tcPr>
            <w:tcW w:w="305" w:type="dxa"/>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rPr>
              <w:t xml:space="preserve">[ </w:t>
            </w:r>
            <w:r>
              <w:rPr>
                <w:rFonts w:ascii="Arial"/>
                <w:spacing w:val="61"/>
              </w:rPr>
              <w:t xml:space="preserve"> </w:t>
            </w:r>
            <w:r>
              <w:rPr>
                <w:rFonts w:ascii="Arial"/>
              </w:rPr>
              <w:t>]</w:t>
            </w:r>
          </w:p>
        </w:tc>
        <w:tc>
          <w:tcPr>
            <w:tcW w:w="898" w:type="dxa"/>
            <w:tcBorders>
              <w:top w:val="single" w:sz="5" w:space="0" w:color="000000"/>
              <w:left w:val="nil"/>
              <w:bottom w:val="nil"/>
              <w:right w:val="single" w:sz="5" w:space="0" w:color="000000"/>
            </w:tcBorders>
          </w:tcPr>
          <w:p w:rsidR="008918FA" w:rsidRDefault="008918FA" w:rsidP="005D2B81"/>
        </w:tc>
        <w:tc>
          <w:tcPr>
            <w:tcW w:w="204" w:type="dxa"/>
            <w:vMerge w:val="restart"/>
            <w:tcBorders>
              <w:top w:val="single" w:sz="5" w:space="0" w:color="000000"/>
              <w:left w:val="single" w:sz="5" w:space="0" w:color="000000"/>
              <w:right w:val="nil"/>
            </w:tcBorders>
          </w:tcPr>
          <w:p w:rsidR="008918FA" w:rsidRDefault="008918FA" w:rsidP="005D2B81"/>
        </w:tc>
        <w:tc>
          <w:tcPr>
            <w:tcW w:w="2098" w:type="dxa"/>
            <w:gridSpan w:val="3"/>
            <w:vMerge w:val="restart"/>
            <w:tcBorders>
              <w:top w:val="single" w:sz="5" w:space="0" w:color="000000"/>
              <w:left w:val="nil"/>
              <w:right w:val="nil"/>
            </w:tcBorders>
            <w:shd w:val="clear" w:color="auto" w:fill="FFFF00"/>
          </w:tcPr>
          <w:p w:rsidR="008918FA" w:rsidRDefault="008918FA" w:rsidP="005D2B81">
            <w:pPr>
              <w:pStyle w:val="TableParagraph"/>
              <w:ind w:right="-2"/>
              <w:jc w:val="both"/>
              <w:rPr>
                <w:rFonts w:ascii="Arial" w:eastAsia="Arial" w:hAnsi="Arial" w:cs="Arial"/>
              </w:rPr>
            </w:pPr>
            <w:r>
              <w:rPr>
                <w:rFonts w:ascii="Arial"/>
                <w:spacing w:val="-1"/>
              </w:rPr>
              <w:t>0.5%</w:t>
            </w:r>
            <w:r>
              <w:rPr>
                <w:rFonts w:ascii="Arial"/>
                <w:spacing w:val="14"/>
              </w:rPr>
              <w:t xml:space="preserve"> </w:t>
            </w:r>
            <w:r>
              <w:rPr>
                <w:rFonts w:ascii="Arial"/>
                <w:spacing w:val="-2"/>
              </w:rPr>
              <w:t>Service</w:t>
            </w:r>
            <w:r>
              <w:rPr>
                <w:rFonts w:ascii="Arial"/>
                <w:spacing w:val="16"/>
              </w:rPr>
              <w:t xml:space="preserve"> </w:t>
            </w:r>
            <w:r>
              <w:rPr>
                <w:rFonts w:ascii="Arial"/>
                <w:spacing w:val="-1"/>
              </w:rPr>
              <w:t>Credit</w:t>
            </w:r>
            <w:r>
              <w:rPr>
                <w:rFonts w:ascii="Arial"/>
                <w:spacing w:val="30"/>
              </w:rPr>
              <w:t xml:space="preserve"> </w:t>
            </w:r>
            <w:r>
              <w:rPr>
                <w:rFonts w:ascii="Arial"/>
                <w:spacing w:val="-1"/>
              </w:rPr>
              <w:t>gained</w:t>
            </w:r>
            <w:r>
              <w:rPr>
                <w:rFonts w:ascii="Arial"/>
                <w:spacing w:val="44"/>
              </w:rPr>
              <w:t xml:space="preserve"> </w:t>
            </w:r>
            <w:r>
              <w:rPr>
                <w:rFonts w:ascii="Arial"/>
              </w:rPr>
              <w:t>for</w:t>
            </w:r>
            <w:r>
              <w:rPr>
                <w:rFonts w:ascii="Arial"/>
                <w:spacing w:val="45"/>
              </w:rPr>
              <w:t xml:space="preserve"> </w:t>
            </w:r>
            <w:r>
              <w:rPr>
                <w:rFonts w:ascii="Arial"/>
                <w:spacing w:val="-1"/>
              </w:rPr>
              <w:t>each</w:t>
            </w:r>
            <w:r>
              <w:rPr>
                <w:rFonts w:ascii="Arial"/>
                <w:spacing w:val="23"/>
              </w:rPr>
              <w:t xml:space="preserve"> </w:t>
            </w:r>
            <w:r>
              <w:rPr>
                <w:rFonts w:ascii="Arial"/>
                <w:spacing w:val="-1"/>
              </w:rPr>
              <w:t>percentage</w:t>
            </w:r>
            <w:r>
              <w:rPr>
                <w:rFonts w:ascii="Arial"/>
                <w:spacing w:val="3"/>
              </w:rPr>
              <w:t xml:space="preserve"> </w:t>
            </w:r>
            <w:r>
              <w:rPr>
                <w:rFonts w:ascii="Arial"/>
                <w:spacing w:val="-2"/>
              </w:rPr>
              <w:t>under</w:t>
            </w:r>
            <w:r>
              <w:rPr>
                <w:rFonts w:ascii="Arial"/>
                <w:spacing w:val="2"/>
              </w:rPr>
              <w:t xml:space="preserve"> </w:t>
            </w:r>
            <w:r>
              <w:rPr>
                <w:rFonts w:ascii="Arial"/>
                <w:spacing w:val="-1"/>
              </w:rPr>
              <w:t>the</w:t>
            </w:r>
            <w:r>
              <w:rPr>
                <w:rFonts w:ascii="Arial"/>
                <w:spacing w:val="24"/>
              </w:rPr>
              <w:t xml:space="preserve"> </w:t>
            </w:r>
            <w:r>
              <w:rPr>
                <w:rFonts w:ascii="Arial"/>
                <w:spacing w:val="-1"/>
              </w:rPr>
              <w:t>specified</w:t>
            </w:r>
            <w:r>
              <w:rPr>
                <w:rFonts w:ascii="Arial"/>
                <w:spacing w:val="7"/>
              </w:rPr>
              <w:t xml:space="preserve"> </w:t>
            </w:r>
            <w:r>
              <w:rPr>
                <w:rFonts w:ascii="Arial"/>
                <w:spacing w:val="-2"/>
              </w:rPr>
              <w:t>Service</w:t>
            </w:r>
            <w:r>
              <w:rPr>
                <w:rFonts w:ascii="Arial"/>
                <w:spacing w:val="27"/>
              </w:rPr>
              <w:t xml:space="preserve"> </w:t>
            </w:r>
            <w:r>
              <w:rPr>
                <w:rFonts w:ascii="Arial"/>
                <w:spacing w:val="-2"/>
              </w:rPr>
              <w:t>Level</w:t>
            </w:r>
            <w:r>
              <w:rPr>
                <w:rFonts w:ascii="Arial"/>
              </w:rPr>
              <w:t xml:space="preserve">    </w:t>
            </w:r>
            <w:r>
              <w:rPr>
                <w:rFonts w:ascii="Arial"/>
                <w:spacing w:val="7"/>
              </w:rPr>
              <w:t xml:space="preserve"> </w:t>
            </w:r>
            <w:r>
              <w:rPr>
                <w:rFonts w:ascii="Arial"/>
                <w:spacing w:val="-1"/>
              </w:rPr>
              <w:t>Performance</w:t>
            </w:r>
          </w:p>
        </w:tc>
        <w:tc>
          <w:tcPr>
            <w:tcW w:w="108" w:type="dxa"/>
            <w:vMerge w:val="restart"/>
            <w:tcBorders>
              <w:top w:val="single" w:sz="5" w:space="0" w:color="000000"/>
              <w:left w:val="nil"/>
              <w:right w:val="single" w:sz="5" w:space="0" w:color="000000"/>
            </w:tcBorders>
          </w:tcPr>
          <w:p w:rsidR="008918FA" w:rsidRDefault="008918FA" w:rsidP="005D2B81"/>
        </w:tc>
      </w:tr>
      <w:tr w:rsidR="008918FA" w:rsidTr="001C1527">
        <w:trPr>
          <w:trHeight w:hRule="exact" w:val="254"/>
        </w:trPr>
        <w:tc>
          <w:tcPr>
            <w:tcW w:w="168" w:type="dxa"/>
            <w:vMerge/>
            <w:tcBorders>
              <w:left w:val="single" w:sz="5" w:space="0" w:color="000000"/>
              <w:bottom w:val="nil"/>
              <w:right w:val="nil"/>
            </w:tcBorders>
          </w:tcPr>
          <w:p w:rsidR="008918FA" w:rsidRDefault="008918FA" w:rsidP="005D2B81"/>
        </w:tc>
        <w:tc>
          <w:tcPr>
            <w:tcW w:w="881" w:type="dxa"/>
            <w:gridSpan w:val="3"/>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2"/>
              </w:rPr>
              <w:t>Handling</w:t>
            </w:r>
          </w:p>
        </w:tc>
        <w:tc>
          <w:tcPr>
            <w:tcW w:w="701" w:type="dxa"/>
            <w:gridSpan w:val="5"/>
            <w:tcBorders>
              <w:top w:val="nil"/>
              <w:left w:val="nil"/>
              <w:bottom w:val="nil"/>
              <w:right w:val="single" w:sz="5" w:space="0" w:color="000000"/>
            </w:tcBorders>
          </w:tcPr>
          <w:p w:rsidR="008918FA" w:rsidRDefault="008918FA" w:rsidP="005D2B81"/>
        </w:tc>
        <w:tc>
          <w:tcPr>
            <w:tcW w:w="204" w:type="dxa"/>
            <w:vMerge/>
            <w:tcBorders>
              <w:left w:val="single" w:sz="5" w:space="0" w:color="000000"/>
              <w:bottom w:val="nil"/>
              <w:right w:val="nil"/>
            </w:tcBorders>
          </w:tcPr>
          <w:p w:rsidR="008918FA" w:rsidRDefault="008918FA" w:rsidP="005D2B81"/>
        </w:tc>
        <w:tc>
          <w:tcPr>
            <w:tcW w:w="905" w:type="dxa"/>
            <w:gridSpan w:val="3"/>
            <w:tcBorders>
              <w:top w:val="nil"/>
              <w:left w:val="nil"/>
              <w:bottom w:val="nil"/>
              <w:right w:val="nil"/>
            </w:tcBorders>
            <w:shd w:val="clear" w:color="auto" w:fill="FFFF00"/>
          </w:tcPr>
          <w:p w:rsidR="008918FA" w:rsidRDefault="008918FA" w:rsidP="005D2B81">
            <w:pPr>
              <w:pStyle w:val="TableParagraph"/>
              <w:spacing w:line="251" w:lineRule="exact"/>
              <w:ind w:right="-39"/>
              <w:rPr>
                <w:rFonts w:ascii="Arial" w:eastAsia="Arial" w:hAnsi="Arial" w:cs="Arial"/>
              </w:rPr>
            </w:pPr>
            <w:r>
              <w:rPr>
                <w:rFonts w:ascii="Arial"/>
                <w:spacing w:val="-1"/>
              </w:rPr>
              <w:t>Timelines</w:t>
            </w:r>
          </w:p>
        </w:tc>
        <w:tc>
          <w:tcPr>
            <w:tcW w:w="238" w:type="dxa"/>
            <w:gridSpan w:val="3"/>
            <w:tcBorders>
              <w:top w:val="nil"/>
              <w:left w:val="nil"/>
              <w:bottom w:val="nil"/>
              <w:right w:val="single" w:sz="5" w:space="0" w:color="000000"/>
            </w:tcBorders>
          </w:tcPr>
          <w:p w:rsidR="008918FA" w:rsidRDefault="008918FA" w:rsidP="005D2B81"/>
        </w:tc>
        <w:tc>
          <w:tcPr>
            <w:tcW w:w="108" w:type="dxa"/>
            <w:vMerge/>
            <w:tcBorders>
              <w:left w:val="single" w:sz="5" w:space="0" w:color="000000"/>
              <w:bottom w:val="nil"/>
              <w:right w:val="nil"/>
            </w:tcBorders>
          </w:tcPr>
          <w:p w:rsidR="008918FA" w:rsidRDefault="008918FA" w:rsidP="005D2B81"/>
        </w:tc>
        <w:tc>
          <w:tcPr>
            <w:tcW w:w="1051" w:type="dxa"/>
            <w:tcBorders>
              <w:top w:val="nil"/>
              <w:left w:val="nil"/>
              <w:bottom w:val="nil"/>
              <w:right w:val="nil"/>
            </w:tcBorders>
            <w:shd w:val="clear" w:color="auto" w:fill="FFFF00"/>
          </w:tcPr>
          <w:p w:rsidR="008918FA" w:rsidRDefault="008918FA" w:rsidP="005D2B81">
            <w:pPr>
              <w:pStyle w:val="TableParagraph"/>
              <w:spacing w:line="251" w:lineRule="exact"/>
              <w:ind w:right="-2"/>
              <w:rPr>
                <w:rFonts w:ascii="Arial" w:eastAsia="Arial" w:hAnsi="Arial" w:cs="Arial"/>
              </w:rPr>
            </w:pPr>
            <w:r>
              <w:rPr>
                <w:rFonts w:ascii="Arial"/>
                <w:spacing w:val="-1"/>
              </w:rPr>
              <w:t>at</w:t>
            </w:r>
            <w:r>
              <w:rPr>
                <w:rFonts w:ascii="Arial"/>
                <w:spacing w:val="2"/>
              </w:rPr>
              <w:t xml:space="preserve"> </w:t>
            </w:r>
            <w:r>
              <w:rPr>
                <w:rFonts w:ascii="Arial"/>
                <w:spacing w:val="-1"/>
              </w:rPr>
              <w:t>all</w:t>
            </w:r>
            <w:r>
              <w:rPr>
                <w:rFonts w:ascii="Arial"/>
              </w:rPr>
              <w:t xml:space="preserve"> </w:t>
            </w:r>
            <w:r>
              <w:rPr>
                <w:rFonts w:ascii="Arial"/>
                <w:spacing w:val="-1"/>
              </w:rPr>
              <w:t>times</w:t>
            </w:r>
          </w:p>
        </w:tc>
        <w:tc>
          <w:tcPr>
            <w:tcW w:w="398" w:type="dxa"/>
            <w:gridSpan w:val="2"/>
            <w:tcBorders>
              <w:top w:val="nil"/>
              <w:left w:val="nil"/>
              <w:bottom w:val="nil"/>
              <w:right w:val="single" w:sz="5" w:space="0" w:color="000000"/>
            </w:tcBorders>
            <w:shd w:val="clear" w:color="auto" w:fill="auto"/>
          </w:tcPr>
          <w:p w:rsidR="008918FA" w:rsidRPr="001C1527" w:rsidRDefault="008918FA" w:rsidP="005D2B81"/>
        </w:tc>
        <w:tc>
          <w:tcPr>
            <w:tcW w:w="1406" w:type="dxa"/>
            <w:gridSpan w:val="3"/>
            <w:vMerge w:val="restart"/>
            <w:tcBorders>
              <w:top w:val="nil"/>
              <w:left w:val="single" w:sz="5" w:space="0" w:color="000000"/>
              <w:right w:val="single" w:sz="5" w:space="0" w:color="000000"/>
            </w:tcBorders>
            <w:shd w:val="clear" w:color="auto" w:fill="auto"/>
          </w:tcPr>
          <w:p w:rsidR="008918FA" w:rsidRPr="001C1527"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1C1527">
        <w:trPr>
          <w:trHeight w:hRule="exact" w:val="758"/>
        </w:trPr>
        <w:tc>
          <w:tcPr>
            <w:tcW w:w="1750" w:type="dxa"/>
            <w:gridSpan w:val="9"/>
            <w:vMerge w:val="restart"/>
            <w:tcBorders>
              <w:top w:val="nil"/>
              <w:left w:val="single" w:sz="5" w:space="0" w:color="000000"/>
              <w:right w:val="single" w:sz="5" w:space="0" w:color="000000"/>
            </w:tcBorders>
          </w:tcPr>
          <w:p w:rsidR="008918FA" w:rsidRDefault="008918FA" w:rsidP="005D2B81"/>
        </w:tc>
        <w:tc>
          <w:tcPr>
            <w:tcW w:w="1346" w:type="dxa"/>
            <w:gridSpan w:val="7"/>
            <w:vMerge w:val="restart"/>
            <w:tcBorders>
              <w:top w:val="nil"/>
              <w:left w:val="single" w:sz="5" w:space="0" w:color="000000"/>
              <w:right w:val="single" w:sz="5" w:space="0" w:color="000000"/>
            </w:tcBorders>
          </w:tcPr>
          <w:p w:rsidR="008918FA" w:rsidRDefault="008918FA" w:rsidP="005D2B81"/>
        </w:tc>
        <w:tc>
          <w:tcPr>
            <w:tcW w:w="1558" w:type="dxa"/>
            <w:gridSpan w:val="4"/>
            <w:vMerge w:val="restart"/>
            <w:tcBorders>
              <w:top w:val="nil"/>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shd w:val="clear" w:color="auto" w:fill="auto"/>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bottom w:val="nil"/>
              <w:right w:val="nil"/>
            </w:tcBorders>
            <w:shd w:val="clear" w:color="auto" w:fill="FFFF00"/>
          </w:tcPr>
          <w:p w:rsidR="008918FA" w:rsidRDefault="008918FA" w:rsidP="005D2B81"/>
        </w:tc>
        <w:tc>
          <w:tcPr>
            <w:tcW w:w="108" w:type="dxa"/>
            <w:vMerge/>
            <w:tcBorders>
              <w:left w:val="nil"/>
              <w:bottom w:val="nil"/>
              <w:right w:val="single" w:sz="5" w:space="0" w:color="000000"/>
            </w:tcBorders>
          </w:tcPr>
          <w:p w:rsidR="008918FA" w:rsidRDefault="008918FA" w:rsidP="005D2B81"/>
        </w:tc>
      </w:tr>
      <w:tr w:rsidR="008918FA" w:rsidTr="001C1527">
        <w:trPr>
          <w:trHeight w:hRule="exact" w:val="252"/>
        </w:trPr>
        <w:tc>
          <w:tcPr>
            <w:tcW w:w="1750" w:type="dxa"/>
            <w:gridSpan w:val="9"/>
            <w:vMerge/>
            <w:tcBorders>
              <w:left w:val="single" w:sz="5" w:space="0" w:color="000000"/>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tcPr>
          <w:p w:rsidR="008918FA" w:rsidRDefault="008918FA" w:rsidP="005D2B81"/>
        </w:tc>
        <w:tc>
          <w:tcPr>
            <w:tcW w:w="1558" w:type="dxa"/>
            <w:gridSpan w:val="4"/>
            <w:vMerge/>
            <w:tcBorders>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shd w:val="clear" w:color="auto" w:fill="auto"/>
          </w:tcPr>
          <w:p w:rsidR="008918FA" w:rsidRDefault="008918FA" w:rsidP="005D2B81"/>
        </w:tc>
        <w:tc>
          <w:tcPr>
            <w:tcW w:w="204" w:type="dxa"/>
            <w:vMerge/>
            <w:tcBorders>
              <w:left w:val="single" w:sz="5" w:space="0" w:color="000000"/>
              <w:bottom w:val="nil"/>
              <w:right w:val="nil"/>
            </w:tcBorders>
          </w:tcPr>
          <w:p w:rsidR="008918FA" w:rsidRDefault="008918FA" w:rsidP="005D2B81"/>
        </w:tc>
        <w:tc>
          <w:tcPr>
            <w:tcW w:w="857" w:type="dxa"/>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1"/>
              </w:rPr>
              <w:t>Measure</w:t>
            </w:r>
          </w:p>
        </w:tc>
        <w:tc>
          <w:tcPr>
            <w:tcW w:w="1349" w:type="dxa"/>
            <w:gridSpan w:val="3"/>
            <w:tcBorders>
              <w:top w:val="nil"/>
              <w:left w:val="nil"/>
              <w:bottom w:val="nil"/>
              <w:right w:val="single" w:sz="5" w:space="0" w:color="000000"/>
            </w:tcBorders>
          </w:tcPr>
          <w:p w:rsidR="008918FA" w:rsidRDefault="008918FA" w:rsidP="005D2B81"/>
        </w:tc>
      </w:tr>
      <w:tr w:rsidR="008918FA" w:rsidTr="001C1527">
        <w:trPr>
          <w:trHeight w:hRule="exact" w:val="125"/>
        </w:trPr>
        <w:tc>
          <w:tcPr>
            <w:tcW w:w="1750" w:type="dxa"/>
            <w:gridSpan w:val="9"/>
            <w:vMerge/>
            <w:tcBorders>
              <w:left w:val="single" w:sz="5" w:space="0" w:color="000000"/>
              <w:bottom w:val="single" w:sz="5" w:space="0" w:color="000000"/>
              <w:right w:val="single" w:sz="5" w:space="0" w:color="000000"/>
            </w:tcBorders>
          </w:tcPr>
          <w:p w:rsidR="008918FA" w:rsidRDefault="008918FA" w:rsidP="005D2B81"/>
        </w:tc>
        <w:tc>
          <w:tcPr>
            <w:tcW w:w="1346" w:type="dxa"/>
            <w:gridSpan w:val="7"/>
            <w:vMerge/>
            <w:tcBorders>
              <w:left w:val="single" w:sz="5" w:space="0" w:color="000000"/>
              <w:bottom w:val="single" w:sz="5" w:space="0" w:color="000000"/>
              <w:right w:val="single" w:sz="5" w:space="0" w:color="000000"/>
            </w:tcBorders>
          </w:tcPr>
          <w:p w:rsidR="008918FA" w:rsidRDefault="008918FA" w:rsidP="005D2B81"/>
        </w:tc>
        <w:tc>
          <w:tcPr>
            <w:tcW w:w="1558" w:type="dxa"/>
            <w:gridSpan w:val="4"/>
            <w:vMerge/>
            <w:tcBorders>
              <w:left w:val="single" w:sz="5" w:space="0" w:color="000000"/>
              <w:bottom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bottom w:val="single" w:sz="5" w:space="0" w:color="000000"/>
              <w:right w:val="single" w:sz="5" w:space="0" w:color="000000"/>
            </w:tcBorders>
            <w:shd w:val="clear" w:color="auto" w:fill="auto"/>
          </w:tcPr>
          <w:p w:rsidR="008918FA" w:rsidRDefault="008918FA" w:rsidP="005D2B81"/>
        </w:tc>
        <w:tc>
          <w:tcPr>
            <w:tcW w:w="2410" w:type="dxa"/>
            <w:gridSpan w:val="5"/>
            <w:tcBorders>
              <w:top w:val="nil"/>
              <w:left w:val="single" w:sz="5" w:space="0" w:color="000000"/>
              <w:bottom w:val="single" w:sz="5" w:space="0" w:color="000000"/>
              <w:right w:val="single" w:sz="5" w:space="0" w:color="000000"/>
            </w:tcBorders>
          </w:tcPr>
          <w:p w:rsidR="008918FA" w:rsidRDefault="008918FA" w:rsidP="005D2B81"/>
        </w:tc>
      </w:tr>
      <w:tr w:rsidR="008918FA" w:rsidTr="001C1527">
        <w:trPr>
          <w:trHeight w:hRule="exact" w:val="259"/>
        </w:trPr>
        <w:tc>
          <w:tcPr>
            <w:tcW w:w="168" w:type="dxa"/>
            <w:vMerge w:val="restart"/>
            <w:tcBorders>
              <w:top w:val="single" w:sz="5" w:space="0" w:color="000000"/>
              <w:left w:val="single" w:sz="5" w:space="0" w:color="000000"/>
              <w:right w:val="nil"/>
            </w:tcBorders>
          </w:tcPr>
          <w:p w:rsidR="008918FA" w:rsidRDefault="008918FA" w:rsidP="005D2B81"/>
        </w:tc>
        <w:tc>
          <w:tcPr>
            <w:tcW w:w="1474" w:type="dxa"/>
            <w:gridSpan w:val="7"/>
            <w:tcBorders>
              <w:top w:val="single" w:sz="5" w:space="0" w:color="000000"/>
              <w:left w:val="nil"/>
              <w:bottom w:val="nil"/>
              <w:right w:val="nil"/>
            </w:tcBorders>
            <w:shd w:val="clear" w:color="auto" w:fill="auto"/>
          </w:tcPr>
          <w:p w:rsidR="008918FA" w:rsidRPr="001C1527" w:rsidRDefault="008918FA" w:rsidP="005D2B81">
            <w:pPr>
              <w:pStyle w:val="TableParagraph"/>
              <w:tabs>
                <w:tab w:val="left" w:pos="1249"/>
              </w:tabs>
              <w:spacing w:line="252" w:lineRule="exact"/>
              <w:rPr>
                <w:rFonts w:ascii="Arial" w:eastAsia="Arial" w:hAnsi="Arial" w:cs="Arial"/>
                <w:highlight w:val="yellow"/>
              </w:rPr>
            </w:pPr>
            <w:r w:rsidRPr="001C1527">
              <w:rPr>
                <w:rFonts w:ascii="Arial"/>
                <w:spacing w:val="-2"/>
                <w:highlight w:val="yellow"/>
              </w:rPr>
              <w:t>provision</w:t>
            </w:r>
            <w:r w:rsidRPr="001C1527">
              <w:rPr>
                <w:rFonts w:ascii="Arial"/>
                <w:spacing w:val="-2"/>
                <w:highlight w:val="yellow"/>
              </w:rPr>
              <w:tab/>
            </w:r>
            <w:r w:rsidRPr="001C1527">
              <w:rPr>
                <w:rFonts w:ascii="Arial"/>
                <w:spacing w:val="-1"/>
                <w:highlight w:val="yellow"/>
              </w:rPr>
              <w:t>of</w:t>
            </w:r>
          </w:p>
        </w:tc>
        <w:tc>
          <w:tcPr>
            <w:tcW w:w="108" w:type="dxa"/>
            <w:tcBorders>
              <w:top w:val="single" w:sz="5" w:space="0" w:color="000000"/>
              <w:left w:val="nil"/>
              <w:bottom w:val="nil"/>
              <w:right w:val="single" w:sz="5" w:space="0" w:color="000000"/>
            </w:tcBorders>
            <w:shd w:val="clear" w:color="auto" w:fill="auto"/>
          </w:tcPr>
          <w:p w:rsidR="008918FA" w:rsidRPr="001C1527" w:rsidRDefault="008918FA" w:rsidP="005D2B81">
            <w:pPr>
              <w:rPr>
                <w:highlight w:val="yellow"/>
              </w:rPr>
            </w:pPr>
          </w:p>
        </w:tc>
        <w:tc>
          <w:tcPr>
            <w:tcW w:w="204" w:type="dxa"/>
            <w:tcBorders>
              <w:top w:val="single" w:sz="5" w:space="0" w:color="000000"/>
              <w:left w:val="single" w:sz="5" w:space="0" w:color="000000"/>
              <w:bottom w:val="nil"/>
              <w:right w:val="nil"/>
            </w:tcBorders>
          </w:tcPr>
          <w:p w:rsidR="008918FA" w:rsidRDefault="008918FA" w:rsidP="005D2B81"/>
        </w:tc>
        <w:tc>
          <w:tcPr>
            <w:tcW w:w="684" w:type="dxa"/>
            <w:tcBorders>
              <w:top w:val="single" w:sz="5" w:space="0" w:color="000000"/>
              <w:left w:val="nil"/>
              <w:bottom w:val="nil"/>
              <w:right w:val="nil"/>
            </w:tcBorders>
            <w:shd w:val="clear" w:color="auto" w:fill="FFFF00"/>
          </w:tcPr>
          <w:p w:rsidR="008918FA" w:rsidRDefault="008918FA" w:rsidP="005D2B81">
            <w:pPr>
              <w:pStyle w:val="TableParagraph"/>
              <w:spacing w:line="252" w:lineRule="exact"/>
              <w:ind w:right="-3"/>
              <w:rPr>
                <w:rFonts w:ascii="Arial" w:eastAsia="Arial" w:hAnsi="Arial" w:cs="Arial"/>
              </w:rPr>
            </w:pPr>
            <w:r>
              <w:rPr>
                <w:rFonts w:ascii="Arial"/>
                <w:spacing w:val="-1"/>
              </w:rPr>
              <w:t>Quality</w:t>
            </w:r>
          </w:p>
        </w:tc>
        <w:tc>
          <w:tcPr>
            <w:tcW w:w="458" w:type="dxa"/>
            <w:gridSpan w:val="5"/>
            <w:tcBorders>
              <w:top w:val="single" w:sz="5" w:space="0" w:color="000000"/>
              <w:left w:val="nil"/>
              <w:bottom w:val="nil"/>
              <w:right w:val="single" w:sz="5" w:space="0" w:color="000000"/>
            </w:tcBorders>
            <w:shd w:val="clear" w:color="auto" w:fill="auto"/>
          </w:tcPr>
          <w:p w:rsidR="008918FA" w:rsidRDefault="008918FA" w:rsidP="005D2B81"/>
        </w:tc>
        <w:tc>
          <w:tcPr>
            <w:tcW w:w="108" w:type="dxa"/>
            <w:vMerge w:val="restart"/>
            <w:tcBorders>
              <w:top w:val="single" w:sz="5" w:space="0" w:color="000000"/>
              <w:left w:val="single" w:sz="5" w:space="0" w:color="000000"/>
              <w:right w:val="nil"/>
            </w:tcBorders>
            <w:shd w:val="clear" w:color="auto" w:fill="auto"/>
          </w:tcPr>
          <w:p w:rsidR="008918FA" w:rsidRDefault="008918FA" w:rsidP="005D2B81"/>
        </w:tc>
        <w:tc>
          <w:tcPr>
            <w:tcW w:w="1344" w:type="dxa"/>
            <w:gridSpan w:val="2"/>
            <w:tcBorders>
              <w:top w:val="single" w:sz="5" w:space="0" w:color="000000"/>
              <w:left w:val="nil"/>
              <w:bottom w:val="nil"/>
              <w:right w:val="nil"/>
            </w:tcBorders>
            <w:shd w:val="clear" w:color="auto" w:fill="auto"/>
          </w:tcPr>
          <w:p w:rsidR="008918FA" w:rsidRPr="001C1527" w:rsidRDefault="008918FA" w:rsidP="005D2B81">
            <w:pPr>
              <w:pStyle w:val="TableParagraph"/>
              <w:spacing w:line="252" w:lineRule="exact"/>
              <w:ind w:right="-2"/>
              <w:rPr>
                <w:rFonts w:ascii="Arial" w:eastAsia="Arial" w:hAnsi="Arial" w:cs="Arial"/>
                <w:highlight w:val="yellow"/>
              </w:rPr>
            </w:pPr>
            <w:r w:rsidRPr="001C1527">
              <w:rPr>
                <w:rFonts w:ascii="Arial"/>
                <w:spacing w:val="-1"/>
                <w:highlight w:val="yellow"/>
              </w:rPr>
              <w:t>at</w:t>
            </w:r>
            <w:r w:rsidRPr="001C1527">
              <w:rPr>
                <w:rFonts w:ascii="Arial"/>
                <w:highlight w:val="yellow"/>
              </w:rPr>
              <w:t xml:space="preserve"> </w:t>
            </w:r>
            <w:r w:rsidRPr="001C1527">
              <w:rPr>
                <w:rFonts w:ascii="Arial"/>
                <w:spacing w:val="5"/>
                <w:highlight w:val="yellow"/>
              </w:rPr>
              <w:t xml:space="preserve"> </w:t>
            </w:r>
            <w:r w:rsidRPr="001C1527">
              <w:rPr>
                <w:rFonts w:ascii="Arial"/>
                <w:spacing w:val="-1"/>
                <w:highlight w:val="yellow"/>
              </w:rPr>
              <w:t>least</w:t>
            </w:r>
            <w:r w:rsidRPr="001C1527">
              <w:rPr>
                <w:rFonts w:ascii="Arial"/>
                <w:highlight w:val="yellow"/>
              </w:rPr>
              <w:t xml:space="preserve"> </w:t>
            </w:r>
            <w:r w:rsidRPr="001C1527">
              <w:rPr>
                <w:rFonts w:ascii="Arial"/>
                <w:spacing w:val="6"/>
                <w:highlight w:val="yellow"/>
              </w:rPr>
              <w:t xml:space="preserve"> </w:t>
            </w:r>
            <w:r w:rsidRPr="001C1527">
              <w:rPr>
                <w:rFonts w:ascii="Arial"/>
                <w:spacing w:val="-1"/>
                <w:highlight w:val="yellow"/>
              </w:rPr>
              <w:t>98%</w:t>
            </w:r>
          </w:p>
        </w:tc>
        <w:tc>
          <w:tcPr>
            <w:tcW w:w="106" w:type="dxa"/>
            <w:tcBorders>
              <w:top w:val="single" w:sz="5" w:space="0" w:color="000000"/>
              <w:left w:val="nil"/>
              <w:bottom w:val="nil"/>
              <w:right w:val="single" w:sz="5" w:space="0" w:color="000000"/>
            </w:tcBorders>
            <w:shd w:val="clear" w:color="auto" w:fill="auto"/>
          </w:tcPr>
          <w:p w:rsidR="008918FA" w:rsidRPr="001C1527" w:rsidRDefault="008918FA" w:rsidP="005D2B81">
            <w:pPr>
              <w:rPr>
                <w:highlight w:val="yellow"/>
              </w:rPr>
            </w:pPr>
          </w:p>
        </w:tc>
        <w:tc>
          <w:tcPr>
            <w:tcW w:w="204" w:type="dxa"/>
            <w:tcBorders>
              <w:top w:val="single" w:sz="5" w:space="0" w:color="000000"/>
              <w:left w:val="single" w:sz="5" w:space="0" w:color="000000"/>
              <w:bottom w:val="nil"/>
              <w:right w:val="nil"/>
            </w:tcBorders>
          </w:tcPr>
          <w:p w:rsidR="008918FA" w:rsidRDefault="008918FA" w:rsidP="005D2B81"/>
        </w:tc>
        <w:tc>
          <w:tcPr>
            <w:tcW w:w="305" w:type="dxa"/>
            <w:tcBorders>
              <w:top w:val="single" w:sz="5" w:space="0" w:color="000000"/>
              <w:left w:val="nil"/>
              <w:bottom w:val="nil"/>
              <w:right w:val="nil"/>
            </w:tcBorders>
            <w:shd w:val="clear" w:color="auto" w:fill="FFFF00"/>
          </w:tcPr>
          <w:p w:rsidR="008918FA" w:rsidRDefault="008918FA" w:rsidP="005D2B81">
            <w:pPr>
              <w:pStyle w:val="TableParagraph"/>
              <w:spacing w:line="252" w:lineRule="exact"/>
              <w:ind w:right="-2"/>
              <w:rPr>
                <w:rFonts w:ascii="Arial" w:eastAsia="Arial" w:hAnsi="Arial" w:cs="Arial"/>
              </w:rPr>
            </w:pPr>
            <w:r>
              <w:rPr>
                <w:rFonts w:ascii="Arial"/>
              </w:rPr>
              <w:t xml:space="preserve">[ </w:t>
            </w:r>
            <w:r>
              <w:rPr>
                <w:rFonts w:ascii="Arial"/>
                <w:spacing w:val="61"/>
              </w:rPr>
              <w:t xml:space="preserve"> </w:t>
            </w:r>
            <w:r>
              <w:rPr>
                <w:rFonts w:ascii="Arial"/>
              </w:rPr>
              <w:t>]</w:t>
            </w:r>
          </w:p>
        </w:tc>
        <w:tc>
          <w:tcPr>
            <w:tcW w:w="898" w:type="dxa"/>
            <w:tcBorders>
              <w:top w:val="single" w:sz="5" w:space="0" w:color="000000"/>
              <w:left w:val="nil"/>
              <w:bottom w:val="nil"/>
              <w:right w:val="single" w:sz="5" w:space="0" w:color="000000"/>
            </w:tcBorders>
          </w:tcPr>
          <w:p w:rsidR="008918FA" w:rsidRDefault="008918FA" w:rsidP="005D2B81"/>
        </w:tc>
        <w:tc>
          <w:tcPr>
            <w:tcW w:w="204" w:type="dxa"/>
            <w:vMerge w:val="restart"/>
            <w:tcBorders>
              <w:top w:val="single" w:sz="5" w:space="0" w:color="000000"/>
              <w:left w:val="single" w:sz="5" w:space="0" w:color="000000"/>
              <w:right w:val="nil"/>
            </w:tcBorders>
          </w:tcPr>
          <w:p w:rsidR="008918FA" w:rsidRDefault="008918FA" w:rsidP="005D2B81"/>
        </w:tc>
        <w:tc>
          <w:tcPr>
            <w:tcW w:w="2098" w:type="dxa"/>
            <w:gridSpan w:val="3"/>
            <w:vMerge w:val="restart"/>
            <w:tcBorders>
              <w:top w:val="single" w:sz="5" w:space="0" w:color="000000"/>
              <w:left w:val="nil"/>
              <w:right w:val="nil"/>
            </w:tcBorders>
            <w:shd w:val="clear" w:color="auto" w:fill="FFFF00"/>
          </w:tcPr>
          <w:p w:rsidR="008918FA" w:rsidRDefault="008918FA" w:rsidP="005D2B81">
            <w:pPr>
              <w:pStyle w:val="TableParagraph"/>
              <w:ind w:right="-2"/>
              <w:jc w:val="both"/>
              <w:rPr>
                <w:rFonts w:ascii="Arial" w:eastAsia="Arial" w:hAnsi="Arial" w:cs="Arial"/>
              </w:rPr>
            </w:pPr>
            <w:r>
              <w:rPr>
                <w:rFonts w:ascii="Arial"/>
                <w:spacing w:val="-1"/>
              </w:rPr>
              <w:t>2%</w:t>
            </w:r>
            <w:r>
              <w:rPr>
                <w:rFonts w:ascii="Arial"/>
                <w:spacing w:val="47"/>
              </w:rPr>
              <w:t xml:space="preserve"> </w:t>
            </w:r>
            <w:r>
              <w:rPr>
                <w:rFonts w:ascii="Arial"/>
                <w:spacing w:val="-2"/>
              </w:rPr>
              <w:t>Service</w:t>
            </w:r>
            <w:r>
              <w:rPr>
                <w:rFonts w:ascii="Arial"/>
                <w:spacing w:val="46"/>
              </w:rPr>
              <w:t xml:space="preserve"> </w:t>
            </w:r>
            <w:r>
              <w:rPr>
                <w:rFonts w:ascii="Arial"/>
                <w:spacing w:val="-1"/>
              </w:rPr>
              <w:t>Credit</w:t>
            </w:r>
            <w:r>
              <w:rPr>
                <w:rFonts w:ascii="Arial"/>
                <w:spacing w:val="28"/>
              </w:rPr>
              <w:t xml:space="preserve"> </w:t>
            </w:r>
            <w:r>
              <w:rPr>
                <w:rFonts w:ascii="Arial"/>
                <w:spacing w:val="-1"/>
              </w:rPr>
              <w:t>gained</w:t>
            </w:r>
            <w:r>
              <w:rPr>
                <w:rFonts w:ascii="Arial"/>
                <w:spacing w:val="44"/>
              </w:rPr>
              <w:t xml:space="preserve"> </w:t>
            </w:r>
            <w:r>
              <w:rPr>
                <w:rFonts w:ascii="Arial"/>
              </w:rPr>
              <w:t>for</w:t>
            </w:r>
            <w:r>
              <w:rPr>
                <w:rFonts w:ascii="Arial"/>
                <w:spacing w:val="45"/>
              </w:rPr>
              <w:t xml:space="preserve"> </w:t>
            </w:r>
            <w:r>
              <w:rPr>
                <w:rFonts w:ascii="Arial"/>
                <w:spacing w:val="-1"/>
              </w:rPr>
              <w:t>each</w:t>
            </w:r>
            <w:r>
              <w:rPr>
                <w:rFonts w:ascii="Arial"/>
                <w:spacing w:val="23"/>
              </w:rPr>
              <w:t xml:space="preserve"> </w:t>
            </w:r>
            <w:r>
              <w:rPr>
                <w:rFonts w:ascii="Arial"/>
                <w:spacing w:val="-1"/>
              </w:rPr>
              <w:t>percentage</w:t>
            </w:r>
            <w:r>
              <w:rPr>
                <w:rFonts w:ascii="Arial"/>
                <w:spacing w:val="3"/>
              </w:rPr>
              <w:t xml:space="preserve"> </w:t>
            </w:r>
            <w:r>
              <w:rPr>
                <w:rFonts w:ascii="Arial"/>
                <w:spacing w:val="-2"/>
              </w:rPr>
              <w:t>under</w:t>
            </w:r>
            <w:r>
              <w:rPr>
                <w:rFonts w:ascii="Arial"/>
                <w:spacing w:val="2"/>
              </w:rPr>
              <w:t xml:space="preserve"> </w:t>
            </w:r>
            <w:r>
              <w:rPr>
                <w:rFonts w:ascii="Arial"/>
                <w:spacing w:val="-1"/>
              </w:rPr>
              <w:t>the</w:t>
            </w:r>
            <w:r>
              <w:rPr>
                <w:rFonts w:ascii="Arial"/>
                <w:spacing w:val="24"/>
              </w:rPr>
              <w:t xml:space="preserve"> </w:t>
            </w:r>
            <w:r>
              <w:rPr>
                <w:rFonts w:ascii="Arial"/>
                <w:spacing w:val="-1"/>
              </w:rPr>
              <w:t>specified</w:t>
            </w:r>
            <w:r>
              <w:rPr>
                <w:rFonts w:ascii="Arial"/>
                <w:spacing w:val="7"/>
              </w:rPr>
              <w:t xml:space="preserve"> </w:t>
            </w:r>
            <w:r>
              <w:rPr>
                <w:rFonts w:ascii="Arial"/>
                <w:spacing w:val="-2"/>
              </w:rPr>
              <w:t>Service</w:t>
            </w:r>
            <w:r>
              <w:rPr>
                <w:rFonts w:ascii="Arial"/>
                <w:spacing w:val="27"/>
              </w:rPr>
              <w:t xml:space="preserve"> </w:t>
            </w:r>
            <w:r>
              <w:rPr>
                <w:rFonts w:ascii="Arial"/>
                <w:spacing w:val="-2"/>
              </w:rPr>
              <w:t>Level</w:t>
            </w:r>
            <w:r>
              <w:rPr>
                <w:rFonts w:ascii="Arial"/>
              </w:rPr>
              <w:t xml:space="preserve">    </w:t>
            </w:r>
            <w:r>
              <w:rPr>
                <w:rFonts w:ascii="Arial"/>
                <w:spacing w:val="7"/>
              </w:rPr>
              <w:t xml:space="preserve"> </w:t>
            </w:r>
            <w:r>
              <w:rPr>
                <w:rFonts w:ascii="Arial"/>
                <w:spacing w:val="-1"/>
              </w:rPr>
              <w:t>Performance</w:t>
            </w:r>
          </w:p>
        </w:tc>
        <w:tc>
          <w:tcPr>
            <w:tcW w:w="108" w:type="dxa"/>
            <w:vMerge w:val="restart"/>
            <w:tcBorders>
              <w:top w:val="single" w:sz="5" w:space="0" w:color="000000"/>
              <w:left w:val="nil"/>
              <w:right w:val="single" w:sz="5" w:space="0" w:color="000000"/>
            </w:tcBorders>
          </w:tcPr>
          <w:p w:rsidR="008918FA" w:rsidRDefault="008918FA" w:rsidP="005D2B81"/>
        </w:tc>
      </w:tr>
      <w:tr w:rsidR="008918FA" w:rsidTr="001C1527">
        <w:trPr>
          <w:trHeight w:hRule="exact" w:val="252"/>
        </w:trPr>
        <w:tc>
          <w:tcPr>
            <w:tcW w:w="168" w:type="dxa"/>
            <w:vMerge/>
            <w:tcBorders>
              <w:left w:val="single" w:sz="5" w:space="0" w:color="000000"/>
              <w:right w:val="nil"/>
            </w:tcBorders>
          </w:tcPr>
          <w:p w:rsidR="008918FA" w:rsidRDefault="008918FA" w:rsidP="005D2B81"/>
        </w:tc>
        <w:tc>
          <w:tcPr>
            <w:tcW w:w="746" w:type="dxa"/>
            <w:gridSpan w:val="2"/>
            <w:tcBorders>
              <w:top w:val="nil"/>
              <w:left w:val="nil"/>
              <w:bottom w:val="nil"/>
              <w:right w:val="nil"/>
            </w:tcBorders>
            <w:shd w:val="clear" w:color="auto" w:fill="auto"/>
          </w:tcPr>
          <w:p w:rsidR="008918FA" w:rsidRPr="001C1527" w:rsidRDefault="008918FA" w:rsidP="005D2B81">
            <w:pPr>
              <w:pStyle w:val="TableParagraph"/>
              <w:spacing w:line="251" w:lineRule="exact"/>
              <w:rPr>
                <w:rFonts w:ascii="Arial" w:eastAsia="Arial" w:hAnsi="Arial" w:cs="Arial"/>
                <w:highlight w:val="yellow"/>
              </w:rPr>
            </w:pPr>
            <w:r w:rsidRPr="001C1527">
              <w:rPr>
                <w:rFonts w:ascii="Arial"/>
                <w:spacing w:val="-1"/>
                <w:highlight w:val="yellow"/>
              </w:rPr>
              <w:t>specific</w:t>
            </w:r>
          </w:p>
        </w:tc>
        <w:tc>
          <w:tcPr>
            <w:tcW w:w="835" w:type="dxa"/>
            <w:gridSpan w:val="6"/>
            <w:tcBorders>
              <w:top w:val="nil"/>
              <w:left w:val="nil"/>
              <w:bottom w:val="nil"/>
              <w:right w:val="single" w:sz="5" w:space="0" w:color="000000"/>
            </w:tcBorders>
            <w:shd w:val="clear" w:color="auto" w:fill="auto"/>
          </w:tcPr>
          <w:p w:rsidR="008918FA" w:rsidRPr="001C1527" w:rsidRDefault="008918FA" w:rsidP="005D2B81">
            <w:pPr>
              <w:rPr>
                <w:highlight w:val="yellow"/>
              </w:rPr>
            </w:pPr>
          </w:p>
        </w:tc>
        <w:tc>
          <w:tcPr>
            <w:tcW w:w="1346" w:type="dxa"/>
            <w:gridSpan w:val="7"/>
            <w:vMerge w:val="restart"/>
            <w:tcBorders>
              <w:top w:val="nil"/>
              <w:left w:val="single" w:sz="5" w:space="0" w:color="000000"/>
              <w:right w:val="single" w:sz="5" w:space="0" w:color="000000"/>
            </w:tcBorders>
            <w:shd w:val="clear" w:color="auto" w:fill="auto"/>
          </w:tcPr>
          <w:p w:rsidR="008918FA" w:rsidRDefault="008918FA" w:rsidP="005D2B81"/>
        </w:tc>
        <w:tc>
          <w:tcPr>
            <w:tcW w:w="108" w:type="dxa"/>
            <w:vMerge/>
            <w:tcBorders>
              <w:left w:val="single" w:sz="5" w:space="0" w:color="000000"/>
              <w:bottom w:val="nil"/>
              <w:right w:val="nil"/>
            </w:tcBorders>
            <w:shd w:val="clear" w:color="auto" w:fill="auto"/>
          </w:tcPr>
          <w:p w:rsidR="008918FA" w:rsidRDefault="008918FA" w:rsidP="005D2B81"/>
        </w:tc>
        <w:tc>
          <w:tcPr>
            <w:tcW w:w="1051" w:type="dxa"/>
            <w:tcBorders>
              <w:top w:val="nil"/>
              <w:left w:val="nil"/>
              <w:bottom w:val="nil"/>
              <w:right w:val="nil"/>
            </w:tcBorders>
            <w:shd w:val="clear" w:color="auto" w:fill="auto"/>
          </w:tcPr>
          <w:p w:rsidR="008918FA" w:rsidRPr="001C1527" w:rsidRDefault="008918FA" w:rsidP="005D2B81">
            <w:pPr>
              <w:pStyle w:val="TableParagraph"/>
              <w:spacing w:line="251" w:lineRule="exact"/>
              <w:ind w:right="-2"/>
              <w:rPr>
                <w:rFonts w:ascii="Arial" w:eastAsia="Arial" w:hAnsi="Arial" w:cs="Arial"/>
                <w:highlight w:val="yellow"/>
              </w:rPr>
            </w:pPr>
            <w:r w:rsidRPr="001C1527">
              <w:rPr>
                <w:rFonts w:ascii="Arial"/>
                <w:spacing w:val="-1"/>
                <w:highlight w:val="yellow"/>
              </w:rPr>
              <w:t>at</w:t>
            </w:r>
            <w:r w:rsidRPr="001C1527">
              <w:rPr>
                <w:rFonts w:ascii="Arial"/>
                <w:spacing w:val="2"/>
                <w:highlight w:val="yellow"/>
              </w:rPr>
              <w:t xml:space="preserve"> </w:t>
            </w:r>
            <w:r w:rsidRPr="001C1527">
              <w:rPr>
                <w:rFonts w:ascii="Arial"/>
                <w:spacing w:val="-1"/>
                <w:highlight w:val="yellow"/>
              </w:rPr>
              <w:t>all</w:t>
            </w:r>
            <w:r w:rsidRPr="001C1527">
              <w:rPr>
                <w:rFonts w:ascii="Arial"/>
                <w:highlight w:val="yellow"/>
              </w:rPr>
              <w:t xml:space="preserve"> </w:t>
            </w:r>
            <w:r w:rsidRPr="001C1527">
              <w:rPr>
                <w:rFonts w:ascii="Arial"/>
                <w:spacing w:val="-1"/>
                <w:highlight w:val="yellow"/>
              </w:rPr>
              <w:t>times</w:t>
            </w:r>
          </w:p>
        </w:tc>
        <w:tc>
          <w:tcPr>
            <w:tcW w:w="398" w:type="dxa"/>
            <w:gridSpan w:val="2"/>
            <w:tcBorders>
              <w:top w:val="nil"/>
              <w:left w:val="nil"/>
              <w:bottom w:val="nil"/>
              <w:right w:val="single" w:sz="5" w:space="0" w:color="000000"/>
            </w:tcBorders>
            <w:shd w:val="clear" w:color="auto" w:fill="auto"/>
          </w:tcPr>
          <w:p w:rsidR="008918FA" w:rsidRPr="001C1527" w:rsidRDefault="008918FA" w:rsidP="005D2B81">
            <w:pPr>
              <w:rPr>
                <w:highlight w:val="yellow"/>
              </w:rPr>
            </w:pPr>
          </w:p>
        </w:tc>
        <w:tc>
          <w:tcPr>
            <w:tcW w:w="1406" w:type="dxa"/>
            <w:gridSpan w:val="3"/>
            <w:vMerge w:val="restart"/>
            <w:tcBorders>
              <w:top w:val="nil"/>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1C1527">
        <w:trPr>
          <w:trHeight w:hRule="exact" w:val="254"/>
        </w:trPr>
        <w:tc>
          <w:tcPr>
            <w:tcW w:w="168" w:type="dxa"/>
            <w:vMerge/>
            <w:tcBorders>
              <w:left w:val="single" w:sz="5" w:space="0" w:color="000000"/>
              <w:right w:val="nil"/>
            </w:tcBorders>
          </w:tcPr>
          <w:p w:rsidR="008918FA" w:rsidRDefault="008918FA" w:rsidP="005D2B81"/>
        </w:tc>
        <w:tc>
          <w:tcPr>
            <w:tcW w:w="1474" w:type="dxa"/>
            <w:gridSpan w:val="7"/>
            <w:tcBorders>
              <w:top w:val="nil"/>
              <w:left w:val="nil"/>
              <w:bottom w:val="nil"/>
              <w:right w:val="nil"/>
            </w:tcBorders>
            <w:shd w:val="clear" w:color="auto" w:fill="auto"/>
          </w:tcPr>
          <w:p w:rsidR="008918FA" w:rsidRPr="001C1527" w:rsidRDefault="008918FA" w:rsidP="005D2B81">
            <w:pPr>
              <w:pStyle w:val="TableParagraph"/>
              <w:spacing w:line="251" w:lineRule="exact"/>
              <w:rPr>
                <w:rFonts w:ascii="Arial" w:eastAsia="Arial" w:hAnsi="Arial" w:cs="Arial"/>
                <w:highlight w:val="yellow"/>
              </w:rPr>
            </w:pPr>
            <w:r w:rsidRPr="001C1527">
              <w:rPr>
                <w:rFonts w:ascii="Arial"/>
                <w:spacing w:val="-1"/>
                <w:highlight w:val="yellow"/>
              </w:rPr>
              <w:t>Goods</w:t>
            </w:r>
            <w:r w:rsidRPr="001C1527">
              <w:rPr>
                <w:rFonts w:ascii="Arial"/>
                <w:highlight w:val="yellow"/>
              </w:rPr>
              <w:t xml:space="preserve"> </w:t>
            </w:r>
            <w:r w:rsidRPr="001C1527">
              <w:rPr>
                <w:rFonts w:ascii="Arial"/>
                <w:spacing w:val="40"/>
                <w:highlight w:val="yellow"/>
              </w:rPr>
              <w:t xml:space="preserve"> </w:t>
            </w:r>
            <w:r w:rsidRPr="001C1527">
              <w:rPr>
                <w:rFonts w:ascii="Arial"/>
                <w:spacing w:val="-1"/>
                <w:highlight w:val="yellow"/>
              </w:rPr>
              <w:t>and/or</w:t>
            </w:r>
          </w:p>
        </w:tc>
        <w:tc>
          <w:tcPr>
            <w:tcW w:w="108" w:type="dxa"/>
            <w:tcBorders>
              <w:top w:val="nil"/>
              <w:left w:val="nil"/>
              <w:bottom w:val="nil"/>
              <w:right w:val="single" w:sz="5" w:space="0" w:color="000000"/>
            </w:tcBorders>
            <w:shd w:val="clear" w:color="auto" w:fill="auto"/>
          </w:tcPr>
          <w:p w:rsidR="008918FA" w:rsidRPr="001C1527" w:rsidRDefault="008918FA" w:rsidP="005D2B81">
            <w:pPr>
              <w:rPr>
                <w:highlight w:val="yellow"/>
              </w:rPr>
            </w:pPr>
          </w:p>
        </w:tc>
        <w:tc>
          <w:tcPr>
            <w:tcW w:w="1346" w:type="dxa"/>
            <w:gridSpan w:val="7"/>
            <w:vMerge/>
            <w:tcBorders>
              <w:left w:val="single" w:sz="5" w:space="0" w:color="000000"/>
              <w:right w:val="single" w:sz="5" w:space="0" w:color="000000"/>
            </w:tcBorders>
            <w:shd w:val="clear" w:color="auto" w:fill="auto"/>
          </w:tcPr>
          <w:p w:rsidR="008918FA" w:rsidRDefault="008918FA" w:rsidP="005D2B81"/>
        </w:tc>
        <w:tc>
          <w:tcPr>
            <w:tcW w:w="1558" w:type="dxa"/>
            <w:gridSpan w:val="4"/>
            <w:vMerge w:val="restart"/>
            <w:tcBorders>
              <w:top w:val="nil"/>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1C1527">
        <w:trPr>
          <w:trHeight w:hRule="exact" w:val="252"/>
        </w:trPr>
        <w:tc>
          <w:tcPr>
            <w:tcW w:w="168" w:type="dxa"/>
            <w:vMerge/>
            <w:tcBorders>
              <w:left w:val="single" w:sz="5" w:space="0" w:color="000000"/>
              <w:bottom w:val="nil"/>
              <w:right w:val="nil"/>
            </w:tcBorders>
          </w:tcPr>
          <w:p w:rsidR="008918FA" w:rsidRDefault="008918FA" w:rsidP="005D2B81"/>
        </w:tc>
        <w:tc>
          <w:tcPr>
            <w:tcW w:w="881" w:type="dxa"/>
            <w:gridSpan w:val="3"/>
            <w:tcBorders>
              <w:top w:val="nil"/>
              <w:left w:val="nil"/>
              <w:bottom w:val="nil"/>
              <w:right w:val="nil"/>
            </w:tcBorders>
            <w:shd w:val="clear" w:color="auto" w:fill="auto"/>
          </w:tcPr>
          <w:p w:rsidR="008918FA" w:rsidRPr="001C1527" w:rsidRDefault="008918FA" w:rsidP="005D2B81">
            <w:pPr>
              <w:pStyle w:val="TableParagraph"/>
              <w:spacing w:line="251" w:lineRule="exact"/>
              <w:rPr>
                <w:rFonts w:ascii="Arial" w:eastAsia="Arial" w:hAnsi="Arial" w:cs="Arial"/>
                <w:highlight w:val="yellow"/>
              </w:rPr>
            </w:pPr>
            <w:r w:rsidRPr="001C1527">
              <w:rPr>
                <w:rFonts w:ascii="Arial"/>
                <w:spacing w:val="-1"/>
                <w:highlight w:val="yellow"/>
              </w:rPr>
              <w:t>Services</w:t>
            </w:r>
          </w:p>
        </w:tc>
        <w:tc>
          <w:tcPr>
            <w:tcW w:w="701" w:type="dxa"/>
            <w:gridSpan w:val="5"/>
            <w:tcBorders>
              <w:top w:val="nil"/>
              <w:left w:val="nil"/>
              <w:bottom w:val="nil"/>
              <w:right w:val="single" w:sz="5" w:space="0" w:color="000000"/>
            </w:tcBorders>
            <w:shd w:val="clear" w:color="auto" w:fill="auto"/>
          </w:tcPr>
          <w:p w:rsidR="008918FA" w:rsidRPr="001C1527" w:rsidRDefault="008918FA" w:rsidP="005D2B81">
            <w:pPr>
              <w:rPr>
                <w:highlight w:val="yellow"/>
              </w:rPr>
            </w:pPr>
          </w:p>
        </w:tc>
        <w:tc>
          <w:tcPr>
            <w:tcW w:w="1346" w:type="dxa"/>
            <w:gridSpan w:val="7"/>
            <w:vMerge/>
            <w:tcBorders>
              <w:left w:val="single" w:sz="5" w:space="0" w:color="000000"/>
              <w:right w:val="single" w:sz="5" w:space="0" w:color="000000"/>
            </w:tcBorders>
            <w:shd w:val="clear" w:color="auto" w:fill="auto"/>
          </w:tcPr>
          <w:p w:rsidR="008918FA" w:rsidRDefault="008918FA" w:rsidP="005D2B81"/>
        </w:tc>
        <w:tc>
          <w:tcPr>
            <w:tcW w:w="1558" w:type="dxa"/>
            <w:gridSpan w:val="4"/>
            <w:vMerge/>
            <w:tcBorders>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1C1527">
        <w:trPr>
          <w:trHeight w:hRule="exact" w:val="254"/>
        </w:trPr>
        <w:tc>
          <w:tcPr>
            <w:tcW w:w="1750" w:type="dxa"/>
            <w:gridSpan w:val="9"/>
            <w:vMerge w:val="restart"/>
            <w:tcBorders>
              <w:top w:val="nil"/>
              <w:left w:val="single" w:sz="5" w:space="0" w:color="000000"/>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shd w:val="clear" w:color="auto" w:fill="auto"/>
          </w:tcPr>
          <w:p w:rsidR="008918FA" w:rsidRDefault="008918FA" w:rsidP="005D2B81"/>
        </w:tc>
        <w:tc>
          <w:tcPr>
            <w:tcW w:w="1558" w:type="dxa"/>
            <w:gridSpan w:val="4"/>
            <w:vMerge/>
            <w:tcBorders>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bottom w:val="nil"/>
              <w:right w:val="nil"/>
            </w:tcBorders>
            <w:shd w:val="clear" w:color="auto" w:fill="FFFF00"/>
          </w:tcPr>
          <w:p w:rsidR="008918FA" w:rsidRDefault="008918FA" w:rsidP="005D2B81"/>
        </w:tc>
        <w:tc>
          <w:tcPr>
            <w:tcW w:w="108" w:type="dxa"/>
            <w:vMerge/>
            <w:tcBorders>
              <w:left w:val="nil"/>
              <w:bottom w:val="nil"/>
              <w:right w:val="single" w:sz="5" w:space="0" w:color="000000"/>
            </w:tcBorders>
          </w:tcPr>
          <w:p w:rsidR="008918FA" w:rsidRDefault="008918FA" w:rsidP="005D2B81"/>
        </w:tc>
      </w:tr>
      <w:tr w:rsidR="008918FA" w:rsidTr="001C1527">
        <w:trPr>
          <w:trHeight w:hRule="exact" w:val="252"/>
        </w:trPr>
        <w:tc>
          <w:tcPr>
            <w:tcW w:w="1750" w:type="dxa"/>
            <w:gridSpan w:val="9"/>
            <w:vMerge/>
            <w:tcBorders>
              <w:left w:val="single" w:sz="5" w:space="0" w:color="000000"/>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shd w:val="clear" w:color="auto" w:fill="auto"/>
          </w:tcPr>
          <w:p w:rsidR="008918FA" w:rsidRDefault="008918FA" w:rsidP="005D2B81"/>
        </w:tc>
        <w:tc>
          <w:tcPr>
            <w:tcW w:w="1558" w:type="dxa"/>
            <w:gridSpan w:val="4"/>
            <w:vMerge/>
            <w:tcBorders>
              <w:left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bottom w:val="nil"/>
              <w:right w:val="nil"/>
            </w:tcBorders>
          </w:tcPr>
          <w:p w:rsidR="008918FA" w:rsidRDefault="008918FA" w:rsidP="005D2B81"/>
        </w:tc>
        <w:tc>
          <w:tcPr>
            <w:tcW w:w="857" w:type="dxa"/>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1"/>
              </w:rPr>
              <w:t>Measure</w:t>
            </w:r>
          </w:p>
        </w:tc>
        <w:tc>
          <w:tcPr>
            <w:tcW w:w="1349" w:type="dxa"/>
            <w:gridSpan w:val="3"/>
            <w:tcBorders>
              <w:top w:val="nil"/>
              <w:left w:val="nil"/>
              <w:bottom w:val="nil"/>
              <w:right w:val="single" w:sz="5" w:space="0" w:color="000000"/>
            </w:tcBorders>
          </w:tcPr>
          <w:p w:rsidR="008918FA" w:rsidRDefault="008918FA" w:rsidP="005D2B81"/>
        </w:tc>
      </w:tr>
      <w:tr w:rsidR="008918FA" w:rsidTr="001C1527">
        <w:trPr>
          <w:trHeight w:hRule="exact" w:val="125"/>
        </w:trPr>
        <w:tc>
          <w:tcPr>
            <w:tcW w:w="1750" w:type="dxa"/>
            <w:gridSpan w:val="9"/>
            <w:vMerge/>
            <w:tcBorders>
              <w:left w:val="single" w:sz="5" w:space="0" w:color="000000"/>
              <w:bottom w:val="single" w:sz="5" w:space="0" w:color="000000"/>
              <w:right w:val="single" w:sz="5" w:space="0" w:color="000000"/>
            </w:tcBorders>
          </w:tcPr>
          <w:p w:rsidR="008918FA" w:rsidRDefault="008918FA" w:rsidP="005D2B81"/>
        </w:tc>
        <w:tc>
          <w:tcPr>
            <w:tcW w:w="1346" w:type="dxa"/>
            <w:gridSpan w:val="7"/>
            <w:vMerge/>
            <w:tcBorders>
              <w:left w:val="single" w:sz="5" w:space="0" w:color="000000"/>
              <w:bottom w:val="single" w:sz="5" w:space="0" w:color="000000"/>
              <w:right w:val="single" w:sz="5" w:space="0" w:color="000000"/>
            </w:tcBorders>
            <w:shd w:val="clear" w:color="auto" w:fill="auto"/>
          </w:tcPr>
          <w:p w:rsidR="008918FA" w:rsidRDefault="008918FA" w:rsidP="005D2B81"/>
        </w:tc>
        <w:tc>
          <w:tcPr>
            <w:tcW w:w="1558" w:type="dxa"/>
            <w:gridSpan w:val="4"/>
            <w:vMerge/>
            <w:tcBorders>
              <w:left w:val="single" w:sz="5" w:space="0" w:color="000000"/>
              <w:bottom w:val="single" w:sz="5" w:space="0" w:color="000000"/>
              <w:right w:val="single" w:sz="5" w:space="0" w:color="000000"/>
            </w:tcBorders>
            <w:shd w:val="clear" w:color="auto" w:fill="auto"/>
          </w:tcPr>
          <w:p w:rsidR="008918FA" w:rsidRDefault="008918FA" w:rsidP="005D2B81"/>
        </w:tc>
        <w:tc>
          <w:tcPr>
            <w:tcW w:w="1406" w:type="dxa"/>
            <w:gridSpan w:val="3"/>
            <w:vMerge/>
            <w:tcBorders>
              <w:left w:val="single" w:sz="5" w:space="0" w:color="000000"/>
              <w:bottom w:val="single" w:sz="5" w:space="0" w:color="000000"/>
              <w:right w:val="single" w:sz="5" w:space="0" w:color="000000"/>
            </w:tcBorders>
          </w:tcPr>
          <w:p w:rsidR="008918FA" w:rsidRDefault="008918FA" w:rsidP="005D2B81"/>
        </w:tc>
        <w:tc>
          <w:tcPr>
            <w:tcW w:w="2410" w:type="dxa"/>
            <w:gridSpan w:val="5"/>
            <w:tcBorders>
              <w:top w:val="nil"/>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259"/>
        </w:trPr>
        <w:tc>
          <w:tcPr>
            <w:tcW w:w="168" w:type="dxa"/>
            <w:vMerge w:val="restart"/>
            <w:tcBorders>
              <w:top w:val="single" w:sz="5" w:space="0" w:color="000000"/>
              <w:left w:val="single" w:sz="5" w:space="0" w:color="000000"/>
              <w:right w:val="nil"/>
            </w:tcBorders>
          </w:tcPr>
          <w:p w:rsidR="008918FA" w:rsidRDefault="008918FA" w:rsidP="005D2B81"/>
        </w:tc>
        <w:tc>
          <w:tcPr>
            <w:tcW w:w="648" w:type="dxa"/>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spacing w:val="-1"/>
              </w:rPr>
              <w:t>Timely</w:t>
            </w:r>
          </w:p>
        </w:tc>
        <w:tc>
          <w:tcPr>
            <w:tcW w:w="934" w:type="dxa"/>
            <w:gridSpan w:val="7"/>
            <w:tcBorders>
              <w:top w:val="single" w:sz="5" w:space="0" w:color="000000"/>
              <w:left w:val="nil"/>
              <w:bottom w:val="nil"/>
              <w:right w:val="single" w:sz="5" w:space="0" w:color="000000"/>
            </w:tcBorders>
          </w:tcPr>
          <w:p w:rsidR="008918FA" w:rsidRDefault="008918FA" w:rsidP="005D2B81"/>
        </w:tc>
        <w:tc>
          <w:tcPr>
            <w:tcW w:w="204" w:type="dxa"/>
            <w:vMerge w:val="restart"/>
            <w:tcBorders>
              <w:top w:val="single" w:sz="5" w:space="0" w:color="000000"/>
              <w:left w:val="single" w:sz="5" w:space="0" w:color="000000"/>
              <w:right w:val="nil"/>
            </w:tcBorders>
          </w:tcPr>
          <w:p w:rsidR="008918FA" w:rsidRDefault="008918FA" w:rsidP="005D2B81"/>
        </w:tc>
        <w:tc>
          <w:tcPr>
            <w:tcW w:w="842" w:type="dxa"/>
            <w:gridSpan w:val="2"/>
            <w:tcBorders>
              <w:top w:val="single" w:sz="5" w:space="0" w:color="000000"/>
              <w:left w:val="nil"/>
              <w:bottom w:val="nil"/>
              <w:right w:val="nil"/>
            </w:tcBorders>
            <w:shd w:val="clear" w:color="auto" w:fill="FFFF00"/>
          </w:tcPr>
          <w:p w:rsidR="008918FA" w:rsidRDefault="008918FA" w:rsidP="005D2B81">
            <w:pPr>
              <w:pStyle w:val="TableParagraph"/>
              <w:spacing w:line="250" w:lineRule="exact"/>
              <w:rPr>
                <w:rFonts w:ascii="Arial" w:eastAsia="Arial" w:hAnsi="Arial" w:cs="Arial"/>
              </w:rPr>
            </w:pPr>
            <w:r>
              <w:rPr>
                <w:rFonts w:ascii="Arial"/>
                <w:spacing w:val="-1"/>
              </w:rPr>
              <w:t>Services</w:t>
            </w:r>
          </w:p>
        </w:tc>
        <w:tc>
          <w:tcPr>
            <w:tcW w:w="300" w:type="dxa"/>
            <w:gridSpan w:val="4"/>
            <w:tcBorders>
              <w:top w:val="single" w:sz="5" w:space="0" w:color="000000"/>
              <w:left w:val="nil"/>
              <w:bottom w:val="nil"/>
              <w:right w:val="single" w:sz="5" w:space="0" w:color="000000"/>
            </w:tcBorders>
          </w:tcPr>
          <w:p w:rsidR="008918FA" w:rsidRDefault="008918FA" w:rsidP="005D2B81"/>
        </w:tc>
        <w:tc>
          <w:tcPr>
            <w:tcW w:w="108" w:type="dxa"/>
            <w:vMerge w:val="restart"/>
            <w:tcBorders>
              <w:top w:val="single" w:sz="5" w:space="0" w:color="000000"/>
              <w:left w:val="single" w:sz="5" w:space="0" w:color="000000"/>
              <w:right w:val="nil"/>
            </w:tcBorders>
          </w:tcPr>
          <w:p w:rsidR="008918FA" w:rsidRDefault="008918FA" w:rsidP="005D2B81"/>
        </w:tc>
        <w:tc>
          <w:tcPr>
            <w:tcW w:w="1344" w:type="dxa"/>
            <w:gridSpan w:val="2"/>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spacing w:val="-1"/>
              </w:rPr>
              <w:t>at</w:t>
            </w:r>
            <w:r>
              <w:rPr>
                <w:rFonts w:ascii="Arial"/>
              </w:rPr>
              <w:t xml:space="preserve"> </w:t>
            </w:r>
            <w:r>
              <w:rPr>
                <w:rFonts w:ascii="Arial"/>
                <w:spacing w:val="5"/>
              </w:rPr>
              <w:t xml:space="preserve"> </w:t>
            </w:r>
            <w:r>
              <w:rPr>
                <w:rFonts w:ascii="Arial"/>
                <w:spacing w:val="-1"/>
              </w:rPr>
              <w:t>least</w:t>
            </w:r>
            <w:r>
              <w:rPr>
                <w:rFonts w:ascii="Arial"/>
              </w:rPr>
              <w:t xml:space="preserve"> </w:t>
            </w:r>
            <w:r>
              <w:rPr>
                <w:rFonts w:ascii="Arial"/>
                <w:spacing w:val="6"/>
              </w:rPr>
              <w:t xml:space="preserve"> </w:t>
            </w:r>
            <w:r>
              <w:rPr>
                <w:rFonts w:ascii="Arial"/>
                <w:spacing w:val="-1"/>
              </w:rPr>
              <w:t>98%</w:t>
            </w:r>
          </w:p>
        </w:tc>
        <w:tc>
          <w:tcPr>
            <w:tcW w:w="106" w:type="dxa"/>
            <w:tcBorders>
              <w:top w:val="single" w:sz="5" w:space="0" w:color="000000"/>
              <w:left w:val="nil"/>
              <w:bottom w:val="nil"/>
              <w:right w:val="single" w:sz="5" w:space="0" w:color="000000"/>
            </w:tcBorders>
          </w:tcPr>
          <w:p w:rsidR="008918FA" w:rsidRDefault="008918FA" w:rsidP="005D2B81"/>
        </w:tc>
        <w:tc>
          <w:tcPr>
            <w:tcW w:w="204" w:type="dxa"/>
            <w:tcBorders>
              <w:top w:val="single" w:sz="5" w:space="0" w:color="000000"/>
              <w:left w:val="single" w:sz="5" w:space="0" w:color="000000"/>
              <w:bottom w:val="nil"/>
              <w:right w:val="nil"/>
            </w:tcBorders>
          </w:tcPr>
          <w:p w:rsidR="008918FA" w:rsidRDefault="008918FA" w:rsidP="005D2B81"/>
        </w:tc>
        <w:tc>
          <w:tcPr>
            <w:tcW w:w="305" w:type="dxa"/>
            <w:tcBorders>
              <w:top w:val="single" w:sz="5" w:space="0" w:color="000000"/>
              <w:left w:val="nil"/>
              <w:bottom w:val="nil"/>
              <w:right w:val="nil"/>
            </w:tcBorders>
            <w:shd w:val="clear" w:color="auto" w:fill="FFFF00"/>
          </w:tcPr>
          <w:p w:rsidR="008918FA" w:rsidRDefault="008918FA" w:rsidP="005D2B81">
            <w:pPr>
              <w:pStyle w:val="TableParagraph"/>
              <w:spacing w:line="250" w:lineRule="exact"/>
              <w:ind w:right="-2"/>
              <w:rPr>
                <w:rFonts w:ascii="Arial" w:eastAsia="Arial" w:hAnsi="Arial" w:cs="Arial"/>
              </w:rPr>
            </w:pPr>
            <w:r>
              <w:rPr>
                <w:rFonts w:ascii="Arial"/>
              </w:rPr>
              <w:t xml:space="preserve">[ </w:t>
            </w:r>
            <w:r>
              <w:rPr>
                <w:rFonts w:ascii="Arial"/>
                <w:spacing w:val="61"/>
              </w:rPr>
              <w:t xml:space="preserve"> </w:t>
            </w:r>
            <w:r>
              <w:rPr>
                <w:rFonts w:ascii="Arial"/>
              </w:rPr>
              <w:t>]</w:t>
            </w:r>
          </w:p>
        </w:tc>
        <w:tc>
          <w:tcPr>
            <w:tcW w:w="898" w:type="dxa"/>
            <w:tcBorders>
              <w:top w:val="single" w:sz="5" w:space="0" w:color="000000"/>
              <w:left w:val="nil"/>
              <w:bottom w:val="nil"/>
              <w:right w:val="single" w:sz="5" w:space="0" w:color="000000"/>
            </w:tcBorders>
          </w:tcPr>
          <w:p w:rsidR="008918FA" w:rsidRDefault="008918FA" w:rsidP="005D2B81"/>
        </w:tc>
        <w:tc>
          <w:tcPr>
            <w:tcW w:w="204" w:type="dxa"/>
            <w:vMerge w:val="restart"/>
            <w:tcBorders>
              <w:top w:val="single" w:sz="5" w:space="0" w:color="000000"/>
              <w:left w:val="single" w:sz="5" w:space="0" w:color="000000"/>
              <w:right w:val="nil"/>
            </w:tcBorders>
          </w:tcPr>
          <w:p w:rsidR="008918FA" w:rsidRDefault="008918FA" w:rsidP="005D2B81"/>
        </w:tc>
        <w:tc>
          <w:tcPr>
            <w:tcW w:w="2098" w:type="dxa"/>
            <w:gridSpan w:val="3"/>
            <w:vMerge w:val="restart"/>
            <w:tcBorders>
              <w:top w:val="single" w:sz="5" w:space="0" w:color="000000"/>
              <w:left w:val="nil"/>
              <w:right w:val="nil"/>
            </w:tcBorders>
            <w:shd w:val="clear" w:color="auto" w:fill="FFFF00"/>
          </w:tcPr>
          <w:p w:rsidR="008918FA" w:rsidRDefault="008918FA" w:rsidP="005D2B81">
            <w:pPr>
              <w:pStyle w:val="TableParagraph"/>
              <w:ind w:right="-2"/>
              <w:jc w:val="both"/>
              <w:rPr>
                <w:rFonts w:ascii="Arial" w:eastAsia="Arial" w:hAnsi="Arial" w:cs="Arial"/>
              </w:rPr>
            </w:pPr>
            <w:r>
              <w:rPr>
                <w:rFonts w:ascii="Arial"/>
                <w:spacing w:val="-1"/>
              </w:rPr>
              <w:t>2%</w:t>
            </w:r>
            <w:r>
              <w:rPr>
                <w:rFonts w:ascii="Arial"/>
                <w:spacing w:val="47"/>
              </w:rPr>
              <w:t xml:space="preserve"> </w:t>
            </w:r>
            <w:r>
              <w:rPr>
                <w:rFonts w:ascii="Arial"/>
                <w:spacing w:val="-2"/>
              </w:rPr>
              <w:t>Service</w:t>
            </w:r>
            <w:r>
              <w:rPr>
                <w:rFonts w:ascii="Arial"/>
                <w:spacing w:val="46"/>
              </w:rPr>
              <w:t xml:space="preserve"> </w:t>
            </w:r>
            <w:r>
              <w:rPr>
                <w:rFonts w:ascii="Arial"/>
                <w:spacing w:val="-1"/>
              </w:rPr>
              <w:t>Credit</w:t>
            </w:r>
            <w:r>
              <w:rPr>
                <w:rFonts w:ascii="Arial"/>
                <w:spacing w:val="28"/>
              </w:rPr>
              <w:t xml:space="preserve"> </w:t>
            </w:r>
            <w:r>
              <w:rPr>
                <w:rFonts w:ascii="Arial"/>
                <w:spacing w:val="-1"/>
              </w:rPr>
              <w:t>gained</w:t>
            </w:r>
            <w:r>
              <w:rPr>
                <w:rFonts w:ascii="Arial"/>
                <w:spacing w:val="44"/>
              </w:rPr>
              <w:t xml:space="preserve"> </w:t>
            </w:r>
            <w:r>
              <w:rPr>
                <w:rFonts w:ascii="Arial"/>
              </w:rPr>
              <w:t>for</w:t>
            </w:r>
            <w:r>
              <w:rPr>
                <w:rFonts w:ascii="Arial"/>
                <w:spacing w:val="45"/>
              </w:rPr>
              <w:t xml:space="preserve"> </w:t>
            </w:r>
            <w:r>
              <w:rPr>
                <w:rFonts w:ascii="Arial"/>
                <w:spacing w:val="-1"/>
              </w:rPr>
              <w:t>each</w:t>
            </w:r>
            <w:r>
              <w:rPr>
                <w:rFonts w:ascii="Arial"/>
                <w:spacing w:val="23"/>
              </w:rPr>
              <w:t xml:space="preserve"> </w:t>
            </w:r>
            <w:r>
              <w:rPr>
                <w:rFonts w:ascii="Arial"/>
                <w:spacing w:val="-1"/>
              </w:rPr>
              <w:t>percentage</w:t>
            </w:r>
            <w:r>
              <w:rPr>
                <w:rFonts w:ascii="Arial"/>
                <w:spacing w:val="3"/>
              </w:rPr>
              <w:t xml:space="preserve"> </w:t>
            </w:r>
            <w:r>
              <w:rPr>
                <w:rFonts w:ascii="Arial"/>
                <w:spacing w:val="-2"/>
              </w:rPr>
              <w:t>under</w:t>
            </w:r>
            <w:r>
              <w:rPr>
                <w:rFonts w:ascii="Arial"/>
                <w:spacing w:val="2"/>
              </w:rPr>
              <w:t xml:space="preserve"> </w:t>
            </w:r>
            <w:r>
              <w:rPr>
                <w:rFonts w:ascii="Arial"/>
                <w:spacing w:val="-1"/>
              </w:rPr>
              <w:t>the</w:t>
            </w:r>
            <w:r>
              <w:rPr>
                <w:rFonts w:ascii="Arial"/>
                <w:spacing w:val="24"/>
              </w:rPr>
              <w:t xml:space="preserve"> </w:t>
            </w:r>
            <w:r>
              <w:rPr>
                <w:rFonts w:ascii="Arial"/>
                <w:spacing w:val="-1"/>
              </w:rPr>
              <w:t>specified</w:t>
            </w:r>
            <w:r>
              <w:rPr>
                <w:rFonts w:ascii="Arial"/>
                <w:spacing w:val="7"/>
              </w:rPr>
              <w:t xml:space="preserve"> </w:t>
            </w:r>
            <w:r>
              <w:rPr>
                <w:rFonts w:ascii="Arial"/>
                <w:spacing w:val="-2"/>
              </w:rPr>
              <w:t>Service</w:t>
            </w:r>
            <w:r>
              <w:rPr>
                <w:rFonts w:ascii="Arial"/>
                <w:spacing w:val="27"/>
              </w:rPr>
              <w:t xml:space="preserve"> </w:t>
            </w:r>
            <w:r>
              <w:rPr>
                <w:rFonts w:ascii="Arial"/>
                <w:spacing w:val="-2"/>
              </w:rPr>
              <w:t>Level</w:t>
            </w:r>
            <w:r>
              <w:rPr>
                <w:rFonts w:ascii="Arial"/>
              </w:rPr>
              <w:t xml:space="preserve">    </w:t>
            </w:r>
            <w:r>
              <w:rPr>
                <w:rFonts w:ascii="Arial"/>
                <w:spacing w:val="7"/>
              </w:rPr>
              <w:t xml:space="preserve"> </w:t>
            </w:r>
            <w:r>
              <w:rPr>
                <w:rFonts w:ascii="Arial"/>
                <w:spacing w:val="-1"/>
              </w:rPr>
              <w:t>Performance</w:t>
            </w:r>
          </w:p>
        </w:tc>
        <w:tc>
          <w:tcPr>
            <w:tcW w:w="108" w:type="dxa"/>
            <w:vMerge w:val="restart"/>
            <w:tcBorders>
              <w:top w:val="single" w:sz="5" w:space="0" w:color="000000"/>
              <w:left w:val="nil"/>
              <w:right w:val="single" w:sz="5" w:space="0" w:color="000000"/>
            </w:tcBorders>
          </w:tcPr>
          <w:p w:rsidR="008918FA" w:rsidRDefault="008918FA" w:rsidP="005D2B81"/>
        </w:tc>
      </w:tr>
      <w:tr w:rsidR="008918FA" w:rsidTr="005D2B81">
        <w:trPr>
          <w:trHeight w:hRule="exact" w:val="252"/>
        </w:trPr>
        <w:tc>
          <w:tcPr>
            <w:tcW w:w="168" w:type="dxa"/>
            <w:vMerge/>
            <w:tcBorders>
              <w:left w:val="single" w:sz="5" w:space="0" w:color="000000"/>
              <w:right w:val="nil"/>
            </w:tcBorders>
          </w:tcPr>
          <w:p w:rsidR="008918FA" w:rsidRDefault="008918FA" w:rsidP="005D2B81"/>
        </w:tc>
        <w:tc>
          <w:tcPr>
            <w:tcW w:w="1474" w:type="dxa"/>
            <w:gridSpan w:val="7"/>
            <w:vMerge w:val="restart"/>
            <w:tcBorders>
              <w:top w:val="nil"/>
              <w:left w:val="nil"/>
              <w:right w:val="nil"/>
            </w:tcBorders>
            <w:shd w:val="clear" w:color="auto" w:fill="FFFF00"/>
          </w:tcPr>
          <w:p w:rsidR="008918FA" w:rsidRDefault="008918FA" w:rsidP="005D2B81">
            <w:pPr>
              <w:pStyle w:val="TableParagraph"/>
              <w:spacing w:line="239" w:lineRule="auto"/>
              <w:ind w:right="33"/>
              <w:jc w:val="both"/>
              <w:rPr>
                <w:rFonts w:ascii="Arial" w:eastAsia="Arial" w:hAnsi="Arial" w:cs="Arial"/>
              </w:rPr>
            </w:pPr>
            <w:r>
              <w:rPr>
                <w:rFonts w:ascii="Arial"/>
                <w:spacing w:val="-2"/>
              </w:rPr>
              <w:t>provision</w:t>
            </w:r>
            <w:r>
              <w:rPr>
                <w:rFonts w:ascii="Arial"/>
              </w:rPr>
              <w:t xml:space="preserve"> </w:t>
            </w:r>
            <w:r>
              <w:rPr>
                <w:rFonts w:ascii="Arial"/>
                <w:spacing w:val="7"/>
              </w:rPr>
              <w:t xml:space="preserve"> </w:t>
            </w:r>
            <w:r>
              <w:rPr>
                <w:rFonts w:ascii="Arial"/>
                <w:spacing w:val="-2"/>
              </w:rPr>
              <w:t>of</w:t>
            </w:r>
            <w:r>
              <w:rPr>
                <w:rFonts w:ascii="Arial"/>
                <w:spacing w:val="30"/>
              </w:rPr>
              <w:t xml:space="preserve"> </w:t>
            </w:r>
            <w:r>
              <w:rPr>
                <w:rFonts w:ascii="Arial"/>
              </w:rPr>
              <w:t>the</w:t>
            </w:r>
            <w:r>
              <w:rPr>
                <w:rFonts w:ascii="Arial"/>
                <w:spacing w:val="40"/>
              </w:rPr>
              <w:t xml:space="preserve"> </w:t>
            </w:r>
            <w:r>
              <w:rPr>
                <w:rFonts w:ascii="Arial"/>
                <w:spacing w:val="-1"/>
              </w:rPr>
              <w:t>Services</w:t>
            </w:r>
            <w:r>
              <w:rPr>
                <w:rFonts w:ascii="Arial"/>
                <w:spacing w:val="21"/>
              </w:rPr>
              <w:t xml:space="preserve"> </w:t>
            </w:r>
            <w:r>
              <w:rPr>
                <w:rFonts w:ascii="Arial"/>
              </w:rPr>
              <w:t>[**</w:t>
            </w:r>
            <w:r>
              <w:rPr>
                <w:rFonts w:ascii="Arial"/>
                <w:spacing w:val="19"/>
              </w:rPr>
              <w:t xml:space="preserve"> </w:t>
            </w:r>
            <w:r>
              <w:rPr>
                <w:rFonts w:ascii="Arial"/>
                <w:spacing w:val="-1"/>
              </w:rPr>
              <w:t>hours</w:t>
            </w:r>
            <w:r>
              <w:rPr>
                <w:rFonts w:ascii="Arial"/>
                <w:spacing w:val="19"/>
              </w:rPr>
              <w:t xml:space="preserve"> </w:t>
            </w:r>
            <w:r>
              <w:rPr>
                <w:rFonts w:ascii="Arial"/>
              </w:rPr>
              <w:t>a</w:t>
            </w:r>
            <w:r>
              <w:rPr>
                <w:rFonts w:ascii="Arial"/>
                <w:spacing w:val="23"/>
              </w:rPr>
              <w:t xml:space="preserve"> </w:t>
            </w:r>
            <w:r>
              <w:rPr>
                <w:rFonts w:ascii="Arial"/>
                <w:spacing w:val="-2"/>
              </w:rPr>
              <w:t>day,</w:t>
            </w:r>
            <w:r>
              <w:rPr>
                <w:rFonts w:ascii="Arial"/>
                <w:spacing w:val="26"/>
              </w:rPr>
              <w:t xml:space="preserve"> </w:t>
            </w:r>
            <w:r>
              <w:rPr>
                <w:rFonts w:ascii="Arial"/>
              </w:rPr>
              <w:t>**</w:t>
            </w:r>
            <w:r>
              <w:rPr>
                <w:rFonts w:ascii="Arial"/>
                <w:spacing w:val="25"/>
              </w:rPr>
              <w:t xml:space="preserve"> </w:t>
            </w:r>
            <w:r>
              <w:rPr>
                <w:rFonts w:ascii="Arial"/>
                <w:spacing w:val="-2"/>
              </w:rPr>
              <w:t>days</w:t>
            </w:r>
            <w:r>
              <w:rPr>
                <w:rFonts w:ascii="Arial"/>
                <w:spacing w:val="27"/>
              </w:rPr>
              <w:t xml:space="preserve"> </w:t>
            </w:r>
            <w:r>
              <w:rPr>
                <w:rFonts w:ascii="Arial"/>
              </w:rPr>
              <w:t>a</w:t>
            </w:r>
          </w:p>
        </w:tc>
        <w:tc>
          <w:tcPr>
            <w:tcW w:w="108" w:type="dxa"/>
            <w:vMerge w:val="restart"/>
            <w:tcBorders>
              <w:top w:val="nil"/>
              <w:left w:val="nil"/>
              <w:right w:val="single" w:sz="5" w:space="0" w:color="000000"/>
            </w:tcBorders>
          </w:tcPr>
          <w:p w:rsidR="008918FA" w:rsidRDefault="008918FA" w:rsidP="005D2B81"/>
        </w:tc>
        <w:tc>
          <w:tcPr>
            <w:tcW w:w="204" w:type="dxa"/>
            <w:vMerge/>
            <w:tcBorders>
              <w:left w:val="single" w:sz="5" w:space="0" w:color="000000"/>
              <w:bottom w:val="nil"/>
              <w:right w:val="nil"/>
            </w:tcBorders>
          </w:tcPr>
          <w:p w:rsidR="008918FA" w:rsidRDefault="008918FA" w:rsidP="005D2B81"/>
        </w:tc>
        <w:tc>
          <w:tcPr>
            <w:tcW w:w="967" w:type="dxa"/>
            <w:gridSpan w:val="4"/>
            <w:tcBorders>
              <w:top w:val="nil"/>
              <w:left w:val="nil"/>
              <w:bottom w:val="nil"/>
              <w:right w:val="nil"/>
            </w:tcBorders>
            <w:shd w:val="clear" w:color="auto" w:fill="FFFF00"/>
          </w:tcPr>
          <w:p w:rsidR="008918FA" w:rsidRDefault="008918FA" w:rsidP="005D2B81">
            <w:pPr>
              <w:pStyle w:val="TableParagraph"/>
              <w:spacing w:line="251" w:lineRule="exact"/>
              <w:ind w:right="-72"/>
              <w:rPr>
                <w:rFonts w:ascii="Arial" w:eastAsia="Arial" w:hAnsi="Arial" w:cs="Arial"/>
              </w:rPr>
            </w:pPr>
            <w:r>
              <w:rPr>
                <w:rFonts w:ascii="Arial"/>
                <w:spacing w:val="-1"/>
              </w:rPr>
              <w:t>Availability</w:t>
            </w:r>
          </w:p>
        </w:tc>
        <w:tc>
          <w:tcPr>
            <w:tcW w:w="175" w:type="dxa"/>
            <w:gridSpan w:val="2"/>
            <w:tcBorders>
              <w:top w:val="nil"/>
              <w:left w:val="nil"/>
              <w:bottom w:val="nil"/>
              <w:right w:val="single" w:sz="5" w:space="0" w:color="000000"/>
            </w:tcBorders>
          </w:tcPr>
          <w:p w:rsidR="008918FA" w:rsidRDefault="008918FA" w:rsidP="005D2B81"/>
        </w:tc>
        <w:tc>
          <w:tcPr>
            <w:tcW w:w="108" w:type="dxa"/>
            <w:vMerge/>
            <w:tcBorders>
              <w:left w:val="single" w:sz="5" w:space="0" w:color="000000"/>
              <w:bottom w:val="nil"/>
              <w:right w:val="nil"/>
            </w:tcBorders>
          </w:tcPr>
          <w:p w:rsidR="008918FA" w:rsidRDefault="008918FA" w:rsidP="005D2B81"/>
        </w:tc>
        <w:tc>
          <w:tcPr>
            <w:tcW w:w="1051" w:type="dxa"/>
            <w:tcBorders>
              <w:top w:val="nil"/>
              <w:left w:val="nil"/>
              <w:bottom w:val="nil"/>
              <w:right w:val="nil"/>
            </w:tcBorders>
            <w:shd w:val="clear" w:color="auto" w:fill="FFFF00"/>
          </w:tcPr>
          <w:p w:rsidR="008918FA" w:rsidRDefault="008918FA" w:rsidP="005D2B81">
            <w:pPr>
              <w:pStyle w:val="TableParagraph"/>
              <w:spacing w:line="251" w:lineRule="exact"/>
              <w:ind w:right="-2"/>
              <w:rPr>
                <w:rFonts w:ascii="Arial" w:eastAsia="Arial" w:hAnsi="Arial" w:cs="Arial"/>
              </w:rPr>
            </w:pPr>
            <w:r>
              <w:rPr>
                <w:rFonts w:ascii="Arial"/>
                <w:spacing w:val="-1"/>
              </w:rPr>
              <w:t>at</w:t>
            </w:r>
            <w:r>
              <w:rPr>
                <w:rFonts w:ascii="Arial"/>
                <w:spacing w:val="2"/>
              </w:rPr>
              <w:t xml:space="preserve"> </w:t>
            </w:r>
            <w:r>
              <w:rPr>
                <w:rFonts w:ascii="Arial"/>
                <w:spacing w:val="-1"/>
              </w:rPr>
              <w:t>all</w:t>
            </w:r>
            <w:r>
              <w:rPr>
                <w:rFonts w:ascii="Arial"/>
              </w:rPr>
              <w:t xml:space="preserve"> </w:t>
            </w:r>
            <w:r>
              <w:rPr>
                <w:rFonts w:ascii="Arial"/>
                <w:spacing w:val="-1"/>
              </w:rPr>
              <w:t>times</w:t>
            </w:r>
          </w:p>
        </w:tc>
        <w:tc>
          <w:tcPr>
            <w:tcW w:w="398" w:type="dxa"/>
            <w:gridSpan w:val="2"/>
            <w:tcBorders>
              <w:top w:val="nil"/>
              <w:left w:val="nil"/>
              <w:bottom w:val="nil"/>
              <w:right w:val="single" w:sz="5" w:space="0" w:color="000000"/>
            </w:tcBorders>
          </w:tcPr>
          <w:p w:rsidR="008918FA" w:rsidRDefault="008918FA" w:rsidP="005D2B81"/>
        </w:tc>
        <w:tc>
          <w:tcPr>
            <w:tcW w:w="1406" w:type="dxa"/>
            <w:gridSpan w:val="3"/>
            <w:vMerge w:val="restart"/>
            <w:tcBorders>
              <w:top w:val="nil"/>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right w:val="nil"/>
            </w:tcBorders>
            <w:shd w:val="clear" w:color="auto" w:fill="FFFF00"/>
          </w:tcPr>
          <w:p w:rsidR="008918FA" w:rsidRDefault="008918FA" w:rsidP="005D2B81"/>
        </w:tc>
        <w:tc>
          <w:tcPr>
            <w:tcW w:w="108" w:type="dxa"/>
            <w:vMerge/>
            <w:tcBorders>
              <w:left w:val="nil"/>
              <w:right w:val="single" w:sz="5" w:space="0" w:color="000000"/>
            </w:tcBorders>
          </w:tcPr>
          <w:p w:rsidR="008918FA" w:rsidRDefault="008918FA" w:rsidP="005D2B81"/>
        </w:tc>
      </w:tr>
      <w:tr w:rsidR="008918FA" w:rsidTr="001C1527">
        <w:trPr>
          <w:trHeight w:hRule="exact" w:val="758"/>
        </w:trPr>
        <w:tc>
          <w:tcPr>
            <w:tcW w:w="168" w:type="dxa"/>
            <w:vMerge/>
            <w:tcBorders>
              <w:left w:val="single" w:sz="5" w:space="0" w:color="000000"/>
              <w:right w:val="nil"/>
            </w:tcBorders>
          </w:tcPr>
          <w:p w:rsidR="008918FA" w:rsidRDefault="008918FA" w:rsidP="005D2B81"/>
        </w:tc>
        <w:tc>
          <w:tcPr>
            <w:tcW w:w="1474" w:type="dxa"/>
            <w:gridSpan w:val="7"/>
            <w:vMerge/>
            <w:tcBorders>
              <w:left w:val="nil"/>
              <w:bottom w:val="nil"/>
              <w:right w:val="nil"/>
            </w:tcBorders>
            <w:shd w:val="clear" w:color="auto" w:fill="FFFF00"/>
          </w:tcPr>
          <w:p w:rsidR="008918FA" w:rsidRDefault="008918FA" w:rsidP="005D2B81"/>
        </w:tc>
        <w:tc>
          <w:tcPr>
            <w:tcW w:w="108" w:type="dxa"/>
            <w:vMerge/>
            <w:tcBorders>
              <w:left w:val="nil"/>
              <w:bottom w:val="nil"/>
              <w:right w:val="single" w:sz="5" w:space="0" w:color="000000"/>
            </w:tcBorders>
          </w:tcPr>
          <w:p w:rsidR="008918FA" w:rsidRDefault="008918FA" w:rsidP="005D2B81"/>
        </w:tc>
        <w:tc>
          <w:tcPr>
            <w:tcW w:w="1346" w:type="dxa"/>
            <w:gridSpan w:val="7"/>
            <w:vMerge w:val="restart"/>
            <w:tcBorders>
              <w:top w:val="nil"/>
              <w:left w:val="single" w:sz="5" w:space="0" w:color="000000"/>
              <w:right w:val="single" w:sz="5" w:space="0" w:color="000000"/>
            </w:tcBorders>
            <w:shd w:val="clear" w:color="auto" w:fill="auto"/>
          </w:tcPr>
          <w:p w:rsidR="008918FA" w:rsidRDefault="008918FA" w:rsidP="005D2B81"/>
        </w:tc>
        <w:tc>
          <w:tcPr>
            <w:tcW w:w="1558" w:type="dxa"/>
            <w:gridSpan w:val="4"/>
            <w:vMerge w:val="restart"/>
            <w:tcBorders>
              <w:top w:val="nil"/>
              <w:left w:val="single" w:sz="5" w:space="0" w:color="000000"/>
              <w:right w:val="single" w:sz="5" w:space="0" w:color="000000"/>
            </w:tcBorders>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2098" w:type="dxa"/>
            <w:gridSpan w:val="3"/>
            <w:vMerge/>
            <w:tcBorders>
              <w:left w:val="nil"/>
              <w:bottom w:val="nil"/>
              <w:right w:val="nil"/>
            </w:tcBorders>
            <w:shd w:val="clear" w:color="auto" w:fill="FFFF00"/>
          </w:tcPr>
          <w:p w:rsidR="008918FA" w:rsidRDefault="008918FA" w:rsidP="005D2B81"/>
        </w:tc>
        <w:tc>
          <w:tcPr>
            <w:tcW w:w="108" w:type="dxa"/>
            <w:vMerge/>
            <w:tcBorders>
              <w:left w:val="nil"/>
              <w:bottom w:val="nil"/>
              <w:right w:val="single" w:sz="5" w:space="0" w:color="000000"/>
            </w:tcBorders>
          </w:tcPr>
          <w:p w:rsidR="008918FA" w:rsidRDefault="008918FA" w:rsidP="005D2B81"/>
        </w:tc>
      </w:tr>
      <w:tr w:rsidR="008918FA" w:rsidTr="001C1527">
        <w:trPr>
          <w:trHeight w:hRule="exact" w:val="254"/>
        </w:trPr>
        <w:tc>
          <w:tcPr>
            <w:tcW w:w="168" w:type="dxa"/>
            <w:vMerge/>
            <w:tcBorders>
              <w:left w:val="single" w:sz="5" w:space="0" w:color="000000"/>
              <w:right w:val="nil"/>
            </w:tcBorders>
          </w:tcPr>
          <w:p w:rsidR="008918FA" w:rsidRDefault="008918FA" w:rsidP="005D2B81"/>
        </w:tc>
        <w:tc>
          <w:tcPr>
            <w:tcW w:w="648" w:type="dxa"/>
            <w:tcBorders>
              <w:top w:val="nil"/>
              <w:left w:val="nil"/>
              <w:bottom w:val="nil"/>
              <w:right w:val="nil"/>
            </w:tcBorders>
            <w:shd w:val="clear" w:color="auto" w:fill="FFFF00"/>
          </w:tcPr>
          <w:p w:rsidR="008918FA" w:rsidRDefault="008918FA" w:rsidP="005D2B81">
            <w:pPr>
              <w:pStyle w:val="TableParagraph"/>
              <w:spacing w:line="251" w:lineRule="exact"/>
              <w:rPr>
                <w:rFonts w:ascii="Arial" w:eastAsia="Arial" w:hAnsi="Arial" w:cs="Arial"/>
              </w:rPr>
            </w:pPr>
            <w:r>
              <w:rPr>
                <w:rFonts w:ascii="Arial"/>
                <w:spacing w:val="-1"/>
              </w:rPr>
              <w:t>week.]</w:t>
            </w:r>
          </w:p>
        </w:tc>
        <w:tc>
          <w:tcPr>
            <w:tcW w:w="934" w:type="dxa"/>
            <w:gridSpan w:val="7"/>
            <w:vMerge w:val="restart"/>
            <w:tcBorders>
              <w:top w:val="nil"/>
              <w:left w:val="nil"/>
              <w:right w:val="single" w:sz="5" w:space="0" w:color="000000"/>
            </w:tcBorders>
          </w:tcPr>
          <w:p w:rsidR="008918FA" w:rsidRDefault="008918FA" w:rsidP="005D2B81"/>
        </w:tc>
        <w:tc>
          <w:tcPr>
            <w:tcW w:w="1346" w:type="dxa"/>
            <w:gridSpan w:val="7"/>
            <w:vMerge/>
            <w:tcBorders>
              <w:left w:val="single" w:sz="5" w:space="0" w:color="000000"/>
              <w:right w:val="single" w:sz="5" w:space="0" w:color="000000"/>
            </w:tcBorders>
            <w:shd w:val="clear" w:color="auto" w:fill="auto"/>
          </w:tcPr>
          <w:p w:rsidR="008918FA" w:rsidRDefault="008918FA" w:rsidP="005D2B81"/>
        </w:tc>
        <w:tc>
          <w:tcPr>
            <w:tcW w:w="1558" w:type="dxa"/>
            <w:gridSpan w:val="4"/>
            <w:vMerge/>
            <w:tcBorders>
              <w:left w:val="single" w:sz="5" w:space="0" w:color="000000"/>
              <w:right w:val="single" w:sz="5" w:space="0" w:color="000000"/>
            </w:tcBorders>
          </w:tcPr>
          <w:p w:rsidR="008918FA" w:rsidRDefault="008918FA" w:rsidP="005D2B81"/>
        </w:tc>
        <w:tc>
          <w:tcPr>
            <w:tcW w:w="1406" w:type="dxa"/>
            <w:gridSpan w:val="3"/>
            <w:vMerge/>
            <w:tcBorders>
              <w:left w:val="single" w:sz="5" w:space="0" w:color="000000"/>
              <w:right w:val="single" w:sz="5" w:space="0" w:color="000000"/>
            </w:tcBorders>
          </w:tcPr>
          <w:p w:rsidR="008918FA" w:rsidRDefault="008918FA" w:rsidP="005D2B81"/>
        </w:tc>
        <w:tc>
          <w:tcPr>
            <w:tcW w:w="204" w:type="dxa"/>
            <w:vMerge/>
            <w:tcBorders>
              <w:left w:val="single" w:sz="5" w:space="0" w:color="000000"/>
              <w:right w:val="nil"/>
            </w:tcBorders>
          </w:tcPr>
          <w:p w:rsidR="008918FA" w:rsidRDefault="008918FA" w:rsidP="005D2B81"/>
        </w:tc>
        <w:tc>
          <w:tcPr>
            <w:tcW w:w="929" w:type="dxa"/>
            <w:gridSpan w:val="2"/>
            <w:tcBorders>
              <w:top w:val="nil"/>
              <w:left w:val="nil"/>
              <w:bottom w:val="nil"/>
              <w:right w:val="nil"/>
            </w:tcBorders>
            <w:shd w:val="clear" w:color="auto" w:fill="FFFF00"/>
          </w:tcPr>
          <w:p w:rsidR="008918FA" w:rsidRDefault="008918FA" w:rsidP="005D2B81">
            <w:pPr>
              <w:pStyle w:val="TableParagraph"/>
              <w:spacing w:line="248" w:lineRule="exact"/>
              <w:rPr>
                <w:rFonts w:ascii="Arial" w:eastAsia="Arial" w:hAnsi="Arial" w:cs="Arial"/>
              </w:rPr>
            </w:pPr>
            <w:r>
              <w:rPr>
                <w:rFonts w:ascii="Arial"/>
                <w:spacing w:val="-1"/>
              </w:rPr>
              <w:t>Measure</w:t>
            </w:r>
            <w:r>
              <w:rPr>
                <w:rFonts w:ascii="Arial"/>
                <w:b/>
                <w:spacing w:val="-1"/>
              </w:rPr>
              <w:t>]</w:t>
            </w:r>
          </w:p>
        </w:tc>
        <w:tc>
          <w:tcPr>
            <w:tcW w:w="1277" w:type="dxa"/>
            <w:gridSpan w:val="2"/>
            <w:vMerge w:val="restart"/>
            <w:tcBorders>
              <w:top w:val="nil"/>
              <w:left w:val="nil"/>
              <w:right w:val="single" w:sz="5" w:space="0" w:color="000000"/>
            </w:tcBorders>
          </w:tcPr>
          <w:p w:rsidR="008918FA" w:rsidRDefault="008918FA" w:rsidP="005D2B81"/>
        </w:tc>
      </w:tr>
      <w:tr w:rsidR="008918FA" w:rsidTr="001C1527">
        <w:trPr>
          <w:trHeight w:hRule="exact" w:val="125"/>
        </w:trPr>
        <w:tc>
          <w:tcPr>
            <w:tcW w:w="168" w:type="dxa"/>
            <w:vMerge/>
            <w:tcBorders>
              <w:left w:val="single" w:sz="5" w:space="0" w:color="000000"/>
              <w:bottom w:val="single" w:sz="5" w:space="0" w:color="000000"/>
              <w:right w:val="nil"/>
            </w:tcBorders>
          </w:tcPr>
          <w:p w:rsidR="008918FA" w:rsidRDefault="008918FA" w:rsidP="005D2B81"/>
        </w:tc>
        <w:tc>
          <w:tcPr>
            <w:tcW w:w="648" w:type="dxa"/>
            <w:tcBorders>
              <w:top w:val="nil"/>
              <w:left w:val="nil"/>
              <w:bottom w:val="single" w:sz="5" w:space="0" w:color="000000"/>
              <w:right w:val="nil"/>
            </w:tcBorders>
          </w:tcPr>
          <w:p w:rsidR="008918FA" w:rsidRDefault="008918FA" w:rsidP="005D2B81"/>
        </w:tc>
        <w:tc>
          <w:tcPr>
            <w:tcW w:w="934" w:type="dxa"/>
            <w:gridSpan w:val="7"/>
            <w:vMerge/>
            <w:tcBorders>
              <w:left w:val="nil"/>
              <w:bottom w:val="single" w:sz="5" w:space="0" w:color="000000"/>
              <w:right w:val="single" w:sz="5" w:space="0" w:color="000000"/>
            </w:tcBorders>
          </w:tcPr>
          <w:p w:rsidR="008918FA" w:rsidRDefault="008918FA" w:rsidP="005D2B81"/>
        </w:tc>
        <w:tc>
          <w:tcPr>
            <w:tcW w:w="1346" w:type="dxa"/>
            <w:gridSpan w:val="7"/>
            <w:vMerge/>
            <w:tcBorders>
              <w:left w:val="single" w:sz="5" w:space="0" w:color="000000"/>
              <w:bottom w:val="single" w:sz="5" w:space="0" w:color="000000"/>
              <w:right w:val="single" w:sz="5" w:space="0" w:color="000000"/>
            </w:tcBorders>
            <w:shd w:val="clear" w:color="auto" w:fill="auto"/>
          </w:tcPr>
          <w:p w:rsidR="008918FA" w:rsidRDefault="008918FA" w:rsidP="005D2B81"/>
        </w:tc>
        <w:tc>
          <w:tcPr>
            <w:tcW w:w="1558" w:type="dxa"/>
            <w:gridSpan w:val="4"/>
            <w:vMerge/>
            <w:tcBorders>
              <w:left w:val="single" w:sz="5" w:space="0" w:color="000000"/>
              <w:bottom w:val="single" w:sz="5" w:space="0" w:color="000000"/>
              <w:right w:val="single" w:sz="5" w:space="0" w:color="000000"/>
            </w:tcBorders>
          </w:tcPr>
          <w:p w:rsidR="008918FA" w:rsidRDefault="008918FA" w:rsidP="005D2B81"/>
        </w:tc>
        <w:tc>
          <w:tcPr>
            <w:tcW w:w="1406" w:type="dxa"/>
            <w:gridSpan w:val="3"/>
            <w:vMerge/>
            <w:tcBorders>
              <w:left w:val="single" w:sz="5" w:space="0" w:color="000000"/>
              <w:bottom w:val="single" w:sz="5" w:space="0" w:color="000000"/>
              <w:right w:val="single" w:sz="5" w:space="0" w:color="000000"/>
            </w:tcBorders>
          </w:tcPr>
          <w:p w:rsidR="008918FA" w:rsidRDefault="008918FA" w:rsidP="005D2B81"/>
        </w:tc>
        <w:tc>
          <w:tcPr>
            <w:tcW w:w="204" w:type="dxa"/>
            <w:vMerge/>
            <w:tcBorders>
              <w:left w:val="single" w:sz="5" w:space="0" w:color="000000"/>
              <w:bottom w:val="single" w:sz="5" w:space="0" w:color="000000"/>
              <w:right w:val="nil"/>
            </w:tcBorders>
          </w:tcPr>
          <w:p w:rsidR="008918FA" w:rsidRDefault="008918FA" w:rsidP="005D2B81"/>
        </w:tc>
        <w:tc>
          <w:tcPr>
            <w:tcW w:w="929" w:type="dxa"/>
            <w:gridSpan w:val="2"/>
            <w:tcBorders>
              <w:top w:val="nil"/>
              <w:left w:val="nil"/>
              <w:bottom w:val="single" w:sz="5" w:space="0" w:color="000000"/>
              <w:right w:val="nil"/>
            </w:tcBorders>
          </w:tcPr>
          <w:p w:rsidR="008918FA" w:rsidRDefault="008918FA" w:rsidP="005D2B81"/>
        </w:tc>
        <w:tc>
          <w:tcPr>
            <w:tcW w:w="1277" w:type="dxa"/>
            <w:gridSpan w:val="2"/>
            <w:vMerge/>
            <w:tcBorders>
              <w:left w:val="nil"/>
              <w:bottom w:val="single" w:sz="5" w:space="0" w:color="000000"/>
              <w:right w:val="single" w:sz="5" w:space="0" w:color="000000"/>
            </w:tcBorders>
          </w:tcPr>
          <w:p w:rsidR="008918FA" w:rsidRDefault="008918FA" w:rsidP="005D2B81"/>
        </w:tc>
      </w:tr>
    </w:tbl>
    <w:p w:rsidR="008918FA" w:rsidRDefault="008918FA" w:rsidP="008918FA">
      <w:pPr>
        <w:spacing w:before="9"/>
        <w:rPr>
          <w:rFonts w:ascii="Arial" w:eastAsia="Arial" w:hAnsi="Arial" w:cs="Arial"/>
          <w:b/>
          <w:bCs/>
          <w:sz w:val="20"/>
          <w:szCs w:val="20"/>
        </w:rPr>
      </w:pPr>
    </w:p>
    <w:p w:rsidR="008918FA" w:rsidRDefault="008918FA" w:rsidP="008918FA">
      <w:pPr>
        <w:spacing w:line="200" w:lineRule="atLeast"/>
        <w:ind w:left="406"/>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0F339980" wp14:editId="4994861C">
                <wp:extent cx="5388610" cy="321945"/>
                <wp:effectExtent l="0" t="0" r="2540" b="1905"/>
                <wp:docPr id="2786" name="Group 2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321945"/>
                          <a:chOff x="0" y="0"/>
                          <a:chExt cx="8486" cy="507"/>
                        </a:xfrm>
                      </wpg:grpSpPr>
                      <wpg:grpSp>
                        <wpg:cNvPr id="2787" name="Group 2782"/>
                        <wpg:cNvGrpSpPr>
                          <a:grpSpLocks/>
                        </wpg:cNvGrpSpPr>
                        <wpg:grpSpPr bwMode="auto">
                          <a:xfrm>
                            <a:off x="0" y="0"/>
                            <a:ext cx="8484" cy="252"/>
                            <a:chOff x="0" y="0"/>
                            <a:chExt cx="8484" cy="252"/>
                          </a:xfrm>
                        </wpg:grpSpPr>
                        <wps:wsp>
                          <wps:cNvPr id="2788" name="Freeform 2783"/>
                          <wps:cNvSpPr>
                            <a:spLocks/>
                          </wps:cNvSpPr>
                          <wps:spPr bwMode="auto">
                            <a:xfrm>
                              <a:off x="0" y="0"/>
                              <a:ext cx="8484" cy="252"/>
                            </a:xfrm>
                            <a:custGeom>
                              <a:avLst/>
                              <a:gdLst>
                                <a:gd name="T0" fmla="*/ 0 w 8484"/>
                                <a:gd name="T1" fmla="*/ 252 h 252"/>
                                <a:gd name="T2" fmla="*/ 8484 w 8484"/>
                                <a:gd name="T3" fmla="*/ 252 h 252"/>
                                <a:gd name="T4" fmla="*/ 8484 w 8484"/>
                                <a:gd name="T5" fmla="*/ 0 h 252"/>
                                <a:gd name="T6" fmla="*/ 0 w 8484"/>
                                <a:gd name="T7" fmla="*/ 0 h 252"/>
                                <a:gd name="T8" fmla="*/ 0 w 8484"/>
                                <a:gd name="T9" fmla="*/ 252 h 252"/>
                              </a:gdLst>
                              <a:ahLst/>
                              <a:cxnLst>
                                <a:cxn ang="0">
                                  <a:pos x="T0" y="T1"/>
                                </a:cxn>
                                <a:cxn ang="0">
                                  <a:pos x="T2" y="T3"/>
                                </a:cxn>
                                <a:cxn ang="0">
                                  <a:pos x="T4" y="T5"/>
                                </a:cxn>
                                <a:cxn ang="0">
                                  <a:pos x="T6" y="T7"/>
                                </a:cxn>
                                <a:cxn ang="0">
                                  <a:pos x="T8" y="T9"/>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9" name="Group 2779"/>
                        <wpg:cNvGrpSpPr>
                          <a:grpSpLocks/>
                        </wpg:cNvGrpSpPr>
                        <wpg:grpSpPr bwMode="auto">
                          <a:xfrm>
                            <a:off x="0" y="252"/>
                            <a:ext cx="771" cy="255"/>
                            <a:chOff x="0" y="252"/>
                            <a:chExt cx="771" cy="255"/>
                          </a:xfrm>
                        </wpg:grpSpPr>
                        <wps:wsp>
                          <wps:cNvPr id="2790" name="Freeform 2781"/>
                          <wps:cNvSpPr>
                            <a:spLocks/>
                          </wps:cNvSpPr>
                          <wps:spPr bwMode="auto">
                            <a:xfrm>
                              <a:off x="0" y="252"/>
                              <a:ext cx="771" cy="255"/>
                            </a:xfrm>
                            <a:custGeom>
                              <a:avLst/>
                              <a:gdLst>
                                <a:gd name="T0" fmla="*/ 0 w 771"/>
                                <a:gd name="T1" fmla="+- 0 506 252"/>
                                <a:gd name="T2" fmla="*/ 506 h 255"/>
                                <a:gd name="T3" fmla="*/ 770 w 771"/>
                                <a:gd name="T4" fmla="+- 0 506 252"/>
                                <a:gd name="T5" fmla="*/ 506 h 255"/>
                                <a:gd name="T6" fmla="*/ 770 w 771"/>
                                <a:gd name="T7" fmla="+- 0 252 252"/>
                                <a:gd name="T8" fmla="*/ 252 h 255"/>
                                <a:gd name="T9" fmla="*/ 0 w 771"/>
                                <a:gd name="T10" fmla="+- 0 252 252"/>
                                <a:gd name="T11" fmla="*/ 252 h 255"/>
                                <a:gd name="T12" fmla="*/ 0 w 771"/>
                                <a:gd name="T13" fmla="+- 0 506 252"/>
                                <a:gd name="T14" fmla="*/ 506 h 255"/>
                              </a:gdLst>
                              <a:ahLst/>
                              <a:cxnLst>
                                <a:cxn ang="0">
                                  <a:pos x="T0" y="T2"/>
                                </a:cxn>
                                <a:cxn ang="0">
                                  <a:pos x="T3" y="T5"/>
                                </a:cxn>
                                <a:cxn ang="0">
                                  <a:pos x="T6" y="T8"/>
                                </a:cxn>
                                <a:cxn ang="0">
                                  <a:pos x="T9" y="T11"/>
                                </a:cxn>
                                <a:cxn ang="0">
                                  <a:pos x="T12" y="T14"/>
                                </a:cxn>
                              </a:cxnLst>
                              <a:rect l="0" t="0" r="r" b="b"/>
                              <a:pathLst>
                                <a:path w="771" h="255">
                                  <a:moveTo>
                                    <a:pt x="0" y="254"/>
                                  </a:moveTo>
                                  <a:lnTo>
                                    <a:pt x="770" y="254"/>
                                  </a:lnTo>
                                  <a:lnTo>
                                    <a:pt x="770"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Text Box 2780"/>
                          <wps:cNvSpPr txBox="1">
                            <a:spLocks noChangeArrowheads="1"/>
                          </wps:cNvSpPr>
                          <wps:spPr bwMode="auto">
                            <a:xfrm>
                              <a:off x="0" y="0"/>
                              <a:ext cx="848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line="252" w:lineRule="exact"/>
                                  <w:rPr>
                                    <w:rFonts w:ascii="Arial" w:eastAsia="Arial" w:hAnsi="Arial" w:cs="Arial"/>
                                  </w:rPr>
                                </w:pPr>
                                <w:r>
                                  <w:rPr>
                                    <w:rFonts w:ascii="Arial"/>
                                    <w:b/>
                                    <w:i/>
                                    <w:spacing w:val="-1"/>
                                  </w:rPr>
                                  <w:t>[Guidance</w:t>
                                </w:r>
                                <w:r>
                                  <w:rPr>
                                    <w:rFonts w:ascii="Arial"/>
                                    <w:b/>
                                    <w:i/>
                                  </w:rPr>
                                  <w:t xml:space="preserve"> </w:t>
                                </w:r>
                                <w:r>
                                  <w:rPr>
                                    <w:rFonts w:ascii="Arial"/>
                                    <w:b/>
                                    <w:i/>
                                    <w:spacing w:val="21"/>
                                  </w:rPr>
                                  <w:t xml:space="preserve"> </w:t>
                                </w:r>
                                <w:r>
                                  <w:rPr>
                                    <w:rFonts w:ascii="Arial"/>
                                    <w:b/>
                                    <w:i/>
                                    <w:spacing w:val="-1"/>
                                  </w:rPr>
                                  <w:t>Note:</w:t>
                                </w:r>
                                <w:r>
                                  <w:rPr>
                                    <w:rFonts w:ascii="Arial"/>
                                    <w:b/>
                                    <w:i/>
                                  </w:rPr>
                                  <w:t xml:space="preserve"> </w:t>
                                </w:r>
                                <w:r>
                                  <w:rPr>
                                    <w:rFonts w:ascii="Arial"/>
                                    <w:b/>
                                    <w:i/>
                                    <w:spacing w:val="22"/>
                                  </w:rPr>
                                  <w:t xml:space="preserve"> </w:t>
                                </w:r>
                                <w:r>
                                  <w:rPr>
                                    <w:rFonts w:ascii="Arial"/>
                                    <w:b/>
                                    <w:i/>
                                    <w:spacing w:val="-1"/>
                                  </w:rPr>
                                  <w:t>Insert</w:t>
                                </w:r>
                                <w:r>
                                  <w:rPr>
                                    <w:rFonts w:ascii="Arial"/>
                                    <w:b/>
                                    <w:i/>
                                  </w:rPr>
                                  <w:t xml:space="preserve"> </w:t>
                                </w:r>
                                <w:r>
                                  <w:rPr>
                                    <w:rFonts w:ascii="Arial"/>
                                    <w:b/>
                                    <w:i/>
                                    <w:spacing w:val="22"/>
                                  </w:rPr>
                                  <w:t xml:space="preserve"> </w:t>
                                </w:r>
                                <w:r>
                                  <w:rPr>
                                    <w:rFonts w:ascii="Arial"/>
                                    <w:b/>
                                    <w:i/>
                                    <w:spacing w:val="-1"/>
                                  </w:rPr>
                                  <w:t>the</w:t>
                                </w:r>
                                <w:r>
                                  <w:rPr>
                                    <w:rFonts w:ascii="Arial"/>
                                    <w:b/>
                                    <w:i/>
                                  </w:rPr>
                                  <w:t xml:space="preserve"> </w:t>
                                </w:r>
                                <w:r>
                                  <w:rPr>
                                    <w:rFonts w:ascii="Arial"/>
                                    <w:b/>
                                    <w:i/>
                                    <w:spacing w:val="21"/>
                                  </w:rPr>
                                  <w:t xml:space="preserve"> </w:t>
                                </w:r>
                                <w:r>
                                  <w:rPr>
                                    <w:rFonts w:ascii="Arial"/>
                                    <w:b/>
                                    <w:i/>
                                    <w:spacing w:val="-1"/>
                                  </w:rPr>
                                  <w:t>appropriate</w:t>
                                </w:r>
                                <w:r>
                                  <w:rPr>
                                    <w:rFonts w:ascii="Arial"/>
                                    <w:b/>
                                    <w:i/>
                                  </w:rPr>
                                  <w:t xml:space="preserve"> </w:t>
                                </w:r>
                                <w:r>
                                  <w:rPr>
                                    <w:rFonts w:ascii="Arial"/>
                                    <w:b/>
                                    <w:i/>
                                    <w:spacing w:val="21"/>
                                  </w:rPr>
                                  <w:t xml:space="preserve"> </w:t>
                                </w:r>
                                <w:r>
                                  <w:rPr>
                                    <w:rFonts w:ascii="Arial"/>
                                    <w:b/>
                                    <w:i/>
                                    <w:spacing w:val="-1"/>
                                  </w:rPr>
                                  <w:t>Service</w:t>
                                </w:r>
                                <w:r>
                                  <w:rPr>
                                    <w:rFonts w:ascii="Arial"/>
                                    <w:b/>
                                    <w:i/>
                                  </w:rPr>
                                  <w:t xml:space="preserve"> </w:t>
                                </w:r>
                                <w:r>
                                  <w:rPr>
                                    <w:rFonts w:ascii="Arial"/>
                                    <w:b/>
                                    <w:i/>
                                    <w:spacing w:val="21"/>
                                  </w:rPr>
                                  <w:t xml:space="preserve"> </w:t>
                                </w:r>
                                <w:r>
                                  <w:rPr>
                                    <w:rFonts w:ascii="Arial"/>
                                    <w:b/>
                                    <w:i/>
                                    <w:spacing w:val="-1"/>
                                  </w:rPr>
                                  <w:t>Levels</w:t>
                                </w:r>
                                <w:r>
                                  <w:rPr>
                                    <w:rFonts w:ascii="Arial"/>
                                    <w:b/>
                                    <w:i/>
                                  </w:rPr>
                                  <w:t xml:space="preserve"> </w:t>
                                </w:r>
                                <w:r>
                                  <w:rPr>
                                    <w:rFonts w:ascii="Arial"/>
                                    <w:b/>
                                    <w:i/>
                                    <w:spacing w:val="21"/>
                                  </w:rPr>
                                  <w:t xml:space="preserve"> </w:t>
                                </w:r>
                                <w:r>
                                  <w:rPr>
                                    <w:rFonts w:ascii="Arial"/>
                                    <w:b/>
                                    <w:i/>
                                    <w:spacing w:val="-1"/>
                                  </w:rPr>
                                  <w:t>and</w:t>
                                </w:r>
                                <w:r>
                                  <w:rPr>
                                    <w:rFonts w:ascii="Arial"/>
                                    <w:b/>
                                    <w:i/>
                                  </w:rPr>
                                  <w:t xml:space="preserve"> </w:t>
                                </w:r>
                                <w:r>
                                  <w:rPr>
                                    <w:rFonts w:ascii="Arial"/>
                                    <w:b/>
                                    <w:i/>
                                    <w:spacing w:val="21"/>
                                  </w:rPr>
                                  <w:t xml:space="preserve"> </w:t>
                                </w:r>
                                <w:r>
                                  <w:rPr>
                                    <w:rFonts w:ascii="Arial"/>
                                    <w:b/>
                                    <w:i/>
                                    <w:spacing w:val="-1"/>
                                  </w:rPr>
                                  <w:t>Service</w:t>
                                </w:r>
                                <w:r>
                                  <w:rPr>
                                    <w:rFonts w:ascii="Arial"/>
                                    <w:b/>
                                    <w:i/>
                                  </w:rPr>
                                  <w:t xml:space="preserve"> </w:t>
                                </w:r>
                                <w:r>
                                  <w:rPr>
                                    <w:rFonts w:ascii="Arial"/>
                                    <w:b/>
                                    <w:i/>
                                    <w:spacing w:val="21"/>
                                  </w:rPr>
                                  <w:t xml:space="preserve"> </w:t>
                                </w:r>
                                <w:r>
                                  <w:rPr>
                                    <w:rFonts w:ascii="Arial"/>
                                    <w:b/>
                                    <w:i/>
                                    <w:spacing w:val="-1"/>
                                  </w:rPr>
                                  <w:t>Credits</w:t>
                                </w:r>
                                <w:r>
                                  <w:rPr>
                                    <w:rFonts w:ascii="Arial"/>
                                    <w:b/>
                                    <w:i/>
                                    <w:spacing w:val="55"/>
                                  </w:rPr>
                                  <w:t xml:space="preserve"> </w:t>
                                </w:r>
                                <w:r>
                                  <w:rPr>
                                    <w:rFonts w:ascii="Arial"/>
                                    <w:b/>
                                    <w:i/>
                                    <w:spacing w:val="-1"/>
                                  </w:rPr>
                                  <w:t>above.]</w:t>
                                </w:r>
                              </w:p>
                            </w:txbxContent>
                          </wps:txbx>
                          <wps:bodyPr rot="0" vert="horz" wrap="square" lIns="0" tIns="0" rIns="0" bIns="0" anchor="t" anchorCtr="0" upright="1">
                            <a:noAutofit/>
                          </wps:bodyPr>
                        </wps:wsp>
                      </wpg:grpSp>
                    </wpg:wgp>
                  </a:graphicData>
                </a:graphic>
              </wp:inline>
            </w:drawing>
          </mc:Choice>
          <mc:Fallback>
            <w:pict>
              <v:group w14:anchorId="0F339980" id="Group 2778" o:spid="_x0000_s1278" style="width:424.3pt;height:25.35pt;mso-position-horizontal-relative:char;mso-position-vertical-relative:line" coordsize="848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">
                <v:group id="Group 2782" o:spid="_x0000_s1279" style="position:absolute;width:8484;height:252"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Freeform 2783" o:spid="_x0000_s1280" style="position:absolute;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IvcQA&#10;AADdAAAADwAAAGRycy9kb3ducmV2LnhtbERPTWvCQBC9F/oflin0VjeNUCV1lVISUC+atNDrmB2T&#10;2OxsyG6T9N+7B8Hj432vNpNpxUC9aywreJ1FIIhLqxuuFHx/ZS9LEM4ja2wtk4J/crBZPz6sMNF2&#10;5JyGwlcihLBLUEHtfZdI6cqaDLqZ7YgDd7a9QR9gX0nd4xjCTSvjKHqTBhsODTV29FlT+Vv8GQXp&#10;PO9+9qfskO70ZbgsxuNgi0qp56fp4x2Ep8nfxTf3ViuIF8swN7wJT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iL3EAAAA3QAAAA8AAAAAAAAAAAAAAAAAmAIAAGRycy9k&#10;b3ducmV2LnhtbFBLBQYAAAAABAAEAPUAAACJAwAAAAA=&#10;" path="m,252r8484,l8484,,,,,252xe" fillcolor="lime" stroked="f">
                    <v:path arrowok="t" o:connecttype="custom" o:connectlocs="0,252;8484,252;8484,0;0,0;0,252" o:connectangles="0,0,0,0,0"/>
                  </v:shape>
                </v:group>
                <v:group id="Group 2779" o:spid="_x0000_s1281" style="position:absolute;top:252;width:771;height:255" coordorigin=",252" coordsize="77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Freeform 2781" o:spid="_x0000_s1282" style="position:absolute;top:252;width:771;height:255;visibility:visible;mso-wrap-style:square;v-text-anchor:top" coordsize="77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HhMMA&#10;AADdAAAADwAAAGRycy9kb3ducmV2LnhtbERP3WrCMBS+F/YO4Qx2IzO1iJudaZkbMq8EnQ9waI5N&#10;sTkpTfozn365GOzy4/vfFpNtxECdrx0rWC4SEMSl0zVXCi7f++dXED4ga2wck4If8lDkD7MtZtqN&#10;fKLhHCoRQ9hnqMCE0GZS+tKQRb9wLXHkrq6zGCLsKqk7HGO4bWSaJGtpsebYYLClD0Pl7dxbBePx&#10;vkmn06qfJ+bW7HR5D+7rU6mnx+n9DUSgKfyL/9wHrSB92cT9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yHhMMAAADdAAAADwAAAAAAAAAAAAAAAACYAgAAZHJzL2Rv&#10;d25yZXYueG1sUEsFBgAAAAAEAAQA9QAAAIgDAAAAAA==&#10;" path="m,254r770,l770,,,,,254xe" fillcolor="lime" stroked="f">
                    <v:path arrowok="t" o:connecttype="custom" o:connectlocs="0,506;770,506;770,252;0,252;0,506" o:connectangles="0,0,0,0,0"/>
                  </v:shape>
                  <v:shape id="Text Box 2780" o:spid="_x0000_s1283" type="#_x0000_t202" style="position:absolute;width:848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h0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6Yj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uHQxQAAAN0AAAAPAAAAAAAAAAAAAAAAAJgCAABkcnMv&#10;ZG93bnJldi54bWxQSwUGAAAAAAQABAD1AAAAigMAAAAA&#10;" filled="f" stroked="f">
                    <v:textbox inset="0,0,0,0">
                      <w:txbxContent>
                        <w:p w:rsidR="005D2B81" w:rsidRDefault="005D2B81" w:rsidP="008918FA">
                          <w:pPr>
                            <w:spacing w:before="2" w:line="252" w:lineRule="exact"/>
                            <w:rPr>
                              <w:rFonts w:ascii="Arial" w:eastAsia="Arial" w:hAnsi="Arial" w:cs="Arial"/>
                            </w:rPr>
                          </w:pPr>
                          <w:r>
                            <w:rPr>
                              <w:rFonts w:ascii="Arial"/>
                              <w:b/>
                              <w:i/>
                              <w:spacing w:val="-1"/>
                            </w:rPr>
                            <w:t>[Guidance</w:t>
                          </w:r>
                          <w:r>
                            <w:rPr>
                              <w:rFonts w:ascii="Arial"/>
                              <w:b/>
                              <w:i/>
                            </w:rPr>
                            <w:t xml:space="preserve"> </w:t>
                          </w:r>
                          <w:r>
                            <w:rPr>
                              <w:rFonts w:ascii="Arial"/>
                              <w:b/>
                              <w:i/>
                              <w:spacing w:val="21"/>
                            </w:rPr>
                            <w:t xml:space="preserve"> </w:t>
                          </w:r>
                          <w:r>
                            <w:rPr>
                              <w:rFonts w:ascii="Arial"/>
                              <w:b/>
                              <w:i/>
                              <w:spacing w:val="-1"/>
                            </w:rPr>
                            <w:t>Note:</w:t>
                          </w:r>
                          <w:r>
                            <w:rPr>
                              <w:rFonts w:ascii="Arial"/>
                              <w:b/>
                              <w:i/>
                            </w:rPr>
                            <w:t xml:space="preserve"> </w:t>
                          </w:r>
                          <w:r>
                            <w:rPr>
                              <w:rFonts w:ascii="Arial"/>
                              <w:b/>
                              <w:i/>
                              <w:spacing w:val="22"/>
                            </w:rPr>
                            <w:t xml:space="preserve"> </w:t>
                          </w:r>
                          <w:r>
                            <w:rPr>
                              <w:rFonts w:ascii="Arial"/>
                              <w:b/>
                              <w:i/>
                              <w:spacing w:val="-1"/>
                            </w:rPr>
                            <w:t>Insert</w:t>
                          </w:r>
                          <w:r>
                            <w:rPr>
                              <w:rFonts w:ascii="Arial"/>
                              <w:b/>
                              <w:i/>
                            </w:rPr>
                            <w:t xml:space="preserve"> </w:t>
                          </w:r>
                          <w:r>
                            <w:rPr>
                              <w:rFonts w:ascii="Arial"/>
                              <w:b/>
                              <w:i/>
                              <w:spacing w:val="22"/>
                            </w:rPr>
                            <w:t xml:space="preserve"> </w:t>
                          </w:r>
                          <w:r>
                            <w:rPr>
                              <w:rFonts w:ascii="Arial"/>
                              <w:b/>
                              <w:i/>
                              <w:spacing w:val="-1"/>
                            </w:rPr>
                            <w:t>the</w:t>
                          </w:r>
                          <w:r>
                            <w:rPr>
                              <w:rFonts w:ascii="Arial"/>
                              <w:b/>
                              <w:i/>
                            </w:rPr>
                            <w:t xml:space="preserve"> </w:t>
                          </w:r>
                          <w:r>
                            <w:rPr>
                              <w:rFonts w:ascii="Arial"/>
                              <w:b/>
                              <w:i/>
                              <w:spacing w:val="21"/>
                            </w:rPr>
                            <w:t xml:space="preserve"> </w:t>
                          </w:r>
                          <w:r>
                            <w:rPr>
                              <w:rFonts w:ascii="Arial"/>
                              <w:b/>
                              <w:i/>
                              <w:spacing w:val="-1"/>
                            </w:rPr>
                            <w:t>appropriate</w:t>
                          </w:r>
                          <w:r>
                            <w:rPr>
                              <w:rFonts w:ascii="Arial"/>
                              <w:b/>
                              <w:i/>
                            </w:rPr>
                            <w:t xml:space="preserve"> </w:t>
                          </w:r>
                          <w:r>
                            <w:rPr>
                              <w:rFonts w:ascii="Arial"/>
                              <w:b/>
                              <w:i/>
                              <w:spacing w:val="21"/>
                            </w:rPr>
                            <w:t xml:space="preserve"> </w:t>
                          </w:r>
                          <w:r>
                            <w:rPr>
                              <w:rFonts w:ascii="Arial"/>
                              <w:b/>
                              <w:i/>
                              <w:spacing w:val="-1"/>
                            </w:rPr>
                            <w:t>Service</w:t>
                          </w:r>
                          <w:r>
                            <w:rPr>
                              <w:rFonts w:ascii="Arial"/>
                              <w:b/>
                              <w:i/>
                            </w:rPr>
                            <w:t xml:space="preserve"> </w:t>
                          </w:r>
                          <w:r>
                            <w:rPr>
                              <w:rFonts w:ascii="Arial"/>
                              <w:b/>
                              <w:i/>
                              <w:spacing w:val="21"/>
                            </w:rPr>
                            <w:t xml:space="preserve"> </w:t>
                          </w:r>
                          <w:r>
                            <w:rPr>
                              <w:rFonts w:ascii="Arial"/>
                              <w:b/>
                              <w:i/>
                              <w:spacing w:val="-1"/>
                            </w:rPr>
                            <w:t>Levels</w:t>
                          </w:r>
                          <w:r>
                            <w:rPr>
                              <w:rFonts w:ascii="Arial"/>
                              <w:b/>
                              <w:i/>
                            </w:rPr>
                            <w:t xml:space="preserve"> </w:t>
                          </w:r>
                          <w:r>
                            <w:rPr>
                              <w:rFonts w:ascii="Arial"/>
                              <w:b/>
                              <w:i/>
                              <w:spacing w:val="21"/>
                            </w:rPr>
                            <w:t xml:space="preserve"> </w:t>
                          </w:r>
                          <w:r>
                            <w:rPr>
                              <w:rFonts w:ascii="Arial"/>
                              <w:b/>
                              <w:i/>
                              <w:spacing w:val="-1"/>
                            </w:rPr>
                            <w:t>and</w:t>
                          </w:r>
                          <w:r>
                            <w:rPr>
                              <w:rFonts w:ascii="Arial"/>
                              <w:b/>
                              <w:i/>
                            </w:rPr>
                            <w:t xml:space="preserve"> </w:t>
                          </w:r>
                          <w:r>
                            <w:rPr>
                              <w:rFonts w:ascii="Arial"/>
                              <w:b/>
                              <w:i/>
                              <w:spacing w:val="21"/>
                            </w:rPr>
                            <w:t xml:space="preserve"> </w:t>
                          </w:r>
                          <w:r>
                            <w:rPr>
                              <w:rFonts w:ascii="Arial"/>
                              <w:b/>
                              <w:i/>
                              <w:spacing w:val="-1"/>
                            </w:rPr>
                            <w:t>Service</w:t>
                          </w:r>
                          <w:r>
                            <w:rPr>
                              <w:rFonts w:ascii="Arial"/>
                              <w:b/>
                              <w:i/>
                            </w:rPr>
                            <w:t xml:space="preserve"> </w:t>
                          </w:r>
                          <w:r>
                            <w:rPr>
                              <w:rFonts w:ascii="Arial"/>
                              <w:b/>
                              <w:i/>
                              <w:spacing w:val="21"/>
                            </w:rPr>
                            <w:t xml:space="preserve"> </w:t>
                          </w:r>
                          <w:r>
                            <w:rPr>
                              <w:rFonts w:ascii="Arial"/>
                              <w:b/>
                              <w:i/>
                              <w:spacing w:val="-1"/>
                            </w:rPr>
                            <w:t>Credits</w:t>
                          </w:r>
                          <w:r>
                            <w:rPr>
                              <w:rFonts w:ascii="Arial"/>
                              <w:b/>
                              <w:i/>
                              <w:spacing w:val="55"/>
                            </w:rPr>
                            <w:t xml:space="preserve"> </w:t>
                          </w:r>
                          <w:r>
                            <w:rPr>
                              <w:rFonts w:ascii="Arial"/>
                              <w:b/>
                              <w:i/>
                              <w:spacing w:val="-1"/>
                            </w:rPr>
                            <w:t>above.]</w:t>
                          </w:r>
                        </w:p>
                      </w:txbxContent>
                    </v:textbox>
                  </v:shape>
                </v:group>
                <w10:anchorlock/>
              </v:group>
            </w:pict>
          </mc:Fallback>
        </mc:AlternateContent>
      </w:r>
    </w:p>
    <w:p w:rsidR="008918FA" w:rsidRDefault="008918FA" w:rsidP="008918FA">
      <w:pPr>
        <w:pStyle w:val="BodyText"/>
        <w:spacing w:before="117"/>
        <w:ind w:left="548" w:firstLine="0"/>
      </w:pPr>
      <w:r>
        <w:t>The</w:t>
      </w:r>
      <w:r>
        <w:rPr>
          <w:spacing w:val="-2"/>
        </w:rPr>
        <w:t xml:space="preserve"> Service</w:t>
      </w:r>
      <w:r>
        <w:rPr>
          <w:spacing w:val="1"/>
        </w:rPr>
        <w:t xml:space="preserve"> </w:t>
      </w:r>
      <w:r>
        <w:rPr>
          <w:spacing w:val="-1"/>
        </w:rPr>
        <w:t>Credits</w:t>
      </w:r>
      <w:r>
        <w:rPr>
          <w:spacing w:val="-2"/>
        </w:rPr>
        <w:t xml:space="preserve"> </w:t>
      </w:r>
      <w:r>
        <w:rPr>
          <w:spacing w:val="-1"/>
        </w:rPr>
        <w:t>shall</w:t>
      </w:r>
      <w:r>
        <w:t xml:space="preserve"> </w:t>
      </w:r>
      <w:r>
        <w:rPr>
          <w:spacing w:val="-1"/>
        </w:rPr>
        <w:t>be</w:t>
      </w:r>
      <w:r>
        <w:t xml:space="preserve"> </w:t>
      </w:r>
      <w:r>
        <w:rPr>
          <w:spacing w:val="-1"/>
        </w:rPr>
        <w:t>calculated</w:t>
      </w:r>
      <w:r>
        <w:rPr>
          <w:spacing w:val="-2"/>
        </w:rPr>
        <w:t xml:space="preserve"> </w:t>
      </w:r>
      <w:r>
        <w:rPr>
          <w:spacing w:val="-1"/>
        </w:rPr>
        <w:t>on</w:t>
      </w:r>
      <w:r>
        <w:rPr>
          <w:spacing w:val="-2"/>
        </w:rPr>
        <w:t xml:space="preserve"> </w:t>
      </w:r>
      <w:r>
        <w:t xml:space="preserve">the </w:t>
      </w:r>
      <w:r>
        <w:rPr>
          <w:spacing w:val="-2"/>
        </w:rPr>
        <w:t>basis</w:t>
      </w:r>
      <w:r>
        <w:rPr>
          <w:spacing w:val="1"/>
        </w:rPr>
        <w:t xml:space="preserve"> </w:t>
      </w:r>
      <w:r>
        <w:rPr>
          <w:spacing w:val="-2"/>
        </w:rPr>
        <w:t>of</w:t>
      </w:r>
      <w:r>
        <w:rPr>
          <w:spacing w:val="2"/>
        </w:rPr>
        <w:t xml:space="preserve"> </w:t>
      </w:r>
      <w:r>
        <w:t>the</w:t>
      </w:r>
      <w:r>
        <w:rPr>
          <w:spacing w:val="-2"/>
        </w:rPr>
        <w:t xml:space="preserve"> following</w:t>
      </w:r>
      <w:r>
        <w:t xml:space="preserve"> </w:t>
      </w:r>
      <w:r>
        <w:rPr>
          <w:spacing w:val="-1"/>
        </w:rPr>
        <w:t>formula:</w:t>
      </w:r>
    </w:p>
    <w:p w:rsidR="008918FA" w:rsidRDefault="008918FA" w:rsidP="008918FA">
      <w:pPr>
        <w:spacing w:before="5"/>
        <w:rPr>
          <w:rFonts w:ascii="Arial" w:eastAsia="Arial" w:hAnsi="Arial" w:cs="Arial"/>
          <w:sz w:val="14"/>
          <w:szCs w:val="14"/>
        </w:rPr>
      </w:pPr>
    </w:p>
    <w:p w:rsidR="008918FA" w:rsidRDefault="008918FA" w:rsidP="008918FA">
      <w:pPr>
        <w:pStyle w:val="BodyText"/>
        <w:spacing w:before="72"/>
        <w:ind w:left="548" w:firstLine="0"/>
      </w:pPr>
      <w:r>
        <w:rPr>
          <w:noProof/>
          <w:lang w:eastAsia="en-GB"/>
        </w:rPr>
        <mc:AlternateContent>
          <mc:Choice Requires="wpg">
            <w:drawing>
              <wp:anchor distT="0" distB="0" distL="114300" distR="114300" simplePos="0" relativeHeight="251766784" behindDoc="1" locked="0" layoutInCell="1" allowOverlap="1" wp14:anchorId="254C2772" wp14:editId="7591F755">
                <wp:simplePos x="0" y="0"/>
                <wp:positionH relativeFrom="page">
                  <wp:posOffset>4288790</wp:posOffset>
                </wp:positionH>
                <wp:positionV relativeFrom="paragraph">
                  <wp:posOffset>359410</wp:posOffset>
                </wp:positionV>
                <wp:extent cx="2372995" cy="483235"/>
                <wp:effectExtent l="2540" t="0" r="0" b="0"/>
                <wp:wrapNone/>
                <wp:docPr id="2746" name="Group 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483235"/>
                          <a:chOff x="6754" y="566"/>
                          <a:chExt cx="3737" cy="761"/>
                        </a:xfrm>
                      </wpg:grpSpPr>
                      <wpg:grpSp>
                        <wpg:cNvPr id="2747" name="Group 2743"/>
                        <wpg:cNvGrpSpPr>
                          <a:grpSpLocks/>
                        </wpg:cNvGrpSpPr>
                        <wpg:grpSpPr bwMode="auto">
                          <a:xfrm>
                            <a:off x="6754" y="566"/>
                            <a:ext cx="3737" cy="255"/>
                            <a:chOff x="6754" y="566"/>
                            <a:chExt cx="3737" cy="255"/>
                          </a:xfrm>
                        </wpg:grpSpPr>
                        <wps:wsp>
                          <wps:cNvPr id="2748" name="Freeform 2744"/>
                          <wps:cNvSpPr>
                            <a:spLocks/>
                          </wps:cNvSpPr>
                          <wps:spPr bwMode="auto">
                            <a:xfrm>
                              <a:off x="6754" y="566"/>
                              <a:ext cx="3737" cy="255"/>
                            </a:xfrm>
                            <a:custGeom>
                              <a:avLst/>
                              <a:gdLst>
                                <a:gd name="T0" fmla="+- 0 6754 6754"/>
                                <a:gd name="T1" fmla="*/ T0 w 3737"/>
                                <a:gd name="T2" fmla="+- 0 821 566"/>
                                <a:gd name="T3" fmla="*/ 821 h 255"/>
                                <a:gd name="T4" fmla="+- 0 10490 6754"/>
                                <a:gd name="T5" fmla="*/ T4 w 3737"/>
                                <a:gd name="T6" fmla="+- 0 821 566"/>
                                <a:gd name="T7" fmla="*/ 821 h 255"/>
                                <a:gd name="T8" fmla="+- 0 10490 6754"/>
                                <a:gd name="T9" fmla="*/ T8 w 3737"/>
                                <a:gd name="T10" fmla="+- 0 566 566"/>
                                <a:gd name="T11" fmla="*/ 566 h 255"/>
                                <a:gd name="T12" fmla="+- 0 6754 6754"/>
                                <a:gd name="T13" fmla="*/ T12 w 3737"/>
                                <a:gd name="T14" fmla="+- 0 566 566"/>
                                <a:gd name="T15" fmla="*/ 566 h 255"/>
                                <a:gd name="T16" fmla="+- 0 6754 6754"/>
                                <a:gd name="T17" fmla="*/ T16 w 3737"/>
                                <a:gd name="T18" fmla="+- 0 821 566"/>
                                <a:gd name="T19" fmla="*/ 821 h 255"/>
                              </a:gdLst>
                              <a:ahLst/>
                              <a:cxnLst>
                                <a:cxn ang="0">
                                  <a:pos x="T1" y="T3"/>
                                </a:cxn>
                                <a:cxn ang="0">
                                  <a:pos x="T5" y="T7"/>
                                </a:cxn>
                                <a:cxn ang="0">
                                  <a:pos x="T9" y="T11"/>
                                </a:cxn>
                                <a:cxn ang="0">
                                  <a:pos x="T13" y="T15"/>
                                </a:cxn>
                                <a:cxn ang="0">
                                  <a:pos x="T17" y="T19"/>
                                </a:cxn>
                              </a:cxnLst>
                              <a:rect l="0" t="0" r="r" b="b"/>
                              <a:pathLst>
                                <a:path w="3737" h="255">
                                  <a:moveTo>
                                    <a:pt x="0" y="255"/>
                                  </a:moveTo>
                                  <a:lnTo>
                                    <a:pt x="3736" y="255"/>
                                  </a:lnTo>
                                  <a:lnTo>
                                    <a:pt x="3736"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9" name="Group 2741"/>
                        <wpg:cNvGrpSpPr>
                          <a:grpSpLocks/>
                        </wpg:cNvGrpSpPr>
                        <wpg:grpSpPr bwMode="auto">
                          <a:xfrm>
                            <a:off x="6754" y="821"/>
                            <a:ext cx="3737" cy="252"/>
                            <a:chOff x="6754" y="821"/>
                            <a:chExt cx="3737" cy="252"/>
                          </a:xfrm>
                        </wpg:grpSpPr>
                        <wps:wsp>
                          <wps:cNvPr id="2750" name="Freeform 2742"/>
                          <wps:cNvSpPr>
                            <a:spLocks/>
                          </wps:cNvSpPr>
                          <wps:spPr bwMode="auto">
                            <a:xfrm>
                              <a:off x="6754" y="821"/>
                              <a:ext cx="3737" cy="252"/>
                            </a:xfrm>
                            <a:custGeom>
                              <a:avLst/>
                              <a:gdLst>
                                <a:gd name="T0" fmla="+- 0 6754 6754"/>
                                <a:gd name="T1" fmla="*/ T0 w 3737"/>
                                <a:gd name="T2" fmla="+- 0 1073 821"/>
                                <a:gd name="T3" fmla="*/ 1073 h 252"/>
                                <a:gd name="T4" fmla="+- 0 10490 6754"/>
                                <a:gd name="T5" fmla="*/ T4 w 3737"/>
                                <a:gd name="T6" fmla="+- 0 1073 821"/>
                                <a:gd name="T7" fmla="*/ 1073 h 252"/>
                                <a:gd name="T8" fmla="+- 0 10490 6754"/>
                                <a:gd name="T9" fmla="*/ T8 w 3737"/>
                                <a:gd name="T10" fmla="+- 0 821 821"/>
                                <a:gd name="T11" fmla="*/ 821 h 252"/>
                                <a:gd name="T12" fmla="+- 0 6754 6754"/>
                                <a:gd name="T13" fmla="*/ T12 w 3737"/>
                                <a:gd name="T14" fmla="+- 0 821 821"/>
                                <a:gd name="T15" fmla="*/ 821 h 252"/>
                                <a:gd name="T16" fmla="+- 0 6754 6754"/>
                                <a:gd name="T17" fmla="*/ T16 w 3737"/>
                                <a:gd name="T18" fmla="+- 0 1073 821"/>
                                <a:gd name="T19" fmla="*/ 1073 h 252"/>
                              </a:gdLst>
                              <a:ahLst/>
                              <a:cxnLst>
                                <a:cxn ang="0">
                                  <a:pos x="T1" y="T3"/>
                                </a:cxn>
                                <a:cxn ang="0">
                                  <a:pos x="T5" y="T7"/>
                                </a:cxn>
                                <a:cxn ang="0">
                                  <a:pos x="T9" y="T11"/>
                                </a:cxn>
                                <a:cxn ang="0">
                                  <a:pos x="T13" y="T15"/>
                                </a:cxn>
                                <a:cxn ang="0">
                                  <a:pos x="T17" y="T19"/>
                                </a:cxn>
                              </a:cxnLst>
                              <a:rect l="0" t="0" r="r" b="b"/>
                              <a:pathLst>
                                <a:path w="3737" h="252">
                                  <a:moveTo>
                                    <a:pt x="0" y="252"/>
                                  </a:moveTo>
                                  <a:lnTo>
                                    <a:pt x="3736" y="252"/>
                                  </a:lnTo>
                                  <a:lnTo>
                                    <a:pt x="3736"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1" name="Group 2739"/>
                        <wpg:cNvGrpSpPr>
                          <a:grpSpLocks/>
                        </wpg:cNvGrpSpPr>
                        <wpg:grpSpPr bwMode="auto">
                          <a:xfrm>
                            <a:off x="6754" y="1073"/>
                            <a:ext cx="3737" cy="255"/>
                            <a:chOff x="6754" y="1073"/>
                            <a:chExt cx="3737" cy="255"/>
                          </a:xfrm>
                        </wpg:grpSpPr>
                        <wps:wsp>
                          <wps:cNvPr id="2752" name="Freeform 2740"/>
                          <wps:cNvSpPr>
                            <a:spLocks/>
                          </wps:cNvSpPr>
                          <wps:spPr bwMode="auto">
                            <a:xfrm>
                              <a:off x="6754" y="1073"/>
                              <a:ext cx="3737" cy="255"/>
                            </a:xfrm>
                            <a:custGeom>
                              <a:avLst/>
                              <a:gdLst>
                                <a:gd name="T0" fmla="+- 0 6754 6754"/>
                                <a:gd name="T1" fmla="*/ T0 w 3737"/>
                                <a:gd name="T2" fmla="+- 0 1327 1073"/>
                                <a:gd name="T3" fmla="*/ 1327 h 255"/>
                                <a:gd name="T4" fmla="+- 0 10490 6754"/>
                                <a:gd name="T5" fmla="*/ T4 w 3737"/>
                                <a:gd name="T6" fmla="+- 0 1327 1073"/>
                                <a:gd name="T7" fmla="*/ 1327 h 255"/>
                                <a:gd name="T8" fmla="+- 0 10490 6754"/>
                                <a:gd name="T9" fmla="*/ T8 w 3737"/>
                                <a:gd name="T10" fmla="+- 0 1073 1073"/>
                                <a:gd name="T11" fmla="*/ 1073 h 255"/>
                                <a:gd name="T12" fmla="+- 0 6754 6754"/>
                                <a:gd name="T13" fmla="*/ T12 w 3737"/>
                                <a:gd name="T14" fmla="+- 0 1073 1073"/>
                                <a:gd name="T15" fmla="*/ 1073 h 255"/>
                                <a:gd name="T16" fmla="+- 0 6754 6754"/>
                                <a:gd name="T17" fmla="*/ T16 w 3737"/>
                                <a:gd name="T18" fmla="+- 0 1327 1073"/>
                                <a:gd name="T19" fmla="*/ 1327 h 255"/>
                              </a:gdLst>
                              <a:ahLst/>
                              <a:cxnLst>
                                <a:cxn ang="0">
                                  <a:pos x="T1" y="T3"/>
                                </a:cxn>
                                <a:cxn ang="0">
                                  <a:pos x="T5" y="T7"/>
                                </a:cxn>
                                <a:cxn ang="0">
                                  <a:pos x="T9" y="T11"/>
                                </a:cxn>
                                <a:cxn ang="0">
                                  <a:pos x="T13" y="T15"/>
                                </a:cxn>
                                <a:cxn ang="0">
                                  <a:pos x="T17" y="T19"/>
                                </a:cxn>
                              </a:cxnLst>
                              <a:rect l="0" t="0" r="r" b="b"/>
                              <a:pathLst>
                                <a:path w="3737" h="255">
                                  <a:moveTo>
                                    <a:pt x="0" y="254"/>
                                  </a:moveTo>
                                  <a:lnTo>
                                    <a:pt x="3736" y="254"/>
                                  </a:lnTo>
                                  <a:lnTo>
                                    <a:pt x="3736"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1B8CA" id="Group 2738" o:spid="_x0000_s1026" style="position:absolute;margin-left:337.7pt;margin-top:28.3pt;width:186.85pt;height:38.05pt;z-index:-251549696;mso-position-horizontal-relative:page" coordorigin="6754,566" coordsize="373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">
                <v:group id="Group 2743" o:spid="_x0000_s1027" style="position:absolute;left:6754;top:566;width:3737;height:255" coordorigin="6754,566" coordsize="373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Freeform 2744" o:spid="_x0000_s1028" style="position:absolute;left:6754;top:566;width:3737;height:255;visibility:visible;mso-wrap-style:square;v-text-anchor:top" coordsize="373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K5b8A&#10;AADdAAAADwAAAGRycy9kb3ducmV2LnhtbERPTWsCMRC9F/wPYQRvNatIK1ujFEH0qrb0OmzGJO1m&#10;smziGv+9OQg9Pt73apN9KwbqowusYDatQBA3QTs2Cr7Ou9cliJiQNbaBScGdImzWo5cV1jrc+EjD&#10;KRlRQjjWqMCm1NVSxsaSxzgNHXHhLqH3mArsjdQ93kq4b+W8qt6kR8elwWJHW0vN3+nqFQxn4/iH&#10;Lnl2z79LZ76tbfZZqck4f36ASJTTv/jpPmgF8/dFmVvelCcg1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YrlvwAAAN0AAAAPAAAAAAAAAAAAAAAAAJgCAABkcnMvZG93bnJl&#10;di54bWxQSwUGAAAAAAQABAD1AAAAhAMAAAAA&#10;" path="m,255r3736,l3736,,,,,255xe" fillcolor="yellow" stroked="f">
                    <v:path arrowok="t" o:connecttype="custom" o:connectlocs="0,821;3736,821;3736,566;0,566;0,821" o:connectangles="0,0,0,0,0"/>
                  </v:shape>
                </v:group>
                <v:group id="Group 2741" o:spid="_x0000_s1029" style="position:absolute;left:6754;top:821;width:3737;height:252" coordorigin="6754,821" coordsize="373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rJSscAAADdAAAADwAAAGRycy9kb3ducmV2LnhtbESPQWvCQBSE7wX/w/IE&#10;b3UTba1GVxFpxYMIVaH09sg+k2D2bchuk/jvXUHocZiZb5jFqjOlaKh2hWUF8TACQZxaXXCm4Hz6&#10;ep2CcB5ZY2mZFNzIwWrZe1lgom3L39QcfSYChF2CCnLvq0RKl+Zk0A1tRRy8i60N+iDrTOoa2wA3&#10;pRxF0UQaLDgs5FjRJqf0evwzCrYttutx/Nnsr5fN7ff0fvjZx6TUoN+t5yA8df4//GzvtILR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rJSscAAADd&#10;AAAADwAAAAAAAAAAAAAAAACqAgAAZHJzL2Rvd25yZXYueG1sUEsFBgAAAAAEAAQA+gAAAJ4DAAAA&#10;AA==&#10;">
                  <v:shape id="Freeform 2742" o:spid="_x0000_s1030" style="position:absolute;left:6754;top:821;width:3737;height:252;visibility:visible;mso-wrap-style:square;v-text-anchor:top" coordsize="373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as8QA&#10;AADdAAAADwAAAGRycy9kb3ducmV2LnhtbERPy2rCQBTdF/yH4QrumkmV1pI6iilYumjVqri+ZK5J&#10;MHMnzUwe/r2zKHR5OO/FajCV6KhxpWUFT1EMgjizuuRcwem4eXwF4TyyxsoyKbiRg9Vy9LDARNue&#10;f6g7+FyEEHYJKii8rxMpXVaQQRfZmjhwF9sY9AE2udQN9iHcVHIaxy/SYMmhocCa3gvKrofWKNif&#10;T+nse9Ze+fKbbtN63VVfHzulJuNh/QbC0+D/xX/uT61gOn8O+8O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GrPEAAAA3QAAAA8AAAAAAAAAAAAAAAAAmAIAAGRycy9k&#10;b3ducmV2LnhtbFBLBQYAAAAABAAEAPUAAACJAwAAAAA=&#10;" path="m,252r3736,l3736,,,,,252xe" fillcolor="yellow" stroked="f">
                    <v:path arrowok="t" o:connecttype="custom" o:connectlocs="0,1073;3736,1073;3736,821;0,821;0,1073" o:connectangles="0,0,0,0,0"/>
                  </v:shape>
                </v:group>
                <v:group id="Group 2739" o:spid="_x0000_s1031" style="position:absolute;left:6754;top:1073;width:3737;height:255" coordorigin="6754,1073" coordsize="373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Freeform 2740" o:spid="_x0000_s1032" style="position:absolute;left:6754;top:1073;width:3737;height:255;visibility:visible;mso-wrap-style:square;v-text-anchor:top" coordsize="373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0sMA&#10;AADdAAAADwAAAGRycy9kb3ducmV2LnhtbESPT2sCMRTE74V+h/AK3mrWBatsjVIK0l7rH3p9bJ5J&#10;2s3Lsolr/PZNQfA4zMxvmNUm+06MNEQXWMFsWoEgboN2bBQc9tvnJYiYkDV2gUnBlSJs1o8PK2x0&#10;uPAXjbtkRIFwbFCBTalvpIytJY9xGnri4p3C4DEVORipB7wUuO9kXVUv0qPjsmCxp3dL7e/u7BWM&#10;e+P4m055ds0/S2eO1rYfWanJU357BZEop3v41v7UCurFvIb/N+U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r0sMAAADdAAAADwAAAAAAAAAAAAAAAACYAgAAZHJzL2Rv&#10;d25yZXYueG1sUEsFBgAAAAAEAAQA9QAAAIgDAAAAAA==&#10;" path="m,254r3736,l3736,,,,,254xe" fillcolor="yellow" stroked="f">
                    <v:path arrowok="t" o:connecttype="custom" o:connectlocs="0,1327;3736,1327;3736,1073;0,1073;0,1327" o:connectangles="0,0,0,0,0"/>
                  </v:shape>
                </v:group>
                <w10:wrap anchorx="page"/>
              </v:group>
            </w:pict>
          </mc:Fallback>
        </mc:AlternateContent>
      </w:r>
      <w:r>
        <w:rPr>
          <w:spacing w:val="-1"/>
          <w:highlight w:val="yellow"/>
        </w:rPr>
        <w:t>[Example:</w:t>
      </w:r>
    </w:p>
    <w:p w:rsidR="008918FA" w:rsidRDefault="008918FA" w:rsidP="008918FA">
      <w:pPr>
        <w:spacing w:before="5"/>
        <w:rPr>
          <w:rFonts w:ascii="Arial" w:eastAsia="Arial" w:hAnsi="Arial" w:cs="Arial"/>
          <w:sz w:val="14"/>
          <w:szCs w:val="14"/>
        </w:rPr>
      </w:pPr>
    </w:p>
    <w:p w:rsidR="008918FA" w:rsidRDefault="008918FA" w:rsidP="008918FA">
      <w:pPr>
        <w:rPr>
          <w:rFonts w:ascii="Arial" w:eastAsia="Arial" w:hAnsi="Arial" w:cs="Arial"/>
          <w:sz w:val="14"/>
          <w:szCs w:val="14"/>
        </w:rPr>
        <w:sectPr w:rsidR="008918FA">
          <w:pgSz w:w="11910" w:h="16840"/>
          <w:pgMar w:top="1480" w:right="1300" w:bottom="1160" w:left="1600" w:header="0" w:footer="967" w:gutter="0"/>
          <w:cols w:space="720"/>
        </w:sectPr>
      </w:pPr>
    </w:p>
    <w:p w:rsidR="008918FA" w:rsidRDefault="008918FA" w:rsidP="008918FA">
      <w:pPr>
        <w:pStyle w:val="BodyText"/>
        <w:tabs>
          <w:tab w:val="left" w:pos="1673"/>
          <w:tab w:val="left" w:pos="2373"/>
          <w:tab w:val="left" w:pos="3573"/>
        </w:tabs>
        <w:spacing w:before="72"/>
        <w:ind w:left="406" w:firstLine="0"/>
      </w:pPr>
      <w:r>
        <w:rPr>
          <w:noProof/>
          <w:lang w:eastAsia="en-GB"/>
        </w:rPr>
        <mc:AlternateContent>
          <mc:Choice Requires="wpg">
            <w:drawing>
              <wp:anchor distT="0" distB="0" distL="114300" distR="114300" simplePos="0" relativeHeight="251765760" behindDoc="1" locked="0" layoutInCell="1" allowOverlap="1" wp14:anchorId="7BCA7D8C" wp14:editId="223F65DD">
                <wp:simplePos x="0" y="0"/>
                <wp:positionH relativeFrom="page">
                  <wp:posOffset>1273810</wp:posOffset>
                </wp:positionH>
                <wp:positionV relativeFrom="paragraph">
                  <wp:posOffset>46990</wp:posOffset>
                </wp:positionV>
                <wp:extent cx="2346960" cy="321945"/>
                <wp:effectExtent l="0" t="0" r="0" b="2540"/>
                <wp:wrapNone/>
                <wp:docPr id="2741"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321945"/>
                          <a:chOff x="2006" y="74"/>
                          <a:chExt cx="3696" cy="507"/>
                        </a:xfrm>
                      </wpg:grpSpPr>
                      <wpg:grpSp>
                        <wpg:cNvPr id="2742" name="Group 2736"/>
                        <wpg:cNvGrpSpPr>
                          <a:grpSpLocks/>
                        </wpg:cNvGrpSpPr>
                        <wpg:grpSpPr bwMode="auto">
                          <a:xfrm>
                            <a:off x="2006" y="74"/>
                            <a:ext cx="3696" cy="255"/>
                            <a:chOff x="2006" y="74"/>
                            <a:chExt cx="3696" cy="255"/>
                          </a:xfrm>
                        </wpg:grpSpPr>
                        <wps:wsp>
                          <wps:cNvPr id="2743" name="Freeform 2737"/>
                          <wps:cNvSpPr>
                            <a:spLocks/>
                          </wps:cNvSpPr>
                          <wps:spPr bwMode="auto">
                            <a:xfrm>
                              <a:off x="2006" y="74"/>
                              <a:ext cx="3696" cy="255"/>
                            </a:xfrm>
                            <a:custGeom>
                              <a:avLst/>
                              <a:gdLst>
                                <a:gd name="T0" fmla="+- 0 2006 2006"/>
                                <a:gd name="T1" fmla="*/ T0 w 3696"/>
                                <a:gd name="T2" fmla="+- 0 329 74"/>
                                <a:gd name="T3" fmla="*/ 329 h 255"/>
                                <a:gd name="T4" fmla="+- 0 5702 2006"/>
                                <a:gd name="T5" fmla="*/ T4 w 3696"/>
                                <a:gd name="T6" fmla="+- 0 329 74"/>
                                <a:gd name="T7" fmla="*/ 329 h 255"/>
                                <a:gd name="T8" fmla="+- 0 5702 2006"/>
                                <a:gd name="T9" fmla="*/ T8 w 3696"/>
                                <a:gd name="T10" fmla="+- 0 74 74"/>
                                <a:gd name="T11" fmla="*/ 74 h 255"/>
                                <a:gd name="T12" fmla="+- 0 2006 2006"/>
                                <a:gd name="T13" fmla="*/ T12 w 3696"/>
                                <a:gd name="T14" fmla="+- 0 74 74"/>
                                <a:gd name="T15" fmla="*/ 74 h 255"/>
                                <a:gd name="T16" fmla="+- 0 2006 2006"/>
                                <a:gd name="T17" fmla="*/ T16 w 3696"/>
                                <a:gd name="T18" fmla="+- 0 329 74"/>
                                <a:gd name="T19" fmla="*/ 329 h 255"/>
                              </a:gdLst>
                              <a:ahLst/>
                              <a:cxnLst>
                                <a:cxn ang="0">
                                  <a:pos x="T1" y="T3"/>
                                </a:cxn>
                                <a:cxn ang="0">
                                  <a:pos x="T5" y="T7"/>
                                </a:cxn>
                                <a:cxn ang="0">
                                  <a:pos x="T9" y="T11"/>
                                </a:cxn>
                                <a:cxn ang="0">
                                  <a:pos x="T13" y="T15"/>
                                </a:cxn>
                                <a:cxn ang="0">
                                  <a:pos x="T17" y="T19"/>
                                </a:cxn>
                              </a:cxnLst>
                              <a:rect l="0" t="0" r="r" b="b"/>
                              <a:pathLst>
                                <a:path w="3696" h="255">
                                  <a:moveTo>
                                    <a:pt x="0" y="255"/>
                                  </a:moveTo>
                                  <a:lnTo>
                                    <a:pt x="3696" y="255"/>
                                  </a:lnTo>
                                  <a:lnTo>
                                    <a:pt x="3696"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4" name="Group 2734"/>
                        <wpg:cNvGrpSpPr>
                          <a:grpSpLocks/>
                        </wpg:cNvGrpSpPr>
                        <wpg:grpSpPr bwMode="auto">
                          <a:xfrm>
                            <a:off x="2006" y="329"/>
                            <a:ext cx="3696" cy="252"/>
                            <a:chOff x="2006" y="329"/>
                            <a:chExt cx="3696" cy="252"/>
                          </a:xfrm>
                        </wpg:grpSpPr>
                        <wps:wsp>
                          <wps:cNvPr id="2745" name="Freeform 2735"/>
                          <wps:cNvSpPr>
                            <a:spLocks/>
                          </wps:cNvSpPr>
                          <wps:spPr bwMode="auto">
                            <a:xfrm>
                              <a:off x="2006" y="329"/>
                              <a:ext cx="3696" cy="252"/>
                            </a:xfrm>
                            <a:custGeom>
                              <a:avLst/>
                              <a:gdLst>
                                <a:gd name="T0" fmla="+- 0 2006 2006"/>
                                <a:gd name="T1" fmla="*/ T0 w 3696"/>
                                <a:gd name="T2" fmla="+- 0 581 329"/>
                                <a:gd name="T3" fmla="*/ 581 h 252"/>
                                <a:gd name="T4" fmla="+- 0 5702 2006"/>
                                <a:gd name="T5" fmla="*/ T4 w 3696"/>
                                <a:gd name="T6" fmla="+- 0 581 329"/>
                                <a:gd name="T7" fmla="*/ 581 h 252"/>
                                <a:gd name="T8" fmla="+- 0 5702 2006"/>
                                <a:gd name="T9" fmla="*/ T8 w 3696"/>
                                <a:gd name="T10" fmla="+- 0 329 329"/>
                                <a:gd name="T11" fmla="*/ 329 h 252"/>
                                <a:gd name="T12" fmla="+- 0 2006 2006"/>
                                <a:gd name="T13" fmla="*/ T12 w 3696"/>
                                <a:gd name="T14" fmla="+- 0 329 329"/>
                                <a:gd name="T15" fmla="*/ 329 h 252"/>
                                <a:gd name="T16" fmla="+- 0 2006 2006"/>
                                <a:gd name="T17" fmla="*/ T16 w 3696"/>
                                <a:gd name="T18" fmla="+- 0 581 329"/>
                                <a:gd name="T19" fmla="*/ 581 h 252"/>
                              </a:gdLst>
                              <a:ahLst/>
                              <a:cxnLst>
                                <a:cxn ang="0">
                                  <a:pos x="T1" y="T3"/>
                                </a:cxn>
                                <a:cxn ang="0">
                                  <a:pos x="T5" y="T7"/>
                                </a:cxn>
                                <a:cxn ang="0">
                                  <a:pos x="T9" y="T11"/>
                                </a:cxn>
                                <a:cxn ang="0">
                                  <a:pos x="T13" y="T15"/>
                                </a:cxn>
                                <a:cxn ang="0">
                                  <a:pos x="T17" y="T19"/>
                                </a:cxn>
                              </a:cxnLst>
                              <a:rect l="0" t="0" r="r" b="b"/>
                              <a:pathLst>
                                <a:path w="3696" h="252">
                                  <a:moveTo>
                                    <a:pt x="0" y="252"/>
                                  </a:moveTo>
                                  <a:lnTo>
                                    <a:pt x="3696" y="252"/>
                                  </a:lnTo>
                                  <a:lnTo>
                                    <a:pt x="3696"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D5ED1" id="Group 2733" o:spid="_x0000_s1026" style="position:absolute;margin-left:100.3pt;margin-top:3.7pt;width:184.8pt;height:25.35pt;z-index:-251550720;mso-position-horizontal-relative:page" coordorigin="2006,74" coordsize="369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">
                <v:group id="Group 2736" o:spid="_x0000_s1027" style="position:absolute;left:2006;top:74;width:3696;height:255" coordorigin="2006,74" coordsize="369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2737" o:spid="_x0000_s1028" style="position:absolute;left:2006;top:74;width:3696;height:255;visibility:visible;mso-wrap-style:square;v-text-anchor:top" coordsize="369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s8sEA&#10;AADdAAAADwAAAGRycy9kb3ducmV2LnhtbERPTWvCQBC9F/oflhG8FN0Yi0p0lSJVeirU9qC3ITsm&#10;wexs2Nlq/PfdQqHH981bbXrXqisFaTwbmIwzUMSltw1XBr4+d6MFKInIFlvPZOBOApv148MKC+tv&#10;/EHXQ6xUKmEp0EAdY1doLWVNDmXsO+KknX1wGBMMlbYBb6nctTrPspl22HBaqLGjbU3l5fDtDOjq&#10;Sfg+ew3zYynynu9dOCXeDAf9yxJUpD7+m//Sb9ZAPn+ewu+b9AT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gLPLBAAAA3QAAAA8AAAAAAAAAAAAAAAAAmAIAAGRycy9kb3du&#10;cmV2LnhtbFBLBQYAAAAABAAEAPUAAACGAwAAAAA=&#10;" path="m,255r3696,l3696,,,,,255xe" fillcolor="yellow" stroked="f">
                    <v:path arrowok="t" o:connecttype="custom" o:connectlocs="0,329;3696,329;3696,74;0,74;0,329" o:connectangles="0,0,0,0,0"/>
                  </v:shape>
                </v:group>
                <v:group id="Group 2734" o:spid="_x0000_s1029" style="position:absolute;left:2006;top:329;width:3696;height:252" coordorigin="2006,329" coordsize="369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735" o:spid="_x0000_s1030" style="position:absolute;left:2006;top:329;width:3696;height:252;visibility:visible;mso-wrap-style:square;v-text-anchor:top" coordsize="369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wE8UA&#10;AADdAAAADwAAAGRycy9kb3ducmV2LnhtbESPQWvCQBSE70L/w/IK3nTTULWkrlKKgh4U1KLXR/Z1&#10;E8y+Ddk1xn/vCoLHYWa+YabzzlaipcaXjhV8DBMQxLnTJRsFf4fl4AuED8gaK8ek4EYe5rO33hQz&#10;7a68o3YfjIgQ9hkqKEKoMyl9XpBFP3Q1cfT+XWMxRNkYqRu8RritZJokY2mx5LhQYE2/BeXn/cUq&#10;WK3NYnmaLHBcmtEW23N64c1Rqf579/MNIlAXXuFne6UVpJPPETze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7ATxQAAAN0AAAAPAAAAAAAAAAAAAAAAAJgCAABkcnMv&#10;ZG93bnJldi54bWxQSwUGAAAAAAQABAD1AAAAigMAAAAA&#10;" path="m,252r3696,l3696,,,,,252xe" fillcolor="yellow" stroked="f">
                    <v:path arrowok="t" o:connecttype="custom" o:connectlocs="0,581;3696,581;3696,329;0,329;0,581" o:connectangles="0,0,0,0,0"/>
                  </v:shape>
                </v:group>
                <w10:wrap anchorx="page"/>
              </v:group>
            </w:pict>
          </mc:Fallback>
        </mc:AlternateContent>
      </w:r>
      <w:r>
        <w:rPr>
          <w:spacing w:val="-1"/>
        </w:rPr>
        <w:t>Formula:</w:t>
      </w:r>
      <w:r>
        <w:rPr>
          <w:spacing w:val="-1"/>
        </w:rPr>
        <w:tab/>
      </w:r>
      <w:r>
        <w:rPr>
          <w:spacing w:val="-2"/>
          <w:w w:val="95"/>
        </w:rPr>
        <w:t>x%</w:t>
      </w:r>
      <w:r>
        <w:rPr>
          <w:spacing w:val="-2"/>
          <w:w w:val="95"/>
        </w:rPr>
        <w:tab/>
        <w:t>(Service</w:t>
      </w:r>
      <w:r>
        <w:rPr>
          <w:spacing w:val="-2"/>
          <w:w w:val="95"/>
        </w:rPr>
        <w:tab/>
      </w:r>
      <w:r>
        <w:rPr>
          <w:spacing w:val="-1"/>
        </w:rPr>
        <w:t>Level</w:t>
      </w:r>
      <w:r>
        <w:rPr>
          <w:spacing w:val="20"/>
        </w:rPr>
        <w:t xml:space="preserve"> </w:t>
      </w:r>
      <w:r>
        <w:rPr>
          <w:spacing w:val="-1"/>
        </w:rPr>
        <w:t>Performance</w:t>
      </w:r>
      <w:r>
        <w:rPr>
          <w:spacing w:val="56"/>
        </w:rPr>
        <w:t xml:space="preserve"> </w:t>
      </w:r>
      <w:r>
        <w:rPr>
          <w:spacing w:val="-1"/>
        </w:rPr>
        <w:t>Measure)</w:t>
      </w:r>
      <w:r>
        <w:rPr>
          <w:spacing w:val="55"/>
        </w:rPr>
        <w:t xml:space="preserve"> </w:t>
      </w:r>
      <w:r>
        <w:t>-</w:t>
      </w:r>
      <w:r>
        <w:rPr>
          <w:spacing w:val="57"/>
        </w:rPr>
        <w:t xml:space="preserve"> </w:t>
      </w:r>
      <w:r>
        <w:rPr>
          <w:spacing w:val="-2"/>
        </w:rPr>
        <w:t>x%</w:t>
      </w:r>
      <w:r>
        <w:rPr>
          <w:spacing w:val="56"/>
        </w:rPr>
        <w:t xml:space="preserve"> </w:t>
      </w:r>
      <w:r>
        <w:rPr>
          <w:spacing w:val="-1"/>
        </w:rPr>
        <w:t>(actual</w:t>
      </w:r>
    </w:p>
    <w:p w:rsidR="008918FA" w:rsidRDefault="008918FA" w:rsidP="008918FA">
      <w:pPr>
        <w:pStyle w:val="BodyText"/>
        <w:spacing w:before="72"/>
        <w:ind w:left="1008" w:right="115" w:hanging="624"/>
        <w:jc w:val="both"/>
      </w:pPr>
      <w:r>
        <w:br w:type="column"/>
      </w:r>
      <w:r>
        <w:rPr>
          <w:highlight w:val="yellow"/>
        </w:rPr>
        <w:t>=</w:t>
      </w:r>
      <w:r>
        <w:rPr>
          <w:spacing w:val="5"/>
          <w:highlight w:val="yellow"/>
        </w:rPr>
        <w:t xml:space="preserve"> </w:t>
      </w:r>
      <w:r>
        <w:rPr>
          <w:spacing w:val="-2"/>
        </w:rPr>
        <w:t>x%</w:t>
      </w:r>
      <w:r>
        <w:rPr>
          <w:spacing w:val="40"/>
        </w:rPr>
        <w:t xml:space="preserve"> </w:t>
      </w:r>
      <w:r>
        <w:rPr>
          <w:spacing w:val="-1"/>
        </w:rPr>
        <w:t>of</w:t>
      </w:r>
      <w:r>
        <w:rPr>
          <w:spacing w:val="40"/>
        </w:rPr>
        <w:t xml:space="preserve"> </w:t>
      </w:r>
      <w:r>
        <w:t>the</w:t>
      </w:r>
      <w:r>
        <w:rPr>
          <w:spacing w:val="38"/>
        </w:rPr>
        <w:t xml:space="preserve"> </w:t>
      </w:r>
      <w:r>
        <w:rPr>
          <w:spacing w:val="-2"/>
        </w:rPr>
        <w:t>Call</w:t>
      </w:r>
      <w:r>
        <w:rPr>
          <w:spacing w:val="38"/>
        </w:rPr>
        <w:t xml:space="preserve"> </w:t>
      </w:r>
      <w:r>
        <w:rPr>
          <w:spacing w:val="-1"/>
        </w:rPr>
        <w:t>Off</w:t>
      </w:r>
      <w:r>
        <w:rPr>
          <w:spacing w:val="40"/>
        </w:rPr>
        <w:t xml:space="preserve"> </w:t>
      </w:r>
      <w:r>
        <w:rPr>
          <w:spacing w:val="-1"/>
        </w:rPr>
        <w:t>Contract</w:t>
      </w:r>
      <w:r>
        <w:rPr>
          <w:spacing w:val="40"/>
        </w:rPr>
        <w:t xml:space="preserve"> </w:t>
      </w:r>
      <w:r>
        <w:rPr>
          <w:spacing w:val="-2"/>
        </w:rPr>
        <w:t>Charges</w:t>
      </w:r>
      <w:r>
        <w:rPr>
          <w:spacing w:val="24"/>
        </w:rPr>
        <w:t xml:space="preserve"> </w:t>
      </w:r>
      <w:r>
        <w:rPr>
          <w:spacing w:val="-2"/>
        </w:rPr>
        <w:t>payable</w:t>
      </w:r>
      <w:r>
        <w:rPr>
          <w:spacing w:val="48"/>
        </w:rPr>
        <w:t xml:space="preserve"> </w:t>
      </w:r>
      <w:r>
        <w:t>to</w:t>
      </w:r>
      <w:r>
        <w:rPr>
          <w:spacing w:val="48"/>
        </w:rPr>
        <w:t xml:space="preserve"> </w:t>
      </w:r>
      <w:r>
        <w:t>the</w:t>
      </w:r>
      <w:r>
        <w:rPr>
          <w:spacing w:val="48"/>
        </w:rPr>
        <w:t xml:space="preserve"> </w:t>
      </w:r>
      <w:r>
        <w:rPr>
          <w:spacing w:val="-1"/>
        </w:rPr>
        <w:t>Customer</w:t>
      </w:r>
      <w:r>
        <w:rPr>
          <w:spacing w:val="49"/>
        </w:rPr>
        <w:t xml:space="preserve"> </w:t>
      </w:r>
      <w:r>
        <w:rPr>
          <w:spacing w:val="-1"/>
        </w:rPr>
        <w:t>as</w:t>
      </w:r>
      <w:r>
        <w:rPr>
          <w:spacing w:val="49"/>
        </w:rPr>
        <w:t xml:space="preserve"> </w:t>
      </w:r>
      <w:r>
        <w:rPr>
          <w:spacing w:val="-2"/>
        </w:rPr>
        <w:t>Service</w:t>
      </w:r>
      <w:r>
        <w:rPr>
          <w:spacing w:val="30"/>
        </w:rPr>
        <w:t xml:space="preserve"> </w:t>
      </w:r>
      <w:r>
        <w:rPr>
          <w:spacing w:val="-1"/>
        </w:rPr>
        <w:t>Credits</w:t>
      </w:r>
      <w:r>
        <w:rPr>
          <w:spacing w:val="30"/>
        </w:rPr>
        <w:t xml:space="preserve"> </w:t>
      </w:r>
      <w:r>
        <w:t>to</w:t>
      </w:r>
      <w:r>
        <w:rPr>
          <w:spacing w:val="27"/>
        </w:rPr>
        <w:t xml:space="preserve"> </w:t>
      </w:r>
      <w:r>
        <w:rPr>
          <w:spacing w:val="-1"/>
        </w:rPr>
        <w:t>be</w:t>
      </w:r>
      <w:r>
        <w:rPr>
          <w:spacing w:val="29"/>
        </w:rPr>
        <w:t xml:space="preserve"> </w:t>
      </w:r>
      <w:r>
        <w:rPr>
          <w:spacing w:val="-1"/>
        </w:rPr>
        <w:t>deducted</w:t>
      </w:r>
      <w:r>
        <w:rPr>
          <w:spacing w:val="27"/>
        </w:rPr>
        <w:t xml:space="preserve"> </w:t>
      </w:r>
      <w:r>
        <w:rPr>
          <w:spacing w:val="-1"/>
        </w:rPr>
        <w:t>from</w:t>
      </w:r>
      <w:r>
        <w:rPr>
          <w:spacing w:val="28"/>
        </w:rPr>
        <w:t xml:space="preserve"> </w:t>
      </w:r>
      <w:r>
        <w:t>the</w:t>
      </w:r>
      <w:r>
        <w:rPr>
          <w:spacing w:val="29"/>
        </w:rPr>
        <w:t xml:space="preserve"> </w:t>
      </w:r>
      <w:r>
        <w:rPr>
          <w:spacing w:val="-2"/>
        </w:rPr>
        <w:t>next</w:t>
      </w:r>
    </w:p>
    <w:p w:rsidR="008918FA" w:rsidRDefault="008918FA" w:rsidP="008918FA">
      <w:pPr>
        <w:jc w:val="both"/>
        <w:sectPr w:rsidR="008918FA">
          <w:type w:val="continuous"/>
          <w:pgSz w:w="11910" w:h="16840"/>
          <w:pgMar w:top="180" w:right="1300" w:bottom="280" w:left="1600" w:header="720" w:footer="720" w:gutter="0"/>
          <w:cols w:num="2" w:space="720" w:equalWidth="0">
            <w:col w:w="4106" w:space="40"/>
            <w:col w:w="4864"/>
          </w:cols>
        </w:sectPr>
      </w:pPr>
    </w:p>
    <w:p w:rsidR="008918FA" w:rsidRDefault="008918FA" w:rsidP="008918FA">
      <w:pPr>
        <w:spacing w:before="1"/>
        <w:rPr>
          <w:rFonts w:ascii="Times New Roman" w:eastAsia="Times New Roman" w:hAnsi="Times New Roman" w:cs="Times New Roman"/>
          <w:sz w:val="7"/>
          <w:szCs w:val="7"/>
        </w:rPr>
      </w:pPr>
    </w:p>
    <w:tbl>
      <w:tblPr>
        <w:tblW w:w="0" w:type="auto"/>
        <w:tblInd w:w="326" w:type="dxa"/>
        <w:tblLayout w:type="fixed"/>
        <w:tblCellMar>
          <w:left w:w="0" w:type="dxa"/>
          <w:right w:w="0" w:type="dxa"/>
        </w:tblCellMar>
        <w:tblLook w:val="01E0" w:firstRow="1" w:lastRow="1" w:firstColumn="1" w:lastColumn="1" w:noHBand="0" w:noVBand="0"/>
      </w:tblPr>
      <w:tblGrid>
        <w:gridCol w:w="3698"/>
        <w:gridCol w:w="1049"/>
        <w:gridCol w:w="3737"/>
      </w:tblGrid>
      <w:tr w:rsidR="008918FA" w:rsidTr="005D2B81">
        <w:trPr>
          <w:trHeight w:hRule="exact" w:val="506"/>
        </w:trPr>
        <w:tc>
          <w:tcPr>
            <w:tcW w:w="3698" w:type="dxa"/>
            <w:tcBorders>
              <w:top w:val="nil"/>
              <w:left w:val="nil"/>
              <w:bottom w:val="nil"/>
              <w:right w:val="nil"/>
            </w:tcBorders>
          </w:tcPr>
          <w:p w:rsidR="008918FA" w:rsidRDefault="008918FA" w:rsidP="005D2B81">
            <w:pPr>
              <w:pStyle w:val="TableParagraph"/>
              <w:spacing w:line="251" w:lineRule="exact"/>
              <w:rPr>
                <w:rFonts w:ascii="Arial" w:eastAsia="Arial" w:hAnsi="Arial" w:cs="Arial"/>
              </w:rPr>
            </w:pPr>
            <w:r>
              <w:rPr>
                <w:rFonts w:ascii="Arial"/>
                <w:spacing w:val="-2"/>
                <w:highlight w:val="yellow"/>
              </w:rPr>
              <w:t>Service</w:t>
            </w:r>
            <w:r>
              <w:rPr>
                <w:rFonts w:ascii="Arial"/>
                <w:spacing w:val="1"/>
                <w:highlight w:val="yellow"/>
              </w:rPr>
              <w:t xml:space="preserve"> </w:t>
            </w:r>
            <w:r>
              <w:rPr>
                <w:rFonts w:ascii="Arial"/>
                <w:spacing w:val="-2"/>
                <w:highlight w:val="yellow"/>
              </w:rPr>
              <w:t>Level</w:t>
            </w:r>
            <w:r>
              <w:rPr>
                <w:rFonts w:ascii="Arial"/>
                <w:highlight w:val="yellow"/>
              </w:rPr>
              <w:t xml:space="preserve"> </w:t>
            </w:r>
            <w:r>
              <w:rPr>
                <w:rFonts w:ascii="Arial"/>
                <w:spacing w:val="-1"/>
                <w:highlight w:val="yellow"/>
              </w:rPr>
              <w:t>performance)</w:t>
            </w:r>
          </w:p>
        </w:tc>
        <w:tc>
          <w:tcPr>
            <w:tcW w:w="1049" w:type="dxa"/>
            <w:tcBorders>
              <w:top w:val="nil"/>
              <w:left w:val="nil"/>
              <w:bottom w:val="nil"/>
              <w:right w:val="nil"/>
            </w:tcBorders>
          </w:tcPr>
          <w:p w:rsidR="008918FA" w:rsidRDefault="008918FA" w:rsidP="005D2B81"/>
        </w:tc>
        <w:tc>
          <w:tcPr>
            <w:tcW w:w="3737" w:type="dxa"/>
            <w:tcBorders>
              <w:top w:val="nil"/>
              <w:left w:val="nil"/>
              <w:bottom w:val="nil"/>
              <w:right w:val="nil"/>
            </w:tcBorders>
            <w:shd w:val="clear" w:color="auto" w:fill="FFFF00"/>
          </w:tcPr>
          <w:p w:rsidR="008918FA" w:rsidRDefault="008918FA" w:rsidP="005D2B81">
            <w:pPr>
              <w:pStyle w:val="TableParagraph"/>
              <w:tabs>
                <w:tab w:val="left" w:pos="796"/>
                <w:tab w:val="left" w:pos="1804"/>
                <w:tab w:val="left" w:pos="2885"/>
                <w:tab w:val="left" w:pos="3425"/>
              </w:tabs>
              <w:spacing w:before="2" w:line="252" w:lineRule="exact"/>
              <w:ind w:right="1"/>
              <w:rPr>
                <w:rFonts w:ascii="Arial" w:eastAsia="Arial" w:hAnsi="Arial" w:cs="Arial"/>
              </w:rPr>
            </w:pPr>
            <w:r>
              <w:rPr>
                <w:rFonts w:ascii="Arial"/>
                <w:spacing w:val="-2"/>
              </w:rPr>
              <w:t>Valid</w:t>
            </w:r>
            <w:r>
              <w:rPr>
                <w:rFonts w:ascii="Arial"/>
                <w:spacing w:val="-2"/>
              </w:rPr>
              <w:tab/>
            </w:r>
            <w:r>
              <w:rPr>
                <w:rFonts w:ascii="Arial"/>
                <w:spacing w:val="-1"/>
              </w:rPr>
              <w:t>Invoice</w:t>
            </w:r>
            <w:r>
              <w:rPr>
                <w:rFonts w:ascii="Arial"/>
                <w:spacing w:val="-1"/>
              </w:rPr>
              <w:tab/>
              <w:t>payable</w:t>
            </w:r>
            <w:r>
              <w:rPr>
                <w:rFonts w:ascii="Arial"/>
                <w:spacing w:val="-1"/>
              </w:rPr>
              <w:tab/>
            </w:r>
            <w:r>
              <w:rPr>
                <w:rFonts w:ascii="Arial"/>
                <w:spacing w:val="-1"/>
                <w:w w:val="95"/>
              </w:rPr>
              <w:t>by</w:t>
            </w:r>
            <w:r>
              <w:rPr>
                <w:rFonts w:ascii="Arial"/>
                <w:spacing w:val="-1"/>
                <w:w w:val="95"/>
              </w:rPr>
              <w:tab/>
            </w:r>
            <w:r>
              <w:rPr>
                <w:rFonts w:ascii="Arial"/>
                <w:spacing w:val="-1"/>
              </w:rPr>
              <w:t>the</w:t>
            </w:r>
            <w:r>
              <w:rPr>
                <w:rFonts w:ascii="Arial"/>
                <w:spacing w:val="28"/>
              </w:rPr>
              <w:t xml:space="preserve"> </w:t>
            </w:r>
            <w:r>
              <w:rPr>
                <w:rFonts w:ascii="Arial"/>
                <w:spacing w:val="-1"/>
              </w:rPr>
              <w:t>Customer</w:t>
            </w:r>
          </w:p>
        </w:tc>
      </w:tr>
      <w:tr w:rsidR="008918FA" w:rsidTr="005D2B81">
        <w:trPr>
          <w:trHeight w:hRule="exact" w:val="240"/>
        </w:trPr>
        <w:tc>
          <w:tcPr>
            <w:tcW w:w="3698" w:type="dxa"/>
            <w:tcBorders>
              <w:top w:val="nil"/>
              <w:left w:val="nil"/>
              <w:bottom w:val="nil"/>
              <w:right w:val="nil"/>
            </w:tcBorders>
          </w:tcPr>
          <w:p w:rsidR="008918FA" w:rsidRDefault="008918FA" w:rsidP="005D2B81"/>
        </w:tc>
        <w:tc>
          <w:tcPr>
            <w:tcW w:w="1049" w:type="dxa"/>
            <w:tcBorders>
              <w:top w:val="nil"/>
              <w:left w:val="nil"/>
              <w:bottom w:val="nil"/>
              <w:right w:val="nil"/>
            </w:tcBorders>
          </w:tcPr>
          <w:p w:rsidR="008918FA" w:rsidRDefault="008918FA" w:rsidP="005D2B81"/>
        </w:tc>
        <w:tc>
          <w:tcPr>
            <w:tcW w:w="3737" w:type="dxa"/>
            <w:tcBorders>
              <w:top w:val="nil"/>
              <w:left w:val="nil"/>
              <w:bottom w:val="nil"/>
              <w:right w:val="nil"/>
            </w:tcBorders>
          </w:tcPr>
          <w:p w:rsidR="008918FA" w:rsidRDefault="008918FA" w:rsidP="005D2B81"/>
        </w:tc>
      </w:tr>
      <w:tr w:rsidR="008918FA" w:rsidTr="005D2B81">
        <w:trPr>
          <w:trHeight w:hRule="exact" w:val="2275"/>
        </w:trPr>
        <w:tc>
          <w:tcPr>
            <w:tcW w:w="3698" w:type="dxa"/>
            <w:tcBorders>
              <w:top w:val="nil"/>
              <w:left w:val="nil"/>
              <w:bottom w:val="nil"/>
              <w:right w:val="nil"/>
            </w:tcBorders>
            <w:shd w:val="clear" w:color="auto" w:fill="FFFF00"/>
          </w:tcPr>
          <w:p w:rsidR="008918FA" w:rsidRDefault="008918FA" w:rsidP="005D2B81">
            <w:pPr>
              <w:pStyle w:val="TableParagraph"/>
              <w:jc w:val="both"/>
              <w:rPr>
                <w:rFonts w:ascii="Arial" w:eastAsia="Arial" w:hAnsi="Arial" w:cs="Arial"/>
              </w:rPr>
            </w:pPr>
            <w:r>
              <w:rPr>
                <w:rFonts w:ascii="Arial"/>
                <w:spacing w:val="-1"/>
              </w:rPr>
              <w:t>Worked</w:t>
            </w:r>
            <w:r>
              <w:rPr>
                <w:rFonts w:ascii="Arial"/>
                <w:spacing w:val="46"/>
              </w:rPr>
              <w:t xml:space="preserve"> </w:t>
            </w:r>
            <w:r>
              <w:rPr>
                <w:rFonts w:ascii="Arial"/>
                <w:spacing w:val="-2"/>
              </w:rPr>
              <w:t>example:</w:t>
            </w:r>
            <w:r>
              <w:rPr>
                <w:rFonts w:ascii="Arial"/>
                <w:spacing w:val="47"/>
              </w:rPr>
              <w:t xml:space="preserve"> </w:t>
            </w:r>
            <w:r>
              <w:rPr>
                <w:rFonts w:ascii="Arial"/>
                <w:spacing w:val="-2"/>
              </w:rPr>
              <w:t>98%</w:t>
            </w:r>
            <w:r>
              <w:rPr>
                <w:rFonts w:ascii="Arial"/>
                <w:spacing w:val="44"/>
              </w:rPr>
              <w:t xml:space="preserve"> </w:t>
            </w:r>
            <w:r>
              <w:rPr>
                <w:rFonts w:ascii="Arial"/>
                <w:spacing w:val="-1"/>
              </w:rPr>
              <w:t>(e.g.</w:t>
            </w:r>
            <w:r>
              <w:rPr>
                <w:rFonts w:ascii="Arial"/>
                <w:spacing w:val="47"/>
              </w:rPr>
              <w:t xml:space="preserve"> </w:t>
            </w:r>
            <w:r>
              <w:rPr>
                <w:rFonts w:ascii="Arial"/>
                <w:spacing w:val="-2"/>
              </w:rPr>
              <w:t>Service</w:t>
            </w:r>
            <w:r>
              <w:rPr>
                <w:rFonts w:ascii="Arial"/>
                <w:spacing w:val="40"/>
              </w:rPr>
              <w:t xml:space="preserve"> </w:t>
            </w:r>
            <w:r>
              <w:rPr>
                <w:rFonts w:ascii="Arial"/>
                <w:spacing w:val="-2"/>
              </w:rPr>
              <w:t>Level</w:t>
            </w:r>
            <w:r>
              <w:rPr>
                <w:rFonts w:ascii="Arial"/>
                <w:spacing w:val="37"/>
              </w:rPr>
              <w:t xml:space="preserve"> </w:t>
            </w:r>
            <w:r>
              <w:rPr>
                <w:rFonts w:ascii="Arial"/>
                <w:spacing w:val="-1"/>
              </w:rPr>
              <w:t>Performance</w:t>
            </w:r>
            <w:r>
              <w:rPr>
                <w:rFonts w:ascii="Arial"/>
                <w:spacing w:val="36"/>
              </w:rPr>
              <w:t xml:space="preserve"> </w:t>
            </w:r>
            <w:r>
              <w:rPr>
                <w:rFonts w:ascii="Arial"/>
                <w:spacing w:val="-1"/>
              </w:rPr>
              <w:t>Measure</w:t>
            </w:r>
            <w:r>
              <w:rPr>
                <w:rFonts w:ascii="Arial"/>
                <w:spacing w:val="21"/>
              </w:rPr>
              <w:t xml:space="preserve"> </w:t>
            </w:r>
            <w:r>
              <w:rPr>
                <w:rFonts w:ascii="Arial"/>
                <w:spacing w:val="-1"/>
              </w:rPr>
              <w:t>requirement</w:t>
            </w:r>
            <w:r>
              <w:rPr>
                <w:rFonts w:ascii="Arial"/>
                <w:spacing w:val="28"/>
              </w:rPr>
              <w:t xml:space="preserve"> </w:t>
            </w:r>
            <w:r>
              <w:rPr>
                <w:rFonts w:ascii="Arial"/>
              </w:rPr>
              <w:t>for</w:t>
            </w:r>
            <w:r>
              <w:rPr>
                <w:rFonts w:ascii="Arial"/>
                <w:spacing w:val="31"/>
              </w:rPr>
              <w:t xml:space="preserve"> </w:t>
            </w:r>
            <w:r>
              <w:rPr>
                <w:rFonts w:ascii="Arial"/>
                <w:spacing w:val="-2"/>
              </w:rPr>
              <w:t>Service</w:t>
            </w:r>
            <w:r>
              <w:rPr>
                <w:rFonts w:ascii="Arial"/>
                <w:spacing w:val="30"/>
              </w:rPr>
              <w:t xml:space="preserve"> </w:t>
            </w:r>
            <w:r>
              <w:rPr>
                <w:rFonts w:ascii="Arial"/>
                <w:spacing w:val="-1"/>
              </w:rPr>
              <w:t>Level</w:t>
            </w:r>
            <w:r>
              <w:rPr>
                <w:rFonts w:ascii="Arial"/>
                <w:spacing w:val="25"/>
              </w:rPr>
              <w:t xml:space="preserve"> </w:t>
            </w:r>
            <w:r>
              <w:rPr>
                <w:rFonts w:ascii="Arial"/>
                <w:spacing w:val="-1"/>
              </w:rPr>
              <w:t>Performance</w:t>
            </w:r>
            <w:r>
              <w:rPr>
                <w:rFonts w:ascii="Arial"/>
                <w:spacing w:val="8"/>
              </w:rPr>
              <w:t xml:space="preserve"> </w:t>
            </w:r>
            <w:r>
              <w:rPr>
                <w:rFonts w:ascii="Arial"/>
                <w:spacing w:val="-1"/>
              </w:rPr>
              <w:t>Criterion</w:t>
            </w:r>
            <w:r>
              <w:rPr>
                <w:rFonts w:ascii="Arial"/>
                <w:spacing w:val="5"/>
              </w:rPr>
              <w:t xml:space="preserve"> </w:t>
            </w:r>
            <w:r>
              <w:rPr>
                <w:rFonts w:ascii="Arial"/>
                <w:spacing w:val="-1"/>
              </w:rPr>
              <w:t>of</w:t>
            </w:r>
            <w:r>
              <w:rPr>
                <w:rFonts w:ascii="Arial"/>
              </w:rPr>
              <w:t xml:space="preserve"> </w:t>
            </w:r>
            <w:r>
              <w:rPr>
                <w:rFonts w:ascii="Arial"/>
                <w:spacing w:val="11"/>
              </w:rPr>
              <w:t xml:space="preserve"> </w:t>
            </w:r>
            <w:r>
              <w:rPr>
                <w:rFonts w:ascii="Arial"/>
                <w:spacing w:val="-1"/>
              </w:rPr>
              <w:t>accurate</w:t>
            </w:r>
            <w:r>
              <w:rPr>
                <w:rFonts w:ascii="Arial"/>
                <w:spacing w:val="29"/>
              </w:rPr>
              <w:t xml:space="preserve"> </w:t>
            </w:r>
            <w:r>
              <w:rPr>
                <w:rFonts w:ascii="Arial"/>
                <w:spacing w:val="-1"/>
              </w:rPr>
              <w:t>and</w:t>
            </w:r>
            <w:r>
              <w:rPr>
                <w:rFonts w:ascii="Arial"/>
                <w:spacing w:val="17"/>
              </w:rPr>
              <w:t xml:space="preserve"> </w:t>
            </w:r>
            <w:r>
              <w:rPr>
                <w:rFonts w:ascii="Arial"/>
                <w:spacing w:val="-1"/>
              </w:rPr>
              <w:t>timely</w:t>
            </w:r>
            <w:r>
              <w:rPr>
                <w:rFonts w:ascii="Arial"/>
                <w:spacing w:val="15"/>
              </w:rPr>
              <w:t xml:space="preserve"> </w:t>
            </w:r>
            <w:r>
              <w:rPr>
                <w:rFonts w:ascii="Arial"/>
                <w:spacing w:val="-2"/>
              </w:rPr>
              <w:t>billing</w:t>
            </w:r>
            <w:r>
              <w:rPr>
                <w:rFonts w:ascii="Arial"/>
                <w:spacing w:val="17"/>
              </w:rPr>
              <w:t xml:space="preserve"> </w:t>
            </w:r>
            <w:r>
              <w:rPr>
                <w:rFonts w:ascii="Arial"/>
              </w:rPr>
              <w:t>to</w:t>
            </w:r>
            <w:r>
              <w:rPr>
                <w:rFonts w:ascii="Arial"/>
                <w:spacing w:val="15"/>
              </w:rPr>
              <w:t xml:space="preserve"> </w:t>
            </w:r>
            <w:r>
              <w:rPr>
                <w:rFonts w:ascii="Arial"/>
                <w:spacing w:val="-1"/>
              </w:rPr>
              <w:t>Customer)</w:t>
            </w:r>
            <w:r>
              <w:rPr>
                <w:rFonts w:ascii="Arial"/>
                <w:spacing w:val="16"/>
              </w:rPr>
              <w:t xml:space="preserve"> </w:t>
            </w:r>
            <w:r>
              <w:rPr>
                <w:rFonts w:ascii="Arial"/>
              </w:rPr>
              <w:t>-</w:t>
            </w:r>
            <w:r>
              <w:rPr>
                <w:rFonts w:ascii="Arial"/>
                <w:spacing w:val="17"/>
              </w:rPr>
              <w:t xml:space="preserve"> </w:t>
            </w:r>
            <w:r>
              <w:rPr>
                <w:rFonts w:ascii="Arial"/>
                <w:spacing w:val="-1"/>
              </w:rPr>
              <w:t>75%</w:t>
            </w:r>
            <w:r>
              <w:rPr>
                <w:rFonts w:ascii="Arial"/>
                <w:spacing w:val="20"/>
              </w:rPr>
              <w:t xml:space="preserve"> </w:t>
            </w:r>
            <w:r>
              <w:rPr>
                <w:rFonts w:ascii="Arial"/>
                <w:spacing w:val="-1"/>
              </w:rPr>
              <w:t>(e.g.</w:t>
            </w:r>
            <w:r>
              <w:rPr>
                <w:rFonts w:ascii="Arial"/>
                <w:spacing w:val="2"/>
              </w:rPr>
              <w:t xml:space="preserve"> </w:t>
            </w:r>
            <w:r>
              <w:rPr>
                <w:rFonts w:ascii="Arial"/>
                <w:spacing w:val="-1"/>
              </w:rPr>
              <w:t>actual</w:t>
            </w:r>
            <w:r>
              <w:rPr>
                <w:rFonts w:ascii="Arial"/>
              </w:rPr>
              <w:t xml:space="preserve"> </w:t>
            </w:r>
            <w:r>
              <w:rPr>
                <w:rFonts w:ascii="Arial"/>
                <w:spacing w:val="-1"/>
              </w:rPr>
              <w:t>performance</w:t>
            </w:r>
            <w:r>
              <w:rPr>
                <w:rFonts w:ascii="Arial"/>
                <w:spacing w:val="1"/>
              </w:rPr>
              <w:t xml:space="preserve"> </w:t>
            </w:r>
            <w:r>
              <w:rPr>
                <w:rFonts w:ascii="Arial"/>
                <w:spacing w:val="-2"/>
              </w:rPr>
              <w:t>achieved</w:t>
            </w:r>
            <w:r>
              <w:rPr>
                <w:rFonts w:ascii="Arial"/>
                <w:spacing w:val="20"/>
              </w:rPr>
              <w:t xml:space="preserve"> </w:t>
            </w:r>
            <w:r>
              <w:rPr>
                <w:rFonts w:ascii="Arial"/>
                <w:spacing w:val="-1"/>
              </w:rPr>
              <w:t>against</w:t>
            </w:r>
            <w:r>
              <w:rPr>
                <w:rFonts w:ascii="Arial"/>
                <w:spacing w:val="31"/>
              </w:rPr>
              <w:t xml:space="preserve"> </w:t>
            </w:r>
            <w:r>
              <w:rPr>
                <w:rFonts w:ascii="Arial"/>
                <w:spacing w:val="-1"/>
              </w:rPr>
              <w:t>this</w:t>
            </w:r>
            <w:r>
              <w:rPr>
                <w:rFonts w:ascii="Arial"/>
                <w:spacing w:val="32"/>
              </w:rPr>
              <w:t xml:space="preserve"> </w:t>
            </w:r>
            <w:r>
              <w:rPr>
                <w:rFonts w:ascii="Arial"/>
                <w:spacing w:val="-2"/>
              </w:rPr>
              <w:t>Service</w:t>
            </w:r>
            <w:r>
              <w:rPr>
                <w:rFonts w:ascii="Arial"/>
                <w:spacing w:val="32"/>
              </w:rPr>
              <w:t xml:space="preserve"> </w:t>
            </w:r>
            <w:r>
              <w:rPr>
                <w:rFonts w:ascii="Arial"/>
                <w:spacing w:val="-1"/>
              </w:rPr>
              <w:t>Level</w:t>
            </w:r>
            <w:r>
              <w:rPr>
                <w:rFonts w:ascii="Arial"/>
                <w:spacing w:val="27"/>
              </w:rPr>
              <w:t xml:space="preserve"> </w:t>
            </w:r>
            <w:r>
              <w:rPr>
                <w:rFonts w:ascii="Arial"/>
                <w:spacing w:val="-1"/>
              </w:rPr>
              <w:t>Performance</w:t>
            </w:r>
            <w:r>
              <w:rPr>
                <w:rFonts w:ascii="Arial"/>
                <w:spacing w:val="21"/>
              </w:rPr>
              <w:t xml:space="preserve"> </w:t>
            </w:r>
            <w:r>
              <w:rPr>
                <w:rFonts w:ascii="Arial"/>
                <w:spacing w:val="-1"/>
              </w:rPr>
              <w:t>Criterion</w:t>
            </w:r>
            <w:r>
              <w:rPr>
                <w:rFonts w:ascii="Arial"/>
                <w:spacing w:val="21"/>
              </w:rPr>
              <w:t xml:space="preserve"> </w:t>
            </w:r>
            <w:r>
              <w:rPr>
                <w:rFonts w:ascii="Arial"/>
                <w:spacing w:val="-1"/>
              </w:rPr>
              <w:t>in</w:t>
            </w:r>
            <w:r>
              <w:rPr>
                <w:rFonts w:ascii="Arial"/>
                <w:spacing w:val="21"/>
              </w:rPr>
              <w:t xml:space="preserve"> </w:t>
            </w:r>
            <w:r>
              <w:rPr>
                <w:rFonts w:ascii="Arial"/>
              </w:rPr>
              <w:t>a</w:t>
            </w:r>
            <w:r>
              <w:rPr>
                <w:rFonts w:ascii="Arial"/>
                <w:spacing w:val="21"/>
              </w:rPr>
              <w:t xml:space="preserve"> </w:t>
            </w:r>
            <w:r>
              <w:rPr>
                <w:rFonts w:ascii="Arial"/>
                <w:spacing w:val="-1"/>
              </w:rPr>
              <w:t>Service</w:t>
            </w:r>
            <w:r>
              <w:rPr>
                <w:rFonts w:ascii="Arial"/>
                <w:spacing w:val="26"/>
              </w:rPr>
              <w:t xml:space="preserve"> </w:t>
            </w:r>
            <w:r>
              <w:rPr>
                <w:rFonts w:ascii="Arial"/>
                <w:spacing w:val="-1"/>
              </w:rPr>
              <w:t>Period)</w:t>
            </w:r>
          </w:p>
        </w:tc>
        <w:tc>
          <w:tcPr>
            <w:tcW w:w="1049" w:type="dxa"/>
            <w:tcBorders>
              <w:top w:val="nil"/>
              <w:left w:val="nil"/>
              <w:bottom w:val="nil"/>
              <w:right w:val="nil"/>
            </w:tcBorders>
          </w:tcPr>
          <w:p w:rsidR="008918FA" w:rsidRDefault="008918FA" w:rsidP="005D2B81">
            <w:pPr>
              <w:pStyle w:val="TableParagraph"/>
              <w:spacing w:line="251" w:lineRule="exact"/>
              <w:ind w:right="64"/>
              <w:jc w:val="center"/>
              <w:rPr>
                <w:rFonts w:ascii="Arial" w:eastAsia="Arial" w:hAnsi="Arial" w:cs="Arial"/>
              </w:rPr>
            </w:pPr>
            <w:r>
              <w:rPr>
                <w:rFonts w:ascii="Arial"/>
                <w:highlight w:val="yellow"/>
              </w:rPr>
              <w:t>=</w:t>
            </w:r>
          </w:p>
        </w:tc>
        <w:tc>
          <w:tcPr>
            <w:tcW w:w="3737" w:type="dxa"/>
            <w:tcBorders>
              <w:top w:val="nil"/>
              <w:left w:val="nil"/>
              <w:bottom w:val="nil"/>
              <w:right w:val="nil"/>
            </w:tcBorders>
          </w:tcPr>
          <w:p w:rsidR="008918FA" w:rsidRDefault="008918FA" w:rsidP="005D2B81">
            <w:pPr>
              <w:pStyle w:val="TableParagraph"/>
              <w:spacing w:line="239" w:lineRule="auto"/>
              <w:jc w:val="both"/>
              <w:rPr>
                <w:rFonts w:ascii="Arial" w:eastAsia="Arial" w:hAnsi="Arial" w:cs="Arial"/>
              </w:rPr>
            </w:pPr>
            <w:r>
              <w:rPr>
                <w:rFonts w:ascii="Arial"/>
                <w:spacing w:val="-1"/>
              </w:rPr>
              <w:t>23%</w:t>
            </w:r>
            <w:r>
              <w:rPr>
                <w:rFonts w:ascii="Arial"/>
                <w:spacing w:val="18"/>
              </w:rPr>
              <w:t xml:space="preserve"> </w:t>
            </w:r>
            <w:r>
              <w:rPr>
                <w:rFonts w:ascii="Arial"/>
                <w:spacing w:val="-2"/>
              </w:rPr>
              <w:t>of</w:t>
            </w:r>
            <w:r>
              <w:rPr>
                <w:rFonts w:ascii="Arial"/>
                <w:spacing w:val="19"/>
              </w:rPr>
              <w:t xml:space="preserve"> </w:t>
            </w:r>
            <w:r>
              <w:rPr>
                <w:rFonts w:ascii="Arial"/>
              </w:rPr>
              <w:t>the</w:t>
            </w:r>
            <w:r>
              <w:rPr>
                <w:rFonts w:ascii="Arial"/>
                <w:spacing w:val="15"/>
              </w:rPr>
              <w:t xml:space="preserve"> </w:t>
            </w:r>
            <w:r>
              <w:rPr>
                <w:rFonts w:ascii="Arial"/>
                <w:spacing w:val="-2"/>
              </w:rPr>
              <w:t>Call</w:t>
            </w:r>
            <w:r>
              <w:rPr>
                <w:rFonts w:ascii="Arial"/>
                <w:spacing w:val="17"/>
              </w:rPr>
              <w:t xml:space="preserve"> </w:t>
            </w:r>
            <w:r>
              <w:rPr>
                <w:rFonts w:ascii="Arial"/>
                <w:spacing w:val="-1"/>
              </w:rPr>
              <w:t>Off</w:t>
            </w:r>
            <w:r>
              <w:rPr>
                <w:rFonts w:ascii="Arial"/>
                <w:spacing w:val="19"/>
              </w:rPr>
              <w:t xml:space="preserve"> </w:t>
            </w:r>
            <w:r>
              <w:rPr>
                <w:rFonts w:ascii="Arial"/>
                <w:spacing w:val="-2"/>
              </w:rPr>
              <w:t>Contract</w:t>
            </w:r>
            <w:r>
              <w:rPr>
                <w:rFonts w:ascii="Arial"/>
                <w:spacing w:val="19"/>
              </w:rPr>
              <w:t xml:space="preserve"> </w:t>
            </w:r>
            <w:r>
              <w:rPr>
                <w:rFonts w:ascii="Arial"/>
                <w:spacing w:val="-1"/>
              </w:rPr>
              <w:t>Charges</w:t>
            </w:r>
            <w:r>
              <w:rPr>
                <w:rFonts w:ascii="Arial"/>
                <w:spacing w:val="29"/>
              </w:rPr>
              <w:t xml:space="preserve"> </w:t>
            </w:r>
            <w:r>
              <w:rPr>
                <w:rFonts w:ascii="Arial"/>
                <w:spacing w:val="-2"/>
              </w:rPr>
              <w:t>payable</w:t>
            </w:r>
            <w:r>
              <w:rPr>
                <w:rFonts w:ascii="Arial"/>
                <w:spacing w:val="48"/>
              </w:rPr>
              <w:t xml:space="preserve"> </w:t>
            </w:r>
            <w:r>
              <w:rPr>
                <w:rFonts w:ascii="Arial"/>
              </w:rPr>
              <w:t>to</w:t>
            </w:r>
            <w:r>
              <w:rPr>
                <w:rFonts w:ascii="Arial"/>
                <w:spacing w:val="48"/>
              </w:rPr>
              <w:t xml:space="preserve"> </w:t>
            </w:r>
            <w:r>
              <w:rPr>
                <w:rFonts w:ascii="Arial"/>
              </w:rPr>
              <w:t>the</w:t>
            </w:r>
            <w:r>
              <w:rPr>
                <w:rFonts w:ascii="Arial"/>
                <w:spacing w:val="48"/>
              </w:rPr>
              <w:t xml:space="preserve"> </w:t>
            </w:r>
            <w:r>
              <w:rPr>
                <w:rFonts w:ascii="Arial"/>
                <w:spacing w:val="-1"/>
              </w:rPr>
              <w:t>Customer</w:t>
            </w:r>
            <w:r>
              <w:rPr>
                <w:rFonts w:ascii="Arial"/>
                <w:spacing w:val="49"/>
              </w:rPr>
              <w:t xml:space="preserve"> </w:t>
            </w:r>
            <w:r>
              <w:rPr>
                <w:rFonts w:ascii="Arial"/>
                <w:spacing w:val="-1"/>
              </w:rPr>
              <w:t>as</w:t>
            </w:r>
            <w:r>
              <w:rPr>
                <w:rFonts w:ascii="Arial"/>
                <w:spacing w:val="49"/>
              </w:rPr>
              <w:t xml:space="preserve"> </w:t>
            </w:r>
            <w:r>
              <w:rPr>
                <w:rFonts w:ascii="Arial"/>
                <w:spacing w:val="-2"/>
              </w:rPr>
              <w:t>Service</w:t>
            </w:r>
            <w:r>
              <w:rPr>
                <w:rFonts w:ascii="Arial"/>
                <w:spacing w:val="30"/>
              </w:rPr>
              <w:t xml:space="preserve"> </w:t>
            </w:r>
            <w:r>
              <w:rPr>
                <w:rFonts w:ascii="Arial"/>
                <w:spacing w:val="-1"/>
              </w:rPr>
              <w:t>Credits</w:t>
            </w:r>
            <w:r>
              <w:rPr>
                <w:rFonts w:ascii="Arial"/>
                <w:spacing w:val="30"/>
              </w:rPr>
              <w:t xml:space="preserve"> </w:t>
            </w:r>
            <w:r>
              <w:rPr>
                <w:rFonts w:ascii="Arial"/>
              </w:rPr>
              <w:t>to</w:t>
            </w:r>
            <w:r>
              <w:rPr>
                <w:rFonts w:ascii="Arial"/>
                <w:spacing w:val="27"/>
              </w:rPr>
              <w:t xml:space="preserve"> </w:t>
            </w:r>
            <w:r>
              <w:rPr>
                <w:rFonts w:ascii="Arial"/>
                <w:spacing w:val="-1"/>
              </w:rPr>
              <w:t>be</w:t>
            </w:r>
            <w:r>
              <w:rPr>
                <w:rFonts w:ascii="Arial"/>
                <w:spacing w:val="29"/>
              </w:rPr>
              <w:t xml:space="preserve"> </w:t>
            </w:r>
            <w:r>
              <w:rPr>
                <w:rFonts w:ascii="Arial"/>
                <w:spacing w:val="-1"/>
              </w:rPr>
              <w:t>deducted</w:t>
            </w:r>
            <w:r>
              <w:rPr>
                <w:rFonts w:ascii="Arial"/>
                <w:spacing w:val="27"/>
              </w:rPr>
              <w:t xml:space="preserve"> </w:t>
            </w:r>
            <w:r>
              <w:rPr>
                <w:rFonts w:ascii="Arial"/>
                <w:spacing w:val="-1"/>
              </w:rPr>
              <w:t>from</w:t>
            </w:r>
            <w:r>
              <w:rPr>
                <w:rFonts w:ascii="Arial"/>
                <w:spacing w:val="28"/>
              </w:rPr>
              <w:t xml:space="preserve"> </w:t>
            </w:r>
            <w:r>
              <w:rPr>
                <w:rFonts w:ascii="Arial"/>
              </w:rPr>
              <w:t>the</w:t>
            </w:r>
            <w:r>
              <w:rPr>
                <w:rFonts w:ascii="Arial"/>
                <w:spacing w:val="29"/>
              </w:rPr>
              <w:t xml:space="preserve"> </w:t>
            </w:r>
            <w:r>
              <w:rPr>
                <w:rFonts w:ascii="Arial"/>
                <w:spacing w:val="-2"/>
              </w:rPr>
              <w:t>next</w:t>
            </w:r>
            <w:r>
              <w:rPr>
                <w:rFonts w:ascii="Arial"/>
                <w:spacing w:val="30"/>
              </w:rPr>
              <w:t xml:space="preserve"> </w:t>
            </w:r>
            <w:r>
              <w:rPr>
                <w:rFonts w:ascii="Arial"/>
                <w:spacing w:val="-2"/>
              </w:rPr>
              <w:t>Valid</w:t>
            </w:r>
            <w:r>
              <w:rPr>
                <w:rFonts w:ascii="Arial"/>
                <w:spacing w:val="3"/>
              </w:rPr>
              <w:t xml:space="preserve"> </w:t>
            </w:r>
            <w:r>
              <w:rPr>
                <w:rFonts w:ascii="Arial"/>
                <w:spacing w:val="-1"/>
              </w:rPr>
              <w:t>Invoice</w:t>
            </w:r>
            <w:r>
              <w:rPr>
                <w:rFonts w:ascii="Arial"/>
                <w:spacing w:val="3"/>
              </w:rPr>
              <w:t xml:space="preserve"> </w:t>
            </w:r>
            <w:r>
              <w:rPr>
                <w:rFonts w:ascii="Arial"/>
                <w:spacing w:val="-1"/>
              </w:rPr>
              <w:t>payable</w:t>
            </w:r>
            <w:r>
              <w:rPr>
                <w:rFonts w:ascii="Arial"/>
                <w:spacing w:val="3"/>
              </w:rPr>
              <w:t xml:space="preserve"> </w:t>
            </w:r>
            <w:r>
              <w:rPr>
                <w:rFonts w:ascii="Arial"/>
                <w:spacing w:val="-1"/>
              </w:rPr>
              <w:t>by</w:t>
            </w:r>
            <w:r>
              <w:rPr>
                <w:rFonts w:ascii="Arial"/>
              </w:rPr>
              <w:t xml:space="preserve"> </w:t>
            </w:r>
            <w:r>
              <w:rPr>
                <w:rFonts w:ascii="Arial"/>
                <w:spacing w:val="1"/>
              </w:rPr>
              <w:t xml:space="preserve"> </w:t>
            </w:r>
            <w:r>
              <w:rPr>
                <w:rFonts w:ascii="Arial"/>
                <w:spacing w:val="-1"/>
              </w:rPr>
              <w:t>the</w:t>
            </w:r>
            <w:r>
              <w:rPr>
                <w:rFonts w:ascii="Arial"/>
                <w:spacing w:val="28"/>
              </w:rPr>
              <w:t xml:space="preserve"> </w:t>
            </w:r>
            <w:r>
              <w:rPr>
                <w:rFonts w:ascii="Arial"/>
                <w:spacing w:val="-1"/>
              </w:rPr>
              <w:t>Customer]</w:t>
            </w:r>
          </w:p>
        </w:tc>
      </w:tr>
    </w:tbl>
    <w:p w:rsidR="008918FA" w:rsidRDefault="008918FA" w:rsidP="008918FA">
      <w:pPr>
        <w:spacing w:line="200" w:lineRule="atLeast"/>
        <w:ind w:left="198"/>
        <w:rPr>
          <w:rFonts w:ascii="Times New Roman" w:eastAsia="Times New Roman" w:hAnsi="Times New Roman" w:cs="Times New Roman"/>
          <w:sz w:val="20"/>
          <w:szCs w:val="20"/>
        </w:rPr>
      </w:pPr>
    </w:p>
    <w:p w:rsidR="008918FA" w:rsidRDefault="008918FA" w:rsidP="008918FA">
      <w:pPr>
        <w:spacing w:line="200" w:lineRule="atLeast"/>
        <w:rPr>
          <w:rFonts w:ascii="Times New Roman" w:eastAsia="Times New Roman" w:hAnsi="Times New Roman" w:cs="Times New Roman"/>
          <w:sz w:val="20"/>
          <w:szCs w:val="20"/>
        </w:rPr>
        <w:sectPr w:rsidR="008918FA">
          <w:pgSz w:w="11910" w:h="16840"/>
          <w:pgMar w:top="1460" w:right="1300" w:bottom="1160" w:left="1680" w:header="0" w:footer="967" w:gutter="0"/>
          <w:cols w:space="720"/>
        </w:sectPr>
      </w:pPr>
    </w:p>
    <w:p w:rsidR="008918FA" w:rsidRDefault="008918FA" w:rsidP="008918FA">
      <w:pPr>
        <w:pStyle w:val="BodyText"/>
        <w:spacing w:before="58"/>
        <w:ind w:left="1197" w:firstLine="0"/>
        <w:rPr>
          <w:rFonts w:ascii="Times New Roman" w:eastAsia="Times New Roman" w:hAnsi="Times New Roman" w:cs="Times New Roman"/>
        </w:rPr>
      </w:pPr>
      <w:bookmarkStart w:id="388" w:name="ANNEX_2_TO_PART_A:_CRITICAL_SERVICE_LEVE"/>
      <w:bookmarkStart w:id="389" w:name="_bookmark315"/>
      <w:bookmarkEnd w:id="388"/>
      <w:bookmarkEnd w:id="389"/>
      <w:r>
        <w:rPr>
          <w:rFonts w:ascii="Times New Roman"/>
          <w:spacing w:val="1"/>
        </w:rPr>
        <w:t>ANNEX</w:t>
      </w:r>
      <w:r>
        <w:rPr>
          <w:rFonts w:ascii="Times New Roman"/>
          <w:spacing w:val="-6"/>
        </w:rPr>
        <w:t xml:space="preserve"> </w:t>
      </w:r>
      <w:r>
        <w:rPr>
          <w:rFonts w:ascii="Times New Roman"/>
        </w:rPr>
        <w:t>2</w:t>
      </w:r>
      <w:r>
        <w:rPr>
          <w:rFonts w:ascii="Times New Roman"/>
          <w:spacing w:val="19"/>
        </w:rPr>
        <w:t xml:space="preserve"> </w:t>
      </w:r>
      <w:r>
        <w:rPr>
          <w:rFonts w:ascii="Times New Roman"/>
          <w:spacing w:val="-2"/>
        </w:rPr>
        <w:t>TO</w:t>
      </w:r>
      <w:r>
        <w:rPr>
          <w:rFonts w:ascii="Times New Roman"/>
          <w:spacing w:val="20"/>
        </w:rPr>
        <w:t xml:space="preserve"> </w:t>
      </w:r>
      <w:r>
        <w:rPr>
          <w:rFonts w:ascii="Times New Roman"/>
        </w:rPr>
        <w:t>P</w:t>
      </w:r>
      <w:r>
        <w:rPr>
          <w:rFonts w:ascii="Times New Roman"/>
          <w:spacing w:val="-29"/>
        </w:rPr>
        <w:t xml:space="preserve"> </w:t>
      </w:r>
      <w:r>
        <w:rPr>
          <w:rFonts w:ascii="Times New Roman"/>
          <w:spacing w:val="2"/>
        </w:rPr>
        <w:t>ART</w:t>
      </w:r>
      <w:r>
        <w:rPr>
          <w:rFonts w:ascii="Times New Roman"/>
          <w:spacing w:val="9"/>
        </w:rPr>
        <w:t xml:space="preserve"> </w:t>
      </w:r>
      <w:r>
        <w:rPr>
          <w:rFonts w:ascii="Times New Roman"/>
          <w:spacing w:val="-5"/>
        </w:rPr>
        <w:t>A:</w:t>
      </w:r>
      <w:r>
        <w:rPr>
          <w:rFonts w:ascii="Times New Roman"/>
          <w:spacing w:val="22"/>
        </w:rPr>
        <w:t xml:space="preserve"> </w:t>
      </w:r>
      <w:r>
        <w:rPr>
          <w:rFonts w:ascii="Times New Roman"/>
        </w:rPr>
        <w:t>CRITICAL</w:t>
      </w:r>
      <w:r>
        <w:rPr>
          <w:rFonts w:ascii="Times New Roman"/>
          <w:spacing w:val="7"/>
        </w:rPr>
        <w:t xml:space="preserve"> </w:t>
      </w:r>
      <w:r>
        <w:rPr>
          <w:rFonts w:ascii="Times New Roman"/>
          <w:spacing w:val="4"/>
        </w:rPr>
        <w:t>SERVICE</w:t>
      </w:r>
      <w:r>
        <w:rPr>
          <w:rFonts w:ascii="Times New Roman"/>
          <w:spacing w:val="18"/>
        </w:rPr>
        <w:t xml:space="preserve"> </w:t>
      </w:r>
      <w:r>
        <w:rPr>
          <w:rFonts w:ascii="Times New Roman"/>
          <w:spacing w:val="1"/>
        </w:rPr>
        <w:t>LEVEL</w:t>
      </w:r>
      <w:r>
        <w:rPr>
          <w:rFonts w:ascii="Times New Roman"/>
          <w:spacing w:val="7"/>
        </w:rPr>
        <w:t xml:space="preserve"> </w:t>
      </w:r>
      <w:r>
        <w:rPr>
          <w:rFonts w:ascii="Times New Roman"/>
        </w:rPr>
        <w:t>FAILURE</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spacing w:line="200" w:lineRule="atLeast"/>
        <w:ind w:left="46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7E349ED1" wp14:editId="43BDB08F">
                <wp:extent cx="5297805" cy="643255"/>
                <wp:effectExtent l="0" t="0" r="0" b="4445"/>
                <wp:docPr id="2698" name="Group 2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805" cy="643255"/>
                          <a:chOff x="0" y="0"/>
                          <a:chExt cx="8343" cy="1013"/>
                        </a:xfrm>
                      </wpg:grpSpPr>
                      <wpg:grpSp>
                        <wpg:cNvPr id="2699" name="Group 2698"/>
                        <wpg:cNvGrpSpPr>
                          <a:grpSpLocks/>
                        </wpg:cNvGrpSpPr>
                        <wpg:grpSpPr bwMode="auto">
                          <a:xfrm>
                            <a:off x="0" y="0"/>
                            <a:ext cx="8343" cy="255"/>
                            <a:chOff x="0" y="0"/>
                            <a:chExt cx="8343" cy="255"/>
                          </a:xfrm>
                        </wpg:grpSpPr>
                        <wps:wsp>
                          <wps:cNvPr id="2700" name="Freeform 2699"/>
                          <wps:cNvSpPr>
                            <a:spLocks/>
                          </wps:cNvSpPr>
                          <wps:spPr bwMode="auto">
                            <a:xfrm>
                              <a:off x="0" y="0"/>
                              <a:ext cx="8343" cy="255"/>
                            </a:xfrm>
                            <a:custGeom>
                              <a:avLst/>
                              <a:gdLst>
                                <a:gd name="T0" fmla="*/ 0 w 8343"/>
                                <a:gd name="T1" fmla="*/ 254 h 255"/>
                                <a:gd name="T2" fmla="*/ 8342 w 8343"/>
                                <a:gd name="T3" fmla="*/ 254 h 255"/>
                                <a:gd name="T4" fmla="*/ 8342 w 8343"/>
                                <a:gd name="T5" fmla="*/ 0 h 255"/>
                                <a:gd name="T6" fmla="*/ 0 w 8343"/>
                                <a:gd name="T7" fmla="*/ 0 h 255"/>
                                <a:gd name="T8" fmla="*/ 0 w 8343"/>
                                <a:gd name="T9" fmla="*/ 254 h 255"/>
                              </a:gdLst>
                              <a:ahLst/>
                              <a:cxnLst>
                                <a:cxn ang="0">
                                  <a:pos x="T0" y="T1"/>
                                </a:cxn>
                                <a:cxn ang="0">
                                  <a:pos x="T2" y="T3"/>
                                </a:cxn>
                                <a:cxn ang="0">
                                  <a:pos x="T4" y="T5"/>
                                </a:cxn>
                                <a:cxn ang="0">
                                  <a:pos x="T6" y="T7"/>
                                </a:cxn>
                                <a:cxn ang="0">
                                  <a:pos x="T8" y="T9"/>
                                </a:cxn>
                              </a:cxnLst>
                              <a:rect l="0" t="0" r="r" b="b"/>
                              <a:pathLst>
                                <a:path w="8343" h="255">
                                  <a:moveTo>
                                    <a:pt x="0" y="254"/>
                                  </a:moveTo>
                                  <a:lnTo>
                                    <a:pt x="8342" y="254"/>
                                  </a:lnTo>
                                  <a:lnTo>
                                    <a:pt x="8342"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1" name="Group 2696"/>
                        <wpg:cNvGrpSpPr>
                          <a:grpSpLocks/>
                        </wpg:cNvGrpSpPr>
                        <wpg:grpSpPr bwMode="auto">
                          <a:xfrm>
                            <a:off x="0" y="254"/>
                            <a:ext cx="8343" cy="252"/>
                            <a:chOff x="0" y="254"/>
                            <a:chExt cx="8343" cy="252"/>
                          </a:xfrm>
                        </wpg:grpSpPr>
                        <wps:wsp>
                          <wps:cNvPr id="2702" name="Freeform 2697"/>
                          <wps:cNvSpPr>
                            <a:spLocks/>
                          </wps:cNvSpPr>
                          <wps:spPr bwMode="auto">
                            <a:xfrm>
                              <a:off x="0" y="254"/>
                              <a:ext cx="8343" cy="252"/>
                            </a:xfrm>
                            <a:custGeom>
                              <a:avLst/>
                              <a:gdLst>
                                <a:gd name="T0" fmla="*/ 0 w 8343"/>
                                <a:gd name="T1" fmla="+- 0 506 254"/>
                                <a:gd name="T2" fmla="*/ 506 h 252"/>
                                <a:gd name="T3" fmla="*/ 8342 w 8343"/>
                                <a:gd name="T4" fmla="+- 0 506 254"/>
                                <a:gd name="T5" fmla="*/ 506 h 252"/>
                                <a:gd name="T6" fmla="*/ 8342 w 8343"/>
                                <a:gd name="T7" fmla="+- 0 254 254"/>
                                <a:gd name="T8" fmla="*/ 254 h 252"/>
                                <a:gd name="T9" fmla="*/ 0 w 8343"/>
                                <a:gd name="T10" fmla="+- 0 254 254"/>
                                <a:gd name="T11" fmla="*/ 254 h 252"/>
                                <a:gd name="T12" fmla="*/ 0 w 8343"/>
                                <a:gd name="T13" fmla="+- 0 506 254"/>
                                <a:gd name="T14" fmla="*/ 506 h 252"/>
                              </a:gdLst>
                              <a:ahLst/>
                              <a:cxnLst>
                                <a:cxn ang="0">
                                  <a:pos x="T0" y="T2"/>
                                </a:cxn>
                                <a:cxn ang="0">
                                  <a:pos x="T3" y="T5"/>
                                </a:cxn>
                                <a:cxn ang="0">
                                  <a:pos x="T6" y="T8"/>
                                </a:cxn>
                                <a:cxn ang="0">
                                  <a:pos x="T9" y="T11"/>
                                </a:cxn>
                                <a:cxn ang="0">
                                  <a:pos x="T12" y="T14"/>
                                </a:cxn>
                              </a:cxnLst>
                              <a:rect l="0" t="0" r="r" b="b"/>
                              <a:pathLst>
                                <a:path w="8343" h="252">
                                  <a:moveTo>
                                    <a:pt x="0" y="252"/>
                                  </a:moveTo>
                                  <a:lnTo>
                                    <a:pt x="8342" y="252"/>
                                  </a:lnTo>
                                  <a:lnTo>
                                    <a:pt x="8342"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3" name="Group 2694"/>
                        <wpg:cNvGrpSpPr>
                          <a:grpSpLocks/>
                        </wpg:cNvGrpSpPr>
                        <wpg:grpSpPr bwMode="auto">
                          <a:xfrm>
                            <a:off x="0" y="506"/>
                            <a:ext cx="8343" cy="255"/>
                            <a:chOff x="0" y="506"/>
                            <a:chExt cx="8343" cy="255"/>
                          </a:xfrm>
                        </wpg:grpSpPr>
                        <wps:wsp>
                          <wps:cNvPr id="2704" name="Freeform 2695"/>
                          <wps:cNvSpPr>
                            <a:spLocks/>
                          </wps:cNvSpPr>
                          <wps:spPr bwMode="auto">
                            <a:xfrm>
                              <a:off x="0" y="506"/>
                              <a:ext cx="8343" cy="255"/>
                            </a:xfrm>
                            <a:custGeom>
                              <a:avLst/>
                              <a:gdLst>
                                <a:gd name="T0" fmla="*/ 0 w 8343"/>
                                <a:gd name="T1" fmla="+- 0 761 506"/>
                                <a:gd name="T2" fmla="*/ 761 h 255"/>
                                <a:gd name="T3" fmla="*/ 8342 w 8343"/>
                                <a:gd name="T4" fmla="+- 0 761 506"/>
                                <a:gd name="T5" fmla="*/ 761 h 255"/>
                                <a:gd name="T6" fmla="*/ 8342 w 8343"/>
                                <a:gd name="T7" fmla="+- 0 506 506"/>
                                <a:gd name="T8" fmla="*/ 506 h 255"/>
                                <a:gd name="T9" fmla="*/ 0 w 8343"/>
                                <a:gd name="T10" fmla="+- 0 506 506"/>
                                <a:gd name="T11" fmla="*/ 506 h 255"/>
                                <a:gd name="T12" fmla="*/ 0 w 8343"/>
                                <a:gd name="T13" fmla="+- 0 761 506"/>
                                <a:gd name="T14" fmla="*/ 761 h 255"/>
                              </a:gdLst>
                              <a:ahLst/>
                              <a:cxnLst>
                                <a:cxn ang="0">
                                  <a:pos x="T0" y="T2"/>
                                </a:cxn>
                                <a:cxn ang="0">
                                  <a:pos x="T3" y="T5"/>
                                </a:cxn>
                                <a:cxn ang="0">
                                  <a:pos x="T6" y="T8"/>
                                </a:cxn>
                                <a:cxn ang="0">
                                  <a:pos x="T9" y="T11"/>
                                </a:cxn>
                                <a:cxn ang="0">
                                  <a:pos x="T12" y="T14"/>
                                </a:cxn>
                              </a:cxnLst>
                              <a:rect l="0" t="0" r="r" b="b"/>
                              <a:pathLst>
                                <a:path w="8343" h="255">
                                  <a:moveTo>
                                    <a:pt x="0" y="255"/>
                                  </a:moveTo>
                                  <a:lnTo>
                                    <a:pt x="8342" y="255"/>
                                  </a:lnTo>
                                  <a:lnTo>
                                    <a:pt x="8342"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5" name="Group 2691"/>
                        <wpg:cNvGrpSpPr>
                          <a:grpSpLocks/>
                        </wpg:cNvGrpSpPr>
                        <wpg:grpSpPr bwMode="auto">
                          <a:xfrm>
                            <a:off x="0" y="761"/>
                            <a:ext cx="1409" cy="252"/>
                            <a:chOff x="0" y="761"/>
                            <a:chExt cx="1409" cy="252"/>
                          </a:xfrm>
                        </wpg:grpSpPr>
                        <wps:wsp>
                          <wps:cNvPr id="2706" name="Freeform 2693"/>
                          <wps:cNvSpPr>
                            <a:spLocks/>
                          </wps:cNvSpPr>
                          <wps:spPr bwMode="auto">
                            <a:xfrm>
                              <a:off x="0" y="761"/>
                              <a:ext cx="1409" cy="252"/>
                            </a:xfrm>
                            <a:custGeom>
                              <a:avLst/>
                              <a:gdLst>
                                <a:gd name="T0" fmla="*/ 0 w 1409"/>
                                <a:gd name="T1" fmla="+- 0 1013 761"/>
                                <a:gd name="T2" fmla="*/ 1013 h 252"/>
                                <a:gd name="T3" fmla="*/ 1409 w 1409"/>
                                <a:gd name="T4" fmla="+- 0 1013 761"/>
                                <a:gd name="T5" fmla="*/ 1013 h 252"/>
                                <a:gd name="T6" fmla="*/ 1409 w 1409"/>
                                <a:gd name="T7" fmla="+- 0 761 761"/>
                                <a:gd name="T8" fmla="*/ 761 h 252"/>
                                <a:gd name="T9" fmla="*/ 0 w 1409"/>
                                <a:gd name="T10" fmla="+- 0 761 761"/>
                                <a:gd name="T11" fmla="*/ 761 h 252"/>
                                <a:gd name="T12" fmla="*/ 0 w 1409"/>
                                <a:gd name="T13" fmla="+- 0 1013 761"/>
                                <a:gd name="T14" fmla="*/ 1013 h 252"/>
                              </a:gdLst>
                              <a:ahLst/>
                              <a:cxnLst>
                                <a:cxn ang="0">
                                  <a:pos x="T0" y="T2"/>
                                </a:cxn>
                                <a:cxn ang="0">
                                  <a:pos x="T3" y="T5"/>
                                </a:cxn>
                                <a:cxn ang="0">
                                  <a:pos x="T6" y="T8"/>
                                </a:cxn>
                                <a:cxn ang="0">
                                  <a:pos x="T9" y="T11"/>
                                </a:cxn>
                                <a:cxn ang="0">
                                  <a:pos x="T12" y="T14"/>
                                </a:cxn>
                              </a:cxnLst>
                              <a:rect l="0" t="0" r="r" b="b"/>
                              <a:pathLst>
                                <a:path w="1409" h="252">
                                  <a:moveTo>
                                    <a:pt x="0" y="252"/>
                                  </a:moveTo>
                                  <a:lnTo>
                                    <a:pt x="1409" y="252"/>
                                  </a:lnTo>
                                  <a:lnTo>
                                    <a:pt x="1409"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Text Box 2692"/>
                          <wps:cNvSpPr txBox="1">
                            <a:spLocks noChangeArrowheads="1"/>
                          </wps:cNvSpPr>
                          <wps:spPr bwMode="auto">
                            <a:xfrm>
                              <a:off x="0" y="0"/>
                              <a:ext cx="834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1" w:lineRule="auto"/>
                                  <w:jc w:val="both"/>
                                  <w:rPr>
                                    <w:rFonts w:ascii="Arial" w:eastAsia="Arial" w:hAnsi="Arial" w:cs="Arial"/>
                                  </w:rPr>
                                </w:pPr>
                                <w:r>
                                  <w:rPr>
                                    <w:rFonts w:ascii="Arial"/>
                                  </w:rPr>
                                  <w:t>[In</w:t>
                                </w:r>
                                <w:r>
                                  <w:rPr>
                                    <w:rFonts w:ascii="Arial"/>
                                    <w:spacing w:val="15"/>
                                  </w:rPr>
                                  <w:t xml:space="preserve"> </w:t>
                                </w:r>
                                <w:r>
                                  <w:rPr>
                                    <w:rFonts w:ascii="Arial"/>
                                    <w:spacing w:val="-1"/>
                                  </w:rPr>
                                  <w:t>relation</w:t>
                                </w:r>
                                <w:r>
                                  <w:rPr>
                                    <w:rFonts w:ascii="Arial"/>
                                    <w:spacing w:val="15"/>
                                  </w:rPr>
                                  <w:t xml:space="preserve"> </w:t>
                                </w:r>
                                <w:r>
                                  <w:rPr>
                                    <w:rFonts w:ascii="Arial"/>
                                  </w:rPr>
                                  <w:t>to</w:t>
                                </w:r>
                                <w:r>
                                  <w:rPr>
                                    <w:rFonts w:ascii="Arial"/>
                                    <w:spacing w:val="16"/>
                                  </w:rPr>
                                  <w:t xml:space="preserve"> </w:t>
                                </w:r>
                                <w:r>
                                  <w:rPr>
                                    <w:rFonts w:ascii="Arial"/>
                                    <w:b/>
                                  </w:rPr>
                                  <w:t>[     ]</w:t>
                                </w:r>
                                <w:r>
                                  <w:rPr>
                                    <w:rFonts w:ascii="Arial"/>
                                    <w:b/>
                                    <w:spacing w:val="16"/>
                                  </w:rPr>
                                  <w:t xml:space="preserve"> </w:t>
                                </w:r>
                                <w:r>
                                  <w:rPr>
                                    <w:rFonts w:ascii="Arial"/>
                                  </w:rPr>
                                  <w:t>a</w:t>
                                </w:r>
                                <w:r>
                                  <w:rPr>
                                    <w:rFonts w:ascii="Arial"/>
                                    <w:spacing w:val="16"/>
                                  </w:rPr>
                                  <w:t xml:space="preserve"> </w:t>
                                </w:r>
                                <w:r>
                                  <w:rPr>
                                    <w:rFonts w:ascii="Arial"/>
                                    <w:spacing w:val="-2"/>
                                  </w:rPr>
                                  <w:t>Critical</w:t>
                                </w:r>
                                <w:r>
                                  <w:rPr>
                                    <w:rFonts w:ascii="Arial"/>
                                    <w:spacing w:val="14"/>
                                  </w:rPr>
                                  <w:t xml:space="preserve"> </w:t>
                                </w:r>
                                <w:r>
                                  <w:rPr>
                                    <w:rFonts w:ascii="Arial"/>
                                    <w:spacing w:val="-1"/>
                                  </w:rPr>
                                  <w:t>Service</w:t>
                                </w:r>
                                <w:r>
                                  <w:rPr>
                                    <w:rFonts w:ascii="Arial"/>
                                    <w:spacing w:val="15"/>
                                  </w:rPr>
                                  <w:t xml:space="preserve"> </w:t>
                                </w:r>
                                <w:r>
                                  <w:rPr>
                                    <w:rFonts w:ascii="Arial"/>
                                  </w:rPr>
                                  <w:t>Level</w:t>
                                </w:r>
                                <w:r>
                                  <w:rPr>
                                    <w:rFonts w:ascii="Arial"/>
                                    <w:spacing w:val="15"/>
                                  </w:rPr>
                                  <w:t xml:space="preserve"> </w:t>
                                </w:r>
                                <w:r>
                                  <w:rPr>
                                    <w:rFonts w:ascii="Arial"/>
                                    <w:spacing w:val="-1"/>
                                  </w:rPr>
                                  <w:t>Failure</w:t>
                                </w:r>
                                <w:r>
                                  <w:rPr>
                                    <w:rFonts w:ascii="Arial"/>
                                    <w:spacing w:val="15"/>
                                  </w:rPr>
                                  <w:t xml:space="preserve"> </w:t>
                                </w:r>
                                <w:r>
                                  <w:rPr>
                                    <w:rFonts w:ascii="Arial"/>
                                    <w:spacing w:val="-1"/>
                                  </w:rPr>
                                  <w:t>shall</w:t>
                                </w:r>
                                <w:r>
                                  <w:rPr>
                                    <w:rFonts w:ascii="Arial"/>
                                    <w:spacing w:val="14"/>
                                  </w:rPr>
                                  <w:t xml:space="preserve"> </w:t>
                                </w:r>
                                <w:r>
                                  <w:rPr>
                                    <w:rFonts w:ascii="Arial"/>
                                    <w:spacing w:val="-1"/>
                                  </w:rPr>
                                  <w:t>include</w:t>
                                </w:r>
                                <w:r>
                                  <w:rPr>
                                    <w:rFonts w:ascii="Arial"/>
                                    <w:spacing w:val="16"/>
                                  </w:rPr>
                                  <w:t xml:space="preserve"> </w:t>
                                </w:r>
                                <w:r>
                                  <w:rPr>
                                    <w:rFonts w:ascii="Arial"/>
                                  </w:rPr>
                                  <w:t>a</w:t>
                                </w:r>
                                <w:r>
                                  <w:rPr>
                                    <w:rFonts w:ascii="Arial"/>
                                    <w:spacing w:val="15"/>
                                  </w:rPr>
                                  <w:t xml:space="preserve"> </w:t>
                                </w:r>
                                <w:r>
                                  <w:rPr>
                                    <w:rFonts w:ascii="Arial"/>
                                    <w:spacing w:val="-1"/>
                                  </w:rPr>
                                  <w:t>delay</w:t>
                                </w:r>
                                <w:r>
                                  <w:rPr>
                                    <w:rFonts w:ascii="Arial"/>
                                    <w:spacing w:val="15"/>
                                  </w:rPr>
                                  <w:t xml:space="preserve"> </w:t>
                                </w:r>
                                <w:r>
                                  <w:rPr>
                                    <w:rFonts w:ascii="Arial"/>
                                  </w:rPr>
                                  <w:t>in</w:t>
                                </w:r>
                                <w:r>
                                  <w:rPr>
                                    <w:rFonts w:ascii="Arial"/>
                                    <w:spacing w:val="16"/>
                                  </w:rPr>
                                  <w:t xml:space="preserve"> </w:t>
                                </w:r>
                                <w:r>
                                  <w:rPr>
                                    <w:rFonts w:ascii="Arial"/>
                                    <w:spacing w:val="-1"/>
                                  </w:rPr>
                                  <w:t>producing</w:t>
                                </w:r>
                                <w:r>
                                  <w:rPr>
                                    <w:rFonts w:ascii="Arial"/>
                                    <w:spacing w:val="32"/>
                                  </w:rPr>
                                  <w:t xml:space="preserve"> </w:t>
                                </w:r>
                                <w:r>
                                  <w:rPr>
                                    <w:rFonts w:ascii="Arial"/>
                                    <w:b/>
                                  </w:rPr>
                                  <w:t>[ ]</w:t>
                                </w:r>
                                <w:r>
                                  <w:rPr>
                                    <w:rFonts w:ascii="Arial"/>
                                    <w:b/>
                                    <w:spacing w:val="11"/>
                                  </w:rPr>
                                  <w:t xml:space="preserve"> </w:t>
                                </w:r>
                                <w:r>
                                  <w:rPr>
                                    <w:rFonts w:ascii="Arial"/>
                                    <w:spacing w:val="-1"/>
                                  </w:rPr>
                                  <w:t>ordered</w:t>
                                </w:r>
                                <w:r>
                                  <w:rPr>
                                    <w:rFonts w:ascii="Arial"/>
                                    <w:spacing w:val="10"/>
                                  </w:rPr>
                                  <w:t xml:space="preserve"> </w:t>
                                </w:r>
                                <w:r>
                                  <w:rPr>
                                    <w:rFonts w:ascii="Arial"/>
                                    <w:spacing w:val="-1"/>
                                  </w:rPr>
                                  <w:t>by</w:t>
                                </w:r>
                                <w:r>
                                  <w:rPr>
                                    <w:rFonts w:ascii="Arial"/>
                                    <w:spacing w:val="5"/>
                                  </w:rPr>
                                  <w:t xml:space="preserve"> </w:t>
                                </w:r>
                                <w:r>
                                  <w:rPr>
                                    <w:rFonts w:ascii="Arial"/>
                                  </w:rPr>
                                  <w:t>the</w:t>
                                </w:r>
                                <w:r>
                                  <w:rPr>
                                    <w:rFonts w:ascii="Arial"/>
                                    <w:spacing w:val="10"/>
                                  </w:rPr>
                                  <w:t xml:space="preserve"> </w:t>
                                </w:r>
                                <w:r>
                                  <w:rPr>
                                    <w:rFonts w:ascii="Arial"/>
                                    <w:spacing w:val="-2"/>
                                  </w:rPr>
                                  <w:t>Customer</w:t>
                                </w:r>
                                <w:r>
                                  <w:rPr>
                                    <w:rFonts w:ascii="Arial"/>
                                    <w:spacing w:val="11"/>
                                  </w:rPr>
                                  <w:t xml:space="preserve"> </w:t>
                                </w:r>
                                <w:r>
                                  <w:rPr>
                                    <w:rFonts w:ascii="Arial"/>
                                    <w:spacing w:val="-1"/>
                                  </w:rPr>
                                  <w:t>in</w:t>
                                </w:r>
                                <w:r>
                                  <w:rPr>
                                    <w:rFonts w:ascii="Arial"/>
                                    <w:spacing w:val="10"/>
                                  </w:rPr>
                                  <w:t xml:space="preserve"> </w:t>
                                </w:r>
                                <w:r>
                                  <w:rPr>
                                    <w:rFonts w:ascii="Arial"/>
                                    <w:spacing w:val="-1"/>
                                  </w:rPr>
                                  <w:t>excess</w:t>
                                </w:r>
                                <w:r>
                                  <w:rPr>
                                    <w:rFonts w:ascii="Arial"/>
                                    <w:spacing w:val="11"/>
                                  </w:rPr>
                                  <w:t xml:space="preserve"> </w:t>
                                </w:r>
                                <w:r>
                                  <w:rPr>
                                    <w:rFonts w:ascii="Arial"/>
                                    <w:spacing w:val="-2"/>
                                  </w:rPr>
                                  <w:t>of</w:t>
                                </w:r>
                                <w:r>
                                  <w:rPr>
                                    <w:rFonts w:ascii="Arial"/>
                                    <w:spacing w:val="9"/>
                                  </w:rPr>
                                  <w:t xml:space="preserve"> </w:t>
                                </w:r>
                                <w:r>
                                  <w:rPr>
                                    <w:rFonts w:ascii="Arial"/>
                                    <w:spacing w:val="-1"/>
                                  </w:rPr>
                                  <w:t>twenty</w:t>
                                </w:r>
                                <w:r>
                                  <w:rPr>
                                    <w:rFonts w:ascii="Arial"/>
                                    <w:spacing w:val="8"/>
                                  </w:rPr>
                                  <w:t xml:space="preserve"> </w:t>
                                </w:r>
                                <w:r>
                                  <w:rPr>
                                    <w:rFonts w:ascii="Arial"/>
                                    <w:spacing w:val="-1"/>
                                  </w:rPr>
                                  <w:t>four</w:t>
                                </w:r>
                                <w:r>
                                  <w:rPr>
                                    <w:rFonts w:ascii="Arial"/>
                                    <w:spacing w:val="11"/>
                                  </w:rPr>
                                  <w:t xml:space="preserve"> </w:t>
                                </w:r>
                                <w:r>
                                  <w:rPr>
                                    <w:rFonts w:ascii="Arial"/>
                                    <w:spacing w:val="-1"/>
                                  </w:rPr>
                                  <w:t>(24)</w:t>
                                </w:r>
                                <w:r>
                                  <w:rPr>
                                    <w:rFonts w:ascii="Arial"/>
                                    <w:spacing w:val="11"/>
                                  </w:rPr>
                                  <w:t xml:space="preserve"> </w:t>
                                </w:r>
                                <w:r>
                                  <w:rPr>
                                    <w:rFonts w:ascii="Arial"/>
                                    <w:spacing w:val="-1"/>
                                  </w:rPr>
                                  <w:t>hours</w:t>
                                </w:r>
                                <w:r>
                                  <w:rPr>
                                    <w:rFonts w:ascii="Arial"/>
                                    <w:spacing w:val="8"/>
                                  </w:rPr>
                                  <w:t xml:space="preserve"> </w:t>
                                </w:r>
                                <w:r>
                                  <w:rPr>
                                    <w:rFonts w:ascii="Arial"/>
                                    <w:spacing w:val="-1"/>
                                  </w:rPr>
                                  <w:t>more</w:t>
                                </w:r>
                                <w:r>
                                  <w:rPr>
                                    <w:rFonts w:ascii="Arial"/>
                                    <w:spacing w:val="7"/>
                                  </w:rPr>
                                  <w:t xml:space="preserve"> </w:t>
                                </w:r>
                                <w:r>
                                  <w:rPr>
                                    <w:rFonts w:ascii="Arial"/>
                                    <w:spacing w:val="-1"/>
                                  </w:rPr>
                                  <w:t>than</w:t>
                                </w:r>
                                <w:r>
                                  <w:rPr>
                                    <w:rFonts w:ascii="Arial"/>
                                    <w:spacing w:val="10"/>
                                  </w:rPr>
                                  <w:t xml:space="preserve"> </w:t>
                                </w:r>
                                <w:r>
                                  <w:rPr>
                                    <w:rFonts w:ascii="Arial"/>
                                    <w:spacing w:val="-1"/>
                                  </w:rPr>
                                  <w:t>once</w:t>
                                </w:r>
                                <w:r>
                                  <w:rPr>
                                    <w:rFonts w:ascii="Arial"/>
                                    <w:spacing w:val="10"/>
                                  </w:rPr>
                                  <w:t xml:space="preserve"> </w:t>
                                </w:r>
                                <w:r>
                                  <w:rPr>
                                    <w:rFonts w:ascii="Arial"/>
                                    <w:spacing w:val="-1"/>
                                  </w:rPr>
                                  <w:t>in</w:t>
                                </w:r>
                                <w:r>
                                  <w:rPr>
                                    <w:rFonts w:ascii="Arial"/>
                                    <w:spacing w:val="35"/>
                                  </w:rPr>
                                  <w:t xml:space="preserve"> </w:t>
                                </w:r>
                                <w:r>
                                  <w:rPr>
                                    <w:rFonts w:ascii="Arial"/>
                                    <w:spacing w:val="-1"/>
                                  </w:rPr>
                                  <w:t>any</w:t>
                                </w:r>
                                <w:r>
                                  <w:rPr>
                                    <w:rFonts w:ascii="Arial"/>
                                    <w:spacing w:val="22"/>
                                  </w:rPr>
                                  <w:t xml:space="preserve"> </w:t>
                                </w:r>
                                <w:r>
                                  <w:rPr>
                                    <w:rFonts w:ascii="Arial"/>
                                    <w:b/>
                                    <w:spacing w:val="-1"/>
                                  </w:rPr>
                                  <w:t>[</w:t>
                                </w:r>
                                <w:r>
                                  <w:rPr>
                                    <w:rFonts w:ascii="Arial"/>
                                    <w:spacing w:val="-1"/>
                                  </w:rPr>
                                  <w:t>three</w:t>
                                </w:r>
                                <w:r>
                                  <w:rPr>
                                    <w:rFonts w:ascii="Arial"/>
                                    <w:spacing w:val="24"/>
                                  </w:rPr>
                                  <w:t xml:space="preserve"> </w:t>
                                </w:r>
                                <w:r>
                                  <w:rPr>
                                    <w:rFonts w:ascii="Arial"/>
                                    <w:spacing w:val="-1"/>
                                  </w:rPr>
                                  <w:t>(3)</w:t>
                                </w:r>
                                <w:r>
                                  <w:rPr>
                                    <w:rFonts w:ascii="Arial"/>
                                    <w:spacing w:val="26"/>
                                  </w:rPr>
                                  <w:t xml:space="preserve"> </w:t>
                                </w:r>
                                <w:r>
                                  <w:rPr>
                                    <w:rFonts w:ascii="Arial"/>
                                    <w:spacing w:val="-1"/>
                                  </w:rPr>
                                  <w:t>Month</w:t>
                                </w:r>
                                <w:r>
                                  <w:rPr>
                                    <w:rFonts w:ascii="Arial"/>
                                    <w:b/>
                                    <w:spacing w:val="-1"/>
                                  </w:rPr>
                                  <w:t>]</w:t>
                                </w:r>
                                <w:r>
                                  <w:rPr>
                                    <w:rFonts w:ascii="Arial"/>
                                    <w:b/>
                                    <w:spacing w:val="26"/>
                                  </w:rPr>
                                  <w:t xml:space="preserve"> </w:t>
                                </w:r>
                                <w:r>
                                  <w:rPr>
                                    <w:rFonts w:ascii="Arial"/>
                                    <w:spacing w:val="-1"/>
                                  </w:rPr>
                                  <w:t>period</w:t>
                                </w:r>
                                <w:r>
                                  <w:rPr>
                                    <w:rFonts w:ascii="Arial"/>
                                    <w:spacing w:val="24"/>
                                  </w:rPr>
                                  <w:t xml:space="preserve"> </w:t>
                                </w:r>
                                <w:r>
                                  <w:rPr>
                                    <w:rFonts w:ascii="Arial"/>
                                    <w:spacing w:val="-1"/>
                                  </w:rPr>
                                  <w:t>or</w:t>
                                </w:r>
                                <w:r>
                                  <w:rPr>
                                    <w:rFonts w:ascii="Arial"/>
                                    <w:spacing w:val="26"/>
                                  </w:rPr>
                                  <w:t xml:space="preserve"> </w:t>
                                </w:r>
                                <w:r>
                                  <w:rPr>
                                    <w:rFonts w:ascii="Arial"/>
                                    <w:spacing w:val="-1"/>
                                  </w:rPr>
                                  <w:t>more</w:t>
                                </w:r>
                                <w:r>
                                  <w:rPr>
                                    <w:rFonts w:ascii="Arial"/>
                                    <w:spacing w:val="24"/>
                                  </w:rPr>
                                  <w:t xml:space="preserve"> </w:t>
                                </w:r>
                                <w:r>
                                  <w:rPr>
                                    <w:rFonts w:ascii="Arial"/>
                                    <w:spacing w:val="-1"/>
                                  </w:rPr>
                                  <w:t>than</w:t>
                                </w:r>
                                <w:r>
                                  <w:rPr>
                                    <w:rFonts w:ascii="Arial"/>
                                    <w:spacing w:val="22"/>
                                  </w:rPr>
                                  <w:t xml:space="preserve"> </w:t>
                                </w:r>
                                <w:r>
                                  <w:rPr>
                                    <w:rFonts w:ascii="Arial"/>
                                    <w:spacing w:val="-1"/>
                                  </w:rPr>
                                  <w:t>three</w:t>
                                </w:r>
                                <w:r>
                                  <w:rPr>
                                    <w:rFonts w:ascii="Arial"/>
                                    <w:spacing w:val="24"/>
                                  </w:rPr>
                                  <w:t xml:space="preserve"> </w:t>
                                </w:r>
                                <w:r>
                                  <w:rPr>
                                    <w:rFonts w:ascii="Arial"/>
                                    <w:spacing w:val="-1"/>
                                  </w:rPr>
                                  <w:t>(3)</w:t>
                                </w:r>
                                <w:r>
                                  <w:rPr>
                                    <w:rFonts w:ascii="Arial"/>
                                    <w:spacing w:val="26"/>
                                  </w:rPr>
                                  <w:t xml:space="preserve"> </w:t>
                                </w:r>
                                <w:r>
                                  <w:rPr>
                                    <w:rFonts w:ascii="Arial"/>
                                    <w:spacing w:val="-1"/>
                                  </w:rPr>
                                  <w:t>times</w:t>
                                </w:r>
                                <w:r>
                                  <w:rPr>
                                    <w:rFonts w:ascii="Arial"/>
                                    <w:spacing w:val="25"/>
                                  </w:rPr>
                                  <w:t xml:space="preserve"> </w:t>
                                </w:r>
                                <w:r>
                                  <w:rPr>
                                    <w:rFonts w:ascii="Arial"/>
                                    <w:spacing w:val="-1"/>
                                  </w:rPr>
                                  <w:t>in</w:t>
                                </w:r>
                                <w:r>
                                  <w:rPr>
                                    <w:rFonts w:ascii="Arial"/>
                                    <w:spacing w:val="24"/>
                                  </w:rPr>
                                  <w:t xml:space="preserve"> </w:t>
                                </w:r>
                                <w:r>
                                  <w:rPr>
                                    <w:rFonts w:ascii="Arial"/>
                                    <w:spacing w:val="-1"/>
                                  </w:rPr>
                                  <w:t>any</w:t>
                                </w:r>
                                <w:r>
                                  <w:rPr>
                                    <w:rFonts w:ascii="Arial"/>
                                    <w:spacing w:val="22"/>
                                  </w:rPr>
                                  <w:t xml:space="preserve"> </w:t>
                                </w:r>
                                <w:r>
                                  <w:rPr>
                                    <w:rFonts w:ascii="Arial"/>
                                    <w:spacing w:val="-1"/>
                                  </w:rPr>
                                  <w:t>rolling</w:t>
                                </w:r>
                                <w:r>
                                  <w:rPr>
                                    <w:rFonts w:ascii="Arial"/>
                                    <w:spacing w:val="27"/>
                                  </w:rPr>
                                  <w:t xml:space="preserve"> </w:t>
                                </w:r>
                                <w:r>
                                  <w:rPr>
                                    <w:rFonts w:ascii="Arial"/>
                                    <w:spacing w:val="-2"/>
                                  </w:rPr>
                                  <w:t>twelve</w:t>
                                </w:r>
                                <w:r>
                                  <w:rPr>
                                    <w:rFonts w:ascii="Arial"/>
                                    <w:spacing w:val="24"/>
                                  </w:rPr>
                                  <w:t xml:space="preserve"> </w:t>
                                </w:r>
                                <w:r>
                                  <w:rPr>
                                    <w:rFonts w:ascii="Arial"/>
                                    <w:spacing w:val="-1"/>
                                  </w:rPr>
                                  <w:t>(12)</w:t>
                                </w:r>
                                <w:r>
                                  <w:rPr>
                                    <w:rFonts w:ascii="Arial"/>
                                    <w:spacing w:val="48"/>
                                  </w:rPr>
                                  <w:t xml:space="preserve"> </w:t>
                                </w:r>
                                <w:r>
                                  <w:rPr>
                                    <w:rFonts w:ascii="Arial"/>
                                    <w:spacing w:val="-1"/>
                                  </w:rPr>
                                  <w:t>Month</w:t>
                                </w:r>
                                <w:r>
                                  <w:rPr>
                                    <w:rFonts w:ascii="Arial"/>
                                  </w:rPr>
                                  <w:t xml:space="preserve"> </w:t>
                                </w:r>
                                <w:r>
                                  <w:rPr>
                                    <w:rFonts w:ascii="Arial"/>
                                    <w:spacing w:val="-1"/>
                                  </w:rPr>
                                  <w:t>period.]</w:t>
                                </w:r>
                              </w:p>
                            </w:txbxContent>
                          </wps:txbx>
                          <wps:bodyPr rot="0" vert="horz" wrap="square" lIns="0" tIns="0" rIns="0" bIns="0" anchor="t" anchorCtr="0" upright="1">
                            <a:noAutofit/>
                          </wps:bodyPr>
                        </wps:wsp>
                      </wpg:grpSp>
                    </wpg:wgp>
                  </a:graphicData>
                </a:graphic>
              </wp:inline>
            </w:drawing>
          </mc:Choice>
          <mc:Fallback>
            <w:pict>
              <v:group w14:anchorId="7E349ED1" id="Group 2690" o:spid="_x0000_s1284" style="width:417.15pt;height:50.65pt;mso-position-horizontal-relative:char;mso-position-vertical-relative:line" coordsize="834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">
                <v:group id="Group 2698" o:spid="_x0000_s1285" style="position:absolute;width:8343;height:255" coordsize="83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shape id="Freeform 2699" o:spid="_x0000_s1286" style="position:absolute;width:8343;height:255;visibility:visible;mso-wrap-style:square;v-text-anchor:top" coordsize="83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uY8QA&#10;AADdAAAADwAAAGRycy9kb3ducmV2LnhtbERPy2rCQBTdF/oPwy24KTpRocbUUYqgCHZjfKxvM7dJ&#10;MHNnyIwa/XpnUejycN6zRWcacaXW15YVDAcJCOLC6ppLBYf9qp+C8AFZY2OZFNzJw2L++jLDTNsb&#10;7+iah1LEEPYZKqhCcJmUvqjIoB9YRxy5X9saDBG2pdQt3mK4aeQoST6kwZpjQ4WOlhUV5/xiFBxP&#10;aepW5x831c3h8r1dUz5+vCvVe+u+PkEE6sK/+M+90QpGkyTuj2/i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7mPEAAAA3QAAAA8AAAAAAAAAAAAAAAAAmAIAAGRycy9k&#10;b3ducmV2LnhtbFBLBQYAAAAABAAEAPUAAACJAwAAAAA=&#10;" path="m,254r8342,l8342,,,,,254xe" fillcolor="yellow" stroked="f">
                    <v:path arrowok="t" o:connecttype="custom" o:connectlocs="0,254;8342,254;8342,0;0,0;0,254" o:connectangles="0,0,0,0,0"/>
                  </v:shape>
                </v:group>
                <v:group id="Group 2696" o:spid="_x0000_s1287" style="position:absolute;top:254;width:8343;height:252" coordorigin=",254" coordsize="834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Freeform 2697" o:spid="_x0000_s1288" style="position:absolute;top:254;width:8343;height:252;visibility:visible;mso-wrap-style:square;v-text-anchor:top" coordsize="834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YQccA&#10;AADdAAAADwAAAGRycy9kb3ducmV2LnhtbESPQUsDMRSE7wX/Q3iCtzZx0Spr01IqliIetIpen5u3&#10;m9XkZdmk7dZfb4SCx2FmvmFmi8E7sac+toE1XE4UCOIqmJYbDW+vD+NbEDEhG3SBScORIizmZ6MZ&#10;liYc+IX229SIDOFYogabUldKGStLHuMkdMTZq0PvMWXZN9L0eMhw72Sh1FR6bDkvWOxoZan63u68&#10;hsfnq88f9VS73Tt/3Nv6unXrr6PWF+fD8g5EoiH9h0/tjdFQ3KgC/t7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imEHHAAAA3QAAAA8AAAAAAAAAAAAAAAAAmAIAAGRy&#10;cy9kb3ducmV2LnhtbFBLBQYAAAAABAAEAPUAAACMAwAAAAA=&#10;" path="m,252r8342,l8342,,,,,252xe" fillcolor="yellow" stroked="f">
                    <v:path arrowok="t" o:connecttype="custom" o:connectlocs="0,506;8342,506;8342,254;0,254;0,506" o:connectangles="0,0,0,0,0"/>
                  </v:shape>
                </v:group>
                <v:group id="Group 2694" o:spid="_x0000_s1289" style="position:absolute;top:506;width:8343;height:255" coordorigin=",506" coordsize="83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Freeform 2695" o:spid="_x0000_s1290" style="position:absolute;top:506;width:8343;height:255;visibility:visible;mso-wrap-style:square;v-text-anchor:top" coordsize="83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oYMcA&#10;AADdAAAADwAAAGRycy9kb3ducmV2LnhtbESPT2vCQBTE74V+h+UJXopuqkVj6iqloBTqxfjn/Jp9&#10;JsHs2yW7auyn7xYKPQ4z8xtmvuxMI67U+tqygudhAoK4sLrmUsF+txqkIHxA1thYJgV38rBcPD7M&#10;MdP2xlu65qEUEcI+QwVVCC6T0hcVGfRD64ijd7KtwRBlW0rd4i3CTSNHSTKRBmuOCxU6eq+oOOcX&#10;o+BwTFO3On+5mW72l83nmvLx95NS/V739goiUBf+w3/tD61gNE1e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16GDHAAAA3QAAAA8AAAAAAAAAAAAAAAAAmAIAAGRy&#10;cy9kb3ducmV2LnhtbFBLBQYAAAAABAAEAPUAAACMAwAAAAA=&#10;" path="m,255r8342,l8342,,,,,255xe" fillcolor="yellow" stroked="f">
                    <v:path arrowok="t" o:connecttype="custom" o:connectlocs="0,761;8342,761;8342,506;0,506;0,761" o:connectangles="0,0,0,0,0"/>
                  </v:shape>
                </v:group>
                <v:group id="Group 2691" o:spid="_x0000_s1291" style="position:absolute;top:761;width:1409;height:252" coordorigin=",761" coordsize="140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2693" o:spid="_x0000_s1292" style="position:absolute;top:761;width:1409;height:252;visibility:visible;mso-wrap-style:square;v-text-anchor:top" coordsize="140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ousIA&#10;AADdAAAADwAAAGRycy9kb3ducmV2LnhtbESPQWsCMRSE70L/Q3gFb5pUqNqtUUpLwWvX0vMjed0s&#10;bl7CJu5u/70RCh6HmfmG2R0m34mB+tQG1vC0VCCITbAtNxq+T5+LLYiUkS12gUnDHyU47B9mO6xs&#10;GPmLhjo3okA4VajB5RwrKZNx5DEtQyQu3m/oPeYi+0baHscC951cKbWWHlsuCw4jvTsy5/riNbzE&#10;D7r8RLMx2+fRnR21g4q11vPH6e0VRKYp38P/7aPVsNqoNdzelCcg9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ei6wgAAAN0AAAAPAAAAAAAAAAAAAAAAAJgCAABkcnMvZG93&#10;bnJldi54bWxQSwUGAAAAAAQABAD1AAAAhwMAAAAA&#10;" path="m,252r1409,l1409,,,,,252xe" fillcolor="yellow" stroked="f">
                    <v:path arrowok="t" o:connecttype="custom" o:connectlocs="0,1013;1409,1013;1409,761;0,761;0,1013" o:connectangles="0,0,0,0,0"/>
                  </v:shape>
                  <v:shape id="Text Box 2692" o:spid="_x0000_s1293" type="#_x0000_t202" style="position:absolute;width:834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JuMYA&#10;AADdAAAADwAAAGRycy9kb3ducmV2LnhtbESPQWsCMRSE7wX/Q3gFbzWpB61bo4goCIXSdT14fN08&#10;d4Obl3UTdfvvm0LB4zAz3zDzZe8acaMuWM8aXkcKBHHpjeVKw6HYvryBCBHZYOOZNPxQgOVi8DTH&#10;zPg753Tbx0okCIcMNdQxtpmUoazJYRj5ljh5J985jEl2lTQd3hPcNXKs1EQ6tJwWamxpXVN53l+d&#10;htWR8429fH5/5afcFsVM8cfkrPXwuV+9g4jUx0f4v70zGsZTNY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FJuMYAAADdAAAADwAAAAAAAAAAAAAAAACYAgAAZHJz&#10;L2Rvd25yZXYueG1sUEsFBgAAAAAEAAQA9QAAAIsDAAAAAA==&#10;" filled="f" stroked="f">
                    <v:textbox inset="0,0,0,0">
                      <w:txbxContent>
                        <w:p w:rsidR="005D2B81" w:rsidRDefault="005D2B81" w:rsidP="008918FA">
                          <w:pPr>
                            <w:spacing w:line="241" w:lineRule="auto"/>
                            <w:jc w:val="both"/>
                            <w:rPr>
                              <w:rFonts w:ascii="Arial" w:eastAsia="Arial" w:hAnsi="Arial" w:cs="Arial"/>
                            </w:rPr>
                          </w:pPr>
                          <w:r>
                            <w:rPr>
                              <w:rFonts w:ascii="Arial"/>
                            </w:rPr>
                            <w:t>[In</w:t>
                          </w:r>
                          <w:r>
                            <w:rPr>
                              <w:rFonts w:ascii="Arial"/>
                              <w:spacing w:val="15"/>
                            </w:rPr>
                            <w:t xml:space="preserve"> </w:t>
                          </w:r>
                          <w:r>
                            <w:rPr>
                              <w:rFonts w:ascii="Arial"/>
                              <w:spacing w:val="-1"/>
                            </w:rPr>
                            <w:t>relation</w:t>
                          </w:r>
                          <w:r>
                            <w:rPr>
                              <w:rFonts w:ascii="Arial"/>
                              <w:spacing w:val="15"/>
                            </w:rPr>
                            <w:t xml:space="preserve"> </w:t>
                          </w:r>
                          <w:r>
                            <w:rPr>
                              <w:rFonts w:ascii="Arial"/>
                            </w:rPr>
                            <w:t>to</w:t>
                          </w:r>
                          <w:r>
                            <w:rPr>
                              <w:rFonts w:ascii="Arial"/>
                              <w:spacing w:val="16"/>
                            </w:rPr>
                            <w:t xml:space="preserve"> </w:t>
                          </w:r>
                          <w:r>
                            <w:rPr>
                              <w:rFonts w:ascii="Arial"/>
                              <w:b/>
                            </w:rPr>
                            <w:t>[     ]</w:t>
                          </w:r>
                          <w:r>
                            <w:rPr>
                              <w:rFonts w:ascii="Arial"/>
                              <w:b/>
                              <w:spacing w:val="16"/>
                            </w:rPr>
                            <w:t xml:space="preserve"> </w:t>
                          </w:r>
                          <w:r>
                            <w:rPr>
                              <w:rFonts w:ascii="Arial"/>
                            </w:rPr>
                            <w:t>a</w:t>
                          </w:r>
                          <w:r>
                            <w:rPr>
                              <w:rFonts w:ascii="Arial"/>
                              <w:spacing w:val="16"/>
                            </w:rPr>
                            <w:t xml:space="preserve"> </w:t>
                          </w:r>
                          <w:r>
                            <w:rPr>
                              <w:rFonts w:ascii="Arial"/>
                              <w:spacing w:val="-2"/>
                            </w:rPr>
                            <w:t>Critical</w:t>
                          </w:r>
                          <w:r>
                            <w:rPr>
                              <w:rFonts w:ascii="Arial"/>
                              <w:spacing w:val="14"/>
                            </w:rPr>
                            <w:t xml:space="preserve"> </w:t>
                          </w:r>
                          <w:r>
                            <w:rPr>
                              <w:rFonts w:ascii="Arial"/>
                              <w:spacing w:val="-1"/>
                            </w:rPr>
                            <w:t>Service</w:t>
                          </w:r>
                          <w:r>
                            <w:rPr>
                              <w:rFonts w:ascii="Arial"/>
                              <w:spacing w:val="15"/>
                            </w:rPr>
                            <w:t xml:space="preserve"> </w:t>
                          </w:r>
                          <w:r>
                            <w:rPr>
                              <w:rFonts w:ascii="Arial"/>
                            </w:rPr>
                            <w:t>Level</w:t>
                          </w:r>
                          <w:r>
                            <w:rPr>
                              <w:rFonts w:ascii="Arial"/>
                              <w:spacing w:val="15"/>
                            </w:rPr>
                            <w:t xml:space="preserve"> </w:t>
                          </w:r>
                          <w:r>
                            <w:rPr>
                              <w:rFonts w:ascii="Arial"/>
                              <w:spacing w:val="-1"/>
                            </w:rPr>
                            <w:t>Failure</w:t>
                          </w:r>
                          <w:r>
                            <w:rPr>
                              <w:rFonts w:ascii="Arial"/>
                              <w:spacing w:val="15"/>
                            </w:rPr>
                            <w:t xml:space="preserve"> </w:t>
                          </w:r>
                          <w:r>
                            <w:rPr>
                              <w:rFonts w:ascii="Arial"/>
                              <w:spacing w:val="-1"/>
                            </w:rPr>
                            <w:t>shall</w:t>
                          </w:r>
                          <w:r>
                            <w:rPr>
                              <w:rFonts w:ascii="Arial"/>
                              <w:spacing w:val="14"/>
                            </w:rPr>
                            <w:t xml:space="preserve"> </w:t>
                          </w:r>
                          <w:r>
                            <w:rPr>
                              <w:rFonts w:ascii="Arial"/>
                              <w:spacing w:val="-1"/>
                            </w:rPr>
                            <w:t>include</w:t>
                          </w:r>
                          <w:r>
                            <w:rPr>
                              <w:rFonts w:ascii="Arial"/>
                              <w:spacing w:val="16"/>
                            </w:rPr>
                            <w:t xml:space="preserve"> </w:t>
                          </w:r>
                          <w:r>
                            <w:rPr>
                              <w:rFonts w:ascii="Arial"/>
                            </w:rPr>
                            <w:t>a</w:t>
                          </w:r>
                          <w:r>
                            <w:rPr>
                              <w:rFonts w:ascii="Arial"/>
                              <w:spacing w:val="15"/>
                            </w:rPr>
                            <w:t xml:space="preserve"> </w:t>
                          </w:r>
                          <w:r>
                            <w:rPr>
                              <w:rFonts w:ascii="Arial"/>
                              <w:spacing w:val="-1"/>
                            </w:rPr>
                            <w:t>delay</w:t>
                          </w:r>
                          <w:r>
                            <w:rPr>
                              <w:rFonts w:ascii="Arial"/>
                              <w:spacing w:val="15"/>
                            </w:rPr>
                            <w:t xml:space="preserve"> </w:t>
                          </w:r>
                          <w:r>
                            <w:rPr>
                              <w:rFonts w:ascii="Arial"/>
                            </w:rPr>
                            <w:t>in</w:t>
                          </w:r>
                          <w:r>
                            <w:rPr>
                              <w:rFonts w:ascii="Arial"/>
                              <w:spacing w:val="16"/>
                            </w:rPr>
                            <w:t xml:space="preserve"> </w:t>
                          </w:r>
                          <w:r>
                            <w:rPr>
                              <w:rFonts w:ascii="Arial"/>
                              <w:spacing w:val="-1"/>
                            </w:rPr>
                            <w:t>producing</w:t>
                          </w:r>
                          <w:r>
                            <w:rPr>
                              <w:rFonts w:ascii="Arial"/>
                              <w:spacing w:val="32"/>
                            </w:rPr>
                            <w:t xml:space="preserve"> </w:t>
                          </w:r>
                          <w:r>
                            <w:rPr>
                              <w:rFonts w:ascii="Arial"/>
                              <w:b/>
                            </w:rPr>
                            <w:t>[ ]</w:t>
                          </w:r>
                          <w:r>
                            <w:rPr>
                              <w:rFonts w:ascii="Arial"/>
                              <w:b/>
                              <w:spacing w:val="11"/>
                            </w:rPr>
                            <w:t xml:space="preserve"> </w:t>
                          </w:r>
                          <w:r>
                            <w:rPr>
                              <w:rFonts w:ascii="Arial"/>
                              <w:spacing w:val="-1"/>
                            </w:rPr>
                            <w:t>ordered</w:t>
                          </w:r>
                          <w:r>
                            <w:rPr>
                              <w:rFonts w:ascii="Arial"/>
                              <w:spacing w:val="10"/>
                            </w:rPr>
                            <w:t xml:space="preserve"> </w:t>
                          </w:r>
                          <w:r>
                            <w:rPr>
                              <w:rFonts w:ascii="Arial"/>
                              <w:spacing w:val="-1"/>
                            </w:rPr>
                            <w:t>by</w:t>
                          </w:r>
                          <w:r>
                            <w:rPr>
                              <w:rFonts w:ascii="Arial"/>
                              <w:spacing w:val="5"/>
                            </w:rPr>
                            <w:t xml:space="preserve"> </w:t>
                          </w:r>
                          <w:r>
                            <w:rPr>
                              <w:rFonts w:ascii="Arial"/>
                            </w:rPr>
                            <w:t>the</w:t>
                          </w:r>
                          <w:r>
                            <w:rPr>
                              <w:rFonts w:ascii="Arial"/>
                              <w:spacing w:val="10"/>
                            </w:rPr>
                            <w:t xml:space="preserve"> </w:t>
                          </w:r>
                          <w:r>
                            <w:rPr>
                              <w:rFonts w:ascii="Arial"/>
                              <w:spacing w:val="-2"/>
                            </w:rPr>
                            <w:t>Customer</w:t>
                          </w:r>
                          <w:r>
                            <w:rPr>
                              <w:rFonts w:ascii="Arial"/>
                              <w:spacing w:val="11"/>
                            </w:rPr>
                            <w:t xml:space="preserve"> </w:t>
                          </w:r>
                          <w:r>
                            <w:rPr>
                              <w:rFonts w:ascii="Arial"/>
                              <w:spacing w:val="-1"/>
                            </w:rPr>
                            <w:t>in</w:t>
                          </w:r>
                          <w:r>
                            <w:rPr>
                              <w:rFonts w:ascii="Arial"/>
                              <w:spacing w:val="10"/>
                            </w:rPr>
                            <w:t xml:space="preserve"> </w:t>
                          </w:r>
                          <w:r>
                            <w:rPr>
                              <w:rFonts w:ascii="Arial"/>
                              <w:spacing w:val="-1"/>
                            </w:rPr>
                            <w:t>excess</w:t>
                          </w:r>
                          <w:r>
                            <w:rPr>
                              <w:rFonts w:ascii="Arial"/>
                              <w:spacing w:val="11"/>
                            </w:rPr>
                            <w:t xml:space="preserve"> </w:t>
                          </w:r>
                          <w:r>
                            <w:rPr>
                              <w:rFonts w:ascii="Arial"/>
                              <w:spacing w:val="-2"/>
                            </w:rPr>
                            <w:t>of</w:t>
                          </w:r>
                          <w:r>
                            <w:rPr>
                              <w:rFonts w:ascii="Arial"/>
                              <w:spacing w:val="9"/>
                            </w:rPr>
                            <w:t xml:space="preserve"> </w:t>
                          </w:r>
                          <w:r>
                            <w:rPr>
                              <w:rFonts w:ascii="Arial"/>
                              <w:spacing w:val="-1"/>
                            </w:rPr>
                            <w:t>twenty</w:t>
                          </w:r>
                          <w:r>
                            <w:rPr>
                              <w:rFonts w:ascii="Arial"/>
                              <w:spacing w:val="8"/>
                            </w:rPr>
                            <w:t xml:space="preserve"> </w:t>
                          </w:r>
                          <w:r>
                            <w:rPr>
                              <w:rFonts w:ascii="Arial"/>
                              <w:spacing w:val="-1"/>
                            </w:rPr>
                            <w:t>four</w:t>
                          </w:r>
                          <w:r>
                            <w:rPr>
                              <w:rFonts w:ascii="Arial"/>
                              <w:spacing w:val="11"/>
                            </w:rPr>
                            <w:t xml:space="preserve"> </w:t>
                          </w:r>
                          <w:r>
                            <w:rPr>
                              <w:rFonts w:ascii="Arial"/>
                              <w:spacing w:val="-1"/>
                            </w:rPr>
                            <w:t>(24)</w:t>
                          </w:r>
                          <w:r>
                            <w:rPr>
                              <w:rFonts w:ascii="Arial"/>
                              <w:spacing w:val="11"/>
                            </w:rPr>
                            <w:t xml:space="preserve"> </w:t>
                          </w:r>
                          <w:r>
                            <w:rPr>
                              <w:rFonts w:ascii="Arial"/>
                              <w:spacing w:val="-1"/>
                            </w:rPr>
                            <w:t>hours</w:t>
                          </w:r>
                          <w:r>
                            <w:rPr>
                              <w:rFonts w:ascii="Arial"/>
                              <w:spacing w:val="8"/>
                            </w:rPr>
                            <w:t xml:space="preserve"> </w:t>
                          </w:r>
                          <w:r>
                            <w:rPr>
                              <w:rFonts w:ascii="Arial"/>
                              <w:spacing w:val="-1"/>
                            </w:rPr>
                            <w:t>more</w:t>
                          </w:r>
                          <w:r>
                            <w:rPr>
                              <w:rFonts w:ascii="Arial"/>
                              <w:spacing w:val="7"/>
                            </w:rPr>
                            <w:t xml:space="preserve"> </w:t>
                          </w:r>
                          <w:r>
                            <w:rPr>
                              <w:rFonts w:ascii="Arial"/>
                              <w:spacing w:val="-1"/>
                            </w:rPr>
                            <w:t>than</w:t>
                          </w:r>
                          <w:r>
                            <w:rPr>
                              <w:rFonts w:ascii="Arial"/>
                              <w:spacing w:val="10"/>
                            </w:rPr>
                            <w:t xml:space="preserve"> </w:t>
                          </w:r>
                          <w:r>
                            <w:rPr>
                              <w:rFonts w:ascii="Arial"/>
                              <w:spacing w:val="-1"/>
                            </w:rPr>
                            <w:t>once</w:t>
                          </w:r>
                          <w:r>
                            <w:rPr>
                              <w:rFonts w:ascii="Arial"/>
                              <w:spacing w:val="10"/>
                            </w:rPr>
                            <w:t xml:space="preserve"> </w:t>
                          </w:r>
                          <w:r>
                            <w:rPr>
                              <w:rFonts w:ascii="Arial"/>
                              <w:spacing w:val="-1"/>
                            </w:rPr>
                            <w:t>in</w:t>
                          </w:r>
                          <w:r>
                            <w:rPr>
                              <w:rFonts w:ascii="Arial"/>
                              <w:spacing w:val="35"/>
                            </w:rPr>
                            <w:t xml:space="preserve"> </w:t>
                          </w:r>
                          <w:r>
                            <w:rPr>
                              <w:rFonts w:ascii="Arial"/>
                              <w:spacing w:val="-1"/>
                            </w:rPr>
                            <w:t>any</w:t>
                          </w:r>
                          <w:r>
                            <w:rPr>
                              <w:rFonts w:ascii="Arial"/>
                              <w:spacing w:val="22"/>
                            </w:rPr>
                            <w:t xml:space="preserve"> </w:t>
                          </w:r>
                          <w:r>
                            <w:rPr>
                              <w:rFonts w:ascii="Arial"/>
                              <w:b/>
                              <w:spacing w:val="-1"/>
                            </w:rPr>
                            <w:t>[</w:t>
                          </w:r>
                          <w:r>
                            <w:rPr>
                              <w:rFonts w:ascii="Arial"/>
                              <w:spacing w:val="-1"/>
                            </w:rPr>
                            <w:t>three</w:t>
                          </w:r>
                          <w:r>
                            <w:rPr>
                              <w:rFonts w:ascii="Arial"/>
                              <w:spacing w:val="24"/>
                            </w:rPr>
                            <w:t xml:space="preserve"> </w:t>
                          </w:r>
                          <w:r>
                            <w:rPr>
                              <w:rFonts w:ascii="Arial"/>
                              <w:spacing w:val="-1"/>
                            </w:rPr>
                            <w:t>(3)</w:t>
                          </w:r>
                          <w:r>
                            <w:rPr>
                              <w:rFonts w:ascii="Arial"/>
                              <w:spacing w:val="26"/>
                            </w:rPr>
                            <w:t xml:space="preserve"> </w:t>
                          </w:r>
                          <w:r>
                            <w:rPr>
                              <w:rFonts w:ascii="Arial"/>
                              <w:spacing w:val="-1"/>
                            </w:rPr>
                            <w:t>Month</w:t>
                          </w:r>
                          <w:r>
                            <w:rPr>
                              <w:rFonts w:ascii="Arial"/>
                              <w:b/>
                              <w:spacing w:val="-1"/>
                            </w:rPr>
                            <w:t>]</w:t>
                          </w:r>
                          <w:r>
                            <w:rPr>
                              <w:rFonts w:ascii="Arial"/>
                              <w:b/>
                              <w:spacing w:val="26"/>
                            </w:rPr>
                            <w:t xml:space="preserve"> </w:t>
                          </w:r>
                          <w:r>
                            <w:rPr>
                              <w:rFonts w:ascii="Arial"/>
                              <w:spacing w:val="-1"/>
                            </w:rPr>
                            <w:t>period</w:t>
                          </w:r>
                          <w:r>
                            <w:rPr>
                              <w:rFonts w:ascii="Arial"/>
                              <w:spacing w:val="24"/>
                            </w:rPr>
                            <w:t xml:space="preserve"> </w:t>
                          </w:r>
                          <w:r>
                            <w:rPr>
                              <w:rFonts w:ascii="Arial"/>
                              <w:spacing w:val="-1"/>
                            </w:rPr>
                            <w:t>or</w:t>
                          </w:r>
                          <w:r>
                            <w:rPr>
                              <w:rFonts w:ascii="Arial"/>
                              <w:spacing w:val="26"/>
                            </w:rPr>
                            <w:t xml:space="preserve"> </w:t>
                          </w:r>
                          <w:r>
                            <w:rPr>
                              <w:rFonts w:ascii="Arial"/>
                              <w:spacing w:val="-1"/>
                            </w:rPr>
                            <w:t>more</w:t>
                          </w:r>
                          <w:r>
                            <w:rPr>
                              <w:rFonts w:ascii="Arial"/>
                              <w:spacing w:val="24"/>
                            </w:rPr>
                            <w:t xml:space="preserve"> </w:t>
                          </w:r>
                          <w:r>
                            <w:rPr>
                              <w:rFonts w:ascii="Arial"/>
                              <w:spacing w:val="-1"/>
                            </w:rPr>
                            <w:t>than</w:t>
                          </w:r>
                          <w:r>
                            <w:rPr>
                              <w:rFonts w:ascii="Arial"/>
                              <w:spacing w:val="22"/>
                            </w:rPr>
                            <w:t xml:space="preserve"> </w:t>
                          </w:r>
                          <w:r>
                            <w:rPr>
                              <w:rFonts w:ascii="Arial"/>
                              <w:spacing w:val="-1"/>
                            </w:rPr>
                            <w:t>three</w:t>
                          </w:r>
                          <w:r>
                            <w:rPr>
                              <w:rFonts w:ascii="Arial"/>
                              <w:spacing w:val="24"/>
                            </w:rPr>
                            <w:t xml:space="preserve"> </w:t>
                          </w:r>
                          <w:r>
                            <w:rPr>
                              <w:rFonts w:ascii="Arial"/>
                              <w:spacing w:val="-1"/>
                            </w:rPr>
                            <w:t>(3)</w:t>
                          </w:r>
                          <w:r>
                            <w:rPr>
                              <w:rFonts w:ascii="Arial"/>
                              <w:spacing w:val="26"/>
                            </w:rPr>
                            <w:t xml:space="preserve"> </w:t>
                          </w:r>
                          <w:r>
                            <w:rPr>
                              <w:rFonts w:ascii="Arial"/>
                              <w:spacing w:val="-1"/>
                            </w:rPr>
                            <w:t>times</w:t>
                          </w:r>
                          <w:r>
                            <w:rPr>
                              <w:rFonts w:ascii="Arial"/>
                              <w:spacing w:val="25"/>
                            </w:rPr>
                            <w:t xml:space="preserve"> </w:t>
                          </w:r>
                          <w:r>
                            <w:rPr>
                              <w:rFonts w:ascii="Arial"/>
                              <w:spacing w:val="-1"/>
                            </w:rPr>
                            <w:t>in</w:t>
                          </w:r>
                          <w:r>
                            <w:rPr>
                              <w:rFonts w:ascii="Arial"/>
                              <w:spacing w:val="24"/>
                            </w:rPr>
                            <w:t xml:space="preserve"> </w:t>
                          </w:r>
                          <w:r>
                            <w:rPr>
                              <w:rFonts w:ascii="Arial"/>
                              <w:spacing w:val="-1"/>
                            </w:rPr>
                            <w:t>any</w:t>
                          </w:r>
                          <w:r>
                            <w:rPr>
                              <w:rFonts w:ascii="Arial"/>
                              <w:spacing w:val="22"/>
                            </w:rPr>
                            <w:t xml:space="preserve"> </w:t>
                          </w:r>
                          <w:r>
                            <w:rPr>
                              <w:rFonts w:ascii="Arial"/>
                              <w:spacing w:val="-1"/>
                            </w:rPr>
                            <w:t>rolling</w:t>
                          </w:r>
                          <w:r>
                            <w:rPr>
                              <w:rFonts w:ascii="Arial"/>
                              <w:spacing w:val="27"/>
                            </w:rPr>
                            <w:t xml:space="preserve"> </w:t>
                          </w:r>
                          <w:r>
                            <w:rPr>
                              <w:rFonts w:ascii="Arial"/>
                              <w:spacing w:val="-2"/>
                            </w:rPr>
                            <w:t>twelve</w:t>
                          </w:r>
                          <w:r>
                            <w:rPr>
                              <w:rFonts w:ascii="Arial"/>
                              <w:spacing w:val="24"/>
                            </w:rPr>
                            <w:t xml:space="preserve"> </w:t>
                          </w:r>
                          <w:r>
                            <w:rPr>
                              <w:rFonts w:ascii="Arial"/>
                              <w:spacing w:val="-1"/>
                            </w:rPr>
                            <w:t>(12)</w:t>
                          </w:r>
                          <w:r>
                            <w:rPr>
                              <w:rFonts w:ascii="Arial"/>
                              <w:spacing w:val="48"/>
                            </w:rPr>
                            <w:t xml:space="preserve"> </w:t>
                          </w:r>
                          <w:r>
                            <w:rPr>
                              <w:rFonts w:ascii="Arial"/>
                              <w:spacing w:val="-1"/>
                            </w:rPr>
                            <w:t>Month</w:t>
                          </w:r>
                          <w:r>
                            <w:rPr>
                              <w:rFonts w:ascii="Arial"/>
                            </w:rPr>
                            <w:t xml:space="preserve"> </w:t>
                          </w:r>
                          <w:r>
                            <w:rPr>
                              <w:rFonts w:ascii="Arial"/>
                              <w:spacing w:val="-1"/>
                            </w:rPr>
                            <w:t>period.]</w:t>
                          </w:r>
                        </w:p>
                      </w:txbxContent>
                    </v:textbox>
                  </v:shape>
                </v:group>
                <w10:anchorlock/>
              </v:group>
            </w:pict>
          </mc:Fallback>
        </mc:AlternateConten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spacing w:line="200" w:lineRule="atLeast"/>
        <w:ind w:left="46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5F2B48DF" wp14:editId="1A977492">
                <wp:extent cx="5299710" cy="643255"/>
                <wp:effectExtent l="0" t="0" r="0" b="4445"/>
                <wp:docPr id="2685" name="Group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710" cy="643255"/>
                          <a:chOff x="0" y="0"/>
                          <a:chExt cx="8346" cy="1013"/>
                        </a:xfrm>
                      </wpg:grpSpPr>
                      <wpg:grpSp>
                        <wpg:cNvPr id="2686" name="Group 2688"/>
                        <wpg:cNvGrpSpPr>
                          <a:grpSpLocks/>
                        </wpg:cNvGrpSpPr>
                        <wpg:grpSpPr bwMode="auto">
                          <a:xfrm>
                            <a:off x="0" y="0"/>
                            <a:ext cx="8343" cy="252"/>
                            <a:chOff x="0" y="0"/>
                            <a:chExt cx="8343" cy="252"/>
                          </a:xfrm>
                        </wpg:grpSpPr>
                        <wps:wsp>
                          <wps:cNvPr id="2687" name="Freeform 2689"/>
                          <wps:cNvSpPr>
                            <a:spLocks/>
                          </wps:cNvSpPr>
                          <wps:spPr bwMode="auto">
                            <a:xfrm>
                              <a:off x="0" y="0"/>
                              <a:ext cx="8343" cy="252"/>
                            </a:xfrm>
                            <a:custGeom>
                              <a:avLst/>
                              <a:gdLst>
                                <a:gd name="T0" fmla="*/ 0 w 8343"/>
                                <a:gd name="T1" fmla="*/ 252 h 252"/>
                                <a:gd name="T2" fmla="*/ 8342 w 8343"/>
                                <a:gd name="T3" fmla="*/ 252 h 252"/>
                                <a:gd name="T4" fmla="*/ 8342 w 8343"/>
                                <a:gd name="T5" fmla="*/ 0 h 252"/>
                                <a:gd name="T6" fmla="*/ 0 w 8343"/>
                                <a:gd name="T7" fmla="*/ 0 h 252"/>
                                <a:gd name="T8" fmla="*/ 0 w 8343"/>
                                <a:gd name="T9" fmla="*/ 252 h 252"/>
                              </a:gdLst>
                              <a:ahLst/>
                              <a:cxnLst>
                                <a:cxn ang="0">
                                  <a:pos x="T0" y="T1"/>
                                </a:cxn>
                                <a:cxn ang="0">
                                  <a:pos x="T2" y="T3"/>
                                </a:cxn>
                                <a:cxn ang="0">
                                  <a:pos x="T4" y="T5"/>
                                </a:cxn>
                                <a:cxn ang="0">
                                  <a:pos x="T6" y="T7"/>
                                </a:cxn>
                                <a:cxn ang="0">
                                  <a:pos x="T8" y="T9"/>
                                </a:cxn>
                              </a:cxnLst>
                              <a:rect l="0" t="0" r="r" b="b"/>
                              <a:pathLst>
                                <a:path w="8343" h="252">
                                  <a:moveTo>
                                    <a:pt x="0" y="252"/>
                                  </a:moveTo>
                                  <a:lnTo>
                                    <a:pt x="8342" y="252"/>
                                  </a:lnTo>
                                  <a:lnTo>
                                    <a:pt x="8342"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8" name="Group 2686"/>
                        <wpg:cNvGrpSpPr>
                          <a:grpSpLocks/>
                        </wpg:cNvGrpSpPr>
                        <wpg:grpSpPr bwMode="auto">
                          <a:xfrm>
                            <a:off x="0" y="252"/>
                            <a:ext cx="8343" cy="255"/>
                            <a:chOff x="0" y="252"/>
                            <a:chExt cx="8343" cy="255"/>
                          </a:xfrm>
                        </wpg:grpSpPr>
                        <wps:wsp>
                          <wps:cNvPr id="2689" name="Freeform 2687"/>
                          <wps:cNvSpPr>
                            <a:spLocks/>
                          </wps:cNvSpPr>
                          <wps:spPr bwMode="auto">
                            <a:xfrm>
                              <a:off x="0" y="252"/>
                              <a:ext cx="8343" cy="255"/>
                            </a:xfrm>
                            <a:custGeom>
                              <a:avLst/>
                              <a:gdLst>
                                <a:gd name="T0" fmla="*/ 0 w 8343"/>
                                <a:gd name="T1" fmla="+- 0 506 252"/>
                                <a:gd name="T2" fmla="*/ 506 h 255"/>
                                <a:gd name="T3" fmla="*/ 8342 w 8343"/>
                                <a:gd name="T4" fmla="+- 0 506 252"/>
                                <a:gd name="T5" fmla="*/ 506 h 255"/>
                                <a:gd name="T6" fmla="*/ 8342 w 8343"/>
                                <a:gd name="T7" fmla="+- 0 252 252"/>
                                <a:gd name="T8" fmla="*/ 252 h 255"/>
                                <a:gd name="T9" fmla="*/ 0 w 8343"/>
                                <a:gd name="T10" fmla="+- 0 252 252"/>
                                <a:gd name="T11" fmla="*/ 252 h 255"/>
                                <a:gd name="T12" fmla="*/ 0 w 8343"/>
                                <a:gd name="T13" fmla="+- 0 506 252"/>
                                <a:gd name="T14" fmla="*/ 506 h 255"/>
                              </a:gdLst>
                              <a:ahLst/>
                              <a:cxnLst>
                                <a:cxn ang="0">
                                  <a:pos x="T0" y="T2"/>
                                </a:cxn>
                                <a:cxn ang="0">
                                  <a:pos x="T3" y="T5"/>
                                </a:cxn>
                                <a:cxn ang="0">
                                  <a:pos x="T6" y="T8"/>
                                </a:cxn>
                                <a:cxn ang="0">
                                  <a:pos x="T9" y="T11"/>
                                </a:cxn>
                                <a:cxn ang="0">
                                  <a:pos x="T12" y="T14"/>
                                </a:cxn>
                              </a:cxnLst>
                              <a:rect l="0" t="0" r="r" b="b"/>
                              <a:pathLst>
                                <a:path w="8343" h="255">
                                  <a:moveTo>
                                    <a:pt x="0" y="254"/>
                                  </a:moveTo>
                                  <a:lnTo>
                                    <a:pt x="8342" y="254"/>
                                  </a:lnTo>
                                  <a:lnTo>
                                    <a:pt x="8342"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0" name="Group 2684"/>
                        <wpg:cNvGrpSpPr>
                          <a:grpSpLocks/>
                        </wpg:cNvGrpSpPr>
                        <wpg:grpSpPr bwMode="auto">
                          <a:xfrm>
                            <a:off x="0" y="506"/>
                            <a:ext cx="8343" cy="252"/>
                            <a:chOff x="0" y="506"/>
                            <a:chExt cx="8343" cy="252"/>
                          </a:xfrm>
                        </wpg:grpSpPr>
                        <wps:wsp>
                          <wps:cNvPr id="2691" name="Freeform 2685"/>
                          <wps:cNvSpPr>
                            <a:spLocks/>
                          </wps:cNvSpPr>
                          <wps:spPr bwMode="auto">
                            <a:xfrm>
                              <a:off x="0" y="506"/>
                              <a:ext cx="8343" cy="252"/>
                            </a:xfrm>
                            <a:custGeom>
                              <a:avLst/>
                              <a:gdLst>
                                <a:gd name="T0" fmla="*/ 0 w 8343"/>
                                <a:gd name="T1" fmla="+- 0 758 506"/>
                                <a:gd name="T2" fmla="*/ 758 h 252"/>
                                <a:gd name="T3" fmla="*/ 8342 w 8343"/>
                                <a:gd name="T4" fmla="+- 0 758 506"/>
                                <a:gd name="T5" fmla="*/ 758 h 252"/>
                                <a:gd name="T6" fmla="*/ 8342 w 8343"/>
                                <a:gd name="T7" fmla="+- 0 506 506"/>
                                <a:gd name="T8" fmla="*/ 506 h 252"/>
                                <a:gd name="T9" fmla="*/ 0 w 8343"/>
                                <a:gd name="T10" fmla="+- 0 506 506"/>
                                <a:gd name="T11" fmla="*/ 506 h 252"/>
                                <a:gd name="T12" fmla="*/ 0 w 8343"/>
                                <a:gd name="T13" fmla="+- 0 758 506"/>
                                <a:gd name="T14" fmla="*/ 758 h 252"/>
                              </a:gdLst>
                              <a:ahLst/>
                              <a:cxnLst>
                                <a:cxn ang="0">
                                  <a:pos x="T0" y="T2"/>
                                </a:cxn>
                                <a:cxn ang="0">
                                  <a:pos x="T3" y="T5"/>
                                </a:cxn>
                                <a:cxn ang="0">
                                  <a:pos x="T6" y="T8"/>
                                </a:cxn>
                                <a:cxn ang="0">
                                  <a:pos x="T9" y="T11"/>
                                </a:cxn>
                                <a:cxn ang="0">
                                  <a:pos x="T12" y="T14"/>
                                </a:cxn>
                              </a:cxnLst>
                              <a:rect l="0" t="0" r="r" b="b"/>
                              <a:pathLst>
                                <a:path w="8343" h="252">
                                  <a:moveTo>
                                    <a:pt x="0" y="252"/>
                                  </a:moveTo>
                                  <a:lnTo>
                                    <a:pt x="8342" y="252"/>
                                  </a:lnTo>
                                  <a:lnTo>
                                    <a:pt x="8342"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2" name="Group 2678"/>
                        <wpg:cNvGrpSpPr>
                          <a:grpSpLocks/>
                        </wpg:cNvGrpSpPr>
                        <wpg:grpSpPr bwMode="auto">
                          <a:xfrm>
                            <a:off x="0" y="758"/>
                            <a:ext cx="4904" cy="255"/>
                            <a:chOff x="0" y="758"/>
                            <a:chExt cx="4904" cy="255"/>
                          </a:xfrm>
                        </wpg:grpSpPr>
                        <wps:wsp>
                          <wps:cNvPr id="2693" name="Freeform 2683"/>
                          <wps:cNvSpPr>
                            <a:spLocks/>
                          </wps:cNvSpPr>
                          <wps:spPr bwMode="auto">
                            <a:xfrm>
                              <a:off x="0" y="758"/>
                              <a:ext cx="4904" cy="255"/>
                            </a:xfrm>
                            <a:custGeom>
                              <a:avLst/>
                              <a:gdLst>
                                <a:gd name="T0" fmla="*/ 0 w 4904"/>
                                <a:gd name="T1" fmla="+- 0 1013 758"/>
                                <a:gd name="T2" fmla="*/ 1013 h 255"/>
                                <a:gd name="T3" fmla="*/ 4903 w 4904"/>
                                <a:gd name="T4" fmla="+- 0 1013 758"/>
                                <a:gd name="T5" fmla="*/ 1013 h 255"/>
                                <a:gd name="T6" fmla="*/ 4903 w 4904"/>
                                <a:gd name="T7" fmla="+- 0 758 758"/>
                                <a:gd name="T8" fmla="*/ 758 h 255"/>
                                <a:gd name="T9" fmla="*/ 0 w 4904"/>
                                <a:gd name="T10" fmla="+- 0 758 758"/>
                                <a:gd name="T11" fmla="*/ 758 h 255"/>
                                <a:gd name="T12" fmla="*/ 0 w 4904"/>
                                <a:gd name="T13" fmla="+- 0 1013 758"/>
                                <a:gd name="T14" fmla="*/ 1013 h 255"/>
                              </a:gdLst>
                              <a:ahLst/>
                              <a:cxnLst>
                                <a:cxn ang="0">
                                  <a:pos x="T0" y="T2"/>
                                </a:cxn>
                                <a:cxn ang="0">
                                  <a:pos x="T3" y="T5"/>
                                </a:cxn>
                                <a:cxn ang="0">
                                  <a:pos x="T6" y="T8"/>
                                </a:cxn>
                                <a:cxn ang="0">
                                  <a:pos x="T9" y="T11"/>
                                </a:cxn>
                                <a:cxn ang="0">
                                  <a:pos x="T12" y="T14"/>
                                </a:cxn>
                              </a:cxnLst>
                              <a:rect l="0" t="0" r="r" b="b"/>
                              <a:pathLst>
                                <a:path w="4904" h="255">
                                  <a:moveTo>
                                    <a:pt x="0" y="255"/>
                                  </a:moveTo>
                                  <a:lnTo>
                                    <a:pt x="4903" y="255"/>
                                  </a:lnTo>
                                  <a:lnTo>
                                    <a:pt x="4903"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Text Box 2682"/>
                          <wps:cNvSpPr txBox="1">
                            <a:spLocks noChangeArrowheads="1"/>
                          </wps:cNvSpPr>
                          <wps:spPr bwMode="auto">
                            <a:xfrm>
                              <a:off x="0" y="23"/>
                              <a:ext cx="73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1811"/>
                                  </w:tabs>
                                  <w:spacing w:line="221" w:lineRule="exact"/>
                                  <w:rPr>
                                    <w:rFonts w:ascii="Arial" w:eastAsia="Arial" w:hAnsi="Arial" w:cs="Arial"/>
                                  </w:rPr>
                                </w:pPr>
                                <w:r>
                                  <w:rPr>
                                    <w:rFonts w:ascii="Arial"/>
                                  </w:rPr>
                                  <w:t>[In</w:t>
                                </w:r>
                                <w:r>
                                  <w:rPr>
                                    <w:rFonts w:ascii="Arial"/>
                                    <w:spacing w:val="10"/>
                                  </w:rPr>
                                  <w:t xml:space="preserve"> </w:t>
                                </w:r>
                                <w:r>
                                  <w:rPr>
                                    <w:rFonts w:ascii="Arial"/>
                                    <w:spacing w:val="-1"/>
                                  </w:rPr>
                                  <w:t>relation</w:t>
                                </w:r>
                                <w:r>
                                  <w:rPr>
                                    <w:rFonts w:ascii="Arial"/>
                                    <w:spacing w:val="10"/>
                                  </w:rPr>
                                  <w:t xml:space="preserve"> </w:t>
                                </w:r>
                                <w:r>
                                  <w:rPr>
                                    <w:rFonts w:ascii="Arial"/>
                                  </w:rPr>
                                  <w:t>to</w:t>
                                </w:r>
                                <w:r>
                                  <w:rPr>
                                    <w:rFonts w:ascii="Arial"/>
                                    <w:spacing w:val="10"/>
                                  </w:rPr>
                                  <w:t xml:space="preserve"> </w:t>
                                </w:r>
                                <w:r>
                                  <w:rPr>
                                    <w:rFonts w:ascii="Arial"/>
                                    <w:b/>
                                  </w:rPr>
                                  <w:t>[</w:t>
                                </w:r>
                                <w:r>
                                  <w:rPr>
                                    <w:rFonts w:ascii="Arial"/>
                                    <w:b/>
                                  </w:rPr>
                                  <w:tab/>
                                  <w:t>]</w:t>
                                </w:r>
                                <w:r>
                                  <w:rPr>
                                    <w:rFonts w:ascii="Arial"/>
                                    <w:b/>
                                    <w:spacing w:val="14"/>
                                  </w:rPr>
                                  <w:t xml:space="preserve"> </w:t>
                                </w:r>
                                <w:r>
                                  <w:rPr>
                                    <w:rFonts w:ascii="Arial"/>
                                  </w:rPr>
                                  <w:t>a</w:t>
                                </w:r>
                                <w:r>
                                  <w:rPr>
                                    <w:rFonts w:ascii="Arial"/>
                                    <w:spacing w:val="10"/>
                                  </w:rPr>
                                  <w:t xml:space="preserve"> </w:t>
                                </w:r>
                                <w:r>
                                  <w:rPr>
                                    <w:rFonts w:ascii="Arial"/>
                                    <w:spacing w:val="-1"/>
                                  </w:rPr>
                                  <w:t>Critical</w:t>
                                </w:r>
                                <w:r>
                                  <w:rPr>
                                    <w:rFonts w:ascii="Arial"/>
                                    <w:spacing w:val="12"/>
                                  </w:rPr>
                                  <w:t xml:space="preserve"> </w:t>
                                </w:r>
                                <w:r>
                                  <w:rPr>
                                    <w:rFonts w:ascii="Arial"/>
                                    <w:spacing w:val="-2"/>
                                  </w:rPr>
                                  <w:t>Service</w:t>
                                </w:r>
                                <w:r>
                                  <w:rPr>
                                    <w:rFonts w:ascii="Arial"/>
                                    <w:spacing w:val="13"/>
                                  </w:rPr>
                                  <w:t xml:space="preserve"> </w:t>
                                </w:r>
                                <w:r>
                                  <w:rPr>
                                    <w:rFonts w:ascii="Arial"/>
                                    <w:spacing w:val="-2"/>
                                  </w:rPr>
                                  <w:t>Level</w:t>
                                </w:r>
                                <w:r>
                                  <w:rPr>
                                    <w:rFonts w:ascii="Arial"/>
                                    <w:spacing w:val="12"/>
                                  </w:rPr>
                                  <w:t xml:space="preserve"> </w:t>
                                </w:r>
                                <w:r>
                                  <w:rPr>
                                    <w:rFonts w:ascii="Arial"/>
                                    <w:spacing w:val="-1"/>
                                  </w:rPr>
                                  <w:t>Failure</w:t>
                                </w:r>
                                <w:r>
                                  <w:rPr>
                                    <w:rFonts w:ascii="Arial"/>
                                    <w:spacing w:val="12"/>
                                  </w:rPr>
                                  <w:t xml:space="preserve"> </w:t>
                                </w:r>
                                <w:r>
                                  <w:rPr>
                                    <w:rFonts w:ascii="Arial"/>
                                    <w:spacing w:val="-1"/>
                                  </w:rPr>
                                  <w:t>shall</w:t>
                                </w:r>
                                <w:r>
                                  <w:rPr>
                                    <w:rFonts w:ascii="Arial"/>
                                    <w:spacing w:val="12"/>
                                  </w:rPr>
                                  <w:t xml:space="preserve"> </w:t>
                                </w:r>
                                <w:r>
                                  <w:rPr>
                                    <w:rFonts w:ascii="Arial"/>
                                    <w:spacing w:val="-1"/>
                                  </w:rPr>
                                  <w:t>include</w:t>
                                </w:r>
                                <w:r>
                                  <w:rPr>
                                    <w:rFonts w:ascii="Arial"/>
                                    <w:spacing w:val="12"/>
                                  </w:rPr>
                                  <w:t xml:space="preserve"> </w:t>
                                </w:r>
                                <w:r>
                                  <w:rPr>
                                    <w:rFonts w:ascii="Arial"/>
                                  </w:rPr>
                                  <w:t>a</w:t>
                                </w:r>
                                <w:r>
                                  <w:rPr>
                                    <w:rFonts w:ascii="Arial"/>
                                    <w:spacing w:val="12"/>
                                  </w:rPr>
                                  <w:t xml:space="preserve"> </w:t>
                                </w:r>
                                <w:r>
                                  <w:rPr>
                                    <w:rFonts w:ascii="Arial"/>
                                    <w:spacing w:val="-1"/>
                                  </w:rPr>
                                  <w:t>loss</w:t>
                                </w:r>
                                <w:r>
                                  <w:rPr>
                                    <w:rFonts w:ascii="Arial"/>
                                    <w:spacing w:val="13"/>
                                  </w:rPr>
                                  <w:t xml:space="preserve"> </w:t>
                                </w:r>
                                <w:r>
                                  <w:rPr>
                                    <w:rFonts w:ascii="Arial"/>
                                    <w:spacing w:val="-2"/>
                                  </w:rPr>
                                  <w:t>of</w:t>
                                </w:r>
                                <w:r>
                                  <w:rPr>
                                    <w:rFonts w:ascii="Arial"/>
                                    <w:spacing w:val="14"/>
                                  </w:rPr>
                                  <w:t xml:space="preserve"> </w:t>
                                </w:r>
                                <w:r>
                                  <w:rPr>
                                    <w:rFonts w:ascii="Arial"/>
                                    <w:b/>
                                  </w:rPr>
                                  <w:t>[</w:t>
                                </w:r>
                              </w:p>
                            </w:txbxContent>
                          </wps:txbx>
                          <wps:bodyPr rot="0" vert="horz" wrap="square" lIns="0" tIns="0" rIns="0" bIns="0" anchor="t" anchorCtr="0" upright="1">
                            <a:noAutofit/>
                          </wps:bodyPr>
                        </wps:wsp>
                        <wps:wsp>
                          <wps:cNvPr id="2695" name="Text Box 2681"/>
                          <wps:cNvSpPr txBox="1">
                            <a:spLocks noChangeArrowheads="1"/>
                          </wps:cNvSpPr>
                          <wps:spPr bwMode="auto">
                            <a:xfrm>
                              <a:off x="0" y="275"/>
                              <a:ext cx="69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1" w:lineRule="exact"/>
                                  <w:rPr>
                                    <w:rFonts w:ascii="Arial" w:eastAsia="Arial" w:hAnsi="Arial" w:cs="Arial"/>
                                  </w:rPr>
                                </w:pPr>
                                <w:r>
                                  <w:rPr>
                                    <w:rFonts w:ascii="Arial" w:eastAsia="Arial" w:hAnsi="Arial" w:cs="Arial"/>
                                    <w:spacing w:val="-1"/>
                                  </w:rPr>
                                  <w:t>core</w:t>
                                </w:r>
                                <w:r>
                                  <w:rPr>
                                    <w:rFonts w:ascii="Arial" w:eastAsia="Arial" w:hAnsi="Arial" w:cs="Arial"/>
                                    <w:spacing w:val="17"/>
                                  </w:rPr>
                                  <w:t xml:space="preserve"> </w:t>
                                </w:r>
                                <w:r>
                                  <w:rPr>
                                    <w:rFonts w:ascii="Arial" w:eastAsia="Arial" w:hAnsi="Arial" w:cs="Arial"/>
                                    <w:spacing w:val="-1"/>
                                  </w:rPr>
                                  <w:t>hours</w:t>
                                </w:r>
                                <w:r>
                                  <w:rPr>
                                    <w:rFonts w:ascii="Arial" w:eastAsia="Arial" w:hAnsi="Arial" w:cs="Arial"/>
                                    <w:spacing w:val="15"/>
                                  </w:rPr>
                                  <w:t xml:space="preserve"> </w:t>
                                </w:r>
                                <w:r>
                                  <w:rPr>
                                    <w:rFonts w:ascii="Arial" w:eastAsia="Arial" w:hAnsi="Arial" w:cs="Arial"/>
                                    <w:spacing w:val="-1"/>
                                  </w:rPr>
                                  <w:t>(08:00</w:t>
                                </w:r>
                                <w:r>
                                  <w:rPr>
                                    <w:rFonts w:ascii="Arial" w:eastAsia="Arial" w:hAnsi="Arial" w:cs="Arial"/>
                                    <w:spacing w:val="17"/>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spacing w:val="-1"/>
                                  </w:rPr>
                                  <w:t>18:00</w:t>
                                </w:r>
                                <w:r>
                                  <w:rPr>
                                    <w:rFonts w:ascii="Arial" w:eastAsia="Arial" w:hAnsi="Arial" w:cs="Arial"/>
                                    <w:spacing w:val="17"/>
                                  </w:rPr>
                                  <w:t xml:space="preserve"> </w:t>
                                </w:r>
                                <w:r>
                                  <w:rPr>
                                    <w:rFonts w:ascii="Arial" w:eastAsia="Arial" w:hAnsi="Arial" w:cs="Arial"/>
                                    <w:spacing w:val="-2"/>
                                  </w:rPr>
                                  <w:t>Mon</w:t>
                                </w:r>
                                <w:r>
                                  <w:rPr>
                                    <w:rFonts w:ascii="Arial" w:eastAsia="Arial" w:hAnsi="Arial" w:cs="Arial"/>
                                    <w:spacing w:val="17"/>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spacing w:val="-1"/>
                                  </w:rPr>
                                  <w:t>Fri</w:t>
                                </w:r>
                                <w:r>
                                  <w:rPr>
                                    <w:rFonts w:ascii="Arial" w:eastAsia="Arial" w:hAnsi="Arial" w:cs="Arial"/>
                                    <w:spacing w:val="17"/>
                                  </w:rPr>
                                  <w:t xml:space="preserve"> </w:t>
                                </w:r>
                                <w:r>
                                  <w:rPr>
                                    <w:rFonts w:ascii="Arial" w:eastAsia="Arial" w:hAnsi="Arial" w:cs="Arial"/>
                                    <w:spacing w:val="-1"/>
                                  </w:rPr>
                                  <w:t>excluding</w:t>
                                </w:r>
                                <w:r>
                                  <w:rPr>
                                    <w:rFonts w:ascii="Arial" w:eastAsia="Arial" w:hAnsi="Arial" w:cs="Arial"/>
                                    <w:spacing w:val="20"/>
                                  </w:rPr>
                                  <w:t xml:space="preserve"> </w:t>
                                </w:r>
                                <w:r>
                                  <w:rPr>
                                    <w:rFonts w:ascii="Arial" w:eastAsia="Arial" w:hAnsi="Arial" w:cs="Arial"/>
                                    <w:spacing w:val="-1"/>
                                  </w:rPr>
                                  <w:t>bank</w:t>
                                </w:r>
                                <w:r>
                                  <w:rPr>
                                    <w:rFonts w:ascii="Arial" w:eastAsia="Arial" w:hAnsi="Arial" w:cs="Arial"/>
                                    <w:spacing w:val="20"/>
                                  </w:rPr>
                                  <w:t xml:space="preserve"> </w:t>
                                </w:r>
                                <w:r>
                                  <w:rPr>
                                    <w:rFonts w:ascii="Arial" w:eastAsia="Arial" w:hAnsi="Arial" w:cs="Arial"/>
                                    <w:spacing w:val="-2"/>
                                  </w:rPr>
                                  <w:t>holidays)</w:t>
                                </w:r>
                                <w:r>
                                  <w:rPr>
                                    <w:rFonts w:ascii="Arial" w:eastAsia="Arial" w:hAnsi="Arial" w:cs="Arial"/>
                                    <w:spacing w:val="19"/>
                                  </w:rPr>
                                  <w:t xml:space="preserve"> </w:t>
                                </w:r>
                                <w:r>
                                  <w:rPr>
                                    <w:rFonts w:ascii="Arial" w:eastAsia="Arial" w:hAnsi="Arial" w:cs="Arial"/>
                                  </w:rPr>
                                  <w:t>to</w:t>
                                </w:r>
                                <w:r>
                                  <w:rPr>
                                    <w:rFonts w:ascii="Arial" w:eastAsia="Arial" w:hAnsi="Arial" w:cs="Arial"/>
                                    <w:spacing w:val="15"/>
                                  </w:rPr>
                                  <w:t xml:space="preserve"> </w:t>
                                </w:r>
                                <w:r>
                                  <w:rPr>
                                    <w:rFonts w:ascii="Arial" w:eastAsia="Arial" w:hAnsi="Arial" w:cs="Arial"/>
                                  </w:rPr>
                                  <w:t>the</w:t>
                                </w:r>
                                <w:r>
                                  <w:rPr>
                                    <w:rFonts w:ascii="Arial" w:eastAsia="Arial" w:hAnsi="Arial" w:cs="Arial"/>
                                    <w:spacing w:val="17"/>
                                  </w:rPr>
                                  <w:t xml:space="preserve"> </w:t>
                                </w:r>
                                <w:r>
                                  <w:rPr>
                                    <w:rFonts w:ascii="Arial" w:eastAsia="Arial" w:hAnsi="Arial" w:cs="Arial"/>
                                    <w:b/>
                                    <w:bCs/>
                                  </w:rPr>
                                  <w:t>[</w:t>
                                </w:r>
                              </w:p>
                            </w:txbxContent>
                          </wps:txbx>
                          <wps:bodyPr rot="0" vert="horz" wrap="square" lIns="0" tIns="0" rIns="0" bIns="0" anchor="t" anchorCtr="0" upright="1">
                            <a:noAutofit/>
                          </wps:bodyPr>
                        </wps:wsp>
                        <wps:wsp>
                          <wps:cNvPr id="2696" name="Text Box 2680"/>
                          <wps:cNvSpPr txBox="1">
                            <a:spLocks noChangeArrowheads="1"/>
                          </wps:cNvSpPr>
                          <wps:spPr bwMode="auto">
                            <a:xfrm>
                              <a:off x="7353" y="23"/>
                              <a:ext cx="99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5" w:lineRule="exact"/>
                                  <w:ind w:left="230"/>
                                  <w:rPr>
                                    <w:rFonts w:ascii="Arial" w:eastAsia="Arial" w:hAnsi="Arial" w:cs="Arial"/>
                                  </w:rPr>
                                </w:pPr>
                                <w:r>
                                  <w:rPr>
                                    <w:rFonts w:ascii="Arial"/>
                                    <w:b/>
                                  </w:rPr>
                                  <w:t>]</w:t>
                                </w:r>
                                <w:r>
                                  <w:rPr>
                                    <w:rFonts w:ascii="Arial"/>
                                    <w:b/>
                                    <w:spacing w:val="14"/>
                                  </w:rPr>
                                  <w:t xml:space="preserve"> </w:t>
                                </w:r>
                                <w:r>
                                  <w:rPr>
                                    <w:rFonts w:ascii="Arial"/>
                                    <w:spacing w:val="-2"/>
                                  </w:rPr>
                                  <w:t>during</w:t>
                                </w:r>
                              </w:p>
                              <w:p w:rsidR="005D2B81" w:rsidRDefault="005D2B81" w:rsidP="008918FA">
                                <w:pPr>
                                  <w:spacing w:line="248" w:lineRule="exact"/>
                                  <w:rPr>
                                    <w:rFonts w:ascii="Arial" w:eastAsia="Arial" w:hAnsi="Arial" w:cs="Arial"/>
                                  </w:rPr>
                                </w:pPr>
                                <w:r>
                                  <w:rPr>
                                    <w:rFonts w:ascii="Arial"/>
                                    <w:b/>
                                  </w:rPr>
                                  <w:t>]</w:t>
                                </w:r>
                                <w:r>
                                  <w:rPr>
                                    <w:rFonts w:ascii="Arial"/>
                                    <w:b/>
                                    <w:spacing w:val="17"/>
                                  </w:rPr>
                                  <w:t xml:space="preserve"> </w:t>
                                </w:r>
                                <w:r>
                                  <w:rPr>
                                    <w:rFonts w:ascii="Arial"/>
                                  </w:rPr>
                                  <w:t>for</w:t>
                                </w:r>
                                <w:r>
                                  <w:rPr>
                                    <w:rFonts w:ascii="Arial"/>
                                    <w:spacing w:val="16"/>
                                  </w:rPr>
                                  <w:t xml:space="preserve"> </w:t>
                                </w:r>
                                <w:r>
                                  <w:rPr>
                                    <w:rFonts w:ascii="Arial"/>
                                    <w:spacing w:val="-1"/>
                                  </w:rPr>
                                  <w:t>more</w:t>
                                </w:r>
                              </w:p>
                            </w:txbxContent>
                          </wps:txbx>
                          <wps:bodyPr rot="0" vert="horz" wrap="square" lIns="0" tIns="0" rIns="0" bIns="0" anchor="t" anchorCtr="0" upright="1">
                            <a:noAutofit/>
                          </wps:bodyPr>
                        </wps:wsp>
                        <wps:wsp>
                          <wps:cNvPr id="2697" name="Text Box 2679"/>
                          <wps:cNvSpPr txBox="1">
                            <a:spLocks noChangeArrowheads="1"/>
                          </wps:cNvSpPr>
                          <wps:spPr bwMode="auto">
                            <a:xfrm>
                              <a:off x="0" y="529"/>
                              <a:ext cx="834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6" w:lineRule="exact"/>
                                  <w:rPr>
                                    <w:rFonts w:ascii="Arial" w:eastAsia="Arial" w:hAnsi="Arial" w:cs="Arial"/>
                                  </w:rPr>
                                </w:pPr>
                                <w:r>
                                  <w:rPr>
                                    <w:rFonts w:ascii="Arial"/>
                                    <w:spacing w:val="-1"/>
                                  </w:rPr>
                                  <w:t>than</w:t>
                                </w:r>
                                <w:r>
                                  <w:rPr>
                                    <w:rFonts w:ascii="Arial"/>
                                  </w:rPr>
                                  <w:t xml:space="preserve"> </w:t>
                                </w:r>
                                <w:r>
                                  <w:rPr>
                                    <w:rFonts w:ascii="Arial"/>
                                    <w:spacing w:val="-1"/>
                                  </w:rPr>
                                  <w:t>twenty</w:t>
                                </w:r>
                                <w:r>
                                  <w:rPr>
                                    <w:rFonts w:ascii="Arial"/>
                                    <w:spacing w:val="-2"/>
                                  </w:rPr>
                                  <w:t xml:space="preserve"> </w:t>
                                </w:r>
                                <w:r>
                                  <w:rPr>
                                    <w:rFonts w:ascii="Arial"/>
                                  </w:rPr>
                                  <w:t>four</w:t>
                                </w:r>
                                <w:r>
                                  <w:rPr>
                                    <w:rFonts w:ascii="Arial"/>
                                    <w:spacing w:val="2"/>
                                  </w:rPr>
                                  <w:t xml:space="preserve"> </w:t>
                                </w:r>
                                <w:r>
                                  <w:rPr>
                                    <w:rFonts w:ascii="Arial"/>
                                    <w:spacing w:val="-1"/>
                                  </w:rPr>
                                  <w:t>(24)</w:t>
                                </w:r>
                                <w:r>
                                  <w:rPr>
                                    <w:rFonts w:ascii="Arial"/>
                                    <w:spacing w:val="2"/>
                                  </w:rPr>
                                  <w:t xml:space="preserve"> </w:t>
                                </w:r>
                                <w:r>
                                  <w:rPr>
                                    <w:rFonts w:ascii="Arial"/>
                                    <w:spacing w:val="-1"/>
                                  </w:rPr>
                                  <w:t>hours</w:t>
                                </w:r>
                                <w:r>
                                  <w:rPr>
                                    <w:rFonts w:ascii="Arial"/>
                                    <w:spacing w:val="1"/>
                                  </w:rPr>
                                  <w:t xml:space="preserve"> </w:t>
                                </w:r>
                                <w:r>
                                  <w:rPr>
                                    <w:rFonts w:ascii="Arial"/>
                                    <w:spacing w:val="-1"/>
                                  </w:rPr>
                                  <w:t>accumulated</w:t>
                                </w:r>
                                <w:r>
                                  <w:rPr>
                                    <w:rFonts w:ascii="Arial"/>
                                  </w:rPr>
                                  <w:t xml:space="preserve"> </w:t>
                                </w:r>
                                <w:r>
                                  <w:rPr>
                                    <w:rFonts w:ascii="Arial"/>
                                    <w:spacing w:val="-1"/>
                                  </w:rPr>
                                  <w:t>in</w:t>
                                </w:r>
                                <w:r>
                                  <w:rPr>
                                    <w:rFonts w:ascii="Arial"/>
                                  </w:rPr>
                                  <w:t xml:space="preserve"> </w:t>
                                </w:r>
                                <w:r>
                                  <w:rPr>
                                    <w:rFonts w:ascii="Arial"/>
                                    <w:spacing w:val="-1"/>
                                  </w:rPr>
                                  <w:t>any</w:t>
                                </w:r>
                                <w:r>
                                  <w:rPr>
                                    <w:rFonts w:ascii="Arial"/>
                                    <w:spacing w:val="-2"/>
                                  </w:rPr>
                                  <w:t xml:space="preserve"> </w:t>
                                </w:r>
                                <w:r>
                                  <w:rPr>
                                    <w:rFonts w:ascii="Arial"/>
                                    <w:b/>
                                  </w:rPr>
                                  <w:t>[</w:t>
                                </w:r>
                                <w:r>
                                  <w:rPr>
                                    <w:rFonts w:ascii="Arial"/>
                                  </w:rPr>
                                  <w:t xml:space="preserve">three </w:t>
                                </w:r>
                                <w:r>
                                  <w:rPr>
                                    <w:rFonts w:ascii="Arial"/>
                                    <w:spacing w:val="-1"/>
                                  </w:rPr>
                                  <w:t>(3)</w:t>
                                </w:r>
                                <w:r>
                                  <w:rPr>
                                    <w:rFonts w:ascii="Arial"/>
                                    <w:spacing w:val="2"/>
                                  </w:rPr>
                                  <w:t xml:space="preserve"> </w:t>
                                </w:r>
                                <w:r>
                                  <w:rPr>
                                    <w:rFonts w:ascii="Arial"/>
                                    <w:spacing w:val="-1"/>
                                  </w:rPr>
                                  <w:t>Month</w:t>
                                </w:r>
                                <w:r>
                                  <w:rPr>
                                    <w:rFonts w:ascii="Arial"/>
                                    <w:b/>
                                    <w:spacing w:val="-1"/>
                                  </w:rPr>
                                  <w:t>]</w:t>
                                </w:r>
                                <w:r>
                                  <w:rPr>
                                    <w:rFonts w:ascii="Arial"/>
                                    <w:b/>
                                    <w:spacing w:val="2"/>
                                  </w:rPr>
                                  <w:t xml:space="preserve"> </w:t>
                                </w:r>
                                <w:r>
                                  <w:rPr>
                                    <w:rFonts w:ascii="Arial"/>
                                    <w:spacing w:val="-1"/>
                                  </w:rPr>
                                  <w:t>period,</w:t>
                                </w:r>
                                <w:r>
                                  <w:rPr>
                                    <w:rFonts w:ascii="Arial"/>
                                    <w:spacing w:val="2"/>
                                  </w:rPr>
                                  <w:t xml:space="preserve"> </w:t>
                                </w:r>
                                <w:r>
                                  <w:rPr>
                                    <w:rFonts w:ascii="Arial"/>
                                    <w:spacing w:val="-2"/>
                                  </w:rPr>
                                  <w:t>or</w:t>
                                </w:r>
                                <w:r>
                                  <w:rPr>
                                    <w:rFonts w:ascii="Arial"/>
                                    <w:spacing w:val="-1"/>
                                  </w:rPr>
                                  <w:t xml:space="preserve"> </w:t>
                                </w:r>
                                <w:r>
                                  <w:rPr>
                                    <w:rFonts w:ascii="Arial"/>
                                  </w:rPr>
                                  <w:t>forty</w:t>
                                </w:r>
                                <w:r>
                                  <w:rPr>
                                    <w:rFonts w:ascii="Arial"/>
                                    <w:spacing w:val="-2"/>
                                  </w:rPr>
                                  <w:t xml:space="preserve"> </w:t>
                                </w:r>
                                <w:r>
                                  <w:rPr>
                                    <w:rFonts w:ascii="Arial"/>
                                    <w:spacing w:val="-1"/>
                                  </w:rPr>
                                  <w:t>eight</w:t>
                                </w:r>
                              </w:p>
                              <w:p w:rsidR="005D2B81" w:rsidRDefault="005D2B81" w:rsidP="008918FA">
                                <w:pPr>
                                  <w:spacing w:before="1" w:line="248" w:lineRule="exact"/>
                                  <w:rPr>
                                    <w:rFonts w:ascii="Arial" w:eastAsia="Arial" w:hAnsi="Arial" w:cs="Arial"/>
                                  </w:rPr>
                                </w:pPr>
                                <w:r>
                                  <w:rPr>
                                    <w:rFonts w:ascii="Arial"/>
                                    <w:spacing w:val="-1"/>
                                  </w:rPr>
                                  <w:t>(48) hours</w:t>
                                </w:r>
                                <w:r>
                                  <w:rPr>
                                    <w:rFonts w:ascii="Arial"/>
                                    <w:spacing w:val="-2"/>
                                  </w:rPr>
                                  <w:t xml:space="preserve"> </w:t>
                                </w:r>
                                <w:r>
                                  <w:rPr>
                                    <w:rFonts w:ascii="Arial"/>
                                    <w:spacing w:val="-1"/>
                                  </w:rPr>
                                  <w:t>in</w:t>
                                </w:r>
                                <w:r>
                                  <w:rPr>
                                    <w:rFonts w:ascii="Arial"/>
                                  </w:rPr>
                                  <w:t xml:space="preserve"> </w:t>
                                </w:r>
                                <w:r>
                                  <w:rPr>
                                    <w:rFonts w:ascii="Arial"/>
                                    <w:spacing w:val="-1"/>
                                  </w:rPr>
                                  <w:t>any</w:t>
                                </w:r>
                                <w:r>
                                  <w:rPr>
                                    <w:rFonts w:ascii="Arial"/>
                                    <w:spacing w:val="-2"/>
                                  </w:rPr>
                                  <w:t xml:space="preserve"> rolling</w:t>
                                </w:r>
                                <w:r>
                                  <w:rPr>
                                    <w:rFonts w:ascii="Arial"/>
                                  </w:rPr>
                                  <w:t xml:space="preserve"> </w:t>
                                </w:r>
                                <w:r>
                                  <w:rPr>
                                    <w:rFonts w:ascii="Arial"/>
                                    <w:spacing w:val="-2"/>
                                  </w:rPr>
                                  <w:t>twelve</w:t>
                                </w:r>
                                <w:r>
                                  <w:rPr>
                                    <w:rFonts w:ascii="Arial"/>
                                  </w:rPr>
                                  <w:t xml:space="preserve"> </w:t>
                                </w:r>
                                <w:r>
                                  <w:rPr>
                                    <w:rFonts w:ascii="Arial"/>
                                    <w:spacing w:val="-1"/>
                                  </w:rPr>
                                  <w:t>(12)</w:t>
                                </w:r>
                                <w:r>
                                  <w:rPr>
                                    <w:rFonts w:ascii="Arial"/>
                                    <w:spacing w:val="2"/>
                                  </w:rPr>
                                  <w:t xml:space="preserve"> </w:t>
                                </w:r>
                                <w:r>
                                  <w:rPr>
                                    <w:rFonts w:ascii="Arial"/>
                                    <w:spacing w:val="-1"/>
                                  </w:rPr>
                                  <w:t>Month</w:t>
                                </w:r>
                                <w:r>
                                  <w:rPr>
                                    <w:rFonts w:ascii="Arial"/>
                                  </w:rPr>
                                  <w:t xml:space="preserve"> </w:t>
                                </w:r>
                                <w:r>
                                  <w:rPr>
                                    <w:rFonts w:ascii="Arial"/>
                                    <w:spacing w:val="-1"/>
                                  </w:rPr>
                                  <w:t>period.]</w:t>
                                </w:r>
                              </w:p>
                            </w:txbxContent>
                          </wps:txbx>
                          <wps:bodyPr rot="0" vert="horz" wrap="square" lIns="0" tIns="0" rIns="0" bIns="0" anchor="t" anchorCtr="0" upright="1">
                            <a:noAutofit/>
                          </wps:bodyPr>
                        </wps:wsp>
                      </wpg:grpSp>
                    </wpg:wgp>
                  </a:graphicData>
                </a:graphic>
              </wp:inline>
            </w:drawing>
          </mc:Choice>
          <mc:Fallback>
            <w:pict>
              <v:group w14:anchorId="5F2B48DF" id="Group 2677" o:spid="_x0000_s1294" style="width:417.3pt;height:50.65pt;mso-position-horizontal-relative:char;mso-position-vertical-relative:line" coordsize="8346,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">
                <v:group id="Group 2688" o:spid="_x0000_s1295" style="position:absolute;width:8343;height:252" coordsize="834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2689" o:spid="_x0000_s1296" style="position:absolute;width:8343;height:252;visibility:visible;mso-wrap-style:square;v-text-anchor:top" coordsize="834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HscA&#10;AADdAAAADwAAAGRycy9kb3ducmV2LnhtbESPQWsCMRSE70L/Q3hCb5pVWiurUYrSUkoPrYpen5u3&#10;m22Tl2UTde2vbwqFHoeZ+YaZLztnxZnaUHtWMBpmIIgLr2uuFOy2T4MpiBCRNVrPpOBKAZaLm94c&#10;c+0v/EHnTaxEgnDIUYGJscmlDIUhh2HoG+Lklb51GJNsK6lbvCS4s3KcZRPpsOa0YLChlaHia3Ny&#10;Cl7f747f2VtpT3s+rE15X9vnz6tSt/3ucQYiUhf/w3/tF61gPJk+wO+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nNx7HAAAA3QAAAA8AAAAAAAAAAAAAAAAAmAIAAGRy&#10;cy9kb3ducmV2LnhtbFBLBQYAAAAABAAEAPUAAACMAwAAAAA=&#10;" path="m,252r8342,l8342,,,,,252xe" fillcolor="yellow" stroked="f">
                    <v:path arrowok="t" o:connecttype="custom" o:connectlocs="0,252;8342,252;8342,0;0,0;0,252" o:connectangles="0,0,0,0,0"/>
                  </v:shape>
                </v:group>
                <v:group id="Group 2686" o:spid="_x0000_s1297" style="position:absolute;top:252;width:8343;height:255" coordorigin=",252" coordsize="83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2687" o:spid="_x0000_s1298" style="position:absolute;top:252;width:8343;height:255;visibility:visible;mso-wrap-style:square;v-text-anchor:top" coordsize="83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LOcYA&#10;AADdAAAADwAAAGRycy9kb3ducmV2LnhtbESPT2vCQBTE7wW/w/KEXopuakFidBUpWIT20vjn/Mw+&#10;k2D27ZJdNfrp3ULB4zAzv2Fmi8404kKtry0reB8mIIgLq2suFWw3q0EKwgdkjY1lUnAjD4t572WG&#10;mbZX/qVLHkoRIewzVFCF4DIpfVGRQT+0jjh6R9saDFG2pdQtXiPcNHKUJGNpsOa4UKGjz4qKU342&#10;Cnb7NHWr08FNdLM9/3x/Uf5xf1Pqtd8tpyACdeEZ/m+vtYLROJ3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ZLOcYAAADdAAAADwAAAAAAAAAAAAAAAACYAgAAZHJz&#10;L2Rvd25yZXYueG1sUEsFBgAAAAAEAAQA9QAAAIsDAAAAAA==&#10;" path="m,254r8342,l8342,,,,,254xe" fillcolor="yellow" stroked="f">
                    <v:path arrowok="t" o:connecttype="custom" o:connectlocs="0,506;8342,506;8342,252;0,252;0,506" o:connectangles="0,0,0,0,0"/>
                  </v:shape>
                </v:group>
                <v:group id="Group 2684" o:spid="_x0000_s1299" style="position:absolute;top:506;width:8343;height:252" coordorigin=",506" coordsize="834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685" o:spid="_x0000_s1300" style="position:absolute;top:506;width:8343;height:252;visibility:visible;mso-wrap-style:square;v-text-anchor:top" coordsize="834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cLMcA&#10;AADdAAAADwAAAGRycy9kb3ducmV2LnhtbESPQWsCMRSE74X+h/CE3mpWacWuRpGWllI8tLbU63Pz&#10;drM1eVk2UVd/fSMIHoeZ+YaZzjtnxZ7aUHtWMOhnIIgLr2uuFPx8v96PQYSIrNF6JgVHCjCf3d5M&#10;Mdf+wF+0X8VKJAiHHBWYGJtcylAYchj6viFOXulbhzHJtpK6xUOCOyuHWTaSDmtOCwYbejZUbFc7&#10;p+Dj82Fzypal3f3y+sWUj7V9+zsqddfrFhMQkbp4DV/a71rBcPQ0gPOb9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bnCzHAAAA3QAAAA8AAAAAAAAAAAAAAAAAmAIAAGRy&#10;cy9kb3ducmV2LnhtbFBLBQYAAAAABAAEAPUAAACMAwAAAAA=&#10;" path="m,252r8342,l8342,,,,,252xe" fillcolor="yellow" stroked="f">
                    <v:path arrowok="t" o:connecttype="custom" o:connectlocs="0,758;8342,758;8342,506;0,506;0,758" o:connectangles="0,0,0,0,0"/>
                  </v:shape>
                </v:group>
                <v:group id="Group 2678" o:spid="_x0000_s1301" style="position:absolute;top:758;width:4904;height:255" coordorigin=",758" coordsize="490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683" o:spid="_x0000_s1302" style="position:absolute;top:758;width:4904;height:255;visibility:visible;mso-wrap-style:square;v-text-anchor:top" coordsize="490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M3cYA&#10;AADdAAAADwAAAGRycy9kb3ducmV2LnhtbESPT2sCMRTE70K/Q3iF3mq2KqJbo4gi9FCr1V56e2ze&#10;/qGbl7BJ4/rtTaHgcZiZ3zCLVW9aEanzjWUFL8MMBHFhdcOVgq/z7nkGwgdkja1lUnAlD6vlw2CB&#10;ubYX/qR4CpVIEPY5KqhDcLmUvqjJoB9aR5y80nYGQ5JdJXWHlwQ3rRxl2VQabDgt1OhoU1Pxc/o1&#10;ClwZzeH88e30fBf3WE583B7flXp67NevIAL14R7+b79pBaPpfAx/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pM3cYAAADdAAAADwAAAAAAAAAAAAAAAACYAgAAZHJz&#10;L2Rvd25yZXYueG1sUEsFBgAAAAAEAAQA9QAAAIsDAAAAAA==&#10;" path="m,255r4903,l4903,,,,,255xe" fillcolor="yellow" stroked="f">
                    <v:path arrowok="t" o:connecttype="custom" o:connectlocs="0,1013;4903,1013;4903,758;0,758;0,1013" o:connectangles="0,0,0,0,0"/>
                  </v:shape>
                  <v:shape id="Text Box 2682" o:spid="_x0000_s1303" type="#_x0000_t202" style="position:absolute;top:23;width:733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1cYA&#10;AADdAAAADwAAAGRycy9kb3ducmV2LnhtbESPQWvCQBSE74X+h+UVeqsbpYQa3YiIglAoxvTQ42v2&#10;mSzJvo3ZVdN/3xUKPQ4z8w2zXI22E1cavHGsYDpJQBBXThuuFXyWu5c3ED4ga+wck4If8rDKHx+W&#10;mGl344Kux1CLCGGfoYImhD6T0lcNWfQT1xNH7+QGiyHKoZZ6wFuE207OkiSVFg3HhQZ72jRUtceL&#10;VbD+4mJrzh/fh+JUmLKcJ/yetko9P43rBYhAY/gP/7X3WsEsn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N1cYAAADdAAAADwAAAAAAAAAAAAAAAACYAgAAZHJz&#10;L2Rvd25yZXYueG1sUEsFBgAAAAAEAAQA9QAAAIsDAAAAAA==&#10;" filled="f" stroked="f">
                    <v:textbox inset="0,0,0,0">
                      <w:txbxContent>
                        <w:p w:rsidR="005D2B81" w:rsidRDefault="005D2B81" w:rsidP="008918FA">
                          <w:pPr>
                            <w:tabs>
                              <w:tab w:val="left" w:pos="1811"/>
                            </w:tabs>
                            <w:spacing w:line="221" w:lineRule="exact"/>
                            <w:rPr>
                              <w:rFonts w:ascii="Arial" w:eastAsia="Arial" w:hAnsi="Arial" w:cs="Arial"/>
                            </w:rPr>
                          </w:pPr>
                          <w:r>
                            <w:rPr>
                              <w:rFonts w:ascii="Arial"/>
                            </w:rPr>
                            <w:t>[In</w:t>
                          </w:r>
                          <w:r>
                            <w:rPr>
                              <w:rFonts w:ascii="Arial"/>
                              <w:spacing w:val="10"/>
                            </w:rPr>
                            <w:t xml:space="preserve"> </w:t>
                          </w:r>
                          <w:r>
                            <w:rPr>
                              <w:rFonts w:ascii="Arial"/>
                              <w:spacing w:val="-1"/>
                            </w:rPr>
                            <w:t>relation</w:t>
                          </w:r>
                          <w:r>
                            <w:rPr>
                              <w:rFonts w:ascii="Arial"/>
                              <w:spacing w:val="10"/>
                            </w:rPr>
                            <w:t xml:space="preserve"> </w:t>
                          </w:r>
                          <w:r>
                            <w:rPr>
                              <w:rFonts w:ascii="Arial"/>
                            </w:rPr>
                            <w:t>to</w:t>
                          </w:r>
                          <w:r>
                            <w:rPr>
                              <w:rFonts w:ascii="Arial"/>
                              <w:spacing w:val="10"/>
                            </w:rPr>
                            <w:t xml:space="preserve"> </w:t>
                          </w:r>
                          <w:r>
                            <w:rPr>
                              <w:rFonts w:ascii="Arial"/>
                              <w:b/>
                            </w:rPr>
                            <w:t>[</w:t>
                          </w:r>
                          <w:r>
                            <w:rPr>
                              <w:rFonts w:ascii="Arial"/>
                              <w:b/>
                            </w:rPr>
                            <w:tab/>
                            <w:t>]</w:t>
                          </w:r>
                          <w:r>
                            <w:rPr>
                              <w:rFonts w:ascii="Arial"/>
                              <w:b/>
                              <w:spacing w:val="14"/>
                            </w:rPr>
                            <w:t xml:space="preserve"> </w:t>
                          </w:r>
                          <w:r>
                            <w:rPr>
                              <w:rFonts w:ascii="Arial"/>
                            </w:rPr>
                            <w:t>a</w:t>
                          </w:r>
                          <w:r>
                            <w:rPr>
                              <w:rFonts w:ascii="Arial"/>
                              <w:spacing w:val="10"/>
                            </w:rPr>
                            <w:t xml:space="preserve"> </w:t>
                          </w:r>
                          <w:r>
                            <w:rPr>
                              <w:rFonts w:ascii="Arial"/>
                              <w:spacing w:val="-1"/>
                            </w:rPr>
                            <w:t>Critical</w:t>
                          </w:r>
                          <w:r>
                            <w:rPr>
                              <w:rFonts w:ascii="Arial"/>
                              <w:spacing w:val="12"/>
                            </w:rPr>
                            <w:t xml:space="preserve"> </w:t>
                          </w:r>
                          <w:r>
                            <w:rPr>
                              <w:rFonts w:ascii="Arial"/>
                              <w:spacing w:val="-2"/>
                            </w:rPr>
                            <w:t>Service</w:t>
                          </w:r>
                          <w:r>
                            <w:rPr>
                              <w:rFonts w:ascii="Arial"/>
                              <w:spacing w:val="13"/>
                            </w:rPr>
                            <w:t xml:space="preserve"> </w:t>
                          </w:r>
                          <w:r>
                            <w:rPr>
                              <w:rFonts w:ascii="Arial"/>
                              <w:spacing w:val="-2"/>
                            </w:rPr>
                            <w:t>Level</w:t>
                          </w:r>
                          <w:r>
                            <w:rPr>
                              <w:rFonts w:ascii="Arial"/>
                              <w:spacing w:val="12"/>
                            </w:rPr>
                            <w:t xml:space="preserve"> </w:t>
                          </w:r>
                          <w:r>
                            <w:rPr>
                              <w:rFonts w:ascii="Arial"/>
                              <w:spacing w:val="-1"/>
                            </w:rPr>
                            <w:t>Failure</w:t>
                          </w:r>
                          <w:r>
                            <w:rPr>
                              <w:rFonts w:ascii="Arial"/>
                              <w:spacing w:val="12"/>
                            </w:rPr>
                            <w:t xml:space="preserve"> </w:t>
                          </w:r>
                          <w:r>
                            <w:rPr>
                              <w:rFonts w:ascii="Arial"/>
                              <w:spacing w:val="-1"/>
                            </w:rPr>
                            <w:t>shall</w:t>
                          </w:r>
                          <w:r>
                            <w:rPr>
                              <w:rFonts w:ascii="Arial"/>
                              <w:spacing w:val="12"/>
                            </w:rPr>
                            <w:t xml:space="preserve"> </w:t>
                          </w:r>
                          <w:r>
                            <w:rPr>
                              <w:rFonts w:ascii="Arial"/>
                              <w:spacing w:val="-1"/>
                            </w:rPr>
                            <w:t>include</w:t>
                          </w:r>
                          <w:r>
                            <w:rPr>
                              <w:rFonts w:ascii="Arial"/>
                              <w:spacing w:val="12"/>
                            </w:rPr>
                            <w:t xml:space="preserve"> </w:t>
                          </w:r>
                          <w:r>
                            <w:rPr>
                              <w:rFonts w:ascii="Arial"/>
                            </w:rPr>
                            <w:t>a</w:t>
                          </w:r>
                          <w:r>
                            <w:rPr>
                              <w:rFonts w:ascii="Arial"/>
                              <w:spacing w:val="12"/>
                            </w:rPr>
                            <w:t xml:space="preserve"> </w:t>
                          </w:r>
                          <w:r>
                            <w:rPr>
                              <w:rFonts w:ascii="Arial"/>
                              <w:spacing w:val="-1"/>
                            </w:rPr>
                            <w:t>loss</w:t>
                          </w:r>
                          <w:r>
                            <w:rPr>
                              <w:rFonts w:ascii="Arial"/>
                              <w:spacing w:val="13"/>
                            </w:rPr>
                            <w:t xml:space="preserve"> </w:t>
                          </w:r>
                          <w:r>
                            <w:rPr>
                              <w:rFonts w:ascii="Arial"/>
                              <w:spacing w:val="-2"/>
                            </w:rPr>
                            <w:t>of</w:t>
                          </w:r>
                          <w:r>
                            <w:rPr>
                              <w:rFonts w:ascii="Arial"/>
                              <w:spacing w:val="14"/>
                            </w:rPr>
                            <w:t xml:space="preserve"> </w:t>
                          </w:r>
                          <w:r>
                            <w:rPr>
                              <w:rFonts w:ascii="Arial"/>
                              <w:b/>
                            </w:rPr>
                            <w:t>[</w:t>
                          </w:r>
                        </w:p>
                      </w:txbxContent>
                    </v:textbox>
                  </v:shape>
                  <v:shape id="Text Box 2681" o:spid="_x0000_s1304" type="#_x0000_t202" style="position:absolute;top:275;width:696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oTsYA&#10;AADdAAAADwAAAGRycy9kb3ducmV2LnhtbESPQWvCQBSE74X+h+UVeqsbhYYa3YiIglAoxvTQ42v2&#10;mSzJvo3ZVdN/3xUKPQ4z8w2zXI22E1cavHGsYDpJQBBXThuuFXyWu5c3ED4ga+wck4If8rDKHx+W&#10;mGl344Kux1CLCGGfoYImhD6T0lcNWfQT1xNH7+QGiyHKoZZ6wFuE207OkiSVFg3HhQZ72jRUtceL&#10;VbD+4mJrzh/fh+JUmLKcJ/yetko9P43rBYhAY/gP/7X3WsEsn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ToTsYAAADdAAAADwAAAAAAAAAAAAAAAACYAgAAZHJz&#10;L2Rvd25yZXYueG1sUEsFBgAAAAAEAAQA9QAAAIsDAAAAAA==&#10;" filled="f" stroked="f">
                    <v:textbox inset="0,0,0,0">
                      <w:txbxContent>
                        <w:p w:rsidR="005D2B81" w:rsidRDefault="005D2B81" w:rsidP="008918FA">
                          <w:pPr>
                            <w:spacing w:line="221" w:lineRule="exact"/>
                            <w:rPr>
                              <w:rFonts w:ascii="Arial" w:eastAsia="Arial" w:hAnsi="Arial" w:cs="Arial"/>
                            </w:rPr>
                          </w:pPr>
                          <w:r>
                            <w:rPr>
                              <w:rFonts w:ascii="Arial" w:eastAsia="Arial" w:hAnsi="Arial" w:cs="Arial"/>
                              <w:spacing w:val="-1"/>
                            </w:rPr>
                            <w:t>core</w:t>
                          </w:r>
                          <w:r>
                            <w:rPr>
                              <w:rFonts w:ascii="Arial" w:eastAsia="Arial" w:hAnsi="Arial" w:cs="Arial"/>
                              <w:spacing w:val="17"/>
                            </w:rPr>
                            <w:t xml:space="preserve"> </w:t>
                          </w:r>
                          <w:r>
                            <w:rPr>
                              <w:rFonts w:ascii="Arial" w:eastAsia="Arial" w:hAnsi="Arial" w:cs="Arial"/>
                              <w:spacing w:val="-1"/>
                            </w:rPr>
                            <w:t>hours</w:t>
                          </w:r>
                          <w:r>
                            <w:rPr>
                              <w:rFonts w:ascii="Arial" w:eastAsia="Arial" w:hAnsi="Arial" w:cs="Arial"/>
                              <w:spacing w:val="15"/>
                            </w:rPr>
                            <w:t xml:space="preserve"> </w:t>
                          </w:r>
                          <w:r>
                            <w:rPr>
                              <w:rFonts w:ascii="Arial" w:eastAsia="Arial" w:hAnsi="Arial" w:cs="Arial"/>
                              <w:spacing w:val="-1"/>
                            </w:rPr>
                            <w:t>(08:00</w:t>
                          </w:r>
                          <w:r>
                            <w:rPr>
                              <w:rFonts w:ascii="Arial" w:eastAsia="Arial" w:hAnsi="Arial" w:cs="Arial"/>
                              <w:spacing w:val="17"/>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spacing w:val="-1"/>
                            </w:rPr>
                            <w:t>18:00</w:t>
                          </w:r>
                          <w:r>
                            <w:rPr>
                              <w:rFonts w:ascii="Arial" w:eastAsia="Arial" w:hAnsi="Arial" w:cs="Arial"/>
                              <w:spacing w:val="17"/>
                            </w:rPr>
                            <w:t xml:space="preserve"> </w:t>
                          </w:r>
                          <w:r>
                            <w:rPr>
                              <w:rFonts w:ascii="Arial" w:eastAsia="Arial" w:hAnsi="Arial" w:cs="Arial"/>
                              <w:spacing w:val="-2"/>
                            </w:rPr>
                            <w:t>Mon</w:t>
                          </w:r>
                          <w:r>
                            <w:rPr>
                              <w:rFonts w:ascii="Arial" w:eastAsia="Arial" w:hAnsi="Arial" w:cs="Arial"/>
                              <w:spacing w:val="17"/>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spacing w:val="-1"/>
                            </w:rPr>
                            <w:t>Fri</w:t>
                          </w:r>
                          <w:r>
                            <w:rPr>
                              <w:rFonts w:ascii="Arial" w:eastAsia="Arial" w:hAnsi="Arial" w:cs="Arial"/>
                              <w:spacing w:val="17"/>
                            </w:rPr>
                            <w:t xml:space="preserve"> </w:t>
                          </w:r>
                          <w:r>
                            <w:rPr>
                              <w:rFonts w:ascii="Arial" w:eastAsia="Arial" w:hAnsi="Arial" w:cs="Arial"/>
                              <w:spacing w:val="-1"/>
                            </w:rPr>
                            <w:t>excluding</w:t>
                          </w:r>
                          <w:r>
                            <w:rPr>
                              <w:rFonts w:ascii="Arial" w:eastAsia="Arial" w:hAnsi="Arial" w:cs="Arial"/>
                              <w:spacing w:val="20"/>
                            </w:rPr>
                            <w:t xml:space="preserve"> </w:t>
                          </w:r>
                          <w:r>
                            <w:rPr>
                              <w:rFonts w:ascii="Arial" w:eastAsia="Arial" w:hAnsi="Arial" w:cs="Arial"/>
                              <w:spacing w:val="-1"/>
                            </w:rPr>
                            <w:t>bank</w:t>
                          </w:r>
                          <w:r>
                            <w:rPr>
                              <w:rFonts w:ascii="Arial" w:eastAsia="Arial" w:hAnsi="Arial" w:cs="Arial"/>
                              <w:spacing w:val="20"/>
                            </w:rPr>
                            <w:t xml:space="preserve"> </w:t>
                          </w:r>
                          <w:r>
                            <w:rPr>
                              <w:rFonts w:ascii="Arial" w:eastAsia="Arial" w:hAnsi="Arial" w:cs="Arial"/>
                              <w:spacing w:val="-2"/>
                            </w:rPr>
                            <w:t>holidays)</w:t>
                          </w:r>
                          <w:r>
                            <w:rPr>
                              <w:rFonts w:ascii="Arial" w:eastAsia="Arial" w:hAnsi="Arial" w:cs="Arial"/>
                              <w:spacing w:val="19"/>
                            </w:rPr>
                            <w:t xml:space="preserve"> </w:t>
                          </w:r>
                          <w:r>
                            <w:rPr>
                              <w:rFonts w:ascii="Arial" w:eastAsia="Arial" w:hAnsi="Arial" w:cs="Arial"/>
                            </w:rPr>
                            <w:t>to</w:t>
                          </w:r>
                          <w:r>
                            <w:rPr>
                              <w:rFonts w:ascii="Arial" w:eastAsia="Arial" w:hAnsi="Arial" w:cs="Arial"/>
                              <w:spacing w:val="15"/>
                            </w:rPr>
                            <w:t xml:space="preserve"> </w:t>
                          </w:r>
                          <w:r>
                            <w:rPr>
                              <w:rFonts w:ascii="Arial" w:eastAsia="Arial" w:hAnsi="Arial" w:cs="Arial"/>
                            </w:rPr>
                            <w:t>the</w:t>
                          </w:r>
                          <w:r>
                            <w:rPr>
                              <w:rFonts w:ascii="Arial" w:eastAsia="Arial" w:hAnsi="Arial" w:cs="Arial"/>
                              <w:spacing w:val="17"/>
                            </w:rPr>
                            <w:t xml:space="preserve"> </w:t>
                          </w:r>
                          <w:r>
                            <w:rPr>
                              <w:rFonts w:ascii="Arial" w:eastAsia="Arial" w:hAnsi="Arial" w:cs="Arial"/>
                              <w:b/>
                              <w:bCs/>
                            </w:rPr>
                            <w:t>[</w:t>
                          </w:r>
                        </w:p>
                      </w:txbxContent>
                    </v:textbox>
                  </v:shape>
                  <v:shape id="Text Box 2680" o:spid="_x0000_s1305" type="#_x0000_t202" style="position:absolute;left:7353;top:23;width:993;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2OcUA&#10;AADdAAAADwAAAGRycy9kb3ducmV2LnhtbESPQWvCQBSE70L/w/KE3sxGD6FGV5FSQSgUYzx4fM0+&#10;k8Xs25hdNf33bqHQ4zAz3zDL9WBbcafeG8cKpkkKgrhy2nCt4FhuJ28gfEDW2DomBT/kYb16GS0x&#10;1+7BBd0PoRYRwj5HBU0IXS6lrxqy6BPXEUfv7HqLIcq+lrrHR4TbVs7SNJMWDceFBjt6b6i6HG5W&#10;webExYe5fn3vi3NhynKe8md2Uep1PGwWIAIN4T/8195pBbNsns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nY5xQAAAN0AAAAPAAAAAAAAAAAAAAAAAJgCAABkcnMv&#10;ZG93bnJldi54bWxQSwUGAAAAAAQABAD1AAAAigMAAAAA&#10;" filled="f" stroked="f">
                    <v:textbox inset="0,0,0,0">
                      <w:txbxContent>
                        <w:p w:rsidR="005D2B81" w:rsidRDefault="005D2B81" w:rsidP="008918FA">
                          <w:pPr>
                            <w:spacing w:line="225" w:lineRule="exact"/>
                            <w:ind w:left="230"/>
                            <w:rPr>
                              <w:rFonts w:ascii="Arial" w:eastAsia="Arial" w:hAnsi="Arial" w:cs="Arial"/>
                            </w:rPr>
                          </w:pPr>
                          <w:r>
                            <w:rPr>
                              <w:rFonts w:ascii="Arial"/>
                              <w:b/>
                            </w:rPr>
                            <w:t>]</w:t>
                          </w:r>
                          <w:r>
                            <w:rPr>
                              <w:rFonts w:ascii="Arial"/>
                              <w:b/>
                              <w:spacing w:val="14"/>
                            </w:rPr>
                            <w:t xml:space="preserve"> </w:t>
                          </w:r>
                          <w:r>
                            <w:rPr>
                              <w:rFonts w:ascii="Arial"/>
                              <w:spacing w:val="-2"/>
                            </w:rPr>
                            <w:t>during</w:t>
                          </w:r>
                        </w:p>
                        <w:p w:rsidR="005D2B81" w:rsidRDefault="005D2B81" w:rsidP="008918FA">
                          <w:pPr>
                            <w:spacing w:line="248" w:lineRule="exact"/>
                            <w:rPr>
                              <w:rFonts w:ascii="Arial" w:eastAsia="Arial" w:hAnsi="Arial" w:cs="Arial"/>
                            </w:rPr>
                          </w:pPr>
                          <w:r>
                            <w:rPr>
                              <w:rFonts w:ascii="Arial"/>
                              <w:b/>
                            </w:rPr>
                            <w:t>]</w:t>
                          </w:r>
                          <w:r>
                            <w:rPr>
                              <w:rFonts w:ascii="Arial"/>
                              <w:b/>
                              <w:spacing w:val="17"/>
                            </w:rPr>
                            <w:t xml:space="preserve"> </w:t>
                          </w:r>
                          <w:r>
                            <w:rPr>
                              <w:rFonts w:ascii="Arial"/>
                            </w:rPr>
                            <w:t>for</w:t>
                          </w:r>
                          <w:r>
                            <w:rPr>
                              <w:rFonts w:ascii="Arial"/>
                              <w:spacing w:val="16"/>
                            </w:rPr>
                            <w:t xml:space="preserve"> </w:t>
                          </w:r>
                          <w:r>
                            <w:rPr>
                              <w:rFonts w:ascii="Arial"/>
                              <w:spacing w:val="-1"/>
                            </w:rPr>
                            <w:t>more</w:t>
                          </w:r>
                        </w:p>
                      </w:txbxContent>
                    </v:textbox>
                  </v:shape>
                  <v:shape id="Text Box 2679" o:spid="_x0000_s1306" type="#_x0000_t202" style="position:absolute;top:529;width:834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TosYA&#10;AADdAAAADwAAAGRycy9kb3ducmV2LnhtbESPQWvCQBSE7wX/w/IEb3Wjh1ijq4i0IAilMT14fGaf&#10;yWL2bcyumv57t1DocZiZb5jlureNuFPnjWMFk3ECgrh02nCl4Lv4eH0D4QOyxsYxKfghD+vV4GWJ&#10;mXYPzul+CJWIEPYZKqhDaDMpfVmTRT92LXH0zq6zGKLsKqk7fES4beQ0SVJp0XBcqLGlbU3l5XCz&#10;CjZHzt/N9fP0lZ9zUxTzhPfpRanRsN8sQATqw3/4r73TCqbpfAa/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rTosYAAADdAAAADwAAAAAAAAAAAAAAAACYAgAAZHJz&#10;L2Rvd25yZXYueG1sUEsFBgAAAAAEAAQA9QAAAIsDAAAAAA==&#10;" filled="f" stroked="f">
                    <v:textbox inset="0,0,0,0">
                      <w:txbxContent>
                        <w:p w:rsidR="005D2B81" w:rsidRDefault="005D2B81" w:rsidP="008918FA">
                          <w:pPr>
                            <w:spacing w:line="226" w:lineRule="exact"/>
                            <w:rPr>
                              <w:rFonts w:ascii="Arial" w:eastAsia="Arial" w:hAnsi="Arial" w:cs="Arial"/>
                            </w:rPr>
                          </w:pPr>
                          <w:r>
                            <w:rPr>
                              <w:rFonts w:ascii="Arial"/>
                              <w:spacing w:val="-1"/>
                            </w:rPr>
                            <w:t>than</w:t>
                          </w:r>
                          <w:r>
                            <w:rPr>
                              <w:rFonts w:ascii="Arial"/>
                            </w:rPr>
                            <w:t xml:space="preserve"> </w:t>
                          </w:r>
                          <w:r>
                            <w:rPr>
                              <w:rFonts w:ascii="Arial"/>
                              <w:spacing w:val="-1"/>
                            </w:rPr>
                            <w:t>twenty</w:t>
                          </w:r>
                          <w:r>
                            <w:rPr>
                              <w:rFonts w:ascii="Arial"/>
                              <w:spacing w:val="-2"/>
                            </w:rPr>
                            <w:t xml:space="preserve"> </w:t>
                          </w:r>
                          <w:r>
                            <w:rPr>
                              <w:rFonts w:ascii="Arial"/>
                            </w:rPr>
                            <w:t>four</w:t>
                          </w:r>
                          <w:r>
                            <w:rPr>
                              <w:rFonts w:ascii="Arial"/>
                              <w:spacing w:val="2"/>
                            </w:rPr>
                            <w:t xml:space="preserve"> </w:t>
                          </w:r>
                          <w:r>
                            <w:rPr>
                              <w:rFonts w:ascii="Arial"/>
                              <w:spacing w:val="-1"/>
                            </w:rPr>
                            <w:t>(24)</w:t>
                          </w:r>
                          <w:r>
                            <w:rPr>
                              <w:rFonts w:ascii="Arial"/>
                              <w:spacing w:val="2"/>
                            </w:rPr>
                            <w:t xml:space="preserve"> </w:t>
                          </w:r>
                          <w:r>
                            <w:rPr>
                              <w:rFonts w:ascii="Arial"/>
                              <w:spacing w:val="-1"/>
                            </w:rPr>
                            <w:t>hours</w:t>
                          </w:r>
                          <w:r>
                            <w:rPr>
                              <w:rFonts w:ascii="Arial"/>
                              <w:spacing w:val="1"/>
                            </w:rPr>
                            <w:t xml:space="preserve"> </w:t>
                          </w:r>
                          <w:r>
                            <w:rPr>
                              <w:rFonts w:ascii="Arial"/>
                              <w:spacing w:val="-1"/>
                            </w:rPr>
                            <w:t>accumulated</w:t>
                          </w:r>
                          <w:r>
                            <w:rPr>
                              <w:rFonts w:ascii="Arial"/>
                            </w:rPr>
                            <w:t xml:space="preserve"> </w:t>
                          </w:r>
                          <w:r>
                            <w:rPr>
                              <w:rFonts w:ascii="Arial"/>
                              <w:spacing w:val="-1"/>
                            </w:rPr>
                            <w:t>in</w:t>
                          </w:r>
                          <w:r>
                            <w:rPr>
                              <w:rFonts w:ascii="Arial"/>
                            </w:rPr>
                            <w:t xml:space="preserve"> </w:t>
                          </w:r>
                          <w:r>
                            <w:rPr>
                              <w:rFonts w:ascii="Arial"/>
                              <w:spacing w:val="-1"/>
                            </w:rPr>
                            <w:t>any</w:t>
                          </w:r>
                          <w:r>
                            <w:rPr>
                              <w:rFonts w:ascii="Arial"/>
                              <w:spacing w:val="-2"/>
                            </w:rPr>
                            <w:t xml:space="preserve"> </w:t>
                          </w:r>
                          <w:r>
                            <w:rPr>
                              <w:rFonts w:ascii="Arial"/>
                              <w:b/>
                            </w:rPr>
                            <w:t>[</w:t>
                          </w:r>
                          <w:r>
                            <w:rPr>
                              <w:rFonts w:ascii="Arial"/>
                            </w:rPr>
                            <w:t xml:space="preserve">three </w:t>
                          </w:r>
                          <w:r>
                            <w:rPr>
                              <w:rFonts w:ascii="Arial"/>
                              <w:spacing w:val="-1"/>
                            </w:rPr>
                            <w:t>(3)</w:t>
                          </w:r>
                          <w:r>
                            <w:rPr>
                              <w:rFonts w:ascii="Arial"/>
                              <w:spacing w:val="2"/>
                            </w:rPr>
                            <w:t xml:space="preserve"> </w:t>
                          </w:r>
                          <w:r>
                            <w:rPr>
                              <w:rFonts w:ascii="Arial"/>
                              <w:spacing w:val="-1"/>
                            </w:rPr>
                            <w:t>Month</w:t>
                          </w:r>
                          <w:r>
                            <w:rPr>
                              <w:rFonts w:ascii="Arial"/>
                              <w:b/>
                              <w:spacing w:val="-1"/>
                            </w:rPr>
                            <w:t>]</w:t>
                          </w:r>
                          <w:r>
                            <w:rPr>
                              <w:rFonts w:ascii="Arial"/>
                              <w:b/>
                              <w:spacing w:val="2"/>
                            </w:rPr>
                            <w:t xml:space="preserve"> </w:t>
                          </w:r>
                          <w:r>
                            <w:rPr>
                              <w:rFonts w:ascii="Arial"/>
                              <w:spacing w:val="-1"/>
                            </w:rPr>
                            <w:t>period,</w:t>
                          </w:r>
                          <w:r>
                            <w:rPr>
                              <w:rFonts w:ascii="Arial"/>
                              <w:spacing w:val="2"/>
                            </w:rPr>
                            <w:t xml:space="preserve"> </w:t>
                          </w:r>
                          <w:r>
                            <w:rPr>
                              <w:rFonts w:ascii="Arial"/>
                              <w:spacing w:val="-2"/>
                            </w:rPr>
                            <w:t>or</w:t>
                          </w:r>
                          <w:r>
                            <w:rPr>
                              <w:rFonts w:ascii="Arial"/>
                              <w:spacing w:val="-1"/>
                            </w:rPr>
                            <w:t xml:space="preserve"> </w:t>
                          </w:r>
                          <w:r>
                            <w:rPr>
                              <w:rFonts w:ascii="Arial"/>
                            </w:rPr>
                            <w:t>forty</w:t>
                          </w:r>
                          <w:r>
                            <w:rPr>
                              <w:rFonts w:ascii="Arial"/>
                              <w:spacing w:val="-2"/>
                            </w:rPr>
                            <w:t xml:space="preserve"> </w:t>
                          </w:r>
                          <w:r>
                            <w:rPr>
                              <w:rFonts w:ascii="Arial"/>
                              <w:spacing w:val="-1"/>
                            </w:rPr>
                            <w:t>eight</w:t>
                          </w:r>
                        </w:p>
                        <w:p w:rsidR="005D2B81" w:rsidRDefault="005D2B81" w:rsidP="008918FA">
                          <w:pPr>
                            <w:spacing w:before="1" w:line="248" w:lineRule="exact"/>
                            <w:rPr>
                              <w:rFonts w:ascii="Arial" w:eastAsia="Arial" w:hAnsi="Arial" w:cs="Arial"/>
                            </w:rPr>
                          </w:pPr>
                          <w:r>
                            <w:rPr>
                              <w:rFonts w:ascii="Arial"/>
                              <w:spacing w:val="-1"/>
                            </w:rPr>
                            <w:t>(48) hours</w:t>
                          </w:r>
                          <w:r>
                            <w:rPr>
                              <w:rFonts w:ascii="Arial"/>
                              <w:spacing w:val="-2"/>
                            </w:rPr>
                            <w:t xml:space="preserve"> </w:t>
                          </w:r>
                          <w:r>
                            <w:rPr>
                              <w:rFonts w:ascii="Arial"/>
                              <w:spacing w:val="-1"/>
                            </w:rPr>
                            <w:t>in</w:t>
                          </w:r>
                          <w:r>
                            <w:rPr>
                              <w:rFonts w:ascii="Arial"/>
                            </w:rPr>
                            <w:t xml:space="preserve"> </w:t>
                          </w:r>
                          <w:r>
                            <w:rPr>
                              <w:rFonts w:ascii="Arial"/>
                              <w:spacing w:val="-1"/>
                            </w:rPr>
                            <w:t>any</w:t>
                          </w:r>
                          <w:r>
                            <w:rPr>
                              <w:rFonts w:ascii="Arial"/>
                              <w:spacing w:val="-2"/>
                            </w:rPr>
                            <w:t xml:space="preserve"> rolling</w:t>
                          </w:r>
                          <w:r>
                            <w:rPr>
                              <w:rFonts w:ascii="Arial"/>
                            </w:rPr>
                            <w:t xml:space="preserve"> </w:t>
                          </w:r>
                          <w:r>
                            <w:rPr>
                              <w:rFonts w:ascii="Arial"/>
                              <w:spacing w:val="-2"/>
                            </w:rPr>
                            <w:t>twelve</w:t>
                          </w:r>
                          <w:r>
                            <w:rPr>
                              <w:rFonts w:ascii="Arial"/>
                            </w:rPr>
                            <w:t xml:space="preserve"> </w:t>
                          </w:r>
                          <w:r>
                            <w:rPr>
                              <w:rFonts w:ascii="Arial"/>
                              <w:spacing w:val="-1"/>
                            </w:rPr>
                            <w:t>(12)</w:t>
                          </w:r>
                          <w:r>
                            <w:rPr>
                              <w:rFonts w:ascii="Arial"/>
                              <w:spacing w:val="2"/>
                            </w:rPr>
                            <w:t xml:space="preserve"> </w:t>
                          </w:r>
                          <w:r>
                            <w:rPr>
                              <w:rFonts w:ascii="Arial"/>
                              <w:spacing w:val="-1"/>
                            </w:rPr>
                            <w:t>Month</w:t>
                          </w:r>
                          <w:r>
                            <w:rPr>
                              <w:rFonts w:ascii="Arial"/>
                            </w:rPr>
                            <w:t xml:space="preserve"> </w:t>
                          </w:r>
                          <w:r>
                            <w:rPr>
                              <w:rFonts w:ascii="Arial"/>
                              <w:spacing w:val="-1"/>
                            </w:rPr>
                            <w:t>period.]</w:t>
                          </w:r>
                        </w:p>
                      </w:txbxContent>
                    </v:textbox>
                  </v:shape>
                </v:group>
                <w10:anchorlock/>
              </v:group>
            </w:pict>
          </mc:Fallback>
        </mc:AlternateContent>
      </w:r>
    </w:p>
    <w:p w:rsidR="008918FA" w:rsidRDefault="008918FA" w:rsidP="008918FA">
      <w:pPr>
        <w:spacing w:before="4"/>
        <w:rPr>
          <w:rFonts w:ascii="Times New Roman" w:eastAsia="Times New Roman" w:hAnsi="Times New Roman" w:cs="Times New Roman"/>
          <w:sz w:val="14"/>
          <w:szCs w:val="14"/>
        </w:rPr>
      </w:pPr>
    </w:p>
    <w:p w:rsidR="008918FA" w:rsidRDefault="008918FA" w:rsidP="008918FA">
      <w:pPr>
        <w:tabs>
          <w:tab w:val="left" w:pos="2990"/>
        </w:tabs>
        <w:spacing w:before="72"/>
        <w:ind w:left="468"/>
        <w:rPr>
          <w:rFonts w:ascii="Arial" w:eastAsia="Arial" w:hAnsi="Arial" w:cs="Arial"/>
        </w:rPr>
      </w:pPr>
      <w:r>
        <w:rPr>
          <w:rFonts w:ascii="Arial"/>
          <w:spacing w:val="-1"/>
          <w:highlight w:val="yellow"/>
        </w:rPr>
        <w:t>[</w:t>
      </w:r>
      <w:r>
        <w:rPr>
          <w:rFonts w:ascii="Arial"/>
          <w:i/>
          <w:spacing w:val="-1"/>
          <w:highlight w:val="yellow"/>
        </w:rPr>
        <w:t>other</w:t>
      </w:r>
      <w:r>
        <w:rPr>
          <w:rFonts w:ascii="Arial"/>
          <w:i/>
          <w:spacing w:val="-1"/>
          <w:highlight w:val="yellow"/>
        </w:rPr>
        <w:tab/>
      </w:r>
      <w:r>
        <w:rPr>
          <w:rFonts w:ascii="Arial"/>
          <w:highlight w:val="yellow"/>
        </w:rPr>
        <w:t>]</w:t>
      </w:r>
    </w:p>
    <w:p w:rsidR="008918FA" w:rsidRDefault="008918FA" w:rsidP="008918FA">
      <w:pPr>
        <w:spacing w:before="5"/>
        <w:rPr>
          <w:rFonts w:ascii="Arial" w:eastAsia="Arial" w:hAnsi="Arial" w:cs="Arial"/>
          <w:sz w:val="14"/>
          <w:szCs w:val="14"/>
        </w:rPr>
      </w:pPr>
    </w:p>
    <w:p w:rsidR="008918FA" w:rsidRDefault="008918FA" w:rsidP="008918FA">
      <w:pPr>
        <w:pStyle w:val="Heading2"/>
        <w:ind w:left="326" w:right="111"/>
        <w:jc w:val="both"/>
        <w:rPr>
          <w:b w:val="0"/>
          <w:bCs w:val="0"/>
          <w:i w:val="0"/>
        </w:rPr>
      </w:pPr>
      <w:r w:rsidRPr="009A0751">
        <w:rPr>
          <w:spacing w:val="-1"/>
          <w:highlight w:val="green"/>
        </w:rPr>
        <w:t>[Guidance</w:t>
      </w:r>
      <w:r w:rsidRPr="009A0751">
        <w:rPr>
          <w:spacing w:val="35"/>
          <w:highlight w:val="green"/>
        </w:rPr>
        <w:t xml:space="preserve"> </w:t>
      </w:r>
      <w:r w:rsidRPr="009A0751">
        <w:rPr>
          <w:spacing w:val="-1"/>
          <w:highlight w:val="green"/>
        </w:rPr>
        <w:t>Note:</w:t>
      </w:r>
      <w:r w:rsidRPr="009A0751">
        <w:rPr>
          <w:spacing w:val="36"/>
          <w:highlight w:val="green"/>
        </w:rPr>
        <w:t xml:space="preserve"> </w:t>
      </w:r>
      <w:r w:rsidRPr="009A0751">
        <w:rPr>
          <w:spacing w:val="-1"/>
          <w:highlight w:val="green"/>
        </w:rPr>
        <w:t>Clause</w:t>
      </w:r>
      <w:r w:rsidRPr="009A0751">
        <w:rPr>
          <w:spacing w:val="35"/>
          <w:highlight w:val="green"/>
        </w:rPr>
        <w:t xml:space="preserve"> </w:t>
      </w:r>
      <w:hyperlink w:anchor="_bookmark99" w:history="1">
        <w:r w:rsidRPr="009A0751">
          <w:rPr>
            <w:spacing w:val="-1"/>
            <w:highlight w:val="green"/>
          </w:rPr>
          <w:t>14</w:t>
        </w:r>
      </w:hyperlink>
      <w:r w:rsidRPr="009A0751">
        <w:rPr>
          <w:spacing w:val="35"/>
          <w:highlight w:val="green"/>
        </w:rPr>
        <w:t xml:space="preserve"> </w:t>
      </w:r>
      <w:r w:rsidRPr="009A0751">
        <w:rPr>
          <w:spacing w:val="-1"/>
          <w:highlight w:val="green"/>
        </w:rPr>
        <w:t>of</w:t>
      </w:r>
      <w:r w:rsidRPr="009A0751">
        <w:rPr>
          <w:spacing w:val="36"/>
          <w:highlight w:val="green"/>
        </w:rPr>
        <w:t xml:space="preserve"> </w:t>
      </w:r>
      <w:r w:rsidRPr="009A0751">
        <w:rPr>
          <w:spacing w:val="-1"/>
          <w:highlight w:val="green"/>
        </w:rPr>
        <w:t>the</w:t>
      </w:r>
      <w:r w:rsidRPr="009A0751">
        <w:rPr>
          <w:spacing w:val="35"/>
          <w:highlight w:val="green"/>
        </w:rPr>
        <w:t xml:space="preserve"> </w:t>
      </w:r>
      <w:r w:rsidRPr="009A0751">
        <w:rPr>
          <w:spacing w:val="-1"/>
          <w:highlight w:val="green"/>
        </w:rPr>
        <w:t>Template</w:t>
      </w:r>
      <w:r w:rsidRPr="009A0751">
        <w:rPr>
          <w:spacing w:val="36"/>
          <w:highlight w:val="green"/>
        </w:rPr>
        <w:t xml:space="preserve"> </w:t>
      </w:r>
      <w:r w:rsidRPr="009A0751">
        <w:rPr>
          <w:spacing w:val="-1"/>
          <w:highlight w:val="green"/>
        </w:rPr>
        <w:t>Call</w:t>
      </w:r>
      <w:r w:rsidRPr="009A0751">
        <w:rPr>
          <w:spacing w:val="34"/>
          <w:highlight w:val="green"/>
        </w:rPr>
        <w:t xml:space="preserve"> </w:t>
      </w:r>
      <w:r w:rsidRPr="009A0751">
        <w:rPr>
          <w:spacing w:val="-1"/>
          <w:highlight w:val="green"/>
        </w:rPr>
        <w:t>Off</w:t>
      </w:r>
      <w:r w:rsidRPr="009A0751">
        <w:rPr>
          <w:spacing w:val="36"/>
          <w:highlight w:val="green"/>
        </w:rPr>
        <w:t xml:space="preserve"> </w:t>
      </w:r>
      <w:r w:rsidRPr="009A0751">
        <w:rPr>
          <w:spacing w:val="-1"/>
          <w:highlight w:val="green"/>
        </w:rPr>
        <w:t>Terms</w:t>
      </w:r>
      <w:r w:rsidRPr="009A0751">
        <w:rPr>
          <w:spacing w:val="35"/>
          <w:highlight w:val="green"/>
        </w:rPr>
        <w:t xml:space="preserve"> </w:t>
      </w:r>
      <w:r w:rsidRPr="009A0751">
        <w:rPr>
          <w:spacing w:val="-1"/>
          <w:highlight w:val="green"/>
        </w:rPr>
        <w:t>provides</w:t>
      </w:r>
      <w:r w:rsidRPr="009A0751">
        <w:rPr>
          <w:spacing w:val="35"/>
          <w:highlight w:val="green"/>
        </w:rPr>
        <w:t xml:space="preserve"> </w:t>
      </w:r>
      <w:r w:rsidRPr="009A0751">
        <w:rPr>
          <w:spacing w:val="-1"/>
          <w:highlight w:val="green"/>
        </w:rPr>
        <w:t>the</w:t>
      </w:r>
      <w:r w:rsidRPr="009A0751">
        <w:rPr>
          <w:spacing w:val="43"/>
          <w:highlight w:val="green"/>
        </w:rPr>
        <w:t xml:space="preserve"> </w:t>
      </w:r>
      <w:r w:rsidRPr="009A0751">
        <w:rPr>
          <w:spacing w:val="-1"/>
          <w:highlight w:val="green"/>
        </w:rPr>
        <w:t>Customer</w:t>
      </w:r>
      <w:r w:rsidRPr="009A0751">
        <w:rPr>
          <w:spacing w:val="19"/>
          <w:highlight w:val="green"/>
        </w:rPr>
        <w:t xml:space="preserve"> </w:t>
      </w:r>
      <w:r w:rsidRPr="009A0751">
        <w:rPr>
          <w:spacing w:val="-1"/>
          <w:highlight w:val="green"/>
        </w:rPr>
        <w:t>with</w:t>
      </w:r>
      <w:r w:rsidRPr="009A0751">
        <w:rPr>
          <w:spacing w:val="21"/>
          <w:highlight w:val="green"/>
        </w:rPr>
        <w:t xml:space="preserve"> </w:t>
      </w:r>
      <w:r w:rsidRPr="009A0751">
        <w:rPr>
          <w:highlight w:val="green"/>
        </w:rPr>
        <w:t>a</w:t>
      </w:r>
      <w:r w:rsidRPr="009A0751">
        <w:rPr>
          <w:spacing w:val="21"/>
          <w:highlight w:val="green"/>
        </w:rPr>
        <w:t xml:space="preserve"> </w:t>
      </w:r>
      <w:r w:rsidRPr="009A0751">
        <w:rPr>
          <w:spacing w:val="-1"/>
          <w:highlight w:val="green"/>
        </w:rPr>
        <w:t>right</w:t>
      </w:r>
      <w:r w:rsidRPr="009A0751">
        <w:rPr>
          <w:spacing w:val="22"/>
          <w:highlight w:val="green"/>
        </w:rPr>
        <w:t xml:space="preserve"> </w:t>
      </w:r>
      <w:r w:rsidRPr="009A0751">
        <w:rPr>
          <w:highlight w:val="green"/>
        </w:rPr>
        <w:t>to</w:t>
      </w:r>
      <w:r w:rsidRPr="009A0751">
        <w:rPr>
          <w:spacing w:val="21"/>
          <w:highlight w:val="green"/>
        </w:rPr>
        <w:t xml:space="preserve"> </w:t>
      </w:r>
      <w:r w:rsidRPr="009A0751">
        <w:rPr>
          <w:spacing w:val="-1"/>
          <w:highlight w:val="green"/>
        </w:rPr>
        <w:t>retain</w:t>
      </w:r>
      <w:r w:rsidRPr="009A0751">
        <w:rPr>
          <w:spacing w:val="21"/>
          <w:highlight w:val="green"/>
        </w:rPr>
        <w:t xml:space="preserve"> </w:t>
      </w:r>
      <w:r w:rsidRPr="009A0751">
        <w:rPr>
          <w:spacing w:val="-1"/>
          <w:highlight w:val="green"/>
        </w:rPr>
        <w:t>and</w:t>
      </w:r>
      <w:r w:rsidRPr="009A0751">
        <w:rPr>
          <w:spacing w:val="21"/>
          <w:highlight w:val="green"/>
        </w:rPr>
        <w:t xml:space="preserve"> </w:t>
      </w:r>
      <w:r w:rsidRPr="009A0751">
        <w:rPr>
          <w:spacing w:val="-1"/>
          <w:highlight w:val="green"/>
        </w:rPr>
        <w:t>deduct</w:t>
      </w:r>
      <w:r w:rsidRPr="009A0751">
        <w:rPr>
          <w:spacing w:val="22"/>
          <w:highlight w:val="green"/>
        </w:rPr>
        <w:t xml:space="preserve"> </w:t>
      </w:r>
      <w:r w:rsidRPr="009A0751">
        <w:rPr>
          <w:spacing w:val="-1"/>
          <w:highlight w:val="green"/>
        </w:rPr>
        <w:t>Call</w:t>
      </w:r>
      <w:r w:rsidRPr="009A0751">
        <w:rPr>
          <w:spacing w:val="20"/>
          <w:highlight w:val="green"/>
        </w:rPr>
        <w:t xml:space="preserve"> </w:t>
      </w:r>
      <w:r w:rsidRPr="009A0751">
        <w:rPr>
          <w:highlight w:val="green"/>
        </w:rPr>
        <w:t>Off</w:t>
      </w:r>
      <w:r w:rsidRPr="009A0751">
        <w:rPr>
          <w:spacing w:val="22"/>
          <w:highlight w:val="green"/>
        </w:rPr>
        <w:t xml:space="preserve"> </w:t>
      </w:r>
      <w:r w:rsidRPr="009A0751">
        <w:rPr>
          <w:spacing w:val="-1"/>
          <w:highlight w:val="green"/>
        </w:rPr>
        <w:t>Contract</w:t>
      </w:r>
      <w:r w:rsidRPr="009A0751">
        <w:rPr>
          <w:spacing w:val="20"/>
          <w:highlight w:val="green"/>
        </w:rPr>
        <w:t xml:space="preserve"> </w:t>
      </w:r>
      <w:r w:rsidRPr="009A0751">
        <w:rPr>
          <w:spacing w:val="-1"/>
          <w:highlight w:val="green"/>
        </w:rPr>
        <w:t>Charges</w:t>
      </w:r>
      <w:r w:rsidRPr="009A0751">
        <w:rPr>
          <w:spacing w:val="21"/>
          <w:highlight w:val="green"/>
        </w:rPr>
        <w:t xml:space="preserve"> </w:t>
      </w:r>
      <w:r w:rsidRPr="009A0751">
        <w:rPr>
          <w:spacing w:val="-1"/>
          <w:highlight w:val="green"/>
        </w:rPr>
        <w:t>as</w:t>
      </w:r>
      <w:r w:rsidRPr="009A0751">
        <w:rPr>
          <w:spacing w:val="32"/>
          <w:highlight w:val="green"/>
        </w:rPr>
        <w:t xml:space="preserve"> </w:t>
      </w:r>
      <w:r w:rsidRPr="009A0751">
        <w:rPr>
          <w:spacing w:val="-1"/>
          <w:highlight w:val="green"/>
        </w:rPr>
        <w:t>compensation</w:t>
      </w:r>
      <w:r w:rsidRPr="009A0751">
        <w:rPr>
          <w:spacing w:val="5"/>
          <w:highlight w:val="green"/>
        </w:rPr>
        <w:t xml:space="preserve"> </w:t>
      </w:r>
      <w:r w:rsidRPr="009A0751">
        <w:rPr>
          <w:spacing w:val="-1"/>
          <w:highlight w:val="green"/>
        </w:rPr>
        <w:t>or</w:t>
      </w:r>
      <w:r w:rsidRPr="009A0751">
        <w:rPr>
          <w:spacing w:val="3"/>
          <w:highlight w:val="green"/>
        </w:rPr>
        <w:t xml:space="preserve"> </w:t>
      </w:r>
      <w:r w:rsidRPr="009A0751">
        <w:rPr>
          <w:spacing w:val="-1"/>
          <w:highlight w:val="green"/>
        </w:rPr>
        <w:t>terminate</w:t>
      </w:r>
      <w:r w:rsidRPr="009A0751">
        <w:rPr>
          <w:spacing w:val="5"/>
          <w:highlight w:val="green"/>
        </w:rPr>
        <w:t xml:space="preserve"> </w:t>
      </w:r>
      <w:r w:rsidRPr="009A0751">
        <w:rPr>
          <w:spacing w:val="-1"/>
          <w:highlight w:val="green"/>
        </w:rPr>
        <w:t>this</w:t>
      </w:r>
      <w:r w:rsidRPr="009A0751">
        <w:rPr>
          <w:spacing w:val="5"/>
          <w:highlight w:val="green"/>
        </w:rPr>
        <w:t xml:space="preserve"> </w:t>
      </w:r>
      <w:r w:rsidRPr="009A0751">
        <w:rPr>
          <w:spacing w:val="-1"/>
          <w:highlight w:val="green"/>
        </w:rPr>
        <w:t>Call</w:t>
      </w:r>
      <w:r w:rsidRPr="009A0751">
        <w:rPr>
          <w:spacing w:val="4"/>
          <w:highlight w:val="green"/>
        </w:rPr>
        <w:t xml:space="preserve"> </w:t>
      </w:r>
      <w:r w:rsidRPr="009A0751">
        <w:rPr>
          <w:spacing w:val="-1"/>
          <w:highlight w:val="green"/>
        </w:rPr>
        <w:t>Off</w:t>
      </w:r>
      <w:r w:rsidRPr="009A0751">
        <w:rPr>
          <w:spacing w:val="4"/>
          <w:highlight w:val="green"/>
        </w:rPr>
        <w:t xml:space="preserve"> </w:t>
      </w:r>
      <w:r w:rsidRPr="009A0751">
        <w:rPr>
          <w:spacing w:val="-1"/>
          <w:highlight w:val="green"/>
        </w:rPr>
        <w:t>Contract</w:t>
      </w:r>
      <w:r w:rsidRPr="009A0751">
        <w:rPr>
          <w:spacing w:val="6"/>
          <w:highlight w:val="green"/>
        </w:rPr>
        <w:t xml:space="preserve"> </w:t>
      </w:r>
      <w:r w:rsidRPr="009A0751">
        <w:rPr>
          <w:spacing w:val="-1"/>
          <w:highlight w:val="green"/>
        </w:rPr>
        <w:t>for</w:t>
      </w:r>
      <w:r w:rsidRPr="009A0751">
        <w:rPr>
          <w:spacing w:val="3"/>
          <w:highlight w:val="green"/>
        </w:rPr>
        <w:t xml:space="preserve"> </w:t>
      </w:r>
      <w:r w:rsidRPr="009A0751">
        <w:rPr>
          <w:spacing w:val="-1"/>
          <w:highlight w:val="green"/>
        </w:rPr>
        <w:t>Material</w:t>
      </w:r>
      <w:r w:rsidRPr="009A0751">
        <w:rPr>
          <w:spacing w:val="7"/>
          <w:highlight w:val="green"/>
        </w:rPr>
        <w:t xml:space="preserve"> </w:t>
      </w:r>
      <w:r w:rsidRPr="009A0751">
        <w:rPr>
          <w:spacing w:val="-1"/>
          <w:highlight w:val="green"/>
        </w:rPr>
        <w:t>Breach</w:t>
      </w:r>
      <w:r w:rsidRPr="009A0751">
        <w:rPr>
          <w:highlight w:val="green"/>
        </w:rPr>
        <w:t xml:space="preserve"> in</w:t>
      </w:r>
      <w:r w:rsidRPr="009A0751">
        <w:rPr>
          <w:spacing w:val="5"/>
          <w:highlight w:val="green"/>
        </w:rPr>
        <w:t xml:space="preserve"> </w:t>
      </w:r>
      <w:r w:rsidRPr="009A0751">
        <w:rPr>
          <w:spacing w:val="-1"/>
          <w:highlight w:val="green"/>
        </w:rPr>
        <w:t>the</w:t>
      </w:r>
      <w:r w:rsidRPr="009A0751">
        <w:rPr>
          <w:spacing w:val="4"/>
          <w:highlight w:val="green"/>
        </w:rPr>
        <w:t xml:space="preserve"> </w:t>
      </w:r>
      <w:r w:rsidRPr="009A0751">
        <w:rPr>
          <w:spacing w:val="-1"/>
          <w:highlight w:val="green"/>
        </w:rPr>
        <w:t>event</w:t>
      </w:r>
      <w:r w:rsidRPr="009A0751">
        <w:rPr>
          <w:spacing w:val="26"/>
          <w:highlight w:val="green"/>
        </w:rPr>
        <w:t xml:space="preserve"> </w:t>
      </w:r>
      <w:r w:rsidRPr="009A0751">
        <w:rPr>
          <w:spacing w:val="-1"/>
          <w:highlight w:val="green"/>
        </w:rPr>
        <w:t>of</w:t>
      </w:r>
      <w:r w:rsidRPr="009A0751">
        <w:rPr>
          <w:spacing w:val="47"/>
          <w:highlight w:val="green"/>
        </w:rPr>
        <w:t xml:space="preserve"> </w:t>
      </w:r>
      <w:r w:rsidRPr="009A0751">
        <w:rPr>
          <w:highlight w:val="green"/>
        </w:rPr>
        <w:t>a</w:t>
      </w:r>
      <w:r w:rsidRPr="009A0751">
        <w:rPr>
          <w:spacing w:val="46"/>
          <w:highlight w:val="green"/>
        </w:rPr>
        <w:t xml:space="preserve"> </w:t>
      </w:r>
      <w:r w:rsidRPr="009A0751">
        <w:rPr>
          <w:spacing w:val="-1"/>
          <w:highlight w:val="green"/>
        </w:rPr>
        <w:t>Critical</w:t>
      </w:r>
      <w:r w:rsidRPr="009A0751">
        <w:rPr>
          <w:spacing w:val="45"/>
          <w:highlight w:val="green"/>
        </w:rPr>
        <w:t xml:space="preserve"> </w:t>
      </w:r>
      <w:r w:rsidRPr="009A0751">
        <w:rPr>
          <w:spacing w:val="-1"/>
          <w:highlight w:val="green"/>
        </w:rPr>
        <w:t>Service</w:t>
      </w:r>
      <w:r w:rsidRPr="009A0751">
        <w:rPr>
          <w:spacing w:val="46"/>
          <w:highlight w:val="green"/>
        </w:rPr>
        <w:t xml:space="preserve"> </w:t>
      </w:r>
      <w:r w:rsidRPr="009A0751">
        <w:rPr>
          <w:spacing w:val="-2"/>
          <w:highlight w:val="green"/>
        </w:rPr>
        <w:t>Level</w:t>
      </w:r>
      <w:r w:rsidRPr="009A0751">
        <w:rPr>
          <w:spacing w:val="47"/>
          <w:highlight w:val="green"/>
        </w:rPr>
        <w:t xml:space="preserve"> </w:t>
      </w:r>
      <w:r w:rsidRPr="009A0751">
        <w:rPr>
          <w:spacing w:val="-1"/>
          <w:highlight w:val="green"/>
        </w:rPr>
        <w:t>Failure.</w:t>
      </w:r>
      <w:r w:rsidRPr="009A0751">
        <w:rPr>
          <w:spacing w:val="30"/>
          <w:highlight w:val="green"/>
        </w:rPr>
        <w:t xml:space="preserve"> </w:t>
      </w:r>
      <w:r w:rsidRPr="009A0751">
        <w:rPr>
          <w:spacing w:val="-1"/>
          <w:highlight w:val="green"/>
        </w:rPr>
        <w:t>See</w:t>
      </w:r>
      <w:r w:rsidRPr="009A0751">
        <w:rPr>
          <w:spacing w:val="47"/>
          <w:highlight w:val="green"/>
        </w:rPr>
        <w:t xml:space="preserve"> </w:t>
      </w:r>
      <w:r w:rsidRPr="009A0751">
        <w:rPr>
          <w:spacing w:val="-2"/>
          <w:highlight w:val="green"/>
        </w:rPr>
        <w:t>also</w:t>
      </w:r>
      <w:r w:rsidRPr="009A0751">
        <w:rPr>
          <w:spacing w:val="46"/>
          <w:highlight w:val="green"/>
        </w:rPr>
        <w:t xml:space="preserve"> </w:t>
      </w:r>
      <w:r w:rsidRPr="009A0751">
        <w:rPr>
          <w:spacing w:val="-1"/>
          <w:highlight w:val="green"/>
        </w:rPr>
        <w:t>the</w:t>
      </w:r>
      <w:r w:rsidRPr="009A0751">
        <w:rPr>
          <w:spacing w:val="46"/>
          <w:highlight w:val="green"/>
        </w:rPr>
        <w:t xml:space="preserve"> </w:t>
      </w:r>
      <w:r w:rsidRPr="009A0751">
        <w:rPr>
          <w:spacing w:val="-1"/>
          <w:highlight w:val="green"/>
        </w:rPr>
        <w:t>definition</w:t>
      </w:r>
      <w:r w:rsidRPr="009A0751">
        <w:rPr>
          <w:spacing w:val="46"/>
          <w:highlight w:val="green"/>
        </w:rPr>
        <w:t xml:space="preserve"> </w:t>
      </w:r>
      <w:r w:rsidRPr="009A0751">
        <w:rPr>
          <w:spacing w:val="-2"/>
          <w:highlight w:val="green"/>
        </w:rPr>
        <w:t>of</w:t>
      </w:r>
      <w:r w:rsidRPr="009A0751">
        <w:rPr>
          <w:spacing w:val="47"/>
          <w:highlight w:val="green"/>
        </w:rPr>
        <w:t xml:space="preserve"> </w:t>
      </w:r>
      <w:r w:rsidRPr="009A0751">
        <w:rPr>
          <w:spacing w:val="-2"/>
          <w:highlight w:val="green"/>
        </w:rPr>
        <w:t>Critical</w:t>
      </w:r>
      <w:r w:rsidRPr="009A0751">
        <w:rPr>
          <w:spacing w:val="47"/>
          <w:highlight w:val="green"/>
        </w:rPr>
        <w:t xml:space="preserve"> </w:t>
      </w:r>
      <w:r w:rsidRPr="009A0751">
        <w:rPr>
          <w:spacing w:val="-1"/>
          <w:highlight w:val="green"/>
        </w:rPr>
        <w:t>Service</w:t>
      </w:r>
      <w:r w:rsidRPr="009A0751">
        <w:rPr>
          <w:spacing w:val="56"/>
          <w:highlight w:val="green"/>
        </w:rPr>
        <w:t xml:space="preserve"> </w:t>
      </w:r>
      <w:r w:rsidRPr="009A0751">
        <w:rPr>
          <w:spacing w:val="-1"/>
          <w:highlight w:val="green"/>
        </w:rPr>
        <w:t>Level</w:t>
      </w:r>
      <w:r w:rsidRPr="009A0751">
        <w:rPr>
          <w:spacing w:val="4"/>
          <w:highlight w:val="green"/>
        </w:rPr>
        <w:t xml:space="preserve"> </w:t>
      </w:r>
      <w:r w:rsidRPr="009A0751">
        <w:rPr>
          <w:spacing w:val="-1"/>
          <w:highlight w:val="green"/>
        </w:rPr>
        <w:t>Failure.</w:t>
      </w:r>
      <w:r w:rsidRPr="009A0751">
        <w:rPr>
          <w:spacing w:val="4"/>
          <w:highlight w:val="green"/>
        </w:rPr>
        <w:t xml:space="preserve"> </w:t>
      </w:r>
      <w:r w:rsidRPr="009A0751">
        <w:rPr>
          <w:spacing w:val="-1"/>
          <w:highlight w:val="green"/>
        </w:rPr>
        <w:t>The</w:t>
      </w:r>
      <w:r w:rsidRPr="009A0751">
        <w:rPr>
          <w:highlight w:val="green"/>
        </w:rPr>
        <w:t xml:space="preserve"> </w:t>
      </w:r>
      <w:r w:rsidRPr="009A0751">
        <w:rPr>
          <w:spacing w:val="-1"/>
          <w:highlight w:val="green"/>
        </w:rPr>
        <w:t>intention</w:t>
      </w:r>
      <w:r w:rsidRPr="009A0751">
        <w:rPr>
          <w:highlight w:val="green"/>
        </w:rPr>
        <w:t xml:space="preserve">  is</w:t>
      </w:r>
      <w:r w:rsidRPr="009A0751">
        <w:rPr>
          <w:spacing w:val="61"/>
          <w:highlight w:val="green"/>
        </w:rPr>
        <w:t xml:space="preserve"> </w:t>
      </w:r>
      <w:r w:rsidRPr="009A0751">
        <w:rPr>
          <w:highlight w:val="green"/>
        </w:rPr>
        <w:t>to</w:t>
      </w:r>
      <w:r w:rsidRPr="009A0751">
        <w:rPr>
          <w:spacing w:val="3"/>
          <w:highlight w:val="green"/>
        </w:rPr>
        <w:t xml:space="preserve"> </w:t>
      </w:r>
      <w:r w:rsidRPr="009A0751">
        <w:rPr>
          <w:spacing w:val="-2"/>
          <w:highlight w:val="green"/>
        </w:rPr>
        <w:t>provide</w:t>
      </w:r>
      <w:r w:rsidRPr="009A0751">
        <w:rPr>
          <w:spacing w:val="3"/>
          <w:highlight w:val="green"/>
        </w:rPr>
        <w:t xml:space="preserve"> </w:t>
      </w:r>
      <w:r w:rsidRPr="009A0751">
        <w:rPr>
          <w:spacing w:val="-1"/>
          <w:highlight w:val="green"/>
        </w:rPr>
        <w:t>certainty</w:t>
      </w:r>
      <w:r w:rsidRPr="009A0751">
        <w:rPr>
          <w:spacing w:val="3"/>
          <w:highlight w:val="green"/>
        </w:rPr>
        <w:t xml:space="preserve"> </w:t>
      </w:r>
      <w:r w:rsidRPr="009A0751">
        <w:rPr>
          <w:spacing w:val="-2"/>
          <w:highlight w:val="green"/>
        </w:rPr>
        <w:t>over</w:t>
      </w:r>
      <w:r w:rsidRPr="009A0751">
        <w:rPr>
          <w:spacing w:val="1"/>
          <w:highlight w:val="green"/>
        </w:rPr>
        <w:t xml:space="preserve"> </w:t>
      </w:r>
      <w:r w:rsidRPr="009A0751">
        <w:rPr>
          <w:spacing w:val="-1"/>
          <w:highlight w:val="green"/>
        </w:rPr>
        <w:t>what</w:t>
      </w:r>
      <w:r w:rsidRPr="009A0751">
        <w:rPr>
          <w:spacing w:val="4"/>
          <w:highlight w:val="green"/>
        </w:rPr>
        <w:t xml:space="preserve"> </w:t>
      </w:r>
      <w:r w:rsidRPr="009A0751">
        <w:rPr>
          <w:spacing w:val="-1"/>
          <w:highlight w:val="green"/>
        </w:rPr>
        <w:t>level</w:t>
      </w:r>
      <w:r w:rsidRPr="009A0751">
        <w:rPr>
          <w:spacing w:val="4"/>
          <w:highlight w:val="green"/>
        </w:rPr>
        <w:t xml:space="preserve"> </w:t>
      </w:r>
      <w:r w:rsidRPr="009A0751">
        <w:rPr>
          <w:spacing w:val="-2"/>
          <w:highlight w:val="green"/>
        </w:rPr>
        <w:t>of</w:t>
      </w:r>
      <w:r w:rsidRPr="009A0751">
        <w:rPr>
          <w:spacing w:val="47"/>
          <w:highlight w:val="green"/>
        </w:rPr>
        <w:t xml:space="preserve"> </w:t>
      </w:r>
      <w:r w:rsidRPr="009A0751">
        <w:rPr>
          <w:spacing w:val="-1"/>
          <w:highlight w:val="green"/>
        </w:rPr>
        <w:t>performance</w:t>
      </w:r>
      <w:r w:rsidRPr="009A0751">
        <w:rPr>
          <w:spacing w:val="60"/>
          <w:highlight w:val="green"/>
        </w:rPr>
        <w:t xml:space="preserve"> </w:t>
      </w:r>
      <w:r w:rsidRPr="009A0751">
        <w:rPr>
          <w:spacing w:val="-1"/>
          <w:highlight w:val="green"/>
        </w:rPr>
        <w:t>by</w:t>
      </w:r>
      <w:r w:rsidRPr="009A0751">
        <w:rPr>
          <w:spacing w:val="60"/>
          <w:highlight w:val="green"/>
        </w:rPr>
        <w:t xml:space="preserve"> </w:t>
      </w:r>
      <w:r w:rsidRPr="009A0751">
        <w:rPr>
          <w:spacing w:val="-1"/>
          <w:highlight w:val="green"/>
        </w:rPr>
        <w:t>the</w:t>
      </w:r>
      <w:r w:rsidRPr="009A0751">
        <w:rPr>
          <w:spacing w:val="60"/>
          <w:highlight w:val="green"/>
        </w:rPr>
        <w:t xml:space="preserve"> </w:t>
      </w:r>
      <w:r w:rsidRPr="009A0751">
        <w:rPr>
          <w:spacing w:val="-1"/>
          <w:highlight w:val="green"/>
        </w:rPr>
        <w:t>Supplier</w:t>
      </w:r>
      <w:r w:rsidRPr="009A0751">
        <w:rPr>
          <w:spacing w:val="59"/>
          <w:highlight w:val="green"/>
        </w:rPr>
        <w:t xml:space="preserve"> </w:t>
      </w:r>
      <w:r w:rsidRPr="009A0751">
        <w:rPr>
          <w:highlight w:val="green"/>
        </w:rPr>
        <w:t>in</w:t>
      </w:r>
      <w:r w:rsidRPr="009A0751">
        <w:rPr>
          <w:spacing w:val="60"/>
          <w:highlight w:val="green"/>
        </w:rPr>
        <w:t xml:space="preserve"> </w:t>
      </w:r>
      <w:r w:rsidRPr="009A0751">
        <w:rPr>
          <w:spacing w:val="-1"/>
          <w:highlight w:val="green"/>
        </w:rPr>
        <w:t>relation</w:t>
      </w:r>
      <w:r w:rsidRPr="009A0751">
        <w:rPr>
          <w:spacing w:val="60"/>
          <w:highlight w:val="green"/>
        </w:rPr>
        <w:t xml:space="preserve"> </w:t>
      </w:r>
      <w:r w:rsidRPr="009A0751">
        <w:rPr>
          <w:highlight w:val="green"/>
        </w:rPr>
        <w:t>to</w:t>
      </w:r>
      <w:r w:rsidRPr="009A0751">
        <w:rPr>
          <w:spacing w:val="59"/>
          <w:highlight w:val="green"/>
        </w:rPr>
        <w:t xml:space="preserve"> </w:t>
      </w:r>
      <w:r w:rsidRPr="009A0751">
        <w:rPr>
          <w:spacing w:val="-1"/>
          <w:highlight w:val="green"/>
        </w:rPr>
        <w:t>Service</w:t>
      </w:r>
      <w:r w:rsidRPr="009A0751">
        <w:rPr>
          <w:spacing w:val="60"/>
          <w:highlight w:val="green"/>
        </w:rPr>
        <w:t xml:space="preserve"> </w:t>
      </w:r>
      <w:r w:rsidRPr="009A0751">
        <w:rPr>
          <w:spacing w:val="-1"/>
          <w:highlight w:val="green"/>
        </w:rPr>
        <w:t>Levels</w:t>
      </w:r>
      <w:r w:rsidRPr="009A0751">
        <w:rPr>
          <w:spacing w:val="60"/>
          <w:highlight w:val="green"/>
        </w:rPr>
        <w:t xml:space="preserve"> </w:t>
      </w:r>
      <w:r w:rsidRPr="009A0751">
        <w:rPr>
          <w:spacing w:val="-1"/>
          <w:highlight w:val="green"/>
        </w:rPr>
        <w:t>would</w:t>
      </w:r>
      <w:r w:rsidRPr="009A0751">
        <w:rPr>
          <w:spacing w:val="58"/>
          <w:highlight w:val="green"/>
        </w:rPr>
        <w:t xml:space="preserve"> </w:t>
      </w:r>
      <w:r w:rsidRPr="009A0751">
        <w:rPr>
          <w:spacing w:val="-1"/>
          <w:highlight w:val="green"/>
        </w:rPr>
        <w:t>trigger</w:t>
      </w:r>
      <w:r w:rsidRPr="009A0751">
        <w:rPr>
          <w:highlight w:val="green"/>
        </w:rPr>
        <w:t xml:space="preserve">  </w:t>
      </w:r>
      <w:r w:rsidRPr="009A0751">
        <w:rPr>
          <w:spacing w:val="-1"/>
          <w:highlight w:val="green"/>
        </w:rPr>
        <w:t>the</w:t>
      </w:r>
      <w:r w:rsidRPr="009A0751">
        <w:rPr>
          <w:spacing w:val="66"/>
          <w:highlight w:val="green"/>
        </w:rPr>
        <w:t xml:space="preserve"> </w:t>
      </w:r>
      <w:r w:rsidRPr="009A0751">
        <w:rPr>
          <w:spacing w:val="-1"/>
          <w:highlight w:val="green"/>
        </w:rPr>
        <w:t>aforementioned</w:t>
      </w:r>
      <w:r w:rsidRPr="009A0751">
        <w:rPr>
          <w:spacing w:val="10"/>
          <w:highlight w:val="green"/>
        </w:rPr>
        <w:t xml:space="preserve"> </w:t>
      </w:r>
      <w:r w:rsidRPr="009A0751">
        <w:rPr>
          <w:spacing w:val="-1"/>
          <w:highlight w:val="green"/>
        </w:rPr>
        <w:t>rights.</w:t>
      </w:r>
      <w:r w:rsidRPr="009A0751">
        <w:rPr>
          <w:spacing w:val="11"/>
          <w:highlight w:val="green"/>
        </w:rPr>
        <w:t xml:space="preserve"> </w:t>
      </w:r>
      <w:r w:rsidRPr="009A0751">
        <w:rPr>
          <w:spacing w:val="-1"/>
          <w:highlight w:val="green"/>
        </w:rPr>
        <w:t>See</w:t>
      </w:r>
      <w:r w:rsidRPr="009A0751">
        <w:rPr>
          <w:spacing w:val="12"/>
          <w:highlight w:val="green"/>
        </w:rPr>
        <w:t xml:space="preserve"> </w:t>
      </w:r>
      <w:r w:rsidRPr="009A0751">
        <w:rPr>
          <w:spacing w:val="-1"/>
          <w:highlight w:val="green"/>
        </w:rPr>
        <w:t>the</w:t>
      </w:r>
      <w:r w:rsidRPr="009A0751">
        <w:rPr>
          <w:spacing w:val="12"/>
          <w:highlight w:val="green"/>
        </w:rPr>
        <w:t xml:space="preserve"> </w:t>
      </w:r>
      <w:r w:rsidRPr="009A0751">
        <w:rPr>
          <w:spacing w:val="-1"/>
          <w:highlight w:val="green"/>
        </w:rPr>
        <w:t>above</w:t>
      </w:r>
      <w:r w:rsidRPr="009A0751">
        <w:rPr>
          <w:spacing w:val="12"/>
          <w:highlight w:val="green"/>
        </w:rPr>
        <w:t xml:space="preserve"> </w:t>
      </w:r>
      <w:r w:rsidRPr="009A0751">
        <w:rPr>
          <w:spacing w:val="-2"/>
          <w:highlight w:val="green"/>
        </w:rPr>
        <w:t>examples</w:t>
      </w:r>
      <w:r w:rsidRPr="009A0751">
        <w:rPr>
          <w:spacing w:val="12"/>
          <w:highlight w:val="green"/>
        </w:rPr>
        <w:t xml:space="preserve"> </w:t>
      </w:r>
      <w:r w:rsidRPr="009A0751">
        <w:rPr>
          <w:spacing w:val="-1"/>
          <w:highlight w:val="green"/>
        </w:rPr>
        <w:t>and</w:t>
      </w:r>
      <w:r w:rsidRPr="009A0751">
        <w:rPr>
          <w:spacing w:val="12"/>
          <w:highlight w:val="green"/>
        </w:rPr>
        <w:t xml:space="preserve"> </w:t>
      </w:r>
      <w:r w:rsidRPr="009A0751">
        <w:rPr>
          <w:spacing w:val="-1"/>
          <w:highlight w:val="green"/>
        </w:rPr>
        <w:t>include</w:t>
      </w:r>
      <w:r w:rsidRPr="009A0751">
        <w:rPr>
          <w:spacing w:val="12"/>
          <w:highlight w:val="green"/>
        </w:rPr>
        <w:t xml:space="preserve"> </w:t>
      </w:r>
      <w:r w:rsidRPr="009A0751">
        <w:rPr>
          <w:spacing w:val="-1"/>
          <w:highlight w:val="green"/>
        </w:rPr>
        <w:t>any</w:t>
      </w:r>
      <w:r w:rsidRPr="009A0751">
        <w:rPr>
          <w:spacing w:val="12"/>
          <w:highlight w:val="green"/>
        </w:rPr>
        <w:t xml:space="preserve"> </w:t>
      </w:r>
      <w:r w:rsidRPr="009A0751">
        <w:rPr>
          <w:spacing w:val="-1"/>
          <w:highlight w:val="green"/>
        </w:rPr>
        <w:t>specific</w:t>
      </w:r>
      <w:r w:rsidRPr="009A0751">
        <w:rPr>
          <w:spacing w:val="12"/>
          <w:highlight w:val="green"/>
        </w:rPr>
        <w:t xml:space="preserve"> </w:t>
      </w:r>
      <w:r w:rsidRPr="009A0751">
        <w:rPr>
          <w:spacing w:val="-1"/>
          <w:highlight w:val="green"/>
        </w:rPr>
        <w:t>events</w:t>
      </w:r>
      <w:r w:rsidRPr="009A0751">
        <w:rPr>
          <w:spacing w:val="61"/>
          <w:highlight w:val="green"/>
        </w:rPr>
        <w:t xml:space="preserve"> </w:t>
      </w:r>
      <w:r w:rsidRPr="009A0751">
        <w:rPr>
          <w:spacing w:val="-1"/>
          <w:highlight w:val="green"/>
        </w:rPr>
        <w:t>that would</w:t>
      </w:r>
      <w:r w:rsidRPr="009A0751">
        <w:rPr>
          <w:highlight w:val="green"/>
        </w:rPr>
        <w:t xml:space="preserve"> </w:t>
      </w:r>
      <w:r w:rsidRPr="009A0751">
        <w:rPr>
          <w:spacing w:val="-1"/>
          <w:highlight w:val="green"/>
        </w:rPr>
        <w:t>constitute</w:t>
      </w:r>
      <w:r w:rsidRPr="009A0751">
        <w:rPr>
          <w:spacing w:val="-2"/>
          <w:highlight w:val="green"/>
        </w:rPr>
        <w:t xml:space="preserve"> </w:t>
      </w:r>
      <w:r w:rsidRPr="009A0751">
        <w:rPr>
          <w:spacing w:val="-1"/>
          <w:highlight w:val="green"/>
        </w:rPr>
        <w:t>Critical</w:t>
      </w:r>
      <w:r w:rsidRPr="009A0751">
        <w:rPr>
          <w:highlight w:val="green"/>
        </w:rPr>
        <w:t xml:space="preserve"> </w:t>
      </w:r>
      <w:r w:rsidRPr="009A0751">
        <w:rPr>
          <w:spacing w:val="-1"/>
          <w:highlight w:val="green"/>
        </w:rPr>
        <w:t>Service</w:t>
      </w:r>
      <w:r w:rsidRPr="009A0751">
        <w:rPr>
          <w:highlight w:val="green"/>
        </w:rPr>
        <w:t xml:space="preserve"> </w:t>
      </w:r>
      <w:r w:rsidRPr="009A0751">
        <w:rPr>
          <w:spacing w:val="-2"/>
          <w:highlight w:val="green"/>
        </w:rPr>
        <w:t>Level</w:t>
      </w:r>
      <w:r w:rsidRPr="009A0751">
        <w:rPr>
          <w:spacing w:val="2"/>
          <w:highlight w:val="green"/>
        </w:rPr>
        <w:t xml:space="preserve"> </w:t>
      </w:r>
      <w:r w:rsidRPr="009A0751">
        <w:rPr>
          <w:spacing w:val="-2"/>
          <w:highlight w:val="green"/>
        </w:rPr>
        <w:t>Failure]</w:t>
      </w: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7"/>
          <w:szCs w:val="27"/>
        </w:rPr>
      </w:pPr>
    </w:p>
    <w:p w:rsidR="008918FA" w:rsidRDefault="008918FA" w:rsidP="008918FA">
      <w:pPr>
        <w:pStyle w:val="BodyText"/>
        <w:tabs>
          <w:tab w:val="left" w:pos="1778"/>
        </w:tabs>
        <w:spacing w:before="72"/>
        <w:ind w:left="468" w:right="115" w:firstLine="0"/>
      </w:pPr>
      <w:r w:rsidRPr="009A0751">
        <w:rPr>
          <w:spacing w:val="-1"/>
          <w:highlight w:val="yellow"/>
        </w:rPr>
        <w:t>[The</w:t>
      </w:r>
      <w:r w:rsidRPr="009A0751">
        <w:rPr>
          <w:spacing w:val="12"/>
          <w:highlight w:val="yellow"/>
        </w:rPr>
        <w:t xml:space="preserve"> </w:t>
      </w:r>
      <w:r w:rsidRPr="009A0751">
        <w:rPr>
          <w:spacing w:val="-1"/>
          <w:highlight w:val="yellow"/>
        </w:rPr>
        <w:t>number</w:t>
      </w:r>
      <w:r w:rsidRPr="009A0751">
        <w:rPr>
          <w:spacing w:val="14"/>
          <w:highlight w:val="yellow"/>
        </w:rPr>
        <w:t xml:space="preserve"> </w:t>
      </w:r>
      <w:r w:rsidRPr="009A0751">
        <w:rPr>
          <w:spacing w:val="-2"/>
          <w:highlight w:val="yellow"/>
        </w:rPr>
        <w:t>of</w:t>
      </w:r>
      <w:r w:rsidRPr="009A0751">
        <w:rPr>
          <w:spacing w:val="17"/>
          <w:highlight w:val="yellow"/>
        </w:rPr>
        <w:t xml:space="preserve"> </w:t>
      </w:r>
      <w:r w:rsidRPr="009A0751">
        <w:rPr>
          <w:spacing w:val="-2"/>
          <w:highlight w:val="yellow"/>
        </w:rPr>
        <w:t>Service</w:t>
      </w:r>
      <w:r w:rsidRPr="009A0751">
        <w:rPr>
          <w:spacing w:val="13"/>
          <w:highlight w:val="yellow"/>
        </w:rPr>
        <w:t xml:space="preserve"> </w:t>
      </w:r>
      <w:r w:rsidRPr="009A0751">
        <w:rPr>
          <w:spacing w:val="-2"/>
          <w:highlight w:val="yellow"/>
        </w:rPr>
        <w:t>Level</w:t>
      </w:r>
      <w:r w:rsidRPr="009A0751">
        <w:rPr>
          <w:spacing w:val="14"/>
          <w:highlight w:val="yellow"/>
        </w:rPr>
        <w:t xml:space="preserve"> </w:t>
      </w:r>
      <w:r w:rsidRPr="009A0751">
        <w:rPr>
          <w:spacing w:val="-1"/>
          <w:highlight w:val="yellow"/>
        </w:rPr>
        <w:t>Performance</w:t>
      </w:r>
      <w:r w:rsidRPr="009A0751">
        <w:rPr>
          <w:spacing w:val="13"/>
          <w:highlight w:val="yellow"/>
        </w:rPr>
        <w:t xml:space="preserve"> </w:t>
      </w:r>
      <w:r w:rsidRPr="009A0751">
        <w:rPr>
          <w:spacing w:val="-1"/>
          <w:highlight w:val="yellow"/>
        </w:rPr>
        <w:t>Criteria</w:t>
      </w:r>
      <w:r w:rsidRPr="009A0751">
        <w:rPr>
          <w:spacing w:val="14"/>
          <w:highlight w:val="yellow"/>
        </w:rPr>
        <w:t xml:space="preserve"> </w:t>
      </w:r>
      <w:r w:rsidRPr="009A0751">
        <w:rPr>
          <w:highlight w:val="yellow"/>
        </w:rPr>
        <w:t>for</w:t>
      </w:r>
      <w:r w:rsidRPr="009A0751">
        <w:rPr>
          <w:spacing w:val="14"/>
          <w:highlight w:val="yellow"/>
        </w:rPr>
        <w:t xml:space="preserve"> </w:t>
      </w:r>
      <w:r w:rsidRPr="009A0751">
        <w:rPr>
          <w:highlight w:val="yellow"/>
        </w:rPr>
        <w:t>the</w:t>
      </w:r>
      <w:r w:rsidRPr="009A0751">
        <w:rPr>
          <w:spacing w:val="12"/>
          <w:highlight w:val="yellow"/>
        </w:rPr>
        <w:t xml:space="preserve"> </w:t>
      </w:r>
      <w:r w:rsidRPr="009A0751">
        <w:rPr>
          <w:spacing w:val="-1"/>
          <w:highlight w:val="yellow"/>
        </w:rPr>
        <w:t>purpose</w:t>
      </w:r>
      <w:r w:rsidRPr="009A0751">
        <w:rPr>
          <w:spacing w:val="13"/>
          <w:highlight w:val="yellow"/>
        </w:rPr>
        <w:t xml:space="preserve"> </w:t>
      </w:r>
      <w:r w:rsidRPr="009A0751">
        <w:rPr>
          <w:spacing w:val="-2"/>
          <w:highlight w:val="yellow"/>
        </w:rPr>
        <w:t>of</w:t>
      </w:r>
      <w:r w:rsidRPr="009A0751">
        <w:rPr>
          <w:spacing w:val="16"/>
          <w:highlight w:val="yellow"/>
        </w:rPr>
        <w:t xml:space="preserve"> </w:t>
      </w:r>
      <w:r w:rsidRPr="009A0751">
        <w:rPr>
          <w:spacing w:val="-1"/>
          <w:highlight w:val="yellow"/>
        </w:rPr>
        <w:t>Clause</w:t>
      </w:r>
      <w:r w:rsidRPr="009A0751">
        <w:rPr>
          <w:spacing w:val="13"/>
          <w:highlight w:val="yellow"/>
        </w:rPr>
        <w:t xml:space="preserve"> </w:t>
      </w:r>
      <w:hyperlink w:anchor="_bookmark98" w:history="1">
        <w:r w:rsidRPr="009A0751">
          <w:rPr>
            <w:spacing w:val="-1"/>
            <w:highlight w:val="yellow"/>
          </w:rPr>
          <w:t>13.6.1</w:t>
        </w:r>
      </w:hyperlink>
      <w:r w:rsidRPr="009A0751">
        <w:rPr>
          <w:spacing w:val="57"/>
          <w:highlight w:val="yellow"/>
        </w:rPr>
        <w:t xml:space="preserve"> </w:t>
      </w:r>
      <w:r w:rsidRPr="009A0751">
        <w:rPr>
          <w:spacing w:val="-1"/>
          <w:highlight w:val="yellow"/>
        </w:rPr>
        <w:t>shall</w:t>
      </w:r>
      <w:r w:rsidRPr="009A0751">
        <w:rPr>
          <w:highlight w:val="yellow"/>
        </w:rPr>
        <w:t xml:space="preserve"> </w:t>
      </w:r>
      <w:r w:rsidRPr="009A0751">
        <w:rPr>
          <w:spacing w:val="-1"/>
          <w:highlight w:val="yellow"/>
        </w:rPr>
        <w:t>be</w:t>
      </w:r>
      <w:r w:rsidRPr="009A0751">
        <w:rPr>
          <w:highlight w:val="yellow"/>
        </w:rPr>
        <w:t xml:space="preserve"> [</w:t>
      </w:r>
      <w:r w:rsidRPr="009A0751">
        <w:rPr>
          <w:highlight w:val="yellow"/>
        </w:rPr>
        <w:tab/>
      </w:r>
      <w:r w:rsidRPr="009A0751">
        <w:rPr>
          <w:spacing w:val="-1"/>
          <w:highlight w:val="yellow"/>
        </w:rPr>
        <w:t>]]</w:t>
      </w:r>
    </w:p>
    <w:p w:rsidR="008918FA" w:rsidRDefault="008918FA" w:rsidP="008918FA">
      <w:pPr>
        <w:spacing w:before="8"/>
        <w:rPr>
          <w:rFonts w:ascii="Arial" w:eastAsia="Arial" w:hAnsi="Arial" w:cs="Arial"/>
          <w:sz w:val="14"/>
          <w:szCs w:val="14"/>
        </w:rPr>
      </w:pPr>
    </w:p>
    <w:p w:rsidR="008918FA" w:rsidRPr="009A0751" w:rsidRDefault="008918FA" w:rsidP="008918FA">
      <w:pPr>
        <w:pStyle w:val="Heading2"/>
        <w:ind w:left="326" w:right="111" w:firstLine="120"/>
        <w:jc w:val="both"/>
        <w:rPr>
          <w:b w:val="0"/>
          <w:bCs w:val="0"/>
          <w:i w:val="0"/>
          <w:highlight w:val="green"/>
        </w:rPr>
      </w:pPr>
      <w:r w:rsidRPr="009A0751">
        <w:rPr>
          <w:spacing w:val="-1"/>
          <w:highlight w:val="green"/>
        </w:rPr>
        <w:t>[Guidance</w:t>
      </w:r>
      <w:r w:rsidRPr="009A0751">
        <w:rPr>
          <w:spacing w:val="2"/>
          <w:highlight w:val="green"/>
        </w:rPr>
        <w:t xml:space="preserve"> </w:t>
      </w:r>
      <w:r w:rsidRPr="009A0751">
        <w:rPr>
          <w:spacing w:val="-1"/>
          <w:highlight w:val="green"/>
        </w:rPr>
        <w:t>Note:</w:t>
      </w:r>
      <w:r w:rsidRPr="009A0751">
        <w:rPr>
          <w:spacing w:val="3"/>
          <w:highlight w:val="green"/>
        </w:rPr>
        <w:t xml:space="preserve"> </w:t>
      </w:r>
      <w:r w:rsidRPr="009A0751">
        <w:rPr>
          <w:spacing w:val="-1"/>
          <w:highlight w:val="green"/>
        </w:rPr>
        <w:t>Clause</w:t>
      </w:r>
      <w:r w:rsidRPr="009A0751">
        <w:rPr>
          <w:spacing w:val="2"/>
          <w:highlight w:val="green"/>
        </w:rPr>
        <w:t xml:space="preserve"> </w:t>
      </w:r>
      <w:hyperlink w:anchor="_bookmark97" w:history="1">
        <w:r w:rsidRPr="009A0751">
          <w:rPr>
            <w:spacing w:val="-1"/>
            <w:highlight w:val="green"/>
          </w:rPr>
          <w:t>13.6</w:t>
        </w:r>
      </w:hyperlink>
      <w:r w:rsidRPr="009A0751">
        <w:rPr>
          <w:spacing w:val="2"/>
          <w:highlight w:val="green"/>
        </w:rPr>
        <w:t xml:space="preserve"> </w:t>
      </w:r>
      <w:r w:rsidRPr="009A0751">
        <w:rPr>
          <w:spacing w:val="-1"/>
          <w:highlight w:val="green"/>
        </w:rPr>
        <w:t>gives</w:t>
      </w:r>
      <w:r w:rsidRPr="009A0751">
        <w:rPr>
          <w:spacing w:val="2"/>
          <w:highlight w:val="green"/>
        </w:rPr>
        <w:t xml:space="preserve"> </w:t>
      </w:r>
      <w:r w:rsidRPr="009A0751">
        <w:rPr>
          <w:spacing w:val="-1"/>
          <w:highlight w:val="green"/>
        </w:rPr>
        <w:t>the</w:t>
      </w:r>
      <w:r w:rsidRPr="009A0751">
        <w:rPr>
          <w:spacing w:val="2"/>
          <w:highlight w:val="green"/>
        </w:rPr>
        <w:t xml:space="preserve"> </w:t>
      </w:r>
      <w:r w:rsidRPr="009A0751">
        <w:rPr>
          <w:spacing w:val="-1"/>
          <w:highlight w:val="green"/>
        </w:rPr>
        <w:t>Customer</w:t>
      </w:r>
      <w:r w:rsidRPr="009A0751">
        <w:rPr>
          <w:spacing w:val="61"/>
          <w:highlight w:val="green"/>
        </w:rPr>
        <w:t xml:space="preserve"> </w:t>
      </w:r>
      <w:r w:rsidRPr="009A0751">
        <w:rPr>
          <w:spacing w:val="-1"/>
          <w:highlight w:val="green"/>
        </w:rPr>
        <w:t>the</w:t>
      </w:r>
      <w:r w:rsidRPr="009A0751">
        <w:rPr>
          <w:spacing w:val="2"/>
          <w:highlight w:val="green"/>
        </w:rPr>
        <w:t xml:space="preserve"> </w:t>
      </w:r>
      <w:r w:rsidRPr="009A0751">
        <w:rPr>
          <w:spacing w:val="-1"/>
          <w:highlight w:val="green"/>
        </w:rPr>
        <w:t>ability</w:t>
      </w:r>
      <w:r w:rsidRPr="009A0751">
        <w:rPr>
          <w:spacing w:val="60"/>
          <w:highlight w:val="green"/>
        </w:rPr>
        <w:t xml:space="preserve"> </w:t>
      </w:r>
      <w:r w:rsidRPr="009A0751">
        <w:rPr>
          <w:highlight w:val="green"/>
        </w:rPr>
        <w:t>to</w:t>
      </w:r>
      <w:r w:rsidRPr="009A0751">
        <w:rPr>
          <w:spacing w:val="60"/>
          <w:highlight w:val="green"/>
        </w:rPr>
        <w:t xml:space="preserve"> </w:t>
      </w:r>
      <w:r w:rsidRPr="009A0751">
        <w:rPr>
          <w:spacing w:val="-1"/>
          <w:highlight w:val="green"/>
        </w:rPr>
        <w:t>change</w:t>
      </w:r>
      <w:r w:rsidRPr="009A0751">
        <w:rPr>
          <w:spacing w:val="2"/>
          <w:highlight w:val="green"/>
        </w:rPr>
        <w:t xml:space="preserve"> </w:t>
      </w:r>
      <w:r w:rsidRPr="009A0751">
        <w:rPr>
          <w:spacing w:val="-1"/>
          <w:highlight w:val="green"/>
        </w:rPr>
        <w:t>the</w:t>
      </w:r>
      <w:r w:rsidRPr="009A0751">
        <w:rPr>
          <w:spacing w:val="52"/>
          <w:highlight w:val="green"/>
        </w:rPr>
        <w:t xml:space="preserve"> </w:t>
      </w:r>
      <w:r w:rsidRPr="009A0751">
        <w:rPr>
          <w:spacing w:val="-1"/>
          <w:highlight w:val="green"/>
        </w:rPr>
        <w:t>weighting</w:t>
      </w:r>
      <w:r w:rsidRPr="009A0751">
        <w:rPr>
          <w:spacing w:val="34"/>
          <w:highlight w:val="green"/>
        </w:rPr>
        <w:t xml:space="preserve"> </w:t>
      </w:r>
      <w:r w:rsidRPr="009A0751">
        <w:rPr>
          <w:spacing w:val="-1"/>
          <w:highlight w:val="green"/>
        </w:rPr>
        <w:t>of</w:t>
      </w:r>
      <w:r w:rsidRPr="009A0751">
        <w:rPr>
          <w:spacing w:val="38"/>
          <w:highlight w:val="green"/>
        </w:rPr>
        <w:t xml:space="preserve"> </w:t>
      </w:r>
      <w:r w:rsidRPr="009A0751">
        <w:rPr>
          <w:spacing w:val="-1"/>
          <w:highlight w:val="green"/>
        </w:rPr>
        <w:t>Service</w:t>
      </w:r>
      <w:r w:rsidRPr="009A0751">
        <w:rPr>
          <w:spacing w:val="36"/>
          <w:highlight w:val="green"/>
        </w:rPr>
        <w:t xml:space="preserve"> </w:t>
      </w:r>
      <w:r w:rsidRPr="009A0751">
        <w:rPr>
          <w:spacing w:val="-2"/>
          <w:highlight w:val="green"/>
        </w:rPr>
        <w:t>Level</w:t>
      </w:r>
      <w:r w:rsidRPr="009A0751">
        <w:rPr>
          <w:spacing w:val="38"/>
          <w:highlight w:val="green"/>
        </w:rPr>
        <w:t xml:space="preserve"> </w:t>
      </w:r>
      <w:r w:rsidRPr="009A0751">
        <w:rPr>
          <w:spacing w:val="-1"/>
          <w:highlight w:val="green"/>
        </w:rPr>
        <w:t>Performance</w:t>
      </w:r>
      <w:r w:rsidRPr="009A0751">
        <w:rPr>
          <w:spacing w:val="34"/>
          <w:highlight w:val="green"/>
        </w:rPr>
        <w:t xml:space="preserve"> </w:t>
      </w:r>
      <w:r w:rsidRPr="009A0751">
        <w:rPr>
          <w:spacing w:val="-1"/>
          <w:highlight w:val="green"/>
        </w:rPr>
        <w:t>Measures</w:t>
      </w:r>
      <w:r w:rsidRPr="009A0751">
        <w:rPr>
          <w:spacing w:val="36"/>
          <w:highlight w:val="green"/>
        </w:rPr>
        <w:t xml:space="preserve"> </w:t>
      </w:r>
      <w:r w:rsidRPr="009A0751">
        <w:rPr>
          <w:spacing w:val="-1"/>
          <w:highlight w:val="green"/>
        </w:rPr>
        <w:t>provided</w:t>
      </w:r>
      <w:r w:rsidRPr="009A0751">
        <w:rPr>
          <w:spacing w:val="37"/>
          <w:highlight w:val="green"/>
        </w:rPr>
        <w:t xml:space="preserve"> </w:t>
      </w:r>
      <w:r w:rsidRPr="009A0751">
        <w:rPr>
          <w:spacing w:val="-1"/>
          <w:highlight w:val="green"/>
        </w:rPr>
        <w:t>that,</w:t>
      </w:r>
      <w:r w:rsidRPr="009A0751">
        <w:rPr>
          <w:spacing w:val="35"/>
          <w:highlight w:val="green"/>
        </w:rPr>
        <w:t xml:space="preserve"> </w:t>
      </w:r>
      <w:r w:rsidRPr="009A0751">
        <w:rPr>
          <w:spacing w:val="-1"/>
          <w:highlight w:val="green"/>
        </w:rPr>
        <w:t>among</w:t>
      </w:r>
      <w:r w:rsidRPr="009A0751">
        <w:rPr>
          <w:spacing w:val="36"/>
          <w:highlight w:val="green"/>
        </w:rPr>
        <w:t xml:space="preserve"> </w:t>
      </w:r>
      <w:r w:rsidRPr="009A0751">
        <w:rPr>
          <w:spacing w:val="-1"/>
          <w:highlight w:val="green"/>
        </w:rPr>
        <w:t>other</w:t>
      </w:r>
      <w:r w:rsidRPr="009A0751">
        <w:rPr>
          <w:spacing w:val="41"/>
          <w:highlight w:val="green"/>
        </w:rPr>
        <w:t xml:space="preserve"> </w:t>
      </w:r>
      <w:r w:rsidRPr="009A0751">
        <w:rPr>
          <w:spacing w:val="-1"/>
          <w:highlight w:val="green"/>
        </w:rPr>
        <w:t>things,</w:t>
      </w:r>
      <w:r w:rsidRPr="009A0751">
        <w:rPr>
          <w:spacing w:val="52"/>
          <w:highlight w:val="green"/>
        </w:rPr>
        <w:t xml:space="preserve"> </w:t>
      </w:r>
      <w:r w:rsidRPr="009A0751">
        <w:rPr>
          <w:spacing w:val="-1"/>
          <w:highlight w:val="green"/>
        </w:rPr>
        <w:t>the</w:t>
      </w:r>
      <w:r w:rsidRPr="009A0751">
        <w:rPr>
          <w:spacing w:val="48"/>
          <w:highlight w:val="green"/>
        </w:rPr>
        <w:t xml:space="preserve"> </w:t>
      </w:r>
      <w:r w:rsidRPr="009A0751">
        <w:rPr>
          <w:spacing w:val="-1"/>
          <w:highlight w:val="green"/>
        </w:rPr>
        <w:t>number</w:t>
      </w:r>
      <w:r w:rsidRPr="009A0751">
        <w:rPr>
          <w:spacing w:val="49"/>
          <w:highlight w:val="green"/>
        </w:rPr>
        <w:t xml:space="preserve"> </w:t>
      </w:r>
      <w:r w:rsidRPr="009A0751">
        <w:rPr>
          <w:spacing w:val="-1"/>
          <w:highlight w:val="green"/>
        </w:rPr>
        <w:t>of</w:t>
      </w:r>
      <w:r w:rsidRPr="009A0751">
        <w:rPr>
          <w:spacing w:val="49"/>
          <w:highlight w:val="green"/>
        </w:rPr>
        <w:t xml:space="preserve"> </w:t>
      </w:r>
      <w:r w:rsidRPr="009A0751">
        <w:rPr>
          <w:spacing w:val="-1"/>
          <w:highlight w:val="green"/>
        </w:rPr>
        <w:t>Service</w:t>
      </w:r>
      <w:r w:rsidRPr="009A0751">
        <w:rPr>
          <w:spacing w:val="51"/>
          <w:highlight w:val="green"/>
        </w:rPr>
        <w:t xml:space="preserve"> </w:t>
      </w:r>
      <w:r w:rsidRPr="009A0751">
        <w:rPr>
          <w:spacing w:val="-2"/>
          <w:highlight w:val="green"/>
        </w:rPr>
        <w:t>Level</w:t>
      </w:r>
      <w:r w:rsidRPr="009A0751">
        <w:rPr>
          <w:spacing w:val="52"/>
          <w:highlight w:val="green"/>
        </w:rPr>
        <w:t xml:space="preserve"> </w:t>
      </w:r>
      <w:r w:rsidRPr="009A0751">
        <w:rPr>
          <w:spacing w:val="-1"/>
          <w:highlight w:val="green"/>
        </w:rPr>
        <w:t>Performance</w:t>
      </w:r>
      <w:r w:rsidRPr="009A0751">
        <w:rPr>
          <w:spacing w:val="52"/>
          <w:highlight w:val="green"/>
        </w:rPr>
        <w:t xml:space="preserve"> </w:t>
      </w:r>
      <w:r w:rsidRPr="009A0751">
        <w:rPr>
          <w:spacing w:val="-1"/>
          <w:highlight w:val="green"/>
        </w:rPr>
        <w:t>Criteria</w:t>
      </w:r>
      <w:r w:rsidRPr="009A0751">
        <w:rPr>
          <w:spacing w:val="51"/>
          <w:highlight w:val="green"/>
        </w:rPr>
        <w:t xml:space="preserve"> </w:t>
      </w:r>
      <w:r w:rsidRPr="009A0751">
        <w:rPr>
          <w:spacing w:val="-1"/>
          <w:highlight w:val="green"/>
        </w:rPr>
        <w:t>does</w:t>
      </w:r>
      <w:r w:rsidRPr="009A0751">
        <w:rPr>
          <w:spacing w:val="51"/>
          <w:highlight w:val="green"/>
        </w:rPr>
        <w:t xml:space="preserve"> </w:t>
      </w:r>
      <w:r w:rsidRPr="009A0751">
        <w:rPr>
          <w:spacing w:val="-2"/>
          <w:highlight w:val="green"/>
        </w:rPr>
        <w:t>not</w:t>
      </w:r>
      <w:r w:rsidRPr="009A0751">
        <w:rPr>
          <w:spacing w:val="52"/>
          <w:highlight w:val="green"/>
        </w:rPr>
        <w:t xml:space="preserve"> </w:t>
      </w:r>
      <w:r w:rsidRPr="009A0751">
        <w:rPr>
          <w:spacing w:val="-1"/>
          <w:highlight w:val="green"/>
        </w:rPr>
        <w:t>exceed</w:t>
      </w:r>
      <w:r w:rsidRPr="009A0751">
        <w:rPr>
          <w:spacing w:val="48"/>
          <w:highlight w:val="green"/>
        </w:rPr>
        <w:t xml:space="preserve"> </w:t>
      </w:r>
      <w:r w:rsidRPr="009A0751">
        <w:rPr>
          <w:highlight w:val="green"/>
        </w:rPr>
        <w:t>a</w:t>
      </w:r>
      <w:r w:rsidRPr="009A0751">
        <w:rPr>
          <w:spacing w:val="45"/>
          <w:highlight w:val="green"/>
        </w:rPr>
        <w:t xml:space="preserve"> </w:t>
      </w:r>
      <w:r w:rsidRPr="009A0751">
        <w:rPr>
          <w:spacing w:val="-1"/>
          <w:highlight w:val="green"/>
        </w:rPr>
        <w:t>number</w:t>
      </w:r>
      <w:r w:rsidRPr="009A0751">
        <w:rPr>
          <w:spacing w:val="32"/>
          <w:highlight w:val="green"/>
        </w:rPr>
        <w:t xml:space="preserve"> </w:t>
      </w:r>
      <w:r w:rsidRPr="009A0751">
        <w:rPr>
          <w:spacing w:val="-1"/>
          <w:highlight w:val="green"/>
        </w:rPr>
        <w:t>designated</w:t>
      </w:r>
      <w:r w:rsidRPr="009A0751">
        <w:rPr>
          <w:spacing w:val="31"/>
          <w:highlight w:val="green"/>
        </w:rPr>
        <w:t xml:space="preserve"> </w:t>
      </w:r>
      <w:r w:rsidRPr="009A0751">
        <w:rPr>
          <w:highlight w:val="green"/>
        </w:rPr>
        <w:t>in</w:t>
      </w:r>
      <w:r w:rsidRPr="009A0751">
        <w:rPr>
          <w:spacing w:val="31"/>
          <w:highlight w:val="green"/>
        </w:rPr>
        <w:t xml:space="preserve"> </w:t>
      </w:r>
      <w:r w:rsidRPr="009A0751">
        <w:rPr>
          <w:highlight w:val="green"/>
        </w:rPr>
        <w:t>this</w:t>
      </w:r>
      <w:r w:rsidRPr="009A0751">
        <w:rPr>
          <w:spacing w:val="31"/>
          <w:highlight w:val="green"/>
        </w:rPr>
        <w:t xml:space="preserve"> </w:t>
      </w:r>
      <w:r w:rsidRPr="009A0751">
        <w:rPr>
          <w:spacing w:val="-2"/>
          <w:highlight w:val="green"/>
        </w:rPr>
        <w:t>Call</w:t>
      </w:r>
      <w:r w:rsidRPr="009A0751">
        <w:rPr>
          <w:spacing w:val="33"/>
          <w:highlight w:val="green"/>
        </w:rPr>
        <w:t xml:space="preserve"> </w:t>
      </w:r>
      <w:r w:rsidRPr="009A0751">
        <w:rPr>
          <w:spacing w:val="-1"/>
          <w:highlight w:val="green"/>
        </w:rPr>
        <w:t>Off</w:t>
      </w:r>
      <w:r w:rsidRPr="009A0751">
        <w:rPr>
          <w:spacing w:val="33"/>
          <w:highlight w:val="green"/>
        </w:rPr>
        <w:t xml:space="preserve"> </w:t>
      </w:r>
      <w:r w:rsidRPr="009A0751">
        <w:rPr>
          <w:spacing w:val="-1"/>
          <w:highlight w:val="green"/>
        </w:rPr>
        <w:t>Contract</w:t>
      </w:r>
      <w:r w:rsidRPr="009A0751">
        <w:rPr>
          <w:spacing w:val="34"/>
          <w:highlight w:val="green"/>
        </w:rPr>
        <w:t xml:space="preserve"> </w:t>
      </w:r>
      <w:r w:rsidRPr="009A0751">
        <w:rPr>
          <w:spacing w:val="-1"/>
          <w:highlight w:val="green"/>
        </w:rPr>
        <w:t>for</w:t>
      </w:r>
      <w:r w:rsidRPr="009A0751">
        <w:rPr>
          <w:spacing w:val="32"/>
          <w:highlight w:val="green"/>
        </w:rPr>
        <w:t xml:space="preserve"> </w:t>
      </w:r>
      <w:r w:rsidRPr="009A0751">
        <w:rPr>
          <w:spacing w:val="-1"/>
          <w:highlight w:val="green"/>
        </w:rPr>
        <w:t>that</w:t>
      </w:r>
      <w:r w:rsidRPr="009A0751">
        <w:rPr>
          <w:spacing w:val="33"/>
          <w:highlight w:val="green"/>
        </w:rPr>
        <w:t xml:space="preserve"> </w:t>
      </w:r>
      <w:r w:rsidRPr="009A0751">
        <w:rPr>
          <w:spacing w:val="-2"/>
          <w:highlight w:val="green"/>
        </w:rPr>
        <w:t>purpose.</w:t>
      </w:r>
      <w:r w:rsidRPr="009A0751">
        <w:rPr>
          <w:spacing w:val="33"/>
          <w:highlight w:val="green"/>
        </w:rPr>
        <w:t xml:space="preserve"> </w:t>
      </w:r>
      <w:r w:rsidRPr="009A0751">
        <w:rPr>
          <w:spacing w:val="-1"/>
          <w:highlight w:val="green"/>
        </w:rPr>
        <w:t>Where</w:t>
      </w:r>
      <w:r w:rsidRPr="009A0751">
        <w:rPr>
          <w:spacing w:val="31"/>
          <w:highlight w:val="green"/>
        </w:rPr>
        <w:t xml:space="preserve"> </w:t>
      </w:r>
      <w:r w:rsidRPr="009A0751">
        <w:rPr>
          <w:spacing w:val="-1"/>
          <w:highlight w:val="green"/>
        </w:rPr>
        <w:t>indicated</w:t>
      </w:r>
      <w:r w:rsidRPr="009A0751">
        <w:rPr>
          <w:spacing w:val="50"/>
          <w:highlight w:val="green"/>
        </w:rPr>
        <w:t xml:space="preserve"> </w:t>
      </w:r>
      <w:r w:rsidRPr="009A0751">
        <w:rPr>
          <w:spacing w:val="-1"/>
          <w:highlight w:val="green"/>
        </w:rPr>
        <w:t>above,</w:t>
      </w:r>
      <w:r w:rsidRPr="009A0751">
        <w:rPr>
          <w:spacing w:val="19"/>
          <w:highlight w:val="green"/>
        </w:rPr>
        <w:t xml:space="preserve"> </w:t>
      </w:r>
      <w:r w:rsidRPr="009A0751">
        <w:rPr>
          <w:spacing w:val="-1"/>
          <w:highlight w:val="green"/>
        </w:rPr>
        <w:t>please</w:t>
      </w:r>
      <w:r w:rsidRPr="009A0751">
        <w:rPr>
          <w:spacing w:val="17"/>
          <w:highlight w:val="green"/>
        </w:rPr>
        <w:t xml:space="preserve"> </w:t>
      </w:r>
      <w:r w:rsidRPr="009A0751">
        <w:rPr>
          <w:spacing w:val="-1"/>
          <w:highlight w:val="green"/>
        </w:rPr>
        <w:t>an</w:t>
      </w:r>
      <w:r w:rsidRPr="009A0751">
        <w:rPr>
          <w:spacing w:val="15"/>
          <w:highlight w:val="green"/>
        </w:rPr>
        <w:t xml:space="preserve"> </w:t>
      </w:r>
      <w:r w:rsidRPr="009A0751">
        <w:rPr>
          <w:spacing w:val="-1"/>
          <w:highlight w:val="green"/>
        </w:rPr>
        <w:t>appropriate</w:t>
      </w:r>
      <w:r w:rsidRPr="009A0751">
        <w:rPr>
          <w:spacing w:val="15"/>
          <w:highlight w:val="green"/>
        </w:rPr>
        <w:t xml:space="preserve"> </w:t>
      </w:r>
      <w:r w:rsidRPr="009A0751">
        <w:rPr>
          <w:spacing w:val="-1"/>
          <w:highlight w:val="green"/>
        </w:rPr>
        <w:t>number</w:t>
      </w:r>
      <w:r w:rsidRPr="009A0751">
        <w:rPr>
          <w:spacing w:val="18"/>
          <w:highlight w:val="green"/>
        </w:rPr>
        <w:t xml:space="preserve"> </w:t>
      </w:r>
      <w:r w:rsidRPr="009A0751">
        <w:rPr>
          <w:spacing w:val="-2"/>
          <w:highlight w:val="green"/>
        </w:rPr>
        <w:t>of</w:t>
      </w:r>
      <w:r w:rsidRPr="009A0751">
        <w:rPr>
          <w:spacing w:val="19"/>
          <w:highlight w:val="green"/>
        </w:rPr>
        <w:t xml:space="preserve"> </w:t>
      </w:r>
      <w:r w:rsidRPr="009A0751">
        <w:rPr>
          <w:spacing w:val="-1"/>
          <w:highlight w:val="green"/>
        </w:rPr>
        <w:t>Service</w:t>
      </w:r>
      <w:r w:rsidRPr="009A0751">
        <w:rPr>
          <w:spacing w:val="17"/>
          <w:highlight w:val="green"/>
        </w:rPr>
        <w:t xml:space="preserve"> </w:t>
      </w:r>
      <w:r w:rsidRPr="009A0751">
        <w:rPr>
          <w:spacing w:val="-2"/>
          <w:highlight w:val="green"/>
        </w:rPr>
        <w:t>Level</w:t>
      </w:r>
      <w:r w:rsidRPr="009A0751">
        <w:rPr>
          <w:spacing w:val="19"/>
          <w:highlight w:val="green"/>
        </w:rPr>
        <w:t xml:space="preserve"> </w:t>
      </w:r>
      <w:r w:rsidRPr="009A0751">
        <w:rPr>
          <w:spacing w:val="-2"/>
          <w:highlight w:val="green"/>
        </w:rPr>
        <w:t>Performance</w:t>
      </w:r>
      <w:r w:rsidRPr="009A0751">
        <w:rPr>
          <w:spacing w:val="17"/>
          <w:highlight w:val="green"/>
        </w:rPr>
        <w:t xml:space="preserve"> </w:t>
      </w:r>
      <w:r w:rsidRPr="009A0751">
        <w:rPr>
          <w:spacing w:val="-1"/>
          <w:highlight w:val="green"/>
        </w:rPr>
        <w:t>Criteria</w:t>
      </w:r>
      <w:r w:rsidRPr="009A0751">
        <w:rPr>
          <w:spacing w:val="17"/>
          <w:highlight w:val="green"/>
        </w:rPr>
        <w:t xml:space="preserve"> </w:t>
      </w:r>
      <w:r w:rsidRPr="009A0751">
        <w:rPr>
          <w:spacing w:val="-1"/>
          <w:highlight w:val="green"/>
        </w:rPr>
        <w:t>e.g.</w:t>
      </w:r>
    </w:p>
    <w:p w:rsidR="008918FA" w:rsidRDefault="008918FA" w:rsidP="008918FA">
      <w:pPr>
        <w:spacing w:before="1"/>
        <w:ind w:left="326" w:right="118"/>
        <w:rPr>
          <w:rFonts w:ascii="Arial" w:eastAsia="Arial" w:hAnsi="Arial" w:cs="Arial"/>
        </w:rPr>
      </w:pPr>
      <w:r w:rsidRPr="009A0751">
        <w:rPr>
          <w:rFonts w:ascii="Arial"/>
          <w:b/>
          <w:i/>
          <w:spacing w:val="-1"/>
          <w:highlight w:val="green"/>
        </w:rPr>
        <w:t>10.</w:t>
      </w:r>
      <w:r w:rsidRPr="009A0751">
        <w:rPr>
          <w:rFonts w:ascii="Arial"/>
          <w:b/>
          <w:i/>
          <w:spacing w:val="23"/>
          <w:highlight w:val="green"/>
        </w:rPr>
        <w:t xml:space="preserve"> </w:t>
      </w:r>
      <w:r w:rsidRPr="009A0751">
        <w:rPr>
          <w:rFonts w:ascii="Arial"/>
          <w:b/>
          <w:i/>
          <w:spacing w:val="-1"/>
          <w:highlight w:val="green"/>
        </w:rPr>
        <w:t>If</w:t>
      </w:r>
      <w:r w:rsidRPr="009A0751">
        <w:rPr>
          <w:rFonts w:ascii="Arial"/>
          <w:b/>
          <w:i/>
          <w:spacing w:val="21"/>
          <w:highlight w:val="green"/>
        </w:rPr>
        <w:t xml:space="preserve"> </w:t>
      </w:r>
      <w:r w:rsidRPr="009A0751">
        <w:rPr>
          <w:rFonts w:ascii="Arial"/>
          <w:b/>
          <w:i/>
          <w:highlight w:val="green"/>
        </w:rPr>
        <w:t>this</w:t>
      </w:r>
      <w:r w:rsidRPr="009A0751">
        <w:rPr>
          <w:rFonts w:ascii="Arial"/>
          <w:b/>
          <w:i/>
          <w:spacing w:val="22"/>
          <w:highlight w:val="green"/>
        </w:rPr>
        <w:t xml:space="preserve"> </w:t>
      </w:r>
      <w:r w:rsidRPr="009A0751">
        <w:rPr>
          <w:rFonts w:ascii="Arial"/>
          <w:b/>
          <w:i/>
          <w:spacing w:val="-1"/>
          <w:highlight w:val="green"/>
        </w:rPr>
        <w:t>number</w:t>
      </w:r>
      <w:r w:rsidRPr="009A0751">
        <w:rPr>
          <w:rFonts w:ascii="Arial"/>
          <w:b/>
          <w:i/>
          <w:spacing w:val="20"/>
          <w:highlight w:val="green"/>
        </w:rPr>
        <w:t xml:space="preserve"> </w:t>
      </w:r>
      <w:r w:rsidRPr="009A0751">
        <w:rPr>
          <w:rFonts w:ascii="Arial"/>
          <w:b/>
          <w:i/>
          <w:highlight w:val="green"/>
        </w:rPr>
        <w:t>is</w:t>
      </w:r>
      <w:r w:rsidRPr="009A0751">
        <w:rPr>
          <w:rFonts w:ascii="Arial"/>
          <w:b/>
          <w:i/>
          <w:spacing w:val="22"/>
          <w:highlight w:val="green"/>
        </w:rPr>
        <w:t xml:space="preserve"> </w:t>
      </w:r>
      <w:r w:rsidRPr="009A0751">
        <w:rPr>
          <w:rFonts w:ascii="Arial"/>
          <w:b/>
          <w:i/>
          <w:spacing w:val="-2"/>
          <w:highlight w:val="green"/>
        </w:rPr>
        <w:t>exceeded</w:t>
      </w:r>
      <w:r w:rsidRPr="009A0751">
        <w:rPr>
          <w:rFonts w:ascii="Arial"/>
          <w:b/>
          <w:i/>
          <w:spacing w:val="22"/>
          <w:highlight w:val="green"/>
        </w:rPr>
        <w:t xml:space="preserve"> </w:t>
      </w:r>
      <w:r w:rsidRPr="009A0751">
        <w:rPr>
          <w:rFonts w:ascii="Arial"/>
          <w:b/>
          <w:i/>
          <w:spacing w:val="-1"/>
          <w:highlight w:val="green"/>
        </w:rPr>
        <w:t>then</w:t>
      </w:r>
      <w:r w:rsidRPr="009A0751">
        <w:rPr>
          <w:rFonts w:ascii="Arial"/>
          <w:b/>
          <w:i/>
          <w:spacing w:val="20"/>
          <w:highlight w:val="green"/>
        </w:rPr>
        <w:t xml:space="preserve"> </w:t>
      </w:r>
      <w:r w:rsidRPr="009A0751">
        <w:rPr>
          <w:rFonts w:ascii="Arial"/>
          <w:b/>
          <w:i/>
          <w:spacing w:val="-1"/>
          <w:highlight w:val="green"/>
        </w:rPr>
        <w:t>the</w:t>
      </w:r>
      <w:r w:rsidRPr="009A0751">
        <w:rPr>
          <w:rFonts w:ascii="Arial"/>
          <w:b/>
          <w:i/>
          <w:spacing w:val="22"/>
          <w:highlight w:val="green"/>
        </w:rPr>
        <w:t xml:space="preserve"> </w:t>
      </w:r>
      <w:r w:rsidRPr="009A0751">
        <w:rPr>
          <w:rFonts w:ascii="Arial"/>
          <w:b/>
          <w:i/>
          <w:spacing w:val="-1"/>
          <w:highlight w:val="green"/>
        </w:rPr>
        <w:t>Supplier</w:t>
      </w:r>
      <w:r w:rsidRPr="009A0751">
        <w:rPr>
          <w:rFonts w:ascii="Arial"/>
          <w:b/>
          <w:i/>
          <w:spacing w:val="20"/>
          <w:highlight w:val="green"/>
        </w:rPr>
        <w:t xml:space="preserve"> </w:t>
      </w:r>
      <w:r w:rsidRPr="009A0751">
        <w:rPr>
          <w:rFonts w:ascii="Arial"/>
          <w:b/>
          <w:i/>
          <w:spacing w:val="-1"/>
          <w:highlight w:val="green"/>
        </w:rPr>
        <w:t>cannot</w:t>
      </w:r>
      <w:r w:rsidRPr="009A0751">
        <w:rPr>
          <w:rFonts w:ascii="Arial"/>
          <w:b/>
          <w:i/>
          <w:spacing w:val="23"/>
          <w:highlight w:val="green"/>
        </w:rPr>
        <w:t xml:space="preserve"> </w:t>
      </w:r>
      <w:r w:rsidRPr="009A0751">
        <w:rPr>
          <w:rFonts w:ascii="Arial"/>
          <w:b/>
          <w:i/>
          <w:spacing w:val="-1"/>
          <w:highlight w:val="green"/>
        </w:rPr>
        <w:t>unilaterally</w:t>
      </w:r>
      <w:r w:rsidRPr="009A0751">
        <w:rPr>
          <w:rFonts w:ascii="Arial"/>
          <w:b/>
          <w:i/>
          <w:spacing w:val="22"/>
          <w:highlight w:val="green"/>
        </w:rPr>
        <w:t xml:space="preserve"> </w:t>
      </w:r>
      <w:r w:rsidRPr="009A0751">
        <w:rPr>
          <w:rFonts w:ascii="Arial"/>
          <w:b/>
          <w:i/>
          <w:spacing w:val="-1"/>
          <w:highlight w:val="green"/>
        </w:rPr>
        <w:t>change</w:t>
      </w:r>
      <w:r w:rsidRPr="009A0751">
        <w:rPr>
          <w:rFonts w:ascii="Arial"/>
          <w:b/>
          <w:i/>
          <w:spacing w:val="22"/>
          <w:highlight w:val="green"/>
        </w:rPr>
        <w:t xml:space="preserve"> </w:t>
      </w:r>
      <w:r w:rsidRPr="009A0751">
        <w:rPr>
          <w:rFonts w:ascii="Arial"/>
          <w:b/>
          <w:i/>
          <w:spacing w:val="-1"/>
          <w:highlight w:val="green"/>
        </w:rPr>
        <w:t>the</w:t>
      </w:r>
      <w:r w:rsidRPr="009A0751">
        <w:rPr>
          <w:rFonts w:ascii="Arial"/>
          <w:b/>
          <w:i/>
          <w:spacing w:val="42"/>
          <w:highlight w:val="green"/>
        </w:rPr>
        <w:t xml:space="preserve"> </w:t>
      </w:r>
      <w:r w:rsidRPr="009A0751">
        <w:rPr>
          <w:rFonts w:ascii="Arial"/>
          <w:b/>
          <w:i/>
          <w:spacing w:val="-1"/>
          <w:highlight w:val="green"/>
        </w:rPr>
        <w:t>Service</w:t>
      </w:r>
      <w:r w:rsidRPr="009A0751">
        <w:rPr>
          <w:rFonts w:ascii="Arial"/>
          <w:b/>
          <w:i/>
          <w:highlight w:val="green"/>
        </w:rPr>
        <w:t xml:space="preserve"> </w:t>
      </w:r>
      <w:r w:rsidRPr="009A0751">
        <w:rPr>
          <w:rFonts w:ascii="Arial"/>
          <w:b/>
          <w:i/>
          <w:spacing w:val="-2"/>
          <w:highlight w:val="green"/>
        </w:rPr>
        <w:t>Level</w:t>
      </w:r>
      <w:r w:rsidRPr="009A0751">
        <w:rPr>
          <w:rFonts w:ascii="Arial"/>
          <w:b/>
          <w:i/>
          <w:spacing w:val="2"/>
          <w:highlight w:val="green"/>
        </w:rPr>
        <w:t xml:space="preserve"> </w:t>
      </w:r>
      <w:r w:rsidRPr="009A0751">
        <w:rPr>
          <w:rFonts w:ascii="Arial"/>
          <w:b/>
          <w:i/>
          <w:spacing w:val="-2"/>
          <w:highlight w:val="green"/>
        </w:rPr>
        <w:t>Performance</w:t>
      </w:r>
      <w:r w:rsidRPr="009A0751">
        <w:rPr>
          <w:rFonts w:ascii="Arial"/>
          <w:b/>
          <w:i/>
          <w:highlight w:val="green"/>
        </w:rPr>
        <w:t xml:space="preserve"> </w:t>
      </w:r>
      <w:r w:rsidRPr="009A0751">
        <w:rPr>
          <w:rFonts w:ascii="Arial"/>
          <w:b/>
          <w:i/>
          <w:spacing w:val="-2"/>
          <w:highlight w:val="green"/>
        </w:rPr>
        <w:t>Measures]</w:t>
      </w:r>
    </w:p>
    <w:p w:rsidR="008918FA" w:rsidRDefault="008918FA" w:rsidP="008918FA">
      <w:pPr>
        <w:rPr>
          <w:rFonts w:ascii="Arial" w:eastAsia="Arial" w:hAnsi="Arial" w:cs="Arial"/>
        </w:rPr>
        <w:sectPr w:rsidR="008918FA">
          <w:pgSz w:w="11910" w:h="16840"/>
          <w:pgMar w:top="1480" w:right="1300" w:bottom="1160" w:left="1680" w:header="0" w:footer="967" w:gutter="0"/>
          <w:cols w:space="720"/>
        </w:sectPr>
      </w:pPr>
    </w:p>
    <w:p w:rsidR="008918FA" w:rsidRDefault="008918FA" w:rsidP="008918FA">
      <w:pPr>
        <w:pStyle w:val="BodyText"/>
        <w:spacing w:before="58"/>
        <w:ind w:left="2340" w:firstLine="0"/>
        <w:rPr>
          <w:rFonts w:ascii="Times New Roman" w:eastAsia="Times New Roman" w:hAnsi="Times New Roman" w:cs="Times New Roman"/>
        </w:rPr>
      </w:pPr>
      <w:r>
        <w:rPr>
          <w:rFonts w:ascii="Times New Roman"/>
          <w:spacing w:val="8"/>
        </w:rPr>
        <w:t>PART</w:t>
      </w:r>
      <w:r>
        <w:rPr>
          <w:rFonts w:ascii="Times New Roman"/>
          <w:spacing w:val="4"/>
        </w:rPr>
        <w:t xml:space="preserve"> </w:t>
      </w:r>
      <w:r>
        <w:rPr>
          <w:rFonts w:ascii="Times New Roman"/>
          <w:spacing w:val="5"/>
        </w:rPr>
        <w:t>B:</w:t>
      </w:r>
      <w:r>
        <w:rPr>
          <w:rFonts w:ascii="Times New Roman"/>
          <w:spacing w:val="20"/>
        </w:rPr>
        <w:t xml:space="preserve"> </w:t>
      </w:r>
      <w:r>
        <w:rPr>
          <w:rFonts w:ascii="Times New Roman"/>
          <w:spacing w:val="6"/>
        </w:rPr>
        <w:t>PERFORMANCE</w:t>
      </w:r>
      <w:r>
        <w:rPr>
          <w:rFonts w:ascii="Times New Roman"/>
          <w:spacing w:val="18"/>
        </w:rPr>
        <w:t xml:space="preserve"> </w:t>
      </w:r>
      <w:r>
        <w:rPr>
          <w:rFonts w:ascii="Times New Roman"/>
          <w:spacing w:val="-1"/>
        </w:rPr>
        <w:t>MONITORING</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numPr>
          <w:ilvl w:val="0"/>
          <w:numId w:val="25"/>
        </w:numPr>
        <w:tabs>
          <w:tab w:val="left" w:pos="467"/>
        </w:tabs>
        <w:spacing w:before="0"/>
        <w:ind w:left="466"/>
        <w:jc w:val="left"/>
        <w:rPr>
          <w:rFonts w:ascii="Times New Roman" w:eastAsia="Times New Roman" w:hAnsi="Times New Roman" w:cs="Times New Roman"/>
        </w:rPr>
      </w:pPr>
      <w:r>
        <w:rPr>
          <w:rFonts w:ascii="Times New Roman"/>
          <w:spacing w:val="23"/>
        </w:rPr>
        <w:t>P</w:t>
      </w:r>
      <w:r>
        <w:rPr>
          <w:rFonts w:ascii="Times New Roman"/>
          <w:spacing w:val="11"/>
        </w:rPr>
        <w:t>R</w:t>
      </w:r>
      <w:r>
        <w:rPr>
          <w:rFonts w:ascii="Times New Roman"/>
          <w:spacing w:val="-12"/>
        </w:rPr>
        <w:t>I</w:t>
      </w:r>
      <w:r>
        <w:rPr>
          <w:rFonts w:ascii="Times New Roman"/>
          <w:spacing w:val="-2"/>
        </w:rPr>
        <w:t>N</w:t>
      </w:r>
      <w:r>
        <w:rPr>
          <w:rFonts w:ascii="Times New Roman"/>
          <w:spacing w:val="11"/>
        </w:rPr>
        <w:t>C</w:t>
      </w:r>
      <w:r>
        <w:rPr>
          <w:rFonts w:ascii="Times New Roman"/>
          <w:spacing w:val="-12"/>
        </w:rPr>
        <w:t>I</w:t>
      </w:r>
      <w:r>
        <w:rPr>
          <w:rFonts w:ascii="Times New Roman"/>
        </w:rPr>
        <w:t>P</w:t>
      </w:r>
      <w:r>
        <w:rPr>
          <w:rFonts w:ascii="Times New Roman"/>
          <w:spacing w:val="-29"/>
        </w:rPr>
        <w:t xml:space="preserve"> </w:t>
      </w:r>
      <w:r>
        <w:rPr>
          <w:rFonts w:ascii="Times New Roman"/>
          <w:spacing w:val="-3"/>
        </w:rPr>
        <w:t>AL</w:t>
      </w:r>
      <w:r>
        <w:rPr>
          <w:rFonts w:ascii="Times New Roman"/>
          <w:spacing w:val="7"/>
        </w:rPr>
        <w:t xml:space="preserve"> </w:t>
      </w:r>
      <w:r>
        <w:rPr>
          <w:rFonts w:ascii="Times New Roman"/>
          <w:spacing w:val="3"/>
        </w:rPr>
        <w:t>POINTS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5"/>
        </w:numPr>
        <w:tabs>
          <w:tab w:val="left" w:pos="829"/>
        </w:tabs>
        <w:spacing w:before="0"/>
        <w:ind w:left="828" w:right="115"/>
        <w:jc w:val="both"/>
      </w:pPr>
      <w:r>
        <w:rPr>
          <w:spacing w:val="-1"/>
        </w:rPr>
        <w:t>Part</w:t>
      </w:r>
      <w:r>
        <w:rPr>
          <w:spacing w:val="1"/>
        </w:rPr>
        <w:t xml:space="preserve"> </w:t>
      </w:r>
      <w:r>
        <w:t>B</w:t>
      </w:r>
      <w:r>
        <w:rPr>
          <w:spacing w:val="60"/>
        </w:rPr>
        <w:t xml:space="preserve"> </w:t>
      </w:r>
      <w:r>
        <w:t>to</w:t>
      </w:r>
      <w:r>
        <w:rPr>
          <w:spacing w:val="58"/>
        </w:rPr>
        <w:t xml:space="preserve"> </w:t>
      </w:r>
      <w:r>
        <w:rPr>
          <w:spacing w:val="-1"/>
        </w:rPr>
        <w:t>this</w:t>
      </w:r>
      <w:r>
        <w:t xml:space="preserve"> </w:t>
      </w:r>
      <w:r>
        <w:rPr>
          <w:spacing w:val="-2"/>
        </w:rPr>
        <w:t>Call</w:t>
      </w:r>
      <w:r>
        <w:rPr>
          <w:spacing w:val="59"/>
        </w:rPr>
        <w:t xml:space="preserve"> </w:t>
      </w:r>
      <w:r>
        <w:rPr>
          <w:spacing w:val="-1"/>
        </w:rPr>
        <w:t>Off</w:t>
      </w:r>
      <w:r>
        <w:rPr>
          <w:spacing w:val="1"/>
        </w:rPr>
        <w:t xml:space="preserve"> </w:t>
      </w:r>
      <w:r>
        <w:rPr>
          <w:spacing w:val="-1"/>
        </w:rPr>
        <w:t>Schedule</w:t>
      </w:r>
      <w:r>
        <w:rPr>
          <w:spacing w:val="60"/>
        </w:rPr>
        <w:t xml:space="preserve"> </w:t>
      </w:r>
      <w:r>
        <w:rPr>
          <w:spacing w:val="-2"/>
        </w:rPr>
        <w:t>provides</w:t>
      </w:r>
      <w:r>
        <w:t xml:space="preserve">  the</w:t>
      </w:r>
      <w:r>
        <w:rPr>
          <w:spacing w:val="60"/>
        </w:rPr>
        <w:t xml:space="preserve"> </w:t>
      </w:r>
      <w:r>
        <w:rPr>
          <w:spacing w:val="-1"/>
        </w:rPr>
        <w:t>methodology</w:t>
      </w:r>
      <w:r>
        <w:rPr>
          <w:spacing w:val="56"/>
        </w:rPr>
        <w:t xml:space="preserve"> </w:t>
      </w:r>
      <w:r>
        <w:t>for</w:t>
      </w:r>
      <w:r>
        <w:rPr>
          <w:spacing w:val="60"/>
        </w:rPr>
        <w:t xml:space="preserve"> </w:t>
      </w:r>
      <w:r>
        <w:rPr>
          <w:spacing w:val="-1"/>
        </w:rPr>
        <w:t>monitoring</w:t>
      </w:r>
      <w:r>
        <w:rPr>
          <w:spacing w:val="60"/>
        </w:rPr>
        <w:t xml:space="preserve"> </w:t>
      </w:r>
      <w:r>
        <w:rPr>
          <w:spacing w:val="-1"/>
        </w:rPr>
        <w:t>the</w:t>
      </w:r>
      <w:r>
        <w:rPr>
          <w:spacing w:val="52"/>
        </w:rPr>
        <w:t xml:space="preserve"> </w:t>
      </w:r>
      <w:r>
        <w:rPr>
          <w:spacing w:val="-2"/>
        </w:rPr>
        <w:t>provision</w:t>
      </w:r>
      <w:r>
        <w:t xml:space="preserve"> </w:t>
      </w:r>
      <w:r>
        <w:rPr>
          <w:spacing w:val="-1"/>
        </w:rPr>
        <w:t>of</w:t>
      </w:r>
      <w:r>
        <w:rPr>
          <w:spacing w:val="2"/>
        </w:rPr>
        <w:t xml:space="preserve"> </w:t>
      </w:r>
      <w:r>
        <w:t>the</w:t>
      </w:r>
      <w:r>
        <w:rPr>
          <w:spacing w:val="-4"/>
        </w:rPr>
        <w:t xml:space="preserve"> </w:t>
      </w:r>
      <w:r>
        <w:rPr>
          <w:spacing w:val="-1"/>
        </w:rPr>
        <w:t>Goods</w:t>
      </w:r>
      <w:r>
        <w:rPr>
          <w:spacing w:val="1"/>
        </w:rPr>
        <w:t xml:space="preserve"> </w:t>
      </w:r>
      <w:r>
        <w:rPr>
          <w:spacing w:val="-1"/>
        </w:rPr>
        <w:t>and/or Services:</w:t>
      </w:r>
    </w:p>
    <w:p w:rsidR="008918FA" w:rsidRDefault="008918FA" w:rsidP="008918FA">
      <w:pPr>
        <w:pStyle w:val="BodyText"/>
        <w:numPr>
          <w:ilvl w:val="2"/>
          <w:numId w:val="25"/>
        </w:numPr>
        <w:tabs>
          <w:tab w:val="left" w:pos="2026"/>
        </w:tabs>
        <w:spacing w:before="121"/>
        <w:ind w:left="2025" w:hanging="993"/>
      </w:pPr>
      <w:r>
        <w:t xml:space="preserve">to </w:t>
      </w:r>
      <w:r>
        <w:rPr>
          <w:spacing w:val="-1"/>
        </w:rPr>
        <w:t>ensure</w:t>
      </w:r>
      <w:r>
        <w:rPr>
          <w:spacing w:val="-2"/>
        </w:rPr>
        <w:t xml:space="preserve"> </w:t>
      </w:r>
      <w:r>
        <w:rPr>
          <w:spacing w:val="-1"/>
        </w:rPr>
        <w:t>that</w:t>
      </w:r>
      <w:r>
        <w:t xml:space="preserve"> the</w:t>
      </w:r>
      <w:r>
        <w:rPr>
          <w:spacing w:val="-2"/>
        </w:rPr>
        <w:t xml:space="preserve"> Supplier</w:t>
      </w:r>
      <w:r>
        <w:rPr>
          <w:spacing w:val="2"/>
        </w:rPr>
        <w:t xml:space="preserve"> </w:t>
      </w:r>
      <w:r>
        <w:rPr>
          <w:spacing w:val="-1"/>
        </w:rPr>
        <w:t>is</w:t>
      </w:r>
      <w:r>
        <w:rPr>
          <w:spacing w:val="-2"/>
        </w:rPr>
        <w:t xml:space="preserve"> complying</w:t>
      </w:r>
      <w:r>
        <w:rPr>
          <w:spacing w:val="3"/>
        </w:rPr>
        <w:t xml:space="preserve"> </w:t>
      </w:r>
      <w:r>
        <w:rPr>
          <w:spacing w:val="-2"/>
        </w:rPr>
        <w:t>with</w:t>
      </w:r>
      <w:r>
        <w:t xml:space="preserve"> the</w:t>
      </w:r>
      <w:r>
        <w:rPr>
          <w:spacing w:val="-4"/>
        </w:rPr>
        <w:t xml:space="preserve"> </w:t>
      </w:r>
      <w:r>
        <w:rPr>
          <w:spacing w:val="-2"/>
        </w:rPr>
        <w:t>Service</w:t>
      </w:r>
      <w:r>
        <w:rPr>
          <w:spacing w:val="1"/>
        </w:rPr>
        <w:t xml:space="preserve"> </w:t>
      </w:r>
      <w:r>
        <w:rPr>
          <w:spacing w:val="-2"/>
        </w:rPr>
        <w:t>Levels;</w:t>
      </w:r>
      <w:r>
        <w:rPr>
          <w:spacing w:val="2"/>
        </w:rPr>
        <w:t xml:space="preserve"> </w:t>
      </w:r>
      <w:r>
        <w:rPr>
          <w:spacing w:val="-1"/>
        </w:rPr>
        <w:t>and</w:t>
      </w:r>
    </w:p>
    <w:p w:rsidR="008918FA" w:rsidRDefault="008918FA" w:rsidP="008918FA">
      <w:pPr>
        <w:pStyle w:val="BodyText"/>
        <w:numPr>
          <w:ilvl w:val="2"/>
          <w:numId w:val="25"/>
        </w:numPr>
        <w:tabs>
          <w:tab w:val="left" w:pos="2026"/>
        </w:tabs>
        <w:ind w:left="2025" w:right="114" w:hanging="993"/>
        <w:jc w:val="both"/>
      </w:pPr>
      <w:bookmarkStart w:id="390" w:name="_bookmark316"/>
      <w:bookmarkEnd w:id="390"/>
      <w:r>
        <w:t>for</w:t>
      </w:r>
      <w:r>
        <w:rPr>
          <w:spacing w:val="19"/>
        </w:rPr>
        <w:t xml:space="preserve"> </w:t>
      </w:r>
      <w:r>
        <w:rPr>
          <w:spacing w:val="-1"/>
        </w:rPr>
        <w:t>identifying</w:t>
      </w:r>
      <w:r>
        <w:rPr>
          <w:spacing w:val="20"/>
        </w:rPr>
        <w:t xml:space="preserve"> </w:t>
      </w:r>
      <w:r>
        <w:rPr>
          <w:spacing w:val="-1"/>
        </w:rPr>
        <w:t>any</w:t>
      </w:r>
      <w:r>
        <w:rPr>
          <w:spacing w:val="15"/>
        </w:rPr>
        <w:t xml:space="preserve"> </w:t>
      </w:r>
      <w:r>
        <w:rPr>
          <w:spacing w:val="-1"/>
        </w:rPr>
        <w:t>failures</w:t>
      </w:r>
      <w:r>
        <w:rPr>
          <w:spacing w:val="18"/>
        </w:rPr>
        <w:t xml:space="preserve"> </w:t>
      </w:r>
      <w:r>
        <w:t>to</w:t>
      </w:r>
      <w:r>
        <w:rPr>
          <w:spacing w:val="17"/>
        </w:rPr>
        <w:t xml:space="preserve"> </w:t>
      </w:r>
      <w:r>
        <w:rPr>
          <w:spacing w:val="-2"/>
        </w:rPr>
        <w:t>achieve</w:t>
      </w:r>
      <w:r>
        <w:rPr>
          <w:spacing w:val="20"/>
        </w:rPr>
        <w:t xml:space="preserve"> </w:t>
      </w:r>
      <w:r>
        <w:rPr>
          <w:spacing w:val="-2"/>
        </w:rPr>
        <w:t>Service</w:t>
      </w:r>
      <w:r>
        <w:rPr>
          <w:spacing w:val="18"/>
        </w:rPr>
        <w:t xml:space="preserve"> </w:t>
      </w:r>
      <w:r>
        <w:rPr>
          <w:spacing w:val="-1"/>
        </w:rPr>
        <w:t>Levels</w:t>
      </w:r>
      <w:r>
        <w:rPr>
          <w:spacing w:val="18"/>
        </w:rPr>
        <w:t xml:space="preserve"> </w:t>
      </w:r>
      <w:r>
        <w:t>in</w:t>
      </w:r>
      <w:r>
        <w:rPr>
          <w:spacing w:val="20"/>
        </w:rPr>
        <w:t xml:space="preserve"> </w:t>
      </w:r>
      <w:r>
        <w:rPr>
          <w:spacing w:val="-1"/>
        </w:rPr>
        <w:t>the</w:t>
      </w:r>
      <w:r>
        <w:rPr>
          <w:spacing w:val="50"/>
        </w:rPr>
        <w:t xml:space="preserve"> </w:t>
      </w:r>
      <w:r>
        <w:rPr>
          <w:spacing w:val="-1"/>
        </w:rPr>
        <w:t>performance</w:t>
      </w:r>
      <w:r>
        <w:rPr>
          <w:spacing w:val="2"/>
        </w:rPr>
        <w:t xml:space="preserve"> </w:t>
      </w:r>
      <w:r>
        <w:rPr>
          <w:spacing w:val="-2"/>
        </w:rPr>
        <w:t>of</w:t>
      </w:r>
      <w:r>
        <w:rPr>
          <w:spacing w:val="3"/>
        </w:rPr>
        <w:t xml:space="preserve"> </w:t>
      </w:r>
      <w:r>
        <w:t>the</w:t>
      </w:r>
      <w:r>
        <w:rPr>
          <w:spacing w:val="2"/>
        </w:rPr>
        <w:t xml:space="preserve"> </w:t>
      </w:r>
      <w:r>
        <w:rPr>
          <w:spacing w:val="-2"/>
        </w:rPr>
        <w:t>Supplier</w:t>
      </w:r>
      <w:r>
        <w:rPr>
          <w:spacing w:val="3"/>
        </w:rPr>
        <w:t xml:space="preserve"> </w:t>
      </w:r>
      <w:r>
        <w:rPr>
          <w:spacing w:val="-1"/>
        </w:rPr>
        <w:t>and/or</w:t>
      </w:r>
      <w:r>
        <w:rPr>
          <w:spacing w:val="3"/>
        </w:rPr>
        <w:t xml:space="preserve"> </w:t>
      </w:r>
      <w:r>
        <w:rPr>
          <w:spacing w:val="-2"/>
        </w:rPr>
        <w:t>provision</w:t>
      </w:r>
      <w:r>
        <w:rPr>
          <w:spacing w:val="2"/>
        </w:rPr>
        <w:t xml:space="preserve"> </w:t>
      </w:r>
      <w:r>
        <w:rPr>
          <w:spacing w:val="-2"/>
        </w:rPr>
        <w:t>of</w:t>
      </w:r>
      <w:r>
        <w:rPr>
          <w:spacing w:val="5"/>
        </w:rPr>
        <w:t xml:space="preserve"> </w:t>
      </w:r>
      <w:r>
        <w:t>the</w:t>
      </w:r>
      <w:r>
        <w:rPr>
          <w:spacing w:val="2"/>
        </w:rPr>
        <w:t xml:space="preserve"> </w:t>
      </w:r>
      <w:r>
        <w:rPr>
          <w:spacing w:val="-1"/>
        </w:rPr>
        <w:t>Goods</w:t>
      </w:r>
      <w:r>
        <w:rPr>
          <w:spacing w:val="2"/>
        </w:rPr>
        <w:t xml:space="preserve"> </w:t>
      </w:r>
      <w:r>
        <w:rPr>
          <w:spacing w:val="-1"/>
        </w:rPr>
        <w:t>and/or</w:t>
      </w:r>
      <w:r>
        <w:rPr>
          <w:spacing w:val="53"/>
        </w:rPr>
        <w:t xml:space="preserve"> </w:t>
      </w:r>
      <w:r>
        <w:rPr>
          <w:spacing w:val="-1"/>
        </w:rPr>
        <w:t>Services</w:t>
      </w:r>
      <w:r>
        <w:rPr>
          <w:spacing w:val="1"/>
        </w:rPr>
        <w:t xml:space="preserve"> </w:t>
      </w:r>
      <w:r>
        <w:rPr>
          <w:spacing w:val="-1"/>
        </w:rPr>
        <w:t>("</w:t>
      </w:r>
      <w:r>
        <w:rPr>
          <w:b/>
          <w:spacing w:val="-1"/>
        </w:rPr>
        <w:t>Performance</w:t>
      </w:r>
      <w:r>
        <w:rPr>
          <w:b/>
          <w:spacing w:val="-2"/>
        </w:rPr>
        <w:t xml:space="preserve"> </w:t>
      </w:r>
      <w:r>
        <w:rPr>
          <w:b/>
          <w:spacing w:val="-1"/>
        </w:rPr>
        <w:t>Monitoring</w:t>
      </w:r>
      <w:r>
        <w:rPr>
          <w:b/>
          <w:spacing w:val="-2"/>
        </w:rPr>
        <w:t xml:space="preserve"> System</w:t>
      </w:r>
      <w:r>
        <w:rPr>
          <w:spacing w:val="-2"/>
        </w:rPr>
        <w:t>").</w:t>
      </w:r>
    </w:p>
    <w:p w:rsidR="008918FA" w:rsidRDefault="008918FA" w:rsidP="008918FA">
      <w:pPr>
        <w:pStyle w:val="BodyText"/>
        <w:numPr>
          <w:ilvl w:val="1"/>
          <w:numId w:val="25"/>
        </w:numPr>
        <w:tabs>
          <w:tab w:val="left" w:pos="829"/>
        </w:tabs>
        <w:spacing w:before="121"/>
        <w:ind w:left="828" w:right="114"/>
        <w:jc w:val="both"/>
      </w:pPr>
      <w:bookmarkStart w:id="391" w:name="_bookmark317"/>
      <w:bookmarkEnd w:id="391"/>
      <w:r>
        <w:rPr>
          <w:spacing w:val="-1"/>
        </w:rPr>
        <w:t>Within</w:t>
      </w:r>
      <w:r>
        <w:rPr>
          <w:spacing w:val="7"/>
        </w:rPr>
        <w:t xml:space="preserve"> </w:t>
      </w:r>
      <w:r>
        <w:rPr>
          <w:spacing w:val="-1"/>
        </w:rPr>
        <w:t>twenty</w:t>
      </w:r>
      <w:r>
        <w:rPr>
          <w:spacing w:val="5"/>
        </w:rPr>
        <w:t xml:space="preserve"> </w:t>
      </w:r>
      <w:r>
        <w:rPr>
          <w:spacing w:val="-1"/>
        </w:rPr>
        <w:t>(20)</w:t>
      </w:r>
      <w:r>
        <w:rPr>
          <w:spacing w:val="2"/>
        </w:rPr>
        <w:t xml:space="preserve"> </w:t>
      </w:r>
      <w:r>
        <w:rPr>
          <w:spacing w:val="-1"/>
        </w:rPr>
        <w:t>Working</w:t>
      </w:r>
      <w:r>
        <w:rPr>
          <w:spacing w:val="10"/>
        </w:rPr>
        <w:t xml:space="preserve"> </w:t>
      </w:r>
      <w:r>
        <w:rPr>
          <w:spacing w:val="-2"/>
        </w:rPr>
        <w:t>Days</w:t>
      </w:r>
      <w:r>
        <w:rPr>
          <w:spacing w:val="8"/>
        </w:rPr>
        <w:t xml:space="preserve"> </w:t>
      </w:r>
      <w:r>
        <w:rPr>
          <w:spacing w:val="-2"/>
        </w:rPr>
        <w:t>of</w:t>
      </w:r>
      <w:r>
        <w:rPr>
          <w:spacing w:val="7"/>
        </w:rPr>
        <w:t xml:space="preserve"> </w:t>
      </w:r>
      <w:r>
        <w:t>the</w:t>
      </w:r>
      <w:r>
        <w:rPr>
          <w:spacing w:val="7"/>
        </w:rPr>
        <w:t xml:space="preserve"> </w:t>
      </w:r>
      <w:r>
        <w:rPr>
          <w:spacing w:val="-2"/>
        </w:rPr>
        <w:t>Call</w:t>
      </w:r>
      <w:r>
        <w:rPr>
          <w:spacing w:val="7"/>
        </w:rPr>
        <w:t xml:space="preserve"> </w:t>
      </w:r>
      <w:r>
        <w:rPr>
          <w:spacing w:val="-1"/>
        </w:rPr>
        <w:t>Off</w:t>
      </w:r>
      <w:r>
        <w:rPr>
          <w:spacing w:val="4"/>
        </w:rPr>
        <w:t xml:space="preserve"> </w:t>
      </w:r>
      <w:r>
        <w:rPr>
          <w:spacing w:val="-1"/>
        </w:rPr>
        <w:t>Commencement</w:t>
      </w:r>
      <w:r>
        <w:rPr>
          <w:spacing w:val="7"/>
        </w:rPr>
        <w:t xml:space="preserve"> </w:t>
      </w:r>
      <w:r>
        <w:rPr>
          <w:spacing w:val="-1"/>
        </w:rPr>
        <w:t>Date</w:t>
      </w:r>
      <w:r>
        <w:rPr>
          <w:spacing w:val="5"/>
        </w:rPr>
        <w:t xml:space="preserve"> </w:t>
      </w:r>
      <w:r>
        <w:rPr>
          <w:spacing w:val="-1"/>
        </w:rPr>
        <w:t>the</w:t>
      </w:r>
      <w:r>
        <w:rPr>
          <w:spacing w:val="7"/>
        </w:rPr>
        <w:t xml:space="preserve"> </w:t>
      </w:r>
      <w:r>
        <w:rPr>
          <w:spacing w:val="-2"/>
        </w:rPr>
        <w:t>Supplier</w:t>
      </w:r>
      <w:r>
        <w:rPr>
          <w:spacing w:val="60"/>
        </w:rPr>
        <w:t xml:space="preserve"> </w:t>
      </w:r>
      <w:r>
        <w:rPr>
          <w:spacing w:val="-1"/>
        </w:rPr>
        <w:t>shall</w:t>
      </w:r>
      <w:r>
        <w:rPr>
          <w:spacing w:val="1"/>
        </w:rPr>
        <w:t xml:space="preserve"> </w:t>
      </w:r>
      <w:r>
        <w:rPr>
          <w:spacing w:val="-2"/>
        </w:rPr>
        <w:t>provide</w:t>
      </w:r>
      <w:r>
        <w:rPr>
          <w:spacing w:val="2"/>
        </w:rPr>
        <w:t xml:space="preserve"> </w:t>
      </w:r>
      <w:r>
        <w:t>the</w:t>
      </w:r>
      <w:r>
        <w:rPr>
          <w:spacing w:val="2"/>
        </w:rPr>
        <w:t xml:space="preserve"> </w:t>
      </w:r>
      <w:r>
        <w:rPr>
          <w:spacing w:val="-1"/>
        </w:rPr>
        <w:t>Customer</w:t>
      </w:r>
      <w:r>
        <w:rPr>
          <w:spacing w:val="3"/>
        </w:rPr>
        <w:t xml:space="preserve"> </w:t>
      </w:r>
      <w:r>
        <w:rPr>
          <w:spacing w:val="-2"/>
        </w:rPr>
        <w:t>with</w:t>
      </w:r>
      <w:r>
        <w:rPr>
          <w:spacing w:val="2"/>
        </w:rPr>
        <w:t xml:space="preserve"> </w:t>
      </w:r>
      <w:r>
        <w:rPr>
          <w:spacing w:val="-1"/>
        </w:rPr>
        <w:t>details</w:t>
      </w:r>
      <w:r>
        <w:rPr>
          <w:spacing w:val="2"/>
        </w:rPr>
        <w:t xml:space="preserve"> </w:t>
      </w:r>
      <w:r>
        <w:rPr>
          <w:spacing w:val="-2"/>
        </w:rPr>
        <w:t>of</w:t>
      </w:r>
      <w:r>
        <w:rPr>
          <w:spacing w:val="5"/>
        </w:rPr>
        <w:t xml:space="preserve"> </w:t>
      </w:r>
      <w:r>
        <w:rPr>
          <w:spacing w:val="-2"/>
        </w:rPr>
        <w:t>how</w:t>
      </w:r>
      <w:r>
        <w:rPr>
          <w:spacing w:val="59"/>
        </w:rPr>
        <w:t xml:space="preserve"> </w:t>
      </w:r>
      <w:r>
        <w:t>the</w:t>
      </w:r>
      <w:r>
        <w:rPr>
          <w:spacing w:val="2"/>
        </w:rPr>
        <w:t xml:space="preserve"> </w:t>
      </w:r>
      <w:r>
        <w:rPr>
          <w:spacing w:val="-1"/>
        </w:rPr>
        <w:t>process</w:t>
      </w:r>
      <w:r>
        <w:rPr>
          <w:spacing w:val="2"/>
        </w:rPr>
        <w:t xml:space="preserve"> </w:t>
      </w:r>
      <w:r>
        <w:rPr>
          <w:spacing w:val="-1"/>
        </w:rPr>
        <w:t>in</w:t>
      </w:r>
      <w:r>
        <w:rPr>
          <w:spacing w:val="2"/>
        </w:rPr>
        <w:t xml:space="preserve"> </w:t>
      </w:r>
      <w:r>
        <w:rPr>
          <w:spacing w:val="-2"/>
        </w:rPr>
        <w:t>respect</w:t>
      </w:r>
      <w:r>
        <w:rPr>
          <w:spacing w:val="6"/>
        </w:rPr>
        <w:t xml:space="preserve"> </w:t>
      </w:r>
      <w:r>
        <w:rPr>
          <w:spacing w:val="-2"/>
        </w:rPr>
        <w:t>of</w:t>
      </w:r>
      <w:r>
        <w:rPr>
          <w:spacing w:val="3"/>
        </w:rPr>
        <w:t xml:space="preserve"> </w:t>
      </w:r>
      <w:r>
        <w:rPr>
          <w:spacing w:val="-3"/>
        </w:rPr>
        <w:t>the</w:t>
      </w:r>
      <w:r>
        <w:rPr>
          <w:spacing w:val="54"/>
        </w:rPr>
        <w:t xml:space="preserve"> </w:t>
      </w:r>
      <w:r>
        <w:rPr>
          <w:spacing w:val="-1"/>
        </w:rPr>
        <w:t>monitoring</w:t>
      </w:r>
      <w:r>
        <w:rPr>
          <w:spacing w:val="3"/>
        </w:rPr>
        <w:t xml:space="preserve"> </w:t>
      </w:r>
      <w:r>
        <w:rPr>
          <w:spacing w:val="-1"/>
        </w:rPr>
        <w:t>and</w:t>
      </w:r>
      <w:r>
        <w:t xml:space="preserve"> </w:t>
      </w:r>
      <w:r>
        <w:rPr>
          <w:spacing w:val="-1"/>
        </w:rPr>
        <w:t>reporting</w:t>
      </w:r>
      <w:r>
        <w:t xml:space="preserve"> </w:t>
      </w:r>
      <w:r>
        <w:rPr>
          <w:spacing w:val="-2"/>
        </w:rPr>
        <w:t>of</w:t>
      </w:r>
      <w:r>
        <w:rPr>
          <w:spacing w:val="4"/>
        </w:rPr>
        <w:t xml:space="preserve"> </w:t>
      </w:r>
      <w:r>
        <w:rPr>
          <w:spacing w:val="-2"/>
        </w:rPr>
        <w:t>Service</w:t>
      </w:r>
      <w:r>
        <w:rPr>
          <w:spacing w:val="1"/>
        </w:rPr>
        <w:t xml:space="preserve"> </w:t>
      </w:r>
      <w:r>
        <w:rPr>
          <w:spacing w:val="-1"/>
        </w:rPr>
        <w:t>Levels</w:t>
      </w:r>
      <w:r>
        <w:rPr>
          <w:spacing w:val="3"/>
        </w:rPr>
        <w:t xml:space="preserve"> </w:t>
      </w:r>
      <w:r>
        <w:rPr>
          <w:spacing w:val="-1"/>
        </w:rPr>
        <w:t>will</w:t>
      </w:r>
      <w:r>
        <w:t xml:space="preserve"> operate </w:t>
      </w:r>
      <w:r>
        <w:rPr>
          <w:spacing w:val="-2"/>
        </w:rPr>
        <w:t>between</w:t>
      </w:r>
      <w:r>
        <w:t xml:space="preserve"> the </w:t>
      </w:r>
      <w:r>
        <w:rPr>
          <w:spacing w:val="-1"/>
        </w:rPr>
        <w:t>Parties</w:t>
      </w:r>
      <w:r>
        <w:rPr>
          <w:spacing w:val="1"/>
        </w:rPr>
        <w:t xml:space="preserve"> </w:t>
      </w:r>
      <w:r>
        <w:rPr>
          <w:spacing w:val="-1"/>
        </w:rPr>
        <w:t>and</w:t>
      </w:r>
      <w:r>
        <w:t xml:space="preserve"> </w:t>
      </w:r>
      <w:r>
        <w:rPr>
          <w:spacing w:val="-1"/>
        </w:rPr>
        <w:t>the</w:t>
      </w:r>
      <w:r>
        <w:rPr>
          <w:spacing w:val="50"/>
        </w:rPr>
        <w:t xml:space="preserve"> </w:t>
      </w:r>
      <w:r>
        <w:rPr>
          <w:spacing w:val="-1"/>
        </w:rPr>
        <w:t>Parties</w:t>
      </w:r>
      <w:r>
        <w:rPr>
          <w:spacing w:val="1"/>
        </w:rPr>
        <w:t xml:space="preserve"> </w:t>
      </w:r>
      <w:r>
        <w:rPr>
          <w:spacing w:val="-2"/>
        </w:rPr>
        <w:t>will</w:t>
      </w:r>
      <w:r>
        <w:t xml:space="preserve"> </w:t>
      </w:r>
      <w:r>
        <w:rPr>
          <w:spacing w:val="-2"/>
        </w:rPr>
        <w:t>endeavour</w:t>
      </w:r>
      <w:r>
        <w:rPr>
          <w:spacing w:val="2"/>
        </w:rPr>
        <w:t xml:space="preserve"> </w:t>
      </w:r>
      <w:r>
        <w:t xml:space="preserve">to </w:t>
      </w:r>
      <w:r>
        <w:rPr>
          <w:spacing w:val="-1"/>
        </w:rPr>
        <w:t>agree</w:t>
      </w:r>
      <w:r>
        <w:rPr>
          <w:spacing w:val="-2"/>
        </w:rPr>
        <w:t xml:space="preserve"> </w:t>
      </w:r>
      <w:r>
        <w:rPr>
          <w:spacing w:val="-1"/>
        </w:rPr>
        <w:t>such</w:t>
      </w:r>
      <w:r>
        <w:rPr>
          <w:spacing w:val="1"/>
        </w:rPr>
        <w:t xml:space="preserve"> </w:t>
      </w:r>
      <w:r>
        <w:rPr>
          <w:spacing w:val="-1"/>
        </w:rPr>
        <w:t>process as</w:t>
      </w:r>
      <w:r>
        <w:rPr>
          <w:spacing w:val="-2"/>
        </w:rPr>
        <w:t xml:space="preserve"> soon</w:t>
      </w:r>
      <w:r>
        <w:t xml:space="preserve"> </w:t>
      </w:r>
      <w:r>
        <w:rPr>
          <w:spacing w:val="-1"/>
        </w:rPr>
        <w:t>as</w:t>
      </w:r>
      <w:r>
        <w:rPr>
          <w:spacing w:val="-2"/>
        </w:rPr>
        <w:t xml:space="preserve"> </w:t>
      </w:r>
      <w:r>
        <w:rPr>
          <w:spacing w:val="-1"/>
        </w:rPr>
        <w:t>reasonably</w:t>
      </w:r>
      <w:r>
        <w:rPr>
          <w:spacing w:val="-2"/>
        </w:rPr>
        <w:t xml:space="preserve"> possible.</w:t>
      </w:r>
    </w:p>
    <w:p w:rsidR="008918FA" w:rsidRDefault="008918FA" w:rsidP="008918FA">
      <w:pPr>
        <w:pStyle w:val="BodyText"/>
        <w:numPr>
          <w:ilvl w:val="0"/>
          <w:numId w:val="25"/>
        </w:numPr>
        <w:tabs>
          <w:tab w:val="left" w:pos="467"/>
        </w:tabs>
        <w:spacing w:before="117"/>
        <w:ind w:left="466"/>
        <w:jc w:val="left"/>
        <w:rPr>
          <w:rFonts w:ascii="Times New Roman" w:eastAsia="Times New Roman" w:hAnsi="Times New Roman" w:cs="Times New Roman"/>
        </w:rPr>
      </w:pPr>
      <w:r>
        <w:rPr>
          <w:rFonts w:ascii="Times New Roman"/>
          <w:spacing w:val="5"/>
        </w:rPr>
        <w:t>REPORTING</w:t>
      </w:r>
      <w:r>
        <w:rPr>
          <w:rFonts w:ascii="Times New Roman"/>
          <w:spacing w:val="20"/>
        </w:rPr>
        <w:t xml:space="preserve"> </w:t>
      </w:r>
      <w:r>
        <w:rPr>
          <w:rFonts w:ascii="Times New Roman"/>
          <w:spacing w:val="6"/>
        </w:rPr>
        <w:t>OF</w:t>
      </w:r>
      <w:r>
        <w:rPr>
          <w:rFonts w:ascii="Times New Roman"/>
          <w:spacing w:val="16"/>
        </w:rPr>
        <w:t xml:space="preserve"> </w:t>
      </w:r>
      <w:r>
        <w:rPr>
          <w:rFonts w:ascii="Times New Roman"/>
          <w:spacing w:val="4"/>
        </w:rPr>
        <w:t>SERVICE</w:t>
      </w:r>
      <w:r>
        <w:rPr>
          <w:rFonts w:ascii="Times New Roman"/>
          <w:spacing w:val="18"/>
        </w:rPr>
        <w:t xml:space="preserve"> </w:t>
      </w:r>
      <w:r>
        <w:rPr>
          <w:rFonts w:ascii="Times New Roman"/>
          <w:spacing w:val="1"/>
        </w:rPr>
        <w:t>FAILURES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5"/>
        </w:numPr>
        <w:tabs>
          <w:tab w:val="left" w:pos="829"/>
        </w:tabs>
        <w:spacing w:before="0"/>
        <w:ind w:left="828" w:right="114"/>
        <w:jc w:val="both"/>
      </w:pPr>
      <w:r>
        <w:t>The</w:t>
      </w:r>
      <w:r>
        <w:rPr>
          <w:spacing w:val="44"/>
        </w:rPr>
        <w:t xml:space="preserve"> </w:t>
      </w:r>
      <w:r>
        <w:rPr>
          <w:spacing w:val="-2"/>
        </w:rPr>
        <w:t>Supplier</w:t>
      </w:r>
      <w:r>
        <w:rPr>
          <w:spacing w:val="45"/>
        </w:rPr>
        <w:t xml:space="preserve"> </w:t>
      </w:r>
      <w:r>
        <w:rPr>
          <w:spacing w:val="-1"/>
        </w:rPr>
        <w:t>shall</w:t>
      </w:r>
      <w:r>
        <w:rPr>
          <w:spacing w:val="43"/>
        </w:rPr>
        <w:t xml:space="preserve"> </w:t>
      </w:r>
      <w:r>
        <w:rPr>
          <w:spacing w:val="-1"/>
        </w:rPr>
        <w:t>report</w:t>
      </w:r>
      <w:r>
        <w:rPr>
          <w:spacing w:val="45"/>
        </w:rPr>
        <w:t xml:space="preserve"> </w:t>
      </w:r>
      <w:r>
        <w:rPr>
          <w:spacing w:val="-1"/>
        </w:rPr>
        <w:t>all</w:t>
      </w:r>
      <w:r>
        <w:rPr>
          <w:spacing w:val="43"/>
        </w:rPr>
        <w:t xml:space="preserve"> </w:t>
      </w:r>
      <w:r>
        <w:rPr>
          <w:spacing w:val="-1"/>
        </w:rPr>
        <w:t>failures</w:t>
      </w:r>
      <w:r>
        <w:rPr>
          <w:spacing w:val="41"/>
        </w:rPr>
        <w:t xml:space="preserve"> </w:t>
      </w:r>
      <w:r>
        <w:t>to</w:t>
      </w:r>
      <w:r>
        <w:rPr>
          <w:spacing w:val="44"/>
        </w:rPr>
        <w:t xml:space="preserve"> </w:t>
      </w:r>
      <w:r>
        <w:rPr>
          <w:spacing w:val="-2"/>
        </w:rPr>
        <w:t>achieve</w:t>
      </w:r>
      <w:r>
        <w:rPr>
          <w:spacing w:val="46"/>
        </w:rPr>
        <w:t xml:space="preserve"> </w:t>
      </w:r>
      <w:r>
        <w:rPr>
          <w:spacing w:val="-2"/>
        </w:rPr>
        <w:t>Service</w:t>
      </w:r>
      <w:r>
        <w:rPr>
          <w:spacing w:val="44"/>
        </w:rPr>
        <w:t xml:space="preserve"> </w:t>
      </w:r>
      <w:r>
        <w:rPr>
          <w:spacing w:val="-1"/>
        </w:rPr>
        <w:t>Levels</w:t>
      </w:r>
      <w:r>
        <w:rPr>
          <w:spacing w:val="44"/>
        </w:rPr>
        <w:t xml:space="preserve"> </w:t>
      </w:r>
      <w:r>
        <w:rPr>
          <w:spacing w:val="-1"/>
        </w:rPr>
        <w:t>and</w:t>
      </w:r>
      <w:r>
        <w:rPr>
          <w:spacing w:val="46"/>
        </w:rPr>
        <w:t xml:space="preserve"> </w:t>
      </w:r>
      <w:r>
        <w:t>any</w:t>
      </w:r>
      <w:r>
        <w:rPr>
          <w:spacing w:val="41"/>
        </w:rPr>
        <w:t xml:space="preserve"> </w:t>
      </w:r>
      <w:r>
        <w:rPr>
          <w:spacing w:val="-1"/>
        </w:rPr>
        <w:t>Critical</w:t>
      </w:r>
      <w:r>
        <w:rPr>
          <w:spacing w:val="69"/>
        </w:rPr>
        <w:t xml:space="preserve"> </w:t>
      </w:r>
      <w:r>
        <w:rPr>
          <w:spacing w:val="-2"/>
        </w:rPr>
        <w:t>Service</w:t>
      </w:r>
      <w:r>
        <w:rPr>
          <w:spacing w:val="13"/>
        </w:rPr>
        <w:t xml:space="preserve"> </w:t>
      </w:r>
      <w:r>
        <w:rPr>
          <w:spacing w:val="-2"/>
        </w:rPr>
        <w:t>Level</w:t>
      </w:r>
      <w:r>
        <w:rPr>
          <w:spacing w:val="12"/>
        </w:rPr>
        <w:t xml:space="preserve"> </w:t>
      </w:r>
      <w:r>
        <w:rPr>
          <w:spacing w:val="-1"/>
        </w:rPr>
        <w:t>Failure</w:t>
      </w:r>
      <w:r>
        <w:rPr>
          <w:spacing w:val="12"/>
        </w:rPr>
        <w:t xml:space="preserve"> </w:t>
      </w:r>
      <w:r>
        <w:t>to</w:t>
      </w:r>
      <w:r>
        <w:rPr>
          <w:spacing w:val="10"/>
        </w:rPr>
        <w:t xml:space="preserve"> </w:t>
      </w:r>
      <w:r>
        <w:t>the</w:t>
      </w:r>
      <w:r>
        <w:rPr>
          <w:spacing w:val="12"/>
        </w:rPr>
        <w:t xml:space="preserve"> </w:t>
      </w:r>
      <w:r>
        <w:rPr>
          <w:spacing w:val="-2"/>
        </w:rPr>
        <w:t>Customer</w:t>
      </w:r>
      <w:r>
        <w:rPr>
          <w:spacing w:val="14"/>
        </w:rPr>
        <w:t xml:space="preserve"> </w:t>
      </w:r>
      <w:r>
        <w:rPr>
          <w:spacing w:val="-1"/>
        </w:rPr>
        <w:t>in</w:t>
      </w:r>
      <w:r>
        <w:rPr>
          <w:spacing w:val="12"/>
        </w:rPr>
        <w:t xml:space="preserve"> </w:t>
      </w:r>
      <w:r>
        <w:rPr>
          <w:spacing w:val="-2"/>
        </w:rPr>
        <w:t>accordance</w:t>
      </w:r>
      <w:r>
        <w:rPr>
          <w:spacing w:val="13"/>
        </w:rPr>
        <w:t xml:space="preserve"> </w:t>
      </w:r>
      <w:r>
        <w:rPr>
          <w:spacing w:val="-2"/>
        </w:rPr>
        <w:t>with</w:t>
      </w:r>
      <w:r>
        <w:rPr>
          <w:spacing w:val="12"/>
        </w:rPr>
        <w:t xml:space="preserve"> </w:t>
      </w:r>
      <w:r>
        <w:t>the</w:t>
      </w:r>
      <w:r>
        <w:rPr>
          <w:spacing w:val="12"/>
        </w:rPr>
        <w:t xml:space="preserve"> </w:t>
      </w:r>
      <w:r>
        <w:rPr>
          <w:spacing w:val="-1"/>
        </w:rPr>
        <w:t>processes</w:t>
      </w:r>
      <w:r>
        <w:rPr>
          <w:spacing w:val="10"/>
        </w:rPr>
        <w:t xml:space="preserve"> </w:t>
      </w:r>
      <w:r>
        <w:rPr>
          <w:spacing w:val="-1"/>
        </w:rPr>
        <w:t>agreed</w:t>
      </w:r>
      <w:r>
        <w:rPr>
          <w:spacing w:val="12"/>
        </w:rPr>
        <w:t xml:space="preserve"> </w:t>
      </w:r>
      <w:r>
        <w:rPr>
          <w:spacing w:val="-1"/>
        </w:rPr>
        <w:t>in</w:t>
      </w:r>
      <w:r>
        <w:rPr>
          <w:spacing w:val="73"/>
        </w:rPr>
        <w:t xml:space="preserve"> </w:t>
      </w:r>
      <w:r>
        <w:rPr>
          <w:spacing w:val="-1"/>
        </w:rPr>
        <w:t>paragraph</w:t>
      </w:r>
      <w:r>
        <w:rPr>
          <w:spacing w:val="-2"/>
        </w:rPr>
        <w:t xml:space="preserve"> </w:t>
      </w:r>
      <w:hyperlink w:anchor="_bookmark317" w:history="1">
        <w:r>
          <w:t>8.2</w:t>
        </w:r>
      </w:hyperlink>
      <w:r>
        <w:rPr>
          <w:spacing w:val="-2"/>
        </w:rPr>
        <w:t xml:space="preserve"> of</w:t>
      </w:r>
      <w:r>
        <w:rPr>
          <w:spacing w:val="2"/>
        </w:rPr>
        <w:t xml:space="preserve"> </w:t>
      </w:r>
      <w:r>
        <w:rPr>
          <w:spacing w:val="-1"/>
        </w:rPr>
        <w:t>Part</w:t>
      </w:r>
      <w:r>
        <w:rPr>
          <w:spacing w:val="2"/>
        </w:rPr>
        <w:t xml:space="preserve"> </w:t>
      </w:r>
      <w:r>
        <w:t>B</w:t>
      </w:r>
      <w:r>
        <w:rPr>
          <w:spacing w:val="-5"/>
        </w:rPr>
        <w:t xml:space="preserve"> </w:t>
      </w:r>
      <w:r>
        <w:rPr>
          <w:spacing w:val="-2"/>
        </w:rPr>
        <w:t>of</w:t>
      </w:r>
      <w:r>
        <w:rPr>
          <w:spacing w:val="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2"/>
        </w:rPr>
        <w:t xml:space="preserve"> above.</w:t>
      </w:r>
    </w:p>
    <w:p w:rsidR="008918FA" w:rsidRDefault="008918FA" w:rsidP="008918FA">
      <w:pPr>
        <w:pStyle w:val="BodyText"/>
        <w:numPr>
          <w:ilvl w:val="0"/>
          <w:numId w:val="25"/>
        </w:numPr>
        <w:tabs>
          <w:tab w:val="left" w:pos="466"/>
        </w:tabs>
        <w:spacing w:before="120"/>
        <w:ind w:left="465" w:hanging="359"/>
        <w:jc w:val="left"/>
        <w:rPr>
          <w:rFonts w:ascii="Times New Roman" w:eastAsia="Times New Roman" w:hAnsi="Times New Roman" w:cs="Times New Roman"/>
        </w:rPr>
      </w:pPr>
      <w:r>
        <w:rPr>
          <w:rFonts w:ascii="Times New Roman"/>
          <w:spacing w:val="6"/>
        </w:rPr>
        <w:t>PERFORMANCE</w:t>
      </w:r>
      <w:r>
        <w:rPr>
          <w:rFonts w:ascii="Times New Roman"/>
          <w:spacing w:val="18"/>
        </w:rPr>
        <w:t xml:space="preserve"> </w:t>
      </w:r>
      <w:r>
        <w:rPr>
          <w:rFonts w:ascii="Times New Roman"/>
          <w:spacing w:val="-1"/>
        </w:rPr>
        <w:t>MONITORING</w:t>
      </w:r>
      <w:r>
        <w:rPr>
          <w:rFonts w:ascii="Times New Roman"/>
          <w:spacing w:val="23"/>
        </w:rPr>
        <w:t xml:space="preserve"> </w:t>
      </w:r>
      <w:r>
        <w:rPr>
          <w:rFonts w:ascii="Times New Roman"/>
          <w:spacing w:val="-3"/>
        </w:rPr>
        <w:t>AND</w:t>
      </w:r>
      <w:r>
        <w:rPr>
          <w:rFonts w:ascii="Times New Roman"/>
          <w:spacing w:val="6"/>
        </w:rPr>
        <w:t xml:space="preserve"> PERFORMANCE</w:t>
      </w:r>
      <w:r>
        <w:rPr>
          <w:rFonts w:ascii="Times New Roman"/>
          <w:spacing w:val="18"/>
        </w:rPr>
        <w:t xml:space="preserve"> </w:t>
      </w:r>
      <w:r>
        <w:rPr>
          <w:rFonts w:ascii="Times New Roman"/>
          <w:spacing w:val="3"/>
        </w:rPr>
        <w:t>REVIEW</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5"/>
        </w:numPr>
        <w:tabs>
          <w:tab w:val="left" w:pos="1033"/>
        </w:tabs>
        <w:spacing w:before="0"/>
        <w:ind w:left="828" w:right="112"/>
        <w:jc w:val="both"/>
      </w:pPr>
      <w:bookmarkStart w:id="392" w:name="_bookmark318"/>
      <w:bookmarkEnd w:id="392"/>
      <w:r>
        <w:t>The</w:t>
      </w:r>
      <w:r>
        <w:rPr>
          <w:spacing w:val="43"/>
        </w:rPr>
        <w:t xml:space="preserve"> </w:t>
      </w:r>
      <w:r>
        <w:rPr>
          <w:spacing w:val="-2"/>
        </w:rPr>
        <w:t>Supplier</w:t>
      </w:r>
      <w:r>
        <w:rPr>
          <w:spacing w:val="45"/>
        </w:rPr>
        <w:t xml:space="preserve"> </w:t>
      </w:r>
      <w:r>
        <w:rPr>
          <w:spacing w:val="-1"/>
        </w:rPr>
        <w:t>shall</w:t>
      </w:r>
      <w:r>
        <w:rPr>
          <w:spacing w:val="43"/>
        </w:rPr>
        <w:t xml:space="preserve"> </w:t>
      </w:r>
      <w:r>
        <w:rPr>
          <w:spacing w:val="-1"/>
        </w:rPr>
        <w:t>provide</w:t>
      </w:r>
      <w:r>
        <w:rPr>
          <w:spacing w:val="43"/>
        </w:rPr>
        <w:t xml:space="preserve"> </w:t>
      </w:r>
      <w:r>
        <w:t>the</w:t>
      </w:r>
      <w:r>
        <w:rPr>
          <w:spacing w:val="43"/>
        </w:rPr>
        <w:t xml:space="preserve"> </w:t>
      </w:r>
      <w:r>
        <w:rPr>
          <w:spacing w:val="-1"/>
        </w:rPr>
        <w:t>Customer</w:t>
      </w:r>
      <w:r>
        <w:rPr>
          <w:spacing w:val="45"/>
        </w:rPr>
        <w:t xml:space="preserve"> </w:t>
      </w:r>
      <w:r>
        <w:rPr>
          <w:spacing w:val="-2"/>
        </w:rPr>
        <w:t>with</w:t>
      </w:r>
      <w:r>
        <w:rPr>
          <w:spacing w:val="44"/>
        </w:rPr>
        <w:t xml:space="preserve"> </w:t>
      </w:r>
      <w:r>
        <w:rPr>
          <w:spacing w:val="-1"/>
        </w:rPr>
        <w:t>performance</w:t>
      </w:r>
      <w:r>
        <w:rPr>
          <w:spacing w:val="41"/>
        </w:rPr>
        <w:t xml:space="preserve"> </w:t>
      </w:r>
      <w:r>
        <w:rPr>
          <w:spacing w:val="-1"/>
        </w:rPr>
        <w:t>monitoring</w:t>
      </w:r>
      <w:r>
        <w:rPr>
          <w:spacing w:val="46"/>
        </w:rPr>
        <w:t xml:space="preserve"> </w:t>
      </w:r>
      <w:r>
        <w:rPr>
          <w:spacing w:val="-1"/>
        </w:rPr>
        <w:t>reports</w:t>
      </w:r>
      <w:r>
        <w:rPr>
          <w:spacing w:val="57"/>
        </w:rPr>
        <w:t xml:space="preserve"> </w:t>
      </w:r>
      <w:r>
        <w:rPr>
          <w:spacing w:val="-1"/>
        </w:rPr>
        <w:t>(“</w:t>
      </w:r>
      <w:r>
        <w:rPr>
          <w:rFonts w:cs="Arial"/>
          <w:b/>
          <w:bCs/>
          <w:spacing w:val="-1"/>
        </w:rPr>
        <w:t>Performance</w:t>
      </w:r>
      <w:r>
        <w:rPr>
          <w:rFonts w:cs="Arial"/>
          <w:b/>
          <w:bCs/>
          <w:spacing w:val="45"/>
        </w:rPr>
        <w:t xml:space="preserve"> </w:t>
      </w:r>
      <w:r>
        <w:rPr>
          <w:rFonts w:cs="Arial"/>
          <w:b/>
          <w:bCs/>
          <w:spacing w:val="-1"/>
        </w:rPr>
        <w:t>Monitoring</w:t>
      </w:r>
      <w:r>
        <w:rPr>
          <w:rFonts w:cs="Arial"/>
          <w:b/>
          <w:bCs/>
          <w:spacing w:val="49"/>
        </w:rPr>
        <w:t xml:space="preserve"> </w:t>
      </w:r>
      <w:r>
        <w:rPr>
          <w:rFonts w:cs="Arial"/>
          <w:b/>
          <w:bCs/>
          <w:spacing w:val="-2"/>
        </w:rPr>
        <w:t>Reports</w:t>
      </w:r>
      <w:r>
        <w:rPr>
          <w:spacing w:val="-2"/>
        </w:rPr>
        <w:t>”)</w:t>
      </w:r>
      <w:r>
        <w:rPr>
          <w:spacing w:val="51"/>
        </w:rPr>
        <w:t xml:space="preserve"> </w:t>
      </w:r>
      <w:r>
        <w:rPr>
          <w:spacing w:val="-1"/>
        </w:rPr>
        <w:t>in</w:t>
      </w:r>
      <w:r>
        <w:rPr>
          <w:spacing w:val="49"/>
        </w:rPr>
        <w:t xml:space="preserve"> </w:t>
      </w:r>
      <w:r>
        <w:rPr>
          <w:spacing w:val="-2"/>
        </w:rPr>
        <w:t>accordance</w:t>
      </w:r>
      <w:r>
        <w:rPr>
          <w:spacing w:val="50"/>
        </w:rPr>
        <w:t xml:space="preserve"> </w:t>
      </w:r>
      <w:r>
        <w:rPr>
          <w:spacing w:val="-2"/>
        </w:rPr>
        <w:t>with</w:t>
      </w:r>
      <w:r>
        <w:rPr>
          <w:spacing w:val="49"/>
        </w:rPr>
        <w:t xml:space="preserve"> </w:t>
      </w:r>
      <w:r>
        <w:t>the</w:t>
      </w:r>
      <w:r>
        <w:rPr>
          <w:spacing w:val="48"/>
        </w:rPr>
        <w:t xml:space="preserve"> </w:t>
      </w:r>
      <w:r>
        <w:rPr>
          <w:spacing w:val="-1"/>
        </w:rPr>
        <w:t>process</w:t>
      </w:r>
      <w:r>
        <w:rPr>
          <w:spacing w:val="50"/>
        </w:rPr>
        <w:t xml:space="preserve"> </w:t>
      </w:r>
      <w:r>
        <w:rPr>
          <w:spacing w:val="-1"/>
        </w:rPr>
        <w:t>and</w:t>
      </w:r>
      <w:r>
        <w:rPr>
          <w:spacing w:val="56"/>
        </w:rPr>
        <w:t xml:space="preserve"> </w:t>
      </w:r>
      <w:r>
        <w:rPr>
          <w:spacing w:val="-1"/>
        </w:rPr>
        <w:t>timescales</w:t>
      </w:r>
      <w:r>
        <w:rPr>
          <w:spacing w:val="30"/>
        </w:rPr>
        <w:t xml:space="preserve"> </w:t>
      </w:r>
      <w:r>
        <w:rPr>
          <w:spacing w:val="-1"/>
        </w:rPr>
        <w:t>agreed</w:t>
      </w:r>
      <w:r>
        <w:rPr>
          <w:spacing w:val="29"/>
        </w:rPr>
        <w:t xml:space="preserve"> </w:t>
      </w:r>
      <w:r>
        <w:rPr>
          <w:spacing w:val="-1"/>
        </w:rPr>
        <w:t>pursuant</w:t>
      </w:r>
      <w:r>
        <w:rPr>
          <w:spacing w:val="30"/>
        </w:rPr>
        <w:t xml:space="preserve"> </w:t>
      </w:r>
      <w:r>
        <w:t>to</w:t>
      </w:r>
      <w:r>
        <w:rPr>
          <w:spacing w:val="29"/>
        </w:rPr>
        <w:t xml:space="preserve"> </w:t>
      </w:r>
      <w:r>
        <w:rPr>
          <w:spacing w:val="-1"/>
        </w:rPr>
        <w:t>paragraph</w:t>
      </w:r>
      <w:r>
        <w:rPr>
          <w:spacing w:val="29"/>
        </w:rPr>
        <w:t xml:space="preserve"> </w:t>
      </w:r>
      <w:hyperlink w:anchor="_bookmark317" w:history="1">
        <w:r>
          <w:t>8.2</w:t>
        </w:r>
      </w:hyperlink>
      <w:r>
        <w:rPr>
          <w:spacing w:val="30"/>
        </w:rPr>
        <w:t xml:space="preserve"> </w:t>
      </w:r>
      <w:r>
        <w:rPr>
          <w:spacing w:val="-2"/>
        </w:rPr>
        <w:t>of</w:t>
      </w:r>
      <w:r>
        <w:rPr>
          <w:spacing w:val="33"/>
        </w:rPr>
        <w:t xml:space="preserve"> </w:t>
      </w:r>
      <w:r>
        <w:rPr>
          <w:spacing w:val="-1"/>
        </w:rPr>
        <w:t>Part</w:t>
      </w:r>
      <w:r>
        <w:rPr>
          <w:spacing w:val="30"/>
        </w:rPr>
        <w:t xml:space="preserve"> </w:t>
      </w:r>
      <w:r>
        <w:t>B</w:t>
      </w:r>
      <w:r>
        <w:rPr>
          <w:spacing w:val="29"/>
        </w:rPr>
        <w:t xml:space="preserve"> </w:t>
      </w:r>
      <w:r>
        <w:rPr>
          <w:spacing w:val="-1"/>
        </w:rPr>
        <w:t>of</w:t>
      </w:r>
      <w:r>
        <w:rPr>
          <w:spacing w:val="33"/>
        </w:rPr>
        <w:t xml:space="preserve"> </w:t>
      </w:r>
      <w:r>
        <w:rPr>
          <w:spacing w:val="-1"/>
        </w:rPr>
        <w:t>this</w:t>
      </w:r>
      <w:r>
        <w:rPr>
          <w:spacing w:val="30"/>
        </w:rPr>
        <w:t xml:space="preserve"> </w:t>
      </w:r>
      <w:r>
        <w:rPr>
          <w:spacing w:val="-2"/>
        </w:rPr>
        <w:t>Call</w:t>
      </w:r>
      <w:r>
        <w:rPr>
          <w:spacing w:val="28"/>
        </w:rPr>
        <w:t xml:space="preserve"> </w:t>
      </w:r>
      <w:r>
        <w:rPr>
          <w:spacing w:val="-1"/>
        </w:rPr>
        <w:t>Off</w:t>
      </w:r>
      <w:r>
        <w:rPr>
          <w:spacing w:val="30"/>
        </w:rPr>
        <w:t xml:space="preserve"> </w:t>
      </w:r>
      <w:r>
        <w:rPr>
          <w:spacing w:val="-1"/>
        </w:rPr>
        <w:t>Schedule</w:t>
      </w:r>
      <w:r>
        <w:rPr>
          <w:spacing w:val="43"/>
        </w:rPr>
        <w:t xml:space="preserve"> </w:t>
      </w:r>
      <w:r>
        <w:rPr>
          <w:spacing w:val="-2"/>
        </w:rPr>
        <w:t>above</w:t>
      </w:r>
      <w:r>
        <w:rPr>
          <w:spacing w:val="3"/>
        </w:rPr>
        <w:t xml:space="preserve"> </w:t>
      </w:r>
      <w:r>
        <w:rPr>
          <w:spacing w:val="-2"/>
        </w:rPr>
        <w:t>which</w:t>
      </w:r>
      <w:r>
        <w:rPr>
          <w:spacing w:val="1"/>
        </w:rPr>
        <w:t xml:space="preserve"> </w:t>
      </w:r>
      <w:r>
        <w:rPr>
          <w:spacing w:val="-1"/>
        </w:rPr>
        <w:t>shall</w:t>
      </w:r>
      <w:r>
        <w:t xml:space="preserve"> </w:t>
      </w:r>
      <w:r>
        <w:rPr>
          <w:spacing w:val="-1"/>
        </w:rPr>
        <w:t>contain,</w:t>
      </w:r>
      <w:r>
        <w:rPr>
          <w:spacing w:val="2"/>
        </w:rPr>
        <w:t xml:space="preserve"> </w:t>
      </w:r>
      <w:r>
        <w:rPr>
          <w:spacing w:val="-1"/>
        </w:rPr>
        <w:t>as</w:t>
      </w:r>
      <w:r>
        <w:rPr>
          <w:spacing w:val="-2"/>
        </w:rPr>
        <w:t xml:space="preserve"> </w:t>
      </w:r>
      <w:r>
        <w:t>a</w:t>
      </w:r>
      <w:r>
        <w:rPr>
          <w:spacing w:val="-2"/>
        </w:rPr>
        <w:t xml:space="preserve"> </w:t>
      </w:r>
      <w:r>
        <w:rPr>
          <w:spacing w:val="-1"/>
        </w:rPr>
        <w:t>minimum,</w:t>
      </w:r>
      <w:r>
        <w:t xml:space="preserve"> the</w:t>
      </w:r>
      <w:r>
        <w:rPr>
          <w:spacing w:val="-2"/>
        </w:rPr>
        <w:t xml:space="preserve"> following</w:t>
      </w:r>
      <w:r>
        <w:rPr>
          <w:spacing w:val="3"/>
        </w:rPr>
        <w:t xml:space="preserve"> </w:t>
      </w:r>
      <w:r>
        <w:rPr>
          <w:spacing w:val="-1"/>
        </w:rPr>
        <w:t>information</w:t>
      </w:r>
      <w:r>
        <w:t xml:space="preserve"> </w:t>
      </w:r>
      <w:r>
        <w:rPr>
          <w:spacing w:val="-1"/>
        </w:rPr>
        <w:t>in</w:t>
      </w:r>
      <w:r>
        <w:t xml:space="preserve"> </w:t>
      </w:r>
      <w:r>
        <w:rPr>
          <w:spacing w:val="-2"/>
        </w:rPr>
        <w:t>respect</w:t>
      </w:r>
      <w:r>
        <w:rPr>
          <w:spacing w:val="2"/>
        </w:rPr>
        <w:t xml:space="preserve"> </w:t>
      </w:r>
      <w:r>
        <w:rPr>
          <w:spacing w:val="-2"/>
        </w:rPr>
        <w:t>of</w:t>
      </w:r>
      <w:r>
        <w:t xml:space="preserve"> </w:t>
      </w:r>
      <w:r>
        <w:rPr>
          <w:spacing w:val="-1"/>
        </w:rPr>
        <w:t>the</w:t>
      </w:r>
      <w:r>
        <w:rPr>
          <w:spacing w:val="56"/>
        </w:rPr>
        <w:t xml:space="preserve"> </w:t>
      </w:r>
      <w:r>
        <w:rPr>
          <w:spacing w:val="-2"/>
        </w:rPr>
        <w:t>relevant</w:t>
      </w:r>
      <w:r>
        <w:rPr>
          <w:spacing w:val="2"/>
        </w:rPr>
        <w:t xml:space="preserve"> </w:t>
      </w:r>
      <w:r>
        <w:rPr>
          <w:spacing w:val="-2"/>
        </w:rPr>
        <w:t>Service</w:t>
      </w:r>
      <w:r>
        <w:rPr>
          <w:spacing w:val="1"/>
        </w:rPr>
        <w:t xml:space="preserve"> </w:t>
      </w:r>
      <w:r>
        <w:rPr>
          <w:spacing w:val="-1"/>
        </w:rPr>
        <w:t>Period</w:t>
      </w:r>
      <w:r>
        <w:t xml:space="preserve"> </w:t>
      </w:r>
      <w:r>
        <w:rPr>
          <w:spacing w:val="-1"/>
        </w:rPr>
        <w:t>just</w:t>
      </w:r>
      <w:r>
        <w:rPr>
          <w:spacing w:val="2"/>
        </w:rPr>
        <w:t xml:space="preserve"> </w:t>
      </w:r>
      <w:r>
        <w:rPr>
          <w:spacing w:val="-2"/>
        </w:rPr>
        <w:t>ended:</w:t>
      </w:r>
    </w:p>
    <w:p w:rsidR="008918FA" w:rsidRDefault="008918FA" w:rsidP="008918FA">
      <w:pPr>
        <w:pStyle w:val="BodyText"/>
        <w:numPr>
          <w:ilvl w:val="2"/>
          <w:numId w:val="25"/>
        </w:numPr>
        <w:tabs>
          <w:tab w:val="left" w:pos="2026"/>
        </w:tabs>
        <w:ind w:left="2025" w:right="116" w:hanging="993"/>
        <w:jc w:val="both"/>
      </w:pPr>
      <w:r>
        <w:t>for</w:t>
      </w:r>
      <w:r>
        <w:rPr>
          <w:spacing w:val="3"/>
        </w:rPr>
        <w:t xml:space="preserve"> </w:t>
      </w:r>
      <w:r>
        <w:rPr>
          <w:spacing w:val="-1"/>
        </w:rPr>
        <w:t>each</w:t>
      </w:r>
      <w:r>
        <w:rPr>
          <w:spacing w:val="2"/>
        </w:rPr>
        <w:t xml:space="preserve"> </w:t>
      </w:r>
      <w:r>
        <w:rPr>
          <w:spacing w:val="-2"/>
        </w:rPr>
        <w:t>Service</w:t>
      </w:r>
      <w:r>
        <w:rPr>
          <w:spacing w:val="2"/>
        </w:rPr>
        <w:t xml:space="preserve"> </w:t>
      </w:r>
      <w:r>
        <w:rPr>
          <w:spacing w:val="-2"/>
        </w:rPr>
        <w:t>Level,</w:t>
      </w:r>
      <w:r>
        <w:rPr>
          <w:spacing w:val="5"/>
        </w:rPr>
        <w:t xml:space="preserve"> </w:t>
      </w:r>
      <w:r>
        <w:t>the</w:t>
      </w:r>
      <w:r>
        <w:rPr>
          <w:spacing w:val="2"/>
        </w:rPr>
        <w:t xml:space="preserve"> </w:t>
      </w:r>
      <w:r>
        <w:rPr>
          <w:spacing w:val="-1"/>
        </w:rPr>
        <w:t>actual</w:t>
      </w:r>
      <w:r>
        <w:rPr>
          <w:spacing w:val="1"/>
        </w:rPr>
        <w:t xml:space="preserve"> </w:t>
      </w:r>
      <w:r>
        <w:rPr>
          <w:spacing w:val="-1"/>
        </w:rPr>
        <w:t>performance</w:t>
      </w:r>
      <w:r>
        <w:rPr>
          <w:spacing w:val="2"/>
        </w:rPr>
        <w:t xml:space="preserve"> </w:t>
      </w:r>
      <w:r>
        <w:rPr>
          <w:spacing w:val="-2"/>
        </w:rPr>
        <w:t>achieved</w:t>
      </w:r>
      <w:r>
        <w:rPr>
          <w:spacing w:val="2"/>
        </w:rPr>
        <w:t xml:space="preserve"> </w:t>
      </w:r>
      <w:r>
        <w:rPr>
          <w:spacing w:val="-1"/>
        </w:rPr>
        <w:t>over</w:t>
      </w:r>
      <w:r>
        <w:rPr>
          <w:spacing w:val="3"/>
        </w:rPr>
        <w:t xml:space="preserve"> </w:t>
      </w:r>
      <w:r>
        <w:rPr>
          <w:spacing w:val="-1"/>
        </w:rPr>
        <w:t>the</w:t>
      </w:r>
      <w:r>
        <w:rPr>
          <w:spacing w:val="52"/>
        </w:rPr>
        <w:t xml:space="preserve"> </w:t>
      </w:r>
      <w:r>
        <w:rPr>
          <w:spacing w:val="-2"/>
        </w:rPr>
        <w:t>Service</w:t>
      </w:r>
      <w:r>
        <w:rPr>
          <w:spacing w:val="1"/>
        </w:rPr>
        <w:t xml:space="preserve"> </w:t>
      </w:r>
      <w:r>
        <w:rPr>
          <w:spacing w:val="-2"/>
        </w:rPr>
        <w:t>Level</w:t>
      </w:r>
      <w:r>
        <w:t xml:space="preserve"> for</w:t>
      </w:r>
      <w:r>
        <w:rPr>
          <w:spacing w:val="-1"/>
        </w:rPr>
        <w:t xml:space="preserve"> </w:t>
      </w:r>
      <w:r>
        <w:t>the</w:t>
      </w:r>
      <w:r>
        <w:rPr>
          <w:spacing w:val="-2"/>
        </w:rPr>
        <w:t xml:space="preserve"> relevant</w:t>
      </w:r>
      <w:r>
        <w:rPr>
          <w:spacing w:val="2"/>
        </w:rPr>
        <w:t xml:space="preserve"> </w:t>
      </w:r>
      <w:r>
        <w:rPr>
          <w:spacing w:val="-2"/>
        </w:rPr>
        <w:t>Service</w:t>
      </w:r>
      <w:r>
        <w:rPr>
          <w:spacing w:val="1"/>
        </w:rPr>
        <w:t xml:space="preserve"> </w:t>
      </w:r>
      <w:r>
        <w:rPr>
          <w:spacing w:val="-1"/>
        </w:rPr>
        <w:t>Period;</w:t>
      </w:r>
    </w:p>
    <w:p w:rsidR="008918FA" w:rsidRDefault="008918FA" w:rsidP="008918FA">
      <w:pPr>
        <w:pStyle w:val="BodyText"/>
        <w:numPr>
          <w:ilvl w:val="2"/>
          <w:numId w:val="25"/>
        </w:numPr>
        <w:tabs>
          <w:tab w:val="left" w:pos="2026"/>
        </w:tabs>
        <w:spacing w:before="121"/>
        <w:ind w:left="2025" w:right="115" w:hanging="993"/>
        <w:jc w:val="both"/>
      </w:pPr>
      <w:r>
        <w:t>a</w:t>
      </w:r>
      <w:r>
        <w:rPr>
          <w:spacing w:val="2"/>
        </w:rPr>
        <w:t xml:space="preserve"> </w:t>
      </w:r>
      <w:r>
        <w:rPr>
          <w:spacing w:val="-1"/>
        </w:rPr>
        <w:t>summary</w:t>
      </w:r>
      <w:r>
        <w:rPr>
          <w:spacing w:val="61"/>
        </w:rPr>
        <w:t xml:space="preserve"> </w:t>
      </w:r>
      <w:r>
        <w:rPr>
          <w:spacing w:val="-2"/>
        </w:rPr>
        <w:t>of</w:t>
      </w:r>
      <w:r>
        <w:rPr>
          <w:spacing w:val="5"/>
        </w:rPr>
        <w:t xml:space="preserve"> </w:t>
      </w:r>
      <w:r>
        <w:rPr>
          <w:spacing w:val="-1"/>
        </w:rPr>
        <w:t>all</w:t>
      </w:r>
      <w:r>
        <w:rPr>
          <w:spacing w:val="1"/>
        </w:rPr>
        <w:t xml:space="preserve"> </w:t>
      </w:r>
      <w:r>
        <w:rPr>
          <w:spacing w:val="-1"/>
        </w:rPr>
        <w:t>failures</w:t>
      </w:r>
      <w:r>
        <w:rPr>
          <w:spacing w:val="2"/>
        </w:rPr>
        <w:t xml:space="preserve"> </w:t>
      </w:r>
      <w:r>
        <w:t>to</w:t>
      </w:r>
      <w:r>
        <w:rPr>
          <w:spacing w:val="2"/>
        </w:rPr>
        <w:t xml:space="preserve"> </w:t>
      </w:r>
      <w:r>
        <w:rPr>
          <w:spacing w:val="-2"/>
        </w:rPr>
        <w:t>achieve</w:t>
      </w:r>
      <w:r>
        <w:rPr>
          <w:spacing w:val="2"/>
        </w:rPr>
        <w:t xml:space="preserve"> </w:t>
      </w:r>
      <w:r>
        <w:rPr>
          <w:spacing w:val="-2"/>
        </w:rPr>
        <w:t>Service</w:t>
      </w:r>
      <w:r>
        <w:rPr>
          <w:spacing w:val="4"/>
        </w:rPr>
        <w:t xml:space="preserve"> </w:t>
      </w:r>
      <w:r>
        <w:rPr>
          <w:spacing w:val="-2"/>
        </w:rPr>
        <w:t>Levels</w:t>
      </w:r>
      <w:r>
        <w:rPr>
          <w:spacing w:val="2"/>
        </w:rPr>
        <w:t xml:space="preserve"> </w:t>
      </w:r>
      <w:r>
        <w:rPr>
          <w:spacing w:val="-1"/>
        </w:rPr>
        <w:t>that</w:t>
      </w:r>
      <w:r>
        <w:t xml:space="preserve"> </w:t>
      </w:r>
      <w:r>
        <w:rPr>
          <w:spacing w:val="3"/>
        </w:rPr>
        <w:t xml:space="preserve"> </w:t>
      </w:r>
      <w:r>
        <w:rPr>
          <w:spacing w:val="-1"/>
        </w:rPr>
        <w:t>occurred</w:t>
      </w:r>
      <w:r>
        <w:rPr>
          <w:spacing w:val="58"/>
        </w:rPr>
        <w:t xml:space="preserve"> </w:t>
      </w:r>
      <w:r>
        <w:rPr>
          <w:spacing w:val="-1"/>
        </w:rPr>
        <w:t>during</w:t>
      </w:r>
      <w:r>
        <w:t xml:space="preserve"> </w:t>
      </w:r>
      <w:r>
        <w:rPr>
          <w:spacing w:val="-1"/>
        </w:rPr>
        <w:t>that</w:t>
      </w:r>
      <w:r>
        <w:rPr>
          <w:spacing w:val="2"/>
        </w:rPr>
        <w:t xml:space="preserve"> </w:t>
      </w:r>
      <w:r>
        <w:rPr>
          <w:spacing w:val="-2"/>
        </w:rPr>
        <w:t>Service</w:t>
      </w:r>
      <w:r>
        <w:rPr>
          <w:spacing w:val="1"/>
        </w:rPr>
        <w:t xml:space="preserve"> </w:t>
      </w:r>
      <w:r>
        <w:rPr>
          <w:spacing w:val="-1"/>
        </w:rPr>
        <w:t>Period;</w:t>
      </w:r>
    </w:p>
    <w:p w:rsidR="008918FA" w:rsidRDefault="008918FA" w:rsidP="008918FA">
      <w:pPr>
        <w:pStyle w:val="BodyText"/>
        <w:numPr>
          <w:ilvl w:val="2"/>
          <w:numId w:val="25"/>
        </w:numPr>
        <w:tabs>
          <w:tab w:val="left" w:pos="2026"/>
        </w:tabs>
        <w:spacing w:before="121"/>
        <w:ind w:left="2025" w:hanging="993"/>
      </w:pPr>
      <w:r>
        <w:rPr>
          <w:spacing w:val="-1"/>
        </w:rPr>
        <w:t>any</w:t>
      </w:r>
      <w:r>
        <w:rPr>
          <w:spacing w:val="-2"/>
        </w:rPr>
        <w:t xml:space="preserve"> </w:t>
      </w:r>
      <w:r>
        <w:rPr>
          <w:spacing w:val="-1"/>
        </w:rPr>
        <w:t>Critical</w:t>
      </w:r>
      <w:r>
        <w:t xml:space="preserve"> </w:t>
      </w:r>
      <w:r>
        <w:rPr>
          <w:spacing w:val="-2"/>
        </w:rPr>
        <w:t>Service</w:t>
      </w:r>
      <w:r>
        <w:rPr>
          <w:spacing w:val="1"/>
        </w:rPr>
        <w:t xml:space="preserve"> </w:t>
      </w:r>
      <w:r>
        <w:rPr>
          <w:spacing w:val="-1"/>
        </w:rPr>
        <w:t>Level</w:t>
      </w:r>
      <w:r>
        <w:t xml:space="preserve"> </w:t>
      </w:r>
      <w:r>
        <w:rPr>
          <w:spacing w:val="-1"/>
        </w:rPr>
        <w:t>Failures</w:t>
      </w:r>
      <w:r>
        <w:rPr>
          <w:spacing w:val="1"/>
        </w:rPr>
        <w:t xml:space="preserve"> </w:t>
      </w:r>
      <w:r>
        <w:rPr>
          <w:spacing w:val="-1"/>
        </w:rPr>
        <w:t>and</w:t>
      </w:r>
      <w:r>
        <w:t xml:space="preserve"> </w:t>
      </w:r>
      <w:r>
        <w:rPr>
          <w:spacing w:val="-2"/>
        </w:rPr>
        <w:t>details</w:t>
      </w:r>
      <w:r>
        <w:rPr>
          <w:spacing w:val="1"/>
        </w:rPr>
        <w:t xml:space="preserve"> </w:t>
      </w:r>
      <w:r>
        <w:rPr>
          <w:spacing w:val="-1"/>
        </w:rPr>
        <w:t>in</w:t>
      </w:r>
      <w:r>
        <w:t xml:space="preserve"> </w:t>
      </w:r>
      <w:r>
        <w:rPr>
          <w:spacing w:val="-1"/>
        </w:rPr>
        <w:t>relation</w:t>
      </w:r>
      <w:r>
        <w:t xml:space="preserve"> </w:t>
      </w:r>
      <w:r>
        <w:rPr>
          <w:spacing w:val="-1"/>
        </w:rPr>
        <w:t>thereto;</w:t>
      </w:r>
    </w:p>
    <w:p w:rsidR="008918FA" w:rsidRDefault="008918FA" w:rsidP="008918FA">
      <w:pPr>
        <w:pStyle w:val="BodyText"/>
        <w:numPr>
          <w:ilvl w:val="2"/>
          <w:numId w:val="25"/>
        </w:numPr>
        <w:tabs>
          <w:tab w:val="left" w:pos="2026"/>
        </w:tabs>
        <w:ind w:left="2025" w:right="115" w:hanging="993"/>
        <w:jc w:val="both"/>
      </w:pPr>
      <w:r>
        <w:t>for</w:t>
      </w:r>
      <w:r>
        <w:rPr>
          <w:spacing w:val="28"/>
        </w:rPr>
        <w:t xml:space="preserve"> </w:t>
      </w:r>
      <w:r>
        <w:rPr>
          <w:spacing w:val="-1"/>
        </w:rPr>
        <w:t>any</w:t>
      </w:r>
      <w:r>
        <w:rPr>
          <w:spacing w:val="25"/>
        </w:rPr>
        <w:t xml:space="preserve"> </w:t>
      </w:r>
      <w:r>
        <w:rPr>
          <w:spacing w:val="-1"/>
        </w:rPr>
        <w:t>repeat</w:t>
      </w:r>
      <w:r>
        <w:rPr>
          <w:spacing w:val="26"/>
        </w:rPr>
        <w:t xml:space="preserve"> </w:t>
      </w:r>
      <w:r>
        <w:rPr>
          <w:spacing w:val="-1"/>
        </w:rPr>
        <w:t>failures,</w:t>
      </w:r>
      <w:r>
        <w:rPr>
          <w:spacing w:val="26"/>
        </w:rPr>
        <w:t xml:space="preserve"> </w:t>
      </w:r>
      <w:r>
        <w:rPr>
          <w:spacing w:val="-1"/>
        </w:rPr>
        <w:t>actions</w:t>
      </w:r>
      <w:r>
        <w:rPr>
          <w:spacing w:val="27"/>
        </w:rPr>
        <w:t xml:space="preserve"> </w:t>
      </w:r>
      <w:r>
        <w:rPr>
          <w:spacing w:val="-1"/>
        </w:rPr>
        <w:t>taken</w:t>
      </w:r>
      <w:r>
        <w:rPr>
          <w:spacing w:val="27"/>
        </w:rPr>
        <w:t xml:space="preserve"> </w:t>
      </w:r>
      <w:r>
        <w:t>to</w:t>
      </w:r>
      <w:r>
        <w:rPr>
          <w:spacing w:val="24"/>
        </w:rPr>
        <w:t xml:space="preserve"> </w:t>
      </w:r>
      <w:r>
        <w:rPr>
          <w:spacing w:val="-1"/>
        </w:rPr>
        <w:t>resolve</w:t>
      </w:r>
      <w:r>
        <w:rPr>
          <w:spacing w:val="27"/>
        </w:rPr>
        <w:t xml:space="preserve"> </w:t>
      </w:r>
      <w:r>
        <w:t>the</w:t>
      </w:r>
      <w:r>
        <w:rPr>
          <w:spacing w:val="27"/>
        </w:rPr>
        <w:t xml:space="preserve"> </w:t>
      </w:r>
      <w:r>
        <w:rPr>
          <w:spacing w:val="-2"/>
        </w:rPr>
        <w:t>underlying</w:t>
      </w:r>
      <w:r>
        <w:rPr>
          <w:spacing w:val="29"/>
        </w:rPr>
        <w:t xml:space="preserve"> </w:t>
      </w:r>
      <w:r>
        <w:rPr>
          <w:spacing w:val="-1"/>
        </w:rPr>
        <w:t>cause</w:t>
      </w:r>
      <w:r>
        <w:rPr>
          <w:spacing w:val="30"/>
        </w:rPr>
        <w:t xml:space="preserve"> </w:t>
      </w:r>
      <w:r>
        <w:rPr>
          <w:spacing w:val="-1"/>
        </w:rPr>
        <w:t>and</w:t>
      </w:r>
      <w:r>
        <w:t xml:space="preserve"> </w:t>
      </w:r>
      <w:r>
        <w:rPr>
          <w:spacing w:val="-1"/>
        </w:rPr>
        <w:t>prevent</w:t>
      </w:r>
      <w:r>
        <w:t xml:space="preserve"> </w:t>
      </w:r>
      <w:r>
        <w:rPr>
          <w:spacing w:val="-1"/>
        </w:rPr>
        <w:t>recurrence;</w:t>
      </w:r>
    </w:p>
    <w:p w:rsidR="008918FA" w:rsidRDefault="008918FA" w:rsidP="008918FA">
      <w:pPr>
        <w:pStyle w:val="BodyText"/>
        <w:numPr>
          <w:ilvl w:val="2"/>
          <w:numId w:val="25"/>
        </w:numPr>
        <w:tabs>
          <w:tab w:val="left" w:pos="2026"/>
        </w:tabs>
        <w:spacing w:before="121"/>
        <w:ind w:left="2025" w:right="116" w:hanging="993"/>
        <w:jc w:val="both"/>
      </w:pPr>
      <w:r>
        <w:t>the</w:t>
      </w:r>
      <w:r>
        <w:rPr>
          <w:spacing w:val="53"/>
        </w:rPr>
        <w:t xml:space="preserve"> </w:t>
      </w:r>
      <w:r>
        <w:rPr>
          <w:spacing w:val="-2"/>
        </w:rPr>
        <w:t>Service</w:t>
      </w:r>
      <w:r>
        <w:rPr>
          <w:spacing w:val="53"/>
        </w:rPr>
        <w:t xml:space="preserve"> </w:t>
      </w:r>
      <w:r>
        <w:rPr>
          <w:spacing w:val="-1"/>
        </w:rPr>
        <w:t>Credits</w:t>
      </w:r>
      <w:r>
        <w:rPr>
          <w:spacing w:val="53"/>
        </w:rPr>
        <w:t xml:space="preserve"> </w:t>
      </w:r>
      <w:r>
        <w:t>to</w:t>
      </w:r>
      <w:r>
        <w:rPr>
          <w:spacing w:val="53"/>
        </w:rPr>
        <w:t xml:space="preserve"> </w:t>
      </w:r>
      <w:r>
        <w:rPr>
          <w:spacing w:val="-1"/>
        </w:rPr>
        <w:t>be</w:t>
      </w:r>
      <w:r>
        <w:rPr>
          <w:spacing w:val="53"/>
        </w:rPr>
        <w:t xml:space="preserve"> </w:t>
      </w:r>
      <w:r>
        <w:rPr>
          <w:spacing w:val="-2"/>
        </w:rPr>
        <w:t>applied</w:t>
      </w:r>
      <w:r>
        <w:rPr>
          <w:spacing w:val="53"/>
        </w:rPr>
        <w:t xml:space="preserve"> </w:t>
      </w:r>
      <w:r>
        <w:rPr>
          <w:spacing w:val="-1"/>
        </w:rPr>
        <w:t>in</w:t>
      </w:r>
      <w:r>
        <w:rPr>
          <w:spacing w:val="56"/>
        </w:rPr>
        <w:t xml:space="preserve"> </w:t>
      </w:r>
      <w:r>
        <w:rPr>
          <w:spacing w:val="-1"/>
        </w:rPr>
        <w:t>respect</w:t>
      </w:r>
      <w:r>
        <w:rPr>
          <w:spacing w:val="55"/>
        </w:rPr>
        <w:t xml:space="preserve"> </w:t>
      </w:r>
      <w:r>
        <w:rPr>
          <w:spacing w:val="-2"/>
        </w:rPr>
        <w:t>of</w:t>
      </w:r>
      <w:r>
        <w:rPr>
          <w:spacing w:val="54"/>
        </w:rPr>
        <w:t xml:space="preserve"> </w:t>
      </w:r>
      <w:r>
        <w:t>the</w:t>
      </w:r>
      <w:r>
        <w:rPr>
          <w:spacing w:val="53"/>
        </w:rPr>
        <w:t xml:space="preserve"> </w:t>
      </w:r>
      <w:r>
        <w:rPr>
          <w:spacing w:val="-2"/>
        </w:rPr>
        <w:t>relevant</w:t>
      </w:r>
      <w:r>
        <w:rPr>
          <w:spacing w:val="55"/>
        </w:rPr>
        <w:t xml:space="preserve"> </w:t>
      </w:r>
      <w:r>
        <w:rPr>
          <w:spacing w:val="-1"/>
        </w:rPr>
        <w:t>period</w:t>
      </w:r>
      <w:r>
        <w:rPr>
          <w:spacing w:val="54"/>
        </w:rPr>
        <w:t xml:space="preserve"> </w:t>
      </w:r>
      <w:r>
        <w:rPr>
          <w:spacing w:val="-1"/>
        </w:rPr>
        <w:t>indicating</w:t>
      </w:r>
      <w:r>
        <w:rPr>
          <w:spacing w:val="15"/>
        </w:rPr>
        <w:t xml:space="preserve"> </w:t>
      </w:r>
      <w:r>
        <w:t>the</w:t>
      </w:r>
      <w:r>
        <w:rPr>
          <w:spacing w:val="12"/>
        </w:rPr>
        <w:t xml:space="preserve"> </w:t>
      </w:r>
      <w:r>
        <w:rPr>
          <w:spacing w:val="-1"/>
        </w:rPr>
        <w:t>failures</w:t>
      </w:r>
      <w:r>
        <w:rPr>
          <w:spacing w:val="13"/>
        </w:rPr>
        <w:t xml:space="preserve"> </w:t>
      </w:r>
      <w:r>
        <w:rPr>
          <w:spacing w:val="-2"/>
        </w:rPr>
        <w:t>and</w:t>
      </w:r>
      <w:r>
        <w:rPr>
          <w:spacing w:val="15"/>
        </w:rPr>
        <w:t xml:space="preserve"> </w:t>
      </w:r>
      <w:r>
        <w:rPr>
          <w:spacing w:val="-2"/>
        </w:rPr>
        <w:t>Service</w:t>
      </w:r>
      <w:r>
        <w:rPr>
          <w:spacing w:val="15"/>
        </w:rPr>
        <w:t xml:space="preserve"> </w:t>
      </w:r>
      <w:r>
        <w:rPr>
          <w:spacing w:val="-2"/>
        </w:rPr>
        <w:t>Levels</w:t>
      </w:r>
      <w:r>
        <w:rPr>
          <w:spacing w:val="15"/>
        </w:rPr>
        <w:t xml:space="preserve"> </w:t>
      </w:r>
      <w:r>
        <w:t>to</w:t>
      </w:r>
      <w:r>
        <w:rPr>
          <w:spacing w:val="15"/>
        </w:rPr>
        <w:t xml:space="preserve"> </w:t>
      </w:r>
      <w:r>
        <w:rPr>
          <w:spacing w:val="-1"/>
        </w:rPr>
        <w:t>which</w:t>
      </w:r>
      <w:r>
        <w:rPr>
          <w:spacing w:val="15"/>
        </w:rPr>
        <w:t xml:space="preserve"> </w:t>
      </w:r>
      <w:r>
        <w:t>the</w:t>
      </w:r>
      <w:r>
        <w:rPr>
          <w:spacing w:val="15"/>
        </w:rPr>
        <w:t xml:space="preserve"> </w:t>
      </w:r>
      <w:r>
        <w:rPr>
          <w:spacing w:val="-2"/>
        </w:rPr>
        <w:t>Service</w:t>
      </w:r>
      <w:r>
        <w:rPr>
          <w:spacing w:val="15"/>
        </w:rPr>
        <w:t xml:space="preserve"> </w:t>
      </w:r>
      <w:r>
        <w:rPr>
          <w:spacing w:val="-1"/>
        </w:rPr>
        <w:t>Credits</w:t>
      </w:r>
      <w:r>
        <w:rPr>
          <w:spacing w:val="49"/>
        </w:rPr>
        <w:t xml:space="preserve"> </w:t>
      </w:r>
      <w:r>
        <w:rPr>
          <w:spacing w:val="-1"/>
        </w:rPr>
        <w:t>relate;</w:t>
      </w:r>
      <w:r>
        <w:t xml:space="preserve"> </w:t>
      </w:r>
      <w:r>
        <w:rPr>
          <w:spacing w:val="-1"/>
        </w:rPr>
        <w:t>and</w:t>
      </w:r>
    </w:p>
    <w:p w:rsidR="008918FA" w:rsidRDefault="008918FA" w:rsidP="008918FA">
      <w:pPr>
        <w:pStyle w:val="BodyText"/>
        <w:numPr>
          <w:ilvl w:val="2"/>
          <w:numId w:val="25"/>
        </w:numPr>
        <w:tabs>
          <w:tab w:val="left" w:pos="2026"/>
        </w:tabs>
        <w:ind w:left="2025" w:right="113" w:hanging="993"/>
        <w:jc w:val="both"/>
      </w:pPr>
      <w:r>
        <w:rPr>
          <w:spacing w:val="-1"/>
        </w:rPr>
        <w:t>such</w:t>
      </w:r>
      <w:r>
        <w:rPr>
          <w:spacing w:val="18"/>
        </w:rPr>
        <w:t xml:space="preserve"> </w:t>
      </w:r>
      <w:r>
        <w:rPr>
          <w:spacing w:val="-1"/>
        </w:rPr>
        <w:t>other</w:t>
      </w:r>
      <w:r>
        <w:rPr>
          <w:spacing w:val="19"/>
        </w:rPr>
        <w:t xml:space="preserve"> </w:t>
      </w:r>
      <w:r>
        <w:rPr>
          <w:spacing w:val="-2"/>
        </w:rPr>
        <w:t>details</w:t>
      </w:r>
      <w:r>
        <w:rPr>
          <w:spacing w:val="18"/>
        </w:rPr>
        <w:t xml:space="preserve"> </w:t>
      </w:r>
      <w:r>
        <w:rPr>
          <w:spacing w:val="-1"/>
        </w:rPr>
        <w:t>as</w:t>
      </w:r>
      <w:r>
        <w:rPr>
          <w:spacing w:val="18"/>
        </w:rPr>
        <w:t xml:space="preserve"> </w:t>
      </w:r>
      <w:r>
        <w:t>the</w:t>
      </w:r>
      <w:r>
        <w:rPr>
          <w:spacing w:val="17"/>
        </w:rPr>
        <w:t xml:space="preserve"> </w:t>
      </w:r>
      <w:r>
        <w:rPr>
          <w:spacing w:val="-1"/>
        </w:rPr>
        <w:t>Customer</w:t>
      </w:r>
      <w:r>
        <w:rPr>
          <w:spacing w:val="16"/>
        </w:rPr>
        <w:t xml:space="preserve"> </w:t>
      </w:r>
      <w:r>
        <w:rPr>
          <w:spacing w:val="-1"/>
        </w:rPr>
        <w:t>may</w:t>
      </w:r>
      <w:r>
        <w:rPr>
          <w:spacing w:val="15"/>
        </w:rPr>
        <w:t xml:space="preserve"> </w:t>
      </w:r>
      <w:r>
        <w:rPr>
          <w:spacing w:val="-1"/>
        </w:rPr>
        <w:t>reasonably</w:t>
      </w:r>
      <w:r>
        <w:rPr>
          <w:spacing w:val="15"/>
        </w:rPr>
        <w:t xml:space="preserve"> </w:t>
      </w:r>
      <w:r>
        <w:rPr>
          <w:spacing w:val="-1"/>
        </w:rPr>
        <w:t>require</w:t>
      </w:r>
      <w:r>
        <w:rPr>
          <w:spacing w:val="15"/>
        </w:rPr>
        <w:t xml:space="preserve"> </w:t>
      </w:r>
      <w:r>
        <w:t>from</w:t>
      </w:r>
      <w:r>
        <w:rPr>
          <w:spacing w:val="19"/>
        </w:rPr>
        <w:t xml:space="preserve"> </w:t>
      </w:r>
      <w:r>
        <w:rPr>
          <w:spacing w:val="-1"/>
        </w:rPr>
        <w:t>time</w:t>
      </w:r>
      <w:r>
        <w:rPr>
          <w:spacing w:val="51"/>
        </w:rPr>
        <w:t xml:space="preserve"> </w:t>
      </w:r>
      <w:r>
        <w:t>to</w:t>
      </w:r>
      <w:r>
        <w:rPr>
          <w:spacing w:val="-2"/>
        </w:rPr>
        <w:t xml:space="preserve"> </w:t>
      </w:r>
      <w:r>
        <w:rPr>
          <w:spacing w:val="-1"/>
        </w:rPr>
        <w:t>time.</w:t>
      </w:r>
    </w:p>
    <w:p w:rsidR="008918FA" w:rsidRDefault="008918FA" w:rsidP="008918FA">
      <w:pPr>
        <w:pStyle w:val="BodyText"/>
        <w:numPr>
          <w:ilvl w:val="1"/>
          <w:numId w:val="25"/>
        </w:numPr>
        <w:tabs>
          <w:tab w:val="left" w:pos="1033"/>
        </w:tabs>
        <w:spacing w:before="121"/>
        <w:ind w:left="828" w:right="113"/>
        <w:jc w:val="both"/>
      </w:pPr>
      <w:r>
        <w:t>The</w:t>
      </w:r>
      <w:r>
        <w:rPr>
          <w:spacing w:val="41"/>
        </w:rPr>
        <w:t xml:space="preserve"> </w:t>
      </w:r>
      <w:r>
        <w:rPr>
          <w:spacing w:val="-1"/>
        </w:rPr>
        <w:t>Parties</w:t>
      </w:r>
      <w:r>
        <w:rPr>
          <w:spacing w:val="39"/>
        </w:rPr>
        <w:t xml:space="preserve"> </w:t>
      </w:r>
      <w:r>
        <w:rPr>
          <w:spacing w:val="-1"/>
        </w:rPr>
        <w:t>shall</w:t>
      </w:r>
      <w:r>
        <w:rPr>
          <w:spacing w:val="40"/>
        </w:rPr>
        <w:t xml:space="preserve"> </w:t>
      </w:r>
      <w:r>
        <w:rPr>
          <w:spacing w:val="-1"/>
        </w:rPr>
        <w:t>attend</w:t>
      </w:r>
      <w:r>
        <w:rPr>
          <w:spacing w:val="38"/>
        </w:rPr>
        <w:t xml:space="preserve"> </w:t>
      </w:r>
      <w:r>
        <w:rPr>
          <w:spacing w:val="-1"/>
        </w:rPr>
        <w:t>meetings</w:t>
      </w:r>
      <w:r>
        <w:rPr>
          <w:spacing w:val="39"/>
        </w:rPr>
        <w:t xml:space="preserve"> </w:t>
      </w:r>
      <w:r>
        <w:t>to</w:t>
      </w:r>
      <w:r>
        <w:rPr>
          <w:spacing w:val="38"/>
        </w:rPr>
        <w:t xml:space="preserve"> </w:t>
      </w:r>
      <w:r>
        <w:rPr>
          <w:spacing w:val="-1"/>
        </w:rPr>
        <w:t>discuss</w:t>
      </w:r>
      <w:r>
        <w:rPr>
          <w:spacing w:val="43"/>
        </w:rPr>
        <w:t xml:space="preserve"> </w:t>
      </w:r>
      <w:r>
        <w:rPr>
          <w:spacing w:val="-1"/>
        </w:rPr>
        <w:t>Performance</w:t>
      </w:r>
      <w:r>
        <w:rPr>
          <w:spacing w:val="39"/>
        </w:rPr>
        <w:t xml:space="preserve"> </w:t>
      </w:r>
      <w:r>
        <w:rPr>
          <w:spacing w:val="-2"/>
        </w:rPr>
        <w:t>Monitoring</w:t>
      </w:r>
      <w:r>
        <w:rPr>
          <w:spacing w:val="41"/>
        </w:rPr>
        <w:t xml:space="preserve"> </w:t>
      </w:r>
      <w:r>
        <w:rPr>
          <w:spacing w:val="-1"/>
        </w:rPr>
        <w:t>Reports</w:t>
      </w:r>
      <w:r>
        <w:rPr>
          <w:spacing w:val="55"/>
        </w:rPr>
        <w:t xml:space="preserve"> </w:t>
      </w:r>
      <w:r>
        <w:rPr>
          <w:spacing w:val="-1"/>
        </w:rPr>
        <w:t>("</w:t>
      </w:r>
      <w:r>
        <w:rPr>
          <w:b/>
          <w:spacing w:val="-1"/>
        </w:rPr>
        <w:t>Performance</w:t>
      </w:r>
      <w:r>
        <w:rPr>
          <w:b/>
          <w:spacing w:val="7"/>
        </w:rPr>
        <w:t xml:space="preserve"> </w:t>
      </w:r>
      <w:r>
        <w:rPr>
          <w:b/>
          <w:spacing w:val="-2"/>
        </w:rPr>
        <w:t>Review</w:t>
      </w:r>
      <w:r>
        <w:rPr>
          <w:b/>
          <w:spacing w:val="11"/>
        </w:rPr>
        <w:t xml:space="preserve"> </w:t>
      </w:r>
      <w:r>
        <w:rPr>
          <w:b/>
          <w:spacing w:val="-1"/>
        </w:rPr>
        <w:t>Meetings</w:t>
      </w:r>
      <w:r>
        <w:rPr>
          <w:spacing w:val="-1"/>
        </w:rPr>
        <w:t>")</w:t>
      </w:r>
      <w:r>
        <w:rPr>
          <w:spacing w:val="11"/>
        </w:rPr>
        <w:t xml:space="preserve"> </w:t>
      </w:r>
      <w:r>
        <w:rPr>
          <w:spacing w:val="-1"/>
        </w:rPr>
        <w:t>on</w:t>
      </w:r>
      <w:r>
        <w:rPr>
          <w:spacing w:val="10"/>
        </w:rPr>
        <w:t xml:space="preserve"> </w:t>
      </w:r>
      <w:r>
        <w:t>a</w:t>
      </w:r>
      <w:r>
        <w:rPr>
          <w:spacing w:val="7"/>
        </w:rPr>
        <w:t xml:space="preserve"> </w:t>
      </w:r>
      <w:r>
        <w:rPr>
          <w:spacing w:val="-1"/>
        </w:rPr>
        <w:t>monthly</w:t>
      </w:r>
      <w:r>
        <w:rPr>
          <w:spacing w:val="8"/>
        </w:rPr>
        <w:t xml:space="preserve"> </w:t>
      </w:r>
      <w:r>
        <w:rPr>
          <w:spacing w:val="-1"/>
        </w:rPr>
        <w:t>basis</w:t>
      </w:r>
      <w:r>
        <w:rPr>
          <w:spacing w:val="10"/>
        </w:rPr>
        <w:t xml:space="preserve"> </w:t>
      </w:r>
      <w:r>
        <w:rPr>
          <w:spacing w:val="-1"/>
        </w:rPr>
        <w:t>(unless</w:t>
      </w:r>
      <w:r>
        <w:rPr>
          <w:spacing w:val="11"/>
        </w:rPr>
        <w:t xml:space="preserve"> </w:t>
      </w:r>
      <w:r>
        <w:rPr>
          <w:spacing w:val="-2"/>
        </w:rPr>
        <w:t>otherwise</w:t>
      </w:r>
      <w:r>
        <w:rPr>
          <w:spacing w:val="10"/>
        </w:rPr>
        <w:t xml:space="preserve"> </w:t>
      </w:r>
      <w:r>
        <w:rPr>
          <w:spacing w:val="-1"/>
        </w:rPr>
        <w:t>agreed).</w:t>
      </w:r>
      <w:r>
        <w:rPr>
          <w:spacing w:val="47"/>
        </w:rPr>
        <w:t xml:space="preserve"> </w:t>
      </w:r>
      <w:r>
        <w:t>The</w:t>
      </w:r>
      <w:r>
        <w:rPr>
          <w:spacing w:val="7"/>
        </w:rPr>
        <w:t xml:space="preserve"> </w:t>
      </w:r>
      <w:r>
        <w:rPr>
          <w:spacing w:val="-1"/>
        </w:rPr>
        <w:t>Performance</w:t>
      </w:r>
      <w:r>
        <w:rPr>
          <w:spacing w:val="8"/>
        </w:rPr>
        <w:t xml:space="preserve"> </w:t>
      </w:r>
      <w:r>
        <w:rPr>
          <w:spacing w:val="-2"/>
        </w:rPr>
        <w:t>Review</w:t>
      </w:r>
      <w:r>
        <w:rPr>
          <w:spacing w:val="7"/>
        </w:rPr>
        <w:t xml:space="preserve"> </w:t>
      </w:r>
      <w:r>
        <w:rPr>
          <w:spacing w:val="-1"/>
        </w:rPr>
        <w:t>Meetings</w:t>
      </w:r>
      <w:r>
        <w:rPr>
          <w:spacing w:val="8"/>
        </w:rPr>
        <w:t xml:space="preserve"> </w:t>
      </w:r>
      <w:r>
        <w:rPr>
          <w:spacing w:val="-2"/>
        </w:rPr>
        <w:t>will</w:t>
      </w:r>
      <w:r>
        <w:rPr>
          <w:spacing w:val="7"/>
        </w:rPr>
        <w:t xml:space="preserve"> </w:t>
      </w:r>
      <w:r>
        <w:rPr>
          <w:spacing w:val="-1"/>
        </w:rPr>
        <w:t>be</w:t>
      </w:r>
      <w:r>
        <w:rPr>
          <w:spacing w:val="7"/>
        </w:rPr>
        <w:t xml:space="preserve"> </w:t>
      </w:r>
      <w:r>
        <w:t>the</w:t>
      </w:r>
      <w:r>
        <w:rPr>
          <w:spacing w:val="7"/>
        </w:rPr>
        <w:t xml:space="preserve"> </w:t>
      </w:r>
      <w:r>
        <w:rPr>
          <w:spacing w:val="-1"/>
        </w:rPr>
        <w:t>forum</w:t>
      </w:r>
      <w:r>
        <w:rPr>
          <w:spacing w:val="6"/>
        </w:rPr>
        <w:t xml:space="preserve"> </w:t>
      </w:r>
      <w:r>
        <w:t>for</w:t>
      </w:r>
      <w:r>
        <w:rPr>
          <w:spacing w:val="9"/>
        </w:rPr>
        <w:t xml:space="preserve"> </w:t>
      </w:r>
      <w:r>
        <w:rPr>
          <w:spacing w:val="-1"/>
        </w:rPr>
        <w:t>the</w:t>
      </w:r>
      <w:r>
        <w:rPr>
          <w:spacing w:val="7"/>
        </w:rPr>
        <w:t xml:space="preserve"> </w:t>
      </w:r>
      <w:r>
        <w:rPr>
          <w:spacing w:val="-2"/>
        </w:rPr>
        <w:t>review</w:t>
      </w:r>
      <w:r>
        <w:rPr>
          <w:spacing w:val="7"/>
        </w:rPr>
        <w:t xml:space="preserve"> </w:t>
      </w:r>
      <w:r>
        <w:rPr>
          <w:spacing w:val="-1"/>
        </w:rPr>
        <w:t>by</w:t>
      </w:r>
      <w:r>
        <w:rPr>
          <w:spacing w:val="5"/>
        </w:rPr>
        <w:t xml:space="preserve"> </w:t>
      </w:r>
      <w:r>
        <w:rPr>
          <w:spacing w:val="1"/>
        </w:rPr>
        <w:t>the</w:t>
      </w:r>
      <w:r>
        <w:rPr>
          <w:spacing w:val="7"/>
        </w:rPr>
        <w:t xml:space="preserve"> </w:t>
      </w:r>
      <w:r>
        <w:rPr>
          <w:spacing w:val="-2"/>
        </w:rPr>
        <w:t>Supplier</w:t>
      </w:r>
      <w:r>
        <w:rPr>
          <w:spacing w:val="60"/>
        </w:rPr>
        <w:t xml:space="preserve"> </w:t>
      </w:r>
      <w:r>
        <w:rPr>
          <w:spacing w:val="-1"/>
        </w:rPr>
        <w:t>and</w:t>
      </w:r>
      <w:r>
        <w:rPr>
          <w:spacing w:val="2"/>
        </w:rPr>
        <w:t xml:space="preserve"> </w:t>
      </w:r>
      <w:r>
        <w:t>the</w:t>
      </w:r>
      <w:r>
        <w:rPr>
          <w:spacing w:val="2"/>
        </w:rPr>
        <w:t xml:space="preserve"> </w:t>
      </w:r>
      <w:r>
        <w:rPr>
          <w:spacing w:val="-1"/>
        </w:rPr>
        <w:t>Customer</w:t>
      </w:r>
      <w:r>
        <w:rPr>
          <w:spacing w:val="3"/>
        </w:rPr>
        <w:t xml:space="preserve"> </w:t>
      </w:r>
      <w:r>
        <w:rPr>
          <w:spacing w:val="-2"/>
        </w:rPr>
        <w:t>of</w:t>
      </w:r>
      <w:r>
        <w:rPr>
          <w:spacing w:val="3"/>
        </w:rPr>
        <w:t xml:space="preserve"> </w:t>
      </w:r>
      <w:r>
        <w:rPr>
          <w:spacing w:val="-1"/>
        </w:rPr>
        <w:t>the</w:t>
      </w:r>
      <w:r>
        <w:rPr>
          <w:spacing w:val="2"/>
        </w:rPr>
        <w:t xml:space="preserve"> </w:t>
      </w:r>
      <w:r>
        <w:rPr>
          <w:spacing w:val="-1"/>
        </w:rPr>
        <w:t>Performance</w:t>
      </w:r>
      <w:r>
        <w:rPr>
          <w:spacing w:val="3"/>
        </w:rPr>
        <w:t xml:space="preserve"> </w:t>
      </w:r>
      <w:r>
        <w:rPr>
          <w:spacing w:val="-2"/>
        </w:rPr>
        <w:t>Monitoring</w:t>
      </w:r>
      <w:r>
        <w:rPr>
          <w:spacing w:val="4"/>
        </w:rPr>
        <w:t xml:space="preserve"> </w:t>
      </w:r>
      <w:r>
        <w:rPr>
          <w:spacing w:val="-2"/>
        </w:rPr>
        <w:t>Reports.</w:t>
      </w:r>
      <w:r>
        <w:rPr>
          <w:spacing w:val="5"/>
        </w:rPr>
        <w:t xml:space="preserve"> </w:t>
      </w:r>
      <w:r>
        <w:t xml:space="preserve">The </w:t>
      </w:r>
      <w:r>
        <w:rPr>
          <w:spacing w:val="2"/>
        </w:rPr>
        <w:t xml:space="preserve"> </w:t>
      </w:r>
      <w:r>
        <w:rPr>
          <w:spacing w:val="-2"/>
        </w:rPr>
        <w:t>Performance</w:t>
      </w:r>
      <w:r>
        <w:rPr>
          <w:spacing w:val="70"/>
        </w:rPr>
        <w:t xml:space="preserve"> </w:t>
      </w:r>
      <w:r>
        <w:rPr>
          <w:spacing w:val="-1"/>
        </w:rPr>
        <w:t>Review</w:t>
      </w:r>
      <w:r>
        <w:t xml:space="preserve"> </w:t>
      </w:r>
      <w:r>
        <w:rPr>
          <w:spacing w:val="-1"/>
        </w:rPr>
        <w:t>Meetings</w:t>
      </w:r>
      <w:r>
        <w:rPr>
          <w:spacing w:val="1"/>
        </w:rPr>
        <w:t xml:space="preserve"> </w:t>
      </w:r>
      <w:r>
        <w:rPr>
          <w:spacing w:val="-1"/>
        </w:rPr>
        <w:t>shall</w:t>
      </w:r>
      <w:r>
        <w:t xml:space="preserve"> </w:t>
      </w:r>
      <w:r>
        <w:rPr>
          <w:spacing w:val="-2"/>
        </w:rPr>
        <w:t>(unless</w:t>
      </w:r>
      <w:r>
        <w:rPr>
          <w:spacing w:val="1"/>
        </w:rPr>
        <w:t xml:space="preserve"> </w:t>
      </w:r>
      <w:r>
        <w:rPr>
          <w:spacing w:val="-2"/>
        </w:rPr>
        <w:t>otherwise</w:t>
      </w:r>
      <w:r>
        <w:rPr>
          <w:spacing w:val="1"/>
        </w:rPr>
        <w:t xml:space="preserve"> </w:t>
      </w:r>
      <w:r>
        <w:rPr>
          <w:spacing w:val="-1"/>
        </w:rPr>
        <w:t>agreed):</w:t>
      </w:r>
    </w:p>
    <w:p w:rsidR="008918FA" w:rsidRDefault="008918FA" w:rsidP="008918FA">
      <w:pPr>
        <w:pStyle w:val="BodyText"/>
        <w:numPr>
          <w:ilvl w:val="2"/>
          <w:numId w:val="25"/>
        </w:numPr>
        <w:tabs>
          <w:tab w:val="left" w:pos="2026"/>
        </w:tabs>
        <w:ind w:left="2025" w:right="117" w:hanging="993"/>
        <w:jc w:val="both"/>
      </w:pPr>
      <w:r>
        <w:t>take</w:t>
      </w:r>
      <w:r>
        <w:rPr>
          <w:spacing w:val="10"/>
        </w:rPr>
        <w:t xml:space="preserve"> </w:t>
      </w:r>
      <w:r>
        <w:rPr>
          <w:spacing w:val="-1"/>
        </w:rPr>
        <w:t>place</w:t>
      </w:r>
      <w:r>
        <w:rPr>
          <w:spacing w:val="10"/>
        </w:rPr>
        <w:t xml:space="preserve"> </w:t>
      </w:r>
      <w:r>
        <w:rPr>
          <w:spacing w:val="-2"/>
        </w:rPr>
        <w:t>within</w:t>
      </w:r>
      <w:r>
        <w:rPr>
          <w:spacing w:val="10"/>
        </w:rPr>
        <w:t xml:space="preserve"> </w:t>
      </w:r>
      <w:r>
        <w:rPr>
          <w:spacing w:val="-1"/>
        </w:rPr>
        <w:t>one</w:t>
      </w:r>
      <w:r>
        <w:rPr>
          <w:spacing w:val="10"/>
        </w:rPr>
        <w:t xml:space="preserve"> </w:t>
      </w:r>
      <w:r>
        <w:rPr>
          <w:spacing w:val="-1"/>
        </w:rPr>
        <w:t>(1)</w:t>
      </w:r>
      <w:r>
        <w:rPr>
          <w:spacing w:val="11"/>
        </w:rPr>
        <w:t xml:space="preserve"> </w:t>
      </w:r>
      <w:r>
        <w:rPr>
          <w:spacing w:val="-2"/>
        </w:rPr>
        <w:t>week</w:t>
      </w:r>
      <w:r>
        <w:rPr>
          <w:spacing w:val="13"/>
        </w:rPr>
        <w:t xml:space="preserve"> </w:t>
      </w:r>
      <w:r>
        <w:rPr>
          <w:spacing w:val="-1"/>
        </w:rPr>
        <w:t>of</w:t>
      </w:r>
      <w:r>
        <w:rPr>
          <w:spacing w:val="11"/>
        </w:rPr>
        <w:t xml:space="preserve"> </w:t>
      </w:r>
      <w:r>
        <w:t>the</w:t>
      </w:r>
      <w:r>
        <w:rPr>
          <w:spacing w:val="10"/>
        </w:rPr>
        <w:t xml:space="preserve"> </w:t>
      </w:r>
      <w:r>
        <w:rPr>
          <w:spacing w:val="-1"/>
        </w:rPr>
        <w:t>Performance</w:t>
      </w:r>
      <w:r>
        <w:rPr>
          <w:spacing w:val="10"/>
        </w:rPr>
        <w:t xml:space="preserve"> </w:t>
      </w:r>
      <w:r>
        <w:rPr>
          <w:spacing w:val="-1"/>
        </w:rPr>
        <w:t>Monitoring</w:t>
      </w:r>
      <w:r>
        <w:rPr>
          <w:spacing w:val="12"/>
        </w:rPr>
        <w:t xml:space="preserve"> </w:t>
      </w:r>
      <w:r>
        <w:rPr>
          <w:spacing w:val="-1"/>
        </w:rPr>
        <w:t>Reports</w:t>
      </w:r>
      <w:r>
        <w:rPr>
          <w:spacing w:val="27"/>
        </w:rPr>
        <w:t xml:space="preserve"> </w:t>
      </w:r>
      <w:r>
        <w:rPr>
          <w:spacing w:val="-1"/>
        </w:rPr>
        <w:t>being</w:t>
      </w:r>
      <w:r>
        <w:rPr>
          <w:spacing w:val="3"/>
        </w:rPr>
        <w:t xml:space="preserve"> </w:t>
      </w:r>
      <w:r>
        <w:rPr>
          <w:spacing w:val="-1"/>
        </w:rPr>
        <w:t>issued</w:t>
      </w:r>
      <w:r>
        <w:rPr>
          <w:spacing w:val="-2"/>
        </w:rPr>
        <w:t xml:space="preserve"> </w:t>
      </w:r>
      <w:r>
        <w:rPr>
          <w:spacing w:val="-1"/>
        </w:rPr>
        <w:t>by</w:t>
      </w:r>
      <w:r>
        <w:rPr>
          <w:spacing w:val="-2"/>
        </w:rPr>
        <w:t xml:space="preserve"> </w:t>
      </w:r>
      <w:r>
        <w:t>the</w:t>
      </w:r>
      <w:r>
        <w:rPr>
          <w:spacing w:val="-2"/>
        </w:rPr>
        <w:t xml:space="preserve"> </w:t>
      </w:r>
      <w:r>
        <w:rPr>
          <w:spacing w:val="-1"/>
        </w:rPr>
        <w:t>Supplier;</w:t>
      </w:r>
    </w:p>
    <w:p w:rsidR="008918FA" w:rsidRDefault="008918FA" w:rsidP="008918FA">
      <w:pPr>
        <w:pStyle w:val="BodyText"/>
        <w:numPr>
          <w:ilvl w:val="2"/>
          <w:numId w:val="25"/>
        </w:numPr>
        <w:tabs>
          <w:tab w:val="left" w:pos="2026"/>
        </w:tabs>
        <w:spacing w:before="121"/>
        <w:ind w:left="2025" w:right="114" w:hanging="993"/>
        <w:jc w:val="both"/>
      </w:pPr>
      <w:r>
        <w:t>take</w:t>
      </w:r>
      <w:r>
        <w:rPr>
          <w:spacing w:val="7"/>
        </w:rPr>
        <w:t xml:space="preserve"> </w:t>
      </w:r>
      <w:r>
        <w:rPr>
          <w:spacing w:val="-1"/>
        </w:rPr>
        <w:t>place</w:t>
      </w:r>
      <w:r>
        <w:rPr>
          <w:spacing w:val="8"/>
        </w:rPr>
        <w:t xml:space="preserve"> </w:t>
      </w:r>
      <w:r>
        <w:rPr>
          <w:spacing w:val="-2"/>
        </w:rPr>
        <w:t>at</w:t>
      </w:r>
      <w:r>
        <w:rPr>
          <w:spacing w:val="9"/>
        </w:rPr>
        <w:t xml:space="preserve"> </w:t>
      </w:r>
      <w:r>
        <w:rPr>
          <w:spacing w:val="-1"/>
        </w:rPr>
        <w:t>such</w:t>
      </w:r>
      <w:r>
        <w:rPr>
          <w:spacing w:val="8"/>
        </w:rPr>
        <w:t xml:space="preserve"> </w:t>
      </w:r>
      <w:r>
        <w:rPr>
          <w:spacing w:val="-2"/>
        </w:rPr>
        <w:t>location</w:t>
      </w:r>
      <w:r>
        <w:rPr>
          <w:spacing w:val="7"/>
        </w:rPr>
        <w:t xml:space="preserve"> </w:t>
      </w:r>
      <w:r>
        <w:rPr>
          <w:spacing w:val="-1"/>
        </w:rPr>
        <w:t>and</w:t>
      </w:r>
      <w:r>
        <w:rPr>
          <w:spacing w:val="7"/>
        </w:rPr>
        <w:t xml:space="preserve"> </w:t>
      </w:r>
      <w:r>
        <w:rPr>
          <w:spacing w:val="-1"/>
        </w:rPr>
        <w:t>time</w:t>
      </w:r>
      <w:r>
        <w:rPr>
          <w:spacing w:val="5"/>
        </w:rPr>
        <w:t xml:space="preserve"> </w:t>
      </w:r>
      <w:r>
        <w:rPr>
          <w:spacing w:val="-2"/>
        </w:rPr>
        <w:t>(within</w:t>
      </w:r>
      <w:r>
        <w:rPr>
          <w:spacing w:val="7"/>
        </w:rPr>
        <w:t xml:space="preserve"> </w:t>
      </w:r>
      <w:r>
        <w:rPr>
          <w:spacing w:val="-1"/>
        </w:rPr>
        <w:t>normal</w:t>
      </w:r>
      <w:r>
        <w:rPr>
          <w:spacing w:val="7"/>
        </w:rPr>
        <w:t xml:space="preserve"> </w:t>
      </w:r>
      <w:r>
        <w:rPr>
          <w:spacing w:val="-1"/>
        </w:rPr>
        <w:t>business</w:t>
      </w:r>
      <w:r>
        <w:rPr>
          <w:spacing w:val="8"/>
        </w:rPr>
        <w:t xml:space="preserve"> </w:t>
      </w:r>
      <w:r>
        <w:rPr>
          <w:spacing w:val="-1"/>
        </w:rPr>
        <w:t>hours)</w:t>
      </w:r>
      <w:r>
        <w:rPr>
          <w:spacing w:val="7"/>
        </w:rPr>
        <w:t xml:space="preserve"> </w:t>
      </w:r>
      <w:r>
        <w:rPr>
          <w:spacing w:val="-1"/>
        </w:rPr>
        <w:t>as</w:t>
      </w:r>
      <w:r>
        <w:rPr>
          <w:spacing w:val="48"/>
        </w:rPr>
        <w:t xml:space="preserve"> </w:t>
      </w:r>
      <w:r>
        <w:t>the</w:t>
      </w:r>
      <w:r>
        <w:rPr>
          <w:spacing w:val="4"/>
        </w:rPr>
        <w:t xml:space="preserve"> </w:t>
      </w:r>
      <w:r>
        <w:rPr>
          <w:spacing w:val="-1"/>
        </w:rPr>
        <w:t>Customer</w:t>
      </w:r>
      <w:r>
        <w:rPr>
          <w:spacing w:val="5"/>
        </w:rPr>
        <w:t xml:space="preserve"> </w:t>
      </w:r>
      <w:r>
        <w:rPr>
          <w:spacing w:val="-2"/>
        </w:rPr>
        <w:t>shall</w:t>
      </w:r>
      <w:r>
        <w:rPr>
          <w:spacing w:val="3"/>
        </w:rPr>
        <w:t xml:space="preserve"> </w:t>
      </w:r>
      <w:r>
        <w:rPr>
          <w:spacing w:val="-1"/>
        </w:rPr>
        <w:t>reasonably</w:t>
      </w:r>
      <w:r>
        <w:rPr>
          <w:spacing w:val="2"/>
        </w:rPr>
        <w:t xml:space="preserve"> </w:t>
      </w:r>
      <w:r>
        <w:rPr>
          <w:spacing w:val="-1"/>
        </w:rPr>
        <w:t>require</w:t>
      </w:r>
      <w:r>
        <w:rPr>
          <w:spacing w:val="4"/>
        </w:rPr>
        <w:t xml:space="preserve"> </w:t>
      </w:r>
      <w:r>
        <w:rPr>
          <w:spacing w:val="-1"/>
        </w:rPr>
        <w:t>unless</w:t>
      </w:r>
      <w:r>
        <w:rPr>
          <w:spacing w:val="2"/>
        </w:rPr>
        <w:t xml:space="preserve"> </w:t>
      </w:r>
      <w:r>
        <w:rPr>
          <w:spacing w:val="-1"/>
        </w:rPr>
        <w:t>otherwise</w:t>
      </w:r>
      <w:r>
        <w:rPr>
          <w:spacing w:val="4"/>
        </w:rPr>
        <w:t xml:space="preserve"> </w:t>
      </w:r>
      <w:r>
        <w:rPr>
          <w:spacing w:val="-1"/>
        </w:rPr>
        <w:t>agreed</w:t>
      </w:r>
      <w:r>
        <w:rPr>
          <w:spacing w:val="4"/>
        </w:rPr>
        <w:t xml:space="preserve"> </w:t>
      </w:r>
      <w:r>
        <w:rPr>
          <w:spacing w:val="-1"/>
        </w:rPr>
        <w:t>in</w:t>
      </w:r>
      <w:r>
        <w:rPr>
          <w:spacing w:val="33"/>
        </w:rPr>
        <w:t xml:space="preserve"> </w:t>
      </w:r>
      <w:r>
        <w:rPr>
          <w:spacing w:val="-1"/>
        </w:rPr>
        <w:t>advance;</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numPr>
          <w:ilvl w:val="2"/>
          <w:numId w:val="25"/>
        </w:numPr>
        <w:tabs>
          <w:tab w:val="left" w:pos="2027"/>
        </w:tabs>
        <w:spacing w:before="59"/>
        <w:ind w:left="2026" w:right="115"/>
        <w:jc w:val="both"/>
      </w:pPr>
      <w:r>
        <w:rPr>
          <w:spacing w:val="-1"/>
        </w:rPr>
        <w:t>be</w:t>
      </w:r>
      <w:r>
        <w:rPr>
          <w:spacing w:val="11"/>
        </w:rPr>
        <w:t xml:space="preserve"> </w:t>
      </w:r>
      <w:r>
        <w:rPr>
          <w:spacing w:val="-1"/>
        </w:rPr>
        <w:t>attended</w:t>
      </w:r>
      <w:r>
        <w:rPr>
          <w:spacing w:val="11"/>
        </w:rPr>
        <w:t xml:space="preserve"> </w:t>
      </w:r>
      <w:r>
        <w:rPr>
          <w:spacing w:val="-1"/>
        </w:rPr>
        <w:t>by</w:t>
      </w:r>
      <w:r>
        <w:rPr>
          <w:spacing w:val="9"/>
        </w:rPr>
        <w:t xml:space="preserve"> </w:t>
      </w:r>
      <w:r>
        <w:t>the</w:t>
      </w:r>
      <w:r>
        <w:rPr>
          <w:spacing w:val="9"/>
        </w:rPr>
        <w:t xml:space="preserve"> </w:t>
      </w:r>
      <w:r>
        <w:rPr>
          <w:spacing w:val="-1"/>
        </w:rPr>
        <w:t>Supplier's</w:t>
      </w:r>
      <w:r>
        <w:rPr>
          <w:spacing w:val="12"/>
        </w:rPr>
        <w:t xml:space="preserve"> </w:t>
      </w:r>
      <w:r>
        <w:rPr>
          <w:spacing w:val="-1"/>
        </w:rPr>
        <w:t>Representative</w:t>
      </w:r>
      <w:r>
        <w:rPr>
          <w:spacing w:val="9"/>
        </w:rPr>
        <w:t xml:space="preserve"> </w:t>
      </w:r>
      <w:r>
        <w:rPr>
          <w:spacing w:val="-1"/>
        </w:rPr>
        <w:t>and</w:t>
      </w:r>
      <w:r>
        <w:rPr>
          <w:spacing w:val="11"/>
        </w:rPr>
        <w:t xml:space="preserve"> </w:t>
      </w:r>
      <w:r>
        <w:t>the</w:t>
      </w:r>
      <w:r>
        <w:rPr>
          <w:spacing w:val="9"/>
        </w:rPr>
        <w:t xml:space="preserve"> </w:t>
      </w:r>
      <w:r>
        <w:rPr>
          <w:spacing w:val="-1"/>
        </w:rPr>
        <w:t>Customer's</w:t>
      </w:r>
      <w:r>
        <w:rPr>
          <w:spacing w:val="29"/>
        </w:rPr>
        <w:t xml:space="preserve"> </w:t>
      </w:r>
      <w:r>
        <w:rPr>
          <w:spacing w:val="-1"/>
        </w:rPr>
        <w:t>Representative;</w:t>
      </w:r>
      <w:r>
        <w:rPr>
          <w:spacing w:val="2"/>
        </w:rPr>
        <w:t xml:space="preserve"> </w:t>
      </w:r>
      <w:r>
        <w:rPr>
          <w:spacing w:val="-1"/>
        </w:rPr>
        <w:t>and</w:t>
      </w:r>
    </w:p>
    <w:p w:rsidR="008918FA" w:rsidRDefault="008918FA" w:rsidP="008918FA">
      <w:pPr>
        <w:pStyle w:val="BodyText"/>
        <w:numPr>
          <w:ilvl w:val="2"/>
          <w:numId w:val="25"/>
        </w:numPr>
        <w:tabs>
          <w:tab w:val="left" w:pos="2027"/>
        </w:tabs>
        <w:spacing w:before="121"/>
        <w:ind w:left="2026" w:right="113"/>
        <w:jc w:val="both"/>
      </w:pPr>
      <w:r>
        <w:rPr>
          <w:spacing w:val="-1"/>
        </w:rPr>
        <w:t>be</w:t>
      </w:r>
      <w:r>
        <w:rPr>
          <w:spacing w:val="14"/>
        </w:rPr>
        <w:t xml:space="preserve"> </w:t>
      </w:r>
      <w:r>
        <w:rPr>
          <w:spacing w:val="-1"/>
        </w:rPr>
        <w:t>fully</w:t>
      </w:r>
      <w:r>
        <w:rPr>
          <w:spacing w:val="12"/>
        </w:rPr>
        <w:t xml:space="preserve"> </w:t>
      </w:r>
      <w:r>
        <w:rPr>
          <w:spacing w:val="-1"/>
        </w:rPr>
        <w:t>minuted</w:t>
      </w:r>
      <w:r>
        <w:rPr>
          <w:spacing w:val="14"/>
        </w:rPr>
        <w:t xml:space="preserve"> </w:t>
      </w:r>
      <w:r>
        <w:rPr>
          <w:spacing w:val="-1"/>
        </w:rPr>
        <w:t>by</w:t>
      </w:r>
      <w:r>
        <w:rPr>
          <w:spacing w:val="14"/>
        </w:rPr>
        <w:t xml:space="preserve"> </w:t>
      </w:r>
      <w:r>
        <w:t>the</w:t>
      </w:r>
      <w:r>
        <w:rPr>
          <w:spacing w:val="14"/>
        </w:rPr>
        <w:t xml:space="preserve"> </w:t>
      </w:r>
      <w:r>
        <w:rPr>
          <w:spacing w:val="-1"/>
        </w:rPr>
        <w:t>Supplier.</w:t>
      </w:r>
      <w:r>
        <w:rPr>
          <w:spacing w:val="30"/>
        </w:rPr>
        <w:t xml:space="preserve"> </w:t>
      </w:r>
      <w:r>
        <w:t>The</w:t>
      </w:r>
      <w:r>
        <w:rPr>
          <w:spacing w:val="13"/>
        </w:rPr>
        <w:t xml:space="preserve"> </w:t>
      </w:r>
      <w:r>
        <w:rPr>
          <w:spacing w:val="-1"/>
        </w:rPr>
        <w:t>prepared</w:t>
      </w:r>
      <w:r>
        <w:rPr>
          <w:spacing w:val="14"/>
        </w:rPr>
        <w:t xml:space="preserve"> </w:t>
      </w:r>
      <w:r>
        <w:rPr>
          <w:spacing w:val="-1"/>
        </w:rPr>
        <w:t>minutes</w:t>
      </w:r>
      <w:r>
        <w:rPr>
          <w:spacing w:val="14"/>
        </w:rPr>
        <w:t xml:space="preserve"> </w:t>
      </w:r>
      <w:r>
        <w:rPr>
          <w:spacing w:val="-2"/>
        </w:rPr>
        <w:t>will</w:t>
      </w:r>
      <w:r>
        <w:rPr>
          <w:spacing w:val="13"/>
        </w:rPr>
        <w:t xml:space="preserve"> </w:t>
      </w:r>
      <w:r>
        <w:rPr>
          <w:spacing w:val="1"/>
        </w:rPr>
        <w:t>be</w:t>
      </w:r>
      <w:r>
        <w:rPr>
          <w:spacing w:val="37"/>
        </w:rPr>
        <w:t xml:space="preserve"> </w:t>
      </w:r>
      <w:r>
        <w:rPr>
          <w:spacing w:val="-1"/>
        </w:rPr>
        <w:t>circulated</w:t>
      </w:r>
      <w:r>
        <w:rPr>
          <w:spacing w:val="15"/>
        </w:rPr>
        <w:t xml:space="preserve"> </w:t>
      </w:r>
      <w:r>
        <w:rPr>
          <w:spacing w:val="-1"/>
        </w:rPr>
        <w:t>by</w:t>
      </w:r>
      <w:r>
        <w:rPr>
          <w:spacing w:val="13"/>
        </w:rPr>
        <w:t xml:space="preserve"> </w:t>
      </w:r>
      <w:r>
        <w:t>the</w:t>
      </w:r>
      <w:r>
        <w:rPr>
          <w:spacing w:val="15"/>
        </w:rPr>
        <w:t xml:space="preserve"> </w:t>
      </w:r>
      <w:r>
        <w:rPr>
          <w:spacing w:val="-2"/>
        </w:rPr>
        <w:t>Supplier</w:t>
      </w:r>
      <w:r>
        <w:rPr>
          <w:spacing w:val="16"/>
        </w:rPr>
        <w:t xml:space="preserve"> </w:t>
      </w:r>
      <w:r>
        <w:t>to</w:t>
      </w:r>
      <w:r>
        <w:rPr>
          <w:spacing w:val="15"/>
        </w:rPr>
        <w:t xml:space="preserve"> </w:t>
      </w:r>
      <w:r>
        <w:rPr>
          <w:spacing w:val="-1"/>
        </w:rPr>
        <w:t>all</w:t>
      </w:r>
      <w:r>
        <w:rPr>
          <w:spacing w:val="14"/>
        </w:rPr>
        <w:t xml:space="preserve"> </w:t>
      </w:r>
      <w:r>
        <w:rPr>
          <w:spacing w:val="-1"/>
        </w:rPr>
        <w:t>attendees</w:t>
      </w:r>
      <w:r>
        <w:rPr>
          <w:spacing w:val="15"/>
        </w:rPr>
        <w:t xml:space="preserve"> </w:t>
      </w:r>
      <w:r>
        <w:rPr>
          <w:spacing w:val="-1"/>
        </w:rPr>
        <w:t>at</w:t>
      </w:r>
      <w:r>
        <w:rPr>
          <w:spacing w:val="14"/>
        </w:rPr>
        <w:t xml:space="preserve"> </w:t>
      </w:r>
      <w:r>
        <w:t>the</w:t>
      </w:r>
      <w:r>
        <w:rPr>
          <w:spacing w:val="12"/>
        </w:rPr>
        <w:t xml:space="preserve"> </w:t>
      </w:r>
      <w:r>
        <w:rPr>
          <w:spacing w:val="-2"/>
        </w:rPr>
        <w:t>relevant</w:t>
      </w:r>
      <w:r>
        <w:rPr>
          <w:spacing w:val="16"/>
        </w:rPr>
        <w:t xml:space="preserve"> </w:t>
      </w:r>
      <w:r>
        <w:rPr>
          <w:spacing w:val="-1"/>
        </w:rPr>
        <w:t>meeting</w:t>
      </w:r>
      <w:r>
        <w:rPr>
          <w:spacing w:val="17"/>
        </w:rPr>
        <w:t xml:space="preserve"> </w:t>
      </w:r>
      <w:r>
        <w:rPr>
          <w:spacing w:val="-1"/>
        </w:rPr>
        <w:t>and</w:t>
      </w:r>
      <w:r>
        <w:rPr>
          <w:spacing w:val="50"/>
        </w:rPr>
        <w:t xml:space="preserve"> </w:t>
      </w:r>
      <w:r>
        <w:rPr>
          <w:spacing w:val="-1"/>
        </w:rPr>
        <w:t>also</w:t>
      </w:r>
      <w:r>
        <w:rPr>
          <w:spacing w:val="5"/>
        </w:rPr>
        <w:t xml:space="preserve"> </w:t>
      </w:r>
      <w:r>
        <w:t>to</w:t>
      </w:r>
      <w:r>
        <w:rPr>
          <w:spacing w:val="3"/>
        </w:rPr>
        <w:t xml:space="preserve"> </w:t>
      </w:r>
      <w:r>
        <w:t>the</w:t>
      </w:r>
      <w:r>
        <w:rPr>
          <w:spacing w:val="5"/>
        </w:rPr>
        <w:t xml:space="preserve"> </w:t>
      </w:r>
      <w:r>
        <w:rPr>
          <w:spacing w:val="-2"/>
        </w:rPr>
        <w:t>Customer's</w:t>
      </w:r>
      <w:r>
        <w:rPr>
          <w:spacing w:val="5"/>
        </w:rPr>
        <w:t xml:space="preserve"> </w:t>
      </w:r>
      <w:r>
        <w:rPr>
          <w:spacing w:val="-2"/>
        </w:rPr>
        <w:t>Representative</w:t>
      </w:r>
      <w:r>
        <w:rPr>
          <w:spacing w:val="5"/>
        </w:rPr>
        <w:t xml:space="preserve"> </w:t>
      </w:r>
      <w:r>
        <w:rPr>
          <w:spacing w:val="-1"/>
        </w:rPr>
        <w:t>and</w:t>
      </w:r>
      <w:r>
        <w:rPr>
          <w:spacing w:val="5"/>
        </w:rPr>
        <w:t xml:space="preserve"> </w:t>
      </w:r>
      <w:r>
        <w:rPr>
          <w:spacing w:val="-1"/>
        </w:rPr>
        <w:t>any</w:t>
      </w:r>
      <w:r>
        <w:rPr>
          <w:spacing w:val="3"/>
        </w:rPr>
        <w:t xml:space="preserve"> </w:t>
      </w:r>
      <w:r>
        <w:rPr>
          <w:spacing w:val="-1"/>
        </w:rPr>
        <w:t>other</w:t>
      </w:r>
      <w:r>
        <w:rPr>
          <w:spacing w:val="9"/>
        </w:rPr>
        <w:t xml:space="preserve"> </w:t>
      </w:r>
      <w:r>
        <w:rPr>
          <w:spacing w:val="-1"/>
        </w:rPr>
        <w:t>recipients</w:t>
      </w:r>
      <w:r>
        <w:rPr>
          <w:spacing w:val="5"/>
        </w:rPr>
        <w:t xml:space="preserve"> </w:t>
      </w:r>
      <w:r>
        <w:rPr>
          <w:spacing w:val="-2"/>
        </w:rPr>
        <w:t>agreed</w:t>
      </w:r>
      <w:r>
        <w:rPr>
          <w:spacing w:val="62"/>
        </w:rPr>
        <w:t xml:space="preserve"> </w:t>
      </w:r>
      <w:r>
        <w:rPr>
          <w:spacing w:val="-1"/>
        </w:rPr>
        <w:t>at</w:t>
      </w:r>
      <w:r>
        <w:rPr>
          <w:spacing w:val="22"/>
        </w:rPr>
        <w:t xml:space="preserve"> </w:t>
      </w:r>
      <w:r>
        <w:t>the</w:t>
      </w:r>
      <w:r>
        <w:rPr>
          <w:spacing w:val="18"/>
        </w:rPr>
        <w:t xml:space="preserve"> </w:t>
      </w:r>
      <w:r>
        <w:rPr>
          <w:spacing w:val="-2"/>
        </w:rPr>
        <w:t>relevant</w:t>
      </w:r>
      <w:r>
        <w:rPr>
          <w:spacing w:val="22"/>
        </w:rPr>
        <w:t xml:space="preserve"> </w:t>
      </w:r>
      <w:r>
        <w:rPr>
          <w:spacing w:val="-1"/>
        </w:rPr>
        <w:t>meeting.</w:t>
      </w:r>
      <w:r>
        <w:rPr>
          <w:spacing w:val="41"/>
        </w:rPr>
        <w:t xml:space="preserve"> </w:t>
      </w:r>
      <w:r>
        <w:t>The</w:t>
      </w:r>
      <w:r>
        <w:rPr>
          <w:spacing w:val="21"/>
        </w:rPr>
        <w:t xml:space="preserve"> </w:t>
      </w:r>
      <w:r>
        <w:rPr>
          <w:spacing w:val="-1"/>
        </w:rPr>
        <w:t>minutes</w:t>
      </w:r>
      <w:r>
        <w:rPr>
          <w:spacing w:val="21"/>
        </w:rPr>
        <w:t xml:space="preserve"> </w:t>
      </w:r>
      <w:r>
        <w:rPr>
          <w:spacing w:val="-2"/>
        </w:rPr>
        <w:t>of</w:t>
      </w:r>
      <w:r>
        <w:rPr>
          <w:spacing w:val="22"/>
        </w:rPr>
        <w:t xml:space="preserve"> </w:t>
      </w:r>
      <w:r>
        <w:rPr>
          <w:spacing w:val="-1"/>
        </w:rPr>
        <w:t>the</w:t>
      </w:r>
      <w:r>
        <w:rPr>
          <w:spacing w:val="21"/>
        </w:rPr>
        <w:t xml:space="preserve"> </w:t>
      </w:r>
      <w:r>
        <w:rPr>
          <w:spacing w:val="-1"/>
        </w:rPr>
        <w:t>preceding</w:t>
      </w:r>
      <w:r>
        <w:rPr>
          <w:spacing w:val="21"/>
        </w:rPr>
        <w:t xml:space="preserve"> </w:t>
      </w:r>
      <w:r>
        <w:rPr>
          <w:spacing w:val="-1"/>
        </w:rPr>
        <w:t>month's</w:t>
      </w:r>
      <w:r>
        <w:rPr>
          <w:spacing w:val="39"/>
        </w:rPr>
        <w:t xml:space="preserve"> </w:t>
      </w:r>
      <w:r>
        <w:rPr>
          <w:spacing w:val="-1"/>
        </w:rPr>
        <w:t>Performance</w:t>
      </w:r>
      <w:r>
        <w:rPr>
          <w:spacing w:val="32"/>
        </w:rPr>
        <w:t xml:space="preserve"> </w:t>
      </w:r>
      <w:r>
        <w:rPr>
          <w:spacing w:val="-1"/>
        </w:rPr>
        <w:t>Review</w:t>
      </w:r>
      <w:r>
        <w:rPr>
          <w:spacing w:val="31"/>
        </w:rPr>
        <w:t xml:space="preserve"> </w:t>
      </w:r>
      <w:r>
        <w:rPr>
          <w:spacing w:val="-1"/>
        </w:rPr>
        <w:t>Meeting</w:t>
      </w:r>
      <w:r>
        <w:rPr>
          <w:spacing w:val="34"/>
        </w:rPr>
        <w:t xml:space="preserve"> </w:t>
      </w:r>
      <w:r>
        <w:rPr>
          <w:spacing w:val="-2"/>
        </w:rPr>
        <w:t>will</w:t>
      </w:r>
      <w:r>
        <w:rPr>
          <w:spacing w:val="33"/>
        </w:rPr>
        <w:t xml:space="preserve"> </w:t>
      </w:r>
      <w:r>
        <w:rPr>
          <w:spacing w:val="-1"/>
        </w:rPr>
        <w:t>be</w:t>
      </w:r>
      <w:r>
        <w:rPr>
          <w:spacing w:val="31"/>
        </w:rPr>
        <w:t xml:space="preserve"> </w:t>
      </w:r>
      <w:r>
        <w:rPr>
          <w:spacing w:val="-1"/>
        </w:rPr>
        <w:t>agreed</w:t>
      </w:r>
      <w:r>
        <w:rPr>
          <w:spacing w:val="31"/>
        </w:rPr>
        <w:t xml:space="preserve"> </w:t>
      </w:r>
      <w:r>
        <w:rPr>
          <w:spacing w:val="-1"/>
        </w:rPr>
        <w:t>and</w:t>
      </w:r>
      <w:r>
        <w:rPr>
          <w:spacing w:val="32"/>
        </w:rPr>
        <w:t xml:space="preserve"> </w:t>
      </w:r>
      <w:r>
        <w:rPr>
          <w:spacing w:val="-1"/>
        </w:rPr>
        <w:t>signed</w:t>
      </w:r>
      <w:r>
        <w:rPr>
          <w:spacing w:val="31"/>
        </w:rPr>
        <w:t xml:space="preserve"> </w:t>
      </w:r>
      <w:r>
        <w:rPr>
          <w:spacing w:val="-1"/>
        </w:rPr>
        <w:t>by</w:t>
      </w:r>
      <w:r>
        <w:rPr>
          <w:spacing w:val="30"/>
        </w:rPr>
        <w:t xml:space="preserve"> </w:t>
      </w:r>
      <w:r>
        <w:rPr>
          <w:spacing w:val="-1"/>
        </w:rPr>
        <w:t>both</w:t>
      </w:r>
      <w:r>
        <w:rPr>
          <w:spacing w:val="31"/>
        </w:rPr>
        <w:t xml:space="preserve"> </w:t>
      </w:r>
      <w:r>
        <w:rPr>
          <w:spacing w:val="-1"/>
        </w:rPr>
        <w:t>the</w:t>
      </w:r>
      <w:r>
        <w:rPr>
          <w:spacing w:val="44"/>
        </w:rPr>
        <w:t xml:space="preserve"> </w:t>
      </w:r>
      <w:r>
        <w:rPr>
          <w:spacing w:val="-1"/>
        </w:rPr>
        <w:t>Supplier's</w:t>
      </w:r>
      <w:r>
        <w:rPr>
          <w:spacing w:val="20"/>
        </w:rPr>
        <w:t xml:space="preserve"> </w:t>
      </w:r>
      <w:r>
        <w:rPr>
          <w:spacing w:val="-1"/>
        </w:rPr>
        <w:t>Representative</w:t>
      </w:r>
      <w:r>
        <w:rPr>
          <w:spacing w:val="20"/>
        </w:rPr>
        <w:t xml:space="preserve"> </w:t>
      </w:r>
      <w:r>
        <w:rPr>
          <w:spacing w:val="-1"/>
        </w:rPr>
        <w:t>and</w:t>
      </w:r>
      <w:r>
        <w:rPr>
          <w:spacing w:val="20"/>
        </w:rPr>
        <w:t xml:space="preserve"> </w:t>
      </w:r>
      <w:r>
        <w:t>the</w:t>
      </w:r>
      <w:r>
        <w:rPr>
          <w:spacing w:val="17"/>
        </w:rPr>
        <w:t xml:space="preserve"> </w:t>
      </w:r>
      <w:r>
        <w:rPr>
          <w:spacing w:val="-1"/>
        </w:rPr>
        <w:t>Customer's</w:t>
      </w:r>
      <w:r>
        <w:rPr>
          <w:spacing w:val="20"/>
        </w:rPr>
        <w:t xml:space="preserve"> </w:t>
      </w:r>
      <w:r>
        <w:rPr>
          <w:spacing w:val="-2"/>
        </w:rPr>
        <w:t>Representative</w:t>
      </w:r>
      <w:r>
        <w:rPr>
          <w:spacing w:val="20"/>
        </w:rPr>
        <w:t xml:space="preserve"> </w:t>
      </w:r>
      <w:r>
        <w:rPr>
          <w:spacing w:val="-1"/>
        </w:rPr>
        <w:t>at</w:t>
      </w:r>
      <w:r>
        <w:rPr>
          <w:spacing w:val="21"/>
        </w:rPr>
        <w:t xml:space="preserve"> </w:t>
      </w:r>
      <w:r>
        <w:rPr>
          <w:spacing w:val="-1"/>
        </w:rPr>
        <w:t>each</w:t>
      </w:r>
      <w:r>
        <w:rPr>
          <w:spacing w:val="40"/>
        </w:rPr>
        <w:t xml:space="preserve"> </w:t>
      </w:r>
      <w:r>
        <w:rPr>
          <w:spacing w:val="-1"/>
        </w:rPr>
        <w:t>meeting.</w:t>
      </w:r>
    </w:p>
    <w:p w:rsidR="008918FA" w:rsidRDefault="008918FA" w:rsidP="008918FA">
      <w:pPr>
        <w:pStyle w:val="BodyText"/>
        <w:numPr>
          <w:ilvl w:val="1"/>
          <w:numId w:val="25"/>
        </w:numPr>
        <w:tabs>
          <w:tab w:val="left" w:pos="1033"/>
        </w:tabs>
        <w:spacing w:before="121"/>
        <w:ind w:left="828" w:right="118"/>
        <w:jc w:val="both"/>
      </w:pPr>
      <w:r>
        <w:t>The</w:t>
      </w:r>
      <w:r>
        <w:rPr>
          <w:spacing w:val="22"/>
        </w:rPr>
        <w:t xml:space="preserve"> </w:t>
      </w:r>
      <w:r>
        <w:rPr>
          <w:spacing w:val="-2"/>
        </w:rPr>
        <w:t>Customer</w:t>
      </w:r>
      <w:r>
        <w:rPr>
          <w:spacing w:val="23"/>
        </w:rPr>
        <w:t xml:space="preserve"> </w:t>
      </w:r>
      <w:r>
        <w:rPr>
          <w:spacing w:val="-1"/>
        </w:rPr>
        <w:t>shall</w:t>
      </w:r>
      <w:r>
        <w:rPr>
          <w:spacing w:val="21"/>
        </w:rPr>
        <w:t xml:space="preserve"> </w:t>
      </w:r>
      <w:r>
        <w:rPr>
          <w:spacing w:val="-1"/>
        </w:rPr>
        <w:t>be</w:t>
      </w:r>
      <w:r>
        <w:rPr>
          <w:spacing w:val="20"/>
        </w:rPr>
        <w:t xml:space="preserve"> </w:t>
      </w:r>
      <w:r>
        <w:rPr>
          <w:spacing w:val="-1"/>
        </w:rPr>
        <w:t>entitled</w:t>
      </w:r>
      <w:r>
        <w:rPr>
          <w:spacing w:val="22"/>
        </w:rPr>
        <w:t xml:space="preserve"> </w:t>
      </w:r>
      <w:r>
        <w:t>to</w:t>
      </w:r>
      <w:r>
        <w:rPr>
          <w:spacing w:val="21"/>
        </w:rPr>
        <w:t xml:space="preserve"> </w:t>
      </w:r>
      <w:r>
        <w:rPr>
          <w:spacing w:val="-1"/>
        </w:rPr>
        <w:t>raise</w:t>
      </w:r>
      <w:r>
        <w:rPr>
          <w:spacing w:val="22"/>
        </w:rPr>
        <w:t xml:space="preserve"> </w:t>
      </w:r>
      <w:r>
        <w:rPr>
          <w:spacing w:val="-1"/>
        </w:rPr>
        <w:t>any</w:t>
      </w:r>
      <w:r>
        <w:rPr>
          <w:spacing w:val="20"/>
        </w:rPr>
        <w:t xml:space="preserve"> </w:t>
      </w:r>
      <w:r>
        <w:rPr>
          <w:spacing w:val="-1"/>
        </w:rPr>
        <w:t>additional</w:t>
      </w:r>
      <w:r>
        <w:rPr>
          <w:spacing w:val="21"/>
        </w:rPr>
        <w:t xml:space="preserve"> </w:t>
      </w:r>
      <w:r>
        <w:rPr>
          <w:spacing w:val="-1"/>
        </w:rPr>
        <w:t>questions</w:t>
      </w:r>
      <w:r>
        <w:rPr>
          <w:spacing w:val="22"/>
        </w:rPr>
        <w:t xml:space="preserve"> </w:t>
      </w:r>
      <w:r>
        <w:rPr>
          <w:spacing w:val="-1"/>
        </w:rPr>
        <w:t>and/or</w:t>
      </w:r>
      <w:r>
        <w:rPr>
          <w:spacing w:val="19"/>
        </w:rPr>
        <w:t xml:space="preserve"> </w:t>
      </w:r>
      <w:r>
        <w:rPr>
          <w:spacing w:val="-1"/>
        </w:rPr>
        <w:t>request</w:t>
      </w:r>
      <w:r>
        <w:rPr>
          <w:spacing w:val="50"/>
        </w:rPr>
        <w:t xml:space="preserve"> </w:t>
      </w:r>
      <w:r>
        <w:rPr>
          <w:spacing w:val="-1"/>
        </w:rPr>
        <w:t>any</w:t>
      </w:r>
      <w:r>
        <w:rPr>
          <w:spacing w:val="-2"/>
        </w:rPr>
        <w:t xml:space="preserve"> </w:t>
      </w:r>
      <w:r>
        <w:rPr>
          <w:spacing w:val="-1"/>
        </w:rPr>
        <w:t>further</w:t>
      </w:r>
      <w:r>
        <w:rPr>
          <w:spacing w:val="2"/>
        </w:rPr>
        <w:t xml:space="preserve"> </w:t>
      </w:r>
      <w:r>
        <w:rPr>
          <w:spacing w:val="-1"/>
        </w:rPr>
        <w:t>information</w:t>
      </w:r>
      <w:r>
        <w:rPr>
          <w:spacing w:val="-2"/>
        </w:rPr>
        <w:t xml:space="preserve"> </w:t>
      </w:r>
      <w:r>
        <w:rPr>
          <w:spacing w:val="-1"/>
        </w:rPr>
        <w:t>regarding</w:t>
      </w:r>
      <w:r>
        <w:t xml:space="preserve"> </w:t>
      </w:r>
      <w:r>
        <w:rPr>
          <w:spacing w:val="-1"/>
        </w:rPr>
        <w:t>any</w:t>
      </w:r>
      <w:r>
        <w:rPr>
          <w:spacing w:val="-4"/>
        </w:rPr>
        <w:t xml:space="preserve"> </w:t>
      </w:r>
      <w:r>
        <w:rPr>
          <w:spacing w:val="-1"/>
        </w:rPr>
        <w:t>failure</w:t>
      </w:r>
      <w:r>
        <w:rPr>
          <w:spacing w:val="-2"/>
        </w:rPr>
        <w:t xml:space="preserve"> </w:t>
      </w:r>
      <w:r>
        <w:t xml:space="preserve">to </w:t>
      </w:r>
      <w:r>
        <w:rPr>
          <w:spacing w:val="-2"/>
        </w:rPr>
        <w:t>achieve</w:t>
      </w:r>
      <w:r>
        <w:t xml:space="preserve"> </w:t>
      </w:r>
      <w:r>
        <w:rPr>
          <w:spacing w:val="-2"/>
        </w:rPr>
        <w:t>Service</w:t>
      </w:r>
      <w:r>
        <w:rPr>
          <w:spacing w:val="1"/>
        </w:rPr>
        <w:t xml:space="preserve"> </w:t>
      </w:r>
      <w:r>
        <w:rPr>
          <w:spacing w:val="-1"/>
        </w:rPr>
        <w:t>Levels.</w:t>
      </w:r>
    </w:p>
    <w:p w:rsidR="008918FA" w:rsidRDefault="008918FA" w:rsidP="008918FA">
      <w:pPr>
        <w:pStyle w:val="BodyText"/>
        <w:numPr>
          <w:ilvl w:val="1"/>
          <w:numId w:val="25"/>
        </w:numPr>
        <w:tabs>
          <w:tab w:val="left" w:pos="1034"/>
        </w:tabs>
        <w:ind w:left="829" w:right="111"/>
        <w:jc w:val="both"/>
      </w:pPr>
      <w:r>
        <w:t>The</w:t>
      </w:r>
      <w:r>
        <w:rPr>
          <w:spacing w:val="31"/>
        </w:rPr>
        <w:t xml:space="preserve"> </w:t>
      </w:r>
      <w:r>
        <w:rPr>
          <w:spacing w:val="-2"/>
        </w:rPr>
        <w:t>Supplier</w:t>
      </w:r>
      <w:r>
        <w:rPr>
          <w:spacing w:val="33"/>
        </w:rPr>
        <w:t xml:space="preserve"> </w:t>
      </w:r>
      <w:r>
        <w:rPr>
          <w:spacing w:val="-1"/>
        </w:rPr>
        <w:t>shall</w:t>
      </w:r>
      <w:r>
        <w:rPr>
          <w:spacing w:val="31"/>
        </w:rPr>
        <w:t xml:space="preserve"> </w:t>
      </w:r>
      <w:r>
        <w:rPr>
          <w:spacing w:val="-1"/>
        </w:rPr>
        <w:t>provide</w:t>
      </w:r>
      <w:r>
        <w:rPr>
          <w:spacing w:val="31"/>
        </w:rPr>
        <w:t xml:space="preserve"> </w:t>
      </w:r>
      <w:r>
        <w:t>to</w:t>
      </w:r>
      <w:r>
        <w:rPr>
          <w:spacing w:val="31"/>
        </w:rPr>
        <w:t xml:space="preserve"> </w:t>
      </w:r>
      <w:r>
        <w:t>the</w:t>
      </w:r>
      <w:r>
        <w:rPr>
          <w:spacing w:val="31"/>
        </w:rPr>
        <w:t xml:space="preserve"> </w:t>
      </w:r>
      <w:r>
        <w:rPr>
          <w:spacing w:val="-1"/>
        </w:rPr>
        <w:t>Customer</w:t>
      </w:r>
      <w:r>
        <w:rPr>
          <w:spacing w:val="34"/>
        </w:rPr>
        <w:t xml:space="preserve"> </w:t>
      </w:r>
      <w:r>
        <w:rPr>
          <w:spacing w:val="-1"/>
        </w:rPr>
        <w:t>such</w:t>
      </w:r>
      <w:r>
        <w:rPr>
          <w:spacing w:val="31"/>
        </w:rPr>
        <w:t xml:space="preserve"> </w:t>
      </w:r>
      <w:r>
        <w:rPr>
          <w:spacing w:val="-1"/>
        </w:rPr>
        <w:t>supporting</w:t>
      </w:r>
      <w:r>
        <w:rPr>
          <w:spacing w:val="34"/>
        </w:rPr>
        <w:t xml:space="preserve"> </w:t>
      </w:r>
      <w:r>
        <w:rPr>
          <w:spacing w:val="-1"/>
        </w:rPr>
        <w:t>documentation</w:t>
      </w:r>
      <w:r>
        <w:rPr>
          <w:spacing w:val="31"/>
        </w:rPr>
        <w:t xml:space="preserve"> </w:t>
      </w:r>
      <w:r>
        <w:rPr>
          <w:spacing w:val="-1"/>
        </w:rPr>
        <w:t>as</w:t>
      </w:r>
      <w:r>
        <w:rPr>
          <w:spacing w:val="38"/>
        </w:rPr>
        <w:t xml:space="preserve"> </w:t>
      </w:r>
      <w:r>
        <w:t xml:space="preserve">the </w:t>
      </w:r>
      <w:r>
        <w:rPr>
          <w:spacing w:val="-1"/>
        </w:rPr>
        <w:t>Customer may</w:t>
      </w:r>
      <w:r>
        <w:rPr>
          <w:spacing w:val="-2"/>
        </w:rPr>
        <w:t xml:space="preserve"> reasonably </w:t>
      </w:r>
      <w:r>
        <w:rPr>
          <w:spacing w:val="-1"/>
        </w:rPr>
        <w:t>require</w:t>
      </w:r>
      <w:r>
        <w:t xml:space="preserve"> </w:t>
      </w:r>
      <w:r>
        <w:rPr>
          <w:spacing w:val="-1"/>
        </w:rPr>
        <w:t>in</w:t>
      </w:r>
      <w:r>
        <w:t xml:space="preserve"> </w:t>
      </w:r>
      <w:r>
        <w:rPr>
          <w:spacing w:val="-1"/>
        </w:rPr>
        <w:t xml:space="preserve">order </w:t>
      </w:r>
      <w:r>
        <w:t>to</w:t>
      </w:r>
      <w:r>
        <w:rPr>
          <w:spacing w:val="-2"/>
        </w:rPr>
        <w:t xml:space="preserve"> </w:t>
      </w:r>
      <w:r>
        <w:rPr>
          <w:spacing w:val="-1"/>
        </w:rPr>
        <w:t>verify</w:t>
      </w:r>
      <w:r>
        <w:rPr>
          <w:spacing w:val="-2"/>
        </w:rPr>
        <w:t xml:space="preserve"> </w:t>
      </w:r>
      <w:r>
        <w:t xml:space="preserve">the </w:t>
      </w:r>
      <w:r>
        <w:rPr>
          <w:spacing w:val="-1"/>
        </w:rPr>
        <w:t>level</w:t>
      </w:r>
      <w:r>
        <w:t xml:space="preserve"> </w:t>
      </w:r>
      <w:r>
        <w:rPr>
          <w:spacing w:val="-1"/>
        </w:rPr>
        <w:t>of</w:t>
      </w:r>
      <w:r>
        <w:rPr>
          <w:spacing w:val="4"/>
        </w:rPr>
        <w:t xml:space="preserve"> </w:t>
      </w:r>
      <w:r>
        <w:t xml:space="preserve">the </w:t>
      </w:r>
      <w:r>
        <w:rPr>
          <w:spacing w:val="-2"/>
        </w:rPr>
        <w:t>performance</w:t>
      </w:r>
      <w:r>
        <w:rPr>
          <w:spacing w:val="68"/>
        </w:rPr>
        <w:t xml:space="preserve"> </w:t>
      </w:r>
      <w:r>
        <w:rPr>
          <w:spacing w:val="-1"/>
        </w:rPr>
        <w:t>by</w:t>
      </w:r>
      <w:r>
        <w:rPr>
          <w:spacing w:val="51"/>
        </w:rPr>
        <w:t xml:space="preserve"> </w:t>
      </w:r>
      <w:r>
        <w:t>the</w:t>
      </w:r>
      <w:r>
        <w:rPr>
          <w:spacing w:val="53"/>
        </w:rPr>
        <w:t xml:space="preserve"> </w:t>
      </w:r>
      <w:r>
        <w:rPr>
          <w:spacing w:val="-1"/>
        </w:rPr>
        <w:t>Supplier</w:t>
      </w:r>
      <w:r>
        <w:rPr>
          <w:spacing w:val="54"/>
        </w:rPr>
        <w:t xml:space="preserve"> </w:t>
      </w:r>
      <w:r>
        <w:rPr>
          <w:spacing w:val="-1"/>
        </w:rPr>
        <w:t>and</w:t>
      </w:r>
      <w:r>
        <w:rPr>
          <w:spacing w:val="53"/>
        </w:rPr>
        <w:t xml:space="preserve"> </w:t>
      </w:r>
      <w:r>
        <w:t>the</w:t>
      </w:r>
      <w:r>
        <w:rPr>
          <w:spacing w:val="53"/>
        </w:rPr>
        <w:t xml:space="preserve"> </w:t>
      </w:r>
      <w:r>
        <w:rPr>
          <w:spacing w:val="-1"/>
        </w:rPr>
        <w:t>calculations</w:t>
      </w:r>
      <w:r>
        <w:rPr>
          <w:spacing w:val="53"/>
        </w:rPr>
        <w:t xml:space="preserve"> </w:t>
      </w:r>
      <w:r>
        <w:rPr>
          <w:spacing w:val="-1"/>
        </w:rPr>
        <w:t>of</w:t>
      </w:r>
      <w:r>
        <w:rPr>
          <w:spacing w:val="58"/>
        </w:rPr>
        <w:t xml:space="preserve"> </w:t>
      </w:r>
      <w:r>
        <w:t>the</w:t>
      </w:r>
      <w:r>
        <w:rPr>
          <w:spacing w:val="53"/>
        </w:rPr>
        <w:t xml:space="preserve"> </w:t>
      </w:r>
      <w:r>
        <w:rPr>
          <w:spacing w:val="-1"/>
        </w:rPr>
        <w:t>amount</w:t>
      </w:r>
      <w:r>
        <w:rPr>
          <w:spacing w:val="55"/>
        </w:rPr>
        <w:t xml:space="preserve"> </w:t>
      </w:r>
      <w:r>
        <w:rPr>
          <w:spacing w:val="-2"/>
        </w:rPr>
        <w:t>of</w:t>
      </w:r>
      <w:r>
        <w:rPr>
          <w:spacing w:val="57"/>
        </w:rPr>
        <w:t xml:space="preserve"> </w:t>
      </w:r>
      <w:r>
        <w:rPr>
          <w:spacing w:val="-2"/>
        </w:rPr>
        <w:t>Service</w:t>
      </w:r>
      <w:r>
        <w:rPr>
          <w:spacing w:val="53"/>
        </w:rPr>
        <w:t xml:space="preserve"> </w:t>
      </w:r>
      <w:r>
        <w:rPr>
          <w:spacing w:val="-1"/>
        </w:rPr>
        <w:t>Credits</w:t>
      </w:r>
      <w:r>
        <w:rPr>
          <w:spacing w:val="51"/>
        </w:rPr>
        <w:t xml:space="preserve"> </w:t>
      </w:r>
      <w:r>
        <w:t>for</w:t>
      </w:r>
      <w:r>
        <w:rPr>
          <w:spacing w:val="55"/>
        </w:rPr>
        <w:t xml:space="preserve"> </w:t>
      </w:r>
      <w:r>
        <w:rPr>
          <w:spacing w:val="-1"/>
        </w:rPr>
        <w:t>any</w:t>
      </w:r>
      <w:r>
        <w:rPr>
          <w:spacing w:val="38"/>
        </w:rPr>
        <w:t xml:space="preserve"> </w:t>
      </w:r>
      <w:r>
        <w:rPr>
          <w:spacing w:val="-1"/>
        </w:rPr>
        <w:t>specified</w:t>
      </w:r>
      <w:r>
        <w:t xml:space="preserve"> </w:t>
      </w:r>
      <w:r>
        <w:rPr>
          <w:spacing w:val="-2"/>
        </w:rPr>
        <w:t>Service</w:t>
      </w:r>
      <w:r>
        <w:rPr>
          <w:spacing w:val="1"/>
        </w:rPr>
        <w:t xml:space="preserve"> </w:t>
      </w:r>
      <w:r>
        <w:rPr>
          <w:spacing w:val="-1"/>
        </w:rPr>
        <w:t>Period.</w:t>
      </w:r>
    </w:p>
    <w:p w:rsidR="008918FA" w:rsidRDefault="008918FA" w:rsidP="008918FA">
      <w:pPr>
        <w:pStyle w:val="BodyText"/>
        <w:numPr>
          <w:ilvl w:val="0"/>
          <w:numId w:val="25"/>
        </w:numPr>
        <w:tabs>
          <w:tab w:val="left" w:pos="467"/>
        </w:tabs>
        <w:spacing w:before="117"/>
        <w:ind w:left="466"/>
        <w:jc w:val="left"/>
        <w:rPr>
          <w:rFonts w:ascii="Times New Roman" w:eastAsia="Times New Roman" w:hAnsi="Times New Roman" w:cs="Times New Roman"/>
        </w:rPr>
      </w:pPr>
      <w:r>
        <w:rPr>
          <w:rFonts w:ascii="Times New Roman"/>
          <w:spacing w:val="26"/>
        </w:rPr>
        <w:t>S</w:t>
      </w:r>
      <w:r>
        <w:rPr>
          <w:rFonts w:ascii="Times New Roman"/>
          <w:spacing w:val="-6"/>
        </w:rPr>
        <w:t>A</w:t>
      </w:r>
      <w:r>
        <w:rPr>
          <w:rFonts w:ascii="Times New Roman"/>
          <w:spacing w:val="-1"/>
        </w:rPr>
        <w:t>T</w:t>
      </w:r>
      <w:r>
        <w:rPr>
          <w:rFonts w:ascii="Times New Roman"/>
          <w:spacing w:val="-12"/>
        </w:rPr>
        <w:t>I</w:t>
      </w:r>
      <w:r>
        <w:rPr>
          <w:rFonts w:ascii="Times New Roman"/>
          <w:spacing w:val="23"/>
        </w:rPr>
        <w:t>S</w:t>
      </w:r>
      <w:r>
        <w:rPr>
          <w:rFonts w:ascii="Times New Roman"/>
          <w:spacing w:val="16"/>
        </w:rPr>
        <w:t>F</w:t>
      </w:r>
      <w:r>
        <w:rPr>
          <w:rFonts w:ascii="Times New Roman"/>
          <w:spacing w:val="-6"/>
        </w:rPr>
        <w:t>A</w:t>
      </w:r>
      <w:r>
        <w:rPr>
          <w:rFonts w:ascii="Times New Roman"/>
          <w:spacing w:val="13"/>
        </w:rPr>
        <w:t>C</w:t>
      </w:r>
      <w:r>
        <w:rPr>
          <w:rFonts w:ascii="Times New Roman"/>
          <w:spacing w:val="-3"/>
        </w:rPr>
        <w:t>T</w:t>
      </w:r>
      <w:r>
        <w:rPr>
          <w:rFonts w:ascii="Times New Roman"/>
          <w:spacing w:val="-12"/>
        </w:rPr>
        <w:t>I</w:t>
      </w:r>
      <w:r>
        <w:rPr>
          <w:rFonts w:ascii="Times New Roman"/>
          <w:spacing w:val="13"/>
        </w:rPr>
        <w:t>O</w:t>
      </w:r>
      <w:r>
        <w:rPr>
          <w:rFonts w:ascii="Times New Roman"/>
        </w:rPr>
        <w:t>N</w:t>
      </w:r>
      <w:r>
        <w:rPr>
          <w:rFonts w:ascii="Times New Roman"/>
          <w:spacing w:val="6"/>
        </w:rPr>
        <w:t xml:space="preserve"> </w:t>
      </w:r>
      <w:r>
        <w:rPr>
          <w:rFonts w:ascii="Times New Roman"/>
          <w:spacing w:val="23"/>
        </w:rPr>
        <w:t>S</w:t>
      </w:r>
      <w:r>
        <w:rPr>
          <w:rFonts w:ascii="Times New Roman"/>
          <w:spacing w:val="-2"/>
        </w:rPr>
        <w:t>U</w:t>
      </w:r>
      <w:r>
        <w:rPr>
          <w:rFonts w:ascii="Times New Roman"/>
          <w:spacing w:val="11"/>
        </w:rPr>
        <w:t>R</w:t>
      </w:r>
      <w:r>
        <w:rPr>
          <w:rFonts w:ascii="Times New Roman"/>
          <w:spacing w:val="-14"/>
        </w:rPr>
        <w:t>V</w:t>
      </w:r>
      <w:r>
        <w:rPr>
          <w:rFonts w:ascii="Times New Roman"/>
          <w:spacing w:val="13"/>
        </w:rPr>
        <w:t>E</w:t>
      </w:r>
      <w:r>
        <w:rPr>
          <w:rFonts w:ascii="Times New Roman"/>
          <w:spacing w:val="-14"/>
        </w:rPr>
        <w:t>YS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5"/>
        </w:numPr>
        <w:tabs>
          <w:tab w:val="left" w:pos="1034"/>
        </w:tabs>
        <w:spacing w:before="0"/>
        <w:ind w:left="829" w:right="111"/>
        <w:jc w:val="both"/>
      </w:pPr>
      <w:r>
        <w:t>In</w:t>
      </w:r>
      <w:r>
        <w:rPr>
          <w:spacing w:val="27"/>
        </w:rPr>
        <w:t xml:space="preserve"> </w:t>
      </w:r>
      <w:r>
        <w:rPr>
          <w:spacing w:val="-1"/>
        </w:rPr>
        <w:t>order</w:t>
      </w:r>
      <w:r>
        <w:rPr>
          <w:spacing w:val="26"/>
        </w:rPr>
        <w:t xml:space="preserve"> </w:t>
      </w:r>
      <w:r>
        <w:t>to</w:t>
      </w:r>
      <w:r>
        <w:rPr>
          <w:spacing w:val="27"/>
        </w:rPr>
        <w:t xml:space="preserve"> </w:t>
      </w:r>
      <w:r>
        <w:rPr>
          <w:spacing w:val="-1"/>
        </w:rPr>
        <w:t>assess</w:t>
      </w:r>
      <w:r>
        <w:rPr>
          <w:spacing w:val="25"/>
        </w:rPr>
        <w:t xml:space="preserve"> </w:t>
      </w:r>
      <w:r>
        <w:t>the</w:t>
      </w:r>
      <w:r>
        <w:rPr>
          <w:spacing w:val="27"/>
        </w:rPr>
        <w:t xml:space="preserve"> </w:t>
      </w:r>
      <w:r>
        <w:rPr>
          <w:spacing w:val="-2"/>
        </w:rPr>
        <w:t>level</w:t>
      </w:r>
      <w:r>
        <w:rPr>
          <w:spacing w:val="26"/>
        </w:rPr>
        <w:t xml:space="preserve"> </w:t>
      </w:r>
      <w:r>
        <w:rPr>
          <w:spacing w:val="-1"/>
        </w:rPr>
        <w:t>of</w:t>
      </w:r>
      <w:r>
        <w:rPr>
          <w:spacing w:val="30"/>
        </w:rPr>
        <w:t xml:space="preserve"> </w:t>
      </w:r>
      <w:r>
        <w:rPr>
          <w:spacing w:val="-1"/>
        </w:rPr>
        <w:t>performance</w:t>
      </w:r>
      <w:r>
        <w:rPr>
          <w:spacing w:val="27"/>
        </w:rPr>
        <w:t xml:space="preserve"> </w:t>
      </w:r>
      <w:r>
        <w:rPr>
          <w:spacing w:val="-2"/>
        </w:rPr>
        <w:t>of</w:t>
      </w:r>
      <w:r>
        <w:rPr>
          <w:spacing w:val="28"/>
        </w:rPr>
        <w:t xml:space="preserve"> </w:t>
      </w:r>
      <w:r>
        <w:rPr>
          <w:spacing w:val="-1"/>
        </w:rPr>
        <w:t>the</w:t>
      </w:r>
      <w:r>
        <w:rPr>
          <w:spacing w:val="27"/>
        </w:rPr>
        <w:t xml:space="preserve"> </w:t>
      </w:r>
      <w:r>
        <w:rPr>
          <w:spacing w:val="-1"/>
        </w:rPr>
        <w:t>Supplier,</w:t>
      </w:r>
      <w:r>
        <w:rPr>
          <w:spacing w:val="26"/>
        </w:rPr>
        <w:t xml:space="preserve"> </w:t>
      </w:r>
      <w:r>
        <w:t>the</w:t>
      </w:r>
      <w:r>
        <w:rPr>
          <w:spacing w:val="27"/>
        </w:rPr>
        <w:t xml:space="preserve"> </w:t>
      </w:r>
      <w:r>
        <w:rPr>
          <w:spacing w:val="-2"/>
        </w:rPr>
        <w:t>Customer</w:t>
      </w:r>
      <w:r>
        <w:rPr>
          <w:spacing w:val="26"/>
        </w:rPr>
        <w:t xml:space="preserve"> </w:t>
      </w:r>
      <w:r>
        <w:rPr>
          <w:spacing w:val="-1"/>
        </w:rPr>
        <w:t>may</w:t>
      </w:r>
      <w:r>
        <w:rPr>
          <w:spacing w:val="26"/>
        </w:rPr>
        <w:t xml:space="preserve"> </w:t>
      </w:r>
      <w:r>
        <w:rPr>
          <w:spacing w:val="-1"/>
        </w:rPr>
        <w:t>undertake</w:t>
      </w:r>
      <w:r>
        <w:rPr>
          <w:spacing w:val="22"/>
        </w:rPr>
        <w:t xml:space="preserve"> </w:t>
      </w:r>
      <w:r>
        <w:rPr>
          <w:spacing w:val="-1"/>
        </w:rPr>
        <w:t>satisfaction</w:t>
      </w:r>
      <w:r>
        <w:rPr>
          <w:spacing w:val="22"/>
        </w:rPr>
        <w:t xml:space="preserve"> </w:t>
      </w:r>
      <w:r>
        <w:rPr>
          <w:spacing w:val="-2"/>
        </w:rPr>
        <w:t>surveys</w:t>
      </w:r>
      <w:r>
        <w:rPr>
          <w:spacing w:val="22"/>
        </w:rPr>
        <w:t xml:space="preserve"> </w:t>
      </w:r>
      <w:r>
        <w:rPr>
          <w:spacing w:val="-1"/>
        </w:rPr>
        <w:t>in</w:t>
      </w:r>
      <w:r>
        <w:rPr>
          <w:spacing w:val="24"/>
        </w:rPr>
        <w:t xml:space="preserve"> </w:t>
      </w:r>
      <w:r>
        <w:rPr>
          <w:spacing w:val="-1"/>
        </w:rPr>
        <w:t>respect</w:t>
      </w:r>
      <w:r>
        <w:rPr>
          <w:spacing w:val="24"/>
        </w:rPr>
        <w:t xml:space="preserve"> </w:t>
      </w:r>
      <w:r>
        <w:rPr>
          <w:spacing w:val="-2"/>
        </w:rPr>
        <w:t>of</w:t>
      </w:r>
      <w:r>
        <w:rPr>
          <w:spacing w:val="23"/>
        </w:rPr>
        <w:t xml:space="preserve"> </w:t>
      </w:r>
      <w:r>
        <w:t>the</w:t>
      </w:r>
      <w:r>
        <w:rPr>
          <w:spacing w:val="20"/>
        </w:rPr>
        <w:t xml:space="preserve"> </w:t>
      </w:r>
      <w:r>
        <w:rPr>
          <w:spacing w:val="-1"/>
        </w:rPr>
        <w:t>Supplier's</w:t>
      </w:r>
      <w:r>
        <w:rPr>
          <w:spacing w:val="22"/>
        </w:rPr>
        <w:t xml:space="preserve"> </w:t>
      </w:r>
      <w:r>
        <w:rPr>
          <w:spacing w:val="-2"/>
        </w:rPr>
        <w:t>provision</w:t>
      </w:r>
      <w:r>
        <w:rPr>
          <w:spacing w:val="22"/>
        </w:rPr>
        <w:t xml:space="preserve"> </w:t>
      </w:r>
      <w:r>
        <w:rPr>
          <w:spacing w:val="-1"/>
        </w:rPr>
        <w:t>of</w:t>
      </w:r>
      <w:r>
        <w:rPr>
          <w:spacing w:val="26"/>
        </w:rPr>
        <w:t xml:space="preserve"> </w:t>
      </w:r>
      <w:r>
        <w:rPr>
          <w:spacing w:val="-1"/>
        </w:rPr>
        <w:t>the</w:t>
      </w:r>
      <w:r>
        <w:rPr>
          <w:spacing w:val="24"/>
        </w:rPr>
        <w:t xml:space="preserve"> </w:t>
      </w:r>
      <w:r>
        <w:rPr>
          <w:spacing w:val="-1"/>
        </w:rPr>
        <w:t>Goods</w:t>
      </w:r>
      <w:r>
        <w:rPr>
          <w:spacing w:val="54"/>
        </w:rPr>
        <w:t xml:space="preserve"> </w:t>
      </w:r>
      <w:r>
        <w:rPr>
          <w:spacing w:val="-1"/>
        </w:rPr>
        <w:t>and/or Services.</w:t>
      </w:r>
    </w:p>
    <w:p w:rsidR="008918FA" w:rsidRDefault="008918FA" w:rsidP="008918FA">
      <w:pPr>
        <w:pStyle w:val="BodyText"/>
        <w:numPr>
          <w:ilvl w:val="1"/>
          <w:numId w:val="25"/>
        </w:numPr>
        <w:tabs>
          <w:tab w:val="left" w:pos="1034"/>
        </w:tabs>
        <w:spacing w:before="121"/>
        <w:ind w:left="829" w:right="111"/>
        <w:jc w:val="both"/>
      </w:pPr>
      <w:r>
        <w:t>The</w:t>
      </w:r>
      <w:r>
        <w:rPr>
          <w:spacing w:val="48"/>
        </w:rPr>
        <w:t xml:space="preserve"> </w:t>
      </w:r>
      <w:r>
        <w:rPr>
          <w:spacing w:val="-1"/>
        </w:rPr>
        <w:t>Customer</w:t>
      </w:r>
      <w:r>
        <w:rPr>
          <w:spacing w:val="49"/>
        </w:rPr>
        <w:t xml:space="preserve"> </w:t>
      </w:r>
      <w:r>
        <w:rPr>
          <w:spacing w:val="-1"/>
        </w:rPr>
        <w:t>shall</w:t>
      </w:r>
      <w:r>
        <w:rPr>
          <w:spacing w:val="47"/>
        </w:rPr>
        <w:t xml:space="preserve"> </w:t>
      </w:r>
      <w:r>
        <w:rPr>
          <w:spacing w:val="-1"/>
        </w:rPr>
        <w:t>be</w:t>
      </w:r>
      <w:r>
        <w:rPr>
          <w:spacing w:val="48"/>
        </w:rPr>
        <w:t xml:space="preserve"> </w:t>
      </w:r>
      <w:r>
        <w:rPr>
          <w:spacing w:val="-1"/>
        </w:rPr>
        <w:t>entitled</w:t>
      </w:r>
      <w:r>
        <w:rPr>
          <w:spacing w:val="48"/>
        </w:rPr>
        <w:t xml:space="preserve"> </w:t>
      </w:r>
      <w:r>
        <w:t>to</w:t>
      </w:r>
      <w:r>
        <w:rPr>
          <w:spacing w:val="48"/>
        </w:rPr>
        <w:t xml:space="preserve"> </w:t>
      </w:r>
      <w:r>
        <w:rPr>
          <w:spacing w:val="-1"/>
        </w:rPr>
        <w:t>notify</w:t>
      </w:r>
      <w:r>
        <w:rPr>
          <w:spacing w:val="47"/>
        </w:rPr>
        <w:t xml:space="preserve"> </w:t>
      </w:r>
      <w:r>
        <w:t>the</w:t>
      </w:r>
      <w:r>
        <w:rPr>
          <w:spacing w:val="48"/>
        </w:rPr>
        <w:t xml:space="preserve"> </w:t>
      </w:r>
      <w:r>
        <w:rPr>
          <w:spacing w:val="-1"/>
        </w:rPr>
        <w:t>Supplier</w:t>
      </w:r>
      <w:r>
        <w:rPr>
          <w:spacing w:val="49"/>
        </w:rPr>
        <w:t xml:space="preserve"> </w:t>
      </w:r>
      <w:r>
        <w:rPr>
          <w:spacing w:val="-1"/>
        </w:rPr>
        <w:t>of</w:t>
      </w:r>
      <w:r>
        <w:rPr>
          <w:spacing w:val="52"/>
        </w:rPr>
        <w:t xml:space="preserve"> </w:t>
      </w:r>
      <w:r>
        <w:rPr>
          <w:spacing w:val="-1"/>
        </w:rPr>
        <w:t>any</w:t>
      </w:r>
      <w:r>
        <w:rPr>
          <w:spacing w:val="46"/>
        </w:rPr>
        <w:t xml:space="preserve"> </w:t>
      </w:r>
      <w:r>
        <w:rPr>
          <w:spacing w:val="-1"/>
        </w:rPr>
        <w:t>aspects</w:t>
      </w:r>
      <w:r>
        <w:rPr>
          <w:spacing w:val="49"/>
        </w:rPr>
        <w:t xml:space="preserve"> </w:t>
      </w:r>
      <w:r>
        <w:rPr>
          <w:spacing w:val="-2"/>
        </w:rPr>
        <w:t>of</w:t>
      </w:r>
      <w:r>
        <w:rPr>
          <w:spacing w:val="53"/>
        </w:rPr>
        <w:t xml:space="preserve"> </w:t>
      </w:r>
      <w:r>
        <w:rPr>
          <w:spacing w:val="-1"/>
        </w:rPr>
        <w:t>their</w:t>
      </w:r>
      <w:r>
        <w:rPr>
          <w:spacing w:val="45"/>
        </w:rPr>
        <w:t xml:space="preserve"> </w:t>
      </w:r>
      <w:r>
        <w:rPr>
          <w:spacing w:val="-1"/>
        </w:rPr>
        <w:t>performance</w:t>
      </w:r>
      <w:r>
        <w:rPr>
          <w:spacing w:val="8"/>
        </w:rPr>
        <w:t xml:space="preserve"> </w:t>
      </w:r>
      <w:r>
        <w:rPr>
          <w:spacing w:val="-2"/>
        </w:rPr>
        <w:t>of</w:t>
      </w:r>
      <w:r>
        <w:rPr>
          <w:spacing w:val="9"/>
        </w:rPr>
        <w:t xml:space="preserve"> </w:t>
      </w:r>
      <w:r>
        <w:t>the</w:t>
      </w:r>
      <w:r>
        <w:rPr>
          <w:spacing w:val="9"/>
        </w:rPr>
        <w:t xml:space="preserve"> </w:t>
      </w:r>
      <w:r>
        <w:rPr>
          <w:spacing w:val="-2"/>
        </w:rPr>
        <w:t>provision</w:t>
      </w:r>
      <w:r>
        <w:rPr>
          <w:spacing w:val="7"/>
        </w:rPr>
        <w:t xml:space="preserve"> </w:t>
      </w:r>
      <w:r>
        <w:rPr>
          <w:spacing w:val="-1"/>
        </w:rPr>
        <w:t>of</w:t>
      </w:r>
      <w:r>
        <w:rPr>
          <w:spacing w:val="11"/>
        </w:rPr>
        <w:t xml:space="preserve"> </w:t>
      </w:r>
      <w:r>
        <w:t>the</w:t>
      </w:r>
      <w:r>
        <w:rPr>
          <w:spacing w:val="6"/>
        </w:rPr>
        <w:t xml:space="preserve"> </w:t>
      </w:r>
      <w:r>
        <w:rPr>
          <w:spacing w:val="-1"/>
        </w:rPr>
        <w:t>Goods</w:t>
      </w:r>
      <w:r>
        <w:rPr>
          <w:spacing w:val="8"/>
        </w:rPr>
        <w:t xml:space="preserve"> </w:t>
      </w:r>
      <w:r>
        <w:rPr>
          <w:spacing w:val="-1"/>
        </w:rPr>
        <w:t>and/or</w:t>
      </w:r>
      <w:r>
        <w:rPr>
          <w:spacing w:val="6"/>
        </w:rPr>
        <w:t xml:space="preserve"> </w:t>
      </w:r>
      <w:r>
        <w:rPr>
          <w:spacing w:val="-1"/>
        </w:rPr>
        <w:t>Services</w:t>
      </w:r>
      <w:r>
        <w:rPr>
          <w:spacing w:val="11"/>
        </w:rPr>
        <w:t xml:space="preserve"> </w:t>
      </w:r>
      <w:r>
        <w:rPr>
          <w:spacing w:val="-1"/>
        </w:rPr>
        <w:t>which</w:t>
      </w:r>
      <w:r>
        <w:rPr>
          <w:spacing w:val="8"/>
        </w:rPr>
        <w:t xml:space="preserve"> </w:t>
      </w:r>
      <w:r>
        <w:t>the</w:t>
      </w:r>
      <w:r>
        <w:rPr>
          <w:spacing w:val="7"/>
        </w:rPr>
        <w:t xml:space="preserve"> </w:t>
      </w:r>
      <w:r>
        <w:rPr>
          <w:spacing w:val="-1"/>
        </w:rPr>
        <w:t>responses</w:t>
      </w:r>
      <w:r>
        <w:rPr>
          <w:spacing w:val="8"/>
        </w:rPr>
        <w:t xml:space="preserve"> </w:t>
      </w:r>
      <w:r>
        <w:t>to</w:t>
      </w:r>
      <w:r>
        <w:rPr>
          <w:spacing w:val="51"/>
        </w:rPr>
        <w:t xml:space="preserve"> </w:t>
      </w:r>
      <w:r>
        <w:t>the</w:t>
      </w:r>
      <w:r>
        <w:rPr>
          <w:spacing w:val="29"/>
        </w:rPr>
        <w:t xml:space="preserve"> </w:t>
      </w:r>
      <w:r>
        <w:rPr>
          <w:spacing w:val="-1"/>
        </w:rPr>
        <w:t>Satisfaction</w:t>
      </w:r>
      <w:r>
        <w:rPr>
          <w:spacing w:val="29"/>
        </w:rPr>
        <w:t xml:space="preserve"> </w:t>
      </w:r>
      <w:r>
        <w:rPr>
          <w:spacing w:val="-2"/>
        </w:rPr>
        <w:t>Surveys</w:t>
      </w:r>
      <w:r>
        <w:rPr>
          <w:spacing w:val="32"/>
        </w:rPr>
        <w:t xml:space="preserve"> </w:t>
      </w:r>
      <w:r>
        <w:rPr>
          <w:spacing w:val="-1"/>
        </w:rPr>
        <w:t>reasonably</w:t>
      </w:r>
      <w:r>
        <w:rPr>
          <w:spacing w:val="27"/>
        </w:rPr>
        <w:t xml:space="preserve"> </w:t>
      </w:r>
      <w:r>
        <w:rPr>
          <w:spacing w:val="-1"/>
        </w:rPr>
        <w:t>suggest</w:t>
      </w:r>
      <w:r>
        <w:rPr>
          <w:spacing w:val="29"/>
        </w:rPr>
        <w:t xml:space="preserve"> </w:t>
      </w:r>
      <w:r>
        <w:rPr>
          <w:spacing w:val="-1"/>
        </w:rPr>
        <w:t>are</w:t>
      </w:r>
      <w:r>
        <w:rPr>
          <w:spacing w:val="27"/>
        </w:rPr>
        <w:t xml:space="preserve"> </w:t>
      </w:r>
      <w:r>
        <w:rPr>
          <w:spacing w:val="-1"/>
        </w:rPr>
        <w:t>not</w:t>
      </w:r>
      <w:r>
        <w:rPr>
          <w:spacing w:val="30"/>
        </w:rPr>
        <w:t xml:space="preserve"> </w:t>
      </w:r>
      <w:r>
        <w:rPr>
          <w:spacing w:val="-1"/>
        </w:rPr>
        <w:t>in</w:t>
      </w:r>
      <w:r>
        <w:rPr>
          <w:spacing w:val="29"/>
        </w:rPr>
        <w:t xml:space="preserve"> </w:t>
      </w:r>
      <w:r>
        <w:rPr>
          <w:spacing w:val="-1"/>
        </w:rPr>
        <w:t>accordance</w:t>
      </w:r>
      <w:r>
        <w:rPr>
          <w:spacing w:val="27"/>
        </w:rPr>
        <w:t xml:space="preserve"> </w:t>
      </w:r>
      <w:r>
        <w:rPr>
          <w:spacing w:val="-2"/>
        </w:rPr>
        <w:t>with</w:t>
      </w:r>
      <w:r>
        <w:rPr>
          <w:spacing w:val="29"/>
        </w:rPr>
        <w:t xml:space="preserve"> </w:t>
      </w:r>
      <w:r>
        <w:rPr>
          <w:spacing w:val="-1"/>
        </w:rPr>
        <w:t>this</w:t>
      </w:r>
      <w:r>
        <w:rPr>
          <w:spacing w:val="30"/>
        </w:rPr>
        <w:t xml:space="preserve"> </w:t>
      </w:r>
      <w:r>
        <w:rPr>
          <w:spacing w:val="-2"/>
        </w:rPr>
        <w:t>Call</w:t>
      </w:r>
      <w:r>
        <w:rPr>
          <w:spacing w:val="41"/>
        </w:rPr>
        <w:t xml:space="preserve"> </w:t>
      </w:r>
      <w:r>
        <w:rPr>
          <w:spacing w:val="-1"/>
        </w:rPr>
        <w:t>Off</w:t>
      </w:r>
      <w:r>
        <w:rPr>
          <w:spacing w:val="2"/>
        </w:rPr>
        <w:t xml:space="preserve"> </w:t>
      </w:r>
      <w:r>
        <w:rPr>
          <w:spacing w:val="-1"/>
        </w:rPr>
        <w:t>Contract.</w:t>
      </w:r>
    </w:p>
    <w:p w:rsidR="008918FA" w:rsidRDefault="008918FA" w:rsidP="008918FA">
      <w:pPr>
        <w:pStyle w:val="BodyText"/>
        <w:numPr>
          <w:ilvl w:val="1"/>
          <w:numId w:val="25"/>
        </w:numPr>
        <w:tabs>
          <w:tab w:val="left" w:pos="1034"/>
        </w:tabs>
        <w:ind w:left="829" w:right="112"/>
        <w:jc w:val="both"/>
      </w:pPr>
      <w:r>
        <w:rPr>
          <w:spacing w:val="-1"/>
        </w:rPr>
        <w:t>All</w:t>
      </w:r>
      <w:r>
        <w:t xml:space="preserve"> </w:t>
      </w:r>
      <w:r>
        <w:rPr>
          <w:spacing w:val="-1"/>
        </w:rPr>
        <w:t>other</w:t>
      </w:r>
      <w:r>
        <w:rPr>
          <w:spacing w:val="2"/>
        </w:rPr>
        <w:t xml:space="preserve"> </w:t>
      </w:r>
      <w:r>
        <w:rPr>
          <w:spacing w:val="-1"/>
        </w:rPr>
        <w:t>suggestions</w:t>
      </w:r>
      <w:r>
        <w:rPr>
          <w:spacing w:val="-2"/>
        </w:rPr>
        <w:t xml:space="preserve"> </w:t>
      </w:r>
      <w:r>
        <w:t>for</w:t>
      </w:r>
      <w:r>
        <w:rPr>
          <w:spacing w:val="-1"/>
        </w:rPr>
        <w:t xml:space="preserve"> improvements</w:t>
      </w:r>
      <w:r>
        <w:rPr>
          <w:spacing w:val="-2"/>
        </w:rPr>
        <w:t xml:space="preserve"> </w:t>
      </w:r>
      <w:r>
        <w:t>to the</w:t>
      </w:r>
      <w:r>
        <w:rPr>
          <w:spacing w:val="1"/>
        </w:rPr>
        <w:t xml:space="preserve"> </w:t>
      </w:r>
      <w:r>
        <w:rPr>
          <w:spacing w:val="-2"/>
        </w:rPr>
        <w:t>provision</w:t>
      </w:r>
      <w:r>
        <w:t xml:space="preserve"> </w:t>
      </w:r>
      <w:r>
        <w:rPr>
          <w:spacing w:val="-1"/>
        </w:rPr>
        <w:t>of</w:t>
      </w:r>
      <w:r>
        <w:rPr>
          <w:spacing w:val="4"/>
        </w:rPr>
        <w:t xml:space="preserve"> </w:t>
      </w:r>
      <w:r>
        <w:rPr>
          <w:spacing w:val="-1"/>
        </w:rPr>
        <w:t>Goods</w:t>
      </w:r>
      <w:r>
        <w:rPr>
          <w:spacing w:val="1"/>
        </w:rPr>
        <w:t xml:space="preserve"> </w:t>
      </w:r>
      <w:r>
        <w:rPr>
          <w:spacing w:val="-1"/>
        </w:rPr>
        <w:t>and/or</w:t>
      </w:r>
      <w:r>
        <w:rPr>
          <w:spacing w:val="2"/>
        </w:rPr>
        <w:t xml:space="preserve"> </w:t>
      </w:r>
      <w:r>
        <w:rPr>
          <w:spacing w:val="-2"/>
        </w:rPr>
        <w:t>Services</w:t>
      </w:r>
      <w:r>
        <w:rPr>
          <w:spacing w:val="55"/>
        </w:rPr>
        <w:t xml:space="preserve"> </w:t>
      </w:r>
      <w:r>
        <w:rPr>
          <w:spacing w:val="-1"/>
        </w:rPr>
        <w:t>shall</w:t>
      </w:r>
      <w:r>
        <w:rPr>
          <w:spacing w:val="17"/>
        </w:rPr>
        <w:t xml:space="preserve"> </w:t>
      </w:r>
      <w:r>
        <w:rPr>
          <w:spacing w:val="-1"/>
        </w:rPr>
        <w:t>be</w:t>
      </w:r>
      <w:r>
        <w:rPr>
          <w:spacing w:val="17"/>
        </w:rPr>
        <w:t xml:space="preserve"> </w:t>
      </w:r>
      <w:r>
        <w:rPr>
          <w:spacing w:val="-1"/>
        </w:rPr>
        <w:t>dealt</w:t>
      </w:r>
      <w:r>
        <w:rPr>
          <w:spacing w:val="21"/>
        </w:rPr>
        <w:t xml:space="preserve"> </w:t>
      </w:r>
      <w:r>
        <w:rPr>
          <w:spacing w:val="-2"/>
        </w:rPr>
        <w:t>with</w:t>
      </w:r>
      <w:r>
        <w:rPr>
          <w:spacing w:val="17"/>
        </w:rPr>
        <w:t xml:space="preserve"> </w:t>
      </w:r>
      <w:r>
        <w:rPr>
          <w:spacing w:val="-1"/>
        </w:rPr>
        <w:t>as</w:t>
      </w:r>
      <w:r>
        <w:rPr>
          <w:spacing w:val="18"/>
        </w:rPr>
        <w:t xml:space="preserve"> </w:t>
      </w:r>
      <w:r>
        <w:t>part</w:t>
      </w:r>
      <w:r>
        <w:rPr>
          <w:spacing w:val="19"/>
        </w:rPr>
        <w:t xml:space="preserve"> </w:t>
      </w:r>
      <w:r>
        <w:rPr>
          <w:spacing w:val="-2"/>
        </w:rPr>
        <w:t>of</w:t>
      </w:r>
      <w:r>
        <w:rPr>
          <w:spacing w:val="19"/>
        </w:rPr>
        <w:t xml:space="preserve"> </w:t>
      </w:r>
      <w:r>
        <w:t>the</w:t>
      </w:r>
      <w:r>
        <w:rPr>
          <w:spacing w:val="17"/>
        </w:rPr>
        <w:t xml:space="preserve"> </w:t>
      </w:r>
      <w:r>
        <w:rPr>
          <w:spacing w:val="-1"/>
        </w:rPr>
        <w:t>continuous</w:t>
      </w:r>
      <w:r>
        <w:rPr>
          <w:spacing w:val="18"/>
        </w:rPr>
        <w:t xml:space="preserve"> </w:t>
      </w:r>
      <w:r>
        <w:rPr>
          <w:spacing w:val="-2"/>
        </w:rPr>
        <w:t>improvement</w:t>
      </w:r>
      <w:r>
        <w:rPr>
          <w:spacing w:val="19"/>
        </w:rPr>
        <w:t xml:space="preserve"> </w:t>
      </w:r>
      <w:r>
        <w:rPr>
          <w:spacing w:val="-1"/>
        </w:rPr>
        <w:t>programme</w:t>
      </w:r>
      <w:r>
        <w:rPr>
          <w:spacing w:val="17"/>
        </w:rPr>
        <w:t xml:space="preserve"> </w:t>
      </w:r>
      <w:r>
        <w:rPr>
          <w:spacing w:val="-2"/>
        </w:rPr>
        <w:t>pursuant</w:t>
      </w:r>
      <w:r>
        <w:rPr>
          <w:spacing w:val="19"/>
        </w:rPr>
        <w:t xml:space="preserve"> </w:t>
      </w:r>
      <w:r>
        <w:t>to</w:t>
      </w:r>
      <w:r>
        <w:rPr>
          <w:spacing w:val="63"/>
        </w:rPr>
        <w:t xml:space="preserve"> </w:t>
      </w:r>
      <w:r>
        <w:rPr>
          <w:spacing w:val="-2"/>
        </w:rPr>
        <w:t>Clause</w:t>
      </w:r>
      <w:r>
        <w:rPr>
          <w:spacing w:val="2"/>
        </w:rPr>
        <w:t xml:space="preserve"> </w:t>
      </w:r>
      <w:hyperlink w:anchor="_bookmark108" w:history="1">
        <w:r>
          <w:rPr>
            <w:spacing w:val="-1"/>
          </w:rPr>
          <w:t>18</w:t>
        </w:r>
      </w:hyperlink>
      <w:r>
        <w:t xml:space="preserve"> </w:t>
      </w:r>
      <w:r>
        <w:rPr>
          <w:spacing w:val="-2"/>
        </w:rPr>
        <w:t>of</w:t>
      </w:r>
      <w:r>
        <w:rPr>
          <w:spacing w:val="2"/>
        </w:rPr>
        <w:t xml:space="preserve"> </w:t>
      </w:r>
      <w:r>
        <w:rPr>
          <w:spacing w:val="-1"/>
        </w:rPr>
        <w:t>this</w:t>
      </w:r>
      <w:r>
        <w:rPr>
          <w:spacing w:val="-2"/>
        </w:rPr>
        <w:t xml:space="preserve"> Call</w:t>
      </w:r>
      <w:r>
        <w:t xml:space="preserve"> </w:t>
      </w:r>
      <w:r>
        <w:rPr>
          <w:spacing w:val="-1"/>
        </w:rPr>
        <w:t>Off</w:t>
      </w:r>
      <w:r>
        <w:t xml:space="preserve"> </w:t>
      </w:r>
      <w:r>
        <w:rPr>
          <w:spacing w:val="-1"/>
        </w:rPr>
        <w:t>Contract</w:t>
      </w:r>
      <w:r>
        <w:rPr>
          <w:spacing w:val="1"/>
        </w:rPr>
        <w:t xml:space="preserve"> </w:t>
      </w:r>
      <w:r>
        <w:rPr>
          <w:spacing w:val="-1"/>
        </w:rPr>
        <w:t>(Continuous</w:t>
      </w:r>
      <w:r>
        <w:rPr>
          <w:spacing w:val="-2"/>
        </w:rPr>
        <w:t xml:space="preserve"> </w:t>
      </w:r>
      <w:r>
        <w:rPr>
          <w:spacing w:val="-1"/>
        </w:rPr>
        <w:t>Improvement).</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spacing w:before="58"/>
        <w:ind w:left="102" w:firstLine="0"/>
        <w:rPr>
          <w:rFonts w:ascii="Times New Roman" w:eastAsia="Times New Roman" w:hAnsi="Times New Roman" w:cs="Times New Roman"/>
        </w:rPr>
      </w:pPr>
      <w:bookmarkStart w:id="393" w:name="ANNEX_1_TO_PART_B:_ADDITIONAL_PERFORMANC"/>
      <w:bookmarkStart w:id="394" w:name="_bookmark319"/>
      <w:bookmarkEnd w:id="393"/>
      <w:bookmarkEnd w:id="394"/>
      <w:r>
        <w:rPr>
          <w:rFonts w:ascii="Times New Roman"/>
          <w:spacing w:val="1"/>
        </w:rPr>
        <w:t>ANNEX</w:t>
      </w:r>
      <w:r>
        <w:rPr>
          <w:rFonts w:ascii="Times New Roman"/>
          <w:spacing w:val="-6"/>
        </w:rPr>
        <w:t xml:space="preserve"> </w:t>
      </w:r>
      <w:r>
        <w:rPr>
          <w:rFonts w:ascii="Times New Roman"/>
        </w:rPr>
        <w:t>1</w:t>
      </w:r>
      <w:r>
        <w:rPr>
          <w:rFonts w:ascii="Times New Roman"/>
          <w:spacing w:val="19"/>
        </w:rPr>
        <w:t xml:space="preserve"> </w:t>
      </w:r>
      <w:r>
        <w:rPr>
          <w:rFonts w:ascii="Times New Roman"/>
          <w:spacing w:val="-2"/>
        </w:rPr>
        <w:t>TO</w:t>
      </w:r>
      <w:r>
        <w:rPr>
          <w:rFonts w:ascii="Times New Roman"/>
          <w:spacing w:val="20"/>
        </w:rPr>
        <w:t xml:space="preserve"> </w:t>
      </w:r>
      <w:r>
        <w:rPr>
          <w:rFonts w:ascii="Times New Roman"/>
        </w:rPr>
        <w:t>P</w:t>
      </w:r>
      <w:r>
        <w:rPr>
          <w:rFonts w:ascii="Times New Roman"/>
          <w:spacing w:val="-29"/>
        </w:rPr>
        <w:t xml:space="preserve"> </w:t>
      </w:r>
      <w:r>
        <w:rPr>
          <w:rFonts w:ascii="Times New Roman"/>
          <w:spacing w:val="2"/>
        </w:rPr>
        <w:t>ART</w:t>
      </w:r>
      <w:r>
        <w:rPr>
          <w:rFonts w:ascii="Times New Roman"/>
          <w:spacing w:val="4"/>
        </w:rPr>
        <w:t xml:space="preserve"> </w:t>
      </w:r>
      <w:r>
        <w:rPr>
          <w:rFonts w:ascii="Times New Roman"/>
          <w:spacing w:val="5"/>
        </w:rPr>
        <w:t>B:</w:t>
      </w:r>
      <w:r>
        <w:rPr>
          <w:rFonts w:ascii="Times New Roman"/>
          <w:spacing w:val="20"/>
        </w:rPr>
        <w:t xml:space="preserve"> </w:t>
      </w:r>
      <w:r>
        <w:rPr>
          <w:rFonts w:ascii="Times New Roman"/>
          <w:spacing w:val="-3"/>
        </w:rPr>
        <w:t>ADDITIONAL</w:t>
      </w:r>
      <w:r>
        <w:rPr>
          <w:rFonts w:ascii="Times New Roman"/>
          <w:spacing w:val="7"/>
        </w:rPr>
        <w:t xml:space="preserve"> </w:t>
      </w:r>
      <w:r>
        <w:rPr>
          <w:rFonts w:ascii="Times New Roman"/>
          <w:spacing w:val="6"/>
        </w:rPr>
        <w:t>PERFORMANCE</w:t>
      </w:r>
      <w:r>
        <w:rPr>
          <w:rFonts w:ascii="Times New Roman"/>
          <w:spacing w:val="18"/>
        </w:rPr>
        <w:t xml:space="preserve"> </w:t>
      </w:r>
      <w:r>
        <w:rPr>
          <w:rFonts w:ascii="Times New Roman"/>
          <w:spacing w:val="-1"/>
        </w:rPr>
        <w:t>MONITORING</w:t>
      </w:r>
      <w:r>
        <w:rPr>
          <w:rFonts w:ascii="Times New Roman"/>
          <w:spacing w:val="18"/>
        </w:rPr>
        <w:t xml:space="preserve"> </w:t>
      </w:r>
      <w:r>
        <w:rPr>
          <w:rFonts w:ascii="Times New Roman"/>
          <w:spacing w:val="3"/>
        </w:rPr>
        <w:t>REQUIREMENTS</w:t>
      </w:r>
    </w:p>
    <w:p w:rsidR="008918FA" w:rsidRDefault="008918FA" w:rsidP="008918FA">
      <w:pPr>
        <w:spacing w:before="7"/>
        <w:rPr>
          <w:rFonts w:ascii="Times New Roman" w:eastAsia="Times New Roman" w:hAnsi="Times New Roman" w:cs="Times New Roman"/>
          <w:sz w:val="14"/>
          <w:szCs w:val="14"/>
        </w:rPr>
      </w:pPr>
    </w:p>
    <w:p w:rsidR="008918FA" w:rsidRDefault="008918FA" w:rsidP="008918FA">
      <w:pPr>
        <w:pStyle w:val="BodyText"/>
        <w:tabs>
          <w:tab w:val="left" w:pos="3620"/>
        </w:tabs>
        <w:spacing w:before="72"/>
        <w:ind w:left="1112" w:firstLine="0"/>
      </w:pPr>
      <w:r>
        <w:rPr>
          <w:highlight w:val="yellow"/>
        </w:rPr>
        <w:t>[</w:t>
      </w:r>
      <w:r>
        <w:rPr>
          <w:highlight w:val="yellow"/>
        </w:rPr>
        <w:tab/>
        <w:t>]</w:t>
      </w:r>
    </w:p>
    <w:p w:rsidR="008918FA" w:rsidRDefault="008918FA" w:rsidP="008918FA">
      <w:pPr>
        <w:spacing w:before="2"/>
        <w:rPr>
          <w:rFonts w:ascii="Arial" w:eastAsia="Arial" w:hAnsi="Arial" w:cs="Arial"/>
          <w:sz w:val="21"/>
          <w:szCs w:val="21"/>
        </w:rPr>
      </w:pPr>
    </w:p>
    <w:p w:rsidR="008918FA" w:rsidRDefault="008918FA" w:rsidP="008918FA">
      <w:pPr>
        <w:spacing w:line="200" w:lineRule="atLeast"/>
        <w:ind w:left="54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29CEC827" wp14:editId="7CE13F1B">
                <wp:extent cx="5387340" cy="803275"/>
                <wp:effectExtent l="0" t="0" r="3810" b="0"/>
                <wp:docPr id="2551"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80327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39" w:lineRule="auto"/>
                              <w:ind w:right="-4"/>
                              <w:jc w:val="both"/>
                              <w:rPr>
                                <w:rFonts w:ascii="Arial" w:eastAsia="Arial" w:hAnsi="Arial" w:cs="Arial"/>
                              </w:rPr>
                            </w:pPr>
                            <w:r>
                              <w:rPr>
                                <w:rFonts w:ascii="Arial"/>
                                <w:b/>
                                <w:i/>
                                <w:spacing w:val="-1"/>
                              </w:rPr>
                              <w:t>[Guidance</w:t>
                            </w:r>
                            <w:r>
                              <w:rPr>
                                <w:rFonts w:ascii="Arial"/>
                                <w:b/>
                                <w:i/>
                              </w:rPr>
                              <w:t xml:space="preserve"> </w:t>
                            </w:r>
                            <w:r>
                              <w:rPr>
                                <w:rFonts w:ascii="Arial"/>
                                <w:b/>
                                <w:i/>
                                <w:spacing w:val="-2"/>
                              </w:rPr>
                              <w:t>Note:</w:t>
                            </w:r>
                            <w:r>
                              <w:rPr>
                                <w:rFonts w:ascii="Arial"/>
                                <w:b/>
                                <w:i/>
                                <w:spacing w:val="2"/>
                              </w:rPr>
                              <w:t xml:space="preserve"> </w:t>
                            </w:r>
                            <w:r>
                              <w:rPr>
                                <w:rFonts w:ascii="Arial"/>
                                <w:b/>
                                <w:i/>
                                <w:spacing w:val="-1"/>
                              </w:rPr>
                              <w:t>Please</w:t>
                            </w:r>
                            <w:r>
                              <w:rPr>
                                <w:rFonts w:ascii="Arial"/>
                                <w:b/>
                                <w:i/>
                              </w:rPr>
                              <w:t xml:space="preserve"> </w:t>
                            </w:r>
                            <w:r>
                              <w:rPr>
                                <w:rFonts w:ascii="Arial"/>
                                <w:b/>
                                <w:i/>
                                <w:spacing w:val="-1"/>
                              </w:rPr>
                              <w:t>see</w:t>
                            </w:r>
                            <w:r>
                              <w:rPr>
                                <w:rFonts w:ascii="Arial"/>
                                <w:b/>
                                <w:i/>
                              </w:rPr>
                              <w:t xml:space="preserve"> </w:t>
                            </w:r>
                            <w:r>
                              <w:rPr>
                                <w:rFonts w:ascii="Arial"/>
                                <w:b/>
                                <w:i/>
                                <w:spacing w:val="-1"/>
                              </w:rPr>
                              <w:t>the</w:t>
                            </w:r>
                            <w:r>
                              <w:rPr>
                                <w:rFonts w:ascii="Arial"/>
                                <w:b/>
                                <w:i/>
                                <w:spacing w:val="-2"/>
                              </w:rPr>
                              <w:t xml:space="preserve"> </w:t>
                            </w:r>
                            <w:r>
                              <w:rPr>
                                <w:rFonts w:ascii="Arial"/>
                                <w:b/>
                                <w:i/>
                                <w:spacing w:val="-1"/>
                              </w:rPr>
                              <w:t>Guidance</w:t>
                            </w:r>
                            <w:r>
                              <w:rPr>
                                <w:rFonts w:ascii="Arial"/>
                                <w:b/>
                                <w:i/>
                              </w:rPr>
                              <w:t xml:space="preserve"> </w:t>
                            </w:r>
                            <w:r>
                              <w:rPr>
                                <w:rFonts w:ascii="Arial"/>
                                <w:b/>
                                <w:i/>
                                <w:spacing w:val="-2"/>
                              </w:rPr>
                              <w:t>Note</w:t>
                            </w:r>
                            <w:r>
                              <w:rPr>
                                <w:rFonts w:ascii="Arial"/>
                                <w:b/>
                                <w:i/>
                              </w:rPr>
                              <w:t xml:space="preserve"> </w:t>
                            </w:r>
                            <w:r>
                              <w:rPr>
                                <w:rFonts w:ascii="Arial"/>
                                <w:b/>
                                <w:i/>
                                <w:spacing w:val="-1"/>
                              </w:rPr>
                              <w:t>on</w:t>
                            </w:r>
                            <w:r>
                              <w:rPr>
                                <w:rFonts w:ascii="Arial"/>
                                <w:b/>
                                <w:i/>
                              </w:rPr>
                              <w:t xml:space="preserve"> </w:t>
                            </w:r>
                            <w:r>
                              <w:rPr>
                                <w:rFonts w:ascii="Arial"/>
                                <w:b/>
                                <w:i/>
                                <w:spacing w:val="-1"/>
                              </w:rPr>
                              <w:t>Performance</w:t>
                            </w:r>
                            <w:r>
                              <w:rPr>
                                <w:rFonts w:ascii="Arial"/>
                                <w:b/>
                                <w:i/>
                              </w:rPr>
                              <w:t xml:space="preserve"> </w:t>
                            </w:r>
                            <w:r>
                              <w:rPr>
                                <w:rFonts w:ascii="Arial"/>
                                <w:b/>
                                <w:i/>
                                <w:spacing w:val="-1"/>
                              </w:rPr>
                              <w:t>Monitoring</w:t>
                            </w:r>
                            <w:r>
                              <w:rPr>
                                <w:rFonts w:ascii="Arial"/>
                                <w:b/>
                                <w:i/>
                                <w:spacing w:val="-2"/>
                              </w:rPr>
                              <w:t xml:space="preserve"> </w:t>
                            </w:r>
                            <w:r>
                              <w:rPr>
                                <w:rFonts w:ascii="Arial"/>
                                <w:b/>
                                <w:i/>
                              </w:rPr>
                              <w:t>in</w:t>
                            </w:r>
                            <w:r>
                              <w:rPr>
                                <w:rFonts w:ascii="Arial"/>
                                <w:b/>
                                <w:i/>
                                <w:spacing w:val="-2"/>
                              </w:rPr>
                              <w:t xml:space="preserve"> </w:t>
                            </w:r>
                            <w:r>
                              <w:rPr>
                                <w:rFonts w:ascii="Arial"/>
                                <w:b/>
                                <w:i/>
                                <w:spacing w:val="-1"/>
                              </w:rPr>
                              <w:t>the</w:t>
                            </w:r>
                            <w:r>
                              <w:rPr>
                                <w:rFonts w:ascii="Arial"/>
                                <w:b/>
                                <w:i/>
                                <w:spacing w:val="58"/>
                              </w:rPr>
                              <w:t xml:space="preserve"> </w:t>
                            </w:r>
                            <w:r>
                              <w:rPr>
                                <w:rFonts w:ascii="Arial"/>
                                <w:b/>
                                <w:i/>
                                <w:spacing w:val="-1"/>
                              </w:rPr>
                              <w:t>Template</w:t>
                            </w:r>
                            <w:r>
                              <w:rPr>
                                <w:rFonts w:ascii="Arial"/>
                                <w:b/>
                                <w:i/>
                                <w:spacing w:val="16"/>
                              </w:rPr>
                              <w:t xml:space="preserve"> </w:t>
                            </w:r>
                            <w:r>
                              <w:rPr>
                                <w:rFonts w:ascii="Arial"/>
                                <w:b/>
                                <w:i/>
                                <w:spacing w:val="-1"/>
                              </w:rPr>
                              <w:t>Order</w:t>
                            </w:r>
                            <w:r>
                              <w:rPr>
                                <w:rFonts w:ascii="Arial"/>
                                <w:b/>
                                <w:i/>
                                <w:spacing w:val="17"/>
                              </w:rPr>
                              <w:t xml:space="preserve"> </w:t>
                            </w:r>
                            <w:r>
                              <w:rPr>
                                <w:rFonts w:ascii="Arial"/>
                                <w:b/>
                                <w:i/>
                                <w:spacing w:val="-1"/>
                              </w:rPr>
                              <w:t>Form,</w:t>
                            </w:r>
                            <w:r>
                              <w:rPr>
                                <w:rFonts w:ascii="Arial"/>
                                <w:b/>
                                <w:i/>
                                <w:spacing w:val="15"/>
                              </w:rPr>
                              <w:t xml:space="preserve"> </w:t>
                            </w:r>
                            <w:r>
                              <w:rPr>
                                <w:rFonts w:ascii="Arial"/>
                                <w:b/>
                                <w:i/>
                                <w:spacing w:val="-1"/>
                              </w:rPr>
                              <w:t>Clause</w:t>
                            </w:r>
                            <w:r>
                              <w:rPr>
                                <w:rFonts w:ascii="Arial"/>
                                <w:b/>
                                <w:i/>
                                <w:spacing w:val="17"/>
                              </w:rPr>
                              <w:t xml:space="preserve"> </w:t>
                            </w:r>
                            <w:hyperlink w:anchor="_bookmark110" w:history="1">
                              <w:r>
                                <w:rPr>
                                  <w:rFonts w:ascii="Arial"/>
                                  <w:b/>
                                  <w:i/>
                                  <w:spacing w:val="-1"/>
                                </w:rPr>
                                <w:t>19</w:t>
                              </w:r>
                            </w:hyperlink>
                            <w:r>
                              <w:rPr>
                                <w:rFonts w:ascii="Arial"/>
                                <w:b/>
                                <w:i/>
                                <w:spacing w:val="16"/>
                              </w:rPr>
                              <w:t xml:space="preserve"> </w:t>
                            </w:r>
                            <w:r>
                              <w:rPr>
                                <w:rFonts w:ascii="Arial"/>
                                <w:b/>
                                <w:i/>
                                <w:spacing w:val="-1"/>
                              </w:rPr>
                              <w:t>of</w:t>
                            </w:r>
                            <w:r>
                              <w:rPr>
                                <w:rFonts w:ascii="Arial"/>
                                <w:b/>
                                <w:i/>
                                <w:spacing w:val="17"/>
                              </w:rPr>
                              <w:t xml:space="preserve"> </w:t>
                            </w:r>
                            <w:r>
                              <w:rPr>
                                <w:rFonts w:ascii="Arial"/>
                                <w:b/>
                                <w:i/>
                                <w:spacing w:val="-1"/>
                              </w:rPr>
                              <w:t>the</w:t>
                            </w:r>
                            <w:r>
                              <w:rPr>
                                <w:rFonts w:ascii="Arial"/>
                                <w:b/>
                                <w:i/>
                                <w:spacing w:val="16"/>
                              </w:rPr>
                              <w:t xml:space="preserve"> </w:t>
                            </w:r>
                            <w:r>
                              <w:rPr>
                                <w:rFonts w:ascii="Arial"/>
                                <w:b/>
                                <w:i/>
                                <w:spacing w:val="-1"/>
                              </w:rPr>
                              <w:t>Template</w:t>
                            </w:r>
                            <w:r>
                              <w:rPr>
                                <w:rFonts w:ascii="Arial"/>
                                <w:b/>
                                <w:i/>
                                <w:spacing w:val="16"/>
                              </w:rPr>
                              <w:t xml:space="preserve"> </w:t>
                            </w:r>
                            <w:r>
                              <w:rPr>
                                <w:rFonts w:ascii="Arial"/>
                                <w:b/>
                                <w:i/>
                                <w:spacing w:val="-1"/>
                              </w:rPr>
                              <w:t>Call</w:t>
                            </w:r>
                            <w:r>
                              <w:rPr>
                                <w:rFonts w:ascii="Arial"/>
                                <w:b/>
                                <w:i/>
                                <w:spacing w:val="15"/>
                              </w:rPr>
                              <w:t xml:space="preserve"> </w:t>
                            </w:r>
                            <w:r>
                              <w:rPr>
                                <w:rFonts w:ascii="Arial"/>
                                <w:b/>
                                <w:i/>
                                <w:spacing w:val="-1"/>
                              </w:rPr>
                              <w:t>Off</w:t>
                            </w:r>
                            <w:r>
                              <w:rPr>
                                <w:rFonts w:ascii="Arial"/>
                                <w:b/>
                                <w:i/>
                                <w:spacing w:val="17"/>
                              </w:rPr>
                              <w:t xml:space="preserve"> </w:t>
                            </w:r>
                            <w:r>
                              <w:rPr>
                                <w:rFonts w:ascii="Arial"/>
                                <w:b/>
                                <w:i/>
                                <w:spacing w:val="-1"/>
                              </w:rPr>
                              <w:t>Terms,</w:t>
                            </w:r>
                            <w:r>
                              <w:rPr>
                                <w:rFonts w:ascii="Arial"/>
                                <w:b/>
                                <w:i/>
                                <w:spacing w:val="17"/>
                              </w:rPr>
                              <w:t xml:space="preserve"> </w:t>
                            </w:r>
                            <w:r>
                              <w:rPr>
                                <w:rFonts w:ascii="Arial"/>
                                <w:b/>
                                <w:i/>
                                <w:spacing w:val="-1"/>
                              </w:rPr>
                              <w:t>and</w:t>
                            </w:r>
                            <w:r>
                              <w:rPr>
                                <w:rFonts w:ascii="Arial"/>
                                <w:b/>
                                <w:i/>
                                <w:spacing w:val="16"/>
                              </w:rPr>
                              <w:t xml:space="preserve"> </w:t>
                            </w:r>
                            <w:r>
                              <w:rPr>
                                <w:rFonts w:ascii="Arial"/>
                                <w:b/>
                                <w:i/>
                                <w:spacing w:val="-1"/>
                              </w:rPr>
                              <w:t>the</w:t>
                            </w:r>
                            <w:r>
                              <w:rPr>
                                <w:rFonts w:ascii="Arial"/>
                                <w:b/>
                                <w:i/>
                                <w:spacing w:val="40"/>
                              </w:rPr>
                              <w:t xml:space="preserve"> </w:t>
                            </w:r>
                            <w:r>
                              <w:rPr>
                                <w:rFonts w:ascii="Arial"/>
                                <w:b/>
                                <w:i/>
                                <w:spacing w:val="-1"/>
                              </w:rPr>
                              <w:t>provisions</w:t>
                            </w:r>
                            <w:r>
                              <w:rPr>
                                <w:rFonts w:ascii="Arial"/>
                                <w:b/>
                                <w:i/>
                                <w:spacing w:val="30"/>
                              </w:rPr>
                              <w:t xml:space="preserve"> </w:t>
                            </w:r>
                            <w:r>
                              <w:rPr>
                                <w:rFonts w:ascii="Arial"/>
                                <w:b/>
                                <w:i/>
                                <w:spacing w:val="-2"/>
                              </w:rPr>
                              <w:t>of</w:t>
                            </w:r>
                            <w:r>
                              <w:rPr>
                                <w:rFonts w:ascii="Arial"/>
                                <w:b/>
                                <w:i/>
                                <w:spacing w:val="32"/>
                              </w:rPr>
                              <w:t xml:space="preserve"> </w:t>
                            </w:r>
                            <w:r>
                              <w:rPr>
                                <w:rFonts w:ascii="Arial"/>
                                <w:b/>
                                <w:i/>
                                <w:spacing w:val="-1"/>
                              </w:rPr>
                              <w:t>this</w:t>
                            </w:r>
                            <w:r>
                              <w:rPr>
                                <w:rFonts w:ascii="Arial"/>
                                <w:b/>
                                <w:i/>
                                <w:spacing w:val="30"/>
                              </w:rPr>
                              <w:t xml:space="preserve"> </w:t>
                            </w:r>
                            <w:r>
                              <w:rPr>
                                <w:rFonts w:ascii="Arial"/>
                                <w:b/>
                                <w:i/>
                                <w:spacing w:val="-1"/>
                              </w:rPr>
                              <w:t>Call</w:t>
                            </w:r>
                            <w:r>
                              <w:rPr>
                                <w:rFonts w:ascii="Arial"/>
                                <w:b/>
                                <w:i/>
                                <w:spacing w:val="30"/>
                              </w:rPr>
                              <w:t xml:space="preserve"> </w:t>
                            </w:r>
                            <w:r>
                              <w:rPr>
                                <w:rFonts w:ascii="Arial"/>
                                <w:b/>
                                <w:i/>
                                <w:spacing w:val="-1"/>
                              </w:rPr>
                              <w:t>Off</w:t>
                            </w:r>
                            <w:r>
                              <w:rPr>
                                <w:rFonts w:ascii="Arial"/>
                                <w:b/>
                                <w:i/>
                                <w:spacing w:val="32"/>
                              </w:rPr>
                              <w:t xml:space="preserve"> </w:t>
                            </w:r>
                            <w:r>
                              <w:rPr>
                                <w:rFonts w:ascii="Arial"/>
                                <w:b/>
                                <w:i/>
                                <w:spacing w:val="-1"/>
                              </w:rPr>
                              <w:t>Schedule</w:t>
                            </w:r>
                            <w:r>
                              <w:rPr>
                                <w:rFonts w:ascii="Arial"/>
                                <w:b/>
                                <w:i/>
                                <w:spacing w:val="30"/>
                              </w:rPr>
                              <w:t xml:space="preserve"> </w:t>
                            </w:r>
                            <w:r>
                              <w:rPr>
                                <w:rFonts w:ascii="Arial"/>
                                <w:b/>
                                <w:i/>
                                <w:spacing w:val="-1"/>
                              </w:rPr>
                              <w:t>(Service</w:t>
                            </w:r>
                            <w:r>
                              <w:rPr>
                                <w:rFonts w:ascii="Arial"/>
                                <w:b/>
                                <w:i/>
                                <w:spacing w:val="30"/>
                              </w:rPr>
                              <w:t xml:space="preserve"> </w:t>
                            </w:r>
                            <w:r>
                              <w:rPr>
                                <w:rFonts w:ascii="Arial"/>
                                <w:b/>
                                <w:i/>
                                <w:spacing w:val="-1"/>
                              </w:rPr>
                              <w:t>Levels,</w:t>
                            </w:r>
                            <w:r>
                              <w:rPr>
                                <w:rFonts w:ascii="Arial"/>
                                <w:b/>
                                <w:i/>
                                <w:spacing w:val="33"/>
                              </w:rPr>
                              <w:t xml:space="preserve"> </w:t>
                            </w:r>
                            <w:r>
                              <w:rPr>
                                <w:rFonts w:ascii="Arial"/>
                                <w:b/>
                                <w:i/>
                                <w:spacing w:val="-1"/>
                              </w:rPr>
                              <w:t>Service</w:t>
                            </w:r>
                            <w:r>
                              <w:rPr>
                                <w:rFonts w:ascii="Arial"/>
                                <w:b/>
                                <w:i/>
                                <w:spacing w:val="30"/>
                              </w:rPr>
                              <w:t xml:space="preserve"> </w:t>
                            </w:r>
                            <w:r>
                              <w:rPr>
                                <w:rFonts w:ascii="Arial"/>
                                <w:b/>
                                <w:i/>
                                <w:spacing w:val="-1"/>
                              </w:rPr>
                              <w:t>Credits</w:t>
                            </w:r>
                            <w:r>
                              <w:rPr>
                                <w:rFonts w:ascii="Arial"/>
                                <w:b/>
                                <w:i/>
                                <w:spacing w:val="30"/>
                              </w:rPr>
                              <w:t xml:space="preserve"> </w:t>
                            </w:r>
                            <w:r>
                              <w:rPr>
                                <w:rFonts w:ascii="Arial"/>
                                <w:b/>
                                <w:i/>
                                <w:spacing w:val="-1"/>
                              </w:rPr>
                              <w:t>and</w:t>
                            </w:r>
                            <w:r>
                              <w:rPr>
                                <w:rFonts w:ascii="Arial"/>
                                <w:b/>
                                <w:i/>
                                <w:spacing w:val="46"/>
                              </w:rPr>
                              <w:t xml:space="preserve"> </w:t>
                            </w:r>
                            <w:r>
                              <w:rPr>
                                <w:rFonts w:ascii="Arial"/>
                                <w:b/>
                                <w:i/>
                                <w:spacing w:val="-1"/>
                              </w:rPr>
                              <w:t>Performance</w:t>
                            </w:r>
                            <w:r>
                              <w:rPr>
                                <w:rFonts w:ascii="Arial"/>
                                <w:b/>
                                <w:i/>
                                <w:spacing w:val="59"/>
                              </w:rPr>
                              <w:t xml:space="preserve"> </w:t>
                            </w:r>
                            <w:r>
                              <w:rPr>
                                <w:rFonts w:ascii="Arial"/>
                                <w:b/>
                                <w:i/>
                                <w:spacing w:val="-2"/>
                              </w:rPr>
                              <w:t>Monitoring).</w:t>
                            </w:r>
                            <w:r>
                              <w:rPr>
                                <w:rFonts w:ascii="Arial"/>
                                <w:b/>
                                <w:i/>
                              </w:rPr>
                              <w:t xml:space="preserve">  </w:t>
                            </w:r>
                            <w:r>
                              <w:rPr>
                                <w:rFonts w:ascii="Arial"/>
                                <w:b/>
                                <w:i/>
                                <w:spacing w:val="-1"/>
                              </w:rPr>
                              <w:t>The</w:t>
                            </w:r>
                            <w:r>
                              <w:rPr>
                                <w:rFonts w:ascii="Arial"/>
                                <w:b/>
                                <w:i/>
                                <w:spacing w:val="59"/>
                              </w:rPr>
                              <w:t xml:space="preserve"> </w:t>
                            </w:r>
                            <w:r>
                              <w:rPr>
                                <w:rFonts w:ascii="Arial"/>
                                <w:b/>
                                <w:i/>
                                <w:spacing w:val="-1"/>
                              </w:rPr>
                              <w:t>Customer</w:t>
                            </w:r>
                            <w:r>
                              <w:rPr>
                                <w:rFonts w:ascii="Arial"/>
                                <w:b/>
                                <w:i/>
                                <w:spacing w:val="60"/>
                              </w:rPr>
                              <w:t xml:space="preserve"> </w:t>
                            </w:r>
                            <w:r>
                              <w:rPr>
                                <w:rFonts w:ascii="Arial"/>
                                <w:b/>
                                <w:i/>
                              </w:rPr>
                              <w:t>to</w:t>
                            </w:r>
                            <w:r>
                              <w:rPr>
                                <w:rFonts w:ascii="Arial"/>
                                <w:b/>
                                <w:i/>
                                <w:spacing w:val="59"/>
                              </w:rPr>
                              <w:t xml:space="preserve"> </w:t>
                            </w:r>
                            <w:r>
                              <w:rPr>
                                <w:rFonts w:ascii="Arial"/>
                                <w:b/>
                                <w:i/>
                                <w:spacing w:val="-1"/>
                              </w:rPr>
                              <w:t>insert</w:t>
                            </w:r>
                            <w:r>
                              <w:rPr>
                                <w:rFonts w:ascii="Arial"/>
                                <w:b/>
                                <w:i/>
                                <w:spacing w:val="60"/>
                              </w:rPr>
                              <w:t xml:space="preserve"> </w:t>
                            </w:r>
                            <w:r>
                              <w:rPr>
                                <w:rFonts w:ascii="Arial"/>
                                <w:b/>
                                <w:i/>
                                <w:spacing w:val="-1"/>
                              </w:rPr>
                              <w:t>any</w:t>
                            </w:r>
                            <w:r>
                              <w:rPr>
                                <w:rFonts w:ascii="Arial"/>
                                <w:b/>
                                <w:i/>
                                <w:spacing w:val="59"/>
                              </w:rPr>
                              <w:t xml:space="preserve"> </w:t>
                            </w:r>
                            <w:r>
                              <w:rPr>
                                <w:rFonts w:ascii="Arial"/>
                                <w:b/>
                                <w:i/>
                                <w:spacing w:val="-1"/>
                              </w:rPr>
                              <w:t>further</w:t>
                            </w:r>
                            <w:r>
                              <w:rPr>
                                <w:rFonts w:ascii="Arial"/>
                                <w:b/>
                                <w:i/>
                                <w:spacing w:val="58"/>
                              </w:rPr>
                              <w:t xml:space="preserve"> </w:t>
                            </w:r>
                            <w:r>
                              <w:rPr>
                                <w:rFonts w:ascii="Arial"/>
                                <w:b/>
                                <w:i/>
                                <w:spacing w:val="-1"/>
                              </w:rPr>
                              <w:t>details</w:t>
                            </w:r>
                            <w:r>
                              <w:rPr>
                                <w:rFonts w:ascii="Arial"/>
                                <w:b/>
                                <w:i/>
                                <w:spacing w:val="59"/>
                              </w:rPr>
                              <w:t xml:space="preserve"> </w:t>
                            </w:r>
                            <w:r>
                              <w:rPr>
                                <w:rFonts w:ascii="Arial"/>
                                <w:b/>
                                <w:i/>
                                <w:spacing w:val="-1"/>
                              </w:rPr>
                              <w:t>of</w:t>
                            </w:r>
                            <w:r>
                              <w:rPr>
                                <w:rFonts w:ascii="Arial"/>
                                <w:b/>
                                <w:i/>
                                <w:spacing w:val="60"/>
                              </w:rPr>
                              <w:t xml:space="preserve"> </w:t>
                            </w:r>
                            <w:r>
                              <w:rPr>
                                <w:rFonts w:ascii="Arial"/>
                                <w:b/>
                                <w:i/>
                                <w:spacing w:val="-1"/>
                              </w:rPr>
                              <w:t>Performance</w:t>
                            </w:r>
                            <w:r>
                              <w:rPr>
                                <w:rFonts w:ascii="Arial"/>
                                <w:b/>
                                <w:i/>
                                <w:spacing w:val="-2"/>
                              </w:rPr>
                              <w:t xml:space="preserve"> </w:t>
                            </w:r>
                            <w:r>
                              <w:rPr>
                                <w:rFonts w:ascii="Arial"/>
                                <w:b/>
                                <w:i/>
                                <w:spacing w:val="-1"/>
                              </w:rPr>
                              <w:t>Monitoring</w:t>
                            </w:r>
                            <w:r>
                              <w:rPr>
                                <w:rFonts w:ascii="Arial"/>
                                <w:b/>
                                <w:i/>
                              </w:rPr>
                              <w:t xml:space="preserve"> </w:t>
                            </w:r>
                            <w:r>
                              <w:rPr>
                                <w:rFonts w:ascii="Arial"/>
                                <w:b/>
                                <w:i/>
                                <w:spacing w:val="-1"/>
                              </w:rPr>
                              <w:t>as</w:t>
                            </w:r>
                            <w:r>
                              <w:rPr>
                                <w:rFonts w:ascii="Arial"/>
                                <w:b/>
                                <w:i/>
                              </w:rPr>
                              <w:t xml:space="preserve"> </w:t>
                            </w:r>
                            <w:r>
                              <w:rPr>
                                <w:rFonts w:ascii="Arial"/>
                                <w:b/>
                                <w:i/>
                                <w:spacing w:val="-1"/>
                              </w:rPr>
                              <w:t>stipulated</w:t>
                            </w:r>
                            <w:r>
                              <w:rPr>
                                <w:rFonts w:ascii="Arial"/>
                                <w:b/>
                                <w:i/>
                                <w:spacing w:val="-2"/>
                              </w:rPr>
                              <w:t xml:space="preserve"> </w:t>
                            </w:r>
                            <w:r>
                              <w:rPr>
                                <w:rFonts w:ascii="Arial"/>
                                <w:b/>
                                <w:i/>
                                <w:spacing w:val="-1"/>
                              </w:rPr>
                              <w:t>during</w:t>
                            </w:r>
                            <w:r>
                              <w:rPr>
                                <w:rFonts w:ascii="Arial"/>
                                <w:b/>
                                <w:i/>
                                <w:spacing w:val="-2"/>
                              </w:rPr>
                              <w:t xml:space="preserve"> </w:t>
                            </w:r>
                            <w:r>
                              <w:rPr>
                                <w:rFonts w:ascii="Arial"/>
                                <w:b/>
                                <w:i/>
                              </w:rPr>
                              <w:t xml:space="preserve">a </w:t>
                            </w:r>
                            <w:r>
                              <w:rPr>
                                <w:rFonts w:ascii="Arial"/>
                                <w:b/>
                                <w:i/>
                                <w:spacing w:val="-1"/>
                              </w:rPr>
                              <w:t>Further</w:t>
                            </w:r>
                            <w:r>
                              <w:rPr>
                                <w:rFonts w:ascii="Arial"/>
                                <w:b/>
                                <w:i/>
                                <w:spacing w:val="1"/>
                              </w:rPr>
                              <w:t xml:space="preserve"> </w:t>
                            </w:r>
                            <w:r>
                              <w:rPr>
                                <w:rFonts w:ascii="Arial"/>
                                <w:b/>
                                <w:i/>
                                <w:spacing w:val="-1"/>
                              </w:rPr>
                              <w:t>Competition</w:t>
                            </w:r>
                            <w:r>
                              <w:rPr>
                                <w:rFonts w:ascii="Arial"/>
                                <w:b/>
                                <w:i/>
                                <w:spacing w:val="-2"/>
                              </w:rPr>
                              <w:t xml:space="preserve"> </w:t>
                            </w:r>
                            <w:r>
                              <w:rPr>
                                <w:rFonts w:ascii="Arial"/>
                                <w:b/>
                                <w:i/>
                                <w:spacing w:val="-1"/>
                              </w:rPr>
                              <w:t>Procedure.]</w:t>
                            </w:r>
                          </w:p>
                        </w:txbxContent>
                      </wps:txbx>
                      <wps:bodyPr rot="0" vert="horz" wrap="square" lIns="0" tIns="0" rIns="0" bIns="0" anchor="t" anchorCtr="0" upright="1">
                        <a:noAutofit/>
                      </wps:bodyPr>
                    </wps:wsp>
                  </a:graphicData>
                </a:graphic>
              </wp:inline>
            </w:drawing>
          </mc:Choice>
          <mc:Fallback>
            <w:pict>
              <v:shape w14:anchorId="29CEC827" id="Text Box 2543" o:spid="_x0000_s1307" type="#_x0000_t202" style="width:424.2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" fillcolor="lime" stroked="f">
                <v:textbox inset="0,0,0,0">
                  <w:txbxContent>
                    <w:p w:rsidR="005D2B81" w:rsidRDefault="005D2B81" w:rsidP="008918FA">
                      <w:pPr>
                        <w:spacing w:line="239" w:lineRule="auto"/>
                        <w:ind w:right="-4"/>
                        <w:jc w:val="both"/>
                        <w:rPr>
                          <w:rFonts w:ascii="Arial" w:eastAsia="Arial" w:hAnsi="Arial" w:cs="Arial"/>
                        </w:rPr>
                      </w:pPr>
                      <w:r>
                        <w:rPr>
                          <w:rFonts w:ascii="Arial"/>
                          <w:b/>
                          <w:i/>
                          <w:spacing w:val="-1"/>
                        </w:rPr>
                        <w:t>[Guidance</w:t>
                      </w:r>
                      <w:r>
                        <w:rPr>
                          <w:rFonts w:ascii="Arial"/>
                          <w:b/>
                          <w:i/>
                        </w:rPr>
                        <w:t xml:space="preserve"> </w:t>
                      </w:r>
                      <w:r>
                        <w:rPr>
                          <w:rFonts w:ascii="Arial"/>
                          <w:b/>
                          <w:i/>
                          <w:spacing w:val="-2"/>
                        </w:rPr>
                        <w:t>Note:</w:t>
                      </w:r>
                      <w:r>
                        <w:rPr>
                          <w:rFonts w:ascii="Arial"/>
                          <w:b/>
                          <w:i/>
                          <w:spacing w:val="2"/>
                        </w:rPr>
                        <w:t xml:space="preserve"> </w:t>
                      </w:r>
                      <w:r>
                        <w:rPr>
                          <w:rFonts w:ascii="Arial"/>
                          <w:b/>
                          <w:i/>
                          <w:spacing w:val="-1"/>
                        </w:rPr>
                        <w:t>Please</w:t>
                      </w:r>
                      <w:r>
                        <w:rPr>
                          <w:rFonts w:ascii="Arial"/>
                          <w:b/>
                          <w:i/>
                        </w:rPr>
                        <w:t xml:space="preserve"> </w:t>
                      </w:r>
                      <w:r>
                        <w:rPr>
                          <w:rFonts w:ascii="Arial"/>
                          <w:b/>
                          <w:i/>
                          <w:spacing w:val="-1"/>
                        </w:rPr>
                        <w:t>see</w:t>
                      </w:r>
                      <w:r>
                        <w:rPr>
                          <w:rFonts w:ascii="Arial"/>
                          <w:b/>
                          <w:i/>
                        </w:rPr>
                        <w:t xml:space="preserve"> </w:t>
                      </w:r>
                      <w:r>
                        <w:rPr>
                          <w:rFonts w:ascii="Arial"/>
                          <w:b/>
                          <w:i/>
                          <w:spacing w:val="-1"/>
                        </w:rPr>
                        <w:t>the</w:t>
                      </w:r>
                      <w:r>
                        <w:rPr>
                          <w:rFonts w:ascii="Arial"/>
                          <w:b/>
                          <w:i/>
                          <w:spacing w:val="-2"/>
                        </w:rPr>
                        <w:t xml:space="preserve"> </w:t>
                      </w:r>
                      <w:r>
                        <w:rPr>
                          <w:rFonts w:ascii="Arial"/>
                          <w:b/>
                          <w:i/>
                          <w:spacing w:val="-1"/>
                        </w:rPr>
                        <w:t>Guidance</w:t>
                      </w:r>
                      <w:r>
                        <w:rPr>
                          <w:rFonts w:ascii="Arial"/>
                          <w:b/>
                          <w:i/>
                        </w:rPr>
                        <w:t xml:space="preserve"> </w:t>
                      </w:r>
                      <w:r>
                        <w:rPr>
                          <w:rFonts w:ascii="Arial"/>
                          <w:b/>
                          <w:i/>
                          <w:spacing w:val="-2"/>
                        </w:rPr>
                        <w:t>Note</w:t>
                      </w:r>
                      <w:r>
                        <w:rPr>
                          <w:rFonts w:ascii="Arial"/>
                          <w:b/>
                          <w:i/>
                        </w:rPr>
                        <w:t xml:space="preserve"> </w:t>
                      </w:r>
                      <w:r>
                        <w:rPr>
                          <w:rFonts w:ascii="Arial"/>
                          <w:b/>
                          <w:i/>
                          <w:spacing w:val="-1"/>
                        </w:rPr>
                        <w:t>on</w:t>
                      </w:r>
                      <w:r>
                        <w:rPr>
                          <w:rFonts w:ascii="Arial"/>
                          <w:b/>
                          <w:i/>
                        </w:rPr>
                        <w:t xml:space="preserve"> </w:t>
                      </w:r>
                      <w:r>
                        <w:rPr>
                          <w:rFonts w:ascii="Arial"/>
                          <w:b/>
                          <w:i/>
                          <w:spacing w:val="-1"/>
                        </w:rPr>
                        <w:t>Performance</w:t>
                      </w:r>
                      <w:r>
                        <w:rPr>
                          <w:rFonts w:ascii="Arial"/>
                          <w:b/>
                          <w:i/>
                        </w:rPr>
                        <w:t xml:space="preserve"> </w:t>
                      </w:r>
                      <w:r>
                        <w:rPr>
                          <w:rFonts w:ascii="Arial"/>
                          <w:b/>
                          <w:i/>
                          <w:spacing w:val="-1"/>
                        </w:rPr>
                        <w:t>Monitoring</w:t>
                      </w:r>
                      <w:r>
                        <w:rPr>
                          <w:rFonts w:ascii="Arial"/>
                          <w:b/>
                          <w:i/>
                          <w:spacing w:val="-2"/>
                        </w:rPr>
                        <w:t xml:space="preserve"> </w:t>
                      </w:r>
                      <w:r>
                        <w:rPr>
                          <w:rFonts w:ascii="Arial"/>
                          <w:b/>
                          <w:i/>
                        </w:rPr>
                        <w:t>in</w:t>
                      </w:r>
                      <w:r>
                        <w:rPr>
                          <w:rFonts w:ascii="Arial"/>
                          <w:b/>
                          <w:i/>
                          <w:spacing w:val="-2"/>
                        </w:rPr>
                        <w:t xml:space="preserve"> </w:t>
                      </w:r>
                      <w:r>
                        <w:rPr>
                          <w:rFonts w:ascii="Arial"/>
                          <w:b/>
                          <w:i/>
                          <w:spacing w:val="-1"/>
                        </w:rPr>
                        <w:t>the</w:t>
                      </w:r>
                      <w:r>
                        <w:rPr>
                          <w:rFonts w:ascii="Arial"/>
                          <w:b/>
                          <w:i/>
                          <w:spacing w:val="58"/>
                        </w:rPr>
                        <w:t xml:space="preserve"> </w:t>
                      </w:r>
                      <w:r>
                        <w:rPr>
                          <w:rFonts w:ascii="Arial"/>
                          <w:b/>
                          <w:i/>
                          <w:spacing w:val="-1"/>
                        </w:rPr>
                        <w:t>Template</w:t>
                      </w:r>
                      <w:r>
                        <w:rPr>
                          <w:rFonts w:ascii="Arial"/>
                          <w:b/>
                          <w:i/>
                          <w:spacing w:val="16"/>
                        </w:rPr>
                        <w:t xml:space="preserve"> </w:t>
                      </w:r>
                      <w:r>
                        <w:rPr>
                          <w:rFonts w:ascii="Arial"/>
                          <w:b/>
                          <w:i/>
                          <w:spacing w:val="-1"/>
                        </w:rPr>
                        <w:t>Order</w:t>
                      </w:r>
                      <w:r>
                        <w:rPr>
                          <w:rFonts w:ascii="Arial"/>
                          <w:b/>
                          <w:i/>
                          <w:spacing w:val="17"/>
                        </w:rPr>
                        <w:t xml:space="preserve"> </w:t>
                      </w:r>
                      <w:r>
                        <w:rPr>
                          <w:rFonts w:ascii="Arial"/>
                          <w:b/>
                          <w:i/>
                          <w:spacing w:val="-1"/>
                        </w:rPr>
                        <w:t>Form,</w:t>
                      </w:r>
                      <w:r>
                        <w:rPr>
                          <w:rFonts w:ascii="Arial"/>
                          <w:b/>
                          <w:i/>
                          <w:spacing w:val="15"/>
                        </w:rPr>
                        <w:t xml:space="preserve"> </w:t>
                      </w:r>
                      <w:r>
                        <w:rPr>
                          <w:rFonts w:ascii="Arial"/>
                          <w:b/>
                          <w:i/>
                          <w:spacing w:val="-1"/>
                        </w:rPr>
                        <w:t>Clause</w:t>
                      </w:r>
                      <w:r>
                        <w:rPr>
                          <w:rFonts w:ascii="Arial"/>
                          <w:b/>
                          <w:i/>
                          <w:spacing w:val="17"/>
                        </w:rPr>
                        <w:t xml:space="preserve"> </w:t>
                      </w:r>
                      <w:hyperlink w:anchor="_bookmark110" w:history="1">
                        <w:r>
                          <w:rPr>
                            <w:rFonts w:ascii="Arial"/>
                            <w:b/>
                            <w:i/>
                            <w:spacing w:val="-1"/>
                          </w:rPr>
                          <w:t>19</w:t>
                        </w:r>
                      </w:hyperlink>
                      <w:r>
                        <w:rPr>
                          <w:rFonts w:ascii="Arial"/>
                          <w:b/>
                          <w:i/>
                          <w:spacing w:val="16"/>
                        </w:rPr>
                        <w:t xml:space="preserve"> </w:t>
                      </w:r>
                      <w:r>
                        <w:rPr>
                          <w:rFonts w:ascii="Arial"/>
                          <w:b/>
                          <w:i/>
                          <w:spacing w:val="-1"/>
                        </w:rPr>
                        <w:t>of</w:t>
                      </w:r>
                      <w:r>
                        <w:rPr>
                          <w:rFonts w:ascii="Arial"/>
                          <w:b/>
                          <w:i/>
                          <w:spacing w:val="17"/>
                        </w:rPr>
                        <w:t xml:space="preserve"> </w:t>
                      </w:r>
                      <w:r>
                        <w:rPr>
                          <w:rFonts w:ascii="Arial"/>
                          <w:b/>
                          <w:i/>
                          <w:spacing w:val="-1"/>
                        </w:rPr>
                        <w:t>the</w:t>
                      </w:r>
                      <w:r>
                        <w:rPr>
                          <w:rFonts w:ascii="Arial"/>
                          <w:b/>
                          <w:i/>
                          <w:spacing w:val="16"/>
                        </w:rPr>
                        <w:t xml:space="preserve"> </w:t>
                      </w:r>
                      <w:r>
                        <w:rPr>
                          <w:rFonts w:ascii="Arial"/>
                          <w:b/>
                          <w:i/>
                          <w:spacing w:val="-1"/>
                        </w:rPr>
                        <w:t>Template</w:t>
                      </w:r>
                      <w:r>
                        <w:rPr>
                          <w:rFonts w:ascii="Arial"/>
                          <w:b/>
                          <w:i/>
                          <w:spacing w:val="16"/>
                        </w:rPr>
                        <w:t xml:space="preserve"> </w:t>
                      </w:r>
                      <w:r>
                        <w:rPr>
                          <w:rFonts w:ascii="Arial"/>
                          <w:b/>
                          <w:i/>
                          <w:spacing w:val="-1"/>
                        </w:rPr>
                        <w:t>Call</w:t>
                      </w:r>
                      <w:r>
                        <w:rPr>
                          <w:rFonts w:ascii="Arial"/>
                          <w:b/>
                          <w:i/>
                          <w:spacing w:val="15"/>
                        </w:rPr>
                        <w:t xml:space="preserve"> </w:t>
                      </w:r>
                      <w:r>
                        <w:rPr>
                          <w:rFonts w:ascii="Arial"/>
                          <w:b/>
                          <w:i/>
                          <w:spacing w:val="-1"/>
                        </w:rPr>
                        <w:t>Off</w:t>
                      </w:r>
                      <w:r>
                        <w:rPr>
                          <w:rFonts w:ascii="Arial"/>
                          <w:b/>
                          <w:i/>
                          <w:spacing w:val="17"/>
                        </w:rPr>
                        <w:t xml:space="preserve"> </w:t>
                      </w:r>
                      <w:r>
                        <w:rPr>
                          <w:rFonts w:ascii="Arial"/>
                          <w:b/>
                          <w:i/>
                          <w:spacing w:val="-1"/>
                        </w:rPr>
                        <w:t>Terms,</w:t>
                      </w:r>
                      <w:r>
                        <w:rPr>
                          <w:rFonts w:ascii="Arial"/>
                          <w:b/>
                          <w:i/>
                          <w:spacing w:val="17"/>
                        </w:rPr>
                        <w:t xml:space="preserve"> </w:t>
                      </w:r>
                      <w:r>
                        <w:rPr>
                          <w:rFonts w:ascii="Arial"/>
                          <w:b/>
                          <w:i/>
                          <w:spacing w:val="-1"/>
                        </w:rPr>
                        <w:t>and</w:t>
                      </w:r>
                      <w:r>
                        <w:rPr>
                          <w:rFonts w:ascii="Arial"/>
                          <w:b/>
                          <w:i/>
                          <w:spacing w:val="16"/>
                        </w:rPr>
                        <w:t xml:space="preserve"> </w:t>
                      </w:r>
                      <w:r>
                        <w:rPr>
                          <w:rFonts w:ascii="Arial"/>
                          <w:b/>
                          <w:i/>
                          <w:spacing w:val="-1"/>
                        </w:rPr>
                        <w:t>the</w:t>
                      </w:r>
                      <w:r>
                        <w:rPr>
                          <w:rFonts w:ascii="Arial"/>
                          <w:b/>
                          <w:i/>
                          <w:spacing w:val="40"/>
                        </w:rPr>
                        <w:t xml:space="preserve"> </w:t>
                      </w:r>
                      <w:r>
                        <w:rPr>
                          <w:rFonts w:ascii="Arial"/>
                          <w:b/>
                          <w:i/>
                          <w:spacing w:val="-1"/>
                        </w:rPr>
                        <w:t>provisions</w:t>
                      </w:r>
                      <w:r>
                        <w:rPr>
                          <w:rFonts w:ascii="Arial"/>
                          <w:b/>
                          <w:i/>
                          <w:spacing w:val="30"/>
                        </w:rPr>
                        <w:t xml:space="preserve"> </w:t>
                      </w:r>
                      <w:r>
                        <w:rPr>
                          <w:rFonts w:ascii="Arial"/>
                          <w:b/>
                          <w:i/>
                          <w:spacing w:val="-2"/>
                        </w:rPr>
                        <w:t>of</w:t>
                      </w:r>
                      <w:r>
                        <w:rPr>
                          <w:rFonts w:ascii="Arial"/>
                          <w:b/>
                          <w:i/>
                          <w:spacing w:val="32"/>
                        </w:rPr>
                        <w:t xml:space="preserve"> </w:t>
                      </w:r>
                      <w:r>
                        <w:rPr>
                          <w:rFonts w:ascii="Arial"/>
                          <w:b/>
                          <w:i/>
                          <w:spacing w:val="-1"/>
                        </w:rPr>
                        <w:t>this</w:t>
                      </w:r>
                      <w:r>
                        <w:rPr>
                          <w:rFonts w:ascii="Arial"/>
                          <w:b/>
                          <w:i/>
                          <w:spacing w:val="30"/>
                        </w:rPr>
                        <w:t xml:space="preserve"> </w:t>
                      </w:r>
                      <w:r>
                        <w:rPr>
                          <w:rFonts w:ascii="Arial"/>
                          <w:b/>
                          <w:i/>
                          <w:spacing w:val="-1"/>
                        </w:rPr>
                        <w:t>Call</w:t>
                      </w:r>
                      <w:r>
                        <w:rPr>
                          <w:rFonts w:ascii="Arial"/>
                          <w:b/>
                          <w:i/>
                          <w:spacing w:val="30"/>
                        </w:rPr>
                        <w:t xml:space="preserve"> </w:t>
                      </w:r>
                      <w:r>
                        <w:rPr>
                          <w:rFonts w:ascii="Arial"/>
                          <w:b/>
                          <w:i/>
                          <w:spacing w:val="-1"/>
                        </w:rPr>
                        <w:t>Off</w:t>
                      </w:r>
                      <w:r>
                        <w:rPr>
                          <w:rFonts w:ascii="Arial"/>
                          <w:b/>
                          <w:i/>
                          <w:spacing w:val="32"/>
                        </w:rPr>
                        <w:t xml:space="preserve"> </w:t>
                      </w:r>
                      <w:r>
                        <w:rPr>
                          <w:rFonts w:ascii="Arial"/>
                          <w:b/>
                          <w:i/>
                          <w:spacing w:val="-1"/>
                        </w:rPr>
                        <w:t>Schedule</w:t>
                      </w:r>
                      <w:r>
                        <w:rPr>
                          <w:rFonts w:ascii="Arial"/>
                          <w:b/>
                          <w:i/>
                          <w:spacing w:val="30"/>
                        </w:rPr>
                        <w:t xml:space="preserve"> </w:t>
                      </w:r>
                      <w:r>
                        <w:rPr>
                          <w:rFonts w:ascii="Arial"/>
                          <w:b/>
                          <w:i/>
                          <w:spacing w:val="-1"/>
                        </w:rPr>
                        <w:t>(Service</w:t>
                      </w:r>
                      <w:r>
                        <w:rPr>
                          <w:rFonts w:ascii="Arial"/>
                          <w:b/>
                          <w:i/>
                          <w:spacing w:val="30"/>
                        </w:rPr>
                        <w:t xml:space="preserve"> </w:t>
                      </w:r>
                      <w:r>
                        <w:rPr>
                          <w:rFonts w:ascii="Arial"/>
                          <w:b/>
                          <w:i/>
                          <w:spacing w:val="-1"/>
                        </w:rPr>
                        <w:t>Levels,</w:t>
                      </w:r>
                      <w:r>
                        <w:rPr>
                          <w:rFonts w:ascii="Arial"/>
                          <w:b/>
                          <w:i/>
                          <w:spacing w:val="33"/>
                        </w:rPr>
                        <w:t xml:space="preserve"> </w:t>
                      </w:r>
                      <w:r>
                        <w:rPr>
                          <w:rFonts w:ascii="Arial"/>
                          <w:b/>
                          <w:i/>
                          <w:spacing w:val="-1"/>
                        </w:rPr>
                        <w:t>Service</w:t>
                      </w:r>
                      <w:r>
                        <w:rPr>
                          <w:rFonts w:ascii="Arial"/>
                          <w:b/>
                          <w:i/>
                          <w:spacing w:val="30"/>
                        </w:rPr>
                        <w:t xml:space="preserve"> </w:t>
                      </w:r>
                      <w:r>
                        <w:rPr>
                          <w:rFonts w:ascii="Arial"/>
                          <w:b/>
                          <w:i/>
                          <w:spacing w:val="-1"/>
                        </w:rPr>
                        <w:t>Credits</w:t>
                      </w:r>
                      <w:r>
                        <w:rPr>
                          <w:rFonts w:ascii="Arial"/>
                          <w:b/>
                          <w:i/>
                          <w:spacing w:val="30"/>
                        </w:rPr>
                        <w:t xml:space="preserve"> </w:t>
                      </w:r>
                      <w:r>
                        <w:rPr>
                          <w:rFonts w:ascii="Arial"/>
                          <w:b/>
                          <w:i/>
                          <w:spacing w:val="-1"/>
                        </w:rPr>
                        <w:t>and</w:t>
                      </w:r>
                      <w:r>
                        <w:rPr>
                          <w:rFonts w:ascii="Arial"/>
                          <w:b/>
                          <w:i/>
                          <w:spacing w:val="46"/>
                        </w:rPr>
                        <w:t xml:space="preserve"> </w:t>
                      </w:r>
                      <w:r>
                        <w:rPr>
                          <w:rFonts w:ascii="Arial"/>
                          <w:b/>
                          <w:i/>
                          <w:spacing w:val="-1"/>
                        </w:rPr>
                        <w:t>Performance</w:t>
                      </w:r>
                      <w:r>
                        <w:rPr>
                          <w:rFonts w:ascii="Arial"/>
                          <w:b/>
                          <w:i/>
                          <w:spacing w:val="59"/>
                        </w:rPr>
                        <w:t xml:space="preserve"> </w:t>
                      </w:r>
                      <w:r>
                        <w:rPr>
                          <w:rFonts w:ascii="Arial"/>
                          <w:b/>
                          <w:i/>
                          <w:spacing w:val="-2"/>
                        </w:rPr>
                        <w:t>Monitoring).</w:t>
                      </w:r>
                      <w:r>
                        <w:rPr>
                          <w:rFonts w:ascii="Arial"/>
                          <w:b/>
                          <w:i/>
                        </w:rPr>
                        <w:t xml:space="preserve">  </w:t>
                      </w:r>
                      <w:r>
                        <w:rPr>
                          <w:rFonts w:ascii="Arial"/>
                          <w:b/>
                          <w:i/>
                          <w:spacing w:val="-1"/>
                        </w:rPr>
                        <w:t>The</w:t>
                      </w:r>
                      <w:r>
                        <w:rPr>
                          <w:rFonts w:ascii="Arial"/>
                          <w:b/>
                          <w:i/>
                          <w:spacing w:val="59"/>
                        </w:rPr>
                        <w:t xml:space="preserve"> </w:t>
                      </w:r>
                      <w:r>
                        <w:rPr>
                          <w:rFonts w:ascii="Arial"/>
                          <w:b/>
                          <w:i/>
                          <w:spacing w:val="-1"/>
                        </w:rPr>
                        <w:t>Customer</w:t>
                      </w:r>
                      <w:r>
                        <w:rPr>
                          <w:rFonts w:ascii="Arial"/>
                          <w:b/>
                          <w:i/>
                          <w:spacing w:val="60"/>
                        </w:rPr>
                        <w:t xml:space="preserve"> </w:t>
                      </w:r>
                      <w:r>
                        <w:rPr>
                          <w:rFonts w:ascii="Arial"/>
                          <w:b/>
                          <w:i/>
                        </w:rPr>
                        <w:t>to</w:t>
                      </w:r>
                      <w:r>
                        <w:rPr>
                          <w:rFonts w:ascii="Arial"/>
                          <w:b/>
                          <w:i/>
                          <w:spacing w:val="59"/>
                        </w:rPr>
                        <w:t xml:space="preserve"> </w:t>
                      </w:r>
                      <w:r>
                        <w:rPr>
                          <w:rFonts w:ascii="Arial"/>
                          <w:b/>
                          <w:i/>
                          <w:spacing w:val="-1"/>
                        </w:rPr>
                        <w:t>insert</w:t>
                      </w:r>
                      <w:r>
                        <w:rPr>
                          <w:rFonts w:ascii="Arial"/>
                          <w:b/>
                          <w:i/>
                          <w:spacing w:val="60"/>
                        </w:rPr>
                        <w:t xml:space="preserve"> </w:t>
                      </w:r>
                      <w:r>
                        <w:rPr>
                          <w:rFonts w:ascii="Arial"/>
                          <w:b/>
                          <w:i/>
                          <w:spacing w:val="-1"/>
                        </w:rPr>
                        <w:t>any</w:t>
                      </w:r>
                      <w:r>
                        <w:rPr>
                          <w:rFonts w:ascii="Arial"/>
                          <w:b/>
                          <w:i/>
                          <w:spacing w:val="59"/>
                        </w:rPr>
                        <w:t xml:space="preserve"> </w:t>
                      </w:r>
                      <w:r>
                        <w:rPr>
                          <w:rFonts w:ascii="Arial"/>
                          <w:b/>
                          <w:i/>
                          <w:spacing w:val="-1"/>
                        </w:rPr>
                        <w:t>further</w:t>
                      </w:r>
                      <w:r>
                        <w:rPr>
                          <w:rFonts w:ascii="Arial"/>
                          <w:b/>
                          <w:i/>
                          <w:spacing w:val="58"/>
                        </w:rPr>
                        <w:t xml:space="preserve"> </w:t>
                      </w:r>
                      <w:r>
                        <w:rPr>
                          <w:rFonts w:ascii="Arial"/>
                          <w:b/>
                          <w:i/>
                          <w:spacing w:val="-1"/>
                        </w:rPr>
                        <w:t>details</w:t>
                      </w:r>
                      <w:r>
                        <w:rPr>
                          <w:rFonts w:ascii="Arial"/>
                          <w:b/>
                          <w:i/>
                          <w:spacing w:val="59"/>
                        </w:rPr>
                        <w:t xml:space="preserve"> </w:t>
                      </w:r>
                      <w:r>
                        <w:rPr>
                          <w:rFonts w:ascii="Arial"/>
                          <w:b/>
                          <w:i/>
                          <w:spacing w:val="-1"/>
                        </w:rPr>
                        <w:t>of</w:t>
                      </w:r>
                      <w:r>
                        <w:rPr>
                          <w:rFonts w:ascii="Arial"/>
                          <w:b/>
                          <w:i/>
                          <w:spacing w:val="60"/>
                        </w:rPr>
                        <w:t xml:space="preserve"> </w:t>
                      </w:r>
                      <w:r>
                        <w:rPr>
                          <w:rFonts w:ascii="Arial"/>
                          <w:b/>
                          <w:i/>
                          <w:spacing w:val="-1"/>
                        </w:rPr>
                        <w:t>Performance</w:t>
                      </w:r>
                      <w:r>
                        <w:rPr>
                          <w:rFonts w:ascii="Arial"/>
                          <w:b/>
                          <w:i/>
                          <w:spacing w:val="-2"/>
                        </w:rPr>
                        <w:t xml:space="preserve"> </w:t>
                      </w:r>
                      <w:r>
                        <w:rPr>
                          <w:rFonts w:ascii="Arial"/>
                          <w:b/>
                          <w:i/>
                          <w:spacing w:val="-1"/>
                        </w:rPr>
                        <w:t>Monitoring</w:t>
                      </w:r>
                      <w:r>
                        <w:rPr>
                          <w:rFonts w:ascii="Arial"/>
                          <w:b/>
                          <w:i/>
                        </w:rPr>
                        <w:t xml:space="preserve"> </w:t>
                      </w:r>
                      <w:r>
                        <w:rPr>
                          <w:rFonts w:ascii="Arial"/>
                          <w:b/>
                          <w:i/>
                          <w:spacing w:val="-1"/>
                        </w:rPr>
                        <w:t>as</w:t>
                      </w:r>
                      <w:r>
                        <w:rPr>
                          <w:rFonts w:ascii="Arial"/>
                          <w:b/>
                          <w:i/>
                        </w:rPr>
                        <w:t xml:space="preserve"> </w:t>
                      </w:r>
                      <w:r>
                        <w:rPr>
                          <w:rFonts w:ascii="Arial"/>
                          <w:b/>
                          <w:i/>
                          <w:spacing w:val="-1"/>
                        </w:rPr>
                        <w:t>stipulated</w:t>
                      </w:r>
                      <w:r>
                        <w:rPr>
                          <w:rFonts w:ascii="Arial"/>
                          <w:b/>
                          <w:i/>
                          <w:spacing w:val="-2"/>
                        </w:rPr>
                        <w:t xml:space="preserve"> </w:t>
                      </w:r>
                      <w:r>
                        <w:rPr>
                          <w:rFonts w:ascii="Arial"/>
                          <w:b/>
                          <w:i/>
                          <w:spacing w:val="-1"/>
                        </w:rPr>
                        <w:t>during</w:t>
                      </w:r>
                      <w:r>
                        <w:rPr>
                          <w:rFonts w:ascii="Arial"/>
                          <w:b/>
                          <w:i/>
                          <w:spacing w:val="-2"/>
                        </w:rPr>
                        <w:t xml:space="preserve"> </w:t>
                      </w:r>
                      <w:r>
                        <w:rPr>
                          <w:rFonts w:ascii="Arial"/>
                          <w:b/>
                          <w:i/>
                        </w:rPr>
                        <w:t xml:space="preserve">a </w:t>
                      </w:r>
                      <w:r>
                        <w:rPr>
                          <w:rFonts w:ascii="Arial"/>
                          <w:b/>
                          <w:i/>
                          <w:spacing w:val="-1"/>
                        </w:rPr>
                        <w:t>Further</w:t>
                      </w:r>
                      <w:r>
                        <w:rPr>
                          <w:rFonts w:ascii="Arial"/>
                          <w:b/>
                          <w:i/>
                          <w:spacing w:val="1"/>
                        </w:rPr>
                        <w:t xml:space="preserve"> </w:t>
                      </w:r>
                      <w:r>
                        <w:rPr>
                          <w:rFonts w:ascii="Arial"/>
                          <w:b/>
                          <w:i/>
                          <w:spacing w:val="-1"/>
                        </w:rPr>
                        <w:t>Competition</w:t>
                      </w:r>
                      <w:r>
                        <w:rPr>
                          <w:rFonts w:ascii="Arial"/>
                          <w:b/>
                          <w:i/>
                          <w:spacing w:val="-2"/>
                        </w:rPr>
                        <w:t xml:space="preserve"> </w:t>
                      </w:r>
                      <w:r>
                        <w:rPr>
                          <w:rFonts w:ascii="Arial"/>
                          <w:b/>
                          <w:i/>
                          <w:spacing w:val="-1"/>
                        </w:rPr>
                        <w:t>Procedure.]</w:t>
                      </w:r>
                    </w:p>
                  </w:txbxContent>
                </v:textbox>
                <w10:anchorlock/>
              </v:shape>
            </w:pict>
          </mc:Fallback>
        </mc:AlternateConten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8"/>
          <w:szCs w:val="28"/>
        </w:rPr>
      </w:pPr>
    </w:p>
    <w:p w:rsidR="008918FA" w:rsidRDefault="008918FA" w:rsidP="008918FA">
      <w:pPr>
        <w:spacing w:line="200" w:lineRule="atLeast"/>
        <w:ind w:left="41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60" w:left="1460" w:header="0" w:footer="967" w:gutter="0"/>
          <w:cols w:space="720"/>
        </w:sectPr>
      </w:pPr>
    </w:p>
    <w:p w:rsidR="008918FA" w:rsidRDefault="008918FA" w:rsidP="008918FA">
      <w:pPr>
        <w:pStyle w:val="BodyText"/>
        <w:spacing w:before="58"/>
        <w:ind w:left="2395" w:firstLine="0"/>
        <w:rPr>
          <w:rFonts w:ascii="Times New Roman" w:eastAsia="Times New Roman" w:hAnsi="Times New Roman" w:cs="Times New Roman"/>
        </w:rPr>
      </w:pPr>
      <w:bookmarkStart w:id="395" w:name="CALL_OFF_SCHEDULE_7:_STANDARDS"/>
      <w:bookmarkStart w:id="396" w:name="_bookmark320"/>
      <w:bookmarkEnd w:id="395"/>
      <w:bookmarkEnd w:id="396"/>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5"/>
        </w:rPr>
        <w:t>7:</w:t>
      </w:r>
      <w:r>
        <w:rPr>
          <w:rFonts w:ascii="Times New Roman"/>
          <w:spacing w:val="20"/>
        </w:rPr>
        <w:t xml:space="preserve"> </w:t>
      </w:r>
      <w:r>
        <w:rPr>
          <w:rFonts w:ascii="Times New Roman"/>
          <w:spacing w:val="23"/>
        </w:rPr>
        <w:t>S</w:t>
      </w:r>
      <w:r>
        <w:rPr>
          <w:rFonts w:ascii="Times New Roman"/>
          <w:spacing w:val="-1"/>
        </w:rPr>
        <w:t>T</w:t>
      </w:r>
      <w:r>
        <w:rPr>
          <w:rFonts w:ascii="Times New Roman"/>
          <w:spacing w:val="-6"/>
        </w:rPr>
        <w:t>A</w:t>
      </w:r>
      <w:r>
        <w:rPr>
          <w:rFonts w:ascii="Times New Roman"/>
          <w:spacing w:val="1"/>
        </w:rPr>
        <w:t>N</w:t>
      </w:r>
      <w:r>
        <w:rPr>
          <w:rFonts w:ascii="Times New Roman"/>
          <w:spacing w:val="3"/>
        </w:rPr>
        <w:t>D</w:t>
      </w:r>
      <w:r>
        <w:rPr>
          <w:rFonts w:ascii="Times New Roman"/>
          <w:spacing w:val="-6"/>
        </w:rPr>
        <w:t>A</w:t>
      </w:r>
      <w:r>
        <w:rPr>
          <w:rFonts w:ascii="Times New Roman"/>
          <w:spacing w:val="11"/>
        </w:rPr>
        <w:t>R</w:t>
      </w:r>
      <w:r>
        <w:rPr>
          <w:rFonts w:ascii="Times New Roman"/>
          <w:spacing w:val="-2"/>
        </w:rPr>
        <w:t>D</w:t>
      </w:r>
      <w:r>
        <w:rPr>
          <w:rFonts w:ascii="Times New Roman"/>
        </w:rPr>
        <w:t>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spacing w:line="200" w:lineRule="atLeast"/>
        <w:ind w:left="4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7C89F4B7" wp14:editId="537DFCC0">
                <wp:extent cx="5389880" cy="643255"/>
                <wp:effectExtent l="0" t="0" r="1270" b="4445"/>
                <wp:docPr id="2508" name="Group 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643255"/>
                          <a:chOff x="0" y="0"/>
                          <a:chExt cx="8488" cy="1013"/>
                        </a:xfrm>
                      </wpg:grpSpPr>
                      <wpg:grpSp>
                        <wpg:cNvPr id="2509" name="Group 2508"/>
                        <wpg:cNvGrpSpPr>
                          <a:grpSpLocks/>
                        </wpg:cNvGrpSpPr>
                        <wpg:grpSpPr bwMode="auto">
                          <a:xfrm>
                            <a:off x="0" y="0"/>
                            <a:ext cx="8484" cy="255"/>
                            <a:chOff x="0" y="0"/>
                            <a:chExt cx="8484" cy="255"/>
                          </a:xfrm>
                        </wpg:grpSpPr>
                        <wps:wsp>
                          <wps:cNvPr id="2510" name="Freeform 2509"/>
                          <wps:cNvSpPr>
                            <a:spLocks/>
                          </wps:cNvSpPr>
                          <wps:spPr bwMode="auto">
                            <a:xfrm>
                              <a:off x="0" y="0"/>
                              <a:ext cx="8484" cy="255"/>
                            </a:xfrm>
                            <a:custGeom>
                              <a:avLst/>
                              <a:gdLst>
                                <a:gd name="T0" fmla="*/ 0 w 8484"/>
                                <a:gd name="T1" fmla="*/ 254 h 255"/>
                                <a:gd name="T2" fmla="*/ 8484 w 8484"/>
                                <a:gd name="T3" fmla="*/ 254 h 255"/>
                                <a:gd name="T4" fmla="*/ 8484 w 8484"/>
                                <a:gd name="T5" fmla="*/ 0 h 255"/>
                                <a:gd name="T6" fmla="*/ 0 w 8484"/>
                                <a:gd name="T7" fmla="*/ 0 h 255"/>
                                <a:gd name="T8" fmla="*/ 0 w 8484"/>
                                <a:gd name="T9" fmla="*/ 254 h 255"/>
                              </a:gdLst>
                              <a:ahLst/>
                              <a:cxnLst>
                                <a:cxn ang="0">
                                  <a:pos x="T0" y="T1"/>
                                </a:cxn>
                                <a:cxn ang="0">
                                  <a:pos x="T2" y="T3"/>
                                </a:cxn>
                                <a:cxn ang="0">
                                  <a:pos x="T4" y="T5"/>
                                </a:cxn>
                                <a:cxn ang="0">
                                  <a:pos x="T6" y="T7"/>
                                </a:cxn>
                                <a:cxn ang="0">
                                  <a:pos x="T8" y="T9"/>
                                </a:cxn>
                              </a:cxnLst>
                              <a:rect l="0" t="0" r="r" b="b"/>
                              <a:pathLst>
                                <a:path w="8484" h="255">
                                  <a:moveTo>
                                    <a:pt x="0" y="254"/>
                                  </a:moveTo>
                                  <a:lnTo>
                                    <a:pt x="8484" y="254"/>
                                  </a:lnTo>
                                  <a:lnTo>
                                    <a:pt x="8484"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1" name="Group 2506"/>
                        <wpg:cNvGrpSpPr>
                          <a:grpSpLocks/>
                        </wpg:cNvGrpSpPr>
                        <wpg:grpSpPr bwMode="auto">
                          <a:xfrm>
                            <a:off x="0" y="254"/>
                            <a:ext cx="8484" cy="252"/>
                            <a:chOff x="0" y="254"/>
                            <a:chExt cx="8484" cy="252"/>
                          </a:xfrm>
                        </wpg:grpSpPr>
                        <wps:wsp>
                          <wps:cNvPr id="2512" name="Freeform 2507"/>
                          <wps:cNvSpPr>
                            <a:spLocks/>
                          </wps:cNvSpPr>
                          <wps:spPr bwMode="auto">
                            <a:xfrm>
                              <a:off x="0" y="254"/>
                              <a:ext cx="8484" cy="252"/>
                            </a:xfrm>
                            <a:custGeom>
                              <a:avLst/>
                              <a:gdLst>
                                <a:gd name="T0" fmla="*/ 0 w 8484"/>
                                <a:gd name="T1" fmla="+- 0 506 254"/>
                                <a:gd name="T2" fmla="*/ 506 h 252"/>
                                <a:gd name="T3" fmla="*/ 8484 w 8484"/>
                                <a:gd name="T4" fmla="+- 0 506 254"/>
                                <a:gd name="T5" fmla="*/ 506 h 252"/>
                                <a:gd name="T6" fmla="*/ 8484 w 8484"/>
                                <a:gd name="T7" fmla="+- 0 254 254"/>
                                <a:gd name="T8" fmla="*/ 254 h 252"/>
                                <a:gd name="T9" fmla="*/ 0 w 8484"/>
                                <a:gd name="T10" fmla="+- 0 254 254"/>
                                <a:gd name="T11" fmla="*/ 254 h 252"/>
                                <a:gd name="T12" fmla="*/ 0 w 8484"/>
                                <a:gd name="T13" fmla="+- 0 506 254"/>
                                <a:gd name="T14" fmla="*/ 506 h 252"/>
                              </a:gdLst>
                              <a:ahLst/>
                              <a:cxnLst>
                                <a:cxn ang="0">
                                  <a:pos x="T0" y="T2"/>
                                </a:cxn>
                                <a:cxn ang="0">
                                  <a:pos x="T3" y="T5"/>
                                </a:cxn>
                                <a:cxn ang="0">
                                  <a:pos x="T6" y="T8"/>
                                </a:cxn>
                                <a:cxn ang="0">
                                  <a:pos x="T9" y="T11"/>
                                </a:cxn>
                                <a:cxn ang="0">
                                  <a:pos x="T12" y="T14"/>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2504"/>
                        <wpg:cNvGrpSpPr>
                          <a:grpSpLocks/>
                        </wpg:cNvGrpSpPr>
                        <wpg:grpSpPr bwMode="auto">
                          <a:xfrm>
                            <a:off x="0" y="506"/>
                            <a:ext cx="8484" cy="255"/>
                            <a:chOff x="0" y="506"/>
                            <a:chExt cx="8484" cy="255"/>
                          </a:xfrm>
                        </wpg:grpSpPr>
                        <wps:wsp>
                          <wps:cNvPr id="2514" name="Freeform 2505"/>
                          <wps:cNvSpPr>
                            <a:spLocks/>
                          </wps:cNvSpPr>
                          <wps:spPr bwMode="auto">
                            <a:xfrm>
                              <a:off x="0" y="506"/>
                              <a:ext cx="8484" cy="255"/>
                            </a:xfrm>
                            <a:custGeom>
                              <a:avLst/>
                              <a:gdLst>
                                <a:gd name="T0" fmla="*/ 0 w 8484"/>
                                <a:gd name="T1" fmla="+- 0 761 506"/>
                                <a:gd name="T2" fmla="*/ 761 h 255"/>
                                <a:gd name="T3" fmla="*/ 8484 w 8484"/>
                                <a:gd name="T4" fmla="+- 0 761 506"/>
                                <a:gd name="T5" fmla="*/ 761 h 255"/>
                                <a:gd name="T6" fmla="*/ 8484 w 8484"/>
                                <a:gd name="T7" fmla="+- 0 506 506"/>
                                <a:gd name="T8" fmla="*/ 506 h 255"/>
                                <a:gd name="T9" fmla="*/ 0 w 8484"/>
                                <a:gd name="T10" fmla="+- 0 506 506"/>
                                <a:gd name="T11" fmla="*/ 506 h 255"/>
                                <a:gd name="T12" fmla="*/ 0 w 8484"/>
                                <a:gd name="T13" fmla="+- 0 761 506"/>
                                <a:gd name="T14" fmla="*/ 761 h 255"/>
                              </a:gdLst>
                              <a:ahLst/>
                              <a:cxnLst>
                                <a:cxn ang="0">
                                  <a:pos x="T0" y="T2"/>
                                </a:cxn>
                                <a:cxn ang="0">
                                  <a:pos x="T3" y="T5"/>
                                </a:cxn>
                                <a:cxn ang="0">
                                  <a:pos x="T6" y="T8"/>
                                </a:cxn>
                                <a:cxn ang="0">
                                  <a:pos x="T9" y="T11"/>
                                </a:cxn>
                                <a:cxn ang="0">
                                  <a:pos x="T12" y="T14"/>
                                </a:cxn>
                              </a:cxnLst>
                              <a:rect l="0" t="0" r="r" b="b"/>
                              <a:pathLst>
                                <a:path w="8484" h="255">
                                  <a:moveTo>
                                    <a:pt x="0" y="255"/>
                                  </a:moveTo>
                                  <a:lnTo>
                                    <a:pt x="8484" y="255"/>
                                  </a:lnTo>
                                  <a:lnTo>
                                    <a:pt x="8484" y="0"/>
                                  </a:lnTo>
                                  <a:lnTo>
                                    <a:pt x="0" y="0"/>
                                  </a:lnTo>
                                  <a:lnTo>
                                    <a:pt x="0" y="25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5" name="Group 2501"/>
                        <wpg:cNvGrpSpPr>
                          <a:grpSpLocks/>
                        </wpg:cNvGrpSpPr>
                        <wpg:grpSpPr bwMode="auto">
                          <a:xfrm>
                            <a:off x="0" y="761"/>
                            <a:ext cx="1712" cy="252"/>
                            <a:chOff x="0" y="761"/>
                            <a:chExt cx="1712" cy="252"/>
                          </a:xfrm>
                        </wpg:grpSpPr>
                        <wps:wsp>
                          <wps:cNvPr id="2516" name="Freeform 2503"/>
                          <wps:cNvSpPr>
                            <a:spLocks/>
                          </wps:cNvSpPr>
                          <wps:spPr bwMode="auto">
                            <a:xfrm>
                              <a:off x="0" y="761"/>
                              <a:ext cx="1712" cy="252"/>
                            </a:xfrm>
                            <a:custGeom>
                              <a:avLst/>
                              <a:gdLst>
                                <a:gd name="T0" fmla="*/ 0 w 1712"/>
                                <a:gd name="T1" fmla="+- 0 1013 761"/>
                                <a:gd name="T2" fmla="*/ 1013 h 252"/>
                                <a:gd name="T3" fmla="*/ 1711 w 1712"/>
                                <a:gd name="T4" fmla="+- 0 1013 761"/>
                                <a:gd name="T5" fmla="*/ 1013 h 252"/>
                                <a:gd name="T6" fmla="*/ 1711 w 1712"/>
                                <a:gd name="T7" fmla="+- 0 761 761"/>
                                <a:gd name="T8" fmla="*/ 761 h 252"/>
                                <a:gd name="T9" fmla="*/ 0 w 1712"/>
                                <a:gd name="T10" fmla="+- 0 761 761"/>
                                <a:gd name="T11" fmla="*/ 761 h 252"/>
                                <a:gd name="T12" fmla="*/ 0 w 1712"/>
                                <a:gd name="T13" fmla="+- 0 1013 761"/>
                                <a:gd name="T14" fmla="*/ 1013 h 252"/>
                              </a:gdLst>
                              <a:ahLst/>
                              <a:cxnLst>
                                <a:cxn ang="0">
                                  <a:pos x="T0" y="T2"/>
                                </a:cxn>
                                <a:cxn ang="0">
                                  <a:pos x="T3" y="T5"/>
                                </a:cxn>
                                <a:cxn ang="0">
                                  <a:pos x="T6" y="T8"/>
                                </a:cxn>
                                <a:cxn ang="0">
                                  <a:pos x="T9" y="T11"/>
                                </a:cxn>
                                <a:cxn ang="0">
                                  <a:pos x="T12" y="T14"/>
                                </a:cxn>
                              </a:cxnLst>
                              <a:rect l="0" t="0" r="r" b="b"/>
                              <a:pathLst>
                                <a:path w="1712" h="252">
                                  <a:moveTo>
                                    <a:pt x="0" y="252"/>
                                  </a:moveTo>
                                  <a:lnTo>
                                    <a:pt x="1711" y="252"/>
                                  </a:lnTo>
                                  <a:lnTo>
                                    <a:pt x="1711"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502"/>
                          <wps:cNvSpPr txBox="1">
                            <a:spLocks noChangeArrowheads="1"/>
                          </wps:cNvSpPr>
                          <wps:spPr bwMode="auto">
                            <a:xfrm>
                              <a:off x="0" y="0"/>
                              <a:ext cx="848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jc w:val="both"/>
                                  <w:rPr>
                                    <w:rFonts w:ascii="Arial" w:eastAsia="Arial" w:hAnsi="Arial" w:cs="Arial"/>
                                  </w:rPr>
                                </w:pPr>
                                <w:r>
                                  <w:rPr>
                                    <w:rFonts w:ascii="Arial"/>
                                    <w:b/>
                                    <w:i/>
                                    <w:spacing w:val="-1"/>
                                  </w:rPr>
                                  <w:t>[Guidance</w:t>
                                </w:r>
                                <w:r>
                                  <w:rPr>
                                    <w:rFonts w:ascii="Arial"/>
                                    <w:b/>
                                    <w:i/>
                                    <w:spacing w:val="7"/>
                                  </w:rPr>
                                  <w:t xml:space="preserve"> </w:t>
                                </w:r>
                                <w:r>
                                  <w:rPr>
                                    <w:rFonts w:ascii="Arial"/>
                                    <w:b/>
                                    <w:i/>
                                    <w:spacing w:val="-2"/>
                                  </w:rPr>
                                  <w:t>Note:</w:t>
                                </w:r>
                                <w:r>
                                  <w:rPr>
                                    <w:rFonts w:ascii="Arial"/>
                                    <w:b/>
                                    <w:i/>
                                    <w:spacing w:val="9"/>
                                  </w:rPr>
                                  <w:t xml:space="preserve"> </w:t>
                                </w:r>
                                <w:r>
                                  <w:rPr>
                                    <w:rFonts w:ascii="Arial"/>
                                    <w:b/>
                                    <w:i/>
                                    <w:spacing w:val="-1"/>
                                  </w:rPr>
                                  <w:t>See</w:t>
                                </w:r>
                                <w:r>
                                  <w:rPr>
                                    <w:rFonts w:ascii="Arial"/>
                                    <w:b/>
                                    <w:i/>
                                    <w:spacing w:val="5"/>
                                  </w:rPr>
                                  <w:t xml:space="preserve"> </w:t>
                                </w:r>
                                <w:r>
                                  <w:rPr>
                                    <w:rFonts w:ascii="Arial"/>
                                    <w:b/>
                                    <w:i/>
                                    <w:spacing w:val="-2"/>
                                  </w:rPr>
                                  <w:t>Clause</w:t>
                                </w:r>
                                <w:r>
                                  <w:rPr>
                                    <w:rFonts w:ascii="Arial"/>
                                    <w:b/>
                                    <w:i/>
                                    <w:spacing w:val="8"/>
                                  </w:rPr>
                                  <w:t xml:space="preserve"> </w:t>
                                </w:r>
                                <w:hyperlink w:anchor="_bookmark91" w:history="1">
                                  <w:r>
                                    <w:rPr>
                                      <w:rFonts w:ascii="Arial"/>
                                      <w:b/>
                                      <w:i/>
                                      <w:spacing w:val="-1"/>
                                    </w:rPr>
                                    <w:t>11</w:t>
                                  </w:r>
                                </w:hyperlink>
                                <w:r>
                                  <w:rPr>
                                    <w:rFonts w:ascii="Arial"/>
                                    <w:b/>
                                    <w:i/>
                                    <w:spacing w:val="8"/>
                                  </w:rPr>
                                  <w:t xml:space="preserve"> </w:t>
                                </w:r>
                                <w:r>
                                  <w:rPr>
                                    <w:rFonts w:ascii="Arial"/>
                                    <w:b/>
                                    <w:i/>
                                    <w:spacing w:val="-1"/>
                                  </w:rPr>
                                  <w:t>of</w:t>
                                </w:r>
                                <w:r>
                                  <w:rPr>
                                    <w:rFonts w:ascii="Arial"/>
                                    <w:b/>
                                    <w:i/>
                                    <w:spacing w:val="6"/>
                                  </w:rPr>
                                  <w:t xml:space="preserve"> </w:t>
                                </w:r>
                                <w:r>
                                  <w:rPr>
                                    <w:rFonts w:ascii="Arial"/>
                                    <w:b/>
                                    <w:i/>
                                    <w:spacing w:val="-1"/>
                                  </w:rPr>
                                  <w:t>the</w:t>
                                </w:r>
                                <w:r>
                                  <w:rPr>
                                    <w:rFonts w:ascii="Arial"/>
                                    <w:b/>
                                    <w:i/>
                                    <w:spacing w:val="5"/>
                                  </w:rPr>
                                  <w:t xml:space="preserve"> </w:t>
                                </w:r>
                                <w:r>
                                  <w:rPr>
                                    <w:rFonts w:ascii="Arial"/>
                                    <w:b/>
                                    <w:i/>
                                    <w:spacing w:val="-1"/>
                                  </w:rPr>
                                  <w:t>Template</w:t>
                                </w:r>
                                <w:r>
                                  <w:rPr>
                                    <w:rFonts w:ascii="Arial"/>
                                    <w:b/>
                                    <w:i/>
                                    <w:spacing w:val="7"/>
                                  </w:rPr>
                                  <w:t xml:space="preserve"> </w:t>
                                </w:r>
                                <w:r>
                                  <w:rPr>
                                    <w:rFonts w:ascii="Arial"/>
                                    <w:b/>
                                    <w:i/>
                                    <w:spacing w:val="-1"/>
                                  </w:rPr>
                                  <w:t>Call</w:t>
                                </w:r>
                                <w:r>
                                  <w:rPr>
                                    <w:rFonts w:ascii="Arial"/>
                                    <w:b/>
                                    <w:i/>
                                    <w:spacing w:val="7"/>
                                  </w:rPr>
                                  <w:t xml:space="preserve"> </w:t>
                                </w:r>
                                <w:r>
                                  <w:rPr>
                                    <w:rFonts w:ascii="Arial"/>
                                    <w:b/>
                                    <w:i/>
                                    <w:spacing w:val="-1"/>
                                  </w:rPr>
                                  <w:t>Off</w:t>
                                </w:r>
                                <w:r>
                                  <w:rPr>
                                    <w:rFonts w:ascii="Arial"/>
                                    <w:b/>
                                    <w:i/>
                                    <w:spacing w:val="6"/>
                                  </w:rPr>
                                  <w:t xml:space="preserve"> </w:t>
                                </w:r>
                                <w:r>
                                  <w:rPr>
                                    <w:rFonts w:ascii="Arial"/>
                                    <w:b/>
                                    <w:i/>
                                    <w:spacing w:val="-1"/>
                                  </w:rPr>
                                  <w:t>Terms</w:t>
                                </w:r>
                                <w:r>
                                  <w:rPr>
                                    <w:rFonts w:ascii="Arial"/>
                                    <w:b/>
                                    <w:i/>
                                    <w:spacing w:val="7"/>
                                  </w:rPr>
                                  <w:t xml:space="preserve"> </w:t>
                                </w:r>
                                <w:r>
                                  <w:rPr>
                                    <w:rFonts w:ascii="Arial"/>
                                    <w:b/>
                                    <w:i/>
                                    <w:spacing w:val="-1"/>
                                  </w:rPr>
                                  <w:t>and</w:t>
                                </w:r>
                                <w:r>
                                  <w:rPr>
                                    <w:rFonts w:ascii="Arial"/>
                                    <w:b/>
                                    <w:i/>
                                    <w:spacing w:val="5"/>
                                  </w:rPr>
                                  <w:t xml:space="preserve"> </w:t>
                                </w:r>
                                <w:r>
                                  <w:rPr>
                                    <w:rFonts w:ascii="Arial"/>
                                    <w:b/>
                                    <w:i/>
                                    <w:spacing w:val="-1"/>
                                  </w:rPr>
                                  <w:t>the</w:t>
                                </w:r>
                                <w:r>
                                  <w:rPr>
                                    <w:rFonts w:ascii="Arial"/>
                                    <w:b/>
                                    <w:i/>
                                    <w:spacing w:val="7"/>
                                  </w:rPr>
                                  <w:t xml:space="preserve"> </w:t>
                                </w:r>
                                <w:r>
                                  <w:rPr>
                                    <w:rFonts w:ascii="Arial"/>
                                    <w:b/>
                                    <w:i/>
                                    <w:spacing w:val="-1"/>
                                  </w:rPr>
                                  <w:t>definition</w:t>
                                </w:r>
                                <w:r>
                                  <w:rPr>
                                    <w:rFonts w:ascii="Arial"/>
                                    <w:b/>
                                    <w:i/>
                                    <w:spacing w:val="56"/>
                                  </w:rPr>
                                  <w:t xml:space="preserve"> </w:t>
                                </w:r>
                                <w:r>
                                  <w:rPr>
                                    <w:rFonts w:ascii="Arial"/>
                                    <w:b/>
                                    <w:i/>
                                    <w:spacing w:val="-1"/>
                                  </w:rPr>
                                  <w:t>of</w:t>
                                </w:r>
                                <w:r>
                                  <w:rPr>
                                    <w:rFonts w:ascii="Arial"/>
                                    <w:b/>
                                    <w:i/>
                                    <w:spacing w:val="49"/>
                                  </w:rPr>
                                  <w:t xml:space="preserve"> </w:t>
                                </w:r>
                                <w:r>
                                  <w:rPr>
                                    <w:rFonts w:ascii="Arial"/>
                                    <w:b/>
                                    <w:i/>
                                    <w:spacing w:val="-1"/>
                                  </w:rPr>
                                  <w:t>Standards</w:t>
                                </w:r>
                                <w:r>
                                  <w:rPr>
                                    <w:rFonts w:ascii="Arial"/>
                                    <w:b/>
                                    <w:i/>
                                    <w:spacing w:val="48"/>
                                  </w:rPr>
                                  <w:t xml:space="preserve"> </w:t>
                                </w:r>
                                <w:r>
                                  <w:rPr>
                                    <w:rFonts w:ascii="Arial"/>
                                    <w:b/>
                                    <w:i/>
                                  </w:rPr>
                                  <w:t>in</w:t>
                                </w:r>
                                <w:r>
                                  <w:rPr>
                                    <w:rFonts w:ascii="Arial"/>
                                    <w:b/>
                                    <w:i/>
                                    <w:spacing w:val="48"/>
                                  </w:rPr>
                                  <w:t xml:space="preserve"> </w:t>
                                </w:r>
                                <w:r>
                                  <w:rPr>
                                    <w:rFonts w:ascii="Arial"/>
                                    <w:b/>
                                    <w:i/>
                                    <w:spacing w:val="-2"/>
                                  </w:rPr>
                                  <w:t>Call</w:t>
                                </w:r>
                                <w:r>
                                  <w:rPr>
                                    <w:rFonts w:ascii="Arial"/>
                                    <w:b/>
                                    <w:i/>
                                    <w:spacing w:val="47"/>
                                  </w:rPr>
                                  <w:t xml:space="preserve"> </w:t>
                                </w:r>
                                <w:r>
                                  <w:rPr>
                                    <w:rFonts w:ascii="Arial"/>
                                    <w:b/>
                                    <w:i/>
                                    <w:spacing w:val="-1"/>
                                  </w:rPr>
                                  <w:t>Off</w:t>
                                </w:r>
                                <w:r>
                                  <w:rPr>
                                    <w:rFonts w:ascii="Arial"/>
                                    <w:b/>
                                    <w:i/>
                                    <w:spacing w:val="49"/>
                                  </w:rPr>
                                  <w:t xml:space="preserve"> </w:t>
                                </w:r>
                                <w:r>
                                  <w:rPr>
                                    <w:rFonts w:ascii="Arial"/>
                                    <w:b/>
                                    <w:i/>
                                    <w:spacing w:val="-1"/>
                                  </w:rPr>
                                  <w:t>Schedule</w:t>
                                </w:r>
                                <w:r>
                                  <w:rPr>
                                    <w:rFonts w:ascii="Arial"/>
                                    <w:b/>
                                    <w:i/>
                                    <w:spacing w:val="48"/>
                                  </w:rPr>
                                  <w:t xml:space="preserve"> </w:t>
                                </w:r>
                                <w:r>
                                  <w:rPr>
                                    <w:rFonts w:ascii="Arial"/>
                                    <w:b/>
                                    <w:i/>
                                  </w:rPr>
                                  <w:t>1</w:t>
                                </w:r>
                                <w:r>
                                  <w:rPr>
                                    <w:rFonts w:ascii="Arial"/>
                                    <w:b/>
                                    <w:i/>
                                    <w:spacing w:val="49"/>
                                  </w:rPr>
                                  <w:t xml:space="preserve"> </w:t>
                                </w:r>
                                <w:r>
                                  <w:rPr>
                                    <w:rFonts w:ascii="Arial"/>
                                    <w:b/>
                                    <w:i/>
                                    <w:spacing w:val="-1"/>
                                  </w:rPr>
                                  <w:t>(Definitions).</w:t>
                                </w:r>
                                <w:r>
                                  <w:rPr>
                                    <w:rFonts w:ascii="Arial"/>
                                    <w:b/>
                                    <w:i/>
                                    <w:spacing w:val="50"/>
                                  </w:rPr>
                                  <w:t xml:space="preserve"> </w:t>
                                </w:r>
                                <w:r>
                                  <w:rPr>
                                    <w:rFonts w:ascii="Arial"/>
                                    <w:b/>
                                    <w:i/>
                                    <w:spacing w:val="-1"/>
                                  </w:rPr>
                                  <w:t>Insert</w:t>
                                </w:r>
                                <w:r>
                                  <w:rPr>
                                    <w:rFonts w:ascii="Arial"/>
                                    <w:b/>
                                    <w:i/>
                                    <w:spacing w:val="49"/>
                                  </w:rPr>
                                  <w:t xml:space="preserve"> </w:t>
                                </w:r>
                                <w:r>
                                  <w:rPr>
                                    <w:rFonts w:ascii="Arial"/>
                                    <w:b/>
                                    <w:i/>
                                    <w:spacing w:val="-1"/>
                                  </w:rPr>
                                  <w:t>below</w:t>
                                </w:r>
                                <w:r>
                                  <w:rPr>
                                    <w:rFonts w:ascii="Arial"/>
                                    <w:b/>
                                    <w:i/>
                                    <w:spacing w:val="50"/>
                                  </w:rPr>
                                  <w:t xml:space="preserve"> </w:t>
                                </w:r>
                                <w:r>
                                  <w:rPr>
                                    <w:rFonts w:ascii="Arial"/>
                                    <w:b/>
                                    <w:i/>
                                    <w:spacing w:val="-1"/>
                                  </w:rPr>
                                  <w:t>details</w:t>
                                </w:r>
                                <w:r>
                                  <w:rPr>
                                    <w:rFonts w:ascii="Arial"/>
                                    <w:b/>
                                    <w:i/>
                                    <w:spacing w:val="48"/>
                                  </w:rPr>
                                  <w:t xml:space="preserve"> </w:t>
                                </w:r>
                                <w:r>
                                  <w:rPr>
                                    <w:rFonts w:ascii="Arial"/>
                                    <w:b/>
                                    <w:i/>
                                    <w:spacing w:val="-1"/>
                                  </w:rPr>
                                  <w:t>of</w:t>
                                </w:r>
                                <w:r>
                                  <w:rPr>
                                    <w:rFonts w:ascii="Arial"/>
                                    <w:b/>
                                    <w:i/>
                                    <w:spacing w:val="49"/>
                                  </w:rPr>
                                  <w:t xml:space="preserve"> </w:t>
                                </w:r>
                                <w:r>
                                  <w:rPr>
                                    <w:rFonts w:ascii="Arial"/>
                                    <w:b/>
                                    <w:i/>
                                    <w:spacing w:val="-1"/>
                                  </w:rPr>
                                  <w:t>any</w:t>
                                </w:r>
                                <w:r>
                                  <w:rPr>
                                    <w:rFonts w:ascii="Arial"/>
                                    <w:b/>
                                    <w:i/>
                                    <w:spacing w:val="42"/>
                                  </w:rPr>
                                  <w:t xml:space="preserve"> </w:t>
                                </w:r>
                                <w:r>
                                  <w:rPr>
                                    <w:rFonts w:ascii="Arial"/>
                                    <w:b/>
                                    <w:i/>
                                    <w:spacing w:val="-1"/>
                                  </w:rPr>
                                  <w:t>additional</w:t>
                                </w:r>
                                <w:r>
                                  <w:rPr>
                                    <w:rFonts w:ascii="Arial"/>
                                    <w:b/>
                                    <w:i/>
                                    <w:spacing w:val="14"/>
                                  </w:rPr>
                                  <w:t xml:space="preserve"> </w:t>
                                </w:r>
                                <w:r>
                                  <w:rPr>
                                    <w:rFonts w:ascii="Arial"/>
                                    <w:b/>
                                    <w:i/>
                                    <w:spacing w:val="-1"/>
                                  </w:rPr>
                                  <w:t>Standards</w:t>
                                </w:r>
                                <w:r>
                                  <w:rPr>
                                    <w:rFonts w:ascii="Arial"/>
                                    <w:b/>
                                    <w:i/>
                                    <w:spacing w:val="12"/>
                                  </w:rPr>
                                  <w:t xml:space="preserve"> </w:t>
                                </w:r>
                                <w:r>
                                  <w:rPr>
                                    <w:rFonts w:ascii="Arial"/>
                                    <w:b/>
                                    <w:i/>
                                    <w:spacing w:val="-1"/>
                                  </w:rPr>
                                  <w:t>that</w:t>
                                </w:r>
                                <w:r>
                                  <w:rPr>
                                    <w:rFonts w:ascii="Arial"/>
                                    <w:b/>
                                    <w:i/>
                                    <w:spacing w:val="14"/>
                                  </w:rPr>
                                  <w:t xml:space="preserve"> </w:t>
                                </w:r>
                                <w:r>
                                  <w:rPr>
                                    <w:rFonts w:ascii="Arial"/>
                                    <w:b/>
                                    <w:i/>
                                    <w:spacing w:val="-1"/>
                                  </w:rPr>
                                  <w:t>the</w:t>
                                </w:r>
                                <w:r>
                                  <w:rPr>
                                    <w:rFonts w:ascii="Arial"/>
                                    <w:b/>
                                    <w:i/>
                                    <w:spacing w:val="12"/>
                                  </w:rPr>
                                  <w:t xml:space="preserve"> </w:t>
                                </w:r>
                                <w:r>
                                  <w:rPr>
                                    <w:rFonts w:ascii="Arial"/>
                                    <w:b/>
                                    <w:i/>
                                    <w:spacing w:val="-1"/>
                                  </w:rPr>
                                  <w:t>Supplier</w:t>
                                </w:r>
                                <w:r>
                                  <w:rPr>
                                    <w:rFonts w:ascii="Arial"/>
                                    <w:b/>
                                    <w:i/>
                                    <w:spacing w:val="13"/>
                                  </w:rPr>
                                  <w:t xml:space="preserve"> </w:t>
                                </w:r>
                                <w:r>
                                  <w:rPr>
                                    <w:rFonts w:ascii="Arial"/>
                                    <w:b/>
                                    <w:i/>
                                    <w:spacing w:val="-1"/>
                                  </w:rPr>
                                  <w:t>shall</w:t>
                                </w:r>
                                <w:r>
                                  <w:rPr>
                                    <w:rFonts w:ascii="Arial"/>
                                    <w:b/>
                                    <w:i/>
                                    <w:spacing w:val="11"/>
                                  </w:rPr>
                                  <w:t xml:space="preserve"> </w:t>
                                </w:r>
                                <w:r>
                                  <w:rPr>
                                    <w:rFonts w:ascii="Arial"/>
                                    <w:b/>
                                    <w:i/>
                                    <w:spacing w:val="-1"/>
                                  </w:rPr>
                                  <w:t>comply</w:t>
                                </w:r>
                                <w:r>
                                  <w:rPr>
                                    <w:rFonts w:ascii="Arial"/>
                                    <w:b/>
                                    <w:i/>
                                    <w:spacing w:val="10"/>
                                  </w:rPr>
                                  <w:t xml:space="preserve"> </w:t>
                                </w:r>
                                <w:r>
                                  <w:rPr>
                                    <w:rFonts w:ascii="Arial"/>
                                    <w:b/>
                                    <w:i/>
                                    <w:spacing w:val="-1"/>
                                  </w:rPr>
                                  <w:t>with</w:t>
                                </w:r>
                                <w:r>
                                  <w:rPr>
                                    <w:rFonts w:ascii="Arial"/>
                                    <w:b/>
                                    <w:i/>
                                    <w:spacing w:val="12"/>
                                  </w:rPr>
                                  <w:t xml:space="preserve"> </w:t>
                                </w:r>
                                <w:r>
                                  <w:rPr>
                                    <w:rFonts w:ascii="Arial"/>
                                    <w:b/>
                                    <w:i/>
                                  </w:rPr>
                                  <w:t>in</w:t>
                                </w:r>
                                <w:r>
                                  <w:rPr>
                                    <w:rFonts w:ascii="Arial"/>
                                    <w:b/>
                                    <w:i/>
                                    <w:spacing w:val="12"/>
                                  </w:rPr>
                                  <w:t xml:space="preserve"> </w:t>
                                </w:r>
                                <w:r>
                                  <w:rPr>
                                    <w:rFonts w:ascii="Arial"/>
                                    <w:b/>
                                    <w:i/>
                                    <w:spacing w:val="-2"/>
                                  </w:rPr>
                                  <w:t>providing</w:t>
                                </w:r>
                                <w:r>
                                  <w:rPr>
                                    <w:rFonts w:ascii="Arial"/>
                                    <w:b/>
                                    <w:i/>
                                    <w:spacing w:val="12"/>
                                  </w:rPr>
                                  <w:t xml:space="preserve"> </w:t>
                                </w:r>
                                <w:r>
                                  <w:rPr>
                                    <w:rFonts w:ascii="Arial"/>
                                    <w:b/>
                                    <w:i/>
                                    <w:spacing w:val="-1"/>
                                  </w:rPr>
                                  <w:t>the</w:t>
                                </w:r>
                                <w:r>
                                  <w:rPr>
                                    <w:rFonts w:ascii="Arial"/>
                                    <w:b/>
                                    <w:i/>
                                    <w:spacing w:val="12"/>
                                  </w:rPr>
                                  <w:t xml:space="preserve"> </w:t>
                                </w:r>
                                <w:r>
                                  <w:rPr>
                                    <w:rFonts w:ascii="Arial"/>
                                    <w:b/>
                                    <w:i/>
                                    <w:spacing w:val="-1"/>
                                  </w:rPr>
                                  <w:t>Goods</w:t>
                                </w:r>
                                <w:r>
                                  <w:rPr>
                                    <w:rFonts w:ascii="Arial"/>
                                    <w:b/>
                                    <w:i/>
                                    <w:spacing w:val="60"/>
                                  </w:rPr>
                                  <w:t xml:space="preserve"> </w:t>
                                </w:r>
                                <w:r>
                                  <w:rPr>
                                    <w:rFonts w:ascii="Arial"/>
                                    <w:b/>
                                    <w:i/>
                                    <w:spacing w:val="-1"/>
                                  </w:rPr>
                                  <w:t>and/or</w:t>
                                </w:r>
                                <w:r>
                                  <w:rPr>
                                    <w:rFonts w:ascii="Arial"/>
                                    <w:b/>
                                    <w:i/>
                                    <w:spacing w:val="1"/>
                                  </w:rPr>
                                  <w:t xml:space="preserve"> </w:t>
                                </w:r>
                                <w:r>
                                  <w:rPr>
                                    <w:rFonts w:ascii="Arial"/>
                                    <w:b/>
                                    <w:i/>
                                    <w:spacing w:val="-2"/>
                                  </w:rPr>
                                  <w:t>Services]</w:t>
                                </w:r>
                              </w:p>
                            </w:txbxContent>
                          </wps:txbx>
                          <wps:bodyPr rot="0" vert="horz" wrap="square" lIns="0" tIns="0" rIns="0" bIns="0" anchor="t" anchorCtr="0" upright="1">
                            <a:noAutofit/>
                          </wps:bodyPr>
                        </wps:wsp>
                      </wpg:grpSp>
                    </wpg:wgp>
                  </a:graphicData>
                </a:graphic>
              </wp:inline>
            </w:drawing>
          </mc:Choice>
          <mc:Fallback>
            <w:pict>
              <v:group w14:anchorId="7C89F4B7" id="Group 2500" o:spid="_x0000_s1308" style="width:424.4pt;height:50.65pt;mso-position-horizontal-relative:char;mso-position-vertical-relative:line" coordsize="848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">
                <v:group id="Group 2508" o:spid="_x0000_s1309" style="position:absolute;width:8484;height:255"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2509" o:spid="_x0000_s1310" style="position:absolute;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LjcMA&#10;AADdAAAADwAAAGRycy9kb3ducmV2LnhtbERP3WrCMBS+H+wdwhnsbqYtOGY1igwUYTKx2wMcmmNT&#10;bU6yJNPu7ZeLwS4/vv/FarSDuFKIvWMF5aQAQdw63XOn4PNj8/QCIiZkjYNjUvBDEVbL+7sF1trd&#10;+EjXJnUih3CsUYFJyddSxtaQxThxnjhzJxcspgxDJ3XAWw63g6yK4lla7Dk3GPT0aqi9NN9WwXt5&#10;OPtq+Lq87XfbaZjtm4PxjVKPD+N6DiLRmP7Ff+6dVlBNy7w/v8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pLjcMAAADdAAAADwAAAAAAAAAAAAAAAACYAgAAZHJzL2Rv&#10;d25yZXYueG1sUEsFBgAAAAAEAAQA9QAAAIgDAAAAAA==&#10;" path="m,254r8484,l8484,,,,,254xe" fillcolor="lime" stroked="f">
                    <v:path arrowok="t" o:connecttype="custom" o:connectlocs="0,254;8484,254;8484,0;0,0;0,254" o:connectangles="0,0,0,0,0"/>
                  </v:shape>
                </v:group>
                <v:group id="Group 2506" o:spid="_x0000_s1311" style="position:absolute;top:254;width:8484;height:252" coordorigin=",254"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507" o:spid="_x0000_s1312" style="position:absolute;top:254;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EMcYA&#10;AADdAAAADwAAAGRycy9kb3ducmV2LnhtbESPQWvCQBSE74L/YXlCb2ZjSrVEV5Gi0PZijYVeX7PP&#10;JJp9G7LbJP33XUHocZiZb5jVZjC16Kh1lWUFsygGQZxbXXGh4PO0nz6DcB5ZY22ZFPySg816PFph&#10;qm3PR+oyX4gAYZeigtL7JpXS5SUZdJFtiIN3tq1BH2RbSN1iH+Cmlkkcz6XBisNCiQ29lJRfsx+j&#10;YPd4bL7ev/eH3Zu+dJdF/9HZrFDqYTJslyA8Df4/fG+/agXJ0yy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5EMcYAAADdAAAADwAAAAAAAAAAAAAAAACYAgAAZHJz&#10;L2Rvd25yZXYueG1sUEsFBgAAAAAEAAQA9QAAAIsDAAAAAA==&#10;" path="m,252r8484,l8484,,,,,252xe" fillcolor="lime" stroked="f">
                    <v:path arrowok="t" o:connecttype="custom" o:connectlocs="0,506;8484,506;8484,254;0,254;0,506" o:connectangles="0,0,0,0,0"/>
                  </v:shape>
                </v:group>
                <v:group id="Group 2504" o:spid="_x0000_s1313" style="position:absolute;top:506;width:8484;height:255" coordorigin=",506"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505" o:spid="_x0000_s1314" style="position:absolute;top:506;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NjsYA&#10;AADdAAAADwAAAGRycy9kb3ducmV2LnhtbESP0UoDMRRE3wX/IVzBN5vdxYpumxYRlEJLi6sfcNnc&#10;btZubmKStuvfm4Lg4zAzZ5j5crSDOFGIvWMF5aQAQdw63XOn4PPj9e4RREzIGgfHpOCHIiwX11dz&#10;rLU78zudmtSJDOFYowKTkq+ljK0hi3HiPHH29i5YTFmGTuqA5wy3g6yK4kFa7DkvGPT0Yqg9NEer&#10;YFvuvnw1fB/Wm9XbNDxtmp3xjVK3N+PzDESiMf2H/9orraCalvdweZ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FNjsYAAADdAAAADwAAAAAAAAAAAAAAAACYAgAAZHJz&#10;L2Rvd25yZXYueG1sUEsFBgAAAAAEAAQA9QAAAIsDAAAAAA==&#10;" path="m,255r8484,l8484,,,,,255xe" fillcolor="lime" stroked="f">
                    <v:path arrowok="t" o:connecttype="custom" o:connectlocs="0,761;8484,761;8484,506;0,506;0,761" o:connectangles="0,0,0,0,0"/>
                  </v:shape>
                </v:group>
                <v:group id="Group 2501" o:spid="_x0000_s1315" style="position:absolute;top:761;width:1712;height:252" coordorigin=",761" coordsize="171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503" o:spid="_x0000_s1316" style="position:absolute;top:761;width:1712;height:252;visibility:visible;mso-wrap-style:square;v-text-anchor:top" coordsize="17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e1cUA&#10;AADdAAAADwAAAGRycy9kb3ducmV2LnhtbESP0WrCQBRE3wv+w3IF3+omAYOmrlIUQXxoa8wHXLK3&#10;2dDs3ZBdNf69Wyj0cZiZM8x6O9pO3GjwrWMF6TwBQVw73XKjoLocXpcgfEDW2DkmBQ/ysN1MXtZY&#10;aHfnM93K0IgIYV+gAhNCX0jpa0MW/dz1xNH7doPFEOXQSD3gPcJtJ7MkyaXFluOCwZ52huqf8moV&#10;rDK7qPZtWZ66ZZV+jiZvvj5OSs2m4/sbiEBj+A//tY9aQbZIc/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x7VxQAAAN0AAAAPAAAAAAAAAAAAAAAAAJgCAABkcnMv&#10;ZG93bnJldi54bWxQSwUGAAAAAAQABAD1AAAAigMAAAAA&#10;" path="m,252r1711,l1711,,,,,252xe" fillcolor="lime" stroked="f">
                    <v:path arrowok="t" o:connecttype="custom" o:connectlocs="0,1013;1711,1013;1711,761;0,761;0,1013" o:connectangles="0,0,0,0,0"/>
                  </v:shape>
                  <v:shape id="Text Box 2502" o:spid="_x0000_s1317" type="#_x0000_t202" style="position:absolute;width:8488;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5D2B81" w:rsidRDefault="005D2B81" w:rsidP="008918FA">
                          <w:pPr>
                            <w:jc w:val="both"/>
                            <w:rPr>
                              <w:rFonts w:ascii="Arial" w:eastAsia="Arial" w:hAnsi="Arial" w:cs="Arial"/>
                            </w:rPr>
                          </w:pPr>
                          <w:r>
                            <w:rPr>
                              <w:rFonts w:ascii="Arial"/>
                              <w:b/>
                              <w:i/>
                              <w:spacing w:val="-1"/>
                            </w:rPr>
                            <w:t>[Guidance</w:t>
                          </w:r>
                          <w:r>
                            <w:rPr>
                              <w:rFonts w:ascii="Arial"/>
                              <w:b/>
                              <w:i/>
                              <w:spacing w:val="7"/>
                            </w:rPr>
                            <w:t xml:space="preserve"> </w:t>
                          </w:r>
                          <w:r>
                            <w:rPr>
                              <w:rFonts w:ascii="Arial"/>
                              <w:b/>
                              <w:i/>
                              <w:spacing w:val="-2"/>
                            </w:rPr>
                            <w:t>Note:</w:t>
                          </w:r>
                          <w:r>
                            <w:rPr>
                              <w:rFonts w:ascii="Arial"/>
                              <w:b/>
                              <w:i/>
                              <w:spacing w:val="9"/>
                            </w:rPr>
                            <w:t xml:space="preserve"> </w:t>
                          </w:r>
                          <w:r>
                            <w:rPr>
                              <w:rFonts w:ascii="Arial"/>
                              <w:b/>
                              <w:i/>
                              <w:spacing w:val="-1"/>
                            </w:rPr>
                            <w:t>See</w:t>
                          </w:r>
                          <w:r>
                            <w:rPr>
                              <w:rFonts w:ascii="Arial"/>
                              <w:b/>
                              <w:i/>
                              <w:spacing w:val="5"/>
                            </w:rPr>
                            <w:t xml:space="preserve"> </w:t>
                          </w:r>
                          <w:r>
                            <w:rPr>
                              <w:rFonts w:ascii="Arial"/>
                              <w:b/>
                              <w:i/>
                              <w:spacing w:val="-2"/>
                            </w:rPr>
                            <w:t>Clause</w:t>
                          </w:r>
                          <w:r>
                            <w:rPr>
                              <w:rFonts w:ascii="Arial"/>
                              <w:b/>
                              <w:i/>
                              <w:spacing w:val="8"/>
                            </w:rPr>
                            <w:t xml:space="preserve"> </w:t>
                          </w:r>
                          <w:hyperlink w:anchor="_bookmark91" w:history="1">
                            <w:r>
                              <w:rPr>
                                <w:rFonts w:ascii="Arial"/>
                                <w:b/>
                                <w:i/>
                                <w:spacing w:val="-1"/>
                              </w:rPr>
                              <w:t>11</w:t>
                            </w:r>
                          </w:hyperlink>
                          <w:r>
                            <w:rPr>
                              <w:rFonts w:ascii="Arial"/>
                              <w:b/>
                              <w:i/>
                              <w:spacing w:val="8"/>
                            </w:rPr>
                            <w:t xml:space="preserve"> </w:t>
                          </w:r>
                          <w:r>
                            <w:rPr>
                              <w:rFonts w:ascii="Arial"/>
                              <w:b/>
                              <w:i/>
                              <w:spacing w:val="-1"/>
                            </w:rPr>
                            <w:t>of</w:t>
                          </w:r>
                          <w:r>
                            <w:rPr>
                              <w:rFonts w:ascii="Arial"/>
                              <w:b/>
                              <w:i/>
                              <w:spacing w:val="6"/>
                            </w:rPr>
                            <w:t xml:space="preserve"> </w:t>
                          </w:r>
                          <w:r>
                            <w:rPr>
                              <w:rFonts w:ascii="Arial"/>
                              <w:b/>
                              <w:i/>
                              <w:spacing w:val="-1"/>
                            </w:rPr>
                            <w:t>the</w:t>
                          </w:r>
                          <w:r>
                            <w:rPr>
                              <w:rFonts w:ascii="Arial"/>
                              <w:b/>
                              <w:i/>
                              <w:spacing w:val="5"/>
                            </w:rPr>
                            <w:t xml:space="preserve"> </w:t>
                          </w:r>
                          <w:r>
                            <w:rPr>
                              <w:rFonts w:ascii="Arial"/>
                              <w:b/>
                              <w:i/>
                              <w:spacing w:val="-1"/>
                            </w:rPr>
                            <w:t>Template</w:t>
                          </w:r>
                          <w:r>
                            <w:rPr>
                              <w:rFonts w:ascii="Arial"/>
                              <w:b/>
                              <w:i/>
                              <w:spacing w:val="7"/>
                            </w:rPr>
                            <w:t xml:space="preserve"> </w:t>
                          </w:r>
                          <w:r>
                            <w:rPr>
                              <w:rFonts w:ascii="Arial"/>
                              <w:b/>
                              <w:i/>
                              <w:spacing w:val="-1"/>
                            </w:rPr>
                            <w:t>Call</w:t>
                          </w:r>
                          <w:r>
                            <w:rPr>
                              <w:rFonts w:ascii="Arial"/>
                              <w:b/>
                              <w:i/>
                              <w:spacing w:val="7"/>
                            </w:rPr>
                            <w:t xml:space="preserve"> </w:t>
                          </w:r>
                          <w:r>
                            <w:rPr>
                              <w:rFonts w:ascii="Arial"/>
                              <w:b/>
                              <w:i/>
                              <w:spacing w:val="-1"/>
                            </w:rPr>
                            <w:t>Off</w:t>
                          </w:r>
                          <w:r>
                            <w:rPr>
                              <w:rFonts w:ascii="Arial"/>
                              <w:b/>
                              <w:i/>
                              <w:spacing w:val="6"/>
                            </w:rPr>
                            <w:t xml:space="preserve"> </w:t>
                          </w:r>
                          <w:r>
                            <w:rPr>
                              <w:rFonts w:ascii="Arial"/>
                              <w:b/>
                              <w:i/>
                              <w:spacing w:val="-1"/>
                            </w:rPr>
                            <w:t>Terms</w:t>
                          </w:r>
                          <w:r>
                            <w:rPr>
                              <w:rFonts w:ascii="Arial"/>
                              <w:b/>
                              <w:i/>
                              <w:spacing w:val="7"/>
                            </w:rPr>
                            <w:t xml:space="preserve"> </w:t>
                          </w:r>
                          <w:r>
                            <w:rPr>
                              <w:rFonts w:ascii="Arial"/>
                              <w:b/>
                              <w:i/>
                              <w:spacing w:val="-1"/>
                            </w:rPr>
                            <w:t>and</w:t>
                          </w:r>
                          <w:r>
                            <w:rPr>
                              <w:rFonts w:ascii="Arial"/>
                              <w:b/>
                              <w:i/>
                              <w:spacing w:val="5"/>
                            </w:rPr>
                            <w:t xml:space="preserve"> </w:t>
                          </w:r>
                          <w:r>
                            <w:rPr>
                              <w:rFonts w:ascii="Arial"/>
                              <w:b/>
                              <w:i/>
                              <w:spacing w:val="-1"/>
                            </w:rPr>
                            <w:t>the</w:t>
                          </w:r>
                          <w:r>
                            <w:rPr>
                              <w:rFonts w:ascii="Arial"/>
                              <w:b/>
                              <w:i/>
                              <w:spacing w:val="7"/>
                            </w:rPr>
                            <w:t xml:space="preserve"> </w:t>
                          </w:r>
                          <w:r>
                            <w:rPr>
                              <w:rFonts w:ascii="Arial"/>
                              <w:b/>
                              <w:i/>
                              <w:spacing w:val="-1"/>
                            </w:rPr>
                            <w:t>definition</w:t>
                          </w:r>
                          <w:r>
                            <w:rPr>
                              <w:rFonts w:ascii="Arial"/>
                              <w:b/>
                              <w:i/>
                              <w:spacing w:val="56"/>
                            </w:rPr>
                            <w:t xml:space="preserve"> </w:t>
                          </w:r>
                          <w:r>
                            <w:rPr>
                              <w:rFonts w:ascii="Arial"/>
                              <w:b/>
                              <w:i/>
                              <w:spacing w:val="-1"/>
                            </w:rPr>
                            <w:t>of</w:t>
                          </w:r>
                          <w:r>
                            <w:rPr>
                              <w:rFonts w:ascii="Arial"/>
                              <w:b/>
                              <w:i/>
                              <w:spacing w:val="49"/>
                            </w:rPr>
                            <w:t xml:space="preserve"> </w:t>
                          </w:r>
                          <w:r>
                            <w:rPr>
                              <w:rFonts w:ascii="Arial"/>
                              <w:b/>
                              <w:i/>
                              <w:spacing w:val="-1"/>
                            </w:rPr>
                            <w:t>Standards</w:t>
                          </w:r>
                          <w:r>
                            <w:rPr>
                              <w:rFonts w:ascii="Arial"/>
                              <w:b/>
                              <w:i/>
                              <w:spacing w:val="48"/>
                            </w:rPr>
                            <w:t xml:space="preserve"> </w:t>
                          </w:r>
                          <w:r>
                            <w:rPr>
                              <w:rFonts w:ascii="Arial"/>
                              <w:b/>
                              <w:i/>
                            </w:rPr>
                            <w:t>in</w:t>
                          </w:r>
                          <w:r>
                            <w:rPr>
                              <w:rFonts w:ascii="Arial"/>
                              <w:b/>
                              <w:i/>
                              <w:spacing w:val="48"/>
                            </w:rPr>
                            <w:t xml:space="preserve"> </w:t>
                          </w:r>
                          <w:r>
                            <w:rPr>
                              <w:rFonts w:ascii="Arial"/>
                              <w:b/>
                              <w:i/>
                              <w:spacing w:val="-2"/>
                            </w:rPr>
                            <w:t>Call</w:t>
                          </w:r>
                          <w:r>
                            <w:rPr>
                              <w:rFonts w:ascii="Arial"/>
                              <w:b/>
                              <w:i/>
                              <w:spacing w:val="47"/>
                            </w:rPr>
                            <w:t xml:space="preserve"> </w:t>
                          </w:r>
                          <w:r>
                            <w:rPr>
                              <w:rFonts w:ascii="Arial"/>
                              <w:b/>
                              <w:i/>
                              <w:spacing w:val="-1"/>
                            </w:rPr>
                            <w:t>Off</w:t>
                          </w:r>
                          <w:r>
                            <w:rPr>
                              <w:rFonts w:ascii="Arial"/>
                              <w:b/>
                              <w:i/>
                              <w:spacing w:val="49"/>
                            </w:rPr>
                            <w:t xml:space="preserve"> </w:t>
                          </w:r>
                          <w:r>
                            <w:rPr>
                              <w:rFonts w:ascii="Arial"/>
                              <w:b/>
                              <w:i/>
                              <w:spacing w:val="-1"/>
                            </w:rPr>
                            <w:t>Schedule</w:t>
                          </w:r>
                          <w:r>
                            <w:rPr>
                              <w:rFonts w:ascii="Arial"/>
                              <w:b/>
                              <w:i/>
                              <w:spacing w:val="48"/>
                            </w:rPr>
                            <w:t xml:space="preserve"> </w:t>
                          </w:r>
                          <w:r>
                            <w:rPr>
                              <w:rFonts w:ascii="Arial"/>
                              <w:b/>
                              <w:i/>
                            </w:rPr>
                            <w:t>1</w:t>
                          </w:r>
                          <w:r>
                            <w:rPr>
                              <w:rFonts w:ascii="Arial"/>
                              <w:b/>
                              <w:i/>
                              <w:spacing w:val="49"/>
                            </w:rPr>
                            <w:t xml:space="preserve"> </w:t>
                          </w:r>
                          <w:r>
                            <w:rPr>
                              <w:rFonts w:ascii="Arial"/>
                              <w:b/>
                              <w:i/>
                              <w:spacing w:val="-1"/>
                            </w:rPr>
                            <w:t>(Definitions).</w:t>
                          </w:r>
                          <w:r>
                            <w:rPr>
                              <w:rFonts w:ascii="Arial"/>
                              <w:b/>
                              <w:i/>
                              <w:spacing w:val="50"/>
                            </w:rPr>
                            <w:t xml:space="preserve"> </w:t>
                          </w:r>
                          <w:r>
                            <w:rPr>
                              <w:rFonts w:ascii="Arial"/>
                              <w:b/>
                              <w:i/>
                              <w:spacing w:val="-1"/>
                            </w:rPr>
                            <w:t>Insert</w:t>
                          </w:r>
                          <w:r>
                            <w:rPr>
                              <w:rFonts w:ascii="Arial"/>
                              <w:b/>
                              <w:i/>
                              <w:spacing w:val="49"/>
                            </w:rPr>
                            <w:t xml:space="preserve"> </w:t>
                          </w:r>
                          <w:r>
                            <w:rPr>
                              <w:rFonts w:ascii="Arial"/>
                              <w:b/>
                              <w:i/>
                              <w:spacing w:val="-1"/>
                            </w:rPr>
                            <w:t>below</w:t>
                          </w:r>
                          <w:r>
                            <w:rPr>
                              <w:rFonts w:ascii="Arial"/>
                              <w:b/>
                              <w:i/>
                              <w:spacing w:val="50"/>
                            </w:rPr>
                            <w:t xml:space="preserve"> </w:t>
                          </w:r>
                          <w:r>
                            <w:rPr>
                              <w:rFonts w:ascii="Arial"/>
                              <w:b/>
                              <w:i/>
                              <w:spacing w:val="-1"/>
                            </w:rPr>
                            <w:t>details</w:t>
                          </w:r>
                          <w:r>
                            <w:rPr>
                              <w:rFonts w:ascii="Arial"/>
                              <w:b/>
                              <w:i/>
                              <w:spacing w:val="48"/>
                            </w:rPr>
                            <w:t xml:space="preserve"> </w:t>
                          </w:r>
                          <w:r>
                            <w:rPr>
                              <w:rFonts w:ascii="Arial"/>
                              <w:b/>
                              <w:i/>
                              <w:spacing w:val="-1"/>
                            </w:rPr>
                            <w:t>of</w:t>
                          </w:r>
                          <w:r>
                            <w:rPr>
                              <w:rFonts w:ascii="Arial"/>
                              <w:b/>
                              <w:i/>
                              <w:spacing w:val="49"/>
                            </w:rPr>
                            <w:t xml:space="preserve"> </w:t>
                          </w:r>
                          <w:r>
                            <w:rPr>
                              <w:rFonts w:ascii="Arial"/>
                              <w:b/>
                              <w:i/>
                              <w:spacing w:val="-1"/>
                            </w:rPr>
                            <w:t>any</w:t>
                          </w:r>
                          <w:r>
                            <w:rPr>
                              <w:rFonts w:ascii="Arial"/>
                              <w:b/>
                              <w:i/>
                              <w:spacing w:val="42"/>
                            </w:rPr>
                            <w:t xml:space="preserve"> </w:t>
                          </w:r>
                          <w:r>
                            <w:rPr>
                              <w:rFonts w:ascii="Arial"/>
                              <w:b/>
                              <w:i/>
                              <w:spacing w:val="-1"/>
                            </w:rPr>
                            <w:t>additional</w:t>
                          </w:r>
                          <w:r>
                            <w:rPr>
                              <w:rFonts w:ascii="Arial"/>
                              <w:b/>
                              <w:i/>
                              <w:spacing w:val="14"/>
                            </w:rPr>
                            <w:t xml:space="preserve"> </w:t>
                          </w:r>
                          <w:r>
                            <w:rPr>
                              <w:rFonts w:ascii="Arial"/>
                              <w:b/>
                              <w:i/>
                              <w:spacing w:val="-1"/>
                            </w:rPr>
                            <w:t>Standards</w:t>
                          </w:r>
                          <w:r>
                            <w:rPr>
                              <w:rFonts w:ascii="Arial"/>
                              <w:b/>
                              <w:i/>
                              <w:spacing w:val="12"/>
                            </w:rPr>
                            <w:t xml:space="preserve"> </w:t>
                          </w:r>
                          <w:r>
                            <w:rPr>
                              <w:rFonts w:ascii="Arial"/>
                              <w:b/>
                              <w:i/>
                              <w:spacing w:val="-1"/>
                            </w:rPr>
                            <w:t>that</w:t>
                          </w:r>
                          <w:r>
                            <w:rPr>
                              <w:rFonts w:ascii="Arial"/>
                              <w:b/>
                              <w:i/>
                              <w:spacing w:val="14"/>
                            </w:rPr>
                            <w:t xml:space="preserve"> </w:t>
                          </w:r>
                          <w:r>
                            <w:rPr>
                              <w:rFonts w:ascii="Arial"/>
                              <w:b/>
                              <w:i/>
                              <w:spacing w:val="-1"/>
                            </w:rPr>
                            <w:t>the</w:t>
                          </w:r>
                          <w:r>
                            <w:rPr>
                              <w:rFonts w:ascii="Arial"/>
                              <w:b/>
                              <w:i/>
                              <w:spacing w:val="12"/>
                            </w:rPr>
                            <w:t xml:space="preserve"> </w:t>
                          </w:r>
                          <w:r>
                            <w:rPr>
                              <w:rFonts w:ascii="Arial"/>
                              <w:b/>
                              <w:i/>
                              <w:spacing w:val="-1"/>
                            </w:rPr>
                            <w:t>Supplier</w:t>
                          </w:r>
                          <w:r>
                            <w:rPr>
                              <w:rFonts w:ascii="Arial"/>
                              <w:b/>
                              <w:i/>
                              <w:spacing w:val="13"/>
                            </w:rPr>
                            <w:t xml:space="preserve"> </w:t>
                          </w:r>
                          <w:r>
                            <w:rPr>
                              <w:rFonts w:ascii="Arial"/>
                              <w:b/>
                              <w:i/>
                              <w:spacing w:val="-1"/>
                            </w:rPr>
                            <w:t>shall</w:t>
                          </w:r>
                          <w:r>
                            <w:rPr>
                              <w:rFonts w:ascii="Arial"/>
                              <w:b/>
                              <w:i/>
                              <w:spacing w:val="11"/>
                            </w:rPr>
                            <w:t xml:space="preserve"> </w:t>
                          </w:r>
                          <w:r>
                            <w:rPr>
                              <w:rFonts w:ascii="Arial"/>
                              <w:b/>
                              <w:i/>
                              <w:spacing w:val="-1"/>
                            </w:rPr>
                            <w:t>comply</w:t>
                          </w:r>
                          <w:r>
                            <w:rPr>
                              <w:rFonts w:ascii="Arial"/>
                              <w:b/>
                              <w:i/>
                              <w:spacing w:val="10"/>
                            </w:rPr>
                            <w:t xml:space="preserve"> </w:t>
                          </w:r>
                          <w:r>
                            <w:rPr>
                              <w:rFonts w:ascii="Arial"/>
                              <w:b/>
                              <w:i/>
                              <w:spacing w:val="-1"/>
                            </w:rPr>
                            <w:t>with</w:t>
                          </w:r>
                          <w:r>
                            <w:rPr>
                              <w:rFonts w:ascii="Arial"/>
                              <w:b/>
                              <w:i/>
                              <w:spacing w:val="12"/>
                            </w:rPr>
                            <w:t xml:space="preserve"> </w:t>
                          </w:r>
                          <w:r>
                            <w:rPr>
                              <w:rFonts w:ascii="Arial"/>
                              <w:b/>
                              <w:i/>
                            </w:rPr>
                            <w:t>in</w:t>
                          </w:r>
                          <w:r>
                            <w:rPr>
                              <w:rFonts w:ascii="Arial"/>
                              <w:b/>
                              <w:i/>
                              <w:spacing w:val="12"/>
                            </w:rPr>
                            <w:t xml:space="preserve"> </w:t>
                          </w:r>
                          <w:r>
                            <w:rPr>
                              <w:rFonts w:ascii="Arial"/>
                              <w:b/>
                              <w:i/>
                              <w:spacing w:val="-2"/>
                            </w:rPr>
                            <w:t>providing</w:t>
                          </w:r>
                          <w:r>
                            <w:rPr>
                              <w:rFonts w:ascii="Arial"/>
                              <w:b/>
                              <w:i/>
                              <w:spacing w:val="12"/>
                            </w:rPr>
                            <w:t xml:space="preserve"> </w:t>
                          </w:r>
                          <w:r>
                            <w:rPr>
                              <w:rFonts w:ascii="Arial"/>
                              <w:b/>
                              <w:i/>
                              <w:spacing w:val="-1"/>
                            </w:rPr>
                            <w:t>the</w:t>
                          </w:r>
                          <w:r>
                            <w:rPr>
                              <w:rFonts w:ascii="Arial"/>
                              <w:b/>
                              <w:i/>
                              <w:spacing w:val="12"/>
                            </w:rPr>
                            <w:t xml:space="preserve"> </w:t>
                          </w:r>
                          <w:r>
                            <w:rPr>
                              <w:rFonts w:ascii="Arial"/>
                              <w:b/>
                              <w:i/>
                              <w:spacing w:val="-1"/>
                            </w:rPr>
                            <w:t>Goods</w:t>
                          </w:r>
                          <w:r>
                            <w:rPr>
                              <w:rFonts w:ascii="Arial"/>
                              <w:b/>
                              <w:i/>
                              <w:spacing w:val="60"/>
                            </w:rPr>
                            <w:t xml:space="preserve"> </w:t>
                          </w:r>
                          <w:r>
                            <w:rPr>
                              <w:rFonts w:ascii="Arial"/>
                              <w:b/>
                              <w:i/>
                              <w:spacing w:val="-1"/>
                            </w:rPr>
                            <w:t>and/or</w:t>
                          </w:r>
                          <w:r>
                            <w:rPr>
                              <w:rFonts w:ascii="Arial"/>
                              <w:b/>
                              <w:i/>
                              <w:spacing w:val="1"/>
                            </w:rPr>
                            <w:t xml:space="preserve"> </w:t>
                          </w:r>
                          <w:r>
                            <w:rPr>
                              <w:rFonts w:ascii="Arial"/>
                              <w:b/>
                              <w:i/>
                              <w:spacing w:val="-2"/>
                            </w:rPr>
                            <w:t>Services]</w:t>
                          </w:r>
                        </w:p>
                      </w:txbxContent>
                    </v:textbox>
                  </v:shape>
                </v:group>
                <w10:anchorlock/>
              </v:group>
            </w:pict>
          </mc:Fallback>
        </mc:AlternateContent>
      </w:r>
    </w:p>
    <w:p w:rsidR="008918FA" w:rsidRDefault="008918FA" w:rsidP="008918FA">
      <w:pPr>
        <w:pStyle w:val="BodyText"/>
        <w:spacing w:before="116"/>
        <w:ind w:left="106" w:firstLine="0"/>
        <w:rPr>
          <w:rFonts w:ascii="Times New Roman" w:eastAsia="Times New Roman" w:hAnsi="Times New Roman" w:cs="Times New Roman"/>
        </w:rPr>
      </w:pPr>
      <w:r>
        <w:rPr>
          <w:rFonts w:ascii="Times New Roman"/>
          <w:spacing w:val="5"/>
        </w:rPr>
        <w:t>1.</w:t>
      </w:r>
      <w:r>
        <w:rPr>
          <w:rFonts w:ascii="Times New Roman"/>
        </w:rPr>
        <w:t xml:space="preserve">  </w:t>
      </w:r>
      <w:r>
        <w:rPr>
          <w:rFonts w:ascii="Times New Roman"/>
          <w:spacing w:val="17"/>
        </w:rPr>
        <w:t xml:space="preserve"> </w:t>
      </w:r>
      <w:r>
        <w:rPr>
          <w:rFonts w:ascii="Times New Roman"/>
          <w:spacing w:val="23"/>
        </w:rPr>
        <w:t>S</w:t>
      </w:r>
      <w:r>
        <w:rPr>
          <w:rFonts w:ascii="Times New Roman"/>
          <w:spacing w:val="2"/>
        </w:rPr>
        <w:t>T</w:t>
      </w:r>
      <w:r>
        <w:rPr>
          <w:rFonts w:ascii="Times New Roman"/>
          <w:spacing w:val="-6"/>
        </w:rPr>
        <w:t>A</w:t>
      </w:r>
      <w:r>
        <w:rPr>
          <w:rFonts w:ascii="Times New Roman"/>
          <w:spacing w:val="1"/>
        </w:rPr>
        <w:t>N</w:t>
      </w:r>
      <w:r>
        <w:rPr>
          <w:rFonts w:ascii="Times New Roman"/>
          <w:spacing w:val="3"/>
        </w:rPr>
        <w:t>D</w:t>
      </w:r>
      <w:r>
        <w:rPr>
          <w:rFonts w:ascii="Times New Roman"/>
          <w:spacing w:val="-6"/>
        </w:rPr>
        <w:t>A</w:t>
      </w:r>
      <w:r>
        <w:rPr>
          <w:rFonts w:ascii="Times New Roman"/>
          <w:spacing w:val="11"/>
        </w:rPr>
        <w:t>R</w:t>
      </w:r>
      <w:r>
        <w:rPr>
          <w:rFonts w:ascii="Times New Roman"/>
          <w:spacing w:val="-2"/>
        </w:rPr>
        <w:t>D</w:t>
      </w:r>
      <w:r>
        <w:rPr>
          <w:rFonts w:ascii="Times New Roman"/>
        </w:rPr>
        <w:t>S</w:t>
      </w:r>
    </w:p>
    <w:p w:rsidR="008918FA" w:rsidRDefault="008918FA" w:rsidP="008918FA">
      <w:pPr>
        <w:spacing w:before="7"/>
        <w:rPr>
          <w:rFonts w:ascii="Times New Roman" w:eastAsia="Times New Roman" w:hAnsi="Times New Roman" w:cs="Times New Roman"/>
          <w:sz w:val="14"/>
          <w:szCs w:val="14"/>
        </w:rPr>
      </w:pPr>
    </w:p>
    <w:p w:rsidR="008918FA" w:rsidRDefault="008918FA" w:rsidP="008918FA">
      <w:pPr>
        <w:pStyle w:val="BodyText"/>
        <w:tabs>
          <w:tab w:val="left" w:pos="2134"/>
        </w:tabs>
        <w:spacing w:before="72"/>
        <w:ind w:left="1032" w:firstLine="0"/>
      </w:pPr>
      <w:r>
        <w:rPr>
          <w:highlight w:val="yellow"/>
        </w:rPr>
        <w:t>[</w:t>
      </w:r>
      <w:r>
        <w:rPr>
          <w:highlight w:val="yellow"/>
        </w:rPr>
        <w:tab/>
        <w:t>]</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10"/>
        <w:rPr>
          <w:rFonts w:ascii="Arial" w:eastAsia="Arial" w:hAnsi="Arial" w:cs="Arial"/>
          <w:sz w:val="17"/>
          <w:szCs w:val="17"/>
        </w:rPr>
      </w:pPr>
    </w:p>
    <w:p w:rsidR="008918FA" w:rsidRDefault="008918FA" w:rsidP="008918FA">
      <w:pPr>
        <w:spacing w:line="200" w:lineRule="atLeast"/>
        <w:ind w:left="33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60" w:left="1540" w:header="0" w:footer="967" w:gutter="0"/>
          <w:cols w:space="720"/>
        </w:sectPr>
      </w:pPr>
    </w:p>
    <w:p w:rsidR="008918FA" w:rsidRDefault="008918FA" w:rsidP="008918FA">
      <w:pPr>
        <w:pStyle w:val="BodyText"/>
        <w:spacing w:before="58"/>
        <w:ind w:left="2530" w:firstLine="0"/>
        <w:rPr>
          <w:rFonts w:ascii="Times New Roman" w:eastAsia="Times New Roman" w:hAnsi="Times New Roman" w:cs="Times New Roman"/>
        </w:rPr>
      </w:pPr>
      <w:bookmarkStart w:id="397" w:name="CALL_OFF_SCHEDULE_8:_SECURITY"/>
      <w:bookmarkStart w:id="398" w:name="_bookmark321"/>
      <w:bookmarkEnd w:id="397"/>
      <w:bookmarkEnd w:id="398"/>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5"/>
        </w:rPr>
        <w:t>8:</w:t>
      </w:r>
      <w:r>
        <w:rPr>
          <w:rFonts w:ascii="Times New Roman"/>
          <w:spacing w:val="20"/>
        </w:rPr>
        <w:t xml:space="preserve"> </w:t>
      </w:r>
      <w:r>
        <w:rPr>
          <w:rFonts w:ascii="Times New Roman"/>
          <w:spacing w:val="4"/>
        </w:rPr>
        <w:t>SECURITY</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spacing w:line="200" w:lineRule="atLeast"/>
        <w:ind w:left="4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69E45AF8" wp14:editId="7882DE9E">
                <wp:extent cx="5388610" cy="321945"/>
                <wp:effectExtent l="0" t="0" r="2540" b="1905"/>
                <wp:docPr id="2469" name="Group 2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321945"/>
                          <a:chOff x="0" y="0"/>
                          <a:chExt cx="8486" cy="507"/>
                        </a:xfrm>
                      </wpg:grpSpPr>
                      <wpg:grpSp>
                        <wpg:cNvPr id="2470" name="Group 2465"/>
                        <wpg:cNvGrpSpPr>
                          <a:grpSpLocks/>
                        </wpg:cNvGrpSpPr>
                        <wpg:grpSpPr bwMode="auto">
                          <a:xfrm>
                            <a:off x="0" y="0"/>
                            <a:ext cx="8484" cy="255"/>
                            <a:chOff x="0" y="0"/>
                            <a:chExt cx="8484" cy="255"/>
                          </a:xfrm>
                        </wpg:grpSpPr>
                        <wps:wsp>
                          <wps:cNvPr id="2471" name="Freeform 2466"/>
                          <wps:cNvSpPr>
                            <a:spLocks/>
                          </wps:cNvSpPr>
                          <wps:spPr bwMode="auto">
                            <a:xfrm>
                              <a:off x="0" y="0"/>
                              <a:ext cx="8484" cy="255"/>
                            </a:xfrm>
                            <a:custGeom>
                              <a:avLst/>
                              <a:gdLst>
                                <a:gd name="T0" fmla="*/ 0 w 8484"/>
                                <a:gd name="T1" fmla="*/ 254 h 255"/>
                                <a:gd name="T2" fmla="*/ 8484 w 8484"/>
                                <a:gd name="T3" fmla="*/ 254 h 255"/>
                                <a:gd name="T4" fmla="*/ 8484 w 8484"/>
                                <a:gd name="T5" fmla="*/ 0 h 255"/>
                                <a:gd name="T6" fmla="*/ 0 w 8484"/>
                                <a:gd name="T7" fmla="*/ 0 h 255"/>
                                <a:gd name="T8" fmla="*/ 0 w 8484"/>
                                <a:gd name="T9" fmla="*/ 254 h 255"/>
                              </a:gdLst>
                              <a:ahLst/>
                              <a:cxnLst>
                                <a:cxn ang="0">
                                  <a:pos x="T0" y="T1"/>
                                </a:cxn>
                                <a:cxn ang="0">
                                  <a:pos x="T2" y="T3"/>
                                </a:cxn>
                                <a:cxn ang="0">
                                  <a:pos x="T4" y="T5"/>
                                </a:cxn>
                                <a:cxn ang="0">
                                  <a:pos x="T6" y="T7"/>
                                </a:cxn>
                                <a:cxn ang="0">
                                  <a:pos x="T8" y="T9"/>
                                </a:cxn>
                              </a:cxnLst>
                              <a:rect l="0" t="0" r="r" b="b"/>
                              <a:pathLst>
                                <a:path w="8484" h="255">
                                  <a:moveTo>
                                    <a:pt x="0" y="254"/>
                                  </a:moveTo>
                                  <a:lnTo>
                                    <a:pt x="8484" y="254"/>
                                  </a:lnTo>
                                  <a:lnTo>
                                    <a:pt x="8484"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2" name="Group 2462"/>
                        <wpg:cNvGrpSpPr>
                          <a:grpSpLocks/>
                        </wpg:cNvGrpSpPr>
                        <wpg:grpSpPr bwMode="auto">
                          <a:xfrm>
                            <a:off x="0" y="254"/>
                            <a:ext cx="4452" cy="252"/>
                            <a:chOff x="0" y="254"/>
                            <a:chExt cx="4452" cy="252"/>
                          </a:xfrm>
                        </wpg:grpSpPr>
                        <wps:wsp>
                          <wps:cNvPr id="2473" name="Freeform 2464"/>
                          <wps:cNvSpPr>
                            <a:spLocks/>
                          </wps:cNvSpPr>
                          <wps:spPr bwMode="auto">
                            <a:xfrm>
                              <a:off x="0" y="254"/>
                              <a:ext cx="4452" cy="252"/>
                            </a:xfrm>
                            <a:custGeom>
                              <a:avLst/>
                              <a:gdLst>
                                <a:gd name="T0" fmla="*/ 0 w 4452"/>
                                <a:gd name="T1" fmla="+- 0 506 254"/>
                                <a:gd name="T2" fmla="*/ 506 h 252"/>
                                <a:gd name="T3" fmla="*/ 4452 w 4452"/>
                                <a:gd name="T4" fmla="+- 0 506 254"/>
                                <a:gd name="T5" fmla="*/ 506 h 252"/>
                                <a:gd name="T6" fmla="*/ 4452 w 4452"/>
                                <a:gd name="T7" fmla="+- 0 254 254"/>
                                <a:gd name="T8" fmla="*/ 254 h 252"/>
                                <a:gd name="T9" fmla="*/ 0 w 4452"/>
                                <a:gd name="T10" fmla="+- 0 254 254"/>
                                <a:gd name="T11" fmla="*/ 254 h 252"/>
                                <a:gd name="T12" fmla="*/ 0 w 4452"/>
                                <a:gd name="T13" fmla="+- 0 506 254"/>
                                <a:gd name="T14" fmla="*/ 506 h 252"/>
                              </a:gdLst>
                              <a:ahLst/>
                              <a:cxnLst>
                                <a:cxn ang="0">
                                  <a:pos x="T0" y="T2"/>
                                </a:cxn>
                                <a:cxn ang="0">
                                  <a:pos x="T3" y="T5"/>
                                </a:cxn>
                                <a:cxn ang="0">
                                  <a:pos x="T6" y="T8"/>
                                </a:cxn>
                                <a:cxn ang="0">
                                  <a:pos x="T9" y="T11"/>
                                </a:cxn>
                                <a:cxn ang="0">
                                  <a:pos x="T12" y="T14"/>
                                </a:cxn>
                              </a:cxnLst>
                              <a:rect l="0" t="0" r="r" b="b"/>
                              <a:pathLst>
                                <a:path w="4452" h="252">
                                  <a:moveTo>
                                    <a:pt x="0" y="252"/>
                                  </a:moveTo>
                                  <a:lnTo>
                                    <a:pt x="4452" y="252"/>
                                  </a:lnTo>
                                  <a:lnTo>
                                    <a:pt x="4452"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Text Box 2463"/>
                          <wps:cNvSpPr txBox="1">
                            <a:spLocks noChangeArrowheads="1"/>
                          </wps:cNvSpPr>
                          <wps:spPr bwMode="auto">
                            <a:xfrm>
                              <a:off x="0" y="0"/>
                              <a:ext cx="848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1" w:lineRule="auto"/>
                                  <w:rPr>
                                    <w:rFonts w:ascii="Arial" w:eastAsia="Arial" w:hAnsi="Arial" w:cs="Arial"/>
                                  </w:rPr>
                                </w:pPr>
                                <w:r>
                                  <w:rPr>
                                    <w:rFonts w:ascii="Arial"/>
                                    <w:b/>
                                    <w:i/>
                                    <w:spacing w:val="-1"/>
                                  </w:rPr>
                                  <w:t>[Guidance</w:t>
                                </w:r>
                                <w:r>
                                  <w:rPr>
                                    <w:rFonts w:ascii="Arial"/>
                                    <w:b/>
                                    <w:i/>
                                  </w:rPr>
                                  <w:t xml:space="preserve"> </w:t>
                                </w:r>
                                <w:r>
                                  <w:rPr>
                                    <w:rFonts w:ascii="Arial"/>
                                    <w:b/>
                                    <w:i/>
                                    <w:spacing w:val="35"/>
                                  </w:rPr>
                                  <w:t xml:space="preserve"> </w:t>
                                </w:r>
                                <w:r>
                                  <w:rPr>
                                    <w:rFonts w:ascii="Arial"/>
                                    <w:b/>
                                    <w:i/>
                                    <w:spacing w:val="-2"/>
                                  </w:rPr>
                                  <w:t>Note:</w:t>
                                </w:r>
                                <w:r>
                                  <w:rPr>
                                    <w:rFonts w:ascii="Arial"/>
                                    <w:b/>
                                    <w:i/>
                                  </w:rPr>
                                  <w:t xml:space="preserve"> </w:t>
                                </w:r>
                                <w:r>
                                  <w:rPr>
                                    <w:rFonts w:ascii="Arial"/>
                                    <w:b/>
                                    <w:i/>
                                    <w:spacing w:val="36"/>
                                  </w:rPr>
                                  <w:t xml:space="preserve"> </w:t>
                                </w:r>
                                <w:r>
                                  <w:rPr>
                                    <w:rFonts w:ascii="Arial"/>
                                    <w:b/>
                                    <w:i/>
                                    <w:spacing w:val="-1"/>
                                  </w:rPr>
                                  <w:t>Consider</w:t>
                                </w:r>
                                <w:r>
                                  <w:rPr>
                                    <w:rFonts w:ascii="Arial"/>
                                    <w:b/>
                                    <w:i/>
                                  </w:rPr>
                                  <w:t xml:space="preserve"> </w:t>
                                </w:r>
                                <w:r>
                                  <w:rPr>
                                    <w:rFonts w:ascii="Arial"/>
                                    <w:b/>
                                    <w:i/>
                                    <w:spacing w:val="36"/>
                                  </w:rPr>
                                  <w:t xml:space="preserve"> </w:t>
                                </w:r>
                                <w:r>
                                  <w:rPr>
                                    <w:rFonts w:ascii="Arial"/>
                                    <w:b/>
                                    <w:i/>
                                    <w:spacing w:val="-1"/>
                                  </w:rPr>
                                  <w:t>and</w:t>
                                </w:r>
                                <w:r>
                                  <w:rPr>
                                    <w:rFonts w:ascii="Arial"/>
                                    <w:b/>
                                    <w:i/>
                                  </w:rPr>
                                  <w:t xml:space="preserve"> </w:t>
                                </w:r>
                                <w:r>
                                  <w:rPr>
                                    <w:rFonts w:ascii="Arial"/>
                                    <w:b/>
                                    <w:i/>
                                    <w:spacing w:val="35"/>
                                  </w:rPr>
                                  <w:t xml:space="preserve"> </w:t>
                                </w:r>
                                <w:r>
                                  <w:rPr>
                                    <w:rFonts w:ascii="Arial"/>
                                    <w:b/>
                                    <w:i/>
                                    <w:spacing w:val="-1"/>
                                  </w:rPr>
                                  <w:t>select</w:t>
                                </w:r>
                                <w:r>
                                  <w:rPr>
                                    <w:rFonts w:ascii="Arial"/>
                                    <w:b/>
                                    <w:i/>
                                  </w:rPr>
                                  <w:t xml:space="preserve"> </w:t>
                                </w:r>
                                <w:r>
                                  <w:rPr>
                                    <w:rFonts w:ascii="Arial"/>
                                    <w:b/>
                                    <w:i/>
                                    <w:spacing w:val="34"/>
                                  </w:rPr>
                                  <w:t xml:space="preserve"> </w:t>
                                </w:r>
                                <w:r>
                                  <w:rPr>
                                    <w:rFonts w:ascii="Arial"/>
                                    <w:b/>
                                    <w:i/>
                                    <w:spacing w:val="-1"/>
                                  </w:rPr>
                                  <w:t>short</w:t>
                                </w:r>
                                <w:r>
                                  <w:rPr>
                                    <w:rFonts w:ascii="Arial"/>
                                    <w:b/>
                                    <w:i/>
                                  </w:rPr>
                                  <w:t xml:space="preserve"> </w:t>
                                </w:r>
                                <w:r>
                                  <w:rPr>
                                    <w:rFonts w:ascii="Arial"/>
                                    <w:b/>
                                    <w:i/>
                                    <w:spacing w:val="34"/>
                                  </w:rPr>
                                  <w:t xml:space="preserve"> </w:t>
                                </w:r>
                                <w:r>
                                  <w:rPr>
                                    <w:rFonts w:ascii="Arial"/>
                                    <w:b/>
                                    <w:i/>
                                    <w:spacing w:val="-1"/>
                                  </w:rPr>
                                  <w:t>form</w:t>
                                </w:r>
                                <w:r>
                                  <w:rPr>
                                    <w:rFonts w:ascii="Arial"/>
                                    <w:b/>
                                    <w:i/>
                                  </w:rPr>
                                  <w:t xml:space="preserve"> </w:t>
                                </w:r>
                                <w:r>
                                  <w:rPr>
                                    <w:rFonts w:ascii="Arial"/>
                                    <w:b/>
                                    <w:i/>
                                    <w:spacing w:val="34"/>
                                  </w:rPr>
                                  <w:t xml:space="preserve"> </w:t>
                                </w:r>
                                <w:r>
                                  <w:rPr>
                                    <w:rFonts w:ascii="Arial"/>
                                    <w:b/>
                                    <w:i/>
                                    <w:spacing w:val="-1"/>
                                  </w:rPr>
                                  <w:t>or</w:t>
                                </w:r>
                                <w:r>
                                  <w:rPr>
                                    <w:rFonts w:ascii="Arial"/>
                                    <w:b/>
                                    <w:i/>
                                  </w:rPr>
                                  <w:t xml:space="preserve"> </w:t>
                                </w:r>
                                <w:r>
                                  <w:rPr>
                                    <w:rFonts w:ascii="Arial"/>
                                    <w:b/>
                                    <w:i/>
                                    <w:spacing w:val="33"/>
                                  </w:rPr>
                                  <w:t xml:space="preserve"> </w:t>
                                </w:r>
                                <w:r>
                                  <w:rPr>
                                    <w:rFonts w:ascii="Arial"/>
                                    <w:b/>
                                    <w:i/>
                                    <w:spacing w:val="-1"/>
                                  </w:rPr>
                                  <w:t>long</w:t>
                                </w:r>
                                <w:r>
                                  <w:rPr>
                                    <w:rFonts w:ascii="Arial"/>
                                    <w:b/>
                                    <w:i/>
                                  </w:rPr>
                                  <w:t xml:space="preserve"> </w:t>
                                </w:r>
                                <w:r>
                                  <w:rPr>
                                    <w:rFonts w:ascii="Arial"/>
                                    <w:b/>
                                    <w:i/>
                                    <w:spacing w:val="35"/>
                                  </w:rPr>
                                  <w:t xml:space="preserve"> </w:t>
                                </w:r>
                                <w:r>
                                  <w:rPr>
                                    <w:rFonts w:ascii="Arial"/>
                                    <w:b/>
                                    <w:i/>
                                    <w:spacing w:val="-1"/>
                                  </w:rPr>
                                  <w:t>form</w:t>
                                </w:r>
                                <w:r>
                                  <w:rPr>
                                    <w:rFonts w:ascii="Arial"/>
                                    <w:b/>
                                    <w:i/>
                                  </w:rPr>
                                  <w:t xml:space="preserve"> </w:t>
                                </w:r>
                                <w:r>
                                  <w:rPr>
                                    <w:rFonts w:ascii="Arial"/>
                                    <w:b/>
                                    <w:i/>
                                    <w:spacing w:val="33"/>
                                  </w:rPr>
                                  <w:t xml:space="preserve"> </w:t>
                                </w:r>
                                <w:r>
                                  <w:rPr>
                                    <w:rFonts w:ascii="Arial"/>
                                    <w:b/>
                                    <w:i/>
                                    <w:spacing w:val="-1"/>
                                  </w:rPr>
                                  <w:t>below,</w:t>
                                </w:r>
                                <w:r>
                                  <w:rPr>
                                    <w:rFonts w:ascii="Arial"/>
                                    <w:b/>
                                    <w:i/>
                                  </w:rPr>
                                  <w:t xml:space="preserve"> </w:t>
                                </w:r>
                                <w:r>
                                  <w:rPr>
                                    <w:rFonts w:ascii="Arial"/>
                                    <w:b/>
                                    <w:i/>
                                    <w:spacing w:val="36"/>
                                  </w:rPr>
                                  <w:t xml:space="preserve"> </w:t>
                                </w:r>
                                <w:r>
                                  <w:rPr>
                                    <w:rFonts w:ascii="Arial"/>
                                    <w:b/>
                                    <w:i/>
                                    <w:spacing w:val="-1"/>
                                  </w:rPr>
                                  <w:t>as</w:t>
                                </w:r>
                                <w:r>
                                  <w:rPr>
                                    <w:rFonts w:ascii="Arial"/>
                                    <w:b/>
                                    <w:i/>
                                    <w:spacing w:val="40"/>
                                  </w:rPr>
                                  <w:t xml:space="preserve"> </w:t>
                                </w:r>
                                <w:r>
                                  <w:rPr>
                                    <w:rFonts w:ascii="Arial"/>
                                    <w:b/>
                                    <w:i/>
                                    <w:spacing w:val="-1"/>
                                  </w:rPr>
                                  <w:t>appropriate</w:t>
                                </w:r>
                                <w:r>
                                  <w:rPr>
                                    <w:rFonts w:ascii="Arial"/>
                                    <w:b/>
                                    <w:i/>
                                    <w:spacing w:val="-2"/>
                                  </w:rPr>
                                  <w:t xml:space="preserve"> </w:t>
                                </w:r>
                                <w:r>
                                  <w:rPr>
                                    <w:rFonts w:ascii="Arial"/>
                                    <w:b/>
                                    <w:i/>
                                  </w:rPr>
                                  <w:t xml:space="preserve">to </w:t>
                                </w:r>
                                <w:r>
                                  <w:rPr>
                                    <w:rFonts w:ascii="Arial"/>
                                    <w:b/>
                                    <w:i/>
                                    <w:spacing w:val="-2"/>
                                  </w:rPr>
                                  <w:t>your</w:t>
                                </w:r>
                                <w:r>
                                  <w:rPr>
                                    <w:rFonts w:ascii="Arial"/>
                                    <w:b/>
                                    <w:i/>
                                    <w:spacing w:val="1"/>
                                  </w:rPr>
                                  <w:t xml:space="preserve"> </w:t>
                                </w:r>
                                <w:r>
                                  <w:rPr>
                                    <w:rFonts w:ascii="Arial"/>
                                    <w:b/>
                                    <w:i/>
                                    <w:spacing w:val="-1"/>
                                  </w:rPr>
                                  <w:t>security</w:t>
                                </w:r>
                                <w:r>
                                  <w:rPr>
                                    <w:rFonts w:ascii="Arial"/>
                                    <w:b/>
                                    <w:i/>
                                    <w:spacing w:val="-2"/>
                                  </w:rPr>
                                  <w:t xml:space="preserve"> requirements]</w:t>
                                </w:r>
                              </w:p>
                            </w:txbxContent>
                          </wps:txbx>
                          <wps:bodyPr rot="0" vert="horz" wrap="square" lIns="0" tIns="0" rIns="0" bIns="0" anchor="t" anchorCtr="0" upright="1">
                            <a:noAutofit/>
                          </wps:bodyPr>
                        </wps:wsp>
                      </wpg:grpSp>
                    </wpg:wgp>
                  </a:graphicData>
                </a:graphic>
              </wp:inline>
            </w:drawing>
          </mc:Choice>
          <mc:Fallback>
            <w:pict>
              <v:group w14:anchorId="69E45AF8" id="Group 2461" o:spid="_x0000_s1318" style="width:424.3pt;height:25.35pt;mso-position-horizontal-relative:char;mso-position-vertical-relative:line" coordsize="848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">
                <v:group id="Group 2465" o:spid="_x0000_s1319" style="position:absolute;width:8484;height:255"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2466" o:spid="_x0000_s1320" style="position:absolute;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K8cA&#10;AADdAAAADwAAAGRycy9kb3ducmV2LnhtbESP3UoDMRSE7wXfIZyCdza7S/3p2rSIUClYLK59gMPm&#10;uNl2cxKT2K5vbwTBy2FmvmEWq9EO4kQh9o4VlNMCBHHrdM+dgv37+voeREzIGgfHpOCbIqyWlxcL&#10;rLU78xudmtSJDOFYowKTkq+ljK0hi3HqPHH2PlywmLIMndQBzxluB1kVxa202HNeMOjpyVB7bL6s&#10;gtdyd/DV8Hl82W6eb8J82+yMb5S6moyPDyASjek//NfeaAXV7K6E3zf5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4BCvHAAAA3QAAAA8AAAAAAAAAAAAAAAAAmAIAAGRy&#10;cy9kb3ducmV2LnhtbFBLBQYAAAAABAAEAPUAAACMAwAAAAA=&#10;" path="m,254r8484,l8484,,,,,254xe" fillcolor="lime" stroked="f">
                    <v:path arrowok="t" o:connecttype="custom" o:connectlocs="0,254;8484,254;8484,0;0,0;0,254" o:connectangles="0,0,0,0,0"/>
                  </v:shape>
                </v:group>
                <v:group id="Group 2462" o:spid="_x0000_s1321" style="position:absolute;top:254;width:4452;height:252" coordorigin=",254" coordsize="445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2464" o:spid="_x0000_s1322" style="position:absolute;top:254;width:4452;height:252;visibility:visible;mso-wrap-style:square;v-text-anchor:top" coordsize="44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MIcUA&#10;AADdAAAADwAAAGRycy9kb3ducmV2LnhtbESPQWvCQBSE7wX/w/KE3pqNadE2dRURCi0UxJhDj4/s&#10;Mwlm34bdrUn+fbcgeBzmmxlmvR1NJ67kfGtZwSJJQRBXVrdcKyhPH0+vIHxA1thZJgUTedhuZg9r&#10;zLUd+EjXItQilrDPUUETQp9L6auGDPrE9sTRO1tnMETpaqkdDrHcdDJL06U02HJcaLCnfUPVpfg1&#10;CkIWObbVJN9+vvRUHsrv81Aq9Tgfd+8gAo3hDt/Sn1pB9rJ6hv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AwhxQAAAN0AAAAPAAAAAAAAAAAAAAAAAJgCAABkcnMv&#10;ZG93bnJldi54bWxQSwUGAAAAAAQABAD1AAAAigMAAAAA&#10;" path="m,252r4452,l4452,,,,,252xe" fillcolor="lime" stroked="f">
                    <v:path arrowok="t" o:connecttype="custom" o:connectlocs="0,506;4452,506;4452,254;0,254;0,506" o:connectangles="0,0,0,0,0"/>
                  </v:shape>
                  <v:shape id="Text Box 2463" o:spid="_x0000_s1323" type="#_x0000_t202" style="position:absolute;width:848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FzsYA&#10;AADdAAAADwAAAGRycy9kb3ducmV2LnhtbESPQWvCQBSE7wX/w/IEb3WjiNXoKiIVCgVpjAePz+wz&#10;Wcy+TbNbTf+9Wyh4HGbmG2a57mwtbtR641jBaJiAIC6cNlwqOOa71xkIH5A11o5JwS95WK96L0tM&#10;tbtzRrdDKEWEsE9RQRVCk0rpi4os+qFriKN3ca3FEGVbSt3iPcJtLcdJMpUWDceFChvaVlRcDz9W&#10;webE2bv53p+/sktm8nye8Of0q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DFzsYAAADdAAAADwAAAAAAAAAAAAAAAACYAgAAZHJz&#10;L2Rvd25yZXYueG1sUEsFBgAAAAAEAAQA9QAAAIsDAAAAAA==&#10;" filled="f" stroked="f">
                    <v:textbox inset="0,0,0,0">
                      <w:txbxContent>
                        <w:p w:rsidR="005D2B81" w:rsidRDefault="005D2B81" w:rsidP="008918FA">
                          <w:pPr>
                            <w:spacing w:line="241" w:lineRule="auto"/>
                            <w:rPr>
                              <w:rFonts w:ascii="Arial" w:eastAsia="Arial" w:hAnsi="Arial" w:cs="Arial"/>
                            </w:rPr>
                          </w:pPr>
                          <w:r>
                            <w:rPr>
                              <w:rFonts w:ascii="Arial"/>
                              <w:b/>
                              <w:i/>
                              <w:spacing w:val="-1"/>
                            </w:rPr>
                            <w:t>[Guidance</w:t>
                          </w:r>
                          <w:r>
                            <w:rPr>
                              <w:rFonts w:ascii="Arial"/>
                              <w:b/>
                              <w:i/>
                            </w:rPr>
                            <w:t xml:space="preserve"> </w:t>
                          </w:r>
                          <w:r>
                            <w:rPr>
                              <w:rFonts w:ascii="Arial"/>
                              <w:b/>
                              <w:i/>
                              <w:spacing w:val="35"/>
                            </w:rPr>
                            <w:t xml:space="preserve"> </w:t>
                          </w:r>
                          <w:r>
                            <w:rPr>
                              <w:rFonts w:ascii="Arial"/>
                              <w:b/>
                              <w:i/>
                              <w:spacing w:val="-2"/>
                            </w:rPr>
                            <w:t>Note:</w:t>
                          </w:r>
                          <w:r>
                            <w:rPr>
                              <w:rFonts w:ascii="Arial"/>
                              <w:b/>
                              <w:i/>
                            </w:rPr>
                            <w:t xml:space="preserve"> </w:t>
                          </w:r>
                          <w:r>
                            <w:rPr>
                              <w:rFonts w:ascii="Arial"/>
                              <w:b/>
                              <w:i/>
                              <w:spacing w:val="36"/>
                            </w:rPr>
                            <w:t xml:space="preserve"> </w:t>
                          </w:r>
                          <w:r>
                            <w:rPr>
                              <w:rFonts w:ascii="Arial"/>
                              <w:b/>
                              <w:i/>
                              <w:spacing w:val="-1"/>
                            </w:rPr>
                            <w:t>Consider</w:t>
                          </w:r>
                          <w:r>
                            <w:rPr>
                              <w:rFonts w:ascii="Arial"/>
                              <w:b/>
                              <w:i/>
                            </w:rPr>
                            <w:t xml:space="preserve"> </w:t>
                          </w:r>
                          <w:r>
                            <w:rPr>
                              <w:rFonts w:ascii="Arial"/>
                              <w:b/>
                              <w:i/>
                              <w:spacing w:val="36"/>
                            </w:rPr>
                            <w:t xml:space="preserve"> </w:t>
                          </w:r>
                          <w:r>
                            <w:rPr>
                              <w:rFonts w:ascii="Arial"/>
                              <w:b/>
                              <w:i/>
                              <w:spacing w:val="-1"/>
                            </w:rPr>
                            <w:t>and</w:t>
                          </w:r>
                          <w:r>
                            <w:rPr>
                              <w:rFonts w:ascii="Arial"/>
                              <w:b/>
                              <w:i/>
                            </w:rPr>
                            <w:t xml:space="preserve"> </w:t>
                          </w:r>
                          <w:r>
                            <w:rPr>
                              <w:rFonts w:ascii="Arial"/>
                              <w:b/>
                              <w:i/>
                              <w:spacing w:val="35"/>
                            </w:rPr>
                            <w:t xml:space="preserve"> </w:t>
                          </w:r>
                          <w:r>
                            <w:rPr>
                              <w:rFonts w:ascii="Arial"/>
                              <w:b/>
                              <w:i/>
                              <w:spacing w:val="-1"/>
                            </w:rPr>
                            <w:t>select</w:t>
                          </w:r>
                          <w:r>
                            <w:rPr>
                              <w:rFonts w:ascii="Arial"/>
                              <w:b/>
                              <w:i/>
                            </w:rPr>
                            <w:t xml:space="preserve"> </w:t>
                          </w:r>
                          <w:r>
                            <w:rPr>
                              <w:rFonts w:ascii="Arial"/>
                              <w:b/>
                              <w:i/>
                              <w:spacing w:val="34"/>
                            </w:rPr>
                            <w:t xml:space="preserve"> </w:t>
                          </w:r>
                          <w:r>
                            <w:rPr>
                              <w:rFonts w:ascii="Arial"/>
                              <w:b/>
                              <w:i/>
                              <w:spacing w:val="-1"/>
                            </w:rPr>
                            <w:t>short</w:t>
                          </w:r>
                          <w:r>
                            <w:rPr>
                              <w:rFonts w:ascii="Arial"/>
                              <w:b/>
                              <w:i/>
                            </w:rPr>
                            <w:t xml:space="preserve"> </w:t>
                          </w:r>
                          <w:r>
                            <w:rPr>
                              <w:rFonts w:ascii="Arial"/>
                              <w:b/>
                              <w:i/>
                              <w:spacing w:val="34"/>
                            </w:rPr>
                            <w:t xml:space="preserve"> </w:t>
                          </w:r>
                          <w:r>
                            <w:rPr>
                              <w:rFonts w:ascii="Arial"/>
                              <w:b/>
                              <w:i/>
                              <w:spacing w:val="-1"/>
                            </w:rPr>
                            <w:t>form</w:t>
                          </w:r>
                          <w:r>
                            <w:rPr>
                              <w:rFonts w:ascii="Arial"/>
                              <w:b/>
                              <w:i/>
                            </w:rPr>
                            <w:t xml:space="preserve"> </w:t>
                          </w:r>
                          <w:r>
                            <w:rPr>
                              <w:rFonts w:ascii="Arial"/>
                              <w:b/>
                              <w:i/>
                              <w:spacing w:val="34"/>
                            </w:rPr>
                            <w:t xml:space="preserve"> </w:t>
                          </w:r>
                          <w:r>
                            <w:rPr>
                              <w:rFonts w:ascii="Arial"/>
                              <w:b/>
                              <w:i/>
                              <w:spacing w:val="-1"/>
                            </w:rPr>
                            <w:t>or</w:t>
                          </w:r>
                          <w:r>
                            <w:rPr>
                              <w:rFonts w:ascii="Arial"/>
                              <w:b/>
                              <w:i/>
                            </w:rPr>
                            <w:t xml:space="preserve"> </w:t>
                          </w:r>
                          <w:r>
                            <w:rPr>
                              <w:rFonts w:ascii="Arial"/>
                              <w:b/>
                              <w:i/>
                              <w:spacing w:val="33"/>
                            </w:rPr>
                            <w:t xml:space="preserve"> </w:t>
                          </w:r>
                          <w:r>
                            <w:rPr>
                              <w:rFonts w:ascii="Arial"/>
                              <w:b/>
                              <w:i/>
                              <w:spacing w:val="-1"/>
                            </w:rPr>
                            <w:t>long</w:t>
                          </w:r>
                          <w:r>
                            <w:rPr>
                              <w:rFonts w:ascii="Arial"/>
                              <w:b/>
                              <w:i/>
                            </w:rPr>
                            <w:t xml:space="preserve"> </w:t>
                          </w:r>
                          <w:r>
                            <w:rPr>
                              <w:rFonts w:ascii="Arial"/>
                              <w:b/>
                              <w:i/>
                              <w:spacing w:val="35"/>
                            </w:rPr>
                            <w:t xml:space="preserve"> </w:t>
                          </w:r>
                          <w:r>
                            <w:rPr>
                              <w:rFonts w:ascii="Arial"/>
                              <w:b/>
                              <w:i/>
                              <w:spacing w:val="-1"/>
                            </w:rPr>
                            <w:t>form</w:t>
                          </w:r>
                          <w:r>
                            <w:rPr>
                              <w:rFonts w:ascii="Arial"/>
                              <w:b/>
                              <w:i/>
                            </w:rPr>
                            <w:t xml:space="preserve"> </w:t>
                          </w:r>
                          <w:r>
                            <w:rPr>
                              <w:rFonts w:ascii="Arial"/>
                              <w:b/>
                              <w:i/>
                              <w:spacing w:val="33"/>
                            </w:rPr>
                            <w:t xml:space="preserve"> </w:t>
                          </w:r>
                          <w:r>
                            <w:rPr>
                              <w:rFonts w:ascii="Arial"/>
                              <w:b/>
                              <w:i/>
                              <w:spacing w:val="-1"/>
                            </w:rPr>
                            <w:t>below,</w:t>
                          </w:r>
                          <w:r>
                            <w:rPr>
                              <w:rFonts w:ascii="Arial"/>
                              <w:b/>
                              <w:i/>
                            </w:rPr>
                            <w:t xml:space="preserve"> </w:t>
                          </w:r>
                          <w:r>
                            <w:rPr>
                              <w:rFonts w:ascii="Arial"/>
                              <w:b/>
                              <w:i/>
                              <w:spacing w:val="36"/>
                            </w:rPr>
                            <w:t xml:space="preserve"> </w:t>
                          </w:r>
                          <w:r>
                            <w:rPr>
                              <w:rFonts w:ascii="Arial"/>
                              <w:b/>
                              <w:i/>
                              <w:spacing w:val="-1"/>
                            </w:rPr>
                            <w:t>as</w:t>
                          </w:r>
                          <w:r>
                            <w:rPr>
                              <w:rFonts w:ascii="Arial"/>
                              <w:b/>
                              <w:i/>
                              <w:spacing w:val="40"/>
                            </w:rPr>
                            <w:t xml:space="preserve"> </w:t>
                          </w:r>
                          <w:r>
                            <w:rPr>
                              <w:rFonts w:ascii="Arial"/>
                              <w:b/>
                              <w:i/>
                              <w:spacing w:val="-1"/>
                            </w:rPr>
                            <w:t>appropriate</w:t>
                          </w:r>
                          <w:r>
                            <w:rPr>
                              <w:rFonts w:ascii="Arial"/>
                              <w:b/>
                              <w:i/>
                              <w:spacing w:val="-2"/>
                            </w:rPr>
                            <w:t xml:space="preserve"> </w:t>
                          </w:r>
                          <w:r>
                            <w:rPr>
                              <w:rFonts w:ascii="Arial"/>
                              <w:b/>
                              <w:i/>
                            </w:rPr>
                            <w:t xml:space="preserve">to </w:t>
                          </w:r>
                          <w:r>
                            <w:rPr>
                              <w:rFonts w:ascii="Arial"/>
                              <w:b/>
                              <w:i/>
                              <w:spacing w:val="-2"/>
                            </w:rPr>
                            <w:t>your</w:t>
                          </w:r>
                          <w:r>
                            <w:rPr>
                              <w:rFonts w:ascii="Arial"/>
                              <w:b/>
                              <w:i/>
                              <w:spacing w:val="1"/>
                            </w:rPr>
                            <w:t xml:space="preserve"> </w:t>
                          </w:r>
                          <w:r>
                            <w:rPr>
                              <w:rFonts w:ascii="Arial"/>
                              <w:b/>
                              <w:i/>
                              <w:spacing w:val="-1"/>
                            </w:rPr>
                            <w:t>security</w:t>
                          </w:r>
                          <w:r>
                            <w:rPr>
                              <w:rFonts w:ascii="Arial"/>
                              <w:b/>
                              <w:i/>
                              <w:spacing w:val="-2"/>
                            </w:rPr>
                            <w:t xml:space="preserve"> requirements]</w:t>
                          </w:r>
                        </w:p>
                      </w:txbxContent>
                    </v:textbox>
                  </v:shape>
                </v:group>
                <w10:anchorlock/>
              </v:group>
            </w:pict>
          </mc:Fallback>
        </mc:AlternateContent>
      </w:r>
    </w:p>
    <w:p w:rsidR="008918FA" w:rsidRDefault="008918FA" w:rsidP="008918FA">
      <w:pPr>
        <w:spacing w:before="4"/>
        <w:rPr>
          <w:rFonts w:ascii="Times New Roman" w:eastAsia="Times New Roman" w:hAnsi="Times New Roman" w:cs="Times New Roman"/>
          <w:sz w:val="14"/>
          <w:szCs w:val="14"/>
        </w:rPr>
      </w:pPr>
    </w:p>
    <w:p w:rsidR="008918FA" w:rsidRDefault="008918FA" w:rsidP="008918FA">
      <w:pPr>
        <w:pStyle w:val="Heading2"/>
        <w:ind w:left="466"/>
        <w:rPr>
          <w:b w:val="0"/>
          <w:bCs w:val="0"/>
          <w:i w:val="0"/>
        </w:rPr>
      </w:pPr>
      <w:r>
        <w:rPr>
          <w:spacing w:val="-1"/>
          <w:highlight w:val="yellow"/>
        </w:rPr>
        <w:t>[SHORT</w:t>
      </w:r>
      <w:r>
        <w:rPr>
          <w:spacing w:val="1"/>
          <w:highlight w:val="yellow"/>
        </w:rPr>
        <w:t xml:space="preserve"> </w:t>
      </w:r>
      <w:r>
        <w:rPr>
          <w:spacing w:val="-2"/>
          <w:highlight w:val="yellow"/>
        </w:rPr>
        <w:t>FORM</w:t>
      </w:r>
      <w:r>
        <w:rPr>
          <w:highlight w:val="yellow"/>
        </w:rPr>
        <w:t xml:space="preserve"> – </w:t>
      </w:r>
      <w:r>
        <w:rPr>
          <w:spacing w:val="-2"/>
          <w:highlight w:val="yellow"/>
        </w:rPr>
        <w:t>PARAGRAPHS</w:t>
      </w:r>
      <w:r>
        <w:rPr>
          <w:spacing w:val="1"/>
          <w:highlight w:val="yellow"/>
        </w:rPr>
        <w:t xml:space="preserve"> </w:t>
      </w:r>
      <w:r>
        <w:rPr>
          <w:highlight w:val="yellow"/>
        </w:rPr>
        <w:t xml:space="preserve">1 </w:t>
      </w:r>
      <w:r>
        <w:rPr>
          <w:spacing w:val="-2"/>
          <w:highlight w:val="yellow"/>
        </w:rPr>
        <w:t>TO</w:t>
      </w:r>
      <w:r>
        <w:rPr>
          <w:spacing w:val="2"/>
          <w:highlight w:val="yellow"/>
        </w:rPr>
        <w:t xml:space="preserve"> </w:t>
      </w:r>
      <w:r>
        <w:rPr>
          <w:spacing w:val="-6"/>
          <w:highlight w:val="yellow"/>
        </w:rPr>
        <w:t>5]</w:t>
      </w:r>
    </w:p>
    <w:p w:rsidR="008918FA" w:rsidRDefault="008918FA" w:rsidP="008918FA">
      <w:pPr>
        <w:pStyle w:val="BodyText"/>
        <w:numPr>
          <w:ilvl w:val="0"/>
          <w:numId w:val="22"/>
        </w:numPr>
        <w:tabs>
          <w:tab w:val="left" w:pos="467"/>
        </w:tabs>
        <w:spacing w:before="120"/>
        <w:rPr>
          <w:rFonts w:ascii="Times New Roman" w:eastAsia="Times New Roman" w:hAnsi="Times New Roman" w:cs="Times New Roman"/>
        </w:rPr>
      </w:pPr>
      <w:r>
        <w:rPr>
          <w:rFonts w:ascii="Times New Roman"/>
          <w:spacing w:val="-1"/>
        </w:rPr>
        <w:t>DEFINITIONS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2"/>
        </w:numPr>
        <w:tabs>
          <w:tab w:val="left" w:pos="829"/>
        </w:tabs>
        <w:spacing w:before="0"/>
      </w:pPr>
      <w:r>
        <w:t>In</w:t>
      </w:r>
      <w:r>
        <w:rPr>
          <w:spacing w:val="-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2"/>
        </w:rPr>
        <w:t xml:space="preserve"> </w:t>
      </w:r>
      <w:r>
        <w:rPr>
          <w:spacing w:val="-1"/>
        </w:rPr>
        <w:t>8,</w:t>
      </w:r>
      <w:r>
        <w:t xml:space="preserve"> the</w:t>
      </w:r>
      <w:r>
        <w:rPr>
          <w:spacing w:val="-2"/>
        </w:rPr>
        <w:t xml:space="preserve"> following</w:t>
      </w:r>
      <w:r>
        <w:rPr>
          <w:spacing w:val="3"/>
        </w:rPr>
        <w:t xml:space="preserve"> </w:t>
      </w:r>
      <w:r>
        <w:rPr>
          <w:spacing w:val="-1"/>
        </w:rPr>
        <w:t>definitions</w:t>
      </w:r>
      <w:r>
        <w:rPr>
          <w:spacing w:val="1"/>
        </w:rPr>
        <w:t xml:space="preserve"> </w:t>
      </w:r>
      <w:r>
        <w:rPr>
          <w:spacing w:val="-1"/>
        </w:rPr>
        <w:t>shall</w:t>
      </w:r>
      <w:r>
        <w:t xml:space="preserve"> </w:t>
      </w:r>
      <w:r>
        <w:rPr>
          <w:spacing w:val="-2"/>
        </w:rPr>
        <w:t>apply:</w:t>
      </w:r>
    </w:p>
    <w:p w:rsidR="008918FA" w:rsidRDefault="008918FA" w:rsidP="008918FA">
      <w:pPr>
        <w:tabs>
          <w:tab w:val="left" w:pos="3581"/>
        </w:tabs>
        <w:spacing w:before="119"/>
        <w:ind w:left="500"/>
        <w:rPr>
          <w:rFonts w:ascii="Arial" w:eastAsia="Arial" w:hAnsi="Arial" w:cs="Arial"/>
        </w:rPr>
      </w:pPr>
      <w:r>
        <w:rPr>
          <w:rFonts w:ascii="Arial"/>
          <w:b/>
          <w:spacing w:val="-1"/>
        </w:rPr>
        <w:t>"Breach</w:t>
      </w:r>
      <w:r>
        <w:rPr>
          <w:rFonts w:ascii="Arial"/>
          <w:b/>
        </w:rPr>
        <w:t xml:space="preserve"> </w:t>
      </w:r>
      <w:r>
        <w:rPr>
          <w:rFonts w:ascii="Arial"/>
          <w:b/>
          <w:spacing w:val="-2"/>
        </w:rPr>
        <w:t>of</w:t>
      </w:r>
      <w:r>
        <w:rPr>
          <w:rFonts w:ascii="Arial"/>
          <w:b/>
          <w:spacing w:val="2"/>
        </w:rPr>
        <w:t xml:space="preserve"> </w:t>
      </w:r>
      <w:r>
        <w:rPr>
          <w:rFonts w:ascii="Arial"/>
          <w:b/>
          <w:spacing w:val="-2"/>
        </w:rPr>
        <w:t>Security"</w:t>
      </w:r>
      <w:r>
        <w:rPr>
          <w:rFonts w:ascii="Arial"/>
          <w:b/>
          <w:spacing w:val="-2"/>
        </w:rPr>
        <w:tab/>
      </w:r>
      <w:r>
        <w:rPr>
          <w:rFonts w:ascii="Arial"/>
          <w:spacing w:val="-1"/>
        </w:rPr>
        <w:t>means</w:t>
      </w:r>
      <w:r>
        <w:rPr>
          <w:rFonts w:ascii="Arial"/>
          <w:spacing w:val="-2"/>
        </w:rPr>
        <w:t xml:space="preserve"> </w:t>
      </w:r>
      <w:r>
        <w:rPr>
          <w:rFonts w:ascii="Arial"/>
        </w:rPr>
        <w:t xml:space="preserve">the </w:t>
      </w:r>
      <w:r>
        <w:rPr>
          <w:rFonts w:ascii="Arial"/>
          <w:spacing w:val="-1"/>
        </w:rPr>
        <w:t>occurrence</w:t>
      </w:r>
      <w:r>
        <w:rPr>
          <w:rFonts w:ascii="Arial"/>
          <w:spacing w:val="-2"/>
        </w:rPr>
        <w:t xml:space="preserve"> </w:t>
      </w:r>
      <w:r>
        <w:rPr>
          <w:rFonts w:ascii="Arial"/>
          <w:spacing w:val="-1"/>
        </w:rPr>
        <w:t>of:</w:t>
      </w:r>
    </w:p>
    <w:p w:rsidR="008918FA" w:rsidRDefault="008918FA" w:rsidP="008918FA">
      <w:pPr>
        <w:pStyle w:val="BodyText"/>
        <w:numPr>
          <w:ilvl w:val="2"/>
          <w:numId w:val="22"/>
        </w:numPr>
        <w:tabs>
          <w:tab w:val="left" w:pos="4132"/>
        </w:tabs>
        <w:spacing w:before="121"/>
        <w:ind w:right="136"/>
        <w:jc w:val="both"/>
      </w:pPr>
      <w:r>
        <w:rPr>
          <w:spacing w:val="-1"/>
        </w:rPr>
        <w:t>any</w:t>
      </w:r>
      <w:r>
        <w:rPr>
          <w:spacing w:val="13"/>
        </w:rPr>
        <w:t xml:space="preserve"> </w:t>
      </w:r>
      <w:r>
        <w:rPr>
          <w:spacing w:val="-1"/>
        </w:rPr>
        <w:t>unauthorised</w:t>
      </w:r>
      <w:r>
        <w:rPr>
          <w:spacing w:val="15"/>
        </w:rPr>
        <w:t xml:space="preserve"> </w:t>
      </w:r>
      <w:r>
        <w:rPr>
          <w:spacing w:val="-1"/>
        </w:rPr>
        <w:t>access</w:t>
      </w:r>
      <w:r>
        <w:rPr>
          <w:spacing w:val="15"/>
        </w:rPr>
        <w:t xml:space="preserve"> </w:t>
      </w:r>
      <w:r>
        <w:t>to</w:t>
      </w:r>
      <w:r>
        <w:rPr>
          <w:spacing w:val="15"/>
        </w:rPr>
        <w:t xml:space="preserve"> </w:t>
      </w:r>
      <w:r>
        <w:rPr>
          <w:spacing w:val="-1"/>
        </w:rPr>
        <w:t>or</w:t>
      </w:r>
      <w:r>
        <w:rPr>
          <w:spacing w:val="16"/>
        </w:rPr>
        <w:t xml:space="preserve"> </w:t>
      </w:r>
      <w:r>
        <w:rPr>
          <w:spacing w:val="-2"/>
        </w:rPr>
        <w:t>use</w:t>
      </w:r>
      <w:r>
        <w:rPr>
          <w:spacing w:val="15"/>
        </w:rPr>
        <w:t xml:space="preserve"> </w:t>
      </w:r>
      <w:r>
        <w:rPr>
          <w:spacing w:val="-2"/>
        </w:rPr>
        <w:t>of</w:t>
      </w:r>
      <w:r>
        <w:rPr>
          <w:spacing w:val="16"/>
        </w:rPr>
        <w:t xml:space="preserve"> </w:t>
      </w:r>
      <w:r>
        <w:t>the</w:t>
      </w:r>
      <w:r>
        <w:rPr>
          <w:spacing w:val="14"/>
        </w:rPr>
        <w:t xml:space="preserve"> </w:t>
      </w:r>
      <w:r>
        <w:rPr>
          <w:spacing w:val="-1"/>
        </w:rPr>
        <w:t>Goods</w:t>
      </w:r>
      <w:r>
        <w:rPr>
          <w:spacing w:val="24"/>
        </w:rPr>
        <w:t xml:space="preserve"> </w:t>
      </w:r>
      <w:r>
        <w:rPr>
          <w:spacing w:val="-1"/>
        </w:rPr>
        <w:t>and/or</w:t>
      </w:r>
      <w:r>
        <w:rPr>
          <w:spacing w:val="4"/>
        </w:rPr>
        <w:t xml:space="preserve"> </w:t>
      </w:r>
      <w:r>
        <w:rPr>
          <w:spacing w:val="-1"/>
        </w:rPr>
        <w:t>Services,</w:t>
      </w:r>
      <w:r>
        <w:rPr>
          <w:spacing w:val="5"/>
        </w:rPr>
        <w:t xml:space="preserve"> </w:t>
      </w:r>
      <w:r>
        <w:t>the</w:t>
      </w:r>
      <w:r>
        <w:rPr>
          <w:spacing w:val="3"/>
        </w:rPr>
        <w:t xml:space="preserve"> </w:t>
      </w:r>
      <w:r>
        <w:rPr>
          <w:spacing w:val="-1"/>
        </w:rPr>
        <w:t>Sites</w:t>
      </w:r>
      <w:r>
        <w:rPr>
          <w:spacing w:val="3"/>
        </w:rPr>
        <w:t xml:space="preserve"> </w:t>
      </w:r>
      <w:r>
        <w:rPr>
          <w:spacing w:val="-1"/>
        </w:rPr>
        <w:t>and/or</w:t>
      </w:r>
      <w:r>
        <w:rPr>
          <w:spacing w:val="4"/>
        </w:rPr>
        <w:t xml:space="preserve"> </w:t>
      </w:r>
      <w:r>
        <w:rPr>
          <w:spacing w:val="-1"/>
        </w:rPr>
        <w:t>any</w:t>
      </w:r>
      <w:r>
        <w:rPr>
          <w:spacing w:val="1"/>
        </w:rPr>
        <w:t xml:space="preserve"> </w:t>
      </w:r>
      <w:r>
        <w:rPr>
          <w:spacing w:val="-1"/>
        </w:rPr>
        <w:t>Information</w:t>
      </w:r>
      <w:r>
        <w:rPr>
          <w:spacing w:val="24"/>
        </w:rPr>
        <w:t xml:space="preserve"> </w:t>
      </w:r>
      <w:r>
        <w:rPr>
          <w:spacing w:val="-1"/>
        </w:rPr>
        <w:t>and</w:t>
      </w:r>
      <w:r>
        <w:rPr>
          <w:spacing w:val="44"/>
        </w:rPr>
        <w:t xml:space="preserve"> </w:t>
      </w:r>
      <w:r>
        <w:rPr>
          <w:spacing w:val="-1"/>
        </w:rPr>
        <w:t>Communication</w:t>
      </w:r>
      <w:r>
        <w:rPr>
          <w:spacing w:val="41"/>
        </w:rPr>
        <w:t xml:space="preserve"> </w:t>
      </w:r>
      <w:r>
        <w:rPr>
          <w:spacing w:val="-1"/>
        </w:rPr>
        <w:t>Technology</w:t>
      </w:r>
      <w:r>
        <w:rPr>
          <w:spacing w:val="42"/>
        </w:rPr>
        <w:t xml:space="preserve"> </w:t>
      </w:r>
      <w:r>
        <w:rPr>
          <w:spacing w:val="-1"/>
        </w:rPr>
        <w:t>(“ICT”),</w:t>
      </w:r>
      <w:r>
        <w:rPr>
          <w:spacing w:val="25"/>
        </w:rPr>
        <w:t xml:space="preserve"> </w:t>
      </w:r>
      <w:r>
        <w:rPr>
          <w:spacing w:val="-1"/>
        </w:rPr>
        <w:t>information</w:t>
      </w:r>
      <w:r>
        <w:rPr>
          <w:spacing w:val="11"/>
        </w:rPr>
        <w:t xml:space="preserve"> </w:t>
      </w:r>
      <w:r>
        <w:rPr>
          <w:spacing w:val="-1"/>
        </w:rPr>
        <w:t>or</w:t>
      </w:r>
      <w:r>
        <w:rPr>
          <w:spacing w:val="13"/>
        </w:rPr>
        <w:t xml:space="preserve"> </w:t>
      </w:r>
      <w:r>
        <w:rPr>
          <w:spacing w:val="-1"/>
        </w:rPr>
        <w:t>data</w:t>
      </w:r>
      <w:r>
        <w:rPr>
          <w:spacing w:val="11"/>
        </w:rPr>
        <w:t xml:space="preserve"> </w:t>
      </w:r>
      <w:r>
        <w:rPr>
          <w:spacing w:val="-2"/>
        </w:rPr>
        <w:t>(including</w:t>
      </w:r>
      <w:r>
        <w:rPr>
          <w:spacing w:val="14"/>
        </w:rPr>
        <w:t xml:space="preserve"> </w:t>
      </w:r>
      <w:r>
        <w:t>the</w:t>
      </w:r>
      <w:r>
        <w:rPr>
          <w:spacing w:val="11"/>
        </w:rPr>
        <w:t xml:space="preserve"> </w:t>
      </w:r>
      <w:r>
        <w:rPr>
          <w:spacing w:val="-1"/>
        </w:rPr>
        <w:t>Confidential</w:t>
      </w:r>
      <w:r>
        <w:rPr>
          <w:spacing w:val="32"/>
        </w:rPr>
        <w:t xml:space="preserve"> </w:t>
      </w:r>
      <w:r>
        <w:rPr>
          <w:spacing w:val="-1"/>
        </w:rPr>
        <w:t>Information</w:t>
      </w:r>
      <w:r>
        <w:rPr>
          <w:spacing w:val="12"/>
        </w:rPr>
        <w:t xml:space="preserve"> </w:t>
      </w:r>
      <w:r>
        <w:rPr>
          <w:spacing w:val="-1"/>
        </w:rPr>
        <w:t>and</w:t>
      </w:r>
      <w:r>
        <w:rPr>
          <w:spacing w:val="10"/>
        </w:rPr>
        <w:t xml:space="preserve"> </w:t>
      </w:r>
      <w:r>
        <w:t>the</w:t>
      </w:r>
      <w:r>
        <w:rPr>
          <w:spacing w:val="12"/>
        </w:rPr>
        <w:t xml:space="preserve"> </w:t>
      </w:r>
      <w:r>
        <w:rPr>
          <w:spacing w:val="-1"/>
        </w:rPr>
        <w:t>Customer</w:t>
      </w:r>
      <w:r>
        <w:rPr>
          <w:spacing w:val="14"/>
        </w:rPr>
        <w:t xml:space="preserve"> </w:t>
      </w:r>
      <w:r>
        <w:rPr>
          <w:spacing w:val="-1"/>
        </w:rPr>
        <w:t>Data)</w:t>
      </w:r>
      <w:r>
        <w:rPr>
          <w:spacing w:val="11"/>
        </w:rPr>
        <w:t xml:space="preserve"> </w:t>
      </w:r>
      <w:r>
        <w:rPr>
          <w:spacing w:val="-1"/>
        </w:rPr>
        <w:t>used</w:t>
      </w:r>
      <w:r>
        <w:rPr>
          <w:spacing w:val="12"/>
        </w:rPr>
        <w:t xml:space="preserve"> </w:t>
      </w:r>
      <w:r>
        <w:rPr>
          <w:spacing w:val="-1"/>
        </w:rPr>
        <w:t>by</w:t>
      </w:r>
      <w:r>
        <w:rPr>
          <w:spacing w:val="10"/>
        </w:rPr>
        <w:t xml:space="preserve"> </w:t>
      </w:r>
      <w:r>
        <w:rPr>
          <w:spacing w:val="-1"/>
        </w:rPr>
        <w:t>the</w:t>
      </w:r>
      <w:r>
        <w:rPr>
          <w:spacing w:val="21"/>
        </w:rPr>
        <w:t xml:space="preserve"> </w:t>
      </w:r>
      <w:r>
        <w:rPr>
          <w:spacing w:val="-1"/>
        </w:rPr>
        <w:t>Customer</w:t>
      </w:r>
      <w:r>
        <w:rPr>
          <w:spacing w:val="19"/>
        </w:rPr>
        <w:t xml:space="preserve"> </w:t>
      </w:r>
      <w:r>
        <w:rPr>
          <w:spacing w:val="-1"/>
        </w:rPr>
        <w:t>and/or</w:t>
      </w:r>
      <w:r>
        <w:rPr>
          <w:spacing w:val="16"/>
        </w:rPr>
        <w:t xml:space="preserve"> </w:t>
      </w:r>
      <w:r>
        <w:t>the</w:t>
      </w:r>
      <w:r>
        <w:rPr>
          <w:spacing w:val="17"/>
        </w:rPr>
        <w:t xml:space="preserve"> </w:t>
      </w:r>
      <w:r>
        <w:rPr>
          <w:spacing w:val="-1"/>
        </w:rPr>
        <w:t>Supplier</w:t>
      </w:r>
      <w:r>
        <w:rPr>
          <w:spacing w:val="19"/>
        </w:rPr>
        <w:t xml:space="preserve"> </w:t>
      </w:r>
      <w:r>
        <w:rPr>
          <w:spacing w:val="-1"/>
        </w:rPr>
        <w:t>in</w:t>
      </w:r>
      <w:r>
        <w:rPr>
          <w:spacing w:val="17"/>
        </w:rPr>
        <w:t xml:space="preserve"> </w:t>
      </w:r>
      <w:r>
        <w:rPr>
          <w:spacing w:val="-1"/>
        </w:rPr>
        <w:t>connection</w:t>
      </w:r>
      <w:r>
        <w:rPr>
          <w:spacing w:val="20"/>
        </w:rPr>
        <w:t xml:space="preserve"> </w:t>
      </w:r>
      <w:r>
        <w:rPr>
          <w:spacing w:val="-2"/>
        </w:rPr>
        <w:t>with</w:t>
      </w:r>
      <w:r>
        <w:rPr>
          <w:spacing w:val="21"/>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r>
        <w:rPr>
          <w:spacing w:val="2"/>
        </w:rPr>
        <w:t xml:space="preserve"> </w:t>
      </w:r>
      <w:r>
        <w:rPr>
          <w:spacing w:val="-1"/>
        </w:rPr>
        <w:t>and/or</w:t>
      </w:r>
    </w:p>
    <w:p w:rsidR="008918FA" w:rsidRDefault="008918FA" w:rsidP="008918FA">
      <w:pPr>
        <w:pStyle w:val="BodyText"/>
        <w:numPr>
          <w:ilvl w:val="2"/>
          <w:numId w:val="22"/>
        </w:numPr>
        <w:tabs>
          <w:tab w:val="left" w:pos="4132"/>
        </w:tabs>
        <w:spacing w:before="121"/>
        <w:ind w:right="136"/>
        <w:jc w:val="both"/>
      </w:pPr>
      <w:r>
        <w:t>the</w:t>
      </w:r>
      <w:r>
        <w:rPr>
          <w:spacing w:val="51"/>
        </w:rPr>
        <w:t xml:space="preserve"> </w:t>
      </w:r>
      <w:r>
        <w:rPr>
          <w:spacing w:val="-1"/>
        </w:rPr>
        <w:t>loss</w:t>
      </w:r>
      <w:r>
        <w:rPr>
          <w:spacing w:val="51"/>
        </w:rPr>
        <w:t xml:space="preserve"> </w:t>
      </w:r>
      <w:r>
        <w:rPr>
          <w:spacing w:val="-1"/>
        </w:rPr>
        <w:t>and/or</w:t>
      </w:r>
      <w:r>
        <w:rPr>
          <w:spacing w:val="52"/>
        </w:rPr>
        <w:t xml:space="preserve"> </w:t>
      </w:r>
      <w:r>
        <w:rPr>
          <w:spacing w:val="-1"/>
        </w:rPr>
        <w:t>unauthorised</w:t>
      </w:r>
      <w:r>
        <w:rPr>
          <w:spacing w:val="51"/>
        </w:rPr>
        <w:t xml:space="preserve"> </w:t>
      </w:r>
      <w:r>
        <w:rPr>
          <w:spacing w:val="-1"/>
        </w:rPr>
        <w:t>disclosure</w:t>
      </w:r>
      <w:r>
        <w:rPr>
          <w:spacing w:val="51"/>
        </w:rPr>
        <w:t xml:space="preserve"> </w:t>
      </w:r>
      <w:r>
        <w:rPr>
          <w:spacing w:val="-2"/>
        </w:rPr>
        <w:t>of</w:t>
      </w:r>
      <w:r>
        <w:rPr>
          <w:spacing w:val="52"/>
        </w:rPr>
        <w:t xml:space="preserve"> </w:t>
      </w:r>
      <w:r>
        <w:rPr>
          <w:spacing w:val="-1"/>
        </w:rPr>
        <w:t>any</w:t>
      </w:r>
      <w:r>
        <w:rPr>
          <w:spacing w:val="24"/>
        </w:rPr>
        <w:t xml:space="preserve"> </w:t>
      </w:r>
      <w:r>
        <w:rPr>
          <w:spacing w:val="-1"/>
        </w:rPr>
        <w:t>information</w:t>
      </w:r>
      <w:r>
        <w:rPr>
          <w:spacing w:val="11"/>
        </w:rPr>
        <w:t xml:space="preserve"> </w:t>
      </w:r>
      <w:r>
        <w:rPr>
          <w:spacing w:val="-1"/>
        </w:rPr>
        <w:t>or</w:t>
      </w:r>
      <w:r>
        <w:rPr>
          <w:spacing w:val="13"/>
        </w:rPr>
        <w:t xml:space="preserve"> </w:t>
      </w:r>
      <w:r>
        <w:rPr>
          <w:spacing w:val="-1"/>
        </w:rPr>
        <w:t>data</w:t>
      </w:r>
      <w:r>
        <w:rPr>
          <w:spacing w:val="11"/>
        </w:rPr>
        <w:t xml:space="preserve"> </w:t>
      </w:r>
      <w:r>
        <w:rPr>
          <w:spacing w:val="-2"/>
        </w:rPr>
        <w:t>(including</w:t>
      </w:r>
      <w:r>
        <w:rPr>
          <w:spacing w:val="14"/>
        </w:rPr>
        <w:t xml:space="preserve"> </w:t>
      </w:r>
      <w:r>
        <w:t>the</w:t>
      </w:r>
      <w:r>
        <w:rPr>
          <w:spacing w:val="11"/>
        </w:rPr>
        <w:t xml:space="preserve"> </w:t>
      </w:r>
      <w:r>
        <w:rPr>
          <w:spacing w:val="-1"/>
        </w:rPr>
        <w:t>Confidential</w:t>
      </w:r>
      <w:r>
        <w:rPr>
          <w:spacing w:val="32"/>
        </w:rPr>
        <w:t xml:space="preserve"> </w:t>
      </w:r>
      <w:r>
        <w:rPr>
          <w:spacing w:val="-1"/>
        </w:rPr>
        <w:t>Information</w:t>
      </w:r>
      <w:r>
        <w:rPr>
          <w:spacing w:val="58"/>
        </w:rPr>
        <w:t xml:space="preserve"> </w:t>
      </w:r>
      <w:r>
        <w:rPr>
          <w:spacing w:val="-1"/>
        </w:rPr>
        <w:t>and</w:t>
      </w:r>
      <w:r>
        <w:rPr>
          <w:spacing w:val="58"/>
        </w:rPr>
        <w:t xml:space="preserve"> </w:t>
      </w:r>
      <w:r>
        <w:t>the</w:t>
      </w:r>
      <w:r>
        <w:rPr>
          <w:spacing w:val="59"/>
        </w:rPr>
        <w:t xml:space="preserve"> </w:t>
      </w:r>
      <w:r>
        <w:rPr>
          <w:spacing w:val="-1"/>
        </w:rPr>
        <w:t>Customer</w:t>
      </w:r>
      <w:r>
        <w:rPr>
          <w:spacing w:val="59"/>
        </w:rPr>
        <w:t xml:space="preserve"> </w:t>
      </w:r>
      <w:r>
        <w:rPr>
          <w:spacing w:val="-1"/>
        </w:rPr>
        <w:t>Data),</w:t>
      </w:r>
      <w:r>
        <w:rPr>
          <w:spacing w:val="59"/>
        </w:rPr>
        <w:t xml:space="preserve"> </w:t>
      </w:r>
      <w:r>
        <w:rPr>
          <w:spacing w:val="-2"/>
        </w:rPr>
        <w:t>including</w:t>
      </w:r>
      <w:r>
        <w:rPr>
          <w:spacing w:val="27"/>
        </w:rPr>
        <w:t xml:space="preserve"> </w:t>
      </w:r>
      <w:r>
        <w:rPr>
          <w:spacing w:val="-1"/>
        </w:rPr>
        <w:t>any</w:t>
      </w:r>
      <w:r>
        <w:rPr>
          <w:spacing w:val="20"/>
        </w:rPr>
        <w:t xml:space="preserve"> </w:t>
      </w:r>
      <w:r>
        <w:rPr>
          <w:spacing w:val="-1"/>
        </w:rPr>
        <w:t>copies</w:t>
      </w:r>
      <w:r>
        <w:rPr>
          <w:spacing w:val="22"/>
        </w:rPr>
        <w:t xml:space="preserve"> </w:t>
      </w:r>
      <w:r>
        <w:rPr>
          <w:spacing w:val="-1"/>
        </w:rPr>
        <w:t>of</w:t>
      </w:r>
      <w:r>
        <w:rPr>
          <w:spacing w:val="26"/>
        </w:rPr>
        <w:t xml:space="preserve"> </w:t>
      </w:r>
      <w:r>
        <w:rPr>
          <w:spacing w:val="-1"/>
        </w:rPr>
        <w:t>such</w:t>
      </w:r>
      <w:r>
        <w:rPr>
          <w:spacing w:val="22"/>
        </w:rPr>
        <w:t xml:space="preserve"> </w:t>
      </w:r>
      <w:r>
        <w:rPr>
          <w:spacing w:val="-1"/>
        </w:rPr>
        <w:t>information</w:t>
      </w:r>
      <w:r>
        <w:rPr>
          <w:spacing w:val="22"/>
        </w:rPr>
        <w:t xml:space="preserve"> </w:t>
      </w:r>
      <w:r>
        <w:rPr>
          <w:spacing w:val="-1"/>
        </w:rPr>
        <w:t>or</w:t>
      </w:r>
      <w:r>
        <w:rPr>
          <w:spacing w:val="23"/>
        </w:rPr>
        <w:t xml:space="preserve"> </w:t>
      </w:r>
      <w:r>
        <w:rPr>
          <w:spacing w:val="-1"/>
        </w:rPr>
        <w:t>data,</w:t>
      </w:r>
      <w:r>
        <w:rPr>
          <w:spacing w:val="23"/>
        </w:rPr>
        <w:t xml:space="preserve"> </w:t>
      </w:r>
      <w:r>
        <w:rPr>
          <w:spacing w:val="-1"/>
        </w:rPr>
        <w:t>used</w:t>
      </w:r>
      <w:r>
        <w:rPr>
          <w:spacing w:val="22"/>
        </w:rPr>
        <w:t xml:space="preserve"> </w:t>
      </w:r>
      <w:r>
        <w:rPr>
          <w:spacing w:val="-1"/>
        </w:rPr>
        <w:t>by</w:t>
      </w:r>
      <w:r>
        <w:rPr>
          <w:spacing w:val="24"/>
        </w:rPr>
        <w:t xml:space="preserve"> </w:t>
      </w:r>
      <w:r>
        <w:t>the</w:t>
      </w:r>
      <w:r>
        <w:rPr>
          <w:spacing w:val="31"/>
        </w:rPr>
        <w:t xml:space="preserve"> </w:t>
      </w:r>
      <w:r>
        <w:rPr>
          <w:spacing w:val="-1"/>
        </w:rPr>
        <w:t>Customer</w:t>
      </w:r>
      <w:r>
        <w:rPr>
          <w:spacing w:val="33"/>
        </w:rPr>
        <w:t xml:space="preserve"> </w:t>
      </w:r>
      <w:r>
        <w:rPr>
          <w:spacing w:val="-1"/>
        </w:rPr>
        <w:t>and/or</w:t>
      </w:r>
      <w:r>
        <w:rPr>
          <w:spacing w:val="33"/>
        </w:rPr>
        <w:t xml:space="preserve"> </w:t>
      </w:r>
      <w:r>
        <w:rPr>
          <w:spacing w:val="-1"/>
        </w:rPr>
        <w:t>the</w:t>
      </w:r>
      <w:r>
        <w:rPr>
          <w:spacing w:val="31"/>
        </w:rPr>
        <w:t xml:space="preserve"> </w:t>
      </w:r>
      <w:r>
        <w:rPr>
          <w:spacing w:val="-2"/>
        </w:rPr>
        <w:t>Supplier</w:t>
      </w:r>
      <w:r>
        <w:rPr>
          <w:spacing w:val="33"/>
        </w:rPr>
        <w:t xml:space="preserve"> </w:t>
      </w:r>
      <w:r>
        <w:rPr>
          <w:spacing w:val="-1"/>
        </w:rPr>
        <w:t>in</w:t>
      </w:r>
      <w:r>
        <w:rPr>
          <w:spacing w:val="31"/>
        </w:rPr>
        <w:t xml:space="preserve"> </w:t>
      </w:r>
      <w:r>
        <w:rPr>
          <w:spacing w:val="-1"/>
        </w:rPr>
        <w:t>connection</w:t>
      </w:r>
      <w:r>
        <w:rPr>
          <w:spacing w:val="24"/>
        </w:rPr>
        <w:t xml:space="preserve"> </w:t>
      </w:r>
      <w:r>
        <w:rPr>
          <w:spacing w:val="-1"/>
        </w:rPr>
        <w:t>with</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ind w:left="3581" w:right="120" w:firstLine="0"/>
      </w:pPr>
      <w:r>
        <w:rPr>
          <w:spacing w:val="-1"/>
        </w:rPr>
        <w:t>in</w:t>
      </w:r>
      <w:r>
        <w:t xml:space="preserve"> </w:t>
      </w:r>
      <w:r>
        <w:rPr>
          <w:spacing w:val="21"/>
        </w:rPr>
        <w:t xml:space="preserve"> </w:t>
      </w:r>
      <w:r>
        <w:rPr>
          <w:spacing w:val="-1"/>
        </w:rPr>
        <w:t>either</w:t>
      </w:r>
      <w:r>
        <w:t xml:space="preserve"> </w:t>
      </w:r>
      <w:r>
        <w:rPr>
          <w:spacing w:val="22"/>
        </w:rPr>
        <w:t xml:space="preserve"> </w:t>
      </w:r>
      <w:r>
        <w:rPr>
          <w:spacing w:val="-2"/>
        </w:rPr>
        <w:t>case</w:t>
      </w:r>
      <w:r>
        <w:t xml:space="preserve"> </w:t>
      </w:r>
      <w:r>
        <w:rPr>
          <w:spacing w:val="21"/>
        </w:rPr>
        <w:t xml:space="preserve"> </w:t>
      </w:r>
      <w:r>
        <w:rPr>
          <w:spacing w:val="-1"/>
        </w:rPr>
        <w:t>as</w:t>
      </w:r>
      <w:r>
        <w:t xml:space="preserve"> </w:t>
      </w:r>
      <w:r>
        <w:rPr>
          <w:spacing w:val="19"/>
        </w:rPr>
        <w:t xml:space="preserve"> </w:t>
      </w:r>
      <w:r>
        <w:rPr>
          <w:spacing w:val="-2"/>
        </w:rPr>
        <w:t>more</w:t>
      </w:r>
      <w:r>
        <w:t xml:space="preserve"> </w:t>
      </w:r>
      <w:r>
        <w:rPr>
          <w:spacing w:val="21"/>
        </w:rPr>
        <w:t xml:space="preserve"> </w:t>
      </w:r>
      <w:r>
        <w:rPr>
          <w:spacing w:val="-1"/>
        </w:rPr>
        <w:t>particularly</w:t>
      </w:r>
      <w:r>
        <w:t xml:space="preserve"> </w:t>
      </w:r>
      <w:r>
        <w:rPr>
          <w:spacing w:val="19"/>
        </w:rPr>
        <w:t xml:space="preserve"> </w:t>
      </w:r>
      <w:r>
        <w:rPr>
          <w:spacing w:val="-1"/>
        </w:rPr>
        <w:t>set</w:t>
      </w:r>
      <w:r>
        <w:t xml:space="preserve"> </w:t>
      </w:r>
      <w:r>
        <w:rPr>
          <w:spacing w:val="22"/>
        </w:rPr>
        <w:t xml:space="preserve"> </w:t>
      </w:r>
      <w:r>
        <w:rPr>
          <w:spacing w:val="-1"/>
        </w:rPr>
        <w:t>out</w:t>
      </w:r>
      <w:r>
        <w:t xml:space="preserve"> </w:t>
      </w:r>
      <w:r>
        <w:rPr>
          <w:spacing w:val="20"/>
        </w:rPr>
        <w:t xml:space="preserve"> </w:t>
      </w:r>
      <w:r>
        <w:rPr>
          <w:spacing w:val="-1"/>
        </w:rPr>
        <w:t>in</w:t>
      </w:r>
      <w:r>
        <w:t xml:space="preserve"> </w:t>
      </w:r>
      <w:r>
        <w:rPr>
          <w:spacing w:val="21"/>
        </w:rPr>
        <w:t xml:space="preserve"> </w:t>
      </w:r>
      <w:r>
        <w:rPr>
          <w:spacing w:val="-2"/>
        </w:rPr>
        <w:t>the</w:t>
      </w:r>
      <w:r>
        <w:rPr>
          <w:spacing w:val="26"/>
        </w:rPr>
        <w:t xml:space="preserve"> </w:t>
      </w:r>
      <w:r>
        <w:rPr>
          <w:spacing w:val="-1"/>
        </w:rPr>
        <w:t>Security</w:t>
      </w:r>
      <w:r>
        <w:rPr>
          <w:spacing w:val="-2"/>
        </w:rPr>
        <w:t xml:space="preserve"> Policy;</w:t>
      </w:r>
    </w:p>
    <w:p w:rsidR="008918FA" w:rsidRDefault="008918FA" w:rsidP="008918FA">
      <w:pPr>
        <w:rPr>
          <w:rFonts w:ascii="Arial" w:eastAsia="Arial" w:hAnsi="Arial" w:cs="Arial"/>
        </w:rPr>
      </w:pPr>
    </w:p>
    <w:p w:rsidR="008918FA" w:rsidRDefault="008918FA" w:rsidP="008918FA">
      <w:pPr>
        <w:rPr>
          <w:rFonts w:ascii="Arial" w:eastAsia="Arial" w:hAnsi="Arial" w:cs="Arial"/>
          <w:sz w:val="31"/>
          <w:szCs w:val="31"/>
        </w:rPr>
      </w:pPr>
    </w:p>
    <w:p w:rsidR="008918FA" w:rsidRDefault="008918FA" w:rsidP="008918FA">
      <w:pPr>
        <w:pStyle w:val="BodyText"/>
        <w:numPr>
          <w:ilvl w:val="0"/>
          <w:numId w:val="22"/>
        </w:numPr>
        <w:tabs>
          <w:tab w:val="left" w:pos="467"/>
        </w:tabs>
        <w:spacing w:before="0"/>
        <w:rPr>
          <w:rFonts w:ascii="Times New Roman" w:eastAsia="Times New Roman" w:hAnsi="Times New Roman" w:cs="Times New Roman"/>
        </w:rPr>
      </w:pPr>
      <w:r>
        <w:rPr>
          <w:rFonts w:ascii="Times New Roman"/>
          <w:spacing w:val="1"/>
        </w:rPr>
        <w:t>INTRODUCTION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2"/>
        </w:numPr>
        <w:tabs>
          <w:tab w:val="left" w:pos="829"/>
        </w:tabs>
        <w:spacing w:before="0"/>
        <w:ind w:right="117"/>
        <w:jc w:val="both"/>
      </w:pPr>
      <w:r>
        <w:t>The</w:t>
      </w:r>
      <w:r>
        <w:rPr>
          <w:spacing w:val="7"/>
        </w:rPr>
        <w:t xml:space="preserve"> </w:t>
      </w:r>
      <w:r>
        <w:rPr>
          <w:spacing w:val="-1"/>
        </w:rPr>
        <w:t>purpose</w:t>
      </w:r>
      <w:r>
        <w:rPr>
          <w:spacing w:val="8"/>
        </w:rPr>
        <w:t xml:space="preserve"> </w:t>
      </w:r>
      <w:r>
        <w:rPr>
          <w:spacing w:val="-2"/>
        </w:rPr>
        <w:t>of</w:t>
      </w:r>
      <w:r>
        <w:rPr>
          <w:spacing w:val="9"/>
        </w:rPr>
        <w:t xml:space="preserve"> </w:t>
      </w:r>
      <w:r>
        <w:rPr>
          <w:spacing w:val="-1"/>
        </w:rPr>
        <w:t>this</w:t>
      </w:r>
      <w:r>
        <w:rPr>
          <w:spacing w:val="8"/>
        </w:rPr>
        <w:t xml:space="preserve"> </w:t>
      </w:r>
      <w:r>
        <w:rPr>
          <w:spacing w:val="-2"/>
        </w:rPr>
        <w:t>Call</w:t>
      </w:r>
      <w:r>
        <w:rPr>
          <w:spacing w:val="9"/>
        </w:rPr>
        <w:t xml:space="preserve"> </w:t>
      </w:r>
      <w:r>
        <w:rPr>
          <w:spacing w:val="-1"/>
        </w:rPr>
        <w:t>Off</w:t>
      </w:r>
      <w:r>
        <w:rPr>
          <w:spacing w:val="11"/>
        </w:rPr>
        <w:t xml:space="preserve"> </w:t>
      </w:r>
      <w:r>
        <w:rPr>
          <w:spacing w:val="-1"/>
        </w:rPr>
        <w:t>Schedule</w:t>
      </w:r>
      <w:r>
        <w:rPr>
          <w:spacing w:val="7"/>
        </w:rPr>
        <w:t xml:space="preserve"> </w:t>
      </w:r>
      <w:r>
        <w:rPr>
          <w:spacing w:val="-1"/>
        </w:rPr>
        <w:t>is</w:t>
      </w:r>
      <w:r>
        <w:rPr>
          <w:spacing w:val="8"/>
        </w:rPr>
        <w:t xml:space="preserve"> </w:t>
      </w:r>
      <w:r>
        <w:t>to</w:t>
      </w:r>
      <w:r>
        <w:rPr>
          <w:spacing w:val="7"/>
        </w:rPr>
        <w:t xml:space="preserve"> </w:t>
      </w:r>
      <w:r>
        <w:rPr>
          <w:spacing w:val="-1"/>
        </w:rPr>
        <w:t>ensure</w:t>
      </w:r>
      <w:r>
        <w:rPr>
          <w:spacing w:val="7"/>
        </w:rPr>
        <w:t xml:space="preserve"> </w:t>
      </w:r>
      <w:r>
        <w:t>a</w:t>
      </w:r>
      <w:r>
        <w:rPr>
          <w:spacing w:val="7"/>
        </w:rPr>
        <w:t xml:space="preserve"> </w:t>
      </w:r>
      <w:r>
        <w:t>good</w:t>
      </w:r>
      <w:r>
        <w:rPr>
          <w:spacing w:val="7"/>
        </w:rPr>
        <w:t xml:space="preserve"> </w:t>
      </w:r>
      <w:r>
        <w:rPr>
          <w:spacing w:val="-1"/>
        </w:rPr>
        <w:t>organisational</w:t>
      </w:r>
      <w:r>
        <w:rPr>
          <w:spacing w:val="7"/>
        </w:rPr>
        <w:t xml:space="preserve"> </w:t>
      </w:r>
      <w:r>
        <w:rPr>
          <w:spacing w:val="-1"/>
        </w:rPr>
        <w:t>approach</w:t>
      </w:r>
      <w:r>
        <w:rPr>
          <w:spacing w:val="36"/>
        </w:rPr>
        <w:t xml:space="preserve"> </w:t>
      </w:r>
      <w:r>
        <w:t>to</w:t>
      </w:r>
      <w:r>
        <w:rPr>
          <w:spacing w:val="27"/>
        </w:rPr>
        <w:t xml:space="preserve"> </w:t>
      </w:r>
      <w:r>
        <w:rPr>
          <w:spacing w:val="-1"/>
        </w:rPr>
        <w:t>security</w:t>
      </w:r>
      <w:r>
        <w:rPr>
          <w:spacing w:val="25"/>
        </w:rPr>
        <w:t xml:space="preserve"> </w:t>
      </w:r>
      <w:r>
        <w:rPr>
          <w:spacing w:val="-1"/>
        </w:rPr>
        <w:t>under</w:t>
      </w:r>
      <w:r>
        <w:rPr>
          <w:spacing w:val="28"/>
        </w:rPr>
        <w:t xml:space="preserve"> </w:t>
      </w:r>
      <w:r>
        <w:rPr>
          <w:spacing w:val="-2"/>
        </w:rPr>
        <w:t>which</w:t>
      </w:r>
      <w:r>
        <w:rPr>
          <w:spacing w:val="30"/>
        </w:rPr>
        <w:t xml:space="preserve"> </w:t>
      </w:r>
      <w:r>
        <w:t>the</w:t>
      </w:r>
      <w:r>
        <w:rPr>
          <w:spacing w:val="27"/>
        </w:rPr>
        <w:t xml:space="preserve"> </w:t>
      </w:r>
      <w:r>
        <w:rPr>
          <w:spacing w:val="-1"/>
        </w:rPr>
        <w:t>specific</w:t>
      </w:r>
      <w:r>
        <w:rPr>
          <w:spacing w:val="27"/>
        </w:rPr>
        <w:t xml:space="preserve"> </w:t>
      </w:r>
      <w:r>
        <w:rPr>
          <w:spacing w:val="-2"/>
        </w:rPr>
        <w:t>requirements</w:t>
      </w:r>
      <w:r>
        <w:rPr>
          <w:spacing w:val="27"/>
        </w:rPr>
        <w:t xml:space="preserve"> </w:t>
      </w:r>
      <w:r>
        <w:rPr>
          <w:spacing w:val="-2"/>
        </w:rPr>
        <w:t>of</w:t>
      </w:r>
      <w:r>
        <w:rPr>
          <w:spacing w:val="30"/>
        </w:rPr>
        <w:t xml:space="preserve"> </w:t>
      </w:r>
      <w:r>
        <w:rPr>
          <w:spacing w:val="-1"/>
        </w:rPr>
        <w:t>this</w:t>
      </w:r>
      <w:r>
        <w:rPr>
          <w:spacing w:val="27"/>
        </w:rPr>
        <w:t xml:space="preserve"> </w:t>
      </w:r>
      <w:r>
        <w:rPr>
          <w:spacing w:val="-2"/>
        </w:rPr>
        <w:t>Call</w:t>
      </w:r>
      <w:r>
        <w:rPr>
          <w:spacing w:val="26"/>
        </w:rPr>
        <w:t xml:space="preserve"> </w:t>
      </w:r>
      <w:r>
        <w:rPr>
          <w:spacing w:val="-1"/>
        </w:rPr>
        <w:t>Off</w:t>
      </w:r>
      <w:r>
        <w:rPr>
          <w:spacing w:val="28"/>
        </w:rPr>
        <w:t xml:space="preserve"> </w:t>
      </w:r>
      <w:r>
        <w:rPr>
          <w:spacing w:val="-2"/>
        </w:rPr>
        <w:t>Contract</w:t>
      </w:r>
      <w:r>
        <w:rPr>
          <w:spacing w:val="29"/>
        </w:rPr>
        <w:t xml:space="preserve"> </w:t>
      </w:r>
      <w:r>
        <w:rPr>
          <w:spacing w:val="-2"/>
        </w:rPr>
        <w:t>will</w:t>
      </w:r>
      <w:r>
        <w:rPr>
          <w:spacing w:val="26"/>
        </w:rPr>
        <w:t xml:space="preserve"> </w:t>
      </w:r>
      <w:r>
        <w:rPr>
          <w:spacing w:val="-1"/>
        </w:rPr>
        <w:t>be</w:t>
      </w:r>
      <w:r>
        <w:rPr>
          <w:spacing w:val="74"/>
        </w:rPr>
        <w:t xml:space="preserve"> </w:t>
      </w:r>
      <w:r>
        <w:rPr>
          <w:spacing w:val="-2"/>
        </w:rPr>
        <w:t>met;</w:t>
      </w:r>
    </w:p>
    <w:p w:rsidR="008918FA" w:rsidRDefault="008918FA" w:rsidP="008918FA">
      <w:pPr>
        <w:pStyle w:val="BodyText"/>
        <w:numPr>
          <w:ilvl w:val="1"/>
          <w:numId w:val="22"/>
        </w:numPr>
        <w:tabs>
          <w:tab w:val="left" w:pos="829"/>
        </w:tabs>
      </w:pP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Schedule</w:t>
      </w:r>
      <w:r>
        <w:rPr>
          <w:spacing w:val="-2"/>
        </w:rPr>
        <w:t xml:space="preserve"> covers:</w:t>
      </w:r>
    </w:p>
    <w:p w:rsidR="008918FA" w:rsidRDefault="008918FA" w:rsidP="008918FA">
      <w:pPr>
        <w:pStyle w:val="BodyText"/>
        <w:numPr>
          <w:ilvl w:val="2"/>
          <w:numId w:val="21"/>
        </w:numPr>
        <w:tabs>
          <w:tab w:val="left" w:pos="2027"/>
        </w:tabs>
        <w:ind w:right="125"/>
      </w:pPr>
      <w:r>
        <w:rPr>
          <w:spacing w:val="-1"/>
        </w:rPr>
        <w:t>principles</w:t>
      </w:r>
      <w:r>
        <w:rPr>
          <w:spacing w:val="27"/>
        </w:rPr>
        <w:t xml:space="preserve"> </w:t>
      </w:r>
      <w:r>
        <w:rPr>
          <w:spacing w:val="-1"/>
        </w:rPr>
        <w:t>of</w:t>
      </w:r>
      <w:r>
        <w:rPr>
          <w:spacing w:val="30"/>
        </w:rPr>
        <w:t xml:space="preserve"> </w:t>
      </w:r>
      <w:r>
        <w:rPr>
          <w:spacing w:val="-2"/>
        </w:rPr>
        <w:t>protective</w:t>
      </w:r>
      <w:r>
        <w:rPr>
          <w:spacing w:val="27"/>
        </w:rPr>
        <w:t xml:space="preserve"> </w:t>
      </w:r>
      <w:r>
        <w:rPr>
          <w:spacing w:val="-1"/>
        </w:rPr>
        <w:t>security</w:t>
      </w:r>
      <w:r>
        <w:rPr>
          <w:spacing w:val="25"/>
        </w:rPr>
        <w:t xml:space="preserve"> </w:t>
      </w:r>
      <w:r>
        <w:t>to</w:t>
      </w:r>
      <w:r>
        <w:rPr>
          <w:spacing w:val="27"/>
        </w:rPr>
        <w:t xml:space="preserve"> </w:t>
      </w:r>
      <w:r>
        <w:rPr>
          <w:spacing w:val="-1"/>
        </w:rPr>
        <w:t>be</w:t>
      </w:r>
      <w:r>
        <w:rPr>
          <w:spacing w:val="27"/>
        </w:rPr>
        <w:t xml:space="preserve"> </w:t>
      </w:r>
      <w:r>
        <w:rPr>
          <w:spacing w:val="-2"/>
        </w:rPr>
        <w:t>applied</w:t>
      </w:r>
      <w:r>
        <w:rPr>
          <w:spacing w:val="27"/>
        </w:rPr>
        <w:t xml:space="preserve"> </w:t>
      </w:r>
      <w:r>
        <w:rPr>
          <w:spacing w:val="-1"/>
        </w:rPr>
        <w:t>in</w:t>
      </w:r>
      <w:r>
        <w:rPr>
          <w:spacing w:val="31"/>
        </w:rPr>
        <w:t xml:space="preserve"> </w:t>
      </w:r>
      <w:r>
        <w:rPr>
          <w:spacing w:val="-1"/>
        </w:rPr>
        <w:t>delivering</w:t>
      </w:r>
      <w:r>
        <w:rPr>
          <w:spacing w:val="29"/>
        </w:rPr>
        <w:t xml:space="preserve"> </w:t>
      </w:r>
      <w:r>
        <w:t>the</w:t>
      </w:r>
      <w:r>
        <w:rPr>
          <w:spacing w:val="27"/>
        </w:rPr>
        <w:t xml:space="preserve"> </w:t>
      </w:r>
      <w:r>
        <w:rPr>
          <w:spacing w:val="-1"/>
        </w:rPr>
        <w:t>Goods</w:t>
      </w:r>
      <w:r>
        <w:rPr>
          <w:spacing w:val="53"/>
        </w:rPr>
        <w:t xml:space="preserve"> </w:t>
      </w:r>
      <w:r>
        <w:rPr>
          <w:spacing w:val="-1"/>
        </w:rPr>
        <w:t xml:space="preserve">and/or </w:t>
      </w:r>
      <w:r>
        <w:rPr>
          <w:spacing w:val="-2"/>
        </w:rPr>
        <w:t>Services;</w:t>
      </w:r>
    </w:p>
    <w:p w:rsidR="008918FA" w:rsidRDefault="008918FA" w:rsidP="008918FA">
      <w:pPr>
        <w:pStyle w:val="BodyText"/>
        <w:numPr>
          <w:ilvl w:val="2"/>
          <w:numId w:val="21"/>
        </w:numPr>
        <w:tabs>
          <w:tab w:val="left" w:pos="2027"/>
        </w:tabs>
      </w:pPr>
      <w:r>
        <w:t xml:space="preserve">the </w:t>
      </w:r>
      <w:r>
        <w:rPr>
          <w:spacing w:val="-1"/>
        </w:rPr>
        <w:t>creation</w:t>
      </w:r>
      <w:r>
        <w:t xml:space="preserve"> </w:t>
      </w:r>
      <w:r>
        <w:rPr>
          <w:spacing w:val="-2"/>
        </w:rPr>
        <w:t xml:space="preserve">and </w:t>
      </w:r>
      <w:r>
        <w:rPr>
          <w:spacing w:val="-1"/>
        </w:rPr>
        <w:t>maintenance</w:t>
      </w:r>
      <w:r>
        <w:rPr>
          <w:spacing w:val="1"/>
        </w:rPr>
        <w:t xml:space="preserve"> </w:t>
      </w:r>
      <w:r>
        <w:rPr>
          <w:spacing w:val="-2"/>
        </w:rPr>
        <w:t>of</w:t>
      </w:r>
      <w:r>
        <w:rPr>
          <w:spacing w:val="2"/>
        </w:rPr>
        <w:t xml:space="preserve"> </w:t>
      </w:r>
      <w:r>
        <w:t>the</w:t>
      </w:r>
      <w:r>
        <w:rPr>
          <w:spacing w:val="-2"/>
        </w:rPr>
        <w:t xml:space="preserve"> </w:t>
      </w:r>
      <w:r>
        <w:rPr>
          <w:spacing w:val="-1"/>
        </w:rPr>
        <w:t>Security</w:t>
      </w:r>
      <w:r>
        <w:rPr>
          <w:spacing w:val="-2"/>
        </w:rPr>
        <w:t xml:space="preserve"> </w:t>
      </w:r>
      <w:r>
        <w:rPr>
          <w:spacing w:val="-1"/>
        </w:rPr>
        <w:t>Management</w:t>
      </w:r>
      <w:r>
        <w:t xml:space="preserve"> </w:t>
      </w:r>
      <w:r>
        <w:rPr>
          <w:spacing w:val="-1"/>
        </w:rPr>
        <w:t>Plan;</w:t>
      </w:r>
      <w:r>
        <w:rPr>
          <w:spacing w:val="2"/>
        </w:rPr>
        <w:t xml:space="preserve"> </w:t>
      </w:r>
      <w:r>
        <w:rPr>
          <w:spacing w:val="-1"/>
        </w:rPr>
        <w:t>and</w:t>
      </w:r>
    </w:p>
    <w:p w:rsidR="008918FA" w:rsidRDefault="008918FA" w:rsidP="008918FA">
      <w:pPr>
        <w:pStyle w:val="BodyText"/>
        <w:numPr>
          <w:ilvl w:val="2"/>
          <w:numId w:val="21"/>
        </w:numPr>
        <w:tabs>
          <w:tab w:val="left" w:pos="2027"/>
        </w:tabs>
        <w:spacing w:before="121"/>
      </w:pPr>
      <w:r>
        <w:rPr>
          <w:spacing w:val="-1"/>
        </w:rPr>
        <w:t>obligations</w:t>
      </w:r>
      <w:r>
        <w:rPr>
          <w:spacing w:val="1"/>
        </w:rPr>
        <w:t xml:space="preserve"> </w:t>
      </w:r>
      <w:r>
        <w:rPr>
          <w:spacing w:val="-1"/>
        </w:rPr>
        <w:t>in</w:t>
      </w:r>
      <w:r>
        <w:rPr>
          <w:spacing w:val="-2"/>
        </w:rPr>
        <w:t xml:space="preserve"> </w:t>
      </w:r>
      <w:r>
        <w:t xml:space="preserve">the </w:t>
      </w:r>
      <w:r>
        <w:rPr>
          <w:spacing w:val="-2"/>
        </w:rPr>
        <w:t>event</w:t>
      </w:r>
      <w:r>
        <w:t xml:space="preserve"> </w:t>
      </w:r>
      <w:r>
        <w:rPr>
          <w:spacing w:val="-2"/>
        </w:rPr>
        <w:t>of</w:t>
      </w:r>
      <w:r>
        <w:rPr>
          <w:spacing w:val="2"/>
        </w:rPr>
        <w:t xml:space="preserve"> </w:t>
      </w:r>
      <w:r>
        <w:rPr>
          <w:spacing w:val="-1"/>
        </w:rPr>
        <w:t>actual</w:t>
      </w:r>
      <w:r>
        <w:t xml:space="preserve"> </w:t>
      </w:r>
      <w:r>
        <w:rPr>
          <w:spacing w:val="-1"/>
        </w:rPr>
        <w:t>or attempted</w:t>
      </w:r>
      <w:r>
        <w:rPr>
          <w:spacing w:val="-2"/>
        </w:rPr>
        <w:t xml:space="preserve"> </w:t>
      </w:r>
      <w:r>
        <w:rPr>
          <w:spacing w:val="-1"/>
        </w:rPr>
        <w:t>Breaches</w:t>
      </w:r>
      <w:r>
        <w:rPr>
          <w:spacing w:val="1"/>
        </w:rPr>
        <w:t xml:space="preserve"> </w:t>
      </w:r>
      <w:r>
        <w:rPr>
          <w:spacing w:val="-2"/>
        </w:rPr>
        <w:t>of</w:t>
      </w:r>
      <w:r>
        <w:rPr>
          <w:spacing w:val="2"/>
        </w:rPr>
        <w:t xml:space="preserve"> </w:t>
      </w:r>
      <w:r>
        <w:rPr>
          <w:spacing w:val="-1"/>
        </w:rPr>
        <w:t>Security.</w:t>
      </w:r>
    </w:p>
    <w:p w:rsidR="008918FA" w:rsidRDefault="008918FA" w:rsidP="008918FA">
      <w:pPr>
        <w:pStyle w:val="BodyText"/>
        <w:numPr>
          <w:ilvl w:val="0"/>
          <w:numId w:val="22"/>
        </w:numPr>
        <w:tabs>
          <w:tab w:val="left" w:pos="467"/>
        </w:tabs>
        <w:spacing w:before="117"/>
        <w:rPr>
          <w:rFonts w:ascii="Times New Roman" w:eastAsia="Times New Roman" w:hAnsi="Times New Roman" w:cs="Times New Roman"/>
        </w:rPr>
      </w:pPr>
      <w:bookmarkStart w:id="399" w:name="_bookmark322"/>
      <w:bookmarkEnd w:id="399"/>
      <w:r>
        <w:rPr>
          <w:rFonts w:ascii="Times New Roman"/>
          <w:spacing w:val="23"/>
        </w:rPr>
        <w:t>P</w:t>
      </w:r>
      <w:r>
        <w:rPr>
          <w:rFonts w:ascii="Times New Roman"/>
          <w:spacing w:val="11"/>
        </w:rPr>
        <w:t>R</w:t>
      </w:r>
      <w:r>
        <w:rPr>
          <w:rFonts w:ascii="Times New Roman"/>
          <w:spacing w:val="-12"/>
        </w:rPr>
        <w:t>I</w:t>
      </w:r>
      <w:r>
        <w:rPr>
          <w:rFonts w:ascii="Times New Roman"/>
          <w:spacing w:val="-2"/>
        </w:rPr>
        <w:t>N</w:t>
      </w:r>
      <w:r>
        <w:rPr>
          <w:rFonts w:ascii="Times New Roman"/>
          <w:spacing w:val="11"/>
        </w:rPr>
        <w:t>C</w:t>
      </w:r>
      <w:r>
        <w:rPr>
          <w:rFonts w:ascii="Times New Roman"/>
          <w:spacing w:val="-12"/>
        </w:rPr>
        <w:t>I</w:t>
      </w:r>
      <w:r>
        <w:rPr>
          <w:rFonts w:ascii="Times New Roman"/>
        </w:rPr>
        <w:t>P</w:t>
      </w:r>
      <w:r>
        <w:rPr>
          <w:rFonts w:ascii="Times New Roman"/>
          <w:spacing w:val="-32"/>
        </w:rPr>
        <w:t xml:space="preserve"> </w:t>
      </w:r>
      <w:r>
        <w:rPr>
          <w:rFonts w:ascii="Times New Roman"/>
          <w:spacing w:val="3"/>
        </w:rPr>
        <w:t>LES</w:t>
      </w:r>
      <w:r>
        <w:rPr>
          <w:rFonts w:ascii="Times New Roman"/>
          <w:spacing w:val="31"/>
        </w:rPr>
        <w:t xml:space="preserve"> </w:t>
      </w:r>
      <w:r>
        <w:rPr>
          <w:rFonts w:ascii="Times New Roman"/>
          <w:spacing w:val="6"/>
        </w:rPr>
        <w:t>OF</w:t>
      </w:r>
      <w:r>
        <w:rPr>
          <w:rFonts w:ascii="Times New Roman"/>
          <w:spacing w:val="16"/>
        </w:rPr>
        <w:t xml:space="preserve"> </w:t>
      </w:r>
      <w:r>
        <w:rPr>
          <w:rFonts w:ascii="Times New Roman"/>
          <w:spacing w:val="4"/>
        </w:rPr>
        <w:t>SECURITY</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22"/>
        </w:numPr>
        <w:tabs>
          <w:tab w:val="left" w:pos="829"/>
        </w:tabs>
        <w:spacing w:before="0"/>
        <w:ind w:right="114"/>
        <w:jc w:val="both"/>
      </w:pPr>
      <w:r>
        <w:t>The</w:t>
      </w:r>
      <w:r>
        <w:rPr>
          <w:spacing w:val="6"/>
        </w:rPr>
        <w:t xml:space="preserve"> </w:t>
      </w:r>
      <w:r>
        <w:rPr>
          <w:spacing w:val="-2"/>
        </w:rPr>
        <w:t>Supplier</w:t>
      </w:r>
      <w:r>
        <w:rPr>
          <w:spacing w:val="5"/>
        </w:rPr>
        <w:t xml:space="preserve"> </w:t>
      </w:r>
      <w:r>
        <w:rPr>
          <w:spacing w:val="-1"/>
        </w:rPr>
        <w:t>acknowledges</w:t>
      </w:r>
      <w:r>
        <w:rPr>
          <w:spacing w:val="4"/>
        </w:rPr>
        <w:t xml:space="preserve"> </w:t>
      </w:r>
      <w:r>
        <w:rPr>
          <w:spacing w:val="-1"/>
        </w:rPr>
        <w:t>that</w:t>
      </w:r>
      <w:r>
        <w:rPr>
          <w:spacing w:val="5"/>
        </w:rPr>
        <w:t xml:space="preserve"> </w:t>
      </w:r>
      <w:r>
        <w:t>the</w:t>
      </w:r>
      <w:r>
        <w:rPr>
          <w:spacing w:val="6"/>
        </w:rPr>
        <w:t xml:space="preserve"> </w:t>
      </w:r>
      <w:r>
        <w:rPr>
          <w:spacing w:val="-2"/>
        </w:rPr>
        <w:t>Customer</w:t>
      </w:r>
      <w:r>
        <w:rPr>
          <w:spacing w:val="8"/>
        </w:rPr>
        <w:t xml:space="preserve"> </w:t>
      </w:r>
      <w:r>
        <w:rPr>
          <w:spacing w:val="-1"/>
        </w:rPr>
        <w:t>places</w:t>
      </w:r>
      <w:r>
        <w:rPr>
          <w:spacing w:val="4"/>
        </w:rPr>
        <w:t xml:space="preserve"> </w:t>
      </w:r>
      <w:r>
        <w:rPr>
          <w:spacing w:val="-1"/>
        </w:rPr>
        <w:t>great</w:t>
      </w:r>
      <w:r>
        <w:rPr>
          <w:spacing w:val="5"/>
        </w:rPr>
        <w:t xml:space="preserve"> </w:t>
      </w:r>
      <w:r>
        <w:rPr>
          <w:spacing w:val="-1"/>
        </w:rPr>
        <w:t>emphasis</w:t>
      </w:r>
      <w:r>
        <w:rPr>
          <w:spacing w:val="7"/>
        </w:rPr>
        <w:t xml:space="preserve"> </w:t>
      </w:r>
      <w:r>
        <w:rPr>
          <w:spacing w:val="-1"/>
        </w:rPr>
        <w:t>on</w:t>
      </w:r>
      <w:r>
        <w:rPr>
          <w:spacing w:val="4"/>
        </w:rPr>
        <w:t xml:space="preserve"> </w:t>
      </w:r>
      <w:r>
        <w:rPr>
          <w:spacing w:val="-1"/>
        </w:rPr>
        <w:t>the</w:t>
      </w:r>
      <w:r>
        <w:rPr>
          <w:spacing w:val="51"/>
        </w:rPr>
        <w:t xml:space="preserve"> </w:t>
      </w:r>
      <w:r>
        <w:rPr>
          <w:spacing w:val="-1"/>
        </w:rPr>
        <w:t>reliability</w:t>
      </w:r>
      <w:r>
        <w:rPr>
          <w:spacing w:val="8"/>
        </w:rPr>
        <w:t xml:space="preserve"> </w:t>
      </w:r>
      <w:r>
        <w:rPr>
          <w:spacing w:val="-1"/>
        </w:rPr>
        <w:t>of</w:t>
      </w:r>
      <w:r>
        <w:rPr>
          <w:spacing w:val="11"/>
        </w:rPr>
        <w:t xml:space="preserve"> </w:t>
      </w:r>
      <w:r>
        <w:t>the</w:t>
      </w:r>
      <w:r>
        <w:rPr>
          <w:spacing w:val="7"/>
        </w:rPr>
        <w:t xml:space="preserve"> </w:t>
      </w:r>
      <w:r>
        <w:rPr>
          <w:spacing w:val="-1"/>
        </w:rPr>
        <w:t>performance</w:t>
      </w:r>
      <w:r>
        <w:rPr>
          <w:spacing w:val="10"/>
        </w:rPr>
        <w:t xml:space="preserve"> </w:t>
      </w:r>
      <w:r>
        <w:rPr>
          <w:spacing w:val="-2"/>
        </w:rPr>
        <w:t>of</w:t>
      </w:r>
      <w:r>
        <w:rPr>
          <w:spacing w:val="11"/>
        </w:rPr>
        <w:t xml:space="preserve"> </w:t>
      </w:r>
      <w:r>
        <w:t>the</w:t>
      </w:r>
      <w:r>
        <w:rPr>
          <w:spacing w:val="7"/>
        </w:rPr>
        <w:t xml:space="preserve"> </w:t>
      </w:r>
      <w:r>
        <w:rPr>
          <w:spacing w:val="-1"/>
        </w:rPr>
        <w:t>Goods</w:t>
      </w:r>
      <w:r>
        <w:rPr>
          <w:spacing w:val="8"/>
        </w:rPr>
        <w:t xml:space="preserve"> </w:t>
      </w:r>
      <w:r>
        <w:rPr>
          <w:spacing w:val="-1"/>
        </w:rPr>
        <w:t>and/or</w:t>
      </w:r>
      <w:r>
        <w:rPr>
          <w:spacing w:val="9"/>
        </w:rPr>
        <w:t xml:space="preserve"> </w:t>
      </w:r>
      <w:r>
        <w:rPr>
          <w:spacing w:val="-1"/>
        </w:rPr>
        <w:t>Services,</w:t>
      </w:r>
      <w:r>
        <w:rPr>
          <w:spacing w:val="12"/>
        </w:rPr>
        <w:t xml:space="preserve"> </w:t>
      </w:r>
      <w:r>
        <w:rPr>
          <w:spacing w:val="-1"/>
        </w:rPr>
        <w:t>confidentiality,</w:t>
      </w:r>
      <w:r>
        <w:rPr>
          <w:spacing w:val="11"/>
        </w:rPr>
        <w:t xml:space="preserve"> </w:t>
      </w:r>
      <w:r>
        <w:rPr>
          <w:spacing w:val="-1"/>
        </w:rPr>
        <w:t>integrity</w:t>
      </w:r>
      <w:r>
        <w:rPr>
          <w:spacing w:val="25"/>
        </w:rPr>
        <w:t xml:space="preserve"> </w:t>
      </w:r>
      <w:r>
        <w:rPr>
          <w:spacing w:val="-1"/>
        </w:rPr>
        <w:t>and</w:t>
      </w:r>
      <w:r>
        <w:t xml:space="preserve"> </w:t>
      </w:r>
      <w:r>
        <w:rPr>
          <w:spacing w:val="-2"/>
        </w:rPr>
        <w:t xml:space="preserve">availability </w:t>
      </w:r>
      <w:r>
        <w:rPr>
          <w:spacing w:val="-1"/>
        </w:rPr>
        <w:t>of</w:t>
      </w:r>
      <w:r>
        <w:rPr>
          <w:spacing w:val="4"/>
        </w:rPr>
        <w:t xml:space="preserve"> </w:t>
      </w:r>
      <w:r>
        <w:rPr>
          <w:spacing w:val="-2"/>
        </w:rPr>
        <w:t>information</w:t>
      </w:r>
      <w:r>
        <w:t xml:space="preserve"> </w:t>
      </w:r>
      <w:r>
        <w:rPr>
          <w:spacing w:val="-1"/>
        </w:rPr>
        <w:t>and</w:t>
      </w:r>
      <w:r>
        <w:t xml:space="preserve"> </w:t>
      </w:r>
      <w:r>
        <w:rPr>
          <w:spacing w:val="-1"/>
        </w:rPr>
        <w:t>consequently</w:t>
      </w:r>
      <w:r>
        <w:rPr>
          <w:spacing w:val="-2"/>
        </w:rPr>
        <w:t xml:space="preserve"> on</w:t>
      </w:r>
      <w:r>
        <w:t xml:space="preserve"> </w:t>
      </w:r>
      <w:r>
        <w:rPr>
          <w:spacing w:val="-1"/>
        </w:rPr>
        <w:t>security.</w:t>
      </w:r>
    </w:p>
    <w:p w:rsidR="008918FA" w:rsidRDefault="008918FA" w:rsidP="008918FA">
      <w:pPr>
        <w:pStyle w:val="BodyText"/>
        <w:numPr>
          <w:ilvl w:val="1"/>
          <w:numId w:val="22"/>
        </w:numPr>
        <w:tabs>
          <w:tab w:val="left" w:pos="829"/>
        </w:tabs>
        <w:spacing w:before="121"/>
        <w:ind w:right="113"/>
        <w:jc w:val="both"/>
      </w:pPr>
      <w:bookmarkStart w:id="400" w:name="_bookmark323"/>
      <w:bookmarkEnd w:id="400"/>
      <w:r>
        <w:t>The</w:t>
      </w:r>
      <w:r>
        <w:rPr>
          <w:spacing w:val="60"/>
        </w:rPr>
        <w:t xml:space="preserve"> </w:t>
      </w:r>
      <w:r>
        <w:rPr>
          <w:spacing w:val="-2"/>
        </w:rPr>
        <w:t>Supplier</w:t>
      </w:r>
      <w:r>
        <w:rPr>
          <w:spacing w:val="59"/>
        </w:rPr>
        <w:t xml:space="preserve"> </w:t>
      </w:r>
      <w:r>
        <w:rPr>
          <w:spacing w:val="-1"/>
        </w:rPr>
        <w:t>shall</w:t>
      </w:r>
      <w:r>
        <w:rPr>
          <w:spacing w:val="59"/>
        </w:rPr>
        <w:t xml:space="preserve"> </w:t>
      </w:r>
      <w:r>
        <w:rPr>
          <w:spacing w:val="-1"/>
        </w:rPr>
        <w:t>be</w:t>
      </w:r>
      <w:r>
        <w:rPr>
          <w:spacing w:val="60"/>
        </w:rPr>
        <w:t xml:space="preserve"> </w:t>
      </w:r>
      <w:r>
        <w:rPr>
          <w:spacing w:val="-1"/>
        </w:rPr>
        <w:t>responsible</w:t>
      </w:r>
      <w:r>
        <w:rPr>
          <w:spacing w:val="58"/>
        </w:rPr>
        <w:t xml:space="preserve"> </w:t>
      </w:r>
      <w:r>
        <w:t>for</w:t>
      </w:r>
      <w:r>
        <w:rPr>
          <w:spacing w:val="59"/>
        </w:rPr>
        <w:t xml:space="preserve"> </w:t>
      </w:r>
      <w:r>
        <w:t>the</w:t>
      </w:r>
      <w:r>
        <w:rPr>
          <w:spacing w:val="59"/>
        </w:rPr>
        <w:t xml:space="preserve"> </w:t>
      </w:r>
      <w:r>
        <w:rPr>
          <w:spacing w:val="-1"/>
        </w:rPr>
        <w:t>effective</w:t>
      </w:r>
      <w:r>
        <w:rPr>
          <w:spacing w:val="60"/>
        </w:rPr>
        <w:t xml:space="preserve"> </w:t>
      </w:r>
      <w:r>
        <w:rPr>
          <w:spacing w:val="-1"/>
        </w:rPr>
        <w:t>performance</w:t>
      </w:r>
      <w:r>
        <w:rPr>
          <w:spacing w:val="58"/>
        </w:rPr>
        <w:t xml:space="preserve"> </w:t>
      </w:r>
      <w:r>
        <w:rPr>
          <w:spacing w:val="-2"/>
        </w:rPr>
        <w:t>of</w:t>
      </w:r>
      <w:r>
        <w:rPr>
          <w:spacing w:val="1"/>
        </w:rPr>
        <w:t xml:space="preserve"> </w:t>
      </w:r>
      <w:r>
        <w:rPr>
          <w:spacing w:val="-1"/>
        </w:rPr>
        <w:t>its</w:t>
      </w:r>
      <w:r>
        <w:rPr>
          <w:spacing w:val="58"/>
        </w:rPr>
        <w:t xml:space="preserve"> </w:t>
      </w:r>
      <w:r>
        <w:rPr>
          <w:spacing w:val="-1"/>
        </w:rPr>
        <w:t>security</w:t>
      </w:r>
      <w:r>
        <w:rPr>
          <w:spacing w:val="49"/>
        </w:rPr>
        <w:t xml:space="preserve"> </w:t>
      </w:r>
      <w:r>
        <w:rPr>
          <w:spacing w:val="-1"/>
        </w:rPr>
        <w:t>obligations</w:t>
      </w:r>
      <w:r>
        <w:rPr>
          <w:spacing w:val="1"/>
        </w:rPr>
        <w:t xml:space="preserve"> </w:t>
      </w:r>
      <w:r>
        <w:rPr>
          <w:spacing w:val="-1"/>
        </w:rPr>
        <w:t>and</w:t>
      </w:r>
      <w:r>
        <w:rPr>
          <w:spacing w:val="-2"/>
        </w:rPr>
        <w:t xml:space="preserve"> </w:t>
      </w:r>
      <w:r>
        <w:rPr>
          <w:spacing w:val="-1"/>
        </w:rPr>
        <w:t>shall</w:t>
      </w:r>
      <w:r>
        <w:t xml:space="preserve"> </w:t>
      </w:r>
      <w:r>
        <w:rPr>
          <w:spacing w:val="-1"/>
        </w:rPr>
        <w:t>at</w:t>
      </w:r>
      <w:r>
        <w:t xml:space="preserve"> </w:t>
      </w:r>
      <w:r>
        <w:rPr>
          <w:spacing w:val="-2"/>
        </w:rPr>
        <w:t>all</w:t>
      </w:r>
      <w:r>
        <w:t xml:space="preserve"> </w:t>
      </w:r>
      <w:r>
        <w:rPr>
          <w:spacing w:val="-1"/>
        </w:rPr>
        <w:t>times</w:t>
      </w:r>
      <w:r>
        <w:rPr>
          <w:spacing w:val="1"/>
        </w:rPr>
        <w:t xml:space="preserve"> </w:t>
      </w:r>
      <w:r>
        <w:rPr>
          <w:spacing w:val="-2"/>
        </w:rPr>
        <w:t>provide</w:t>
      </w:r>
      <w:r>
        <w:t xml:space="preserve"> a </w:t>
      </w:r>
      <w:r>
        <w:rPr>
          <w:spacing w:val="-2"/>
        </w:rPr>
        <w:t>level</w:t>
      </w:r>
      <w:r>
        <w:t xml:space="preserve"> </w:t>
      </w:r>
      <w:r>
        <w:rPr>
          <w:spacing w:val="-1"/>
        </w:rPr>
        <w:t>of</w:t>
      </w:r>
      <w:r>
        <w:rPr>
          <w:spacing w:val="2"/>
        </w:rPr>
        <w:t xml:space="preserve"> </w:t>
      </w:r>
      <w:r>
        <w:rPr>
          <w:spacing w:val="-1"/>
        </w:rPr>
        <w:t>security</w:t>
      </w:r>
      <w:r>
        <w:rPr>
          <w:spacing w:val="-2"/>
        </w:rPr>
        <w:t xml:space="preserve"> which:</w:t>
      </w:r>
    </w:p>
    <w:p w:rsidR="008918FA" w:rsidRDefault="008918FA" w:rsidP="008918FA">
      <w:pPr>
        <w:pStyle w:val="BodyText"/>
        <w:numPr>
          <w:ilvl w:val="2"/>
          <w:numId w:val="20"/>
        </w:numPr>
        <w:tabs>
          <w:tab w:val="left" w:pos="2026"/>
        </w:tabs>
        <w:spacing w:before="121"/>
      </w:pPr>
      <w:r>
        <w:rPr>
          <w:spacing w:val="-1"/>
        </w:rPr>
        <w:t>is</w:t>
      </w:r>
      <w:r>
        <w:rPr>
          <w:spacing w:val="1"/>
        </w:rPr>
        <w:t xml:space="preserve"> </w:t>
      </w:r>
      <w:r>
        <w:rPr>
          <w:spacing w:val="-1"/>
        </w:rPr>
        <w:t>in</w:t>
      </w:r>
      <w:r>
        <w:t xml:space="preserve"> </w:t>
      </w:r>
      <w:r>
        <w:rPr>
          <w:spacing w:val="-1"/>
        </w:rPr>
        <w:t>accordance</w:t>
      </w:r>
      <w:r>
        <w:rPr>
          <w:spacing w:val="1"/>
        </w:rPr>
        <w:t xml:space="preserve"> </w:t>
      </w:r>
      <w:r>
        <w:rPr>
          <w:spacing w:val="-2"/>
        </w:rPr>
        <w:t>with</w:t>
      </w:r>
      <w:r>
        <w:t xml:space="preserve"> the</w:t>
      </w:r>
      <w:r>
        <w:rPr>
          <w:spacing w:val="-2"/>
        </w:rPr>
        <w:t xml:space="preserve"> </w:t>
      </w:r>
      <w:r>
        <w:rPr>
          <w:spacing w:val="-1"/>
        </w:rPr>
        <w:t>Law</w:t>
      </w:r>
      <w:r>
        <w:rPr>
          <w:spacing w:val="-3"/>
        </w:rPr>
        <w:t xml:space="preserve"> </w:t>
      </w:r>
      <w:r>
        <w:rPr>
          <w:spacing w:val="-1"/>
        </w:rPr>
        <w:t>and</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2"/>
          <w:numId w:val="20"/>
        </w:numPr>
        <w:tabs>
          <w:tab w:val="left" w:pos="2026"/>
        </w:tabs>
        <w:ind w:left="2025" w:hanging="993"/>
      </w:pPr>
      <w:r>
        <w:rPr>
          <w:spacing w:val="-1"/>
        </w:rPr>
        <w:t>as</w:t>
      </w:r>
      <w:r>
        <w:rPr>
          <w:spacing w:val="1"/>
        </w:rPr>
        <w:t xml:space="preserve"> </w:t>
      </w:r>
      <w:r>
        <w:t>a</w:t>
      </w:r>
      <w:r>
        <w:rPr>
          <w:spacing w:val="-2"/>
        </w:rPr>
        <w:t xml:space="preserve"> </w:t>
      </w:r>
      <w:r>
        <w:rPr>
          <w:spacing w:val="-1"/>
        </w:rPr>
        <w:t>minimum demonstrates</w:t>
      </w:r>
      <w:r>
        <w:rPr>
          <w:spacing w:val="-2"/>
        </w:rPr>
        <w:t xml:space="preserve"> </w:t>
      </w:r>
      <w:r>
        <w:rPr>
          <w:spacing w:val="-1"/>
        </w:rPr>
        <w:t>Good</w:t>
      </w:r>
      <w:r>
        <w:rPr>
          <w:spacing w:val="-2"/>
        </w:rPr>
        <w:t xml:space="preserve"> </w:t>
      </w:r>
      <w:r>
        <w:rPr>
          <w:spacing w:val="-1"/>
        </w:rPr>
        <w:t>Industry</w:t>
      </w:r>
      <w:r>
        <w:rPr>
          <w:spacing w:val="-2"/>
        </w:rPr>
        <w:t xml:space="preserve"> Practice;</w:t>
      </w:r>
    </w:p>
    <w:p w:rsidR="008918FA" w:rsidRDefault="008918FA" w:rsidP="008918FA">
      <w:pPr>
        <w:pStyle w:val="BodyText"/>
        <w:numPr>
          <w:ilvl w:val="2"/>
          <w:numId w:val="20"/>
        </w:numPr>
        <w:tabs>
          <w:tab w:val="left" w:pos="2026"/>
        </w:tabs>
        <w:ind w:left="2025" w:hanging="993"/>
      </w:pPr>
      <w:r>
        <w:rPr>
          <w:spacing w:val="-1"/>
        </w:rPr>
        <w:t>complies</w:t>
      </w:r>
      <w:r>
        <w:rPr>
          <w:spacing w:val="1"/>
        </w:rPr>
        <w:t xml:space="preserve"> </w:t>
      </w:r>
      <w:r>
        <w:rPr>
          <w:spacing w:val="-2"/>
        </w:rPr>
        <w:t>with</w:t>
      </w:r>
      <w:r>
        <w:t xml:space="preserve"> the </w:t>
      </w:r>
      <w:r>
        <w:rPr>
          <w:spacing w:val="-2"/>
        </w:rPr>
        <w:t xml:space="preserve">Security </w:t>
      </w:r>
      <w:r>
        <w:rPr>
          <w:spacing w:val="-1"/>
        </w:rPr>
        <w:t>Policy;</w:t>
      </w:r>
    </w:p>
    <w:p w:rsidR="008918FA" w:rsidRDefault="008918FA" w:rsidP="008918FA">
      <w:pPr>
        <w:sectPr w:rsidR="008918FA">
          <w:pgSz w:w="11910" w:h="16840"/>
          <w:pgMar w:top="1480" w:right="1300" w:bottom="1160" w:left="1540" w:header="0" w:footer="967" w:gutter="0"/>
          <w:cols w:space="720"/>
        </w:sectPr>
      </w:pPr>
    </w:p>
    <w:p w:rsidR="008918FA" w:rsidRDefault="008918FA" w:rsidP="008918FA">
      <w:pPr>
        <w:pStyle w:val="BodyText"/>
        <w:numPr>
          <w:ilvl w:val="2"/>
          <w:numId w:val="20"/>
        </w:numPr>
        <w:tabs>
          <w:tab w:val="left" w:pos="2027"/>
        </w:tabs>
        <w:spacing w:before="59"/>
        <w:ind w:right="116"/>
        <w:jc w:val="both"/>
      </w:pPr>
      <w:r>
        <w:rPr>
          <w:spacing w:val="-1"/>
        </w:rPr>
        <w:t>meets</w:t>
      </w:r>
      <w:r>
        <w:rPr>
          <w:spacing w:val="4"/>
        </w:rPr>
        <w:t xml:space="preserve"> </w:t>
      </w:r>
      <w:r>
        <w:rPr>
          <w:spacing w:val="-1"/>
        </w:rPr>
        <w:t>any</w:t>
      </w:r>
      <w:r>
        <w:rPr>
          <w:spacing w:val="4"/>
        </w:rPr>
        <w:t xml:space="preserve"> </w:t>
      </w:r>
      <w:r>
        <w:rPr>
          <w:spacing w:val="-1"/>
        </w:rPr>
        <w:t>specific</w:t>
      </w:r>
      <w:r>
        <w:rPr>
          <w:spacing w:val="7"/>
        </w:rPr>
        <w:t xml:space="preserve"> </w:t>
      </w:r>
      <w:r>
        <w:rPr>
          <w:spacing w:val="-2"/>
        </w:rPr>
        <w:t>security</w:t>
      </w:r>
      <w:r>
        <w:rPr>
          <w:spacing w:val="4"/>
        </w:rPr>
        <w:t xml:space="preserve"> </w:t>
      </w:r>
      <w:r>
        <w:rPr>
          <w:spacing w:val="-1"/>
        </w:rPr>
        <w:t>threats</w:t>
      </w:r>
      <w:r>
        <w:rPr>
          <w:spacing w:val="7"/>
        </w:rPr>
        <w:t xml:space="preserve"> </w:t>
      </w:r>
      <w:r>
        <w:rPr>
          <w:spacing w:val="-2"/>
        </w:rPr>
        <w:t>of</w:t>
      </w:r>
      <w:r>
        <w:rPr>
          <w:spacing w:val="10"/>
        </w:rPr>
        <w:t xml:space="preserve"> </w:t>
      </w:r>
      <w:r>
        <w:rPr>
          <w:spacing w:val="-2"/>
        </w:rPr>
        <w:t>immediate</w:t>
      </w:r>
      <w:r>
        <w:rPr>
          <w:spacing w:val="6"/>
        </w:rPr>
        <w:t xml:space="preserve"> </w:t>
      </w:r>
      <w:r>
        <w:rPr>
          <w:spacing w:val="-2"/>
        </w:rPr>
        <w:t>relevance</w:t>
      </w:r>
      <w:r>
        <w:rPr>
          <w:spacing w:val="7"/>
        </w:rPr>
        <w:t xml:space="preserve"> </w:t>
      </w:r>
      <w:r>
        <w:t>to</w:t>
      </w:r>
      <w:r>
        <w:rPr>
          <w:spacing w:val="4"/>
        </w:rPr>
        <w:t xml:space="preserve"> </w:t>
      </w:r>
      <w:r>
        <w:rPr>
          <w:spacing w:val="-1"/>
        </w:rPr>
        <w:t>the</w:t>
      </w:r>
      <w:r>
        <w:rPr>
          <w:spacing w:val="82"/>
        </w:rPr>
        <w:t xml:space="preserve"> </w:t>
      </w:r>
      <w:r>
        <w:rPr>
          <w:spacing w:val="-1"/>
        </w:rPr>
        <w:t>Goods</w:t>
      </w:r>
      <w:r>
        <w:rPr>
          <w:spacing w:val="1"/>
        </w:rPr>
        <w:t xml:space="preserve"> </w:t>
      </w:r>
      <w:r>
        <w:rPr>
          <w:spacing w:val="-1"/>
        </w:rPr>
        <w:t>and/or Services</w:t>
      </w:r>
      <w:r>
        <w:rPr>
          <w:spacing w:val="1"/>
        </w:rPr>
        <w:t xml:space="preserve"> </w:t>
      </w:r>
      <w:r>
        <w:rPr>
          <w:spacing w:val="-1"/>
        </w:rPr>
        <w:t xml:space="preserve">and/or </w:t>
      </w:r>
      <w:r>
        <w:t>the</w:t>
      </w:r>
      <w:r>
        <w:rPr>
          <w:spacing w:val="-2"/>
        </w:rPr>
        <w:t xml:space="preserve"> </w:t>
      </w:r>
      <w:r>
        <w:rPr>
          <w:spacing w:val="-1"/>
        </w:rPr>
        <w:t>Customer Data;</w:t>
      </w:r>
      <w:r>
        <w:rPr>
          <w:spacing w:val="2"/>
        </w:rPr>
        <w:t xml:space="preserve"> </w:t>
      </w:r>
      <w:r>
        <w:rPr>
          <w:spacing w:val="-1"/>
        </w:rPr>
        <w:t>and</w:t>
      </w:r>
    </w:p>
    <w:p w:rsidR="008918FA" w:rsidRDefault="008918FA" w:rsidP="008918FA">
      <w:pPr>
        <w:pStyle w:val="BodyText"/>
        <w:numPr>
          <w:ilvl w:val="2"/>
          <w:numId w:val="20"/>
        </w:numPr>
        <w:tabs>
          <w:tab w:val="left" w:pos="2027"/>
        </w:tabs>
        <w:spacing w:before="121"/>
      </w:pPr>
      <w:r>
        <w:rPr>
          <w:spacing w:val="-1"/>
        </w:rPr>
        <w:t>complies</w:t>
      </w:r>
      <w:r>
        <w:rPr>
          <w:spacing w:val="1"/>
        </w:rPr>
        <w:t xml:space="preserve"> </w:t>
      </w:r>
      <w:r>
        <w:rPr>
          <w:spacing w:val="-2"/>
        </w:rPr>
        <w:t>with</w:t>
      </w:r>
      <w:r>
        <w:t xml:space="preserve"> the </w:t>
      </w:r>
      <w:r>
        <w:rPr>
          <w:spacing w:val="-2"/>
        </w:rPr>
        <w:t xml:space="preserve">Customer’s </w:t>
      </w:r>
      <w:r>
        <w:rPr>
          <w:spacing w:val="-1"/>
        </w:rPr>
        <w:t>ICT</w:t>
      </w:r>
      <w:r>
        <w:rPr>
          <w:spacing w:val="3"/>
        </w:rPr>
        <w:t xml:space="preserve"> </w:t>
      </w:r>
      <w:r>
        <w:rPr>
          <w:spacing w:val="-2"/>
        </w:rPr>
        <w:t>policies.</w:t>
      </w:r>
    </w:p>
    <w:p w:rsidR="008918FA" w:rsidRDefault="008918FA" w:rsidP="008918FA">
      <w:pPr>
        <w:pStyle w:val="BodyText"/>
        <w:numPr>
          <w:ilvl w:val="1"/>
          <w:numId w:val="19"/>
        </w:numPr>
        <w:tabs>
          <w:tab w:val="left" w:pos="829"/>
        </w:tabs>
        <w:ind w:right="115"/>
        <w:jc w:val="both"/>
      </w:pPr>
      <w:r>
        <w:rPr>
          <w:spacing w:val="-1"/>
        </w:rPr>
        <w:t>Subject</w:t>
      </w:r>
      <w:r>
        <w:rPr>
          <w:spacing w:val="49"/>
        </w:rPr>
        <w:t xml:space="preserve"> </w:t>
      </w:r>
      <w:r>
        <w:t>to</w:t>
      </w:r>
      <w:r>
        <w:rPr>
          <w:spacing w:val="47"/>
        </w:rPr>
        <w:t xml:space="preserve"> </w:t>
      </w:r>
      <w:r>
        <w:rPr>
          <w:spacing w:val="-2"/>
        </w:rPr>
        <w:t>Clause</w:t>
      </w:r>
      <w:r>
        <w:rPr>
          <w:spacing w:val="1"/>
        </w:rPr>
        <w:t xml:space="preserve"> </w:t>
      </w:r>
      <w:hyperlink w:anchor="_bookmark179" w:history="1">
        <w:r>
          <w:rPr>
            <w:spacing w:val="-1"/>
          </w:rPr>
          <w:t>34</w:t>
        </w:r>
      </w:hyperlink>
      <w:r>
        <w:rPr>
          <w:spacing w:val="-2"/>
        </w:rPr>
        <w:t xml:space="preserve"> of</w:t>
      </w:r>
      <w:r>
        <w:rPr>
          <w:spacing w:val="48"/>
        </w:rPr>
        <w:t xml:space="preserve"> </w:t>
      </w:r>
      <w:r>
        <w:rPr>
          <w:spacing w:val="-1"/>
        </w:rPr>
        <w:t>this</w:t>
      </w:r>
      <w:r>
        <w:rPr>
          <w:spacing w:val="47"/>
        </w:rPr>
        <w:t xml:space="preserve"> </w:t>
      </w:r>
      <w:r>
        <w:rPr>
          <w:spacing w:val="-2"/>
        </w:rPr>
        <w:t>Call</w:t>
      </w:r>
      <w:r>
        <w:rPr>
          <w:spacing w:val="46"/>
        </w:rPr>
        <w:t xml:space="preserve"> </w:t>
      </w:r>
      <w:r>
        <w:t>Off</w:t>
      </w:r>
      <w:r>
        <w:rPr>
          <w:spacing w:val="51"/>
        </w:rPr>
        <w:t xml:space="preserve"> </w:t>
      </w:r>
      <w:r>
        <w:rPr>
          <w:spacing w:val="-2"/>
        </w:rPr>
        <w:t>Contract</w:t>
      </w:r>
      <w:r>
        <w:rPr>
          <w:spacing w:val="50"/>
        </w:rPr>
        <w:t xml:space="preserve"> </w:t>
      </w:r>
      <w:r>
        <w:rPr>
          <w:spacing w:val="-1"/>
        </w:rPr>
        <w:t>(Security</w:t>
      </w:r>
      <w:r>
        <w:rPr>
          <w:spacing w:val="45"/>
        </w:rPr>
        <w:t xml:space="preserve"> </w:t>
      </w:r>
      <w:r>
        <w:rPr>
          <w:spacing w:val="-1"/>
        </w:rPr>
        <w:t>and</w:t>
      </w:r>
      <w:r>
        <w:rPr>
          <w:spacing w:val="47"/>
        </w:rPr>
        <w:t xml:space="preserve"> </w:t>
      </w:r>
      <w:r>
        <w:rPr>
          <w:spacing w:val="-1"/>
        </w:rPr>
        <w:t>Protection</w:t>
      </w:r>
      <w:r>
        <w:rPr>
          <w:spacing w:val="47"/>
        </w:rPr>
        <w:t xml:space="preserve"> </w:t>
      </w:r>
      <w:r>
        <w:rPr>
          <w:spacing w:val="-1"/>
        </w:rPr>
        <w:t>of</w:t>
      </w:r>
      <w:r>
        <w:rPr>
          <w:spacing w:val="66"/>
        </w:rPr>
        <w:t xml:space="preserve"> </w:t>
      </w:r>
      <w:r>
        <w:rPr>
          <w:spacing w:val="-1"/>
        </w:rPr>
        <w:t>Information)</w:t>
      </w:r>
      <w:r>
        <w:rPr>
          <w:spacing w:val="33"/>
        </w:rPr>
        <w:t xml:space="preserve"> </w:t>
      </w:r>
      <w:r>
        <w:t>the</w:t>
      </w:r>
      <w:r>
        <w:rPr>
          <w:spacing w:val="34"/>
        </w:rPr>
        <w:t xml:space="preserve"> </w:t>
      </w:r>
      <w:r>
        <w:rPr>
          <w:spacing w:val="-1"/>
        </w:rPr>
        <w:t>references</w:t>
      </w:r>
      <w:r>
        <w:rPr>
          <w:spacing w:val="34"/>
        </w:rPr>
        <w:t xml:space="preserve"> </w:t>
      </w:r>
      <w:r>
        <w:t>to</w:t>
      </w:r>
      <w:r>
        <w:rPr>
          <w:spacing w:val="34"/>
        </w:rPr>
        <w:t xml:space="preserve"> </w:t>
      </w:r>
      <w:r>
        <w:rPr>
          <w:spacing w:val="-1"/>
        </w:rPr>
        <w:t>standards,</w:t>
      </w:r>
      <w:r>
        <w:rPr>
          <w:spacing w:val="33"/>
        </w:rPr>
        <w:t xml:space="preserve"> </w:t>
      </w:r>
      <w:r>
        <w:rPr>
          <w:spacing w:val="-1"/>
        </w:rPr>
        <w:t>guidance</w:t>
      </w:r>
      <w:r>
        <w:rPr>
          <w:spacing w:val="34"/>
        </w:rPr>
        <w:t xml:space="preserve"> </w:t>
      </w:r>
      <w:r>
        <w:rPr>
          <w:spacing w:val="-1"/>
        </w:rPr>
        <w:t>and</w:t>
      </w:r>
      <w:r>
        <w:rPr>
          <w:spacing w:val="35"/>
        </w:rPr>
        <w:t xml:space="preserve"> </w:t>
      </w:r>
      <w:r>
        <w:rPr>
          <w:spacing w:val="-2"/>
        </w:rPr>
        <w:t>policies</w:t>
      </w:r>
      <w:r>
        <w:rPr>
          <w:spacing w:val="34"/>
        </w:rPr>
        <w:t xml:space="preserve"> </w:t>
      </w:r>
      <w:r>
        <w:rPr>
          <w:spacing w:val="-1"/>
        </w:rPr>
        <w:t>contained</w:t>
      </w:r>
      <w:r>
        <w:rPr>
          <w:spacing w:val="34"/>
        </w:rPr>
        <w:t xml:space="preserve"> </w:t>
      </w:r>
      <w:r>
        <w:rPr>
          <w:spacing w:val="-1"/>
        </w:rPr>
        <w:t>or</w:t>
      </w:r>
      <w:r>
        <w:rPr>
          <w:spacing w:val="35"/>
        </w:rPr>
        <w:t xml:space="preserve"> </w:t>
      </w:r>
      <w:r>
        <w:rPr>
          <w:spacing w:val="-2"/>
        </w:rPr>
        <w:t>set</w:t>
      </w:r>
      <w:r>
        <w:rPr>
          <w:spacing w:val="41"/>
        </w:rPr>
        <w:t xml:space="preserve"> </w:t>
      </w:r>
      <w:r>
        <w:rPr>
          <w:spacing w:val="-1"/>
        </w:rPr>
        <w:t>out</w:t>
      </w:r>
      <w:r>
        <w:rPr>
          <w:spacing w:val="7"/>
        </w:rPr>
        <w:t xml:space="preserve"> </w:t>
      </w:r>
      <w:r>
        <w:rPr>
          <w:spacing w:val="-1"/>
        </w:rPr>
        <w:t>in</w:t>
      </w:r>
      <w:r>
        <w:rPr>
          <w:spacing w:val="5"/>
        </w:rPr>
        <w:t xml:space="preserve"> </w:t>
      </w:r>
      <w:r>
        <w:rPr>
          <w:spacing w:val="-1"/>
        </w:rPr>
        <w:t>paragraph</w:t>
      </w:r>
      <w:r>
        <w:rPr>
          <w:spacing w:val="7"/>
        </w:rPr>
        <w:t xml:space="preserve"> </w:t>
      </w:r>
      <w:hyperlink w:anchor="_bookmark323" w:history="1">
        <w:r>
          <w:rPr>
            <w:spacing w:val="-1"/>
          </w:rPr>
          <w:t>3.2</w:t>
        </w:r>
      </w:hyperlink>
      <w:r>
        <w:rPr>
          <w:spacing w:val="5"/>
        </w:rPr>
        <w:t xml:space="preserve"> </w:t>
      </w:r>
      <w:r>
        <w:rPr>
          <w:spacing w:val="-2"/>
        </w:rPr>
        <w:t>of</w:t>
      </w:r>
      <w:r>
        <w:rPr>
          <w:spacing w:val="9"/>
        </w:rPr>
        <w:t xml:space="preserve"> </w:t>
      </w:r>
      <w:r>
        <w:rPr>
          <w:spacing w:val="-2"/>
        </w:rPr>
        <w:t>this</w:t>
      </w:r>
      <w:r>
        <w:rPr>
          <w:spacing w:val="5"/>
        </w:rPr>
        <w:t xml:space="preserve"> </w:t>
      </w:r>
      <w:r>
        <w:rPr>
          <w:spacing w:val="-2"/>
        </w:rPr>
        <w:t>Call</w:t>
      </w:r>
      <w:r>
        <w:rPr>
          <w:spacing w:val="7"/>
        </w:rPr>
        <w:t xml:space="preserve"> </w:t>
      </w:r>
      <w:r>
        <w:rPr>
          <w:spacing w:val="-1"/>
        </w:rPr>
        <w:t>Off</w:t>
      </w:r>
      <w:r>
        <w:rPr>
          <w:spacing w:val="9"/>
        </w:rPr>
        <w:t xml:space="preserve"> </w:t>
      </w:r>
      <w:r>
        <w:rPr>
          <w:spacing w:val="-1"/>
        </w:rPr>
        <w:t>Schedule</w:t>
      </w:r>
      <w:r>
        <w:rPr>
          <w:spacing w:val="5"/>
        </w:rPr>
        <w:t xml:space="preserve"> </w:t>
      </w:r>
      <w:r>
        <w:rPr>
          <w:spacing w:val="-2"/>
        </w:rPr>
        <w:t>shall</w:t>
      </w:r>
      <w:r>
        <w:rPr>
          <w:spacing w:val="4"/>
        </w:rPr>
        <w:t xml:space="preserve"> </w:t>
      </w:r>
      <w:r>
        <w:rPr>
          <w:spacing w:val="-1"/>
        </w:rPr>
        <w:t>be</w:t>
      </w:r>
      <w:r>
        <w:rPr>
          <w:spacing w:val="5"/>
        </w:rPr>
        <w:t xml:space="preserve"> </w:t>
      </w:r>
      <w:r>
        <w:rPr>
          <w:spacing w:val="-1"/>
        </w:rPr>
        <w:t>deemed</w:t>
      </w:r>
      <w:r>
        <w:rPr>
          <w:spacing w:val="5"/>
        </w:rPr>
        <w:t xml:space="preserve"> </w:t>
      </w:r>
      <w:r>
        <w:t>to</w:t>
      </w:r>
      <w:r>
        <w:rPr>
          <w:spacing w:val="5"/>
        </w:rPr>
        <w:t xml:space="preserve"> </w:t>
      </w:r>
      <w:r>
        <w:rPr>
          <w:spacing w:val="-1"/>
        </w:rPr>
        <w:t>be</w:t>
      </w:r>
      <w:r>
        <w:rPr>
          <w:spacing w:val="5"/>
        </w:rPr>
        <w:t xml:space="preserve"> </w:t>
      </w:r>
      <w:r>
        <w:rPr>
          <w:spacing w:val="-1"/>
        </w:rPr>
        <w:t>references</w:t>
      </w:r>
      <w:r>
        <w:rPr>
          <w:spacing w:val="5"/>
        </w:rPr>
        <w:t xml:space="preserve"> </w:t>
      </w:r>
      <w:r>
        <w:rPr>
          <w:spacing w:val="-1"/>
        </w:rPr>
        <w:t>to</w:t>
      </w:r>
      <w:r>
        <w:rPr>
          <w:spacing w:val="59"/>
        </w:rPr>
        <w:t xml:space="preserve"> </w:t>
      </w:r>
      <w:r>
        <w:rPr>
          <w:spacing w:val="-1"/>
        </w:rPr>
        <w:t>such</w:t>
      </w:r>
      <w:r>
        <w:rPr>
          <w:spacing w:val="13"/>
        </w:rPr>
        <w:t xml:space="preserve"> </w:t>
      </w:r>
      <w:r>
        <w:rPr>
          <w:spacing w:val="-1"/>
        </w:rPr>
        <w:t>items</w:t>
      </w:r>
      <w:r>
        <w:rPr>
          <w:spacing w:val="13"/>
        </w:rPr>
        <w:t xml:space="preserve"> </w:t>
      </w:r>
      <w:r>
        <w:rPr>
          <w:spacing w:val="-1"/>
        </w:rPr>
        <w:t>as</w:t>
      </w:r>
      <w:r>
        <w:rPr>
          <w:spacing w:val="13"/>
        </w:rPr>
        <w:t xml:space="preserve"> </w:t>
      </w:r>
      <w:r>
        <w:rPr>
          <w:spacing w:val="-1"/>
        </w:rPr>
        <w:t>developed</w:t>
      </w:r>
      <w:r>
        <w:rPr>
          <w:spacing w:val="12"/>
        </w:rPr>
        <w:t xml:space="preserve"> </w:t>
      </w:r>
      <w:r>
        <w:rPr>
          <w:spacing w:val="-1"/>
        </w:rPr>
        <w:t>and</w:t>
      </w:r>
      <w:r>
        <w:rPr>
          <w:spacing w:val="12"/>
        </w:rPr>
        <w:t xml:space="preserve"> </w:t>
      </w:r>
      <w:r>
        <w:rPr>
          <w:spacing w:val="-1"/>
        </w:rPr>
        <w:t>updated</w:t>
      </w:r>
      <w:r>
        <w:rPr>
          <w:spacing w:val="12"/>
        </w:rPr>
        <w:t xml:space="preserve"> </w:t>
      </w:r>
      <w:r>
        <w:rPr>
          <w:spacing w:val="-1"/>
        </w:rPr>
        <w:t>and</w:t>
      </w:r>
      <w:r>
        <w:rPr>
          <w:spacing w:val="12"/>
        </w:rPr>
        <w:t xml:space="preserve"> </w:t>
      </w:r>
      <w:r>
        <w:t>to</w:t>
      </w:r>
      <w:r>
        <w:rPr>
          <w:spacing w:val="12"/>
        </w:rPr>
        <w:t xml:space="preserve"> </w:t>
      </w:r>
      <w:r>
        <w:t>any</w:t>
      </w:r>
      <w:r>
        <w:rPr>
          <w:spacing w:val="10"/>
        </w:rPr>
        <w:t xml:space="preserve"> </w:t>
      </w:r>
      <w:r>
        <w:rPr>
          <w:spacing w:val="-1"/>
        </w:rPr>
        <w:t>successor</w:t>
      </w:r>
      <w:r>
        <w:rPr>
          <w:spacing w:val="14"/>
        </w:rPr>
        <w:t xml:space="preserve"> </w:t>
      </w:r>
      <w:r>
        <w:t>to</w:t>
      </w:r>
      <w:r>
        <w:rPr>
          <w:spacing w:val="12"/>
        </w:rPr>
        <w:t xml:space="preserve"> </w:t>
      </w:r>
      <w:r>
        <w:rPr>
          <w:spacing w:val="-1"/>
        </w:rPr>
        <w:t>or</w:t>
      </w:r>
      <w:r>
        <w:rPr>
          <w:spacing w:val="14"/>
        </w:rPr>
        <w:t xml:space="preserve"> </w:t>
      </w:r>
      <w:r>
        <w:rPr>
          <w:spacing w:val="-1"/>
        </w:rPr>
        <w:t>replacement</w:t>
      </w:r>
      <w:r>
        <w:rPr>
          <w:spacing w:val="11"/>
        </w:rPr>
        <w:t xml:space="preserve"> </w:t>
      </w:r>
      <w:r>
        <w:rPr>
          <w:spacing w:val="-1"/>
        </w:rPr>
        <w:t>for</w:t>
      </w:r>
      <w:r>
        <w:rPr>
          <w:spacing w:val="49"/>
        </w:rPr>
        <w:t xml:space="preserve"> </w:t>
      </w:r>
      <w:r>
        <w:rPr>
          <w:spacing w:val="-1"/>
        </w:rPr>
        <w:t>such</w:t>
      </w:r>
      <w:r>
        <w:rPr>
          <w:spacing w:val="1"/>
        </w:rPr>
        <w:t xml:space="preserve"> </w:t>
      </w:r>
      <w:r>
        <w:rPr>
          <w:spacing w:val="-1"/>
        </w:rPr>
        <w:t>standards,</w:t>
      </w:r>
      <w:r>
        <w:t xml:space="preserve"> </w:t>
      </w:r>
      <w:r>
        <w:rPr>
          <w:spacing w:val="-1"/>
        </w:rPr>
        <w:t>guidance</w:t>
      </w:r>
      <w:r>
        <w:t xml:space="preserve"> </w:t>
      </w:r>
      <w:r>
        <w:rPr>
          <w:spacing w:val="-1"/>
        </w:rPr>
        <w:t>and</w:t>
      </w:r>
      <w:r>
        <w:t xml:space="preserve"> </w:t>
      </w:r>
      <w:r>
        <w:rPr>
          <w:spacing w:val="-2"/>
        </w:rPr>
        <w:t>policies,</w:t>
      </w:r>
      <w:r>
        <w:rPr>
          <w:spacing w:val="2"/>
        </w:rPr>
        <w:t xml:space="preserve"> </w:t>
      </w:r>
      <w:r>
        <w:rPr>
          <w:spacing w:val="-2"/>
        </w:rPr>
        <w:t>as</w:t>
      </w:r>
      <w:r>
        <w:rPr>
          <w:spacing w:val="1"/>
        </w:rPr>
        <w:t xml:space="preserve"> </w:t>
      </w:r>
      <w:r>
        <w:rPr>
          <w:spacing w:val="-2"/>
        </w:rPr>
        <w:t>notified</w:t>
      </w:r>
      <w:r>
        <w:t xml:space="preserve"> to</w:t>
      </w:r>
      <w:r>
        <w:rPr>
          <w:spacing w:val="-2"/>
        </w:rPr>
        <w:t xml:space="preserve"> </w:t>
      </w:r>
      <w:r>
        <w:t>the</w:t>
      </w:r>
      <w:r>
        <w:rPr>
          <w:spacing w:val="-2"/>
        </w:rPr>
        <w:t xml:space="preserve"> Supplier</w:t>
      </w:r>
      <w:r>
        <w:rPr>
          <w:spacing w:val="-1"/>
        </w:rPr>
        <w:t xml:space="preserve"> from time</w:t>
      </w:r>
      <w:r>
        <w:rPr>
          <w:spacing w:val="-2"/>
        </w:rPr>
        <w:t xml:space="preserve"> </w:t>
      </w:r>
      <w:r>
        <w:t>to</w:t>
      </w:r>
      <w:r>
        <w:rPr>
          <w:spacing w:val="-2"/>
        </w:rPr>
        <w:t xml:space="preserve"> </w:t>
      </w:r>
      <w:r>
        <w:rPr>
          <w:spacing w:val="-1"/>
        </w:rPr>
        <w:t>time.</w:t>
      </w:r>
    </w:p>
    <w:p w:rsidR="008918FA" w:rsidRDefault="008918FA" w:rsidP="008918FA">
      <w:pPr>
        <w:pStyle w:val="BodyText"/>
        <w:numPr>
          <w:ilvl w:val="1"/>
          <w:numId w:val="19"/>
        </w:numPr>
        <w:tabs>
          <w:tab w:val="left" w:pos="829"/>
        </w:tabs>
        <w:ind w:right="114"/>
        <w:jc w:val="both"/>
      </w:pPr>
      <w:r>
        <w:t>In</w:t>
      </w:r>
      <w:r>
        <w:rPr>
          <w:spacing w:val="13"/>
        </w:rPr>
        <w:t xml:space="preserve"> </w:t>
      </w:r>
      <w:r>
        <w:t>the</w:t>
      </w:r>
      <w:r>
        <w:rPr>
          <w:spacing w:val="14"/>
        </w:rPr>
        <w:t xml:space="preserve"> </w:t>
      </w:r>
      <w:r>
        <w:rPr>
          <w:spacing w:val="-2"/>
        </w:rPr>
        <w:t>event</w:t>
      </w:r>
      <w:r>
        <w:rPr>
          <w:spacing w:val="15"/>
        </w:rPr>
        <w:t xml:space="preserve"> </w:t>
      </w:r>
      <w:r>
        <w:rPr>
          <w:spacing w:val="-1"/>
        </w:rPr>
        <w:t>of</w:t>
      </w:r>
      <w:r>
        <w:rPr>
          <w:spacing w:val="17"/>
        </w:rPr>
        <w:t xml:space="preserve"> </w:t>
      </w:r>
      <w:r>
        <w:rPr>
          <w:spacing w:val="-1"/>
        </w:rPr>
        <w:t>any</w:t>
      </w:r>
      <w:r>
        <w:rPr>
          <w:spacing w:val="11"/>
        </w:rPr>
        <w:t xml:space="preserve"> </w:t>
      </w:r>
      <w:r>
        <w:rPr>
          <w:spacing w:val="-1"/>
        </w:rPr>
        <w:t>inconsistency</w:t>
      </w:r>
      <w:r>
        <w:rPr>
          <w:spacing w:val="12"/>
        </w:rPr>
        <w:t xml:space="preserve"> </w:t>
      </w:r>
      <w:r>
        <w:rPr>
          <w:spacing w:val="-1"/>
        </w:rPr>
        <w:t>in</w:t>
      </w:r>
      <w:r>
        <w:rPr>
          <w:spacing w:val="13"/>
        </w:rPr>
        <w:t xml:space="preserve"> </w:t>
      </w:r>
      <w:r>
        <w:t>the</w:t>
      </w:r>
      <w:r>
        <w:rPr>
          <w:spacing w:val="14"/>
        </w:rPr>
        <w:t xml:space="preserve"> </w:t>
      </w:r>
      <w:r>
        <w:rPr>
          <w:spacing w:val="-2"/>
        </w:rPr>
        <w:t>provisions</w:t>
      </w:r>
      <w:r>
        <w:rPr>
          <w:spacing w:val="17"/>
        </w:rPr>
        <w:t xml:space="preserve"> </w:t>
      </w:r>
      <w:r>
        <w:rPr>
          <w:spacing w:val="-1"/>
        </w:rPr>
        <w:t>of</w:t>
      </w:r>
      <w:r>
        <w:rPr>
          <w:spacing w:val="17"/>
        </w:rPr>
        <w:t xml:space="preserve"> </w:t>
      </w:r>
      <w:r>
        <w:t>the</w:t>
      </w:r>
      <w:r>
        <w:rPr>
          <w:spacing w:val="14"/>
        </w:rPr>
        <w:t xml:space="preserve"> </w:t>
      </w:r>
      <w:r>
        <w:rPr>
          <w:spacing w:val="-2"/>
        </w:rPr>
        <w:t>above</w:t>
      </w:r>
      <w:r>
        <w:rPr>
          <w:spacing w:val="14"/>
        </w:rPr>
        <w:t xml:space="preserve"> </w:t>
      </w:r>
      <w:r>
        <w:rPr>
          <w:spacing w:val="-1"/>
        </w:rPr>
        <w:t>standards,</w:t>
      </w:r>
      <w:r>
        <w:rPr>
          <w:spacing w:val="59"/>
        </w:rPr>
        <w:t xml:space="preserve"> </w:t>
      </w:r>
      <w:r>
        <w:rPr>
          <w:spacing w:val="-1"/>
        </w:rPr>
        <w:t>guidance</w:t>
      </w:r>
      <w:r>
        <w:rPr>
          <w:spacing w:val="8"/>
        </w:rPr>
        <w:t xml:space="preserve"> </w:t>
      </w:r>
      <w:r>
        <w:rPr>
          <w:spacing w:val="-1"/>
        </w:rPr>
        <w:t>and</w:t>
      </w:r>
      <w:r>
        <w:rPr>
          <w:spacing w:val="7"/>
        </w:rPr>
        <w:t xml:space="preserve"> </w:t>
      </w:r>
      <w:r>
        <w:rPr>
          <w:spacing w:val="-2"/>
        </w:rPr>
        <w:t>policies,</w:t>
      </w:r>
      <w:r>
        <w:rPr>
          <w:spacing w:val="9"/>
        </w:rPr>
        <w:t xml:space="preserve"> </w:t>
      </w:r>
      <w:r>
        <w:t>the</w:t>
      </w:r>
      <w:r>
        <w:rPr>
          <w:spacing w:val="7"/>
        </w:rPr>
        <w:t xml:space="preserve"> </w:t>
      </w:r>
      <w:r>
        <w:rPr>
          <w:spacing w:val="-2"/>
        </w:rPr>
        <w:t>Supplier</w:t>
      </w:r>
      <w:r>
        <w:rPr>
          <w:spacing w:val="9"/>
        </w:rPr>
        <w:t xml:space="preserve"> </w:t>
      </w:r>
      <w:r>
        <w:rPr>
          <w:spacing w:val="-1"/>
        </w:rPr>
        <w:t>should</w:t>
      </w:r>
      <w:r>
        <w:rPr>
          <w:spacing w:val="10"/>
        </w:rPr>
        <w:t xml:space="preserve"> </w:t>
      </w:r>
      <w:r>
        <w:t>notify</w:t>
      </w:r>
      <w:r>
        <w:rPr>
          <w:spacing w:val="5"/>
        </w:rPr>
        <w:t xml:space="preserve"> </w:t>
      </w:r>
      <w:r>
        <w:t>the</w:t>
      </w:r>
      <w:r>
        <w:rPr>
          <w:spacing w:val="7"/>
        </w:rPr>
        <w:t xml:space="preserve"> </w:t>
      </w:r>
      <w:r>
        <w:rPr>
          <w:spacing w:val="-1"/>
        </w:rPr>
        <w:t>Customer's</w:t>
      </w:r>
      <w:r>
        <w:rPr>
          <w:spacing w:val="8"/>
        </w:rPr>
        <w:t xml:space="preserve"> </w:t>
      </w:r>
      <w:r>
        <w:rPr>
          <w:spacing w:val="-1"/>
        </w:rPr>
        <w:t>Representative</w:t>
      </w:r>
      <w:r>
        <w:rPr>
          <w:spacing w:val="7"/>
        </w:rPr>
        <w:t xml:space="preserve"> </w:t>
      </w:r>
      <w:r>
        <w:rPr>
          <w:spacing w:val="-2"/>
        </w:rPr>
        <w:t>of</w:t>
      </w:r>
      <w:r>
        <w:rPr>
          <w:spacing w:val="53"/>
        </w:rPr>
        <w:t xml:space="preserve"> </w:t>
      </w:r>
      <w:r>
        <w:rPr>
          <w:spacing w:val="-1"/>
        </w:rPr>
        <w:t>such</w:t>
      </w:r>
      <w:r>
        <w:rPr>
          <w:spacing w:val="14"/>
        </w:rPr>
        <w:t xml:space="preserve"> </w:t>
      </w:r>
      <w:r>
        <w:rPr>
          <w:spacing w:val="-1"/>
        </w:rPr>
        <w:t>inconsistency</w:t>
      </w:r>
      <w:r>
        <w:rPr>
          <w:spacing w:val="12"/>
        </w:rPr>
        <w:t xml:space="preserve"> </w:t>
      </w:r>
      <w:r>
        <w:rPr>
          <w:spacing w:val="-1"/>
        </w:rPr>
        <w:t>immediately</w:t>
      </w:r>
      <w:r>
        <w:rPr>
          <w:spacing w:val="12"/>
        </w:rPr>
        <w:t xml:space="preserve"> </w:t>
      </w:r>
      <w:r>
        <w:rPr>
          <w:spacing w:val="-1"/>
        </w:rPr>
        <w:t>upon</w:t>
      </w:r>
      <w:r>
        <w:rPr>
          <w:spacing w:val="13"/>
        </w:rPr>
        <w:t xml:space="preserve"> </w:t>
      </w:r>
      <w:r>
        <w:rPr>
          <w:spacing w:val="-1"/>
        </w:rPr>
        <w:t>becoming</w:t>
      </w:r>
      <w:r>
        <w:rPr>
          <w:spacing w:val="16"/>
        </w:rPr>
        <w:t xml:space="preserve"> </w:t>
      </w:r>
      <w:r>
        <w:rPr>
          <w:spacing w:val="-2"/>
        </w:rPr>
        <w:t>aware</w:t>
      </w:r>
      <w:r>
        <w:rPr>
          <w:spacing w:val="14"/>
        </w:rPr>
        <w:t xml:space="preserve"> </w:t>
      </w:r>
      <w:r>
        <w:rPr>
          <w:spacing w:val="-2"/>
        </w:rPr>
        <w:t>of</w:t>
      </w:r>
      <w:r>
        <w:rPr>
          <w:spacing w:val="13"/>
        </w:rPr>
        <w:t xml:space="preserve"> </w:t>
      </w:r>
      <w:r>
        <w:t>the</w:t>
      </w:r>
      <w:r>
        <w:rPr>
          <w:spacing w:val="13"/>
        </w:rPr>
        <w:t xml:space="preserve"> </w:t>
      </w:r>
      <w:r>
        <w:rPr>
          <w:spacing w:val="-2"/>
        </w:rPr>
        <w:t>same,</w:t>
      </w:r>
      <w:r>
        <w:rPr>
          <w:spacing w:val="15"/>
        </w:rPr>
        <w:t xml:space="preserve"> </w:t>
      </w:r>
      <w:r>
        <w:rPr>
          <w:spacing w:val="-1"/>
        </w:rPr>
        <w:t>and</w:t>
      </w:r>
      <w:r>
        <w:rPr>
          <w:spacing w:val="11"/>
        </w:rPr>
        <w:t xml:space="preserve"> </w:t>
      </w:r>
      <w:r>
        <w:rPr>
          <w:spacing w:val="-1"/>
        </w:rPr>
        <w:t>the</w:t>
      </w:r>
      <w:r>
        <w:rPr>
          <w:spacing w:val="34"/>
        </w:rPr>
        <w:t xml:space="preserve"> </w:t>
      </w:r>
      <w:r>
        <w:rPr>
          <w:spacing w:val="-1"/>
        </w:rPr>
        <w:t>Customer's</w:t>
      </w:r>
      <w:r>
        <w:rPr>
          <w:spacing w:val="3"/>
        </w:rPr>
        <w:t xml:space="preserve"> </w:t>
      </w:r>
      <w:r>
        <w:rPr>
          <w:spacing w:val="-2"/>
        </w:rPr>
        <w:t>Representative</w:t>
      </w:r>
      <w:r>
        <w:rPr>
          <w:spacing w:val="3"/>
        </w:rPr>
        <w:t xml:space="preserve"> </w:t>
      </w:r>
      <w:r>
        <w:rPr>
          <w:spacing w:val="-1"/>
        </w:rPr>
        <w:t>shall,</w:t>
      </w:r>
      <w:r>
        <w:rPr>
          <w:spacing w:val="4"/>
        </w:rPr>
        <w:t xml:space="preserve"> </w:t>
      </w:r>
      <w:r>
        <w:rPr>
          <w:spacing w:val="-1"/>
        </w:rPr>
        <w:t>as</w:t>
      </w:r>
      <w:r>
        <w:rPr>
          <w:spacing w:val="3"/>
        </w:rPr>
        <w:t xml:space="preserve"> </w:t>
      </w:r>
      <w:r>
        <w:rPr>
          <w:spacing w:val="-1"/>
        </w:rPr>
        <w:t>soon</w:t>
      </w:r>
      <w:r>
        <w:rPr>
          <w:spacing w:val="3"/>
        </w:rPr>
        <w:t xml:space="preserve"> </w:t>
      </w:r>
      <w:r>
        <w:rPr>
          <w:spacing w:val="-1"/>
        </w:rPr>
        <w:t>as</w:t>
      </w:r>
      <w:r>
        <w:rPr>
          <w:spacing w:val="3"/>
        </w:rPr>
        <w:t xml:space="preserve"> </w:t>
      </w:r>
      <w:r>
        <w:rPr>
          <w:spacing w:val="-1"/>
        </w:rPr>
        <w:t>practicable,</w:t>
      </w:r>
      <w:r>
        <w:rPr>
          <w:spacing w:val="4"/>
        </w:rPr>
        <w:t xml:space="preserve"> </w:t>
      </w:r>
      <w:r>
        <w:rPr>
          <w:spacing w:val="-2"/>
        </w:rPr>
        <w:t>advise</w:t>
      </w:r>
      <w:r>
        <w:rPr>
          <w:spacing w:val="3"/>
        </w:rPr>
        <w:t xml:space="preserve"> </w:t>
      </w:r>
      <w:r>
        <w:t>the</w:t>
      </w:r>
      <w:r>
        <w:rPr>
          <w:spacing w:val="3"/>
        </w:rPr>
        <w:t xml:space="preserve"> </w:t>
      </w:r>
      <w:r>
        <w:rPr>
          <w:spacing w:val="-2"/>
        </w:rPr>
        <w:t>Supplier</w:t>
      </w:r>
      <w:r>
        <w:rPr>
          <w:spacing w:val="4"/>
        </w:rPr>
        <w:t xml:space="preserve"> </w:t>
      </w:r>
      <w:r>
        <w:rPr>
          <w:spacing w:val="-2"/>
        </w:rPr>
        <w:t>which</w:t>
      </w:r>
      <w:r>
        <w:rPr>
          <w:spacing w:val="64"/>
        </w:rPr>
        <w:t xml:space="preserve"> </w:t>
      </w:r>
      <w:r>
        <w:rPr>
          <w:spacing w:val="-2"/>
        </w:rPr>
        <w:t>provision</w:t>
      </w:r>
      <w:r>
        <w:t xml:space="preserve"> the </w:t>
      </w:r>
      <w:r>
        <w:rPr>
          <w:spacing w:val="-2"/>
        </w:rPr>
        <w:t>Supplier</w:t>
      </w:r>
      <w:r>
        <w:rPr>
          <w:spacing w:val="2"/>
        </w:rPr>
        <w:t xml:space="preserve"> </w:t>
      </w:r>
      <w:r>
        <w:rPr>
          <w:spacing w:val="-2"/>
        </w:rPr>
        <w:t>shall</w:t>
      </w:r>
      <w:r>
        <w:t xml:space="preserve"> </w:t>
      </w:r>
      <w:r>
        <w:rPr>
          <w:spacing w:val="-1"/>
        </w:rPr>
        <w:t>be</w:t>
      </w:r>
      <w:r>
        <w:t xml:space="preserve"> </w:t>
      </w:r>
      <w:r>
        <w:rPr>
          <w:spacing w:val="-1"/>
        </w:rPr>
        <w:t>required</w:t>
      </w:r>
      <w:r>
        <w:rPr>
          <w:spacing w:val="-2"/>
        </w:rPr>
        <w:t xml:space="preserve"> </w:t>
      </w:r>
      <w:r>
        <w:t>to</w:t>
      </w:r>
      <w:r>
        <w:rPr>
          <w:spacing w:val="-2"/>
        </w:rPr>
        <w:t xml:space="preserve"> </w:t>
      </w:r>
      <w:r>
        <w:rPr>
          <w:spacing w:val="-1"/>
        </w:rPr>
        <w:t>comply</w:t>
      </w:r>
      <w:r>
        <w:rPr>
          <w:spacing w:val="-2"/>
        </w:rPr>
        <w:t xml:space="preserve"> with.</w:t>
      </w:r>
    </w:p>
    <w:p w:rsidR="008918FA" w:rsidRDefault="008918FA" w:rsidP="008918FA">
      <w:pPr>
        <w:pStyle w:val="BodyText"/>
        <w:numPr>
          <w:ilvl w:val="0"/>
          <w:numId w:val="22"/>
        </w:numPr>
        <w:tabs>
          <w:tab w:val="left" w:pos="466"/>
        </w:tabs>
        <w:spacing w:before="117"/>
        <w:ind w:left="465"/>
        <w:rPr>
          <w:rFonts w:ascii="Times New Roman" w:eastAsia="Times New Roman" w:hAnsi="Times New Roman" w:cs="Times New Roman"/>
        </w:rPr>
      </w:pPr>
      <w:r>
        <w:rPr>
          <w:rFonts w:ascii="Times New Roman"/>
          <w:spacing w:val="4"/>
        </w:rPr>
        <w:t>SECURITY</w:t>
      </w:r>
      <w:r>
        <w:rPr>
          <w:rFonts w:ascii="Times New Roman"/>
          <w:spacing w:val="-6"/>
        </w:rPr>
        <w:t xml:space="preserve"> </w:t>
      </w:r>
      <w:r>
        <w:rPr>
          <w:rFonts w:ascii="Times New Roman"/>
        </w:rPr>
        <w:t>MANAGEMENT</w:t>
      </w:r>
      <w:r>
        <w:rPr>
          <w:rFonts w:ascii="Times New Roman"/>
          <w:spacing w:val="4"/>
        </w:rPr>
        <w:t xml:space="preserve"> </w:t>
      </w:r>
      <w:r>
        <w:rPr>
          <w:rFonts w:ascii="Times New Roman"/>
          <w:spacing w:val="3"/>
        </w:rPr>
        <w:t>PLAN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2"/>
        </w:numPr>
        <w:tabs>
          <w:tab w:val="left" w:pos="828"/>
        </w:tabs>
        <w:spacing w:before="0"/>
        <w:ind w:left="827"/>
      </w:pPr>
      <w:r>
        <w:rPr>
          <w:spacing w:val="-1"/>
        </w:rPr>
        <w:t>Introduction</w:t>
      </w:r>
    </w:p>
    <w:p w:rsidR="008918FA" w:rsidRDefault="008918FA" w:rsidP="008918FA">
      <w:pPr>
        <w:pStyle w:val="BodyText"/>
        <w:ind w:left="2025" w:right="115" w:hanging="994"/>
        <w:jc w:val="both"/>
      </w:pPr>
      <w:r>
        <w:t xml:space="preserve">4.1.1      </w:t>
      </w:r>
      <w:r>
        <w:rPr>
          <w:spacing w:val="11"/>
        </w:rPr>
        <w:t xml:space="preserve"> </w:t>
      </w:r>
      <w:r>
        <w:t>The</w:t>
      </w:r>
      <w:r>
        <w:rPr>
          <w:spacing w:val="12"/>
        </w:rPr>
        <w:t xml:space="preserve"> </w:t>
      </w:r>
      <w:r>
        <w:rPr>
          <w:spacing w:val="-2"/>
        </w:rPr>
        <w:t>Supplier</w:t>
      </w:r>
      <w:r>
        <w:rPr>
          <w:spacing w:val="14"/>
        </w:rPr>
        <w:t xml:space="preserve"> </w:t>
      </w:r>
      <w:r>
        <w:rPr>
          <w:spacing w:val="-1"/>
        </w:rPr>
        <w:t>shall</w:t>
      </w:r>
      <w:r>
        <w:rPr>
          <w:spacing w:val="12"/>
        </w:rPr>
        <w:t xml:space="preserve"> </w:t>
      </w:r>
      <w:r>
        <w:rPr>
          <w:spacing w:val="-1"/>
        </w:rPr>
        <w:t>develop</w:t>
      </w:r>
      <w:r>
        <w:rPr>
          <w:spacing w:val="12"/>
        </w:rPr>
        <w:t xml:space="preserve"> </w:t>
      </w:r>
      <w:r>
        <w:rPr>
          <w:spacing w:val="-1"/>
        </w:rPr>
        <w:t>and</w:t>
      </w:r>
      <w:r>
        <w:rPr>
          <w:spacing w:val="12"/>
        </w:rPr>
        <w:t xml:space="preserve"> </w:t>
      </w:r>
      <w:r>
        <w:rPr>
          <w:spacing w:val="-1"/>
        </w:rPr>
        <w:t>maintain</w:t>
      </w:r>
      <w:r>
        <w:rPr>
          <w:spacing w:val="12"/>
        </w:rPr>
        <w:t xml:space="preserve"> </w:t>
      </w:r>
      <w:r>
        <w:t>a</w:t>
      </w:r>
      <w:r>
        <w:rPr>
          <w:spacing w:val="12"/>
        </w:rPr>
        <w:t xml:space="preserve"> </w:t>
      </w:r>
      <w:r>
        <w:rPr>
          <w:spacing w:val="-1"/>
        </w:rPr>
        <w:t>Security</w:t>
      </w:r>
      <w:r>
        <w:rPr>
          <w:spacing w:val="13"/>
        </w:rPr>
        <w:t xml:space="preserve"> </w:t>
      </w:r>
      <w:r>
        <w:rPr>
          <w:spacing w:val="-1"/>
        </w:rPr>
        <w:t>Management</w:t>
      </w:r>
      <w:r>
        <w:rPr>
          <w:spacing w:val="14"/>
        </w:rPr>
        <w:t xml:space="preserve"> </w:t>
      </w:r>
      <w:r>
        <w:rPr>
          <w:spacing w:val="-2"/>
        </w:rPr>
        <w:t>Plan</w:t>
      </w:r>
      <w:r>
        <w:rPr>
          <w:spacing w:val="50"/>
        </w:rPr>
        <w:t xml:space="preserve"> </w:t>
      </w:r>
      <w:r>
        <w:rPr>
          <w:spacing w:val="-1"/>
        </w:rPr>
        <w:t>in</w:t>
      </w:r>
      <w:r>
        <w:rPr>
          <w:spacing w:val="3"/>
        </w:rPr>
        <w:t xml:space="preserve"> </w:t>
      </w:r>
      <w:r>
        <w:rPr>
          <w:spacing w:val="-1"/>
        </w:rPr>
        <w:t>accordance</w:t>
      </w:r>
      <w:r>
        <w:rPr>
          <w:spacing w:val="3"/>
        </w:rPr>
        <w:t xml:space="preserve"> </w:t>
      </w:r>
      <w:r>
        <w:rPr>
          <w:spacing w:val="-2"/>
        </w:rPr>
        <w:t>with</w:t>
      </w:r>
      <w:r>
        <w:rPr>
          <w:spacing w:val="3"/>
        </w:rPr>
        <w:t xml:space="preserve"> </w:t>
      </w:r>
      <w:r>
        <w:rPr>
          <w:spacing w:val="-1"/>
        </w:rPr>
        <w:t>this</w:t>
      </w:r>
      <w:r>
        <w:rPr>
          <w:spacing w:val="3"/>
        </w:rPr>
        <w:t xml:space="preserve"> </w:t>
      </w:r>
      <w:r>
        <w:rPr>
          <w:spacing w:val="-2"/>
        </w:rPr>
        <w:t>Call</w:t>
      </w:r>
      <w:r>
        <w:rPr>
          <w:spacing w:val="2"/>
        </w:rPr>
        <w:t xml:space="preserve"> </w:t>
      </w:r>
      <w:r>
        <w:t>Off</w:t>
      </w:r>
      <w:r>
        <w:rPr>
          <w:spacing w:val="4"/>
        </w:rPr>
        <w:t xml:space="preserve"> </w:t>
      </w:r>
      <w:r>
        <w:rPr>
          <w:spacing w:val="-1"/>
        </w:rPr>
        <w:t>Schedule.</w:t>
      </w:r>
      <w:r>
        <w:rPr>
          <w:spacing w:val="2"/>
        </w:rPr>
        <w:t xml:space="preserve"> </w:t>
      </w:r>
      <w:r>
        <w:t>The</w:t>
      </w:r>
      <w:r>
        <w:rPr>
          <w:spacing w:val="3"/>
        </w:rPr>
        <w:t xml:space="preserve"> </w:t>
      </w:r>
      <w:r>
        <w:rPr>
          <w:spacing w:val="-2"/>
        </w:rPr>
        <w:t>Supplier</w:t>
      </w:r>
      <w:r>
        <w:rPr>
          <w:spacing w:val="4"/>
        </w:rPr>
        <w:t xml:space="preserve"> </w:t>
      </w:r>
      <w:r>
        <w:rPr>
          <w:spacing w:val="-1"/>
        </w:rPr>
        <w:t>shall</w:t>
      </w:r>
      <w:r>
        <w:rPr>
          <w:spacing w:val="2"/>
        </w:rPr>
        <w:t xml:space="preserve"> </w:t>
      </w:r>
      <w:r>
        <w:rPr>
          <w:spacing w:val="-1"/>
        </w:rPr>
        <w:t>thereafter</w:t>
      </w:r>
      <w:r>
        <w:rPr>
          <w:spacing w:val="53"/>
        </w:rPr>
        <w:t xml:space="preserve"> </w:t>
      </w:r>
      <w:r>
        <w:rPr>
          <w:spacing w:val="-1"/>
        </w:rPr>
        <w:t>comply</w:t>
      </w:r>
      <w:r>
        <w:rPr>
          <w:spacing w:val="-2"/>
        </w:rPr>
        <w:t xml:space="preserve"> with</w:t>
      </w:r>
      <w:r>
        <w:t xml:space="preserve"> </w:t>
      </w:r>
      <w:r>
        <w:rPr>
          <w:spacing w:val="-1"/>
        </w:rPr>
        <w:t>its</w:t>
      </w:r>
      <w:r>
        <w:rPr>
          <w:spacing w:val="1"/>
        </w:rPr>
        <w:t xml:space="preserve"> </w:t>
      </w:r>
      <w:r>
        <w:rPr>
          <w:spacing w:val="-1"/>
        </w:rPr>
        <w:t>obligations</w:t>
      </w:r>
      <w:r>
        <w:rPr>
          <w:spacing w:val="1"/>
        </w:rPr>
        <w:t xml:space="preserve"> </w:t>
      </w:r>
      <w:r>
        <w:rPr>
          <w:spacing w:val="-1"/>
        </w:rPr>
        <w:t>set</w:t>
      </w:r>
      <w:r>
        <w:t xml:space="preserve"> </w:t>
      </w:r>
      <w:r>
        <w:rPr>
          <w:spacing w:val="-1"/>
        </w:rPr>
        <w:t>out</w:t>
      </w:r>
      <w:r>
        <w:t xml:space="preserve"> </w:t>
      </w:r>
      <w:r>
        <w:rPr>
          <w:spacing w:val="-1"/>
        </w:rPr>
        <w:t>in</w:t>
      </w:r>
      <w:r>
        <w:rPr>
          <w:spacing w:val="-2"/>
        </w:rPr>
        <w:t xml:space="preserve"> </w:t>
      </w:r>
      <w:r>
        <w:t xml:space="preserve">the </w:t>
      </w:r>
      <w:r>
        <w:rPr>
          <w:spacing w:val="-1"/>
        </w:rPr>
        <w:t>Security</w:t>
      </w:r>
      <w:r>
        <w:rPr>
          <w:spacing w:val="-4"/>
        </w:rPr>
        <w:t xml:space="preserve"> </w:t>
      </w:r>
      <w:r>
        <w:rPr>
          <w:spacing w:val="-1"/>
        </w:rPr>
        <w:t>Management</w:t>
      </w:r>
      <w:r>
        <w:rPr>
          <w:spacing w:val="2"/>
        </w:rPr>
        <w:t xml:space="preserve"> </w:t>
      </w:r>
      <w:r>
        <w:rPr>
          <w:spacing w:val="-2"/>
        </w:rPr>
        <w:t>Plan.</w:t>
      </w:r>
    </w:p>
    <w:p w:rsidR="008918FA" w:rsidRDefault="008918FA" w:rsidP="008918FA">
      <w:pPr>
        <w:pStyle w:val="BodyText"/>
        <w:numPr>
          <w:ilvl w:val="1"/>
          <w:numId w:val="18"/>
        </w:numPr>
        <w:tabs>
          <w:tab w:val="left" w:pos="828"/>
        </w:tabs>
        <w:jc w:val="left"/>
      </w:pPr>
      <w:bookmarkStart w:id="401" w:name="_bookmark324"/>
      <w:bookmarkEnd w:id="401"/>
      <w:r>
        <w:rPr>
          <w:spacing w:val="-1"/>
        </w:rPr>
        <w:t>Content</w:t>
      </w:r>
      <w:r>
        <w:rPr>
          <w:spacing w:val="2"/>
        </w:rPr>
        <w:t xml:space="preserve"> </w:t>
      </w:r>
      <w:r>
        <w:rPr>
          <w:spacing w:val="-2"/>
        </w:rPr>
        <w:t>of</w:t>
      </w:r>
      <w:r>
        <w:t xml:space="preserve"> the</w:t>
      </w:r>
      <w:r>
        <w:rPr>
          <w:spacing w:val="-2"/>
        </w:rPr>
        <w:t xml:space="preserve"> </w:t>
      </w:r>
      <w:r>
        <w:rPr>
          <w:spacing w:val="-1"/>
        </w:rPr>
        <w:t>Security</w:t>
      </w:r>
      <w:r>
        <w:rPr>
          <w:spacing w:val="-4"/>
        </w:rPr>
        <w:t xml:space="preserve"> </w:t>
      </w:r>
      <w:r>
        <w:rPr>
          <w:spacing w:val="-1"/>
        </w:rPr>
        <w:t>Management</w:t>
      </w:r>
      <w:r>
        <w:rPr>
          <w:spacing w:val="2"/>
        </w:rPr>
        <w:t xml:space="preserve"> </w:t>
      </w:r>
      <w:r>
        <w:rPr>
          <w:spacing w:val="-2"/>
        </w:rPr>
        <w:t>Plan</w:t>
      </w:r>
    </w:p>
    <w:p w:rsidR="008918FA" w:rsidRDefault="008918FA" w:rsidP="008918FA">
      <w:pPr>
        <w:pStyle w:val="BodyText"/>
        <w:numPr>
          <w:ilvl w:val="2"/>
          <w:numId w:val="18"/>
        </w:numPr>
        <w:tabs>
          <w:tab w:val="left" w:pos="2026"/>
        </w:tabs>
        <w:spacing w:before="121"/>
      </w:pPr>
      <w:r>
        <w:t>The</w:t>
      </w:r>
      <w:r>
        <w:rPr>
          <w:spacing w:val="-2"/>
        </w:rPr>
        <w:t xml:space="preserve"> </w:t>
      </w:r>
      <w:r>
        <w:rPr>
          <w:spacing w:val="-1"/>
        </w:rPr>
        <w:t>Security</w:t>
      </w:r>
      <w:r>
        <w:rPr>
          <w:spacing w:val="-2"/>
        </w:rPr>
        <w:t xml:space="preserve"> </w:t>
      </w:r>
      <w:r>
        <w:rPr>
          <w:spacing w:val="-1"/>
        </w:rPr>
        <w:t>Management</w:t>
      </w:r>
      <w:r>
        <w:rPr>
          <w:spacing w:val="2"/>
        </w:rPr>
        <w:t xml:space="preserve"> </w:t>
      </w:r>
      <w:r>
        <w:rPr>
          <w:spacing w:val="-1"/>
        </w:rPr>
        <w:t>Plan</w:t>
      </w:r>
      <w:r>
        <w:t xml:space="preserve"> </w:t>
      </w:r>
      <w:r>
        <w:rPr>
          <w:spacing w:val="-1"/>
        </w:rPr>
        <w:t>shall:</w:t>
      </w:r>
    </w:p>
    <w:p w:rsidR="008918FA" w:rsidRDefault="008918FA" w:rsidP="008918FA">
      <w:pPr>
        <w:pStyle w:val="BodyText"/>
        <w:numPr>
          <w:ilvl w:val="3"/>
          <w:numId w:val="18"/>
        </w:numPr>
        <w:tabs>
          <w:tab w:val="left" w:pos="2734"/>
        </w:tabs>
        <w:ind w:right="118"/>
        <w:jc w:val="both"/>
      </w:pPr>
      <w:r>
        <w:rPr>
          <w:spacing w:val="-1"/>
        </w:rPr>
        <w:t>comply</w:t>
      </w:r>
      <w:r>
        <w:rPr>
          <w:spacing w:val="17"/>
        </w:rPr>
        <w:t xml:space="preserve"> </w:t>
      </w:r>
      <w:r>
        <w:rPr>
          <w:spacing w:val="-2"/>
        </w:rPr>
        <w:t>with</w:t>
      </w:r>
      <w:r>
        <w:rPr>
          <w:spacing w:val="17"/>
        </w:rPr>
        <w:t xml:space="preserve"> </w:t>
      </w:r>
      <w:r>
        <w:t>the</w:t>
      </w:r>
      <w:r>
        <w:rPr>
          <w:spacing w:val="17"/>
        </w:rPr>
        <w:t xml:space="preserve"> </w:t>
      </w:r>
      <w:r>
        <w:rPr>
          <w:spacing w:val="-1"/>
        </w:rPr>
        <w:t>principles</w:t>
      </w:r>
      <w:r>
        <w:rPr>
          <w:spacing w:val="18"/>
        </w:rPr>
        <w:t xml:space="preserve"> </w:t>
      </w:r>
      <w:r>
        <w:rPr>
          <w:spacing w:val="-2"/>
        </w:rPr>
        <w:t>of</w:t>
      </w:r>
      <w:r>
        <w:rPr>
          <w:spacing w:val="21"/>
        </w:rPr>
        <w:t xml:space="preserve"> </w:t>
      </w:r>
      <w:r>
        <w:rPr>
          <w:spacing w:val="-1"/>
        </w:rPr>
        <w:t>security</w:t>
      </w:r>
      <w:r>
        <w:rPr>
          <w:spacing w:val="15"/>
        </w:rPr>
        <w:t xml:space="preserve"> </w:t>
      </w:r>
      <w:r>
        <w:rPr>
          <w:spacing w:val="-1"/>
        </w:rPr>
        <w:t>set</w:t>
      </w:r>
      <w:r>
        <w:rPr>
          <w:spacing w:val="19"/>
        </w:rPr>
        <w:t xml:space="preserve"> </w:t>
      </w:r>
      <w:r>
        <w:rPr>
          <w:spacing w:val="-1"/>
        </w:rPr>
        <w:t>out</w:t>
      </w:r>
      <w:r>
        <w:rPr>
          <w:spacing w:val="19"/>
        </w:rPr>
        <w:t xml:space="preserve"> </w:t>
      </w:r>
      <w:r>
        <w:rPr>
          <w:spacing w:val="-1"/>
        </w:rPr>
        <w:t>in</w:t>
      </w:r>
      <w:r>
        <w:rPr>
          <w:spacing w:val="17"/>
        </w:rPr>
        <w:t xml:space="preserve"> </w:t>
      </w:r>
      <w:r>
        <w:rPr>
          <w:spacing w:val="-1"/>
        </w:rPr>
        <w:t>paragraph</w:t>
      </w:r>
      <w:r>
        <w:rPr>
          <w:spacing w:val="17"/>
        </w:rPr>
        <w:t xml:space="preserve"> </w:t>
      </w:r>
      <w:hyperlink w:anchor="_bookmark322" w:history="1">
        <w:r>
          <w:t>3</w:t>
        </w:r>
      </w:hyperlink>
      <w:r>
        <w:rPr>
          <w:spacing w:val="19"/>
        </w:rPr>
        <w:t xml:space="preserve"> </w:t>
      </w:r>
      <w:r>
        <w:rPr>
          <w:spacing w:val="-3"/>
        </w:rPr>
        <w:t>of</w:t>
      </w:r>
      <w:r>
        <w:rPr>
          <w:spacing w:val="24"/>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21"/>
        </w:rPr>
        <w:t xml:space="preserve"> </w:t>
      </w:r>
      <w:r>
        <w:rPr>
          <w:spacing w:val="-1"/>
        </w:rPr>
        <w:t>Schedule</w:t>
      </w:r>
      <w:r>
        <w:rPr>
          <w:spacing w:val="17"/>
        </w:rPr>
        <w:t xml:space="preserve"> </w:t>
      </w:r>
      <w:r>
        <w:rPr>
          <w:spacing w:val="-2"/>
        </w:rPr>
        <w:t>and</w:t>
      </w:r>
      <w:r>
        <w:rPr>
          <w:spacing w:val="17"/>
        </w:rPr>
        <w:t xml:space="preserve"> </w:t>
      </w:r>
      <w:r>
        <w:rPr>
          <w:spacing w:val="-1"/>
        </w:rPr>
        <w:t>any</w:t>
      </w:r>
      <w:r>
        <w:rPr>
          <w:spacing w:val="15"/>
        </w:rPr>
        <w:t xml:space="preserve"> </w:t>
      </w:r>
      <w:r>
        <w:rPr>
          <w:spacing w:val="-1"/>
        </w:rPr>
        <w:t>other</w:t>
      </w:r>
      <w:r>
        <w:rPr>
          <w:spacing w:val="19"/>
        </w:rPr>
        <w:t xml:space="preserve"> </w:t>
      </w:r>
      <w:r>
        <w:rPr>
          <w:spacing w:val="-2"/>
        </w:rPr>
        <w:t>provisions</w:t>
      </w:r>
      <w:r>
        <w:rPr>
          <w:spacing w:val="18"/>
        </w:rPr>
        <w:t xml:space="preserve"> </w:t>
      </w:r>
      <w:r>
        <w:rPr>
          <w:spacing w:val="-2"/>
        </w:rPr>
        <w:t>of</w:t>
      </w:r>
      <w:r>
        <w:rPr>
          <w:spacing w:val="21"/>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63"/>
        </w:rPr>
        <w:t xml:space="preserve"> </w:t>
      </w:r>
      <w:r>
        <w:rPr>
          <w:spacing w:val="-1"/>
        </w:rPr>
        <w:t>Contract</w:t>
      </w:r>
      <w:r>
        <w:t xml:space="preserve"> </w:t>
      </w:r>
      <w:r>
        <w:rPr>
          <w:spacing w:val="-2"/>
        </w:rPr>
        <w:t>relevant</w:t>
      </w:r>
      <w:r>
        <w:rPr>
          <w:spacing w:val="2"/>
        </w:rPr>
        <w:t xml:space="preserve"> </w:t>
      </w:r>
      <w:r>
        <w:t>to</w:t>
      </w:r>
      <w:r>
        <w:rPr>
          <w:spacing w:val="-2"/>
        </w:rPr>
        <w:t xml:space="preserve"> </w:t>
      </w:r>
      <w:r>
        <w:rPr>
          <w:spacing w:val="-1"/>
        </w:rPr>
        <w:t>security;</w:t>
      </w:r>
    </w:p>
    <w:p w:rsidR="008918FA" w:rsidRDefault="008918FA" w:rsidP="008918FA">
      <w:pPr>
        <w:pStyle w:val="BodyText"/>
        <w:numPr>
          <w:ilvl w:val="3"/>
          <w:numId w:val="18"/>
        </w:numPr>
        <w:tabs>
          <w:tab w:val="left" w:pos="2734"/>
        </w:tabs>
        <w:ind w:right="118"/>
        <w:jc w:val="both"/>
      </w:pPr>
      <w:r>
        <w:rPr>
          <w:spacing w:val="-1"/>
        </w:rPr>
        <w:t>identify</w:t>
      </w:r>
      <w:r>
        <w:rPr>
          <w:spacing w:val="49"/>
        </w:rPr>
        <w:t xml:space="preserve"> </w:t>
      </w:r>
      <w:r>
        <w:t>the</w:t>
      </w:r>
      <w:r>
        <w:rPr>
          <w:spacing w:val="51"/>
        </w:rPr>
        <w:t xml:space="preserve"> </w:t>
      </w:r>
      <w:r>
        <w:rPr>
          <w:spacing w:val="-1"/>
        </w:rPr>
        <w:t>necessary</w:t>
      </w:r>
      <w:r>
        <w:rPr>
          <w:spacing w:val="46"/>
        </w:rPr>
        <w:t xml:space="preserve"> </w:t>
      </w:r>
      <w:r>
        <w:rPr>
          <w:spacing w:val="-1"/>
        </w:rPr>
        <w:t>delegated</w:t>
      </w:r>
      <w:r>
        <w:rPr>
          <w:spacing w:val="51"/>
        </w:rPr>
        <w:t xml:space="preserve"> </w:t>
      </w:r>
      <w:r>
        <w:rPr>
          <w:spacing w:val="-1"/>
        </w:rPr>
        <w:t>organisational</w:t>
      </w:r>
      <w:r>
        <w:rPr>
          <w:spacing w:val="47"/>
        </w:rPr>
        <w:t xml:space="preserve"> </w:t>
      </w:r>
      <w:r>
        <w:rPr>
          <w:spacing w:val="-1"/>
        </w:rPr>
        <w:t>roles</w:t>
      </w:r>
      <w:r>
        <w:rPr>
          <w:spacing w:val="51"/>
        </w:rPr>
        <w:t xml:space="preserve"> </w:t>
      </w:r>
      <w:r>
        <w:rPr>
          <w:spacing w:val="-1"/>
        </w:rPr>
        <w:t>defined</w:t>
      </w:r>
      <w:r>
        <w:rPr>
          <w:spacing w:val="32"/>
        </w:rPr>
        <w:t xml:space="preserve"> </w:t>
      </w:r>
      <w:r>
        <w:t>for</w:t>
      </w:r>
      <w:r>
        <w:rPr>
          <w:spacing w:val="49"/>
        </w:rPr>
        <w:t xml:space="preserve"> </w:t>
      </w:r>
      <w:r>
        <w:rPr>
          <w:spacing w:val="-1"/>
        </w:rPr>
        <w:t>those</w:t>
      </w:r>
      <w:r>
        <w:rPr>
          <w:spacing w:val="49"/>
        </w:rPr>
        <w:t xml:space="preserve"> </w:t>
      </w:r>
      <w:r>
        <w:rPr>
          <w:spacing w:val="-1"/>
        </w:rPr>
        <w:t>responsible</w:t>
      </w:r>
      <w:r>
        <w:rPr>
          <w:spacing w:val="48"/>
        </w:rPr>
        <w:t xml:space="preserve"> </w:t>
      </w:r>
      <w:r>
        <w:t>for</w:t>
      </w:r>
      <w:r>
        <w:rPr>
          <w:spacing w:val="49"/>
        </w:rPr>
        <w:t xml:space="preserve"> </w:t>
      </w:r>
      <w:r>
        <w:rPr>
          <w:spacing w:val="-1"/>
        </w:rPr>
        <w:t>ensuring</w:t>
      </w:r>
      <w:r>
        <w:rPr>
          <w:spacing w:val="51"/>
        </w:rPr>
        <w:t xml:space="preserve"> </w:t>
      </w:r>
      <w:r>
        <w:rPr>
          <w:spacing w:val="-1"/>
        </w:rPr>
        <w:t>it</w:t>
      </w:r>
      <w:r>
        <w:rPr>
          <w:spacing w:val="50"/>
        </w:rPr>
        <w:t xml:space="preserve"> </w:t>
      </w:r>
      <w:r>
        <w:rPr>
          <w:spacing w:val="-1"/>
        </w:rPr>
        <w:t>is</w:t>
      </w:r>
      <w:r>
        <w:rPr>
          <w:spacing w:val="50"/>
        </w:rPr>
        <w:t xml:space="preserve"> </w:t>
      </w:r>
      <w:r>
        <w:rPr>
          <w:spacing w:val="-1"/>
        </w:rPr>
        <w:t>complied</w:t>
      </w:r>
      <w:r>
        <w:rPr>
          <w:spacing w:val="51"/>
        </w:rPr>
        <w:t xml:space="preserve"> </w:t>
      </w:r>
      <w:r>
        <w:rPr>
          <w:spacing w:val="-2"/>
        </w:rPr>
        <w:t>with</w:t>
      </w:r>
      <w:r>
        <w:rPr>
          <w:spacing w:val="48"/>
        </w:rPr>
        <w:t xml:space="preserve"> </w:t>
      </w:r>
      <w:r>
        <w:rPr>
          <w:spacing w:val="1"/>
        </w:rPr>
        <w:t>by</w:t>
      </w:r>
      <w:r>
        <w:rPr>
          <w:spacing w:val="46"/>
        </w:rPr>
        <w:t xml:space="preserve"> </w:t>
      </w:r>
      <w:r>
        <w:rPr>
          <w:spacing w:val="-1"/>
        </w:rPr>
        <w:t>the</w:t>
      </w:r>
      <w:r>
        <w:rPr>
          <w:spacing w:val="24"/>
        </w:rPr>
        <w:t xml:space="preserve"> </w:t>
      </w:r>
      <w:r>
        <w:rPr>
          <w:spacing w:val="-1"/>
        </w:rPr>
        <w:t>Supplier;</w:t>
      </w:r>
    </w:p>
    <w:p w:rsidR="008918FA" w:rsidRDefault="008918FA" w:rsidP="008918FA">
      <w:pPr>
        <w:pStyle w:val="BodyText"/>
        <w:numPr>
          <w:ilvl w:val="3"/>
          <w:numId w:val="18"/>
        </w:numPr>
        <w:tabs>
          <w:tab w:val="left" w:pos="2734"/>
        </w:tabs>
        <w:spacing w:before="121"/>
        <w:ind w:right="113"/>
        <w:jc w:val="both"/>
      </w:pPr>
      <w:r>
        <w:rPr>
          <w:spacing w:val="-1"/>
        </w:rPr>
        <w:t>detail</w:t>
      </w:r>
      <w:r>
        <w:rPr>
          <w:spacing w:val="49"/>
        </w:rPr>
        <w:t xml:space="preserve"> </w:t>
      </w:r>
      <w:r>
        <w:t>the</w:t>
      </w:r>
      <w:r>
        <w:rPr>
          <w:spacing w:val="49"/>
        </w:rPr>
        <w:t xml:space="preserve"> </w:t>
      </w:r>
      <w:r>
        <w:rPr>
          <w:spacing w:val="-1"/>
        </w:rPr>
        <w:t>process</w:t>
      </w:r>
      <w:r>
        <w:rPr>
          <w:spacing w:val="48"/>
        </w:rPr>
        <w:t xml:space="preserve"> </w:t>
      </w:r>
      <w:r>
        <w:t>for</w:t>
      </w:r>
      <w:r>
        <w:rPr>
          <w:spacing w:val="48"/>
        </w:rPr>
        <w:t xml:space="preserve"> </w:t>
      </w:r>
      <w:r>
        <w:rPr>
          <w:spacing w:val="-1"/>
        </w:rPr>
        <w:t>managing</w:t>
      </w:r>
      <w:r>
        <w:rPr>
          <w:spacing w:val="52"/>
        </w:rPr>
        <w:t xml:space="preserve"> </w:t>
      </w:r>
      <w:r>
        <w:rPr>
          <w:spacing w:val="-1"/>
        </w:rPr>
        <w:t>any</w:t>
      </w:r>
      <w:r>
        <w:rPr>
          <w:spacing w:val="47"/>
        </w:rPr>
        <w:t xml:space="preserve"> </w:t>
      </w:r>
      <w:r>
        <w:rPr>
          <w:spacing w:val="-1"/>
        </w:rPr>
        <w:t>security</w:t>
      </w:r>
      <w:r>
        <w:rPr>
          <w:spacing w:val="48"/>
        </w:rPr>
        <w:t xml:space="preserve"> </w:t>
      </w:r>
      <w:r>
        <w:rPr>
          <w:spacing w:val="-1"/>
        </w:rPr>
        <w:t>risks</w:t>
      </w:r>
      <w:r>
        <w:rPr>
          <w:spacing w:val="47"/>
        </w:rPr>
        <w:t xml:space="preserve"> </w:t>
      </w:r>
      <w:r>
        <w:rPr>
          <w:spacing w:val="-1"/>
        </w:rPr>
        <w:t>from</w:t>
      </w:r>
      <w:r>
        <w:rPr>
          <w:spacing w:val="35"/>
        </w:rPr>
        <w:t xml:space="preserve"> </w:t>
      </w:r>
      <w:r>
        <w:rPr>
          <w:spacing w:val="-1"/>
        </w:rPr>
        <w:t>Sub-Contractors</w:t>
      </w:r>
      <w:r>
        <w:rPr>
          <w:spacing w:val="30"/>
        </w:rPr>
        <w:t xml:space="preserve"> </w:t>
      </w:r>
      <w:r>
        <w:rPr>
          <w:spacing w:val="-1"/>
        </w:rPr>
        <w:t>and</w:t>
      </w:r>
      <w:r>
        <w:rPr>
          <w:spacing w:val="29"/>
        </w:rPr>
        <w:t xml:space="preserve"> </w:t>
      </w:r>
      <w:r>
        <w:rPr>
          <w:spacing w:val="-1"/>
        </w:rPr>
        <w:t>third</w:t>
      </w:r>
      <w:r>
        <w:rPr>
          <w:spacing w:val="29"/>
        </w:rPr>
        <w:t xml:space="preserve"> </w:t>
      </w:r>
      <w:r>
        <w:rPr>
          <w:spacing w:val="-1"/>
        </w:rPr>
        <w:t>parties</w:t>
      </w:r>
      <w:r>
        <w:rPr>
          <w:spacing w:val="30"/>
        </w:rPr>
        <w:t xml:space="preserve"> </w:t>
      </w:r>
      <w:r>
        <w:rPr>
          <w:spacing w:val="-1"/>
        </w:rPr>
        <w:t>authorised</w:t>
      </w:r>
      <w:r>
        <w:rPr>
          <w:spacing w:val="29"/>
        </w:rPr>
        <w:t xml:space="preserve"> </w:t>
      </w:r>
      <w:r>
        <w:rPr>
          <w:spacing w:val="-1"/>
        </w:rPr>
        <w:t>by</w:t>
      </w:r>
      <w:r>
        <w:rPr>
          <w:spacing w:val="27"/>
        </w:rPr>
        <w:t xml:space="preserve"> </w:t>
      </w:r>
      <w:r>
        <w:t>the</w:t>
      </w:r>
      <w:r>
        <w:rPr>
          <w:spacing w:val="29"/>
        </w:rPr>
        <w:t xml:space="preserve"> </w:t>
      </w:r>
      <w:r>
        <w:rPr>
          <w:spacing w:val="-1"/>
        </w:rPr>
        <w:t>Customer</w:t>
      </w:r>
      <w:r>
        <w:rPr>
          <w:spacing w:val="22"/>
        </w:rPr>
        <w:t xml:space="preserve"> </w:t>
      </w:r>
      <w:r>
        <w:rPr>
          <w:spacing w:val="-1"/>
        </w:rPr>
        <w:t>with</w:t>
      </w:r>
      <w:r>
        <w:rPr>
          <w:spacing w:val="27"/>
        </w:rPr>
        <w:t xml:space="preserve"> </w:t>
      </w:r>
      <w:r>
        <w:rPr>
          <w:spacing w:val="-1"/>
        </w:rPr>
        <w:t>access</w:t>
      </w:r>
      <w:r>
        <w:rPr>
          <w:spacing w:val="25"/>
        </w:rPr>
        <w:t xml:space="preserve"> </w:t>
      </w:r>
      <w:r>
        <w:t>to</w:t>
      </w:r>
      <w:r>
        <w:rPr>
          <w:spacing w:val="24"/>
        </w:rPr>
        <w:t xml:space="preserve"> </w:t>
      </w:r>
      <w:r>
        <w:t>the</w:t>
      </w:r>
      <w:r>
        <w:rPr>
          <w:spacing w:val="22"/>
        </w:rPr>
        <w:t xml:space="preserve"> </w:t>
      </w:r>
      <w:r>
        <w:rPr>
          <w:spacing w:val="-1"/>
        </w:rPr>
        <w:t>Goods</w:t>
      </w:r>
      <w:r>
        <w:rPr>
          <w:spacing w:val="27"/>
        </w:rPr>
        <w:t xml:space="preserve"> </w:t>
      </w:r>
      <w:r>
        <w:rPr>
          <w:spacing w:val="-1"/>
        </w:rPr>
        <w:t>and/or</w:t>
      </w:r>
      <w:r>
        <w:rPr>
          <w:spacing w:val="26"/>
        </w:rPr>
        <w:t xml:space="preserve"> </w:t>
      </w:r>
      <w:r>
        <w:rPr>
          <w:spacing w:val="-1"/>
        </w:rPr>
        <w:t>Services,</w:t>
      </w:r>
      <w:r>
        <w:rPr>
          <w:spacing w:val="29"/>
        </w:rPr>
        <w:t xml:space="preserve"> </w:t>
      </w:r>
      <w:r>
        <w:rPr>
          <w:spacing w:val="-1"/>
        </w:rPr>
        <w:t>processes</w:t>
      </w:r>
      <w:r>
        <w:rPr>
          <w:spacing w:val="21"/>
        </w:rPr>
        <w:t xml:space="preserve"> </w:t>
      </w:r>
      <w:r>
        <w:rPr>
          <w:spacing w:val="-1"/>
        </w:rPr>
        <w:t>associated</w:t>
      </w:r>
      <w:r>
        <w:rPr>
          <w:spacing w:val="5"/>
        </w:rPr>
        <w:t xml:space="preserve"> </w:t>
      </w:r>
      <w:r>
        <w:rPr>
          <w:spacing w:val="-2"/>
        </w:rPr>
        <w:t>with</w:t>
      </w:r>
      <w:r>
        <w:rPr>
          <w:spacing w:val="5"/>
        </w:rPr>
        <w:t xml:space="preserve"> </w:t>
      </w:r>
      <w:r>
        <w:t>the</w:t>
      </w:r>
      <w:r>
        <w:rPr>
          <w:spacing w:val="5"/>
        </w:rPr>
        <w:t xml:space="preserve"> </w:t>
      </w:r>
      <w:r>
        <w:rPr>
          <w:spacing w:val="-1"/>
        </w:rPr>
        <w:t>provision</w:t>
      </w:r>
      <w:r>
        <w:rPr>
          <w:spacing w:val="5"/>
        </w:rPr>
        <w:t xml:space="preserve"> </w:t>
      </w:r>
      <w:r>
        <w:rPr>
          <w:spacing w:val="-1"/>
        </w:rPr>
        <w:t>of</w:t>
      </w:r>
      <w:r>
        <w:rPr>
          <w:spacing w:val="9"/>
        </w:rPr>
        <w:t xml:space="preserve"> </w:t>
      </w:r>
      <w:r>
        <w:t>the</w:t>
      </w:r>
      <w:r>
        <w:rPr>
          <w:spacing w:val="5"/>
        </w:rPr>
        <w:t xml:space="preserve"> </w:t>
      </w:r>
      <w:r>
        <w:rPr>
          <w:spacing w:val="-1"/>
        </w:rPr>
        <w:t>Goods</w:t>
      </w:r>
      <w:r>
        <w:rPr>
          <w:spacing w:val="5"/>
        </w:rPr>
        <w:t xml:space="preserve"> </w:t>
      </w:r>
      <w:r>
        <w:rPr>
          <w:spacing w:val="-1"/>
        </w:rPr>
        <w:t>and/or</w:t>
      </w:r>
      <w:r>
        <w:rPr>
          <w:spacing w:val="4"/>
        </w:rPr>
        <w:t xml:space="preserve"> </w:t>
      </w:r>
      <w:r>
        <w:rPr>
          <w:spacing w:val="-1"/>
        </w:rPr>
        <w:t>Services,</w:t>
      </w:r>
      <w:r>
        <w:rPr>
          <w:spacing w:val="7"/>
        </w:rPr>
        <w:t xml:space="preserve"> </w:t>
      </w:r>
      <w:r>
        <w:rPr>
          <w:spacing w:val="-1"/>
        </w:rPr>
        <w:t>the</w:t>
      </w:r>
      <w:r>
        <w:rPr>
          <w:spacing w:val="36"/>
        </w:rPr>
        <w:t xml:space="preserve"> </w:t>
      </w:r>
      <w:r>
        <w:rPr>
          <w:spacing w:val="-1"/>
        </w:rPr>
        <w:t>Customer</w:t>
      </w:r>
      <w:r>
        <w:rPr>
          <w:spacing w:val="49"/>
        </w:rPr>
        <w:t xml:space="preserve"> </w:t>
      </w:r>
      <w:r>
        <w:rPr>
          <w:spacing w:val="-1"/>
        </w:rPr>
        <w:t>Premises,</w:t>
      </w:r>
      <w:r>
        <w:rPr>
          <w:spacing w:val="48"/>
        </w:rPr>
        <w:t xml:space="preserve"> </w:t>
      </w:r>
      <w:r>
        <w:rPr>
          <w:spacing w:val="-1"/>
        </w:rPr>
        <w:t>the</w:t>
      </w:r>
      <w:r>
        <w:rPr>
          <w:spacing w:val="48"/>
        </w:rPr>
        <w:t xml:space="preserve"> </w:t>
      </w:r>
      <w:r>
        <w:rPr>
          <w:spacing w:val="-1"/>
        </w:rPr>
        <w:t>Sites</w:t>
      </w:r>
      <w:r>
        <w:rPr>
          <w:spacing w:val="49"/>
        </w:rPr>
        <w:t xml:space="preserve"> </w:t>
      </w:r>
      <w:r>
        <w:rPr>
          <w:spacing w:val="-1"/>
        </w:rPr>
        <w:t>and</w:t>
      </w:r>
      <w:r>
        <w:rPr>
          <w:spacing w:val="48"/>
        </w:rPr>
        <w:t xml:space="preserve"> </w:t>
      </w:r>
      <w:r>
        <w:rPr>
          <w:spacing w:val="-1"/>
        </w:rPr>
        <w:t>any</w:t>
      </w:r>
      <w:r>
        <w:rPr>
          <w:spacing w:val="46"/>
        </w:rPr>
        <w:t xml:space="preserve"> </w:t>
      </w:r>
      <w:r>
        <w:t>ICT,</w:t>
      </w:r>
      <w:r>
        <w:rPr>
          <w:spacing w:val="48"/>
        </w:rPr>
        <w:t xml:space="preserve"> </w:t>
      </w:r>
      <w:r>
        <w:rPr>
          <w:spacing w:val="-1"/>
        </w:rPr>
        <w:t>Information</w:t>
      </w:r>
      <w:r>
        <w:rPr>
          <w:spacing w:val="48"/>
        </w:rPr>
        <w:t xml:space="preserve"> </w:t>
      </w:r>
      <w:r>
        <w:rPr>
          <w:spacing w:val="-1"/>
        </w:rPr>
        <w:t>and</w:t>
      </w:r>
      <w:r>
        <w:rPr>
          <w:spacing w:val="20"/>
        </w:rPr>
        <w:t xml:space="preserve"> </w:t>
      </w:r>
      <w:r>
        <w:rPr>
          <w:spacing w:val="-1"/>
        </w:rPr>
        <w:t>data</w:t>
      </w:r>
      <w:r>
        <w:rPr>
          <w:spacing w:val="7"/>
        </w:rPr>
        <w:t xml:space="preserve"> </w:t>
      </w:r>
      <w:r>
        <w:rPr>
          <w:spacing w:val="-1"/>
        </w:rPr>
        <w:t>(including</w:t>
      </w:r>
      <w:r>
        <w:rPr>
          <w:spacing w:val="10"/>
        </w:rPr>
        <w:t xml:space="preserve"> </w:t>
      </w:r>
      <w:r>
        <w:t>the</w:t>
      </w:r>
      <w:r>
        <w:rPr>
          <w:spacing w:val="7"/>
        </w:rPr>
        <w:t xml:space="preserve"> </w:t>
      </w:r>
      <w:r>
        <w:rPr>
          <w:spacing w:val="-1"/>
        </w:rPr>
        <w:t>Customer’s</w:t>
      </w:r>
      <w:r>
        <w:rPr>
          <w:spacing w:val="8"/>
        </w:rPr>
        <w:t xml:space="preserve"> </w:t>
      </w:r>
      <w:r>
        <w:rPr>
          <w:spacing w:val="-1"/>
        </w:rPr>
        <w:t>Confidential</w:t>
      </w:r>
      <w:r>
        <w:rPr>
          <w:spacing w:val="7"/>
        </w:rPr>
        <w:t xml:space="preserve"> </w:t>
      </w:r>
      <w:r>
        <w:rPr>
          <w:spacing w:val="-1"/>
        </w:rPr>
        <w:t>Information</w:t>
      </w:r>
      <w:r>
        <w:rPr>
          <w:spacing w:val="7"/>
        </w:rPr>
        <w:t xml:space="preserve"> </w:t>
      </w:r>
      <w:r>
        <w:rPr>
          <w:spacing w:val="-1"/>
        </w:rPr>
        <w:t>and</w:t>
      </w:r>
      <w:r>
        <w:rPr>
          <w:spacing w:val="7"/>
        </w:rPr>
        <w:t xml:space="preserve"> </w:t>
      </w:r>
      <w:r>
        <w:rPr>
          <w:spacing w:val="-1"/>
        </w:rPr>
        <w:t>the</w:t>
      </w:r>
      <w:r>
        <w:rPr>
          <w:spacing w:val="26"/>
        </w:rPr>
        <w:t xml:space="preserve"> </w:t>
      </w:r>
      <w:r>
        <w:rPr>
          <w:spacing w:val="-1"/>
        </w:rPr>
        <w:t>Customer</w:t>
      </w:r>
      <w:r>
        <w:rPr>
          <w:spacing w:val="11"/>
        </w:rPr>
        <w:t xml:space="preserve"> </w:t>
      </w:r>
      <w:r>
        <w:rPr>
          <w:spacing w:val="-1"/>
        </w:rPr>
        <w:t>Data)</w:t>
      </w:r>
      <w:r>
        <w:rPr>
          <w:spacing w:val="11"/>
        </w:rPr>
        <w:t xml:space="preserve"> </w:t>
      </w:r>
      <w:r>
        <w:rPr>
          <w:spacing w:val="-1"/>
        </w:rPr>
        <w:t>and</w:t>
      </w:r>
      <w:r>
        <w:rPr>
          <w:spacing w:val="10"/>
        </w:rPr>
        <w:t xml:space="preserve"> </w:t>
      </w:r>
      <w:r>
        <w:rPr>
          <w:spacing w:val="-1"/>
        </w:rPr>
        <w:t>any</w:t>
      </w:r>
      <w:r>
        <w:rPr>
          <w:spacing w:val="8"/>
        </w:rPr>
        <w:t xml:space="preserve"> </w:t>
      </w:r>
      <w:r>
        <w:rPr>
          <w:spacing w:val="-1"/>
        </w:rPr>
        <w:t>system</w:t>
      </w:r>
      <w:r>
        <w:rPr>
          <w:spacing w:val="11"/>
        </w:rPr>
        <w:t xml:space="preserve"> </w:t>
      </w:r>
      <w:r>
        <w:rPr>
          <w:spacing w:val="-1"/>
        </w:rPr>
        <w:t>that</w:t>
      </w:r>
      <w:r>
        <w:rPr>
          <w:spacing w:val="11"/>
        </w:rPr>
        <w:t xml:space="preserve"> </w:t>
      </w:r>
      <w:r>
        <w:rPr>
          <w:spacing w:val="-1"/>
        </w:rPr>
        <w:t>could</w:t>
      </w:r>
      <w:r>
        <w:rPr>
          <w:spacing w:val="10"/>
        </w:rPr>
        <w:t xml:space="preserve"> </w:t>
      </w:r>
      <w:r>
        <w:rPr>
          <w:spacing w:val="-2"/>
        </w:rPr>
        <w:t>directly</w:t>
      </w:r>
      <w:r>
        <w:rPr>
          <w:spacing w:val="8"/>
        </w:rPr>
        <w:t xml:space="preserve"> </w:t>
      </w:r>
      <w:r>
        <w:rPr>
          <w:spacing w:val="-1"/>
        </w:rPr>
        <w:t>or</w:t>
      </w:r>
      <w:r>
        <w:rPr>
          <w:spacing w:val="11"/>
        </w:rPr>
        <w:t xml:space="preserve"> </w:t>
      </w:r>
      <w:r>
        <w:rPr>
          <w:spacing w:val="-1"/>
        </w:rPr>
        <w:t>indirectly</w:t>
      </w:r>
      <w:r>
        <w:rPr>
          <w:spacing w:val="43"/>
        </w:rPr>
        <w:t xml:space="preserve"> </w:t>
      </w:r>
      <w:r>
        <w:rPr>
          <w:spacing w:val="-2"/>
        </w:rPr>
        <w:t>have</w:t>
      </w:r>
      <w:r>
        <w:rPr>
          <w:spacing w:val="55"/>
        </w:rPr>
        <w:t xml:space="preserve"> </w:t>
      </w:r>
      <w:r>
        <w:rPr>
          <w:spacing w:val="-1"/>
        </w:rPr>
        <w:t>an</w:t>
      </w:r>
      <w:r>
        <w:rPr>
          <w:spacing w:val="58"/>
        </w:rPr>
        <w:t xml:space="preserve"> </w:t>
      </w:r>
      <w:r>
        <w:rPr>
          <w:spacing w:val="-1"/>
        </w:rPr>
        <w:t>impact</w:t>
      </w:r>
      <w:r>
        <w:rPr>
          <w:spacing w:val="57"/>
        </w:rPr>
        <w:t xml:space="preserve"> </w:t>
      </w:r>
      <w:r>
        <w:rPr>
          <w:spacing w:val="-1"/>
        </w:rPr>
        <w:t>on</w:t>
      </w:r>
      <w:r>
        <w:rPr>
          <w:spacing w:val="55"/>
        </w:rPr>
        <w:t xml:space="preserve"> </w:t>
      </w:r>
      <w:r>
        <w:rPr>
          <w:spacing w:val="-1"/>
        </w:rPr>
        <w:t>that</w:t>
      </w:r>
      <w:r>
        <w:rPr>
          <w:spacing w:val="55"/>
        </w:rPr>
        <w:t xml:space="preserve"> </w:t>
      </w:r>
      <w:r>
        <w:rPr>
          <w:spacing w:val="-1"/>
        </w:rPr>
        <w:t>Information,</w:t>
      </w:r>
      <w:r>
        <w:rPr>
          <w:spacing w:val="57"/>
        </w:rPr>
        <w:t xml:space="preserve"> </w:t>
      </w:r>
      <w:r>
        <w:rPr>
          <w:spacing w:val="-1"/>
        </w:rPr>
        <w:t>data</w:t>
      </w:r>
      <w:r>
        <w:rPr>
          <w:spacing w:val="56"/>
        </w:rPr>
        <w:t xml:space="preserve"> </w:t>
      </w:r>
      <w:r>
        <w:rPr>
          <w:spacing w:val="-1"/>
        </w:rPr>
        <w:t>and/or</w:t>
      </w:r>
      <w:r>
        <w:rPr>
          <w:spacing w:val="57"/>
        </w:rPr>
        <w:t xml:space="preserve"> </w:t>
      </w:r>
      <w:r>
        <w:t>the</w:t>
      </w:r>
      <w:r>
        <w:rPr>
          <w:spacing w:val="56"/>
        </w:rPr>
        <w:t xml:space="preserve"> </w:t>
      </w:r>
      <w:r>
        <w:rPr>
          <w:spacing w:val="-1"/>
        </w:rPr>
        <w:t>Goods</w:t>
      </w:r>
      <w:r>
        <w:rPr>
          <w:spacing w:val="36"/>
        </w:rPr>
        <w:t xml:space="preserve"> </w:t>
      </w:r>
      <w:r>
        <w:rPr>
          <w:spacing w:val="-1"/>
        </w:rPr>
        <w:t xml:space="preserve">and/or </w:t>
      </w:r>
      <w:r>
        <w:rPr>
          <w:spacing w:val="-2"/>
        </w:rPr>
        <w:t>Services;</w:t>
      </w:r>
    </w:p>
    <w:p w:rsidR="008918FA" w:rsidRDefault="008918FA" w:rsidP="008918FA">
      <w:pPr>
        <w:pStyle w:val="BodyText"/>
        <w:numPr>
          <w:ilvl w:val="3"/>
          <w:numId w:val="18"/>
        </w:numPr>
        <w:tabs>
          <w:tab w:val="left" w:pos="2734"/>
        </w:tabs>
        <w:ind w:right="114"/>
        <w:jc w:val="both"/>
      </w:pPr>
      <w:r>
        <w:rPr>
          <w:spacing w:val="-1"/>
        </w:rPr>
        <w:t>unless</w:t>
      </w:r>
      <w:r>
        <w:rPr>
          <w:spacing w:val="24"/>
        </w:rPr>
        <w:t xml:space="preserve"> </w:t>
      </w:r>
      <w:r>
        <w:rPr>
          <w:spacing w:val="-1"/>
        </w:rPr>
        <w:t>otherwise</w:t>
      </w:r>
      <w:r>
        <w:rPr>
          <w:spacing w:val="24"/>
        </w:rPr>
        <w:t xml:space="preserve"> </w:t>
      </w:r>
      <w:r>
        <w:rPr>
          <w:spacing w:val="-1"/>
        </w:rPr>
        <w:t>specified</w:t>
      </w:r>
      <w:r>
        <w:rPr>
          <w:spacing w:val="23"/>
        </w:rPr>
        <w:t xml:space="preserve"> </w:t>
      </w:r>
      <w:r>
        <w:rPr>
          <w:spacing w:val="-1"/>
        </w:rPr>
        <w:t>by</w:t>
      </w:r>
      <w:r>
        <w:rPr>
          <w:spacing w:val="21"/>
        </w:rPr>
        <w:t xml:space="preserve"> </w:t>
      </w:r>
      <w:r>
        <w:t>the</w:t>
      </w:r>
      <w:r>
        <w:rPr>
          <w:spacing w:val="23"/>
        </w:rPr>
        <w:t xml:space="preserve"> </w:t>
      </w:r>
      <w:r>
        <w:rPr>
          <w:spacing w:val="-1"/>
        </w:rPr>
        <w:t>Customer</w:t>
      </w:r>
      <w:r>
        <w:rPr>
          <w:spacing w:val="24"/>
        </w:rPr>
        <w:t xml:space="preserve"> </w:t>
      </w:r>
      <w:r>
        <w:rPr>
          <w:spacing w:val="-2"/>
        </w:rPr>
        <w:t>in</w:t>
      </w:r>
      <w:r>
        <w:rPr>
          <w:spacing w:val="23"/>
        </w:rPr>
        <w:t xml:space="preserve"> </w:t>
      </w:r>
      <w:r>
        <w:rPr>
          <w:spacing w:val="-1"/>
        </w:rPr>
        <w:t>writing,</w:t>
      </w:r>
      <w:r>
        <w:rPr>
          <w:spacing w:val="25"/>
        </w:rPr>
        <w:t xml:space="preserve"> </w:t>
      </w:r>
      <w:r>
        <w:rPr>
          <w:spacing w:val="-1"/>
        </w:rPr>
        <w:t>be</w:t>
      </w:r>
      <w:r>
        <w:rPr>
          <w:spacing w:val="26"/>
        </w:rPr>
        <w:t xml:space="preserve"> </w:t>
      </w:r>
      <w:r>
        <w:rPr>
          <w:spacing w:val="-2"/>
        </w:rPr>
        <w:t>developed</w:t>
      </w:r>
      <w:r>
        <w:rPr>
          <w:spacing w:val="22"/>
        </w:rPr>
        <w:t xml:space="preserve"> </w:t>
      </w:r>
      <w:r>
        <w:t>to</w:t>
      </w:r>
      <w:r>
        <w:rPr>
          <w:spacing w:val="22"/>
        </w:rPr>
        <w:t xml:space="preserve"> </w:t>
      </w:r>
      <w:r>
        <w:rPr>
          <w:spacing w:val="-1"/>
        </w:rPr>
        <w:t>protect</w:t>
      </w:r>
      <w:r>
        <w:rPr>
          <w:spacing w:val="24"/>
        </w:rPr>
        <w:t xml:space="preserve"> </w:t>
      </w:r>
      <w:r>
        <w:rPr>
          <w:spacing w:val="-1"/>
        </w:rPr>
        <w:t>all</w:t>
      </w:r>
      <w:r>
        <w:rPr>
          <w:spacing w:val="21"/>
        </w:rPr>
        <w:t xml:space="preserve"> </w:t>
      </w:r>
      <w:r>
        <w:rPr>
          <w:spacing w:val="-1"/>
        </w:rPr>
        <w:t>aspects</w:t>
      </w:r>
      <w:r>
        <w:rPr>
          <w:spacing w:val="22"/>
        </w:rPr>
        <w:t xml:space="preserve"> </w:t>
      </w:r>
      <w:r>
        <w:rPr>
          <w:spacing w:val="-2"/>
        </w:rPr>
        <w:t>of</w:t>
      </w:r>
      <w:r>
        <w:rPr>
          <w:spacing w:val="23"/>
        </w:rPr>
        <w:t xml:space="preserve"> </w:t>
      </w:r>
      <w:r>
        <w:t>the</w:t>
      </w:r>
      <w:r>
        <w:rPr>
          <w:spacing w:val="22"/>
        </w:rPr>
        <w:t xml:space="preserve"> </w:t>
      </w:r>
      <w:r>
        <w:rPr>
          <w:spacing w:val="-1"/>
        </w:rPr>
        <w:t>Goods</w:t>
      </w:r>
      <w:r>
        <w:rPr>
          <w:spacing w:val="22"/>
        </w:rPr>
        <w:t xml:space="preserve"> </w:t>
      </w:r>
      <w:r>
        <w:rPr>
          <w:spacing w:val="-1"/>
        </w:rPr>
        <w:t>and/or</w:t>
      </w:r>
      <w:r>
        <w:rPr>
          <w:spacing w:val="26"/>
        </w:rPr>
        <w:t xml:space="preserve"> </w:t>
      </w:r>
      <w:r>
        <w:rPr>
          <w:spacing w:val="-1"/>
        </w:rPr>
        <w:t>Services</w:t>
      </w:r>
      <w:r>
        <w:rPr>
          <w:spacing w:val="43"/>
        </w:rPr>
        <w:t xml:space="preserve"> </w:t>
      </w:r>
      <w:r>
        <w:rPr>
          <w:spacing w:val="-1"/>
        </w:rPr>
        <w:t>and</w:t>
      </w:r>
      <w:r>
        <w:rPr>
          <w:spacing w:val="34"/>
        </w:rPr>
        <w:t xml:space="preserve"> </w:t>
      </w:r>
      <w:r>
        <w:rPr>
          <w:spacing w:val="-1"/>
        </w:rPr>
        <w:t>all</w:t>
      </w:r>
      <w:r>
        <w:rPr>
          <w:spacing w:val="33"/>
        </w:rPr>
        <w:t xml:space="preserve"> </w:t>
      </w:r>
      <w:r>
        <w:rPr>
          <w:spacing w:val="-1"/>
        </w:rPr>
        <w:t>processes</w:t>
      </w:r>
      <w:r>
        <w:rPr>
          <w:spacing w:val="34"/>
        </w:rPr>
        <w:t xml:space="preserve"> </w:t>
      </w:r>
      <w:r>
        <w:rPr>
          <w:spacing w:val="-2"/>
        </w:rPr>
        <w:t>associated</w:t>
      </w:r>
      <w:r>
        <w:rPr>
          <w:spacing w:val="34"/>
        </w:rPr>
        <w:t xml:space="preserve"> </w:t>
      </w:r>
      <w:r>
        <w:rPr>
          <w:spacing w:val="-2"/>
        </w:rPr>
        <w:t>with</w:t>
      </w:r>
      <w:r>
        <w:rPr>
          <w:spacing w:val="34"/>
        </w:rPr>
        <w:t xml:space="preserve"> </w:t>
      </w:r>
      <w:r>
        <w:t>the</w:t>
      </w:r>
      <w:r>
        <w:rPr>
          <w:spacing w:val="34"/>
        </w:rPr>
        <w:t xml:space="preserve"> </w:t>
      </w:r>
      <w:r>
        <w:rPr>
          <w:spacing w:val="-2"/>
        </w:rPr>
        <w:t>provision</w:t>
      </w:r>
      <w:r>
        <w:rPr>
          <w:spacing w:val="35"/>
        </w:rPr>
        <w:t xml:space="preserve"> </w:t>
      </w:r>
      <w:r>
        <w:rPr>
          <w:spacing w:val="-2"/>
        </w:rPr>
        <w:t>of</w:t>
      </w:r>
      <w:r>
        <w:rPr>
          <w:spacing w:val="38"/>
        </w:rPr>
        <w:t xml:space="preserve"> </w:t>
      </w:r>
      <w:r>
        <w:t>the</w:t>
      </w:r>
      <w:r>
        <w:rPr>
          <w:spacing w:val="31"/>
        </w:rPr>
        <w:t xml:space="preserve"> </w:t>
      </w:r>
      <w:r>
        <w:rPr>
          <w:spacing w:val="-1"/>
        </w:rPr>
        <w:t>Goods</w:t>
      </w:r>
      <w:r>
        <w:rPr>
          <w:spacing w:val="55"/>
        </w:rPr>
        <w:t xml:space="preserve"> </w:t>
      </w:r>
      <w:r>
        <w:rPr>
          <w:spacing w:val="-1"/>
        </w:rPr>
        <w:t>and/or</w:t>
      </w:r>
      <w:r>
        <w:rPr>
          <w:spacing w:val="54"/>
        </w:rPr>
        <w:t xml:space="preserve"> </w:t>
      </w:r>
      <w:r>
        <w:rPr>
          <w:spacing w:val="-1"/>
        </w:rPr>
        <w:t>Services,</w:t>
      </w:r>
      <w:r>
        <w:rPr>
          <w:spacing w:val="55"/>
        </w:rPr>
        <w:t xml:space="preserve"> </w:t>
      </w:r>
      <w:r>
        <w:rPr>
          <w:spacing w:val="-2"/>
        </w:rPr>
        <w:t>including</w:t>
      </w:r>
      <w:r>
        <w:rPr>
          <w:spacing w:val="55"/>
        </w:rPr>
        <w:t xml:space="preserve"> </w:t>
      </w:r>
      <w:r>
        <w:t>the</w:t>
      </w:r>
      <w:r>
        <w:rPr>
          <w:spacing w:val="53"/>
        </w:rPr>
        <w:t xml:space="preserve"> </w:t>
      </w:r>
      <w:r>
        <w:rPr>
          <w:spacing w:val="-1"/>
        </w:rPr>
        <w:t>Authority</w:t>
      </w:r>
      <w:r>
        <w:rPr>
          <w:spacing w:val="51"/>
        </w:rPr>
        <w:t xml:space="preserve"> </w:t>
      </w:r>
      <w:r>
        <w:rPr>
          <w:spacing w:val="-1"/>
        </w:rPr>
        <w:t>Premises,</w:t>
      </w:r>
      <w:r>
        <w:rPr>
          <w:spacing w:val="55"/>
        </w:rPr>
        <w:t xml:space="preserve"> </w:t>
      </w:r>
      <w:r>
        <w:t>the</w:t>
      </w:r>
      <w:r>
        <w:rPr>
          <w:spacing w:val="54"/>
        </w:rPr>
        <w:t xml:space="preserve"> </w:t>
      </w:r>
      <w:r>
        <w:rPr>
          <w:spacing w:val="-1"/>
        </w:rPr>
        <w:t>Sites,</w:t>
      </w:r>
      <w:r>
        <w:rPr>
          <w:spacing w:val="29"/>
        </w:rPr>
        <w:t xml:space="preserve"> </w:t>
      </w:r>
      <w:r>
        <w:rPr>
          <w:spacing w:val="-1"/>
        </w:rPr>
        <w:t>and</w:t>
      </w:r>
      <w:r>
        <w:rPr>
          <w:spacing w:val="41"/>
        </w:rPr>
        <w:t xml:space="preserve"> </w:t>
      </w:r>
      <w:r>
        <w:rPr>
          <w:spacing w:val="-1"/>
        </w:rPr>
        <w:t>any</w:t>
      </w:r>
      <w:r>
        <w:rPr>
          <w:spacing w:val="39"/>
        </w:rPr>
        <w:t xml:space="preserve"> </w:t>
      </w:r>
      <w:r>
        <w:t>ICT,</w:t>
      </w:r>
      <w:r>
        <w:rPr>
          <w:spacing w:val="40"/>
        </w:rPr>
        <w:t xml:space="preserve"> </w:t>
      </w:r>
      <w:r>
        <w:rPr>
          <w:spacing w:val="-1"/>
        </w:rPr>
        <w:t>Information</w:t>
      </w:r>
      <w:r>
        <w:rPr>
          <w:spacing w:val="41"/>
        </w:rPr>
        <w:t xml:space="preserve"> </w:t>
      </w:r>
      <w:r>
        <w:rPr>
          <w:spacing w:val="-1"/>
        </w:rPr>
        <w:t>and</w:t>
      </w:r>
      <w:r>
        <w:rPr>
          <w:spacing w:val="41"/>
        </w:rPr>
        <w:t xml:space="preserve"> </w:t>
      </w:r>
      <w:r>
        <w:rPr>
          <w:spacing w:val="-1"/>
        </w:rPr>
        <w:t>data</w:t>
      </w:r>
      <w:r>
        <w:rPr>
          <w:spacing w:val="38"/>
        </w:rPr>
        <w:t xml:space="preserve"> </w:t>
      </w:r>
      <w:r>
        <w:rPr>
          <w:spacing w:val="-1"/>
        </w:rPr>
        <w:t>(including</w:t>
      </w:r>
      <w:r>
        <w:rPr>
          <w:spacing w:val="42"/>
        </w:rPr>
        <w:t xml:space="preserve"> </w:t>
      </w:r>
      <w:r>
        <w:rPr>
          <w:spacing w:val="-1"/>
        </w:rPr>
        <w:t>the</w:t>
      </w:r>
      <w:r>
        <w:rPr>
          <w:spacing w:val="41"/>
        </w:rPr>
        <w:t xml:space="preserve"> </w:t>
      </w:r>
      <w:r>
        <w:rPr>
          <w:spacing w:val="-1"/>
        </w:rPr>
        <w:t>Customer’s</w:t>
      </w:r>
      <w:r>
        <w:rPr>
          <w:spacing w:val="23"/>
        </w:rPr>
        <w:t xml:space="preserve"> </w:t>
      </w:r>
      <w:r>
        <w:rPr>
          <w:spacing w:val="-1"/>
        </w:rPr>
        <w:t>Confidential</w:t>
      </w:r>
      <w:r>
        <w:rPr>
          <w:spacing w:val="24"/>
        </w:rPr>
        <w:t xml:space="preserve"> </w:t>
      </w:r>
      <w:r>
        <w:rPr>
          <w:spacing w:val="-1"/>
        </w:rPr>
        <w:t>Information</w:t>
      </w:r>
      <w:r>
        <w:rPr>
          <w:spacing w:val="24"/>
        </w:rPr>
        <w:t xml:space="preserve"> </w:t>
      </w:r>
      <w:r>
        <w:rPr>
          <w:spacing w:val="-1"/>
        </w:rPr>
        <w:t>and</w:t>
      </w:r>
      <w:r>
        <w:rPr>
          <w:spacing w:val="24"/>
        </w:rPr>
        <w:t xml:space="preserve"> </w:t>
      </w:r>
      <w:r>
        <w:t>the</w:t>
      </w:r>
      <w:r>
        <w:rPr>
          <w:spacing w:val="24"/>
        </w:rPr>
        <w:t xml:space="preserve"> </w:t>
      </w:r>
      <w:r>
        <w:rPr>
          <w:spacing w:val="-1"/>
        </w:rPr>
        <w:t>Customer</w:t>
      </w:r>
      <w:r>
        <w:rPr>
          <w:spacing w:val="26"/>
        </w:rPr>
        <w:t xml:space="preserve"> </w:t>
      </w:r>
      <w:r>
        <w:rPr>
          <w:spacing w:val="-1"/>
        </w:rPr>
        <w:t>Data)</w:t>
      </w:r>
      <w:r>
        <w:rPr>
          <w:spacing w:val="23"/>
        </w:rPr>
        <w:t xml:space="preserve"> </w:t>
      </w:r>
      <w:r>
        <w:t>to</w:t>
      </w:r>
      <w:r>
        <w:rPr>
          <w:spacing w:val="24"/>
        </w:rPr>
        <w:t xml:space="preserve"> </w:t>
      </w:r>
      <w:r>
        <w:t>the</w:t>
      </w:r>
      <w:r>
        <w:rPr>
          <w:spacing w:val="24"/>
        </w:rPr>
        <w:t xml:space="preserve"> </w:t>
      </w:r>
      <w:r>
        <w:rPr>
          <w:spacing w:val="-1"/>
        </w:rPr>
        <w:t>extent</w:t>
      </w:r>
      <w:r>
        <w:rPr>
          <w:spacing w:val="26"/>
        </w:rPr>
        <w:t xml:space="preserve"> </w:t>
      </w:r>
      <w:r>
        <w:rPr>
          <w:spacing w:val="-1"/>
        </w:rPr>
        <w:t>used</w:t>
      </w:r>
      <w:r>
        <w:rPr>
          <w:spacing w:val="34"/>
        </w:rPr>
        <w:t xml:space="preserve"> </w:t>
      </w:r>
      <w:r>
        <w:rPr>
          <w:spacing w:val="-1"/>
        </w:rPr>
        <w:t>by</w:t>
      </w:r>
      <w:r>
        <w:rPr>
          <w:spacing w:val="32"/>
        </w:rPr>
        <w:t xml:space="preserve"> </w:t>
      </w:r>
      <w:r>
        <w:t>the</w:t>
      </w:r>
      <w:r>
        <w:rPr>
          <w:spacing w:val="34"/>
        </w:rPr>
        <w:t xml:space="preserve"> </w:t>
      </w:r>
      <w:r>
        <w:rPr>
          <w:spacing w:val="-1"/>
        </w:rPr>
        <w:t>Customer</w:t>
      </w:r>
      <w:r>
        <w:rPr>
          <w:spacing w:val="35"/>
        </w:rPr>
        <w:t xml:space="preserve"> </w:t>
      </w:r>
      <w:r>
        <w:rPr>
          <w:spacing w:val="-1"/>
        </w:rPr>
        <w:t>or</w:t>
      </w:r>
      <w:r>
        <w:rPr>
          <w:spacing w:val="35"/>
        </w:rPr>
        <w:t xml:space="preserve"> </w:t>
      </w:r>
      <w:r>
        <w:t>the</w:t>
      </w:r>
      <w:r>
        <w:rPr>
          <w:spacing w:val="34"/>
        </w:rPr>
        <w:t xml:space="preserve"> </w:t>
      </w:r>
      <w:r>
        <w:rPr>
          <w:spacing w:val="-2"/>
        </w:rPr>
        <w:t>Supplier</w:t>
      </w:r>
      <w:r>
        <w:rPr>
          <w:spacing w:val="36"/>
        </w:rPr>
        <w:t xml:space="preserve"> </w:t>
      </w:r>
      <w:r>
        <w:rPr>
          <w:spacing w:val="-1"/>
        </w:rPr>
        <w:t>in</w:t>
      </w:r>
      <w:r>
        <w:rPr>
          <w:spacing w:val="34"/>
        </w:rPr>
        <w:t xml:space="preserve"> </w:t>
      </w:r>
      <w:r>
        <w:rPr>
          <w:spacing w:val="-1"/>
        </w:rPr>
        <w:t>connection</w:t>
      </w:r>
      <w:r>
        <w:rPr>
          <w:spacing w:val="34"/>
        </w:rPr>
        <w:t xml:space="preserve"> </w:t>
      </w:r>
      <w:r>
        <w:rPr>
          <w:spacing w:val="-1"/>
        </w:rPr>
        <w:t>with</w:t>
      </w:r>
      <w:r>
        <w:rPr>
          <w:spacing w:val="34"/>
        </w:rPr>
        <w:t xml:space="preserve"> </w:t>
      </w:r>
      <w:r>
        <w:rPr>
          <w:spacing w:val="-1"/>
        </w:rPr>
        <w:t>this</w:t>
      </w:r>
      <w:r>
        <w:rPr>
          <w:spacing w:val="47"/>
        </w:rPr>
        <w:t xml:space="preserve"> </w:t>
      </w:r>
      <w:r>
        <w:rPr>
          <w:spacing w:val="-2"/>
        </w:rPr>
        <w:t>Call</w:t>
      </w:r>
      <w:r>
        <w:rPr>
          <w:spacing w:val="31"/>
        </w:rPr>
        <w:t xml:space="preserve"> </w:t>
      </w:r>
      <w:r>
        <w:t>Off</w:t>
      </w:r>
      <w:r>
        <w:rPr>
          <w:spacing w:val="35"/>
        </w:rPr>
        <w:t xml:space="preserve"> </w:t>
      </w:r>
      <w:r>
        <w:rPr>
          <w:spacing w:val="-2"/>
        </w:rPr>
        <w:t>Contract</w:t>
      </w:r>
      <w:r>
        <w:rPr>
          <w:spacing w:val="33"/>
        </w:rPr>
        <w:t xml:space="preserve"> </w:t>
      </w:r>
      <w:r>
        <w:rPr>
          <w:spacing w:val="-1"/>
        </w:rPr>
        <w:t>or</w:t>
      </w:r>
      <w:r>
        <w:rPr>
          <w:spacing w:val="33"/>
        </w:rPr>
        <w:t xml:space="preserve"> </w:t>
      </w:r>
      <w:r>
        <w:rPr>
          <w:spacing w:val="-1"/>
        </w:rPr>
        <w:t>in</w:t>
      </w:r>
      <w:r>
        <w:rPr>
          <w:spacing w:val="31"/>
        </w:rPr>
        <w:t xml:space="preserve"> </w:t>
      </w:r>
      <w:r>
        <w:rPr>
          <w:spacing w:val="-1"/>
        </w:rPr>
        <w:t>connection</w:t>
      </w:r>
      <w:r>
        <w:rPr>
          <w:spacing w:val="31"/>
        </w:rPr>
        <w:t xml:space="preserve"> </w:t>
      </w:r>
      <w:r>
        <w:rPr>
          <w:spacing w:val="-1"/>
        </w:rPr>
        <w:t>with</w:t>
      </w:r>
      <w:r>
        <w:rPr>
          <w:spacing w:val="32"/>
        </w:rPr>
        <w:t xml:space="preserve"> </w:t>
      </w:r>
      <w:r>
        <w:rPr>
          <w:spacing w:val="-1"/>
        </w:rPr>
        <w:t>any</w:t>
      </w:r>
      <w:r>
        <w:rPr>
          <w:spacing w:val="32"/>
        </w:rPr>
        <w:t xml:space="preserve"> </w:t>
      </w:r>
      <w:r>
        <w:rPr>
          <w:spacing w:val="-1"/>
        </w:rPr>
        <w:t>system</w:t>
      </w:r>
      <w:r>
        <w:rPr>
          <w:spacing w:val="33"/>
        </w:rPr>
        <w:t xml:space="preserve"> </w:t>
      </w:r>
      <w:r>
        <w:rPr>
          <w:spacing w:val="-1"/>
        </w:rPr>
        <w:t>that</w:t>
      </w:r>
      <w:r>
        <w:rPr>
          <w:spacing w:val="33"/>
        </w:rPr>
        <w:t xml:space="preserve"> </w:t>
      </w:r>
      <w:r>
        <w:rPr>
          <w:spacing w:val="-1"/>
        </w:rPr>
        <w:t>could</w:t>
      </w:r>
      <w:r>
        <w:rPr>
          <w:spacing w:val="47"/>
        </w:rPr>
        <w:t xml:space="preserve"> </w:t>
      </w:r>
      <w:r>
        <w:rPr>
          <w:spacing w:val="-1"/>
        </w:rPr>
        <w:t>directly</w:t>
      </w:r>
      <w:r>
        <w:rPr>
          <w:spacing w:val="34"/>
        </w:rPr>
        <w:t xml:space="preserve"> </w:t>
      </w:r>
      <w:r>
        <w:rPr>
          <w:spacing w:val="-1"/>
        </w:rPr>
        <w:t>or</w:t>
      </w:r>
      <w:r>
        <w:rPr>
          <w:spacing w:val="38"/>
        </w:rPr>
        <w:t xml:space="preserve"> </w:t>
      </w:r>
      <w:r>
        <w:rPr>
          <w:spacing w:val="-1"/>
        </w:rPr>
        <w:t>indirectly</w:t>
      </w:r>
      <w:r>
        <w:rPr>
          <w:spacing w:val="34"/>
        </w:rPr>
        <w:t xml:space="preserve"> </w:t>
      </w:r>
      <w:r>
        <w:rPr>
          <w:spacing w:val="-1"/>
        </w:rPr>
        <w:t>have</w:t>
      </w:r>
      <w:r>
        <w:rPr>
          <w:spacing w:val="37"/>
        </w:rPr>
        <w:t xml:space="preserve"> </w:t>
      </w:r>
      <w:r>
        <w:rPr>
          <w:spacing w:val="-1"/>
        </w:rPr>
        <w:t>an</w:t>
      </w:r>
      <w:r>
        <w:rPr>
          <w:spacing w:val="36"/>
        </w:rPr>
        <w:t xml:space="preserve"> </w:t>
      </w:r>
      <w:r>
        <w:rPr>
          <w:spacing w:val="-1"/>
        </w:rPr>
        <w:t>impact</w:t>
      </w:r>
      <w:r>
        <w:rPr>
          <w:spacing w:val="38"/>
        </w:rPr>
        <w:t xml:space="preserve"> </w:t>
      </w:r>
      <w:r>
        <w:rPr>
          <w:spacing w:val="-1"/>
        </w:rPr>
        <w:t>on</w:t>
      </w:r>
      <w:r>
        <w:rPr>
          <w:spacing w:val="35"/>
        </w:rPr>
        <w:t xml:space="preserve"> </w:t>
      </w:r>
      <w:r>
        <w:rPr>
          <w:spacing w:val="-1"/>
        </w:rPr>
        <w:t>that</w:t>
      </w:r>
      <w:r>
        <w:rPr>
          <w:spacing w:val="38"/>
        </w:rPr>
        <w:t xml:space="preserve"> </w:t>
      </w:r>
      <w:r>
        <w:rPr>
          <w:spacing w:val="-1"/>
        </w:rPr>
        <w:t>Information,</w:t>
      </w:r>
      <w:r>
        <w:rPr>
          <w:spacing w:val="38"/>
        </w:rPr>
        <w:t xml:space="preserve"> </w:t>
      </w:r>
      <w:r>
        <w:rPr>
          <w:spacing w:val="-1"/>
        </w:rPr>
        <w:t>data</w:t>
      </w:r>
      <w:r>
        <w:rPr>
          <w:spacing w:val="23"/>
        </w:rPr>
        <w:t xml:space="preserve"> </w:t>
      </w:r>
      <w:r>
        <w:rPr>
          <w:spacing w:val="-1"/>
        </w:rPr>
        <w:t xml:space="preserve">and/or </w:t>
      </w:r>
      <w:r>
        <w:t>the</w:t>
      </w:r>
      <w:r>
        <w:rPr>
          <w:spacing w:val="-2"/>
        </w:rPr>
        <w:t xml:space="preserve"> </w:t>
      </w:r>
      <w:r>
        <w:rPr>
          <w:spacing w:val="-1"/>
        </w:rPr>
        <w:t>Goods</w:t>
      </w:r>
      <w:r>
        <w:rPr>
          <w:spacing w:val="1"/>
        </w:rPr>
        <w:t xml:space="preserve"> </w:t>
      </w:r>
      <w:r>
        <w:rPr>
          <w:spacing w:val="-1"/>
        </w:rPr>
        <w:t>and/or</w:t>
      </w:r>
      <w:r>
        <w:rPr>
          <w:spacing w:val="-3"/>
        </w:rPr>
        <w:t xml:space="preserve"> </w:t>
      </w:r>
      <w:r>
        <w:rPr>
          <w:spacing w:val="-2"/>
        </w:rPr>
        <w:t>Services;</w:t>
      </w:r>
    </w:p>
    <w:p w:rsidR="008918FA" w:rsidRDefault="008918FA" w:rsidP="008918FA">
      <w:pPr>
        <w:pStyle w:val="BodyText"/>
        <w:numPr>
          <w:ilvl w:val="3"/>
          <w:numId w:val="18"/>
        </w:numPr>
        <w:tabs>
          <w:tab w:val="left" w:pos="2734"/>
        </w:tabs>
        <w:ind w:right="115"/>
        <w:jc w:val="both"/>
      </w:pPr>
      <w:r>
        <w:rPr>
          <w:spacing w:val="-1"/>
        </w:rPr>
        <w:t>set</w:t>
      </w:r>
      <w:r>
        <w:rPr>
          <w:spacing w:val="9"/>
        </w:rPr>
        <w:t xml:space="preserve"> </w:t>
      </w:r>
      <w:r>
        <w:rPr>
          <w:spacing w:val="-2"/>
        </w:rPr>
        <w:t>out</w:t>
      </w:r>
      <w:r>
        <w:rPr>
          <w:spacing w:val="9"/>
        </w:rPr>
        <w:t xml:space="preserve"> </w:t>
      </w:r>
      <w:r>
        <w:t>the</w:t>
      </w:r>
      <w:r>
        <w:rPr>
          <w:spacing w:val="5"/>
        </w:rPr>
        <w:t xml:space="preserve"> </w:t>
      </w:r>
      <w:r>
        <w:rPr>
          <w:spacing w:val="-1"/>
        </w:rPr>
        <w:t>security</w:t>
      </w:r>
      <w:r>
        <w:rPr>
          <w:spacing w:val="6"/>
        </w:rPr>
        <w:t xml:space="preserve"> </w:t>
      </w:r>
      <w:r>
        <w:rPr>
          <w:spacing w:val="-1"/>
        </w:rPr>
        <w:t>measures</w:t>
      </w:r>
      <w:r>
        <w:rPr>
          <w:spacing w:val="6"/>
        </w:rPr>
        <w:t xml:space="preserve"> </w:t>
      </w:r>
      <w:r>
        <w:t>to</w:t>
      </w:r>
      <w:r>
        <w:rPr>
          <w:spacing w:val="5"/>
        </w:rPr>
        <w:t xml:space="preserve"> </w:t>
      </w:r>
      <w:r>
        <w:rPr>
          <w:spacing w:val="-1"/>
        </w:rPr>
        <w:t>be</w:t>
      </w:r>
      <w:r>
        <w:rPr>
          <w:spacing w:val="7"/>
        </w:rPr>
        <w:t xml:space="preserve"> </w:t>
      </w:r>
      <w:r>
        <w:rPr>
          <w:spacing w:val="-1"/>
        </w:rPr>
        <w:t>implemented</w:t>
      </w:r>
      <w:r>
        <w:rPr>
          <w:spacing w:val="5"/>
        </w:rPr>
        <w:t xml:space="preserve"> </w:t>
      </w:r>
      <w:r>
        <w:rPr>
          <w:spacing w:val="-1"/>
        </w:rPr>
        <w:t>and</w:t>
      </w:r>
      <w:r>
        <w:rPr>
          <w:spacing w:val="28"/>
        </w:rPr>
        <w:t xml:space="preserve"> </w:t>
      </w:r>
      <w:r>
        <w:rPr>
          <w:spacing w:val="-1"/>
        </w:rPr>
        <w:t>maintained</w:t>
      </w:r>
      <w:r>
        <w:rPr>
          <w:spacing w:val="2"/>
        </w:rPr>
        <w:t xml:space="preserve"> </w:t>
      </w:r>
      <w:r>
        <w:rPr>
          <w:spacing w:val="-1"/>
        </w:rPr>
        <w:t>by</w:t>
      </w:r>
      <w:r>
        <w:t xml:space="preserve"> the</w:t>
      </w:r>
      <w:r>
        <w:rPr>
          <w:spacing w:val="2"/>
        </w:rPr>
        <w:t xml:space="preserve"> </w:t>
      </w:r>
      <w:r>
        <w:rPr>
          <w:spacing w:val="-2"/>
        </w:rPr>
        <w:t>Supplier</w:t>
      </w:r>
      <w:r>
        <w:rPr>
          <w:spacing w:val="3"/>
        </w:rPr>
        <w:t xml:space="preserve"> </w:t>
      </w:r>
      <w:r>
        <w:rPr>
          <w:spacing w:val="-1"/>
        </w:rPr>
        <w:t>in</w:t>
      </w:r>
      <w:r>
        <w:rPr>
          <w:spacing w:val="2"/>
        </w:rPr>
        <w:t xml:space="preserve"> </w:t>
      </w:r>
      <w:r>
        <w:rPr>
          <w:spacing w:val="-1"/>
        </w:rPr>
        <w:t>relation</w:t>
      </w:r>
      <w:r>
        <w:rPr>
          <w:spacing w:val="2"/>
        </w:rPr>
        <w:t xml:space="preserve"> </w:t>
      </w:r>
      <w:r>
        <w:t>to</w:t>
      </w:r>
      <w:r>
        <w:rPr>
          <w:spacing w:val="2"/>
        </w:rPr>
        <w:t xml:space="preserve"> </w:t>
      </w:r>
      <w:r>
        <w:rPr>
          <w:spacing w:val="-1"/>
        </w:rPr>
        <w:t>all</w:t>
      </w:r>
      <w:r>
        <w:rPr>
          <w:spacing w:val="3"/>
        </w:rPr>
        <w:t xml:space="preserve"> </w:t>
      </w:r>
      <w:r>
        <w:rPr>
          <w:spacing w:val="-1"/>
        </w:rPr>
        <w:t>aspects</w:t>
      </w:r>
      <w:r>
        <w:rPr>
          <w:spacing w:val="2"/>
        </w:rPr>
        <w:t xml:space="preserve"> </w:t>
      </w:r>
      <w:r>
        <w:rPr>
          <w:spacing w:val="-2"/>
        </w:rPr>
        <w:t>of</w:t>
      </w:r>
      <w:r>
        <w:t xml:space="preserve"> </w:t>
      </w:r>
      <w:r>
        <w:rPr>
          <w:spacing w:val="3"/>
        </w:rPr>
        <w:t xml:space="preserve"> </w:t>
      </w:r>
      <w:r>
        <w:rPr>
          <w:spacing w:val="-1"/>
        </w:rPr>
        <w:t>the</w:t>
      </w:r>
      <w:r>
        <w:rPr>
          <w:spacing w:val="40"/>
        </w:rPr>
        <w:t xml:space="preserve"> </w:t>
      </w:r>
      <w:r>
        <w:rPr>
          <w:spacing w:val="-1"/>
        </w:rPr>
        <w:t>Goods</w:t>
      </w:r>
      <w:r>
        <w:rPr>
          <w:spacing w:val="34"/>
        </w:rPr>
        <w:t xml:space="preserve"> </w:t>
      </w:r>
      <w:r>
        <w:rPr>
          <w:spacing w:val="-1"/>
        </w:rPr>
        <w:t>and/or</w:t>
      </w:r>
      <w:r>
        <w:rPr>
          <w:spacing w:val="33"/>
        </w:rPr>
        <w:t xml:space="preserve"> </w:t>
      </w:r>
      <w:r>
        <w:rPr>
          <w:spacing w:val="-1"/>
        </w:rPr>
        <w:t>Services</w:t>
      </w:r>
      <w:r>
        <w:rPr>
          <w:spacing w:val="32"/>
        </w:rPr>
        <w:t xml:space="preserve"> </w:t>
      </w:r>
      <w:r>
        <w:rPr>
          <w:spacing w:val="-1"/>
        </w:rPr>
        <w:t>and</w:t>
      </w:r>
      <w:r>
        <w:rPr>
          <w:spacing w:val="34"/>
        </w:rPr>
        <w:t xml:space="preserve"> </w:t>
      </w:r>
      <w:r>
        <w:rPr>
          <w:spacing w:val="-1"/>
        </w:rPr>
        <w:t>all</w:t>
      </w:r>
      <w:r>
        <w:rPr>
          <w:spacing w:val="33"/>
        </w:rPr>
        <w:t xml:space="preserve"> </w:t>
      </w:r>
      <w:r>
        <w:rPr>
          <w:spacing w:val="-1"/>
        </w:rPr>
        <w:t>processes</w:t>
      </w:r>
      <w:r>
        <w:rPr>
          <w:spacing w:val="32"/>
        </w:rPr>
        <w:t xml:space="preserve"> </w:t>
      </w:r>
      <w:r>
        <w:rPr>
          <w:spacing w:val="-1"/>
        </w:rPr>
        <w:t>associated</w:t>
      </w:r>
      <w:r>
        <w:rPr>
          <w:spacing w:val="35"/>
        </w:rPr>
        <w:t xml:space="preserve"> </w:t>
      </w:r>
      <w:r>
        <w:rPr>
          <w:spacing w:val="-2"/>
        </w:rPr>
        <w:t>with</w:t>
      </w:r>
      <w:r>
        <w:rPr>
          <w:spacing w:val="34"/>
        </w:rPr>
        <w:t xml:space="preserve"> </w:t>
      </w:r>
      <w:r>
        <w:rPr>
          <w:spacing w:val="-1"/>
        </w:rPr>
        <w:t>the</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spacing w:before="59"/>
        <w:ind w:left="2594" w:right="114" w:firstLine="0"/>
        <w:jc w:val="both"/>
      </w:pPr>
      <w:r>
        <w:rPr>
          <w:spacing w:val="-2"/>
        </w:rPr>
        <w:t>provision</w:t>
      </w:r>
      <w:r>
        <w:rPr>
          <w:spacing w:val="36"/>
        </w:rPr>
        <w:t xml:space="preserve"> </w:t>
      </w:r>
      <w:r>
        <w:rPr>
          <w:spacing w:val="-1"/>
        </w:rPr>
        <w:t>of</w:t>
      </w:r>
      <w:r>
        <w:rPr>
          <w:spacing w:val="40"/>
        </w:rPr>
        <w:t xml:space="preserve"> </w:t>
      </w:r>
      <w:r>
        <w:t>the</w:t>
      </w:r>
      <w:r>
        <w:rPr>
          <w:spacing w:val="34"/>
        </w:rPr>
        <w:t xml:space="preserve"> </w:t>
      </w:r>
      <w:r>
        <w:rPr>
          <w:spacing w:val="-1"/>
        </w:rPr>
        <w:t>Goods</w:t>
      </w:r>
      <w:r>
        <w:rPr>
          <w:spacing w:val="32"/>
        </w:rPr>
        <w:t xml:space="preserve"> </w:t>
      </w:r>
      <w:r>
        <w:rPr>
          <w:spacing w:val="-1"/>
        </w:rPr>
        <w:t>and/or</w:t>
      </w:r>
      <w:r>
        <w:rPr>
          <w:spacing w:val="38"/>
        </w:rPr>
        <w:t xml:space="preserve"> </w:t>
      </w:r>
      <w:r>
        <w:rPr>
          <w:spacing w:val="-2"/>
        </w:rPr>
        <w:t>Services</w:t>
      </w:r>
      <w:r>
        <w:rPr>
          <w:spacing w:val="37"/>
        </w:rPr>
        <w:t xml:space="preserve"> </w:t>
      </w:r>
      <w:r>
        <w:rPr>
          <w:spacing w:val="-1"/>
        </w:rPr>
        <w:t>and</w:t>
      </w:r>
      <w:r>
        <w:rPr>
          <w:spacing w:val="37"/>
        </w:rPr>
        <w:t xml:space="preserve"> </w:t>
      </w:r>
      <w:r>
        <w:rPr>
          <w:spacing w:val="-1"/>
        </w:rPr>
        <w:t>shall</w:t>
      </w:r>
      <w:r>
        <w:rPr>
          <w:spacing w:val="36"/>
        </w:rPr>
        <w:t xml:space="preserve"> </w:t>
      </w:r>
      <w:r>
        <w:rPr>
          <w:spacing w:val="-1"/>
        </w:rPr>
        <w:t>at</w:t>
      </w:r>
      <w:r>
        <w:rPr>
          <w:spacing w:val="38"/>
        </w:rPr>
        <w:t xml:space="preserve"> </w:t>
      </w:r>
      <w:r>
        <w:rPr>
          <w:spacing w:val="-1"/>
        </w:rPr>
        <w:t>all</w:t>
      </w:r>
      <w:r>
        <w:rPr>
          <w:spacing w:val="36"/>
        </w:rPr>
        <w:t xml:space="preserve"> </w:t>
      </w:r>
      <w:r>
        <w:rPr>
          <w:spacing w:val="-1"/>
        </w:rPr>
        <w:t>times</w:t>
      </w:r>
      <w:r>
        <w:rPr>
          <w:spacing w:val="52"/>
        </w:rPr>
        <w:t xml:space="preserve"> </w:t>
      </w:r>
      <w:r>
        <w:rPr>
          <w:spacing w:val="-1"/>
        </w:rPr>
        <w:t>comply</w:t>
      </w:r>
      <w:r>
        <w:rPr>
          <w:spacing w:val="2"/>
        </w:rPr>
        <w:t xml:space="preserve"> </w:t>
      </w:r>
      <w:r>
        <w:rPr>
          <w:spacing w:val="-1"/>
        </w:rPr>
        <w:t>with</w:t>
      </w:r>
      <w:r>
        <w:rPr>
          <w:spacing w:val="4"/>
        </w:rPr>
        <w:t xml:space="preserve"> </w:t>
      </w:r>
      <w:r>
        <w:rPr>
          <w:spacing w:val="-1"/>
        </w:rPr>
        <w:t>and</w:t>
      </w:r>
      <w:r>
        <w:rPr>
          <w:spacing w:val="4"/>
        </w:rPr>
        <w:t xml:space="preserve"> </w:t>
      </w:r>
      <w:r>
        <w:rPr>
          <w:spacing w:val="-1"/>
        </w:rPr>
        <w:t>specify</w:t>
      </w:r>
      <w:r>
        <w:rPr>
          <w:spacing w:val="2"/>
        </w:rPr>
        <w:t xml:space="preserve"> </w:t>
      </w:r>
      <w:r>
        <w:rPr>
          <w:spacing w:val="-1"/>
        </w:rPr>
        <w:t>security</w:t>
      </w:r>
      <w:r>
        <w:rPr>
          <w:spacing w:val="2"/>
        </w:rPr>
        <w:t xml:space="preserve"> </w:t>
      </w:r>
      <w:r>
        <w:rPr>
          <w:spacing w:val="-1"/>
        </w:rPr>
        <w:t>measures</w:t>
      </w:r>
      <w:r>
        <w:rPr>
          <w:spacing w:val="4"/>
        </w:rPr>
        <w:t xml:space="preserve"> </w:t>
      </w:r>
      <w:r>
        <w:rPr>
          <w:spacing w:val="-2"/>
        </w:rPr>
        <w:t>and</w:t>
      </w:r>
      <w:r>
        <w:rPr>
          <w:spacing w:val="4"/>
        </w:rPr>
        <w:t xml:space="preserve"> </w:t>
      </w:r>
      <w:r>
        <w:rPr>
          <w:spacing w:val="-1"/>
        </w:rPr>
        <w:t>procedures</w:t>
      </w:r>
      <w:r>
        <w:rPr>
          <w:spacing w:val="30"/>
        </w:rPr>
        <w:t xml:space="preserve"> </w:t>
      </w:r>
      <w:r>
        <w:rPr>
          <w:spacing w:val="-1"/>
        </w:rPr>
        <w:t>which</w:t>
      </w:r>
      <w:r>
        <w:rPr>
          <w:spacing w:val="30"/>
        </w:rPr>
        <w:t xml:space="preserve"> </w:t>
      </w:r>
      <w:r>
        <w:rPr>
          <w:spacing w:val="-1"/>
        </w:rPr>
        <w:t>are</w:t>
      </w:r>
      <w:r>
        <w:rPr>
          <w:spacing w:val="29"/>
        </w:rPr>
        <w:t xml:space="preserve"> </w:t>
      </w:r>
      <w:r>
        <w:rPr>
          <w:spacing w:val="-1"/>
        </w:rPr>
        <w:t>sufficient</w:t>
      </w:r>
      <w:r>
        <w:rPr>
          <w:spacing w:val="28"/>
        </w:rPr>
        <w:t xml:space="preserve"> </w:t>
      </w:r>
      <w:r>
        <w:t>to</w:t>
      </w:r>
      <w:r>
        <w:rPr>
          <w:spacing w:val="29"/>
        </w:rPr>
        <w:t xml:space="preserve"> </w:t>
      </w:r>
      <w:r>
        <w:rPr>
          <w:spacing w:val="-1"/>
        </w:rPr>
        <w:t>ensure</w:t>
      </w:r>
      <w:r>
        <w:rPr>
          <w:spacing w:val="29"/>
        </w:rPr>
        <w:t xml:space="preserve"> </w:t>
      </w:r>
      <w:r>
        <w:rPr>
          <w:spacing w:val="-1"/>
        </w:rPr>
        <w:t>that</w:t>
      </w:r>
      <w:r>
        <w:rPr>
          <w:spacing w:val="30"/>
        </w:rPr>
        <w:t xml:space="preserve"> </w:t>
      </w:r>
      <w:r>
        <w:t>the</w:t>
      </w:r>
      <w:r>
        <w:rPr>
          <w:spacing w:val="27"/>
        </w:rPr>
        <w:t xml:space="preserve"> </w:t>
      </w:r>
      <w:r>
        <w:rPr>
          <w:spacing w:val="-1"/>
        </w:rPr>
        <w:t>Goods</w:t>
      </w:r>
      <w:r>
        <w:rPr>
          <w:spacing w:val="30"/>
        </w:rPr>
        <w:t xml:space="preserve"> </w:t>
      </w:r>
      <w:r>
        <w:rPr>
          <w:spacing w:val="-1"/>
        </w:rPr>
        <w:t>and/or</w:t>
      </w:r>
      <w:r>
        <w:rPr>
          <w:spacing w:val="30"/>
        </w:rPr>
        <w:t xml:space="preserve"> </w:t>
      </w:r>
      <w:r>
        <w:rPr>
          <w:spacing w:val="-1"/>
        </w:rPr>
        <w:t>Services</w:t>
      </w:r>
      <w:r>
        <w:rPr>
          <w:spacing w:val="27"/>
        </w:rPr>
        <w:t xml:space="preserve"> </w:t>
      </w:r>
      <w:r>
        <w:rPr>
          <w:spacing w:val="-1"/>
        </w:rPr>
        <w:t>comply</w:t>
      </w:r>
      <w:r>
        <w:rPr>
          <w:spacing w:val="-2"/>
        </w:rPr>
        <w:t xml:space="preserve"> with</w:t>
      </w:r>
      <w:r>
        <w:t xml:space="preserve"> the </w:t>
      </w:r>
      <w:r>
        <w:rPr>
          <w:spacing w:val="-2"/>
        </w:rPr>
        <w:t>provisions</w:t>
      </w:r>
      <w:r>
        <w:rPr>
          <w:spacing w:val="1"/>
        </w:rPr>
        <w:t xml:space="preserve"> </w:t>
      </w:r>
      <w:r>
        <w:rPr>
          <w:spacing w:val="-2"/>
        </w:rPr>
        <w:t>of</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p>
    <w:p w:rsidR="008918FA" w:rsidRDefault="008918FA" w:rsidP="008918FA">
      <w:pPr>
        <w:pStyle w:val="BodyText"/>
        <w:numPr>
          <w:ilvl w:val="3"/>
          <w:numId w:val="18"/>
        </w:numPr>
        <w:tabs>
          <w:tab w:val="left" w:pos="2595"/>
        </w:tabs>
        <w:spacing w:before="121"/>
        <w:ind w:left="2594" w:right="113"/>
        <w:jc w:val="both"/>
      </w:pPr>
      <w:r>
        <w:rPr>
          <w:spacing w:val="-1"/>
        </w:rPr>
        <w:t>set</w:t>
      </w:r>
      <w:r>
        <w:rPr>
          <w:spacing w:val="42"/>
        </w:rPr>
        <w:t xml:space="preserve"> </w:t>
      </w:r>
      <w:r>
        <w:rPr>
          <w:spacing w:val="-1"/>
        </w:rPr>
        <w:t>out</w:t>
      </w:r>
      <w:r>
        <w:rPr>
          <w:spacing w:val="42"/>
        </w:rPr>
        <w:t xml:space="preserve"> </w:t>
      </w:r>
      <w:r>
        <w:rPr>
          <w:spacing w:val="-1"/>
        </w:rPr>
        <w:t>the</w:t>
      </w:r>
      <w:r>
        <w:rPr>
          <w:spacing w:val="41"/>
        </w:rPr>
        <w:t xml:space="preserve"> </w:t>
      </w:r>
      <w:r>
        <w:rPr>
          <w:spacing w:val="-1"/>
        </w:rPr>
        <w:t>plans</w:t>
      </w:r>
      <w:r>
        <w:rPr>
          <w:spacing w:val="39"/>
        </w:rPr>
        <w:t xml:space="preserve"> </w:t>
      </w:r>
      <w:r>
        <w:t>for</w:t>
      </w:r>
      <w:r>
        <w:rPr>
          <w:spacing w:val="42"/>
        </w:rPr>
        <w:t xml:space="preserve"> </w:t>
      </w:r>
      <w:r>
        <w:rPr>
          <w:spacing w:val="-1"/>
        </w:rPr>
        <w:t>transiting</w:t>
      </w:r>
      <w:r>
        <w:rPr>
          <w:spacing w:val="43"/>
        </w:rPr>
        <w:t xml:space="preserve"> </w:t>
      </w:r>
      <w:r>
        <w:rPr>
          <w:spacing w:val="-1"/>
        </w:rPr>
        <w:t>all</w:t>
      </w:r>
      <w:r>
        <w:rPr>
          <w:spacing w:val="41"/>
        </w:rPr>
        <w:t xml:space="preserve"> </w:t>
      </w:r>
      <w:r>
        <w:rPr>
          <w:spacing w:val="-1"/>
        </w:rPr>
        <w:t>security</w:t>
      </w:r>
      <w:r>
        <w:rPr>
          <w:spacing w:val="39"/>
        </w:rPr>
        <w:t xml:space="preserve"> </w:t>
      </w:r>
      <w:r>
        <w:rPr>
          <w:spacing w:val="-1"/>
        </w:rPr>
        <w:t>arrangements</w:t>
      </w:r>
      <w:r>
        <w:rPr>
          <w:spacing w:val="41"/>
        </w:rPr>
        <w:t xml:space="preserve"> </w:t>
      </w:r>
      <w:r>
        <w:rPr>
          <w:spacing w:val="-1"/>
        </w:rPr>
        <w:t>and</w:t>
      </w:r>
      <w:r>
        <w:rPr>
          <w:spacing w:val="30"/>
        </w:rPr>
        <w:t xml:space="preserve"> </w:t>
      </w:r>
      <w:r>
        <w:rPr>
          <w:spacing w:val="-1"/>
        </w:rPr>
        <w:t>responsibilities</w:t>
      </w:r>
      <w:r>
        <w:rPr>
          <w:spacing w:val="39"/>
        </w:rPr>
        <w:t xml:space="preserve"> </w:t>
      </w:r>
      <w:r>
        <w:t>for</w:t>
      </w:r>
      <w:r>
        <w:rPr>
          <w:spacing w:val="40"/>
        </w:rPr>
        <w:t xml:space="preserve"> </w:t>
      </w:r>
      <w:r>
        <w:t>the</w:t>
      </w:r>
      <w:r>
        <w:rPr>
          <w:spacing w:val="38"/>
        </w:rPr>
        <w:t xml:space="preserve"> </w:t>
      </w:r>
      <w:r>
        <w:rPr>
          <w:spacing w:val="-2"/>
        </w:rPr>
        <w:t>Supplier</w:t>
      </w:r>
      <w:r>
        <w:rPr>
          <w:spacing w:val="40"/>
        </w:rPr>
        <w:t xml:space="preserve"> </w:t>
      </w:r>
      <w:r>
        <w:t>to</w:t>
      </w:r>
      <w:r>
        <w:rPr>
          <w:spacing w:val="39"/>
        </w:rPr>
        <w:t xml:space="preserve"> </w:t>
      </w:r>
      <w:r>
        <w:rPr>
          <w:spacing w:val="-1"/>
        </w:rPr>
        <w:t>meet</w:t>
      </w:r>
      <w:r>
        <w:rPr>
          <w:spacing w:val="40"/>
        </w:rPr>
        <w:t xml:space="preserve"> </w:t>
      </w:r>
      <w:r>
        <w:t>the</w:t>
      </w:r>
      <w:r>
        <w:rPr>
          <w:spacing w:val="37"/>
        </w:rPr>
        <w:t xml:space="preserve"> </w:t>
      </w:r>
      <w:r>
        <w:rPr>
          <w:spacing w:val="-1"/>
        </w:rPr>
        <w:t>full</w:t>
      </w:r>
      <w:r>
        <w:rPr>
          <w:spacing w:val="38"/>
        </w:rPr>
        <w:t xml:space="preserve"> </w:t>
      </w:r>
      <w:r>
        <w:rPr>
          <w:spacing w:val="-1"/>
        </w:rPr>
        <w:t>obligations</w:t>
      </w:r>
      <w:r>
        <w:rPr>
          <w:spacing w:val="39"/>
        </w:rPr>
        <w:t xml:space="preserve"> </w:t>
      </w:r>
      <w:r>
        <w:rPr>
          <w:spacing w:val="-2"/>
        </w:rPr>
        <w:t>of</w:t>
      </w:r>
      <w:r>
        <w:rPr>
          <w:spacing w:val="25"/>
        </w:rPr>
        <w:t xml:space="preserve"> </w:t>
      </w:r>
      <w:r>
        <w:t>the</w:t>
      </w:r>
      <w:r>
        <w:rPr>
          <w:spacing w:val="27"/>
        </w:rPr>
        <w:t xml:space="preserve"> </w:t>
      </w:r>
      <w:r>
        <w:rPr>
          <w:spacing w:val="-1"/>
        </w:rPr>
        <w:t>security</w:t>
      </w:r>
      <w:r>
        <w:rPr>
          <w:spacing w:val="25"/>
        </w:rPr>
        <w:t xml:space="preserve"> </w:t>
      </w:r>
      <w:r>
        <w:rPr>
          <w:spacing w:val="-1"/>
        </w:rPr>
        <w:t>requirements</w:t>
      </w:r>
      <w:r>
        <w:rPr>
          <w:spacing w:val="27"/>
        </w:rPr>
        <w:t xml:space="preserve"> </w:t>
      </w:r>
      <w:r>
        <w:rPr>
          <w:spacing w:val="-1"/>
        </w:rPr>
        <w:t>set</w:t>
      </w:r>
      <w:r>
        <w:rPr>
          <w:spacing w:val="28"/>
        </w:rPr>
        <w:t xml:space="preserve"> </w:t>
      </w:r>
      <w:r>
        <w:rPr>
          <w:spacing w:val="-2"/>
        </w:rPr>
        <w:t>out</w:t>
      </w:r>
      <w:r>
        <w:rPr>
          <w:spacing w:val="28"/>
        </w:rPr>
        <w:t xml:space="preserve"> </w:t>
      </w:r>
      <w:r>
        <w:rPr>
          <w:spacing w:val="-1"/>
        </w:rPr>
        <w:t>in</w:t>
      </w:r>
      <w:r>
        <w:rPr>
          <w:spacing w:val="27"/>
        </w:rPr>
        <w:t xml:space="preserve"> </w:t>
      </w:r>
      <w:r>
        <w:rPr>
          <w:spacing w:val="-1"/>
        </w:rPr>
        <w:t>this</w:t>
      </w:r>
      <w:r>
        <w:rPr>
          <w:spacing w:val="27"/>
        </w:rPr>
        <w:t xml:space="preserve"> </w:t>
      </w:r>
      <w:r>
        <w:rPr>
          <w:spacing w:val="-2"/>
        </w:rPr>
        <w:t>Call</w:t>
      </w:r>
      <w:r>
        <w:rPr>
          <w:spacing w:val="26"/>
        </w:rPr>
        <w:t xml:space="preserve"> </w:t>
      </w:r>
      <w:r>
        <w:rPr>
          <w:spacing w:val="-1"/>
        </w:rPr>
        <w:t>Off</w:t>
      </w:r>
      <w:r>
        <w:rPr>
          <w:spacing w:val="26"/>
        </w:rPr>
        <w:t xml:space="preserve"> </w:t>
      </w:r>
      <w:r>
        <w:rPr>
          <w:spacing w:val="-1"/>
        </w:rPr>
        <w:t>Contract</w:t>
      </w:r>
      <w:r>
        <w:rPr>
          <w:spacing w:val="28"/>
        </w:rPr>
        <w:t xml:space="preserve"> </w:t>
      </w:r>
      <w:r>
        <w:rPr>
          <w:spacing w:val="-1"/>
        </w:rPr>
        <w:t>and</w:t>
      </w:r>
      <w:r>
        <w:rPr>
          <w:spacing w:val="30"/>
        </w:rPr>
        <w:t xml:space="preserve"> </w:t>
      </w:r>
      <w:r>
        <w:t xml:space="preserve">the </w:t>
      </w:r>
      <w:r>
        <w:rPr>
          <w:spacing w:val="-1"/>
        </w:rPr>
        <w:t>Security</w:t>
      </w:r>
      <w:r>
        <w:rPr>
          <w:spacing w:val="-2"/>
        </w:rPr>
        <w:t xml:space="preserve"> Policy;</w:t>
      </w:r>
      <w:r>
        <w:rPr>
          <w:spacing w:val="2"/>
        </w:rPr>
        <w:t xml:space="preserve"> </w:t>
      </w:r>
      <w:r>
        <w:rPr>
          <w:spacing w:val="-1"/>
        </w:rPr>
        <w:t>and</w:t>
      </w:r>
    </w:p>
    <w:p w:rsidR="008918FA" w:rsidRDefault="008918FA" w:rsidP="008918FA">
      <w:pPr>
        <w:pStyle w:val="BodyText"/>
        <w:numPr>
          <w:ilvl w:val="3"/>
          <w:numId w:val="18"/>
        </w:numPr>
        <w:tabs>
          <w:tab w:val="left" w:pos="2595"/>
        </w:tabs>
        <w:ind w:left="2594" w:right="114"/>
        <w:jc w:val="both"/>
      </w:pPr>
      <w:r>
        <w:rPr>
          <w:spacing w:val="-1"/>
        </w:rPr>
        <w:t>be</w:t>
      </w:r>
      <w:r>
        <w:rPr>
          <w:spacing w:val="45"/>
        </w:rPr>
        <w:t xml:space="preserve"> </w:t>
      </w:r>
      <w:r>
        <w:rPr>
          <w:spacing w:val="-1"/>
        </w:rPr>
        <w:t>written</w:t>
      </w:r>
      <w:r>
        <w:rPr>
          <w:spacing w:val="45"/>
        </w:rPr>
        <w:t xml:space="preserve"> </w:t>
      </w:r>
      <w:r>
        <w:rPr>
          <w:spacing w:val="-1"/>
        </w:rPr>
        <w:t>in</w:t>
      </w:r>
      <w:r>
        <w:rPr>
          <w:spacing w:val="45"/>
        </w:rPr>
        <w:t xml:space="preserve"> </w:t>
      </w:r>
      <w:r>
        <w:rPr>
          <w:spacing w:val="-1"/>
        </w:rPr>
        <w:t>plain</w:t>
      </w:r>
      <w:r>
        <w:rPr>
          <w:spacing w:val="45"/>
        </w:rPr>
        <w:t xml:space="preserve"> </w:t>
      </w:r>
      <w:r>
        <w:rPr>
          <w:spacing w:val="-1"/>
        </w:rPr>
        <w:t>English</w:t>
      </w:r>
      <w:r>
        <w:rPr>
          <w:spacing w:val="45"/>
        </w:rPr>
        <w:t xml:space="preserve"> </w:t>
      </w:r>
      <w:r>
        <w:rPr>
          <w:spacing w:val="-1"/>
        </w:rPr>
        <w:t>in</w:t>
      </w:r>
      <w:r>
        <w:rPr>
          <w:spacing w:val="45"/>
        </w:rPr>
        <w:t xml:space="preserve"> </w:t>
      </w:r>
      <w:r>
        <w:rPr>
          <w:spacing w:val="-1"/>
        </w:rPr>
        <w:t>language</w:t>
      </w:r>
      <w:r>
        <w:rPr>
          <w:spacing w:val="46"/>
        </w:rPr>
        <w:t xml:space="preserve"> </w:t>
      </w:r>
      <w:r>
        <w:rPr>
          <w:spacing w:val="-2"/>
        </w:rPr>
        <w:t>which</w:t>
      </w:r>
      <w:r>
        <w:rPr>
          <w:spacing w:val="45"/>
        </w:rPr>
        <w:t xml:space="preserve"> </w:t>
      </w:r>
      <w:r>
        <w:rPr>
          <w:spacing w:val="-1"/>
        </w:rPr>
        <w:t>is</w:t>
      </w:r>
      <w:r>
        <w:rPr>
          <w:spacing w:val="45"/>
        </w:rPr>
        <w:t xml:space="preserve"> </w:t>
      </w:r>
      <w:r>
        <w:rPr>
          <w:spacing w:val="-1"/>
        </w:rPr>
        <w:t>readily</w:t>
      </w:r>
      <w:r>
        <w:rPr>
          <w:spacing w:val="49"/>
        </w:rPr>
        <w:t xml:space="preserve"> </w:t>
      </w:r>
      <w:r>
        <w:rPr>
          <w:spacing w:val="-1"/>
        </w:rPr>
        <w:t>comprehensible</w:t>
      </w:r>
      <w:r>
        <w:rPr>
          <w:spacing w:val="31"/>
        </w:rPr>
        <w:t xml:space="preserve"> </w:t>
      </w:r>
      <w:r>
        <w:t>to</w:t>
      </w:r>
      <w:r>
        <w:rPr>
          <w:spacing w:val="29"/>
        </w:rPr>
        <w:t xml:space="preserve"> </w:t>
      </w:r>
      <w:r>
        <w:t>the</w:t>
      </w:r>
      <w:r>
        <w:rPr>
          <w:spacing w:val="31"/>
        </w:rPr>
        <w:t xml:space="preserve"> </w:t>
      </w:r>
      <w:r>
        <w:rPr>
          <w:spacing w:val="-1"/>
        </w:rPr>
        <w:t>staff</w:t>
      </w:r>
      <w:r>
        <w:rPr>
          <w:spacing w:val="33"/>
        </w:rPr>
        <w:t xml:space="preserve"> </w:t>
      </w:r>
      <w:r>
        <w:rPr>
          <w:spacing w:val="-2"/>
        </w:rPr>
        <w:t>of</w:t>
      </w:r>
      <w:r>
        <w:rPr>
          <w:spacing w:val="33"/>
        </w:rPr>
        <w:t xml:space="preserve"> </w:t>
      </w:r>
      <w:r>
        <w:t>the</w:t>
      </w:r>
      <w:r>
        <w:rPr>
          <w:spacing w:val="29"/>
        </w:rPr>
        <w:t xml:space="preserve"> </w:t>
      </w:r>
      <w:r>
        <w:rPr>
          <w:spacing w:val="-2"/>
        </w:rPr>
        <w:t>Supplier</w:t>
      </w:r>
      <w:r>
        <w:rPr>
          <w:spacing w:val="33"/>
        </w:rPr>
        <w:t xml:space="preserve"> </w:t>
      </w:r>
      <w:r>
        <w:rPr>
          <w:spacing w:val="-1"/>
        </w:rPr>
        <w:t>and</w:t>
      </w:r>
      <w:r>
        <w:rPr>
          <w:spacing w:val="29"/>
        </w:rPr>
        <w:t xml:space="preserve"> </w:t>
      </w:r>
      <w:r>
        <w:t>the</w:t>
      </w:r>
      <w:r>
        <w:rPr>
          <w:spacing w:val="31"/>
        </w:rPr>
        <w:t xml:space="preserve"> </w:t>
      </w:r>
      <w:r>
        <w:rPr>
          <w:spacing w:val="-2"/>
        </w:rPr>
        <w:t>Customer</w:t>
      </w:r>
      <w:r>
        <w:rPr>
          <w:spacing w:val="39"/>
        </w:rPr>
        <w:t xml:space="preserve"> </w:t>
      </w:r>
      <w:r>
        <w:rPr>
          <w:spacing w:val="-1"/>
        </w:rPr>
        <w:t>engaged</w:t>
      </w:r>
      <w:r>
        <w:rPr>
          <w:spacing w:val="53"/>
        </w:rPr>
        <w:t xml:space="preserve"> </w:t>
      </w:r>
      <w:r>
        <w:rPr>
          <w:spacing w:val="-1"/>
        </w:rPr>
        <w:t>in</w:t>
      </w:r>
      <w:r>
        <w:rPr>
          <w:spacing w:val="51"/>
        </w:rPr>
        <w:t xml:space="preserve"> </w:t>
      </w:r>
      <w:r>
        <w:t>the</w:t>
      </w:r>
      <w:r>
        <w:rPr>
          <w:spacing w:val="53"/>
        </w:rPr>
        <w:t xml:space="preserve"> </w:t>
      </w:r>
      <w:r>
        <w:rPr>
          <w:spacing w:val="-1"/>
        </w:rPr>
        <w:t>provision</w:t>
      </w:r>
      <w:r>
        <w:rPr>
          <w:spacing w:val="53"/>
        </w:rPr>
        <w:t xml:space="preserve"> </w:t>
      </w:r>
      <w:r>
        <w:rPr>
          <w:spacing w:val="-2"/>
        </w:rPr>
        <w:t>of</w:t>
      </w:r>
      <w:r>
        <w:rPr>
          <w:spacing w:val="54"/>
        </w:rPr>
        <w:t xml:space="preserve"> </w:t>
      </w:r>
      <w:r>
        <w:t>the</w:t>
      </w:r>
      <w:r>
        <w:rPr>
          <w:spacing w:val="51"/>
        </w:rPr>
        <w:t xml:space="preserve"> </w:t>
      </w:r>
      <w:r>
        <w:rPr>
          <w:spacing w:val="-1"/>
        </w:rPr>
        <w:t>Goods</w:t>
      </w:r>
      <w:r>
        <w:rPr>
          <w:spacing w:val="54"/>
        </w:rPr>
        <w:t xml:space="preserve"> </w:t>
      </w:r>
      <w:r>
        <w:rPr>
          <w:spacing w:val="-1"/>
        </w:rPr>
        <w:t>and/or</w:t>
      </w:r>
      <w:r>
        <w:rPr>
          <w:spacing w:val="49"/>
        </w:rPr>
        <w:t xml:space="preserve"> </w:t>
      </w:r>
      <w:r>
        <w:rPr>
          <w:spacing w:val="-1"/>
        </w:rPr>
        <w:t>Services</w:t>
      </w:r>
      <w:r>
        <w:rPr>
          <w:spacing w:val="53"/>
        </w:rPr>
        <w:t xml:space="preserve"> </w:t>
      </w:r>
      <w:r>
        <w:rPr>
          <w:spacing w:val="-1"/>
        </w:rPr>
        <w:t>and</w:t>
      </w:r>
      <w:r>
        <w:rPr>
          <w:spacing w:val="20"/>
        </w:rPr>
        <w:t xml:space="preserve"> </w:t>
      </w:r>
      <w:r>
        <w:rPr>
          <w:spacing w:val="-1"/>
        </w:rPr>
        <w:t>shall</w:t>
      </w:r>
      <w:r>
        <w:rPr>
          <w:spacing w:val="17"/>
        </w:rPr>
        <w:t xml:space="preserve"> </w:t>
      </w:r>
      <w:r>
        <w:rPr>
          <w:spacing w:val="-1"/>
        </w:rPr>
        <w:t>only</w:t>
      </w:r>
      <w:r>
        <w:rPr>
          <w:spacing w:val="15"/>
        </w:rPr>
        <w:t xml:space="preserve"> </w:t>
      </w:r>
      <w:r>
        <w:rPr>
          <w:spacing w:val="-1"/>
        </w:rPr>
        <w:t>reference</w:t>
      </w:r>
      <w:r>
        <w:rPr>
          <w:spacing w:val="18"/>
        </w:rPr>
        <w:t xml:space="preserve"> </w:t>
      </w:r>
      <w:r>
        <w:rPr>
          <w:spacing w:val="-1"/>
        </w:rPr>
        <w:t>documents</w:t>
      </w:r>
      <w:r>
        <w:rPr>
          <w:spacing w:val="18"/>
        </w:rPr>
        <w:t xml:space="preserve"> </w:t>
      </w:r>
      <w:r>
        <w:rPr>
          <w:spacing w:val="-2"/>
        </w:rPr>
        <w:t>which</w:t>
      </w:r>
      <w:r>
        <w:rPr>
          <w:spacing w:val="18"/>
        </w:rPr>
        <w:t xml:space="preserve"> </w:t>
      </w:r>
      <w:r>
        <w:rPr>
          <w:spacing w:val="-1"/>
        </w:rPr>
        <w:t>are</w:t>
      </w:r>
      <w:r>
        <w:rPr>
          <w:spacing w:val="17"/>
        </w:rPr>
        <w:t xml:space="preserve"> </w:t>
      </w:r>
      <w:r>
        <w:rPr>
          <w:spacing w:val="-1"/>
        </w:rPr>
        <w:t>in</w:t>
      </w:r>
      <w:r>
        <w:rPr>
          <w:spacing w:val="17"/>
        </w:rPr>
        <w:t xml:space="preserve"> </w:t>
      </w:r>
      <w:r>
        <w:t>the</w:t>
      </w:r>
      <w:r>
        <w:rPr>
          <w:spacing w:val="15"/>
        </w:rPr>
        <w:t xml:space="preserve"> </w:t>
      </w:r>
      <w:r>
        <w:rPr>
          <w:spacing w:val="-1"/>
        </w:rPr>
        <w:t>possession</w:t>
      </w:r>
      <w:r>
        <w:rPr>
          <w:spacing w:val="17"/>
        </w:rPr>
        <w:t xml:space="preserve"> </w:t>
      </w:r>
      <w:r>
        <w:rPr>
          <w:spacing w:val="-2"/>
        </w:rPr>
        <w:t>of</w:t>
      </w:r>
      <w:r>
        <w:rPr>
          <w:spacing w:val="37"/>
        </w:rPr>
        <w:t xml:space="preserve"> </w:t>
      </w:r>
      <w:r>
        <w:t>the</w:t>
      </w:r>
      <w:r>
        <w:rPr>
          <w:spacing w:val="15"/>
        </w:rPr>
        <w:t xml:space="preserve"> </w:t>
      </w:r>
      <w:r>
        <w:rPr>
          <w:spacing w:val="-1"/>
        </w:rPr>
        <w:t>Parties</w:t>
      </w:r>
      <w:r>
        <w:rPr>
          <w:spacing w:val="15"/>
        </w:rPr>
        <w:t xml:space="preserve"> </w:t>
      </w:r>
      <w:r>
        <w:rPr>
          <w:spacing w:val="-1"/>
        </w:rPr>
        <w:t>or</w:t>
      </w:r>
      <w:r>
        <w:rPr>
          <w:spacing w:val="16"/>
        </w:rPr>
        <w:t xml:space="preserve"> </w:t>
      </w:r>
      <w:r>
        <w:rPr>
          <w:spacing w:val="-2"/>
        </w:rPr>
        <w:t>whose</w:t>
      </w:r>
      <w:r>
        <w:rPr>
          <w:spacing w:val="15"/>
        </w:rPr>
        <w:t xml:space="preserve"> </w:t>
      </w:r>
      <w:r>
        <w:rPr>
          <w:spacing w:val="-1"/>
        </w:rPr>
        <w:t>location</w:t>
      </w:r>
      <w:r>
        <w:rPr>
          <w:spacing w:val="15"/>
        </w:rPr>
        <w:t xml:space="preserve"> </w:t>
      </w:r>
      <w:r>
        <w:rPr>
          <w:spacing w:val="-1"/>
        </w:rPr>
        <w:t>is</w:t>
      </w:r>
      <w:r>
        <w:rPr>
          <w:spacing w:val="15"/>
        </w:rPr>
        <w:t xml:space="preserve"> </w:t>
      </w:r>
      <w:r>
        <w:rPr>
          <w:spacing w:val="-1"/>
        </w:rPr>
        <w:t>otherwise</w:t>
      </w:r>
      <w:r>
        <w:rPr>
          <w:spacing w:val="15"/>
        </w:rPr>
        <w:t xml:space="preserve"> </w:t>
      </w:r>
      <w:r>
        <w:rPr>
          <w:spacing w:val="-1"/>
        </w:rPr>
        <w:t>specified</w:t>
      </w:r>
      <w:r>
        <w:rPr>
          <w:spacing w:val="15"/>
        </w:rPr>
        <w:t xml:space="preserve"> </w:t>
      </w:r>
      <w:r>
        <w:rPr>
          <w:spacing w:val="-1"/>
        </w:rPr>
        <w:t>in</w:t>
      </w:r>
      <w:r>
        <w:rPr>
          <w:spacing w:val="15"/>
        </w:rPr>
        <w:t xml:space="preserve"> </w:t>
      </w:r>
      <w:r>
        <w:rPr>
          <w:spacing w:val="-1"/>
        </w:rPr>
        <w:t>this</w:t>
      </w:r>
      <w:r>
        <w:rPr>
          <w:spacing w:val="17"/>
        </w:rPr>
        <w:t xml:space="preserve"> </w:t>
      </w:r>
      <w:r>
        <w:rPr>
          <w:spacing w:val="-1"/>
        </w:rPr>
        <w:t>Call</w:t>
      </w:r>
      <w:r>
        <w:rPr>
          <w:spacing w:val="40"/>
        </w:rPr>
        <w:t xml:space="preserve"> </w:t>
      </w:r>
      <w:r>
        <w:rPr>
          <w:spacing w:val="-1"/>
        </w:rPr>
        <w:t>Off</w:t>
      </w:r>
      <w:r>
        <w:rPr>
          <w:spacing w:val="2"/>
        </w:rPr>
        <w:t xml:space="preserve"> </w:t>
      </w:r>
      <w:r>
        <w:rPr>
          <w:spacing w:val="-2"/>
        </w:rPr>
        <w:t>Schedule.</w:t>
      </w:r>
    </w:p>
    <w:p w:rsidR="008918FA" w:rsidRDefault="008918FA" w:rsidP="008918FA">
      <w:pPr>
        <w:pStyle w:val="BodyText"/>
        <w:numPr>
          <w:ilvl w:val="1"/>
          <w:numId w:val="18"/>
        </w:numPr>
        <w:tabs>
          <w:tab w:val="left" w:pos="689"/>
        </w:tabs>
        <w:spacing w:before="121"/>
        <w:ind w:left="688"/>
        <w:jc w:val="left"/>
      </w:pPr>
      <w:r>
        <w:rPr>
          <w:spacing w:val="-2"/>
        </w:rPr>
        <w:t>Development</w:t>
      </w:r>
      <w:r>
        <w:rPr>
          <w:spacing w:val="2"/>
        </w:rPr>
        <w:t xml:space="preserve"> </w:t>
      </w:r>
      <w:r>
        <w:rPr>
          <w:spacing w:val="-2"/>
        </w:rPr>
        <w:t>of</w:t>
      </w:r>
      <w:r>
        <w:rPr>
          <w:spacing w:val="2"/>
        </w:rPr>
        <w:t xml:space="preserve"> </w:t>
      </w:r>
      <w:r>
        <w:t>the</w:t>
      </w:r>
      <w:r>
        <w:rPr>
          <w:spacing w:val="-2"/>
        </w:rPr>
        <w:t xml:space="preserve"> </w:t>
      </w:r>
      <w:r>
        <w:rPr>
          <w:spacing w:val="-1"/>
        </w:rPr>
        <w:t>Security</w:t>
      </w:r>
      <w:r>
        <w:rPr>
          <w:spacing w:val="-2"/>
        </w:rPr>
        <w:t xml:space="preserve"> </w:t>
      </w:r>
      <w:r>
        <w:rPr>
          <w:spacing w:val="-1"/>
        </w:rPr>
        <w:t>Management</w:t>
      </w:r>
      <w:r>
        <w:t xml:space="preserve"> </w:t>
      </w:r>
      <w:r>
        <w:rPr>
          <w:spacing w:val="-2"/>
        </w:rPr>
        <w:t>Plan</w:t>
      </w:r>
    </w:p>
    <w:p w:rsidR="008918FA" w:rsidRDefault="008918FA" w:rsidP="008918FA">
      <w:pPr>
        <w:pStyle w:val="BodyText"/>
        <w:numPr>
          <w:ilvl w:val="2"/>
          <w:numId w:val="18"/>
        </w:numPr>
        <w:tabs>
          <w:tab w:val="left" w:pos="1887"/>
        </w:tabs>
        <w:ind w:left="1886" w:right="114"/>
        <w:jc w:val="both"/>
      </w:pPr>
      <w:bookmarkStart w:id="402" w:name="_bookmark325"/>
      <w:bookmarkEnd w:id="402"/>
      <w:r>
        <w:rPr>
          <w:spacing w:val="-1"/>
        </w:rPr>
        <w:t>Within</w:t>
      </w:r>
      <w:r>
        <w:rPr>
          <w:spacing w:val="44"/>
        </w:rPr>
        <w:t xml:space="preserve"> </w:t>
      </w:r>
      <w:r>
        <w:rPr>
          <w:spacing w:val="-1"/>
        </w:rPr>
        <w:t>twenty</w:t>
      </w:r>
      <w:r>
        <w:rPr>
          <w:spacing w:val="41"/>
        </w:rPr>
        <w:t xml:space="preserve"> </w:t>
      </w:r>
      <w:r>
        <w:rPr>
          <w:spacing w:val="-1"/>
        </w:rPr>
        <w:t>(20)</w:t>
      </w:r>
      <w:r>
        <w:rPr>
          <w:spacing w:val="38"/>
        </w:rPr>
        <w:t xml:space="preserve"> </w:t>
      </w:r>
      <w:r>
        <w:rPr>
          <w:spacing w:val="-1"/>
        </w:rPr>
        <w:t>Working</w:t>
      </w:r>
      <w:r>
        <w:rPr>
          <w:spacing w:val="46"/>
        </w:rPr>
        <w:t xml:space="preserve"> </w:t>
      </w:r>
      <w:r>
        <w:rPr>
          <w:spacing w:val="-2"/>
        </w:rPr>
        <w:t>Days</w:t>
      </w:r>
      <w:r>
        <w:rPr>
          <w:spacing w:val="44"/>
        </w:rPr>
        <w:t xml:space="preserve"> </w:t>
      </w:r>
      <w:r>
        <w:rPr>
          <w:spacing w:val="-1"/>
        </w:rPr>
        <w:t>after</w:t>
      </w:r>
      <w:r>
        <w:rPr>
          <w:spacing w:val="42"/>
        </w:rPr>
        <w:t xml:space="preserve"> </w:t>
      </w:r>
      <w:r>
        <w:t>the</w:t>
      </w:r>
      <w:r>
        <w:rPr>
          <w:spacing w:val="44"/>
        </w:rPr>
        <w:t xml:space="preserve"> </w:t>
      </w:r>
      <w:r>
        <w:rPr>
          <w:spacing w:val="-2"/>
        </w:rPr>
        <w:t>Call</w:t>
      </w:r>
      <w:r>
        <w:rPr>
          <w:spacing w:val="43"/>
        </w:rPr>
        <w:t xml:space="preserve"> </w:t>
      </w:r>
      <w:r>
        <w:rPr>
          <w:spacing w:val="-1"/>
        </w:rPr>
        <w:t>Off</w:t>
      </w:r>
      <w:r>
        <w:rPr>
          <w:spacing w:val="45"/>
        </w:rPr>
        <w:t xml:space="preserve"> </w:t>
      </w:r>
      <w:r>
        <w:rPr>
          <w:spacing w:val="-2"/>
        </w:rPr>
        <w:t>Commencement</w:t>
      </w:r>
      <w:r>
        <w:rPr>
          <w:spacing w:val="65"/>
        </w:rPr>
        <w:t xml:space="preserve"> </w:t>
      </w:r>
      <w:r>
        <w:rPr>
          <w:spacing w:val="-1"/>
        </w:rPr>
        <w:t>Date</w:t>
      </w:r>
      <w:r>
        <w:rPr>
          <w:spacing w:val="46"/>
        </w:rPr>
        <w:t xml:space="preserve"> </w:t>
      </w:r>
      <w:r>
        <w:rPr>
          <w:spacing w:val="-1"/>
        </w:rPr>
        <w:t>(or</w:t>
      </w:r>
      <w:r>
        <w:rPr>
          <w:spacing w:val="47"/>
        </w:rPr>
        <w:t xml:space="preserve"> </w:t>
      </w:r>
      <w:r>
        <w:rPr>
          <w:spacing w:val="-1"/>
        </w:rPr>
        <w:t>such</w:t>
      </w:r>
      <w:r>
        <w:rPr>
          <w:spacing w:val="44"/>
        </w:rPr>
        <w:t xml:space="preserve"> </w:t>
      </w:r>
      <w:r>
        <w:rPr>
          <w:spacing w:val="-1"/>
        </w:rPr>
        <w:t>other</w:t>
      </w:r>
      <w:r>
        <w:rPr>
          <w:spacing w:val="47"/>
        </w:rPr>
        <w:t xml:space="preserve"> </w:t>
      </w:r>
      <w:r>
        <w:rPr>
          <w:spacing w:val="-2"/>
        </w:rPr>
        <w:t>period</w:t>
      </w:r>
      <w:r>
        <w:rPr>
          <w:spacing w:val="46"/>
        </w:rPr>
        <w:t xml:space="preserve"> </w:t>
      </w:r>
      <w:r>
        <w:rPr>
          <w:spacing w:val="-1"/>
        </w:rPr>
        <w:t>agreed</w:t>
      </w:r>
      <w:r>
        <w:rPr>
          <w:spacing w:val="46"/>
        </w:rPr>
        <w:t xml:space="preserve"> </w:t>
      </w:r>
      <w:r>
        <w:rPr>
          <w:spacing w:val="-1"/>
        </w:rPr>
        <w:t>by</w:t>
      </w:r>
      <w:r>
        <w:rPr>
          <w:spacing w:val="45"/>
        </w:rPr>
        <w:t xml:space="preserve"> </w:t>
      </w:r>
      <w:r>
        <w:t>the</w:t>
      </w:r>
      <w:r>
        <w:rPr>
          <w:spacing w:val="46"/>
        </w:rPr>
        <w:t xml:space="preserve"> </w:t>
      </w:r>
      <w:r>
        <w:rPr>
          <w:spacing w:val="-2"/>
        </w:rPr>
        <w:t>Parties</w:t>
      </w:r>
      <w:r>
        <w:rPr>
          <w:spacing w:val="46"/>
        </w:rPr>
        <w:t xml:space="preserve"> </w:t>
      </w:r>
      <w:r>
        <w:rPr>
          <w:spacing w:val="-1"/>
        </w:rPr>
        <w:t>in</w:t>
      </w:r>
      <w:r>
        <w:rPr>
          <w:spacing w:val="46"/>
        </w:rPr>
        <w:t xml:space="preserve"> </w:t>
      </w:r>
      <w:r>
        <w:rPr>
          <w:spacing w:val="-1"/>
        </w:rPr>
        <w:t>writing)</w:t>
      </w:r>
      <w:r>
        <w:rPr>
          <w:spacing w:val="45"/>
        </w:rPr>
        <w:t xml:space="preserve"> </w:t>
      </w:r>
      <w:r>
        <w:rPr>
          <w:spacing w:val="-1"/>
        </w:rPr>
        <w:t>and</w:t>
      </w:r>
      <w:r>
        <w:rPr>
          <w:spacing w:val="46"/>
        </w:rPr>
        <w:t xml:space="preserve"> </w:t>
      </w:r>
      <w:r>
        <w:rPr>
          <w:spacing w:val="-1"/>
        </w:rPr>
        <w:t>in</w:t>
      </w:r>
      <w:r>
        <w:rPr>
          <w:spacing w:val="39"/>
        </w:rPr>
        <w:t xml:space="preserve"> </w:t>
      </w:r>
      <w:r>
        <w:rPr>
          <w:spacing w:val="-1"/>
        </w:rPr>
        <w:t>accordance</w:t>
      </w:r>
      <w:r>
        <w:rPr>
          <w:spacing w:val="45"/>
        </w:rPr>
        <w:t xml:space="preserve"> </w:t>
      </w:r>
      <w:r>
        <w:rPr>
          <w:spacing w:val="-2"/>
        </w:rPr>
        <w:t>with</w:t>
      </w:r>
      <w:r>
        <w:rPr>
          <w:spacing w:val="45"/>
        </w:rPr>
        <w:t xml:space="preserve"> </w:t>
      </w:r>
      <w:r>
        <w:rPr>
          <w:spacing w:val="-1"/>
        </w:rPr>
        <w:t>paragraph</w:t>
      </w:r>
      <w:r>
        <w:rPr>
          <w:spacing w:val="45"/>
        </w:rPr>
        <w:t xml:space="preserve"> </w:t>
      </w:r>
      <w:hyperlink w:anchor="_bookmark328" w:history="1">
        <w:r>
          <w:t>4.4</w:t>
        </w:r>
      </w:hyperlink>
      <w:r>
        <w:rPr>
          <w:spacing w:val="43"/>
        </w:rPr>
        <w:t xml:space="preserve"> </w:t>
      </w:r>
      <w:r>
        <w:rPr>
          <w:spacing w:val="-1"/>
        </w:rPr>
        <w:t>(Amendment</w:t>
      </w:r>
      <w:r>
        <w:rPr>
          <w:spacing w:val="44"/>
        </w:rPr>
        <w:t xml:space="preserve"> </w:t>
      </w:r>
      <w:r>
        <w:rPr>
          <w:spacing w:val="-1"/>
        </w:rPr>
        <w:t>and</w:t>
      </w:r>
      <w:r>
        <w:rPr>
          <w:spacing w:val="45"/>
        </w:rPr>
        <w:t xml:space="preserve"> </w:t>
      </w:r>
      <w:r>
        <w:rPr>
          <w:spacing w:val="-2"/>
        </w:rPr>
        <w:t>Revision),</w:t>
      </w:r>
      <w:r>
        <w:rPr>
          <w:spacing w:val="47"/>
        </w:rPr>
        <w:t xml:space="preserve"> </w:t>
      </w:r>
      <w:r>
        <w:rPr>
          <w:spacing w:val="-1"/>
        </w:rPr>
        <w:t>the</w:t>
      </w:r>
      <w:r>
        <w:rPr>
          <w:spacing w:val="40"/>
        </w:rPr>
        <w:t xml:space="preserve"> </w:t>
      </w:r>
      <w:r>
        <w:rPr>
          <w:spacing w:val="-2"/>
        </w:rPr>
        <w:t>Supplier</w:t>
      </w:r>
      <w:r>
        <w:rPr>
          <w:spacing w:val="14"/>
        </w:rPr>
        <w:t xml:space="preserve"> </w:t>
      </w:r>
      <w:r>
        <w:rPr>
          <w:spacing w:val="-1"/>
        </w:rPr>
        <w:t>shall</w:t>
      </w:r>
      <w:r>
        <w:rPr>
          <w:spacing w:val="12"/>
        </w:rPr>
        <w:t xml:space="preserve"> </w:t>
      </w:r>
      <w:r>
        <w:rPr>
          <w:spacing w:val="-1"/>
        </w:rPr>
        <w:t>prepare</w:t>
      </w:r>
      <w:r>
        <w:rPr>
          <w:spacing w:val="12"/>
        </w:rPr>
        <w:t xml:space="preserve"> </w:t>
      </w:r>
      <w:r>
        <w:rPr>
          <w:spacing w:val="-2"/>
        </w:rPr>
        <w:t>and</w:t>
      </w:r>
      <w:r>
        <w:rPr>
          <w:spacing w:val="12"/>
        </w:rPr>
        <w:t xml:space="preserve"> </w:t>
      </w:r>
      <w:r>
        <w:rPr>
          <w:spacing w:val="-2"/>
        </w:rPr>
        <w:t>deliver</w:t>
      </w:r>
      <w:r>
        <w:rPr>
          <w:spacing w:val="14"/>
        </w:rPr>
        <w:t xml:space="preserve"> </w:t>
      </w:r>
      <w:r>
        <w:t>to</w:t>
      </w:r>
      <w:r>
        <w:rPr>
          <w:spacing w:val="12"/>
        </w:rPr>
        <w:t xml:space="preserve"> </w:t>
      </w:r>
      <w:r>
        <w:t>the</w:t>
      </w:r>
      <w:r>
        <w:rPr>
          <w:spacing w:val="10"/>
        </w:rPr>
        <w:t xml:space="preserve"> </w:t>
      </w:r>
      <w:r>
        <w:rPr>
          <w:spacing w:val="-2"/>
        </w:rPr>
        <w:t>Customer</w:t>
      </w:r>
      <w:r>
        <w:rPr>
          <w:spacing w:val="11"/>
        </w:rPr>
        <w:t xml:space="preserve"> </w:t>
      </w:r>
      <w:r>
        <w:t>for</w:t>
      </w:r>
      <w:r>
        <w:rPr>
          <w:spacing w:val="14"/>
        </w:rPr>
        <w:t xml:space="preserve"> </w:t>
      </w:r>
      <w:r>
        <w:rPr>
          <w:spacing w:val="-2"/>
        </w:rPr>
        <w:t>Approval</w:t>
      </w:r>
      <w:r>
        <w:rPr>
          <w:spacing w:val="12"/>
        </w:rPr>
        <w:t xml:space="preserve"> </w:t>
      </w:r>
      <w:r>
        <w:t>a</w:t>
      </w:r>
      <w:r>
        <w:rPr>
          <w:spacing w:val="10"/>
        </w:rPr>
        <w:t xml:space="preserve"> </w:t>
      </w:r>
      <w:r>
        <w:rPr>
          <w:spacing w:val="-1"/>
        </w:rPr>
        <w:t>fully</w:t>
      </w:r>
      <w:r>
        <w:rPr>
          <w:spacing w:val="69"/>
        </w:rPr>
        <w:t xml:space="preserve"> </w:t>
      </w:r>
      <w:r>
        <w:rPr>
          <w:spacing w:val="-1"/>
        </w:rPr>
        <w:t>complete</w:t>
      </w:r>
      <w:r>
        <w:rPr>
          <w:spacing w:val="55"/>
        </w:rPr>
        <w:t xml:space="preserve"> </w:t>
      </w:r>
      <w:r>
        <w:rPr>
          <w:spacing w:val="-1"/>
        </w:rPr>
        <w:t>and</w:t>
      </w:r>
      <w:r>
        <w:rPr>
          <w:spacing w:val="55"/>
        </w:rPr>
        <w:t xml:space="preserve"> </w:t>
      </w:r>
      <w:r>
        <w:rPr>
          <w:spacing w:val="-1"/>
        </w:rPr>
        <w:t>up</w:t>
      </w:r>
      <w:r>
        <w:rPr>
          <w:spacing w:val="53"/>
        </w:rPr>
        <w:t xml:space="preserve"> </w:t>
      </w:r>
      <w:r>
        <w:t>to</w:t>
      </w:r>
      <w:r>
        <w:rPr>
          <w:spacing w:val="55"/>
        </w:rPr>
        <w:t xml:space="preserve"> </w:t>
      </w:r>
      <w:r>
        <w:rPr>
          <w:spacing w:val="-1"/>
        </w:rPr>
        <w:t>date</w:t>
      </w:r>
      <w:r>
        <w:rPr>
          <w:spacing w:val="55"/>
        </w:rPr>
        <w:t xml:space="preserve"> </w:t>
      </w:r>
      <w:r>
        <w:rPr>
          <w:spacing w:val="-1"/>
        </w:rPr>
        <w:t>Security</w:t>
      </w:r>
      <w:r>
        <w:rPr>
          <w:spacing w:val="53"/>
        </w:rPr>
        <w:t xml:space="preserve"> </w:t>
      </w:r>
      <w:r>
        <w:rPr>
          <w:spacing w:val="-1"/>
        </w:rPr>
        <w:t>Management</w:t>
      </w:r>
      <w:r>
        <w:rPr>
          <w:spacing w:val="58"/>
        </w:rPr>
        <w:t xml:space="preserve"> </w:t>
      </w:r>
      <w:r>
        <w:rPr>
          <w:spacing w:val="-1"/>
        </w:rPr>
        <w:t>Plan</w:t>
      </w:r>
      <w:r>
        <w:rPr>
          <w:spacing w:val="55"/>
        </w:rPr>
        <w:t xml:space="preserve"> </w:t>
      </w:r>
      <w:r>
        <w:rPr>
          <w:spacing w:val="-2"/>
        </w:rPr>
        <w:t>which</w:t>
      </w:r>
      <w:r>
        <w:rPr>
          <w:spacing w:val="58"/>
        </w:rPr>
        <w:t xml:space="preserve"> </w:t>
      </w:r>
      <w:r>
        <w:rPr>
          <w:spacing w:val="-1"/>
        </w:rPr>
        <w:t>will</w:t>
      </w:r>
      <w:r>
        <w:rPr>
          <w:spacing w:val="55"/>
        </w:rPr>
        <w:t xml:space="preserve"> </w:t>
      </w:r>
      <w:r>
        <w:rPr>
          <w:spacing w:val="-1"/>
        </w:rPr>
        <w:t>be</w:t>
      </w:r>
      <w:r>
        <w:rPr>
          <w:spacing w:val="30"/>
        </w:rPr>
        <w:t xml:space="preserve"> </w:t>
      </w:r>
      <w:r>
        <w:rPr>
          <w:spacing w:val="-1"/>
        </w:rPr>
        <w:t>based</w:t>
      </w:r>
      <w:r>
        <w:t xml:space="preserve"> </w:t>
      </w:r>
      <w:r>
        <w:rPr>
          <w:spacing w:val="-1"/>
        </w:rPr>
        <w:t>on</w:t>
      </w:r>
      <w:r>
        <w:rPr>
          <w:spacing w:val="-2"/>
        </w:rPr>
        <w:t xml:space="preserve"> </w:t>
      </w:r>
      <w:r>
        <w:t xml:space="preserve">the </w:t>
      </w:r>
      <w:r>
        <w:rPr>
          <w:spacing w:val="-1"/>
        </w:rPr>
        <w:t>draft</w:t>
      </w:r>
      <w:r>
        <w:rPr>
          <w:spacing w:val="2"/>
        </w:rPr>
        <w:t xml:space="preserve"> </w:t>
      </w:r>
      <w:r>
        <w:rPr>
          <w:spacing w:val="-1"/>
        </w:rPr>
        <w:t>Security</w:t>
      </w:r>
      <w:r>
        <w:rPr>
          <w:spacing w:val="1"/>
        </w:rPr>
        <w:t xml:space="preserve"> </w:t>
      </w:r>
      <w:r>
        <w:rPr>
          <w:spacing w:val="-1"/>
        </w:rPr>
        <w:t>Management</w:t>
      </w:r>
      <w:r>
        <w:rPr>
          <w:spacing w:val="2"/>
        </w:rPr>
        <w:t xml:space="preserve"> </w:t>
      </w:r>
      <w:r>
        <w:rPr>
          <w:spacing w:val="-2"/>
        </w:rPr>
        <w:t>Plan.</w:t>
      </w:r>
    </w:p>
    <w:p w:rsidR="008918FA" w:rsidRDefault="008918FA" w:rsidP="008918FA">
      <w:pPr>
        <w:pStyle w:val="BodyText"/>
        <w:numPr>
          <w:ilvl w:val="2"/>
          <w:numId w:val="18"/>
        </w:numPr>
        <w:tabs>
          <w:tab w:val="left" w:pos="1887"/>
        </w:tabs>
        <w:spacing w:before="121"/>
        <w:ind w:left="1886" w:right="112"/>
        <w:jc w:val="both"/>
      </w:pPr>
      <w:bookmarkStart w:id="403" w:name="_bookmark327"/>
      <w:bookmarkEnd w:id="403"/>
      <w:r>
        <w:rPr>
          <w:spacing w:val="-1"/>
        </w:rPr>
        <w:t>If</w:t>
      </w:r>
      <w:r>
        <w:rPr>
          <w:spacing w:val="36"/>
        </w:rPr>
        <w:t xml:space="preserve"> </w:t>
      </w:r>
      <w:r>
        <w:t>the</w:t>
      </w:r>
      <w:r>
        <w:rPr>
          <w:spacing w:val="33"/>
        </w:rPr>
        <w:t xml:space="preserve"> </w:t>
      </w:r>
      <w:r>
        <w:rPr>
          <w:spacing w:val="-1"/>
        </w:rPr>
        <w:t>Security</w:t>
      </w:r>
      <w:r>
        <w:rPr>
          <w:spacing w:val="30"/>
        </w:rPr>
        <w:t xml:space="preserve"> </w:t>
      </w:r>
      <w:r>
        <w:rPr>
          <w:spacing w:val="-1"/>
        </w:rPr>
        <w:t>Management</w:t>
      </w:r>
      <w:r>
        <w:rPr>
          <w:spacing w:val="34"/>
        </w:rPr>
        <w:t xml:space="preserve"> </w:t>
      </w:r>
      <w:r>
        <w:rPr>
          <w:spacing w:val="-1"/>
        </w:rPr>
        <w:t>Plan</w:t>
      </w:r>
      <w:r>
        <w:rPr>
          <w:spacing w:val="34"/>
        </w:rPr>
        <w:t xml:space="preserve"> </w:t>
      </w:r>
      <w:r>
        <w:rPr>
          <w:spacing w:val="-1"/>
        </w:rPr>
        <w:t>submitted</w:t>
      </w:r>
      <w:r>
        <w:rPr>
          <w:spacing w:val="30"/>
        </w:rPr>
        <w:t xml:space="preserve"> </w:t>
      </w:r>
      <w:r>
        <w:t>to</w:t>
      </w:r>
      <w:r>
        <w:rPr>
          <w:spacing w:val="34"/>
        </w:rPr>
        <w:t xml:space="preserve"> </w:t>
      </w:r>
      <w:r>
        <w:t>the</w:t>
      </w:r>
      <w:r>
        <w:rPr>
          <w:spacing w:val="32"/>
        </w:rPr>
        <w:t xml:space="preserve"> </w:t>
      </w:r>
      <w:r>
        <w:rPr>
          <w:spacing w:val="-1"/>
        </w:rPr>
        <w:t>Customer</w:t>
      </w:r>
      <w:r>
        <w:rPr>
          <w:spacing w:val="34"/>
        </w:rPr>
        <w:t xml:space="preserve"> </w:t>
      </w:r>
      <w:r>
        <w:rPr>
          <w:spacing w:val="-1"/>
        </w:rPr>
        <w:t>in</w:t>
      </w:r>
      <w:r>
        <w:rPr>
          <w:spacing w:val="30"/>
        </w:rPr>
        <w:t xml:space="preserve"> </w:t>
      </w:r>
      <w:r>
        <w:rPr>
          <w:spacing w:val="-1"/>
        </w:rPr>
        <w:t>accordance</w:t>
      </w:r>
      <w:r>
        <w:rPr>
          <w:spacing w:val="32"/>
        </w:rPr>
        <w:t xml:space="preserve"> </w:t>
      </w:r>
      <w:r>
        <w:rPr>
          <w:spacing w:val="-2"/>
        </w:rPr>
        <w:t>with</w:t>
      </w:r>
      <w:r>
        <w:rPr>
          <w:spacing w:val="31"/>
        </w:rPr>
        <w:t xml:space="preserve"> </w:t>
      </w:r>
      <w:r>
        <w:rPr>
          <w:spacing w:val="-2"/>
        </w:rPr>
        <w:t>paragraph</w:t>
      </w:r>
      <w:r>
        <w:rPr>
          <w:spacing w:val="32"/>
        </w:rPr>
        <w:t xml:space="preserve"> </w:t>
      </w:r>
      <w:hyperlink w:anchor="_bookmark325" w:history="1">
        <w:r>
          <w:rPr>
            <w:spacing w:val="-1"/>
          </w:rPr>
          <w:t>4.3.1</w:t>
        </w:r>
      </w:hyperlink>
      <w:r>
        <w:rPr>
          <w:spacing w:val="-1"/>
        </w:rPr>
        <w:t>,</w:t>
      </w:r>
      <w:r>
        <w:rPr>
          <w:spacing w:val="33"/>
        </w:rPr>
        <w:t xml:space="preserve"> </w:t>
      </w:r>
      <w:r>
        <w:rPr>
          <w:spacing w:val="-2"/>
        </w:rPr>
        <w:t>or</w:t>
      </w:r>
      <w:r>
        <w:rPr>
          <w:spacing w:val="33"/>
        </w:rPr>
        <w:t xml:space="preserve"> </w:t>
      </w:r>
      <w:r>
        <w:rPr>
          <w:spacing w:val="-1"/>
        </w:rPr>
        <w:t>any</w:t>
      </w:r>
      <w:r>
        <w:rPr>
          <w:spacing w:val="30"/>
        </w:rPr>
        <w:t xml:space="preserve"> </w:t>
      </w:r>
      <w:r>
        <w:rPr>
          <w:spacing w:val="-1"/>
        </w:rPr>
        <w:t>subsequent</w:t>
      </w:r>
      <w:r>
        <w:rPr>
          <w:spacing w:val="33"/>
        </w:rPr>
        <w:t xml:space="preserve"> </w:t>
      </w:r>
      <w:r>
        <w:rPr>
          <w:spacing w:val="-2"/>
        </w:rPr>
        <w:t>revision</w:t>
      </w:r>
      <w:r>
        <w:rPr>
          <w:spacing w:val="32"/>
        </w:rPr>
        <w:t xml:space="preserve"> </w:t>
      </w:r>
      <w:r>
        <w:t>to</w:t>
      </w:r>
      <w:r>
        <w:rPr>
          <w:spacing w:val="31"/>
        </w:rPr>
        <w:t xml:space="preserve"> </w:t>
      </w:r>
      <w:r>
        <w:rPr>
          <w:spacing w:val="-1"/>
        </w:rPr>
        <w:t>it</w:t>
      </w:r>
      <w:r>
        <w:rPr>
          <w:spacing w:val="33"/>
        </w:rPr>
        <w:t xml:space="preserve"> </w:t>
      </w:r>
      <w:r>
        <w:rPr>
          <w:spacing w:val="-1"/>
        </w:rPr>
        <w:t>in</w:t>
      </w:r>
      <w:r>
        <w:rPr>
          <w:spacing w:val="57"/>
        </w:rPr>
        <w:t xml:space="preserve"> </w:t>
      </w:r>
      <w:r>
        <w:rPr>
          <w:spacing w:val="-1"/>
        </w:rPr>
        <w:t>accordance</w:t>
      </w:r>
      <w:r>
        <w:rPr>
          <w:spacing w:val="6"/>
        </w:rPr>
        <w:t xml:space="preserve"> </w:t>
      </w:r>
      <w:r>
        <w:rPr>
          <w:spacing w:val="-2"/>
        </w:rPr>
        <w:t>with</w:t>
      </w:r>
      <w:r>
        <w:rPr>
          <w:spacing w:val="5"/>
        </w:rPr>
        <w:t xml:space="preserve"> </w:t>
      </w:r>
      <w:r>
        <w:rPr>
          <w:spacing w:val="-1"/>
        </w:rPr>
        <w:t>paragraph</w:t>
      </w:r>
      <w:r>
        <w:rPr>
          <w:spacing w:val="5"/>
        </w:rPr>
        <w:t xml:space="preserve"> </w:t>
      </w:r>
      <w:hyperlink w:anchor="_bookmark328" w:history="1">
        <w:r>
          <w:t>4.4</w:t>
        </w:r>
      </w:hyperlink>
      <w:r>
        <w:rPr>
          <w:spacing w:val="4"/>
        </w:rPr>
        <w:t xml:space="preserve"> </w:t>
      </w:r>
      <w:r>
        <w:rPr>
          <w:spacing w:val="-2"/>
        </w:rPr>
        <w:t>(Amendment</w:t>
      </w:r>
      <w:r>
        <w:rPr>
          <w:spacing w:val="7"/>
        </w:rPr>
        <w:t xml:space="preserve"> </w:t>
      </w:r>
      <w:r>
        <w:rPr>
          <w:spacing w:val="-1"/>
        </w:rPr>
        <w:t>and</w:t>
      </w:r>
      <w:r>
        <w:rPr>
          <w:spacing w:val="5"/>
        </w:rPr>
        <w:t xml:space="preserve"> </w:t>
      </w:r>
      <w:r>
        <w:rPr>
          <w:spacing w:val="-2"/>
        </w:rPr>
        <w:t>Revision),</w:t>
      </w:r>
      <w:r>
        <w:rPr>
          <w:spacing w:val="7"/>
        </w:rPr>
        <w:t xml:space="preserve"> </w:t>
      </w:r>
      <w:r>
        <w:rPr>
          <w:spacing w:val="-1"/>
        </w:rPr>
        <w:t>is</w:t>
      </w:r>
      <w:r>
        <w:rPr>
          <w:spacing w:val="55"/>
        </w:rPr>
        <w:t xml:space="preserve"> </w:t>
      </w:r>
      <w:r>
        <w:rPr>
          <w:spacing w:val="-1"/>
        </w:rPr>
        <w:t>Approved</w:t>
      </w:r>
      <w:r>
        <w:rPr>
          <w:spacing w:val="19"/>
        </w:rPr>
        <w:t xml:space="preserve"> </w:t>
      </w:r>
      <w:r>
        <w:rPr>
          <w:spacing w:val="-1"/>
        </w:rPr>
        <w:t>it</w:t>
      </w:r>
      <w:r>
        <w:rPr>
          <w:spacing w:val="23"/>
        </w:rPr>
        <w:t xml:space="preserve"> </w:t>
      </w:r>
      <w:r>
        <w:rPr>
          <w:spacing w:val="-2"/>
        </w:rPr>
        <w:t>will</w:t>
      </w:r>
      <w:r>
        <w:rPr>
          <w:spacing w:val="19"/>
        </w:rPr>
        <w:t xml:space="preserve"> </w:t>
      </w:r>
      <w:r>
        <w:rPr>
          <w:spacing w:val="-1"/>
        </w:rPr>
        <w:t>be</w:t>
      </w:r>
      <w:r>
        <w:rPr>
          <w:spacing w:val="20"/>
        </w:rPr>
        <w:t xml:space="preserve"> </w:t>
      </w:r>
      <w:r>
        <w:rPr>
          <w:spacing w:val="-1"/>
        </w:rPr>
        <w:t>adopted</w:t>
      </w:r>
      <w:r>
        <w:rPr>
          <w:spacing w:val="20"/>
        </w:rPr>
        <w:t xml:space="preserve"> </w:t>
      </w:r>
      <w:r>
        <w:rPr>
          <w:spacing w:val="-1"/>
        </w:rPr>
        <w:t>immediately</w:t>
      </w:r>
      <w:r>
        <w:rPr>
          <w:spacing w:val="18"/>
        </w:rPr>
        <w:t xml:space="preserve"> </w:t>
      </w:r>
      <w:r>
        <w:rPr>
          <w:spacing w:val="-1"/>
        </w:rPr>
        <w:t>and</w:t>
      </w:r>
      <w:r>
        <w:rPr>
          <w:spacing w:val="20"/>
        </w:rPr>
        <w:t xml:space="preserve"> </w:t>
      </w:r>
      <w:r>
        <w:rPr>
          <w:spacing w:val="-2"/>
        </w:rPr>
        <w:t>will</w:t>
      </w:r>
      <w:r>
        <w:rPr>
          <w:spacing w:val="21"/>
        </w:rPr>
        <w:t xml:space="preserve"> </w:t>
      </w:r>
      <w:r>
        <w:rPr>
          <w:spacing w:val="-1"/>
        </w:rPr>
        <w:t>replace</w:t>
      </w:r>
      <w:r>
        <w:rPr>
          <w:spacing w:val="20"/>
        </w:rPr>
        <w:t xml:space="preserve"> </w:t>
      </w:r>
      <w:r>
        <w:t>the</w:t>
      </w:r>
      <w:r>
        <w:rPr>
          <w:spacing w:val="20"/>
        </w:rPr>
        <w:t xml:space="preserve"> </w:t>
      </w:r>
      <w:r>
        <w:rPr>
          <w:spacing w:val="-2"/>
        </w:rPr>
        <w:t>previous</w:t>
      </w:r>
      <w:r>
        <w:rPr>
          <w:spacing w:val="44"/>
        </w:rPr>
        <w:t xml:space="preserve"> </w:t>
      </w:r>
      <w:r>
        <w:rPr>
          <w:spacing w:val="-1"/>
        </w:rPr>
        <w:t>version</w:t>
      </w:r>
      <w:r>
        <w:rPr>
          <w:spacing w:val="12"/>
        </w:rPr>
        <w:t xml:space="preserve"> </w:t>
      </w:r>
      <w:r>
        <w:rPr>
          <w:spacing w:val="-1"/>
        </w:rPr>
        <w:t>of</w:t>
      </w:r>
      <w:r>
        <w:rPr>
          <w:spacing w:val="14"/>
        </w:rPr>
        <w:t xml:space="preserve"> </w:t>
      </w:r>
      <w:r>
        <w:t>the</w:t>
      </w:r>
      <w:r>
        <w:rPr>
          <w:spacing w:val="10"/>
        </w:rPr>
        <w:t xml:space="preserve"> </w:t>
      </w:r>
      <w:r>
        <w:rPr>
          <w:spacing w:val="-1"/>
        </w:rPr>
        <w:t>Security</w:t>
      </w:r>
      <w:r>
        <w:rPr>
          <w:spacing w:val="8"/>
        </w:rPr>
        <w:t xml:space="preserve"> </w:t>
      </w:r>
      <w:r>
        <w:rPr>
          <w:spacing w:val="-1"/>
        </w:rPr>
        <w:t>Management</w:t>
      </w:r>
      <w:r>
        <w:rPr>
          <w:spacing w:val="14"/>
        </w:rPr>
        <w:t xml:space="preserve"> </w:t>
      </w:r>
      <w:r>
        <w:rPr>
          <w:spacing w:val="-1"/>
        </w:rPr>
        <w:t>Plan</w:t>
      </w:r>
      <w:r>
        <w:rPr>
          <w:spacing w:val="12"/>
        </w:rPr>
        <w:t xml:space="preserve"> </w:t>
      </w:r>
      <w:r>
        <w:rPr>
          <w:spacing w:val="-1"/>
        </w:rPr>
        <w:t>and</w:t>
      </w:r>
      <w:r>
        <w:rPr>
          <w:spacing w:val="10"/>
        </w:rPr>
        <w:t xml:space="preserve"> </w:t>
      </w:r>
      <w:r>
        <w:rPr>
          <w:spacing w:val="-1"/>
        </w:rPr>
        <w:t>thereafter</w:t>
      </w:r>
      <w:r>
        <w:rPr>
          <w:spacing w:val="14"/>
        </w:rPr>
        <w:t xml:space="preserve"> </w:t>
      </w:r>
      <w:r>
        <w:rPr>
          <w:spacing w:val="-1"/>
        </w:rPr>
        <w:t>operated</w:t>
      </w:r>
      <w:r>
        <w:rPr>
          <w:spacing w:val="12"/>
        </w:rPr>
        <w:t xml:space="preserve"> </w:t>
      </w:r>
      <w:r>
        <w:rPr>
          <w:spacing w:val="-1"/>
        </w:rPr>
        <w:t>and</w:t>
      </w:r>
      <w:r>
        <w:rPr>
          <w:spacing w:val="24"/>
        </w:rPr>
        <w:t xml:space="preserve"> </w:t>
      </w:r>
      <w:r>
        <w:rPr>
          <w:spacing w:val="-1"/>
        </w:rPr>
        <w:t>maintained</w:t>
      </w:r>
      <w:r>
        <w:rPr>
          <w:spacing w:val="22"/>
        </w:rPr>
        <w:t xml:space="preserve"> </w:t>
      </w:r>
      <w:r>
        <w:rPr>
          <w:spacing w:val="-1"/>
        </w:rPr>
        <w:t>in</w:t>
      </w:r>
      <w:r>
        <w:rPr>
          <w:spacing w:val="22"/>
        </w:rPr>
        <w:t xml:space="preserve"> </w:t>
      </w:r>
      <w:r>
        <w:rPr>
          <w:spacing w:val="-1"/>
        </w:rPr>
        <w:t>accordance</w:t>
      </w:r>
      <w:r>
        <w:rPr>
          <w:spacing w:val="22"/>
        </w:rPr>
        <w:t xml:space="preserve"> </w:t>
      </w:r>
      <w:r>
        <w:rPr>
          <w:spacing w:val="-1"/>
        </w:rPr>
        <w:t>with</w:t>
      </w:r>
      <w:r>
        <w:rPr>
          <w:spacing w:val="22"/>
        </w:rPr>
        <w:t xml:space="preserve"> </w:t>
      </w:r>
      <w:r>
        <w:rPr>
          <w:spacing w:val="-1"/>
        </w:rPr>
        <w:t>this</w:t>
      </w:r>
      <w:r>
        <w:rPr>
          <w:spacing w:val="22"/>
        </w:rPr>
        <w:t xml:space="preserve"> </w:t>
      </w:r>
      <w:r>
        <w:rPr>
          <w:spacing w:val="-2"/>
        </w:rPr>
        <w:t>Call</w:t>
      </w:r>
      <w:r>
        <w:rPr>
          <w:spacing w:val="24"/>
        </w:rPr>
        <w:t xml:space="preserve"> </w:t>
      </w:r>
      <w:r>
        <w:rPr>
          <w:spacing w:val="-1"/>
        </w:rPr>
        <w:t>Off</w:t>
      </w:r>
      <w:r>
        <w:rPr>
          <w:spacing w:val="26"/>
        </w:rPr>
        <w:t xml:space="preserve"> </w:t>
      </w:r>
      <w:r>
        <w:rPr>
          <w:spacing w:val="-2"/>
        </w:rPr>
        <w:t>Schedule.</w:t>
      </w:r>
      <w:r>
        <w:rPr>
          <w:spacing w:val="46"/>
        </w:rPr>
        <w:t xml:space="preserve"> </w:t>
      </w:r>
      <w:bookmarkStart w:id="404" w:name="_bookmark326"/>
      <w:bookmarkEnd w:id="404"/>
      <w:r>
        <w:rPr>
          <w:spacing w:val="-1"/>
        </w:rPr>
        <w:t>If</w:t>
      </w:r>
      <w:r>
        <w:rPr>
          <w:spacing w:val="26"/>
        </w:rPr>
        <w:t xml:space="preserve"> </w:t>
      </w:r>
      <w:r>
        <w:t>the</w:t>
      </w:r>
      <w:r>
        <w:rPr>
          <w:spacing w:val="22"/>
        </w:rPr>
        <w:t xml:space="preserve"> </w:t>
      </w:r>
      <w:r>
        <w:rPr>
          <w:spacing w:val="-1"/>
        </w:rPr>
        <w:t>Security</w:t>
      </w:r>
      <w:r>
        <w:rPr>
          <w:spacing w:val="45"/>
        </w:rPr>
        <w:t xml:space="preserve"> </w:t>
      </w:r>
      <w:r>
        <w:rPr>
          <w:spacing w:val="-1"/>
        </w:rPr>
        <w:t>Management</w:t>
      </w:r>
      <w:r>
        <w:rPr>
          <w:spacing w:val="21"/>
        </w:rPr>
        <w:t xml:space="preserve"> </w:t>
      </w:r>
      <w:r>
        <w:rPr>
          <w:spacing w:val="-1"/>
        </w:rPr>
        <w:t>Plan</w:t>
      </w:r>
      <w:r>
        <w:rPr>
          <w:spacing w:val="19"/>
        </w:rPr>
        <w:t xml:space="preserve"> </w:t>
      </w:r>
      <w:r>
        <w:rPr>
          <w:spacing w:val="-1"/>
        </w:rPr>
        <w:t>is</w:t>
      </w:r>
      <w:r>
        <w:rPr>
          <w:spacing w:val="21"/>
        </w:rPr>
        <w:t xml:space="preserve"> </w:t>
      </w:r>
      <w:r>
        <w:rPr>
          <w:spacing w:val="-1"/>
        </w:rPr>
        <w:t>not</w:t>
      </w:r>
      <w:r>
        <w:rPr>
          <w:spacing w:val="21"/>
        </w:rPr>
        <w:t xml:space="preserve"> </w:t>
      </w:r>
      <w:r>
        <w:rPr>
          <w:spacing w:val="-1"/>
        </w:rPr>
        <w:t>Approved,</w:t>
      </w:r>
      <w:r>
        <w:rPr>
          <w:spacing w:val="21"/>
        </w:rPr>
        <w:t xml:space="preserve"> </w:t>
      </w:r>
      <w:r>
        <w:t>the</w:t>
      </w:r>
      <w:r>
        <w:rPr>
          <w:spacing w:val="20"/>
        </w:rPr>
        <w:t xml:space="preserve"> </w:t>
      </w:r>
      <w:r>
        <w:rPr>
          <w:spacing w:val="-2"/>
        </w:rPr>
        <w:t>Supplier</w:t>
      </w:r>
      <w:r>
        <w:rPr>
          <w:spacing w:val="21"/>
        </w:rPr>
        <w:t xml:space="preserve"> </w:t>
      </w:r>
      <w:r>
        <w:rPr>
          <w:spacing w:val="-1"/>
        </w:rPr>
        <w:t>shall</w:t>
      </w:r>
      <w:r>
        <w:rPr>
          <w:spacing w:val="19"/>
        </w:rPr>
        <w:t xml:space="preserve"> </w:t>
      </w:r>
      <w:r>
        <w:rPr>
          <w:spacing w:val="-1"/>
        </w:rPr>
        <w:t>amend</w:t>
      </w:r>
      <w:r>
        <w:rPr>
          <w:spacing w:val="20"/>
        </w:rPr>
        <w:t xml:space="preserve"> </w:t>
      </w:r>
      <w:r>
        <w:rPr>
          <w:spacing w:val="-1"/>
        </w:rPr>
        <w:t>it</w:t>
      </w:r>
      <w:r>
        <w:rPr>
          <w:spacing w:val="21"/>
        </w:rPr>
        <w:t xml:space="preserve"> </w:t>
      </w:r>
      <w:r>
        <w:rPr>
          <w:spacing w:val="-1"/>
        </w:rPr>
        <w:t>within</w:t>
      </w:r>
      <w:r>
        <w:rPr>
          <w:spacing w:val="27"/>
        </w:rPr>
        <w:t xml:space="preserve"> </w:t>
      </w:r>
      <w:r>
        <w:t>ten</w:t>
      </w:r>
      <w:r>
        <w:rPr>
          <w:spacing w:val="17"/>
        </w:rPr>
        <w:t xml:space="preserve"> </w:t>
      </w:r>
      <w:r>
        <w:rPr>
          <w:spacing w:val="-1"/>
        </w:rPr>
        <w:t>(10)</w:t>
      </w:r>
      <w:r>
        <w:rPr>
          <w:spacing w:val="14"/>
        </w:rPr>
        <w:t xml:space="preserve"> </w:t>
      </w:r>
      <w:r>
        <w:rPr>
          <w:spacing w:val="-1"/>
        </w:rPr>
        <w:t>Working</w:t>
      </w:r>
      <w:r>
        <w:rPr>
          <w:spacing w:val="20"/>
        </w:rPr>
        <w:t xml:space="preserve"> </w:t>
      </w:r>
      <w:r>
        <w:rPr>
          <w:spacing w:val="-2"/>
        </w:rPr>
        <w:t>Days</w:t>
      </w:r>
      <w:r>
        <w:rPr>
          <w:spacing w:val="18"/>
        </w:rPr>
        <w:t xml:space="preserve"> </w:t>
      </w:r>
      <w:r>
        <w:rPr>
          <w:spacing w:val="-1"/>
        </w:rPr>
        <w:t>or</w:t>
      </w:r>
      <w:r>
        <w:rPr>
          <w:spacing w:val="19"/>
        </w:rPr>
        <w:t xml:space="preserve"> </w:t>
      </w:r>
      <w:r>
        <w:rPr>
          <w:spacing w:val="-1"/>
        </w:rPr>
        <w:t>such</w:t>
      </w:r>
      <w:r>
        <w:rPr>
          <w:spacing w:val="18"/>
        </w:rPr>
        <w:t xml:space="preserve"> </w:t>
      </w:r>
      <w:r>
        <w:rPr>
          <w:spacing w:val="-1"/>
        </w:rPr>
        <w:t>other</w:t>
      </w:r>
      <w:r>
        <w:rPr>
          <w:spacing w:val="16"/>
        </w:rPr>
        <w:t xml:space="preserve"> </w:t>
      </w:r>
      <w:r>
        <w:rPr>
          <w:spacing w:val="-1"/>
        </w:rPr>
        <w:t>period</w:t>
      </w:r>
      <w:r>
        <w:rPr>
          <w:spacing w:val="17"/>
        </w:rPr>
        <w:t xml:space="preserve"> </w:t>
      </w:r>
      <w:r>
        <w:rPr>
          <w:spacing w:val="-1"/>
        </w:rPr>
        <w:t>as</w:t>
      </w:r>
      <w:r>
        <w:rPr>
          <w:spacing w:val="15"/>
        </w:rPr>
        <w:t xml:space="preserve"> </w:t>
      </w:r>
      <w:r>
        <w:rPr>
          <w:spacing w:val="-1"/>
        </w:rPr>
        <w:t>the</w:t>
      </w:r>
      <w:r>
        <w:rPr>
          <w:spacing w:val="17"/>
        </w:rPr>
        <w:t xml:space="preserve"> </w:t>
      </w:r>
      <w:r>
        <w:rPr>
          <w:spacing w:val="-1"/>
        </w:rPr>
        <w:t>Parties</w:t>
      </w:r>
      <w:r>
        <w:rPr>
          <w:spacing w:val="15"/>
        </w:rPr>
        <w:t xml:space="preserve"> </w:t>
      </w:r>
      <w:r>
        <w:rPr>
          <w:spacing w:val="-1"/>
        </w:rPr>
        <w:t>may</w:t>
      </w:r>
      <w:r>
        <w:rPr>
          <w:spacing w:val="15"/>
        </w:rPr>
        <w:t xml:space="preserve"> </w:t>
      </w:r>
      <w:r>
        <w:rPr>
          <w:spacing w:val="-1"/>
        </w:rPr>
        <w:t>agree</w:t>
      </w:r>
      <w:r>
        <w:rPr>
          <w:spacing w:val="36"/>
        </w:rPr>
        <w:t xml:space="preserve"> </w:t>
      </w:r>
      <w:r>
        <w:rPr>
          <w:spacing w:val="-1"/>
        </w:rPr>
        <w:t>in</w:t>
      </w:r>
      <w:r>
        <w:rPr>
          <w:spacing w:val="10"/>
        </w:rPr>
        <w:t xml:space="preserve"> </w:t>
      </w:r>
      <w:r>
        <w:rPr>
          <w:spacing w:val="-2"/>
        </w:rPr>
        <w:t>writing</w:t>
      </w:r>
      <w:r>
        <w:rPr>
          <w:spacing w:val="10"/>
        </w:rPr>
        <w:t xml:space="preserve"> </w:t>
      </w:r>
      <w:r>
        <w:rPr>
          <w:spacing w:val="-2"/>
        </w:rPr>
        <w:t>of</w:t>
      </w:r>
      <w:r>
        <w:rPr>
          <w:spacing w:val="11"/>
        </w:rPr>
        <w:t xml:space="preserve"> </w:t>
      </w:r>
      <w:r>
        <w:t>a</w:t>
      </w:r>
      <w:r>
        <w:rPr>
          <w:spacing w:val="7"/>
        </w:rPr>
        <w:t xml:space="preserve"> </w:t>
      </w:r>
      <w:r>
        <w:rPr>
          <w:spacing w:val="-1"/>
        </w:rPr>
        <w:t>notice</w:t>
      </w:r>
      <w:r>
        <w:rPr>
          <w:spacing w:val="8"/>
        </w:rPr>
        <w:t xml:space="preserve"> </w:t>
      </w:r>
      <w:r>
        <w:rPr>
          <w:spacing w:val="-2"/>
        </w:rPr>
        <w:t>of</w:t>
      </w:r>
      <w:r>
        <w:rPr>
          <w:spacing w:val="11"/>
        </w:rPr>
        <w:t xml:space="preserve"> </w:t>
      </w:r>
      <w:r>
        <w:rPr>
          <w:spacing w:val="-1"/>
        </w:rPr>
        <w:t>non-approval</w:t>
      </w:r>
      <w:r>
        <w:rPr>
          <w:spacing w:val="7"/>
        </w:rPr>
        <w:t xml:space="preserve"> </w:t>
      </w:r>
      <w:r>
        <w:t>from</w:t>
      </w:r>
      <w:r>
        <w:rPr>
          <w:spacing w:val="6"/>
        </w:rPr>
        <w:t xml:space="preserve"> </w:t>
      </w:r>
      <w:r>
        <w:t>the</w:t>
      </w:r>
      <w:r>
        <w:rPr>
          <w:spacing w:val="7"/>
        </w:rPr>
        <w:t xml:space="preserve"> </w:t>
      </w:r>
      <w:r>
        <w:rPr>
          <w:spacing w:val="-1"/>
        </w:rPr>
        <w:t>Customer</w:t>
      </w:r>
      <w:r>
        <w:rPr>
          <w:spacing w:val="9"/>
        </w:rPr>
        <w:t xml:space="preserve"> </w:t>
      </w:r>
      <w:r>
        <w:rPr>
          <w:spacing w:val="-1"/>
        </w:rPr>
        <w:t>and</w:t>
      </w:r>
      <w:r>
        <w:rPr>
          <w:spacing w:val="7"/>
        </w:rPr>
        <w:t xml:space="preserve"> </w:t>
      </w:r>
      <w:r>
        <w:rPr>
          <w:spacing w:val="-1"/>
        </w:rPr>
        <w:t>re-submit</w:t>
      </w:r>
      <w:r>
        <w:rPr>
          <w:spacing w:val="33"/>
        </w:rPr>
        <w:t xml:space="preserve"> </w:t>
      </w:r>
      <w:r>
        <w:t>to</w:t>
      </w:r>
      <w:r>
        <w:rPr>
          <w:spacing w:val="55"/>
        </w:rPr>
        <w:t xml:space="preserve"> </w:t>
      </w:r>
      <w:r>
        <w:t>the</w:t>
      </w:r>
      <w:r>
        <w:rPr>
          <w:spacing w:val="53"/>
        </w:rPr>
        <w:t xml:space="preserve"> </w:t>
      </w:r>
      <w:r>
        <w:rPr>
          <w:spacing w:val="-1"/>
        </w:rPr>
        <w:t>Customer</w:t>
      </w:r>
      <w:r>
        <w:rPr>
          <w:spacing w:val="52"/>
        </w:rPr>
        <w:t xml:space="preserve"> </w:t>
      </w:r>
      <w:r>
        <w:t>for</w:t>
      </w:r>
      <w:r>
        <w:rPr>
          <w:spacing w:val="57"/>
        </w:rPr>
        <w:t xml:space="preserve"> </w:t>
      </w:r>
      <w:r>
        <w:rPr>
          <w:spacing w:val="-2"/>
        </w:rPr>
        <w:t>Approval.</w:t>
      </w:r>
      <w:r>
        <w:rPr>
          <w:spacing w:val="52"/>
        </w:rPr>
        <w:t xml:space="preserve"> </w:t>
      </w:r>
      <w:r>
        <w:t>The</w:t>
      </w:r>
      <w:r>
        <w:rPr>
          <w:spacing w:val="53"/>
        </w:rPr>
        <w:t xml:space="preserve"> </w:t>
      </w:r>
      <w:r>
        <w:rPr>
          <w:spacing w:val="-1"/>
        </w:rPr>
        <w:t>parties</w:t>
      </w:r>
      <w:r>
        <w:rPr>
          <w:spacing w:val="57"/>
        </w:rPr>
        <w:t xml:space="preserve"> </w:t>
      </w:r>
      <w:r>
        <w:rPr>
          <w:spacing w:val="-2"/>
        </w:rPr>
        <w:t>will</w:t>
      </w:r>
      <w:r>
        <w:rPr>
          <w:spacing w:val="55"/>
        </w:rPr>
        <w:t xml:space="preserve"> </w:t>
      </w:r>
      <w:r>
        <w:rPr>
          <w:spacing w:val="-1"/>
        </w:rPr>
        <w:t>use</w:t>
      </w:r>
      <w:r>
        <w:rPr>
          <w:spacing w:val="56"/>
        </w:rPr>
        <w:t xml:space="preserve"> </w:t>
      </w:r>
      <w:r>
        <w:rPr>
          <w:spacing w:val="-1"/>
        </w:rPr>
        <w:t>all</w:t>
      </w:r>
      <w:r>
        <w:rPr>
          <w:spacing w:val="55"/>
        </w:rPr>
        <w:t xml:space="preserve"> </w:t>
      </w:r>
      <w:r>
        <w:rPr>
          <w:spacing w:val="-1"/>
        </w:rPr>
        <w:t>reasonable</w:t>
      </w:r>
      <w:r>
        <w:rPr>
          <w:spacing w:val="33"/>
        </w:rPr>
        <w:t xml:space="preserve"> </w:t>
      </w:r>
      <w:r>
        <w:rPr>
          <w:spacing w:val="-1"/>
        </w:rPr>
        <w:t>endeavours</w:t>
      </w:r>
      <w:r>
        <w:rPr>
          <w:spacing w:val="15"/>
        </w:rPr>
        <w:t xml:space="preserve"> </w:t>
      </w:r>
      <w:r>
        <w:t>to</w:t>
      </w:r>
      <w:r>
        <w:rPr>
          <w:spacing w:val="15"/>
        </w:rPr>
        <w:t xml:space="preserve"> </w:t>
      </w:r>
      <w:r>
        <w:rPr>
          <w:spacing w:val="-1"/>
        </w:rPr>
        <w:t>ensure</w:t>
      </w:r>
      <w:r>
        <w:rPr>
          <w:spacing w:val="12"/>
        </w:rPr>
        <w:t xml:space="preserve"> </w:t>
      </w:r>
      <w:r>
        <w:rPr>
          <w:spacing w:val="-1"/>
        </w:rPr>
        <w:t>that</w:t>
      </w:r>
      <w:r>
        <w:rPr>
          <w:spacing w:val="14"/>
        </w:rPr>
        <w:t xml:space="preserve"> </w:t>
      </w:r>
      <w:r>
        <w:t>the</w:t>
      </w:r>
      <w:r>
        <w:rPr>
          <w:spacing w:val="15"/>
        </w:rPr>
        <w:t xml:space="preserve"> </w:t>
      </w:r>
      <w:r>
        <w:rPr>
          <w:spacing w:val="-2"/>
        </w:rPr>
        <w:t>approval</w:t>
      </w:r>
      <w:r>
        <w:rPr>
          <w:spacing w:val="14"/>
        </w:rPr>
        <w:t xml:space="preserve"> </w:t>
      </w:r>
      <w:r>
        <w:rPr>
          <w:spacing w:val="-1"/>
        </w:rPr>
        <w:t>process</w:t>
      </w:r>
      <w:r>
        <w:rPr>
          <w:spacing w:val="13"/>
        </w:rPr>
        <w:t xml:space="preserve"> </w:t>
      </w:r>
      <w:r>
        <w:rPr>
          <w:spacing w:val="-1"/>
        </w:rPr>
        <w:t>takes</w:t>
      </w:r>
      <w:r>
        <w:rPr>
          <w:spacing w:val="15"/>
        </w:rPr>
        <w:t xml:space="preserve"> </w:t>
      </w:r>
      <w:r>
        <w:rPr>
          <w:spacing w:val="-2"/>
        </w:rPr>
        <w:t>as</w:t>
      </w:r>
      <w:r>
        <w:rPr>
          <w:spacing w:val="17"/>
        </w:rPr>
        <w:t xml:space="preserve"> </w:t>
      </w:r>
      <w:r>
        <w:rPr>
          <w:spacing w:val="-1"/>
        </w:rPr>
        <w:t>little</w:t>
      </w:r>
      <w:r>
        <w:rPr>
          <w:spacing w:val="12"/>
        </w:rPr>
        <w:t xml:space="preserve"> </w:t>
      </w:r>
      <w:r>
        <w:rPr>
          <w:spacing w:val="-1"/>
        </w:rPr>
        <w:t>time</w:t>
      </w:r>
      <w:r>
        <w:rPr>
          <w:spacing w:val="12"/>
        </w:rPr>
        <w:t xml:space="preserve"> </w:t>
      </w:r>
      <w:r>
        <w:rPr>
          <w:spacing w:val="-1"/>
        </w:rPr>
        <w:t>as</w:t>
      </w:r>
      <w:r>
        <w:rPr>
          <w:spacing w:val="47"/>
        </w:rPr>
        <w:t xml:space="preserve"> </w:t>
      </w:r>
      <w:r>
        <w:rPr>
          <w:spacing w:val="-1"/>
        </w:rPr>
        <w:t>possible</w:t>
      </w:r>
      <w:r>
        <w:rPr>
          <w:spacing w:val="7"/>
        </w:rPr>
        <w:t xml:space="preserve"> </w:t>
      </w:r>
      <w:r>
        <w:rPr>
          <w:spacing w:val="-1"/>
        </w:rPr>
        <w:t>and</w:t>
      </w:r>
      <w:r>
        <w:rPr>
          <w:spacing w:val="7"/>
        </w:rPr>
        <w:t xml:space="preserve"> </w:t>
      </w:r>
      <w:r>
        <w:rPr>
          <w:spacing w:val="-1"/>
        </w:rPr>
        <w:t>in</w:t>
      </w:r>
      <w:r>
        <w:rPr>
          <w:spacing w:val="7"/>
        </w:rPr>
        <w:t xml:space="preserve"> </w:t>
      </w:r>
      <w:r>
        <w:rPr>
          <w:spacing w:val="-1"/>
        </w:rPr>
        <w:t>any</w:t>
      </w:r>
      <w:r>
        <w:rPr>
          <w:spacing w:val="5"/>
        </w:rPr>
        <w:t xml:space="preserve"> </w:t>
      </w:r>
      <w:r>
        <w:t>event</w:t>
      </w:r>
      <w:r>
        <w:rPr>
          <w:spacing w:val="9"/>
        </w:rPr>
        <w:t xml:space="preserve"> </w:t>
      </w:r>
      <w:r>
        <w:rPr>
          <w:spacing w:val="-1"/>
        </w:rPr>
        <w:t>no</w:t>
      </w:r>
      <w:r>
        <w:rPr>
          <w:spacing w:val="7"/>
        </w:rPr>
        <w:t xml:space="preserve"> </w:t>
      </w:r>
      <w:r>
        <w:rPr>
          <w:spacing w:val="-1"/>
        </w:rPr>
        <w:t>longer</w:t>
      </w:r>
      <w:r>
        <w:rPr>
          <w:spacing w:val="6"/>
        </w:rPr>
        <w:t xml:space="preserve"> </w:t>
      </w:r>
      <w:r>
        <w:rPr>
          <w:spacing w:val="-1"/>
        </w:rPr>
        <w:t>than</w:t>
      </w:r>
      <w:r>
        <w:rPr>
          <w:spacing w:val="5"/>
        </w:rPr>
        <w:t xml:space="preserve"> </w:t>
      </w:r>
      <w:r>
        <w:rPr>
          <w:spacing w:val="-1"/>
        </w:rPr>
        <w:t>fifteen</w:t>
      </w:r>
      <w:r>
        <w:rPr>
          <w:spacing w:val="7"/>
        </w:rPr>
        <w:t xml:space="preserve"> </w:t>
      </w:r>
      <w:r>
        <w:rPr>
          <w:spacing w:val="-1"/>
        </w:rPr>
        <w:t>(15)</w:t>
      </w:r>
      <w:r>
        <w:rPr>
          <w:spacing w:val="4"/>
        </w:rPr>
        <w:t xml:space="preserve"> </w:t>
      </w:r>
      <w:r>
        <w:rPr>
          <w:spacing w:val="-1"/>
        </w:rPr>
        <w:t>Working</w:t>
      </w:r>
      <w:r>
        <w:rPr>
          <w:spacing w:val="10"/>
        </w:rPr>
        <w:t xml:space="preserve"> </w:t>
      </w:r>
      <w:r>
        <w:rPr>
          <w:spacing w:val="-2"/>
        </w:rPr>
        <w:t>Days</w:t>
      </w:r>
      <w:r>
        <w:rPr>
          <w:spacing w:val="8"/>
        </w:rPr>
        <w:t xml:space="preserve"> </w:t>
      </w:r>
      <w:r>
        <w:rPr>
          <w:spacing w:val="-1"/>
        </w:rPr>
        <w:t>(or</w:t>
      </w:r>
      <w:r>
        <w:rPr>
          <w:spacing w:val="43"/>
        </w:rPr>
        <w:t xml:space="preserve"> </w:t>
      </w:r>
      <w:r>
        <w:rPr>
          <w:spacing w:val="-1"/>
        </w:rPr>
        <w:t>such</w:t>
      </w:r>
      <w:r>
        <w:rPr>
          <w:spacing w:val="10"/>
        </w:rPr>
        <w:t xml:space="preserve"> </w:t>
      </w:r>
      <w:r>
        <w:rPr>
          <w:spacing w:val="-1"/>
        </w:rPr>
        <w:t>other</w:t>
      </w:r>
      <w:r>
        <w:rPr>
          <w:spacing w:val="11"/>
        </w:rPr>
        <w:t xml:space="preserve"> </w:t>
      </w:r>
      <w:r>
        <w:rPr>
          <w:spacing w:val="-1"/>
        </w:rPr>
        <w:t>period</w:t>
      </w:r>
      <w:r>
        <w:rPr>
          <w:spacing w:val="10"/>
        </w:rPr>
        <w:t xml:space="preserve"> </w:t>
      </w:r>
      <w:r>
        <w:rPr>
          <w:spacing w:val="-1"/>
        </w:rPr>
        <w:t>as</w:t>
      </w:r>
      <w:r>
        <w:rPr>
          <w:spacing w:val="8"/>
        </w:rPr>
        <w:t xml:space="preserve"> </w:t>
      </w:r>
      <w:r>
        <w:t>the</w:t>
      </w:r>
      <w:r>
        <w:rPr>
          <w:spacing w:val="7"/>
        </w:rPr>
        <w:t xml:space="preserve"> </w:t>
      </w:r>
      <w:r>
        <w:rPr>
          <w:spacing w:val="-1"/>
        </w:rPr>
        <w:t>parties</w:t>
      </w:r>
      <w:r>
        <w:rPr>
          <w:spacing w:val="8"/>
        </w:rPr>
        <w:t xml:space="preserve"> </w:t>
      </w:r>
      <w:r>
        <w:rPr>
          <w:spacing w:val="-1"/>
        </w:rPr>
        <w:t>may</w:t>
      </w:r>
      <w:r>
        <w:rPr>
          <w:spacing w:val="8"/>
        </w:rPr>
        <w:t xml:space="preserve"> </w:t>
      </w:r>
      <w:r>
        <w:rPr>
          <w:spacing w:val="-1"/>
        </w:rPr>
        <w:t>agree</w:t>
      </w:r>
      <w:r>
        <w:rPr>
          <w:spacing w:val="10"/>
        </w:rPr>
        <w:t xml:space="preserve"> </w:t>
      </w:r>
      <w:r>
        <w:rPr>
          <w:spacing w:val="-1"/>
        </w:rPr>
        <w:t>in</w:t>
      </w:r>
      <w:r>
        <w:rPr>
          <w:spacing w:val="10"/>
        </w:rPr>
        <w:t xml:space="preserve"> </w:t>
      </w:r>
      <w:r>
        <w:rPr>
          <w:spacing w:val="-2"/>
        </w:rPr>
        <w:t>writing)</w:t>
      </w:r>
      <w:r>
        <w:rPr>
          <w:spacing w:val="9"/>
        </w:rPr>
        <w:t xml:space="preserve"> </w:t>
      </w:r>
      <w:r>
        <w:t>from</w:t>
      </w:r>
      <w:r>
        <w:rPr>
          <w:spacing w:val="9"/>
        </w:rPr>
        <w:t xml:space="preserve"> </w:t>
      </w:r>
      <w:r>
        <w:t>the</w:t>
      </w:r>
      <w:r>
        <w:rPr>
          <w:spacing w:val="10"/>
        </w:rPr>
        <w:t xml:space="preserve"> </w:t>
      </w:r>
      <w:r>
        <w:rPr>
          <w:spacing w:val="-1"/>
        </w:rPr>
        <w:t>date</w:t>
      </w:r>
      <w:r>
        <w:rPr>
          <w:spacing w:val="10"/>
        </w:rPr>
        <w:t xml:space="preserve"> </w:t>
      </w:r>
      <w:r>
        <w:rPr>
          <w:spacing w:val="-2"/>
        </w:rPr>
        <w:t>of</w:t>
      </w:r>
      <w:r>
        <w:rPr>
          <w:spacing w:val="43"/>
        </w:rPr>
        <w:t xml:space="preserve"> </w:t>
      </w:r>
      <w:r>
        <w:rPr>
          <w:spacing w:val="-1"/>
        </w:rPr>
        <w:t>its</w:t>
      </w:r>
      <w:r>
        <w:rPr>
          <w:spacing w:val="1"/>
        </w:rPr>
        <w:t xml:space="preserve"> </w:t>
      </w:r>
      <w:r>
        <w:t>first</w:t>
      </w:r>
      <w:r>
        <w:rPr>
          <w:spacing w:val="5"/>
        </w:rPr>
        <w:t xml:space="preserve"> </w:t>
      </w:r>
      <w:r>
        <w:rPr>
          <w:spacing w:val="-1"/>
        </w:rPr>
        <w:t>submission</w:t>
      </w:r>
      <w:r>
        <w:rPr>
          <w:spacing w:val="3"/>
        </w:rPr>
        <w:t xml:space="preserve"> </w:t>
      </w:r>
      <w:r>
        <w:t>to</w:t>
      </w:r>
      <w:r>
        <w:rPr>
          <w:spacing w:val="3"/>
        </w:rPr>
        <w:t xml:space="preserve"> </w:t>
      </w:r>
      <w:r>
        <w:t xml:space="preserve">the </w:t>
      </w:r>
      <w:r>
        <w:rPr>
          <w:spacing w:val="-1"/>
        </w:rPr>
        <w:t>Customer.</w:t>
      </w:r>
      <w:r>
        <w:rPr>
          <w:spacing w:val="8"/>
        </w:rPr>
        <w:t xml:space="preserve"> </w:t>
      </w:r>
      <w:r>
        <w:rPr>
          <w:spacing w:val="-1"/>
        </w:rPr>
        <w:t>If</w:t>
      </w:r>
      <w:r>
        <w:rPr>
          <w:spacing w:val="4"/>
        </w:rPr>
        <w:t xml:space="preserve"> </w:t>
      </w:r>
      <w:r>
        <w:t>the</w:t>
      </w:r>
      <w:r>
        <w:rPr>
          <w:spacing w:val="3"/>
        </w:rPr>
        <w:t xml:space="preserve"> </w:t>
      </w:r>
      <w:r>
        <w:rPr>
          <w:spacing w:val="-1"/>
        </w:rPr>
        <w:t>Customer</w:t>
      </w:r>
      <w:r>
        <w:rPr>
          <w:spacing w:val="4"/>
        </w:rPr>
        <w:t xml:space="preserve"> </w:t>
      </w:r>
      <w:r>
        <w:rPr>
          <w:spacing w:val="-1"/>
        </w:rPr>
        <w:t>does</w:t>
      </w:r>
      <w:r>
        <w:rPr>
          <w:spacing w:val="3"/>
        </w:rPr>
        <w:t xml:space="preserve"> </w:t>
      </w:r>
      <w:r>
        <w:rPr>
          <w:spacing w:val="-1"/>
        </w:rPr>
        <w:t>not</w:t>
      </w:r>
      <w:r>
        <w:rPr>
          <w:spacing w:val="4"/>
        </w:rPr>
        <w:t xml:space="preserve"> </w:t>
      </w:r>
      <w:r>
        <w:rPr>
          <w:spacing w:val="-2"/>
        </w:rPr>
        <w:t>approve</w:t>
      </w:r>
      <w:r>
        <w:rPr>
          <w:spacing w:val="29"/>
        </w:rPr>
        <w:t xml:space="preserve"> </w:t>
      </w:r>
      <w:r>
        <w:t>the</w:t>
      </w:r>
      <w:r>
        <w:rPr>
          <w:spacing w:val="29"/>
        </w:rPr>
        <w:t xml:space="preserve"> </w:t>
      </w:r>
      <w:r>
        <w:rPr>
          <w:spacing w:val="-1"/>
        </w:rPr>
        <w:t>Security</w:t>
      </w:r>
      <w:r>
        <w:rPr>
          <w:spacing w:val="30"/>
        </w:rPr>
        <w:t xml:space="preserve"> </w:t>
      </w:r>
      <w:r>
        <w:rPr>
          <w:spacing w:val="-1"/>
        </w:rPr>
        <w:t>Management</w:t>
      </w:r>
      <w:r>
        <w:rPr>
          <w:spacing w:val="30"/>
        </w:rPr>
        <w:t xml:space="preserve"> </w:t>
      </w:r>
      <w:r>
        <w:rPr>
          <w:spacing w:val="-1"/>
        </w:rPr>
        <w:t>Plan</w:t>
      </w:r>
      <w:r>
        <w:rPr>
          <w:spacing w:val="29"/>
        </w:rPr>
        <w:t xml:space="preserve"> </w:t>
      </w:r>
      <w:r>
        <w:rPr>
          <w:spacing w:val="-2"/>
        </w:rPr>
        <w:t>following</w:t>
      </w:r>
      <w:r>
        <w:rPr>
          <w:spacing w:val="31"/>
        </w:rPr>
        <w:t xml:space="preserve"> </w:t>
      </w:r>
      <w:r>
        <w:rPr>
          <w:spacing w:val="-1"/>
        </w:rPr>
        <w:t>its</w:t>
      </w:r>
      <w:r>
        <w:rPr>
          <w:spacing w:val="30"/>
        </w:rPr>
        <w:t xml:space="preserve"> </w:t>
      </w:r>
      <w:r>
        <w:rPr>
          <w:spacing w:val="-1"/>
        </w:rPr>
        <w:t>resubmission,</w:t>
      </w:r>
      <w:r>
        <w:rPr>
          <w:spacing w:val="30"/>
        </w:rPr>
        <w:t xml:space="preserve"> </w:t>
      </w:r>
      <w:r>
        <w:t>the</w:t>
      </w:r>
      <w:r>
        <w:rPr>
          <w:spacing w:val="29"/>
        </w:rPr>
        <w:t xml:space="preserve"> </w:t>
      </w:r>
      <w:r>
        <w:rPr>
          <w:spacing w:val="-1"/>
        </w:rPr>
        <w:t>matter</w:t>
      </w:r>
      <w:r>
        <w:rPr>
          <w:spacing w:val="39"/>
        </w:rPr>
        <w:t xml:space="preserve"> </w:t>
      </w:r>
      <w:r>
        <w:rPr>
          <w:spacing w:val="-2"/>
        </w:rPr>
        <w:t>will</w:t>
      </w:r>
      <w:r>
        <w:t xml:space="preserve"> </w:t>
      </w:r>
      <w:r>
        <w:rPr>
          <w:spacing w:val="-1"/>
        </w:rPr>
        <w:t>be</w:t>
      </w:r>
      <w:r>
        <w:t xml:space="preserve"> </w:t>
      </w:r>
      <w:r>
        <w:rPr>
          <w:spacing w:val="-1"/>
        </w:rPr>
        <w:t>resolved</w:t>
      </w:r>
      <w:r>
        <w:t xml:space="preserve"> </w:t>
      </w:r>
      <w:r>
        <w:rPr>
          <w:spacing w:val="-1"/>
        </w:rPr>
        <w:t>in</w:t>
      </w:r>
      <w:r>
        <w:t xml:space="preserve"> </w:t>
      </w:r>
      <w:r>
        <w:rPr>
          <w:spacing w:val="-1"/>
        </w:rPr>
        <w:t>accordance</w:t>
      </w:r>
      <w:r>
        <w:rPr>
          <w:spacing w:val="1"/>
        </w:rPr>
        <w:t xml:space="preserve"> </w:t>
      </w:r>
      <w:r>
        <w:rPr>
          <w:spacing w:val="-2"/>
        </w:rPr>
        <w:t>with</w:t>
      </w:r>
      <w:r>
        <w:t xml:space="preserve"> the </w:t>
      </w:r>
      <w:r>
        <w:rPr>
          <w:spacing w:val="-1"/>
        </w:rPr>
        <w:t>Dispute</w:t>
      </w:r>
      <w:r>
        <w:t xml:space="preserve"> </w:t>
      </w:r>
      <w:r>
        <w:rPr>
          <w:spacing w:val="-2"/>
        </w:rPr>
        <w:t>Resolution</w:t>
      </w:r>
      <w:r>
        <w:t xml:space="preserve"> </w:t>
      </w:r>
      <w:r>
        <w:rPr>
          <w:spacing w:val="-1"/>
        </w:rPr>
        <w:t>Procedure.</w:t>
      </w:r>
    </w:p>
    <w:p w:rsidR="008918FA" w:rsidRDefault="008918FA" w:rsidP="008918FA">
      <w:pPr>
        <w:pStyle w:val="BodyText"/>
        <w:numPr>
          <w:ilvl w:val="2"/>
          <w:numId w:val="18"/>
        </w:numPr>
        <w:tabs>
          <w:tab w:val="left" w:pos="1887"/>
        </w:tabs>
        <w:ind w:left="1886" w:right="113"/>
        <w:jc w:val="both"/>
      </w:pPr>
      <w:r>
        <w:t>The</w:t>
      </w:r>
      <w:r>
        <w:rPr>
          <w:spacing w:val="15"/>
        </w:rPr>
        <w:t xml:space="preserve"> </w:t>
      </w:r>
      <w:r>
        <w:rPr>
          <w:spacing w:val="-2"/>
        </w:rPr>
        <w:t>Customer</w:t>
      </w:r>
      <w:r>
        <w:rPr>
          <w:spacing w:val="16"/>
        </w:rPr>
        <w:t xml:space="preserve"> </w:t>
      </w:r>
      <w:r>
        <w:rPr>
          <w:spacing w:val="-1"/>
        </w:rPr>
        <w:t>shall</w:t>
      </w:r>
      <w:r>
        <w:rPr>
          <w:spacing w:val="14"/>
        </w:rPr>
        <w:t xml:space="preserve"> </w:t>
      </w:r>
      <w:r>
        <w:rPr>
          <w:spacing w:val="-1"/>
        </w:rPr>
        <w:t>not</w:t>
      </w:r>
      <w:r>
        <w:rPr>
          <w:spacing w:val="16"/>
        </w:rPr>
        <w:t xml:space="preserve"> </w:t>
      </w:r>
      <w:r>
        <w:rPr>
          <w:spacing w:val="-1"/>
        </w:rPr>
        <w:t>unreasonably</w:t>
      </w:r>
      <w:r>
        <w:rPr>
          <w:spacing w:val="15"/>
        </w:rPr>
        <w:t xml:space="preserve"> </w:t>
      </w:r>
      <w:r>
        <w:rPr>
          <w:spacing w:val="-2"/>
        </w:rPr>
        <w:t>withhold</w:t>
      </w:r>
      <w:r>
        <w:rPr>
          <w:spacing w:val="15"/>
        </w:rPr>
        <w:t xml:space="preserve"> </w:t>
      </w:r>
      <w:r>
        <w:rPr>
          <w:spacing w:val="1"/>
        </w:rPr>
        <w:t>or</w:t>
      </w:r>
      <w:r>
        <w:rPr>
          <w:spacing w:val="16"/>
        </w:rPr>
        <w:t xml:space="preserve"> </w:t>
      </w:r>
      <w:r>
        <w:rPr>
          <w:spacing w:val="-1"/>
        </w:rPr>
        <w:t>delay</w:t>
      </w:r>
      <w:r>
        <w:rPr>
          <w:spacing w:val="13"/>
        </w:rPr>
        <w:t xml:space="preserve"> </w:t>
      </w:r>
      <w:r>
        <w:rPr>
          <w:spacing w:val="-1"/>
        </w:rPr>
        <w:t>its</w:t>
      </w:r>
      <w:r>
        <w:rPr>
          <w:spacing w:val="15"/>
        </w:rPr>
        <w:t xml:space="preserve"> </w:t>
      </w:r>
      <w:r>
        <w:rPr>
          <w:spacing w:val="-1"/>
        </w:rPr>
        <w:t>decision</w:t>
      </w:r>
      <w:r>
        <w:rPr>
          <w:spacing w:val="15"/>
        </w:rPr>
        <w:t xml:space="preserve"> </w:t>
      </w:r>
      <w:r>
        <w:t>to</w:t>
      </w:r>
      <w:r>
        <w:rPr>
          <w:spacing w:val="45"/>
        </w:rPr>
        <w:t xml:space="preserve"> </w:t>
      </w:r>
      <w:r>
        <w:rPr>
          <w:spacing w:val="-1"/>
        </w:rPr>
        <w:t>Approve</w:t>
      </w:r>
      <w:r>
        <w:rPr>
          <w:spacing w:val="20"/>
        </w:rPr>
        <w:t xml:space="preserve"> </w:t>
      </w:r>
      <w:r>
        <w:rPr>
          <w:spacing w:val="-1"/>
        </w:rPr>
        <w:t>or</w:t>
      </w:r>
      <w:r>
        <w:rPr>
          <w:spacing w:val="21"/>
        </w:rPr>
        <w:t xml:space="preserve"> </w:t>
      </w:r>
      <w:r>
        <w:rPr>
          <w:spacing w:val="-1"/>
        </w:rPr>
        <w:t>not</w:t>
      </w:r>
      <w:r>
        <w:rPr>
          <w:spacing w:val="21"/>
        </w:rPr>
        <w:t xml:space="preserve"> </w:t>
      </w:r>
      <w:r>
        <w:t>the</w:t>
      </w:r>
      <w:r>
        <w:rPr>
          <w:spacing w:val="20"/>
        </w:rPr>
        <w:t xml:space="preserve"> </w:t>
      </w:r>
      <w:r>
        <w:rPr>
          <w:spacing w:val="-1"/>
        </w:rPr>
        <w:t>Security</w:t>
      </w:r>
      <w:r>
        <w:rPr>
          <w:spacing w:val="20"/>
        </w:rPr>
        <w:t xml:space="preserve"> </w:t>
      </w:r>
      <w:r>
        <w:rPr>
          <w:spacing w:val="-1"/>
        </w:rPr>
        <w:t>Management</w:t>
      </w:r>
      <w:r>
        <w:rPr>
          <w:spacing w:val="21"/>
        </w:rPr>
        <w:t xml:space="preserve"> </w:t>
      </w:r>
      <w:r>
        <w:rPr>
          <w:spacing w:val="-1"/>
        </w:rPr>
        <w:t>Plan</w:t>
      </w:r>
      <w:r>
        <w:rPr>
          <w:spacing w:val="20"/>
        </w:rPr>
        <w:t xml:space="preserve"> </w:t>
      </w:r>
      <w:r>
        <w:rPr>
          <w:spacing w:val="-1"/>
        </w:rPr>
        <w:t>pursuant</w:t>
      </w:r>
      <w:r>
        <w:rPr>
          <w:spacing w:val="19"/>
        </w:rPr>
        <w:t xml:space="preserve"> </w:t>
      </w:r>
      <w:r>
        <w:t>to</w:t>
      </w:r>
      <w:r>
        <w:rPr>
          <w:spacing w:val="20"/>
        </w:rPr>
        <w:t xml:space="preserve"> </w:t>
      </w:r>
      <w:r>
        <w:rPr>
          <w:spacing w:val="-1"/>
        </w:rPr>
        <w:t>paragraph</w:t>
      </w:r>
    </w:p>
    <w:p w:rsidR="008918FA" w:rsidRDefault="00E32C6B" w:rsidP="008918FA">
      <w:pPr>
        <w:pStyle w:val="BodyText"/>
        <w:spacing w:before="1"/>
        <w:ind w:right="112" w:firstLine="0"/>
        <w:jc w:val="both"/>
      </w:pPr>
      <w:hyperlink w:anchor="_bookmark326" w:history="1">
        <w:r w:rsidR="008918FA">
          <w:rPr>
            <w:spacing w:val="-1"/>
          </w:rPr>
          <w:t>4.3.2</w:t>
        </w:r>
      </w:hyperlink>
      <w:r w:rsidR="008918FA">
        <w:rPr>
          <w:spacing w:val="-1"/>
        </w:rPr>
        <w:t>.</w:t>
      </w:r>
      <w:r w:rsidR="008918FA">
        <w:rPr>
          <w:spacing w:val="23"/>
        </w:rPr>
        <w:t xml:space="preserve"> </w:t>
      </w:r>
      <w:r w:rsidR="008918FA">
        <w:rPr>
          <w:spacing w:val="-2"/>
        </w:rPr>
        <w:t>However</w:t>
      </w:r>
      <w:r w:rsidR="008918FA">
        <w:rPr>
          <w:spacing w:val="42"/>
        </w:rPr>
        <w:t xml:space="preserve"> </w:t>
      </w:r>
      <w:r w:rsidR="008918FA">
        <w:t>a</w:t>
      </w:r>
      <w:r w:rsidR="008918FA">
        <w:rPr>
          <w:spacing w:val="41"/>
        </w:rPr>
        <w:t xml:space="preserve"> </w:t>
      </w:r>
      <w:r w:rsidR="008918FA">
        <w:rPr>
          <w:spacing w:val="-1"/>
        </w:rPr>
        <w:t>refusal</w:t>
      </w:r>
      <w:r w:rsidR="008918FA">
        <w:rPr>
          <w:spacing w:val="40"/>
        </w:rPr>
        <w:t xml:space="preserve"> </w:t>
      </w:r>
      <w:r w:rsidR="008918FA">
        <w:rPr>
          <w:spacing w:val="-1"/>
        </w:rPr>
        <w:t>by</w:t>
      </w:r>
      <w:r w:rsidR="008918FA">
        <w:rPr>
          <w:spacing w:val="39"/>
        </w:rPr>
        <w:t xml:space="preserve"> </w:t>
      </w:r>
      <w:r w:rsidR="008918FA">
        <w:t>the</w:t>
      </w:r>
      <w:r w:rsidR="008918FA">
        <w:rPr>
          <w:spacing w:val="41"/>
        </w:rPr>
        <w:t xml:space="preserve"> </w:t>
      </w:r>
      <w:r w:rsidR="008918FA">
        <w:rPr>
          <w:spacing w:val="-1"/>
        </w:rPr>
        <w:t>Customer</w:t>
      </w:r>
      <w:r w:rsidR="008918FA">
        <w:rPr>
          <w:spacing w:val="40"/>
        </w:rPr>
        <w:t xml:space="preserve"> </w:t>
      </w:r>
      <w:r w:rsidR="008918FA">
        <w:t>to</w:t>
      </w:r>
      <w:r w:rsidR="008918FA">
        <w:rPr>
          <w:spacing w:val="39"/>
        </w:rPr>
        <w:t xml:space="preserve"> </w:t>
      </w:r>
      <w:r w:rsidR="008918FA">
        <w:rPr>
          <w:spacing w:val="-1"/>
        </w:rPr>
        <w:t>Approve</w:t>
      </w:r>
      <w:r w:rsidR="008918FA">
        <w:rPr>
          <w:spacing w:val="41"/>
        </w:rPr>
        <w:t xml:space="preserve"> </w:t>
      </w:r>
      <w:r w:rsidR="008918FA">
        <w:t>the</w:t>
      </w:r>
      <w:r w:rsidR="008918FA">
        <w:rPr>
          <w:spacing w:val="41"/>
        </w:rPr>
        <w:t xml:space="preserve"> </w:t>
      </w:r>
      <w:r w:rsidR="008918FA">
        <w:rPr>
          <w:spacing w:val="-1"/>
        </w:rPr>
        <w:t>Security</w:t>
      </w:r>
      <w:r w:rsidR="008918FA">
        <w:rPr>
          <w:spacing w:val="29"/>
        </w:rPr>
        <w:t xml:space="preserve"> </w:t>
      </w:r>
      <w:r w:rsidR="008918FA">
        <w:rPr>
          <w:spacing w:val="-1"/>
        </w:rPr>
        <w:t>Management</w:t>
      </w:r>
      <w:r w:rsidR="008918FA">
        <w:rPr>
          <w:spacing w:val="47"/>
        </w:rPr>
        <w:t xml:space="preserve"> </w:t>
      </w:r>
      <w:r w:rsidR="008918FA">
        <w:rPr>
          <w:spacing w:val="-1"/>
        </w:rPr>
        <w:t>Plan</w:t>
      </w:r>
      <w:r w:rsidR="008918FA">
        <w:rPr>
          <w:spacing w:val="46"/>
        </w:rPr>
        <w:t xml:space="preserve"> </w:t>
      </w:r>
      <w:r w:rsidR="008918FA">
        <w:rPr>
          <w:spacing w:val="-1"/>
        </w:rPr>
        <w:t>on</w:t>
      </w:r>
      <w:r w:rsidR="008918FA">
        <w:rPr>
          <w:spacing w:val="46"/>
        </w:rPr>
        <w:t xml:space="preserve"> </w:t>
      </w:r>
      <w:r w:rsidR="008918FA">
        <w:t>the</w:t>
      </w:r>
      <w:r w:rsidR="008918FA">
        <w:rPr>
          <w:spacing w:val="46"/>
        </w:rPr>
        <w:t xml:space="preserve"> </w:t>
      </w:r>
      <w:r w:rsidR="008918FA">
        <w:rPr>
          <w:spacing w:val="-1"/>
        </w:rPr>
        <w:t>grounds</w:t>
      </w:r>
      <w:r w:rsidR="008918FA">
        <w:rPr>
          <w:spacing w:val="46"/>
        </w:rPr>
        <w:t xml:space="preserve"> </w:t>
      </w:r>
      <w:r w:rsidR="008918FA">
        <w:rPr>
          <w:spacing w:val="-1"/>
        </w:rPr>
        <w:t>that</w:t>
      </w:r>
      <w:r w:rsidR="008918FA">
        <w:rPr>
          <w:spacing w:val="47"/>
        </w:rPr>
        <w:t xml:space="preserve"> </w:t>
      </w:r>
      <w:r w:rsidR="008918FA">
        <w:rPr>
          <w:spacing w:val="-1"/>
        </w:rPr>
        <w:t>it</w:t>
      </w:r>
      <w:r w:rsidR="008918FA">
        <w:rPr>
          <w:spacing w:val="48"/>
        </w:rPr>
        <w:t xml:space="preserve"> </w:t>
      </w:r>
      <w:r w:rsidR="008918FA">
        <w:rPr>
          <w:spacing w:val="-1"/>
        </w:rPr>
        <w:t>does</w:t>
      </w:r>
      <w:r w:rsidR="008918FA">
        <w:rPr>
          <w:spacing w:val="46"/>
        </w:rPr>
        <w:t xml:space="preserve"> </w:t>
      </w:r>
      <w:r w:rsidR="008918FA">
        <w:rPr>
          <w:spacing w:val="-1"/>
        </w:rPr>
        <w:t>not</w:t>
      </w:r>
      <w:r w:rsidR="008918FA">
        <w:rPr>
          <w:spacing w:val="47"/>
        </w:rPr>
        <w:t xml:space="preserve"> </w:t>
      </w:r>
      <w:r w:rsidR="008918FA">
        <w:rPr>
          <w:spacing w:val="-1"/>
        </w:rPr>
        <w:t>comply</w:t>
      </w:r>
      <w:r w:rsidR="008918FA">
        <w:rPr>
          <w:spacing w:val="46"/>
        </w:rPr>
        <w:t xml:space="preserve"> </w:t>
      </w:r>
      <w:r w:rsidR="008918FA">
        <w:rPr>
          <w:spacing w:val="-1"/>
        </w:rPr>
        <w:t>with</w:t>
      </w:r>
      <w:r w:rsidR="008918FA">
        <w:rPr>
          <w:spacing w:val="46"/>
        </w:rPr>
        <w:t xml:space="preserve"> </w:t>
      </w:r>
      <w:r w:rsidR="008918FA">
        <w:rPr>
          <w:spacing w:val="-1"/>
        </w:rPr>
        <w:t>the</w:t>
      </w:r>
      <w:r w:rsidR="008918FA">
        <w:rPr>
          <w:spacing w:val="32"/>
        </w:rPr>
        <w:t xml:space="preserve"> </w:t>
      </w:r>
      <w:r w:rsidR="008918FA">
        <w:rPr>
          <w:spacing w:val="-1"/>
        </w:rPr>
        <w:t>requirements</w:t>
      </w:r>
      <w:r w:rsidR="008918FA">
        <w:rPr>
          <w:spacing w:val="40"/>
        </w:rPr>
        <w:t xml:space="preserve"> </w:t>
      </w:r>
      <w:r w:rsidR="008918FA">
        <w:rPr>
          <w:spacing w:val="-1"/>
        </w:rPr>
        <w:t>set</w:t>
      </w:r>
      <w:r w:rsidR="008918FA">
        <w:rPr>
          <w:spacing w:val="41"/>
        </w:rPr>
        <w:t xml:space="preserve"> </w:t>
      </w:r>
      <w:r w:rsidR="008918FA">
        <w:rPr>
          <w:spacing w:val="-2"/>
        </w:rPr>
        <w:t>out</w:t>
      </w:r>
      <w:r w:rsidR="008918FA">
        <w:rPr>
          <w:spacing w:val="41"/>
        </w:rPr>
        <w:t xml:space="preserve"> </w:t>
      </w:r>
      <w:r w:rsidR="008918FA">
        <w:rPr>
          <w:spacing w:val="-1"/>
        </w:rPr>
        <w:t>in</w:t>
      </w:r>
      <w:r w:rsidR="008918FA">
        <w:rPr>
          <w:spacing w:val="40"/>
        </w:rPr>
        <w:t xml:space="preserve"> </w:t>
      </w:r>
      <w:r w:rsidR="008918FA">
        <w:rPr>
          <w:spacing w:val="-1"/>
        </w:rPr>
        <w:t>paragraph</w:t>
      </w:r>
      <w:r w:rsidR="008918FA">
        <w:rPr>
          <w:spacing w:val="40"/>
        </w:rPr>
        <w:t xml:space="preserve"> </w:t>
      </w:r>
      <w:hyperlink w:anchor="_bookmark324" w:history="1">
        <w:r w:rsidR="008918FA">
          <w:t>4.2</w:t>
        </w:r>
      </w:hyperlink>
      <w:r w:rsidR="008918FA">
        <w:rPr>
          <w:spacing w:val="41"/>
        </w:rPr>
        <w:t xml:space="preserve"> </w:t>
      </w:r>
      <w:r w:rsidR="008918FA">
        <w:rPr>
          <w:spacing w:val="-1"/>
        </w:rPr>
        <w:t>shall</w:t>
      </w:r>
      <w:r w:rsidR="008918FA">
        <w:rPr>
          <w:spacing w:val="40"/>
        </w:rPr>
        <w:t xml:space="preserve"> </w:t>
      </w:r>
      <w:r w:rsidR="008918FA">
        <w:rPr>
          <w:spacing w:val="-1"/>
        </w:rPr>
        <w:t>be</w:t>
      </w:r>
      <w:r w:rsidR="008918FA">
        <w:rPr>
          <w:spacing w:val="40"/>
        </w:rPr>
        <w:t xml:space="preserve"> </w:t>
      </w:r>
      <w:r w:rsidR="008918FA">
        <w:rPr>
          <w:spacing w:val="-1"/>
        </w:rPr>
        <w:t>deemed</w:t>
      </w:r>
      <w:r w:rsidR="008918FA">
        <w:rPr>
          <w:spacing w:val="40"/>
        </w:rPr>
        <w:t xml:space="preserve"> </w:t>
      </w:r>
      <w:r w:rsidR="008918FA">
        <w:t>to</w:t>
      </w:r>
      <w:r w:rsidR="008918FA">
        <w:rPr>
          <w:spacing w:val="40"/>
        </w:rPr>
        <w:t xml:space="preserve"> </w:t>
      </w:r>
      <w:r w:rsidR="008918FA">
        <w:rPr>
          <w:spacing w:val="-1"/>
        </w:rPr>
        <w:t>be</w:t>
      </w:r>
      <w:r w:rsidR="008918FA">
        <w:rPr>
          <w:spacing w:val="32"/>
        </w:rPr>
        <w:t xml:space="preserve"> </w:t>
      </w:r>
      <w:r w:rsidR="008918FA">
        <w:rPr>
          <w:spacing w:val="-1"/>
        </w:rPr>
        <w:t>reasonable.</w:t>
      </w:r>
    </w:p>
    <w:p w:rsidR="008918FA" w:rsidRDefault="008918FA" w:rsidP="008918FA">
      <w:pPr>
        <w:pStyle w:val="BodyText"/>
        <w:numPr>
          <w:ilvl w:val="2"/>
          <w:numId w:val="18"/>
        </w:numPr>
        <w:tabs>
          <w:tab w:val="left" w:pos="1887"/>
        </w:tabs>
        <w:spacing w:before="121"/>
        <w:ind w:left="1886" w:right="113"/>
        <w:jc w:val="both"/>
      </w:pPr>
      <w:r>
        <w:rPr>
          <w:spacing w:val="-1"/>
        </w:rPr>
        <w:t>Approval</w:t>
      </w:r>
      <w:r>
        <w:rPr>
          <w:spacing w:val="14"/>
        </w:rPr>
        <w:t xml:space="preserve"> </w:t>
      </w:r>
      <w:r>
        <w:rPr>
          <w:spacing w:val="1"/>
        </w:rPr>
        <w:t>by</w:t>
      </w:r>
      <w:r>
        <w:rPr>
          <w:spacing w:val="13"/>
        </w:rPr>
        <w:t xml:space="preserve"> </w:t>
      </w:r>
      <w:r>
        <w:t>the</w:t>
      </w:r>
      <w:r>
        <w:rPr>
          <w:spacing w:val="15"/>
        </w:rPr>
        <w:t xml:space="preserve"> </w:t>
      </w:r>
      <w:r>
        <w:rPr>
          <w:spacing w:val="-1"/>
        </w:rPr>
        <w:t>Customer</w:t>
      </w:r>
      <w:r>
        <w:rPr>
          <w:spacing w:val="16"/>
        </w:rPr>
        <w:t xml:space="preserve"> </w:t>
      </w:r>
      <w:r>
        <w:rPr>
          <w:spacing w:val="-2"/>
        </w:rPr>
        <w:t>of</w:t>
      </w:r>
      <w:r>
        <w:rPr>
          <w:spacing w:val="19"/>
        </w:rPr>
        <w:t xml:space="preserve"> </w:t>
      </w:r>
      <w:r>
        <w:t>the</w:t>
      </w:r>
      <w:r>
        <w:rPr>
          <w:spacing w:val="15"/>
        </w:rPr>
        <w:t xml:space="preserve"> </w:t>
      </w:r>
      <w:r>
        <w:rPr>
          <w:spacing w:val="-1"/>
        </w:rPr>
        <w:t>Security</w:t>
      </w:r>
      <w:r>
        <w:rPr>
          <w:spacing w:val="13"/>
        </w:rPr>
        <w:t xml:space="preserve"> </w:t>
      </w:r>
      <w:r>
        <w:rPr>
          <w:spacing w:val="-1"/>
        </w:rPr>
        <w:t>Management</w:t>
      </w:r>
      <w:r>
        <w:rPr>
          <w:spacing w:val="16"/>
        </w:rPr>
        <w:t xml:space="preserve"> </w:t>
      </w:r>
      <w:r>
        <w:rPr>
          <w:spacing w:val="-1"/>
        </w:rPr>
        <w:t>Plan</w:t>
      </w:r>
      <w:r>
        <w:rPr>
          <w:spacing w:val="15"/>
        </w:rPr>
        <w:t xml:space="preserve"> </w:t>
      </w:r>
      <w:r>
        <w:rPr>
          <w:spacing w:val="-1"/>
        </w:rPr>
        <w:t>pursuant</w:t>
      </w:r>
      <w:r>
        <w:rPr>
          <w:spacing w:val="30"/>
        </w:rPr>
        <w:t xml:space="preserve"> </w:t>
      </w:r>
      <w:r>
        <w:t>to</w:t>
      </w:r>
      <w:r>
        <w:rPr>
          <w:spacing w:val="31"/>
        </w:rPr>
        <w:t xml:space="preserve"> </w:t>
      </w:r>
      <w:r>
        <w:rPr>
          <w:spacing w:val="-1"/>
        </w:rPr>
        <w:t>paragraph</w:t>
      </w:r>
      <w:r>
        <w:rPr>
          <w:spacing w:val="1"/>
        </w:rPr>
        <w:t xml:space="preserve"> </w:t>
      </w:r>
      <w:hyperlink w:anchor="_bookmark327" w:history="1">
        <w:r>
          <w:rPr>
            <w:spacing w:val="-1"/>
          </w:rPr>
          <w:t>4.3.2</w:t>
        </w:r>
      </w:hyperlink>
      <w:r>
        <w:rPr>
          <w:spacing w:val="31"/>
        </w:rPr>
        <w:t xml:space="preserve"> </w:t>
      </w:r>
      <w:r>
        <w:rPr>
          <w:spacing w:val="-2"/>
        </w:rPr>
        <w:t>of</w:t>
      </w:r>
      <w:r>
        <w:rPr>
          <w:spacing w:val="33"/>
        </w:rPr>
        <w:t xml:space="preserve"> </w:t>
      </w:r>
      <w:r>
        <w:rPr>
          <w:spacing w:val="-1"/>
        </w:rPr>
        <w:t>this</w:t>
      </w:r>
      <w:r>
        <w:rPr>
          <w:spacing w:val="32"/>
        </w:rPr>
        <w:t xml:space="preserve"> </w:t>
      </w:r>
      <w:r>
        <w:rPr>
          <w:spacing w:val="-2"/>
        </w:rPr>
        <w:t>Call</w:t>
      </w:r>
      <w:r>
        <w:rPr>
          <w:spacing w:val="31"/>
        </w:rPr>
        <w:t xml:space="preserve"> </w:t>
      </w:r>
      <w:r>
        <w:t>Off</w:t>
      </w:r>
      <w:r>
        <w:rPr>
          <w:spacing w:val="33"/>
        </w:rPr>
        <w:t xml:space="preserve"> </w:t>
      </w:r>
      <w:r>
        <w:rPr>
          <w:spacing w:val="-1"/>
        </w:rPr>
        <w:t>Schedule</w:t>
      </w:r>
      <w:r>
        <w:rPr>
          <w:spacing w:val="32"/>
        </w:rPr>
        <w:t xml:space="preserve"> </w:t>
      </w:r>
      <w:r>
        <w:rPr>
          <w:spacing w:val="-1"/>
        </w:rPr>
        <w:t>or</w:t>
      </w:r>
      <w:r>
        <w:rPr>
          <w:spacing w:val="30"/>
        </w:rPr>
        <w:t xml:space="preserve"> </w:t>
      </w:r>
      <w:r>
        <w:rPr>
          <w:spacing w:val="-2"/>
        </w:rPr>
        <w:t>of</w:t>
      </w:r>
      <w:r>
        <w:rPr>
          <w:spacing w:val="35"/>
        </w:rPr>
        <w:t xml:space="preserve"> </w:t>
      </w:r>
      <w:r>
        <w:rPr>
          <w:spacing w:val="-1"/>
        </w:rPr>
        <w:t>any</w:t>
      </w:r>
      <w:r>
        <w:rPr>
          <w:spacing w:val="30"/>
        </w:rPr>
        <w:t xml:space="preserve"> </w:t>
      </w:r>
      <w:r>
        <w:rPr>
          <w:spacing w:val="-1"/>
        </w:rPr>
        <w:t>change</w:t>
      </w:r>
      <w:r>
        <w:rPr>
          <w:spacing w:val="33"/>
        </w:rPr>
        <w:t xml:space="preserve"> </w:t>
      </w:r>
      <w:r>
        <w:t>to</w:t>
      </w:r>
      <w:r>
        <w:rPr>
          <w:spacing w:val="29"/>
        </w:rPr>
        <w:t xml:space="preserve"> </w:t>
      </w:r>
      <w:r>
        <w:rPr>
          <w:spacing w:val="-1"/>
        </w:rPr>
        <w:t>the</w:t>
      </w:r>
      <w:r>
        <w:rPr>
          <w:spacing w:val="48"/>
        </w:rPr>
        <w:t xml:space="preserve"> </w:t>
      </w:r>
      <w:r>
        <w:rPr>
          <w:spacing w:val="-1"/>
        </w:rPr>
        <w:t>Security</w:t>
      </w:r>
      <w:r>
        <w:rPr>
          <w:spacing w:val="8"/>
        </w:rPr>
        <w:t xml:space="preserve"> </w:t>
      </w:r>
      <w:r>
        <w:rPr>
          <w:spacing w:val="-1"/>
        </w:rPr>
        <w:t>Management</w:t>
      </w:r>
      <w:r>
        <w:rPr>
          <w:spacing w:val="9"/>
        </w:rPr>
        <w:t xml:space="preserve"> </w:t>
      </w:r>
      <w:r>
        <w:rPr>
          <w:spacing w:val="-1"/>
        </w:rPr>
        <w:t>Plan</w:t>
      </w:r>
      <w:r>
        <w:rPr>
          <w:spacing w:val="9"/>
        </w:rPr>
        <w:t xml:space="preserve"> </w:t>
      </w:r>
      <w:r>
        <w:rPr>
          <w:spacing w:val="-1"/>
        </w:rPr>
        <w:t>in</w:t>
      </w:r>
      <w:r>
        <w:rPr>
          <w:spacing w:val="7"/>
        </w:rPr>
        <w:t xml:space="preserve"> </w:t>
      </w:r>
      <w:r>
        <w:rPr>
          <w:spacing w:val="-1"/>
        </w:rPr>
        <w:t>accordance</w:t>
      </w:r>
      <w:r>
        <w:rPr>
          <w:spacing w:val="10"/>
        </w:rPr>
        <w:t xml:space="preserve"> </w:t>
      </w:r>
      <w:r>
        <w:rPr>
          <w:spacing w:val="-2"/>
        </w:rPr>
        <w:t>with</w:t>
      </w:r>
      <w:r>
        <w:rPr>
          <w:spacing w:val="7"/>
        </w:rPr>
        <w:t xml:space="preserve"> </w:t>
      </w:r>
      <w:r>
        <w:rPr>
          <w:spacing w:val="-1"/>
        </w:rPr>
        <w:t>paragraph</w:t>
      </w:r>
      <w:r>
        <w:rPr>
          <w:spacing w:val="7"/>
        </w:rPr>
        <w:t xml:space="preserve"> </w:t>
      </w:r>
      <w:hyperlink w:anchor="_bookmark328" w:history="1">
        <w:r>
          <w:t>4.4</w:t>
        </w:r>
      </w:hyperlink>
      <w:r>
        <w:rPr>
          <w:spacing w:val="9"/>
        </w:rPr>
        <w:t xml:space="preserve"> </w:t>
      </w:r>
      <w:r>
        <w:rPr>
          <w:spacing w:val="-1"/>
        </w:rPr>
        <w:t>shall</w:t>
      </w:r>
      <w:r>
        <w:rPr>
          <w:spacing w:val="7"/>
        </w:rPr>
        <w:t xml:space="preserve"> </w:t>
      </w:r>
      <w:r>
        <w:rPr>
          <w:spacing w:val="-1"/>
        </w:rPr>
        <w:t>not</w:t>
      </w:r>
      <w:r>
        <w:rPr>
          <w:spacing w:val="40"/>
        </w:rPr>
        <w:t xml:space="preserve"> </w:t>
      </w:r>
      <w:r>
        <w:rPr>
          <w:spacing w:val="-2"/>
        </w:rPr>
        <w:t>relieve</w:t>
      </w:r>
      <w:r>
        <w:t xml:space="preserve"> the </w:t>
      </w:r>
      <w:r>
        <w:rPr>
          <w:spacing w:val="-2"/>
        </w:rPr>
        <w:t>Supplier</w:t>
      </w:r>
      <w:r>
        <w:rPr>
          <w:spacing w:val="2"/>
        </w:rPr>
        <w:t xml:space="preserve"> </w:t>
      </w:r>
      <w:r>
        <w:rPr>
          <w:spacing w:val="-2"/>
        </w:rPr>
        <w:t>of</w:t>
      </w:r>
      <w:r>
        <w:rPr>
          <w:spacing w:val="2"/>
        </w:rPr>
        <w:t xml:space="preserve"> </w:t>
      </w:r>
      <w:r>
        <w:rPr>
          <w:spacing w:val="-1"/>
        </w:rPr>
        <w:t>its</w:t>
      </w:r>
      <w:r>
        <w:rPr>
          <w:spacing w:val="-2"/>
        </w:rPr>
        <w:t xml:space="preserve"> </w:t>
      </w:r>
      <w:r>
        <w:rPr>
          <w:spacing w:val="-1"/>
        </w:rPr>
        <w:t>obligations</w:t>
      </w:r>
      <w:r>
        <w:rPr>
          <w:spacing w:val="-2"/>
        </w:rPr>
        <w:t xml:space="preserve"> </w:t>
      </w:r>
      <w:r>
        <w:rPr>
          <w:spacing w:val="-1"/>
        </w:rPr>
        <w:t>under this</w:t>
      </w:r>
      <w:r>
        <w:rPr>
          <w:spacing w:val="-2"/>
        </w:rPr>
        <w:t xml:space="preserve"> Call</w:t>
      </w:r>
      <w:r>
        <w:t xml:space="preserve"> </w:t>
      </w:r>
      <w:r>
        <w:rPr>
          <w:spacing w:val="-1"/>
        </w:rPr>
        <w:t>Off</w:t>
      </w:r>
      <w:r>
        <w:rPr>
          <w:spacing w:val="2"/>
        </w:rPr>
        <w:t xml:space="preserve"> </w:t>
      </w:r>
      <w:r>
        <w:rPr>
          <w:spacing w:val="-1"/>
        </w:rPr>
        <w:t>Schedule.</w:t>
      </w:r>
    </w:p>
    <w:p w:rsidR="008918FA" w:rsidRDefault="008918FA" w:rsidP="008918FA">
      <w:pPr>
        <w:pStyle w:val="BodyText"/>
        <w:numPr>
          <w:ilvl w:val="1"/>
          <w:numId w:val="18"/>
        </w:numPr>
        <w:tabs>
          <w:tab w:val="left" w:pos="689"/>
        </w:tabs>
        <w:ind w:left="688"/>
        <w:jc w:val="left"/>
      </w:pPr>
      <w:bookmarkStart w:id="405" w:name="_bookmark328"/>
      <w:bookmarkEnd w:id="405"/>
      <w:r>
        <w:rPr>
          <w:spacing w:val="-1"/>
        </w:rPr>
        <w:t>Amendment</w:t>
      </w:r>
      <w:r>
        <w:rPr>
          <w:spacing w:val="2"/>
        </w:rPr>
        <w:t xml:space="preserve"> </w:t>
      </w:r>
      <w:r>
        <w:rPr>
          <w:spacing w:val="-1"/>
        </w:rPr>
        <w:t>and</w:t>
      </w:r>
      <w:r>
        <w:rPr>
          <w:spacing w:val="-2"/>
        </w:rPr>
        <w:t xml:space="preserve"> </w:t>
      </w:r>
      <w:r>
        <w:rPr>
          <w:spacing w:val="-1"/>
        </w:rPr>
        <w:t>Revision</w:t>
      </w:r>
      <w:r>
        <w:t xml:space="preserve"> </w:t>
      </w:r>
      <w:r>
        <w:rPr>
          <w:spacing w:val="-2"/>
        </w:rPr>
        <w:t>of</w:t>
      </w:r>
      <w:r>
        <w:rPr>
          <w:spacing w:val="2"/>
        </w:rPr>
        <w:t xml:space="preserve"> </w:t>
      </w:r>
      <w:r>
        <w:t>the</w:t>
      </w:r>
      <w:r>
        <w:rPr>
          <w:spacing w:val="-2"/>
        </w:rPr>
        <w:t xml:space="preserve"> </w:t>
      </w:r>
      <w:r>
        <w:rPr>
          <w:spacing w:val="-1"/>
        </w:rPr>
        <w:t>Security</w:t>
      </w:r>
      <w:r>
        <w:rPr>
          <w:spacing w:val="-2"/>
        </w:rPr>
        <w:t xml:space="preserve"> </w:t>
      </w:r>
      <w:r>
        <w:rPr>
          <w:spacing w:val="-1"/>
        </w:rPr>
        <w:t>Management</w:t>
      </w:r>
      <w:r>
        <w:t xml:space="preserve"> </w:t>
      </w:r>
      <w:r>
        <w:rPr>
          <w:spacing w:val="-2"/>
        </w:rPr>
        <w:t>Plan</w:t>
      </w:r>
    </w:p>
    <w:p w:rsidR="008918FA" w:rsidRDefault="008918FA" w:rsidP="008918FA">
      <w:pPr>
        <w:pStyle w:val="BodyText"/>
        <w:numPr>
          <w:ilvl w:val="2"/>
          <w:numId w:val="18"/>
        </w:numPr>
        <w:tabs>
          <w:tab w:val="left" w:pos="1887"/>
        </w:tabs>
        <w:spacing w:before="121"/>
        <w:ind w:left="1886" w:right="114"/>
        <w:jc w:val="both"/>
      </w:pPr>
      <w:bookmarkStart w:id="406" w:name="_bookmark329"/>
      <w:bookmarkEnd w:id="406"/>
      <w:r>
        <w:t>The</w:t>
      </w:r>
      <w:r>
        <w:rPr>
          <w:spacing w:val="5"/>
        </w:rPr>
        <w:t xml:space="preserve"> </w:t>
      </w:r>
      <w:r>
        <w:rPr>
          <w:spacing w:val="-1"/>
        </w:rPr>
        <w:t>Security</w:t>
      </w:r>
      <w:r>
        <w:rPr>
          <w:spacing w:val="3"/>
        </w:rPr>
        <w:t xml:space="preserve"> </w:t>
      </w:r>
      <w:r>
        <w:rPr>
          <w:spacing w:val="-1"/>
        </w:rPr>
        <w:t>Management</w:t>
      </w:r>
      <w:r>
        <w:rPr>
          <w:spacing w:val="7"/>
        </w:rPr>
        <w:t xml:space="preserve"> </w:t>
      </w:r>
      <w:r>
        <w:rPr>
          <w:spacing w:val="-1"/>
        </w:rPr>
        <w:t>Plan</w:t>
      </w:r>
      <w:r>
        <w:rPr>
          <w:spacing w:val="5"/>
        </w:rPr>
        <w:t xml:space="preserve"> </w:t>
      </w:r>
      <w:r>
        <w:rPr>
          <w:spacing w:val="-1"/>
        </w:rPr>
        <w:t>shall</w:t>
      </w:r>
      <w:r>
        <w:rPr>
          <w:spacing w:val="4"/>
        </w:rPr>
        <w:t xml:space="preserve"> </w:t>
      </w:r>
      <w:r>
        <w:rPr>
          <w:spacing w:val="-1"/>
        </w:rPr>
        <w:t>be</w:t>
      </w:r>
      <w:r>
        <w:rPr>
          <w:spacing w:val="3"/>
        </w:rPr>
        <w:t xml:space="preserve"> </w:t>
      </w:r>
      <w:r>
        <w:rPr>
          <w:spacing w:val="-1"/>
        </w:rPr>
        <w:t>fully</w:t>
      </w:r>
      <w:r>
        <w:rPr>
          <w:spacing w:val="3"/>
        </w:rPr>
        <w:t xml:space="preserve"> </w:t>
      </w:r>
      <w:r>
        <w:rPr>
          <w:spacing w:val="-2"/>
        </w:rPr>
        <w:t>reviewed</w:t>
      </w:r>
      <w:r>
        <w:rPr>
          <w:spacing w:val="5"/>
        </w:rPr>
        <w:t xml:space="preserve"> </w:t>
      </w:r>
      <w:r>
        <w:rPr>
          <w:spacing w:val="-1"/>
        </w:rPr>
        <w:t>and</w:t>
      </w:r>
      <w:r>
        <w:rPr>
          <w:spacing w:val="5"/>
        </w:rPr>
        <w:t xml:space="preserve"> </w:t>
      </w:r>
      <w:r>
        <w:rPr>
          <w:spacing w:val="-1"/>
        </w:rPr>
        <w:t>updated</w:t>
      </w:r>
      <w:r>
        <w:rPr>
          <w:spacing w:val="5"/>
        </w:rPr>
        <w:t xml:space="preserve"> </w:t>
      </w:r>
      <w:r>
        <w:rPr>
          <w:spacing w:val="-1"/>
        </w:rPr>
        <w:t>by</w:t>
      </w:r>
      <w:r>
        <w:rPr>
          <w:spacing w:val="34"/>
        </w:rPr>
        <w:t xml:space="preserve"> </w:t>
      </w:r>
      <w:r>
        <w:t xml:space="preserve">the </w:t>
      </w:r>
      <w:r>
        <w:rPr>
          <w:spacing w:val="-2"/>
        </w:rPr>
        <w:t>Supplier</w:t>
      </w:r>
      <w:r>
        <w:rPr>
          <w:spacing w:val="2"/>
        </w:rPr>
        <w:t xml:space="preserve"> </w:t>
      </w:r>
      <w:r>
        <w:rPr>
          <w:spacing w:val="-2"/>
        </w:rPr>
        <w:t>at</w:t>
      </w:r>
      <w:r>
        <w:rPr>
          <w:spacing w:val="2"/>
        </w:rPr>
        <w:t xml:space="preserve"> </w:t>
      </w:r>
      <w:r>
        <w:rPr>
          <w:spacing w:val="-2"/>
        </w:rPr>
        <w:t>least</w:t>
      </w:r>
      <w:r>
        <w:rPr>
          <w:spacing w:val="2"/>
        </w:rPr>
        <w:t xml:space="preserve"> </w:t>
      </w:r>
      <w:r>
        <w:rPr>
          <w:spacing w:val="-1"/>
        </w:rPr>
        <w:t>annually</w:t>
      </w:r>
      <w:r>
        <w:rPr>
          <w:spacing w:val="-2"/>
        </w:rPr>
        <w:t xml:space="preserve"> </w:t>
      </w:r>
      <w:r>
        <w:t>to</w:t>
      </w:r>
      <w:r>
        <w:rPr>
          <w:spacing w:val="-2"/>
        </w:rPr>
        <w:t xml:space="preserve"> </w:t>
      </w:r>
      <w:r>
        <w:rPr>
          <w:spacing w:val="-1"/>
        </w:rPr>
        <w:t>reflect:</w:t>
      </w:r>
    </w:p>
    <w:p w:rsidR="008918FA" w:rsidRDefault="008918FA" w:rsidP="008918FA">
      <w:pPr>
        <w:jc w:val="both"/>
        <w:sectPr w:rsidR="008918FA">
          <w:pgSz w:w="11910" w:h="16840"/>
          <w:pgMar w:top="1480" w:right="1300" w:bottom="1160" w:left="1680" w:header="0" w:footer="967" w:gutter="0"/>
          <w:cols w:space="720"/>
        </w:sectPr>
      </w:pPr>
    </w:p>
    <w:p w:rsidR="008918FA" w:rsidRDefault="008918FA" w:rsidP="008918FA">
      <w:pPr>
        <w:pStyle w:val="BodyText"/>
        <w:numPr>
          <w:ilvl w:val="3"/>
          <w:numId w:val="18"/>
        </w:numPr>
        <w:tabs>
          <w:tab w:val="left" w:pos="2735"/>
        </w:tabs>
        <w:spacing w:before="59"/>
        <w:ind w:left="2734"/>
        <w:jc w:val="left"/>
      </w:pPr>
      <w:r>
        <w:rPr>
          <w:spacing w:val="-1"/>
        </w:rPr>
        <w:t>emerging</w:t>
      </w:r>
      <w:r>
        <w:t xml:space="preserve"> </w:t>
      </w:r>
      <w:r>
        <w:rPr>
          <w:spacing w:val="-1"/>
        </w:rPr>
        <w:t>changes</w:t>
      </w:r>
      <w:r>
        <w:rPr>
          <w:spacing w:val="1"/>
        </w:rPr>
        <w:t xml:space="preserve"> </w:t>
      </w:r>
      <w:r>
        <w:rPr>
          <w:spacing w:val="-1"/>
        </w:rPr>
        <w:t>in</w:t>
      </w:r>
      <w:r>
        <w:rPr>
          <w:spacing w:val="-2"/>
        </w:rPr>
        <w:t xml:space="preserve"> </w:t>
      </w:r>
      <w:r>
        <w:rPr>
          <w:spacing w:val="-1"/>
        </w:rPr>
        <w:t>Good</w:t>
      </w:r>
      <w:r>
        <w:t xml:space="preserve"> </w:t>
      </w:r>
      <w:r>
        <w:rPr>
          <w:spacing w:val="-1"/>
        </w:rPr>
        <w:t>Industry</w:t>
      </w:r>
      <w:r>
        <w:rPr>
          <w:spacing w:val="-2"/>
        </w:rPr>
        <w:t xml:space="preserve"> </w:t>
      </w:r>
      <w:r>
        <w:rPr>
          <w:spacing w:val="-1"/>
        </w:rPr>
        <w:t>Practice;</w:t>
      </w:r>
    </w:p>
    <w:p w:rsidR="008918FA" w:rsidRDefault="008918FA" w:rsidP="008918FA">
      <w:pPr>
        <w:pStyle w:val="BodyText"/>
        <w:numPr>
          <w:ilvl w:val="3"/>
          <w:numId w:val="18"/>
        </w:numPr>
        <w:tabs>
          <w:tab w:val="left" w:pos="2735"/>
        </w:tabs>
        <w:ind w:left="2734" w:right="120"/>
        <w:jc w:val="left"/>
      </w:pPr>
      <w:r>
        <w:rPr>
          <w:spacing w:val="-1"/>
        </w:rPr>
        <w:t>any</w:t>
      </w:r>
      <w:r>
        <w:rPr>
          <w:spacing w:val="13"/>
        </w:rPr>
        <w:t xml:space="preserve"> </w:t>
      </w:r>
      <w:r>
        <w:rPr>
          <w:spacing w:val="-1"/>
        </w:rPr>
        <w:t>change</w:t>
      </w:r>
      <w:r>
        <w:rPr>
          <w:spacing w:val="15"/>
        </w:rPr>
        <w:t xml:space="preserve"> </w:t>
      </w:r>
      <w:r>
        <w:rPr>
          <w:spacing w:val="-1"/>
        </w:rPr>
        <w:t>or</w:t>
      </w:r>
      <w:r>
        <w:rPr>
          <w:spacing w:val="16"/>
        </w:rPr>
        <w:t xml:space="preserve"> </w:t>
      </w:r>
      <w:r>
        <w:rPr>
          <w:spacing w:val="-1"/>
        </w:rPr>
        <w:t>proposed</w:t>
      </w:r>
      <w:r>
        <w:rPr>
          <w:spacing w:val="12"/>
        </w:rPr>
        <w:t xml:space="preserve"> </w:t>
      </w:r>
      <w:r>
        <w:rPr>
          <w:spacing w:val="-1"/>
        </w:rPr>
        <w:t>change</w:t>
      </w:r>
      <w:r>
        <w:rPr>
          <w:spacing w:val="15"/>
        </w:rPr>
        <w:t xml:space="preserve"> </w:t>
      </w:r>
      <w:r>
        <w:t>to</w:t>
      </w:r>
      <w:r>
        <w:rPr>
          <w:spacing w:val="15"/>
        </w:rPr>
        <w:t xml:space="preserve"> </w:t>
      </w:r>
      <w:r>
        <w:t>the</w:t>
      </w:r>
      <w:r>
        <w:rPr>
          <w:spacing w:val="12"/>
        </w:rPr>
        <w:t xml:space="preserve"> </w:t>
      </w:r>
      <w:r>
        <w:rPr>
          <w:spacing w:val="-1"/>
        </w:rPr>
        <w:t>Goods</w:t>
      </w:r>
      <w:r>
        <w:rPr>
          <w:spacing w:val="15"/>
        </w:rPr>
        <w:t xml:space="preserve"> </w:t>
      </w:r>
      <w:r>
        <w:rPr>
          <w:spacing w:val="-1"/>
        </w:rPr>
        <w:t>and/or</w:t>
      </w:r>
      <w:r>
        <w:rPr>
          <w:spacing w:val="16"/>
        </w:rPr>
        <w:t xml:space="preserve"> </w:t>
      </w:r>
      <w:r>
        <w:rPr>
          <w:spacing w:val="-1"/>
        </w:rPr>
        <w:t>Services</w:t>
      </w:r>
      <w:r>
        <w:rPr>
          <w:spacing w:val="45"/>
        </w:rPr>
        <w:t xml:space="preserve"> </w:t>
      </w:r>
      <w:r>
        <w:rPr>
          <w:spacing w:val="-1"/>
        </w:rPr>
        <w:t>and/or associated</w:t>
      </w:r>
      <w:r>
        <w:rPr>
          <w:spacing w:val="-2"/>
        </w:rPr>
        <w:t xml:space="preserve"> processes;</w:t>
      </w:r>
    </w:p>
    <w:p w:rsidR="008918FA" w:rsidRDefault="008918FA" w:rsidP="008918FA">
      <w:pPr>
        <w:pStyle w:val="BodyText"/>
        <w:numPr>
          <w:ilvl w:val="3"/>
          <w:numId w:val="18"/>
        </w:numPr>
        <w:tabs>
          <w:tab w:val="left" w:pos="2734"/>
        </w:tabs>
        <w:ind w:hanging="707"/>
        <w:jc w:val="left"/>
      </w:pPr>
      <w:r>
        <w:rPr>
          <w:spacing w:val="-1"/>
        </w:rPr>
        <w:t>any</w:t>
      </w:r>
      <w:r>
        <w:rPr>
          <w:spacing w:val="-2"/>
        </w:rPr>
        <w:t xml:space="preserve"> </w:t>
      </w:r>
      <w:r>
        <w:rPr>
          <w:spacing w:val="-1"/>
        </w:rPr>
        <w:t>change</w:t>
      </w:r>
      <w:r>
        <w:rPr>
          <w:spacing w:val="-2"/>
        </w:rPr>
        <w:t xml:space="preserve"> </w:t>
      </w:r>
      <w:r>
        <w:t>to</w:t>
      </w:r>
      <w:r>
        <w:rPr>
          <w:spacing w:val="-2"/>
        </w:rPr>
        <w:t xml:space="preserve"> </w:t>
      </w:r>
      <w:r>
        <w:t>the</w:t>
      </w:r>
      <w:r>
        <w:rPr>
          <w:spacing w:val="-2"/>
        </w:rPr>
        <w:t xml:space="preserve"> </w:t>
      </w:r>
      <w:r>
        <w:rPr>
          <w:spacing w:val="-1"/>
        </w:rPr>
        <w:t>Security</w:t>
      </w:r>
      <w:r>
        <w:rPr>
          <w:spacing w:val="-2"/>
        </w:rPr>
        <w:t xml:space="preserve"> Policy;</w:t>
      </w:r>
    </w:p>
    <w:p w:rsidR="008918FA" w:rsidRDefault="008918FA" w:rsidP="008918FA">
      <w:pPr>
        <w:pStyle w:val="BodyText"/>
        <w:numPr>
          <w:ilvl w:val="3"/>
          <w:numId w:val="18"/>
        </w:numPr>
        <w:tabs>
          <w:tab w:val="left" w:pos="2734"/>
        </w:tabs>
        <w:spacing w:before="121"/>
        <w:ind w:hanging="707"/>
        <w:jc w:val="left"/>
      </w:pPr>
      <w:r>
        <w:rPr>
          <w:spacing w:val="-1"/>
        </w:rPr>
        <w:t>any</w:t>
      </w:r>
      <w:r>
        <w:rPr>
          <w:spacing w:val="-2"/>
        </w:rPr>
        <w:t xml:space="preserve"> </w:t>
      </w:r>
      <w:r>
        <w:rPr>
          <w:spacing w:val="-1"/>
        </w:rPr>
        <w:t>new</w:t>
      </w:r>
      <w:r>
        <w:rPr>
          <w:spacing w:val="-2"/>
        </w:rPr>
        <w:t xml:space="preserve"> </w:t>
      </w:r>
      <w:r>
        <w:rPr>
          <w:spacing w:val="-1"/>
        </w:rPr>
        <w:t>perceived</w:t>
      </w:r>
      <w:r>
        <w:t xml:space="preserve"> </w:t>
      </w:r>
      <w:r>
        <w:rPr>
          <w:spacing w:val="-1"/>
        </w:rPr>
        <w:t>or</w:t>
      </w:r>
      <w:r>
        <w:rPr>
          <w:spacing w:val="2"/>
        </w:rPr>
        <w:t xml:space="preserve"> </w:t>
      </w:r>
      <w:r>
        <w:rPr>
          <w:spacing w:val="-1"/>
        </w:rPr>
        <w:t>changed</w:t>
      </w:r>
      <w:r>
        <w:rPr>
          <w:spacing w:val="-2"/>
        </w:rPr>
        <w:t xml:space="preserve"> </w:t>
      </w:r>
      <w:r>
        <w:rPr>
          <w:spacing w:val="-1"/>
        </w:rPr>
        <w:t>security</w:t>
      </w:r>
      <w:r>
        <w:rPr>
          <w:spacing w:val="-2"/>
        </w:rPr>
        <w:t xml:space="preserve"> </w:t>
      </w:r>
      <w:r>
        <w:rPr>
          <w:spacing w:val="-1"/>
        </w:rPr>
        <w:t>threats;</w:t>
      </w:r>
      <w:r>
        <w:rPr>
          <w:spacing w:val="3"/>
        </w:rPr>
        <w:t xml:space="preserve"> </w:t>
      </w:r>
      <w:r>
        <w:rPr>
          <w:spacing w:val="-2"/>
        </w:rPr>
        <w:t>and</w:t>
      </w:r>
    </w:p>
    <w:p w:rsidR="008918FA" w:rsidRDefault="008918FA" w:rsidP="008918FA">
      <w:pPr>
        <w:pStyle w:val="BodyText"/>
        <w:numPr>
          <w:ilvl w:val="3"/>
          <w:numId w:val="18"/>
        </w:numPr>
        <w:tabs>
          <w:tab w:val="left" w:pos="2734"/>
        </w:tabs>
        <w:ind w:right="125"/>
        <w:jc w:val="left"/>
      </w:pPr>
      <w:r>
        <w:rPr>
          <w:spacing w:val="-1"/>
        </w:rPr>
        <w:t>any</w:t>
      </w:r>
      <w:r>
        <w:rPr>
          <w:spacing w:val="28"/>
        </w:rPr>
        <w:t xml:space="preserve"> </w:t>
      </w:r>
      <w:r>
        <w:rPr>
          <w:spacing w:val="-1"/>
        </w:rPr>
        <w:t>reasonable</w:t>
      </w:r>
      <w:r>
        <w:t xml:space="preserve"> </w:t>
      </w:r>
      <w:r>
        <w:rPr>
          <w:spacing w:val="30"/>
        </w:rPr>
        <w:t xml:space="preserve"> </w:t>
      </w:r>
      <w:r>
        <w:rPr>
          <w:spacing w:val="-1"/>
        </w:rPr>
        <w:t>change</w:t>
      </w:r>
      <w:r>
        <w:t xml:space="preserve"> </w:t>
      </w:r>
      <w:r>
        <w:rPr>
          <w:spacing w:val="30"/>
        </w:rPr>
        <w:t xml:space="preserve"> </w:t>
      </w:r>
      <w:r>
        <w:rPr>
          <w:spacing w:val="-1"/>
        </w:rPr>
        <w:t>in</w:t>
      </w:r>
      <w:r>
        <w:t xml:space="preserve"> </w:t>
      </w:r>
      <w:r>
        <w:rPr>
          <w:spacing w:val="30"/>
        </w:rPr>
        <w:t xml:space="preserve"> </w:t>
      </w:r>
      <w:r>
        <w:rPr>
          <w:spacing w:val="-1"/>
        </w:rPr>
        <w:t>requirements</w:t>
      </w:r>
      <w:r>
        <w:t xml:space="preserve"> </w:t>
      </w:r>
      <w:r>
        <w:rPr>
          <w:spacing w:val="28"/>
        </w:rPr>
        <w:t xml:space="preserve"> </w:t>
      </w:r>
      <w:r>
        <w:rPr>
          <w:spacing w:val="-1"/>
        </w:rPr>
        <w:t>requested</w:t>
      </w:r>
      <w:r>
        <w:t xml:space="preserve"> </w:t>
      </w:r>
      <w:r>
        <w:rPr>
          <w:spacing w:val="30"/>
        </w:rPr>
        <w:t xml:space="preserve"> </w:t>
      </w:r>
      <w:r>
        <w:rPr>
          <w:spacing w:val="-1"/>
        </w:rPr>
        <w:t>by</w:t>
      </w:r>
      <w:r>
        <w:t xml:space="preserve"> </w:t>
      </w:r>
      <w:r>
        <w:rPr>
          <w:spacing w:val="28"/>
        </w:rPr>
        <w:t xml:space="preserve"> </w:t>
      </w:r>
      <w:r>
        <w:rPr>
          <w:spacing w:val="-1"/>
        </w:rPr>
        <w:t>the</w:t>
      </w:r>
      <w:r>
        <w:rPr>
          <w:spacing w:val="38"/>
        </w:rPr>
        <w:t xml:space="preserve"> </w:t>
      </w:r>
      <w:r>
        <w:rPr>
          <w:spacing w:val="-1"/>
        </w:rPr>
        <w:t>Customer.</w:t>
      </w:r>
    </w:p>
    <w:p w:rsidR="008918FA" w:rsidRDefault="008918FA" w:rsidP="008918FA">
      <w:pPr>
        <w:pStyle w:val="BodyText"/>
        <w:numPr>
          <w:ilvl w:val="2"/>
          <w:numId w:val="18"/>
        </w:numPr>
        <w:tabs>
          <w:tab w:val="left" w:pos="2026"/>
        </w:tabs>
        <w:spacing w:before="121"/>
        <w:ind w:right="114" w:hanging="993"/>
        <w:jc w:val="both"/>
      </w:pPr>
      <w:r>
        <w:t>The</w:t>
      </w:r>
      <w:r>
        <w:rPr>
          <w:spacing w:val="9"/>
        </w:rPr>
        <w:t xml:space="preserve"> </w:t>
      </w:r>
      <w:r>
        <w:rPr>
          <w:spacing w:val="-2"/>
        </w:rPr>
        <w:t>Supplier</w:t>
      </w:r>
      <w:r>
        <w:rPr>
          <w:spacing w:val="8"/>
        </w:rPr>
        <w:t xml:space="preserve"> </w:t>
      </w:r>
      <w:r>
        <w:rPr>
          <w:spacing w:val="-1"/>
        </w:rPr>
        <w:t>shall</w:t>
      </w:r>
      <w:r>
        <w:rPr>
          <w:spacing w:val="8"/>
        </w:rPr>
        <w:t xml:space="preserve"> </w:t>
      </w:r>
      <w:r>
        <w:rPr>
          <w:spacing w:val="-2"/>
        </w:rPr>
        <w:t>provide</w:t>
      </w:r>
      <w:r>
        <w:rPr>
          <w:spacing w:val="9"/>
        </w:rPr>
        <w:t xml:space="preserve"> </w:t>
      </w:r>
      <w:r>
        <w:t>the</w:t>
      </w:r>
      <w:r>
        <w:rPr>
          <w:spacing w:val="9"/>
        </w:rPr>
        <w:t xml:space="preserve"> </w:t>
      </w:r>
      <w:r>
        <w:rPr>
          <w:spacing w:val="-1"/>
        </w:rPr>
        <w:t>Customer</w:t>
      </w:r>
      <w:r>
        <w:rPr>
          <w:spacing w:val="10"/>
        </w:rPr>
        <w:t xml:space="preserve"> </w:t>
      </w:r>
      <w:r>
        <w:rPr>
          <w:spacing w:val="-2"/>
        </w:rPr>
        <w:t>with</w:t>
      </w:r>
      <w:r>
        <w:rPr>
          <w:spacing w:val="9"/>
        </w:rPr>
        <w:t xml:space="preserve"> </w:t>
      </w:r>
      <w:r>
        <w:t>the</w:t>
      </w:r>
      <w:r>
        <w:rPr>
          <w:spacing w:val="6"/>
        </w:rPr>
        <w:t xml:space="preserve"> </w:t>
      </w:r>
      <w:r>
        <w:rPr>
          <w:spacing w:val="-1"/>
        </w:rPr>
        <w:t>results</w:t>
      </w:r>
      <w:r>
        <w:rPr>
          <w:spacing w:val="7"/>
        </w:rPr>
        <w:t xml:space="preserve"> </w:t>
      </w:r>
      <w:r>
        <w:rPr>
          <w:spacing w:val="-2"/>
        </w:rPr>
        <w:t>of</w:t>
      </w:r>
      <w:r>
        <w:rPr>
          <w:spacing w:val="10"/>
        </w:rPr>
        <w:t xml:space="preserve"> </w:t>
      </w:r>
      <w:r>
        <w:rPr>
          <w:spacing w:val="-1"/>
        </w:rPr>
        <w:t>such</w:t>
      </w:r>
      <w:r>
        <w:rPr>
          <w:spacing w:val="46"/>
        </w:rPr>
        <w:t xml:space="preserve"> </w:t>
      </w:r>
      <w:r>
        <w:rPr>
          <w:spacing w:val="-2"/>
        </w:rPr>
        <w:t>reviews</w:t>
      </w:r>
      <w:r>
        <w:rPr>
          <w:spacing w:val="27"/>
        </w:rPr>
        <w:t xml:space="preserve"> </w:t>
      </w:r>
      <w:r>
        <w:rPr>
          <w:spacing w:val="-1"/>
        </w:rPr>
        <w:t>as</w:t>
      </w:r>
      <w:r>
        <w:rPr>
          <w:spacing w:val="27"/>
        </w:rPr>
        <w:t xml:space="preserve"> </w:t>
      </w:r>
      <w:r>
        <w:rPr>
          <w:spacing w:val="-1"/>
        </w:rPr>
        <w:t>soon</w:t>
      </w:r>
      <w:r>
        <w:rPr>
          <w:spacing w:val="27"/>
        </w:rPr>
        <w:t xml:space="preserve"> </w:t>
      </w:r>
      <w:r>
        <w:rPr>
          <w:spacing w:val="-1"/>
        </w:rPr>
        <w:t>as</w:t>
      </w:r>
      <w:r>
        <w:rPr>
          <w:spacing w:val="27"/>
        </w:rPr>
        <w:t xml:space="preserve"> </w:t>
      </w:r>
      <w:r>
        <w:rPr>
          <w:spacing w:val="-1"/>
        </w:rPr>
        <w:t>reasonably</w:t>
      </w:r>
      <w:r>
        <w:rPr>
          <w:spacing w:val="25"/>
        </w:rPr>
        <w:t xml:space="preserve"> </w:t>
      </w:r>
      <w:r>
        <w:rPr>
          <w:spacing w:val="-1"/>
        </w:rPr>
        <w:t>practicable</w:t>
      </w:r>
      <w:r>
        <w:rPr>
          <w:spacing w:val="27"/>
        </w:rPr>
        <w:t xml:space="preserve"> </w:t>
      </w:r>
      <w:r>
        <w:rPr>
          <w:spacing w:val="-1"/>
        </w:rPr>
        <w:t>after</w:t>
      </w:r>
      <w:r>
        <w:rPr>
          <w:spacing w:val="26"/>
        </w:rPr>
        <w:t xml:space="preserve"> </w:t>
      </w:r>
      <w:r>
        <w:rPr>
          <w:spacing w:val="-1"/>
        </w:rPr>
        <w:t>their</w:t>
      </w:r>
      <w:r>
        <w:rPr>
          <w:spacing w:val="28"/>
        </w:rPr>
        <w:t xml:space="preserve"> </w:t>
      </w:r>
      <w:r>
        <w:rPr>
          <w:spacing w:val="-1"/>
        </w:rPr>
        <w:t>completion</w:t>
      </w:r>
      <w:r>
        <w:rPr>
          <w:spacing w:val="27"/>
        </w:rPr>
        <w:t xml:space="preserve"> </w:t>
      </w:r>
      <w:r>
        <w:rPr>
          <w:spacing w:val="-1"/>
        </w:rPr>
        <w:t>and</w:t>
      </w:r>
      <w:r>
        <w:rPr>
          <w:spacing w:val="36"/>
        </w:rPr>
        <w:t xml:space="preserve"> </w:t>
      </w:r>
      <w:r>
        <w:rPr>
          <w:spacing w:val="-1"/>
        </w:rPr>
        <w:t>amendment</w:t>
      </w:r>
      <w:r>
        <w:rPr>
          <w:spacing w:val="19"/>
        </w:rPr>
        <w:t xml:space="preserve"> </w:t>
      </w:r>
      <w:r>
        <w:rPr>
          <w:spacing w:val="-2"/>
        </w:rPr>
        <w:t>of</w:t>
      </w:r>
      <w:r>
        <w:rPr>
          <w:spacing w:val="19"/>
        </w:rPr>
        <w:t xml:space="preserve"> </w:t>
      </w:r>
      <w:r>
        <w:t>the</w:t>
      </w:r>
      <w:r>
        <w:rPr>
          <w:spacing w:val="17"/>
        </w:rPr>
        <w:t xml:space="preserve"> </w:t>
      </w:r>
      <w:r>
        <w:rPr>
          <w:spacing w:val="-1"/>
        </w:rPr>
        <w:t>Security</w:t>
      </w:r>
      <w:r>
        <w:rPr>
          <w:spacing w:val="18"/>
        </w:rPr>
        <w:t xml:space="preserve"> </w:t>
      </w:r>
      <w:r>
        <w:rPr>
          <w:spacing w:val="-1"/>
        </w:rPr>
        <w:t>Management</w:t>
      </w:r>
      <w:r>
        <w:rPr>
          <w:spacing w:val="19"/>
        </w:rPr>
        <w:t xml:space="preserve"> </w:t>
      </w:r>
      <w:r>
        <w:rPr>
          <w:spacing w:val="-1"/>
        </w:rPr>
        <w:t>Plan</w:t>
      </w:r>
      <w:r>
        <w:rPr>
          <w:spacing w:val="17"/>
        </w:rPr>
        <w:t xml:space="preserve"> </w:t>
      </w:r>
      <w:r>
        <w:rPr>
          <w:spacing w:val="-1"/>
        </w:rPr>
        <w:t>at</w:t>
      </w:r>
      <w:r>
        <w:rPr>
          <w:spacing w:val="19"/>
        </w:rPr>
        <w:t xml:space="preserve"> </w:t>
      </w:r>
      <w:r>
        <w:rPr>
          <w:spacing w:val="-1"/>
        </w:rPr>
        <w:t>no</w:t>
      </w:r>
      <w:r>
        <w:rPr>
          <w:spacing w:val="17"/>
        </w:rPr>
        <w:t xml:space="preserve"> </w:t>
      </w:r>
      <w:r>
        <w:rPr>
          <w:spacing w:val="-1"/>
        </w:rPr>
        <w:t>additional</w:t>
      </w:r>
      <w:r>
        <w:rPr>
          <w:spacing w:val="17"/>
        </w:rPr>
        <w:t xml:space="preserve"> </w:t>
      </w:r>
      <w:r>
        <w:rPr>
          <w:spacing w:val="-1"/>
        </w:rPr>
        <w:t>cost</w:t>
      </w:r>
      <w:r>
        <w:rPr>
          <w:spacing w:val="19"/>
        </w:rPr>
        <w:t xml:space="preserve"> </w:t>
      </w:r>
      <w:r>
        <w:t>to</w:t>
      </w:r>
      <w:r>
        <w:rPr>
          <w:spacing w:val="30"/>
        </w:rPr>
        <w:t xml:space="preserve"> </w:t>
      </w:r>
      <w:r>
        <w:t xml:space="preserve">the </w:t>
      </w:r>
      <w:r>
        <w:rPr>
          <w:spacing w:val="-1"/>
        </w:rPr>
        <w:t>Customer.</w:t>
      </w:r>
      <w:r>
        <w:rPr>
          <w:spacing w:val="-3"/>
        </w:rPr>
        <w:t xml:space="preserve"> </w:t>
      </w:r>
      <w:r>
        <w:t>The</w:t>
      </w:r>
      <w:r>
        <w:rPr>
          <w:spacing w:val="-2"/>
        </w:rPr>
        <w:t xml:space="preserve"> </w:t>
      </w:r>
      <w:r>
        <w:rPr>
          <w:spacing w:val="-1"/>
        </w:rPr>
        <w:t>results</w:t>
      </w:r>
      <w:r>
        <w:rPr>
          <w:spacing w:val="1"/>
        </w:rPr>
        <w:t xml:space="preserve"> </w:t>
      </w:r>
      <w:r>
        <w:rPr>
          <w:spacing w:val="-2"/>
        </w:rPr>
        <w:t>of</w:t>
      </w:r>
      <w:r>
        <w:rPr>
          <w:spacing w:val="2"/>
        </w:rPr>
        <w:t xml:space="preserve"> </w:t>
      </w:r>
      <w:r>
        <w:t>the</w:t>
      </w:r>
      <w:r>
        <w:rPr>
          <w:spacing w:val="-2"/>
        </w:rPr>
        <w:t xml:space="preserve"> review</w:t>
      </w:r>
      <w:r>
        <w:rPr>
          <w:spacing w:val="-3"/>
        </w:rPr>
        <w:t xml:space="preserve"> </w:t>
      </w:r>
      <w:r>
        <w:rPr>
          <w:spacing w:val="-1"/>
        </w:rPr>
        <w:t>shall</w:t>
      </w:r>
      <w:r>
        <w:t xml:space="preserve"> </w:t>
      </w:r>
      <w:r>
        <w:rPr>
          <w:spacing w:val="-1"/>
        </w:rPr>
        <w:t>include,</w:t>
      </w:r>
      <w:r>
        <w:rPr>
          <w:spacing w:val="2"/>
        </w:rPr>
        <w:t xml:space="preserve"> </w:t>
      </w:r>
      <w:r>
        <w:rPr>
          <w:spacing w:val="-2"/>
        </w:rPr>
        <w:t>without</w:t>
      </w:r>
      <w:r>
        <w:rPr>
          <w:spacing w:val="2"/>
        </w:rPr>
        <w:t xml:space="preserve"> </w:t>
      </w:r>
      <w:r>
        <w:rPr>
          <w:spacing w:val="-2"/>
        </w:rPr>
        <w:t>limitation:</w:t>
      </w:r>
    </w:p>
    <w:p w:rsidR="008918FA" w:rsidRDefault="008918FA" w:rsidP="008918FA">
      <w:pPr>
        <w:pStyle w:val="BodyText"/>
        <w:numPr>
          <w:ilvl w:val="3"/>
          <w:numId w:val="18"/>
        </w:numPr>
        <w:tabs>
          <w:tab w:val="left" w:pos="2734"/>
        </w:tabs>
        <w:ind w:right="120"/>
        <w:jc w:val="left"/>
      </w:pPr>
      <w:r>
        <w:rPr>
          <w:spacing w:val="-1"/>
        </w:rPr>
        <w:t>suggested</w:t>
      </w:r>
      <w:r>
        <w:rPr>
          <w:spacing w:val="46"/>
        </w:rPr>
        <w:t xml:space="preserve"> </w:t>
      </w:r>
      <w:r>
        <w:rPr>
          <w:spacing w:val="-2"/>
        </w:rPr>
        <w:t>improvements</w:t>
      </w:r>
      <w:r>
        <w:rPr>
          <w:spacing w:val="46"/>
        </w:rPr>
        <w:t xml:space="preserve"> </w:t>
      </w:r>
      <w:r>
        <w:t>to</w:t>
      </w:r>
      <w:r>
        <w:rPr>
          <w:spacing w:val="46"/>
        </w:rPr>
        <w:t xml:space="preserve"> </w:t>
      </w:r>
      <w:r>
        <w:t>the</w:t>
      </w:r>
      <w:r>
        <w:rPr>
          <w:spacing w:val="46"/>
        </w:rPr>
        <w:t xml:space="preserve"> </w:t>
      </w:r>
      <w:r>
        <w:rPr>
          <w:spacing w:val="-1"/>
        </w:rPr>
        <w:t>effectiveness</w:t>
      </w:r>
      <w:r>
        <w:rPr>
          <w:spacing w:val="47"/>
        </w:rPr>
        <w:t xml:space="preserve"> </w:t>
      </w:r>
      <w:r>
        <w:rPr>
          <w:spacing w:val="-1"/>
        </w:rPr>
        <w:t>of</w:t>
      </w:r>
      <w:r>
        <w:rPr>
          <w:spacing w:val="47"/>
        </w:rPr>
        <w:t xml:space="preserve"> </w:t>
      </w:r>
      <w:r>
        <w:t>the</w:t>
      </w:r>
      <w:r>
        <w:rPr>
          <w:spacing w:val="47"/>
        </w:rPr>
        <w:t xml:space="preserve"> </w:t>
      </w:r>
      <w:r>
        <w:rPr>
          <w:spacing w:val="-1"/>
        </w:rPr>
        <w:t>Security</w:t>
      </w:r>
      <w:r>
        <w:rPr>
          <w:spacing w:val="47"/>
        </w:rPr>
        <w:t xml:space="preserve"> </w:t>
      </w:r>
      <w:r>
        <w:rPr>
          <w:spacing w:val="-1"/>
        </w:rPr>
        <w:t>Management</w:t>
      </w:r>
      <w:r>
        <w:rPr>
          <w:spacing w:val="2"/>
        </w:rPr>
        <w:t xml:space="preserve"> </w:t>
      </w:r>
      <w:r>
        <w:rPr>
          <w:spacing w:val="-2"/>
        </w:rPr>
        <w:t>Plan;</w:t>
      </w:r>
    </w:p>
    <w:p w:rsidR="008918FA" w:rsidRDefault="008918FA" w:rsidP="008918FA">
      <w:pPr>
        <w:pStyle w:val="BodyText"/>
        <w:numPr>
          <w:ilvl w:val="3"/>
          <w:numId w:val="18"/>
        </w:numPr>
        <w:tabs>
          <w:tab w:val="left" w:pos="2734"/>
        </w:tabs>
        <w:jc w:val="left"/>
      </w:pPr>
      <w:r>
        <w:rPr>
          <w:spacing w:val="-1"/>
        </w:rPr>
        <w:t>updates</w:t>
      </w:r>
      <w:r>
        <w:rPr>
          <w:spacing w:val="-2"/>
        </w:rPr>
        <w:t xml:space="preserve"> </w:t>
      </w:r>
      <w:r>
        <w:t>to</w:t>
      </w:r>
      <w:r>
        <w:rPr>
          <w:spacing w:val="-2"/>
        </w:rPr>
        <w:t xml:space="preserve"> </w:t>
      </w:r>
      <w:r>
        <w:t>the</w:t>
      </w:r>
      <w:r>
        <w:rPr>
          <w:spacing w:val="-2"/>
        </w:rPr>
        <w:t xml:space="preserve"> risk</w:t>
      </w:r>
      <w:r>
        <w:rPr>
          <w:spacing w:val="3"/>
        </w:rPr>
        <w:t xml:space="preserve"> </w:t>
      </w:r>
      <w:r>
        <w:rPr>
          <w:spacing w:val="-2"/>
        </w:rPr>
        <w:t>assessments;</w:t>
      </w:r>
      <w:r>
        <w:t xml:space="preserve"> </w:t>
      </w:r>
      <w:r>
        <w:rPr>
          <w:spacing w:val="-1"/>
        </w:rPr>
        <w:t>and</w:t>
      </w:r>
    </w:p>
    <w:p w:rsidR="008918FA" w:rsidRDefault="008918FA" w:rsidP="008918FA">
      <w:pPr>
        <w:pStyle w:val="BodyText"/>
        <w:numPr>
          <w:ilvl w:val="3"/>
          <w:numId w:val="18"/>
        </w:numPr>
        <w:tabs>
          <w:tab w:val="left" w:pos="2734"/>
        </w:tabs>
        <w:spacing w:before="121"/>
        <w:ind w:right="120"/>
        <w:jc w:val="left"/>
      </w:pPr>
      <w:r>
        <w:rPr>
          <w:spacing w:val="-1"/>
        </w:rPr>
        <w:t>suggested</w:t>
      </w:r>
      <w:r>
        <w:rPr>
          <w:spacing w:val="18"/>
        </w:rPr>
        <w:t xml:space="preserve"> </w:t>
      </w:r>
      <w:r>
        <w:rPr>
          <w:spacing w:val="-2"/>
        </w:rPr>
        <w:t>improvements</w:t>
      </w:r>
      <w:r>
        <w:t xml:space="preserve"> </w:t>
      </w:r>
      <w:r>
        <w:rPr>
          <w:spacing w:val="19"/>
        </w:rPr>
        <w:t xml:space="preserve"> </w:t>
      </w:r>
      <w:r>
        <w:rPr>
          <w:spacing w:val="-1"/>
        </w:rPr>
        <w:t>in</w:t>
      </w:r>
      <w:r>
        <w:t xml:space="preserve"> </w:t>
      </w:r>
      <w:r>
        <w:rPr>
          <w:spacing w:val="18"/>
        </w:rPr>
        <w:t xml:space="preserve"> </w:t>
      </w:r>
      <w:r>
        <w:rPr>
          <w:spacing w:val="-1"/>
        </w:rPr>
        <w:t>measuring</w:t>
      </w:r>
      <w:r>
        <w:t xml:space="preserve"> </w:t>
      </w:r>
      <w:r>
        <w:rPr>
          <w:spacing w:val="18"/>
        </w:rPr>
        <w:t xml:space="preserve"> </w:t>
      </w:r>
      <w:r>
        <w:t xml:space="preserve">the </w:t>
      </w:r>
      <w:r>
        <w:rPr>
          <w:spacing w:val="18"/>
        </w:rPr>
        <w:t xml:space="preserve"> </w:t>
      </w:r>
      <w:r>
        <w:rPr>
          <w:spacing w:val="-2"/>
        </w:rPr>
        <w:t>effectiveness</w:t>
      </w:r>
      <w:r>
        <w:t xml:space="preserve"> </w:t>
      </w:r>
      <w:r>
        <w:rPr>
          <w:spacing w:val="19"/>
        </w:rPr>
        <w:t xml:space="preserve"> </w:t>
      </w:r>
      <w:r>
        <w:rPr>
          <w:spacing w:val="-2"/>
        </w:rPr>
        <w:t>of</w:t>
      </w:r>
      <w:r>
        <w:rPr>
          <w:spacing w:val="57"/>
        </w:rPr>
        <w:t xml:space="preserve"> </w:t>
      </w:r>
      <w:r>
        <w:rPr>
          <w:spacing w:val="-1"/>
        </w:rPr>
        <w:t>controls.</w:t>
      </w:r>
    </w:p>
    <w:p w:rsidR="008918FA" w:rsidRDefault="008918FA" w:rsidP="008918FA">
      <w:pPr>
        <w:pStyle w:val="BodyText"/>
        <w:numPr>
          <w:ilvl w:val="2"/>
          <w:numId w:val="18"/>
        </w:numPr>
        <w:tabs>
          <w:tab w:val="left" w:pos="2026"/>
        </w:tabs>
        <w:spacing w:before="121"/>
        <w:ind w:left="2026" w:right="111"/>
        <w:jc w:val="both"/>
      </w:pPr>
      <w:r>
        <w:rPr>
          <w:spacing w:val="-1"/>
        </w:rPr>
        <w:t>Subject</w:t>
      </w:r>
      <w:r>
        <w:rPr>
          <w:spacing w:val="3"/>
        </w:rPr>
        <w:t xml:space="preserve"> </w:t>
      </w:r>
      <w:r>
        <w:t>to</w:t>
      </w:r>
      <w:r>
        <w:rPr>
          <w:spacing w:val="4"/>
        </w:rPr>
        <w:t xml:space="preserve"> </w:t>
      </w:r>
      <w:r>
        <w:rPr>
          <w:spacing w:val="-1"/>
        </w:rPr>
        <w:t>paragraph</w:t>
      </w:r>
      <w:r>
        <w:rPr>
          <w:spacing w:val="5"/>
        </w:rPr>
        <w:t xml:space="preserve"> </w:t>
      </w:r>
      <w:hyperlink w:anchor="_bookmark330" w:history="1">
        <w:r>
          <w:rPr>
            <w:spacing w:val="-1"/>
          </w:rPr>
          <w:t>4.4.4</w:t>
        </w:r>
      </w:hyperlink>
      <w:r>
        <w:rPr>
          <w:spacing w:val="-1"/>
        </w:rPr>
        <w:t>,</w:t>
      </w:r>
      <w:r>
        <w:rPr>
          <w:spacing w:val="5"/>
        </w:rPr>
        <w:t xml:space="preserve"> </w:t>
      </w:r>
      <w:r>
        <w:rPr>
          <w:spacing w:val="-1"/>
        </w:rPr>
        <w:t>any</w:t>
      </w:r>
      <w:r>
        <w:rPr>
          <w:spacing w:val="2"/>
        </w:rPr>
        <w:t xml:space="preserve"> </w:t>
      </w:r>
      <w:r>
        <w:rPr>
          <w:spacing w:val="-1"/>
        </w:rPr>
        <w:t>change</w:t>
      </w:r>
      <w:r>
        <w:rPr>
          <w:spacing w:val="4"/>
        </w:rPr>
        <w:t xml:space="preserve"> </w:t>
      </w:r>
      <w:r>
        <w:rPr>
          <w:spacing w:val="-1"/>
        </w:rPr>
        <w:t>or</w:t>
      </w:r>
      <w:r>
        <w:rPr>
          <w:spacing w:val="5"/>
        </w:rPr>
        <w:t xml:space="preserve"> </w:t>
      </w:r>
      <w:r>
        <w:rPr>
          <w:spacing w:val="-2"/>
        </w:rPr>
        <w:t>amendment</w:t>
      </w:r>
      <w:r>
        <w:rPr>
          <w:spacing w:val="5"/>
        </w:rPr>
        <w:t xml:space="preserve"> </w:t>
      </w:r>
      <w:r>
        <w:rPr>
          <w:spacing w:val="-2"/>
        </w:rPr>
        <w:t>which</w:t>
      </w:r>
      <w:r>
        <w:rPr>
          <w:spacing w:val="4"/>
        </w:rPr>
        <w:t xml:space="preserve"> </w:t>
      </w:r>
      <w:r>
        <w:rPr>
          <w:spacing w:val="-1"/>
        </w:rPr>
        <w:t>the</w:t>
      </w:r>
      <w:r>
        <w:rPr>
          <w:spacing w:val="56"/>
        </w:rPr>
        <w:t xml:space="preserve"> </w:t>
      </w:r>
      <w:r>
        <w:rPr>
          <w:spacing w:val="-2"/>
        </w:rPr>
        <w:t>Supplier</w:t>
      </w:r>
      <w:r>
        <w:rPr>
          <w:spacing w:val="45"/>
        </w:rPr>
        <w:t xml:space="preserve"> </w:t>
      </w:r>
      <w:r>
        <w:rPr>
          <w:spacing w:val="-1"/>
        </w:rPr>
        <w:t>proposes</w:t>
      </w:r>
      <w:r>
        <w:rPr>
          <w:spacing w:val="44"/>
        </w:rPr>
        <w:t xml:space="preserve"> </w:t>
      </w:r>
      <w:r>
        <w:t>to</w:t>
      </w:r>
      <w:r>
        <w:rPr>
          <w:spacing w:val="41"/>
        </w:rPr>
        <w:t xml:space="preserve"> </w:t>
      </w:r>
      <w:r>
        <w:rPr>
          <w:spacing w:val="-1"/>
        </w:rPr>
        <w:t>make</w:t>
      </w:r>
      <w:r>
        <w:rPr>
          <w:spacing w:val="41"/>
        </w:rPr>
        <w:t xml:space="preserve"> </w:t>
      </w:r>
      <w:r>
        <w:t>to</w:t>
      </w:r>
      <w:r>
        <w:rPr>
          <w:spacing w:val="41"/>
        </w:rPr>
        <w:t xml:space="preserve"> </w:t>
      </w:r>
      <w:r>
        <w:t>the</w:t>
      </w:r>
      <w:r>
        <w:rPr>
          <w:spacing w:val="43"/>
        </w:rPr>
        <w:t xml:space="preserve"> </w:t>
      </w:r>
      <w:r>
        <w:rPr>
          <w:spacing w:val="-1"/>
        </w:rPr>
        <w:t>Security</w:t>
      </w:r>
      <w:r>
        <w:rPr>
          <w:spacing w:val="42"/>
        </w:rPr>
        <w:t xml:space="preserve"> </w:t>
      </w:r>
      <w:r>
        <w:rPr>
          <w:spacing w:val="-1"/>
        </w:rPr>
        <w:t>Management</w:t>
      </w:r>
      <w:r>
        <w:rPr>
          <w:spacing w:val="45"/>
        </w:rPr>
        <w:t xml:space="preserve"> </w:t>
      </w:r>
      <w:r>
        <w:rPr>
          <w:spacing w:val="-1"/>
        </w:rPr>
        <w:t>Plan</w:t>
      </w:r>
      <w:r>
        <w:rPr>
          <w:spacing w:val="43"/>
        </w:rPr>
        <w:t xml:space="preserve"> </w:t>
      </w:r>
      <w:r>
        <w:rPr>
          <w:spacing w:val="-1"/>
        </w:rPr>
        <w:t>(as</w:t>
      </w:r>
      <w:r>
        <w:rPr>
          <w:spacing w:val="44"/>
        </w:rPr>
        <w:t xml:space="preserve"> </w:t>
      </w:r>
      <w:r>
        <w:t>a</w:t>
      </w:r>
      <w:r>
        <w:rPr>
          <w:spacing w:val="47"/>
        </w:rPr>
        <w:t xml:space="preserve"> </w:t>
      </w:r>
      <w:r>
        <w:rPr>
          <w:spacing w:val="-1"/>
        </w:rPr>
        <w:t>result</w:t>
      </w:r>
      <w:r>
        <w:rPr>
          <w:spacing w:val="38"/>
        </w:rPr>
        <w:t xml:space="preserve"> </w:t>
      </w:r>
      <w:r>
        <w:rPr>
          <w:spacing w:val="-2"/>
        </w:rPr>
        <w:t>of</w:t>
      </w:r>
      <w:r>
        <w:rPr>
          <w:spacing w:val="40"/>
        </w:rPr>
        <w:t xml:space="preserve"> </w:t>
      </w:r>
      <w:r>
        <w:t>a</w:t>
      </w:r>
      <w:r>
        <w:rPr>
          <w:spacing w:val="36"/>
        </w:rPr>
        <w:t xml:space="preserve"> </w:t>
      </w:r>
      <w:r>
        <w:rPr>
          <w:spacing w:val="-2"/>
        </w:rPr>
        <w:t>review</w:t>
      </w:r>
      <w:r>
        <w:rPr>
          <w:spacing w:val="36"/>
        </w:rPr>
        <w:t xml:space="preserve"> </w:t>
      </w:r>
      <w:r>
        <w:rPr>
          <w:spacing w:val="-1"/>
        </w:rPr>
        <w:t>carried</w:t>
      </w:r>
      <w:r>
        <w:rPr>
          <w:spacing w:val="36"/>
        </w:rPr>
        <w:t xml:space="preserve"> </w:t>
      </w:r>
      <w:r>
        <w:rPr>
          <w:spacing w:val="-1"/>
        </w:rPr>
        <w:t>out</w:t>
      </w:r>
      <w:r>
        <w:rPr>
          <w:spacing w:val="38"/>
        </w:rPr>
        <w:t xml:space="preserve"> </w:t>
      </w:r>
      <w:r>
        <w:rPr>
          <w:spacing w:val="-1"/>
        </w:rPr>
        <w:t>in</w:t>
      </w:r>
      <w:r>
        <w:rPr>
          <w:spacing w:val="37"/>
        </w:rPr>
        <w:t xml:space="preserve"> </w:t>
      </w:r>
      <w:r>
        <w:rPr>
          <w:spacing w:val="-1"/>
        </w:rPr>
        <w:t>accordance</w:t>
      </w:r>
      <w:r>
        <w:rPr>
          <w:spacing w:val="37"/>
        </w:rPr>
        <w:t xml:space="preserve"> </w:t>
      </w:r>
      <w:r>
        <w:rPr>
          <w:spacing w:val="-1"/>
        </w:rPr>
        <w:t>with</w:t>
      </w:r>
      <w:r>
        <w:rPr>
          <w:spacing w:val="36"/>
        </w:rPr>
        <w:t xml:space="preserve"> </w:t>
      </w:r>
      <w:r>
        <w:rPr>
          <w:spacing w:val="-1"/>
        </w:rPr>
        <w:t>paragraph</w:t>
      </w:r>
      <w:r>
        <w:rPr>
          <w:spacing w:val="36"/>
        </w:rPr>
        <w:t xml:space="preserve"> </w:t>
      </w:r>
      <w:hyperlink w:anchor="_bookmark329" w:history="1">
        <w:r>
          <w:rPr>
            <w:spacing w:val="-1"/>
          </w:rPr>
          <w:t>4.4.1</w:t>
        </w:r>
      </w:hyperlink>
      <w:r>
        <w:rPr>
          <w:spacing w:val="-1"/>
        </w:rPr>
        <w:t>,</w:t>
      </w:r>
      <w:r>
        <w:rPr>
          <w:spacing w:val="38"/>
        </w:rPr>
        <w:t xml:space="preserve"> </w:t>
      </w:r>
      <w:r>
        <w:t>a</w:t>
      </w:r>
      <w:r>
        <w:rPr>
          <w:spacing w:val="49"/>
        </w:rPr>
        <w:t xml:space="preserve"> </w:t>
      </w:r>
      <w:r>
        <w:rPr>
          <w:spacing w:val="-1"/>
        </w:rPr>
        <w:t>request</w:t>
      </w:r>
      <w:r>
        <w:rPr>
          <w:spacing w:val="7"/>
        </w:rPr>
        <w:t xml:space="preserve"> </w:t>
      </w:r>
      <w:r>
        <w:rPr>
          <w:spacing w:val="-1"/>
        </w:rPr>
        <w:t>by</w:t>
      </w:r>
      <w:r>
        <w:rPr>
          <w:spacing w:val="3"/>
        </w:rPr>
        <w:t xml:space="preserve"> </w:t>
      </w:r>
      <w:r>
        <w:t>the</w:t>
      </w:r>
      <w:r>
        <w:rPr>
          <w:spacing w:val="5"/>
        </w:rPr>
        <w:t xml:space="preserve"> </w:t>
      </w:r>
      <w:r>
        <w:rPr>
          <w:spacing w:val="-2"/>
        </w:rPr>
        <w:t>Customer</w:t>
      </w:r>
      <w:r>
        <w:rPr>
          <w:spacing w:val="4"/>
        </w:rPr>
        <w:t xml:space="preserve"> </w:t>
      </w:r>
      <w:r>
        <w:rPr>
          <w:spacing w:val="-1"/>
        </w:rPr>
        <w:t>or</w:t>
      </w:r>
      <w:r>
        <w:rPr>
          <w:spacing w:val="6"/>
        </w:rPr>
        <w:t xml:space="preserve"> </w:t>
      </w:r>
      <w:r>
        <w:rPr>
          <w:spacing w:val="-2"/>
        </w:rPr>
        <w:t>otherwise)</w:t>
      </w:r>
      <w:r>
        <w:rPr>
          <w:spacing w:val="6"/>
        </w:rPr>
        <w:t xml:space="preserve"> </w:t>
      </w:r>
      <w:r>
        <w:rPr>
          <w:spacing w:val="-1"/>
        </w:rPr>
        <w:t>shall</w:t>
      </w:r>
      <w:r>
        <w:rPr>
          <w:spacing w:val="4"/>
        </w:rPr>
        <w:t xml:space="preserve"> </w:t>
      </w:r>
      <w:r>
        <w:rPr>
          <w:spacing w:val="-1"/>
        </w:rPr>
        <w:t>be</w:t>
      </w:r>
      <w:r>
        <w:rPr>
          <w:spacing w:val="5"/>
        </w:rPr>
        <w:t xml:space="preserve"> </w:t>
      </w:r>
      <w:r>
        <w:rPr>
          <w:spacing w:val="-1"/>
        </w:rPr>
        <w:t>subject</w:t>
      </w:r>
      <w:r>
        <w:rPr>
          <w:spacing w:val="5"/>
        </w:rPr>
        <w:t xml:space="preserve"> </w:t>
      </w:r>
      <w:r>
        <w:t>to</w:t>
      </w:r>
      <w:r>
        <w:rPr>
          <w:spacing w:val="3"/>
        </w:rPr>
        <w:t xml:space="preserve"> </w:t>
      </w:r>
      <w:r>
        <w:t>the</w:t>
      </w:r>
      <w:r>
        <w:rPr>
          <w:spacing w:val="5"/>
        </w:rPr>
        <w:t xml:space="preserve"> </w:t>
      </w:r>
      <w:r>
        <w:rPr>
          <w:spacing w:val="-1"/>
        </w:rPr>
        <w:t>Variation</w:t>
      </w:r>
      <w:r>
        <w:rPr>
          <w:spacing w:val="62"/>
        </w:rPr>
        <w:t xml:space="preserve"> </w:t>
      </w:r>
      <w:r>
        <w:rPr>
          <w:spacing w:val="-1"/>
        </w:rPr>
        <w:t>Procedure</w:t>
      </w:r>
      <w:r>
        <w:rPr>
          <w:spacing w:val="32"/>
        </w:rPr>
        <w:t xml:space="preserve"> </w:t>
      </w:r>
      <w:r>
        <w:rPr>
          <w:spacing w:val="-2"/>
        </w:rPr>
        <w:t>and</w:t>
      </w:r>
      <w:r>
        <w:rPr>
          <w:spacing w:val="32"/>
        </w:rPr>
        <w:t xml:space="preserve"> </w:t>
      </w:r>
      <w:r>
        <w:rPr>
          <w:spacing w:val="-1"/>
        </w:rPr>
        <w:t>shall</w:t>
      </w:r>
      <w:r>
        <w:rPr>
          <w:spacing w:val="32"/>
        </w:rPr>
        <w:t xml:space="preserve"> </w:t>
      </w:r>
      <w:r>
        <w:rPr>
          <w:spacing w:val="-2"/>
        </w:rPr>
        <w:t>not</w:t>
      </w:r>
      <w:r>
        <w:rPr>
          <w:spacing w:val="34"/>
        </w:rPr>
        <w:t xml:space="preserve"> </w:t>
      </w:r>
      <w:r>
        <w:rPr>
          <w:spacing w:val="-1"/>
        </w:rPr>
        <w:t>be</w:t>
      </w:r>
      <w:r>
        <w:rPr>
          <w:spacing w:val="33"/>
        </w:rPr>
        <w:t xml:space="preserve"> </w:t>
      </w:r>
      <w:r>
        <w:rPr>
          <w:spacing w:val="-2"/>
        </w:rPr>
        <w:t>implemented</w:t>
      </w:r>
      <w:r>
        <w:rPr>
          <w:spacing w:val="32"/>
        </w:rPr>
        <w:t xml:space="preserve"> </w:t>
      </w:r>
      <w:r>
        <w:rPr>
          <w:spacing w:val="-1"/>
        </w:rPr>
        <w:t>until</w:t>
      </w:r>
      <w:r>
        <w:rPr>
          <w:spacing w:val="33"/>
        </w:rPr>
        <w:t xml:space="preserve"> </w:t>
      </w:r>
      <w:r>
        <w:rPr>
          <w:spacing w:val="-1"/>
        </w:rPr>
        <w:t>Approved</w:t>
      </w:r>
      <w:r>
        <w:rPr>
          <w:spacing w:val="32"/>
        </w:rPr>
        <w:t xml:space="preserve"> </w:t>
      </w:r>
      <w:r>
        <w:rPr>
          <w:spacing w:val="-1"/>
        </w:rPr>
        <w:t>by</w:t>
      </w:r>
      <w:r>
        <w:rPr>
          <w:spacing w:val="30"/>
        </w:rPr>
        <w:t xml:space="preserve"> </w:t>
      </w:r>
      <w:r>
        <w:rPr>
          <w:spacing w:val="-1"/>
        </w:rPr>
        <w:t>the</w:t>
      </w:r>
      <w:r>
        <w:rPr>
          <w:spacing w:val="46"/>
        </w:rPr>
        <w:t xml:space="preserve"> </w:t>
      </w:r>
      <w:r>
        <w:rPr>
          <w:spacing w:val="-1"/>
        </w:rPr>
        <w:t>Customer.</w:t>
      </w:r>
    </w:p>
    <w:p w:rsidR="008918FA" w:rsidRDefault="008918FA" w:rsidP="008918FA">
      <w:pPr>
        <w:pStyle w:val="BodyText"/>
        <w:numPr>
          <w:ilvl w:val="2"/>
          <w:numId w:val="18"/>
        </w:numPr>
        <w:tabs>
          <w:tab w:val="left" w:pos="2027"/>
        </w:tabs>
        <w:ind w:left="2026" w:right="114"/>
        <w:jc w:val="both"/>
      </w:pPr>
      <w:bookmarkStart w:id="407" w:name="_bookmark330"/>
      <w:bookmarkEnd w:id="407"/>
      <w:r>
        <w:t>The</w:t>
      </w:r>
      <w:r>
        <w:rPr>
          <w:spacing w:val="51"/>
        </w:rPr>
        <w:t xml:space="preserve"> </w:t>
      </w:r>
      <w:r>
        <w:rPr>
          <w:spacing w:val="-1"/>
        </w:rPr>
        <w:t>Customer</w:t>
      </w:r>
      <w:r>
        <w:rPr>
          <w:spacing w:val="49"/>
        </w:rPr>
        <w:t xml:space="preserve"> </w:t>
      </w:r>
      <w:r>
        <w:rPr>
          <w:spacing w:val="-1"/>
        </w:rPr>
        <w:t>may,</w:t>
      </w:r>
      <w:r>
        <w:rPr>
          <w:spacing w:val="52"/>
        </w:rPr>
        <w:t xml:space="preserve"> </w:t>
      </w:r>
      <w:r>
        <w:rPr>
          <w:spacing w:val="-1"/>
        </w:rPr>
        <w:t>where</w:t>
      </w:r>
      <w:r>
        <w:rPr>
          <w:spacing w:val="51"/>
        </w:rPr>
        <w:t xml:space="preserve"> </w:t>
      </w:r>
      <w:r>
        <w:rPr>
          <w:spacing w:val="-1"/>
        </w:rPr>
        <w:t>it</w:t>
      </w:r>
      <w:r>
        <w:rPr>
          <w:spacing w:val="52"/>
        </w:rPr>
        <w:t xml:space="preserve"> </w:t>
      </w:r>
      <w:r>
        <w:rPr>
          <w:spacing w:val="-1"/>
        </w:rPr>
        <w:t>is</w:t>
      </w:r>
      <w:r>
        <w:rPr>
          <w:spacing w:val="51"/>
        </w:rPr>
        <w:t xml:space="preserve"> </w:t>
      </w:r>
      <w:r>
        <w:rPr>
          <w:spacing w:val="-1"/>
        </w:rPr>
        <w:t>reasonable</w:t>
      </w:r>
      <w:r>
        <w:rPr>
          <w:spacing w:val="52"/>
        </w:rPr>
        <w:t xml:space="preserve"> </w:t>
      </w:r>
      <w:r>
        <w:t>to</w:t>
      </w:r>
      <w:r>
        <w:rPr>
          <w:spacing w:val="51"/>
        </w:rPr>
        <w:t xml:space="preserve"> </w:t>
      </w:r>
      <w:r>
        <w:rPr>
          <w:spacing w:val="-1"/>
        </w:rPr>
        <w:t>do</w:t>
      </w:r>
      <w:r>
        <w:rPr>
          <w:spacing w:val="51"/>
        </w:rPr>
        <w:t xml:space="preserve"> </w:t>
      </w:r>
      <w:r>
        <w:rPr>
          <w:spacing w:val="-1"/>
        </w:rPr>
        <w:t>so,</w:t>
      </w:r>
      <w:r>
        <w:rPr>
          <w:spacing w:val="52"/>
        </w:rPr>
        <w:t xml:space="preserve"> </w:t>
      </w:r>
      <w:r>
        <w:rPr>
          <w:spacing w:val="-1"/>
        </w:rPr>
        <w:t>Approve</w:t>
      </w:r>
      <w:r>
        <w:rPr>
          <w:spacing w:val="51"/>
        </w:rPr>
        <w:t xml:space="preserve"> </w:t>
      </w:r>
      <w:r>
        <w:rPr>
          <w:spacing w:val="-1"/>
        </w:rPr>
        <w:t>and</w:t>
      </w:r>
      <w:r>
        <w:rPr>
          <w:spacing w:val="20"/>
        </w:rPr>
        <w:t xml:space="preserve"> </w:t>
      </w:r>
      <w:r>
        <w:rPr>
          <w:spacing w:val="-1"/>
        </w:rPr>
        <w:t>require</w:t>
      </w:r>
      <w:r>
        <w:rPr>
          <w:spacing w:val="22"/>
        </w:rPr>
        <w:t xml:space="preserve"> </w:t>
      </w:r>
      <w:r>
        <w:rPr>
          <w:spacing w:val="-1"/>
        </w:rPr>
        <w:t>changes</w:t>
      </w:r>
      <w:r>
        <w:rPr>
          <w:spacing w:val="20"/>
        </w:rPr>
        <w:t xml:space="preserve"> </w:t>
      </w:r>
      <w:r>
        <w:rPr>
          <w:spacing w:val="-1"/>
        </w:rPr>
        <w:t>or</w:t>
      </w:r>
      <w:r>
        <w:rPr>
          <w:spacing w:val="21"/>
        </w:rPr>
        <w:t xml:space="preserve"> </w:t>
      </w:r>
      <w:r>
        <w:rPr>
          <w:spacing w:val="-1"/>
        </w:rPr>
        <w:t>amendments</w:t>
      </w:r>
      <w:r>
        <w:rPr>
          <w:spacing w:val="20"/>
        </w:rPr>
        <w:t xml:space="preserve"> </w:t>
      </w:r>
      <w:r>
        <w:t>to</w:t>
      </w:r>
      <w:r>
        <w:rPr>
          <w:spacing w:val="19"/>
        </w:rPr>
        <w:t xml:space="preserve"> </w:t>
      </w:r>
      <w:r>
        <w:t>the</w:t>
      </w:r>
      <w:r>
        <w:rPr>
          <w:spacing w:val="19"/>
        </w:rPr>
        <w:t xml:space="preserve"> </w:t>
      </w:r>
      <w:r>
        <w:rPr>
          <w:spacing w:val="-1"/>
        </w:rPr>
        <w:t>Security</w:t>
      </w:r>
      <w:r>
        <w:rPr>
          <w:spacing w:val="17"/>
        </w:rPr>
        <w:t xml:space="preserve"> </w:t>
      </w:r>
      <w:r>
        <w:rPr>
          <w:spacing w:val="-1"/>
        </w:rPr>
        <w:t>Management</w:t>
      </w:r>
      <w:r>
        <w:rPr>
          <w:spacing w:val="21"/>
        </w:rPr>
        <w:t xml:space="preserve"> </w:t>
      </w:r>
      <w:r>
        <w:rPr>
          <w:spacing w:val="-1"/>
        </w:rPr>
        <w:t>Plan</w:t>
      </w:r>
      <w:r>
        <w:rPr>
          <w:spacing w:val="22"/>
        </w:rPr>
        <w:t xml:space="preserve"> </w:t>
      </w:r>
      <w:r>
        <w:t>to</w:t>
      </w:r>
      <w:r>
        <w:rPr>
          <w:spacing w:val="37"/>
        </w:rPr>
        <w:t xml:space="preserve"> </w:t>
      </w:r>
      <w:r>
        <w:rPr>
          <w:spacing w:val="-1"/>
        </w:rPr>
        <w:t>be</w:t>
      </w:r>
      <w:r>
        <w:rPr>
          <w:spacing w:val="58"/>
        </w:rPr>
        <w:t xml:space="preserve"> </w:t>
      </w:r>
      <w:r>
        <w:rPr>
          <w:spacing w:val="-1"/>
        </w:rPr>
        <w:t>implemented</w:t>
      </w:r>
      <w:r>
        <w:rPr>
          <w:spacing w:val="58"/>
        </w:rPr>
        <w:t xml:space="preserve"> </w:t>
      </w:r>
      <w:r>
        <w:rPr>
          <w:spacing w:val="-1"/>
        </w:rPr>
        <w:t>on</w:t>
      </w:r>
      <w:r>
        <w:rPr>
          <w:spacing w:val="58"/>
        </w:rPr>
        <w:t xml:space="preserve"> </w:t>
      </w:r>
      <w:r>
        <w:rPr>
          <w:spacing w:val="-1"/>
        </w:rPr>
        <w:t>timescales</w:t>
      </w:r>
      <w:r>
        <w:rPr>
          <w:spacing w:val="58"/>
        </w:rPr>
        <w:t xml:space="preserve"> </w:t>
      </w:r>
      <w:r>
        <w:t>faster</w:t>
      </w:r>
      <w:r>
        <w:rPr>
          <w:spacing w:val="59"/>
        </w:rPr>
        <w:t xml:space="preserve"> </w:t>
      </w:r>
      <w:r>
        <w:rPr>
          <w:spacing w:val="-1"/>
        </w:rPr>
        <w:t>than</w:t>
      </w:r>
      <w:r>
        <w:rPr>
          <w:spacing w:val="58"/>
        </w:rPr>
        <w:t xml:space="preserve"> </w:t>
      </w:r>
      <w:r>
        <w:rPr>
          <w:spacing w:val="-2"/>
        </w:rPr>
        <w:t>set</w:t>
      </w:r>
      <w:r>
        <w:rPr>
          <w:spacing w:val="58"/>
        </w:rPr>
        <w:t xml:space="preserve"> </w:t>
      </w:r>
      <w:r>
        <w:rPr>
          <w:spacing w:val="-1"/>
        </w:rPr>
        <w:t>out</w:t>
      </w:r>
      <w:r>
        <w:rPr>
          <w:spacing w:val="59"/>
        </w:rPr>
        <w:t xml:space="preserve"> </w:t>
      </w:r>
      <w:r>
        <w:rPr>
          <w:spacing w:val="-1"/>
        </w:rPr>
        <w:t>in</w:t>
      </w:r>
      <w:r>
        <w:rPr>
          <w:spacing w:val="58"/>
        </w:rPr>
        <w:t xml:space="preserve"> </w:t>
      </w:r>
      <w:r>
        <w:t>the</w:t>
      </w:r>
      <w:r>
        <w:rPr>
          <w:spacing w:val="58"/>
        </w:rPr>
        <w:t xml:space="preserve"> </w:t>
      </w:r>
      <w:r>
        <w:rPr>
          <w:spacing w:val="-1"/>
        </w:rPr>
        <w:t>Variation</w:t>
      </w:r>
      <w:r>
        <w:rPr>
          <w:spacing w:val="35"/>
        </w:rPr>
        <w:t xml:space="preserve"> </w:t>
      </w:r>
      <w:r>
        <w:rPr>
          <w:spacing w:val="-1"/>
        </w:rPr>
        <w:t>Procedure</w:t>
      </w:r>
      <w:r>
        <w:rPr>
          <w:spacing w:val="40"/>
        </w:rPr>
        <w:t xml:space="preserve"> </w:t>
      </w:r>
      <w:r>
        <w:rPr>
          <w:spacing w:val="-1"/>
        </w:rPr>
        <w:t>but,</w:t>
      </w:r>
      <w:r>
        <w:rPr>
          <w:spacing w:val="41"/>
        </w:rPr>
        <w:t xml:space="preserve"> </w:t>
      </w:r>
      <w:r>
        <w:rPr>
          <w:spacing w:val="-2"/>
        </w:rPr>
        <w:t>without</w:t>
      </w:r>
      <w:r>
        <w:rPr>
          <w:spacing w:val="41"/>
        </w:rPr>
        <w:t xml:space="preserve"> </w:t>
      </w:r>
      <w:r>
        <w:rPr>
          <w:spacing w:val="-1"/>
        </w:rPr>
        <w:t>prejudice</w:t>
      </w:r>
      <w:r>
        <w:rPr>
          <w:spacing w:val="40"/>
        </w:rPr>
        <w:t xml:space="preserve"> </w:t>
      </w:r>
      <w:r>
        <w:t>to</w:t>
      </w:r>
      <w:r>
        <w:rPr>
          <w:spacing w:val="40"/>
        </w:rPr>
        <w:t xml:space="preserve"> </w:t>
      </w:r>
      <w:r>
        <w:rPr>
          <w:spacing w:val="-1"/>
        </w:rPr>
        <w:t>their</w:t>
      </w:r>
      <w:r>
        <w:rPr>
          <w:spacing w:val="41"/>
        </w:rPr>
        <w:t xml:space="preserve"> </w:t>
      </w:r>
      <w:r>
        <w:rPr>
          <w:spacing w:val="-1"/>
        </w:rPr>
        <w:t>effectiveness,</w:t>
      </w:r>
      <w:r>
        <w:rPr>
          <w:spacing w:val="43"/>
        </w:rPr>
        <w:t xml:space="preserve"> </w:t>
      </w:r>
      <w:r>
        <w:rPr>
          <w:spacing w:val="-1"/>
        </w:rPr>
        <w:t>all</w:t>
      </w:r>
      <w:r>
        <w:rPr>
          <w:spacing w:val="39"/>
        </w:rPr>
        <w:t xml:space="preserve"> </w:t>
      </w:r>
      <w:r>
        <w:rPr>
          <w:spacing w:val="-1"/>
        </w:rPr>
        <w:t>such</w:t>
      </w:r>
      <w:r>
        <w:rPr>
          <w:spacing w:val="34"/>
        </w:rPr>
        <w:t xml:space="preserve"> </w:t>
      </w:r>
      <w:r>
        <w:rPr>
          <w:spacing w:val="-1"/>
        </w:rPr>
        <w:t>changes</w:t>
      </w:r>
      <w:r>
        <w:rPr>
          <w:spacing w:val="22"/>
        </w:rPr>
        <w:t xml:space="preserve"> </w:t>
      </w:r>
      <w:r>
        <w:rPr>
          <w:spacing w:val="-1"/>
        </w:rPr>
        <w:t>and</w:t>
      </w:r>
      <w:r>
        <w:rPr>
          <w:spacing w:val="22"/>
        </w:rPr>
        <w:t xml:space="preserve"> </w:t>
      </w:r>
      <w:r>
        <w:rPr>
          <w:spacing w:val="-2"/>
        </w:rPr>
        <w:t>amendments</w:t>
      </w:r>
      <w:r>
        <w:rPr>
          <w:spacing w:val="22"/>
        </w:rPr>
        <w:t xml:space="preserve"> </w:t>
      </w:r>
      <w:r>
        <w:rPr>
          <w:spacing w:val="-1"/>
        </w:rPr>
        <w:t>shall</w:t>
      </w:r>
      <w:r>
        <w:rPr>
          <w:spacing w:val="21"/>
        </w:rPr>
        <w:t xml:space="preserve"> </w:t>
      </w:r>
      <w:r>
        <w:rPr>
          <w:spacing w:val="-1"/>
        </w:rPr>
        <w:t>thereafter</w:t>
      </w:r>
      <w:r>
        <w:rPr>
          <w:spacing w:val="23"/>
        </w:rPr>
        <w:t xml:space="preserve"> </w:t>
      </w:r>
      <w:r>
        <w:rPr>
          <w:spacing w:val="-1"/>
        </w:rPr>
        <w:t>be</w:t>
      </w:r>
      <w:r>
        <w:rPr>
          <w:spacing w:val="22"/>
        </w:rPr>
        <w:t xml:space="preserve"> </w:t>
      </w:r>
      <w:r>
        <w:rPr>
          <w:spacing w:val="-1"/>
        </w:rPr>
        <w:t>subject</w:t>
      </w:r>
      <w:r>
        <w:rPr>
          <w:spacing w:val="21"/>
        </w:rPr>
        <w:t xml:space="preserve"> </w:t>
      </w:r>
      <w:r>
        <w:t>to</w:t>
      </w:r>
      <w:r>
        <w:rPr>
          <w:spacing w:val="22"/>
        </w:rPr>
        <w:t xml:space="preserve"> </w:t>
      </w:r>
      <w:r>
        <w:t>the</w:t>
      </w:r>
      <w:r>
        <w:rPr>
          <w:spacing w:val="22"/>
        </w:rPr>
        <w:t xml:space="preserve"> </w:t>
      </w:r>
      <w:r>
        <w:rPr>
          <w:spacing w:val="-2"/>
        </w:rPr>
        <w:t>Variation</w:t>
      </w:r>
      <w:r>
        <w:rPr>
          <w:spacing w:val="68"/>
        </w:rPr>
        <w:t xml:space="preserve"> </w:t>
      </w:r>
      <w:r>
        <w:rPr>
          <w:spacing w:val="-1"/>
        </w:rPr>
        <w:t>Procedure</w:t>
      </w:r>
      <w:r>
        <w:rPr>
          <w:spacing w:val="32"/>
        </w:rPr>
        <w:t xml:space="preserve"> </w:t>
      </w:r>
      <w:r>
        <w:t>for</w:t>
      </w:r>
      <w:r>
        <w:rPr>
          <w:spacing w:val="34"/>
        </w:rPr>
        <w:t xml:space="preserve"> </w:t>
      </w:r>
      <w:r>
        <w:t>the</w:t>
      </w:r>
      <w:r>
        <w:rPr>
          <w:spacing w:val="32"/>
        </w:rPr>
        <w:t xml:space="preserve"> </w:t>
      </w:r>
      <w:r>
        <w:rPr>
          <w:spacing w:val="-1"/>
        </w:rPr>
        <w:t>purposes</w:t>
      </w:r>
      <w:r>
        <w:rPr>
          <w:spacing w:val="35"/>
        </w:rPr>
        <w:t xml:space="preserve"> </w:t>
      </w:r>
      <w:r>
        <w:rPr>
          <w:spacing w:val="-2"/>
        </w:rPr>
        <w:t>of</w:t>
      </w:r>
      <w:r>
        <w:rPr>
          <w:spacing w:val="34"/>
        </w:rPr>
        <w:t xml:space="preserve"> </w:t>
      </w:r>
      <w:r>
        <w:rPr>
          <w:spacing w:val="-1"/>
        </w:rPr>
        <w:t>formalising</w:t>
      </w:r>
      <w:r>
        <w:rPr>
          <w:spacing w:val="35"/>
        </w:rPr>
        <w:t xml:space="preserve"> </w:t>
      </w:r>
      <w:r>
        <w:rPr>
          <w:spacing w:val="-2"/>
        </w:rPr>
        <w:t>and</w:t>
      </w:r>
      <w:r>
        <w:rPr>
          <w:spacing w:val="36"/>
        </w:rPr>
        <w:t xml:space="preserve"> </w:t>
      </w:r>
      <w:r>
        <w:rPr>
          <w:spacing w:val="-1"/>
        </w:rPr>
        <w:t>documenting</w:t>
      </w:r>
      <w:r>
        <w:rPr>
          <w:spacing w:val="35"/>
        </w:rPr>
        <w:t xml:space="preserve"> </w:t>
      </w:r>
      <w:r>
        <w:rPr>
          <w:spacing w:val="-1"/>
        </w:rPr>
        <w:t>the</w:t>
      </w:r>
      <w:r>
        <w:rPr>
          <w:spacing w:val="30"/>
        </w:rPr>
        <w:t xml:space="preserve"> </w:t>
      </w:r>
      <w:r>
        <w:rPr>
          <w:spacing w:val="-2"/>
        </w:rPr>
        <w:t>relevant</w:t>
      </w:r>
      <w:r>
        <w:rPr>
          <w:spacing w:val="17"/>
        </w:rPr>
        <w:t xml:space="preserve"> </w:t>
      </w:r>
      <w:r>
        <w:rPr>
          <w:spacing w:val="-1"/>
        </w:rPr>
        <w:t>change</w:t>
      </w:r>
      <w:r>
        <w:rPr>
          <w:spacing w:val="16"/>
        </w:rPr>
        <w:t xml:space="preserve"> </w:t>
      </w:r>
      <w:r>
        <w:rPr>
          <w:spacing w:val="-1"/>
        </w:rPr>
        <w:t>or</w:t>
      </w:r>
      <w:r>
        <w:rPr>
          <w:spacing w:val="17"/>
        </w:rPr>
        <w:t xml:space="preserve"> </w:t>
      </w:r>
      <w:r>
        <w:rPr>
          <w:spacing w:val="-2"/>
        </w:rPr>
        <w:t>amendment</w:t>
      </w:r>
      <w:r>
        <w:rPr>
          <w:spacing w:val="15"/>
        </w:rPr>
        <w:t xml:space="preserve"> </w:t>
      </w:r>
      <w:r>
        <w:t>for</w:t>
      </w:r>
      <w:r>
        <w:rPr>
          <w:spacing w:val="17"/>
        </w:rPr>
        <w:t xml:space="preserve"> </w:t>
      </w:r>
      <w:r>
        <w:rPr>
          <w:spacing w:val="-1"/>
        </w:rPr>
        <w:t>the</w:t>
      </w:r>
      <w:r>
        <w:rPr>
          <w:spacing w:val="16"/>
        </w:rPr>
        <w:t xml:space="preserve"> </w:t>
      </w:r>
      <w:r>
        <w:rPr>
          <w:spacing w:val="-1"/>
        </w:rPr>
        <w:t>purposes</w:t>
      </w:r>
      <w:r>
        <w:rPr>
          <w:spacing w:val="16"/>
        </w:rPr>
        <w:t xml:space="preserve"> </w:t>
      </w:r>
      <w:r>
        <w:rPr>
          <w:spacing w:val="-2"/>
        </w:rPr>
        <w:t>of</w:t>
      </w:r>
      <w:r>
        <w:rPr>
          <w:spacing w:val="20"/>
        </w:rPr>
        <w:t xml:space="preserve"> </w:t>
      </w:r>
      <w:r>
        <w:rPr>
          <w:spacing w:val="-1"/>
        </w:rPr>
        <w:t>this</w:t>
      </w:r>
      <w:r>
        <w:rPr>
          <w:spacing w:val="16"/>
        </w:rPr>
        <w:t xml:space="preserve"> </w:t>
      </w:r>
      <w:r>
        <w:rPr>
          <w:spacing w:val="-2"/>
        </w:rPr>
        <w:t>Call</w:t>
      </w:r>
      <w:r>
        <w:rPr>
          <w:spacing w:val="15"/>
        </w:rPr>
        <w:t xml:space="preserve"> </w:t>
      </w:r>
      <w:r>
        <w:rPr>
          <w:spacing w:val="-1"/>
        </w:rPr>
        <w:t>Off</w:t>
      </w:r>
      <w:r>
        <w:rPr>
          <w:spacing w:val="61"/>
        </w:rPr>
        <w:t xml:space="preserve"> </w:t>
      </w:r>
      <w:r>
        <w:rPr>
          <w:spacing w:val="-1"/>
        </w:rPr>
        <w:t>Contract.</w:t>
      </w:r>
    </w:p>
    <w:p w:rsidR="008918FA" w:rsidRDefault="008918FA" w:rsidP="008918FA">
      <w:pPr>
        <w:pStyle w:val="BodyText"/>
        <w:numPr>
          <w:ilvl w:val="0"/>
          <w:numId w:val="22"/>
        </w:numPr>
        <w:tabs>
          <w:tab w:val="left" w:pos="466"/>
        </w:tabs>
        <w:spacing w:before="117"/>
        <w:ind w:left="465" w:hanging="359"/>
        <w:rPr>
          <w:rFonts w:ascii="Times New Roman" w:eastAsia="Times New Roman" w:hAnsi="Times New Roman" w:cs="Times New Roman"/>
        </w:rPr>
      </w:pPr>
      <w:r>
        <w:rPr>
          <w:rFonts w:ascii="Times New Roman"/>
          <w:spacing w:val="7"/>
        </w:rPr>
        <w:t>BREACH</w:t>
      </w:r>
      <w:r>
        <w:rPr>
          <w:rFonts w:ascii="Times New Roman"/>
          <w:spacing w:val="6"/>
        </w:rPr>
        <w:t xml:space="preserve"> OF</w:t>
      </w:r>
      <w:r>
        <w:rPr>
          <w:rFonts w:ascii="Times New Roman"/>
          <w:spacing w:val="19"/>
        </w:rPr>
        <w:t xml:space="preserve"> </w:t>
      </w:r>
      <w:r>
        <w:rPr>
          <w:rFonts w:ascii="Times New Roman"/>
          <w:spacing w:val="5"/>
        </w:rPr>
        <w:t>SECURITY</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22"/>
        </w:numPr>
        <w:tabs>
          <w:tab w:val="left" w:pos="829"/>
        </w:tabs>
        <w:spacing w:before="0"/>
        <w:ind w:right="113"/>
        <w:jc w:val="both"/>
      </w:pPr>
      <w:bookmarkStart w:id="408" w:name="_bookmark331"/>
      <w:bookmarkEnd w:id="408"/>
      <w:r>
        <w:rPr>
          <w:spacing w:val="-1"/>
        </w:rPr>
        <w:t>Either</w:t>
      </w:r>
      <w:r>
        <w:rPr>
          <w:spacing w:val="28"/>
        </w:rPr>
        <w:t xml:space="preserve"> </w:t>
      </w:r>
      <w:r>
        <w:rPr>
          <w:spacing w:val="-1"/>
        </w:rPr>
        <w:t>party</w:t>
      </w:r>
      <w:r>
        <w:rPr>
          <w:spacing w:val="25"/>
        </w:rPr>
        <w:t xml:space="preserve"> </w:t>
      </w:r>
      <w:r>
        <w:rPr>
          <w:spacing w:val="-1"/>
        </w:rPr>
        <w:t>shall</w:t>
      </w:r>
      <w:r>
        <w:rPr>
          <w:spacing w:val="26"/>
        </w:rPr>
        <w:t xml:space="preserve"> </w:t>
      </w:r>
      <w:r>
        <w:t>notify</w:t>
      </w:r>
      <w:r>
        <w:rPr>
          <w:spacing w:val="25"/>
        </w:rPr>
        <w:t xml:space="preserve"> </w:t>
      </w:r>
      <w:r>
        <w:t>the</w:t>
      </w:r>
      <w:r>
        <w:rPr>
          <w:spacing w:val="27"/>
        </w:rPr>
        <w:t xml:space="preserve"> </w:t>
      </w:r>
      <w:r>
        <w:rPr>
          <w:spacing w:val="-1"/>
        </w:rPr>
        <w:t>other</w:t>
      </w:r>
      <w:r>
        <w:rPr>
          <w:spacing w:val="28"/>
        </w:rPr>
        <w:t xml:space="preserve"> </w:t>
      </w:r>
      <w:r>
        <w:rPr>
          <w:spacing w:val="-1"/>
        </w:rPr>
        <w:t>in</w:t>
      </w:r>
      <w:r>
        <w:rPr>
          <w:spacing w:val="27"/>
        </w:rPr>
        <w:t xml:space="preserve"> </w:t>
      </w:r>
      <w:r>
        <w:rPr>
          <w:spacing w:val="-1"/>
        </w:rPr>
        <w:t>accordance</w:t>
      </w:r>
      <w:r>
        <w:rPr>
          <w:spacing w:val="25"/>
        </w:rPr>
        <w:t xml:space="preserve"> </w:t>
      </w:r>
      <w:r>
        <w:rPr>
          <w:spacing w:val="-1"/>
        </w:rPr>
        <w:t>with</w:t>
      </w:r>
      <w:r>
        <w:rPr>
          <w:spacing w:val="27"/>
        </w:rPr>
        <w:t xml:space="preserve"> </w:t>
      </w:r>
      <w:r>
        <w:t>the</w:t>
      </w:r>
      <w:r>
        <w:rPr>
          <w:spacing w:val="27"/>
        </w:rPr>
        <w:t xml:space="preserve"> </w:t>
      </w:r>
      <w:r>
        <w:rPr>
          <w:spacing w:val="-1"/>
        </w:rPr>
        <w:t>agreed</w:t>
      </w:r>
      <w:r>
        <w:rPr>
          <w:spacing w:val="27"/>
        </w:rPr>
        <w:t xml:space="preserve"> </w:t>
      </w:r>
      <w:r>
        <w:rPr>
          <w:spacing w:val="-2"/>
        </w:rPr>
        <w:t>security</w:t>
      </w:r>
      <w:r>
        <w:rPr>
          <w:spacing w:val="25"/>
        </w:rPr>
        <w:t xml:space="preserve"> </w:t>
      </w:r>
      <w:r>
        <w:rPr>
          <w:spacing w:val="-2"/>
        </w:rPr>
        <w:t>incident</w:t>
      </w:r>
      <w:r>
        <w:rPr>
          <w:spacing w:val="54"/>
        </w:rPr>
        <w:t xml:space="preserve"> </w:t>
      </w:r>
      <w:r>
        <w:rPr>
          <w:spacing w:val="-1"/>
        </w:rPr>
        <w:t>management</w:t>
      </w:r>
      <w:r>
        <w:rPr>
          <w:spacing w:val="19"/>
        </w:rPr>
        <w:t xml:space="preserve"> </w:t>
      </w:r>
      <w:r>
        <w:rPr>
          <w:spacing w:val="-1"/>
        </w:rPr>
        <w:t>process</w:t>
      </w:r>
      <w:r>
        <w:rPr>
          <w:spacing w:val="16"/>
        </w:rPr>
        <w:t xml:space="preserve"> </w:t>
      </w:r>
      <w:r>
        <w:rPr>
          <w:spacing w:val="-1"/>
        </w:rPr>
        <w:t>(as</w:t>
      </w:r>
      <w:r>
        <w:rPr>
          <w:spacing w:val="18"/>
        </w:rPr>
        <w:t xml:space="preserve"> </w:t>
      </w:r>
      <w:r>
        <w:rPr>
          <w:spacing w:val="-1"/>
        </w:rPr>
        <w:t>detailed</w:t>
      </w:r>
      <w:r>
        <w:rPr>
          <w:spacing w:val="17"/>
        </w:rPr>
        <w:t xml:space="preserve"> </w:t>
      </w:r>
      <w:r>
        <w:rPr>
          <w:spacing w:val="-1"/>
        </w:rPr>
        <w:t>in</w:t>
      </w:r>
      <w:r>
        <w:rPr>
          <w:spacing w:val="20"/>
        </w:rPr>
        <w:t xml:space="preserve"> </w:t>
      </w:r>
      <w:r>
        <w:t>the</w:t>
      </w:r>
      <w:r>
        <w:rPr>
          <w:spacing w:val="17"/>
        </w:rPr>
        <w:t xml:space="preserve"> </w:t>
      </w:r>
      <w:r>
        <w:rPr>
          <w:spacing w:val="-1"/>
        </w:rPr>
        <w:t>Security</w:t>
      </w:r>
      <w:r>
        <w:rPr>
          <w:spacing w:val="18"/>
        </w:rPr>
        <w:t xml:space="preserve"> </w:t>
      </w:r>
      <w:r>
        <w:rPr>
          <w:spacing w:val="-1"/>
        </w:rPr>
        <w:t>Management</w:t>
      </w:r>
      <w:r>
        <w:rPr>
          <w:spacing w:val="19"/>
        </w:rPr>
        <w:t xml:space="preserve"> </w:t>
      </w:r>
      <w:r>
        <w:rPr>
          <w:spacing w:val="-1"/>
        </w:rPr>
        <w:t>Plan</w:t>
      </w:r>
      <w:r>
        <w:rPr>
          <w:spacing w:val="17"/>
        </w:rPr>
        <w:t xml:space="preserve"> </w:t>
      </w:r>
      <w:r>
        <w:rPr>
          <w:spacing w:val="-1"/>
        </w:rPr>
        <w:t>if</w:t>
      </w:r>
      <w:r>
        <w:rPr>
          <w:spacing w:val="21"/>
        </w:rPr>
        <w:t xml:space="preserve"> </w:t>
      </w:r>
      <w:r>
        <w:rPr>
          <w:spacing w:val="-1"/>
        </w:rPr>
        <w:t>one</w:t>
      </w:r>
      <w:r>
        <w:rPr>
          <w:spacing w:val="17"/>
        </w:rPr>
        <w:t xml:space="preserve"> </w:t>
      </w:r>
      <w:r>
        <w:rPr>
          <w:spacing w:val="-1"/>
        </w:rPr>
        <w:t>exists)</w:t>
      </w:r>
      <w:r>
        <w:rPr>
          <w:spacing w:val="30"/>
        </w:rPr>
        <w:t xml:space="preserve"> </w:t>
      </w:r>
      <w:r>
        <w:rPr>
          <w:spacing w:val="-1"/>
        </w:rPr>
        <w:t>upon</w:t>
      </w:r>
      <w:r>
        <w:rPr>
          <w:spacing w:val="46"/>
        </w:rPr>
        <w:t xml:space="preserve"> </w:t>
      </w:r>
      <w:r>
        <w:rPr>
          <w:spacing w:val="-1"/>
        </w:rPr>
        <w:t>becoming</w:t>
      </w:r>
      <w:r>
        <w:rPr>
          <w:spacing w:val="48"/>
        </w:rPr>
        <w:t xml:space="preserve"> </w:t>
      </w:r>
      <w:r>
        <w:rPr>
          <w:spacing w:val="-2"/>
        </w:rPr>
        <w:t>aware</w:t>
      </w:r>
      <w:r>
        <w:rPr>
          <w:spacing w:val="48"/>
        </w:rPr>
        <w:t xml:space="preserve"> </w:t>
      </w:r>
      <w:r>
        <w:rPr>
          <w:spacing w:val="-2"/>
        </w:rPr>
        <w:t>of</w:t>
      </w:r>
      <w:r>
        <w:rPr>
          <w:spacing w:val="49"/>
        </w:rPr>
        <w:t xml:space="preserve"> </w:t>
      </w:r>
      <w:r>
        <w:rPr>
          <w:spacing w:val="-1"/>
        </w:rPr>
        <w:t>any</w:t>
      </w:r>
      <w:r>
        <w:rPr>
          <w:spacing w:val="44"/>
        </w:rPr>
        <w:t xml:space="preserve"> </w:t>
      </w:r>
      <w:r>
        <w:rPr>
          <w:spacing w:val="-1"/>
        </w:rPr>
        <w:t>Breach</w:t>
      </w:r>
      <w:r>
        <w:rPr>
          <w:spacing w:val="46"/>
        </w:rPr>
        <w:t xml:space="preserve"> </w:t>
      </w:r>
      <w:r>
        <w:rPr>
          <w:spacing w:val="-1"/>
        </w:rPr>
        <w:t>of</w:t>
      </w:r>
      <w:r>
        <w:rPr>
          <w:spacing w:val="50"/>
        </w:rPr>
        <w:t xml:space="preserve"> </w:t>
      </w:r>
      <w:r>
        <w:rPr>
          <w:spacing w:val="-1"/>
        </w:rPr>
        <w:t>Security</w:t>
      </w:r>
      <w:r>
        <w:rPr>
          <w:spacing w:val="44"/>
        </w:rPr>
        <w:t xml:space="preserve"> </w:t>
      </w:r>
      <w:r>
        <w:rPr>
          <w:spacing w:val="-1"/>
        </w:rPr>
        <w:t>or</w:t>
      </w:r>
      <w:r>
        <w:rPr>
          <w:spacing w:val="47"/>
        </w:rPr>
        <w:t xml:space="preserve"> </w:t>
      </w:r>
      <w:r>
        <w:t>any</w:t>
      </w:r>
      <w:r>
        <w:rPr>
          <w:spacing w:val="44"/>
        </w:rPr>
        <w:t xml:space="preserve"> </w:t>
      </w:r>
      <w:r>
        <w:rPr>
          <w:spacing w:val="-1"/>
        </w:rPr>
        <w:t>potential</w:t>
      </w:r>
      <w:r>
        <w:rPr>
          <w:spacing w:val="47"/>
        </w:rPr>
        <w:t xml:space="preserve"> </w:t>
      </w:r>
      <w:r>
        <w:rPr>
          <w:spacing w:val="-1"/>
        </w:rPr>
        <w:t>or</w:t>
      </w:r>
      <w:r>
        <w:rPr>
          <w:spacing w:val="49"/>
        </w:rPr>
        <w:t xml:space="preserve"> </w:t>
      </w:r>
      <w:r>
        <w:rPr>
          <w:spacing w:val="-1"/>
        </w:rPr>
        <w:t>attempted</w:t>
      </w:r>
      <w:r>
        <w:rPr>
          <w:spacing w:val="51"/>
        </w:rPr>
        <w:t xml:space="preserve"> </w:t>
      </w:r>
      <w:r>
        <w:rPr>
          <w:spacing w:val="-1"/>
        </w:rPr>
        <w:t>Breach</w:t>
      </w:r>
      <w:r>
        <w:rPr>
          <w:spacing w:val="1"/>
        </w:rPr>
        <w:t xml:space="preserve"> </w:t>
      </w:r>
      <w:r>
        <w:rPr>
          <w:spacing w:val="-2"/>
        </w:rPr>
        <w:t>of</w:t>
      </w:r>
      <w:r>
        <w:rPr>
          <w:spacing w:val="2"/>
        </w:rPr>
        <w:t xml:space="preserve"> </w:t>
      </w:r>
      <w:r>
        <w:rPr>
          <w:spacing w:val="-2"/>
        </w:rPr>
        <w:t>Security.</w:t>
      </w:r>
    </w:p>
    <w:p w:rsidR="008918FA" w:rsidRDefault="008918FA" w:rsidP="008918FA">
      <w:pPr>
        <w:pStyle w:val="BodyText"/>
        <w:numPr>
          <w:ilvl w:val="1"/>
          <w:numId w:val="22"/>
        </w:numPr>
        <w:tabs>
          <w:tab w:val="left" w:pos="829"/>
        </w:tabs>
        <w:ind w:right="118"/>
        <w:jc w:val="both"/>
      </w:pPr>
      <w:r>
        <w:rPr>
          <w:spacing w:val="-1"/>
        </w:rPr>
        <w:t>Without</w:t>
      </w:r>
      <w:r>
        <w:rPr>
          <w:spacing w:val="40"/>
        </w:rPr>
        <w:t xml:space="preserve"> </w:t>
      </w:r>
      <w:r>
        <w:rPr>
          <w:spacing w:val="-1"/>
        </w:rPr>
        <w:t>prejudice</w:t>
      </w:r>
      <w:r>
        <w:rPr>
          <w:spacing w:val="39"/>
        </w:rPr>
        <w:t xml:space="preserve"> </w:t>
      </w:r>
      <w:r>
        <w:t>to</w:t>
      </w:r>
      <w:r>
        <w:rPr>
          <w:spacing w:val="38"/>
        </w:rPr>
        <w:t xml:space="preserve"> </w:t>
      </w:r>
      <w:r>
        <w:t>the</w:t>
      </w:r>
      <w:r>
        <w:rPr>
          <w:spacing w:val="38"/>
        </w:rPr>
        <w:t xml:space="preserve"> </w:t>
      </w:r>
      <w:r>
        <w:rPr>
          <w:spacing w:val="-1"/>
        </w:rPr>
        <w:t>security</w:t>
      </w:r>
      <w:r>
        <w:rPr>
          <w:spacing w:val="39"/>
        </w:rPr>
        <w:t xml:space="preserve"> </w:t>
      </w:r>
      <w:r>
        <w:rPr>
          <w:spacing w:val="-1"/>
        </w:rPr>
        <w:t>incident</w:t>
      </w:r>
      <w:r>
        <w:rPr>
          <w:spacing w:val="40"/>
        </w:rPr>
        <w:t xml:space="preserve"> </w:t>
      </w:r>
      <w:r>
        <w:rPr>
          <w:spacing w:val="-1"/>
        </w:rPr>
        <w:t>management</w:t>
      </w:r>
      <w:r>
        <w:rPr>
          <w:spacing w:val="41"/>
        </w:rPr>
        <w:t xml:space="preserve"> </w:t>
      </w:r>
      <w:r>
        <w:rPr>
          <w:spacing w:val="-1"/>
        </w:rPr>
        <w:t>process,</w:t>
      </w:r>
      <w:r>
        <w:rPr>
          <w:spacing w:val="41"/>
        </w:rPr>
        <w:t xml:space="preserve"> </w:t>
      </w:r>
      <w:r>
        <w:rPr>
          <w:spacing w:val="-1"/>
        </w:rPr>
        <w:t>upon</w:t>
      </w:r>
      <w:r>
        <w:rPr>
          <w:spacing w:val="38"/>
        </w:rPr>
        <w:t xml:space="preserve"> </w:t>
      </w:r>
      <w:r>
        <w:rPr>
          <w:spacing w:val="-1"/>
        </w:rPr>
        <w:t>becoming</w:t>
      </w:r>
      <w:r>
        <w:rPr>
          <w:spacing w:val="27"/>
        </w:rPr>
        <w:t xml:space="preserve"> </w:t>
      </w:r>
      <w:r>
        <w:rPr>
          <w:spacing w:val="-2"/>
        </w:rPr>
        <w:t>aware</w:t>
      </w:r>
      <w:r>
        <w:t xml:space="preserve"> </w:t>
      </w:r>
      <w:r>
        <w:rPr>
          <w:spacing w:val="-1"/>
        </w:rPr>
        <w:t>of</w:t>
      </w:r>
      <w:r>
        <w:rPr>
          <w:spacing w:val="2"/>
        </w:rPr>
        <w:t xml:space="preserve"> </w:t>
      </w:r>
      <w:r>
        <w:rPr>
          <w:spacing w:val="-1"/>
        </w:rPr>
        <w:t>any</w:t>
      </w:r>
      <w:r>
        <w:rPr>
          <w:spacing w:val="-2"/>
        </w:rPr>
        <w:t xml:space="preserve"> of</w:t>
      </w:r>
      <w:r>
        <w:rPr>
          <w:spacing w:val="2"/>
        </w:rPr>
        <w:t xml:space="preserve"> </w:t>
      </w:r>
      <w:r>
        <w:t>the</w:t>
      </w:r>
      <w:r>
        <w:rPr>
          <w:spacing w:val="-2"/>
        </w:rPr>
        <w:t xml:space="preserve"> </w:t>
      </w:r>
      <w:r>
        <w:rPr>
          <w:spacing w:val="-1"/>
        </w:rPr>
        <w:t>circumstances</w:t>
      </w:r>
      <w:r>
        <w:rPr>
          <w:spacing w:val="-2"/>
        </w:rPr>
        <w:t xml:space="preserve"> </w:t>
      </w:r>
      <w:r>
        <w:rPr>
          <w:spacing w:val="-1"/>
        </w:rPr>
        <w:t>referred</w:t>
      </w:r>
      <w:r>
        <w:rPr>
          <w:spacing w:val="-2"/>
        </w:rPr>
        <w:t xml:space="preserve"> </w:t>
      </w:r>
      <w:r>
        <w:t>to</w:t>
      </w:r>
      <w:r>
        <w:rPr>
          <w:spacing w:val="-2"/>
        </w:rPr>
        <w:t xml:space="preserve"> </w:t>
      </w:r>
      <w:r>
        <w:rPr>
          <w:spacing w:val="-1"/>
        </w:rPr>
        <w:t>in</w:t>
      </w:r>
      <w:r>
        <w:t xml:space="preserve"> </w:t>
      </w:r>
      <w:r>
        <w:rPr>
          <w:spacing w:val="-1"/>
        </w:rPr>
        <w:t>paragraph</w:t>
      </w:r>
      <w:r>
        <w:t xml:space="preserve"> </w:t>
      </w:r>
      <w:r>
        <w:rPr>
          <w:spacing w:val="1"/>
        </w:rPr>
        <w:t xml:space="preserve"> </w:t>
      </w:r>
      <w:hyperlink w:anchor="_bookmark331" w:history="1">
        <w:r>
          <w:rPr>
            <w:spacing w:val="-1"/>
          </w:rPr>
          <w:t>5.1</w:t>
        </w:r>
      </w:hyperlink>
      <w:r>
        <w:rPr>
          <w:spacing w:val="-1"/>
        </w:rPr>
        <w:t>,</w:t>
      </w:r>
      <w:r>
        <w:t xml:space="preserve"> the</w:t>
      </w:r>
      <w:r>
        <w:rPr>
          <w:spacing w:val="-2"/>
        </w:rPr>
        <w:t xml:space="preserve"> Supplier</w:t>
      </w:r>
      <w:r>
        <w:rPr>
          <w:spacing w:val="2"/>
        </w:rPr>
        <w:t xml:space="preserve"> </w:t>
      </w:r>
      <w:r>
        <w:rPr>
          <w:spacing w:val="-1"/>
        </w:rPr>
        <w:t>shall:</w:t>
      </w:r>
    </w:p>
    <w:p w:rsidR="008918FA" w:rsidRDefault="008918FA" w:rsidP="008918FA">
      <w:pPr>
        <w:pStyle w:val="BodyText"/>
        <w:numPr>
          <w:ilvl w:val="2"/>
          <w:numId w:val="17"/>
        </w:numPr>
        <w:tabs>
          <w:tab w:val="left" w:pos="2026"/>
        </w:tabs>
        <w:ind w:right="121" w:hanging="993"/>
        <w:jc w:val="both"/>
      </w:pPr>
      <w:r>
        <w:rPr>
          <w:spacing w:val="-1"/>
        </w:rPr>
        <w:t>immediately</w:t>
      </w:r>
      <w:r>
        <w:rPr>
          <w:spacing w:val="1"/>
        </w:rPr>
        <w:t xml:space="preserve"> </w:t>
      </w:r>
      <w:r>
        <w:t>take</w:t>
      </w:r>
      <w:r>
        <w:rPr>
          <w:spacing w:val="3"/>
        </w:rPr>
        <w:t xml:space="preserve"> </w:t>
      </w:r>
      <w:r>
        <w:rPr>
          <w:spacing w:val="-1"/>
        </w:rPr>
        <w:t>all</w:t>
      </w:r>
      <w:r>
        <w:rPr>
          <w:spacing w:val="2"/>
        </w:rPr>
        <w:t xml:space="preserve"> </w:t>
      </w:r>
      <w:r>
        <w:rPr>
          <w:spacing w:val="-2"/>
        </w:rPr>
        <w:t>reasonable</w:t>
      </w:r>
      <w:r>
        <w:rPr>
          <w:spacing w:val="3"/>
        </w:rPr>
        <w:t xml:space="preserve"> </w:t>
      </w:r>
      <w:r>
        <w:rPr>
          <w:spacing w:val="-1"/>
        </w:rPr>
        <w:t>steps(which</w:t>
      </w:r>
      <w:r>
        <w:rPr>
          <w:spacing w:val="3"/>
        </w:rPr>
        <w:t xml:space="preserve"> </w:t>
      </w:r>
      <w:r>
        <w:rPr>
          <w:spacing w:val="-1"/>
        </w:rPr>
        <w:t>shall</w:t>
      </w:r>
      <w:r>
        <w:rPr>
          <w:spacing w:val="2"/>
        </w:rPr>
        <w:t xml:space="preserve"> </w:t>
      </w:r>
      <w:r>
        <w:rPr>
          <w:spacing w:val="-1"/>
        </w:rPr>
        <w:t>include</w:t>
      </w:r>
      <w:r>
        <w:rPr>
          <w:spacing w:val="3"/>
        </w:rPr>
        <w:t xml:space="preserve"> </w:t>
      </w:r>
      <w:r>
        <w:rPr>
          <w:spacing w:val="-1"/>
        </w:rPr>
        <w:t>any</w:t>
      </w:r>
      <w:r>
        <w:rPr>
          <w:spacing w:val="1"/>
        </w:rPr>
        <w:t xml:space="preserve"> </w:t>
      </w:r>
      <w:r>
        <w:rPr>
          <w:spacing w:val="-1"/>
        </w:rPr>
        <w:t>action</w:t>
      </w:r>
      <w:r>
        <w:rPr>
          <w:spacing w:val="3"/>
        </w:rPr>
        <w:t xml:space="preserve"> </w:t>
      </w:r>
      <w:r>
        <w:rPr>
          <w:spacing w:val="-1"/>
        </w:rPr>
        <w:t>or</w:t>
      </w:r>
      <w:r>
        <w:rPr>
          <w:spacing w:val="28"/>
        </w:rPr>
        <w:t xml:space="preserve"> </w:t>
      </w:r>
      <w:r>
        <w:rPr>
          <w:spacing w:val="-1"/>
        </w:rPr>
        <w:t>changes</w:t>
      </w:r>
      <w:r>
        <w:rPr>
          <w:spacing w:val="-2"/>
        </w:rPr>
        <w:t xml:space="preserve"> </w:t>
      </w:r>
      <w:r>
        <w:rPr>
          <w:spacing w:val="-1"/>
        </w:rPr>
        <w:t>reasonably</w:t>
      </w:r>
      <w:r>
        <w:rPr>
          <w:spacing w:val="-2"/>
        </w:rPr>
        <w:t xml:space="preserve"> </w:t>
      </w:r>
      <w:r>
        <w:rPr>
          <w:spacing w:val="-1"/>
        </w:rPr>
        <w:t>required</w:t>
      </w:r>
      <w:r>
        <w:t xml:space="preserve"> </w:t>
      </w:r>
      <w:r>
        <w:rPr>
          <w:spacing w:val="-1"/>
        </w:rPr>
        <w:t>by</w:t>
      </w:r>
      <w:r>
        <w:rPr>
          <w:spacing w:val="-2"/>
        </w:rPr>
        <w:t xml:space="preserve"> </w:t>
      </w:r>
      <w:r>
        <w:t xml:space="preserve">the </w:t>
      </w:r>
      <w:r>
        <w:rPr>
          <w:spacing w:val="-2"/>
        </w:rPr>
        <w:t>Customer)</w:t>
      </w:r>
      <w:r>
        <w:rPr>
          <w:spacing w:val="2"/>
        </w:rPr>
        <w:t xml:space="preserve"> </w:t>
      </w:r>
      <w:r>
        <w:rPr>
          <w:spacing w:val="-1"/>
        </w:rPr>
        <w:t>necessary</w:t>
      </w:r>
      <w:r>
        <w:rPr>
          <w:spacing w:val="-2"/>
        </w:rPr>
        <w:t xml:space="preserve"> </w:t>
      </w:r>
      <w:r>
        <w:rPr>
          <w:spacing w:val="-1"/>
        </w:rPr>
        <w:t>to:</w:t>
      </w:r>
    </w:p>
    <w:p w:rsidR="008918FA" w:rsidRDefault="008918FA" w:rsidP="008918FA">
      <w:pPr>
        <w:pStyle w:val="BodyText"/>
        <w:numPr>
          <w:ilvl w:val="3"/>
          <w:numId w:val="17"/>
        </w:numPr>
        <w:tabs>
          <w:tab w:val="left" w:pos="2734"/>
        </w:tabs>
        <w:ind w:right="125"/>
      </w:pPr>
      <w:r>
        <w:rPr>
          <w:spacing w:val="-1"/>
        </w:rPr>
        <w:t>minimise</w:t>
      </w:r>
      <w:r>
        <w:rPr>
          <w:spacing w:val="22"/>
        </w:rPr>
        <w:t xml:space="preserve"> </w:t>
      </w:r>
      <w:r>
        <w:t>the</w:t>
      </w:r>
      <w:r>
        <w:rPr>
          <w:spacing w:val="22"/>
        </w:rPr>
        <w:t xml:space="preserve"> </w:t>
      </w:r>
      <w:r>
        <w:rPr>
          <w:spacing w:val="-1"/>
        </w:rPr>
        <w:t>extent</w:t>
      </w:r>
      <w:r>
        <w:rPr>
          <w:spacing w:val="23"/>
        </w:rPr>
        <w:t xml:space="preserve"> </w:t>
      </w:r>
      <w:r>
        <w:rPr>
          <w:spacing w:val="-2"/>
        </w:rPr>
        <w:t>of</w:t>
      </w:r>
      <w:r>
        <w:rPr>
          <w:spacing w:val="26"/>
        </w:rPr>
        <w:t xml:space="preserve"> </w:t>
      </w:r>
      <w:r>
        <w:rPr>
          <w:spacing w:val="-1"/>
        </w:rPr>
        <w:t>actual</w:t>
      </w:r>
      <w:r>
        <w:rPr>
          <w:spacing w:val="21"/>
        </w:rPr>
        <w:t xml:space="preserve"> </w:t>
      </w:r>
      <w:r>
        <w:rPr>
          <w:spacing w:val="-1"/>
        </w:rPr>
        <w:t>or</w:t>
      </w:r>
      <w:r>
        <w:rPr>
          <w:spacing w:val="23"/>
        </w:rPr>
        <w:t xml:space="preserve"> </w:t>
      </w:r>
      <w:r>
        <w:rPr>
          <w:spacing w:val="-1"/>
        </w:rPr>
        <w:t>potential</w:t>
      </w:r>
      <w:r>
        <w:rPr>
          <w:spacing w:val="23"/>
        </w:rPr>
        <w:t xml:space="preserve"> </w:t>
      </w:r>
      <w:r>
        <w:rPr>
          <w:spacing w:val="-1"/>
        </w:rPr>
        <w:t>harm</w:t>
      </w:r>
      <w:r>
        <w:rPr>
          <w:spacing w:val="23"/>
        </w:rPr>
        <w:t xml:space="preserve"> </w:t>
      </w:r>
      <w:r>
        <w:rPr>
          <w:spacing w:val="-1"/>
        </w:rPr>
        <w:t>caused</w:t>
      </w:r>
      <w:r>
        <w:rPr>
          <w:spacing w:val="22"/>
        </w:rPr>
        <w:t xml:space="preserve"> </w:t>
      </w:r>
      <w:r>
        <w:rPr>
          <w:spacing w:val="-1"/>
        </w:rPr>
        <w:t>by</w:t>
      </w:r>
      <w:r>
        <w:rPr>
          <w:spacing w:val="20"/>
        </w:rPr>
        <w:t xml:space="preserve"> </w:t>
      </w:r>
      <w:r>
        <w:t>any</w:t>
      </w:r>
      <w:r>
        <w:rPr>
          <w:spacing w:val="27"/>
        </w:rPr>
        <w:t xml:space="preserve"> </w:t>
      </w:r>
      <w:r>
        <w:rPr>
          <w:spacing w:val="-1"/>
        </w:rPr>
        <w:t>Breach</w:t>
      </w:r>
      <w:r>
        <w:rPr>
          <w:spacing w:val="1"/>
        </w:rPr>
        <w:t xml:space="preserve"> </w:t>
      </w:r>
      <w:r>
        <w:rPr>
          <w:spacing w:val="-2"/>
        </w:rPr>
        <w:t>of</w:t>
      </w:r>
      <w:r>
        <w:rPr>
          <w:spacing w:val="2"/>
        </w:rPr>
        <w:t xml:space="preserve"> </w:t>
      </w:r>
      <w:r>
        <w:rPr>
          <w:spacing w:val="-2"/>
        </w:rPr>
        <w:t>Security;</w:t>
      </w:r>
    </w:p>
    <w:p w:rsidR="008918FA" w:rsidRDefault="008918FA" w:rsidP="008918FA">
      <w:pPr>
        <w:pStyle w:val="BodyText"/>
        <w:numPr>
          <w:ilvl w:val="3"/>
          <w:numId w:val="17"/>
        </w:numPr>
        <w:tabs>
          <w:tab w:val="left" w:pos="2734"/>
        </w:tabs>
        <w:spacing w:before="121"/>
        <w:ind w:right="113"/>
        <w:jc w:val="both"/>
      </w:pPr>
      <w:r>
        <w:rPr>
          <w:spacing w:val="-1"/>
        </w:rPr>
        <w:t>remedy</w:t>
      </w:r>
      <w:r>
        <w:rPr>
          <w:spacing w:val="56"/>
        </w:rPr>
        <w:t xml:space="preserve"> </w:t>
      </w:r>
      <w:r>
        <w:rPr>
          <w:spacing w:val="-1"/>
        </w:rPr>
        <w:t>such</w:t>
      </w:r>
      <w:r>
        <w:rPr>
          <w:spacing w:val="58"/>
        </w:rPr>
        <w:t xml:space="preserve"> </w:t>
      </w:r>
      <w:r>
        <w:rPr>
          <w:spacing w:val="-1"/>
        </w:rPr>
        <w:t>Breach</w:t>
      </w:r>
      <w:r>
        <w:rPr>
          <w:spacing w:val="58"/>
        </w:rPr>
        <w:t xml:space="preserve"> </w:t>
      </w:r>
      <w:r>
        <w:rPr>
          <w:spacing w:val="-2"/>
        </w:rPr>
        <w:t>of</w:t>
      </w:r>
      <w:r>
        <w:rPr>
          <w:spacing w:val="57"/>
        </w:rPr>
        <w:t xml:space="preserve"> </w:t>
      </w:r>
      <w:r>
        <w:rPr>
          <w:spacing w:val="-1"/>
        </w:rPr>
        <w:t>Security</w:t>
      </w:r>
      <w:r>
        <w:rPr>
          <w:spacing w:val="56"/>
        </w:rPr>
        <w:t xml:space="preserve"> </w:t>
      </w:r>
      <w:r>
        <w:t>to</w:t>
      </w:r>
      <w:r>
        <w:rPr>
          <w:spacing w:val="58"/>
        </w:rPr>
        <w:t xml:space="preserve"> </w:t>
      </w:r>
      <w:r>
        <w:t>the</w:t>
      </w:r>
      <w:r>
        <w:rPr>
          <w:spacing w:val="59"/>
        </w:rPr>
        <w:t xml:space="preserve"> </w:t>
      </w:r>
      <w:r>
        <w:rPr>
          <w:spacing w:val="-1"/>
        </w:rPr>
        <w:t>extent</w:t>
      </w:r>
      <w:r>
        <w:rPr>
          <w:spacing w:val="57"/>
        </w:rPr>
        <w:t xml:space="preserve"> </w:t>
      </w:r>
      <w:r>
        <w:rPr>
          <w:spacing w:val="-1"/>
        </w:rPr>
        <w:t>possible</w:t>
      </w:r>
      <w:r>
        <w:rPr>
          <w:spacing w:val="58"/>
        </w:rPr>
        <w:t xml:space="preserve"> </w:t>
      </w:r>
      <w:r>
        <w:rPr>
          <w:spacing w:val="-1"/>
        </w:rPr>
        <w:t>and</w:t>
      </w:r>
      <w:r>
        <w:rPr>
          <w:spacing w:val="28"/>
        </w:rPr>
        <w:t xml:space="preserve"> </w:t>
      </w:r>
      <w:r>
        <w:rPr>
          <w:spacing w:val="-1"/>
        </w:rPr>
        <w:t>protect</w:t>
      </w:r>
      <w:r>
        <w:rPr>
          <w:spacing w:val="38"/>
        </w:rPr>
        <w:t xml:space="preserve"> </w:t>
      </w:r>
      <w:r>
        <w:t>the</w:t>
      </w:r>
      <w:r>
        <w:rPr>
          <w:spacing w:val="34"/>
        </w:rPr>
        <w:t xml:space="preserve"> </w:t>
      </w:r>
      <w:r>
        <w:rPr>
          <w:spacing w:val="-1"/>
        </w:rPr>
        <w:t>integrity</w:t>
      </w:r>
      <w:r>
        <w:rPr>
          <w:spacing w:val="34"/>
        </w:rPr>
        <w:t xml:space="preserve"> </w:t>
      </w:r>
      <w:r>
        <w:rPr>
          <w:spacing w:val="-2"/>
        </w:rPr>
        <w:t>of</w:t>
      </w:r>
      <w:r>
        <w:rPr>
          <w:spacing w:val="38"/>
        </w:rPr>
        <w:t xml:space="preserve"> </w:t>
      </w:r>
      <w:r>
        <w:rPr>
          <w:spacing w:val="-1"/>
        </w:rPr>
        <w:t>the</w:t>
      </w:r>
      <w:r>
        <w:rPr>
          <w:spacing w:val="36"/>
        </w:rPr>
        <w:t xml:space="preserve"> </w:t>
      </w:r>
      <w:r>
        <w:rPr>
          <w:spacing w:val="-1"/>
        </w:rPr>
        <w:t>Customer</w:t>
      </w:r>
      <w:r>
        <w:rPr>
          <w:spacing w:val="38"/>
        </w:rPr>
        <w:t xml:space="preserve"> </w:t>
      </w:r>
      <w:r>
        <w:rPr>
          <w:spacing w:val="-1"/>
        </w:rPr>
        <w:t>and</w:t>
      </w:r>
      <w:r>
        <w:rPr>
          <w:spacing w:val="35"/>
        </w:rPr>
        <w:t xml:space="preserve"> </w:t>
      </w:r>
      <w:r>
        <w:t>the</w:t>
      </w:r>
      <w:r>
        <w:rPr>
          <w:spacing w:val="37"/>
        </w:rPr>
        <w:t xml:space="preserve"> </w:t>
      </w:r>
      <w:r>
        <w:rPr>
          <w:spacing w:val="-2"/>
        </w:rPr>
        <w:t>provision</w:t>
      </w:r>
      <w:r>
        <w:rPr>
          <w:spacing w:val="36"/>
        </w:rPr>
        <w:t xml:space="preserve"> </w:t>
      </w:r>
      <w:r>
        <w:rPr>
          <w:spacing w:val="-1"/>
        </w:rPr>
        <w:t>of</w:t>
      </w:r>
      <w:r>
        <w:rPr>
          <w:spacing w:val="40"/>
        </w:rPr>
        <w:t xml:space="preserve"> </w:t>
      </w:r>
      <w:r>
        <w:rPr>
          <w:spacing w:val="-1"/>
        </w:rPr>
        <w:t>the</w:t>
      </w:r>
      <w:r>
        <w:rPr>
          <w:spacing w:val="38"/>
        </w:rPr>
        <w:t xml:space="preserve"> </w:t>
      </w:r>
      <w:r>
        <w:rPr>
          <w:spacing w:val="-1"/>
        </w:rPr>
        <w:t>Goods</w:t>
      </w:r>
      <w:r>
        <w:rPr>
          <w:spacing w:val="34"/>
        </w:rPr>
        <w:t xml:space="preserve"> </w:t>
      </w:r>
      <w:r>
        <w:rPr>
          <w:spacing w:val="-1"/>
        </w:rPr>
        <w:t>and/or</w:t>
      </w:r>
      <w:r>
        <w:rPr>
          <w:spacing w:val="35"/>
        </w:rPr>
        <w:t xml:space="preserve"> </w:t>
      </w:r>
      <w:r>
        <w:rPr>
          <w:spacing w:val="-2"/>
        </w:rPr>
        <w:t>Services</w:t>
      </w:r>
      <w:r>
        <w:rPr>
          <w:spacing w:val="34"/>
        </w:rPr>
        <w:t xml:space="preserve"> </w:t>
      </w:r>
      <w:r>
        <w:t>to</w:t>
      </w:r>
      <w:r>
        <w:rPr>
          <w:spacing w:val="34"/>
        </w:rPr>
        <w:t xml:space="preserve"> </w:t>
      </w:r>
      <w:r>
        <w:t>the</w:t>
      </w:r>
      <w:r>
        <w:rPr>
          <w:spacing w:val="31"/>
        </w:rPr>
        <w:t xml:space="preserve"> </w:t>
      </w:r>
      <w:r>
        <w:rPr>
          <w:spacing w:val="-1"/>
        </w:rPr>
        <w:t>extent</w:t>
      </w:r>
      <w:r>
        <w:rPr>
          <w:spacing w:val="35"/>
        </w:rPr>
        <w:t xml:space="preserve"> </w:t>
      </w:r>
      <w:r>
        <w:rPr>
          <w:spacing w:val="-2"/>
        </w:rPr>
        <w:t>within</w:t>
      </w:r>
      <w:r>
        <w:rPr>
          <w:spacing w:val="35"/>
        </w:rPr>
        <w:t xml:space="preserve"> </w:t>
      </w:r>
      <w:r>
        <w:rPr>
          <w:spacing w:val="-1"/>
        </w:rPr>
        <w:t>its</w:t>
      </w:r>
      <w:r>
        <w:rPr>
          <w:spacing w:val="32"/>
        </w:rPr>
        <w:t xml:space="preserve"> </w:t>
      </w:r>
      <w:r>
        <w:rPr>
          <w:spacing w:val="-1"/>
        </w:rPr>
        <w:t>control</w:t>
      </w:r>
      <w:r>
        <w:rPr>
          <w:spacing w:val="33"/>
        </w:rPr>
        <w:t xml:space="preserve"> </w:t>
      </w:r>
      <w:r>
        <w:rPr>
          <w:spacing w:val="-1"/>
        </w:rPr>
        <w:t>against</w:t>
      </w:r>
      <w:r>
        <w:rPr>
          <w:spacing w:val="46"/>
        </w:rPr>
        <w:t xml:space="preserve"> </w:t>
      </w:r>
      <w:r>
        <w:rPr>
          <w:spacing w:val="-1"/>
        </w:rPr>
        <w:t>any</w:t>
      </w:r>
      <w:r>
        <w:rPr>
          <w:spacing w:val="-2"/>
        </w:rPr>
        <w:t xml:space="preserve"> </w:t>
      </w:r>
      <w:r>
        <w:rPr>
          <w:spacing w:val="-1"/>
        </w:rPr>
        <w:t>such</w:t>
      </w:r>
      <w:r>
        <w:rPr>
          <w:spacing w:val="1"/>
        </w:rPr>
        <w:t xml:space="preserve"> </w:t>
      </w:r>
      <w:r>
        <w:rPr>
          <w:spacing w:val="-1"/>
        </w:rPr>
        <w:t>Breach</w:t>
      </w:r>
      <w:r>
        <w:rPr>
          <w:spacing w:val="-2"/>
        </w:rPr>
        <w:t xml:space="preserve"> of</w:t>
      </w:r>
      <w:r>
        <w:rPr>
          <w:spacing w:val="2"/>
        </w:rPr>
        <w:t xml:space="preserve"> </w:t>
      </w:r>
      <w:r>
        <w:rPr>
          <w:spacing w:val="-1"/>
        </w:rPr>
        <w:t>Security</w:t>
      </w:r>
      <w:r>
        <w:rPr>
          <w:spacing w:val="-2"/>
        </w:rPr>
        <w:t xml:space="preserve"> </w:t>
      </w:r>
      <w:r>
        <w:rPr>
          <w:spacing w:val="-1"/>
        </w:rPr>
        <w:t>or</w:t>
      </w:r>
      <w:r>
        <w:rPr>
          <w:spacing w:val="2"/>
        </w:rPr>
        <w:t xml:space="preserve"> </w:t>
      </w:r>
      <w:r>
        <w:rPr>
          <w:spacing w:val="-1"/>
        </w:rPr>
        <w:t>attempted</w:t>
      </w:r>
      <w:r>
        <w:t xml:space="preserve"> </w:t>
      </w:r>
      <w:r>
        <w:rPr>
          <w:spacing w:val="-2"/>
        </w:rPr>
        <w:t>Breach of</w:t>
      </w:r>
      <w:r>
        <w:rPr>
          <w:spacing w:val="4"/>
        </w:rPr>
        <w:t xml:space="preserve"> </w:t>
      </w:r>
      <w:r>
        <w:rPr>
          <w:spacing w:val="-1"/>
        </w:rPr>
        <w:t>Security;</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numPr>
          <w:ilvl w:val="3"/>
          <w:numId w:val="17"/>
        </w:numPr>
        <w:tabs>
          <w:tab w:val="left" w:pos="2735"/>
        </w:tabs>
        <w:spacing w:before="59"/>
        <w:ind w:left="2734" w:right="114"/>
        <w:jc w:val="both"/>
      </w:pPr>
      <w:r>
        <w:rPr>
          <w:spacing w:val="-1"/>
        </w:rPr>
        <w:t>prevent</w:t>
      </w:r>
      <w:r>
        <w:rPr>
          <w:spacing w:val="23"/>
        </w:rPr>
        <w:t xml:space="preserve"> </w:t>
      </w:r>
      <w:r>
        <w:rPr>
          <w:spacing w:val="-1"/>
        </w:rPr>
        <w:t>an</w:t>
      </w:r>
      <w:r>
        <w:rPr>
          <w:spacing w:val="22"/>
        </w:rPr>
        <w:t xml:space="preserve"> </w:t>
      </w:r>
      <w:r>
        <w:rPr>
          <w:spacing w:val="-2"/>
        </w:rPr>
        <w:t>equivalent</w:t>
      </w:r>
      <w:r>
        <w:rPr>
          <w:spacing w:val="23"/>
        </w:rPr>
        <w:t xml:space="preserve"> </w:t>
      </w:r>
      <w:r>
        <w:rPr>
          <w:spacing w:val="-1"/>
        </w:rPr>
        <w:t>breach</w:t>
      </w:r>
      <w:r>
        <w:rPr>
          <w:spacing w:val="22"/>
        </w:rPr>
        <w:t xml:space="preserve"> </w:t>
      </w:r>
      <w:r>
        <w:rPr>
          <w:spacing w:val="-1"/>
        </w:rPr>
        <w:t>in</w:t>
      </w:r>
      <w:r>
        <w:rPr>
          <w:spacing w:val="22"/>
        </w:rPr>
        <w:t xml:space="preserve"> </w:t>
      </w:r>
      <w:r>
        <w:t>the</w:t>
      </w:r>
      <w:r>
        <w:rPr>
          <w:spacing w:val="17"/>
        </w:rPr>
        <w:t xml:space="preserve"> </w:t>
      </w:r>
      <w:r>
        <w:t>future</w:t>
      </w:r>
      <w:r>
        <w:rPr>
          <w:spacing w:val="20"/>
        </w:rPr>
        <w:t xml:space="preserve"> </w:t>
      </w:r>
      <w:r>
        <w:rPr>
          <w:spacing w:val="-1"/>
        </w:rPr>
        <w:t>exploiting</w:t>
      </w:r>
      <w:r>
        <w:rPr>
          <w:spacing w:val="22"/>
        </w:rPr>
        <w:t xml:space="preserve"> </w:t>
      </w:r>
      <w:r>
        <w:t>the</w:t>
      </w:r>
      <w:r>
        <w:rPr>
          <w:spacing w:val="19"/>
        </w:rPr>
        <w:t xml:space="preserve"> </w:t>
      </w:r>
      <w:r>
        <w:rPr>
          <w:spacing w:val="-1"/>
        </w:rPr>
        <w:t>same</w:t>
      </w:r>
      <w:r>
        <w:rPr>
          <w:spacing w:val="27"/>
        </w:rPr>
        <w:t xml:space="preserve"> </w:t>
      </w:r>
      <w:r>
        <w:rPr>
          <w:spacing w:val="-1"/>
        </w:rPr>
        <w:t>root</w:t>
      </w:r>
      <w:r>
        <w:t xml:space="preserve"> </w:t>
      </w:r>
      <w:r>
        <w:rPr>
          <w:spacing w:val="-1"/>
        </w:rPr>
        <w:t>cause</w:t>
      </w:r>
      <w:r>
        <w:rPr>
          <w:spacing w:val="-2"/>
        </w:rPr>
        <w:t xml:space="preserve"> </w:t>
      </w:r>
      <w:r>
        <w:rPr>
          <w:spacing w:val="-1"/>
        </w:rPr>
        <w:t>failure;</w:t>
      </w:r>
      <w:r>
        <w:t xml:space="preserve"> </w:t>
      </w:r>
      <w:r>
        <w:rPr>
          <w:spacing w:val="-1"/>
        </w:rPr>
        <w:t>and</w:t>
      </w:r>
    </w:p>
    <w:p w:rsidR="008918FA" w:rsidRDefault="008918FA" w:rsidP="008918FA">
      <w:pPr>
        <w:pStyle w:val="BodyText"/>
        <w:numPr>
          <w:ilvl w:val="3"/>
          <w:numId w:val="17"/>
        </w:numPr>
        <w:tabs>
          <w:tab w:val="left" w:pos="2735"/>
        </w:tabs>
        <w:spacing w:before="121"/>
        <w:ind w:left="2734" w:right="112"/>
        <w:jc w:val="both"/>
      </w:pPr>
      <w:r>
        <w:rPr>
          <w:spacing w:val="-1"/>
        </w:rPr>
        <w:t>as</w:t>
      </w:r>
      <w:r>
        <w:rPr>
          <w:spacing w:val="51"/>
        </w:rPr>
        <w:t xml:space="preserve"> </w:t>
      </w:r>
      <w:r>
        <w:rPr>
          <w:spacing w:val="-1"/>
        </w:rPr>
        <w:t>soon</w:t>
      </w:r>
      <w:r>
        <w:rPr>
          <w:spacing w:val="51"/>
        </w:rPr>
        <w:t xml:space="preserve"> </w:t>
      </w:r>
      <w:r>
        <w:rPr>
          <w:spacing w:val="-1"/>
        </w:rPr>
        <w:t>as</w:t>
      </w:r>
      <w:r>
        <w:rPr>
          <w:spacing w:val="51"/>
        </w:rPr>
        <w:t xml:space="preserve"> </w:t>
      </w:r>
      <w:r>
        <w:rPr>
          <w:spacing w:val="-1"/>
        </w:rPr>
        <w:t>reasonably</w:t>
      </w:r>
      <w:r>
        <w:rPr>
          <w:spacing w:val="51"/>
        </w:rPr>
        <w:t xml:space="preserve"> </w:t>
      </w:r>
      <w:r>
        <w:rPr>
          <w:spacing w:val="-1"/>
        </w:rPr>
        <w:t>practicable</w:t>
      </w:r>
      <w:r>
        <w:rPr>
          <w:spacing w:val="51"/>
        </w:rPr>
        <w:t xml:space="preserve"> </w:t>
      </w:r>
      <w:r>
        <w:rPr>
          <w:spacing w:val="-2"/>
        </w:rPr>
        <w:t>provide</w:t>
      </w:r>
      <w:r>
        <w:rPr>
          <w:spacing w:val="51"/>
        </w:rPr>
        <w:t xml:space="preserve"> </w:t>
      </w:r>
      <w:r>
        <w:t>to</w:t>
      </w:r>
      <w:r>
        <w:rPr>
          <w:spacing w:val="54"/>
        </w:rPr>
        <w:t xml:space="preserve"> </w:t>
      </w:r>
      <w:r>
        <w:t>the</w:t>
      </w:r>
      <w:r>
        <w:rPr>
          <w:spacing w:val="51"/>
        </w:rPr>
        <w:t xml:space="preserve"> </w:t>
      </w:r>
      <w:r>
        <w:rPr>
          <w:spacing w:val="-1"/>
        </w:rPr>
        <w:t>Customer,</w:t>
      </w:r>
      <w:r>
        <w:rPr>
          <w:spacing w:val="37"/>
        </w:rPr>
        <w:t xml:space="preserve"> </w:t>
      </w:r>
      <w:r>
        <w:rPr>
          <w:spacing w:val="-2"/>
        </w:rPr>
        <w:t>where</w:t>
      </w:r>
      <w:r>
        <w:rPr>
          <w:spacing w:val="52"/>
        </w:rPr>
        <w:t xml:space="preserve"> </w:t>
      </w:r>
      <w:r>
        <w:t>the</w:t>
      </w:r>
      <w:r>
        <w:rPr>
          <w:spacing w:val="52"/>
        </w:rPr>
        <w:t xml:space="preserve"> </w:t>
      </w:r>
      <w:r>
        <w:rPr>
          <w:spacing w:val="-1"/>
        </w:rPr>
        <w:t>Customer</w:t>
      </w:r>
      <w:r>
        <w:rPr>
          <w:spacing w:val="51"/>
        </w:rPr>
        <w:t xml:space="preserve"> </w:t>
      </w:r>
      <w:r>
        <w:rPr>
          <w:spacing w:val="-1"/>
        </w:rPr>
        <w:t>so</w:t>
      </w:r>
      <w:r>
        <w:rPr>
          <w:spacing w:val="52"/>
        </w:rPr>
        <w:t xml:space="preserve"> </w:t>
      </w:r>
      <w:r>
        <w:rPr>
          <w:spacing w:val="-1"/>
        </w:rPr>
        <w:t>requests,</w:t>
      </w:r>
      <w:r>
        <w:rPr>
          <w:spacing w:val="50"/>
        </w:rPr>
        <w:t xml:space="preserve"> </w:t>
      </w:r>
      <w:r>
        <w:t>full</w:t>
      </w:r>
      <w:r>
        <w:rPr>
          <w:spacing w:val="51"/>
        </w:rPr>
        <w:t xml:space="preserve"> </w:t>
      </w:r>
      <w:r>
        <w:rPr>
          <w:spacing w:val="-2"/>
        </w:rPr>
        <w:t>details</w:t>
      </w:r>
      <w:r>
        <w:rPr>
          <w:spacing w:val="53"/>
        </w:rPr>
        <w:t xml:space="preserve"> </w:t>
      </w:r>
      <w:r>
        <w:rPr>
          <w:spacing w:val="-1"/>
        </w:rPr>
        <w:t>(using</w:t>
      </w:r>
      <w:r>
        <w:rPr>
          <w:spacing w:val="52"/>
        </w:rPr>
        <w:t xml:space="preserve"> </w:t>
      </w:r>
      <w:r>
        <w:rPr>
          <w:spacing w:val="-1"/>
        </w:rPr>
        <w:t>the</w:t>
      </w:r>
      <w:r>
        <w:rPr>
          <w:spacing w:val="38"/>
        </w:rPr>
        <w:t xml:space="preserve"> </w:t>
      </w:r>
      <w:r>
        <w:rPr>
          <w:spacing w:val="-1"/>
        </w:rPr>
        <w:t>reporting</w:t>
      </w:r>
      <w:r>
        <w:rPr>
          <w:spacing w:val="3"/>
        </w:rPr>
        <w:t xml:space="preserve"> </w:t>
      </w:r>
      <w:r>
        <w:rPr>
          <w:spacing w:val="-1"/>
        </w:rPr>
        <w:t>mechanism</w:t>
      </w:r>
      <w:r>
        <w:rPr>
          <w:spacing w:val="2"/>
        </w:rPr>
        <w:t xml:space="preserve"> </w:t>
      </w:r>
      <w:r>
        <w:rPr>
          <w:spacing w:val="-1"/>
        </w:rPr>
        <w:t>defined</w:t>
      </w:r>
      <w:r>
        <w:t xml:space="preserve"> </w:t>
      </w:r>
      <w:r>
        <w:rPr>
          <w:spacing w:val="1"/>
        </w:rPr>
        <w:t>by</w:t>
      </w:r>
      <w:r>
        <w:rPr>
          <w:spacing w:val="-2"/>
        </w:rPr>
        <w:t xml:space="preserve"> </w:t>
      </w:r>
      <w:r>
        <w:t xml:space="preserve">the </w:t>
      </w:r>
      <w:r>
        <w:rPr>
          <w:spacing w:val="-1"/>
        </w:rPr>
        <w:t>Security</w:t>
      </w:r>
      <w:r>
        <w:rPr>
          <w:spacing w:val="1"/>
        </w:rPr>
        <w:t xml:space="preserve"> </w:t>
      </w:r>
      <w:r>
        <w:rPr>
          <w:spacing w:val="-1"/>
        </w:rPr>
        <w:t>Management</w:t>
      </w:r>
      <w:r>
        <w:rPr>
          <w:spacing w:val="2"/>
        </w:rPr>
        <w:t xml:space="preserve"> </w:t>
      </w:r>
      <w:r>
        <w:rPr>
          <w:spacing w:val="-2"/>
        </w:rPr>
        <w:t>Plan</w:t>
      </w:r>
      <w:r>
        <w:rPr>
          <w:spacing w:val="28"/>
        </w:rPr>
        <w:t xml:space="preserve"> </w:t>
      </w:r>
      <w:r>
        <w:rPr>
          <w:spacing w:val="-1"/>
        </w:rPr>
        <w:t>if</w:t>
      </w:r>
      <w:r>
        <w:rPr>
          <w:spacing w:val="21"/>
        </w:rPr>
        <w:t xml:space="preserve"> </w:t>
      </w:r>
      <w:r>
        <w:rPr>
          <w:spacing w:val="-1"/>
        </w:rPr>
        <w:t>one</w:t>
      </w:r>
      <w:r>
        <w:rPr>
          <w:spacing w:val="17"/>
        </w:rPr>
        <w:t xml:space="preserve"> </w:t>
      </w:r>
      <w:r>
        <w:rPr>
          <w:spacing w:val="-1"/>
        </w:rPr>
        <w:t>exists)</w:t>
      </w:r>
      <w:r>
        <w:rPr>
          <w:spacing w:val="19"/>
        </w:rPr>
        <w:t xml:space="preserve"> </w:t>
      </w:r>
      <w:r>
        <w:rPr>
          <w:spacing w:val="-2"/>
        </w:rPr>
        <w:t>of</w:t>
      </w:r>
      <w:r>
        <w:rPr>
          <w:spacing w:val="21"/>
        </w:rPr>
        <w:t xml:space="preserve"> </w:t>
      </w:r>
      <w:r>
        <w:t>the</w:t>
      </w:r>
      <w:r>
        <w:rPr>
          <w:spacing w:val="17"/>
        </w:rPr>
        <w:t xml:space="preserve"> </w:t>
      </w:r>
      <w:r>
        <w:rPr>
          <w:spacing w:val="-1"/>
        </w:rPr>
        <w:t>Breach</w:t>
      </w:r>
      <w:r>
        <w:rPr>
          <w:spacing w:val="18"/>
        </w:rPr>
        <w:t xml:space="preserve"> </w:t>
      </w:r>
      <w:r>
        <w:rPr>
          <w:spacing w:val="-1"/>
        </w:rPr>
        <w:t>of</w:t>
      </w:r>
      <w:r>
        <w:rPr>
          <w:spacing w:val="21"/>
        </w:rPr>
        <w:t xml:space="preserve"> </w:t>
      </w:r>
      <w:r>
        <w:rPr>
          <w:spacing w:val="-1"/>
        </w:rPr>
        <w:t>Security</w:t>
      </w:r>
      <w:r>
        <w:rPr>
          <w:spacing w:val="15"/>
        </w:rPr>
        <w:t xml:space="preserve"> </w:t>
      </w:r>
      <w:r>
        <w:rPr>
          <w:spacing w:val="-1"/>
        </w:rPr>
        <w:t>or</w:t>
      </w:r>
      <w:r>
        <w:rPr>
          <w:spacing w:val="19"/>
        </w:rPr>
        <w:t xml:space="preserve"> </w:t>
      </w:r>
      <w:r>
        <w:rPr>
          <w:spacing w:val="-1"/>
        </w:rPr>
        <w:t>attempted</w:t>
      </w:r>
      <w:r>
        <w:rPr>
          <w:spacing w:val="17"/>
        </w:rPr>
        <w:t xml:space="preserve"> </w:t>
      </w:r>
      <w:r>
        <w:rPr>
          <w:spacing w:val="-1"/>
        </w:rPr>
        <w:t>Breach</w:t>
      </w:r>
      <w:r>
        <w:rPr>
          <w:spacing w:val="18"/>
        </w:rPr>
        <w:t xml:space="preserve"> </w:t>
      </w:r>
      <w:r>
        <w:rPr>
          <w:spacing w:val="-2"/>
        </w:rPr>
        <w:t>of</w:t>
      </w:r>
      <w:r>
        <w:rPr>
          <w:spacing w:val="33"/>
        </w:rPr>
        <w:t xml:space="preserve"> </w:t>
      </w:r>
      <w:r>
        <w:rPr>
          <w:spacing w:val="-1"/>
        </w:rPr>
        <w:t>Security,</w:t>
      </w:r>
      <w:r>
        <w:rPr>
          <w:spacing w:val="14"/>
        </w:rPr>
        <w:t xml:space="preserve"> </w:t>
      </w:r>
      <w:r>
        <w:rPr>
          <w:spacing w:val="-2"/>
        </w:rPr>
        <w:t>including</w:t>
      </w:r>
      <w:r>
        <w:rPr>
          <w:spacing w:val="15"/>
        </w:rPr>
        <w:t xml:space="preserve"> </w:t>
      </w:r>
      <w:r>
        <w:t>a</w:t>
      </w:r>
      <w:r>
        <w:rPr>
          <w:spacing w:val="10"/>
        </w:rPr>
        <w:t xml:space="preserve"> </w:t>
      </w:r>
      <w:r>
        <w:rPr>
          <w:spacing w:val="-1"/>
        </w:rPr>
        <w:t>root</w:t>
      </w:r>
      <w:r>
        <w:rPr>
          <w:spacing w:val="11"/>
        </w:rPr>
        <w:t xml:space="preserve"> </w:t>
      </w:r>
      <w:r>
        <w:rPr>
          <w:spacing w:val="-1"/>
        </w:rPr>
        <w:t>cause</w:t>
      </w:r>
      <w:r>
        <w:rPr>
          <w:spacing w:val="13"/>
        </w:rPr>
        <w:t xml:space="preserve"> </w:t>
      </w:r>
      <w:r>
        <w:rPr>
          <w:spacing w:val="-2"/>
        </w:rPr>
        <w:t>analysis</w:t>
      </w:r>
      <w:r>
        <w:rPr>
          <w:spacing w:val="13"/>
        </w:rPr>
        <w:t xml:space="preserve"> </w:t>
      </w:r>
      <w:r>
        <w:rPr>
          <w:spacing w:val="-2"/>
        </w:rPr>
        <w:t>where</w:t>
      </w:r>
      <w:r>
        <w:rPr>
          <w:spacing w:val="12"/>
        </w:rPr>
        <w:t xml:space="preserve"> </w:t>
      </w:r>
      <w:r>
        <w:rPr>
          <w:spacing w:val="-1"/>
        </w:rPr>
        <w:t>required</w:t>
      </w:r>
      <w:r>
        <w:rPr>
          <w:spacing w:val="10"/>
        </w:rPr>
        <w:t xml:space="preserve"> </w:t>
      </w:r>
      <w:r>
        <w:rPr>
          <w:spacing w:val="-1"/>
        </w:rPr>
        <w:t>by</w:t>
      </w:r>
      <w:r>
        <w:rPr>
          <w:spacing w:val="10"/>
        </w:rPr>
        <w:t xml:space="preserve"> </w:t>
      </w:r>
      <w:r>
        <w:rPr>
          <w:spacing w:val="-1"/>
        </w:rPr>
        <w:t>the</w:t>
      </w:r>
      <w:r>
        <w:rPr>
          <w:spacing w:val="64"/>
        </w:rPr>
        <w:t xml:space="preserve"> </w:t>
      </w:r>
      <w:r>
        <w:rPr>
          <w:spacing w:val="-1"/>
        </w:rPr>
        <w:t>Customer.</w:t>
      </w:r>
    </w:p>
    <w:p w:rsidR="008918FA" w:rsidRDefault="008918FA" w:rsidP="008918FA">
      <w:pPr>
        <w:pStyle w:val="BodyText"/>
        <w:ind w:left="828" w:right="110"/>
        <w:jc w:val="both"/>
      </w:pPr>
      <w:r>
        <w:t>5.3</w:t>
      </w:r>
      <w:r>
        <w:rPr>
          <w:spacing w:val="-9"/>
        </w:rPr>
        <w:t xml:space="preserve"> </w:t>
      </w:r>
      <w:r>
        <w:t xml:space="preserve">In the </w:t>
      </w:r>
      <w:r>
        <w:rPr>
          <w:spacing w:val="-2"/>
        </w:rPr>
        <w:t>event</w:t>
      </w:r>
      <w:r>
        <w:rPr>
          <w:spacing w:val="2"/>
        </w:rPr>
        <w:t xml:space="preserve"> </w:t>
      </w:r>
      <w:r>
        <w:rPr>
          <w:spacing w:val="-1"/>
        </w:rPr>
        <w:t>that</w:t>
      </w:r>
      <w:r>
        <w:rPr>
          <w:spacing w:val="2"/>
        </w:rPr>
        <w:t xml:space="preserve"> </w:t>
      </w:r>
      <w:r>
        <w:rPr>
          <w:spacing w:val="-1"/>
        </w:rPr>
        <w:t>any</w:t>
      </w:r>
      <w:r>
        <w:rPr>
          <w:spacing w:val="-2"/>
        </w:rPr>
        <w:t xml:space="preserve"> </w:t>
      </w:r>
      <w:r>
        <w:rPr>
          <w:spacing w:val="-1"/>
        </w:rPr>
        <w:t>action</w:t>
      </w:r>
      <w:r>
        <w:t xml:space="preserve"> </w:t>
      </w:r>
      <w:r>
        <w:rPr>
          <w:spacing w:val="-1"/>
        </w:rPr>
        <w:t>is</w:t>
      </w:r>
      <w:r>
        <w:rPr>
          <w:spacing w:val="1"/>
        </w:rPr>
        <w:t xml:space="preserve"> </w:t>
      </w:r>
      <w:r>
        <w:t xml:space="preserve">taken </w:t>
      </w:r>
      <w:r>
        <w:rPr>
          <w:spacing w:val="-1"/>
        </w:rPr>
        <w:t>in</w:t>
      </w:r>
      <w:r>
        <w:t xml:space="preserve"> </w:t>
      </w:r>
      <w:r>
        <w:rPr>
          <w:spacing w:val="-1"/>
        </w:rPr>
        <w:t>response</w:t>
      </w:r>
      <w:r>
        <w:rPr>
          <w:spacing w:val="-2"/>
        </w:rPr>
        <w:t xml:space="preserve"> </w:t>
      </w:r>
      <w:r>
        <w:rPr>
          <w:spacing w:val="-1"/>
        </w:rPr>
        <w:t>to</w:t>
      </w:r>
      <w:r>
        <w:t xml:space="preserve"> a </w:t>
      </w:r>
      <w:r>
        <w:rPr>
          <w:spacing w:val="-1"/>
        </w:rPr>
        <w:t>Breach</w:t>
      </w:r>
      <w:r>
        <w:rPr>
          <w:spacing w:val="1"/>
        </w:rPr>
        <w:t xml:space="preserve"> </w:t>
      </w:r>
      <w:r>
        <w:rPr>
          <w:spacing w:val="-2"/>
        </w:rPr>
        <w:t>of</w:t>
      </w:r>
      <w:r>
        <w:rPr>
          <w:spacing w:val="4"/>
        </w:rPr>
        <w:t xml:space="preserve"> </w:t>
      </w:r>
      <w:r>
        <w:rPr>
          <w:spacing w:val="-1"/>
        </w:rPr>
        <w:t>Security</w:t>
      </w:r>
      <w:r>
        <w:rPr>
          <w:spacing w:val="-2"/>
        </w:rPr>
        <w:t xml:space="preserve"> </w:t>
      </w:r>
      <w:r>
        <w:rPr>
          <w:spacing w:val="-1"/>
        </w:rPr>
        <w:t>or potential</w:t>
      </w:r>
      <w:r>
        <w:rPr>
          <w:spacing w:val="53"/>
        </w:rPr>
        <w:t xml:space="preserve"> </w:t>
      </w:r>
      <w:r>
        <w:rPr>
          <w:spacing w:val="-1"/>
        </w:rPr>
        <w:t>or</w:t>
      </w:r>
      <w:r>
        <w:rPr>
          <w:spacing w:val="14"/>
        </w:rPr>
        <w:t xml:space="preserve"> </w:t>
      </w:r>
      <w:r>
        <w:rPr>
          <w:spacing w:val="-1"/>
        </w:rPr>
        <w:t>attempted</w:t>
      </w:r>
      <w:r>
        <w:rPr>
          <w:spacing w:val="12"/>
        </w:rPr>
        <w:t xml:space="preserve"> </w:t>
      </w:r>
      <w:r>
        <w:rPr>
          <w:spacing w:val="-2"/>
        </w:rPr>
        <w:t>Breach</w:t>
      </w:r>
      <w:r>
        <w:rPr>
          <w:spacing w:val="13"/>
        </w:rPr>
        <w:t xml:space="preserve"> </w:t>
      </w:r>
      <w:r>
        <w:rPr>
          <w:spacing w:val="-2"/>
        </w:rPr>
        <w:t>of</w:t>
      </w:r>
      <w:r>
        <w:rPr>
          <w:spacing w:val="11"/>
        </w:rPr>
        <w:t xml:space="preserve"> </w:t>
      </w:r>
      <w:r>
        <w:rPr>
          <w:spacing w:val="-1"/>
        </w:rPr>
        <w:t>Security</w:t>
      </w:r>
      <w:r>
        <w:rPr>
          <w:spacing w:val="10"/>
        </w:rPr>
        <w:t xml:space="preserve"> </w:t>
      </w:r>
      <w:r>
        <w:rPr>
          <w:spacing w:val="-1"/>
        </w:rPr>
        <w:t>that</w:t>
      </w:r>
      <w:r>
        <w:rPr>
          <w:spacing w:val="11"/>
        </w:rPr>
        <w:t xml:space="preserve"> </w:t>
      </w:r>
      <w:r>
        <w:rPr>
          <w:spacing w:val="-1"/>
        </w:rPr>
        <w:t>demonstrates</w:t>
      </w:r>
      <w:r>
        <w:rPr>
          <w:spacing w:val="13"/>
        </w:rPr>
        <w:t xml:space="preserve"> </w:t>
      </w:r>
      <w:r>
        <w:rPr>
          <w:spacing w:val="-1"/>
        </w:rPr>
        <w:t>non-compliance</w:t>
      </w:r>
      <w:r>
        <w:rPr>
          <w:spacing w:val="13"/>
        </w:rPr>
        <w:t xml:space="preserve"> </w:t>
      </w:r>
      <w:r>
        <w:rPr>
          <w:spacing w:val="-2"/>
        </w:rPr>
        <w:t>of</w:t>
      </w:r>
      <w:r>
        <w:rPr>
          <w:spacing w:val="14"/>
        </w:rPr>
        <w:t xml:space="preserve"> </w:t>
      </w:r>
      <w:r>
        <w:rPr>
          <w:spacing w:val="-1"/>
        </w:rPr>
        <w:t>the</w:t>
      </w:r>
      <w:r>
        <w:rPr>
          <w:spacing w:val="12"/>
        </w:rPr>
        <w:t xml:space="preserve"> </w:t>
      </w:r>
      <w:r>
        <w:rPr>
          <w:spacing w:val="-1"/>
        </w:rPr>
        <w:t>Security</w:t>
      </w:r>
      <w:r>
        <w:rPr>
          <w:spacing w:val="49"/>
        </w:rPr>
        <w:t xml:space="preserve"> </w:t>
      </w:r>
      <w:r>
        <w:rPr>
          <w:spacing w:val="-1"/>
        </w:rPr>
        <w:t>Management</w:t>
      </w:r>
      <w:r>
        <w:rPr>
          <w:spacing w:val="52"/>
        </w:rPr>
        <w:t xml:space="preserve"> </w:t>
      </w:r>
      <w:r>
        <w:rPr>
          <w:spacing w:val="-1"/>
        </w:rPr>
        <w:t>Plan</w:t>
      </w:r>
      <w:r>
        <w:rPr>
          <w:spacing w:val="51"/>
        </w:rPr>
        <w:t xml:space="preserve"> </w:t>
      </w:r>
      <w:r>
        <w:rPr>
          <w:spacing w:val="-1"/>
        </w:rPr>
        <w:t>with</w:t>
      </w:r>
      <w:r>
        <w:rPr>
          <w:spacing w:val="51"/>
        </w:rPr>
        <w:t xml:space="preserve"> </w:t>
      </w:r>
      <w:r>
        <w:rPr>
          <w:spacing w:val="-1"/>
        </w:rPr>
        <w:t>the</w:t>
      </w:r>
      <w:r>
        <w:rPr>
          <w:spacing w:val="51"/>
        </w:rPr>
        <w:t xml:space="preserve"> </w:t>
      </w:r>
      <w:r>
        <w:rPr>
          <w:spacing w:val="-1"/>
        </w:rPr>
        <w:t>Security</w:t>
      </w:r>
      <w:r>
        <w:rPr>
          <w:spacing w:val="49"/>
        </w:rPr>
        <w:t xml:space="preserve"> </w:t>
      </w:r>
      <w:r>
        <w:rPr>
          <w:spacing w:val="-2"/>
        </w:rPr>
        <w:t>policy</w:t>
      </w:r>
      <w:r>
        <w:rPr>
          <w:spacing w:val="51"/>
        </w:rPr>
        <w:t xml:space="preserve"> </w:t>
      </w:r>
      <w:r>
        <w:rPr>
          <w:spacing w:val="-1"/>
        </w:rPr>
        <w:t>or</w:t>
      </w:r>
      <w:r>
        <w:rPr>
          <w:spacing w:val="53"/>
        </w:rPr>
        <w:t xml:space="preserve"> </w:t>
      </w:r>
      <w:r>
        <w:t>the</w:t>
      </w:r>
      <w:r>
        <w:rPr>
          <w:spacing w:val="51"/>
        </w:rPr>
        <w:t xml:space="preserve"> </w:t>
      </w:r>
      <w:r>
        <w:rPr>
          <w:spacing w:val="-1"/>
        </w:rPr>
        <w:t>requirements</w:t>
      </w:r>
      <w:r>
        <w:rPr>
          <w:spacing w:val="51"/>
        </w:rPr>
        <w:t xml:space="preserve"> </w:t>
      </w:r>
      <w:r>
        <w:rPr>
          <w:spacing w:val="-2"/>
        </w:rPr>
        <w:t>of</w:t>
      </w:r>
      <w:r>
        <w:rPr>
          <w:spacing w:val="54"/>
        </w:rPr>
        <w:t xml:space="preserve"> </w:t>
      </w:r>
      <w:r>
        <w:rPr>
          <w:spacing w:val="-1"/>
        </w:rPr>
        <w:t>this</w:t>
      </w:r>
      <w:r>
        <w:rPr>
          <w:spacing w:val="49"/>
        </w:rPr>
        <w:t xml:space="preserve"> </w:t>
      </w:r>
      <w:r>
        <w:rPr>
          <w:spacing w:val="-2"/>
        </w:rPr>
        <w:t>Call</w:t>
      </w:r>
      <w:r>
        <w:rPr>
          <w:spacing w:val="50"/>
        </w:rPr>
        <w:t xml:space="preserve"> </w:t>
      </w:r>
      <w:r>
        <w:rPr>
          <w:spacing w:val="-1"/>
        </w:rPr>
        <w:t>Off</w:t>
      </w:r>
      <w:r>
        <w:rPr>
          <w:spacing w:val="55"/>
        </w:rPr>
        <w:t xml:space="preserve"> </w:t>
      </w:r>
      <w:r>
        <w:rPr>
          <w:spacing w:val="-1"/>
        </w:rPr>
        <w:t>Schedule,</w:t>
      </w:r>
      <w:r>
        <w:rPr>
          <w:spacing w:val="19"/>
        </w:rPr>
        <w:t xml:space="preserve"> </w:t>
      </w:r>
      <w:r>
        <w:rPr>
          <w:spacing w:val="-1"/>
        </w:rPr>
        <w:t>then</w:t>
      </w:r>
      <w:r>
        <w:rPr>
          <w:spacing w:val="17"/>
        </w:rPr>
        <w:t xml:space="preserve"> </w:t>
      </w:r>
      <w:r>
        <w:rPr>
          <w:spacing w:val="-1"/>
        </w:rPr>
        <w:t>any</w:t>
      </w:r>
      <w:r>
        <w:rPr>
          <w:spacing w:val="15"/>
        </w:rPr>
        <w:t xml:space="preserve"> </w:t>
      </w:r>
      <w:r>
        <w:rPr>
          <w:spacing w:val="-1"/>
        </w:rPr>
        <w:t>required</w:t>
      </w:r>
      <w:r>
        <w:rPr>
          <w:spacing w:val="17"/>
        </w:rPr>
        <w:t xml:space="preserve"> </w:t>
      </w:r>
      <w:r>
        <w:rPr>
          <w:spacing w:val="-1"/>
        </w:rPr>
        <w:t>change</w:t>
      </w:r>
      <w:r>
        <w:rPr>
          <w:spacing w:val="17"/>
        </w:rPr>
        <w:t xml:space="preserve"> </w:t>
      </w:r>
      <w:r>
        <w:t>to</w:t>
      </w:r>
      <w:r>
        <w:rPr>
          <w:spacing w:val="15"/>
        </w:rPr>
        <w:t xml:space="preserve"> </w:t>
      </w:r>
      <w:r>
        <w:t>the</w:t>
      </w:r>
      <w:r>
        <w:rPr>
          <w:spacing w:val="15"/>
        </w:rPr>
        <w:t xml:space="preserve"> </w:t>
      </w:r>
      <w:r>
        <w:rPr>
          <w:spacing w:val="-1"/>
        </w:rPr>
        <w:t>Security</w:t>
      </w:r>
      <w:r>
        <w:rPr>
          <w:spacing w:val="15"/>
        </w:rPr>
        <w:t xml:space="preserve"> </w:t>
      </w:r>
      <w:r>
        <w:rPr>
          <w:spacing w:val="-1"/>
        </w:rPr>
        <w:t>Management</w:t>
      </w:r>
      <w:r>
        <w:rPr>
          <w:spacing w:val="19"/>
        </w:rPr>
        <w:t xml:space="preserve"> </w:t>
      </w:r>
      <w:r>
        <w:rPr>
          <w:spacing w:val="-1"/>
        </w:rPr>
        <w:t>Plan</w:t>
      </w:r>
      <w:r>
        <w:rPr>
          <w:spacing w:val="17"/>
        </w:rPr>
        <w:t xml:space="preserve"> </w:t>
      </w:r>
      <w:r>
        <w:rPr>
          <w:spacing w:val="-2"/>
        </w:rPr>
        <w:t>shall</w:t>
      </w:r>
      <w:r>
        <w:rPr>
          <w:spacing w:val="17"/>
        </w:rPr>
        <w:t xml:space="preserve"> </w:t>
      </w:r>
      <w:r>
        <w:rPr>
          <w:spacing w:val="-1"/>
        </w:rPr>
        <w:t>be</w:t>
      </w:r>
      <w:r>
        <w:rPr>
          <w:spacing w:val="17"/>
        </w:rPr>
        <w:t xml:space="preserve"> </w:t>
      </w:r>
      <w:r>
        <w:rPr>
          <w:spacing w:val="-1"/>
        </w:rPr>
        <w:t>at</w:t>
      </w:r>
      <w:r>
        <w:rPr>
          <w:spacing w:val="34"/>
        </w:rPr>
        <w:t xml:space="preserve"> </w:t>
      </w:r>
      <w:r>
        <w:rPr>
          <w:spacing w:val="-1"/>
        </w:rPr>
        <w:t>no</w:t>
      </w:r>
      <w:r>
        <w:t xml:space="preserve"> </w:t>
      </w:r>
      <w:r>
        <w:rPr>
          <w:spacing w:val="-1"/>
        </w:rPr>
        <w:t>cost</w:t>
      </w:r>
      <w:r>
        <w:t xml:space="preserve"> </w:t>
      </w:r>
      <w:r>
        <w:rPr>
          <w:spacing w:val="-1"/>
        </w:rPr>
        <w:t>to</w:t>
      </w:r>
      <w:r>
        <w:rPr>
          <w:spacing w:val="-2"/>
        </w:rPr>
        <w:t xml:space="preserve"> </w:t>
      </w:r>
      <w:r>
        <w:t xml:space="preserve">the </w:t>
      </w:r>
      <w:r>
        <w:rPr>
          <w:spacing w:val="-1"/>
        </w:rPr>
        <w:t>Customer.</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5"/>
        <w:rPr>
          <w:rFonts w:ascii="Arial" w:eastAsia="Arial" w:hAnsi="Arial" w:cs="Arial"/>
          <w:sz w:val="29"/>
          <w:szCs w:val="29"/>
        </w:rPr>
      </w:pPr>
    </w:p>
    <w:p w:rsidR="008918FA" w:rsidRDefault="008918FA" w:rsidP="008918FA">
      <w:pPr>
        <w:spacing w:line="200" w:lineRule="atLeast"/>
        <w:ind w:left="46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4596B3F3" wp14:editId="418253BC">
                <wp:extent cx="2560320" cy="161925"/>
                <wp:effectExtent l="0" t="0" r="1905" b="0"/>
                <wp:docPr id="2303"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rPr>
                                <w:rFonts w:ascii="Arial" w:eastAsia="Arial" w:hAnsi="Arial" w:cs="Arial"/>
                              </w:rPr>
                            </w:pPr>
                            <w:r>
                              <w:rPr>
                                <w:rFonts w:ascii="Arial" w:eastAsia="Arial" w:hAnsi="Arial" w:cs="Arial"/>
                                <w:b/>
                                <w:bCs/>
                                <w:i/>
                                <w:spacing w:val="-1"/>
                              </w:rPr>
                              <w:t>[LONG</w:t>
                            </w:r>
                            <w:r>
                              <w:rPr>
                                <w:rFonts w:ascii="Arial" w:eastAsia="Arial" w:hAnsi="Arial" w:cs="Arial"/>
                                <w:b/>
                                <w:bCs/>
                                <w:i/>
                                <w:spacing w:val="2"/>
                              </w:rPr>
                              <w:t xml:space="preserve"> </w:t>
                            </w:r>
                            <w:r>
                              <w:rPr>
                                <w:rFonts w:ascii="Arial" w:eastAsia="Arial" w:hAnsi="Arial" w:cs="Arial"/>
                                <w:b/>
                                <w:bCs/>
                                <w:i/>
                                <w:spacing w:val="-1"/>
                              </w:rPr>
                              <w:t xml:space="preserve">FORM </w:t>
                            </w:r>
                            <w:r>
                              <w:rPr>
                                <w:rFonts w:ascii="Arial" w:eastAsia="Arial" w:hAnsi="Arial" w:cs="Arial"/>
                                <w:b/>
                                <w:bCs/>
                                <w:i/>
                              </w:rPr>
                              <w:t xml:space="preserve">– </w:t>
                            </w:r>
                            <w:r>
                              <w:rPr>
                                <w:rFonts w:ascii="Arial" w:eastAsia="Arial" w:hAnsi="Arial" w:cs="Arial"/>
                                <w:b/>
                                <w:bCs/>
                                <w:i/>
                                <w:spacing w:val="-2"/>
                              </w:rPr>
                              <w:t>PARAGRAPHS</w:t>
                            </w:r>
                            <w:r>
                              <w:rPr>
                                <w:rFonts w:ascii="Arial" w:eastAsia="Arial" w:hAnsi="Arial" w:cs="Arial"/>
                                <w:b/>
                                <w:bCs/>
                                <w:i/>
                              </w:rPr>
                              <w:t xml:space="preserve"> 1 </w:t>
                            </w:r>
                            <w:r>
                              <w:rPr>
                                <w:rFonts w:ascii="Arial" w:eastAsia="Arial" w:hAnsi="Arial" w:cs="Arial"/>
                                <w:b/>
                                <w:bCs/>
                                <w:i/>
                                <w:spacing w:val="-2"/>
                              </w:rPr>
                              <w:t>TO</w:t>
                            </w:r>
                            <w:r>
                              <w:rPr>
                                <w:rFonts w:ascii="Arial" w:eastAsia="Arial" w:hAnsi="Arial" w:cs="Arial"/>
                                <w:b/>
                                <w:bCs/>
                                <w:i/>
                                <w:spacing w:val="2"/>
                              </w:rPr>
                              <w:t xml:space="preserve"> </w:t>
                            </w:r>
                            <w:r>
                              <w:rPr>
                                <w:rFonts w:ascii="Arial" w:eastAsia="Arial" w:hAnsi="Arial" w:cs="Arial"/>
                                <w:b/>
                                <w:bCs/>
                                <w:i/>
                                <w:spacing w:val="-3"/>
                              </w:rPr>
                              <w:t>8]</w:t>
                            </w:r>
                          </w:p>
                        </w:txbxContent>
                      </wps:txbx>
                      <wps:bodyPr rot="0" vert="horz" wrap="square" lIns="0" tIns="0" rIns="0" bIns="0" anchor="t" anchorCtr="0" upright="1">
                        <a:noAutofit/>
                      </wps:bodyPr>
                    </wps:wsp>
                  </a:graphicData>
                </a:graphic>
              </wp:inline>
            </w:drawing>
          </mc:Choice>
          <mc:Fallback>
            <w:pict>
              <v:shape w14:anchorId="4596B3F3" id="Text Box 2295" o:spid="_x0000_s1324" type="#_x0000_t202" style="width:201.6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" fillcolor="yellow" stroked="f">
                <v:textbox inset="0,0,0,0">
                  <w:txbxContent>
                    <w:p w:rsidR="005D2B81" w:rsidRDefault="005D2B81" w:rsidP="008918FA">
                      <w:pPr>
                        <w:spacing w:line="251" w:lineRule="exact"/>
                        <w:rPr>
                          <w:rFonts w:ascii="Arial" w:eastAsia="Arial" w:hAnsi="Arial" w:cs="Arial"/>
                        </w:rPr>
                      </w:pPr>
                      <w:r>
                        <w:rPr>
                          <w:rFonts w:ascii="Arial" w:eastAsia="Arial" w:hAnsi="Arial" w:cs="Arial"/>
                          <w:b/>
                          <w:bCs/>
                          <w:i/>
                          <w:spacing w:val="-1"/>
                        </w:rPr>
                        <w:t>[LONG</w:t>
                      </w:r>
                      <w:r>
                        <w:rPr>
                          <w:rFonts w:ascii="Arial" w:eastAsia="Arial" w:hAnsi="Arial" w:cs="Arial"/>
                          <w:b/>
                          <w:bCs/>
                          <w:i/>
                          <w:spacing w:val="2"/>
                        </w:rPr>
                        <w:t xml:space="preserve"> </w:t>
                      </w:r>
                      <w:r>
                        <w:rPr>
                          <w:rFonts w:ascii="Arial" w:eastAsia="Arial" w:hAnsi="Arial" w:cs="Arial"/>
                          <w:b/>
                          <w:bCs/>
                          <w:i/>
                          <w:spacing w:val="-1"/>
                        </w:rPr>
                        <w:t xml:space="preserve">FORM </w:t>
                      </w:r>
                      <w:r>
                        <w:rPr>
                          <w:rFonts w:ascii="Arial" w:eastAsia="Arial" w:hAnsi="Arial" w:cs="Arial"/>
                          <w:b/>
                          <w:bCs/>
                          <w:i/>
                        </w:rPr>
                        <w:t xml:space="preserve">– </w:t>
                      </w:r>
                      <w:r>
                        <w:rPr>
                          <w:rFonts w:ascii="Arial" w:eastAsia="Arial" w:hAnsi="Arial" w:cs="Arial"/>
                          <w:b/>
                          <w:bCs/>
                          <w:i/>
                          <w:spacing w:val="-2"/>
                        </w:rPr>
                        <w:t>PARAGRAPHS</w:t>
                      </w:r>
                      <w:r>
                        <w:rPr>
                          <w:rFonts w:ascii="Arial" w:eastAsia="Arial" w:hAnsi="Arial" w:cs="Arial"/>
                          <w:b/>
                          <w:bCs/>
                          <w:i/>
                        </w:rPr>
                        <w:t xml:space="preserve"> 1 </w:t>
                      </w:r>
                      <w:r>
                        <w:rPr>
                          <w:rFonts w:ascii="Arial" w:eastAsia="Arial" w:hAnsi="Arial" w:cs="Arial"/>
                          <w:b/>
                          <w:bCs/>
                          <w:i/>
                          <w:spacing w:val="-2"/>
                        </w:rPr>
                        <w:t>TO</w:t>
                      </w:r>
                      <w:r>
                        <w:rPr>
                          <w:rFonts w:ascii="Arial" w:eastAsia="Arial" w:hAnsi="Arial" w:cs="Arial"/>
                          <w:b/>
                          <w:bCs/>
                          <w:i/>
                          <w:spacing w:val="2"/>
                        </w:rPr>
                        <w:t xml:space="preserve"> </w:t>
                      </w:r>
                      <w:r>
                        <w:rPr>
                          <w:rFonts w:ascii="Arial" w:eastAsia="Arial" w:hAnsi="Arial" w:cs="Arial"/>
                          <w:b/>
                          <w:bCs/>
                          <w:i/>
                          <w:spacing w:val="-3"/>
                        </w:rPr>
                        <w:t>8]</w:t>
                      </w:r>
                    </w:p>
                  </w:txbxContent>
                </v:textbox>
                <w10:anchorlock/>
              </v:shape>
            </w:pict>
          </mc:Fallback>
        </mc:AlternateContent>
      </w:r>
    </w:p>
    <w:p w:rsidR="008918FA" w:rsidRDefault="008918FA" w:rsidP="008918FA">
      <w:pPr>
        <w:pStyle w:val="BodyText"/>
        <w:spacing w:before="116"/>
        <w:ind w:left="106" w:firstLine="0"/>
        <w:rPr>
          <w:rFonts w:ascii="Times New Roman" w:eastAsia="Times New Roman" w:hAnsi="Times New Roman" w:cs="Times New Roman"/>
        </w:rPr>
      </w:pPr>
      <w:r>
        <w:rPr>
          <w:rFonts w:ascii="Times New Roman"/>
          <w:spacing w:val="5"/>
        </w:rPr>
        <w:t>1.</w:t>
      </w:r>
      <w:r>
        <w:rPr>
          <w:rFonts w:ascii="Times New Roman"/>
        </w:rPr>
        <w:t xml:space="preserve">  </w:t>
      </w:r>
      <w:r>
        <w:rPr>
          <w:rFonts w:ascii="Times New Roman"/>
          <w:spacing w:val="17"/>
        </w:rPr>
        <w:t xml:space="preserve"> </w:t>
      </w:r>
      <w:r>
        <w:rPr>
          <w:rFonts w:ascii="Times New Roman"/>
          <w:spacing w:val="-1"/>
        </w:rPr>
        <w:t>DEFINITIONS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spacing w:before="0"/>
        <w:ind w:left="468" w:firstLine="0"/>
      </w:pPr>
      <w:r>
        <w:t>1.1</w:t>
      </w:r>
      <w:r>
        <w:rPr>
          <w:spacing w:val="-9"/>
        </w:rPr>
        <w:t xml:space="preserve"> </w:t>
      </w:r>
      <w:r>
        <w:t>In</w:t>
      </w:r>
      <w:r>
        <w:rPr>
          <w:spacing w:val="-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2"/>
        </w:rPr>
        <w:t xml:space="preserve"> </w:t>
      </w:r>
      <w:r>
        <w:rPr>
          <w:spacing w:val="-1"/>
        </w:rPr>
        <w:t>8,</w:t>
      </w:r>
      <w:r>
        <w:t xml:space="preserve"> the</w:t>
      </w:r>
      <w:r>
        <w:rPr>
          <w:spacing w:val="-2"/>
        </w:rPr>
        <w:t xml:space="preserve"> following</w:t>
      </w:r>
      <w:r>
        <w:rPr>
          <w:spacing w:val="3"/>
        </w:rPr>
        <w:t xml:space="preserve"> </w:t>
      </w:r>
      <w:r>
        <w:rPr>
          <w:spacing w:val="-1"/>
        </w:rPr>
        <w:t>definitions</w:t>
      </w:r>
      <w:r>
        <w:rPr>
          <w:spacing w:val="1"/>
        </w:rPr>
        <w:t xml:space="preserve"> </w:t>
      </w:r>
      <w:r>
        <w:rPr>
          <w:spacing w:val="-1"/>
        </w:rPr>
        <w:t>shall</w:t>
      </w:r>
      <w:r>
        <w:t xml:space="preserve"> </w:t>
      </w:r>
      <w:r>
        <w:rPr>
          <w:spacing w:val="-2"/>
        </w:rPr>
        <w:t>apply:</w:t>
      </w:r>
    </w:p>
    <w:p w:rsidR="008918FA" w:rsidRDefault="008918FA" w:rsidP="008918FA">
      <w:pPr>
        <w:spacing w:before="6"/>
        <w:rPr>
          <w:rFonts w:ascii="Arial" w:eastAsia="Arial" w:hAnsi="Arial" w:cs="Arial"/>
          <w:sz w:val="7"/>
          <w:szCs w:val="7"/>
        </w:rPr>
      </w:pPr>
    </w:p>
    <w:tbl>
      <w:tblPr>
        <w:tblW w:w="0" w:type="auto"/>
        <w:tblInd w:w="270" w:type="dxa"/>
        <w:tblLayout w:type="fixed"/>
        <w:tblCellMar>
          <w:left w:w="0" w:type="dxa"/>
          <w:right w:w="0" w:type="dxa"/>
        </w:tblCellMar>
        <w:tblLook w:val="01E0" w:firstRow="1" w:lastRow="1" w:firstColumn="1" w:lastColumn="1" w:noHBand="0" w:noVBand="0"/>
      </w:tblPr>
      <w:tblGrid>
        <w:gridCol w:w="1625"/>
        <w:gridCol w:w="7059"/>
      </w:tblGrid>
      <w:tr w:rsidR="008918FA" w:rsidTr="005D2B81">
        <w:trPr>
          <w:trHeight w:hRule="exact" w:val="4005"/>
        </w:trPr>
        <w:tc>
          <w:tcPr>
            <w:tcW w:w="1625" w:type="dxa"/>
            <w:tcBorders>
              <w:top w:val="nil"/>
              <w:left w:val="nil"/>
              <w:bottom w:val="nil"/>
              <w:right w:val="nil"/>
            </w:tcBorders>
          </w:tcPr>
          <w:p w:rsidR="008918FA" w:rsidRDefault="008918FA" w:rsidP="005D2B81">
            <w:pPr>
              <w:pStyle w:val="TableParagraph"/>
              <w:spacing w:before="32"/>
              <w:ind w:left="230" w:right="273"/>
              <w:rPr>
                <w:rFonts w:ascii="Arial" w:eastAsia="Arial" w:hAnsi="Arial" w:cs="Arial"/>
              </w:rPr>
            </w:pPr>
            <w:r>
              <w:rPr>
                <w:rFonts w:ascii="Arial"/>
                <w:b/>
                <w:spacing w:val="-1"/>
              </w:rPr>
              <w:t>"Breach</w:t>
            </w:r>
            <w:r>
              <w:rPr>
                <w:rFonts w:ascii="Arial"/>
                <w:b/>
              </w:rPr>
              <w:t xml:space="preserve"> </w:t>
            </w:r>
            <w:r>
              <w:rPr>
                <w:rFonts w:ascii="Arial"/>
                <w:b/>
                <w:spacing w:val="-2"/>
              </w:rPr>
              <w:t>of</w:t>
            </w:r>
            <w:r>
              <w:rPr>
                <w:rFonts w:ascii="Arial"/>
                <w:b/>
                <w:spacing w:val="24"/>
              </w:rPr>
              <w:t xml:space="preserve"> </w:t>
            </w:r>
            <w:r>
              <w:rPr>
                <w:rFonts w:ascii="Arial"/>
                <w:b/>
                <w:spacing w:val="-1"/>
              </w:rPr>
              <w:t>Security"</w:t>
            </w:r>
          </w:p>
        </w:tc>
        <w:tc>
          <w:tcPr>
            <w:tcW w:w="7059" w:type="dxa"/>
            <w:tcBorders>
              <w:top w:val="nil"/>
              <w:left w:val="nil"/>
              <w:bottom w:val="nil"/>
              <w:right w:val="nil"/>
            </w:tcBorders>
          </w:tcPr>
          <w:p w:rsidR="008918FA" w:rsidRDefault="008918FA" w:rsidP="005D2B81">
            <w:pPr>
              <w:pStyle w:val="TableParagraph"/>
              <w:spacing w:before="35"/>
              <w:ind w:left="275"/>
              <w:rPr>
                <w:rFonts w:ascii="Arial" w:eastAsia="Arial" w:hAnsi="Arial" w:cs="Arial"/>
              </w:rPr>
            </w:pPr>
            <w:r>
              <w:rPr>
                <w:rFonts w:ascii="Arial"/>
                <w:spacing w:val="-1"/>
              </w:rPr>
              <w:t xml:space="preserve">means </w:t>
            </w:r>
            <w:r>
              <w:rPr>
                <w:rFonts w:ascii="Arial"/>
              </w:rPr>
              <w:t xml:space="preserve">the </w:t>
            </w:r>
            <w:r>
              <w:rPr>
                <w:rFonts w:ascii="Arial"/>
                <w:spacing w:val="-1"/>
              </w:rPr>
              <w:t>occurrence</w:t>
            </w:r>
            <w:r>
              <w:rPr>
                <w:rFonts w:ascii="Arial"/>
                <w:spacing w:val="-2"/>
              </w:rPr>
              <w:t xml:space="preserve"> </w:t>
            </w:r>
            <w:r>
              <w:rPr>
                <w:rFonts w:ascii="Arial"/>
                <w:spacing w:val="-1"/>
              </w:rPr>
              <w:t>of:</w:t>
            </w:r>
          </w:p>
          <w:p w:rsidR="008918FA" w:rsidRDefault="008918FA" w:rsidP="005D2B81">
            <w:pPr>
              <w:pStyle w:val="ListParagraph"/>
              <w:numPr>
                <w:ilvl w:val="0"/>
                <w:numId w:val="16"/>
              </w:numPr>
              <w:tabs>
                <w:tab w:val="left" w:pos="825"/>
              </w:tabs>
              <w:spacing w:before="119"/>
              <w:ind w:right="228"/>
              <w:jc w:val="both"/>
              <w:rPr>
                <w:rFonts w:ascii="Arial" w:eastAsia="Arial" w:hAnsi="Arial" w:cs="Arial"/>
              </w:rPr>
            </w:pPr>
            <w:r>
              <w:rPr>
                <w:rFonts w:ascii="Arial" w:eastAsia="Arial" w:hAnsi="Arial" w:cs="Arial"/>
                <w:spacing w:val="-1"/>
              </w:rPr>
              <w:t>any</w:t>
            </w:r>
            <w:r>
              <w:rPr>
                <w:rFonts w:ascii="Arial" w:eastAsia="Arial" w:hAnsi="Arial" w:cs="Arial"/>
                <w:spacing w:val="7"/>
              </w:rPr>
              <w:t xml:space="preserve"> </w:t>
            </w:r>
            <w:r>
              <w:rPr>
                <w:rFonts w:ascii="Arial" w:eastAsia="Arial" w:hAnsi="Arial" w:cs="Arial"/>
                <w:spacing w:val="-1"/>
              </w:rPr>
              <w:t>unauthorised</w:t>
            </w:r>
            <w:r>
              <w:rPr>
                <w:rFonts w:ascii="Arial" w:eastAsia="Arial" w:hAnsi="Arial" w:cs="Arial"/>
                <w:spacing w:val="9"/>
              </w:rPr>
              <w:t xml:space="preserve"> </w:t>
            </w:r>
            <w:r>
              <w:rPr>
                <w:rFonts w:ascii="Arial" w:eastAsia="Arial" w:hAnsi="Arial" w:cs="Arial"/>
                <w:spacing w:val="-1"/>
              </w:rPr>
              <w:t>access</w:t>
            </w:r>
            <w:r>
              <w:rPr>
                <w:rFonts w:ascii="Arial" w:eastAsia="Arial" w:hAnsi="Arial" w:cs="Arial"/>
                <w:spacing w:val="10"/>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spacing w:val="-1"/>
              </w:rPr>
              <w:t>or</w:t>
            </w:r>
            <w:r>
              <w:rPr>
                <w:rFonts w:ascii="Arial" w:eastAsia="Arial" w:hAnsi="Arial" w:cs="Arial"/>
                <w:spacing w:val="10"/>
              </w:rPr>
              <w:t xml:space="preserve"> </w:t>
            </w:r>
            <w:r>
              <w:rPr>
                <w:rFonts w:ascii="Arial" w:eastAsia="Arial" w:hAnsi="Arial" w:cs="Arial"/>
                <w:spacing w:val="-1"/>
              </w:rPr>
              <w:t>use</w:t>
            </w:r>
            <w:r>
              <w:rPr>
                <w:rFonts w:ascii="Arial" w:eastAsia="Arial" w:hAnsi="Arial" w:cs="Arial"/>
                <w:spacing w:val="9"/>
              </w:rPr>
              <w:t xml:space="preserve"> </w:t>
            </w:r>
            <w:r>
              <w:rPr>
                <w:rFonts w:ascii="Arial" w:eastAsia="Arial" w:hAnsi="Arial" w:cs="Arial"/>
                <w:spacing w:val="-2"/>
              </w:rPr>
              <w:t>of</w:t>
            </w:r>
            <w:r>
              <w:rPr>
                <w:rFonts w:ascii="Arial" w:eastAsia="Arial" w:hAnsi="Arial" w:cs="Arial"/>
                <w:spacing w:val="13"/>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spacing w:val="-1"/>
              </w:rPr>
              <w:t>Goods</w:t>
            </w:r>
            <w:r>
              <w:rPr>
                <w:rFonts w:ascii="Arial" w:eastAsia="Arial" w:hAnsi="Arial" w:cs="Arial"/>
                <w:spacing w:val="9"/>
              </w:rPr>
              <w:t xml:space="preserve"> </w:t>
            </w:r>
            <w:r>
              <w:rPr>
                <w:rFonts w:ascii="Arial" w:eastAsia="Arial" w:hAnsi="Arial" w:cs="Arial"/>
                <w:spacing w:val="-1"/>
              </w:rPr>
              <w:t>and/or</w:t>
            </w:r>
            <w:r>
              <w:rPr>
                <w:rFonts w:ascii="Arial" w:eastAsia="Arial" w:hAnsi="Arial" w:cs="Arial"/>
                <w:spacing w:val="26"/>
              </w:rPr>
              <w:t xml:space="preserve"> </w:t>
            </w:r>
            <w:r>
              <w:rPr>
                <w:rFonts w:ascii="Arial" w:eastAsia="Arial" w:hAnsi="Arial" w:cs="Arial"/>
                <w:spacing w:val="-1"/>
              </w:rPr>
              <w:t>Services,</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Sites</w:t>
            </w:r>
            <w:r>
              <w:rPr>
                <w:rFonts w:ascii="Arial" w:eastAsia="Arial" w:hAnsi="Arial" w:cs="Arial"/>
                <w:spacing w:val="1"/>
              </w:rPr>
              <w:t xml:space="preserve"> </w:t>
            </w:r>
            <w:r>
              <w:rPr>
                <w:rFonts w:ascii="Arial" w:eastAsia="Arial" w:hAnsi="Arial" w:cs="Arial"/>
                <w:spacing w:val="-1"/>
              </w:rPr>
              <w:t>and/or</w:t>
            </w:r>
            <w:r>
              <w:rPr>
                <w:rFonts w:ascii="Arial" w:eastAsia="Arial" w:hAnsi="Arial" w:cs="Arial"/>
                <w:spacing w:val="4"/>
              </w:rPr>
              <w:t xml:space="preserve"> </w:t>
            </w:r>
            <w:r>
              <w:rPr>
                <w:rFonts w:ascii="Arial" w:eastAsia="Arial" w:hAnsi="Arial" w:cs="Arial"/>
                <w:spacing w:val="-1"/>
              </w:rPr>
              <w:t>any</w:t>
            </w:r>
            <w:r>
              <w:rPr>
                <w:rFonts w:ascii="Arial" w:eastAsia="Arial" w:hAnsi="Arial" w:cs="Arial"/>
                <w:spacing w:val="2"/>
              </w:rPr>
              <w:t xml:space="preserve"> </w:t>
            </w:r>
            <w:r>
              <w:rPr>
                <w:rFonts w:ascii="Arial" w:eastAsia="Arial" w:hAnsi="Arial" w:cs="Arial"/>
                <w:spacing w:val="-1"/>
              </w:rPr>
              <w:t>Information</w:t>
            </w:r>
            <w:r>
              <w:rPr>
                <w:rFonts w:ascii="Arial" w:eastAsia="Arial" w:hAnsi="Arial" w:cs="Arial"/>
                <w:spacing w:val="3"/>
              </w:rPr>
              <w:t xml:space="preserve"> </w:t>
            </w:r>
            <w:r>
              <w:rPr>
                <w:rFonts w:ascii="Arial" w:eastAsia="Arial" w:hAnsi="Arial" w:cs="Arial"/>
                <w:spacing w:val="-1"/>
              </w:rPr>
              <w:t>and</w:t>
            </w:r>
            <w:r>
              <w:rPr>
                <w:rFonts w:ascii="Arial" w:eastAsia="Arial" w:hAnsi="Arial" w:cs="Arial"/>
                <w:spacing w:val="20"/>
              </w:rPr>
              <w:t xml:space="preserve"> </w:t>
            </w:r>
            <w:r>
              <w:rPr>
                <w:rFonts w:ascii="Arial" w:eastAsia="Arial" w:hAnsi="Arial" w:cs="Arial"/>
                <w:spacing w:val="-1"/>
              </w:rPr>
              <w:t>Communication</w:t>
            </w:r>
            <w:r>
              <w:rPr>
                <w:rFonts w:ascii="Arial" w:eastAsia="Arial" w:hAnsi="Arial" w:cs="Arial"/>
                <w:spacing w:val="57"/>
              </w:rPr>
              <w:t xml:space="preserve"> </w:t>
            </w:r>
            <w:r>
              <w:rPr>
                <w:rFonts w:ascii="Arial" w:eastAsia="Arial" w:hAnsi="Arial" w:cs="Arial"/>
                <w:spacing w:val="-1"/>
              </w:rPr>
              <w:t>Technology</w:t>
            </w:r>
            <w:r>
              <w:rPr>
                <w:rFonts w:ascii="Arial" w:eastAsia="Arial" w:hAnsi="Arial" w:cs="Arial"/>
                <w:spacing w:val="57"/>
              </w:rPr>
              <w:t xml:space="preserve"> </w:t>
            </w:r>
            <w:r>
              <w:rPr>
                <w:rFonts w:ascii="Arial" w:eastAsia="Arial" w:hAnsi="Arial" w:cs="Arial"/>
                <w:spacing w:val="-1"/>
              </w:rPr>
              <w:t>(“ICT”),</w:t>
            </w:r>
            <w:r>
              <w:rPr>
                <w:rFonts w:ascii="Arial" w:eastAsia="Arial" w:hAnsi="Arial" w:cs="Arial"/>
              </w:rPr>
              <w:t xml:space="preserve">  </w:t>
            </w:r>
            <w:r>
              <w:rPr>
                <w:rFonts w:ascii="Arial" w:eastAsia="Arial" w:hAnsi="Arial" w:cs="Arial"/>
                <w:spacing w:val="-1"/>
              </w:rPr>
              <w:t>information</w:t>
            </w:r>
            <w:r>
              <w:rPr>
                <w:rFonts w:ascii="Arial" w:eastAsia="Arial" w:hAnsi="Arial" w:cs="Arial"/>
                <w:spacing w:val="59"/>
              </w:rPr>
              <w:t xml:space="preserve"> </w:t>
            </w:r>
            <w:r>
              <w:rPr>
                <w:rFonts w:ascii="Arial" w:eastAsia="Arial" w:hAnsi="Arial" w:cs="Arial"/>
                <w:spacing w:val="-1"/>
              </w:rPr>
              <w:t>or</w:t>
            </w:r>
            <w:r>
              <w:rPr>
                <w:rFonts w:ascii="Arial" w:eastAsia="Arial" w:hAnsi="Arial" w:cs="Arial"/>
                <w:spacing w:val="60"/>
              </w:rPr>
              <w:t xml:space="preserve"> </w:t>
            </w:r>
            <w:r>
              <w:rPr>
                <w:rFonts w:ascii="Arial" w:eastAsia="Arial" w:hAnsi="Arial" w:cs="Arial"/>
                <w:spacing w:val="-1"/>
              </w:rPr>
              <w:t>data</w:t>
            </w:r>
            <w:r>
              <w:rPr>
                <w:rFonts w:ascii="Arial" w:eastAsia="Arial" w:hAnsi="Arial" w:cs="Arial"/>
                <w:spacing w:val="39"/>
              </w:rPr>
              <w:t xml:space="preserve"> </w:t>
            </w:r>
            <w:r>
              <w:rPr>
                <w:rFonts w:ascii="Arial" w:eastAsia="Arial" w:hAnsi="Arial" w:cs="Arial"/>
                <w:spacing w:val="-1"/>
              </w:rPr>
              <w:t>(including</w:t>
            </w:r>
            <w:r>
              <w:rPr>
                <w:rFonts w:ascii="Arial" w:eastAsia="Arial" w:hAnsi="Arial" w:cs="Arial"/>
                <w:spacing w:val="23"/>
              </w:rPr>
              <w:t xml:space="preserve"> </w:t>
            </w:r>
            <w:r>
              <w:rPr>
                <w:rFonts w:ascii="Arial" w:eastAsia="Arial" w:hAnsi="Arial" w:cs="Arial"/>
              </w:rPr>
              <w:t>the</w:t>
            </w:r>
            <w:r>
              <w:rPr>
                <w:rFonts w:ascii="Arial" w:eastAsia="Arial" w:hAnsi="Arial" w:cs="Arial"/>
                <w:spacing w:val="21"/>
              </w:rPr>
              <w:t xml:space="preserve"> </w:t>
            </w:r>
            <w:r>
              <w:rPr>
                <w:rFonts w:ascii="Arial" w:eastAsia="Arial" w:hAnsi="Arial" w:cs="Arial"/>
                <w:spacing w:val="-1"/>
              </w:rPr>
              <w:t>Confidential</w:t>
            </w:r>
            <w:r>
              <w:rPr>
                <w:rFonts w:ascii="Arial" w:eastAsia="Arial" w:hAnsi="Arial" w:cs="Arial"/>
                <w:spacing w:val="20"/>
              </w:rPr>
              <w:t xml:space="preserve"> </w:t>
            </w:r>
            <w:r>
              <w:rPr>
                <w:rFonts w:ascii="Arial" w:eastAsia="Arial" w:hAnsi="Arial" w:cs="Arial"/>
                <w:spacing w:val="-1"/>
              </w:rPr>
              <w:t>Information</w:t>
            </w:r>
            <w:r>
              <w:rPr>
                <w:rFonts w:ascii="Arial" w:eastAsia="Arial" w:hAnsi="Arial" w:cs="Arial"/>
                <w:spacing w:val="21"/>
              </w:rPr>
              <w:t xml:space="preserve"> </w:t>
            </w:r>
            <w:r>
              <w:rPr>
                <w:rFonts w:ascii="Arial" w:eastAsia="Arial" w:hAnsi="Arial" w:cs="Arial"/>
                <w:spacing w:val="-1"/>
              </w:rPr>
              <w:t>and</w:t>
            </w:r>
            <w:r>
              <w:rPr>
                <w:rFonts w:ascii="Arial" w:eastAsia="Arial" w:hAnsi="Arial" w:cs="Arial"/>
                <w:spacing w:val="21"/>
              </w:rPr>
              <w:t xml:space="preserve"> </w:t>
            </w:r>
            <w:r>
              <w:rPr>
                <w:rFonts w:ascii="Arial" w:eastAsia="Arial" w:hAnsi="Arial" w:cs="Arial"/>
                <w:spacing w:val="-1"/>
              </w:rPr>
              <w:t>the</w:t>
            </w:r>
            <w:r>
              <w:rPr>
                <w:rFonts w:ascii="Arial" w:eastAsia="Arial" w:hAnsi="Arial" w:cs="Arial"/>
                <w:spacing w:val="21"/>
              </w:rPr>
              <w:t xml:space="preserve"> </w:t>
            </w:r>
            <w:r>
              <w:rPr>
                <w:rFonts w:ascii="Arial" w:eastAsia="Arial" w:hAnsi="Arial" w:cs="Arial"/>
                <w:spacing w:val="-1"/>
              </w:rPr>
              <w:t>Customer</w:t>
            </w:r>
            <w:r>
              <w:rPr>
                <w:rFonts w:ascii="Arial" w:eastAsia="Arial" w:hAnsi="Arial" w:cs="Arial"/>
                <w:spacing w:val="30"/>
              </w:rPr>
              <w:t xml:space="preserve"> </w:t>
            </w:r>
            <w:r>
              <w:rPr>
                <w:rFonts w:ascii="Arial" w:eastAsia="Arial" w:hAnsi="Arial" w:cs="Arial"/>
                <w:spacing w:val="-1"/>
              </w:rPr>
              <w:t>Data)</w:t>
            </w:r>
            <w:r>
              <w:rPr>
                <w:rFonts w:ascii="Arial" w:eastAsia="Arial" w:hAnsi="Arial" w:cs="Arial"/>
                <w:spacing w:val="16"/>
              </w:rPr>
              <w:t xml:space="preserve"> </w:t>
            </w:r>
            <w:r>
              <w:rPr>
                <w:rFonts w:ascii="Arial" w:eastAsia="Arial" w:hAnsi="Arial" w:cs="Arial"/>
                <w:spacing w:val="-1"/>
              </w:rPr>
              <w:t>used</w:t>
            </w:r>
            <w:r>
              <w:rPr>
                <w:rFonts w:ascii="Arial" w:eastAsia="Arial" w:hAnsi="Arial" w:cs="Arial"/>
                <w:spacing w:val="12"/>
              </w:rPr>
              <w:t xml:space="preserve"> </w:t>
            </w:r>
            <w:r>
              <w:rPr>
                <w:rFonts w:ascii="Arial" w:eastAsia="Arial" w:hAnsi="Arial" w:cs="Arial"/>
                <w:spacing w:val="-1"/>
              </w:rPr>
              <w:t>by</w:t>
            </w:r>
            <w:r>
              <w:rPr>
                <w:rFonts w:ascii="Arial" w:eastAsia="Arial" w:hAnsi="Arial" w:cs="Arial"/>
                <w:spacing w:val="13"/>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spacing w:val="-1"/>
              </w:rPr>
              <w:t>Customer</w:t>
            </w:r>
            <w:r>
              <w:rPr>
                <w:rFonts w:ascii="Arial" w:eastAsia="Arial" w:hAnsi="Arial" w:cs="Arial"/>
                <w:spacing w:val="16"/>
              </w:rPr>
              <w:t xml:space="preserve"> </w:t>
            </w:r>
            <w:r>
              <w:rPr>
                <w:rFonts w:ascii="Arial" w:eastAsia="Arial" w:hAnsi="Arial" w:cs="Arial"/>
                <w:spacing w:val="-1"/>
              </w:rPr>
              <w:t>and/or</w:t>
            </w:r>
            <w:r>
              <w:rPr>
                <w:rFonts w:ascii="Arial" w:eastAsia="Arial" w:hAnsi="Arial" w:cs="Arial"/>
                <w:spacing w:val="14"/>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spacing w:val="-2"/>
              </w:rPr>
              <w:t>Supplier</w:t>
            </w:r>
            <w:r>
              <w:rPr>
                <w:rFonts w:ascii="Arial" w:eastAsia="Arial" w:hAnsi="Arial" w:cs="Arial"/>
                <w:spacing w:val="16"/>
              </w:rPr>
              <w:t xml:space="preserve"> </w:t>
            </w:r>
            <w:r>
              <w:rPr>
                <w:rFonts w:ascii="Arial" w:eastAsia="Arial" w:hAnsi="Arial" w:cs="Arial"/>
                <w:spacing w:val="-1"/>
              </w:rPr>
              <w:t>in</w:t>
            </w:r>
            <w:r>
              <w:rPr>
                <w:rFonts w:ascii="Arial" w:eastAsia="Arial" w:hAnsi="Arial" w:cs="Arial"/>
                <w:spacing w:val="29"/>
              </w:rPr>
              <w:t xml:space="preserve"> </w:t>
            </w:r>
            <w:r>
              <w:rPr>
                <w:rFonts w:ascii="Arial" w:eastAsia="Arial" w:hAnsi="Arial" w:cs="Arial"/>
                <w:spacing w:val="-1"/>
              </w:rPr>
              <w:t>connection</w:t>
            </w:r>
            <w:r>
              <w:rPr>
                <w:rFonts w:ascii="Arial" w:eastAsia="Arial" w:hAnsi="Arial" w:cs="Arial"/>
              </w:rPr>
              <w:t xml:space="preserve"> </w:t>
            </w:r>
            <w:r>
              <w:rPr>
                <w:rFonts w:ascii="Arial" w:eastAsia="Arial" w:hAnsi="Arial" w:cs="Arial"/>
                <w:spacing w:val="-2"/>
              </w:rPr>
              <w:t>with</w:t>
            </w:r>
            <w:r>
              <w:rPr>
                <w:rFonts w:ascii="Arial" w:eastAsia="Arial" w:hAnsi="Arial" w:cs="Arial"/>
              </w:rPr>
              <w:t xml:space="preserve"> </w:t>
            </w:r>
            <w:r>
              <w:rPr>
                <w:rFonts w:ascii="Arial" w:eastAsia="Arial" w:hAnsi="Arial" w:cs="Arial"/>
                <w:spacing w:val="-1"/>
              </w:rPr>
              <w:t>this</w:t>
            </w:r>
            <w:r>
              <w:rPr>
                <w:rFonts w:ascii="Arial" w:eastAsia="Arial" w:hAnsi="Arial" w:cs="Arial"/>
                <w:spacing w:val="1"/>
              </w:rPr>
              <w:t xml:space="preserve"> </w:t>
            </w:r>
            <w:r>
              <w:rPr>
                <w:rFonts w:ascii="Arial" w:eastAsia="Arial" w:hAnsi="Arial" w:cs="Arial"/>
                <w:spacing w:val="-2"/>
              </w:rPr>
              <w:t>Call</w:t>
            </w:r>
            <w:r>
              <w:rPr>
                <w:rFonts w:ascii="Arial" w:eastAsia="Arial" w:hAnsi="Arial" w:cs="Arial"/>
                <w:spacing w:val="-3"/>
              </w:rPr>
              <w:t xml:space="preserve"> </w:t>
            </w:r>
            <w:r>
              <w:rPr>
                <w:rFonts w:ascii="Arial" w:eastAsia="Arial" w:hAnsi="Arial" w:cs="Arial"/>
                <w:spacing w:val="-1"/>
              </w:rPr>
              <w:t>Off</w:t>
            </w:r>
            <w:r>
              <w:rPr>
                <w:rFonts w:ascii="Arial" w:eastAsia="Arial" w:hAnsi="Arial" w:cs="Arial"/>
                <w:spacing w:val="2"/>
              </w:rPr>
              <w:t xml:space="preserve"> </w:t>
            </w:r>
            <w:r>
              <w:rPr>
                <w:rFonts w:ascii="Arial" w:eastAsia="Arial" w:hAnsi="Arial" w:cs="Arial"/>
                <w:spacing w:val="-1"/>
              </w:rPr>
              <w:t>Contract;</w:t>
            </w:r>
            <w:r>
              <w:rPr>
                <w:rFonts w:ascii="Arial" w:eastAsia="Arial" w:hAnsi="Arial" w:cs="Arial"/>
              </w:rPr>
              <w:t xml:space="preserve"> </w:t>
            </w:r>
            <w:r>
              <w:rPr>
                <w:rFonts w:ascii="Arial" w:eastAsia="Arial" w:hAnsi="Arial" w:cs="Arial"/>
                <w:spacing w:val="-1"/>
              </w:rPr>
              <w:t>and/or</w:t>
            </w:r>
          </w:p>
          <w:p w:rsidR="008918FA" w:rsidRDefault="008918FA" w:rsidP="005D2B81">
            <w:pPr>
              <w:pStyle w:val="ListParagraph"/>
              <w:numPr>
                <w:ilvl w:val="0"/>
                <w:numId w:val="16"/>
              </w:numPr>
              <w:tabs>
                <w:tab w:val="left" w:pos="825"/>
              </w:tabs>
              <w:spacing w:before="119"/>
              <w:ind w:left="824" w:right="230" w:hanging="544"/>
              <w:jc w:val="both"/>
              <w:rPr>
                <w:rFonts w:ascii="Arial" w:eastAsia="Arial" w:hAnsi="Arial" w:cs="Arial"/>
              </w:rPr>
            </w:pPr>
            <w:r>
              <w:rPr>
                <w:rFonts w:ascii="Arial"/>
              </w:rPr>
              <w:t>the</w:t>
            </w:r>
            <w:r>
              <w:rPr>
                <w:rFonts w:ascii="Arial"/>
                <w:spacing w:val="12"/>
              </w:rPr>
              <w:t xml:space="preserve"> </w:t>
            </w:r>
            <w:r>
              <w:rPr>
                <w:rFonts w:ascii="Arial"/>
                <w:spacing w:val="-1"/>
              </w:rPr>
              <w:t>loss</w:t>
            </w:r>
            <w:r>
              <w:rPr>
                <w:rFonts w:ascii="Arial"/>
                <w:spacing w:val="13"/>
              </w:rPr>
              <w:t xml:space="preserve"> </w:t>
            </w:r>
            <w:r>
              <w:rPr>
                <w:rFonts w:ascii="Arial"/>
                <w:spacing w:val="-1"/>
              </w:rPr>
              <w:t>and/or</w:t>
            </w:r>
            <w:r>
              <w:rPr>
                <w:rFonts w:ascii="Arial"/>
                <w:spacing w:val="14"/>
              </w:rPr>
              <w:t xml:space="preserve"> </w:t>
            </w:r>
            <w:r>
              <w:rPr>
                <w:rFonts w:ascii="Arial"/>
                <w:spacing w:val="-1"/>
              </w:rPr>
              <w:t>unauthorised</w:t>
            </w:r>
            <w:r>
              <w:rPr>
                <w:rFonts w:ascii="Arial"/>
                <w:spacing w:val="12"/>
              </w:rPr>
              <w:t xml:space="preserve"> </w:t>
            </w:r>
            <w:r>
              <w:rPr>
                <w:rFonts w:ascii="Arial"/>
                <w:spacing w:val="-1"/>
              </w:rPr>
              <w:t>disclosure</w:t>
            </w:r>
            <w:r>
              <w:rPr>
                <w:rFonts w:ascii="Arial"/>
                <w:spacing w:val="12"/>
              </w:rPr>
              <w:t xml:space="preserve"> </w:t>
            </w:r>
            <w:r>
              <w:rPr>
                <w:rFonts w:ascii="Arial"/>
                <w:spacing w:val="-2"/>
              </w:rPr>
              <w:t>of</w:t>
            </w:r>
            <w:r>
              <w:rPr>
                <w:rFonts w:ascii="Arial"/>
                <w:spacing w:val="16"/>
              </w:rPr>
              <w:t xml:space="preserve"> </w:t>
            </w:r>
            <w:r>
              <w:rPr>
                <w:rFonts w:ascii="Arial"/>
                <w:spacing w:val="-1"/>
              </w:rPr>
              <w:t>any</w:t>
            </w:r>
            <w:r>
              <w:rPr>
                <w:rFonts w:ascii="Arial"/>
                <w:spacing w:val="10"/>
              </w:rPr>
              <w:t xml:space="preserve"> </w:t>
            </w:r>
            <w:r>
              <w:rPr>
                <w:rFonts w:ascii="Arial"/>
                <w:spacing w:val="-1"/>
              </w:rPr>
              <w:t>information</w:t>
            </w:r>
            <w:r>
              <w:rPr>
                <w:rFonts w:ascii="Arial"/>
                <w:spacing w:val="12"/>
              </w:rPr>
              <w:t xml:space="preserve"> </w:t>
            </w:r>
            <w:r>
              <w:rPr>
                <w:rFonts w:ascii="Arial"/>
                <w:spacing w:val="-2"/>
              </w:rPr>
              <w:t>or</w:t>
            </w:r>
            <w:r>
              <w:rPr>
                <w:rFonts w:ascii="Arial"/>
                <w:spacing w:val="29"/>
              </w:rPr>
              <w:t xml:space="preserve"> </w:t>
            </w:r>
            <w:r>
              <w:rPr>
                <w:rFonts w:ascii="Arial"/>
                <w:spacing w:val="-1"/>
              </w:rPr>
              <w:t>data</w:t>
            </w:r>
            <w:r>
              <w:rPr>
                <w:rFonts w:ascii="Arial"/>
              </w:rPr>
              <w:t xml:space="preserve"> </w:t>
            </w:r>
            <w:r>
              <w:rPr>
                <w:rFonts w:ascii="Arial"/>
                <w:spacing w:val="-1"/>
              </w:rPr>
              <w:t>(including</w:t>
            </w:r>
            <w:r>
              <w:rPr>
                <w:rFonts w:ascii="Arial"/>
              </w:rPr>
              <w:t xml:space="preserve"> the </w:t>
            </w:r>
            <w:r>
              <w:rPr>
                <w:rFonts w:ascii="Arial"/>
                <w:spacing w:val="-1"/>
              </w:rPr>
              <w:t>Confidential</w:t>
            </w:r>
            <w:r>
              <w:rPr>
                <w:rFonts w:ascii="Arial"/>
              </w:rPr>
              <w:t xml:space="preserve"> </w:t>
            </w:r>
            <w:r>
              <w:rPr>
                <w:rFonts w:ascii="Arial"/>
                <w:spacing w:val="-1"/>
              </w:rPr>
              <w:t>Information</w:t>
            </w:r>
            <w:r>
              <w:rPr>
                <w:rFonts w:ascii="Arial"/>
              </w:rPr>
              <w:t xml:space="preserve"> </w:t>
            </w:r>
            <w:r>
              <w:rPr>
                <w:rFonts w:ascii="Arial"/>
                <w:spacing w:val="-1"/>
              </w:rPr>
              <w:t>and</w:t>
            </w:r>
            <w:r>
              <w:rPr>
                <w:rFonts w:ascii="Arial"/>
              </w:rPr>
              <w:t xml:space="preserve"> </w:t>
            </w:r>
            <w:r>
              <w:rPr>
                <w:rFonts w:ascii="Arial"/>
                <w:spacing w:val="-1"/>
              </w:rPr>
              <w:t>the</w:t>
            </w:r>
            <w:r>
              <w:rPr>
                <w:rFonts w:ascii="Arial"/>
              </w:rPr>
              <w:t xml:space="preserve"> </w:t>
            </w:r>
            <w:r>
              <w:rPr>
                <w:rFonts w:ascii="Arial"/>
                <w:spacing w:val="-1"/>
              </w:rPr>
              <w:t>Customer</w:t>
            </w:r>
            <w:r>
              <w:rPr>
                <w:rFonts w:ascii="Arial"/>
                <w:spacing w:val="30"/>
              </w:rPr>
              <w:t xml:space="preserve"> </w:t>
            </w:r>
            <w:r>
              <w:rPr>
                <w:rFonts w:ascii="Arial"/>
                <w:spacing w:val="-1"/>
              </w:rPr>
              <w:t>Data),</w:t>
            </w:r>
            <w:r>
              <w:rPr>
                <w:rFonts w:ascii="Arial"/>
                <w:spacing w:val="11"/>
              </w:rPr>
              <w:t xml:space="preserve"> </w:t>
            </w:r>
            <w:r>
              <w:rPr>
                <w:rFonts w:ascii="Arial"/>
                <w:spacing w:val="-2"/>
              </w:rPr>
              <w:t>including</w:t>
            </w:r>
            <w:r>
              <w:rPr>
                <w:rFonts w:ascii="Arial"/>
                <w:spacing w:val="12"/>
              </w:rPr>
              <w:t xml:space="preserve"> </w:t>
            </w:r>
            <w:r>
              <w:rPr>
                <w:rFonts w:ascii="Arial"/>
                <w:spacing w:val="-1"/>
              </w:rPr>
              <w:t>any</w:t>
            </w:r>
            <w:r>
              <w:rPr>
                <w:rFonts w:ascii="Arial"/>
                <w:spacing w:val="8"/>
              </w:rPr>
              <w:t xml:space="preserve"> </w:t>
            </w:r>
            <w:r>
              <w:rPr>
                <w:rFonts w:ascii="Arial"/>
                <w:spacing w:val="-1"/>
              </w:rPr>
              <w:t>copies</w:t>
            </w:r>
            <w:r>
              <w:rPr>
                <w:rFonts w:ascii="Arial"/>
                <w:spacing w:val="10"/>
              </w:rPr>
              <w:t xml:space="preserve"> </w:t>
            </w:r>
            <w:r>
              <w:rPr>
                <w:rFonts w:ascii="Arial"/>
                <w:spacing w:val="-2"/>
              </w:rPr>
              <w:t>of</w:t>
            </w:r>
            <w:r>
              <w:rPr>
                <w:rFonts w:ascii="Arial"/>
                <w:spacing w:val="14"/>
              </w:rPr>
              <w:t xml:space="preserve"> </w:t>
            </w:r>
            <w:r>
              <w:rPr>
                <w:rFonts w:ascii="Arial"/>
                <w:spacing w:val="-1"/>
              </w:rPr>
              <w:t>such</w:t>
            </w:r>
            <w:r>
              <w:rPr>
                <w:rFonts w:ascii="Arial"/>
                <w:spacing w:val="10"/>
              </w:rPr>
              <w:t xml:space="preserve"> </w:t>
            </w:r>
            <w:r>
              <w:rPr>
                <w:rFonts w:ascii="Arial"/>
                <w:spacing w:val="-1"/>
              </w:rPr>
              <w:t>information</w:t>
            </w:r>
            <w:r>
              <w:rPr>
                <w:rFonts w:ascii="Arial"/>
                <w:spacing w:val="10"/>
              </w:rPr>
              <w:t xml:space="preserve"> </w:t>
            </w:r>
            <w:r>
              <w:rPr>
                <w:rFonts w:ascii="Arial"/>
                <w:spacing w:val="-2"/>
              </w:rPr>
              <w:t>or</w:t>
            </w:r>
            <w:r>
              <w:rPr>
                <w:rFonts w:ascii="Arial"/>
                <w:spacing w:val="9"/>
              </w:rPr>
              <w:t xml:space="preserve"> </w:t>
            </w:r>
            <w:r>
              <w:rPr>
                <w:rFonts w:ascii="Arial"/>
                <w:spacing w:val="-1"/>
              </w:rPr>
              <w:t>data,</w:t>
            </w:r>
            <w:r>
              <w:rPr>
                <w:rFonts w:ascii="Arial"/>
                <w:spacing w:val="11"/>
              </w:rPr>
              <w:t xml:space="preserve"> </w:t>
            </w:r>
            <w:r>
              <w:rPr>
                <w:rFonts w:ascii="Arial"/>
                <w:spacing w:val="-1"/>
              </w:rPr>
              <w:t>used</w:t>
            </w:r>
            <w:r>
              <w:rPr>
                <w:rFonts w:ascii="Arial"/>
                <w:spacing w:val="39"/>
              </w:rPr>
              <w:t xml:space="preserve"> </w:t>
            </w:r>
            <w:r>
              <w:rPr>
                <w:rFonts w:ascii="Arial"/>
                <w:spacing w:val="-1"/>
              </w:rPr>
              <w:t>by</w:t>
            </w:r>
            <w:r>
              <w:rPr>
                <w:rFonts w:ascii="Arial"/>
                <w:spacing w:val="25"/>
              </w:rPr>
              <w:t xml:space="preserve"> </w:t>
            </w:r>
            <w:r>
              <w:rPr>
                <w:rFonts w:ascii="Arial"/>
              </w:rPr>
              <w:t>the</w:t>
            </w:r>
            <w:r>
              <w:rPr>
                <w:rFonts w:ascii="Arial"/>
                <w:spacing w:val="27"/>
              </w:rPr>
              <w:t xml:space="preserve"> </w:t>
            </w:r>
            <w:r>
              <w:rPr>
                <w:rFonts w:ascii="Arial"/>
                <w:spacing w:val="-1"/>
              </w:rPr>
              <w:t>Customer</w:t>
            </w:r>
            <w:r>
              <w:rPr>
                <w:rFonts w:ascii="Arial"/>
                <w:spacing w:val="28"/>
              </w:rPr>
              <w:t xml:space="preserve"> </w:t>
            </w:r>
            <w:r>
              <w:rPr>
                <w:rFonts w:ascii="Arial"/>
                <w:spacing w:val="-1"/>
              </w:rPr>
              <w:t>and/or</w:t>
            </w:r>
            <w:r>
              <w:rPr>
                <w:rFonts w:ascii="Arial"/>
                <w:spacing w:val="26"/>
              </w:rPr>
              <w:t xml:space="preserve"> </w:t>
            </w:r>
            <w:r>
              <w:rPr>
                <w:rFonts w:ascii="Arial"/>
              </w:rPr>
              <w:t>the</w:t>
            </w:r>
            <w:r>
              <w:rPr>
                <w:rFonts w:ascii="Arial"/>
                <w:spacing w:val="27"/>
              </w:rPr>
              <w:t xml:space="preserve"> </w:t>
            </w:r>
            <w:r>
              <w:rPr>
                <w:rFonts w:ascii="Arial"/>
                <w:spacing w:val="-2"/>
              </w:rPr>
              <w:t>Supplier</w:t>
            </w:r>
            <w:r>
              <w:rPr>
                <w:rFonts w:ascii="Arial"/>
                <w:spacing w:val="28"/>
              </w:rPr>
              <w:t xml:space="preserve"> </w:t>
            </w:r>
            <w:r>
              <w:rPr>
                <w:rFonts w:ascii="Arial"/>
                <w:spacing w:val="-1"/>
              </w:rPr>
              <w:t>in</w:t>
            </w:r>
            <w:r>
              <w:rPr>
                <w:rFonts w:ascii="Arial"/>
                <w:spacing w:val="27"/>
              </w:rPr>
              <w:t xml:space="preserve"> </w:t>
            </w:r>
            <w:r>
              <w:rPr>
                <w:rFonts w:ascii="Arial"/>
                <w:spacing w:val="-1"/>
              </w:rPr>
              <w:t>connection</w:t>
            </w:r>
            <w:r>
              <w:rPr>
                <w:rFonts w:ascii="Arial"/>
                <w:spacing w:val="29"/>
              </w:rPr>
              <w:t xml:space="preserve"> </w:t>
            </w:r>
            <w:r>
              <w:rPr>
                <w:rFonts w:ascii="Arial"/>
                <w:spacing w:val="-2"/>
              </w:rPr>
              <w:t>with</w:t>
            </w:r>
            <w:r>
              <w:rPr>
                <w:rFonts w:ascii="Arial"/>
                <w:spacing w:val="27"/>
              </w:rPr>
              <w:t xml:space="preserve"> </w:t>
            </w:r>
            <w:r>
              <w:rPr>
                <w:rFonts w:ascii="Arial"/>
              </w:rPr>
              <w:t>this</w:t>
            </w:r>
            <w:r>
              <w:rPr>
                <w:rFonts w:ascii="Arial"/>
                <w:spacing w:val="37"/>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2"/>
              </w:rPr>
              <w:t>Contract,</w:t>
            </w:r>
          </w:p>
          <w:p w:rsidR="008918FA" w:rsidRDefault="008918FA" w:rsidP="005D2B81">
            <w:pPr>
              <w:pStyle w:val="TableParagraph"/>
              <w:spacing w:before="121"/>
              <w:ind w:left="275" w:right="228"/>
              <w:rPr>
                <w:rFonts w:ascii="Arial" w:eastAsia="Arial" w:hAnsi="Arial" w:cs="Arial"/>
              </w:rPr>
            </w:pPr>
            <w:r>
              <w:rPr>
                <w:rFonts w:ascii="Arial"/>
                <w:spacing w:val="-1"/>
              </w:rPr>
              <w:t>in</w:t>
            </w:r>
            <w:r>
              <w:rPr>
                <w:rFonts w:ascii="Arial"/>
              </w:rPr>
              <w:t xml:space="preserve"> </w:t>
            </w:r>
            <w:r>
              <w:rPr>
                <w:rFonts w:ascii="Arial"/>
                <w:spacing w:val="49"/>
              </w:rPr>
              <w:t xml:space="preserve"> </w:t>
            </w:r>
            <w:r>
              <w:rPr>
                <w:rFonts w:ascii="Arial"/>
                <w:spacing w:val="-1"/>
              </w:rPr>
              <w:t>either</w:t>
            </w:r>
            <w:r>
              <w:rPr>
                <w:rFonts w:ascii="Arial"/>
              </w:rPr>
              <w:t xml:space="preserve"> </w:t>
            </w:r>
            <w:r>
              <w:rPr>
                <w:rFonts w:ascii="Arial"/>
                <w:spacing w:val="51"/>
              </w:rPr>
              <w:t xml:space="preserve"> </w:t>
            </w:r>
            <w:r>
              <w:rPr>
                <w:rFonts w:ascii="Arial"/>
                <w:spacing w:val="-1"/>
              </w:rPr>
              <w:t>case</w:t>
            </w:r>
            <w:r>
              <w:rPr>
                <w:rFonts w:ascii="Arial"/>
              </w:rPr>
              <w:t xml:space="preserve"> </w:t>
            </w:r>
            <w:r>
              <w:rPr>
                <w:rFonts w:ascii="Arial"/>
                <w:spacing w:val="50"/>
              </w:rPr>
              <w:t xml:space="preserve"> </w:t>
            </w:r>
            <w:r>
              <w:rPr>
                <w:rFonts w:ascii="Arial"/>
                <w:spacing w:val="-1"/>
              </w:rPr>
              <w:t>as</w:t>
            </w:r>
            <w:r>
              <w:rPr>
                <w:rFonts w:ascii="Arial"/>
              </w:rPr>
              <w:t xml:space="preserve"> </w:t>
            </w:r>
            <w:r>
              <w:rPr>
                <w:rFonts w:ascii="Arial"/>
                <w:spacing w:val="50"/>
              </w:rPr>
              <w:t xml:space="preserve"> </w:t>
            </w:r>
            <w:r>
              <w:rPr>
                <w:rFonts w:ascii="Arial"/>
                <w:spacing w:val="-1"/>
              </w:rPr>
              <w:t>more</w:t>
            </w:r>
            <w:r>
              <w:rPr>
                <w:rFonts w:ascii="Arial"/>
              </w:rPr>
              <w:t xml:space="preserve"> </w:t>
            </w:r>
            <w:r>
              <w:rPr>
                <w:rFonts w:ascii="Arial"/>
                <w:spacing w:val="49"/>
              </w:rPr>
              <w:t xml:space="preserve"> </w:t>
            </w:r>
            <w:r>
              <w:rPr>
                <w:rFonts w:ascii="Arial"/>
                <w:spacing w:val="-1"/>
              </w:rPr>
              <w:t>particularly</w:t>
            </w:r>
            <w:r>
              <w:rPr>
                <w:rFonts w:ascii="Arial"/>
              </w:rPr>
              <w:t xml:space="preserve"> </w:t>
            </w:r>
            <w:r>
              <w:rPr>
                <w:rFonts w:ascii="Arial"/>
                <w:spacing w:val="47"/>
              </w:rPr>
              <w:t xml:space="preserve"> </w:t>
            </w:r>
            <w:r>
              <w:rPr>
                <w:rFonts w:ascii="Arial"/>
                <w:spacing w:val="-1"/>
              </w:rPr>
              <w:t>set</w:t>
            </w:r>
            <w:r>
              <w:rPr>
                <w:rFonts w:ascii="Arial"/>
              </w:rPr>
              <w:t xml:space="preserve"> </w:t>
            </w:r>
            <w:r>
              <w:rPr>
                <w:rFonts w:ascii="Arial"/>
                <w:spacing w:val="52"/>
              </w:rPr>
              <w:t xml:space="preserve"> </w:t>
            </w:r>
            <w:r>
              <w:rPr>
                <w:rFonts w:ascii="Arial"/>
                <w:spacing w:val="-1"/>
              </w:rPr>
              <w:t>out</w:t>
            </w:r>
            <w:r>
              <w:rPr>
                <w:rFonts w:ascii="Arial"/>
              </w:rPr>
              <w:t xml:space="preserve"> </w:t>
            </w:r>
            <w:r>
              <w:rPr>
                <w:rFonts w:ascii="Arial"/>
                <w:spacing w:val="49"/>
              </w:rPr>
              <w:t xml:space="preserve"> </w:t>
            </w:r>
            <w:r>
              <w:rPr>
                <w:rFonts w:ascii="Arial"/>
                <w:spacing w:val="-1"/>
              </w:rPr>
              <w:t>in</w:t>
            </w:r>
            <w:r>
              <w:rPr>
                <w:rFonts w:ascii="Arial"/>
              </w:rPr>
              <w:t xml:space="preserve"> </w:t>
            </w:r>
            <w:r>
              <w:rPr>
                <w:rFonts w:ascii="Arial"/>
                <w:spacing w:val="49"/>
              </w:rPr>
              <w:t xml:space="preserve"> </w:t>
            </w:r>
            <w:r>
              <w:rPr>
                <w:rFonts w:ascii="Arial"/>
              </w:rPr>
              <w:t xml:space="preserve">the </w:t>
            </w:r>
            <w:r>
              <w:rPr>
                <w:rFonts w:ascii="Arial"/>
                <w:spacing w:val="49"/>
              </w:rPr>
              <w:t xml:space="preserve"> </w:t>
            </w:r>
            <w:r>
              <w:rPr>
                <w:rFonts w:ascii="Arial"/>
                <w:spacing w:val="-1"/>
              </w:rPr>
              <w:t>security</w:t>
            </w:r>
            <w:r>
              <w:rPr>
                <w:rFonts w:ascii="Arial"/>
                <w:spacing w:val="39"/>
              </w:rPr>
              <w:t xml:space="preserve"> </w:t>
            </w:r>
            <w:r>
              <w:rPr>
                <w:rFonts w:ascii="Arial"/>
                <w:spacing w:val="-1"/>
              </w:rPr>
              <w:t>requirements</w:t>
            </w:r>
            <w:r>
              <w:rPr>
                <w:rFonts w:ascii="Arial"/>
                <w:spacing w:val="-2"/>
              </w:rPr>
              <w:t xml:space="preserve"> </w:t>
            </w:r>
            <w:r>
              <w:rPr>
                <w:rFonts w:ascii="Arial"/>
                <w:spacing w:val="-1"/>
              </w:rPr>
              <w:t>in</w:t>
            </w:r>
            <w:r>
              <w:rPr>
                <w:rFonts w:ascii="Arial"/>
                <w:spacing w:val="1"/>
              </w:rPr>
              <w:t xml:space="preserve"> </w:t>
            </w:r>
            <w:r>
              <w:rPr>
                <w:rFonts w:ascii="Arial"/>
              </w:rPr>
              <w:t>the</w:t>
            </w:r>
            <w:r>
              <w:rPr>
                <w:rFonts w:ascii="Arial"/>
                <w:spacing w:val="-2"/>
              </w:rPr>
              <w:t xml:space="preserve"> </w:t>
            </w:r>
            <w:r>
              <w:rPr>
                <w:rFonts w:ascii="Arial"/>
                <w:spacing w:val="-1"/>
              </w:rPr>
              <w:t>Security</w:t>
            </w:r>
            <w:r>
              <w:rPr>
                <w:rFonts w:ascii="Arial"/>
                <w:spacing w:val="-2"/>
              </w:rPr>
              <w:t xml:space="preserve"> Policy;</w:t>
            </w:r>
          </w:p>
        </w:tc>
      </w:tr>
      <w:tr w:rsidR="008918FA" w:rsidTr="005D2B81">
        <w:trPr>
          <w:trHeight w:hRule="exact" w:val="1133"/>
        </w:trPr>
        <w:tc>
          <w:tcPr>
            <w:tcW w:w="1625"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"ISMS"</w:t>
            </w:r>
          </w:p>
        </w:tc>
        <w:tc>
          <w:tcPr>
            <w:tcW w:w="7059" w:type="dxa"/>
            <w:tcBorders>
              <w:top w:val="nil"/>
              <w:left w:val="nil"/>
              <w:bottom w:val="nil"/>
              <w:right w:val="nil"/>
            </w:tcBorders>
          </w:tcPr>
          <w:p w:rsidR="008918FA" w:rsidRDefault="008918FA" w:rsidP="005D2B81">
            <w:pPr>
              <w:pStyle w:val="TableParagraph"/>
              <w:spacing w:before="49"/>
              <w:ind w:left="275" w:right="231"/>
              <w:jc w:val="both"/>
              <w:rPr>
                <w:rFonts w:ascii="Arial" w:eastAsia="Arial" w:hAnsi="Arial" w:cs="Arial"/>
              </w:rPr>
            </w:pPr>
            <w:r>
              <w:rPr>
                <w:rFonts w:ascii="Arial"/>
              </w:rPr>
              <w:t>the</w:t>
            </w:r>
            <w:r>
              <w:rPr>
                <w:rFonts w:ascii="Arial"/>
                <w:spacing w:val="29"/>
              </w:rPr>
              <w:t xml:space="preserve"> </w:t>
            </w:r>
            <w:r>
              <w:rPr>
                <w:rFonts w:ascii="Arial"/>
                <w:spacing w:val="-1"/>
              </w:rPr>
              <w:t>information</w:t>
            </w:r>
            <w:r>
              <w:rPr>
                <w:rFonts w:ascii="Arial"/>
                <w:spacing w:val="29"/>
              </w:rPr>
              <w:t xml:space="preserve"> </w:t>
            </w:r>
            <w:r>
              <w:rPr>
                <w:rFonts w:ascii="Arial"/>
                <w:spacing w:val="-1"/>
              </w:rPr>
              <w:t>security</w:t>
            </w:r>
            <w:r>
              <w:rPr>
                <w:rFonts w:ascii="Arial"/>
                <w:spacing w:val="27"/>
              </w:rPr>
              <w:t xml:space="preserve"> </w:t>
            </w:r>
            <w:r>
              <w:rPr>
                <w:rFonts w:ascii="Arial"/>
                <w:spacing w:val="-1"/>
              </w:rPr>
              <w:t>management</w:t>
            </w:r>
            <w:r>
              <w:rPr>
                <w:rFonts w:ascii="Arial"/>
                <w:spacing w:val="30"/>
              </w:rPr>
              <w:t xml:space="preserve"> </w:t>
            </w:r>
            <w:r>
              <w:rPr>
                <w:rFonts w:ascii="Arial"/>
                <w:spacing w:val="-1"/>
              </w:rPr>
              <w:t>system</w:t>
            </w:r>
            <w:r>
              <w:rPr>
                <w:rFonts w:ascii="Arial"/>
                <w:spacing w:val="32"/>
              </w:rPr>
              <w:t xml:space="preserve"> </w:t>
            </w:r>
            <w:r>
              <w:rPr>
                <w:rFonts w:ascii="Arial"/>
                <w:spacing w:val="-1"/>
              </w:rPr>
              <w:t>and</w:t>
            </w:r>
            <w:r>
              <w:rPr>
                <w:rFonts w:ascii="Arial"/>
                <w:spacing w:val="29"/>
              </w:rPr>
              <w:t xml:space="preserve"> </w:t>
            </w:r>
            <w:r>
              <w:rPr>
                <w:rFonts w:ascii="Arial"/>
                <w:spacing w:val="-2"/>
              </w:rPr>
              <w:t>process</w:t>
            </w:r>
            <w:r>
              <w:rPr>
                <w:rFonts w:ascii="Arial"/>
                <w:spacing w:val="24"/>
              </w:rPr>
              <w:t xml:space="preserve"> </w:t>
            </w:r>
            <w:r>
              <w:rPr>
                <w:rFonts w:ascii="Arial"/>
                <w:spacing w:val="-2"/>
              </w:rPr>
              <w:t>developed</w:t>
            </w:r>
            <w:r>
              <w:rPr>
                <w:rFonts w:ascii="Arial"/>
                <w:spacing w:val="7"/>
              </w:rPr>
              <w:t xml:space="preserve"> </w:t>
            </w:r>
            <w:r>
              <w:rPr>
                <w:rFonts w:ascii="Arial"/>
                <w:spacing w:val="1"/>
              </w:rPr>
              <w:t>by</w:t>
            </w:r>
            <w:r>
              <w:rPr>
                <w:rFonts w:ascii="Arial"/>
                <w:spacing w:val="5"/>
              </w:rPr>
              <w:t xml:space="preserve"> </w:t>
            </w:r>
            <w:r>
              <w:rPr>
                <w:rFonts w:ascii="Arial"/>
              </w:rPr>
              <w:t>the</w:t>
            </w:r>
            <w:r>
              <w:rPr>
                <w:rFonts w:ascii="Arial"/>
                <w:spacing w:val="7"/>
              </w:rPr>
              <w:t xml:space="preserve"> </w:t>
            </w:r>
            <w:r>
              <w:rPr>
                <w:rFonts w:ascii="Arial"/>
                <w:spacing w:val="-2"/>
              </w:rPr>
              <w:t>Supplier</w:t>
            </w:r>
            <w:r>
              <w:rPr>
                <w:rFonts w:ascii="Arial"/>
                <w:spacing w:val="9"/>
              </w:rPr>
              <w:t xml:space="preserve"> </w:t>
            </w:r>
            <w:r>
              <w:rPr>
                <w:rFonts w:ascii="Arial"/>
                <w:spacing w:val="-1"/>
              </w:rPr>
              <w:t>in</w:t>
            </w:r>
            <w:r>
              <w:rPr>
                <w:rFonts w:ascii="Arial"/>
                <w:spacing w:val="7"/>
              </w:rPr>
              <w:t xml:space="preserve"> </w:t>
            </w:r>
            <w:r>
              <w:rPr>
                <w:rFonts w:ascii="Arial"/>
                <w:spacing w:val="-1"/>
              </w:rPr>
              <w:t>accordance</w:t>
            </w:r>
            <w:r>
              <w:rPr>
                <w:rFonts w:ascii="Arial"/>
                <w:spacing w:val="8"/>
              </w:rPr>
              <w:t xml:space="preserve"> </w:t>
            </w:r>
            <w:r>
              <w:rPr>
                <w:rFonts w:ascii="Arial"/>
                <w:spacing w:val="-2"/>
              </w:rPr>
              <w:t>with</w:t>
            </w:r>
            <w:r>
              <w:rPr>
                <w:rFonts w:ascii="Arial"/>
                <w:spacing w:val="7"/>
              </w:rPr>
              <w:t xml:space="preserve"> </w:t>
            </w:r>
            <w:r>
              <w:rPr>
                <w:rFonts w:ascii="Arial"/>
                <w:spacing w:val="-1"/>
              </w:rPr>
              <w:t>paragraph</w:t>
            </w:r>
            <w:r>
              <w:rPr>
                <w:rFonts w:ascii="Arial"/>
                <w:spacing w:val="9"/>
              </w:rPr>
              <w:t xml:space="preserve"> </w:t>
            </w:r>
            <w:hyperlink w:anchor="_bookmark334" w:history="1">
              <w:r>
                <w:rPr>
                  <w:rFonts w:ascii="Arial"/>
                </w:rPr>
                <w:t>3</w:t>
              </w:r>
            </w:hyperlink>
            <w:r>
              <w:rPr>
                <w:rFonts w:ascii="Arial"/>
                <w:spacing w:val="5"/>
              </w:rPr>
              <w:t xml:space="preserve"> </w:t>
            </w:r>
            <w:r>
              <w:rPr>
                <w:rFonts w:ascii="Arial"/>
                <w:spacing w:val="-1"/>
              </w:rPr>
              <w:t>(ISMS)</w:t>
            </w:r>
            <w:r>
              <w:rPr>
                <w:rFonts w:ascii="Arial"/>
                <w:spacing w:val="44"/>
              </w:rPr>
              <w:t xml:space="preserve"> </w:t>
            </w:r>
            <w:r>
              <w:rPr>
                <w:rFonts w:ascii="Arial"/>
                <w:spacing w:val="-1"/>
              </w:rPr>
              <w:t>as</w:t>
            </w:r>
            <w:r>
              <w:rPr>
                <w:rFonts w:ascii="Arial"/>
                <w:spacing w:val="22"/>
              </w:rPr>
              <w:t xml:space="preserve"> </w:t>
            </w:r>
            <w:r>
              <w:rPr>
                <w:rFonts w:ascii="Arial"/>
                <w:spacing w:val="-1"/>
              </w:rPr>
              <w:t>updated</w:t>
            </w:r>
            <w:r>
              <w:rPr>
                <w:rFonts w:ascii="Arial"/>
                <w:spacing w:val="20"/>
              </w:rPr>
              <w:t xml:space="preserve"> </w:t>
            </w:r>
            <w:r>
              <w:rPr>
                <w:rFonts w:ascii="Arial"/>
              </w:rPr>
              <w:t>from</w:t>
            </w:r>
            <w:r>
              <w:rPr>
                <w:rFonts w:ascii="Arial"/>
                <w:spacing w:val="21"/>
              </w:rPr>
              <w:t xml:space="preserve"> </w:t>
            </w:r>
            <w:r>
              <w:rPr>
                <w:rFonts w:ascii="Arial"/>
                <w:spacing w:val="-1"/>
              </w:rPr>
              <w:t>time</w:t>
            </w:r>
            <w:r>
              <w:rPr>
                <w:rFonts w:ascii="Arial"/>
                <w:spacing w:val="22"/>
              </w:rPr>
              <w:t xml:space="preserve"> </w:t>
            </w:r>
            <w:r>
              <w:rPr>
                <w:rFonts w:ascii="Arial"/>
              </w:rPr>
              <w:t>to</w:t>
            </w:r>
            <w:r>
              <w:rPr>
                <w:rFonts w:ascii="Arial"/>
                <w:spacing w:val="19"/>
              </w:rPr>
              <w:t xml:space="preserve"> </w:t>
            </w:r>
            <w:r>
              <w:rPr>
                <w:rFonts w:ascii="Arial"/>
                <w:spacing w:val="-1"/>
              </w:rPr>
              <w:t>time</w:t>
            </w:r>
            <w:r>
              <w:rPr>
                <w:rFonts w:ascii="Arial"/>
                <w:spacing w:val="22"/>
              </w:rPr>
              <w:t xml:space="preserve"> </w:t>
            </w:r>
            <w:r>
              <w:rPr>
                <w:rFonts w:ascii="Arial"/>
                <w:spacing w:val="-1"/>
              </w:rPr>
              <w:t>in</w:t>
            </w:r>
            <w:r>
              <w:rPr>
                <w:rFonts w:ascii="Arial"/>
                <w:spacing w:val="22"/>
              </w:rPr>
              <w:t xml:space="preserve"> </w:t>
            </w:r>
            <w:r>
              <w:rPr>
                <w:rFonts w:ascii="Arial"/>
                <w:spacing w:val="-1"/>
              </w:rPr>
              <w:t>accordance</w:t>
            </w:r>
            <w:r>
              <w:rPr>
                <w:rFonts w:ascii="Arial"/>
                <w:spacing w:val="22"/>
              </w:rPr>
              <w:t xml:space="preserve"> </w:t>
            </w:r>
            <w:r>
              <w:rPr>
                <w:rFonts w:ascii="Arial"/>
                <w:spacing w:val="-2"/>
              </w:rPr>
              <w:t>with</w:t>
            </w:r>
            <w:r>
              <w:rPr>
                <w:rFonts w:ascii="Arial"/>
                <w:spacing w:val="22"/>
              </w:rPr>
              <w:t xml:space="preserve"> </w:t>
            </w:r>
            <w:r>
              <w:rPr>
                <w:rFonts w:ascii="Arial"/>
                <w:spacing w:val="-1"/>
              </w:rPr>
              <w:t>this</w:t>
            </w:r>
            <w:r>
              <w:rPr>
                <w:rFonts w:ascii="Arial"/>
                <w:spacing w:val="22"/>
              </w:rPr>
              <w:t xml:space="preserve"> </w:t>
            </w:r>
            <w:r>
              <w:rPr>
                <w:rFonts w:ascii="Arial"/>
                <w:spacing w:val="-1"/>
              </w:rPr>
              <w:t>Schedule</w:t>
            </w:r>
            <w:r>
              <w:rPr>
                <w:rFonts w:ascii="Arial"/>
                <w:spacing w:val="22"/>
              </w:rPr>
              <w:t xml:space="preserve"> </w:t>
            </w:r>
            <w:r>
              <w:rPr>
                <w:rFonts w:ascii="Arial"/>
                <w:spacing w:val="-1"/>
              </w:rPr>
              <w:t>8;</w:t>
            </w:r>
            <w:r>
              <w:rPr>
                <w:rFonts w:ascii="Arial"/>
                <w:spacing w:val="40"/>
              </w:rPr>
              <w:t xml:space="preserve"> </w:t>
            </w:r>
            <w:r>
              <w:rPr>
                <w:rFonts w:ascii="Arial"/>
                <w:spacing w:val="-1"/>
              </w:rPr>
              <w:t>and</w:t>
            </w:r>
          </w:p>
        </w:tc>
      </w:tr>
      <w:tr w:rsidR="008918FA" w:rsidTr="005D2B81">
        <w:trPr>
          <w:trHeight w:hRule="exact" w:val="864"/>
        </w:trPr>
        <w:tc>
          <w:tcPr>
            <w:tcW w:w="1625" w:type="dxa"/>
            <w:tcBorders>
              <w:top w:val="nil"/>
              <w:left w:val="nil"/>
              <w:bottom w:val="nil"/>
              <w:right w:val="nil"/>
            </w:tcBorders>
          </w:tcPr>
          <w:p w:rsidR="008918FA" w:rsidRDefault="008918FA" w:rsidP="005D2B81">
            <w:pPr>
              <w:pStyle w:val="TableParagraph"/>
              <w:spacing w:before="47"/>
              <w:ind w:left="230" w:right="418"/>
              <w:rPr>
                <w:rFonts w:ascii="Arial" w:eastAsia="Arial" w:hAnsi="Arial" w:cs="Arial"/>
              </w:rPr>
            </w:pPr>
            <w:r>
              <w:rPr>
                <w:rFonts w:ascii="Arial"/>
                <w:b/>
                <w:spacing w:val="-1"/>
              </w:rPr>
              <w:t>"Security</w:t>
            </w:r>
            <w:r>
              <w:rPr>
                <w:rFonts w:ascii="Arial"/>
                <w:b/>
                <w:spacing w:val="24"/>
              </w:rPr>
              <w:t xml:space="preserve"> </w:t>
            </w:r>
            <w:r>
              <w:rPr>
                <w:rFonts w:ascii="Arial"/>
                <w:b/>
                <w:spacing w:val="-1"/>
              </w:rPr>
              <w:t>Tests"</w:t>
            </w:r>
          </w:p>
        </w:tc>
        <w:tc>
          <w:tcPr>
            <w:tcW w:w="7059" w:type="dxa"/>
            <w:tcBorders>
              <w:top w:val="nil"/>
              <w:left w:val="nil"/>
              <w:bottom w:val="nil"/>
              <w:right w:val="nil"/>
            </w:tcBorders>
          </w:tcPr>
          <w:p w:rsidR="008918FA" w:rsidRDefault="008918FA" w:rsidP="001C1527">
            <w:pPr>
              <w:pStyle w:val="TableParagraph"/>
              <w:spacing w:before="49"/>
              <w:ind w:left="275" w:right="232"/>
              <w:jc w:val="both"/>
              <w:rPr>
                <w:rFonts w:ascii="Arial" w:eastAsia="Arial" w:hAnsi="Arial" w:cs="Arial"/>
              </w:rPr>
            </w:pPr>
            <w:r>
              <w:rPr>
                <w:rFonts w:ascii="Arial"/>
              </w:rPr>
              <w:t>tests</w:t>
            </w:r>
            <w:r>
              <w:rPr>
                <w:rFonts w:ascii="Arial"/>
                <w:spacing w:val="25"/>
              </w:rPr>
              <w:t xml:space="preserve"> </w:t>
            </w:r>
            <w:r>
              <w:rPr>
                <w:rFonts w:ascii="Arial"/>
              </w:rPr>
              <w:t>to</w:t>
            </w:r>
            <w:r>
              <w:rPr>
                <w:rFonts w:ascii="Arial"/>
                <w:spacing w:val="24"/>
              </w:rPr>
              <w:t xml:space="preserve"> </w:t>
            </w:r>
            <w:r>
              <w:rPr>
                <w:rFonts w:ascii="Arial"/>
                <w:spacing w:val="-2"/>
              </w:rPr>
              <w:t>validate</w:t>
            </w:r>
            <w:r>
              <w:rPr>
                <w:rFonts w:ascii="Arial"/>
                <w:spacing w:val="24"/>
              </w:rPr>
              <w:t xml:space="preserve"> </w:t>
            </w:r>
            <w:r>
              <w:rPr>
                <w:rFonts w:ascii="Arial"/>
              </w:rPr>
              <w:t>the</w:t>
            </w:r>
            <w:r>
              <w:rPr>
                <w:rFonts w:ascii="Arial"/>
                <w:spacing w:val="24"/>
              </w:rPr>
              <w:t xml:space="preserve"> </w:t>
            </w:r>
            <w:r>
              <w:rPr>
                <w:rFonts w:ascii="Arial"/>
                <w:spacing w:val="-2"/>
              </w:rPr>
              <w:t>ISMS</w:t>
            </w:r>
            <w:r>
              <w:rPr>
                <w:rFonts w:ascii="Arial"/>
                <w:spacing w:val="24"/>
              </w:rPr>
              <w:t xml:space="preserve"> </w:t>
            </w:r>
            <w:r>
              <w:rPr>
                <w:rFonts w:ascii="Arial"/>
                <w:spacing w:val="-1"/>
              </w:rPr>
              <w:t>and</w:t>
            </w:r>
            <w:r>
              <w:rPr>
                <w:rFonts w:ascii="Arial"/>
                <w:spacing w:val="24"/>
              </w:rPr>
              <w:t xml:space="preserve"> </w:t>
            </w:r>
            <w:r>
              <w:rPr>
                <w:rFonts w:ascii="Arial"/>
                <w:spacing w:val="-1"/>
              </w:rPr>
              <w:t>security</w:t>
            </w:r>
            <w:r>
              <w:rPr>
                <w:rFonts w:ascii="Arial"/>
                <w:spacing w:val="22"/>
              </w:rPr>
              <w:t xml:space="preserve"> </w:t>
            </w:r>
            <w:r>
              <w:rPr>
                <w:rFonts w:ascii="Arial"/>
                <w:spacing w:val="-1"/>
              </w:rPr>
              <w:t>of</w:t>
            </w:r>
            <w:r>
              <w:rPr>
                <w:rFonts w:ascii="Arial"/>
                <w:spacing w:val="28"/>
              </w:rPr>
              <w:t xml:space="preserve"> </w:t>
            </w:r>
            <w:r>
              <w:rPr>
                <w:rFonts w:ascii="Arial"/>
                <w:spacing w:val="-1"/>
              </w:rPr>
              <w:t>all</w:t>
            </w:r>
            <w:r>
              <w:rPr>
                <w:rFonts w:ascii="Arial"/>
                <w:spacing w:val="24"/>
              </w:rPr>
              <w:t xml:space="preserve"> </w:t>
            </w:r>
            <w:r>
              <w:rPr>
                <w:rFonts w:ascii="Arial"/>
                <w:spacing w:val="-2"/>
              </w:rPr>
              <w:t>relevant</w:t>
            </w:r>
            <w:r>
              <w:rPr>
                <w:rFonts w:ascii="Arial"/>
                <w:spacing w:val="26"/>
              </w:rPr>
              <w:t xml:space="preserve"> </w:t>
            </w:r>
            <w:r>
              <w:rPr>
                <w:rFonts w:ascii="Arial"/>
                <w:spacing w:val="-1"/>
              </w:rPr>
              <w:t>processes,</w:t>
            </w:r>
            <w:r>
              <w:rPr>
                <w:rFonts w:ascii="Arial"/>
                <w:spacing w:val="52"/>
              </w:rPr>
              <w:t xml:space="preserve"> </w:t>
            </w:r>
            <w:r>
              <w:rPr>
                <w:rFonts w:ascii="Arial"/>
                <w:spacing w:val="-1"/>
              </w:rPr>
              <w:t>systems,</w:t>
            </w:r>
            <w:r>
              <w:rPr>
                <w:rFonts w:ascii="Arial"/>
                <w:spacing w:val="50"/>
              </w:rPr>
              <w:t xml:space="preserve"> </w:t>
            </w:r>
            <w:r>
              <w:rPr>
                <w:rFonts w:ascii="Arial"/>
                <w:spacing w:val="-1"/>
              </w:rPr>
              <w:t>incident</w:t>
            </w:r>
            <w:r>
              <w:rPr>
                <w:rFonts w:ascii="Arial"/>
                <w:spacing w:val="50"/>
              </w:rPr>
              <w:t xml:space="preserve"> </w:t>
            </w:r>
            <w:r>
              <w:rPr>
                <w:rFonts w:ascii="Arial"/>
                <w:spacing w:val="-1"/>
              </w:rPr>
              <w:t>response</w:t>
            </w:r>
            <w:r>
              <w:rPr>
                <w:rFonts w:ascii="Arial"/>
                <w:spacing w:val="49"/>
              </w:rPr>
              <w:t xml:space="preserve"> </w:t>
            </w:r>
            <w:r>
              <w:rPr>
                <w:rFonts w:ascii="Arial"/>
                <w:spacing w:val="-1"/>
              </w:rPr>
              <w:t>plans,</w:t>
            </w:r>
            <w:r>
              <w:rPr>
                <w:rFonts w:ascii="Arial"/>
                <w:spacing w:val="50"/>
              </w:rPr>
              <w:t xml:space="preserve"> </w:t>
            </w:r>
            <w:r>
              <w:rPr>
                <w:rFonts w:ascii="Arial"/>
                <w:spacing w:val="-1"/>
              </w:rPr>
              <w:t>patches</w:t>
            </w:r>
            <w:r>
              <w:rPr>
                <w:rFonts w:ascii="Arial"/>
                <w:spacing w:val="49"/>
              </w:rPr>
              <w:t xml:space="preserve"> </w:t>
            </w:r>
            <w:r>
              <w:rPr>
                <w:rFonts w:ascii="Arial"/>
              </w:rPr>
              <w:t>to</w:t>
            </w:r>
            <w:r>
              <w:rPr>
                <w:rFonts w:ascii="Arial"/>
                <w:spacing w:val="48"/>
              </w:rPr>
              <w:t xml:space="preserve"> </w:t>
            </w:r>
            <w:r>
              <w:rPr>
                <w:rFonts w:ascii="Arial"/>
                <w:spacing w:val="-2"/>
              </w:rPr>
              <w:t>vulnerabilities</w:t>
            </w:r>
            <w:r>
              <w:rPr>
                <w:rFonts w:ascii="Arial"/>
                <w:spacing w:val="50"/>
              </w:rPr>
              <w:t xml:space="preserve"> </w:t>
            </w:r>
            <w:r>
              <w:rPr>
                <w:rFonts w:ascii="Arial"/>
                <w:spacing w:val="-1"/>
              </w:rPr>
              <w:t>and</w:t>
            </w:r>
            <w:r>
              <w:rPr>
                <w:rFonts w:ascii="Arial"/>
                <w:spacing w:val="42"/>
              </w:rPr>
              <w:t xml:space="preserve"> </w:t>
            </w:r>
            <w:r>
              <w:rPr>
                <w:rFonts w:ascii="Arial"/>
                <w:spacing w:val="-1"/>
              </w:rPr>
              <w:t>mitigations</w:t>
            </w:r>
            <w:r>
              <w:rPr>
                <w:rFonts w:ascii="Arial"/>
                <w:spacing w:val="-2"/>
              </w:rPr>
              <w:t xml:space="preserve"> </w:t>
            </w:r>
            <w:r>
              <w:rPr>
                <w:rFonts w:ascii="Arial"/>
              </w:rPr>
              <w:t xml:space="preserve">to </w:t>
            </w:r>
            <w:r>
              <w:rPr>
                <w:rFonts w:ascii="Arial"/>
                <w:spacing w:val="-1"/>
              </w:rPr>
              <w:t>Breaches</w:t>
            </w:r>
            <w:r>
              <w:rPr>
                <w:rFonts w:ascii="Arial"/>
                <w:spacing w:val="-4"/>
              </w:rPr>
              <w:t xml:space="preserve"> </w:t>
            </w:r>
            <w:r>
              <w:rPr>
                <w:rFonts w:ascii="Arial"/>
                <w:spacing w:val="-2"/>
              </w:rPr>
              <w:t>of</w:t>
            </w:r>
            <w:r>
              <w:rPr>
                <w:rFonts w:ascii="Arial"/>
                <w:spacing w:val="4"/>
              </w:rPr>
              <w:t xml:space="preserve"> </w:t>
            </w:r>
            <w:r>
              <w:rPr>
                <w:rFonts w:ascii="Arial"/>
                <w:spacing w:val="-1"/>
              </w:rPr>
              <w:t>Security.</w:t>
            </w:r>
          </w:p>
        </w:tc>
      </w:tr>
    </w:tbl>
    <w:p w:rsidR="008918FA" w:rsidRDefault="008918FA" w:rsidP="008918FA">
      <w:pPr>
        <w:spacing w:before="5"/>
        <w:rPr>
          <w:rFonts w:ascii="Arial" w:eastAsia="Arial" w:hAnsi="Arial" w:cs="Arial"/>
          <w:sz w:val="9"/>
          <w:szCs w:val="9"/>
        </w:rPr>
      </w:pPr>
    </w:p>
    <w:p w:rsidR="008918FA" w:rsidRDefault="008918FA" w:rsidP="008918FA">
      <w:pPr>
        <w:pStyle w:val="BodyText"/>
        <w:numPr>
          <w:ilvl w:val="0"/>
          <w:numId w:val="15"/>
        </w:numPr>
        <w:tabs>
          <w:tab w:val="left" w:pos="467"/>
        </w:tabs>
        <w:spacing w:before="72"/>
        <w:rPr>
          <w:rFonts w:ascii="Times New Roman" w:eastAsia="Times New Roman" w:hAnsi="Times New Roman" w:cs="Times New Roman"/>
        </w:rPr>
      </w:pPr>
      <w:r>
        <w:rPr>
          <w:rFonts w:ascii="Times New Roman"/>
          <w:spacing w:val="1"/>
        </w:rPr>
        <w:t>INTRODUCTION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15"/>
        </w:numPr>
        <w:tabs>
          <w:tab w:val="left" w:pos="829"/>
        </w:tabs>
        <w:spacing w:before="0"/>
        <w:ind w:right="114"/>
        <w:jc w:val="both"/>
      </w:pPr>
      <w:r>
        <w:t>The</w:t>
      </w:r>
      <w:r>
        <w:rPr>
          <w:spacing w:val="15"/>
        </w:rPr>
        <w:t xml:space="preserve"> </w:t>
      </w:r>
      <w:r>
        <w:rPr>
          <w:spacing w:val="-1"/>
        </w:rPr>
        <w:t>Parties</w:t>
      </w:r>
      <w:r>
        <w:rPr>
          <w:spacing w:val="13"/>
        </w:rPr>
        <w:t xml:space="preserve"> </w:t>
      </w:r>
      <w:r>
        <w:rPr>
          <w:spacing w:val="-1"/>
        </w:rPr>
        <w:t>acknowledge</w:t>
      </w:r>
      <w:r>
        <w:rPr>
          <w:spacing w:val="15"/>
        </w:rPr>
        <w:t xml:space="preserve"> </w:t>
      </w:r>
      <w:r>
        <w:rPr>
          <w:spacing w:val="-1"/>
        </w:rPr>
        <w:t>that</w:t>
      </w:r>
      <w:r>
        <w:rPr>
          <w:spacing w:val="14"/>
        </w:rPr>
        <w:t xml:space="preserve"> </w:t>
      </w:r>
      <w:r>
        <w:t>the</w:t>
      </w:r>
      <w:r>
        <w:rPr>
          <w:spacing w:val="15"/>
        </w:rPr>
        <w:t xml:space="preserve"> </w:t>
      </w:r>
      <w:r>
        <w:rPr>
          <w:spacing w:val="-1"/>
        </w:rPr>
        <w:t>purpose</w:t>
      </w:r>
      <w:r>
        <w:rPr>
          <w:spacing w:val="15"/>
        </w:rPr>
        <w:t xml:space="preserve"> </w:t>
      </w:r>
      <w:r>
        <w:rPr>
          <w:spacing w:val="-2"/>
        </w:rPr>
        <w:t>of</w:t>
      </w:r>
      <w:r>
        <w:rPr>
          <w:spacing w:val="14"/>
        </w:rPr>
        <w:t xml:space="preserve"> </w:t>
      </w:r>
      <w:r>
        <w:rPr>
          <w:spacing w:val="-1"/>
        </w:rPr>
        <w:t>the</w:t>
      </w:r>
      <w:r>
        <w:rPr>
          <w:spacing w:val="15"/>
        </w:rPr>
        <w:t xml:space="preserve"> </w:t>
      </w:r>
      <w:r>
        <w:rPr>
          <w:spacing w:val="-1"/>
        </w:rPr>
        <w:t>ISMS</w:t>
      </w:r>
      <w:r>
        <w:rPr>
          <w:spacing w:val="14"/>
        </w:rPr>
        <w:t xml:space="preserve"> </w:t>
      </w:r>
      <w:r>
        <w:rPr>
          <w:spacing w:val="-1"/>
        </w:rPr>
        <w:t>and</w:t>
      </w:r>
      <w:r>
        <w:rPr>
          <w:spacing w:val="15"/>
        </w:rPr>
        <w:t xml:space="preserve"> </w:t>
      </w:r>
      <w:r>
        <w:rPr>
          <w:spacing w:val="-1"/>
        </w:rPr>
        <w:t>Security</w:t>
      </w:r>
      <w:r>
        <w:rPr>
          <w:spacing w:val="13"/>
        </w:rPr>
        <w:t xml:space="preserve"> </w:t>
      </w:r>
      <w:r>
        <w:rPr>
          <w:spacing w:val="-1"/>
        </w:rPr>
        <w:t>Management</w:t>
      </w:r>
      <w:r>
        <w:rPr>
          <w:spacing w:val="25"/>
        </w:rPr>
        <w:t xml:space="preserve"> </w:t>
      </w:r>
      <w:r>
        <w:rPr>
          <w:spacing w:val="-1"/>
        </w:rPr>
        <w:t>Plan</w:t>
      </w:r>
      <w:r>
        <w:rPr>
          <w:spacing w:val="41"/>
        </w:rPr>
        <w:t xml:space="preserve"> </w:t>
      </w:r>
      <w:r>
        <w:rPr>
          <w:spacing w:val="-1"/>
        </w:rPr>
        <w:t>are</w:t>
      </w:r>
      <w:r>
        <w:rPr>
          <w:spacing w:val="41"/>
        </w:rPr>
        <w:t xml:space="preserve"> </w:t>
      </w:r>
      <w:r>
        <w:t>to</w:t>
      </w:r>
      <w:r>
        <w:rPr>
          <w:spacing w:val="41"/>
        </w:rPr>
        <w:t xml:space="preserve"> </w:t>
      </w:r>
      <w:r>
        <w:rPr>
          <w:spacing w:val="-1"/>
        </w:rPr>
        <w:t>ensure</w:t>
      </w:r>
      <w:r>
        <w:rPr>
          <w:spacing w:val="38"/>
        </w:rPr>
        <w:t xml:space="preserve"> </w:t>
      </w:r>
      <w:r>
        <w:t>a</w:t>
      </w:r>
      <w:r>
        <w:rPr>
          <w:spacing w:val="38"/>
        </w:rPr>
        <w:t xml:space="preserve"> </w:t>
      </w:r>
      <w:r>
        <w:rPr>
          <w:spacing w:val="-1"/>
        </w:rPr>
        <w:t>good</w:t>
      </w:r>
      <w:r>
        <w:rPr>
          <w:spacing w:val="41"/>
        </w:rPr>
        <w:t xml:space="preserve"> </w:t>
      </w:r>
      <w:r>
        <w:rPr>
          <w:spacing w:val="-1"/>
        </w:rPr>
        <w:t>organisational</w:t>
      </w:r>
      <w:r>
        <w:rPr>
          <w:spacing w:val="41"/>
        </w:rPr>
        <w:t xml:space="preserve"> </w:t>
      </w:r>
      <w:r>
        <w:rPr>
          <w:spacing w:val="-1"/>
        </w:rPr>
        <w:t>approach</w:t>
      </w:r>
      <w:r>
        <w:rPr>
          <w:spacing w:val="41"/>
        </w:rPr>
        <w:t xml:space="preserve"> </w:t>
      </w:r>
      <w:r>
        <w:t>to</w:t>
      </w:r>
      <w:r>
        <w:rPr>
          <w:spacing w:val="41"/>
        </w:rPr>
        <w:t xml:space="preserve"> </w:t>
      </w:r>
      <w:r>
        <w:rPr>
          <w:spacing w:val="-1"/>
        </w:rPr>
        <w:t>security</w:t>
      </w:r>
      <w:r>
        <w:rPr>
          <w:spacing w:val="39"/>
        </w:rPr>
        <w:t xml:space="preserve"> </w:t>
      </w:r>
      <w:r>
        <w:rPr>
          <w:spacing w:val="-1"/>
        </w:rPr>
        <w:t>under</w:t>
      </w:r>
      <w:r>
        <w:rPr>
          <w:spacing w:val="40"/>
        </w:rPr>
        <w:t xml:space="preserve"> </w:t>
      </w:r>
      <w:r>
        <w:rPr>
          <w:spacing w:val="-1"/>
        </w:rPr>
        <w:t>which</w:t>
      </w:r>
      <w:r>
        <w:rPr>
          <w:spacing w:val="41"/>
        </w:rPr>
        <w:t xml:space="preserve"> </w:t>
      </w:r>
      <w:r>
        <w:rPr>
          <w:spacing w:val="-1"/>
        </w:rPr>
        <w:t>the</w:t>
      </w:r>
      <w:r>
        <w:rPr>
          <w:spacing w:val="34"/>
        </w:rPr>
        <w:t xml:space="preserve"> </w:t>
      </w:r>
      <w:r>
        <w:rPr>
          <w:spacing w:val="-1"/>
        </w:rPr>
        <w:t>specific</w:t>
      </w:r>
      <w:r>
        <w:rPr>
          <w:spacing w:val="1"/>
        </w:rPr>
        <w:t xml:space="preserve"> </w:t>
      </w:r>
      <w:r>
        <w:rPr>
          <w:spacing w:val="-1"/>
        </w:rPr>
        <w:t>requirements</w:t>
      </w:r>
      <w:r>
        <w:rPr>
          <w:spacing w:val="1"/>
        </w:rPr>
        <w:t xml:space="preserve"> </w:t>
      </w:r>
      <w:r>
        <w:rPr>
          <w:spacing w:val="-2"/>
        </w:rPr>
        <w:t>of</w:t>
      </w:r>
      <w:r>
        <w:t xml:space="preserve"> </w:t>
      </w:r>
      <w:r>
        <w:rPr>
          <w:spacing w:val="-2"/>
        </w:rPr>
        <w:t>this</w:t>
      </w:r>
      <w:r>
        <w:rPr>
          <w:spacing w:val="1"/>
        </w:rPr>
        <w:t xml:space="preserve"> </w:t>
      </w:r>
      <w:r>
        <w:rPr>
          <w:spacing w:val="-2"/>
        </w:rPr>
        <w:t>Call</w:t>
      </w:r>
      <w:r>
        <w:t xml:space="preserve"> </w:t>
      </w:r>
      <w:r>
        <w:rPr>
          <w:spacing w:val="-1"/>
        </w:rPr>
        <w:t>Off</w:t>
      </w:r>
      <w:r>
        <w:rPr>
          <w:spacing w:val="2"/>
        </w:rPr>
        <w:t xml:space="preserve"> </w:t>
      </w:r>
      <w:r>
        <w:rPr>
          <w:spacing w:val="-2"/>
        </w:rPr>
        <w:t>Contract</w:t>
      </w:r>
      <w:r>
        <w:rPr>
          <w:spacing w:val="2"/>
        </w:rPr>
        <w:t xml:space="preserve"> </w:t>
      </w:r>
      <w:r>
        <w:rPr>
          <w:spacing w:val="-2"/>
        </w:rPr>
        <w:t>will</w:t>
      </w:r>
      <w:r>
        <w:t xml:space="preserve"> </w:t>
      </w:r>
      <w:r>
        <w:rPr>
          <w:spacing w:val="-1"/>
        </w:rPr>
        <w:t>be</w:t>
      </w:r>
      <w:r>
        <w:t xml:space="preserve"> </w:t>
      </w:r>
      <w:r>
        <w:rPr>
          <w:spacing w:val="-1"/>
        </w:rPr>
        <w:t>met.</w:t>
      </w:r>
    </w:p>
    <w:p w:rsidR="008918FA" w:rsidRDefault="008918FA" w:rsidP="008918FA">
      <w:pPr>
        <w:pStyle w:val="BodyText"/>
        <w:numPr>
          <w:ilvl w:val="1"/>
          <w:numId w:val="15"/>
        </w:numPr>
        <w:tabs>
          <w:tab w:val="left" w:pos="829"/>
        </w:tabs>
        <w:spacing w:before="121"/>
        <w:ind w:right="114"/>
        <w:jc w:val="both"/>
      </w:pPr>
      <w:r>
        <w:t>The</w:t>
      </w:r>
      <w:r>
        <w:rPr>
          <w:spacing w:val="58"/>
        </w:rPr>
        <w:t xml:space="preserve"> </w:t>
      </w:r>
      <w:r>
        <w:rPr>
          <w:spacing w:val="-1"/>
        </w:rPr>
        <w:t>Parties</w:t>
      </w:r>
      <w:r>
        <w:rPr>
          <w:spacing w:val="58"/>
        </w:rPr>
        <w:t xml:space="preserve"> </w:t>
      </w:r>
      <w:r>
        <w:rPr>
          <w:spacing w:val="-1"/>
        </w:rPr>
        <w:t>shall</w:t>
      </w:r>
      <w:r>
        <w:rPr>
          <w:spacing w:val="57"/>
        </w:rPr>
        <w:t xml:space="preserve"> </w:t>
      </w:r>
      <w:r>
        <w:rPr>
          <w:spacing w:val="-1"/>
        </w:rPr>
        <w:t>each</w:t>
      </w:r>
      <w:r>
        <w:rPr>
          <w:spacing w:val="58"/>
        </w:rPr>
        <w:t xml:space="preserve"> </w:t>
      </w:r>
      <w:r>
        <w:rPr>
          <w:spacing w:val="-1"/>
        </w:rPr>
        <w:t>appoint</w:t>
      </w:r>
      <w:r>
        <w:t xml:space="preserve">  a</w:t>
      </w:r>
      <w:r>
        <w:rPr>
          <w:spacing w:val="58"/>
        </w:rPr>
        <w:t xml:space="preserve"> </w:t>
      </w:r>
      <w:r>
        <w:rPr>
          <w:spacing w:val="-1"/>
        </w:rPr>
        <w:t>security</w:t>
      </w:r>
      <w:r>
        <w:rPr>
          <w:spacing w:val="56"/>
        </w:rPr>
        <w:t xml:space="preserve"> </w:t>
      </w:r>
      <w:r>
        <w:rPr>
          <w:spacing w:val="-1"/>
        </w:rPr>
        <w:t>representative</w:t>
      </w:r>
      <w:r>
        <w:rPr>
          <w:spacing w:val="59"/>
        </w:rPr>
        <w:t xml:space="preserve"> </w:t>
      </w:r>
      <w:r>
        <w:t>to</w:t>
      </w:r>
      <w:r>
        <w:rPr>
          <w:spacing w:val="58"/>
        </w:rPr>
        <w:t xml:space="preserve"> </w:t>
      </w:r>
      <w:r>
        <w:rPr>
          <w:spacing w:val="-1"/>
        </w:rPr>
        <w:t>be</w:t>
      </w:r>
      <w:r>
        <w:rPr>
          <w:spacing w:val="58"/>
        </w:rPr>
        <w:t xml:space="preserve"> </w:t>
      </w:r>
      <w:r>
        <w:rPr>
          <w:spacing w:val="-1"/>
        </w:rPr>
        <w:t>responsible</w:t>
      </w:r>
      <w:r>
        <w:rPr>
          <w:spacing w:val="58"/>
        </w:rPr>
        <w:t xml:space="preserve"> </w:t>
      </w:r>
      <w:r>
        <w:t>for</w:t>
      </w:r>
      <w:r>
        <w:rPr>
          <w:spacing w:val="28"/>
        </w:rPr>
        <w:t xml:space="preserve"> </w:t>
      </w:r>
      <w:r>
        <w:rPr>
          <w:spacing w:val="-1"/>
        </w:rPr>
        <w:t>Security.</w:t>
      </w:r>
      <w:r>
        <w:t xml:space="preserve"> </w:t>
      </w:r>
      <w:r>
        <w:rPr>
          <w:spacing w:val="1"/>
        </w:rPr>
        <w:t xml:space="preserve"> </w:t>
      </w:r>
      <w:r>
        <w:t>The</w:t>
      </w:r>
      <w:r>
        <w:rPr>
          <w:spacing w:val="-2"/>
        </w:rPr>
        <w:t xml:space="preserve"> </w:t>
      </w:r>
      <w:r>
        <w:rPr>
          <w:spacing w:val="-1"/>
        </w:rPr>
        <w:t>initial</w:t>
      </w:r>
      <w:r>
        <w:t xml:space="preserve"> </w:t>
      </w:r>
      <w:r>
        <w:rPr>
          <w:spacing w:val="-1"/>
        </w:rPr>
        <w:t>security</w:t>
      </w:r>
      <w:r>
        <w:rPr>
          <w:spacing w:val="-2"/>
        </w:rPr>
        <w:t xml:space="preserve"> </w:t>
      </w:r>
      <w:r>
        <w:rPr>
          <w:spacing w:val="-1"/>
        </w:rPr>
        <w:t>representatives</w:t>
      </w:r>
      <w:r>
        <w:rPr>
          <w:spacing w:val="1"/>
        </w:rPr>
        <w:t xml:space="preserve"> </w:t>
      </w:r>
      <w:r>
        <w:rPr>
          <w:spacing w:val="-2"/>
        </w:rPr>
        <w:t>of</w:t>
      </w:r>
      <w:r>
        <w:rPr>
          <w:spacing w:val="2"/>
        </w:rPr>
        <w:t xml:space="preserve"> </w:t>
      </w:r>
      <w:r>
        <w:rPr>
          <w:spacing w:val="-1"/>
        </w:rPr>
        <w:t>the</w:t>
      </w:r>
      <w:r>
        <w:t xml:space="preserve"> </w:t>
      </w:r>
      <w:r>
        <w:rPr>
          <w:spacing w:val="-1"/>
        </w:rPr>
        <w:t>Parties</w:t>
      </w:r>
      <w:r>
        <w:rPr>
          <w:spacing w:val="-2"/>
        </w:rPr>
        <w:t xml:space="preserve"> </w:t>
      </w:r>
      <w:r>
        <w:rPr>
          <w:spacing w:val="-1"/>
        </w:rPr>
        <w:t>are:</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numPr>
          <w:ilvl w:val="2"/>
          <w:numId w:val="15"/>
        </w:numPr>
        <w:tabs>
          <w:tab w:val="left" w:pos="2027"/>
        </w:tabs>
        <w:spacing w:before="59"/>
      </w:pPr>
      <w:bookmarkStart w:id="409" w:name="_bookmark332"/>
      <w:bookmarkEnd w:id="409"/>
      <w:r>
        <w:rPr>
          <w:spacing w:val="-1"/>
          <w:highlight w:val="yellow"/>
        </w:rPr>
        <w:t>[insert security</w:t>
      </w:r>
      <w:r>
        <w:rPr>
          <w:spacing w:val="-2"/>
          <w:highlight w:val="yellow"/>
        </w:rPr>
        <w:t xml:space="preserve"> </w:t>
      </w:r>
      <w:r>
        <w:rPr>
          <w:spacing w:val="-1"/>
          <w:highlight w:val="yellow"/>
        </w:rPr>
        <w:t>representative</w:t>
      </w:r>
      <w:r>
        <w:rPr>
          <w:highlight w:val="yellow"/>
        </w:rPr>
        <w:t xml:space="preserve"> </w:t>
      </w:r>
      <w:r>
        <w:rPr>
          <w:spacing w:val="-1"/>
          <w:highlight w:val="yellow"/>
        </w:rPr>
        <w:t>of</w:t>
      </w:r>
      <w:r>
        <w:rPr>
          <w:spacing w:val="2"/>
          <w:highlight w:val="yellow"/>
        </w:rPr>
        <w:t xml:space="preserve"> </w:t>
      </w:r>
      <w:r>
        <w:rPr>
          <w:spacing w:val="-2"/>
          <w:highlight w:val="yellow"/>
        </w:rPr>
        <w:t>the</w:t>
      </w:r>
      <w:r>
        <w:rPr>
          <w:spacing w:val="1"/>
          <w:highlight w:val="yellow"/>
        </w:rPr>
        <w:t xml:space="preserve"> </w:t>
      </w:r>
      <w:r>
        <w:rPr>
          <w:spacing w:val="-1"/>
          <w:highlight w:val="yellow"/>
        </w:rPr>
        <w:t>Customer]</w:t>
      </w:r>
    </w:p>
    <w:p w:rsidR="008918FA" w:rsidRDefault="008918FA" w:rsidP="008918FA">
      <w:pPr>
        <w:pStyle w:val="BodyText"/>
        <w:numPr>
          <w:ilvl w:val="2"/>
          <w:numId w:val="15"/>
        </w:numPr>
        <w:tabs>
          <w:tab w:val="left" w:pos="2027"/>
        </w:tabs>
      </w:pPr>
      <w:bookmarkStart w:id="410" w:name="_bookmark333"/>
      <w:bookmarkEnd w:id="410"/>
      <w:r>
        <w:rPr>
          <w:spacing w:val="-1"/>
          <w:highlight w:val="yellow"/>
        </w:rPr>
        <w:t>[insert security</w:t>
      </w:r>
      <w:r>
        <w:rPr>
          <w:spacing w:val="-2"/>
          <w:highlight w:val="yellow"/>
        </w:rPr>
        <w:t xml:space="preserve"> </w:t>
      </w:r>
      <w:r>
        <w:rPr>
          <w:spacing w:val="-1"/>
          <w:highlight w:val="yellow"/>
        </w:rPr>
        <w:t>representative</w:t>
      </w:r>
      <w:r>
        <w:rPr>
          <w:highlight w:val="yellow"/>
        </w:rPr>
        <w:t xml:space="preserve"> </w:t>
      </w:r>
      <w:r>
        <w:rPr>
          <w:spacing w:val="-1"/>
          <w:highlight w:val="yellow"/>
        </w:rPr>
        <w:t>of</w:t>
      </w:r>
      <w:r>
        <w:rPr>
          <w:spacing w:val="2"/>
          <w:highlight w:val="yellow"/>
        </w:rPr>
        <w:t xml:space="preserve"> </w:t>
      </w:r>
      <w:r>
        <w:rPr>
          <w:spacing w:val="-2"/>
          <w:highlight w:val="yellow"/>
        </w:rPr>
        <w:t>the</w:t>
      </w:r>
      <w:r>
        <w:rPr>
          <w:spacing w:val="1"/>
          <w:highlight w:val="yellow"/>
        </w:rPr>
        <w:t xml:space="preserve"> </w:t>
      </w:r>
      <w:r>
        <w:rPr>
          <w:spacing w:val="-1"/>
          <w:highlight w:val="yellow"/>
        </w:rPr>
        <w:t>Supplier]</w:t>
      </w:r>
    </w:p>
    <w:p w:rsidR="008918FA" w:rsidRDefault="008918FA" w:rsidP="008918FA">
      <w:pPr>
        <w:pStyle w:val="BodyText"/>
        <w:numPr>
          <w:ilvl w:val="1"/>
          <w:numId w:val="15"/>
        </w:numPr>
        <w:tabs>
          <w:tab w:val="left" w:pos="829"/>
        </w:tabs>
        <w:spacing w:before="121"/>
        <w:ind w:right="113"/>
        <w:jc w:val="both"/>
      </w:pPr>
      <w:r>
        <w:rPr>
          <w:spacing w:val="-1"/>
        </w:rPr>
        <w:t>If</w:t>
      </w:r>
      <w:r>
        <w:rPr>
          <w:spacing w:val="2"/>
        </w:rPr>
        <w:t xml:space="preserve"> </w:t>
      </w:r>
      <w:r>
        <w:t xml:space="preserve">the </w:t>
      </w:r>
      <w:r>
        <w:rPr>
          <w:spacing w:val="-1"/>
        </w:rPr>
        <w:t>persons</w:t>
      </w:r>
      <w:r>
        <w:rPr>
          <w:spacing w:val="1"/>
        </w:rPr>
        <w:t xml:space="preserve"> </w:t>
      </w:r>
      <w:r>
        <w:rPr>
          <w:spacing w:val="-1"/>
        </w:rPr>
        <w:t>named</w:t>
      </w:r>
      <w:r>
        <w:rPr>
          <w:spacing w:val="-2"/>
        </w:rPr>
        <w:t xml:space="preserve"> </w:t>
      </w:r>
      <w:r>
        <w:rPr>
          <w:spacing w:val="-1"/>
        </w:rPr>
        <w:t>in</w:t>
      </w:r>
      <w:r>
        <w:t xml:space="preserve"> </w:t>
      </w:r>
      <w:r>
        <w:rPr>
          <w:spacing w:val="-1"/>
        </w:rPr>
        <w:t>paragraphs</w:t>
      </w:r>
      <w:r>
        <w:rPr>
          <w:spacing w:val="2"/>
        </w:rPr>
        <w:t xml:space="preserve"> </w:t>
      </w:r>
      <w:hyperlink w:anchor="_bookmark332" w:history="1">
        <w:r>
          <w:rPr>
            <w:spacing w:val="-1"/>
          </w:rPr>
          <w:t>2.2.1</w:t>
        </w:r>
      </w:hyperlink>
      <w:r>
        <w:rPr>
          <w:spacing w:val="-2"/>
        </w:rPr>
        <w:t xml:space="preserve"> </w:t>
      </w:r>
      <w:r>
        <w:rPr>
          <w:spacing w:val="-1"/>
        </w:rPr>
        <w:t>and</w:t>
      </w:r>
      <w:r>
        <w:rPr>
          <w:spacing w:val="1"/>
        </w:rPr>
        <w:t xml:space="preserve"> </w:t>
      </w:r>
      <w:hyperlink w:anchor="_bookmark333" w:history="1">
        <w:r>
          <w:rPr>
            <w:spacing w:val="-1"/>
          </w:rPr>
          <w:t>2.2.2</w:t>
        </w:r>
      </w:hyperlink>
      <w:r>
        <w:t xml:space="preserve"> </w:t>
      </w:r>
      <w:r>
        <w:rPr>
          <w:spacing w:val="-1"/>
        </w:rPr>
        <w:t>are</w:t>
      </w:r>
      <w:r>
        <w:t xml:space="preserve"> </w:t>
      </w:r>
      <w:r>
        <w:rPr>
          <w:spacing w:val="-1"/>
        </w:rPr>
        <w:t>included</w:t>
      </w:r>
      <w:r>
        <w:t xml:space="preserve"> </w:t>
      </w:r>
      <w:r>
        <w:rPr>
          <w:spacing w:val="-1"/>
        </w:rPr>
        <w:t>as</w:t>
      </w:r>
      <w:r>
        <w:rPr>
          <w:spacing w:val="1"/>
        </w:rPr>
        <w:t xml:space="preserve"> </w:t>
      </w:r>
      <w:r>
        <w:rPr>
          <w:spacing w:val="-1"/>
        </w:rPr>
        <w:t>Key</w:t>
      </w:r>
      <w:r>
        <w:rPr>
          <w:spacing w:val="-2"/>
        </w:rPr>
        <w:t xml:space="preserve"> </w:t>
      </w:r>
      <w:r>
        <w:rPr>
          <w:spacing w:val="-1"/>
        </w:rPr>
        <w:t>Personnel,</w:t>
      </w:r>
      <w:r>
        <w:rPr>
          <w:spacing w:val="33"/>
        </w:rPr>
        <w:t xml:space="preserve"> </w:t>
      </w:r>
      <w:r>
        <w:rPr>
          <w:spacing w:val="-2"/>
        </w:rPr>
        <w:t>Clause</w:t>
      </w:r>
      <w:r>
        <w:rPr>
          <w:spacing w:val="1"/>
        </w:rPr>
        <w:t xml:space="preserve"> </w:t>
      </w:r>
      <w:hyperlink w:anchor="_bookmark138" w:history="1">
        <w:r>
          <w:rPr>
            <w:spacing w:val="-1"/>
          </w:rPr>
          <w:t>26</w:t>
        </w:r>
      </w:hyperlink>
      <w:r>
        <w:t xml:space="preserve"> </w:t>
      </w:r>
      <w:r>
        <w:rPr>
          <w:spacing w:val="-1"/>
        </w:rPr>
        <w:t>(Key</w:t>
      </w:r>
      <w:r>
        <w:rPr>
          <w:spacing w:val="-2"/>
        </w:rPr>
        <w:t xml:space="preserve"> </w:t>
      </w:r>
      <w:r>
        <w:rPr>
          <w:spacing w:val="-1"/>
        </w:rPr>
        <w:t>Personnel)</w:t>
      </w:r>
      <w:r>
        <w:rPr>
          <w:spacing w:val="2"/>
        </w:rPr>
        <w:t xml:space="preserve"> </w:t>
      </w:r>
      <w:r>
        <w:rPr>
          <w:spacing w:val="-1"/>
        </w:rPr>
        <w:t>shall</w:t>
      </w:r>
      <w:r>
        <w:t xml:space="preserve"> </w:t>
      </w:r>
      <w:r>
        <w:rPr>
          <w:spacing w:val="-1"/>
        </w:rPr>
        <w:t>apply</w:t>
      </w:r>
      <w:r>
        <w:rPr>
          <w:spacing w:val="-2"/>
        </w:rPr>
        <w:t xml:space="preserve"> </w:t>
      </w:r>
      <w:r>
        <w:rPr>
          <w:spacing w:val="-1"/>
        </w:rPr>
        <w:t>in</w:t>
      </w:r>
      <w:r>
        <w:t xml:space="preserve"> </w:t>
      </w:r>
      <w:r>
        <w:rPr>
          <w:spacing w:val="-1"/>
        </w:rPr>
        <w:t>relation</w:t>
      </w:r>
      <w:r>
        <w:rPr>
          <w:spacing w:val="-2"/>
        </w:rPr>
        <w:t xml:space="preserve"> </w:t>
      </w:r>
      <w:r>
        <w:t xml:space="preserve">to </w:t>
      </w:r>
      <w:r>
        <w:rPr>
          <w:spacing w:val="-1"/>
        </w:rPr>
        <w:t>such</w:t>
      </w:r>
      <w:r>
        <w:rPr>
          <w:spacing w:val="-2"/>
        </w:rPr>
        <w:t xml:space="preserve"> </w:t>
      </w:r>
      <w:r>
        <w:rPr>
          <w:spacing w:val="-1"/>
        </w:rPr>
        <w:t>persons.</w:t>
      </w:r>
    </w:p>
    <w:p w:rsidR="008918FA" w:rsidRDefault="008918FA" w:rsidP="008918FA">
      <w:pPr>
        <w:pStyle w:val="BodyText"/>
        <w:numPr>
          <w:ilvl w:val="1"/>
          <w:numId w:val="15"/>
        </w:numPr>
        <w:tabs>
          <w:tab w:val="left" w:pos="829"/>
        </w:tabs>
        <w:spacing w:before="121"/>
        <w:ind w:right="115"/>
        <w:jc w:val="both"/>
      </w:pPr>
      <w:r>
        <w:t>The</w:t>
      </w:r>
      <w:r>
        <w:rPr>
          <w:spacing w:val="3"/>
        </w:rPr>
        <w:t xml:space="preserve"> </w:t>
      </w:r>
      <w:r>
        <w:rPr>
          <w:spacing w:val="-2"/>
        </w:rPr>
        <w:t>Customer</w:t>
      </w:r>
      <w:r>
        <w:rPr>
          <w:spacing w:val="4"/>
        </w:rPr>
        <w:t xml:space="preserve"> </w:t>
      </w:r>
      <w:r>
        <w:rPr>
          <w:spacing w:val="-1"/>
        </w:rPr>
        <w:t>shall</w:t>
      </w:r>
      <w:r>
        <w:rPr>
          <w:spacing w:val="2"/>
        </w:rPr>
        <w:t xml:space="preserve"> </w:t>
      </w:r>
      <w:r>
        <w:rPr>
          <w:spacing w:val="-2"/>
        </w:rPr>
        <w:t>clearly</w:t>
      </w:r>
      <w:r>
        <w:rPr>
          <w:spacing w:val="1"/>
        </w:rPr>
        <w:t xml:space="preserve"> </w:t>
      </w:r>
      <w:r>
        <w:rPr>
          <w:spacing w:val="-1"/>
        </w:rPr>
        <w:t>articulate</w:t>
      </w:r>
      <w:r>
        <w:rPr>
          <w:spacing w:val="3"/>
        </w:rPr>
        <w:t xml:space="preserve"> </w:t>
      </w:r>
      <w:r>
        <w:rPr>
          <w:spacing w:val="-1"/>
        </w:rPr>
        <w:t>its</w:t>
      </w:r>
      <w:r>
        <w:rPr>
          <w:spacing w:val="3"/>
        </w:rPr>
        <w:t xml:space="preserve"> </w:t>
      </w:r>
      <w:r>
        <w:rPr>
          <w:spacing w:val="-1"/>
        </w:rPr>
        <w:t>high</w:t>
      </w:r>
      <w:r>
        <w:rPr>
          <w:spacing w:val="3"/>
        </w:rPr>
        <w:t xml:space="preserve"> </w:t>
      </w:r>
      <w:r>
        <w:rPr>
          <w:spacing w:val="-2"/>
        </w:rPr>
        <w:t>level</w:t>
      </w:r>
      <w:r>
        <w:rPr>
          <w:spacing w:val="2"/>
        </w:rPr>
        <w:t xml:space="preserve"> </w:t>
      </w:r>
      <w:r>
        <w:rPr>
          <w:spacing w:val="-1"/>
        </w:rPr>
        <w:t>security</w:t>
      </w:r>
      <w:r>
        <w:rPr>
          <w:spacing w:val="1"/>
        </w:rPr>
        <w:t xml:space="preserve"> </w:t>
      </w:r>
      <w:r>
        <w:rPr>
          <w:spacing w:val="-1"/>
        </w:rPr>
        <w:t>requirements</w:t>
      </w:r>
      <w:r>
        <w:rPr>
          <w:spacing w:val="1"/>
        </w:rPr>
        <w:t xml:space="preserve"> </w:t>
      </w:r>
      <w:r>
        <w:rPr>
          <w:spacing w:val="-2"/>
        </w:rPr>
        <w:t>so</w:t>
      </w:r>
      <w:r>
        <w:rPr>
          <w:spacing w:val="3"/>
        </w:rPr>
        <w:t xml:space="preserve"> </w:t>
      </w:r>
      <w:r>
        <w:rPr>
          <w:spacing w:val="-1"/>
        </w:rPr>
        <w:t>that</w:t>
      </w:r>
      <w:r>
        <w:rPr>
          <w:spacing w:val="2"/>
        </w:rPr>
        <w:t xml:space="preserve"> </w:t>
      </w:r>
      <w:r>
        <w:rPr>
          <w:spacing w:val="-1"/>
        </w:rPr>
        <w:t>the</w:t>
      </w:r>
      <w:r>
        <w:rPr>
          <w:spacing w:val="86"/>
        </w:rPr>
        <w:t xml:space="preserve"> </w:t>
      </w:r>
      <w:r>
        <w:rPr>
          <w:spacing w:val="-2"/>
        </w:rPr>
        <w:t>Supplier</w:t>
      </w:r>
      <w:r>
        <w:rPr>
          <w:spacing w:val="28"/>
        </w:rPr>
        <w:t xml:space="preserve"> </w:t>
      </w:r>
      <w:r>
        <w:rPr>
          <w:spacing w:val="-1"/>
        </w:rPr>
        <w:t>can</w:t>
      </w:r>
      <w:r>
        <w:rPr>
          <w:spacing w:val="27"/>
        </w:rPr>
        <w:t xml:space="preserve"> </w:t>
      </w:r>
      <w:r>
        <w:rPr>
          <w:spacing w:val="-1"/>
        </w:rPr>
        <w:t>ensure</w:t>
      </w:r>
      <w:r>
        <w:rPr>
          <w:spacing w:val="24"/>
        </w:rPr>
        <w:t xml:space="preserve"> </w:t>
      </w:r>
      <w:r>
        <w:rPr>
          <w:spacing w:val="-1"/>
        </w:rPr>
        <w:t>that</w:t>
      </w:r>
      <w:r>
        <w:rPr>
          <w:spacing w:val="28"/>
        </w:rPr>
        <w:t xml:space="preserve"> </w:t>
      </w:r>
      <w:r>
        <w:t>the</w:t>
      </w:r>
      <w:r>
        <w:rPr>
          <w:spacing w:val="24"/>
        </w:rPr>
        <w:t xml:space="preserve"> </w:t>
      </w:r>
      <w:r>
        <w:rPr>
          <w:spacing w:val="-1"/>
        </w:rPr>
        <w:t>ISMS,</w:t>
      </w:r>
      <w:r>
        <w:rPr>
          <w:spacing w:val="28"/>
        </w:rPr>
        <w:t xml:space="preserve"> </w:t>
      </w:r>
      <w:r>
        <w:rPr>
          <w:spacing w:val="-1"/>
        </w:rPr>
        <w:t>security</w:t>
      </w:r>
      <w:r>
        <w:rPr>
          <w:spacing w:val="25"/>
        </w:rPr>
        <w:t xml:space="preserve"> </w:t>
      </w:r>
      <w:r>
        <w:rPr>
          <w:spacing w:val="-1"/>
        </w:rPr>
        <w:t>related</w:t>
      </w:r>
      <w:r>
        <w:rPr>
          <w:spacing w:val="27"/>
        </w:rPr>
        <w:t xml:space="preserve"> </w:t>
      </w:r>
      <w:r>
        <w:rPr>
          <w:spacing w:val="-2"/>
        </w:rPr>
        <w:t>activities</w:t>
      </w:r>
      <w:r>
        <w:rPr>
          <w:spacing w:val="27"/>
        </w:rPr>
        <w:t xml:space="preserve"> </w:t>
      </w:r>
      <w:r>
        <w:rPr>
          <w:spacing w:val="-1"/>
        </w:rPr>
        <w:t>and</w:t>
      </w:r>
      <w:r>
        <w:rPr>
          <w:spacing w:val="27"/>
        </w:rPr>
        <w:t xml:space="preserve"> </w:t>
      </w:r>
      <w:r>
        <w:rPr>
          <w:spacing w:val="-1"/>
        </w:rPr>
        <w:t>any</w:t>
      </w:r>
      <w:r>
        <w:rPr>
          <w:spacing w:val="25"/>
        </w:rPr>
        <w:t xml:space="preserve"> </w:t>
      </w:r>
      <w:r>
        <w:rPr>
          <w:spacing w:val="-1"/>
        </w:rPr>
        <w:t>mitigations</w:t>
      </w:r>
      <w:r>
        <w:rPr>
          <w:spacing w:val="64"/>
        </w:rPr>
        <w:t xml:space="preserve"> </w:t>
      </w:r>
      <w:r>
        <w:rPr>
          <w:spacing w:val="-1"/>
        </w:rPr>
        <w:t>are</w:t>
      </w:r>
      <w:r>
        <w:t xml:space="preserve"> </w:t>
      </w:r>
      <w:r>
        <w:rPr>
          <w:spacing w:val="-2"/>
        </w:rPr>
        <w:t>driven</w:t>
      </w:r>
      <w:r>
        <w:t xml:space="preserve"> </w:t>
      </w:r>
      <w:r>
        <w:rPr>
          <w:spacing w:val="-1"/>
        </w:rPr>
        <w:t>by</w:t>
      </w:r>
      <w:r>
        <w:rPr>
          <w:spacing w:val="-2"/>
        </w:rPr>
        <w:t xml:space="preserve"> </w:t>
      </w:r>
      <w:r>
        <w:rPr>
          <w:spacing w:val="-1"/>
        </w:rPr>
        <w:t>these</w:t>
      </w:r>
      <w:r>
        <w:rPr>
          <w:spacing w:val="-2"/>
        </w:rPr>
        <w:t xml:space="preserve"> </w:t>
      </w:r>
      <w:r>
        <w:rPr>
          <w:spacing w:val="-1"/>
        </w:rPr>
        <w:t>fundamental</w:t>
      </w:r>
      <w:r>
        <w:t xml:space="preserve"> </w:t>
      </w:r>
      <w:r>
        <w:rPr>
          <w:spacing w:val="-2"/>
        </w:rPr>
        <w:t>needs.</w:t>
      </w:r>
    </w:p>
    <w:p w:rsidR="008918FA" w:rsidRDefault="008918FA" w:rsidP="008918FA">
      <w:pPr>
        <w:pStyle w:val="BodyText"/>
        <w:numPr>
          <w:ilvl w:val="1"/>
          <w:numId w:val="15"/>
        </w:numPr>
        <w:tabs>
          <w:tab w:val="left" w:pos="829"/>
        </w:tabs>
        <w:spacing w:before="121"/>
        <w:ind w:right="115"/>
        <w:jc w:val="both"/>
      </w:pPr>
      <w:r>
        <w:rPr>
          <w:spacing w:val="-1"/>
        </w:rPr>
        <w:t>Both</w:t>
      </w:r>
      <w:r>
        <w:rPr>
          <w:spacing w:val="31"/>
        </w:rPr>
        <w:t xml:space="preserve"> </w:t>
      </w:r>
      <w:r>
        <w:rPr>
          <w:spacing w:val="-1"/>
        </w:rPr>
        <w:t>Parties</w:t>
      </w:r>
      <w:r>
        <w:rPr>
          <w:spacing w:val="30"/>
        </w:rPr>
        <w:t xml:space="preserve"> </w:t>
      </w:r>
      <w:r>
        <w:rPr>
          <w:spacing w:val="-1"/>
        </w:rPr>
        <w:t>shall</w:t>
      </w:r>
      <w:r>
        <w:rPr>
          <w:spacing w:val="31"/>
        </w:rPr>
        <w:t xml:space="preserve"> </w:t>
      </w:r>
      <w:r>
        <w:rPr>
          <w:spacing w:val="-1"/>
        </w:rPr>
        <w:t>provide</w:t>
      </w:r>
      <w:r>
        <w:rPr>
          <w:spacing w:val="31"/>
        </w:rPr>
        <w:t xml:space="preserve"> </w:t>
      </w:r>
      <w:r>
        <w:t>a</w:t>
      </w:r>
      <w:r>
        <w:rPr>
          <w:spacing w:val="31"/>
        </w:rPr>
        <w:t xml:space="preserve"> </w:t>
      </w:r>
      <w:r>
        <w:rPr>
          <w:spacing w:val="-1"/>
        </w:rPr>
        <w:t>reasonable</w:t>
      </w:r>
      <w:r>
        <w:rPr>
          <w:spacing w:val="31"/>
        </w:rPr>
        <w:t xml:space="preserve"> </w:t>
      </w:r>
      <w:r>
        <w:rPr>
          <w:spacing w:val="-2"/>
        </w:rPr>
        <w:t>level</w:t>
      </w:r>
      <w:r>
        <w:rPr>
          <w:spacing w:val="31"/>
        </w:rPr>
        <w:t xml:space="preserve"> </w:t>
      </w:r>
      <w:r>
        <w:rPr>
          <w:spacing w:val="1"/>
        </w:rPr>
        <w:t>of</w:t>
      </w:r>
      <w:r>
        <w:rPr>
          <w:spacing w:val="34"/>
        </w:rPr>
        <w:t xml:space="preserve"> </w:t>
      </w:r>
      <w:r>
        <w:rPr>
          <w:spacing w:val="-1"/>
        </w:rPr>
        <w:t>access</w:t>
      </w:r>
      <w:r>
        <w:rPr>
          <w:spacing w:val="30"/>
        </w:rPr>
        <w:t xml:space="preserve"> </w:t>
      </w:r>
      <w:r>
        <w:t>to</w:t>
      </w:r>
      <w:r>
        <w:rPr>
          <w:spacing w:val="31"/>
        </w:rPr>
        <w:t xml:space="preserve"> </w:t>
      </w:r>
      <w:r>
        <w:rPr>
          <w:spacing w:val="-1"/>
        </w:rPr>
        <w:t>any</w:t>
      </w:r>
      <w:r>
        <w:rPr>
          <w:spacing w:val="30"/>
        </w:rPr>
        <w:t xml:space="preserve"> </w:t>
      </w:r>
      <w:r>
        <w:rPr>
          <w:spacing w:val="-1"/>
        </w:rPr>
        <w:t>members</w:t>
      </w:r>
      <w:r>
        <w:rPr>
          <w:spacing w:val="32"/>
        </w:rPr>
        <w:t xml:space="preserve"> </w:t>
      </w:r>
      <w:r>
        <w:rPr>
          <w:spacing w:val="-2"/>
        </w:rPr>
        <w:t>of</w:t>
      </w:r>
      <w:r>
        <w:rPr>
          <w:spacing w:val="33"/>
        </w:rPr>
        <w:t xml:space="preserve"> </w:t>
      </w:r>
      <w:r>
        <w:rPr>
          <w:spacing w:val="-1"/>
        </w:rPr>
        <w:t>their</w:t>
      </w:r>
      <w:r>
        <w:rPr>
          <w:spacing w:val="39"/>
        </w:rPr>
        <w:t xml:space="preserve"> </w:t>
      </w:r>
      <w:r>
        <w:rPr>
          <w:spacing w:val="-1"/>
        </w:rPr>
        <w:t>personnel</w:t>
      </w:r>
      <w:r>
        <w:rPr>
          <w:spacing w:val="-3"/>
        </w:rPr>
        <w:t xml:space="preserve"> </w:t>
      </w:r>
      <w:r>
        <w:t>for</w:t>
      </w:r>
      <w:r>
        <w:rPr>
          <w:spacing w:val="-1"/>
        </w:rPr>
        <w:t xml:space="preserve"> </w:t>
      </w:r>
      <w:r>
        <w:t>the</w:t>
      </w:r>
      <w:r>
        <w:rPr>
          <w:spacing w:val="-2"/>
        </w:rPr>
        <w:t xml:space="preserve"> </w:t>
      </w:r>
      <w:r>
        <w:rPr>
          <w:spacing w:val="-1"/>
        </w:rPr>
        <w:t>purposes</w:t>
      </w:r>
      <w:r>
        <w:rPr>
          <w:spacing w:val="1"/>
        </w:rPr>
        <w:t xml:space="preserve"> </w:t>
      </w:r>
      <w:r>
        <w:rPr>
          <w:spacing w:val="-2"/>
        </w:rPr>
        <w:t>of</w:t>
      </w:r>
      <w:r>
        <w:rPr>
          <w:spacing w:val="2"/>
        </w:rPr>
        <w:t xml:space="preserve"> </w:t>
      </w:r>
      <w:r>
        <w:rPr>
          <w:spacing w:val="-1"/>
        </w:rPr>
        <w:t>designing,</w:t>
      </w:r>
      <w:r>
        <w:rPr>
          <w:spacing w:val="2"/>
        </w:rPr>
        <w:t xml:space="preserve"> </w:t>
      </w:r>
      <w:r>
        <w:rPr>
          <w:spacing w:val="-2"/>
        </w:rPr>
        <w:t>implementing</w:t>
      </w:r>
      <w:r>
        <w:t xml:space="preserve"> </w:t>
      </w:r>
      <w:r>
        <w:rPr>
          <w:spacing w:val="-1"/>
        </w:rPr>
        <w:t>and</w:t>
      </w:r>
      <w:r>
        <w:rPr>
          <w:spacing w:val="-2"/>
        </w:rPr>
        <w:t xml:space="preserve"> </w:t>
      </w:r>
      <w:r>
        <w:rPr>
          <w:spacing w:val="-1"/>
        </w:rPr>
        <w:t>managing</w:t>
      </w:r>
      <w:r>
        <w:rPr>
          <w:spacing w:val="3"/>
        </w:rPr>
        <w:t xml:space="preserve"> </w:t>
      </w:r>
      <w:r>
        <w:rPr>
          <w:spacing w:val="-2"/>
        </w:rPr>
        <w:t>security.</w:t>
      </w:r>
    </w:p>
    <w:p w:rsidR="008918FA" w:rsidRDefault="008918FA" w:rsidP="008918FA">
      <w:pPr>
        <w:pStyle w:val="BodyText"/>
        <w:numPr>
          <w:ilvl w:val="1"/>
          <w:numId w:val="15"/>
        </w:numPr>
        <w:tabs>
          <w:tab w:val="left" w:pos="829"/>
        </w:tabs>
        <w:spacing w:before="121"/>
        <w:ind w:right="112"/>
        <w:jc w:val="both"/>
      </w:pPr>
      <w:r>
        <w:t>The</w:t>
      </w:r>
      <w:r>
        <w:rPr>
          <w:spacing w:val="38"/>
        </w:rPr>
        <w:t xml:space="preserve"> </w:t>
      </w:r>
      <w:r>
        <w:rPr>
          <w:spacing w:val="-2"/>
        </w:rPr>
        <w:t>Supplier</w:t>
      </w:r>
      <w:r>
        <w:rPr>
          <w:spacing w:val="37"/>
        </w:rPr>
        <w:t xml:space="preserve"> </w:t>
      </w:r>
      <w:r>
        <w:rPr>
          <w:spacing w:val="-1"/>
        </w:rPr>
        <w:t>shall</w:t>
      </w:r>
      <w:r>
        <w:rPr>
          <w:spacing w:val="38"/>
        </w:rPr>
        <w:t xml:space="preserve"> </w:t>
      </w:r>
      <w:r>
        <w:rPr>
          <w:spacing w:val="-1"/>
        </w:rPr>
        <w:t>use</w:t>
      </w:r>
      <w:r>
        <w:rPr>
          <w:spacing w:val="37"/>
        </w:rPr>
        <w:t xml:space="preserve"> </w:t>
      </w:r>
      <w:r>
        <w:rPr>
          <w:spacing w:val="-1"/>
        </w:rPr>
        <w:t>as</w:t>
      </w:r>
      <w:r>
        <w:rPr>
          <w:spacing w:val="39"/>
        </w:rPr>
        <w:t xml:space="preserve"> </w:t>
      </w:r>
      <w:r>
        <w:t>a</w:t>
      </w:r>
      <w:r>
        <w:rPr>
          <w:spacing w:val="36"/>
        </w:rPr>
        <w:t xml:space="preserve"> </w:t>
      </w:r>
      <w:r>
        <w:rPr>
          <w:spacing w:val="-1"/>
        </w:rPr>
        <w:t>minimum</w:t>
      </w:r>
      <w:r>
        <w:rPr>
          <w:spacing w:val="38"/>
        </w:rPr>
        <w:t xml:space="preserve"> </w:t>
      </w:r>
      <w:r>
        <w:rPr>
          <w:spacing w:val="-1"/>
        </w:rPr>
        <w:t>Good</w:t>
      </w:r>
      <w:r>
        <w:rPr>
          <w:spacing w:val="36"/>
        </w:rPr>
        <w:t xml:space="preserve"> </w:t>
      </w:r>
      <w:r>
        <w:rPr>
          <w:spacing w:val="-1"/>
        </w:rPr>
        <w:t>Industry</w:t>
      </w:r>
      <w:r>
        <w:rPr>
          <w:spacing w:val="36"/>
        </w:rPr>
        <w:t xml:space="preserve"> </w:t>
      </w:r>
      <w:r>
        <w:rPr>
          <w:spacing w:val="-1"/>
        </w:rPr>
        <w:t>Practice</w:t>
      </w:r>
      <w:r>
        <w:rPr>
          <w:spacing w:val="39"/>
        </w:rPr>
        <w:t xml:space="preserve"> </w:t>
      </w:r>
      <w:r>
        <w:rPr>
          <w:spacing w:val="-1"/>
        </w:rPr>
        <w:t>in</w:t>
      </w:r>
      <w:r>
        <w:rPr>
          <w:spacing w:val="36"/>
        </w:rPr>
        <w:t xml:space="preserve"> </w:t>
      </w:r>
      <w:r>
        <w:t>the</w:t>
      </w:r>
      <w:r>
        <w:rPr>
          <w:spacing w:val="38"/>
        </w:rPr>
        <w:t xml:space="preserve"> </w:t>
      </w:r>
      <w:r>
        <w:rPr>
          <w:spacing w:val="-2"/>
        </w:rPr>
        <w:t>day</w:t>
      </w:r>
      <w:r>
        <w:rPr>
          <w:spacing w:val="37"/>
        </w:rPr>
        <w:t xml:space="preserve"> </w:t>
      </w:r>
      <w:r>
        <w:t>to</w:t>
      </w:r>
      <w:r>
        <w:rPr>
          <w:spacing w:val="38"/>
        </w:rPr>
        <w:t xml:space="preserve"> </w:t>
      </w:r>
      <w:r>
        <w:rPr>
          <w:spacing w:val="-1"/>
        </w:rPr>
        <w:t>day</w:t>
      </w:r>
      <w:r>
        <w:rPr>
          <w:spacing w:val="46"/>
        </w:rPr>
        <w:t xml:space="preserve"> </w:t>
      </w:r>
      <w:r>
        <w:rPr>
          <w:spacing w:val="-1"/>
        </w:rPr>
        <w:t>operation</w:t>
      </w:r>
      <w:r>
        <w:t xml:space="preserve"> </w:t>
      </w:r>
      <w:r>
        <w:rPr>
          <w:spacing w:val="-2"/>
        </w:rPr>
        <w:t>of</w:t>
      </w:r>
      <w:r>
        <w:rPr>
          <w:spacing w:val="4"/>
        </w:rPr>
        <w:t xml:space="preserve"> </w:t>
      </w:r>
      <w:r>
        <w:rPr>
          <w:spacing w:val="-1"/>
        </w:rPr>
        <w:t>any</w:t>
      </w:r>
      <w:r>
        <w:rPr>
          <w:spacing w:val="-2"/>
        </w:rPr>
        <w:t xml:space="preserve"> </w:t>
      </w:r>
      <w:r>
        <w:rPr>
          <w:spacing w:val="-1"/>
        </w:rPr>
        <w:t>system holding,</w:t>
      </w:r>
      <w:r>
        <w:rPr>
          <w:spacing w:val="2"/>
        </w:rPr>
        <w:t xml:space="preserve"> </w:t>
      </w:r>
      <w:r>
        <w:rPr>
          <w:spacing w:val="-1"/>
        </w:rPr>
        <w:t>transferring</w:t>
      </w:r>
      <w:r>
        <w:rPr>
          <w:spacing w:val="3"/>
        </w:rPr>
        <w:t xml:space="preserve"> </w:t>
      </w:r>
      <w:r>
        <w:rPr>
          <w:spacing w:val="-2"/>
        </w:rPr>
        <w:t>or</w:t>
      </w:r>
      <w:r>
        <w:rPr>
          <w:spacing w:val="2"/>
        </w:rPr>
        <w:t xml:space="preserve"> </w:t>
      </w:r>
      <w:r>
        <w:rPr>
          <w:spacing w:val="-2"/>
        </w:rPr>
        <w:t>processing</w:t>
      </w:r>
      <w:r>
        <w:rPr>
          <w:spacing w:val="3"/>
        </w:rPr>
        <w:t xml:space="preserve"> </w:t>
      </w:r>
      <w:r>
        <w:rPr>
          <w:spacing w:val="-1"/>
        </w:rPr>
        <w:t>Customer</w:t>
      </w:r>
      <w:r>
        <w:rPr>
          <w:spacing w:val="2"/>
        </w:rPr>
        <w:t xml:space="preserve"> </w:t>
      </w:r>
      <w:r>
        <w:rPr>
          <w:spacing w:val="-2"/>
        </w:rPr>
        <w:t>Data</w:t>
      </w:r>
      <w:r>
        <w:t xml:space="preserve"> </w:t>
      </w:r>
      <w:r>
        <w:rPr>
          <w:spacing w:val="-1"/>
        </w:rPr>
        <w:t>and</w:t>
      </w:r>
      <w:r>
        <w:t xml:space="preserve"> </w:t>
      </w:r>
      <w:r>
        <w:rPr>
          <w:spacing w:val="-1"/>
        </w:rPr>
        <w:t>any</w:t>
      </w:r>
      <w:r>
        <w:rPr>
          <w:spacing w:val="44"/>
        </w:rPr>
        <w:t xml:space="preserve"> </w:t>
      </w:r>
      <w:r>
        <w:rPr>
          <w:spacing w:val="-1"/>
        </w:rPr>
        <w:t>system</w:t>
      </w:r>
      <w:r>
        <w:rPr>
          <w:spacing w:val="2"/>
        </w:rPr>
        <w:t xml:space="preserve"> </w:t>
      </w:r>
      <w:r>
        <w:rPr>
          <w:spacing w:val="-1"/>
        </w:rPr>
        <w:t>that</w:t>
      </w:r>
      <w:r>
        <w:rPr>
          <w:spacing w:val="2"/>
        </w:rPr>
        <w:t xml:space="preserve"> </w:t>
      </w:r>
      <w:r>
        <w:rPr>
          <w:spacing w:val="-1"/>
        </w:rPr>
        <w:t>could</w:t>
      </w:r>
      <w:r>
        <w:t xml:space="preserve"> </w:t>
      </w:r>
      <w:r>
        <w:rPr>
          <w:spacing w:val="-1"/>
        </w:rPr>
        <w:t>directly</w:t>
      </w:r>
      <w:r>
        <w:rPr>
          <w:spacing w:val="-2"/>
        </w:rPr>
        <w:t xml:space="preserve"> </w:t>
      </w:r>
      <w:r>
        <w:rPr>
          <w:spacing w:val="-1"/>
        </w:rPr>
        <w:t>or</w:t>
      </w:r>
      <w:r>
        <w:rPr>
          <w:spacing w:val="2"/>
        </w:rPr>
        <w:t xml:space="preserve"> </w:t>
      </w:r>
      <w:r>
        <w:rPr>
          <w:spacing w:val="-1"/>
        </w:rPr>
        <w:t>indirectly</w:t>
      </w:r>
      <w:r>
        <w:rPr>
          <w:spacing w:val="-2"/>
        </w:rPr>
        <w:t xml:space="preserve"> </w:t>
      </w:r>
      <w:r>
        <w:rPr>
          <w:spacing w:val="-1"/>
        </w:rPr>
        <w:t>have</w:t>
      </w:r>
      <w:r>
        <w:t xml:space="preserve"> </w:t>
      </w:r>
      <w:r>
        <w:rPr>
          <w:spacing w:val="-1"/>
        </w:rPr>
        <w:t>an</w:t>
      </w:r>
      <w:r>
        <w:rPr>
          <w:spacing w:val="3"/>
        </w:rPr>
        <w:t xml:space="preserve"> </w:t>
      </w:r>
      <w:r>
        <w:rPr>
          <w:spacing w:val="-1"/>
        </w:rPr>
        <w:t>impact</w:t>
      </w:r>
      <w:r>
        <w:rPr>
          <w:spacing w:val="2"/>
        </w:rPr>
        <w:t xml:space="preserve"> </w:t>
      </w:r>
      <w:r>
        <w:rPr>
          <w:spacing w:val="-1"/>
        </w:rPr>
        <w:t>on</w:t>
      </w:r>
      <w:r>
        <w:t xml:space="preserve"> </w:t>
      </w:r>
      <w:r>
        <w:rPr>
          <w:spacing w:val="-1"/>
        </w:rPr>
        <w:t>that</w:t>
      </w:r>
      <w:r>
        <w:rPr>
          <w:spacing w:val="2"/>
        </w:rPr>
        <w:t xml:space="preserve"> </w:t>
      </w:r>
      <w:r>
        <w:rPr>
          <w:spacing w:val="-1"/>
        </w:rPr>
        <w:t>information, and</w:t>
      </w:r>
      <w:r>
        <w:t xml:space="preserve"> </w:t>
      </w:r>
      <w:r>
        <w:rPr>
          <w:spacing w:val="-1"/>
        </w:rPr>
        <w:t>shall</w:t>
      </w:r>
      <w:r>
        <w:rPr>
          <w:spacing w:val="45"/>
        </w:rPr>
        <w:t xml:space="preserve"> </w:t>
      </w:r>
      <w:r>
        <w:rPr>
          <w:spacing w:val="-1"/>
        </w:rPr>
        <w:t>ensure</w:t>
      </w:r>
      <w:r>
        <w:t xml:space="preserve"> </w:t>
      </w:r>
      <w:r>
        <w:rPr>
          <w:spacing w:val="-1"/>
        </w:rPr>
        <w:t>that</w:t>
      </w:r>
      <w:r>
        <w:rPr>
          <w:spacing w:val="4"/>
        </w:rPr>
        <w:t xml:space="preserve"> </w:t>
      </w:r>
      <w:r>
        <w:rPr>
          <w:spacing w:val="-2"/>
        </w:rPr>
        <w:t>Customer</w:t>
      </w:r>
      <w:r>
        <w:rPr>
          <w:spacing w:val="4"/>
        </w:rPr>
        <w:t xml:space="preserve"> </w:t>
      </w:r>
      <w:r>
        <w:rPr>
          <w:spacing w:val="-1"/>
        </w:rPr>
        <w:t>Data</w:t>
      </w:r>
      <w:r>
        <w:rPr>
          <w:spacing w:val="3"/>
        </w:rPr>
        <w:t xml:space="preserve"> </w:t>
      </w:r>
      <w:r>
        <w:rPr>
          <w:spacing w:val="-1"/>
        </w:rPr>
        <w:t>remains</w:t>
      </w:r>
      <w:r>
        <w:rPr>
          <w:spacing w:val="3"/>
        </w:rPr>
        <w:t xml:space="preserve"> </w:t>
      </w:r>
      <w:r>
        <w:rPr>
          <w:spacing w:val="-2"/>
        </w:rPr>
        <w:t>under</w:t>
      </w:r>
      <w:r>
        <w:rPr>
          <w:spacing w:val="4"/>
        </w:rPr>
        <w:t xml:space="preserve"> </w:t>
      </w:r>
      <w:r>
        <w:t xml:space="preserve">the </w:t>
      </w:r>
      <w:r>
        <w:rPr>
          <w:spacing w:val="-1"/>
        </w:rPr>
        <w:t>effective</w:t>
      </w:r>
      <w:r>
        <w:rPr>
          <w:spacing w:val="5"/>
        </w:rPr>
        <w:t xml:space="preserve"> </w:t>
      </w:r>
      <w:r>
        <w:rPr>
          <w:spacing w:val="-1"/>
        </w:rPr>
        <w:t>control</w:t>
      </w:r>
      <w:r>
        <w:rPr>
          <w:spacing w:val="2"/>
        </w:rPr>
        <w:t xml:space="preserve"> </w:t>
      </w:r>
      <w:r>
        <w:rPr>
          <w:spacing w:val="-2"/>
        </w:rPr>
        <w:t>of</w:t>
      </w:r>
      <w:r>
        <w:rPr>
          <w:spacing w:val="4"/>
        </w:rPr>
        <w:t xml:space="preserve"> </w:t>
      </w:r>
      <w:r>
        <w:t>the</w:t>
      </w:r>
      <w:r>
        <w:rPr>
          <w:spacing w:val="3"/>
        </w:rPr>
        <w:t xml:space="preserve"> </w:t>
      </w:r>
      <w:r>
        <w:rPr>
          <w:spacing w:val="-2"/>
        </w:rPr>
        <w:t>Supplier</w:t>
      </w:r>
      <w:r>
        <w:rPr>
          <w:spacing w:val="4"/>
        </w:rPr>
        <w:t xml:space="preserve"> </w:t>
      </w:r>
      <w:r>
        <w:rPr>
          <w:spacing w:val="-1"/>
        </w:rPr>
        <w:t>at</w:t>
      </w:r>
      <w:r>
        <w:rPr>
          <w:spacing w:val="4"/>
        </w:rPr>
        <w:t xml:space="preserve"> </w:t>
      </w:r>
      <w:r>
        <w:rPr>
          <w:spacing w:val="-1"/>
        </w:rPr>
        <w:t>all</w:t>
      </w:r>
      <w:r>
        <w:rPr>
          <w:spacing w:val="57"/>
        </w:rPr>
        <w:t xml:space="preserve"> </w:t>
      </w:r>
      <w:r>
        <w:rPr>
          <w:spacing w:val="-2"/>
        </w:rPr>
        <w:t>times.</w:t>
      </w:r>
    </w:p>
    <w:p w:rsidR="008918FA" w:rsidRDefault="008918FA" w:rsidP="008918FA">
      <w:pPr>
        <w:pStyle w:val="BodyText"/>
        <w:numPr>
          <w:ilvl w:val="1"/>
          <w:numId w:val="15"/>
        </w:numPr>
        <w:tabs>
          <w:tab w:val="left" w:pos="829"/>
        </w:tabs>
        <w:spacing w:before="121"/>
        <w:ind w:right="117"/>
        <w:jc w:val="both"/>
      </w:pPr>
      <w:r>
        <w:t>The</w:t>
      </w:r>
      <w:r>
        <w:rPr>
          <w:spacing w:val="19"/>
        </w:rPr>
        <w:t xml:space="preserve"> </w:t>
      </w:r>
      <w:r>
        <w:rPr>
          <w:spacing w:val="-2"/>
        </w:rPr>
        <w:t>Supplier</w:t>
      </w:r>
      <w:r>
        <w:rPr>
          <w:spacing w:val="21"/>
        </w:rPr>
        <w:t xml:space="preserve"> </w:t>
      </w:r>
      <w:r>
        <w:rPr>
          <w:spacing w:val="-1"/>
        </w:rPr>
        <w:t>shall</w:t>
      </w:r>
      <w:r>
        <w:rPr>
          <w:spacing w:val="19"/>
        </w:rPr>
        <w:t xml:space="preserve"> </w:t>
      </w:r>
      <w:r>
        <w:rPr>
          <w:spacing w:val="-1"/>
        </w:rPr>
        <w:t>ensure</w:t>
      </w:r>
      <w:r>
        <w:rPr>
          <w:spacing w:val="19"/>
        </w:rPr>
        <w:t xml:space="preserve"> </w:t>
      </w:r>
      <w:r>
        <w:t>the</w:t>
      </w:r>
      <w:r>
        <w:rPr>
          <w:spacing w:val="20"/>
        </w:rPr>
        <w:t xml:space="preserve"> </w:t>
      </w:r>
      <w:r>
        <w:rPr>
          <w:spacing w:val="-1"/>
        </w:rPr>
        <w:t>up-to-date</w:t>
      </w:r>
      <w:r>
        <w:rPr>
          <w:spacing w:val="17"/>
        </w:rPr>
        <w:t xml:space="preserve"> </w:t>
      </w:r>
      <w:r>
        <w:rPr>
          <w:spacing w:val="-1"/>
        </w:rPr>
        <w:t>maintenance</w:t>
      </w:r>
      <w:r>
        <w:rPr>
          <w:spacing w:val="20"/>
        </w:rPr>
        <w:t xml:space="preserve"> </w:t>
      </w:r>
      <w:r>
        <w:rPr>
          <w:spacing w:val="-2"/>
        </w:rPr>
        <w:t>of</w:t>
      </w:r>
      <w:r>
        <w:rPr>
          <w:spacing w:val="23"/>
        </w:rPr>
        <w:t xml:space="preserve"> </w:t>
      </w:r>
      <w:r>
        <w:t>a</w:t>
      </w:r>
      <w:r>
        <w:rPr>
          <w:spacing w:val="20"/>
        </w:rPr>
        <w:t xml:space="preserve"> </w:t>
      </w:r>
      <w:r>
        <w:rPr>
          <w:spacing w:val="-1"/>
        </w:rPr>
        <w:t>security</w:t>
      </w:r>
      <w:r>
        <w:rPr>
          <w:spacing w:val="18"/>
        </w:rPr>
        <w:t xml:space="preserve"> </w:t>
      </w:r>
      <w:r>
        <w:rPr>
          <w:spacing w:val="-2"/>
        </w:rPr>
        <w:t>policy</w:t>
      </w:r>
      <w:r>
        <w:rPr>
          <w:spacing w:val="18"/>
        </w:rPr>
        <w:t xml:space="preserve"> </w:t>
      </w:r>
      <w:r>
        <w:rPr>
          <w:spacing w:val="-1"/>
        </w:rPr>
        <w:t>relating</w:t>
      </w:r>
      <w:r>
        <w:rPr>
          <w:spacing w:val="48"/>
        </w:rPr>
        <w:t xml:space="preserve"> </w:t>
      </w:r>
      <w:r>
        <w:t>to</w:t>
      </w:r>
      <w:r>
        <w:rPr>
          <w:spacing w:val="22"/>
        </w:rPr>
        <w:t xml:space="preserve"> </w:t>
      </w:r>
      <w:r>
        <w:t>the</w:t>
      </w:r>
      <w:r>
        <w:rPr>
          <w:spacing w:val="22"/>
        </w:rPr>
        <w:t xml:space="preserve"> </w:t>
      </w:r>
      <w:r>
        <w:rPr>
          <w:spacing w:val="-1"/>
        </w:rPr>
        <w:t>operation</w:t>
      </w:r>
      <w:r>
        <w:rPr>
          <w:spacing w:val="22"/>
        </w:rPr>
        <w:t xml:space="preserve"> </w:t>
      </w:r>
      <w:r>
        <w:rPr>
          <w:spacing w:val="-1"/>
        </w:rPr>
        <w:t>of</w:t>
      </w:r>
      <w:r>
        <w:rPr>
          <w:spacing w:val="26"/>
        </w:rPr>
        <w:t xml:space="preserve"> </w:t>
      </w:r>
      <w:r>
        <w:rPr>
          <w:spacing w:val="-1"/>
        </w:rPr>
        <w:t>its</w:t>
      </w:r>
      <w:r>
        <w:rPr>
          <w:spacing w:val="22"/>
        </w:rPr>
        <w:t xml:space="preserve"> </w:t>
      </w:r>
      <w:r>
        <w:rPr>
          <w:spacing w:val="-3"/>
        </w:rPr>
        <w:t>own</w:t>
      </w:r>
      <w:r>
        <w:rPr>
          <w:spacing w:val="24"/>
        </w:rPr>
        <w:t xml:space="preserve"> </w:t>
      </w:r>
      <w:r>
        <w:rPr>
          <w:spacing w:val="-1"/>
        </w:rPr>
        <w:t>organisation</w:t>
      </w:r>
      <w:r>
        <w:rPr>
          <w:spacing w:val="22"/>
        </w:rPr>
        <w:t xml:space="preserve"> </w:t>
      </w:r>
      <w:r>
        <w:rPr>
          <w:spacing w:val="-1"/>
        </w:rPr>
        <w:t>and</w:t>
      </w:r>
      <w:r>
        <w:rPr>
          <w:spacing w:val="22"/>
        </w:rPr>
        <w:t xml:space="preserve"> </w:t>
      </w:r>
      <w:r>
        <w:rPr>
          <w:spacing w:val="-1"/>
        </w:rPr>
        <w:t>systems</w:t>
      </w:r>
      <w:r>
        <w:rPr>
          <w:spacing w:val="22"/>
        </w:rPr>
        <w:t xml:space="preserve"> </w:t>
      </w:r>
      <w:r>
        <w:rPr>
          <w:spacing w:val="-1"/>
        </w:rPr>
        <w:t>and</w:t>
      </w:r>
      <w:r>
        <w:rPr>
          <w:spacing w:val="22"/>
        </w:rPr>
        <w:t xml:space="preserve"> </w:t>
      </w:r>
      <w:r>
        <w:rPr>
          <w:spacing w:val="-1"/>
        </w:rPr>
        <w:t>on</w:t>
      </w:r>
      <w:r>
        <w:rPr>
          <w:spacing w:val="22"/>
        </w:rPr>
        <w:t xml:space="preserve"> </w:t>
      </w:r>
      <w:r>
        <w:rPr>
          <w:spacing w:val="-1"/>
        </w:rPr>
        <w:t>request</w:t>
      </w:r>
      <w:r>
        <w:rPr>
          <w:spacing w:val="23"/>
        </w:rPr>
        <w:t xml:space="preserve"> </w:t>
      </w:r>
      <w:r>
        <w:rPr>
          <w:spacing w:val="-2"/>
        </w:rPr>
        <w:t>shall</w:t>
      </w:r>
      <w:r>
        <w:rPr>
          <w:spacing w:val="21"/>
        </w:rPr>
        <w:t xml:space="preserve"> </w:t>
      </w:r>
      <w:r>
        <w:rPr>
          <w:spacing w:val="-1"/>
        </w:rPr>
        <w:t>supply</w:t>
      </w:r>
      <w:r>
        <w:rPr>
          <w:spacing w:val="55"/>
        </w:rPr>
        <w:t xml:space="preserve"> </w:t>
      </w:r>
      <w:r>
        <w:rPr>
          <w:spacing w:val="-1"/>
        </w:rPr>
        <w:t>this</w:t>
      </w:r>
      <w:r>
        <w:rPr>
          <w:spacing w:val="1"/>
        </w:rPr>
        <w:t xml:space="preserve"> </w:t>
      </w:r>
      <w:r>
        <w:rPr>
          <w:spacing w:val="-1"/>
        </w:rPr>
        <w:t>document</w:t>
      </w:r>
      <w:r>
        <w:t xml:space="preserve"> </w:t>
      </w:r>
      <w:r>
        <w:rPr>
          <w:spacing w:val="-1"/>
        </w:rPr>
        <w:t>as</w:t>
      </w:r>
      <w:r>
        <w:rPr>
          <w:spacing w:val="-2"/>
        </w:rPr>
        <w:t xml:space="preserve"> </w:t>
      </w:r>
      <w:r>
        <w:rPr>
          <w:spacing w:val="-1"/>
        </w:rPr>
        <w:t>soon</w:t>
      </w:r>
      <w:r>
        <w:t xml:space="preserve"> </w:t>
      </w:r>
      <w:r>
        <w:rPr>
          <w:spacing w:val="-2"/>
        </w:rPr>
        <w:t>as</w:t>
      </w:r>
      <w:r>
        <w:rPr>
          <w:spacing w:val="1"/>
        </w:rPr>
        <w:t xml:space="preserve"> </w:t>
      </w:r>
      <w:r>
        <w:rPr>
          <w:spacing w:val="-1"/>
        </w:rPr>
        <w:t>practicable</w:t>
      </w:r>
      <w:r>
        <w:t xml:space="preserve"> to</w:t>
      </w:r>
      <w:r>
        <w:rPr>
          <w:spacing w:val="-2"/>
        </w:rPr>
        <w:t xml:space="preserve"> </w:t>
      </w:r>
      <w:r>
        <w:rPr>
          <w:spacing w:val="-1"/>
        </w:rPr>
        <w:t>the</w:t>
      </w:r>
      <w:r>
        <w:t xml:space="preserve"> </w:t>
      </w:r>
      <w:r>
        <w:rPr>
          <w:spacing w:val="-2"/>
        </w:rPr>
        <w:t>Customer.</w:t>
      </w:r>
    </w:p>
    <w:p w:rsidR="008918FA" w:rsidRDefault="008918FA" w:rsidP="008918FA">
      <w:pPr>
        <w:pStyle w:val="BodyText"/>
        <w:numPr>
          <w:ilvl w:val="1"/>
          <w:numId w:val="15"/>
        </w:numPr>
        <w:tabs>
          <w:tab w:val="left" w:pos="829"/>
        </w:tabs>
        <w:ind w:right="114"/>
        <w:jc w:val="both"/>
      </w:pPr>
      <w:r>
        <w:t>The</w:t>
      </w:r>
      <w:r>
        <w:rPr>
          <w:spacing w:val="41"/>
        </w:rPr>
        <w:t xml:space="preserve"> </w:t>
      </w:r>
      <w:r>
        <w:rPr>
          <w:spacing w:val="-1"/>
        </w:rPr>
        <w:t>Customer</w:t>
      </w:r>
      <w:r>
        <w:rPr>
          <w:spacing w:val="42"/>
        </w:rPr>
        <w:t xml:space="preserve"> </w:t>
      </w:r>
      <w:r>
        <w:rPr>
          <w:spacing w:val="-1"/>
        </w:rPr>
        <w:t>and</w:t>
      </w:r>
      <w:r>
        <w:rPr>
          <w:spacing w:val="41"/>
        </w:rPr>
        <w:t xml:space="preserve"> </w:t>
      </w:r>
      <w:r>
        <w:t>the</w:t>
      </w:r>
      <w:r>
        <w:rPr>
          <w:spacing w:val="39"/>
        </w:rPr>
        <w:t xml:space="preserve"> </w:t>
      </w:r>
      <w:r>
        <w:rPr>
          <w:spacing w:val="-2"/>
        </w:rPr>
        <w:t>Supplier</w:t>
      </w:r>
      <w:r>
        <w:rPr>
          <w:spacing w:val="42"/>
        </w:rPr>
        <w:t xml:space="preserve"> </w:t>
      </w:r>
      <w:r>
        <w:rPr>
          <w:spacing w:val="-1"/>
        </w:rPr>
        <w:t>acknowledge</w:t>
      </w:r>
      <w:r>
        <w:rPr>
          <w:spacing w:val="41"/>
        </w:rPr>
        <w:t xml:space="preserve"> </w:t>
      </w:r>
      <w:r>
        <w:rPr>
          <w:spacing w:val="-1"/>
        </w:rPr>
        <w:t>that</w:t>
      </w:r>
      <w:r>
        <w:rPr>
          <w:spacing w:val="43"/>
        </w:rPr>
        <w:t xml:space="preserve"> </w:t>
      </w:r>
      <w:r>
        <w:rPr>
          <w:spacing w:val="-1"/>
        </w:rPr>
        <w:t>information</w:t>
      </w:r>
      <w:r>
        <w:rPr>
          <w:spacing w:val="41"/>
        </w:rPr>
        <w:t xml:space="preserve"> </w:t>
      </w:r>
      <w:r>
        <w:rPr>
          <w:spacing w:val="-1"/>
        </w:rPr>
        <w:t>security</w:t>
      </w:r>
      <w:r>
        <w:rPr>
          <w:spacing w:val="39"/>
        </w:rPr>
        <w:t xml:space="preserve"> </w:t>
      </w:r>
      <w:r>
        <w:rPr>
          <w:spacing w:val="-1"/>
        </w:rPr>
        <w:t>risks</w:t>
      </w:r>
      <w:r>
        <w:rPr>
          <w:spacing w:val="41"/>
        </w:rPr>
        <w:t xml:space="preserve"> </w:t>
      </w:r>
      <w:r>
        <w:rPr>
          <w:spacing w:val="-1"/>
        </w:rPr>
        <w:t>are</w:t>
      </w:r>
      <w:r>
        <w:rPr>
          <w:spacing w:val="57"/>
        </w:rPr>
        <w:t xml:space="preserve"> </w:t>
      </w:r>
      <w:r>
        <w:rPr>
          <w:spacing w:val="-1"/>
        </w:rPr>
        <w:t>shared</w:t>
      </w:r>
      <w:r>
        <w:rPr>
          <w:spacing w:val="31"/>
        </w:rPr>
        <w:t xml:space="preserve"> </w:t>
      </w:r>
      <w:r>
        <w:rPr>
          <w:spacing w:val="-2"/>
        </w:rPr>
        <w:t>between</w:t>
      </w:r>
      <w:r>
        <w:rPr>
          <w:spacing w:val="31"/>
        </w:rPr>
        <w:t xml:space="preserve"> </w:t>
      </w:r>
      <w:r>
        <w:t>the</w:t>
      </w:r>
      <w:r>
        <w:rPr>
          <w:spacing w:val="31"/>
        </w:rPr>
        <w:t xml:space="preserve"> </w:t>
      </w:r>
      <w:r>
        <w:rPr>
          <w:spacing w:val="-1"/>
        </w:rPr>
        <w:t>Parties</w:t>
      </w:r>
      <w:r>
        <w:rPr>
          <w:spacing w:val="32"/>
        </w:rPr>
        <w:t xml:space="preserve"> </w:t>
      </w:r>
      <w:r>
        <w:rPr>
          <w:spacing w:val="-1"/>
        </w:rPr>
        <w:t>and</w:t>
      </w:r>
      <w:r>
        <w:rPr>
          <w:spacing w:val="31"/>
        </w:rPr>
        <w:t xml:space="preserve"> </w:t>
      </w:r>
      <w:r>
        <w:rPr>
          <w:spacing w:val="-1"/>
        </w:rPr>
        <w:t>that</w:t>
      </w:r>
      <w:r>
        <w:rPr>
          <w:spacing w:val="33"/>
        </w:rPr>
        <w:t xml:space="preserve"> </w:t>
      </w:r>
      <w:r>
        <w:t>a</w:t>
      </w:r>
      <w:r>
        <w:rPr>
          <w:spacing w:val="32"/>
        </w:rPr>
        <w:t xml:space="preserve"> </w:t>
      </w:r>
      <w:r>
        <w:rPr>
          <w:spacing w:val="-1"/>
        </w:rPr>
        <w:t>compromise</w:t>
      </w:r>
      <w:r>
        <w:rPr>
          <w:spacing w:val="32"/>
        </w:rPr>
        <w:t xml:space="preserve"> </w:t>
      </w:r>
      <w:r>
        <w:rPr>
          <w:spacing w:val="-2"/>
        </w:rPr>
        <w:t>of</w:t>
      </w:r>
      <w:r>
        <w:rPr>
          <w:spacing w:val="35"/>
        </w:rPr>
        <w:t xml:space="preserve"> </w:t>
      </w:r>
      <w:r>
        <w:rPr>
          <w:spacing w:val="-1"/>
        </w:rPr>
        <w:t>either</w:t>
      </w:r>
      <w:r>
        <w:rPr>
          <w:spacing w:val="33"/>
        </w:rPr>
        <w:t xml:space="preserve"> </w:t>
      </w:r>
      <w:r>
        <w:rPr>
          <w:spacing w:val="-1"/>
        </w:rPr>
        <w:t>the</w:t>
      </w:r>
      <w:r>
        <w:rPr>
          <w:spacing w:val="31"/>
        </w:rPr>
        <w:t xml:space="preserve"> </w:t>
      </w:r>
      <w:r>
        <w:rPr>
          <w:spacing w:val="-2"/>
        </w:rPr>
        <w:t>Supplier</w:t>
      </w:r>
      <w:r>
        <w:rPr>
          <w:spacing w:val="33"/>
        </w:rPr>
        <w:t xml:space="preserve"> </w:t>
      </w:r>
      <w:r>
        <w:rPr>
          <w:spacing w:val="-1"/>
        </w:rPr>
        <w:t>or</w:t>
      </w:r>
      <w:r>
        <w:rPr>
          <w:spacing w:val="34"/>
        </w:rPr>
        <w:t xml:space="preserve"> </w:t>
      </w:r>
      <w:r>
        <w:rPr>
          <w:spacing w:val="-1"/>
        </w:rPr>
        <w:t>the</w:t>
      </w:r>
      <w:r>
        <w:rPr>
          <w:spacing w:val="60"/>
        </w:rPr>
        <w:t xml:space="preserve"> </w:t>
      </w:r>
      <w:r>
        <w:rPr>
          <w:spacing w:val="-1"/>
        </w:rPr>
        <w:t>Customer’s</w:t>
      </w:r>
      <w:r>
        <w:rPr>
          <w:spacing w:val="37"/>
        </w:rPr>
        <w:t xml:space="preserve"> </w:t>
      </w:r>
      <w:r>
        <w:rPr>
          <w:spacing w:val="-1"/>
        </w:rPr>
        <w:t>security</w:t>
      </w:r>
      <w:r>
        <w:rPr>
          <w:spacing w:val="34"/>
        </w:rPr>
        <w:t xml:space="preserve"> </w:t>
      </w:r>
      <w:r>
        <w:rPr>
          <w:spacing w:val="-2"/>
        </w:rPr>
        <w:t>provisions</w:t>
      </w:r>
      <w:r>
        <w:rPr>
          <w:spacing w:val="37"/>
        </w:rPr>
        <w:t xml:space="preserve"> </w:t>
      </w:r>
      <w:r>
        <w:rPr>
          <w:spacing w:val="-1"/>
        </w:rPr>
        <w:t>represents</w:t>
      </w:r>
      <w:r>
        <w:rPr>
          <w:spacing w:val="37"/>
        </w:rPr>
        <w:t xml:space="preserve"> </w:t>
      </w:r>
      <w:r>
        <w:rPr>
          <w:spacing w:val="-1"/>
        </w:rPr>
        <w:t>an</w:t>
      </w:r>
      <w:r>
        <w:rPr>
          <w:spacing w:val="36"/>
        </w:rPr>
        <w:t xml:space="preserve"> </w:t>
      </w:r>
      <w:r>
        <w:rPr>
          <w:spacing w:val="-1"/>
        </w:rPr>
        <w:t>unacceptable</w:t>
      </w:r>
      <w:r>
        <w:rPr>
          <w:spacing w:val="36"/>
        </w:rPr>
        <w:t xml:space="preserve"> </w:t>
      </w:r>
      <w:r>
        <w:rPr>
          <w:spacing w:val="-2"/>
        </w:rPr>
        <w:t>risk</w:t>
      </w:r>
      <w:r>
        <w:rPr>
          <w:spacing w:val="38"/>
        </w:rPr>
        <w:t xml:space="preserve"> </w:t>
      </w:r>
      <w:r>
        <w:t>to</w:t>
      </w:r>
      <w:r>
        <w:rPr>
          <w:spacing w:val="36"/>
        </w:rPr>
        <w:t xml:space="preserve"> </w:t>
      </w:r>
      <w:r>
        <w:t>the</w:t>
      </w:r>
      <w:r>
        <w:rPr>
          <w:spacing w:val="31"/>
        </w:rPr>
        <w:t xml:space="preserve"> </w:t>
      </w:r>
      <w:r>
        <w:rPr>
          <w:spacing w:val="-1"/>
        </w:rPr>
        <w:t>Customer</w:t>
      </w:r>
      <w:r>
        <w:rPr>
          <w:spacing w:val="53"/>
        </w:rPr>
        <w:t xml:space="preserve"> </w:t>
      </w:r>
      <w:r>
        <w:rPr>
          <w:spacing w:val="-1"/>
        </w:rPr>
        <w:t>requiring</w:t>
      </w:r>
      <w:r>
        <w:t xml:space="preserve"> </w:t>
      </w:r>
      <w:r>
        <w:rPr>
          <w:spacing w:val="-1"/>
        </w:rPr>
        <w:t>immediate communication</w:t>
      </w:r>
      <w:r>
        <w:t xml:space="preserve"> </w:t>
      </w:r>
      <w:r>
        <w:rPr>
          <w:spacing w:val="-1"/>
        </w:rPr>
        <w:t>and</w:t>
      </w:r>
      <w:r>
        <w:rPr>
          <w:spacing w:val="-2"/>
        </w:rPr>
        <w:t xml:space="preserve"> </w:t>
      </w:r>
      <w:r>
        <w:rPr>
          <w:spacing w:val="-1"/>
        </w:rPr>
        <w:t>co-operation</w:t>
      </w:r>
      <w:r>
        <w:t xml:space="preserve"> </w:t>
      </w:r>
      <w:r>
        <w:rPr>
          <w:spacing w:val="-1"/>
        </w:rPr>
        <w:t>between</w:t>
      </w:r>
      <w:r>
        <w:t xml:space="preserve"> the</w:t>
      </w:r>
      <w:r>
        <w:rPr>
          <w:spacing w:val="-2"/>
        </w:rPr>
        <w:t xml:space="preserve"> </w:t>
      </w:r>
      <w:r>
        <w:rPr>
          <w:spacing w:val="-1"/>
        </w:rPr>
        <w:t>Parties.</w:t>
      </w:r>
    </w:p>
    <w:p w:rsidR="008918FA" w:rsidRDefault="008918FA" w:rsidP="008918FA">
      <w:pPr>
        <w:pStyle w:val="BodyText"/>
        <w:numPr>
          <w:ilvl w:val="0"/>
          <w:numId w:val="14"/>
        </w:numPr>
        <w:tabs>
          <w:tab w:val="left" w:pos="466"/>
        </w:tabs>
        <w:spacing w:before="120"/>
        <w:rPr>
          <w:rFonts w:ascii="Times New Roman" w:eastAsia="Times New Roman" w:hAnsi="Times New Roman" w:cs="Times New Roman"/>
        </w:rPr>
      </w:pPr>
      <w:bookmarkStart w:id="411" w:name="_bookmark334"/>
      <w:bookmarkEnd w:id="411"/>
      <w:r>
        <w:rPr>
          <w:rFonts w:ascii="Times New Roman"/>
          <w:spacing w:val="-6"/>
        </w:rPr>
        <w:t>IS</w:t>
      </w:r>
      <w:r>
        <w:rPr>
          <w:rFonts w:ascii="Times New Roman"/>
          <w:spacing w:val="-32"/>
        </w:rPr>
        <w:t xml:space="preserve"> </w:t>
      </w:r>
      <w:r>
        <w:rPr>
          <w:rFonts w:ascii="Times New Roman"/>
          <w:spacing w:val="-12"/>
        </w:rPr>
        <w:t>MS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14"/>
        </w:numPr>
        <w:tabs>
          <w:tab w:val="left" w:pos="828"/>
        </w:tabs>
        <w:spacing w:before="0"/>
        <w:ind w:right="112"/>
        <w:jc w:val="both"/>
      </w:pPr>
      <w:bookmarkStart w:id="412" w:name="_bookmark335"/>
      <w:bookmarkEnd w:id="412"/>
      <w:r>
        <w:t>The</w:t>
      </w:r>
      <w:r>
        <w:rPr>
          <w:spacing w:val="21"/>
        </w:rPr>
        <w:t xml:space="preserve"> </w:t>
      </w:r>
      <w:r>
        <w:rPr>
          <w:spacing w:val="-2"/>
        </w:rPr>
        <w:t>Supplier</w:t>
      </w:r>
      <w:r>
        <w:rPr>
          <w:spacing w:val="22"/>
        </w:rPr>
        <w:t xml:space="preserve"> </w:t>
      </w:r>
      <w:r>
        <w:rPr>
          <w:spacing w:val="-1"/>
        </w:rPr>
        <w:t>shall</w:t>
      </w:r>
      <w:r>
        <w:rPr>
          <w:spacing w:val="20"/>
        </w:rPr>
        <w:t xml:space="preserve"> </w:t>
      </w:r>
      <w:r>
        <w:rPr>
          <w:spacing w:val="-2"/>
        </w:rPr>
        <w:t>develop</w:t>
      </w:r>
      <w:r>
        <w:rPr>
          <w:spacing w:val="21"/>
        </w:rPr>
        <w:t xml:space="preserve"> </w:t>
      </w:r>
      <w:r>
        <w:rPr>
          <w:spacing w:val="-1"/>
        </w:rPr>
        <w:t>and</w:t>
      </w:r>
      <w:r>
        <w:rPr>
          <w:spacing w:val="21"/>
        </w:rPr>
        <w:t xml:space="preserve"> </w:t>
      </w:r>
      <w:r>
        <w:rPr>
          <w:spacing w:val="-1"/>
        </w:rPr>
        <w:t>submit</w:t>
      </w:r>
      <w:r>
        <w:rPr>
          <w:spacing w:val="20"/>
        </w:rPr>
        <w:t xml:space="preserve"> </w:t>
      </w:r>
      <w:r>
        <w:t>to</w:t>
      </w:r>
      <w:r>
        <w:rPr>
          <w:spacing w:val="21"/>
        </w:rPr>
        <w:t xml:space="preserve"> </w:t>
      </w:r>
      <w:r>
        <w:rPr>
          <w:spacing w:val="-1"/>
        </w:rPr>
        <w:t>the</w:t>
      </w:r>
      <w:r>
        <w:rPr>
          <w:spacing w:val="21"/>
        </w:rPr>
        <w:t xml:space="preserve"> </w:t>
      </w:r>
      <w:r>
        <w:rPr>
          <w:spacing w:val="-1"/>
        </w:rPr>
        <w:t>Customer</w:t>
      </w:r>
      <w:r>
        <w:rPr>
          <w:spacing w:val="20"/>
        </w:rPr>
        <w:t xml:space="preserve"> </w:t>
      </w:r>
      <w:r>
        <w:t>for</w:t>
      </w:r>
      <w:r>
        <w:rPr>
          <w:spacing w:val="20"/>
        </w:rPr>
        <w:t xml:space="preserve"> </w:t>
      </w:r>
      <w:r>
        <w:t>the</w:t>
      </w:r>
      <w:r>
        <w:rPr>
          <w:spacing w:val="21"/>
        </w:rPr>
        <w:t xml:space="preserve"> </w:t>
      </w:r>
      <w:r>
        <w:rPr>
          <w:spacing w:val="-2"/>
        </w:rPr>
        <w:t>Customer’s</w:t>
      </w:r>
      <w:r>
        <w:rPr>
          <w:spacing w:val="59"/>
        </w:rPr>
        <w:t xml:space="preserve"> </w:t>
      </w:r>
      <w:r>
        <w:rPr>
          <w:spacing w:val="-1"/>
        </w:rPr>
        <w:t>Approval,</w:t>
      </w:r>
      <w:r>
        <w:rPr>
          <w:spacing w:val="21"/>
        </w:rPr>
        <w:t xml:space="preserve"> </w:t>
      </w:r>
      <w:r>
        <w:rPr>
          <w:spacing w:val="-2"/>
        </w:rPr>
        <w:t>within</w:t>
      </w:r>
      <w:r>
        <w:rPr>
          <w:spacing w:val="20"/>
        </w:rPr>
        <w:t xml:space="preserve"> </w:t>
      </w:r>
      <w:r>
        <w:rPr>
          <w:spacing w:val="-1"/>
        </w:rPr>
        <w:t>twenty</w:t>
      </w:r>
      <w:r>
        <w:rPr>
          <w:spacing w:val="15"/>
        </w:rPr>
        <w:t xml:space="preserve"> </w:t>
      </w:r>
      <w:r>
        <w:t>(20)</w:t>
      </w:r>
      <w:r>
        <w:rPr>
          <w:spacing w:val="19"/>
        </w:rPr>
        <w:t xml:space="preserve"> </w:t>
      </w:r>
      <w:r>
        <w:rPr>
          <w:spacing w:val="-1"/>
        </w:rPr>
        <w:t>working</w:t>
      </w:r>
      <w:r>
        <w:rPr>
          <w:spacing w:val="20"/>
        </w:rPr>
        <w:t xml:space="preserve"> </w:t>
      </w:r>
      <w:r>
        <w:rPr>
          <w:spacing w:val="-2"/>
        </w:rPr>
        <w:t>days</w:t>
      </w:r>
      <w:r>
        <w:rPr>
          <w:spacing w:val="18"/>
        </w:rPr>
        <w:t xml:space="preserve"> </w:t>
      </w:r>
      <w:r>
        <w:t>after</w:t>
      </w:r>
      <w:r>
        <w:rPr>
          <w:spacing w:val="19"/>
        </w:rPr>
        <w:t xml:space="preserve"> </w:t>
      </w:r>
      <w:r>
        <w:rPr>
          <w:spacing w:val="-1"/>
        </w:rPr>
        <w:t>the</w:t>
      </w:r>
      <w:r>
        <w:rPr>
          <w:spacing w:val="17"/>
        </w:rPr>
        <w:t xml:space="preserve"> </w:t>
      </w:r>
      <w:r>
        <w:rPr>
          <w:spacing w:val="-2"/>
        </w:rPr>
        <w:t>Call</w:t>
      </w:r>
      <w:r>
        <w:rPr>
          <w:spacing w:val="19"/>
        </w:rPr>
        <w:t xml:space="preserve"> </w:t>
      </w:r>
      <w:r>
        <w:t>Off</w:t>
      </w:r>
      <w:r>
        <w:rPr>
          <w:spacing w:val="21"/>
        </w:rPr>
        <w:t xml:space="preserve"> </w:t>
      </w:r>
      <w:r>
        <w:rPr>
          <w:spacing w:val="-2"/>
        </w:rPr>
        <w:t>Commencement</w:t>
      </w:r>
      <w:r>
        <w:rPr>
          <w:spacing w:val="19"/>
        </w:rPr>
        <w:t xml:space="preserve"> </w:t>
      </w:r>
      <w:r>
        <w:rPr>
          <w:spacing w:val="-2"/>
        </w:rPr>
        <w:t>Date</w:t>
      </w:r>
      <w:r>
        <w:rPr>
          <w:spacing w:val="61"/>
        </w:rPr>
        <w:t xml:space="preserve"> </w:t>
      </w:r>
      <w:r>
        <w:rPr>
          <w:spacing w:val="-1"/>
        </w:rPr>
        <w:t>or</w:t>
      </w:r>
      <w:r>
        <w:rPr>
          <w:spacing w:val="15"/>
        </w:rPr>
        <w:t xml:space="preserve"> </w:t>
      </w:r>
      <w:r>
        <w:rPr>
          <w:spacing w:val="-1"/>
        </w:rPr>
        <w:t>such</w:t>
      </w:r>
      <w:r>
        <w:rPr>
          <w:spacing w:val="14"/>
        </w:rPr>
        <w:t xml:space="preserve"> </w:t>
      </w:r>
      <w:r>
        <w:rPr>
          <w:spacing w:val="-1"/>
        </w:rPr>
        <w:t>other</w:t>
      </w:r>
      <w:r>
        <w:rPr>
          <w:spacing w:val="15"/>
        </w:rPr>
        <w:t xml:space="preserve"> </w:t>
      </w:r>
      <w:r>
        <w:rPr>
          <w:spacing w:val="-1"/>
        </w:rPr>
        <w:t>date</w:t>
      </w:r>
      <w:r>
        <w:rPr>
          <w:spacing w:val="14"/>
        </w:rPr>
        <w:t xml:space="preserve"> </w:t>
      </w:r>
      <w:r>
        <w:rPr>
          <w:spacing w:val="-1"/>
        </w:rPr>
        <w:t>as</w:t>
      </w:r>
      <w:r>
        <w:rPr>
          <w:spacing w:val="11"/>
        </w:rPr>
        <w:t xml:space="preserve"> </w:t>
      </w:r>
      <w:r>
        <w:rPr>
          <w:spacing w:val="-1"/>
        </w:rPr>
        <w:t>agreed</w:t>
      </w:r>
      <w:r>
        <w:rPr>
          <w:spacing w:val="14"/>
        </w:rPr>
        <w:t xml:space="preserve"> </w:t>
      </w:r>
      <w:r>
        <w:rPr>
          <w:spacing w:val="-1"/>
        </w:rPr>
        <w:t>between</w:t>
      </w:r>
      <w:r>
        <w:rPr>
          <w:spacing w:val="13"/>
        </w:rPr>
        <w:t xml:space="preserve"> </w:t>
      </w:r>
      <w:r>
        <w:t>the</w:t>
      </w:r>
      <w:r>
        <w:rPr>
          <w:spacing w:val="11"/>
        </w:rPr>
        <w:t xml:space="preserve"> </w:t>
      </w:r>
      <w:r>
        <w:rPr>
          <w:spacing w:val="-1"/>
        </w:rPr>
        <w:t>Parties,</w:t>
      </w:r>
      <w:r>
        <w:rPr>
          <w:spacing w:val="30"/>
        </w:rPr>
        <w:t xml:space="preserve"> </w:t>
      </w:r>
      <w:r>
        <w:rPr>
          <w:spacing w:val="-1"/>
        </w:rPr>
        <w:t>an</w:t>
      </w:r>
      <w:r>
        <w:rPr>
          <w:spacing w:val="14"/>
        </w:rPr>
        <w:t xml:space="preserve"> </w:t>
      </w:r>
      <w:r>
        <w:rPr>
          <w:spacing w:val="-2"/>
        </w:rPr>
        <w:t>information</w:t>
      </w:r>
      <w:r>
        <w:rPr>
          <w:spacing w:val="14"/>
        </w:rPr>
        <w:t xml:space="preserve"> </w:t>
      </w:r>
      <w:r>
        <w:rPr>
          <w:spacing w:val="-1"/>
        </w:rPr>
        <w:t>security</w:t>
      </w:r>
      <w:r>
        <w:rPr>
          <w:spacing w:val="59"/>
        </w:rPr>
        <w:t xml:space="preserve"> </w:t>
      </w:r>
      <w:r>
        <w:rPr>
          <w:spacing w:val="-1"/>
        </w:rPr>
        <w:t>management</w:t>
      </w:r>
      <w:r>
        <w:rPr>
          <w:spacing w:val="11"/>
        </w:rPr>
        <w:t xml:space="preserve"> </w:t>
      </w:r>
      <w:r>
        <w:rPr>
          <w:spacing w:val="-1"/>
        </w:rPr>
        <w:t>system</w:t>
      </w:r>
      <w:r>
        <w:rPr>
          <w:spacing w:val="9"/>
        </w:rPr>
        <w:t xml:space="preserve"> </w:t>
      </w:r>
      <w:r>
        <w:t>for</w:t>
      </w:r>
      <w:r>
        <w:rPr>
          <w:spacing w:val="9"/>
        </w:rPr>
        <w:t xml:space="preserve"> </w:t>
      </w:r>
      <w:r>
        <w:t>the</w:t>
      </w:r>
      <w:r>
        <w:rPr>
          <w:spacing w:val="10"/>
        </w:rPr>
        <w:t xml:space="preserve"> </w:t>
      </w:r>
      <w:r>
        <w:rPr>
          <w:spacing w:val="-1"/>
        </w:rPr>
        <w:t>purposes</w:t>
      </w:r>
      <w:r>
        <w:rPr>
          <w:spacing w:val="10"/>
        </w:rPr>
        <w:t xml:space="preserve"> </w:t>
      </w:r>
      <w:r>
        <w:rPr>
          <w:spacing w:val="-2"/>
        </w:rPr>
        <w:t>of</w:t>
      </w:r>
      <w:r>
        <w:rPr>
          <w:spacing w:val="11"/>
        </w:rPr>
        <w:t xml:space="preserve"> </w:t>
      </w:r>
      <w:r>
        <w:rPr>
          <w:spacing w:val="-1"/>
        </w:rPr>
        <w:t>this</w:t>
      </w:r>
      <w:r>
        <w:rPr>
          <w:spacing w:val="10"/>
        </w:rPr>
        <w:t xml:space="preserve"> </w:t>
      </w:r>
      <w:r>
        <w:rPr>
          <w:spacing w:val="-2"/>
        </w:rPr>
        <w:t>Call</w:t>
      </w:r>
      <w:r>
        <w:rPr>
          <w:spacing w:val="12"/>
        </w:rPr>
        <w:t xml:space="preserve"> </w:t>
      </w:r>
      <w:r>
        <w:rPr>
          <w:spacing w:val="-1"/>
        </w:rPr>
        <w:t>Off</w:t>
      </w:r>
      <w:r>
        <w:rPr>
          <w:spacing w:val="14"/>
        </w:rPr>
        <w:t xml:space="preserve"> </w:t>
      </w:r>
      <w:r>
        <w:rPr>
          <w:spacing w:val="-1"/>
        </w:rPr>
        <w:t>Contract,</w:t>
      </w:r>
      <w:r>
        <w:rPr>
          <w:spacing w:val="11"/>
        </w:rPr>
        <w:t xml:space="preserve"> </w:t>
      </w:r>
      <w:r>
        <w:rPr>
          <w:spacing w:val="-2"/>
        </w:rPr>
        <w:t>which</w:t>
      </w:r>
      <w:r>
        <w:rPr>
          <w:spacing w:val="13"/>
        </w:rPr>
        <w:t xml:space="preserve"> </w:t>
      </w:r>
      <w:r>
        <w:rPr>
          <w:spacing w:val="-1"/>
        </w:rPr>
        <w:t>shall</w:t>
      </w:r>
      <w:r>
        <w:rPr>
          <w:spacing w:val="9"/>
        </w:rPr>
        <w:t xml:space="preserve"> </w:t>
      </w:r>
      <w:r>
        <w:rPr>
          <w:spacing w:val="-1"/>
        </w:rPr>
        <w:t>comply</w:t>
      </w:r>
      <w:r>
        <w:rPr>
          <w:spacing w:val="49"/>
        </w:rPr>
        <w:t xml:space="preserve"> </w:t>
      </w:r>
      <w:r>
        <w:rPr>
          <w:spacing w:val="-1"/>
        </w:rPr>
        <w:t>with</w:t>
      </w:r>
      <w:r>
        <w:rPr>
          <w:spacing w:val="16"/>
        </w:rPr>
        <w:t xml:space="preserve"> </w:t>
      </w:r>
      <w:r>
        <w:t>the</w:t>
      </w:r>
      <w:r>
        <w:rPr>
          <w:spacing w:val="16"/>
        </w:rPr>
        <w:t xml:space="preserve"> </w:t>
      </w:r>
      <w:r>
        <w:rPr>
          <w:spacing w:val="-1"/>
        </w:rPr>
        <w:t>requirements</w:t>
      </w:r>
      <w:r>
        <w:rPr>
          <w:spacing w:val="14"/>
        </w:rPr>
        <w:t xml:space="preserve"> </w:t>
      </w:r>
      <w:r>
        <w:rPr>
          <w:spacing w:val="-2"/>
        </w:rPr>
        <w:t>of</w:t>
      </w:r>
      <w:r>
        <w:rPr>
          <w:spacing w:val="20"/>
        </w:rPr>
        <w:t xml:space="preserve"> </w:t>
      </w:r>
      <w:r>
        <w:rPr>
          <w:spacing w:val="-1"/>
        </w:rPr>
        <w:t>paragraphs</w:t>
      </w:r>
      <w:r>
        <w:rPr>
          <w:spacing w:val="18"/>
        </w:rPr>
        <w:t xml:space="preserve"> </w:t>
      </w:r>
      <w:hyperlink w:anchor="_bookmark336" w:history="1">
        <w:r>
          <w:t>3.3</w:t>
        </w:r>
      </w:hyperlink>
      <w:r>
        <w:rPr>
          <w:spacing w:val="14"/>
        </w:rPr>
        <w:t xml:space="preserve"> </w:t>
      </w:r>
      <w:r>
        <w:t>to</w:t>
      </w:r>
      <w:r>
        <w:rPr>
          <w:spacing w:val="14"/>
        </w:rPr>
        <w:t xml:space="preserve"> </w:t>
      </w:r>
      <w:hyperlink w:anchor="_bookmark337" w:history="1">
        <w:r>
          <w:t>3.5</w:t>
        </w:r>
      </w:hyperlink>
      <w:r>
        <w:rPr>
          <w:spacing w:val="16"/>
        </w:rPr>
        <w:t xml:space="preserve"> </w:t>
      </w:r>
      <w:r>
        <w:rPr>
          <w:spacing w:val="-2"/>
        </w:rPr>
        <w:t>of</w:t>
      </w:r>
      <w:r>
        <w:rPr>
          <w:spacing w:val="17"/>
        </w:rPr>
        <w:t xml:space="preserve"> </w:t>
      </w:r>
      <w:r>
        <w:rPr>
          <w:spacing w:val="-1"/>
        </w:rPr>
        <w:t>this</w:t>
      </w:r>
      <w:r>
        <w:rPr>
          <w:spacing w:val="16"/>
        </w:rPr>
        <w:t xml:space="preserve"> </w:t>
      </w:r>
      <w:r>
        <w:rPr>
          <w:spacing w:val="-2"/>
        </w:rPr>
        <w:t>Call</w:t>
      </w:r>
      <w:r>
        <w:rPr>
          <w:spacing w:val="15"/>
        </w:rPr>
        <w:t xml:space="preserve"> </w:t>
      </w:r>
      <w:r>
        <w:t>Off</w:t>
      </w:r>
      <w:r>
        <w:rPr>
          <w:spacing w:val="17"/>
        </w:rPr>
        <w:t xml:space="preserve"> </w:t>
      </w:r>
      <w:r>
        <w:rPr>
          <w:spacing w:val="-2"/>
        </w:rPr>
        <w:t>Schedule</w:t>
      </w:r>
      <w:r>
        <w:rPr>
          <w:spacing w:val="16"/>
        </w:rPr>
        <w:t xml:space="preserve"> </w:t>
      </w:r>
      <w:r>
        <w:t>8</w:t>
      </w:r>
      <w:r>
        <w:rPr>
          <w:spacing w:val="47"/>
        </w:rPr>
        <w:t xml:space="preserve"> </w:t>
      </w:r>
      <w:r>
        <w:rPr>
          <w:spacing w:val="-1"/>
        </w:rPr>
        <w:t>(Security).</w:t>
      </w:r>
    </w:p>
    <w:p w:rsidR="008918FA" w:rsidRDefault="008918FA" w:rsidP="008918FA">
      <w:pPr>
        <w:pStyle w:val="BodyText"/>
        <w:numPr>
          <w:ilvl w:val="1"/>
          <w:numId w:val="14"/>
        </w:numPr>
        <w:tabs>
          <w:tab w:val="left" w:pos="829"/>
        </w:tabs>
        <w:ind w:left="828" w:right="113"/>
        <w:jc w:val="both"/>
      </w:pPr>
      <w:r>
        <w:t>The</w:t>
      </w:r>
      <w:r>
        <w:rPr>
          <w:spacing w:val="6"/>
        </w:rPr>
        <w:t xml:space="preserve"> </w:t>
      </w:r>
      <w:r>
        <w:rPr>
          <w:spacing w:val="-2"/>
        </w:rPr>
        <w:t>Supplier</w:t>
      </w:r>
      <w:r>
        <w:rPr>
          <w:spacing w:val="5"/>
        </w:rPr>
        <w:t xml:space="preserve"> </w:t>
      </w:r>
      <w:r>
        <w:rPr>
          <w:spacing w:val="-1"/>
        </w:rPr>
        <w:t>acknowledges</w:t>
      </w:r>
      <w:r>
        <w:rPr>
          <w:spacing w:val="4"/>
        </w:rPr>
        <w:t xml:space="preserve"> </w:t>
      </w:r>
      <w:r>
        <w:rPr>
          <w:spacing w:val="-1"/>
        </w:rPr>
        <w:t>that</w:t>
      </w:r>
      <w:r>
        <w:rPr>
          <w:spacing w:val="5"/>
        </w:rPr>
        <w:t xml:space="preserve"> </w:t>
      </w:r>
      <w:r>
        <w:t>the</w:t>
      </w:r>
      <w:r>
        <w:rPr>
          <w:spacing w:val="6"/>
        </w:rPr>
        <w:t xml:space="preserve"> </w:t>
      </w:r>
      <w:r>
        <w:rPr>
          <w:spacing w:val="-2"/>
        </w:rPr>
        <w:t>Customer</w:t>
      </w:r>
      <w:r>
        <w:rPr>
          <w:spacing w:val="8"/>
        </w:rPr>
        <w:t xml:space="preserve"> </w:t>
      </w:r>
      <w:r>
        <w:rPr>
          <w:spacing w:val="-1"/>
        </w:rPr>
        <w:t>places</w:t>
      </w:r>
      <w:r>
        <w:rPr>
          <w:spacing w:val="4"/>
        </w:rPr>
        <w:t xml:space="preserve"> </w:t>
      </w:r>
      <w:r>
        <w:rPr>
          <w:spacing w:val="-1"/>
        </w:rPr>
        <w:t>great</w:t>
      </w:r>
      <w:r>
        <w:rPr>
          <w:spacing w:val="5"/>
        </w:rPr>
        <w:t xml:space="preserve"> </w:t>
      </w:r>
      <w:r>
        <w:rPr>
          <w:spacing w:val="-1"/>
        </w:rPr>
        <w:t>emphasis</w:t>
      </w:r>
      <w:r>
        <w:rPr>
          <w:spacing w:val="7"/>
        </w:rPr>
        <w:t xml:space="preserve"> </w:t>
      </w:r>
      <w:r>
        <w:rPr>
          <w:spacing w:val="-1"/>
        </w:rPr>
        <w:t>on</w:t>
      </w:r>
      <w:r>
        <w:rPr>
          <w:spacing w:val="4"/>
        </w:rPr>
        <w:t xml:space="preserve"> </w:t>
      </w:r>
      <w:r>
        <w:rPr>
          <w:spacing w:val="-1"/>
        </w:rPr>
        <w:t>the</w:t>
      </w:r>
      <w:r>
        <w:rPr>
          <w:spacing w:val="51"/>
        </w:rPr>
        <w:t xml:space="preserve"> </w:t>
      </w:r>
      <w:r>
        <w:rPr>
          <w:spacing w:val="-1"/>
        </w:rPr>
        <w:t>reliability</w:t>
      </w:r>
      <w:r>
        <w:rPr>
          <w:spacing w:val="8"/>
        </w:rPr>
        <w:t xml:space="preserve"> </w:t>
      </w:r>
      <w:r>
        <w:rPr>
          <w:spacing w:val="-1"/>
        </w:rPr>
        <w:t>of</w:t>
      </w:r>
      <w:r>
        <w:rPr>
          <w:spacing w:val="11"/>
        </w:rPr>
        <w:t xml:space="preserve"> </w:t>
      </w:r>
      <w:r>
        <w:t>the</w:t>
      </w:r>
      <w:r>
        <w:rPr>
          <w:spacing w:val="7"/>
        </w:rPr>
        <w:t xml:space="preserve"> </w:t>
      </w:r>
      <w:r>
        <w:rPr>
          <w:spacing w:val="-1"/>
        </w:rPr>
        <w:t>performance</w:t>
      </w:r>
      <w:r>
        <w:rPr>
          <w:spacing w:val="10"/>
        </w:rPr>
        <w:t xml:space="preserve"> </w:t>
      </w:r>
      <w:r>
        <w:rPr>
          <w:spacing w:val="-2"/>
        </w:rPr>
        <w:t>of</w:t>
      </w:r>
      <w:r>
        <w:rPr>
          <w:spacing w:val="11"/>
        </w:rPr>
        <w:t xml:space="preserve"> </w:t>
      </w:r>
      <w:r>
        <w:t>the</w:t>
      </w:r>
      <w:r>
        <w:rPr>
          <w:spacing w:val="7"/>
        </w:rPr>
        <w:t xml:space="preserve"> </w:t>
      </w:r>
      <w:r>
        <w:rPr>
          <w:spacing w:val="-1"/>
        </w:rPr>
        <w:t>Goods</w:t>
      </w:r>
      <w:r>
        <w:rPr>
          <w:spacing w:val="8"/>
        </w:rPr>
        <w:t xml:space="preserve"> </w:t>
      </w:r>
      <w:r>
        <w:rPr>
          <w:spacing w:val="-1"/>
        </w:rPr>
        <w:t>and/or</w:t>
      </w:r>
      <w:r>
        <w:rPr>
          <w:spacing w:val="9"/>
        </w:rPr>
        <w:t xml:space="preserve"> </w:t>
      </w:r>
      <w:r>
        <w:rPr>
          <w:spacing w:val="-1"/>
        </w:rPr>
        <w:t>Services,</w:t>
      </w:r>
      <w:r>
        <w:rPr>
          <w:spacing w:val="11"/>
        </w:rPr>
        <w:t xml:space="preserve"> </w:t>
      </w:r>
      <w:r>
        <w:rPr>
          <w:spacing w:val="-2"/>
        </w:rPr>
        <w:t>confidentiality,</w:t>
      </w:r>
      <w:r>
        <w:rPr>
          <w:spacing w:val="11"/>
        </w:rPr>
        <w:t xml:space="preserve"> </w:t>
      </w:r>
      <w:r>
        <w:rPr>
          <w:spacing w:val="-1"/>
        </w:rPr>
        <w:t>integrity</w:t>
      </w:r>
      <w:r>
        <w:rPr>
          <w:spacing w:val="63"/>
        </w:rPr>
        <w:t xml:space="preserve"> </w:t>
      </w:r>
      <w:r>
        <w:rPr>
          <w:spacing w:val="-1"/>
        </w:rPr>
        <w:t>and</w:t>
      </w:r>
      <w:r>
        <w:rPr>
          <w:spacing w:val="39"/>
        </w:rPr>
        <w:t xml:space="preserve"> </w:t>
      </w:r>
      <w:r>
        <w:rPr>
          <w:spacing w:val="-1"/>
        </w:rPr>
        <w:t>availability</w:t>
      </w:r>
      <w:r>
        <w:rPr>
          <w:spacing w:val="36"/>
        </w:rPr>
        <w:t xml:space="preserve"> </w:t>
      </w:r>
      <w:r>
        <w:rPr>
          <w:spacing w:val="-1"/>
        </w:rPr>
        <w:t>of</w:t>
      </w:r>
      <w:r>
        <w:rPr>
          <w:spacing w:val="42"/>
        </w:rPr>
        <w:t xml:space="preserve"> </w:t>
      </w:r>
      <w:r>
        <w:rPr>
          <w:spacing w:val="-1"/>
        </w:rPr>
        <w:t>information</w:t>
      </w:r>
      <w:r>
        <w:rPr>
          <w:spacing w:val="39"/>
        </w:rPr>
        <w:t xml:space="preserve"> </w:t>
      </w:r>
      <w:r>
        <w:rPr>
          <w:spacing w:val="-1"/>
        </w:rPr>
        <w:t>and</w:t>
      </w:r>
      <w:r>
        <w:rPr>
          <w:spacing w:val="38"/>
        </w:rPr>
        <w:t xml:space="preserve"> </w:t>
      </w:r>
      <w:r>
        <w:rPr>
          <w:spacing w:val="-1"/>
        </w:rPr>
        <w:t>consequently</w:t>
      </w:r>
      <w:r>
        <w:rPr>
          <w:spacing w:val="36"/>
        </w:rPr>
        <w:t xml:space="preserve"> </w:t>
      </w:r>
      <w:r>
        <w:rPr>
          <w:spacing w:val="-1"/>
        </w:rPr>
        <w:t>on</w:t>
      </w:r>
      <w:r>
        <w:rPr>
          <w:spacing w:val="39"/>
        </w:rPr>
        <w:t xml:space="preserve"> </w:t>
      </w:r>
      <w:r>
        <w:t>the</w:t>
      </w:r>
      <w:r>
        <w:rPr>
          <w:spacing w:val="38"/>
        </w:rPr>
        <w:t xml:space="preserve"> </w:t>
      </w:r>
      <w:r>
        <w:rPr>
          <w:spacing w:val="-1"/>
        </w:rPr>
        <w:t>security</w:t>
      </w:r>
      <w:r>
        <w:rPr>
          <w:spacing w:val="36"/>
        </w:rPr>
        <w:t xml:space="preserve"> </w:t>
      </w:r>
      <w:r>
        <w:rPr>
          <w:spacing w:val="-1"/>
        </w:rPr>
        <w:t>provided</w:t>
      </w:r>
      <w:r>
        <w:rPr>
          <w:spacing w:val="38"/>
        </w:rPr>
        <w:t xml:space="preserve"> </w:t>
      </w:r>
      <w:r>
        <w:rPr>
          <w:spacing w:val="-1"/>
        </w:rPr>
        <w:t>by</w:t>
      </w:r>
      <w:r>
        <w:rPr>
          <w:spacing w:val="36"/>
        </w:rPr>
        <w:t xml:space="preserve"> </w:t>
      </w:r>
      <w:r>
        <w:rPr>
          <w:spacing w:val="-1"/>
        </w:rPr>
        <w:t>the</w:t>
      </w:r>
      <w:r>
        <w:rPr>
          <w:spacing w:val="48"/>
        </w:rPr>
        <w:t xml:space="preserve"> </w:t>
      </w:r>
      <w:r>
        <w:rPr>
          <w:spacing w:val="-1"/>
        </w:rPr>
        <w:t>ISMS</w:t>
      </w:r>
      <w:r>
        <w:t xml:space="preserve"> </w:t>
      </w:r>
      <w:r>
        <w:rPr>
          <w:spacing w:val="-1"/>
        </w:rPr>
        <w:t>and</w:t>
      </w:r>
      <w:r>
        <w:t xml:space="preserve"> </w:t>
      </w:r>
      <w:r>
        <w:rPr>
          <w:spacing w:val="-1"/>
        </w:rPr>
        <w:t>that</w:t>
      </w:r>
      <w:r>
        <w:rPr>
          <w:spacing w:val="2"/>
        </w:rPr>
        <w:t xml:space="preserve"> </w:t>
      </w:r>
      <w:r>
        <w:t xml:space="preserve">the </w:t>
      </w:r>
      <w:r>
        <w:rPr>
          <w:spacing w:val="-2"/>
        </w:rPr>
        <w:t>Supplier</w:t>
      </w:r>
      <w:r>
        <w:rPr>
          <w:spacing w:val="2"/>
        </w:rPr>
        <w:t xml:space="preserve"> </w:t>
      </w:r>
      <w:r>
        <w:rPr>
          <w:spacing w:val="-1"/>
        </w:rPr>
        <w:t>shall</w:t>
      </w:r>
      <w:r>
        <w:t xml:space="preserve"> </w:t>
      </w:r>
      <w:r>
        <w:rPr>
          <w:spacing w:val="-1"/>
        </w:rPr>
        <w:t>be</w:t>
      </w:r>
      <w:r>
        <w:t xml:space="preserve"> </w:t>
      </w:r>
      <w:r>
        <w:rPr>
          <w:spacing w:val="-1"/>
        </w:rPr>
        <w:t>responsible</w:t>
      </w:r>
      <w:r>
        <w:rPr>
          <w:spacing w:val="-2"/>
        </w:rPr>
        <w:t xml:space="preserve"> </w:t>
      </w:r>
      <w:r>
        <w:t>for</w:t>
      </w:r>
      <w:r>
        <w:rPr>
          <w:spacing w:val="2"/>
        </w:rPr>
        <w:t xml:space="preserve"> </w:t>
      </w:r>
      <w:r>
        <w:t xml:space="preserve">the </w:t>
      </w:r>
      <w:r>
        <w:rPr>
          <w:spacing w:val="-1"/>
        </w:rPr>
        <w:t>effective</w:t>
      </w:r>
      <w:r>
        <w:t xml:space="preserve"> </w:t>
      </w:r>
      <w:r>
        <w:rPr>
          <w:spacing w:val="-1"/>
        </w:rPr>
        <w:t>performance</w:t>
      </w:r>
      <w:r>
        <w:rPr>
          <w:spacing w:val="1"/>
        </w:rPr>
        <w:t xml:space="preserve"> </w:t>
      </w:r>
      <w:r>
        <w:rPr>
          <w:spacing w:val="-2"/>
        </w:rPr>
        <w:t>of</w:t>
      </w:r>
      <w:r>
        <w:rPr>
          <w:spacing w:val="4"/>
        </w:rPr>
        <w:t xml:space="preserve"> </w:t>
      </w:r>
      <w:r>
        <w:rPr>
          <w:spacing w:val="-1"/>
        </w:rPr>
        <w:t>the</w:t>
      </w:r>
      <w:r>
        <w:rPr>
          <w:spacing w:val="39"/>
        </w:rPr>
        <w:t xml:space="preserve"> </w:t>
      </w:r>
      <w:r>
        <w:rPr>
          <w:spacing w:val="-2"/>
        </w:rPr>
        <w:t>ISMS.</w:t>
      </w:r>
    </w:p>
    <w:p w:rsidR="008918FA" w:rsidRDefault="008918FA" w:rsidP="008918FA">
      <w:pPr>
        <w:pStyle w:val="BodyText"/>
        <w:numPr>
          <w:ilvl w:val="1"/>
          <w:numId w:val="14"/>
        </w:numPr>
        <w:tabs>
          <w:tab w:val="left" w:pos="828"/>
        </w:tabs>
        <w:jc w:val="left"/>
      </w:pPr>
      <w:bookmarkStart w:id="413" w:name="_bookmark336"/>
      <w:bookmarkEnd w:id="413"/>
      <w:r>
        <w:t>The</w:t>
      </w:r>
      <w:r>
        <w:rPr>
          <w:spacing w:val="-2"/>
        </w:rPr>
        <w:t xml:space="preserve"> </w:t>
      </w:r>
      <w:r>
        <w:rPr>
          <w:spacing w:val="-1"/>
        </w:rPr>
        <w:t>ISMS</w:t>
      </w:r>
      <w:r>
        <w:t xml:space="preserve"> </w:t>
      </w:r>
      <w:r>
        <w:rPr>
          <w:spacing w:val="-1"/>
        </w:rPr>
        <w:t>shall:</w:t>
      </w:r>
    </w:p>
    <w:p w:rsidR="008918FA" w:rsidRDefault="008918FA" w:rsidP="008918FA">
      <w:pPr>
        <w:pStyle w:val="BodyText"/>
        <w:numPr>
          <w:ilvl w:val="2"/>
          <w:numId w:val="14"/>
        </w:numPr>
        <w:tabs>
          <w:tab w:val="left" w:pos="2026"/>
        </w:tabs>
        <w:spacing w:before="121"/>
        <w:ind w:right="113"/>
        <w:jc w:val="both"/>
      </w:pPr>
      <w:r>
        <w:rPr>
          <w:spacing w:val="-1"/>
        </w:rPr>
        <w:t>unless</w:t>
      </w:r>
      <w:r>
        <w:rPr>
          <w:spacing w:val="6"/>
        </w:rPr>
        <w:t xml:space="preserve"> </w:t>
      </w:r>
      <w:r>
        <w:rPr>
          <w:spacing w:val="-1"/>
        </w:rPr>
        <w:t>otherwise</w:t>
      </w:r>
      <w:r>
        <w:rPr>
          <w:spacing w:val="5"/>
        </w:rPr>
        <w:t xml:space="preserve"> </w:t>
      </w:r>
      <w:r>
        <w:rPr>
          <w:spacing w:val="-1"/>
        </w:rPr>
        <w:t>specified</w:t>
      </w:r>
      <w:r>
        <w:rPr>
          <w:spacing w:val="5"/>
        </w:rPr>
        <w:t xml:space="preserve"> </w:t>
      </w:r>
      <w:r>
        <w:rPr>
          <w:spacing w:val="-1"/>
        </w:rPr>
        <w:t>by</w:t>
      </w:r>
      <w:r>
        <w:rPr>
          <w:spacing w:val="3"/>
        </w:rPr>
        <w:t xml:space="preserve"> </w:t>
      </w:r>
      <w:r>
        <w:t>the</w:t>
      </w:r>
      <w:r>
        <w:rPr>
          <w:spacing w:val="5"/>
        </w:rPr>
        <w:t xml:space="preserve"> </w:t>
      </w:r>
      <w:r>
        <w:rPr>
          <w:spacing w:val="-1"/>
        </w:rPr>
        <w:t>Customer</w:t>
      </w:r>
      <w:r>
        <w:rPr>
          <w:spacing w:val="6"/>
        </w:rPr>
        <w:t xml:space="preserve"> </w:t>
      </w:r>
      <w:r>
        <w:rPr>
          <w:spacing w:val="-1"/>
        </w:rPr>
        <w:t>in</w:t>
      </w:r>
      <w:r>
        <w:rPr>
          <w:spacing w:val="5"/>
        </w:rPr>
        <w:t xml:space="preserve"> </w:t>
      </w:r>
      <w:r>
        <w:rPr>
          <w:spacing w:val="-1"/>
        </w:rPr>
        <w:t>writing,</w:t>
      </w:r>
      <w:r>
        <w:rPr>
          <w:spacing w:val="7"/>
        </w:rPr>
        <w:t xml:space="preserve"> </w:t>
      </w:r>
      <w:r>
        <w:rPr>
          <w:spacing w:val="-1"/>
        </w:rPr>
        <w:t>be</w:t>
      </w:r>
      <w:r>
        <w:rPr>
          <w:spacing w:val="5"/>
        </w:rPr>
        <w:t xml:space="preserve"> </w:t>
      </w:r>
      <w:r>
        <w:rPr>
          <w:spacing w:val="-2"/>
        </w:rPr>
        <w:t>developed</w:t>
      </w:r>
      <w:r>
        <w:rPr>
          <w:spacing w:val="5"/>
        </w:rPr>
        <w:t xml:space="preserve"> </w:t>
      </w:r>
      <w:r>
        <w:t>to</w:t>
      </w:r>
      <w:r>
        <w:rPr>
          <w:spacing w:val="35"/>
        </w:rPr>
        <w:t xml:space="preserve"> </w:t>
      </w:r>
      <w:r>
        <w:rPr>
          <w:spacing w:val="-1"/>
        </w:rPr>
        <w:t>protect</w:t>
      </w:r>
      <w:r>
        <w:rPr>
          <w:spacing w:val="47"/>
        </w:rPr>
        <w:t xml:space="preserve"> </w:t>
      </w:r>
      <w:r>
        <w:rPr>
          <w:spacing w:val="-1"/>
        </w:rPr>
        <w:t>all</w:t>
      </w:r>
      <w:r>
        <w:rPr>
          <w:spacing w:val="45"/>
        </w:rPr>
        <w:t xml:space="preserve"> </w:t>
      </w:r>
      <w:r>
        <w:rPr>
          <w:spacing w:val="-1"/>
        </w:rPr>
        <w:t>aspects</w:t>
      </w:r>
      <w:r>
        <w:rPr>
          <w:spacing w:val="46"/>
        </w:rPr>
        <w:t xml:space="preserve"> </w:t>
      </w:r>
      <w:r>
        <w:rPr>
          <w:spacing w:val="-2"/>
        </w:rPr>
        <w:t>of</w:t>
      </w:r>
      <w:r>
        <w:rPr>
          <w:spacing w:val="45"/>
        </w:rPr>
        <w:t xml:space="preserve"> </w:t>
      </w:r>
      <w:r>
        <w:rPr>
          <w:spacing w:val="-1"/>
        </w:rPr>
        <w:t>the</w:t>
      </w:r>
      <w:r>
        <w:rPr>
          <w:spacing w:val="46"/>
        </w:rPr>
        <w:t xml:space="preserve"> </w:t>
      </w:r>
      <w:r>
        <w:rPr>
          <w:spacing w:val="-1"/>
        </w:rPr>
        <w:t>Goods</w:t>
      </w:r>
      <w:r>
        <w:rPr>
          <w:spacing w:val="46"/>
        </w:rPr>
        <w:t xml:space="preserve"> </w:t>
      </w:r>
      <w:r>
        <w:rPr>
          <w:spacing w:val="-1"/>
        </w:rPr>
        <w:t>and/or</w:t>
      </w:r>
      <w:r>
        <w:rPr>
          <w:spacing w:val="48"/>
        </w:rPr>
        <w:t xml:space="preserve"> </w:t>
      </w:r>
      <w:r>
        <w:rPr>
          <w:spacing w:val="-2"/>
        </w:rPr>
        <w:t>Services</w:t>
      </w:r>
      <w:r>
        <w:rPr>
          <w:spacing w:val="46"/>
        </w:rPr>
        <w:t xml:space="preserve"> </w:t>
      </w:r>
      <w:r>
        <w:rPr>
          <w:spacing w:val="-1"/>
        </w:rPr>
        <w:t>and</w:t>
      </w:r>
      <w:r>
        <w:rPr>
          <w:spacing w:val="46"/>
        </w:rPr>
        <w:t xml:space="preserve"> </w:t>
      </w:r>
      <w:r>
        <w:rPr>
          <w:spacing w:val="-1"/>
        </w:rPr>
        <w:t>all</w:t>
      </w:r>
      <w:r>
        <w:rPr>
          <w:spacing w:val="45"/>
        </w:rPr>
        <w:t xml:space="preserve"> </w:t>
      </w:r>
      <w:r>
        <w:rPr>
          <w:spacing w:val="-1"/>
        </w:rPr>
        <w:t>processes</w:t>
      </w:r>
      <w:r>
        <w:rPr>
          <w:spacing w:val="47"/>
        </w:rPr>
        <w:t xml:space="preserve"> </w:t>
      </w:r>
      <w:r>
        <w:rPr>
          <w:spacing w:val="-1"/>
        </w:rPr>
        <w:t>associated</w:t>
      </w:r>
      <w:r>
        <w:rPr>
          <w:spacing w:val="22"/>
        </w:rPr>
        <w:t xml:space="preserve"> </w:t>
      </w:r>
      <w:r>
        <w:rPr>
          <w:spacing w:val="-2"/>
        </w:rPr>
        <w:t>with</w:t>
      </w:r>
      <w:r>
        <w:rPr>
          <w:spacing w:val="22"/>
        </w:rPr>
        <w:t xml:space="preserve"> </w:t>
      </w:r>
      <w:r>
        <w:t>the</w:t>
      </w:r>
      <w:r>
        <w:rPr>
          <w:spacing w:val="23"/>
        </w:rPr>
        <w:t xml:space="preserve"> </w:t>
      </w:r>
      <w:r>
        <w:rPr>
          <w:spacing w:val="-1"/>
        </w:rPr>
        <w:t>provision</w:t>
      </w:r>
      <w:r>
        <w:rPr>
          <w:spacing w:val="22"/>
        </w:rPr>
        <w:t xml:space="preserve"> </w:t>
      </w:r>
      <w:r>
        <w:rPr>
          <w:spacing w:val="-1"/>
        </w:rPr>
        <w:t>of</w:t>
      </w:r>
      <w:r>
        <w:rPr>
          <w:spacing w:val="26"/>
        </w:rPr>
        <w:t xml:space="preserve"> </w:t>
      </w:r>
      <w:r>
        <w:t>the</w:t>
      </w:r>
      <w:r>
        <w:rPr>
          <w:spacing w:val="19"/>
        </w:rPr>
        <w:t xml:space="preserve"> </w:t>
      </w:r>
      <w:r>
        <w:rPr>
          <w:spacing w:val="-1"/>
        </w:rPr>
        <w:t>Goods</w:t>
      </w:r>
      <w:r>
        <w:rPr>
          <w:spacing w:val="22"/>
        </w:rPr>
        <w:t xml:space="preserve"> </w:t>
      </w:r>
      <w:r>
        <w:rPr>
          <w:spacing w:val="-1"/>
        </w:rPr>
        <w:t>and/or</w:t>
      </w:r>
      <w:r>
        <w:rPr>
          <w:spacing w:val="23"/>
        </w:rPr>
        <w:t xml:space="preserve"> </w:t>
      </w:r>
      <w:r>
        <w:rPr>
          <w:spacing w:val="-1"/>
        </w:rPr>
        <w:t>Services,</w:t>
      </w:r>
      <w:r>
        <w:rPr>
          <w:spacing w:val="24"/>
        </w:rPr>
        <w:t xml:space="preserve"> </w:t>
      </w:r>
      <w:r>
        <w:rPr>
          <w:spacing w:val="-2"/>
        </w:rPr>
        <w:t>including</w:t>
      </w:r>
      <w:r>
        <w:rPr>
          <w:spacing w:val="40"/>
        </w:rPr>
        <w:t xml:space="preserve"> </w:t>
      </w:r>
      <w:r>
        <w:t>the</w:t>
      </w:r>
      <w:r>
        <w:rPr>
          <w:spacing w:val="6"/>
        </w:rPr>
        <w:t xml:space="preserve"> </w:t>
      </w:r>
      <w:r>
        <w:rPr>
          <w:spacing w:val="-1"/>
        </w:rPr>
        <w:t>Customer</w:t>
      </w:r>
      <w:r>
        <w:rPr>
          <w:spacing w:val="8"/>
        </w:rPr>
        <w:t xml:space="preserve"> </w:t>
      </w:r>
      <w:r>
        <w:rPr>
          <w:spacing w:val="-1"/>
        </w:rPr>
        <w:t>Premises,</w:t>
      </w:r>
      <w:r>
        <w:rPr>
          <w:spacing w:val="8"/>
        </w:rPr>
        <w:t xml:space="preserve"> </w:t>
      </w:r>
      <w:r>
        <w:t>the</w:t>
      </w:r>
      <w:r>
        <w:rPr>
          <w:spacing w:val="6"/>
        </w:rPr>
        <w:t xml:space="preserve"> </w:t>
      </w:r>
      <w:r>
        <w:rPr>
          <w:spacing w:val="-1"/>
        </w:rPr>
        <w:t>Sites,</w:t>
      </w:r>
      <w:r>
        <w:rPr>
          <w:spacing w:val="8"/>
        </w:rPr>
        <w:t xml:space="preserve"> </w:t>
      </w:r>
      <w:r>
        <w:rPr>
          <w:spacing w:val="-1"/>
        </w:rPr>
        <w:t>any</w:t>
      </w:r>
      <w:r>
        <w:rPr>
          <w:spacing w:val="4"/>
        </w:rPr>
        <w:t xml:space="preserve"> </w:t>
      </w:r>
      <w:r>
        <w:t>ICT,</w:t>
      </w:r>
      <w:r>
        <w:rPr>
          <w:spacing w:val="8"/>
        </w:rPr>
        <w:t xml:space="preserve"> </w:t>
      </w:r>
      <w:r>
        <w:rPr>
          <w:spacing w:val="-1"/>
        </w:rPr>
        <w:t>information</w:t>
      </w:r>
      <w:r>
        <w:rPr>
          <w:spacing w:val="6"/>
        </w:rPr>
        <w:t xml:space="preserve"> </w:t>
      </w:r>
      <w:r>
        <w:rPr>
          <w:spacing w:val="-1"/>
        </w:rPr>
        <w:t>and</w:t>
      </w:r>
      <w:r>
        <w:rPr>
          <w:spacing w:val="6"/>
        </w:rPr>
        <w:t xml:space="preserve"> </w:t>
      </w:r>
      <w:r>
        <w:rPr>
          <w:spacing w:val="-1"/>
        </w:rPr>
        <w:t>data</w:t>
      </w:r>
      <w:r>
        <w:rPr>
          <w:spacing w:val="27"/>
        </w:rPr>
        <w:t xml:space="preserve"> </w:t>
      </w:r>
      <w:r>
        <w:rPr>
          <w:spacing w:val="-1"/>
        </w:rPr>
        <w:t>(including</w:t>
      </w:r>
      <w:r>
        <w:rPr>
          <w:spacing w:val="36"/>
        </w:rPr>
        <w:t xml:space="preserve"> </w:t>
      </w:r>
      <w:r>
        <w:t>the</w:t>
      </w:r>
      <w:r>
        <w:rPr>
          <w:spacing w:val="34"/>
        </w:rPr>
        <w:t xml:space="preserve"> </w:t>
      </w:r>
      <w:r>
        <w:rPr>
          <w:spacing w:val="-2"/>
        </w:rPr>
        <w:t>Customer’s</w:t>
      </w:r>
      <w:r>
        <w:rPr>
          <w:spacing w:val="34"/>
        </w:rPr>
        <w:t xml:space="preserve"> </w:t>
      </w:r>
      <w:r>
        <w:rPr>
          <w:spacing w:val="-1"/>
        </w:rPr>
        <w:t>Confidential</w:t>
      </w:r>
      <w:r>
        <w:rPr>
          <w:spacing w:val="33"/>
        </w:rPr>
        <w:t xml:space="preserve"> </w:t>
      </w:r>
      <w:r>
        <w:rPr>
          <w:spacing w:val="-1"/>
        </w:rPr>
        <w:t>Information</w:t>
      </w:r>
      <w:r>
        <w:rPr>
          <w:spacing w:val="34"/>
        </w:rPr>
        <w:t xml:space="preserve"> </w:t>
      </w:r>
      <w:r>
        <w:rPr>
          <w:spacing w:val="-1"/>
        </w:rPr>
        <w:t>and</w:t>
      </w:r>
      <w:r>
        <w:rPr>
          <w:spacing w:val="34"/>
        </w:rPr>
        <w:t xml:space="preserve"> </w:t>
      </w:r>
      <w:r>
        <w:t>the</w:t>
      </w:r>
      <w:r>
        <w:rPr>
          <w:spacing w:val="35"/>
        </w:rPr>
        <w:t xml:space="preserve"> </w:t>
      </w:r>
      <w:r>
        <w:rPr>
          <w:spacing w:val="-1"/>
        </w:rPr>
        <w:t>Customer</w:t>
      </w:r>
      <w:r>
        <w:rPr>
          <w:spacing w:val="35"/>
        </w:rPr>
        <w:t xml:space="preserve"> </w:t>
      </w:r>
      <w:r>
        <w:rPr>
          <w:spacing w:val="-1"/>
        </w:rPr>
        <w:t>Data)</w:t>
      </w:r>
      <w:r>
        <w:rPr>
          <w:spacing w:val="4"/>
        </w:rPr>
        <w:t xml:space="preserve"> </w:t>
      </w:r>
      <w:r>
        <w:t>to</w:t>
      </w:r>
      <w:r>
        <w:rPr>
          <w:spacing w:val="3"/>
        </w:rPr>
        <w:t xml:space="preserve"> </w:t>
      </w:r>
      <w:r>
        <w:rPr>
          <w:spacing w:val="-1"/>
        </w:rPr>
        <w:t>the</w:t>
      </w:r>
      <w:r>
        <w:rPr>
          <w:spacing w:val="3"/>
        </w:rPr>
        <w:t xml:space="preserve"> </w:t>
      </w:r>
      <w:r>
        <w:rPr>
          <w:spacing w:val="-1"/>
        </w:rPr>
        <w:t>extent</w:t>
      </w:r>
      <w:r>
        <w:rPr>
          <w:spacing w:val="4"/>
        </w:rPr>
        <w:t xml:space="preserve"> </w:t>
      </w:r>
      <w:r>
        <w:rPr>
          <w:spacing w:val="-1"/>
        </w:rPr>
        <w:t>used</w:t>
      </w:r>
      <w:r>
        <w:rPr>
          <w:spacing w:val="3"/>
        </w:rPr>
        <w:t xml:space="preserve"> </w:t>
      </w:r>
      <w:r>
        <w:rPr>
          <w:spacing w:val="-1"/>
        </w:rPr>
        <w:t>by</w:t>
      </w:r>
      <w:r>
        <w:rPr>
          <w:spacing w:val="1"/>
        </w:rPr>
        <w:t xml:space="preserve"> </w:t>
      </w:r>
      <w:r>
        <w:t>the</w:t>
      </w:r>
      <w:r>
        <w:rPr>
          <w:spacing w:val="3"/>
        </w:rPr>
        <w:t xml:space="preserve"> </w:t>
      </w:r>
      <w:r>
        <w:rPr>
          <w:spacing w:val="-1"/>
        </w:rPr>
        <w:t>Customer</w:t>
      </w:r>
      <w:r>
        <w:rPr>
          <w:spacing w:val="4"/>
        </w:rPr>
        <w:t xml:space="preserve"> </w:t>
      </w:r>
      <w:r>
        <w:rPr>
          <w:spacing w:val="-1"/>
        </w:rPr>
        <w:t>or</w:t>
      </w:r>
      <w:r>
        <w:rPr>
          <w:spacing w:val="2"/>
        </w:rPr>
        <w:t xml:space="preserve"> </w:t>
      </w:r>
      <w:r>
        <w:t>the</w:t>
      </w:r>
      <w:r>
        <w:rPr>
          <w:spacing w:val="3"/>
        </w:rPr>
        <w:t xml:space="preserve"> </w:t>
      </w:r>
      <w:r>
        <w:rPr>
          <w:spacing w:val="-2"/>
        </w:rPr>
        <w:t>Supplier</w:t>
      </w:r>
      <w:r>
        <w:rPr>
          <w:spacing w:val="4"/>
        </w:rPr>
        <w:t xml:space="preserve"> </w:t>
      </w:r>
      <w:r>
        <w:rPr>
          <w:spacing w:val="-1"/>
        </w:rPr>
        <w:t>in</w:t>
      </w:r>
      <w:r>
        <w:rPr>
          <w:spacing w:val="3"/>
        </w:rPr>
        <w:t xml:space="preserve"> </w:t>
      </w:r>
      <w:r>
        <w:rPr>
          <w:spacing w:val="-1"/>
        </w:rPr>
        <w:t>connection</w:t>
      </w:r>
      <w:r>
        <w:rPr>
          <w:spacing w:val="42"/>
        </w:rPr>
        <w:t xml:space="preserve"> </w:t>
      </w:r>
      <w:r>
        <w:rPr>
          <w:spacing w:val="-1"/>
        </w:rPr>
        <w:t>with</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2"/>
          <w:numId w:val="14"/>
        </w:numPr>
        <w:tabs>
          <w:tab w:val="left" w:pos="2026"/>
        </w:tabs>
        <w:spacing w:before="121"/>
        <w:ind w:right="125"/>
        <w:jc w:val="left"/>
      </w:pPr>
      <w:r>
        <w:rPr>
          <w:spacing w:val="-1"/>
        </w:rPr>
        <w:t>meet</w:t>
      </w:r>
      <w:r>
        <w:rPr>
          <w:spacing w:val="30"/>
        </w:rPr>
        <w:t xml:space="preserve"> </w:t>
      </w:r>
      <w:r>
        <w:t>the</w:t>
      </w:r>
      <w:r>
        <w:rPr>
          <w:spacing w:val="29"/>
        </w:rPr>
        <w:t xml:space="preserve"> </w:t>
      </w:r>
      <w:r>
        <w:rPr>
          <w:spacing w:val="-2"/>
        </w:rPr>
        <w:t>relevant</w:t>
      </w:r>
      <w:r>
        <w:rPr>
          <w:spacing w:val="33"/>
        </w:rPr>
        <w:t xml:space="preserve"> </w:t>
      </w:r>
      <w:r>
        <w:rPr>
          <w:spacing w:val="-1"/>
        </w:rPr>
        <w:t>standards</w:t>
      </w:r>
      <w:r>
        <w:rPr>
          <w:spacing w:val="32"/>
        </w:rPr>
        <w:t xml:space="preserve"> </w:t>
      </w:r>
      <w:r>
        <w:rPr>
          <w:spacing w:val="-1"/>
        </w:rPr>
        <w:t>in</w:t>
      </w:r>
      <w:r>
        <w:rPr>
          <w:spacing w:val="29"/>
        </w:rPr>
        <w:t xml:space="preserve"> </w:t>
      </w:r>
      <w:r>
        <w:rPr>
          <w:spacing w:val="-1"/>
        </w:rPr>
        <w:t>ISO/IEC</w:t>
      </w:r>
      <w:r>
        <w:rPr>
          <w:spacing w:val="31"/>
        </w:rPr>
        <w:t xml:space="preserve"> </w:t>
      </w:r>
      <w:r>
        <w:rPr>
          <w:spacing w:val="-2"/>
        </w:rPr>
        <w:t>27001</w:t>
      </w:r>
      <w:r>
        <w:rPr>
          <w:spacing w:val="30"/>
        </w:rPr>
        <w:t xml:space="preserve"> </w:t>
      </w:r>
      <w:r>
        <w:rPr>
          <w:spacing w:val="-1"/>
        </w:rPr>
        <w:t>and</w:t>
      </w:r>
      <w:r>
        <w:rPr>
          <w:spacing w:val="32"/>
        </w:rPr>
        <w:t xml:space="preserve"> </w:t>
      </w:r>
      <w:r>
        <w:rPr>
          <w:spacing w:val="-1"/>
        </w:rPr>
        <w:t>ISO/IEC27002</w:t>
      </w:r>
      <w:r>
        <w:rPr>
          <w:spacing w:val="32"/>
        </w:rPr>
        <w:t xml:space="preserve"> </w:t>
      </w:r>
      <w:r>
        <w:rPr>
          <w:spacing w:val="-1"/>
        </w:rPr>
        <w:t>in</w:t>
      </w:r>
      <w:r>
        <w:rPr>
          <w:spacing w:val="45"/>
        </w:rPr>
        <w:t xml:space="preserve"> </w:t>
      </w:r>
      <w:r>
        <w:rPr>
          <w:spacing w:val="-1"/>
        </w:rPr>
        <w:t>accordance</w:t>
      </w:r>
      <w:r>
        <w:rPr>
          <w:spacing w:val="-2"/>
        </w:rPr>
        <w:t xml:space="preserve"> with</w:t>
      </w:r>
      <w:r>
        <w:t xml:space="preserve"> </w:t>
      </w:r>
      <w:r>
        <w:rPr>
          <w:spacing w:val="-1"/>
        </w:rPr>
        <w:t>Paragrap</w:t>
      </w:r>
      <w:hyperlink w:anchor="_bookmark347" w:history="1">
        <w:r>
          <w:rPr>
            <w:spacing w:val="-1"/>
          </w:rPr>
          <w:t>h</w:t>
        </w:r>
        <w:r>
          <w:t xml:space="preserve"> </w:t>
        </w:r>
        <w:r>
          <w:rPr>
            <w:spacing w:val="-1"/>
          </w:rPr>
          <w:t>7</w:t>
        </w:r>
      </w:hyperlink>
      <w:r>
        <w:rPr>
          <w:spacing w:val="-1"/>
        </w:rPr>
        <w:t>;and</w:t>
      </w:r>
    </w:p>
    <w:p w:rsidR="008918FA" w:rsidRDefault="008918FA" w:rsidP="008918FA">
      <w:pPr>
        <w:pStyle w:val="BodyText"/>
        <w:numPr>
          <w:ilvl w:val="2"/>
          <w:numId w:val="14"/>
        </w:numPr>
        <w:tabs>
          <w:tab w:val="left" w:pos="2026"/>
        </w:tabs>
        <w:spacing w:before="121"/>
        <w:jc w:val="left"/>
      </w:pPr>
      <w:r>
        <w:rPr>
          <w:spacing w:val="-1"/>
        </w:rPr>
        <w:t>at</w:t>
      </w:r>
      <w:r>
        <w:rPr>
          <w:spacing w:val="2"/>
        </w:rPr>
        <w:t xml:space="preserve"> </w:t>
      </w:r>
      <w:r>
        <w:rPr>
          <w:spacing w:val="-1"/>
        </w:rPr>
        <w:t>all</w:t>
      </w:r>
      <w:r>
        <w:t xml:space="preserve"> </w:t>
      </w:r>
      <w:r>
        <w:rPr>
          <w:spacing w:val="-1"/>
        </w:rPr>
        <w:t>times</w:t>
      </w:r>
      <w:r>
        <w:rPr>
          <w:spacing w:val="1"/>
        </w:rPr>
        <w:t xml:space="preserve"> </w:t>
      </w:r>
      <w:r>
        <w:rPr>
          <w:spacing w:val="-2"/>
        </w:rPr>
        <w:t>provide</w:t>
      </w:r>
      <w:r>
        <w:t xml:space="preserve"> a </w:t>
      </w:r>
      <w:r>
        <w:rPr>
          <w:spacing w:val="-2"/>
        </w:rPr>
        <w:t>level</w:t>
      </w:r>
      <w:r>
        <w:t xml:space="preserve"> </w:t>
      </w:r>
      <w:r>
        <w:rPr>
          <w:spacing w:val="-2"/>
        </w:rPr>
        <w:t>of</w:t>
      </w:r>
      <w:r>
        <w:rPr>
          <w:spacing w:val="4"/>
        </w:rPr>
        <w:t xml:space="preserve"> </w:t>
      </w:r>
      <w:r>
        <w:rPr>
          <w:spacing w:val="-1"/>
        </w:rPr>
        <w:t>security</w:t>
      </w:r>
      <w:r>
        <w:rPr>
          <w:spacing w:val="-2"/>
        </w:rPr>
        <w:t xml:space="preserve"> which:</w:t>
      </w:r>
    </w:p>
    <w:p w:rsidR="008918FA" w:rsidRDefault="008918FA" w:rsidP="008918FA">
      <w:pPr>
        <w:pStyle w:val="BodyText"/>
        <w:numPr>
          <w:ilvl w:val="3"/>
          <w:numId w:val="14"/>
        </w:numPr>
        <w:tabs>
          <w:tab w:val="left" w:pos="2734"/>
        </w:tabs>
        <w:ind w:hanging="568"/>
        <w:jc w:val="left"/>
      </w:pPr>
      <w:r>
        <w:rPr>
          <w:spacing w:val="-1"/>
        </w:rPr>
        <w:t>is</w:t>
      </w:r>
      <w:r>
        <w:rPr>
          <w:spacing w:val="1"/>
        </w:rPr>
        <w:t xml:space="preserve"> </w:t>
      </w:r>
      <w:r>
        <w:rPr>
          <w:spacing w:val="-1"/>
        </w:rPr>
        <w:t>in</w:t>
      </w:r>
      <w:r>
        <w:t xml:space="preserve"> </w:t>
      </w:r>
      <w:r>
        <w:rPr>
          <w:spacing w:val="-1"/>
        </w:rPr>
        <w:t>accordance</w:t>
      </w:r>
      <w:r>
        <w:rPr>
          <w:spacing w:val="1"/>
        </w:rPr>
        <w:t xml:space="preserve"> </w:t>
      </w:r>
      <w:r>
        <w:rPr>
          <w:spacing w:val="-2"/>
        </w:rPr>
        <w:t>with</w:t>
      </w:r>
      <w:r>
        <w:t xml:space="preserve"> the</w:t>
      </w:r>
      <w:r>
        <w:rPr>
          <w:spacing w:val="-1"/>
        </w:rPr>
        <w:t xml:space="preserve"> Law</w:t>
      </w:r>
      <w:r>
        <w:rPr>
          <w:spacing w:val="-3"/>
        </w:rPr>
        <w:t xml:space="preserve"> </w:t>
      </w:r>
      <w:r>
        <w:rPr>
          <w:spacing w:val="-1"/>
        </w:rPr>
        <w:t>and</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Contract;</w:t>
      </w:r>
    </w:p>
    <w:p w:rsidR="008918FA" w:rsidRDefault="008918FA" w:rsidP="008918FA">
      <w:pPr>
        <w:pStyle w:val="BodyText"/>
        <w:numPr>
          <w:ilvl w:val="3"/>
          <w:numId w:val="14"/>
        </w:numPr>
        <w:tabs>
          <w:tab w:val="left" w:pos="2734"/>
        </w:tabs>
        <w:ind w:left="2733"/>
        <w:jc w:val="left"/>
      </w:pPr>
      <w:r>
        <w:rPr>
          <w:spacing w:val="-1"/>
        </w:rPr>
        <w:t>as</w:t>
      </w:r>
      <w:r>
        <w:rPr>
          <w:spacing w:val="1"/>
        </w:rPr>
        <w:t xml:space="preserve"> </w:t>
      </w:r>
      <w:r>
        <w:t>a</w:t>
      </w:r>
      <w:r>
        <w:rPr>
          <w:spacing w:val="-2"/>
        </w:rPr>
        <w:t xml:space="preserve"> </w:t>
      </w:r>
      <w:r>
        <w:rPr>
          <w:spacing w:val="-1"/>
        </w:rPr>
        <w:t>minimum demonstrates</w:t>
      </w:r>
      <w:r>
        <w:rPr>
          <w:spacing w:val="-2"/>
        </w:rPr>
        <w:t xml:space="preserve"> </w:t>
      </w:r>
      <w:r>
        <w:rPr>
          <w:spacing w:val="-1"/>
        </w:rPr>
        <w:t>Good</w:t>
      </w:r>
      <w:r>
        <w:rPr>
          <w:spacing w:val="-2"/>
        </w:rPr>
        <w:t xml:space="preserve"> </w:t>
      </w:r>
      <w:r>
        <w:rPr>
          <w:spacing w:val="-1"/>
        </w:rPr>
        <w:t>Industry</w:t>
      </w:r>
      <w:r>
        <w:rPr>
          <w:spacing w:val="-2"/>
        </w:rPr>
        <w:t xml:space="preserve"> Practice;</w:t>
      </w:r>
    </w:p>
    <w:p w:rsidR="008918FA" w:rsidRDefault="008918FA" w:rsidP="008918FA">
      <w:pPr>
        <w:sectPr w:rsidR="008918FA">
          <w:pgSz w:w="11910" w:h="16840"/>
          <w:pgMar w:top="1480" w:right="1300" w:bottom="1160" w:left="1540" w:header="0" w:footer="967" w:gutter="0"/>
          <w:cols w:space="720"/>
        </w:sectPr>
      </w:pPr>
    </w:p>
    <w:p w:rsidR="008918FA" w:rsidRDefault="008918FA" w:rsidP="008918FA">
      <w:pPr>
        <w:pStyle w:val="BodyText"/>
        <w:numPr>
          <w:ilvl w:val="3"/>
          <w:numId w:val="14"/>
        </w:numPr>
        <w:tabs>
          <w:tab w:val="left" w:pos="2595"/>
        </w:tabs>
        <w:spacing w:before="59"/>
        <w:ind w:left="2594"/>
        <w:jc w:val="left"/>
      </w:pPr>
      <w:r>
        <w:rPr>
          <w:spacing w:val="-1"/>
        </w:rPr>
        <w:t>complies</w:t>
      </w:r>
      <w:r>
        <w:rPr>
          <w:spacing w:val="1"/>
        </w:rPr>
        <w:t xml:space="preserve"> </w:t>
      </w:r>
      <w:r>
        <w:rPr>
          <w:spacing w:val="-2"/>
        </w:rPr>
        <w:t>with</w:t>
      </w:r>
      <w:r>
        <w:t xml:space="preserve"> the</w:t>
      </w:r>
      <w:r>
        <w:rPr>
          <w:spacing w:val="1"/>
        </w:rPr>
        <w:t xml:space="preserve"> </w:t>
      </w:r>
      <w:r>
        <w:rPr>
          <w:spacing w:val="-2"/>
        </w:rPr>
        <w:t xml:space="preserve">Security </w:t>
      </w:r>
      <w:r>
        <w:rPr>
          <w:spacing w:val="-1"/>
        </w:rPr>
        <w:t>Policy;</w:t>
      </w:r>
    </w:p>
    <w:p w:rsidR="008918FA" w:rsidRDefault="008918FA" w:rsidP="008918FA">
      <w:pPr>
        <w:pStyle w:val="BodyText"/>
        <w:numPr>
          <w:ilvl w:val="3"/>
          <w:numId w:val="14"/>
        </w:numPr>
        <w:tabs>
          <w:tab w:val="left" w:pos="2594"/>
          <w:tab w:val="left" w:pos="8415"/>
        </w:tabs>
        <w:ind w:right="114" w:hanging="707"/>
        <w:jc w:val="both"/>
      </w:pPr>
      <w:r>
        <w:rPr>
          <w:spacing w:val="-1"/>
        </w:rPr>
        <w:t>complies</w:t>
      </w:r>
      <w:r>
        <w:rPr>
          <w:spacing w:val="39"/>
        </w:rPr>
        <w:t xml:space="preserve"> </w:t>
      </w:r>
      <w:r>
        <w:rPr>
          <w:spacing w:val="-2"/>
        </w:rPr>
        <w:t>with</w:t>
      </w:r>
      <w:r>
        <w:rPr>
          <w:spacing w:val="38"/>
        </w:rPr>
        <w:t xml:space="preserve"> </w:t>
      </w:r>
      <w:r>
        <w:rPr>
          <w:spacing w:val="-1"/>
        </w:rPr>
        <w:t>at</w:t>
      </w:r>
      <w:r>
        <w:rPr>
          <w:spacing w:val="40"/>
        </w:rPr>
        <w:t xml:space="preserve"> </w:t>
      </w:r>
      <w:r>
        <w:rPr>
          <w:spacing w:val="-1"/>
        </w:rPr>
        <w:t>least</w:t>
      </w:r>
      <w:r>
        <w:rPr>
          <w:spacing w:val="40"/>
        </w:rPr>
        <w:t xml:space="preserve"> </w:t>
      </w:r>
      <w:r>
        <w:t>the</w:t>
      </w:r>
      <w:r>
        <w:rPr>
          <w:spacing w:val="38"/>
        </w:rPr>
        <w:t xml:space="preserve"> </w:t>
      </w:r>
      <w:r>
        <w:rPr>
          <w:spacing w:val="-1"/>
        </w:rPr>
        <w:t>minimum</w:t>
      </w:r>
      <w:r>
        <w:rPr>
          <w:spacing w:val="40"/>
        </w:rPr>
        <w:t xml:space="preserve"> </w:t>
      </w:r>
      <w:r>
        <w:rPr>
          <w:spacing w:val="-2"/>
        </w:rPr>
        <w:t>set</w:t>
      </w:r>
      <w:r>
        <w:rPr>
          <w:spacing w:val="41"/>
        </w:rPr>
        <w:t xml:space="preserve"> </w:t>
      </w:r>
      <w:r>
        <w:rPr>
          <w:spacing w:val="-2"/>
        </w:rPr>
        <w:t>of</w:t>
      </w:r>
      <w:r>
        <w:rPr>
          <w:spacing w:val="42"/>
        </w:rPr>
        <w:t xml:space="preserve"> </w:t>
      </w:r>
      <w:r>
        <w:rPr>
          <w:spacing w:val="-2"/>
        </w:rPr>
        <w:t>security</w:t>
      </w:r>
      <w:r>
        <w:rPr>
          <w:spacing w:val="36"/>
        </w:rPr>
        <w:t xml:space="preserve"> </w:t>
      </w:r>
      <w:r>
        <w:rPr>
          <w:spacing w:val="-1"/>
        </w:rPr>
        <w:t>measures</w:t>
      </w:r>
      <w:r>
        <w:rPr>
          <w:spacing w:val="38"/>
        </w:rPr>
        <w:t xml:space="preserve"> </w:t>
      </w:r>
      <w:r>
        <w:rPr>
          <w:spacing w:val="-1"/>
        </w:rPr>
        <w:t>and</w:t>
      </w:r>
      <w:r>
        <w:rPr>
          <w:spacing w:val="5"/>
        </w:rPr>
        <w:t xml:space="preserve"> </w:t>
      </w:r>
      <w:r>
        <w:rPr>
          <w:spacing w:val="-1"/>
        </w:rPr>
        <w:t>standards</w:t>
      </w:r>
      <w:r>
        <w:rPr>
          <w:spacing w:val="5"/>
        </w:rPr>
        <w:t xml:space="preserve"> </w:t>
      </w:r>
      <w:r>
        <w:rPr>
          <w:spacing w:val="-2"/>
        </w:rPr>
        <w:t>as</w:t>
      </w:r>
      <w:r>
        <w:rPr>
          <w:spacing w:val="5"/>
        </w:rPr>
        <w:t xml:space="preserve"> </w:t>
      </w:r>
      <w:r>
        <w:rPr>
          <w:spacing w:val="-2"/>
        </w:rPr>
        <w:t>determined</w:t>
      </w:r>
      <w:r>
        <w:rPr>
          <w:spacing w:val="5"/>
        </w:rPr>
        <w:t xml:space="preserve"> </w:t>
      </w:r>
      <w:r>
        <w:rPr>
          <w:spacing w:val="-1"/>
        </w:rPr>
        <w:t>by</w:t>
      </w:r>
      <w:r>
        <w:rPr>
          <w:spacing w:val="3"/>
        </w:rPr>
        <w:t xml:space="preserve"> </w:t>
      </w:r>
      <w:r>
        <w:t>the</w:t>
      </w:r>
      <w:r>
        <w:rPr>
          <w:spacing w:val="5"/>
        </w:rPr>
        <w:t xml:space="preserve"> </w:t>
      </w:r>
      <w:r>
        <w:rPr>
          <w:spacing w:val="-1"/>
        </w:rPr>
        <w:t>Security</w:t>
      </w:r>
      <w:r>
        <w:rPr>
          <w:spacing w:val="3"/>
        </w:rPr>
        <w:t xml:space="preserve"> </w:t>
      </w:r>
      <w:r>
        <w:rPr>
          <w:spacing w:val="-2"/>
        </w:rPr>
        <w:t>Policy</w:t>
      </w:r>
      <w:r>
        <w:rPr>
          <w:spacing w:val="3"/>
        </w:rPr>
        <w:t xml:space="preserve"> </w:t>
      </w:r>
      <w:r>
        <w:rPr>
          <w:spacing w:val="-1"/>
        </w:rPr>
        <w:t>Framework</w:t>
      </w:r>
      <w:r>
        <w:rPr>
          <w:spacing w:val="47"/>
        </w:rPr>
        <w:t xml:space="preserve"> </w:t>
      </w:r>
      <w:r>
        <w:rPr>
          <w:spacing w:val="-1"/>
          <w:w w:val="95"/>
        </w:rPr>
        <w:t>(Tiers</w:t>
      </w:r>
      <w:r>
        <w:rPr>
          <w:spacing w:val="-1"/>
          <w:w w:val="95"/>
        </w:rPr>
        <w:tab/>
      </w:r>
      <w:r>
        <w:rPr>
          <w:spacing w:val="-1"/>
        </w:rPr>
        <w:t>1-4)</w:t>
      </w:r>
    </w:p>
    <w:p w:rsidR="008918FA" w:rsidRDefault="00E32C6B" w:rsidP="008918FA">
      <w:pPr>
        <w:pStyle w:val="BodyText"/>
        <w:spacing w:before="1"/>
        <w:ind w:left="2593" w:right="157" w:firstLine="0"/>
        <w:jc w:val="both"/>
      </w:pPr>
      <w:hyperlink r:id="rId18">
        <w:r w:rsidR="008918FA">
          <w:rPr>
            <w:spacing w:val="-1"/>
          </w:rPr>
          <w:t>https://www.gov.uk/government/uploads/system/uploads/attach</w:t>
        </w:r>
      </w:hyperlink>
      <w:r w:rsidR="008918FA">
        <w:rPr>
          <w:spacing w:val="22"/>
        </w:rPr>
        <w:t xml:space="preserve"> </w:t>
      </w:r>
      <w:hyperlink r:id="rId19">
        <w:r w:rsidR="008918FA">
          <w:rPr>
            <w:spacing w:val="-1"/>
          </w:rPr>
          <w:t>ment_data/file/255910/HMG_Security_Policy_Framework_V11.</w:t>
        </w:r>
      </w:hyperlink>
      <w:r w:rsidR="008918FA">
        <w:rPr>
          <w:spacing w:val="29"/>
        </w:rPr>
        <w:t xml:space="preserve"> </w:t>
      </w:r>
      <w:hyperlink r:id="rId20">
        <w:r w:rsidR="008918FA">
          <w:rPr>
            <w:spacing w:val="-1"/>
          </w:rPr>
          <w:t>0.pdf</w:t>
        </w:r>
      </w:hyperlink>
      <w:r w:rsidR="008918FA">
        <w:rPr>
          <w:spacing w:val="2"/>
        </w:rPr>
        <w:t xml:space="preserve"> </w:t>
      </w:r>
      <w:r w:rsidR="008918FA">
        <w:t>;</w:t>
      </w:r>
    </w:p>
    <w:p w:rsidR="008918FA" w:rsidRDefault="008918FA" w:rsidP="008918FA">
      <w:pPr>
        <w:pStyle w:val="BodyText"/>
        <w:numPr>
          <w:ilvl w:val="3"/>
          <w:numId w:val="14"/>
        </w:numPr>
        <w:tabs>
          <w:tab w:val="left" w:pos="2594"/>
        </w:tabs>
        <w:spacing w:before="121"/>
        <w:ind w:right="115" w:hanging="707"/>
        <w:jc w:val="both"/>
      </w:pPr>
      <w:r>
        <w:rPr>
          <w:spacing w:val="-1"/>
        </w:rPr>
        <w:t>takes</w:t>
      </w:r>
      <w:r>
        <w:rPr>
          <w:spacing w:val="22"/>
        </w:rPr>
        <w:t xml:space="preserve"> </w:t>
      </w:r>
      <w:r>
        <w:rPr>
          <w:spacing w:val="-1"/>
        </w:rPr>
        <w:t>account</w:t>
      </w:r>
      <w:r>
        <w:rPr>
          <w:spacing w:val="23"/>
        </w:rPr>
        <w:t xml:space="preserve"> </w:t>
      </w:r>
      <w:r>
        <w:rPr>
          <w:spacing w:val="-2"/>
        </w:rPr>
        <w:t>of</w:t>
      </w:r>
      <w:r>
        <w:rPr>
          <w:spacing w:val="23"/>
        </w:rPr>
        <w:t xml:space="preserve"> </w:t>
      </w:r>
      <w:r>
        <w:rPr>
          <w:spacing w:val="-1"/>
        </w:rPr>
        <w:t>guidance</w:t>
      </w:r>
      <w:r>
        <w:rPr>
          <w:spacing w:val="22"/>
        </w:rPr>
        <w:t xml:space="preserve"> </w:t>
      </w:r>
      <w:r>
        <w:rPr>
          <w:spacing w:val="-1"/>
        </w:rPr>
        <w:t>issued</w:t>
      </w:r>
      <w:r>
        <w:rPr>
          <w:spacing w:val="22"/>
        </w:rPr>
        <w:t xml:space="preserve"> </w:t>
      </w:r>
      <w:r>
        <w:rPr>
          <w:spacing w:val="-1"/>
        </w:rPr>
        <w:t>by</w:t>
      </w:r>
      <w:r>
        <w:rPr>
          <w:spacing w:val="20"/>
        </w:rPr>
        <w:t xml:space="preserve"> </w:t>
      </w:r>
      <w:r>
        <w:t>the</w:t>
      </w:r>
      <w:r>
        <w:rPr>
          <w:spacing w:val="22"/>
        </w:rPr>
        <w:t xml:space="preserve"> </w:t>
      </w:r>
      <w:r>
        <w:rPr>
          <w:spacing w:val="-1"/>
        </w:rPr>
        <w:t>Centre</w:t>
      </w:r>
      <w:r>
        <w:rPr>
          <w:spacing w:val="22"/>
        </w:rPr>
        <w:t xml:space="preserve"> </w:t>
      </w:r>
      <w:r>
        <w:t>for</w:t>
      </w:r>
      <w:r>
        <w:rPr>
          <w:spacing w:val="23"/>
        </w:rPr>
        <w:t xml:space="preserve"> </w:t>
      </w:r>
      <w:r>
        <w:rPr>
          <w:spacing w:val="-1"/>
        </w:rPr>
        <w:t>Protection</w:t>
      </w:r>
      <w:r>
        <w:rPr>
          <w:spacing w:val="30"/>
        </w:rPr>
        <w:t xml:space="preserve"> </w:t>
      </w:r>
      <w:r>
        <w:rPr>
          <w:spacing w:val="-2"/>
        </w:rPr>
        <w:t>of</w:t>
      </w:r>
      <w:r>
        <w:rPr>
          <w:spacing w:val="30"/>
        </w:rPr>
        <w:t xml:space="preserve"> </w:t>
      </w:r>
      <w:r>
        <w:rPr>
          <w:spacing w:val="-1"/>
        </w:rPr>
        <w:t>National</w:t>
      </w:r>
      <w:r>
        <w:rPr>
          <w:spacing w:val="25"/>
        </w:rPr>
        <w:t xml:space="preserve"> </w:t>
      </w:r>
      <w:r>
        <w:rPr>
          <w:spacing w:val="-1"/>
        </w:rPr>
        <w:t>Infrastructure</w:t>
      </w:r>
      <w:r>
        <w:rPr>
          <w:spacing w:val="26"/>
        </w:rPr>
        <w:t xml:space="preserve"> </w:t>
      </w:r>
      <w:r>
        <w:rPr>
          <w:spacing w:val="-1"/>
        </w:rPr>
        <w:t>on</w:t>
      </w:r>
      <w:r>
        <w:rPr>
          <w:spacing w:val="26"/>
        </w:rPr>
        <w:t xml:space="preserve"> </w:t>
      </w:r>
      <w:r>
        <w:rPr>
          <w:spacing w:val="-2"/>
        </w:rPr>
        <w:t>Risk</w:t>
      </w:r>
      <w:r>
        <w:rPr>
          <w:spacing w:val="29"/>
        </w:rPr>
        <w:t xml:space="preserve"> </w:t>
      </w:r>
      <w:r>
        <w:rPr>
          <w:spacing w:val="-1"/>
        </w:rPr>
        <w:t>Management</w:t>
      </w:r>
      <w:r>
        <w:rPr>
          <w:spacing w:val="23"/>
        </w:rPr>
        <w:t xml:space="preserve"> </w:t>
      </w:r>
      <w:hyperlink r:id="rId21">
        <w:r>
          <w:rPr>
            <w:spacing w:val="-1"/>
          </w:rPr>
          <w:t>http://www.cpni.gov.uk/Documents/Publications/2005/2005003-</w:t>
        </w:r>
      </w:hyperlink>
    </w:p>
    <w:p w:rsidR="008918FA" w:rsidRDefault="00E32C6B" w:rsidP="008918FA">
      <w:pPr>
        <w:pStyle w:val="BodyText"/>
        <w:spacing w:before="0" w:line="252" w:lineRule="exact"/>
        <w:ind w:left="2593" w:firstLine="0"/>
        <w:jc w:val="both"/>
      </w:pPr>
      <w:hyperlink r:id="rId22">
        <w:r w:rsidR="008918FA">
          <w:rPr>
            <w:spacing w:val="-1"/>
          </w:rPr>
          <w:t>Risk_management.pdf</w:t>
        </w:r>
      </w:hyperlink>
    </w:p>
    <w:p w:rsidR="008918FA" w:rsidRDefault="008918FA" w:rsidP="008918FA">
      <w:pPr>
        <w:pStyle w:val="BodyText"/>
        <w:numPr>
          <w:ilvl w:val="3"/>
          <w:numId w:val="14"/>
        </w:numPr>
        <w:tabs>
          <w:tab w:val="left" w:pos="2595"/>
          <w:tab w:val="left" w:pos="7708"/>
        </w:tabs>
        <w:ind w:left="2594" w:right="116"/>
        <w:jc w:val="both"/>
      </w:pPr>
      <w:r>
        <w:rPr>
          <w:spacing w:val="-1"/>
        </w:rPr>
        <w:t>complies</w:t>
      </w:r>
      <w:r>
        <w:rPr>
          <w:spacing w:val="18"/>
        </w:rPr>
        <w:t xml:space="preserve"> </w:t>
      </w:r>
      <w:r>
        <w:rPr>
          <w:spacing w:val="-2"/>
        </w:rPr>
        <w:t>with</w:t>
      </w:r>
      <w:r>
        <w:rPr>
          <w:spacing w:val="17"/>
        </w:rPr>
        <w:t xml:space="preserve"> </w:t>
      </w:r>
      <w:r>
        <w:rPr>
          <w:spacing w:val="-1"/>
        </w:rPr>
        <w:t>HMG</w:t>
      </w:r>
      <w:r>
        <w:rPr>
          <w:spacing w:val="19"/>
        </w:rPr>
        <w:t xml:space="preserve"> </w:t>
      </w:r>
      <w:r>
        <w:rPr>
          <w:spacing w:val="-1"/>
        </w:rPr>
        <w:t>Information</w:t>
      </w:r>
      <w:r>
        <w:rPr>
          <w:spacing w:val="17"/>
        </w:rPr>
        <w:t xml:space="preserve"> </w:t>
      </w:r>
      <w:r>
        <w:rPr>
          <w:spacing w:val="-1"/>
        </w:rPr>
        <w:t>Assurance</w:t>
      </w:r>
      <w:r>
        <w:rPr>
          <w:spacing w:val="18"/>
        </w:rPr>
        <w:t xml:space="preserve"> </w:t>
      </w:r>
      <w:r>
        <w:rPr>
          <w:spacing w:val="-1"/>
        </w:rPr>
        <w:t>Maturity</w:t>
      </w:r>
      <w:r>
        <w:rPr>
          <w:spacing w:val="18"/>
        </w:rPr>
        <w:t xml:space="preserve"> </w:t>
      </w:r>
      <w:r>
        <w:rPr>
          <w:spacing w:val="-2"/>
        </w:rPr>
        <w:t>Model</w:t>
      </w:r>
      <w:r>
        <w:rPr>
          <w:spacing w:val="17"/>
        </w:rPr>
        <w:t xml:space="preserve"> </w:t>
      </w:r>
      <w:r>
        <w:rPr>
          <w:spacing w:val="-1"/>
        </w:rPr>
        <w:t>and</w:t>
      </w:r>
      <w:r>
        <w:rPr>
          <w:spacing w:val="32"/>
        </w:rPr>
        <w:t xml:space="preserve"> </w:t>
      </w:r>
      <w:r>
        <w:rPr>
          <w:spacing w:val="-1"/>
        </w:rPr>
        <w:t>Assurance</w:t>
      </w:r>
      <w:r>
        <w:rPr>
          <w:spacing w:val="-1"/>
        </w:rPr>
        <w:tab/>
      </w:r>
      <w:r>
        <w:rPr>
          <w:spacing w:val="-2"/>
        </w:rPr>
        <w:t>Framework</w:t>
      </w:r>
    </w:p>
    <w:p w:rsidR="008918FA" w:rsidRDefault="00E32C6B" w:rsidP="008918FA">
      <w:pPr>
        <w:pStyle w:val="BodyText"/>
        <w:spacing w:before="0"/>
        <w:ind w:left="2594" w:right="998" w:firstLine="0"/>
      </w:pPr>
      <w:hyperlink r:id="rId23">
        <w:r w:rsidR="008918FA">
          <w:rPr>
            <w:spacing w:val="-1"/>
          </w:rPr>
          <w:t>http://www.cesg.gov.uk/publications/Documents/iamm-</w:t>
        </w:r>
      </w:hyperlink>
      <w:r w:rsidR="008918FA">
        <w:rPr>
          <w:spacing w:val="30"/>
        </w:rPr>
        <w:t xml:space="preserve"> </w:t>
      </w:r>
      <w:hyperlink r:id="rId24">
        <w:r w:rsidR="008918FA">
          <w:rPr>
            <w:spacing w:val="-1"/>
          </w:rPr>
          <w:t>assessment-framework.pdf</w:t>
        </w:r>
      </w:hyperlink>
    </w:p>
    <w:p w:rsidR="008918FA" w:rsidRDefault="008918FA" w:rsidP="008918FA">
      <w:pPr>
        <w:pStyle w:val="BodyText"/>
        <w:numPr>
          <w:ilvl w:val="3"/>
          <w:numId w:val="14"/>
        </w:numPr>
        <w:tabs>
          <w:tab w:val="left" w:pos="2595"/>
        </w:tabs>
        <w:ind w:left="2594" w:right="112"/>
        <w:jc w:val="both"/>
      </w:pPr>
      <w:r>
        <w:rPr>
          <w:spacing w:val="-1"/>
        </w:rPr>
        <w:t>meets</w:t>
      </w:r>
      <w:r>
        <w:rPr>
          <w:spacing w:val="32"/>
        </w:rPr>
        <w:t xml:space="preserve"> </w:t>
      </w:r>
      <w:r>
        <w:rPr>
          <w:spacing w:val="-1"/>
        </w:rPr>
        <w:t>any</w:t>
      </w:r>
      <w:r>
        <w:rPr>
          <w:spacing w:val="32"/>
        </w:rPr>
        <w:t xml:space="preserve"> </w:t>
      </w:r>
      <w:r>
        <w:rPr>
          <w:spacing w:val="-1"/>
        </w:rPr>
        <w:t>specific</w:t>
      </w:r>
      <w:r>
        <w:rPr>
          <w:spacing w:val="34"/>
        </w:rPr>
        <w:t xml:space="preserve"> </w:t>
      </w:r>
      <w:r>
        <w:rPr>
          <w:spacing w:val="-1"/>
        </w:rPr>
        <w:t>security</w:t>
      </w:r>
      <w:r>
        <w:rPr>
          <w:spacing w:val="32"/>
        </w:rPr>
        <w:t xml:space="preserve"> </w:t>
      </w:r>
      <w:r>
        <w:rPr>
          <w:spacing w:val="-1"/>
        </w:rPr>
        <w:t>threats</w:t>
      </w:r>
      <w:r>
        <w:rPr>
          <w:spacing w:val="35"/>
        </w:rPr>
        <w:t xml:space="preserve"> </w:t>
      </w:r>
      <w:r>
        <w:rPr>
          <w:spacing w:val="-2"/>
        </w:rPr>
        <w:t>of</w:t>
      </w:r>
      <w:r>
        <w:rPr>
          <w:spacing w:val="35"/>
        </w:rPr>
        <w:t xml:space="preserve"> </w:t>
      </w:r>
      <w:r>
        <w:rPr>
          <w:spacing w:val="-1"/>
        </w:rPr>
        <w:t>immediate</w:t>
      </w:r>
      <w:r>
        <w:rPr>
          <w:spacing w:val="32"/>
        </w:rPr>
        <w:t xml:space="preserve"> </w:t>
      </w:r>
      <w:r>
        <w:rPr>
          <w:spacing w:val="-2"/>
        </w:rPr>
        <w:t>relevance</w:t>
      </w:r>
      <w:r>
        <w:rPr>
          <w:spacing w:val="34"/>
        </w:rPr>
        <w:t xml:space="preserve"> </w:t>
      </w:r>
      <w:r>
        <w:t>to</w:t>
      </w:r>
      <w:r>
        <w:rPr>
          <w:spacing w:val="49"/>
        </w:rPr>
        <w:t xml:space="preserve"> </w:t>
      </w:r>
      <w:r>
        <w:t>the</w:t>
      </w:r>
      <w:r>
        <w:rPr>
          <w:spacing w:val="-2"/>
        </w:rPr>
        <w:t xml:space="preserve"> </w:t>
      </w:r>
      <w:r>
        <w:rPr>
          <w:spacing w:val="-1"/>
        </w:rPr>
        <w:t>Goods</w:t>
      </w:r>
      <w:r>
        <w:rPr>
          <w:spacing w:val="-2"/>
        </w:rPr>
        <w:t xml:space="preserve"> </w:t>
      </w:r>
      <w:r>
        <w:rPr>
          <w:spacing w:val="-1"/>
        </w:rPr>
        <w:t>and/or</w:t>
      </w:r>
      <w:r>
        <w:rPr>
          <w:spacing w:val="2"/>
        </w:rPr>
        <w:t xml:space="preserve"> </w:t>
      </w:r>
      <w:r>
        <w:rPr>
          <w:spacing w:val="-1"/>
        </w:rPr>
        <w:t>Services</w:t>
      </w:r>
      <w:r>
        <w:rPr>
          <w:spacing w:val="1"/>
        </w:rPr>
        <w:t xml:space="preserve"> </w:t>
      </w:r>
      <w:r>
        <w:rPr>
          <w:spacing w:val="-1"/>
        </w:rPr>
        <w:t>and/or</w:t>
      </w:r>
      <w:r>
        <w:rPr>
          <w:spacing w:val="2"/>
        </w:rPr>
        <w:t xml:space="preserve"> </w:t>
      </w:r>
      <w:r>
        <w:rPr>
          <w:spacing w:val="-2"/>
        </w:rPr>
        <w:t>Customer</w:t>
      </w:r>
      <w:r>
        <w:rPr>
          <w:spacing w:val="2"/>
        </w:rPr>
        <w:t xml:space="preserve"> </w:t>
      </w:r>
      <w:r>
        <w:rPr>
          <w:spacing w:val="-2"/>
        </w:rPr>
        <w:t>Data;</w:t>
      </w:r>
      <w:r>
        <w:rPr>
          <w:spacing w:val="3"/>
        </w:rPr>
        <w:t xml:space="preserve"> </w:t>
      </w:r>
      <w:r>
        <w:rPr>
          <w:spacing w:val="-1"/>
        </w:rPr>
        <w:t>and</w:t>
      </w:r>
    </w:p>
    <w:p w:rsidR="008918FA" w:rsidRDefault="008918FA" w:rsidP="008918FA">
      <w:pPr>
        <w:pStyle w:val="BodyText"/>
        <w:numPr>
          <w:ilvl w:val="3"/>
          <w:numId w:val="14"/>
        </w:numPr>
        <w:tabs>
          <w:tab w:val="left" w:pos="2595"/>
        </w:tabs>
        <w:ind w:left="2594"/>
        <w:jc w:val="left"/>
      </w:pPr>
      <w:r>
        <w:rPr>
          <w:spacing w:val="-1"/>
        </w:rPr>
        <w:t>complies</w:t>
      </w:r>
      <w:r>
        <w:rPr>
          <w:spacing w:val="1"/>
        </w:rPr>
        <w:t xml:space="preserve"> </w:t>
      </w:r>
      <w:r>
        <w:rPr>
          <w:spacing w:val="-2"/>
        </w:rPr>
        <w:t>with</w:t>
      </w:r>
      <w:r>
        <w:t xml:space="preserve"> the </w:t>
      </w:r>
      <w:r>
        <w:rPr>
          <w:spacing w:val="-2"/>
        </w:rPr>
        <w:t xml:space="preserve">Customer’s </w:t>
      </w:r>
      <w:r>
        <w:rPr>
          <w:spacing w:val="-1"/>
        </w:rPr>
        <w:t>ICT</w:t>
      </w:r>
      <w:r>
        <w:rPr>
          <w:spacing w:val="3"/>
        </w:rPr>
        <w:t xml:space="preserve"> </w:t>
      </w:r>
      <w:r>
        <w:rPr>
          <w:spacing w:val="-1"/>
        </w:rPr>
        <w:t>policies:</w:t>
      </w:r>
    </w:p>
    <w:p w:rsidR="008918FA" w:rsidRDefault="008918FA" w:rsidP="008918FA">
      <w:pPr>
        <w:pStyle w:val="BodyText"/>
        <w:numPr>
          <w:ilvl w:val="2"/>
          <w:numId w:val="14"/>
        </w:numPr>
        <w:tabs>
          <w:tab w:val="left" w:pos="1887"/>
        </w:tabs>
        <w:ind w:left="1886" w:right="118"/>
        <w:jc w:val="both"/>
      </w:pPr>
      <w:r>
        <w:rPr>
          <w:spacing w:val="-1"/>
        </w:rPr>
        <w:t>document</w:t>
      </w:r>
      <w:r>
        <w:rPr>
          <w:spacing w:val="40"/>
        </w:rPr>
        <w:t xml:space="preserve"> </w:t>
      </w:r>
      <w:r>
        <w:t>the</w:t>
      </w:r>
      <w:r>
        <w:rPr>
          <w:spacing w:val="41"/>
        </w:rPr>
        <w:t xml:space="preserve"> </w:t>
      </w:r>
      <w:r>
        <w:rPr>
          <w:spacing w:val="-1"/>
        </w:rPr>
        <w:t>security</w:t>
      </w:r>
      <w:r>
        <w:rPr>
          <w:spacing w:val="39"/>
        </w:rPr>
        <w:t xml:space="preserve"> </w:t>
      </w:r>
      <w:r>
        <w:rPr>
          <w:spacing w:val="-1"/>
        </w:rPr>
        <w:t>incident</w:t>
      </w:r>
      <w:r>
        <w:rPr>
          <w:spacing w:val="42"/>
        </w:rPr>
        <w:t xml:space="preserve"> </w:t>
      </w:r>
      <w:r>
        <w:rPr>
          <w:spacing w:val="-1"/>
        </w:rPr>
        <w:t>management</w:t>
      </w:r>
      <w:r>
        <w:rPr>
          <w:spacing w:val="42"/>
        </w:rPr>
        <w:t xml:space="preserve"> </w:t>
      </w:r>
      <w:r>
        <w:rPr>
          <w:spacing w:val="-1"/>
        </w:rPr>
        <w:t>processes</w:t>
      </w:r>
      <w:r>
        <w:rPr>
          <w:spacing w:val="41"/>
        </w:rPr>
        <w:t xml:space="preserve"> </w:t>
      </w:r>
      <w:r>
        <w:rPr>
          <w:spacing w:val="-1"/>
        </w:rPr>
        <w:t>and</w:t>
      </w:r>
      <w:r>
        <w:rPr>
          <w:spacing w:val="42"/>
        </w:rPr>
        <w:t xml:space="preserve"> </w:t>
      </w:r>
      <w:r>
        <w:rPr>
          <w:spacing w:val="-2"/>
        </w:rPr>
        <w:t>incident</w:t>
      </w:r>
      <w:r>
        <w:rPr>
          <w:spacing w:val="30"/>
        </w:rPr>
        <w:t xml:space="preserve"> </w:t>
      </w:r>
      <w:r>
        <w:rPr>
          <w:spacing w:val="-1"/>
        </w:rPr>
        <w:t>response</w:t>
      </w:r>
      <w:r>
        <w:rPr>
          <w:spacing w:val="1"/>
        </w:rPr>
        <w:t xml:space="preserve"> </w:t>
      </w:r>
      <w:r>
        <w:rPr>
          <w:spacing w:val="-2"/>
        </w:rPr>
        <w:t>plans;</w:t>
      </w:r>
    </w:p>
    <w:p w:rsidR="008918FA" w:rsidRDefault="008918FA" w:rsidP="008918FA">
      <w:pPr>
        <w:pStyle w:val="BodyText"/>
        <w:numPr>
          <w:ilvl w:val="2"/>
          <w:numId w:val="14"/>
        </w:numPr>
        <w:tabs>
          <w:tab w:val="left" w:pos="1887"/>
        </w:tabs>
        <w:ind w:left="1886" w:right="115"/>
        <w:jc w:val="both"/>
      </w:pPr>
      <w:r>
        <w:rPr>
          <w:spacing w:val="-1"/>
        </w:rPr>
        <w:t>document</w:t>
      </w:r>
      <w:r>
        <w:rPr>
          <w:spacing w:val="11"/>
        </w:rPr>
        <w:t xml:space="preserve"> </w:t>
      </w:r>
      <w:r>
        <w:t>the</w:t>
      </w:r>
      <w:r>
        <w:rPr>
          <w:spacing w:val="10"/>
        </w:rPr>
        <w:t xml:space="preserve"> </w:t>
      </w:r>
      <w:r>
        <w:rPr>
          <w:spacing w:val="-1"/>
        </w:rPr>
        <w:t>vulnerability</w:t>
      </w:r>
      <w:r>
        <w:rPr>
          <w:spacing w:val="10"/>
        </w:rPr>
        <w:t xml:space="preserve"> </w:t>
      </w:r>
      <w:r>
        <w:rPr>
          <w:spacing w:val="-1"/>
        </w:rPr>
        <w:t>management</w:t>
      </w:r>
      <w:r>
        <w:rPr>
          <w:spacing w:val="14"/>
        </w:rPr>
        <w:t xml:space="preserve"> </w:t>
      </w:r>
      <w:r>
        <w:rPr>
          <w:spacing w:val="-2"/>
        </w:rPr>
        <w:t>policy</w:t>
      </w:r>
      <w:r>
        <w:rPr>
          <w:spacing w:val="11"/>
        </w:rPr>
        <w:t xml:space="preserve"> </w:t>
      </w:r>
      <w:r>
        <w:rPr>
          <w:spacing w:val="-2"/>
        </w:rPr>
        <w:t>including</w:t>
      </w:r>
      <w:r>
        <w:rPr>
          <w:spacing w:val="15"/>
        </w:rPr>
        <w:t xml:space="preserve"> </w:t>
      </w:r>
      <w:r>
        <w:rPr>
          <w:spacing w:val="-1"/>
        </w:rPr>
        <w:t>processes</w:t>
      </w:r>
      <w:r>
        <w:rPr>
          <w:spacing w:val="10"/>
        </w:rPr>
        <w:t xml:space="preserve"> </w:t>
      </w:r>
      <w:r>
        <w:rPr>
          <w:spacing w:val="-1"/>
        </w:rPr>
        <w:t>for</w:t>
      </w:r>
      <w:r>
        <w:rPr>
          <w:spacing w:val="46"/>
        </w:rPr>
        <w:t xml:space="preserve"> </w:t>
      </w:r>
      <w:r>
        <w:rPr>
          <w:spacing w:val="-1"/>
        </w:rPr>
        <w:t>identification</w:t>
      </w:r>
      <w:r>
        <w:rPr>
          <w:spacing w:val="17"/>
        </w:rPr>
        <w:t xml:space="preserve"> </w:t>
      </w:r>
      <w:r>
        <w:rPr>
          <w:spacing w:val="-2"/>
        </w:rPr>
        <w:t>of</w:t>
      </w:r>
      <w:r>
        <w:rPr>
          <w:spacing w:val="19"/>
        </w:rPr>
        <w:t xml:space="preserve"> </w:t>
      </w:r>
      <w:r>
        <w:rPr>
          <w:spacing w:val="-1"/>
        </w:rPr>
        <w:t>system</w:t>
      </w:r>
      <w:r>
        <w:rPr>
          <w:spacing w:val="16"/>
        </w:rPr>
        <w:t xml:space="preserve"> </w:t>
      </w:r>
      <w:r>
        <w:rPr>
          <w:spacing w:val="-2"/>
        </w:rPr>
        <w:t>vulnerabilities</w:t>
      </w:r>
      <w:r>
        <w:rPr>
          <w:spacing w:val="18"/>
        </w:rPr>
        <w:t xml:space="preserve"> </w:t>
      </w:r>
      <w:r>
        <w:rPr>
          <w:spacing w:val="-1"/>
        </w:rPr>
        <w:t>and</w:t>
      </w:r>
      <w:r>
        <w:rPr>
          <w:spacing w:val="17"/>
        </w:rPr>
        <w:t xml:space="preserve"> </w:t>
      </w:r>
      <w:r>
        <w:rPr>
          <w:spacing w:val="-1"/>
        </w:rPr>
        <w:t>assessment</w:t>
      </w:r>
      <w:r>
        <w:rPr>
          <w:spacing w:val="16"/>
        </w:rPr>
        <w:t xml:space="preserve"> </w:t>
      </w:r>
      <w:r>
        <w:rPr>
          <w:spacing w:val="-2"/>
        </w:rPr>
        <w:t>of</w:t>
      </w:r>
      <w:r>
        <w:rPr>
          <w:spacing w:val="19"/>
        </w:rPr>
        <w:t xml:space="preserve"> </w:t>
      </w:r>
      <w:r>
        <w:t>the</w:t>
      </w:r>
      <w:r>
        <w:rPr>
          <w:spacing w:val="15"/>
        </w:rPr>
        <w:t xml:space="preserve"> </w:t>
      </w:r>
      <w:r>
        <w:rPr>
          <w:spacing w:val="-1"/>
        </w:rPr>
        <w:t>potential</w:t>
      </w:r>
      <w:r>
        <w:rPr>
          <w:spacing w:val="46"/>
        </w:rPr>
        <w:t xml:space="preserve"> </w:t>
      </w:r>
      <w:r>
        <w:rPr>
          <w:spacing w:val="-1"/>
        </w:rPr>
        <w:t>impact</w:t>
      </w:r>
      <w:r>
        <w:rPr>
          <w:spacing w:val="2"/>
        </w:rPr>
        <w:t xml:space="preserve"> </w:t>
      </w:r>
      <w:r>
        <w:rPr>
          <w:spacing w:val="-1"/>
        </w:rPr>
        <w:t>on</w:t>
      </w:r>
      <w:r>
        <w:rPr>
          <w:spacing w:val="-2"/>
        </w:rPr>
        <w:t xml:space="preserve"> </w:t>
      </w:r>
      <w:r>
        <w:t xml:space="preserve">the </w:t>
      </w:r>
      <w:r>
        <w:rPr>
          <w:spacing w:val="-1"/>
        </w:rPr>
        <w:t>Goods</w:t>
      </w:r>
      <w:r>
        <w:rPr>
          <w:spacing w:val="1"/>
        </w:rPr>
        <w:t xml:space="preserve"> </w:t>
      </w:r>
      <w:r>
        <w:rPr>
          <w:spacing w:val="-1"/>
        </w:rPr>
        <w:t>and/or</w:t>
      </w:r>
      <w:r>
        <w:rPr>
          <w:spacing w:val="2"/>
        </w:rPr>
        <w:t xml:space="preserve"> </w:t>
      </w:r>
      <w:r>
        <w:rPr>
          <w:spacing w:val="-1"/>
        </w:rPr>
        <w:t>Services</w:t>
      </w:r>
      <w:r>
        <w:rPr>
          <w:spacing w:val="1"/>
        </w:rPr>
        <w:t xml:space="preserve"> </w:t>
      </w:r>
      <w:r>
        <w:rPr>
          <w:spacing w:val="-2"/>
        </w:rPr>
        <w:t>of</w:t>
      </w:r>
      <w:r>
        <w:rPr>
          <w:spacing w:val="4"/>
        </w:rPr>
        <w:t xml:space="preserve"> </w:t>
      </w:r>
      <w:r>
        <w:rPr>
          <w:spacing w:val="-1"/>
        </w:rPr>
        <w:t>any</w:t>
      </w:r>
      <w:r>
        <w:rPr>
          <w:spacing w:val="-2"/>
        </w:rPr>
        <w:t xml:space="preserve"> </w:t>
      </w:r>
      <w:r>
        <w:rPr>
          <w:spacing w:val="-1"/>
        </w:rPr>
        <w:t>new</w:t>
      </w:r>
      <w:r>
        <w:t xml:space="preserve"> </w:t>
      </w:r>
      <w:r>
        <w:rPr>
          <w:spacing w:val="-1"/>
        </w:rPr>
        <w:t>threat,</w:t>
      </w:r>
      <w:r>
        <w:rPr>
          <w:spacing w:val="2"/>
        </w:rPr>
        <w:t xml:space="preserve"> </w:t>
      </w:r>
      <w:r>
        <w:rPr>
          <w:spacing w:val="-2"/>
        </w:rPr>
        <w:t xml:space="preserve">vulnerability </w:t>
      </w:r>
      <w:r>
        <w:rPr>
          <w:spacing w:val="-1"/>
        </w:rPr>
        <w:t>or</w:t>
      </w:r>
      <w:r>
        <w:rPr>
          <w:spacing w:val="44"/>
        </w:rPr>
        <w:t xml:space="preserve"> </w:t>
      </w:r>
      <w:r>
        <w:rPr>
          <w:spacing w:val="-1"/>
        </w:rPr>
        <w:t>exploitation</w:t>
      </w:r>
      <w:r>
        <w:t xml:space="preserve"> </w:t>
      </w:r>
      <w:r>
        <w:rPr>
          <w:spacing w:val="-1"/>
        </w:rPr>
        <w:t>technique</w:t>
      </w:r>
      <w:r>
        <w:rPr>
          <w:spacing w:val="-2"/>
        </w:rPr>
        <w:t xml:space="preserve"> of</w:t>
      </w:r>
      <w:r>
        <w:t xml:space="preserve"> </w:t>
      </w:r>
      <w:r>
        <w:rPr>
          <w:spacing w:val="-1"/>
        </w:rPr>
        <w:t>which</w:t>
      </w:r>
      <w:r>
        <w:rPr>
          <w:spacing w:val="1"/>
        </w:rPr>
        <w:t xml:space="preserve"> </w:t>
      </w:r>
      <w:r>
        <w:t xml:space="preserve">the </w:t>
      </w:r>
      <w:r>
        <w:rPr>
          <w:spacing w:val="-1"/>
        </w:rPr>
        <w:t>Supplier</w:t>
      </w:r>
      <w:r>
        <w:rPr>
          <w:spacing w:val="2"/>
        </w:rPr>
        <w:t xml:space="preserve"> </w:t>
      </w:r>
      <w:r>
        <w:rPr>
          <w:spacing w:val="-2"/>
        </w:rPr>
        <w:t>becomes</w:t>
      </w:r>
      <w:r>
        <w:rPr>
          <w:spacing w:val="1"/>
        </w:rPr>
        <w:t xml:space="preserve"> </w:t>
      </w:r>
      <w:r>
        <w:rPr>
          <w:spacing w:val="-2"/>
        </w:rPr>
        <w:t>aware;</w:t>
      </w:r>
      <w:r>
        <w:t xml:space="preserve"> </w:t>
      </w:r>
      <w:r>
        <w:rPr>
          <w:spacing w:val="-1"/>
        </w:rPr>
        <w:t>and</w:t>
      </w:r>
    </w:p>
    <w:p w:rsidR="008918FA" w:rsidRDefault="008918FA" w:rsidP="008918FA">
      <w:pPr>
        <w:pStyle w:val="BodyText"/>
        <w:numPr>
          <w:ilvl w:val="2"/>
          <w:numId w:val="14"/>
        </w:numPr>
        <w:tabs>
          <w:tab w:val="left" w:pos="1887"/>
        </w:tabs>
        <w:spacing w:before="121"/>
        <w:ind w:left="1886" w:right="113"/>
        <w:jc w:val="both"/>
      </w:pPr>
      <w:r>
        <w:rPr>
          <w:spacing w:val="-1"/>
        </w:rPr>
        <w:t>be</w:t>
      </w:r>
      <w:r>
        <w:rPr>
          <w:spacing w:val="12"/>
        </w:rPr>
        <w:t xml:space="preserve"> </w:t>
      </w:r>
      <w:r>
        <w:rPr>
          <w:spacing w:val="-1"/>
        </w:rPr>
        <w:t>certified</w:t>
      </w:r>
      <w:r>
        <w:rPr>
          <w:spacing w:val="12"/>
        </w:rPr>
        <w:t xml:space="preserve"> </w:t>
      </w:r>
      <w:r>
        <w:rPr>
          <w:spacing w:val="-1"/>
        </w:rPr>
        <w:t>by</w:t>
      </w:r>
      <w:r>
        <w:rPr>
          <w:spacing w:val="10"/>
        </w:rPr>
        <w:t xml:space="preserve"> </w:t>
      </w:r>
      <w:r>
        <w:rPr>
          <w:spacing w:val="-1"/>
        </w:rPr>
        <w:t>(or</w:t>
      </w:r>
      <w:r>
        <w:rPr>
          <w:spacing w:val="11"/>
        </w:rPr>
        <w:t xml:space="preserve"> </w:t>
      </w:r>
      <w:r>
        <w:rPr>
          <w:spacing w:val="-1"/>
        </w:rPr>
        <w:t>by</w:t>
      </w:r>
      <w:r>
        <w:rPr>
          <w:spacing w:val="10"/>
        </w:rPr>
        <w:t xml:space="preserve"> </w:t>
      </w:r>
      <w:r>
        <w:t>a</w:t>
      </w:r>
      <w:r>
        <w:rPr>
          <w:spacing w:val="12"/>
        </w:rPr>
        <w:t xml:space="preserve"> </w:t>
      </w:r>
      <w:r>
        <w:rPr>
          <w:spacing w:val="-1"/>
        </w:rPr>
        <w:t>person</w:t>
      </w:r>
      <w:r>
        <w:rPr>
          <w:spacing w:val="12"/>
        </w:rPr>
        <w:t xml:space="preserve"> </w:t>
      </w:r>
      <w:r>
        <w:rPr>
          <w:spacing w:val="-2"/>
        </w:rPr>
        <w:t>with</w:t>
      </w:r>
      <w:r>
        <w:rPr>
          <w:spacing w:val="12"/>
        </w:rPr>
        <w:t xml:space="preserve"> </w:t>
      </w:r>
      <w:r>
        <w:t>the</w:t>
      </w:r>
      <w:r>
        <w:rPr>
          <w:spacing w:val="12"/>
        </w:rPr>
        <w:t xml:space="preserve"> </w:t>
      </w:r>
      <w:r>
        <w:rPr>
          <w:spacing w:val="-2"/>
        </w:rPr>
        <w:t>direct</w:t>
      </w:r>
      <w:r>
        <w:rPr>
          <w:spacing w:val="12"/>
        </w:rPr>
        <w:t xml:space="preserve"> </w:t>
      </w:r>
      <w:r>
        <w:rPr>
          <w:spacing w:val="-1"/>
        </w:rPr>
        <w:t>delegated</w:t>
      </w:r>
      <w:r>
        <w:rPr>
          <w:spacing w:val="12"/>
        </w:rPr>
        <w:t xml:space="preserve"> </w:t>
      </w:r>
      <w:r>
        <w:rPr>
          <w:spacing w:val="-1"/>
        </w:rPr>
        <w:t>authority</w:t>
      </w:r>
      <w:r>
        <w:rPr>
          <w:spacing w:val="10"/>
        </w:rPr>
        <w:t xml:space="preserve"> </w:t>
      </w:r>
      <w:r>
        <w:rPr>
          <w:spacing w:val="-1"/>
        </w:rPr>
        <w:t>of)</w:t>
      </w:r>
      <w:r>
        <w:rPr>
          <w:spacing w:val="14"/>
        </w:rPr>
        <w:t xml:space="preserve"> </w:t>
      </w:r>
      <w:r>
        <w:t>a</w:t>
      </w:r>
      <w:r>
        <w:rPr>
          <w:spacing w:val="49"/>
        </w:rPr>
        <w:t xml:space="preserve"> </w:t>
      </w:r>
      <w:r>
        <w:rPr>
          <w:spacing w:val="-2"/>
        </w:rPr>
        <w:t>Supplier’s</w:t>
      </w:r>
      <w:r>
        <w:rPr>
          <w:spacing w:val="55"/>
        </w:rPr>
        <w:t xml:space="preserve"> </w:t>
      </w:r>
      <w:r>
        <w:rPr>
          <w:spacing w:val="-1"/>
        </w:rPr>
        <w:t>main</w:t>
      </w:r>
      <w:r>
        <w:rPr>
          <w:spacing w:val="54"/>
        </w:rPr>
        <w:t xml:space="preserve"> </w:t>
      </w:r>
      <w:r>
        <w:rPr>
          <w:spacing w:val="-1"/>
        </w:rPr>
        <w:t>board</w:t>
      </w:r>
      <w:r>
        <w:rPr>
          <w:spacing w:val="52"/>
        </w:rPr>
        <w:t xml:space="preserve"> </w:t>
      </w:r>
      <w:r>
        <w:rPr>
          <w:spacing w:val="-1"/>
        </w:rPr>
        <w:t>representative,</w:t>
      </w:r>
      <w:r>
        <w:rPr>
          <w:spacing w:val="56"/>
        </w:rPr>
        <w:t xml:space="preserve"> </w:t>
      </w:r>
      <w:r>
        <w:rPr>
          <w:spacing w:val="-1"/>
        </w:rPr>
        <w:t>being</w:t>
      </w:r>
      <w:r>
        <w:rPr>
          <w:spacing w:val="54"/>
        </w:rPr>
        <w:t xml:space="preserve"> </w:t>
      </w:r>
      <w:r>
        <w:t>the</w:t>
      </w:r>
      <w:r>
        <w:rPr>
          <w:spacing w:val="52"/>
        </w:rPr>
        <w:t xml:space="preserve"> </w:t>
      </w:r>
      <w:r>
        <w:rPr>
          <w:spacing w:val="-2"/>
        </w:rPr>
        <w:t>“Chief</w:t>
      </w:r>
      <w:r>
        <w:rPr>
          <w:spacing w:val="59"/>
        </w:rPr>
        <w:t xml:space="preserve"> </w:t>
      </w:r>
      <w:r>
        <w:rPr>
          <w:spacing w:val="-1"/>
        </w:rPr>
        <w:t>Security</w:t>
      </w:r>
      <w:r>
        <w:rPr>
          <w:spacing w:val="37"/>
        </w:rPr>
        <w:t xml:space="preserve"> </w:t>
      </w:r>
      <w:r>
        <w:rPr>
          <w:spacing w:val="-1"/>
        </w:rPr>
        <w:t>Officer”,</w:t>
      </w:r>
      <w:r>
        <w:rPr>
          <w:spacing w:val="19"/>
        </w:rPr>
        <w:t xml:space="preserve"> </w:t>
      </w:r>
      <w:r>
        <w:rPr>
          <w:spacing w:val="-2"/>
        </w:rPr>
        <w:t>“Chief</w:t>
      </w:r>
      <w:r>
        <w:rPr>
          <w:spacing w:val="21"/>
        </w:rPr>
        <w:t xml:space="preserve"> </w:t>
      </w:r>
      <w:r>
        <w:rPr>
          <w:spacing w:val="-1"/>
        </w:rPr>
        <w:t>Information</w:t>
      </w:r>
      <w:r>
        <w:rPr>
          <w:spacing w:val="17"/>
        </w:rPr>
        <w:t xml:space="preserve"> </w:t>
      </w:r>
      <w:r>
        <w:rPr>
          <w:spacing w:val="-1"/>
        </w:rPr>
        <w:t>Officer”,</w:t>
      </w:r>
      <w:r>
        <w:rPr>
          <w:spacing w:val="19"/>
        </w:rPr>
        <w:t xml:space="preserve"> </w:t>
      </w:r>
      <w:r>
        <w:rPr>
          <w:spacing w:val="-2"/>
        </w:rPr>
        <w:t>“Chief</w:t>
      </w:r>
      <w:r>
        <w:rPr>
          <w:spacing w:val="19"/>
        </w:rPr>
        <w:t xml:space="preserve"> </w:t>
      </w:r>
      <w:r>
        <w:rPr>
          <w:spacing w:val="-1"/>
        </w:rPr>
        <w:t>Technical</w:t>
      </w:r>
      <w:r>
        <w:rPr>
          <w:spacing w:val="17"/>
        </w:rPr>
        <w:t xml:space="preserve"> </w:t>
      </w:r>
      <w:r>
        <w:rPr>
          <w:spacing w:val="-1"/>
        </w:rPr>
        <w:t>Officer”</w:t>
      </w:r>
      <w:r>
        <w:rPr>
          <w:spacing w:val="19"/>
        </w:rPr>
        <w:t xml:space="preserve"> </w:t>
      </w:r>
      <w:r>
        <w:rPr>
          <w:spacing w:val="-1"/>
        </w:rPr>
        <w:t>or</w:t>
      </w:r>
      <w:r>
        <w:rPr>
          <w:spacing w:val="19"/>
        </w:rPr>
        <w:t xml:space="preserve"> </w:t>
      </w:r>
      <w:r>
        <w:rPr>
          <w:spacing w:val="-2"/>
        </w:rPr>
        <w:t>“Chief</w:t>
      </w:r>
      <w:r>
        <w:rPr>
          <w:spacing w:val="61"/>
        </w:rPr>
        <w:t xml:space="preserve"> </w:t>
      </w:r>
      <w:r>
        <w:rPr>
          <w:spacing w:val="-1"/>
        </w:rPr>
        <w:t>Financial</w:t>
      </w:r>
      <w:r>
        <w:rPr>
          <w:spacing w:val="21"/>
        </w:rPr>
        <w:t xml:space="preserve"> </w:t>
      </w:r>
      <w:r>
        <w:rPr>
          <w:spacing w:val="-1"/>
        </w:rPr>
        <w:t>Officer”</w:t>
      </w:r>
      <w:r>
        <w:rPr>
          <w:spacing w:val="21"/>
        </w:rPr>
        <w:t xml:space="preserve"> </w:t>
      </w:r>
      <w:r>
        <w:rPr>
          <w:spacing w:val="-1"/>
        </w:rPr>
        <w:t>(or</w:t>
      </w:r>
      <w:r>
        <w:rPr>
          <w:spacing w:val="23"/>
        </w:rPr>
        <w:t xml:space="preserve"> </w:t>
      </w:r>
      <w:r>
        <w:rPr>
          <w:spacing w:val="-2"/>
        </w:rPr>
        <w:t>equivalent</w:t>
      </w:r>
      <w:r>
        <w:rPr>
          <w:spacing w:val="23"/>
        </w:rPr>
        <w:t xml:space="preserve"> </w:t>
      </w:r>
      <w:r>
        <w:rPr>
          <w:spacing w:val="-1"/>
        </w:rPr>
        <w:t>as</w:t>
      </w:r>
      <w:r>
        <w:rPr>
          <w:spacing w:val="22"/>
        </w:rPr>
        <w:t xml:space="preserve"> </w:t>
      </w:r>
      <w:r>
        <w:rPr>
          <w:spacing w:val="-1"/>
        </w:rPr>
        <w:t>agreed</w:t>
      </w:r>
      <w:r>
        <w:rPr>
          <w:spacing w:val="19"/>
        </w:rPr>
        <w:t xml:space="preserve"> </w:t>
      </w:r>
      <w:r>
        <w:rPr>
          <w:spacing w:val="-1"/>
        </w:rPr>
        <w:t>in</w:t>
      </w:r>
      <w:r>
        <w:rPr>
          <w:spacing w:val="22"/>
        </w:rPr>
        <w:t xml:space="preserve"> </w:t>
      </w:r>
      <w:r>
        <w:rPr>
          <w:spacing w:val="-2"/>
        </w:rPr>
        <w:t>writing</w:t>
      </w:r>
      <w:r>
        <w:rPr>
          <w:spacing w:val="24"/>
        </w:rPr>
        <w:t xml:space="preserve"> </w:t>
      </w:r>
      <w:r>
        <w:rPr>
          <w:spacing w:val="-1"/>
        </w:rPr>
        <w:t>by</w:t>
      </w:r>
      <w:r>
        <w:rPr>
          <w:spacing w:val="20"/>
        </w:rPr>
        <w:t xml:space="preserve"> </w:t>
      </w:r>
      <w:r>
        <w:t>the</w:t>
      </w:r>
      <w:r>
        <w:rPr>
          <w:spacing w:val="22"/>
        </w:rPr>
        <w:t xml:space="preserve"> </w:t>
      </w:r>
      <w:r>
        <w:rPr>
          <w:spacing w:val="-2"/>
        </w:rPr>
        <w:t>Customer</w:t>
      </w:r>
      <w:r>
        <w:rPr>
          <w:spacing w:val="64"/>
        </w:rPr>
        <w:t xml:space="preserve"> </w:t>
      </w:r>
      <w:r>
        <w:rPr>
          <w:spacing w:val="-1"/>
        </w:rPr>
        <w:t>in</w:t>
      </w:r>
      <w:r>
        <w:t xml:space="preserve"> </w:t>
      </w:r>
      <w:r>
        <w:rPr>
          <w:spacing w:val="-2"/>
        </w:rPr>
        <w:t>advance</w:t>
      </w:r>
      <w:r>
        <w:rPr>
          <w:spacing w:val="1"/>
        </w:rPr>
        <w:t xml:space="preserve"> </w:t>
      </w:r>
      <w:r>
        <w:rPr>
          <w:spacing w:val="-2"/>
        </w:rPr>
        <w:t>of</w:t>
      </w:r>
      <w:r>
        <w:rPr>
          <w:spacing w:val="4"/>
        </w:rPr>
        <w:t xml:space="preserve"> </w:t>
      </w:r>
      <w:r>
        <w:rPr>
          <w:spacing w:val="-1"/>
        </w:rPr>
        <w:t>issue</w:t>
      </w:r>
      <w:r>
        <w:rPr>
          <w:spacing w:val="-2"/>
        </w:rPr>
        <w:t xml:space="preserve"> of</w:t>
      </w:r>
      <w:r>
        <w:rPr>
          <w:spacing w:val="2"/>
        </w:rPr>
        <w:t xml:space="preserve"> </w:t>
      </w:r>
      <w:r>
        <w:rPr>
          <w:spacing w:val="-1"/>
        </w:rPr>
        <w:t>the</w:t>
      </w:r>
      <w:r>
        <w:t xml:space="preserve"> </w:t>
      </w:r>
      <w:r>
        <w:rPr>
          <w:spacing w:val="-2"/>
        </w:rPr>
        <w:t>relevant</w:t>
      </w:r>
      <w:r>
        <w:rPr>
          <w:spacing w:val="2"/>
        </w:rPr>
        <w:t xml:space="preserve"> </w:t>
      </w:r>
      <w:r>
        <w:rPr>
          <w:spacing w:val="-1"/>
        </w:rPr>
        <w:t>Security</w:t>
      </w:r>
      <w:r>
        <w:rPr>
          <w:spacing w:val="-2"/>
        </w:rPr>
        <w:t xml:space="preserve"> </w:t>
      </w:r>
      <w:r>
        <w:rPr>
          <w:spacing w:val="-1"/>
        </w:rPr>
        <w:t>Management</w:t>
      </w:r>
      <w:r>
        <w:t xml:space="preserve"> </w:t>
      </w:r>
      <w:r>
        <w:rPr>
          <w:spacing w:val="-1"/>
        </w:rPr>
        <w:t>Plan).</w:t>
      </w:r>
    </w:p>
    <w:p w:rsidR="008918FA" w:rsidRDefault="008918FA" w:rsidP="008918FA">
      <w:pPr>
        <w:pStyle w:val="BodyText"/>
        <w:numPr>
          <w:ilvl w:val="1"/>
          <w:numId w:val="14"/>
        </w:numPr>
        <w:tabs>
          <w:tab w:val="left" w:pos="689"/>
        </w:tabs>
        <w:spacing w:before="121"/>
        <w:ind w:left="688" w:right="113"/>
        <w:jc w:val="both"/>
      </w:pPr>
      <w:r>
        <w:rPr>
          <w:spacing w:val="-1"/>
        </w:rPr>
        <w:t>Subject</w:t>
      </w:r>
      <w:r>
        <w:rPr>
          <w:spacing w:val="49"/>
        </w:rPr>
        <w:t xml:space="preserve"> </w:t>
      </w:r>
      <w:r>
        <w:t>to</w:t>
      </w:r>
      <w:r>
        <w:rPr>
          <w:spacing w:val="47"/>
        </w:rPr>
        <w:t xml:space="preserve"> </w:t>
      </w:r>
      <w:r>
        <w:rPr>
          <w:spacing w:val="-2"/>
        </w:rPr>
        <w:t>Clause</w:t>
      </w:r>
      <w:r>
        <w:rPr>
          <w:spacing w:val="1"/>
        </w:rPr>
        <w:t xml:space="preserve"> </w:t>
      </w:r>
      <w:hyperlink w:anchor="_bookmark179" w:history="1">
        <w:r>
          <w:rPr>
            <w:spacing w:val="-1"/>
          </w:rPr>
          <w:t>34</w:t>
        </w:r>
      </w:hyperlink>
      <w:r>
        <w:rPr>
          <w:spacing w:val="-2"/>
        </w:rPr>
        <w:t xml:space="preserve"> of</w:t>
      </w:r>
      <w:r>
        <w:rPr>
          <w:spacing w:val="48"/>
        </w:rPr>
        <w:t xml:space="preserve"> </w:t>
      </w:r>
      <w:r>
        <w:rPr>
          <w:spacing w:val="-1"/>
        </w:rPr>
        <w:t>this</w:t>
      </w:r>
      <w:r>
        <w:rPr>
          <w:spacing w:val="48"/>
        </w:rPr>
        <w:t xml:space="preserve"> </w:t>
      </w:r>
      <w:r>
        <w:rPr>
          <w:spacing w:val="-2"/>
        </w:rPr>
        <w:t>Call</w:t>
      </w:r>
      <w:r>
        <w:rPr>
          <w:spacing w:val="46"/>
        </w:rPr>
        <w:t xml:space="preserve"> </w:t>
      </w:r>
      <w:r>
        <w:t>Off</w:t>
      </w:r>
      <w:r>
        <w:rPr>
          <w:spacing w:val="51"/>
        </w:rPr>
        <w:t xml:space="preserve"> </w:t>
      </w:r>
      <w:r>
        <w:rPr>
          <w:spacing w:val="-2"/>
        </w:rPr>
        <w:t>Contract</w:t>
      </w:r>
      <w:r>
        <w:rPr>
          <w:spacing w:val="51"/>
        </w:rPr>
        <w:t xml:space="preserve"> </w:t>
      </w:r>
      <w:r>
        <w:rPr>
          <w:spacing w:val="-1"/>
        </w:rPr>
        <w:t>(Security</w:t>
      </w:r>
      <w:r>
        <w:rPr>
          <w:spacing w:val="45"/>
        </w:rPr>
        <w:t xml:space="preserve"> </w:t>
      </w:r>
      <w:r>
        <w:rPr>
          <w:spacing w:val="-1"/>
        </w:rPr>
        <w:t>and</w:t>
      </w:r>
      <w:r>
        <w:rPr>
          <w:spacing w:val="47"/>
        </w:rPr>
        <w:t xml:space="preserve"> </w:t>
      </w:r>
      <w:r>
        <w:rPr>
          <w:spacing w:val="-1"/>
        </w:rPr>
        <w:t>Protection</w:t>
      </w:r>
      <w:r>
        <w:rPr>
          <w:spacing w:val="47"/>
        </w:rPr>
        <w:t xml:space="preserve"> </w:t>
      </w:r>
      <w:r>
        <w:rPr>
          <w:spacing w:val="-1"/>
        </w:rPr>
        <w:t>of</w:t>
      </w:r>
      <w:r>
        <w:rPr>
          <w:spacing w:val="64"/>
        </w:rPr>
        <w:t xml:space="preserve"> </w:t>
      </w:r>
      <w:r>
        <w:rPr>
          <w:spacing w:val="-1"/>
        </w:rPr>
        <w:t>Information)</w:t>
      </w:r>
      <w:r>
        <w:rPr>
          <w:spacing w:val="30"/>
        </w:rPr>
        <w:t xml:space="preserve"> </w:t>
      </w:r>
      <w:r>
        <w:t>the</w:t>
      </w:r>
      <w:r>
        <w:rPr>
          <w:spacing w:val="29"/>
        </w:rPr>
        <w:t xml:space="preserve"> </w:t>
      </w:r>
      <w:r>
        <w:rPr>
          <w:spacing w:val="-1"/>
        </w:rPr>
        <w:t>references</w:t>
      </w:r>
      <w:r>
        <w:rPr>
          <w:spacing w:val="30"/>
        </w:rPr>
        <w:t xml:space="preserve"> </w:t>
      </w:r>
      <w:r>
        <w:t>to</w:t>
      </w:r>
      <w:r>
        <w:rPr>
          <w:spacing w:val="29"/>
        </w:rPr>
        <w:t xml:space="preserve"> </w:t>
      </w:r>
      <w:r>
        <w:rPr>
          <w:spacing w:val="-1"/>
        </w:rPr>
        <w:t>Standards,</w:t>
      </w:r>
      <w:r>
        <w:rPr>
          <w:spacing w:val="28"/>
        </w:rPr>
        <w:t xml:space="preserve"> </w:t>
      </w:r>
      <w:r>
        <w:rPr>
          <w:spacing w:val="-1"/>
        </w:rPr>
        <w:t>guidance</w:t>
      </w:r>
      <w:r>
        <w:rPr>
          <w:spacing w:val="30"/>
        </w:rPr>
        <w:t xml:space="preserve"> </w:t>
      </w:r>
      <w:r>
        <w:rPr>
          <w:spacing w:val="-1"/>
        </w:rPr>
        <w:t>and</w:t>
      </w:r>
      <w:r>
        <w:rPr>
          <w:spacing w:val="29"/>
        </w:rPr>
        <w:t xml:space="preserve"> </w:t>
      </w:r>
      <w:r>
        <w:rPr>
          <w:spacing w:val="-2"/>
        </w:rPr>
        <w:t>policies</w:t>
      </w:r>
      <w:r>
        <w:rPr>
          <w:spacing w:val="31"/>
        </w:rPr>
        <w:t xml:space="preserve"> </w:t>
      </w:r>
      <w:r>
        <w:rPr>
          <w:spacing w:val="-1"/>
        </w:rPr>
        <w:t>contained</w:t>
      </w:r>
      <w:r>
        <w:rPr>
          <w:spacing w:val="29"/>
        </w:rPr>
        <w:t xml:space="preserve"> </w:t>
      </w:r>
      <w:r>
        <w:rPr>
          <w:spacing w:val="-1"/>
        </w:rPr>
        <w:t>or</w:t>
      </w:r>
      <w:r>
        <w:rPr>
          <w:spacing w:val="30"/>
        </w:rPr>
        <w:t xml:space="preserve"> </w:t>
      </w:r>
      <w:r>
        <w:rPr>
          <w:spacing w:val="-1"/>
        </w:rPr>
        <w:t>set</w:t>
      </w:r>
      <w:r>
        <w:rPr>
          <w:spacing w:val="57"/>
        </w:rPr>
        <w:t xml:space="preserve"> </w:t>
      </w:r>
      <w:r>
        <w:rPr>
          <w:spacing w:val="-1"/>
        </w:rPr>
        <w:t>out</w:t>
      </w:r>
      <w:r>
        <w:rPr>
          <w:spacing w:val="11"/>
        </w:rPr>
        <w:t xml:space="preserve"> </w:t>
      </w:r>
      <w:r>
        <w:rPr>
          <w:spacing w:val="-1"/>
        </w:rPr>
        <w:t>in</w:t>
      </w:r>
      <w:r>
        <w:rPr>
          <w:spacing w:val="10"/>
        </w:rPr>
        <w:t xml:space="preserve"> </w:t>
      </w:r>
      <w:r>
        <w:rPr>
          <w:spacing w:val="-1"/>
        </w:rPr>
        <w:t>paragraph</w:t>
      </w:r>
      <w:r>
        <w:rPr>
          <w:spacing w:val="1"/>
        </w:rPr>
        <w:t xml:space="preserve"> </w:t>
      </w:r>
      <w:hyperlink w:anchor="_bookmark336" w:history="1">
        <w:r>
          <w:rPr>
            <w:spacing w:val="-1"/>
          </w:rPr>
          <w:t>3.3</w:t>
        </w:r>
      </w:hyperlink>
      <w:r>
        <w:rPr>
          <w:spacing w:val="10"/>
        </w:rPr>
        <w:t xml:space="preserve"> </w:t>
      </w:r>
      <w:r>
        <w:rPr>
          <w:spacing w:val="-2"/>
        </w:rPr>
        <w:t>of</w:t>
      </w:r>
      <w:r>
        <w:rPr>
          <w:spacing w:val="14"/>
        </w:rPr>
        <w:t xml:space="preserve"> </w:t>
      </w:r>
      <w:r>
        <w:rPr>
          <w:spacing w:val="-2"/>
        </w:rPr>
        <w:t>this</w:t>
      </w:r>
      <w:r>
        <w:rPr>
          <w:spacing w:val="10"/>
        </w:rPr>
        <w:t xml:space="preserve"> </w:t>
      </w:r>
      <w:r>
        <w:rPr>
          <w:spacing w:val="-2"/>
        </w:rPr>
        <w:t>Call</w:t>
      </w:r>
      <w:r>
        <w:rPr>
          <w:spacing w:val="12"/>
        </w:rPr>
        <w:t xml:space="preserve"> </w:t>
      </w:r>
      <w:r>
        <w:rPr>
          <w:spacing w:val="-1"/>
        </w:rPr>
        <w:t>Off</w:t>
      </w:r>
      <w:r>
        <w:rPr>
          <w:spacing w:val="14"/>
        </w:rPr>
        <w:t xml:space="preserve"> </w:t>
      </w:r>
      <w:r>
        <w:rPr>
          <w:spacing w:val="-1"/>
        </w:rPr>
        <w:t>Schedule</w:t>
      </w:r>
      <w:r>
        <w:rPr>
          <w:spacing w:val="11"/>
        </w:rPr>
        <w:t xml:space="preserve"> </w:t>
      </w:r>
      <w:r>
        <w:rPr>
          <w:spacing w:val="-2"/>
        </w:rPr>
        <w:t>shall</w:t>
      </w:r>
      <w:r>
        <w:rPr>
          <w:spacing w:val="9"/>
        </w:rPr>
        <w:t xml:space="preserve"> </w:t>
      </w:r>
      <w:r>
        <w:rPr>
          <w:spacing w:val="-1"/>
        </w:rPr>
        <w:t>be</w:t>
      </w:r>
      <w:r>
        <w:rPr>
          <w:spacing w:val="10"/>
        </w:rPr>
        <w:t xml:space="preserve"> </w:t>
      </w:r>
      <w:r>
        <w:rPr>
          <w:spacing w:val="-1"/>
        </w:rPr>
        <w:t>deemed</w:t>
      </w:r>
      <w:r>
        <w:rPr>
          <w:spacing w:val="10"/>
        </w:rPr>
        <w:t xml:space="preserve"> </w:t>
      </w:r>
      <w:r>
        <w:t>to</w:t>
      </w:r>
      <w:r>
        <w:rPr>
          <w:spacing w:val="10"/>
        </w:rPr>
        <w:t xml:space="preserve"> </w:t>
      </w:r>
      <w:r>
        <w:rPr>
          <w:spacing w:val="-1"/>
        </w:rPr>
        <w:t>be</w:t>
      </w:r>
      <w:r>
        <w:rPr>
          <w:spacing w:val="10"/>
        </w:rPr>
        <w:t xml:space="preserve"> </w:t>
      </w:r>
      <w:r>
        <w:rPr>
          <w:spacing w:val="-1"/>
        </w:rPr>
        <w:t>references</w:t>
      </w:r>
      <w:r>
        <w:rPr>
          <w:spacing w:val="10"/>
        </w:rPr>
        <w:t xml:space="preserve"> </w:t>
      </w:r>
      <w:r>
        <w:rPr>
          <w:spacing w:val="-1"/>
        </w:rPr>
        <w:t>to</w:t>
      </w:r>
      <w:r>
        <w:rPr>
          <w:spacing w:val="59"/>
        </w:rPr>
        <w:t xml:space="preserve"> </w:t>
      </w:r>
      <w:r>
        <w:rPr>
          <w:spacing w:val="-1"/>
        </w:rPr>
        <w:t>such</w:t>
      </w:r>
      <w:r>
        <w:rPr>
          <w:spacing w:val="13"/>
        </w:rPr>
        <w:t xml:space="preserve"> </w:t>
      </w:r>
      <w:r>
        <w:rPr>
          <w:spacing w:val="-1"/>
        </w:rPr>
        <w:t>items</w:t>
      </w:r>
      <w:r>
        <w:rPr>
          <w:spacing w:val="13"/>
        </w:rPr>
        <w:t xml:space="preserve"> </w:t>
      </w:r>
      <w:r>
        <w:rPr>
          <w:spacing w:val="-1"/>
        </w:rPr>
        <w:t>as</w:t>
      </w:r>
      <w:r>
        <w:rPr>
          <w:spacing w:val="13"/>
        </w:rPr>
        <w:t xml:space="preserve"> </w:t>
      </w:r>
      <w:r>
        <w:rPr>
          <w:spacing w:val="-1"/>
        </w:rPr>
        <w:t>developed</w:t>
      </w:r>
      <w:r>
        <w:rPr>
          <w:spacing w:val="12"/>
        </w:rPr>
        <w:t xml:space="preserve"> </w:t>
      </w:r>
      <w:r>
        <w:rPr>
          <w:spacing w:val="-1"/>
        </w:rPr>
        <w:t>and</w:t>
      </w:r>
      <w:r>
        <w:rPr>
          <w:spacing w:val="12"/>
        </w:rPr>
        <w:t xml:space="preserve"> </w:t>
      </w:r>
      <w:r>
        <w:rPr>
          <w:spacing w:val="-1"/>
        </w:rPr>
        <w:t>updated</w:t>
      </w:r>
      <w:r>
        <w:rPr>
          <w:spacing w:val="12"/>
        </w:rPr>
        <w:t xml:space="preserve"> </w:t>
      </w:r>
      <w:r>
        <w:rPr>
          <w:spacing w:val="-1"/>
        </w:rPr>
        <w:t>and</w:t>
      </w:r>
      <w:r>
        <w:rPr>
          <w:spacing w:val="12"/>
        </w:rPr>
        <w:t xml:space="preserve"> </w:t>
      </w:r>
      <w:r>
        <w:t>to</w:t>
      </w:r>
      <w:r>
        <w:rPr>
          <w:spacing w:val="12"/>
        </w:rPr>
        <w:t xml:space="preserve"> </w:t>
      </w:r>
      <w:r>
        <w:t>any</w:t>
      </w:r>
      <w:r>
        <w:rPr>
          <w:spacing w:val="10"/>
        </w:rPr>
        <w:t xml:space="preserve"> </w:t>
      </w:r>
      <w:r>
        <w:rPr>
          <w:spacing w:val="-1"/>
        </w:rPr>
        <w:t>successor</w:t>
      </w:r>
      <w:r>
        <w:rPr>
          <w:spacing w:val="14"/>
        </w:rPr>
        <w:t xml:space="preserve"> </w:t>
      </w:r>
      <w:r>
        <w:t>to</w:t>
      </w:r>
      <w:r>
        <w:rPr>
          <w:spacing w:val="12"/>
        </w:rPr>
        <w:t xml:space="preserve"> </w:t>
      </w:r>
      <w:r>
        <w:rPr>
          <w:spacing w:val="-1"/>
        </w:rPr>
        <w:t>or</w:t>
      </w:r>
      <w:r>
        <w:rPr>
          <w:spacing w:val="14"/>
        </w:rPr>
        <w:t xml:space="preserve"> </w:t>
      </w:r>
      <w:r>
        <w:rPr>
          <w:spacing w:val="-1"/>
        </w:rPr>
        <w:t>replacement</w:t>
      </w:r>
      <w:r>
        <w:rPr>
          <w:spacing w:val="11"/>
        </w:rPr>
        <w:t xml:space="preserve"> </w:t>
      </w:r>
      <w:r>
        <w:rPr>
          <w:spacing w:val="-1"/>
        </w:rPr>
        <w:t>for</w:t>
      </w:r>
      <w:r>
        <w:rPr>
          <w:spacing w:val="49"/>
        </w:rPr>
        <w:t xml:space="preserve"> </w:t>
      </w:r>
      <w:r>
        <w:rPr>
          <w:spacing w:val="-1"/>
        </w:rPr>
        <w:t>such</w:t>
      </w:r>
      <w:r>
        <w:rPr>
          <w:spacing w:val="1"/>
        </w:rPr>
        <w:t xml:space="preserve"> </w:t>
      </w:r>
      <w:r>
        <w:rPr>
          <w:spacing w:val="-1"/>
        </w:rPr>
        <w:t>standards,</w:t>
      </w:r>
      <w:r>
        <w:t xml:space="preserve"> </w:t>
      </w:r>
      <w:r>
        <w:rPr>
          <w:spacing w:val="-1"/>
        </w:rPr>
        <w:t>guidance</w:t>
      </w:r>
      <w:r>
        <w:t xml:space="preserve"> </w:t>
      </w:r>
      <w:r>
        <w:rPr>
          <w:spacing w:val="-1"/>
        </w:rPr>
        <w:t>and</w:t>
      </w:r>
      <w:r>
        <w:t xml:space="preserve"> </w:t>
      </w:r>
      <w:r>
        <w:rPr>
          <w:spacing w:val="-2"/>
        </w:rPr>
        <w:t>policies,</w:t>
      </w:r>
      <w:r>
        <w:rPr>
          <w:spacing w:val="2"/>
        </w:rPr>
        <w:t xml:space="preserve"> </w:t>
      </w:r>
      <w:r>
        <w:rPr>
          <w:spacing w:val="-2"/>
        </w:rPr>
        <w:t>as</w:t>
      </w:r>
      <w:r>
        <w:rPr>
          <w:spacing w:val="1"/>
        </w:rPr>
        <w:t xml:space="preserve"> </w:t>
      </w:r>
      <w:r>
        <w:rPr>
          <w:spacing w:val="-2"/>
        </w:rPr>
        <w:t>notified</w:t>
      </w:r>
      <w:r>
        <w:t xml:space="preserve"> to</w:t>
      </w:r>
      <w:r>
        <w:rPr>
          <w:spacing w:val="-2"/>
        </w:rPr>
        <w:t xml:space="preserve"> </w:t>
      </w:r>
      <w:r>
        <w:t>the</w:t>
      </w:r>
      <w:r>
        <w:rPr>
          <w:spacing w:val="-2"/>
        </w:rPr>
        <w:t xml:space="preserve"> Supplier</w:t>
      </w:r>
      <w:r>
        <w:rPr>
          <w:spacing w:val="-1"/>
        </w:rPr>
        <w:t xml:space="preserve"> from time</w:t>
      </w:r>
      <w:r>
        <w:rPr>
          <w:spacing w:val="-2"/>
        </w:rPr>
        <w:t xml:space="preserve"> </w:t>
      </w:r>
      <w:r>
        <w:t>to</w:t>
      </w:r>
      <w:r>
        <w:rPr>
          <w:spacing w:val="-2"/>
        </w:rPr>
        <w:t xml:space="preserve"> </w:t>
      </w:r>
      <w:r>
        <w:rPr>
          <w:spacing w:val="-1"/>
        </w:rPr>
        <w:t>time.</w:t>
      </w:r>
    </w:p>
    <w:p w:rsidR="008918FA" w:rsidRDefault="008918FA" w:rsidP="008918FA">
      <w:pPr>
        <w:pStyle w:val="BodyText"/>
        <w:numPr>
          <w:ilvl w:val="1"/>
          <w:numId w:val="14"/>
        </w:numPr>
        <w:tabs>
          <w:tab w:val="left" w:pos="688"/>
        </w:tabs>
        <w:spacing w:before="121"/>
        <w:ind w:left="688" w:right="116"/>
        <w:jc w:val="both"/>
      </w:pPr>
      <w:bookmarkStart w:id="414" w:name="_bookmark337"/>
      <w:bookmarkEnd w:id="414"/>
      <w:r>
        <w:t>In</w:t>
      </w:r>
      <w:r>
        <w:rPr>
          <w:spacing w:val="-2"/>
        </w:rPr>
        <w:t xml:space="preserve"> </w:t>
      </w:r>
      <w:r>
        <w:t xml:space="preserve">the </w:t>
      </w:r>
      <w:r>
        <w:rPr>
          <w:spacing w:val="-2"/>
        </w:rPr>
        <w:t>event</w:t>
      </w:r>
      <w:r>
        <w:t xml:space="preserve"> </w:t>
      </w:r>
      <w:r>
        <w:rPr>
          <w:spacing w:val="-1"/>
        </w:rPr>
        <w:t>that</w:t>
      </w:r>
      <w:r>
        <w:t xml:space="preserve"> the</w:t>
      </w:r>
      <w:r>
        <w:rPr>
          <w:spacing w:val="-2"/>
        </w:rPr>
        <w:t xml:space="preserve"> Supplier</w:t>
      </w:r>
      <w:r>
        <w:rPr>
          <w:spacing w:val="2"/>
        </w:rPr>
        <w:t xml:space="preserve"> </w:t>
      </w:r>
      <w:r>
        <w:rPr>
          <w:spacing w:val="-1"/>
        </w:rPr>
        <w:t>becomes</w:t>
      </w:r>
      <w:r>
        <w:rPr>
          <w:spacing w:val="-2"/>
        </w:rPr>
        <w:t xml:space="preserve"> aware</w:t>
      </w:r>
      <w:r>
        <w:t xml:space="preserve"> </w:t>
      </w:r>
      <w:r>
        <w:rPr>
          <w:spacing w:val="-2"/>
        </w:rPr>
        <w:t>of</w:t>
      </w:r>
      <w:r>
        <w:t xml:space="preserve"> </w:t>
      </w:r>
      <w:r>
        <w:rPr>
          <w:spacing w:val="-1"/>
        </w:rPr>
        <w:t>any</w:t>
      </w:r>
      <w:r>
        <w:rPr>
          <w:spacing w:val="-2"/>
        </w:rPr>
        <w:t xml:space="preserve"> </w:t>
      </w:r>
      <w:r>
        <w:rPr>
          <w:spacing w:val="-1"/>
        </w:rPr>
        <w:t>inconsistency in</w:t>
      </w:r>
      <w:r>
        <w:t xml:space="preserve"> the</w:t>
      </w:r>
      <w:r>
        <w:rPr>
          <w:spacing w:val="-2"/>
        </w:rPr>
        <w:t xml:space="preserve"> provisions</w:t>
      </w:r>
      <w:r>
        <w:rPr>
          <w:spacing w:val="66"/>
        </w:rPr>
        <w:t xml:space="preserve"> </w:t>
      </w:r>
      <w:r>
        <w:rPr>
          <w:spacing w:val="-2"/>
        </w:rPr>
        <w:t>of</w:t>
      </w:r>
      <w:r>
        <w:rPr>
          <w:spacing w:val="33"/>
        </w:rPr>
        <w:t xml:space="preserve"> </w:t>
      </w:r>
      <w:r>
        <w:t>the</w:t>
      </w:r>
      <w:r>
        <w:rPr>
          <w:spacing w:val="29"/>
        </w:rPr>
        <w:t xml:space="preserve"> </w:t>
      </w:r>
      <w:r>
        <w:rPr>
          <w:spacing w:val="-1"/>
        </w:rPr>
        <w:t>standards,</w:t>
      </w:r>
      <w:r>
        <w:rPr>
          <w:spacing w:val="29"/>
        </w:rPr>
        <w:t xml:space="preserve"> </w:t>
      </w:r>
      <w:r>
        <w:rPr>
          <w:spacing w:val="-1"/>
        </w:rPr>
        <w:t>guidance</w:t>
      </w:r>
      <w:r>
        <w:rPr>
          <w:spacing w:val="30"/>
        </w:rPr>
        <w:t xml:space="preserve"> </w:t>
      </w:r>
      <w:r>
        <w:rPr>
          <w:spacing w:val="-1"/>
        </w:rPr>
        <w:t>and</w:t>
      </w:r>
      <w:r>
        <w:rPr>
          <w:spacing w:val="29"/>
        </w:rPr>
        <w:t xml:space="preserve"> </w:t>
      </w:r>
      <w:r>
        <w:rPr>
          <w:spacing w:val="-2"/>
        </w:rPr>
        <w:t>policies</w:t>
      </w:r>
      <w:r>
        <w:rPr>
          <w:spacing w:val="30"/>
        </w:rPr>
        <w:t xml:space="preserve"> </w:t>
      </w:r>
      <w:r>
        <w:rPr>
          <w:spacing w:val="-1"/>
        </w:rPr>
        <w:t>set</w:t>
      </w:r>
      <w:r>
        <w:rPr>
          <w:spacing w:val="30"/>
        </w:rPr>
        <w:t xml:space="preserve"> </w:t>
      </w:r>
      <w:r>
        <w:rPr>
          <w:spacing w:val="-1"/>
        </w:rPr>
        <w:t>out</w:t>
      </w:r>
      <w:r>
        <w:rPr>
          <w:spacing w:val="30"/>
        </w:rPr>
        <w:t xml:space="preserve"> </w:t>
      </w:r>
      <w:r>
        <w:rPr>
          <w:spacing w:val="-2"/>
        </w:rPr>
        <w:t>in</w:t>
      </w:r>
      <w:r>
        <w:rPr>
          <w:spacing w:val="29"/>
        </w:rPr>
        <w:t xml:space="preserve"> </w:t>
      </w:r>
      <w:r>
        <w:rPr>
          <w:spacing w:val="-1"/>
        </w:rPr>
        <w:t>paragraph</w:t>
      </w:r>
      <w:r>
        <w:rPr>
          <w:spacing w:val="30"/>
        </w:rPr>
        <w:t xml:space="preserve"> </w:t>
      </w:r>
      <w:hyperlink w:anchor="_bookmark336" w:history="1">
        <w:r>
          <w:t>3.3</w:t>
        </w:r>
      </w:hyperlink>
      <w:r>
        <w:rPr>
          <w:spacing w:val="27"/>
        </w:rPr>
        <w:t xml:space="preserve"> </w:t>
      </w:r>
      <w:r>
        <w:rPr>
          <w:spacing w:val="-2"/>
        </w:rPr>
        <w:t>of</w:t>
      </w:r>
      <w:r>
        <w:rPr>
          <w:spacing w:val="30"/>
        </w:rPr>
        <w:t xml:space="preserve"> </w:t>
      </w:r>
      <w:r>
        <w:rPr>
          <w:spacing w:val="-1"/>
        </w:rPr>
        <w:t>this</w:t>
      </w:r>
      <w:r>
        <w:rPr>
          <w:spacing w:val="30"/>
        </w:rPr>
        <w:t xml:space="preserve"> </w:t>
      </w:r>
      <w:r>
        <w:rPr>
          <w:spacing w:val="-2"/>
        </w:rPr>
        <w:t>Call</w:t>
      </w:r>
      <w:r>
        <w:rPr>
          <w:spacing w:val="26"/>
        </w:rPr>
        <w:t xml:space="preserve"> </w:t>
      </w:r>
      <w:r>
        <w:rPr>
          <w:spacing w:val="-1"/>
        </w:rPr>
        <w:t>Off</w:t>
      </w:r>
      <w:r>
        <w:rPr>
          <w:spacing w:val="51"/>
        </w:rPr>
        <w:t xml:space="preserve"> </w:t>
      </w:r>
      <w:r>
        <w:rPr>
          <w:spacing w:val="-1"/>
        </w:rPr>
        <w:t>Schedule,</w:t>
      </w:r>
      <w:r>
        <w:rPr>
          <w:spacing w:val="45"/>
        </w:rPr>
        <w:t xml:space="preserve"> </w:t>
      </w:r>
      <w:r>
        <w:t>the</w:t>
      </w:r>
      <w:r>
        <w:rPr>
          <w:spacing w:val="43"/>
        </w:rPr>
        <w:t xml:space="preserve"> </w:t>
      </w:r>
      <w:r>
        <w:rPr>
          <w:spacing w:val="-2"/>
        </w:rPr>
        <w:t>Supplier</w:t>
      </w:r>
      <w:r>
        <w:rPr>
          <w:spacing w:val="45"/>
        </w:rPr>
        <w:t xml:space="preserve"> </w:t>
      </w:r>
      <w:r>
        <w:rPr>
          <w:spacing w:val="-1"/>
        </w:rPr>
        <w:t>shall</w:t>
      </w:r>
      <w:r>
        <w:rPr>
          <w:spacing w:val="43"/>
        </w:rPr>
        <w:t xml:space="preserve"> </w:t>
      </w:r>
      <w:r>
        <w:rPr>
          <w:spacing w:val="-1"/>
        </w:rPr>
        <w:t>immediately</w:t>
      </w:r>
      <w:r>
        <w:rPr>
          <w:spacing w:val="41"/>
        </w:rPr>
        <w:t xml:space="preserve"> </w:t>
      </w:r>
      <w:r>
        <w:t>notify</w:t>
      </w:r>
      <w:r>
        <w:rPr>
          <w:spacing w:val="41"/>
        </w:rPr>
        <w:t xml:space="preserve"> </w:t>
      </w:r>
      <w:r>
        <w:t>the</w:t>
      </w:r>
      <w:r>
        <w:rPr>
          <w:spacing w:val="44"/>
        </w:rPr>
        <w:t xml:space="preserve"> </w:t>
      </w:r>
      <w:r>
        <w:rPr>
          <w:spacing w:val="-1"/>
        </w:rPr>
        <w:t>Customer</w:t>
      </w:r>
      <w:r>
        <w:rPr>
          <w:spacing w:val="45"/>
        </w:rPr>
        <w:t xml:space="preserve"> </w:t>
      </w:r>
      <w:r>
        <w:rPr>
          <w:spacing w:val="-1"/>
        </w:rPr>
        <w:t>Representative</w:t>
      </w:r>
      <w:r>
        <w:rPr>
          <w:spacing w:val="43"/>
        </w:rPr>
        <w:t xml:space="preserve"> </w:t>
      </w:r>
      <w:r>
        <w:rPr>
          <w:spacing w:val="-1"/>
        </w:rPr>
        <w:t>of</w:t>
      </w:r>
      <w:r>
        <w:rPr>
          <w:spacing w:val="24"/>
        </w:rPr>
        <w:t xml:space="preserve"> </w:t>
      </w:r>
      <w:r>
        <w:rPr>
          <w:spacing w:val="-1"/>
        </w:rPr>
        <w:t>such</w:t>
      </w:r>
      <w:r>
        <w:rPr>
          <w:spacing w:val="3"/>
        </w:rPr>
        <w:t xml:space="preserve"> </w:t>
      </w:r>
      <w:r>
        <w:rPr>
          <w:spacing w:val="-1"/>
        </w:rPr>
        <w:t>inconsistency</w:t>
      </w:r>
      <w:r>
        <w:rPr>
          <w:spacing w:val="1"/>
        </w:rPr>
        <w:t xml:space="preserve"> </w:t>
      </w:r>
      <w:r>
        <w:rPr>
          <w:spacing w:val="-1"/>
        </w:rPr>
        <w:t>and</w:t>
      </w:r>
      <w:r>
        <w:rPr>
          <w:spacing w:val="3"/>
        </w:rPr>
        <w:t xml:space="preserve"> </w:t>
      </w:r>
      <w:r>
        <w:t>the</w:t>
      </w:r>
      <w:r>
        <w:rPr>
          <w:spacing w:val="3"/>
        </w:rPr>
        <w:t xml:space="preserve"> </w:t>
      </w:r>
      <w:r>
        <w:rPr>
          <w:spacing w:val="-1"/>
        </w:rPr>
        <w:t>Customer</w:t>
      </w:r>
      <w:r>
        <w:rPr>
          <w:spacing w:val="4"/>
        </w:rPr>
        <w:t xml:space="preserve"> </w:t>
      </w:r>
      <w:r>
        <w:rPr>
          <w:spacing w:val="-2"/>
        </w:rPr>
        <w:t>Representative</w:t>
      </w:r>
      <w:r>
        <w:rPr>
          <w:spacing w:val="3"/>
        </w:rPr>
        <w:t xml:space="preserve"> </w:t>
      </w:r>
      <w:r>
        <w:rPr>
          <w:spacing w:val="-1"/>
        </w:rPr>
        <w:t>shall,</w:t>
      </w:r>
      <w:r>
        <w:rPr>
          <w:spacing w:val="4"/>
        </w:rPr>
        <w:t xml:space="preserve"> </w:t>
      </w:r>
      <w:r>
        <w:rPr>
          <w:spacing w:val="-1"/>
        </w:rPr>
        <w:t>as</w:t>
      </w:r>
      <w:r>
        <w:rPr>
          <w:spacing w:val="3"/>
        </w:rPr>
        <w:t xml:space="preserve"> </w:t>
      </w:r>
      <w:r>
        <w:rPr>
          <w:spacing w:val="-1"/>
        </w:rPr>
        <w:t>soon</w:t>
      </w:r>
      <w:r>
        <w:rPr>
          <w:spacing w:val="3"/>
        </w:rPr>
        <w:t xml:space="preserve"> </w:t>
      </w:r>
      <w:r>
        <w:rPr>
          <w:spacing w:val="-1"/>
        </w:rPr>
        <w:t>as</w:t>
      </w:r>
      <w:r>
        <w:rPr>
          <w:spacing w:val="3"/>
        </w:rPr>
        <w:t xml:space="preserve"> </w:t>
      </w:r>
      <w:r>
        <w:rPr>
          <w:spacing w:val="-1"/>
        </w:rPr>
        <w:t>practicable,</w:t>
      </w:r>
      <w:r>
        <w:rPr>
          <w:spacing w:val="50"/>
        </w:rPr>
        <w:t xml:space="preserve"> </w:t>
      </w:r>
      <w:r>
        <w:rPr>
          <w:spacing w:val="-1"/>
        </w:rPr>
        <w:t>notify</w:t>
      </w:r>
      <w:r>
        <w:rPr>
          <w:spacing w:val="-2"/>
        </w:rPr>
        <w:t xml:space="preserve"> </w:t>
      </w:r>
      <w:r>
        <w:t>the</w:t>
      </w:r>
      <w:r>
        <w:rPr>
          <w:spacing w:val="-2"/>
        </w:rPr>
        <w:t xml:space="preserve"> Supplier</w:t>
      </w:r>
      <w:r>
        <w:rPr>
          <w:spacing w:val="2"/>
        </w:rPr>
        <w:t xml:space="preserve"> </w:t>
      </w:r>
      <w:r>
        <w:rPr>
          <w:spacing w:val="-1"/>
        </w:rPr>
        <w:t>as</w:t>
      </w:r>
      <w:r>
        <w:rPr>
          <w:spacing w:val="-2"/>
        </w:rPr>
        <w:t xml:space="preserve"> </w:t>
      </w:r>
      <w:r>
        <w:t>to</w:t>
      </w:r>
      <w:r>
        <w:rPr>
          <w:spacing w:val="-2"/>
        </w:rPr>
        <w:t xml:space="preserve"> </w:t>
      </w:r>
      <w:r>
        <w:rPr>
          <w:spacing w:val="-1"/>
        </w:rPr>
        <w:t>which</w:t>
      </w:r>
      <w:r>
        <w:rPr>
          <w:spacing w:val="1"/>
        </w:rPr>
        <w:t xml:space="preserve"> </w:t>
      </w:r>
      <w:r>
        <w:rPr>
          <w:spacing w:val="-2"/>
        </w:rPr>
        <w:t>provision</w:t>
      </w:r>
      <w:r>
        <w:t xml:space="preserve"> the </w:t>
      </w:r>
      <w:r>
        <w:rPr>
          <w:spacing w:val="-2"/>
        </w:rPr>
        <w:t>Supplier</w:t>
      </w:r>
      <w:r>
        <w:rPr>
          <w:spacing w:val="2"/>
        </w:rPr>
        <w:t xml:space="preserve"> </w:t>
      </w:r>
      <w:r>
        <w:rPr>
          <w:spacing w:val="-1"/>
        </w:rPr>
        <w:t>shall</w:t>
      </w:r>
      <w:r>
        <w:t xml:space="preserve"> </w:t>
      </w:r>
      <w:r>
        <w:rPr>
          <w:spacing w:val="-1"/>
        </w:rPr>
        <w:t>comply</w:t>
      </w:r>
      <w:r>
        <w:rPr>
          <w:spacing w:val="-2"/>
        </w:rPr>
        <w:t xml:space="preserve"> with.</w:t>
      </w:r>
    </w:p>
    <w:p w:rsidR="008918FA" w:rsidRDefault="008918FA" w:rsidP="008918FA">
      <w:pPr>
        <w:pStyle w:val="BodyText"/>
        <w:numPr>
          <w:ilvl w:val="1"/>
          <w:numId w:val="14"/>
        </w:numPr>
        <w:tabs>
          <w:tab w:val="left" w:pos="688"/>
        </w:tabs>
        <w:spacing w:before="121"/>
        <w:ind w:left="687" w:right="113" w:hanging="359"/>
        <w:jc w:val="both"/>
      </w:pPr>
      <w:bookmarkStart w:id="415" w:name="_bookmark338"/>
      <w:bookmarkEnd w:id="415"/>
      <w:r>
        <w:rPr>
          <w:spacing w:val="-1"/>
        </w:rPr>
        <w:t>If</w:t>
      </w:r>
      <w:r>
        <w:rPr>
          <w:spacing w:val="28"/>
        </w:rPr>
        <w:t xml:space="preserve"> </w:t>
      </w:r>
      <w:r>
        <w:t>the</w:t>
      </w:r>
      <w:r>
        <w:rPr>
          <w:spacing w:val="27"/>
        </w:rPr>
        <w:t xml:space="preserve"> </w:t>
      </w:r>
      <w:r>
        <w:rPr>
          <w:spacing w:val="-1"/>
        </w:rPr>
        <w:t>ISMS</w:t>
      </w:r>
      <w:r>
        <w:rPr>
          <w:spacing w:val="26"/>
        </w:rPr>
        <w:t xml:space="preserve"> </w:t>
      </w:r>
      <w:r>
        <w:rPr>
          <w:spacing w:val="-1"/>
        </w:rPr>
        <w:t>submitted</w:t>
      </w:r>
      <w:r>
        <w:rPr>
          <w:spacing w:val="24"/>
        </w:rPr>
        <w:t xml:space="preserve"> </w:t>
      </w:r>
      <w:r>
        <w:rPr>
          <w:spacing w:val="-1"/>
        </w:rPr>
        <w:t>to</w:t>
      </w:r>
      <w:r>
        <w:rPr>
          <w:spacing w:val="27"/>
        </w:rPr>
        <w:t xml:space="preserve"> </w:t>
      </w:r>
      <w:r>
        <w:t>the</w:t>
      </w:r>
      <w:r>
        <w:rPr>
          <w:spacing w:val="27"/>
        </w:rPr>
        <w:t xml:space="preserve"> </w:t>
      </w:r>
      <w:r>
        <w:rPr>
          <w:spacing w:val="-1"/>
        </w:rPr>
        <w:t>Customer</w:t>
      </w:r>
      <w:r>
        <w:rPr>
          <w:spacing w:val="28"/>
        </w:rPr>
        <w:t xml:space="preserve"> </w:t>
      </w:r>
      <w:r>
        <w:rPr>
          <w:spacing w:val="-2"/>
        </w:rPr>
        <w:t>pursuant</w:t>
      </w:r>
      <w:r>
        <w:rPr>
          <w:spacing w:val="28"/>
        </w:rPr>
        <w:t xml:space="preserve"> </w:t>
      </w:r>
      <w:r>
        <w:t>to</w:t>
      </w:r>
      <w:r>
        <w:rPr>
          <w:spacing w:val="27"/>
        </w:rPr>
        <w:t xml:space="preserve"> </w:t>
      </w:r>
      <w:r>
        <w:rPr>
          <w:spacing w:val="-1"/>
        </w:rPr>
        <w:t xml:space="preserve">paragraph </w:t>
      </w:r>
      <w:hyperlink w:anchor="_bookmark335" w:history="1">
        <w:r>
          <w:t>3.1</w:t>
        </w:r>
      </w:hyperlink>
      <w:r>
        <w:rPr>
          <w:spacing w:val="27"/>
        </w:rPr>
        <w:t xml:space="preserve"> </w:t>
      </w:r>
      <w:r>
        <w:rPr>
          <w:spacing w:val="-2"/>
        </w:rPr>
        <w:t>of</w:t>
      </w:r>
      <w:r>
        <w:rPr>
          <w:spacing w:val="26"/>
        </w:rPr>
        <w:t xml:space="preserve"> </w:t>
      </w:r>
      <w:r>
        <w:rPr>
          <w:spacing w:val="-1"/>
        </w:rPr>
        <w:t>this</w:t>
      </w:r>
      <w:r>
        <w:rPr>
          <w:spacing w:val="27"/>
        </w:rPr>
        <w:t xml:space="preserve"> </w:t>
      </w:r>
      <w:r>
        <w:rPr>
          <w:spacing w:val="-2"/>
        </w:rPr>
        <w:t>Call</w:t>
      </w:r>
      <w:r>
        <w:rPr>
          <w:spacing w:val="24"/>
        </w:rPr>
        <w:t xml:space="preserve"> </w:t>
      </w:r>
      <w:r>
        <w:rPr>
          <w:spacing w:val="-1"/>
        </w:rPr>
        <w:t>Off</w:t>
      </w:r>
      <w:r>
        <w:rPr>
          <w:spacing w:val="53"/>
        </w:rPr>
        <w:t xml:space="preserve"> </w:t>
      </w:r>
      <w:r>
        <w:rPr>
          <w:spacing w:val="-1"/>
        </w:rPr>
        <w:t>Schedule</w:t>
      </w:r>
      <w:r>
        <w:rPr>
          <w:spacing w:val="12"/>
        </w:rPr>
        <w:t xml:space="preserve"> </w:t>
      </w:r>
      <w:r>
        <w:rPr>
          <w:spacing w:val="-1"/>
        </w:rPr>
        <w:t>is</w:t>
      </w:r>
      <w:r>
        <w:rPr>
          <w:spacing w:val="12"/>
        </w:rPr>
        <w:t xml:space="preserve"> </w:t>
      </w:r>
      <w:r>
        <w:rPr>
          <w:spacing w:val="-1"/>
        </w:rPr>
        <w:t>Approved</w:t>
      </w:r>
      <w:r>
        <w:rPr>
          <w:spacing w:val="11"/>
        </w:rPr>
        <w:t xml:space="preserve"> </w:t>
      </w:r>
      <w:r>
        <w:rPr>
          <w:spacing w:val="-1"/>
        </w:rPr>
        <w:t>by</w:t>
      </w:r>
      <w:r>
        <w:rPr>
          <w:spacing w:val="9"/>
        </w:rPr>
        <w:t xml:space="preserve"> </w:t>
      </w:r>
      <w:r>
        <w:t>the</w:t>
      </w:r>
      <w:r>
        <w:rPr>
          <w:spacing w:val="11"/>
        </w:rPr>
        <w:t xml:space="preserve"> </w:t>
      </w:r>
      <w:r>
        <w:rPr>
          <w:spacing w:val="-1"/>
        </w:rPr>
        <w:t>Customer,</w:t>
      </w:r>
      <w:r>
        <w:rPr>
          <w:spacing w:val="13"/>
        </w:rPr>
        <w:t xml:space="preserve"> </w:t>
      </w:r>
      <w:r>
        <w:rPr>
          <w:spacing w:val="-1"/>
        </w:rPr>
        <w:t>it</w:t>
      </w:r>
      <w:r>
        <w:rPr>
          <w:spacing w:val="10"/>
        </w:rPr>
        <w:t xml:space="preserve"> </w:t>
      </w:r>
      <w:r>
        <w:rPr>
          <w:spacing w:val="-2"/>
        </w:rPr>
        <w:t>shall</w:t>
      </w:r>
      <w:r>
        <w:rPr>
          <w:spacing w:val="11"/>
        </w:rPr>
        <w:t xml:space="preserve"> </w:t>
      </w:r>
      <w:r>
        <w:rPr>
          <w:spacing w:val="-1"/>
        </w:rPr>
        <w:t>be</w:t>
      </w:r>
      <w:r>
        <w:rPr>
          <w:spacing w:val="11"/>
        </w:rPr>
        <w:t xml:space="preserve"> </w:t>
      </w:r>
      <w:r>
        <w:rPr>
          <w:spacing w:val="-1"/>
        </w:rPr>
        <w:t>adopted</w:t>
      </w:r>
      <w:r>
        <w:rPr>
          <w:spacing w:val="11"/>
        </w:rPr>
        <w:t xml:space="preserve"> </w:t>
      </w:r>
      <w:r>
        <w:rPr>
          <w:spacing w:val="-1"/>
        </w:rPr>
        <w:t>by</w:t>
      </w:r>
      <w:r>
        <w:rPr>
          <w:spacing w:val="9"/>
        </w:rPr>
        <w:t xml:space="preserve"> </w:t>
      </w:r>
      <w:r>
        <w:t>the</w:t>
      </w:r>
      <w:r>
        <w:rPr>
          <w:spacing w:val="9"/>
        </w:rPr>
        <w:t xml:space="preserve"> </w:t>
      </w:r>
      <w:r>
        <w:rPr>
          <w:spacing w:val="-2"/>
        </w:rPr>
        <w:t>Supplier</w:t>
      </w:r>
      <w:r>
        <w:rPr>
          <w:spacing w:val="32"/>
        </w:rPr>
        <w:t xml:space="preserve"> </w:t>
      </w:r>
      <w:r>
        <w:rPr>
          <w:spacing w:val="-1"/>
        </w:rPr>
        <w:t>immediately</w:t>
      </w:r>
      <w:r>
        <w:rPr>
          <w:spacing w:val="27"/>
        </w:rPr>
        <w:t xml:space="preserve"> </w:t>
      </w:r>
      <w:r>
        <w:rPr>
          <w:spacing w:val="-1"/>
        </w:rPr>
        <w:t>and</w:t>
      </w:r>
      <w:r>
        <w:rPr>
          <w:spacing w:val="29"/>
        </w:rPr>
        <w:t xml:space="preserve"> </w:t>
      </w:r>
      <w:r>
        <w:rPr>
          <w:spacing w:val="-1"/>
        </w:rPr>
        <w:t>thereafter</w:t>
      </w:r>
      <w:r>
        <w:rPr>
          <w:spacing w:val="30"/>
        </w:rPr>
        <w:t xml:space="preserve"> </w:t>
      </w:r>
      <w:r>
        <w:rPr>
          <w:spacing w:val="-1"/>
        </w:rPr>
        <w:t>operated</w:t>
      </w:r>
      <w:r>
        <w:rPr>
          <w:spacing w:val="27"/>
        </w:rPr>
        <w:t xml:space="preserve"> </w:t>
      </w:r>
      <w:r>
        <w:rPr>
          <w:spacing w:val="-1"/>
        </w:rPr>
        <w:t>and</w:t>
      </w:r>
      <w:r>
        <w:rPr>
          <w:spacing w:val="29"/>
        </w:rPr>
        <w:t xml:space="preserve"> </w:t>
      </w:r>
      <w:r>
        <w:rPr>
          <w:spacing w:val="-2"/>
        </w:rPr>
        <w:t>maintained</w:t>
      </w:r>
      <w:r>
        <w:rPr>
          <w:spacing w:val="29"/>
        </w:rPr>
        <w:t xml:space="preserve"> </w:t>
      </w:r>
      <w:r>
        <w:rPr>
          <w:spacing w:val="-1"/>
        </w:rPr>
        <w:t>in</w:t>
      </w:r>
      <w:r>
        <w:rPr>
          <w:spacing w:val="29"/>
        </w:rPr>
        <w:t xml:space="preserve"> </w:t>
      </w:r>
      <w:r>
        <w:rPr>
          <w:spacing w:val="-1"/>
        </w:rPr>
        <w:t>accordance</w:t>
      </w:r>
      <w:r>
        <w:rPr>
          <w:spacing w:val="30"/>
        </w:rPr>
        <w:t xml:space="preserve"> </w:t>
      </w:r>
      <w:r>
        <w:rPr>
          <w:spacing w:val="-2"/>
        </w:rPr>
        <w:t>with</w:t>
      </w:r>
      <w:r>
        <w:rPr>
          <w:spacing w:val="29"/>
        </w:rPr>
        <w:t xml:space="preserve"> </w:t>
      </w:r>
      <w:r>
        <w:rPr>
          <w:spacing w:val="-1"/>
        </w:rPr>
        <w:t>this</w:t>
      </w:r>
      <w:r>
        <w:rPr>
          <w:spacing w:val="30"/>
        </w:rPr>
        <w:t xml:space="preserve"> </w:t>
      </w:r>
      <w:r>
        <w:rPr>
          <w:spacing w:val="-2"/>
        </w:rPr>
        <w:t>Call</w:t>
      </w:r>
      <w:r>
        <w:rPr>
          <w:spacing w:val="55"/>
        </w:rPr>
        <w:t xml:space="preserve"> </w:t>
      </w:r>
      <w:r>
        <w:rPr>
          <w:spacing w:val="-1"/>
        </w:rPr>
        <w:t>Off</w:t>
      </w:r>
      <w:r>
        <w:rPr>
          <w:spacing w:val="45"/>
        </w:rPr>
        <w:t xml:space="preserve"> </w:t>
      </w:r>
      <w:r>
        <w:rPr>
          <w:spacing w:val="-1"/>
        </w:rPr>
        <w:t>Schedule.</w:t>
      </w:r>
      <w:r>
        <w:rPr>
          <w:spacing w:val="42"/>
        </w:rPr>
        <w:t xml:space="preserve"> </w:t>
      </w:r>
      <w:r>
        <w:rPr>
          <w:spacing w:val="-1"/>
        </w:rPr>
        <w:t>If</w:t>
      </w:r>
      <w:r>
        <w:rPr>
          <w:spacing w:val="42"/>
        </w:rPr>
        <w:t xml:space="preserve"> </w:t>
      </w:r>
      <w:r>
        <w:t>the</w:t>
      </w:r>
      <w:r>
        <w:rPr>
          <w:spacing w:val="41"/>
        </w:rPr>
        <w:t xml:space="preserve"> </w:t>
      </w:r>
      <w:r>
        <w:rPr>
          <w:spacing w:val="-2"/>
        </w:rPr>
        <w:t>ISMS</w:t>
      </w:r>
      <w:r>
        <w:rPr>
          <w:spacing w:val="43"/>
        </w:rPr>
        <w:t xml:space="preserve"> </w:t>
      </w:r>
      <w:r>
        <w:rPr>
          <w:spacing w:val="-1"/>
        </w:rPr>
        <w:t>is</w:t>
      </w:r>
      <w:r>
        <w:rPr>
          <w:spacing w:val="44"/>
        </w:rPr>
        <w:t xml:space="preserve"> </w:t>
      </w:r>
      <w:r>
        <w:rPr>
          <w:spacing w:val="-1"/>
        </w:rPr>
        <w:t>not</w:t>
      </w:r>
      <w:r>
        <w:rPr>
          <w:spacing w:val="46"/>
        </w:rPr>
        <w:t xml:space="preserve"> </w:t>
      </w:r>
      <w:r>
        <w:rPr>
          <w:spacing w:val="-2"/>
        </w:rPr>
        <w:t>Approved</w:t>
      </w:r>
      <w:r>
        <w:rPr>
          <w:spacing w:val="43"/>
        </w:rPr>
        <w:t xml:space="preserve"> </w:t>
      </w:r>
      <w:r>
        <w:rPr>
          <w:spacing w:val="-1"/>
        </w:rPr>
        <w:t>by</w:t>
      </w:r>
      <w:r>
        <w:rPr>
          <w:spacing w:val="44"/>
        </w:rPr>
        <w:t xml:space="preserve"> </w:t>
      </w:r>
      <w:r>
        <w:t>the</w:t>
      </w:r>
      <w:r>
        <w:rPr>
          <w:spacing w:val="43"/>
        </w:rPr>
        <w:t xml:space="preserve"> </w:t>
      </w:r>
      <w:r>
        <w:rPr>
          <w:spacing w:val="-2"/>
        </w:rPr>
        <w:t>Customer,</w:t>
      </w:r>
      <w:r>
        <w:rPr>
          <w:spacing w:val="42"/>
        </w:rPr>
        <w:t xml:space="preserve"> </w:t>
      </w:r>
      <w:r>
        <w:t>the</w:t>
      </w:r>
      <w:r>
        <w:rPr>
          <w:spacing w:val="43"/>
        </w:rPr>
        <w:t xml:space="preserve"> </w:t>
      </w:r>
      <w:r>
        <w:rPr>
          <w:spacing w:val="-2"/>
        </w:rPr>
        <w:t>Supplier</w:t>
      </w:r>
      <w:r>
        <w:rPr>
          <w:spacing w:val="46"/>
        </w:rPr>
        <w:t xml:space="preserve"> </w:t>
      </w:r>
      <w:r>
        <w:rPr>
          <w:spacing w:val="-1"/>
        </w:rPr>
        <w:t>shall</w:t>
      </w:r>
      <w:r>
        <w:rPr>
          <w:spacing w:val="55"/>
        </w:rPr>
        <w:t xml:space="preserve"> </w:t>
      </w:r>
      <w:r>
        <w:rPr>
          <w:spacing w:val="-1"/>
        </w:rPr>
        <w:t>amend</w:t>
      </w:r>
      <w:r>
        <w:rPr>
          <w:spacing w:val="11"/>
        </w:rPr>
        <w:t xml:space="preserve"> </w:t>
      </w:r>
      <w:r>
        <w:rPr>
          <w:spacing w:val="-1"/>
        </w:rPr>
        <w:t>it</w:t>
      </w:r>
      <w:r>
        <w:rPr>
          <w:spacing w:val="13"/>
        </w:rPr>
        <w:t xml:space="preserve"> </w:t>
      </w:r>
      <w:r>
        <w:rPr>
          <w:spacing w:val="-2"/>
        </w:rPr>
        <w:t>within</w:t>
      </w:r>
      <w:r>
        <w:rPr>
          <w:spacing w:val="11"/>
        </w:rPr>
        <w:t xml:space="preserve"> </w:t>
      </w:r>
      <w:r>
        <w:t>ten</w:t>
      </w:r>
      <w:r>
        <w:rPr>
          <w:spacing w:val="9"/>
        </w:rPr>
        <w:t xml:space="preserve"> </w:t>
      </w:r>
      <w:r>
        <w:rPr>
          <w:spacing w:val="-1"/>
        </w:rPr>
        <w:t>(10)</w:t>
      </w:r>
      <w:r>
        <w:rPr>
          <w:spacing w:val="-3"/>
        </w:rPr>
        <w:t xml:space="preserve"> </w:t>
      </w:r>
      <w:r>
        <w:rPr>
          <w:spacing w:val="-1"/>
        </w:rPr>
        <w:t>Working</w:t>
      </w:r>
      <w:r>
        <w:rPr>
          <w:spacing w:val="14"/>
        </w:rPr>
        <w:t xml:space="preserve"> </w:t>
      </w:r>
      <w:r>
        <w:rPr>
          <w:spacing w:val="-2"/>
        </w:rPr>
        <w:t>Days</w:t>
      </w:r>
      <w:r>
        <w:rPr>
          <w:spacing w:val="12"/>
        </w:rPr>
        <w:t xml:space="preserve"> </w:t>
      </w:r>
      <w:r>
        <w:rPr>
          <w:spacing w:val="-2"/>
        </w:rPr>
        <w:t>of</w:t>
      </w:r>
      <w:r>
        <w:rPr>
          <w:spacing w:val="15"/>
        </w:rPr>
        <w:t xml:space="preserve"> </w:t>
      </w:r>
      <w:r>
        <w:t>a</w:t>
      </w:r>
      <w:r>
        <w:rPr>
          <w:spacing w:val="6"/>
        </w:rPr>
        <w:t xml:space="preserve"> </w:t>
      </w:r>
      <w:r>
        <w:rPr>
          <w:spacing w:val="-1"/>
        </w:rPr>
        <w:t>notice</w:t>
      </w:r>
      <w:r>
        <w:rPr>
          <w:spacing w:val="12"/>
        </w:rPr>
        <w:t xml:space="preserve"> </w:t>
      </w:r>
      <w:r>
        <w:rPr>
          <w:spacing w:val="-2"/>
        </w:rPr>
        <w:t>of</w:t>
      </w:r>
      <w:r>
        <w:rPr>
          <w:spacing w:val="13"/>
        </w:rPr>
        <w:t xml:space="preserve"> </w:t>
      </w:r>
      <w:r>
        <w:rPr>
          <w:spacing w:val="-1"/>
        </w:rPr>
        <w:t>non-approval</w:t>
      </w:r>
      <w:r>
        <w:rPr>
          <w:spacing w:val="11"/>
        </w:rPr>
        <w:t xml:space="preserve"> </w:t>
      </w:r>
      <w:r>
        <w:rPr>
          <w:spacing w:val="-1"/>
        </w:rPr>
        <w:t>from</w:t>
      </w:r>
      <w:r>
        <w:rPr>
          <w:spacing w:val="13"/>
        </w:rPr>
        <w:t xml:space="preserve"> </w:t>
      </w:r>
      <w:r>
        <w:rPr>
          <w:spacing w:val="-1"/>
        </w:rPr>
        <w:t>the</w:t>
      </w:r>
      <w:r>
        <w:rPr>
          <w:spacing w:val="41"/>
        </w:rPr>
        <w:t xml:space="preserve"> </w:t>
      </w:r>
      <w:r>
        <w:rPr>
          <w:spacing w:val="-1"/>
        </w:rPr>
        <w:t>Customer</w:t>
      </w:r>
      <w:r>
        <w:rPr>
          <w:spacing w:val="21"/>
        </w:rPr>
        <w:t xml:space="preserve"> </w:t>
      </w:r>
      <w:r>
        <w:rPr>
          <w:spacing w:val="-1"/>
        </w:rPr>
        <w:t>and</w:t>
      </w:r>
      <w:r>
        <w:rPr>
          <w:spacing w:val="17"/>
        </w:rPr>
        <w:t xml:space="preserve"> </w:t>
      </w:r>
      <w:r>
        <w:rPr>
          <w:spacing w:val="-1"/>
        </w:rPr>
        <w:t>re-submit</w:t>
      </w:r>
      <w:r>
        <w:rPr>
          <w:spacing w:val="19"/>
        </w:rPr>
        <w:t xml:space="preserve"> </w:t>
      </w:r>
      <w:r>
        <w:rPr>
          <w:spacing w:val="-1"/>
        </w:rPr>
        <w:t>it</w:t>
      </w:r>
      <w:r>
        <w:rPr>
          <w:spacing w:val="21"/>
        </w:rPr>
        <w:t xml:space="preserve"> </w:t>
      </w:r>
      <w:r>
        <w:t>to</w:t>
      </w:r>
      <w:r>
        <w:rPr>
          <w:spacing w:val="17"/>
        </w:rPr>
        <w:t xml:space="preserve"> </w:t>
      </w:r>
      <w:r>
        <w:t>the</w:t>
      </w:r>
      <w:r>
        <w:rPr>
          <w:spacing w:val="20"/>
        </w:rPr>
        <w:t xml:space="preserve"> </w:t>
      </w:r>
      <w:r>
        <w:rPr>
          <w:spacing w:val="-2"/>
        </w:rPr>
        <w:t>Customer</w:t>
      </w:r>
      <w:r>
        <w:rPr>
          <w:spacing w:val="19"/>
        </w:rPr>
        <w:t xml:space="preserve"> </w:t>
      </w:r>
      <w:r>
        <w:t>for</w:t>
      </w:r>
      <w:r>
        <w:rPr>
          <w:spacing w:val="21"/>
        </w:rPr>
        <w:t xml:space="preserve"> </w:t>
      </w:r>
      <w:r>
        <w:rPr>
          <w:spacing w:val="-2"/>
        </w:rPr>
        <w:t>Approval.</w:t>
      </w:r>
      <w:r>
        <w:rPr>
          <w:spacing w:val="21"/>
        </w:rPr>
        <w:t xml:space="preserve"> </w:t>
      </w:r>
      <w:r>
        <w:t>The</w:t>
      </w:r>
      <w:r>
        <w:rPr>
          <w:spacing w:val="20"/>
        </w:rPr>
        <w:t xml:space="preserve"> </w:t>
      </w:r>
      <w:r>
        <w:rPr>
          <w:spacing w:val="-1"/>
        </w:rPr>
        <w:t>Parties</w:t>
      </w:r>
      <w:r>
        <w:rPr>
          <w:spacing w:val="20"/>
        </w:rPr>
        <w:t xml:space="preserve"> </w:t>
      </w:r>
      <w:r>
        <w:rPr>
          <w:spacing w:val="-2"/>
        </w:rPr>
        <w:t>shall</w:t>
      </w:r>
      <w:r>
        <w:rPr>
          <w:spacing w:val="19"/>
        </w:rPr>
        <w:t xml:space="preserve"> </w:t>
      </w:r>
      <w:r>
        <w:rPr>
          <w:spacing w:val="-1"/>
        </w:rPr>
        <w:t>use</w:t>
      </w:r>
      <w:r>
        <w:rPr>
          <w:spacing w:val="20"/>
        </w:rPr>
        <w:t xml:space="preserve"> </w:t>
      </w:r>
      <w:r>
        <w:rPr>
          <w:spacing w:val="-1"/>
        </w:rPr>
        <w:t>all</w:t>
      </w:r>
      <w:r>
        <w:rPr>
          <w:spacing w:val="51"/>
        </w:rPr>
        <w:t xml:space="preserve"> </w:t>
      </w:r>
      <w:r>
        <w:rPr>
          <w:spacing w:val="-1"/>
        </w:rPr>
        <w:t>reasonable</w:t>
      </w:r>
      <w:r>
        <w:rPr>
          <w:spacing w:val="15"/>
        </w:rPr>
        <w:t xml:space="preserve"> </w:t>
      </w:r>
      <w:r>
        <w:rPr>
          <w:spacing w:val="-1"/>
        </w:rPr>
        <w:t>endeavours</w:t>
      </w:r>
      <w:r>
        <w:rPr>
          <w:spacing w:val="16"/>
        </w:rPr>
        <w:t xml:space="preserve"> </w:t>
      </w:r>
      <w:r>
        <w:rPr>
          <w:spacing w:val="-1"/>
        </w:rPr>
        <w:t>to</w:t>
      </w:r>
      <w:r>
        <w:rPr>
          <w:spacing w:val="15"/>
        </w:rPr>
        <w:t xml:space="preserve"> </w:t>
      </w:r>
      <w:r>
        <w:rPr>
          <w:spacing w:val="-1"/>
        </w:rPr>
        <w:t>ensure</w:t>
      </w:r>
      <w:r>
        <w:rPr>
          <w:spacing w:val="15"/>
        </w:rPr>
        <w:t xml:space="preserve"> </w:t>
      </w:r>
      <w:r>
        <w:rPr>
          <w:spacing w:val="-1"/>
        </w:rPr>
        <w:t>that</w:t>
      </w:r>
      <w:r>
        <w:rPr>
          <w:spacing w:val="14"/>
        </w:rPr>
        <w:t xml:space="preserve"> </w:t>
      </w:r>
      <w:r>
        <w:t>the</w:t>
      </w:r>
      <w:r>
        <w:rPr>
          <w:spacing w:val="15"/>
        </w:rPr>
        <w:t xml:space="preserve"> </w:t>
      </w:r>
      <w:r>
        <w:rPr>
          <w:spacing w:val="-2"/>
        </w:rPr>
        <w:t>Approval</w:t>
      </w:r>
      <w:r>
        <w:rPr>
          <w:spacing w:val="14"/>
        </w:rPr>
        <w:t xml:space="preserve"> </w:t>
      </w:r>
      <w:r>
        <w:rPr>
          <w:spacing w:val="-1"/>
        </w:rPr>
        <w:t>process</w:t>
      </w:r>
      <w:r>
        <w:rPr>
          <w:spacing w:val="16"/>
        </w:rPr>
        <w:t xml:space="preserve"> </w:t>
      </w:r>
      <w:r>
        <w:rPr>
          <w:spacing w:val="-1"/>
        </w:rPr>
        <w:t>takes</w:t>
      </w:r>
      <w:r>
        <w:rPr>
          <w:spacing w:val="15"/>
        </w:rPr>
        <w:t xml:space="preserve"> </w:t>
      </w:r>
      <w:r>
        <w:rPr>
          <w:spacing w:val="-1"/>
        </w:rPr>
        <w:t>as</w:t>
      </w:r>
      <w:r>
        <w:rPr>
          <w:spacing w:val="16"/>
        </w:rPr>
        <w:t xml:space="preserve"> </w:t>
      </w:r>
      <w:r>
        <w:rPr>
          <w:spacing w:val="-2"/>
        </w:rPr>
        <w:t>little</w:t>
      </w:r>
      <w:r>
        <w:rPr>
          <w:spacing w:val="15"/>
        </w:rPr>
        <w:t xml:space="preserve"> </w:t>
      </w:r>
      <w:r>
        <w:rPr>
          <w:spacing w:val="-1"/>
        </w:rPr>
        <w:t>time</w:t>
      </w:r>
      <w:r>
        <w:rPr>
          <w:spacing w:val="15"/>
        </w:rPr>
        <w:t xml:space="preserve"> </w:t>
      </w:r>
      <w:r>
        <w:rPr>
          <w:spacing w:val="-3"/>
        </w:rPr>
        <w:t>as</w:t>
      </w:r>
      <w:r>
        <w:rPr>
          <w:spacing w:val="54"/>
        </w:rPr>
        <w:t xml:space="preserve"> </w:t>
      </w:r>
      <w:r>
        <w:rPr>
          <w:spacing w:val="-1"/>
        </w:rPr>
        <w:t>possible</w:t>
      </w:r>
      <w:r>
        <w:rPr>
          <w:spacing w:val="15"/>
        </w:rPr>
        <w:t xml:space="preserve"> </w:t>
      </w:r>
      <w:r>
        <w:rPr>
          <w:spacing w:val="-1"/>
        </w:rPr>
        <w:t>and</w:t>
      </w:r>
      <w:r>
        <w:rPr>
          <w:spacing w:val="15"/>
        </w:rPr>
        <w:t xml:space="preserve"> </w:t>
      </w:r>
      <w:r>
        <w:rPr>
          <w:spacing w:val="-1"/>
        </w:rPr>
        <w:t>in</w:t>
      </w:r>
      <w:r>
        <w:rPr>
          <w:spacing w:val="15"/>
        </w:rPr>
        <w:t xml:space="preserve"> </w:t>
      </w:r>
      <w:r>
        <w:rPr>
          <w:spacing w:val="-1"/>
        </w:rPr>
        <w:t>any</w:t>
      </w:r>
      <w:r>
        <w:rPr>
          <w:spacing w:val="13"/>
        </w:rPr>
        <w:t xml:space="preserve"> </w:t>
      </w:r>
      <w:r>
        <w:rPr>
          <w:spacing w:val="-1"/>
        </w:rPr>
        <w:t>event</w:t>
      </w:r>
      <w:r>
        <w:rPr>
          <w:spacing w:val="16"/>
        </w:rPr>
        <w:t xml:space="preserve"> </w:t>
      </w:r>
      <w:r>
        <w:rPr>
          <w:spacing w:val="-1"/>
        </w:rPr>
        <w:t>no</w:t>
      </w:r>
      <w:r>
        <w:rPr>
          <w:spacing w:val="15"/>
        </w:rPr>
        <w:t xml:space="preserve"> </w:t>
      </w:r>
      <w:r>
        <w:rPr>
          <w:spacing w:val="-1"/>
        </w:rPr>
        <w:t>longer</w:t>
      </w:r>
      <w:r>
        <w:rPr>
          <w:spacing w:val="14"/>
        </w:rPr>
        <w:t xml:space="preserve"> </w:t>
      </w:r>
      <w:r>
        <w:rPr>
          <w:spacing w:val="-1"/>
        </w:rPr>
        <w:t>than</w:t>
      </w:r>
      <w:r>
        <w:rPr>
          <w:spacing w:val="14"/>
        </w:rPr>
        <w:t xml:space="preserve"> </w:t>
      </w:r>
      <w:r>
        <w:rPr>
          <w:spacing w:val="-1"/>
        </w:rPr>
        <w:t>fifteen</w:t>
      </w:r>
      <w:r>
        <w:rPr>
          <w:spacing w:val="12"/>
        </w:rPr>
        <w:t xml:space="preserve"> </w:t>
      </w:r>
      <w:r>
        <w:rPr>
          <w:spacing w:val="-1"/>
        </w:rPr>
        <w:t>(15)</w:t>
      </w:r>
      <w:r>
        <w:rPr>
          <w:spacing w:val="9"/>
        </w:rPr>
        <w:t xml:space="preserve"> </w:t>
      </w:r>
      <w:r>
        <w:rPr>
          <w:spacing w:val="-1"/>
        </w:rPr>
        <w:t>Working</w:t>
      </w:r>
      <w:r>
        <w:rPr>
          <w:spacing w:val="17"/>
        </w:rPr>
        <w:t xml:space="preserve"> </w:t>
      </w:r>
      <w:r>
        <w:rPr>
          <w:spacing w:val="-2"/>
        </w:rPr>
        <w:t>Days</w:t>
      </w:r>
      <w:r>
        <w:rPr>
          <w:spacing w:val="15"/>
        </w:rPr>
        <w:t xml:space="preserve"> </w:t>
      </w:r>
      <w:r>
        <w:rPr>
          <w:spacing w:val="-1"/>
        </w:rPr>
        <w:t>(or</w:t>
      </w:r>
      <w:r>
        <w:rPr>
          <w:spacing w:val="16"/>
        </w:rPr>
        <w:t xml:space="preserve"> </w:t>
      </w:r>
      <w:r>
        <w:rPr>
          <w:spacing w:val="-2"/>
        </w:rPr>
        <w:t>such</w:t>
      </w:r>
      <w:r>
        <w:rPr>
          <w:spacing w:val="15"/>
        </w:rPr>
        <w:t xml:space="preserve"> </w:t>
      </w:r>
      <w:r>
        <w:rPr>
          <w:spacing w:val="-1"/>
        </w:rPr>
        <w:t>other</w:t>
      </w:r>
      <w:r>
        <w:rPr>
          <w:spacing w:val="55"/>
        </w:rPr>
        <w:t xml:space="preserve"> </w:t>
      </w:r>
      <w:r>
        <w:rPr>
          <w:spacing w:val="-1"/>
        </w:rPr>
        <w:t>period</w:t>
      </w:r>
      <w:r>
        <w:rPr>
          <w:spacing w:val="12"/>
        </w:rPr>
        <w:t xml:space="preserve"> </w:t>
      </w:r>
      <w:r>
        <w:rPr>
          <w:spacing w:val="-1"/>
        </w:rPr>
        <w:t>as</w:t>
      </w:r>
      <w:r>
        <w:rPr>
          <w:spacing w:val="13"/>
        </w:rPr>
        <w:t xml:space="preserve"> </w:t>
      </w:r>
      <w:r>
        <w:t>the</w:t>
      </w:r>
      <w:r>
        <w:rPr>
          <w:spacing w:val="12"/>
        </w:rPr>
        <w:t xml:space="preserve"> </w:t>
      </w:r>
      <w:r>
        <w:rPr>
          <w:spacing w:val="-1"/>
        </w:rPr>
        <w:t>Parties</w:t>
      </w:r>
      <w:r>
        <w:rPr>
          <w:spacing w:val="13"/>
        </w:rPr>
        <w:t xml:space="preserve"> </w:t>
      </w:r>
      <w:r>
        <w:rPr>
          <w:spacing w:val="-1"/>
        </w:rPr>
        <w:t>may</w:t>
      </w:r>
      <w:r>
        <w:rPr>
          <w:spacing w:val="10"/>
        </w:rPr>
        <w:t xml:space="preserve"> </w:t>
      </w:r>
      <w:r>
        <w:t>agree</w:t>
      </w:r>
      <w:r>
        <w:rPr>
          <w:spacing w:val="12"/>
        </w:rPr>
        <w:t xml:space="preserve"> </w:t>
      </w:r>
      <w:r>
        <w:rPr>
          <w:spacing w:val="-1"/>
        </w:rPr>
        <w:t>in</w:t>
      </w:r>
      <w:r>
        <w:rPr>
          <w:spacing w:val="15"/>
        </w:rPr>
        <w:t xml:space="preserve"> </w:t>
      </w:r>
      <w:r>
        <w:rPr>
          <w:spacing w:val="-1"/>
        </w:rPr>
        <w:t>writing)</w:t>
      </w:r>
      <w:r>
        <w:rPr>
          <w:spacing w:val="11"/>
        </w:rPr>
        <w:t xml:space="preserve"> </w:t>
      </w:r>
      <w:r>
        <w:t>from</w:t>
      </w:r>
      <w:r>
        <w:rPr>
          <w:spacing w:val="14"/>
        </w:rPr>
        <w:t xml:space="preserve"> </w:t>
      </w:r>
      <w:r>
        <w:rPr>
          <w:spacing w:val="-1"/>
        </w:rPr>
        <w:t>the</w:t>
      </w:r>
      <w:r>
        <w:rPr>
          <w:spacing w:val="12"/>
        </w:rPr>
        <w:t xml:space="preserve"> </w:t>
      </w:r>
      <w:r>
        <w:rPr>
          <w:spacing w:val="-1"/>
        </w:rPr>
        <w:t>date</w:t>
      </w:r>
      <w:r>
        <w:rPr>
          <w:spacing w:val="12"/>
        </w:rPr>
        <w:t xml:space="preserve"> </w:t>
      </w:r>
      <w:r>
        <w:rPr>
          <w:spacing w:val="-2"/>
        </w:rPr>
        <w:t>of</w:t>
      </w:r>
      <w:r>
        <w:rPr>
          <w:spacing w:val="16"/>
        </w:rPr>
        <w:t xml:space="preserve"> </w:t>
      </w:r>
      <w:r>
        <w:t>the</w:t>
      </w:r>
      <w:r>
        <w:rPr>
          <w:spacing w:val="10"/>
        </w:rPr>
        <w:t xml:space="preserve"> </w:t>
      </w:r>
      <w:r>
        <w:rPr>
          <w:spacing w:val="-1"/>
        </w:rPr>
        <w:t>first</w:t>
      </w:r>
      <w:r>
        <w:rPr>
          <w:spacing w:val="14"/>
        </w:rPr>
        <w:t xml:space="preserve"> </w:t>
      </w:r>
      <w:r>
        <w:rPr>
          <w:spacing w:val="-1"/>
        </w:rPr>
        <w:t>submission</w:t>
      </w:r>
      <w:r>
        <w:rPr>
          <w:spacing w:val="12"/>
        </w:rPr>
        <w:t xml:space="preserve"> </w:t>
      </w:r>
      <w:r>
        <w:rPr>
          <w:spacing w:val="-2"/>
        </w:rPr>
        <w:t>of</w:t>
      </w:r>
      <w:r>
        <w:rPr>
          <w:spacing w:val="31"/>
        </w:rPr>
        <w:t xml:space="preserve"> </w:t>
      </w:r>
      <w:r>
        <w:t xml:space="preserve">the </w:t>
      </w:r>
      <w:r>
        <w:rPr>
          <w:spacing w:val="-1"/>
        </w:rPr>
        <w:t>ISMS</w:t>
      </w:r>
      <w:r>
        <w:t xml:space="preserve"> to the </w:t>
      </w:r>
      <w:r>
        <w:rPr>
          <w:spacing w:val="-1"/>
        </w:rPr>
        <w:t>Customer.</w:t>
      </w:r>
      <w:r>
        <w:t xml:space="preserve"> </w:t>
      </w:r>
      <w:r>
        <w:rPr>
          <w:spacing w:val="-1"/>
        </w:rPr>
        <w:t>If</w:t>
      </w:r>
      <w:r>
        <w:rPr>
          <w:spacing w:val="2"/>
        </w:rPr>
        <w:t xml:space="preserve"> </w:t>
      </w:r>
      <w:r>
        <w:t xml:space="preserve">the </w:t>
      </w:r>
      <w:r>
        <w:rPr>
          <w:spacing w:val="-2"/>
        </w:rPr>
        <w:t>Customer</w:t>
      </w:r>
      <w:r>
        <w:rPr>
          <w:spacing w:val="2"/>
        </w:rPr>
        <w:t xml:space="preserve"> </w:t>
      </w:r>
      <w:r>
        <w:rPr>
          <w:spacing w:val="-1"/>
        </w:rPr>
        <w:t>does</w:t>
      </w:r>
      <w:r>
        <w:rPr>
          <w:spacing w:val="-2"/>
        </w:rPr>
        <w:t xml:space="preserve"> </w:t>
      </w:r>
      <w:r>
        <w:rPr>
          <w:spacing w:val="-1"/>
        </w:rPr>
        <w:t>not</w:t>
      </w:r>
      <w:r>
        <w:rPr>
          <w:spacing w:val="2"/>
        </w:rPr>
        <w:t xml:space="preserve"> </w:t>
      </w:r>
      <w:r>
        <w:rPr>
          <w:spacing w:val="-1"/>
        </w:rPr>
        <w:t>Approve</w:t>
      </w:r>
      <w:r>
        <w:t xml:space="preserve"> the </w:t>
      </w:r>
      <w:r>
        <w:rPr>
          <w:spacing w:val="-1"/>
        </w:rPr>
        <w:t>ISMS</w:t>
      </w:r>
      <w:r>
        <w:t xml:space="preserve"> </w:t>
      </w:r>
      <w:r>
        <w:rPr>
          <w:spacing w:val="-1"/>
        </w:rPr>
        <w:t>following</w:t>
      </w:r>
      <w:r>
        <w:rPr>
          <w:spacing w:val="3"/>
        </w:rPr>
        <w:t xml:space="preserve"> </w:t>
      </w:r>
      <w:r>
        <w:rPr>
          <w:spacing w:val="-1"/>
        </w:rPr>
        <w:t>its</w:t>
      </w:r>
    </w:p>
    <w:p w:rsidR="008918FA" w:rsidRDefault="008918FA" w:rsidP="008918FA">
      <w:pPr>
        <w:jc w:val="both"/>
        <w:sectPr w:rsidR="008918FA">
          <w:pgSz w:w="11910" w:h="16840"/>
          <w:pgMar w:top="1480" w:right="1300" w:bottom="1160" w:left="1680" w:header="0" w:footer="967" w:gutter="0"/>
          <w:cols w:space="720"/>
        </w:sectPr>
      </w:pPr>
    </w:p>
    <w:p w:rsidR="008918FA" w:rsidRDefault="008918FA" w:rsidP="008918FA">
      <w:pPr>
        <w:pStyle w:val="BodyText"/>
        <w:spacing w:before="59"/>
        <w:ind w:left="828" w:right="113" w:firstLine="0"/>
        <w:jc w:val="both"/>
      </w:pPr>
      <w:r>
        <w:rPr>
          <w:spacing w:val="-1"/>
        </w:rPr>
        <w:t>resubmission,</w:t>
      </w:r>
      <w:r>
        <w:rPr>
          <w:spacing w:val="32"/>
        </w:rPr>
        <w:t xml:space="preserve"> </w:t>
      </w:r>
      <w:r>
        <w:t>the</w:t>
      </w:r>
      <w:r>
        <w:rPr>
          <w:spacing w:val="30"/>
        </w:rPr>
        <w:t xml:space="preserve"> </w:t>
      </w:r>
      <w:r>
        <w:rPr>
          <w:spacing w:val="-1"/>
        </w:rPr>
        <w:t>matter</w:t>
      </w:r>
      <w:r>
        <w:rPr>
          <w:spacing w:val="34"/>
        </w:rPr>
        <w:t xml:space="preserve"> </w:t>
      </w:r>
      <w:r>
        <w:rPr>
          <w:spacing w:val="-1"/>
        </w:rPr>
        <w:t>shall</w:t>
      </w:r>
      <w:r>
        <w:rPr>
          <w:spacing w:val="32"/>
        </w:rPr>
        <w:t xml:space="preserve"> </w:t>
      </w:r>
      <w:r>
        <w:rPr>
          <w:spacing w:val="-1"/>
        </w:rPr>
        <w:t>be</w:t>
      </w:r>
      <w:r>
        <w:rPr>
          <w:spacing w:val="32"/>
        </w:rPr>
        <w:t xml:space="preserve"> </w:t>
      </w:r>
      <w:r>
        <w:rPr>
          <w:spacing w:val="-1"/>
        </w:rPr>
        <w:t>resolved</w:t>
      </w:r>
      <w:r>
        <w:rPr>
          <w:spacing w:val="32"/>
        </w:rPr>
        <w:t xml:space="preserve"> </w:t>
      </w:r>
      <w:r>
        <w:rPr>
          <w:spacing w:val="-1"/>
        </w:rPr>
        <w:t>in</w:t>
      </w:r>
      <w:r>
        <w:rPr>
          <w:spacing w:val="33"/>
        </w:rPr>
        <w:t xml:space="preserve"> </w:t>
      </w:r>
      <w:r>
        <w:rPr>
          <w:spacing w:val="-1"/>
        </w:rPr>
        <w:t>accordance</w:t>
      </w:r>
      <w:r>
        <w:rPr>
          <w:spacing w:val="33"/>
        </w:rPr>
        <w:t xml:space="preserve"> </w:t>
      </w:r>
      <w:r>
        <w:rPr>
          <w:spacing w:val="-2"/>
        </w:rPr>
        <w:t>with</w:t>
      </w:r>
      <w:r>
        <w:rPr>
          <w:spacing w:val="32"/>
        </w:rPr>
        <w:t xml:space="preserve"> </w:t>
      </w:r>
      <w:r>
        <w:t>the</w:t>
      </w:r>
      <w:r>
        <w:rPr>
          <w:spacing w:val="30"/>
        </w:rPr>
        <w:t xml:space="preserve"> </w:t>
      </w:r>
      <w:r>
        <w:rPr>
          <w:spacing w:val="-1"/>
        </w:rPr>
        <w:t>Dispute</w:t>
      </w:r>
      <w:r>
        <w:rPr>
          <w:spacing w:val="29"/>
        </w:rPr>
        <w:t xml:space="preserve"> </w:t>
      </w:r>
      <w:r>
        <w:rPr>
          <w:spacing w:val="-1"/>
        </w:rPr>
        <w:t>Resolution</w:t>
      </w:r>
      <w:r>
        <w:rPr>
          <w:spacing w:val="17"/>
        </w:rPr>
        <w:t xml:space="preserve"> </w:t>
      </w:r>
      <w:r>
        <w:rPr>
          <w:spacing w:val="-1"/>
        </w:rPr>
        <w:t>Procedure.</w:t>
      </w:r>
      <w:r>
        <w:rPr>
          <w:spacing w:val="34"/>
        </w:rPr>
        <w:t xml:space="preserve"> </w:t>
      </w:r>
      <w:r>
        <w:rPr>
          <w:spacing w:val="-1"/>
        </w:rPr>
        <w:t>No</w:t>
      </w:r>
      <w:r>
        <w:rPr>
          <w:spacing w:val="17"/>
        </w:rPr>
        <w:t xml:space="preserve"> </w:t>
      </w:r>
      <w:r>
        <w:rPr>
          <w:spacing w:val="-1"/>
        </w:rPr>
        <w:t>Approval</w:t>
      </w:r>
      <w:r>
        <w:rPr>
          <w:spacing w:val="17"/>
        </w:rPr>
        <w:t xml:space="preserve"> </w:t>
      </w:r>
      <w:r>
        <w:t>to</w:t>
      </w:r>
      <w:r>
        <w:rPr>
          <w:spacing w:val="17"/>
        </w:rPr>
        <w:t xml:space="preserve"> </w:t>
      </w:r>
      <w:r>
        <w:rPr>
          <w:spacing w:val="-1"/>
        </w:rPr>
        <w:t>be</w:t>
      </w:r>
      <w:r>
        <w:rPr>
          <w:spacing w:val="17"/>
        </w:rPr>
        <w:t xml:space="preserve"> </w:t>
      </w:r>
      <w:r>
        <w:rPr>
          <w:spacing w:val="-1"/>
        </w:rPr>
        <w:t>given</w:t>
      </w:r>
      <w:r>
        <w:rPr>
          <w:spacing w:val="20"/>
        </w:rPr>
        <w:t xml:space="preserve"> </w:t>
      </w:r>
      <w:r>
        <w:rPr>
          <w:spacing w:val="-1"/>
        </w:rPr>
        <w:t>by</w:t>
      </w:r>
      <w:r>
        <w:rPr>
          <w:spacing w:val="15"/>
        </w:rPr>
        <w:t xml:space="preserve"> </w:t>
      </w:r>
      <w:r>
        <w:t>the</w:t>
      </w:r>
      <w:r>
        <w:rPr>
          <w:spacing w:val="17"/>
        </w:rPr>
        <w:t xml:space="preserve"> </w:t>
      </w:r>
      <w:r>
        <w:rPr>
          <w:spacing w:val="-1"/>
        </w:rPr>
        <w:t>Customer</w:t>
      </w:r>
      <w:r>
        <w:rPr>
          <w:spacing w:val="19"/>
        </w:rPr>
        <w:t xml:space="preserve"> </w:t>
      </w:r>
      <w:r>
        <w:rPr>
          <w:spacing w:val="-2"/>
        </w:rPr>
        <w:t>pursuant</w:t>
      </w:r>
      <w:r>
        <w:rPr>
          <w:spacing w:val="19"/>
        </w:rPr>
        <w:t xml:space="preserve"> </w:t>
      </w:r>
      <w:r>
        <w:t>to</w:t>
      </w:r>
      <w:r>
        <w:rPr>
          <w:spacing w:val="15"/>
        </w:rPr>
        <w:t xml:space="preserve"> </w:t>
      </w:r>
      <w:r>
        <w:rPr>
          <w:spacing w:val="-1"/>
        </w:rPr>
        <w:t>this</w:t>
      </w:r>
      <w:r>
        <w:rPr>
          <w:spacing w:val="39"/>
        </w:rPr>
        <w:t xml:space="preserve"> </w:t>
      </w:r>
      <w:r>
        <w:rPr>
          <w:spacing w:val="-1"/>
        </w:rPr>
        <w:t>paragraph</w:t>
      </w:r>
      <w:r>
        <w:rPr>
          <w:spacing w:val="-2"/>
        </w:rPr>
        <w:t xml:space="preserve"> </w:t>
      </w:r>
      <w:hyperlink w:anchor="_bookmark334" w:history="1">
        <w:r>
          <w:t>3</w:t>
        </w:r>
      </w:hyperlink>
      <w:r>
        <w:rPr>
          <w:spacing w:val="29"/>
        </w:rPr>
        <w:t xml:space="preserve"> </w:t>
      </w:r>
      <w:r>
        <w:rPr>
          <w:spacing w:val="-2"/>
        </w:rPr>
        <w:t>of</w:t>
      </w:r>
      <w:r>
        <w:rPr>
          <w:spacing w:val="30"/>
        </w:rPr>
        <w:t xml:space="preserve"> </w:t>
      </w:r>
      <w:r>
        <w:rPr>
          <w:spacing w:val="-1"/>
        </w:rPr>
        <w:t>this</w:t>
      </w:r>
      <w:r>
        <w:rPr>
          <w:spacing w:val="30"/>
        </w:rPr>
        <w:t xml:space="preserve"> </w:t>
      </w:r>
      <w:r>
        <w:rPr>
          <w:spacing w:val="-2"/>
        </w:rPr>
        <w:t>Call</w:t>
      </w:r>
      <w:r>
        <w:rPr>
          <w:spacing w:val="31"/>
        </w:rPr>
        <w:t xml:space="preserve"> </w:t>
      </w:r>
      <w:r>
        <w:rPr>
          <w:spacing w:val="-1"/>
        </w:rPr>
        <w:t>Off</w:t>
      </w:r>
      <w:r>
        <w:rPr>
          <w:spacing w:val="30"/>
        </w:rPr>
        <w:t xml:space="preserve"> </w:t>
      </w:r>
      <w:r>
        <w:rPr>
          <w:spacing w:val="-1"/>
        </w:rPr>
        <w:t>Schedule</w:t>
      </w:r>
      <w:r>
        <w:rPr>
          <w:spacing w:val="30"/>
        </w:rPr>
        <w:t xml:space="preserve"> </w:t>
      </w:r>
      <w:r>
        <w:rPr>
          <w:spacing w:val="-1"/>
        </w:rPr>
        <w:t>may</w:t>
      </w:r>
      <w:r>
        <w:rPr>
          <w:spacing w:val="27"/>
        </w:rPr>
        <w:t xml:space="preserve"> </w:t>
      </w:r>
      <w:r>
        <w:rPr>
          <w:spacing w:val="-1"/>
        </w:rPr>
        <w:t>be</w:t>
      </w:r>
      <w:r>
        <w:rPr>
          <w:spacing w:val="29"/>
        </w:rPr>
        <w:t xml:space="preserve"> </w:t>
      </w:r>
      <w:r>
        <w:rPr>
          <w:spacing w:val="-1"/>
        </w:rPr>
        <w:t>unreasonably</w:t>
      </w:r>
      <w:r>
        <w:rPr>
          <w:spacing w:val="30"/>
        </w:rPr>
        <w:t xml:space="preserve"> </w:t>
      </w:r>
      <w:r>
        <w:rPr>
          <w:spacing w:val="-2"/>
        </w:rPr>
        <w:t>withheld</w:t>
      </w:r>
      <w:r>
        <w:rPr>
          <w:spacing w:val="29"/>
        </w:rPr>
        <w:t xml:space="preserve"> </w:t>
      </w:r>
      <w:r>
        <w:rPr>
          <w:spacing w:val="-1"/>
        </w:rPr>
        <w:t>or</w:t>
      </w:r>
      <w:r>
        <w:rPr>
          <w:spacing w:val="30"/>
        </w:rPr>
        <w:t xml:space="preserve"> </w:t>
      </w:r>
      <w:r>
        <w:rPr>
          <w:spacing w:val="-2"/>
        </w:rPr>
        <w:t>delayed.</w:t>
      </w:r>
      <w:r>
        <w:rPr>
          <w:spacing w:val="60"/>
        </w:rPr>
        <w:t xml:space="preserve"> </w:t>
      </w:r>
      <w:r>
        <w:rPr>
          <w:spacing w:val="-2"/>
        </w:rPr>
        <w:t>However</w:t>
      </w:r>
      <w:r>
        <w:rPr>
          <w:spacing w:val="23"/>
        </w:rPr>
        <w:t xml:space="preserve"> </w:t>
      </w:r>
      <w:r>
        <w:t>any</w:t>
      </w:r>
      <w:r>
        <w:rPr>
          <w:spacing w:val="20"/>
        </w:rPr>
        <w:t xml:space="preserve"> </w:t>
      </w:r>
      <w:r>
        <w:rPr>
          <w:spacing w:val="-1"/>
        </w:rPr>
        <w:t>failure</w:t>
      </w:r>
      <w:r>
        <w:rPr>
          <w:spacing w:val="22"/>
        </w:rPr>
        <w:t xml:space="preserve"> </w:t>
      </w:r>
      <w:r>
        <w:t>to</w:t>
      </w:r>
      <w:r>
        <w:rPr>
          <w:spacing w:val="20"/>
        </w:rPr>
        <w:t xml:space="preserve"> </w:t>
      </w:r>
      <w:r>
        <w:rPr>
          <w:spacing w:val="-1"/>
        </w:rPr>
        <w:t>approve</w:t>
      </w:r>
      <w:r>
        <w:rPr>
          <w:spacing w:val="22"/>
        </w:rPr>
        <w:t xml:space="preserve"> </w:t>
      </w:r>
      <w:r>
        <w:t>the</w:t>
      </w:r>
      <w:r>
        <w:rPr>
          <w:spacing w:val="22"/>
        </w:rPr>
        <w:t xml:space="preserve"> </w:t>
      </w:r>
      <w:r>
        <w:rPr>
          <w:spacing w:val="-1"/>
        </w:rPr>
        <w:t>ISMS</w:t>
      </w:r>
      <w:r>
        <w:rPr>
          <w:spacing w:val="21"/>
        </w:rPr>
        <w:t xml:space="preserve"> </w:t>
      </w:r>
      <w:r>
        <w:rPr>
          <w:spacing w:val="-1"/>
        </w:rPr>
        <w:t>on</w:t>
      </w:r>
      <w:r>
        <w:rPr>
          <w:spacing w:val="22"/>
        </w:rPr>
        <w:t xml:space="preserve"> </w:t>
      </w:r>
      <w:r>
        <w:t>the</w:t>
      </w:r>
      <w:r>
        <w:rPr>
          <w:spacing w:val="22"/>
        </w:rPr>
        <w:t xml:space="preserve"> </w:t>
      </w:r>
      <w:r>
        <w:rPr>
          <w:spacing w:val="-1"/>
        </w:rPr>
        <w:t>grounds</w:t>
      </w:r>
      <w:r>
        <w:rPr>
          <w:spacing w:val="22"/>
        </w:rPr>
        <w:t xml:space="preserve"> </w:t>
      </w:r>
      <w:r>
        <w:rPr>
          <w:spacing w:val="-1"/>
        </w:rPr>
        <w:t>that</w:t>
      </w:r>
      <w:r>
        <w:rPr>
          <w:spacing w:val="23"/>
        </w:rPr>
        <w:t xml:space="preserve"> </w:t>
      </w:r>
      <w:r>
        <w:rPr>
          <w:spacing w:val="-1"/>
        </w:rPr>
        <w:t>it</w:t>
      </w:r>
      <w:r>
        <w:rPr>
          <w:spacing w:val="23"/>
        </w:rPr>
        <w:t xml:space="preserve"> </w:t>
      </w:r>
      <w:r>
        <w:rPr>
          <w:spacing w:val="-1"/>
        </w:rPr>
        <w:t>does</w:t>
      </w:r>
      <w:r>
        <w:rPr>
          <w:spacing w:val="22"/>
        </w:rPr>
        <w:t xml:space="preserve"> </w:t>
      </w:r>
      <w:r>
        <w:rPr>
          <w:spacing w:val="-2"/>
        </w:rPr>
        <w:t>not</w:t>
      </w:r>
      <w:r>
        <w:rPr>
          <w:spacing w:val="23"/>
        </w:rPr>
        <w:t xml:space="preserve"> </w:t>
      </w:r>
      <w:r>
        <w:rPr>
          <w:spacing w:val="-1"/>
        </w:rPr>
        <w:t>comply</w:t>
      </w:r>
      <w:r>
        <w:rPr>
          <w:spacing w:val="41"/>
        </w:rPr>
        <w:t xml:space="preserve"> </w:t>
      </w:r>
      <w:r>
        <w:rPr>
          <w:spacing w:val="-1"/>
        </w:rPr>
        <w:t>with</w:t>
      </w:r>
      <w:r>
        <w:rPr>
          <w:spacing w:val="58"/>
        </w:rPr>
        <w:t xml:space="preserve"> </w:t>
      </w:r>
      <w:r>
        <w:rPr>
          <w:spacing w:val="-1"/>
        </w:rPr>
        <w:t>any</w:t>
      </w:r>
      <w:r>
        <w:rPr>
          <w:spacing w:val="56"/>
        </w:rPr>
        <w:t xml:space="preserve"> </w:t>
      </w:r>
      <w:r>
        <w:rPr>
          <w:spacing w:val="-2"/>
        </w:rPr>
        <w:t>of</w:t>
      </w:r>
      <w:r>
        <w:rPr>
          <w:spacing w:val="59"/>
        </w:rPr>
        <w:t xml:space="preserve"> </w:t>
      </w:r>
      <w:r>
        <w:t>the</w:t>
      </w:r>
      <w:r>
        <w:rPr>
          <w:spacing w:val="55"/>
        </w:rPr>
        <w:t xml:space="preserve"> </w:t>
      </w:r>
      <w:r>
        <w:rPr>
          <w:spacing w:val="-1"/>
        </w:rPr>
        <w:t>requirements</w:t>
      </w:r>
      <w:r>
        <w:rPr>
          <w:spacing w:val="56"/>
        </w:rPr>
        <w:t xml:space="preserve"> </w:t>
      </w:r>
      <w:r>
        <w:rPr>
          <w:spacing w:val="-2"/>
        </w:rPr>
        <w:t>set</w:t>
      </w:r>
      <w:r>
        <w:rPr>
          <w:spacing w:val="59"/>
        </w:rPr>
        <w:t xml:space="preserve"> </w:t>
      </w:r>
      <w:r>
        <w:rPr>
          <w:spacing w:val="-2"/>
        </w:rPr>
        <w:t>out</w:t>
      </w:r>
      <w:r>
        <w:rPr>
          <w:spacing w:val="60"/>
        </w:rPr>
        <w:t xml:space="preserve"> </w:t>
      </w:r>
      <w:r>
        <w:rPr>
          <w:spacing w:val="-1"/>
        </w:rPr>
        <w:t>in</w:t>
      </w:r>
      <w:r>
        <w:rPr>
          <w:spacing w:val="58"/>
        </w:rPr>
        <w:t xml:space="preserve"> </w:t>
      </w:r>
      <w:r>
        <w:rPr>
          <w:spacing w:val="-2"/>
        </w:rPr>
        <w:t>paragraphs</w:t>
      </w:r>
      <w:r>
        <w:rPr>
          <w:spacing w:val="3"/>
        </w:rPr>
        <w:t xml:space="preserve"> </w:t>
      </w:r>
      <w:hyperlink w:anchor="_bookmark336" w:history="1">
        <w:r>
          <w:rPr>
            <w:spacing w:val="-1"/>
          </w:rPr>
          <w:t>3.3</w:t>
        </w:r>
      </w:hyperlink>
      <w:r>
        <w:rPr>
          <w:spacing w:val="55"/>
        </w:rPr>
        <w:t xml:space="preserve"> </w:t>
      </w:r>
      <w:r>
        <w:t>to</w:t>
      </w:r>
      <w:r>
        <w:rPr>
          <w:spacing w:val="58"/>
        </w:rPr>
        <w:t xml:space="preserve"> </w:t>
      </w:r>
      <w:hyperlink w:anchor="_bookmark337" w:history="1">
        <w:r>
          <w:rPr>
            <w:spacing w:val="-1"/>
          </w:rPr>
          <w:t>3.5</w:t>
        </w:r>
      </w:hyperlink>
      <w:r>
        <w:rPr>
          <w:spacing w:val="58"/>
        </w:rPr>
        <w:t xml:space="preserve"> </w:t>
      </w:r>
      <w:r>
        <w:rPr>
          <w:spacing w:val="-2"/>
        </w:rPr>
        <w:t>of</w:t>
      </w:r>
      <w:r>
        <w:rPr>
          <w:spacing w:val="57"/>
        </w:rPr>
        <w:t xml:space="preserve"> </w:t>
      </w:r>
      <w:r>
        <w:rPr>
          <w:spacing w:val="-1"/>
        </w:rPr>
        <w:t>this</w:t>
      </w:r>
      <w:r>
        <w:rPr>
          <w:spacing w:val="57"/>
        </w:rPr>
        <w:t xml:space="preserve"> </w:t>
      </w:r>
      <w:r>
        <w:rPr>
          <w:spacing w:val="-2"/>
        </w:rPr>
        <w:t>Call</w:t>
      </w:r>
      <w:r>
        <w:rPr>
          <w:spacing w:val="57"/>
        </w:rPr>
        <w:t xml:space="preserve"> </w:t>
      </w:r>
      <w:r>
        <w:rPr>
          <w:spacing w:val="-1"/>
        </w:rPr>
        <w:t>Off</w:t>
      </w:r>
      <w:r>
        <w:rPr>
          <w:spacing w:val="63"/>
        </w:rPr>
        <w:t xml:space="preserve"> </w:t>
      </w:r>
      <w:r>
        <w:rPr>
          <w:spacing w:val="-1"/>
        </w:rPr>
        <w:t>Schedule</w:t>
      </w:r>
      <w:r>
        <w:rPr>
          <w:spacing w:val="1"/>
        </w:rPr>
        <w:t xml:space="preserve"> </w:t>
      </w:r>
      <w:r>
        <w:rPr>
          <w:spacing w:val="-1"/>
        </w:rPr>
        <w:t>shall</w:t>
      </w:r>
      <w:r>
        <w:t xml:space="preserve"> </w:t>
      </w:r>
      <w:r>
        <w:rPr>
          <w:spacing w:val="-1"/>
        </w:rPr>
        <w:t>be</w:t>
      </w:r>
      <w:r>
        <w:t xml:space="preserve"> </w:t>
      </w:r>
      <w:r>
        <w:rPr>
          <w:spacing w:val="-1"/>
        </w:rPr>
        <w:t>deemed</w:t>
      </w:r>
      <w:r>
        <w:t xml:space="preserve"> to</w:t>
      </w:r>
      <w:r>
        <w:rPr>
          <w:spacing w:val="-2"/>
        </w:rPr>
        <w:t xml:space="preserve"> </w:t>
      </w:r>
      <w:r>
        <w:rPr>
          <w:spacing w:val="-1"/>
        </w:rPr>
        <w:t>be</w:t>
      </w:r>
      <w:r>
        <w:rPr>
          <w:spacing w:val="-2"/>
        </w:rPr>
        <w:t xml:space="preserve"> </w:t>
      </w:r>
      <w:r>
        <w:rPr>
          <w:spacing w:val="-1"/>
        </w:rPr>
        <w:t>reasonable.</w:t>
      </w:r>
    </w:p>
    <w:p w:rsidR="008918FA" w:rsidRDefault="008918FA" w:rsidP="008918FA">
      <w:pPr>
        <w:pStyle w:val="BodyText"/>
        <w:numPr>
          <w:ilvl w:val="1"/>
          <w:numId w:val="14"/>
        </w:numPr>
        <w:tabs>
          <w:tab w:val="left" w:pos="829"/>
        </w:tabs>
        <w:ind w:left="828" w:right="115"/>
        <w:jc w:val="both"/>
      </w:pPr>
      <w:r>
        <w:rPr>
          <w:spacing w:val="-1"/>
        </w:rPr>
        <w:t>Approval</w:t>
      </w:r>
      <w:r>
        <w:rPr>
          <w:spacing w:val="24"/>
        </w:rPr>
        <w:t xml:space="preserve"> </w:t>
      </w:r>
      <w:r>
        <w:rPr>
          <w:spacing w:val="1"/>
        </w:rPr>
        <w:t>by</w:t>
      </w:r>
      <w:r>
        <w:rPr>
          <w:spacing w:val="22"/>
        </w:rPr>
        <w:t xml:space="preserve"> </w:t>
      </w:r>
      <w:r>
        <w:t>the</w:t>
      </w:r>
      <w:r>
        <w:rPr>
          <w:spacing w:val="24"/>
        </w:rPr>
        <w:t xml:space="preserve"> </w:t>
      </w:r>
      <w:r>
        <w:rPr>
          <w:spacing w:val="-1"/>
        </w:rPr>
        <w:t>Customer</w:t>
      </w:r>
      <w:r>
        <w:rPr>
          <w:spacing w:val="26"/>
        </w:rPr>
        <w:t xml:space="preserve"> </w:t>
      </w:r>
      <w:r>
        <w:rPr>
          <w:spacing w:val="-2"/>
        </w:rPr>
        <w:t>of</w:t>
      </w:r>
      <w:r>
        <w:rPr>
          <w:spacing w:val="28"/>
        </w:rPr>
        <w:t xml:space="preserve"> </w:t>
      </w:r>
      <w:r>
        <w:t>the</w:t>
      </w:r>
      <w:r>
        <w:rPr>
          <w:spacing w:val="22"/>
        </w:rPr>
        <w:t xml:space="preserve"> </w:t>
      </w:r>
      <w:r>
        <w:rPr>
          <w:spacing w:val="-1"/>
        </w:rPr>
        <w:t>ISMS</w:t>
      </w:r>
      <w:r>
        <w:rPr>
          <w:spacing w:val="24"/>
        </w:rPr>
        <w:t xml:space="preserve"> </w:t>
      </w:r>
      <w:r>
        <w:rPr>
          <w:spacing w:val="-1"/>
        </w:rPr>
        <w:t>pursuant</w:t>
      </w:r>
      <w:r>
        <w:rPr>
          <w:spacing w:val="26"/>
        </w:rPr>
        <w:t xml:space="preserve"> </w:t>
      </w:r>
      <w:r>
        <w:t>to</w:t>
      </w:r>
      <w:r>
        <w:rPr>
          <w:spacing w:val="24"/>
        </w:rPr>
        <w:t xml:space="preserve"> </w:t>
      </w:r>
      <w:r>
        <w:rPr>
          <w:spacing w:val="-1"/>
        </w:rPr>
        <w:t>paragraph</w:t>
      </w:r>
      <w:r>
        <w:t xml:space="preserve"> </w:t>
      </w:r>
      <w:hyperlink w:anchor="_bookmark338" w:history="1">
        <w:r>
          <w:t>3.6</w:t>
        </w:r>
      </w:hyperlink>
      <w:r>
        <w:rPr>
          <w:spacing w:val="24"/>
        </w:rPr>
        <w:t xml:space="preserve"> </w:t>
      </w:r>
      <w:r>
        <w:rPr>
          <w:spacing w:val="-2"/>
        </w:rPr>
        <w:t>of</w:t>
      </w:r>
      <w:r>
        <w:rPr>
          <w:spacing w:val="26"/>
        </w:rPr>
        <w:t xml:space="preserve"> </w:t>
      </w:r>
      <w:r>
        <w:rPr>
          <w:spacing w:val="-1"/>
        </w:rPr>
        <w:t>this</w:t>
      </w:r>
      <w:r>
        <w:rPr>
          <w:spacing w:val="22"/>
        </w:rPr>
        <w:t xml:space="preserve"> </w:t>
      </w:r>
      <w:r>
        <w:rPr>
          <w:spacing w:val="-2"/>
        </w:rPr>
        <w:t>Call</w:t>
      </w:r>
      <w:r>
        <w:rPr>
          <w:spacing w:val="24"/>
        </w:rPr>
        <w:t xml:space="preserve"> </w:t>
      </w:r>
      <w:r>
        <w:rPr>
          <w:spacing w:val="-1"/>
        </w:rPr>
        <w:t>Off</w:t>
      </w:r>
      <w:r>
        <w:rPr>
          <w:spacing w:val="37"/>
        </w:rPr>
        <w:t xml:space="preserve"> </w:t>
      </w:r>
      <w:r>
        <w:rPr>
          <w:spacing w:val="-1"/>
        </w:rPr>
        <w:t>Schedule</w:t>
      </w:r>
      <w:r>
        <w:rPr>
          <w:spacing w:val="58"/>
        </w:rPr>
        <w:t xml:space="preserve"> </w:t>
      </w:r>
      <w:r>
        <w:rPr>
          <w:spacing w:val="-1"/>
        </w:rPr>
        <w:t>or</w:t>
      </w:r>
      <w:r>
        <w:rPr>
          <w:spacing w:val="59"/>
        </w:rPr>
        <w:t xml:space="preserve"> </w:t>
      </w:r>
      <w:r>
        <w:rPr>
          <w:spacing w:val="-2"/>
        </w:rPr>
        <w:t>of</w:t>
      </w:r>
      <w:r>
        <w:t xml:space="preserve"> </w:t>
      </w:r>
      <w:r>
        <w:rPr>
          <w:spacing w:val="-1"/>
        </w:rPr>
        <w:t>any</w:t>
      </w:r>
      <w:r>
        <w:rPr>
          <w:spacing w:val="56"/>
        </w:rPr>
        <w:t xml:space="preserve"> </w:t>
      </w:r>
      <w:r>
        <w:rPr>
          <w:spacing w:val="-1"/>
        </w:rPr>
        <w:t>change</w:t>
      </w:r>
      <w:r>
        <w:rPr>
          <w:spacing w:val="53"/>
        </w:rPr>
        <w:t xml:space="preserve"> </w:t>
      </w:r>
      <w:r>
        <w:t>to</w:t>
      </w:r>
      <w:r>
        <w:rPr>
          <w:spacing w:val="58"/>
        </w:rPr>
        <w:t xml:space="preserve"> </w:t>
      </w:r>
      <w:r>
        <w:t>the</w:t>
      </w:r>
      <w:r>
        <w:rPr>
          <w:spacing w:val="55"/>
        </w:rPr>
        <w:t xml:space="preserve"> </w:t>
      </w:r>
      <w:r>
        <w:rPr>
          <w:spacing w:val="-1"/>
        </w:rPr>
        <w:t>ISMS</w:t>
      </w:r>
      <w:r>
        <w:rPr>
          <w:spacing w:val="58"/>
        </w:rPr>
        <w:t xml:space="preserve"> </w:t>
      </w:r>
      <w:r>
        <w:rPr>
          <w:spacing w:val="-1"/>
        </w:rPr>
        <w:t>shall</w:t>
      </w:r>
      <w:r>
        <w:rPr>
          <w:spacing w:val="57"/>
        </w:rPr>
        <w:t xml:space="preserve"> </w:t>
      </w:r>
      <w:r>
        <w:rPr>
          <w:spacing w:val="-1"/>
        </w:rPr>
        <w:t>not</w:t>
      </w:r>
      <w:r>
        <w:rPr>
          <w:spacing w:val="59"/>
        </w:rPr>
        <w:t xml:space="preserve"> </w:t>
      </w:r>
      <w:r>
        <w:rPr>
          <w:spacing w:val="-2"/>
        </w:rPr>
        <w:t>relieve</w:t>
      </w:r>
      <w:r>
        <w:rPr>
          <w:spacing w:val="58"/>
        </w:rPr>
        <w:t xml:space="preserve"> </w:t>
      </w:r>
      <w:r>
        <w:t>the</w:t>
      </w:r>
      <w:r>
        <w:rPr>
          <w:spacing w:val="58"/>
        </w:rPr>
        <w:t xml:space="preserve"> </w:t>
      </w:r>
      <w:r>
        <w:rPr>
          <w:spacing w:val="-1"/>
        </w:rPr>
        <w:t>Supplier</w:t>
      </w:r>
      <w:r>
        <w:rPr>
          <w:spacing w:val="59"/>
        </w:rPr>
        <w:t xml:space="preserve"> </w:t>
      </w:r>
      <w:r>
        <w:rPr>
          <w:spacing w:val="-1"/>
        </w:rPr>
        <w:t>of</w:t>
      </w:r>
      <w:r w:rsidR="001C1527">
        <w:t xml:space="preserve"> </w:t>
      </w:r>
      <w:r>
        <w:rPr>
          <w:spacing w:val="-2"/>
        </w:rPr>
        <w:t>its</w:t>
      </w:r>
      <w:r>
        <w:rPr>
          <w:spacing w:val="45"/>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Schedule.</w:t>
      </w:r>
    </w:p>
    <w:p w:rsidR="008918FA" w:rsidRDefault="008918FA" w:rsidP="008918FA">
      <w:pPr>
        <w:pStyle w:val="BodyText"/>
        <w:numPr>
          <w:ilvl w:val="0"/>
          <w:numId w:val="14"/>
        </w:numPr>
        <w:tabs>
          <w:tab w:val="left" w:pos="466"/>
        </w:tabs>
        <w:spacing w:before="120"/>
        <w:rPr>
          <w:rFonts w:ascii="Times New Roman" w:eastAsia="Times New Roman" w:hAnsi="Times New Roman" w:cs="Times New Roman"/>
        </w:rPr>
      </w:pPr>
      <w:bookmarkStart w:id="416" w:name="_bookmark339"/>
      <w:bookmarkEnd w:id="416"/>
      <w:r>
        <w:rPr>
          <w:rFonts w:ascii="Times New Roman"/>
          <w:spacing w:val="4"/>
        </w:rPr>
        <w:t>SECURITY</w:t>
      </w:r>
      <w:r>
        <w:rPr>
          <w:rFonts w:ascii="Times New Roman"/>
          <w:spacing w:val="-6"/>
        </w:rPr>
        <w:t xml:space="preserve"> </w:t>
      </w:r>
      <w:r>
        <w:rPr>
          <w:rFonts w:ascii="Times New Roman"/>
        </w:rPr>
        <w:t>MANAGEMENT</w:t>
      </w:r>
      <w:r>
        <w:rPr>
          <w:rFonts w:ascii="Times New Roman"/>
          <w:spacing w:val="4"/>
        </w:rPr>
        <w:t xml:space="preserve"> </w:t>
      </w:r>
      <w:r>
        <w:rPr>
          <w:rFonts w:ascii="Times New Roman"/>
          <w:spacing w:val="3"/>
        </w:rPr>
        <w:t>PLAN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14"/>
        </w:numPr>
        <w:tabs>
          <w:tab w:val="left" w:pos="828"/>
        </w:tabs>
        <w:spacing w:before="0"/>
        <w:ind w:left="828" w:right="112" w:hanging="361"/>
        <w:jc w:val="both"/>
      </w:pPr>
      <w:r>
        <w:rPr>
          <w:spacing w:val="-1"/>
        </w:rPr>
        <w:t>Within</w:t>
      </w:r>
      <w:r>
        <w:rPr>
          <w:spacing w:val="51"/>
        </w:rPr>
        <w:t xml:space="preserve"> </w:t>
      </w:r>
      <w:r>
        <w:rPr>
          <w:spacing w:val="-1"/>
        </w:rPr>
        <w:t>twenty</w:t>
      </w:r>
      <w:r>
        <w:rPr>
          <w:spacing w:val="49"/>
        </w:rPr>
        <w:t xml:space="preserve"> </w:t>
      </w:r>
      <w:r>
        <w:rPr>
          <w:spacing w:val="-1"/>
        </w:rPr>
        <w:t>(20)</w:t>
      </w:r>
      <w:r>
        <w:rPr>
          <w:spacing w:val="49"/>
        </w:rPr>
        <w:t xml:space="preserve"> </w:t>
      </w:r>
      <w:r>
        <w:rPr>
          <w:spacing w:val="-1"/>
        </w:rPr>
        <w:t>Working</w:t>
      </w:r>
      <w:r>
        <w:rPr>
          <w:spacing w:val="53"/>
        </w:rPr>
        <w:t xml:space="preserve"> </w:t>
      </w:r>
      <w:r>
        <w:rPr>
          <w:spacing w:val="-2"/>
        </w:rPr>
        <w:t>Days</w:t>
      </w:r>
      <w:r>
        <w:rPr>
          <w:spacing w:val="51"/>
        </w:rPr>
        <w:t xml:space="preserve"> </w:t>
      </w:r>
      <w:r>
        <w:t>after</w:t>
      </w:r>
      <w:r>
        <w:rPr>
          <w:spacing w:val="52"/>
        </w:rPr>
        <w:t xml:space="preserve"> </w:t>
      </w:r>
      <w:r>
        <w:t>the</w:t>
      </w:r>
      <w:r>
        <w:rPr>
          <w:spacing w:val="52"/>
        </w:rPr>
        <w:t xml:space="preserve"> </w:t>
      </w:r>
      <w:r>
        <w:rPr>
          <w:spacing w:val="-2"/>
        </w:rPr>
        <w:t>Call</w:t>
      </w:r>
      <w:r>
        <w:rPr>
          <w:spacing w:val="50"/>
        </w:rPr>
        <w:t xml:space="preserve"> </w:t>
      </w:r>
      <w:r>
        <w:t>Off</w:t>
      </w:r>
      <w:r>
        <w:rPr>
          <w:spacing w:val="52"/>
        </w:rPr>
        <w:t xml:space="preserve"> </w:t>
      </w:r>
      <w:r>
        <w:rPr>
          <w:spacing w:val="-2"/>
        </w:rPr>
        <w:t>Commencement</w:t>
      </w:r>
      <w:r>
        <w:rPr>
          <w:spacing w:val="52"/>
        </w:rPr>
        <w:t xml:space="preserve"> </w:t>
      </w:r>
      <w:r>
        <w:rPr>
          <w:spacing w:val="-1"/>
        </w:rPr>
        <w:t>Date,</w:t>
      </w:r>
      <w:r>
        <w:rPr>
          <w:spacing w:val="52"/>
        </w:rPr>
        <w:t xml:space="preserve"> </w:t>
      </w:r>
      <w:r>
        <w:rPr>
          <w:spacing w:val="-1"/>
        </w:rPr>
        <w:t>the</w:t>
      </w:r>
      <w:r>
        <w:rPr>
          <w:spacing w:val="64"/>
        </w:rPr>
        <w:t xml:space="preserve"> </w:t>
      </w:r>
      <w:r>
        <w:rPr>
          <w:spacing w:val="-2"/>
        </w:rPr>
        <w:t>Supplier</w:t>
      </w:r>
      <w:r>
        <w:rPr>
          <w:spacing w:val="9"/>
        </w:rPr>
        <w:t xml:space="preserve"> </w:t>
      </w:r>
      <w:r>
        <w:rPr>
          <w:spacing w:val="-1"/>
        </w:rPr>
        <w:t>shall</w:t>
      </w:r>
      <w:r>
        <w:rPr>
          <w:spacing w:val="7"/>
        </w:rPr>
        <w:t xml:space="preserve"> </w:t>
      </w:r>
      <w:r>
        <w:rPr>
          <w:spacing w:val="-1"/>
        </w:rPr>
        <w:t>prepare</w:t>
      </w:r>
      <w:r>
        <w:rPr>
          <w:spacing w:val="5"/>
        </w:rPr>
        <w:t xml:space="preserve"> </w:t>
      </w:r>
      <w:r>
        <w:rPr>
          <w:spacing w:val="-2"/>
        </w:rPr>
        <w:t>and</w:t>
      </w:r>
      <w:r>
        <w:rPr>
          <w:spacing w:val="7"/>
        </w:rPr>
        <w:t xml:space="preserve"> </w:t>
      </w:r>
      <w:r>
        <w:rPr>
          <w:spacing w:val="-1"/>
        </w:rPr>
        <w:t>submit</w:t>
      </w:r>
      <w:r>
        <w:rPr>
          <w:spacing w:val="7"/>
        </w:rPr>
        <w:t xml:space="preserve"> </w:t>
      </w:r>
      <w:r>
        <w:t>to</w:t>
      </w:r>
      <w:r>
        <w:rPr>
          <w:spacing w:val="5"/>
        </w:rPr>
        <w:t xml:space="preserve"> </w:t>
      </w:r>
      <w:r>
        <w:t>the</w:t>
      </w:r>
      <w:r>
        <w:rPr>
          <w:spacing w:val="7"/>
        </w:rPr>
        <w:t xml:space="preserve"> </w:t>
      </w:r>
      <w:r>
        <w:rPr>
          <w:spacing w:val="-2"/>
        </w:rPr>
        <w:t>Customer</w:t>
      </w:r>
      <w:r>
        <w:rPr>
          <w:spacing w:val="6"/>
        </w:rPr>
        <w:t xml:space="preserve"> </w:t>
      </w:r>
      <w:r>
        <w:t>for</w:t>
      </w:r>
      <w:r>
        <w:rPr>
          <w:spacing w:val="9"/>
        </w:rPr>
        <w:t xml:space="preserve"> </w:t>
      </w:r>
      <w:r>
        <w:rPr>
          <w:spacing w:val="-2"/>
        </w:rPr>
        <w:t>Approval</w:t>
      </w:r>
      <w:r>
        <w:rPr>
          <w:spacing w:val="7"/>
        </w:rPr>
        <w:t xml:space="preserve"> </w:t>
      </w:r>
      <w:r>
        <w:rPr>
          <w:spacing w:val="-1"/>
        </w:rPr>
        <w:t>in</w:t>
      </w:r>
      <w:r>
        <w:rPr>
          <w:spacing w:val="7"/>
        </w:rPr>
        <w:t xml:space="preserve"> </w:t>
      </w:r>
      <w:r>
        <w:rPr>
          <w:spacing w:val="-1"/>
        </w:rPr>
        <w:t>accordance</w:t>
      </w:r>
      <w:r>
        <w:rPr>
          <w:spacing w:val="8"/>
        </w:rPr>
        <w:t xml:space="preserve"> </w:t>
      </w:r>
      <w:r>
        <w:rPr>
          <w:spacing w:val="-2"/>
        </w:rPr>
        <w:t>with</w:t>
      </w:r>
      <w:r>
        <w:rPr>
          <w:spacing w:val="63"/>
        </w:rPr>
        <w:t xml:space="preserve"> </w:t>
      </w:r>
      <w:r>
        <w:rPr>
          <w:spacing w:val="-1"/>
        </w:rPr>
        <w:t>paragraph</w:t>
      </w:r>
      <w:r>
        <w:rPr>
          <w:spacing w:val="25"/>
        </w:rPr>
        <w:t xml:space="preserve"> </w:t>
      </w:r>
      <w:hyperlink w:anchor="_bookmark339" w:history="1">
        <w:r>
          <w:t>4</w:t>
        </w:r>
      </w:hyperlink>
      <w:r>
        <w:rPr>
          <w:spacing w:val="22"/>
        </w:rPr>
        <w:t xml:space="preserve"> </w:t>
      </w:r>
      <w:r>
        <w:rPr>
          <w:spacing w:val="-2"/>
        </w:rPr>
        <w:t>of</w:t>
      </w:r>
      <w:r>
        <w:rPr>
          <w:spacing w:val="26"/>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26"/>
        </w:rPr>
        <w:t xml:space="preserve"> </w:t>
      </w:r>
      <w:r>
        <w:rPr>
          <w:spacing w:val="-1"/>
        </w:rPr>
        <w:t>Schedule</w:t>
      </w:r>
      <w:r>
        <w:rPr>
          <w:spacing w:val="26"/>
        </w:rPr>
        <w:t xml:space="preserve"> </w:t>
      </w:r>
      <w:r>
        <w:t>a</w:t>
      </w:r>
      <w:r>
        <w:rPr>
          <w:spacing w:val="19"/>
        </w:rPr>
        <w:t xml:space="preserve"> </w:t>
      </w:r>
      <w:r>
        <w:rPr>
          <w:spacing w:val="-1"/>
        </w:rPr>
        <w:t>fully</w:t>
      </w:r>
      <w:r>
        <w:rPr>
          <w:spacing w:val="23"/>
        </w:rPr>
        <w:t xml:space="preserve"> </w:t>
      </w:r>
      <w:r>
        <w:rPr>
          <w:spacing w:val="-2"/>
        </w:rPr>
        <w:t>developed,</w:t>
      </w:r>
      <w:r>
        <w:rPr>
          <w:spacing w:val="26"/>
        </w:rPr>
        <w:t xml:space="preserve"> </w:t>
      </w:r>
      <w:r>
        <w:rPr>
          <w:spacing w:val="-1"/>
        </w:rPr>
        <w:t>complete</w:t>
      </w:r>
      <w:r>
        <w:rPr>
          <w:spacing w:val="24"/>
        </w:rPr>
        <w:t xml:space="preserve"> </w:t>
      </w:r>
      <w:r>
        <w:rPr>
          <w:spacing w:val="-1"/>
        </w:rPr>
        <w:t>and</w:t>
      </w:r>
      <w:r>
        <w:rPr>
          <w:spacing w:val="22"/>
        </w:rPr>
        <w:t xml:space="preserve"> </w:t>
      </w:r>
      <w:r>
        <w:rPr>
          <w:spacing w:val="-1"/>
        </w:rPr>
        <w:t>up-to-date</w:t>
      </w:r>
      <w:r>
        <w:rPr>
          <w:spacing w:val="67"/>
        </w:rPr>
        <w:t xml:space="preserve"> </w:t>
      </w:r>
      <w:r>
        <w:rPr>
          <w:spacing w:val="-1"/>
        </w:rPr>
        <w:t>Security</w:t>
      </w:r>
      <w:r>
        <w:rPr>
          <w:spacing w:val="6"/>
        </w:rPr>
        <w:t xml:space="preserve"> </w:t>
      </w:r>
      <w:r>
        <w:rPr>
          <w:spacing w:val="-1"/>
        </w:rPr>
        <w:t>Management</w:t>
      </w:r>
      <w:r>
        <w:rPr>
          <w:spacing w:val="7"/>
        </w:rPr>
        <w:t xml:space="preserve"> </w:t>
      </w:r>
      <w:r>
        <w:rPr>
          <w:spacing w:val="-1"/>
        </w:rPr>
        <w:t>Plan</w:t>
      </w:r>
      <w:r>
        <w:rPr>
          <w:spacing w:val="10"/>
        </w:rPr>
        <w:t xml:space="preserve"> </w:t>
      </w:r>
      <w:r>
        <w:rPr>
          <w:spacing w:val="-2"/>
        </w:rPr>
        <w:t>which</w:t>
      </w:r>
      <w:r>
        <w:rPr>
          <w:spacing w:val="8"/>
        </w:rPr>
        <w:t xml:space="preserve"> </w:t>
      </w:r>
      <w:r>
        <w:rPr>
          <w:spacing w:val="-1"/>
        </w:rPr>
        <w:t>shall</w:t>
      </w:r>
      <w:r>
        <w:rPr>
          <w:spacing w:val="7"/>
        </w:rPr>
        <w:t xml:space="preserve"> </w:t>
      </w:r>
      <w:r>
        <w:rPr>
          <w:spacing w:val="-1"/>
        </w:rPr>
        <w:t>comply</w:t>
      </w:r>
      <w:r>
        <w:rPr>
          <w:spacing w:val="8"/>
        </w:rPr>
        <w:t xml:space="preserve"> </w:t>
      </w:r>
      <w:r>
        <w:rPr>
          <w:spacing w:val="-2"/>
        </w:rPr>
        <w:t>with</w:t>
      </w:r>
      <w:r>
        <w:rPr>
          <w:spacing w:val="8"/>
        </w:rPr>
        <w:t xml:space="preserve"> </w:t>
      </w:r>
      <w:r>
        <w:t xml:space="preserve">the </w:t>
      </w:r>
      <w:r>
        <w:rPr>
          <w:spacing w:val="7"/>
        </w:rPr>
        <w:t xml:space="preserve"> </w:t>
      </w:r>
      <w:r>
        <w:rPr>
          <w:spacing w:val="-1"/>
        </w:rPr>
        <w:t>requirements</w:t>
      </w:r>
      <w:r>
        <w:t xml:space="preserve"> </w:t>
      </w:r>
      <w:r>
        <w:rPr>
          <w:spacing w:val="6"/>
        </w:rPr>
        <w:t xml:space="preserve"> </w:t>
      </w:r>
      <w:r>
        <w:rPr>
          <w:spacing w:val="-2"/>
        </w:rPr>
        <w:t>of</w:t>
      </w:r>
      <w:r>
        <w:rPr>
          <w:spacing w:val="43"/>
        </w:rPr>
        <w:t xml:space="preserve"> </w:t>
      </w:r>
      <w:r>
        <w:rPr>
          <w:spacing w:val="-1"/>
        </w:rPr>
        <w:t>paragraph</w:t>
      </w:r>
      <w:r>
        <w:rPr>
          <w:spacing w:val="-2"/>
        </w:rPr>
        <w:t xml:space="preserve"> </w:t>
      </w:r>
      <w:hyperlink w:anchor="_bookmark340" w:history="1">
        <w:r>
          <w:t>4.2</w:t>
        </w:r>
      </w:hyperlink>
      <w:r>
        <w:rPr>
          <w:spacing w:val="-2"/>
        </w:rPr>
        <w:t xml:space="preserve"> of</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2"/>
        </w:rPr>
        <w:t>Schedule.</w:t>
      </w:r>
    </w:p>
    <w:p w:rsidR="008918FA" w:rsidRDefault="008918FA" w:rsidP="008918FA">
      <w:pPr>
        <w:pStyle w:val="BodyText"/>
        <w:numPr>
          <w:ilvl w:val="1"/>
          <w:numId w:val="14"/>
        </w:numPr>
        <w:tabs>
          <w:tab w:val="left" w:pos="828"/>
        </w:tabs>
        <w:jc w:val="left"/>
      </w:pPr>
      <w:bookmarkStart w:id="417" w:name="_bookmark340"/>
      <w:bookmarkEnd w:id="417"/>
      <w:r>
        <w:t>The</w:t>
      </w:r>
      <w:r>
        <w:rPr>
          <w:spacing w:val="-2"/>
        </w:rPr>
        <w:t xml:space="preserve"> </w:t>
      </w:r>
      <w:r>
        <w:rPr>
          <w:spacing w:val="-1"/>
        </w:rPr>
        <w:t>Security</w:t>
      </w:r>
      <w:r>
        <w:rPr>
          <w:spacing w:val="-2"/>
        </w:rPr>
        <w:t xml:space="preserve"> </w:t>
      </w:r>
      <w:r>
        <w:rPr>
          <w:spacing w:val="-1"/>
        </w:rPr>
        <w:t>Management</w:t>
      </w:r>
      <w:r>
        <w:rPr>
          <w:spacing w:val="2"/>
        </w:rPr>
        <w:t xml:space="preserve"> </w:t>
      </w:r>
      <w:r>
        <w:rPr>
          <w:spacing w:val="-1"/>
        </w:rPr>
        <w:t>Plan</w:t>
      </w:r>
      <w:r>
        <w:t xml:space="preserve"> </w:t>
      </w:r>
      <w:r>
        <w:rPr>
          <w:spacing w:val="-1"/>
        </w:rPr>
        <w:t>shall:</w:t>
      </w:r>
    </w:p>
    <w:p w:rsidR="008918FA" w:rsidRDefault="008918FA" w:rsidP="008918FA">
      <w:pPr>
        <w:pStyle w:val="BodyText"/>
        <w:numPr>
          <w:ilvl w:val="2"/>
          <w:numId w:val="14"/>
        </w:numPr>
        <w:tabs>
          <w:tab w:val="left" w:pos="2026"/>
        </w:tabs>
        <w:spacing w:before="121"/>
        <w:ind w:right="116"/>
        <w:jc w:val="both"/>
      </w:pPr>
      <w:r>
        <w:rPr>
          <w:spacing w:val="-1"/>
        </w:rPr>
        <w:t>be</w:t>
      </w:r>
      <w:r>
        <w:rPr>
          <w:spacing w:val="22"/>
        </w:rPr>
        <w:t xml:space="preserve"> </w:t>
      </w:r>
      <w:r>
        <w:rPr>
          <w:spacing w:val="-1"/>
        </w:rPr>
        <w:t>based</w:t>
      </w:r>
      <w:r>
        <w:rPr>
          <w:spacing w:val="22"/>
        </w:rPr>
        <w:t xml:space="preserve"> </w:t>
      </w:r>
      <w:r>
        <w:rPr>
          <w:spacing w:val="-1"/>
        </w:rPr>
        <w:t>on</w:t>
      </w:r>
      <w:r>
        <w:rPr>
          <w:spacing w:val="22"/>
        </w:rPr>
        <w:t xml:space="preserve"> </w:t>
      </w:r>
      <w:r>
        <w:t>the</w:t>
      </w:r>
      <w:r>
        <w:rPr>
          <w:spacing w:val="22"/>
        </w:rPr>
        <w:t xml:space="preserve"> </w:t>
      </w:r>
      <w:r>
        <w:rPr>
          <w:spacing w:val="-1"/>
        </w:rPr>
        <w:t>initial</w:t>
      </w:r>
      <w:r>
        <w:rPr>
          <w:spacing w:val="24"/>
        </w:rPr>
        <w:t xml:space="preserve"> </w:t>
      </w:r>
      <w:r>
        <w:rPr>
          <w:spacing w:val="-1"/>
        </w:rPr>
        <w:t>Security</w:t>
      </w:r>
      <w:r>
        <w:rPr>
          <w:spacing w:val="22"/>
        </w:rPr>
        <w:t xml:space="preserve"> </w:t>
      </w:r>
      <w:r>
        <w:rPr>
          <w:spacing w:val="-1"/>
        </w:rPr>
        <w:t>Management</w:t>
      </w:r>
      <w:r>
        <w:rPr>
          <w:spacing w:val="23"/>
        </w:rPr>
        <w:t xml:space="preserve"> </w:t>
      </w:r>
      <w:r>
        <w:rPr>
          <w:spacing w:val="-1"/>
        </w:rPr>
        <w:t>Plan</w:t>
      </w:r>
      <w:r>
        <w:rPr>
          <w:spacing w:val="22"/>
        </w:rPr>
        <w:t xml:space="preserve"> </w:t>
      </w:r>
      <w:r>
        <w:rPr>
          <w:spacing w:val="-1"/>
        </w:rPr>
        <w:t>set</w:t>
      </w:r>
      <w:r>
        <w:rPr>
          <w:spacing w:val="23"/>
        </w:rPr>
        <w:t xml:space="preserve"> </w:t>
      </w:r>
      <w:r>
        <w:rPr>
          <w:spacing w:val="-1"/>
        </w:rPr>
        <w:t>out</w:t>
      </w:r>
      <w:r>
        <w:rPr>
          <w:spacing w:val="23"/>
        </w:rPr>
        <w:t xml:space="preserve"> </w:t>
      </w:r>
      <w:r>
        <w:rPr>
          <w:spacing w:val="-1"/>
        </w:rPr>
        <w:t>in</w:t>
      </w:r>
      <w:r>
        <w:rPr>
          <w:spacing w:val="22"/>
        </w:rPr>
        <w:t xml:space="preserve"> </w:t>
      </w:r>
      <w:r>
        <w:rPr>
          <w:spacing w:val="-1"/>
        </w:rPr>
        <w:t>Annex</w:t>
      </w:r>
      <w:r>
        <w:rPr>
          <w:spacing w:val="2"/>
        </w:rPr>
        <w:t xml:space="preserve"> </w:t>
      </w:r>
      <w:r>
        <w:t>2</w:t>
      </w:r>
      <w:r>
        <w:rPr>
          <w:spacing w:val="25"/>
        </w:rPr>
        <w:t xml:space="preserve"> </w:t>
      </w:r>
      <w:r>
        <w:rPr>
          <w:spacing w:val="-1"/>
        </w:rPr>
        <w:t>(Security</w:t>
      </w:r>
      <w:r>
        <w:rPr>
          <w:spacing w:val="-2"/>
        </w:rPr>
        <w:t xml:space="preserve"> </w:t>
      </w:r>
      <w:r>
        <w:rPr>
          <w:spacing w:val="-1"/>
        </w:rPr>
        <w:t>Management</w:t>
      </w:r>
      <w:r>
        <w:rPr>
          <w:spacing w:val="2"/>
        </w:rPr>
        <w:t xml:space="preserve"> </w:t>
      </w:r>
      <w:r>
        <w:rPr>
          <w:spacing w:val="-2"/>
        </w:rPr>
        <w:t>Plan);</w:t>
      </w:r>
    </w:p>
    <w:p w:rsidR="008918FA" w:rsidRDefault="008918FA" w:rsidP="008918FA">
      <w:pPr>
        <w:pStyle w:val="BodyText"/>
        <w:numPr>
          <w:ilvl w:val="2"/>
          <w:numId w:val="14"/>
        </w:numPr>
        <w:tabs>
          <w:tab w:val="left" w:pos="2026"/>
        </w:tabs>
        <w:ind w:hanging="993"/>
        <w:jc w:val="left"/>
      </w:pPr>
      <w:r>
        <w:rPr>
          <w:spacing w:val="-1"/>
        </w:rPr>
        <w:t>comply</w:t>
      </w:r>
      <w:r>
        <w:rPr>
          <w:spacing w:val="-2"/>
        </w:rPr>
        <w:t xml:space="preserve"> with</w:t>
      </w:r>
      <w:r>
        <w:t xml:space="preserve"> the </w:t>
      </w:r>
      <w:r>
        <w:rPr>
          <w:spacing w:val="-1"/>
        </w:rPr>
        <w:t>Security</w:t>
      </w:r>
      <w:r>
        <w:rPr>
          <w:spacing w:val="-4"/>
        </w:rPr>
        <w:t xml:space="preserve"> </w:t>
      </w:r>
      <w:r>
        <w:rPr>
          <w:spacing w:val="-1"/>
        </w:rPr>
        <w:t>Policy;</w:t>
      </w:r>
    </w:p>
    <w:p w:rsidR="008918FA" w:rsidRDefault="008918FA" w:rsidP="008918FA">
      <w:pPr>
        <w:pStyle w:val="BodyText"/>
        <w:numPr>
          <w:ilvl w:val="2"/>
          <w:numId w:val="14"/>
        </w:numPr>
        <w:tabs>
          <w:tab w:val="left" w:pos="2026"/>
        </w:tabs>
        <w:spacing w:before="121"/>
        <w:ind w:right="116" w:hanging="993"/>
        <w:jc w:val="both"/>
      </w:pPr>
      <w:r>
        <w:rPr>
          <w:spacing w:val="-1"/>
        </w:rPr>
        <w:t>identify</w:t>
      </w:r>
      <w:r>
        <w:rPr>
          <w:spacing w:val="10"/>
        </w:rPr>
        <w:t xml:space="preserve"> </w:t>
      </w:r>
      <w:r>
        <w:t>the</w:t>
      </w:r>
      <w:r>
        <w:rPr>
          <w:spacing w:val="10"/>
        </w:rPr>
        <w:t xml:space="preserve"> </w:t>
      </w:r>
      <w:r>
        <w:rPr>
          <w:spacing w:val="-1"/>
        </w:rPr>
        <w:t>necessary</w:t>
      </w:r>
      <w:r>
        <w:rPr>
          <w:spacing w:val="10"/>
        </w:rPr>
        <w:t xml:space="preserve"> </w:t>
      </w:r>
      <w:r>
        <w:rPr>
          <w:spacing w:val="-1"/>
        </w:rPr>
        <w:t>delegated</w:t>
      </w:r>
      <w:r>
        <w:rPr>
          <w:spacing w:val="10"/>
        </w:rPr>
        <w:t xml:space="preserve"> </w:t>
      </w:r>
      <w:r>
        <w:rPr>
          <w:spacing w:val="-1"/>
        </w:rPr>
        <w:t>organisational</w:t>
      </w:r>
      <w:r>
        <w:rPr>
          <w:spacing w:val="12"/>
        </w:rPr>
        <w:t xml:space="preserve"> </w:t>
      </w:r>
      <w:r>
        <w:rPr>
          <w:spacing w:val="-2"/>
        </w:rPr>
        <w:t>roles</w:t>
      </w:r>
      <w:r>
        <w:rPr>
          <w:spacing w:val="13"/>
        </w:rPr>
        <w:t xml:space="preserve"> </w:t>
      </w:r>
      <w:r>
        <w:rPr>
          <w:spacing w:val="-1"/>
        </w:rPr>
        <w:t>defined</w:t>
      </w:r>
      <w:r>
        <w:rPr>
          <w:spacing w:val="10"/>
        </w:rPr>
        <w:t xml:space="preserve"> </w:t>
      </w:r>
      <w:r>
        <w:t>for</w:t>
      </w:r>
      <w:r>
        <w:rPr>
          <w:spacing w:val="11"/>
        </w:rPr>
        <w:t xml:space="preserve"> </w:t>
      </w:r>
      <w:r>
        <w:rPr>
          <w:spacing w:val="-1"/>
        </w:rPr>
        <w:t>those</w:t>
      </w:r>
      <w:r>
        <w:rPr>
          <w:spacing w:val="42"/>
        </w:rPr>
        <w:t xml:space="preserve"> </w:t>
      </w:r>
      <w:r>
        <w:rPr>
          <w:spacing w:val="-1"/>
        </w:rPr>
        <w:t>responsible</w:t>
      </w:r>
      <w:r>
        <w:rPr>
          <w:spacing w:val="7"/>
        </w:rPr>
        <w:t xml:space="preserve"> </w:t>
      </w:r>
      <w:r>
        <w:t>for</w:t>
      </w:r>
      <w:r>
        <w:rPr>
          <w:spacing w:val="11"/>
        </w:rPr>
        <w:t xml:space="preserve"> </w:t>
      </w:r>
      <w:r>
        <w:rPr>
          <w:spacing w:val="-2"/>
        </w:rPr>
        <w:t>ensuring</w:t>
      </w:r>
      <w:r>
        <w:rPr>
          <w:spacing w:val="10"/>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1"/>
        </w:rPr>
        <w:t xml:space="preserve"> </w:t>
      </w:r>
      <w:r>
        <w:rPr>
          <w:spacing w:val="-1"/>
        </w:rPr>
        <w:t>Schedule</w:t>
      </w:r>
      <w:r>
        <w:rPr>
          <w:spacing w:val="10"/>
        </w:rPr>
        <w:t xml:space="preserve"> </w:t>
      </w:r>
      <w:r>
        <w:rPr>
          <w:spacing w:val="-1"/>
        </w:rPr>
        <w:t>is</w:t>
      </w:r>
      <w:r>
        <w:rPr>
          <w:spacing w:val="10"/>
        </w:rPr>
        <w:t xml:space="preserve"> </w:t>
      </w:r>
      <w:r>
        <w:rPr>
          <w:spacing w:val="-1"/>
        </w:rPr>
        <w:t>complied</w:t>
      </w:r>
      <w:r>
        <w:rPr>
          <w:spacing w:val="10"/>
        </w:rPr>
        <w:t xml:space="preserve"> </w:t>
      </w:r>
      <w:r>
        <w:rPr>
          <w:spacing w:val="-1"/>
        </w:rPr>
        <w:t>with</w:t>
      </w:r>
      <w:r>
        <w:rPr>
          <w:spacing w:val="10"/>
        </w:rPr>
        <w:t xml:space="preserve"> </w:t>
      </w:r>
      <w:r>
        <w:rPr>
          <w:spacing w:val="-1"/>
        </w:rPr>
        <w:t>by</w:t>
      </w:r>
      <w:r>
        <w:rPr>
          <w:spacing w:val="8"/>
        </w:rPr>
        <w:t xml:space="preserve"> </w:t>
      </w:r>
      <w:r>
        <w:rPr>
          <w:spacing w:val="-1"/>
        </w:rPr>
        <w:t>the</w:t>
      </w:r>
      <w:r>
        <w:rPr>
          <w:spacing w:val="44"/>
        </w:rPr>
        <w:t xml:space="preserve"> </w:t>
      </w:r>
      <w:r>
        <w:rPr>
          <w:spacing w:val="-1"/>
        </w:rPr>
        <w:t>Supplier;</w:t>
      </w:r>
    </w:p>
    <w:p w:rsidR="008918FA" w:rsidRDefault="008918FA" w:rsidP="008918FA">
      <w:pPr>
        <w:pStyle w:val="BodyText"/>
        <w:numPr>
          <w:ilvl w:val="2"/>
          <w:numId w:val="14"/>
        </w:numPr>
        <w:tabs>
          <w:tab w:val="left" w:pos="2026"/>
        </w:tabs>
        <w:ind w:right="112" w:hanging="993"/>
        <w:jc w:val="both"/>
      </w:pPr>
      <w:r>
        <w:rPr>
          <w:spacing w:val="-1"/>
        </w:rPr>
        <w:t>detail</w:t>
      </w:r>
      <w:r>
        <w:rPr>
          <w:spacing w:val="15"/>
        </w:rPr>
        <w:t xml:space="preserve"> </w:t>
      </w:r>
      <w:r>
        <w:t>the</w:t>
      </w:r>
      <w:r>
        <w:rPr>
          <w:spacing w:val="16"/>
        </w:rPr>
        <w:t xml:space="preserve"> </w:t>
      </w:r>
      <w:r>
        <w:rPr>
          <w:spacing w:val="-1"/>
        </w:rPr>
        <w:t>process</w:t>
      </w:r>
      <w:r>
        <w:rPr>
          <w:spacing w:val="15"/>
        </w:rPr>
        <w:t xml:space="preserve"> </w:t>
      </w:r>
      <w:r>
        <w:rPr>
          <w:spacing w:val="-1"/>
        </w:rPr>
        <w:t>for</w:t>
      </w:r>
      <w:r>
        <w:rPr>
          <w:spacing w:val="17"/>
        </w:rPr>
        <w:t xml:space="preserve"> </w:t>
      </w:r>
      <w:r>
        <w:rPr>
          <w:spacing w:val="-1"/>
        </w:rPr>
        <w:t>managing</w:t>
      </w:r>
      <w:r>
        <w:rPr>
          <w:spacing w:val="19"/>
        </w:rPr>
        <w:t xml:space="preserve"> </w:t>
      </w:r>
      <w:r>
        <w:rPr>
          <w:spacing w:val="-1"/>
        </w:rPr>
        <w:t>any</w:t>
      </w:r>
      <w:r>
        <w:rPr>
          <w:spacing w:val="14"/>
        </w:rPr>
        <w:t xml:space="preserve"> </w:t>
      </w:r>
      <w:r>
        <w:rPr>
          <w:spacing w:val="-1"/>
        </w:rPr>
        <w:t>security</w:t>
      </w:r>
      <w:r>
        <w:rPr>
          <w:spacing w:val="14"/>
        </w:rPr>
        <w:t xml:space="preserve"> </w:t>
      </w:r>
      <w:r>
        <w:rPr>
          <w:spacing w:val="-1"/>
        </w:rPr>
        <w:t>risks</w:t>
      </w:r>
      <w:r>
        <w:rPr>
          <w:spacing w:val="15"/>
        </w:rPr>
        <w:t xml:space="preserve"> </w:t>
      </w:r>
      <w:r>
        <w:rPr>
          <w:spacing w:val="-1"/>
        </w:rPr>
        <w:t>from</w:t>
      </w:r>
      <w:r>
        <w:rPr>
          <w:spacing w:val="30"/>
        </w:rPr>
        <w:t xml:space="preserve"> </w:t>
      </w:r>
      <w:r>
        <w:rPr>
          <w:spacing w:val="-1"/>
        </w:rPr>
        <w:t>Sub-Contractors</w:t>
      </w:r>
      <w:r>
        <w:rPr>
          <w:spacing w:val="58"/>
        </w:rPr>
        <w:t xml:space="preserve"> </w:t>
      </w:r>
      <w:r>
        <w:rPr>
          <w:spacing w:val="-1"/>
        </w:rPr>
        <w:t>and</w:t>
      </w:r>
      <w:r>
        <w:rPr>
          <w:spacing w:val="55"/>
        </w:rPr>
        <w:t xml:space="preserve"> </w:t>
      </w:r>
      <w:r>
        <w:rPr>
          <w:spacing w:val="-1"/>
        </w:rPr>
        <w:t>third</w:t>
      </w:r>
      <w:r>
        <w:rPr>
          <w:spacing w:val="58"/>
        </w:rPr>
        <w:t xml:space="preserve"> </w:t>
      </w:r>
      <w:r>
        <w:rPr>
          <w:spacing w:val="-1"/>
        </w:rPr>
        <w:t>parties</w:t>
      </w:r>
      <w:r>
        <w:rPr>
          <w:spacing w:val="58"/>
        </w:rPr>
        <w:t xml:space="preserve"> </w:t>
      </w:r>
      <w:r>
        <w:rPr>
          <w:spacing w:val="-1"/>
        </w:rPr>
        <w:t>authorised</w:t>
      </w:r>
      <w:r>
        <w:rPr>
          <w:spacing w:val="58"/>
        </w:rPr>
        <w:t xml:space="preserve"> </w:t>
      </w:r>
      <w:r>
        <w:rPr>
          <w:spacing w:val="-2"/>
        </w:rPr>
        <w:t>by</w:t>
      </w:r>
      <w:r>
        <w:rPr>
          <w:spacing w:val="56"/>
        </w:rPr>
        <w:t xml:space="preserve"> </w:t>
      </w:r>
      <w:r>
        <w:t>the</w:t>
      </w:r>
      <w:r>
        <w:rPr>
          <w:spacing w:val="59"/>
        </w:rPr>
        <w:t xml:space="preserve"> </w:t>
      </w:r>
      <w:r>
        <w:rPr>
          <w:spacing w:val="-1"/>
        </w:rPr>
        <w:t>Customer</w:t>
      </w:r>
      <w:r>
        <w:rPr>
          <w:spacing w:val="59"/>
        </w:rPr>
        <w:t xml:space="preserve"> </w:t>
      </w:r>
      <w:r>
        <w:rPr>
          <w:spacing w:val="-2"/>
        </w:rPr>
        <w:t>with</w:t>
      </w:r>
      <w:r>
        <w:rPr>
          <w:spacing w:val="33"/>
        </w:rPr>
        <w:t xml:space="preserve"> </w:t>
      </w:r>
      <w:r>
        <w:rPr>
          <w:spacing w:val="-1"/>
        </w:rPr>
        <w:t>access</w:t>
      </w:r>
      <w:r>
        <w:rPr>
          <w:spacing w:val="30"/>
        </w:rPr>
        <w:t xml:space="preserve"> </w:t>
      </w:r>
      <w:r>
        <w:t>to</w:t>
      </w:r>
      <w:r>
        <w:rPr>
          <w:spacing w:val="27"/>
        </w:rPr>
        <w:t xml:space="preserve"> </w:t>
      </w:r>
      <w:r>
        <w:t>the</w:t>
      </w:r>
      <w:r>
        <w:rPr>
          <w:spacing w:val="29"/>
        </w:rPr>
        <w:t xml:space="preserve"> </w:t>
      </w:r>
      <w:r>
        <w:rPr>
          <w:spacing w:val="-1"/>
        </w:rPr>
        <w:t>Goods</w:t>
      </w:r>
      <w:r>
        <w:rPr>
          <w:spacing w:val="30"/>
        </w:rPr>
        <w:t xml:space="preserve"> </w:t>
      </w:r>
      <w:r>
        <w:rPr>
          <w:spacing w:val="-1"/>
        </w:rPr>
        <w:t>and/or</w:t>
      </w:r>
      <w:r>
        <w:rPr>
          <w:spacing w:val="30"/>
        </w:rPr>
        <w:t xml:space="preserve"> </w:t>
      </w:r>
      <w:r>
        <w:rPr>
          <w:spacing w:val="-1"/>
        </w:rPr>
        <w:t>Services,</w:t>
      </w:r>
      <w:r>
        <w:rPr>
          <w:spacing w:val="31"/>
        </w:rPr>
        <w:t xml:space="preserve"> </w:t>
      </w:r>
      <w:r>
        <w:rPr>
          <w:spacing w:val="-1"/>
        </w:rPr>
        <w:t>processes</w:t>
      </w:r>
      <w:r>
        <w:rPr>
          <w:spacing w:val="30"/>
        </w:rPr>
        <w:t xml:space="preserve"> </w:t>
      </w:r>
      <w:r>
        <w:rPr>
          <w:spacing w:val="-1"/>
        </w:rPr>
        <w:t>associated</w:t>
      </w:r>
      <w:r>
        <w:rPr>
          <w:spacing w:val="29"/>
        </w:rPr>
        <w:t xml:space="preserve"> </w:t>
      </w:r>
      <w:r>
        <w:rPr>
          <w:spacing w:val="-2"/>
        </w:rPr>
        <w:t>with</w:t>
      </w:r>
      <w:r>
        <w:rPr>
          <w:spacing w:val="29"/>
        </w:rPr>
        <w:t xml:space="preserve"> </w:t>
      </w:r>
      <w:r>
        <w:rPr>
          <w:spacing w:val="-1"/>
        </w:rPr>
        <w:t>the</w:t>
      </w:r>
      <w:r>
        <w:rPr>
          <w:spacing w:val="28"/>
        </w:rPr>
        <w:t xml:space="preserve"> </w:t>
      </w:r>
      <w:r>
        <w:rPr>
          <w:spacing w:val="-1"/>
        </w:rPr>
        <w:t>delivery</w:t>
      </w:r>
      <w:r>
        <w:rPr>
          <w:spacing w:val="41"/>
        </w:rPr>
        <w:t xml:space="preserve"> </w:t>
      </w:r>
      <w:r>
        <w:rPr>
          <w:spacing w:val="-1"/>
        </w:rPr>
        <w:t>of</w:t>
      </w:r>
      <w:r>
        <w:rPr>
          <w:spacing w:val="47"/>
        </w:rPr>
        <w:t xml:space="preserve"> </w:t>
      </w:r>
      <w:r>
        <w:t>the</w:t>
      </w:r>
      <w:r>
        <w:rPr>
          <w:spacing w:val="43"/>
        </w:rPr>
        <w:t xml:space="preserve"> </w:t>
      </w:r>
      <w:r>
        <w:rPr>
          <w:spacing w:val="-1"/>
        </w:rPr>
        <w:t>Goods</w:t>
      </w:r>
      <w:r>
        <w:rPr>
          <w:spacing w:val="45"/>
        </w:rPr>
        <w:t xml:space="preserve"> </w:t>
      </w:r>
      <w:r>
        <w:rPr>
          <w:spacing w:val="-1"/>
        </w:rPr>
        <w:t>and/or</w:t>
      </w:r>
      <w:r>
        <w:rPr>
          <w:spacing w:val="45"/>
        </w:rPr>
        <w:t xml:space="preserve"> </w:t>
      </w:r>
      <w:r>
        <w:rPr>
          <w:spacing w:val="-1"/>
        </w:rPr>
        <w:t>Services,</w:t>
      </w:r>
      <w:r>
        <w:rPr>
          <w:spacing w:val="45"/>
        </w:rPr>
        <w:t xml:space="preserve"> </w:t>
      </w:r>
      <w:r>
        <w:t>the</w:t>
      </w:r>
      <w:r>
        <w:rPr>
          <w:spacing w:val="44"/>
        </w:rPr>
        <w:t xml:space="preserve"> </w:t>
      </w:r>
      <w:r>
        <w:rPr>
          <w:spacing w:val="-2"/>
        </w:rPr>
        <w:t>Customer</w:t>
      </w:r>
      <w:r>
        <w:rPr>
          <w:spacing w:val="45"/>
        </w:rPr>
        <w:t xml:space="preserve"> </w:t>
      </w:r>
      <w:r>
        <w:rPr>
          <w:spacing w:val="-1"/>
        </w:rPr>
        <w:t>Premises,</w:t>
      </w:r>
      <w:r>
        <w:rPr>
          <w:spacing w:val="45"/>
        </w:rPr>
        <w:t xml:space="preserve"> </w:t>
      </w:r>
      <w:r>
        <w:rPr>
          <w:spacing w:val="-1"/>
        </w:rPr>
        <w:t>the</w:t>
      </w:r>
      <w:r>
        <w:rPr>
          <w:spacing w:val="32"/>
        </w:rPr>
        <w:t xml:space="preserve"> </w:t>
      </w:r>
      <w:r>
        <w:rPr>
          <w:spacing w:val="-1"/>
        </w:rPr>
        <w:t>Sites</w:t>
      </w:r>
      <w:r>
        <w:rPr>
          <w:spacing w:val="53"/>
        </w:rPr>
        <w:t xml:space="preserve"> </w:t>
      </w:r>
      <w:r>
        <w:rPr>
          <w:spacing w:val="-1"/>
        </w:rPr>
        <w:t>and</w:t>
      </w:r>
      <w:r>
        <w:rPr>
          <w:spacing w:val="53"/>
        </w:rPr>
        <w:t xml:space="preserve"> </w:t>
      </w:r>
      <w:r>
        <w:rPr>
          <w:spacing w:val="-1"/>
        </w:rPr>
        <w:t>any</w:t>
      </w:r>
      <w:r>
        <w:rPr>
          <w:spacing w:val="51"/>
        </w:rPr>
        <w:t xml:space="preserve"> </w:t>
      </w:r>
      <w:r>
        <w:t>ICT,</w:t>
      </w:r>
      <w:r>
        <w:rPr>
          <w:spacing w:val="55"/>
        </w:rPr>
        <w:t xml:space="preserve"> </w:t>
      </w:r>
      <w:r>
        <w:rPr>
          <w:spacing w:val="-1"/>
        </w:rPr>
        <w:t>Information</w:t>
      </w:r>
      <w:r>
        <w:rPr>
          <w:spacing w:val="53"/>
        </w:rPr>
        <w:t xml:space="preserve"> </w:t>
      </w:r>
      <w:r>
        <w:rPr>
          <w:spacing w:val="-1"/>
        </w:rPr>
        <w:t>and</w:t>
      </w:r>
      <w:r>
        <w:rPr>
          <w:spacing w:val="53"/>
        </w:rPr>
        <w:t xml:space="preserve"> </w:t>
      </w:r>
      <w:r>
        <w:rPr>
          <w:spacing w:val="-1"/>
        </w:rPr>
        <w:t>data</w:t>
      </w:r>
      <w:r>
        <w:rPr>
          <w:spacing w:val="54"/>
        </w:rPr>
        <w:t xml:space="preserve"> </w:t>
      </w:r>
      <w:r>
        <w:rPr>
          <w:spacing w:val="-1"/>
        </w:rPr>
        <w:t>(including</w:t>
      </w:r>
      <w:r>
        <w:rPr>
          <w:spacing w:val="55"/>
        </w:rPr>
        <w:t xml:space="preserve"> </w:t>
      </w:r>
      <w:r>
        <w:t>the</w:t>
      </w:r>
      <w:r>
        <w:rPr>
          <w:spacing w:val="53"/>
        </w:rPr>
        <w:t xml:space="preserve"> </w:t>
      </w:r>
      <w:r>
        <w:rPr>
          <w:spacing w:val="-1"/>
        </w:rPr>
        <w:t>Customer’s</w:t>
      </w:r>
      <w:r>
        <w:rPr>
          <w:spacing w:val="27"/>
        </w:rPr>
        <w:t xml:space="preserve"> </w:t>
      </w:r>
      <w:r>
        <w:rPr>
          <w:spacing w:val="-1"/>
        </w:rPr>
        <w:t>Confidential</w:t>
      </w:r>
      <w:r>
        <w:rPr>
          <w:spacing w:val="17"/>
        </w:rPr>
        <w:t xml:space="preserve"> </w:t>
      </w:r>
      <w:r>
        <w:rPr>
          <w:spacing w:val="-1"/>
        </w:rPr>
        <w:t>Information</w:t>
      </w:r>
      <w:r>
        <w:rPr>
          <w:spacing w:val="17"/>
        </w:rPr>
        <w:t xml:space="preserve"> </w:t>
      </w:r>
      <w:r>
        <w:rPr>
          <w:spacing w:val="-1"/>
        </w:rPr>
        <w:t>and</w:t>
      </w:r>
      <w:r>
        <w:rPr>
          <w:spacing w:val="17"/>
        </w:rPr>
        <w:t xml:space="preserve"> </w:t>
      </w:r>
      <w:r>
        <w:t>the</w:t>
      </w:r>
      <w:r>
        <w:rPr>
          <w:spacing w:val="17"/>
        </w:rPr>
        <w:t xml:space="preserve"> </w:t>
      </w:r>
      <w:r>
        <w:rPr>
          <w:spacing w:val="-1"/>
        </w:rPr>
        <w:t>Customer</w:t>
      </w:r>
      <w:r>
        <w:rPr>
          <w:spacing w:val="16"/>
        </w:rPr>
        <w:t xml:space="preserve"> </w:t>
      </w:r>
      <w:r>
        <w:rPr>
          <w:spacing w:val="-1"/>
        </w:rPr>
        <w:t>Data)</w:t>
      </w:r>
      <w:r>
        <w:rPr>
          <w:spacing w:val="16"/>
        </w:rPr>
        <w:t xml:space="preserve"> </w:t>
      </w:r>
      <w:r>
        <w:rPr>
          <w:spacing w:val="-1"/>
        </w:rPr>
        <w:t>and</w:t>
      </w:r>
      <w:r>
        <w:rPr>
          <w:spacing w:val="17"/>
        </w:rPr>
        <w:t xml:space="preserve"> </w:t>
      </w:r>
      <w:r>
        <w:rPr>
          <w:spacing w:val="-1"/>
        </w:rPr>
        <w:t>any</w:t>
      </w:r>
      <w:r>
        <w:rPr>
          <w:spacing w:val="15"/>
        </w:rPr>
        <w:t xml:space="preserve"> </w:t>
      </w:r>
      <w:r>
        <w:rPr>
          <w:spacing w:val="-1"/>
        </w:rPr>
        <w:t>system</w:t>
      </w:r>
      <w:r>
        <w:rPr>
          <w:spacing w:val="19"/>
        </w:rPr>
        <w:t xml:space="preserve"> </w:t>
      </w:r>
      <w:r>
        <w:rPr>
          <w:spacing w:val="-1"/>
        </w:rPr>
        <w:t>that</w:t>
      </w:r>
      <w:r>
        <w:rPr>
          <w:spacing w:val="31"/>
        </w:rPr>
        <w:t xml:space="preserve"> </w:t>
      </w:r>
      <w:r>
        <w:rPr>
          <w:spacing w:val="-1"/>
        </w:rPr>
        <w:t>could</w:t>
      </w:r>
      <w:r>
        <w:rPr>
          <w:spacing w:val="46"/>
        </w:rPr>
        <w:t xml:space="preserve"> </w:t>
      </w:r>
      <w:r>
        <w:rPr>
          <w:spacing w:val="-1"/>
        </w:rPr>
        <w:t>directly</w:t>
      </w:r>
      <w:r>
        <w:rPr>
          <w:spacing w:val="44"/>
        </w:rPr>
        <w:t xml:space="preserve"> </w:t>
      </w:r>
      <w:r>
        <w:rPr>
          <w:spacing w:val="-1"/>
        </w:rPr>
        <w:t>or</w:t>
      </w:r>
      <w:r>
        <w:rPr>
          <w:spacing w:val="47"/>
        </w:rPr>
        <w:t xml:space="preserve"> </w:t>
      </w:r>
      <w:r>
        <w:rPr>
          <w:spacing w:val="-2"/>
        </w:rPr>
        <w:t>indirectly</w:t>
      </w:r>
      <w:r>
        <w:rPr>
          <w:spacing w:val="44"/>
        </w:rPr>
        <w:t xml:space="preserve"> </w:t>
      </w:r>
      <w:r>
        <w:rPr>
          <w:spacing w:val="-1"/>
        </w:rPr>
        <w:t>have</w:t>
      </w:r>
      <w:r>
        <w:rPr>
          <w:spacing w:val="46"/>
        </w:rPr>
        <w:t xml:space="preserve"> </w:t>
      </w:r>
      <w:r>
        <w:rPr>
          <w:spacing w:val="-1"/>
        </w:rPr>
        <w:t>an</w:t>
      </w:r>
      <w:r>
        <w:rPr>
          <w:spacing w:val="46"/>
        </w:rPr>
        <w:t xml:space="preserve"> </w:t>
      </w:r>
      <w:r>
        <w:rPr>
          <w:spacing w:val="-1"/>
        </w:rPr>
        <w:t>impact</w:t>
      </w:r>
      <w:r>
        <w:rPr>
          <w:spacing w:val="49"/>
        </w:rPr>
        <w:t xml:space="preserve"> </w:t>
      </w:r>
      <w:r>
        <w:rPr>
          <w:spacing w:val="-1"/>
        </w:rPr>
        <w:t>on</w:t>
      </w:r>
      <w:r>
        <w:rPr>
          <w:spacing w:val="46"/>
        </w:rPr>
        <w:t xml:space="preserve"> </w:t>
      </w:r>
      <w:r>
        <w:rPr>
          <w:spacing w:val="-1"/>
        </w:rPr>
        <w:t>that</w:t>
      </w:r>
      <w:r>
        <w:rPr>
          <w:spacing w:val="47"/>
        </w:rPr>
        <w:t xml:space="preserve"> </w:t>
      </w:r>
      <w:r>
        <w:rPr>
          <w:spacing w:val="-1"/>
        </w:rPr>
        <w:t>information,</w:t>
      </w:r>
      <w:r>
        <w:rPr>
          <w:spacing w:val="47"/>
        </w:rPr>
        <w:t xml:space="preserve"> </w:t>
      </w:r>
      <w:r>
        <w:rPr>
          <w:spacing w:val="-1"/>
        </w:rPr>
        <w:t>data</w:t>
      </w:r>
      <w:r>
        <w:rPr>
          <w:spacing w:val="51"/>
        </w:rPr>
        <w:t xml:space="preserve"> </w:t>
      </w:r>
      <w:r>
        <w:rPr>
          <w:spacing w:val="-1"/>
        </w:rPr>
        <w:t>and/or</w:t>
      </w:r>
      <w:r>
        <w:t xml:space="preserve"> the</w:t>
      </w:r>
      <w:r>
        <w:rPr>
          <w:spacing w:val="-2"/>
        </w:rPr>
        <w:t xml:space="preserve"> </w:t>
      </w:r>
      <w:r>
        <w:rPr>
          <w:spacing w:val="-1"/>
        </w:rPr>
        <w:t>Goods</w:t>
      </w:r>
      <w:r>
        <w:rPr>
          <w:spacing w:val="1"/>
        </w:rPr>
        <w:t xml:space="preserve"> </w:t>
      </w:r>
      <w:r>
        <w:rPr>
          <w:spacing w:val="-1"/>
        </w:rPr>
        <w:t>and/or</w:t>
      </w:r>
      <w:r>
        <w:rPr>
          <w:spacing w:val="-3"/>
        </w:rPr>
        <w:t xml:space="preserve"> </w:t>
      </w:r>
      <w:r>
        <w:rPr>
          <w:spacing w:val="-2"/>
        </w:rPr>
        <w:t>Services;</w:t>
      </w:r>
    </w:p>
    <w:p w:rsidR="008918FA" w:rsidRDefault="008918FA" w:rsidP="008918FA">
      <w:pPr>
        <w:pStyle w:val="BodyText"/>
        <w:numPr>
          <w:ilvl w:val="2"/>
          <w:numId w:val="14"/>
        </w:numPr>
        <w:tabs>
          <w:tab w:val="left" w:pos="2026"/>
        </w:tabs>
        <w:ind w:right="113"/>
        <w:jc w:val="both"/>
      </w:pPr>
      <w:r>
        <w:rPr>
          <w:spacing w:val="-1"/>
        </w:rPr>
        <w:t>unless</w:t>
      </w:r>
      <w:r>
        <w:rPr>
          <w:spacing w:val="6"/>
        </w:rPr>
        <w:t xml:space="preserve"> </w:t>
      </w:r>
      <w:r>
        <w:rPr>
          <w:spacing w:val="-1"/>
        </w:rPr>
        <w:t>otherwise</w:t>
      </w:r>
      <w:r>
        <w:rPr>
          <w:spacing w:val="5"/>
        </w:rPr>
        <w:t xml:space="preserve"> </w:t>
      </w:r>
      <w:r>
        <w:rPr>
          <w:spacing w:val="-1"/>
        </w:rPr>
        <w:t>specified</w:t>
      </w:r>
      <w:r>
        <w:rPr>
          <w:spacing w:val="5"/>
        </w:rPr>
        <w:t xml:space="preserve"> </w:t>
      </w:r>
      <w:r>
        <w:rPr>
          <w:spacing w:val="-1"/>
        </w:rPr>
        <w:t>by</w:t>
      </w:r>
      <w:r>
        <w:rPr>
          <w:spacing w:val="3"/>
        </w:rPr>
        <w:t xml:space="preserve"> </w:t>
      </w:r>
      <w:r>
        <w:t>the</w:t>
      </w:r>
      <w:r>
        <w:rPr>
          <w:spacing w:val="5"/>
        </w:rPr>
        <w:t xml:space="preserve"> </w:t>
      </w:r>
      <w:r>
        <w:rPr>
          <w:spacing w:val="-1"/>
        </w:rPr>
        <w:t>Customer</w:t>
      </w:r>
      <w:r>
        <w:rPr>
          <w:spacing w:val="6"/>
        </w:rPr>
        <w:t xml:space="preserve"> </w:t>
      </w:r>
      <w:r>
        <w:rPr>
          <w:spacing w:val="-1"/>
        </w:rPr>
        <w:t>in</w:t>
      </w:r>
      <w:r>
        <w:rPr>
          <w:spacing w:val="7"/>
        </w:rPr>
        <w:t xml:space="preserve"> </w:t>
      </w:r>
      <w:r>
        <w:rPr>
          <w:spacing w:val="-1"/>
        </w:rPr>
        <w:t>writing,</w:t>
      </w:r>
      <w:r>
        <w:rPr>
          <w:spacing w:val="7"/>
        </w:rPr>
        <w:t xml:space="preserve"> </w:t>
      </w:r>
      <w:r>
        <w:rPr>
          <w:spacing w:val="-1"/>
        </w:rPr>
        <w:t>be</w:t>
      </w:r>
      <w:r>
        <w:rPr>
          <w:spacing w:val="5"/>
        </w:rPr>
        <w:t xml:space="preserve"> </w:t>
      </w:r>
      <w:r>
        <w:rPr>
          <w:spacing w:val="-2"/>
        </w:rPr>
        <w:t>developed</w:t>
      </w:r>
      <w:r>
        <w:rPr>
          <w:spacing w:val="5"/>
        </w:rPr>
        <w:t xml:space="preserve"> </w:t>
      </w:r>
      <w:r>
        <w:t>to</w:t>
      </w:r>
      <w:r>
        <w:rPr>
          <w:spacing w:val="35"/>
        </w:rPr>
        <w:t xml:space="preserve"> </w:t>
      </w:r>
      <w:r>
        <w:rPr>
          <w:spacing w:val="-1"/>
        </w:rPr>
        <w:t>protect</w:t>
      </w:r>
      <w:r>
        <w:rPr>
          <w:spacing w:val="47"/>
        </w:rPr>
        <w:t xml:space="preserve"> </w:t>
      </w:r>
      <w:r>
        <w:rPr>
          <w:spacing w:val="-1"/>
        </w:rPr>
        <w:t>all</w:t>
      </w:r>
      <w:r>
        <w:rPr>
          <w:spacing w:val="45"/>
        </w:rPr>
        <w:t xml:space="preserve"> </w:t>
      </w:r>
      <w:r>
        <w:rPr>
          <w:spacing w:val="-1"/>
        </w:rPr>
        <w:t>aspects</w:t>
      </w:r>
      <w:r>
        <w:rPr>
          <w:spacing w:val="46"/>
        </w:rPr>
        <w:t xml:space="preserve"> </w:t>
      </w:r>
      <w:r>
        <w:rPr>
          <w:spacing w:val="-2"/>
        </w:rPr>
        <w:t>of</w:t>
      </w:r>
      <w:r>
        <w:rPr>
          <w:spacing w:val="45"/>
        </w:rPr>
        <w:t xml:space="preserve"> </w:t>
      </w:r>
      <w:r>
        <w:rPr>
          <w:spacing w:val="-1"/>
        </w:rPr>
        <w:t>the</w:t>
      </w:r>
      <w:r>
        <w:rPr>
          <w:spacing w:val="46"/>
        </w:rPr>
        <w:t xml:space="preserve"> </w:t>
      </w:r>
      <w:r>
        <w:rPr>
          <w:spacing w:val="-1"/>
        </w:rPr>
        <w:t>Goods</w:t>
      </w:r>
      <w:r>
        <w:rPr>
          <w:spacing w:val="46"/>
        </w:rPr>
        <w:t xml:space="preserve"> </w:t>
      </w:r>
      <w:r>
        <w:rPr>
          <w:spacing w:val="-1"/>
        </w:rPr>
        <w:t>and/or</w:t>
      </w:r>
      <w:r>
        <w:rPr>
          <w:spacing w:val="48"/>
        </w:rPr>
        <w:t xml:space="preserve"> </w:t>
      </w:r>
      <w:r>
        <w:rPr>
          <w:spacing w:val="-2"/>
        </w:rPr>
        <w:t>Services</w:t>
      </w:r>
      <w:r>
        <w:rPr>
          <w:spacing w:val="46"/>
        </w:rPr>
        <w:t xml:space="preserve"> </w:t>
      </w:r>
      <w:r>
        <w:rPr>
          <w:spacing w:val="-1"/>
        </w:rPr>
        <w:t>and</w:t>
      </w:r>
      <w:r>
        <w:rPr>
          <w:spacing w:val="46"/>
        </w:rPr>
        <w:t xml:space="preserve"> </w:t>
      </w:r>
      <w:r>
        <w:rPr>
          <w:spacing w:val="-1"/>
        </w:rPr>
        <w:t>all</w:t>
      </w:r>
      <w:r>
        <w:rPr>
          <w:spacing w:val="45"/>
        </w:rPr>
        <w:t xml:space="preserve"> </w:t>
      </w:r>
      <w:r>
        <w:rPr>
          <w:spacing w:val="-1"/>
        </w:rPr>
        <w:t>processes</w:t>
      </w:r>
      <w:r>
        <w:rPr>
          <w:spacing w:val="47"/>
        </w:rPr>
        <w:t xml:space="preserve"> </w:t>
      </w:r>
      <w:r>
        <w:rPr>
          <w:spacing w:val="-1"/>
        </w:rPr>
        <w:t>associated</w:t>
      </w:r>
      <w:r>
        <w:rPr>
          <w:spacing w:val="36"/>
        </w:rPr>
        <w:t xml:space="preserve"> </w:t>
      </w:r>
      <w:r>
        <w:rPr>
          <w:spacing w:val="-2"/>
        </w:rPr>
        <w:t>with</w:t>
      </w:r>
      <w:r>
        <w:rPr>
          <w:spacing w:val="36"/>
        </w:rPr>
        <w:t xml:space="preserve"> </w:t>
      </w:r>
      <w:r>
        <w:t>the</w:t>
      </w:r>
      <w:r>
        <w:rPr>
          <w:spacing w:val="36"/>
        </w:rPr>
        <w:t xml:space="preserve"> </w:t>
      </w:r>
      <w:r>
        <w:rPr>
          <w:spacing w:val="-2"/>
        </w:rPr>
        <w:t>delivery</w:t>
      </w:r>
      <w:r>
        <w:rPr>
          <w:spacing w:val="34"/>
        </w:rPr>
        <w:t xml:space="preserve"> </w:t>
      </w:r>
      <w:r>
        <w:rPr>
          <w:spacing w:val="-1"/>
        </w:rPr>
        <w:t>of</w:t>
      </w:r>
      <w:r>
        <w:rPr>
          <w:spacing w:val="40"/>
        </w:rPr>
        <w:t xml:space="preserve"> </w:t>
      </w:r>
      <w:r>
        <w:t>the</w:t>
      </w:r>
      <w:r>
        <w:rPr>
          <w:spacing w:val="34"/>
        </w:rPr>
        <w:t xml:space="preserve"> </w:t>
      </w:r>
      <w:r>
        <w:rPr>
          <w:spacing w:val="-1"/>
        </w:rPr>
        <w:t>Goods</w:t>
      </w:r>
      <w:r>
        <w:rPr>
          <w:spacing w:val="35"/>
        </w:rPr>
        <w:t xml:space="preserve"> </w:t>
      </w:r>
      <w:r>
        <w:rPr>
          <w:spacing w:val="-1"/>
        </w:rPr>
        <w:t>and/or</w:t>
      </w:r>
      <w:r>
        <w:rPr>
          <w:spacing w:val="38"/>
        </w:rPr>
        <w:t xml:space="preserve"> </w:t>
      </w:r>
      <w:r>
        <w:rPr>
          <w:spacing w:val="-1"/>
        </w:rPr>
        <w:t>Services,</w:t>
      </w:r>
      <w:r>
        <w:rPr>
          <w:spacing w:val="38"/>
        </w:rPr>
        <w:t xml:space="preserve"> </w:t>
      </w:r>
      <w:r>
        <w:rPr>
          <w:spacing w:val="-2"/>
        </w:rPr>
        <w:t>including</w:t>
      </w:r>
      <w:r>
        <w:rPr>
          <w:spacing w:val="48"/>
        </w:rPr>
        <w:t xml:space="preserve"> </w:t>
      </w:r>
      <w:r>
        <w:t>the</w:t>
      </w:r>
      <w:r>
        <w:rPr>
          <w:spacing w:val="24"/>
        </w:rPr>
        <w:t xml:space="preserve"> </w:t>
      </w:r>
      <w:r>
        <w:rPr>
          <w:spacing w:val="-1"/>
        </w:rPr>
        <w:t>Customer</w:t>
      </w:r>
      <w:r>
        <w:rPr>
          <w:spacing w:val="23"/>
        </w:rPr>
        <w:t xml:space="preserve"> </w:t>
      </w:r>
      <w:r>
        <w:rPr>
          <w:spacing w:val="-1"/>
        </w:rPr>
        <w:t>Premises,</w:t>
      </w:r>
      <w:r>
        <w:rPr>
          <w:spacing w:val="24"/>
        </w:rPr>
        <w:t xml:space="preserve"> </w:t>
      </w:r>
      <w:r>
        <w:t>the</w:t>
      </w:r>
      <w:r>
        <w:rPr>
          <w:spacing w:val="24"/>
        </w:rPr>
        <w:t xml:space="preserve"> </w:t>
      </w:r>
      <w:r>
        <w:rPr>
          <w:spacing w:val="-1"/>
        </w:rPr>
        <w:t>Sites</w:t>
      </w:r>
      <w:r>
        <w:rPr>
          <w:spacing w:val="22"/>
        </w:rPr>
        <w:t xml:space="preserve"> </w:t>
      </w:r>
      <w:r>
        <w:rPr>
          <w:spacing w:val="-1"/>
        </w:rPr>
        <w:t>and</w:t>
      </w:r>
      <w:r>
        <w:rPr>
          <w:spacing w:val="24"/>
        </w:rPr>
        <w:t xml:space="preserve"> </w:t>
      </w:r>
      <w:r>
        <w:rPr>
          <w:spacing w:val="-1"/>
        </w:rPr>
        <w:t>any</w:t>
      </w:r>
      <w:r>
        <w:rPr>
          <w:spacing w:val="22"/>
        </w:rPr>
        <w:t xml:space="preserve"> </w:t>
      </w:r>
      <w:r>
        <w:rPr>
          <w:spacing w:val="-1"/>
        </w:rPr>
        <w:t>ICT,</w:t>
      </w:r>
      <w:r>
        <w:rPr>
          <w:spacing w:val="24"/>
        </w:rPr>
        <w:t xml:space="preserve"> </w:t>
      </w:r>
      <w:r>
        <w:rPr>
          <w:spacing w:val="-1"/>
        </w:rPr>
        <w:t>Information</w:t>
      </w:r>
      <w:r>
        <w:rPr>
          <w:spacing w:val="24"/>
        </w:rPr>
        <w:t xml:space="preserve"> </w:t>
      </w:r>
      <w:r>
        <w:rPr>
          <w:spacing w:val="-1"/>
        </w:rPr>
        <w:t>and</w:t>
      </w:r>
      <w:r>
        <w:rPr>
          <w:spacing w:val="24"/>
        </w:rPr>
        <w:t xml:space="preserve"> </w:t>
      </w:r>
      <w:r>
        <w:rPr>
          <w:spacing w:val="-1"/>
        </w:rPr>
        <w:t>data</w:t>
      </w:r>
      <w:r>
        <w:rPr>
          <w:spacing w:val="31"/>
        </w:rPr>
        <w:t xml:space="preserve"> </w:t>
      </w:r>
      <w:r>
        <w:rPr>
          <w:spacing w:val="-1"/>
        </w:rPr>
        <w:t>(including</w:t>
      </w:r>
      <w:r>
        <w:rPr>
          <w:spacing w:val="36"/>
        </w:rPr>
        <w:t xml:space="preserve"> </w:t>
      </w:r>
      <w:r>
        <w:t>the</w:t>
      </w:r>
      <w:r>
        <w:rPr>
          <w:spacing w:val="34"/>
        </w:rPr>
        <w:t xml:space="preserve"> </w:t>
      </w:r>
      <w:r>
        <w:rPr>
          <w:spacing w:val="-2"/>
        </w:rPr>
        <w:t>Customer’s</w:t>
      </w:r>
      <w:r>
        <w:rPr>
          <w:spacing w:val="34"/>
        </w:rPr>
        <w:t xml:space="preserve"> </w:t>
      </w:r>
      <w:r>
        <w:rPr>
          <w:spacing w:val="-1"/>
        </w:rPr>
        <w:t>Confidential</w:t>
      </w:r>
      <w:r>
        <w:rPr>
          <w:spacing w:val="33"/>
        </w:rPr>
        <w:t xml:space="preserve"> </w:t>
      </w:r>
      <w:r>
        <w:rPr>
          <w:spacing w:val="-1"/>
        </w:rPr>
        <w:t>Information</w:t>
      </w:r>
      <w:r>
        <w:rPr>
          <w:spacing w:val="34"/>
        </w:rPr>
        <w:t xml:space="preserve"> </w:t>
      </w:r>
      <w:r>
        <w:rPr>
          <w:spacing w:val="-1"/>
        </w:rPr>
        <w:t>and</w:t>
      </w:r>
      <w:r>
        <w:rPr>
          <w:spacing w:val="34"/>
        </w:rPr>
        <w:t xml:space="preserve"> </w:t>
      </w:r>
      <w:r>
        <w:t>the</w:t>
      </w:r>
      <w:r>
        <w:rPr>
          <w:spacing w:val="35"/>
        </w:rPr>
        <w:t xml:space="preserve"> </w:t>
      </w:r>
      <w:r>
        <w:rPr>
          <w:spacing w:val="-1"/>
        </w:rPr>
        <w:t>Customer</w:t>
      </w:r>
      <w:r>
        <w:rPr>
          <w:spacing w:val="35"/>
        </w:rPr>
        <w:t xml:space="preserve"> </w:t>
      </w:r>
      <w:r>
        <w:rPr>
          <w:spacing w:val="-1"/>
        </w:rPr>
        <w:t>Data)</w:t>
      </w:r>
      <w:r>
        <w:rPr>
          <w:spacing w:val="4"/>
        </w:rPr>
        <w:t xml:space="preserve"> </w:t>
      </w:r>
      <w:r>
        <w:t>to</w:t>
      </w:r>
      <w:r>
        <w:rPr>
          <w:spacing w:val="3"/>
        </w:rPr>
        <w:t xml:space="preserve"> </w:t>
      </w:r>
      <w:r>
        <w:rPr>
          <w:spacing w:val="-1"/>
        </w:rPr>
        <w:t>the</w:t>
      </w:r>
      <w:r>
        <w:rPr>
          <w:spacing w:val="3"/>
        </w:rPr>
        <w:t xml:space="preserve"> </w:t>
      </w:r>
      <w:r>
        <w:rPr>
          <w:spacing w:val="-1"/>
        </w:rPr>
        <w:t>extent</w:t>
      </w:r>
      <w:r>
        <w:rPr>
          <w:spacing w:val="4"/>
        </w:rPr>
        <w:t xml:space="preserve"> </w:t>
      </w:r>
      <w:r>
        <w:rPr>
          <w:spacing w:val="-1"/>
        </w:rPr>
        <w:t>used</w:t>
      </w:r>
      <w:r>
        <w:rPr>
          <w:spacing w:val="3"/>
        </w:rPr>
        <w:t xml:space="preserve"> </w:t>
      </w:r>
      <w:r>
        <w:rPr>
          <w:spacing w:val="-1"/>
        </w:rPr>
        <w:t>by</w:t>
      </w:r>
      <w:r>
        <w:rPr>
          <w:spacing w:val="1"/>
        </w:rPr>
        <w:t xml:space="preserve"> </w:t>
      </w:r>
      <w:r>
        <w:t>the</w:t>
      </w:r>
      <w:r>
        <w:rPr>
          <w:spacing w:val="3"/>
        </w:rPr>
        <w:t xml:space="preserve"> </w:t>
      </w:r>
      <w:r>
        <w:rPr>
          <w:spacing w:val="-1"/>
        </w:rPr>
        <w:t>Customer</w:t>
      </w:r>
      <w:r>
        <w:rPr>
          <w:spacing w:val="4"/>
        </w:rPr>
        <w:t xml:space="preserve"> </w:t>
      </w:r>
      <w:r>
        <w:rPr>
          <w:spacing w:val="-1"/>
        </w:rPr>
        <w:t>or</w:t>
      </w:r>
      <w:r>
        <w:rPr>
          <w:spacing w:val="2"/>
        </w:rPr>
        <w:t xml:space="preserve"> </w:t>
      </w:r>
      <w:r>
        <w:t>the</w:t>
      </w:r>
      <w:r>
        <w:rPr>
          <w:spacing w:val="3"/>
        </w:rPr>
        <w:t xml:space="preserve"> </w:t>
      </w:r>
      <w:r>
        <w:rPr>
          <w:spacing w:val="-2"/>
        </w:rPr>
        <w:t>Supplier</w:t>
      </w:r>
      <w:r>
        <w:rPr>
          <w:spacing w:val="4"/>
        </w:rPr>
        <w:t xml:space="preserve"> </w:t>
      </w:r>
      <w:r>
        <w:rPr>
          <w:spacing w:val="-1"/>
        </w:rPr>
        <w:t>in</w:t>
      </w:r>
      <w:r>
        <w:rPr>
          <w:spacing w:val="3"/>
        </w:rPr>
        <w:t xml:space="preserve"> </w:t>
      </w:r>
      <w:r>
        <w:rPr>
          <w:spacing w:val="-1"/>
        </w:rPr>
        <w:t>connection</w:t>
      </w:r>
      <w:r>
        <w:rPr>
          <w:spacing w:val="42"/>
        </w:rPr>
        <w:t xml:space="preserve"> </w:t>
      </w:r>
      <w:r>
        <w:rPr>
          <w:spacing w:val="-1"/>
        </w:rPr>
        <w:t>with</w:t>
      </w:r>
      <w:r>
        <w:rPr>
          <w:spacing w:val="15"/>
        </w:rPr>
        <w:t xml:space="preserve"> </w:t>
      </w:r>
      <w:r>
        <w:rPr>
          <w:spacing w:val="-1"/>
        </w:rPr>
        <w:t>this</w:t>
      </w:r>
      <w:r>
        <w:rPr>
          <w:spacing w:val="15"/>
        </w:rPr>
        <w:t xml:space="preserve"> </w:t>
      </w:r>
      <w:r>
        <w:rPr>
          <w:spacing w:val="-2"/>
        </w:rPr>
        <w:t>Call</w:t>
      </w:r>
      <w:r>
        <w:rPr>
          <w:spacing w:val="14"/>
        </w:rPr>
        <w:t xml:space="preserve"> </w:t>
      </w:r>
      <w:r>
        <w:rPr>
          <w:spacing w:val="-1"/>
        </w:rPr>
        <w:t>Off</w:t>
      </w:r>
      <w:r>
        <w:rPr>
          <w:spacing w:val="19"/>
        </w:rPr>
        <w:t xml:space="preserve"> </w:t>
      </w:r>
      <w:r>
        <w:rPr>
          <w:spacing w:val="-2"/>
        </w:rPr>
        <w:t>Contract</w:t>
      </w:r>
      <w:r>
        <w:rPr>
          <w:spacing w:val="18"/>
        </w:rPr>
        <w:t xml:space="preserve"> </w:t>
      </w:r>
      <w:r>
        <w:rPr>
          <w:spacing w:val="-1"/>
        </w:rPr>
        <w:t>or</w:t>
      </w:r>
      <w:r>
        <w:rPr>
          <w:spacing w:val="16"/>
        </w:rPr>
        <w:t xml:space="preserve"> </w:t>
      </w:r>
      <w:r>
        <w:rPr>
          <w:spacing w:val="-1"/>
        </w:rPr>
        <w:t>in</w:t>
      </w:r>
      <w:r>
        <w:rPr>
          <w:spacing w:val="15"/>
        </w:rPr>
        <w:t xml:space="preserve"> </w:t>
      </w:r>
      <w:r>
        <w:rPr>
          <w:spacing w:val="-1"/>
        </w:rPr>
        <w:t>connection</w:t>
      </w:r>
      <w:r>
        <w:rPr>
          <w:spacing w:val="15"/>
        </w:rPr>
        <w:t xml:space="preserve"> </w:t>
      </w:r>
      <w:r>
        <w:rPr>
          <w:spacing w:val="-2"/>
        </w:rPr>
        <w:t>with</w:t>
      </w:r>
      <w:r>
        <w:rPr>
          <w:spacing w:val="15"/>
        </w:rPr>
        <w:t xml:space="preserve"> </w:t>
      </w:r>
      <w:r>
        <w:rPr>
          <w:spacing w:val="-1"/>
        </w:rPr>
        <w:t>any</w:t>
      </w:r>
      <w:r>
        <w:rPr>
          <w:spacing w:val="13"/>
        </w:rPr>
        <w:t xml:space="preserve"> </w:t>
      </w:r>
      <w:r>
        <w:rPr>
          <w:spacing w:val="-1"/>
        </w:rPr>
        <w:t>system</w:t>
      </w:r>
      <w:r>
        <w:rPr>
          <w:spacing w:val="16"/>
        </w:rPr>
        <w:t xml:space="preserve"> </w:t>
      </w:r>
      <w:r>
        <w:rPr>
          <w:spacing w:val="-1"/>
        </w:rPr>
        <w:t>that</w:t>
      </w:r>
      <w:r>
        <w:rPr>
          <w:spacing w:val="16"/>
        </w:rPr>
        <w:t xml:space="preserve"> </w:t>
      </w:r>
      <w:r>
        <w:rPr>
          <w:spacing w:val="-1"/>
        </w:rPr>
        <w:t>could</w:t>
      </w:r>
      <w:r>
        <w:rPr>
          <w:spacing w:val="53"/>
        </w:rPr>
        <w:t xml:space="preserve"> </w:t>
      </w:r>
      <w:r>
        <w:rPr>
          <w:spacing w:val="-1"/>
        </w:rPr>
        <w:t>directly</w:t>
      </w:r>
      <w:r>
        <w:rPr>
          <w:spacing w:val="32"/>
        </w:rPr>
        <w:t xml:space="preserve"> </w:t>
      </w:r>
      <w:r>
        <w:rPr>
          <w:spacing w:val="-1"/>
        </w:rPr>
        <w:t>or</w:t>
      </w:r>
      <w:r>
        <w:rPr>
          <w:spacing w:val="35"/>
        </w:rPr>
        <w:t xml:space="preserve"> </w:t>
      </w:r>
      <w:r>
        <w:rPr>
          <w:spacing w:val="-1"/>
        </w:rPr>
        <w:t>indirectly</w:t>
      </w:r>
      <w:r>
        <w:rPr>
          <w:spacing w:val="34"/>
        </w:rPr>
        <w:t xml:space="preserve"> </w:t>
      </w:r>
      <w:r>
        <w:rPr>
          <w:spacing w:val="-1"/>
        </w:rPr>
        <w:t>have</w:t>
      </w:r>
      <w:r>
        <w:rPr>
          <w:spacing w:val="34"/>
        </w:rPr>
        <w:t xml:space="preserve"> </w:t>
      </w:r>
      <w:r>
        <w:rPr>
          <w:spacing w:val="-1"/>
        </w:rPr>
        <w:t>an</w:t>
      </w:r>
      <w:r>
        <w:rPr>
          <w:spacing w:val="34"/>
        </w:rPr>
        <w:t xml:space="preserve"> </w:t>
      </w:r>
      <w:r>
        <w:rPr>
          <w:spacing w:val="-1"/>
        </w:rPr>
        <w:t>impact</w:t>
      </w:r>
      <w:r>
        <w:rPr>
          <w:spacing w:val="36"/>
        </w:rPr>
        <w:t xml:space="preserve"> </w:t>
      </w:r>
      <w:r>
        <w:rPr>
          <w:spacing w:val="-1"/>
        </w:rPr>
        <w:t>on</w:t>
      </w:r>
      <w:r>
        <w:rPr>
          <w:spacing w:val="35"/>
        </w:rPr>
        <w:t xml:space="preserve"> </w:t>
      </w:r>
      <w:r>
        <w:rPr>
          <w:spacing w:val="-1"/>
        </w:rPr>
        <w:t>that</w:t>
      </w:r>
      <w:r>
        <w:rPr>
          <w:spacing w:val="35"/>
        </w:rPr>
        <w:t xml:space="preserve"> </w:t>
      </w:r>
      <w:r>
        <w:rPr>
          <w:spacing w:val="-1"/>
        </w:rPr>
        <w:t>Information,</w:t>
      </w:r>
      <w:r>
        <w:rPr>
          <w:spacing w:val="35"/>
        </w:rPr>
        <w:t xml:space="preserve"> </w:t>
      </w:r>
      <w:r>
        <w:rPr>
          <w:spacing w:val="-1"/>
        </w:rPr>
        <w:t>data</w:t>
      </w:r>
      <w:r>
        <w:rPr>
          <w:spacing w:val="34"/>
        </w:rPr>
        <w:t xml:space="preserve"> </w:t>
      </w:r>
      <w:r>
        <w:rPr>
          <w:spacing w:val="-1"/>
        </w:rPr>
        <w:t>and/or</w:t>
      </w:r>
      <w:r>
        <w:rPr>
          <w:spacing w:val="33"/>
        </w:rPr>
        <w:t xml:space="preserve"> </w:t>
      </w:r>
      <w:r>
        <w:t>the</w:t>
      </w:r>
      <w:r>
        <w:rPr>
          <w:spacing w:val="-2"/>
        </w:rPr>
        <w:t xml:space="preserve"> </w:t>
      </w:r>
      <w:r>
        <w:rPr>
          <w:spacing w:val="-1"/>
        </w:rPr>
        <w:t>Goods</w:t>
      </w:r>
      <w:r>
        <w:rPr>
          <w:spacing w:val="-2"/>
        </w:rPr>
        <w:t xml:space="preserve"> </w:t>
      </w:r>
      <w:r>
        <w:rPr>
          <w:spacing w:val="-1"/>
        </w:rPr>
        <w:t>and/or</w:t>
      </w:r>
      <w:r>
        <w:rPr>
          <w:spacing w:val="2"/>
        </w:rPr>
        <w:t xml:space="preserve"> </w:t>
      </w:r>
      <w:r>
        <w:rPr>
          <w:spacing w:val="-1"/>
        </w:rPr>
        <w:t>Services;</w:t>
      </w:r>
    </w:p>
    <w:p w:rsidR="008918FA" w:rsidRDefault="008918FA" w:rsidP="008918FA">
      <w:pPr>
        <w:pStyle w:val="BodyText"/>
        <w:numPr>
          <w:ilvl w:val="2"/>
          <w:numId w:val="14"/>
        </w:numPr>
        <w:tabs>
          <w:tab w:val="left" w:pos="2026"/>
        </w:tabs>
        <w:ind w:right="112"/>
        <w:jc w:val="both"/>
      </w:pPr>
      <w:r>
        <w:rPr>
          <w:spacing w:val="-1"/>
        </w:rPr>
        <w:t>set</w:t>
      </w:r>
      <w:r>
        <w:rPr>
          <w:spacing w:val="33"/>
        </w:rPr>
        <w:t xml:space="preserve"> </w:t>
      </w:r>
      <w:r>
        <w:rPr>
          <w:spacing w:val="-1"/>
        </w:rPr>
        <w:t>out</w:t>
      </w:r>
      <w:r>
        <w:rPr>
          <w:spacing w:val="30"/>
        </w:rPr>
        <w:t xml:space="preserve"> </w:t>
      </w:r>
      <w:r>
        <w:t>the</w:t>
      </w:r>
      <w:r>
        <w:rPr>
          <w:spacing w:val="29"/>
        </w:rPr>
        <w:t xml:space="preserve"> </w:t>
      </w:r>
      <w:r>
        <w:rPr>
          <w:spacing w:val="-1"/>
        </w:rPr>
        <w:t>security</w:t>
      </w:r>
      <w:r>
        <w:rPr>
          <w:spacing w:val="27"/>
        </w:rPr>
        <w:t xml:space="preserve"> </w:t>
      </w:r>
      <w:r>
        <w:rPr>
          <w:spacing w:val="-1"/>
        </w:rPr>
        <w:t>measures</w:t>
      </w:r>
      <w:r>
        <w:rPr>
          <w:spacing w:val="30"/>
        </w:rPr>
        <w:t xml:space="preserve"> </w:t>
      </w:r>
      <w:r>
        <w:t>to</w:t>
      </w:r>
      <w:r>
        <w:rPr>
          <w:spacing w:val="31"/>
        </w:rPr>
        <w:t xml:space="preserve"> </w:t>
      </w:r>
      <w:r>
        <w:rPr>
          <w:spacing w:val="-1"/>
        </w:rPr>
        <w:t>be</w:t>
      </w:r>
      <w:r>
        <w:rPr>
          <w:spacing w:val="31"/>
        </w:rPr>
        <w:t xml:space="preserve"> </w:t>
      </w:r>
      <w:r>
        <w:rPr>
          <w:spacing w:val="-2"/>
        </w:rPr>
        <w:t>implemented</w:t>
      </w:r>
      <w:r>
        <w:rPr>
          <w:spacing w:val="31"/>
        </w:rPr>
        <w:t xml:space="preserve"> </w:t>
      </w:r>
      <w:r>
        <w:rPr>
          <w:spacing w:val="-1"/>
        </w:rPr>
        <w:t>and</w:t>
      </w:r>
      <w:r>
        <w:rPr>
          <w:spacing w:val="31"/>
        </w:rPr>
        <w:t xml:space="preserve"> </w:t>
      </w:r>
      <w:r>
        <w:rPr>
          <w:spacing w:val="-1"/>
        </w:rPr>
        <w:t>maintained</w:t>
      </w:r>
      <w:r>
        <w:rPr>
          <w:spacing w:val="32"/>
        </w:rPr>
        <w:t xml:space="preserve"> </w:t>
      </w:r>
      <w:r>
        <w:rPr>
          <w:spacing w:val="-1"/>
        </w:rPr>
        <w:t>by</w:t>
      </w:r>
      <w:r>
        <w:rPr>
          <w:spacing w:val="48"/>
        </w:rPr>
        <w:t xml:space="preserve"> </w:t>
      </w:r>
      <w:r>
        <w:t>the</w:t>
      </w:r>
      <w:r>
        <w:rPr>
          <w:spacing w:val="3"/>
        </w:rPr>
        <w:t xml:space="preserve"> </w:t>
      </w:r>
      <w:r>
        <w:rPr>
          <w:spacing w:val="-2"/>
        </w:rPr>
        <w:t>Supplier</w:t>
      </w:r>
      <w:r>
        <w:rPr>
          <w:spacing w:val="4"/>
        </w:rPr>
        <w:t xml:space="preserve"> </w:t>
      </w:r>
      <w:r>
        <w:rPr>
          <w:spacing w:val="-1"/>
        </w:rPr>
        <w:t>in</w:t>
      </w:r>
      <w:r>
        <w:rPr>
          <w:spacing w:val="3"/>
        </w:rPr>
        <w:t xml:space="preserve"> </w:t>
      </w:r>
      <w:r>
        <w:rPr>
          <w:spacing w:val="-1"/>
        </w:rPr>
        <w:t>relation</w:t>
      </w:r>
      <w:r>
        <w:rPr>
          <w:spacing w:val="3"/>
        </w:rPr>
        <w:t xml:space="preserve"> </w:t>
      </w:r>
      <w:r>
        <w:t>to</w:t>
      </w:r>
      <w:r>
        <w:rPr>
          <w:spacing w:val="3"/>
        </w:rPr>
        <w:t xml:space="preserve"> </w:t>
      </w:r>
      <w:r>
        <w:rPr>
          <w:spacing w:val="-1"/>
        </w:rPr>
        <w:t>all</w:t>
      </w:r>
      <w:r>
        <w:rPr>
          <w:spacing w:val="2"/>
        </w:rPr>
        <w:t xml:space="preserve"> </w:t>
      </w:r>
      <w:r>
        <w:rPr>
          <w:spacing w:val="-1"/>
        </w:rPr>
        <w:t>aspects</w:t>
      </w:r>
      <w:r>
        <w:rPr>
          <w:spacing w:val="3"/>
        </w:rPr>
        <w:t xml:space="preserve"> </w:t>
      </w:r>
      <w:r>
        <w:rPr>
          <w:spacing w:val="-1"/>
        </w:rPr>
        <w:t>of</w:t>
      </w:r>
      <w:r>
        <w:rPr>
          <w:spacing w:val="4"/>
        </w:rPr>
        <w:t xml:space="preserve"> </w:t>
      </w:r>
      <w:r>
        <w:t>the</w:t>
      </w:r>
      <w:r>
        <w:rPr>
          <w:spacing w:val="3"/>
        </w:rPr>
        <w:t xml:space="preserve"> </w:t>
      </w:r>
      <w:r>
        <w:rPr>
          <w:spacing w:val="-1"/>
        </w:rPr>
        <w:t>Goods</w:t>
      </w:r>
      <w:r>
        <w:rPr>
          <w:spacing w:val="1"/>
        </w:rPr>
        <w:t xml:space="preserve"> </w:t>
      </w:r>
      <w:r>
        <w:rPr>
          <w:spacing w:val="-1"/>
        </w:rPr>
        <w:t>and/or</w:t>
      </w:r>
      <w:r>
        <w:rPr>
          <w:spacing w:val="4"/>
        </w:rPr>
        <w:t xml:space="preserve"> </w:t>
      </w:r>
      <w:r>
        <w:rPr>
          <w:spacing w:val="-1"/>
        </w:rPr>
        <w:t>Services</w:t>
      </w:r>
      <w:r>
        <w:rPr>
          <w:spacing w:val="3"/>
        </w:rPr>
        <w:t xml:space="preserve"> </w:t>
      </w:r>
      <w:r>
        <w:rPr>
          <w:spacing w:val="-1"/>
        </w:rPr>
        <w:t>and</w:t>
      </w:r>
      <w:r>
        <w:rPr>
          <w:spacing w:val="42"/>
        </w:rPr>
        <w:t xml:space="preserve"> </w:t>
      </w:r>
      <w:r>
        <w:rPr>
          <w:spacing w:val="-1"/>
        </w:rPr>
        <w:t>all</w:t>
      </w:r>
      <w:r>
        <w:rPr>
          <w:spacing w:val="34"/>
        </w:rPr>
        <w:t xml:space="preserve"> </w:t>
      </w:r>
      <w:r>
        <w:rPr>
          <w:spacing w:val="-1"/>
        </w:rPr>
        <w:t>processes</w:t>
      </w:r>
      <w:r>
        <w:rPr>
          <w:spacing w:val="35"/>
        </w:rPr>
        <w:t xml:space="preserve"> </w:t>
      </w:r>
      <w:r>
        <w:rPr>
          <w:spacing w:val="-1"/>
        </w:rPr>
        <w:t>associated</w:t>
      </w:r>
      <w:r>
        <w:rPr>
          <w:spacing w:val="35"/>
        </w:rPr>
        <w:t xml:space="preserve"> </w:t>
      </w:r>
      <w:r>
        <w:rPr>
          <w:spacing w:val="-1"/>
        </w:rPr>
        <w:t>with</w:t>
      </w:r>
      <w:r>
        <w:rPr>
          <w:spacing w:val="35"/>
        </w:rPr>
        <w:t xml:space="preserve"> </w:t>
      </w:r>
      <w:r>
        <w:t>the</w:t>
      </w:r>
      <w:r>
        <w:rPr>
          <w:spacing w:val="35"/>
        </w:rPr>
        <w:t xml:space="preserve"> </w:t>
      </w:r>
      <w:r>
        <w:rPr>
          <w:spacing w:val="-1"/>
        </w:rPr>
        <w:t>delivery</w:t>
      </w:r>
      <w:r>
        <w:rPr>
          <w:spacing w:val="38"/>
        </w:rPr>
        <w:t xml:space="preserve"> </w:t>
      </w:r>
      <w:r>
        <w:rPr>
          <w:spacing w:val="-2"/>
        </w:rPr>
        <w:t>of</w:t>
      </w:r>
      <w:r>
        <w:rPr>
          <w:spacing w:val="40"/>
        </w:rPr>
        <w:t xml:space="preserve"> </w:t>
      </w:r>
      <w:r>
        <w:t>the</w:t>
      </w:r>
      <w:r>
        <w:rPr>
          <w:spacing w:val="35"/>
        </w:rPr>
        <w:t xml:space="preserve"> </w:t>
      </w:r>
      <w:r>
        <w:rPr>
          <w:spacing w:val="-1"/>
        </w:rPr>
        <w:t>Goods</w:t>
      </w:r>
      <w:r>
        <w:rPr>
          <w:spacing w:val="35"/>
        </w:rPr>
        <w:t xml:space="preserve"> </w:t>
      </w:r>
      <w:r>
        <w:rPr>
          <w:spacing w:val="-1"/>
        </w:rPr>
        <w:t>and/or</w:t>
      </w:r>
      <w:r>
        <w:rPr>
          <w:spacing w:val="22"/>
        </w:rPr>
        <w:t xml:space="preserve"> </w:t>
      </w:r>
      <w:r>
        <w:rPr>
          <w:spacing w:val="-1"/>
        </w:rPr>
        <w:t>Services</w:t>
      </w:r>
      <w:r>
        <w:rPr>
          <w:spacing w:val="30"/>
        </w:rPr>
        <w:t xml:space="preserve"> </w:t>
      </w:r>
      <w:r>
        <w:rPr>
          <w:spacing w:val="-1"/>
        </w:rPr>
        <w:t>and</w:t>
      </w:r>
      <w:r>
        <w:rPr>
          <w:spacing w:val="29"/>
        </w:rPr>
        <w:t xml:space="preserve"> </w:t>
      </w:r>
      <w:r>
        <w:rPr>
          <w:spacing w:val="-1"/>
        </w:rPr>
        <w:t>at</w:t>
      </w:r>
      <w:r>
        <w:rPr>
          <w:spacing w:val="30"/>
        </w:rPr>
        <w:t xml:space="preserve"> </w:t>
      </w:r>
      <w:r>
        <w:t>all</w:t>
      </w:r>
      <w:r>
        <w:rPr>
          <w:spacing w:val="28"/>
        </w:rPr>
        <w:t xml:space="preserve"> </w:t>
      </w:r>
      <w:r>
        <w:rPr>
          <w:spacing w:val="-1"/>
        </w:rPr>
        <w:t>times</w:t>
      </w:r>
      <w:r>
        <w:rPr>
          <w:spacing w:val="30"/>
        </w:rPr>
        <w:t xml:space="preserve"> </w:t>
      </w:r>
      <w:r>
        <w:rPr>
          <w:spacing w:val="-1"/>
        </w:rPr>
        <w:t>comply</w:t>
      </w:r>
      <w:r>
        <w:rPr>
          <w:spacing w:val="30"/>
        </w:rPr>
        <w:t xml:space="preserve"> </w:t>
      </w:r>
      <w:r>
        <w:rPr>
          <w:spacing w:val="-2"/>
        </w:rPr>
        <w:t>with</w:t>
      </w:r>
      <w:r>
        <w:rPr>
          <w:spacing w:val="29"/>
        </w:rPr>
        <w:t xml:space="preserve"> </w:t>
      </w:r>
      <w:r>
        <w:rPr>
          <w:spacing w:val="-1"/>
        </w:rPr>
        <w:t>and</w:t>
      </w:r>
      <w:r>
        <w:rPr>
          <w:spacing w:val="29"/>
        </w:rPr>
        <w:t xml:space="preserve"> </w:t>
      </w:r>
      <w:r>
        <w:t>specify</w:t>
      </w:r>
      <w:r>
        <w:rPr>
          <w:spacing w:val="27"/>
        </w:rPr>
        <w:t xml:space="preserve"> </w:t>
      </w:r>
      <w:r>
        <w:rPr>
          <w:spacing w:val="-1"/>
        </w:rPr>
        <w:t>security</w:t>
      </w:r>
      <w:r>
        <w:rPr>
          <w:spacing w:val="27"/>
        </w:rPr>
        <w:t xml:space="preserve"> </w:t>
      </w:r>
      <w:r>
        <w:rPr>
          <w:spacing w:val="-1"/>
        </w:rPr>
        <w:t>measures</w:t>
      </w:r>
      <w:r>
        <w:rPr>
          <w:spacing w:val="34"/>
        </w:rPr>
        <w:t xml:space="preserve"> </w:t>
      </w:r>
      <w:r>
        <w:rPr>
          <w:spacing w:val="-1"/>
        </w:rPr>
        <w:t>and</w:t>
      </w:r>
      <w:r>
        <w:rPr>
          <w:spacing w:val="29"/>
        </w:rPr>
        <w:t xml:space="preserve"> </w:t>
      </w:r>
      <w:r>
        <w:rPr>
          <w:spacing w:val="-1"/>
        </w:rPr>
        <w:t>procedures</w:t>
      </w:r>
      <w:r>
        <w:rPr>
          <w:spacing w:val="30"/>
        </w:rPr>
        <w:t xml:space="preserve"> </w:t>
      </w:r>
      <w:r>
        <w:rPr>
          <w:spacing w:val="-2"/>
        </w:rPr>
        <w:t>which</w:t>
      </w:r>
      <w:r>
        <w:rPr>
          <w:spacing w:val="30"/>
        </w:rPr>
        <w:t xml:space="preserve"> </w:t>
      </w:r>
      <w:r>
        <w:rPr>
          <w:spacing w:val="-1"/>
        </w:rPr>
        <w:t>are</w:t>
      </w:r>
      <w:r>
        <w:rPr>
          <w:spacing w:val="29"/>
        </w:rPr>
        <w:t xml:space="preserve"> </w:t>
      </w:r>
      <w:r>
        <w:rPr>
          <w:spacing w:val="-1"/>
        </w:rPr>
        <w:t>sufficient</w:t>
      </w:r>
      <w:r>
        <w:rPr>
          <w:spacing w:val="28"/>
        </w:rPr>
        <w:t xml:space="preserve"> </w:t>
      </w:r>
      <w:r>
        <w:t>to</w:t>
      </w:r>
      <w:r>
        <w:rPr>
          <w:spacing w:val="29"/>
        </w:rPr>
        <w:t xml:space="preserve"> </w:t>
      </w:r>
      <w:r>
        <w:rPr>
          <w:spacing w:val="-1"/>
        </w:rPr>
        <w:t>ensure</w:t>
      </w:r>
      <w:r>
        <w:rPr>
          <w:spacing w:val="27"/>
        </w:rPr>
        <w:t xml:space="preserve"> </w:t>
      </w:r>
      <w:r>
        <w:rPr>
          <w:spacing w:val="-1"/>
        </w:rPr>
        <w:t>that</w:t>
      </w:r>
      <w:r>
        <w:rPr>
          <w:spacing w:val="30"/>
        </w:rPr>
        <w:t xml:space="preserve"> </w:t>
      </w:r>
      <w:r>
        <w:t>the</w:t>
      </w:r>
      <w:r>
        <w:rPr>
          <w:spacing w:val="27"/>
        </w:rPr>
        <w:t xml:space="preserve"> </w:t>
      </w:r>
      <w:r>
        <w:rPr>
          <w:spacing w:val="-1"/>
        </w:rPr>
        <w:t>Goods</w:t>
      </w:r>
      <w:r>
        <w:rPr>
          <w:spacing w:val="30"/>
        </w:rPr>
        <w:t xml:space="preserve"> </w:t>
      </w:r>
      <w:r>
        <w:rPr>
          <w:spacing w:val="-1"/>
        </w:rPr>
        <w:t>and/or</w:t>
      </w:r>
      <w:r>
        <w:rPr>
          <w:spacing w:val="25"/>
        </w:rPr>
        <w:t xml:space="preserve"> </w:t>
      </w:r>
      <w:r>
        <w:rPr>
          <w:spacing w:val="-1"/>
        </w:rPr>
        <w:t>Services</w:t>
      </w:r>
      <w:r>
        <w:rPr>
          <w:spacing w:val="33"/>
        </w:rPr>
        <w:t xml:space="preserve"> </w:t>
      </w:r>
      <w:r>
        <w:rPr>
          <w:spacing w:val="-1"/>
        </w:rPr>
        <w:t>comply</w:t>
      </w:r>
      <w:r>
        <w:rPr>
          <w:spacing w:val="30"/>
        </w:rPr>
        <w:t xml:space="preserve"> </w:t>
      </w:r>
      <w:r>
        <w:rPr>
          <w:spacing w:val="-1"/>
        </w:rPr>
        <w:t>with</w:t>
      </w:r>
      <w:r>
        <w:rPr>
          <w:spacing w:val="32"/>
        </w:rPr>
        <w:t xml:space="preserve"> </w:t>
      </w:r>
      <w:r>
        <w:t>the</w:t>
      </w:r>
      <w:r>
        <w:rPr>
          <w:spacing w:val="32"/>
        </w:rPr>
        <w:t xml:space="preserve"> </w:t>
      </w:r>
      <w:r>
        <w:rPr>
          <w:spacing w:val="-2"/>
        </w:rPr>
        <w:t>provisions</w:t>
      </w:r>
      <w:r>
        <w:rPr>
          <w:spacing w:val="33"/>
        </w:rPr>
        <w:t xml:space="preserve"> </w:t>
      </w:r>
      <w:r>
        <w:rPr>
          <w:spacing w:val="-2"/>
        </w:rPr>
        <w:t>of</w:t>
      </w:r>
      <w:r>
        <w:rPr>
          <w:spacing w:val="34"/>
        </w:rPr>
        <w:t xml:space="preserve"> </w:t>
      </w:r>
      <w:r>
        <w:rPr>
          <w:spacing w:val="-1"/>
        </w:rPr>
        <w:t>this</w:t>
      </w:r>
      <w:r>
        <w:rPr>
          <w:spacing w:val="32"/>
        </w:rPr>
        <w:t xml:space="preserve"> </w:t>
      </w:r>
      <w:r>
        <w:rPr>
          <w:spacing w:val="-2"/>
        </w:rPr>
        <w:t>Call</w:t>
      </w:r>
      <w:r>
        <w:rPr>
          <w:spacing w:val="32"/>
        </w:rPr>
        <w:t xml:space="preserve"> </w:t>
      </w:r>
      <w:r>
        <w:rPr>
          <w:spacing w:val="-1"/>
        </w:rPr>
        <w:t>Off</w:t>
      </w:r>
      <w:r>
        <w:rPr>
          <w:spacing w:val="34"/>
        </w:rPr>
        <w:t xml:space="preserve"> </w:t>
      </w:r>
      <w:r>
        <w:rPr>
          <w:spacing w:val="-1"/>
        </w:rPr>
        <w:t>Schedule</w:t>
      </w:r>
      <w:r>
        <w:rPr>
          <w:spacing w:val="3"/>
        </w:rPr>
        <w:t xml:space="preserve"> </w:t>
      </w:r>
      <w:r>
        <w:t>8</w:t>
      </w:r>
      <w:r>
        <w:rPr>
          <w:spacing w:val="43"/>
        </w:rPr>
        <w:t xml:space="preserve"> </w:t>
      </w:r>
      <w:r>
        <w:rPr>
          <w:spacing w:val="-1"/>
        </w:rPr>
        <w:t>(including</w:t>
      </w:r>
      <w:r>
        <w:rPr>
          <w:spacing w:val="36"/>
        </w:rPr>
        <w:t xml:space="preserve"> </w:t>
      </w:r>
      <w:r>
        <w:t>the</w:t>
      </w:r>
      <w:r>
        <w:rPr>
          <w:spacing w:val="31"/>
        </w:rPr>
        <w:t xml:space="preserve"> </w:t>
      </w:r>
      <w:r>
        <w:rPr>
          <w:spacing w:val="-1"/>
        </w:rPr>
        <w:t>requirements</w:t>
      </w:r>
      <w:r>
        <w:rPr>
          <w:spacing w:val="34"/>
        </w:rPr>
        <w:t xml:space="preserve"> </w:t>
      </w:r>
      <w:r>
        <w:rPr>
          <w:spacing w:val="-2"/>
        </w:rPr>
        <w:t>set</w:t>
      </w:r>
      <w:r>
        <w:rPr>
          <w:spacing w:val="35"/>
        </w:rPr>
        <w:t xml:space="preserve"> </w:t>
      </w:r>
      <w:r>
        <w:rPr>
          <w:spacing w:val="-1"/>
        </w:rPr>
        <w:t>out</w:t>
      </w:r>
      <w:r>
        <w:rPr>
          <w:spacing w:val="35"/>
        </w:rPr>
        <w:t xml:space="preserve"> </w:t>
      </w:r>
      <w:r>
        <w:rPr>
          <w:spacing w:val="-1"/>
        </w:rPr>
        <w:t>in</w:t>
      </w:r>
      <w:r>
        <w:rPr>
          <w:spacing w:val="34"/>
        </w:rPr>
        <w:t xml:space="preserve"> </w:t>
      </w:r>
      <w:r>
        <w:rPr>
          <w:spacing w:val="-1"/>
        </w:rPr>
        <w:t>paragraph</w:t>
      </w:r>
      <w:r>
        <w:rPr>
          <w:spacing w:val="35"/>
        </w:rPr>
        <w:t xml:space="preserve"> </w:t>
      </w:r>
      <w:hyperlink w:anchor="_bookmark336" w:history="1">
        <w:r>
          <w:t>3.3</w:t>
        </w:r>
      </w:hyperlink>
      <w:r>
        <w:rPr>
          <w:spacing w:val="34"/>
        </w:rPr>
        <w:t xml:space="preserve"> </w:t>
      </w:r>
      <w:r>
        <w:rPr>
          <w:spacing w:val="-2"/>
        </w:rPr>
        <w:t>of</w:t>
      </w:r>
      <w:r>
        <w:rPr>
          <w:spacing w:val="33"/>
        </w:rPr>
        <w:t xml:space="preserve"> </w:t>
      </w:r>
      <w:r>
        <w:rPr>
          <w:spacing w:val="-1"/>
        </w:rPr>
        <w:t>this</w:t>
      </w:r>
      <w:r>
        <w:rPr>
          <w:spacing w:val="34"/>
        </w:rPr>
        <w:t xml:space="preserve"> </w:t>
      </w:r>
      <w:r>
        <w:rPr>
          <w:spacing w:val="-2"/>
        </w:rPr>
        <w:t>Call</w:t>
      </w:r>
      <w:r>
        <w:rPr>
          <w:spacing w:val="33"/>
        </w:rPr>
        <w:t xml:space="preserve"> </w:t>
      </w:r>
      <w:r>
        <w:rPr>
          <w:spacing w:val="-1"/>
        </w:rPr>
        <w:t>Off</w:t>
      </w:r>
      <w:r>
        <w:rPr>
          <w:spacing w:val="31"/>
        </w:rPr>
        <w:t xml:space="preserve"> </w:t>
      </w:r>
      <w:r>
        <w:rPr>
          <w:spacing w:val="-1"/>
        </w:rPr>
        <w:t>Schedule);</w:t>
      </w:r>
    </w:p>
    <w:p w:rsidR="008918FA" w:rsidRDefault="008918FA" w:rsidP="008918FA">
      <w:pPr>
        <w:pStyle w:val="BodyText"/>
        <w:numPr>
          <w:ilvl w:val="2"/>
          <w:numId w:val="14"/>
        </w:numPr>
        <w:tabs>
          <w:tab w:val="left" w:pos="2026"/>
        </w:tabs>
        <w:ind w:right="113" w:hanging="993"/>
        <w:jc w:val="both"/>
      </w:pPr>
      <w:r>
        <w:rPr>
          <w:spacing w:val="-1"/>
        </w:rPr>
        <w:t>set</w:t>
      </w:r>
      <w:r>
        <w:rPr>
          <w:spacing w:val="27"/>
        </w:rPr>
        <w:t xml:space="preserve"> </w:t>
      </w:r>
      <w:r>
        <w:rPr>
          <w:spacing w:val="-1"/>
        </w:rPr>
        <w:t>out</w:t>
      </w:r>
      <w:r>
        <w:rPr>
          <w:spacing w:val="27"/>
        </w:rPr>
        <w:t xml:space="preserve"> </w:t>
      </w:r>
      <w:r>
        <w:t>the</w:t>
      </w:r>
      <w:r>
        <w:rPr>
          <w:spacing w:val="26"/>
        </w:rPr>
        <w:t xml:space="preserve"> </w:t>
      </w:r>
      <w:r>
        <w:rPr>
          <w:spacing w:val="-1"/>
        </w:rPr>
        <w:t>plans</w:t>
      </w:r>
      <w:r>
        <w:rPr>
          <w:spacing w:val="24"/>
        </w:rPr>
        <w:t xml:space="preserve"> </w:t>
      </w:r>
      <w:r>
        <w:t>for</w:t>
      </w:r>
      <w:r>
        <w:rPr>
          <w:spacing w:val="24"/>
        </w:rPr>
        <w:t xml:space="preserve"> </w:t>
      </w:r>
      <w:r>
        <w:rPr>
          <w:spacing w:val="-1"/>
        </w:rPr>
        <w:t>transitioning</w:t>
      </w:r>
      <w:r>
        <w:rPr>
          <w:spacing w:val="28"/>
        </w:rPr>
        <w:t xml:space="preserve"> </w:t>
      </w:r>
      <w:r>
        <w:rPr>
          <w:spacing w:val="-1"/>
        </w:rPr>
        <w:t>all</w:t>
      </w:r>
      <w:r>
        <w:rPr>
          <w:spacing w:val="25"/>
        </w:rPr>
        <w:t xml:space="preserve"> </w:t>
      </w:r>
      <w:r>
        <w:rPr>
          <w:spacing w:val="-1"/>
        </w:rPr>
        <w:t>security</w:t>
      </w:r>
      <w:r>
        <w:rPr>
          <w:spacing w:val="24"/>
        </w:rPr>
        <w:t xml:space="preserve"> </w:t>
      </w:r>
      <w:r>
        <w:rPr>
          <w:spacing w:val="-1"/>
        </w:rPr>
        <w:t>arrangements</w:t>
      </w:r>
      <w:r>
        <w:rPr>
          <w:spacing w:val="26"/>
        </w:rPr>
        <w:t xml:space="preserve"> </w:t>
      </w:r>
      <w:r>
        <w:rPr>
          <w:spacing w:val="-1"/>
        </w:rPr>
        <w:t>and</w:t>
      </w:r>
      <w:r>
        <w:rPr>
          <w:spacing w:val="38"/>
        </w:rPr>
        <w:t xml:space="preserve"> </w:t>
      </w:r>
      <w:r>
        <w:rPr>
          <w:spacing w:val="-1"/>
        </w:rPr>
        <w:t>responsibilities</w:t>
      </w:r>
      <w:r>
        <w:rPr>
          <w:spacing w:val="51"/>
        </w:rPr>
        <w:t xml:space="preserve"> </w:t>
      </w:r>
      <w:r>
        <w:t>from</w:t>
      </w:r>
      <w:r>
        <w:rPr>
          <w:spacing w:val="52"/>
        </w:rPr>
        <w:t xml:space="preserve"> </w:t>
      </w:r>
      <w:r>
        <w:rPr>
          <w:spacing w:val="-1"/>
        </w:rPr>
        <w:t>those</w:t>
      </w:r>
      <w:r>
        <w:rPr>
          <w:spacing w:val="53"/>
        </w:rPr>
        <w:t xml:space="preserve"> </w:t>
      </w:r>
      <w:r>
        <w:rPr>
          <w:spacing w:val="-1"/>
        </w:rPr>
        <w:t>in</w:t>
      </w:r>
      <w:r>
        <w:rPr>
          <w:spacing w:val="53"/>
        </w:rPr>
        <w:t xml:space="preserve"> </w:t>
      </w:r>
      <w:r>
        <w:rPr>
          <w:spacing w:val="-1"/>
        </w:rPr>
        <w:t>place</w:t>
      </w:r>
      <w:r>
        <w:rPr>
          <w:spacing w:val="53"/>
        </w:rPr>
        <w:t xml:space="preserve"> </w:t>
      </w:r>
      <w:r>
        <w:rPr>
          <w:spacing w:val="-1"/>
        </w:rPr>
        <w:t>at</w:t>
      </w:r>
      <w:r>
        <w:rPr>
          <w:spacing w:val="52"/>
        </w:rPr>
        <w:t xml:space="preserve"> </w:t>
      </w:r>
      <w:r>
        <w:t>the</w:t>
      </w:r>
      <w:r>
        <w:rPr>
          <w:spacing w:val="52"/>
        </w:rPr>
        <w:t xml:space="preserve"> </w:t>
      </w:r>
      <w:r>
        <w:rPr>
          <w:spacing w:val="-2"/>
        </w:rPr>
        <w:t>Call</w:t>
      </w:r>
      <w:r>
        <w:rPr>
          <w:spacing w:val="52"/>
        </w:rPr>
        <w:t xml:space="preserve"> </w:t>
      </w:r>
      <w:r>
        <w:rPr>
          <w:spacing w:val="-1"/>
        </w:rPr>
        <w:t>Off</w:t>
      </w:r>
      <w:r>
        <w:rPr>
          <w:spacing w:val="55"/>
        </w:rPr>
        <w:t xml:space="preserve"> </w:t>
      </w:r>
      <w:r>
        <w:rPr>
          <w:spacing w:val="-2"/>
        </w:rPr>
        <w:t>Commencement</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spacing w:before="59"/>
        <w:ind w:left="2026" w:right="125" w:firstLine="0"/>
      </w:pPr>
      <w:r>
        <w:rPr>
          <w:spacing w:val="-1"/>
        </w:rPr>
        <w:t>Date</w:t>
      </w:r>
      <w:r>
        <w:rPr>
          <w:spacing w:val="27"/>
        </w:rPr>
        <w:t xml:space="preserve"> </w:t>
      </w:r>
      <w:r>
        <w:t>to</w:t>
      </w:r>
      <w:r>
        <w:rPr>
          <w:spacing w:val="24"/>
        </w:rPr>
        <w:t xml:space="preserve"> </w:t>
      </w:r>
      <w:r>
        <w:rPr>
          <w:spacing w:val="-1"/>
        </w:rPr>
        <w:t>those</w:t>
      </w:r>
      <w:r>
        <w:rPr>
          <w:spacing w:val="25"/>
        </w:rPr>
        <w:t xml:space="preserve"> </w:t>
      </w:r>
      <w:r>
        <w:rPr>
          <w:spacing w:val="-1"/>
        </w:rPr>
        <w:t>incorporated</w:t>
      </w:r>
      <w:r>
        <w:rPr>
          <w:spacing w:val="27"/>
        </w:rPr>
        <w:t xml:space="preserve"> </w:t>
      </w:r>
      <w:r>
        <w:rPr>
          <w:spacing w:val="-1"/>
        </w:rPr>
        <w:t>in</w:t>
      </w:r>
      <w:r>
        <w:rPr>
          <w:spacing w:val="27"/>
        </w:rPr>
        <w:t xml:space="preserve"> </w:t>
      </w:r>
      <w:r>
        <w:t>the</w:t>
      </w:r>
      <w:r>
        <w:rPr>
          <w:spacing w:val="24"/>
        </w:rPr>
        <w:t xml:space="preserve"> </w:t>
      </w:r>
      <w:r>
        <w:rPr>
          <w:spacing w:val="-1"/>
        </w:rPr>
        <w:t>ISMS</w:t>
      </w:r>
      <w:r>
        <w:rPr>
          <w:spacing w:val="55"/>
        </w:rPr>
        <w:t xml:space="preserve"> </w:t>
      </w:r>
      <w:r>
        <w:rPr>
          <w:spacing w:val="-1"/>
        </w:rPr>
        <w:t>within</w:t>
      </w:r>
      <w:r>
        <w:rPr>
          <w:spacing w:val="27"/>
        </w:rPr>
        <w:t xml:space="preserve"> </w:t>
      </w:r>
      <w:r>
        <w:t>the</w:t>
      </w:r>
      <w:r>
        <w:rPr>
          <w:spacing w:val="27"/>
        </w:rPr>
        <w:t xml:space="preserve"> </w:t>
      </w:r>
      <w:r>
        <w:rPr>
          <w:spacing w:val="-1"/>
        </w:rPr>
        <w:t>timeframe</w:t>
      </w:r>
      <w:r>
        <w:rPr>
          <w:spacing w:val="27"/>
        </w:rPr>
        <w:t xml:space="preserve"> </w:t>
      </w:r>
      <w:r>
        <w:rPr>
          <w:spacing w:val="-2"/>
        </w:rPr>
        <w:t>agreed</w:t>
      </w:r>
      <w:r>
        <w:rPr>
          <w:spacing w:val="28"/>
        </w:rPr>
        <w:t xml:space="preserve"> </w:t>
      </w:r>
      <w:r>
        <w:rPr>
          <w:spacing w:val="-1"/>
        </w:rPr>
        <w:t>between</w:t>
      </w:r>
      <w:r>
        <w:t xml:space="preserve"> the </w:t>
      </w:r>
      <w:r w:rsidR="00514A63">
        <w:rPr>
          <w:spacing w:val="-1"/>
        </w:rPr>
        <w:t>Parties.</w:t>
      </w:r>
    </w:p>
    <w:p w:rsidR="008918FA" w:rsidRDefault="008918FA" w:rsidP="008918FA">
      <w:pPr>
        <w:pStyle w:val="BodyText"/>
        <w:numPr>
          <w:ilvl w:val="2"/>
          <w:numId w:val="14"/>
        </w:numPr>
        <w:tabs>
          <w:tab w:val="left" w:pos="2027"/>
        </w:tabs>
        <w:spacing w:before="121"/>
        <w:ind w:left="2026" w:right="114"/>
        <w:jc w:val="both"/>
      </w:pPr>
      <w:r>
        <w:rPr>
          <w:spacing w:val="-1"/>
        </w:rPr>
        <w:t>be</w:t>
      </w:r>
      <w:r>
        <w:rPr>
          <w:spacing w:val="43"/>
        </w:rPr>
        <w:t xml:space="preserve"> </w:t>
      </w:r>
      <w:r>
        <w:rPr>
          <w:spacing w:val="-1"/>
        </w:rPr>
        <w:t>structured</w:t>
      </w:r>
      <w:r>
        <w:rPr>
          <w:spacing w:val="43"/>
        </w:rPr>
        <w:t xml:space="preserve"> </w:t>
      </w:r>
      <w:r>
        <w:rPr>
          <w:spacing w:val="-1"/>
        </w:rPr>
        <w:t>in</w:t>
      </w:r>
      <w:r>
        <w:rPr>
          <w:spacing w:val="43"/>
        </w:rPr>
        <w:t xml:space="preserve"> </w:t>
      </w:r>
      <w:r>
        <w:rPr>
          <w:spacing w:val="-2"/>
        </w:rPr>
        <w:t>accordance</w:t>
      </w:r>
      <w:r>
        <w:rPr>
          <w:spacing w:val="44"/>
        </w:rPr>
        <w:t xml:space="preserve"> </w:t>
      </w:r>
      <w:r>
        <w:rPr>
          <w:spacing w:val="-2"/>
        </w:rPr>
        <w:t>with</w:t>
      </w:r>
      <w:r>
        <w:rPr>
          <w:spacing w:val="43"/>
        </w:rPr>
        <w:t xml:space="preserve"> </w:t>
      </w:r>
      <w:r>
        <w:rPr>
          <w:spacing w:val="-1"/>
        </w:rPr>
        <w:t>ISO/IEC27001</w:t>
      </w:r>
      <w:r>
        <w:rPr>
          <w:spacing w:val="43"/>
        </w:rPr>
        <w:t xml:space="preserve"> </w:t>
      </w:r>
      <w:r>
        <w:rPr>
          <w:spacing w:val="-1"/>
        </w:rPr>
        <w:t>and</w:t>
      </w:r>
      <w:r>
        <w:rPr>
          <w:spacing w:val="44"/>
        </w:rPr>
        <w:t xml:space="preserve"> </w:t>
      </w:r>
      <w:r>
        <w:rPr>
          <w:spacing w:val="-1"/>
        </w:rPr>
        <w:t>ISO/IEC27002,</w:t>
      </w:r>
      <w:r>
        <w:rPr>
          <w:spacing w:val="42"/>
        </w:rPr>
        <w:t xml:space="preserve"> </w:t>
      </w:r>
      <w:r>
        <w:rPr>
          <w:spacing w:val="-1"/>
        </w:rPr>
        <w:t>cross-referencing</w:t>
      </w:r>
      <w:r>
        <w:rPr>
          <w:spacing w:val="10"/>
        </w:rPr>
        <w:t xml:space="preserve"> </w:t>
      </w:r>
      <w:r>
        <w:rPr>
          <w:spacing w:val="-2"/>
        </w:rPr>
        <w:t>if</w:t>
      </w:r>
      <w:r>
        <w:rPr>
          <w:spacing w:val="11"/>
        </w:rPr>
        <w:t xml:space="preserve"> </w:t>
      </w:r>
      <w:r>
        <w:rPr>
          <w:spacing w:val="-1"/>
        </w:rPr>
        <w:t>necessary</w:t>
      </w:r>
      <w:r>
        <w:rPr>
          <w:spacing w:val="5"/>
        </w:rPr>
        <w:t xml:space="preserve"> </w:t>
      </w:r>
      <w:r>
        <w:t>to</w:t>
      </w:r>
      <w:r>
        <w:rPr>
          <w:spacing w:val="7"/>
        </w:rPr>
        <w:t xml:space="preserve"> </w:t>
      </w:r>
      <w:r>
        <w:rPr>
          <w:spacing w:val="-1"/>
        </w:rPr>
        <w:t>other</w:t>
      </w:r>
      <w:r>
        <w:rPr>
          <w:spacing w:val="9"/>
        </w:rPr>
        <w:t xml:space="preserve"> </w:t>
      </w:r>
      <w:r>
        <w:rPr>
          <w:spacing w:val="-1"/>
        </w:rPr>
        <w:t>Schedules</w:t>
      </w:r>
      <w:r>
        <w:rPr>
          <w:spacing w:val="10"/>
        </w:rPr>
        <w:t xml:space="preserve"> </w:t>
      </w:r>
      <w:r>
        <w:rPr>
          <w:spacing w:val="-2"/>
        </w:rPr>
        <w:t>which</w:t>
      </w:r>
      <w:r>
        <w:rPr>
          <w:spacing w:val="8"/>
        </w:rPr>
        <w:t xml:space="preserve"> </w:t>
      </w:r>
      <w:r>
        <w:rPr>
          <w:spacing w:val="-1"/>
        </w:rPr>
        <w:t>cover</w:t>
      </w:r>
      <w:r>
        <w:rPr>
          <w:spacing w:val="9"/>
        </w:rPr>
        <w:t xml:space="preserve"> </w:t>
      </w:r>
      <w:r>
        <w:rPr>
          <w:spacing w:val="-1"/>
        </w:rPr>
        <w:t>specific</w:t>
      </w:r>
      <w:r>
        <w:rPr>
          <w:spacing w:val="43"/>
        </w:rPr>
        <w:t xml:space="preserve"> </w:t>
      </w:r>
      <w:r>
        <w:rPr>
          <w:spacing w:val="-1"/>
        </w:rPr>
        <w:t>areas</w:t>
      </w:r>
      <w:r>
        <w:rPr>
          <w:spacing w:val="1"/>
        </w:rPr>
        <w:t xml:space="preserve"> </w:t>
      </w:r>
      <w:r>
        <w:rPr>
          <w:spacing w:val="-1"/>
        </w:rPr>
        <w:t>included</w:t>
      </w:r>
      <w:r>
        <w:t xml:space="preserve"> </w:t>
      </w:r>
      <w:r>
        <w:rPr>
          <w:spacing w:val="-2"/>
        </w:rPr>
        <w:t>within</w:t>
      </w:r>
      <w:r>
        <w:t xml:space="preserve"> </w:t>
      </w:r>
      <w:r>
        <w:rPr>
          <w:spacing w:val="-1"/>
        </w:rPr>
        <w:t>those</w:t>
      </w:r>
      <w:r>
        <w:rPr>
          <w:spacing w:val="1"/>
        </w:rPr>
        <w:t xml:space="preserve"> </w:t>
      </w:r>
      <w:r>
        <w:rPr>
          <w:spacing w:val="-1"/>
        </w:rPr>
        <w:t>standards;</w:t>
      </w:r>
      <w:r>
        <w:rPr>
          <w:spacing w:val="2"/>
        </w:rPr>
        <w:t xml:space="preserve"> </w:t>
      </w:r>
      <w:r>
        <w:rPr>
          <w:spacing w:val="-1"/>
        </w:rPr>
        <w:t>and</w:t>
      </w:r>
    </w:p>
    <w:p w:rsidR="008918FA" w:rsidRDefault="008918FA" w:rsidP="008918FA">
      <w:pPr>
        <w:pStyle w:val="BodyText"/>
        <w:numPr>
          <w:ilvl w:val="2"/>
          <w:numId w:val="14"/>
        </w:numPr>
        <w:tabs>
          <w:tab w:val="left" w:pos="2027"/>
        </w:tabs>
        <w:ind w:left="2026" w:right="114"/>
        <w:jc w:val="both"/>
      </w:pPr>
      <w:r>
        <w:rPr>
          <w:spacing w:val="-1"/>
        </w:rPr>
        <w:t>be</w:t>
      </w:r>
      <w:r>
        <w:rPr>
          <w:spacing w:val="5"/>
        </w:rPr>
        <w:t xml:space="preserve"> </w:t>
      </w:r>
      <w:r>
        <w:rPr>
          <w:spacing w:val="-1"/>
        </w:rPr>
        <w:t>written</w:t>
      </w:r>
      <w:r>
        <w:rPr>
          <w:spacing w:val="5"/>
        </w:rPr>
        <w:t xml:space="preserve"> </w:t>
      </w:r>
      <w:r>
        <w:rPr>
          <w:spacing w:val="-1"/>
        </w:rPr>
        <w:t>in</w:t>
      </w:r>
      <w:r>
        <w:rPr>
          <w:spacing w:val="5"/>
        </w:rPr>
        <w:t xml:space="preserve"> </w:t>
      </w:r>
      <w:r>
        <w:rPr>
          <w:spacing w:val="-2"/>
        </w:rPr>
        <w:t>plain</w:t>
      </w:r>
      <w:r>
        <w:rPr>
          <w:spacing w:val="5"/>
        </w:rPr>
        <w:t xml:space="preserve"> </w:t>
      </w:r>
      <w:r>
        <w:rPr>
          <w:spacing w:val="-1"/>
        </w:rPr>
        <w:t>English</w:t>
      </w:r>
      <w:r>
        <w:rPr>
          <w:spacing w:val="5"/>
        </w:rPr>
        <w:t xml:space="preserve"> </w:t>
      </w:r>
      <w:r>
        <w:rPr>
          <w:spacing w:val="-1"/>
        </w:rPr>
        <w:t>in</w:t>
      </w:r>
      <w:r>
        <w:rPr>
          <w:spacing w:val="5"/>
        </w:rPr>
        <w:t xml:space="preserve"> </w:t>
      </w:r>
      <w:r>
        <w:rPr>
          <w:spacing w:val="-1"/>
        </w:rPr>
        <w:t>language</w:t>
      </w:r>
      <w:r>
        <w:rPr>
          <w:spacing w:val="5"/>
        </w:rPr>
        <w:t xml:space="preserve"> </w:t>
      </w:r>
      <w:r>
        <w:rPr>
          <w:spacing w:val="-2"/>
        </w:rPr>
        <w:t>which</w:t>
      </w:r>
      <w:r>
        <w:rPr>
          <w:spacing w:val="5"/>
        </w:rPr>
        <w:t xml:space="preserve"> </w:t>
      </w:r>
      <w:r>
        <w:rPr>
          <w:spacing w:val="-1"/>
        </w:rPr>
        <w:t>is</w:t>
      </w:r>
      <w:r>
        <w:rPr>
          <w:spacing w:val="5"/>
        </w:rPr>
        <w:t xml:space="preserve"> </w:t>
      </w:r>
      <w:r>
        <w:rPr>
          <w:spacing w:val="-1"/>
        </w:rPr>
        <w:t>readily</w:t>
      </w:r>
      <w:r>
        <w:rPr>
          <w:spacing w:val="3"/>
        </w:rPr>
        <w:t xml:space="preserve"> </w:t>
      </w:r>
      <w:r>
        <w:rPr>
          <w:spacing w:val="-1"/>
        </w:rPr>
        <w:t>comprehensible</w:t>
      </w:r>
      <w:r>
        <w:rPr>
          <w:spacing w:val="53"/>
        </w:rPr>
        <w:t xml:space="preserve"> </w:t>
      </w:r>
      <w:r>
        <w:t>to</w:t>
      </w:r>
      <w:r>
        <w:rPr>
          <w:spacing w:val="31"/>
        </w:rPr>
        <w:t xml:space="preserve"> </w:t>
      </w:r>
      <w:r>
        <w:t>the</w:t>
      </w:r>
      <w:r>
        <w:rPr>
          <w:spacing w:val="29"/>
        </w:rPr>
        <w:t xml:space="preserve"> </w:t>
      </w:r>
      <w:r>
        <w:rPr>
          <w:spacing w:val="-1"/>
        </w:rPr>
        <w:t>staff</w:t>
      </w:r>
      <w:r>
        <w:rPr>
          <w:spacing w:val="33"/>
        </w:rPr>
        <w:t xml:space="preserve"> </w:t>
      </w:r>
      <w:r>
        <w:rPr>
          <w:spacing w:val="-2"/>
        </w:rPr>
        <w:t>of</w:t>
      </w:r>
      <w:r>
        <w:rPr>
          <w:spacing w:val="33"/>
        </w:rPr>
        <w:t xml:space="preserve"> </w:t>
      </w:r>
      <w:r>
        <w:t>the</w:t>
      </w:r>
      <w:r>
        <w:rPr>
          <w:spacing w:val="29"/>
        </w:rPr>
        <w:t xml:space="preserve"> </w:t>
      </w:r>
      <w:r>
        <w:rPr>
          <w:spacing w:val="-2"/>
        </w:rPr>
        <w:t>Supplier</w:t>
      </w:r>
      <w:r>
        <w:rPr>
          <w:spacing w:val="33"/>
        </w:rPr>
        <w:t xml:space="preserve"> </w:t>
      </w:r>
      <w:r>
        <w:rPr>
          <w:spacing w:val="-1"/>
        </w:rPr>
        <w:t>and</w:t>
      </w:r>
      <w:r>
        <w:rPr>
          <w:spacing w:val="31"/>
        </w:rPr>
        <w:t xml:space="preserve"> </w:t>
      </w:r>
      <w:r>
        <w:t>the</w:t>
      </w:r>
      <w:r>
        <w:rPr>
          <w:spacing w:val="29"/>
        </w:rPr>
        <w:t xml:space="preserve"> </w:t>
      </w:r>
      <w:r>
        <w:rPr>
          <w:spacing w:val="-1"/>
        </w:rPr>
        <w:t>Customer</w:t>
      </w:r>
      <w:r>
        <w:rPr>
          <w:spacing w:val="30"/>
        </w:rPr>
        <w:t xml:space="preserve"> </w:t>
      </w:r>
      <w:r>
        <w:rPr>
          <w:spacing w:val="-1"/>
        </w:rPr>
        <w:t>engaged</w:t>
      </w:r>
      <w:r>
        <w:rPr>
          <w:spacing w:val="32"/>
        </w:rPr>
        <w:t xml:space="preserve"> </w:t>
      </w:r>
      <w:r>
        <w:rPr>
          <w:spacing w:val="-1"/>
        </w:rPr>
        <w:t>in</w:t>
      </w:r>
      <w:r>
        <w:rPr>
          <w:spacing w:val="29"/>
        </w:rPr>
        <w:t xml:space="preserve"> </w:t>
      </w:r>
      <w:r>
        <w:t>the</w:t>
      </w:r>
      <w:r>
        <w:rPr>
          <w:spacing w:val="29"/>
        </w:rPr>
        <w:t xml:space="preserve"> </w:t>
      </w:r>
      <w:r>
        <w:rPr>
          <w:spacing w:val="-1"/>
        </w:rPr>
        <w:t>Goods</w:t>
      </w:r>
      <w:r>
        <w:rPr>
          <w:spacing w:val="32"/>
        </w:rPr>
        <w:t xml:space="preserve"> </w:t>
      </w:r>
      <w:r>
        <w:rPr>
          <w:spacing w:val="-1"/>
        </w:rPr>
        <w:t>and/or</w:t>
      </w:r>
      <w:r>
        <w:rPr>
          <w:spacing w:val="26"/>
        </w:rPr>
        <w:t xml:space="preserve"> </w:t>
      </w:r>
      <w:r>
        <w:rPr>
          <w:spacing w:val="-1"/>
        </w:rPr>
        <w:t>Services</w:t>
      </w:r>
      <w:r>
        <w:rPr>
          <w:spacing w:val="25"/>
        </w:rPr>
        <w:t xml:space="preserve"> </w:t>
      </w:r>
      <w:r>
        <w:rPr>
          <w:spacing w:val="-1"/>
        </w:rPr>
        <w:t>and</w:t>
      </w:r>
      <w:r>
        <w:rPr>
          <w:spacing w:val="24"/>
        </w:rPr>
        <w:t xml:space="preserve"> </w:t>
      </w:r>
      <w:r>
        <w:rPr>
          <w:spacing w:val="-1"/>
        </w:rPr>
        <w:t>shall</w:t>
      </w:r>
      <w:r>
        <w:rPr>
          <w:spacing w:val="24"/>
        </w:rPr>
        <w:t xml:space="preserve"> </w:t>
      </w:r>
      <w:r>
        <w:rPr>
          <w:spacing w:val="-1"/>
        </w:rPr>
        <w:t>reference</w:t>
      </w:r>
      <w:r>
        <w:rPr>
          <w:spacing w:val="25"/>
        </w:rPr>
        <w:t xml:space="preserve"> </w:t>
      </w:r>
      <w:r>
        <w:rPr>
          <w:spacing w:val="-1"/>
        </w:rPr>
        <w:t>only</w:t>
      </w:r>
      <w:r>
        <w:rPr>
          <w:spacing w:val="22"/>
        </w:rPr>
        <w:t xml:space="preserve"> </w:t>
      </w:r>
      <w:r>
        <w:rPr>
          <w:spacing w:val="-1"/>
        </w:rPr>
        <w:t>documents</w:t>
      </w:r>
      <w:r>
        <w:rPr>
          <w:spacing w:val="25"/>
        </w:rPr>
        <w:t xml:space="preserve"> </w:t>
      </w:r>
      <w:r>
        <w:rPr>
          <w:spacing w:val="-2"/>
        </w:rPr>
        <w:t>which</w:t>
      </w:r>
      <w:r>
        <w:rPr>
          <w:spacing w:val="25"/>
        </w:rPr>
        <w:t xml:space="preserve"> </w:t>
      </w:r>
      <w:r>
        <w:rPr>
          <w:spacing w:val="-1"/>
        </w:rPr>
        <w:t>are</w:t>
      </w:r>
      <w:r>
        <w:rPr>
          <w:spacing w:val="24"/>
        </w:rPr>
        <w:t xml:space="preserve"> </w:t>
      </w:r>
      <w:r>
        <w:rPr>
          <w:spacing w:val="-1"/>
        </w:rPr>
        <w:t>in</w:t>
      </w:r>
      <w:r>
        <w:rPr>
          <w:spacing w:val="24"/>
        </w:rPr>
        <w:t xml:space="preserve"> </w:t>
      </w:r>
      <w:r>
        <w:rPr>
          <w:spacing w:val="-1"/>
        </w:rPr>
        <w:t>the</w:t>
      </w:r>
      <w:r>
        <w:rPr>
          <w:spacing w:val="42"/>
        </w:rPr>
        <w:t xml:space="preserve"> </w:t>
      </w:r>
      <w:r>
        <w:rPr>
          <w:spacing w:val="-1"/>
        </w:rPr>
        <w:t>possession</w:t>
      </w:r>
      <w:r>
        <w:rPr>
          <w:spacing w:val="29"/>
        </w:rPr>
        <w:t xml:space="preserve"> </w:t>
      </w:r>
      <w:r>
        <w:rPr>
          <w:spacing w:val="-2"/>
        </w:rPr>
        <w:t>of</w:t>
      </w:r>
      <w:r>
        <w:rPr>
          <w:spacing w:val="33"/>
        </w:rPr>
        <w:t xml:space="preserve"> </w:t>
      </w:r>
      <w:r>
        <w:t>the</w:t>
      </w:r>
      <w:r>
        <w:rPr>
          <w:spacing w:val="29"/>
        </w:rPr>
        <w:t xml:space="preserve"> </w:t>
      </w:r>
      <w:r>
        <w:rPr>
          <w:spacing w:val="-1"/>
        </w:rPr>
        <w:t>Parties</w:t>
      </w:r>
      <w:r>
        <w:rPr>
          <w:spacing w:val="30"/>
        </w:rPr>
        <w:t xml:space="preserve"> </w:t>
      </w:r>
      <w:r>
        <w:rPr>
          <w:spacing w:val="-1"/>
        </w:rPr>
        <w:t>or</w:t>
      </w:r>
      <w:r>
        <w:rPr>
          <w:spacing w:val="30"/>
        </w:rPr>
        <w:t xml:space="preserve"> </w:t>
      </w:r>
      <w:r>
        <w:rPr>
          <w:spacing w:val="-2"/>
        </w:rPr>
        <w:t>whose</w:t>
      </w:r>
      <w:r>
        <w:rPr>
          <w:spacing w:val="32"/>
        </w:rPr>
        <w:t xml:space="preserve"> </w:t>
      </w:r>
      <w:r>
        <w:rPr>
          <w:spacing w:val="-1"/>
        </w:rPr>
        <w:t>location</w:t>
      </w:r>
      <w:r>
        <w:rPr>
          <w:spacing w:val="29"/>
        </w:rPr>
        <w:t xml:space="preserve"> </w:t>
      </w:r>
      <w:r>
        <w:rPr>
          <w:spacing w:val="-1"/>
        </w:rPr>
        <w:t>is</w:t>
      </w:r>
      <w:r>
        <w:rPr>
          <w:spacing w:val="30"/>
        </w:rPr>
        <w:t xml:space="preserve"> </w:t>
      </w:r>
      <w:r>
        <w:rPr>
          <w:spacing w:val="-1"/>
        </w:rPr>
        <w:t>otherwise</w:t>
      </w:r>
      <w:r>
        <w:rPr>
          <w:spacing w:val="30"/>
        </w:rPr>
        <w:t xml:space="preserve"> </w:t>
      </w:r>
      <w:r>
        <w:rPr>
          <w:spacing w:val="-1"/>
        </w:rPr>
        <w:t>specified</w:t>
      </w:r>
      <w:r>
        <w:rPr>
          <w:spacing w:val="29"/>
        </w:rPr>
        <w:t xml:space="preserve"> </w:t>
      </w:r>
      <w:r>
        <w:rPr>
          <w:spacing w:val="-1"/>
        </w:rPr>
        <w:t>in</w:t>
      </w:r>
      <w:r>
        <w:rPr>
          <w:spacing w:val="37"/>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2"/>
        </w:rPr>
        <w:t xml:space="preserve"> </w:t>
      </w:r>
      <w:r>
        <w:t>.</w:t>
      </w:r>
    </w:p>
    <w:p w:rsidR="008918FA" w:rsidRDefault="008918FA" w:rsidP="008918FA">
      <w:pPr>
        <w:pStyle w:val="BodyText"/>
        <w:numPr>
          <w:ilvl w:val="1"/>
          <w:numId w:val="14"/>
        </w:numPr>
        <w:tabs>
          <w:tab w:val="left" w:pos="829"/>
        </w:tabs>
        <w:ind w:right="112" w:hanging="359"/>
        <w:jc w:val="both"/>
      </w:pPr>
      <w:bookmarkStart w:id="418" w:name="_bookmark341"/>
      <w:bookmarkEnd w:id="418"/>
      <w:r>
        <w:rPr>
          <w:spacing w:val="-1"/>
        </w:rPr>
        <w:t>If</w:t>
      </w:r>
      <w:r>
        <w:rPr>
          <w:spacing w:val="53"/>
        </w:rPr>
        <w:t xml:space="preserve"> </w:t>
      </w:r>
      <w:r>
        <w:t>the</w:t>
      </w:r>
      <w:r>
        <w:rPr>
          <w:spacing w:val="49"/>
        </w:rPr>
        <w:t xml:space="preserve"> </w:t>
      </w:r>
      <w:r>
        <w:rPr>
          <w:spacing w:val="-1"/>
        </w:rPr>
        <w:t>Security</w:t>
      </w:r>
      <w:r>
        <w:rPr>
          <w:spacing w:val="47"/>
        </w:rPr>
        <w:t xml:space="preserve"> </w:t>
      </w:r>
      <w:r>
        <w:rPr>
          <w:spacing w:val="-1"/>
        </w:rPr>
        <w:t>Management</w:t>
      </w:r>
      <w:r>
        <w:rPr>
          <w:spacing w:val="51"/>
        </w:rPr>
        <w:t xml:space="preserve"> </w:t>
      </w:r>
      <w:r>
        <w:rPr>
          <w:spacing w:val="-1"/>
        </w:rPr>
        <w:t>Plan</w:t>
      </w:r>
      <w:r>
        <w:rPr>
          <w:spacing w:val="49"/>
        </w:rPr>
        <w:t xml:space="preserve"> </w:t>
      </w:r>
      <w:r>
        <w:rPr>
          <w:spacing w:val="-1"/>
        </w:rPr>
        <w:t>submitted</w:t>
      </w:r>
      <w:r>
        <w:rPr>
          <w:spacing w:val="47"/>
        </w:rPr>
        <w:t xml:space="preserve"> </w:t>
      </w:r>
      <w:r>
        <w:t>to</w:t>
      </w:r>
      <w:r>
        <w:rPr>
          <w:spacing w:val="50"/>
        </w:rPr>
        <w:t xml:space="preserve"> </w:t>
      </w:r>
      <w:r>
        <w:t>the</w:t>
      </w:r>
      <w:r>
        <w:rPr>
          <w:spacing w:val="49"/>
        </w:rPr>
        <w:t xml:space="preserve"> </w:t>
      </w:r>
      <w:r>
        <w:rPr>
          <w:spacing w:val="-1"/>
        </w:rPr>
        <w:t>Customer</w:t>
      </w:r>
      <w:r>
        <w:rPr>
          <w:spacing w:val="51"/>
        </w:rPr>
        <w:t xml:space="preserve"> </w:t>
      </w:r>
      <w:r>
        <w:rPr>
          <w:spacing w:val="-1"/>
        </w:rPr>
        <w:t>pursuant</w:t>
      </w:r>
      <w:r>
        <w:rPr>
          <w:spacing w:val="51"/>
        </w:rPr>
        <w:t xml:space="preserve"> </w:t>
      </w:r>
      <w:r>
        <w:rPr>
          <w:spacing w:val="-1"/>
        </w:rPr>
        <w:t>to</w:t>
      </w:r>
      <w:r>
        <w:rPr>
          <w:spacing w:val="37"/>
        </w:rPr>
        <w:t xml:space="preserve"> </w:t>
      </w:r>
      <w:r>
        <w:rPr>
          <w:spacing w:val="-1"/>
        </w:rPr>
        <w:t>paragraph</w:t>
      </w:r>
      <w:r>
        <w:rPr>
          <w:spacing w:val="-2"/>
        </w:rPr>
        <w:t xml:space="preserve"> </w:t>
      </w:r>
      <w:r>
        <w:t>3.1</w:t>
      </w:r>
      <w:r>
        <w:rPr>
          <w:spacing w:val="29"/>
        </w:rPr>
        <w:t xml:space="preserve"> </w:t>
      </w:r>
      <w:r>
        <w:rPr>
          <w:spacing w:val="-2"/>
        </w:rPr>
        <w:t>of</w:t>
      </w:r>
      <w:r>
        <w:rPr>
          <w:spacing w:val="28"/>
        </w:rPr>
        <w:t xml:space="preserve"> </w:t>
      </w:r>
      <w:r>
        <w:rPr>
          <w:spacing w:val="-1"/>
        </w:rPr>
        <w:t>this</w:t>
      </w:r>
      <w:r>
        <w:rPr>
          <w:spacing w:val="30"/>
        </w:rPr>
        <w:t xml:space="preserve"> </w:t>
      </w:r>
      <w:r>
        <w:rPr>
          <w:spacing w:val="-2"/>
        </w:rPr>
        <w:t>Call</w:t>
      </w:r>
      <w:r>
        <w:rPr>
          <w:spacing w:val="29"/>
        </w:rPr>
        <w:t xml:space="preserve"> </w:t>
      </w:r>
      <w:r>
        <w:rPr>
          <w:spacing w:val="-1"/>
        </w:rPr>
        <w:t>Off</w:t>
      </w:r>
      <w:r>
        <w:rPr>
          <w:spacing w:val="30"/>
        </w:rPr>
        <w:t xml:space="preserve"> </w:t>
      </w:r>
      <w:r>
        <w:rPr>
          <w:spacing w:val="-1"/>
        </w:rPr>
        <w:t>Schedule</w:t>
      </w:r>
      <w:r>
        <w:rPr>
          <w:spacing w:val="29"/>
        </w:rPr>
        <w:t xml:space="preserve"> </w:t>
      </w:r>
      <w:r>
        <w:rPr>
          <w:spacing w:val="-1"/>
        </w:rPr>
        <w:t>is</w:t>
      </w:r>
      <w:r>
        <w:rPr>
          <w:spacing w:val="30"/>
        </w:rPr>
        <w:t xml:space="preserve"> </w:t>
      </w:r>
      <w:r>
        <w:rPr>
          <w:spacing w:val="-2"/>
        </w:rPr>
        <w:t>Approved</w:t>
      </w:r>
      <w:r>
        <w:rPr>
          <w:spacing w:val="29"/>
        </w:rPr>
        <w:t xml:space="preserve"> </w:t>
      </w:r>
      <w:r>
        <w:rPr>
          <w:spacing w:val="-1"/>
        </w:rPr>
        <w:t>by</w:t>
      </w:r>
      <w:r>
        <w:rPr>
          <w:spacing w:val="27"/>
        </w:rPr>
        <w:t xml:space="preserve"> </w:t>
      </w:r>
      <w:r>
        <w:t>the</w:t>
      </w:r>
      <w:r>
        <w:rPr>
          <w:spacing w:val="29"/>
        </w:rPr>
        <w:t xml:space="preserve"> </w:t>
      </w:r>
      <w:r>
        <w:rPr>
          <w:spacing w:val="-1"/>
        </w:rPr>
        <w:t>Customer,</w:t>
      </w:r>
      <w:r>
        <w:rPr>
          <w:spacing w:val="30"/>
        </w:rPr>
        <w:t xml:space="preserve"> </w:t>
      </w:r>
      <w:r>
        <w:rPr>
          <w:spacing w:val="-2"/>
        </w:rPr>
        <w:t>it</w:t>
      </w:r>
      <w:r>
        <w:rPr>
          <w:spacing w:val="28"/>
        </w:rPr>
        <w:t xml:space="preserve"> </w:t>
      </w:r>
      <w:r>
        <w:rPr>
          <w:spacing w:val="-1"/>
        </w:rPr>
        <w:t>shall</w:t>
      </w:r>
      <w:r>
        <w:rPr>
          <w:spacing w:val="28"/>
        </w:rPr>
        <w:t xml:space="preserve"> </w:t>
      </w:r>
      <w:r>
        <w:rPr>
          <w:spacing w:val="-1"/>
        </w:rPr>
        <w:t>be</w:t>
      </w:r>
      <w:r>
        <w:rPr>
          <w:spacing w:val="42"/>
        </w:rPr>
        <w:t xml:space="preserve"> </w:t>
      </w:r>
      <w:r>
        <w:rPr>
          <w:spacing w:val="-1"/>
        </w:rPr>
        <w:t>adopted</w:t>
      </w:r>
      <w:r>
        <w:rPr>
          <w:spacing w:val="38"/>
        </w:rPr>
        <w:t xml:space="preserve"> </w:t>
      </w:r>
      <w:r>
        <w:rPr>
          <w:spacing w:val="-1"/>
        </w:rPr>
        <w:t>by</w:t>
      </w:r>
      <w:r>
        <w:rPr>
          <w:spacing w:val="36"/>
        </w:rPr>
        <w:t xml:space="preserve"> </w:t>
      </w:r>
      <w:r>
        <w:t>the</w:t>
      </w:r>
      <w:r>
        <w:rPr>
          <w:spacing w:val="38"/>
        </w:rPr>
        <w:t xml:space="preserve"> </w:t>
      </w:r>
      <w:r>
        <w:rPr>
          <w:spacing w:val="-2"/>
        </w:rPr>
        <w:t>Supplier</w:t>
      </w:r>
      <w:r>
        <w:rPr>
          <w:spacing w:val="42"/>
        </w:rPr>
        <w:t xml:space="preserve"> </w:t>
      </w:r>
      <w:r>
        <w:rPr>
          <w:spacing w:val="-1"/>
        </w:rPr>
        <w:t>immediately</w:t>
      </w:r>
      <w:r>
        <w:rPr>
          <w:spacing w:val="36"/>
        </w:rPr>
        <w:t xml:space="preserve"> </w:t>
      </w:r>
      <w:r>
        <w:rPr>
          <w:spacing w:val="-1"/>
        </w:rPr>
        <w:t>and</w:t>
      </w:r>
      <w:r>
        <w:rPr>
          <w:spacing w:val="38"/>
        </w:rPr>
        <w:t xml:space="preserve"> </w:t>
      </w:r>
      <w:r>
        <w:rPr>
          <w:spacing w:val="-1"/>
        </w:rPr>
        <w:t>thereafter</w:t>
      </w:r>
      <w:r>
        <w:rPr>
          <w:spacing w:val="41"/>
        </w:rPr>
        <w:t xml:space="preserve"> </w:t>
      </w:r>
      <w:r>
        <w:rPr>
          <w:spacing w:val="-1"/>
        </w:rPr>
        <w:t>operated</w:t>
      </w:r>
      <w:r>
        <w:rPr>
          <w:spacing w:val="38"/>
        </w:rPr>
        <w:t xml:space="preserve"> </w:t>
      </w:r>
      <w:r>
        <w:rPr>
          <w:spacing w:val="-1"/>
        </w:rPr>
        <w:t>and</w:t>
      </w:r>
      <w:r>
        <w:rPr>
          <w:spacing w:val="38"/>
        </w:rPr>
        <w:t xml:space="preserve"> </w:t>
      </w:r>
      <w:r>
        <w:rPr>
          <w:spacing w:val="-1"/>
        </w:rPr>
        <w:t>maintained</w:t>
      </w:r>
      <w:r>
        <w:rPr>
          <w:spacing w:val="38"/>
        </w:rPr>
        <w:t xml:space="preserve"> </w:t>
      </w:r>
      <w:r>
        <w:rPr>
          <w:spacing w:val="-1"/>
        </w:rPr>
        <w:t>in</w:t>
      </w:r>
      <w:r>
        <w:rPr>
          <w:spacing w:val="51"/>
        </w:rPr>
        <w:t xml:space="preserve"> </w:t>
      </w:r>
      <w:r>
        <w:rPr>
          <w:spacing w:val="-1"/>
        </w:rPr>
        <w:t>accordance</w:t>
      </w:r>
      <w:r>
        <w:rPr>
          <w:spacing w:val="37"/>
        </w:rPr>
        <w:t xml:space="preserve"> </w:t>
      </w:r>
      <w:r>
        <w:rPr>
          <w:spacing w:val="-2"/>
        </w:rPr>
        <w:t>with</w:t>
      </w:r>
      <w:r>
        <w:rPr>
          <w:spacing w:val="36"/>
        </w:rPr>
        <w:t xml:space="preserve"> </w:t>
      </w:r>
      <w:r>
        <w:rPr>
          <w:spacing w:val="-1"/>
        </w:rPr>
        <w:t>this</w:t>
      </w:r>
      <w:r>
        <w:rPr>
          <w:spacing w:val="37"/>
        </w:rPr>
        <w:t xml:space="preserve"> </w:t>
      </w:r>
      <w:r>
        <w:rPr>
          <w:spacing w:val="-1"/>
        </w:rPr>
        <w:t>Call</w:t>
      </w:r>
      <w:r>
        <w:rPr>
          <w:spacing w:val="36"/>
        </w:rPr>
        <w:t xml:space="preserve"> </w:t>
      </w:r>
      <w:r>
        <w:t>Off</w:t>
      </w:r>
      <w:r>
        <w:rPr>
          <w:spacing w:val="40"/>
        </w:rPr>
        <w:t xml:space="preserve"> </w:t>
      </w:r>
      <w:r>
        <w:rPr>
          <w:spacing w:val="-2"/>
        </w:rPr>
        <w:t>Schedule.</w:t>
      </w:r>
      <w:r>
        <w:rPr>
          <w:spacing w:val="38"/>
        </w:rPr>
        <w:t xml:space="preserve"> </w:t>
      </w:r>
      <w:r>
        <w:rPr>
          <w:spacing w:val="-1"/>
        </w:rPr>
        <w:t>If</w:t>
      </w:r>
      <w:r>
        <w:rPr>
          <w:spacing w:val="39"/>
        </w:rPr>
        <w:t xml:space="preserve"> </w:t>
      </w:r>
      <w:r>
        <w:t>the</w:t>
      </w:r>
      <w:r>
        <w:rPr>
          <w:spacing w:val="36"/>
        </w:rPr>
        <w:t xml:space="preserve"> </w:t>
      </w:r>
      <w:r>
        <w:rPr>
          <w:spacing w:val="-1"/>
        </w:rPr>
        <w:t>Security</w:t>
      </w:r>
      <w:r>
        <w:rPr>
          <w:spacing w:val="37"/>
        </w:rPr>
        <w:t xml:space="preserve"> </w:t>
      </w:r>
      <w:r>
        <w:rPr>
          <w:spacing w:val="-1"/>
        </w:rPr>
        <w:t>Management</w:t>
      </w:r>
      <w:r>
        <w:rPr>
          <w:spacing w:val="38"/>
        </w:rPr>
        <w:t xml:space="preserve"> </w:t>
      </w:r>
      <w:r>
        <w:rPr>
          <w:spacing w:val="-1"/>
        </w:rPr>
        <w:t>Plan</w:t>
      </w:r>
      <w:r>
        <w:rPr>
          <w:spacing w:val="36"/>
        </w:rPr>
        <w:t xml:space="preserve"> </w:t>
      </w:r>
      <w:r>
        <w:rPr>
          <w:spacing w:val="-1"/>
        </w:rPr>
        <w:t>is</w:t>
      </w:r>
      <w:r>
        <w:rPr>
          <w:spacing w:val="37"/>
        </w:rPr>
        <w:t xml:space="preserve"> </w:t>
      </w:r>
      <w:r>
        <w:rPr>
          <w:spacing w:val="-1"/>
        </w:rPr>
        <w:t>not</w:t>
      </w:r>
      <w:r>
        <w:rPr>
          <w:spacing w:val="46"/>
        </w:rPr>
        <w:t xml:space="preserve"> </w:t>
      </w:r>
      <w:r>
        <w:rPr>
          <w:spacing w:val="-1"/>
        </w:rPr>
        <w:t>approved</w:t>
      </w:r>
      <w:r>
        <w:rPr>
          <w:spacing w:val="41"/>
        </w:rPr>
        <w:t xml:space="preserve"> </w:t>
      </w:r>
      <w:r>
        <w:rPr>
          <w:spacing w:val="-1"/>
        </w:rPr>
        <w:t>by</w:t>
      </w:r>
      <w:r>
        <w:rPr>
          <w:spacing w:val="39"/>
        </w:rPr>
        <w:t xml:space="preserve"> </w:t>
      </w:r>
      <w:r>
        <w:t>the</w:t>
      </w:r>
      <w:r>
        <w:rPr>
          <w:spacing w:val="41"/>
        </w:rPr>
        <w:t xml:space="preserve"> </w:t>
      </w:r>
      <w:r>
        <w:rPr>
          <w:spacing w:val="-1"/>
        </w:rPr>
        <w:t>Customer,</w:t>
      </w:r>
      <w:r>
        <w:rPr>
          <w:spacing w:val="42"/>
        </w:rPr>
        <w:t xml:space="preserve"> </w:t>
      </w:r>
      <w:r>
        <w:t>the</w:t>
      </w:r>
      <w:r>
        <w:rPr>
          <w:spacing w:val="41"/>
        </w:rPr>
        <w:t xml:space="preserve"> </w:t>
      </w:r>
      <w:r>
        <w:rPr>
          <w:spacing w:val="-2"/>
        </w:rPr>
        <w:t>Supplier</w:t>
      </w:r>
      <w:r>
        <w:rPr>
          <w:spacing w:val="42"/>
        </w:rPr>
        <w:t xml:space="preserve"> </w:t>
      </w:r>
      <w:r>
        <w:rPr>
          <w:spacing w:val="-1"/>
        </w:rPr>
        <w:t>shall</w:t>
      </w:r>
      <w:r>
        <w:rPr>
          <w:spacing w:val="43"/>
        </w:rPr>
        <w:t xml:space="preserve"> </w:t>
      </w:r>
      <w:r>
        <w:rPr>
          <w:spacing w:val="-1"/>
        </w:rPr>
        <w:t>amend</w:t>
      </w:r>
      <w:r>
        <w:rPr>
          <w:spacing w:val="41"/>
        </w:rPr>
        <w:t xml:space="preserve"> </w:t>
      </w:r>
      <w:r>
        <w:rPr>
          <w:spacing w:val="-1"/>
        </w:rPr>
        <w:t>it</w:t>
      </w:r>
      <w:r>
        <w:rPr>
          <w:spacing w:val="42"/>
        </w:rPr>
        <w:t xml:space="preserve"> </w:t>
      </w:r>
      <w:r>
        <w:rPr>
          <w:spacing w:val="-2"/>
        </w:rPr>
        <w:t>within</w:t>
      </w:r>
      <w:r>
        <w:rPr>
          <w:spacing w:val="42"/>
        </w:rPr>
        <w:t xml:space="preserve"> </w:t>
      </w:r>
      <w:r>
        <w:t>ten</w:t>
      </w:r>
      <w:r>
        <w:rPr>
          <w:spacing w:val="41"/>
        </w:rPr>
        <w:t xml:space="preserve"> </w:t>
      </w:r>
      <w:r>
        <w:rPr>
          <w:spacing w:val="-1"/>
        </w:rPr>
        <w:t>(10)</w:t>
      </w:r>
      <w:r>
        <w:rPr>
          <w:spacing w:val="35"/>
        </w:rPr>
        <w:t xml:space="preserve"> </w:t>
      </w:r>
      <w:r>
        <w:rPr>
          <w:spacing w:val="-1"/>
        </w:rPr>
        <w:t>Working</w:t>
      </w:r>
      <w:r>
        <w:rPr>
          <w:spacing w:val="40"/>
        </w:rPr>
        <w:t xml:space="preserve"> </w:t>
      </w:r>
      <w:r>
        <w:rPr>
          <w:spacing w:val="-2"/>
        </w:rPr>
        <w:t>Days</w:t>
      </w:r>
      <w:r>
        <w:rPr>
          <w:spacing w:val="7"/>
        </w:rPr>
        <w:t xml:space="preserve"> </w:t>
      </w:r>
      <w:r>
        <w:rPr>
          <w:spacing w:val="-1"/>
        </w:rPr>
        <w:t>of</w:t>
      </w:r>
      <w:r>
        <w:rPr>
          <w:spacing w:val="10"/>
        </w:rPr>
        <w:t xml:space="preserve"> </w:t>
      </w:r>
      <w:r>
        <w:t>a</w:t>
      </w:r>
      <w:r>
        <w:rPr>
          <w:spacing w:val="6"/>
        </w:rPr>
        <w:t xml:space="preserve"> </w:t>
      </w:r>
      <w:r>
        <w:rPr>
          <w:spacing w:val="-1"/>
        </w:rPr>
        <w:t>notice</w:t>
      </w:r>
      <w:r>
        <w:rPr>
          <w:spacing w:val="7"/>
        </w:rPr>
        <w:t xml:space="preserve"> </w:t>
      </w:r>
      <w:r>
        <w:rPr>
          <w:spacing w:val="-2"/>
        </w:rPr>
        <w:t>of</w:t>
      </w:r>
      <w:r>
        <w:rPr>
          <w:spacing w:val="8"/>
        </w:rPr>
        <w:t xml:space="preserve"> </w:t>
      </w:r>
      <w:r>
        <w:rPr>
          <w:spacing w:val="-1"/>
        </w:rPr>
        <w:t>non-approval</w:t>
      </w:r>
      <w:r>
        <w:rPr>
          <w:spacing w:val="3"/>
        </w:rPr>
        <w:t xml:space="preserve"> </w:t>
      </w:r>
      <w:r>
        <w:t>from</w:t>
      </w:r>
      <w:r>
        <w:rPr>
          <w:spacing w:val="8"/>
        </w:rPr>
        <w:t xml:space="preserve"> </w:t>
      </w:r>
      <w:r>
        <w:rPr>
          <w:spacing w:val="-1"/>
        </w:rPr>
        <w:t>the</w:t>
      </w:r>
      <w:r>
        <w:rPr>
          <w:spacing w:val="6"/>
        </w:rPr>
        <w:t xml:space="preserve"> </w:t>
      </w:r>
      <w:r>
        <w:rPr>
          <w:spacing w:val="-2"/>
        </w:rPr>
        <w:t>Customer</w:t>
      </w:r>
      <w:r>
        <w:rPr>
          <w:spacing w:val="8"/>
        </w:rPr>
        <w:t xml:space="preserve"> </w:t>
      </w:r>
      <w:r>
        <w:rPr>
          <w:spacing w:val="-1"/>
        </w:rPr>
        <w:t>and</w:t>
      </w:r>
      <w:r>
        <w:rPr>
          <w:spacing w:val="4"/>
        </w:rPr>
        <w:t xml:space="preserve"> </w:t>
      </w:r>
      <w:r>
        <w:rPr>
          <w:spacing w:val="-1"/>
        </w:rPr>
        <w:t>re-submit</w:t>
      </w:r>
      <w:r>
        <w:rPr>
          <w:spacing w:val="5"/>
        </w:rPr>
        <w:t xml:space="preserve"> </w:t>
      </w:r>
      <w:r>
        <w:rPr>
          <w:spacing w:val="-1"/>
        </w:rPr>
        <w:t>it</w:t>
      </w:r>
      <w:r>
        <w:rPr>
          <w:spacing w:val="8"/>
        </w:rPr>
        <w:t xml:space="preserve"> </w:t>
      </w:r>
      <w:r>
        <w:t>to</w:t>
      </w:r>
      <w:r>
        <w:rPr>
          <w:spacing w:val="4"/>
        </w:rPr>
        <w:t xml:space="preserve"> </w:t>
      </w:r>
      <w:r>
        <w:rPr>
          <w:spacing w:val="-1"/>
        </w:rPr>
        <w:t>the</w:t>
      </w:r>
      <w:r>
        <w:rPr>
          <w:spacing w:val="36"/>
        </w:rPr>
        <w:t xml:space="preserve"> </w:t>
      </w:r>
      <w:r>
        <w:rPr>
          <w:spacing w:val="-1"/>
        </w:rPr>
        <w:t>Customer</w:t>
      </w:r>
      <w:r>
        <w:rPr>
          <w:spacing w:val="9"/>
        </w:rPr>
        <w:t xml:space="preserve"> </w:t>
      </w:r>
      <w:r>
        <w:t>for</w:t>
      </w:r>
      <w:r>
        <w:rPr>
          <w:spacing w:val="11"/>
        </w:rPr>
        <w:t xml:space="preserve"> </w:t>
      </w:r>
      <w:r>
        <w:rPr>
          <w:spacing w:val="-2"/>
        </w:rPr>
        <w:t>Approval.</w:t>
      </w:r>
      <w:r>
        <w:rPr>
          <w:spacing w:val="11"/>
        </w:rPr>
        <w:t xml:space="preserve"> </w:t>
      </w:r>
      <w:r>
        <w:t>The</w:t>
      </w:r>
      <w:r>
        <w:rPr>
          <w:spacing w:val="10"/>
        </w:rPr>
        <w:t xml:space="preserve"> </w:t>
      </w:r>
      <w:r>
        <w:rPr>
          <w:spacing w:val="-1"/>
        </w:rPr>
        <w:t>Parties</w:t>
      </w:r>
      <w:r>
        <w:rPr>
          <w:spacing w:val="10"/>
        </w:rPr>
        <w:t xml:space="preserve"> </w:t>
      </w:r>
      <w:r>
        <w:rPr>
          <w:spacing w:val="-1"/>
        </w:rPr>
        <w:t>shall</w:t>
      </w:r>
      <w:r>
        <w:rPr>
          <w:spacing w:val="9"/>
        </w:rPr>
        <w:t xml:space="preserve"> </w:t>
      </w:r>
      <w:r>
        <w:rPr>
          <w:spacing w:val="-1"/>
        </w:rPr>
        <w:t>use</w:t>
      </w:r>
      <w:r>
        <w:rPr>
          <w:spacing w:val="10"/>
        </w:rPr>
        <w:t xml:space="preserve"> </w:t>
      </w:r>
      <w:r>
        <w:rPr>
          <w:spacing w:val="-1"/>
        </w:rPr>
        <w:t>all</w:t>
      </w:r>
      <w:r>
        <w:rPr>
          <w:spacing w:val="12"/>
        </w:rPr>
        <w:t xml:space="preserve"> </w:t>
      </w:r>
      <w:r>
        <w:rPr>
          <w:spacing w:val="-1"/>
        </w:rPr>
        <w:t>reasonable</w:t>
      </w:r>
      <w:r>
        <w:rPr>
          <w:spacing w:val="10"/>
        </w:rPr>
        <w:t xml:space="preserve"> </w:t>
      </w:r>
      <w:r>
        <w:rPr>
          <w:spacing w:val="-1"/>
        </w:rPr>
        <w:t>endeavours</w:t>
      </w:r>
      <w:r>
        <w:rPr>
          <w:spacing w:val="10"/>
        </w:rPr>
        <w:t xml:space="preserve"> </w:t>
      </w:r>
      <w:r>
        <w:t>to</w:t>
      </w:r>
      <w:r>
        <w:rPr>
          <w:spacing w:val="10"/>
        </w:rPr>
        <w:t xml:space="preserve"> </w:t>
      </w:r>
      <w:r>
        <w:rPr>
          <w:spacing w:val="-1"/>
        </w:rPr>
        <w:t>ensure</w:t>
      </w:r>
      <w:r>
        <w:rPr>
          <w:spacing w:val="39"/>
        </w:rPr>
        <w:t xml:space="preserve"> </w:t>
      </w:r>
      <w:r>
        <w:rPr>
          <w:spacing w:val="-1"/>
        </w:rPr>
        <w:t>that</w:t>
      </w:r>
      <w:r>
        <w:t xml:space="preserve"> the</w:t>
      </w:r>
      <w:r>
        <w:rPr>
          <w:spacing w:val="-2"/>
        </w:rPr>
        <w:t xml:space="preserve"> </w:t>
      </w:r>
      <w:r>
        <w:rPr>
          <w:spacing w:val="-1"/>
        </w:rPr>
        <w:t>Approval</w:t>
      </w:r>
      <w:r>
        <w:t xml:space="preserve"> </w:t>
      </w:r>
      <w:r>
        <w:rPr>
          <w:spacing w:val="-1"/>
        </w:rPr>
        <w:t>process</w:t>
      </w:r>
      <w:r>
        <w:rPr>
          <w:spacing w:val="1"/>
        </w:rPr>
        <w:t xml:space="preserve"> </w:t>
      </w:r>
      <w:r>
        <w:rPr>
          <w:spacing w:val="-1"/>
        </w:rPr>
        <w:t>takes</w:t>
      </w:r>
      <w:r>
        <w:rPr>
          <w:spacing w:val="1"/>
        </w:rPr>
        <w:t xml:space="preserve"> </w:t>
      </w:r>
      <w:r>
        <w:rPr>
          <w:spacing w:val="-1"/>
        </w:rPr>
        <w:t>as</w:t>
      </w:r>
      <w:r>
        <w:rPr>
          <w:spacing w:val="-2"/>
        </w:rPr>
        <w:t xml:space="preserve"> </w:t>
      </w:r>
      <w:r>
        <w:rPr>
          <w:spacing w:val="-1"/>
        </w:rPr>
        <w:t>little</w:t>
      </w:r>
      <w:r>
        <w:rPr>
          <w:spacing w:val="-2"/>
        </w:rPr>
        <w:t xml:space="preserve"> </w:t>
      </w:r>
      <w:r>
        <w:rPr>
          <w:spacing w:val="-1"/>
        </w:rPr>
        <w:t>time</w:t>
      </w:r>
      <w:r>
        <w:t xml:space="preserve"> </w:t>
      </w:r>
      <w:r>
        <w:rPr>
          <w:spacing w:val="-2"/>
        </w:rPr>
        <w:t>as</w:t>
      </w:r>
      <w:r>
        <w:rPr>
          <w:spacing w:val="1"/>
        </w:rPr>
        <w:t xml:space="preserve"> </w:t>
      </w:r>
      <w:r>
        <w:rPr>
          <w:spacing w:val="-2"/>
        </w:rPr>
        <w:t>possible</w:t>
      </w:r>
      <w:r>
        <w:t xml:space="preserve"> </w:t>
      </w:r>
      <w:r>
        <w:rPr>
          <w:spacing w:val="-1"/>
        </w:rPr>
        <w:t>and</w:t>
      </w:r>
      <w:r>
        <w:t xml:space="preserve"> </w:t>
      </w:r>
      <w:r>
        <w:rPr>
          <w:spacing w:val="-1"/>
        </w:rPr>
        <w:t>in</w:t>
      </w:r>
      <w:r>
        <w:t xml:space="preserve"> </w:t>
      </w:r>
      <w:r>
        <w:rPr>
          <w:spacing w:val="-1"/>
        </w:rPr>
        <w:t>any</w:t>
      </w:r>
      <w:r>
        <w:rPr>
          <w:spacing w:val="-2"/>
        </w:rPr>
        <w:t xml:space="preserve"> event</w:t>
      </w:r>
      <w:r>
        <w:t xml:space="preserve"> </w:t>
      </w:r>
      <w:r>
        <w:rPr>
          <w:spacing w:val="-1"/>
        </w:rPr>
        <w:t>no</w:t>
      </w:r>
      <w:r>
        <w:t xml:space="preserve"> </w:t>
      </w:r>
      <w:r>
        <w:rPr>
          <w:spacing w:val="-1"/>
        </w:rPr>
        <w:t>longer</w:t>
      </w:r>
      <w:r>
        <w:rPr>
          <w:spacing w:val="57"/>
        </w:rPr>
        <w:t xml:space="preserve"> </w:t>
      </w:r>
      <w:r>
        <w:rPr>
          <w:spacing w:val="-1"/>
        </w:rPr>
        <w:t>than</w:t>
      </w:r>
      <w:r>
        <w:rPr>
          <w:spacing w:val="20"/>
        </w:rPr>
        <w:t xml:space="preserve"> </w:t>
      </w:r>
      <w:r>
        <w:rPr>
          <w:spacing w:val="-1"/>
        </w:rPr>
        <w:t>fifteen</w:t>
      </w:r>
      <w:r>
        <w:rPr>
          <w:spacing w:val="22"/>
        </w:rPr>
        <w:t xml:space="preserve"> </w:t>
      </w:r>
      <w:r>
        <w:rPr>
          <w:spacing w:val="-1"/>
        </w:rPr>
        <w:t>(15)</w:t>
      </w:r>
      <w:r>
        <w:rPr>
          <w:spacing w:val="19"/>
        </w:rPr>
        <w:t xml:space="preserve"> </w:t>
      </w:r>
      <w:r>
        <w:rPr>
          <w:spacing w:val="-1"/>
        </w:rPr>
        <w:t>Working</w:t>
      </w:r>
      <w:r>
        <w:rPr>
          <w:spacing w:val="24"/>
        </w:rPr>
        <w:t xml:space="preserve"> </w:t>
      </w:r>
      <w:r>
        <w:rPr>
          <w:spacing w:val="-2"/>
        </w:rPr>
        <w:t>Days</w:t>
      </w:r>
      <w:r>
        <w:rPr>
          <w:spacing w:val="22"/>
        </w:rPr>
        <w:t xml:space="preserve"> </w:t>
      </w:r>
      <w:r>
        <w:rPr>
          <w:spacing w:val="-1"/>
        </w:rPr>
        <w:t>(or</w:t>
      </w:r>
      <w:r>
        <w:rPr>
          <w:spacing w:val="23"/>
        </w:rPr>
        <w:t xml:space="preserve"> </w:t>
      </w:r>
      <w:r>
        <w:rPr>
          <w:spacing w:val="-1"/>
        </w:rPr>
        <w:t>such</w:t>
      </w:r>
      <w:r>
        <w:rPr>
          <w:spacing w:val="22"/>
        </w:rPr>
        <w:t xml:space="preserve"> </w:t>
      </w:r>
      <w:r>
        <w:rPr>
          <w:spacing w:val="-1"/>
        </w:rPr>
        <w:t>other</w:t>
      </w:r>
      <w:r>
        <w:rPr>
          <w:spacing w:val="23"/>
        </w:rPr>
        <w:t xml:space="preserve"> </w:t>
      </w:r>
      <w:r>
        <w:rPr>
          <w:spacing w:val="-2"/>
        </w:rPr>
        <w:t>period</w:t>
      </w:r>
      <w:r>
        <w:rPr>
          <w:spacing w:val="22"/>
        </w:rPr>
        <w:t xml:space="preserve"> </w:t>
      </w:r>
      <w:r>
        <w:rPr>
          <w:spacing w:val="-1"/>
        </w:rPr>
        <w:t>as</w:t>
      </w:r>
      <w:r>
        <w:rPr>
          <w:spacing w:val="22"/>
        </w:rPr>
        <w:t xml:space="preserve"> </w:t>
      </w:r>
      <w:r>
        <w:t>the</w:t>
      </w:r>
      <w:r>
        <w:rPr>
          <w:spacing w:val="22"/>
        </w:rPr>
        <w:t xml:space="preserve"> </w:t>
      </w:r>
      <w:r>
        <w:rPr>
          <w:spacing w:val="-1"/>
        </w:rPr>
        <w:t>Parties</w:t>
      </w:r>
      <w:r>
        <w:rPr>
          <w:spacing w:val="22"/>
        </w:rPr>
        <w:t xml:space="preserve"> </w:t>
      </w:r>
      <w:r>
        <w:rPr>
          <w:spacing w:val="-1"/>
        </w:rPr>
        <w:t>may</w:t>
      </w:r>
      <w:r>
        <w:rPr>
          <w:spacing w:val="20"/>
        </w:rPr>
        <w:t xml:space="preserve"> </w:t>
      </w:r>
      <w:r>
        <w:t>agree</w:t>
      </w:r>
      <w:r>
        <w:rPr>
          <w:spacing w:val="22"/>
        </w:rPr>
        <w:t xml:space="preserve"> </w:t>
      </w:r>
      <w:r>
        <w:rPr>
          <w:spacing w:val="-1"/>
        </w:rPr>
        <w:t>in</w:t>
      </w:r>
      <w:r>
        <w:rPr>
          <w:spacing w:val="57"/>
        </w:rPr>
        <w:t xml:space="preserve"> </w:t>
      </w:r>
      <w:r>
        <w:rPr>
          <w:spacing w:val="-1"/>
        </w:rPr>
        <w:t>writing)</w:t>
      </w:r>
      <w:r>
        <w:rPr>
          <w:spacing w:val="57"/>
        </w:rPr>
        <w:t xml:space="preserve"> </w:t>
      </w:r>
      <w:r>
        <w:t>from</w:t>
      </w:r>
      <w:r>
        <w:rPr>
          <w:spacing w:val="59"/>
        </w:rPr>
        <w:t xml:space="preserve"> </w:t>
      </w:r>
      <w:r>
        <w:t>the</w:t>
      </w:r>
      <w:r>
        <w:rPr>
          <w:spacing w:val="58"/>
        </w:rPr>
        <w:t xml:space="preserve"> </w:t>
      </w:r>
      <w:r>
        <w:rPr>
          <w:spacing w:val="-1"/>
        </w:rPr>
        <w:t>date</w:t>
      </w:r>
      <w:r>
        <w:rPr>
          <w:spacing w:val="58"/>
        </w:rPr>
        <w:t xml:space="preserve"> </w:t>
      </w:r>
      <w:r>
        <w:rPr>
          <w:spacing w:val="-2"/>
        </w:rPr>
        <w:t>of</w:t>
      </w:r>
      <w:r>
        <w:t xml:space="preserve">  the</w:t>
      </w:r>
      <w:r>
        <w:rPr>
          <w:spacing w:val="55"/>
        </w:rPr>
        <w:t xml:space="preserve"> </w:t>
      </w:r>
      <w:r>
        <w:rPr>
          <w:spacing w:val="-1"/>
        </w:rPr>
        <w:t>first</w:t>
      </w:r>
      <w:r>
        <w:rPr>
          <w:spacing w:val="59"/>
        </w:rPr>
        <w:t xml:space="preserve"> </w:t>
      </w:r>
      <w:r>
        <w:rPr>
          <w:spacing w:val="-1"/>
        </w:rPr>
        <w:t>submission</w:t>
      </w:r>
      <w:r>
        <w:rPr>
          <w:spacing w:val="56"/>
        </w:rPr>
        <w:t xml:space="preserve"> </w:t>
      </w:r>
      <w:r>
        <w:t>to</w:t>
      </w:r>
      <w:r>
        <w:rPr>
          <w:spacing w:val="58"/>
        </w:rPr>
        <w:t xml:space="preserve"> </w:t>
      </w:r>
      <w:r>
        <w:t>the</w:t>
      </w:r>
      <w:r>
        <w:rPr>
          <w:spacing w:val="58"/>
        </w:rPr>
        <w:t xml:space="preserve"> </w:t>
      </w:r>
      <w:r>
        <w:rPr>
          <w:spacing w:val="-1"/>
        </w:rPr>
        <w:t>Customer</w:t>
      </w:r>
      <w:r>
        <w:rPr>
          <w:spacing w:val="59"/>
        </w:rPr>
        <w:t xml:space="preserve"> </w:t>
      </w:r>
      <w:r>
        <w:rPr>
          <w:spacing w:val="-2"/>
        </w:rPr>
        <w:t>of</w:t>
      </w:r>
      <w:r>
        <w:rPr>
          <w:spacing w:val="59"/>
        </w:rPr>
        <w:t xml:space="preserve"> </w:t>
      </w:r>
      <w:r>
        <w:t>the</w:t>
      </w:r>
      <w:r>
        <w:rPr>
          <w:spacing w:val="55"/>
        </w:rPr>
        <w:t xml:space="preserve"> </w:t>
      </w:r>
      <w:r>
        <w:rPr>
          <w:spacing w:val="-1"/>
        </w:rPr>
        <w:t>Security</w:t>
      </w:r>
      <w:r>
        <w:rPr>
          <w:spacing w:val="33"/>
        </w:rPr>
        <w:t xml:space="preserve"> </w:t>
      </w:r>
      <w:r>
        <w:rPr>
          <w:spacing w:val="-1"/>
        </w:rPr>
        <w:t>Management</w:t>
      </w:r>
      <w:r>
        <w:rPr>
          <w:spacing w:val="35"/>
        </w:rPr>
        <w:t xml:space="preserve"> </w:t>
      </w:r>
      <w:r>
        <w:rPr>
          <w:spacing w:val="-1"/>
        </w:rPr>
        <w:t>Plan.</w:t>
      </w:r>
      <w:r>
        <w:rPr>
          <w:spacing w:val="35"/>
        </w:rPr>
        <w:t xml:space="preserve"> </w:t>
      </w:r>
      <w:r>
        <w:rPr>
          <w:spacing w:val="-1"/>
        </w:rPr>
        <w:t>If</w:t>
      </w:r>
      <w:r>
        <w:rPr>
          <w:spacing w:val="35"/>
        </w:rPr>
        <w:t xml:space="preserve"> </w:t>
      </w:r>
      <w:r>
        <w:rPr>
          <w:spacing w:val="-1"/>
        </w:rPr>
        <w:t>the</w:t>
      </w:r>
      <w:r>
        <w:rPr>
          <w:spacing w:val="34"/>
        </w:rPr>
        <w:t xml:space="preserve"> </w:t>
      </w:r>
      <w:r>
        <w:rPr>
          <w:spacing w:val="-1"/>
        </w:rPr>
        <w:t>Customer</w:t>
      </w:r>
      <w:r>
        <w:rPr>
          <w:spacing w:val="35"/>
        </w:rPr>
        <w:t xml:space="preserve"> </w:t>
      </w:r>
      <w:r>
        <w:rPr>
          <w:spacing w:val="-1"/>
        </w:rPr>
        <w:t>does</w:t>
      </w:r>
      <w:r>
        <w:rPr>
          <w:spacing w:val="34"/>
        </w:rPr>
        <w:t xml:space="preserve"> </w:t>
      </w:r>
      <w:r>
        <w:rPr>
          <w:spacing w:val="-1"/>
        </w:rPr>
        <w:t>not</w:t>
      </w:r>
      <w:r>
        <w:rPr>
          <w:spacing w:val="36"/>
        </w:rPr>
        <w:t xml:space="preserve"> </w:t>
      </w:r>
      <w:r>
        <w:rPr>
          <w:spacing w:val="-2"/>
        </w:rPr>
        <w:t>Approve</w:t>
      </w:r>
      <w:r>
        <w:rPr>
          <w:spacing w:val="34"/>
        </w:rPr>
        <w:t xml:space="preserve"> </w:t>
      </w:r>
      <w:r>
        <w:t>the</w:t>
      </w:r>
      <w:r>
        <w:rPr>
          <w:spacing w:val="34"/>
        </w:rPr>
        <w:t xml:space="preserve"> </w:t>
      </w:r>
      <w:r>
        <w:rPr>
          <w:spacing w:val="-1"/>
        </w:rPr>
        <w:t>Security</w:t>
      </w:r>
      <w:r>
        <w:rPr>
          <w:spacing w:val="34"/>
        </w:rPr>
        <w:t xml:space="preserve"> </w:t>
      </w:r>
      <w:r>
        <w:rPr>
          <w:spacing w:val="-1"/>
        </w:rPr>
        <w:t>Management</w:t>
      </w:r>
      <w:r>
        <w:rPr>
          <w:spacing w:val="36"/>
        </w:rPr>
        <w:t xml:space="preserve"> </w:t>
      </w:r>
      <w:r>
        <w:rPr>
          <w:spacing w:val="-1"/>
        </w:rPr>
        <w:t>Plan</w:t>
      </w:r>
      <w:r>
        <w:rPr>
          <w:spacing w:val="3"/>
        </w:rPr>
        <w:t xml:space="preserve"> </w:t>
      </w:r>
      <w:r>
        <w:rPr>
          <w:spacing w:val="-2"/>
        </w:rPr>
        <w:t>following</w:t>
      </w:r>
      <w:r>
        <w:rPr>
          <w:spacing w:val="5"/>
        </w:rPr>
        <w:t xml:space="preserve"> </w:t>
      </w:r>
      <w:r>
        <w:rPr>
          <w:spacing w:val="-1"/>
        </w:rPr>
        <w:t>its</w:t>
      </w:r>
      <w:r>
        <w:rPr>
          <w:spacing w:val="3"/>
        </w:rPr>
        <w:t xml:space="preserve"> </w:t>
      </w:r>
      <w:r>
        <w:rPr>
          <w:spacing w:val="-1"/>
        </w:rPr>
        <w:t>resubmission,</w:t>
      </w:r>
      <w:r>
        <w:rPr>
          <w:spacing w:val="4"/>
        </w:rPr>
        <w:t xml:space="preserve"> </w:t>
      </w:r>
      <w:r>
        <w:t>the</w:t>
      </w:r>
      <w:r>
        <w:rPr>
          <w:spacing w:val="3"/>
        </w:rPr>
        <w:t xml:space="preserve"> </w:t>
      </w:r>
      <w:r>
        <w:rPr>
          <w:spacing w:val="-1"/>
        </w:rPr>
        <w:t>matter</w:t>
      </w:r>
      <w:r>
        <w:rPr>
          <w:spacing w:val="4"/>
        </w:rPr>
        <w:t xml:space="preserve"> </w:t>
      </w:r>
      <w:r>
        <w:rPr>
          <w:spacing w:val="-1"/>
        </w:rPr>
        <w:t>shall</w:t>
      </w:r>
      <w:r>
        <w:rPr>
          <w:spacing w:val="2"/>
        </w:rPr>
        <w:t xml:space="preserve"> </w:t>
      </w:r>
      <w:r>
        <w:rPr>
          <w:spacing w:val="-1"/>
        </w:rPr>
        <w:t>be</w:t>
      </w:r>
      <w:r>
        <w:rPr>
          <w:spacing w:val="3"/>
        </w:rPr>
        <w:t xml:space="preserve"> </w:t>
      </w:r>
      <w:r>
        <w:rPr>
          <w:spacing w:val="-1"/>
        </w:rPr>
        <w:t>resolved</w:t>
      </w:r>
      <w:r>
        <w:rPr>
          <w:spacing w:val="3"/>
        </w:rPr>
        <w:t xml:space="preserve"> </w:t>
      </w:r>
      <w:r>
        <w:rPr>
          <w:spacing w:val="-1"/>
        </w:rPr>
        <w:t>in</w:t>
      </w:r>
      <w:r>
        <w:rPr>
          <w:spacing w:val="5"/>
        </w:rPr>
        <w:t xml:space="preserve"> </w:t>
      </w:r>
      <w:r>
        <w:rPr>
          <w:spacing w:val="-1"/>
        </w:rPr>
        <w:t>accordance</w:t>
      </w:r>
      <w:r>
        <w:rPr>
          <w:spacing w:val="3"/>
        </w:rPr>
        <w:t xml:space="preserve"> </w:t>
      </w:r>
      <w:r>
        <w:rPr>
          <w:spacing w:val="-1"/>
        </w:rPr>
        <w:t>with</w:t>
      </w:r>
      <w:r>
        <w:rPr>
          <w:spacing w:val="3"/>
        </w:rPr>
        <w:t xml:space="preserve"> </w:t>
      </w:r>
      <w:r>
        <w:rPr>
          <w:spacing w:val="-1"/>
        </w:rPr>
        <w:t>the</w:t>
      </w:r>
      <w:r>
        <w:rPr>
          <w:spacing w:val="44"/>
        </w:rPr>
        <w:t xml:space="preserve"> </w:t>
      </w:r>
      <w:r>
        <w:rPr>
          <w:spacing w:val="-1"/>
        </w:rPr>
        <w:t>Dispute</w:t>
      </w:r>
      <w:r>
        <w:rPr>
          <w:spacing w:val="12"/>
        </w:rPr>
        <w:t xml:space="preserve"> </w:t>
      </w:r>
      <w:r>
        <w:rPr>
          <w:spacing w:val="-1"/>
        </w:rPr>
        <w:t>Resolution</w:t>
      </w:r>
      <w:r>
        <w:rPr>
          <w:spacing w:val="12"/>
        </w:rPr>
        <w:t xml:space="preserve"> </w:t>
      </w:r>
      <w:r>
        <w:rPr>
          <w:spacing w:val="-1"/>
        </w:rPr>
        <w:t>Procedure.</w:t>
      </w:r>
      <w:r>
        <w:rPr>
          <w:spacing w:val="14"/>
        </w:rPr>
        <w:t xml:space="preserve"> </w:t>
      </w:r>
      <w:r>
        <w:rPr>
          <w:spacing w:val="-1"/>
        </w:rPr>
        <w:t>No</w:t>
      </w:r>
      <w:r>
        <w:rPr>
          <w:spacing w:val="10"/>
        </w:rPr>
        <w:t xml:space="preserve"> </w:t>
      </w:r>
      <w:r>
        <w:rPr>
          <w:spacing w:val="-1"/>
        </w:rPr>
        <w:t>Approval</w:t>
      </w:r>
      <w:r>
        <w:rPr>
          <w:spacing w:val="12"/>
        </w:rPr>
        <w:t xml:space="preserve"> </w:t>
      </w:r>
      <w:r>
        <w:t>to</w:t>
      </w:r>
      <w:r>
        <w:rPr>
          <w:spacing w:val="12"/>
        </w:rPr>
        <w:t xml:space="preserve"> </w:t>
      </w:r>
      <w:r>
        <w:rPr>
          <w:spacing w:val="-2"/>
        </w:rPr>
        <w:t>be</w:t>
      </w:r>
      <w:r>
        <w:rPr>
          <w:spacing w:val="12"/>
        </w:rPr>
        <w:t xml:space="preserve"> </w:t>
      </w:r>
      <w:r>
        <w:rPr>
          <w:spacing w:val="-1"/>
        </w:rPr>
        <w:t>given</w:t>
      </w:r>
      <w:r>
        <w:rPr>
          <w:spacing w:val="12"/>
        </w:rPr>
        <w:t xml:space="preserve"> </w:t>
      </w:r>
      <w:r>
        <w:rPr>
          <w:spacing w:val="-1"/>
        </w:rPr>
        <w:t>by</w:t>
      </w:r>
      <w:r>
        <w:rPr>
          <w:spacing w:val="10"/>
        </w:rPr>
        <w:t xml:space="preserve"> </w:t>
      </w:r>
      <w:r>
        <w:t>the</w:t>
      </w:r>
      <w:r>
        <w:rPr>
          <w:spacing w:val="12"/>
        </w:rPr>
        <w:t xml:space="preserve"> </w:t>
      </w:r>
      <w:r>
        <w:rPr>
          <w:spacing w:val="-2"/>
        </w:rPr>
        <w:t>Customer</w:t>
      </w:r>
      <w:r>
        <w:rPr>
          <w:spacing w:val="11"/>
        </w:rPr>
        <w:t xml:space="preserve"> </w:t>
      </w:r>
      <w:r>
        <w:rPr>
          <w:spacing w:val="-1"/>
        </w:rPr>
        <w:t>pursuant</w:t>
      </w:r>
      <w:r>
        <w:rPr>
          <w:spacing w:val="33"/>
        </w:rPr>
        <w:t xml:space="preserve"> </w:t>
      </w:r>
      <w:r>
        <w:t>to</w:t>
      </w:r>
      <w:r>
        <w:rPr>
          <w:spacing w:val="3"/>
        </w:rPr>
        <w:t xml:space="preserve"> </w:t>
      </w:r>
      <w:r>
        <w:rPr>
          <w:spacing w:val="-1"/>
        </w:rPr>
        <w:t>this</w:t>
      </w:r>
      <w:r>
        <w:rPr>
          <w:spacing w:val="3"/>
        </w:rPr>
        <w:t xml:space="preserve"> </w:t>
      </w:r>
      <w:r>
        <w:rPr>
          <w:spacing w:val="-1"/>
        </w:rPr>
        <w:t>paragraph may</w:t>
      </w:r>
      <w:r>
        <w:rPr>
          <w:spacing w:val="1"/>
        </w:rPr>
        <w:t xml:space="preserve"> </w:t>
      </w:r>
      <w:r>
        <w:rPr>
          <w:spacing w:val="-1"/>
        </w:rPr>
        <w:t>be</w:t>
      </w:r>
      <w:r>
        <w:t xml:space="preserve"> </w:t>
      </w:r>
      <w:r>
        <w:rPr>
          <w:spacing w:val="-1"/>
        </w:rPr>
        <w:t>unreasonably</w:t>
      </w:r>
      <w:r>
        <w:rPr>
          <w:spacing w:val="1"/>
        </w:rPr>
        <w:t xml:space="preserve"> </w:t>
      </w:r>
      <w:r>
        <w:rPr>
          <w:spacing w:val="-1"/>
        </w:rPr>
        <w:t>withheld</w:t>
      </w:r>
      <w:r>
        <w:rPr>
          <w:spacing w:val="3"/>
        </w:rPr>
        <w:t xml:space="preserve"> </w:t>
      </w:r>
      <w:r>
        <w:rPr>
          <w:spacing w:val="1"/>
        </w:rPr>
        <w:t>or</w:t>
      </w:r>
      <w:r>
        <w:rPr>
          <w:spacing w:val="4"/>
        </w:rPr>
        <w:t xml:space="preserve"> </w:t>
      </w:r>
      <w:r>
        <w:rPr>
          <w:spacing w:val="-2"/>
        </w:rPr>
        <w:t>delayed.</w:t>
      </w:r>
      <w:r>
        <w:rPr>
          <w:spacing w:val="4"/>
        </w:rPr>
        <w:t xml:space="preserve"> </w:t>
      </w:r>
      <w:r>
        <w:rPr>
          <w:spacing w:val="-2"/>
        </w:rPr>
        <w:t>However</w:t>
      </w:r>
      <w:r>
        <w:rPr>
          <w:spacing w:val="4"/>
        </w:rPr>
        <w:t xml:space="preserve"> </w:t>
      </w:r>
      <w:r>
        <w:rPr>
          <w:spacing w:val="-1"/>
        </w:rPr>
        <w:t>any</w:t>
      </w:r>
      <w:r>
        <w:rPr>
          <w:spacing w:val="1"/>
        </w:rPr>
        <w:t xml:space="preserve"> </w:t>
      </w:r>
      <w:r>
        <w:rPr>
          <w:spacing w:val="-1"/>
        </w:rPr>
        <w:t>failure</w:t>
      </w:r>
      <w:r>
        <w:rPr>
          <w:spacing w:val="3"/>
        </w:rPr>
        <w:t xml:space="preserve"> </w:t>
      </w:r>
      <w:r>
        <w:t>to</w:t>
      </w:r>
      <w:r>
        <w:rPr>
          <w:spacing w:val="55"/>
        </w:rPr>
        <w:t xml:space="preserve"> </w:t>
      </w:r>
      <w:r>
        <w:rPr>
          <w:spacing w:val="-1"/>
        </w:rPr>
        <w:t>approve</w:t>
      </w:r>
      <w:r>
        <w:t xml:space="preserve"> the </w:t>
      </w:r>
      <w:r>
        <w:rPr>
          <w:spacing w:val="-1"/>
        </w:rPr>
        <w:t>Security</w:t>
      </w:r>
      <w:r>
        <w:rPr>
          <w:spacing w:val="-2"/>
        </w:rPr>
        <w:t xml:space="preserve"> </w:t>
      </w:r>
      <w:r>
        <w:rPr>
          <w:spacing w:val="-1"/>
        </w:rPr>
        <w:t>Management</w:t>
      </w:r>
      <w:r>
        <w:rPr>
          <w:spacing w:val="2"/>
        </w:rPr>
        <w:t xml:space="preserve"> </w:t>
      </w:r>
      <w:r>
        <w:rPr>
          <w:spacing w:val="-1"/>
        </w:rPr>
        <w:t>Plan</w:t>
      </w:r>
      <w:r>
        <w:t xml:space="preserve"> </w:t>
      </w:r>
      <w:r>
        <w:rPr>
          <w:spacing w:val="-1"/>
        </w:rPr>
        <w:t>on</w:t>
      </w:r>
      <w:r>
        <w:rPr>
          <w:spacing w:val="-2"/>
        </w:rPr>
        <w:t xml:space="preserve"> </w:t>
      </w:r>
      <w:r>
        <w:t>the</w:t>
      </w:r>
      <w:r>
        <w:rPr>
          <w:spacing w:val="-2"/>
        </w:rPr>
        <w:t xml:space="preserve"> </w:t>
      </w:r>
      <w:r>
        <w:rPr>
          <w:spacing w:val="-1"/>
        </w:rPr>
        <w:t>grounds</w:t>
      </w:r>
      <w:r>
        <w:rPr>
          <w:spacing w:val="1"/>
        </w:rPr>
        <w:t xml:space="preserve"> </w:t>
      </w:r>
      <w:r>
        <w:rPr>
          <w:spacing w:val="-1"/>
        </w:rPr>
        <w:t>that</w:t>
      </w:r>
      <w:r>
        <w:rPr>
          <w:spacing w:val="2"/>
        </w:rPr>
        <w:t xml:space="preserve"> </w:t>
      </w:r>
      <w:r>
        <w:rPr>
          <w:spacing w:val="-2"/>
        </w:rPr>
        <w:t>it</w:t>
      </w:r>
      <w:r>
        <w:rPr>
          <w:spacing w:val="2"/>
        </w:rPr>
        <w:t xml:space="preserve"> </w:t>
      </w:r>
      <w:r>
        <w:rPr>
          <w:spacing w:val="-1"/>
        </w:rPr>
        <w:t>does</w:t>
      </w:r>
      <w:r>
        <w:rPr>
          <w:spacing w:val="1"/>
        </w:rPr>
        <w:t xml:space="preserve"> </w:t>
      </w:r>
      <w:r>
        <w:rPr>
          <w:spacing w:val="-2"/>
        </w:rPr>
        <w:t>not</w:t>
      </w:r>
      <w:r>
        <w:rPr>
          <w:spacing w:val="2"/>
        </w:rPr>
        <w:t xml:space="preserve"> </w:t>
      </w:r>
      <w:r>
        <w:rPr>
          <w:spacing w:val="-2"/>
        </w:rPr>
        <w:t>comply</w:t>
      </w:r>
      <w:r>
        <w:rPr>
          <w:spacing w:val="1"/>
        </w:rPr>
        <w:t xml:space="preserve"> </w:t>
      </w:r>
      <w:r>
        <w:rPr>
          <w:spacing w:val="-2"/>
        </w:rPr>
        <w:t>with</w:t>
      </w:r>
      <w:r>
        <w:rPr>
          <w:spacing w:val="51"/>
        </w:rPr>
        <w:t xml:space="preserve"> </w:t>
      </w:r>
      <w:r>
        <w:t>the</w:t>
      </w:r>
      <w:r>
        <w:rPr>
          <w:spacing w:val="9"/>
        </w:rPr>
        <w:t xml:space="preserve"> </w:t>
      </w:r>
      <w:r>
        <w:rPr>
          <w:spacing w:val="-1"/>
        </w:rPr>
        <w:t>requirements</w:t>
      </w:r>
      <w:r>
        <w:rPr>
          <w:spacing w:val="9"/>
        </w:rPr>
        <w:t xml:space="preserve"> </w:t>
      </w:r>
      <w:r>
        <w:rPr>
          <w:spacing w:val="-2"/>
        </w:rPr>
        <w:t>set</w:t>
      </w:r>
      <w:r>
        <w:rPr>
          <w:spacing w:val="10"/>
        </w:rPr>
        <w:t xml:space="preserve"> </w:t>
      </w:r>
      <w:r>
        <w:rPr>
          <w:spacing w:val="-2"/>
        </w:rPr>
        <w:t>out</w:t>
      </w:r>
      <w:r>
        <w:rPr>
          <w:spacing w:val="10"/>
        </w:rPr>
        <w:t xml:space="preserve"> </w:t>
      </w:r>
      <w:r>
        <w:rPr>
          <w:spacing w:val="-1"/>
        </w:rPr>
        <w:t>in</w:t>
      </w:r>
      <w:r>
        <w:rPr>
          <w:spacing w:val="9"/>
        </w:rPr>
        <w:t xml:space="preserve"> </w:t>
      </w:r>
      <w:r>
        <w:rPr>
          <w:spacing w:val="-1"/>
        </w:rPr>
        <w:t>paragraph</w:t>
      </w:r>
      <w:r>
        <w:rPr>
          <w:spacing w:val="2"/>
        </w:rPr>
        <w:t xml:space="preserve"> </w:t>
      </w:r>
      <w:hyperlink w:anchor="_bookmark340" w:history="1">
        <w:r>
          <w:rPr>
            <w:spacing w:val="-1"/>
          </w:rPr>
          <w:t>4.2</w:t>
        </w:r>
      </w:hyperlink>
      <w:r>
        <w:rPr>
          <w:spacing w:val="9"/>
        </w:rPr>
        <w:t xml:space="preserve"> </w:t>
      </w:r>
      <w:r>
        <w:rPr>
          <w:spacing w:val="-2"/>
        </w:rPr>
        <w:t>of</w:t>
      </w:r>
      <w:r>
        <w:rPr>
          <w:spacing w:val="8"/>
        </w:rPr>
        <w:t xml:space="preserve"> </w:t>
      </w:r>
      <w:r>
        <w:rPr>
          <w:spacing w:val="-1"/>
        </w:rPr>
        <w:t>this</w:t>
      </w:r>
      <w:r>
        <w:rPr>
          <w:spacing w:val="9"/>
        </w:rPr>
        <w:t xml:space="preserve"> </w:t>
      </w:r>
      <w:r>
        <w:rPr>
          <w:spacing w:val="-2"/>
        </w:rPr>
        <w:t>Call</w:t>
      </w:r>
      <w:r>
        <w:rPr>
          <w:spacing w:val="8"/>
        </w:rPr>
        <w:t xml:space="preserve"> </w:t>
      </w:r>
      <w:r>
        <w:rPr>
          <w:spacing w:val="-1"/>
        </w:rPr>
        <w:t>Off</w:t>
      </w:r>
      <w:r>
        <w:rPr>
          <w:spacing w:val="10"/>
        </w:rPr>
        <w:t xml:space="preserve"> </w:t>
      </w:r>
      <w:r>
        <w:rPr>
          <w:spacing w:val="-1"/>
        </w:rPr>
        <w:t>Schedule</w:t>
      </w:r>
      <w:r>
        <w:rPr>
          <w:spacing w:val="9"/>
        </w:rPr>
        <w:t xml:space="preserve"> </w:t>
      </w:r>
      <w:r>
        <w:rPr>
          <w:spacing w:val="-1"/>
        </w:rPr>
        <w:t>shall</w:t>
      </w:r>
      <w:r>
        <w:t xml:space="preserve"> </w:t>
      </w:r>
      <w:r>
        <w:rPr>
          <w:spacing w:val="-1"/>
        </w:rPr>
        <w:t>be</w:t>
      </w:r>
      <w:r>
        <w:rPr>
          <w:spacing w:val="36"/>
        </w:rPr>
        <w:t xml:space="preserve"> </w:t>
      </w:r>
      <w:r>
        <w:rPr>
          <w:spacing w:val="-1"/>
        </w:rPr>
        <w:t>deemed</w:t>
      </w:r>
      <w:r>
        <w:rPr>
          <w:spacing w:val="-2"/>
        </w:rPr>
        <w:t xml:space="preserve"> </w:t>
      </w:r>
      <w:r>
        <w:t xml:space="preserve">to </w:t>
      </w:r>
      <w:r>
        <w:rPr>
          <w:spacing w:val="-1"/>
        </w:rPr>
        <w:t>be</w:t>
      </w:r>
      <w:r>
        <w:rPr>
          <w:spacing w:val="-2"/>
        </w:rPr>
        <w:t xml:space="preserve"> reasonable.</w:t>
      </w:r>
    </w:p>
    <w:p w:rsidR="008918FA" w:rsidRDefault="008918FA" w:rsidP="008918FA">
      <w:pPr>
        <w:pStyle w:val="BodyText"/>
        <w:numPr>
          <w:ilvl w:val="1"/>
          <w:numId w:val="14"/>
        </w:numPr>
        <w:tabs>
          <w:tab w:val="left" w:pos="829"/>
        </w:tabs>
        <w:spacing w:line="252" w:lineRule="exact"/>
        <w:ind w:left="828"/>
        <w:jc w:val="left"/>
      </w:pPr>
      <w:r>
        <w:rPr>
          <w:spacing w:val="-1"/>
        </w:rPr>
        <w:t>Approval</w:t>
      </w:r>
      <w:r>
        <w:rPr>
          <w:spacing w:val="2"/>
        </w:rPr>
        <w:t xml:space="preserve"> </w:t>
      </w:r>
      <w:r>
        <w:rPr>
          <w:spacing w:val="1"/>
        </w:rPr>
        <w:t xml:space="preserve">by </w:t>
      </w:r>
      <w:r>
        <w:t>the</w:t>
      </w:r>
      <w:r>
        <w:rPr>
          <w:spacing w:val="3"/>
        </w:rPr>
        <w:t xml:space="preserve"> </w:t>
      </w:r>
      <w:r>
        <w:rPr>
          <w:spacing w:val="-1"/>
        </w:rPr>
        <w:t>Customer</w:t>
      </w:r>
      <w:r>
        <w:rPr>
          <w:spacing w:val="4"/>
        </w:rPr>
        <w:t xml:space="preserve"> </w:t>
      </w:r>
      <w:r>
        <w:rPr>
          <w:spacing w:val="-2"/>
        </w:rPr>
        <w:t>of</w:t>
      </w:r>
      <w:r>
        <w:rPr>
          <w:spacing w:val="4"/>
        </w:rPr>
        <w:t xml:space="preserve"> </w:t>
      </w:r>
      <w:r>
        <w:t>the</w:t>
      </w:r>
      <w:r>
        <w:rPr>
          <w:spacing w:val="3"/>
        </w:rPr>
        <w:t xml:space="preserve"> </w:t>
      </w:r>
      <w:r>
        <w:rPr>
          <w:spacing w:val="-1"/>
        </w:rPr>
        <w:t>Security</w:t>
      </w:r>
      <w:r>
        <w:rPr>
          <w:spacing w:val="1"/>
        </w:rPr>
        <w:t xml:space="preserve"> </w:t>
      </w:r>
      <w:r>
        <w:rPr>
          <w:spacing w:val="-1"/>
        </w:rPr>
        <w:t>Management</w:t>
      </w:r>
      <w:r>
        <w:rPr>
          <w:spacing w:val="4"/>
        </w:rPr>
        <w:t xml:space="preserve"> </w:t>
      </w:r>
      <w:r>
        <w:rPr>
          <w:spacing w:val="-1"/>
        </w:rPr>
        <w:t>Plan</w:t>
      </w:r>
      <w:r>
        <w:rPr>
          <w:spacing w:val="3"/>
        </w:rPr>
        <w:t xml:space="preserve"> </w:t>
      </w:r>
      <w:r>
        <w:rPr>
          <w:spacing w:val="-1"/>
        </w:rPr>
        <w:t>pursuant</w:t>
      </w:r>
      <w:r>
        <w:rPr>
          <w:spacing w:val="2"/>
        </w:rPr>
        <w:t xml:space="preserve"> </w:t>
      </w:r>
      <w:r>
        <w:t xml:space="preserve">to </w:t>
      </w:r>
      <w:r>
        <w:rPr>
          <w:spacing w:val="-1"/>
        </w:rPr>
        <w:t>paragraph</w:t>
      </w:r>
    </w:p>
    <w:p w:rsidR="008918FA" w:rsidRDefault="00E32C6B" w:rsidP="008918FA">
      <w:pPr>
        <w:pStyle w:val="BodyText"/>
        <w:spacing w:before="0"/>
        <w:ind w:left="828" w:right="114" w:firstLine="0"/>
        <w:jc w:val="both"/>
      </w:pPr>
      <w:hyperlink w:anchor="_bookmark341" w:history="1">
        <w:r w:rsidR="008918FA">
          <w:t>4.3</w:t>
        </w:r>
      </w:hyperlink>
      <w:r w:rsidR="008918FA">
        <w:rPr>
          <w:spacing w:val="53"/>
        </w:rPr>
        <w:t xml:space="preserve"> </w:t>
      </w:r>
      <w:r w:rsidR="008918FA">
        <w:rPr>
          <w:spacing w:val="-2"/>
        </w:rPr>
        <w:t>of</w:t>
      </w:r>
      <w:r w:rsidR="008918FA">
        <w:rPr>
          <w:spacing w:val="55"/>
        </w:rPr>
        <w:t xml:space="preserve"> </w:t>
      </w:r>
      <w:r w:rsidR="008918FA">
        <w:rPr>
          <w:spacing w:val="-1"/>
        </w:rPr>
        <w:t>this</w:t>
      </w:r>
      <w:r w:rsidR="008918FA">
        <w:rPr>
          <w:spacing w:val="53"/>
        </w:rPr>
        <w:t xml:space="preserve"> </w:t>
      </w:r>
      <w:r w:rsidR="008918FA">
        <w:rPr>
          <w:spacing w:val="-2"/>
        </w:rPr>
        <w:t>Call</w:t>
      </w:r>
      <w:r w:rsidR="008918FA">
        <w:rPr>
          <w:spacing w:val="52"/>
        </w:rPr>
        <w:t xml:space="preserve"> </w:t>
      </w:r>
      <w:r w:rsidR="008918FA">
        <w:rPr>
          <w:spacing w:val="-1"/>
        </w:rPr>
        <w:t>Off</w:t>
      </w:r>
      <w:r w:rsidR="008918FA">
        <w:rPr>
          <w:spacing w:val="55"/>
        </w:rPr>
        <w:t xml:space="preserve"> </w:t>
      </w:r>
      <w:r w:rsidR="008918FA">
        <w:rPr>
          <w:spacing w:val="-2"/>
        </w:rPr>
        <w:t>Schedule</w:t>
      </w:r>
      <w:r w:rsidR="008918FA">
        <w:rPr>
          <w:spacing w:val="53"/>
        </w:rPr>
        <w:t xml:space="preserve"> </w:t>
      </w:r>
      <w:r w:rsidR="008918FA">
        <w:rPr>
          <w:spacing w:val="-1"/>
        </w:rPr>
        <w:t>or</w:t>
      </w:r>
      <w:r w:rsidR="008918FA">
        <w:rPr>
          <w:spacing w:val="55"/>
        </w:rPr>
        <w:t xml:space="preserve"> </w:t>
      </w:r>
      <w:r w:rsidR="008918FA">
        <w:rPr>
          <w:spacing w:val="-2"/>
        </w:rPr>
        <w:t>of</w:t>
      </w:r>
      <w:r w:rsidR="008918FA">
        <w:rPr>
          <w:spacing w:val="55"/>
        </w:rPr>
        <w:t xml:space="preserve"> </w:t>
      </w:r>
      <w:r w:rsidR="008918FA">
        <w:rPr>
          <w:spacing w:val="-1"/>
        </w:rPr>
        <w:t>any</w:t>
      </w:r>
      <w:r w:rsidR="008918FA">
        <w:rPr>
          <w:spacing w:val="51"/>
        </w:rPr>
        <w:t xml:space="preserve"> </w:t>
      </w:r>
      <w:r w:rsidR="008918FA">
        <w:rPr>
          <w:spacing w:val="-1"/>
        </w:rPr>
        <w:t>change</w:t>
      </w:r>
      <w:r w:rsidR="008918FA">
        <w:rPr>
          <w:spacing w:val="51"/>
        </w:rPr>
        <w:t xml:space="preserve"> </w:t>
      </w:r>
      <w:r w:rsidR="008918FA">
        <w:rPr>
          <w:spacing w:val="-1"/>
        </w:rPr>
        <w:t>or</w:t>
      </w:r>
      <w:r w:rsidR="008918FA">
        <w:rPr>
          <w:spacing w:val="54"/>
        </w:rPr>
        <w:t xml:space="preserve"> </w:t>
      </w:r>
      <w:r w:rsidR="008918FA">
        <w:rPr>
          <w:spacing w:val="-2"/>
        </w:rPr>
        <w:t>amendment</w:t>
      </w:r>
      <w:r w:rsidR="008918FA">
        <w:rPr>
          <w:spacing w:val="52"/>
        </w:rPr>
        <w:t xml:space="preserve"> </w:t>
      </w:r>
      <w:r w:rsidR="008918FA">
        <w:t>to</w:t>
      </w:r>
      <w:r w:rsidR="008918FA">
        <w:rPr>
          <w:spacing w:val="52"/>
        </w:rPr>
        <w:t xml:space="preserve"> </w:t>
      </w:r>
      <w:r w:rsidR="008918FA">
        <w:t>the</w:t>
      </w:r>
      <w:r w:rsidR="008918FA">
        <w:rPr>
          <w:spacing w:val="51"/>
        </w:rPr>
        <w:t xml:space="preserve"> </w:t>
      </w:r>
      <w:r w:rsidR="008918FA">
        <w:rPr>
          <w:spacing w:val="-1"/>
        </w:rPr>
        <w:t>Security</w:t>
      </w:r>
      <w:r w:rsidR="008918FA">
        <w:rPr>
          <w:spacing w:val="65"/>
        </w:rPr>
        <w:t xml:space="preserve"> </w:t>
      </w:r>
      <w:r w:rsidR="008918FA">
        <w:rPr>
          <w:spacing w:val="-1"/>
        </w:rPr>
        <w:t>Management</w:t>
      </w:r>
      <w:r w:rsidR="008918FA">
        <w:rPr>
          <w:spacing w:val="4"/>
        </w:rPr>
        <w:t xml:space="preserve"> </w:t>
      </w:r>
      <w:r w:rsidR="008918FA">
        <w:rPr>
          <w:spacing w:val="-1"/>
        </w:rPr>
        <w:t>Plan</w:t>
      </w:r>
      <w:r w:rsidR="008918FA">
        <w:rPr>
          <w:spacing w:val="3"/>
        </w:rPr>
        <w:t xml:space="preserve"> </w:t>
      </w:r>
      <w:r w:rsidR="008918FA">
        <w:rPr>
          <w:spacing w:val="-1"/>
        </w:rPr>
        <w:t>shall</w:t>
      </w:r>
      <w:r w:rsidR="008918FA">
        <w:rPr>
          <w:spacing w:val="2"/>
        </w:rPr>
        <w:t xml:space="preserve"> </w:t>
      </w:r>
      <w:r w:rsidR="008918FA">
        <w:rPr>
          <w:spacing w:val="-1"/>
        </w:rPr>
        <w:t>not</w:t>
      </w:r>
      <w:r w:rsidR="008918FA">
        <w:rPr>
          <w:spacing w:val="4"/>
        </w:rPr>
        <w:t xml:space="preserve"> </w:t>
      </w:r>
      <w:r w:rsidR="008918FA">
        <w:rPr>
          <w:spacing w:val="-2"/>
        </w:rPr>
        <w:t>relieve</w:t>
      </w:r>
      <w:r w:rsidR="008918FA">
        <w:rPr>
          <w:spacing w:val="3"/>
        </w:rPr>
        <w:t xml:space="preserve"> </w:t>
      </w:r>
      <w:r w:rsidR="008918FA">
        <w:t>the</w:t>
      </w:r>
      <w:r w:rsidR="008918FA">
        <w:rPr>
          <w:spacing w:val="3"/>
        </w:rPr>
        <w:t xml:space="preserve"> </w:t>
      </w:r>
      <w:r w:rsidR="008918FA">
        <w:rPr>
          <w:spacing w:val="-2"/>
        </w:rPr>
        <w:t>Supplier</w:t>
      </w:r>
      <w:r w:rsidR="008918FA">
        <w:rPr>
          <w:spacing w:val="4"/>
        </w:rPr>
        <w:t xml:space="preserve"> </w:t>
      </w:r>
      <w:r w:rsidR="008918FA">
        <w:rPr>
          <w:spacing w:val="1"/>
        </w:rPr>
        <w:t>of</w:t>
      </w:r>
      <w:r w:rsidR="008918FA">
        <w:rPr>
          <w:spacing w:val="6"/>
        </w:rPr>
        <w:t xml:space="preserve"> </w:t>
      </w:r>
      <w:r w:rsidR="008918FA">
        <w:rPr>
          <w:spacing w:val="-1"/>
        </w:rPr>
        <w:t>its</w:t>
      </w:r>
      <w:r w:rsidR="008918FA">
        <w:rPr>
          <w:spacing w:val="3"/>
        </w:rPr>
        <w:t xml:space="preserve"> </w:t>
      </w:r>
      <w:r w:rsidR="008918FA">
        <w:rPr>
          <w:spacing w:val="-1"/>
        </w:rPr>
        <w:t>obligations</w:t>
      </w:r>
      <w:r w:rsidR="008918FA">
        <w:rPr>
          <w:spacing w:val="3"/>
        </w:rPr>
        <w:t xml:space="preserve"> </w:t>
      </w:r>
      <w:r w:rsidR="008918FA">
        <w:rPr>
          <w:spacing w:val="-1"/>
        </w:rPr>
        <w:t>under</w:t>
      </w:r>
      <w:r w:rsidR="008918FA">
        <w:rPr>
          <w:spacing w:val="4"/>
        </w:rPr>
        <w:t xml:space="preserve"> </w:t>
      </w:r>
      <w:r w:rsidR="008918FA">
        <w:rPr>
          <w:spacing w:val="-1"/>
        </w:rPr>
        <w:t>this</w:t>
      </w:r>
      <w:r w:rsidR="008918FA">
        <w:rPr>
          <w:spacing w:val="3"/>
        </w:rPr>
        <w:t xml:space="preserve"> </w:t>
      </w:r>
      <w:r w:rsidR="008918FA">
        <w:rPr>
          <w:spacing w:val="-2"/>
        </w:rPr>
        <w:t>Call</w:t>
      </w:r>
      <w:r w:rsidR="008918FA">
        <w:rPr>
          <w:spacing w:val="2"/>
        </w:rPr>
        <w:t xml:space="preserve"> </w:t>
      </w:r>
      <w:r w:rsidR="008918FA">
        <w:rPr>
          <w:spacing w:val="-1"/>
        </w:rPr>
        <w:t>Off</w:t>
      </w:r>
      <w:r w:rsidR="008918FA">
        <w:rPr>
          <w:spacing w:val="47"/>
        </w:rPr>
        <w:t xml:space="preserve"> </w:t>
      </w:r>
      <w:r w:rsidR="008918FA">
        <w:rPr>
          <w:spacing w:val="-1"/>
        </w:rPr>
        <w:t>Schedule.</w:t>
      </w:r>
    </w:p>
    <w:p w:rsidR="008918FA" w:rsidRDefault="008918FA" w:rsidP="008918FA">
      <w:pPr>
        <w:pStyle w:val="BodyText"/>
        <w:numPr>
          <w:ilvl w:val="0"/>
          <w:numId w:val="14"/>
        </w:numPr>
        <w:tabs>
          <w:tab w:val="left" w:pos="466"/>
        </w:tabs>
        <w:spacing w:before="120"/>
        <w:ind w:right="125"/>
        <w:rPr>
          <w:rFonts w:ascii="Times New Roman" w:eastAsia="Times New Roman" w:hAnsi="Times New Roman" w:cs="Times New Roman"/>
        </w:rPr>
      </w:pPr>
      <w:r>
        <w:rPr>
          <w:rFonts w:ascii="Times New Roman"/>
          <w:spacing w:val="-1"/>
        </w:rPr>
        <w:t>AMENDMENT</w:t>
      </w:r>
      <w:r>
        <w:rPr>
          <w:rFonts w:ascii="Times New Roman"/>
        </w:rPr>
        <w:t xml:space="preserve"> </w:t>
      </w:r>
      <w:r>
        <w:rPr>
          <w:rFonts w:ascii="Times New Roman"/>
          <w:spacing w:val="24"/>
        </w:rPr>
        <w:t xml:space="preserve"> </w:t>
      </w:r>
      <w:r>
        <w:rPr>
          <w:rFonts w:ascii="Times New Roman"/>
          <w:spacing w:val="-3"/>
        </w:rPr>
        <w:t>AND</w:t>
      </w:r>
      <w:r>
        <w:rPr>
          <w:rFonts w:ascii="Times New Roman"/>
        </w:rPr>
        <w:t xml:space="preserve"> </w:t>
      </w:r>
      <w:r>
        <w:rPr>
          <w:rFonts w:ascii="Times New Roman"/>
          <w:spacing w:val="20"/>
        </w:rPr>
        <w:t xml:space="preserve"> </w:t>
      </w:r>
      <w:r>
        <w:rPr>
          <w:rFonts w:ascii="Times New Roman"/>
          <w:spacing w:val="13"/>
        </w:rPr>
        <w:t>R</w:t>
      </w:r>
      <w:r>
        <w:rPr>
          <w:rFonts w:ascii="Times New Roman"/>
          <w:spacing w:val="11"/>
        </w:rPr>
        <w:t>E</w:t>
      </w:r>
      <w:r>
        <w:rPr>
          <w:rFonts w:ascii="Times New Roman"/>
          <w:spacing w:val="-14"/>
        </w:rPr>
        <w:t>V</w:t>
      </w:r>
      <w:r>
        <w:rPr>
          <w:rFonts w:ascii="Times New Roman"/>
          <w:spacing w:val="-12"/>
        </w:rPr>
        <w:t>I</w:t>
      </w:r>
      <w:r>
        <w:rPr>
          <w:rFonts w:ascii="Times New Roman"/>
          <w:spacing w:val="23"/>
        </w:rPr>
        <w:t>S</w:t>
      </w:r>
      <w:r>
        <w:rPr>
          <w:rFonts w:ascii="Times New Roman"/>
          <w:spacing w:val="-12"/>
        </w:rPr>
        <w:t>I</w:t>
      </w:r>
      <w:r>
        <w:rPr>
          <w:rFonts w:ascii="Times New Roman"/>
          <w:spacing w:val="13"/>
        </w:rPr>
        <w:t>O</w:t>
      </w:r>
      <w:r>
        <w:rPr>
          <w:rFonts w:ascii="Times New Roman"/>
        </w:rPr>
        <w:t xml:space="preserve">N </w:t>
      </w:r>
      <w:r>
        <w:rPr>
          <w:rFonts w:ascii="Times New Roman"/>
          <w:spacing w:val="18"/>
        </w:rPr>
        <w:t xml:space="preserve"> </w:t>
      </w:r>
      <w:r>
        <w:rPr>
          <w:rFonts w:ascii="Times New Roman"/>
          <w:spacing w:val="6"/>
        </w:rPr>
        <w:t>OF</w:t>
      </w:r>
      <w:r>
        <w:rPr>
          <w:rFonts w:ascii="Times New Roman"/>
        </w:rPr>
        <w:t xml:space="preserve"> </w:t>
      </w:r>
      <w:r>
        <w:rPr>
          <w:rFonts w:ascii="Times New Roman"/>
          <w:spacing w:val="33"/>
        </w:rPr>
        <w:t xml:space="preserve"> </w:t>
      </w:r>
      <w:r>
        <w:rPr>
          <w:rFonts w:ascii="Times New Roman"/>
          <w:spacing w:val="-2"/>
        </w:rPr>
        <w:t>THE</w:t>
      </w:r>
      <w:r>
        <w:rPr>
          <w:rFonts w:ascii="Times New Roman"/>
        </w:rPr>
        <w:t xml:space="preserve"> </w:t>
      </w:r>
      <w:r>
        <w:rPr>
          <w:rFonts w:ascii="Times New Roman"/>
          <w:spacing w:val="33"/>
        </w:rPr>
        <w:t xml:space="preserve"> </w:t>
      </w:r>
      <w:r>
        <w:rPr>
          <w:rFonts w:ascii="Times New Roman"/>
          <w:spacing w:val="-12"/>
        </w:rPr>
        <w:t>I</w:t>
      </w:r>
      <w:r>
        <w:rPr>
          <w:rFonts w:ascii="Times New Roman"/>
          <w:spacing w:val="23"/>
        </w:rPr>
        <w:t>S</w:t>
      </w:r>
      <w:r>
        <w:rPr>
          <w:rFonts w:ascii="Times New Roman"/>
          <w:spacing w:val="-14"/>
        </w:rPr>
        <w:t>M</w:t>
      </w:r>
      <w:r>
        <w:rPr>
          <w:rFonts w:ascii="Times New Roman"/>
        </w:rPr>
        <w:t xml:space="preserve">S </w:t>
      </w:r>
      <w:r>
        <w:rPr>
          <w:rFonts w:ascii="Times New Roman"/>
          <w:spacing w:val="48"/>
        </w:rPr>
        <w:t xml:space="preserve"> </w:t>
      </w:r>
      <w:r>
        <w:rPr>
          <w:rFonts w:ascii="Times New Roman"/>
          <w:spacing w:val="-2"/>
        </w:rPr>
        <w:t>AND</w:t>
      </w:r>
      <w:r>
        <w:rPr>
          <w:rFonts w:ascii="Times New Roman"/>
        </w:rPr>
        <w:t xml:space="preserve"> </w:t>
      </w:r>
      <w:r>
        <w:rPr>
          <w:rFonts w:ascii="Times New Roman"/>
          <w:spacing w:val="20"/>
        </w:rPr>
        <w:t xml:space="preserve"> </w:t>
      </w:r>
      <w:r>
        <w:rPr>
          <w:rFonts w:ascii="Times New Roman"/>
          <w:spacing w:val="5"/>
        </w:rPr>
        <w:t>SECURITY</w:t>
      </w:r>
      <w:r>
        <w:rPr>
          <w:rFonts w:ascii="Times New Roman"/>
        </w:rPr>
        <w:t xml:space="preserve"> </w:t>
      </w:r>
      <w:r>
        <w:rPr>
          <w:rFonts w:ascii="Times New Roman"/>
          <w:spacing w:val="9"/>
        </w:rPr>
        <w:t xml:space="preserve"> </w:t>
      </w:r>
      <w:r>
        <w:rPr>
          <w:rFonts w:ascii="Times New Roman"/>
        </w:rPr>
        <w:t>MANAGEMENT</w:t>
      </w:r>
      <w:r>
        <w:rPr>
          <w:rFonts w:ascii="Times New Roman"/>
          <w:spacing w:val="63"/>
        </w:rPr>
        <w:t xml:space="preserve"> </w:t>
      </w:r>
      <w:r>
        <w:rPr>
          <w:rFonts w:ascii="Times New Roman"/>
          <w:spacing w:val="3"/>
        </w:rPr>
        <w:t>PLAN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14"/>
        </w:numPr>
        <w:tabs>
          <w:tab w:val="left" w:pos="828"/>
        </w:tabs>
        <w:spacing w:before="0"/>
        <w:ind w:right="115"/>
        <w:jc w:val="both"/>
      </w:pPr>
      <w:bookmarkStart w:id="419" w:name="_bookmark342"/>
      <w:bookmarkEnd w:id="419"/>
      <w:r>
        <w:t>The</w:t>
      </w:r>
      <w:r>
        <w:rPr>
          <w:spacing w:val="17"/>
        </w:rPr>
        <w:t xml:space="preserve"> </w:t>
      </w:r>
      <w:r>
        <w:rPr>
          <w:spacing w:val="-1"/>
        </w:rPr>
        <w:t>ISMS</w:t>
      </w:r>
      <w:r>
        <w:rPr>
          <w:spacing w:val="17"/>
        </w:rPr>
        <w:t xml:space="preserve"> </w:t>
      </w:r>
      <w:r>
        <w:rPr>
          <w:spacing w:val="-1"/>
        </w:rPr>
        <w:t>and</w:t>
      </w:r>
      <w:r>
        <w:rPr>
          <w:spacing w:val="17"/>
        </w:rPr>
        <w:t xml:space="preserve"> </w:t>
      </w:r>
      <w:r>
        <w:rPr>
          <w:spacing w:val="-1"/>
        </w:rPr>
        <w:t>Security</w:t>
      </w:r>
      <w:r>
        <w:rPr>
          <w:spacing w:val="18"/>
        </w:rPr>
        <w:t xml:space="preserve"> </w:t>
      </w:r>
      <w:r>
        <w:rPr>
          <w:spacing w:val="-1"/>
        </w:rPr>
        <w:t>Management</w:t>
      </w:r>
      <w:r>
        <w:rPr>
          <w:spacing w:val="19"/>
        </w:rPr>
        <w:t xml:space="preserve"> </w:t>
      </w:r>
      <w:r>
        <w:rPr>
          <w:spacing w:val="-1"/>
        </w:rPr>
        <w:t>Plan</w:t>
      </w:r>
      <w:r>
        <w:rPr>
          <w:spacing w:val="17"/>
        </w:rPr>
        <w:t xml:space="preserve"> </w:t>
      </w:r>
      <w:r>
        <w:rPr>
          <w:spacing w:val="-1"/>
        </w:rPr>
        <w:t>shall</w:t>
      </w:r>
      <w:r>
        <w:rPr>
          <w:spacing w:val="19"/>
        </w:rPr>
        <w:t xml:space="preserve"> </w:t>
      </w:r>
      <w:r>
        <w:rPr>
          <w:spacing w:val="-1"/>
        </w:rPr>
        <w:t>be</w:t>
      </w:r>
      <w:r>
        <w:rPr>
          <w:spacing w:val="17"/>
        </w:rPr>
        <w:t xml:space="preserve"> </w:t>
      </w:r>
      <w:r>
        <w:rPr>
          <w:spacing w:val="-1"/>
        </w:rPr>
        <w:t>fully</w:t>
      </w:r>
      <w:r>
        <w:rPr>
          <w:spacing w:val="15"/>
        </w:rPr>
        <w:t xml:space="preserve"> </w:t>
      </w:r>
      <w:r>
        <w:rPr>
          <w:spacing w:val="-2"/>
        </w:rPr>
        <w:t>reviewed</w:t>
      </w:r>
      <w:r>
        <w:rPr>
          <w:spacing w:val="17"/>
        </w:rPr>
        <w:t xml:space="preserve"> </w:t>
      </w:r>
      <w:r>
        <w:rPr>
          <w:spacing w:val="-1"/>
        </w:rPr>
        <w:t>and</w:t>
      </w:r>
      <w:r>
        <w:rPr>
          <w:spacing w:val="20"/>
        </w:rPr>
        <w:t xml:space="preserve"> </w:t>
      </w:r>
      <w:r>
        <w:rPr>
          <w:spacing w:val="-1"/>
        </w:rPr>
        <w:t>updated</w:t>
      </w:r>
      <w:r>
        <w:rPr>
          <w:spacing w:val="17"/>
        </w:rPr>
        <w:t xml:space="preserve"> </w:t>
      </w:r>
      <w:r>
        <w:rPr>
          <w:spacing w:val="-1"/>
        </w:rPr>
        <w:t>by</w:t>
      </w:r>
      <w:r>
        <w:rPr>
          <w:spacing w:val="48"/>
        </w:rPr>
        <w:t xml:space="preserve"> </w:t>
      </w:r>
      <w:r>
        <w:t xml:space="preserve">the </w:t>
      </w:r>
      <w:r>
        <w:rPr>
          <w:spacing w:val="-2"/>
        </w:rPr>
        <w:t>Supplier</w:t>
      </w:r>
      <w:r>
        <w:rPr>
          <w:spacing w:val="2"/>
        </w:rPr>
        <w:t xml:space="preserve"> </w:t>
      </w:r>
      <w:r>
        <w:rPr>
          <w:spacing w:val="-1"/>
        </w:rPr>
        <w:t>and</w:t>
      </w:r>
      <w:r>
        <w:rPr>
          <w:spacing w:val="-2"/>
        </w:rPr>
        <w:t xml:space="preserve"> </w:t>
      </w:r>
      <w:r>
        <w:rPr>
          <w:spacing w:val="-1"/>
        </w:rPr>
        <w:t>at</w:t>
      </w:r>
      <w:r>
        <w:t xml:space="preserve"> </w:t>
      </w:r>
      <w:r>
        <w:rPr>
          <w:spacing w:val="-1"/>
        </w:rPr>
        <w:t>least</w:t>
      </w:r>
      <w:r>
        <w:rPr>
          <w:spacing w:val="-2"/>
        </w:rPr>
        <w:t xml:space="preserve"> annually </w:t>
      </w:r>
      <w:r>
        <w:t xml:space="preserve">to </w:t>
      </w:r>
      <w:r>
        <w:rPr>
          <w:spacing w:val="-1"/>
        </w:rPr>
        <w:t>reflect:</w:t>
      </w:r>
    </w:p>
    <w:p w:rsidR="008918FA" w:rsidRDefault="008918FA" w:rsidP="008918FA">
      <w:pPr>
        <w:pStyle w:val="BodyText"/>
        <w:numPr>
          <w:ilvl w:val="2"/>
          <w:numId w:val="14"/>
        </w:numPr>
        <w:tabs>
          <w:tab w:val="left" w:pos="2026"/>
        </w:tabs>
        <w:jc w:val="left"/>
      </w:pPr>
      <w:r>
        <w:rPr>
          <w:spacing w:val="-1"/>
        </w:rPr>
        <w:t>emerging</w:t>
      </w:r>
      <w:r>
        <w:t xml:space="preserve"> </w:t>
      </w:r>
      <w:r>
        <w:rPr>
          <w:spacing w:val="-1"/>
        </w:rPr>
        <w:t>changes</w:t>
      </w:r>
      <w:r>
        <w:rPr>
          <w:spacing w:val="1"/>
        </w:rPr>
        <w:t xml:space="preserve"> </w:t>
      </w:r>
      <w:r>
        <w:rPr>
          <w:spacing w:val="-1"/>
        </w:rPr>
        <w:t>in</w:t>
      </w:r>
      <w:r>
        <w:rPr>
          <w:spacing w:val="-2"/>
        </w:rPr>
        <w:t xml:space="preserve"> </w:t>
      </w:r>
      <w:r>
        <w:rPr>
          <w:spacing w:val="-1"/>
        </w:rPr>
        <w:t>Good</w:t>
      </w:r>
      <w:r>
        <w:t xml:space="preserve"> </w:t>
      </w:r>
      <w:r>
        <w:rPr>
          <w:spacing w:val="-1"/>
        </w:rPr>
        <w:t>Industry</w:t>
      </w:r>
      <w:r>
        <w:rPr>
          <w:spacing w:val="-2"/>
        </w:rPr>
        <w:t xml:space="preserve"> </w:t>
      </w:r>
      <w:r>
        <w:rPr>
          <w:spacing w:val="-1"/>
        </w:rPr>
        <w:t>Practice;</w:t>
      </w:r>
    </w:p>
    <w:p w:rsidR="008918FA" w:rsidRDefault="008918FA" w:rsidP="008918FA">
      <w:pPr>
        <w:pStyle w:val="BodyText"/>
        <w:numPr>
          <w:ilvl w:val="2"/>
          <w:numId w:val="14"/>
        </w:numPr>
        <w:tabs>
          <w:tab w:val="left" w:pos="2026"/>
        </w:tabs>
        <w:spacing w:before="121"/>
        <w:ind w:right="120"/>
        <w:jc w:val="left"/>
      </w:pPr>
      <w:r>
        <w:rPr>
          <w:spacing w:val="-1"/>
        </w:rPr>
        <w:t>any</w:t>
      </w:r>
      <w:r>
        <w:rPr>
          <w:spacing w:val="56"/>
        </w:rPr>
        <w:t xml:space="preserve"> </w:t>
      </w:r>
      <w:r>
        <w:rPr>
          <w:spacing w:val="-1"/>
        </w:rPr>
        <w:t>change</w:t>
      </w:r>
      <w:r>
        <w:rPr>
          <w:spacing w:val="58"/>
        </w:rPr>
        <w:t xml:space="preserve"> </w:t>
      </w:r>
      <w:r>
        <w:rPr>
          <w:spacing w:val="-1"/>
        </w:rPr>
        <w:t>or</w:t>
      </w:r>
      <w:r>
        <w:rPr>
          <w:spacing w:val="59"/>
        </w:rPr>
        <w:t xml:space="preserve"> </w:t>
      </w:r>
      <w:r>
        <w:rPr>
          <w:spacing w:val="-1"/>
        </w:rPr>
        <w:t>proposed</w:t>
      </w:r>
      <w:r>
        <w:rPr>
          <w:spacing w:val="58"/>
        </w:rPr>
        <w:t xml:space="preserve"> </w:t>
      </w:r>
      <w:r>
        <w:rPr>
          <w:spacing w:val="-1"/>
        </w:rPr>
        <w:t>change</w:t>
      </w:r>
      <w:r>
        <w:rPr>
          <w:spacing w:val="58"/>
        </w:rPr>
        <w:t xml:space="preserve"> </w:t>
      </w:r>
      <w:r>
        <w:t>to</w:t>
      </w:r>
      <w:r>
        <w:rPr>
          <w:spacing w:val="58"/>
        </w:rPr>
        <w:t xml:space="preserve"> </w:t>
      </w:r>
      <w:r>
        <w:rPr>
          <w:spacing w:val="-1"/>
        </w:rPr>
        <w:t>Goods</w:t>
      </w:r>
      <w:r>
        <w:rPr>
          <w:spacing w:val="59"/>
        </w:rPr>
        <w:t xml:space="preserve"> </w:t>
      </w:r>
      <w:r>
        <w:rPr>
          <w:spacing w:val="-1"/>
        </w:rPr>
        <w:t>and/or</w:t>
      </w:r>
      <w:r>
        <w:rPr>
          <w:spacing w:val="59"/>
        </w:rPr>
        <w:t xml:space="preserve"> </w:t>
      </w:r>
      <w:r>
        <w:rPr>
          <w:spacing w:val="-1"/>
        </w:rPr>
        <w:t>Services</w:t>
      </w:r>
      <w:r>
        <w:rPr>
          <w:spacing w:val="58"/>
        </w:rPr>
        <w:t xml:space="preserve"> </w:t>
      </w:r>
      <w:r>
        <w:rPr>
          <w:spacing w:val="-1"/>
        </w:rPr>
        <w:t>and/or</w:t>
      </w:r>
      <w:r>
        <w:rPr>
          <w:spacing w:val="44"/>
        </w:rPr>
        <w:t xml:space="preserve"> </w:t>
      </w:r>
      <w:r>
        <w:rPr>
          <w:spacing w:val="-1"/>
        </w:rPr>
        <w:t>associated</w:t>
      </w:r>
      <w:r>
        <w:t xml:space="preserve"> </w:t>
      </w:r>
      <w:r>
        <w:rPr>
          <w:spacing w:val="-1"/>
        </w:rPr>
        <w:t>processes;</w:t>
      </w:r>
    </w:p>
    <w:p w:rsidR="008918FA" w:rsidRDefault="008918FA" w:rsidP="008918FA">
      <w:pPr>
        <w:pStyle w:val="BodyText"/>
        <w:numPr>
          <w:ilvl w:val="2"/>
          <w:numId w:val="14"/>
        </w:numPr>
        <w:tabs>
          <w:tab w:val="left" w:pos="2026"/>
        </w:tabs>
        <w:spacing w:before="121"/>
        <w:jc w:val="left"/>
      </w:pPr>
      <w:r>
        <w:rPr>
          <w:spacing w:val="-1"/>
        </w:rPr>
        <w:t>any</w:t>
      </w:r>
      <w:r>
        <w:rPr>
          <w:spacing w:val="-2"/>
        </w:rPr>
        <w:t xml:space="preserve"> </w:t>
      </w:r>
      <w:r>
        <w:rPr>
          <w:spacing w:val="-1"/>
        </w:rPr>
        <w:t>changes</w:t>
      </w:r>
      <w:r>
        <w:rPr>
          <w:spacing w:val="-2"/>
        </w:rPr>
        <w:t xml:space="preserve"> </w:t>
      </w:r>
      <w:r>
        <w:t>to</w:t>
      </w:r>
      <w:r>
        <w:rPr>
          <w:spacing w:val="-2"/>
        </w:rPr>
        <w:t xml:space="preserve"> </w:t>
      </w:r>
      <w:r>
        <w:t>the</w:t>
      </w:r>
      <w:r>
        <w:rPr>
          <w:spacing w:val="-2"/>
        </w:rPr>
        <w:t xml:space="preserve"> </w:t>
      </w:r>
      <w:r>
        <w:rPr>
          <w:spacing w:val="-1"/>
        </w:rPr>
        <w:t>Security</w:t>
      </w:r>
      <w:r>
        <w:rPr>
          <w:spacing w:val="-2"/>
        </w:rPr>
        <w:t xml:space="preserve"> Policy;</w:t>
      </w:r>
    </w:p>
    <w:p w:rsidR="008918FA" w:rsidRDefault="008918FA" w:rsidP="008918FA">
      <w:pPr>
        <w:pStyle w:val="BodyText"/>
        <w:numPr>
          <w:ilvl w:val="2"/>
          <w:numId w:val="14"/>
        </w:numPr>
        <w:tabs>
          <w:tab w:val="left" w:pos="2026"/>
        </w:tabs>
        <w:jc w:val="left"/>
      </w:pPr>
      <w:r>
        <w:rPr>
          <w:spacing w:val="-1"/>
        </w:rPr>
        <w:t>any</w:t>
      </w:r>
      <w:r>
        <w:rPr>
          <w:spacing w:val="-2"/>
        </w:rPr>
        <w:t xml:space="preserve"> </w:t>
      </w:r>
      <w:r>
        <w:rPr>
          <w:spacing w:val="-1"/>
        </w:rPr>
        <w:t>new</w:t>
      </w:r>
      <w:r>
        <w:rPr>
          <w:spacing w:val="-3"/>
        </w:rPr>
        <w:t xml:space="preserve"> </w:t>
      </w:r>
      <w:r>
        <w:rPr>
          <w:spacing w:val="-1"/>
        </w:rPr>
        <w:t>perceived</w:t>
      </w:r>
      <w:r>
        <w:t xml:space="preserve"> </w:t>
      </w:r>
      <w:r>
        <w:rPr>
          <w:spacing w:val="-1"/>
        </w:rPr>
        <w:t>or</w:t>
      </w:r>
      <w:r>
        <w:rPr>
          <w:spacing w:val="2"/>
        </w:rPr>
        <w:t xml:space="preserve"> </w:t>
      </w:r>
      <w:r>
        <w:rPr>
          <w:spacing w:val="-1"/>
        </w:rPr>
        <w:t>changed</w:t>
      </w:r>
      <w:r>
        <w:rPr>
          <w:spacing w:val="-2"/>
        </w:rPr>
        <w:t xml:space="preserve"> </w:t>
      </w:r>
      <w:r>
        <w:rPr>
          <w:spacing w:val="-1"/>
        </w:rPr>
        <w:t>security</w:t>
      </w:r>
      <w:r>
        <w:rPr>
          <w:spacing w:val="-2"/>
        </w:rPr>
        <w:t xml:space="preserve"> </w:t>
      </w:r>
      <w:r>
        <w:rPr>
          <w:spacing w:val="-1"/>
        </w:rPr>
        <w:t>threats;</w:t>
      </w:r>
      <w:r>
        <w:rPr>
          <w:spacing w:val="2"/>
        </w:rPr>
        <w:t xml:space="preserve"> </w:t>
      </w:r>
      <w:r>
        <w:rPr>
          <w:spacing w:val="-2"/>
        </w:rPr>
        <w:t>and</w:t>
      </w:r>
    </w:p>
    <w:p w:rsidR="008918FA" w:rsidRDefault="008918FA" w:rsidP="008918FA">
      <w:pPr>
        <w:pStyle w:val="BodyText"/>
        <w:numPr>
          <w:ilvl w:val="2"/>
          <w:numId w:val="14"/>
        </w:numPr>
        <w:tabs>
          <w:tab w:val="left" w:pos="2026"/>
        </w:tabs>
        <w:jc w:val="left"/>
      </w:pPr>
      <w:r>
        <w:rPr>
          <w:spacing w:val="-1"/>
        </w:rPr>
        <w:t>any</w:t>
      </w:r>
      <w:r>
        <w:rPr>
          <w:spacing w:val="-2"/>
        </w:rPr>
        <w:t xml:space="preserve"> </w:t>
      </w:r>
      <w:r>
        <w:rPr>
          <w:spacing w:val="-1"/>
        </w:rPr>
        <w:t>reasonable</w:t>
      </w:r>
      <w:r>
        <w:t xml:space="preserve"> </w:t>
      </w:r>
      <w:r>
        <w:rPr>
          <w:spacing w:val="-1"/>
        </w:rPr>
        <w:t>change</w:t>
      </w:r>
      <w:r>
        <w:t xml:space="preserve"> </w:t>
      </w:r>
      <w:r>
        <w:rPr>
          <w:spacing w:val="-2"/>
        </w:rPr>
        <w:t>in</w:t>
      </w:r>
      <w:r>
        <w:t xml:space="preserve"> </w:t>
      </w:r>
      <w:r>
        <w:rPr>
          <w:spacing w:val="-1"/>
        </w:rPr>
        <w:t>requirement</w:t>
      </w:r>
      <w:r>
        <w:t xml:space="preserve"> </w:t>
      </w:r>
      <w:r>
        <w:rPr>
          <w:spacing w:val="-1"/>
        </w:rPr>
        <w:t>requested</w:t>
      </w:r>
      <w:r>
        <w:rPr>
          <w:spacing w:val="-2"/>
        </w:rPr>
        <w:t xml:space="preserve"> </w:t>
      </w:r>
      <w:r>
        <w:rPr>
          <w:spacing w:val="-1"/>
        </w:rPr>
        <w:t>by</w:t>
      </w:r>
      <w:r>
        <w:rPr>
          <w:spacing w:val="-2"/>
        </w:rPr>
        <w:t xml:space="preserve"> </w:t>
      </w:r>
      <w:r>
        <w:t xml:space="preserve">the </w:t>
      </w:r>
      <w:r>
        <w:rPr>
          <w:spacing w:val="-2"/>
        </w:rPr>
        <w:t>Customer.</w:t>
      </w:r>
    </w:p>
    <w:p w:rsidR="008918FA" w:rsidRDefault="008918FA" w:rsidP="008918FA">
      <w:pPr>
        <w:pStyle w:val="BodyText"/>
        <w:numPr>
          <w:ilvl w:val="1"/>
          <w:numId w:val="14"/>
        </w:numPr>
        <w:tabs>
          <w:tab w:val="left" w:pos="828"/>
        </w:tabs>
        <w:spacing w:before="121"/>
        <w:ind w:right="114"/>
        <w:jc w:val="both"/>
      </w:pPr>
      <w:r>
        <w:t>The</w:t>
      </w:r>
      <w:r>
        <w:rPr>
          <w:spacing w:val="19"/>
        </w:rPr>
        <w:t xml:space="preserve"> </w:t>
      </w:r>
      <w:r>
        <w:rPr>
          <w:spacing w:val="-2"/>
        </w:rPr>
        <w:t>Supplier</w:t>
      </w:r>
      <w:r>
        <w:rPr>
          <w:spacing w:val="21"/>
        </w:rPr>
        <w:t xml:space="preserve"> </w:t>
      </w:r>
      <w:r>
        <w:rPr>
          <w:spacing w:val="-1"/>
        </w:rPr>
        <w:t>shall</w:t>
      </w:r>
      <w:r>
        <w:rPr>
          <w:spacing w:val="19"/>
        </w:rPr>
        <w:t xml:space="preserve"> </w:t>
      </w:r>
      <w:r>
        <w:rPr>
          <w:spacing w:val="-2"/>
        </w:rPr>
        <w:t>provide</w:t>
      </w:r>
      <w:r>
        <w:rPr>
          <w:spacing w:val="19"/>
        </w:rPr>
        <w:t xml:space="preserve"> </w:t>
      </w:r>
      <w:r>
        <w:t>the</w:t>
      </w:r>
      <w:r>
        <w:rPr>
          <w:spacing w:val="19"/>
        </w:rPr>
        <w:t xml:space="preserve"> </w:t>
      </w:r>
      <w:r>
        <w:rPr>
          <w:spacing w:val="-2"/>
        </w:rPr>
        <w:t>Customer</w:t>
      </w:r>
      <w:r>
        <w:rPr>
          <w:spacing w:val="21"/>
        </w:rPr>
        <w:t xml:space="preserve"> </w:t>
      </w:r>
      <w:r>
        <w:rPr>
          <w:spacing w:val="-2"/>
        </w:rPr>
        <w:t>with</w:t>
      </w:r>
      <w:r>
        <w:rPr>
          <w:spacing w:val="19"/>
        </w:rPr>
        <w:t xml:space="preserve"> </w:t>
      </w:r>
      <w:r>
        <w:rPr>
          <w:spacing w:val="-1"/>
        </w:rPr>
        <w:t>the</w:t>
      </w:r>
      <w:r>
        <w:rPr>
          <w:spacing w:val="19"/>
        </w:rPr>
        <w:t xml:space="preserve"> </w:t>
      </w:r>
      <w:r>
        <w:rPr>
          <w:spacing w:val="-1"/>
        </w:rPr>
        <w:t>results</w:t>
      </w:r>
      <w:r>
        <w:rPr>
          <w:spacing w:val="20"/>
        </w:rPr>
        <w:t xml:space="preserve"> </w:t>
      </w:r>
      <w:r>
        <w:rPr>
          <w:spacing w:val="-2"/>
        </w:rPr>
        <w:t>of</w:t>
      </w:r>
      <w:r>
        <w:rPr>
          <w:spacing w:val="21"/>
        </w:rPr>
        <w:t xml:space="preserve"> </w:t>
      </w:r>
      <w:r>
        <w:rPr>
          <w:spacing w:val="-2"/>
        </w:rPr>
        <w:t>such</w:t>
      </w:r>
      <w:r>
        <w:rPr>
          <w:spacing w:val="20"/>
        </w:rPr>
        <w:t xml:space="preserve"> </w:t>
      </w:r>
      <w:r>
        <w:rPr>
          <w:spacing w:val="-2"/>
        </w:rPr>
        <w:t>reviews</w:t>
      </w:r>
      <w:r>
        <w:rPr>
          <w:spacing w:val="20"/>
        </w:rPr>
        <w:t xml:space="preserve"> </w:t>
      </w:r>
      <w:r>
        <w:rPr>
          <w:spacing w:val="-1"/>
        </w:rPr>
        <w:t>as</w:t>
      </w:r>
      <w:r>
        <w:rPr>
          <w:spacing w:val="20"/>
        </w:rPr>
        <w:t xml:space="preserve"> </w:t>
      </w:r>
      <w:r>
        <w:rPr>
          <w:spacing w:val="-1"/>
        </w:rPr>
        <w:t>soon</w:t>
      </w:r>
      <w:r>
        <w:rPr>
          <w:spacing w:val="82"/>
        </w:rPr>
        <w:t xml:space="preserve"> </w:t>
      </w:r>
      <w:r>
        <w:rPr>
          <w:spacing w:val="-1"/>
        </w:rPr>
        <w:t>as</w:t>
      </w:r>
      <w:r>
        <w:rPr>
          <w:spacing w:val="8"/>
        </w:rPr>
        <w:t xml:space="preserve"> </w:t>
      </w:r>
      <w:r>
        <w:rPr>
          <w:spacing w:val="-1"/>
        </w:rPr>
        <w:t>reasonably</w:t>
      </w:r>
      <w:r>
        <w:rPr>
          <w:spacing w:val="5"/>
        </w:rPr>
        <w:t xml:space="preserve"> </w:t>
      </w:r>
      <w:r>
        <w:rPr>
          <w:spacing w:val="-1"/>
        </w:rPr>
        <w:t>practicable</w:t>
      </w:r>
      <w:r>
        <w:rPr>
          <w:spacing w:val="7"/>
        </w:rPr>
        <w:t xml:space="preserve"> </w:t>
      </w:r>
      <w:r>
        <w:t>after</w:t>
      </w:r>
      <w:r>
        <w:rPr>
          <w:spacing w:val="6"/>
        </w:rPr>
        <w:t xml:space="preserve"> </w:t>
      </w:r>
      <w:r>
        <w:rPr>
          <w:spacing w:val="-1"/>
        </w:rPr>
        <w:t>their</w:t>
      </w:r>
      <w:r>
        <w:rPr>
          <w:spacing w:val="9"/>
        </w:rPr>
        <w:t xml:space="preserve"> </w:t>
      </w:r>
      <w:r>
        <w:rPr>
          <w:spacing w:val="-1"/>
        </w:rPr>
        <w:t>completion</w:t>
      </w:r>
      <w:r>
        <w:rPr>
          <w:spacing w:val="5"/>
        </w:rPr>
        <w:t xml:space="preserve"> </w:t>
      </w:r>
      <w:r>
        <w:rPr>
          <w:spacing w:val="-1"/>
        </w:rPr>
        <w:t>and</w:t>
      </w:r>
      <w:r>
        <w:rPr>
          <w:spacing w:val="7"/>
        </w:rPr>
        <w:t xml:space="preserve"> </w:t>
      </w:r>
      <w:r>
        <w:rPr>
          <w:spacing w:val="-1"/>
        </w:rPr>
        <w:t>amend</w:t>
      </w:r>
      <w:r>
        <w:rPr>
          <w:spacing w:val="7"/>
        </w:rPr>
        <w:t xml:space="preserve"> </w:t>
      </w:r>
      <w:r>
        <w:t>the</w:t>
      </w:r>
      <w:r>
        <w:rPr>
          <w:spacing w:val="7"/>
        </w:rPr>
        <w:t xml:space="preserve"> </w:t>
      </w:r>
      <w:r>
        <w:rPr>
          <w:spacing w:val="-1"/>
        </w:rPr>
        <w:t>ISMS</w:t>
      </w:r>
      <w:r>
        <w:rPr>
          <w:spacing w:val="7"/>
        </w:rPr>
        <w:t xml:space="preserve"> </w:t>
      </w:r>
      <w:r>
        <w:t>and</w:t>
      </w:r>
      <w:r>
        <w:rPr>
          <w:spacing w:val="7"/>
        </w:rPr>
        <w:t xml:space="preserve"> </w:t>
      </w:r>
      <w:r>
        <w:rPr>
          <w:spacing w:val="-1"/>
        </w:rPr>
        <w:t>Security</w:t>
      </w:r>
      <w:r>
        <w:rPr>
          <w:spacing w:val="39"/>
        </w:rPr>
        <w:t xml:space="preserve"> </w:t>
      </w:r>
      <w:r>
        <w:rPr>
          <w:spacing w:val="-1"/>
        </w:rPr>
        <w:t>Management</w:t>
      </w:r>
      <w:r>
        <w:rPr>
          <w:spacing w:val="9"/>
        </w:rPr>
        <w:t xml:space="preserve"> </w:t>
      </w:r>
      <w:r>
        <w:rPr>
          <w:spacing w:val="-1"/>
        </w:rPr>
        <w:t>Plan</w:t>
      </w:r>
      <w:r>
        <w:rPr>
          <w:spacing w:val="7"/>
        </w:rPr>
        <w:t xml:space="preserve"> </w:t>
      </w:r>
      <w:r>
        <w:rPr>
          <w:spacing w:val="-1"/>
        </w:rPr>
        <w:t>at</w:t>
      </w:r>
      <w:r>
        <w:rPr>
          <w:spacing w:val="7"/>
        </w:rPr>
        <w:t xml:space="preserve"> </w:t>
      </w:r>
      <w:r>
        <w:rPr>
          <w:spacing w:val="-1"/>
        </w:rPr>
        <w:t>no</w:t>
      </w:r>
      <w:r>
        <w:rPr>
          <w:spacing w:val="5"/>
        </w:rPr>
        <w:t xml:space="preserve"> </w:t>
      </w:r>
      <w:r>
        <w:rPr>
          <w:spacing w:val="-1"/>
        </w:rPr>
        <w:t>additional</w:t>
      </w:r>
      <w:r>
        <w:rPr>
          <w:spacing w:val="7"/>
        </w:rPr>
        <w:t xml:space="preserve"> </w:t>
      </w:r>
      <w:r>
        <w:rPr>
          <w:spacing w:val="-1"/>
        </w:rPr>
        <w:t>cost</w:t>
      </w:r>
      <w:r>
        <w:rPr>
          <w:spacing w:val="9"/>
        </w:rPr>
        <w:t xml:space="preserve"> </w:t>
      </w:r>
      <w:r>
        <w:t>to</w:t>
      </w:r>
      <w:r>
        <w:rPr>
          <w:spacing w:val="5"/>
        </w:rPr>
        <w:t xml:space="preserve"> </w:t>
      </w:r>
      <w:r>
        <w:t>the</w:t>
      </w:r>
      <w:r>
        <w:rPr>
          <w:spacing w:val="7"/>
        </w:rPr>
        <w:t xml:space="preserve"> </w:t>
      </w:r>
      <w:r>
        <w:rPr>
          <w:spacing w:val="-1"/>
        </w:rPr>
        <w:t>Customer.</w:t>
      </w:r>
      <w:r>
        <w:rPr>
          <w:spacing w:val="13"/>
        </w:rPr>
        <w:t xml:space="preserve"> </w:t>
      </w:r>
      <w:r>
        <w:t>The</w:t>
      </w:r>
      <w:r>
        <w:rPr>
          <w:spacing w:val="7"/>
        </w:rPr>
        <w:t xml:space="preserve"> </w:t>
      </w:r>
      <w:r>
        <w:rPr>
          <w:spacing w:val="-1"/>
        </w:rPr>
        <w:t>results</w:t>
      </w:r>
      <w:r>
        <w:rPr>
          <w:spacing w:val="8"/>
        </w:rPr>
        <w:t xml:space="preserve"> </w:t>
      </w:r>
      <w:r>
        <w:rPr>
          <w:spacing w:val="-2"/>
        </w:rPr>
        <w:t>of</w:t>
      </w:r>
      <w:r>
        <w:rPr>
          <w:spacing w:val="9"/>
        </w:rPr>
        <w:t xml:space="preserve"> </w:t>
      </w:r>
      <w:r>
        <w:rPr>
          <w:spacing w:val="-1"/>
        </w:rPr>
        <w:t>the</w:t>
      </w:r>
      <w:r>
        <w:rPr>
          <w:spacing w:val="7"/>
        </w:rPr>
        <w:t xml:space="preserve"> </w:t>
      </w:r>
      <w:r>
        <w:rPr>
          <w:spacing w:val="-1"/>
        </w:rPr>
        <w:t>review</w:t>
      </w:r>
      <w:r>
        <w:rPr>
          <w:spacing w:val="27"/>
        </w:rPr>
        <w:t xml:space="preserve"> </w:t>
      </w:r>
      <w:r>
        <w:rPr>
          <w:spacing w:val="-1"/>
        </w:rPr>
        <w:t>shall</w:t>
      </w:r>
      <w:r>
        <w:t xml:space="preserve"> </w:t>
      </w:r>
      <w:r>
        <w:rPr>
          <w:spacing w:val="-1"/>
        </w:rPr>
        <w:t>include,</w:t>
      </w:r>
      <w:r>
        <w:rPr>
          <w:spacing w:val="2"/>
        </w:rPr>
        <w:t xml:space="preserve"> </w:t>
      </w:r>
      <w:r>
        <w:rPr>
          <w:spacing w:val="-2"/>
        </w:rPr>
        <w:t>without</w:t>
      </w:r>
      <w:r>
        <w:rPr>
          <w:spacing w:val="2"/>
        </w:rPr>
        <w:t xml:space="preserve"> </w:t>
      </w:r>
      <w:r>
        <w:rPr>
          <w:spacing w:val="-1"/>
        </w:rPr>
        <w:t>limitation:</w:t>
      </w:r>
    </w:p>
    <w:p w:rsidR="008918FA" w:rsidRDefault="008918FA" w:rsidP="008918FA">
      <w:pPr>
        <w:pStyle w:val="BodyText"/>
        <w:numPr>
          <w:ilvl w:val="2"/>
          <w:numId w:val="14"/>
        </w:numPr>
        <w:tabs>
          <w:tab w:val="left" w:pos="2026"/>
        </w:tabs>
        <w:ind w:left="2026" w:hanging="995"/>
        <w:jc w:val="left"/>
      </w:pPr>
      <w:r>
        <w:rPr>
          <w:spacing w:val="-1"/>
        </w:rPr>
        <w:t>suggested</w:t>
      </w:r>
      <w:r>
        <w:t xml:space="preserve"> </w:t>
      </w:r>
      <w:r>
        <w:rPr>
          <w:spacing w:val="-2"/>
        </w:rPr>
        <w:t>improvements</w:t>
      </w:r>
      <w:r>
        <w:rPr>
          <w:spacing w:val="1"/>
        </w:rPr>
        <w:t xml:space="preserve"> </w:t>
      </w:r>
      <w:r>
        <w:t>to</w:t>
      </w:r>
      <w:r>
        <w:rPr>
          <w:spacing w:val="-2"/>
        </w:rPr>
        <w:t xml:space="preserve"> </w:t>
      </w:r>
      <w:r>
        <w:t>the</w:t>
      </w:r>
      <w:r>
        <w:rPr>
          <w:spacing w:val="-2"/>
        </w:rPr>
        <w:t xml:space="preserve"> </w:t>
      </w:r>
      <w:r>
        <w:rPr>
          <w:spacing w:val="-1"/>
        </w:rPr>
        <w:t>effectiveness</w:t>
      </w:r>
      <w:r>
        <w:rPr>
          <w:spacing w:val="1"/>
        </w:rPr>
        <w:t xml:space="preserve"> </w:t>
      </w:r>
      <w:r>
        <w:rPr>
          <w:spacing w:val="-2"/>
        </w:rPr>
        <w:t>of</w:t>
      </w:r>
      <w:r>
        <w:rPr>
          <w:spacing w:val="2"/>
        </w:rPr>
        <w:t xml:space="preserve"> </w:t>
      </w:r>
      <w:r>
        <w:rPr>
          <w:spacing w:val="-1"/>
        </w:rPr>
        <w:t>the</w:t>
      </w:r>
      <w:r>
        <w:t xml:space="preserve"> </w:t>
      </w:r>
      <w:r>
        <w:rPr>
          <w:spacing w:val="-1"/>
        </w:rPr>
        <w:t>ISMS;</w:t>
      </w:r>
    </w:p>
    <w:p w:rsidR="008918FA" w:rsidRDefault="008918FA" w:rsidP="008918FA">
      <w:pPr>
        <w:pStyle w:val="BodyText"/>
        <w:numPr>
          <w:ilvl w:val="2"/>
          <w:numId w:val="14"/>
        </w:numPr>
        <w:tabs>
          <w:tab w:val="left" w:pos="2026"/>
        </w:tabs>
        <w:spacing w:before="121"/>
        <w:jc w:val="left"/>
      </w:pPr>
      <w:r>
        <w:rPr>
          <w:spacing w:val="-1"/>
        </w:rPr>
        <w:t>updates</w:t>
      </w:r>
      <w:r>
        <w:rPr>
          <w:spacing w:val="-2"/>
        </w:rPr>
        <w:t xml:space="preserve"> </w:t>
      </w:r>
      <w:r>
        <w:t>to</w:t>
      </w:r>
      <w:r>
        <w:rPr>
          <w:spacing w:val="-2"/>
        </w:rPr>
        <w:t xml:space="preserve"> </w:t>
      </w:r>
      <w:r>
        <w:t>the</w:t>
      </w:r>
      <w:r>
        <w:rPr>
          <w:spacing w:val="-2"/>
        </w:rPr>
        <w:t xml:space="preserve"> risk</w:t>
      </w:r>
      <w:r>
        <w:rPr>
          <w:spacing w:val="3"/>
        </w:rPr>
        <w:t xml:space="preserve"> </w:t>
      </w:r>
      <w:r>
        <w:rPr>
          <w:spacing w:val="-2"/>
        </w:rPr>
        <w:t>assessments;</w:t>
      </w:r>
    </w:p>
    <w:p w:rsidR="008918FA" w:rsidRDefault="008918FA" w:rsidP="008918FA">
      <w:pPr>
        <w:sectPr w:rsidR="008918FA">
          <w:pgSz w:w="11910" w:h="16840"/>
          <w:pgMar w:top="1480" w:right="1300" w:bottom="1160" w:left="1540" w:header="0" w:footer="967" w:gutter="0"/>
          <w:cols w:space="720"/>
        </w:sectPr>
      </w:pPr>
    </w:p>
    <w:p w:rsidR="008918FA" w:rsidRDefault="008918FA" w:rsidP="008918FA">
      <w:pPr>
        <w:pStyle w:val="BodyText"/>
        <w:numPr>
          <w:ilvl w:val="2"/>
          <w:numId w:val="14"/>
        </w:numPr>
        <w:tabs>
          <w:tab w:val="left" w:pos="2027"/>
        </w:tabs>
        <w:spacing w:before="59"/>
        <w:ind w:left="2026" w:right="114"/>
        <w:jc w:val="both"/>
      </w:pPr>
      <w:r>
        <w:rPr>
          <w:spacing w:val="-1"/>
        </w:rPr>
        <w:t>proposed</w:t>
      </w:r>
      <w:r>
        <w:rPr>
          <w:spacing w:val="29"/>
        </w:rPr>
        <w:t xml:space="preserve"> </w:t>
      </w:r>
      <w:r>
        <w:rPr>
          <w:spacing w:val="-1"/>
        </w:rPr>
        <w:t>modifications</w:t>
      </w:r>
      <w:r>
        <w:rPr>
          <w:spacing w:val="30"/>
        </w:rPr>
        <w:t xml:space="preserve"> </w:t>
      </w:r>
      <w:r>
        <w:rPr>
          <w:spacing w:val="-1"/>
        </w:rPr>
        <w:t>to</w:t>
      </w:r>
      <w:r>
        <w:rPr>
          <w:spacing w:val="32"/>
        </w:rPr>
        <w:t xml:space="preserve"> </w:t>
      </w:r>
      <w:r>
        <w:rPr>
          <w:spacing w:val="-1"/>
        </w:rPr>
        <w:t>respond</w:t>
      </w:r>
      <w:r>
        <w:rPr>
          <w:spacing w:val="29"/>
        </w:rPr>
        <w:t xml:space="preserve"> </w:t>
      </w:r>
      <w:r>
        <w:t>to</w:t>
      </w:r>
      <w:r>
        <w:rPr>
          <w:spacing w:val="31"/>
        </w:rPr>
        <w:t xml:space="preserve"> </w:t>
      </w:r>
      <w:r>
        <w:rPr>
          <w:spacing w:val="-1"/>
        </w:rPr>
        <w:t>events</w:t>
      </w:r>
      <w:r>
        <w:rPr>
          <w:spacing w:val="30"/>
        </w:rPr>
        <w:t xml:space="preserve"> </w:t>
      </w:r>
      <w:r>
        <w:rPr>
          <w:spacing w:val="-1"/>
        </w:rPr>
        <w:t>that</w:t>
      </w:r>
      <w:r>
        <w:rPr>
          <w:spacing w:val="33"/>
        </w:rPr>
        <w:t xml:space="preserve"> </w:t>
      </w:r>
      <w:r>
        <w:rPr>
          <w:spacing w:val="-1"/>
        </w:rPr>
        <w:t>may</w:t>
      </w:r>
      <w:r>
        <w:rPr>
          <w:spacing w:val="30"/>
        </w:rPr>
        <w:t xml:space="preserve"> </w:t>
      </w:r>
      <w:r>
        <w:rPr>
          <w:spacing w:val="-2"/>
        </w:rPr>
        <w:t>impact</w:t>
      </w:r>
      <w:r>
        <w:rPr>
          <w:spacing w:val="33"/>
        </w:rPr>
        <w:t xml:space="preserve"> </w:t>
      </w:r>
      <w:r>
        <w:rPr>
          <w:spacing w:val="-1"/>
        </w:rPr>
        <w:t>on</w:t>
      </w:r>
      <w:r>
        <w:rPr>
          <w:spacing w:val="29"/>
        </w:rPr>
        <w:t xml:space="preserve"> </w:t>
      </w:r>
      <w:r>
        <w:rPr>
          <w:spacing w:val="-1"/>
        </w:rPr>
        <w:t>the</w:t>
      </w:r>
      <w:r>
        <w:rPr>
          <w:spacing w:val="46"/>
        </w:rPr>
        <w:t xml:space="preserve"> </w:t>
      </w:r>
      <w:r>
        <w:rPr>
          <w:spacing w:val="-1"/>
        </w:rPr>
        <w:t>ISMS</w:t>
      </w:r>
      <w:r>
        <w:rPr>
          <w:spacing w:val="55"/>
        </w:rPr>
        <w:t xml:space="preserve"> </w:t>
      </w:r>
      <w:r>
        <w:rPr>
          <w:spacing w:val="-1"/>
        </w:rPr>
        <w:t>including</w:t>
      </w:r>
      <w:r>
        <w:rPr>
          <w:spacing w:val="58"/>
        </w:rPr>
        <w:t xml:space="preserve"> </w:t>
      </w:r>
      <w:r>
        <w:t>the</w:t>
      </w:r>
      <w:r>
        <w:rPr>
          <w:spacing w:val="55"/>
        </w:rPr>
        <w:t xml:space="preserve"> </w:t>
      </w:r>
      <w:r>
        <w:rPr>
          <w:spacing w:val="-1"/>
        </w:rPr>
        <w:t>security</w:t>
      </w:r>
      <w:r>
        <w:rPr>
          <w:spacing w:val="53"/>
        </w:rPr>
        <w:t xml:space="preserve"> </w:t>
      </w:r>
      <w:r>
        <w:rPr>
          <w:spacing w:val="-1"/>
        </w:rPr>
        <w:t>incident</w:t>
      </w:r>
      <w:r>
        <w:rPr>
          <w:spacing w:val="57"/>
        </w:rPr>
        <w:t xml:space="preserve"> </w:t>
      </w:r>
      <w:r>
        <w:rPr>
          <w:spacing w:val="-1"/>
        </w:rPr>
        <w:t>management</w:t>
      </w:r>
      <w:r>
        <w:rPr>
          <w:spacing w:val="57"/>
        </w:rPr>
        <w:t xml:space="preserve"> </w:t>
      </w:r>
      <w:r>
        <w:rPr>
          <w:spacing w:val="-1"/>
        </w:rPr>
        <w:t>process,</w:t>
      </w:r>
      <w:r>
        <w:rPr>
          <w:spacing w:val="59"/>
        </w:rPr>
        <w:t xml:space="preserve"> </w:t>
      </w:r>
      <w:r>
        <w:rPr>
          <w:spacing w:val="-2"/>
        </w:rPr>
        <w:t>incident</w:t>
      </w:r>
      <w:r>
        <w:rPr>
          <w:spacing w:val="23"/>
        </w:rPr>
        <w:t xml:space="preserve"> </w:t>
      </w:r>
      <w:r>
        <w:rPr>
          <w:spacing w:val="-1"/>
        </w:rPr>
        <w:t>response</w:t>
      </w:r>
      <w:r>
        <w:rPr>
          <w:spacing w:val="33"/>
        </w:rPr>
        <w:t xml:space="preserve"> </w:t>
      </w:r>
      <w:r>
        <w:rPr>
          <w:spacing w:val="-1"/>
        </w:rPr>
        <w:t>plans</w:t>
      </w:r>
      <w:r>
        <w:rPr>
          <w:spacing w:val="33"/>
        </w:rPr>
        <w:t xml:space="preserve"> </w:t>
      </w:r>
      <w:r>
        <w:rPr>
          <w:spacing w:val="-1"/>
        </w:rPr>
        <w:t>and</w:t>
      </w:r>
      <w:r>
        <w:rPr>
          <w:spacing w:val="30"/>
        </w:rPr>
        <w:t xml:space="preserve"> </w:t>
      </w:r>
      <w:r>
        <w:rPr>
          <w:spacing w:val="-1"/>
        </w:rPr>
        <w:t>general</w:t>
      </w:r>
      <w:r>
        <w:rPr>
          <w:spacing w:val="32"/>
        </w:rPr>
        <w:t xml:space="preserve"> </w:t>
      </w:r>
      <w:r>
        <w:rPr>
          <w:spacing w:val="-1"/>
        </w:rPr>
        <w:t>procedures</w:t>
      </w:r>
      <w:r>
        <w:rPr>
          <w:spacing w:val="33"/>
        </w:rPr>
        <w:t xml:space="preserve"> </w:t>
      </w:r>
      <w:r>
        <w:rPr>
          <w:spacing w:val="-1"/>
        </w:rPr>
        <w:t>and</w:t>
      </w:r>
      <w:r>
        <w:rPr>
          <w:spacing w:val="30"/>
        </w:rPr>
        <w:t xml:space="preserve"> </w:t>
      </w:r>
      <w:r>
        <w:rPr>
          <w:spacing w:val="-1"/>
        </w:rPr>
        <w:t>controls</w:t>
      </w:r>
      <w:r>
        <w:rPr>
          <w:spacing w:val="32"/>
        </w:rPr>
        <w:t xml:space="preserve"> </w:t>
      </w:r>
      <w:r>
        <w:rPr>
          <w:spacing w:val="-1"/>
        </w:rPr>
        <w:t>that</w:t>
      </w:r>
      <w:r>
        <w:rPr>
          <w:spacing w:val="37"/>
        </w:rPr>
        <w:t xml:space="preserve"> </w:t>
      </w:r>
      <w:r>
        <w:rPr>
          <w:spacing w:val="-1"/>
        </w:rPr>
        <w:t>affect</w:t>
      </w:r>
      <w:r>
        <w:rPr>
          <w:spacing w:val="35"/>
        </w:rPr>
        <w:t xml:space="preserve"> </w:t>
      </w:r>
      <w:r>
        <w:rPr>
          <w:spacing w:val="-1"/>
        </w:rPr>
        <w:t>information</w:t>
      </w:r>
      <w:r>
        <w:t xml:space="preserve"> </w:t>
      </w:r>
      <w:r>
        <w:rPr>
          <w:spacing w:val="-1"/>
        </w:rPr>
        <w:t>security;</w:t>
      </w:r>
      <w:r>
        <w:rPr>
          <w:spacing w:val="2"/>
        </w:rPr>
        <w:t xml:space="preserve"> </w:t>
      </w:r>
      <w:r>
        <w:rPr>
          <w:spacing w:val="-1"/>
        </w:rPr>
        <w:t>and</w:t>
      </w:r>
    </w:p>
    <w:p w:rsidR="008918FA" w:rsidRDefault="008918FA" w:rsidP="008918FA">
      <w:pPr>
        <w:pStyle w:val="BodyText"/>
        <w:numPr>
          <w:ilvl w:val="2"/>
          <w:numId w:val="14"/>
        </w:numPr>
        <w:tabs>
          <w:tab w:val="left" w:pos="2027"/>
        </w:tabs>
        <w:spacing w:before="121"/>
        <w:ind w:left="2026"/>
        <w:jc w:val="left"/>
      </w:pPr>
      <w:r>
        <w:rPr>
          <w:spacing w:val="-1"/>
        </w:rPr>
        <w:t>suggested</w:t>
      </w:r>
      <w:r>
        <w:t xml:space="preserve"> </w:t>
      </w:r>
      <w:r>
        <w:rPr>
          <w:spacing w:val="-2"/>
        </w:rPr>
        <w:t>improvements</w:t>
      </w:r>
      <w:r>
        <w:rPr>
          <w:spacing w:val="1"/>
        </w:rPr>
        <w:t xml:space="preserve"> </w:t>
      </w:r>
      <w:r>
        <w:rPr>
          <w:spacing w:val="-1"/>
        </w:rPr>
        <w:t>in</w:t>
      </w:r>
      <w:r>
        <w:rPr>
          <w:spacing w:val="-2"/>
        </w:rPr>
        <w:t xml:space="preserve"> </w:t>
      </w:r>
      <w:r>
        <w:rPr>
          <w:spacing w:val="-1"/>
        </w:rPr>
        <w:t>measuring</w:t>
      </w:r>
      <w:r>
        <w:t xml:space="preserve"> the </w:t>
      </w:r>
      <w:r>
        <w:rPr>
          <w:spacing w:val="-2"/>
        </w:rPr>
        <w:t>effectiveness</w:t>
      </w:r>
      <w:r>
        <w:rPr>
          <w:spacing w:val="1"/>
        </w:rPr>
        <w:t xml:space="preserve"> </w:t>
      </w:r>
      <w:r>
        <w:rPr>
          <w:spacing w:val="-2"/>
        </w:rPr>
        <w:t>of</w:t>
      </w:r>
      <w:r>
        <w:rPr>
          <w:spacing w:val="4"/>
        </w:rPr>
        <w:t xml:space="preserve"> </w:t>
      </w:r>
      <w:r>
        <w:rPr>
          <w:spacing w:val="-1"/>
        </w:rPr>
        <w:t>controls.</w:t>
      </w:r>
    </w:p>
    <w:p w:rsidR="008918FA" w:rsidRDefault="008918FA" w:rsidP="008918FA">
      <w:pPr>
        <w:pStyle w:val="BodyText"/>
        <w:numPr>
          <w:ilvl w:val="1"/>
          <w:numId w:val="14"/>
        </w:numPr>
        <w:tabs>
          <w:tab w:val="left" w:pos="829"/>
        </w:tabs>
        <w:ind w:left="828" w:right="111"/>
        <w:jc w:val="both"/>
      </w:pPr>
      <w:r>
        <w:rPr>
          <w:spacing w:val="-1"/>
        </w:rPr>
        <w:t>Subject</w:t>
      </w:r>
      <w:r>
        <w:rPr>
          <w:spacing w:val="14"/>
        </w:rPr>
        <w:t xml:space="preserve"> </w:t>
      </w:r>
      <w:r>
        <w:t>to</w:t>
      </w:r>
      <w:r>
        <w:rPr>
          <w:spacing w:val="12"/>
        </w:rPr>
        <w:t xml:space="preserve"> </w:t>
      </w:r>
      <w:r>
        <w:rPr>
          <w:spacing w:val="-1"/>
        </w:rPr>
        <w:t>paragraph</w:t>
      </w:r>
      <w:r>
        <w:rPr>
          <w:spacing w:val="1"/>
        </w:rPr>
        <w:t xml:space="preserve"> </w:t>
      </w:r>
      <w:hyperlink w:anchor="_bookmark343" w:history="1">
        <w:r>
          <w:rPr>
            <w:spacing w:val="-1"/>
          </w:rPr>
          <w:t>5.4</w:t>
        </w:r>
      </w:hyperlink>
      <w:r>
        <w:rPr>
          <w:spacing w:val="10"/>
        </w:rPr>
        <w:t xml:space="preserve"> </w:t>
      </w:r>
      <w:r>
        <w:rPr>
          <w:spacing w:val="-1"/>
        </w:rPr>
        <w:t>of</w:t>
      </w:r>
      <w:r>
        <w:rPr>
          <w:spacing w:val="16"/>
        </w:rPr>
        <w:t xml:space="preserve"> </w:t>
      </w:r>
      <w:r>
        <w:rPr>
          <w:spacing w:val="-1"/>
        </w:rPr>
        <w:t>this</w:t>
      </w:r>
      <w:r>
        <w:rPr>
          <w:spacing w:val="13"/>
        </w:rPr>
        <w:t xml:space="preserve"> </w:t>
      </w:r>
      <w:r>
        <w:rPr>
          <w:spacing w:val="-2"/>
        </w:rPr>
        <w:t>Call</w:t>
      </w:r>
      <w:r>
        <w:rPr>
          <w:spacing w:val="12"/>
        </w:rPr>
        <w:t xml:space="preserve"> </w:t>
      </w:r>
      <w:r>
        <w:t>Off</w:t>
      </w:r>
      <w:r>
        <w:rPr>
          <w:spacing w:val="16"/>
        </w:rPr>
        <w:t xml:space="preserve"> </w:t>
      </w:r>
      <w:r>
        <w:rPr>
          <w:spacing w:val="-2"/>
        </w:rPr>
        <w:t>Schedule,</w:t>
      </w:r>
      <w:r>
        <w:rPr>
          <w:spacing w:val="14"/>
        </w:rPr>
        <w:t xml:space="preserve"> </w:t>
      </w:r>
      <w:r>
        <w:rPr>
          <w:spacing w:val="-1"/>
        </w:rPr>
        <w:t>any</w:t>
      </w:r>
      <w:r>
        <w:rPr>
          <w:spacing w:val="10"/>
        </w:rPr>
        <w:t xml:space="preserve"> </w:t>
      </w:r>
      <w:r>
        <w:rPr>
          <w:spacing w:val="-1"/>
        </w:rPr>
        <w:t>change</w:t>
      </w:r>
      <w:r>
        <w:rPr>
          <w:spacing w:val="15"/>
        </w:rPr>
        <w:t xml:space="preserve"> </w:t>
      </w:r>
      <w:r>
        <w:rPr>
          <w:spacing w:val="-2"/>
        </w:rPr>
        <w:t>which</w:t>
      </w:r>
      <w:r>
        <w:rPr>
          <w:spacing w:val="13"/>
        </w:rPr>
        <w:t xml:space="preserve"> </w:t>
      </w:r>
      <w:r>
        <w:t>the</w:t>
      </w:r>
      <w:r>
        <w:rPr>
          <w:spacing w:val="15"/>
        </w:rPr>
        <w:t xml:space="preserve"> </w:t>
      </w:r>
      <w:r>
        <w:rPr>
          <w:spacing w:val="-2"/>
        </w:rPr>
        <w:t>Supplier</w:t>
      </w:r>
      <w:r>
        <w:rPr>
          <w:spacing w:val="72"/>
        </w:rPr>
        <w:t xml:space="preserve"> </w:t>
      </w:r>
      <w:r>
        <w:rPr>
          <w:spacing w:val="-1"/>
        </w:rPr>
        <w:t>proposes</w:t>
      </w:r>
      <w:r>
        <w:rPr>
          <w:spacing w:val="44"/>
        </w:rPr>
        <w:t xml:space="preserve"> </w:t>
      </w:r>
      <w:r>
        <w:t>to</w:t>
      </w:r>
      <w:r>
        <w:rPr>
          <w:spacing w:val="41"/>
        </w:rPr>
        <w:t xml:space="preserve"> </w:t>
      </w:r>
      <w:r>
        <w:rPr>
          <w:spacing w:val="-1"/>
        </w:rPr>
        <w:t>make</w:t>
      </w:r>
      <w:r>
        <w:rPr>
          <w:spacing w:val="43"/>
        </w:rPr>
        <w:t xml:space="preserve"> </w:t>
      </w:r>
      <w:r>
        <w:t>to</w:t>
      </w:r>
      <w:r>
        <w:rPr>
          <w:spacing w:val="41"/>
        </w:rPr>
        <w:t xml:space="preserve"> </w:t>
      </w:r>
      <w:r>
        <w:rPr>
          <w:spacing w:val="-1"/>
        </w:rPr>
        <w:t>the</w:t>
      </w:r>
      <w:r>
        <w:rPr>
          <w:spacing w:val="43"/>
        </w:rPr>
        <w:t xml:space="preserve"> </w:t>
      </w:r>
      <w:r>
        <w:rPr>
          <w:spacing w:val="-1"/>
        </w:rPr>
        <w:t>ISMS</w:t>
      </w:r>
      <w:r>
        <w:rPr>
          <w:spacing w:val="43"/>
        </w:rPr>
        <w:t xml:space="preserve"> </w:t>
      </w:r>
      <w:r>
        <w:rPr>
          <w:spacing w:val="-1"/>
        </w:rPr>
        <w:t>or</w:t>
      </w:r>
      <w:r>
        <w:rPr>
          <w:spacing w:val="46"/>
        </w:rPr>
        <w:t xml:space="preserve"> </w:t>
      </w:r>
      <w:r>
        <w:rPr>
          <w:spacing w:val="-1"/>
        </w:rPr>
        <w:t>Security</w:t>
      </w:r>
      <w:r>
        <w:rPr>
          <w:spacing w:val="44"/>
        </w:rPr>
        <w:t xml:space="preserve"> </w:t>
      </w:r>
      <w:r>
        <w:rPr>
          <w:spacing w:val="-1"/>
        </w:rPr>
        <w:t>Management</w:t>
      </w:r>
      <w:r>
        <w:rPr>
          <w:spacing w:val="45"/>
        </w:rPr>
        <w:t xml:space="preserve"> </w:t>
      </w:r>
      <w:r>
        <w:rPr>
          <w:spacing w:val="-1"/>
        </w:rPr>
        <w:t>Plan</w:t>
      </w:r>
      <w:r>
        <w:rPr>
          <w:spacing w:val="43"/>
        </w:rPr>
        <w:t xml:space="preserve"> </w:t>
      </w:r>
      <w:r>
        <w:rPr>
          <w:spacing w:val="-1"/>
        </w:rPr>
        <w:t>(as</w:t>
      </w:r>
      <w:r>
        <w:rPr>
          <w:spacing w:val="44"/>
        </w:rPr>
        <w:t xml:space="preserve"> </w:t>
      </w:r>
      <w:r>
        <w:t>a</w:t>
      </w:r>
      <w:r>
        <w:rPr>
          <w:spacing w:val="43"/>
        </w:rPr>
        <w:t xml:space="preserve"> </w:t>
      </w:r>
      <w:r>
        <w:rPr>
          <w:spacing w:val="-1"/>
        </w:rPr>
        <w:t>result</w:t>
      </w:r>
      <w:r>
        <w:rPr>
          <w:spacing w:val="46"/>
        </w:rPr>
        <w:t xml:space="preserve"> </w:t>
      </w:r>
      <w:r>
        <w:rPr>
          <w:spacing w:val="-2"/>
        </w:rPr>
        <w:t>of</w:t>
      </w:r>
      <w:r>
        <w:rPr>
          <w:spacing w:val="45"/>
        </w:rPr>
        <w:t xml:space="preserve"> </w:t>
      </w:r>
      <w:r>
        <w:t>a</w:t>
      </w:r>
      <w:r>
        <w:rPr>
          <w:spacing w:val="45"/>
        </w:rPr>
        <w:t xml:space="preserve"> </w:t>
      </w:r>
      <w:r>
        <w:rPr>
          <w:spacing w:val="-1"/>
        </w:rPr>
        <w:t>review</w:t>
      </w:r>
      <w:r>
        <w:rPr>
          <w:spacing w:val="5"/>
        </w:rPr>
        <w:t xml:space="preserve"> </w:t>
      </w:r>
      <w:r>
        <w:rPr>
          <w:spacing w:val="-1"/>
        </w:rPr>
        <w:t>carried</w:t>
      </w:r>
      <w:r>
        <w:rPr>
          <w:spacing w:val="7"/>
        </w:rPr>
        <w:t xml:space="preserve"> </w:t>
      </w:r>
      <w:r>
        <w:rPr>
          <w:spacing w:val="-1"/>
        </w:rPr>
        <w:t>out</w:t>
      </w:r>
      <w:r>
        <w:rPr>
          <w:spacing w:val="9"/>
        </w:rPr>
        <w:t xml:space="preserve"> </w:t>
      </w:r>
      <w:r>
        <w:rPr>
          <w:spacing w:val="-1"/>
        </w:rPr>
        <w:t>pursuant</w:t>
      </w:r>
      <w:r>
        <w:rPr>
          <w:spacing w:val="9"/>
        </w:rPr>
        <w:t xml:space="preserve"> </w:t>
      </w:r>
      <w:r>
        <w:t>to</w:t>
      </w:r>
      <w:r>
        <w:rPr>
          <w:spacing w:val="7"/>
        </w:rPr>
        <w:t xml:space="preserve"> </w:t>
      </w:r>
      <w:r>
        <w:rPr>
          <w:spacing w:val="-1"/>
        </w:rPr>
        <w:t>paragraph</w:t>
      </w:r>
      <w:r>
        <w:t xml:space="preserve"> </w:t>
      </w:r>
      <w:hyperlink w:anchor="_bookmark342" w:history="1">
        <w:r>
          <w:rPr>
            <w:spacing w:val="-1"/>
          </w:rPr>
          <w:t>5.1</w:t>
        </w:r>
      </w:hyperlink>
      <w:r>
        <w:rPr>
          <w:spacing w:val="7"/>
        </w:rPr>
        <w:t xml:space="preserve"> </w:t>
      </w:r>
      <w:r>
        <w:rPr>
          <w:spacing w:val="-2"/>
        </w:rPr>
        <w:t>of</w:t>
      </w:r>
      <w:r>
        <w:rPr>
          <w:spacing w:val="11"/>
        </w:rPr>
        <w:t xml:space="preserve"> </w:t>
      </w:r>
      <w:r>
        <w:rPr>
          <w:spacing w:val="-2"/>
        </w:rPr>
        <w:t>this</w:t>
      </w:r>
      <w:r>
        <w:rPr>
          <w:spacing w:val="8"/>
        </w:rPr>
        <w:t xml:space="preserve"> </w:t>
      </w:r>
      <w:r>
        <w:rPr>
          <w:spacing w:val="-2"/>
        </w:rPr>
        <w:t>Call</w:t>
      </w:r>
      <w:r>
        <w:rPr>
          <w:spacing w:val="9"/>
        </w:rPr>
        <w:t xml:space="preserve"> </w:t>
      </w:r>
      <w:r>
        <w:t>Off</w:t>
      </w:r>
      <w:r>
        <w:rPr>
          <w:spacing w:val="9"/>
        </w:rPr>
        <w:t xml:space="preserve"> </w:t>
      </w:r>
      <w:r>
        <w:rPr>
          <w:spacing w:val="-1"/>
        </w:rPr>
        <w:t>Schedule,</w:t>
      </w:r>
      <w:r>
        <w:rPr>
          <w:spacing w:val="9"/>
        </w:rPr>
        <w:t xml:space="preserve"> </w:t>
      </w:r>
      <w:r>
        <w:t>a</w:t>
      </w:r>
      <w:r>
        <w:rPr>
          <w:spacing w:val="7"/>
        </w:rPr>
        <w:t xml:space="preserve"> </w:t>
      </w:r>
      <w:r>
        <w:rPr>
          <w:spacing w:val="-1"/>
        </w:rPr>
        <w:t>Customer</w:t>
      </w:r>
      <w:r>
        <w:rPr>
          <w:spacing w:val="51"/>
        </w:rPr>
        <w:t xml:space="preserve"> </w:t>
      </w:r>
      <w:r>
        <w:rPr>
          <w:spacing w:val="-1"/>
        </w:rPr>
        <w:t>request,</w:t>
      </w:r>
      <w:r>
        <w:rPr>
          <w:spacing w:val="57"/>
        </w:rPr>
        <w:t xml:space="preserve"> </w:t>
      </w:r>
      <w:r>
        <w:t>a</w:t>
      </w:r>
      <w:r>
        <w:rPr>
          <w:spacing w:val="53"/>
        </w:rPr>
        <w:t xml:space="preserve"> </w:t>
      </w:r>
      <w:r>
        <w:rPr>
          <w:spacing w:val="-1"/>
        </w:rPr>
        <w:t>change</w:t>
      </w:r>
      <w:r>
        <w:rPr>
          <w:spacing w:val="53"/>
        </w:rPr>
        <w:t xml:space="preserve"> </w:t>
      </w:r>
      <w:r>
        <w:t>to</w:t>
      </w:r>
      <w:r>
        <w:rPr>
          <w:spacing w:val="55"/>
        </w:rPr>
        <w:t xml:space="preserve"> </w:t>
      </w:r>
      <w:r>
        <w:rPr>
          <w:spacing w:val="-2"/>
        </w:rPr>
        <w:t>Annex</w:t>
      </w:r>
      <w:r>
        <w:rPr>
          <w:spacing w:val="53"/>
        </w:rPr>
        <w:t xml:space="preserve"> </w:t>
      </w:r>
      <w:r>
        <w:t>1</w:t>
      </w:r>
      <w:r>
        <w:rPr>
          <w:spacing w:val="55"/>
        </w:rPr>
        <w:t xml:space="preserve"> </w:t>
      </w:r>
      <w:r>
        <w:rPr>
          <w:spacing w:val="-1"/>
        </w:rPr>
        <w:t>(Security)</w:t>
      </w:r>
      <w:r>
        <w:rPr>
          <w:spacing w:val="58"/>
        </w:rPr>
        <w:t xml:space="preserve"> </w:t>
      </w:r>
      <w:r>
        <w:rPr>
          <w:spacing w:val="-2"/>
        </w:rPr>
        <w:t>or</w:t>
      </w:r>
      <w:r>
        <w:rPr>
          <w:spacing w:val="57"/>
        </w:rPr>
        <w:t xml:space="preserve"> </w:t>
      </w:r>
      <w:r>
        <w:rPr>
          <w:spacing w:val="-2"/>
        </w:rPr>
        <w:t>otherwise)</w:t>
      </w:r>
      <w:r>
        <w:rPr>
          <w:spacing w:val="57"/>
        </w:rPr>
        <w:t xml:space="preserve"> </w:t>
      </w:r>
      <w:r>
        <w:rPr>
          <w:spacing w:val="-1"/>
        </w:rPr>
        <w:t>shall</w:t>
      </w:r>
      <w:r>
        <w:rPr>
          <w:spacing w:val="55"/>
        </w:rPr>
        <w:t xml:space="preserve"> </w:t>
      </w:r>
      <w:r>
        <w:rPr>
          <w:spacing w:val="-1"/>
        </w:rPr>
        <w:t>be</w:t>
      </w:r>
      <w:r>
        <w:rPr>
          <w:spacing w:val="55"/>
        </w:rPr>
        <w:t xml:space="preserve"> </w:t>
      </w:r>
      <w:r>
        <w:rPr>
          <w:spacing w:val="-1"/>
        </w:rPr>
        <w:t>subject</w:t>
      </w:r>
      <w:r>
        <w:rPr>
          <w:spacing w:val="55"/>
        </w:rPr>
        <w:t xml:space="preserve"> </w:t>
      </w:r>
      <w:r>
        <w:t>to</w:t>
      </w:r>
      <w:r>
        <w:rPr>
          <w:spacing w:val="56"/>
        </w:rPr>
        <w:t xml:space="preserve"> </w:t>
      </w:r>
      <w:r>
        <w:rPr>
          <w:spacing w:val="-1"/>
        </w:rPr>
        <w:t>the</w:t>
      </w:r>
      <w:r>
        <w:rPr>
          <w:spacing w:val="57"/>
        </w:rPr>
        <w:t xml:space="preserve"> </w:t>
      </w:r>
      <w:r>
        <w:rPr>
          <w:spacing w:val="-1"/>
        </w:rPr>
        <w:t>Variation</w:t>
      </w:r>
      <w:r>
        <w:rPr>
          <w:spacing w:val="15"/>
        </w:rPr>
        <w:t xml:space="preserve"> </w:t>
      </w:r>
      <w:r>
        <w:rPr>
          <w:spacing w:val="-1"/>
        </w:rPr>
        <w:t>Procedure</w:t>
      </w:r>
      <w:r>
        <w:rPr>
          <w:spacing w:val="15"/>
        </w:rPr>
        <w:t xml:space="preserve"> </w:t>
      </w:r>
      <w:r>
        <w:rPr>
          <w:spacing w:val="-1"/>
        </w:rPr>
        <w:t>and</w:t>
      </w:r>
      <w:r>
        <w:rPr>
          <w:spacing w:val="12"/>
        </w:rPr>
        <w:t xml:space="preserve"> </w:t>
      </w:r>
      <w:r>
        <w:rPr>
          <w:spacing w:val="-1"/>
        </w:rPr>
        <w:t>shall</w:t>
      </w:r>
      <w:r>
        <w:rPr>
          <w:spacing w:val="14"/>
        </w:rPr>
        <w:t xml:space="preserve"> </w:t>
      </w:r>
      <w:r>
        <w:rPr>
          <w:spacing w:val="-1"/>
        </w:rPr>
        <w:t>not</w:t>
      </w:r>
      <w:r>
        <w:rPr>
          <w:spacing w:val="16"/>
        </w:rPr>
        <w:t xml:space="preserve"> </w:t>
      </w:r>
      <w:r>
        <w:rPr>
          <w:spacing w:val="-1"/>
        </w:rPr>
        <w:t>be</w:t>
      </w:r>
      <w:r>
        <w:rPr>
          <w:spacing w:val="15"/>
        </w:rPr>
        <w:t xml:space="preserve"> </w:t>
      </w:r>
      <w:r>
        <w:rPr>
          <w:spacing w:val="-2"/>
        </w:rPr>
        <w:t>implemented</w:t>
      </w:r>
      <w:r>
        <w:rPr>
          <w:spacing w:val="15"/>
        </w:rPr>
        <w:t xml:space="preserve"> </w:t>
      </w:r>
      <w:r>
        <w:rPr>
          <w:spacing w:val="-1"/>
        </w:rPr>
        <w:t>until</w:t>
      </w:r>
      <w:r>
        <w:rPr>
          <w:spacing w:val="14"/>
        </w:rPr>
        <w:t xml:space="preserve"> </w:t>
      </w:r>
      <w:r>
        <w:rPr>
          <w:spacing w:val="-1"/>
        </w:rPr>
        <w:t>Approved</w:t>
      </w:r>
      <w:r>
        <w:rPr>
          <w:spacing w:val="15"/>
        </w:rPr>
        <w:t xml:space="preserve"> </w:t>
      </w:r>
      <w:r>
        <w:rPr>
          <w:spacing w:val="-1"/>
        </w:rPr>
        <w:t>in</w:t>
      </w:r>
      <w:r>
        <w:rPr>
          <w:spacing w:val="17"/>
        </w:rPr>
        <w:t xml:space="preserve"> </w:t>
      </w:r>
      <w:r>
        <w:rPr>
          <w:spacing w:val="-2"/>
        </w:rPr>
        <w:t>writing</w:t>
      </w:r>
      <w:r>
        <w:rPr>
          <w:spacing w:val="17"/>
        </w:rPr>
        <w:t xml:space="preserve"> </w:t>
      </w:r>
      <w:r>
        <w:rPr>
          <w:spacing w:val="-1"/>
        </w:rPr>
        <w:t>by</w:t>
      </w:r>
      <w:r>
        <w:rPr>
          <w:spacing w:val="13"/>
        </w:rPr>
        <w:t xml:space="preserve"> </w:t>
      </w:r>
      <w:r>
        <w:rPr>
          <w:spacing w:val="-1"/>
        </w:rPr>
        <w:t>the</w:t>
      </w:r>
      <w:r>
        <w:rPr>
          <w:spacing w:val="66"/>
        </w:rPr>
        <w:t xml:space="preserve"> </w:t>
      </w:r>
      <w:r>
        <w:rPr>
          <w:spacing w:val="-1"/>
        </w:rPr>
        <w:t>Customer.</w:t>
      </w:r>
    </w:p>
    <w:p w:rsidR="008918FA" w:rsidRDefault="008918FA" w:rsidP="008918FA">
      <w:pPr>
        <w:pStyle w:val="BodyText"/>
        <w:numPr>
          <w:ilvl w:val="1"/>
          <w:numId w:val="14"/>
        </w:numPr>
        <w:tabs>
          <w:tab w:val="left" w:pos="829"/>
        </w:tabs>
        <w:ind w:left="828" w:right="112" w:hanging="359"/>
        <w:jc w:val="both"/>
      </w:pPr>
      <w:bookmarkStart w:id="420" w:name="_bookmark343"/>
      <w:bookmarkEnd w:id="420"/>
      <w:r>
        <w:t>The</w:t>
      </w:r>
      <w:r>
        <w:rPr>
          <w:spacing w:val="10"/>
        </w:rPr>
        <w:t xml:space="preserve"> </w:t>
      </w:r>
      <w:r>
        <w:rPr>
          <w:spacing w:val="-2"/>
        </w:rPr>
        <w:t>Customer</w:t>
      </w:r>
      <w:r>
        <w:rPr>
          <w:spacing w:val="9"/>
        </w:rPr>
        <w:t xml:space="preserve"> </w:t>
      </w:r>
      <w:r>
        <w:rPr>
          <w:spacing w:val="-1"/>
        </w:rPr>
        <w:t>may,</w:t>
      </w:r>
      <w:r>
        <w:rPr>
          <w:spacing w:val="11"/>
        </w:rPr>
        <w:t xml:space="preserve"> </w:t>
      </w:r>
      <w:r>
        <w:rPr>
          <w:spacing w:val="-1"/>
        </w:rPr>
        <w:t>where</w:t>
      </w:r>
      <w:r>
        <w:rPr>
          <w:spacing w:val="10"/>
        </w:rPr>
        <w:t xml:space="preserve"> </w:t>
      </w:r>
      <w:r>
        <w:rPr>
          <w:spacing w:val="-1"/>
        </w:rPr>
        <w:t>it</w:t>
      </w:r>
      <w:r>
        <w:rPr>
          <w:spacing w:val="11"/>
        </w:rPr>
        <w:t xml:space="preserve"> </w:t>
      </w:r>
      <w:r>
        <w:rPr>
          <w:spacing w:val="-1"/>
        </w:rPr>
        <w:t>is</w:t>
      </w:r>
      <w:r>
        <w:rPr>
          <w:spacing w:val="10"/>
        </w:rPr>
        <w:t xml:space="preserve"> </w:t>
      </w:r>
      <w:r>
        <w:rPr>
          <w:spacing w:val="-1"/>
        </w:rPr>
        <w:t>reasonable</w:t>
      </w:r>
      <w:r>
        <w:rPr>
          <w:spacing w:val="10"/>
        </w:rPr>
        <w:t xml:space="preserve"> </w:t>
      </w:r>
      <w:r>
        <w:t>to</w:t>
      </w:r>
      <w:r>
        <w:rPr>
          <w:spacing w:val="10"/>
        </w:rPr>
        <w:t xml:space="preserve"> </w:t>
      </w:r>
      <w:r>
        <w:rPr>
          <w:spacing w:val="-1"/>
        </w:rPr>
        <w:t>do</w:t>
      </w:r>
      <w:r>
        <w:rPr>
          <w:spacing w:val="7"/>
        </w:rPr>
        <w:t xml:space="preserve"> </w:t>
      </w:r>
      <w:r>
        <w:rPr>
          <w:spacing w:val="-1"/>
        </w:rPr>
        <w:t>so,</w:t>
      </w:r>
      <w:r>
        <w:rPr>
          <w:spacing w:val="11"/>
        </w:rPr>
        <w:t xml:space="preserve"> </w:t>
      </w:r>
      <w:r>
        <w:rPr>
          <w:spacing w:val="-1"/>
        </w:rPr>
        <w:t>Approve</w:t>
      </w:r>
      <w:r>
        <w:rPr>
          <w:spacing w:val="10"/>
        </w:rPr>
        <w:t xml:space="preserve"> </w:t>
      </w:r>
      <w:r>
        <w:rPr>
          <w:spacing w:val="-1"/>
        </w:rPr>
        <w:t>and</w:t>
      </w:r>
      <w:r>
        <w:rPr>
          <w:spacing w:val="10"/>
        </w:rPr>
        <w:t xml:space="preserve"> </w:t>
      </w:r>
      <w:r>
        <w:rPr>
          <w:spacing w:val="-1"/>
        </w:rPr>
        <w:t>require</w:t>
      </w:r>
      <w:r>
        <w:rPr>
          <w:spacing w:val="5"/>
        </w:rPr>
        <w:t xml:space="preserve"> </w:t>
      </w:r>
      <w:r>
        <w:rPr>
          <w:spacing w:val="-1"/>
        </w:rPr>
        <w:t>changes</w:t>
      </w:r>
      <w:r>
        <w:rPr>
          <w:spacing w:val="43"/>
        </w:rPr>
        <w:t xml:space="preserve"> </w:t>
      </w:r>
      <w:r>
        <w:rPr>
          <w:spacing w:val="-1"/>
        </w:rPr>
        <w:t>or</w:t>
      </w:r>
      <w:r>
        <w:rPr>
          <w:spacing w:val="21"/>
        </w:rPr>
        <w:t xml:space="preserve"> </w:t>
      </w:r>
      <w:r>
        <w:rPr>
          <w:spacing w:val="-1"/>
        </w:rPr>
        <w:t>amendments</w:t>
      </w:r>
      <w:r>
        <w:rPr>
          <w:spacing w:val="20"/>
        </w:rPr>
        <w:t xml:space="preserve"> </w:t>
      </w:r>
      <w:r>
        <w:t>to</w:t>
      </w:r>
      <w:r>
        <w:rPr>
          <w:spacing w:val="19"/>
        </w:rPr>
        <w:t xml:space="preserve"> </w:t>
      </w:r>
      <w:r>
        <w:rPr>
          <w:spacing w:val="-1"/>
        </w:rPr>
        <w:t>the</w:t>
      </w:r>
      <w:r>
        <w:rPr>
          <w:spacing w:val="19"/>
        </w:rPr>
        <w:t xml:space="preserve"> </w:t>
      </w:r>
      <w:r>
        <w:rPr>
          <w:spacing w:val="-2"/>
        </w:rPr>
        <w:t>ISMS</w:t>
      </w:r>
      <w:r>
        <w:rPr>
          <w:spacing w:val="19"/>
        </w:rPr>
        <w:t xml:space="preserve"> </w:t>
      </w:r>
      <w:r>
        <w:rPr>
          <w:spacing w:val="-1"/>
        </w:rPr>
        <w:t>or</w:t>
      </w:r>
      <w:r>
        <w:rPr>
          <w:spacing w:val="21"/>
        </w:rPr>
        <w:t xml:space="preserve"> </w:t>
      </w:r>
      <w:r>
        <w:rPr>
          <w:spacing w:val="-1"/>
        </w:rPr>
        <w:t>Security</w:t>
      </w:r>
      <w:r>
        <w:rPr>
          <w:spacing w:val="20"/>
        </w:rPr>
        <w:t xml:space="preserve"> </w:t>
      </w:r>
      <w:r>
        <w:rPr>
          <w:spacing w:val="-1"/>
        </w:rPr>
        <w:t>Management</w:t>
      </w:r>
      <w:r>
        <w:rPr>
          <w:spacing w:val="21"/>
        </w:rPr>
        <w:t xml:space="preserve"> </w:t>
      </w:r>
      <w:r>
        <w:rPr>
          <w:spacing w:val="-1"/>
        </w:rPr>
        <w:t>Plan</w:t>
      </w:r>
      <w:r>
        <w:rPr>
          <w:spacing w:val="20"/>
        </w:rPr>
        <w:t xml:space="preserve"> </w:t>
      </w:r>
      <w:r>
        <w:t>to</w:t>
      </w:r>
      <w:r>
        <w:rPr>
          <w:spacing w:val="19"/>
        </w:rPr>
        <w:t xml:space="preserve"> </w:t>
      </w:r>
      <w:r>
        <w:rPr>
          <w:spacing w:val="-1"/>
        </w:rPr>
        <w:t>be</w:t>
      </w:r>
      <w:r>
        <w:rPr>
          <w:spacing w:val="20"/>
        </w:rPr>
        <w:t xml:space="preserve"> </w:t>
      </w:r>
      <w:r>
        <w:rPr>
          <w:spacing w:val="-1"/>
        </w:rPr>
        <w:t>implemented</w:t>
      </w:r>
      <w:r>
        <w:rPr>
          <w:spacing w:val="20"/>
        </w:rPr>
        <w:t xml:space="preserve"> </w:t>
      </w:r>
      <w:r>
        <w:rPr>
          <w:spacing w:val="-2"/>
        </w:rPr>
        <w:t>on</w:t>
      </w:r>
      <w:r>
        <w:rPr>
          <w:spacing w:val="33"/>
        </w:rPr>
        <w:t xml:space="preserve"> </w:t>
      </w:r>
      <w:r>
        <w:rPr>
          <w:spacing w:val="-1"/>
        </w:rPr>
        <w:t>timescales</w:t>
      </w:r>
      <w:r>
        <w:rPr>
          <w:spacing w:val="20"/>
        </w:rPr>
        <w:t xml:space="preserve"> </w:t>
      </w:r>
      <w:r>
        <w:rPr>
          <w:spacing w:val="-1"/>
        </w:rPr>
        <w:t>faster</w:t>
      </w:r>
      <w:r>
        <w:rPr>
          <w:spacing w:val="23"/>
        </w:rPr>
        <w:t xml:space="preserve"> </w:t>
      </w:r>
      <w:r>
        <w:rPr>
          <w:spacing w:val="-1"/>
        </w:rPr>
        <w:t>than</w:t>
      </w:r>
      <w:r>
        <w:rPr>
          <w:spacing w:val="22"/>
        </w:rPr>
        <w:t xml:space="preserve"> </w:t>
      </w:r>
      <w:r>
        <w:rPr>
          <w:spacing w:val="-2"/>
        </w:rPr>
        <w:t>set</w:t>
      </w:r>
      <w:r>
        <w:rPr>
          <w:spacing w:val="23"/>
        </w:rPr>
        <w:t xml:space="preserve"> </w:t>
      </w:r>
      <w:r>
        <w:rPr>
          <w:spacing w:val="-1"/>
        </w:rPr>
        <w:t>out</w:t>
      </w:r>
      <w:r>
        <w:rPr>
          <w:spacing w:val="23"/>
        </w:rPr>
        <w:t xml:space="preserve"> </w:t>
      </w:r>
      <w:r>
        <w:rPr>
          <w:spacing w:val="-1"/>
        </w:rPr>
        <w:t>in</w:t>
      </w:r>
      <w:r>
        <w:rPr>
          <w:spacing w:val="20"/>
        </w:rPr>
        <w:t xml:space="preserve"> </w:t>
      </w:r>
      <w:r>
        <w:t>the</w:t>
      </w:r>
      <w:r>
        <w:rPr>
          <w:spacing w:val="22"/>
        </w:rPr>
        <w:t xml:space="preserve"> </w:t>
      </w:r>
      <w:r>
        <w:rPr>
          <w:spacing w:val="-1"/>
        </w:rPr>
        <w:t>Variation</w:t>
      </w:r>
      <w:r>
        <w:rPr>
          <w:spacing w:val="22"/>
        </w:rPr>
        <w:t xml:space="preserve"> </w:t>
      </w:r>
      <w:r>
        <w:rPr>
          <w:spacing w:val="-1"/>
        </w:rPr>
        <w:t>Procedure</w:t>
      </w:r>
      <w:r>
        <w:rPr>
          <w:spacing w:val="22"/>
        </w:rPr>
        <w:t xml:space="preserve"> </w:t>
      </w:r>
      <w:r>
        <w:rPr>
          <w:spacing w:val="-1"/>
        </w:rPr>
        <w:t>but,</w:t>
      </w:r>
      <w:r>
        <w:rPr>
          <w:spacing w:val="23"/>
        </w:rPr>
        <w:t xml:space="preserve"> </w:t>
      </w:r>
      <w:r>
        <w:rPr>
          <w:spacing w:val="-2"/>
        </w:rPr>
        <w:t>without</w:t>
      </w:r>
      <w:r>
        <w:rPr>
          <w:spacing w:val="23"/>
        </w:rPr>
        <w:t xml:space="preserve"> </w:t>
      </w:r>
      <w:r>
        <w:rPr>
          <w:spacing w:val="-1"/>
        </w:rPr>
        <w:t>prejudice</w:t>
      </w:r>
      <w:r>
        <w:rPr>
          <w:spacing w:val="22"/>
        </w:rPr>
        <w:t xml:space="preserve"> </w:t>
      </w:r>
      <w:r>
        <w:t>to</w:t>
      </w:r>
      <w:r>
        <w:rPr>
          <w:spacing w:val="45"/>
        </w:rPr>
        <w:t xml:space="preserve"> </w:t>
      </w:r>
      <w:r>
        <w:rPr>
          <w:spacing w:val="-1"/>
        </w:rPr>
        <w:t>their</w:t>
      </w:r>
      <w:r>
        <w:rPr>
          <w:spacing w:val="2"/>
        </w:rPr>
        <w:t xml:space="preserve"> </w:t>
      </w:r>
      <w:r>
        <w:rPr>
          <w:spacing w:val="-1"/>
        </w:rPr>
        <w:t>effectiveness,</w:t>
      </w:r>
      <w:r>
        <w:rPr>
          <w:spacing w:val="3"/>
        </w:rPr>
        <w:t xml:space="preserve"> </w:t>
      </w:r>
      <w:r>
        <w:rPr>
          <w:spacing w:val="-1"/>
        </w:rPr>
        <w:t>all</w:t>
      </w:r>
      <w:r>
        <w:t xml:space="preserve"> </w:t>
      </w:r>
      <w:r>
        <w:rPr>
          <w:spacing w:val="-2"/>
        </w:rPr>
        <w:t>such</w:t>
      </w:r>
      <w:r>
        <w:rPr>
          <w:spacing w:val="1"/>
        </w:rPr>
        <w:t xml:space="preserve"> </w:t>
      </w:r>
      <w:r>
        <w:rPr>
          <w:spacing w:val="-1"/>
        </w:rPr>
        <w:t>changes</w:t>
      </w:r>
      <w:r>
        <w:rPr>
          <w:spacing w:val="-2"/>
        </w:rPr>
        <w:t xml:space="preserve"> </w:t>
      </w:r>
      <w:r>
        <w:rPr>
          <w:spacing w:val="-1"/>
        </w:rPr>
        <w:t>and</w:t>
      </w:r>
      <w:r>
        <w:t xml:space="preserve"> </w:t>
      </w:r>
      <w:r>
        <w:rPr>
          <w:spacing w:val="-1"/>
        </w:rPr>
        <w:t>amendments</w:t>
      </w:r>
      <w:r>
        <w:rPr>
          <w:spacing w:val="-2"/>
        </w:rPr>
        <w:t xml:space="preserve"> </w:t>
      </w:r>
      <w:r>
        <w:rPr>
          <w:spacing w:val="-1"/>
        </w:rPr>
        <w:t>shall</w:t>
      </w:r>
      <w:r>
        <w:t xml:space="preserve"> </w:t>
      </w:r>
      <w:r>
        <w:rPr>
          <w:spacing w:val="-1"/>
        </w:rPr>
        <w:t>thereafter be</w:t>
      </w:r>
      <w:r>
        <w:rPr>
          <w:spacing w:val="-2"/>
        </w:rPr>
        <w:t xml:space="preserve"> </w:t>
      </w:r>
      <w:r>
        <w:rPr>
          <w:spacing w:val="-1"/>
        </w:rPr>
        <w:t>subject</w:t>
      </w:r>
      <w:r>
        <w:t xml:space="preserve"> to</w:t>
      </w:r>
      <w:r>
        <w:rPr>
          <w:spacing w:val="39"/>
        </w:rPr>
        <w:t xml:space="preserve"> </w:t>
      </w:r>
      <w:r>
        <w:t>the</w:t>
      </w:r>
      <w:r>
        <w:rPr>
          <w:spacing w:val="6"/>
        </w:rPr>
        <w:t xml:space="preserve"> </w:t>
      </w:r>
      <w:r>
        <w:rPr>
          <w:spacing w:val="-1"/>
        </w:rPr>
        <w:t>Variation</w:t>
      </w:r>
      <w:r>
        <w:rPr>
          <w:spacing w:val="6"/>
        </w:rPr>
        <w:t xml:space="preserve"> </w:t>
      </w:r>
      <w:r>
        <w:rPr>
          <w:spacing w:val="-1"/>
        </w:rPr>
        <w:t>Procedure</w:t>
      </w:r>
      <w:r>
        <w:rPr>
          <w:spacing w:val="2"/>
        </w:rPr>
        <w:t xml:space="preserve"> </w:t>
      </w:r>
      <w:r>
        <w:t>for</w:t>
      </w:r>
      <w:r>
        <w:rPr>
          <w:spacing w:val="5"/>
        </w:rPr>
        <w:t xml:space="preserve"> </w:t>
      </w:r>
      <w:r>
        <w:t>the</w:t>
      </w:r>
      <w:r>
        <w:rPr>
          <w:spacing w:val="4"/>
        </w:rPr>
        <w:t xml:space="preserve"> </w:t>
      </w:r>
      <w:r>
        <w:rPr>
          <w:spacing w:val="-1"/>
        </w:rPr>
        <w:t>purposes</w:t>
      </w:r>
      <w:r>
        <w:rPr>
          <w:spacing w:val="7"/>
        </w:rPr>
        <w:t xml:space="preserve"> </w:t>
      </w:r>
      <w:r>
        <w:rPr>
          <w:spacing w:val="-2"/>
        </w:rPr>
        <w:t>of</w:t>
      </w:r>
      <w:r>
        <w:rPr>
          <w:spacing w:val="5"/>
        </w:rPr>
        <w:t xml:space="preserve"> </w:t>
      </w:r>
      <w:r>
        <w:rPr>
          <w:spacing w:val="-1"/>
        </w:rPr>
        <w:t>formalising</w:t>
      </w:r>
      <w:r>
        <w:rPr>
          <w:spacing w:val="6"/>
        </w:rPr>
        <w:t xml:space="preserve"> </w:t>
      </w:r>
      <w:r>
        <w:rPr>
          <w:spacing w:val="-1"/>
        </w:rPr>
        <w:t>and</w:t>
      </w:r>
      <w:r>
        <w:rPr>
          <w:spacing w:val="6"/>
        </w:rPr>
        <w:t xml:space="preserve"> </w:t>
      </w:r>
      <w:r>
        <w:rPr>
          <w:spacing w:val="-2"/>
        </w:rPr>
        <w:t>documenting</w:t>
      </w:r>
      <w:r>
        <w:rPr>
          <w:spacing w:val="6"/>
        </w:rPr>
        <w:t xml:space="preserve"> </w:t>
      </w:r>
      <w:r>
        <w:rPr>
          <w:spacing w:val="-1"/>
        </w:rPr>
        <w:t>the</w:t>
      </w:r>
      <w:r>
        <w:rPr>
          <w:spacing w:val="38"/>
        </w:rPr>
        <w:t xml:space="preserve"> </w:t>
      </w:r>
      <w:r>
        <w:rPr>
          <w:spacing w:val="-2"/>
        </w:rPr>
        <w:t>relevant</w:t>
      </w:r>
      <w:r>
        <w:rPr>
          <w:spacing w:val="2"/>
        </w:rPr>
        <w:t xml:space="preserve"> </w:t>
      </w:r>
      <w:r>
        <w:rPr>
          <w:spacing w:val="-1"/>
        </w:rPr>
        <w:t>change</w:t>
      </w:r>
      <w:r>
        <w:t xml:space="preserve"> </w:t>
      </w:r>
      <w:r>
        <w:rPr>
          <w:spacing w:val="-2"/>
        </w:rPr>
        <w:t>or</w:t>
      </w:r>
      <w:r>
        <w:rPr>
          <w:spacing w:val="2"/>
        </w:rPr>
        <w:t xml:space="preserve"> </w:t>
      </w:r>
      <w:r>
        <w:rPr>
          <w:spacing w:val="-2"/>
        </w:rPr>
        <w:t>amendment</w:t>
      </w:r>
      <w:r>
        <w:rPr>
          <w:spacing w:val="-3"/>
        </w:rPr>
        <w:t xml:space="preserve"> </w:t>
      </w:r>
      <w:r>
        <w:t>for</w:t>
      </w:r>
      <w:r>
        <w:rPr>
          <w:spacing w:val="-1"/>
        </w:rPr>
        <w:t xml:space="preserve"> </w:t>
      </w:r>
      <w:r>
        <w:t xml:space="preserve">the </w:t>
      </w:r>
      <w:r>
        <w:rPr>
          <w:spacing w:val="-1"/>
        </w:rPr>
        <w:t>purposes</w:t>
      </w:r>
      <w:r>
        <w:rPr>
          <w:spacing w:val="-2"/>
        </w:rPr>
        <w:t xml:space="preserve"> of</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Contract.</w:t>
      </w:r>
    </w:p>
    <w:p w:rsidR="008918FA" w:rsidRDefault="008918FA" w:rsidP="008918FA">
      <w:pPr>
        <w:pStyle w:val="BodyText"/>
        <w:numPr>
          <w:ilvl w:val="0"/>
          <w:numId w:val="14"/>
        </w:numPr>
        <w:tabs>
          <w:tab w:val="left" w:pos="467"/>
        </w:tabs>
        <w:spacing w:before="117"/>
        <w:ind w:left="466"/>
        <w:rPr>
          <w:rFonts w:ascii="Times New Roman" w:eastAsia="Times New Roman" w:hAnsi="Times New Roman" w:cs="Times New Roman"/>
        </w:rPr>
      </w:pPr>
      <w:r>
        <w:rPr>
          <w:rFonts w:ascii="Times New Roman"/>
          <w:spacing w:val="4"/>
        </w:rPr>
        <w:t>SECURITY</w:t>
      </w:r>
      <w:r>
        <w:rPr>
          <w:rFonts w:ascii="Times New Roman"/>
          <w:spacing w:val="-4"/>
        </w:rPr>
        <w:t xml:space="preserve"> </w:t>
      </w:r>
      <w:r>
        <w:rPr>
          <w:rFonts w:ascii="Times New Roman"/>
          <w:spacing w:val="2"/>
        </w:rPr>
        <w:t>TES</w:t>
      </w:r>
      <w:r>
        <w:rPr>
          <w:rFonts w:ascii="Times New Roman"/>
          <w:spacing w:val="-29"/>
        </w:rPr>
        <w:t xml:space="preserve"> </w:t>
      </w:r>
      <w:r>
        <w:rPr>
          <w:rFonts w:ascii="Times New Roman"/>
          <w:spacing w:val="-5"/>
        </w:rPr>
        <w:t>TING</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14"/>
        </w:numPr>
        <w:tabs>
          <w:tab w:val="left" w:pos="829"/>
        </w:tabs>
        <w:spacing w:before="0"/>
        <w:ind w:left="828" w:right="112" w:hanging="359"/>
        <w:jc w:val="both"/>
      </w:pPr>
      <w:r>
        <w:t>The</w:t>
      </w:r>
      <w:r>
        <w:rPr>
          <w:spacing w:val="17"/>
        </w:rPr>
        <w:t xml:space="preserve"> </w:t>
      </w:r>
      <w:r>
        <w:rPr>
          <w:spacing w:val="-2"/>
        </w:rPr>
        <w:t>Supplier</w:t>
      </w:r>
      <w:r>
        <w:rPr>
          <w:spacing w:val="16"/>
        </w:rPr>
        <w:t xml:space="preserve"> </w:t>
      </w:r>
      <w:r>
        <w:rPr>
          <w:spacing w:val="-1"/>
        </w:rPr>
        <w:t>shall</w:t>
      </w:r>
      <w:r>
        <w:rPr>
          <w:spacing w:val="17"/>
        </w:rPr>
        <w:t xml:space="preserve"> </w:t>
      </w:r>
      <w:r>
        <w:rPr>
          <w:spacing w:val="-1"/>
        </w:rPr>
        <w:t>conduct</w:t>
      </w:r>
      <w:r>
        <w:rPr>
          <w:spacing w:val="19"/>
        </w:rPr>
        <w:t xml:space="preserve"> </w:t>
      </w:r>
      <w:r>
        <w:rPr>
          <w:spacing w:val="-1"/>
        </w:rPr>
        <w:t>Security</w:t>
      </w:r>
      <w:r>
        <w:rPr>
          <w:spacing w:val="15"/>
        </w:rPr>
        <w:t xml:space="preserve"> </w:t>
      </w:r>
      <w:r>
        <w:rPr>
          <w:spacing w:val="-1"/>
        </w:rPr>
        <w:t>Tests</w:t>
      </w:r>
      <w:r>
        <w:rPr>
          <w:spacing w:val="14"/>
        </w:rPr>
        <w:t xml:space="preserve"> </w:t>
      </w:r>
      <w:r>
        <w:t>from</w:t>
      </w:r>
      <w:r>
        <w:rPr>
          <w:spacing w:val="16"/>
        </w:rPr>
        <w:t xml:space="preserve"> </w:t>
      </w:r>
      <w:r>
        <w:rPr>
          <w:spacing w:val="-1"/>
        </w:rPr>
        <w:t>time</w:t>
      </w:r>
      <w:r>
        <w:rPr>
          <w:spacing w:val="17"/>
        </w:rPr>
        <w:t xml:space="preserve"> </w:t>
      </w:r>
      <w:r>
        <w:t>to</w:t>
      </w:r>
      <w:r>
        <w:rPr>
          <w:spacing w:val="15"/>
        </w:rPr>
        <w:t xml:space="preserve"> </w:t>
      </w:r>
      <w:r>
        <w:rPr>
          <w:spacing w:val="-1"/>
        </w:rPr>
        <w:t>time</w:t>
      </w:r>
      <w:r>
        <w:rPr>
          <w:spacing w:val="15"/>
        </w:rPr>
        <w:t xml:space="preserve"> </w:t>
      </w:r>
      <w:r>
        <w:rPr>
          <w:spacing w:val="-1"/>
        </w:rPr>
        <w:t>(and</w:t>
      </w:r>
      <w:r>
        <w:rPr>
          <w:spacing w:val="15"/>
        </w:rPr>
        <w:t xml:space="preserve"> </w:t>
      </w:r>
      <w:r>
        <w:rPr>
          <w:spacing w:val="-1"/>
        </w:rPr>
        <w:t>at</w:t>
      </w:r>
      <w:r>
        <w:rPr>
          <w:spacing w:val="16"/>
        </w:rPr>
        <w:t xml:space="preserve"> </w:t>
      </w:r>
      <w:r>
        <w:rPr>
          <w:spacing w:val="-1"/>
        </w:rPr>
        <w:t>least</w:t>
      </w:r>
      <w:r>
        <w:rPr>
          <w:spacing w:val="17"/>
        </w:rPr>
        <w:t xml:space="preserve"> </w:t>
      </w:r>
      <w:r>
        <w:rPr>
          <w:spacing w:val="-2"/>
        </w:rPr>
        <w:t>annually</w:t>
      </w:r>
      <w:r>
        <w:rPr>
          <w:spacing w:val="59"/>
        </w:rPr>
        <w:t xml:space="preserve"> </w:t>
      </w:r>
      <w:r>
        <w:rPr>
          <w:spacing w:val="-1"/>
        </w:rPr>
        <w:t>across</w:t>
      </w:r>
      <w:r>
        <w:rPr>
          <w:spacing w:val="11"/>
        </w:rPr>
        <w:t xml:space="preserve"> </w:t>
      </w:r>
      <w:r>
        <w:t>the</w:t>
      </w:r>
      <w:r>
        <w:rPr>
          <w:spacing w:val="12"/>
        </w:rPr>
        <w:t xml:space="preserve"> </w:t>
      </w:r>
      <w:r>
        <w:rPr>
          <w:spacing w:val="-1"/>
        </w:rPr>
        <w:t>scope</w:t>
      </w:r>
      <w:r>
        <w:rPr>
          <w:spacing w:val="12"/>
        </w:rPr>
        <w:t xml:space="preserve"> </w:t>
      </w:r>
      <w:r>
        <w:rPr>
          <w:spacing w:val="-2"/>
        </w:rPr>
        <w:t>of</w:t>
      </w:r>
      <w:r>
        <w:rPr>
          <w:spacing w:val="11"/>
        </w:rPr>
        <w:t xml:space="preserve"> </w:t>
      </w:r>
      <w:r>
        <w:t>the</w:t>
      </w:r>
      <w:r>
        <w:rPr>
          <w:spacing w:val="10"/>
        </w:rPr>
        <w:t xml:space="preserve"> </w:t>
      </w:r>
      <w:r>
        <w:rPr>
          <w:spacing w:val="-1"/>
        </w:rPr>
        <w:t>ISMS)</w:t>
      </w:r>
      <w:r>
        <w:rPr>
          <w:spacing w:val="14"/>
        </w:rPr>
        <w:t xml:space="preserve"> </w:t>
      </w:r>
      <w:r>
        <w:rPr>
          <w:spacing w:val="-1"/>
        </w:rPr>
        <w:t>and</w:t>
      </w:r>
      <w:r>
        <w:rPr>
          <w:spacing w:val="12"/>
        </w:rPr>
        <w:t xml:space="preserve"> </w:t>
      </w:r>
      <w:r>
        <w:rPr>
          <w:spacing w:val="-1"/>
        </w:rPr>
        <w:t>additionally</w:t>
      </w:r>
      <w:r>
        <w:rPr>
          <w:spacing w:val="10"/>
        </w:rPr>
        <w:t xml:space="preserve"> </w:t>
      </w:r>
      <w:r>
        <w:rPr>
          <w:spacing w:val="-1"/>
        </w:rPr>
        <w:t>after</w:t>
      </w:r>
      <w:r>
        <w:rPr>
          <w:spacing w:val="14"/>
        </w:rPr>
        <w:t xml:space="preserve"> </w:t>
      </w:r>
      <w:r>
        <w:rPr>
          <w:spacing w:val="-1"/>
        </w:rPr>
        <w:t>any</w:t>
      </w:r>
      <w:r>
        <w:rPr>
          <w:spacing w:val="10"/>
        </w:rPr>
        <w:t xml:space="preserve"> </w:t>
      </w:r>
      <w:r>
        <w:rPr>
          <w:spacing w:val="-1"/>
        </w:rPr>
        <w:t>change</w:t>
      </w:r>
      <w:r>
        <w:rPr>
          <w:spacing w:val="12"/>
        </w:rPr>
        <w:t xml:space="preserve"> </w:t>
      </w:r>
      <w:r>
        <w:rPr>
          <w:spacing w:val="-2"/>
        </w:rPr>
        <w:t>or</w:t>
      </w:r>
      <w:r>
        <w:rPr>
          <w:spacing w:val="14"/>
        </w:rPr>
        <w:t xml:space="preserve"> </w:t>
      </w:r>
      <w:r>
        <w:rPr>
          <w:spacing w:val="-2"/>
        </w:rPr>
        <w:t>amendment</w:t>
      </w:r>
      <w:r>
        <w:rPr>
          <w:spacing w:val="11"/>
        </w:rPr>
        <w:t xml:space="preserve"> </w:t>
      </w:r>
      <w:r>
        <w:t>to</w:t>
      </w:r>
      <w:r>
        <w:rPr>
          <w:spacing w:val="49"/>
        </w:rPr>
        <w:t xml:space="preserve"> </w:t>
      </w:r>
      <w:r>
        <w:t>the</w:t>
      </w:r>
      <w:r>
        <w:rPr>
          <w:spacing w:val="52"/>
        </w:rPr>
        <w:t xml:space="preserve"> </w:t>
      </w:r>
      <w:r>
        <w:rPr>
          <w:spacing w:val="-1"/>
        </w:rPr>
        <w:t>ISMS</w:t>
      </w:r>
      <w:r>
        <w:rPr>
          <w:spacing w:val="51"/>
        </w:rPr>
        <w:t xml:space="preserve"> </w:t>
      </w:r>
      <w:r>
        <w:rPr>
          <w:spacing w:val="-1"/>
        </w:rPr>
        <w:t>(including</w:t>
      </w:r>
      <w:r>
        <w:rPr>
          <w:spacing w:val="54"/>
        </w:rPr>
        <w:t xml:space="preserve"> </w:t>
      </w:r>
      <w:r>
        <w:rPr>
          <w:spacing w:val="-1"/>
        </w:rPr>
        <w:t>security</w:t>
      </w:r>
      <w:r>
        <w:rPr>
          <w:spacing w:val="50"/>
        </w:rPr>
        <w:t xml:space="preserve"> </w:t>
      </w:r>
      <w:r>
        <w:rPr>
          <w:spacing w:val="-1"/>
        </w:rPr>
        <w:t>incident</w:t>
      </w:r>
      <w:r>
        <w:rPr>
          <w:spacing w:val="53"/>
        </w:rPr>
        <w:t xml:space="preserve"> </w:t>
      </w:r>
      <w:r>
        <w:rPr>
          <w:spacing w:val="-1"/>
        </w:rPr>
        <w:t>management</w:t>
      </w:r>
      <w:r>
        <w:rPr>
          <w:spacing w:val="53"/>
        </w:rPr>
        <w:t xml:space="preserve"> </w:t>
      </w:r>
      <w:r>
        <w:rPr>
          <w:spacing w:val="-1"/>
        </w:rPr>
        <w:t>processes</w:t>
      </w:r>
      <w:r>
        <w:rPr>
          <w:spacing w:val="53"/>
        </w:rPr>
        <w:t xml:space="preserve"> </w:t>
      </w:r>
      <w:r>
        <w:rPr>
          <w:spacing w:val="-1"/>
        </w:rPr>
        <w:t>and</w:t>
      </w:r>
      <w:r>
        <w:rPr>
          <w:spacing w:val="49"/>
        </w:rPr>
        <w:t xml:space="preserve"> </w:t>
      </w:r>
      <w:r>
        <w:rPr>
          <w:spacing w:val="-2"/>
        </w:rPr>
        <w:t>incident</w:t>
      </w:r>
      <w:r>
        <w:rPr>
          <w:spacing w:val="42"/>
        </w:rPr>
        <w:t xml:space="preserve"> </w:t>
      </w:r>
      <w:r>
        <w:rPr>
          <w:spacing w:val="-1"/>
        </w:rPr>
        <w:t>response</w:t>
      </w:r>
      <w:r>
        <w:rPr>
          <w:spacing w:val="14"/>
        </w:rPr>
        <w:t xml:space="preserve"> </w:t>
      </w:r>
      <w:r>
        <w:rPr>
          <w:spacing w:val="-1"/>
        </w:rPr>
        <w:t>plans)</w:t>
      </w:r>
      <w:r>
        <w:rPr>
          <w:spacing w:val="16"/>
        </w:rPr>
        <w:t xml:space="preserve"> </w:t>
      </w:r>
      <w:r>
        <w:rPr>
          <w:spacing w:val="-2"/>
        </w:rPr>
        <w:t>or</w:t>
      </w:r>
      <w:r>
        <w:rPr>
          <w:spacing w:val="15"/>
        </w:rPr>
        <w:t xml:space="preserve"> </w:t>
      </w:r>
      <w:r>
        <w:t>the</w:t>
      </w:r>
      <w:r>
        <w:rPr>
          <w:spacing w:val="11"/>
        </w:rPr>
        <w:t xml:space="preserve"> </w:t>
      </w:r>
      <w:r>
        <w:rPr>
          <w:spacing w:val="-1"/>
        </w:rPr>
        <w:t>Security</w:t>
      </w:r>
      <w:r>
        <w:rPr>
          <w:spacing w:val="14"/>
        </w:rPr>
        <w:t xml:space="preserve"> </w:t>
      </w:r>
      <w:r>
        <w:rPr>
          <w:spacing w:val="-1"/>
        </w:rPr>
        <w:t>Management</w:t>
      </w:r>
      <w:r>
        <w:rPr>
          <w:spacing w:val="13"/>
        </w:rPr>
        <w:t xml:space="preserve"> </w:t>
      </w:r>
      <w:r>
        <w:rPr>
          <w:spacing w:val="-1"/>
        </w:rPr>
        <w:t>Plan.</w:t>
      </w:r>
      <w:r>
        <w:rPr>
          <w:spacing w:val="30"/>
        </w:rPr>
        <w:t xml:space="preserve"> </w:t>
      </w:r>
      <w:r>
        <w:rPr>
          <w:spacing w:val="-1"/>
        </w:rPr>
        <w:t>Security</w:t>
      </w:r>
      <w:r>
        <w:rPr>
          <w:spacing w:val="11"/>
        </w:rPr>
        <w:t xml:space="preserve"> </w:t>
      </w:r>
      <w:r>
        <w:rPr>
          <w:spacing w:val="-1"/>
        </w:rPr>
        <w:t>Tests</w:t>
      </w:r>
      <w:r>
        <w:rPr>
          <w:spacing w:val="12"/>
        </w:rPr>
        <w:t xml:space="preserve"> </w:t>
      </w:r>
      <w:r>
        <w:rPr>
          <w:spacing w:val="-1"/>
        </w:rPr>
        <w:t>shall</w:t>
      </w:r>
      <w:r>
        <w:rPr>
          <w:spacing w:val="13"/>
        </w:rPr>
        <w:t xml:space="preserve"> </w:t>
      </w:r>
      <w:r>
        <w:rPr>
          <w:spacing w:val="-1"/>
        </w:rPr>
        <w:t>be</w:t>
      </w:r>
      <w:r>
        <w:rPr>
          <w:spacing w:val="34"/>
        </w:rPr>
        <w:t xml:space="preserve"> </w:t>
      </w:r>
      <w:r>
        <w:rPr>
          <w:spacing w:val="-1"/>
        </w:rPr>
        <w:t>designed</w:t>
      </w:r>
      <w:r>
        <w:rPr>
          <w:spacing w:val="34"/>
        </w:rPr>
        <w:t xml:space="preserve"> </w:t>
      </w:r>
      <w:r>
        <w:rPr>
          <w:spacing w:val="-1"/>
        </w:rPr>
        <w:t>and</w:t>
      </w:r>
      <w:r>
        <w:rPr>
          <w:spacing w:val="31"/>
        </w:rPr>
        <w:t xml:space="preserve"> </w:t>
      </w:r>
      <w:r>
        <w:rPr>
          <w:spacing w:val="-1"/>
        </w:rPr>
        <w:t>implemented</w:t>
      </w:r>
      <w:r>
        <w:rPr>
          <w:spacing w:val="34"/>
        </w:rPr>
        <w:t xml:space="preserve"> </w:t>
      </w:r>
      <w:r>
        <w:rPr>
          <w:spacing w:val="-1"/>
        </w:rPr>
        <w:t>by</w:t>
      </w:r>
      <w:r>
        <w:rPr>
          <w:spacing w:val="32"/>
        </w:rPr>
        <w:t xml:space="preserve"> </w:t>
      </w:r>
      <w:r>
        <w:t>the</w:t>
      </w:r>
      <w:r>
        <w:rPr>
          <w:spacing w:val="34"/>
        </w:rPr>
        <w:t xml:space="preserve"> </w:t>
      </w:r>
      <w:r>
        <w:rPr>
          <w:spacing w:val="-2"/>
        </w:rPr>
        <w:t>Supplier</w:t>
      </w:r>
      <w:r>
        <w:rPr>
          <w:spacing w:val="33"/>
        </w:rPr>
        <w:t xml:space="preserve"> </w:t>
      </w:r>
      <w:r>
        <w:rPr>
          <w:spacing w:val="-1"/>
        </w:rPr>
        <w:t>so</w:t>
      </w:r>
      <w:r>
        <w:rPr>
          <w:spacing w:val="33"/>
        </w:rPr>
        <w:t xml:space="preserve"> </w:t>
      </w:r>
      <w:r>
        <w:rPr>
          <w:spacing w:val="-1"/>
        </w:rPr>
        <w:t>as</w:t>
      </w:r>
      <w:r>
        <w:rPr>
          <w:spacing w:val="34"/>
        </w:rPr>
        <w:t xml:space="preserve"> </w:t>
      </w:r>
      <w:r>
        <w:t>to</w:t>
      </w:r>
      <w:r>
        <w:rPr>
          <w:spacing w:val="31"/>
        </w:rPr>
        <w:t xml:space="preserve"> </w:t>
      </w:r>
      <w:r>
        <w:rPr>
          <w:spacing w:val="-1"/>
        </w:rPr>
        <w:t>minimise</w:t>
      </w:r>
      <w:r>
        <w:rPr>
          <w:spacing w:val="32"/>
        </w:rPr>
        <w:t xml:space="preserve"> </w:t>
      </w:r>
      <w:r>
        <w:t>the</w:t>
      </w:r>
      <w:r>
        <w:rPr>
          <w:spacing w:val="34"/>
        </w:rPr>
        <w:t xml:space="preserve"> </w:t>
      </w:r>
      <w:r>
        <w:rPr>
          <w:spacing w:val="-2"/>
        </w:rPr>
        <w:t>impact</w:t>
      </w:r>
      <w:r>
        <w:rPr>
          <w:spacing w:val="36"/>
        </w:rPr>
        <w:t xml:space="preserve"> </w:t>
      </w:r>
      <w:r>
        <w:rPr>
          <w:spacing w:val="-1"/>
        </w:rPr>
        <w:t>on</w:t>
      </w:r>
      <w:r>
        <w:rPr>
          <w:spacing w:val="32"/>
        </w:rPr>
        <w:t xml:space="preserve"> </w:t>
      </w:r>
      <w:r>
        <w:rPr>
          <w:spacing w:val="-1"/>
        </w:rPr>
        <w:t>the</w:t>
      </w:r>
      <w:r>
        <w:rPr>
          <w:spacing w:val="49"/>
        </w:rPr>
        <w:t xml:space="preserve"> </w:t>
      </w:r>
      <w:r>
        <w:rPr>
          <w:spacing w:val="-1"/>
        </w:rPr>
        <w:t>delivery</w:t>
      </w:r>
      <w:r>
        <w:rPr>
          <w:spacing w:val="5"/>
        </w:rPr>
        <w:t xml:space="preserve"> </w:t>
      </w:r>
      <w:r>
        <w:rPr>
          <w:spacing w:val="-1"/>
        </w:rPr>
        <w:t>of</w:t>
      </w:r>
      <w:r>
        <w:rPr>
          <w:spacing w:val="11"/>
        </w:rPr>
        <w:t xml:space="preserve"> </w:t>
      </w:r>
      <w:r>
        <w:t>the</w:t>
      </w:r>
      <w:r>
        <w:rPr>
          <w:spacing w:val="5"/>
        </w:rPr>
        <w:t xml:space="preserve"> </w:t>
      </w:r>
      <w:r>
        <w:rPr>
          <w:spacing w:val="-1"/>
        </w:rPr>
        <w:t>Goods</w:t>
      </w:r>
      <w:r>
        <w:rPr>
          <w:spacing w:val="8"/>
        </w:rPr>
        <w:t xml:space="preserve"> </w:t>
      </w:r>
      <w:r>
        <w:rPr>
          <w:spacing w:val="-1"/>
        </w:rPr>
        <w:t>and/or</w:t>
      </w:r>
      <w:r>
        <w:rPr>
          <w:spacing w:val="9"/>
        </w:rPr>
        <w:t xml:space="preserve"> </w:t>
      </w:r>
      <w:r>
        <w:rPr>
          <w:spacing w:val="-1"/>
        </w:rPr>
        <w:t>Services</w:t>
      </w:r>
      <w:r>
        <w:rPr>
          <w:spacing w:val="8"/>
        </w:rPr>
        <w:t xml:space="preserve"> </w:t>
      </w:r>
      <w:r>
        <w:rPr>
          <w:spacing w:val="-1"/>
        </w:rPr>
        <w:t>and</w:t>
      </w:r>
      <w:r>
        <w:rPr>
          <w:spacing w:val="7"/>
        </w:rPr>
        <w:t xml:space="preserve"> </w:t>
      </w:r>
      <w:r>
        <w:t>the</w:t>
      </w:r>
      <w:r>
        <w:rPr>
          <w:spacing w:val="7"/>
        </w:rPr>
        <w:t xml:space="preserve"> </w:t>
      </w:r>
      <w:r>
        <w:rPr>
          <w:spacing w:val="-1"/>
        </w:rPr>
        <w:t>date,</w:t>
      </w:r>
      <w:r>
        <w:rPr>
          <w:spacing w:val="7"/>
        </w:rPr>
        <w:t xml:space="preserve"> </w:t>
      </w:r>
      <w:r>
        <w:rPr>
          <w:spacing w:val="-1"/>
        </w:rPr>
        <w:t>timing,</w:t>
      </w:r>
      <w:r>
        <w:rPr>
          <w:spacing w:val="9"/>
        </w:rPr>
        <w:t xml:space="preserve"> </w:t>
      </w:r>
      <w:r>
        <w:rPr>
          <w:spacing w:val="-1"/>
        </w:rPr>
        <w:t>content</w:t>
      </w:r>
      <w:r>
        <w:rPr>
          <w:spacing w:val="9"/>
        </w:rPr>
        <w:t xml:space="preserve"> </w:t>
      </w:r>
      <w:r>
        <w:rPr>
          <w:spacing w:val="-1"/>
        </w:rPr>
        <w:t>and</w:t>
      </w:r>
      <w:r>
        <w:rPr>
          <w:spacing w:val="7"/>
        </w:rPr>
        <w:t xml:space="preserve"> </w:t>
      </w:r>
      <w:r>
        <w:rPr>
          <w:spacing w:val="-2"/>
        </w:rPr>
        <w:t>conduct</w:t>
      </w:r>
      <w:r>
        <w:rPr>
          <w:spacing w:val="7"/>
        </w:rPr>
        <w:t xml:space="preserve"> </w:t>
      </w:r>
      <w:r>
        <w:rPr>
          <w:spacing w:val="-2"/>
        </w:rPr>
        <w:t>of</w:t>
      </w:r>
      <w:r>
        <w:rPr>
          <w:spacing w:val="41"/>
        </w:rPr>
        <w:t xml:space="preserve"> </w:t>
      </w:r>
      <w:r>
        <w:rPr>
          <w:spacing w:val="-1"/>
        </w:rPr>
        <w:t>such</w:t>
      </w:r>
      <w:r>
        <w:rPr>
          <w:spacing w:val="39"/>
        </w:rPr>
        <w:t xml:space="preserve"> </w:t>
      </w:r>
      <w:r>
        <w:rPr>
          <w:spacing w:val="-1"/>
        </w:rPr>
        <w:t>Security</w:t>
      </w:r>
      <w:r>
        <w:rPr>
          <w:spacing w:val="37"/>
        </w:rPr>
        <w:t xml:space="preserve"> </w:t>
      </w:r>
      <w:r>
        <w:rPr>
          <w:spacing w:val="-1"/>
        </w:rPr>
        <w:t>Tests</w:t>
      </w:r>
      <w:r>
        <w:rPr>
          <w:spacing w:val="39"/>
        </w:rPr>
        <w:t xml:space="preserve"> </w:t>
      </w:r>
      <w:r>
        <w:rPr>
          <w:spacing w:val="-2"/>
        </w:rPr>
        <w:t>shall</w:t>
      </w:r>
      <w:r>
        <w:rPr>
          <w:spacing w:val="38"/>
        </w:rPr>
        <w:t xml:space="preserve"> </w:t>
      </w:r>
      <w:r>
        <w:rPr>
          <w:spacing w:val="-1"/>
        </w:rPr>
        <w:t>be</w:t>
      </w:r>
      <w:r>
        <w:rPr>
          <w:spacing w:val="39"/>
        </w:rPr>
        <w:t xml:space="preserve"> </w:t>
      </w:r>
      <w:r>
        <w:rPr>
          <w:spacing w:val="-1"/>
        </w:rPr>
        <w:t>agreed</w:t>
      </w:r>
      <w:r>
        <w:rPr>
          <w:spacing w:val="38"/>
        </w:rPr>
        <w:t xml:space="preserve"> </w:t>
      </w:r>
      <w:r>
        <w:rPr>
          <w:spacing w:val="-1"/>
        </w:rPr>
        <w:t>in</w:t>
      </w:r>
      <w:r>
        <w:rPr>
          <w:spacing w:val="39"/>
        </w:rPr>
        <w:t xml:space="preserve"> </w:t>
      </w:r>
      <w:r>
        <w:rPr>
          <w:spacing w:val="-2"/>
        </w:rPr>
        <w:t>advance</w:t>
      </w:r>
      <w:r>
        <w:rPr>
          <w:spacing w:val="39"/>
        </w:rPr>
        <w:t xml:space="preserve"> </w:t>
      </w:r>
      <w:r>
        <w:rPr>
          <w:spacing w:val="-1"/>
        </w:rPr>
        <w:t>with</w:t>
      </w:r>
      <w:r>
        <w:rPr>
          <w:spacing w:val="39"/>
        </w:rPr>
        <w:t xml:space="preserve"> </w:t>
      </w:r>
      <w:r>
        <w:t>the</w:t>
      </w:r>
      <w:r>
        <w:rPr>
          <w:spacing w:val="38"/>
        </w:rPr>
        <w:t xml:space="preserve"> </w:t>
      </w:r>
      <w:r>
        <w:rPr>
          <w:spacing w:val="-1"/>
        </w:rPr>
        <w:t>Customer.</w:t>
      </w:r>
      <w:r>
        <w:rPr>
          <w:spacing w:val="19"/>
        </w:rPr>
        <w:t xml:space="preserve"> </w:t>
      </w:r>
      <w:r>
        <w:rPr>
          <w:spacing w:val="-1"/>
        </w:rPr>
        <w:t>Subject</w:t>
      </w:r>
      <w:r>
        <w:rPr>
          <w:spacing w:val="38"/>
        </w:rPr>
        <w:t xml:space="preserve"> </w:t>
      </w:r>
      <w:r>
        <w:t>to</w:t>
      </w:r>
      <w:r>
        <w:rPr>
          <w:spacing w:val="55"/>
        </w:rPr>
        <w:t xml:space="preserve"> </w:t>
      </w:r>
      <w:r>
        <w:rPr>
          <w:spacing w:val="-1"/>
        </w:rPr>
        <w:t>compliance</w:t>
      </w:r>
      <w:r>
        <w:rPr>
          <w:spacing w:val="20"/>
        </w:rPr>
        <w:t xml:space="preserve"> </w:t>
      </w:r>
      <w:r>
        <w:rPr>
          <w:spacing w:val="-1"/>
        </w:rPr>
        <w:t>by</w:t>
      </w:r>
      <w:r>
        <w:rPr>
          <w:spacing w:val="18"/>
        </w:rPr>
        <w:t xml:space="preserve"> </w:t>
      </w:r>
      <w:r>
        <w:t>the</w:t>
      </w:r>
      <w:r>
        <w:rPr>
          <w:spacing w:val="20"/>
        </w:rPr>
        <w:t xml:space="preserve"> </w:t>
      </w:r>
      <w:r>
        <w:rPr>
          <w:spacing w:val="-1"/>
        </w:rPr>
        <w:t>Supplier</w:t>
      </w:r>
      <w:r>
        <w:rPr>
          <w:spacing w:val="23"/>
        </w:rPr>
        <w:t xml:space="preserve"> </w:t>
      </w:r>
      <w:r>
        <w:rPr>
          <w:spacing w:val="-2"/>
        </w:rPr>
        <w:t>with</w:t>
      </w:r>
      <w:r>
        <w:rPr>
          <w:spacing w:val="20"/>
        </w:rPr>
        <w:t xml:space="preserve"> </w:t>
      </w:r>
      <w:r>
        <w:t>the</w:t>
      </w:r>
      <w:r>
        <w:rPr>
          <w:spacing w:val="19"/>
        </w:rPr>
        <w:t xml:space="preserve"> </w:t>
      </w:r>
      <w:r>
        <w:rPr>
          <w:spacing w:val="-1"/>
        </w:rPr>
        <w:t>foregoing</w:t>
      </w:r>
      <w:r>
        <w:rPr>
          <w:spacing w:val="22"/>
        </w:rPr>
        <w:t xml:space="preserve"> </w:t>
      </w:r>
      <w:r>
        <w:rPr>
          <w:spacing w:val="-1"/>
        </w:rPr>
        <w:t>requirements,</w:t>
      </w:r>
      <w:r>
        <w:rPr>
          <w:spacing w:val="22"/>
        </w:rPr>
        <w:t xml:space="preserve"> </w:t>
      </w:r>
      <w:r>
        <w:rPr>
          <w:spacing w:val="-2"/>
        </w:rPr>
        <w:t>if</w:t>
      </w:r>
      <w:r>
        <w:rPr>
          <w:spacing w:val="23"/>
        </w:rPr>
        <w:t xml:space="preserve"> </w:t>
      </w:r>
      <w:r>
        <w:rPr>
          <w:spacing w:val="-1"/>
        </w:rPr>
        <w:t>any</w:t>
      </w:r>
      <w:r>
        <w:rPr>
          <w:spacing w:val="18"/>
        </w:rPr>
        <w:t xml:space="preserve"> </w:t>
      </w:r>
      <w:r>
        <w:rPr>
          <w:spacing w:val="-1"/>
        </w:rPr>
        <w:t>Security</w:t>
      </w:r>
      <w:r>
        <w:rPr>
          <w:spacing w:val="18"/>
        </w:rPr>
        <w:t xml:space="preserve"> </w:t>
      </w:r>
      <w:r>
        <w:t>Tests</w:t>
      </w:r>
      <w:r>
        <w:rPr>
          <w:spacing w:val="35"/>
        </w:rPr>
        <w:t xml:space="preserve"> </w:t>
      </w:r>
      <w:r>
        <w:rPr>
          <w:spacing w:val="-1"/>
        </w:rPr>
        <w:t>adversely</w:t>
      </w:r>
      <w:r>
        <w:rPr>
          <w:spacing w:val="5"/>
        </w:rPr>
        <w:t xml:space="preserve"> </w:t>
      </w:r>
      <w:r>
        <w:t>affect</w:t>
      </w:r>
      <w:r>
        <w:rPr>
          <w:spacing w:val="7"/>
        </w:rPr>
        <w:t xml:space="preserve"> </w:t>
      </w:r>
      <w:r>
        <w:t>the</w:t>
      </w:r>
      <w:r>
        <w:rPr>
          <w:spacing w:val="7"/>
        </w:rPr>
        <w:t xml:space="preserve"> </w:t>
      </w:r>
      <w:r>
        <w:rPr>
          <w:spacing w:val="-2"/>
        </w:rPr>
        <w:t>Supplier’s</w:t>
      </w:r>
      <w:r>
        <w:rPr>
          <w:spacing w:val="8"/>
        </w:rPr>
        <w:t xml:space="preserve"> </w:t>
      </w:r>
      <w:r>
        <w:rPr>
          <w:spacing w:val="-1"/>
        </w:rPr>
        <w:t>ability</w:t>
      </w:r>
      <w:r>
        <w:rPr>
          <w:spacing w:val="5"/>
        </w:rPr>
        <w:t xml:space="preserve"> </w:t>
      </w:r>
      <w:r>
        <w:t>to</w:t>
      </w:r>
      <w:r>
        <w:rPr>
          <w:spacing w:val="7"/>
        </w:rPr>
        <w:t xml:space="preserve"> </w:t>
      </w:r>
      <w:r>
        <w:rPr>
          <w:spacing w:val="-1"/>
        </w:rPr>
        <w:t>deliver</w:t>
      </w:r>
      <w:r>
        <w:rPr>
          <w:spacing w:val="9"/>
        </w:rPr>
        <w:t xml:space="preserve"> </w:t>
      </w:r>
      <w:r>
        <w:t>the</w:t>
      </w:r>
      <w:r>
        <w:rPr>
          <w:spacing w:val="7"/>
        </w:rPr>
        <w:t xml:space="preserve"> </w:t>
      </w:r>
      <w:r>
        <w:rPr>
          <w:spacing w:val="-1"/>
        </w:rPr>
        <w:t>Goods</w:t>
      </w:r>
      <w:r>
        <w:rPr>
          <w:spacing w:val="8"/>
        </w:rPr>
        <w:t xml:space="preserve"> </w:t>
      </w:r>
      <w:r>
        <w:rPr>
          <w:spacing w:val="-1"/>
        </w:rPr>
        <w:t>and/or</w:t>
      </w:r>
      <w:r>
        <w:rPr>
          <w:spacing w:val="9"/>
        </w:rPr>
        <w:t xml:space="preserve"> </w:t>
      </w:r>
      <w:r>
        <w:rPr>
          <w:spacing w:val="-1"/>
        </w:rPr>
        <w:t>Services</w:t>
      </w:r>
      <w:r>
        <w:rPr>
          <w:spacing w:val="8"/>
        </w:rPr>
        <w:t xml:space="preserve"> </w:t>
      </w:r>
      <w:r>
        <w:rPr>
          <w:spacing w:val="-1"/>
        </w:rPr>
        <w:t>so</w:t>
      </w:r>
      <w:r>
        <w:rPr>
          <w:spacing w:val="8"/>
        </w:rPr>
        <w:t xml:space="preserve"> </w:t>
      </w:r>
      <w:r>
        <w:rPr>
          <w:spacing w:val="-1"/>
        </w:rPr>
        <w:t>as</w:t>
      </w:r>
      <w:r>
        <w:rPr>
          <w:spacing w:val="8"/>
        </w:rPr>
        <w:t xml:space="preserve"> </w:t>
      </w:r>
      <w:r>
        <w:t>to</w:t>
      </w:r>
      <w:r>
        <w:rPr>
          <w:spacing w:val="39"/>
        </w:rPr>
        <w:t xml:space="preserve"> </w:t>
      </w:r>
      <w:r>
        <w:rPr>
          <w:spacing w:val="-1"/>
        </w:rPr>
        <w:t>meet</w:t>
      </w:r>
      <w:r>
        <w:rPr>
          <w:spacing w:val="7"/>
        </w:rPr>
        <w:t xml:space="preserve"> </w:t>
      </w:r>
      <w:r>
        <w:t>the</w:t>
      </w:r>
      <w:r>
        <w:rPr>
          <w:spacing w:val="5"/>
        </w:rPr>
        <w:t xml:space="preserve"> </w:t>
      </w:r>
      <w:r>
        <w:rPr>
          <w:spacing w:val="-2"/>
        </w:rPr>
        <w:t>Service</w:t>
      </w:r>
      <w:r>
        <w:rPr>
          <w:spacing w:val="5"/>
        </w:rPr>
        <w:t xml:space="preserve"> </w:t>
      </w:r>
      <w:r>
        <w:rPr>
          <w:spacing w:val="-2"/>
        </w:rPr>
        <w:t>Level</w:t>
      </w:r>
      <w:r>
        <w:rPr>
          <w:spacing w:val="7"/>
        </w:rPr>
        <w:t xml:space="preserve"> </w:t>
      </w:r>
      <w:r>
        <w:rPr>
          <w:spacing w:val="-1"/>
        </w:rPr>
        <w:t>Performance</w:t>
      </w:r>
      <w:r>
        <w:rPr>
          <w:spacing w:val="5"/>
        </w:rPr>
        <w:t xml:space="preserve"> </w:t>
      </w:r>
      <w:r>
        <w:rPr>
          <w:spacing w:val="-1"/>
        </w:rPr>
        <w:t>Measures,</w:t>
      </w:r>
      <w:r>
        <w:rPr>
          <w:spacing w:val="5"/>
        </w:rPr>
        <w:t xml:space="preserve"> </w:t>
      </w:r>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1"/>
        </w:rPr>
        <w:t>be</w:t>
      </w:r>
      <w:r>
        <w:rPr>
          <w:spacing w:val="7"/>
        </w:rPr>
        <w:t xml:space="preserve"> </w:t>
      </w:r>
      <w:r>
        <w:rPr>
          <w:spacing w:val="-1"/>
        </w:rPr>
        <w:t>granted</w:t>
      </w:r>
      <w:r>
        <w:rPr>
          <w:spacing w:val="5"/>
        </w:rPr>
        <w:t xml:space="preserve"> </w:t>
      </w:r>
      <w:r>
        <w:rPr>
          <w:spacing w:val="-2"/>
        </w:rPr>
        <w:t>relief</w:t>
      </w:r>
      <w:r>
        <w:rPr>
          <w:spacing w:val="69"/>
        </w:rPr>
        <w:t xml:space="preserve"> </w:t>
      </w:r>
      <w:r>
        <w:rPr>
          <w:spacing w:val="-1"/>
        </w:rPr>
        <w:t>against</w:t>
      </w:r>
      <w:r>
        <w:t xml:space="preserve"> </w:t>
      </w:r>
      <w:r>
        <w:rPr>
          <w:spacing w:val="-1"/>
        </w:rPr>
        <w:t>any</w:t>
      </w:r>
      <w:r>
        <w:rPr>
          <w:spacing w:val="-2"/>
        </w:rPr>
        <w:t xml:space="preserve"> </w:t>
      </w:r>
      <w:r>
        <w:rPr>
          <w:spacing w:val="-1"/>
        </w:rPr>
        <w:t>resultant</w:t>
      </w:r>
      <w:r>
        <w:t xml:space="preserve"> </w:t>
      </w:r>
      <w:r>
        <w:rPr>
          <w:spacing w:val="-1"/>
        </w:rPr>
        <w:t>under-performance</w:t>
      </w:r>
      <w:r>
        <w:rPr>
          <w:spacing w:val="-4"/>
        </w:rPr>
        <w:t xml:space="preserve"> </w:t>
      </w:r>
      <w:r>
        <w:t>for</w:t>
      </w:r>
      <w:r>
        <w:rPr>
          <w:spacing w:val="-1"/>
        </w:rPr>
        <w:t xml:space="preserve"> </w:t>
      </w:r>
      <w:r>
        <w:t>the</w:t>
      </w:r>
      <w:r>
        <w:rPr>
          <w:spacing w:val="-4"/>
        </w:rPr>
        <w:t xml:space="preserve"> </w:t>
      </w:r>
      <w:r>
        <w:rPr>
          <w:spacing w:val="-1"/>
        </w:rPr>
        <w:t>period</w:t>
      </w:r>
      <w:r>
        <w:t xml:space="preserve"> </w:t>
      </w:r>
      <w:r>
        <w:rPr>
          <w:spacing w:val="-2"/>
        </w:rPr>
        <w:t>of</w:t>
      </w:r>
      <w:r>
        <w:rPr>
          <w:spacing w:val="2"/>
        </w:rPr>
        <w:t xml:space="preserve"> </w:t>
      </w:r>
      <w:r>
        <w:t>the</w:t>
      </w:r>
      <w:r>
        <w:rPr>
          <w:spacing w:val="-2"/>
        </w:rPr>
        <w:t xml:space="preserve"> </w:t>
      </w:r>
      <w:r>
        <w:rPr>
          <w:spacing w:val="-1"/>
        </w:rPr>
        <w:t>Security</w:t>
      </w:r>
      <w:r>
        <w:rPr>
          <w:spacing w:val="-2"/>
        </w:rPr>
        <w:t xml:space="preserve"> </w:t>
      </w:r>
      <w:r>
        <w:rPr>
          <w:spacing w:val="-1"/>
        </w:rPr>
        <w:t>Tests.</w:t>
      </w:r>
    </w:p>
    <w:p w:rsidR="008918FA" w:rsidRDefault="008918FA" w:rsidP="008918FA">
      <w:pPr>
        <w:pStyle w:val="BodyText"/>
        <w:numPr>
          <w:ilvl w:val="1"/>
          <w:numId w:val="14"/>
        </w:numPr>
        <w:tabs>
          <w:tab w:val="left" w:pos="829"/>
        </w:tabs>
        <w:spacing w:before="121"/>
        <w:ind w:left="828" w:right="112" w:hanging="359"/>
        <w:jc w:val="both"/>
      </w:pPr>
      <w:bookmarkStart w:id="421" w:name="_bookmark344"/>
      <w:bookmarkEnd w:id="421"/>
      <w:r>
        <w:t>The</w:t>
      </w:r>
      <w:r>
        <w:rPr>
          <w:spacing w:val="17"/>
        </w:rPr>
        <w:t xml:space="preserve"> </w:t>
      </w:r>
      <w:r>
        <w:rPr>
          <w:spacing w:val="-2"/>
        </w:rPr>
        <w:t>Customer</w:t>
      </w:r>
      <w:r>
        <w:rPr>
          <w:spacing w:val="19"/>
        </w:rPr>
        <w:t xml:space="preserve"> </w:t>
      </w:r>
      <w:r>
        <w:rPr>
          <w:spacing w:val="-1"/>
        </w:rPr>
        <w:t>shall</w:t>
      </w:r>
      <w:r>
        <w:rPr>
          <w:spacing w:val="17"/>
        </w:rPr>
        <w:t xml:space="preserve"> </w:t>
      </w:r>
      <w:r>
        <w:rPr>
          <w:spacing w:val="-1"/>
        </w:rPr>
        <w:t>be</w:t>
      </w:r>
      <w:r>
        <w:rPr>
          <w:spacing w:val="17"/>
        </w:rPr>
        <w:t xml:space="preserve"> </w:t>
      </w:r>
      <w:r>
        <w:rPr>
          <w:spacing w:val="-1"/>
        </w:rPr>
        <w:t>entitled</w:t>
      </w:r>
      <w:r>
        <w:rPr>
          <w:spacing w:val="17"/>
        </w:rPr>
        <w:t xml:space="preserve"> </w:t>
      </w:r>
      <w:r>
        <w:t>to</w:t>
      </w:r>
      <w:r>
        <w:rPr>
          <w:spacing w:val="17"/>
        </w:rPr>
        <w:t xml:space="preserve"> </w:t>
      </w:r>
      <w:r>
        <w:rPr>
          <w:spacing w:val="-1"/>
        </w:rPr>
        <w:t>send</w:t>
      </w:r>
      <w:r>
        <w:rPr>
          <w:spacing w:val="17"/>
        </w:rPr>
        <w:t xml:space="preserve"> </w:t>
      </w:r>
      <w:r>
        <w:t>a</w:t>
      </w:r>
      <w:r>
        <w:rPr>
          <w:spacing w:val="15"/>
        </w:rPr>
        <w:t xml:space="preserve"> </w:t>
      </w:r>
      <w:r>
        <w:rPr>
          <w:spacing w:val="-1"/>
        </w:rPr>
        <w:t>representative</w:t>
      </w:r>
      <w:r>
        <w:rPr>
          <w:spacing w:val="17"/>
        </w:rPr>
        <w:t xml:space="preserve"> </w:t>
      </w:r>
      <w:r>
        <w:t>to</w:t>
      </w:r>
      <w:r>
        <w:rPr>
          <w:spacing w:val="17"/>
        </w:rPr>
        <w:t xml:space="preserve"> </w:t>
      </w:r>
      <w:r>
        <w:rPr>
          <w:spacing w:val="-2"/>
        </w:rPr>
        <w:t>witness</w:t>
      </w:r>
      <w:r>
        <w:rPr>
          <w:spacing w:val="18"/>
        </w:rPr>
        <w:t xml:space="preserve"> </w:t>
      </w:r>
      <w:r>
        <w:t>the</w:t>
      </w:r>
      <w:r>
        <w:rPr>
          <w:spacing w:val="17"/>
        </w:rPr>
        <w:t xml:space="preserve"> </w:t>
      </w:r>
      <w:r>
        <w:rPr>
          <w:spacing w:val="-2"/>
        </w:rPr>
        <w:t>conduct</w:t>
      </w:r>
      <w:r>
        <w:rPr>
          <w:spacing w:val="17"/>
        </w:rPr>
        <w:t xml:space="preserve"> </w:t>
      </w:r>
      <w:r>
        <w:rPr>
          <w:spacing w:val="-2"/>
        </w:rPr>
        <w:t>of</w:t>
      </w:r>
      <w:r>
        <w:rPr>
          <w:spacing w:val="65"/>
        </w:rPr>
        <w:t xml:space="preserve"> </w:t>
      </w:r>
      <w:r>
        <w:t xml:space="preserve">the </w:t>
      </w:r>
      <w:r>
        <w:rPr>
          <w:spacing w:val="-1"/>
        </w:rPr>
        <w:t>Security</w:t>
      </w:r>
      <w:r>
        <w:rPr>
          <w:spacing w:val="-4"/>
        </w:rPr>
        <w:t xml:space="preserve"> </w:t>
      </w:r>
      <w:r>
        <w:rPr>
          <w:spacing w:val="-1"/>
        </w:rPr>
        <w:t>Tests.</w:t>
      </w:r>
      <w:r>
        <w:t xml:space="preserve"> The</w:t>
      </w:r>
      <w:r>
        <w:rPr>
          <w:spacing w:val="-2"/>
        </w:rPr>
        <w:t xml:space="preserve"> Supplier</w:t>
      </w:r>
      <w:r>
        <w:rPr>
          <w:spacing w:val="2"/>
        </w:rPr>
        <w:t xml:space="preserve"> </w:t>
      </w:r>
      <w:r>
        <w:rPr>
          <w:spacing w:val="-1"/>
        </w:rPr>
        <w:t>shall</w:t>
      </w:r>
      <w:r>
        <w:t xml:space="preserve"> </w:t>
      </w:r>
      <w:r>
        <w:rPr>
          <w:spacing w:val="-2"/>
        </w:rPr>
        <w:t>provide</w:t>
      </w:r>
      <w:r>
        <w:t xml:space="preserve"> </w:t>
      </w:r>
      <w:r>
        <w:rPr>
          <w:spacing w:val="1"/>
        </w:rPr>
        <w:t>the</w:t>
      </w:r>
      <w:r>
        <w:t xml:space="preserve"> </w:t>
      </w:r>
      <w:r>
        <w:rPr>
          <w:spacing w:val="-1"/>
        </w:rPr>
        <w:t>Customer</w:t>
      </w:r>
      <w:r>
        <w:rPr>
          <w:spacing w:val="2"/>
        </w:rPr>
        <w:t xml:space="preserve"> </w:t>
      </w:r>
      <w:r>
        <w:rPr>
          <w:spacing w:val="-2"/>
        </w:rPr>
        <w:t>with</w:t>
      </w:r>
      <w:r>
        <w:t xml:space="preserve"> the </w:t>
      </w:r>
      <w:r>
        <w:rPr>
          <w:spacing w:val="-1"/>
        </w:rPr>
        <w:t>results</w:t>
      </w:r>
      <w:r>
        <w:rPr>
          <w:spacing w:val="1"/>
        </w:rPr>
        <w:t xml:space="preserve"> </w:t>
      </w:r>
      <w:r>
        <w:rPr>
          <w:spacing w:val="-2"/>
        </w:rPr>
        <w:t>of</w:t>
      </w:r>
      <w:r>
        <w:rPr>
          <w:spacing w:val="4"/>
        </w:rPr>
        <w:t xml:space="preserve"> </w:t>
      </w:r>
      <w:r>
        <w:rPr>
          <w:spacing w:val="-1"/>
        </w:rPr>
        <w:t>such</w:t>
      </w:r>
      <w:r>
        <w:rPr>
          <w:spacing w:val="55"/>
        </w:rPr>
        <w:t xml:space="preserve"> </w:t>
      </w:r>
      <w:r>
        <w:rPr>
          <w:spacing w:val="-1"/>
        </w:rPr>
        <w:t>Security</w:t>
      </w:r>
      <w:r>
        <w:rPr>
          <w:spacing w:val="56"/>
        </w:rPr>
        <w:t xml:space="preserve"> </w:t>
      </w:r>
      <w:r>
        <w:rPr>
          <w:spacing w:val="-1"/>
        </w:rPr>
        <w:t>Tests</w:t>
      </w:r>
      <w:r>
        <w:rPr>
          <w:spacing w:val="58"/>
        </w:rPr>
        <w:t xml:space="preserve"> </w:t>
      </w:r>
      <w:r>
        <w:rPr>
          <w:spacing w:val="-1"/>
        </w:rPr>
        <w:t>(in</w:t>
      </w:r>
      <w:r>
        <w:rPr>
          <w:spacing w:val="58"/>
        </w:rPr>
        <w:t xml:space="preserve"> </w:t>
      </w:r>
      <w:r>
        <w:t>a</w:t>
      </w:r>
      <w:r>
        <w:rPr>
          <w:spacing w:val="55"/>
        </w:rPr>
        <w:t xml:space="preserve"> </w:t>
      </w:r>
      <w:r>
        <w:rPr>
          <w:spacing w:val="-1"/>
        </w:rPr>
        <w:t>form</w:t>
      </w:r>
      <w:r>
        <w:rPr>
          <w:spacing w:val="59"/>
        </w:rPr>
        <w:t xml:space="preserve"> </w:t>
      </w:r>
      <w:r>
        <w:rPr>
          <w:spacing w:val="-1"/>
        </w:rPr>
        <w:t>approved</w:t>
      </w:r>
      <w:r>
        <w:rPr>
          <w:spacing w:val="58"/>
        </w:rPr>
        <w:t xml:space="preserve"> </w:t>
      </w:r>
      <w:r>
        <w:rPr>
          <w:spacing w:val="-1"/>
        </w:rPr>
        <w:t>by</w:t>
      </w:r>
      <w:r>
        <w:rPr>
          <w:spacing w:val="57"/>
        </w:rPr>
        <w:t xml:space="preserve"> </w:t>
      </w:r>
      <w:r>
        <w:t>the</w:t>
      </w:r>
      <w:r>
        <w:rPr>
          <w:spacing w:val="58"/>
        </w:rPr>
        <w:t xml:space="preserve"> </w:t>
      </w:r>
      <w:r>
        <w:rPr>
          <w:spacing w:val="-1"/>
        </w:rPr>
        <w:t>Customer</w:t>
      </w:r>
      <w:r>
        <w:rPr>
          <w:spacing w:val="59"/>
        </w:rPr>
        <w:t xml:space="preserve"> </w:t>
      </w:r>
      <w:r>
        <w:rPr>
          <w:spacing w:val="-1"/>
        </w:rPr>
        <w:t>in</w:t>
      </w:r>
      <w:r>
        <w:rPr>
          <w:spacing w:val="58"/>
        </w:rPr>
        <w:t xml:space="preserve"> </w:t>
      </w:r>
      <w:r>
        <w:rPr>
          <w:spacing w:val="-1"/>
        </w:rPr>
        <w:t>advance)</w:t>
      </w:r>
      <w:r>
        <w:rPr>
          <w:spacing w:val="59"/>
        </w:rPr>
        <w:t xml:space="preserve"> </w:t>
      </w:r>
      <w:r>
        <w:rPr>
          <w:spacing w:val="-1"/>
        </w:rPr>
        <w:t>as</w:t>
      </w:r>
      <w:r>
        <w:rPr>
          <w:spacing w:val="56"/>
        </w:rPr>
        <w:t xml:space="preserve"> </w:t>
      </w:r>
      <w:r>
        <w:rPr>
          <w:spacing w:val="-1"/>
        </w:rPr>
        <w:t>soon</w:t>
      </w:r>
      <w:r>
        <w:rPr>
          <w:spacing w:val="59"/>
        </w:rPr>
        <w:t xml:space="preserve"> </w:t>
      </w:r>
      <w:r>
        <w:rPr>
          <w:spacing w:val="-2"/>
        </w:rPr>
        <w:t>as</w:t>
      </w:r>
      <w:r>
        <w:rPr>
          <w:spacing w:val="35"/>
        </w:rPr>
        <w:t xml:space="preserve"> </w:t>
      </w:r>
      <w:r>
        <w:rPr>
          <w:spacing w:val="-1"/>
        </w:rPr>
        <w:t>practicable</w:t>
      </w:r>
      <w:r>
        <w:t xml:space="preserve"> </w:t>
      </w:r>
      <w:r>
        <w:rPr>
          <w:spacing w:val="-1"/>
        </w:rPr>
        <w:t>after</w:t>
      </w:r>
      <w:r>
        <w:rPr>
          <w:spacing w:val="2"/>
        </w:rPr>
        <w:t xml:space="preserve"> </w:t>
      </w:r>
      <w:r>
        <w:rPr>
          <w:spacing w:val="-2"/>
        </w:rPr>
        <w:t>completion</w:t>
      </w:r>
      <w:r>
        <w:t xml:space="preserve"> </w:t>
      </w:r>
      <w:r>
        <w:rPr>
          <w:spacing w:val="-2"/>
        </w:rPr>
        <w:t>of</w:t>
      </w:r>
      <w:r>
        <w:rPr>
          <w:spacing w:val="2"/>
        </w:rPr>
        <w:t xml:space="preserve"> </w:t>
      </w:r>
      <w:r>
        <w:rPr>
          <w:spacing w:val="-1"/>
        </w:rPr>
        <w:t>each</w:t>
      </w:r>
      <w:r>
        <w:rPr>
          <w:spacing w:val="1"/>
        </w:rPr>
        <w:t xml:space="preserve"> </w:t>
      </w:r>
      <w:r>
        <w:rPr>
          <w:spacing w:val="-1"/>
        </w:rPr>
        <w:t>Security</w:t>
      </w:r>
      <w:r>
        <w:rPr>
          <w:spacing w:val="-4"/>
        </w:rPr>
        <w:t xml:space="preserve"> </w:t>
      </w:r>
      <w:r>
        <w:rPr>
          <w:spacing w:val="-1"/>
        </w:rPr>
        <w:t>Test.</w:t>
      </w:r>
    </w:p>
    <w:p w:rsidR="008918FA" w:rsidRDefault="008918FA" w:rsidP="008918FA">
      <w:pPr>
        <w:pStyle w:val="BodyText"/>
        <w:numPr>
          <w:ilvl w:val="1"/>
          <w:numId w:val="14"/>
        </w:numPr>
        <w:tabs>
          <w:tab w:val="left" w:pos="829"/>
        </w:tabs>
        <w:ind w:left="828" w:right="112" w:hanging="359"/>
        <w:jc w:val="both"/>
      </w:pPr>
      <w:bookmarkStart w:id="422" w:name="_bookmark345"/>
      <w:bookmarkEnd w:id="422"/>
      <w:r>
        <w:rPr>
          <w:spacing w:val="-1"/>
        </w:rPr>
        <w:t>Without</w:t>
      </w:r>
      <w:r>
        <w:rPr>
          <w:spacing w:val="38"/>
        </w:rPr>
        <w:t xml:space="preserve"> </w:t>
      </w:r>
      <w:r>
        <w:rPr>
          <w:spacing w:val="-1"/>
        </w:rPr>
        <w:t>prejudice</w:t>
      </w:r>
      <w:r>
        <w:rPr>
          <w:spacing w:val="37"/>
        </w:rPr>
        <w:t xml:space="preserve"> </w:t>
      </w:r>
      <w:r>
        <w:t>to</w:t>
      </w:r>
      <w:r>
        <w:rPr>
          <w:spacing w:val="36"/>
        </w:rPr>
        <w:t xml:space="preserve"> </w:t>
      </w:r>
      <w:r>
        <w:rPr>
          <w:spacing w:val="-2"/>
        </w:rPr>
        <w:t>any</w:t>
      </w:r>
      <w:r>
        <w:rPr>
          <w:spacing w:val="34"/>
        </w:rPr>
        <w:t xml:space="preserve"> </w:t>
      </w:r>
      <w:r>
        <w:rPr>
          <w:spacing w:val="-1"/>
        </w:rPr>
        <w:t>other</w:t>
      </w:r>
      <w:r>
        <w:rPr>
          <w:spacing w:val="38"/>
        </w:rPr>
        <w:t xml:space="preserve"> </w:t>
      </w:r>
      <w:r>
        <w:rPr>
          <w:spacing w:val="-1"/>
        </w:rPr>
        <w:t>right</w:t>
      </w:r>
      <w:r>
        <w:rPr>
          <w:spacing w:val="38"/>
        </w:rPr>
        <w:t xml:space="preserve"> </w:t>
      </w:r>
      <w:r>
        <w:rPr>
          <w:spacing w:val="-2"/>
        </w:rPr>
        <w:t>of</w:t>
      </w:r>
      <w:r>
        <w:rPr>
          <w:spacing w:val="39"/>
        </w:rPr>
        <w:t xml:space="preserve"> </w:t>
      </w:r>
      <w:r>
        <w:rPr>
          <w:spacing w:val="-1"/>
        </w:rPr>
        <w:t>audit</w:t>
      </w:r>
      <w:r>
        <w:rPr>
          <w:spacing w:val="38"/>
        </w:rPr>
        <w:t xml:space="preserve"> </w:t>
      </w:r>
      <w:r>
        <w:rPr>
          <w:spacing w:val="-1"/>
        </w:rPr>
        <w:t>or</w:t>
      </w:r>
      <w:r>
        <w:rPr>
          <w:spacing w:val="35"/>
        </w:rPr>
        <w:t xml:space="preserve"> </w:t>
      </w:r>
      <w:r>
        <w:rPr>
          <w:spacing w:val="-1"/>
        </w:rPr>
        <w:t>access</w:t>
      </w:r>
      <w:r>
        <w:rPr>
          <w:spacing w:val="37"/>
        </w:rPr>
        <w:t xml:space="preserve"> </w:t>
      </w:r>
      <w:r>
        <w:rPr>
          <w:spacing w:val="-1"/>
        </w:rPr>
        <w:t>granted</w:t>
      </w:r>
      <w:r>
        <w:rPr>
          <w:spacing w:val="34"/>
        </w:rPr>
        <w:t xml:space="preserve"> </w:t>
      </w:r>
      <w:r>
        <w:t>to</w:t>
      </w:r>
      <w:r>
        <w:rPr>
          <w:spacing w:val="36"/>
        </w:rPr>
        <w:t xml:space="preserve"> </w:t>
      </w:r>
      <w:r>
        <w:t>the</w:t>
      </w:r>
      <w:r>
        <w:rPr>
          <w:spacing w:val="35"/>
        </w:rPr>
        <w:t xml:space="preserve"> </w:t>
      </w:r>
      <w:r>
        <w:rPr>
          <w:spacing w:val="-1"/>
        </w:rPr>
        <w:t>Customer</w:t>
      </w:r>
      <w:r>
        <w:rPr>
          <w:spacing w:val="49"/>
        </w:rPr>
        <w:t xml:space="preserve"> </w:t>
      </w:r>
      <w:r>
        <w:rPr>
          <w:spacing w:val="-1"/>
        </w:rPr>
        <w:t>pursuant</w:t>
      </w:r>
      <w:r>
        <w:rPr>
          <w:spacing w:val="19"/>
        </w:rPr>
        <w:t xml:space="preserve"> </w:t>
      </w:r>
      <w:r>
        <w:t>to</w:t>
      </w:r>
      <w:r>
        <w:rPr>
          <w:spacing w:val="20"/>
        </w:rPr>
        <w:t xml:space="preserve"> </w:t>
      </w:r>
      <w:r>
        <w:rPr>
          <w:spacing w:val="-1"/>
        </w:rPr>
        <w:t>this</w:t>
      </w:r>
      <w:r>
        <w:rPr>
          <w:spacing w:val="21"/>
        </w:rPr>
        <w:t xml:space="preserve"> </w:t>
      </w:r>
      <w:r>
        <w:rPr>
          <w:spacing w:val="-2"/>
        </w:rPr>
        <w:t>Call</w:t>
      </w:r>
      <w:r>
        <w:rPr>
          <w:spacing w:val="19"/>
        </w:rPr>
        <w:t xml:space="preserve"> </w:t>
      </w:r>
      <w:r>
        <w:rPr>
          <w:spacing w:val="-1"/>
        </w:rPr>
        <w:t>Off</w:t>
      </w:r>
      <w:r>
        <w:rPr>
          <w:spacing w:val="23"/>
        </w:rPr>
        <w:t xml:space="preserve"> </w:t>
      </w:r>
      <w:r>
        <w:rPr>
          <w:spacing w:val="-1"/>
        </w:rPr>
        <w:t>Contract,</w:t>
      </w:r>
      <w:r>
        <w:rPr>
          <w:spacing w:val="19"/>
        </w:rPr>
        <w:t xml:space="preserve"> </w:t>
      </w:r>
      <w:r>
        <w:t>the</w:t>
      </w:r>
      <w:r>
        <w:rPr>
          <w:spacing w:val="17"/>
        </w:rPr>
        <w:t xml:space="preserve"> </w:t>
      </w:r>
      <w:r>
        <w:rPr>
          <w:spacing w:val="-1"/>
        </w:rPr>
        <w:t>Customer</w:t>
      </w:r>
      <w:r>
        <w:rPr>
          <w:spacing w:val="21"/>
        </w:rPr>
        <w:t xml:space="preserve"> </w:t>
      </w:r>
      <w:r>
        <w:rPr>
          <w:spacing w:val="-1"/>
        </w:rPr>
        <w:t>and/or</w:t>
      </w:r>
      <w:r>
        <w:rPr>
          <w:spacing w:val="21"/>
        </w:rPr>
        <w:t xml:space="preserve"> </w:t>
      </w:r>
      <w:r>
        <w:rPr>
          <w:spacing w:val="-1"/>
        </w:rPr>
        <w:t>its</w:t>
      </w:r>
      <w:r>
        <w:rPr>
          <w:spacing w:val="20"/>
        </w:rPr>
        <w:t xml:space="preserve"> </w:t>
      </w:r>
      <w:r>
        <w:rPr>
          <w:spacing w:val="-1"/>
        </w:rPr>
        <w:t>authorised</w:t>
      </w:r>
      <w:r>
        <w:rPr>
          <w:spacing w:val="39"/>
        </w:rPr>
        <w:t xml:space="preserve"> </w:t>
      </w:r>
      <w:r>
        <w:rPr>
          <w:spacing w:val="-1"/>
        </w:rPr>
        <w:t>representatives</w:t>
      </w:r>
      <w:r>
        <w:rPr>
          <w:spacing w:val="20"/>
        </w:rPr>
        <w:t xml:space="preserve"> </w:t>
      </w:r>
      <w:r>
        <w:rPr>
          <w:spacing w:val="-1"/>
        </w:rPr>
        <w:t>shall</w:t>
      </w:r>
      <w:r>
        <w:rPr>
          <w:spacing w:val="19"/>
        </w:rPr>
        <w:t xml:space="preserve"> </w:t>
      </w:r>
      <w:r>
        <w:rPr>
          <w:spacing w:val="-1"/>
        </w:rPr>
        <w:t>be</w:t>
      </w:r>
      <w:r>
        <w:rPr>
          <w:spacing w:val="17"/>
        </w:rPr>
        <w:t xml:space="preserve"> </w:t>
      </w:r>
      <w:r>
        <w:rPr>
          <w:spacing w:val="-1"/>
        </w:rPr>
        <w:t>entitled,</w:t>
      </w:r>
      <w:r>
        <w:rPr>
          <w:spacing w:val="21"/>
        </w:rPr>
        <w:t xml:space="preserve"> </w:t>
      </w:r>
      <w:r>
        <w:rPr>
          <w:spacing w:val="-2"/>
        </w:rPr>
        <w:t>at</w:t>
      </w:r>
      <w:r>
        <w:rPr>
          <w:spacing w:val="21"/>
        </w:rPr>
        <w:t xml:space="preserve"> </w:t>
      </w:r>
      <w:r>
        <w:rPr>
          <w:spacing w:val="-1"/>
        </w:rPr>
        <w:t>any</w:t>
      </w:r>
      <w:r>
        <w:rPr>
          <w:spacing w:val="17"/>
        </w:rPr>
        <w:t xml:space="preserve"> </w:t>
      </w:r>
      <w:r>
        <w:rPr>
          <w:spacing w:val="-1"/>
        </w:rPr>
        <w:t>time</w:t>
      </w:r>
      <w:r>
        <w:rPr>
          <w:spacing w:val="21"/>
        </w:rPr>
        <w:t xml:space="preserve"> </w:t>
      </w:r>
      <w:r>
        <w:rPr>
          <w:spacing w:val="-2"/>
        </w:rPr>
        <w:t>upon</w:t>
      </w:r>
      <w:r>
        <w:rPr>
          <w:spacing w:val="20"/>
        </w:rPr>
        <w:t xml:space="preserve"> </w:t>
      </w:r>
      <w:r>
        <w:rPr>
          <w:spacing w:val="-1"/>
        </w:rPr>
        <w:t>giving</w:t>
      </w:r>
      <w:r>
        <w:rPr>
          <w:spacing w:val="20"/>
        </w:rPr>
        <w:t xml:space="preserve"> </w:t>
      </w:r>
      <w:r>
        <w:rPr>
          <w:spacing w:val="-1"/>
        </w:rPr>
        <w:t>reasonable</w:t>
      </w:r>
      <w:r>
        <w:rPr>
          <w:spacing w:val="20"/>
        </w:rPr>
        <w:t xml:space="preserve"> </w:t>
      </w:r>
      <w:r>
        <w:rPr>
          <w:spacing w:val="-2"/>
        </w:rPr>
        <w:t>notice</w:t>
      </w:r>
      <w:r>
        <w:rPr>
          <w:spacing w:val="22"/>
        </w:rPr>
        <w:t xml:space="preserve"> </w:t>
      </w:r>
      <w:r>
        <w:t>to</w:t>
      </w:r>
      <w:r>
        <w:rPr>
          <w:spacing w:val="17"/>
        </w:rPr>
        <w:t xml:space="preserve"> </w:t>
      </w:r>
      <w:r>
        <w:rPr>
          <w:spacing w:val="-2"/>
        </w:rPr>
        <w:t>the</w:t>
      </w:r>
      <w:r>
        <w:rPr>
          <w:spacing w:val="42"/>
        </w:rPr>
        <w:t xml:space="preserve"> </w:t>
      </w:r>
      <w:r>
        <w:rPr>
          <w:spacing w:val="-1"/>
        </w:rPr>
        <w:t>Supplier,</w:t>
      </w:r>
      <w:r>
        <w:rPr>
          <w:spacing w:val="1"/>
        </w:rPr>
        <w:t xml:space="preserve"> </w:t>
      </w:r>
      <w:r>
        <w:t>to</w:t>
      </w:r>
      <w:r>
        <w:rPr>
          <w:spacing w:val="58"/>
        </w:rPr>
        <w:t xml:space="preserve"> </w:t>
      </w:r>
      <w:r>
        <w:rPr>
          <w:spacing w:val="-1"/>
        </w:rPr>
        <w:t>carry</w:t>
      </w:r>
      <w:r>
        <w:rPr>
          <w:spacing w:val="58"/>
        </w:rPr>
        <w:t xml:space="preserve"> </w:t>
      </w:r>
      <w:r>
        <w:rPr>
          <w:spacing w:val="-1"/>
        </w:rPr>
        <w:t>out</w:t>
      </w:r>
      <w:r>
        <w:rPr>
          <w:spacing w:val="1"/>
        </w:rPr>
        <w:t xml:space="preserve"> </w:t>
      </w:r>
      <w:r>
        <w:rPr>
          <w:spacing w:val="-2"/>
        </w:rPr>
        <w:t>such</w:t>
      </w:r>
      <w:r>
        <w:t xml:space="preserve"> </w:t>
      </w:r>
      <w:r>
        <w:rPr>
          <w:spacing w:val="-1"/>
        </w:rPr>
        <w:t>tests</w:t>
      </w:r>
      <w:r>
        <w:rPr>
          <w:spacing w:val="58"/>
        </w:rPr>
        <w:t xml:space="preserve"> </w:t>
      </w:r>
      <w:r>
        <w:rPr>
          <w:spacing w:val="-1"/>
        </w:rPr>
        <w:t>(including</w:t>
      </w:r>
      <w:r>
        <w:rPr>
          <w:spacing w:val="2"/>
        </w:rPr>
        <w:t xml:space="preserve"> </w:t>
      </w:r>
      <w:r>
        <w:rPr>
          <w:spacing w:val="-1"/>
        </w:rPr>
        <w:t>penetration</w:t>
      </w:r>
      <w:r>
        <w:rPr>
          <w:spacing w:val="60"/>
        </w:rPr>
        <w:t xml:space="preserve"> </w:t>
      </w:r>
      <w:r>
        <w:rPr>
          <w:spacing w:val="-1"/>
        </w:rPr>
        <w:t>tests)</w:t>
      </w:r>
      <w:r>
        <w:t xml:space="preserve">  </w:t>
      </w:r>
      <w:r>
        <w:rPr>
          <w:spacing w:val="-1"/>
        </w:rPr>
        <w:t>as</w:t>
      </w:r>
      <w:r>
        <w:t xml:space="preserve">  </w:t>
      </w:r>
      <w:r>
        <w:rPr>
          <w:spacing w:val="-2"/>
        </w:rPr>
        <w:t>it</w:t>
      </w:r>
      <w:r>
        <w:rPr>
          <w:spacing w:val="59"/>
        </w:rPr>
        <w:t xml:space="preserve"> </w:t>
      </w:r>
      <w:r>
        <w:rPr>
          <w:spacing w:val="-1"/>
        </w:rPr>
        <w:t>may</w:t>
      </w:r>
      <w:r>
        <w:rPr>
          <w:spacing w:val="58"/>
        </w:rPr>
        <w:t xml:space="preserve"> </w:t>
      </w:r>
      <w:r>
        <w:rPr>
          <w:spacing w:val="-1"/>
        </w:rPr>
        <w:t>deem</w:t>
      </w:r>
      <w:r>
        <w:rPr>
          <w:spacing w:val="26"/>
        </w:rPr>
        <w:t xml:space="preserve"> </w:t>
      </w:r>
      <w:r>
        <w:rPr>
          <w:spacing w:val="-1"/>
        </w:rPr>
        <w:t>necessary</w:t>
      </w:r>
      <w:r>
        <w:rPr>
          <w:spacing w:val="1"/>
        </w:rPr>
        <w:t xml:space="preserve"> </w:t>
      </w:r>
      <w:r>
        <w:rPr>
          <w:spacing w:val="-1"/>
        </w:rPr>
        <w:t>in</w:t>
      </w:r>
      <w:r>
        <w:rPr>
          <w:spacing w:val="3"/>
        </w:rPr>
        <w:t xml:space="preserve"> </w:t>
      </w:r>
      <w:r>
        <w:rPr>
          <w:spacing w:val="-1"/>
        </w:rPr>
        <w:t>relation</w:t>
      </w:r>
      <w:r>
        <w:rPr>
          <w:spacing w:val="3"/>
        </w:rPr>
        <w:t xml:space="preserve"> </w:t>
      </w:r>
      <w:r>
        <w:t>to</w:t>
      </w:r>
      <w:r>
        <w:rPr>
          <w:spacing w:val="3"/>
        </w:rPr>
        <w:t xml:space="preserve"> </w:t>
      </w:r>
      <w:r>
        <w:t>the</w:t>
      </w:r>
      <w:r>
        <w:rPr>
          <w:spacing w:val="3"/>
        </w:rPr>
        <w:t xml:space="preserve"> </w:t>
      </w:r>
      <w:r>
        <w:rPr>
          <w:spacing w:val="-1"/>
        </w:rPr>
        <w:t>ISMS</w:t>
      </w:r>
      <w:r>
        <w:rPr>
          <w:spacing w:val="5"/>
        </w:rPr>
        <w:t xml:space="preserve"> </w:t>
      </w:r>
      <w:r>
        <w:rPr>
          <w:spacing w:val="-1"/>
        </w:rPr>
        <w:t>and</w:t>
      </w:r>
      <w:r>
        <w:rPr>
          <w:spacing w:val="4"/>
        </w:rPr>
        <w:t xml:space="preserve"> </w:t>
      </w:r>
      <w:r>
        <w:t>the</w:t>
      </w:r>
      <w:r>
        <w:rPr>
          <w:spacing w:val="3"/>
        </w:rPr>
        <w:t xml:space="preserve"> </w:t>
      </w:r>
      <w:r>
        <w:rPr>
          <w:spacing w:val="-1"/>
        </w:rPr>
        <w:t>Supplier's</w:t>
      </w:r>
      <w:r>
        <w:rPr>
          <w:spacing w:val="3"/>
        </w:rPr>
        <w:t xml:space="preserve"> </w:t>
      </w:r>
      <w:r>
        <w:rPr>
          <w:spacing w:val="-2"/>
        </w:rPr>
        <w:t>compliance</w:t>
      </w:r>
      <w:r>
        <w:rPr>
          <w:spacing w:val="3"/>
        </w:rPr>
        <w:t xml:space="preserve"> </w:t>
      </w:r>
      <w:r>
        <w:rPr>
          <w:spacing w:val="-1"/>
        </w:rPr>
        <w:t>with</w:t>
      </w:r>
      <w:r>
        <w:rPr>
          <w:spacing w:val="3"/>
        </w:rPr>
        <w:t xml:space="preserve"> </w:t>
      </w:r>
      <w:r>
        <w:t>the</w:t>
      </w:r>
      <w:r>
        <w:rPr>
          <w:spacing w:val="3"/>
        </w:rPr>
        <w:t xml:space="preserve"> </w:t>
      </w:r>
      <w:r>
        <w:rPr>
          <w:spacing w:val="-1"/>
        </w:rPr>
        <w:t>ISMS</w:t>
      </w:r>
      <w:r>
        <w:rPr>
          <w:spacing w:val="2"/>
        </w:rPr>
        <w:t xml:space="preserve"> </w:t>
      </w:r>
      <w:r>
        <w:rPr>
          <w:spacing w:val="-1"/>
        </w:rPr>
        <w:t>and</w:t>
      </w:r>
      <w:r>
        <w:rPr>
          <w:spacing w:val="54"/>
        </w:rPr>
        <w:t xml:space="preserve"> </w:t>
      </w:r>
      <w:r>
        <w:t>the</w:t>
      </w:r>
      <w:r>
        <w:rPr>
          <w:spacing w:val="60"/>
        </w:rPr>
        <w:t xml:space="preserve"> </w:t>
      </w:r>
      <w:r>
        <w:rPr>
          <w:spacing w:val="-1"/>
        </w:rPr>
        <w:t>Security</w:t>
      </w:r>
      <w:r>
        <w:t xml:space="preserve"> </w:t>
      </w:r>
      <w:r>
        <w:rPr>
          <w:spacing w:val="-1"/>
        </w:rPr>
        <w:t>Management</w:t>
      </w:r>
      <w:r>
        <w:rPr>
          <w:spacing w:val="1"/>
        </w:rPr>
        <w:t xml:space="preserve"> </w:t>
      </w:r>
      <w:r>
        <w:rPr>
          <w:spacing w:val="-1"/>
        </w:rPr>
        <w:t>Plan.</w:t>
      </w:r>
      <w:r>
        <w:rPr>
          <w:spacing w:val="1"/>
        </w:rPr>
        <w:t xml:space="preserve"> </w:t>
      </w:r>
      <w:r>
        <w:t>The</w:t>
      </w:r>
      <w:r>
        <w:rPr>
          <w:spacing w:val="60"/>
        </w:rPr>
        <w:t xml:space="preserve"> </w:t>
      </w:r>
      <w:r>
        <w:rPr>
          <w:spacing w:val="-1"/>
        </w:rPr>
        <w:t>Customer</w:t>
      </w:r>
      <w:r>
        <w:rPr>
          <w:spacing w:val="59"/>
        </w:rPr>
        <w:t xml:space="preserve"> </w:t>
      </w:r>
      <w:r>
        <w:rPr>
          <w:spacing w:val="-1"/>
        </w:rPr>
        <w:t>may</w:t>
      </w:r>
      <w:r>
        <w:rPr>
          <w:spacing w:val="58"/>
        </w:rPr>
        <w:t xml:space="preserve"> </w:t>
      </w:r>
      <w:r>
        <w:t>notify</w:t>
      </w:r>
      <w:r>
        <w:rPr>
          <w:spacing w:val="58"/>
        </w:rPr>
        <w:t xml:space="preserve"> </w:t>
      </w:r>
      <w:r>
        <w:t>the</w:t>
      </w:r>
      <w:r>
        <w:rPr>
          <w:spacing w:val="60"/>
        </w:rPr>
        <w:t xml:space="preserve"> </w:t>
      </w:r>
      <w:r>
        <w:rPr>
          <w:spacing w:val="-1"/>
        </w:rPr>
        <w:t>Supplier</w:t>
      </w:r>
      <w:r w:rsidR="001C1527">
        <w:t xml:space="preserve"> </w:t>
      </w:r>
      <w:r>
        <w:rPr>
          <w:spacing w:val="-2"/>
        </w:rPr>
        <w:t>of</w:t>
      </w:r>
      <w:r>
        <w:rPr>
          <w:spacing w:val="3"/>
        </w:rPr>
        <w:t xml:space="preserve"> </w:t>
      </w:r>
      <w:r>
        <w:rPr>
          <w:spacing w:val="-1"/>
        </w:rPr>
        <w:t>the</w:t>
      </w:r>
      <w:r>
        <w:rPr>
          <w:spacing w:val="32"/>
        </w:rPr>
        <w:t xml:space="preserve"> </w:t>
      </w:r>
      <w:r>
        <w:rPr>
          <w:spacing w:val="-1"/>
        </w:rPr>
        <w:t>results</w:t>
      </w:r>
      <w:r>
        <w:rPr>
          <w:spacing w:val="30"/>
        </w:rPr>
        <w:t xml:space="preserve"> </w:t>
      </w:r>
      <w:r>
        <w:rPr>
          <w:spacing w:val="-2"/>
        </w:rPr>
        <w:t>of</w:t>
      </w:r>
      <w:r>
        <w:rPr>
          <w:spacing w:val="28"/>
        </w:rPr>
        <w:t xml:space="preserve"> </w:t>
      </w:r>
      <w:r>
        <w:rPr>
          <w:spacing w:val="-1"/>
        </w:rPr>
        <w:t>such</w:t>
      </w:r>
      <w:r>
        <w:rPr>
          <w:spacing w:val="27"/>
        </w:rPr>
        <w:t xml:space="preserve"> </w:t>
      </w:r>
      <w:r>
        <w:rPr>
          <w:spacing w:val="-1"/>
        </w:rPr>
        <w:t>tests</w:t>
      </w:r>
      <w:r>
        <w:rPr>
          <w:spacing w:val="30"/>
        </w:rPr>
        <w:t xml:space="preserve"> </w:t>
      </w:r>
      <w:r>
        <w:rPr>
          <w:spacing w:val="-1"/>
        </w:rPr>
        <w:t>after</w:t>
      </w:r>
      <w:r>
        <w:rPr>
          <w:spacing w:val="30"/>
        </w:rPr>
        <w:t xml:space="preserve"> </w:t>
      </w:r>
      <w:r>
        <w:rPr>
          <w:spacing w:val="-1"/>
        </w:rPr>
        <w:t>completion</w:t>
      </w:r>
      <w:r>
        <w:rPr>
          <w:spacing w:val="29"/>
        </w:rPr>
        <w:t xml:space="preserve"> </w:t>
      </w:r>
      <w:r>
        <w:rPr>
          <w:spacing w:val="-2"/>
        </w:rPr>
        <w:t>of</w:t>
      </w:r>
      <w:r>
        <w:rPr>
          <w:spacing w:val="30"/>
        </w:rPr>
        <w:t xml:space="preserve"> </w:t>
      </w:r>
      <w:r>
        <w:rPr>
          <w:spacing w:val="-1"/>
        </w:rPr>
        <w:t>each</w:t>
      </w:r>
      <w:r>
        <w:rPr>
          <w:spacing w:val="27"/>
        </w:rPr>
        <w:t xml:space="preserve"> </w:t>
      </w:r>
      <w:r>
        <w:rPr>
          <w:spacing w:val="-2"/>
        </w:rPr>
        <w:t>such</w:t>
      </w:r>
      <w:r>
        <w:rPr>
          <w:spacing w:val="30"/>
        </w:rPr>
        <w:t xml:space="preserve"> </w:t>
      </w:r>
      <w:r>
        <w:rPr>
          <w:spacing w:val="-1"/>
        </w:rPr>
        <w:t>test.</w:t>
      </w:r>
      <w:r>
        <w:rPr>
          <w:spacing w:val="57"/>
        </w:rPr>
        <w:t xml:space="preserve"> </w:t>
      </w:r>
      <w:r>
        <w:rPr>
          <w:spacing w:val="-1"/>
        </w:rPr>
        <w:t>If</w:t>
      </w:r>
      <w:r>
        <w:rPr>
          <w:spacing w:val="30"/>
        </w:rPr>
        <w:t xml:space="preserve"> </w:t>
      </w:r>
      <w:r>
        <w:rPr>
          <w:spacing w:val="-1"/>
        </w:rPr>
        <w:t>any</w:t>
      </w:r>
      <w:r>
        <w:rPr>
          <w:spacing w:val="27"/>
        </w:rPr>
        <w:t xml:space="preserve"> </w:t>
      </w:r>
      <w:r>
        <w:rPr>
          <w:spacing w:val="-1"/>
        </w:rPr>
        <w:t>such</w:t>
      </w:r>
      <w:r>
        <w:rPr>
          <w:spacing w:val="30"/>
        </w:rPr>
        <w:t xml:space="preserve"> </w:t>
      </w:r>
      <w:r>
        <w:rPr>
          <w:spacing w:val="-2"/>
        </w:rPr>
        <w:t>Customer’s</w:t>
      </w:r>
      <w:r>
        <w:rPr>
          <w:spacing w:val="61"/>
        </w:rPr>
        <w:t xml:space="preserve"> </w:t>
      </w:r>
      <w:r>
        <w:rPr>
          <w:spacing w:val="-1"/>
        </w:rPr>
        <w:t>test</w:t>
      </w:r>
      <w:r>
        <w:rPr>
          <w:spacing w:val="5"/>
        </w:rPr>
        <w:t xml:space="preserve"> </w:t>
      </w:r>
      <w:r>
        <w:rPr>
          <w:spacing w:val="-1"/>
        </w:rPr>
        <w:t>adversely</w:t>
      </w:r>
      <w:r>
        <w:rPr>
          <w:spacing w:val="1"/>
        </w:rPr>
        <w:t xml:space="preserve"> </w:t>
      </w:r>
      <w:r>
        <w:t>affects</w:t>
      </w:r>
      <w:r>
        <w:rPr>
          <w:spacing w:val="3"/>
        </w:rPr>
        <w:t xml:space="preserve"> </w:t>
      </w:r>
      <w:r>
        <w:t xml:space="preserve">the </w:t>
      </w:r>
      <w:r>
        <w:rPr>
          <w:spacing w:val="-2"/>
        </w:rPr>
        <w:t>Supplier’s</w:t>
      </w:r>
      <w:r>
        <w:rPr>
          <w:spacing w:val="3"/>
        </w:rPr>
        <w:t xml:space="preserve"> </w:t>
      </w:r>
      <w:r>
        <w:rPr>
          <w:spacing w:val="-1"/>
        </w:rPr>
        <w:t>ability</w:t>
      </w:r>
      <w:r>
        <w:rPr>
          <w:spacing w:val="1"/>
        </w:rPr>
        <w:t xml:space="preserve"> </w:t>
      </w:r>
      <w:r>
        <w:t>to</w:t>
      </w:r>
      <w:r>
        <w:rPr>
          <w:spacing w:val="3"/>
        </w:rPr>
        <w:t xml:space="preserve"> </w:t>
      </w:r>
      <w:r>
        <w:rPr>
          <w:spacing w:val="-1"/>
        </w:rPr>
        <w:t>deliver</w:t>
      </w:r>
      <w:r>
        <w:rPr>
          <w:spacing w:val="7"/>
        </w:rPr>
        <w:t xml:space="preserve"> </w:t>
      </w:r>
      <w:r>
        <w:t>the</w:t>
      </w:r>
      <w:r>
        <w:rPr>
          <w:spacing w:val="3"/>
        </w:rPr>
        <w:t xml:space="preserve"> </w:t>
      </w:r>
      <w:r>
        <w:rPr>
          <w:spacing w:val="-1"/>
        </w:rPr>
        <w:t>Services</w:t>
      </w:r>
      <w:r>
        <w:rPr>
          <w:spacing w:val="3"/>
        </w:rPr>
        <w:t xml:space="preserve"> </w:t>
      </w:r>
      <w:r>
        <w:rPr>
          <w:spacing w:val="-1"/>
        </w:rPr>
        <w:t>so</w:t>
      </w:r>
      <w:r>
        <w:rPr>
          <w:spacing w:val="3"/>
        </w:rPr>
        <w:t xml:space="preserve"> </w:t>
      </w:r>
      <w:r>
        <w:rPr>
          <w:spacing w:val="-1"/>
        </w:rPr>
        <w:t>as</w:t>
      </w:r>
      <w:r>
        <w:rPr>
          <w:spacing w:val="3"/>
        </w:rPr>
        <w:t xml:space="preserve"> </w:t>
      </w:r>
      <w:r>
        <w:t>to</w:t>
      </w:r>
      <w:r>
        <w:rPr>
          <w:spacing w:val="5"/>
        </w:rPr>
        <w:t xml:space="preserve"> </w:t>
      </w:r>
      <w:r>
        <w:rPr>
          <w:spacing w:val="-1"/>
        </w:rPr>
        <w:t>meet</w:t>
      </w:r>
      <w:r>
        <w:rPr>
          <w:spacing w:val="4"/>
        </w:rPr>
        <w:t xml:space="preserve"> </w:t>
      </w:r>
      <w:r>
        <w:rPr>
          <w:spacing w:val="-1"/>
        </w:rPr>
        <w:t>the</w:t>
      </w:r>
      <w:r>
        <w:rPr>
          <w:spacing w:val="55"/>
        </w:rPr>
        <w:t xml:space="preserve"> </w:t>
      </w:r>
      <w:r>
        <w:rPr>
          <w:spacing w:val="-1"/>
        </w:rPr>
        <w:t>Target</w:t>
      </w:r>
      <w:r>
        <w:rPr>
          <w:spacing w:val="22"/>
        </w:rPr>
        <w:t xml:space="preserve"> </w:t>
      </w:r>
      <w:r>
        <w:rPr>
          <w:spacing w:val="-1"/>
        </w:rPr>
        <w:t>Performance</w:t>
      </w:r>
      <w:r>
        <w:rPr>
          <w:spacing w:val="21"/>
        </w:rPr>
        <w:t xml:space="preserve"> </w:t>
      </w:r>
      <w:r>
        <w:rPr>
          <w:spacing w:val="-2"/>
        </w:rPr>
        <w:t>Levels,</w:t>
      </w:r>
      <w:r>
        <w:rPr>
          <w:spacing w:val="23"/>
        </w:rPr>
        <w:t xml:space="preserve"> </w:t>
      </w:r>
      <w:r>
        <w:t>the</w:t>
      </w:r>
      <w:r>
        <w:rPr>
          <w:spacing w:val="21"/>
        </w:rPr>
        <w:t xml:space="preserve"> </w:t>
      </w:r>
      <w:r>
        <w:rPr>
          <w:spacing w:val="-2"/>
        </w:rPr>
        <w:t>Supplier</w:t>
      </w:r>
      <w:r>
        <w:rPr>
          <w:spacing w:val="22"/>
        </w:rPr>
        <w:t xml:space="preserve"> </w:t>
      </w:r>
      <w:r>
        <w:rPr>
          <w:spacing w:val="-1"/>
        </w:rPr>
        <w:t>shall</w:t>
      </w:r>
      <w:r>
        <w:rPr>
          <w:spacing w:val="20"/>
        </w:rPr>
        <w:t xml:space="preserve"> </w:t>
      </w:r>
      <w:r>
        <w:rPr>
          <w:spacing w:val="-1"/>
        </w:rPr>
        <w:t>be</w:t>
      </w:r>
      <w:r>
        <w:rPr>
          <w:spacing w:val="18"/>
        </w:rPr>
        <w:t xml:space="preserve"> </w:t>
      </w:r>
      <w:r>
        <w:rPr>
          <w:spacing w:val="-1"/>
        </w:rPr>
        <w:t>granted</w:t>
      </w:r>
      <w:r>
        <w:rPr>
          <w:spacing w:val="18"/>
        </w:rPr>
        <w:t xml:space="preserve"> </w:t>
      </w:r>
      <w:r>
        <w:rPr>
          <w:spacing w:val="-1"/>
        </w:rPr>
        <w:t>relief</w:t>
      </w:r>
      <w:r>
        <w:rPr>
          <w:spacing w:val="22"/>
        </w:rPr>
        <w:t xml:space="preserve"> </w:t>
      </w:r>
      <w:r>
        <w:rPr>
          <w:spacing w:val="-2"/>
        </w:rPr>
        <w:t>against</w:t>
      </w:r>
      <w:r>
        <w:rPr>
          <w:spacing w:val="23"/>
        </w:rPr>
        <w:t xml:space="preserve"> </w:t>
      </w:r>
      <w:r>
        <w:rPr>
          <w:spacing w:val="-1"/>
        </w:rPr>
        <w:t>any</w:t>
      </w:r>
      <w:r>
        <w:rPr>
          <w:spacing w:val="52"/>
        </w:rPr>
        <w:t xml:space="preserve"> </w:t>
      </w:r>
      <w:r>
        <w:rPr>
          <w:spacing w:val="-1"/>
        </w:rPr>
        <w:t>resultant</w:t>
      </w:r>
      <w:r>
        <w:t xml:space="preserve"> </w:t>
      </w:r>
      <w:r>
        <w:rPr>
          <w:spacing w:val="-1"/>
        </w:rPr>
        <w:t>under-performance</w:t>
      </w:r>
      <w:r>
        <w:rPr>
          <w:spacing w:val="-2"/>
        </w:rPr>
        <w:t xml:space="preserve"> </w:t>
      </w:r>
      <w:r>
        <w:t>for</w:t>
      </w:r>
      <w:r>
        <w:rPr>
          <w:spacing w:val="-1"/>
        </w:rPr>
        <w:t xml:space="preserve"> </w:t>
      </w:r>
      <w:r>
        <w:t xml:space="preserve">the </w:t>
      </w:r>
      <w:r>
        <w:rPr>
          <w:spacing w:val="-2"/>
        </w:rPr>
        <w:t>period</w:t>
      </w:r>
      <w:r>
        <w:t xml:space="preserve"> </w:t>
      </w:r>
      <w:r>
        <w:rPr>
          <w:spacing w:val="-2"/>
        </w:rPr>
        <w:t>of</w:t>
      </w:r>
      <w:r>
        <w:t xml:space="preserve"> the</w:t>
      </w:r>
      <w:r>
        <w:rPr>
          <w:spacing w:val="-2"/>
        </w:rPr>
        <w:t xml:space="preserve"> </w:t>
      </w:r>
      <w:r>
        <w:rPr>
          <w:spacing w:val="-1"/>
        </w:rPr>
        <w:t>Customer’s</w:t>
      </w:r>
      <w:r>
        <w:rPr>
          <w:spacing w:val="1"/>
        </w:rPr>
        <w:t xml:space="preserve"> </w:t>
      </w:r>
      <w:r>
        <w:rPr>
          <w:spacing w:val="-1"/>
        </w:rPr>
        <w:t>test.</w:t>
      </w:r>
    </w:p>
    <w:p w:rsidR="008918FA" w:rsidRDefault="008918FA" w:rsidP="008918FA">
      <w:pPr>
        <w:pStyle w:val="BodyText"/>
        <w:numPr>
          <w:ilvl w:val="1"/>
          <w:numId w:val="14"/>
        </w:numPr>
        <w:tabs>
          <w:tab w:val="left" w:pos="829"/>
        </w:tabs>
        <w:spacing w:before="121"/>
        <w:ind w:left="828" w:right="112"/>
        <w:jc w:val="both"/>
      </w:pPr>
      <w:bookmarkStart w:id="423" w:name="_bookmark346"/>
      <w:bookmarkEnd w:id="423"/>
      <w:r>
        <w:rPr>
          <w:spacing w:val="-1"/>
        </w:rPr>
        <w:t>Where</w:t>
      </w:r>
      <w:r>
        <w:rPr>
          <w:spacing w:val="15"/>
        </w:rPr>
        <w:t xml:space="preserve"> </w:t>
      </w:r>
      <w:r>
        <w:rPr>
          <w:spacing w:val="-1"/>
        </w:rPr>
        <w:t>any</w:t>
      </w:r>
      <w:r>
        <w:rPr>
          <w:spacing w:val="13"/>
        </w:rPr>
        <w:t xml:space="preserve"> </w:t>
      </w:r>
      <w:r>
        <w:rPr>
          <w:spacing w:val="-1"/>
        </w:rPr>
        <w:t>Security</w:t>
      </w:r>
      <w:r>
        <w:rPr>
          <w:spacing w:val="10"/>
        </w:rPr>
        <w:t xml:space="preserve"> </w:t>
      </w:r>
      <w:r>
        <w:t>Test</w:t>
      </w:r>
      <w:r>
        <w:rPr>
          <w:spacing w:val="14"/>
        </w:rPr>
        <w:t xml:space="preserve"> </w:t>
      </w:r>
      <w:r>
        <w:rPr>
          <w:spacing w:val="-1"/>
        </w:rPr>
        <w:t>carried</w:t>
      </w:r>
      <w:r>
        <w:rPr>
          <w:spacing w:val="15"/>
        </w:rPr>
        <w:t xml:space="preserve"> </w:t>
      </w:r>
      <w:r>
        <w:rPr>
          <w:spacing w:val="-2"/>
        </w:rPr>
        <w:t>out</w:t>
      </w:r>
      <w:r>
        <w:rPr>
          <w:spacing w:val="16"/>
        </w:rPr>
        <w:t xml:space="preserve"> </w:t>
      </w:r>
      <w:r>
        <w:rPr>
          <w:spacing w:val="-1"/>
        </w:rPr>
        <w:t>pursuant</w:t>
      </w:r>
      <w:r>
        <w:rPr>
          <w:spacing w:val="14"/>
        </w:rPr>
        <w:t xml:space="preserve"> </w:t>
      </w:r>
      <w:r>
        <w:t>to</w:t>
      </w:r>
      <w:r>
        <w:rPr>
          <w:spacing w:val="12"/>
        </w:rPr>
        <w:t xml:space="preserve"> </w:t>
      </w:r>
      <w:r>
        <w:rPr>
          <w:spacing w:val="-1"/>
        </w:rPr>
        <w:t>paragraphs</w:t>
      </w:r>
      <w:r>
        <w:t xml:space="preserve"> </w:t>
      </w:r>
      <w:hyperlink w:anchor="_bookmark344" w:history="1">
        <w:r>
          <w:t>6.2</w:t>
        </w:r>
      </w:hyperlink>
      <w:r>
        <w:rPr>
          <w:spacing w:val="12"/>
        </w:rPr>
        <w:t xml:space="preserve"> </w:t>
      </w:r>
      <w:r>
        <w:rPr>
          <w:spacing w:val="-1"/>
        </w:rPr>
        <w:t>or</w:t>
      </w:r>
      <w:r>
        <w:rPr>
          <w:spacing w:val="16"/>
        </w:rPr>
        <w:t xml:space="preserve"> </w:t>
      </w:r>
      <w:hyperlink w:anchor="_bookmark345" w:history="1">
        <w:r>
          <w:rPr>
            <w:spacing w:val="-1"/>
          </w:rPr>
          <w:t>6.3</w:t>
        </w:r>
      </w:hyperlink>
      <w:r>
        <w:rPr>
          <w:spacing w:val="15"/>
        </w:rPr>
        <w:t xml:space="preserve"> </w:t>
      </w:r>
      <w:r>
        <w:rPr>
          <w:spacing w:val="-2"/>
        </w:rPr>
        <w:t>of</w:t>
      </w:r>
      <w:r>
        <w:rPr>
          <w:spacing w:val="16"/>
        </w:rPr>
        <w:t xml:space="preserve"> </w:t>
      </w:r>
      <w:r>
        <w:rPr>
          <w:spacing w:val="-1"/>
        </w:rPr>
        <w:t>this</w:t>
      </w:r>
      <w:r>
        <w:rPr>
          <w:spacing w:val="15"/>
        </w:rPr>
        <w:t xml:space="preserve"> </w:t>
      </w:r>
      <w:r>
        <w:rPr>
          <w:spacing w:val="-2"/>
        </w:rPr>
        <w:t>Call</w:t>
      </w:r>
      <w:r>
        <w:rPr>
          <w:spacing w:val="51"/>
        </w:rPr>
        <w:t xml:space="preserve"> </w:t>
      </w:r>
      <w:r>
        <w:rPr>
          <w:spacing w:val="-1"/>
        </w:rPr>
        <w:t>Off</w:t>
      </w:r>
      <w:r>
        <w:rPr>
          <w:spacing w:val="45"/>
        </w:rPr>
        <w:t xml:space="preserve"> </w:t>
      </w:r>
      <w:r>
        <w:rPr>
          <w:spacing w:val="-1"/>
        </w:rPr>
        <w:t>Schedule</w:t>
      </w:r>
      <w:r>
        <w:rPr>
          <w:spacing w:val="41"/>
        </w:rPr>
        <w:t xml:space="preserve"> </w:t>
      </w:r>
      <w:r>
        <w:rPr>
          <w:spacing w:val="-2"/>
        </w:rPr>
        <w:t>reveals</w:t>
      </w:r>
      <w:r>
        <w:rPr>
          <w:spacing w:val="44"/>
        </w:rPr>
        <w:t xml:space="preserve"> </w:t>
      </w:r>
      <w:r>
        <w:rPr>
          <w:spacing w:val="-1"/>
        </w:rPr>
        <w:t>any</w:t>
      </w:r>
      <w:r>
        <w:rPr>
          <w:spacing w:val="41"/>
        </w:rPr>
        <w:t xml:space="preserve"> </w:t>
      </w:r>
      <w:r>
        <w:rPr>
          <w:spacing w:val="-1"/>
        </w:rPr>
        <w:t>actual</w:t>
      </w:r>
      <w:r>
        <w:rPr>
          <w:spacing w:val="43"/>
        </w:rPr>
        <w:t xml:space="preserve"> </w:t>
      </w:r>
      <w:r>
        <w:rPr>
          <w:spacing w:val="-1"/>
        </w:rPr>
        <w:t>or</w:t>
      </w:r>
      <w:r>
        <w:rPr>
          <w:spacing w:val="45"/>
        </w:rPr>
        <w:t xml:space="preserve"> </w:t>
      </w:r>
      <w:r>
        <w:rPr>
          <w:spacing w:val="-1"/>
        </w:rPr>
        <w:t>potential</w:t>
      </w:r>
      <w:r>
        <w:rPr>
          <w:spacing w:val="44"/>
        </w:rPr>
        <w:t xml:space="preserve"> </w:t>
      </w:r>
      <w:r>
        <w:rPr>
          <w:spacing w:val="-1"/>
        </w:rPr>
        <w:t>Breach</w:t>
      </w:r>
      <w:r>
        <w:rPr>
          <w:spacing w:val="44"/>
        </w:rPr>
        <w:t xml:space="preserve"> </w:t>
      </w:r>
      <w:r>
        <w:rPr>
          <w:spacing w:val="-2"/>
        </w:rPr>
        <w:t>of</w:t>
      </w:r>
      <w:r>
        <w:rPr>
          <w:spacing w:val="45"/>
        </w:rPr>
        <w:t xml:space="preserve"> </w:t>
      </w:r>
      <w:r>
        <w:rPr>
          <w:spacing w:val="-1"/>
        </w:rPr>
        <w:t>Security</w:t>
      </w:r>
      <w:r>
        <w:rPr>
          <w:spacing w:val="42"/>
        </w:rPr>
        <w:t xml:space="preserve"> </w:t>
      </w:r>
      <w:r>
        <w:rPr>
          <w:spacing w:val="-1"/>
        </w:rPr>
        <w:t>or</w:t>
      </w:r>
      <w:r>
        <w:rPr>
          <w:spacing w:val="45"/>
        </w:rPr>
        <w:t xml:space="preserve"> </w:t>
      </w:r>
      <w:r>
        <w:rPr>
          <w:spacing w:val="-1"/>
        </w:rPr>
        <w:t>weaknesses</w:t>
      </w:r>
      <w:r>
        <w:rPr>
          <w:spacing w:val="43"/>
        </w:rPr>
        <w:t xml:space="preserve"> </w:t>
      </w:r>
      <w:r>
        <w:rPr>
          <w:spacing w:val="-1"/>
        </w:rPr>
        <w:t>(including</w:t>
      </w:r>
      <w:r>
        <w:rPr>
          <w:spacing w:val="58"/>
        </w:rPr>
        <w:t xml:space="preserve"> </w:t>
      </w:r>
      <w:r>
        <w:rPr>
          <w:spacing w:val="-1"/>
        </w:rPr>
        <w:t>un-patched</w:t>
      </w:r>
      <w:r>
        <w:rPr>
          <w:spacing w:val="55"/>
        </w:rPr>
        <w:t xml:space="preserve"> </w:t>
      </w:r>
      <w:r>
        <w:rPr>
          <w:spacing w:val="-2"/>
        </w:rPr>
        <w:t>vulnerabilities,</w:t>
      </w:r>
      <w:r>
        <w:rPr>
          <w:spacing w:val="57"/>
        </w:rPr>
        <w:t xml:space="preserve"> </w:t>
      </w:r>
      <w:r>
        <w:rPr>
          <w:spacing w:val="-1"/>
        </w:rPr>
        <w:t>poor</w:t>
      </w:r>
      <w:r>
        <w:rPr>
          <w:spacing w:val="57"/>
        </w:rPr>
        <w:t xml:space="preserve"> </w:t>
      </w:r>
      <w:r>
        <w:rPr>
          <w:spacing w:val="-1"/>
        </w:rPr>
        <w:t>configuration</w:t>
      </w:r>
      <w:r>
        <w:rPr>
          <w:spacing w:val="55"/>
        </w:rPr>
        <w:t xml:space="preserve"> </w:t>
      </w:r>
      <w:r>
        <w:rPr>
          <w:spacing w:val="-1"/>
        </w:rPr>
        <w:t>and/or</w:t>
      </w:r>
      <w:r>
        <w:rPr>
          <w:spacing w:val="57"/>
        </w:rPr>
        <w:t xml:space="preserve"> </w:t>
      </w:r>
      <w:r>
        <w:rPr>
          <w:spacing w:val="-2"/>
        </w:rPr>
        <w:t>incorrect</w:t>
      </w:r>
      <w:r>
        <w:rPr>
          <w:spacing w:val="58"/>
        </w:rPr>
        <w:t xml:space="preserve"> </w:t>
      </w:r>
      <w:r>
        <w:rPr>
          <w:spacing w:val="-1"/>
        </w:rPr>
        <w:t>system</w:t>
      </w:r>
      <w:r>
        <w:rPr>
          <w:spacing w:val="63"/>
        </w:rPr>
        <w:t xml:space="preserve"> </w:t>
      </w:r>
      <w:r>
        <w:rPr>
          <w:spacing w:val="-1"/>
        </w:rPr>
        <w:t>management),</w:t>
      </w:r>
      <w:r>
        <w:rPr>
          <w:spacing w:val="26"/>
        </w:rPr>
        <w:t xml:space="preserve"> </w:t>
      </w:r>
      <w:r>
        <w:t>the</w:t>
      </w:r>
      <w:r>
        <w:rPr>
          <w:spacing w:val="24"/>
        </w:rPr>
        <w:t xml:space="preserve"> </w:t>
      </w:r>
      <w:r>
        <w:rPr>
          <w:spacing w:val="-2"/>
        </w:rPr>
        <w:t>Supplier</w:t>
      </w:r>
      <w:r>
        <w:rPr>
          <w:spacing w:val="26"/>
        </w:rPr>
        <w:t xml:space="preserve"> </w:t>
      </w:r>
      <w:r>
        <w:rPr>
          <w:spacing w:val="-1"/>
        </w:rPr>
        <w:t>shall</w:t>
      </w:r>
      <w:r>
        <w:rPr>
          <w:spacing w:val="24"/>
        </w:rPr>
        <w:t xml:space="preserve"> </w:t>
      </w:r>
      <w:r>
        <w:rPr>
          <w:spacing w:val="-1"/>
        </w:rPr>
        <w:t>promptly</w:t>
      </w:r>
      <w:r>
        <w:rPr>
          <w:spacing w:val="22"/>
        </w:rPr>
        <w:t xml:space="preserve"> </w:t>
      </w:r>
      <w:r>
        <w:t>notify</w:t>
      </w:r>
      <w:r>
        <w:rPr>
          <w:spacing w:val="22"/>
        </w:rPr>
        <w:t xml:space="preserve"> </w:t>
      </w:r>
      <w:r>
        <w:t>the</w:t>
      </w:r>
      <w:r>
        <w:rPr>
          <w:spacing w:val="24"/>
        </w:rPr>
        <w:t xml:space="preserve"> </w:t>
      </w:r>
      <w:r>
        <w:rPr>
          <w:spacing w:val="-1"/>
        </w:rPr>
        <w:t>Customer</w:t>
      </w:r>
      <w:r>
        <w:rPr>
          <w:spacing w:val="26"/>
        </w:rPr>
        <w:t xml:space="preserve"> </w:t>
      </w:r>
      <w:r>
        <w:rPr>
          <w:spacing w:val="-2"/>
        </w:rPr>
        <w:t>of</w:t>
      </w:r>
      <w:r>
        <w:rPr>
          <w:spacing w:val="28"/>
        </w:rPr>
        <w:t xml:space="preserve"> </w:t>
      </w:r>
      <w:r>
        <w:rPr>
          <w:spacing w:val="-1"/>
        </w:rPr>
        <w:t>any</w:t>
      </w:r>
      <w:r>
        <w:rPr>
          <w:spacing w:val="22"/>
        </w:rPr>
        <w:t xml:space="preserve"> </w:t>
      </w:r>
      <w:r>
        <w:rPr>
          <w:spacing w:val="-1"/>
        </w:rPr>
        <w:t>changes</w:t>
      </w:r>
      <w:r>
        <w:rPr>
          <w:spacing w:val="22"/>
        </w:rPr>
        <w:t xml:space="preserve"> </w:t>
      </w:r>
      <w:r>
        <w:t>to</w:t>
      </w:r>
      <w:r>
        <w:rPr>
          <w:spacing w:val="45"/>
        </w:rPr>
        <w:t xml:space="preserve"> </w:t>
      </w:r>
      <w:r>
        <w:t>the</w:t>
      </w:r>
      <w:r>
        <w:rPr>
          <w:spacing w:val="20"/>
        </w:rPr>
        <w:t xml:space="preserve"> </w:t>
      </w:r>
      <w:r>
        <w:rPr>
          <w:spacing w:val="-1"/>
        </w:rPr>
        <w:t>ISMS</w:t>
      </w:r>
      <w:r>
        <w:rPr>
          <w:spacing w:val="19"/>
        </w:rPr>
        <w:t xml:space="preserve"> </w:t>
      </w:r>
      <w:r>
        <w:rPr>
          <w:spacing w:val="-1"/>
        </w:rPr>
        <w:t>and</w:t>
      </w:r>
      <w:r>
        <w:rPr>
          <w:spacing w:val="22"/>
        </w:rPr>
        <w:t xml:space="preserve"> </w:t>
      </w:r>
      <w:r>
        <w:t>to</w:t>
      </w:r>
      <w:r>
        <w:rPr>
          <w:spacing w:val="20"/>
        </w:rPr>
        <w:t xml:space="preserve"> </w:t>
      </w:r>
      <w:r>
        <w:t>the</w:t>
      </w:r>
      <w:r>
        <w:rPr>
          <w:spacing w:val="19"/>
        </w:rPr>
        <w:t xml:space="preserve"> </w:t>
      </w:r>
      <w:r>
        <w:rPr>
          <w:spacing w:val="-1"/>
        </w:rPr>
        <w:t>Security</w:t>
      </w:r>
      <w:r>
        <w:rPr>
          <w:spacing w:val="20"/>
        </w:rPr>
        <w:t xml:space="preserve"> </w:t>
      </w:r>
      <w:r>
        <w:rPr>
          <w:spacing w:val="-1"/>
        </w:rPr>
        <w:t>Management</w:t>
      </w:r>
      <w:r>
        <w:rPr>
          <w:spacing w:val="21"/>
        </w:rPr>
        <w:t xml:space="preserve"> </w:t>
      </w:r>
      <w:r>
        <w:rPr>
          <w:spacing w:val="-1"/>
        </w:rPr>
        <w:t>Plan</w:t>
      </w:r>
      <w:r>
        <w:rPr>
          <w:spacing w:val="20"/>
        </w:rPr>
        <w:t xml:space="preserve"> </w:t>
      </w:r>
      <w:r>
        <w:rPr>
          <w:spacing w:val="-1"/>
        </w:rPr>
        <w:t>(and</w:t>
      </w:r>
      <w:r>
        <w:rPr>
          <w:spacing w:val="19"/>
        </w:rPr>
        <w:t xml:space="preserve"> </w:t>
      </w:r>
      <w:r>
        <w:t>the</w:t>
      </w:r>
      <w:r>
        <w:rPr>
          <w:spacing w:val="20"/>
        </w:rPr>
        <w:t xml:space="preserve"> </w:t>
      </w:r>
      <w:r>
        <w:rPr>
          <w:spacing w:val="-1"/>
        </w:rPr>
        <w:t>implementation</w:t>
      </w:r>
      <w:r>
        <w:rPr>
          <w:spacing w:val="19"/>
        </w:rPr>
        <w:t xml:space="preserve"> </w:t>
      </w:r>
      <w:r>
        <w:rPr>
          <w:spacing w:val="-1"/>
        </w:rPr>
        <w:t>thereof)</w:t>
      </w:r>
      <w:r>
        <w:rPr>
          <w:spacing w:val="31"/>
        </w:rPr>
        <w:t xml:space="preserve"> </w:t>
      </w:r>
      <w:r>
        <w:rPr>
          <w:spacing w:val="-1"/>
        </w:rPr>
        <w:t>which</w:t>
      </w:r>
      <w:r>
        <w:rPr>
          <w:spacing w:val="13"/>
        </w:rPr>
        <w:t xml:space="preserve"> </w:t>
      </w:r>
      <w:r>
        <w:t>the</w:t>
      </w:r>
      <w:r>
        <w:rPr>
          <w:spacing w:val="12"/>
        </w:rPr>
        <w:t xml:space="preserve"> </w:t>
      </w:r>
      <w:r>
        <w:rPr>
          <w:spacing w:val="-1"/>
        </w:rPr>
        <w:t>Supplier</w:t>
      </w:r>
      <w:r>
        <w:rPr>
          <w:spacing w:val="14"/>
        </w:rPr>
        <w:t xml:space="preserve"> </w:t>
      </w:r>
      <w:r>
        <w:rPr>
          <w:spacing w:val="-1"/>
        </w:rPr>
        <w:t>proposes</w:t>
      </w:r>
      <w:r>
        <w:rPr>
          <w:spacing w:val="13"/>
        </w:rPr>
        <w:t xml:space="preserve"> </w:t>
      </w:r>
      <w:r>
        <w:t>to</w:t>
      </w:r>
      <w:r>
        <w:rPr>
          <w:spacing w:val="12"/>
        </w:rPr>
        <w:t xml:space="preserve"> </w:t>
      </w:r>
      <w:r>
        <w:rPr>
          <w:spacing w:val="-1"/>
        </w:rPr>
        <w:t>make</w:t>
      </w:r>
      <w:r>
        <w:rPr>
          <w:spacing w:val="12"/>
        </w:rPr>
        <w:t xml:space="preserve"> </w:t>
      </w:r>
      <w:r>
        <w:rPr>
          <w:spacing w:val="-1"/>
        </w:rPr>
        <w:t>in</w:t>
      </w:r>
      <w:r>
        <w:rPr>
          <w:spacing w:val="12"/>
        </w:rPr>
        <w:t xml:space="preserve"> </w:t>
      </w:r>
      <w:r>
        <w:rPr>
          <w:spacing w:val="-1"/>
        </w:rPr>
        <w:t>order</w:t>
      </w:r>
      <w:r>
        <w:rPr>
          <w:spacing w:val="14"/>
        </w:rPr>
        <w:t xml:space="preserve"> </w:t>
      </w:r>
      <w:r>
        <w:t>to</w:t>
      </w:r>
      <w:r>
        <w:rPr>
          <w:spacing w:val="10"/>
        </w:rPr>
        <w:t xml:space="preserve"> </w:t>
      </w:r>
      <w:r>
        <w:rPr>
          <w:spacing w:val="-1"/>
        </w:rPr>
        <w:t>correct</w:t>
      </w:r>
      <w:r>
        <w:rPr>
          <w:spacing w:val="14"/>
        </w:rPr>
        <w:t xml:space="preserve"> </w:t>
      </w:r>
      <w:r>
        <w:rPr>
          <w:spacing w:val="-1"/>
        </w:rPr>
        <w:t>such</w:t>
      </w:r>
      <w:r>
        <w:rPr>
          <w:spacing w:val="10"/>
        </w:rPr>
        <w:t xml:space="preserve"> </w:t>
      </w:r>
      <w:r>
        <w:rPr>
          <w:spacing w:val="-1"/>
        </w:rPr>
        <w:t>failure</w:t>
      </w:r>
      <w:r>
        <w:rPr>
          <w:spacing w:val="12"/>
        </w:rPr>
        <w:t xml:space="preserve"> </w:t>
      </w:r>
      <w:r>
        <w:rPr>
          <w:spacing w:val="-1"/>
        </w:rPr>
        <w:t>or</w:t>
      </w:r>
      <w:r>
        <w:rPr>
          <w:spacing w:val="11"/>
        </w:rPr>
        <w:t xml:space="preserve"> </w:t>
      </w:r>
      <w:r>
        <w:rPr>
          <w:spacing w:val="-1"/>
        </w:rPr>
        <w:t>weakness.</w:t>
      </w:r>
      <w:r>
        <w:rPr>
          <w:spacing w:val="46"/>
        </w:rPr>
        <w:t xml:space="preserve"> </w:t>
      </w:r>
      <w:r>
        <w:rPr>
          <w:spacing w:val="-1"/>
        </w:rPr>
        <w:t>Subject</w:t>
      </w:r>
      <w:r>
        <w:rPr>
          <w:spacing w:val="5"/>
        </w:rPr>
        <w:t xml:space="preserve"> </w:t>
      </w:r>
      <w:r>
        <w:t>to</w:t>
      </w:r>
      <w:r>
        <w:rPr>
          <w:spacing w:val="3"/>
        </w:rPr>
        <w:t xml:space="preserve"> </w:t>
      </w:r>
      <w:r>
        <w:t>the</w:t>
      </w:r>
      <w:r>
        <w:rPr>
          <w:spacing w:val="5"/>
        </w:rPr>
        <w:t xml:space="preserve"> </w:t>
      </w:r>
      <w:r>
        <w:rPr>
          <w:spacing w:val="-2"/>
        </w:rPr>
        <w:t>Customer's</w:t>
      </w:r>
      <w:r>
        <w:rPr>
          <w:spacing w:val="5"/>
        </w:rPr>
        <w:t xml:space="preserve"> </w:t>
      </w:r>
      <w:r>
        <w:rPr>
          <w:spacing w:val="-1"/>
        </w:rPr>
        <w:t>prior</w:t>
      </w:r>
      <w:r>
        <w:rPr>
          <w:spacing w:val="7"/>
        </w:rPr>
        <w:t xml:space="preserve"> </w:t>
      </w:r>
      <w:r>
        <w:rPr>
          <w:spacing w:val="-1"/>
        </w:rPr>
        <w:t>written</w:t>
      </w:r>
      <w:r>
        <w:rPr>
          <w:spacing w:val="3"/>
        </w:rPr>
        <w:t xml:space="preserve"> </w:t>
      </w:r>
      <w:r>
        <w:rPr>
          <w:spacing w:val="-2"/>
        </w:rPr>
        <w:t>Approval,</w:t>
      </w:r>
      <w:r>
        <w:rPr>
          <w:spacing w:val="7"/>
        </w:rPr>
        <w:t xml:space="preserve"> </w:t>
      </w:r>
      <w:r>
        <w:rPr>
          <w:spacing w:val="-1"/>
        </w:rP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2"/>
        </w:rPr>
        <w:t>implement</w:t>
      </w:r>
      <w:r>
        <w:rPr>
          <w:spacing w:val="7"/>
        </w:rPr>
        <w:t xml:space="preserve"> </w:t>
      </w:r>
      <w:r>
        <w:rPr>
          <w:spacing w:val="-1"/>
        </w:rPr>
        <w:t>such</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spacing w:before="59"/>
        <w:ind w:left="828" w:right="111" w:firstLine="0"/>
        <w:jc w:val="both"/>
      </w:pPr>
      <w:r>
        <w:rPr>
          <w:spacing w:val="-1"/>
        </w:rPr>
        <w:t>changes</w:t>
      </w:r>
      <w:r>
        <w:rPr>
          <w:spacing w:val="20"/>
        </w:rPr>
        <w:t xml:space="preserve"> </w:t>
      </w:r>
      <w:r>
        <w:rPr>
          <w:spacing w:val="-1"/>
        </w:rPr>
        <w:t>to</w:t>
      </w:r>
      <w:r>
        <w:rPr>
          <w:spacing w:val="19"/>
        </w:rPr>
        <w:t xml:space="preserve"> </w:t>
      </w:r>
      <w:r>
        <w:t>the</w:t>
      </w:r>
      <w:r>
        <w:rPr>
          <w:spacing w:val="20"/>
        </w:rPr>
        <w:t xml:space="preserve"> </w:t>
      </w:r>
      <w:r>
        <w:rPr>
          <w:spacing w:val="-1"/>
        </w:rPr>
        <w:t>ISMS</w:t>
      </w:r>
      <w:r>
        <w:rPr>
          <w:spacing w:val="19"/>
        </w:rPr>
        <w:t xml:space="preserve"> </w:t>
      </w:r>
      <w:r>
        <w:t>and</w:t>
      </w:r>
      <w:r>
        <w:rPr>
          <w:spacing w:val="20"/>
        </w:rPr>
        <w:t xml:space="preserve"> </w:t>
      </w:r>
      <w:r>
        <w:t>the</w:t>
      </w:r>
      <w:r>
        <w:rPr>
          <w:spacing w:val="19"/>
        </w:rPr>
        <w:t xml:space="preserve"> </w:t>
      </w:r>
      <w:r>
        <w:rPr>
          <w:spacing w:val="-1"/>
        </w:rPr>
        <w:t>Security</w:t>
      </w:r>
      <w:r>
        <w:rPr>
          <w:spacing w:val="20"/>
        </w:rPr>
        <w:t xml:space="preserve"> </w:t>
      </w:r>
      <w:r>
        <w:rPr>
          <w:spacing w:val="-1"/>
        </w:rPr>
        <w:t>Management</w:t>
      </w:r>
      <w:r>
        <w:rPr>
          <w:spacing w:val="21"/>
        </w:rPr>
        <w:t xml:space="preserve"> </w:t>
      </w:r>
      <w:r>
        <w:rPr>
          <w:spacing w:val="-1"/>
        </w:rPr>
        <w:t>Plan</w:t>
      </w:r>
      <w:r>
        <w:rPr>
          <w:spacing w:val="19"/>
        </w:rPr>
        <w:t xml:space="preserve"> </w:t>
      </w:r>
      <w:r>
        <w:rPr>
          <w:spacing w:val="-1"/>
        </w:rPr>
        <w:t>and</w:t>
      </w:r>
      <w:r>
        <w:rPr>
          <w:spacing w:val="20"/>
        </w:rPr>
        <w:t xml:space="preserve"> </w:t>
      </w:r>
      <w:r>
        <w:rPr>
          <w:spacing w:val="-1"/>
        </w:rPr>
        <w:t>repeat</w:t>
      </w:r>
      <w:r>
        <w:rPr>
          <w:spacing w:val="21"/>
        </w:rPr>
        <w:t xml:space="preserve"> </w:t>
      </w:r>
      <w:r>
        <w:t>the</w:t>
      </w:r>
      <w:r>
        <w:rPr>
          <w:spacing w:val="19"/>
        </w:rPr>
        <w:t xml:space="preserve"> </w:t>
      </w:r>
      <w:r>
        <w:rPr>
          <w:spacing w:val="-2"/>
        </w:rPr>
        <w:t>relevant</w:t>
      </w:r>
      <w:r>
        <w:rPr>
          <w:spacing w:val="45"/>
        </w:rPr>
        <w:t xml:space="preserve"> </w:t>
      </w:r>
      <w:r>
        <w:rPr>
          <w:spacing w:val="-1"/>
        </w:rPr>
        <w:t>Security</w:t>
      </w:r>
      <w:r>
        <w:rPr>
          <w:spacing w:val="53"/>
        </w:rPr>
        <w:t xml:space="preserve"> </w:t>
      </w:r>
      <w:r>
        <w:rPr>
          <w:spacing w:val="-1"/>
        </w:rPr>
        <w:t>Tests</w:t>
      </w:r>
      <w:r>
        <w:rPr>
          <w:spacing w:val="56"/>
        </w:rPr>
        <w:t xml:space="preserve"> </w:t>
      </w:r>
      <w:r>
        <w:rPr>
          <w:spacing w:val="-1"/>
        </w:rPr>
        <w:t>in</w:t>
      </w:r>
      <w:r>
        <w:rPr>
          <w:spacing w:val="55"/>
        </w:rPr>
        <w:t xml:space="preserve"> </w:t>
      </w:r>
      <w:r>
        <w:rPr>
          <w:spacing w:val="-1"/>
        </w:rPr>
        <w:t>accordance</w:t>
      </w:r>
      <w:r>
        <w:rPr>
          <w:spacing w:val="56"/>
        </w:rPr>
        <w:t xml:space="preserve"> </w:t>
      </w:r>
      <w:r>
        <w:rPr>
          <w:spacing w:val="-1"/>
        </w:rPr>
        <w:t>with</w:t>
      </w:r>
      <w:r>
        <w:rPr>
          <w:spacing w:val="55"/>
        </w:rPr>
        <w:t xml:space="preserve"> </w:t>
      </w:r>
      <w:r>
        <w:t>the</w:t>
      </w:r>
      <w:r>
        <w:rPr>
          <w:spacing w:val="55"/>
        </w:rPr>
        <w:t xml:space="preserve"> </w:t>
      </w:r>
      <w:r>
        <w:rPr>
          <w:spacing w:val="-1"/>
        </w:rPr>
        <w:t>timetable</w:t>
      </w:r>
      <w:r>
        <w:rPr>
          <w:spacing w:val="56"/>
        </w:rPr>
        <w:t xml:space="preserve"> </w:t>
      </w:r>
      <w:r>
        <w:rPr>
          <w:spacing w:val="-1"/>
        </w:rPr>
        <w:t>agreed</w:t>
      </w:r>
      <w:r>
        <w:rPr>
          <w:spacing w:val="55"/>
        </w:rPr>
        <w:t xml:space="preserve"> </w:t>
      </w:r>
      <w:r>
        <w:rPr>
          <w:spacing w:val="-2"/>
        </w:rPr>
        <w:t>with</w:t>
      </w:r>
      <w:r>
        <w:rPr>
          <w:spacing w:val="55"/>
        </w:rPr>
        <w:t xml:space="preserve"> </w:t>
      </w:r>
      <w:r>
        <w:t>the</w:t>
      </w:r>
      <w:r>
        <w:rPr>
          <w:spacing w:val="55"/>
        </w:rPr>
        <w:t xml:space="preserve"> </w:t>
      </w:r>
      <w:r>
        <w:rPr>
          <w:spacing w:val="-1"/>
        </w:rPr>
        <w:t>Customer</w:t>
      </w:r>
      <w:r>
        <w:rPr>
          <w:spacing w:val="57"/>
        </w:rPr>
        <w:t xml:space="preserve"> </w:t>
      </w:r>
      <w:r>
        <w:rPr>
          <w:spacing w:val="-1"/>
        </w:rPr>
        <w:t>or,</w:t>
      </w:r>
      <w:r>
        <w:rPr>
          <w:spacing w:val="43"/>
        </w:rPr>
        <w:t xml:space="preserve"> </w:t>
      </w:r>
      <w:r>
        <w:rPr>
          <w:spacing w:val="-1"/>
        </w:rPr>
        <w:t>otherwise,</w:t>
      </w:r>
      <w:r>
        <w:rPr>
          <w:spacing w:val="9"/>
        </w:rPr>
        <w:t xml:space="preserve"> </w:t>
      </w:r>
      <w:r>
        <w:rPr>
          <w:spacing w:val="-1"/>
        </w:rPr>
        <w:t>as</w:t>
      </w:r>
      <w:r>
        <w:rPr>
          <w:spacing w:val="8"/>
        </w:rPr>
        <w:t xml:space="preserve"> </w:t>
      </w:r>
      <w:r>
        <w:rPr>
          <w:spacing w:val="-1"/>
        </w:rPr>
        <w:t>soon</w:t>
      </w:r>
      <w:r>
        <w:rPr>
          <w:spacing w:val="5"/>
        </w:rPr>
        <w:t xml:space="preserve"> </w:t>
      </w:r>
      <w:r>
        <w:rPr>
          <w:spacing w:val="-1"/>
        </w:rPr>
        <w:t>as</w:t>
      </w:r>
      <w:r>
        <w:rPr>
          <w:spacing w:val="5"/>
        </w:rPr>
        <w:t xml:space="preserve"> </w:t>
      </w:r>
      <w:r>
        <w:rPr>
          <w:spacing w:val="-1"/>
        </w:rPr>
        <w:t>reasonably</w:t>
      </w:r>
      <w:r>
        <w:rPr>
          <w:spacing w:val="5"/>
        </w:rPr>
        <w:t xml:space="preserve"> </w:t>
      </w:r>
      <w:r>
        <w:rPr>
          <w:spacing w:val="-1"/>
        </w:rPr>
        <w:t>possible.</w:t>
      </w:r>
      <w:r>
        <w:rPr>
          <w:spacing w:val="17"/>
        </w:rPr>
        <w:t xml:space="preserve"> </w:t>
      </w:r>
      <w:r>
        <w:rPr>
          <w:spacing w:val="-1"/>
        </w:rPr>
        <w:t>For</w:t>
      </w:r>
      <w:r>
        <w:rPr>
          <w:spacing w:val="6"/>
        </w:rPr>
        <w:t xml:space="preserve"> </w:t>
      </w:r>
      <w:r>
        <w:rPr>
          <w:spacing w:val="-1"/>
        </w:rPr>
        <w:t>the</w:t>
      </w:r>
      <w:r>
        <w:rPr>
          <w:spacing w:val="7"/>
        </w:rPr>
        <w:t xml:space="preserve"> </w:t>
      </w:r>
      <w:r>
        <w:rPr>
          <w:spacing w:val="-2"/>
        </w:rPr>
        <w:t>avoidance</w:t>
      </w:r>
      <w:r>
        <w:rPr>
          <w:spacing w:val="8"/>
        </w:rPr>
        <w:t xml:space="preserve"> </w:t>
      </w:r>
      <w:r>
        <w:rPr>
          <w:spacing w:val="-1"/>
        </w:rPr>
        <w:t>of</w:t>
      </w:r>
      <w:r>
        <w:rPr>
          <w:spacing w:val="9"/>
        </w:rPr>
        <w:t xml:space="preserve"> </w:t>
      </w:r>
      <w:r>
        <w:rPr>
          <w:spacing w:val="-1"/>
        </w:rPr>
        <w:t>doubt,</w:t>
      </w:r>
      <w:r>
        <w:rPr>
          <w:spacing w:val="7"/>
        </w:rPr>
        <w:t xml:space="preserve"> </w:t>
      </w:r>
      <w:r>
        <w:rPr>
          <w:spacing w:val="-2"/>
        </w:rPr>
        <w:t>where</w:t>
      </w:r>
      <w:r>
        <w:rPr>
          <w:spacing w:val="7"/>
        </w:rPr>
        <w:t xml:space="preserve"> </w:t>
      </w:r>
      <w:r>
        <w:rPr>
          <w:spacing w:val="-1"/>
        </w:rPr>
        <w:t>the</w:t>
      </w:r>
      <w:r>
        <w:rPr>
          <w:spacing w:val="40"/>
        </w:rPr>
        <w:t xml:space="preserve"> </w:t>
      </w:r>
      <w:r>
        <w:rPr>
          <w:spacing w:val="-1"/>
        </w:rPr>
        <w:t>change</w:t>
      </w:r>
      <w:r>
        <w:rPr>
          <w:spacing w:val="7"/>
        </w:rPr>
        <w:t xml:space="preserve"> </w:t>
      </w:r>
      <w:r>
        <w:t>to</w:t>
      </w:r>
      <w:r>
        <w:rPr>
          <w:spacing w:val="7"/>
        </w:rPr>
        <w:t xml:space="preserve"> </w:t>
      </w:r>
      <w:r>
        <w:t>the</w:t>
      </w:r>
      <w:r>
        <w:rPr>
          <w:spacing w:val="7"/>
        </w:rPr>
        <w:t xml:space="preserve"> </w:t>
      </w:r>
      <w:r>
        <w:rPr>
          <w:spacing w:val="-1"/>
        </w:rPr>
        <w:t>ISMS</w:t>
      </w:r>
      <w:r>
        <w:rPr>
          <w:spacing w:val="9"/>
        </w:rPr>
        <w:t xml:space="preserve"> </w:t>
      </w:r>
      <w:r>
        <w:rPr>
          <w:spacing w:val="-1"/>
        </w:rPr>
        <w:t>or</w:t>
      </w:r>
      <w:r>
        <w:rPr>
          <w:spacing w:val="11"/>
        </w:rPr>
        <w:t xml:space="preserve"> </w:t>
      </w:r>
      <w:r>
        <w:rPr>
          <w:spacing w:val="-1"/>
        </w:rPr>
        <w:t>Security</w:t>
      </w:r>
      <w:r>
        <w:rPr>
          <w:spacing w:val="8"/>
        </w:rPr>
        <w:t xml:space="preserve"> </w:t>
      </w:r>
      <w:r>
        <w:rPr>
          <w:spacing w:val="-1"/>
        </w:rPr>
        <w:t>Management</w:t>
      </w:r>
      <w:r>
        <w:rPr>
          <w:spacing w:val="11"/>
        </w:rPr>
        <w:t xml:space="preserve"> </w:t>
      </w:r>
      <w:r>
        <w:rPr>
          <w:spacing w:val="-2"/>
        </w:rPr>
        <w:t>Plan</w:t>
      </w:r>
      <w:r>
        <w:rPr>
          <w:spacing w:val="10"/>
        </w:rPr>
        <w:t xml:space="preserve"> </w:t>
      </w:r>
      <w:r>
        <w:rPr>
          <w:spacing w:val="-1"/>
        </w:rPr>
        <w:t>is</w:t>
      </w:r>
      <w:r>
        <w:rPr>
          <w:spacing w:val="10"/>
        </w:rPr>
        <w:t xml:space="preserve"> </w:t>
      </w:r>
      <w:r>
        <w:t>to</w:t>
      </w:r>
      <w:r>
        <w:rPr>
          <w:spacing w:val="10"/>
        </w:rPr>
        <w:t xml:space="preserve"> </w:t>
      </w:r>
      <w:r>
        <w:rPr>
          <w:spacing w:val="-1"/>
        </w:rPr>
        <w:t>address</w:t>
      </w:r>
      <w:r>
        <w:rPr>
          <w:spacing w:val="11"/>
        </w:rPr>
        <w:t xml:space="preserve"> </w:t>
      </w:r>
      <w:r>
        <w:t>a</w:t>
      </w:r>
      <w:r>
        <w:rPr>
          <w:spacing w:val="10"/>
        </w:rPr>
        <w:t xml:space="preserve"> </w:t>
      </w:r>
      <w:r>
        <w:rPr>
          <w:spacing w:val="-2"/>
        </w:rPr>
        <w:t>non-compliance</w:t>
      </w:r>
      <w:r>
        <w:rPr>
          <w:spacing w:val="56"/>
        </w:rPr>
        <w:t xml:space="preserve"> </w:t>
      </w:r>
      <w:r>
        <w:rPr>
          <w:spacing w:val="-1"/>
        </w:rPr>
        <w:t>with</w:t>
      </w:r>
      <w:r>
        <w:t xml:space="preserve"> the </w:t>
      </w:r>
      <w:r>
        <w:rPr>
          <w:spacing w:val="-1"/>
        </w:rPr>
        <w:t xml:space="preserve">Security </w:t>
      </w:r>
      <w:r>
        <w:rPr>
          <w:spacing w:val="-2"/>
        </w:rPr>
        <w:t>Policy</w:t>
      </w:r>
      <w:r>
        <w:rPr>
          <w:spacing w:val="-1"/>
        </w:rPr>
        <w:t xml:space="preserve"> or</w:t>
      </w:r>
      <w:r>
        <w:rPr>
          <w:spacing w:val="2"/>
        </w:rPr>
        <w:t xml:space="preserve"> </w:t>
      </w:r>
      <w:r>
        <w:rPr>
          <w:spacing w:val="-1"/>
        </w:rPr>
        <w:t>security</w:t>
      </w:r>
      <w:r>
        <w:rPr>
          <w:spacing w:val="-2"/>
        </w:rPr>
        <w:t xml:space="preserve"> </w:t>
      </w:r>
      <w:r>
        <w:rPr>
          <w:spacing w:val="-1"/>
        </w:rPr>
        <w:t>requirements</w:t>
      </w:r>
      <w:r>
        <w:rPr>
          <w:spacing w:val="-2"/>
        </w:rPr>
        <w:t xml:space="preserve"> </w:t>
      </w:r>
      <w:r>
        <w:rPr>
          <w:spacing w:val="-1"/>
        </w:rPr>
        <w:t>(as</w:t>
      </w:r>
      <w:r>
        <w:rPr>
          <w:spacing w:val="1"/>
        </w:rPr>
        <w:t xml:space="preserve"> </w:t>
      </w:r>
      <w:r>
        <w:rPr>
          <w:spacing w:val="-1"/>
        </w:rPr>
        <w:t>set</w:t>
      </w:r>
      <w:r>
        <w:t xml:space="preserve"> </w:t>
      </w:r>
      <w:r>
        <w:rPr>
          <w:spacing w:val="-1"/>
        </w:rPr>
        <w:t>out</w:t>
      </w:r>
      <w:r>
        <w:t xml:space="preserve"> </w:t>
      </w:r>
      <w:r>
        <w:rPr>
          <w:spacing w:val="-1"/>
        </w:rPr>
        <w:t>in</w:t>
      </w:r>
      <w:r>
        <w:t xml:space="preserve"> </w:t>
      </w:r>
      <w:r>
        <w:rPr>
          <w:spacing w:val="-1"/>
        </w:rPr>
        <w:t>Annex</w:t>
      </w:r>
      <w:r>
        <w:rPr>
          <w:spacing w:val="-2"/>
        </w:rPr>
        <w:t xml:space="preserve"> </w:t>
      </w:r>
      <w:r>
        <w:t>1</w:t>
      </w:r>
      <w:r>
        <w:rPr>
          <w:spacing w:val="1"/>
        </w:rPr>
        <w:t xml:space="preserve"> </w:t>
      </w:r>
      <w:r>
        <w:rPr>
          <w:spacing w:val="-2"/>
        </w:rPr>
        <w:t>(Security)</w:t>
      </w:r>
      <w:r>
        <w:rPr>
          <w:spacing w:val="2"/>
        </w:rPr>
        <w:t xml:space="preserve"> </w:t>
      </w:r>
      <w:r>
        <w:rPr>
          <w:spacing w:val="-1"/>
        </w:rPr>
        <w:t>to</w:t>
      </w:r>
      <w:r>
        <w:rPr>
          <w:spacing w:val="55"/>
        </w:rPr>
        <w:t xml:space="preserve"> </w:t>
      </w:r>
      <w:r>
        <w:rPr>
          <w:spacing w:val="-1"/>
        </w:rPr>
        <w:t>this</w:t>
      </w:r>
      <w:r>
        <w:rPr>
          <w:spacing w:val="5"/>
        </w:rPr>
        <w:t xml:space="preserve"> </w:t>
      </w:r>
      <w:r>
        <w:rPr>
          <w:spacing w:val="-2"/>
        </w:rPr>
        <w:t>Call</w:t>
      </w:r>
      <w:r>
        <w:rPr>
          <w:spacing w:val="4"/>
        </w:rPr>
        <w:t xml:space="preserve"> </w:t>
      </w:r>
      <w:r>
        <w:t>Off</w:t>
      </w:r>
      <w:r>
        <w:rPr>
          <w:spacing w:val="7"/>
        </w:rPr>
        <w:t xml:space="preserve"> </w:t>
      </w:r>
      <w:r>
        <w:rPr>
          <w:spacing w:val="-1"/>
        </w:rPr>
        <w:t>Schedule)</w:t>
      </w:r>
      <w:r>
        <w:rPr>
          <w:spacing w:val="6"/>
        </w:rPr>
        <w:t xml:space="preserve"> </w:t>
      </w:r>
      <w:r>
        <w:rPr>
          <w:spacing w:val="-2"/>
        </w:rPr>
        <w:t>or</w:t>
      </w:r>
      <w:r>
        <w:rPr>
          <w:spacing w:val="6"/>
        </w:rPr>
        <w:t xml:space="preserve"> </w:t>
      </w:r>
      <w:r>
        <w:t>the</w:t>
      </w:r>
      <w:r>
        <w:rPr>
          <w:spacing w:val="5"/>
        </w:rPr>
        <w:t xml:space="preserve"> </w:t>
      </w:r>
      <w:r>
        <w:rPr>
          <w:spacing w:val="-1"/>
        </w:rPr>
        <w:t>requirements</w:t>
      </w:r>
      <w:r>
        <w:rPr>
          <w:spacing w:val="5"/>
        </w:rPr>
        <w:t xml:space="preserve"> </w:t>
      </w:r>
      <w:r>
        <w:rPr>
          <w:spacing w:val="-2"/>
        </w:rPr>
        <w:t>of</w:t>
      </w:r>
      <w:r>
        <w:rPr>
          <w:spacing w:val="6"/>
        </w:rPr>
        <w:t xml:space="preserve"> </w:t>
      </w:r>
      <w:r>
        <w:rPr>
          <w:spacing w:val="-1"/>
        </w:rPr>
        <w:t>this</w:t>
      </w:r>
      <w:r>
        <w:rPr>
          <w:spacing w:val="8"/>
        </w:rPr>
        <w:t xml:space="preserve"> </w:t>
      </w:r>
      <w:r>
        <w:rPr>
          <w:spacing w:val="-2"/>
        </w:rPr>
        <w:t>Call</w:t>
      </w:r>
      <w:r>
        <w:rPr>
          <w:spacing w:val="4"/>
        </w:rPr>
        <w:t xml:space="preserve"> </w:t>
      </w:r>
      <w:r>
        <w:t>Off</w:t>
      </w:r>
      <w:r>
        <w:rPr>
          <w:spacing w:val="7"/>
        </w:rPr>
        <w:t xml:space="preserve"> </w:t>
      </w:r>
      <w:r>
        <w:rPr>
          <w:spacing w:val="-1"/>
        </w:rPr>
        <w:t>Schedule,</w:t>
      </w:r>
      <w:r>
        <w:rPr>
          <w:spacing w:val="7"/>
        </w:rPr>
        <w:t xml:space="preserve"> </w:t>
      </w:r>
      <w:r>
        <w:t>the</w:t>
      </w:r>
      <w:r>
        <w:rPr>
          <w:spacing w:val="3"/>
        </w:rPr>
        <w:t xml:space="preserve"> </w:t>
      </w:r>
      <w:r>
        <w:rPr>
          <w:spacing w:val="-1"/>
        </w:rPr>
        <w:t>change</w:t>
      </w:r>
      <w:r>
        <w:rPr>
          <w:spacing w:val="3"/>
        </w:rPr>
        <w:t xml:space="preserve"> </w:t>
      </w:r>
      <w:r>
        <w:rPr>
          <w:spacing w:val="-1"/>
        </w:rPr>
        <w:t>to</w:t>
      </w:r>
      <w:r>
        <w:rPr>
          <w:spacing w:val="51"/>
        </w:rPr>
        <w:t xml:space="preserve"> </w:t>
      </w:r>
      <w:r>
        <w:t>the</w:t>
      </w:r>
      <w:r>
        <w:rPr>
          <w:spacing w:val="-2"/>
        </w:rPr>
        <w:t xml:space="preserve"> </w:t>
      </w:r>
      <w:r>
        <w:rPr>
          <w:spacing w:val="-1"/>
        </w:rPr>
        <w:t>ISMS</w:t>
      </w:r>
      <w:r>
        <w:t xml:space="preserve"> </w:t>
      </w:r>
      <w:r>
        <w:rPr>
          <w:spacing w:val="-1"/>
        </w:rPr>
        <w:t>or</w:t>
      </w:r>
      <w:r>
        <w:rPr>
          <w:spacing w:val="2"/>
        </w:rPr>
        <w:t xml:space="preserve"> </w:t>
      </w:r>
      <w:r>
        <w:rPr>
          <w:spacing w:val="-1"/>
        </w:rPr>
        <w:t>Security</w:t>
      </w:r>
      <w:r>
        <w:rPr>
          <w:spacing w:val="-2"/>
        </w:rPr>
        <w:t xml:space="preserve"> </w:t>
      </w:r>
      <w:r>
        <w:rPr>
          <w:spacing w:val="-1"/>
        </w:rPr>
        <w:t>Management</w:t>
      </w:r>
      <w:r>
        <w:t xml:space="preserve"> </w:t>
      </w:r>
      <w:r>
        <w:rPr>
          <w:spacing w:val="-1"/>
        </w:rPr>
        <w:t>Plan</w:t>
      </w:r>
      <w:r>
        <w:t xml:space="preserve"> </w:t>
      </w:r>
      <w:r>
        <w:rPr>
          <w:spacing w:val="-1"/>
        </w:rPr>
        <w:t>shall</w:t>
      </w:r>
      <w:r>
        <w:t xml:space="preserve"> </w:t>
      </w:r>
      <w:r>
        <w:rPr>
          <w:spacing w:val="-1"/>
        </w:rPr>
        <w:t>be</w:t>
      </w:r>
      <w:r>
        <w:rPr>
          <w:spacing w:val="-2"/>
        </w:rPr>
        <w:t xml:space="preserve"> </w:t>
      </w:r>
      <w:r>
        <w:rPr>
          <w:spacing w:val="-1"/>
        </w:rPr>
        <w:t>at</w:t>
      </w:r>
      <w:r>
        <w:rPr>
          <w:spacing w:val="2"/>
        </w:rPr>
        <w:t xml:space="preserve"> </w:t>
      </w:r>
      <w:r>
        <w:rPr>
          <w:spacing w:val="-1"/>
        </w:rPr>
        <w:t>no</w:t>
      </w:r>
      <w:r>
        <w:rPr>
          <w:spacing w:val="-2"/>
        </w:rPr>
        <w:t xml:space="preserve"> </w:t>
      </w:r>
      <w:r>
        <w:rPr>
          <w:spacing w:val="-1"/>
        </w:rPr>
        <w:t>cost</w:t>
      </w:r>
      <w:r>
        <w:t xml:space="preserve"> to</w:t>
      </w:r>
      <w:r>
        <w:rPr>
          <w:spacing w:val="-2"/>
        </w:rPr>
        <w:t xml:space="preserve"> </w:t>
      </w:r>
      <w:r>
        <w:t xml:space="preserve">the </w:t>
      </w:r>
      <w:r>
        <w:rPr>
          <w:spacing w:val="-1"/>
        </w:rPr>
        <w:t>Customer.</w:t>
      </w:r>
    </w:p>
    <w:p w:rsidR="008918FA" w:rsidRDefault="008918FA" w:rsidP="008918FA">
      <w:pPr>
        <w:pStyle w:val="BodyText"/>
        <w:numPr>
          <w:ilvl w:val="1"/>
          <w:numId w:val="14"/>
        </w:numPr>
        <w:tabs>
          <w:tab w:val="left" w:pos="829"/>
        </w:tabs>
        <w:spacing w:before="121"/>
        <w:ind w:left="828" w:right="114"/>
        <w:jc w:val="both"/>
      </w:pPr>
      <w:r>
        <w:rPr>
          <w:spacing w:val="-1"/>
        </w:rPr>
        <w:t>If</w:t>
      </w:r>
      <w:r>
        <w:rPr>
          <w:spacing w:val="35"/>
        </w:rPr>
        <w:t xml:space="preserve"> </w:t>
      </w:r>
      <w:r>
        <w:rPr>
          <w:spacing w:val="-1"/>
        </w:rPr>
        <w:t>any</w:t>
      </w:r>
      <w:r>
        <w:rPr>
          <w:spacing w:val="30"/>
        </w:rPr>
        <w:t xml:space="preserve"> </w:t>
      </w:r>
      <w:r>
        <w:rPr>
          <w:spacing w:val="-1"/>
        </w:rPr>
        <w:t>repeat</w:t>
      </w:r>
      <w:r>
        <w:rPr>
          <w:spacing w:val="33"/>
        </w:rPr>
        <w:t xml:space="preserve"> </w:t>
      </w:r>
      <w:r>
        <w:rPr>
          <w:spacing w:val="-1"/>
        </w:rPr>
        <w:t>Security</w:t>
      </w:r>
      <w:r>
        <w:rPr>
          <w:spacing w:val="27"/>
        </w:rPr>
        <w:t xml:space="preserve"> </w:t>
      </w:r>
      <w:r>
        <w:rPr>
          <w:spacing w:val="-1"/>
        </w:rPr>
        <w:t>Test</w:t>
      </w:r>
      <w:r>
        <w:rPr>
          <w:spacing w:val="34"/>
        </w:rPr>
        <w:t xml:space="preserve"> </w:t>
      </w:r>
      <w:r>
        <w:rPr>
          <w:spacing w:val="-1"/>
        </w:rPr>
        <w:t>carried</w:t>
      </w:r>
      <w:r>
        <w:rPr>
          <w:spacing w:val="31"/>
        </w:rPr>
        <w:t xml:space="preserve"> </w:t>
      </w:r>
      <w:r>
        <w:rPr>
          <w:spacing w:val="-1"/>
        </w:rPr>
        <w:t>out</w:t>
      </w:r>
      <w:r>
        <w:rPr>
          <w:spacing w:val="33"/>
        </w:rPr>
        <w:t xml:space="preserve"> </w:t>
      </w:r>
      <w:r>
        <w:rPr>
          <w:spacing w:val="-2"/>
        </w:rPr>
        <w:t>pursuant</w:t>
      </w:r>
      <w:r>
        <w:rPr>
          <w:spacing w:val="30"/>
        </w:rPr>
        <w:t xml:space="preserve"> </w:t>
      </w:r>
      <w:r>
        <w:t>to</w:t>
      </w:r>
      <w:r>
        <w:rPr>
          <w:spacing w:val="32"/>
        </w:rPr>
        <w:t xml:space="preserve"> </w:t>
      </w:r>
      <w:r>
        <w:rPr>
          <w:spacing w:val="-1"/>
        </w:rPr>
        <w:t>paragraph</w:t>
      </w:r>
      <w:r>
        <w:rPr>
          <w:spacing w:val="2"/>
        </w:rPr>
        <w:t xml:space="preserve"> </w:t>
      </w:r>
      <w:hyperlink w:anchor="_bookmark346" w:history="1">
        <w:r>
          <w:rPr>
            <w:spacing w:val="-1"/>
          </w:rPr>
          <w:t>6.4</w:t>
        </w:r>
      </w:hyperlink>
      <w:r>
        <w:rPr>
          <w:spacing w:val="31"/>
        </w:rPr>
        <w:t xml:space="preserve"> </w:t>
      </w:r>
      <w:r>
        <w:rPr>
          <w:spacing w:val="-2"/>
        </w:rPr>
        <w:t>of</w:t>
      </w:r>
      <w:r>
        <w:rPr>
          <w:spacing w:val="33"/>
        </w:rPr>
        <w:t xml:space="preserve"> </w:t>
      </w:r>
      <w:r>
        <w:rPr>
          <w:spacing w:val="-1"/>
        </w:rPr>
        <w:t>this</w:t>
      </w:r>
      <w:r>
        <w:rPr>
          <w:spacing w:val="30"/>
        </w:rPr>
        <w:t xml:space="preserve"> </w:t>
      </w:r>
      <w:r>
        <w:rPr>
          <w:spacing w:val="-2"/>
        </w:rPr>
        <w:t>Call</w:t>
      </w:r>
      <w:r>
        <w:rPr>
          <w:spacing w:val="31"/>
        </w:rPr>
        <w:t xml:space="preserve"> </w:t>
      </w:r>
      <w:r>
        <w:rPr>
          <w:spacing w:val="-1"/>
        </w:rPr>
        <w:t>Off</w:t>
      </w:r>
      <w:r>
        <w:rPr>
          <w:spacing w:val="53"/>
        </w:rPr>
        <w:t xml:space="preserve"> </w:t>
      </w:r>
      <w:r>
        <w:rPr>
          <w:spacing w:val="-1"/>
        </w:rPr>
        <w:t>Schedule</w:t>
      </w:r>
      <w:r>
        <w:rPr>
          <w:spacing w:val="6"/>
        </w:rPr>
        <w:t xml:space="preserve"> </w:t>
      </w:r>
      <w:r>
        <w:rPr>
          <w:spacing w:val="-2"/>
        </w:rPr>
        <w:t>reveals</w:t>
      </w:r>
      <w:r>
        <w:rPr>
          <w:spacing w:val="5"/>
        </w:rPr>
        <w:t xml:space="preserve"> </w:t>
      </w:r>
      <w:r>
        <w:rPr>
          <w:spacing w:val="-1"/>
        </w:rPr>
        <w:t>an</w:t>
      </w:r>
      <w:r>
        <w:rPr>
          <w:spacing w:val="5"/>
        </w:rPr>
        <w:t xml:space="preserve"> </w:t>
      </w:r>
      <w:r>
        <w:rPr>
          <w:spacing w:val="-1"/>
        </w:rPr>
        <w:t>actual</w:t>
      </w:r>
      <w:r>
        <w:rPr>
          <w:spacing w:val="4"/>
        </w:rPr>
        <w:t xml:space="preserve"> </w:t>
      </w:r>
      <w:r>
        <w:rPr>
          <w:spacing w:val="-1"/>
        </w:rPr>
        <w:t>or</w:t>
      </w:r>
      <w:r>
        <w:rPr>
          <w:spacing w:val="6"/>
        </w:rPr>
        <w:t xml:space="preserve"> </w:t>
      </w:r>
      <w:r>
        <w:rPr>
          <w:spacing w:val="-1"/>
        </w:rPr>
        <w:t>potential</w:t>
      </w:r>
      <w:r>
        <w:rPr>
          <w:spacing w:val="6"/>
        </w:rPr>
        <w:t xml:space="preserve"> </w:t>
      </w:r>
      <w:r>
        <w:rPr>
          <w:spacing w:val="-1"/>
        </w:rPr>
        <w:t>Breach</w:t>
      </w:r>
      <w:r>
        <w:rPr>
          <w:spacing w:val="5"/>
        </w:rPr>
        <w:t xml:space="preserve"> </w:t>
      </w:r>
      <w:r>
        <w:rPr>
          <w:spacing w:val="-2"/>
        </w:rPr>
        <w:t>of</w:t>
      </w:r>
      <w:r>
        <w:rPr>
          <w:spacing w:val="9"/>
        </w:rPr>
        <w:t xml:space="preserve"> </w:t>
      </w:r>
      <w:r>
        <w:rPr>
          <w:spacing w:val="-1"/>
        </w:rPr>
        <w:t>Security</w:t>
      </w:r>
      <w:r>
        <w:rPr>
          <w:spacing w:val="3"/>
        </w:rPr>
        <w:t xml:space="preserve"> </w:t>
      </w:r>
      <w:r>
        <w:rPr>
          <w:spacing w:val="-2"/>
        </w:rPr>
        <w:t>exploiting</w:t>
      </w:r>
      <w:r>
        <w:rPr>
          <w:spacing w:val="7"/>
        </w:rPr>
        <w:t xml:space="preserve"> </w:t>
      </w:r>
      <w:r>
        <w:t>the</w:t>
      </w:r>
      <w:r>
        <w:rPr>
          <w:spacing w:val="5"/>
        </w:rPr>
        <w:t xml:space="preserve"> </w:t>
      </w:r>
      <w:r>
        <w:rPr>
          <w:spacing w:val="-1"/>
        </w:rPr>
        <w:t>same</w:t>
      </w:r>
      <w:r>
        <w:rPr>
          <w:spacing w:val="5"/>
        </w:rPr>
        <w:t xml:space="preserve"> </w:t>
      </w:r>
      <w:r>
        <w:rPr>
          <w:spacing w:val="-1"/>
        </w:rPr>
        <w:t>root</w:t>
      </w:r>
      <w:r>
        <w:rPr>
          <w:spacing w:val="63"/>
        </w:rPr>
        <w:t xml:space="preserve"> </w:t>
      </w:r>
      <w:r>
        <w:rPr>
          <w:spacing w:val="-1"/>
        </w:rPr>
        <w:t>cause</w:t>
      </w:r>
      <w:r>
        <w:rPr>
          <w:spacing w:val="13"/>
        </w:rPr>
        <w:t xml:space="preserve"> </w:t>
      </w:r>
      <w:r>
        <w:rPr>
          <w:spacing w:val="-1"/>
        </w:rPr>
        <w:t>failure,</w:t>
      </w:r>
      <w:r>
        <w:rPr>
          <w:spacing w:val="16"/>
        </w:rPr>
        <w:t xml:space="preserve"> </w:t>
      </w:r>
      <w:r>
        <w:rPr>
          <w:spacing w:val="-2"/>
        </w:rPr>
        <w:t>such</w:t>
      </w:r>
      <w:r>
        <w:rPr>
          <w:spacing w:val="15"/>
        </w:rPr>
        <w:t xml:space="preserve"> </w:t>
      </w:r>
      <w:r>
        <w:rPr>
          <w:spacing w:val="-1"/>
        </w:rPr>
        <w:t>circumstance</w:t>
      </w:r>
      <w:r>
        <w:rPr>
          <w:spacing w:val="15"/>
        </w:rPr>
        <w:t xml:space="preserve"> </w:t>
      </w:r>
      <w:r>
        <w:rPr>
          <w:spacing w:val="-1"/>
        </w:rPr>
        <w:t>shall</w:t>
      </w:r>
      <w:r>
        <w:rPr>
          <w:spacing w:val="14"/>
        </w:rPr>
        <w:t xml:space="preserve"> </w:t>
      </w:r>
      <w:r>
        <w:rPr>
          <w:spacing w:val="-1"/>
        </w:rPr>
        <w:t>constitute</w:t>
      </w:r>
      <w:r>
        <w:rPr>
          <w:spacing w:val="12"/>
        </w:rPr>
        <w:t xml:space="preserve"> </w:t>
      </w:r>
      <w:r>
        <w:t>a</w:t>
      </w:r>
      <w:r>
        <w:rPr>
          <w:spacing w:val="15"/>
        </w:rPr>
        <w:t xml:space="preserve"> </w:t>
      </w:r>
      <w:r>
        <w:rPr>
          <w:spacing w:val="-1"/>
        </w:rPr>
        <w:t>material</w:t>
      </w:r>
      <w:r>
        <w:rPr>
          <w:spacing w:val="14"/>
        </w:rPr>
        <w:t xml:space="preserve"> </w:t>
      </w:r>
      <w:r>
        <w:rPr>
          <w:spacing w:val="-1"/>
        </w:rPr>
        <w:t>Default</w:t>
      </w:r>
      <w:r>
        <w:rPr>
          <w:spacing w:val="17"/>
        </w:rPr>
        <w:t xml:space="preserve"> </w:t>
      </w:r>
      <w:r>
        <w:rPr>
          <w:spacing w:val="-2"/>
        </w:rPr>
        <w:t>of</w:t>
      </w:r>
      <w:r>
        <w:rPr>
          <w:spacing w:val="16"/>
        </w:rPr>
        <w:t xml:space="preserve"> </w:t>
      </w:r>
      <w:r>
        <w:rPr>
          <w:spacing w:val="-1"/>
        </w:rPr>
        <w:t>this</w:t>
      </w:r>
      <w:r>
        <w:rPr>
          <w:spacing w:val="13"/>
        </w:rPr>
        <w:t xml:space="preserve"> </w:t>
      </w:r>
      <w:r>
        <w:rPr>
          <w:spacing w:val="-2"/>
        </w:rPr>
        <w:t>Call</w:t>
      </w:r>
      <w:r>
        <w:rPr>
          <w:spacing w:val="14"/>
        </w:rPr>
        <w:t xml:space="preserve"> </w:t>
      </w:r>
      <w:r>
        <w:rPr>
          <w:spacing w:val="-1"/>
        </w:rPr>
        <w:t>Off</w:t>
      </w:r>
      <w:r>
        <w:rPr>
          <w:spacing w:val="59"/>
        </w:rPr>
        <w:t xml:space="preserve"> </w:t>
      </w:r>
      <w:r>
        <w:rPr>
          <w:spacing w:val="-1"/>
        </w:rPr>
        <w:t>Contract.</w:t>
      </w:r>
    </w:p>
    <w:p w:rsidR="008918FA" w:rsidRDefault="008918FA" w:rsidP="008918FA">
      <w:pPr>
        <w:pStyle w:val="BodyText"/>
        <w:numPr>
          <w:ilvl w:val="0"/>
          <w:numId w:val="14"/>
        </w:numPr>
        <w:tabs>
          <w:tab w:val="left" w:pos="467"/>
        </w:tabs>
        <w:spacing w:before="117"/>
        <w:ind w:left="466"/>
        <w:rPr>
          <w:rFonts w:ascii="Times New Roman" w:eastAsia="Times New Roman" w:hAnsi="Times New Roman" w:cs="Times New Roman"/>
        </w:rPr>
      </w:pPr>
      <w:bookmarkStart w:id="424" w:name="_bookmark347"/>
      <w:bookmarkEnd w:id="424"/>
      <w:r>
        <w:rPr>
          <w:rFonts w:ascii="Times New Roman"/>
          <w:spacing w:val="-6"/>
        </w:rPr>
        <w:t>IS</w:t>
      </w:r>
      <w:r>
        <w:rPr>
          <w:rFonts w:ascii="Times New Roman"/>
          <w:spacing w:val="-32"/>
        </w:rPr>
        <w:t xml:space="preserve"> </w:t>
      </w:r>
      <w:r>
        <w:rPr>
          <w:rFonts w:ascii="Times New Roman"/>
          <w:spacing w:val="-6"/>
        </w:rPr>
        <w:t>MS</w:t>
      </w:r>
      <w:r>
        <w:rPr>
          <w:rFonts w:ascii="Times New Roman"/>
          <w:spacing w:val="30"/>
        </w:rPr>
        <w:t xml:space="preserve"> </w:t>
      </w:r>
      <w:r>
        <w:rPr>
          <w:rFonts w:ascii="Times New Roman"/>
          <w:spacing w:val="1"/>
        </w:rPr>
        <w:t>COMP</w:t>
      </w:r>
      <w:r>
        <w:rPr>
          <w:rFonts w:ascii="Times New Roman"/>
          <w:spacing w:val="-32"/>
        </w:rPr>
        <w:t xml:space="preserve"> </w:t>
      </w:r>
      <w:r>
        <w:rPr>
          <w:rFonts w:ascii="Times New Roman"/>
        </w:rPr>
        <w:t>LIANCE</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14"/>
        </w:numPr>
        <w:tabs>
          <w:tab w:val="left" w:pos="829"/>
        </w:tabs>
        <w:spacing w:before="0"/>
        <w:ind w:left="828" w:right="112"/>
        <w:jc w:val="both"/>
      </w:pPr>
      <w:r>
        <w:t>The</w:t>
      </w:r>
      <w:r>
        <w:rPr>
          <w:spacing w:val="18"/>
        </w:rPr>
        <w:t xml:space="preserve"> </w:t>
      </w:r>
      <w:r>
        <w:rPr>
          <w:spacing w:val="-2"/>
        </w:rPr>
        <w:t>Customer</w:t>
      </w:r>
      <w:r>
        <w:rPr>
          <w:spacing w:val="20"/>
        </w:rPr>
        <w:t xml:space="preserve"> </w:t>
      </w:r>
      <w:r>
        <w:rPr>
          <w:spacing w:val="-1"/>
        </w:rPr>
        <w:t>shall</w:t>
      </w:r>
      <w:r>
        <w:rPr>
          <w:spacing w:val="18"/>
        </w:rPr>
        <w:t xml:space="preserve"> </w:t>
      </w:r>
      <w:r>
        <w:rPr>
          <w:spacing w:val="-1"/>
        </w:rPr>
        <w:t>be</w:t>
      </w:r>
      <w:r>
        <w:rPr>
          <w:spacing w:val="16"/>
        </w:rPr>
        <w:t xml:space="preserve"> </w:t>
      </w:r>
      <w:r>
        <w:rPr>
          <w:spacing w:val="-1"/>
        </w:rPr>
        <w:t>entitled</w:t>
      </w:r>
      <w:r>
        <w:rPr>
          <w:spacing w:val="18"/>
        </w:rPr>
        <w:t xml:space="preserve"> </w:t>
      </w:r>
      <w:r>
        <w:t>to</w:t>
      </w:r>
      <w:r>
        <w:rPr>
          <w:spacing w:val="18"/>
        </w:rPr>
        <w:t xml:space="preserve"> </w:t>
      </w:r>
      <w:r>
        <w:rPr>
          <w:spacing w:val="-1"/>
        </w:rPr>
        <w:t>carry</w:t>
      </w:r>
      <w:r>
        <w:rPr>
          <w:spacing w:val="16"/>
        </w:rPr>
        <w:t xml:space="preserve"> </w:t>
      </w:r>
      <w:r>
        <w:rPr>
          <w:spacing w:val="-1"/>
        </w:rPr>
        <w:t>out</w:t>
      </w:r>
      <w:r>
        <w:rPr>
          <w:spacing w:val="17"/>
        </w:rPr>
        <w:t xml:space="preserve"> </w:t>
      </w:r>
      <w:r>
        <w:rPr>
          <w:spacing w:val="-1"/>
        </w:rPr>
        <w:t>such</w:t>
      </w:r>
      <w:r>
        <w:rPr>
          <w:spacing w:val="19"/>
        </w:rPr>
        <w:t xml:space="preserve"> </w:t>
      </w:r>
      <w:r>
        <w:rPr>
          <w:spacing w:val="-1"/>
        </w:rPr>
        <w:t>security</w:t>
      </w:r>
      <w:r>
        <w:rPr>
          <w:spacing w:val="16"/>
        </w:rPr>
        <w:t xml:space="preserve"> </w:t>
      </w:r>
      <w:r>
        <w:rPr>
          <w:spacing w:val="-1"/>
        </w:rPr>
        <w:t>audits</w:t>
      </w:r>
      <w:r>
        <w:rPr>
          <w:spacing w:val="19"/>
        </w:rPr>
        <w:t xml:space="preserve"> </w:t>
      </w:r>
      <w:r>
        <w:rPr>
          <w:spacing w:val="-2"/>
        </w:rPr>
        <w:t>as</w:t>
      </w:r>
      <w:r>
        <w:rPr>
          <w:spacing w:val="19"/>
        </w:rPr>
        <w:t xml:space="preserve"> </w:t>
      </w:r>
      <w:r>
        <w:rPr>
          <w:spacing w:val="-1"/>
        </w:rPr>
        <w:t>it</w:t>
      </w:r>
      <w:r>
        <w:rPr>
          <w:spacing w:val="20"/>
        </w:rPr>
        <w:t xml:space="preserve"> </w:t>
      </w:r>
      <w:r>
        <w:rPr>
          <w:spacing w:val="-1"/>
        </w:rPr>
        <w:t>may</w:t>
      </w:r>
      <w:r>
        <w:rPr>
          <w:spacing w:val="54"/>
        </w:rPr>
        <w:t xml:space="preserve"> </w:t>
      </w:r>
      <w:r>
        <w:rPr>
          <w:spacing w:val="-1"/>
        </w:rPr>
        <w:t>reasonably</w:t>
      </w:r>
      <w:r>
        <w:rPr>
          <w:spacing w:val="-2"/>
        </w:rPr>
        <w:t xml:space="preserve"> </w:t>
      </w:r>
      <w:r>
        <w:rPr>
          <w:spacing w:val="-1"/>
        </w:rPr>
        <w:t>deem</w:t>
      </w:r>
      <w:r>
        <w:rPr>
          <w:spacing w:val="2"/>
        </w:rPr>
        <w:t xml:space="preserve"> </w:t>
      </w:r>
      <w:r>
        <w:rPr>
          <w:spacing w:val="-1"/>
        </w:rPr>
        <w:t>necessary</w:t>
      </w:r>
      <w:r>
        <w:rPr>
          <w:spacing w:val="-2"/>
        </w:rPr>
        <w:t xml:space="preserve"> </w:t>
      </w:r>
      <w:r>
        <w:rPr>
          <w:spacing w:val="-1"/>
        </w:rPr>
        <w:t>in</w:t>
      </w:r>
      <w:r>
        <w:t xml:space="preserve"> </w:t>
      </w:r>
      <w:r>
        <w:rPr>
          <w:spacing w:val="-1"/>
        </w:rPr>
        <w:t>order</w:t>
      </w:r>
      <w:r>
        <w:rPr>
          <w:spacing w:val="2"/>
        </w:rPr>
        <w:t xml:space="preserve"> </w:t>
      </w:r>
      <w:r>
        <w:t xml:space="preserve">to </w:t>
      </w:r>
      <w:r>
        <w:rPr>
          <w:spacing w:val="-1"/>
        </w:rPr>
        <w:t>ensure</w:t>
      </w:r>
      <w:r>
        <w:rPr>
          <w:spacing w:val="-2"/>
        </w:rPr>
        <w:t xml:space="preserve"> </w:t>
      </w:r>
      <w:r>
        <w:rPr>
          <w:spacing w:val="-1"/>
        </w:rPr>
        <w:t>that</w:t>
      </w:r>
      <w:r>
        <w:rPr>
          <w:spacing w:val="2"/>
        </w:rPr>
        <w:t xml:space="preserve"> </w:t>
      </w:r>
      <w:r>
        <w:t>the</w:t>
      </w:r>
      <w:r>
        <w:rPr>
          <w:spacing w:val="-2"/>
        </w:rPr>
        <w:t xml:space="preserve"> </w:t>
      </w:r>
      <w:r>
        <w:rPr>
          <w:spacing w:val="-1"/>
        </w:rPr>
        <w:t>ISMS</w:t>
      </w:r>
      <w:r>
        <w:t xml:space="preserve"> </w:t>
      </w:r>
      <w:r>
        <w:rPr>
          <w:spacing w:val="-1"/>
        </w:rPr>
        <w:t>maintains</w:t>
      </w:r>
      <w:r>
        <w:rPr>
          <w:spacing w:val="1"/>
        </w:rPr>
        <w:t xml:space="preserve"> </w:t>
      </w:r>
      <w:r>
        <w:rPr>
          <w:spacing w:val="-1"/>
        </w:rPr>
        <w:t>compliance</w:t>
      </w:r>
      <w:r>
        <w:rPr>
          <w:spacing w:val="28"/>
        </w:rPr>
        <w:t xml:space="preserve"> </w:t>
      </w:r>
      <w:r>
        <w:rPr>
          <w:spacing w:val="-1"/>
        </w:rPr>
        <w:t>with</w:t>
      </w:r>
      <w:r>
        <w:t xml:space="preserve"> the</w:t>
      </w:r>
      <w:r>
        <w:rPr>
          <w:spacing w:val="-2"/>
        </w:rPr>
        <w:t xml:space="preserve"> </w:t>
      </w:r>
      <w:r>
        <w:rPr>
          <w:spacing w:val="-1"/>
        </w:rPr>
        <w:t>principles</w:t>
      </w:r>
      <w:r>
        <w:rPr>
          <w:spacing w:val="1"/>
        </w:rPr>
        <w:t xml:space="preserve"> </w:t>
      </w:r>
      <w:r>
        <w:rPr>
          <w:spacing w:val="-1"/>
        </w:rPr>
        <w:t>and</w:t>
      </w:r>
      <w:r>
        <w:t xml:space="preserve"> </w:t>
      </w:r>
      <w:r>
        <w:rPr>
          <w:spacing w:val="-1"/>
        </w:rPr>
        <w:t>practices</w:t>
      </w:r>
      <w:r>
        <w:rPr>
          <w:spacing w:val="1"/>
        </w:rPr>
        <w:t xml:space="preserve"> </w:t>
      </w:r>
      <w:r>
        <w:rPr>
          <w:spacing w:val="-2"/>
        </w:rPr>
        <w:t>of</w:t>
      </w:r>
      <w:r>
        <w:t xml:space="preserve"> ISO </w:t>
      </w:r>
      <w:r>
        <w:rPr>
          <w:spacing w:val="-1"/>
        </w:rPr>
        <w:t xml:space="preserve">27001 and/or </w:t>
      </w:r>
      <w:r>
        <w:t>the</w:t>
      </w:r>
      <w:r>
        <w:rPr>
          <w:spacing w:val="-2"/>
        </w:rPr>
        <w:t xml:space="preserve"> </w:t>
      </w:r>
      <w:r>
        <w:rPr>
          <w:spacing w:val="-1"/>
        </w:rPr>
        <w:t>Security</w:t>
      </w:r>
      <w:r>
        <w:rPr>
          <w:spacing w:val="-2"/>
        </w:rPr>
        <w:t xml:space="preserve"> Policy.</w:t>
      </w:r>
    </w:p>
    <w:p w:rsidR="008918FA" w:rsidRDefault="008918FA" w:rsidP="008918FA">
      <w:pPr>
        <w:pStyle w:val="BodyText"/>
        <w:numPr>
          <w:ilvl w:val="1"/>
          <w:numId w:val="14"/>
        </w:numPr>
        <w:tabs>
          <w:tab w:val="left" w:pos="829"/>
        </w:tabs>
        <w:ind w:left="828" w:right="112"/>
        <w:jc w:val="both"/>
      </w:pPr>
      <w:bookmarkStart w:id="425" w:name="_bookmark348"/>
      <w:bookmarkEnd w:id="425"/>
      <w:r>
        <w:rPr>
          <w:spacing w:val="-1"/>
        </w:rPr>
        <w:t>If,</w:t>
      </w:r>
      <w:r>
        <w:rPr>
          <w:spacing w:val="23"/>
        </w:rPr>
        <w:t xml:space="preserve"> </w:t>
      </w:r>
      <w:r>
        <w:rPr>
          <w:spacing w:val="-1"/>
        </w:rPr>
        <w:t>on</w:t>
      </w:r>
      <w:r>
        <w:rPr>
          <w:spacing w:val="22"/>
        </w:rPr>
        <w:t xml:space="preserve"> </w:t>
      </w:r>
      <w:r>
        <w:t>the</w:t>
      </w:r>
      <w:r>
        <w:rPr>
          <w:spacing w:val="22"/>
        </w:rPr>
        <w:t xml:space="preserve"> </w:t>
      </w:r>
      <w:r>
        <w:rPr>
          <w:spacing w:val="-1"/>
        </w:rPr>
        <w:t>basis</w:t>
      </w:r>
      <w:r>
        <w:rPr>
          <w:spacing w:val="22"/>
        </w:rPr>
        <w:t xml:space="preserve"> </w:t>
      </w:r>
      <w:r>
        <w:rPr>
          <w:spacing w:val="-2"/>
        </w:rPr>
        <w:t>of</w:t>
      </w:r>
      <w:r>
        <w:rPr>
          <w:spacing w:val="26"/>
        </w:rPr>
        <w:t xml:space="preserve"> </w:t>
      </w:r>
      <w:r>
        <w:rPr>
          <w:spacing w:val="-2"/>
        </w:rPr>
        <w:t>evidence</w:t>
      </w:r>
      <w:r>
        <w:rPr>
          <w:spacing w:val="22"/>
        </w:rPr>
        <w:t xml:space="preserve"> </w:t>
      </w:r>
      <w:r>
        <w:rPr>
          <w:spacing w:val="-2"/>
        </w:rPr>
        <w:t>provided</w:t>
      </w:r>
      <w:r>
        <w:rPr>
          <w:spacing w:val="22"/>
        </w:rPr>
        <w:t xml:space="preserve"> </w:t>
      </w:r>
      <w:r>
        <w:rPr>
          <w:spacing w:val="1"/>
        </w:rPr>
        <w:t>by</w:t>
      </w:r>
      <w:r>
        <w:rPr>
          <w:spacing w:val="20"/>
        </w:rPr>
        <w:t xml:space="preserve"> </w:t>
      </w:r>
      <w:r>
        <w:rPr>
          <w:spacing w:val="-1"/>
        </w:rPr>
        <w:t>such</w:t>
      </w:r>
      <w:r>
        <w:rPr>
          <w:spacing w:val="22"/>
        </w:rPr>
        <w:t xml:space="preserve"> </w:t>
      </w:r>
      <w:r>
        <w:rPr>
          <w:spacing w:val="-1"/>
        </w:rPr>
        <w:t>security</w:t>
      </w:r>
      <w:r>
        <w:rPr>
          <w:spacing w:val="20"/>
        </w:rPr>
        <w:t xml:space="preserve"> </w:t>
      </w:r>
      <w:r>
        <w:rPr>
          <w:spacing w:val="-1"/>
        </w:rPr>
        <w:t>audits,</w:t>
      </w:r>
      <w:r>
        <w:rPr>
          <w:spacing w:val="24"/>
        </w:rPr>
        <w:t xml:space="preserve"> </w:t>
      </w:r>
      <w:r>
        <w:rPr>
          <w:spacing w:val="-1"/>
        </w:rPr>
        <w:t>it</w:t>
      </w:r>
      <w:r>
        <w:rPr>
          <w:spacing w:val="23"/>
        </w:rPr>
        <w:t xml:space="preserve"> </w:t>
      </w:r>
      <w:r>
        <w:rPr>
          <w:spacing w:val="-1"/>
        </w:rPr>
        <w:t>is</w:t>
      </w:r>
      <w:r>
        <w:rPr>
          <w:spacing w:val="22"/>
        </w:rPr>
        <w:t xml:space="preserve"> </w:t>
      </w:r>
      <w:r>
        <w:t>the</w:t>
      </w:r>
      <w:r>
        <w:rPr>
          <w:spacing w:val="22"/>
        </w:rPr>
        <w:t xml:space="preserve"> </w:t>
      </w:r>
      <w:r>
        <w:rPr>
          <w:spacing w:val="-1"/>
        </w:rPr>
        <w:t>Customer's</w:t>
      </w:r>
      <w:r>
        <w:rPr>
          <w:spacing w:val="61"/>
        </w:rPr>
        <w:t xml:space="preserve"> </w:t>
      </w:r>
      <w:r>
        <w:rPr>
          <w:spacing w:val="-1"/>
        </w:rPr>
        <w:t>reasonable</w:t>
      </w:r>
      <w:r>
        <w:rPr>
          <w:spacing w:val="36"/>
        </w:rPr>
        <w:t xml:space="preserve"> </w:t>
      </w:r>
      <w:r>
        <w:rPr>
          <w:spacing w:val="-2"/>
        </w:rPr>
        <w:t>opinion</w:t>
      </w:r>
      <w:r>
        <w:rPr>
          <w:spacing w:val="36"/>
        </w:rPr>
        <w:t xml:space="preserve"> </w:t>
      </w:r>
      <w:r>
        <w:rPr>
          <w:spacing w:val="-1"/>
        </w:rPr>
        <w:t>that</w:t>
      </w:r>
      <w:r>
        <w:rPr>
          <w:spacing w:val="35"/>
        </w:rPr>
        <w:t xml:space="preserve"> </w:t>
      </w:r>
      <w:r>
        <w:rPr>
          <w:spacing w:val="-1"/>
        </w:rPr>
        <w:t>compliance</w:t>
      </w:r>
      <w:r>
        <w:rPr>
          <w:spacing w:val="37"/>
        </w:rPr>
        <w:t xml:space="preserve"> </w:t>
      </w:r>
      <w:r>
        <w:rPr>
          <w:spacing w:val="-2"/>
        </w:rPr>
        <w:t>with</w:t>
      </w:r>
      <w:r>
        <w:rPr>
          <w:spacing w:val="36"/>
        </w:rPr>
        <w:t xml:space="preserve"> </w:t>
      </w:r>
      <w:r>
        <w:t>the</w:t>
      </w:r>
      <w:r>
        <w:rPr>
          <w:spacing w:val="36"/>
        </w:rPr>
        <w:t xml:space="preserve"> </w:t>
      </w:r>
      <w:r>
        <w:rPr>
          <w:spacing w:val="-2"/>
        </w:rPr>
        <w:t>principles</w:t>
      </w:r>
      <w:r>
        <w:rPr>
          <w:spacing w:val="38"/>
        </w:rPr>
        <w:t xml:space="preserve"> </w:t>
      </w:r>
      <w:r>
        <w:rPr>
          <w:spacing w:val="-1"/>
        </w:rPr>
        <w:t>and</w:t>
      </w:r>
      <w:r>
        <w:rPr>
          <w:spacing w:val="36"/>
        </w:rPr>
        <w:t xml:space="preserve"> </w:t>
      </w:r>
      <w:r>
        <w:rPr>
          <w:spacing w:val="-1"/>
        </w:rPr>
        <w:t>practices</w:t>
      </w:r>
      <w:r>
        <w:rPr>
          <w:spacing w:val="37"/>
        </w:rPr>
        <w:t xml:space="preserve"> </w:t>
      </w:r>
      <w:r>
        <w:rPr>
          <w:spacing w:val="-2"/>
        </w:rPr>
        <w:t>of</w:t>
      </w:r>
      <w:r>
        <w:rPr>
          <w:spacing w:val="35"/>
        </w:rPr>
        <w:t xml:space="preserve"> </w:t>
      </w:r>
      <w:r>
        <w:rPr>
          <w:spacing w:val="-1"/>
        </w:rPr>
        <w:t>ISO/IEC</w:t>
      </w:r>
      <w:r>
        <w:rPr>
          <w:spacing w:val="71"/>
        </w:rPr>
        <w:t xml:space="preserve"> </w:t>
      </w:r>
      <w:r>
        <w:rPr>
          <w:spacing w:val="-1"/>
        </w:rPr>
        <w:t>27001</w:t>
      </w:r>
      <w:r>
        <w:rPr>
          <w:spacing w:val="17"/>
        </w:rPr>
        <w:t xml:space="preserve"> </w:t>
      </w:r>
      <w:r>
        <w:rPr>
          <w:spacing w:val="-1"/>
        </w:rPr>
        <w:t>and/or</w:t>
      </w:r>
      <w:r>
        <w:rPr>
          <w:spacing w:val="16"/>
        </w:rPr>
        <w:t xml:space="preserve"> </w:t>
      </w:r>
      <w:r>
        <w:t>the</w:t>
      </w:r>
      <w:r>
        <w:rPr>
          <w:spacing w:val="17"/>
        </w:rPr>
        <w:t xml:space="preserve"> </w:t>
      </w:r>
      <w:r>
        <w:rPr>
          <w:spacing w:val="-1"/>
        </w:rPr>
        <w:t>Security</w:t>
      </w:r>
      <w:r>
        <w:rPr>
          <w:spacing w:val="15"/>
        </w:rPr>
        <w:t xml:space="preserve"> </w:t>
      </w:r>
      <w:r>
        <w:rPr>
          <w:spacing w:val="-2"/>
        </w:rPr>
        <w:t>Policy</w:t>
      </w:r>
      <w:r>
        <w:rPr>
          <w:spacing w:val="16"/>
        </w:rPr>
        <w:t xml:space="preserve"> </w:t>
      </w:r>
      <w:r>
        <w:rPr>
          <w:spacing w:val="-1"/>
        </w:rPr>
        <w:t>are</w:t>
      </w:r>
      <w:r>
        <w:rPr>
          <w:spacing w:val="18"/>
        </w:rPr>
        <w:t xml:space="preserve"> </w:t>
      </w:r>
      <w:r>
        <w:rPr>
          <w:spacing w:val="-1"/>
        </w:rPr>
        <w:t>not</w:t>
      </w:r>
      <w:r>
        <w:rPr>
          <w:spacing w:val="19"/>
        </w:rPr>
        <w:t xml:space="preserve"> </w:t>
      </w:r>
      <w:r>
        <w:rPr>
          <w:spacing w:val="-2"/>
        </w:rPr>
        <w:t>being</w:t>
      </w:r>
      <w:r>
        <w:rPr>
          <w:spacing w:val="20"/>
        </w:rPr>
        <w:t xml:space="preserve"> </w:t>
      </w:r>
      <w:r>
        <w:rPr>
          <w:spacing w:val="-2"/>
        </w:rPr>
        <w:t>achieved</w:t>
      </w:r>
      <w:r>
        <w:rPr>
          <w:spacing w:val="17"/>
        </w:rPr>
        <w:t xml:space="preserve"> </w:t>
      </w:r>
      <w:r>
        <w:rPr>
          <w:spacing w:val="-1"/>
        </w:rPr>
        <w:t>by</w:t>
      </w:r>
      <w:r>
        <w:rPr>
          <w:spacing w:val="15"/>
        </w:rPr>
        <w:t xml:space="preserve"> </w:t>
      </w:r>
      <w:r>
        <w:rPr>
          <w:spacing w:val="-1"/>
        </w:rPr>
        <w:t>the</w:t>
      </w:r>
      <w:r>
        <w:rPr>
          <w:spacing w:val="17"/>
        </w:rPr>
        <w:t xml:space="preserve"> </w:t>
      </w:r>
      <w:r>
        <w:rPr>
          <w:spacing w:val="-1"/>
        </w:rPr>
        <w:t>Supplier,</w:t>
      </w:r>
      <w:r>
        <w:rPr>
          <w:spacing w:val="19"/>
        </w:rPr>
        <w:t xml:space="preserve"> </w:t>
      </w:r>
      <w:r>
        <w:rPr>
          <w:spacing w:val="-1"/>
        </w:rPr>
        <w:t>then</w:t>
      </w:r>
      <w:r>
        <w:rPr>
          <w:spacing w:val="15"/>
        </w:rPr>
        <w:t xml:space="preserve"> </w:t>
      </w:r>
      <w:r>
        <w:rPr>
          <w:spacing w:val="-1"/>
        </w:rPr>
        <w:t>the</w:t>
      </w:r>
      <w:r>
        <w:rPr>
          <w:spacing w:val="51"/>
        </w:rPr>
        <w:t xml:space="preserve"> </w:t>
      </w:r>
      <w:r>
        <w:rPr>
          <w:spacing w:val="-1"/>
        </w:rPr>
        <w:t>Customer</w:t>
      </w:r>
      <w:r>
        <w:rPr>
          <w:spacing w:val="14"/>
        </w:rPr>
        <w:t xml:space="preserve"> </w:t>
      </w:r>
      <w:r>
        <w:rPr>
          <w:spacing w:val="-1"/>
        </w:rPr>
        <w:t>shall</w:t>
      </w:r>
      <w:r>
        <w:rPr>
          <w:spacing w:val="12"/>
        </w:rPr>
        <w:t xml:space="preserve"> </w:t>
      </w:r>
      <w:r>
        <w:rPr>
          <w:spacing w:val="-1"/>
        </w:rPr>
        <w:t>notify</w:t>
      </w:r>
      <w:r>
        <w:rPr>
          <w:spacing w:val="8"/>
        </w:rPr>
        <w:t xml:space="preserve"> </w:t>
      </w:r>
      <w:r>
        <w:rPr>
          <w:spacing w:val="-1"/>
        </w:rPr>
        <w:t>the</w:t>
      </w:r>
      <w:r>
        <w:rPr>
          <w:spacing w:val="12"/>
        </w:rPr>
        <w:t xml:space="preserve"> </w:t>
      </w:r>
      <w:r>
        <w:rPr>
          <w:spacing w:val="-2"/>
        </w:rPr>
        <w:t>Supplier</w:t>
      </w:r>
      <w:r>
        <w:rPr>
          <w:spacing w:val="14"/>
        </w:rPr>
        <w:t xml:space="preserve"> </w:t>
      </w:r>
      <w:r>
        <w:rPr>
          <w:spacing w:val="-2"/>
        </w:rPr>
        <w:t>of</w:t>
      </w:r>
      <w:r>
        <w:rPr>
          <w:spacing w:val="14"/>
        </w:rPr>
        <w:t xml:space="preserve"> </w:t>
      </w:r>
      <w:r>
        <w:t>the</w:t>
      </w:r>
      <w:r>
        <w:rPr>
          <w:spacing w:val="12"/>
        </w:rPr>
        <w:t xml:space="preserve"> </w:t>
      </w:r>
      <w:r>
        <w:rPr>
          <w:spacing w:val="-1"/>
        </w:rPr>
        <w:t>same</w:t>
      </w:r>
      <w:r>
        <w:rPr>
          <w:spacing w:val="10"/>
        </w:rPr>
        <w:t xml:space="preserve"> </w:t>
      </w:r>
      <w:r>
        <w:rPr>
          <w:spacing w:val="-2"/>
        </w:rPr>
        <w:t>and</w:t>
      </w:r>
      <w:r>
        <w:rPr>
          <w:spacing w:val="12"/>
        </w:rPr>
        <w:t xml:space="preserve"> </w:t>
      </w:r>
      <w:r>
        <w:rPr>
          <w:spacing w:val="-1"/>
        </w:rPr>
        <w:t>give</w:t>
      </w:r>
      <w:r>
        <w:rPr>
          <w:spacing w:val="12"/>
        </w:rPr>
        <w:t xml:space="preserve"> </w:t>
      </w:r>
      <w:r>
        <w:t>the</w:t>
      </w:r>
      <w:r>
        <w:rPr>
          <w:spacing w:val="10"/>
        </w:rPr>
        <w:t xml:space="preserve"> </w:t>
      </w:r>
      <w:r>
        <w:rPr>
          <w:spacing w:val="-2"/>
        </w:rPr>
        <w:t>Supplier</w:t>
      </w:r>
      <w:r>
        <w:rPr>
          <w:spacing w:val="14"/>
        </w:rPr>
        <w:t xml:space="preserve"> </w:t>
      </w:r>
      <w:r>
        <w:t>a</w:t>
      </w:r>
      <w:r>
        <w:rPr>
          <w:spacing w:val="12"/>
        </w:rPr>
        <w:t xml:space="preserve"> </w:t>
      </w:r>
      <w:r>
        <w:rPr>
          <w:spacing w:val="-1"/>
        </w:rPr>
        <w:t>reasonable</w:t>
      </w:r>
      <w:r>
        <w:rPr>
          <w:spacing w:val="51"/>
        </w:rPr>
        <w:t xml:space="preserve"> </w:t>
      </w:r>
      <w:r>
        <w:rPr>
          <w:spacing w:val="-1"/>
        </w:rPr>
        <w:t>time</w:t>
      </w:r>
      <w:r>
        <w:rPr>
          <w:spacing w:val="41"/>
        </w:rPr>
        <w:t xml:space="preserve"> </w:t>
      </w:r>
      <w:r>
        <w:rPr>
          <w:spacing w:val="-2"/>
        </w:rPr>
        <w:t>(having</w:t>
      </w:r>
      <w:r>
        <w:rPr>
          <w:spacing w:val="41"/>
        </w:rPr>
        <w:t xml:space="preserve"> </w:t>
      </w:r>
      <w:r>
        <w:rPr>
          <w:spacing w:val="-1"/>
        </w:rPr>
        <w:t>regard</w:t>
      </w:r>
      <w:r>
        <w:rPr>
          <w:spacing w:val="38"/>
        </w:rPr>
        <w:t xml:space="preserve"> </w:t>
      </w:r>
      <w:r>
        <w:t>to</w:t>
      </w:r>
      <w:r>
        <w:rPr>
          <w:spacing w:val="41"/>
        </w:rPr>
        <w:t xml:space="preserve"> </w:t>
      </w:r>
      <w:r>
        <w:rPr>
          <w:spacing w:val="-1"/>
        </w:rPr>
        <w:t>the</w:t>
      </w:r>
      <w:r>
        <w:rPr>
          <w:spacing w:val="41"/>
        </w:rPr>
        <w:t xml:space="preserve"> </w:t>
      </w:r>
      <w:r>
        <w:rPr>
          <w:spacing w:val="-1"/>
        </w:rPr>
        <w:t>extent</w:t>
      </w:r>
      <w:r>
        <w:rPr>
          <w:spacing w:val="42"/>
        </w:rPr>
        <w:t xml:space="preserve"> </w:t>
      </w:r>
      <w:r>
        <w:rPr>
          <w:spacing w:val="-1"/>
        </w:rPr>
        <w:t>and</w:t>
      </w:r>
      <w:r>
        <w:rPr>
          <w:spacing w:val="42"/>
        </w:rPr>
        <w:t xml:space="preserve"> </w:t>
      </w:r>
      <w:r>
        <w:rPr>
          <w:spacing w:val="-1"/>
        </w:rPr>
        <w:t>criticality</w:t>
      </w:r>
      <w:r>
        <w:rPr>
          <w:spacing w:val="39"/>
        </w:rPr>
        <w:t xml:space="preserve"> </w:t>
      </w:r>
      <w:r>
        <w:rPr>
          <w:spacing w:val="-2"/>
        </w:rPr>
        <w:t>of</w:t>
      </w:r>
      <w:r>
        <w:rPr>
          <w:spacing w:val="45"/>
        </w:rPr>
        <w:t xml:space="preserve"> </w:t>
      </w:r>
      <w:r>
        <w:rPr>
          <w:spacing w:val="-1"/>
        </w:rPr>
        <w:t>any</w:t>
      </w:r>
      <w:r>
        <w:rPr>
          <w:spacing w:val="39"/>
        </w:rPr>
        <w:t xml:space="preserve"> </w:t>
      </w:r>
      <w:r>
        <w:rPr>
          <w:spacing w:val="-1"/>
        </w:rPr>
        <w:t>non-compliance</w:t>
      </w:r>
      <w:r>
        <w:rPr>
          <w:spacing w:val="39"/>
        </w:rPr>
        <w:t xml:space="preserve"> </w:t>
      </w:r>
      <w:r>
        <w:rPr>
          <w:spacing w:val="-1"/>
        </w:rPr>
        <w:t>and</w:t>
      </w:r>
      <w:r>
        <w:rPr>
          <w:spacing w:val="41"/>
        </w:rPr>
        <w:t xml:space="preserve"> </w:t>
      </w:r>
      <w:r>
        <w:rPr>
          <w:spacing w:val="-1"/>
        </w:rPr>
        <w:t>any</w:t>
      </w:r>
      <w:r>
        <w:rPr>
          <w:spacing w:val="56"/>
        </w:rPr>
        <w:t xml:space="preserve"> </w:t>
      </w:r>
      <w:r>
        <w:rPr>
          <w:spacing w:val="-1"/>
        </w:rPr>
        <w:t>other</w:t>
      </w:r>
      <w:r>
        <w:rPr>
          <w:spacing w:val="21"/>
        </w:rPr>
        <w:t xml:space="preserve"> </w:t>
      </w:r>
      <w:r>
        <w:rPr>
          <w:spacing w:val="-2"/>
        </w:rPr>
        <w:t>relevant</w:t>
      </w:r>
      <w:r>
        <w:rPr>
          <w:spacing w:val="21"/>
        </w:rPr>
        <w:t xml:space="preserve"> </w:t>
      </w:r>
      <w:r>
        <w:rPr>
          <w:spacing w:val="-1"/>
        </w:rPr>
        <w:t>circumstances)</w:t>
      </w:r>
      <w:r>
        <w:rPr>
          <w:spacing w:val="21"/>
        </w:rPr>
        <w:t xml:space="preserve"> </w:t>
      </w:r>
      <w:r>
        <w:t>to</w:t>
      </w:r>
      <w:r>
        <w:rPr>
          <w:spacing w:val="20"/>
        </w:rPr>
        <w:t xml:space="preserve"> </w:t>
      </w:r>
      <w:r>
        <w:rPr>
          <w:spacing w:val="-2"/>
        </w:rPr>
        <w:t>implement</w:t>
      </w:r>
      <w:r>
        <w:rPr>
          <w:spacing w:val="21"/>
        </w:rPr>
        <w:t xml:space="preserve"> </w:t>
      </w:r>
      <w:r>
        <w:rPr>
          <w:spacing w:val="-1"/>
        </w:rPr>
        <w:t>and</w:t>
      </w:r>
      <w:r>
        <w:rPr>
          <w:spacing w:val="17"/>
        </w:rPr>
        <w:t xml:space="preserve"> </w:t>
      </w:r>
      <w:r>
        <w:rPr>
          <w:spacing w:val="-1"/>
        </w:rPr>
        <w:t>remedy.</w:t>
      </w:r>
      <w:r>
        <w:rPr>
          <w:spacing w:val="42"/>
        </w:rPr>
        <w:t xml:space="preserve"> </w:t>
      </w:r>
      <w:r>
        <w:rPr>
          <w:spacing w:val="-1"/>
        </w:rPr>
        <w:t>If</w:t>
      </w:r>
      <w:r>
        <w:rPr>
          <w:spacing w:val="21"/>
        </w:rPr>
        <w:t xml:space="preserve"> </w:t>
      </w:r>
      <w:r>
        <w:t>the</w:t>
      </w:r>
      <w:r>
        <w:rPr>
          <w:spacing w:val="19"/>
        </w:rPr>
        <w:t xml:space="preserve"> </w:t>
      </w:r>
      <w:r>
        <w:rPr>
          <w:spacing w:val="-2"/>
        </w:rPr>
        <w:t>Supplier</w:t>
      </w:r>
      <w:r>
        <w:rPr>
          <w:spacing w:val="19"/>
        </w:rPr>
        <w:t xml:space="preserve"> </w:t>
      </w:r>
      <w:r>
        <w:rPr>
          <w:spacing w:val="-1"/>
        </w:rPr>
        <w:t>does</w:t>
      </w:r>
      <w:r>
        <w:rPr>
          <w:spacing w:val="20"/>
        </w:rPr>
        <w:t xml:space="preserve"> </w:t>
      </w:r>
      <w:r>
        <w:rPr>
          <w:spacing w:val="-1"/>
        </w:rPr>
        <w:t>not</w:t>
      </w:r>
      <w:r>
        <w:rPr>
          <w:spacing w:val="62"/>
        </w:rPr>
        <w:t xml:space="preserve"> </w:t>
      </w:r>
      <w:r>
        <w:rPr>
          <w:spacing w:val="-1"/>
        </w:rPr>
        <w:t>become</w:t>
      </w:r>
      <w:r>
        <w:rPr>
          <w:spacing w:val="17"/>
        </w:rPr>
        <w:t xml:space="preserve"> </w:t>
      </w:r>
      <w:r>
        <w:rPr>
          <w:spacing w:val="-1"/>
        </w:rPr>
        <w:t>compliant</w:t>
      </w:r>
      <w:r>
        <w:rPr>
          <w:spacing w:val="19"/>
        </w:rPr>
        <w:t xml:space="preserve"> </w:t>
      </w:r>
      <w:r>
        <w:rPr>
          <w:spacing w:val="-2"/>
        </w:rPr>
        <w:t>within</w:t>
      </w:r>
      <w:r>
        <w:rPr>
          <w:spacing w:val="17"/>
        </w:rPr>
        <w:t xml:space="preserve"> </w:t>
      </w:r>
      <w:r>
        <w:t>the</w:t>
      </w:r>
      <w:r>
        <w:rPr>
          <w:spacing w:val="17"/>
        </w:rPr>
        <w:t xml:space="preserve"> </w:t>
      </w:r>
      <w:r>
        <w:rPr>
          <w:spacing w:val="-1"/>
        </w:rPr>
        <w:t>required</w:t>
      </w:r>
      <w:r>
        <w:rPr>
          <w:spacing w:val="17"/>
        </w:rPr>
        <w:t xml:space="preserve"> </w:t>
      </w:r>
      <w:r>
        <w:rPr>
          <w:spacing w:val="-1"/>
        </w:rPr>
        <w:t>time</w:t>
      </w:r>
      <w:r>
        <w:rPr>
          <w:spacing w:val="15"/>
        </w:rPr>
        <w:t xml:space="preserve"> </w:t>
      </w:r>
      <w:r>
        <w:rPr>
          <w:spacing w:val="-1"/>
        </w:rPr>
        <w:t>then</w:t>
      </w:r>
      <w:r>
        <w:rPr>
          <w:spacing w:val="17"/>
        </w:rPr>
        <w:t xml:space="preserve"> </w:t>
      </w:r>
      <w:r>
        <w:rPr>
          <w:spacing w:val="-1"/>
        </w:rPr>
        <w:t>the</w:t>
      </w:r>
      <w:r>
        <w:rPr>
          <w:spacing w:val="17"/>
        </w:rPr>
        <w:t xml:space="preserve"> </w:t>
      </w:r>
      <w:r>
        <w:rPr>
          <w:spacing w:val="-1"/>
        </w:rPr>
        <w:t>Customer</w:t>
      </w:r>
      <w:r>
        <w:rPr>
          <w:spacing w:val="19"/>
        </w:rPr>
        <w:t xml:space="preserve"> </w:t>
      </w:r>
      <w:r>
        <w:rPr>
          <w:spacing w:val="-1"/>
        </w:rPr>
        <w:t>shall</w:t>
      </w:r>
      <w:r>
        <w:rPr>
          <w:spacing w:val="17"/>
        </w:rPr>
        <w:t xml:space="preserve"> </w:t>
      </w:r>
      <w:r>
        <w:rPr>
          <w:spacing w:val="-2"/>
        </w:rPr>
        <w:t>have</w:t>
      </w:r>
      <w:r>
        <w:rPr>
          <w:spacing w:val="17"/>
        </w:rPr>
        <w:t xml:space="preserve"> </w:t>
      </w:r>
      <w:r>
        <w:t>the</w:t>
      </w:r>
      <w:r>
        <w:rPr>
          <w:spacing w:val="17"/>
        </w:rPr>
        <w:t xml:space="preserve"> </w:t>
      </w:r>
      <w:r>
        <w:rPr>
          <w:spacing w:val="-1"/>
        </w:rPr>
        <w:t>right</w:t>
      </w:r>
      <w:r>
        <w:rPr>
          <w:spacing w:val="48"/>
        </w:rPr>
        <w:t xml:space="preserve"> </w:t>
      </w:r>
      <w:r>
        <w:t xml:space="preserve">to </w:t>
      </w:r>
      <w:r>
        <w:rPr>
          <w:spacing w:val="-1"/>
        </w:rPr>
        <w:t>obtain</w:t>
      </w:r>
      <w:r>
        <w:t xml:space="preserve"> </w:t>
      </w:r>
      <w:r>
        <w:rPr>
          <w:spacing w:val="-1"/>
        </w:rPr>
        <w:t>an</w:t>
      </w:r>
      <w:r>
        <w:t xml:space="preserve"> </w:t>
      </w:r>
      <w:r>
        <w:rPr>
          <w:spacing w:val="-2"/>
        </w:rPr>
        <w:t>independent</w:t>
      </w:r>
      <w:r>
        <w:t xml:space="preserve"> </w:t>
      </w:r>
      <w:r>
        <w:rPr>
          <w:spacing w:val="-1"/>
        </w:rPr>
        <w:t>audit</w:t>
      </w:r>
      <w:r>
        <w:rPr>
          <w:spacing w:val="2"/>
        </w:rPr>
        <w:t xml:space="preserve"> </w:t>
      </w:r>
      <w:r>
        <w:rPr>
          <w:spacing w:val="-2"/>
        </w:rPr>
        <w:t>against</w:t>
      </w:r>
      <w:r>
        <w:t xml:space="preserve"> </w:t>
      </w:r>
      <w:r>
        <w:rPr>
          <w:spacing w:val="-1"/>
        </w:rPr>
        <w:t>these</w:t>
      </w:r>
      <w:r>
        <w:rPr>
          <w:spacing w:val="-2"/>
        </w:rPr>
        <w:t xml:space="preserve"> </w:t>
      </w:r>
      <w:r>
        <w:rPr>
          <w:spacing w:val="-1"/>
        </w:rPr>
        <w:t>standards</w:t>
      </w:r>
      <w:r>
        <w:rPr>
          <w:spacing w:val="1"/>
        </w:rPr>
        <w:t xml:space="preserve"> </w:t>
      </w:r>
      <w:r>
        <w:rPr>
          <w:spacing w:val="-1"/>
        </w:rPr>
        <w:t>in</w:t>
      </w:r>
      <w:r>
        <w:t xml:space="preserve"> </w:t>
      </w:r>
      <w:r>
        <w:rPr>
          <w:spacing w:val="-2"/>
        </w:rPr>
        <w:t>whole</w:t>
      </w:r>
      <w:r>
        <w:t xml:space="preserve"> </w:t>
      </w:r>
      <w:r>
        <w:rPr>
          <w:spacing w:val="-1"/>
        </w:rPr>
        <w:t>or</w:t>
      </w:r>
      <w:r>
        <w:rPr>
          <w:spacing w:val="2"/>
        </w:rPr>
        <w:t xml:space="preserve"> </w:t>
      </w:r>
      <w:r>
        <w:rPr>
          <w:spacing w:val="-1"/>
        </w:rPr>
        <w:t>in</w:t>
      </w:r>
      <w:r>
        <w:rPr>
          <w:spacing w:val="-2"/>
        </w:rPr>
        <w:t xml:space="preserve"> </w:t>
      </w:r>
      <w:r>
        <w:rPr>
          <w:spacing w:val="-1"/>
        </w:rPr>
        <w:t>part.</w:t>
      </w:r>
    </w:p>
    <w:p w:rsidR="008918FA" w:rsidRDefault="008918FA" w:rsidP="008918FA">
      <w:pPr>
        <w:pStyle w:val="BodyText"/>
        <w:numPr>
          <w:ilvl w:val="1"/>
          <w:numId w:val="14"/>
        </w:numPr>
        <w:tabs>
          <w:tab w:val="left" w:pos="829"/>
        </w:tabs>
        <w:ind w:left="828" w:right="111"/>
        <w:jc w:val="both"/>
      </w:pPr>
      <w:r>
        <w:rPr>
          <w:spacing w:val="-1"/>
        </w:rPr>
        <w:t>If,</w:t>
      </w:r>
      <w:r>
        <w:rPr>
          <w:spacing w:val="19"/>
        </w:rPr>
        <w:t xml:space="preserve"> </w:t>
      </w:r>
      <w:r>
        <w:rPr>
          <w:spacing w:val="-1"/>
        </w:rPr>
        <w:t>as</w:t>
      </w:r>
      <w:r>
        <w:rPr>
          <w:spacing w:val="18"/>
        </w:rPr>
        <w:t xml:space="preserve"> </w:t>
      </w:r>
      <w:r>
        <w:t>a</w:t>
      </w:r>
      <w:r>
        <w:rPr>
          <w:spacing w:val="15"/>
        </w:rPr>
        <w:t xml:space="preserve"> </w:t>
      </w:r>
      <w:r>
        <w:rPr>
          <w:spacing w:val="-1"/>
        </w:rPr>
        <w:t>result</w:t>
      </w:r>
      <w:r>
        <w:rPr>
          <w:spacing w:val="19"/>
        </w:rPr>
        <w:t xml:space="preserve"> </w:t>
      </w:r>
      <w:r>
        <w:rPr>
          <w:spacing w:val="-2"/>
        </w:rPr>
        <w:t>of</w:t>
      </w:r>
      <w:r>
        <w:rPr>
          <w:spacing w:val="19"/>
        </w:rPr>
        <w:t xml:space="preserve"> </w:t>
      </w:r>
      <w:r>
        <w:rPr>
          <w:spacing w:val="-1"/>
        </w:rPr>
        <w:t>any</w:t>
      </w:r>
      <w:r>
        <w:rPr>
          <w:spacing w:val="15"/>
        </w:rPr>
        <w:t xml:space="preserve"> </w:t>
      </w:r>
      <w:r>
        <w:rPr>
          <w:spacing w:val="-1"/>
        </w:rPr>
        <w:t>such</w:t>
      </w:r>
      <w:r>
        <w:rPr>
          <w:spacing w:val="17"/>
        </w:rPr>
        <w:t xml:space="preserve"> </w:t>
      </w:r>
      <w:r>
        <w:rPr>
          <w:spacing w:val="-1"/>
        </w:rPr>
        <w:t>independent</w:t>
      </w:r>
      <w:r>
        <w:rPr>
          <w:spacing w:val="19"/>
        </w:rPr>
        <w:t xml:space="preserve"> </w:t>
      </w:r>
      <w:r>
        <w:rPr>
          <w:spacing w:val="-1"/>
        </w:rPr>
        <w:t>audit</w:t>
      </w:r>
      <w:r>
        <w:rPr>
          <w:spacing w:val="19"/>
        </w:rPr>
        <w:t xml:space="preserve"> </w:t>
      </w:r>
      <w:r>
        <w:rPr>
          <w:spacing w:val="-1"/>
        </w:rPr>
        <w:t>as</w:t>
      </w:r>
      <w:r>
        <w:rPr>
          <w:spacing w:val="13"/>
        </w:rPr>
        <w:t xml:space="preserve"> </w:t>
      </w:r>
      <w:r>
        <w:rPr>
          <w:spacing w:val="-1"/>
        </w:rPr>
        <w:t>described</w:t>
      </w:r>
      <w:r>
        <w:rPr>
          <w:spacing w:val="19"/>
        </w:rPr>
        <w:t xml:space="preserve"> </w:t>
      </w:r>
      <w:r>
        <w:rPr>
          <w:spacing w:val="-1"/>
        </w:rPr>
        <w:t>in</w:t>
      </w:r>
      <w:r>
        <w:rPr>
          <w:spacing w:val="17"/>
        </w:rPr>
        <w:t xml:space="preserve"> </w:t>
      </w:r>
      <w:r>
        <w:rPr>
          <w:spacing w:val="-1"/>
        </w:rPr>
        <w:t xml:space="preserve">paragraph </w:t>
      </w:r>
      <w:hyperlink w:anchor="_bookmark348" w:history="1">
        <w:r>
          <w:t>7.2</w:t>
        </w:r>
      </w:hyperlink>
      <w:r>
        <w:rPr>
          <w:spacing w:val="17"/>
        </w:rPr>
        <w:t xml:space="preserve"> </w:t>
      </w:r>
      <w:r>
        <w:rPr>
          <w:spacing w:val="-2"/>
        </w:rPr>
        <w:t>of</w:t>
      </w:r>
      <w:r>
        <w:rPr>
          <w:spacing w:val="19"/>
        </w:rPr>
        <w:t xml:space="preserve"> </w:t>
      </w:r>
      <w:r>
        <w:rPr>
          <w:spacing w:val="-1"/>
        </w:rPr>
        <w:t>this</w:t>
      </w:r>
      <w:r>
        <w:rPr>
          <w:spacing w:val="29"/>
        </w:rPr>
        <w:t xml:space="preserve"> </w:t>
      </w:r>
      <w:r>
        <w:rPr>
          <w:spacing w:val="-2"/>
        </w:rPr>
        <w:t>Call</w:t>
      </w:r>
      <w:r>
        <w:rPr>
          <w:spacing w:val="7"/>
        </w:rPr>
        <w:t xml:space="preserve"> </w:t>
      </w:r>
      <w:r>
        <w:t>Off</w:t>
      </w:r>
      <w:r>
        <w:rPr>
          <w:spacing w:val="9"/>
        </w:rPr>
        <w:t xml:space="preserve"> </w:t>
      </w:r>
      <w:r>
        <w:rPr>
          <w:spacing w:val="-1"/>
        </w:rPr>
        <w:t>Schedule</w:t>
      </w:r>
      <w:r>
        <w:rPr>
          <w:spacing w:val="8"/>
        </w:rPr>
        <w:t xml:space="preserve"> </w:t>
      </w:r>
      <w:r>
        <w:t>the</w:t>
      </w:r>
      <w:r>
        <w:rPr>
          <w:spacing w:val="7"/>
        </w:rPr>
        <w:t xml:space="preserve"> </w:t>
      </w:r>
      <w:r>
        <w:rPr>
          <w:spacing w:val="-2"/>
        </w:rPr>
        <w:t>Supplier</w:t>
      </w:r>
      <w:r>
        <w:rPr>
          <w:spacing w:val="9"/>
        </w:rPr>
        <w:t xml:space="preserve"> </w:t>
      </w:r>
      <w:r>
        <w:rPr>
          <w:spacing w:val="-1"/>
        </w:rPr>
        <w:t>is</w:t>
      </w:r>
      <w:r>
        <w:rPr>
          <w:spacing w:val="8"/>
        </w:rPr>
        <w:t xml:space="preserve"> </w:t>
      </w:r>
      <w:r>
        <w:t>found</w:t>
      </w:r>
      <w:r>
        <w:rPr>
          <w:spacing w:val="5"/>
        </w:rPr>
        <w:t xml:space="preserve"> </w:t>
      </w:r>
      <w:r>
        <w:t>to</w:t>
      </w:r>
      <w:r>
        <w:rPr>
          <w:spacing w:val="7"/>
        </w:rPr>
        <w:t xml:space="preserve"> </w:t>
      </w:r>
      <w:r>
        <w:rPr>
          <w:spacing w:val="-1"/>
        </w:rPr>
        <w:t>be</w:t>
      </w:r>
      <w:r>
        <w:rPr>
          <w:spacing w:val="7"/>
        </w:rPr>
        <w:t xml:space="preserve"> </w:t>
      </w:r>
      <w:r>
        <w:rPr>
          <w:spacing w:val="-1"/>
        </w:rPr>
        <w:t>non-compliant</w:t>
      </w:r>
      <w:r>
        <w:rPr>
          <w:spacing w:val="9"/>
        </w:rPr>
        <w:t xml:space="preserve"> </w:t>
      </w:r>
      <w:r>
        <w:rPr>
          <w:spacing w:val="-2"/>
        </w:rPr>
        <w:t>with</w:t>
      </w:r>
      <w:r>
        <w:rPr>
          <w:spacing w:val="7"/>
        </w:rPr>
        <w:t xml:space="preserve"> </w:t>
      </w:r>
      <w:r>
        <w:t>the</w:t>
      </w:r>
      <w:r>
        <w:rPr>
          <w:spacing w:val="7"/>
        </w:rPr>
        <w:t xml:space="preserve"> </w:t>
      </w:r>
      <w:r>
        <w:rPr>
          <w:spacing w:val="-1"/>
        </w:rPr>
        <w:t>principles</w:t>
      </w:r>
      <w:r>
        <w:rPr>
          <w:spacing w:val="8"/>
        </w:rPr>
        <w:t xml:space="preserve"> </w:t>
      </w:r>
      <w:r>
        <w:rPr>
          <w:spacing w:val="-1"/>
        </w:rPr>
        <w:t>and</w:t>
      </w:r>
      <w:r>
        <w:rPr>
          <w:spacing w:val="34"/>
        </w:rPr>
        <w:t xml:space="preserve"> </w:t>
      </w:r>
      <w:r>
        <w:rPr>
          <w:spacing w:val="-1"/>
        </w:rPr>
        <w:t>practices</w:t>
      </w:r>
      <w:r>
        <w:rPr>
          <w:spacing w:val="5"/>
        </w:rPr>
        <w:t xml:space="preserve"> </w:t>
      </w:r>
      <w:r>
        <w:rPr>
          <w:spacing w:val="-2"/>
        </w:rPr>
        <w:t>of</w:t>
      </w:r>
      <w:r>
        <w:rPr>
          <w:spacing w:val="7"/>
        </w:rPr>
        <w:t xml:space="preserve"> </w:t>
      </w:r>
      <w:r>
        <w:rPr>
          <w:spacing w:val="-1"/>
        </w:rPr>
        <w:t>ISO/IEC</w:t>
      </w:r>
      <w:r>
        <w:rPr>
          <w:spacing w:val="4"/>
        </w:rPr>
        <w:t xml:space="preserve"> </w:t>
      </w:r>
      <w:r>
        <w:rPr>
          <w:spacing w:val="-2"/>
        </w:rPr>
        <w:t>27001</w:t>
      </w:r>
      <w:r>
        <w:rPr>
          <w:spacing w:val="6"/>
        </w:rPr>
        <w:t xml:space="preserve"> </w:t>
      </w:r>
      <w:r>
        <w:rPr>
          <w:spacing w:val="-1"/>
        </w:rPr>
        <w:t>and/or</w:t>
      </w:r>
      <w:r>
        <w:rPr>
          <w:spacing w:val="4"/>
        </w:rPr>
        <w:t xml:space="preserve"> </w:t>
      </w:r>
      <w:r>
        <w:t>the</w:t>
      </w:r>
      <w:r>
        <w:rPr>
          <w:spacing w:val="5"/>
        </w:rPr>
        <w:t xml:space="preserve"> </w:t>
      </w:r>
      <w:r>
        <w:rPr>
          <w:spacing w:val="-1"/>
        </w:rPr>
        <w:t>Security</w:t>
      </w:r>
      <w:r>
        <w:rPr>
          <w:spacing w:val="3"/>
        </w:rPr>
        <w:t xml:space="preserve"> </w:t>
      </w:r>
      <w:r>
        <w:rPr>
          <w:spacing w:val="-2"/>
        </w:rPr>
        <w:t>Policy</w:t>
      </w:r>
      <w:r>
        <w:rPr>
          <w:spacing w:val="5"/>
        </w:rPr>
        <w:t xml:space="preserve"> </w:t>
      </w:r>
      <w:r>
        <w:rPr>
          <w:spacing w:val="-1"/>
        </w:rPr>
        <w:t>then</w:t>
      </w:r>
      <w:r>
        <w:rPr>
          <w:spacing w:val="5"/>
        </w:rPr>
        <w:t xml:space="preserve"> </w:t>
      </w:r>
      <w:r>
        <w:t>the</w:t>
      </w:r>
      <w:r>
        <w:rPr>
          <w:spacing w:val="5"/>
        </w:rPr>
        <w:t xml:space="preserve"> </w:t>
      </w:r>
      <w:r>
        <w:rPr>
          <w:spacing w:val="-2"/>
        </w:rPr>
        <w:t>Supplier</w:t>
      </w:r>
      <w:r>
        <w:rPr>
          <w:spacing w:val="6"/>
        </w:rPr>
        <w:t xml:space="preserve"> </w:t>
      </w:r>
      <w:r>
        <w:rPr>
          <w:spacing w:val="-1"/>
        </w:rPr>
        <w:t>shall,</w:t>
      </w:r>
      <w:r>
        <w:rPr>
          <w:spacing w:val="7"/>
        </w:rPr>
        <w:t xml:space="preserve"> </w:t>
      </w:r>
      <w:r>
        <w:rPr>
          <w:spacing w:val="-1"/>
        </w:rPr>
        <w:t>at</w:t>
      </w:r>
      <w:r>
        <w:rPr>
          <w:spacing w:val="7"/>
        </w:rPr>
        <w:t xml:space="preserve"> </w:t>
      </w:r>
      <w:r>
        <w:rPr>
          <w:spacing w:val="-1"/>
        </w:rPr>
        <w:t>its</w:t>
      </w:r>
      <w:r>
        <w:rPr>
          <w:spacing w:val="71"/>
        </w:rPr>
        <w:t xml:space="preserve"> </w:t>
      </w:r>
      <w:r>
        <w:rPr>
          <w:spacing w:val="-2"/>
        </w:rPr>
        <w:t>own</w:t>
      </w:r>
      <w:r>
        <w:rPr>
          <w:spacing w:val="17"/>
        </w:rPr>
        <w:t xml:space="preserve"> </w:t>
      </w:r>
      <w:r>
        <w:rPr>
          <w:spacing w:val="-1"/>
        </w:rPr>
        <w:t>expense,</w:t>
      </w:r>
      <w:r>
        <w:rPr>
          <w:spacing w:val="19"/>
        </w:rPr>
        <w:t xml:space="preserve"> </w:t>
      </w:r>
      <w:r>
        <w:rPr>
          <w:spacing w:val="-1"/>
        </w:rPr>
        <w:t>undertake</w:t>
      </w:r>
      <w:r>
        <w:rPr>
          <w:spacing w:val="15"/>
        </w:rPr>
        <w:t xml:space="preserve"> </w:t>
      </w:r>
      <w:r>
        <w:rPr>
          <w:spacing w:val="-1"/>
        </w:rPr>
        <w:t>those</w:t>
      </w:r>
      <w:r>
        <w:rPr>
          <w:spacing w:val="18"/>
        </w:rPr>
        <w:t xml:space="preserve"> </w:t>
      </w:r>
      <w:r>
        <w:rPr>
          <w:spacing w:val="-1"/>
        </w:rPr>
        <w:t>actions</w:t>
      </w:r>
      <w:r>
        <w:rPr>
          <w:spacing w:val="18"/>
        </w:rPr>
        <w:t xml:space="preserve"> </w:t>
      </w:r>
      <w:r>
        <w:rPr>
          <w:spacing w:val="-1"/>
        </w:rPr>
        <w:t>required</w:t>
      </w:r>
      <w:r>
        <w:rPr>
          <w:spacing w:val="17"/>
        </w:rPr>
        <w:t xml:space="preserve"> </w:t>
      </w:r>
      <w:r>
        <w:rPr>
          <w:spacing w:val="-2"/>
        </w:rPr>
        <w:t>in</w:t>
      </w:r>
      <w:r>
        <w:rPr>
          <w:spacing w:val="17"/>
        </w:rPr>
        <w:t xml:space="preserve"> </w:t>
      </w:r>
      <w:r>
        <w:rPr>
          <w:spacing w:val="-1"/>
        </w:rPr>
        <w:t>order</w:t>
      </w:r>
      <w:r>
        <w:rPr>
          <w:spacing w:val="16"/>
        </w:rPr>
        <w:t xml:space="preserve"> </w:t>
      </w:r>
      <w:r>
        <w:t>to</w:t>
      </w:r>
      <w:r>
        <w:rPr>
          <w:spacing w:val="17"/>
        </w:rPr>
        <w:t xml:space="preserve"> </w:t>
      </w:r>
      <w:r>
        <w:rPr>
          <w:spacing w:val="-2"/>
        </w:rPr>
        <w:t>achieve</w:t>
      </w:r>
      <w:r>
        <w:rPr>
          <w:spacing w:val="17"/>
        </w:rPr>
        <w:t xml:space="preserve"> </w:t>
      </w:r>
      <w:r>
        <w:t>the</w:t>
      </w:r>
      <w:r>
        <w:rPr>
          <w:spacing w:val="17"/>
        </w:rPr>
        <w:t xml:space="preserve"> </w:t>
      </w:r>
      <w:r>
        <w:rPr>
          <w:spacing w:val="-1"/>
        </w:rPr>
        <w:t>necessary</w:t>
      </w:r>
      <w:r>
        <w:rPr>
          <w:spacing w:val="57"/>
        </w:rPr>
        <w:t xml:space="preserve"> </w:t>
      </w:r>
      <w:r>
        <w:rPr>
          <w:spacing w:val="-1"/>
        </w:rPr>
        <w:t>compliance</w:t>
      </w:r>
      <w:r>
        <w:rPr>
          <w:spacing w:val="61"/>
        </w:rPr>
        <w:t xml:space="preserve"> </w:t>
      </w:r>
      <w:r>
        <w:rPr>
          <w:spacing w:val="-1"/>
        </w:rPr>
        <w:t>and</w:t>
      </w:r>
      <w:r>
        <w:rPr>
          <w:spacing w:val="60"/>
        </w:rPr>
        <w:t xml:space="preserve"> </w:t>
      </w:r>
      <w:r>
        <w:rPr>
          <w:spacing w:val="-1"/>
        </w:rPr>
        <w:t>shall</w:t>
      </w:r>
      <w:r>
        <w:rPr>
          <w:spacing w:val="1"/>
        </w:rPr>
        <w:t xml:space="preserve"> </w:t>
      </w:r>
      <w:r>
        <w:rPr>
          <w:spacing w:val="-1"/>
        </w:rPr>
        <w:t>reimburse</w:t>
      </w:r>
      <w:r w:rsidR="001C1527">
        <w:t xml:space="preserve"> </w:t>
      </w:r>
      <w:r>
        <w:rPr>
          <w:spacing w:val="-1"/>
        </w:rPr>
        <w:t>in</w:t>
      </w:r>
      <w:r>
        <w:rPr>
          <w:spacing w:val="60"/>
        </w:rPr>
        <w:t xml:space="preserve"> </w:t>
      </w:r>
      <w:r>
        <w:t>full</w:t>
      </w:r>
      <w:r>
        <w:rPr>
          <w:spacing w:val="59"/>
        </w:rPr>
        <w:t xml:space="preserve"> </w:t>
      </w:r>
      <w:r>
        <w:t>the</w:t>
      </w:r>
      <w:r>
        <w:rPr>
          <w:spacing w:val="60"/>
        </w:rPr>
        <w:t xml:space="preserve"> </w:t>
      </w:r>
      <w:r>
        <w:rPr>
          <w:spacing w:val="-1"/>
        </w:rPr>
        <w:t>costs</w:t>
      </w:r>
      <w:r>
        <w:t xml:space="preserve"> </w:t>
      </w:r>
      <w:r>
        <w:rPr>
          <w:spacing w:val="-1"/>
        </w:rPr>
        <w:t>incurred</w:t>
      </w:r>
      <w:r>
        <w:rPr>
          <w:spacing w:val="60"/>
        </w:rPr>
        <w:t xml:space="preserve"> </w:t>
      </w:r>
      <w:r>
        <w:rPr>
          <w:spacing w:val="-1"/>
        </w:rPr>
        <w:t>by</w:t>
      </w:r>
      <w:r>
        <w:rPr>
          <w:spacing w:val="59"/>
        </w:rPr>
        <w:t xml:space="preserve"> </w:t>
      </w:r>
      <w:r>
        <w:t>the</w:t>
      </w:r>
      <w:r>
        <w:rPr>
          <w:spacing w:val="60"/>
        </w:rPr>
        <w:t xml:space="preserve"> </w:t>
      </w:r>
      <w:r>
        <w:rPr>
          <w:spacing w:val="-1"/>
        </w:rPr>
        <w:t>Customer</w:t>
      </w:r>
      <w:r>
        <w:t xml:space="preserve">  </w:t>
      </w:r>
      <w:r>
        <w:rPr>
          <w:spacing w:val="-1"/>
        </w:rPr>
        <w:t>in</w:t>
      </w:r>
      <w:r>
        <w:rPr>
          <w:spacing w:val="37"/>
        </w:rPr>
        <w:t xml:space="preserve"> </w:t>
      </w:r>
      <w:r>
        <w:rPr>
          <w:spacing w:val="-1"/>
        </w:rPr>
        <w:t>obtaining</w:t>
      </w:r>
      <w:r>
        <w:t xml:space="preserve"> </w:t>
      </w:r>
      <w:r>
        <w:rPr>
          <w:spacing w:val="-1"/>
        </w:rPr>
        <w:t>such</w:t>
      </w:r>
      <w:r>
        <w:rPr>
          <w:spacing w:val="1"/>
        </w:rPr>
        <w:t xml:space="preserve"> </w:t>
      </w:r>
      <w:r>
        <w:rPr>
          <w:spacing w:val="-1"/>
        </w:rPr>
        <w:t>audit.</w:t>
      </w:r>
    </w:p>
    <w:p w:rsidR="008918FA" w:rsidRDefault="008918FA" w:rsidP="008918FA">
      <w:pPr>
        <w:pStyle w:val="BodyText"/>
        <w:numPr>
          <w:ilvl w:val="0"/>
          <w:numId w:val="14"/>
        </w:numPr>
        <w:tabs>
          <w:tab w:val="left" w:pos="467"/>
        </w:tabs>
        <w:spacing w:before="120"/>
        <w:ind w:left="466"/>
        <w:rPr>
          <w:rFonts w:ascii="Times New Roman" w:eastAsia="Times New Roman" w:hAnsi="Times New Roman" w:cs="Times New Roman"/>
        </w:rPr>
      </w:pPr>
      <w:r>
        <w:rPr>
          <w:rFonts w:ascii="Times New Roman"/>
          <w:spacing w:val="7"/>
        </w:rPr>
        <w:t>BREACH</w:t>
      </w:r>
      <w:r>
        <w:rPr>
          <w:rFonts w:ascii="Times New Roman"/>
          <w:spacing w:val="6"/>
        </w:rPr>
        <w:t xml:space="preserve"> OF</w:t>
      </w:r>
      <w:r>
        <w:rPr>
          <w:rFonts w:ascii="Times New Roman"/>
          <w:spacing w:val="19"/>
        </w:rPr>
        <w:t xml:space="preserve"> </w:t>
      </w:r>
      <w:r>
        <w:rPr>
          <w:rFonts w:ascii="Times New Roman"/>
          <w:spacing w:val="5"/>
        </w:rPr>
        <w:t>SECURITY</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14"/>
        </w:numPr>
        <w:tabs>
          <w:tab w:val="left" w:pos="829"/>
        </w:tabs>
        <w:spacing w:before="0"/>
        <w:ind w:left="828" w:right="113"/>
        <w:jc w:val="both"/>
      </w:pPr>
      <w:bookmarkStart w:id="426" w:name="_bookmark349"/>
      <w:bookmarkEnd w:id="426"/>
      <w:r>
        <w:rPr>
          <w:spacing w:val="-1"/>
        </w:rPr>
        <w:t>Either</w:t>
      </w:r>
      <w:r>
        <w:rPr>
          <w:spacing w:val="26"/>
        </w:rPr>
        <w:t xml:space="preserve"> </w:t>
      </w:r>
      <w:r>
        <w:rPr>
          <w:spacing w:val="-1"/>
        </w:rPr>
        <w:t>Party</w:t>
      </w:r>
      <w:r>
        <w:rPr>
          <w:spacing w:val="22"/>
        </w:rPr>
        <w:t xml:space="preserve"> </w:t>
      </w:r>
      <w:r>
        <w:rPr>
          <w:spacing w:val="-1"/>
        </w:rPr>
        <w:t>shall</w:t>
      </w:r>
      <w:r>
        <w:rPr>
          <w:spacing w:val="24"/>
        </w:rPr>
        <w:t xml:space="preserve"> </w:t>
      </w:r>
      <w:r>
        <w:t>notify</w:t>
      </w:r>
      <w:r>
        <w:rPr>
          <w:spacing w:val="22"/>
        </w:rPr>
        <w:t xml:space="preserve"> </w:t>
      </w:r>
      <w:r>
        <w:t>the</w:t>
      </w:r>
      <w:r>
        <w:rPr>
          <w:spacing w:val="24"/>
        </w:rPr>
        <w:t xml:space="preserve"> </w:t>
      </w:r>
      <w:r>
        <w:rPr>
          <w:spacing w:val="-1"/>
        </w:rPr>
        <w:t>other</w:t>
      </w:r>
      <w:r>
        <w:rPr>
          <w:spacing w:val="26"/>
        </w:rPr>
        <w:t xml:space="preserve"> </w:t>
      </w:r>
      <w:r>
        <w:rPr>
          <w:spacing w:val="-1"/>
        </w:rPr>
        <w:t>in</w:t>
      </w:r>
      <w:r>
        <w:rPr>
          <w:spacing w:val="24"/>
        </w:rPr>
        <w:t xml:space="preserve"> </w:t>
      </w:r>
      <w:r>
        <w:rPr>
          <w:spacing w:val="-1"/>
        </w:rPr>
        <w:t>accordance</w:t>
      </w:r>
      <w:r>
        <w:rPr>
          <w:spacing w:val="22"/>
        </w:rPr>
        <w:t xml:space="preserve"> </w:t>
      </w:r>
      <w:r>
        <w:rPr>
          <w:spacing w:val="-1"/>
        </w:rPr>
        <w:t>with</w:t>
      </w:r>
      <w:r>
        <w:rPr>
          <w:spacing w:val="24"/>
        </w:rPr>
        <w:t xml:space="preserve"> </w:t>
      </w:r>
      <w:r>
        <w:t>the</w:t>
      </w:r>
      <w:r>
        <w:rPr>
          <w:spacing w:val="24"/>
        </w:rPr>
        <w:t xml:space="preserve"> </w:t>
      </w:r>
      <w:r>
        <w:rPr>
          <w:spacing w:val="-1"/>
        </w:rPr>
        <w:t>agreed</w:t>
      </w:r>
      <w:r>
        <w:rPr>
          <w:spacing w:val="24"/>
        </w:rPr>
        <w:t xml:space="preserve"> </w:t>
      </w:r>
      <w:r>
        <w:rPr>
          <w:spacing w:val="-1"/>
        </w:rPr>
        <w:t>security</w:t>
      </w:r>
      <w:r>
        <w:rPr>
          <w:spacing w:val="22"/>
        </w:rPr>
        <w:t xml:space="preserve"> </w:t>
      </w:r>
      <w:r>
        <w:rPr>
          <w:spacing w:val="-1"/>
        </w:rPr>
        <w:t>incident</w:t>
      </w:r>
      <w:r>
        <w:rPr>
          <w:spacing w:val="40"/>
        </w:rPr>
        <w:t xml:space="preserve"> </w:t>
      </w:r>
      <w:r>
        <w:rPr>
          <w:spacing w:val="-1"/>
        </w:rPr>
        <w:t>management</w:t>
      </w:r>
      <w:r>
        <w:rPr>
          <w:spacing w:val="4"/>
        </w:rPr>
        <w:t xml:space="preserve"> </w:t>
      </w:r>
      <w:r>
        <w:rPr>
          <w:spacing w:val="-1"/>
        </w:rPr>
        <w:t>process</w:t>
      </w:r>
      <w:r>
        <w:rPr>
          <w:spacing w:val="3"/>
        </w:rPr>
        <w:t xml:space="preserve"> </w:t>
      </w:r>
      <w:r>
        <w:rPr>
          <w:spacing w:val="-1"/>
        </w:rPr>
        <w:t>as</w:t>
      </w:r>
      <w:r>
        <w:rPr>
          <w:spacing w:val="1"/>
        </w:rPr>
        <w:t xml:space="preserve"> </w:t>
      </w:r>
      <w:r>
        <w:rPr>
          <w:spacing w:val="-1"/>
        </w:rPr>
        <w:t>defined</w:t>
      </w:r>
      <w:r>
        <w:rPr>
          <w:spacing w:val="3"/>
        </w:rPr>
        <w:t xml:space="preserve"> </w:t>
      </w:r>
      <w:r>
        <w:rPr>
          <w:spacing w:val="-1"/>
        </w:rPr>
        <w:t>by</w:t>
      </w:r>
      <w:r>
        <w:rPr>
          <w:spacing w:val="1"/>
        </w:rPr>
        <w:t xml:space="preserve"> </w:t>
      </w:r>
      <w:r>
        <w:t>the</w:t>
      </w:r>
      <w:r>
        <w:rPr>
          <w:spacing w:val="3"/>
        </w:rPr>
        <w:t xml:space="preserve"> </w:t>
      </w:r>
      <w:r>
        <w:rPr>
          <w:spacing w:val="-1"/>
        </w:rPr>
        <w:t>ISMS</w:t>
      </w:r>
      <w:r>
        <w:rPr>
          <w:spacing w:val="2"/>
        </w:rPr>
        <w:t xml:space="preserve"> </w:t>
      </w:r>
      <w:r>
        <w:t>upon</w:t>
      </w:r>
      <w:r>
        <w:rPr>
          <w:spacing w:val="3"/>
        </w:rPr>
        <w:t xml:space="preserve"> </w:t>
      </w:r>
      <w:r>
        <w:rPr>
          <w:spacing w:val="-1"/>
        </w:rPr>
        <w:t>becoming</w:t>
      </w:r>
      <w:r>
        <w:rPr>
          <w:spacing w:val="5"/>
        </w:rPr>
        <w:t xml:space="preserve"> </w:t>
      </w:r>
      <w:r>
        <w:rPr>
          <w:spacing w:val="-2"/>
        </w:rPr>
        <w:t>aware</w:t>
      </w:r>
      <w:r>
        <w:rPr>
          <w:spacing w:val="3"/>
        </w:rPr>
        <w:t xml:space="preserve"> </w:t>
      </w:r>
      <w:r>
        <w:rPr>
          <w:spacing w:val="-2"/>
        </w:rPr>
        <w:t>of</w:t>
      </w:r>
      <w:r>
        <w:rPr>
          <w:spacing w:val="6"/>
        </w:rPr>
        <w:t xml:space="preserve"> </w:t>
      </w:r>
      <w:r>
        <w:rPr>
          <w:spacing w:val="-2"/>
        </w:rPr>
        <w:t>any</w:t>
      </w:r>
      <w:r>
        <w:rPr>
          <w:spacing w:val="1"/>
        </w:rPr>
        <w:t xml:space="preserve"> </w:t>
      </w:r>
      <w:r>
        <w:rPr>
          <w:spacing w:val="-1"/>
        </w:rPr>
        <w:t>breach</w:t>
      </w:r>
      <w:r>
        <w:rPr>
          <w:spacing w:val="36"/>
        </w:rPr>
        <w:t xml:space="preserve"> </w:t>
      </w:r>
      <w:r>
        <w:rPr>
          <w:spacing w:val="-2"/>
        </w:rPr>
        <w:t>of</w:t>
      </w:r>
      <w:r>
        <w:rPr>
          <w:spacing w:val="4"/>
        </w:rPr>
        <w:t xml:space="preserve"> </w:t>
      </w:r>
      <w:r>
        <w:rPr>
          <w:spacing w:val="-1"/>
        </w:rPr>
        <w:t>security</w:t>
      </w:r>
      <w:r>
        <w:rPr>
          <w:spacing w:val="-2"/>
        </w:rPr>
        <w:t xml:space="preserve"> </w:t>
      </w:r>
      <w:r>
        <w:rPr>
          <w:spacing w:val="-1"/>
        </w:rPr>
        <w:t>or any</w:t>
      </w:r>
      <w:r>
        <w:rPr>
          <w:spacing w:val="-2"/>
        </w:rPr>
        <w:t xml:space="preserve"> </w:t>
      </w:r>
      <w:r>
        <w:rPr>
          <w:spacing w:val="-1"/>
        </w:rPr>
        <w:t>potential</w:t>
      </w:r>
      <w:r>
        <w:t xml:space="preserve"> </w:t>
      </w:r>
      <w:r>
        <w:rPr>
          <w:spacing w:val="-1"/>
        </w:rPr>
        <w:t>or</w:t>
      </w:r>
      <w:r>
        <w:rPr>
          <w:spacing w:val="2"/>
        </w:rPr>
        <w:t xml:space="preserve"> </w:t>
      </w:r>
      <w:r>
        <w:rPr>
          <w:spacing w:val="-1"/>
        </w:rPr>
        <w:t>attempted</w:t>
      </w:r>
      <w:r>
        <w:rPr>
          <w:spacing w:val="-2"/>
        </w:rPr>
        <w:t xml:space="preserve"> Breach</w:t>
      </w:r>
      <w:r>
        <w:rPr>
          <w:spacing w:val="3"/>
        </w:rPr>
        <w:t xml:space="preserve"> </w:t>
      </w:r>
      <w:r>
        <w:rPr>
          <w:spacing w:val="-2"/>
        </w:rPr>
        <w:t>of</w:t>
      </w:r>
      <w:r>
        <w:rPr>
          <w:spacing w:val="2"/>
        </w:rPr>
        <w:t xml:space="preserve"> </w:t>
      </w:r>
      <w:r>
        <w:rPr>
          <w:spacing w:val="-1"/>
        </w:rPr>
        <w:t>Security.</w:t>
      </w:r>
    </w:p>
    <w:p w:rsidR="008918FA" w:rsidRDefault="008918FA" w:rsidP="008918FA">
      <w:pPr>
        <w:pStyle w:val="BodyText"/>
        <w:numPr>
          <w:ilvl w:val="1"/>
          <w:numId w:val="14"/>
        </w:numPr>
        <w:tabs>
          <w:tab w:val="left" w:pos="829"/>
        </w:tabs>
        <w:ind w:left="828" w:right="115"/>
        <w:jc w:val="both"/>
      </w:pPr>
      <w:r>
        <w:rPr>
          <w:spacing w:val="-1"/>
        </w:rPr>
        <w:t>Without</w:t>
      </w:r>
      <w:r>
        <w:rPr>
          <w:spacing w:val="40"/>
        </w:rPr>
        <w:t xml:space="preserve"> </w:t>
      </w:r>
      <w:r>
        <w:rPr>
          <w:spacing w:val="-1"/>
        </w:rPr>
        <w:t>prejudice</w:t>
      </w:r>
      <w:r>
        <w:rPr>
          <w:spacing w:val="39"/>
        </w:rPr>
        <w:t xml:space="preserve"> </w:t>
      </w:r>
      <w:r>
        <w:t>to</w:t>
      </w:r>
      <w:r>
        <w:rPr>
          <w:spacing w:val="38"/>
        </w:rPr>
        <w:t xml:space="preserve"> </w:t>
      </w:r>
      <w:r>
        <w:t>the</w:t>
      </w:r>
      <w:r>
        <w:rPr>
          <w:spacing w:val="38"/>
        </w:rPr>
        <w:t xml:space="preserve"> </w:t>
      </w:r>
      <w:r>
        <w:rPr>
          <w:spacing w:val="-1"/>
        </w:rPr>
        <w:t>security</w:t>
      </w:r>
      <w:r>
        <w:rPr>
          <w:spacing w:val="39"/>
        </w:rPr>
        <w:t xml:space="preserve"> </w:t>
      </w:r>
      <w:r>
        <w:rPr>
          <w:spacing w:val="-1"/>
        </w:rPr>
        <w:t>incident</w:t>
      </w:r>
      <w:r>
        <w:rPr>
          <w:spacing w:val="40"/>
        </w:rPr>
        <w:t xml:space="preserve"> </w:t>
      </w:r>
      <w:r>
        <w:rPr>
          <w:spacing w:val="-1"/>
        </w:rPr>
        <w:t>management</w:t>
      </w:r>
      <w:r>
        <w:rPr>
          <w:spacing w:val="41"/>
        </w:rPr>
        <w:t xml:space="preserve"> </w:t>
      </w:r>
      <w:r>
        <w:rPr>
          <w:spacing w:val="-1"/>
        </w:rPr>
        <w:t>process,</w:t>
      </w:r>
      <w:r>
        <w:rPr>
          <w:spacing w:val="41"/>
        </w:rPr>
        <w:t xml:space="preserve"> </w:t>
      </w:r>
      <w:r>
        <w:rPr>
          <w:spacing w:val="-1"/>
        </w:rPr>
        <w:t>upon</w:t>
      </w:r>
      <w:r>
        <w:rPr>
          <w:spacing w:val="38"/>
        </w:rPr>
        <w:t xml:space="preserve"> </w:t>
      </w:r>
      <w:r>
        <w:rPr>
          <w:spacing w:val="-1"/>
        </w:rPr>
        <w:t>becoming</w:t>
      </w:r>
      <w:r>
        <w:rPr>
          <w:spacing w:val="27"/>
        </w:rPr>
        <w:t xml:space="preserve"> </w:t>
      </w:r>
      <w:r>
        <w:rPr>
          <w:spacing w:val="-2"/>
        </w:rPr>
        <w:t>aware</w:t>
      </w:r>
      <w:r>
        <w:rPr>
          <w:spacing w:val="46"/>
        </w:rPr>
        <w:t xml:space="preserve"> </w:t>
      </w:r>
      <w:r>
        <w:rPr>
          <w:spacing w:val="-1"/>
        </w:rPr>
        <w:t>of</w:t>
      </w:r>
      <w:r>
        <w:rPr>
          <w:spacing w:val="49"/>
        </w:rPr>
        <w:t xml:space="preserve"> </w:t>
      </w:r>
      <w:r>
        <w:rPr>
          <w:spacing w:val="-1"/>
        </w:rPr>
        <w:t>any</w:t>
      </w:r>
      <w:r>
        <w:rPr>
          <w:spacing w:val="44"/>
        </w:rPr>
        <w:t xml:space="preserve"> </w:t>
      </w:r>
      <w:r>
        <w:rPr>
          <w:spacing w:val="-2"/>
        </w:rPr>
        <w:t>of</w:t>
      </w:r>
      <w:r>
        <w:rPr>
          <w:spacing w:val="47"/>
        </w:rPr>
        <w:t xml:space="preserve"> </w:t>
      </w:r>
      <w:r>
        <w:t>the</w:t>
      </w:r>
      <w:r>
        <w:rPr>
          <w:spacing w:val="43"/>
        </w:rPr>
        <w:t xml:space="preserve"> </w:t>
      </w:r>
      <w:r>
        <w:rPr>
          <w:spacing w:val="-1"/>
        </w:rPr>
        <w:t>circumstances</w:t>
      </w:r>
      <w:r>
        <w:rPr>
          <w:spacing w:val="44"/>
        </w:rPr>
        <w:t xml:space="preserve"> </w:t>
      </w:r>
      <w:r>
        <w:rPr>
          <w:spacing w:val="-1"/>
        </w:rPr>
        <w:t>referred</w:t>
      </w:r>
      <w:r>
        <w:rPr>
          <w:spacing w:val="44"/>
        </w:rPr>
        <w:t xml:space="preserve"> </w:t>
      </w:r>
      <w:r>
        <w:t>to</w:t>
      </w:r>
      <w:r>
        <w:rPr>
          <w:spacing w:val="43"/>
        </w:rPr>
        <w:t xml:space="preserve"> </w:t>
      </w:r>
      <w:r>
        <w:rPr>
          <w:spacing w:val="-1"/>
        </w:rPr>
        <w:t>in</w:t>
      </w:r>
      <w:r>
        <w:rPr>
          <w:spacing w:val="46"/>
        </w:rPr>
        <w:t xml:space="preserve"> </w:t>
      </w:r>
      <w:r>
        <w:rPr>
          <w:spacing w:val="-1"/>
        </w:rPr>
        <w:t>paragraph</w:t>
      </w:r>
      <w:r>
        <w:rPr>
          <w:spacing w:val="2"/>
        </w:rPr>
        <w:t xml:space="preserve"> </w:t>
      </w:r>
      <w:hyperlink w:anchor="_bookmark349" w:history="1">
        <w:r>
          <w:rPr>
            <w:spacing w:val="-1"/>
          </w:rPr>
          <w:t>8.1</w:t>
        </w:r>
      </w:hyperlink>
      <w:r>
        <w:rPr>
          <w:spacing w:val="46"/>
        </w:rPr>
        <w:t xml:space="preserve"> </w:t>
      </w:r>
      <w:r>
        <w:rPr>
          <w:spacing w:val="-2"/>
        </w:rPr>
        <w:t>of</w:t>
      </w:r>
      <w:r>
        <w:rPr>
          <w:spacing w:val="45"/>
        </w:rPr>
        <w:t xml:space="preserve"> </w:t>
      </w:r>
      <w:r>
        <w:rPr>
          <w:spacing w:val="-1"/>
        </w:rPr>
        <w:t>this</w:t>
      </w:r>
      <w:r>
        <w:rPr>
          <w:spacing w:val="46"/>
        </w:rPr>
        <w:t xml:space="preserve"> </w:t>
      </w:r>
      <w:r>
        <w:rPr>
          <w:spacing w:val="-2"/>
        </w:rPr>
        <w:t>Call</w:t>
      </w:r>
      <w:r>
        <w:rPr>
          <w:spacing w:val="44"/>
        </w:rPr>
        <w:t xml:space="preserve"> </w:t>
      </w:r>
      <w:r>
        <w:rPr>
          <w:spacing w:val="-1"/>
        </w:rPr>
        <w:t>Off</w:t>
      </w:r>
      <w:r>
        <w:rPr>
          <w:spacing w:val="57"/>
        </w:rPr>
        <w:t xml:space="preserve"> </w:t>
      </w:r>
      <w:r>
        <w:rPr>
          <w:spacing w:val="-1"/>
        </w:rPr>
        <w:t>Schedule,</w:t>
      </w:r>
      <w:r>
        <w:rPr>
          <w:spacing w:val="2"/>
        </w:rPr>
        <w:t xml:space="preserve"> </w:t>
      </w:r>
      <w:r>
        <w:t>the</w:t>
      </w:r>
      <w:r>
        <w:rPr>
          <w:spacing w:val="-2"/>
        </w:rPr>
        <w:t xml:space="preserve"> Supplier</w:t>
      </w:r>
      <w:r>
        <w:rPr>
          <w:spacing w:val="2"/>
        </w:rPr>
        <w:t xml:space="preserve"> </w:t>
      </w:r>
      <w:r>
        <w:rPr>
          <w:spacing w:val="-2"/>
        </w:rPr>
        <w:t>shall:</w:t>
      </w:r>
    </w:p>
    <w:p w:rsidR="008918FA" w:rsidRDefault="008918FA" w:rsidP="008918FA">
      <w:pPr>
        <w:pStyle w:val="BodyText"/>
        <w:numPr>
          <w:ilvl w:val="2"/>
          <w:numId w:val="14"/>
        </w:numPr>
        <w:tabs>
          <w:tab w:val="left" w:pos="2027"/>
        </w:tabs>
        <w:spacing w:before="121"/>
        <w:ind w:left="2026" w:right="125"/>
        <w:jc w:val="left"/>
      </w:pPr>
      <w:r>
        <w:rPr>
          <w:spacing w:val="-1"/>
        </w:rPr>
        <w:t>immediately</w:t>
      </w:r>
      <w:r>
        <w:rPr>
          <w:spacing w:val="22"/>
        </w:rPr>
        <w:t xml:space="preserve"> </w:t>
      </w:r>
      <w:r>
        <w:t>take</w:t>
      </w:r>
      <w:r>
        <w:rPr>
          <w:spacing w:val="24"/>
        </w:rPr>
        <w:t xml:space="preserve"> </w:t>
      </w:r>
      <w:r>
        <w:rPr>
          <w:spacing w:val="-1"/>
        </w:rPr>
        <w:t>all</w:t>
      </w:r>
      <w:r>
        <w:rPr>
          <w:spacing w:val="24"/>
        </w:rPr>
        <w:t xml:space="preserve"> </w:t>
      </w:r>
      <w:r>
        <w:rPr>
          <w:spacing w:val="-1"/>
        </w:rPr>
        <w:t>reasonable</w:t>
      </w:r>
      <w:r>
        <w:rPr>
          <w:spacing w:val="24"/>
        </w:rPr>
        <w:t xml:space="preserve"> </w:t>
      </w:r>
      <w:r>
        <w:rPr>
          <w:spacing w:val="-1"/>
        </w:rPr>
        <w:t>steps</w:t>
      </w:r>
      <w:r>
        <w:rPr>
          <w:spacing w:val="22"/>
        </w:rPr>
        <w:t xml:space="preserve"> </w:t>
      </w:r>
      <w:r>
        <w:rPr>
          <w:spacing w:val="-2"/>
        </w:rPr>
        <w:t>(which</w:t>
      </w:r>
      <w:r>
        <w:rPr>
          <w:spacing w:val="25"/>
        </w:rPr>
        <w:t xml:space="preserve"> </w:t>
      </w:r>
      <w:r>
        <w:rPr>
          <w:spacing w:val="-1"/>
        </w:rPr>
        <w:t>shall</w:t>
      </w:r>
      <w:r>
        <w:rPr>
          <w:spacing w:val="24"/>
        </w:rPr>
        <w:t xml:space="preserve"> </w:t>
      </w:r>
      <w:r>
        <w:rPr>
          <w:spacing w:val="-1"/>
        </w:rPr>
        <w:t>include</w:t>
      </w:r>
      <w:r>
        <w:rPr>
          <w:spacing w:val="24"/>
        </w:rPr>
        <w:t xml:space="preserve"> </w:t>
      </w:r>
      <w:r>
        <w:t>any</w:t>
      </w:r>
      <w:r>
        <w:rPr>
          <w:spacing w:val="22"/>
        </w:rPr>
        <w:t xml:space="preserve"> </w:t>
      </w:r>
      <w:r>
        <w:rPr>
          <w:spacing w:val="-1"/>
        </w:rPr>
        <w:t>action</w:t>
      </w:r>
      <w:r>
        <w:rPr>
          <w:spacing w:val="32"/>
        </w:rPr>
        <w:t xml:space="preserve"> </w:t>
      </w:r>
      <w:r>
        <w:rPr>
          <w:spacing w:val="-1"/>
        </w:rPr>
        <w:t>or</w:t>
      </w:r>
      <w:r>
        <w:rPr>
          <w:spacing w:val="2"/>
        </w:rPr>
        <w:t xml:space="preserve"> </w:t>
      </w:r>
      <w:r>
        <w:rPr>
          <w:spacing w:val="-1"/>
        </w:rPr>
        <w:t>changes</w:t>
      </w:r>
      <w:r>
        <w:rPr>
          <w:spacing w:val="-2"/>
        </w:rPr>
        <w:t xml:space="preserve"> </w:t>
      </w:r>
      <w:r>
        <w:rPr>
          <w:spacing w:val="-1"/>
        </w:rPr>
        <w:t>reasonably</w:t>
      </w:r>
      <w:r>
        <w:rPr>
          <w:spacing w:val="-2"/>
        </w:rPr>
        <w:t xml:space="preserve"> </w:t>
      </w:r>
      <w:r>
        <w:rPr>
          <w:spacing w:val="-1"/>
        </w:rPr>
        <w:t>required</w:t>
      </w:r>
      <w:r>
        <w:rPr>
          <w:spacing w:val="-2"/>
        </w:rPr>
        <w:t xml:space="preserve"> </w:t>
      </w:r>
      <w:r>
        <w:rPr>
          <w:spacing w:val="-1"/>
        </w:rPr>
        <w:t>by</w:t>
      </w:r>
      <w:r>
        <w:rPr>
          <w:spacing w:val="-2"/>
        </w:rPr>
        <w:t xml:space="preserve"> </w:t>
      </w:r>
      <w:r>
        <w:t>the</w:t>
      </w:r>
      <w:r>
        <w:rPr>
          <w:spacing w:val="-2"/>
        </w:rPr>
        <w:t xml:space="preserve"> </w:t>
      </w:r>
      <w:r>
        <w:rPr>
          <w:spacing w:val="-1"/>
        </w:rPr>
        <w:t>Customer)</w:t>
      </w:r>
      <w:r>
        <w:rPr>
          <w:spacing w:val="2"/>
        </w:rPr>
        <w:t xml:space="preserve"> </w:t>
      </w:r>
      <w:r>
        <w:rPr>
          <w:spacing w:val="-1"/>
        </w:rPr>
        <w:t>necessary</w:t>
      </w:r>
      <w:r>
        <w:rPr>
          <w:spacing w:val="-2"/>
        </w:rPr>
        <w:t xml:space="preserve"> </w:t>
      </w:r>
      <w:r>
        <w:rPr>
          <w:spacing w:val="-1"/>
        </w:rPr>
        <w:t>to:</w:t>
      </w:r>
    </w:p>
    <w:p w:rsidR="008918FA" w:rsidRDefault="008918FA" w:rsidP="008918FA">
      <w:pPr>
        <w:pStyle w:val="BodyText"/>
        <w:numPr>
          <w:ilvl w:val="3"/>
          <w:numId w:val="14"/>
        </w:numPr>
        <w:tabs>
          <w:tab w:val="left" w:pos="2734"/>
        </w:tabs>
        <w:spacing w:before="121"/>
        <w:ind w:left="2733" w:right="117" w:hanging="707"/>
        <w:jc w:val="both"/>
      </w:pPr>
      <w:r>
        <w:rPr>
          <w:spacing w:val="-1"/>
        </w:rPr>
        <w:t>minimise</w:t>
      </w:r>
      <w:r>
        <w:rPr>
          <w:spacing w:val="22"/>
        </w:rPr>
        <w:t xml:space="preserve"> </w:t>
      </w:r>
      <w:r>
        <w:t>the</w:t>
      </w:r>
      <w:r>
        <w:rPr>
          <w:spacing w:val="22"/>
        </w:rPr>
        <w:t xml:space="preserve"> </w:t>
      </w:r>
      <w:r>
        <w:rPr>
          <w:spacing w:val="-1"/>
        </w:rPr>
        <w:t>extent</w:t>
      </w:r>
      <w:r>
        <w:rPr>
          <w:spacing w:val="23"/>
        </w:rPr>
        <w:t xml:space="preserve"> </w:t>
      </w:r>
      <w:r>
        <w:rPr>
          <w:spacing w:val="-2"/>
        </w:rPr>
        <w:t>of</w:t>
      </w:r>
      <w:r>
        <w:rPr>
          <w:spacing w:val="26"/>
        </w:rPr>
        <w:t xml:space="preserve"> </w:t>
      </w:r>
      <w:r>
        <w:rPr>
          <w:spacing w:val="-1"/>
        </w:rPr>
        <w:t>actual</w:t>
      </w:r>
      <w:r>
        <w:rPr>
          <w:spacing w:val="21"/>
        </w:rPr>
        <w:t xml:space="preserve"> </w:t>
      </w:r>
      <w:r>
        <w:rPr>
          <w:spacing w:val="-1"/>
        </w:rPr>
        <w:t>or</w:t>
      </w:r>
      <w:r>
        <w:rPr>
          <w:spacing w:val="23"/>
        </w:rPr>
        <w:t xml:space="preserve"> </w:t>
      </w:r>
      <w:r>
        <w:rPr>
          <w:spacing w:val="-1"/>
        </w:rPr>
        <w:t>potential</w:t>
      </w:r>
      <w:r>
        <w:rPr>
          <w:spacing w:val="21"/>
        </w:rPr>
        <w:t xml:space="preserve"> </w:t>
      </w:r>
      <w:r>
        <w:rPr>
          <w:spacing w:val="-1"/>
        </w:rPr>
        <w:t>harm</w:t>
      </w:r>
      <w:r>
        <w:rPr>
          <w:spacing w:val="23"/>
        </w:rPr>
        <w:t xml:space="preserve"> </w:t>
      </w:r>
      <w:r>
        <w:rPr>
          <w:spacing w:val="-1"/>
        </w:rPr>
        <w:t>caused</w:t>
      </w:r>
      <w:r>
        <w:rPr>
          <w:spacing w:val="22"/>
        </w:rPr>
        <w:t xml:space="preserve"> </w:t>
      </w:r>
      <w:r>
        <w:rPr>
          <w:spacing w:val="-1"/>
        </w:rPr>
        <w:t>by</w:t>
      </w:r>
      <w:r>
        <w:rPr>
          <w:spacing w:val="20"/>
        </w:rPr>
        <w:t xml:space="preserve"> </w:t>
      </w:r>
      <w:r>
        <w:t>any</w:t>
      </w:r>
      <w:r>
        <w:rPr>
          <w:spacing w:val="27"/>
        </w:rPr>
        <w:t xml:space="preserve"> </w:t>
      </w:r>
      <w:r>
        <w:rPr>
          <w:spacing w:val="-1"/>
        </w:rPr>
        <w:t>Breach</w:t>
      </w:r>
      <w:r>
        <w:rPr>
          <w:spacing w:val="1"/>
        </w:rPr>
        <w:t xml:space="preserve"> </w:t>
      </w:r>
      <w:r>
        <w:rPr>
          <w:spacing w:val="-2"/>
        </w:rPr>
        <w:t>of</w:t>
      </w:r>
      <w:r>
        <w:rPr>
          <w:spacing w:val="2"/>
        </w:rPr>
        <w:t xml:space="preserve"> </w:t>
      </w:r>
      <w:r>
        <w:rPr>
          <w:spacing w:val="-2"/>
        </w:rPr>
        <w:t>Security;</w:t>
      </w:r>
    </w:p>
    <w:p w:rsidR="008918FA" w:rsidRDefault="008918FA" w:rsidP="008918FA">
      <w:pPr>
        <w:pStyle w:val="BodyText"/>
        <w:numPr>
          <w:ilvl w:val="3"/>
          <w:numId w:val="14"/>
        </w:numPr>
        <w:tabs>
          <w:tab w:val="left" w:pos="2734"/>
        </w:tabs>
        <w:ind w:left="2733" w:right="114" w:hanging="707"/>
        <w:jc w:val="both"/>
      </w:pPr>
      <w:r>
        <w:rPr>
          <w:spacing w:val="-1"/>
        </w:rPr>
        <w:t>remedy</w:t>
      </w:r>
      <w:r>
        <w:rPr>
          <w:spacing w:val="1"/>
        </w:rPr>
        <w:t xml:space="preserve"> </w:t>
      </w:r>
      <w:r>
        <w:rPr>
          <w:spacing w:val="-1"/>
        </w:rPr>
        <w:t>such</w:t>
      </w:r>
      <w:r>
        <w:rPr>
          <w:spacing w:val="4"/>
        </w:rPr>
        <w:t xml:space="preserve"> </w:t>
      </w:r>
      <w:r>
        <w:rPr>
          <w:spacing w:val="-2"/>
        </w:rPr>
        <w:t>Breach</w:t>
      </w:r>
      <w:r>
        <w:rPr>
          <w:spacing w:val="3"/>
        </w:rPr>
        <w:t xml:space="preserve"> </w:t>
      </w:r>
      <w:r>
        <w:rPr>
          <w:spacing w:val="-2"/>
        </w:rPr>
        <w:t>of</w:t>
      </w:r>
      <w:r>
        <w:rPr>
          <w:spacing w:val="2"/>
        </w:rPr>
        <w:t xml:space="preserve"> </w:t>
      </w:r>
      <w:r>
        <w:rPr>
          <w:spacing w:val="-1"/>
        </w:rPr>
        <w:t>Security</w:t>
      </w:r>
      <w:r>
        <w:rPr>
          <w:spacing w:val="1"/>
        </w:rPr>
        <w:t xml:space="preserve"> </w:t>
      </w:r>
      <w:r>
        <w:t>to</w:t>
      </w:r>
      <w:r>
        <w:rPr>
          <w:spacing w:val="3"/>
        </w:rPr>
        <w:t xml:space="preserve"> </w:t>
      </w:r>
      <w:r>
        <w:t xml:space="preserve">the </w:t>
      </w:r>
      <w:r>
        <w:rPr>
          <w:spacing w:val="-1"/>
        </w:rPr>
        <w:t>extent</w:t>
      </w:r>
      <w:r>
        <w:rPr>
          <w:spacing w:val="4"/>
        </w:rPr>
        <w:t xml:space="preserve"> </w:t>
      </w:r>
      <w:r>
        <w:rPr>
          <w:spacing w:val="-1"/>
        </w:rPr>
        <w:t>necessary</w:t>
      </w:r>
      <w:r>
        <w:rPr>
          <w:spacing w:val="2"/>
        </w:rPr>
        <w:t xml:space="preserve"> </w:t>
      </w:r>
      <w:r>
        <w:rPr>
          <w:spacing w:val="-1"/>
        </w:rPr>
        <w:t>protect</w:t>
      </w:r>
      <w:r>
        <w:rPr>
          <w:spacing w:val="40"/>
        </w:rPr>
        <w:t xml:space="preserve"> </w:t>
      </w:r>
      <w:r>
        <w:t>the</w:t>
      </w:r>
      <w:r>
        <w:rPr>
          <w:spacing w:val="17"/>
        </w:rPr>
        <w:t xml:space="preserve"> </w:t>
      </w:r>
      <w:r>
        <w:rPr>
          <w:spacing w:val="-1"/>
        </w:rPr>
        <w:t>integrity</w:t>
      </w:r>
      <w:r>
        <w:rPr>
          <w:spacing w:val="15"/>
        </w:rPr>
        <w:t xml:space="preserve"> </w:t>
      </w:r>
      <w:r>
        <w:rPr>
          <w:spacing w:val="-2"/>
        </w:rPr>
        <w:t>of</w:t>
      </w:r>
      <w:r>
        <w:rPr>
          <w:spacing w:val="19"/>
        </w:rPr>
        <w:t xml:space="preserve"> </w:t>
      </w:r>
      <w:r>
        <w:t>the</w:t>
      </w:r>
      <w:r>
        <w:rPr>
          <w:spacing w:val="17"/>
        </w:rPr>
        <w:t xml:space="preserve"> </w:t>
      </w:r>
      <w:r>
        <w:rPr>
          <w:spacing w:val="-2"/>
        </w:rPr>
        <w:t>Customer</w:t>
      </w:r>
      <w:r>
        <w:rPr>
          <w:spacing w:val="19"/>
        </w:rPr>
        <w:t xml:space="preserve"> </w:t>
      </w:r>
      <w:r>
        <w:rPr>
          <w:spacing w:val="-1"/>
        </w:rPr>
        <w:t>Property</w:t>
      </w:r>
      <w:r>
        <w:rPr>
          <w:spacing w:val="15"/>
        </w:rPr>
        <w:t xml:space="preserve"> </w:t>
      </w:r>
      <w:r>
        <w:rPr>
          <w:spacing w:val="-1"/>
        </w:rPr>
        <w:t>and/or</w:t>
      </w:r>
      <w:r>
        <w:rPr>
          <w:spacing w:val="16"/>
        </w:rPr>
        <w:t xml:space="preserve"> </w:t>
      </w:r>
      <w:r>
        <w:rPr>
          <w:spacing w:val="-1"/>
        </w:rPr>
        <w:t>Customer</w:t>
      </w:r>
      <w:r>
        <w:rPr>
          <w:spacing w:val="19"/>
        </w:rPr>
        <w:t xml:space="preserve"> </w:t>
      </w:r>
      <w:r>
        <w:rPr>
          <w:spacing w:val="-1"/>
        </w:rPr>
        <w:t>Assets</w:t>
      </w:r>
      <w:r>
        <w:rPr>
          <w:spacing w:val="33"/>
        </w:rPr>
        <w:t xml:space="preserve"> </w:t>
      </w:r>
      <w:r>
        <w:t>to</w:t>
      </w:r>
      <w:r>
        <w:rPr>
          <w:spacing w:val="4"/>
        </w:rPr>
        <w:t xml:space="preserve"> </w:t>
      </w:r>
      <w:r>
        <w:t>the</w:t>
      </w:r>
      <w:r>
        <w:rPr>
          <w:spacing w:val="4"/>
        </w:rPr>
        <w:t xml:space="preserve"> </w:t>
      </w:r>
      <w:r>
        <w:rPr>
          <w:spacing w:val="-1"/>
        </w:rPr>
        <w:t>extent</w:t>
      </w:r>
      <w:r>
        <w:rPr>
          <w:spacing w:val="5"/>
        </w:rPr>
        <w:t xml:space="preserve"> </w:t>
      </w:r>
      <w:r>
        <w:rPr>
          <w:spacing w:val="-2"/>
        </w:rPr>
        <w:t>within</w:t>
      </w:r>
      <w:r>
        <w:rPr>
          <w:spacing w:val="4"/>
        </w:rPr>
        <w:t xml:space="preserve"> </w:t>
      </w:r>
      <w:r>
        <w:rPr>
          <w:spacing w:val="-1"/>
        </w:rPr>
        <w:t>its</w:t>
      </w:r>
      <w:r>
        <w:rPr>
          <w:spacing w:val="4"/>
        </w:rPr>
        <w:t xml:space="preserve"> </w:t>
      </w:r>
      <w:r>
        <w:rPr>
          <w:spacing w:val="-1"/>
        </w:rPr>
        <w:t>control</w:t>
      </w:r>
      <w:r>
        <w:rPr>
          <w:spacing w:val="3"/>
        </w:rPr>
        <w:t xml:space="preserve"> </w:t>
      </w:r>
      <w:r>
        <w:rPr>
          <w:spacing w:val="-1"/>
        </w:rPr>
        <w:t>against</w:t>
      </w:r>
      <w:r>
        <w:rPr>
          <w:spacing w:val="6"/>
        </w:rPr>
        <w:t xml:space="preserve"> </w:t>
      </w:r>
      <w:r>
        <w:rPr>
          <w:spacing w:val="-1"/>
        </w:rPr>
        <w:t>any</w:t>
      </w:r>
      <w:r>
        <w:rPr>
          <w:spacing w:val="2"/>
        </w:rPr>
        <w:t xml:space="preserve"> </w:t>
      </w:r>
      <w:r>
        <w:rPr>
          <w:spacing w:val="-1"/>
        </w:rPr>
        <w:t>such</w:t>
      </w:r>
      <w:r>
        <w:rPr>
          <w:spacing w:val="4"/>
        </w:rPr>
        <w:t xml:space="preserve"> </w:t>
      </w:r>
      <w:r>
        <w:rPr>
          <w:spacing w:val="-1"/>
        </w:rPr>
        <w:t>Breach</w:t>
      </w:r>
      <w:r>
        <w:rPr>
          <w:spacing w:val="4"/>
        </w:rPr>
        <w:t xml:space="preserve"> </w:t>
      </w:r>
      <w:r>
        <w:rPr>
          <w:spacing w:val="-2"/>
        </w:rPr>
        <w:t>of</w:t>
      </w:r>
      <w:r>
        <w:rPr>
          <w:spacing w:val="43"/>
        </w:rPr>
        <w:t xml:space="preserve"> </w:t>
      </w:r>
      <w:r>
        <w:rPr>
          <w:spacing w:val="-1"/>
        </w:rPr>
        <w:t>Security</w:t>
      </w:r>
      <w:r>
        <w:rPr>
          <w:spacing w:val="-2"/>
        </w:rPr>
        <w:t xml:space="preserve"> </w:t>
      </w:r>
      <w:r>
        <w:rPr>
          <w:spacing w:val="-1"/>
        </w:rPr>
        <w:t>or</w:t>
      </w:r>
      <w:r>
        <w:rPr>
          <w:spacing w:val="2"/>
        </w:rPr>
        <w:t xml:space="preserve"> </w:t>
      </w:r>
      <w:r>
        <w:rPr>
          <w:spacing w:val="-1"/>
        </w:rPr>
        <w:t>any</w:t>
      </w:r>
      <w:r>
        <w:rPr>
          <w:spacing w:val="-2"/>
        </w:rPr>
        <w:t xml:space="preserve"> </w:t>
      </w:r>
      <w:r>
        <w:rPr>
          <w:spacing w:val="-1"/>
        </w:rPr>
        <w:t>potential</w:t>
      </w:r>
      <w:r>
        <w:rPr>
          <w:spacing w:val="-3"/>
        </w:rPr>
        <w:t xml:space="preserve"> </w:t>
      </w:r>
      <w:r>
        <w:rPr>
          <w:spacing w:val="-1"/>
        </w:rPr>
        <w:t>or</w:t>
      </w:r>
      <w:r>
        <w:rPr>
          <w:spacing w:val="2"/>
        </w:rPr>
        <w:t xml:space="preserve"> </w:t>
      </w:r>
      <w:r>
        <w:rPr>
          <w:spacing w:val="-1"/>
        </w:rPr>
        <w:t>attempted</w:t>
      </w:r>
      <w:r>
        <w:rPr>
          <w:spacing w:val="-2"/>
        </w:rPr>
        <w:t xml:space="preserve"> </w:t>
      </w:r>
      <w:r>
        <w:rPr>
          <w:spacing w:val="-1"/>
        </w:rPr>
        <w:t>Breach</w:t>
      </w:r>
      <w:r>
        <w:rPr>
          <w:spacing w:val="1"/>
        </w:rPr>
        <w:t xml:space="preserve"> </w:t>
      </w:r>
      <w:r>
        <w:rPr>
          <w:spacing w:val="-2"/>
        </w:rPr>
        <w:t>of</w:t>
      </w:r>
      <w:r>
        <w:rPr>
          <w:spacing w:val="2"/>
        </w:rPr>
        <w:t xml:space="preserve"> </w:t>
      </w:r>
      <w:r>
        <w:rPr>
          <w:spacing w:val="-2"/>
        </w:rPr>
        <w:t>Security;</w:t>
      </w:r>
    </w:p>
    <w:p w:rsidR="008918FA" w:rsidRDefault="008918FA" w:rsidP="008918FA">
      <w:pPr>
        <w:pStyle w:val="BodyText"/>
        <w:numPr>
          <w:ilvl w:val="3"/>
          <w:numId w:val="14"/>
        </w:numPr>
        <w:tabs>
          <w:tab w:val="left" w:pos="2734"/>
        </w:tabs>
        <w:ind w:left="2733" w:right="113"/>
        <w:jc w:val="both"/>
      </w:pPr>
      <w:r>
        <w:rPr>
          <w:spacing w:val="-1"/>
        </w:rPr>
        <w:t>apply</w:t>
      </w:r>
      <w:r>
        <w:rPr>
          <w:spacing w:val="-2"/>
        </w:rPr>
        <w:t xml:space="preserve"> </w:t>
      </w:r>
      <w:r>
        <w:t xml:space="preserve">a </w:t>
      </w:r>
      <w:r>
        <w:rPr>
          <w:spacing w:val="-1"/>
        </w:rPr>
        <w:t>tested</w:t>
      </w:r>
      <w:r>
        <w:t xml:space="preserve"> </w:t>
      </w:r>
      <w:r>
        <w:rPr>
          <w:spacing w:val="-1"/>
        </w:rPr>
        <w:t>mitigation</w:t>
      </w:r>
      <w:r>
        <w:t xml:space="preserve"> </w:t>
      </w:r>
      <w:r>
        <w:rPr>
          <w:spacing w:val="-1"/>
        </w:rPr>
        <w:t>against</w:t>
      </w:r>
      <w:r>
        <w:rPr>
          <w:spacing w:val="2"/>
        </w:rPr>
        <w:t xml:space="preserve"> </w:t>
      </w:r>
      <w:r>
        <w:rPr>
          <w:spacing w:val="-1"/>
        </w:rPr>
        <w:t>any</w:t>
      </w:r>
      <w:r>
        <w:rPr>
          <w:spacing w:val="-2"/>
        </w:rPr>
        <w:t xml:space="preserve"> </w:t>
      </w:r>
      <w:r>
        <w:rPr>
          <w:spacing w:val="-1"/>
        </w:rPr>
        <w:t>such</w:t>
      </w:r>
      <w:r>
        <w:rPr>
          <w:spacing w:val="1"/>
        </w:rPr>
        <w:t xml:space="preserve"> </w:t>
      </w:r>
      <w:r>
        <w:rPr>
          <w:spacing w:val="-1"/>
        </w:rPr>
        <w:t>Breach</w:t>
      </w:r>
      <w:r>
        <w:rPr>
          <w:spacing w:val="-2"/>
        </w:rPr>
        <w:t xml:space="preserve"> </w:t>
      </w:r>
      <w:r>
        <w:rPr>
          <w:spacing w:val="-1"/>
        </w:rPr>
        <w:t>of</w:t>
      </w:r>
      <w:r>
        <w:rPr>
          <w:spacing w:val="4"/>
        </w:rPr>
        <w:t xml:space="preserve"> </w:t>
      </w:r>
      <w:r>
        <w:rPr>
          <w:spacing w:val="-1"/>
        </w:rPr>
        <w:t>Security</w:t>
      </w:r>
      <w:r>
        <w:rPr>
          <w:spacing w:val="-2"/>
        </w:rPr>
        <w:t xml:space="preserve"> </w:t>
      </w:r>
      <w:r>
        <w:rPr>
          <w:spacing w:val="-1"/>
        </w:rPr>
        <w:t>or</w:t>
      </w:r>
      <w:r>
        <w:rPr>
          <w:spacing w:val="38"/>
        </w:rPr>
        <w:t xml:space="preserve"> </w:t>
      </w:r>
      <w:r>
        <w:rPr>
          <w:spacing w:val="-1"/>
        </w:rPr>
        <w:t>attempted</w:t>
      </w:r>
      <w:r>
        <w:rPr>
          <w:spacing w:val="4"/>
        </w:rPr>
        <w:t xml:space="preserve"> </w:t>
      </w:r>
      <w:r>
        <w:rPr>
          <w:spacing w:val="-1"/>
        </w:rPr>
        <w:t>Breach</w:t>
      </w:r>
      <w:r>
        <w:rPr>
          <w:spacing w:val="4"/>
        </w:rPr>
        <w:t xml:space="preserve"> </w:t>
      </w:r>
      <w:r>
        <w:rPr>
          <w:spacing w:val="-2"/>
        </w:rPr>
        <w:t>of</w:t>
      </w:r>
      <w:r>
        <w:rPr>
          <w:spacing w:val="8"/>
        </w:rPr>
        <w:t xml:space="preserve"> </w:t>
      </w:r>
      <w:r>
        <w:rPr>
          <w:spacing w:val="-1"/>
        </w:rPr>
        <w:t>Security</w:t>
      </w:r>
      <w:r>
        <w:rPr>
          <w:spacing w:val="2"/>
        </w:rPr>
        <w:t xml:space="preserve"> </w:t>
      </w:r>
      <w:r>
        <w:rPr>
          <w:spacing w:val="-1"/>
        </w:rPr>
        <w:t>and</w:t>
      </w:r>
      <w:r>
        <w:rPr>
          <w:spacing w:val="4"/>
        </w:rPr>
        <w:t xml:space="preserve"> </w:t>
      </w:r>
      <w:r>
        <w:rPr>
          <w:spacing w:val="-2"/>
        </w:rPr>
        <w:t>provided</w:t>
      </w:r>
      <w:r>
        <w:rPr>
          <w:spacing w:val="4"/>
        </w:rPr>
        <w:t xml:space="preserve"> </w:t>
      </w:r>
      <w:r>
        <w:t>that</w:t>
      </w:r>
      <w:r>
        <w:rPr>
          <w:spacing w:val="5"/>
        </w:rPr>
        <w:t xml:space="preserve"> </w:t>
      </w:r>
      <w:r>
        <w:rPr>
          <w:spacing w:val="-1"/>
        </w:rPr>
        <w:t>reasonable</w:t>
      </w:r>
      <w:r>
        <w:rPr>
          <w:spacing w:val="47"/>
        </w:rPr>
        <w:t xml:space="preserve"> </w:t>
      </w:r>
      <w:r>
        <w:rPr>
          <w:spacing w:val="-1"/>
        </w:rPr>
        <w:t>testing</w:t>
      </w:r>
      <w:r>
        <w:rPr>
          <w:spacing w:val="36"/>
        </w:rPr>
        <w:t xml:space="preserve"> </w:t>
      </w:r>
      <w:r>
        <w:rPr>
          <w:spacing w:val="-1"/>
        </w:rPr>
        <w:t>has</w:t>
      </w:r>
      <w:r>
        <w:rPr>
          <w:spacing w:val="32"/>
        </w:rPr>
        <w:t xml:space="preserve"> </w:t>
      </w:r>
      <w:r>
        <w:rPr>
          <w:spacing w:val="-1"/>
        </w:rPr>
        <w:t>been</w:t>
      </w:r>
      <w:r>
        <w:rPr>
          <w:spacing w:val="34"/>
        </w:rPr>
        <w:t xml:space="preserve"> </w:t>
      </w:r>
      <w:r>
        <w:rPr>
          <w:spacing w:val="-1"/>
        </w:rPr>
        <w:t>undertaken</w:t>
      </w:r>
      <w:r>
        <w:rPr>
          <w:spacing w:val="34"/>
        </w:rPr>
        <w:t xml:space="preserve"> </w:t>
      </w:r>
      <w:r>
        <w:rPr>
          <w:spacing w:val="-1"/>
        </w:rPr>
        <w:t>by</w:t>
      </w:r>
      <w:r>
        <w:rPr>
          <w:spacing w:val="32"/>
        </w:rPr>
        <w:t xml:space="preserve"> </w:t>
      </w:r>
      <w:r>
        <w:t>the</w:t>
      </w:r>
      <w:r>
        <w:rPr>
          <w:spacing w:val="31"/>
        </w:rPr>
        <w:t xml:space="preserve"> </w:t>
      </w:r>
      <w:r>
        <w:rPr>
          <w:spacing w:val="-1"/>
        </w:rPr>
        <w:t>Supplier,</w:t>
      </w:r>
      <w:r>
        <w:rPr>
          <w:spacing w:val="36"/>
        </w:rPr>
        <w:t xml:space="preserve"> </w:t>
      </w:r>
      <w:r>
        <w:rPr>
          <w:spacing w:val="-2"/>
        </w:rPr>
        <w:t>if</w:t>
      </w:r>
      <w:r>
        <w:rPr>
          <w:spacing w:val="35"/>
        </w:rPr>
        <w:t xml:space="preserve"> </w:t>
      </w:r>
      <w:r>
        <w:t>the</w:t>
      </w:r>
      <w:r>
        <w:rPr>
          <w:spacing w:val="31"/>
        </w:rPr>
        <w:t xml:space="preserve"> </w:t>
      </w:r>
      <w:r>
        <w:rPr>
          <w:spacing w:val="-1"/>
        </w:rPr>
        <w:t>mitigation</w:t>
      </w:r>
      <w:r>
        <w:rPr>
          <w:spacing w:val="20"/>
        </w:rPr>
        <w:t xml:space="preserve"> </w:t>
      </w:r>
      <w:r>
        <w:rPr>
          <w:spacing w:val="-1"/>
        </w:rPr>
        <w:t>adversely</w:t>
      </w:r>
      <w:r>
        <w:rPr>
          <w:spacing w:val="53"/>
        </w:rPr>
        <w:t xml:space="preserve"> </w:t>
      </w:r>
      <w:r>
        <w:t>affects</w:t>
      </w:r>
      <w:r>
        <w:rPr>
          <w:spacing w:val="53"/>
        </w:rPr>
        <w:t xml:space="preserve"> </w:t>
      </w:r>
      <w:r>
        <w:t>the</w:t>
      </w:r>
      <w:r>
        <w:rPr>
          <w:spacing w:val="53"/>
        </w:rPr>
        <w:t xml:space="preserve"> </w:t>
      </w:r>
      <w:r>
        <w:rPr>
          <w:spacing w:val="-2"/>
        </w:rPr>
        <w:t>Supplier’s</w:t>
      </w:r>
      <w:r>
        <w:rPr>
          <w:spacing w:val="56"/>
        </w:rPr>
        <w:t xml:space="preserve"> </w:t>
      </w:r>
      <w:r>
        <w:rPr>
          <w:spacing w:val="-1"/>
        </w:rPr>
        <w:t>ability</w:t>
      </w:r>
      <w:r>
        <w:rPr>
          <w:spacing w:val="53"/>
        </w:rPr>
        <w:t xml:space="preserve"> </w:t>
      </w:r>
      <w:r>
        <w:t>to</w:t>
      </w:r>
      <w:r>
        <w:rPr>
          <w:spacing w:val="55"/>
        </w:rPr>
        <w:t xml:space="preserve"> </w:t>
      </w:r>
      <w:r>
        <w:rPr>
          <w:spacing w:val="-1"/>
        </w:rPr>
        <w:t>provide</w:t>
      </w:r>
      <w:r>
        <w:rPr>
          <w:spacing w:val="56"/>
        </w:rPr>
        <w:t xml:space="preserve"> </w:t>
      </w:r>
      <w:r>
        <w:t>the</w:t>
      </w:r>
      <w:r>
        <w:rPr>
          <w:spacing w:val="53"/>
        </w:rPr>
        <w:t xml:space="preserve"> </w:t>
      </w:r>
      <w:r>
        <w:rPr>
          <w:spacing w:val="-1"/>
        </w:rPr>
        <w:t>Goods</w:t>
      </w:r>
    </w:p>
    <w:p w:rsidR="008918FA" w:rsidRDefault="008918FA" w:rsidP="008918FA">
      <w:pPr>
        <w:jc w:val="both"/>
        <w:sectPr w:rsidR="008918FA">
          <w:pgSz w:w="11910" w:h="16840"/>
          <w:pgMar w:top="1480" w:right="1300" w:bottom="1160" w:left="1540" w:header="0" w:footer="967" w:gutter="0"/>
          <w:cols w:space="720"/>
        </w:sectPr>
      </w:pPr>
    </w:p>
    <w:p w:rsidR="008918FA" w:rsidRDefault="008918FA" w:rsidP="008918FA">
      <w:pPr>
        <w:pStyle w:val="BodyText"/>
        <w:spacing w:before="59"/>
        <w:ind w:left="2594" w:right="113" w:firstLine="0"/>
        <w:jc w:val="both"/>
      </w:pPr>
      <w:r>
        <w:rPr>
          <w:spacing w:val="-1"/>
        </w:rPr>
        <w:t>and/or</w:t>
      </w:r>
      <w:r>
        <w:rPr>
          <w:spacing w:val="17"/>
        </w:rPr>
        <w:t xml:space="preserve"> </w:t>
      </w:r>
      <w:r>
        <w:rPr>
          <w:spacing w:val="-1"/>
        </w:rPr>
        <w:t>Services</w:t>
      </w:r>
      <w:r>
        <w:rPr>
          <w:spacing w:val="16"/>
        </w:rPr>
        <w:t xml:space="preserve"> </w:t>
      </w:r>
      <w:r>
        <w:rPr>
          <w:spacing w:val="-1"/>
        </w:rPr>
        <w:t>so</w:t>
      </w:r>
      <w:r>
        <w:rPr>
          <w:spacing w:val="16"/>
        </w:rPr>
        <w:t xml:space="preserve"> </w:t>
      </w:r>
      <w:r>
        <w:rPr>
          <w:spacing w:val="-1"/>
        </w:rPr>
        <w:t>as</w:t>
      </w:r>
      <w:r>
        <w:rPr>
          <w:spacing w:val="16"/>
        </w:rPr>
        <w:t xml:space="preserve"> </w:t>
      </w:r>
      <w:r>
        <w:t>to</w:t>
      </w:r>
      <w:r>
        <w:rPr>
          <w:spacing w:val="16"/>
        </w:rPr>
        <w:t xml:space="preserve"> </w:t>
      </w:r>
      <w:r>
        <w:rPr>
          <w:spacing w:val="-1"/>
        </w:rPr>
        <w:t>meet</w:t>
      </w:r>
      <w:r>
        <w:rPr>
          <w:spacing w:val="17"/>
        </w:rPr>
        <w:t xml:space="preserve"> </w:t>
      </w:r>
      <w:r>
        <w:t>the</w:t>
      </w:r>
      <w:r>
        <w:rPr>
          <w:spacing w:val="16"/>
        </w:rPr>
        <w:t xml:space="preserve"> </w:t>
      </w:r>
      <w:r>
        <w:rPr>
          <w:spacing w:val="-2"/>
        </w:rPr>
        <w:t>relevant</w:t>
      </w:r>
      <w:r>
        <w:rPr>
          <w:spacing w:val="17"/>
        </w:rPr>
        <w:t xml:space="preserve"> </w:t>
      </w:r>
      <w:r>
        <w:rPr>
          <w:spacing w:val="-2"/>
        </w:rPr>
        <w:t>Service</w:t>
      </w:r>
      <w:r>
        <w:rPr>
          <w:spacing w:val="19"/>
        </w:rPr>
        <w:t xml:space="preserve"> </w:t>
      </w:r>
      <w:r>
        <w:rPr>
          <w:spacing w:val="-1"/>
        </w:rPr>
        <w:t>Level</w:t>
      </w:r>
      <w:r>
        <w:rPr>
          <w:spacing w:val="47"/>
        </w:rPr>
        <w:t xml:space="preserve"> </w:t>
      </w:r>
      <w:r>
        <w:rPr>
          <w:spacing w:val="-1"/>
        </w:rPr>
        <w:t>Performance</w:t>
      </w:r>
      <w:r>
        <w:rPr>
          <w:spacing w:val="4"/>
        </w:rPr>
        <w:t xml:space="preserve"> </w:t>
      </w:r>
      <w:r>
        <w:rPr>
          <w:spacing w:val="-1"/>
        </w:rPr>
        <w:t>Measures,</w:t>
      </w:r>
      <w:r>
        <w:rPr>
          <w:spacing w:val="3"/>
        </w:rPr>
        <w:t xml:space="preserve"> </w:t>
      </w:r>
      <w:r>
        <w:t>the</w:t>
      </w:r>
      <w:r>
        <w:rPr>
          <w:spacing w:val="4"/>
        </w:rPr>
        <w:t xml:space="preserve"> </w:t>
      </w:r>
      <w:r>
        <w:rPr>
          <w:spacing w:val="-2"/>
        </w:rPr>
        <w:t>Supplier</w:t>
      </w:r>
      <w:r>
        <w:rPr>
          <w:spacing w:val="5"/>
        </w:rPr>
        <w:t xml:space="preserve"> </w:t>
      </w:r>
      <w:r>
        <w:rPr>
          <w:spacing w:val="-1"/>
        </w:rPr>
        <w:t>shall</w:t>
      </w:r>
      <w:r>
        <w:rPr>
          <w:spacing w:val="6"/>
        </w:rPr>
        <w:t xml:space="preserve"> </w:t>
      </w:r>
      <w:r>
        <w:rPr>
          <w:spacing w:val="-1"/>
        </w:rPr>
        <w:t>be</w:t>
      </w:r>
      <w:r>
        <w:rPr>
          <w:spacing w:val="6"/>
        </w:rPr>
        <w:t xml:space="preserve"> </w:t>
      </w:r>
      <w:r>
        <w:rPr>
          <w:spacing w:val="-1"/>
        </w:rPr>
        <w:t>granted</w:t>
      </w:r>
      <w:r>
        <w:rPr>
          <w:spacing w:val="4"/>
        </w:rPr>
        <w:t xml:space="preserve"> </w:t>
      </w:r>
      <w:r>
        <w:rPr>
          <w:spacing w:val="-2"/>
        </w:rPr>
        <w:t>relief</w:t>
      </w:r>
      <w:r>
        <w:rPr>
          <w:spacing w:val="45"/>
        </w:rPr>
        <w:t xml:space="preserve"> </w:t>
      </w:r>
      <w:r>
        <w:rPr>
          <w:spacing w:val="-1"/>
        </w:rPr>
        <w:t>against</w:t>
      </w:r>
      <w:r>
        <w:rPr>
          <w:spacing w:val="9"/>
        </w:rPr>
        <w:t xml:space="preserve"> </w:t>
      </w:r>
      <w:r>
        <w:rPr>
          <w:spacing w:val="-1"/>
        </w:rPr>
        <w:t>any</w:t>
      </w:r>
      <w:r>
        <w:rPr>
          <w:spacing w:val="5"/>
        </w:rPr>
        <w:t xml:space="preserve"> </w:t>
      </w:r>
      <w:r>
        <w:rPr>
          <w:spacing w:val="-1"/>
        </w:rPr>
        <w:t>resultant</w:t>
      </w:r>
      <w:r>
        <w:rPr>
          <w:spacing w:val="9"/>
        </w:rPr>
        <w:t xml:space="preserve"> </w:t>
      </w:r>
      <w:r>
        <w:rPr>
          <w:spacing w:val="-1"/>
        </w:rPr>
        <w:t>under-performance</w:t>
      </w:r>
      <w:r>
        <w:rPr>
          <w:spacing w:val="5"/>
        </w:rPr>
        <w:t xml:space="preserve"> </w:t>
      </w:r>
      <w:r>
        <w:t>for</w:t>
      </w:r>
      <w:r>
        <w:rPr>
          <w:spacing w:val="9"/>
        </w:rPr>
        <w:t xml:space="preserve"> </w:t>
      </w:r>
      <w:r>
        <w:rPr>
          <w:spacing w:val="-1"/>
        </w:rPr>
        <w:t>such</w:t>
      </w:r>
      <w:r>
        <w:rPr>
          <w:spacing w:val="7"/>
        </w:rPr>
        <w:t xml:space="preserve"> </w:t>
      </w:r>
      <w:r>
        <w:rPr>
          <w:spacing w:val="-1"/>
        </w:rPr>
        <w:t>period</w:t>
      </w:r>
      <w:r>
        <w:rPr>
          <w:spacing w:val="7"/>
        </w:rPr>
        <w:t xml:space="preserve"> </w:t>
      </w:r>
      <w:r>
        <w:rPr>
          <w:spacing w:val="-1"/>
        </w:rPr>
        <w:t>as</w:t>
      </w:r>
      <w:r>
        <w:rPr>
          <w:spacing w:val="8"/>
        </w:rPr>
        <w:t xml:space="preserve"> </w:t>
      </w:r>
      <w:r>
        <w:rPr>
          <w:spacing w:val="-1"/>
        </w:rPr>
        <w:t>the</w:t>
      </w:r>
      <w:r>
        <w:rPr>
          <w:spacing w:val="32"/>
        </w:rPr>
        <w:t xml:space="preserve"> </w:t>
      </w:r>
      <w:r>
        <w:rPr>
          <w:spacing w:val="-1"/>
        </w:rPr>
        <w:t>Customer,</w:t>
      </w:r>
      <w:r>
        <w:rPr>
          <w:spacing w:val="30"/>
        </w:rPr>
        <w:t xml:space="preserve"> </w:t>
      </w:r>
      <w:r>
        <w:rPr>
          <w:spacing w:val="-2"/>
        </w:rPr>
        <w:t>acting</w:t>
      </w:r>
      <w:r>
        <w:rPr>
          <w:spacing w:val="29"/>
        </w:rPr>
        <w:t xml:space="preserve"> </w:t>
      </w:r>
      <w:r>
        <w:rPr>
          <w:spacing w:val="-2"/>
        </w:rPr>
        <w:t>reasonably,</w:t>
      </w:r>
      <w:r>
        <w:rPr>
          <w:spacing w:val="30"/>
        </w:rPr>
        <w:t xml:space="preserve"> </w:t>
      </w:r>
      <w:r>
        <w:rPr>
          <w:spacing w:val="-1"/>
        </w:rPr>
        <w:t>may</w:t>
      </w:r>
      <w:r>
        <w:rPr>
          <w:spacing w:val="27"/>
        </w:rPr>
        <w:t xml:space="preserve"> </w:t>
      </w:r>
      <w:r>
        <w:rPr>
          <w:spacing w:val="-1"/>
        </w:rPr>
        <w:t>specify</w:t>
      </w:r>
      <w:r>
        <w:rPr>
          <w:spacing w:val="27"/>
        </w:rPr>
        <w:t xml:space="preserve"> </w:t>
      </w:r>
      <w:r>
        <w:rPr>
          <w:spacing w:val="-1"/>
        </w:rPr>
        <w:t>by</w:t>
      </w:r>
      <w:r>
        <w:rPr>
          <w:spacing w:val="27"/>
        </w:rPr>
        <w:t xml:space="preserve"> </w:t>
      </w:r>
      <w:r>
        <w:t>written</w:t>
      </w:r>
      <w:r>
        <w:rPr>
          <w:spacing w:val="29"/>
        </w:rPr>
        <w:t xml:space="preserve"> </w:t>
      </w:r>
      <w:r>
        <w:rPr>
          <w:spacing w:val="-1"/>
        </w:rPr>
        <w:t>notice</w:t>
      </w:r>
      <w:r>
        <w:rPr>
          <w:spacing w:val="27"/>
        </w:rPr>
        <w:t xml:space="preserve"> </w:t>
      </w:r>
      <w:r>
        <w:t>to</w:t>
      </w:r>
      <w:r>
        <w:rPr>
          <w:spacing w:val="51"/>
        </w:rPr>
        <w:t xml:space="preserve"> </w:t>
      </w:r>
      <w:r>
        <w:t xml:space="preserve">the </w:t>
      </w:r>
      <w:r>
        <w:rPr>
          <w:spacing w:val="-1"/>
        </w:rPr>
        <w:t>Supplier;</w:t>
      </w:r>
    </w:p>
    <w:p w:rsidR="008918FA" w:rsidRDefault="008918FA" w:rsidP="008918FA">
      <w:pPr>
        <w:pStyle w:val="BodyText"/>
        <w:numPr>
          <w:ilvl w:val="3"/>
          <w:numId w:val="14"/>
        </w:numPr>
        <w:tabs>
          <w:tab w:val="left" w:pos="2595"/>
        </w:tabs>
        <w:ind w:left="2594" w:right="115"/>
        <w:jc w:val="both"/>
      </w:pPr>
      <w:r>
        <w:rPr>
          <w:spacing w:val="-1"/>
        </w:rPr>
        <w:t>prevent</w:t>
      </w:r>
      <w:r>
        <w:rPr>
          <w:spacing w:val="50"/>
        </w:rPr>
        <w:t xml:space="preserve"> </w:t>
      </w:r>
      <w:r>
        <w:t>a</w:t>
      </w:r>
      <w:r>
        <w:rPr>
          <w:spacing w:val="46"/>
        </w:rPr>
        <w:t xml:space="preserve"> </w:t>
      </w:r>
      <w:r>
        <w:rPr>
          <w:spacing w:val="-1"/>
        </w:rPr>
        <w:t>further</w:t>
      </w:r>
      <w:r>
        <w:rPr>
          <w:spacing w:val="50"/>
        </w:rPr>
        <w:t xml:space="preserve"> </w:t>
      </w:r>
      <w:r>
        <w:rPr>
          <w:spacing w:val="-2"/>
        </w:rPr>
        <w:t>Breach</w:t>
      </w:r>
      <w:r>
        <w:rPr>
          <w:spacing w:val="48"/>
        </w:rPr>
        <w:t xml:space="preserve"> </w:t>
      </w:r>
      <w:r>
        <w:rPr>
          <w:spacing w:val="-2"/>
        </w:rPr>
        <w:t>of</w:t>
      </w:r>
      <w:r>
        <w:rPr>
          <w:spacing w:val="52"/>
        </w:rPr>
        <w:t xml:space="preserve"> </w:t>
      </w:r>
      <w:r>
        <w:rPr>
          <w:spacing w:val="-1"/>
        </w:rPr>
        <w:t>Security</w:t>
      </w:r>
      <w:r>
        <w:rPr>
          <w:spacing w:val="46"/>
        </w:rPr>
        <w:t xml:space="preserve"> </w:t>
      </w:r>
      <w:r>
        <w:rPr>
          <w:spacing w:val="-1"/>
        </w:rPr>
        <w:t>or</w:t>
      </w:r>
      <w:r>
        <w:rPr>
          <w:spacing w:val="50"/>
        </w:rPr>
        <w:t xml:space="preserve"> </w:t>
      </w:r>
      <w:r>
        <w:rPr>
          <w:spacing w:val="-1"/>
        </w:rPr>
        <w:t>attempted</w:t>
      </w:r>
      <w:r>
        <w:rPr>
          <w:spacing w:val="48"/>
        </w:rPr>
        <w:t xml:space="preserve"> </w:t>
      </w:r>
      <w:r>
        <w:rPr>
          <w:spacing w:val="-1"/>
        </w:rPr>
        <w:t>Breach</w:t>
      </w:r>
      <w:r>
        <w:rPr>
          <w:spacing w:val="49"/>
        </w:rPr>
        <w:t xml:space="preserve"> </w:t>
      </w:r>
      <w:r>
        <w:rPr>
          <w:spacing w:val="-2"/>
        </w:rPr>
        <w:t>of</w:t>
      </w:r>
      <w:r>
        <w:rPr>
          <w:spacing w:val="39"/>
        </w:rPr>
        <w:t xml:space="preserve"> </w:t>
      </w:r>
      <w:r>
        <w:rPr>
          <w:spacing w:val="-1"/>
        </w:rPr>
        <w:t>Security</w:t>
      </w:r>
      <w:r>
        <w:rPr>
          <w:spacing w:val="-2"/>
        </w:rPr>
        <w:t xml:space="preserve"> </w:t>
      </w:r>
      <w:r>
        <w:rPr>
          <w:spacing w:val="-1"/>
        </w:rPr>
        <w:t>in</w:t>
      </w:r>
      <w:r>
        <w:t xml:space="preserve"> the</w:t>
      </w:r>
      <w:r>
        <w:rPr>
          <w:spacing w:val="-4"/>
        </w:rPr>
        <w:t xml:space="preserve"> </w:t>
      </w:r>
      <w:r>
        <w:t>future</w:t>
      </w:r>
      <w:r>
        <w:rPr>
          <w:spacing w:val="-2"/>
        </w:rPr>
        <w:t xml:space="preserve"> exploiting</w:t>
      </w:r>
      <w:r>
        <w:t xml:space="preserve"> the </w:t>
      </w:r>
      <w:r>
        <w:rPr>
          <w:spacing w:val="-1"/>
        </w:rPr>
        <w:t>same</w:t>
      </w:r>
      <w:r>
        <w:rPr>
          <w:spacing w:val="-2"/>
        </w:rPr>
        <w:t xml:space="preserve"> </w:t>
      </w:r>
      <w:r>
        <w:rPr>
          <w:spacing w:val="-1"/>
        </w:rPr>
        <w:t>root</w:t>
      </w:r>
      <w:r>
        <w:t xml:space="preserve"> </w:t>
      </w:r>
      <w:r>
        <w:rPr>
          <w:spacing w:val="-1"/>
        </w:rPr>
        <w:t>cause</w:t>
      </w:r>
      <w:r>
        <w:rPr>
          <w:spacing w:val="-2"/>
        </w:rPr>
        <w:t xml:space="preserve"> </w:t>
      </w:r>
      <w:r>
        <w:rPr>
          <w:spacing w:val="-1"/>
        </w:rPr>
        <w:t>failure;</w:t>
      </w:r>
      <w:r>
        <w:rPr>
          <w:spacing w:val="2"/>
        </w:rPr>
        <w:t xml:space="preserve"> </w:t>
      </w:r>
      <w:r>
        <w:rPr>
          <w:spacing w:val="-1"/>
        </w:rPr>
        <w:t>and</w:t>
      </w:r>
    </w:p>
    <w:p w:rsidR="008918FA" w:rsidRDefault="008918FA" w:rsidP="008918FA">
      <w:pPr>
        <w:pStyle w:val="BodyText"/>
        <w:numPr>
          <w:ilvl w:val="3"/>
          <w:numId w:val="14"/>
        </w:numPr>
        <w:tabs>
          <w:tab w:val="left" w:pos="2595"/>
        </w:tabs>
        <w:spacing w:before="121"/>
        <w:ind w:left="2594" w:right="114"/>
        <w:jc w:val="both"/>
      </w:pPr>
      <w:r>
        <w:rPr>
          <w:spacing w:val="-1"/>
        </w:rPr>
        <w:t>supply</w:t>
      </w:r>
      <w:r>
        <w:rPr>
          <w:spacing w:val="30"/>
        </w:rPr>
        <w:t xml:space="preserve"> </w:t>
      </w:r>
      <w:r>
        <w:rPr>
          <w:spacing w:val="-1"/>
        </w:rPr>
        <w:t>any</w:t>
      </w:r>
      <w:r>
        <w:rPr>
          <w:spacing w:val="30"/>
        </w:rPr>
        <w:t xml:space="preserve"> </w:t>
      </w:r>
      <w:r>
        <w:rPr>
          <w:spacing w:val="-1"/>
        </w:rPr>
        <w:t>requested</w:t>
      </w:r>
      <w:r>
        <w:rPr>
          <w:spacing w:val="29"/>
        </w:rPr>
        <w:t xml:space="preserve"> </w:t>
      </w:r>
      <w:r>
        <w:rPr>
          <w:spacing w:val="-1"/>
        </w:rPr>
        <w:t>data</w:t>
      </w:r>
      <w:r>
        <w:rPr>
          <w:spacing w:val="31"/>
        </w:rPr>
        <w:t xml:space="preserve"> </w:t>
      </w:r>
      <w:r>
        <w:t>to</w:t>
      </w:r>
      <w:r>
        <w:rPr>
          <w:spacing w:val="29"/>
        </w:rPr>
        <w:t xml:space="preserve"> </w:t>
      </w:r>
      <w:r>
        <w:t>the</w:t>
      </w:r>
      <w:r>
        <w:rPr>
          <w:spacing w:val="29"/>
        </w:rPr>
        <w:t xml:space="preserve"> </w:t>
      </w:r>
      <w:r>
        <w:rPr>
          <w:spacing w:val="-1"/>
        </w:rPr>
        <w:t>Customer</w:t>
      </w:r>
      <w:r>
        <w:rPr>
          <w:spacing w:val="30"/>
        </w:rPr>
        <w:t xml:space="preserve"> </w:t>
      </w:r>
      <w:r>
        <w:rPr>
          <w:spacing w:val="-1"/>
        </w:rPr>
        <w:t>(or</w:t>
      </w:r>
      <w:r>
        <w:rPr>
          <w:spacing w:val="30"/>
        </w:rPr>
        <w:t xml:space="preserve"> </w:t>
      </w:r>
      <w:r>
        <w:t>the</w:t>
      </w:r>
      <w:r>
        <w:rPr>
          <w:spacing w:val="31"/>
        </w:rPr>
        <w:t xml:space="preserve"> </w:t>
      </w:r>
      <w:r>
        <w:rPr>
          <w:spacing w:val="-2"/>
        </w:rPr>
        <w:t>Computer</w:t>
      </w:r>
      <w:r>
        <w:rPr>
          <w:spacing w:val="39"/>
        </w:rPr>
        <w:t xml:space="preserve"> </w:t>
      </w:r>
      <w:r>
        <w:rPr>
          <w:spacing w:val="-1"/>
        </w:rPr>
        <w:t>Emergency</w:t>
      </w:r>
      <w:r>
        <w:rPr>
          <w:spacing w:val="47"/>
        </w:rPr>
        <w:t xml:space="preserve"> </w:t>
      </w:r>
      <w:r>
        <w:rPr>
          <w:spacing w:val="-1"/>
        </w:rPr>
        <w:t>Response</w:t>
      </w:r>
      <w:r>
        <w:rPr>
          <w:spacing w:val="49"/>
        </w:rPr>
        <w:t xml:space="preserve"> </w:t>
      </w:r>
      <w:r>
        <w:rPr>
          <w:spacing w:val="-1"/>
        </w:rPr>
        <w:t>Team</w:t>
      </w:r>
      <w:r>
        <w:rPr>
          <w:spacing w:val="47"/>
        </w:rPr>
        <w:t xml:space="preserve"> </w:t>
      </w:r>
      <w:r>
        <w:t>for</w:t>
      </w:r>
      <w:r>
        <w:rPr>
          <w:spacing w:val="50"/>
        </w:rPr>
        <w:t xml:space="preserve"> </w:t>
      </w:r>
      <w:r>
        <w:rPr>
          <w:spacing w:val="-1"/>
        </w:rPr>
        <w:t>UK</w:t>
      </w:r>
      <w:r>
        <w:rPr>
          <w:spacing w:val="48"/>
        </w:rPr>
        <w:t xml:space="preserve"> </w:t>
      </w:r>
      <w:r>
        <w:rPr>
          <w:spacing w:val="-1"/>
        </w:rPr>
        <w:t>Government</w:t>
      </w:r>
      <w:r>
        <w:rPr>
          <w:spacing w:val="29"/>
        </w:rPr>
        <w:t xml:space="preserve"> </w:t>
      </w:r>
      <w:r>
        <w:rPr>
          <w:spacing w:val="-1"/>
        </w:rPr>
        <w:t>(“GovCertUK”))</w:t>
      </w:r>
      <w:r>
        <w:t xml:space="preserve">  </w:t>
      </w:r>
      <w:r>
        <w:rPr>
          <w:spacing w:val="54"/>
        </w:rPr>
        <w:t xml:space="preserve"> </w:t>
      </w:r>
      <w:r>
        <w:rPr>
          <w:spacing w:val="-1"/>
        </w:rPr>
        <w:t>on</w:t>
      </w:r>
      <w:r>
        <w:t xml:space="preserve">  </w:t>
      </w:r>
      <w:r>
        <w:rPr>
          <w:spacing w:val="51"/>
        </w:rPr>
        <w:t xml:space="preserve"> </w:t>
      </w:r>
      <w:r>
        <w:rPr>
          <w:spacing w:val="-1"/>
        </w:rPr>
        <w:t>the</w:t>
      </w:r>
      <w:r>
        <w:t xml:space="preserve">  </w:t>
      </w:r>
      <w:r>
        <w:rPr>
          <w:spacing w:val="53"/>
        </w:rPr>
        <w:t xml:space="preserve"> </w:t>
      </w:r>
      <w:r>
        <w:rPr>
          <w:spacing w:val="-1"/>
        </w:rPr>
        <w:t>Customer’s</w:t>
      </w:r>
      <w:r>
        <w:t xml:space="preserve">  </w:t>
      </w:r>
      <w:r>
        <w:rPr>
          <w:spacing w:val="53"/>
        </w:rPr>
        <w:t xml:space="preserve"> </w:t>
      </w:r>
      <w:r>
        <w:rPr>
          <w:spacing w:val="-1"/>
        </w:rPr>
        <w:t>request</w:t>
      </w:r>
      <w:r>
        <w:t xml:space="preserve">  </w:t>
      </w:r>
      <w:r>
        <w:rPr>
          <w:spacing w:val="53"/>
        </w:rPr>
        <w:t xml:space="preserve"> </w:t>
      </w:r>
      <w:r>
        <w:rPr>
          <w:spacing w:val="-2"/>
        </w:rPr>
        <w:t>within</w:t>
      </w:r>
      <w:r>
        <w:t xml:space="preserve">  </w:t>
      </w:r>
      <w:r>
        <w:rPr>
          <w:spacing w:val="53"/>
        </w:rPr>
        <w:t xml:space="preserve"> </w:t>
      </w:r>
      <w:r>
        <w:rPr>
          <w:spacing w:val="-1"/>
        </w:rPr>
        <w:t>two</w:t>
      </w:r>
    </w:p>
    <w:p w:rsidR="008918FA" w:rsidRDefault="008918FA" w:rsidP="008918FA">
      <w:pPr>
        <w:pStyle w:val="BodyText"/>
        <w:spacing w:before="0"/>
        <w:ind w:left="2594" w:right="114" w:firstLine="0"/>
        <w:jc w:val="both"/>
      </w:pPr>
      <w:r>
        <w:rPr>
          <w:spacing w:val="-1"/>
        </w:rPr>
        <w:t>(2)</w:t>
      </w:r>
      <w:r>
        <w:rPr>
          <w:spacing w:val="-6"/>
        </w:rPr>
        <w:t xml:space="preserve"> </w:t>
      </w:r>
      <w:r>
        <w:rPr>
          <w:spacing w:val="-1"/>
        </w:rPr>
        <w:t>Working</w:t>
      </w:r>
      <w:r>
        <w:rPr>
          <w:spacing w:val="7"/>
        </w:rPr>
        <w:t xml:space="preserve"> </w:t>
      </w:r>
      <w:r>
        <w:rPr>
          <w:spacing w:val="-2"/>
        </w:rPr>
        <w:t>Days</w:t>
      </w:r>
      <w:r>
        <w:rPr>
          <w:spacing w:val="5"/>
        </w:rPr>
        <w:t xml:space="preserve"> </w:t>
      </w:r>
      <w:r>
        <w:rPr>
          <w:spacing w:val="-1"/>
        </w:rPr>
        <w:t>and</w:t>
      </w:r>
      <w:r>
        <w:rPr>
          <w:spacing w:val="5"/>
        </w:rPr>
        <w:t xml:space="preserve"> </w:t>
      </w:r>
      <w:r>
        <w:rPr>
          <w:spacing w:val="-1"/>
        </w:rPr>
        <w:t>without</w:t>
      </w:r>
      <w:r>
        <w:rPr>
          <w:spacing w:val="7"/>
        </w:rPr>
        <w:t xml:space="preserve"> </w:t>
      </w:r>
      <w:r>
        <w:rPr>
          <w:spacing w:val="-1"/>
        </w:rPr>
        <w:t>charge</w:t>
      </w:r>
      <w:r>
        <w:rPr>
          <w:spacing w:val="5"/>
        </w:rPr>
        <w:t xml:space="preserve"> </w:t>
      </w:r>
      <w:r>
        <w:rPr>
          <w:spacing w:val="-1"/>
        </w:rPr>
        <w:t>(where</w:t>
      </w:r>
      <w:r>
        <w:rPr>
          <w:spacing w:val="5"/>
        </w:rPr>
        <w:t xml:space="preserve"> </w:t>
      </w:r>
      <w:r>
        <w:rPr>
          <w:spacing w:val="-1"/>
        </w:rPr>
        <w:t>such</w:t>
      </w:r>
      <w:r>
        <w:rPr>
          <w:spacing w:val="5"/>
        </w:rPr>
        <w:t xml:space="preserve"> </w:t>
      </w:r>
      <w:r>
        <w:rPr>
          <w:spacing w:val="-1"/>
        </w:rPr>
        <w:t>requests</w:t>
      </w:r>
      <w:r>
        <w:rPr>
          <w:spacing w:val="5"/>
        </w:rPr>
        <w:t xml:space="preserve"> </w:t>
      </w:r>
      <w:r>
        <w:rPr>
          <w:spacing w:val="-1"/>
        </w:rPr>
        <w:t>are</w:t>
      </w:r>
      <w:r>
        <w:rPr>
          <w:spacing w:val="49"/>
        </w:rPr>
        <w:t xml:space="preserve"> </w:t>
      </w:r>
      <w:r>
        <w:rPr>
          <w:spacing w:val="-1"/>
        </w:rPr>
        <w:t>reasonably</w:t>
      </w:r>
      <w:r>
        <w:rPr>
          <w:spacing w:val="-2"/>
        </w:rPr>
        <w:t xml:space="preserve"> </w:t>
      </w:r>
      <w:r>
        <w:rPr>
          <w:spacing w:val="-1"/>
        </w:rPr>
        <w:t>related</w:t>
      </w:r>
      <w:r>
        <w:rPr>
          <w:spacing w:val="-2"/>
        </w:rPr>
        <w:t xml:space="preserve"> </w:t>
      </w:r>
      <w:r>
        <w:t>to a</w:t>
      </w:r>
      <w:r>
        <w:rPr>
          <w:spacing w:val="-2"/>
        </w:rPr>
        <w:t xml:space="preserve"> possible</w:t>
      </w:r>
      <w:r>
        <w:t xml:space="preserve"> </w:t>
      </w:r>
      <w:r>
        <w:rPr>
          <w:spacing w:val="-1"/>
        </w:rPr>
        <w:t>incident</w:t>
      </w:r>
      <w:r>
        <w:rPr>
          <w:spacing w:val="2"/>
        </w:rPr>
        <w:t xml:space="preserve"> </w:t>
      </w:r>
      <w:r>
        <w:rPr>
          <w:spacing w:val="-1"/>
        </w:rPr>
        <w:t>or compromise);</w:t>
      </w:r>
      <w:r>
        <w:t xml:space="preserve"> </w:t>
      </w:r>
      <w:r>
        <w:rPr>
          <w:spacing w:val="-1"/>
        </w:rPr>
        <w:t>and</w:t>
      </w:r>
    </w:p>
    <w:p w:rsidR="008918FA" w:rsidRDefault="008918FA" w:rsidP="008918FA">
      <w:pPr>
        <w:pStyle w:val="BodyText"/>
        <w:numPr>
          <w:ilvl w:val="3"/>
          <w:numId w:val="14"/>
        </w:numPr>
        <w:tabs>
          <w:tab w:val="left" w:pos="2595"/>
        </w:tabs>
        <w:spacing w:before="121"/>
        <w:ind w:left="2594" w:right="115"/>
        <w:jc w:val="both"/>
      </w:pPr>
      <w:r>
        <w:rPr>
          <w:spacing w:val="-1"/>
        </w:rPr>
        <w:t>as</w:t>
      </w:r>
      <w:r>
        <w:rPr>
          <w:spacing w:val="15"/>
        </w:rPr>
        <w:t xml:space="preserve"> </w:t>
      </w:r>
      <w:r>
        <w:rPr>
          <w:spacing w:val="-1"/>
        </w:rPr>
        <w:t>soon</w:t>
      </w:r>
      <w:r>
        <w:rPr>
          <w:spacing w:val="15"/>
        </w:rPr>
        <w:t xml:space="preserve"> </w:t>
      </w:r>
      <w:r>
        <w:rPr>
          <w:spacing w:val="-1"/>
        </w:rPr>
        <w:t>as</w:t>
      </w:r>
      <w:r>
        <w:rPr>
          <w:spacing w:val="13"/>
        </w:rPr>
        <w:t xml:space="preserve"> </w:t>
      </w:r>
      <w:r>
        <w:rPr>
          <w:spacing w:val="-1"/>
        </w:rPr>
        <w:t>reasonably</w:t>
      </w:r>
      <w:r>
        <w:rPr>
          <w:spacing w:val="13"/>
        </w:rPr>
        <w:t xml:space="preserve"> </w:t>
      </w:r>
      <w:r>
        <w:rPr>
          <w:spacing w:val="-1"/>
        </w:rPr>
        <w:t>practicable</w:t>
      </w:r>
      <w:r>
        <w:rPr>
          <w:spacing w:val="15"/>
        </w:rPr>
        <w:t xml:space="preserve"> </w:t>
      </w:r>
      <w:r>
        <w:rPr>
          <w:spacing w:val="-2"/>
        </w:rPr>
        <w:t>provide</w:t>
      </w:r>
      <w:r>
        <w:rPr>
          <w:spacing w:val="15"/>
        </w:rPr>
        <w:t xml:space="preserve"> </w:t>
      </w:r>
      <w:r>
        <w:t>to</w:t>
      </w:r>
      <w:r>
        <w:rPr>
          <w:spacing w:val="12"/>
        </w:rPr>
        <w:t xml:space="preserve"> </w:t>
      </w:r>
      <w:r>
        <w:t>the</w:t>
      </w:r>
      <w:r>
        <w:rPr>
          <w:spacing w:val="12"/>
        </w:rPr>
        <w:t xml:space="preserve"> </w:t>
      </w:r>
      <w:r>
        <w:rPr>
          <w:spacing w:val="-1"/>
        </w:rPr>
        <w:t>Customer</w:t>
      </w:r>
      <w:r>
        <w:rPr>
          <w:spacing w:val="14"/>
        </w:rPr>
        <w:t xml:space="preserve"> </w:t>
      </w:r>
      <w:r>
        <w:rPr>
          <w:spacing w:val="-1"/>
        </w:rPr>
        <w:t>full</w:t>
      </w:r>
      <w:r>
        <w:rPr>
          <w:spacing w:val="39"/>
        </w:rPr>
        <w:t xml:space="preserve"> </w:t>
      </w:r>
      <w:r>
        <w:rPr>
          <w:spacing w:val="-1"/>
        </w:rPr>
        <w:t>details</w:t>
      </w:r>
      <w:r>
        <w:rPr>
          <w:spacing w:val="8"/>
        </w:rPr>
        <w:t xml:space="preserve"> </w:t>
      </w:r>
      <w:r>
        <w:rPr>
          <w:spacing w:val="-1"/>
        </w:rPr>
        <w:t>(using</w:t>
      </w:r>
      <w:r>
        <w:rPr>
          <w:spacing w:val="8"/>
        </w:rPr>
        <w:t xml:space="preserve"> </w:t>
      </w:r>
      <w:r>
        <w:t>the</w:t>
      </w:r>
      <w:r>
        <w:rPr>
          <w:spacing w:val="8"/>
        </w:rPr>
        <w:t xml:space="preserve"> </w:t>
      </w:r>
      <w:r>
        <w:rPr>
          <w:spacing w:val="-1"/>
        </w:rPr>
        <w:t>reporting</w:t>
      </w:r>
      <w:r>
        <w:rPr>
          <w:spacing w:val="7"/>
        </w:rPr>
        <w:t xml:space="preserve"> </w:t>
      </w:r>
      <w:r>
        <w:rPr>
          <w:spacing w:val="-1"/>
        </w:rPr>
        <w:t>mechanism</w:t>
      </w:r>
      <w:r>
        <w:rPr>
          <w:spacing w:val="9"/>
        </w:rPr>
        <w:t xml:space="preserve"> </w:t>
      </w:r>
      <w:r>
        <w:rPr>
          <w:spacing w:val="-1"/>
        </w:rPr>
        <w:t>defined</w:t>
      </w:r>
      <w:r>
        <w:rPr>
          <w:spacing w:val="7"/>
        </w:rPr>
        <w:t xml:space="preserve"> </w:t>
      </w:r>
      <w:r>
        <w:rPr>
          <w:spacing w:val="-2"/>
        </w:rPr>
        <w:t>by</w:t>
      </w:r>
      <w:r>
        <w:rPr>
          <w:spacing w:val="5"/>
        </w:rPr>
        <w:t xml:space="preserve"> </w:t>
      </w:r>
      <w:r>
        <w:t>the</w:t>
      </w:r>
      <w:r>
        <w:rPr>
          <w:spacing w:val="7"/>
        </w:rPr>
        <w:t xml:space="preserve"> </w:t>
      </w:r>
      <w:r>
        <w:rPr>
          <w:spacing w:val="-1"/>
        </w:rPr>
        <w:t>ISMS)</w:t>
      </w:r>
      <w:r>
        <w:rPr>
          <w:spacing w:val="9"/>
        </w:rPr>
        <w:t xml:space="preserve"> </w:t>
      </w:r>
      <w:r>
        <w:rPr>
          <w:spacing w:val="-1"/>
        </w:rPr>
        <w:t>of</w:t>
      </w:r>
      <w:r>
        <w:rPr>
          <w:spacing w:val="26"/>
        </w:rPr>
        <w:t xml:space="preserve"> </w:t>
      </w:r>
      <w:r>
        <w:t>the</w:t>
      </w:r>
      <w:r>
        <w:rPr>
          <w:spacing w:val="42"/>
        </w:rPr>
        <w:t xml:space="preserve"> </w:t>
      </w:r>
      <w:r>
        <w:rPr>
          <w:spacing w:val="-1"/>
        </w:rPr>
        <w:t>Breach</w:t>
      </w:r>
      <w:r>
        <w:rPr>
          <w:spacing w:val="43"/>
        </w:rPr>
        <w:t xml:space="preserve"> </w:t>
      </w:r>
      <w:r>
        <w:rPr>
          <w:spacing w:val="-2"/>
        </w:rPr>
        <w:t>of</w:t>
      </w:r>
      <w:r>
        <w:rPr>
          <w:spacing w:val="44"/>
        </w:rPr>
        <w:t xml:space="preserve"> </w:t>
      </w:r>
      <w:r>
        <w:rPr>
          <w:spacing w:val="-2"/>
        </w:rPr>
        <w:t>Security</w:t>
      </w:r>
      <w:r>
        <w:rPr>
          <w:spacing w:val="40"/>
        </w:rPr>
        <w:t xml:space="preserve"> </w:t>
      </w:r>
      <w:r>
        <w:rPr>
          <w:spacing w:val="-1"/>
        </w:rPr>
        <w:t>or</w:t>
      </w:r>
      <w:r>
        <w:rPr>
          <w:spacing w:val="44"/>
        </w:rPr>
        <w:t xml:space="preserve"> </w:t>
      </w:r>
      <w:r>
        <w:rPr>
          <w:spacing w:val="-1"/>
        </w:rPr>
        <w:t>attempted</w:t>
      </w:r>
      <w:r>
        <w:rPr>
          <w:spacing w:val="42"/>
        </w:rPr>
        <w:t xml:space="preserve"> </w:t>
      </w:r>
      <w:r>
        <w:rPr>
          <w:spacing w:val="-2"/>
        </w:rPr>
        <w:t>Breach</w:t>
      </w:r>
      <w:r>
        <w:rPr>
          <w:spacing w:val="43"/>
        </w:rPr>
        <w:t xml:space="preserve"> </w:t>
      </w:r>
      <w:r>
        <w:rPr>
          <w:spacing w:val="-2"/>
        </w:rPr>
        <w:t>of</w:t>
      </w:r>
      <w:r>
        <w:rPr>
          <w:spacing w:val="46"/>
        </w:rPr>
        <w:t xml:space="preserve"> </w:t>
      </w:r>
      <w:r>
        <w:rPr>
          <w:spacing w:val="-1"/>
        </w:rPr>
        <w:t>Security,</w:t>
      </w:r>
      <w:r>
        <w:rPr>
          <w:spacing w:val="49"/>
        </w:rPr>
        <w:t xml:space="preserve"> </w:t>
      </w:r>
      <w:r>
        <w:rPr>
          <w:spacing w:val="-2"/>
        </w:rPr>
        <w:t>including</w:t>
      </w:r>
      <w:r>
        <w:rPr>
          <w:spacing w:val="8"/>
        </w:rPr>
        <w:t xml:space="preserve"> </w:t>
      </w:r>
      <w:r>
        <w:t>a</w:t>
      </w:r>
      <w:r>
        <w:rPr>
          <w:spacing w:val="5"/>
        </w:rPr>
        <w:t xml:space="preserve"> </w:t>
      </w:r>
      <w:r>
        <w:rPr>
          <w:spacing w:val="-1"/>
        </w:rPr>
        <w:t>root</w:t>
      </w:r>
      <w:r>
        <w:rPr>
          <w:spacing w:val="7"/>
        </w:rPr>
        <w:t xml:space="preserve"> </w:t>
      </w:r>
      <w:r>
        <w:rPr>
          <w:spacing w:val="-1"/>
        </w:rPr>
        <w:t>cause</w:t>
      </w:r>
      <w:r>
        <w:rPr>
          <w:spacing w:val="5"/>
        </w:rPr>
        <w:t xml:space="preserve"> </w:t>
      </w:r>
      <w:r>
        <w:rPr>
          <w:spacing w:val="-2"/>
        </w:rPr>
        <w:t>analysis</w:t>
      </w:r>
      <w:r>
        <w:rPr>
          <w:spacing w:val="8"/>
        </w:rPr>
        <w:t xml:space="preserve"> </w:t>
      </w:r>
      <w:r>
        <w:rPr>
          <w:spacing w:val="-1"/>
        </w:rPr>
        <w:t>where</w:t>
      </w:r>
      <w:r>
        <w:rPr>
          <w:spacing w:val="5"/>
        </w:rPr>
        <w:t xml:space="preserve"> </w:t>
      </w:r>
      <w:r>
        <w:rPr>
          <w:spacing w:val="-1"/>
        </w:rPr>
        <w:t>required</w:t>
      </w:r>
      <w:r>
        <w:rPr>
          <w:spacing w:val="5"/>
        </w:rPr>
        <w:t xml:space="preserve"> </w:t>
      </w:r>
      <w:r>
        <w:rPr>
          <w:spacing w:val="-1"/>
        </w:rPr>
        <w:t>by</w:t>
      </w:r>
      <w:r>
        <w:t xml:space="preserve"> </w:t>
      </w:r>
      <w:r>
        <w:rPr>
          <w:spacing w:val="3"/>
        </w:rPr>
        <w:t xml:space="preserve"> </w:t>
      </w:r>
      <w:r>
        <w:rPr>
          <w:spacing w:val="-1"/>
        </w:rPr>
        <w:t>the</w:t>
      </w:r>
      <w:r>
        <w:rPr>
          <w:spacing w:val="44"/>
        </w:rPr>
        <w:t xml:space="preserve"> </w:t>
      </w:r>
      <w:r>
        <w:rPr>
          <w:spacing w:val="-1"/>
        </w:rPr>
        <w:t>Customer.</w:t>
      </w:r>
    </w:p>
    <w:p w:rsidR="008918FA" w:rsidRDefault="008918FA" w:rsidP="008918FA">
      <w:pPr>
        <w:pStyle w:val="BodyText"/>
        <w:numPr>
          <w:ilvl w:val="1"/>
          <w:numId w:val="14"/>
        </w:numPr>
        <w:tabs>
          <w:tab w:val="left" w:pos="689"/>
        </w:tabs>
        <w:ind w:left="688" w:right="112"/>
        <w:jc w:val="both"/>
      </w:pPr>
      <w:r>
        <w:t xml:space="preserve">In the </w:t>
      </w:r>
      <w:r>
        <w:rPr>
          <w:spacing w:val="-2"/>
        </w:rPr>
        <w:t>event</w:t>
      </w:r>
      <w:r>
        <w:rPr>
          <w:spacing w:val="2"/>
        </w:rPr>
        <w:t xml:space="preserve"> </w:t>
      </w:r>
      <w:r>
        <w:rPr>
          <w:spacing w:val="-1"/>
        </w:rPr>
        <w:t>that</w:t>
      </w:r>
      <w:r>
        <w:rPr>
          <w:spacing w:val="2"/>
        </w:rPr>
        <w:t xml:space="preserve"> </w:t>
      </w:r>
      <w:r>
        <w:rPr>
          <w:spacing w:val="-1"/>
        </w:rPr>
        <w:t>any</w:t>
      </w:r>
      <w:r>
        <w:rPr>
          <w:spacing w:val="-2"/>
        </w:rPr>
        <w:t xml:space="preserve"> </w:t>
      </w:r>
      <w:r>
        <w:rPr>
          <w:spacing w:val="-1"/>
        </w:rPr>
        <w:t>action</w:t>
      </w:r>
      <w:r>
        <w:t xml:space="preserve"> </w:t>
      </w:r>
      <w:r>
        <w:rPr>
          <w:spacing w:val="-1"/>
        </w:rPr>
        <w:t>is</w:t>
      </w:r>
      <w:r>
        <w:rPr>
          <w:spacing w:val="1"/>
        </w:rPr>
        <w:t xml:space="preserve"> </w:t>
      </w:r>
      <w:r>
        <w:t xml:space="preserve">taken </w:t>
      </w:r>
      <w:r>
        <w:rPr>
          <w:spacing w:val="-1"/>
        </w:rPr>
        <w:t>in</w:t>
      </w:r>
      <w:r>
        <w:t xml:space="preserve"> </w:t>
      </w:r>
      <w:r>
        <w:rPr>
          <w:spacing w:val="-1"/>
        </w:rPr>
        <w:t>response</w:t>
      </w:r>
      <w:r>
        <w:rPr>
          <w:spacing w:val="-2"/>
        </w:rPr>
        <w:t xml:space="preserve"> </w:t>
      </w:r>
      <w:r>
        <w:rPr>
          <w:spacing w:val="-1"/>
        </w:rPr>
        <w:t>to</w:t>
      </w:r>
      <w:r>
        <w:t xml:space="preserve"> a </w:t>
      </w:r>
      <w:r>
        <w:rPr>
          <w:spacing w:val="-1"/>
        </w:rPr>
        <w:t>Breach</w:t>
      </w:r>
      <w:r>
        <w:rPr>
          <w:spacing w:val="1"/>
        </w:rPr>
        <w:t xml:space="preserve"> </w:t>
      </w:r>
      <w:r>
        <w:rPr>
          <w:spacing w:val="-2"/>
        </w:rPr>
        <w:t>of</w:t>
      </w:r>
      <w:r>
        <w:rPr>
          <w:spacing w:val="4"/>
        </w:rPr>
        <w:t xml:space="preserve"> </w:t>
      </w:r>
      <w:r>
        <w:rPr>
          <w:spacing w:val="-1"/>
        </w:rPr>
        <w:t>Security</w:t>
      </w:r>
      <w:r>
        <w:rPr>
          <w:spacing w:val="-2"/>
        </w:rPr>
        <w:t xml:space="preserve"> </w:t>
      </w:r>
      <w:r>
        <w:rPr>
          <w:spacing w:val="-1"/>
        </w:rPr>
        <w:t>or potential</w:t>
      </w:r>
      <w:r>
        <w:rPr>
          <w:spacing w:val="48"/>
        </w:rPr>
        <w:t xml:space="preserve"> </w:t>
      </w:r>
      <w:r>
        <w:rPr>
          <w:spacing w:val="-1"/>
        </w:rPr>
        <w:t>or</w:t>
      </w:r>
      <w:r>
        <w:rPr>
          <w:spacing w:val="38"/>
        </w:rPr>
        <w:t xml:space="preserve"> </w:t>
      </w:r>
      <w:r>
        <w:rPr>
          <w:spacing w:val="-1"/>
        </w:rPr>
        <w:t>attempted</w:t>
      </w:r>
      <w:r>
        <w:rPr>
          <w:spacing w:val="36"/>
        </w:rPr>
        <w:t xml:space="preserve"> </w:t>
      </w:r>
      <w:r>
        <w:rPr>
          <w:spacing w:val="-2"/>
        </w:rPr>
        <w:t>Breach</w:t>
      </w:r>
      <w:r>
        <w:rPr>
          <w:spacing w:val="39"/>
        </w:rPr>
        <w:t xml:space="preserve"> </w:t>
      </w:r>
      <w:r>
        <w:rPr>
          <w:spacing w:val="-2"/>
        </w:rPr>
        <w:t>of</w:t>
      </w:r>
      <w:r>
        <w:rPr>
          <w:spacing w:val="40"/>
        </w:rPr>
        <w:t xml:space="preserve"> </w:t>
      </w:r>
      <w:r>
        <w:rPr>
          <w:spacing w:val="-1"/>
        </w:rPr>
        <w:t>Security</w:t>
      </w:r>
      <w:r>
        <w:rPr>
          <w:spacing w:val="34"/>
        </w:rPr>
        <w:t xml:space="preserve"> </w:t>
      </w:r>
      <w:r>
        <w:rPr>
          <w:spacing w:val="-1"/>
        </w:rPr>
        <w:t>that</w:t>
      </w:r>
      <w:r>
        <w:rPr>
          <w:spacing w:val="38"/>
        </w:rPr>
        <w:t xml:space="preserve"> </w:t>
      </w:r>
      <w:r>
        <w:rPr>
          <w:spacing w:val="-1"/>
        </w:rPr>
        <w:t>demonstrates</w:t>
      </w:r>
      <w:r>
        <w:rPr>
          <w:spacing w:val="38"/>
        </w:rPr>
        <w:t xml:space="preserve"> </w:t>
      </w:r>
      <w:r>
        <w:rPr>
          <w:spacing w:val="-1"/>
        </w:rPr>
        <w:t>non-compliance</w:t>
      </w:r>
      <w:r>
        <w:rPr>
          <w:spacing w:val="37"/>
        </w:rPr>
        <w:t xml:space="preserve"> </w:t>
      </w:r>
      <w:r>
        <w:rPr>
          <w:spacing w:val="-1"/>
        </w:rPr>
        <w:t>of</w:t>
      </w:r>
      <w:r>
        <w:rPr>
          <w:spacing w:val="38"/>
        </w:rPr>
        <w:t xml:space="preserve"> </w:t>
      </w:r>
      <w:r>
        <w:rPr>
          <w:spacing w:val="-1"/>
        </w:rPr>
        <w:t>the</w:t>
      </w:r>
      <w:r>
        <w:rPr>
          <w:spacing w:val="36"/>
        </w:rPr>
        <w:t xml:space="preserve"> </w:t>
      </w:r>
      <w:r>
        <w:rPr>
          <w:spacing w:val="-1"/>
        </w:rPr>
        <w:t>ISMS</w:t>
      </w:r>
      <w:r>
        <w:rPr>
          <w:spacing w:val="47"/>
        </w:rPr>
        <w:t xml:space="preserve"> </w:t>
      </w:r>
      <w:r>
        <w:rPr>
          <w:spacing w:val="-1"/>
        </w:rPr>
        <w:t>with</w:t>
      </w:r>
      <w:r>
        <w:rPr>
          <w:spacing w:val="39"/>
        </w:rPr>
        <w:t xml:space="preserve"> </w:t>
      </w:r>
      <w:r>
        <w:t>the</w:t>
      </w:r>
      <w:r>
        <w:rPr>
          <w:spacing w:val="38"/>
        </w:rPr>
        <w:t xml:space="preserve"> </w:t>
      </w:r>
      <w:r>
        <w:rPr>
          <w:spacing w:val="-1"/>
        </w:rPr>
        <w:t>Security</w:t>
      </w:r>
      <w:r>
        <w:rPr>
          <w:spacing w:val="36"/>
        </w:rPr>
        <w:t xml:space="preserve"> </w:t>
      </w:r>
      <w:r>
        <w:rPr>
          <w:spacing w:val="-2"/>
        </w:rPr>
        <w:t>Policy</w:t>
      </w:r>
      <w:r>
        <w:rPr>
          <w:spacing w:val="39"/>
        </w:rPr>
        <w:t xml:space="preserve"> </w:t>
      </w:r>
      <w:r>
        <w:rPr>
          <w:spacing w:val="-1"/>
        </w:rPr>
        <w:t>or</w:t>
      </w:r>
      <w:r>
        <w:rPr>
          <w:spacing w:val="38"/>
        </w:rPr>
        <w:t xml:space="preserve"> </w:t>
      </w:r>
      <w:r>
        <w:t>the</w:t>
      </w:r>
      <w:r>
        <w:rPr>
          <w:spacing w:val="36"/>
        </w:rPr>
        <w:t xml:space="preserve"> </w:t>
      </w:r>
      <w:r>
        <w:rPr>
          <w:spacing w:val="-1"/>
        </w:rPr>
        <w:t>requirements</w:t>
      </w:r>
      <w:r>
        <w:rPr>
          <w:spacing w:val="37"/>
        </w:rPr>
        <w:t xml:space="preserve"> </w:t>
      </w:r>
      <w:r>
        <w:rPr>
          <w:spacing w:val="-2"/>
        </w:rPr>
        <w:t>of</w:t>
      </w:r>
      <w:r>
        <w:rPr>
          <w:spacing w:val="40"/>
        </w:rPr>
        <w:t xml:space="preserve"> </w:t>
      </w:r>
      <w:r>
        <w:rPr>
          <w:spacing w:val="-1"/>
        </w:rPr>
        <w:t>this</w:t>
      </w:r>
      <w:r>
        <w:rPr>
          <w:spacing w:val="39"/>
        </w:rPr>
        <w:t xml:space="preserve"> </w:t>
      </w:r>
      <w:r>
        <w:rPr>
          <w:spacing w:val="-2"/>
        </w:rPr>
        <w:t>Call</w:t>
      </w:r>
      <w:r>
        <w:rPr>
          <w:spacing w:val="38"/>
        </w:rPr>
        <w:t xml:space="preserve"> </w:t>
      </w:r>
      <w:r>
        <w:rPr>
          <w:spacing w:val="-1"/>
        </w:rPr>
        <w:t>Off</w:t>
      </w:r>
      <w:r>
        <w:rPr>
          <w:spacing w:val="38"/>
        </w:rPr>
        <w:t xml:space="preserve"> </w:t>
      </w:r>
      <w:r>
        <w:rPr>
          <w:spacing w:val="-1"/>
        </w:rPr>
        <w:t>Schedule,</w:t>
      </w:r>
      <w:r>
        <w:rPr>
          <w:spacing w:val="38"/>
        </w:rPr>
        <w:t xml:space="preserve"> </w:t>
      </w:r>
      <w:r>
        <w:rPr>
          <w:spacing w:val="-1"/>
        </w:rPr>
        <w:t>then</w:t>
      </w:r>
      <w:r>
        <w:rPr>
          <w:spacing w:val="39"/>
        </w:rPr>
        <w:t xml:space="preserve"> </w:t>
      </w:r>
      <w:r>
        <w:rPr>
          <w:spacing w:val="-1"/>
        </w:rPr>
        <w:t>any</w:t>
      </w:r>
      <w:r>
        <w:rPr>
          <w:spacing w:val="48"/>
        </w:rPr>
        <w:t xml:space="preserve"> </w:t>
      </w:r>
      <w:r>
        <w:rPr>
          <w:spacing w:val="-1"/>
        </w:rPr>
        <w:t>required</w:t>
      </w:r>
      <w:r>
        <w:t xml:space="preserve"> </w:t>
      </w:r>
      <w:r>
        <w:rPr>
          <w:spacing w:val="-1"/>
        </w:rPr>
        <w:t>change</w:t>
      </w:r>
      <w:r>
        <w:rPr>
          <w:spacing w:val="-2"/>
        </w:rPr>
        <w:t xml:space="preserve"> </w:t>
      </w:r>
      <w:r>
        <w:t>to</w:t>
      </w:r>
      <w:r>
        <w:rPr>
          <w:spacing w:val="-4"/>
        </w:rPr>
        <w:t xml:space="preserve"> </w:t>
      </w:r>
      <w:r>
        <w:t>the</w:t>
      </w:r>
      <w:r>
        <w:rPr>
          <w:spacing w:val="-2"/>
        </w:rPr>
        <w:t xml:space="preserve"> ISMS</w:t>
      </w:r>
      <w:r>
        <w:t xml:space="preserve"> </w:t>
      </w:r>
      <w:r>
        <w:rPr>
          <w:spacing w:val="-1"/>
        </w:rPr>
        <w:t>shall</w:t>
      </w:r>
      <w:r>
        <w:t xml:space="preserve"> </w:t>
      </w:r>
      <w:r>
        <w:rPr>
          <w:spacing w:val="-1"/>
        </w:rPr>
        <w:t>be</w:t>
      </w:r>
      <w:r>
        <w:t xml:space="preserve"> </w:t>
      </w:r>
      <w:r>
        <w:rPr>
          <w:spacing w:val="-1"/>
        </w:rPr>
        <w:t>at</w:t>
      </w:r>
      <w:r>
        <w:t xml:space="preserve"> </w:t>
      </w:r>
      <w:r>
        <w:rPr>
          <w:spacing w:val="-1"/>
        </w:rPr>
        <w:t>no</w:t>
      </w:r>
      <w:r>
        <w:t xml:space="preserve"> </w:t>
      </w:r>
      <w:r>
        <w:rPr>
          <w:spacing w:val="-1"/>
        </w:rPr>
        <w:t>cost</w:t>
      </w:r>
      <w:r>
        <w:t xml:space="preserve"> </w:t>
      </w:r>
      <w:r>
        <w:rPr>
          <w:spacing w:val="-1"/>
        </w:rPr>
        <w:t>to</w:t>
      </w:r>
      <w:r>
        <w:t xml:space="preserve"> the</w:t>
      </w:r>
      <w:r>
        <w:rPr>
          <w:spacing w:val="-2"/>
        </w:rPr>
        <w:t xml:space="preserve"> </w:t>
      </w:r>
      <w:r>
        <w:rPr>
          <w:spacing w:val="-1"/>
        </w:rPr>
        <w:t>Customer.</w:t>
      </w:r>
    </w:p>
    <w:p w:rsidR="008918FA" w:rsidRDefault="008918FA" w:rsidP="008918FA">
      <w:pPr>
        <w:jc w:val="both"/>
        <w:sectPr w:rsidR="008918FA">
          <w:pgSz w:w="11910" w:h="16840"/>
          <w:pgMar w:top="1480" w:right="1300" w:bottom="1160" w:left="1680" w:header="0" w:footer="967" w:gutter="0"/>
          <w:cols w:space="720"/>
        </w:sectPr>
      </w:pPr>
    </w:p>
    <w:p w:rsidR="008918FA" w:rsidRDefault="008918FA" w:rsidP="008918FA">
      <w:pPr>
        <w:pStyle w:val="Heading1"/>
        <w:spacing w:before="57"/>
        <w:ind w:left="2745" w:firstLine="0"/>
        <w:rPr>
          <w:b w:val="0"/>
          <w:bCs w:val="0"/>
        </w:rPr>
      </w:pPr>
      <w:bookmarkStart w:id="427" w:name="ANNEX_1:_Security_Policy"/>
      <w:bookmarkStart w:id="428" w:name="_bookmark350"/>
      <w:bookmarkEnd w:id="427"/>
      <w:bookmarkEnd w:id="428"/>
      <w:r>
        <w:rPr>
          <w:spacing w:val="-1"/>
        </w:rPr>
        <w:t>ANNEX</w:t>
      </w:r>
      <w:r>
        <w:t xml:space="preserve"> </w:t>
      </w:r>
      <w:r>
        <w:rPr>
          <w:spacing w:val="-1"/>
        </w:rPr>
        <w:t>1:</w:t>
      </w:r>
      <w:r>
        <w:rPr>
          <w:spacing w:val="2"/>
        </w:rPr>
        <w:t xml:space="preserve"> </w:t>
      </w:r>
      <w:r>
        <w:rPr>
          <w:spacing w:val="-2"/>
        </w:rPr>
        <w:t>SECURITY</w:t>
      </w:r>
      <w:r>
        <w:t xml:space="preserve"> </w:t>
      </w:r>
      <w:r>
        <w:rPr>
          <w:spacing w:val="-1"/>
        </w:rPr>
        <w:t>POLICY</w:t>
      </w: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spacing w:before="8"/>
        <w:rPr>
          <w:rFonts w:ascii="Arial" w:eastAsia="Arial" w:hAnsi="Arial" w:cs="Arial"/>
          <w:b/>
          <w:bCs/>
          <w:sz w:val="17"/>
          <w:szCs w:val="17"/>
        </w:rPr>
      </w:pPr>
    </w:p>
    <w:p w:rsidR="008918FA" w:rsidRDefault="008918FA" w:rsidP="008918FA">
      <w:pPr>
        <w:pStyle w:val="BodyText"/>
        <w:tabs>
          <w:tab w:val="left" w:pos="1064"/>
        </w:tabs>
        <w:spacing w:before="72"/>
        <w:ind w:left="24" w:firstLine="0"/>
        <w:jc w:val="center"/>
      </w:pPr>
      <w:r>
        <w:rPr>
          <w:w w:val="95"/>
          <w:highlight w:val="yellow"/>
        </w:rPr>
        <w:t>[</w:t>
      </w:r>
      <w:r>
        <w:rPr>
          <w:w w:val="95"/>
          <w:highlight w:val="yellow"/>
        </w:rPr>
        <w:tab/>
      </w:r>
      <w:r>
        <w:rPr>
          <w:highlight w:val="yellow"/>
        </w:rPr>
        <w:t>]</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2"/>
        <w:rPr>
          <w:rFonts w:ascii="Arial" w:eastAsia="Arial" w:hAnsi="Arial" w:cs="Arial"/>
          <w:sz w:val="16"/>
          <w:szCs w:val="16"/>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680" w:bottom="1160" w:left="1680" w:header="0" w:footer="967" w:gutter="0"/>
          <w:cols w:space="720"/>
        </w:sectPr>
      </w:pPr>
    </w:p>
    <w:p w:rsidR="008918FA" w:rsidRDefault="008918FA" w:rsidP="008918FA">
      <w:pPr>
        <w:pStyle w:val="Heading1"/>
        <w:spacing w:before="57"/>
        <w:ind w:left="2023" w:firstLine="0"/>
        <w:rPr>
          <w:b w:val="0"/>
          <w:bCs w:val="0"/>
        </w:rPr>
      </w:pPr>
      <w:bookmarkStart w:id="429" w:name="ANNEX_2:_Security_Management_Plan"/>
      <w:bookmarkStart w:id="430" w:name="_bookmark351"/>
      <w:bookmarkEnd w:id="429"/>
      <w:bookmarkEnd w:id="430"/>
      <w:r>
        <w:rPr>
          <w:spacing w:val="-1"/>
        </w:rPr>
        <w:t>ANNEX</w:t>
      </w:r>
      <w:r>
        <w:t xml:space="preserve"> </w:t>
      </w:r>
      <w:r>
        <w:rPr>
          <w:spacing w:val="-1"/>
        </w:rPr>
        <w:t>2:</w:t>
      </w:r>
      <w:r>
        <w:rPr>
          <w:spacing w:val="2"/>
        </w:rPr>
        <w:t xml:space="preserve"> </w:t>
      </w:r>
      <w:r>
        <w:rPr>
          <w:spacing w:val="-2"/>
        </w:rPr>
        <w:t>SECURITY</w:t>
      </w:r>
      <w:r>
        <w:t xml:space="preserve"> </w:t>
      </w:r>
      <w:r>
        <w:rPr>
          <w:spacing w:val="-1"/>
        </w:rPr>
        <w:t>MANAGEMENT</w:t>
      </w:r>
      <w:r>
        <w:rPr>
          <w:spacing w:val="-2"/>
        </w:rPr>
        <w:t xml:space="preserve"> </w:t>
      </w:r>
      <w:r>
        <w:rPr>
          <w:spacing w:val="-1"/>
        </w:rPr>
        <w:t>PLAN</w:t>
      </w: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spacing w:before="7"/>
        <w:rPr>
          <w:rFonts w:ascii="Arial" w:eastAsia="Arial" w:hAnsi="Arial" w:cs="Arial"/>
          <w:b/>
          <w:bCs/>
          <w:sz w:val="17"/>
          <w:szCs w:val="17"/>
        </w:rPr>
      </w:pPr>
    </w:p>
    <w:p w:rsidR="008918FA" w:rsidRDefault="008918FA" w:rsidP="008918FA">
      <w:pPr>
        <w:pStyle w:val="BodyText"/>
        <w:tabs>
          <w:tab w:val="left" w:pos="1079"/>
        </w:tabs>
        <w:spacing w:before="72"/>
        <w:ind w:left="25" w:firstLine="0"/>
        <w:jc w:val="center"/>
        <w:rPr>
          <w:rFonts w:ascii="Times New Roman" w:eastAsia="Times New Roman" w:hAnsi="Times New Roman" w:cs="Times New Roman"/>
        </w:rPr>
      </w:pPr>
      <w:r>
        <w:rPr>
          <w:rFonts w:ascii="Times New Roman"/>
          <w:highlight w:val="yellow"/>
        </w:rPr>
        <w:t>[</w:t>
      </w:r>
      <w:r>
        <w:rPr>
          <w:rFonts w:ascii="Times New Roman"/>
          <w:highlight w:val="yellow"/>
        </w:rPr>
        <w:tab/>
        <w:t>]</w:t>
      </w: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spacing w:before="4"/>
        <w:rPr>
          <w:rFonts w:ascii="Times New Roman" w:eastAsia="Times New Roman" w:hAnsi="Times New Roman" w:cs="Times New Roman"/>
          <w:sz w:val="16"/>
          <w:szCs w:val="16"/>
        </w:rPr>
      </w:pPr>
    </w:p>
    <w:p w:rsidR="008918FA" w:rsidRDefault="008918FA" w:rsidP="008918FA">
      <w:pPr>
        <w:spacing w:line="200" w:lineRule="atLeast"/>
        <w:ind w:left="198"/>
        <w:rPr>
          <w:rFonts w:ascii="Times New Roman" w:eastAsia="Times New Roman" w:hAnsi="Times New Roman" w:cs="Times New Roman"/>
          <w:sz w:val="20"/>
          <w:szCs w:val="20"/>
        </w:rPr>
      </w:pPr>
    </w:p>
    <w:p w:rsidR="008918FA" w:rsidRDefault="008918FA" w:rsidP="008918FA">
      <w:pPr>
        <w:spacing w:line="200" w:lineRule="atLeast"/>
        <w:rPr>
          <w:rFonts w:ascii="Times New Roman" w:eastAsia="Times New Roman" w:hAnsi="Times New Roman" w:cs="Times New Roman"/>
          <w:sz w:val="20"/>
          <w:szCs w:val="20"/>
        </w:rPr>
        <w:sectPr w:rsidR="008918FA">
          <w:pgSz w:w="11910" w:h="16840"/>
          <w:pgMar w:top="1480" w:right="1680" w:bottom="1160" w:left="1680" w:header="0" w:footer="967" w:gutter="0"/>
          <w:cols w:space="720"/>
        </w:sectPr>
      </w:pPr>
    </w:p>
    <w:p w:rsidR="008918FA" w:rsidRDefault="008918FA" w:rsidP="008918FA">
      <w:pPr>
        <w:pStyle w:val="BodyText"/>
        <w:spacing w:before="58"/>
        <w:ind w:left="443" w:firstLine="0"/>
        <w:rPr>
          <w:rFonts w:ascii="Times New Roman" w:eastAsia="Times New Roman" w:hAnsi="Times New Roman" w:cs="Times New Roman"/>
        </w:rPr>
      </w:pPr>
      <w:bookmarkStart w:id="431" w:name="[CALL_OFF_SCHEDULE_9:_BUSINESS_CONTINUIT"/>
      <w:bookmarkStart w:id="432" w:name="_bookmark352"/>
      <w:bookmarkEnd w:id="431"/>
      <w:bookmarkEnd w:id="432"/>
      <w:r>
        <w:rPr>
          <w:rFonts w:ascii="Times New Roman"/>
          <w:highlight w:val="yellow"/>
        </w:rPr>
        <w:t>[C</w:t>
      </w:r>
      <w:r>
        <w:rPr>
          <w:rFonts w:ascii="Times New Roman"/>
          <w:spacing w:val="-42"/>
          <w:highlight w:val="yellow"/>
        </w:rPr>
        <w:t xml:space="preserve"> </w:t>
      </w:r>
      <w:r>
        <w:rPr>
          <w:rFonts w:ascii="Times New Roman"/>
          <w:spacing w:val="-3"/>
          <w:highlight w:val="yellow"/>
        </w:rPr>
        <w:t>ALL</w:t>
      </w:r>
      <w:r>
        <w:rPr>
          <w:rFonts w:ascii="Times New Roman"/>
          <w:spacing w:val="6"/>
          <w:highlight w:val="yellow"/>
        </w:rPr>
        <w:t xml:space="preserve"> </w:t>
      </w:r>
      <w:r>
        <w:rPr>
          <w:rFonts w:ascii="Times New Roman"/>
          <w:highlight w:val="yellow"/>
        </w:rPr>
        <w:t>O</w:t>
      </w:r>
      <w:r>
        <w:rPr>
          <w:rFonts w:ascii="Times New Roman"/>
          <w:spacing w:val="-42"/>
          <w:highlight w:val="yellow"/>
        </w:rPr>
        <w:t xml:space="preserve"> </w:t>
      </w:r>
      <w:r>
        <w:rPr>
          <w:rFonts w:ascii="Times New Roman"/>
          <w:highlight w:val="yellow"/>
        </w:rPr>
        <w:t>F</w:t>
      </w:r>
      <w:r>
        <w:rPr>
          <w:rFonts w:ascii="Times New Roman"/>
          <w:spacing w:val="-44"/>
          <w:highlight w:val="yellow"/>
        </w:rPr>
        <w:t xml:space="preserve"> </w:t>
      </w:r>
      <w:r>
        <w:rPr>
          <w:rFonts w:ascii="Times New Roman"/>
          <w:highlight w:val="yellow"/>
        </w:rPr>
        <w:t>F</w:t>
      </w:r>
      <w:r>
        <w:rPr>
          <w:rFonts w:ascii="Times New Roman"/>
          <w:spacing w:val="19"/>
          <w:highlight w:val="yellow"/>
        </w:rPr>
        <w:t xml:space="preserve"> </w:t>
      </w:r>
      <w:r>
        <w:rPr>
          <w:rFonts w:ascii="Times New Roman"/>
          <w:highlight w:val="yellow"/>
        </w:rPr>
        <w:t>S</w:t>
      </w:r>
      <w:r>
        <w:rPr>
          <w:rFonts w:ascii="Times New Roman"/>
          <w:spacing w:val="-32"/>
          <w:highlight w:val="yellow"/>
        </w:rPr>
        <w:t xml:space="preserve"> </w:t>
      </w:r>
      <w:r>
        <w:rPr>
          <w:rFonts w:ascii="Times New Roman"/>
          <w:highlight w:val="yellow"/>
        </w:rPr>
        <w:t>C</w:t>
      </w:r>
      <w:r>
        <w:rPr>
          <w:rFonts w:ascii="Times New Roman"/>
          <w:spacing w:val="-45"/>
          <w:highlight w:val="yellow"/>
        </w:rPr>
        <w:t xml:space="preserve"> </w:t>
      </w:r>
      <w:r>
        <w:rPr>
          <w:rFonts w:ascii="Times New Roman"/>
          <w:spacing w:val="-2"/>
          <w:highlight w:val="yellow"/>
        </w:rPr>
        <w:t>HE</w:t>
      </w:r>
      <w:r>
        <w:rPr>
          <w:rFonts w:ascii="Times New Roman"/>
          <w:spacing w:val="-43"/>
          <w:highlight w:val="yellow"/>
        </w:rPr>
        <w:t xml:space="preserve"> </w:t>
      </w:r>
      <w:r>
        <w:rPr>
          <w:rFonts w:ascii="Times New Roman"/>
          <w:spacing w:val="-2"/>
          <w:highlight w:val="yellow"/>
        </w:rPr>
        <w:t>DULE</w:t>
      </w:r>
      <w:r>
        <w:rPr>
          <w:rFonts w:ascii="Times New Roman"/>
          <w:spacing w:val="18"/>
          <w:highlight w:val="yellow"/>
        </w:rPr>
        <w:t xml:space="preserve"> </w:t>
      </w:r>
      <w:r>
        <w:rPr>
          <w:rFonts w:ascii="Times New Roman"/>
          <w:highlight w:val="yellow"/>
        </w:rPr>
        <w:t>9</w:t>
      </w:r>
      <w:r>
        <w:rPr>
          <w:rFonts w:ascii="Times New Roman"/>
          <w:spacing w:val="-44"/>
          <w:highlight w:val="yellow"/>
        </w:rPr>
        <w:t xml:space="preserve"> </w:t>
      </w:r>
      <w:r>
        <w:rPr>
          <w:rFonts w:ascii="Times New Roman"/>
          <w:highlight w:val="yellow"/>
        </w:rPr>
        <w:t>:</w:t>
      </w:r>
      <w:r>
        <w:rPr>
          <w:rFonts w:ascii="Times New Roman"/>
          <w:spacing w:val="17"/>
          <w:highlight w:val="yellow"/>
        </w:rPr>
        <w:t xml:space="preserve"> </w:t>
      </w:r>
      <w:r>
        <w:rPr>
          <w:rFonts w:ascii="Times New Roman"/>
          <w:highlight w:val="yellow"/>
        </w:rPr>
        <w:t>B</w:t>
      </w:r>
      <w:r>
        <w:rPr>
          <w:rFonts w:ascii="Times New Roman"/>
          <w:spacing w:val="-45"/>
          <w:highlight w:val="yellow"/>
        </w:rPr>
        <w:t xml:space="preserve"> </w:t>
      </w:r>
      <w:r>
        <w:rPr>
          <w:rFonts w:ascii="Times New Roman"/>
          <w:spacing w:val="-2"/>
          <w:highlight w:val="yellow"/>
        </w:rPr>
        <w:t>US</w:t>
      </w:r>
      <w:r>
        <w:rPr>
          <w:rFonts w:ascii="Times New Roman"/>
          <w:spacing w:val="-31"/>
          <w:highlight w:val="yellow"/>
        </w:rPr>
        <w:t xml:space="preserve"> </w:t>
      </w:r>
      <w:r>
        <w:rPr>
          <w:rFonts w:ascii="Times New Roman"/>
          <w:spacing w:val="-6"/>
          <w:highlight w:val="yellow"/>
        </w:rPr>
        <w:t>INE</w:t>
      </w:r>
      <w:r>
        <w:rPr>
          <w:rFonts w:ascii="Times New Roman"/>
          <w:spacing w:val="-43"/>
          <w:highlight w:val="yellow"/>
        </w:rPr>
        <w:t xml:space="preserve"> </w:t>
      </w:r>
      <w:r>
        <w:rPr>
          <w:rFonts w:ascii="Times New Roman"/>
          <w:highlight w:val="yellow"/>
        </w:rPr>
        <w:t>S</w:t>
      </w:r>
      <w:r>
        <w:rPr>
          <w:rFonts w:ascii="Times New Roman"/>
          <w:spacing w:val="-32"/>
          <w:highlight w:val="yellow"/>
        </w:rPr>
        <w:t xml:space="preserve"> </w:t>
      </w:r>
      <w:r>
        <w:rPr>
          <w:rFonts w:ascii="Times New Roman"/>
          <w:highlight w:val="yellow"/>
        </w:rPr>
        <w:t>S</w:t>
      </w:r>
      <w:r>
        <w:rPr>
          <w:rFonts w:ascii="Times New Roman"/>
          <w:spacing w:val="30"/>
          <w:highlight w:val="yellow"/>
        </w:rPr>
        <w:t xml:space="preserve"> </w:t>
      </w:r>
      <w:r>
        <w:rPr>
          <w:rFonts w:ascii="Times New Roman"/>
          <w:highlight w:val="yellow"/>
        </w:rPr>
        <w:t>C</w:t>
      </w:r>
      <w:r>
        <w:rPr>
          <w:rFonts w:ascii="Times New Roman"/>
          <w:spacing w:val="-45"/>
          <w:highlight w:val="yellow"/>
        </w:rPr>
        <w:t xml:space="preserve"> </w:t>
      </w:r>
      <w:r>
        <w:rPr>
          <w:rFonts w:ascii="Times New Roman"/>
          <w:highlight w:val="yellow"/>
        </w:rPr>
        <w:t>O</w:t>
      </w:r>
      <w:r>
        <w:rPr>
          <w:rFonts w:ascii="Times New Roman"/>
          <w:spacing w:val="-42"/>
          <w:highlight w:val="yellow"/>
        </w:rPr>
        <w:t xml:space="preserve"> </w:t>
      </w:r>
      <w:r>
        <w:rPr>
          <w:rFonts w:ascii="Times New Roman"/>
          <w:spacing w:val="-5"/>
          <w:highlight w:val="yellow"/>
        </w:rPr>
        <w:t>NTINUITY</w:t>
      </w:r>
      <w:r>
        <w:rPr>
          <w:rFonts w:ascii="Times New Roman"/>
          <w:spacing w:val="-2"/>
          <w:highlight w:val="yellow"/>
        </w:rPr>
        <w:t xml:space="preserve"> </w:t>
      </w:r>
      <w:r>
        <w:rPr>
          <w:rFonts w:ascii="Times New Roman"/>
          <w:spacing w:val="-4"/>
          <w:highlight w:val="yellow"/>
        </w:rPr>
        <w:t>AND</w:t>
      </w:r>
      <w:r>
        <w:rPr>
          <w:rFonts w:ascii="Times New Roman"/>
          <w:spacing w:val="7"/>
          <w:highlight w:val="yellow"/>
        </w:rPr>
        <w:t xml:space="preserve"> </w:t>
      </w:r>
      <w:r>
        <w:rPr>
          <w:rFonts w:ascii="Times New Roman"/>
          <w:spacing w:val="-5"/>
          <w:highlight w:val="yellow"/>
        </w:rPr>
        <w:t>DIS</w:t>
      </w:r>
      <w:r>
        <w:rPr>
          <w:rFonts w:ascii="Times New Roman"/>
          <w:spacing w:val="-30"/>
          <w:highlight w:val="yellow"/>
        </w:rPr>
        <w:t xml:space="preserve"> </w:t>
      </w:r>
      <w:r>
        <w:rPr>
          <w:rFonts w:ascii="Times New Roman"/>
          <w:spacing w:val="-3"/>
          <w:highlight w:val="yellow"/>
        </w:rPr>
        <w:t>AS</w:t>
      </w:r>
      <w:r>
        <w:rPr>
          <w:rFonts w:ascii="Times New Roman"/>
          <w:spacing w:val="-30"/>
          <w:highlight w:val="yellow"/>
        </w:rPr>
        <w:t xml:space="preserve"> </w:t>
      </w:r>
      <w:r>
        <w:rPr>
          <w:rFonts w:ascii="Times New Roman"/>
          <w:spacing w:val="-1"/>
          <w:highlight w:val="yellow"/>
        </w:rPr>
        <w:t>TE</w:t>
      </w:r>
      <w:r>
        <w:rPr>
          <w:rFonts w:ascii="Times New Roman"/>
          <w:spacing w:val="-44"/>
          <w:highlight w:val="yellow"/>
        </w:rPr>
        <w:t xml:space="preserve"> </w:t>
      </w:r>
      <w:r>
        <w:rPr>
          <w:rFonts w:ascii="Times New Roman"/>
          <w:highlight w:val="yellow"/>
        </w:rPr>
        <w:t>R</w:t>
      </w:r>
      <w:r>
        <w:rPr>
          <w:rFonts w:ascii="Times New Roman"/>
          <w:spacing w:val="18"/>
          <w:highlight w:val="yellow"/>
        </w:rPr>
        <w:t xml:space="preserve"> </w:t>
      </w:r>
      <w:r>
        <w:rPr>
          <w:rFonts w:ascii="Times New Roman"/>
          <w:highlight w:val="yellow"/>
        </w:rPr>
        <w:t>R</w:t>
      </w:r>
      <w:r>
        <w:rPr>
          <w:rFonts w:ascii="Times New Roman"/>
          <w:spacing w:val="-42"/>
          <w:highlight w:val="yellow"/>
        </w:rPr>
        <w:t xml:space="preserve"> </w:t>
      </w:r>
      <w:r>
        <w:rPr>
          <w:rFonts w:ascii="Times New Roman"/>
          <w:highlight w:val="yellow"/>
        </w:rPr>
        <w:t>E</w:t>
      </w:r>
      <w:r>
        <w:rPr>
          <w:rFonts w:ascii="Times New Roman"/>
          <w:spacing w:val="-44"/>
          <w:highlight w:val="yellow"/>
        </w:rPr>
        <w:t xml:space="preserve"> </w:t>
      </w:r>
      <w:r>
        <w:rPr>
          <w:rFonts w:ascii="Times New Roman"/>
          <w:spacing w:val="2"/>
          <w:highlight w:val="yellow"/>
        </w:rPr>
        <w:t>COVE</w:t>
      </w:r>
      <w:r>
        <w:rPr>
          <w:rFonts w:ascii="Times New Roman"/>
          <w:spacing w:val="-44"/>
          <w:highlight w:val="yellow"/>
        </w:rPr>
        <w:t xml:space="preserve"> </w:t>
      </w:r>
      <w:r>
        <w:rPr>
          <w:rFonts w:ascii="Times New Roman"/>
          <w:spacing w:val="-1"/>
          <w:highlight w:val="yellow"/>
        </w:rPr>
        <w:t>RY]</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spacing w:line="200" w:lineRule="atLeast"/>
        <w:ind w:left="6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5AF3216B" wp14:editId="3C55FC8F">
                <wp:extent cx="5388610" cy="321945"/>
                <wp:effectExtent l="0" t="0" r="2540" b="1905"/>
                <wp:docPr id="2000"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321945"/>
                          <a:chOff x="0" y="0"/>
                          <a:chExt cx="8486" cy="507"/>
                        </a:xfrm>
                      </wpg:grpSpPr>
                      <wpg:grpSp>
                        <wpg:cNvPr id="2001" name="Group 1996"/>
                        <wpg:cNvGrpSpPr>
                          <a:grpSpLocks/>
                        </wpg:cNvGrpSpPr>
                        <wpg:grpSpPr bwMode="auto">
                          <a:xfrm>
                            <a:off x="0" y="0"/>
                            <a:ext cx="8484" cy="255"/>
                            <a:chOff x="0" y="0"/>
                            <a:chExt cx="8484" cy="255"/>
                          </a:xfrm>
                        </wpg:grpSpPr>
                        <wps:wsp>
                          <wps:cNvPr id="2002" name="Freeform 1997"/>
                          <wps:cNvSpPr>
                            <a:spLocks/>
                          </wps:cNvSpPr>
                          <wps:spPr bwMode="auto">
                            <a:xfrm>
                              <a:off x="0" y="0"/>
                              <a:ext cx="8484" cy="255"/>
                            </a:xfrm>
                            <a:custGeom>
                              <a:avLst/>
                              <a:gdLst>
                                <a:gd name="T0" fmla="*/ 0 w 8484"/>
                                <a:gd name="T1" fmla="*/ 254 h 255"/>
                                <a:gd name="T2" fmla="*/ 8484 w 8484"/>
                                <a:gd name="T3" fmla="*/ 254 h 255"/>
                                <a:gd name="T4" fmla="*/ 8484 w 8484"/>
                                <a:gd name="T5" fmla="*/ 0 h 255"/>
                                <a:gd name="T6" fmla="*/ 0 w 8484"/>
                                <a:gd name="T7" fmla="*/ 0 h 255"/>
                                <a:gd name="T8" fmla="*/ 0 w 8484"/>
                                <a:gd name="T9" fmla="*/ 254 h 255"/>
                              </a:gdLst>
                              <a:ahLst/>
                              <a:cxnLst>
                                <a:cxn ang="0">
                                  <a:pos x="T0" y="T1"/>
                                </a:cxn>
                                <a:cxn ang="0">
                                  <a:pos x="T2" y="T3"/>
                                </a:cxn>
                                <a:cxn ang="0">
                                  <a:pos x="T4" y="T5"/>
                                </a:cxn>
                                <a:cxn ang="0">
                                  <a:pos x="T6" y="T7"/>
                                </a:cxn>
                                <a:cxn ang="0">
                                  <a:pos x="T8" y="T9"/>
                                </a:cxn>
                              </a:cxnLst>
                              <a:rect l="0" t="0" r="r" b="b"/>
                              <a:pathLst>
                                <a:path w="8484" h="255">
                                  <a:moveTo>
                                    <a:pt x="0" y="254"/>
                                  </a:moveTo>
                                  <a:lnTo>
                                    <a:pt x="8484" y="254"/>
                                  </a:lnTo>
                                  <a:lnTo>
                                    <a:pt x="8484"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3" name="Group 1993"/>
                        <wpg:cNvGrpSpPr>
                          <a:grpSpLocks/>
                        </wpg:cNvGrpSpPr>
                        <wpg:grpSpPr bwMode="auto">
                          <a:xfrm>
                            <a:off x="0" y="254"/>
                            <a:ext cx="4548" cy="252"/>
                            <a:chOff x="0" y="254"/>
                            <a:chExt cx="4548" cy="252"/>
                          </a:xfrm>
                        </wpg:grpSpPr>
                        <wps:wsp>
                          <wps:cNvPr id="2004" name="Freeform 1995"/>
                          <wps:cNvSpPr>
                            <a:spLocks/>
                          </wps:cNvSpPr>
                          <wps:spPr bwMode="auto">
                            <a:xfrm>
                              <a:off x="0" y="254"/>
                              <a:ext cx="4548" cy="252"/>
                            </a:xfrm>
                            <a:custGeom>
                              <a:avLst/>
                              <a:gdLst>
                                <a:gd name="T0" fmla="*/ 0 w 4548"/>
                                <a:gd name="T1" fmla="+- 0 506 254"/>
                                <a:gd name="T2" fmla="*/ 506 h 252"/>
                                <a:gd name="T3" fmla="*/ 4548 w 4548"/>
                                <a:gd name="T4" fmla="+- 0 506 254"/>
                                <a:gd name="T5" fmla="*/ 506 h 252"/>
                                <a:gd name="T6" fmla="*/ 4548 w 4548"/>
                                <a:gd name="T7" fmla="+- 0 254 254"/>
                                <a:gd name="T8" fmla="*/ 254 h 252"/>
                                <a:gd name="T9" fmla="*/ 0 w 4548"/>
                                <a:gd name="T10" fmla="+- 0 254 254"/>
                                <a:gd name="T11" fmla="*/ 254 h 252"/>
                                <a:gd name="T12" fmla="*/ 0 w 4548"/>
                                <a:gd name="T13" fmla="+- 0 506 254"/>
                                <a:gd name="T14" fmla="*/ 506 h 252"/>
                              </a:gdLst>
                              <a:ahLst/>
                              <a:cxnLst>
                                <a:cxn ang="0">
                                  <a:pos x="T0" y="T2"/>
                                </a:cxn>
                                <a:cxn ang="0">
                                  <a:pos x="T3" y="T5"/>
                                </a:cxn>
                                <a:cxn ang="0">
                                  <a:pos x="T6" y="T8"/>
                                </a:cxn>
                                <a:cxn ang="0">
                                  <a:pos x="T9" y="T11"/>
                                </a:cxn>
                                <a:cxn ang="0">
                                  <a:pos x="T12" y="T14"/>
                                </a:cxn>
                              </a:cxnLst>
                              <a:rect l="0" t="0" r="r" b="b"/>
                              <a:pathLst>
                                <a:path w="4548" h="252">
                                  <a:moveTo>
                                    <a:pt x="0" y="252"/>
                                  </a:moveTo>
                                  <a:lnTo>
                                    <a:pt x="4548" y="252"/>
                                  </a:lnTo>
                                  <a:lnTo>
                                    <a:pt x="4548"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Text Box 1994"/>
                          <wps:cNvSpPr txBox="1">
                            <a:spLocks noChangeArrowheads="1"/>
                          </wps:cNvSpPr>
                          <wps:spPr bwMode="auto">
                            <a:xfrm>
                              <a:off x="0" y="0"/>
                              <a:ext cx="848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41" w:lineRule="auto"/>
                                  <w:rPr>
                                    <w:rFonts w:ascii="Arial" w:eastAsia="Arial" w:hAnsi="Arial" w:cs="Arial"/>
                                  </w:rPr>
                                </w:pPr>
                                <w:r>
                                  <w:rPr>
                                    <w:rFonts w:ascii="Arial" w:eastAsia="Arial" w:hAnsi="Arial" w:cs="Arial"/>
                                    <w:b/>
                                    <w:bCs/>
                                    <w:i/>
                                    <w:spacing w:val="-1"/>
                                  </w:rPr>
                                  <w:t>[Guidance</w:t>
                                </w:r>
                                <w:r>
                                  <w:rPr>
                                    <w:rFonts w:ascii="Arial" w:eastAsia="Arial" w:hAnsi="Arial" w:cs="Arial"/>
                                    <w:b/>
                                    <w:bCs/>
                                    <w:i/>
                                    <w:spacing w:val="17"/>
                                  </w:rPr>
                                  <w:t xml:space="preserve"> </w:t>
                                </w:r>
                                <w:r>
                                  <w:rPr>
                                    <w:rFonts w:ascii="Arial" w:eastAsia="Arial" w:hAnsi="Arial" w:cs="Arial"/>
                                    <w:b/>
                                    <w:bCs/>
                                    <w:i/>
                                    <w:spacing w:val="-1"/>
                                  </w:rPr>
                                  <w:t>Note:</w:t>
                                </w:r>
                                <w:r>
                                  <w:rPr>
                                    <w:rFonts w:ascii="Arial" w:eastAsia="Arial" w:hAnsi="Arial" w:cs="Arial"/>
                                    <w:b/>
                                    <w:bCs/>
                                    <w:i/>
                                    <w:spacing w:val="19"/>
                                  </w:rPr>
                                  <w:t xml:space="preserve"> </w:t>
                                </w:r>
                                <w:r>
                                  <w:rPr>
                                    <w:rFonts w:ascii="Arial" w:eastAsia="Arial" w:hAnsi="Arial" w:cs="Arial"/>
                                    <w:b/>
                                    <w:bCs/>
                                    <w:i/>
                                    <w:spacing w:val="-1"/>
                                  </w:rPr>
                                  <w:t>See</w:t>
                                </w:r>
                                <w:r>
                                  <w:rPr>
                                    <w:rFonts w:ascii="Arial" w:eastAsia="Arial" w:hAnsi="Arial" w:cs="Arial"/>
                                    <w:b/>
                                    <w:bCs/>
                                    <w:i/>
                                    <w:spacing w:val="17"/>
                                  </w:rPr>
                                  <w:t xml:space="preserve"> </w:t>
                                </w:r>
                                <w:r>
                                  <w:rPr>
                                    <w:rFonts w:ascii="Arial" w:eastAsia="Arial" w:hAnsi="Arial" w:cs="Arial"/>
                                    <w:b/>
                                    <w:bCs/>
                                    <w:i/>
                                    <w:spacing w:val="-1"/>
                                  </w:rPr>
                                  <w:t>Clause</w:t>
                                </w:r>
                                <w:r>
                                  <w:rPr>
                                    <w:rFonts w:ascii="Arial" w:eastAsia="Arial" w:hAnsi="Arial" w:cs="Arial"/>
                                    <w:b/>
                                    <w:bCs/>
                                    <w:i/>
                                    <w:spacing w:val="17"/>
                                  </w:rPr>
                                  <w:t xml:space="preserve"> </w:t>
                                </w:r>
                                <w:hyperlink w:anchor="_bookmark102" w:history="1">
                                  <w:r>
                                    <w:rPr>
                                      <w:rFonts w:ascii="Arial" w:eastAsia="Arial" w:hAnsi="Arial" w:cs="Arial"/>
                                      <w:b/>
                                      <w:bCs/>
                                      <w:i/>
                                      <w:spacing w:val="-1"/>
                                    </w:rPr>
                                    <w:t>15</w:t>
                                  </w:r>
                                </w:hyperlink>
                                <w:r>
                                  <w:rPr>
                                    <w:rFonts w:ascii="Arial" w:eastAsia="Arial" w:hAnsi="Arial" w:cs="Arial"/>
                                    <w:b/>
                                    <w:bCs/>
                                    <w:i/>
                                    <w:spacing w:val="17"/>
                                  </w:rPr>
                                  <w:t xml:space="preserve"> </w:t>
                                </w:r>
                                <w:r>
                                  <w:rPr>
                                    <w:rFonts w:ascii="Arial" w:eastAsia="Arial" w:hAnsi="Arial" w:cs="Arial"/>
                                    <w:b/>
                                    <w:bCs/>
                                    <w:i/>
                                    <w:spacing w:val="-1"/>
                                  </w:rPr>
                                  <w:t>of</w:t>
                                </w:r>
                                <w:r>
                                  <w:rPr>
                                    <w:rFonts w:ascii="Arial" w:eastAsia="Arial" w:hAnsi="Arial" w:cs="Arial"/>
                                    <w:b/>
                                    <w:bCs/>
                                    <w:i/>
                                    <w:spacing w:val="19"/>
                                  </w:rPr>
                                  <w:t xml:space="preserve"> </w:t>
                                </w:r>
                                <w:r>
                                  <w:rPr>
                                    <w:rFonts w:ascii="Arial" w:eastAsia="Arial" w:hAnsi="Arial" w:cs="Arial"/>
                                    <w:b/>
                                    <w:bCs/>
                                    <w:i/>
                                    <w:spacing w:val="-1"/>
                                  </w:rPr>
                                  <w:t>the</w:t>
                                </w:r>
                                <w:r>
                                  <w:rPr>
                                    <w:rFonts w:ascii="Arial" w:eastAsia="Arial" w:hAnsi="Arial" w:cs="Arial"/>
                                    <w:b/>
                                    <w:bCs/>
                                    <w:i/>
                                    <w:spacing w:val="17"/>
                                  </w:rPr>
                                  <w:t xml:space="preserve"> </w:t>
                                </w:r>
                                <w:r>
                                  <w:rPr>
                                    <w:rFonts w:ascii="Arial" w:eastAsia="Arial" w:hAnsi="Arial" w:cs="Arial"/>
                                    <w:b/>
                                    <w:bCs/>
                                    <w:i/>
                                    <w:spacing w:val="-1"/>
                                  </w:rPr>
                                  <w:t>Template</w:t>
                                </w:r>
                                <w:r>
                                  <w:rPr>
                                    <w:rFonts w:ascii="Arial" w:eastAsia="Arial" w:hAnsi="Arial" w:cs="Arial"/>
                                    <w:b/>
                                    <w:bCs/>
                                    <w:i/>
                                    <w:spacing w:val="17"/>
                                  </w:rPr>
                                  <w:t xml:space="preserve"> </w:t>
                                </w:r>
                                <w:r>
                                  <w:rPr>
                                    <w:rFonts w:ascii="Arial" w:eastAsia="Arial" w:hAnsi="Arial" w:cs="Arial"/>
                                    <w:b/>
                                    <w:bCs/>
                                    <w:i/>
                                    <w:spacing w:val="-1"/>
                                  </w:rPr>
                                  <w:t>Call</w:t>
                                </w:r>
                                <w:r>
                                  <w:rPr>
                                    <w:rFonts w:ascii="Arial" w:eastAsia="Arial" w:hAnsi="Arial" w:cs="Arial"/>
                                    <w:b/>
                                    <w:bCs/>
                                    <w:i/>
                                    <w:spacing w:val="16"/>
                                  </w:rPr>
                                  <w:t xml:space="preserve"> </w:t>
                                </w:r>
                                <w:r>
                                  <w:rPr>
                                    <w:rFonts w:ascii="Arial" w:eastAsia="Arial" w:hAnsi="Arial" w:cs="Arial"/>
                                    <w:b/>
                                    <w:bCs/>
                                    <w:i/>
                                  </w:rPr>
                                  <w:t>Off</w:t>
                                </w:r>
                                <w:r>
                                  <w:rPr>
                                    <w:rFonts w:ascii="Arial" w:eastAsia="Arial" w:hAnsi="Arial" w:cs="Arial"/>
                                    <w:b/>
                                    <w:bCs/>
                                    <w:i/>
                                    <w:spacing w:val="19"/>
                                  </w:rPr>
                                  <w:t xml:space="preserve"> </w:t>
                                </w:r>
                                <w:r>
                                  <w:rPr>
                                    <w:rFonts w:ascii="Arial" w:eastAsia="Arial" w:hAnsi="Arial" w:cs="Arial"/>
                                    <w:b/>
                                    <w:bCs/>
                                    <w:i/>
                                    <w:spacing w:val="-2"/>
                                  </w:rPr>
                                  <w:t>Terms.</w:t>
                                </w:r>
                                <w:r>
                                  <w:rPr>
                                    <w:rFonts w:ascii="Arial" w:eastAsia="Arial" w:hAnsi="Arial" w:cs="Arial"/>
                                    <w:b/>
                                    <w:bCs/>
                                    <w:i/>
                                    <w:spacing w:val="19"/>
                                  </w:rPr>
                                  <w:t xml:space="preserve"> </w:t>
                                </w:r>
                                <w:r>
                                  <w:rPr>
                                    <w:rFonts w:ascii="Arial" w:eastAsia="Arial" w:hAnsi="Arial" w:cs="Arial"/>
                                    <w:b/>
                                    <w:bCs/>
                                    <w:i/>
                                    <w:spacing w:val="-1"/>
                                  </w:rPr>
                                  <w:t>Switch</w:t>
                                </w:r>
                                <w:r>
                                  <w:rPr>
                                    <w:rFonts w:ascii="Arial" w:eastAsia="Arial" w:hAnsi="Arial" w:cs="Arial"/>
                                    <w:b/>
                                    <w:bCs/>
                                    <w:i/>
                                    <w:spacing w:val="17"/>
                                  </w:rPr>
                                  <w:t xml:space="preserve"> </w:t>
                                </w:r>
                                <w:r>
                                  <w:rPr>
                                    <w:rFonts w:ascii="Arial" w:eastAsia="Arial" w:hAnsi="Arial" w:cs="Arial"/>
                                    <w:b/>
                                    <w:bCs/>
                                    <w:i/>
                                  </w:rPr>
                                  <w:t>this</w:t>
                                </w:r>
                                <w:r>
                                  <w:rPr>
                                    <w:rFonts w:ascii="Arial" w:eastAsia="Arial" w:hAnsi="Arial" w:cs="Arial"/>
                                    <w:b/>
                                    <w:bCs/>
                                    <w:i/>
                                    <w:spacing w:val="17"/>
                                  </w:rPr>
                                  <w:t xml:space="preserve"> </w:t>
                                </w:r>
                                <w:r>
                                  <w:rPr>
                                    <w:rFonts w:ascii="Arial" w:eastAsia="Arial" w:hAnsi="Arial" w:cs="Arial"/>
                                    <w:b/>
                                    <w:bCs/>
                                    <w:i/>
                                    <w:spacing w:val="-1"/>
                                  </w:rPr>
                                  <w:t>Call</w:t>
                                </w:r>
                                <w:r>
                                  <w:rPr>
                                    <w:rFonts w:ascii="Arial" w:eastAsia="Arial" w:hAnsi="Arial" w:cs="Arial"/>
                                    <w:b/>
                                    <w:bCs/>
                                    <w:i/>
                                    <w:spacing w:val="49"/>
                                  </w:rPr>
                                  <w:t xml:space="preserve"> </w:t>
                                </w:r>
                                <w:r>
                                  <w:rPr>
                                    <w:rFonts w:ascii="Arial" w:eastAsia="Arial" w:hAnsi="Arial" w:cs="Arial"/>
                                    <w:b/>
                                    <w:bCs/>
                                    <w:i/>
                                    <w:spacing w:val="-1"/>
                                  </w:rPr>
                                  <w:t>Off</w:t>
                                </w:r>
                                <w:r>
                                  <w:rPr>
                                    <w:rFonts w:ascii="Arial" w:eastAsia="Arial" w:hAnsi="Arial" w:cs="Arial"/>
                                    <w:b/>
                                    <w:bCs/>
                                    <w:i/>
                                    <w:spacing w:val="2"/>
                                  </w:rPr>
                                  <w:t xml:space="preserve"> </w:t>
                                </w:r>
                                <w:r>
                                  <w:rPr>
                                    <w:rFonts w:ascii="Arial" w:eastAsia="Arial" w:hAnsi="Arial" w:cs="Arial"/>
                                    <w:b/>
                                    <w:bCs/>
                                    <w:i/>
                                    <w:spacing w:val="-1"/>
                                  </w:rPr>
                                  <w:t>Schedule</w:t>
                                </w:r>
                                <w:r>
                                  <w:rPr>
                                    <w:rFonts w:ascii="Arial" w:eastAsia="Arial" w:hAnsi="Arial" w:cs="Arial"/>
                                    <w:b/>
                                    <w:bCs/>
                                    <w:i/>
                                    <w:spacing w:val="-2"/>
                                  </w:rPr>
                                  <w:t xml:space="preserve"> </w:t>
                                </w:r>
                                <w:r>
                                  <w:rPr>
                                    <w:rFonts w:ascii="Arial" w:eastAsia="Arial" w:hAnsi="Arial" w:cs="Arial"/>
                                    <w:b/>
                                    <w:bCs/>
                                    <w:i/>
                                  </w:rPr>
                                  <w:t xml:space="preserve">to </w:t>
                                </w:r>
                                <w:r>
                                  <w:rPr>
                                    <w:rFonts w:ascii="Arial" w:eastAsia="Arial" w:hAnsi="Arial" w:cs="Arial"/>
                                    <w:b/>
                                    <w:bCs/>
                                    <w:i/>
                                    <w:spacing w:val="-2"/>
                                  </w:rPr>
                                  <w:t>“Not</w:t>
                                </w:r>
                                <w:r>
                                  <w:rPr>
                                    <w:rFonts w:ascii="Arial" w:eastAsia="Arial" w:hAnsi="Arial" w:cs="Arial"/>
                                    <w:b/>
                                    <w:bCs/>
                                    <w:i/>
                                    <w:spacing w:val="2"/>
                                  </w:rPr>
                                  <w:t xml:space="preserve"> </w:t>
                                </w:r>
                                <w:r>
                                  <w:rPr>
                                    <w:rFonts w:ascii="Arial" w:eastAsia="Arial" w:hAnsi="Arial" w:cs="Arial"/>
                                    <w:b/>
                                    <w:bCs/>
                                    <w:i/>
                                    <w:spacing w:val="-2"/>
                                  </w:rPr>
                                  <w:t>Used”</w:t>
                                </w:r>
                                <w:r>
                                  <w:rPr>
                                    <w:rFonts w:ascii="Arial" w:eastAsia="Arial" w:hAnsi="Arial" w:cs="Arial"/>
                                    <w:b/>
                                    <w:bCs/>
                                    <w:i/>
                                    <w:spacing w:val="1"/>
                                  </w:rPr>
                                  <w:t xml:space="preserve"> </w:t>
                                </w:r>
                                <w:r>
                                  <w:rPr>
                                    <w:rFonts w:ascii="Arial" w:eastAsia="Arial" w:hAnsi="Arial" w:cs="Arial"/>
                                    <w:b/>
                                    <w:bCs/>
                                    <w:i/>
                                    <w:spacing w:val="-1"/>
                                  </w:rPr>
                                  <w:t>if</w:t>
                                </w:r>
                                <w:r>
                                  <w:rPr>
                                    <w:rFonts w:ascii="Arial" w:eastAsia="Arial" w:hAnsi="Arial" w:cs="Arial"/>
                                    <w:b/>
                                    <w:bCs/>
                                    <w:i/>
                                    <w:spacing w:val="2"/>
                                  </w:rPr>
                                  <w:t xml:space="preserve"> </w:t>
                                </w:r>
                                <w:r>
                                  <w:rPr>
                                    <w:rFonts w:ascii="Arial" w:eastAsia="Arial" w:hAnsi="Arial" w:cs="Arial"/>
                                    <w:b/>
                                    <w:bCs/>
                                    <w:i/>
                                    <w:spacing w:val="-2"/>
                                  </w:rPr>
                                  <w:t>not</w:t>
                                </w:r>
                                <w:r>
                                  <w:rPr>
                                    <w:rFonts w:ascii="Arial" w:eastAsia="Arial" w:hAnsi="Arial" w:cs="Arial"/>
                                    <w:b/>
                                    <w:bCs/>
                                    <w:i/>
                                    <w:spacing w:val="-1"/>
                                  </w:rPr>
                                  <w:t xml:space="preserve"> required.]</w:t>
                                </w:r>
                              </w:p>
                            </w:txbxContent>
                          </wps:txbx>
                          <wps:bodyPr rot="0" vert="horz" wrap="square" lIns="0" tIns="0" rIns="0" bIns="0" anchor="t" anchorCtr="0" upright="1">
                            <a:noAutofit/>
                          </wps:bodyPr>
                        </wps:wsp>
                      </wpg:grpSp>
                    </wpg:wgp>
                  </a:graphicData>
                </a:graphic>
              </wp:inline>
            </w:drawing>
          </mc:Choice>
          <mc:Fallback>
            <w:pict>
              <v:group w14:anchorId="5AF3216B" id="Group 1992" o:spid="_x0000_s1325" style="width:424.3pt;height:25.35pt;mso-position-horizontal-relative:char;mso-position-vertical-relative:line" coordsize="848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">
                <v:group id="Group 1996" o:spid="_x0000_s1326" style="position:absolute;width:8484;height:255"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1997" o:spid="_x0000_s1327" style="position:absolute;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FOMUA&#10;AADdAAAADwAAAGRycy9kb3ducmV2LnhtbESP0WoCMRRE3wv9h3ALvmnWhRa7GqUUWgRF6bYfcNlc&#10;N1s3N2mS6vbvjSD0cZiZM8xiNdhenCjEzrGC6aQAQdw43XGr4OvzbTwDEROyxt4xKfijCKvl/d0C&#10;K+3O/EGnOrUiQzhWqMCk5CspY2PIYpw4T5y9gwsWU5ahlTrgOcNtL8uieJIWO84LBj29GmqO9a9V&#10;sJvuv33Z/xw32/X7Y3je1nvja6VGD8PLHESiIf2Hb+21VpCJJVzf5Cc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0U4xQAAAN0AAAAPAAAAAAAAAAAAAAAAAJgCAABkcnMv&#10;ZG93bnJldi54bWxQSwUGAAAAAAQABAD1AAAAigMAAAAA&#10;" path="m,254r8484,l8484,,,,,254xe" fillcolor="lime" stroked="f">
                    <v:path arrowok="t" o:connecttype="custom" o:connectlocs="0,254;8484,254;8484,0;0,0;0,254" o:connectangles="0,0,0,0,0"/>
                  </v:shape>
                </v:group>
                <v:group id="Group 1993" o:spid="_x0000_s1328" style="position:absolute;top:254;width:4548;height:252" coordorigin=",254" coordsize="454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1995" o:spid="_x0000_s1329" style="position:absolute;top:254;width:4548;height:252;visibility:visible;mso-wrap-style:square;v-text-anchor:top" coordsize="454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cacQA&#10;AADdAAAADwAAAGRycy9kb3ducmV2LnhtbESPzarCMBSE94LvEI7gRjRVpEg1igiCuPHn3o27Y3Ns&#10;i81J20Stb2+EC3c5zMw3zGLVmlI8qXGFZQXjUQSCOLW64EzB7892OAPhPLLG0jIpeJOD1bLbWWCi&#10;7YtP9Dz7TAQIuwQV5N5XiZQuzcmgG9mKOHg32xj0QTaZ1A2+AtyUchJFsTRYcFjIsaJNTun9/DAK&#10;dL0ZZOvL6ViPZ1ecHPZxXLu9Uv1eu56D8NT6//Bfe6cVBOIUvm/C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nGnEAAAA3QAAAA8AAAAAAAAAAAAAAAAAmAIAAGRycy9k&#10;b3ducmV2LnhtbFBLBQYAAAAABAAEAPUAAACJAwAAAAA=&#10;" path="m,252r4548,l4548,,,,,252xe" fillcolor="lime" stroked="f">
                    <v:path arrowok="t" o:connecttype="custom" o:connectlocs="0,506;4548,506;4548,254;0,254;0,506" o:connectangles="0,0,0,0,0"/>
                  </v:shape>
                  <v:shape id="Text Box 1994" o:spid="_x0000_s1330" type="#_x0000_t202" style="position:absolute;width:848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cUA&#10;AADdAAAADwAAAGRycy9kb3ducmV2LnhtbESPQWvCQBSE70L/w/IKvZlNhYq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b8xxQAAAN0AAAAPAAAAAAAAAAAAAAAAAJgCAABkcnMv&#10;ZG93bnJldi54bWxQSwUGAAAAAAQABAD1AAAAigMAAAAA&#10;" filled="f" stroked="f">
                    <v:textbox inset="0,0,0,0">
                      <w:txbxContent>
                        <w:p w:rsidR="005D2B81" w:rsidRDefault="005D2B81" w:rsidP="008918FA">
                          <w:pPr>
                            <w:spacing w:line="241" w:lineRule="auto"/>
                            <w:rPr>
                              <w:rFonts w:ascii="Arial" w:eastAsia="Arial" w:hAnsi="Arial" w:cs="Arial"/>
                            </w:rPr>
                          </w:pPr>
                          <w:r>
                            <w:rPr>
                              <w:rFonts w:ascii="Arial" w:eastAsia="Arial" w:hAnsi="Arial" w:cs="Arial"/>
                              <w:b/>
                              <w:bCs/>
                              <w:i/>
                              <w:spacing w:val="-1"/>
                            </w:rPr>
                            <w:t>[Guidance</w:t>
                          </w:r>
                          <w:r>
                            <w:rPr>
                              <w:rFonts w:ascii="Arial" w:eastAsia="Arial" w:hAnsi="Arial" w:cs="Arial"/>
                              <w:b/>
                              <w:bCs/>
                              <w:i/>
                              <w:spacing w:val="17"/>
                            </w:rPr>
                            <w:t xml:space="preserve"> </w:t>
                          </w:r>
                          <w:r>
                            <w:rPr>
                              <w:rFonts w:ascii="Arial" w:eastAsia="Arial" w:hAnsi="Arial" w:cs="Arial"/>
                              <w:b/>
                              <w:bCs/>
                              <w:i/>
                              <w:spacing w:val="-1"/>
                            </w:rPr>
                            <w:t>Note:</w:t>
                          </w:r>
                          <w:r>
                            <w:rPr>
                              <w:rFonts w:ascii="Arial" w:eastAsia="Arial" w:hAnsi="Arial" w:cs="Arial"/>
                              <w:b/>
                              <w:bCs/>
                              <w:i/>
                              <w:spacing w:val="19"/>
                            </w:rPr>
                            <w:t xml:space="preserve"> </w:t>
                          </w:r>
                          <w:r>
                            <w:rPr>
                              <w:rFonts w:ascii="Arial" w:eastAsia="Arial" w:hAnsi="Arial" w:cs="Arial"/>
                              <w:b/>
                              <w:bCs/>
                              <w:i/>
                              <w:spacing w:val="-1"/>
                            </w:rPr>
                            <w:t>See</w:t>
                          </w:r>
                          <w:r>
                            <w:rPr>
                              <w:rFonts w:ascii="Arial" w:eastAsia="Arial" w:hAnsi="Arial" w:cs="Arial"/>
                              <w:b/>
                              <w:bCs/>
                              <w:i/>
                              <w:spacing w:val="17"/>
                            </w:rPr>
                            <w:t xml:space="preserve"> </w:t>
                          </w:r>
                          <w:r>
                            <w:rPr>
                              <w:rFonts w:ascii="Arial" w:eastAsia="Arial" w:hAnsi="Arial" w:cs="Arial"/>
                              <w:b/>
                              <w:bCs/>
                              <w:i/>
                              <w:spacing w:val="-1"/>
                            </w:rPr>
                            <w:t>Clause</w:t>
                          </w:r>
                          <w:r>
                            <w:rPr>
                              <w:rFonts w:ascii="Arial" w:eastAsia="Arial" w:hAnsi="Arial" w:cs="Arial"/>
                              <w:b/>
                              <w:bCs/>
                              <w:i/>
                              <w:spacing w:val="17"/>
                            </w:rPr>
                            <w:t xml:space="preserve"> </w:t>
                          </w:r>
                          <w:hyperlink w:anchor="_bookmark102" w:history="1">
                            <w:r>
                              <w:rPr>
                                <w:rFonts w:ascii="Arial" w:eastAsia="Arial" w:hAnsi="Arial" w:cs="Arial"/>
                                <w:b/>
                                <w:bCs/>
                                <w:i/>
                                <w:spacing w:val="-1"/>
                              </w:rPr>
                              <w:t>15</w:t>
                            </w:r>
                          </w:hyperlink>
                          <w:r>
                            <w:rPr>
                              <w:rFonts w:ascii="Arial" w:eastAsia="Arial" w:hAnsi="Arial" w:cs="Arial"/>
                              <w:b/>
                              <w:bCs/>
                              <w:i/>
                              <w:spacing w:val="17"/>
                            </w:rPr>
                            <w:t xml:space="preserve"> </w:t>
                          </w:r>
                          <w:r>
                            <w:rPr>
                              <w:rFonts w:ascii="Arial" w:eastAsia="Arial" w:hAnsi="Arial" w:cs="Arial"/>
                              <w:b/>
                              <w:bCs/>
                              <w:i/>
                              <w:spacing w:val="-1"/>
                            </w:rPr>
                            <w:t>of</w:t>
                          </w:r>
                          <w:r>
                            <w:rPr>
                              <w:rFonts w:ascii="Arial" w:eastAsia="Arial" w:hAnsi="Arial" w:cs="Arial"/>
                              <w:b/>
                              <w:bCs/>
                              <w:i/>
                              <w:spacing w:val="19"/>
                            </w:rPr>
                            <w:t xml:space="preserve"> </w:t>
                          </w:r>
                          <w:r>
                            <w:rPr>
                              <w:rFonts w:ascii="Arial" w:eastAsia="Arial" w:hAnsi="Arial" w:cs="Arial"/>
                              <w:b/>
                              <w:bCs/>
                              <w:i/>
                              <w:spacing w:val="-1"/>
                            </w:rPr>
                            <w:t>the</w:t>
                          </w:r>
                          <w:r>
                            <w:rPr>
                              <w:rFonts w:ascii="Arial" w:eastAsia="Arial" w:hAnsi="Arial" w:cs="Arial"/>
                              <w:b/>
                              <w:bCs/>
                              <w:i/>
                              <w:spacing w:val="17"/>
                            </w:rPr>
                            <w:t xml:space="preserve"> </w:t>
                          </w:r>
                          <w:r>
                            <w:rPr>
                              <w:rFonts w:ascii="Arial" w:eastAsia="Arial" w:hAnsi="Arial" w:cs="Arial"/>
                              <w:b/>
                              <w:bCs/>
                              <w:i/>
                              <w:spacing w:val="-1"/>
                            </w:rPr>
                            <w:t>Template</w:t>
                          </w:r>
                          <w:r>
                            <w:rPr>
                              <w:rFonts w:ascii="Arial" w:eastAsia="Arial" w:hAnsi="Arial" w:cs="Arial"/>
                              <w:b/>
                              <w:bCs/>
                              <w:i/>
                              <w:spacing w:val="17"/>
                            </w:rPr>
                            <w:t xml:space="preserve"> </w:t>
                          </w:r>
                          <w:r>
                            <w:rPr>
                              <w:rFonts w:ascii="Arial" w:eastAsia="Arial" w:hAnsi="Arial" w:cs="Arial"/>
                              <w:b/>
                              <w:bCs/>
                              <w:i/>
                              <w:spacing w:val="-1"/>
                            </w:rPr>
                            <w:t>Call</w:t>
                          </w:r>
                          <w:r>
                            <w:rPr>
                              <w:rFonts w:ascii="Arial" w:eastAsia="Arial" w:hAnsi="Arial" w:cs="Arial"/>
                              <w:b/>
                              <w:bCs/>
                              <w:i/>
                              <w:spacing w:val="16"/>
                            </w:rPr>
                            <w:t xml:space="preserve"> </w:t>
                          </w:r>
                          <w:r>
                            <w:rPr>
                              <w:rFonts w:ascii="Arial" w:eastAsia="Arial" w:hAnsi="Arial" w:cs="Arial"/>
                              <w:b/>
                              <w:bCs/>
                              <w:i/>
                            </w:rPr>
                            <w:t>Off</w:t>
                          </w:r>
                          <w:r>
                            <w:rPr>
                              <w:rFonts w:ascii="Arial" w:eastAsia="Arial" w:hAnsi="Arial" w:cs="Arial"/>
                              <w:b/>
                              <w:bCs/>
                              <w:i/>
                              <w:spacing w:val="19"/>
                            </w:rPr>
                            <w:t xml:space="preserve"> </w:t>
                          </w:r>
                          <w:r>
                            <w:rPr>
                              <w:rFonts w:ascii="Arial" w:eastAsia="Arial" w:hAnsi="Arial" w:cs="Arial"/>
                              <w:b/>
                              <w:bCs/>
                              <w:i/>
                              <w:spacing w:val="-2"/>
                            </w:rPr>
                            <w:t>Terms.</w:t>
                          </w:r>
                          <w:r>
                            <w:rPr>
                              <w:rFonts w:ascii="Arial" w:eastAsia="Arial" w:hAnsi="Arial" w:cs="Arial"/>
                              <w:b/>
                              <w:bCs/>
                              <w:i/>
                              <w:spacing w:val="19"/>
                            </w:rPr>
                            <w:t xml:space="preserve"> </w:t>
                          </w:r>
                          <w:r>
                            <w:rPr>
                              <w:rFonts w:ascii="Arial" w:eastAsia="Arial" w:hAnsi="Arial" w:cs="Arial"/>
                              <w:b/>
                              <w:bCs/>
                              <w:i/>
                              <w:spacing w:val="-1"/>
                            </w:rPr>
                            <w:t>Switch</w:t>
                          </w:r>
                          <w:r>
                            <w:rPr>
                              <w:rFonts w:ascii="Arial" w:eastAsia="Arial" w:hAnsi="Arial" w:cs="Arial"/>
                              <w:b/>
                              <w:bCs/>
                              <w:i/>
                              <w:spacing w:val="17"/>
                            </w:rPr>
                            <w:t xml:space="preserve"> </w:t>
                          </w:r>
                          <w:r>
                            <w:rPr>
                              <w:rFonts w:ascii="Arial" w:eastAsia="Arial" w:hAnsi="Arial" w:cs="Arial"/>
                              <w:b/>
                              <w:bCs/>
                              <w:i/>
                            </w:rPr>
                            <w:t>this</w:t>
                          </w:r>
                          <w:r>
                            <w:rPr>
                              <w:rFonts w:ascii="Arial" w:eastAsia="Arial" w:hAnsi="Arial" w:cs="Arial"/>
                              <w:b/>
                              <w:bCs/>
                              <w:i/>
                              <w:spacing w:val="17"/>
                            </w:rPr>
                            <w:t xml:space="preserve"> </w:t>
                          </w:r>
                          <w:r>
                            <w:rPr>
                              <w:rFonts w:ascii="Arial" w:eastAsia="Arial" w:hAnsi="Arial" w:cs="Arial"/>
                              <w:b/>
                              <w:bCs/>
                              <w:i/>
                              <w:spacing w:val="-1"/>
                            </w:rPr>
                            <w:t>Call</w:t>
                          </w:r>
                          <w:r>
                            <w:rPr>
                              <w:rFonts w:ascii="Arial" w:eastAsia="Arial" w:hAnsi="Arial" w:cs="Arial"/>
                              <w:b/>
                              <w:bCs/>
                              <w:i/>
                              <w:spacing w:val="49"/>
                            </w:rPr>
                            <w:t xml:space="preserve"> </w:t>
                          </w:r>
                          <w:r>
                            <w:rPr>
                              <w:rFonts w:ascii="Arial" w:eastAsia="Arial" w:hAnsi="Arial" w:cs="Arial"/>
                              <w:b/>
                              <w:bCs/>
                              <w:i/>
                              <w:spacing w:val="-1"/>
                            </w:rPr>
                            <w:t>Off</w:t>
                          </w:r>
                          <w:r>
                            <w:rPr>
                              <w:rFonts w:ascii="Arial" w:eastAsia="Arial" w:hAnsi="Arial" w:cs="Arial"/>
                              <w:b/>
                              <w:bCs/>
                              <w:i/>
                              <w:spacing w:val="2"/>
                            </w:rPr>
                            <w:t xml:space="preserve"> </w:t>
                          </w:r>
                          <w:r>
                            <w:rPr>
                              <w:rFonts w:ascii="Arial" w:eastAsia="Arial" w:hAnsi="Arial" w:cs="Arial"/>
                              <w:b/>
                              <w:bCs/>
                              <w:i/>
                              <w:spacing w:val="-1"/>
                            </w:rPr>
                            <w:t>Schedule</w:t>
                          </w:r>
                          <w:r>
                            <w:rPr>
                              <w:rFonts w:ascii="Arial" w:eastAsia="Arial" w:hAnsi="Arial" w:cs="Arial"/>
                              <w:b/>
                              <w:bCs/>
                              <w:i/>
                              <w:spacing w:val="-2"/>
                            </w:rPr>
                            <w:t xml:space="preserve"> </w:t>
                          </w:r>
                          <w:r>
                            <w:rPr>
                              <w:rFonts w:ascii="Arial" w:eastAsia="Arial" w:hAnsi="Arial" w:cs="Arial"/>
                              <w:b/>
                              <w:bCs/>
                              <w:i/>
                            </w:rPr>
                            <w:t xml:space="preserve">to </w:t>
                          </w:r>
                          <w:r>
                            <w:rPr>
                              <w:rFonts w:ascii="Arial" w:eastAsia="Arial" w:hAnsi="Arial" w:cs="Arial"/>
                              <w:b/>
                              <w:bCs/>
                              <w:i/>
                              <w:spacing w:val="-2"/>
                            </w:rPr>
                            <w:t>“Not</w:t>
                          </w:r>
                          <w:r>
                            <w:rPr>
                              <w:rFonts w:ascii="Arial" w:eastAsia="Arial" w:hAnsi="Arial" w:cs="Arial"/>
                              <w:b/>
                              <w:bCs/>
                              <w:i/>
                              <w:spacing w:val="2"/>
                            </w:rPr>
                            <w:t xml:space="preserve"> </w:t>
                          </w:r>
                          <w:r>
                            <w:rPr>
                              <w:rFonts w:ascii="Arial" w:eastAsia="Arial" w:hAnsi="Arial" w:cs="Arial"/>
                              <w:b/>
                              <w:bCs/>
                              <w:i/>
                              <w:spacing w:val="-2"/>
                            </w:rPr>
                            <w:t>Used”</w:t>
                          </w:r>
                          <w:r>
                            <w:rPr>
                              <w:rFonts w:ascii="Arial" w:eastAsia="Arial" w:hAnsi="Arial" w:cs="Arial"/>
                              <w:b/>
                              <w:bCs/>
                              <w:i/>
                              <w:spacing w:val="1"/>
                            </w:rPr>
                            <w:t xml:space="preserve"> </w:t>
                          </w:r>
                          <w:r>
                            <w:rPr>
                              <w:rFonts w:ascii="Arial" w:eastAsia="Arial" w:hAnsi="Arial" w:cs="Arial"/>
                              <w:b/>
                              <w:bCs/>
                              <w:i/>
                              <w:spacing w:val="-1"/>
                            </w:rPr>
                            <w:t>if</w:t>
                          </w:r>
                          <w:r>
                            <w:rPr>
                              <w:rFonts w:ascii="Arial" w:eastAsia="Arial" w:hAnsi="Arial" w:cs="Arial"/>
                              <w:b/>
                              <w:bCs/>
                              <w:i/>
                              <w:spacing w:val="2"/>
                            </w:rPr>
                            <w:t xml:space="preserve"> </w:t>
                          </w:r>
                          <w:r>
                            <w:rPr>
                              <w:rFonts w:ascii="Arial" w:eastAsia="Arial" w:hAnsi="Arial" w:cs="Arial"/>
                              <w:b/>
                              <w:bCs/>
                              <w:i/>
                              <w:spacing w:val="-2"/>
                            </w:rPr>
                            <w:t>not</w:t>
                          </w:r>
                          <w:r>
                            <w:rPr>
                              <w:rFonts w:ascii="Arial" w:eastAsia="Arial" w:hAnsi="Arial" w:cs="Arial"/>
                              <w:b/>
                              <w:bCs/>
                              <w:i/>
                              <w:spacing w:val="-1"/>
                            </w:rPr>
                            <w:t xml:space="preserve"> required.]</w:t>
                          </w:r>
                        </w:p>
                      </w:txbxContent>
                    </v:textbox>
                  </v:shape>
                </v:group>
                <w10:anchorlock/>
              </v:group>
            </w:pict>
          </mc:Fallback>
        </mc:AlternateContent>
      </w:r>
    </w:p>
    <w:p w:rsidR="008918FA" w:rsidRDefault="008918FA" w:rsidP="008918FA">
      <w:pPr>
        <w:pStyle w:val="Heading1"/>
        <w:spacing w:before="115"/>
        <w:ind w:left="100" w:firstLine="0"/>
        <w:rPr>
          <w:b w:val="0"/>
          <w:bCs w:val="0"/>
        </w:rPr>
      </w:pPr>
      <w:r>
        <w:rPr>
          <w:highlight w:val="yellow"/>
        </w:rPr>
        <w:t>[OPTION</w:t>
      </w:r>
      <w:r>
        <w:rPr>
          <w:spacing w:val="-4"/>
          <w:highlight w:val="yellow"/>
        </w:rPr>
        <w:t xml:space="preserve"> </w:t>
      </w:r>
      <w:r>
        <w:rPr>
          <w:spacing w:val="-1"/>
          <w:highlight w:val="yellow"/>
        </w:rPr>
        <w:t>1]</w:t>
      </w:r>
    </w:p>
    <w:p w:rsidR="008918FA" w:rsidRDefault="008918FA" w:rsidP="008918FA">
      <w:pPr>
        <w:spacing w:before="10"/>
        <w:rPr>
          <w:rFonts w:ascii="Arial" w:eastAsia="Arial" w:hAnsi="Arial" w:cs="Arial"/>
          <w:b/>
          <w:bCs/>
          <w:sz w:val="14"/>
          <w:szCs w:val="14"/>
        </w:rPr>
      </w:pPr>
    </w:p>
    <w:p w:rsidR="008918FA" w:rsidRDefault="008918FA" w:rsidP="008918FA">
      <w:pPr>
        <w:pStyle w:val="Heading2"/>
        <w:ind w:left="666"/>
        <w:rPr>
          <w:b w:val="0"/>
          <w:bCs w:val="0"/>
          <w:i w:val="0"/>
        </w:rPr>
      </w:pPr>
      <w:r>
        <w:rPr>
          <w:spacing w:val="-1"/>
          <w:highlight w:val="green"/>
        </w:rPr>
        <w:t>[Guidance</w:t>
      </w:r>
      <w:r>
        <w:rPr>
          <w:spacing w:val="1"/>
          <w:highlight w:val="green"/>
        </w:rPr>
        <w:t xml:space="preserve"> </w:t>
      </w:r>
      <w:r>
        <w:rPr>
          <w:spacing w:val="-2"/>
          <w:highlight w:val="green"/>
        </w:rPr>
        <w:t>Note:</w:t>
      </w:r>
      <w:r>
        <w:rPr>
          <w:highlight w:val="green"/>
        </w:rPr>
        <w:t xml:space="preserve"> </w:t>
      </w:r>
      <w:r>
        <w:rPr>
          <w:spacing w:val="-1"/>
          <w:highlight w:val="green"/>
        </w:rPr>
        <w:t>This</w:t>
      </w:r>
      <w:r>
        <w:rPr>
          <w:spacing w:val="-2"/>
          <w:highlight w:val="green"/>
        </w:rPr>
        <w:t xml:space="preserve"> </w:t>
      </w:r>
      <w:r>
        <w:rPr>
          <w:spacing w:val="-1"/>
          <w:highlight w:val="green"/>
        </w:rPr>
        <w:t>option</w:t>
      </w:r>
      <w:r>
        <w:rPr>
          <w:spacing w:val="-2"/>
          <w:highlight w:val="green"/>
        </w:rPr>
        <w:t xml:space="preserve"> </w:t>
      </w:r>
      <w:r>
        <w:rPr>
          <w:highlight w:val="green"/>
        </w:rPr>
        <w:t>is</w:t>
      </w:r>
      <w:r>
        <w:rPr>
          <w:spacing w:val="-2"/>
          <w:highlight w:val="green"/>
        </w:rPr>
        <w:t xml:space="preserve"> </w:t>
      </w:r>
      <w:r>
        <w:rPr>
          <w:spacing w:val="-1"/>
          <w:highlight w:val="green"/>
        </w:rPr>
        <w:t>used</w:t>
      </w:r>
      <w:r>
        <w:rPr>
          <w:spacing w:val="1"/>
          <w:highlight w:val="green"/>
        </w:rPr>
        <w:t xml:space="preserve"> </w:t>
      </w:r>
      <w:r>
        <w:rPr>
          <w:spacing w:val="-1"/>
          <w:highlight w:val="green"/>
        </w:rPr>
        <w:t>only</w:t>
      </w:r>
      <w:r>
        <w:rPr>
          <w:spacing w:val="-2"/>
          <w:highlight w:val="green"/>
        </w:rPr>
        <w:t xml:space="preserve"> </w:t>
      </w:r>
      <w:r>
        <w:rPr>
          <w:spacing w:val="-1"/>
          <w:highlight w:val="green"/>
        </w:rPr>
        <w:t>where</w:t>
      </w:r>
      <w:r>
        <w:rPr>
          <w:highlight w:val="green"/>
        </w:rPr>
        <w:t xml:space="preserve"> </w:t>
      </w:r>
      <w:r>
        <w:rPr>
          <w:spacing w:val="-1"/>
          <w:highlight w:val="green"/>
        </w:rPr>
        <w:t>the</w:t>
      </w:r>
      <w:r>
        <w:rPr>
          <w:spacing w:val="-2"/>
          <w:highlight w:val="green"/>
        </w:rPr>
        <w:t xml:space="preserve"> </w:t>
      </w:r>
      <w:r>
        <w:rPr>
          <w:spacing w:val="-1"/>
          <w:highlight w:val="green"/>
        </w:rPr>
        <w:t>Customer:</w:t>
      </w:r>
    </w:p>
    <w:p w:rsidR="008918FA" w:rsidRDefault="008918FA" w:rsidP="008918FA">
      <w:pPr>
        <w:spacing w:before="6"/>
        <w:rPr>
          <w:rFonts w:ascii="Arial" w:eastAsia="Arial" w:hAnsi="Arial" w:cs="Arial"/>
          <w:b/>
          <w:bCs/>
          <w:i/>
          <w:sz w:val="10"/>
          <w:szCs w:val="10"/>
        </w:rPr>
      </w:pPr>
    </w:p>
    <w:p w:rsidR="008918FA" w:rsidRDefault="008918FA" w:rsidP="008918FA">
      <w:pPr>
        <w:spacing w:line="200" w:lineRule="atLeast"/>
        <w:ind w:left="2598"/>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49C6C900" wp14:editId="6A19D0AD">
                <wp:extent cx="4162425" cy="490855"/>
                <wp:effectExtent l="0" t="0" r="0" b="4445"/>
                <wp:docPr id="1992"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490855"/>
                          <a:chOff x="0" y="0"/>
                          <a:chExt cx="6555" cy="773"/>
                        </a:xfrm>
                      </wpg:grpSpPr>
                      <wpg:grpSp>
                        <wpg:cNvPr id="1993" name="Group 1990"/>
                        <wpg:cNvGrpSpPr>
                          <a:grpSpLocks/>
                        </wpg:cNvGrpSpPr>
                        <wpg:grpSpPr bwMode="auto">
                          <a:xfrm>
                            <a:off x="0" y="0"/>
                            <a:ext cx="6552" cy="269"/>
                            <a:chOff x="0" y="0"/>
                            <a:chExt cx="6552" cy="269"/>
                          </a:xfrm>
                        </wpg:grpSpPr>
                        <wps:wsp>
                          <wps:cNvPr id="1994" name="Freeform 1991"/>
                          <wps:cNvSpPr>
                            <a:spLocks/>
                          </wps:cNvSpPr>
                          <wps:spPr bwMode="auto">
                            <a:xfrm>
                              <a:off x="0" y="0"/>
                              <a:ext cx="6552" cy="269"/>
                            </a:xfrm>
                            <a:custGeom>
                              <a:avLst/>
                              <a:gdLst>
                                <a:gd name="T0" fmla="*/ 0 w 6552"/>
                                <a:gd name="T1" fmla="*/ 269 h 269"/>
                                <a:gd name="T2" fmla="*/ 6552 w 6552"/>
                                <a:gd name="T3" fmla="*/ 269 h 269"/>
                                <a:gd name="T4" fmla="*/ 6552 w 6552"/>
                                <a:gd name="T5" fmla="*/ 0 h 269"/>
                                <a:gd name="T6" fmla="*/ 0 w 6552"/>
                                <a:gd name="T7" fmla="*/ 0 h 269"/>
                                <a:gd name="T8" fmla="*/ 0 w 6552"/>
                                <a:gd name="T9" fmla="*/ 269 h 269"/>
                              </a:gdLst>
                              <a:ahLst/>
                              <a:cxnLst>
                                <a:cxn ang="0">
                                  <a:pos x="T0" y="T1"/>
                                </a:cxn>
                                <a:cxn ang="0">
                                  <a:pos x="T2" y="T3"/>
                                </a:cxn>
                                <a:cxn ang="0">
                                  <a:pos x="T4" y="T5"/>
                                </a:cxn>
                                <a:cxn ang="0">
                                  <a:pos x="T6" y="T7"/>
                                </a:cxn>
                                <a:cxn ang="0">
                                  <a:pos x="T8" y="T9"/>
                                </a:cxn>
                              </a:cxnLst>
                              <a:rect l="0" t="0" r="r" b="b"/>
                              <a:pathLst>
                                <a:path w="6552" h="269">
                                  <a:moveTo>
                                    <a:pt x="0" y="269"/>
                                  </a:moveTo>
                                  <a:lnTo>
                                    <a:pt x="6552" y="269"/>
                                  </a:lnTo>
                                  <a:lnTo>
                                    <a:pt x="6552" y="0"/>
                                  </a:lnTo>
                                  <a:lnTo>
                                    <a:pt x="0" y="0"/>
                                  </a:lnTo>
                                  <a:lnTo>
                                    <a:pt x="0" y="26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5" name="Group 1988"/>
                        <wpg:cNvGrpSpPr>
                          <a:grpSpLocks/>
                        </wpg:cNvGrpSpPr>
                        <wpg:grpSpPr bwMode="auto">
                          <a:xfrm>
                            <a:off x="360" y="269"/>
                            <a:ext cx="6192" cy="252"/>
                            <a:chOff x="360" y="269"/>
                            <a:chExt cx="6192" cy="252"/>
                          </a:xfrm>
                        </wpg:grpSpPr>
                        <wps:wsp>
                          <wps:cNvPr id="1996" name="Freeform 1989"/>
                          <wps:cNvSpPr>
                            <a:spLocks/>
                          </wps:cNvSpPr>
                          <wps:spPr bwMode="auto">
                            <a:xfrm>
                              <a:off x="360" y="269"/>
                              <a:ext cx="6192" cy="252"/>
                            </a:xfrm>
                            <a:custGeom>
                              <a:avLst/>
                              <a:gdLst>
                                <a:gd name="T0" fmla="+- 0 360 360"/>
                                <a:gd name="T1" fmla="*/ T0 w 6192"/>
                                <a:gd name="T2" fmla="+- 0 521 269"/>
                                <a:gd name="T3" fmla="*/ 521 h 252"/>
                                <a:gd name="T4" fmla="+- 0 6552 360"/>
                                <a:gd name="T5" fmla="*/ T4 w 6192"/>
                                <a:gd name="T6" fmla="+- 0 521 269"/>
                                <a:gd name="T7" fmla="*/ 521 h 252"/>
                                <a:gd name="T8" fmla="+- 0 6552 360"/>
                                <a:gd name="T9" fmla="*/ T8 w 6192"/>
                                <a:gd name="T10" fmla="+- 0 269 269"/>
                                <a:gd name="T11" fmla="*/ 269 h 252"/>
                                <a:gd name="T12" fmla="+- 0 360 360"/>
                                <a:gd name="T13" fmla="*/ T12 w 6192"/>
                                <a:gd name="T14" fmla="+- 0 269 269"/>
                                <a:gd name="T15" fmla="*/ 269 h 252"/>
                                <a:gd name="T16" fmla="+- 0 360 360"/>
                                <a:gd name="T17" fmla="*/ T16 w 6192"/>
                                <a:gd name="T18" fmla="+- 0 521 269"/>
                                <a:gd name="T19" fmla="*/ 521 h 252"/>
                              </a:gdLst>
                              <a:ahLst/>
                              <a:cxnLst>
                                <a:cxn ang="0">
                                  <a:pos x="T1" y="T3"/>
                                </a:cxn>
                                <a:cxn ang="0">
                                  <a:pos x="T5" y="T7"/>
                                </a:cxn>
                                <a:cxn ang="0">
                                  <a:pos x="T9" y="T11"/>
                                </a:cxn>
                                <a:cxn ang="0">
                                  <a:pos x="T13" y="T15"/>
                                </a:cxn>
                                <a:cxn ang="0">
                                  <a:pos x="T17" y="T19"/>
                                </a:cxn>
                              </a:cxnLst>
                              <a:rect l="0" t="0" r="r" b="b"/>
                              <a:pathLst>
                                <a:path w="6192" h="252">
                                  <a:moveTo>
                                    <a:pt x="0" y="252"/>
                                  </a:moveTo>
                                  <a:lnTo>
                                    <a:pt x="6192" y="252"/>
                                  </a:lnTo>
                                  <a:lnTo>
                                    <a:pt x="6192"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985"/>
                        <wpg:cNvGrpSpPr>
                          <a:grpSpLocks/>
                        </wpg:cNvGrpSpPr>
                        <wpg:grpSpPr bwMode="auto">
                          <a:xfrm>
                            <a:off x="360" y="521"/>
                            <a:ext cx="3790" cy="252"/>
                            <a:chOff x="360" y="521"/>
                            <a:chExt cx="3790" cy="252"/>
                          </a:xfrm>
                        </wpg:grpSpPr>
                        <wps:wsp>
                          <wps:cNvPr id="1998" name="Freeform 1987"/>
                          <wps:cNvSpPr>
                            <a:spLocks/>
                          </wps:cNvSpPr>
                          <wps:spPr bwMode="auto">
                            <a:xfrm>
                              <a:off x="360" y="521"/>
                              <a:ext cx="3790" cy="252"/>
                            </a:xfrm>
                            <a:custGeom>
                              <a:avLst/>
                              <a:gdLst>
                                <a:gd name="T0" fmla="+- 0 360 360"/>
                                <a:gd name="T1" fmla="*/ T0 w 3790"/>
                                <a:gd name="T2" fmla="+- 0 773 521"/>
                                <a:gd name="T3" fmla="*/ 773 h 252"/>
                                <a:gd name="T4" fmla="+- 0 4150 360"/>
                                <a:gd name="T5" fmla="*/ T4 w 3790"/>
                                <a:gd name="T6" fmla="+- 0 773 521"/>
                                <a:gd name="T7" fmla="*/ 773 h 252"/>
                                <a:gd name="T8" fmla="+- 0 4150 360"/>
                                <a:gd name="T9" fmla="*/ T8 w 3790"/>
                                <a:gd name="T10" fmla="+- 0 521 521"/>
                                <a:gd name="T11" fmla="*/ 521 h 252"/>
                                <a:gd name="T12" fmla="+- 0 360 360"/>
                                <a:gd name="T13" fmla="*/ T12 w 3790"/>
                                <a:gd name="T14" fmla="+- 0 521 521"/>
                                <a:gd name="T15" fmla="*/ 521 h 252"/>
                                <a:gd name="T16" fmla="+- 0 360 360"/>
                                <a:gd name="T17" fmla="*/ T16 w 3790"/>
                                <a:gd name="T18" fmla="+- 0 773 521"/>
                                <a:gd name="T19" fmla="*/ 773 h 252"/>
                              </a:gdLst>
                              <a:ahLst/>
                              <a:cxnLst>
                                <a:cxn ang="0">
                                  <a:pos x="T1" y="T3"/>
                                </a:cxn>
                                <a:cxn ang="0">
                                  <a:pos x="T5" y="T7"/>
                                </a:cxn>
                                <a:cxn ang="0">
                                  <a:pos x="T9" y="T11"/>
                                </a:cxn>
                                <a:cxn ang="0">
                                  <a:pos x="T13" y="T15"/>
                                </a:cxn>
                                <a:cxn ang="0">
                                  <a:pos x="T17" y="T19"/>
                                </a:cxn>
                              </a:cxnLst>
                              <a:rect l="0" t="0" r="r" b="b"/>
                              <a:pathLst>
                                <a:path w="3790" h="252">
                                  <a:moveTo>
                                    <a:pt x="0" y="252"/>
                                  </a:moveTo>
                                  <a:lnTo>
                                    <a:pt x="3790" y="252"/>
                                  </a:lnTo>
                                  <a:lnTo>
                                    <a:pt x="3790"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Text Box 1986"/>
                          <wps:cNvSpPr txBox="1">
                            <a:spLocks noChangeArrowheads="1"/>
                          </wps:cNvSpPr>
                          <wps:spPr bwMode="auto">
                            <a:xfrm>
                              <a:off x="0" y="0"/>
                              <a:ext cx="655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numPr>
                                    <w:ilvl w:val="0"/>
                                    <w:numId w:val="13"/>
                                  </w:numPr>
                                  <w:tabs>
                                    <w:tab w:val="left" w:pos="361"/>
                                  </w:tabs>
                                  <w:spacing w:line="239" w:lineRule="auto"/>
                                  <w:ind w:hanging="360"/>
                                  <w:jc w:val="both"/>
                                  <w:rPr>
                                    <w:rFonts w:ascii="Arial" w:eastAsia="Arial" w:hAnsi="Arial" w:cs="Arial"/>
                                  </w:rPr>
                                </w:pPr>
                                <w:r>
                                  <w:rPr>
                                    <w:rFonts w:ascii="Arial"/>
                                    <w:b/>
                                    <w:i/>
                                  </w:rPr>
                                  <w:t>is</w:t>
                                </w:r>
                                <w:r>
                                  <w:rPr>
                                    <w:rFonts w:ascii="Arial"/>
                                    <w:b/>
                                    <w:i/>
                                    <w:spacing w:val="21"/>
                                  </w:rPr>
                                  <w:t xml:space="preserve"> </w:t>
                                </w:r>
                                <w:r>
                                  <w:rPr>
                                    <w:rFonts w:ascii="Arial"/>
                                    <w:b/>
                                    <w:i/>
                                    <w:spacing w:val="-1"/>
                                  </w:rPr>
                                  <w:t>following</w:t>
                                </w:r>
                                <w:r>
                                  <w:rPr>
                                    <w:rFonts w:ascii="Arial"/>
                                    <w:b/>
                                    <w:i/>
                                    <w:spacing w:val="21"/>
                                  </w:rPr>
                                  <w:t xml:space="preserve"> </w:t>
                                </w:r>
                                <w:r>
                                  <w:rPr>
                                    <w:rFonts w:ascii="Arial"/>
                                    <w:b/>
                                    <w:i/>
                                  </w:rPr>
                                  <w:t>a</w:t>
                                </w:r>
                                <w:r>
                                  <w:rPr>
                                    <w:rFonts w:ascii="Arial"/>
                                    <w:b/>
                                    <w:i/>
                                    <w:spacing w:val="21"/>
                                  </w:rPr>
                                  <w:t xml:space="preserve"> </w:t>
                                </w:r>
                                <w:r>
                                  <w:rPr>
                                    <w:rFonts w:ascii="Arial"/>
                                    <w:b/>
                                    <w:i/>
                                    <w:spacing w:val="-2"/>
                                  </w:rPr>
                                  <w:t>Further</w:t>
                                </w:r>
                                <w:r>
                                  <w:rPr>
                                    <w:rFonts w:ascii="Arial"/>
                                    <w:b/>
                                    <w:i/>
                                    <w:spacing w:val="22"/>
                                  </w:rPr>
                                  <w:t xml:space="preserve"> </w:t>
                                </w:r>
                                <w:r>
                                  <w:rPr>
                                    <w:rFonts w:ascii="Arial"/>
                                    <w:b/>
                                    <w:i/>
                                    <w:spacing w:val="-1"/>
                                  </w:rPr>
                                  <w:t>Competition</w:t>
                                </w:r>
                                <w:r>
                                  <w:rPr>
                                    <w:rFonts w:ascii="Arial"/>
                                    <w:b/>
                                    <w:i/>
                                    <w:spacing w:val="21"/>
                                  </w:rPr>
                                  <w:t xml:space="preserve"> </w:t>
                                </w:r>
                                <w:r>
                                  <w:rPr>
                                    <w:rFonts w:ascii="Arial"/>
                                    <w:b/>
                                    <w:i/>
                                    <w:spacing w:val="-1"/>
                                  </w:rPr>
                                  <w:t>Procedure</w:t>
                                </w:r>
                                <w:r>
                                  <w:rPr>
                                    <w:rFonts w:ascii="Arial"/>
                                    <w:b/>
                                    <w:i/>
                                    <w:spacing w:val="20"/>
                                  </w:rPr>
                                  <w:t xml:space="preserve"> </w:t>
                                </w:r>
                                <w:r>
                                  <w:rPr>
                                    <w:rFonts w:ascii="Arial"/>
                                    <w:b/>
                                    <w:i/>
                                    <w:spacing w:val="-1"/>
                                  </w:rPr>
                                  <w:t>and</w:t>
                                </w:r>
                                <w:r>
                                  <w:rPr>
                                    <w:rFonts w:ascii="Arial"/>
                                    <w:b/>
                                    <w:i/>
                                    <w:spacing w:val="21"/>
                                  </w:rPr>
                                  <w:t xml:space="preserve"> </w:t>
                                </w:r>
                                <w:r>
                                  <w:rPr>
                                    <w:rFonts w:ascii="Arial"/>
                                    <w:b/>
                                    <w:i/>
                                    <w:spacing w:val="-1"/>
                                  </w:rPr>
                                  <w:t>has</w:t>
                                </w:r>
                                <w:r>
                                  <w:rPr>
                                    <w:rFonts w:ascii="Arial"/>
                                    <w:b/>
                                    <w:i/>
                                    <w:spacing w:val="34"/>
                                  </w:rPr>
                                  <w:t xml:space="preserve"> </w:t>
                                </w:r>
                                <w:r>
                                  <w:rPr>
                                    <w:rFonts w:ascii="Arial"/>
                                    <w:b/>
                                    <w:i/>
                                    <w:spacing w:val="-1"/>
                                  </w:rPr>
                                  <w:t>specified</w:t>
                                </w:r>
                                <w:r>
                                  <w:rPr>
                                    <w:rFonts w:ascii="Arial"/>
                                    <w:b/>
                                    <w:i/>
                                    <w:spacing w:val="55"/>
                                  </w:rPr>
                                  <w:t xml:space="preserve"> </w:t>
                                </w:r>
                                <w:r>
                                  <w:rPr>
                                    <w:rFonts w:ascii="Arial"/>
                                    <w:b/>
                                    <w:i/>
                                    <w:spacing w:val="-1"/>
                                  </w:rPr>
                                  <w:t>its</w:t>
                                </w:r>
                                <w:r>
                                  <w:rPr>
                                    <w:rFonts w:ascii="Arial"/>
                                    <w:b/>
                                    <w:i/>
                                    <w:spacing w:val="55"/>
                                  </w:rPr>
                                  <w:t xml:space="preserve"> </w:t>
                                </w:r>
                                <w:r>
                                  <w:rPr>
                                    <w:rFonts w:ascii="Arial"/>
                                    <w:b/>
                                    <w:i/>
                                    <w:spacing w:val="-2"/>
                                  </w:rPr>
                                  <w:t>BCRD</w:t>
                                </w:r>
                                <w:r>
                                  <w:rPr>
                                    <w:rFonts w:ascii="Arial"/>
                                    <w:b/>
                                    <w:i/>
                                    <w:spacing w:val="55"/>
                                  </w:rPr>
                                  <w:t xml:space="preserve"> </w:t>
                                </w:r>
                                <w:r>
                                  <w:rPr>
                                    <w:rFonts w:ascii="Arial"/>
                                    <w:b/>
                                    <w:i/>
                                    <w:spacing w:val="-1"/>
                                  </w:rPr>
                                  <w:t>requirements</w:t>
                                </w:r>
                                <w:r>
                                  <w:rPr>
                                    <w:rFonts w:ascii="Arial"/>
                                    <w:b/>
                                    <w:i/>
                                    <w:spacing w:val="53"/>
                                  </w:rPr>
                                  <w:t xml:space="preserve"> </w:t>
                                </w:r>
                                <w:r>
                                  <w:rPr>
                                    <w:rFonts w:ascii="Arial"/>
                                    <w:b/>
                                    <w:i/>
                                    <w:spacing w:val="-1"/>
                                  </w:rPr>
                                  <w:t>from</w:t>
                                </w:r>
                                <w:r>
                                  <w:rPr>
                                    <w:rFonts w:ascii="Arial"/>
                                    <w:b/>
                                    <w:i/>
                                    <w:spacing w:val="54"/>
                                  </w:rPr>
                                  <w:t xml:space="preserve"> </w:t>
                                </w:r>
                                <w:r>
                                  <w:rPr>
                                    <w:rFonts w:ascii="Arial"/>
                                    <w:b/>
                                    <w:i/>
                                    <w:spacing w:val="-1"/>
                                  </w:rPr>
                                  <w:t>the</w:t>
                                </w:r>
                                <w:r>
                                  <w:rPr>
                                    <w:rFonts w:ascii="Arial"/>
                                    <w:b/>
                                    <w:i/>
                                    <w:spacing w:val="53"/>
                                  </w:rPr>
                                  <w:t xml:space="preserve"> </w:t>
                                </w:r>
                                <w:r>
                                  <w:rPr>
                                    <w:rFonts w:ascii="Arial"/>
                                    <w:b/>
                                    <w:i/>
                                    <w:spacing w:val="-1"/>
                                  </w:rPr>
                                  <w:t>outset</w:t>
                                </w:r>
                                <w:r>
                                  <w:rPr>
                                    <w:rFonts w:ascii="Arial"/>
                                    <w:b/>
                                    <w:i/>
                                    <w:spacing w:val="58"/>
                                  </w:rPr>
                                  <w:t xml:space="preserve"> </w:t>
                                </w:r>
                                <w:r>
                                  <w:rPr>
                                    <w:rFonts w:ascii="Arial"/>
                                    <w:b/>
                                    <w:i/>
                                    <w:spacing w:val="-2"/>
                                  </w:rPr>
                                  <w:t>of</w:t>
                                </w:r>
                                <w:r>
                                  <w:rPr>
                                    <w:rFonts w:ascii="Arial"/>
                                    <w:b/>
                                    <w:i/>
                                    <w:spacing w:val="57"/>
                                  </w:rPr>
                                  <w:t xml:space="preserve"> </w:t>
                                </w:r>
                                <w:r>
                                  <w:rPr>
                                    <w:rFonts w:ascii="Arial"/>
                                    <w:b/>
                                    <w:i/>
                                    <w:spacing w:val="-1"/>
                                  </w:rPr>
                                  <w:t>the</w:t>
                                </w:r>
                                <w:r>
                                  <w:rPr>
                                    <w:rFonts w:ascii="Arial"/>
                                    <w:b/>
                                    <w:i/>
                                    <w:spacing w:val="37"/>
                                  </w:rPr>
                                  <w:t xml:space="preserve"> </w:t>
                                </w:r>
                                <w:r>
                                  <w:rPr>
                                    <w:rFonts w:ascii="Arial"/>
                                    <w:b/>
                                    <w:i/>
                                    <w:spacing w:val="-1"/>
                                  </w:rPr>
                                  <w:t>Further Competition</w:t>
                                </w:r>
                                <w:r>
                                  <w:rPr>
                                    <w:rFonts w:ascii="Arial"/>
                                    <w:b/>
                                    <w:i/>
                                    <w:spacing w:val="-2"/>
                                  </w:rPr>
                                  <w:t xml:space="preserve"> </w:t>
                                </w:r>
                                <w:r>
                                  <w:rPr>
                                    <w:rFonts w:ascii="Arial"/>
                                    <w:b/>
                                    <w:i/>
                                    <w:spacing w:val="-1"/>
                                  </w:rPr>
                                  <w:t>Procedure;</w:t>
                                </w:r>
                                <w:r>
                                  <w:rPr>
                                    <w:rFonts w:ascii="Arial"/>
                                    <w:b/>
                                    <w:i/>
                                    <w:spacing w:val="2"/>
                                  </w:rPr>
                                  <w:t xml:space="preserve"> </w:t>
                                </w:r>
                                <w:r>
                                  <w:rPr>
                                    <w:rFonts w:ascii="Arial"/>
                                    <w:b/>
                                    <w:i/>
                                    <w:spacing w:val="-1"/>
                                  </w:rPr>
                                  <w:t>and</w:t>
                                </w:r>
                              </w:p>
                            </w:txbxContent>
                          </wps:txbx>
                          <wps:bodyPr rot="0" vert="horz" wrap="square" lIns="0" tIns="0" rIns="0" bIns="0" anchor="t" anchorCtr="0" upright="1">
                            <a:noAutofit/>
                          </wps:bodyPr>
                        </wps:wsp>
                      </wpg:grpSp>
                    </wpg:wgp>
                  </a:graphicData>
                </a:graphic>
              </wp:inline>
            </w:drawing>
          </mc:Choice>
          <mc:Fallback>
            <w:pict>
              <v:group w14:anchorId="49C6C900" id="Group 1984" o:spid="_x0000_s1331" style="width:327.75pt;height:38.65pt;mso-position-horizontal-relative:char;mso-position-vertical-relative:line" coordsize="655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">
                <v:group id="Group 1990" o:spid="_x0000_s1332" style="position:absolute;width:6552;height:269" coordsize="655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1991" o:spid="_x0000_s1333" style="position:absolute;width:6552;height:269;visibility:visible;mso-wrap-style:square;v-text-anchor:top" coordsize="655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0UMQA&#10;AADdAAAADwAAAGRycy9kb3ducmV2LnhtbERPTWvCQBC9F/wPywi91Y02rTW6SilEezVqwduQHZOQ&#10;7Gya3cb4791Cobd5vM9ZbQbTiJ46V1lWMJ1EIIhzqysuFBwP6dMbCOeRNTaWScGNHGzWo4cVJtpe&#10;eU995gsRQtglqKD0vk2kdHlJBt3EtsSBu9jOoA+wK6Tu8BrCTSNnUfQqDVYcGkps6aOkvM5+jIK6&#10;T7/nscue69k5lkW1Pb3svlKlHsfD+xKEp8H/i//cnzrMXyxi+P0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NFDEAAAA3QAAAA8AAAAAAAAAAAAAAAAAmAIAAGRycy9k&#10;b3ducmV2LnhtbFBLBQYAAAAABAAEAPUAAACJAwAAAAA=&#10;" path="m,269r6552,l6552,,,,,269xe" fillcolor="lime" stroked="f">
                    <v:path arrowok="t" o:connecttype="custom" o:connectlocs="0,269;6552,269;6552,0;0,0;0,269" o:connectangles="0,0,0,0,0"/>
                  </v:shape>
                </v:group>
                <v:group id="Group 1988" o:spid="_x0000_s1334" style="position:absolute;left:360;top:269;width:6192;height:252" coordorigin="360,269" coordsize="619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1989" o:spid="_x0000_s1335" style="position:absolute;left:360;top:269;width:6192;height:252;visibility:visible;mso-wrap-style:square;v-text-anchor:top" coordsize="619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IzMYA&#10;AADdAAAADwAAAGRycy9kb3ducmV2LnhtbERPS2vCQBC+C/0PyxS86UYpomlWaRVR6skX9jjNTpNg&#10;djbNbpO0v94VCr3Nx/ecZNGZUjRUu8KygtEwAkGcWl1wpuB0XA+mIJxH1lhaJgU/5GAxf+glGGvb&#10;8p6ag89ECGEXo4Lc+yqW0qU5GXRDWxEH7tPWBn2AdSZ1jW0IN6UcR9FEGiw4NORY0TKn9Hr4Ngr2&#10;r9vmN7tcn1Yf0fvyrf1a7zajs1L9x+7lGYSnzv+L/9xbHebPZhO4fxNO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2IzMYAAADdAAAADwAAAAAAAAAAAAAAAACYAgAAZHJz&#10;L2Rvd25yZXYueG1sUEsFBgAAAAAEAAQA9QAAAIsDAAAAAA==&#10;" path="m,252r6192,l6192,,,,,252xe" fillcolor="lime" stroked="f">
                    <v:path arrowok="t" o:connecttype="custom" o:connectlocs="0,521;6192,521;6192,269;0,269;0,521" o:connectangles="0,0,0,0,0"/>
                  </v:shape>
                </v:group>
                <v:group id="Group 1985" o:spid="_x0000_s1336" style="position:absolute;left:360;top:521;width:3790;height:252" coordorigin="360,521" coordsize="37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1987" o:spid="_x0000_s1337" style="position:absolute;left:360;top:521;width:3790;height:252;visibility:visible;mso-wrap-style:square;v-text-anchor:top" coordsize="37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9n8QA&#10;AADdAAAADwAAAGRycy9kb3ducmV2LnhtbESPTWvCQBCG7wX/wzJCb3VjwbaJriJSoafSJtXzkB2T&#10;YHY2ZFcT/fWdQ6G3Geb9eGa1GV2rrtSHxrOB+SwBRVx623Bl4KfYP72BChHZYuuZDNwowGY9eVhh&#10;Zv3A33TNY6UkhEOGBuoYu0zrUNbkMMx8Ryy3k+8dRln7StseBwl3rX5OkhftsGFpqLGjXU3lOb84&#10;Kdmn4+H1eC9wwM+8WHwlLhbvxjxOx+0SVKQx/ov/3B9W8NNU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PZ/EAAAA3QAAAA8AAAAAAAAAAAAAAAAAmAIAAGRycy9k&#10;b3ducmV2LnhtbFBLBQYAAAAABAAEAPUAAACJAwAAAAA=&#10;" path="m,252r3790,l3790,,,,,252xe" fillcolor="lime" stroked="f">
                    <v:path arrowok="t" o:connecttype="custom" o:connectlocs="0,773;3790,773;3790,521;0,521;0,773" o:connectangles="0,0,0,0,0"/>
                  </v:shape>
                  <v:shape id="Text Box 1986" o:spid="_x0000_s1338" type="#_x0000_t202" style="position:absolute;width:6555;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LDMMA&#10;AADdAAAADwAAAGRycy9kb3ducmV2LnhtbERPTWvCQBC9C/0PyxR60009BJO6ipQKhYIY00OP0+yY&#10;LGZn0+w2xn/vCoK3ebzPWa5H24qBem8cK3idJSCIK6cN1wq+y+10AcIHZI2tY1JwIQ/r1dNkibl2&#10;Zy5oOIRaxBD2OSpoQuhyKX3VkEU/cx1x5I6utxgi7GupezzHcNvKeZKk0qLh2NBgR+8NVafDv1Ww&#10;+eHiw/ztfvfFsTBlmSX8lZ6UenkeN28gAo3hIb67P3Wcn2UZ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cLDMMAAADdAAAADwAAAAAAAAAAAAAAAACYAgAAZHJzL2Rv&#10;d25yZXYueG1sUEsFBgAAAAAEAAQA9QAAAIgDAAAAAA==&#10;" filled="f" stroked="f">
                    <v:textbox inset="0,0,0,0">
                      <w:txbxContent>
                        <w:p w:rsidR="005D2B81" w:rsidRDefault="005D2B81" w:rsidP="008918FA">
                          <w:pPr>
                            <w:numPr>
                              <w:ilvl w:val="0"/>
                              <w:numId w:val="13"/>
                            </w:numPr>
                            <w:tabs>
                              <w:tab w:val="left" w:pos="361"/>
                            </w:tabs>
                            <w:spacing w:line="239" w:lineRule="auto"/>
                            <w:ind w:hanging="360"/>
                            <w:jc w:val="both"/>
                            <w:rPr>
                              <w:rFonts w:ascii="Arial" w:eastAsia="Arial" w:hAnsi="Arial" w:cs="Arial"/>
                            </w:rPr>
                          </w:pPr>
                          <w:r>
                            <w:rPr>
                              <w:rFonts w:ascii="Arial"/>
                              <w:b/>
                              <w:i/>
                            </w:rPr>
                            <w:t>is</w:t>
                          </w:r>
                          <w:r>
                            <w:rPr>
                              <w:rFonts w:ascii="Arial"/>
                              <w:b/>
                              <w:i/>
                              <w:spacing w:val="21"/>
                            </w:rPr>
                            <w:t xml:space="preserve"> </w:t>
                          </w:r>
                          <w:r>
                            <w:rPr>
                              <w:rFonts w:ascii="Arial"/>
                              <w:b/>
                              <w:i/>
                              <w:spacing w:val="-1"/>
                            </w:rPr>
                            <w:t>following</w:t>
                          </w:r>
                          <w:r>
                            <w:rPr>
                              <w:rFonts w:ascii="Arial"/>
                              <w:b/>
                              <w:i/>
                              <w:spacing w:val="21"/>
                            </w:rPr>
                            <w:t xml:space="preserve"> </w:t>
                          </w:r>
                          <w:r>
                            <w:rPr>
                              <w:rFonts w:ascii="Arial"/>
                              <w:b/>
                              <w:i/>
                            </w:rPr>
                            <w:t>a</w:t>
                          </w:r>
                          <w:r>
                            <w:rPr>
                              <w:rFonts w:ascii="Arial"/>
                              <w:b/>
                              <w:i/>
                              <w:spacing w:val="21"/>
                            </w:rPr>
                            <w:t xml:space="preserve"> </w:t>
                          </w:r>
                          <w:r>
                            <w:rPr>
                              <w:rFonts w:ascii="Arial"/>
                              <w:b/>
                              <w:i/>
                              <w:spacing w:val="-2"/>
                            </w:rPr>
                            <w:t>Further</w:t>
                          </w:r>
                          <w:r>
                            <w:rPr>
                              <w:rFonts w:ascii="Arial"/>
                              <w:b/>
                              <w:i/>
                              <w:spacing w:val="22"/>
                            </w:rPr>
                            <w:t xml:space="preserve"> </w:t>
                          </w:r>
                          <w:r>
                            <w:rPr>
                              <w:rFonts w:ascii="Arial"/>
                              <w:b/>
                              <w:i/>
                              <w:spacing w:val="-1"/>
                            </w:rPr>
                            <w:t>Competition</w:t>
                          </w:r>
                          <w:r>
                            <w:rPr>
                              <w:rFonts w:ascii="Arial"/>
                              <w:b/>
                              <w:i/>
                              <w:spacing w:val="21"/>
                            </w:rPr>
                            <w:t xml:space="preserve"> </w:t>
                          </w:r>
                          <w:r>
                            <w:rPr>
                              <w:rFonts w:ascii="Arial"/>
                              <w:b/>
                              <w:i/>
                              <w:spacing w:val="-1"/>
                            </w:rPr>
                            <w:t>Procedure</w:t>
                          </w:r>
                          <w:r>
                            <w:rPr>
                              <w:rFonts w:ascii="Arial"/>
                              <w:b/>
                              <w:i/>
                              <w:spacing w:val="20"/>
                            </w:rPr>
                            <w:t xml:space="preserve"> </w:t>
                          </w:r>
                          <w:r>
                            <w:rPr>
                              <w:rFonts w:ascii="Arial"/>
                              <w:b/>
                              <w:i/>
                              <w:spacing w:val="-1"/>
                            </w:rPr>
                            <w:t>and</w:t>
                          </w:r>
                          <w:r>
                            <w:rPr>
                              <w:rFonts w:ascii="Arial"/>
                              <w:b/>
                              <w:i/>
                              <w:spacing w:val="21"/>
                            </w:rPr>
                            <w:t xml:space="preserve"> </w:t>
                          </w:r>
                          <w:r>
                            <w:rPr>
                              <w:rFonts w:ascii="Arial"/>
                              <w:b/>
                              <w:i/>
                              <w:spacing w:val="-1"/>
                            </w:rPr>
                            <w:t>has</w:t>
                          </w:r>
                          <w:r>
                            <w:rPr>
                              <w:rFonts w:ascii="Arial"/>
                              <w:b/>
                              <w:i/>
                              <w:spacing w:val="34"/>
                            </w:rPr>
                            <w:t xml:space="preserve"> </w:t>
                          </w:r>
                          <w:r>
                            <w:rPr>
                              <w:rFonts w:ascii="Arial"/>
                              <w:b/>
                              <w:i/>
                              <w:spacing w:val="-1"/>
                            </w:rPr>
                            <w:t>specified</w:t>
                          </w:r>
                          <w:r>
                            <w:rPr>
                              <w:rFonts w:ascii="Arial"/>
                              <w:b/>
                              <w:i/>
                              <w:spacing w:val="55"/>
                            </w:rPr>
                            <w:t xml:space="preserve"> </w:t>
                          </w:r>
                          <w:r>
                            <w:rPr>
                              <w:rFonts w:ascii="Arial"/>
                              <w:b/>
                              <w:i/>
                              <w:spacing w:val="-1"/>
                            </w:rPr>
                            <w:t>its</w:t>
                          </w:r>
                          <w:r>
                            <w:rPr>
                              <w:rFonts w:ascii="Arial"/>
                              <w:b/>
                              <w:i/>
                              <w:spacing w:val="55"/>
                            </w:rPr>
                            <w:t xml:space="preserve"> </w:t>
                          </w:r>
                          <w:r>
                            <w:rPr>
                              <w:rFonts w:ascii="Arial"/>
                              <w:b/>
                              <w:i/>
                              <w:spacing w:val="-2"/>
                            </w:rPr>
                            <w:t>BCRD</w:t>
                          </w:r>
                          <w:r>
                            <w:rPr>
                              <w:rFonts w:ascii="Arial"/>
                              <w:b/>
                              <w:i/>
                              <w:spacing w:val="55"/>
                            </w:rPr>
                            <w:t xml:space="preserve"> </w:t>
                          </w:r>
                          <w:r>
                            <w:rPr>
                              <w:rFonts w:ascii="Arial"/>
                              <w:b/>
                              <w:i/>
                              <w:spacing w:val="-1"/>
                            </w:rPr>
                            <w:t>requirements</w:t>
                          </w:r>
                          <w:r>
                            <w:rPr>
                              <w:rFonts w:ascii="Arial"/>
                              <w:b/>
                              <w:i/>
                              <w:spacing w:val="53"/>
                            </w:rPr>
                            <w:t xml:space="preserve"> </w:t>
                          </w:r>
                          <w:r>
                            <w:rPr>
                              <w:rFonts w:ascii="Arial"/>
                              <w:b/>
                              <w:i/>
                              <w:spacing w:val="-1"/>
                            </w:rPr>
                            <w:t>from</w:t>
                          </w:r>
                          <w:r>
                            <w:rPr>
                              <w:rFonts w:ascii="Arial"/>
                              <w:b/>
                              <w:i/>
                              <w:spacing w:val="54"/>
                            </w:rPr>
                            <w:t xml:space="preserve"> </w:t>
                          </w:r>
                          <w:r>
                            <w:rPr>
                              <w:rFonts w:ascii="Arial"/>
                              <w:b/>
                              <w:i/>
                              <w:spacing w:val="-1"/>
                            </w:rPr>
                            <w:t>the</w:t>
                          </w:r>
                          <w:r>
                            <w:rPr>
                              <w:rFonts w:ascii="Arial"/>
                              <w:b/>
                              <w:i/>
                              <w:spacing w:val="53"/>
                            </w:rPr>
                            <w:t xml:space="preserve"> </w:t>
                          </w:r>
                          <w:r>
                            <w:rPr>
                              <w:rFonts w:ascii="Arial"/>
                              <w:b/>
                              <w:i/>
                              <w:spacing w:val="-1"/>
                            </w:rPr>
                            <w:t>outset</w:t>
                          </w:r>
                          <w:r>
                            <w:rPr>
                              <w:rFonts w:ascii="Arial"/>
                              <w:b/>
                              <w:i/>
                              <w:spacing w:val="58"/>
                            </w:rPr>
                            <w:t xml:space="preserve"> </w:t>
                          </w:r>
                          <w:r>
                            <w:rPr>
                              <w:rFonts w:ascii="Arial"/>
                              <w:b/>
                              <w:i/>
                              <w:spacing w:val="-2"/>
                            </w:rPr>
                            <w:t>of</w:t>
                          </w:r>
                          <w:r>
                            <w:rPr>
                              <w:rFonts w:ascii="Arial"/>
                              <w:b/>
                              <w:i/>
                              <w:spacing w:val="57"/>
                            </w:rPr>
                            <w:t xml:space="preserve"> </w:t>
                          </w:r>
                          <w:r>
                            <w:rPr>
                              <w:rFonts w:ascii="Arial"/>
                              <w:b/>
                              <w:i/>
                              <w:spacing w:val="-1"/>
                            </w:rPr>
                            <w:t>the</w:t>
                          </w:r>
                          <w:r>
                            <w:rPr>
                              <w:rFonts w:ascii="Arial"/>
                              <w:b/>
                              <w:i/>
                              <w:spacing w:val="37"/>
                            </w:rPr>
                            <w:t xml:space="preserve"> </w:t>
                          </w:r>
                          <w:r>
                            <w:rPr>
                              <w:rFonts w:ascii="Arial"/>
                              <w:b/>
                              <w:i/>
                              <w:spacing w:val="-1"/>
                            </w:rPr>
                            <w:t>Further Competition</w:t>
                          </w:r>
                          <w:r>
                            <w:rPr>
                              <w:rFonts w:ascii="Arial"/>
                              <w:b/>
                              <w:i/>
                              <w:spacing w:val="-2"/>
                            </w:rPr>
                            <w:t xml:space="preserve"> </w:t>
                          </w:r>
                          <w:r>
                            <w:rPr>
                              <w:rFonts w:ascii="Arial"/>
                              <w:b/>
                              <w:i/>
                              <w:spacing w:val="-1"/>
                            </w:rPr>
                            <w:t>Procedure;</w:t>
                          </w:r>
                          <w:r>
                            <w:rPr>
                              <w:rFonts w:ascii="Arial"/>
                              <w:b/>
                              <w:i/>
                              <w:spacing w:val="2"/>
                            </w:rPr>
                            <w:t xml:space="preserve"> </w:t>
                          </w:r>
                          <w:r>
                            <w:rPr>
                              <w:rFonts w:ascii="Arial"/>
                              <w:b/>
                              <w:i/>
                              <w:spacing w:val="-1"/>
                            </w:rPr>
                            <w:t>and</w:t>
                          </w:r>
                        </w:p>
                      </w:txbxContent>
                    </v:textbox>
                  </v:shape>
                </v:group>
                <w10:anchorlock/>
              </v:group>
            </w:pict>
          </mc:Fallback>
        </mc:AlternateContent>
      </w:r>
    </w:p>
    <w:p w:rsidR="008918FA" w:rsidRPr="001C1527" w:rsidRDefault="008918FA" w:rsidP="008918FA">
      <w:pPr>
        <w:numPr>
          <w:ilvl w:val="0"/>
          <w:numId w:val="12"/>
        </w:numPr>
        <w:tabs>
          <w:tab w:val="left" w:pos="2959"/>
        </w:tabs>
        <w:spacing w:before="117"/>
        <w:ind w:right="255" w:hanging="360"/>
        <w:rPr>
          <w:rFonts w:ascii="Arial" w:eastAsia="Arial" w:hAnsi="Arial" w:cs="Arial"/>
          <w:highlight w:val="green"/>
        </w:rPr>
      </w:pPr>
      <w:r w:rsidRPr="001C1527">
        <w:rPr>
          <w:rFonts w:ascii="Arial"/>
          <w:b/>
          <w:i/>
          <w:spacing w:val="-1"/>
          <w:highlight w:val="green"/>
        </w:rPr>
        <w:t>has</w:t>
      </w:r>
      <w:r w:rsidRPr="001C1527">
        <w:rPr>
          <w:rFonts w:ascii="Arial"/>
          <w:b/>
          <w:i/>
          <w:spacing w:val="15"/>
          <w:highlight w:val="green"/>
        </w:rPr>
        <w:t xml:space="preserve"> </w:t>
      </w:r>
      <w:r w:rsidRPr="001C1527">
        <w:rPr>
          <w:rFonts w:ascii="Arial"/>
          <w:b/>
          <w:i/>
          <w:spacing w:val="-1"/>
          <w:highlight w:val="green"/>
        </w:rPr>
        <w:t>asked</w:t>
      </w:r>
      <w:r w:rsidRPr="001C1527">
        <w:rPr>
          <w:rFonts w:ascii="Arial"/>
          <w:b/>
          <w:i/>
          <w:spacing w:val="15"/>
          <w:highlight w:val="green"/>
        </w:rPr>
        <w:t xml:space="preserve"> </w:t>
      </w:r>
      <w:r w:rsidRPr="001C1527">
        <w:rPr>
          <w:rFonts w:ascii="Arial"/>
          <w:b/>
          <w:i/>
          <w:spacing w:val="-1"/>
          <w:highlight w:val="green"/>
        </w:rPr>
        <w:t>Suppliers</w:t>
      </w:r>
      <w:r w:rsidRPr="001C1527">
        <w:rPr>
          <w:rFonts w:ascii="Arial"/>
          <w:b/>
          <w:i/>
          <w:spacing w:val="12"/>
          <w:highlight w:val="green"/>
        </w:rPr>
        <w:t xml:space="preserve"> </w:t>
      </w:r>
      <w:r w:rsidRPr="001C1527">
        <w:rPr>
          <w:rFonts w:ascii="Arial"/>
          <w:b/>
          <w:i/>
          <w:highlight w:val="green"/>
        </w:rPr>
        <w:t>to</w:t>
      </w:r>
      <w:r w:rsidRPr="001C1527">
        <w:rPr>
          <w:rFonts w:ascii="Arial"/>
          <w:b/>
          <w:i/>
          <w:spacing w:val="12"/>
          <w:highlight w:val="green"/>
        </w:rPr>
        <w:t xml:space="preserve"> </w:t>
      </w:r>
      <w:r w:rsidRPr="001C1527">
        <w:rPr>
          <w:rFonts w:ascii="Arial"/>
          <w:b/>
          <w:i/>
          <w:spacing w:val="-1"/>
          <w:highlight w:val="green"/>
        </w:rPr>
        <w:t>submit</w:t>
      </w:r>
      <w:r w:rsidRPr="001C1527">
        <w:rPr>
          <w:rFonts w:ascii="Arial"/>
          <w:b/>
          <w:i/>
          <w:spacing w:val="16"/>
          <w:highlight w:val="green"/>
        </w:rPr>
        <w:t xml:space="preserve"> </w:t>
      </w:r>
      <w:r w:rsidRPr="001C1527">
        <w:rPr>
          <w:rFonts w:ascii="Arial"/>
          <w:b/>
          <w:i/>
          <w:highlight w:val="green"/>
        </w:rPr>
        <w:t>a</w:t>
      </w:r>
      <w:r w:rsidRPr="001C1527">
        <w:rPr>
          <w:rFonts w:ascii="Arial"/>
          <w:b/>
          <w:i/>
          <w:spacing w:val="15"/>
          <w:highlight w:val="green"/>
        </w:rPr>
        <w:t xml:space="preserve"> </w:t>
      </w:r>
      <w:r w:rsidRPr="001C1527">
        <w:rPr>
          <w:rFonts w:ascii="Arial"/>
          <w:b/>
          <w:i/>
          <w:spacing w:val="-2"/>
          <w:highlight w:val="green"/>
        </w:rPr>
        <w:t>BCDR</w:t>
      </w:r>
      <w:r w:rsidRPr="001C1527">
        <w:rPr>
          <w:rFonts w:ascii="Arial"/>
          <w:b/>
          <w:i/>
          <w:spacing w:val="14"/>
          <w:highlight w:val="green"/>
        </w:rPr>
        <w:t xml:space="preserve"> </w:t>
      </w:r>
      <w:r w:rsidRPr="001C1527">
        <w:rPr>
          <w:rFonts w:ascii="Arial"/>
          <w:b/>
          <w:i/>
          <w:spacing w:val="-1"/>
          <w:highlight w:val="green"/>
        </w:rPr>
        <w:t>Plan</w:t>
      </w:r>
      <w:r w:rsidRPr="001C1527">
        <w:rPr>
          <w:rFonts w:ascii="Arial"/>
          <w:b/>
          <w:i/>
          <w:spacing w:val="12"/>
          <w:highlight w:val="green"/>
        </w:rPr>
        <w:t xml:space="preserve"> </w:t>
      </w:r>
      <w:r w:rsidRPr="001C1527">
        <w:rPr>
          <w:rFonts w:ascii="Arial"/>
          <w:b/>
          <w:i/>
          <w:spacing w:val="-2"/>
          <w:highlight w:val="green"/>
        </w:rPr>
        <w:t>as</w:t>
      </w:r>
      <w:r w:rsidRPr="001C1527">
        <w:rPr>
          <w:rFonts w:ascii="Arial"/>
          <w:b/>
          <w:i/>
          <w:spacing w:val="15"/>
          <w:highlight w:val="green"/>
        </w:rPr>
        <w:t xml:space="preserve"> </w:t>
      </w:r>
      <w:r w:rsidRPr="001C1527">
        <w:rPr>
          <w:rFonts w:ascii="Arial"/>
          <w:b/>
          <w:i/>
          <w:spacing w:val="-1"/>
          <w:highlight w:val="green"/>
        </w:rPr>
        <w:t>part</w:t>
      </w:r>
      <w:r w:rsidRPr="001C1527">
        <w:rPr>
          <w:rFonts w:ascii="Arial"/>
          <w:b/>
          <w:i/>
          <w:spacing w:val="16"/>
          <w:highlight w:val="green"/>
        </w:rPr>
        <w:t xml:space="preserve"> </w:t>
      </w:r>
      <w:r w:rsidRPr="001C1527">
        <w:rPr>
          <w:rFonts w:ascii="Arial"/>
          <w:b/>
          <w:i/>
          <w:spacing w:val="-2"/>
          <w:highlight w:val="green"/>
        </w:rPr>
        <w:t>of</w:t>
      </w:r>
      <w:r w:rsidRPr="001C1527">
        <w:rPr>
          <w:rFonts w:ascii="Arial"/>
          <w:b/>
          <w:i/>
          <w:spacing w:val="14"/>
          <w:highlight w:val="green"/>
        </w:rPr>
        <w:t xml:space="preserve"> </w:t>
      </w:r>
      <w:r w:rsidRPr="001C1527">
        <w:rPr>
          <w:rFonts w:ascii="Arial"/>
          <w:b/>
          <w:i/>
          <w:spacing w:val="-1"/>
          <w:highlight w:val="green"/>
        </w:rPr>
        <w:t>the</w:t>
      </w:r>
      <w:r w:rsidRPr="001C1527">
        <w:rPr>
          <w:rFonts w:ascii="Arial"/>
          <w:b/>
          <w:i/>
          <w:spacing w:val="32"/>
          <w:highlight w:val="green"/>
        </w:rPr>
        <w:t xml:space="preserve"> </w:t>
      </w:r>
      <w:r w:rsidRPr="001C1527">
        <w:rPr>
          <w:rFonts w:ascii="Arial"/>
          <w:b/>
          <w:i/>
          <w:spacing w:val="-1"/>
          <w:highlight w:val="green"/>
        </w:rPr>
        <w:t>Further Competition</w:t>
      </w:r>
      <w:r w:rsidRPr="001C1527">
        <w:rPr>
          <w:rFonts w:ascii="Arial"/>
          <w:b/>
          <w:i/>
          <w:spacing w:val="-2"/>
          <w:highlight w:val="green"/>
        </w:rPr>
        <w:t xml:space="preserve"> </w:t>
      </w:r>
      <w:r w:rsidRPr="001C1527">
        <w:rPr>
          <w:rFonts w:ascii="Arial"/>
          <w:b/>
          <w:i/>
          <w:spacing w:val="-1"/>
          <w:highlight w:val="green"/>
        </w:rPr>
        <w:t>Procedure</w:t>
      </w:r>
    </w:p>
    <w:p w:rsidR="008918FA" w:rsidRDefault="008918FA" w:rsidP="008918FA">
      <w:pPr>
        <w:pStyle w:val="BodyText"/>
        <w:numPr>
          <w:ilvl w:val="0"/>
          <w:numId w:val="11"/>
        </w:numPr>
        <w:tabs>
          <w:tab w:val="left" w:pos="667"/>
        </w:tabs>
        <w:spacing w:before="117"/>
        <w:rPr>
          <w:rFonts w:ascii="Times New Roman" w:eastAsia="Times New Roman" w:hAnsi="Times New Roman" w:cs="Times New Roman"/>
        </w:rPr>
      </w:pPr>
      <w:r>
        <w:rPr>
          <w:rFonts w:ascii="Times New Roman"/>
          <w:spacing w:val="11"/>
        </w:rPr>
        <w:t>C</w:t>
      </w:r>
      <w:r>
        <w:rPr>
          <w:rFonts w:ascii="Times New Roman"/>
          <w:spacing w:val="-2"/>
        </w:rPr>
        <w:t>U</w:t>
      </w:r>
      <w:r>
        <w:rPr>
          <w:rFonts w:ascii="Times New Roman"/>
          <w:spacing w:val="26"/>
        </w:rPr>
        <w:t>S</w:t>
      </w:r>
      <w:r>
        <w:rPr>
          <w:rFonts w:ascii="Times New Roman"/>
          <w:spacing w:val="-3"/>
        </w:rPr>
        <w:t>T</w:t>
      </w:r>
      <w:r>
        <w:rPr>
          <w:rFonts w:ascii="Times New Roman"/>
          <w:spacing w:val="13"/>
        </w:rPr>
        <w:t>O</w:t>
      </w:r>
      <w:r>
        <w:rPr>
          <w:rFonts w:ascii="Times New Roman"/>
          <w:spacing w:val="-12"/>
        </w:rPr>
        <w:t>M</w:t>
      </w:r>
      <w:r>
        <w:rPr>
          <w:rFonts w:ascii="Times New Roman"/>
          <w:spacing w:val="11"/>
        </w:rPr>
        <w:t>E</w:t>
      </w:r>
      <w:r>
        <w:rPr>
          <w:rFonts w:ascii="Times New Roman"/>
        </w:rPr>
        <w:t>R</w:t>
      </w:r>
      <w:r>
        <w:rPr>
          <w:rFonts w:ascii="Times New Roman"/>
          <w:spacing w:val="18"/>
        </w:rPr>
        <w:t xml:space="preserve"> </w:t>
      </w:r>
      <w:r>
        <w:rPr>
          <w:rFonts w:ascii="Times New Roman"/>
          <w:spacing w:val="5"/>
        </w:rPr>
        <w:t>BCDR</w:t>
      </w:r>
      <w:r>
        <w:rPr>
          <w:rFonts w:ascii="Times New Roman"/>
          <w:spacing w:val="18"/>
        </w:rPr>
        <w:t xml:space="preserve"> </w:t>
      </w:r>
      <w:r>
        <w:rPr>
          <w:rFonts w:ascii="Times New Roman"/>
          <w:spacing w:val="3"/>
        </w:rPr>
        <w:t>REQUIREMENTS</w:t>
      </w:r>
    </w:p>
    <w:p w:rsidR="008918FA" w:rsidRDefault="008918FA" w:rsidP="008918FA">
      <w:pPr>
        <w:spacing w:before="9"/>
        <w:rPr>
          <w:rFonts w:ascii="Times New Roman" w:eastAsia="Times New Roman" w:hAnsi="Times New Roman" w:cs="Times New Roman"/>
          <w:sz w:val="14"/>
          <w:szCs w:val="14"/>
        </w:rPr>
      </w:pPr>
    </w:p>
    <w:p w:rsidR="008918FA" w:rsidRDefault="008918FA" w:rsidP="008918FA">
      <w:pPr>
        <w:pStyle w:val="BodyText"/>
        <w:tabs>
          <w:tab w:val="left" w:pos="3068"/>
        </w:tabs>
        <w:spacing w:before="72"/>
        <w:ind w:left="1232" w:firstLine="0"/>
        <w:jc w:val="both"/>
      </w:pPr>
      <w:r>
        <w:rPr>
          <w:highlight w:val="yellow"/>
        </w:rPr>
        <w:t>[</w:t>
      </w:r>
      <w:r>
        <w:rPr>
          <w:highlight w:val="yellow"/>
        </w:rPr>
        <w:tab/>
        <w:t>]</w:t>
      </w:r>
    </w:p>
    <w:p w:rsidR="008918FA" w:rsidRDefault="008918FA" w:rsidP="008918FA">
      <w:pPr>
        <w:pStyle w:val="Heading2"/>
        <w:spacing w:before="119"/>
        <w:ind w:left="1232" w:right="253"/>
        <w:jc w:val="both"/>
        <w:rPr>
          <w:b w:val="0"/>
          <w:bCs w:val="0"/>
          <w:i w:val="0"/>
        </w:rPr>
      </w:pPr>
      <w:r w:rsidRPr="00CE5AA1">
        <w:rPr>
          <w:spacing w:val="-1"/>
          <w:highlight w:val="green"/>
        </w:rPr>
        <w:t>[Guidance</w:t>
      </w:r>
      <w:r w:rsidRPr="00CE5AA1">
        <w:rPr>
          <w:spacing w:val="15"/>
          <w:highlight w:val="green"/>
        </w:rPr>
        <w:t xml:space="preserve"> </w:t>
      </w:r>
      <w:r w:rsidRPr="00CE5AA1">
        <w:rPr>
          <w:spacing w:val="-1"/>
          <w:highlight w:val="green"/>
        </w:rPr>
        <w:t>Note:</w:t>
      </w:r>
      <w:r w:rsidRPr="00CE5AA1">
        <w:rPr>
          <w:spacing w:val="14"/>
          <w:highlight w:val="green"/>
        </w:rPr>
        <w:t xml:space="preserve"> </w:t>
      </w:r>
      <w:r w:rsidRPr="00CE5AA1">
        <w:rPr>
          <w:spacing w:val="-1"/>
          <w:highlight w:val="green"/>
        </w:rPr>
        <w:t>the</w:t>
      </w:r>
      <w:r w:rsidRPr="00CE5AA1">
        <w:rPr>
          <w:spacing w:val="15"/>
          <w:highlight w:val="green"/>
        </w:rPr>
        <w:t xml:space="preserve"> </w:t>
      </w:r>
      <w:r w:rsidRPr="00CE5AA1">
        <w:rPr>
          <w:spacing w:val="-1"/>
          <w:highlight w:val="green"/>
        </w:rPr>
        <w:t>Customer</w:t>
      </w:r>
      <w:r w:rsidRPr="00CE5AA1">
        <w:rPr>
          <w:spacing w:val="13"/>
          <w:highlight w:val="green"/>
        </w:rPr>
        <w:t xml:space="preserve"> </w:t>
      </w:r>
      <w:r w:rsidRPr="00CE5AA1">
        <w:rPr>
          <w:highlight w:val="green"/>
        </w:rPr>
        <w:t>to</w:t>
      </w:r>
      <w:r w:rsidRPr="00CE5AA1">
        <w:rPr>
          <w:spacing w:val="15"/>
          <w:highlight w:val="green"/>
        </w:rPr>
        <w:t xml:space="preserve"> </w:t>
      </w:r>
      <w:r w:rsidRPr="00CE5AA1">
        <w:rPr>
          <w:spacing w:val="-1"/>
          <w:highlight w:val="green"/>
        </w:rPr>
        <w:t>insert</w:t>
      </w:r>
      <w:r w:rsidRPr="00CE5AA1">
        <w:rPr>
          <w:spacing w:val="16"/>
          <w:highlight w:val="green"/>
        </w:rPr>
        <w:t xml:space="preserve"> </w:t>
      </w:r>
      <w:r w:rsidRPr="00CE5AA1">
        <w:rPr>
          <w:spacing w:val="-1"/>
          <w:highlight w:val="green"/>
        </w:rPr>
        <w:t>the</w:t>
      </w:r>
      <w:r w:rsidRPr="00CE5AA1">
        <w:rPr>
          <w:spacing w:val="12"/>
          <w:highlight w:val="green"/>
        </w:rPr>
        <w:t xml:space="preserve"> </w:t>
      </w:r>
      <w:r w:rsidRPr="00CE5AA1">
        <w:rPr>
          <w:spacing w:val="-2"/>
          <w:highlight w:val="green"/>
        </w:rPr>
        <w:t>BCDR</w:t>
      </w:r>
      <w:r w:rsidRPr="00CE5AA1">
        <w:rPr>
          <w:spacing w:val="14"/>
          <w:highlight w:val="green"/>
        </w:rPr>
        <w:t xml:space="preserve"> </w:t>
      </w:r>
      <w:r w:rsidRPr="00CE5AA1">
        <w:rPr>
          <w:spacing w:val="-1"/>
          <w:highlight w:val="green"/>
        </w:rPr>
        <w:t>requirements</w:t>
      </w:r>
      <w:r w:rsidRPr="00CE5AA1">
        <w:rPr>
          <w:spacing w:val="15"/>
          <w:highlight w:val="green"/>
        </w:rPr>
        <w:t xml:space="preserve"> </w:t>
      </w:r>
      <w:r w:rsidRPr="00CE5AA1">
        <w:rPr>
          <w:spacing w:val="-1"/>
          <w:highlight w:val="green"/>
        </w:rPr>
        <w:t>as</w:t>
      </w:r>
      <w:r w:rsidRPr="00CE5AA1">
        <w:rPr>
          <w:spacing w:val="13"/>
          <w:highlight w:val="green"/>
        </w:rPr>
        <w:t xml:space="preserve"> </w:t>
      </w:r>
      <w:r w:rsidRPr="00CE5AA1">
        <w:rPr>
          <w:spacing w:val="-1"/>
          <w:highlight w:val="green"/>
        </w:rPr>
        <w:t>set</w:t>
      </w:r>
      <w:r w:rsidRPr="00CE5AA1">
        <w:rPr>
          <w:spacing w:val="16"/>
          <w:highlight w:val="green"/>
        </w:rPr>
        <w:t xml:space="preserve"> </w:t>
      </w:r>
      <w:r w:rsidRPr="00CE5AA1">
        <w:rPr>
          <w:spacing w:val="-1"/>
          <w:highlight w:val="green"/>
        </w:rPr>
        <w:t>out</w:t>
      </w:r>
      <w:r w:rsidRPr="00CE5AA1">
        <w:rPr>
          <w:spacing w:val="48"/>
          <w:highlight w:val="green"/>
        </w:rPr>
        <w:t xml:space="preserve"> </w:t>
      </w:r>
      <w:r w:rsidRPr="00CE5AA1">
        <w:rPr>
          <w:spacing w:val="-1"/>
          <w:highlight w:val="green"/>
        </w:rPr>
        <w:t>at</w:t>
      </w:r>
      <w:r w:rsidRPr="00CE5AA1">
        <w:rPr>
          <w:spacing w:val="21"/>
          <w:highlight w:val="green"/>
        </w:rPr>
        <w:t xml:space="preserve"> </w:t>
      </w:r>
      <w:r w:rsidRPr="00CE5AA1">
        <w:rPr>
          <w:spacing w:val="-1"/>
          <w:highlight w:val="green"/>
        </w:rPr>
        <w:t>the</w:t>
      </w:r>
      <w:r w:rsidRPr="00CE5AA1">
        <w:rPr>
          <w:spacing w:val="17"/>
          <w:highlight w:val="green"/>
        </w:rPr>
        <w:t xml:space="preserve"> </w:t>
      </w:r>
      <w:r w:rsidRPr="00CE5AA1">
        <w:rPr>
          <w:spacing w:val="-1"/>
          <w:highlight w:val="green"/>
        </w:rPr>
        <w:t>start</w:t>
      </w:r>
      <w:r w:rsidRPr="00CE5AA1">
        <w:rPr>
          <w:spacing w:val="21"/>
          <w:highlight w:val="green"/>
        </w:rPr>
        <w:t xml:space="preserve"> </w:t>
      </w:r>
      <w:r w:rsidRPr="00CE5AA1">
        <w:rPr>
          <w:spacing w:val="-2"/>
          <w:highlight w:val="green"/>
        </w:rPr>
        <w:t>of</w:t>
      </w:r>
      <w:r w:rsidRPr="00CE5AA1">
        <w:rPr>
          <w:spacing w:val="19"/>
          <w:highlight w:val="green"/>
        </w:rPr>
        <w:t xml:space="preserve"> </w:t>
      </w:r>
      <w:r w:rsidRPr="00CE5AA1">
        <w:rPr>
          <w:spacing w:val="-1"/>
          <w:highlight w:val="green"/>
        </w:rPr>
        <w:t>the</w:t>
      </w:r>
      <w:r w:rsidRPr="00CE5AA1">
        <w:rPr>
          <w:spacing w:val="20"/>
          <w:highlight w:val="green"/>
        </w:rPr>
        <w:t xml:space="preserve"> </w:t>
      </w:r>
      <w:r w:rsidRPr="00CE5AA1">
        <w:rPr>
          <w:spacing w:val="-2"/>
          <w:highlight w:val="green"/>
        </w:rPr>
        <w:t>Further</w:t>
      </w:r>
      <w:r w:rsidRPr="00CE5AA1">
        <w:rPr>
          <w:spacing w:val="20"/>
          <w:highlight w:val="green"/>
        </w:rPr>
        <w:t xml:space="preserve"> </w:t>
      </w:r>
      <w:r w:rsidRPr="00CE5AA1">
        <w:rPr>
          <w:spacing w:val="-1"/>
          <w:highlight w:val="green"/>
        </w:rPr>
        <w:t>Competition</w:t>
      </w:r>
      <w:r w:rsidRPr="00CE5AA1">
        <w:rPr>
          <w:spacing w:val="20"/>
          <w:highlight w:val="green"/>
        </w:rPr>
        <w:t xml:space="preserve"> </w:t>
      </w:r>
      <w:r w:rsidRPr="00CE5AA1">
        <w:rPr>
          <w:spacing w:val="-2"/>
          <w:highlight w:val="green"/>
        </w:rPr>
        <w:t>Procedure.</w:t>
      </w:r>
      <w:r w:rsidRPr="00CE5AA1">
        <w:rPr>
          <w:spacing w:val="21"/>
          <w:highlight w:val="green"/>
        </w:rPr>
        <w:t xml:space="preserve"> </w:t>
      </w:r>
      <w:r w:rsidRPr="00CE5AA1">
        <w:rPr>
          <w:spacing w:val="-1"/>
          <w:highlight w:val="green"/>
        </w:rPr>
        <w:t>Customers</w:t>
      </w:r>
      <w:r w:rsidRPr="00CE5AA1">
        <w:rPr>
          <w:spacing w:val="17"/>
          <w:highlight w:val="green"/>
        </w:rPr>
        <w:t xml:space="preserve"> </w:t>
      </w:r>
      <w:r w:rsidRPr="00CE5AA1">
        <w:rPr>
          <w:spacing w:val="-1"/>
          <w:highlight w:val="green"/>
        </w:rPr>
        <w:t>may</w:t>
      </w:r>
      <w:r w:rsidRPr="00CE5AA1">
        <w:rPr>
          <w:spacing w:val="15"/>
          <w:highlight w:val="green"/>
        </w:rPr>
        <w:t xml:space="preserve"> </w:t>
      </w:r>
      <w:r w:rsidRPr="00CE5AA1">
        <w:rPr>
          <w:highlight w:val="green"/>
        </w:rPr>
        <w:t>wish</w:t>
      </w:r>
      <w:r w:rsidRPr="00CE5AA1">
        <w:rPr>
          <w:spacing w:val="17"/>
          <w:highlight w:val="green"/>
        </w:rPr>
        <w:t xml:space="preserve"> </w:t>
      </w:r>
      <w:r w:rsidRPr="00CE5AA1">
        <w:rPr>
          <w:highlight w:val="green"/>
        </w:rPr>
        <w:t>to</w:t>
      </w:r>
      <w:r w:rsidRPr="00CE5AA1">
        <w:rPr>
          <w:spacing w:val="55"/>
          <w:highlight w:val="green"/>
        </w:rPr>
        <w:t xml:space="preserve"> </w:t>
      </w:r>
      <w:r w:rsidRPr="00CE5AA1">
        <w:rPr>
          <w:spacing w:val="-1"/>
          <w:highlight w:val="green"/>
        </w:rPr>
        <w:t>consider the</w:t>
      </w:r>
      <w:r w:rsidRPr="00CE5AA1">
        <w:rPr>
          <w:highlight w:val="green"/>
        </w:rPr>
        <w:t xml:space="preserve"> </w:t>
      </w:r>
      <w:r w:rsidRPr="00CE5AA1">
        <w:rPr>
          <w:spacing w:val="-1"/>
          <w:highlight w:val="green"/>
        </w:rPr>
        <w:t>option</w:t>
      </w:r>
      <w:r w:rsidRPr="00CE5AA1">
        <w:rPr>
          <w:spacing w:val="-2"/>
          <w:highlight w:val="green"/>
        </w:rPr>
        <w:t xml:space="preserve"> </w:t>
      </w:r>
      <w:r w:rsidRPr="00CE5AA1">
        <w:rPr>
          <w:highlight w:val="green"/>
        </w:rPr>
        <w:t>2</w:t>
      </w:r>
      <w:r w:rsidRPr="00CE5AA1">
        <w:rPr>
          <w:spacing w:val="-2"/>
          <w:highlight w:val="green"/>
        </w:rPr>
        <w:t xml:space="preserve"> </w:t>
      </w:r>
      <w:r w:rsidRPr="00CE5AA1">
        <w:rPr>
          <w:spacing w:val="-1"/>
          <w:highlight w:val="green"/>
        </w:rPr>
        <w:t>provisions</w:t>
      </w:r>
      <w:r w:rsidRPr="00CE5AA1">
        <w:rPr>
          <w:spacing w:val="-2"/>
          <w:highlight w:val="green"/>
        </w:rPr>
        <w:t xml:space="preserve"> </w:t>
      </w:r>
      <w:r w:rsidRPr="00CE5AA1">
        <w:rPr>
          <w:spacing w:val="-1"/>
          <w:highlight w:val="green"/>
        </w:rPr>
        <w:t>as</w:t>
      </w:r>
      <w:r w:rsidRPr="00CE5AA1">
        <w:rPr>
          <w:spacing w:val="-2"/>
          <w:highlight w:val="green"/>
        </w:rPr>
        <w:t xml:space="preserve"> </w:t>
      </w:r>
      <w:r w:rsidRPr="00CE5AA1">
        <w:rPr>
          <w:highlight w:val="green"/>
        </w:rPr>
        <w:t xml:space="preserve">a </w:t>
      </w:r>
      <w:r w:rsidRPr="00CE5AA1">
        <w:rPr>
          <w:spacing w:val="-1"/>
          <w:highlight w:val="green"/>
        </w:rPr>
        <w:t>base</w:t>
      </w:r>
      <w:r w:rsidRPr="00CE5AA1">
        <w:rPr>
          <w:spacing w:val="-2"/>
          <w:highlight w:val="green"/>
        </w:rPr>
        <w:t xml:space="preserve"> </w:t>
      </w:r>
      <w:r w:rsidRPr="00CE5AA1">
        <w:rPr>
          <w:spacing w:val="-1"/>
          <w:highlight w:val="green"/>
        </w:rPr>
        <w:t>line</w:t>
      </w:r>
      <w:r w:rsidRPr="00CE5AA1">
        <w:rPr>
          <w:highlight w:val="green"/>
        </w:rPr>
        <w:t xml:space="preserve"> </w:t>
      </w:r>
      <w:r w:rsidRPr="00CE5AA1">
        <w:rPr>
          <w:spacing w:val="-1"/>
          <w:highlight w:val="green"/>
        </w:rPr>
        <w:t>for such</w:t>
      </w:r>
      <w:r w:rsidRPr="00CE5AA1">
        <w:rPr>
          <w:spacing w:val="-2"/>
          <w:highlight w:val="green"/>
        </w:rPr>
        <w:t xml:space="preserve"> requirements]</w:t>
      </w:r>
    </w:p>
    <w:p w:rsidR="008918FA" w:rsidRDefault="008918FA" w:rsidP="008918FA">
      <w:pPr>
        <w:pStyle w:val="BodyText"/>
        <w:numPr>
          <w:ilvl w:val="0"/>
          <w:numId w:val="11"/>
        </w:numPr>
        <w:tabs>
          <w:tab w:val="left" w:pos="667"/>
        </w:tabs>
        <w:spacing w:before="117"/>
        <w:rPr>
          <w:rFonts w:ascii="Times New Roman" w:eastAsia="Times New Roman" w:hAnsi="Times New Roman" w:cs="Times New Roman"/>
        </w:rPr>
      </w:pPr>
      <w:r>
        <w:rPr>
          <w:rFonts w:ascii="Times New Roman"/>
          <w:spacing w:val="8"/>
        </w:rPr>
        <w:t>SUPPLIER</w:t>
      </w:r>
      <w:r>
        <w:rPr>
          <w:rFonts w:ascii="Times New Roman"/>
          <w:spacing w:val="18"/>
        </w:rPr>
        <w:t xml:space="preserve"> </w:t>
      </w:r>
      <w:r>
        <w:rPr>
          <w:rFonts w:ascii="Times New Roman"/>
          <w:spacing w:val="5"/>
        </w:rPr>
        <w:t>BCDR</w:t>
      </w:r>
      <w:r>
        <w:rPr>
          <w:rFonts w:ascii="Times New Roman"/>
          <w:spacing w:val="18"/>
        </w:rPr>
        <w:t xml:space="preserve"> </w:t>
      </w:r>
      <w:r>
        <w:rPr>
          <w:rFonts w:ascii="Times New Roman"/>
          <w:spacing w:val="5"/>
        </w:rPr>
        <w:t>PLAN</w:t>
      </w:r>
    </w:p>
    <w:p w:rsidR="008918FA" w:rsidRDefault="008918FA" w:rsidP="008918FA">
      <w:pPr>
        <w:spacing w:before="9"/>
        <w:rPr>
          <w:rFonts w:ascii="Times New Roman" w:eastAsia="Times New Roman" w:hAnsi="Times New Roman" w:cs="Times New Roman"/>
          <w:sz w:val="14"/>
          <w:szCs w:val="14"/>
        </w:rPr>
      </w:pPr>
    </w:p>
    <w:p w:rsidR="008918FA" w:rsidRDefault="008918FA" w:rsidP="008918FA">
      <w:pPr>
        <w:pStyle w:val="BodyText"/>
        <w:tabs>
          <w:tab w:val="left" w:pos="3068"/>
        </w:tabs>
        <w:spacing w:before="72"/>
        <w:ind w:left="1232" w:firstLine="0"/>
      </w:pPr>
      <w:r>
        <w:rPr>
          <w:highlight w:val="yellow"/>
        </w:rPr>
        <w:t>[</w:t>
      </w:r>
      <w:r>
        <w:rPr>
          <w:highlight w:val="yellow"/>
        </w:rPr>
        <w:tab/>
        <w:t>]</w:t>
      </w:r>
    </w:p>
    <w:p w:rsidR="008918FA" w:rsidRDefault="008918FA" w:rsidP="008918FA">
      <w:pPr>
        <w:pStyle w:val="Heading2"/>
        <w:spacing w:before="119"/>
        <w:ind w:left="1232" w:right="118"/>
        <w:rPr>
          <w:b w:val="0"/>
          <w:bCs w:val="0"/>
          <w:i w:val="0"/>
        </w:rPr>
      </w:pPr>
      <w:r w:rsidRPr="00CE5AA1">
        <w:rPr>
          <w:spacing w:val="-1"/>
          <w:highlight w:val="green"/>
        </w:rPr>
        <w:t>[Guidance</w:t>
      </w:r>
      <w:r w:rsidRPr="00CE5AA1">
        <w:rPr>
          <w:highlight w:val="green"/>
        </w:rPr>
        <w:t xml:space="preserve"> </w:t>
      </w:r>
      <w:r w:rsidRPr="00CE5AA1">
        <w:rPr>
          <w:spacing w:val="13"/>
          <w:highlight w:val="green"/>
        </w:rPr>
        <w:t xml:space="preserve"> </w:t>
      </w:r>
      <w:r w:rsidRPr="00CE5AA1">
        <w:rPr>
          <w:spacing w:val="-1"/>
          <w:highlight w:val="green"/>
        </w:rPr>
        <w:t>Note:</w:t>
      </w:r>
      <w:r w:rsidRPr="00CE5AA1">
        <w:rPr>
          <w:highlight w:val="green"/>
        </w:rPr>
        <w:t xml:space="preserve"> </w:t>
      </w:r>
      <w:r w:rsidRPr="00CE5AA1">
        <w:rPr>
          <w:spacing w:val="15"/>
          <w:highlight w:val="green"/>
        </w:rPr>
        <w:t xml:space="preserve"> </w:t>
      </w:r>
      <w:r w:rsidRPr="00CE5AA1">
        <w:rPr>
          <w:spacing w:val="-1"/>
          <w:highlight w:val="green"/>
        </w:rPr>
        <w:t>the</w:t>
      </w:r>
      <w:r w:rsidRPr="00CE5AA1">
        <w:rPr>
          <w:highlight w:val="green"/>
        </w:rPr>
        <w:t xml:space="preserve"> </w:t>
      </w:r>
      <w:r w:rsidRPr="00CE5AA1">
        <w:rPr>
          <w:spacing w:val="11"/>
          <w:highlight w:val="green"/>
        </w:rPr>
        <w:t xml:space="preserve"> </w:t>
      </w:r>
      <w:r w:rsidRPr="00CE5AA1">
        <w:rPr>
          <w:spacing w:val="-1"/>
          <w:highlight w:val="green"/>
        </w:rPr>
        <w:t>Customer</w:t>
      </w:r>
      <w:r w:rsidRPr="00CE5AA1">
        <w:rPr>
          <w:highlight w:val="green"/>
        </w:rPr>
        <w:t xml:space="preserve"> </w:t>
      </w:r>
      <w:r w:rsidRPr="00CE5AA1">
        <w:rPr>
          <w:spacing w:val="15"/>
          <w:highlight w:val="green"/>
        </w:rPr>
        <w:t xml:space="preserve"> </w:t>
      </w:r>
      <w:r w:rsidRPr="00CE5AA1">
        <w:rPr>
          <w:highlight w:val="green"/>
        </w:rPr>
        <w:t xml:space="preserve">to </w:t>
      </w:r>
      <w:r w:rsidRPr="00CE5AA1">
        <w:rPr>
          <w:spacing w:val="14"/>
          <w:highlight w:val="green"/>
        </w:rPr>
        <w:t xml:space="preserve"> </w:t>
      </w:r>
      <w:r w:rsidRPr="00CE5AA1">
        <w:rPr>
          <w:spacing w:val="-1"/>
          <w:highlight w:val="green"/>
        </w:rPr>
        <w:t>insert</w:t>
      </w:r>
      <w:r w:rsidRPr="00CE5AA1">
        <w:rPr>
          <w:highlight w:val="green"/>
        </w:rPr>
        <w:t xml:space="preserve"> </w:t>
      </w:r>
      <w:r w:rsidRPr="00CE5AA1">
        <w:rPr>
          <w:spacing w:val="15"/>
          <w:highlight w:val="green"/>
        </w:rPr>
        <w:t xml:space="preserve"> </w:t>
      </w:r>
      <w:r w:rsidRPr="00CE5AA1">
        <w:rPr>
          <w:spacing w:val="-1"/>
          <w:highlight w:val="green"/>
        </w:rPr>
        <w:t>the</w:t>
      </w:r>
      <w:r w:rsidRPr="00CE5AA1">
        <w:rPr>
          <w:highlight w:val="green"/>
        </w:rPr>
        <w:t xml:space="preserve"> </w:t>
      </w:r>
      <w:r w:rsidRPr="00CE5AA1">
        <w:rPr>
          <w:spacing w:val="14"/>
          <w:highlight w:val="green"/>
        </w:rPr>
        <w:t xml:space="preserve"> </w:t>
      </w:r>
      <w:r w:rsidRPr="00CE5AA1">
        <w:rPr>
          <w:spacing w:val="-1"/>
          <w:highlight w:val="green"/>
        </w:rPr>
        <w:t>Supplier’s</w:t>
      </w:r>
      <w:r w:rsidRPr="00CE5AA1">
        <w:rPr>
          <w:highlight w:val="green"/>
        </w:rPr>
        <w:t xml:space="preserve"> </w:t>
      </w:r>
      <w:r w:rsidRPr="00CE5AA1">
        <w:rPr>
          <w:spacing w:val="14"/>
          <w:highlight w:val="green"/>
        </w:rPr>
        <w:t xml:space="preserve"> </w:t>
      </w:r>
      <w:r w:rsidRPr="00CE5AA1">
        <w:rPr>
          <w:spacing w:val="-2"/>
          <w:highlight w:val="green"/>
        </w:rPr>
        <w:t>BCDR</w:t>
      </w:r>
      <w:r w:rsidRPr="00CE5AA1">
        <w:rPr>
          <w:highlight w:val="green"/>
        </w:rPr>
        <w:t xml:space="preserve"> </w:t>
      </w:r>
      <w:r w:rsidRPr="00CE5AA1">
        <w:rPr>
          <w:spacing w:val="13"/>
          <w:highlight w:val="green"/>
        </w:rPr>
        <w:t xml:space="preserve"> </w:t>
      </w:r>
      <w:r w:rsidRPr="00CE5AA1">
        <w:rPr>
          <w:spacing w:val="-1"/>
          <w:highlight w:val="green"/>
        </w:rPr>
        <w:t>Plan</w:t>
      </w:r>
      <w:r w:rsidRPr="00CE5AA1">
        <w:rPr>
          <w:highlight w:val="green"/>
        </w:rPr>
        <w:t xml:space="preserve"> </w:t>
      </w:r>
      <w:r w:rsidRPr="00CE5AA1">
        <w:rPr>
          <w:spacing w:val="13"/>
          <w:highlight w:val="green"/>
        </w:rPr>
        <w:t xml:space="preserve"> </w:t>
      </w:r>
      <w:r w:rsidRPr="00CE5AA1">
        <w:rPr>
          <w:spacing w:val="-1"/>
          <w:highlight w:val="green"/>
        </w:rPr>
        <w:t>as</w:t>
      </w:r>
      <w:r w:rsidRPr="00CE5AA1">
        <w:rPr>
          <w:spacing w:val="51"/>
          <w:highlight w:val="green"/>
        </w:rPr>
        <w:t xml:space="preserve"> </w:t>
      </w:r>
      <w:r w:rsidRPr="00CE5AA1">
        <w:rPr>
          <w:spacing w:val="-1"/>
          <w:highlight w:val="green"/>
        </w:rPr>
        <w:t>submitted</w:t>
      </w:r>
      <w:r w:rsidRPr="00CE5AA1">
        <w:rPr>
          <w:spacing w:val="-2"/>
          <w:highlight w:val="green"/>
        </w:rPr>
        <w:t xml:space="preserve"> </w:t>
      </w:r>
      <w:r w:rsidRPr="00CE5AA1">
        <w:rPr>
          <w:spacing w:val="-1"/>
          <w:highlight w:val="green"/>
        </w:rPr>
        <w:t>during</w:t>
      </w:r>
      <w:r w:rsidRPr="00CE5AA1">
        <w:rPr>
          <w:spacing w:val="-2"/>
          <w:highlight w:val="green"/>
        </w:rPr>
        <w:t xml:space="preserve"> </w:t>
      </w:r>
      <w:r w:rsidRPr="00CE5AA1">
        <w:rPr>
          <w:spacing w:val="-1"/>
          <w:highlight w:val="green"/>
        </w:rPr>
        <w:t>the</w:t>
      </w:r>
      <w:r w:rsidRPr="00CE5AA1">
        <w:rPr>
          <w:spacing w:val="-2"/>
          <w:highlight w:val="green"/>
        </w:rPr>
        <w:t xml:space="preserve"> </w:t>
      </w:r>
      <w:r w:rsidRPr="00CE5AA1">
        <w:rPr>
          <w:spacing w:val="-1"/>
          <w:highlight w:val="green"/>
        </w:rPr>
        <w:t>Further Competition</w:t>
      </w:r>
      <w:r w:rsidRPr="00CE5AA1">
        <w:rPr>
          <w:spacing w:val="-2"/>
          <w:highlight w:val="green"/>
        </w:rPr>
        <w:t xml:space="preserve"> </w:t>
      </w:r>
      <w:r w:rsidRPr="00CE5AA1">
        <w:rPr>
          <w:spacing w:val="-1"/>
          <w:highlight w:val="green"/>
        </w:rPr>
        <w:t>Procedure</w:t>
      </w:r>
    </w:p>
    <w:p w:rsidR="008918FA" w:rsidRDefault="008918FA" w:rsidP="008918FA">
      <w:pPr>
        <w:spacing w:before="10"/>
        <w:rPr>
          <w:rFonts w:ascii="Arial" w:eastAsia="Arial" w:hAnsi="Arial" w:cs="Arial"/>
          <w:b/>
          <w:bCs/>
          <w:i/>
          <w:sz w:val="19"/>
          <w:szCs w:val="19"/>
        </w:rPr>
      </w:pPr>
    </w:p>
    <w:p w:rsidR="008918FA" w:rsidRDefault="008918FA" w:rsidP="008918FA">
      <w:pPr>
        <w:spacing w:before="72"/>
        <w:ind w:left="100"/>
        <w:rPr>
          <w:rFonts w:ascii="Arial" w:eastAsia="Arial" w:hAnsi="Arial" w:cs="Arial"/>
        </w:rPr>
      </w:pPr>
      <w:r>
        <w:rPr>
          <w:rFonts w:ascii="Arial"/>
          <w:b/>
          <w:highlight w:val="yellow"/>
        </w:rPr>
        <w:t>[OPTION</w:t>
      </w:r>
      <w:r>
        <w:rPr>
          <w:rFonts w:ascii="Arial"/>
          <w:b/>
          <w:spacing w:val="-4"/>
          <w:highlight w:val="yellow"/>
        </w:rPr>
        <w:t xml:space="preserve"> </w:t>
      </w:r>
      <w:r>
        <w:rPr>
          <w:rFonts w:ascii="Arial"/>
          <w:b/>
          <w:spacing w:val="-1"/>
          <w:highlight w:val="yellow"/>
        </w:rPr>
        <w:t>2]</w:t>
      </w:r>
    </w:p>
    <w:p w:rsidR="008918FA" w:rsidRDefault="008918FA" w:rsidP="008918FA">
      <w:pPr>
        <w:spacing w:before="8"/>
        <w:rPr>
          <w:rFonts w:ascii="Arial" w:eastAsia="Arial" w:hAnsi="Arial" w:cs="Arial"/>
          <w:b/>
          <w:bCs/>
          <w:sz w:val="14"/>
          <w:szCs w:val="14"/>
        </w:rPr>
      </w:pPr>
    </w:p>
    <w:p w:rsidR="008918FA" w:rsidRDefault="008918FA" w:rsidP="008918FA">
      <w:pPr>
        <w:spacing w:before="72"/>
        <w:ind w:left="666" w:right="250"/>
        <w:jc w:val="both"/>
        <w:rPr>
          <w:rFonts w:ascii="Arial" w:eastAsia="Arial" w:hAnsi="Arial" w:cs="Arial"/>
        </w:rPr>
      </w:pPr>
      <w:r w:rsidRPr="00CE5AA1">
        <w:rPr>
          <w:rFonts w:ascii="Arial"/>
          <w:b/>
          <w:i/>
          <w:spacing w:val="-1"/>
          <w:highlight w:val="green"/>
        </w:rPr>
        <w:t>[Guidance</w:t>
      </w:r>
      <w:r w:rsidRPr="00CE5AA1">
        <w:rPr>
          <w:rFonts w:ascii="Arial"/>
          <w:b/>
          <w:i/>
          <w:spacing w:val="10"/>
          <w:highlight w:val="green"/>
        </w:rPr>
        <w:t xml:space="preserve"> </w:t>
      </w:r>
      <w:r w:rsidRPr="00CE5AA1">
        <w:rPr>
          <w:rFonts w:ascii="Arial"/>
          <w:b/>
          <w:i/>
          <w:spacing w:val="-1"/>
          <w:highlight w:val="green"/>
        </w:rPr>
        <w:t>Note:</w:t>
      </w:r>
      <w:r w:rsidRPr="00CE5AA1">
        <w:rPr>
          <w:rFonts w:ascii="Arial"/>
          <w:b/>
          <w:i/>
          <w:spacing w:val="11"/>
          <w:highlight w:val="green"/>
        </w:rPr>
        <w:t xml:space="preserve"> </w:t>
      </w:r>
      <w:r w:rsidRPr="00CE5AA1">
        <w:rPr>
          <w:rFonts w:ascii="Arial"/>
          <w:b/>
          <w:i/>
          <w:spacing w:val="-1"/>
          <w:highlight w:val="green"/>
        </w:rPr>
        <w:t>This</w:t>
      </w:r>
      <w:r w:rsidRPr="00CE5AA1">
        <w:rPr>
          <w:rFonts w:ascii="Arial"/>
          <w:b/>
          <w:i/>
          <w:spacing w:val="10"/>
          <w:highlight w:val="green"/>
        </w:rPr>
        <w:t xml:space="preserve"> </w:t>
      </w:r>
      <w:r w:rsidRPr="00CE5AA1">
        <w:rPr>
          <w:rFonts w:ascii="Arial"/>
          <w:b/>
          <w:i/>
          <w:spacing w:val="-1"/>
          <w:highlight w:val="green"/>
        </w:rPr>
        <w:t>option</w:t>
      </w:r>
      <w:r w:rsidRPr="00CE5AA1">
        <w:rPr>
          <w:rFonts w:ascii="Arial"/>
          <w:b/>
          <w:i/>
          <w:spacing w:val="10"/>
          <w:highlight w:val="green"/>
        </w:rPr>
        <w:t xml:space="preserve"> </w:t>
      </w:r>
      <w:r w:rsidRPr="00CE5AA1">
        <w:rPr>
          <w:rFonts w:ascii="Arial"/>
          <w:b/>
          <w:i/>
          <w:highlight w:val="green"/>
        </w:rPr>
        <w:t>is</w:t>
      </w:r>
      <w:r w:rsidRPr="00CE5AA1">
        <w:rPr>
          <w:rFonts w:ascii="Arial"/>
          <w:b/>
          <w:i/>
          <w:spacing w:val="7"/>
          <w:highlight w:val="green"/>
        </w:rPr>
        <w:t xml:space="preserve"> </w:t>
      </w:r>
      <w:r w:rsidRPr="00CE5AA1">
        <w:rPr>
          <w:rFonts w:ascii="Arial"/>
          <w:b/>
          <w:i/>
          <w:highlight w:val="green"/>
        </w:rPr>
        <w:t>to</w:t>
      </w:r>
      <w:r w:rsidRPr="00CE5AA1">
        <w:rPr>
          <w:rFonts w:ascii="Arial"/>
          <w:b/>
          <w:i/>
          <w:spacing w:val="10"/>
          <w:highlight w:val="green"/>
        </w:rPr>
        <w:t xml:space="preserve"> </w:t>
      </w:r>
      <w:r w:rsidRPr="00CE5AA1">
        <w:rPr>
          <w:rFonts w:ascii="Arial"/>
          <w:b/>
          <w:i/>
          <w:spacing w:val="-1"/>
          <w:highlight w:val="green"/>
        </w:rPr>
        <w:t>be</w:t>
      </w:r>
      <w:r w:rsidRPr="00CE5AA1">
        <w:rPr>
          <w:rFonts w:ascii="Arial"/>
          <w:b/>
          <w:i/>
          <w:spacing w:val="10"/>
          <w:highlight w:val="green"/>
        </w:rPr>
        <w:t xml:space="preserve"> </w:t>
      </w:r>
      <w:r w:rsidRPr="00CE5AA1">
        <w:rPr>
          <w:rFonts w:ascii="Arial"/>
          <w:b/>
          <w:i/>
          <w:spacing w:val="-1"/>
          <w:highlight w:val="green"/>
        </w:rPr>
        <w:t>used</w:t>
      </w:r>
      <w:r w:rsidRPr="00CE5AA1">
        <w:rPr>
          <w:rFonts w:ascii="Arial"/>
          <w:b/>
          <w:i/>
          <w:spacing w:val="10"/>
          <w:highlight w:val="green"/>
        </w:rPr>
        <w:t xml:space="preserve"> </w:t>
      </w:r>
      <w:r w:rsidRPr="00CE5AA1">
        <w:rPr>
          <w:rFonts w:ascii="Arial"/>
          <w:b/>
          <w:i/>
          <w:spacing w:val="-1"/>
          <w:highlight w:val="green"/>
        </w:rPr>
        <w:t>by</w:t>
      </w:r>
      <w:r w:rsidRPr="00CE5AA1">
        <w:rPr>
          <w:rFonts w:ascii="Arial"/>
          <w:b/>
          <w:i/>
          <w:spacing w:val="10"/>
          <w:highlight w:val="green"/>
        </w:rPr>
        <w:t xml:space="preserve"> </w:t>
      </w:r>
      <w:r w:rsidRPr="00CE5AA1">
        <w:rPr>
          <w:rFonts w:ascii="Arial"/>
          <w:b/>
          <w:i/>
          <w:spacing w:val="-1"/>
          <w:highlight w:val="green"/>
        </w:rPr>
        <w:t>Customers</w:t>
      </w:r>
      <w:r w:rsidRPr="00CE5AA1">
        <w:rPr>
          <w:rFonts w:ascii="Arial"/>
          <w:b/>
          <w:i/>
          <w:spacing w:val="10"/>
          <w:highlight w:val="green"/>
        </w:rPr>
        <w:t xml:space="preserve"> </w:t>
      </w:r>
      <w:r w:rsidRPr="00CE5AA1">
        <w:rPr>
          <w:rFonts w:ascii="Arial"/>
          <w:b/>
          <w:i/>
          <w:spacing w:val="-1"/>
          <w:highlight w:val="green"/>
        </w:rPr>
        <w:t>using</w:t>
      </w:r>
      <w:r w:rsidRPr="00CE5AA1">
        <w:rPr>
          <w:rFonts w:ascii="Arial"/>
          <w:b/>
          <w:i/>
          <w:spacing w:val="10"/>
          <w:highlight w:val="green"/>
        </w:rPr>
        <w:t xml:space="preserve"> </w:t>
      </w:r>
      <w:r w:rsidRPr="00CE5AA1">
        <w:rPr>
          <w:rFonts w:ascii="Arial"/>
          <w:b/>
          <w:i/>
          <w:spacing w:val="-1"/>
          <w:highlight w:val="green"/>
        </w:rPr>
        <w:t>the</w:t>
      </w:r>
      <w:r w:rsidRPr="00CE5AA1">
        <w:rPr>
          <w:rFonts w:ascii="Arial"/>
          <w:b/>
          <w:i/>
          <w:spacing w:val="10"/>
          <w:highlight w:val="green"/>
        </w:rPr>
        <w:t xml:space="preserve"> </w:t>
      </w:r>
      <w:r w:rsidRPr="00CE5AA1">
        <w:rPr>
          <w:rFonts w:ascii="Arial"/>
          <w:b/>
          <w:i/>
          <w:spacing w:val="-1"/>
          <w:highlight w:val="green"/>
        </w:rPr>
        <w:t>Direct</w:t>
      </w:r>
      <w:r w:rsidRPr="00CE5AA1">
        <w:rPr>
          <w:rFonts w:ascii="Arial"/>
          <w:b/>
          <w:i/>
          <w:spacing w:val="11"/>
          <w:highlight w:val="green"/>
        </w:rPr>
        <w:t xml:space="preserve"> </w:t>
      </w:r>
      <w:r w:rsidRPr="00CE5AA1">
        <w:rPr>
          <w:rFonts w:ascii="Arial"/>
          <w:b/>
          <w:i/>
          <w:spacing w:val="-1"/>
          <w:highlight w:val="green"/>
        </w:rPr>
        <w:t>Award</w:t>
      </w:r>
      <w:r w:rsidRPr="00CE5AA1">
        <w:rPr>
          <w:rFonts w:ascii="Arial"/>
          <w:b/>
          <w:i/>
          <w:spacing w:val="45"/>
          <w:highlight w:val="green"/>
        </w:rPr>
        <w:t xml:space="preserve"> </w:t>
      </w:r>
      <w:r w:rsidRPr="00CE5AA1">
        <w:rPr>
          <w:rFonts w:ascii="Arial"/>
          <w:b/>
          <w:i/>
          <w:spacing w:val="-1"/>
          <w:highlight w:val="green"/>
        </w:rPr>
        <w:t>process</w:t>
      </w:r>
      <w:r w:rsidRPr="00CE5AA1">
        <w:rPr>
          <w:rFonts w:ascii="Arial"/>
          <w:b/>
          <w:i/>
          <w:spacing w:val="55"/>
          <w:highlight w:val="green"/>
        </w:rPr>
        <w:t xml:space="preserve"> </w:t>
      </w:r>
      <w:r w:rsidRPr="00CE5AA1">
        <w:rPr>
          <w:rFonts w:ascii="Arial"/>
          <w:b/>
          <w:i/>
          <w:spacing w:val="-1"/>
          <w:highlight w:val="green"/>
        </w:rPr>
        <w:t>or</w:t>
      </w:r>
      <w:r w:rsidRPr="00CE5AA1">
        <w:rPr>
          <w:rFonts w:ascii="Arial"/>
          <w:b/>
          <w:i/>
          <w:spacing w:val="56"/>
          <w:highlight w:val="green"/>
        </w:rPr>
        <w:t xml:space="preserve"> </w:t>
      </w:r>
      <w:r w:rsidRPr="00CE5AA1">
        <w:rPr>
          <w:rFonts w:ascii="Arial"/>
          <w:b/>
          <w:i/>
          <w:spacing w:val="-1"/>
          <w:highlight w:val="green"/>
        </w:rPr>
        <w:t>the</w:t>
      </w:r>
      <w:r w:rsidRPr="00CE5AA1">
        <w:rPr>
          <w:rFonts w:ascii="Arial"/>
          <w:b/>
          <w:i/>
          <w:spacing w:val="53"/>
          <w:highlight w:val="green"/>
        </w:rPr>
        <w:t xml:space="preserve"> </w:t>
      </w:r>
      <w:r w:rsidRPr="00CE5AA1">
        <w:rPr>
          <w:rFonts w:ascii="Arial"/>
          <w:b/>
          <w:i/>
          <w:spacing w:val="-1"/>
          <w:highlight w:val="green"/>
        </w:rPr>
        <w:t>Further</w:t>
      </w:r>
      <w:r w:rsidRPr="00CE5AA1">
        <w:rPr>
          <w:rFonts w:ascii="Arial"/>
          <w:b/>
          <w:i/>
          <w:spacing w:val="56"/>
          <w:highlight w:val="green"/>
        </w:rPr>
        <w:t xml:space="preserve"> </w:t>
      </w:r>
      <w:r w:rsidRPr="00CE5AA1">
        <w:rPr>
          <w:rFonts w:ascii="Arial"/>
          <w:b/>
          <w:i/>
          <w:spacing w:val="-1"/>
          <w:highlight w:val="green"/>
        </w:rPr>
        <w:t>Competition</w:t>
      </w:r>
      <w:r w:rsidRPr="00CE5AA1">
        <w:rPr>
          <w:rFonts w:ascii="Arial"/>
          <w:b/>
          <w:i/>
          <w:spacing w:val="55"/>
          <w:highlight w:val="green"/>
        </w:rPr>
        <w:t xml:space="preserve"> </w:t>
      </w:r>
      <w:r w:rsidRPr="00CE5AA1">
        <w:rPr>
          <w:rFonts w:ascii="Arial"/>
          <w:b/>
          <w:i/>
          <w:spacing w:val="-1"/>
          <w:highlight w:val="green"/>
        </w:rPr>
        <w:t>Procedure</w:t>
      </w:r>
      <w:r w:rsidRPr="00CE5AA1">
        <w:rPr>
          <w:rFonts w:ascii="Arial"/>
          <w:b/>
          <w:i/>
          <w:spacing w:val="55"/>
          <w:highlight w:val="green"/>
        </w:rPr>
        <w:t xml:space="preserve"> </w:t>
      </w:r>
      <w:r w:rsidRPr="00CE5AA1">
        <w:rPr>
          <w:rFonts w:ascii="Arial"/>
          <w:b/>
          <w:i/>
          <w:spacing w:val="-1"/>
          <w:highlight w:val="green"/>
        </w:rPr>
        <w:t>under</w:t>
      </w:r>
      <w:r w:rsidRPr="00CE5AA1">
        <w:rPr>
          <w:rFonts w:ascii="Arial"/>
          <w:b/>
          <w:i/>
          <w:spacing w:val="55"/>
          <w:highlight w:val="green"/>
        </w:rPr>
        <w:t xml:space="preserve"> </w:t>
      </w:r>
      <w:r w:rsidRPr="00CE5AA1">
        <w:rPr>
          <w:rFonts w:ascii="Arial"/>
          <w:b/>
          <w:i/>
          <w:highlight w:val="green"/>
        </w:rPr>
        <w:t>which</w:t>
      </w:r>
      <w:r w:rsidRPr="00CE5AA1">
        <w:rPr>
          <w:rFonts w:ascii="Arial"/>
          <w:b/>
          <w:i/>
          <w:spacing w:val="53"/>
          <w:highlight w:val="green"/>
        </w:rPr>
        <w:t xml:space="preserve"> </w:t>
      </w:r>
      <w:r w:rsidRPr="00CE5AA1">
        <w:rPr>
          <w:rFonts w:ascii="Arial"/>
          <w:b/>
          <w:i/>
          <w:spacing w:val="-1"/>
          <w:highlight w:val="green"/>
        </w:rPr>
        <w:t>the</w:t>
      </w:r>
      <w:r w:rsidRPr="00CE5AA1">
        <w:rPr>
          <w:rFonts w:ascii="Arial"/>
          <w:b/>
          <w:i/>
          <w:spacing w:val="53"/>
          <w:highlight w:val="green"/>
        </w:rPr>
        <w:t xml:space="preserve"> </w:t>
      </w:r>
      <w:r w:rsidRPr="00CE5AA1">
        <w:rPr>
          <w:rFonts w:ascii="Arial"/>
          <w:b/>
          <w:i/>
          <w:spacing w:val="-1"/>
          <w:highlight w:val="green"/>
        </w:rPr>
        <w:t>Customer</w:t>
      </w:r>
      <w:r w:rsidRPr="00CE5AA1">
        <w:rPr>
          <w:rFonts w:ascii="Arial"/>
          <w:b/>
          <w:i/>
          <w:spacing w:val="54"/>
          <w:highlight w:val="green"/>
        </w:rPr>
        <w:t xml:space="preserve"> </w:t>
      </w:r>
      <w:r w:rsidRPr="00CE5AA1">
        <w:rPr>
          <w:rFonts w:ascii="Arial"/>
          <w:b/>
          <w:i/>
          <w:highlight w:val="green"/>
        </w:rPr>
        <w:t>is</w:t>
      </w:r>
      <w:r w:rsidRPr="00CE5AA1">
        <w:rPr>
          <w:rFonts w:ascii="Arial"/>
          <w:b/>
          <w:i/>
          <w:spacing w:val="33"/>
          <w:highlight w:val="green"/>
        </w:rPr>
        <w:t xml:space="preserve"> </w:t>
      </w:r>
      <w:r w:rsidRPr="00CE5AA1">
        <w:rPr>
          <w:rFonts w:ascii="Arial"/>
          <w:b/>
          <w:i/>
          <w:spacing w:val="-1"/>
          <w:highlight w:val="green"/>
        </w:rPr>
        <w:t>happy</w:t>
      </w:r>
      <w:r w:rsidRPr="00CE5AA1">
        <w:rPr>
          <w:rFonts w:ascii="Arial"/>
          <w:b/>
          <w:i/>
          <w:spacing w:val="15"/>
          <w:highlight w:val="green"/>
        </w:rPr>
        <w:t xml:space="preserve"> </w:t>
      </w:r>
      <w:r w:rsidRPr="00CE5AA1">
        <w:rPr>
          <w:rFonts w:ascii="Arial"/>
          <w:b/>
          <w:i/>
          <w:spacing w:val="-1"/>
          <w:highlight w:val="green"/>
        </w:rPr>
        <w:t>for</w:t>
      </w:r>
      <w:r w:rsidRPr="00CE5AA1">
        <w:rPr>
          <w:rFonts w:ascii="Arial"/>
          <w:b/>
          <w:i/>
          <w:spacing w:val="16"/>
          <w:highlight w:val="green"/>
        </w:rPr>
        <w:t xml:space="preserve"> </w:t>
      </w:r>
      <w:r w:rsidRPr="00CE5AA1">
        <w:rPr>
          <w:rFonts w:ascii="Arial"/>
          <w:b/>
          <w:i/>
          <w:spacing w:val="-1"/>
          <w:highlight w:val="green"/>
        </w:rPr>
        <w:t>the</w:t>
      </w:r>
      <w:r w:rsidRPr="00CE5AA1">
        <w:rPr>
          <w:rFonts w:ascii="Arial"/>
          <w:b/>
          <w:i/>
          <w:spacing w:val="15"/>
          <w:highlight w:val="green"/>
        </w:rPr>
        <w:t xml:space="preserve"> </w:t>
      </w:r>
      <w:r w:rsidRPr="00CE5AA1">
        <w:rPr>
          <w:rFonts w:ascii="Arial"/>
          <w:b/>
          <w:i/>
          <w:spacing w:val="-1"/>
          <w:highlight w:val="green"/>
        </w:rPr>
        <w:t>Supplier</w:t>
      </w:r>
      <w:r w:rsidRPr="00CE5AA1">
        <w:rPr>
          <w:rFonts w:ascii="Arial"/>
          <w:b/>
          <w:i/>
          <w:spacing w:val="13"/>
          <w:highlight w:val="green"/>
        </w:rPr>
        <w:t xml:space="preserve"> </w:t>
      </w:r>
      <w:r w:rsidRPr="00CE5AA1">
        <w:rPr>
          <w:rFonts w:ascii="Arial"/>
          <w:b/>
          <w:i/>
          <w:highlight w:val="green"/>
        </w:rPr>
        <w:t>to</w:t>
      </w:r>
      <w:r w:rsidRPr="00CE5AA1">
        <w:rPr>
          <w:rFonts w:ascii="Arial"/>
          <w:b/>
          <w:i/>
          <w:spacing w:val="15"/>
          <w:highlight w:val="green"/>
        </w:rPr>
        <w:t xml:space="preserve"> </w:t>
      </w:r>
      <w:r w:rsidRPr="00CE5AA1">
        <w:rPr>
          <w:rFonts w:ascii="Arial"/>
          <w:b/>
          <w:i/>
          <w:spacing w:val="-1"/>
          <w:highlight w:val="green"/>
        </w:rPr>
        <w:t>provide</w:t>
      </w:r>
      <w:r w:rsidRPr="00CE5AA1">
        <w:rPr>
          <w:rFonts w:ascii="Arial"/>
          <w:b/>
          <w:i/>
          <w:spacing w:val="15"/>
          <w:highlight w:val="green"/>
        </w:rPr>
        <w:t xml:space="preserve"> </w:t>
      </w:r>
      <w:r w:rsidRPr="00CE5AA1">
        <w:rPr>
          <w:rFonts w:ascii="Arial"/>
          <w:b/>
          <w:i/>
          <w:spacing w:val="-1"/>
          <w:highlight w:val="green"/>
        </w:rPr>
        <w:t>the</w:t>
      </w:r>
      <w:r w:rsidRPr="00CE5AA1">
        <w:rPr>
          <w:rFonts w:ascii="Arial"/>
          <w:b/>
          <w:i/>
          <w:spacing w:val="15"/>
          <w:highlight w:val="green"/>
        </w:rPr>
        <w:t xml:space="preserve"> </w:t>
      </w:r>
      <w:r w:rsidRPr="00CE5AA1">
        <w:rPr>
          <w:rFonts w:ascii="Arial"/>
          <w:b/>
          <w:i/>
          <w:spacing w:val="-2"/>
          <w:highlight w:val="green"/>
        </w:rPr>
        <w:t>BCDR</w:t>
      </w:r>
      <w:r w:rsidRPr="00CE5AA1">
        <w:rPr>
          <w:rFonts w:ascii="Arial"/>
          <w:b/>
          <w:i/>
          <w:spacing w:val="17"/>
          <w:highlight w:val="green"/>
        </w:rPr>
        <w:t xml:space="preserve"> </w:t>
      </w:r>
      <w:r w:rsidRPr="00CE5AA1">
        <w:rPr>
          <w:rFonts w:ascii="Arial"/>
          <w:b/>
          <w:i/>
          <w:spacing w:val="-1"/>
          <w:highlight w:val="green"/>
        </w:rPr>
        <w:t>Plan</w:t>
      </w:r>
      <w:r w:rsidRPr="00CE5AA1">
        <w:rPr>
          <w:rFonts w:ascii="Arial"/>
          <w:b/>
          <w:i/>
          <w:spacing w:val="15"/>
          <w:highlight w:val="green"/>
        </w:rPr>
        <w:t xml:space="preserve"> </w:t>
      </w:r>
      <w:r w:rsidRPr="00CE5AA1">
        <w:rPr>
          <w:rFonts w:ascii="Arial"/>
          <w:b/>
          <w:i/>
          <w:spacing w:val="-1"/>
          <w:highlight w:val="green"/>
        </w:rPr>
        <w:t>after</w:t>
      </w:r>
      <w:r w:rsidRPr="00CE5AA1">
        <w:rPr>
          <w:rFonts w:ascii="Arial"/>
          <w:b/>
          <w:i/>
          <w:spacing w:val="16"/>
          <w:highlight w:val="green"/>
        </w:rPr>
        <w:t xml:space="preserve"> </w:t>
      </w:r>
      <w:r w:rsidRPr="00CE5AA1">
        <w:rPr>
          <w:rFonts w:ascii="Arial"/>
          <w:b/>
          <w:i/>
          <w:spacing w:val="-1"/>
          <w:highlight w:val="green"/>
        </w:rPr>
        <w:t>the</w:t>
      </w:r>
      <w:r w:rsidRPr="00CE5AA1">
        <w:rPr>
          <w:rFonts w:ascii="Arial"/>
          <w:b/>
          <w:i/>
          <w:spacing w:val="15"/>
          <w:highlight w:val="green"/>
        </w:rPr>
        <w:t xml:space="preserve"> </w:t>
      </w:r>
      <w:r w:rsidRPr="00CE5AA1">
        <w:rPr>
          <w:rFonts w:ascii="Arial"/>
          <w:b/>
          <w:i/>
          <w:spacing w:val="-2"/>
          <w:highlight w:val="green"/>
        </w:rPr>
        <w:t>Call</w:t>
      </w:r>
      <w:r w:rsidRPr="00CE5AA1">
        <w:rPr>
          <w:rFonts w:ascii="Arial"/>
          <w:b/>
          <w:i/>
          <w:spacing w:val="16"/>
          <w:highlight w:val="green"/>
        </w:rPr>
        <w:t xml:space="preserve"> </w:t>
      </w:r>
      <w:r w:rsidRPr="00CE5AA1">
        <w:rPr>
          <w:rFonts w:ascii="Arial"/>
          <w:b/>
          <w:i/>
          <w:spacing w:val="-1"/>
          <w:highlight w:val="green"/>
        </w:rPr>
        <w:t>Off</w:t>
      </w:r>
      <w:r w:rsidRPr="00CE5AA1">
        <w:rPr>
          <w:rFonts w:ascii="Arial"/>
          <w:b/>
          <w:i/>
          <w:spacing w:val="14"/>
          <w:highlight w:val="green"/>
        </w:rPr>
        <w:t xml:space="preserve"> </w:t>
      </w:r>
      <w:r w:rsidRPr="00CE5AA1">
        <w:rPr>
          <w:rFonts w:ascii="Arial"/>
          <w:b/>
          <w:i/>
          <w:spacing w:val="-1"/>
          <w:highlight w:val="green"/>
        </w:rPr>
        <w:t>Contract</w:t>
      </w:r>
      <w:r w:rsidRPr="00CE5AA1">
        <w:rPr>
          <w:rFonts w:ascii="Arial"/>
          <w:b/>
          <w:i/>
          <w:spacing w:val="16"/>
          <w:highlight w:val="green"/>
        </w:rPr>
        <w:t xml:space="preserve"> </w:t>
      </w:r>
      <w:r w:rsidRPr="00CE5AA1">
        <w:rPr>
          <w:rFonts w:ascii="Arial"/>
          <w:b/>
          <w:i/>
          <w:spacing w:val="-1"/>
          <w:highlight w:val="green"/>
        </w:rPr>
        <w:t>has</w:t>
      </w:r>
      <w:r w:rsidRPr="00CE5AA1">
        <w:rPr>
          <w:rFonts w:ascii="Arial"/>
          <w:b/>
          <w:i/>
          <w:spacing w:val="62"/>
          <w:highlight w:val="green"/>
        </w:rPr>
        <w:t xml:space="preserve"> </w:t>
      </w:r>
      <w:r w:rsidRPr="00CE5AA1">
        <w:rPr>
          <w:rFonts w:ascii="Arial"/>
          <w:b/>
          <w:i/>
          <w:spacing w:val="-1"/>
          <w:highlight w:val="green"/>
        </w:rPr>
        <w:t>been</w:t>
      </w:r>
      <w:r w:rsidRPr="00CE5AA1">
        <w:rPr>
          <w:rFonts w:ascii="Arial"/>
          <w:b/>
          <w:i/>
          <w:highlight w:val="green"/>
        </w:rPr>
        <w:t xml:space="preserve"> </w:t>
      </w:r>
      <w:r w:rsidRPr="00CE5AA1">
        <w:rPr>
          <w:rFonts w:ascii="Arial"/>
          <w:b/>
          <w:i/>
          <w:spacing w:val="-1"/>
          <w:highlight w:val="green"/>
        </w:rPr>
        <w:t>signed</w:t>
      </w:r>
      <w:r w:rsidRPr="00CE5AA1">
        <w:rPr>
          <w:rFonts w:ascii="Arial"/>
          <w:b/>
          <w:i/>
          <w:spacing w:val="-2"/>
          <w:highlight w:val="green"/>
        </w:rPr>
        <w:t xml:space="preserve"> </w:t>
      </w:r>
      <w:r w:rsidRPr="00CE5AA1">
        <w:rPr>
          <w:rFonts w:ascii="Arial"/>
          <w:b/>
          <w:i/>
          <w:spacing w:val="-1"/>
          <w:highlight w:val="green"/>
        </w:rPr>
        <w:t>rather than</w:t>
      </w:r>
      <w:r w:rsidRPr="00CE5AA1">
        <w:rPr>
          <w:rFonts w:ascii="Arial"/>
          <w:b/>
          <w:i/>
          <w:highlight w:val="green"/>
        </w:rPr>
        <w:t xml:space="preserve"> </w:t>
      </w:r>
      <w:r w:rsidRPr="00CE5AA1">
        <w:rPr>
          <w:rFonts w:ascii="Arial"/>
          <w:b/>
          <w:i/>
          <w:spacing w:val="-1"/>
          <w:highlight w:val="green"/>
        </w:rPr>
        <w:t>during</w:t>
      </w:r>
      <w:r w:rsidRPr="00CE5AA1">
        <w:rPr>
          <w:rFonts w:ascii="Arial"/>
          <w:b/>
          <w:i/>
          <w:spacing w:val="-2"/>
          <w:highlight w:val="green"/>
        </w:rPr>
        <w:t xml:space="preserve"> </w:t>
      </w:r>
      <w:r w:rsidRPr="00CE5AA1">
        <w:rPr>
          <w:rFonts w:ascii="Arial"/>
          <w:b/>
          <w:i/>
          <w:spacing w:val="-1"/>
          <w:highlight w:val="green"/>
        </w:rPr>
        <w:t>the</w:t>
      </w:r>
      <w:r w:rsidRPr="00CE5AA1">
        <w:rPr>
          <w:rFonts w:ascii="Arial"/>
          <w:b/>
          <w:i/>
          <w:spacing w:val="-2"/>
          <w:highlight w:val="green"/>
        </w:rPr>
        <w:t xml:space="preserve"> </w:t>
      </w:r>
      <w:r w:rsidRPr="00CE5AA1">
        <w:rPr>
          <w:rFonts w:ascii="Arial"/>
          <w:b/>
          <w:i/>
          <w:spacing w:val="-1"/>
          <w:highlight w:val="green"/>
        </w:rPr>
        <w:t>Further Competition</w:t>
      </w:r>
      <w:r w:rsidRPr="00CE5AA1">
        <w:rPr>
          <w:rFonts w:ascii="Arial"/>
          <w:b/>
          <w:i/>
          <w:highlight w:val="green"/>
        </w:rPr>
        <w:t xml:space="preserve"> </w:t>
      </w:r>
      <w:r w:rsidRPr="00CE5AA1">
        <w:rPr>
          <w:rFonts w:ascii="Arial"/>
          <w:b/>
          <w:i/>
          <w:spacing w:val="-1"/>
          <w:highlight w:val="green"/>
        </w:rPr>
        <w:t>Procedure.</w:t>
      </w:r>
    </w:p>
    <w:p w:rsidR="008918FA" w:rsidRDefault="008918FA" w:rsidP="008918FA">
      <w:pPr>
        <w:pStyle w:val="BodyText"/>
        <w:numPr>
          <w:ilvl w:val="0"/>
          <w:numId w:val="10"/>
        </w:numPr>
        <w:tabs>
          <w:tab w:val="left" w:pos="667"/>
        </w:tabs>
        <w:spacing w:before="120"/>
        <w:jc w:val="left"/>
        <w:rPr>
          <w:rFonts w:ascii="Times New Roman" w:eastAsia="Times New Roman" w:hAnsi="Times New Roman" w:cs="Times New Roman"/>
        </w:rPr>
      </w:pPr>
      <w:r>
        <w:rPr>
          <w:rFonts w:ascii="Times New Roman"/>
          <w:spacing w:val="-1"/>
        </w:rPr>
        <w:t>DEFINITIONS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spacing w:before="0"/>
        <w:ind w:left="668" w:firstLine="0"/>
        <w:jc w:val="both"/>
      </w:pPr>
      <w:r>
        <w:t>1.1</w:t>
      </w:r>
      <w:r>
        <w:rPr>
          <w:spacing w:val="-9"/>
        </w:rPr>
        <w:t xml:space="preserve"> </w:t>
      </w:r>
      <w:r>
        <w:t>In</w:t>
      </w:r>
      <w:r>
        <w:rPr>
          <w:spacing w:val="-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2"/>
        </w:rPr>
        <w:t xml:space="preserve"> </w:t>
      </w:r>
      <w:r>
        <w:rPr>
          <w:spacing w:val="-1"/>
        </w:rPr>
        <w:t>9,</w:t>
      </w:r>
      <w:r>
        <w:t xml:space="preserve"> the</w:t>
      </w:r>
      <w:r>
        <w:rPr>
          <w:spacing w:val="-2"/>
        </w:rPr>
        <w:t xml:space="preserve"> following</w:t>
      </w:r>
      <w:r>
        <w:rPr>
          <w:spacing w:val="3"/>
        </w:rPr>
        <w:t xml:space="preserve"> </w:t>
      </w:r>
      <w:r>
        <w:rPr>
          <w:spacing w:val="-1"/>
        </w:rPr>
        <w:t>definitions</w:t>
      </w:r>
      <w:r>
        <w:rPr>
          <w:spacing w:val="1"/>
        </w:rPr>
        <w:t xml:space="preserve"> </w:t>
      </w:r>
      <w:r>
        <w:rPr>
          <w:spacing w:val="-1"/>
        </w:rPr>
        <w:t>shall</w:t>
      </w:r>
      <w:r>
        <w:t xml:space="preserve"> </w:t>
      </w:r>
      <w:r>
        <w:rPr>
          <w:spacing w:val="-2"/>
        </w:rPr>
        <w:t>apply:</w:t>
      </w:r>
    </w:p>
    <w:p w:rsidR="008918FA" w:rsidRDefault="008918FA" w:rsidP="008918FA">
      <w:pPr>
        <w:spacing w:before="6"/>
        <w:rPr>
          <w:rFonts w:ascii="Arial" w:eastAsia="Arial" w:hAnsi="Arial" w:cs="Arial"/>
          <w:sz w:val="7"/>
          <w:szCs w:val="7"/>
        </w:rPr>
      </w:pPr>
    </w:p>
    <w:tbl>
      <w:tblPr>
        <w:tblW w:w="0" w:type="auto"/>
        <w:tblInd w:w="1288" w:type="dxa"/>
        <w:tblLayout w:type="fixed"/>
        <w:tblCellMar>
          <w:left w:w="0" w:type="dxa"/>
          <w:right w:w="0" w:type="dxa"/>
        </w:tblCellMar>
        <w:tblLook w:val="01E0" w:firstRow="1" w:lastRow="1" w:firstColumn="1" w:lastColumn="1" w:noHBand="0" w:noVBand="0"/>
      </w:tblPr>
      <w:tblGrid>
        <w:gridCol w:w="2853"/>
        <w:gridCol w:w="5156"/>
      </w:tblGrid>
      <w:tr w:rsidR="008918FA" w:rsidTr="005D2B81">
        <w:trPr>
          <w:trHeight w:hRule="exact" w:val="610"/>
        </w:trPr>
        <w:tc>
          <w:tcPr>
            <w:tcW w:w="2853" w:type="dxa"/>
            <w:tcBorders>
              <w:top w:val="nil"/>
              <w:left w:val="nil"/>
              <w:bottom w:val="nil"/>
              <w:right w:val="nil"/>
            </w:tcBorders>
          </w:tcPr>
          <w:p w:rsidR="008918FA" w:rsidRDefault="008918FA" w:rsidP="005D2B81">
            <w:pPr>
              <w:pStyle w:val="TableParagraph"/>
              <w:spacing w:before="32"/>
              <w:ind w:left="230" w:right="385"/>
              <w:rPr>
                <w:rFonts w:ascii="Arial" w:eastAsia="Arial" w:hAnsi="Arial" w:cs="Arial"/>
              </w:rPr>
            </w:pPr>
            <w:r>
              <w:rPr>
                <w:rFonts w:ascii="Arial"/>
                <w:b/>
                <w:spacing w:val="-1"/>
              </w:rPr>
              <w:t>"Business</w:t>
            </w:r>
            <w:r>
              <w:rPr>
                <w:rFonts w:ascii="Arial"/>
                <w:b/>
              </w:rPr>
              <w:t xml:space="preserve"> </w:t>
            </w:r>
            <w:r>
              <w:rPr>
                <w:rFonts w:ascii="Arial"/>
                <w:b/>
                <w:spacing w:val="-1"/>
              </w:rPr>
              <w:t>Continuity</w:t>
            </w:r>
            <w:r>
              <w:rPr>
                <w:rFonts w:ascii="Arial"/>
                <w:b/>
                <w:spacing w:val="26"/>
              </w:rPr>
              <w:t xml:space="preserve"> </w:t>
            </w:r>
            <w:r>
              <w:rPr>
                <w:rFonts w:ascii="Arial"/>
                <w:b/>
                <w:spacing w:val="-1"/>
              </w:rPr>
              <w:t>Plan"</w:t>
            </w:r>
          </w:p>
        </w:tc>
        <w:tc>
          <w:tcPr>
            <w:tcW w:w="5156" w:type="dxa"/>
            <w:tcBorders>
              <w:top w:val="nil"/>
              <w:left w:val="nil"/>
              <w:bottom w:val="nil"/>
              <w:right w:val="nil"/>
            </w:tcBorders>
          </w:tcPr>
          <w:p w:rsidR="008918FA" w:rsidRDefault="008918FA" w:rsidP="005D2B81">
            <w:pPr>
              <w:pStyle w:val="TableParagraph"/>
              <w:spacing w:before="35"/>
              <w:ind w:left="233" w:right="230"/>
              <w:rPr>
                <w:rFonts w:ascii="Arial" w:eastAsia="Arial" w:hAnsi="Arial" w:cs="Arial"/>
              </w:rPr>
            </w:pPr>
            <w:r>
              <w:rPr>
                <w:rFonts w:ascii="Arial"/>
                <w:spacing w:val="-1"/>
              </w:rPr>
              <w:t>has</w:t>
            </w:r>
            <w:r>
              <w:rPr>
                <w:rFonts w:ascii="Arial"/>
              </w:rPr>
              <w:t xml:space="preserve"> </w:t>
            </w:r>
            <w:r>
              <w:rPr>
                <w:rFonts w:ascii="Arial"/>
                <w:spacing w:val="47"/>
              </w:rPr>
              <w:t xml:space="preserve"> </w:t>
            </w:r>
            <w:r>
              <w:rPr>
                <w:rFonts w:ascii="Arial"/>
              </w:rPr>
              <w:t xml:space="preserve">the </w:t>
            </w:r>
            <w:r>
              <w:rPr>
                <w:rFonts w:ascii="Arial"/>
                <w:spacing w:val="45"/>
              </w:rPr>
              <w:t xml:space="preserve"> </w:t>
            </w:r>
            <w:r>
              <w:rPr>
                <w:rFonts w:ascii="Arial"/>
                <w:spacing w:val="-1"/>
              </w:rPr>
              <w:t>meaning</w:t>
            </w:r>
            <w:r>
              <w:rPr>
                <w:rFonts w:ascii="Arial"/>
              </w:rPr>
              <w:t xml:space="preserve"> </w:t>
            </w:r>
            <w:r>
              <w:rPr>
                <w:rFonts w:ascii="Arial"/>
                <w:spacing w:val="47"/>
              </w:rPr>
              <w:t xml:space="preserve"> </w:t>
            </w:r>
            <w:r>
              <w:rPr>
                <w:rFonts w:ascii="Arial"/>
                <w:spacing w:val="-1"/>
              </w:rPr>
              <w:t>given</w:t>
            </w:r>
            <w:r>
              <w:rPr>
                <w:rFonts w:ascii="Arial"/>
              </w:rPr>
              <w:t xml:space="preserve"> </w:t>
            </w:r>
            <w:r>
              <w:rPr>
                <w:rFonts w:ascii="Arial"/>
                <w:spacing w:val="48"/>
              </w:rPr>
              <w:t xml:space="preserve"> </w:t>
            </w:r>
            <w:r>
              <w:rPr>
                <w:rFonts w:ascii="Arial"/>
              </w:rPr>
              <w:t xml:space="preserve">to </w:t>
            </w:r>
            <w:r>
              <w:rPr>
                <w:rFonts w:ascii="Arial"/>
                <w:spacing w:val="47"/>
              </w:rPr>
              <w:t xml:space="preserve"> </w:t>
            </w:r>
            <w:r>
              <w:rPr>
                <w:rFonts w:ascii="Arial"/>
                <w:spacing w:val="-1"/>
              </w:rPr>
              <w:t>it</w:t>
            </w:r>
            <w:r>
              <w:rPr>
                <w:rFonts w:ascii="Arial"/>
              </w:rPr>
              <w:t xml:space="preserve"> </w:t>
            </w:r>
            <w:r>
              <w:rPr>
                <w:rFonts w:ascii="Arial"/>
                <w:spacing w:val="48"/>
              </w:rPr>
              <w:t xml:space="preserve"> </w:t>
            </w:r>
            <w:r>
              <w:rPr>
                <w:rFonts w:ascii="Arial"/>
                <w:spacing w:val="-1"/>
              </w:rPr>
              <w:t>in</w:t>
            </w:r>
            <w:r>
              <w:rPr>
                <w:rFonts w:ascii="Arial"/>
              </w:rPr>
              <w:t xml:space="preserve"> </w:t>
            </w:r>
            <w:r>
              <w:rPr>
                <w:rFonts w:ascii="Arial"/>
                <w:spacing w:val="48"/>
              </w:rPr>
              <w:t xml:space="preserve"> </w:t>
            </w:r>
            <w:r>
              <w:rPr>
                <w:rFonts w:ascii="Arial"/>
                <w:spacing w:val="-1"/>
              </w:rPr>
              <w:t>paragraph</w:t>
            </w:r>
            <w:hyperlink w:anchor="_bookmark353" w:history="1">
              <w:r>
                <w:rPr>
                  <w:rFonts w:ascii="Arial"/>
                  <w:spacing w:val="24"/>
                </w:rPr>
                <w:t xml:space="preserve"> </w:t>
              </w:r>
              <w:r>
                <w:rPr>
                  <w:rFonts w:ascii="Arial"/>
                  <w:spacing w:val="-1"/>
                </w:rPr>
                <w:t>2.2.1(b)</w:t>
              </w:r>
            </w:hyperlink>
            <w:r>
              <w:rPr>
                <w:rFonts w:ascii="Arial"/>
              </w:rPr>
              <w:t xml:space="preserve"> </w:t>
            </w:r>
            <w:r>
              <w:rPr>
                <w:rFonts w:ascii="Arial"/>
                <w:spacing w:val="-2"/>
              </w:rPr>
              <w:t>of</w:t>
            </w:r>
            <w:r>
              <w:rPr>
                <w:rFonts w:ascii="Arial"/>
                <w:spacing w:val="2"/>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2"/>
              </w:rPr>
              <w:t>Schedule;</w:t>
            </w:r>
          </w:p>
        </w:tc>
      </w:tr>
      <w:tr w:rsidR="008918FA" w:rsidTr="005D2B81">
        <w:trPr>
          <w:trHeight w:hRule="exact" w:val="626"/>
        </w:trPr>
        <w:tc>
          <w:tcPr>
            <w:tcW w:w="2853" w:type="dxa"/>
            <w:tcBorders>
              <w:top w:val="nil"/>
              <w:left w:val="nil"/>
              <w:bottom w:val="nil"/>
              <w:right w:val="nil"/>
            </w:tcBorders>
          </w:tcPr>
          <w:p w:rsidR="008918FA" w:rsidRDefault="008918FA" w:rsidP="005D2B81">
            <w:pPr>
              <w:pStyle w:val="TableParagraph"/>
              <w:spacing w:before="47"/>
              <w:ind w:left="230" w:right="593"/>
              <w:rPr>
                <w:rFonts w:ascii="Arial" w:eastAsia="Arial" w:hAnsi="Arial" w:cs="Arial"/>
              </w:rPr>
            </w:pPr>
            <w:r>
              <w:rPr>
                <w:rFonts w:ascii="Arial"/>
                <w:b/>
                <w:spacing w:val="-1"/>
              </w:rPr>
              <w:t>"Disaster</w:t>
            </w:r>
            <w:r>
              <w:rPr>
                <w:rFonts w:ascii="Arial"/>
                <w:b/>
                <w:spacing w:val="1"/>
              </w:rPr>
              <w:t xml:space="preserve"> </w:t>
            </w:r>
            <w:r>
              <w:rPr>
                <w:rFonts w:ascii="Arial"/>
                <w:b/>
                <w:spacing w:val="-1"/>
              </w:rPr>
              <w:t>Recovery</w:t>
            </w:r>
            <w:r>
              <w:rPr>
                <w:rFonts w:ascii="Arial"/>
                <w:b/>
                <w:spacing w:val="24"/>
              </w:rPr>
              <w:t xml:space="preserve"> </w:t>
            </w:r>
            <w:r>
              <w:rPr>
                <w:rFonts w:ascii="Arial"/>
                <w:b/>
                <w:spacing w:val="-1"/>
              </w:rPr>
              <w:t>Plan"</w:t>
            </w:r>
          </w:p>
        </w:tc>
        <w:tc>
          <w:tcPr>
            <w:tcW w:w="5156" w:type="dxa"/>
            <w:tcBorders>
              <w:top w:val="nil"/>
              <w:left w:val="nil"/>
              <w:bottom w:val="nil"/>
              <w:right w:val="nil"/>
            </w:tcBorders>
          </w:tcPr>
          <w:p w:rsidR="008918FA" w:rsidRDefault="008918FA" w:rsidP="005D2B81">
            <w:pPr>
              <w:pStyle w:val="TableParagraph"/>
              <w:spacing w:before="49"/>
              <w:ind w:left="233" w:right="228"/>
              <w:rPr>
                <w:rFonts w:ascii="Arial" w:eastAsia="Arial" w:hAnsi="Arial" w:cs="Arial"/>
              </w:rPr>
            </w:pPr>
            <w:r>
              <w:rPr>
                <w:rFonts w:ascii="Arial"/>
                <w:spacing w:val="-1"/>
              </w:rPr>
              <w:t>has</w:t>
            </w:r>
            <w:r>
              <w:rPr>
                <w:rFonts w:ascii="Arial"/>
                <w:spacing w:val="41"/>
              </w:rPr>
              <w:t xml:space="preserve"> </w:t>
            </w:r>
            <w:r>
              <w:rPr>
                <w:rFonts w:ascii="Arial"/>
              </w:rPr>
              <w:t>the</w:t>
            </w:r>
            <w:r>
              <w:rPr>
                <w:rFonts w:ascii="Arial"/>
                <w:spacing w:val="38"/>
              </w:rPr>
              <w:t xml:space="preserve"> </w:t>
            </w:r>
            <w:r>
              <w:rPr>
                <w:rFonts w:ascii="Arial"/>
                <w:spacing w:val="-2"/>
              </w:rPr>
              <w:t>meaning</w:t>
            </w:r>
            <w:r>
              <w:rPr>
                <w:rFonts w:ascii="Arial"/>
                <w:spacing w:val="41"/>
              </w:rPr>
              <w:t xml:space="preserve"> </w:t>
            </w:r>
            <w:r>
              <w:rPr>
                <w:rFonts w:ascii="Arial"/>
                <w:spacing w:val="-1"/>
              </w:rPr>
              <w:t>given</w:t>
            </w:r>
            <w:r>
              <w:rPr>
                <w:rFonts w:ascii="Arial"/>
                <w:spacing w:val="41"/>
              </w:rPr>
              <w:t xml:space="preserve"> </w:t>
            </w:r>
            <w:r>
              <w:rPr>
                <w:rFonts w:ascii="Arial"/>
              </w:rPr>
              <w:t>to</w:t>
            </w:r>
            <w:r>
              <w:rPr>
                <w:rFonts w:ascii="Arial"/>
                <w:spacing w:val="41"/>
              </w:rPr>
              <w:t xml:space="preserve"> </w:t>
            </w:r>
            <w:r>
              <w:rPr>
                <w:rFonts w:ascii="Arial"/>
                <w:spacing w:val="-1"/>
              </w:rPr>
              <w:t>it</w:t>
            </w:r>
            <w:r>
              <w:rPr>
                <w:rFonts w:ascii="Arial"/>
                <w:spacing w:val="42"/>
              </w:rPr>
              <w:t xml:space="preserve"> </w:t>
            </w:r>
            <w:r>
              <w:rPr>
                <w:rFonts w:ascii="Arial"/>
                <w:spacing w:val="-1"/>
              </w:rPr>
              <w:t>in</w:t>
            </w:r>
            <w:r>
              <w:rPr>
                <w:rFonts w:ascii="Arial"/>
                <w:spacing w:val="44"/>
              </w:rPr>
              <w:t xml:space="preserve"> </w:t>
            </w:r>
            <w:hyperlink w:anchor="_bookmark354" w:history="1">
              <w:r>
                <w:rPr>
                  <w:rFonts w:ascii="Arial"/>
                  <w:spacing w:val="-1"/>
                </w:rPr>
                <w:t>2.2.1(c)</w:t>
              </w:r>
            </w:hyperlink>
            <w:r>
              <w:rPr>
                <w:rFonts w:ascii="Arial"/>
                <w:spacing w:val="43"/>
              </w:rPr>
              <w:t xml:space="preserve"> </w:t>
            </w:r>
            <w:r>
              <w:rPr>
                <w:rFonts w:ascii="Arial"/>
                <w:spacing w:val="-2"/>
              </w:rPr>
              <w:t>of</w:t>
            </w:r>
            <w:r>
              <w:rPr>
                <w:rFonts w:ascii="Arial"/>
                <w:spacing w:val="42"/>
              </w:rPr>
              <w:t xml:space="preserve"> </w:t>
            </w:r>
            <w:r>
              <w:rPr>
                <w:rFonts w:ascii="Arial"/>
                <w:spacing w:val="-1"/>
              </w:rPr>
              <w:t>this</w:t>
            </w:r>
            <w:r>
              <w:rPr>
                <w:rFonts w:ascii="Arial"/>
                <w:spacing w:val="25"/>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Schedule;</w:t>
            </w:r>
          </w:p>
        </w:tc>
      </w:tr>
      <w:tr w:rsidR="008918FA" w:rsidTr="005D2B81">
        <w:trPr>
          <w:trHeight w:hRule="exact" w:val="1133"/>
        </w:trPr>
        <w:tc>
          <w:tcPr>
            <w:tcW w:w="2853" w:type="dxa"/>
            <w:tcBorders>
              <w:top w:val="nil"/>
              <w:left w:val="nil"/>
              <w:bottom w:val="nil"/>
              <w:right w:val="nil"/>
            </w:tcBorders>
          </w:tcPr>
          <w:p w:rsidR="008918FA" w:rsidRDefault="008918FA" w:rsidP="005D2B81">
            <w:pPr>
              <w:pStyle w:val="TableParagraph"/>
              <w:spacing w:before="47"/>
              <w:ind w:left="230" w:right="593"/>
              <w:rPr>
                <w:rFonts w:ascii="Arial" w:eastAsia="Arial" w:hAnsi="Arial" w:cs="Arial"/>
              </w:rPr>
            </w:pPr>
            <w:r>
              <w:rPr>
                <w:rFonts w:ascii="Arial"/>
                <w:b/>
                <w:spacing w:val="-1"/>
              </w:rPr>
              <w:t>"Disaster</w:t>
            </w:r>
            <w:r>
              <w:rPr>
                <w:rFonts w:ascii="Arial"/>
                <w:b/>
                <w:spacing w:val="1"/>
              </w:rPr>
              <w:t xml:space="preserve"> </w:t>
            </w:r>
            <w:r>
              <w:rPr>
                <w:rFonts w:ascii="Arial"/>
                <w:b/>
                <w:spacing w:val="-1"/>
              </w:rPr>
              <w:t>Recovery</w:t>
            </w:r>
            <w:r>
              <w:rPr>
                <w:rFonts w:ascii="Arial"/>
                <w:b/>
                <w:spacing w:val="24"/>
              </w:rPr>
              <w:t xml:space="preserve"> </w:t>
            </w:r>
            <w:r>
              <w:rPr>
                <w:rFonts w:ascii="Arial"/>
                <w:b/>
                <w:spacing w:val="-1"/>
              </w:rPr>
              <w:t>System"</w:t>
            </w:r>
          </w:p>
        </w:tc>
        <w:tc>
          <w:tcPr>
            <w:tcW w:w="5156" w:type="dxa"/>
            <w:tcBorders>
              <w:top w:val="nil"/>
              <w:left w:val="nil"/>
              <w:bottom w:val="nil"/>
              <w:right w:val="nil"/>
            </w:tcBorders>
          </w:tcPr>
          <w:p w:rsidR="008918FA" w:rsidRDefault="008918FA" w:rsidP="005D2B81">
            <w:pPr>
              <w:pStyle w:val="TableParagraph"/>
              <w:spacing w:before="49"/>
              <w:ind w:left="233" w:right="230"/>
              <w:jc w:val="both"/>
              <w:rPr>
                <w:rFonts w:ascii="Arial" w:eastAsia="Arial" w:hAnsi="Arial" w:cs="Arial"/>
              </w:rPr>
            </w:pPr>
            <w:r>
              <w:rPr>
                <w:rFonts w:ascii="Arial"/>
                <w:spacing w:val="-1"/>
              </w:rPr>
              <w:t>means</w:t>
            </w:r>
            <w:r>
              <w:rPr>
                <w:rFonts w:ascii="Arial"/>
                <w:spacing w:val="34"/>
              </w:rPr>
              <w:t xml:space="preserve"> </w:t>
            </w:r>
            <w:r>
              <w:rPr>
                <w:rFonts w:ascii="Arial"/>
              </w:rPr>
              <w:t>the</w:t>
            </w:r>
            <w:r>
              <w:rPr>
                <w:rFonts w:ascii="Arial"/>
                <w:spacing w:val="34"/>
              </w:rPr>
              <w:t xml:space="preserve"> </w:t>
            </w:r>
            <w:r>
              <w:rPr>
                <w:rFonts w:ascii="Arial"/>
                <w:spacing w:val="-1"/>
              </w:rPr>
              <w:t>system</w:t>
            </w:r>
            <w:r>
              <w:rPr>
                <w:rFonts w:ascii="Arial"/>
                <w:spacing w:val="35"/>
              </w:rPr>
              <w:t xml:space="preserve"> </w:t>
            </w:r>
            <w:r>
              <w:rPr>
                <w:rFonts w:ascii="Arial"/>
                <w:spacing w:val="-2"/>
              </w:rPr>
              <w:t>embodied</w:t>
            </w:r>
            <w:r>
              <w:rPr>
                <w:rFonts w:ascii="Arial"/>
                <w:spacing w:val="34"/>
              </w:rPr>
              <w:t xml:space="preserve"> </w:t>
            </w:r>
            <w:r>
              <w:rPr>
                <w:rFonts w:ascii="Arial"/>
                <w:spacing w:val="-1"/>
              </w:rPr>
              <w:t>in</w:t>
            </w:r>
            <w:r>
              <w:rPr>
                <w:rFonts w:ascii="Arial"/>
                <w:spacing w:val="34"/>
              </w:rPr>
              <w:t xml:space="preserve"> </w:t>
            </w:r>
            <w:r>
              <w:rPr>
                <w:rFonts w:ascii="Arial"/>
              </w:rPr>
              <w:t>the</w:t>
            </w:r>
            <w:r>
              <w:rPr>
                <w:rFonts w:ascii="Arial"/>
                <w:spacing w:val="34"/>
              </w:rPr>
              <w:t xml:space="preserve"> </w:t>
            </w:r>
            <w:r>
              <w:rPr>
                <w:rFonts w:ascii="Arial"/>
                <w:spacing w:val="-1"/>
              </w:rPr>
              <w:t>processes</w:t>
            </w:r>
            <w:r>
              <w:rPr>
                <w:rFonts w:ascii="Arial"/>
                <w:spacing w:val="27"/>
              </w:rPr>
              <w:t xml:space="preserve"> </w:t>
            </w:r>
            <w:r>
              <w:rPr>
                <w:rFonts w:ascii="Arial"/>
                <w:spacing w:val="-1"/>
              </w:rPr>
              <w:t>and</w:t>
            </w:r>
            <w:r>
              <w:rPr>
                <w:rFonts w:ascii="Arial"/>
                <w:spacing w:val="60"/>
              </w:rPr>
              <w:t xml:space="preserve"> </w:t>
            </w:r>
            <w:r>
              <w:rPr>
                <w:rFonts w:ascii="Arial"/>
                <w:spacing w:val="-1"/>
              </w:rPr>
              <w:t>procedures</w:t>
            </w:r>
            <w:r>
              <w:rPr>
                <w:rFonts w:ascii="Arial"/>
                <w:spacing w:val="58"/>
              </w:rPr>
              <w:t xml:space="preserve"> </w:t>
            </w:r>
            <w:r>
              <w:rPr>
                <w:rFonts w:ascii="Arial"/>
              </w:rPr>
              <w:t xml:space="preserve">for </w:t>
            </w:r>
            <w:r>
              <w:rPr>
                <w:rFonts w:ascii="Arial"/>
                <w:spacing w:val="-1"/>
              </w:rPr>
              <w:t>restoring</w:t>
            </w:r>
            <w:r>
              <w:rPr>
                <w:rFonts w:ascii="Arial"/>
                <w:spacing w:val="2"/>
              </w:rPr>
              <w:t xml:space="preserve"> </w:t>
            </w:r>
            <w:r>
              <w:rPr>
                <w:rFonts w:ascii="Arial"/>
              </w:rPr>
              <w:t>the</w:t>
            </w:r>
            <w:r>
              <w:rPr>
                <w:rFonts w:ascii="Arial"/>
                <w:spacing w:val="1"/>
              </w:rPr>
              <w:t xml:space="preserve"> </w:t>
            </w:r>
            <w:r>
              <w:rPr>
                <w:rFonts w:ascii="Arial"/>
                <w:spacing w:val="-2"/>
              </w:rPr>
              <w:t>provision</w:t>
            </w:r>
            <w:r>
              <w:rPr>
                <w:rFonts w:ascii="Arial"/>
                <w:spacing w:val="60"/>
              </w:rPr>
              <w:t xml:space="preserve"> </w:t>
            </w:r>
            <w:r>
              <w:rPr>
                <w:rFonts w:ascii="Arial"/>
                <w:spacing w:val="-1"/>
              </w:rPr>
              <w:t>of</w:t>
            </w:r>
            <w:r>
              <w:rPr>
                <w:rFonts w:ascii="Arial"/>
                <w:spacing w:val="26"/>
              </w:rPr>
              <w:t xml:space="preserve"> </w:t>
            </w:r>
            <w:r>
              <w:rPr>
                <w:rFonts w:ascii="Arial"/>
                <w:spacing w:val="-1"/>
              </w:rPr>
              <w:t>Goods</w:t>
            </w:r>
            <w:r>
              <w:rPr>
                <w:rFonts w:ascii="Arial"/>
                <w:spacing w:val="3"/>
              </w:rPr>
              <w:t xml:space="preserve"> </w:t>
            </w:r>
            <w:r>
              <w:rPr>
                <w:rFonts w:ascii="Arial"/>
                <w:spacing w:val="-1"/>
              </w:rPr>
              <w:t>and/or</w:t>
            </w:r>
            <w:r>
              <w:rPr>
                <w:rFonts w:ascii="Arial"/>
                <w:spacing w:val="5"/>
              </w:rPr>
              <w:t xml:space="preserve"> </w:t>
            </w:r>
            <w:r>
              <w:rPr>
                <w:rFonts w:ascii="Arial"/>
                <w:spacing w:val="-1"/>
              </w:rPr>
              <w:t>Services</w:t>
            </w:r>
            <w:r>
              <w:rPr>
                <w:rFonts w:ascii="Arial"/>
                <w:spacing w:val="1"/>
              </w:rPr>
              <w:t xml:space="preserve"> </w:t>
            </w:r>
            <w:r>
              <w:rPr>
                <w:rFonts w:ascii="Arial"/>
                <w:spacing w:val="-1"/>
              </w:rPr>
              <w:t>following</w:t>
            </w:r>
            <w:r>
              <w:rPr>
                <w:rFonts w:ascii="Arial"/>
                <w:spacing w:val="5"/>
              </w:rPr>
              <w:t xml:space="preserve"> </w:t>
            </w:r>
            <w:r>
              <w:rPr>
                <w:rFonts w:ascii="Arial"/>
              </w:rPr>
              <w:t>the</w:t>
            </w:r>
            <w:r>
              <w:rPr>
                <w:rFonts w:ascii="Arial"/>
                <w:spacing w:val="3"/>
              </w:rPr>
              <w:t xml:space="preserve"> </w:t>
            </w:r>
            <w:r>
              <w:rPr>
                <w:rFonts w:ascii="Arial"/>
                <w:spacing w:val="-1"/>
              </w:rPr>
              <w:t>occurrence</w:t>
            </w:r>
            <w:r>
              <w:rPr>
                <w:rFonts w:ascii="Arial"/>
                <w:spacing w:val="25"/>
              </w:rPr>
              <w:t xml:space="preserve"> </w:t>
            </w:r>
            <w:r>
              <w:rPr>
                <w:rFonts w:ascii="Arial"/>
                <w:spacing w:val="-2"/>
              </w:rPr>
              <w:t>of</w:t>
            </w:r>
            <w:r>
              <w:rPr>
                <w:rFonts w:ascii="Arial"/>
                <w:spacing w:val="4"/>
              </w:rPr>
              <w:t xml:space="preserve"> </w:t>
            </w:r>
            <w:r>
              <w:rPr>
                <w:rFonts w:ascii="Arial"/>
              </w:rPr>
              <w:t>a</w:t>
            </w:r>
            <w:r>
              <w:rPr>
                <w:rFonts w:ascii="Arial"/>
                <w:spacing w:val="-2"/>
              </w:rPr>
              <w:t xml:space="preserve"> </w:t>
            </w:r>
            <w:r>
              <w:rPr>
                <w:rFonts w:ascii="Arial"/>
                <w:spacing w:val="-1"/>
              </w:rPr>
              <w:t>disaster;</w:t>
            </w:r>
          </w:p>
        </w:tc>
      </w:tr>
      <w:tr w:rsidR="008918FA" w:rsidTr="005D2B81">
        <w:trPr>
          <w:trHeight w:hRule="exact" w:val="625"/>
        </w:trPr>
        <w:tc>
          <w:tcPr>
            <w:tcW w:w="2853"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2"/>
              </w:rPr>
              <w:t>"Review</w:t>
            </w:r>
            <w:r>
              <w:rPr>
                <w:rFonts w:ascii="Arial"/>
                <w:b/>
                <w:spacing w:val="4"/>
              </w:rPr>
              <w:t xml:space="preserve"> </w:t>
            </w:r>
            <w:r>
              <w:rPr>
                <w:rFonts w:ascii="Arial"/>
                <w:b/>
                <w:spacing w:val="-1"/>
              </w:rPr>
              <w:t>Report"</w:t>
            </w:r>
          </w:p>
        </w:tc>
        <w:tc>
          <w:tcPr>
            <w:tcW w:w="5156" w:type="dxa"/>
            <w:tcBorders>
              <w:top w:val="nil"/>
              <w:left w:val="nil"/>
              <w:bottom w:val="nil"/>
              <w:right w:val="nil"/>
            </w:tcBorders>
          </w:tcPr>
          <w:p w:rsidR="008918FA" w:rsidRDefault="008918FA" w:rsidP="005D2B81">
            <w:pPr>
              <w:pStyle w:val="TableParagraph"/>
              <w:spacing w:before="49"/>
              <w:ind w:left="233" w:right="237"/>
              <w:rPr>
                <w:rFonts w:ascii="Arial" w:eastAsia="Arial" w:hAnsi="Arial" w:cs="Arial"/>
              </w:rPr>
            </w:pPr>
            <w:r>
              <w:rPr>
                <w:rFonts w:ascii="Arial"/>
                <w:spacing w:val="-1"/>
              </w:rPr>
              <w:t>has</w:t>
            </w:r>
            <w:r>
              <w:rPr>
                <w:rFonts w:ascii="Arial"/>
                <w:spacing w:val="15"/>
              </w:rPr>
              <w:t xml:space="preserve"> </w:t>
            </w:r>
            <w:r>
              <w:rPr>
                <w:rFonts w:ascii="Arial"/>
              </w:rPr>
              <w:t>the</w:t>
            </w:r>
            <w:r>
              <w:rPr>
                <w:rFonts w:ascii="Arial"/>
                <w:spacing w:val="15"/>
              </w:rPr>
              <w:t xml:space="preserve"> </w:t>
            </w:r>
            <w:r>
              <w:rPr>
                <w:rFonts w:ascii="Arial"/>
                <w:spacing w:val="-1"/>
              </w:rPr>
              <w:t>meaning</w:t>
            </w:r>
            <w:r>
              <w:rPr>
                <w:rFonts w:ascii="Arial"/>
                <w:spacing w:val="15"/>
              </w:rPr>
              <w:t xml:space="preserve"> </w:t>
            </w:r>
            <w:r>
              <w:rPr>
                <w:rFonts w:ascii="Arial"/>
                <w:spacing w:val="-1"/>
              </w:rPr>
              <w:t>given</w:t>
            </w:r>
            <w:r>
              <w:rPr>
                <w:rFonts w:ascii="Arial"/>
                <w:spacing w:val="15"/>
              </w:rPr>
              <w:t xml:space="preserve"> </w:t>
            </w:r>
            <w:r>
              <w:rPr>
                <w:rFonts w:ascii="Arial"/>
              </w:rPr>
              <w:t>to</w:t>
            </w:r>
            <w:r>
              <w:rPr>
                <w:rFonts w:ascii="Arial"/>
                <w:spacing w:val="15"/>
              </w:rPr>
              <w:t xml:space="preserve"> </w:t>
            </w:r>
            <w:r>
              <w:rPr>
                <w:rFonts w:ascii="Arial"/>
                <w:spacing w:val="-1"/>
              </w:rPr>
              <w:t>it</w:t>
            </w:r>
            <w:r>
              <w:rPr>
                <w:rFonts w:ascii="Arial"/>
                <w:spacing w:val="16"/>
              </w:rPr>
              <w:t xml:space="preserve"> </w:t>
            </w:r>
            <w:r>
              <w:rPr>
                <w:rFonts w:ascii="Arial"/>
                <w:spacing w:val="-1"/>
              </w:rPr>
              <w:t>in</w:t>
            </w:r>
            <w:r>
              <w:rPr>
                <w:rFonts w:ascii="Arial"/>
                <w:spacing w:val="17"/>
              </w:rPr>
              <w:t xml:space="preserve"> </w:t>
            </w:r>
            <w:r>
              <w:rPr>
                <w:rFonts w:ascii="Arial"/>
                <w:spacing w:val="-1"/>
              </w:rPr>
              <w:t>paragraph</w:t>
            </w:r>
            <w:r>
              <w:rPr>
                <w:rFonts w:ascii="Arial"/>
                <w:spacing w:val="16"/>
              </w:rPr>
              <w:t xml:space="preserve"> </w:t>
            </w:r>
            <w:hyperlink w:anchor="_bookmark361" w:history="1">
              <w:r>
                <w:rPr>
                  <w:rFonts w:ascii="Arial"/>
                  <w:spacing w:val="-1"/>
                </w:rPr>
                <w:t>6.2</w:t>
              </w:r>
            </w:hyperlink>
            <w:r>
              <w:rPr>
                <w:rFonts w:ascii="Arial"/>
                <w:spacing w:val="15"/>
              </w:rPr>
              <w:t xml:space="preserve"> </w:t>
            </w:r>
            <w:r>
              <w:rPr>
                <w:rFonts w:ascii="Arial"/>
                <w:spacing w:val="-3"/>
              </w:rPr>
              <w:t>of</w:t>
            </w:r>
            <w:r>
              <w:rPr>
                <w:rFonts w:ascii="Arial"/>
                <w:spacing w:val="18"/>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Schedule;</w:t>
            </w:r>
          </w:p>
        </w:tc>
      </w:tr>
      <w:tr w:rsidR="008918FA" w:rsidTr="005D2B81">
        <w:trPr>
          <w:trHeight w:hRule="exact" w:val="611"/>
        </w:trPr>
        <w:tc>
          <w:tcPr>
            <w:tcW w:w="2853" w:type="dxa"/>
            <w:tcBorders>
              <w:top w:val="nil"/>
              <w:left w:val="nil"/>
              <w:bottom w:val="nil"/>
              <w:right w:val="nil"/>
            </w:tcBorders>
          </w:tcPr>
          <w:p w:rsidR="008918FA" w:rsidRDefault="008918FA" w:rsidP="005D2B81">
            <w:pPr>
              <w:pStyle w:val="TableParagraph"/>
              <w:spacing w:before="48"/>
              <w:ind w:left="230"/>
              <w:rPr>
                <w:rFonts w:ascii="Arial" w:eastAsia="Arial" w:hAnsi="Arial" w:cs="Arial"/>
              </w:rPr>
            </w:pPr>
            <w:r>
              <w:rPr>
                <w:rFonts w:ascii="Arial"/>
                <w:b/>
                <w:spacing w:val="-1"/>
              </w:rPr>
              <w:t>"Supplier's</w:t>
            </w:r>
            <w:r>
              <w:rPr>
                <w:rFonts w:ascii="Arial"/>
                <w:b/>
                <w:spacing w:val="-2"/>
              </w:rPr>
              <w:t xml:space="preserve"> </w:t>
            </w:r>
            <w:r>
              <w:rPr>
                <w:rFonts w:ascii="Arial"/>
                <w:b/>
                <w:spacing w:val="-1"/>
              </w:rPr>
              <w:t>Proposals"</w:t>
            </w:r>
          </w:p>
        </w:tc>
        <w:tc>
          <w:tcPr>
            <w:tcW w:w="5156" w:type="dxa"/>
            <w:tcBorders>
              <w:top w:val="nil"/>
              <w:left w:val="nil"/>
              <w:bottom w:val="nil"/>
              <w:right w:val="nil"/>
            </w:tcBorders>
          </w:tcPr>
          <w:p w:rsidR="008918FA" w:rsidRDefault="008918FA" w:rsidP="005D2B81">
            <w:pPr>
              <w:pStyle w:val="TableParagraph"/>
              <w:spacing w:before="50"/>
              <w:ind w:left="233" w:right="228"/>
              <w:rPr>
                <w:rFonts w:ascii="Arial" w:eastAsia="Arial" w:hAnsi="Arial" w:cs="Arial"/>
              </w:rPr>
            </w:pPr>
            <w:r>
              <w:rPr>
                <w:rFonts w:ascii="Arial"/>
                <w:spacing w:val="-1"/>
              </w:rPr>
              <w:t>has</w:t>
            </w:r>
            <w:r>
              <w:rPr>
                <w:rFonts w:ascii="Arial"/>
                <w:spacing w:val="27"/>
              </w:rPr>
              <w:t xml:space="preserve"> </w:t>
            </w:r>
            <w:r>
              <w:rPr>
                <w:rFonts w:ascii="Arial"/>
              </w:rPr>
              <w:t>the</w:t>
            </w:r>
            <w:r>
              <w:rPr>
                <w:rFonts w:ascii="Arial"/>
                <w:spacing w:val="24"/>
              </w:rPr>
              <w:t xml:space="preserve"> </w:t>
            </w:r>
            <w:r>
              <w:rPr>
                <w:rFonts w:ascii="Arial"/>
                <w:spacing w:val="-2"/>
              </w:rPr>
              <w:t>meaning</w:t>
            </w:r>
            <w:r>
              <w:rPr>
                <w:rFonts w:ascii="Arial"/>
                <w:spacing w:val="27"/>
              </w:rPr>
              <w:t xml:space="preserve"> </w:t>
            </w:r>
            <w:r>
              <w:rPr>
                <w:rFonts w:ascii="Arial"/>
                <w:spacing w:val="-1"/>
              </w:rPr>
              <w:t>given</w:t>
            </w:r>
            <w:r>
              <w:rPr>
                <w:rFonts w:ascii="Arial"/>
                <w:spacing w:val="27"/>
              </w:rPr>
              <w:t xml:space="preserve"> </w:t>
            </w:r>
            <w:r>
              <w:rPr>
                <w:rFonts w:ascii="Arial"/>
                <w:spacing w:val="-1"/>
              </w:rPr>
              <w:t>to</w:t>
            </w:r>
            <w:r>
              <w:rPr>
                <w:rFonts w:ascii="Arial"/>
                <w:spacing w:val="27"/>
              </w:rPr>
              <w:t xml:space="preserve"> </w:t>
            </w:r>
            <w:r>
              <w:rPr>
                <w:rFonts w:ascii="Arial"/>
                <w:spacing w:val="-1"/>
              </w:rPr>
              <w:t>it</w:t>
            </w:r>
            <w:r>
              <w:rPr>
                <w:rFonts w:ascii="Arial"/>
                <w:spacing w:val="28"/>
              </w:rPr>
              <w:t xml:space="preserve"> </w:t>
            </w:r>
            <w:r>
              <w:rPr>
                <w:rFonts w:ascii="Arial"/>
                <w:spacing w:val="-1"/>
              </w:rPr>
              <w:t>in</w:t>
            </w:r>
            <w:r>
              <w:rPr>
                <w:rFonts w:ascii="Arial"/>
                <w:spacing w:val="27"/>
              </w:rPr>
              <w:t xml:space="preserve"> </w:t>
            </w:r>
            <w:r>
              <w:rPr>
                <w:rFonts w:ascii="Arial"/>
                <w:spacing w:val="-1"/>
              </w:rPr>
              <w:t>paragraph</w:t>
            </w:r>
            <w:r>
              <w:rPr>
                <w:rFonts w:ascii="Arial"/>
                <w:spacing w:val="26"/>
              </w:rPr>
              <w:t xml:space="preserve"> </w:t>
            </w:r>
            <w:hyperlink w:anchor="_bookmark362" w:history="1">
              <w:r>
                <w:rPr>
                  <w:rFonts w:ascii="Arial"/>
                  <w:spacing w:val="-1"/>
                </w:rPr>
                <w:t>6.2.3</w:t>
              </w:r>
            </w:hyperlink>
            <w:r>
              <w:rPr>
                <w:rFonts w:ascii="Arial"/>
                <w:spacing w:val="27"/>
              </w:rPr>
              <w:t xml:space="preserve"> </w:t>
            </w:r>
            <w:r>
              <w:rPr>
                <w:rFonts w:ascii="Arial"/>
                <w:spacing w:val="-2"/>
              </w:rPr>
              <w:t>of</w:t>
            </w:r>
            <w:r>
              <w:rPr>
                <w:rFonts w:ascii="Arial"/>
                <w:spacing w:val="2"/>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rPr>
              <w:t xml:space="preserve"> </w:t>
            </w:r>
            <w:r>
              <w:rPr>
                <w:rFonts w:ascii="Arial"/>
                <w:spacing w:val="-1"/>
              </w:rPr>
              <w:t>Schedule;</w:t>
            </w:r>
          </w:p>
        </w:tc>
      </w:tr>
    </w:tbl>
    <w:p w:rsidR="008918FA" w:rsidRDefault="008918FA" w:rsidP="008918FA">
      <w:pPr>
        <w:spacing w:before="9"/>
        <w:rPr>
          <w:rFonts w:ascii="Arial" w:eastAsia="Arial" w:hAnsi="Arial" w:cs="Arial"/>
          <w:sz w:val="9"/>
          <w:szCs w:val="9"/>
        </w:rPr>
      </w:pPr>
    </w:p>
    <w:p w:rsidR="008918FA" w:rsidRDefault="008918FA" w:rsidP="008918FA">
      <w:pPr>
        <w:pStyle w:val="BodyText"/>
        <w:numPr>
          <w:ilvl w:val="0"/>
          <w:numId w:val="10"/>
        </w:numPr>
        <w:tabs>
          <w:tab w:val="left" w:pos="667"/>
        </w:tabs>
        <w:spacing w:before="72"/>
        <w:jc w:val="left"/>
        <w:rPr>
          <w:rFonts w:ascii="Times New Roman" w:eastAsia="Times New Roman" w:hAnsi="Times New Roman" w:cs="Times New Roman"/>
        </w:rPr>
      </w:pPr>
      <w:r>
        <w:rPr>
          <w:rFonts w:ascii="Times New Roman"/>
          <w:spacing w:val="5"/>
        </w:rPr>
        <w:t>BCDR</w:t>
      </w:r>
      <w:r>
        <w:rPr>
          <w:rFonts w:ascii="Times New Roman"/>
          <w:spacing w:val="18"/>
        </w:rPr>
        <w:t xml:space="preserve"> </w:t>
      </w:r>
      <w:r>
        <w:rPr>
          <w:rFonts w:ascii="Times New Roman"/>
          <w:spacing w:val="5"/>
        </w:rPr>
        <w:t>PLAN</w:t>
      </w:r>
    </w:p>
    <w:p w:rsidR="008918FA" w:rsidRDefault="008918FA" w:rsidP="008918FA">
      <w:pPr>
        <w:rPr>
          <w:rFonts w:ascii="Times New Roman" w:eastAsia="Times New Roman" w:hAnsi="Times New Roman" w:cs="Times New Roman"/>
        </w:rPr>
        <w:sectPr w:rsidR="008918FA">
          <w:pgSz w:w="11910" w:h="16840"/>
          <w:pgMar w:top="1480" w:right="1160" w:bottom="1160" w:left="1340" w:header="0" w:footer="967" w:gutter="0"/>
          <w:cols w:space="720"/>
        </w:sectPr>
      </w:pPr>
    </w:p>
    <w:p w:rsidR="008918FA" w:rsidRDefault="008918FA" w:rsidP="008918FA">
      <w:pPr>
        <w:pStyle w:val="BodyText"/>
        <w:numPr>
          <w:ilvl w:val="1"/>
          <w:numId w:val="10"/>
        </w:numPr>
        <w:tabs>
          <w:tab w:val="left" w:pos="829"/>
        </w:tabs>
        <w:spacing w:before="59"/>
        <w:ind w:right="113"/>
        <w:jc w:val="both"/>
      </w:pPr>
      <w:r>
        <w:rPr>
          <w:spacing w:val="-1"/>
        </w:rPr>
        <w:t>Within</w:t>
      </w:r>
      <w:r>
        <w:rPr>
          <w:spacing w:val="7"/>
        </w:rPr>
        <w:t xml:space="preserve"> </w:t>
      </w:r>
      <w:r>
        <w:rPr>
          <w:spacing w:val="-1"/>
          <w:highlight w:val="yellow"/>
        </w:rPr>
        <w:t>[thirty]</w:t>
      </w:r>
      <w:r>
        <w:rPr>
          <w:spacing w:val="8"/>
          <w:highlight w:val="yellow"/>
        </w:rPr>
        <w:t xml:space="preserve"> </w:t>
      </w:r>
      <w:r>
        <w:rPr>
          <w:spacing w:val="-1"/>
        </w:rPr>
        <w:t>[</w:t>
      </w:r>
      <w:r>
        <w:rPr>
          <w:spacing w:val="-1"/>
          <w:highlight w:val="yellow"/>
        </w:rPr>
        <w:t>30</w:t>
      </w:r>
      <w:r>
        <w:rPr>
          <w:spacing w:val="-1"/>
        </w:rPr>
        <w:t>]</w:t>
      </w:r>
      <w:r>
        <w:rPr>
          <w:spacing w:val="3"/>
        </w:rPr>
        <w:t xml:space="preserve"> </w:t>
      </w:r>
      <w:r>
        <w:rPr>
          <w:spacing w:val="-1"/>
        </w:rPr>
        <w:t>Working</w:t>
      </w:r>
      <w:r>
        <w:rPr>
          <w:spacing w:val="9"/>
        </w:rPr>
        <w:t xml:space="preserve"> </w:t>
      </w:r>
      <w:r>
        <w:rPr>
          <w:spacing w:val="-2"/>
        </w:rPr>
        <w:t>Days</w:t>
      </w:r>
      <w:r>
        <w:rPr>
          <w:spacing w:val="7"/>
        </w:rPr>
        <w:t xml:space="preserve"> </w:t>
      </w:r>
      <w:r>
        <w:t>from</w:t>
      </w:r>
      <w:r>
        <w:rPr>
          <w:spacing w:val="8"/>
        </w:rPr>
        <w:t xml:space="preserve"> </w:t>
      </w:r>
      <w:r>
        <w:t>the</w:t>
      </w:r>
      <w:r>
        <w:rPr>
          <w:spacing w:val="6"/>
        </w:rPr>
        <w:t xml:space="preserve"> </w:t>
      </w:r>
      <w:r>
        <w:rPr>
          <w:spacing w:val="-2"/>
        </w:rPr>
        <w:t>Call</w:t>
      </w:r>
      <w:r>
        <w:rPr>
          <w:spacing w:val="6"/>
        </w:rPr>
        <w:t xml:space="preserve"> </w:t>
      </w:r>
      <w:r>
        <w:t>Off</w:t>
      </w:r>
      <w:r>
        <w:rPr>
          <w:spacing w:val="10"/>
        </w:rPr>
        <w:t xml:space="preserve"> </w:t>
      </w:r>
      <w:r>
        <w:rPr>
          <w:spacing w:val="-2"/>
        </w:rPr>
        <w:t>Commencement</w:t>
      </w:r>
      <w:r>
        <w:rPr>
          <w:spacing w:val="5"/>
        </w:rPr>
        <w:t xml:space="preserve"> </w:t>
      </w:r>
      <w:r>
        <w:rPr>
          <w:spacing w:val="-1"/>
        </w:rPr>
        <w:t>Date</w:t>
      </w:r>
      <w:r>
        <w:rPr>
          <w:spacing w:val="6"/>
        </w:rPr>
        <w:t xml:space="preserve"> </w:t>
      </w:r>
      <w:r>
        <w:rPr>
          <w:spacing w:val="-1"/>
        </w:rPr>
        <w:t>the</w:t>
      </w:r>
      <w:r>
        <w:rPr>
          <w:spacing w:val="62"/>
        </w:rPr>
        <w:t xml:space="preserve"> </w:t>
      </w:r>
      <w:r>
        <w:rPr>
          <w:spacing w:val="-2"/>
        </w:rPr>
        <w:t>Supplier</w:t>
      </w:r>
      <w:r>
        <w:rPr>
          <w:spacing w:val="59"/>
        </w:rPr>
        <w:t xml:space="preserve"> </w:t>
      </w:r>
      <w:r>
        <w:rPr>
          <w:spacing w:val="-1"/>
        </w:rPr>
        <w:t>shall</w:t>
      </w:r>
      <w:r>
        <w:rPr>
          <w:spacing w:val="57"/>
        </w:rPr>
        <w:t xml:space="preserve"> </w:t>
      </w:r>
      <w:r>
        <w:rPr>
          <w:spacing w:val="-1"/>
        </w:rPr>
        <w:t>prepare</w:t>
      </w:r>
      <w:r>
        <w:rPr>
          <w:spacing w:val="58"/>
        </w:rPr>
        <w:t xml:space="preserve"> </w:t>
      </w:r>
      <w:r>
        <w:rPr>
          <w:spacing w:val="-1"/>
        </w:rPr>
        <w:t>and</w:t>
      </w:r>
      <w:r>
        <w:rPr>
          <w:spacing w:val="58"/>
        </w:rPr>
        <w:t xml:space="preserve"> </w:t>
      </w:r>
      <w:r>
        <w:rPr>
          <w:spacing w:val="-1"/>
        </w:rPr>
        <w:t>deliver</w:t>
      </w:r>
      <w:r>
        <w:rPr>
          <w:spacing w:val="59"/>
        </w:rPr>
        <w:t xml:space="preserve"> </w:t>
      </w:r>
      <w:r>
        <w:t>to</w:t>
      </w:r>
      <w:r>
        <w:rPr>
          <w:spacing w:val="58"/>
        </w:rPr>
        <w:t xml:space="preserve"> </w:t>
      </w:r>
      <w:r>
        <w:t>the</w:t>
      </w:r>
      <w:r>
        <w:rPr>
          <w:spacing w:val="59"/>
        </w:rPr>
        <w:t xml:space="preserve"> </w:t>
      </w:r>
      <w:r>
        <w:rPr>
          <w:spacing w:val="-1"/>
        </w:rPr>
        <w:t>Customer</w:t>
      </w:r>
      <w:r>
        <w:rPr>
          <w:spacing w:val="57"/>
        </w:rPr>
        <w:t xml:space="preserve"> </w:t>
      </w:r>
      <w:r>
        <w:t>for</w:t>
      </w:r>
      <w:r>
        <w:rPr>
          <w:spacing w:val="59"/>
        </w:rPr>
        <w:t xml:space="preserve"> </w:t>
      </w:r>
      <w:r>
        <w:t>the</w:t>
      </w:r>
      <w:r>
        <w:rPr>
          <w:spacing w:val="58"/>
        </w:rPr>
        <w:t xml:space="preserve"> </w:t>
      </w:r>
      <w:r>
        <w:rPr>
          <w:spacing w:val="-2"/>
        </w:rPr>
        <w:t>Customer’s</w:t>
      </w:r>
      <w:r>
        <w:rPr>
          <w:spacing w:val="1"/>
        </w:rPr>
        <w:t xml:space="preserve"> </w:t>
      </w:r>
      <w:r>
        <w:rPr>
          <w:spacing w:val="-1"/>
        </w:rPr>
        <w:t>written</w:t>
      </w:r>
      <w:r>
        <w:rPr>
          <w:spacing w:val="47"/>
        </w:rPr>
        <w:t xml:space="preserve"> </w:t>
      </w:r>
      <w:r>
        <w:rPr>
          <w:spacing w:val="-1"/>
        </w:rPr>
        <w:t>approval</w:t>
      </w:r>
      <w:r>
        <w:rPr>
          <w:spacing w:val="6"/>
        </w:rPr>
        <w:t xml:space="preserve"> </w:t>
      </w:r>
      <w:r>
        <w:t>a</w:t>
      </w:r>
      <w:r>
        <w:rPr>
          <w:spacing w:val="6"/>
        </w:rPr>
        <w:t xml:space="preserve"> </w:t>
      </w:r>
      <w:r>
        <w:rPr>
          <w:spacing w:val="-1"/>
        </w:rPr>
        <w:t>plan,</w:t>
      </w:r>
      <w:r>
        <w:rPr>
          <w:spacing w:val="10"/>
        </w:rPr>
        <w:t xml:space="preserve"> </w:t>
      </w:r>
      <w:r>
        <w:rPr>
          <w:spacing w:val="-1"/>
        </w:rPr>
        <w:t>which</w:t>
      </w:r>
      <w:r>
        <w:rPr>
          <w:spacing w:val="9"/>
        </w:rPr>
        <w:t xml:space="preserve"> </w:t>
      </w:r>
      <w:r>
        <w:rPr>
          <w:spacing w:val="-1"/>
        </w:rPr>
        <w:t>shall</w:t>
      </w:r>
      <w:r>
        <w:rPr>
          <w:spacing w:val="6"/>
        </w:rPr>
        <w:t xml:space="preserve"> </w:t>
      </w:r>
      <w:r>
        <w:rPr>
          <w:spacing w:val="-1"/>
        </w:rPr>
        <w:t>detail</w:t>
      </w:r>
      <w:r>
        <w:rPr>
          <w:spacing w:val="6"/>
        </w:rPr>
        <w:t xml:space="preserve"> </w:t>
      </w:r>
      <w:r>
        <w:t>the</w:t>
      </w:r>
      <w:r>
        <w:rPr>
          <w:spacing w:val="6"/>
        </w:rPr>
        <w:t xml:space="preserve"> </w:t>
      </w:r>
      <w:r>
        <w:rPr>
          <w:spacing w:val="-1"/>
        </w:rPr>
        <w:t>processes</w:t>
      </w:r>
      <w:r>
        <w:rPr>
          <w:spacing w:val="7"/>
        </w:rPr>
        <w:t xml:space="preserve"> </w:t>
      </w:r>
      <w:r>
        <w:rPr>
          <w:spacing w:val="-1"/>
        </w:rPr>
        <w:t>and</w:t>
      </w:r>
      <w:r>
        <w:rPr>
          <w:spacing w:val="6"/>
        </w:rPr>
        <w:t xml:space="preserve"> </w:t>
      </w:r>
      <w:r>
        <w:rPr>
          <w:spacing w:val="-1"/>
        </w:rPr>
        <w:t>arrangements</w:t>
      </w:r>
      <w:r>
        <w:rPr>
          <w:spacing w:val="4"/>
        </w:rPr>
        <w:t xml:space="preserve"> </w:t>
      </w:r>
      <w:r>
        <w:rPr>
          <w:spacing w:val="-1"/>
        </w:rPr>
        <w:t>that</w:t>
      </w:r>
      <w:r>
        <w:rPr>
          <w:spacing w:val="8"/>
        </w:rPr>
        <w:t xml:space="preserve"> </w:t>
      </w:r>
      <w:r>
        <w:rPr>
          <w:spacing w:val="-1"/>
        </w:rPr>
        <w:t>the</w:t>
      </w:r>
      <w:r>
        <w:rPr>
          <w:spacing w:val="35"/>
        </w:rPr>
        <w:t xml:space="preserve"> </w:t>
      </w:r>
      <w:r>
        <w:rPr>
          <w:spacing w:val="-2"/>
        </w:rPr>
        <w:t>Supplier</w:t>
      </w:r>
      <w:r>
        <w:rPr>
          <w:spacing w:val="2"/>
        </w:rPr>
        <w:t xml:space="preserve"> </w:t>
      </w:r>
      <w:r>
        <w:rPr>
          <w:spacing w:val="-1"/>
        </w:rPr>
        <w:t>shall</w:t>
      </w:r>
      <w:r>
        <w:rPr>
          <w:spacing w:val="-3"/>
        </w:rPr>
        <w:t xml:space="preserve"> </w:t>
      </w:r>
      <w:r>
        <w:rPr>
          <w:spacing w:val="-1"/>
        </w:rPr>
        <w:t>follow</w:t>
      </w:r>
      <w:r>
        <w:rPr>
          <w:spacing w:val="-2"/>
        </w:rPr>
        <w:t xml:space="preserve"> </w:t>
      </w:r>
      <w:r>
        <w:rPr>
          <w:spacing w:val="-1"/>
        </w:rPr>
        <w:t>to:</w:t>
      </w:r>
    </w:p>
    <w:p w:rsidR="008918FA" w:rsidRDefault="008918FA" w:rsidP="008918FA">
      <w:pPr>
        <w:pStyle w:val="BodyText"/>
        <w:numPr>
          <w:ilvl w:val="2"/>
          <w:numId w:val="10"/>
        </w:numPr>
        <w:tabs>
          <w:tab w:val="left" w:pos="2027"/>
        </w:tabs>
        <w:spacing w:before="121"/>
        <w:ind w:right="114"/>
        <w:jc w:val="both"/>
      </w:pPr>
      <w:r>
        <w:rPr>
          <w:spacing w:val="-1"/>
        </w:rPr>
        <w:t>ensure</w:t>
      </w:r>
      <w:r>
        <w:rPr>
          <w:spacing w:val="12"/>
        </w:rPr>
        <w:t xml:space="preserve"> </w:t>
      </w:r>
      <w:r>
        <w:rPr>
          <w:spacing w:val="-1"/>
        </w:rPr>
        <w:t>continuity</w:t>
      </w:r>
      <w:r>
        <w:rPr>
          <w:spacing w:val="10"/>
        </w:rPr>
        <w:t xml:space="preserve"> </w:t>
      </w:r>
      <w:r>
        <w:rPr>
          <w:spacing w:val="-2"/>
        </w:rPr>
        <w:t>of</w:t>
      </w:r>
      <w:r>
        <w:rPr>
          <w:spacing w:val="14"/>
        </w:rPr>
        <w:t xml:space="preserve"> </w:t>
      </w:r>
      <w:r>
        <w:t>the</w:t>
      </w:r>
      <w:r>
        <w:rPr>
          <w:spacing w:val="10"/>
        </w:rPr>
        <w:t xml:space="preserve"> </w:t>
      </w:r>
      <w:r>
        <w:rPr>
          <w:spacing w:val="-1"/>
        </w:rPr>
        <w:t>business</w:t>
      </w:r>
      <w:r>
        <w:rPr>
          <w:spacing w:val="13"/>
        </w:rPr>
        <w:t xml:space="preserve"> </w:t>
      </w:r>
      <w:r>
        <w:rPr>
          <w:spacing w:val="-1"/>
        </w:rPr>
        <w:t>processes</w:t>
      </w:r>
      <w:r>
        <w:rPr>
          <w:spacing w:val="13"/>
        </w:rPr>
        <w:t xml:space="preserve"> </w:t>
      </w:r>
      <w:r>
        <w:rPr>
          <w:spacing w:val="-1"/>
        </w:rPr>
        <w:t>and</w:t>
      </w:r>
      <w:r>
        <w:rPr>
          <w:spacing w:val="10"/>
        </w:rPr>
        <w:t xml:space="preserve"> </w:t>
      </w:r>
      <w:r>
        <w:rPr>
          <w:spacing w:val="-1"/>
        </w:rPr>
        <w:t>operations</w:t>
      </w:r>
      <w:r>
        <w:rPr>
          <w:spacing w:val="10"/>
        </w:rPr>
        <w:t xml:space="preserve"> </w:t>
      </w:r>
      <w:r>
        <w:rPr>
          <w:spacing w:val="-1"/>
        </w:rPr>
        <w:t>supported</w:t>
      </w:r>
      <w:r>
        <w:rPr>
          <w:spacing w:val="30"/>
        </w:rPr>
        <w:t xml:space="preserve"> </w:t>
      </w:r>
      <w:r>
        <w:rPr>
          <w:spacing w:val="-1"/>
        </w:rPr>
        <w:t>by</w:t>
      </w:r>
      <w:r>
        <w:rPr>
          <w:spacing w:val="1"/>
        </w:rPr>
        <w:t xml:space="preserve"> </w:t>
      </w:r>
      <w:r>
        <w:t>the</w:t>
      </w:r>
      <w:r>
        <w:rPr>
          <w:spacing w:val="3"/>
        </w:rPr>
        <w:t xml:space="preserve"> </w:t>
      </w:r>
      <w:r>
        <w:rPr>
          <w:spacing w:val="-1"/>
        </w:rPr>
        <w:t>Services</w:t>
      </w:r>
      <w:r>
        <w:rPr>
          <w:spacing w:val="3"/>
        </w:rPr>
        <w:t xml:space="preserve"> </w:t>
      </w:r>
      <w:r>
        <w:rPr>
          <w:spacing w:val="-2"/>
        </w:rPr>
        <w:t>following</w:t>
      </w:r>
      <w:r>
        <w:rPr>
          <w:spacing w:val="5"/>
        </w:rPr>
        <w:t xml:space="preserve"> </w:t>
      </w:r>
      <w:r>
        <w:rPr>
          <w:spacing w:val="-1"/>
        </w:rPr>
        <w:t>any</w:t>
      </w:r>
      <w:r>
        <w:rPr>
          <w:spacing w:val="1"/>
        </w:rPr>
        <w:t xml:space="preserve"> </w:t>
      </w:r>
      <w:r>
        <w:rPr>
          <w:spacing w:val="-1"/>
        </w:rPr>
        <w:t>failure</w:t>
      </w:r>
      <w:r>
        <w:rPr>
          <w:spacing w:val="3"/>
        </w:rPr>
        <w:t xml:space="preserve"> </w:t>
      </w:r>
      <w:r>
        <w:rPr>
          <w:spacing w:val="-2"/>
        </w:rPr>
        <w:t>or</w:t>
      </w:r>
      <w:r>
        <w:rPr>
          <w:spacing w:val="4"/>
        </w:rPr>
        <w:t xml:space="preserve"> </w:t>
      </w:r>
      <w:r>
        <w:rPr>
          <w:spacing w:val="-1"/>
        </w:rPr>
        <w:t>disruption</w:t>
      </w:r>
      <w:r>
        <w:t xml:space="preserve"> </w:t>
      </w:r>
      <w:r>
        <w:rPr>
          <w:spacing w:val="-2"/>
        </w:rPr>
        <w:t>of</w:t>
      </w:r>
      <w:r>
        <w:rPr>
          <w:spacing w:val="6"/>
        </w:rPr>
        <w:t xml:space="preserve"> </w:t>
      </w:r>
      <w:r>
        <w:rPr>
          <w:spacing w:val="-1"/>
        </w:rPr>
        <w:t>any</w:t>
      </w:r>
      <w:r>
        <w:rPr>
          <w:spacing w:val="1"/>
        </w:rPr>
        <w:t xml:space="preserve"> </w:t>
      </w:r>
      <w:r>
        <w:rPr>
          <w:spacing w:val="-1"/>
        </w:rPr>
        <w:t>element</w:t>
      </w:r>
      <w:r>
        <w:rPr>
          <w:spacing w:val="4"/>
        </w:rPr>
        <w:t xml:space="preserve"> </w:t>
      </w:r>
      <w:r>
        <w:rPr>
          <w:spacing w:val="-2"/>
        </w:rPr>
        <w:t>of</w:t>
      </w:r>
      <w:r>
        <w:rPr>
          <w:spacing w:val="2"/>
        </w:rPr>
        <w:t xml:space="preserve"> </w:t>
      </w:r>
      <w:r>
        <w:rPr>
          <w:spacing w:val="-1"/>
        </w:rPr>
        <w:t>the</w:t>
      </w:r>
      <w:r>
        <w:rPr>
          <w:spacing w:val="44"/>
        </w:rPr>
        <w:t xml:space="preserve"> </w:t>
      </w:r>
      <w:r>
        <w:rPr>
          <w:spacing w:val="-1"/>
        </w:rPr>
        <w:t>Goods</w:t>
      </w:r>
      <w:r>
        <w:rPr>
          <w:spacing w:val="1"/>
        </w:rPr>
        <w:t xml:space="preserve"> </w:t>
      </w:r>
      <w:r>
        <w:rPr>
          <w:spacing w:val="-1"/>
        </w:rPr>
        <w:t>and/or</w:t>
      </w:r>
      <w:r>
        <w:t xml:space="preserve"> </w:t>
      </w:r>
      <w:r>
        <w:rPr>
          <w:spacing w:val="-1"/>
        </w:rPr>
        <w:t>Services;</w:t>
      </w:r>
      <w:r>
        <w:rPr>
          <w:spacing w:val="-2"/>
        </w:rPr>
        <w:t xml:space="preserve"> </w:t>
      </w:r>
      <w:r>
        <w:rPr>
          <w:spacing w:val="-1"/>
        </w:rPr>
        <w:t>and</w:t>
      </w:r>
    </w:p>
    <w:p w:rsidR="008918FA" w:rsidRDefault="008918FA" w:rsidP="008918FA">
      <w:pPr>
        <w:pStyle w:val="BodyText"/>
        <w:numPr>
          <w:ilvl w:val="2"/>
          <w:numId w:val="10"/>
        </w:numPr>
        <w:tabs>
          <w:tab w:val="left" w:pos="2027"/>
        </w:tabs>
        <w:spacing w:before="121"/>
        <w:ind w:hanging="993"/>
      </w:pPr>
      <w:r>
        <w:t>the</w:t>
      </w:r>
      <w:r>
        <w:rPr>
          <w:spacing w:val="-2"/>
        </w:rPr>
        <w:t xml:space="preserve"> </w:t>
      </w:r>
      <w:r>
        <w:rPr>
          <w:spacing w:val="-1"/>
        </w:rPr>
        <w:t>recovery</w:t>
      </w:r>
      <w:r>
        <w:rPr>
          <w:spacing w:val="-2"/>
        </w:rPr>
        <w:t xml:space="preserve"> of</w:t>
      </w:r>
      <w:r>
        <w:rPr>
          <w:spacing w:val="2"/>
        </w:rPr>
        <w:t xml:space="preserve"> </w:t>
      </w:r>
      <w:r>
        <w:t>the</w:t>
      </w:r>
      <w:r>
        <w:rPr>
          <w:spacing w:val="-2"/>
        </w:rPr>
        <w:t xml:space="preserve"> </w:t>
      </w:r>
      <w:r>
        <w:rPr>
          <w:spacing w:val="-1"/>
        </w:rPr>
        <w:t>Goods</w:t>
      </w:r>
      <w:r>
        <w:rPr>
          <w:spacing w:val="1"/>
        </w:rPr>
        <w:t xml:space="preserve"> </w:t>
      </w:r>
      <w:r>
        <w:rPr>
          <w:spacing w:val="-1"/>
        </w:rPr>
        <w:t>and/or</w:t>
      </w:r>
      <w:r>
        <w:rPr>
          <w:spacing w:val="2"/>
        </w:rPr>
        <w:t xml:space="preserve"> </w:t>
      </w:r>
      <w:r>
        <w:rPr>
          <w:spacing w:val="-2"/>
        </w:rPr>
        <w:t>Services</w:t>
      </w:r>
      <w:r>
        <w:rPr>
          <w:spacing w:val="1"/>
        </w:rPr>
        <w:t xml:space="preserve"> </w:t>
      </w:r>
      <w:r>
        <w:rPr>
          <w:spacing w:val="-1"/>
        </w:rPr>
        <w:t>in</w:t>
      </w:r>
      <w:r>
        <w:t xml:space="preserve"> the</w:t>
      </w:r>
      <w:r>
        <w:rPr>
          <w:spacing w:val="-4"/>
        </w:rPr>
        <w:t xml:space="preserve"> </w:t>
      </w:r>
      <w:r>
        <w:rPr>
          <w:spacing w:val="-2"/>
        </w:rPr>
        <w:t>event</w:t>
      </w:r>
      <w:r>
        <w:rPr>
          <w:spacing w:val="2"/>
        </w:rPr>
        <w:t xml:space="preserve"> </w:t>
      </w:r>
      <w:r>
        <w:rPr>
          <w:spacing w:val="-2"/>
        </w:rPr>
        <w:t>of</w:t>
      </w:r>
      <w:r>
        <w:rPr>
          <w:spacing w:val="4"/>
        </w:rPr>
        <w:t xml:space="preserve"> </w:t>
      </w:r>
      <w:r>
        <w:t>a</w:t>
      </w:r>
      <w:r>
        <w:rPr>
          <w:spacing w:val="-2"/>
        </w:rPr>
        <w:t xml:space="preserve"> </w:t>
      </w:r>
      <w:r>
        <w:rPr>
          <w:spacing w:val="-1"/>
        </w:rPr>
        <w:t>Disaster.</w:t>
      </w:r>
    </w:p>
    <w:p w:rsidR="008918FA" w:rsidRDefault="008918FA" w:rsidP="008918FA">
      <w:pPr>
        <w:pStyle w:val="BodyText"/>
        <w:numPr>
          <w:ilvl w:val="1"/>
          <w:numId w:val="10"/>
        </w:numPr>
        <w:tabs>
          <w:tab w:val="left" w:pos="829"/>
        </w:tabs>
      </w:pPr>
      <w:r>
        <w:t>The</w:t>
      </w:r>
      <w:r>
        <w:rPr>
          <w:spacing w:val="-2"/>
        </w:rPr>
        <w:t xml:space="preserve"> BCDR</w:t>
      </w:r>
      <w:r>
        <w:t xml:space="preserve"> </w:t>
      </w:r>
      <w:r>
        <w:rPr>
          <w:spacing w:val="-1"/>
        </w:rPr>
        <w:t>Plan</w:t>
      </w:r>
      <w:r>
        <w:t xml:space="preserve"> </w:t>
      </w:r>
      <w:r>
        <w:rPr>
          <w:spacing w:val="-2"/>
        </w:rPr>
        <w:t>shall:</w:t>
      </w:r>
    </w:p>
    <w:p w:rsidR="008918FA" w:rsidRDefault="008918FA" w:rsidP="008918FA">
      <w:pPr>
        <w:pStyle w:val="BodyText"/>
        <w:numPr>
          <w:ilvl w:val="2"/>
          <w:numId w:val="10"/>
        </w:numPr>
        <w:tabs>
          <w:tab w:val="left" w:pos="2027"/>
        </w:tabs>
        <w:spacing w:before="121"/>
        <w:ind w:left="2025" w:hanging="993"/>
      </w:pPr>
      <w:r>
        <w:rPr>
          <w:spacing w:val="-1"/>
        </w:rPr>
        <w:t>be</w:t>
      </w:r>
      <w:r>
        <w:t xml:space="preserve"> </w:t>
      </w:r>
      <w:r>
        <w:rPr>
          <w:spacing w:val="-2"/>
        </w:rPr>
        <w:t>divided</w:t>
      </w:r>
      <w:r>
        <w:t xml:space="preserve"> </w:t>
      </w:r>
      <w:r>
        <w:rPr>
          <w:spacing w:val="-1"/>
        </w:rPr>
        <w:t>into</w:t>
      </w:r>
      <w:r>
        <w:t xml:space="preserve"> </w:t>
      </w:r>
      <w:r>
        <w:rPr>
          <w:spacing w:val="-1"/>
        </w:rPr>
        <w:t>three</w:t>
      </w:r>
      <w:r>
        <w:rPr>
          <w:spacing w:val="-2"/>
        </w:rPr>
        <w:t xml:space="preserve"> parts:</w:t>
      </w:r>
    </w:p>
    <w:p w:rsidR="008918FA" w:rsidRDefault="008918FA" w:rsidP="008918FA">
      <w:pPr>
        <w:pStyle w:val="BodyText"/>
        <w:numPr>
          <w:ilvl w:val="3"/>
          <w:numId w:val="10"/>
        </w:numPr>
        <w:tabs>
          <w:tab w:val="left" w:pos="2735"/>
        </w:tabs>
        <w:ind w:right="120"/>
      </w:pPr>
      <w:r>
        <w:rPr>
          <w:spacing w:val="-1"/>
        </w:rPr>
        <w:t>Part</w:t>
      </w:r>
      <w:r>
        <w:rPr>
          <w:spacing w:val="2"/>
        </w:rPr>
        <w:t xml:space="preserve"> </w:t>
      </w:r>
      <w:r>
        <w:t>A</w:t>
      </w:r>
      <w:r>
        <w:rPr>
          <w:spacing w:val="31"/>
        </w:rPr>
        <w:t xml:space="preserve"> </w:t>
      </w:r>
      <w:r>
        <w:rPr>
          <w:spacing w:val="-2"/>
        </w:rPr>
        <w:t>which</w:t>
      </w:r>
      <w:r>
        <w:rPr>
          <w:spacing w:val="32"/>
        </w:rPr>
        <w:t xml:space="preserve"> </w:t>
      </w:r>
      <w:r>
        <w:rPr>
          <w:spacing w:val="-1"/>
        </w:rPr>
        <w:t>shall</w:t>
      </w:r>
      <w:r>
        <w:rPr>
          <w:spacing w:val="31"/>
        </w:rPr>
        <w:t xml:space="preserve"> </w:t>
      </w:r>
      <w:r>
        <w:rPr>
          <w:spacing w:val="-1"/>
        </w:rPr>
        <w:t>set</w:t>
      </w:r>
      <w:r>
        <w:rPr>
          <w:spacing w:val="33"/>
        </w:rPr>
        <w:t xml:space="preserve"> </w:t>
      </w:r>
      <w:r>
        <w:t>out</w:t>
      </w:r>
      <w:r>
        <w:rPr>
          <w:spacing w:val="33"/>
        </w:rPr>
        <w:t xml:space="preserve"> </w:t>
      </w:r>
      <w:r>
        <w:rPr>
          <w:spacing w:val="-1"/>
        </w:rPr>
        <w:t>general</w:t>
      </w:r>
      <w:r>
        <w:rPr>
          <w:spacing w:val="31"/>
        </w:rPr>
        <w:t xml:space="preserve"> </w:t>
      </w:r>
      <w:r>
        <w:rPr>
          <w:spacing w:val="-1"/>
        </w:rPr>
        <w:t>principles</w:t>
      </w:r>
      <w:r>
        <w:rPr>
          <w:spacing w:val="33"/>
        </w:rPr>
        <w:t xml:space="preserve"> </w:t>
      </w:r>
      <w:r>
        <w:rPr>
          <w:spacing w:val="-2"/>
        </w:rPr>
        <w:t>applicable</w:t>
      </w:r>
      <w:r>
        <w:rPr>
          <w:spacing w:val="31"/>
        </w:rPr>
        <w:t xml:space="preserve"> </w:t>
      </w:r>
      <w:r>
        <w:t>to</w:t>
      </w:r>
      <w:r>
        <w:rPr>
          <w:spacing w:val="31"/>
        </w:rPr>
        <w:t xml:space="preserve"> </w:t>
      </w:r>
      <w:r>
        <w:rPr>
          <w:spacing w:val="-1"/>
        </w:rPr>
        <w:t>the</w:t>
      </w:r>
      <w:r>
        <w:rPr>
          <w:spacing w:val="46"/>
        </w:rPr>
        <w:t xml:space="preserve"> </w:t>
      </w:r>
      <w:r>
        <w:rPr>
          <w:spacing w:val="-2"/>
        </w:rPr>
        <w:t>BCDR</w:t>
      </w:r>
      <w:r>
        <w:t xml:space="preserve"> </w:t>
      </w:r>
      <w:r>
        <w:rPr>
          <w:spacing w:val="-1"/>
        </w:rPr>
        <w:t>Plan;</w:t>
      </w:r>
    </w:p>
    <w:p w:rsidR="008918FA" w:rsidRDefault="008918FA" w:rsidP="008918FA">
      <w:pPr>
        <w:numPr>
          <w:ilvl w:val="3"/>
          <w:numId w:val="10"/>
        </w:numPr>
        <w:tabs>
          <w:tab w:val="left" w:pos="2735"/>
        </w:tabs>
        <w:spacing w:before="119"/>
        <w:ind w:right="125"/>
        <w:rPr>
          <w:rFonts w:ascii="Arial" w:eastAsia="Arial" w:hAnsi="Arial" w:cs="Arial"/>
        </w:rPr>
      </w:pPr>
      <w:bookmarkStart w:id="433" w:name="_bookmark353"/>
      <w:bookmarkEnd w:id="433"/>
      <w:r>
        <w:rPr>
          <w:rFonts w:ascii="Arial" w:eastAsia="Arial" w:hAnsi="Arial" w:cs="Arial"/>
          <w:spacing w:val="-1"/>
        </w:rPr>
        <w:t>Part</w:t>
      </w:r>
      <w:r>
        <w:rPr>
          <w:rFonts w:ascii="Arial" w:eastAsia="Arial" w:hAnsi="Arial" w:cs="Arial"/>
          <w:spacing w:val="2"/>
        </w:rPr>
        <w:t xml:space="preserve"> </w:t>
      </w:r>
      <w:r>
        <w:rPr>
          <w:rFonts w:ascii="Arial" w:eastAsia="Arial" w:hAnsi="Arial" w:cs="Arial"/>
        </w:rPr>
        <w:t>B</w:t>
      </w:r>
      <w:r>
        <w:rPr>
          <w:rFonts w:ascii="Arial" w:eastAsia="Arial" w:hAnsi="Arial" w:cs="Arial"/>
          <w:spacing w:val="9"/>
        </w:rPr>
        <w:t xml:space="preserve"> </w:t>
      </w:r>
      <w:r>
        <w:rPr>
          <w:rFonts w:ascii="Arial" w:eastAsia="Arial" w:hAnsi="Arial" w:cs="Arial"/>
          <w:spacing w:val="-2"/>
        </w:rPr>
        <w:t>which</w:t>
      </w:r>
      <w:r>
        <w:rPr>
          <w:rFonts w:ascii="Arial" w:eastAsia="Arial" w:hAnsi="Arial" w:cs="Arial"/>
          <w:spacing w:val="13"/>
        </w:rPr>
        <w:t xml:space="preserve"> </w:t>
      </w:r>
      <w:r>
        <w:rPr>
          <w:rFonts w:ascii="Arial" w:eastAsia="Arial" w:hAnsi="Arial" w:cs="Arial"/>
          <w:spacing w:val="-1"/>
        </w:rPr>
        <w:t>shall</w:t>
      </w:r>
      <w:r>
        <w:rPr>
          <w:rFonts w:ascii="Arial" w:eastAsia="Arial" w:hAnsi="Arial" w:cs="Arial"/>
          <w:spacing w:val="12"/>
        </w:rPr>
        <w:t xml:space="preserve"> </w:t>
      </w:r>
      <w:r>
        <w:rPr>
          <w:rFonts w:ascii="Arial" w:eastAsia="Arial" w:hAnsi="Arial" w:cs="Arial"/>
          <w:spacing w:val="-1"/>
        </w:rPr>
        <w:t>relate</w:t>
      </w:r>
      <w:r>
        <w:rPr>
          <w:rFonts w:ascii="Arial" w:eastAsia="Arial" w:hAnsi="Arial" w:cs="Arial"/>
          <w:spacing w:val="12"/>
        </w:rPr>
        <w:t xml:space="preserve"> </w:t>
      </w:r>
      <w:r>
        <w:rPr>
          <w:rFonts w:ascii="Arial" w:eastAsia="Arial" w:hAnsi="Arial" w:cs="Arial"/>
        </w:rPr>
        <w:t>to</w:t>
      </w:r>
      <w:r>
        <w:rPr>
          <w:rFonts w:ascii="Arial" w:eastAsia="Arial" w:hAnsi="Arial" w:cs="Arial"/>
          <w:spacing w:val="12"/>
        </w:rPr>
        <w:t xml:space="preserve"> </w:t>
      </w:r>
      <w:r>
        <w:rPr>
          <w:rFonts w:ascii="Arial" w:eastAsia="Arial" w:hAnsi="Arial" w:cs="Arial"/>
          <w:spacing w:val="-1"/>
        </w:rPr>
        <w:t>business</w:t>
      </w:r>
      <w:r>
        <w:rPr>
          <w:rFonts w:ascii="Arial" w:eastAsia="Arial" w:hAnsi="Arial" w:cs="Arial"/>
          <w:spacing w:val="11"/>
        </w:rPr>
        <w:t xml:space="preserve"> </w:t>
      </w:r>
      <w:r>
        <w:rPr>
          <w:rFonts w:ascii="Arial" w:eastAsia="Arial" w:hAnsi="Arial" w:cs="Arial"/>
          <w:spacing w:val="-1"/>
        </w:rPr>
        <w:t>continuity</w:t>
      </w:r>
      <w:r>
        <w:rPr>
          <w:rFonts w:ascii="Arial" w:eastAsia="Arial" w:hAnsi="Arial" w:cs="Arial"/>
          <w:spacing w:val="10"/>
        </w:rPr>
        <w:t xml:space="preserve"> </w:t>
      </w:r>
      <w:r>
        <w:rPr>
          <w:rFonts w:ascii="Arial" w:eastAsia="Arial" w:hAnsi="Arial" w:cs="Arial"/>
          <w:spacing w:val="-2"/>
        </w:rPr>
        <w:t>(the</w:t>
      </w:r>
      <w:r>
        <w:rPr>
          <w:rFonts w:ascii="Arial" w:eastAsia="Arial" w:hAnsi="Arial" w:cs="Arial"/>
          <w:spacing w:val="12"/>
        </w:rPr>
        <w:t xml:space="preserve"> </w:t>
      </w:r>
      <w:r>
        <w:rPr>
          <w:rFonts w:ascii="Arial" w:eastAsia="Arial" w:hAnsi="Arial" w:cs="Arial"/>
          <w:b/>
          <w:bCs/>
          <w:spacing w:val="-1"/>
        </w:rPr>
        <w:t>“Business</w:t>
      </w:r>
      <w:r>
        <w:rPr>
          <w:rFonts w:ascii="Arial" w:eastAsia="Arial" w:hAnsi="Arial" w:cs="Arial"/>
          <w:b/>
          <w:bCs/>
          <w:spacing w:val="38"/>
        </w:rPr>
        <w:t xml:space="preserve"> </w:t>
      </w:r>
      <w:r>
        <w:rPr>
          <w:rFonts w:ascii="Arial" w:eastAsia="Arial" w:hAnsi="Arial" w:cs="Arial"/>
          <w:b/>
          <w:bCs/>
          <w:spacing w:val="-1"/>
        </w:rPr>
        <w:t>Continuity</w:t>
      </w:r>
      <w:r>
        <w:rPr>
          <w:rFonts w:ascii="Arial" w:eastAsia="Arial" w:hAnsi="Arial" w:cs="Arial"/>
          <w:b/>
          <w:bCs/>
          <w:spacing w:val="-4"/>
        </w:rPr>
        <w:t xml:space="preserve"> </w:t>
      </w:r>
      <w:r>
        <w:rPr>
          <w:rFonts w:ascii="Arial" w:eastAsia="Arial" w:hAnsi="Arial" w:cs="Arial"/>
          <w:b/>
          <w:bCs/>
          <w:spacing w:val="-1"/>
        </w:rPr>
        <w:t>Plan”</w:t>
      </w:r>
      <w:r>
        <w:rPr>
          <w:rFonts w:ascii="Arial" w:eastAsia="Arial" w:hAnsi="Arial" w:cs="Arial"/>
          <w:spacing w:val="-1"/>
        </w:rPr>
        <w:t>);</w:t>
      </w:r>
      <w:r>
        <w:rPr>
          <w:rFonts w:ascii="Arial" w:eastAsia="Arial" w:hAnsi="Arial" w:cs="Arial"/>
          <w:spacing w:val="2"/>
        </w:rPr>
        <w:t xml:space="preserve"> </w:t>
      </w:r>
      <w:r>
        <w:rPr>
          <w:rFonts w:ascii="Arial" w:eastAsia="Arial" w:hAnsi="Arial" w:cs="Arial"/>
          <w:spacing w:val="-1"/>
        </w:rPr>
        <w:t>and</w:t>
      </w:r>
    </w:p>
    <w:p w:rsidR="008918FA" w:rsidRDefault="008918FA" w:rsidP="008918FA">
      <w:pPr>
        <w:numPr>
          <w:ilvl w:val="3"/>
          <w:numId w:val="10"/>
        </w:numPr>
        <w:tabs>
          <w:tab w:val="left" w:pos="2734"/>
        </w:tabs>
        <w:spacing w:before="121"/>
        <w:ind w:left="2733" w:right="120"/>
        <w:rPr>
          <w:rFonts w:ascii="Arial" w:eastAsia="Arial" w:hAnsi="Arial" w:cs="Arial"/>
        </w:rPr>
      </w:pPr>
      <w:bookmarkStart w:id="434" w:name="_bookmark354"/>
      <w:bookmarkEnd w:id="434"/>
      <w:r>
        <w:rPr>
          <w:rFonts w:ascii="Arial" w:eastAsia="Arial" w:hAnsi="Arial" w:cs="Arial"/>
          <w:spacing w:val="-1"/>
        </w:rPr>
        <w:t>Part</w:t>
      </w:r>
      <w:r>
        <w:rPr>
          <w:rFonts w:ascii="Arial" w:eastAsia="Arial" w:hAnsi="Arial" w:cs="Arial"/>
          <w:spacing w:val="2"/>
        </w:rPr>
        <w:t xml:space="preserve"> </w:t>
      </w:r>
      <w:r>
        <w:rPr>
          <w:rFonts w:ascii="Arial" w:eastAsia="Arial" w:hAnsi="Arial" w:cs="Arial"/>
        </w:rPr>
        <w:t>C</w:t>
      </w:r>
      <w:r>
        <w:rPr>
          <w:rFonts w:ascii="Arial" w:eastAsia="Arial" w:hAnsi="Arial" w:cs="Arial"/>
          <w:spacing w:val="45"/>
        </w:rPr>
        <w:t xml:space="preserve"> </w:t>
      </w:r>
      <w:r>
        <w:rPr>
          <w:rFonts w:ascii="Arial" w:eastAsia="Arial" w:hAnsi="Arial" w:cs="Arial"/>
          <w:spacing w:val="-2"/>
        </w:rPr>
        <w:t>which</w:t>
      </w:r>
      <w:r>
        <w:rPr>
          <w:rFonts w:ascii="Arial" w:eastAsia="Arial" w:hAnsi="Arial" w:cs="Arial"/>
          <w:spacing w:val="46"/>
        </w:rPr>
        <w:t xml:space="preserve"> </w:t>
      </w:r>
      <w:r>
        <w:rPr>
          <w:rFonts w:ascii="Arial" w:eastAsia="Arial" w:hAnsi="Arial" w:cs="Arial"/>
          <w:spacing w:val="-1"/>
        </w:rPr>
        <w:t>shall</w:t>
      </w:r>
      <w:r>
        <w:rPr>
          <w:rFonts w:ascii="Arial" w:eastAsia="Arial" w:hAnsi="Arial" w:cs="Arial"/>
          <w:spacing w:val="45"/>
        </w:rPr>
        <w:t xml:space="preserve"> </w:t>
      </w:r>
      <w:r>
        <w:rPr>
          <w:rFonts w:ascii="Arial" w:eastAsia="Arial" w:hAnsi="Arial" w:cs="Arial"/>
          <w:spacing w:val="-1"/>
        </w:rPr>
        <w:t>relate</w:t>
      </w:r>
      <w:r>
        <w:rPr>
          <w:rFonts w:ascii="Arial" w:eastAsia="Arial" w:hAnsi="Arial" w:cs="Arial"/>
          <w:spacing w:val="46"/>
        </w:rPr>
        <w:t xml:space="preserve"> </w:t>
      </w:r>
      <w:r>
        <w:rPr>
          <w:rFonts w:ascii="Arial" w:eastAsia="Arial" w:hAnsi="Arial" w:cs="Arial"/>
        </w:rPr>
        <w:t>to</w:t>
      </w:r>
      <w:r>
        <w:rPr>
          <w:rFonts w:ascii="Arial" w:eastAsia="Arial" w:hAnsi="Arial" w:cs="Arial"/>
          <w:spacing w:val="46"/>
        </w:rPr>
        <w:t xml:space="preserve"> </w:t>
      </w:r>
      <w:r>
        <w:rPr>
          <w:rFonts w:ascii="Arial" w:eastAsia="Arial" w:hAnsi="Arial" w:cs="Arial"/>
          <w:spacing w:val="-1"/>
        </w:rPr>
        <w:t>disaster</w:t>
      </w:r>
      <w:r>
        <w:rPr>
          <w:rFonts w:ascii="Arial" w:eastAsia="Arial" w:hAnsi="Arial" w:cs="Arial"/>
          <w:spacing w:val="47"/>
        </w:rPr>
        <w:t xml:space="preserve"> </w:t>
      </w:r>
      <w:r>
        <w:rPr>
          <w:rFonts w:ascii="Arial" w:eastAsia="Arial" w:hAnsi="Arial" w:cs="Arial"/>
          <w:spacing w:val="-1"/>
        </w:rPr>
        <w:t>recovery</w:t>
      </w:r>
      <w:r>
        <w:rPr>
          <w:rFonts w:ascii="Arial" w:eastAsia="Arial" w:hAnsi="Arial" w:cs="Arial"/>
          <w:spacing w:val="45"/>
        </w:rPr>
        <w:t xml:space="preserve"> </w:t>
      </w:r>
      <w:r>
        <w:rPr>
          <w:rFonts w:ascii="Arial" w:eastAsia="Arial" w:hAnsi="Arial" w:cs="Arial"/>
        </w:rPr>
        <w:t>(the</w:t>
      </w:r>
      <w:r>
        <w:rPr>
          <w:rFonts w:ascii="Arial" w:eastAsia="Arial" w:hAnsi="Arial" w:cs="Arial"/>
          <w:spacing w:val="46"/>
        </w:rPr>
        <w:t xml:space="preserve"> </w:t>
      </w:r>
      <w:r>
        <w:rPr>
          <w:rFonts w:ascii="Arial" w:eastAsia="Arial" w:hAnsi="Arial" w:cs="Arial"/>
          <w:b/>
          <w:bCs/>
          <w:spacing w:val="-1"/>
        </w:rPr>
        <w:t>“Disaster</w:t>
      </w:r>
      <w:r>
        <w:rPr>
          <w:rFonts w:ascii="Arial" w:eastAsia="Arial" w:hAnsi="Arial" w:cs="Arial"/>
          <w:b/>
          <w:bCs/>
          <w:spacing w:val="39"/>
        </w:rPr>
        <w:t xml:space="preserve"> </w:t>
      </w:r>
      <w:r>
        <w:rPr>
          <w:rFonts w:ascii="Arial" w:eastAsia="Arial" w:hAnsi="Arial" w:cs="Arial"/>
          <w:b/>
          <w:bCs/>
          <w:spacing w:val="-1"/>
        </w:rPr>
        <w:t>Recovery</w:t>
      </w:r>
      <w:r>
        <w:rPr>
          <w:rFonts w:ascii="Arial" w:eastAsia="Arial" w:hAnsi="Arial" w:cs="Arial"/>
          <w:b/>
          <w:bCs/>
          <w:spacing w:val="-4"/>
        </w:rPr>
        <w:t xml:space="preserve"> </w:t>
      </w:r>
      <w:r>
        <w:rPr>
          <w:rFonts w:ascii="Arial" w:eastAsia="Arial" w:hAnsi="Arial" w:cs="Arial"/>
          <w:b/>
          <w:bCs/>
          <w:spacing w:val="-1"/>
        </w:rPr>
        <w:t>Plan”</w:t>
      </w:r>
      <w:r>
        <w:rPr>
          <w:rFonts w:ascii="Arial" w:eastAsia="Arial" w:hAnsi="Arial" w:cs="Arial"/>
          <w:spacing w:val="-1"/>
        </w:rPr>
        <w:t>);</w:t>
      </w:r>
      <w:r>
        <w:rPr>
          <w:rFonts w:ascii="Arial" w:eastAsia="Arial" w:hAnsi="Arial" w:cs="Arial"/>
          <w:spacing w:val="2"/>
        </w:rPr>
        <w:t xml:space="preserve"> </w:t>
      </w:r>
      <w:r>
        <w:rPr>
          <w:rFonts w:ascii="Arial" w:eastAsia="Arial" w:hAnsi="Arial" w:cs="Arial"/>
          <w:spacing w:val="-1"/>
        </w:rPr>
        <w:t>and</w:t>
      </w:r>
    </w:p>
    <w:p w:rsidR="008918FA" w:rsidRDefault="008918FA" w:rsidP="008918FA">
      <w:pPr>
        <w:pStyle w:val="BodyText"/>
        <w:numPr>
          <w:ilvl w:val="2"/>
          <w:numId w:val="10"/>
        </w:numPr>
        <w:tabs>
          <w:tab w:val="left" w:pos="2026"/>
        </w:tabs>
        <w:spacing w:before="124"/>
        <w:ind w:left="2025" w:right="115" w:hanging="993"/>
        <w:jc w:val="both"/>
      </w:pPr>
      <w:r>
        <w:rPr>
          <w:spacing w:val="-1"/>
        </w:rPr>
        <w:t>unless</w:t>
      </w:r>
      <w:r>
        <w:rPr>
          <w:spacing w:val="23"/>
        </w:rPr>
        <w:t xml:space="preserve"> </w:t>
      </w:r>
      <w:r>
        <w:rPr>
          <w:spacing w:val="-1"/>
        </w:rPr>
        <w:t>otherwise</w:t>
      </w:r>
      <w:r>
        <w:rPr>
          <w:spacing w:val="22"/>
        </w:rPr>
        <w:t xml:space="preserve"> </w:t>
      </w:r>
      <w:r>
        <w:rPr>
          <w:spacing w:val="-1"/>
        </w:rPr>
        <w:t>required</w:t>
      </w:r>
      <w:r>
        <w:rPr>
          <w:spacing w:val="22"/>
        </w:rPr>
        <w:t xml:space="preserve"> </w:t>
      </w:r>
      <w:r>
        <w:rPr>
          <w:spacing w:val="-1"/>
        </w:rPr>
        <w:t>by</w:t>
      </w:r>
      <w:r>
        <w:rPr>
          <w:spacing w:val="20"/>
        </w:rPr>
        <w:t xml:space="preserve"> </w:t>
      </w:r>
      <w:r>
        <w:t>the</w:t>
      </w:r>
      <w:r>
        <w:rPr>
          <w:spacing w:val="22"/>
        </w:rPr>
        <w:t xml:space="preserve"> </w:t>
      </w:r>
      <w:r>
        <w:rPr>
          <w:spacing w:val="-1"/>
        </w:rPr>
        <w:t>Customer</w:t>
      </w:r>
      <w:r>
        <w:rPr>
          <w:spacing w:val="23"/>
        </w:rPr>
        <w:t xml:space="preserve"> </w:t>
      </w:r>
      <w:r>
        <w:rPr>
          <w:spacing w:val="-1"/>
        </w:rPr>
        <w:t>in</w:t>
      </w:r>
      <w:r>
        <w:rPr>
          <w:spacing w:val="22"/>
        </w:rPr>
        <w:t xml:space="preserve"> </w:t>
      </w:r>
      <w:r>
        <w:rPr>
          <w:spacing w:val="-1"/>
        </w:rPr>
        <w:t>writing,</w:t>
      </w:r>
      <w:r>
        <w:rPr>
          <w:spacing w:val="23"/>
        </w:rPr>
        <w:t xml:space="preserve"> </w:t>
      </w:r>
      <w:r>
        <w:rPr>
          <w:spacing w:val="-1"/>
        </w:rPr>
        <w:t>be</w:t>
      </w:r>
      <w:r>
        <w:rPr>
          <w:spacing w:val="22"/>
        </w:rPr>
        <w:t xml:space="preserve"> </w:t>
      </w:r>
      <w:r>
        <w:rPr>
          <w:spacing w:val="-1"/>
        </w:rPr>
        <w:t>based</w:t>
      </w:r>
      <w:r>
        <w:rPr>
          <w:spacing w:val="22"/>
        </w:rPr>
        <w:t xml:space="preserve"> </w:t>
      </w:r>
      <w:r>
        <w:rPr>
          <w:spacing w:val="-1"/>
        </w:rPr>
        <w:t>upon</w:t>
      </w:r>
      <w:r>
        <w:rPr>
          <w:spacing w:val="30"/>
        </w:rPr>
        <w:t xml:space="preserve"> </w:t>
      </w:r>
      <w:r>
        <w:rPr>
          <w:spacing w:val="-1"/>
        </w:rPr>
        <w:t>and</w:t>
      </w:r>
      <w:r>
        <w:t xml:space="preserve"> </w:t>
      </w:r>
      <w:r>
        <w:rPr>
          <w:spacing w:val="-1"/>
        </w:rPr>
        <w:t>be</w:t>
      </w:r>
      <w:r>
        <w:t xml:space="preserve"> </w:t>
      </w:r>
      <w:r>
        <w:rPr>
          <w:spacing w:val="-1"/>
        </w:rPr>
        <w:t>consistent</w:t>
      </w:r>
      <w:r>
        <w:t xml:space="preserve"> </w:t>
      </w:r>
      <w:r>
        <w:rPr>
          <w:spacing w:val="-2"/>
        </w:rPr>
        <w:t>with</w:t>
      </w:r>
      <w:r>
        <w:t xml:space="preserve"> </w:t>
      </w:r>
      <w:r>
        <w:rPr>
          <w:spacing w:val="-1"/>
        </w:rPr>
        <w:t>the</w:t>
      </w:r>
      <w:r>
        <w:t xml:space="preserve"> </w:t>
      </w:r>
      <w:r>
        <w:rPr>
          <w:spacing w:val="-2"/>
        </w:rPr>
        <w:t>provisions</w:t>
      </w:r>
      <w:r>
        <w:rPr>
          <w:spacing w:val="1"/>
        </w:rPr>
        <w:t xml:space="preserve"> </w:t>
      </w:r>
      <w:r>
        <w:rPr>
          <w:spacing w:val="-2"/>
        </w:rPr>
        <w:t>of</w:t>
      </w:r>
      <w:r>
        <w:rPr>
          <w:spacing w:val="4"/>
        </w:rPr>
        <w:t xml:space="preserve"> </w:t>
      </w:r>
      <w:r>
        <w:rPr>
          <w:spacing w:val="-1"/>
        </w:rPr>
        <w:t>paragraphs</w:t>
      </w:r>
      <w:r>
        <w:rPr>
          <w:spacing w:val="1"/>
        </w:rPr>
        <w:t xml:space="preserve"> </w:t>
      </w:r>
      <w:r>
        <w:rPr>
          <w:spacing w:val="-1"/>
        </w:rPr>
        <w:t>3,</w:t>
      </w:r>
      <w:r>
        <w:t xml:space="preserve"> 4 </w:t>
      </w:r>
      <w:r>
        <w:rPr>
          <w:spacing w:val="-1"/>
        </w:rPr>
        <w:t>and</w:t>
      </w:r>
      <w:r>
        <w:rPr>
          <w:spacing w:val="-2"/>
        </w:rPr>
        <w:t xml:space="preserve"> </w:t>
      </w:r>
      <w:r>
        <w:rPr>
          <w:spacing w:val="-1"/>
        </w:rPr>
        <w:t>5.</w:t>
      </w:r>
    </w:p>
    <w:p w:rsidR="008918FA" w:rsidRDefault="008918FA" w:rsidP="008918FA">
      <w:pPr>
        <w:pStyle w:val="BodyText"/>
        <w:numPr>
          <w:ilvl w:val="1"/>
          <w:numId w:val="10"/>
        </w:numPr>
        <w:tabs>
          <w:tab w:val="left" w:pos="829"/>
        </w:tabs>
      </w:pPr>
      <w:bookmarkStart w:id="435" w:name="_bookmark355"/>
      <w:bookmarkEnd w:id="435"/>
      <w:r>
        <w:rPr>
          <w:spacing w:val="-2"/>
        </w:rPr>
        <w:t>Following</w:t>
      </w:r>
      <w:r>
        <w:rPr>
          <w:spacing w:val="3"/>
        </w:rPr>
        <w:t xml:space="preserve"> </w:t>
      </w:r>
      <w:r>
        <w:rPr>
          <w:spacing w:val="-1"/>
        </w:rPr>
        <w:t>receipt</w:t>
      </w:r>
      <w:r>
        <w:t xml:space="preserve"> </w:t>
      </w:r>
      <w:r>
        <w:rPr>
          <w:spacing w:val="-2"/>
        </w:rPr>
        <w:t>of</w:t>
      </w:r>
      <w:r>
        <w:rPr>
          <w:spacing w:val="2"/>
        </w:rPr>
        <w:t xml:space="preserve"> </w:t>
      </w:r>
      <w:r>
        <w:t>the</w:t>
      </w:r>
      <w:r>
        <w:rPr>
          <w:spacing w:val="-2"/>
        </w:rPr>
        <w:t xml:space="preserve"> </w:t>
      </w:r>
      <w:r>
        <w:rPr>
          <w:spacing w:val="-1"/>
        </w:rPr>
        <w:t>draft</w:t>
      </w:r>
      <w:r>
        <w:rPr>
          <w:spacing w:val="2"/>
        </w:rPr>
        <w:t xml:space="preserve"> </w:t>
      </w:r>
      <w:r>
        <w:rPr>
          <w:spacing w:val="-2"/>
        </w:rPr>
        <w:t>BCDR</w:t>
      </w:r>
      <w:r>
        <w:t xml:space="preserve"> </w:t>
      </w:r>
      <w:r>
        <w:rPr>
          <w:spacing w:val="-1"/>
        </w:rPr>
        <w:t>Plan</w:t>
      </w:r>
      <w:r>
        <w:rPr>
          <w:spacing w:val="-2"/>
        </w:rPr>
        <w:t xml:space="preserve"> </w:t>
      </w:r>
      <w:r>
        <w:rPr>
          <w:spacing w:val="-1"/>
        </w:rPr>
        <w:t xml:space="preserve">from </w:t>
      </w:r>
      <w:r>
        <w:t>the</w:t>
      </w:r>
      <w:r>
        <w:rPr>
          <w:spacing w:val="-2"/>
        </w:rPr>
        <w:t xml:space="preserve"> </w:t>
      </w:r>
      <w:r>
        <w:rPr>
          <w:spacing w:val="-1"/>
        </w:rPr>
        <w:t>Supplier,</w:t>
      </w:r>
      <w:r>
        <w:rPr>
          <w:spacing w:val="2"/>
        </w:rPr>
        <w:t xml:space="preserve"> </w:t>
      </w:r>
      <w:r>
        <w:t>the</w:t>
      </w:r>
      <w:r>
        <w:rPr>
          <w:spacing w:val="-2"/>
        </w:rPr>
        <w:t xml:space="preserve"> </w:t>
      </w:r>
      <w:r>
        <w:rPr>
          <w:spacing w:val="-1"/>
        </w:rPr>
        <w:t xml:space="preserve">Customer </w:t>
      </w:r>
      <w:r>
        <w:rPr>
          <w:spacing w:val="-2"/>
        </w:rPr>
        <w:t>shall:</w:t>
      </w:r>
    </w:p>
    <w:p w:rsidR="008918FA" w:rsidRDefault="008918FA" w:rsidP="008918FA">
      <w:pPr>
        <w:pStyle w:val="BodyText"/>
        <w:numPr>
          <w:ilvl w:val="2"/>
          <w:numId w:val="10"/>
        </w:numPr>
        <w:tabs>
          <w:tab w:val="left" w:pos="2026"/>
        </w:tabs>
        <w:spacing w:before="121"/>
        <w:ind w:left="2025" w:right="115" w:hanging="993"/>
        <w:jc w:val="both"/>
      </w:pPr>
      <w:r>
        <w:rPr>
          <w:spacing w:val="-1"/>
        </w:rPr>
        <w:t>review</w:t>
      </w:r>
      <w:r>
        <w:rPr>
          <w:spacing w:val="21"/>
        </w:rPr>
        <w:t xml:space="preserve"> </w:t>
      </w:r>
      <w:r>
        <w:rPr>
          <w:spacing w:val="-1"/>
        </w:rPr>
        <w:t>and</w:t>
      </w:r>
      <w:r>
        <w:rPr>
          <w:spacing w:val="24"/>
        </w:rPr>
        <w:t xml:space="preserve"> </w:t>
      </w:r>
      <w:r>
        <w:rPr>
          <w:spacing w:val="-1"/>
        </w:rPr>
        <w:t>comment</w:t>
      </w:r>
      <w:r>
        <w:rPr>
          <w:spacing w:val="26"/>
        </w:rPr>
        <w:t xml:space="preserve"> </w:t>
      </w:r>
      <w:r>
        <w:rPr>
          <w:spacing w:val="-1"/>
        </w:rPr>
        <w:t>on</w:t>
      </w:r>
      <w:r>
        <w:rPr>
          <w:spacing w:val="22"/>
        </w:rPr>
        <w:t xml:space="preserve"> </w:t>
      </w:r>
      <w:r>
        <w:t>the</w:t>
      </w:r>
      <w:r>
        <w:rPr>
          <w:spacing w:val="24"/>
        </w:rPr>
        <w:t xml:space="preserve"> </w:t>
      </w:r>
      <w:r>
        <w:rPr>
          <w:spacing w:val="-1"/>
        </w:rPr>
        <w:t>draft</w:t>
      </w:r>
      <w:r>
        <w:rPr>
          <w:spacing w:val="26"/>
        </w:rPr>
        <w:t xml:space="preserve"> </w:t>
      </w:r>
      <w:r>
        <w:rPr>
          <w:spacing w:val="-2"/>
        </w:rPr>
        <w:t>BCDR</w:t>
      </w:r>
      <w:r>
        <w:rPr>
          <w:spacing w:val="24"/>
        </w:rPr>
        <w:t xml:space="preserve"> </w:t>
      </w:r>
      <w:r>
        <w:rPr>
          <w:spacing w:val="-1"/>
        </w:rPr>
        <w:t>Plan</w:t>
      </w:r>
      <w:r>
        <w:rPr>
          <w:spacing w:val="24"/>
        </w:rPr>
        <w:t xml:space="preserve"> </w:t>
      </w:r>
      <w:r>
        <w:rPr>
          <w:spacing w:val="-1"/>
        </w:rPr>
        <w:t>as</w:t>
      </w:r>
      <w:r>
        <w:rPr>
          <w:spacing w:val="25"/>
        </w:rPr>
        <w:t xml:space="preserve"> </w:t>
      </w:r>
      <w:r>
        <w:rPr>
          <w:spacing w:val="-1"/>
        </w:rPr>
        <w:t>soon</w:t>
      </w:r>
      <w:r>
        <w:rPr>
          <w:spacing w:val="24"/>
        </w:rPr>
        <w:t xml:space="preserve"> </w:t>
      </w:r>
      <w:r>
        <w:rPr>
          <w:spacing w:val="-1"/>
        </w:rPr>
        <w:t>as</w:t>
      </w:r>
      <w:r>
        <w:rPr>
          <w:spacing w:val="22"/>
        </w:rPr>
        <w:t xml:space="preserve"> </w:t>
      </w:r>
      <w:r>
        <w:rPr>
          <w:spacing w:val="-1"/>
        </w:rPr>
        <w:t>reasonably</w:t>
      </w:r>
      <w:r>
        <w:rPr>
          <w:spacing w:val="31"/>
        </w:rPr>
        <w:t xml:space="preserve"> </w:t>
      </w:r>
      <w:r>
        <w:rPr>
          <w:spacing w:val="-1"/>
        </w:rPr>
        <w:t>practicable;</w:t>
      </w:r>
      <w:r>
        <w:t xml:space="preserve"> </w:t>
      </w:r>
      <w:r>
        <w:rPr>
          <w:spacing w:val="-1"/>
        </w:rPr>
        <w:t>and</w:t>
      </w:r>
    </w:p>
    <w:p w:rsidR="008918FA" w:rsidRDefault="008918FA" w:rsidP="008918FA">
      <w:pPr>
        <w:pStyle w:val="BodyText"/>
        <w:numPr>
          <w:ilvl w:val="2"/>
          <w:numId w:val="10"/>
        </w:numPr>
        <w:tabs>
          <w:tab w:val="left" w:pos="2026"/>
        </w:tabs>
        <w:spacing w:before="121"/>
        <w:ind w:left="2025" w:right="117" w:hanging="993"/>
        <w:jc w:val="both"/>
      </w:pPr>
      <w:r>
        <w:rPr>
          <w:spacing w:val="-1"/>
        </w:rPr>
        <w:t>notify</w:t>
      </w:r>
      <w:r>
        <w:rPr>
          <w:spacing w:val="10"/>
        </w:rPr>
        <w:t xml:space="preserve"> </w:t>
      </w:r>
      <w:r>
        <w:t>the</w:t>
      </w:r>
      <w:r>
        <w:rPr>
          <w:spacing w:val="12"/>
        </w:rPr>
        <w:t xml:space="preserve"> </w:t>
      </w:r>
      <w:r>
        <w:rPr>
          <w:spacing w:val="-2"/>
        </w:rPr>
        <w:t>Supplier</w:t>
      </w:r>
      <w:r>
        <w:rPr>
          <w:spacing w:val="14"/>
        </w:rPr>
        <w:t xml:space="preserve"> </w:t>
      </w:r>
      <w:r>
        <w:rPr>
          <w:spacing w:val="-1"/>
        </w:rPr>
        <w:t>in</w:t>
      </w:r>
      <w:r>
        <w:rPr>
          <w:spacing w:val="12"/>
        </w:rPr>
        <w:t xml:space="preserve"> </w:t>
      </w:r>
      <w:r>
        <w:rPr>
          <w:spacing w:val="-2"/>
        </w:rPr>
        <w:t>writing</w:t>
      </w:r>
      <w:r>
        <w:rPr>
          <w:spacing w:val="12"/>
        </w:rPr>
        <w:t xml:space="preserve"> </w:t>
      </w:r>
      <w:r>
        <w:rPr>
          <w:spacing w:val="-1"/>
        </w:rPr>
        <w:t>that</w:t>
      </w:r>
      <w:r>
        <w:rPr>
          <w:spacing w:val="14"/>
        </w:rPr>
        <w:t xml:space="preserve"> </w:t>
      </w:r>
      <w:r>
        <w:rPr>
          <w:spacing w:val="-2"/>
        </w:rPr>
        <w:t>it</w:t>
      </w:r>
      <w:r>
        <w:rPr>
          <w:spacing w:val="14"/>
        </w:rPr>
        <w:t xml:space="preserve"> </w:t>
      </w:r>
      <w:r>
        <w:rPr>
          <w:spacing w:val="-2"/>
        </w:rPr>
        <w:t>approves</w:t>
      </w:r>
      <w:r>
        <w:rPr>
          <w:spacing w:val="13"/>
        </w:rPr>
        <w:t xml:space="preserve"> </w:t>
      </w:r>
      <w:r>
        <w:rPr>
          <w:spacing w:val="-1"/>
        </w:rPr>
        <w:t>or</w:t>
      </w:r>
      <w:r>
        <w:rPr>
          <w:spacing w:val="11"/>
        </w:rPr>
        <w:t xml:space="preserve"> </w:t>
      </w:r>
      <w:r>
        <w:rPr>
          <w:spacing w:val="-1"/>
        </w:rPr>
        <w:t>rejects</w:t>
      </w:r>
      <w:r>
        <w:rPr>
          <w:spacing w:val="13"/>
        </w:rPr>
        <w:t xml:space="preserve"> </w:t>
      </w:r>
      <w:r>
        <w:t>the</w:t>
      </w:r>
      <w:r>
        <w:rPr>
          <w:spacing w:val="10"/>
        </w:rPr>
        <w:t xml:space="preserve"> </w:t>
      </w:r>
      <w:r>
        <w:rPr>
          <w:spacing w:val="-1"/>
        </w:rPr>
        <w:t>draft</w:t>
      </w:r>
      <w:r>
        <w:rPr>
          <w:spacing w:val="11"/>
        </w:rPr>
        <w:t xml:space="preserve"> </w:t>
      </w:r>
      <w:r>
        <w:rPr>
          <w:spacing w:val="-2"/>
        </w:rPr>
        <w:t>BCDR</w:t>
      </w:r>
      <w:r>
        <w:rPr>
          <w:spacing w:val="63"/>
        </w:rPr>
        <w:t xml:space="preserve"> </w:t>
      </w:r>
      <w:r>
        <w:rPr>
          <w:spacing w:val="-1"/>
        </w:rPr>
        <w:t>Plan</w:t>
      </w:r>
      <w:r>
        <w:rPr>
          <w:spacing w:val="29"/>
        </w:rPr>
        <w:t xml:space="preserve"> </w:t>
      </w:r>
      <w:r>
        <w:rPr>
          <w:spacing w:val="-1"/>
        </w:rPr>
        <w:t>no</w:t>
      </w:r>
      <w:r>
        <w:rPr>
          <w:spacing w:val="29"/>
        </w:rPr>
        <w:t xml:space="preserve"> </w:t>
      </w:r>
      <w:r>
        <w:rPr>
          <w:spacing w:val="-1"/>
        </w:rPr>
        <w:t>later</w:t>
      </w:r>
      <w:r>
        <w:rPr>
          <w:spacing w:val="30"/>
        </w:rPr>
        <w:t xml:space="preserve"> </w:t>
      </w:r>
      <w:r>
        <w:rPr>
          <w:spacing w:val="-1"/>
        </w:rPr>
        <w:t>than</w:t>
      </w:r>
      <w:r>
        <w:rPr>
          <w:spacing w:val="30"/>
        </w:rPr>
        <w:t xml:space="preserve"> </w:t>
      </w:r>
      <w:r>
        <w:rPr>
          <w:spacing w:val="-2"/>
        </w:rPr>
        <w:t>twenty</w:t>
      </w:r>
      <w:r>
        <w:rPr>
          <w:spacing w:val="27"/>
        </w:rPr>
        <w:t xml:space="preserve"> </w:t>
      </w:r>
      <w:r>
        <w:rPr>
          <w:spacing w:val="-1"/>
        </w:rPr>
        <w:t>(20)</w:t>
      </w:r>
      <w:r>
        <w:rPr>
          <w:spacing w:val="-3"/>
        </w:rPr>
        <w:t xml:space="preserve"> </w:t>
      </w:r>
      <w:r>
        <w:rPr>
          <w:spacing w:val="-1"/>
        </w:rPr>
        <w:t>Working</w:t>
      </w:r>
      <w:r>
        <w:rPr>
          <w:spacing w:val="31"/>
        </w:rPr>
        <w:t xml:space="preserve"> </w:t>
      </w:r>
      <w:r>
        <w:rPr>
          <w:spacing w:val="-2"/>
        </w:rPr>
        <w:t>Days</w:t>
      </w:r>
      <w:r>
        <w:rPr>
          <w:spacing w:val="30"/>
        </w:rPr>
        <w:t xml:space="preserve"> </w:t>
      </w:r>
      <w:r>
        <w:rPr>
          <w:spacing w:val="-1"/>
        </w:rPr>
        <w:t>after</w:t>
      </w:r>
      <w:r>
        <w:rPr>
          <w:spacing w:val="30"/>
        </w:rPr>
        <w:t xml:space="preserve"> </w:t>
      </w:r>
      <w:r>
        <w:t>the</w:t>
      </w:r>
      <w:r>
        <w:rPr>
          <w:spacing w:val="29"/>
        </w:rPr>
        <w:t xml:space="preserve"> </w:t>
      </w:r>
      <w:r>
        <w:rPr>
          <w:spacing w:val="-1"/>
        </w:rPr>
        <w:t>date</w:t>
      </w:r>
      <w:r>
        <w:rPr>
          <w:spacing w:val="29"/>
        </w:rPr>
        <w:t xml:space="preserve"> </w:t>
      </w:r>
      <w:r>
        <w:rPr>
          <w:spacing w:val="-1"/>
        </w:rPr>
        <w:t>on</w:t>
      </w:r>
      <w:r>
        <w:rPr>
          <w:spacing w:val="29"/>
        </w:rPr>
        <w:t xml:space="preserve"> </w:t>
      </w:r>
      <w:r>
        <w:rPr>
          <w:spacing w:val="-1"/>
        </w:rPr>
        <w:t>which</w:t>
      </w:r>
      <w:r>
        <w:rPr>
          <w:spacing w:val="49"/>
        </w:rPr>
        <w:t xml:space="preserve"> </w:t>
      </w:r>
      <w:r>
        <w:t xml:space="preserve">the </w:t>
      </w:r>
      <w:r>
        <w:rPr>
          <w:spacing w:val="-1"/>
        </w:rPr>
        <w:t>draft</w:t>
      </w:r>
      <w:r>
        <w:rPr>
          <w:spacing w:val="2"/>
        </w:rPr>
        <w:t xml:space="preserve"> </w:t>
      </w:r>
      <w:r>
        <w:rPr>
          <w:spacing w:val="-2"/>
        </w:rPr>
        <w:t>BCDR</w:t>
      </w:r>
      <w:r>
        <w:t xml:space="preserve"> </w:t>
      </w:r>
      <w:r>
        <w:rPr>
          <w:spacing w:val="-1"/>
        </w:rPr>
        <w:t>Plan</w:t>
      </w:r>
      <w:r>
        <w:t xml:space="preserve"> </w:t>
      </w:r>
      <w:r>
        <w:rPr>
          <w:spacing w:val="-1"/>
        </w:rPr>
        <w:t>is</w:t>
      </w:r>
      <w:r>
        <w:rPr>
          <w:spacing w:val="-2"/>
        </w:rPr>
        <w:t xml:space="preserve"> </w:t>
      </w:r>
      <w:r>
        <w:rPr>
          <w:spacing w:val="-1"/>
        </w:rPr>
        <w:t>first</w:t>
      </w:r>
      <w:r>
        <w:t xml:space="preserve"> </w:t>
      </w:r>
      <w:r>
        <w:rPr>
          <w:spacing w:val="-2"/>
        </w:rPr>
        <w:t>delivered</w:t>
      </w:r>
      <w:r>
        <w:t xml:space="preserve"> to</w:t>
      </w:r>
      <w:r>
        <w:rPr>
          <w:spacing w:val="-2"/>
        </w:rPr>
        <w:t xml:space="preserve"> </w:t>
      </w:r>
      <w:r>
        <w:t xml:space="preserve">the </w:t>
      </w:r>
      <w:r>
        <w:rPr>
          <w:spacing w:val="-2"/>
        </w:rPr>
        <w:t>Customer.</w:t>
      </w:r>
    </w:p>
    <w:p w:rsidR="008918FA" w:rsidRDefault="008918FA" w:rsidP="008918FA">
      <w:pPr>
        <w:pStyle w:val="BodyText"/>
        <w:numPr>
          <w:ilvl w:val="1"/>
          <w:numId w:val="10"/>
        </w:numPr>
        <w:tabs>
          <w:tab w:val="left" w:pos="828"/>
        </w:tabs>
        <w:spacing w:before="121"/>
        <w:ind w:left="827" w:hanging="359"/>
      </w:pPr>
      <w:bookmarkStart w:id="436" w:name="_bookmark356"/>
      <w:bookmarkEnd w:id="436"/>
      <w:r>
        <w:rPr>
          <w:spacing w:val="-1"/>
        </w:rPr>
        <w:t>If</w:t>
      </w:r>
      <w:r>
        <w:rPr>
          <w:spacing w:val="2"/>
        </w:rPr>
        <w:t xml:space="preserve"> </w:t>
      </w:r>
      <w:r>
        <w:t>the</w:t>
      </w:r>
      <w:r>
        <w:rPr>
          <w:spacing w:val="-2"/>
        </w:rPr>
        <w:t xml:space="preserve"> </w:t>
      </w:r>
      <w:r>
        <w:rPr>
          <w:spacing w:val="-1"/>
        </w:rPr>
        <w:t>Customer rejects</w:t>
      </w:r>
      <w:r>
        <w:rPr>
          <w:spacing w:val="-2"/>
        </w:rPr>
        <w:t xml:space="preserve"> </w:t>
      </w:r>
      <w:r>
        <w:rPr>
          <w:spacing w:val="-1"/>
        </w:rPr>
        <w:t>the</w:t>
      </w:r>
      <w:r>
        <w:t xml:space="preserve"> </w:t>
      </w:r>
      <w:r>
        <w:rPr>
          <w:spacing w:val="-1"/>
        </w:rPr>
        <w:t>draft</w:t>
      </w:r>
      <w:r>
        <w:t xml:space="preserve"> </w:t>
      </w:r>
      <w:r>
        <w:rPr>
          <w:spacing w:val="-2"/>
        </w:rPr>
        <w:t>BCDR</w:t>
      </w:r>
      <w:r>
        <w:t xml:space="preserve"> </w:t>
      </w:r>
      <w:r>
        <w:rPr>
          <w:spacing w:val="-2"/>
        </w:rPr>
        <w:t>Plan:</w:t>
      </w:r>
    </w:p>
    <w:p w:rsidR="008918FA" w:rsidRDefault="008918FA" w:rsidP="008918FA">
      <w:pPr>
        <w:pStyle w:val="BodyText"/>
        <w:numPr>
          <w:ilvl w:val="2"/>
          <w:numId w:val="10"/>
        </w:numPr>
        <w:tabs>
          <w:tab w:val="left" w:pos="2026"/>
        </w:tabs>
        <w:ind w:left="2025" w:right="112"/>
        <w:jc w:val="both"/>
      </w:pPr>
      <w:r>
        <w:t>the</w:t>
      </w:r>
      <w:r>
        <w:rPr>
          <w:spacing w:val="22"/>
        </w:rPr>
        <w:t xml:space="preserve"> </w:t>
      </w:r>
      <w:r>
        <w:rPr>
          <w:spacing w:val="-1"/>
        </w:rPr>
        <w:t>Customer</w:t>
      </w:r>
      <w:r>
        <w:rPr>
          <w:spacing w:val="23"/>
        </w:rPr>
        <w:t xml:space="preserve"> </w:t>
      </w:r>
      <w:r>
        <w:rPr>
          <w:spacing w:val="-1"/>
        </w:rPr>
        <w:t>shall</w:t>
      </w:r>
      <w:r>
        <w:rPr>
          <w:spacing w:val="21"/>
        </w:rPr>
        <w:t xml:space="preserve"> </w:t>
      </w:r>
      <w:r>
        <w:rPr>
          <w:spacing w:val="-1"/>
        </w:rPr>
        <w:t>inform</w:t>
      </w:r>
      <w:r>
        <w:rPr>
          <w:spacing w:val="23"/>
        </w:rPr>
        <w:t xml:space="preserve"> </w:t>
      </w:r>
      <w:r>
        <w:t>the</w:t>
      </w:r>
      <w:r>
        <w:rPr>
          <w:spacing w:val="22"/>
        </w:rPr>
        <w:t xml:space="preserve"> </w:t>
      </w:r>
      <w:r>
        <w:rPr>
          <w:spacing w:val="-2"/>
        </w:rPr>
        <w:t>Supplier</w:t>
      </w:r>
      <w:r>
        <w:rPr>
          <w:spacing w:val="23"/>
        </w:rPr>
        <w:t xml:space="preserve"> </w:t>
      </w:r>
      <w:r>
        <w:rPr>
          <w:spacing w:val="-1"/>
        </w:rPr>
        <w:t>in</w:t>
      </w:r>
      <w:r>
        <w:rPr>
          <w:spacing w:val="24"/>
        </w:rPr>
        <w:t xml:space="preserve"> </w:t>
      </w:r>
      <w:r>
        <w:rPr>
          <w:spacing w:val="-2"/>
        </w:rPr>
        <w:t>writing</w:t>
      </w:r>
      <w:r>
        <w:rPr>
          <w:spacing w:val="24"/>
        </w:rPr>
        <w:t xml:space="preserve"> </w:t>
      </w:r>
      <w:r>
        <w:rPr>
          <w:spacing w:val="-1"/>
        </w:rPr>
        <w:t>of</w:t>
      </w:r>
      <w:r>
        <w:rPr>
          <w:spacing w:val="26"/>
        </w:rPr>
        <w:t xml:space="preserve"> </w:t>
      </w:r>
      <w:r>
        <w:rPr>
          <w:spacing w:val="-1"/>
        </w:rPr>
        <w:t>its</w:t>
      </w:r>
      <w:r>
        <w:rPr>
          <w:spacing w:val="22"/>
        </w:rPr>
        <w:t xml:space="preserve"> </w:t>
      </w:r>
      <w:r>
        <w:rPr>
          <w:spacing w:val="-1"/>
        </w:rPr>
        <w:t>reasons</w:t>
      </w:r>
      <w:r>
        <w:rPr>
          <w:spacing w:val="20"/>
        </w:rPr>
        <w:t xml:space="preserve"> </w:t>
      </w:r>
      <w:r>
        <w:t>for</w:t>
      </w:r>
      <w:r>
        <w:rPr>
          <w:spacing w:val="23"/>
        </w:rPr>
        <w:t xml:space="preserve"> </w:t>
      </w:r>
      <w:r>
        <w:rPr>
          <w:spacing w:val="-2"/>
        </w:rPr>
        <w:t>its</w:t>
      </w:r>
      <w:r>
        <w:rPr>
          <w:spacing w:val="59"/>
        </w:rPr>
        <w:t xml:space="preserve"> </w:t>
      </w:r>
      <w:r>
        <w:rPr>
          <w:spacing w:val="-1"/>
        </w:rPr>
        <w:t>rejection;</w:t>
      </w:r>
      <w:r>
        <w:t xml:space="preserve"> </w:t>
      </w:r>
      <w:r>
        <w:rPr>
          <w:spacing w:val="-1"/>
        </w:rPr>
        <w:t>and</w:t>
      </w:r>
    </w:p>
    <w:p w:rsidR="008918FA" w:rsidRDefault="008918FA" w:rsidP="008918FA">
      <w:pPr>
        <w:pStyle w:val="BodyText"/>
        <w:numPr>
          <w:ilvl w:val="2"/>
          <w:numId w:val="10"/>
        </w:numPr>
        <w:tabs>
          <w:tab w:val="left" w:pos="2026"/>
        </w:tabs>
        <w:ind w:left="2025" w:right="114"/>
        <w:jc w:val="both"/>
      </w:pPr>
      <w:r>
        <w:t>the</w:t>
      </w:r>
      <w:r>
        <w:rPr>
          <w:spacing w:val="17"/>
        </w:rPr>
        <w:t xml:space="preserve"> </w:t>
      </w:r>
      <w:r>
        <w:rPr>
          <w:spacing w:val="-2"/>
        </w:rPr>
        <w:t>Supplier</w:t>
      </w:r>
      <w:r>
        <w:rPr>
          <w:spacing w:val="19"/>
        </w:rPr>
        <w:t xml:space="preserve"> </w:t>
      </w:r>
      <w:r>
        <w:rPr>
          <w:spacing w:val="-1"/>
        </w:rPr>
        <w:t>shall</w:t>
      </w:r>
      <w:r>
        <w:rPr>
          <w:spacing w:val="17"/>
        </w:rPr>
        <w:t xml:space="preserve"> </w:t>
      </w:r>
      <w:r>
        <w:rPr>
          <w:spacing w:val="-1"/>
        </w:rPr>
        <w:t>then</w:t>
      </w:r>
      <w:r>
        <w:rPr>
          <w:spacing w:val="15"/>
        </w:rPr>
        <w:t xml:space="preserve"> </w:t>
      </w:r>
      <w:r>
        <w:rPr>
          <w:spacing w:val="-2"/>
        </w:rPr>
        <w:t>revise</w:t>
      </w:r>
      <w:r>
        <w:rPr>
          <w:spacing w:val="18"/>
        </w:rPr>
        <w:t xml:space="preserve"> </w:t>
      </w:r>
      <w:r>
        <w:t>the</w:t>
      </w:r>
      <w:r>
        <w:rPr>
          <w:spacing w:val="17"/>
        </w:rPr>
        <w:t xml:space="preserve"> </w:t>
      </w:r>
      <w:r>
        <w:rPr>
          <w:spacing w:val="-1"/>
        </w:rPr>
        <w:t>draft</w:t>
      </w:r>
      <w:r>
        <w:rPr>
          <w:spacing w:val="19"/>
        </w:rPr>
        <w:t xml:space="preserve"> </w:t>
      </w:r>
      <w:r>
        <w:rPr>
          <w:spacing w:val="-2"/>
        </w:rPr>
        <w:t>BCDR</w:t>
      </w:r>
      <w:r>
        <w:rPr>
          <w:spacing w:val="17"/>
        </w:rPr>
        <w:t xml:space="preserve"> </w:t>
      </w:r>
      <w:r>
        <w:rPr>
          <w:spacing w:val="-1"/>
        </w:rPr>
        <w:t>Plan</w:t>
      </w:r>
      <w:r>
        <w:rPr>
          <w:spacing w:val="17"/>
        </w:rPr>
        <w:t xml:space="preserve"> </w:t>
      </w:r>
      <w:r>
        <w:rPr>
          <w:spacing w:val="-1"/>
        </w:rPr>
        <w:t>(taking</w:t>
      </w:r>
      <w:r>
        <w:rPr>
          <w:spacing w:val="17"/>
        </w:rPr>
        <w:t xml:space="preserve"> </w:t>
      </w:r>
      <w:r>
        <w:rPr>
          <w:spacing w:val="-1"/>
        </w:rPr>
        <w:t>reasonable</w:t>
      </w:r>
      <w:r>
        <w:rPr>
          <w:spacing w:val="47"/>
        </w:rPr>
        <w:t xml:space="preserve"> </w:t>
      </w:r>
      <w:r>
        <w:rPr>
          <w:spacing w:val="-1"/>
        </w:rPr>
        <w:t>account</w:t>
      </w:r>
      <w:r>
        <w:rPr>
          <w:spacing w:val="38"/>
        </w:rPr>
        <w:t xml:space="preserve"> </w:t>
      </w:r>
      <w:r>
        <w:rPr>
          <w:spacing w:val="-2"/>
        </w:rPr>
        <w:t>of</w:t>
      </w:r>
      <w:r>
        <w:rPr>
          <w:spacing w:val="40"/>
        </w:rPr>
        <w:t xml:space="preserve"> </w:t>
      </w:r>
      <w:r>
        <w:t>the</w:t>
      </w:r>
      <w:r>
        <w:rPr>
          <w:spacing w:val="36"/>
        </w:rPr>
        <w:t xml:space="preserve"> </w:t>
      </w:r>
      <w:r>
        <w:rPr>
          <w:spacing w:val="-2"/>
        </w:rPr>
        <w:t>Customer’s</w:t>
      </w:r>
      <w:r>
        <w:rPr>
          <w:spacing w:val="37"/>
        </w:rPr>
        <w:t xml:space="preserve"> </w:t>
      </w:r>
      <w:r>
        <w:rPr>
          <w:spacing w:val="-1"/>
        </w:rPr>
        <w:t>comments)</w:t>
      </w:r>
      <w:r>
        <w:rPr>
          <w:spacing w:val="38"/>
        </w:rPr>
        <w:t xml:space="preserve"> </w:t>
      </w:r>
      <w:r>
        <w:rPr>
          <w:spacing w:val="-1"/>
        </w:rPr>
        <w:t>and</w:t>
      </w:r>
      <w:r>
        <w:rPr>
          <w:spacing w:val="36"/>
        </w:rPr>
        <w:t xml:space="preserve"> </w:t>
      </w:r>
      <w:r>
        <w:rPr>
          <w:spacing w:val="-1"/>
        </w:rPr>
        <w:t>shall</w:t>
      </w:r>
      <w:r>
        <w:rPr>
          <w:spacing w:val="37"/>
        </w:rPr>
        <w:t xml:space="preserve"> </w:t>
      </w:r>
      <w:r>
        <w:rPr>
          <w:spacing w:val="-1"/>
        </w:rPr>
        <w:t>re-submit</w:t>
      </w:r>
      <w:r>
        <w:rPr>
          <w:spacing w:val="38"/>
        </w:rPr>
        <w:t xml:space="preserve"> </w:t>
      </w:r>
      <w:r>
        <w:t>a</w:t>
      </w:r>
      <w:r>
        <w:rPr>
          <w:spacing w:val="36"/>
        </w:rPr>
        <w:t xml:space="preserve"> </w:t>
      </w:r>
      <w:r>
        <w:rPr>
          <w:spacing w:val="-1"/>
        </w:rPr>
        <w:t>revised</w:t>
      </w:r>
      <w:r>
        <w:rPr>
          <w:spacing w:val="45"/>
        </w:rPr>
        <w:t xml:space="preserve"> </w:t>
      </w:r>
      <w:r>
        <w:rPr>
          <w:spacing w:val="-1"/>
        </w:rPr>
        <w:t>draft</w:t>
      </w:r>
      <w:r>
        <w:rPr>
          <w:spacing w:val="30"/>
        </w:rPr>
        <w:t xml:space="preserve"> </w:t>
      </w:r>
      <w:r>
        <w:rPr>
          <w:spacing w:val="-2"/>
        </w:rPr>
        <w:t>BCDR</w:t>
      </w:r>
      <w:r>
        <w:rPr>
          <w:spacing w:val="28"/>
        </w:rPr>
        <w:t xml:space="preserve"> </w:t>
      </w:r>
      <w:r>
        <w:rPr>
          <w:spacing w:val="-1"/>
        </w:rPr>
        <w:t>Plan</w:t>
      </w:r>
      <w:r>
        <w:rPr>
          <w:spacing w:val="29"/>
        </w:rPr>
        <w:t xml:space="preserve"> </w:t>
      </w:r>
      <w:r>
        <w:t>to</w:t>
      </w:r>
      <w:r>
        <w:rPr>
          <w:spacing w:val="27"/>
        </w:rPr>
        <w:t xml:space="preserve"> </w:t>
      </w:r>
      <w:r>
        <w:t>the</w:t>
      </w:r>
      <w:r>
        <w:rPr>
          <w:spacing w:val="24"/>
        </w:rPr>
        <w:t xml:space="preserve"> </w:t>
      </w:r>
      <w:r>
        <w:rPr>
          <w:spacing w:val="-1"/>
        </w:rPr>
        <w:t>Customer</w:t>
      </w:r>
      <w:r>
        <w:rPr>
          <w:spacing w:val="28"/>
        </w:rPr>
        <w:t xml:space="preserve"> </w:t>
      </w:r>
      <w:r>
        <w:t>for</w:t>
      </w:r>
      <w:r>
        <w:rPr>
          <w:spacing w:val="28"/>
        </w:rPr>
        <w:t xml:space="preserve"> </w:t>
      </w:r>
      <w:r>
        <w:t>the</w:t>
      </w:r>
      <w:r>
        <w:rPr>
          <w:spacing w:val="27"/>
        </w:rPr>
        <w:t xml:space="preserve"> </w:t>
      </w:r>
      <w:r>
        <w:rPr>
          <w:spacing w:val="-1"/>
        </w:rPr>
        <w:t>Customer's</w:t>
      </w:r>
      <w:r>
        <w:rPr>
          <w:spacing w:val="30"/>
        </w:rPr>
        <w:t xml:space="preserve"> </w:t>
      </w:r>
      <w:r>
        <w:rPr>
          <w:spacing w:val="-2"/>
        </w:rPr>
        <w:t>approval</w:t>
      </w:r>
      <w:r>
        <w:rPr>
          <w:spacing w:val="28"/>
        </w:rPr>
        <w:t xml:space="preserve"> </w:t>
      </w:r>
      <w:r>
        <w:rPr>
          <w:spacing w:val="-1"/>
        </w:rPr>
        <w:t>within</w:t>
      </w:r>
      <w:r>
        <w:rPr>
          <w:spacing w:val="31"/>
        </w:rPr>
        <w:t xml:space="preserve"> </w:t>
      </w:r>
      <w:r>
        <w:rPr>
          <w:spacing w:val="-1"/>
        </w:rPr>
        <w:t>twenty</w:t>
      </w:r>
      <w:r>
        <w:rPr>
          <w:spacing w:val="61"/>
        </w:rPr>
        <w:t xml:space="preserve"> </w:t>
      </w:r>
      <w:r>
        <w:rPr>
          <w:spacing w:val="-1"/>
        </w:rPr>
        <w:t>(20)</w:t>
      </w:r>
      <w:r>
        <w:rPr>
          <w:spacing w:val="-3"/>
        </w:rPr>
        <w:t xml:space="preserve"> </w:t>
      </w:r>
      <w:r>
        <w:rPr>
          <w:spacing w:val="-1"/>
        </w:rPr>
        <w:t>Working</w:t>
      </w:r>
      <w:r>
        <w:rPr>
          <w:spacing w:val="4"/>
        </w:rPr>
        <w:t xml:space="preserve"> </w:t>
      </w:r>
      <w:r>
        <w:rPr>
          <w:spacing w:val="-2"/>
        </w:rPr>
        <w:t>Days</w:t>
      </w:r>
      <w:r>
        <w:rPr>
          <w:spacing w:val="2"/>
        </w:rPr>
        <w:t xml:space="preserve"> </w:t>
      </w:r>
      <w:r>
        <w:t>of</w:t>
      </w:r>
      <w:r>
        <w:rPr>
          <w:spacing w:val="3"/>
        </w:rPr>
        <w:t xml:space="preserve"> </w:t>
      </w:r>
      <w:r>
        <w:t>the</w:t>
      </w:r>
      <w:r>
        <w:rPr>
          <w:spacing w:val="60"/>
        </w:rPr>
        <w:t xml:space="preserve"> </w:t>
      </w:r>
      <w:r>
        <w:rPr>
          <w:spacing w:val="-1"/>
        </w:rPr>
        <w:t>date</w:t>
      </w:r>
      <w:r>
        <w:rPr>
          <w:spacing w:val="60"/>
        </w:rPr>
        <w:t xml:space="preserve"> </w:t>
      </w:r>
      <w:r>
        <w:rPr>
          <w:spacing w:val="-2"/>
        </w:rPr>
        <w:t>of</w:t>
      </w:r>
      <w:r>
        <w:rPr>
          <w:spacing w:val="3"/>
        </w:rPr>
        <w:t xml:space="preserve"> </w:t>
      </w:r>
      <w:r>
        <w:t>the</w:t>
      </w:r>
      <w:r>
        <w:rPr>
          <w:spacing w:val="58"/>
        </w:rPr>
        <w:t xml:space="preserve"> </w:t>
      </w:r>
      <w:r>
        <w:rPr>
          <w:spacing w:val="-1"/>
        </w:rPr>
        <w:t>Customer’s</w:t>
      </w:r>
      <w:r>
        <w:rPr>
          <w:spacing w:val="2"/>
        </w:rPr>
        <w:t xml:space="preserve"> </w:t>
      </w:r>
      <w:r>
        <w:rPr>
          <w:spacing w:val="-1"/>
        </w:rPr>
        <w:t>notice</w:t>
      </w:r>
      <w:r>
        <w:t xml:space="preserve">  </w:t>
      </w:r>
      <w:r>
        <w:rPr>
          <w:spacing w:val="-2"/>
        </w:rPr>
        <w:t>of</w:t>
      </w:r>
      <w:r>
        <w:rPr>
          <w:spacing w:val="35"/>
        </w:rPr>
        <w:t xml:space="preserve"> </w:t>
      </w:r>
      <w:r>
        <w:rPr>
          <w:spacing w:val="-1"/>
        </w:rPr>
        <w:t>rejection.</w:t>
      </w:r>
      <w:r>
        <w:rPr>
          <w:spacing w:val="50"/>
        </w:rPr>
        <w:t xml:space="preserve"> </w:t>
      </w:r>
      <w:r>
        <w:t>The</w:t>
      </w:r>
      <w:r>
        <w:rPr>
          <w:spacing w:val="51"/>
        </w:rPr>
        <w:t xml:space="preserve"> </w:t>
      </w:r>
      <w:r>
        <w:rPr>
          <w:spacing w:val="-1"/>
        </w:rPr>
        <w:t>provisions</w:t>
      </w:r>
      <w:r>
        <w:rPr>
          <w:spacing w:val="51"/>
        </w:rPr>
        <w:t xml:space="preserve"> </w:t>
      </w:r>
      <w:r>
        <w:rPr>
          <w:spacing w:val="-2"/>
        </w:rPr>
        <w:t>of</w:t>
      </w:r>
      <w:r>
        <w:rPr>
          <w:spacing w:val="54"/>
        </w:rPr>
        <w:t xml:space="preserve"> </w:t>
      </w:r>
      <w:hyperlink r:id="rId25">
        <w:r>
          <w:rPr>
            <w:spacing w:val="-1"/>
          </w:rPr>
          <w:t>paragraph</w:t>
        </w:r>
      </w:hyperlink>
      <w:r>
        <w:rPr>
          <w:spacing w:val="-1"/>
        </w:rPr>
        <w:t>s</w:t>
      </w:r>
      <w:r>
        <w:t xml:space="preserve"> </w:t>
      </w:r>
      <w:hyperlink w:anchor="_bookmark355" w:history="1">
        <w:r>
          <w:t>2.3</w:t>
        </w:r>
      </w:hyperlink>
      <w:r>
        <w:rPr>
          <w:spacing w:val="51"/>
        </w:rPr>
        <w:t xml:space="preserve"> </w:t>
      </w:r>
      <w:r>
        <w:rPr>
          <w:spacing w:val="-2"/>
        </w:rPr>
        <w:t>and</w:t>
      </w:r>
      <w:r>
        <w:rPr>
          <w:spacing w:val="51"/>
        </w:rPr>
        <w:t xml:space="preserve"> </w:t>
      </w:r>
      <w:hyperlink w:anchor="_bookmark356" w:history="1">
        <w:r>
          <w:t>2.4</w:t>
        </w:r>
      </w:hyperlink>
      <w:r>
        <w:rPr>
          <w:spacing w:val="52"/>
        </w:rPr>
        <w:t xml:space="preserve"> </w:t>
      </w:r>
      <w:r>
        <w:rPr>
          <w:spacing w:val="-2"/>
        </w:rPr>
        <w:t>of</w:t>
      </w:r>
      <w:r>
        <w:rPr>
          <w:spacing w:val="52"/>
        </w:rPr>
        <w:t xml:space="preserve"> </w:t>
      </w:r>
      <w:r>
        <w:rPr>
          <w:spacing w:val="-1"/>
        </w:rPr>
        <w:t>this</w:t>
      </w:r>
      <w:r>
        <w:rPr>
          <w:spacing w:val="51"/>
        </w:rPr>
        <w:t xml:space="preserve"> </w:t>
      </w:r>
      <w:r>
        <w:rPr>
          <w:spacing w:val="-2"/>
        </w:rPr>
        <w:t>Call</w:t>
      </w:r>
      <w:r>
        <w:rPr>
          <w:spacing w:val="47"/>
        </w:rPr>
        <w:t xml:space="preserve"> </w:t>
      </w:r>
      <w:r>
        <w:rPr>
          <w:spacing w:val="-1"/>
        </w:rPr>
        <w:t>Off</w:t>
      </w:r>
      <w:r>
        <w:rPr>
          <w:spacing w:val="33"/>
        </w:rPr>
        <w:t xml:space="preserve"> </w:t>
      </w:r>
      <w:r>
        <w:rPr>
          <w:spacing w:val="-1"/>
        </w:rPr>
        <w:t>Schedule</w:t>
      </w:r>
      <w:r>
        <w:rPr>
          <w:spacing w:val="14"/>
        </w:rPr>
        <w:t xml:space="preserve"> </w:t>
      </w:r>
      <w:r>
        <w:rPr>
          <w:spacing w:val="-1"/>
        </w:rPr>
        <w:t>shall</w:t>
      </w:r>
      <w:r>
        <w:rPr>
          <w:spacing w:val="13"/>
        </w:rPr>
        <w:t xml:space="preserve"> </w:t>
      </w:r>
      <w:r>
        <w:rPr>
          <w:spacing w:val="-1"/>
        </w:rPr>
        <w:t>apply</w:t>
      </w:r>
      <w:r>
        <w:rPr>
          <w:spacing w:val="14"/>
        </w:rPr>
        <w:t xml:space="preserve"> </w:t>
      </w:r>
      <w:r>
        <w:t>again</w:t>
      </w:r>
      <w:r>
        <w:rPr>
          <w:spacing w:val="14"/>
        </w:rPr>
        <w:t xml:space="preserve"> </w:t>
      </w:r>
      <w:r>
        <w:t>to</w:t>
      </w:r>
      <w:r>
        <w:rPr>
          <w:spacing w:val="13"/>
        </w:rPr>
        <w:t xml:space="preserve"> </w:t>
      </w:r>
      <w:r>
        <w:rPr>
          <w:spacing w:val="-1"/>
        </w:rPr>
        <w:t>any</w:t>
      </w:r>
      <w:r>
        <w:rPr>
          <w:spacing w:val="13"/>
        </w:rPr>
        <w:t xml:space="preserve"> </w:t>
      </w:r>
      <w:r>
        <w:rPr>
          <w:spacing w:val="-1"/>
        </w:rPr>
        <w:t>resubmitted</w:t>
      </w:r>
      <w:r>
        <w:rPr>
          <w:spacing w:val="14"/>
        </w:rPr>
        <w:t xml:space="preserve"> </w:t>
      </w:r>
      <w:r>
        <w:rPr>
          <w:spacing w:val="-1"/>
        </w:rPr>
        <w:t>draft</w:t>
      </w:r>
      <w:r>
        <w:rPr>
          <w:spacing w:val="15"/>
        </w:rPr>
        <w:t xml:space="preserve"> </w:t>
      </w:r>
      <w:r>
        <w:rPr>
          <w:spacing w:val="-2"/>
        </w:rPr>
        <w:t>BCDR</w:t>
      </w:r>
      <w:r>
        <w:rPr>
          <w:spacing w:val="13"/>
        </w:rPr>
        <w:t xml:space="preserve"> </w:t>
      </w:r>
      <w:r>
        <w:rPr>
          <w:spacing w:val="-1"/>
        </w:rPr>
        <w:t>Plan,</w:t>
      </w:r>
      <w:r>
        <w:rPr>
          <w:spacing w:val="37"/>
        </w:rPr>
        <w:t xml:space="preserve"> </w:t>
      </w:r>
      <w:r>
        <w:rPr>
          <w:spacing w:val="-2"/>
        </w:rPr>
        <w:t>provided</w:t>
      </w:r>
      <w:r>
        <w:rPr>
          <w:spacing w:val="3"/>
        </w:rPr>
        <w:t xml:space="preserve"> </w:t>
      </w:r>
      <w:r>
        <w:rPr>
          <w:spacing w:val="-1"/>
        </w:rPr>
        <w:t>that</w:t>
      </w:r>
      <w:r>
        <w:rPr>
          <w:spacing w:val="4"/>
        </w:rPr>
        <w:t xml:space="preserve"> </w:t>
      </w:r>
      <w:r>
        <w:rPr>
          <w:spacing w:val="-1"/>
        </w:rPr>
        <w:t>either</w:t>
      </w:r>
      <w:r>
        <w:rPr>
          <w:spacing w:val="4"/>
        </w:rPr>
        <w:t xml:space="preserve"> </w:t>
      </w:r>
      <w:r>
        <w:rPr>
          <w:spacing w:val="-2"/>
        </w:rPr>
        <w:t>Party</w:t>
      </w:r>
      <w:r>
        <w:rPr>
          <w:spacing w:val="1"/>
        </w:rPr>
        <w:t xml:space="preserve"> </w:t>
      </w:r>
      <w:r>
        <w:rPr>
          <w:spacing w:val="-1"/>
        </w:rPr>
        <w:t>may</w:t>
      </w:r>
      <w:r>
        <w:rPr>
          <w:spacing w:val="1"/>
        </w:rPr>
        <w:t xml:space="preserve"> </w:t>
      </w:r>
      <w:r>
        <w:t>refer</w:t>
      </w:r>
      <w:r>
        <w:rPr>
          <w:spacing w:val="4"/>
        </w:rPr>
        <w:t xml:space="preserve"> </w:t>
      </w:r>
      <w:r>
        <w:rPr>
          <w:spacing w:val="-1"/>
        </w:rPr>
        <w:t>any</w:t>
      </w:r>
      <w:r>
        <w:rPr>
          <w:spacing w:val="1"/>
        </w:rPr>
        <w:t xml:space="preserve"> </w:t>
      </w:r>
      <w:r>
        <w:rPr>
          <w:spacing w:val="-1"/>
        </w:rPr>
        <w:t>disputed</w:t>
      </w:r>
      <w:r>
        <w:t xml:space="preserve"> </w:t>
      </w:r>
      <w:r>
        <w:rPr>
          <w:spacing w:val="-1"/>
        </w:rPr>
        <w:t>matters</w:t>
      </w:r>
      <w:r>
        <w:rPr>
          <w:spacing w:val="1"/>
        </w:rPr>
        <w:t xml:space="preserve"> </w:t>
      </w:r>
      <w:r>
        <w:t>for</w:t>
      </w:r>
      <w:r>
        <w:rPr>
          <w:spacing w:val="2"/>
        </w:rPr>
        <w:t xml:space="preserve"> </w:t>
      </w:r>
      <w:r>
        <w:rPr>
          <w:spacing w:val="-1"/>
        </w:rPr>
        <w:t>resolution</w:t>
      </w:r>
      <w:r>
        <w:rPr>
          <w:spacing w:val="58"/>
        </w:rPr>
        <w:t xml:space="preserve"> </w:t>
      </w:r>
      <w:r>
        <w:rPr>
          <w:spacing w:val="-1"/>
        </w:rPr>
        <w:t>by</w:t>
      </w:r>
      <w:r>
        <w:rPr>
          <w:spacing w:val="-2"/>
        </w:rPr>
        <w:t xml:space="preserve"> </w:t>
      </w:r>
      <w:r>
        <w:t xml:space="preserve">the </w:t>
      </w:r>
      <w:r>
        <w:rPr>
          <w:spacing w:val="-1"/>
        </w:rPr>
        <w:t>Dispute</w:t>
      </w:r>
      <w:r>
        <w:t xml:space="preserve"> </w:t>
      </w:r>
      <w:r>
        <w:rPr>
          <w:spacing w:val="-2"/>
        </w:rPr>
        <w:t>Resolution</w:t>
      </w:r>
      <w:r>
        <w:t xml:space="preserve"> </w:t>
      </w:r>
      <w:r>
        <w:rPr>
          <w:spacing w:val="-1"/>
        </w:rPr>
        <w:t>Procedure</w:t>
      </w:r>
      <w:r>
        <w:t xml:space="preserve"> </w:t>
      </w:r>
      <w:r>
        <w:rPr>
          <w:spacing w:val="-2"/>
        </w:rPr>
        <w:t>at</w:t>
      </w:r>
      <w:r>
        <w:rPr>
          <w:spacing w:val="2"/>
        </w:rPr>
        <w:t xml:space="preserve"> </w:t>
      </w:r>
      <w:r>
        <w:rPr>
          <w:spacing w:val="-1"/>
        </w:rPr>
        <w:t>any</w:t>
      </w:r>
      <w:r>
        <w:rPr>
          <w:spacing w:val="-2"/>
        </w:rPr>
        <w:t xml:space="preserve"> </w:t>
      </w:r>
      <w:r>
        <w:rPr>
          <w:spacing w:val="-1"/>
        </w:rPr>
        <w:t>time.</w:t>
      </w:r>
    </w:p>
    <w:p w:rsidR="008918FA" w:rsidRDefault="008918FA" w:rsidP="008918FA">
      <w:pPr>
        <w:pStyle w:val="BodyText"/>
        <w:numPr>
          <w:ilvl w:val="0"/>
          <w:numId w:val="10"/>
        </w:numPr>
        <w:tabs>
          <w:tab w:val="left" w:pos="466"/>
        </w:tabs>
        <w:spacing w:before="117"/>
        <w:ind w:left="465"/>
        <w:jc w:val="left"/>
        <w:rPr>
          <w:rFonts w:ascii="Times New Roman" w:eastAsia="Times New Roman" w:hAnsi="Times New Roman" w:cs="Times New Roman"/>
        </w:rPr>
      </w:pPr>
      <w:r>
        <w:rPr>
          <w:rFonts w:ascii="Times New Roman"/>
          <w:spacing w:val="8"/>
        </w:rPr>
        <w:t>PART</w:t>
      </w:r>
      <w:r>
        <w:rPr>
          <w:rFonts w:ascii="Times New Roman"/>
          <w:spacing w:val="9"/>
        </w:rPr>
        <w:t xml:space="preserve"> </w:t>
      </w:r>
      <w:r>
        <w:rPr>
          <w:rFonts w:ascii="Times New Roman"/>
        </w:rPr>
        <w:t>A</w:t>
      </w:r>
      <w:r>
        <w:rPr>
          <w:rFonts w:ascii="Times New Roman"/>
          <w:spacing w:val="1"/>
        </w:rPr>
        <w:t xml:space="preserve"> </w:t>
      </w:r>
      <w:r>
        <w:rPr>
          <w:rFonts w:ascii="Times New Roman"/>
          <w:spacing w:val="6"/>
        </w:rPr>
        <w:t>OF</w:t>
      </w:r>
      <w:r>
        <w:rPr>
          <w:rFonts w:ascii="Times New Roman"/>
          <w:spacing w:val="19"/>
        </w:rPr>
        <w:t xml:space="preserve"> </w:t>
      </w:r>
      <w:r>
        <w:rPr>
          <w:rFonts w:ascii="Times New Roman"/>
          <w:spacing w:val="-2"/>
        </w:rPr>
        <w:t>THE</w:t>
      </w:r>
      <w:r>
        <w:rPr>
          <w:rFonts w:ascii="Times New Roman"/>
          <w:spacing w:val="18"/>
        </w:rPr>
        <w:t xml:space="preserve"> </w:t>
      </w:r>
      <w:r>
        <w:rPr>
          <w:rFonts w:ascii="Times New Roman"/>
          <w:spacing w:val="5"/>
        </w:rPr>
        <w:t>BCDR</w:t>
      </w:r>
      <w:r>
        <w:rPr>
          <w:rFonts w:ascii="Times New Roman"/>
          <w:spacing w:val="20"/>
        </w:rPr>
        <w:t xml:space="preserve"> </w:t>
      </w:r>
      <w:r>
        <w:rPr>
          <w:rFonts w:ascii="Times New Roman"/>
          <w:spacing w:val="4"/>
        </w:rPr>
        <w:t>PLAN</w:t>
      </w:r>
      <w:r>
        <w:rPr>
          <w:rFonts w:ascii="Times New Roman"/>
          <w:spacing w:val="11"/>
        </w:rPr>
        <w:t xml:space="preserve"> </w:t>
      </w:r>
      <w:r>
        <w:rPr>
          <w:rFonts w:ascii="Times New Roman"/>
          <w:spacing w:val="-2"/>
        </w:rPr>
        <w:t>AND</w:t>
      </w:r>
      <w:r>
        <w:rPr>
          <w:rFonts w:ascii="Times New Roman"/>
          <w:spacing w:val="6"/>
        </w:rPr>
        <w:t xml:space="preserve"> </w:t>
      </w:r>
      <w:r>
        <w:rPr>
          <w:rFonts w:ascii="Times New Roman"/>
          <w:spacing w:val="5"/>
        </w:rPr>
        <w:t>GENERAL</w:t>
      </w:r>
      <w:r>
        <w:rPr>
          <w:rFonts w:ascii="Times New Roman"/>
          <w:spacing w:val="9"/>
        </w:rPr>
        <w:t xml:space="preserve"> </w:t>
      </w:r>
      <w:r>
        <w:rPr>
          <w:rFonts w:ascii="Times New Roman"/>
          <w:spacing w:val="5"/>
        </w:rPr>
        <w:t>PRINCIPLES</w:t>
      </w:r>
      <w:r>
        <w:rPr>
          <w:rFonts w:ascii="Times New Roman"/>
          <w:spacing w:val="33"/>
        </w:rPr>
        <w:t xml:space="preserve"> </w:t>
      </w:r>
      <w:r>
        <w:rPr>
          <w:rFonts w:ascii="Times New Roman"/>
          <w:spacing w:val="-3"/>
        </w:rPr>
        <w:t>AND</w:t>
      </w:r>
      <w:r>
        <w:rPr>
          <w:rFonts w:ascii="Times New Roman"/>
          <w:spacing w:val="6"/>
        </w:rPr>
        <w:t xml:space="preserve"> </w:t>
      </w:r>
      <w:r>
        <w:rPr>
          <w:rFonts w:ascii="Times New Roman"/>
          <w:spacing w:val="2"/>
        </w:rPr>
        <w:t>REQUIREMENTS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10"/>
        </w:numPr>
        <w:tabs>
          <w:tab w:val="left" w:pos="828"/>
        </w:tabs>
        <w:spacing w:before="0"/>
      </w:pPr>
      <w:r>
        <w:rPr>
          <w:spacing w:val="-1"/>
        </w:rPr>
        <w:t>Part</w:t>
      </w:r>
      <w:r>
        <w:rPr>
          <w:spacing w:val="2"/>
        </w:rPr>
        <w:t xml:space="preserve"> </w:t>
      </w:r>
      <w:r>
        <w:t>A</w:t>
      </w:r>
      <w:r>
        <w:rPr>
          <w:spacing w:val="-2"/>
        </w:rPr>
        <w:t xml:space="preserve"> of</w:t>
      </w:r>
      <w:r>
        <w:rPr>
          <w:spacing w:val="2"/>
        </w:rPr>
        <w:t xml:space="preserve"> </w:t>
      </w:r>
      <w:r>
        <w:t>the</w:t>
      </w:r>
      <w:r>
        <w:rPr>
          <w:spacing w:val="-2"/>
        </w:rPr>
        <w:t xml:space="preserve"> BCDR</w:t>
      </w:r>
      <w:r>
        <w:t xml:space="preserve"> </w:t>
      </w:r>
      <w:r>
        <w:rPr>
          <w:spacing w:val="-1"/>
        </w:rPr>
        <w:t>Plan</w:t>
      </w:r>
      <w:r>
        <w:t xml:space="preserve"> </w:t>
      </w:r>
      <w:r>
        <w:rPr>
          <w:spacing w:val="-2"/>
        </w:rPr>
        <w:t>shall:</w:t>
      </w:r>
    </w:p>
    <w:p w:rsidR="008918FA" w:rsidRDefault="008918FA" w:rsidP="008918FA">
      <w:pPr>
        <w:pStyle w:val="BodyText"/>
        <w:numPr>
          <w:ilvl w:val="2"/>
          <w:numId w:val="10"/>
        </w:numPr>
        <w:tabs>
          <w:tab w:val="left" w:pos="2026"/>
        </w:tabs>
        <w:ind w:left="2025" w:right="116"/>
        <w:jc w:val="both"/>
      </w:pPr>
      <w:r>
        <w:rPr>
          <w:spacing w:val="-1"/>
        </w:rPr>
        <w:t>set</w:t>
      </w:r>
      <w:r>
        <w:rPr>
          <w:spacing w:val="16"/>
        </w:rPr>
        <w:t xml:space="preserve"> </w:t>
      </w:r>
      <w:r>
        <w:rPr>
          <w:spacing w:val="-2"/>
        </w:rPr>
        <w:t>out</w:t>
      </w:r>
      <w:r>
        <w:rPr>
          <w:spacing w:val="16"/>
        </w:rPr>
        <w:t xml:space="preserve"> </w:t>
      </w:r>
      <w:r>
        <w:rPr>
          <w:spacing w:val="-1"/>
        </w:rPr>
        <w:t>how</w:t>
      </w:r>
      <w:r>
        <w:rPr>
          <w:spacing w:val="12"/>
        </w:rPr>
        <w:t xml:space="preserve"> </w:t>
      </w:r>
      <w:r>
        <w:t>the</w:t>
      </w:r>
      <w:r>
        <w:rPr>
          <w:spacing w:val="15"/>
        </w:rPr>
        <w:t xml:space="preserve"> </w:t>
      </w:r>
      <w:r>
        <w:rPr>
          <w:spacing w:val="-2"/>
        </w:rPr>
        <w:t>business</w:t>
      </w:r>
      <w:r>
        <w:rPr>
          <w:spacing w:val="15"/>
        </w:rPr>
        <w:t xml:space="preserve"> </w:t>
      </w:r>
      <w:r>
        <w:rPr>
          <w:spacing w:val="-1"/>
        </w:rPr>
        <w:t>continuity</w:t>
      </w:r>
      <w:r>
        <w:rPr>
          <w:spacing w:val="13"/>
        </w:rPr>
        <w:t xml:space="preserve"> </w:t>
      </w:r>
      <w:r>
        <w:rPr>
          <w:spacing w:val="-1"/>
        </w:rPr>
        <w:t>and</w:t>
      </w:r>
      <w:r>
        <w:rPr>
          <w:spacing w:val="15"/>
        </w:rPr>
        <w:t xml:space="preserve"> </w:t>
      </w:r>
      <w:r>
        <w:rPr>
          <w:spacing w:val="-1"/>
        </w:rPr>
        <w:t>disaster</w:t>
      </w:r>
      <w:r>
        <w:rPr>
          <w:spacing w:val="14"/>
        </w:rPr>
        <w:t xml:space="preserve"> </w:t>
      </w:r>
      <w:r>
        <w:rPr>
          <w:spacing w:val="-1"/>
        </w:rPr>
        <w:t>recovery</w:t>
      </w:r>
      <w:r>
        <w:rPr>
          <w:spacing w:val="13"/>
        </w:rPr>
        <w:t xml:space="preserve"> </w:t>
      </w:r>
      <w:r>
        <w:rPr>
          <w:spacing w:val="-1"/>
        </w:rPr>
        <w:t>elements</w:t>
      </w:r>
      <w:r>
        <w:rPr>
          <w:spacing w:val="13"/>
        </w:rPr>
        <w:t xml:space="preserve"> </w:t>
      </w:r>
      <w:r>
        <w:rPr>
          <w:spacing w:val="-2"/>
        </w:rPr>
        <w:t>of</w:t>
      </w:r>
      <w:r>
        <w:rPr>
          <w:spacing w:val="53"/>
        </w:rPr>
        <w:t xml:space="preserve"> </w:t>
      </w:r>
      <w:r>
        <w:t xml:space="preserve">the </w:t>
      </w:r>
      <w:r>
        <w:rPr>
          <w:spacing w:val="-2"/>
        </w:rPr>
        <w:t>BCDR</w:t>
      </w:r>
      <w:r>
        <w:t xml:space="preserve"> </w:t>
      </w:r>
      <w:r>
        <w:rPr>
          <w:spacing w:val="-1"/>
        </w:rPr>
        <w:t>Plan</w:t>
      </w:r>
      <w:r>
        <w:t xml:space="preserve"> </w:t>
      </w:r>
      <w:r>
        <w:rPr>
          <w:spacing w:val="-2"/>
        </w:rPr>
        <w:t>link</w:t>
      </w:r>
      <w:r>
        <w:rPr>
          <w:spacing w:val="1"/>
        </w:rPr>
        <w:t xml:space="preserve"> </w:t>
      </w:r>
      <w:r>
        <w:t>to</w:t>
      </w:r>
      <w:r>
        <w:rPr>
          <w:spacing w:val="-2"/>
        </w:rPr>
        <w:t xml:space="preserve"> each</w:t>
      </w:r>
      <w:r>
        <w:rPr>
          <w:spacing w:val="1"/>
        </w:rPr>
        <w:t xml:space="preserve"> </w:t>
      </w:r>
      <w:r>
        <w:rPr>
          <w:spacing w:val="-1"/>
        </w:rPr>
        <w:t>other;</w:t>
      </w:r>
    </w:p>
    <w:p w:rsidR="008918FA" w:rsidRDefault="008918FA" w:rsidP="008918FA">
      <w:pPr>
        <w:pStyle w:val="BodyText"/>
        <w:numPr>
          <w:ilvl w:val="2"/>
          <w:numId w:val="10"/>
        </w:numPr>
        <w:tabs>
          <w:tab w:val="left" w:pos="2026"/>
        </w:tabs>
        <w:ind w:left="2025" w:right="115"/>
        <w:jc w:val="both"/>
      </w:pPr>
      <w:r>
        <w:rPr>
          <w:spacing w:val="-2"/>
        </w:rPr>
        <w:t>provide</w:t>
      </w:r>
      <w:r>
        <w:rPr>
          <w:spacing w:val="5"/>
        </w:rPr>
        <w:t xml:space="preserve"> </w:t>
      </w:r>
      <w:r>
        <w:rPr>
          <w:spacing w:val="-1"/>
        </w:rPr>
        <w:t>details</w:t>
      </w:r>
      <w:r>
        <w:rPr>
          <w:spacing w:val="5"/>
        </w:rPr>
        <w:t xml:space="preserve"> </w:t>
      </w:r>
      <w:r>
        <w:rPr>
          <w:spacing w:val="-1"/>
        </w:rPr>
        <w:t>of</w:t>
      </w:r>
      <w:r>
        <w:rPr>
          <w:spacing w:val="9"/>
        </w:rPr>
        <w:t xml:space="preserve"> </w:t>
      </w:r>
      <w:r>
        <w:rPr>
          <w:spacing w:val="-1"/>
        </w:rPr>
        <w:t>how</w:t>
      </w:r>
      <w:r>
        <w:rPr>
          <w:spacing w:val="2"/>
        </w:rPr>
        <w:t xml:space="preserve"> </w:t>
      </w:r>
      <w:r>
        <w:t>the</w:t>
      </w:r>
      <w:r>
        <w:rPr>
          <w:spacing w:val="5"/>
        </w:rPr>
        <w:t xml:space="preserve"> </w:t>
      </w:r>
      <w:r>
        <w:rPr>
          <w:spacing w:val="-1"/>
        </w:rPr>
        <w:t>invocation</w:t>
      </w:r>
      <w:r>
        <w:rPr>
          <w:spacing w:val="5"/>
        </w:rPr>
        <w:t xml:space="preserve"> </w:t>
      </w:r>
      <w:r>
        <w:rPr>
          <w:spacing w:val="-1"/>
        </w:rPr>
        <w:t>of</w:t>
      </w:r>
      <w:r>
        <w:rPr>
          <w:spacing w:val="9"/>
        </w:rPr>
        <w:t xml:space="preserve"> </w:t>
      </w:r>
      <w:r>
        <w:rPr>
          <w:spacing w:val="-1"/>
        </w:rPr>
        <w:t>any</w:t>
      </w:r>
      <w:r>
        <w:rPr>
          <w:spacing w:val="3"/>
        </w:rPr>
        <w:t xml:space="preserve"> </w:t>
      </w:r>
      <w:r>
        <w:rPr>
          <w:spacing w:val="-1"/>
        </w:rPr>
        <w:t>element</w:t>
      </w:r>
      <w:r>
        <w:rPr>
          <w:spacing w:val="7"/>
        </w:rPr>
        <w:t xml:space="preserve"> </w:t>
      </w:r>
      <w:r>
        <w:rPr>
          <w:spacing w:val="-2"/>
        </w:rPr>
        <w:t>of</w:t>
      </w:r>
      <w:r>
        <w:rPr>
          <w:spacing w:val="6"/>
        </w:rPr>
        <w:t xml:space="preserve"> </w:t>
      </w:r>
      <w:r>
        <w:t>the</w:t>
      </w:r>
      <w:r>
        <w:rPr>
          <w:spacing w:val="5"/>
        </w:rPr>
        <w:t xml:space="preserve"> </w:t>
      </w:r>
      <w:r>
        <w:rPr>
          <w:spacing w:val="-2"/>
        </w:rPr>
        <w:t>BCDR</w:t>
      </w:r>
      <w:r>
        <w:rPr>
          <w:spacing w:val="4"/>
        </w:rPr>
        <w:t xml:space="preserve"> </w:t>
      </w:r>
      <w:r>
        <w:rPr>
          <w:spacing w:val="-2"/>
        </w:rPr>
        <w:t>Plan</w:t>
      </w:r>
      <w:r>
        <w:rPr>
          <w:spacing w:val="38"/>
        </w:rPr>
        <w:t xml:space="preserve"> </w:t>
      </w:r>
      <w:r>
        <w:rPr>
          <w:spacing w:val="-1"/>
        </w:rPr>
        <w:t>may</w:t>
      </w:r>
      <w:r>
        <w:rPr>
          <w:spacing w:val="27"/>
        </w:rPr>
        <w:t xml:space="preserve"> </w:t>
      </w:r>
      <w:r>
        <w:rPr>
          <w:spacing w:val="-1"/>
        </w:rPr>
        <w:t>impact</w:t>
      </w:r>
      <w:r>
        <w:rPr>
          <w:spacing w:val="31"/>
        </w:rPr>
        <w:t xml:space="preserve"> </w:t>
      </w:r>
      <w:r>
        <w:rPr>
          <w:spacing w:val="-1"/>
        </w:rPr>
        <w:t>upon</w:t>
      </w:r>
      <w:r>
        <w:rPr>
          <w:spacing w:val="29"/>
        </w:rPr>
        <w:t xml:space="preserve"> </w:t>
      </w:r>
      <w:r>
        <w:t>the</w:t>
      </w:r>
      <w:r>
        <w:rPr>
          <w:spacing w:val="29"/>
        </w:rPr>
        <w:t xml:space="preserve"> </w:t>
      </w:r>
      <w:r>
        <w:rPr>
          <w:spacing w:val="-1"/>
        </w:rPr>
        <w:t>operation</w:t>
      </w:r>
      <w:r>
        <w:rPr>
          <w:spacing w:val="29"/>
        </w:rPr>
        <w:t xml:space="preserve"> </w:t>
      </w:r>
      <w:r>
        <w:rPr>
          <w:spacing w:val="-2"/>
        </w:rPr>
        <w:t>of</w:t>
      </w:r>
      <w:r>
        <w:rPr>
          <w:spacing w:val="33"/>
        </w:rPr>
        <w:t xml:space="preserve"> </w:t>
      </w:r>
      <w:r>
        <w:t>the</w:t>
      </w:r>
      <w:r>
        <w:rPr>
          <w:spacing w:val="30"/>
        </w:rPr>
        <w:t xml:space="preserve"> </w:t>
      </w:r>
      <w:r>
        <w:rPr>
          <w:spacing w:val="-2"/>
        </w:rPr>
        <w:t>provision</w:t>
      </w:r>
      <w:r>
        <w:rPr>
          <w:spacing w:val="29"/>
        </w:rPr>
        <w:t xml:space="preserve"> </w:t>
      </w:r>
      <w:r>
        <w:rPr>
          <w:spacing w:val="-1"/>
        </w:rPr>
        <w:t>of</w:t>
      </w:r>
      <w:r>
        <w:rPr>
          <w:spacing w:val="33"/>
        </w:rPr>
        <w:t xml:space="preserve"> </w:t>
      </w:r>
      <w:r>
        <w:t>the</w:t>
      </w:r>
      <w:r>
        <w:rPr>
          <w:spacing w:val="30"/>
        </w:rPr>
        <w:t xml:space="preserve"> </w:t>
      </w:r>
      <w:r>
        <w:rPr>
          <w:spacing w:val="-1"/>
        </w:rPr>
        <w:t>Goods</w:t>
      </w:r>
      <w:r>
        <w:rPr>
          <w:spacing w:val="30"/>
        </w:rPr>
        <w:t xml:space="preserve"> </w:t>
      </w:r>
      <w:r>
        <w:rPr>
          <w:spacing w:val="-1"/>
        </w:rPr>
        <w:t>and/or</w:t>
      </w:r>
      <w:r>
        <w:rPr>
          <w:spacing w:val="40"/>
        </w:rPr>
        <w:t xml:space="preserve"> </w:t>
      </w:r>
      <w:r>
        <w:rPr>
          <w:spacing w:val="-1"/>
        </w:rPr>
        <w:t>Services</w:t>
      </w:r>
      <w:r>
        <w:rPr>
          <w:spacing w:val="1"/>
        </w:rPr>
        <w:t xml:space="preserve"> </w:t>
      </w:r>
      <w:r>
        <w:rPr>
          <w:spacing w:val="-1"/>
        </w:rPr>
        <w:t>and</w:t>
      </w:r>
      <w:r>
        <w:t xml:space="preserve"> </w:t>
      </w:r>
      <w:r>
        <w:rPr>
          <w:spacing w:val="-1"/>
        </w:rPr>
        <w:t>any</w:t>
      </w:r>
      <w:r>
        <w:rPr>
          <w:spacing w:val="-2"/>
        </w:rPr>
        <w:t xml:space="preserve"> </w:t>
      </w:r>
      <w:r>
        <w:rPr>
          <w:spacing w:val="-1"/>
        </w:rPr>
        <w:t>goods</w:t>
      </w:r>
      <w:r>
        <w:rPr>
          <w:spacing w:val="1"/>
        </w:rPr>
        <w:t xml:space="preserve"> </w:t>
      </w:r>
      <w:r>
        <w:rPr>
          <w:spacing w:val="-1"/>
        </w:rPr>
        <w:t>and/or</w:t>
      </w:r>
      <w:r>
        <w:rPr>
          <w:spacing w:val="2"/>
        </w:rPr>
        <w:t xml:space="preserve"> </w:t>
      </w:r>
      <w:r>
        <w:rPr>
          <w:spacing w:val="-2"/>
        </w:rPr>
        <w:t>services</w:t>
      </w:r>
      <w:r>
        <w:rPr>
          <w:spacing w:val="1"/>
        </w:rPr>
        <w:t xml:space="preserve"> </w:t>
      </w:r>
      <w:r>
        <w:rPr>
          <w:spacing w:val="-2"/>
        </w:rPr>
        <w:t>provided</w:t>
      </w:r>
      <w:r>
        <w:rPr>
          <w:spacing w:val="3"/>
        </w:rPr>
        <w:t xml:space="preserve"> </w:t>
      </w:r>
      <w:r>
        <w:t xml:space="preserve">to the </w:t>
      </w:r>
      <w:r>
        <w:rPr>
          <w:spacing w:val="-2"/>
        </w:rPr>
        <w:t>Customer</w:t>
      </w:r>
      <w:r>
        <w:rPr>
          <w:spacing w:val="2"/>
        </w:rPr>
        <w:t xml:space="preserve"> </w:t>
      </w:r>
      <w:r>
        <w:rPr>
          <w:spacing w:val="-1"/>
        </w:rPr>
        <w:t>by</w:t>
      </w:r>
      <w:r>
        <w:rPr>
          <w:spacing w:val="-2"/>
        </w:rPr>
        <w:t xml:space="preserve"> </w:t>
      </w:r>
      <w:r>
        <w:t>a</w:t>
      </w:r>
      <w:r>
        <w:rPr>
          <w:spacing w:val="63"/>
        </w:rPr>
        <w:t xml:space="preserve"> </w:t>
      </w:r>
      <w:r>
        <w:rPr>
          <w:spacing w:val="-1"/>
        </w:rPr>
        <w:t>Related</w:t>
      </w:r>
      <w:r>
        <w:t xml:space="preserve"> </w:t>
      </w:r>
      <w:r>
        <w:rPr>
          <w:spacing w:val="-1"/>
        </w:rPr>
        <w:t>Supplier;</w:t>
      </w:r>
    </w:p>
    <w:p w:rsidR="008918FA" w:rsidRDefault="008918FA" w:rsidP="008918FA">
      <w:pPr>
        <w:pStyle w:val="BodyText"/>
        <w:numPr>
          <w:ilvl w:val="2"/>
          <w:numId w:val="10"/>
        </w:numPr>
        <w:tabs>
          <w:tab w:val="left" w:pos="2026"/>
        </w:tabs>
        <w:spacing w:before="121"/>
        <w:ind w:left="2025"/>
      </w:pPr>
      <w:r>
        <w:rPr>
          <w:spacing w:val="-1"/>
        </w:rPr>
        <w:t>contain</w:t>
      </w:r>
      <w:r>
        <w:rPr>
          <w:spacing w:val="3"/>
        </w:rPr>
        <w:t xml:space="preserve"> </w:t>
      </w:r>
      <w:r>
        <w:rPr>
          <w:spacing w:val="-1"/>
        </w:rPr>
        <w:t>an</w:t>
      </w:r>
      <w:r>
        <w:rPr>
          <w:spacing w:val="3"/>
        </w:rPr>
        <w:t xml:space="preserve"> </w:t>
      </w:r>
      <w:r>
        <w:rPr>
          <w:spacing w:val="-1"/>
        </w:rPr>
        <w:t>obligation</w:t>
      </w:r>
      <w:r>
        <w:rPr>
          <w:spacing w:val="3"/>
        </w:rPr>
        <w:t xml:space="preserve"> </w:t>
      </w:r>
      <w:r>
        <w:rPr>
          <w:spacing w:val="-1"/>
        </w:rPr>
        <w:t>upon</w:t>
      </w:r>
      <w:r>
        <w:rPr>
          <w:spacing w:val="3"/>
        </w:rPr>
        <w:t xml:space="preserve"> </w:t>
      </w:r>
      <w:r>
        <w:t>the</w:t>
      </w:r>
      <w:r>
        <w:rPr>
          <w:spacing w:val="3"/>
        </w:rPr>
        <w:t xml:space="preserve"> </w:t>
      </w:r>
      <w:r>
        <w:rPr>
          <w:spacing w:val="-2"/>
        </w:rPr>
        <w:t>Supplier</w:t>
      </w:r>
      <w:r>
        <w:rPr>
          <w:spacing w:val="4"/>
        </w:rPr>
        <w:t xml:space="preserve"> </w:t>
      </w:r>
      <w:r>
        <w:t>to</w:t>
      </w:r>
      <w:r>
        <w:rPr>
          <w:spacing w:val="3"/>
        </w:rPr>
        <w:t xml:space="preserve"> </w:t>
      </w:r>
      <w:r>
        <w:rPr>
          <w:spacing w:val="-1"/>
        </w:rPr>
        <w:t>liaise</w:t>
      </w:r>
      <w:r>
        <w:rPr>
          <w:spacing w:val="5"/>
        </w:rPr>
        <w:t xml:space="preserve"> </w:t>
      </w:r>
      <w:r>
        <w:rPr>
          <w:spacing w:val="-1"/>
        </w:rPr>
        <w:t>with</w:t>
      </w:r>
      <w:r>
        <w:rPr>
          <w:spacing w:val="3"/>
        </w:rPr>
        <w:t xml:space="preserve"> </w:t>
      </w:r>
      <w:r>
        <w:t>the</w:t>
      </w:r>
      <w:r>
        <w:rPr>
          <w:spacing w:val="3"/>
        </w:rPr>
        <w:t xml:space="preserve"> </w:t>
      </w:r>
      <w:r>
        <w:rPr>
          <w:spacing w:val="-1"/>
        </w:rPr>
        <w:t>Customer</w:t>
      </w:r>
      <w:r>
        <w:rPr>
          <w:spacing w:val="4"/>
        </w:rPr>
        <w:t xml:space="preserve"> </w:t>
      </w:r>
      <w:r>
        <w:rPr>
          <w:spacing w:val="-1"/>
        </w:rPr>
        <w:t>and</w:t>
      </w:r>
    </w:p>
    <w:p w:rsidR="008918FA" w:rsidRDefault="008918FA" w:rsidP="008918FA">
      <w:pPr>
        <w:sectPr w:rsidR="008918FA">
          <w:footerReference w:type="default" r:id="rId26"/>
          <w:pgSz w:w="11910" w:h="16840"/>
          <w:pgMar w:top="1480" w:right="1300" w:bottom="1720" w:left="1540" w:header="0" w:footer="1522" w:gutter="0"/>
          <w:pgNumType w:start="147"/>
          <w:cols w:space="720"/>
        </w:sectPr>
      </w:pPr>
    </w:p>
    <w:p w:rsidR="008918FA" w:rsidRDefault="008918FA" w:rsidP="008918FA">
      <w:pPr>
        <w:pStyle w:val="BodyText"/>
        <w:spacing w:before="59"/>
        <w:ind w:right="118" w:firstLine="0"/>
      </w:pPr>
      <w:r>
        <w:rPr>
          <w:spacing w:val="-1"/>
        </w:rPr>
        <w:t>issues</w:t>
      </w:r>
      <w:r>
        <w:rPr>
          <w:spacing w:val="58"/>
        </w:rPr>
        <w:t xml:space="preserve"> </w:t>
      </w:r>
      <w:r>
        <w:rPr>
          <w:spacing w:val="-1"/>
        </w:rPr>
        <w:t>concerning</w:t>
      </w:r>
      <w:r>
        <w:rPr>
          <w:spacing w:val="60"/>
        </w:rPr>
        <w:t xml:space="preserve"> </w:t>
      </w:r>
      <w:r>
        <w:rPr>
          <w:spacing w:val="-2"/>
        </w:rPr>
        <w:t>business</w:t>
      </w:r>
      <w:r>
        <w:rPr>
          <w:spacing w:val="59"/>
        </w:rPr>
        <w:t xml:space="preserve"> </w:t>
      </w:r>
      <w:r>
        <w:rPr>
          <w:spacing w:val="-1"/>
        </w:rPr>
        <w:t>continuity</w:t>
      </w:r>
      <w:r>
        <w:rPr>
          <w:spacing w:val="56"/>
        </w:rPr>
        <w:t xml:space="preserve"> </w:t>
      </w:r>
      <w:r>
        <w:rPr>
          <w:spacing w:val="-1"/>
        </w:rPr>
        <w:t>and</w:t>
      </w:r>
      <w:r>
        <w:rPr>
          <w:spacing w:val="58"/>
        </w:rPr>
        <w:t xml:space="preserve"> </w:t>
      </w:r>
      <w:r>
        <w:rPr>
          <w:spacing w:val="-1"/>
        </w:rPr>
        <w:t>disaster</w:t>
      </w:r>
      <w:r>
        <w:rPr>
          <w:spacing w:val="59"/>
        </w:rPr>
        <w:t xml:space="preserve"> </w:t>
      </w:r>
      <w:r>
        <w:rPr>
          <w:spacing w:val="-1"/>
        </w:rPr>
        <w:t>recovery</w:t>
      </w:r>
      <w:r>
        <w:rPr>
          <w:spacing w:val="59"/>
        </w:rPr>
        <w:t xml:space="preserve"> </w:t>
      </w:r>
      <w:r>
        <w:rPr>
          <w:spacing w:val="-2"/>
        </w:rPr>
        <w:t>where</w:t>
      </w:r>
      <w:r>
        <w:rPr>
          <w:spacing w:val="49"/>
        </w:rPr>
        <w:t xml:space="preserve"> </w:t>
      </w:r>
      <w:r>
        <w:rPr>
          <w:spacing w:val="-2"/>
        </w:rPr>
        <w:t>applicable;</w:t>
      </w:r>
    </w:p>
    <w:p w:rsidR="008918FA" w:rsidRDefault="008918FA" w:rsidP="008918FA">
      <w:pPr>
        <w:pStyle w:val="BodyText"/>
        <w:numPr>
          <w:ilvl w:val="2"/>
          <w:numId w:val="10"/>
        </w:numPr>
        <w:tabs>
          <w:tab w:val="left" w:pos="1887"/>
        </w:tabs>
        <w:spacing w:before="121"/>
        <w:ind w:left="1886" w:right="114"/>
        <w:jc w:val="both"/>
      </w:pPr>
      <w:r>
        <w:rPr>
          <w:spacing w:val="-1"/>
        </w:rPr>
        <w:t>detail</w:t>
      </w:r>
      <w:r>
        <w:rPr>
          <w:spacing w:val="2"/>
        </w:rPr>
        <w:t xml:space="preserve"> </w:t>
      </w:r>
      <w:r>
        <w:rPr>
          <w:spacing w:val="-1"/>
        </w:rPr>
        <w:t>how</w:t>
      </w:r>
      <w:r>
        <w:t xml:space="preserve"> the</w:t>
      </w:r>
      <w:r>
        <w:rPr>
          <w:spacing w:val="3"/>
        </w:rPr>
        <w:t xml:space="preserve"> </w:t>
      </w:r>
      <w:r>
        <w:rPr>
          <w:spacing w:val="-1"/>
        </w:rPr>
        <w:t>BCDR</w:t>
      </w:r>
      <w:r>
        <w:rPr>
          <w:spacing w:val="2"/>
        </w:rPr>
        <w:t xml:space="preserve"> </w:t>
      </w:r>
      <w:r>
        <w:rPr>
          <w:spacing w:val="-1"/>
        </w:rPr>
        <w:t>Plan</w:t>
      </w:r>
      <w:r>
        <w:rPr>
          <w:spacing w:val="3"/>
        </w:rPr>
        <w:t xml:space="preserve"> </w:t>
      </w:r>
      <w:r>
        <w:rPr>
          <w:spacing w:val="-1"/>
        </w:rPr>
        <w:t>links</w:t>
      </w:r>
      <w:r>
        <w:rPr>
          <w:spacing w:val="1"/>
        </w:rPr>
        <w:t xml:space="preserve"> </w:t>
      </w:r>
      <w:r>
        <w:rPr>
          <w:spacing w:val="-1"/>
        </w:rPr>
        <w:t>and</w:t>
      </w:r>
      <w:r>
        <w:rPr>
          <w:spacing w:val="3"/>
        </w:rPr>
        <w:t xml:space="preserve"> </w:t>
      </w:r>
      <w:r>
        <w:rPr>
          <w:spacing w:val="-1"/>
        </w:rPr>
        <w:t>interoperates</w:t>
      </w:r>
      <w:r>
        <w:rPr>
          <w:spacing w:val="1"/>
        </w:rPr>
        <w:t xml:space="preserve"> </w:t>
      </w:r>
      <w:r>
        <w:rPr>
          <w:spacing w:val="-2"/>
        </w:rPr>
        <w:t>with</w:t>
      </w:r>
      <w:r>
        <w:rPr>
          <w:spacing w:val="3"/>
        </w:rPr>
        <w:t xml:space="preserve"> </w:t>
      </w:r>
      <w:r>
        <w:rPr>
          <w:spacing w:val="-1"/>
        </w:rPr>
        <w:t>any</w:t>
      </w:r>
      <w:r>
        <w:rPr>
          <w:spacing w:val="1"/>
        </w:rPr>
        <w:t xml:space="preserve"> </w:t>
      </w:r>
      <w:r>
        <w:rPr>
          <w:spacing w:val="-1"/>
        </w:rPr>
        <w:t>overarching</w:t>
      </w:r>
      <w:r>
        <w:rPr>
          <w:spacing w:val="26"/>
        </w:rPr>
        <w:t xml:space="preserve"> </w:t>
      </w:r>
      <w:r>
        <w:rPr>
          <w:spacing w:val="-1"/>
        </w:rPr>
        <w:t>and/or</w:t>
      </w:r>
      <w:r>
        <w:rPr>
          <w:spacing w:val="23"/>
        </w:rPr>
        <w:t xml:space="preserve"> </w:t>
      </w:r>
      <w:r>
        <w:rPr>
          <w:spacing w:val="-1"/>
        </w:rPr>
        <w:t>connected</w:t>
      </w:r>
      <w:r>
        <w:rPr>
          <w:spacing w:val="22"/>
        </w:rPr>
        <w:t xml:space="preserve"> </w:t>
      </w:r>
      <w:r>
        <w:rPr>
          <w:spacing w:val="-1"/>
        </w:rPr>
        <w:t>disaster</w:t>
      </w:r>
      <w:r>
        <w:rPr>
          <w:spacing w:val="26"/>
        </w:rPr>
        <w:t xml:space="preserve"> </w:t>
      </w:r>
      <w:r>
        <w:rPr>
          <w:spacing w:val="-1"/>
        </w:rPr>
        <w:t>recovery</w:t>
      </w:r>
      <w:r>
        <w:rPr>
          <w:spacing w:val="22"/>
        </w:rPr>
        <w:t xml:space="preserve"> </w:t>
      </w:r>
      <w:r>
        <w:rPr>
          <w:spacing w:val="-1"/>
        </w:rPr>
        <w:t>or</w:t>
      </w:r>
      <w:r>
        <w:rPr>
          <w:spacing w:val="26"/>
        </w:rPr>
        <w:t xml:space="preserve"> </w:t>
      </w:r>
      <w:r>
        <w:rPr>
          <w:spacing w:val="-1"/>
        </w:rPr>
        <w:t>business</w:t>
      </w:r>
      <w:r>
        <w:rPr>
          <w:spacing w:val="20"/>
        </w:rPr>
        <w:t xml:space="preserve"> </w:t>
      </w:r>
      <w:r>
        <w:rPr>
          <w:spacing w:val="-1"/>
        </w:rPr>
        <w:t>continuity</w:t>
      </w:r>
      <w:r>
        <w:rPr>
          <w:spacing w:val="22"/>
        </w:rPr>
        <w:t xml:space="preserve"> </w:t>
      </w:r>
      <w:r>
        <w:rPr>
          <w:spacing w:val="-1"/>
        </w:rPr>
        <w:t>plan</w:t>
      </w:r>
      <w:r>
        <w:rPr>
          <w:spacing w:val="24"/>
        </w:rPr>
        <w:t xml:space="preserve"> </w:t>
      </w:r>
      <w:r>
        <w:rPr>
          <w:spacing w:val="-2"/>
        </w:rPr>
        <w:t>of</w:t>
      </w:r>
      <w:r>
        <w:rPr>
          <w:spacing w:val="28"/>
        </w:rPr>
        <w:t xml:space="preserve"> </w:t>
      </w:r>
      <w:r>
        <w:rPr>
          <w:spacing w:val="-1"/>
        </w:rPr>
        <w:t>the</w:t>
      </w:r>
      <w:r>
        <w:rPr>
          <w:spacing w:val="38"/>
        </w:rPr>
        <w:t xml:space="preserve"> </w:t>
      </w:r>
      <w:r>
        <w:rPr>
          <w:spacing w:val="-1"/>
        </w:rPr>
        <w:t>Customer</w:t>
      </w:r>
      <w:r>
        <w:rPr>
          <w:spacing w:val="8"/>
        </w:rPr>
        <w:t xml:space="preserve"> </w:t>
      </w:r>
      <w:r>
        <w:rPr>
          <w:spacing w:val="-1"/>
        </w:rPr>
        <w:t>and</w:t>
      </w:r>
      <w:r>
        <w:rPr>
          <w:spacing w:val="6"/>
        </w:rPr>
        <w:t xml:space="preserve"> </w:t>
      </w:r>
      <w:r>
        <w:rPr>
          <w:spacing w:val="-1"/>
        </w:rPr>
        <w:t>any</w:t>
      </w:r>
      <w:r>
        <w:rPr>
          <w:spacing w:val="4"/>
        </w:rPr>
        <w:t xml:space="preserve"> </w:t>
      </w:r>
      <w:r>
        <w:rPr>
          <w:spacing w:val="-1"/>
        </w:rPr>
        <w:t>of</w:t>
      </w:r>
      <w:r>
        <w:rPr>
          <w:spacing w:val="10"/>
        </w:rPr>
        <w:t xml:space="preserve"> </w:t>
      </w:r>
      <w:r>
        <w:rPr>
          <w:spacing w:val="-1"/>
        </w:rPr>
        <w:t>its</w:t>
      </w:r>
      <w:r>
        <w:rPr>
          <w:spacing w:val="7"/>
        </w:rPr>
        <w:t xml:space="preserve"> </w:t>
      </w:r>
      <w:r>
        <w:rPr>
          <w:spacing w:val="-1"/>
        </w:rPr>
        <w:t>other</w:t>
      </w:r>
      <w:r>
        <w:rPr>
          <w:spacing w:val="8"/>
        </w:rPr>
        <w:t xml:space="preserve"> </w:t>
      </w:r>
      <w:r>
        <w:rPr>
          <w:spacing w:val="-1"/>
        </w:rPr>
        <w:t>Related</w:t>
      </w:r>
      <w:r>
        <w:rPr>
          <w:spacing w:val="6"/>
        </w:rPr>
        <w:t xml:space="preserve"> </w:t>
      </w:r>
      <w:r>
        <w:rPr>
          <w:spacing w:val="-2"/>
        </w:rPr>
        <w:t>Supplier</w:t>
      </w:r>
      <w:r>
        <w:rPr>
          <w:spacing w:val="8"/>
        </w:rPr>
        <w:t xml:space="preserve"> </w:t>
      </w:r>
      <w:r>
        <w:rPr>
          <w:spacing w:val="-1"/>
        </w:rPr>
        <w:t>in</w:t>
      </w:r>
      <w:r>
        <w:rPr>
          <w:spacing w:val="6"/>
        </w:rPr>
        <w:t xml:space="preserve"> </w:t>
      </w:r>
      <w:r>
        <w:rPr>
          <w:spacing w:val="-1"/>
        </w:rPr>
        <w:t>each</w:t>
      </w:r>
      <w:r>
        <w:rPr>
          <w:spacing w:val="7"/>
        </w:rPr>
        <w:t xml:space="preserve"> </w:t>
      </w:r>
      <w:r>
        <w:rPr>
          <w:spacing w:val="-1"/>
        </w:rPr>
        <w:t>case</w:t>
      </w:r>
      <w:r>
        <w:t xml:space="preserve"> </w:t>
      </w:r>
      <w:r>
        <w:rPr>
          <w:spacing w:val="7"/>
        </w:rPr>
        <w:t xml:space="preserve"> </w:t>
      </w:r>
      <w:r>
        <w:rPr>
          <w:spacing w:val="-1"/>
        </w:rPr>
        <w:t>as</w:t>
      </w:r>
      <w:r>
        <w:rPr>
          <w:spacing w:val="40"/>
        </w:rPr>
        <w:t xml:space="preserve"> </w:t>
      </w:r>
      <w:r>
        <w:rPr>
          <w:spacing w:val="-1"/>
        </w:rPr>
        <w:t>notified</w:t>
      </w:r>
      <w:r>
        <w:t xml:space="preserve"> to</w:t>
      </w:r>
      <w:r>
        <w:rPr>
          <w:spacing w:val="-4"/>
        </w:rPr>
        <w:t xml:space="preserve"> </w:t>
      </w:r>
      <w:r>
        <w:t xml:space="preserve">the </w:t>
      </w:r>
      <w:r>
        <w:rPr>
          <w:spacing w:val="-2"/>
        </w:rPr>
        <w:t>Supplier</w:t>
      </w:r>
      <w:r>
        <w:rPr>
          <w:spacing w:val="2"/>
        </w:rPr>
        <w:t xml:space="preserve"> </w:t>
      </w:r>
      <w:r>
        <w:rPr>
          <w:spacing w:val="-2"/>
        </w:rPr>
        <w:t xml:space="preserve">by </w:t>
      </w:r>
      <w:r>
        <w:t xml:space="preserve">the </w:t>
      </w:r>
      <w:r>
        <w:rPr>
          <w:spacing w:val="-1"/>
        </w:rPr>
        <w:t>Customer</w:t>
      </w:r>
      <w:r>
        <w:rPr>
          <w:spacing w:val="-3"/>
        </w:rPr>
        <w:t xml:space="preserve"> </w:t>
      </w:r>
      <w:r>
        <w:rPr>
          <w:spacing w:val="-1"/>
        </w:rPr>
        <w:t>from time</w:t>
      </w:r>
      <w:r>
        <w:t xml:space="preserve"> to</w:t>
      </w:r>
      <w:r>
        <w:rPr>
          <w:spacing w:val="-2"/>
        </w:rPr>
        <w:t xml:space="preserve"> </w:t>
      </w:r>
      <w:r>
        <w:rPr>
          <w:spacing w:val="-1"/>
        </w:rPr>
        <w:t>time;</w:t>
      </w:r>
    </w:p>
    <w:p w:rsidR="008918FA" w:rsidRDefault="008918FA" w:rsidP="008918FA">
      <w:pPr>
        <w:pStyle w:val="BodyText"/>
        <w:numPr>
          <w:ilvl w:val="2"/>
          <w:numId w:val="10"/>
        </w:numPr>
        <w:tabs>
          <w:tab w:val="left" w:pos="1887"/>
        </w:tabs>
        <w:ind w:left="1886" w:right="114"/>
        <w:jc w:val="both"/>
      </w:pPr>
      <w:r>
        <w:rPr>
          <w:spacing w:val="-1"/>
        </w:rPr>
        <w:t>contain</w:t>
      </w:r>
      <w:r>
        <w:rPr>
          <w:spacing w:val="24"/>
        </w:rPr>
        <w:t xml:space="preserve"> </w:t>
      </w:r>
      <w:r>
        <w:t>a</w:t>
      </w:r>
      <w:r>
        <w:rPr>
          <w:spacing w:val="24"/>
        </w:rPr>
        <w:t xml:space="preserve"> </w:t>
      </w:r>
      <w:r>
        <w:rPr>
          <w:spacing w:val="-1"/>
        </w:rPr>
        <w:t>communication</w:t>
      </w:r>
      <w:r>
        <w:rPr>
          <w:spacing w:val="24"/>
        </w:rPr>
        <w:t xml:space="preserve"> </w:t>
      </w:r>
      <w:r>
        <w:rPr>
          <w:spacing w:val="-1"/>
        </w:rPr>
        <w:t>strategy</w:t>
      </w:r>
      <w:r>
        <w:rPr>
          <w:spacing w:val="22"/>
        </w:rPr>
        <w:t xml:space="preserve"> </w:t>
      </w:r>
      <w:r>
        <w:rPr>
          <w:spacing w:val="-2"/>
        </w:rPr>
        <w:t>including</w:t>
      </w:r>
      <w:r>
        <w:rPr>
          <w:spacing w:val="27"/>
        </w:rPr>
        <w:t xml:space="preserve"> </w:t>
      </w:r>
      <w:r>
        <w:rPr>
          <w:spacing w:val="-2"/>
        </w:rPr>
        <w:t>details</w:t>
      </w:r>
      <w:r>
        <w:rPr>
          <w:spacing w:val="25"/>
        </w:rPr>
        <w:t xml:space="preserve"> </w:t>
      </w:r>
      <w:r>
        <w:rPr>
          <w:spacing w:val="-1"/>
        </w:rPr>
        <w:t>of</w:t>
      </w:r>
      <w:r>
        <w:rPr>
          <w:spacing w:val="26"/>
        </w:rPr>
        <w:t xml:space="preserve"> </w:t>
      </w:r>
      <w:r>
        <w:rPr>
          <w:spacing w:val="-1"/>
        </w:rPr>
        <w:t>an</w:t>
      </w:r>
      <w:r>
        <w:rPr>
          <w:spacing w:val="24"/>
        </w:rPr>
        <w:t xml:space="preserve"> </w:t>
      </w:r>
      <w:r>
        <w:rPr>
          <w:spacing w:val="-1"/>
        </w:rPr>
        <w:t>incident</w:t>
      </w:r>
      <w:r>
        <w:rPr>
          <w:spacing w:val="26"/>
        </w:rPr>
        <w:t xml:space="preserve"> </w:t>
      </w:r>
      <w:r>
        <w:rPr>
          <w:spacing w:val="-2"/>
        </w:rPr>
        <w:t>and</w:t>
      </w:r>
      <w:r>
        <w:rPr>
          <w:spacing w:val="51"/>
        </w:rPr>
        <w:t xml:space="preserve"> </w:t>
      </w:r>
      <w:r>
        <w:rPr>
          <w:spacing w:val="-1"/>
        </w:rPr>
        <w:t>problem</w:t>
      </w:r>
      <w:r>
        <w:rPr>
          <w:spacing w:val="19"/>
        </w:rPr>
        <w:t xml:space="preserve"> </w:t>
      </w:r>
      <w:r>
        <w:rPr>
          <w:spacing w:val="-1"/>
        </w:rPr>
        <w:t>management</w:t>
      </w:r>
      <w:r>
        <w:rPr>
          <w:spacing w:val="19"/>
        </w:rPr>
        <w:t xml:space="preserve"> </w:t>
      </w:r>
      <w:r>
        <w:rPr>
          <w:spacing w:val="-2"/>
        </w:rPr>
        <w:t>service</w:t>
      </w:r>
      <w:r>
        <w:rPr>
          <w:spacing w:val="18"/>
        </w:rPr>
        <w:t xml:space="preserve"> </w:t>
      </w:r>
      <w:r>
        <w:rPr>
          <w:spacing w:val="-1"/>
        </w:rPr>
        <w:t>and</w:t>
      </w:r>
      <w:r>
        <w:rPr>
          <w:spacing w:val="17"/>
        </w:rPr>
        <w:t xml:space="preserve"> </w:t>
      </w:r>
      <w:r>
        <w:rPr>
          <w:spacing w:val="-1"/>
        </w:rPr>
        <w:t>advice</w:t>
      </w:r>
      <w:r>
        <w:rPr>
          <w:spacing w:val="18"/>
        </w:rPr>
        <w:t xml:space="preserve"> </w:t>
      </w:r>
      <w:r>
        <w:rPr>
          <w:spacing w:val="-1"/>
        </w:rPr>
        <w:t>and</w:t>
      </w:r>
      <w:r>
        <w:rPr>
          <w:spacing w:val="17"/>
        </w:rPr>
        <w:t xml:space="preserve"> </w:t>
      </w:r>
      <w:r>
        <w:rPr>
          <w:spacing w:val="-1"/>
        </w:rPr>
        <w:t>help</w:t>
      </w:r>
      <w:r>
        <w:rPr>
          <w:spacing w:val="17"/>
        </w:rPr>
        <w:t xml:space="preserve"> </w:t>
      </w:r>
      <w:r>
        <w:rPr>
          <w:spacing w:val="-1"/>
        </w:rPr>
        <w:t>desk</w:t>
      </w:r>
      <w:r>
        <w:rPr>
          <w:spacing w:val="18"/>
        </w:rPr>
        <w:t xml:space="preserve"> </w:t>
      </w:r>
      <w:r>
        <w:rPr>
          <w:spacing w:val="-1"/>
        </w:rPr>
        <w:t>facility</w:t>
      </w:r>
      <w:r>
        <w:rPr>
          <w:spacing w:val="18"/>
        </w:rPr>
        <w:t xml:space="preserve"> </w:t>
      </w:r>
      <w:r>
        <w:rPr>
          <w:spacing w:val="-2"/>
        </w:rPr>
        <w:t>which</w:t>
      </w:r>
      <w:r>
        <w:rPr>
          <w:spacing w:val="52"/>
        </w:rPr>
        <w:t xml:space="preserve"> </w:t>
      </w:r>
      <w:r>
        <w:rPr>
          <w:spacing w:val="-1"/>
        </w:rPr>
        <w:t>can</w:t>
      </w:r>
      <w:r>
        <w:rPr>
          <w:spacing w:val="22"/>
        </w:rPr>
        <w:t xml:space="preserve"> </w:t>
      </w:r>
      <w:r>
        <w:rPr>
          <w:spacing w:val="-1"/>
        </w:rPr>
        <w:t>be</w:t>
      </w:r>
      <w:r>
        <w:rPr>
          <w:spacing w:val="22"/>
        </w:rPr>
        <w:t xml:space="preserve"> </w:t>
      </w:r>
      <w:r>
        <w:rPr>
          <w:spacing w:val="-1"/>
        </w:rPr>
        <w:t>accessed</w:t>
      </w:r>
      <w:r>
        <w:rPr>
          <w:spacing w:val="22"/>
        </w:rPr>
        <w:t xml:space="preserve"> </w:t>
      </w:r>
      <w:r>
        <w:rPr>
          <w:spacing w:val="-2"/>
        </w:rPr>
        <w:t>via</w:t>
      </w:r>
      <w:r>
        <w:rPr>
          <w:spacing w:val="22"/>
        </w:rPr>
        <w:t xml:space="preserve"> </w:t>
      </w:r>
      <w:r>
        <w:rPr>
          <w:spacing w:val="-1"/>
        </w:rPr>
        <w:t>multi-channels</w:t>
      </w:r>
      <w:r>
        <w:rPr>
          <w:spacing w:val="22"/>
        </w:rPr>
        <w:t xml:space="preserve"> </w:t>
      </w:r>
      <w:r>
        <w:rPr>
          <w:spacing w:val="-1"/>
        </w:rPr>
        <w:t>(including</w:t>
      </w:r>
      <w:r>
        <w:rPr>
          <w:spacing w:val="24"/>
        </w:rPr>
        <w:t xml:space="preserve"> </w:t>
      </w:r>
      <w:r>
        <w:rPr>
          <w:spacing w:val="-2"/>
        </w:rPr>
        <w:t>but</w:t>
      </w:r>
      <w:r>
        <w:rPr>
          <w:spacing w:val="23"/>
        </w:rPr>
        <w:t xml:space="preserve"> </w:t>
      </w:r>
      <w:r>
        <w:rPr>
          <w:spacing w:val="-2"/>
        </w:rPr>
        <w:t>without</w:t>
      </w:r>
      <w:r>
        <w:rPr>
          <w:spacing w:val="23"/>
        </w:rPr>
        <w:t xml:space="preserve"> </w:t>
      </w:r>
      <w:r>
        <w:rPr>
          <w:spacing w:val="-1"/>
        </w:rPr>
        <w:t>limitation</w:t>
      </w:r>
      <w:r>
        <w:rPr>
          <w:spacing w:val="22"/>
        </w:rPr>
        <w:t xml:space="preserve"> </w:t>
      </w:r>
      <w:r>
        <w:t>a</w:t>
      </w:r>
      <w:r>
        <w:rPr>
          <w:spacing w:val="45"/>
        </w:rPr>
        <w:t xml:space="preserve"> </w:t>
      </w:r>
      <w:r>
        <w:rPr>
          <w:spacing w:val="-1"/>
        </w:rPr>
        <w:t>web-site</w:t>
      </w:r>
      <w:r>
        <w:rPr>
          <w:spacing w:val="46"/>
        </w:rPr>
        <w:t xml:space="preserve"> </w:t>
      </w:r>
      <w:r>
        <w:rPr>
          <w:spacing w:val="-1"/>
        </w:rPr>
        <w:t>(with</w:t>
      </w:r>
      <w:r>
        <w:rPr>
          <w:spacing w:val="46"/>
        </w:rPr>
        <w:t xml:space="preserve"> </w:t>
      </w:r>
      <w:r>
        <w:rPr>
          <w:spacing w:val="-1"/>
        </w:rPr>
        <w:t>FAQs),</w:t>
      </w:r>
      <w:r>
        <w:rPr>
          <w:spacing w:val="47"/>
        </w:rPr>
        <w:t xml:space="preserve"> </w:t>
      </w:r>
      <w:r>
        <w:rPr>
          <w:spacing w:val="-2"/>
        </w:rPr>
        <w:t>e-mail,</w:t>
      </w:r>
      <w:r>
        <w:rPr>
          <w:spacing w:val="47"/>
        </w:rPr>
        <w:t xml:space="preserve"> </w:t>
      </w:r>
      <w:r>
        <w:rPr>
          <w:spacing w:val="-1"/>
        </w:rPr>
        <w:t>phone</w:t>
      </w:r>
      <w:r>
        <w:rPr>
          <w:spacing w:val="46"/>
        </w:rPr>
        <w:t xml:space="preserve"> </w:t>
      </w:r>
      <w:r>
        <w:rPr>
          <w:spacing w:val="-1"/>
        </w:rPr>
        <w:t>and</w:t>
      </w:r>
      <w:r>
        <w:rPr>
          <w:spacing w:val="46"/>
        </w:rPr>
        <w:t xml:space="preserve"> </w:t>
      </w:r>
      <w:r>
        <w:rPr>
          <w:spacing w:val="-1"/>
        </w:rPr>
        <w:t>fax)</w:t>
      </w:r>
      <w:r>
        <w:rPr>
          <w:spacing w:val="46"/>
        </w:rPr>
        <w:t xml:space="preserve"> </w:t>
      </w:r>
      <w:r>
        <w:t>for</w:t>
      </w:r>
      <w:r>
        <w:rPr>
          <w:spacing w:val="47"/>
        </w:rPr>
        <w:t xml:space="preserve"> </w:t>
      </w:r>
      <w:r>
        <w:rPr>
          <w:spacing w:val="-1"/>
        </w:rPr>
        <w:t>both</w:t>
      </w:r>
      <w:r>
        <w:rPr>
          <w:spacing w:val="46"/>
        </w:rPr>
        <w:t xml:space="preserve"> </w:t>
      </w:r>
      <w:r>
        <w:rPr>
          <w:spacing w:val="-1"/>
        </w:rPr>
        <w:t>portable</w:t>
      </w:r>
      <w:r>
        <w:rPr>
          <w:spacing w:val="46"/>
        </w:rPr>
        <w:t xml:space="preserve"> </w:t>
      </w:r>
      <w:r>
        <w:rPr>
          <w:spacing w:val="-1"/>
        </w:rPr>
        <w:t>and</w:t>
      </w:r>
      <w:r>
        <w:rPr>
          <w:spacing w:val="52"/>
        </w:rPr>
        <w:t xml:space="preserve"> </w:t>
      </w:r>
      <w:r>
        <w:rPr>
          <w:spacing w:val="-1"/>
        </w:rPr>
        <w:t>desk</w:t>
      </w:r>
      <w:r>
        <w:rPr>
          <w:spacing w:val="1"/>
        </w:rPr>
        <w:t xml:space="preserve"> </w:t>
      </w:r>
      <w:r>
        <w:t>top</w:t>
      </w:r>
      <w:r>
        <w:rPr>
          <w:spacing w:val="-2"/>
        </w:rPr>
        <w:t xml:space="preserve"> </w:t>
      </w:r>
      <w:r>
        <w:rPr>
          <w:spacing w:val="-1"/>
        </w:rPr>
        <w:t>configurations,</w:t>
      </w:r>
      <w:r>
        <w:t xml:space="preserve"> </w:t>
      </w:r>
      <w:r>
        <w:rPr>
          <w:spacing w:val="-2"/>
        </w:rPr>
        <w:t>where</w:t>
      </w:r>
      <w:r>
        <w:t xml:space="preserve"> </w:t>
      </w:r>
      <w:r>
        <w:rPr>
          <w:spacing w:val="-1"/>
        </w:rPr>
        <w:t>required</w:t>
      </w:r>
      <w:r>
        <w:rPr>
          <w:spacing w:val="-2"/>
        </w:rPr>
        <w:t xml:space="preserve"> </w:t>
      </w:r>
      <w:r>
        <w:rPr>
          <w:spacing w:val="-1"/>
        </w:rPr>
        <w:t>by</w:t>
      </w:r>
      <w:r>
        <w:rPr>
          <w:spacing w:val="-2"/>
        </w:rPr>
        <w:t xml:space="preserve"> </w:t>
      </w:r>
      <w:r>
        <w:t>the</w:t>
      </w:r>
      <w:r>
        <w:rPr>
          <w:spacing w:val="-2"/>
        </w:rPr>
        <w:t xml:space="preserve"> </w:t>
      </w:r>
      <w:r>
        <w:rPr>
          <w:spacing w:val="-1"/>
        </w:rPr>
        <w:t>Customer;</w:t>
      </w:r>
    </w:p>
    <w:p w:rsidR="008918FA" w:rsidRDefault="008918FA" w:rsidP="008918FA">
      <w:pPr>
        <w:pStyle w:val="BodyText"/>
        <w:numPr>
          <w:ilvl w:val="2"/>
          <w:numId w:val="10"/>
        </w:numPr>
        <w:tabs>
          <w:tab w:val="left" w:pos="1887"/>
        </w:tabs>
        <w:ind w:left="1886"/>
      </w:pPr>
      <w:r>
        <w:rPr>
          <w:spacing w:val="-1"/>
        </w:rPr>
        <w:t>contain</w:t>
      </w:r>
      <w:r>
        <w:t xml:space="preserve"> a</w:t>
      </w:r>
      <w:r>
        <w:rPr>
          <w:spacing w:val="-2"/>
        </w:rPr>
        <w:t xml:space="preserve"> risk</w:t>
      </w:r>
      <w:r>
        <w:rPr>
          <w:spacing w:val="3"/>
        </w:rPr>
        <w:t xml:space="preserve"> </w:t>
      </w:r>
      <w:r>
        <w:rPr>
          <w:spacing w:val="-2"/>
        </w:rPr>
        <w:t>analysis,</w:t>
      </w:r>
      <w:r>
        <w:rPr>
          <w:spacing w:val="2"/>
        </w:rPr>
        <w:t xml:space="preserve"> </w:t>
      </w:r>
      <w:r>
        <w:rPr>
          <w:spacing w:val="-1"/>
        </w:rPr>
        <w:t>including:</w:t>
      </w:r>
    </w:p>
    <w:p w:rsidR="008918FA" w:rsidRDefault="008918FA" w:rsidP="008918FA">
      <w:pPr>
        <w:pStyle w:val="BodyText"/>
        <w:numPr>
          <w:ilvl w:val="3"/>
          <w:numId w:val="10"/>
        </w:numPr>
        <w:tabs>
          <w:tab w:val="left" w:pos="2595"/>
        </w:tabs>
        <w:spacing w:before="121"/>
        <w:ind w:left="2594" w:right="113"/>
        <w:jc w:val="both"/>
      </w:pPr>
      <w:r>
        <w:rPr>
          <w:spacing w:val="-1"/>
        </w:rPr>
        <w:t>failure</w:t>
      </w:r>
      <w:r>
        <w:rPr>
          <w:spacing w:val="20"/>
        </w:rPr>
        <w:t xml:space="preserve"> </w:t>
      </w:r>
      <w:r>
        <w:rPr>
          <w:spacing w:val="-1"/>
        </w:rPr>
        <w:t>or</w:t>
      </w:r>
      <w:r>
        <w:rPr>
          <w:spacing w:val="19"/>
        </w:rPr>
        <w:t xml:space="preserve"> </w:t>
      </w:r>
      <w:r>
        <w:rPr>
          <w:spacing w:val="-1"/>
        </w:rPr>
        <w:t>disruption</w:t>
      </w:r>
      <w:r>
        <w:rPr>
          <w:spacing w:val="17"/>
        </w:rPr>
        <w:t xml:space="preserve"> </w:t>
      </w:r>
      <w:r>
        <w:rPr>
          <w:spacing w:val="-1"/>
        </w:rPr>
        <w:t>scenarios</w:t>
      </w:r>
      <w:r>
        <w:rPr>
          <w:spacing w:val="20"/>
        </w:rPr>
        <w:t xml:space="preserve"> </w:t>
      </w:r>
      <w:r>
        <w:rPr>
          <w:spacing w:val="-1"/>
        </w:rPr>
        <w:t>and</w:t>
      </w:r>
      <w:r>
        <w:rPr>
          <w:spacing w:val="20"/>
        </w:rPr>
        <w:t xml:space="preserve"> </w:t>
      </w:r>
      <w:r>
        <w:rPr>
          <w:spacing w:val="-1"/>
        </w:rPr>
        <w:t>assessments</w:t>
      </w:r>
      <w:r>
        <w:rPr>
          <w:spacing w:val="18"/>
        </w:rPr>
        <w:t xml:space="preserve"> </w:t>
      </w:r>
      <w:r>
        <w:rPr>
          <w:spacing w:val="-1"/>
        </w:rPr>
        <w:t>and</w:t>
      </w:r>
      <w:r>
        <w:rPr>
          <w:spacing w:val="20"/>
        </w:rPr>
        <w:t xml:space="preserve"> </w:t>
      </w:r>
      <w:r>
        <w:rPr>
          <w:spacing w:val="-1"/>
        </w:rPr>
        <w:t>estimates</w:t>
      </w:r>
      <w:r>
        <w:rPr>
          <w:spacing w:val="24"/>
        </w:rPr>
        <w:t xml:space="preserve"> </w:t>
      </w:r>
      <w:r>
        <w:rPr>
          <w:spacing w:val="-2"/>
        </w:rPr>
        <w:t>of</w:t>
      </w:r>
      <w:r>
        <w:rPr>
          <w:spacing w:val="2"/>
        </w:rPr>
        <w:t xml:space="preserve"> </w:t>
      </w:r>
      <w:r>
        <w:rPr>
          <w:spacing w:val="-1"/>
        </w:rPr>
        <w:t xml:space="preserve">frequency </w:t>
      </w:r>
      <w:r>
        <w:rPr>
          <w:spacing w:val="-2"/>
        </w:rPr>
        <w:t>of</w:t>
      </w:r>
      <w:r>
        <w:rPr>
          <w:spacing w:val="2"/>
        </w:rPr>
        <w:t xml:space="preserve"> </w:t>
      </w:r>
      <w:r>
        <w:rPr>
          <w:spacing w:val="-1"/>
        </w:rPr>
        <w:t>occurrence;</w:t>
      </w:r>
    </w:p>
    <w:p w:rsidR="008918FA" w:rsidRDefault="008918FA" w:rsidP="008918FA">
      <w:pPr>
        <w:pStyle w:val="BodyText"/>
        <w:numPr>
          <w:ilvl w:val="3"/>
          <w:numId w:val="10"/>
        </w:numPr>
        <w:tabs>
          <w:tab w:val="left" w:pos="2594"/>
        </w:tabs>
        <w:spacing w:before="121"/>
        <w:ind w:left="2593" w:right="114" w:hanging="707"/>
        <w:jc w:val="both"/>
      </w:pPr>
      <w:r>
        <w:rPr>
          <w:spacing w:val="-1"/>
        </w:rPr>
        <w:t>identification</w:t>
      </w:r>
      <w:r>
        <w:rPr>
          <w:spacing w:val="22"/>
        </w:rPr>
        <w:t xml:space="preserve"> </w:t>
      </w:r>
      <w:r>
        <w:rPr>
          <w:spacing w:val="-2"/>
        </w:rPr>
        <w:t>of</w:t>
      </w:r>
      <w:r>
        <w:rPr>
          <w:spacing w:val="26"/>
        </w:rPr>
        <w:t xml:space="preserve"> </w:t>
      </w:r>
      <w:r>
        <w:rPr>
          <w:spacing w:val="-1"/>
        </w:rPr>
        <w:t>any</w:t>
      </w:r>
      <w:r>
        <w:rPr>
          <w:spacing w:val="20"/>
        </w:rPr>
        <w:t xml:space="preserve"> </w:t>
      </w:r>
      <w:r>
        <w:rPr>
          <w:spacing w:val="-1"/>
        </w:rPr>
        <w:t>single</w:t>
      </w:r>
      <w:r>
        <w:rPr>
          <w:spacing w:val="22"/>
        </w:rPr>
        <w:t xml:space="preserve"> </w:t>
      </w:r>
      <w:r>
        <w:rPr>
          <w:spacing w:val="-1"/>
        </w:rPr>
        <w:t>points</w:t>
      </w:r>
      <w:r>
        <w:rPr>
          <w:spacing w:val="22"/>
        </w:rPr>
        <w:t xml:space="preserve"> </w:t>
      </w:r>
      <w:r>
        <w:rPr>
          <w:spacing w:val="-1"/>
        </w:rPr>
        <w:t>of</w:t>
      </w:r>
      <w:r>
        <w:rPr>
          <w:spacing w:val="23"/>
        </w:rPr>
        <w:t xml:space="preserve"> </w:t>
      </w:r>
      <w:r>
        <w:rPr>
          <w:spacing w:val="-1"/>
        </w:rPr>
        <w:t>failure</w:t>
      </w:r>
      <w:r>
        <w:rPr>
          <w:spacing w:val="22"/>
        </w:rPr>
        <w:t xml:space="preserve"> </w:t>
      </w:r>
      <w:r>
        <w:rPr>
          <w:spacing w:val="-2"/>
        </w:rPr>
        <w:t>within</w:t>
      </w:r>
      <w:r>
        <w:rPr>
          <w:spacing w:val="22"/>
        </w:rPr>
        <w:t xml:space="preserve"> </w:t>
      </w:r>
      <w:r>
        <w:t>the</w:t>
      </w:r>
      <w:r>
        <w:rPr>
          <w:spacing w:val="25"/>
        </w:rPr>
        <w:t xml:space="preserve"> </w:t>
      </w:r>
      <w:r>
        <w:rPr>
          <w:spacing w:val="-2"/>
        </w:rPr>
        <w:t>provision</w:t>
      </w:r>
      <w:r>
        <w:rPr>
          <w:spacing w:val="52"/>
        </w:rPr>
        <w:t xml:space="preserve"> </w:t>
      </w:r>
      <w:r>
        <w:rPr>
          <w:spacing w:val="-2"/>
        </w:rPr>
        <w:t>of</w:t>
      </w:r>
      <w:r>
        <w:rPr>
          <w:spacing w:val="4"/>
        </w:rPr>
        <w:t xml:space="preserve"> </w:t>
      </w:r>
      <w:r>
        <w:rPr>
          <w:spacing w:val="-1"/>
        </w:rPr>
        <w:t>Goods</w:t>
      </w:r>
      <w:r>
        <w:rPr>
          <w:spacing w:val="1"/>
        </w:rPr>
        <w:t xml:space="preserve"> </w:t>
      </w:r>
      <w:r>
        <w:rPr>
          <w:spacing w:val="-1"/>
        </w:rPr>
        <w:t>and/or</w:t>
      </w:r>
      <w:r>
        <w:rPr>
          <w:spacing w:val="2"/>
        </w:rPr>
        <w:t xml:space="preserve"> </w:t>
      </w:r>
      <w:r>
        <w:rPr>
          <w:spacing w:val="-1"/>
        </w:rPr>
        <w:t>Services</w:t>
      </w:r>
      <w:r>
        <w:rPr>
          <w:spacing w:val="1"/>
        </w:rPr>
        <w:t xml:space="preserve"> </w:t>
      </w:r>
      <w:r>
        <w:rPr>
          <w:spacing w:val="-1"/>
        </w:rPr>
        <w:t>and</w:t>
      </w:r>
      <w:r>
        <w:t xml:space="preserve"> </w:t>
      </w:r>
      <w:r>
        <w:rPr>
          <w:spacing w:val="-1"/>
        </w:rPr>
        <w:t>processes</w:t>
      </w:r>
      <w:r>
        <w:rPr>
          <w:spacing w:val="-2"/>
        </w:rPr>
        <w:t xml:space="preserve"> </w:t>
      </w:r>
      <w:r>
        <w:t>for</w:t>
      </w:r>
      <w:r>
        <w:rPr>
          <w:spacing w:val="2"/>
        </w:rPr>
        <w:t xml:space="preserve"> </w:t>
      </w:r>
      <w:r>
        <w:rPr>
          <w:spacing w:val="-1"/>
        </w:rPr>
        <w:t>managing</w:t>
      </w:r>
      <w:r>
        <w:rPr>
          <w:spacing w:val="3"/>
        </w:rPr>
        <w:t xml:space="preserve"> </w:t>
      </w:r>
      <w:r>
        <w:t xml:space="preserve">the </w:t>
      </w:r>
      <w:r>
        <w:rPr>
          <w:spacing w:val="-2"/>
        </w:rPr>
        <w:t>risks</w:t>
      </w:r>
      <w:r>
        <w:rPr>
          <w:spacing w:val="26"/>
        </w:rPr>
        <w:t xml:space="preserve"> </w:t>
      </w:r>
      <w:r>
        <w:rPr>
          <w:spacing w:val="-1"/>
        </w:rPr>
        <w:t>arising</w:t>
      </w:r>
      <w:r>
        <w:t xml:space="preserve"> </w:t>
      </w:r>
      <w:r>
        <w:rPr>
          <w:spacing w:val="-1"/>
        </w:rPr>
        <w:t>therefrom;</w:t>
      </w:r>
    </w:p>
    <w:p w:rsidR="008918FA" w:rsidRDefault="008918FA" w:rsidP="008918FA">
      <w:pPr>
        <w:pStyle w:val="BodyText"/>
        <w:numPr>
          <w:ilvl w:val="3"/>
          <w:numId w:val="10"/>
        </w:numPr>
        <w:tabs>
          <w:tab w:val="left" w:pos="2594"/>
        </w:tabs>
        <w:ind w:left="2593" w:right="117"/>
        <w:jc w:val="both"/>
      </w:pPr>
      <w:r>
        <w:rPr>
          <w:spacing w:val="-1"/>
        </w:rPr>
        <w:t>identification</w:t>
      </w:r>
      <w:r>
        <w:rPr>
          <w:spacing w:val="3"/>
        </w:rPr>
        <w:t xml:space="preserve"> </w:t>
      </w:r>
      <w:r>
        <w:rPr>
          <w:spacing w:val="-2"/>
        </w:rPr>
        <w:t>of</w:t>
      </w:r>
      <w:r>
        <w:rPr>
          <w:spacing w:val="4"/>
        </w:rPr>
        <w:t xml:space="preserve"> </w:t>
      </w:r>
      <w:r>
        <w:rPr>
          <w:spacing w:val="-1"/>
        </w:rPr>
        <w:t>risks</w:t>
      </w:r>
      <w:r>
        <w:rPr>
          <w:spacing w:val="3"/>
        </w:rPr>
        <w:t xml:space="preserve"> </w:t>
      </w:r>
      <w:r>
        <w:rPr>
          <w:spacing w:val="-2"/>
        </w:rPr>
        <w:t>arising</w:t>
      </w:r>
      <w:r>
        <w:rPr>
          <w:spacing w:val="3"/>
        </w:rPr>
        <w:t xml:space="preserve"> </w:t>
      </w:r>
      <w:r>
        <w:rPr>
          <w:spacing w:val="-1"/>
        </w:rPr>
        <w:t>from</w:t>
      </w:r>
      <w:r>
        <w:rPr>
          <w:spacing w:val="2"/>
        </w:rPr>
        <w:t xml:space="preserve"> </w:t>
      </w:r>
      <w:r>
        <w:t>the</w:t>
      </w:r>
      <w:r>
        <w:rPr>
          <w:spacing w:val="3"/>
        </w:rPr>
        <w:t xml:space="preserve"> </w:t>
      </w:r>
      <w:r>
        <w:rPr>
          <w:spacing w:val="-1"/>
        </w:rPr>
        <w:t>interaction</w:t>
      </w:r>
      <w:r>
        <w:rPr>
          <w:spacing w:val="3"/>
        </w:rPr>
        <w:t xml:space="preserve"> </w:t>
      </w:r>
      <w:r>
        <w:rPr>
          <w:spacing w:val="-2"/>
        </w:rPr>
        <w:t>of</w:t>
      </w:r>
      <w:r>
        <w:rPr>
          <w:spacing w:val="2"/>
        </w:rPr>
        <w:t xml:space="preserve"> </w:t>
      </w:r>
      <w:r>
        <w:t>the</w:t>
      </w:r>
      <w:r>
        <w:rPr>
          <w:spacing w:val="5"/>
        </w:rPr>
        <w:t xml:space="preserve"> </w:t>
      </w:r>
      <w:r>
        <w:rPr>
          <w:spacing w:val="-2"/>
        </w:rPr>
        <w:t>provision</w:t>
      </w:r>
      <w:r>
        <w:rPr>
          <w:spacing w:val="47"/>
        </w:rPr>
        <w:t xml:space="preserve"> </w:t>
      </w:r>
      <w:r>
        <w:rPr>
          <w:spacing w:val="-2"/>
        </w:rPr>
        <w:t>of</w:t>
      </w:r>
      <w:r>
        <w:rPr>
          <w:spacing w:val="33"/>
        </w:rPr>
        <w:t xml:space="preserve"> </w:t>
      </w:r>
      <w:r>
        <w:rPr>
          <w:spacing w:val="-1"/>
        </w:rPr>
        <w:t>Goods</w:t>
      </w:r>
      <w:r>
        <w:rPr>
          <w:spacing w:val="30"/>
        </w:rPr>
        <w:t xml:space="preserve"> </w:t>
      </w:r>
      <w:r>
        <w:rPr>
          <w:spacing w:val="-1"/>
        </w:rPr>
        <w:t>and/or</w:t>
      </w:r>
      <w:r>
        <w:rPr>
          <w:spacing w:val="30"/>
        </w:rPr>
        <w:t xml:space="preserve"> </w:t>
      </w:r>
      <w:r>
        <w:rPr>
          <w:spacing w:val="-2"/>
        </w:rPr>
        <w:t>Services</w:t>
      </w:r>
      <w:r>
        <w:rPr>
          <w:spacing w:val="30"/>
        </w:rPr>
        <w:t xml:space="preserve"> </w:t>
      </w:r>
      <w:r>
        <w:rPr>
          <w:spacing w:val="-1"/>
        </w:rPr>
        <w:t>and</w:t>
      </w:r>
      <w:r>
        <w:rPr>
          <w:spacing w:val="30"/>
        </w:rPr>
        <w:t xml:space="preserve"> </w:t>
      </w:r>
      <w:r>
        <w:rPr>
          <w:spacing w:val="-2"/>
        </w:rPr>
        <w:t>with</w:t>
      </w:r>
      <w:r>
        <w:rPr>
          <w:spacing w:val="29"/>
        </w:rPr>
        <w:t xml:space="preserve"> </w:t>
      </w:r>
      <w:r>
        <w:t>the</w:t>
      </w:r>
      <w:r>
        <w:rPr>
          <w:spacing w:val="29"/>
        </w:rPr>
        <w:t xml:space="preserve"> </w:t>
      </w:r>
      <w:r>
        <w:rPr>
          <w:spacing w:val="-1"/>
        </w:rPr>
        <w:t>goods</w:t>
      </w:r>
      <w:r>
        <w:rPr>
          <w:spacing w:val="27"/>
        </w:rPr>
        <w:t xml:space="preserve"> </w:t>
      </w:r>
      <w:r>
        <w:rPr>
          <w:spacing w:val="-1"/>
        </w:rPr>
        <w:t>and/or</w:t>
      </w:r>
      <w:r>
        <w:rPr>
          <w:spacing w:val="31"/>
        </w:rPr>
        <w:t xml:space="preserve"> </w:t>
      </w:r>
      <w:r>
        <w:rPr>
          <w:spacing w:val="-2"/>
        </w:rPr>
        <w:t>services</w:t>
      </w:r>
      <w:r>
        <w:rPr>
          <w:spacing w:val="59"/>
        </w:rPr>
        <w:t xml:space="preserve"> </w:t>
      </w:r>
      <w:r>
        <w:rPr>
          <w:spacing w:val="-2"/>
        </w:rPr>
        <w:t>provided</w:t>
      </w:r>
      <w:r>
        <w:t xml:space="preserve"> </w:t>
      </w:r>
      <w:r>
        <w:rPr>
          <w:spacing w:val="-1"/>
        </w:rPr>
        <w:t>by</w:t>
      </w:r>
      <w:r>
        <w:rPr>
          <w:spacing w:val="-2"/>
        </w:rPr>
        <w:t xml:space="preserve"> </w:t>
      </w:r>
      <w:r>
        <w:t xml:space="preserve">a </w:t>
      </w:r>
      <w:r>
        <w:rPr>
          <w:spacing w:val="-1"/>
        </w:rPr>
        <w:t>Related</w:t>
      </w:r>
      <w:r>
        <w:t xml:space="preserve"> </w:t>
      </w:r>
      <w:r>
        <w:rPr>
          <w:spacing w:val="-2"/>
        </w:rPr>
        <w:t>Supplier;</w:t>
      </w:r>
      <w:r>
        <w:rPr>
          <w:spacing w:val="2"/>
        </w:rPr>
        <w:t xml:space="preserve"> </w:t>
      </w:r>
      <w:r>
        <w:rPr>
          <w:spacing w:val="-1"/>
        </w:rPr>
        <w:t>and</w:t>
      </w:r>
    </w:p>
    <w:p w:rsidR="008918FA" w:rsidRDefault="008918FA" w:rsidP="008918FA">
      <w:pPr>
        <w:pStyle w:val="BodyText"/>
        <w:numPr>
          <w:ilvl w:val="3"/>
          <w:numId w:val="10"/>
        </w:numPr>
        <w:tabs>
          <w:tab w:val="left" w:pos="2594"/>
        </w:tabs>
        <w:ind w:left="2593" w:right="116"/>
        <w:jc w:val="both"/>
      </w:pPr>
      <w:r>
        <w:t>a</w:t>
      </w:r>
      <w:r>
        <w:rPr>
          <w:spacing w:val="41"/>
        </w:rPr>
        <w:t xml:space="preserve"> </w:t>
      </w:r>
      <w:r>
        <w:rPr>
          <w:spacing w:val="-1"/>
        </w:rPr>
        <w:t>business</w:t>
      </w:r>
      <w:r>
        <w:rPr>
          <w:spacing w:val="42"/>
        </w:rPr>
        <w:t xml:space="preserve"> </w:t>
      </w:r>
      <w:r>
        <w:rPr>
          <w:spacing w:val="-2"/>
        </w:rPr>
        <w:t>impact</w:t>
      </w:r>
      <w:r>
        <w:rPr>
          <w:spacing w:val="42"/>
        </w:rPr>
        <w:t xml:space="preserve"> </w:t>
      </w:r>
      <w:r>
        <w:rPr>
          <w:spacing w:val="-2"/>
        </w:rPr>
        <w:t>analysis</w:t>
      </w:r>
      <w:r>
        <w:rPr>
          <w:spacing w:val="41"/>
        </w:rPr>
        <w:t xml:space="preserve"> </w:t>
      </w:r>
      <w:r>
        <w:rPr>
          <w:spacing w:val="-1"/>
        </w:rPr>
        <w:t>(detailing</w:t>
      </w:r>
      <w:r>
        <w:rPr>
          <w:spacing w:val="43"/>
        </w:rPr>
        <w:t xml:space="preserve"> </w:t>
      </w:r>
      <w:r>
        <w:t>the</w:t>
      </w:r>
      <w:r>
        <w:rPr>
          <w:spacing w:val="41"/>
        </w:rPr>
        <w:t xml:space="preserve"> </w:t>
      </w:r>
      <w:r>
        <w:rPr>
          <w:spacing w:val="-2"/>
        </w:rPr>
        <w:t>impact</w:t>
      </w:r>
      <w:r>
        <w:rPr>
          <w:spacing w:val="44"/>
        </w:rPr>
        <w:t xml:space="preserve"> </w:t>
      </w:r>
      <w:r>
        <w:rPr>
          <w:spacing w:val="-1"/>
        </w:rPr>
        <w:t>on</w:t>
      </w:r>
      <w:r>
        <w:rPr>
          <w:spacing w:val="41"/>
        </w:rPr>
        <w:t xml:space="preserve"> </w:t>
      </w:r>
      <w:r>
        <w:rPr>
          <w:spacing w:val="-1"/>
        </w:rPr>
        <w:t>business</w:t>
      </w:r>
      <w:r>
        <w:rPr>
          <w:spacing w:val="34"/>
        </w:rPr>
        <w:t xml:space="preserve"> </w:t>
      </w:r>
      <w:r>
        <w:rPr>
          <w:spacing w:val="-1"/>
        </w:rPr>
        <w:t>processes</w:t>
      </w:r>
      <w:r>
        <w:rPr>
          <w:spacing w:val="51"/>
        </w:rPr>
        <w:t xml:space="preserve"> </w:t>
      </w:r>
      <w:r>
        <w:rPr>
          <w:spacing w:val="-1"/>
        </w:rPr>
        <w:t>and</w:t>
      </w:r>
      <w:r>
        <w:rPr>
          <w:spacing w:val="51"/>
        </w:rPr>
        <w:t xml:space="preserve"> </w:t>
      </w:r>
      <w:r>
        <w:rPr>
          <w:spacing w:val="-1"/>
        </w:rPr>
        <w:t>operations)</w:t>
      </w:r>
      <w:r>
        <w:rPr>
          <w:spacing w:val="52"/>
        </w:rPr>
        <w:t xml:space="preserve"> </w:t>
      </w:r>
      <w:r>
        <w:rPr>
          <w:spacing w:val="-2"/>
        </w:rPr>
        <w:t>of</w:t>
      </w:r>
      <w:r>
        <w:rPr>
          <w:spacing w:val="54"/>
        </w:rPr>
        <w:t xml:space="preserve"> </w:t>
      </w:r>
      <w:r>
        <w:rPr>
          <w:spacing w:val="-1"/>
        </w:rPr>
        <w:t>different</w:t>
      </w:r>
      <w:r>
        <w:rPr>
          <w:spacing w:val="52"/>
        </w:rPr>
        <w:t xml:space="preserve"> </w:t>
      </w:r>
      <w:r>
        <w:rPr>
          <w:spacing w:val="-1"/>
        </w:rPr>
        <w:t>anticipated</w:t>
      </w:r>
      <w:r>
        <w:rPr>
          <w:spacing w:val="51"/>
        </w:rPr>
        <w:t xml:space="preserve"> </w:t>
      </w:r>
      <w:r>
        <w:rPr>
          <w:spacing w:val="-1"/>
        </w:rPr>
        <w:t>failures</w:t>
      </w:r>
      <w:r>
        <w:rPr>
          <w:spacing w:val="52"/>
        </w:rPr>
        <w:t xml:space="preserve"> </w:t>
      </w:r>
      <w:r>
        <w:rPr>
          <w:spacing w:val="-1"/>
        </w:rPr>
        <w:t>or</w:t>
      </w:r>
      <w:r>
        <w:rPr>
          <w:spacing w:val="30"/>
        </w:rPr>
        <w:t xml:space="preserve"> </w:t>
      </w:r>
      <w:r>
        <w:rPr>
          <w:spacing w:val="-1"/>
        </w:rPr>
        <w:t>disruptions;</w:t>
      </w:r>
    </w:p>
    <w:p w:rsidR="008918FA" w:rsidRDefault="008918FA" w:rsidP="008918FA">
      <w:pPr>
        <w:pStyle w:val="BodyText"/>
        <w:numPr>
          <w:ilvl w:val="2"/>
          <w:numId w:val="10"/>
        </w:numPr>
        <w:tabs>
          <w:tab w:val="left" w:pos="1886"/>
        </w:tabs>
        <w:ind w:left="1885" w:right="117" w:hanging="993"/>
        <w:jc w:val="both"/>
      </w:pPr>
      <w:r>
        <w:rPr>
          <w:spacing w:val="-2"/>
        </w:rPr>
        <w:t>provide</w:t>
      </w:r>
      <w:r>
        <w:rPr>
          <w:spacing w:val="3"/>
        </w:rPr>
        <w:t xml:space="preserve"> </w:t>
      </w:r>
      <w:r>
        <w:t>for</w:t>
      </w:r>
      <w:r>
        <w:rPr>
          <w:spacing w:val="4"/>
        </w:rPr>
        <w:t xml:space="preserve"> </w:t>
      </w:r>
      <w:r>
        <w:rPr>
          <w:spacing w:val="-1"/>
        </w:rPr>
        <w:t>documentation</w:t>
      </w:r>
      <w:r>
        <w:rPr>
          <w:spacing w:val="3"/>
        </w:rPr>
        <w:t xml:space="preserve"> </w:t>
      </w:r>
      <w:r>
        <w:rPr>
          <w:spacing w:val="-2"/>
        </w:rPr>
        <w:t>of</w:t>
      </w:r>
      <w:r>
        <w:rPr>
          <w:spacing w:val="6"/>
        </w:rPr>
        <w:t xml:space="preserve"> </w:t>
      </w:r>
      <w:r>
        <w:rPr>
          <w:spacing w:val="-1"/>
        </w:rPr>
        <w:t>processes,</w:t>
      </w:r>
      <w:r>
        <w:rPr>
          <w:spacing w:val="5"/>
        </w:rPr>
        <w:t xml:space="preserve"> </w:t>
      </w:r>
      <w:r>
        <w:rPr>
          <w:spacing w:val="-2"/>
        </w:rPr>
        <w:t>including</w:t>
      </w:r>
      <w:r>
        <w:rPr>
          <w:spacing w:val="3"/>
        </w:rPr>
        <w:t xml:space="preserve"> </w:t>
      </w:r>
      <w:r>
        <w:rPr>
          <w:spacing w:val="-1"/>
        </w:rPr>
        <w:t>business</w:t>
      </w:r>
      <w:r>
        <w:rPr>
          <w:spacing w:val="3"/>
        </w:rPr>
        <w:t xml:space="preserve"> </w:t>
      </w:r>
      <w:r>
        <w:rPr>
          <w:spacing w:val="-1"/>
        </w:rPr>
        <w:t>processes,</w:t>
      </w:r>
      <w:r>
        <w:rPr>
          <w:spacing w:val="45"/>
        </w:rPr>
        <w:t xml:space="preserve"> </w:t>
      </w:r>
      <w:r>
        <w:rPr>
          <w:spacing w:val="-1"/>
        </w:rPr>
        <w:t>and</w:t>
      </w:r>
      <w:r>
        <w:t xml:space="preserve"> </w:t>
      </w:r>
      <w:r>
        <w:rPr>
          <w:spacing w:val="-1"/>
        </w:rPr>
        <w:t>procedures;</w:t>
      </w:r>
    </w:p>
    <w:p w:rsidR="008918FA" w:rsidRDefault="008918FA" w:rsidP="008918FA">
      <w:pPr>
        <w:pStyle w:val="BodyText"/>
        <w:numPr>
          <w:ilvl w:val="2"/>
          <w:numId w:val="10"/>
        </w:numPr>
        <w:tabs>
          <w:tab w:val="left" w:pos="1886"/>
        </w:tabs>
        <w:ind w:left="1885" w:right="116" w:hanging="993"/>
        <w:jc w:val="both"/>
      </w:pPr>
      <w:r>
        <w:rPr>
          <w:spacing w:val="-1"/>
        </w:rPr>
        <w:t>set</w:t>
      </w:r>
      <w:r>
        <w:rPr>
          <w:spacing w:val="16"/>
        </w:rPr>
        <w:t xml:space="preserve"> </w:t>
      </w:r>
      <w:r>
        <w:rPr>
          <w:spacing w:val="-1"/>
        </w:rPr>
        <w:t>out</w:t>
      </w:r>
      <w:r>
        <w:rPr>
          <w:spacing w:val="14"/>
        </w:rPr>
        <w:t xml:space="preserve"> </w:t>
      </w:r>
      <w:r>
        <w:t>key</w:t>
      </w:r>
      <w:r>
        <w:rPr>
          <w:spacing w:val="13"/>
        </w:rPr>
        <w:t xml:space="preserve"> </w:t>
      </w:r>
      <w:r>
        <w:rPr>
          <w:spacing w:val="-1"/>
        </w:rPr>
        <w:t>contact</w:t>
      </w:r>
      <w:r>
        <w:rPr>
          <w:spacing w:val="16"/>
        </w:rPr>
        <w:t xml:space="preserve"> </w:t>
      </w:r>
      <w:r>
        <w:rPr>
          <w:spacing w:val="-2"/>
        </w:rPr>
        <w:t>details</w:t>
      </w:r>
      <w:r>
        <w:rPr>
          <w:spacing w:val="15"/>
        </w:rPr>
        <w:t xml:space="preserve"> </w:t>
      </w:r>
      <w:r>
        <w:rPr>
          <w:spacing w:val="-1"/>
        </w:rPr>
        <w:t>(including</w:t>
      </w:r>
      <w:r>
        <w:rPr>
          <w:spacing w:val="17"/>
        </w:rPr>
        <w:t xml:space="preserve"> </w:t>
      </w:r>
      <w:r>
        <w:rPr>
          <w:spacing w:val="-1"/>
        </w:rPr>
        <w:t>roles</w:t>
      </w:r>
      <w:r>
        <w:rPr>
          <w:spacing w:val="15"/>
        </w:rPr>
        <w:t xml:space="preserve"> </w:t>
      </w:r>
      <w:r>
        <w:rPr>
          <w:spacing w:val="-1"/>
        </w:rPr>
        <w:t>and</w:t>
      </w:r>
      <w:r>
        <w:rPr>
          <w:spacing w:val="15"/>
        </w:rPr>
        <w:t xml:space="preserve"> </w:t>
      </w:r>
      <w:r>
        <w:rPr>
          <w:spacing w:val="-2"/>
        </w:rPr>
        <w:t>responsibilities)</w:t>
      </w:r>
      <w:r>
        <w:rPr>
          <w:spacing w:val="17"/>
        </w:rPr>
        <w:t xml:space="preserve"> </w:t>
      </w:r>
      <w:r>
        <w:t>for</w:t>
      </w:r>
      <w:r>
        <w:rPr>
          <w:spacing w:val="16"/>
        </w:rPr>
        <w:t xml:space="preserve"> </w:t>
      </w:r>
      <w:r>
        <w:rPr>
          <w:spacing w:val="-1"/>
        </w:rPr>
        <w:t>the</w:t>
      </w:r>
      <w:r>
        <w:rPr>
          <w:spacing w:val="64"/>
        </w:rPr>
        <w:t xml:space="preserve"> </w:t>
      </w:r>
      <w:r>
        <w:rPr>
          <w:spacing w:val="-2"/>
        </w:rPr>
        <w:t>Supplier</w:t>
      </w:r>
      <w:r>
        <w:rPr>
          <w:spacing w:val="2"/>
        </w:rPr>
        <w:t xml:space="preserve"> </w:t>
      </w:r>
      <w:r>
        <w:rPr>
          <w:spacing w:val="-1"/>
        </w:rPr>
        <w:t>(and</w:t>
      </w:r>
      <w:r>
        <w:t xml:space="preserve"> </w:t>
      </w:r>
      <w:r>
        <w:rPr>
          <w:spacing w:val="-1"/>
        </w:rPr>
        <w:t>any</w:t>
      </w:r>
      <w:r>
        <w:rPr>
          <w:spacing w:val="-2"/>
        </w:rPr>
        <w:t xml:space="preserve"> </w:t>
      </w:r>
      <w:r>
        <w:rPr>
          <w:spacing w:val="-1"/>
        </w:rPr>
        <w:t>Sub-Contractors)</w:t>
      </w:r>
      <w:r>
        <w:rPr>
          <w:spacing w:val="2"/>
        </w:rPr>
        <w:t xml:space="preserve"> </w:t>
      </w:r>
      <w:r>
        <w:rPr>
          <w:spacing w:val="-1"/>
        </w:rPr>
        <w:t>and</w:t>
      </w:r>
      <w:r>
        <w:rPr>
          <w:spacing w:val="-4"/>
        </w:rPr>
        <w:t xml:space="preserve"> </w:t>
      </w:r>
      <w:r>
        <w:t>for</w:t>
      </w:r>
      <w:r>
        <w:rPr>
          <w:spacing w:val="-1"/>
        </w:rPr>
        <w:t xml:space="preserve"> </w:t>
      </w:r>
      <w:r>
        <w:t>the</w:t>
      </w:r>
      <w:r>
        <w:rPr>
          <w:spacing w:val="-2"/>
        </w:rPr>
        <w:t xml:space="preserve"> </w:t>
      </w:r>
      <w:r>
        <w:rPr>
          <w:spacing w:val="-1"/>
        </w:rPr>
        <w:t>Customer;</w:t>
      </w:r>
    </w:p>
    <w:p w:rsidR="008918FA" w:rsidRDefault="008918FA" w:rsidP="008918FA">
      <w:pPr>
        <w:pStyle w:val="BodyText"/>
        <w:numPr>
          <w:ilvl w:val="2"/>
          <w:numId w:val="10"/>
        </w:numPr>
        <w:tabs>
          <w:tab w:val="left" w:pos="1886"/>
        </w:tabs>
        <w:ind w:left="1885" w:hanging="993"/>
      </w:pPr>
      <w:r>
        <w:rPr>
          <w:spacing w:val="-1"/>
        </w:rPr>
        <w:t>identify</w:t>
      </w:r>
      <w:r>
        <w:rPr>
          <w:spacing w:val="-4"/>
        </w:rPr>
        <w:t xml:space="preserve"> </w:t>
      </w:r>
      <w:r>
        <w:t xml:space="preserve">the </w:t>
      </w:r>
      <w:r>
        <w:rPr>
          <w:spacing w:val="-1"/>
        </w:rPr>
        <w:t>procedures</w:t>
      </w:r>
      <w:r>
        <w:rPr>
          <w:spacing w:val="-2"/>
        </w:rPr>
        <w:t xml:space="preserve"> </w:t>
      </w:r>
      <w:r>
        <w:rPr>
          <w:spacing w:val="-1"/>
        </w:rPr>
        <w:t>for</w:t>
      </w:r>
      <w:r>
        <w:rPr>
          <w:spacing w:val="2"/>
        </w:rPr>
        <w:t xml:space="preserve"> </w:t>
      </w:r>
      <w:r>
        <w:rPr>
          <w:spacing w:val="-1"/>
        </w:rPr>
        <w:t>reverting</w:t>
      </w:r>
      <w:r>
        <w:t xml:space="preserve"> to</w:t>
      </w:r>
      <w:r>
        <w:rPr>
          <w:spacing w:val="-2"/>
        </w:rPr>
        <w:t xml:space="preserve"> </w:t>
      </w:r>
      <w:r>
        <w:rPr>
          <w:spacing w:val="-1"/>
        </w:rPr>
        <w:t>“normal</w:t>
      </w:r>
      <w:r>
        <w:t xml:space="preserve"> </w:t>
      </w:r>
      <w:r>
        <w:rPr>
          <w:spacing w:val="-2"/>
        </w:rPr>
        <w:t>service”;</w:t>
      </w:r>
    </w:p>
    <w:p w:rsidR="008918FA" w:rsidRDefault="008918FA" w:rsidP="008918FA">
      <w:pPr>
        <w:pStyle w:val="BodyText"/>
        <w:numPr>
          <w:ilvl w:val="2"/>
          <w:numId w:val="10"/>
        </w:numPr>
        <w:tabs>
          <w:tab w:val="left" w:pos="1886"/>
        </w:tabs>
        <w:ind w:left="1885" w:right="113" w:hanging="993"/>
        <w:jc w:val="both"/>
      </w:pPr>
      <w:r>
        <w:rPr>
          <w:spacing w:val="-1"/>
        </w:rPr>
        <w:t>set</w:t>
      </w:r>
      <w:r>
        <w:rPr>
          <w:spacing w:val="35"/>
        </w:rPr>
        <w:t xml:space="preserve"> </w:t>
      </w:r>
      <w:r>
        <w:rPr>
          <w:spacing w:val="-1"/>
        </w:rPr>
        <w:t>out</w:t>
      </w:r>
      <w:r>
        <w:rPr>
          <w:spacing w:val="33"/>
        </w:rPr>
        <w:t xml:space="preserve"> </w:t>
      </w:r>
      <w:r>
        <w:rPr>
          <w:spacing w:val="-1"/>
        </w:rPr>
        <w:t>method(s)</w:t>
      </w:r>
      <w:r>
        <w:rPr>
          <w:spacing w:val="36"/>
        </w:rPr>
        <w:t xml:space="preserve"> </w:t>
      </w:r>
      <w:r>
        <w:rPr>
          <w:spacing w:val="-2"/>
        </w:rPr>
        <w:t>of</w:t>
      </w:r>
      <w:r>
        <w:rPr>
          <w:spacing w:val="35"/>
        </w:rPr>
        <w:t xml:space="preserve"> </w:t>
      </w:r>
      <w:r>
        <w:rPr>
          <w:spacing w:val="-2"/>
        </w:rPr>
        <w:t>recovering</w:t>
      </w:r>
      <w:r>
        <w:rPr>
          <w:spacing w:val="36"/>
        </w:rPr>
        <w:t xml:space="preserve"> </w:t>
      </w:r>
      <w:r>
        <w:rPr>
          <w:spacing w:val="-1"/>
        </w:rPr>
        <w:t>or</w:t>
      </w:r>
      <w:r>
        <w:rPr>
          <w:spacing w:val="35"/>
        </w:rPr>
        <w:t xml:space="preserve"> </w:t>
      </w:r>
      <w:r>
        <w:rPr>
          <w:spacing w:val="-2"/>
        </w:rPr>
        <w:t>updating</w:t>
      </w:r>
      <w:r>
        <w:rPr>
          <w:spacing w:val="37"/>
        </w:rPr>
        <w:t xml:space="preserve"> </w:t>
      </w:r>
      <w:r>
        <w:rPr>
          <w:spacing w:val="-1"/>
        </w:rPr>
        <w:t>data</w:t>
      </w:r>
      <w:r>
        <w:rPr>
          <w:spacing w:val="34"/>
        </w:rPr>
        <w:t xml:space="preserve"> </w:t>
      </w:r>
      <w:r>
        <w:rPr>
          <w:spacing w:val="-1"/>
        </w:rPr>
        <w:t>collected</w:t>
      </w:r>
      <w:r>
        <w:rPr>
          <w:spacing w:val="31"/>
        </w:rPr>
        <w:t xml:space="preserve"> </w:t>
      </w:r>
      <w:r>
        <w:rPr>
          <w:spacing w:val="-1"/>
        </w:rPr>
        <w:t>(or</w:t>
      </w:r>
      <w:r>
        <w:rPr>
          <w:spacing w:val="35"/>
        </w:rPr>
        <w:t xml:space="preserve"> </w:t>
      </w:r>
      <w:r>
        <w:rPr>
          <w:spacing w:val="-2"/>
        </w:rPr>
        <w:t>which</w:t>
      </w:r>
      <w:r>
        <w:rPr>
          <w:spacing w:val="54"/>
        </w:rPr>
        <w:t xml:space="preserve"> </w:t>
      </w:r>
      <w:r>
        <w:rPr>
          <w:spacing w:val="-1"/>
        </w:rPr>
        <w:t>ought</w:t>
      </w:r>
      <w:r>
        <w:rPr>
          <w:spacing w:val="26"/>
        </w:rPr>
        <w:t xml:space="preserve"> </w:t>
      </w:r>
      <w:r>
        <w:t>to</w:t>
      </w:r>
      <w:r>
        <w:rPr>
          <w:spacing w:val="22"/>
        </w:rPr>
        <w:t xml:space="preserve"> </w:t>
      </w:r>
      <w:r>
        <w:rPr>
          <w:spacing w:val="-2"/>
        </w:rPr>
        <w:t>have</w:t>
      </w:r>
      <w:r>
        <w:rPr>
          <w:spacing w:val="24"/>
        </w:rPr>
        <w:t xml:space="preserve"> </w:t>
      </w:r>
      <w:r>
        <w:rPr>
          <w:spacing w:val="-1"/>
        </w:rPr>
        <w:t>been</w:t>
      </w:r>
      <w:r>
        <w:rPr>
          <w:spacing w:val="24"/>
        </w:rPr>
        <w:t xml:space="preserve"> </w:t>
      </w:r>
      <w:r>
        <w:rPr>
          <w:spacing w:val="-1"/>
        </w:rPr>
        <w:t>collected)</w:t>
      </w:r>
      <w:r>
        <w:rPr>
          <w:spacing w:val="23"/>
        </w:rPr>
        <w:t xml:space="preserve"> </w:t>
      </w:r>
      <w:r>
        <w:rPr>
          <w:spacing w:val="-1"/>
        </w:rPr>
        <w:t>during</w:t>
      </w:r>
      <w:r>
        <w:rPr>
          <w:spacing w:val="27"/>
        </w:rPr>
        <w:t xml:space="preserve"> </w:t>
      </w:r>
      <w:r>
        <w:t>a</w:t>
      </w:r>
      <w:r>
        <w:rPr>
          <w:spacing w:val="22"/>
        </w:rPr>
        <w:t xml:space="preserve"> </w:t>
      </w:r>
      <w:r>
        <w:rPr>
          <w:spacing w:val="-1"/>
        </w:rPr>
        <w:t>failure</w:t>
      </w:r>
      <w:r>
        <w:rPr>
          <w:spacing w:val="24"/>
        </w:rPr>
        <w:t xml:space="preserve"> </w:t>
      </w:r>
      <w:r>
        <w:rPr>
          <w:spacing w:val="-2"/>
        </w:rPr>
        <w:t>or</w:t>
      </w:r>
      <w:r>
        <w:rPr>
          <w:spacing w:val="26"/>
        </w:rPr>
        <w:t xml:space="preserve"> </w:t>
      </w:r>
      <w:r>
        <w:rPr>
          <w:spacing w:val="-1"/>
        </w:rPr>
        <w:t>disruption</w:t>
      </w:r>
      <w:r>
        <w:rPr>
          <w:spacing w:val="24"/>
        </w:rPr>
        <w:t xml:space="preserve"> </w:t>
      </w:r>
      <w:r>
        <w:t>to</w:t>
      </w:r>
      <w:r>
        <w:rPr>
          <w:spacing w:val="24"/>
        </w:rPr>
        <w:t xml:space="preserve"> </w:t>
      </w:r>
      <w:r>
        <w:rPr>
          <w:spacing w:val="-1"/>
        </w:rPr>
        <w:t>ensure</w:t>
      </w:r>
      <w:r>
        <w:rPr>
          <w:spacing w:val="33"/>
        </w:rPr>
        <w:t xml:space="preserve"> </w:t>
      </w:r>
      <w:r>
        <w:rPr>
          <w:spacing w:val="-1"/>
        </w:rPr>
        <w:t>that</w:t>
      </w:r>
      <w:r>
        <w:rPr>
          <w:spacing w:val="33"/>
        </w:rPr>
        <w:t xml:space="preserve"> </w:t>
      </w:r>
      <w:r>
        <w:rPr>
          <w:spacing w:val="-1"/>
        </w:rPr>
        <w:t>there</w:t>
      </w:r>
      <w:r>
        <w:rPr>
          <w:spacing w:val="34"/>
        </w:rPr>
        <w:t xml:space="preserve"> </w:t>
      </w:r>
      <w:r>
        <w:rPr>
          <w:spacing w:val="-1"/>
        </w:rPr>
        <w:t>is</w:t>
      </w:r>
      <w:r>
        <w:rPr>
          <w:spacing w:val="34"/>
        </w:rPr>
        <w:t xml:space="preserve"> </w:t>
      </w:r>
      <w:r>
        <w:rPr>
          <w:spacing w:val="-1"/>
        </w:rPr>
        <w:t>no</w:t>
      </w:r>
      <w:r>
        <w:rPr>
          <w:spacing w:val="31"/>
        </w:rPr>
        <w:t xml:space="preserve"> </w:t>
      </w:r>
      <w:r>
        <w:rPr>
          <w:spacing w:val="-1"/>
        </w:rPr>
        <w:t>more</w:t>
      </w:r>
      <w:r>
        <w:rPr>
          <w:spacing w:val="31"/>
        </w:rPr>
        <w:t xml:space="preserve"> </w:t>
      </w:r>
      <w:r>
        <w:rPr>
          <w:spacing w:val="-1"/>
        </w:rPr>
        <w:t>than</w:t>
      </w:r>
      <w:r>
        <w:rPr>
          <w:spacing w:val="34"/>
        </w:rPr>
        <w:t xml:space="preserve"> </w:t>
      </w:r>
      <w:r>
        <w:t>the</w:t>
      </w:r>
      <w:r>
        <w:rPr>
          <w:spacing w:val="35"/>
        </w:rPr>
        <w:t xml:space="preserve"> </w:t>
      </w:r>
      <w:r>
        <w:rPr>
          <w:spacing w:val="-1"/>
        </w:rPr>
        <w:t>accepted</w:t>
      </w:r>
      <w:r>
        <w:rPr>
          <w:spacing w:val="31"/>
        </w:rPr>
        <w:t xml:space="preserve"> </w:t>
      </w:r>
      <w:r>
        <w:rPr>
          <w:spacing w:val="-1"/>
        </w:rPr>
        <w:t>amount</w:t>
      </w:r>
      <w:r>
        <w:rPr>
          <w:spacing w:val="35"/>
        </w:rPr>
        <w:t xml:space="preserve"> </w:t>
      </w:r>
      <w:r>
        <w:rPr>
          <w:spacing w:val="-2"/>
        </w:rPr>
        <w:t>of</w:t>
      </w:r>
      <w:r>
        <w:rPr>
          <w:spacing w:val="35"/>
        </w:rPr>
        <w:t xml:space="preserve"> </w:t>
      </w:r>
      <w:r>
        <w:rPr>
          <w:spacing w:val="-1"/>
        </w:rPr>
        <w:t>data</w:t>
      </w:r>
      <w:r>
        <w:rPr>
          <w:spacing w:val="31"/>
        </w:rPr>
        <w:t xml:space="preserve"> </w:t>
      </w:r>
      <w:r>
        <w:rPr>
          <w:spacing w:val="-1"/>
        </w:rPr>
        <w:t>loss</w:t>
      </w:r>
      <w:r>
        <w:rPr>
          <w:spacing w:val="35"/>
        </w:rPr>
        <w:t xml:space="preserve"> </w:t>
      </w:r>
      <w:r>
        <w:rPr>
          <w:spacing w:val="-1"/>
        </w:rPr>
        <w:t>and</w:t>
      </w:r>
      <w:r>
        <w:rPr>
          <w:spacing w:val="32"/>
        </w:rPr>
        <w:t xml:space="preserve"> </w:t>
      </w:r>
      <w:r>
        <w:t>to</w:t>
      </w:r>
      <w:r>
        <w:rPr>
          <w:spacing w:val="33"/>
        </w:rPr>
        <w:t xml:space="preserve"> </w:t>
      </w:r>
      <w:r>
        <w:rPr>
          <w:spacing w:val="-1"/>
        </w:rPr>
        <w:t>preserve</w:t>
      </w:r>
      <w:r>
        <w:t xml:space="preserve"> </w:t>
      </w:r>
      <w:r>
        <w:rPr>
          <w:spacing w:val="-1"/>
        </w:rPr>
        <w:t>data</w:t>
      </w:r>
      <w:r>
        <w:rPr>
          <w:spacing w:val="-2"/>
        </w:rPr>
        <w:t xml:space="preserve"> </w:t>
      </w:r>
      <w:r>
        <w:rPr>
          <w:spacing w:val="-1"/>
        </w:rPr>
        <w:t>integrity;</w:t>
      </w:r>
    </w:p>
    <w:p w:rsidR="008918FA" w:rsidRDefault="008918FA" w:rsidP="008918FA">
      <w:pPr>
        <w:pStyle w:val="BodyText"/>
        <w:numPr>
          <w:ilvl w:val="2"/>
          <w:numId w:val="10"/>
        </w:numPr>
        <w:tabs>
          <w:tab w:val="left" w:pos="1886"/>
        </w:tabs>
        <w:ind w:left="1885" w:right="119" w:hanging="993"/>
        <w:jc w:val="both"/>
      </w:pPr>
      <w:r>
        <w:rPr>
          <w:spacing w:val="-1"/>
        </w:rPr>
        <w:t>identify</w:t>
      </w:r>
      <w:r>
        <w:rPr>
          <w:spacing w:val="8"/>
        </w:rPr>
        <w:t xml:space="preserve"> </w:t>
      </w:r>
      <w:r>
        <w:t>the</w:t>
      </w:r>
      <w:r>
        <w:rPr>
          <w:spacing w:val="7"/>
        </w:rPr>
        <w:t xml:space="preserve"> </w:t>
      </w:r>
      <w:r>
        <w:rPr>
          <w:spacing w:val="-1"/>
        </w:rPr>
        <w:t>responsibilities</w:t>
      </w:r>
      <w:r>
        <w:rPr>
          <w:spacing w:val="10"/>
        </w:rPr>
        <w:t xml:space="preserve"> </w:t>
      </w:r>
      <w:r>
        <w:rPr>
          <w:spacing w:val="-2"/>
        </w:rPr>
        <w:t>(if</w:t>
      </w:r>
      <w:r>
        <w:rPr>
          <w:spacing w:val="14"/>
        </w:rPr>
        <w:t xml:space="preserve"> </w:t>
      </w:r>
      <w:r>
        <w:rPr>
          <w:spacing w:val="-2"/>
        </w:rPr>
        <w:t>any)</w:t>
      </w:r>
      <w:r>
        <w:rPr>
          <w:spacing w:val="9"/>
        </w:rPr>
        <w:t xml:space="preserve"> </w:t>
      </w:r>
      <w:r>
        <w:rPr>
          <w:spacing w:val="-1"/>
        </w:rPr>
        <w:t>that</w:t>
      </w:r>
      <w:r>
        <w:rPr>
          <w:spacing w:val="9"/>
        </w:rPr>
        <w:t xml:space="preserve"> </w:t>
      </w:r>
      <w:r>
        <w:t>the</w:t>
      </w:r>
      <w:r>
        <w:rPr>
          <w:spacing w:val="7"/>
        </w:rPr>
        <w:t xml:space="preserve"> </w:t>
      </w:r>
      <w:r>
        <w:rPr>
          <w:spacing w:val="-1"/>
        </w:rPr>
        <w:t>Customer</w:t>
      </w:r>
      <w:r>
        <w:rPr>
          <w:spacing w:val="11"/>
        </w:rPr>
        <w:t xml:space="preserve"> </w:t>
      </w:r>
      <w:r>
        <w:rPr>
          <w:spacing w:val="-2"/>
        </w:rPr>
        <w:t>has</w:t>
      </w:r>
      <w:r>
        <w:rPr>
          <w:spacing w:val="10"/>
        </w:rPr>
        <w:t xml:space="preserve"> </w:t>
      </w:r>
      <w:r>
        <w:rPr>
          <w:spacing w:val="-1"/>
        </w:rPr>
        <w:t>agreed</w:t>
      </w:r>
      <w:r>
        <w:rPr>
          <w:spacing w:val="7"/>
        </w:rPr>
        <w:t xml:space="preserve"> </w:t>
      </w:r>
      <w:r>
        <w:rPr>
          <w:spacing w:val="-1"/>
        </w:rPr>
        <w:t>it</w:t>
      </w:r>
      <w:r>
        <w:rPr>
          <w:spacing w:val="11"/>
        </w:rPr>
        <w:t xml:space="preserve"> </w:t>
      </w:r>
      <w:r>
        <w:rPr>
          <w:spacing w:val="-2"/>
        </w:rPr>
        <w:t>will</w:t>
      </w:r>
      <w:r>
        <w:rPr>
          <w:spacing w:val="43"/>
        </w:rPr>
        <w:t xml:space="preserve"> </w:t>
      </w:r>
      <w:r>
        <w:rPr>
          <w:spacing w:val="-1"/>
        </w:rPr>
        <w:t>assume</w:t>
      </w:r>
      <w:r>
        <w:rPr>
          <w:spacing w:val="-2"/>
        </w:rPr>
        <w:t xml:space="preserve"> </w:t>
      </w:r>
      <w:r>
        <w:rPr>
          <w:spacing w:val="-1"/>
        </w:rPr>
        <w:t>in</w:t>
      </w:r>
      <w:r>
        <w:t xml:space="preserve"> the</w:t>
      </w:r>
      <w:r>
        <w:rPr>
          <w:spacing w:val="-2"/>
        </w:rPr>
        <w:t xml:space="preserve"> event</w:t>
      </w:r>
      <w:r>
        <w:rPr>
          <w:spacing w:val="2"/>
        </w:rPr>
        <w:t xml:space="preserve"> </w:t>
      </w:r>
      <w:r>
        <w:rPr>
          <w:spacing w:val="-2"/>
        </w:rPr>
        <w:t>of</w:t>
      </w:r>
      <w:r>
        <w:t xml:space="preserve"> </w:t>
      </w:r>
      <w:r>
        <w:rPr>
          <w:spacing w:val="-1"/>
        </w:rPr>
        <w:t>the</w:t>
      </w:r>
      <w:r>
        <w:t xml:space="preserve"> </w:t>
      </w:r>
      <w:r>
        <w:rPr>
          <w:spacing w:val="-1"/>
        </w:rPr>
        <w:t>invocation</w:t>
      </w:r>
      <w:r>
        <w:t xml:space="preserve"> </w:t>
      </w:r>
      <w:r>
        <w:rPr>
          <w:spacing w:val="-2"/>
        </w:rPr>
        <w:t>of</w:t>
      </w:r>
      <w:r>
        <w:rPr>
          <w:spacing w:val="2"/>
        </w:rPr>
        <w:t xml:space="preserve"> </w:t>
      </w:r>
      <w:r>
        <w:t xml:space="preserve">the </w:t>
      </w:r>
      <w:r>
        <w:rPr>
          <w:spacing w:val="-2"/>
        </w:rPr>
        <w:t>BCDR</w:t>
      </w:r>
      <w:r>
        <w:t xml:space="preserve"> </w:t>
      </w:r>
      <w:r>
        <w:rPr>
          <w:spacing w:val="-1"/>
        </w:rPr>
        <w:t>Plan;</w:t>
      </w:r>
      <w:r>
        <w:rPr>
          <w:spacing w:val="2"/>
        </w:rPr>
        <w:t xml:space="preserve"> </w:t>
      </w:r>
      <w:r>
        <w:rPr>
          <w:spacing w:val="-1"/>
        </w:rPr>
        <w:t>and</w:t>
      </w:r>
    </w:p>
    <w:p w:rsidR="008918FA" w:rsidRDefault="008918FA" w:rsidP="008918FA">
      <w:pPr>
        <w:pStyle w:val="BodyText"/>
        <w:numPr>
          <w:ilvl w:val="2"/>
          <w:numId w:val="10"/>
        </w:numPr>
        <w:tabs>
          <w:tab w:val="left" w:pos="1886"/>
        </w:tabs>
        <w:spacing w:before="121"/>
        <w:ind w:left="1885" w:right="115" w:hanging="993"/>
        <w:jc w:val="both"/>
      </w:pPr>
      <w:r>
        <w:rPr>
          <w:spacing w:val="-2"/>
        </w:rPr>
        <w:t>provide</w:t>
      </w:r>
      <w:r>
        <w:rPr>
          <w:spacing w:val="51"/>
        </w:rPr>
        <w:t xml:space="preserve"> </w:t>
      </w:r>
      <w:r>
        <w:t>for</w:t>
      </w:r>
      <w:r>
        <w:rPr>
          <w:spacing w:val="52"/>
        </w:rPr>
        <w:t xml:space="preserve"> </w:t>
      </w:r>
      <w:r>
        <w:t>the</w:t>
      </w:r>
      <w:r>
        <w:rPr>
          <w:spacing w:val="51"/>
        </w:rPr>
        <w:t xml:space="preserve"> </w:t>
      </w:r>
      <w:r>
        <w:rPr>
          <w:spacing w:val="-2"/>
        </w:rPr>
        <w:t>provision</w:t>
      </w:r>
      <w:r>
        <w:rPr>
          <w:spacing w:val="51"/>
        </w:rPr>
        <w:t xml:space="preserve"> </w:t>
      </w:r>
      <w:r>
        <w:rPr>
          <w:spacing w:val="-1"/>
        </w:rPr>
        <w:t>of</w:t>
      </w:r>
      <w:r>
        <w:rPr>
          <w:spacing w:val="54"/>
        </w:rPr>
        <w:t xml:space="preserve"> </w:t>
      </w:r>
      <w:r>
        <w:rPr>
          <w:spacing w:val="-1"/>
        </w:rPr>
        <w:t>technical</w:t>
      </w:r>
      <w:r>
        <w:rPr>
          <w:spacing w:val="50"/>
        </w:rPr>
        <w:t xml:space="preserve"> </w:t>
      </w:r>
      <w:r>
        <w:rPr>
          <w:spacing w:val="-2"/>
        </w:rPr>
        <w:t>advice</w:t>
      </w:r>
      <w:r>
        <w:rPr>
          <w:spacing w:val="52"/>
        </w:rPr>
        <w:t xml:space="preserve"> </w:t>
      </w:r>
      <w:r>
        <w:t>and</w:t>
      </w:r>
      <w:r>
        <w:rPr>
          <w:spacing w:val="51"/>
        </w:rPr>
        <w:t xml:space="preserve"> </w:t>
      </w:r>
      <w:r>
        <w:rPr>
          <w:spacing w:val="-1"/>
        </w:rPr>
        <w:t>assistance</w:t>
      </w:r>
      <w:r>
        <w:rPr>
          <w:spacing w:val="51"/>
        </w:rPr>
        <w:t xml:space="preserve"> </w:t>
      </w:r>
      <w:r>
        <w:t>to</w:t>
      </w:r>
      <w:r>
        <w:rPr>
          <w:spacing w:val="51"/>
        </w:rPr>
        <w:t xml:space="preserve"> </w:t>
      </w:r>
      <w:r>
        <w:t>key</w:t>
      </w:r>
      <w:r>
        <w:rPr>
          <w:spacing w:val="60"/>
        </w:rPr>
        <w:t xml:space="preserve"> </w:t>
      </w:r>
      <w:r>
        <w:rPr>
          <w:spacing w:val="-1"/>
        </w:rPr>
        <w:t>contacts</w:t>
      </w:r>
      <w:r>
        <w:rPr>
          <w:spacing w:val="3"/>
        </w:rPr>
        <w:t xml:space="preserve"> </w:t>
      </w:r>
      <w:r>
        <w:rPr>
          <w:spacing w:val="-1"/>
        </w:rPr>
        <w:t>at</w:t>
      </w:r>
      <w:r>
        <w:rPr>
          <w:spacing w:val="2"/>
        </w:rPr>
        <w:t xml:space="preserve"> </w:t>
      </w:r>
      <w:r>
        <w:t>the</w:t>
      </w:r>
      <w:r>
        <w:rPr>
          <w:spacing w:val="3"/>
        </w:rPr>
        <w:t xml:space="preserve"> </w:t>
      </w:r>
      <w:r>
        <w:rPr>
          <w:spacing w:val="-2"/>
        </w:rPr>
        <w:t>Customer</w:t>
      </w:r>
      <w:r>
        <w:rPr>
          <w:spacing w:val="2"/>
        </w:rPr>
        <w:t xml:space="preserve"> </w:t>
      </w:r>
      <w:r>
        <w:rPr>
          <w:spacing w:val="-1"/>
        </w:rPr>
        <w:t>as</w:t>
      </w:r>
      <w:r>
        <w:rPr>
          <w:spacing w:val="3"/>
        </w:rPr>
        <w:t xml:space="preserve"> </w:t>
      </w:r>
      <w:r>
        <w:rPr>
          <w:spacing w:val="-1"/>
        </w:rPr>
        <w:t>notified</w:t>
      </w:r>
      <w:r>
        <w:rPr>
          <w:spacing w:val="3"/>
        </w:rPr>
        <w:t xml:space="preserve"> </w:t>
      </w:r>
      <w:r>
        <w:rPr>
          <w:spacing w:val="-1"/>
        </w:rPr>
        <w:t>by</w:t>
      </w:r>
      <w:r>
        <w:rPr>
          <w:spacing w:val="1"/>
        </w:rPr>
        <w:t xml:space="preserve"> </w:t>
      </w:r>
      <w:r>
        <w:t>the</w:t>
      </w:r>
      <w:r>
        <w:rPr>
          <w:spacing w:val="3"/>
        </w:rPr>
        <w:t xml:space="preserve"> </w:t>
      </w:r>
      <w:r>
        <w:rPr>
          <w:spacing w:val="-2"/>
        </w:rPr>
        <w:t>Customer</w:t>
      </w:r>
      <w:r>
        <w:rPr>
          <w:spacing w:val="2"/>
        </w:rPr>
        <w:t xml:space="preserve"> </w:t>
      </w:r>
      <w:r>
        <w:rPr>
          <w:spacing w:val="-1"/>
        </w:rPr>
        <w:t>from</w:t>
      </w:r>
      <w:r>
        <w:rPr>
          <w:spacing w:val="2"/>
        </w:rPr>
        <w:t xml:space="preserve"> </w:t>
      </w:r>
      <w:r>
        <w:rPr>
          <w:spacing w:val="-1"/>
        </w:rPr>
        <w:t>time</w:t>
      </w:r>
      <w:r>
        <w:t xml:space="preserve"> to</w:t>
      </w:r>
      <w:r>
        <w:rPr>
          <w:spacing w:val="3"/>
        </w:rPr>
        <w:t xml:space="preserve"> </w:t>
      </w:r>
      <w:r>
        <w:rPr>
          <w:spacing w:val="-1"/>
        </w:rPr>
        <w:t>time</w:t>
      </w:r>
      <w:r>
        <w:rPr>
          <w:spacing w:val="63"/>
        </w:rPr>
        <w:t xml:space="preserve"> </w:t>
      </w:r>
      <w:r>
        <w:t>to</w:t>
      </w:r>
      <w:r>
        <w:rPr>
          <w:spacing w:val="38"/>
        </w:rPr>
        <w:t xml:space="preserve"> </w:t>
      </w:r>
      <w:r>
        <w:rPr>
          <w:spacing w:val="-1"/>
        </w:rPr>
        <w:t>inform</w:t>
      </w:r>
      <w:r>
        <w:rPr>
          <w:spacing w:val="40"/>
        </w:rPr>
        <w:t xml:space="preserve"> </w:t>
      </w:r>
      <w:r>
        <w:rPr>
          <w:spacing w:val="-1"/>
        </w:rPr>
        <w:t>decisions</w:t>
      </w:r>
      <w:r>
        <w:rPr>
          <w:spacing w:val="39"/>
        </w:rPr>
        <w:t xml:space="preserve"> </w:t>
      </w:r>
      <w:r>
        <w:rPr>
          <w:spacing w:val="-1"/>
        </w:rPr>
        <w:t>in</w:t>
      </w:r>
      <w:r>
        <w:rPr>
          <w:spacing w:val="38"/>
        </w:rPr>
        <w:t xml:space="preserve"> </w:t>
      </w:r>
      <w:r>
        <w:rPr>
          <w:spacing w:val="-1"/>
        </w:rPr>
        <w:t>support</w:t>
      </w:r>
      <w:r>
        <w:rPr>
          <w:spacing w:val="40"/>
        </w:rPr>
        <w:t xml:space="preserve"> </w:t>
      </w:r>
      <w:r>
        <w:rPr>
          <w:spacing w:val="-2"/>
        </w:rPr>
        <w:t>of</w:t>
      </w:r>
      <w:r>
        <w:rPr>
          <w:spacing w:val="40"/>
        </w:rPr>
        <w:t xml:space="preserve"> </w:t>
      </w:r>
      <w:r>
        <w:t>the</w:t>
      </w:r>
      <w:r>
        <w:rPr>
          <w:spacing w:val="39"/>
        </w:rPr>
        <w:t xml:space="preserve"> </w:t>
      </w:r>
      <w:r>
        <w:rPr>
          <w:spacing w:val="-2"/>
        </w:rPr>
        <w:t>Customer’s</w:t>
      </w:r>
      <w:r>
        <w:rPr>
          <w:spacing w:val="39"/>
        </w:rPr>
        <w:t xml:space="preserve"> </w:t>
      </w:r>
      <w:r>
        <w:rPr>
          <w:spacing w:val="-1"/>
        </w:rPr>
        <w:t>business</w:t>
      </w:r>
      <w:r>
        <w:rPr>
          <w:spacing w:val="40"/>
        </w:rPr>
        <w:t xml:space="preserve"> </w:t>
      </w:r>
      <w:r>
        <w:rPr>
          <w:spacing w:val="-1"/>
        </w:rPr>
        <w:t>continuity</w:t>
      </w:r>
      <w:r>
        <w:rPr>
          <w:spacing w:val="33"/>
        </w:rPr>
        <w:t xml:space="preserve"> </w:t>
      </w:r>
      <w:r>
        <w:rPr>
          <w:spacing w:val="-2"/>
        </w:rPr>
        <w:t>plans.</w:t>
      </w:r>
    </w:p>
    <w:p w:rsidR="008918FA" w:rsidRDefault="008918FA" w:rsidP="008918FA">
      <w:pPr>
        <w:pStyle w:val="BodyText"/>
        <w:numPr>
          <w:ilvl w:val="1"/>
          <w:numId w:val="10"/>
        </w:numPr>
        <w:tabs>
          <w:tab w:val="left" w:pos="689"/>
        </w:tabs>
        <w:ind w:left="688"/>
      </w:pPr>
      <w:r>
        <w:t>The</w:t>
      </w:r>
      <w:r>
        <w:rPr>
          <w:spacing w:val="-2"/>
        </w:rPr>
        <w:t xml:space="preserve"> BCDR</w:t>
      </w:r>
      <w:r>
        <w:t xml:space="preserve"> </w:t>
      </w:r>
      <w:r>
        <w:rPr>
          <w:spacing w:val="-1"/>
        </w:rPr>
        <w:t>Plan</w:t>
      </w:r>
      <w:r>
        <w:t xml:space="preserve"> </w:t>
      </w:r>
      <w:r>
        <w:rPr>
          <w:spacing w:val="-1"/>
        </w:rPr>
        <w:t>shall</w:t>
      </w:r>
      <w:r>
        <w:t xml:space="preserve"> </w:t>
      </w:r>
      <w:r>
        <w:rPr>
          <w:spacing w:val="-1"/>
        </w:rPr>
        <w:t>be</w:t>
      </w:r>
      <w:r>
        <w:rPr>
          <w:spacing w:val="-2"/>
        </w:rPr>
        <w:t xml:space="preserve"> </w:t>
      </w:r>
      <w:r>
        <w:rPr>
          <w:spacing w:val="-1"/>
        </w:rPr>
        <w:t>designed so</w:t>
      </w:r>
      <w:r>
        <w:rPr>
          <w:spacing w:val="1"/>
        </w:rPr>
        <w:t xml:space="preserve"> </w:t>
      </w:r>
      <w:r>
        <w:rPr>
          <w:spacing w:val="-1"/>
        </w:rPr>
        <w:t>as</w:t>
      </w:r>
      <w:r>
        <w:rPr>
          <w:spacing w:val="-2"/>
        </w:rPr>
        <w:t xml:space="preserve"> </w:t>
      </w:r>
      <w:r>
        <w:t>to</w:t>
      </w:r>
      <w:r>
        <w:rPr>
          <w:spacing w:val="-2"/>
        </w:rPr>
        <w:t xml:space="preserve"> ensure</w:t>
      </w:r>
      <w:r>
        <w:t xml:space="preserve"> </w:t>
      </w:r>
      <w:r>
        <w:rPr>
          <w:spacing w:val="-1"/>
        </w:rPr>
        <w:t>that:</w:t>
      </w:r>
    </w:p>
    <w:p w:rsidR="008918FA" w:rsidRDefault="008918FA" w:rsidP="008918FA">
      <w:pPr>
        <w:pStyle w:val="BodyText"/>
        <w:numPr>
          <w:ilvl w:val="2"/>
          <w:numId w:val="10"/>
        </w:numPr>
        <w:tabs>
          <w:tab w:val="left" w:pos="1886"/>
        </w:tabs>
        <w:spacing w:before="121"/>
        <w:ind w:left="1885" w:right="113" w:hanging="993"/>
        <w:jc w:val="both"/>
      </w:pPr>
      <w:r>
        <w:t>the</w:t>
      </w:r>
      <w:r>
        <w:rPr>
          <w:spacing w:val="29"/>
        </w:rPr>
        <w:t xml:space="preserve"> </w:t>
      </w:r>
      <w:r>
        <w:rPr>
          <w:spacing w:val="-1"/>
        </w:rPr>
        <w:t>Goods</w:t>
      </w:r>
      <w:r>
        <w:rPr>
          <w:spacing w:val="30"/>
        </w:rPr>
        <w:t xml:space="preserve"> </w:t>
      </w:r>
      <w:r>
        <w:rPr>
          <w:spacing w:val="-1"/>
        </w:rPr>
        <w:t>and/or</w:t>
      </w:r>
      <w:r>
        <w:rPr>
          <w:spacing w:val="31"/>
        </w:rPr>
        <w:t xml:space="preserve"> </w:t>
      </w:r>
      <w:r>
        <w:rPr>
          <w:spacing w:val="-1"/>
        </w:rPr>
        <w:t>Services</w:t>
      </w:r>
      <w:r>
        <w:rPr>
          <w:spacing w:val="30"/>
        </w:rPr>
        <w:t xml:space="preserve"> </w:t>
      </w:r>
      <w:r>
        <w:rPr>
          <w:spacing w:val="-1"/>
        </w:rPr>
        <w:t>are</w:t>
      </w:r>
      <w:r>
        <w:rPr>
          <w:spacing w:val="29"/>
        </w:rPr>
        <w:t xml:space="preserve"> </w:t>
      </w:r>
      <w:r>
        <w:rPr>
          <w:spacing w:val="-2"/>
        </w:rPr>
        <w:t>provided</w:t>
      </w:r>
      <w:r>
        <w:rPr>
          <w:spacing w:val="29"/>
        </w:rPr>
        <w:t xml:space="preserve"> </w:t>
      </w:r>
      <w:r>
        <w:rPr>
          <w:spacing w:val="-1"/>
        </w:rPr>
        <w:t>in</w:t>
      </w:r>
      <w:r>
        <w:rPr>
          <w:spacing w:val="29"/>
        </w:rPr>
        <w:t xml:space="preserve"> </w:t>
      </w:r>
      <w:r>
        <w:rPr>
          <w:spacing w:val="-1"/>
        </w:rPr>
        <w:t>accordance</w:t>
      </w:r>
      <w:r>
        <w:rPr>
          <w:spacing w:val="30"/>
        </w:rPr>
        <w:t xml:space="preserve"> </w:t>
      </w:r>
      <w:r>
        <w:rPr>
          <w:spacing w:val="-2"/>
        </w:rPr>
        <w:t>with</w:t>
      </w:r>
      <w:r>
        <w:rPr>
          <w:spacing w:val="29"/>
        </w:rPr>
        <w:t xml:space="preserve"> </w:t>
      </w:r>
      <w:r>
        <w:rPr>
          <w:spacing w:val="-1"/>
        </w:rPr>
        <w:t>this</w:t>
      </w:r>
      <w:r>
        <w:rPr>
          <w:spacing w:val="30"/>
        </w:rPr>
        <w:t xml:space="preserve"> </w:t>
      </w:r>
      <w:r>
        <w:rPr>
          <w:spacing w:val="-1"/>
        </w:rPr>
        <w:t>Call</w:t>
      </w:r>
      <w:r>
        <w:rPr>
          <w:spacing w:val="49"/>
        </w:rPr>
        <w:t xml:space="preserve"> </w:t>
      </w:r>
      <w:r>
        <w:rPr>
          <w:spacing w:val="-1"/>
        </w:rPr>
        <w:t>Off</w:t>
      </w:r>
      <w:r>
        <w:rPr>
          <w:spacing w:val="26"/>
        </w:rPr>
        <w:t xml:space="preserve"> </w:t>
      </w:r>
      <w:r>
        <w:rPr>
          <w:spacing w:val="-1"/>
        </w:rPr>
        <w:t>Contract</w:t>
      </w:r>
      <w:r>
        <w:rPr>
          <w:spacing w:val="26"/>
        </w:rPr>
        <w:t xml:space="preserve"> </w:t>
      </w:r>
      <w:r>
        <w:rPr>
          <w:spacing w:val="-2"/>
        </w:rPr>
        <w:t>at</w:t>
      </w:r>
      <w:r>
        <w:rPr>
          <w:spacing w:val="26"/>
        </w:rPr>
        <w:t xml:space="preserve"> </w:t>
      </w:r>
      <w:r>
        <w:rPr>
          <w:spacing w:val="-1"/>
        </w:rPr>
        <w:t>all</w:t>
      </w:r>
      <w:r>
        <w:rPr>
          <w:spacing w:val="24"/>
        </w:rPr>
        <w:t xml:space="preserve"> </w:t>
      </w:r>
      <w:r>
        <w:rPr>
          <w:spacing w:val="-1"/>
        </w:rPr>
        <w:t>times</w:t>
      </w:r>
      <w:r>
        <w:rPr>
          <w:spacing w:val="25"/>
        </w:rPr>
        <w:t xml:space="preserve"> </w:t>
      </w:r>
      <w:r>
        <w:rPr>
          <w:spacing w:val="-1"/>
        </w:rPr>
        <w:t>during</w:t>
      </w:r>
      <w:r>
        <w:rPr>
          <w:spacing w:val="27"/>
        </w:rPr>
        <w:t xml:space="preserve"> </w:t>
      </w:r>
      <w:r>
        <w:rPr>
          <w:spacing w:val="-1"/>
        </w:rPr>
        <w:t>and</w:t>
      </w:r>
      <w:r>
        <w:rPr>
          <w:spacing w:val="24"/>
        </w:rPr>
        <w:t xml:space="preserve"> </w:t>
      </w:r>
      <w:r>
        <w:rPr>
          <w:spacing w:val="-1"/>
        </w:rPr>
        <w:t>after</w:t>
      </w:r>
      <w:r>
        <w:rPr>
          <w:spacing w:val="23"/>
        </w:rPr>
        <w:t xml:space="preserve"> </w:t>
      </w:r>
      <w:r>
        <w:t>the</w:t>
      </w:r>
      <w:r>
        <w:rPr>
          <w:spacing w:val="24"/>
        </w:rPr>
        <w:t xml:space="preserve"> </w:t>
      </w:r>
      <w:r>
        <w:rPr>
          <w:spacing w:val="-1"/>
        </w:rPr>
        <w:t>invocation</w:t>
      </w:r>
      <w:r>
        <w:rPr>
          <w:spacing w:val="24"/>
        </w:rPr>
        <w:t xml:space="preserve"> </w:t>
      </w:r>
      <w:r>
        <w:rPr>
          <w:spacing w:val="-2"/>
        </w:rPr>
        <w:t>of</w:t>
      </w:r>
      <w:r>
        <w:rPr>
          <w:spacing w:val="28"/>
        </w:rPr>
        <w:t xml:space="preserve"> </w:t>
      </w:r>
      <w:r>
        <w:t>the</w:t>
      </w:r>
      <w:r>
        <w:rPr>
          <w:spacing w:val="24"/>
        </w:rPr>
        <w:t xml:space="preserve"> </w:t>
      </w:r>
      <w:r>
        <w:rPr>
          <w:spacing w:val="-2"/>
        </w:rPr>
        <w:t>BCDR</w:t>
      </w:r>
      <w:r>
        <w:rPr>
          <w:spacing w:val="39"/>
        </w:rPr>
        <w:t xml:space="preserve"> </w:t>
      </w:r>
      <w:r>
        <w:rPr>
          <w:spacing w:val="-2"/>
        </w:rPr>
        <w:t>Plan;</w:t>
      </w:r>
    </w:p>
    <w:p w:rsidR="008918FA" w:rsidRDefault="008918FA" w:rsidP="008918FA">
      <w:pPr>
        <w:pStyle w:val="BodyText"/>
        <w:numPr>
          <w:ilvl w:val="2"/>
          <w:numId w:val="10"/>
        </w:numPr>
        <w:tabs>
          <w:tab w:val="left" w:pos="1886"/>
        </w:tabs>
        <w:ind w:left="1885" w:right="115" w:hanging="993"/>
        <w:jc w:val="both"/>
      </w:pPr>
      <w:r>
        <w:t>the</w:t>
      </w:r>
      <w:r>
        <w:rPr>
          <w:spacing w:val="3"/>
        </w:rPr>
        <w:t xml:space="preserve"> </w:t>
      </w:r>
      <w:r>
        <w:rPr>
          <w:spacing w:val="-1"/>
        </w:rPr>
        <w:t>adverse</w:t>
      </w:r>
      <w:r>
        <w:rPr>
          <w:spacing w:val="3"/>
        </w:rPr>
        <w:t xml:space="preserve"> </w:t>
      </w:r>
      <w:r>
        <w:rPr>
          <w:spacing w:val="-1"/>
        </w:rPr>
        <w:t>impact</w:t>
      </w:r>
      <w:r>
        <w:rPr>
          <w:spacing w:val="5"/>
        </w:rPr>
        <w:t xml:space="preserve"> </w:t>
      </w:r>
      <w:r>
        <w:rPr>
          <w:spacing w:val="-2"/>
        </w:rPr>
        <w:t>of</w:t>
      </w:r>
      <w:r>
        <w:rPr>
          <w:spacing w:val="6"/>
        </w:rPr>
        <w:t xml:space="preserve"> </w:t>
      </w:r>
      <w:r>
        <w:rPr>
          <w:spacing w:val="-1"/>
        </w:rPr>
        <w:t>any</w:t>
      </w:r>
      <w:r>
        <w:rPr>
          <w:spacing w:val="1"/>
        </w:rPr>
        <w:t xml:space="preserve"> </w:t>
      </w:r>
      <w:r>
        <w:rPr>
          <w:spacing w:val="-1"/>
        </w:rPr>
        <w:t>Disaster,</w:t>
      </w:r>
      <w:r>
        <w:rPr>
          <w:spacing w:val="4"/>
        </w:rPr>
        <w:t xml:space="preserve"> </w:t>
      </w:r>
      <w:r>
        <w:rPr>
          <w:spacing w:val="-1"/>
        </w:rPr>
        <w:t>service</w:t>
      </w:r>
      <w:r>
        <w:rPr>
          <w:spacing w:val="3"/>
        </w:rPr>
        <w:t xml:space="preserve"> </w:t>
      </w:r>
      <w:r>
        <w:rPr>
          <w:spacing w:val="-1"/>
        </w:rPr>
        <w:t>failure,</w:t>
      </w:r>
      <w:r>
        <w:rPr>
          <w:spacing w:val="4"/>
        </w:rPr>
        <w:t xml:space="preserve"> </w:t>
      </w:r>
      <w:r>
        <w:rPr>
          <w:spacing w:val="-1"/>
        </w:rPr>
        <w:t>or</w:t>
      </w:r>
      <w:r>
        <w:rPr>
          <w:spacing w:val="4"/>
        </w:rPr>
        <w:t xml:space="preserve"> </w:t>
      </w:r>
      <w:r>
        <w:rPr>
          <w:spacing w:val="-1"/>
        </w:rPr>
        <w:t>disruption</w:t>
      </w:r>
      <w:r>
        <w:rPr>
          <w:spacing w:val="3"/>
        </w:rPr>
        <w:t xml:space="preserve"> </w:t>
      </w:r>
      <w:r>
        <w:rPr>
          <w:spacing w:val="-1"/>
        </w:rPr>
        <w:t>on</w:t>
      </w:r>
      <w:r>
        <w:rPr>
          <w:spacing w:val="3"/>
        </w:rPr>
        <w:t xml:space="preserve"> </w:t>
      </w:r>
      <w:r>
        <w:rPr>
          <w:spacing w:val="-1"/>
        </w:rPr>
        <w:t>the</w:t>
      </w:r>
      <w:r>
        <w:rPr>
          <w:spacing w:val="36"/>
        </w:rPr>
        <w:t xml:space="preserve"> </w:t>
      </w:r>
      <w:r>
        <w:rPr>
          <w:spacing w:val="-1"/>
        </w:rPr>
        <w:t>operations</w:t>
      </w:r>
      <w:r>
        <w:rPr>
          <w:spacing w:val="1"/>
        </w:rPr>
        <w:t xml:space="preserve"> </w:t>
      </w:r>
      <w:r>
        <w:rPr>
          <w:spacing w:val="-2"/>
        </w:rPr>
        <w:t>of</w:t>
      </w:r>
      <w:r>
        <w:t xml:space="preserve"> the</w:t>
      </w:r>
      <w:r>
        <w:rPr>
          <w:spacing w:val="-2"/>
        </w:rPr>
        <w:t xml:space="preserve"> </w:t>
      </w:r>
      <w:r>
        <w:rPr>
          <w:spacing w:val="-1"/>
        </w:rPr>
        <w:t>Customer is</w:t>
      </w:r>
      <w:r>
        <w:rPr>
          <w:spacing w:val="-2"/>
        </w:rPr>
        <w:t xml:space="preserve"> </w:t>
      </w:r>
      <w:r>
        <w:rPr>
          <w:spacing w:val="-1"/>
        </w:rPr>
        <w:t>minimal</w:t>
      </w:r>
      <w:r>
        <w:t xml:space="preserve"> </w:t>
      </w:r>
      <w:r>
        <w:rPr>
          <w:spacing w:val="-1"/>
        </w:rPr>
        <w:t>as</w:t>
      </w:r>
      <w:r>
        <w:rPr>
          <w:spacing w:val="-2"/>
        </w:rPr>
        <w:t xml:space="preserve"> </w:t>
      </w:r>
      <w:r>
        <w:t>far</w:t>
      </w:r>
      <w:r>
        <w:rPr>
          <w:spacing w:val="-1"/>
        </w:rPr>
        <w:t xml:space="preserve"> as</w:t>
      </w:r>
      <w:r>
        <w:rPr>
          <w:spacing w:val="-4"/>
        </w:rPr>
        <w:t xml:space="preserve"> </w:t>
      </w:r>
      <w:r>
        <w:rPr>
          <w:spacing w:val="-1"/>
        </w:rPr>
        <w:t>reasonably</w:t>
      </w:r>
      <w:r>
        <w:rPr>
          <w:spacing w:val="-2"/>
        </w:rPr>
        <w:t xml:space="preserve"> possible;</w:t>
      </w:r>
    </w:p>
    <w:p w:rsidR="008918FA" w:rsidRDefault="008918FA" w:rsidP="008918FA">
      <w:pPr>
        <w:pStyle w:val="BodyText"/>
        <w:numPr>
          <w:ilvl w:val="2"/>
          <w:numId w:val="10"/>
        </w:numPr>
        <w:tabs>
          <w:tab w:val="left" w:pos="1887"/>
        </w:tabs>
        <w:ind w:left="1886" w:right="115"/>
        <w:jc w:val="both"/>
      </w:pPr>
      <w:r>
        <w:rPr>
          <w:spacing w:val="-1"/>
        </w:rPr>
        <w:t>it</w:t>
      </w:r>
      <w:r>
        <w:rPr>
          <w:spacing w:val="55"/>
        </w:rPr>
        <w:t xml:space="preserve"> </w:t>
      </w:r>
      <w:r>
        <w:rPr>
          <w:spacing w:val="-1"/>
        </w:rPr>
        <w:t>complies</w:t>
      </w:r>
      <w:r>
        <w:rPr>
          <w:spacing w:val="56"/>
        </w:rPr>
        <w:t xml:space="preserve"> </w:t>
      </w:r>
      <w:r>
        <w:rPr>
          <w:spacing w:val="-2"/>
        </w:rPr>
        <w:t>with</w:t>
      </w:r>
      <w:r>
        <w:rPr>
          <w:spacing w:val="53"/>
        </w:rPr>
        <w:t xml:space="preserve"> </w:t>
      </w:r>
      <w:r>
        <w:t>the</w:t>
      </w:r>
      <w:r>
        <w:rPr>
          <w:spacing w:val="53"/>
        </w:rPr>
        <w:t xml:space="preserve"> </w:t>
      </w:r>
      <w:r>
        <w:rPr>
          <w:spacing w:val="-1"/>
        </w:rPr>
        <w:t>relevant</w:t>
      </w:r>
      <w:r>
        <w:rPr>
          <w:spacing w:val="55"/>
        </w:rPr>
        <w:t xml:space="preserve"> </w:t>
      </w:r>
      <w:r>
        <w:rPr>
          <w:spacing w:val="-1"/>
        </w:rPr>
        <w:t>provisions</w:t>
      </w:r>
      <w:r>
        <w:rPr>
          <w:spacing w:val="53"/>
        </w:rPr>
        <w:t xml:space="preserve"> </w:t>
      </w:r>
      <w:r>
        <w:rPr>
          <w:spacing w:val="-1"/>
        </w:rPr>
        <w:t>of</w:t>
      </w:r>
      <w:r>
        <w:rPr>
          <w:spacing w:val="58"/>
        </w:rPr>
        <w:t xml:space="preserve"> </w:t>
      </w:r>
      <w:r>
        <w:rPr>
          <w:spacing w:val="-1"/>
        </w:rPr>
        <w:t>[</w:t>
      </w:r>
      <w:r>
        <w:rPr>
          <w:spacing w:val="-1"/>
          <w:highlight w:val="yellow"/>
        </w:rPr>
        <w:t>ISO/IEC</w:t>
      </w:r>
      <w:r>
        <w:rPr>
          <w:spacing w:val="52"/>
          <w:highlight w:val="yellow"/>
        </w:rPr>
        <w:t xml:space="preserve"> </w:t>
      </w:r>
      <w:r>
        <w:rPr>
          <w:spacing w:val="-1"/>
          <w:highlight w:val="yellow"/>
        </w:rPr>
        <w:t>27002</w:t>
      </w:r>
      <w:r>
        <w:rPr>
          <w:spacing w:val="-1"/>
        </w:rPr>
        <w:t>]</w:t>
      </w:r>
      <w:r>
        <w:rPr>
          <w:spacing w:val="55"/>
        </w:rPr>
        <w:t xml:space="preserve"> </w:t>
      </w:r>
      <w:r>
        <w:rPr>
          <w:spacing w:val="-1"/>
        </w:rPr>
        <w:t>and</w:t>
      </w:r>
      <w:r>
        <w:rPr>
          <w:spacing w:val="53"/>
        </w:rPr>
        <w:t xml:space="preserve"> </w:t>
      </w:r>
      <w:r>
        <w:rPr>
          <w:spacing w:val="-1"/>
        </w:rPr>
        <w:t>all</w:t>
      </w:r>
      <w:r>
        <w:rPr>
          <w:spacing w:val="33"/>
        </w:rPr>
        <w:t xml:space="preserve"> </w:t>
      </w:r>
      <w:r>
        <w:rPr>
          <w:spacing w:val="-1"/>
        </w:rPr>
        <w:t>other industry</w:t>
      </w:r>
      <w:r>
        <w:rPr>
          <w:spacing w:val="-2"/>
        </w:rPr>
        <w:t xml:space="preserve"> </w:t>
      </w:r>
      <w:r>
        <w:rPr>
          <w:spacing w:val="-1"/>
        </w:rPr>
        <w:t>standards</w:t>
      </w:r>
      <w:r>
        <w:rPr>
          <w:spacing w:val="-2"/>
        </w:rPr>
        <w:t xml:space="preserve"> </w:t>
      </w:r>
      <w:r>
        <w:rPr>
          <w:spacing w:val="-1"/>
        </w:rPr>
        <w:t>from time</w:t>
      </w:r>
      <w:r>
        <w:rPr>
          <w:spacing w:val="-2"/>
        </w:rPr>
        <w:t xml:space="preserve"> </w:t>
      </w:r>
      <w:r>
        <w:t>to</w:t>
      </w:r>
      <w:r>
        <w:rPr>
          <w:spacing w:val="-2"/>
        </w:rPr>
        <w:t xml:space="preserve"> </w:t>
      </w:r>
      <w:r>
        <w:rPr>
          <w:spacing w:val="-1"/>
        </w:rPr>
        <w:t>time</w:t>
      </w:r>
      <w:r>
        <w:rPr>
          <w:spacing w:val="-2"/>
        </w:rPr>
        <w:t xml:space="preserve"> </w:t>
      </w:r>
      <w:r>
        <w:rPr>
          <w:spacing w:val="-1"/>
        </w:rPr>
        <w:t>in</w:t>
      </w:r>
      <w:r>
        <w:rPr>
          <w:spacing w:val="-2"/>
        </w:rPr>
        <w:t xml:space="preserve"> </w:t>
      </w:r>
      <w:r>
        <w:rPr>
          <w:spacing w:val="-1"/>
        </w:rPr>
        <w:t>force;</w:t>
      </w:r>
      <w:r>
        <w:rPr>
          <w:spacing w:val="2"/>
        </w:rPr>
        <w:t xml:space="preserve"> </w:t>
      </w:r>
      <w:r>
        <w:rPr>
          <w:spacing w:val="-1"/>
        </w:rPr>
        <w:t>and</w:t>
      </w:r>
    </w:p>
    <w:p w:rsidR="008918FA" w:rsidRDefault="008918FA" w:rsidP="008918FA">
      <w:pPr>
        <w:jc w:val="both"/>
        <w:sectPr w:rsidR="008918FA">
          <w:footerReference w:type="default" r:id="rId27"/>
          <w:pgSz w:w="11910" w:h="16840"/>
          <w:pgMar w:top="1480" w:right="1300" w:bottom="1180" w:left="1680" w:header="0" w:footer="987" w:gutter="0"/>
          <w:pgNumType w:start="148"/>
          <w:cols w:space="720"/>
        </w:sectPr>
      </w:pPr>
    </w:p>
    <w:p w:rsidR="008918FA" w:rsidRDefault="008918FA" w:rsidP="008918FA">
      <w:pPr>
        <w:pStyle w:val="BodyText"/>
        <w:numPr>
          <w:ilvl w:val="2"/>
          <w:numId w:val="10"/>
        </w:numPr>
        <w:tabs>
          <w:tab w:val="left" w:pos="2027"/>
        </w:tabs>
        <w:spacing w:before="59"/>
        <w:ind w:right="118"/>
        <w:jc w:val="both"/>
      </w:pPr>
      <w:r>
        <w:rPr>
          <w:spacing w:val="-1"/>
        </w:rPr>
        <w:t>there</w:t>
      </w:r>
      <w:r>
        <w:rPr>
          <w:spacing w:val="46"/>
        </w:rPr>
        <w:t xml:space="preserve"> </w:t>
      </w:r>
      <w:r>
        <w:rPr>
          <w:spacing w:val="-1"/>
        </w:rPr>
        <w:t>is</w:t>
      </w:r>
      <w:r>
        <w:rPr>
          <w:spacing w:val="46"/>
        </w:rPr>
        <w:t xml:space="preserve"> </w:t>
      </w:r>
      <w:r>
        <w:t>a</w:t>
      </w:r>
      <w:r>
        <w:rPr>
          <w:spacing w:val="46"/>
        </w:rPr>
        <w:t xml:space="preserve"> </w:t>
      </w:r>
      <w:r>
        <w:rPr>
          <w:spacing w:val="-1"/>
        </w:rPr>
        <w:t>process</w:t>
      </w:r>
      <w:r>
        <w:rPr>
          <w:spacing w:val="44"/>
        </w:rPr>
        <w:t xml:space="preserve"> </w:t>
      </w:r>
      <w:r>
        <w:t>for</w:t>
      </w:r>
      <w:r>
        <w:rPr>
          <w:spacing w:val="45"/>
        </w:rPr>
        <w:t xml:space="preserve"> </w:t>
      </w:r>
      <w:r>
        <w:rPr>
          <w:spacing w:val="-1"/>
        </w:rPr>
        <w:t>the</w:t>
      </w:r>
      <w:r>
        <w:rPr>
          <w:spacing w:val="46"/>
        </w:rPr>
        <w:t xml:space="preserve"> </w:t>
      </w:r>
      <w:r>
        <w:rPr>
          <w:spacing w:val="-1"/>
        </w:rPr>
        <w:t>management</w:t>
      </w:r>
      <w:r>
        <w:rPr>
          <w:spacing w:val="48"/>
        </w:rPr>
        <w:t xml:space="preserve"> </w:t>
      </w:r>
      <w:r>
        <w:rPr>
          <w:spacing w:val="-2"/>
        </w:rPr>
        <w:t>of</w:t>
      </w:r>
      <w:r>
        <w:rPr>
          <w:spacing w:val="47"/>
        </w:rPr>
        <w:t xml:space="preserve"> </w:t>
      </w:r>
      <w:r>
        <w:rPr>
          <w:spacing w:val="-1"/>
        </w:rPr>
        <w:t>disaster</w:t>
      </w:r>
      <w:r>
        <w:rPr>
          <w:spacing w:val="45"/>
        </w:rPr>
        <w:t xml:space="preserve"> </w:t>
      </w:r>
      <w:r>
        <w:rPr>
          <w:spacing w:val="-1"/>
        </w:rPr>
        <w:t>recovery</w:t>
      </w:r>
      <w:r>
        <w:rPr>
          <w:spacing w:val="44"/>
        </w:rPr>
        <w:t xml:space="preserve"> </w:t>
      </w:r>
      <w:r>
        <w:rPr>
          <w:spacing w:val="-1"/>
        </w:rPr>
        <w:t>testing</w:t>
      </w:r>
      <w:r>
        <w:rPr>
          <w:spacing w:val="25"/>
        </w:rPr>
        <w:t xml:space="preserve"> </w:t>
      </w:r>
      <w:r>
        <w:rPr>
          <w:spacing w:val="-1"/>
        </w:rPr>
        <w:t>detailed</w:t>
      </w:r>
      <w:r>
        <w:t xml:space="preserve"> </w:t>
      </w:r>
      <w:r>
        <w:rPr>
          <w:spacing w:val="-1"/>
        </w:rPr>
        <w:t>in</w:t>
      </w:r>
      <w:r>
        <w:rPr>
          <w:spacing w:val="1"/>
        </w:rPr>
        <w:t xml:space="preserve"> </w:t>
      </w:r>
      <w:r>
        <w:t>the</w:t>
      </w:r>
      <w:r>
        <w:rPr>
          <w:spacing w:val="-2"/>
        </w:rPr>
        <w:t xml:space="preserve"> BCDR</w:t>
      </w:r>
      <w:r>
        <w:t xml:space="preserve"> </w:t>
      </w:r>
      <w:r>
        <w:rPr>
          <w:spacing w:val="-1"/>
        </w:rPr>
        <w:t>Plan.</w:t>
      </w:r>
    </w:p>
    <w:p w:rsidR="008918FA" w:rsidRDefault="008918FA" w:rsidP="008918FA">
      <w:pPr>
        <w:pStyle w:val="BodyText"/>
        <w:numPr>
          <w:ilvl w:val="1"/>
          <w:numId w:val="10"/>
        </w:numPr>
        <w:tabs>
          <w:tab w:val="left" w:pos="829"/>
        </w:tabs>
        <w:spacing w:before="121"/>
        <w:ind w:right="110"/>
        <w:jc w:val="both"/>
      </w:pPr>
      <w:r>
        <w:t>The</w:t>
      </w:r>
      <w:r>
        <w:rPr>
          <w:spacing w:val="4"/>
        </w:rPr>
        <w:t xml:space="preserve"> </w:t>
      </w:r>
      <w:r>
        <w:rPr>
          <w:spacing w:val="-2"/>
        </w:rPr>
        <w:t>BCDR</w:t>
      </w:r>
      <w:r>
        <w:rPr>
          <w:spacing w:val="3"/>
        </w:rPr>
        <w:t xml:space="preserve"> </w:t>
      </w:r>
      <w:r>
        <w:rPr>
          <w:spacing w:val="-1"/>
        </w:rPr>
        <w:t>Plan</w:t>
      </w:r>
      <w:r>
        <w:rPr>
          <w:spacing w:val="4"/>
        </w:rPr>
        <w:t xml:space="preserve"> </w:t>
      </w:r>
      <w:r>
        <w:rPr>
          <w:spacing w:val="-1"/>
        </w:rPr>
        <w:t>shall</w:t>
      </w:r>
      <w:r>
        <w:rPr>
          <w:spacing w:val="6"/>
        </w:rPr>
        <w:t xml:space="preserve"> </w:t>
      </w:r>
      <w:r>
        <w:rPr>
          <w:spacing w:val="-1"/>
        </w:rPr>
        <w:t>be</w:t>
      </w:r>
      <w:r>
        <w:rPr>
          <w:spacing w:val="4"/>
        </w:rPr>
        <w:t xml:space="preserve"> </w:t>
      </w:r>
      <w:r>
        <w:rPr>
          <w:spacing w:val="-1"/>
        </w:rPr>
        <w:t>upgradeable</w:t>
      </w:r>
      <w:r>
        <w:rPr>
          <w:spacing w:val="4"/>
        </w:rPr>
        <w:t xml:space="preserve"> </w:t>
      </w:r>
      <w:r>
        <w:rPr>
          <w:spacing w:val="-1"/>
        </w:rPr>
        <w:t>and</w:t>
      </w:r>
      <w:r>
        <w:rPr>
          <w:spacing w:val="4"/>
        </w:rPr>
        <w:t xml:space="preserve"> </w:t>
      </w:r>
      <w:r>
        <w:rPr>
          <w:spacing w:val="-1"/>
        </w:rPr>
        <w:t>sufficiently</w:t>
      </w:r>
      <w:r>
        <w:rPr>
          <w:spacing w:val="2"/>
        </w:rPr>
        <w:t xml:space="preserve"> </w:t>
      </w:r>
      <w:r>
        <w:rPr>
          <w:spacing w:val="-1"/>
        </w:rPr>
        <w:t>flexible</w:t>
      </w:r>
      <w:r>
        <w:rPr>
          <w:spacing w:val="4"/>
        </w:rPr>
        <w:t xml:space="preserve"> </w:t>
      </w:r>
      <w:r>
        <w:t>to</w:t>
      </w:r>
      <w:r>
        <w:rPr>
          <w:spacing w:val="4"/>
        </w:rPr>
        <w:t xml:space="preserve"> </w:t>
      </w:r>
      <w:r>
        <w:rPr>
          <w:spacing w:val="-1"/>
        </w:rPr>
        <w:t>support</w:t>
      </w:r>
      <w:r>
        <w:rPr>
          <w:spacing w:val="5"/>
        </w:rPr>
        <w:t xml:space="preserve"> </w:t>
      </w:r>
      <w:r>
        <w:rPr>
          <w:spacing w:val="-1"/>
        </w:rPr>
        <w:t>any</w:t>
      </w:r>
      <w:r>
        <w:rPr>
          <w:spacing w:val="48"/>
        </w:rPr>
        <w:t xml:space="preserve"> </w:t>
      </w:r>
      <w:r>
        <w:rPr>
          <w:spacing w:val="-1"/>
        </w:rPr>
        <w:t>changes</w:t>
      </w:r>
      <w:r>
        <w:rPr>
          <w:spacing w:val="18"/>
        </w:rPr>
        <w:t xml:space="preserve"> </w:t>
      </w:r>
      <w:r>
        <w:t>to</w:t>
      </w:r>
      <w:r>
        <w:rPr>
          <w:spacing w:val="17"/>
        </w:rPr>
        <w:t xml:space="preserve"> </w:t>
      </w:r>
      <w:r>
        <w:t>the</w:t>
      </w:r>
      <w:r>
        <w:rPr>
          <w:spacing w:val="17"/>
        </w:rPr>
        <w:t xml:space="preserve"> </w:t>
      </w:r>
      <w:r>
        <w:rPr>
          <w:spacing w:val="-1"/>
        </w:rPr>
        <w:t>Goods</w:t>
      </w:r>
      <w:r>
        <w:rPr>
          <w:spacing w:val="20"/>
        </w:rPr>
        <w:t xml:space="preserve"> </w:t>
      </w:r>
      <w:r>
        <w:rPr>
          <w:spacing w:val="-1"/>
        </w:rPr>
        <w:t>and/or</w:t>
      </w:r>
      <w:r>
        <w:rPr>
          <w:spacing w:val="21"/>
        </w:rPr>
        <w:t xml:space="preserve"> </w:t>
      </w:r>
      <w:r>
        <w:rPr>
          <w:spacing w:val="-2"/>
        </w:rPr>
        <w:t>Services</w:t>
      </w:r>
      <w:r>
        <w:rPr>
          <w:spacing w:val="20"/>
        </w:rPr>
        <w:t xml:space="preserve"> </w:t>
      </w:r>
      <w:r>
        <w:rPr>
          <w:spacing w:val="-1"/>
        </w:rPr>
        <w:t>or</w:t>
      </w:r>
      <w:r>
        <w:rPr>
          <w:spacing w:val="19"/>
        </w:rPr>
        <w:t xml:space="preserve"> </w:t>
      </w:r>
      <w:r>
        <w:t>to</w:t>
      </w:r>
      <w:r>
        <w:rPr>
          <w:spacing w:val="17"/>
        </w:rPr>
        <w:t xml:space="preserve"> </w:t>
      </w:r>
      <w:r>
        <w:t>the</w:t>
      </w:r>
      <w:r>
        <w:rPr>
          <w:spacing w:val="17"/>
        </w:rPr>
        <w:t xml:space="preserve"> </w:t>
      </w:r>
      <w:r>
        <w:rPr>
          <w:spacing w:val="-1"/>
        </w:rPr>
        <w:t>business</w:t>
      </w:r>
      <w:r>
        <w:rPr>
          <w:spacing w:val="20"/>
        </w:rPr>
        <w:t xml:space="preserve"> </w:t>
      </w:r>
      <w:r>
        <w:rPr>
          <w:spacing w:val="-1"/>
        </w:rPr>
        <w:t>processes</w:t>
      </w:r>
      <w:r>
        <w:rPr>
          <w:spacing w:val="18"/>
        </w:rPr>
        <w:t xml:space="preserve"> </w:t>
      </w:r>
      <w:r>
        <w:rPr>
          <w:spacing w:val="-1"/>
        </w:rPr>
        <w:t>facilitated</w:t>
      </w:r>
      <w:r>
        <w:rPr>
          <w:spacing w:val="20"/>
        </w:rPr>
        <w:t xml:space="preserve"> </w:t>
      </w:r>
      <w:r>
        <w:rPr>
          <w:spacing w:val="-1"/>
        </w:rPr>
        <w:t>by</w:t>
      </w:r>
      <w:r>
        <w:rPr>
          <w:spacing w:val="48"/>
        </w:rPr>
        <w:t xml:space="preserve"> </w:t>
      </w:r>
      <w:r>
        <w:rPr>
          <w:spacing w:val="-1"/>
        </w:rPr>
        <w:t>and</w:t>
      </w:r>
      <w:r>
        <w:t xml:space="preserve"> the</w:t>
      </w:r>
      <w:r>
        <w:rPr>
          <w:spacing w:val="-2"/>
        </w:rPr>
        <w:t xml:space="preserve"> </w:t>
      </w:r>
      <w:r>
        <w:rPr>
          <w:spacing w:val="-1"/>
        </w:rPr>
        <w:t>business</w:t>
      </w:r>
      <w:r>
        <w:rPr>
          <w:spacing w:val="1"/>
        </w:rPr>
        <w:t xml:space="preserve"> </w:t>
      </w:r>
      <w:r>
        <w:rPr>
          <w:spacing w:val="-2"/>
        </w:rPr>
        <w:t>operations</w:t>
      </w:r>
      <w:r>
        <w:rPr>
          <w:spacing w:val="1"/>
        </w:rPr>
        <w:t xml:space="preserve"> </w:t>
      </w:r>
      <w:r>
        <w:rPr>
          <w:spacing w:val="-1"/>
        </w:rPr>
        <w:t>supported</w:t>
      </w:r>
      <w:r>
        <w:rPr>
          <w:spacing w:val="-2"/>
        </w:rPr>
        <w:t xml:space="preserve"> </w:t>
      </w:r>
      <w:r>
        <w:rPr>
          <w:spacing w:val="-1"/>
        </w:rPr>
        <w:t>by</w:t>
      </w:r>
      <w:r>
        <w:rPr>
          <w:spacing w:val="-2"/>
        </w:rPr>
        <w:t xml:space="preserve"> </w:t>
      </w:r>
      <w:r>
        <w:t>the</w:t>
      </w:r>
      <w:r>
        <w:rPr>
          <w:spacing w:val="2"/>
        </w:rPr>
        <w:t xml:space="preserve"> </w:t>
      </w:r>
      <w:r>
        <w:rPr>
          <w:spacing w:val="-2"/>
        </w:rPr>
        <w:t>provision</w:t>
      </w:r>
      <w:r>
        <w:t xml:space="preserve"> </w:t>
      </w:r>
      <w:r>
        <w:rPr>
          <w:spacing w:val="-1"/>
        </w:rPr>
        <w:t>of</w:t>
      </w:r>
      <w:r>
        <w:rPr>
          <w:spacing w:val="2"/>
        </w:rPr>
        <w:t xml:space="preserve"> </w:t>
      </w:r>
      <w:r>
        <w:rPr>
          <w:spacing w:val="-1"/>
        </w:rPr>
        <w:t>Goods</w:t>
      </w:r>
      <w:r>
        <w:rPr>
          <w:spacing w:val="-2"/>
        </w:rPr>
        <w:t xml:space="preserve"> </w:t>
      </w:r>
      <w:r>
        <w:rPr>
          <w:spacing w:val="-1"/>
        </w:rPr>
        <w:t>and/or</w:t>
      </w:r>
      <w:r>
        <w:rPr>
          <w:spacing w:val="2"/>
        </w:rPr>
        <w:t xml:space="preserve"> </w:t>
      </w:r>
      <w:r>
        <w:rPr>
          <w:spacing w:val="-2"/>
        </w:rPr>
        <w:t>Services.</w:t>
      </w:r>
    </w:p>
    <w:p w:rsidR="008918FA" w:rsidRDefault="008918FA" w:rsidP="008918FA">
      <w:pPr>
        <w:pStyle w:val="BodyText"/>
        <w:numPr>
          <w:ilvl w:val="1"/>
          <w:numId w:val="10"/>
        </w:numPr>
        <w:tabs>
          <w:tab w:val="left" w:pos="829"/>
        </w:tabs>
        <w:ind w:right="113"/>
        <w:jc w:val="both"/>
      </w:pPr>
      <w:r>
        <w:t>The</w:t>
      </w:r>
      <w:r>
        <w:rPr>
          <w:spacing w:val="3"/>
        </w:rPr>
        <w:t xml:space="preserve"> </w:t>
      </w:r>
      <w:r>
        <w:rPr>
          <w:spacing w:val="-2"/>
        </w:rPr>
        <w:t>Supplier</w:t>
      </w:r>
      <w:r>
        <w:rPr>
          <w:spacing w:val="2"/>
        </w:rPr>
        <w:t xml:space="preserve"> </w:t>
      </w:r>
      <w:r>
        <w:rPr>
          <w:spacing w:val="-1"/>
        </w:rPr>
        <w:t>shall</w:t>
      </w:r>
      <w:r>
        <w:rPr>
          <w:spacing w:val="2"/>
        </w:rPr>
        <w:t xml:space="preserve"> </w:t>
      </w:r>
      <w:r>
        <w:rPr>
          <w:spacing w:val="-1"/>
        </w:rPr>
        <w:t>not</w:t>
      </w:r>
      <w:r>
        <w:rPr>
          <w:spacing w:val="4"/>
        </w:rPr>
        <w:t xml:space="preserve"> </w:t>
      </w:r>
      <w:r>
        <w:rPr>
          <w:spacing w:val="-1"/>
        </w:rPr>
        <w:t>be</w:t>
      </w:r>
      <w:r>
        <w:t xml:space="preserve"> </w:t>
      </w:r>
      <w:r>
        <w:rPr>
          <w:spacing w:val="-1"/>
        </w:rPr>
        <w:t>entitled</w:t>
      </w:r>
      <w:r>
        <w:t xml:space="preserve"> to</w:t>
      </w:r>
      <w:r>
        <w:rPr>
          <w:spacing w:val="3"/>
        </w:rPr>
        <w:t xml:space="preserve"> </w:t>
      </w:r>
      <w:r>
        <w:rPr>
          <w:spacing w:val="-1"/>
        </w:rPr>
        <w:t>any</w:t>
      </w:r>
      <w:r>
        <w:rPr>
          <w:spacing w:val="1"/>
        </w:rPr>
        <w:t xml:space="preserve"> </w:t>
      </w:r>
      <w:r>
        <w:rPr>
          <w:spacing w:val="-2"/>
        </w:rPr>
        <w:t>relief</w:t>
      </w:r>
      <w:r>
        <w:rPr>
          <w:spacing w:val="4"/>
        </w:rPr>
        <w:t xml:space="preserve"> </w:t>
      </w:r>
      <w:r>
        <w:rPr>
          <w:spacing w:val="-1"/>
        </w:rPr>
        <w:t>from</w:t>
      </w:r>
      <w:r>
        <w:rPr>
          <w:spacing w:val="4"/>
        </w:rPr>
        <w:t xml:space="preserve"> </w:t>
      </w:r>
      <w:r>
        <w:rPr>
          <w:spacing w:val="-1"/>
        </w:rPr>
        <w:t>its</w:t>
      </w:r>
      <w:r>
        <w:rPr>
          <w:spacing w:val="1"/>
        </w:rPr>
        <w:t xml:space="preserve"> </w:t>
      </w:r>
      <w:r>
        <w:rPr>
          <w:spacing w:val="-1"/>
        </w:rPr>
        <w:t>obligations</w:t>
      </w:r>
      <w:r>
        <w:rPr>
          <w:spacing w:val="3"/>
        </w:rPr>
        <w:t xml:space="preserve"> </w:t>
      </w:r>
      <w:r>
        <w:rPr>
          <w:spacing w:val="-1"/>
        </w:rPr>
        <w:t>under</w:t>
      </w:r>
      <w:r>
        <w:rPr>
          <w:spacing w:val="2"/>
        </w:rPr>
        <w:t xml:space="preserve"> </w:t>
      </w:r>
      <w:r>
        <w:rPr>
          <w:spacing w:val="-1"/>
        </w:rPr>
        <w:t>the</w:t>
      </w:r>
      <w:r>
        <w:rPr>
          <w:spacing w:val="3"/>
        </w:rPr>
        <w:t xml:space="preserve"> </w:t>
      </w:r>
      <w:r>
        <w:rPr>
          <w:spacing w:val="-2"/>
        </w:rPr>
        <w:t>Service</w:t>
      </w:r>
      <w:r>
        <w:rPr>
          <w:spacing w:val="62"/>
        </w:rPr>
        <w:t xml:space="preserve"> </w:t>
      </w:r>
      <w:r>
        <w:rPr>
          <w:spacing w:val="-2"/>
        </w:rPr>
        <w:t>Levels</w:t>
      </w:r>
      <w:r>
        <w:rPr>
          <w:spacing w:val="15"/>
        </w:rPr>
        <w:t xml:space="preserve"> </w:t>
      </w:r>
      <w:r>
        <w:rPr>
          <w:spacing w:val="-1"/>
        </w:rPr>
        <w:t>or</w:t>
      </w:r>
      <w:r>
        <w:rPr>
          <w:spacing w:val="16"/>
        </w:rPr>
        <w:t xml:space="preserve"> </w:t>
      </w:r>
      <w:r>
        <w:t>to</w:t>
      </w:r>
      <w:r>
        <w:rPr>
          <w:spacing w:val="15"/>
        </w:rPr>
        <w:t xml:space="preserve"> </w:t>
      </w:r>
      <w:r>
        <w:rPr>
          <w:spacing w:val="-1"/>
        </w:rPr>
        <w:t>any</w:t>
      </w:r>
      <w:r>
        <w:rPr>
          <w:spacing w:val="13"/>
        </w:rPr>
        <w:t xml:space="preserve"> </w:t>
      </w:r>
      <w:r>
        <w:rPr>
          <w:spacing w:val="-1"/>
        </w:rPr>
        <w:t>increase</w:t>
      </w:r>
      <w:r>
        <w:rPr>
          <w:spacing w:val="15"/>
        </w:rPr>
        <w:t xml:space="preserve"> </w:t>
      </w:r>
      <w:r>
        <w:rPr>
          <w:spacing w:val="-1"/>
        </w:rPr>
        <w:t>in</w:t>
      </w:r>
      <w:r>
        <w:rPr>
          <w:spacing w:val="15"/>
        </w:rPr>
        <w:t xml:space="preserve"> </w:t>
      </w:r>
      <w:r>
        <w:t>the</w:t>
      </w:r>
      <w:r>
        <w:rPr>
          <w:spacing w:val="15"/>
        </w:rPr>
        <w:t xml:space="preserve"> </w:t>
      </w:r>
      <w:r>
        <w:rPr>
          <w:spacing w:val="-1"/>
        </w:rPr>
        <w:t>Charges</w:t>
      </w:r>
      <w:r>
        <w:rPr>
          <w:spacing w:val="13"/>
        </w:rPr>
        <w:t xml:space="preserve"> </w:t>
      </w:r>
      <w:r>
        <w:t>to</w:t>
      </w:r>
      <w:r>
        <w:rPr>
          <w:spacing w:val="15"/>
        </w:rPr>
        <w:t xml:space="preserve"> </w:t>
      </w:r>
      <w:r>
        <w:t>the</w:t>
      </w:r>
      <w:r>
        <w:rPr>
          <w:spacing w:val="12"/>
        </w:rPr>
        <w:t xml:space="preserve"> </w:t>
      </w:r>
      <w:r>
        <w:rPr>
          <w:spacing w:val="-1"/>
        </w:rPr>
        <w:t>extent</w:t>
      </w:r>
      <w:r>
        <w:rPr>
          <w:spacing w:val="16"/>
        </w:rPr>
        <w:t xml:space="preserve"> </w:t>
      </w:r>
      <w:r>
        <w:rPr>
          <w:spacing w:val="-1"/>
        </w:rPr>
        <w:t>that</w:t>
      </w:r>
      <w:r>
        <w:rPr>
          <w:spacing w:val="14"/>
        </w:rPr>
        <w:t xml:space="preserve"> </w:t>
      </w:r>
      <w:r>
        <w:t>a</w:t>
      </w:r>
      <w:r>
        <w:rPr>
          <w:spacing w:val="15"/>
        </w:rPr>
        <w:t xml:space="preserve"> </w:t>
      </w:r>
      <w:r>
        <w:rPr>
          <w:spacing w:val="-1"/>
        </w:rPr>
        <w:t>Disaster</w:t>
      </w:r>
      <w:r>
        <w:rPr>
          <w:spacing w:val="14"/>
        </w:rPr>
        <w:t xml:space="preserve"> </w:t>
      </w:r>
      <w:r>
        <w:rPr>
          <w:spacing w:val="-1"/>
        </w:rPr>
        <w:t>occurs</w:t>
      </w:r>
      <w:r>
        <w:rPr>
          <w:spacing w:val="15"/>
        </w:rPr>
        <w:t xml:space="preserve"> </w:t>
      </w:r>
      <w:r>
        <w:rPr>
          <w:spacing w:val="-1"/>
        </w:rPr>
        <w:t>as</w:t>
      </w:r>
      <w:r>
        <w:rPr>
          <w:spacing w:val="13"/>
        </w:rPr>
        <w:t xml:space="preserve"> </w:t>
      </w:r>
      <w:r>
        <w:t>a</w:t>
      </w:r>
      <w:r>
        <w:rPr>
          <w:spacing w:val="41"/>
        </w:rPr>
        <w:t xml:space="preserve"> </w:t>
      </w:r>
      <w:r>
        <w:rPr>
          <w:spacing w:val="-1"/>
        </w:rPr>
        <w:t>consequence</w:t>
      </w:r>
      <w:r>
        <w:rPr>
          <w:spacing w:val="1"/>
        </w:rPr>
        <w:t xml:space="preserve"> </w:t>
      </w:r>
      <w:r>
        <w:rPr>
          <w:spacing w:val="-2"/>
        </w:rPr>
        <w:t>of</w:t>
      </w:r>
      <w:r>
        <w:rPr>
          <w:spacing w:val="2"/>
        </w:rPr>
        <w:t xml:space="preserve"> </w:t>
      </w:r>
      <w:r>
        <w:rPr>
          <w:spacing w:val="-1"/>
        </w:rPr>
        <w:t>any</w:t>
      </w:r>
      <w:r>
        <w:rPr>
          <w:spacing w:val="-2"/>
        </w:rPr>
        <w:t xml:space="preserve"> </w:t>
      </w:r>
      <w:r>
        <w:rPr>
          <w:spacing w:val="-1"/>
        </w:rPr>
        <w:t>breach</w:t>
      </w:r>
      <w:r>
        <w:rPr>
          <w:spacing w:val="1"/>
        </w:rPr>
        <w:t xml:space="preserve"> </w:t>
      </w:r>
      <w:r>
        <w:rPr>
          <w:spacing w:val="-1"/>
        </w:rPr>
        <w:t>by</w:t>
      </w:r>
      <w:r>
        <w:rPr>
          <w:spacing w:val="-2"/>
        </w:rPr>
        <w:t xml:space="preserve"> </w:t>
      </w:r>
      <w:r>
        <w:t>the</w:t>
      </w:r>
      <w:r>
        <w:rPr>
          <w:spacing w:val="-2"/>
        </w:rPr>
        <w:t xml:space="preserve"> Supplier</w:t>
      </w:r>
      <w:r>
        <w:rPr>
          <w:spacing w:val="2"/>
        </w:rPr>
        <w:t xml:space="preserve"> </w:t>
      </w:r>
      <w:r>
        <w:rPr>
          <w:spacing w:val="-2"/>
        </w:rPr>
        <w:t>of</w:t>
      </w:r>
      <w:r>
        <w:rPr>
          <w:spacing w:val="2"/>
        </w:rP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Contract.</w:t>
      </w:r>
    </w:p>
    <w:p w:rsidR="008918FA" w:rsidRDefault="008918FA" w:rsidP="008918FA">
      <w:pPr>
        <w:pStyle w:val="BodyText"/>
        <w:numPr>
          <w:ilvl w:val="0"/>
          <w:numId w:val="10"/>
        </w:numPr>
        <w:tabs>
          <w:tab w:val="left" w:pos="467"/>
        </w:tabs>
        <w:spacing w:before="117"/>
        <w:ind w:left="466"/>
        <w:jc w:val="left"/>
        <w:rPr>
          <w:rFonts w:ascii="Times New Roman" w:eastAsia="Times New Roman" w:hAnsi="Times New Roman" w:cs="Times New Roman"/>
        </w:rPr>
      </w:pPr>
      <w:r>
        <w:rPr>
          <w:rFonts w:ascii="Times New Roman"/>
          <w:spacing w:val="3"/>
        </w:rPr>
        <w:t>BUS</w:t>
      </w:r>
      <w:r>
        <w:rPr>
          <w:rFonts w:ascii="Times New Roman"/>
          <w:spacing w:val="-32"/>
        </w:rPr>
        <w:t xml:space="preserve"> </w:t>
      </w:r>
      <w:r>
        <w:rPr>
          <w:rFonts w:ascii="Times New Roman"/>
          <w:spacing w:val="-1"/>
        </w:rPr>
        <w:t>INES</w:t>
      </w:r>
      <w:r>
        <w:rPr>
          <w:rFonts w:ascii="Times New Roman"/>
          <w:spacing w:val="-32"/>
        </w:rPr>
        <w:t xml:space="preserve"> </w:t>
      </w:r>
      <w:r>
        <w:rPr>
          <w:rFonts w:ascii="Times New Roman"/>
        </w:rPr>
        <w:t>S</w:t>
      </w:r>
      <w:r>
        <w:rPr>
          <w:rFonts w:ascii="Times New Roman"/>
          <w:spacing w:val="31"/>
        </w:rPr>
        <w:t xml:space="preserve"> </w:t>
      </w:r>
      <w:r>
        <w:rPr>
          <w:rFonts w:ascii="Times New Roman"/>
          <w:spacing w:val="-1"/>
        </w:rPr>
        <w:t>CONTINUITY</w:t>
      </w:r>
      <w:r>
        <w:rPr>
          <w:rFonts w:ascii="Times New Roman"/>
          <w:spacing w:val="-6"/>
        </w:rPr>
        <w:t xml:space="preserve"> </w:t>
      </w:r>
      <w:r>
        <w:rPr>
          <w:rFonts w:ascii="Times New Roman"/>
          <w:spacing w:val="4"/>
        </w:rPr>
        <w:t>PLAN</w:t>
      </w:r>
      <w:r>
        <w:rPr>
          <w:rFonts w:ascii="Times New Roman"/>
          <w:spacing w:val="6"/>
        </w:rPr>
        <w:t xml:space="preserve"> </w:t>
      </w:r>
      <w:r>
        <w:rPr>
          <w:rFonts w:ascii="Times New Roman"/>
        </w:rPr>
        <w:t>-</w:t>
      </w:r>
      <w:r>
        <w:rPr>
          <w:rFonts w:ascii="Times New Roman"/>
          <w:spacing w:val="8"/>
        </w:rPr>
        <w:t xml:space="preserve"> </w:t>
      </w:r>
      <w:r>
        <w:rPr>
          <w:rFonts w:ascii="Times New Roman"/>
          <w:spacing w:val="23"/>
        </w:rPr>
        <w:t>P</w:t>
      </w:r>
      <w:r>
        <w:rPr>
          <w:rFonts w:ascii="Times New Roman"/>
          <w:spacing w:val="11"/>
        </w:rPr>
        <w:t>R</w:t>
      </w:r>
      <w:r>
        <w:rPr>
          <w:rFonts w:ascii="Times New Roman"/>
          <w:spacing w:val="-12"/>
        </w:rPr>
        <w:t>I</w:t>
      </w:r>
      <w:r>
        <w:rPr>
          <w:rFonts w:ascii="Times New Roman"/>
          <w:spacing w:val="-2"/>
        </w:rPr>
        <w:t>N</w:t>
      </w:r>
      <w:r>
        <w:rPr>
          <w:rFonts w:ascii="Times New Roman"/>
          <w:spacing w:val="11"/>
        </w:rPr>
        <w:t>C</w:t>
      </w:r>
      <w:r>
        <w:rPr>
          <w:rFonts w:ascii="Times New Roman"/>
          <w:spacing w:val="-12"/>
        </w:rPr>
        <w:t>I</w:t>
      </w:r>
      <w:r>
        <w:rPr>
          <w:rFonts w:ascii="Times New Roman"/>
        </w:rPr>
        <w:t>P</w:t>
      </w:r>
      <w:r>
        <w:rPr>
          <w:rFonts w:ascii="Times New Roman"/>
          <w:spacing w:val="-32"/>
        </w:rPr>
        <w:t xml:space="preserve"> </w:t>
      </w:r>
      <w:r>
        <w:rPr>
          <w:rFonts w:ascii="Times New Roman"/>
          <w:spacing w:val="3"/>
        </w:rPr>
        <w:t>LES</w:t>
      </w:r>
      <w:r>
        <w:rPr>
          <w:rFonts w:ascii="Times New Roman"/>
          <w:spacing w:val="28"/>
        </w:rPr>
        <w:t xml:space="preserve"> </w:t>
      </w:r>
      <w:r>
        <w:rPr>
          <w:rFonts w:ascii="Times New Roman"/>
          <w:spacing w:val="-2"/>
        </w:rPr>
        <w:t>AND</w:t>
      </w:r>
      <w:r>
        <w:rPr>
          <w:rFonts w:ascii="Times New Roman"/>
          <w:spacing w:val="6"/>
        </w:rPr>
        <w:t xml:space="preserve"> </w:t>
      </w:r>
      <w:r>
        <w:rPr>
          <w:rFonts w:ascii="Times New Roman"/>
          <w:spacing w:val="3"/>
        </w:rPr>
        <w:t>CONTENTS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10"/>
        </w:numPr>
        <w:tabs>
          <w:tab w:val="left" w:pos="829"/>
        </w:tabs>
        <w:spacing w:before="0"/>
        <w:ind w:right="113"/>
        <w:jc w:val="both"/>
      </w:pPr>
      <w:r>
        <w:t>The</w:t>
      </w:r>
      <w:r>
        <w:rPr>
          <w:spacing w:val="3"/>
        </w:rPr>
        <w:t xml:space="preserve"> </w:t>
      </w:r>
      <w:r>
        <w:rPr>
          <w:spacing w:val="-1"/>
        </w:rPr>
        <w:t>Business</w:t>
      </w:r>
      <w:r>
        <w:rPr>
          <w:spacing w:val="3"/>
        </w:rPr>
        <w:t xml:space="preserve"> </w:t>
      </w:r>
      <w:r>
        <w:rPr>
          <w:spacing w:val="-1"/>
        </w:rPr>
        <w:t>Continuity</w:t>
      </w:r>
      <w:r>
        <w:rPr>
          <w:spacing w:val="1"/>
        </w:rPr>
        <w:t xml:space="preserve"> </w:t>
      </w:r>
      <w:r>
        <w:rPr>
          <w:spacing w:val="-1"/>
        </w:rPr>
        <w:t>Plan</w:t>
      </w:r>
      <w:r>
        <w:rPr>
          <w:spacing w:val="3"/>
        </w:rPr>
        <w:t xml:space="preserve"> </w:t>
      </w:r>
      <w:r>
        <w:rPr>
          <w:spacing w:val="-1"/>
        </w:rPr>
        <w:t>shall</w:t>
      </w:r>
      <w:r>
        <w:rPr>
          <w:spacing w:val="2"/>
        </w:rPr>
        <w:t xml:space="preserve"> </w:t>
      </w:r>
      <w:r>
        <w:rPr>
          <w:spacing w:val="-1"/>
        </w:rPr>
        <w:t>set</w:t>
      </w:r>
      <w:r>
        <w:rPr>
          <w:spacing w:val="4"/>
        </w:rPr>
        <w:t xml:space="preserve"> </w:t>
      </w:r>
      <w:r>
        <w:rPr>
          <w:spacing w:val="-1"/>
        </w:rPr>
        <w:t>out</w:t>
      </w:r>
      <w:r>
        <w:rPr>
          <w:spacing w:val="4"/>
        </w:rPr>
        <w:t xml:space="preserve"> </w:t>
      </w:r>
      <w:r>
        <w:t>the</w:t>
      </w:r>
      <w:r>
        <w:rPr>
          <w:spacing w:val="3"/>
        </w:rPr>
        <w:t xml:space="preserve"> </w:t>
      </w:r>
      <w:r>
        <w:rPr>
          <w:spacing w:val="-1"/>
        </w:rPr>
        <w:t>arrangements</w:t>
      </w:r>
      <w:r>
        <w:rPr>
          <w:spacing w:val="1"/>
        </w:rPr>
        <w:t xml:space="preserve"> </w:t>
      </w:r>
      <w:r>
        <w:rPr>
          <w:spacing w:val="-1"/>
        </w:rPr>
        <w:t>that</w:t>
      </w:r>
      <w:r>
        <w:rPr>
          <w:spacing w:val="4"/>
        </w:rPr>
        <w:t xml:space="preserve"> </w:t>
      </w:r>
      <w:r>
        <w:rPr>
          <w:spacing w:val="-1"/>
        </w:rPr>
        <w:t>are</w:t>
      </w:r>
      <w:r>
        <w:rPr>
          <w:spacing w:val="3"/>
        </w:rPr>
        <w:t xml:space="preserve"> </w:t>
      </w:r>
      <w:r>
        <w:t>to</w:t>
      </w:r>
      <w:r>
        <w:rPr>
          <w:spacing w:val="3"/>
        </w:rPr>
        <w:t xml:space="preserve"> </w:t>
      </w:r>
      <w:r>
        <w:rPr>
          <w:spacing w:val="-2"/>
        </w:rPr>
        <w:t>be</w:t>
      </w:r>
      <w:r>
        <w:rPr>
          <w:spacing w:val="3"/>
        </w:rPr>
        <w:t xml:space="preserve"> </w:t>
      </w:r>
      <w:r>
        <w:rPr>
          <w:spacing w:val="-1"/>
        </w:rPr>
        <w:t>invoked</w:t>
      </w:r>
      <w:r>
        <w:rPr>
          <w:spacing w:val="36"/>
        </w:rPr>
        <w:t xml:space="preserve"> </w:t>
      </w:r>
      <w:r>
        <w:t>to</w:t>
      </w:r>
      <w:r>
        <w:rPr>
          <w:spacing w:val="5"/>
        </w:rPr>
        <w:t xml:space="preserve"> </w:t>
      </w:r>
      <w:r>
        <w:rPr>
          <w:spacing w:val="-1"/>
        </w:rPr>
        <w:t>ensure</w:t>
      </w:r>
      <w:r>
        <w:rPr>
          <w:spacing w:val="5"/>
        </w:rPr>
        <w:t xml:space="preserve"> </w:t>
      </w:r>
      <w:r>
        <w:rPr>
          <w:spacing w:val="-1"/>
        </w:rPr>
        <w:t>that</w:t>
      </w:r>
      <w:r>
        <w:rPr>
          <w:spacing w:val="4"/>
        </w:rPr>
        <w:t xml:space="preserve"> </w:t>
      </w:r>
      <w:r>
        <w:t>the</w:t>
      </w:r>
      <w:r>
        <w:rPr>
          <w:spacing w:val="5"/>
        </w:rPr>
        <w:t xml:space="preserve"> </w:t>
      </w:r>
      <w:r>
        <w:rPr>
          <w:spacing w:val="-2"/>
        </w:rPr>
        <w:t>business</w:t>
      </w:r>
      <w:r>
        <w:rPr>
          <w:spacing w:val="6"/>
        </w:rPr>
        <w:t xml:space="preserve"> </w:t>
      </w:r>
      <w:r>
        <w:rPr>
          <w:spacing w:val="-1"/>
        </w:rPr>
        <w:t>processes</w:t>
      </w:r>
      <w:r>
        <w:rPr>
          <w:spacing w:val="5"/>
        </w:rPr>
        <w:t xml:space="preserve"> </w:t>
      </w:r>
      <w:r>
        <w:rPr>
          <w:spacing w:val="-1"/>
        </w:rPr>
        <w:t>and</w:t>
      </w:r>
      <w:r>
        <w:rPr>
          <w:spacing w:val="3"/>
        </w:rPr>
        <w:t xml:space="preserve"> </w:t>
      </w:r>
      <w:r>
        <w:rPr>
          <w:spacing w:val="-2"/>
        </w:rPr>
        <w:t>operations</w:t>
      </w:r>
      <w:r>
        <w:rPr>
          <w:spacing w:val="3"/>
        </w:rPr>
        <w:t xml:space="preserve"> </w:t>
      </w:r>
      <w:r>
        <w:rPr>
          <w:spacing w:val="-1"/>
        </w:rPr>
        <w:t>facilitated</w:t>
      </w:r>
      <w:r>
        <w:rPr>
          <w:spacing w:val="5"/>
        </w:rPr>
        <w:t xml:space="preserve"> </w:t>
      </w:r>
      <w:r>
        <w:rPr>
          <w:spacing w:val="-1"/>
        </w:rPr>
        <w:t>by</w:t>
      </w:r>
      <w:r>
        <w:rPr>
          <w:spacing w:val="3"/>
        </w:rPr>
        <w:t xml:space="preserve"> </w:t>
      </w:r>
      <w:r>
        <w:t>the</w:t>
      </w:r>
      <w:r>
        <w:rPr>
          <w:spacing w:val="6"/>
        </w:rPr>
        <w:t xml:space="preserve"> </w:t>
      </w:r>
      <w:r>
        <w:rPr>
          <w:spacing w:val="-2"/>
        </w:rPr>
        <w:t>provision</w:t>
      </w:r>
      <w:r>
        <w:rPr>
          <w:spacing w:val="5"/>
        </w:rPr>
        <w:t xml:space="preserve"> </w:t>
      </w:r>
      <w:r>
        <w:rPr>
          <w:spacing w:val="-1"/>
        </w:rPr>
        <w:t>of</w:t>
      </w:r>
      <w:r>
        <w:rPr>
          <w:spacing w:val="66"/>
        </w:rPr>
        <w:t xml:space="preserve"> </w:t>
      </w:r>
      <w:r>
        <w:rPr>
          <w:spacing w:val="-1"/>
        </w:rPr>
        <w:t>Goods</w:t>
      </w:r>
      <w:r>
        <w:rPr>
          <w:spacing w:val="15"/>
        </w:rPr>
        <w:t xml:space="preserve"> </w:t>
      </w:r>
      <w:r>
        <w:rPr>
          <w:spacing w:val="-1"/>
        </w:rPr>
        <w:t>and/or</w:t>
      </w:r>
      <w:r>
        <w:rPr>
          <w:spacing w:val="16"/>
        </w:rPr>
        <w:t xml:space="preserve"> </w:t>
      </w:r>
      <w:r>
        <w:rPr>
          <w:spacing w:val="-1"/>
        </w:rPr>
        <w:t>Services</w:t>
      </w:r>
      <w:r>
        <w:rPr>
          <w:spacing w:val="16"/>
        </w:rPr>
        <w:t xml:space="preserve"> </w:t>
      </w:r>
      <w:r>
        <w:rPr>
          <w:spacing w:val="-1"/>
        </w:rPr>
        <w:t>remain</w:t>
      </w:r>
      <w:r>
        <w:rPr>
          <w:spacing w:val="15"/>
        </w:rPr>
        <w:t xml:space="preserve"> </w:t>
      </w:r>
      <w:r>
        <w:rPr>
          <w:spacing w:val="-1"/>
        </w:rPr>
        <w:t>supported</w:t>
      </w:r>
      <w:r>
        <w:rPr>
          <w:spacing w:val="15"/>
        </w:rPr>
        <w:t xml:space="preserve"> </w:t>
      </w:r>
      <w:r>
        <w:rPr>
          <w:spacing w:val="-1"/>
        </w:rPr>
        <w:t>and</w:t>
      </w:r>
      <w:r>
        <w:rPr>
          <w:spacing w:val="15"/>
        </w:rPr>
        <w:t xml:space="preserve"> </w:t>
      </w:r>
      <w:r>
        <w:t>to</w:t>
      </w:r>
      <w:r>
        <w:rPr>
          <w:spacing w:val="12"/>
        </w:rPr>
        <w:t xml:space="preserve"> </w:t>
      </w:r>
      <w:r>
        <w:rPr>
          <w:spacing w:val="-1"/>
        </w:rPr>
        <w:t>ensure</w:t>
      </w:r>
      <w:r>
        <w:rPr>
          <w:spacing w:val="15"/>
        </w:rPr>
        <w:t xml:space="preserve"> </w:t>
      </w:r>
      <w:r>
        <w:rPr>
          <w:spacing w:val="-1"/>
        </w:rPr>
        <w:t>continuity</w:t>
      </w:r>
      <w:r>
        <w:rPr>
          <w:spacing w:val="13"/>
        </w:rPr>
        <w:t xml:space="preserve"> </w:t>
      </w:r>
      <w:r>
        <w:rPr>
          <w:spacing w:val="-2"/>
        </w:rPr>
        <w:t>of</w:t>
      </w:r>
      <w:r>
        <w:rPr>
          <w:spacing w:val="19"/>
        </w:rPr>
        <w:t xml:space="preserve"> </w:t>
      </w:r>
      <w:r>
        <w:t>the</w:t>
      </w:r>
      <w:r>
        <w:rPr>
          <w:spacing w:val="12"/>
        </w:rPr>
        <w:t xml:space="preserve"> </w:t>
      </w:r>
      <w:r>
        <w:rPr>
          <w:spacing w:val="-1"/>
        </w:rPr>
        <w:t>business</w:t>
      </w:r>
      <w:r>
        <w:rPr>
          <w:spacing w:val="36"/>
        </w:rPr>
        <w:t xml:space="preserve"> </w:t>
      </w:r>
      <w:r>
        <w:rPr>
          <w:spacing w:val="-1"/>
        </w:rPr>
        <w:t>operations</w:t>
      </w:r>
      <w:r>
        <w:rPr>
          <w:spacing w:val="46"/>
        </w:rPr>
        <w:t xml:space="preserve"> </w:t>
      </w:r>
      <w:r>
        <w:rPr>
          <w:spacing w:val="-1"/>
        </w:rPr>
        <w:t>supported</w:t>
      </w:r>
      <w:r>
        <w:rPr>
          <w:spacing w:val="46"/>
        </w:rPr>
        <w:t xml:space="preserve"> </w:t>
      </w:r>
      <w:r>
        <w:rPr>
          <w:spacing w:val="-1"/>
        </w:rPr>
        <w:t>by</w:t>
      </w:r>
      <w:r>
        <w:rPr>
          <w:spacing w:val="44"/>
        </w:rPr>
        <w:t xml:space="preserve"> </w:t>
      </w:r>
      <w:r>
        <w:t>the</w:t>
      </w:r>
      <w:r>
        <w:rPr>
          <w:spacing w:val="46"/>
        </w:rPr>
        <w:t xml:space="preserve"> </w:t>
      </w:r>
      <w:r>
        <w:rPr>
          <w:spacing w:val="-1"/>
        </w:rPr>
        <w:t>Services</w:t>
      </w:r>
      <w:r>
        <w:rPr>
          <w:spacing w:val="46"/>
        </w:rPr>
        <w:t xml:space="preserve"> </w:t>
      </w:r>
      <w:r>
        <w:rPr>
          <w:spacing w:val="-1"/>
        </w:rPr>
        <w:t>including,</w:t>
      </w:r>
      <w:r>
        <w:rPr>
          <w:spacing w:val="45"/>
        </w:rPr>
        <w:t xml:space="preserve"> </w:t>
      </w:r>
      <w:r>
        <w:rPr>
          <w:spacing w:val="-1"/>
        </w:rPr>
        <w:t>unless</w:t>
      </w:r>
      <w:r>
        <w:rPr>
          <w:spacing w:val="48"/>
        </w:rPr>
        <w:t xml:space="preserve"> </w:t>
      </w:r>
      <w:r>
        <w:t>the</w:t>
      </w:r>
      <w:r>
        <w:rPr>
          <w:spacing w:val="46"/>
        </w:rPr>
        <w:t xml:space="preserve"> </w:t>
      </w:r>
      <w:r>
        <w:rPr>
          <w:spacing w:val="-1"/>
        </w:rPr>
        <w:t>Customer</w:t>
      </w:r>
      <w:r>
        <w:rPr>
          <w:spacing w:val="47"/>
        </w:rPr>
        <w:t xml:space="preserve"> </w:t>
      </w:r>
      <w:r>
        <w:rPr>
          <w:spacing w:val="-1"/>
        </w:rPr>
        <w:t>expressly</w:t>
      </w:r>
      <w:r>
        <w:rPr>
          <w:spacing w:val="31"/>
        </w:rPr>
        <w:t xml:space="preserve"> </w:t>
      </w:r>
      <w:r>
        <w:rPr>
          <w:spacing w:val="-1"/>
        </w:rPr>
        <w:t>states</w:t>
      </w:r>
      <w:r>
        <w:rPr>
          <w:spacing w:val="-2"/>
        </w:rPr>
        <w:t xml:space="preserve"> otherwise</w:t>
      </w:r>
      <w:r>
        <w:rPr>
          <w:spacing w:val="1"/>
        </w:rPr>
        <w:t xml:space="preserve"> </w:t>
      </w:r>
      <w:r>
        <w:rPr>
          <w:spacing w:val="-1"/>
        </w:rPr>
        <w:t>in</w:t>
      </w:r>
      <w:r>
        <w:t xml:space="preserve"> </w:t>
      </w:r>
      <w:r>
        <w:rPr>
          <w:spacing w:val="-1"/>
        </w:rPr>
        <w:t>writing:</w:t>
      </w:r>
    </w:p>
    <w:p w:rsidR="008918FA" w:rsidRDefault="008918FA" w:rsidP="008918FA">
      <w:pPr>
        <w:pStyle w:val="BodyText"/>
        <w:numPr>
          <w:ilvl w:val="2"/>
          <w:numId w:val="10"/>
        </w:numPr>
        <w:tabs>
          <w:tab w:val="left" w:pos="2027"/>
        </w:tabs>
        <w:spacing w:before="121"/>
        <w:ind w:right="114"/>
        <w:jc w:val="both"/>
      </w:pPr>
      <w:r>
        <w:t>the</w:t>
      </w:r>
      <w:r>
        <w:rPr>
          <w:spacing w:val="20"/>
        </w:rPr>
        <w:t xml:space="preserve"> </w:t>
      </w:r>
      <w:r>
        <w:rPr>
          <w:spacing w:val="-1"/>
        </w:rPr>
        <w:t>alternative</w:t>
      </w:r>
      <w:r>
        <w:rPr>
          <w:spacing w:val="19"/>
        </w:rPr>
        <w:t xml:space="preserve"> </w:t>
      </w:r>
      <w:r>
        <w:rPr>
          <w:spacing w:val="-1"/>
        </w:rPr>
        <w:t>processes</w:t>
      </w:r>
      <w:r>
        <w:rPr>
          <w:spacing w:val="20"/>
        </w:rPr>
        <w:t xml:space="preserve"> </w:t>
      </w:r>
      <w:r>
        <w:rPr>
          <w:spacing w:val="-1"/>
        </w:rPr>
        <w:t>(including</w:t>
      </w:r>
      <w:r>
        <w:rPr>
          <w:spacing w:val="22"/>
        </w:rPr>
        <w:t xml:space="preserve"> </w:t>
      </w:r>
      <w:r>
        <w:rPr>
          <w:spacing w:val="-1"/>
        </w:rPr>
        <w:t>business</w:t>
      </w:r>
      <w:r>
        <w:rPr>
          <w:spacing w:val="20"/>
        </w:rPr>
        <w:t xml:space="preserve"> </w:t>
      </w:r>
      <w:r>
        <w:rPr>
          <w:spacing w:val="-1"/>
        </w:rPr>
        <w:t>processes),</w:t>
      </w:r>
      <w:r>
        <w:rPr>
          <w:spacing w:val="21"/>
        </w:rPr>
        <w:t xml:space="preserve"> </w:t>
      </w:r>
      <w:r>
        <w:rPr>
          <w:spacing w:val="-1"/>
        </w:rPr>
        <w:t>options</w:t>
      </w:r>
      <w:r>
        <w:rPr>
          <w:spacing w:val="20"/>
        </w:rPr>
        <w:t xml:space="preserve"> </w:t>
      </w:r>
      <w:r>
        <w:rPr>
          <w:spacing w:val="-1"/>
        </w:rPr>
        <w:t>and</w:t>
      </w:r>
      <w:r>
        <w:rPr>
          <w:spacing w:val="28"/>
        </w:rPr>
        <w:t xml:space="preserve"> </w:t>
      </w:r>
      <w:r>
        <w:rPr>
          <w:spacing w:val="-1"/>
        </w:rPr>
        <w:t>responsibilities</w:t>
      </w:r>
      <w:r>
        <w:rPr>
          <w:spacing w:val="53"/>
        </w:rPr>
        <w:t xml:space="preserve"> </w:t>
      </w:r>
      <w:r>
        <w:rPr>
          <w:spacing w:val="-1"/>
        </w:rPr>
        <w:t>that</w:t>
      </w:r>
      <w:r>
        <w:rPr>
          <w:spacing w:val="52"/>
        </w:rPr>
        <w:t xml:space="preserve"> </w:t>
      </w:r>
      <w:r>
        <w:rPr>
          <w:spacing w:val="-1"/>
        </w:rPr>
        <w:t>may</w:t>
      </w:r>
      <w:r>
        <w:rPr>
          <w:spacing w:val="51"/>
        </w:rPr>
        <w:t xml:space="preserve"> </w:t>
      </w:r>
      <w:r>
        <w:rPr>
          <w:spacing w:val="-1"/>
        </w:rPr>
        <w:t>be</w:t>
      </w:r>
      <w:r>
        <w:rPr>
          <w:spacing w:val="53"/>
        </w:rPr>
        <w:t xml:space="preserve"> </w:t>
      </w:r>
      <w:r>
        <w:rPr>
          <w:spacing w:val="-1"/>
        </w:rPr>
        <w:t>adopted</w:t>
      </w:r>
      <w:r>
        <w:rPr>
          <w:spacing w:val="51"/>
        </w:rPr>
        <w:t xml:space="preserve"> </w:t>
      </w:r>
      <w:r>
        <w:rPr>
          <w:spacing w:val="-1"/>
        </w:rPr>
        <w:t>in</w:t>
      </w:r>
      <w:r>
        <w:rPr>
          <w:spacing w:val="53"/>
        </w:rPr>
        <w:t xml:space="preserve"> </w:t>
      </w:r>
      <w:r>
        <w:rPr>
          <w:spacing w:val="-1"/>
        </w:rPr>
        <w:t>the</w:t>
      </w:r>
      <w:r>
        <w:rPr>
          <w:spacing w:val="54"/>
        </w:rPr>
        <w:t xml:space="preserve"> </w:t>
      </w:r>
      <w:r>
        <w:rPr>
          <w:spacing w:val="-2"/>
        </w:rPr>
        <w:t>event</w:t>
      </w:r>
      <w:r>
        <w:rPr>
          <w:spacing w:val="55"/>
        </w:rPr>
        <w:t xml:space="preserve"> </w:t>
      </w:r>
      <w:r>
        <w:rPr>
          <w:spacing w:val="-2"/>
        </w:rPr>
        <w:t>of</w:t>
      </w:r>
      <w:r>
        <w:rPr>
          <w:spacing w:val="55"/>
        </w:rPr>
        <w:t xml:space="preserve"> </w:t>
      </w:r>
      <w:r>
        <w:t>a</w:t>
      </w:r>
      <w:r>
        <w:rPr>
          <w:spacing w:val="51"/>
        </w:rPr>
        <w:t xml:space="preserve"> </w:t>
      </w:r>
      <w:r>
        <w:rPr>
          <w:spacing w:val="-1"/>
        </w:rPr>
        <w:t>failure</w:t>
      </w:r>
      <w:r>
        <w:rPr>
          <w:spacing w:val="53"/>
        </w:rPr>
        <w:t xml:space="preserve"> </w:t>
      </w:r>
      <w:r>
        <w:rPr>
          <w:spacing w:val="-1"/>
        </w:rPr>
        <w:t>in</w:t>
      </w:r>
      <w:r>
        <w:rPr>
          <w:spacing w:val="53"/>
        </w:rPr>
        <w:t xml:space="preserve"> </w:t>
      </w:r>
      <w:r>
        <w:rPr>
          <w:spacing w:val="-2"/>
        </w:rPr>
        <w:t>or</w:t>
      </w:r>
      <w:r>
        <w:rPr>
          <w:spacing w:val="39"/>
        </w:rPr>
        <w:t xml:space="preserve"> </w:t>
      </w:r>
      <w:r>
        <w:rPr>
          <w:spacing w:val="-1"/>
        </w:rPr>
        <w:t>disruption</w:t>
      </w:r>
      <w:r>
        <w:rPr>
          <w:spacing w:val="-2"/>
        </w:rPr>
        <w:t xml:space="preserve"> </w:t>
      </w:r>
      <w:r>
        <w:t>to</w:t>
      </w:r>
      <w:r>
        <w:rPr>
          <w:spacing w:val="-2"/>
        </w:rPr>
        <w:t xml:space="preserve"> </w:t>
      </w:r>
      <w:r>
        <w:t>the</w:t>
      </w:r>
      <w:r>
        <w:rPr>
          <w:spacing w:val="1"/>
        </w:rPr>
        <w:t xml:space="preserve"> </w:t>
      </w:r>
      <w:r>
        <w:rPr>
          <w:spacing w:val="-1"/>
        </w:rPr>
        <w:t>provision</w:t>
      </w:r>
      <w:r>
        <w:t xml:space="preserve"> </w:t>
      </w:r>
      <w:r>
        <w:rPr>
          <w:spacing w:val="-2"/>
        </w:rPr>
        <w:t>of</w:t>
      </w:r>
      <w:r>
        <w:rPr>
          <w:spacing w:val="2"/>
        </w:rPr>
        <w:t xml:space="preserve"> </w:t>
      </w:r>
      <w:r>
        <w:rPr>
          <w:spacing w:val="-1"/>
        </w:rPr>
        <w:t>Goods</w:t>
      </w:r>
      <w:r>
        <w:rPr>
          <w:spacing w:val="1"/>
        </w:rPr>
        <w:t xml:space="preserve"> </w:t>
      </w:r>
      <w:r>
        <w:rPr>
          <w:spacing w:val="-1"/>
        </w:rPr>
        <w:t>and/or Services;</w:t>
      </w:r>
      <w:r>
        <w:rPr>
          <w:spacing w:val="2"/>
        </w:rPr>
        <w:t xml:space="preserve"> </w:t>
      </w:r>
      <w:r>
        <w:rPr>
          <w:spacing w:val="-1"/>
        </w:rPr>
        <w:t>and</w:t>
      </w:r>
    </w:p>
    <w:p w:rsidR="008918FA" w:rsidRDefault="008918FA" w:rsidP="008918FA">
      <w:pPr>
        <w:pStyle w:val="BodyText"/>
        <w:numPr>
          <w:ilvl w:val="2"/>
          <w:numId w:val="10"/>
        </w:numPr>
        <w:tabs>
          <w:tab w:val="left" w:pos="2026"/>
        </w:tabs>
        <w:ind w:left="2025" w:right="114" w:hanging="993"/>
        <w:jc w:val="both"/>
      </w:pPr>
      <w:r>
        <w:t>the</w:t>
      </w:r>
      <w:r>
        <w:rPr>
          <w:spacing w:val="7"/>
        </w:rPr>
        <w:t xml:space="preserve"> </w:t>
      </w:r>
      <w:r>
        <w:rPr>
          <w:spacing w:val="-1"/>
        </w:rPr>
        <w:t>steps</w:t>
      </w:r>
      <w:r>
        <w:rPr>
          <w:spacing w:val="8"/>
        </w:rPr>
        <w:t xml:space="preserve"> </w:t>
      </w:r>
      <w:r>
        <w:t>to</w:t>
      </w:r>
      <w:r>
        <w:rPr>
          <w:spacing w:val="7"/>
        </w:rPr>
        <w:t xml:space="preserve"> </w:t>
      </w:r>
      <w:r>
        <w:rPr>
          <w:spacing w:val="-1"/>
        </w:rPr>
        <w:t>be</w:t>
      </w:r>
      <w:r>
        <w:rPr>
          <w:spacing w:val="5"/>
        </w:rPr>
        <w:t xml:space="preserve"> </w:t>
      </w:r>
      <w:r>
        <w:rPr>
          <w:spacing w:val="-1"/>
        </w:rPr>
        <w:t>taken</w:t>
      </w:r>
      <w:r>
        <w:rPr>
          <w:spacing w:val="7"/>
        </w:rPr>
        <w:t xml:space="preserve"> </w:t>
      </w:r>
      <w:r>
        <w:rPr>
          <w:spacing w:val="-1"/>
        </w:rPr>
        <w:t>by</w:t>
      </w:r>
      <w:r>
        <w:rPr>
          <w:spacing w:val="3"/>
        </w:rPr>
        <w:t xml:space="preserve"> </w:t>
      </w:r>
      <w:r>
        <w:t>the</w:t>
      </w:r>
      <w:r>
        <w:rPr>
          <w:spacing w:val="7"/>
        </w:rPr>
        <w:t xml:space="preserve"> </w:t>
      </w:r>
      <w:r>
        <w:rPr>
          <w:spacing w:val="-2"/>
        </w:rPr>
        <w:t>Supplier</w:t>
      </w:r>
      <w:r>
        <w:rPr>
          <w:spacing w:val="9"/>
        </w:rPr>
        <w:t xml:space="preserve"> </w:t>
      </w:r>
      <w:r>
        <w:rPr>
          <w:spacing w:val="-1"/>
        </w:rPr>
        <w:t>upon</w:t>
      </w:r>
      <w:r>
        <w:rPr>
          <w:spacing w:val="7"/>
        </w:rPr>
        <w:t xml:space="preserve"> </w:t>
      </w:r>
      <w:r>
        <w:rPr>
          <w:spacing w:val="-1"/>
        </w:rPr>
        <w:t>resumption</w:t>
      </w:r>
      <w:r>
        <w:rPr>
          <w:spacing w:val="7"/>
        </w:rPr>
        <w:t xml:space="preserve"> </w:t>
      </w:r>
      <w:r>
        <w:rPr>
          <w:spacing w:val="-2"/>
        </w:rPr>
        <w:t>of</w:t>
      </w:r>
      <w:r>
        <w:rPr>
          <w:spacing w:val="11"/>
        </w:rPr>
        <w:t xml:space="preserve"> </w:t>
      </w:r>
      <w:r>
        <w:rPr>
          <w:spacing w:val="-1"/>
        </w:rPr>
        <w:t>the</w:t>
      </w:r>
      <w:r>
        <w:rPr>
          <w:spacing w:val="10"/>
        </w:rPr>
        <w:t xml:space="preserve"> </w:t>
      </w:r>
      <w:r>
        <w:rPr>
          <w:spacing w:val="-2"/>
        </w:rPr>
        <w:t>provision</w:t>
      </w:r>
      <w:r>
        <w:rPr>
          <w:spacing w:val="48"/>
        </w:rPr>
        <w:t xml:space="preserve"> </w:t>
      </w:r>
      <w:r>
        <w:rPr>
          <w:spacing w:val="-2"/>
        </w:rPr>
        <w:t>of</w:t>
      </w:r>
      <w:r>
        <w:rPr>
          <w:spacing w:val="28"/>
        </w:rPr>
        <w:t xml:space="preserve"> </w:t>
      </w:r>
      <w:r>
        <w:rPr>
          <w:spacing w:val="-1"/>
        </w:rPr>
        <w:t>Goods</w:t>
      </w:r>
      <w:r>
        <w:rPr>
          <w:spacing w:val="25"/>
        </w:rPr>
        <w:t xml:space="preserve"> </w:t>
      </w:r>
      <w:r>
        <w:rPr>
          <w:spacing w:val="-1"/>
        </w:rPr>
        <w:t>and/or</w:t>
      </w:r>
      <w:r>
        <w:rPr>
          <w:spacing w:val="26"/>
        </w:rPr>
        <w:t xml:space="preserve"> </w:t>
      </w:r>
      <w:r>
        <w:rPr>
          <w:spacing w:val="-1"/>
        </w:rPr>
        <w:t>Services</w:t>
      </w:r>
      <w:r>
        <w:rPr>
          <w:spacing w:val="26"/>
        </w:rPr>
        <w:t xml:space="preserve"> </w:t>
      </w:r>
      <w:r>
        <w:rPr>
          <w:spacing w:val="-1"/>
        </w:rPr>
        <w:t>in</w:t>
      </w:r>
      <w:r>
        <w:rPr>
          <w:spacing w:val="24"/>
        </w:rPr>
        <w:t xml:space="preserve"> </w:t>
      </w:r>
      <w:r>
        <w:rPr>
          <w:spacing w:val="-1"/>
        </w:rPr>
        <w:t>order</w:t>
      </w:r>
      <w:r>
        <w:rPr>
          <w:spacing w:val="26"/>
        </w:rPr>
        <w:t xml:space="preserve"> </w:t>
      </w:r>
      <w:r>
        <w:t>to</w:t>
      </w:r>
      <w:r>
        <w:rPr>
          <w:spacing w:val="24"/>
        </w:rPr>
        <w:t xml:space="preserve"> </w:t>
      </w:r>
      <w:r>
        <w:rPr>
          <w:spacing w:val="-1"/>
        </w:rPr>
        <w:t>address</w:t>
      </w:r>
      <w:r>
        <w:rPr>
          <w:spacing w:val="25"/>
        </w:rPr>
        <w:t xml:space="preserve"> </w:t>
      </w:r>
      <w:r>
        <w:rPr>
          <w:spacing w:val="-2"/>
        </w:rPr>
        <w:t>any</w:t>
      </w:r>
      <w:r>
        <w:rPr>
          <w:spacing w:val="22"/>
        </w:rPr>
        <w:t xml:space="preserve"> </w:t>
      </w:r>
      <w:r>
        <w:rPr>
          <w:spacing w:val="-1"/>
        </w:rPr>
        <w:t>prevailing</w:t>
      </w:r>
      <w:r>
        <w:rPr>
          <w:spacing w:val="27"/>
        </w:rPr>
        <w:t xml:space="preserve"> </w:t>
      </w:r>
      <w:r>
        <w:rPr>
          <w:spacing w:val="-1"/>
        </w:rPr>
        <w:t>effect</w:t>
      </w:r>
      <w:r>
        <w:rPr>
          <w:spacing w:val="24"/>
        </w:rPr>
        <w:t xml:space="preserve"> </w:t>
      </w:r>
      <w:r>
        <w:rPr>
          <w:spacing w:val="-2"/>
        </w:rPr>
        <w:t>of</w:t>
      </w:r>
      <w:r>
        <w:rPr>
          <w:spacing w:val="37"/>
        </w:rPr>
        <w:t xml:space="preserve"> </w:t>
      </w:r>
      <w:r>
        <w:t>the</w:t>
      </w:r>
      <w:r>
        <w:rPr>
          <w:spacing w:val="5"/>
        </w:rPr>
        <w:t xml:space="preserve"> </w:t>
      </w:r>
      <w:r>
        <w:rPr>
          <w:spacing w:val="-1"/>
        </w:rPr>
        <w:t>failure</w:t>
      </w:r>
      <w:r>
        <w:rPr>
          <w:spacing w:val="7"/>
        </w:rPr>
        <w:t xml:space="preserve"> </w:t>
      </w:r>
      <w:r>
        <w:rPr>
          <w:spacing w:val="-2"/>
        </w:rPr>
        <w:t>or</w:t>
      </w:r>
      <w:r>
        <w:rPr>
          <w:spacing w:val="9"/>
        </w:rPr>
        <w:t xml:space="preserve"> </w:t>
      </w:r>
      <w:r>
        <w:rPr>
          <w:spacing w:val="-1"/>
        </w:rPr>
        <w:t>disruption</w:t>
      </w:r>
      <w:r>
        <w:rPr>
          <w:spacing w:val="7"/>
        </w:rPr>
        <w:t xml:space="preserve"> </w:t>
      </w:r>
      <w:r>
        <w:rPr>
          <w:spacing w:val="-2"/>
        </w:rPr>
        <w:t>including</w:t>
      </w:r>
      <w:r>
        <w:rPr>
          <w:spacing w:val="10"/>
        </w:rPr>
        <w:t xml:space="preserve"> </w:t>
      </w:r>
      <w:r>
        <w:t>a</w:t>
      </w:r>
      <w:r>
        <w:rPr>
          <w:spacing w:val="7"/>
        </w:rPr>
        <w:t xml:space="preserve"> </w:t>
      </w:r>
      <w:r>
        <w:rPr>
          <w:spacing w:val="-1"/>
        </w:rPr>
        <w:t>root</w:t>
      </w:r>
      <w:r>
        <w:rPr>
          <w:spacing w:val="9"/>
        </w:rPr>
        <w:t xml:space="preserve"> </w:t>
      </w:r>
      <w:r>
        <w:rPr>
          <w:spacing w:val="-1"/>
        </w:rPr>
        <w:t>cause</w:t>
      </w:r>
      <w:r>
        <w:rPr>
          <w:spacing w:val="8"/>
        </w:rPr>
        <w:t xml:space="preserve"> </w:t>
      </w:r>
      <w:r>
        <w:rPr>
          <w:spacing w:val="-2"/>
        </w:rPr>
        <w:t>analysis</w:t>
      </w:r>
      <w:r>
        <w:rPr>
          <w:spacing w:val="8"/>
        </w:rPr>
        <w:t xml:space="preserve"> </w:t>
      </w:r>
      <w:r>
        <w:rPr>
          <w:spacing w:val="-1"/>
        </w:rPr>
        <w:t>of</w:t>
      </w:r>
      <w:r>
        <w:rPr>
          <w:spacing w:val="11"/>
        </w:rPr>
        <w:t xml:space="preserve"> </w:t>
      </w:r>
      <w:r>
        <w:t>the</w:t>
      </w:r>
      <w:r>
        <w:rPr>
          <w:spacing w:val="5"/>
        </w:rPr>
        <w:t xml:space="preserve"> </w:t>
      </w:r>
      <w:r>
        <w:rPr>
          <w:spacing w:val="-1"/>
        </w:rPr>
        <w:t>failure</w:t>
      </w:r>
      <w:r>
        <w:rPr>
          <w:spacing w:val="7"/>
        </w:rPr>
        <w:t xml:space="preserve"> </w:t>
      </w:r>
      <w:r>
        <w:rPr>
          <w:spacing w:val="-1"/>
        </w:rPr>
        <w:t>or</w:t>
      </w:r>
      <w:r>
        <w:rPr>
          <w:spacing w:val="50"/>
        </w:rPr>
        <w:t xml:space="preserve"> </w:t>
      </w:r>
      <w:r>
        <w:rPr>
          <w:spacing w:val="-1"/>
        </w:rPr>
        <w:t>disruption.</w:t>
      </w:r>
    </w:p>
    <w:p w:rsidR="008918FA" w:rsidRDefault="008918FA" w:rsidP="008918FA">
      <w:pPr>
        <w:pStyle w:val="BodyText"/>
        <w:numPr>
          <w:ilvl w:val="1"/>
          <w:numId w:val="10"/>
        </w:numPr>
        <w:tabs>
          <w:tab w:val="left" w:pos="829"/>
        </w:tabs>
        <w:spacing w:before="121"/>
      </w:pPr>
      <w:r>
        <w:t>The</w:t>
      </w:r>
      <w:r>
        <w:rPr>
          <w:spacing w:val="-2"/>
        </w:rPr>
        <w:t xml:space="preserve"> </w:t>
      </w:r>
      <w:r>
        <w:rPr>
          <w:spacing w:val="-1"/>
        </w:rPr>
        <w:t>Business</w:t>
      </w:r>
      <w:r>
        <w:rPr>
          <w:spacing w:val="1"/>
        </w:rPr>
        <w:t xml:space="preserve"> </w:t>
      </w:r>
      <w:r>
        <w:rPr>
          <w:spacing w:val="-1"/>
        </w:rPr>
        <w:t>Continuity</w:t>
      </w:r>
      <w:r>
        <w:rPr>
          <w:spacing w:val="-4"/>
        </w:rPr>
        <w:t xml:space="preserve"> </w:t>
      </w:r>
      <w:r>
        <w:rPr>
          <w:spacing w:val="-1"/>
        </w:rPr>
        <w:t>Plan</w:t>
      </w:r>
      <w:r>
        <w:t xml:space="preserve"> </w:t>
      </w:r>
      <w:r>
        <w:rPr>
          <w:spacing w:val="-1"/>
        </w:rPr>
        <w:t>shall:</w:t>
      </w:r>
    </w:p>
    <w:p w:rsidR="008918FA" w:rsidRDefault="008918FA" w:rsidP="008918FA">
      <w:pPr>
        <w:pStyle w:val="BodyText"/>
        <w:numPr>
          <w:ilvl w:val="2"/>
          <w:numId w:val="10"/>
        </w:numPr>
        <w:tabs>
          <w:tab w:val="left" w:pos="2026"/>
        </w:tabs>
        <w:ind w:left="2025" w:right="116" w:hanging="993"/>
        <w:jc w:val="both"/>
      </w:pPr>
      <w:r>
        <w:rPr>
          <w:spacing w:val="-1"/>
        </w:rPr>
        <w:t>address</w:t>
      </w:r>
      <w:r>
        <w:rPr>
          <w:spacing w:val="23"/>
        </w:rPr>
        <w:t xml:space="preserve"> </w:t>
      </w:r>
      <w:r>
        <w:t>the</w:t>
      </w:r>
      <w:r>
        <w:rPr>
          <w:spacing w:val="22"/>
        </w:rPr>
        <w:t xml:space="preserve"> </w:t>
      </w:r>
      <w:r>
        <w:rPr>
          <w:spacing w:val="-2"/>
        </w:rPr>
        <w:t>various</w:t>
      </w:r>
      <w:r>
        <w:rPr>
          <w:spacing w:val="22"/>
        </w:rPr>
        <w:t xml:space="preserve"> </w:t>
      </w:r>
      <w:r>
        <w:rPr>
          <w:spacing w:val="-1"/>
        </w:rPr>
        <w:t>possible</w:t>
      </w:r>
      <w:r>
        <w:rPr>
          <w:spacing w:val="22"/>
        </w:rPr>
        <w:t xml:space="preserve"> </w:t>
      </w:r>
      <w:r>
        <w:rPr>
          <w:spacing w:val="-1"/>
        </w:rPr>
        <w:t>levels</w:t>
      </w:r>
      <w:r>
        <w:rPr>
          <w:spacing w:val="22"/>
        </w:rPr>
        <w:t xml:space="preserve"> </w:t>
      </w:r>
      <w:r>
        <w:rPr>
          <w:spacing w:val="-1"/>
        </w:rPr>
        <w:t>of</w:t>
      </w:r>
      <w:r>
        <w:rPr>
          <w:spacing w:val="26"/>
        </w:rPr>
        <w:t xml:space="preserve"> </w:t>
      </w:r>
      <w:r>
        <w:rPr>
          <w:spacing w:val="-1"/>
        </w:rPr>
        <w:t>failures</w:t>
      </w:r>
      <w:r>
        <w:rPr>
          <w:spacing w:val="22"/>
        </w:rPr>
        <w:t xml:space="preserve"> </w:t>
      </w:r>
      <w:r>
        <w:rPr>
          <w:spacing w:val="-2"/>
        </w:rPr>
        <w:t>of</w:t>
      </w:r>
      <w:r>
        <w:rPr>
          <w:spacing w:val="21"/>
        </w:rPr>
        <w:t xml:space="preserve"> </w:t>
      </w:r>
      <w:r>
        <w:rPr>
          <w:spacing w:val="-1"/>
        </w:rPr>
        <w:t>or</w:t>
      </w:r>
      <w:r>
        <w:rPr>
          <w:spacing w:val="23"/>
        </w:rPr>
        <w:t xml:space="preserve"> </w:t>
      </w:r>
      <w:r>
        <w:rPr>
          <w:spacing w:val="-1"/>
        </w:rPr>
        <w:t>disruptions</w:t>
      </w:r>
      <w:r>
        <w:rPr>
          <w:spacing w:val="22"/>
        </w:rPr>
        <w:t xml:space="preserve"> </w:t>
      </w:r>
      <w:r>
        <w:t>to</w:t>
      </w:r>
      <w:r>
        <w:rPr>
          <w:spacing w:val="22"/>
        </w:rPr>
        <w:t xml:space="preserve"> </w:t>
      </w:r>
      <w:r>
        <w:rPr>
          <w:spacing w:val="-1"/>
        </w:rPr>
        <w:t>the</w:t>
      </w:r>
      <w:r>
        <w:rPr>
          <w:spacing w:val="42"/>
        </w:rPr>
        <w:t xml:space="preserve"> </w:t>
      </w:r>
      <w:r>
        <w:rPr>
          <w:spacing w:val="-2"/>
        </w:rPr>
        <w:t>provision</w:t>
      </w:r>
      <w:r>
        <w:t xml:space="preserve"> </w:t>
      </w:r>
      <w:r>
        <w:rPr>
          <w:spacing w:val="-1"/>
        </w:rPr>
        <w:t>of</w:t>
      </w:r>
      <w:r>
        <w:rPr>
          <w:spacing w:val="2"/>
        </w:rPr>
        <w:t xml:space="preserve"> </w:t>
      </w:r>
      <w:r>
        <w:rPr>
          <w:spacing w:val="-1"/>
        </w:rPr>
        <w:t>Goods</w:t>
      </w:r>
      <w:r>
        <w:rPr>
          <w:spacing w:val="1"/>
        </w:rPr>
        <w:t xml:space="preserve"> </w:t>
      </w:r>
      <w:r>
        <w:rPr>
          <w:spacing w:val="-2"/>
        </w:rPr>
        <w:t>and/or</w:t>
      </w:r>
      <w:r>
        <w:rPr>
          <w:spacing w:val="2"/>
        </w:rPr>
        <w:t xml:space="preserve"> </w:t>
      </w:r>
      <w:r>
        <w:rPr>
          <w:spacing w:val="-2"/>
        </w:rPr>
        <w:t>Services;</w:t>
      </w:r>
    </w:p>
    <w:p w:rsidR="008918FA" w:rsidRDefault="008918FA" w:rsidP="008918FA">
      <w:pPr>
        <w:pStyle w:val="BodyText"/>
        <w:numPr>
          <w:ilvl w:val="2"/>
          <w:numId w:val="10"/>
        </w:numPr>
        <w:tabs>
          <w:tab w:val="left" w:pos="2026"/>
        </w:tabs>
        <w:spacing w:before="122" w:line="239" w:lineRule="auto"/>
        <w:ind w:left="2025" w:right="112" w:hanging="993"/>
        <w:jc w:val="both"/>
      </w:pPr>
      <w:bookmarkStart w:id="437" w:name="_bookmark357"/>
      <w:bookmarkEnd w:id="437"/>
      <w:r>
        <w:rPr>
          <w:spacing w:val="-1"/>
        </w:rPr>
        <w:t>set</w:t>
      </w:r>
      <w:r>
        <w:rPr>
          <w:spacing w:val="23"/>
        </w:rPr>
        <w:t xml:space="preserve"> </w:t>
      </w:r>
      <w:r>
        <w:rPr>
          <w:spacing w:val="-1"/>
        </w:rPr>
        <w:t>out</w:t>
      </w:r>
      <w:r>
        <w:rPr>
          <w:spacing w:val="21"/>
        </w:rPr>
        <w:t xml:space="preserve"> </w:t>
      </w:r>
      <w:r>
        <w:t>the</w:t>
      </w:r>
      <w:r>
        <w:rPr>
          <w:spacing w:val="20"/>
        </w:rPr>
        <w:t xml:space="preserve"> </w:t>
      </w:r>
      <w:r>
        <w:rPr>
          <w:spacing w:val="-1"/>
        </w:rPr>
        <w:t>goods</w:t>
      </w:r>
      <w:r>
        <w:rPr>
          <w:spacing w:val="22"/>
        </w:rPr>
        <w:t xml:space="preserve"> </w:t>
      </w:r>
      <w:r>
        <w:rPr>
          <w:spacing w:val="-2"/>
        </w:rPr>
        <w:t>and/or</w:t>
      </w:r>
      <w:r>
        <w:rPr>
          <w:spacing w:val="24"/>
        </w:rPr>
        <w:t xml:space="preserve"> </w:t>
      </w:r>
      <w:r>
        <w:rPr>
          <w:spacing w:val="-1"/>
        </w:rPr>
        <w:t>services</w:t>
      </w:r>
      <w:r>
        <w:rPr>
          <w:spacing w:val="22"/>
        </w:rPr>
        <w:t xml:space="preserve"> </w:t>
      </w:r>
      <w:r>
        <w:t>to</w:t>
      </w:r>
      <w:r>
        <w:rPr>
          <w:spacing w:val="22"/>
        </w:rPr>
        <w:t xml:space="preserve"> </w:t>
      </w:r>
      <w:r>
        <w:rPr>
          <w:spacing w:val="-1"/>
        </w:rPr>
        <w:t>be</w:t>
      </w:r>
      <w:r>
        <w:rPr>
          <w:spacing w:val="22"/>
        </w:rPr>
        <w:t xml:space="preserve"> </w:t>
      </w:r>
      <w:r>
        <w:rPr>
          <w:spacing w:val="-2"/>
        </w:rPr>
        <w:t>provided</w:t>
      </w:r>
      <w:r>
        <w:rPr>
          <w:spacing w:val="22"/>
        </w:rPr>
        <w:t xml:space="preserve"> </w:t>
      </w:r>
      <w:r>
        <w:rPr>
          <w:spacing w:val="-1"/>
        </w:rPr>
        <w:t>and</w:t>
      </w:r>
      <w:r>
        <w:rPr>
          <w:spacing w:val="22"/>
        </w:rPr>
        <w:t xml:space="preserve"> </w:t>
      </w:r>
      <w:r>
        <w:t>the</w:t>
      </w:r>
      <w:r>
        <w:rPr>
          <w:spacing w:val="22"/>
        </w:rPr>
        <w:t xml:space="preserve"> </w:t>
      </w:r>
      <w:r>
        <w:rPr>
          <w:spacing w:val="-1"/>
        </w:rPr>
        <w:t>steps</w:t>
      </w:r>
      <w:r>
        <w:rPr>
          <w:spacing w:val="22"/>
        </w:rPr>
        <w:t xml:space="preserve"> </w:t>
      </w:r>
      <w:r>
        <w:rPr>
          <w:spacing w:val="1"/>
        </w:rPr>
        <w:t>to</w:t>
      </w:r>
      <w:r>
        <w:rPr>
          <w:spacing w:val="19"/>
        </w:rPr>
        <w:t xml:space="preserve"> </w:t>
      </w:r>
      <w:r>
        <w:rPr>
          <w:spacing w:val="-1"/>
        </w:rPr>
        <w:t>be</w:t>
      </w:r>
      <w:r>
        <w:rPr>
          <w:spacing w:val="46"/>
        </w:rPr>
        <w:t xml:space="preserve"> </w:t>
      </w:r>
      <w:r>
        <w:rPr>
          <w:spacing w:val="-1"/>
        </w:rPr>
        <w:t>taken</w:t>
      </w:r>
      <w:r>
        <w:rPr>
          <w:spacing w:val="15"/>
        </w:rPr>
        <w:t xml:space="preserve"> </w:t>
      </w:r>
      <w:r>
        <w:t>to</w:t>
      </w:r>
      <w:r>
        <w:rPr>
          <w:spacing w:val="12"/>
        </w:rPr>
        <w:t xml:space="preserve"> </w:t>
      </w:r>
      <w:r>
        <w:rPr>
          <w:spacing w:val="-1"/>
        </w:rPr>
        <w:t>remedy</w:t>
      </w:r>
      <w:r>
        <w:rPr>
          <w:spacing w:val="13"/>
        </w:rPr>
        <w:t xml:space="preserve"> </w:t>
      </w:r>
      <w:r>
        <w:t>the</w:t>
      </w:r>
      <w:r>
        <w:rPr>
          <w:spacing w:val="15"/>
        </w:rPr>
        <w:t xml:space="preserve"> </w:t>
      </w:r>
      <w:r>
        <w:rPr>
          <w:spacing w:val="-1"/>
        </w:rPr>
        <w:t>different</w:t>
      </w:r>
      <w:r>
        <w:rPr>
          <w:spacing w:val="16"/>
        </w:rPr>
        <w:t xml:space="preserve"> </w:t>
      </w:r>
      <w:r>
        <w:rPr>
          <w:spacing w:val="-2"/>
        </w:rPr>
        <w:t>levels</w:t>
      </w:r>
      <w:r>
        <w:rPr>
          <w:spacing w:val="15"/>
        </w:rPr>
        <w:t xml:space="preserve"> </w:t>
      </w:r>
      <w:r>
        <w:rPr>
          <w:spacing w:val="-1"/>
        </w:rPr>
        <w:t>of</w:t>
      </w:r>
      <w:r>
        <w:rPr>
          <w:spacing w:val="14"/>
        </w:rPr>
        <w:t xml:space="preserve"> </w:t>
      </w:r>
      <w:r>
        <w:rPr>
          <w:spacing w:val="-1"/>
        </w:rPr>
        <w:t>failures</w:t>
      </w:r>
      <w:r>
        <w:rPr>
          <w:spacing w:val="15"/>
        </w:rPr>
        <w:t xml:space="preserve"> </w:t>
      </w:r>
      <w:r>
        <w:rPr>
          <w:spacing w:val="-2"/>
        </w:rPr>
        <w:t>of</w:t>
      </w:r>
      <w:r>
        <w:rPr>
          <w:spacing w:val="14"/>
        </w:rPr>
        <w:t xml:space="preserve"> </w:t>
      </w:r>
      <w:r>
        <w:rPr>
          <w:spacing w:val="-1"/>
        </w:rPr>
        <w:t>and</w:t>
      </w:r>
      <w:r>
        <w:rPr>
          <w:spacing w:val="15"/>
        </w:rPr>
        <w:t xml:space="preserve"> </w:t>
      </w:r>
      <w:r>
        <w:rPr>
          <w:spacing w:val="-1"/>
        </w:rPr>
        <w:t>disruption</w:t>
      </w:r>
      <w:r>
        <w:rPr>
          <w:spacing w:val="15"/>
        </w:rPr>
        <w:t xml:space="preserve"> </w:t>
      </w:r>
      <w:r>
        <w:t>to</w:t>
      </w:r>
      <w:r>
        <w:rPr>
          <w:spacing w:val="12"/>
        </w:rPr>
        <w:t xml:space="preserve"> </w:t>
      </w:r>
      <w:r>
        <w:rPr>
          <w:spacing w:val="-1"/>
        </w:rPr>
        <w:t>the</w:t>
      </w:r>
      <w:r>
        <w:rPr>
          <w:spacing w:val="50"/>
        </w:rPr>
        <w:t xml:space="preserve"> </w:t>
      </w:r>
      <w:r>
        <w:rPr>
          <w:spacing w:val="-1"/>
        </w:rPr>
        <w:t>Goods</w:t>
      </w:r>
      <w:r>
        <w:rPr>
          <w:spacing w:val="8"/>
        </w:rPr>
        <w:t xml:space="preserve"> </w:t>
      </w:r>
      <w:r>
        <w:rPr>
          <w:spacing w:val="-1"/>
        </w:rPr>
        <w:t>and/or</w:t>
      </w:r>
      <w:r>
        <w:rPr>
          <w:spacing w:val="9"/>
        </w:rPr>
        <w:t xml:space="preserve"> </w:t>
      </w:r>
      <w:r>
        <w:rPr>
          <w:spacing w:val="-1"/>
        </w:rPr>
        <w:t>Services</w:t>
      </w:r>
      <w:r>
        <w:rPr>
          <w:spacing w:val="8"/>
        </w:rPr>
        <w:t xml:space="preserve"> </w:t>
      </w:r>
      <w:r>
        <w:rPr>
          <w:spacing w:val="-1"/>
        </w:rPr>
        <w:t>(such</w:t>
      </w:r>
      <w:r>
        <w:rPr>
          <w:spacing w:val="8"/>
        </w:rPr>
        <w:t xml:space="preserve"> </w:t>
      </w:r>
      <w:r>
        <w:rPr>
          <w:spacing w:val="-1"/>
        </w:rPr>
        <w:t>goods,</w:t>
      </w:r>
      <w:r>
        <w:rPr>
          <w:spacing w:val="10"/>
        </w:rPr>
        <w:t xml:space="preserve"> </w:t>
      </w:r>
      <w:r>
        <w:rPr>
          <w:spacing w:val="-1"/>
        </w:rPr>
        <w:t>services</w:t>
      </w:r>
      <w:r>
        <w:rPr>
          <w:spacing w:val="8"/>
        </w:rPr>
        <w:t xml:space="preserve"> </w:t>
      </w:r>
      <w:r>
        <w:rPr>
          <w:spacing w:val="-1"/>
        </w:rPr>
        <w:t>and</w:t>
      </w:r>
      <w:r>
        <w:rPr>
          <w:spacing w:val="8"/>
        </w:rPr>
        <w:t xml:space="preserve"> </w:t>
      </w:r>
      <w:r>
        <w:rPr>
          <w:spacing w:val="-1"/>
        </w:rPr>
        <w:t>steps,</w:t>
      </w:r>
      <w:r>
        <w:rPr>
          <w:spacing w:val="9"/>
        </w:rPr>
        <w:t xml:space="preserve"> </w:t>
      </w:r>
      <w:r>
        <w:rPr>
          <w:spacing w:val="-1"/>
        </w:rPr>
        <w:t>the</w:t>
      </w:r>
      <w:r>
        <w:rPr>
          <w:spacing w:val="32"/>
        </w:rPr>
        <w:t xml:space="preserve"> </w:t>
      </w:r>
      <w:r>
        <w:rPr>
          <w:spacing w:val="-1"/>
        </w:rPr>
        <w:t>“</w:t>
      </w:r>
      <w:r>
        <w:rPr>
          <w:rFonts w:cs="Arial"/>
          <w:b/>
          <w:bCs/>
          <w:spacing w:val="-1"/>
        </w:rPr>
        <w:t>Business</w:t>
      </w:r>
      <w:r>
        <w:rPr>
          <w:rFonts w:cs="Arial"/>
          <w:b/>
          <w:bCs/>
        </w:rPr>
        <w:t xml:space="preserve"> </w:t>
      </w:r>
      <w:r>
        <w:rPr>
          <w:rFonts w:cs="Arial"/>
          <w:b/>
          <w:bCs/>
          <w:spacing w:val="-1"/>
        </w:rPr>
        <w:t>Continuity</w:t>
      </w:r>
      <w:r>
        <w:rPr>
          <w:rFonts w:cs="Arial"/>
          <w:b/>
          <w:bCs/>
          <w:spacing w:val="-4"/>
        </w:rPr>
        <w:t xml:space="preserve"> </w:t>
      </w:r>
      <w:r>
        <w:rPr>
          <w:rFonts w:cs="Arial"/>
          <w:b/>
          <w:bCs/>
          <w:spacing w:val="-1"/>
        </w:rPr>
        <w:t>Services</w:t>
      </w:r>
      <w:r>
        <w:rPr>
          <w:spacing w:val="-1"/>
        </w:rPr>
        <w:t>”);</w:t>
      </w:r>
    </w:p>
    <w:p w:rsidR="008918FA" w:rsidRDefault="008918FA" w:rsidP="008918FA">
      <w:pPr>
        <w:pStyle w:val="BodyText"/>
        <w:numPr>
          <w:ilvl w:val="2"/>
          <w:numId w:val="10"/>
        </w:numPr>
        <w:tabs>
          <w:tab w:val="left" w:pos="2027"/>
        </w:tabs>
        <w:spacing w:before="121"/>
        <w:ind w:right="114"/>
        <w:jc w:val="both"/>
      </w:pPr>
      <w:r>
        <w:rPr>
          <w:spacing w:val="-1"/>
        </w:rPr>
        <w:t>specify</w:t>
      </w:r>
      <w:r>
        <w:rPr>
          <w:spacing w:val="22"/>
        </w:rPr>
        <w:t xml:space="preserve"> </w:t>
      </w:r>
      <w:r>
        <w:rPr>
          <w:spacing w:val="-1"/>
        </w:rPr>
        <w:t>any</w:t>
      </w:r>
      <w:r>
        <w:rPr>
          <w:spacing w:val="22"/>
        </w:rPr>
        <w:t xml:space="preserve"> </w:t>
      </w:r>
      <w:r>
        <w:rPr>
          <w:spacing w:val="-2"/>
        </w:rPr>
        <w:t>applicable</w:t>
      </w:r>
      <w:r>
        <w:rPr>
          <w:spacing w:val="24"/>
        </w:rPr>
        <w:t xml:space="preserve"> </w:t>
      </w:r>
      <w:r>
        <w:rPr>
          <w:spacing w:val="-1"/>
        </w:rPr>
        <w:t>Service</w:t>
      </w:r>
      <w:r>
        <w:rPr>
          <w:spacing w:val="25"/>
        </w:rPr>
        <w:t xml:space="preserve"> </w:t>
      </w:r>
      <w:r>
        <w:rPr>
          <w:spacing w:val="-2"/>
        </w:rPr>
        <w:t>Levels</w:t>
      </w:r>
      <w:r>
        <w:rPr>
          <w:spacing w:val="27"/>
        </w:rPr>
        <w:t xml:space="preserve"> </w:t>
      </w:r>
      <w:r>
        <w:rPr>
          <w:spacing w:val="-1"/>
        </w:rPr>
        <w:t>with</w:t>
      </w:r>
      <w:r>
        <w:rPr>
          <w:spacing w:val="24"/>
        </w:rPr>
        <w:t xml:space="preserve"> </w:t>
      </w:r>
      <w:r>
        <w:rPr>
          <w:spacing w:val="-1"/>
        </w:rPr>
        <w:t>respect</w:t>
      </w:r>
      <w:r>
        <w:rPr>
          <w:spacing w:val="26"/>
        </w:rPr>
        <w:t xml:space="preserve"> </w:t>
      </w:r>
      <w:r>
        <w:rPr>
          <w:spacing w:val="-1"/>
        </w:rPr>
        <w:t>to</w:t>
      </w:r>
      <w:r>
        <w:rPr>
          <w:spacing w:val="24"/>
        </w:rPr>
        <w:t xml:space="preserve"> </w:t>
      </w:r>
      <w:r>
        <w:t>the</w:t>
      </w:r>
      <w:r>
        <w:rPr>
          <w:spacing w:val="22"/>
        </w:rPr>
        <w:t xml:space="preserve"> </w:t>
      </w:r>
      <w:r>
        <w:rPr>
          <w:spacing w:val="-2"/>
        </w:rPr>
        <w:t>provision</w:t>
      </w:r>
      <w:r>
        <w:rPr>
          <w:spacing w:val="24"/>
        </w:rPr>
        <w:t xml:space="preserve"> </w:t>
      </w:r>
      <w:r>
        <w:rPr>
          <w:spacing w:val="-2"/>
        </w:rPr>
        <w:t>of</w:t>
      </w:r>
      <w:r>
        <w:rPr>
          <w:spacing w:val="59"/>
        </w:rPr>
        <w:t xml:space="preserve"> </w:t>
      </w:r>
      <w:r>
        <w:t>the</w:t>
      </w:r>
      <w:r>
        <w:rPr>
          <w:spacing w:val="17"/>
        </w:rPr>
        <w:t xml:space="preserve"> </w:t>
      </w:r>
      <w:r>
        <w:rPr>
          <w:spacing w:val="-1"/>
        </w:rPr>
        <w:t>Business</w:t>
      </w:r>
      <w:r>
        <w:rPr>
          <w:spacing w:val="18"/>
        </w:rPr>
        <w:t xml:space="preserve"> </w:t>
      </w:r>
      <w:r>
        <w:rPr>
          <w:spacing w:val="-1"/>
        </w:rPr>
        <w:t>Continuity</w:t>
      </w:r>
      <w:r>
        <w:rPr>
          <w:spacing w:val="18"/>
        </w:rPr>
        <w:t xml:space="preserve"> </w:t>
      </w:r>
      <w:r>
        <w:rPr>
          <w:spacing w:val="-1"/>
        </w:rPr>
        <w:t>Services</w:t>
      </w:r>
      <w:r>
        <w:rPr>
          <w:spacing w:val="18"/>
        </w:rPr>
        <w:t xml:space="preserve"> </w:t>
      </w:r>
      <w:r>
        <w:rPr>
          <w:spacing w:val="-1"/>
        </w:rPr>
        <w:t>and</w:t>
      </w:r>
      <w:r>
        <w:rPr>
          <w:spacing w:val="17"/>
        </w:rPr>
        <w:t xml:space="preserve"> </w:t>
      </w:r>
      <w:r>
        <w:rPr>
          <w:spacing w:val="-1"/>
        </w:rPr>
        <w:t>details</w:t>
      </w:r>
      <w:r>
        <w:rPr>
          <w:spacing w:val="18"/>
        </w:rPr>
        <w:t xml:space="preserve"> </w:t>
      </w:r>
      <w:r>
        <w:rPr>
          <w:spacing w:val="-1"/>
        </w:rPr>
        <w:t>of</w:t>
      </w:r>
      <w:r>
        <w:rPr>
          <w:spacing w:val="21"/>
        </w:rPr>
        <w:t xml:space="preserve"> </w:t>
      </w:r>
      <w:r>
        <w:rPr>
          <w:spacing w:val="-1"/>
        </w:rPr>
        <w:t>any</w:t>
      </w:r>
      <w:r>
        <w:rPr>
          <w:spacing w:val="15"/>
        </w:rPr>
        <w:t xml:space="preserve"> </w:t>
      </w:r>
      <w:r>
        <w:rPr>
          <w:spacing w:val="-1"/>
        </w:rPr>
        <w:t>agreed</w:t>
      </w:r>
      <w:r>
        <w:rPr>
          <w:spacing w:val="17"/>
        </w:rPr>
        <w:t xml:space="preserve"> </w:t>
      </w:r>
      <w:r>
        <w:rPr>
          <w:spacing w:val="-2"/>
        </w:rPr>
        <w:t>relaxation</w:t>
      </w:r>
      <w:r>
        <w:rPr>
          <w:spacing w:val="50"/>
        </w:rPr>
        <w:t xml:space="preserve"> </w:t>
      </w:r>
      <w:r>
        <w:t>to</w:t>
      </w:r>
      <w:r>
        <w:rPr>
          <w:spacing w:val="7"/>
        </w:rPr>
        <w:t xml:space="preserve"> </w:t>
      </w:r>
      <w:r>
        <w:t>the</w:t>
      </w:r>
      <w:r>
        <w:rPr>
          <w:spacing w:val="7"/>
        </w:rPr>
        <w:t xml:space="preserve"> </w:t>
      </w:r>
      <w:r>
        <w:rPr>
          <w:spacing w:val="-2"/>
        </w:rPr>
        <w:t>Service</w:t>
      </w:r>
      <w:r>
        <w:rPr>
          <w:spacing w:val="8"/>
        </w:rPr>
        <w:t xml:space="preserve"> </w:t>
      </w:r>
      <w:r>
        <w:rPr>
          <w:spacing w:val="-1"/>
        </w:rPr>
        <w:t>Levels</w:t>
      </w:r>
      <w:r>
        <w:rPr>
          <w:spacing w:val="8"/>
        </w:rPr>
        <w:t xml:space="preserve"> </w:t>
      </w:r>
      <w:r>
        <w:rPr>
          <w:spacing w:val="-1"/>
        </w:rPr>
        <w:t>in</w:t>
      </w:r>
      <w:r>
        <w:rPr>
          <w:spacing w:val="10"/>
        </w:rPr>
        <w:t xml:space="preserve"> </w:t>
      </w:r>
      <w:r>
        <w:rPr>
          <w:spacing w:val="-1"/>
        </w:rPr>
        <w:t>respect</w:t>
      </w:r>
      <w:r>
        <w:rPr>
          <w:spacing w:val="9"/>
        </w:rPr>
        <w:t xml:space="preserve"> </w:t>
      </w:r>
      <w:r>
        <w:rPr>
          <w:spacing w:val="-2"/>
        </w:rPr>
        <w:t>of</w:t>
      </w:r>
      <w:r>
        <w:rPr>
          <w:spacing w:val="11"/>
        </w:rPr>
        <w:t xml:space="preserve"> </w:t>
      </w:r>
      <w:r>
        <w:t>the</w:t>
      </w:r>
      <w:r>
        <w:rPr>
          <w:spacing w:val="7"/>
        </w:rPr>
        <w:t xml:space="preserve"> </w:t>
      </w:r>
      <w:r>
        <w:rPr>
          <w:spacing w:val="-2"/>
        </w:rPr>
        <w:t>provision</w:t>
      </w:r>
      <w:r>
        <w:rPr>
          <w:spacing w:val="7"/>
        </w:rPr>
        <w:t xml:space="preserve"> </w:t>
      </w:r>
      <w:r>
        <w:rPr>
          <w:spacing w:val="-1"/>
        </w:rPr>
        <w:t>of</w:t>
      </w:r>
      <w:r>
        <w:rPr>
          <w:spacing w:val="11"/>
        </w:rPr>
        <w:t xml:space="preserve"> </w:t>
      </w:r>
      <w:r>
        <w:rPr>
          <w:spacing w:val="-1"/>
        </w:rPr>
        <w:t>other</w:t>
      </w:r>
      <w:r>
        <w:rPr>
          <w:spacing w:val="9"/>
        </w:rPr>
        <w:t xml:space="preserve"> </w:t>
      </w:r>
      <w:r>
        <w:rPr>
          <w:spacing w:val="-1"/>
        </w:rPr>
        <w:t>Goods</w:t>
      </w:r>
      <w:r>
        <w:rPr>
          <w:spacing w:val="8"/>
        </w:rPr>
        <w:t xml:space="preserve"> </w:t>
      </w:r>
      <w:r>
        <w:rPr>
          <w:spacing w:val="-1"/>
        </w:rPr>
        <w:t>and/or</w:t>
      </w:r>
      <w:r>
        <w:rPr>
          <w:spacing w:val="53"/>
        </w:rPr>
        <w:t xml:space="preserve"> </w:t>
      </w:r>
      <w:r>
        <w:rPr>
          <w:spacing w:val="-1"/>
        </w:rPr>
        <w:t>Services</w:t>
      </w:r>
      <w:r>
        <w:rPr>
          <w:spacing w:val="46"/>
        </w:rPr>
        <w:t xml:space="preserve"> </w:t>
      </w:r>
      <w:r>
        <w:rPr>
          <w:spacing w:val="-1"/>
        </w:rPr>
        <w:t>during</w:t>
      </w:r>
      <w:r>
        <w:rPr>
          <w:spacing w:val="48"/>
        </w:rPr>
        <w:t xml:space="preserve"> </w:t>
      </w:r>
      <w:r>
        <w:rPr>
          <w:spacing w:val="-1"/>
        </w:rPr>
        <w:t>any</w:t>
      </w:r>
      <w:r>
        <w:rPr>
          <w:spacing w:val="44"/>
        </w:rPr>
        <w:t xml:space="preserve"> </w:t>
      </w:r>
      <w:r>
        <w:rPr>
          <w:spacing w:val="-2"/>
        </w:rPr>
        <w:t>period</w:t>
      </w:r>
      <w:r>
        <w:rPr>
          <w:spacing w:val="46"/>
        </w:rPr>
        <w:t xml:space="preserve"> </w:t>
      </w:r>
      <w:r>
        <w:rPr>
          <w:spacing w:val="-1"/>
        </w:rPr>
        <w:t>of</w:t>
      </w:r>
      <w:r>
        <w:rPr>
          <w:spacing w:val="47"/>
        </w:rPr>
        <w:t xml:space="preserve"> </w:t>
      </w:r>
      <w:r>
        <w:rPr>
          <w:spacing w:val="-1"/>
        </w:rPr>
        <w:t>invocation</w:t>
      </w:r>
      <w:r>
        <w:rPr>
          <w:spacing w:val="46"/>
        </w:rPr>
        <w:t xml:space="preserve"> </w:t>
      </w:r>
      <w:r>
        <w:rPr>
          <w:spacing w:val="-2"/>
        </w:rPr>
        <w:t>of</w:t>
      </w:r>
      <w:r>
        <w:rPr>
          <w:spacing w:val="50"/>
        </w:rPr>
        <w:t xml:space="preserve"> </w:t>
      </w:r>
      <w:r>
        <w:t>the</w:t>
      </w:r>
      <w:r>
        <w:rPr>
          <w:spacing w:val="43"/>
        </w:rPr>
        <w:t xml:space="preserve"> </w:t>
      </w:r>
      <w:r>
        <w:rPr>
          <w:spacing w:val="-1"/>
        </w:rPr>
        <w:t>Business</w:t>
      </w:r>
      <w:r>
        <w:rPr>
          <w:spacing w:val="47"/>
        </w:rPr>
        <w:t xml:space="preserve"> </w:t>
      </w:r>
      <w:r>
        <w:rPr>
          <w:spacing w:val="-1"/>
        </w:rPr>
        <w:t>Continuity</w:t>
      </w:r>
      <w:r>
        <w:rPr>
          <w:spacing w:val="25"/>
        </w:rPr>
        <w:t xml:space="preserve"> </w:t>
      </w:r>
      <w:r>
        <w:rPr>
          <w:spacing w:val="-1"/>
        </w:rPr>
        <w:t>Plan;</w:t>
      </w:r>
      <w:r>
        <w:rPr>
          <w:spacing w:val="2"/>
        </w:rPr>
        <w:t xml:space="preserve"> </w:t>
      </w:r>
      <w:r>
        <w:rPr>
          <w:spacing w:val="-1"/>
        </w:rPr>
        <w:t>and</w:t>
      </w:r>
    </w:p>
    <w:p w:rsidR="008918FA" w:rsidRDefault="008918FA" w:rsidP="008918FA">
      <w:pPr>
        <w:pStyle w:val="BodyText"/>
        <w:numPr>
          <w:ilvl w:val="2"/>
          <w:numId w:val="10"/>
        </w:numPr>
        <w:tabs>
          <w:tab w:val="left" w:pos="2027"/>
        </w:tabs>
        <w:ind w:right="117"/>
        <w:jc w:val="both"/>
      </w:pPr>
      <w:r>
        <w:rPr>
          <w:spacing w:val="-1"/>
        </w:rPr>
        <w:t>clearly</w:t>
      </w:r>
      <w:r>
        <w:rPr>
          <w:spacing w:val="39"/>
        </w:rPr>
        <w:t xml:space="preserve"> </w:t>
      </w:r>
      <w:r>
        <w:rPr>
          <w:spacing w:val="-1"/>
        </w:rPr>
        <w:t>set</w:t>
      </w:r>
      <w:r>
        <w:rPr>
          <w:spacing w:val="42"/>
        </w:rPr>
        <w:t xml:space="preserve"> </w:t>
      </w:r>
      <w:r>
        <w:rPr>
          <w:spacing w:val="-1"/>
        </w:rPr>
        <w:t>out</w:t>
      </w:r>
      <w:r>
        <w:rPr>
          <w:spacing w:val="42"/>
        </w:rPr>
        <w:t xml:space="preserve"> </w:t>
      </w:r>
      <w:r>
        <w:t>the</w:t>
      </w:r>
      <w:r>
        <w:rPr>
          <w:spacing w:val="41"/>
        </w:rPr>
        <w:t xml:space="preserve"> </w:t>
      </w:r>
      <w:r>
        <w:rPr>
          <w:spacing w:val="-1"/>
        </w:rPr>
        <w:t>conditions</w:t>
      </w:r>
      <w:r>
        <w:rPr>
          <w:spacing w:val="41"/>
        </w:rPr>
        <w:t xml:space="preserve"> </w:t>
      </w:r>
      <w:r>
        <w:rPr>
          <w:spacing w:val="-1"/>
        </w:rPr>
        <w:t>and/or</w:t>
      </w:r>
      <w:r>
        <w:rPr>
          <w:spacing w:val="44"/>
        </w:rPr>
        <w:t xml:space="preserve"> </w:t>
      </w:r>
      <w:r>
        <w:rPr>
          <w:spacing w:val="-1"/>
        </w:rPr>
        <w:t>circumstances</w:t>
      </w:r>
      <w:r>
        <w:rPr>
          <w:spacing w:val="42"/>
        </w:rPr>
        <w:t xml:space="preserve"> </w:t>
      </w:r>
      <w:r>
        <w:rPr>
          <w:spacing w:val="-1"/>
        </w:rPr>
        <w:t>under</w:t>
      </w:r>
      <w:r>
        <w:rPr>
          <w:spacing w:val="42"/>
        </w:rPr>
        <w:t xml:space="preserve"> </w:t>
      </w:r>
      <w:r>
        <w:rPr>
          <w:spacing w:val="-2"/>
        </w:rPr>
        <w:t>which</w:t>
      </w:r>
      <w:r>
        <w:rPr>
          <w:spacing w:val="41"/>
        </w:rPr>
        <w:t xml:space="preserve"> </w:t>
      </w:r>
      <w:r>
        <w:rPr>
          <w:spacing w:val="-1"/>
        </w:rPr>
        <w:t>the</w:t>
      </w:r>
      <w:r>
        <w:rPr>
          <w:spacing w:val="24"/>
        </w:rPr>
        <w:t xml:space="preserve"> </w:t>
      </w:r>
      <w:r>
        <w:rPr>
          <w:spacing w:val="-1"/>
        </w:rPr>
        <w:t>Business</w:t>
      </w:r>
      <w:r>
        <w:rPr>
          <w:spacing w:val="1"/>
        </w:rPr>
        <w:t xml:space="preserve"> </w:t>
      </w:r>
      <w:r>
        <w:rPr>
          <w:spacing w:val="-1"/>
        </w:rPr>
        <w:t>Continuity</w:t>
      </w:r>
      <w:r>
        <w:rPr>
          <w:spacing w:val="-2"/>
        </w:rPr>
        <w:t xml:space="preserve"> </w:t>
      </w:r>
      <w:r>
        <w:rPr>
          <w:spacing w:val="-1"/>
        </w:rPr>
        <w:t>Plan</w:t>
      </w:r>
      <w:r>
        <w:t xml:space="preserve"> </w:t>
      </w:r>
      <w:r>
        <w:rPr>
          <w:spacing w:val="-1"/>
        </w:rPr>
        <w:t>is</w:t>
      </w:r>
      <w:r>
        <w:rPr>
          <w:spacing w:val="1"/>
        </w:rPr>
        <w:t xml:space="preserve"> </w:t>
      </w:r>
      <w:r>
        <w:rPr>
          <w:spacing w:val="-1"/>
        </w:rPr>
        <w:t>invoked.</w:t>
      </w:r>
    </w:p>
    <w:p w:rsidR="008918FA" w:rsidRDefault="008918FA" w:rsidP="008918FA">
      <w:pPr>
        <w:pStyle w:val="BodyText"/>
        <w:numPr>
          <w:ilvl w:val="0"/>
          <w:numId w:val="10"/>
        </w:numPr>
        <w:tabs>
          <w:tab w:val="left" w:pos="467"/>
        </w:tabs>
        <w:spacing w:before="117"/>
        <w:ind w:left="466"/>
        <w:jc w:val="left"/>
        <w:rPr>
          <w:rFonts w:ascii="Times New Roman" w:eastAsia="Times New Roman" w:hAnsi="Times New Roman" w:cs="Times New Roman"/>
        </w:rPr>
      </w:pPr>
      <w:r>
        <w:rPr>
          <w:rFonts w:ascii="Times New Roman"/>
          <w:spacing w:val="-2"/>
        </w:rPr>
        <w:t>D</w:t>
      </w:r>
      <w:r>
        <w:rPr>
          <w:rFonts w:ascii="Times New Roman"/>
          <w:spacing w:val="-12"/>
        </w:rPr>
        <w:t>I</w:t>
      </w:r>
      <w:r>
        <w:rPr>
          <w:rFonts w:ascii="Times New Roman"/>
          <w:spacing w:val="26"/>
        </w:rPr>
        <w:t>S</w:t>
      </w:r>
      <w:r>
        <w:rPr>
          <w:rFonts w:ascii="Times New Roman"/>
          <w:spacing w:val="-6"/>
        </w:rPr>
        <w:t>A</w:t>
      </w:r>
      <w:r>
        <w:rPr>
          <w:rFonts w:ascii="Times New Roman"/>
          <w:spacing w:val="26"/>
        </w:rPr>
        <w:t>S</w:t>
      </w:r>
      <w:r>
        <w:rPr>
          <w:rFonts w:ascii="Times New Roman"/>
          <w:spacing w:val="-3"/>
        </w:rPr>
        <w:t>T</w:t>
      </w:r>
      <w:r>
        <w:rPr>
          <w:rFonts w:ascii="Times New Roman"/>
          <w:spacing w:val="11"/>
        </w:rPr>
        <w:t>E</w:t>
      </w:r>
      <w:r>
        <w:rPr>
          <w:rFonts w:ascii="Times New Roman"/>
        </w:rPr>
        <w:t>R</w:t>
      </w:r>
      <w:r>
        <w:rPr>
          <w:rFonts w:ascii="Times New Roman"/>
          <w:spacing w:val="18"/>
        </w:rPr>
        <w:t xml:space="preserve"> </w:t>
      </w:r>
      <w:r>
        <w:rPr>
          <w:rFonts w:ascii="Times New Roman"/>
          <w:spacing w:val="11"/>
        </w:rPr>
        <w:t>R</w:t>
      </w:r>
      <w:r>
        <w:rPr>
          <w:rFonts w:ascii="Times New Roman"/>
          <w:spacing w:val="13"/>
        </w:rPr>
        <w:t>E</w:t>
      </w:r>
      <w:r>
        <w:rPr>
          <w:rFonts w:ascii="Times New Roman"/>
          <w:spacing w:val="11"/>
        </w:rPr>
        <w:t>C</w:t>
      </w:r>
      <w:r>
        <w:rPr>
          <w:rFonts w:ascii="Times New Roman"/>
          <w:spacing w:val="13"/>
        </w:rPr>
        <w:t>O</w:t>
      </w:r>
      <w:r>
        <w:rPr>
          <w:rFonts w:ascii="Times New Roman"/>
          <w:spacing w:val="-14"/>
        </w:rPr>
        <w:t>V</w:t>
      </w:r>
      <w:r>
        <w:rPr>
          <w:rFonts w:ascii="Times New Roman"/>
          <w:spacing w:val="11"/>
        </w:rPr>
        <w:t>ER</w:t>
      </w:r>
      <w:r>
        <w:rPr>
          <w:rFonts w:ascii="Times New Roman"/>
        </w:rPr>
        <w:t>Y</w:t>
      </w:r>
      <w:r>
        <w:rPr>
          <w:rFonts w:ascii="Times New Roman"/>
          <w:spacing w:val="-6"/>
        </w:rPr>
        <w:t xml:space="preserve"> </w:t>
      </w:r>
      <w:r>
        <w:rPr>
          <w:rFonts w:ascii="Times New Roman"/>
          <w:spacing w:val="4"/>
        </w:rPr>
        <w:t>PLAN</w:t>
      </w:r>
      <w:r>
        <w:rPr>
          <w:rFonts w:ascii="Times New Roman"/>
          <w:spacing w:val="6"/>
        </w:rPr>
        <w:t xml:space="preserve"> </w:t>
      </w:r>
      <w:r>
        <w:rPr>
          <w:rFonts w:ascii="Times New Roman"/>
        </w:rPr>
        <w:t>-</w:t>
      </w:r>
      <w:r>
        <w:rPr>
          <w:rFonts w:ascii="Times New Roman"/>
          <w:spacing w:val="8"/>
        </w:rPr>
        <w:t xml:space="preserve"> </w:t>
      </w:r>
      <w:r>
        <w:rPr>
          <w:rFonts w:ascii="Times New Roman"/>
          <w:spacing w:val="23"/>
        </w:rPr>
        <w:t>P</w:t>
      </w:r>
      <w:r>
        <w:rPr>
          <w:rFonts w:ascii="Times New Roman"/>
          <w:spacing w:val="11"/>
        </w:rPr>
        <w:t>R</w:t>
      </w:r>
      <w:r>
        <w:rPr>
          <w:rFonts w:ascii="Times New Roman"/>
          <w:spacing w:val="-12"/>
        </w:rPr>
        <w:t>I</w:t>
      </w:r>
      <w:r>
        <w:rPr>
          <w:rFonts w:ascii="Times New Roman"/>
          <w:spacing w:val="-2"/>
        </w:rPr>
        <w:t>N</w:t>
      </w:r>
      <w:r>
        <w:rPr>
          <w:rFonts w:ascii="Times New Roman"/>
          <w:spacing w:val="11"/>
        </w:rPr>
        <w:t>C</w:t>
      </w:r>
      <w:r>
        <w:rPr>
          <w:rFonts w:ascii="Times New Roman"/>
          <w:spacing w:val="-12"/>
        </w:rPr>
        <w:t>I</w:t>
      </w:r>
      <w:r>
        <w:rPr>
          <w:rFonts w:ascii="Times New Roman"/>
        </w:rPr>
        <w:t>P</w:t>
      </w:r>
      <w:r>
        <w:rPr>
          <w:rFonts w:ascii="Times New Roman"/>
          <w:spacing w:val="-32"/>
        </w:rPr>
        <w:t xml:space="preserve"> </w:t>
      </w:r>
      <w:r>
        <w:rPr>
          <w:rFonts w:ascii="Times New Roman"/>
          <w:spacing w:val="3"/>
        </w:rPr>
        <w:t>LES</w:t>
      </w:r>
      <w:r>
        <w:rPr>
          <w:rFonts w:ascii="Times New Roman"/>
          <w:spacing w:val="33"/>
        </w:rPr>
        <w:t xml:space="preserve"> </w:t>
      </w:r>
      <w:r>
        <w:rPr>
          <w:rFonts w:ascii="Times New Roman"/>
          <w:spacing w:val="-3"/>
        </w:rPr>
        <w:t>AND</w:t>
      </w:r>
      <w:r>
        <w:rPr>
          <w:rFonts w:ascii="Times New Roman"/>
          <w:spacing w:val="6"/>
        </w:rPr>
        <w:t xml:space="preserve"> </w:t>
      </w:r>
      <w:r>
        <w:rPr>
          <w:rFonts w:ascii="Times New Roman"/>
          <w:spacing w:val="3"/>
        </w:rPr>
        <w:t>CONTENTS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10"/>
        </w:numPr>
        <w:tabs>
          <w:tab w:val="left" w:pos="829"/>
        </w:tabs>
        <w:spacing w:before="0"/>
        <w:ind w:right="113"/>
        <w:jc w:val="both"/>
      </w:pPr>
      <w:r>
        <w:t>The</w:t>
      </w:r>
      <w:r>
        <w:rPr>
          <w:spacing w:val="53"/>
        </w:rPr>
        <w:t xml:space="preserve"> </w:t>
      </w:r>
      <w:r>
        <w:rPr>
          <w:spacing w:val="-1"/>
        </w:rPr>
        <w:t>Disaster</w:t>
      </w:r>
      <w:r>
        <w:rPr>
          <w:spacing w:val="54"/>
        </w:rPr>
        <w:t xml:space="preserve"> </w:t>
      </w:r>
      <w:r>
        <w:rPr>
          <w:spacing w:val="-1"/>
        </w:rPr>
        <w:t>Recovery</w:t>
      </w:r>
      <w:r>
        <w:rPr>
          <w:spacing w:val="51"/>
        </w:rPr>
        <w:t xml:space="preserve"> </w:t>
      </w:r>
      <w:r>
        <w:rPr>
          <w:spacing w:val="-1"/>
        </w:rPr>
        <w:t>Plan</w:t>
      </w:r>
      <w:r>
        <w:rPr>
          <w:spacing w:val="53"/>
        </w:rPr>
        <w:t xml:space="preserve"> </w:t>
      </w:r>
      <w:r>
        <w:rPr>
          <w:spacing w:val="-1"/>
        </w:rPr>
        <w:t>shall</w:t>
      </w:r>
      <w:r>
        <w:rPr>
          <w:spacing w:val="52"/>
        </w:rPr>
        <w:t xml:space="preserve"> </w:t>
      </w:r>
      <w:r>
        <w:rPr>
          <w:spacing w:val="-1"/>
        </w:rPr>
        <w:t>be</w:t>
      </w:r>
      <w:r>
        <w:rPr>
          <w:spacing w:val="53"/>
        </w:rPr>
        <w:t xml:space="preserve"> </w:t>
      </w:r>
      <w:r>
        <w:rPr>
          <w:spacing w:val="-1"/>
        </w:rPr>
        <w:t>designed</w:t>
      </w:r>
      <w:r>
        <w:rPr>
          <w:spacing w:val="54"/>
        </w:rPr>
        <w:t xml:space="preserve"> </w:t>
      </w:r>
      <w:r>
        <w:rPr>
          <w:spacing w:val="-1"/>
        </w:rPr>
        <w:t>so</w:t>
      </w:r>
      <w:r>
        <w:rPr>
          <w:spacing w:val="53"/>
        </w:rPr>
        <w:t xml:space="preserve"> </w:t>
      </w:r>
      <w:r>
        <w:rPr>
          <w:spacing w:val="-1"/>
        </w:rPr>
        <w:t>as</w:t>
      </w:r>
      <w:r>
        <w:rPr>
          <w:spacing w:val="53"/>
        </w:rPr>
        <w:t xml:space="preserve"> </w:t>
      </w:r>
      <w:r>
        <w:t>to</w:t>
      </w:r>
      <w:r>
        <w:rPr>
          <w:spacing w:val="53"/>
        </w:rPr>
        <w:t xml:space="preserve"> </w:t>
      </w:r>
      <w:r>
        <w:rPr>
          <w:spacing w:val="-1"/>
        </w:rPr>
        <w:t>ensure</w:t>
      </w:r>
      <w:r>
        <w:rPr>
          <w:spacing w:val="51"/>
        </w:rPr>
        <w:t xml:space="preserve"> </w:t>
      </w:r>
      <w:r>
        <w:rPr>
          <w:spacing w:val="-1"/>
        </w:rPr>
        <w:t>that</w:t>
      </w:r>
      <w:r>
        <w:rPr>
          <w:spacing w:val="52"/>
        </w:rPr>
        <w:t xml:space="preserve"> </w:t>
      </w:r>
      <w:r>
        <w:rPr>
          <w:spacing w:val="-1"/>
        </w:rPr>
        <w:t>upon</w:t>
      </w:r>
      <w:r>
        <w:rPr>
          <w:spacing w:val="54"/>
        </w:rPr>
        <w:t xml:space="preserve"> </w:t>
      </w:r>
      <w:r>
        <w:rPr>
          <w:spacing w:val="-1"/>
        </w:rPr>
        <w:t>the</w:t>
      </w:r>
      <w:r>
        <w:rPr>
          <w:spacing w:val="33"/>
        </w:rPr>
        <w:t xml:space="preserve"> </w:t>
      </w:r>
      <w:r>
        <w:rPr>
          <w:spacing w:val="-1"/>
        </w:rPr>
        <w:t>occurrence</w:t>
      </w:r>
      <w:r>
        <w:rPr>
          <w:spacing w:val="3"/>
        </w:rPr>
        <w:t xml:space="preserve"> </w:t>
      </w:r>
      <w:r>
        <w:rPr>
          <w:spacing w:val="-2"/>
        </w:rPr>
        <w:t>of</w:t>
      </w:r>
      <w:r>
        <w:rPr>
          <w:spacing w:val="6"/>
        </w:rPr>
        <w:t xml:space="preserve"> </w:t>
      </w:r>
      <w:r>
        <w:t>a</w:t>
      </w:r>
      <w:r>
        <w:rPr>
          <w:spacing w:val="3"/>
        </w:rPr>
        <w:t xml:space="preserve"> </w:t>
      </w:r>
      <w:r>
        <w:rPr>
          <w:spacing w:val="-1"/>
        </w:rPr>
        <w:t>Disaster</w:t>
      </w:r>
      <w:r>
        <w:rPr>
          <w:spacing w:val="2"/>
        </w:rPr>
        <w:t xml:space="preserve"> </w:t>
      </w:r>
      <w:r>
        <w:t>the</w:t>
      </w:r>
      <w:r>
        <w:rPr>
          <w:spacing w:val="3"/>
        </w:rPr>
        <w:t xml:space="preserve"> </w:t>
      </w:r>
      <w:r>
        <w:rPr>
          <w:spacing w:val="-2"/>
        </w:rPr>
        <w:t>Supplier</w:t>
      </w:r>
      <w:r>
        <w:rPr>
          <w:spacing w:val="4"/>
        </w:rPr>
        <w:t xml:space="preserve"> </w:t>
      </w:r>
      <w:r>
        <w:rPr>
          <w:spacing w:val="-1"/>
        </w:rPr>
        <w:t>ensures</w:t>
      </w:r>
      <w:r>
        <w:rPr>
          <w:spacing w:val="1"/>
        </w:rPr>
        <w:t xml:space="preserve"> </w:t>
      </w:r>
      <w:r>
        <w:rPr>
          <w:spacing w:val="-1"/>
        </w:rPr>
        <w:t>continuity</w:t>
      </w:r>
      <w:r>
        <w:rPr>
          <w:spacing w:val="1"/>
        </w:rPr>
        <w:t xml:space="preserve"> </w:t>
      </w:r>
      <w:r>
        <w:rPr>
          <w:spacing w:val="-1"/>
        </w:rPr>
        <w:t>of</w:t>
      </w:r>
      <w:r>
        <w:rPr>
          <w:spacing w:val="4"/>
        </w:rPr>
        <w:t xml:space="preserve"> </w:t>
      </w:r>
      <w:r>
        <w:t>the</w:t>
      </w:r>
      <w:r>
        <w:rPr>
          <w:spacing w:val="3"/>
        </w:rPr>
        <w:t xml:space="preserve"> </w:t>
      </w:r>
      <w:r>
        <w:rPr>
          <w:spacing w:val="-1"/>
        </w:rPr>
        <w:t>business</w:t>
      </w:r>
      <w:r>
        <w:rPr>
          <w:spacing w:val="3"/>
        </w:rPr>
        <w:t xml:space="preserve"> </w:t>
      </w:r>
      <w:r>
        <w:rPr>
          <w:spacing w:val="-1"/>
        </w:rPr>
        <w:t>operations</w:t>
      </w:r>
      <w:r>
        <w:rPr>
          <w:spacing w:val="32"/>
        </w:rPr>
        <w:t xml:space="preserve"> </w:t>
      </w:r>
      <w:r>
        <w:rPr>
          <w:spacing w:val="-2"/>
        </w:rPr>
        <w:t>of</w:t>
      </w:r>
      <w:r>
        <w:rPr>
          <w:spacing w:val="35"/>
        </w:rPr>
        <w:t xml:space="preserve"> </w:t>
      </w:r>
      <w:r>
        <w:t>the</w:t>
      </w:r>
      <w:r>
        <w:rPr>
          <w:spacing w:val="34"/>
        </w:rPr>
        <w:t xml:space="preserve"> </w:t>
      </w:r>
      <w:r>
        <w:rPr>
          <w:spacing w:val="-2"/>
        </w:rPr>
        <w:t>Customer</w:t>
      </w:r>
      <w:r>
        <w:rPr>
          <w:spacing w:val="35"/>
        </w:rPr>
        <w:t xml:space="preserve"> </w:t>
      </w:r>
      <w:r>
        <w:rPr>
          <w:spacing w:val="-1"/>
        </w:rPr>
        <w:t>supported</w:t>
      </w:r>
      <w:r>
        <w:rPr>
          <w:spacing w:val="34"/>
        </w:rPr>
        <w:t xml:space="preserve"> </w:t>
      </w:r>
      <w:r>
        <w:rPr>
          <w:spacing w:val="-1"/>
        </w:rPr>
        <w:t>by</w:t>
      </w:r>
      <w:r>
        <w:rPr>
          <w:spacing w:val="32"/>
        </w:rPr>
        <w:t xml:space="preserve"> </w:t>
      </w:r>
      <w:r>
        <w:t>the</w:t>
      </w:r>
      <w:r>
        <w:rPr>
          <w:spacing w:val="31"/>
        </w:rPr>
        <w:t xml:space="preserve"> </w:t>
      </w:r>
      <w:r>
        <w:rPr>
          <w:spacing w:val="-1"/>
        </w:rPr>
        <w:t>Services</w:t>
      </w:r>
      <w:r>
        <w:rPr>
          <w:spacing w:val="33"/>
        </w:rPr>
        <w:t xml:space="preserve"> </w:t>
      </w:r>
      <w:r>
        <w:rPr>
          <w:spacing w:val="-1"/>
        </w:rPr>
        <w:t>following</w:t>
      </w:r>
      <w:r>
        <w:rPr>
          <w:spacing w:val="36"/>
        </w:rPr>
        <w:t xml:space="preserve"> </w:t>
      </w:r>
      <w:r>
        <w:rPr>
          <w:spacing w:val="-1"/>
        </w:rPr>
        <w:t>any</w:t>
      </w:r>
      <w:r>
        <w:rPr>
          <w:spacing w:val="32"/>
        </w:rPr>
        <w:t xml:space="preserve"> </w:t>
      </w:r>
      <w:r>
        <w:rPr>
          <w:spacing w:val="-1"/>
        </w:rPr>
        <w:t>Disaster</w:t>
      </w:r>
      <w:r>
        <w:rPr>
          <w:spacing w:val="33"/>
        </w:rPr>
        <w:t xml:space="preserve"> </w:t>
      </w:r>
      <w:r>
        <w:rPr>
          <w:spacing w:val="-1"/>
        </w:rPr>
        <w:t>or</w:t>
      </w:r>
      <w:r>
        <w:rPr>
          <w:spacing w:val="33"/>
        </w:rPr>
        <w:t xml:space="preserve"> </w:t>
      </w:r>
      <w:r>
        <w:rPr>
          <w:spacing w:val="-2"/>
        </w:rPr>
        <w:t>during</w:t>
      </w:r>
      <w:r>
        <w:rPr>
          <w:spacing w:val="34"/>
        </w:rPr>
        <w:t xml:space="preserve"> </w:t>
      </w:r>
      <w:r>
        <w:rPr>
          <w:spacing w:val="-1"/>
        </w:rPr>
        <w:t>any</w:t>
      </w:r>
      <w:r>
        <w:rPr>
          <w:spacing w:val="40"/>
        </w:rPr>
        <w:t xml:space="preserve"> </w:t>
      </w:r>
      <w:r>
        <w:rPr>
          <w:spacing w:val="-1"/>
        </w:rPr>
        <w:t>period</w:t>
      </w:r>
      <w:r>
        <w:rPr>
          <w:spacing w:val="22"/>
        </w:rPr>
        <w:t xml:space="preserve"> </w:t>
      </w:r>
      <w:r>
        <w:rPr>
          <w:spacing w:val="-2"/>
        </w:rPr>
        <w:t>of</w:t>
      </w:r>
      <w:r>
        <w:rPr>
          <w:spacing w:val="26"/>
        </w:rPr>
        <w:t xml:space="preserve"> </w:t>
      </w:r>
      <w:r>
        <w:rPr>
          <w:spacing w:val="-2"/>
        </w:rPr>
        <w:t>service</w:t>
      </w:r>
      <w:r>
        <w:rPr>
          <w:spacing w:val="22"/>
        </w:rPr>
        <w:t xml:space="preserve"> </w:t>
      </w:r>
      <w:r>
        <w:rPr>
          <w:spacing w:val="-1"/>
        </w:rPr>
        <w:t>failure</w:t>
      </w:r>
      <w:r>
        <w:rPr>
          <w:spacing w:val="19"/>
        </w:rPr>
        <w:t xml:space="preserve"> </w:t>
      </w:r>
      <w:r>
        <w:rPr>
          <w:spacing w:val="-1"/>
        </w:rPr>
        <w:t>or</w:t>
      </w:r>
      <w:r>
        <w:rPr>
          <w:spacing w:val="23"/>
        </w:rPr>
        <w:t xml:space="preserve"> </w:t>
      </w:r>
      <w:r>
        <w:rPr>
          <w:spacing w:val="-1"/>
        </w:rPr>
        <w:t>disruption</w:t>
      </w:r>
      <w:r>
        <w:rPr>
          <w:spacing w:val="22"/>
        </w:rPr>
        <w:t xml:space="preserve"> </w:t>
      </w:r>
      <w:r>
        <w:rPr>
          <w:spacing w:val="-2"/>
        </w:rPr>
        <w:t>with,</w:t>
      </w:r>
      <w:r>
        <w:rPr>
          <w:spacing w:val="23"/>
        </w:rPr>
        <w:t xml:space="preserve"> </w:t>
      </w:r>
      <w:r>
        <w:rPr>
          <w:spacing w:val="-1"/>
        </w:rPr>
        <w:t>as</w:t>
      </w:r>
      <w:r>
        <w:rPr>
          <w:spacing w:val="20"/>
        </w:rPr>
        <w:t xml:space="preserve"> </w:t>
      </w:r>
      <w:r>
        <w:t>far</w:t>
      </w:r>
      <w:r>
        <w:rPr>
          <w:spacing w:val="21"/>
        </w:rPr>
        <w:t xml:space="preserve"> </w:t>
      </w:r>
      <w:r>
        <w:rPr>
          <w:spacing w:val="-1"/>
        </w:rPr>
        <w:t>as</w:t>
      </w:r>
      <w:r>
        <w:rPr>
          <w:spacing w:val="22"/>
        </w:rPr>
        <w:t xml:space="preserve"> </w:t>
      </w:r>
      <w:r>
        <w:rPr>
          <w:spacing w:val="-1"/>
        </w:rPr>
        <w:t>reasonably</w:t>
      </w:r>
      <w:r>
        <w:rPr>
          <w:spacing w:val="20"/>
        </w:rPr>
        <w:t xml:space="preserve"> </w:t>
      </w:r>
      <w:r>
        <w:rPr>
          <w:spacing w:val="-1"/>
        </w:rPr>
        <w:t>possible,</w:t>
      </w:r>
      <w:r>
        <w:rPr>
          <w:spacing w:val="23"/>
        </w:rPr>
        <w:t xml:space="preserve"> </w:t>
      </w:r>
      <w:r>
        <w:rPr>
          <w:spacing w:val="-1"/>
        </w:rPr>
        <w:t>minimal</w:t>
      </w:r>
      <w:r>
        <w:rPr>
          <w:spacing w:val="44"/>
        </w:rPr>
        <w:t xml:space="preserve"> </w:t>
      </w:r>
      <w:r>
        <w:rPr>
          <w:spacing w:val="-1"/>
        </w:rPr>
        <w:t>adverse</w:t>
      </w:r>
      <w:r>
        <w:rPr>
          <w:spacing w:val="1"/>
        </w:rPr>
        <w:t xml:space="preserve"> </w:t>
      </w:r>
      <w:r>
        <w:rPr>
          <w:spacing w:val="-1"/>
        </w:rPr>
        <w:t>impact.</w:t>
      </w:r>
    </w:p>
    <w:p w:rsidR="008918FA" w:rsidRDefault="008918FA" w:rsidP="008918FA">
      <w:pPr>
        <w:pStyle w:val="BodyText"/>
        <w:numPr>
          <w:ilvl w:val="1"/>
          <w:numId w:val="10"/>
        </w:numPr>
        <w:tabs>
          <w:tab w:val="left" w:pos="829"/>
        </w:tabs>
        <w:spacing w:before="121"/>
        <w:ind w:right="112"/>
        <w:jc w:val="both"/>
      </w:pPr>
      <w:r>
        <w:t>The</w:t>
      </w:r>
      <w:r>
        <w:rPr>
          <w:spacing w:val="4"/>
        </w:rPr>
        <w:t xml:space="preserve"> </w:t>
      </w:r>
      <w:r>
        <w:rPr>
          <w:spacing w:val="-1"/>
        </w:rPr>
        <w:t>Disaster</w:t>
      </w:r>
      <w:r>
        <w:rPr>
          <w:spacing w:val="5"/>
        </w:rPr>
        <w:t xml:space="preserve"> </w:t>
      </w:r>
      <w:r>
        <w:rPr>
          <w:spacing w:val="-1"/>
        </w:rPr>
        <w:t>Recovery</w:t>
      </w:r>
      <w:r>
        <w:rPr>
          <w:spacing w:val="2"/>
        </w:rPr>
        <w:t xml:space="preserve"> </w:t>
      </w:r>
      <w:r>
        <w:rPr>
          <w:spacing w:val="-1"/>
        </w:rPr>
        <w:t>Plan</w:t>
      </w:r>
      <w:r>
        <w:rPr>
          <w:spacing w:val="4"/>
        </w:rPr>
        <w:t xml:space="preserve"> </w:t>
      </w:r>
      <w:r>
        <w:rPr>
          <w:spacing w:val="-1"/>
        </w:rPr>
        <w:t>shall</w:t>
      </w:r>
      <w:r>
        <w:rPr>
          <w:spacing w:val="3"/>
        </w:rPr>
        <w:t xml:space="preserve"> </w:t>
      </w:r>
      <w:r>
        <w:rPr>
          <w:spacing w:val="-1"/>
        </w:rPr>
        <w:t>be</w:t>
      </w:r>
      <w:r>
        <w:rPr>
          <w:spacing w:val="4"/>
        </w:rPr>
        <w:t xml:space="preserve"> </w:t>
      </w:r>
      <w:r>
        <w:rPr>
          <w:spacing w:val="-1"/>
        </w:rPr>
        <w:t>invoked</w:t>
      </w:r>
      <w:r>
        <w:rPr>
          <w:spacing w:val="4"/>
        </w:rPr>
        <w:t xml:space="preserve"> </w:t>
      </w:r>
      <w:r>
        <w:rPr>
          <w:spacing w:val="-1"/>
        </w:rPr>
        <w:t>only</w:t>
      </w:r>
      <w:r>
        <w:rPr>
          <w:spacing w:val="2"/>
        </w:rPr>
        <w:t xml:space="preserve"> </w:t>
      </w:r>
      <w:r>
        <w:rPr>
          <w:spacing w:val="-1"/>
        </w:rPr>
        <w:t>upon</w:t>
      </w:r>
      <w:r>
        <w:rPr>
          <w:spacing w:val="4"/>
        </w:rPr>
        <w:t xml:space="preserve"> </w:t>
      </w:r>
      <w:r>
        <w:t>the</w:t>
      </w:r>
      <w:r>
        <w:rPr>
          <w:spacing w:val="7"/>
        </w:rPr>
        <w:t xml:space="preserve"> </w:t>
      </w:r>
      <w:r>
        <w:rPr>
          <w:spacing w:val="-1"/>
        </w:rPr>
        <w:t>occurrence</w:t>
      </w:r>
      <w:r>
        <w:rPr>
          <w:spacing w:val="4"/>
        </w:rPr>
        <w:t xml:space="preserve"> </w:t>
      </w:r>
      <w:r>
        <w:rPr>
          <w:spacing w:val="-2"/>
        </w:rPr>
        <w:t>of</w:t>
      </w:r>
      <w:r>
        <w:rPr>
          <w:spacing w:val="5"/>
        </w:rPr>
        <w:t xml:space="preserve"> </w:t>
      </w:r>
      <w:r>
        <w:t>a</w:t>
      </w:r>
      <w:r>
        <w:rPr>
          <w:spacing w:val="27"/>
        </w:rPr>
        <w:t xml:space="preserve"> </w:t>
      </w:r>
      <w:r>
        <w:rPr>
          <w:spacing w:val="-1"/>
        </w:rPr>
        <w:t>Disaster.</w:t>
      </w:r>
    </w:p>
    <w:p w:rsidR="008918FA" w:rsidRDefault="008918FA" w:rsidP="008918FA">
      <w:pPr>
        <w:pStyle w:val="BodyText"/>
        <w:numPr>
          <w:ilvl w:val="1"/>
          <w:numId w:val="10"/>
        </w:numPr>
        <w:tabs>
          <w:tab w:val="left" w:pos="829"/>
        </w:tabs>
        <w:spacing w:before="121"/>
      </w:pPr>
      <w:r>
        <w:t>The</w:t>
      </w:r>
      <w:r>
        <w:rPr>
          <w:spacing w:val="-2"/>
        </w:rPr>
        <w:t xml:space="preserve"> </w:t>
      </w:r>
      <w:r>
        <w:rPr>
          <w:spacing w:val="-1"/>
        </w:rPr>
        <w:t>Disaster Recovery</w:t>
      </w:r>
      <w:r>
        <w:rPr>
          <w:spacing w:val="-2"/>
        </w:rPr>
        <w:t xml:space="preserve"> </w:t>
      </w:r>
      <w:r>
        <w:rPr>
          <w:spacing w:val="-1"/>
        </w:rPr>
        <w:t>Plan</w:t>
      </w:r>
      <w:r>
        <w:t xml:space="preserve"> </w:t>
      </w:r>
      <w:r>
        <w:rPr>
          <w:spacing w:val="-1"/>
        </w:rPr>
        <w:t>shall</w:t>
      </w:r>
      <w:r>
        <w:t xml:space="preserve"> </w:t>
      </w:r>
      <w:r>
        <w:rPr>
          <w:spacing w:val="-1"/>
        </w:rPr>
        <w:t>include</w:t>
      </w:r>
      <w:r>
        <w:t xml:space="preserve"> the</w:t>
      </w:r>
      <w:r>
        <w:rPr>
          <w:spacing w:val="-2"/>
        </w:rPr>
        <w:t xml:space="preserve"> </w:t>
      </w:r>
      <w:r>
        <w:rPr>
          <w:spacing w:val="-1"/>
        </w:rPr>
        <w:t>following:</w:t>
      </w:r>
    </w:p>
    <w:p w:rsidR="008918FA" w:rsidRDefault="008918FA" w:rsidP="008918FA">
      <w:pPr>
        <w:pStyle w:val="BodyText"/>
        <w:numPr>
          <w:ilvl w:val="2"/>
          <w:numId w:val="10"/>
        </w:numPr>
        <w:tabs>
          <w:tab w:val="left" w:pos="2027"/>
        </w:tabs>
        <w:ind w:right="117"/>
        <w:jc w:val="both"/>
      </w:pPr>
      <w:r>
        <w:t>the</w:t>
      </w:r>
      <w:r>
        <w:rPr>
          <w:spacing w:val="29"/>
        </w:rPr>
        <w:t xml:space="preserve"> </w:t>
      </w:r>
      <w:r>
        <w:rPr>
          <w:spacing w:val="-1"/>
        </w:rPr>
        <w:t>technical</w:t>
      </w:r>
      <w:r>
        <w:rPr>
          <w:spacing w:val="31"/>
        </w:rPr>
        <w:t xml:space="preserve"> </w:t>
      </w:r>
      <w:r>
        <w:rPr>
          <w:spacing w:val="-1"/>
        </w:rPr>
        <w:t>design</w:t>
      </w:r>
      <w:r>
        <w:rPr>
          <w:spacing w:val="29"/>
        </w:rPr>
        <w:t xml:space="preserve"> </w:t>
      </w:r>
      <w:r>
        <w:rPr>
          <w:spacing w:val="-2"/>
        </w:rPr>
        <w:t>and</w:t>
      </w:r>
      <w:r>
        <w:rPr>
          <w:spacing w:val="31"/>
        </w:rPr>
        <w:t xml:space="preserve"> </w:t>
      </w:r>
      <w:r>
        <w:rPr>
          <w:spacing w:val="-2"/>
        </w:rPr>
        <w:t>build</w:t>
      </w:r>
      <w:r>
        <w:rPr>
          <w:spacing w:val="31"/>
        </w:rPr>
        <w:t xml:space="preserve"> </w:t>
      </w:r>
      <w:r>
        <w:rPr>
          <w:spacing w:val="-1"/>
        </w:rPr>
        <w:t>specification</w:t>
      </w:r>
      <w:r>
        <w:rPr>
          <w:spacing w:val="31"/>
        </w:rPr>
        <w:t xml:space="preserve"> </w:t>
      </w:r>
      <w:r>
        <w:rPr>
          <w:spacing w:val="-2"/>
        </w:rPr>
        <w:t>of</w:t>
      </w:r>
      <w:r>
        <w:rPr>
          <w:spacing w:val="30"/>
        </w:rPr>
        <w:t xml:space="preserve"> </w:t>
      </w:r>
      <w:r>
        <w:rPr>
          <w:spacing w:val="-1"/>
        </w:rPr>
        <w:t>the</w:t>
      </w:r>
      <w:r>
        <w:rPr>
          <w:spacing w:val="31"/>
        </w:rPr>
        <w:t xml:space="preserve"> </w:t>
      </w:r>
      <w:r>
        <w:rPr>
          <w:spacing w:val="-1"/>
        </w:rPr>
        <w:t>Disaster</w:t>
      </w:r>
      <w:r>
        <w:rPr>
          <w:spacing w:val="31"/>
        </w:rPr>
        <w:t xml:space="preserve"> </w:t>
      </w:r>
      <w:r>
        <w:rPr>
          <w:spacing w:val="-1"/>
        </w:rPr>
        <w:t>Recovery</w:t>
      </w:r>
      <w:r>
        <w:rPr>
          <w:spacing w:val="43"/>
        </w:rPr>
        <w:t xml:space="preserve"> </w:t>
      </w:r>
      <w:r>
        <w:rPr>
          <w:spacing w:val="-1"/>
        </w:rPr>
        <w:t>System;</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numPr>
          <w:ilvl w:val="2"/>
          <w:numId w:val="10"/>
        </w:numPr>
        <w:tabs>
          <w:tab w:val="left" w:pos="2027"/>
        </w:tabs>
        <w:spacing w:before="59"/>
        <w:ind w:right="115"/>
        <w:jc w:val="both"/>
      </w:pPr>
      <w:r>
        <w:rPr>
          <w:spacing w:val="-1"/>
        </w:rPr>
        <w:t>details</w:t>
      </w:r>
      <w:r>
        <w:rPr>
          <w:spacing w:val="51"/>
        </w:rPr>
        <w:t xml:space="preserve"> </w:t>
      </w:r>
      <w:r>
        <w:rPr>
          <w:spacing w:val="-1"/>
        </w:rPr>
        <w:t>of</w:t>
      </w:r>
      <w:r>
        <w:rPr>
          <w:spacing w:val="52"/>
        </w:rPr>
        <w:t xml:space="preserve"> </w:t>
      </w:r>
      <w:r>
        <w:t>the</w:t>
      </w:r>
      <w:r>
        <w:rPr>
          <w:spacing w:val="51"/>
        </w:rPr>
        <w:t xml:space="preserve"> </w:t>
      </w:r>
      <w:r>
        <w:rPr>
          <w:spacing w:val="-1"/>
        </w:rPr>
        <w:t>procedures</w:t>
      </w:r>
      <w:r>
        <w:rPr>
          <w:spacing w:val="51"/>
        </w:rPr>
        <w:t xml:space="preserve"> </w:t>
      </w:r>
      <w:r>
        <w:rPr>
          <w:spacing w:val="-1"/>
        </w:rPr>
        <w:t>and</w:t>
      </w:r>
      <w:r>
        <w:rPr>
          <w:spacing w:val="51"/>
        </w:rPr>
        <w:t xml:space="preserve"> </w:t>
      </w:r>
      <w:r>
        <w:rPr>
          <w:spacing w:val="-1"/>
        </w:rPr>
        <w:t>processes</w:t>
      </w:r>
      <w:r>
        <w:rPr>
          <w:spacing w:val="51"/>
        </w:rPr>
        <w:t xml:space="preserve"> </w:t>
      </w:r>
      <w:r>
        <w:t>to</w:t>
      </w:r>
      <w:r>
        <w:rPr>
          <w:spacing w:val="52"/>
        </w:rPr>
        <w:t xml:space="preserve"> </w:t>
      </w:r>
      <w:r>
        <w:rPr>
          <w:spacing w:val="-1"/>
        </w:rPr>
        <w:t>be</w:t>
      </w:r>
      <w:r>
        <w:rPr>
          <w:spacing w:val="48"/>
        </w:rPr>
        <w:t xml:space="preserve"> </w:t>
      </w:r>
      <w:r>
        <w:rPr>
          <w:spacing w:val="-1"/>
        </w:rPr>
        <w:t>put</w:t>
      </w:r>
      <w:r>
        <w:rPr>
          <w:spacing w:val="52"/>
        </w:rPr>
        <w:t xml:space="preserve"> </w:t>
      </w:r>
      <w:r>
        <w:rPr>
          <w:spacing w:val="-1"/>
        </w:rPr>
        <w:t>in</w:t>
      </w:r>
      <w:r>
        <w:rPr>
          <w:spacing w:val="51"/>
        </w:rPr>
        <w:t xml:space="preserve"> </w:t>
      </w:r>
      <w:r>
        <w:rPr>
          <w:spacing w:val="-1"/>
        </w:rPr>
        <w:t>place</w:t>
      </w:r>
      <w:r>
        <w:rPr>
          <w:spacing w:val="51"/>
        </w:rPr>
        <w:t xml:space="preserve"> </w:t>
      </w:r>
      <w:r>
        <w:rPr>
          <w:spacing w:val="-1"/>
        </w:rPr>
        <w:t>by</w:t>
      </w:r>
      <w:r>
        <w:rPr>
          <w:spacing w:val="51"/>
        </w:rPr>
        <w:t xml:space="preserve"> </w:t>
      </w:r>
      <w:r>
        <w:rPr>
          <w:spacing w:val="-1"/>
        </w:rPr>
        <w:t>the</w:t>
      </w:r>
      <w:r>
        <w:rPr>
          <w:spacing w:val="26"/>
        </w:rPr>
        <w:t xml:space="preserve"> </w:t>
      </w:r>
      <w:r>
        <w:rPr>
          <w:spacing w:val="-2"/>
        </w:rPr>
        <w:t>Supplier</w:t>
      </w:r>
      <w:r>
        <w:rPr>
          <w:spacing w:val="11"/>
        </w:rPr>
        <w:t xml:space="preserve"> </w:t>
      </w:r>
      <w:r>
        <w:rPr>
          <w:spacing w:val="-1"/>
        </w:rPr>
        <w:t>in</w:t>
      </w:r>
      <w:r>
        <w:rPr>
          <w:spacing w:val="10"/>
        </w:rPr>
        <w:t xml:space="preserve"> </w:t>
      </w:r>
      <w:r>
        <w:rPr>
          <w:spacing w:val="-1"/>
        </w:rPr>
        <w:t>relation</w:t>
      </w:r>
      <w:r>
        <w:rPr>
          <w:spacing w:val="10"/>
        </w:rPr>
        <w:t xml:space="preserve"> </w:t>
      </w:r>
      <w:r>
        <w:t>to</w:t>
      </w:r>
      <w:r>
        <w:rPr>
          <w:spacing w:val="7"/>
        </w:rPr>
        <w:t xml:space="preserve"> </w:t>
      </w:r>
      <w:r>
        <w:rPr>
          <w:spacing w:val="-1"/>
        </w:rPr>
        <w:t>the</w:t>
      </w:r>
      <w:r>
        <w:rPr>
          <w:spacing w:val="10"/>
        </w:rPr>
        <w:t xml:space="preserve"> </w:t>
      </w:r>
      <w:r>
        <w:rPr>
          <w:spacing w:val="-1"/>
        </w:rPr>
        <w:t>Disaster</w:t>
      </w:r>
      <w:r>
        <w:rPr>
          <w:spacing w:val="9"/>
        </w:rPr>
        <w:t xml:space="preserve"> </w:t>
      </w:r>
      <w:r>
        <w:rPr>
          <w:spacing w:val="-1"/>
        </w:rPr>
        <w:t>Recovery</w:t>
      </w:r>
      <w:r>
        <w:rPr>
          <w:spacing w:val="8"/>
        </w:rPr>
        <w:t xml:space="preserve"> </w:t>
      </w:r>
      <w:r>
        <w:rPr>
          <w:spacing w:val="-1"/>
        </w:rPr>
        <w:t>System</w:t>
      </w:r>
      <w:r>
        <w:rPr>
          <w:spacing w:val="9"/>
        </w:rPr>
        <w:t xml:space="preserve"> </w:t>
      </w:r>
      <w:r>
        <w:rPr>
          <w:spacing w:val="-1"/>
        </w:rPr>
        <w:t>and</w:t>
      </w:r>
      <w:r>
        <w:rPr>
          <w:spacing w:val="7"/>
        </w:rPr>
        <w:t xml:space="preserve"> </w:t>
      </w:r>
      <w:r>
        <w:t>the</w:t>
      </w:r>
      <w:r>
        <w:rPr>
          <w:spacing w:val="10"/>
        </w:rPr>
        <w:t xml:space="preserve"> </w:t>
      </w:r>
      <w:r>
        <w:rPr>
          <w:spacing w:val="-2"/>
        </w:rPr>
        <w:t>provision</w:t>
      </w:r>
      <w:r>
        <w:rPr>
          <w:spacing w:val="54"/>
        </w:rPr>
        <w:t xml:space="preserve"> </w:t>
      </w:r>
      <w:r>
        <w:rPr>
          <w:spacing w:val="-2"/>
        </w:rPr>
        <w:t>of</w:t>
      </w:r>
      <w:r>
        <w:rPr>
          <w:spacing w:val="27"/>
        </w:rPr>
        <w:t xml:space="preserve"> </w:t>
      </w:r>
      <w:r>
        <w:t>the</w:t>
      </w:r>
      <w:r>
        <w:rPr>
          <w:spacing w:val="21"/>
        </w:rPr>
        <w:t xml:space="preserve"> </w:t>
      </w:r>
      <w:r>
        <w:rPr>
          <w:spacing w:val="-1"/>
        </w:rPr>
        <w:t>Disaster</w:t>
      </w:r>
      <w:r>
        <w:rPr>
          <w:spacing w:val="22"/>
        </w:rPr>
        <w:t xml:space="preserve"> </w:t>
      </w:r>
      <w:r>
        <w:rPr>
          <w:spacing w:val="-1"/>
        </w:rPr>
        <w:t>Recovery</w:t>
      </w:r>
      <w:r>
        <w:rPr>
          <w:spacing w:val="21"/>
        </w:rPr>
        <w:t xml:space="preserve"> </w:t>
      </w:r>
      <w:r>
        <w:rPr>
          <w:spacing w:val="-1"/>
        </w:rPr>
        <w:t>Services</w:t>
      </w:r>
      <w:r>
        <w:rPr>
          <w:spacing w:val="24"/>
        </w:rPr>
        <w:t xml:space="preserve"> </w:t>
      </w:r>
      <w:r>
        <w:rPr>
          <w:spacing w:val="-1"/>
        </w:rPr>
        <w:t>and</w:t>
      </w:r>
      <w:r>
        <w:rPr>
          <w:spacing w:val="23"/>
        </w:rPr>
        <w:t xml:space="preserve"> </w:t>
      </w:r>
      <w:r>
        <w:rPr>
          <w:spacing w:val="-1"/>
        </w:rPr>
        <w:t>any</w:t>
      </w:r>
      <w:r>
        <w:rPr>
          <w:spacing w:val="21"/>
        </w:rPr>
        <w:t xml:space="preserve"> </w:t>
      </w:r>
      <w:r>
        <w:rPr>
          <w:spacing w:val="-1"/>
        </w:rPr>
        <w:t>testing</w:t>
      </w:r>
      <w:r>
        <w:rPr>
          <w:spacing w:val="26"/>
        </w:rPr>
        <w:t xml:space="preserve"> </w:t>
      </w:r>
      <w:r>
        <w:rPr>
          <w:spacing w:val="-2"/>
        </w:rPr>
        <w:t>of</w:t>
      </w:r>
      <w:r>
        <w:rPr>
          <w:spacing w:val="22"/>
        </w:rPr>
        <w:t xml:space="preserve"> </w:t>
      </w:r>
      <w:r>
        <w:t>the</w:t>
      </w:r>
      <w:r>
        <w:rPr>
          <w:spacing w:val="23"/>
        </w:rPr>
        <w:t xml:space="preserve"> </w:t>
      </w:r>
      <w:r>
        <w:rPr>
          <w:spacing w:val="-1"/>
        </w:rPr>
        <w:t>same</w:t>
      </w:r>
      <w:r>
        <w:rPr>
          <w:spacing w:val="29"/>
        </w:rPr>
        <w:t xml:space="preserve"> </w:t>
      </w:r>
      <w:r>
        <w:rPr>
          <w:spacing w:val="-2"/>
        </w:rPr>
        <w:t>including</w:t>
      </w:r>
      <w:r>
        <w:rPr>
          <w:spacing w:val="3"/>
        </w:rPr>
        <w:t xml:space="preserve"> </w:t>
      </w:r>
      <w:r>
        <w:rPr>
          <w:spacing w:val="-1"/>
        </w:rPr>
        <w:t>but</w:t>
      </w:r>
      <w:r>
        <w:t xml:space="preserve"> </w:t>
      </w:r>
      <w:r>
        <w:rPr>
          <w:spacing w:val="-1"/>
        </w:rPr>
        <w:t>not</w:t>
      </w:r>
      <w:r>
        <w:t xml:space="preserve"> </w:t>
      </w:r>
      <w:r>
        <w:rPr>
          <w:spacing w:val="-1"/>
        </w:rPr>
        <w:t>limited</w:t>
      </w:r>
      <w:r>
        <w:rPr>
          <w:spacing w:val="-2"/>
        </w:rPr>
        <w:t xml:space="preserve"> </w:t>
      </w:r>
      <w:r>
        <w:rPr>
          <w:spacing w:val="-1"/>
        </w:rPr>
        <w:t>to</w:t>
      </w:r>
      <w:r>
        <w:t xml:space="preserve"> the</w:t>
      </w:r>
      <w:r>
        <w:rPr>
          <w:spacing w:val="-4"/>
        </w:rPr>
        <w:t xml:space="preserve"> </w:t>
      </w:r>
      <w:r>
        <w:rPr>
          <w:spacing w:val="-1"/>
        </w:rPr>
        <w:t>following:</w:t>
      </w:r>
    </w:p>
    <w:p w:rsidR="008918FA" w:rsidRDefault="008918FA" w:rsidP="008918FA">
      <w:pPr>
        <w:pStyle w:val="BodyText"/>
        <w:numPr>
          <w:ilvl w:val="3"/>
          <w:numId w:val="10"/>
        </w:numPr>
        <w:tabs>
          <w:tab w:val="left" w:pos="2297"/>
          <w:tab w:val="left" w:pos="2734"/>
        </w:tabs>
        <w:spacing w:before="121"/>
        <w:ind w:left="2296" w:hanging="270"/>
      </w:pPr>
      <w:r>
        <w:rPr>
          <w:highlight w:val="yellow"/>
        </w:rPr>
        <w:t>[data</w:t>
      </w:r>
      <w:r>
        <w:rPr>
          <w:spacing w:val="-2"/>
          <w:highlight w:val="yellow"/>
        </w:rPr>
        <w:t xml:space="preserve"> </w:t>
      </w:r>
      <w:r w:rsidR="00CE5AA1">
        <w:rPr>
          <w:spacing w:val="-1"/>
          <w:highlight w:val="yellow"/>
        </w:rPr>
        <w:t>center</w:t>
      </w:r>
      <w:r>
        <w:rPr>
          <w:highlight w:val="yellow"/>
        </w:rPr>
        <w:t xml:space="preserve"> </w:t>
      </w:r>
      <w:r>
        <w:rPr>
          <w:spacing w:val="-1"/>
          <w:highlight w:val="yellow"/>
        </w:rPr>
        <w:t>and</w:t>
      </w:r>
      <w:r>
        <w:rPr>
          <w:spacing w:val="-2"/>
          <w:highlight w:val="yellow"/>
        </w:rPr>
        <w:t xml:space="preserve"> </w:t>
      </w:r>
      <w:r>
        <w:rPr>
          <w:spacing w:val="-1"/>
          <w:highlight w:val="yellow"/>
        </w:rPr>
        <w:t>disaster recovery</w:t>
      </w:r>
      <w:r>
        <w:rPr>
          <w:spacing w:val="-2"/>
          <w:highlight w:val="yellow"/>
        </w:rPr>
        <w:t xml:space="preserve"> </w:t>
      </w:r>
      <w:r>
        <w:rPr>
          <w:spacing w:val="-1"/>
          <w:highlight w:val="yellow"/>
        </w:rPr>
        <w:t>site</w:t>
      </w:r>
      <w:r>
        <w:rPr>
          <w:highlight w:val="yellow"/>
        </w:rPr>
        <w:t xml:space="preserve"> </w:t>
      </w:r>
      <w:r>
        <w:rPr>
          <w:spacing w:val="-2"/>
          <w:highlight w:val="yellow"/>
        </w:rPr>
        <w:t>audits;</w:t>
      </w:r>
    </w:p>
    <w:p w:rsidR="008918FA" w:rsidRDefault="008918FA" w:rsidP="008918FA">
      <w:pPr>
        <w:spacing w:before="6"/>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0088848C" wp14:editId="105195AD">
                <wp:extent cx="4396740" cy="321945"/>
                <wp:effectExtent l="0" t="0" r="3810" b="1905"/>
                <wp:docPr id="1831"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740" cy="321945"/>
                          <a:chOff x="0" y="0"/>
                          <a:chExt cx="6924" cy="507"/>
                        </a:xfrm>
                      </wpg:grpSpPr>
                      <wpg:grpSp>
                        <wpg:cNvPr id="1832" name="Group 1828"/>
                        <wpg:cNvGrpSpPr>
                          <a:grpSpLocks/>
                        </wpg:cNvGrpSpPr>
                        <wpg:grpSpPr bwMode="auto">
                          <a:xfrm>
                            <a:off x="0" y="0"/>
                            <a:ext cx="6924" cy="252"/>
                            <a:chOff x="0" y="0"/>
                            <a:chExt cx="6924" cy="252"/>
                          </a:xfrm>
                        </wpg:grpSpPr>
                        <wps:wsp>
                          <wps:cNvPr id="1833" name="Freeform 1829"/>
                          <wps:cNvSpPr>
                            <a:spLocks/>
                          </wps:cNvSpPr>
                          <wps:spPr bwMode="auto">
                            <a:xfrm>
                              <a:off x="0" y="0"/>
                              <a:ext cx="6924" cy="252"/>
                            </a:xfrm>
                            <a:custGeom>
                              <a:avLst/>
                              <a:gdLst>
                                <a:gd name="T0" fmla="*/ 0 w 6924"/>
                                <a:gd name="T1" fmla="*/ 252 h 252"/>
                                <a:gd name="T2" fmla="*/ 6924 w 6924"/>
                                <a:gd name="T3" fmla="*/ 252 h 252"/>
                                <a:gd name="T4" fmla="*/ 6924 w 6924"/>
                                <a:gd name="T5" fmla="*/ 0 h 252"/>
                                <a:gd name="T6" fmla="*/ 0 w 6924"/>
                                <a:gd name="T7" fmla="*/ 0 h 252"/>
                                <a:gd name="T8" fmla="*/ 0 w 6924"/>
                                <a:gd name="T9" fmla="*/ 252 h 252"/>
                              </a:gdLst>
                              <a:ahLst/>
                              <a:cxnLst>
                                <a:cxn ang="0">
                                  <a:pos x="T0" y="T1"/>
                                </a:cxn>
                                <a:cxn ang="0">
                                  <a:pos x="T2" y="T3"/>
                                </a:cxn>
                                <a:cxn ang="0">
                                  <a:pos x="T4" y="T5"/>
                                </a:cxn>
                                <a:cxn ang="0">
                                  <a:pos x="T6" y="T7"/>
                                </a:cxn>
                                <a:cxn ang="0">
                                  <a:pos x="T8" y="T9"/>
                                </a:cxn>
                              </a:cxnLst>
                              <a:rect l="0" t="0" r="r" b="b"/>
                              <a:pathLst>
                                <a:path w="6924" h="252">
                                  <a:moveTo>
                                    <a:pt x="0" y="252"/>
                                  </a:moveTo>
                                  <a:lnTo>
                                    <a:pt x="6924" y="252"/>
                                  </a:lnTo>
                                  <a:lnTo>
                                    <a:pt x="6924"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 name="Group 1824"/>
                        <wpg:cNvGrpSpPr>
                          <a:grpSpLocks/>
                        </wpg:cNvGrpSpPr>
                        <wpg:grpSpPr bwMode="auto">
                          <a:xfrm>
                            <a:off x="708" y="252"/>
                            <a:ext cx="3365" cy="255"/>
                            <a:chOff x="708" y="252"/>
                            <a:chExt cx="3365" cy="255"/>
                          </a:xfrm>
                        </wpg:grpSpPr>
                        <wps:wsp>
                          <wps:cNvPr id="1835" name="Freeform 1827"/>
                          <wps:cNvSpPr>
                            <a:spLocks/>
                          </wps:cNvSpPr>
                          <wps:spPr bwMode="auto">
                            <a:xfrm>
                              <a:off x="708" y="252"/>
                              <a:ext cx="3365" cy="255"/>
                            </a:xfrm>
                            <a:custGeom>
                              <a:avLst/>
                              <a:gdLst>
                                <a:gd name="T0" fmla="+- 0 708 708"/>
                                <a:gd name="T1" fmla="*/ T0 w 3365"/>
                                <a:gd name="T2" fmla="+- 0 506 252"/>
                                <a:gd name="T3" fmla="*/ 506 h 255"/>
                                <a:gd name="T4" fmla="+- 0 4073 708"/>
                                <a:gd name="T5" fmla="*/ T4 w 3365"/>
                                <a:gd name="T6" fmla="+- 0 506 252"/>
                                <a:gd name="T7" fmla="*/ 506 h 255"/>
                                <a:gd name="T8" fmla="+- 0 4073 708"/>
                                <a:gd name="T9" fmla="*/ T8 w 3365"/>
                                <a:gd name="T10" fmla="+- 0 252 252"/>
                                <a:gd name="T11" fmla="*/ 252 h 255"/>
                                <a:gd name="T12" fmla="+- 0 708 708"/>
                                <a:gd name="T13" fmla="*/ T12 w 3365"/>
                                <a:gd name="T14" fmla="+- 0 252 252"/>
                                <a:gd name="T15" fmla="*/ 252 h 255"/>
                                <a:gd name="T16" fmla="+- 0 708 708"/>
                                <a:gd name="T17" fmla="*/ T16 w 3365"/>
                                <a:gd name="T18" fmla="+- 0 506 252"/>
                                <a:gd name="T19" fmla="*/ 506 h 255"/>
                              </a:gdLst>
                              <a:ahLst/>
                              <a:cxnLst>
                                <a:cxn ang="0">
                                  <a:pos x="T1" y="T3"/>
                                </a:cxn>
                                <a:cxn ang="0">
                                  <a:pos x="T5" y="T7"/>
                                </a:cxn>
                                <a:cxn ang="0">
                                  <a:pos x="T9" y="T11"/>
                                </a:cxn>
                                <a:cxn ang="0">
                                  <a:pos x="T13" y="T15"/>
                                </a:cxn>
                                <a:cxn ang="0">
                                  <a:pos x="T17" y="T19"/>
                                </a:cxn>
                              </a:cxnLst>
                              <a:rect l="0" t="0" r="r" b="b"/>
                              <a:pathLst>
                                <a:path w="3365" h="255">
                                  <a:moveTo>
                                    <a:pt x="0" y="254"/>
                                  </a:moveTo>
                                  <a:lnTo>
                                    <a:pt x="3365" y="254"/>
                                  </a:lnTo>
                                  <a:lnTo>
                                    <a:pt x="3365" y="0"/>
                                  </a:lnTo>
                                  <a:lnTo>
                                    <a:pt x="0" y="0"/>
                                  </a:lnTo>
                                  <a:lnTo>
                                    <a:pt x="0"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Text Box 1826"/>
                          <wps:cNvSpPr txBox="1">
                            <a:spLocks noChangeArrowheads="1"/>
                          </wps:cNvSpPr>
                          <wps:spPr bwMode="auto">
                            <a:xfrm>
                              <a:off x="0" y="25"/>
                              <a:ext cx="2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1" w:lineRule="exact"/>
                                  <w:rPr>
                                    <w:rFonts w:ascii="Arial" w:eastAsia="Arial" w:hAnsi="Arial" w:cs="Arial"/>
                                  </w:rPr>
                                </w:pPr>
                                <w:r>
                                  <w:rPr>
                                    <w:rFonts w:ascii="Arial"/>
                                    <w:spacing w:val="-1"/>
                                  </w:rPr>
                                  <w:t>(b)</w:t>
                                </w:r>
                              </w:p>
                            </w:txbxContent>
                          </wps:txbx>
                          <wps:bodyPr rot="0" vert="horz" wrap="square" lIns="0" tIns="0" rIns="0" bIns="0" anchor="t" anchorCtr="0" upright="1">
                            <a:noAutofit/>
                          </wps:bodyPr>
                        </wps:wsp>
                        <wps:wsp>
                          <wps:cNvPr id="1837" name="Text Box 1825"/>
                          <wps:cNvSpPr txBox="1">
                            <a:spLocks noChangeArrowheads="1"/>
                          </wps:cNvSpPr>
                          <wps:spPr bwMode="auto">
                            <a:xfrm>
                              <a:off x="708" y="25"/>
                              <a:ext cx="621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25" w:lineRule="exact"/>
                                  <w:ind w:hanging="1"/>
                                  <w:rPr>
                                    <w:rFonts w:ascii="Arial" w:eastAsia="Arial" w:hAnsi="Arial" w:cs="Arial"/>
                                  </w:rPr>
                                </w:pPr>
                                <w:r>
                                  <w:rPr>
                                    <w:rFonts w:ascii="Arial"/>
                                    <w:spacing w:val="-1"/>
                                  </w:rPr>
                                  <w:t>backup</w:t>
                                </w:r>
                                <w:r>
                                  <w:rPr>
                                    <w:rFonts w:ascii="Arial"/>
                                    <w:spacing w:val="22"/>
                                  </w:rPr>
                                  <w:t xml:space="preserve"> </w:t>
                                </w:r>
                                <w:r>
                                  <w:rPr>
                                    <w:rFonts w:ascii="Arial"/>
                                    <w:spacing w:val="-1"/>
                                  </w:rPr>
                                  <w:t>methodology</w:t>
                                </w:r>
                                <w:r>
                                  <w:rPr>
                                    <w:rFonts w:ascii="Arial"/>
                                    <w:spacing w:val="22"/>
                                  </w:rPr>
                                  <w:t xml:space="preserve"> </w:t>
                                </w:r>
                                <w:r>
                                  <w:rPr>
                                    <w:rFonts w:ascii="Arial"/>
                                    <w:spacing w:val="-1"/>
                                  </w:rPr>
                                  <w:t>and</w:t>
                                </w:r>
                                <w:r>
                                  <w:rPr>
                                    <w:rFonts w:ascii="Arial"/>
                                    <w:spacing w:val="24"/>
                                  </w:rPr>
                                  <w:t xml:space="preserve"> </w:t>
                                </w:r>
                                <w:r>
                                  <w:rPr>
                                    <w:rFonts w:ascii="Arial"/>
                                    <w:spacing w:val="-1"/>
                                  </w:rPr>
                                  <w:t>details</w:t>
                                </w:r>
                                <w:r>
                                  <w:rPr>
                                    <w:rFonts w:ascii="Arial"/>
                                    <w:spacing w:val="25"/>
                                  </w:rPr>
                                  <w:t xml:space="preserve"> </w:t>
                                </w:r>
                                <w:r>
                                  <w:rPr>
                                    <w:rFonts w:ascii="Arial"/>
                                    <w:spacing w:val="-1"/>
                                  </w:rPr>
                                  <w:t>of</w:t>
                                </w:r>
                                <w:r>
                                  <w:rPr>
                                    <w:rFonts w:ascii="Arial"/>
                                    <w:spacing w:val="26"/>
                                  </w:rPr>
                                  <w:t xml:space="preserve"> </w:t>
                                </w:r>
                                <w:r>
                                  <w:rPr>
                                    <w:rFonts w:ascii="Arial"/>
                                  </w:rPr>
                                  <w:t>the</w:t>
                                </w:r>
                                <w:r>
                                  <w:rPr>
                                    <w:rFonts w:ascii="Arial"/>
                                    <w:spacing w:val="24"/>
                                  </w:rPr>
                                  <w:t xml:space="preserve"> </w:t>
                                </w:r>
                                <w:r>
                                  <w:rPr>
                                    <w:rFonts w:ascii="Arial"/>
                                    <w:spacing w:val="-2"/>
                                  </w:rPr>
                                  <w:t>Supplier's</w:t>
                                </w:r>
                                <w:r>
                                  <w:rPr>
                                    <w:rFonts w:ascii="Arial"/>
                                    <w:spacing w:val="25"/>
                                  </w:rPr>
                                  <w:t xml:space="preserve"> </w:t>
                                </w:r>
                                <w:r>
                                  <w:rPr>
                                    <w:rFonts w:ascii="Arial"/>
                                    <w:spacing w:val="-1"/>
                                  </w:rPr>
                                  <w:t>approach</w:t>
                                </w:r>
                                <w:r>
                                  <w:rPr>
                                    <w:rFonts w:ascii="Arial"/>
                                    <w:spacing w:val="25"/>
                                  </w:rPr>
                                  <w:t xml:space="preserve"> </w:t>
                                </w:r>
                                <w:r>
                                  <w:rPr>
                                    <w:rFonts w:ascii="Arial"/>
                                  </w:rPr>
                                  <w:t>to</w:t>
                                </w:r>
                              </w:p>
                              <w:p w:rsidR="005D2B81" w:rsidRDefault="005D2B81" w:rsidP="008918FA">
                                <w:pPr>
                                  <w:spacing w:line="248" w:lineRule="exact"/>
                                  <w:rPr>
                                    <w:rFonts w:ascii="Arial" w:eastAsia="Arial" w:hAnsi="Arial" w:cs="Arial"/>
                                  </w:rPr>
                                </w:pPr>
                                <w:r>
                                  <w:rPr>
                                    <w:rFonts w:ascii="Arial"/>
                                    <w:spacing w:val="-1"/>
                                  </w:rPr>
                                  <w:t>data</w:t>
                                </w:r>
                                <w:r>
                                  <w:rPr>
                                    <w:rFonts w:ascii="Arial"/>
                                  </w:rPr>
                                  <w:t xml:space="preserve"> </w:t>
                                </w:r>
                                <w:r>
                                  <w:rPr>
                                    <w:rFonts w:ascii="Arial"/>
                                    <w:spacing w:val="-1"/>
                                  </w:rPr>
                                  <w:t>back-up</w:t>
                                </w:r>
                                <w:r>
                                  <w:rPr>
                                    <w:rFonts w:ascii="Arial"/>
                                    <w:spacing w:val="-2"/>
                                  </w:rPr>
                                  <w:t xml:space="preserve"> </w:t>
                                </w:r>
                                <w:r>
                                  <w:rPr>
                                    <w:rFonts w:ascii="Arial"/>
                                    <w:spacing w:val="-1"/>
                                  </w:rPr>
                                  <w:t>and</w:t>
                                </w:r>
                                <w:r>
                                  <w:rPr>
                                    <w:rFonts w:ascii="Arial"/>
                                  </w:rPr>
                                  <w:t xml:space="preserve"> </w:t>
                                </w:r>
                                <w:r>
                                  <w:rPr>
                                    <w:rFonts w:ascii="Arial"/>
                                    <w:spacing w:val="-1"/>
                                  </w:rPr>
                                  <w:t>data</w:t>
                                </w:r>
                                <w:r>
                                  <w:rPr>
                                    <w:rFonts w:ascii="Arial"/>
                                  </w:rPr>
                                  <w:t xml:space="preserve"> </w:t>
                                </w:r>
                                <w:r>
                                  <w:rPr>
                                    <w:rFonts w:ascii="Arial"/>
                                    <w:spacing w:val="-1"/>
                                  </w:rPr>
                                  <w:t>verification;</w:t>
                                </w:r>
                              </w:p>
                            </w:txbxContent>
                          </wps:txbx>
                          <wps:bodyPr rot="0" vert="horz" wrap="square" lIns="0" tIns="0" rIns="0" bIns="0" anchor="t" anchorCtr="0" upright="1">
                            <a:noAutofit/>
                          </wps:bodyPr>
                        </wps:wsp>
                      </wpg:grpSp>
                    </wpg:wgp>
                  </a:graphicData>
                </a:graphic>
              </wp:inline>
            </w:drawing>
          </mc:Choice>
          <mc:Fallback>
            <w:pict>
              <v:group w14:anchorId="0088848C" id="Group 1823" o:spid="_x0000_s1339" style="width:346.2pt;height:25.35pt;mso-position-horizontal-relative:char;mso-position-vertical-relative:line" coordsize="692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">
                <v:group id="Group 1828" o:spid="_x0000_s1340" style="position:absolute;width:6924;height:252" coordsize="69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829" o:spid="_x0000_s1341" style="position:absolute;width:6924;height:252;visibility:visible;mso-wrap-style:square;v-text-anchor:top" coordsize="69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DMIA&#10;AADdAAAADwAAAGRycy9kb3ducmV2LnhtbERPS4vCMBC+C/6HMIIXWVMtiHSNoguiXgQfsNfZZmyL&#10;zSTbRK3/3iwseJuP7zmzRWtqcafGV5YVjIYJCOLc6ooLBefT+mMKwgdkjbVlUvAkD4t5tzPDTNsH&#10;H+h+DIWIIewzVFCG4DIpfV6SQT+0jjhyF9sYDBE2hdQNPmK4qeU4SSbSYMWxoURHXyXl1+PNKBjI&#10;/cH+0K8zq4HfjVzLdfq9Uarfa5efIAK14S3+d291nD9NU/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f8MwgAAAN0AAAAPAAAAAAAAAAAAAAAAAJgCAABkcnMvZG93&#10;bnJldi54bWxQSwUGAAAAAAQABAD1AAAAhwMAAAAA&#10;" path="m,252r6924,l6924,,,,,252xe" fillcolor="yellow" stroked="f">
                    <v:path arrowok="t" o:connecttype="custom" o:connectlocs="0,252;6924,252;6924,0;0,0;0,252" o:connectangles="0,0,0,0,0"/>
                  </v:shape>
                </v:group>
                <v:group id="Group 1824" o:spid="_x0000_s1342" style="position:absolute;left:708;top:252;width:3365;height:255" coordorigin="708,252" coordsize="336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827" o:spid="_x0000_s1343" style="position:absolute;left:708;top:252;width:3365;height:255;visibility:visible;mso-wrap-style:square;v-text-anchor:top" coordsize="33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OtsQA&#10;AADdAAAADwAAAGRycy9kb3ducmV2LnhtbERPS2vCQBC+C/0PyxR6M5sqikZXKYLUg4dqfVzH7DQJ&#10;zc6G7Bpjfr1bEHqbj+8582VrStFQ7QrLCt6jGARxanXBmYLD97o/AeE8ssbSMim4k4Pl4qU3x0Tb&#10;G++o2ftMhBB2CSrIva8SKV2ak0EX2Yo4cD+2NugDrDOpa7yFcFPKQRyPpcGCQ0OOFa1ySn/3V6Pg&#10;3LmpG25Osh2vPuVx+tU1l22n1Ntr+zED4an1/+Kne6PD/MlwBH/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1TrbEAAAA3QAAAA8AAAAAAAAAAAAAAAAAmAIAAGRycy9k&#10;b3ducmV2LnhtbFBLBQYAAAAABAAEAPUAAACJAwAAAAA=&#10;" path="m,254r3365,l3365,,,,,254xe" fillcolor="yellow" stroked="f">
                    <v:path arrowok="t" o:connecttype="custom" o:connectlocs="0,506;3365,506;3365,252;0,252;0,506" o:connectangles="0,0,0,0,0"/>
                  </v:shape>
                  <v:shape id="Text Box 1826" o:spid="_x0000_s1344" type="#_x0000_t202" style="position:absolute;top:25;width:2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2cMA&#10;AADdAAAADwAAAGRycy9kb3ducmV2LnhtbERPTWvCQBC9C/0PyxR6040Wgk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2cMAAADdAAAADwAAAAAAAAAAAAAAAACYAgAAZHJzL2Rv&#10;d25yZXYueG1sUEsFBgAAAAAEAAQA9QAAAIgDAAAAAA==&#10;" filled="f" stroked="f">
                    <v:textbox inset="0,0,0,0">
                      <w:txbxContent>
                        <w:p w:rsidR="005D2B81" w:rsidRDefault="005D2B81" w:rsidP="008918FA">
                          <w:pPr>
                            <w:spacing w:line="221" w:lineRule="exact"/>
                            <w:rPr>
                              <w:rFonts w:ascii="Arial" w:eastAsia="Arial" w:hAnsi="Arial" w:cs="Arial"/>
                            </w:rPr>
                          </w:pPr>
                          <w:r>
                            <w:rPr>
                              <w:rFonts w:ascii="Arial"/>
                              <w:spacing w:val="-1"/>
                            </w:rPr>
                            <w:t>(b)</w:t>
                          </w:r>
                        </w:p>
                      </w:txbxContent>
                    </v:textbox>
                  </v:shape>
                  <v:shape id="Text Box 1825" o:spid="_x0000_s1345" type="#_x0000_t202" style="position:absolute;left:708;top:25;width:621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qQsQA&#10;AADdAAAADwAAAGRycy9kb3ducmV2LnhtbERPTWvCQBC9F/oflin0VjetY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akLEAAAA3QAAAA8AAAAAAAAAAAAAAAAAmAIAAGRycy9k&#10;b3ducmV2LnhtbFBLBQYAAAAABAAEAPUAAACJAwAAAAA=&#10;" filled="f" stroked="f">
                    <v:textbox inset="0,0,0,0">
                      <w:txbxContent>
                        <w:p w:rsidR="005D2B81" w:rsidRDefault="005D2B81" w:rsidP="008918FA">
                          <w:pPr>
                            <w:spacing w:line="225" w:lineRule="exact"/>
                            <w:ind w:hanging="1"/>
                            <w:rPr>
                              <w:rFonts w:ascii="Arial" w:eastAsia="Arial" w:hAnsi="Arial" w:cs="Arial"/>
                            </w:rPr>
                          </w:pPr>
                          <w:r>
                            <w:rPr>
                              <w:rFonts w:ascii="Arial"/>
                              <w:spacing w:val="-1"/>
                            </w:rPr>
                            <w:t>backup</w:t>
                          </w:r>
                          <w:r>
                            <w:rPr>
                              <w:rFonts w:ascii="Arial"/>
                              <w:spacing w:val="22"/>
                            </w:rPr>
                            <w:t xml:space="preserve"> </w:t>
                          </w:r>
                          <w:r>
                            <w:rPr>
                              <w:rFonts w:ascii="Arial"/>
                              <w:spacing w:val="-1"/>
                            </w:rPr>
                            <w:t>methodology</w:t>
                          </w:r>
                          <w:r>
                            <w:rPr>
                              <w:rFonts w:ascii="Arial"/>
                              <w:spacing w:val="22"/>
                            </w:rPr>
                            <w:t xml:space="preserve"> </w:t>
                          </w:r>
                          <w:r>
                            <w:rPr>
                              <w:rFonts w:ascii="Arial"/>
                              <w:spacing w:val="-1"/>
                            </w:rPr>
                            <w:t>and</w:t>
                          </w:r>
                          <w:r>
                            <w:rPr>
                              <w:rFonts w:ascii="Arial"/>
                              <w:spacing w:val="24"/>
                            </w:rPr>
                            <w:t xml:space="preserve"> </w:t>
                          </w:r>
                          <w:r>
                            <w:rPr>
                              <w:rFonts w:ascii="Arial"/>
                              <w:spacing w:val="-1"/>
                            </w:rPr>
                            <w:t>details</w:t>
                          </w:r>
                          <w:r>
                            <w:rPr>
                              <w:rFonts w:ascii="Arial"/>
                              <w:spacing w:val="25"/>
                            </w:rPr>
                            <w:t xml:space="preserve"> </w:t>
                          </w:r>
                          <w:r>
                            <w:rPr>
                              <w:rFonts w:ascii="Arial"/>
                              <w:spacing w:val="-1"/>
                            </w:rPr>
                            <w:t>of</w:t>
                          </w:r>
                          <w:r>
                            <w:rPr>
                              <w:rFonts w:ascii="Arial"/>
                              <w:spacing w:val="26"/>
                            </w:rPr>
                            <w:t xml:space="preserve"> </w:t>
                          </w:r>
                          <w:r>
                            <w:rPr>
                              <w:rFonts w:ascii="Arial"/>
                            </w:rPr>
                            <w:t>the</w:t>
                          </w:r>
                          <w:r>
                            <w:rPr>
                              <w:rFonts w:ascii="Arial"/>
                              <w:spacing w:val="24"/>
                            </w:rPr>
                            <w:t xml:space="preserve"> </w:t>
                          </w:r>
                          <w:r>
                            <w:rPr>
                              <w:rFonts w:ascii="Arial"/>
                              <w:spacing w:val="-2"/>
                            </w:rPr>
                            <w:t>Supplier's</w:t>
                          </w:r>
                          <w:r>
                            <w:rPr>
                              <w:rFonts w:ascii="Arial"/>
                              <w:spacing w:val="25"/>
                            </w:rPr>
                            <w:t xml:space="preserve"> </w:t>
                          </w:r>
                          <w:r>
                            <w:rPr>
                              <w:rFonts w:ascii="Arial"/>
                              <w:spacing w:val="-1"/>
                            </w:rPr>
                            <w:t>approach</w:t>
                          </w:r>
                          <w:r>
                            <w:rPr>
                              <w:rFonts w:ascii="Arial"/>
                              <w:spacing w:val="25"/>
                            </w:rPr>
                            <w:t xml:space="preserve"> </w:t>
                          </w:r>
                          <w:r>
                            <w:rPr>
                              <w:rFonts w:ascii="Arial"/>
                            </w:rPr>
                            <w:t>to</w:t>
                          </w:r>
                        </w:p>
                        <w:p w:rsidR="005D2B81" w:rsidRDefault="005D2B81" w:rsidP="008918FA">
                          <w:pPr>
                            <w:spacing w:line="248" w:lineRule="exact"/>
                            <w:rPr>
                              <w:rFonts w:ascii="Arial" w:eastAsia="Arial" w:hAnsi="Arial" w:cs="Arial"/>
                            </w:rPr>
                          </w:pPr>
                          <w:r>
                            <w:rPr>
                              <w:rFonts w:ascii="Arial"/>
                              <w:spacing w:val="-1"/>
                            </w:rPr>
                            <w:t>data</w:t>
                          </w:r>
                          <w:r>
                            <w:rPr>
                              <w:rFonts w:ascii="Arial"/>
                            </w:rPr>
                            <w:t xml:space="preserve"> </w:t>
                          </w:r>
                          <w:r>
                            <w:rPr>
                              <w:rFonts w:ascii="Arial"/>
                              <w:spacing w:val="-1"/>
                            </w:rPr>
                            <w:t>back-up</w:t>
                          </w:r>
                          <w:r>
                            <w:rPr>
                              <w:rFonts w:ascii="Arial"/>
                              <w:spacing w:val="-2"/>
                            </w:rPr>
                            <w:t xml:space="preserve"> </w:t>
                          </w:r>
                          <w:r>
                            <w:rPr>
                              <w:rFonts w:ascii="Arial"/>
                              <w:spacing w:val="-1"/>
                            </w:rPr>
                            <w:t>and</w:t>
                          </w:r>
                          <w:r>
                            <w:rPr>
                              <w:rFonts w:ascii="Arial"/>
                            </w:rPr>
                            <w:t xml:space="preserve"> </w:t>
                          </w:r>
                          <w:r>
                            <w:rPr>
                              <w:rFonts w:ascii="Arial"/>
                              <w:spacing w:val="-1"/>
                            </w:rPr>
                            <w:t>data</w:t>
                          </w:r>
                          <w:r>
                            <w:rPr>
                              <w:rFonts w:ascii="Arial"/>
                            </w:rPr>
                            <w:t xml:space="preserve"> </w:t>
                          </w:r>
                          <w:r>
                            <w:rPr>
                              <w:rFonts w:ascii="Arial"/>
                              <w:spacing w:val="-1"/>
                            </w:rPr>
                            <w:t>verification;</w:t>
                          </w:r>
                        </w:p>
                      </w:txbxContent>
                    </v:textbox>
                  </v:shape>
                </v:group>
                <w10:anchorlock/>
              </v:group>
            </w:pict>
          </mc:Fallback>
        </mc:AlternateContent>
      </w:r>
    </w:p>
    <w:p w:rsidR="008918FA" w:rsidRDefault="008918FA" w:rsidP="008918FA">
      <w:pPr>
        <w:pStyle w:val="BodyText"/>
        <w:tabs>
          <w:tab w:val="left" w:pos="2734"/>
        </w:tabs>
        <w:spacing w:before="117" w:line="352" w:lineRule="auto"/>
        <w:ind w:left="2026" w:right="1794" w:firstLine="0"/>
      </w:pPr>
      <w:r>
        <w:rPr>
          <w:highlight w:val="yellow"/>
        </w:rPr>
        <w:t>(c)</w:t>
      </w:r>
      <w:r>
        <w:rPr>
          <w:highlight w:val="yellow"/>
        </w:rPr>
        <w:tab/>
      </w:r>
      <w:r>
        <w:rPr>
          <w:spacing w:val="-1"/>
          <w:highlight w:val="yellow"/>
        </w:rPr>
        <w:t>identification</w:t>
      </w:r>
      <w:r>
        <w:rPr>
          <w:spacing w:val="1"/>
          <w:highlight w:val="yellow"/>
        </w:rPr>
        <w:t xml:space="preserve"> </w:t>
      </w:r>
      <w:r>
        <w:rPr>
          <w:spacing w:val="-2"/>
          <w:highlight w:val="yellow"/>
        </w:rPr>
        <w:t>of</w:t>
      </w:r>
      <w:r>
        <w:rPr>
          <w:spacing w:val="2"/>
          <w:highlight w:val="yellow"/>
        </w:rPr>
        <w:t xml:space="preserve"> </w:t>
      </w:r>
      <w:r>
        <w:rPr>
          <w:spacing w:val="-1"/>
          <w:highlight w:val="yellow"/>
        </w:rPr>
        <w:t>all</w:t>
      </w:r>
      <w:r>
        <w:rPr>
          <w:highlight w:val="yellow"/>
        </w:rPr>
        <w:t xml:space="preserve"> </w:t>
      </w:r>
      <w:r>
        <w:rPr>
          <w:spacing w:val="-2"/>
          <w:highlight w:val="yellow"/>
        </w:rPr>
        <w:t>potential</w:t>
      </w:r>
      <w:r>
        <w:rPr>
          <w:highlight w:val="yellow"/>
        </w:rPr>
        <w:t xml:space="preserve"> </w:t>
      </w:r>
      <w:r>
        <w:rPr>
          <w:spacing w:val="-1"/>
          <w:highlight w:val="yellow"/>
        </w:rPr>
        <w:t>disaster</w:t>
      </w:r>
      <w:r>
        <w:rPr>
          <w:highlight w:val="yellow"/>
        </w:rPr>
        <w:t xml:space="preserve"> </w:t>
      </w:r>
      <w:r>
        <w:rPr>
          <w:spacing w:val="-1"/>
          <w:highlight w:val="yellow"/>
        </w:rPr>
        <w:t>scenarios;</w:t>
      </w:r>
      <w:r>
        <w:rPr>
          <w:spacing w:val="25"/>
        </w:rPr>
        <w:t xml:space="preserve"> </w:t>
      </w:r>
      <w:r>
        <w:rPr>
          <w:spacing w:val="-1"/>
          <w:highlight w:val="yellow"/>
        </w:rPr>
        <w:t>(d)</w:t>
      </w:r>
      <w:r>
        <w:rPr>
          <w:spacing w:val="-1"/>
          <w:highlight w:val="yellow"/>
        </w:rPr>
        <w:tab/>
        <w:t>risk</w:t>
      </w:r>
      <w:r>
        <w:rPr>
          <w:spacing w:val="1"/>
          <w:highlight w:val="yellow"/>
        </w:rPr>
        <w:t xml:space="preserve"> </w:t>
      </w:r>
      <w:r>
        <w:rPr>
          <w:spacing w:val="-2"/>
          <w:highlight w:val="yellow"/>
        </w:rPr>
        <w:t>analysis;</w:t>
      </w: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24E7C4C6" wp14:editId="6A74A460">
                <wp:extent cx="3246120" cy="160020"/>
                <wp:effectExtent l="0" t="0" r="1905" b="1905"/>
                <wp:docPr id="1830"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707"/>
                              </w:tabs>
                              <w:spacing w:line="251" w:lineRule="exact"/>
                              <w:rPr>
                                <w:rFonts w:ascii="Arial" w:eastAsia="Arial" w:hAnsi="Arial" w:cs="Arial"/>
                              </w:rPr>
                            </w:pPr>
                            <w:r>
                              <w:rPr>
                                <w:rFonts w:ascii="Arial"/>
                                <w:spacing w:val="-1"/>
                              </w:rPr>
                              <w:t>(e)</w:t>
                            </w:r>
                            <w:r>
                              <w:rPr>
                                <w:rFonts w:ascii="Arial"/>
                                <w:spacing w:val="-1"/>
                              </w:rPr>
                              <w:tab/>
                              <w:t>documentation</w:t>
                            </w:r>
                            <w:r>
                              <w:rPr>
                                <w:rFonts w:ascii="Arial"/>
                              </w:rPr>
                              <w:t xml:space="preserve"> </w:t>
                            </w:r>
                            <w:r>
                              <w:rPr>
                                <w:rFonts w:ascii="Arial"/>
                                <w:spacing w:val="-2"/>
                              </w:rPr>
                              <w:t>of</w:t>
                            </w:r>
                            <w:r>
                              <w:rPr>
                                <w:rFonts w:ascii="Arial"/>
                                <w:spacing w:val="2"/>
                              </w:rPr>
                              <w:t xml:space="preserve"> </w:t>
                            </w:r>
                            <w:r>
                              <w:rPr>
                                <w:rFonts w:ascii="Arial"/>
                                <w:spacing w:val="-1"/>
                              </w:rPr>
                              <w:t>processes</w:t>
                            </w:r>
                            <w:r>
                              <w:rPr>
                                <w:rFonts w:ascii="Arial"/>
                                <w:spacing w:val="1"/>
                              </w:rPr>
                              <w:t xml:space="preserve"> </w:t>
                            </w:r>
                            <w:r>
                              <w:rPr>
                                <w:rFonts w:ascii="Arial"/>
                                <w:spacing w:val="-1"/>
                              </w:rPr>
                              <w:t>and</w:t>
                            </w:r>
                            <w:r>
                              <w:rPr>
                                <w:rFonts w:ascii="Arial"/>
                              </w:rPr>
                              <w:t xml:space="preserve"> </w:t>
                            </w:r>
                            <w:r>
                              <w:rPr>
                                <w:rFonts w:ascii="Arial"/>
                                <w:spacing w:val="-2"/>
                              </w:rPr>
                              <w:t>procedures;</w:t>
                            </w:r>
                          </w:p>
                        </w:txbxContent>
                      </wps:txbx>
                      <wps:bodyPr rot="0" vert="horz" wrap="square" lIns="0" tIns="0" rIns="0" bIns="0" anchor="t" anchorCtr="0" upright="1">
                        <a:noAutofit/>
                      </wps:bodyPr>
                    </wps:wsp>
                  </a:graphicData>
                </a:graphic>
              </wp:inline>
            </w:drawing>
          </mc:Choice>
          <mc:Fallback>
            <w:pict>
              <v:shape w14:anchorId="24E7C4C6" id="Text Box 1822" o:spid="_x0000_s1346" type="#_x0000_t202" style="width:255.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" fillcolor="yellow" stroked="f">
                <v:textbox inset="0,0,0,0">
                  <w:txbxContent>
                    <w:p w:rsidR="005D2B81" w:rsidRDefault="005D2B81" w:rsidP="008918FA">
                      <w:pPr>
                        <w:tabs>
                          <w:tab w:val="left" w:pos="707"/>
                        </w:tabs>
                        <w:spacing w:line="251" w:lineRule="exact"/>
                        <w:rPr>
                          <w:rFonts w:ascii="Arial" w:eastAsia="Arial" w:hAnsi="Arial" w:cs="Arial"/>
                        </w:rPr>
                      </w:pPr>
                      <w:r>
                        <w:rPr>
                          <w:rFonts w:ascii="Arial"/>
                          <w:spacing w:val="-1"/>
                        </w:rPr>
                        <w:t>(e)</w:t>
                      </w:r>
                      <w:r>
                        <w:rPr>
                          <w:rFonts w:ascii="Arial"/>
                          <w:spacing w:val="-1"/>
                        </w:rPr>
                        <w:tab/>
                        <w:t>documentation</w:t>
                      </w:r>
                      <w:r>
                        <w:rPr>
                          <w:rFonts w:ascii="Arial"/>
                        </w:rPr>
                        <w:t xml:space="preserve"> </w:t>
                      </w:r>
                      <w:r>
                        <w:rPr>
                          <w:rFonts w:ascii="Arial"/>
                          <w:spacing w:val="-2"/>
                        </w:rPr>
                        <w:t>of</w:t>
                      </w:r>
                      <w:r>
                        <w:rPr>
                          <w:rFonts w:ascii="Arial"/>
                          <w:spacing w:val="2"/>
                        </w:rPr>
                        <w:t xml:space="preserve"> </w:t>
                      </w:r>
                      <w:r>
                        <w:rPr>
                          <w:rFonts w:ascii="Arial"/>
                          <w:spacing w:val="-1"/>
                        </w:rPr>
                        <w:t>processes</w:t>
                      </w:r>
                      <w:r>
                        <w:rPr>
                          <w:rFonts w:ascii="Arial"/>
                          <w:spacing w:val="1"/>
                        </w:rPr>
                        <w:t xml:space="preserve"> </w:t>
                      </w:r>
                      <w:r>
                        <w:rPr>
                          <w:rFonts w:ascii="Arial"/>
                          <w:spacing w:val="-1"/>
                        </w:rPr>
                        <w:t>and</w:t>
                      </w:r>
                      <w:r>
                        <w:rPr>
                          <w:rFonts w:ascii="Arial"/>
                        </w:rPr>
                        <w:t xml:space="preserve"> </w:t>
                      </w:r>
                      <w:r>
                        <w:rPr>
                          <w:rFonts w:ascii="Arial"/>
                          <w:spacing w:val="-2"/>
                        </w:rPr>
                        <w:t>procedures;</w:t>
                      </w:r>
                    </w:p>
                  </w:txbxContent>
                </v:textbox>
                <w10:anchorlock/>
              </v:shape>
            </w:pict>
          </mc:Fallback>
        </mc:AlternateContent>
      </w:r>
    </w:p>
    <w:p w:rsidR="008918FA" w:rsidRDefault="008918FA" w:rsidP="008918FA">
      <w:pPr>
        <w:spacing w:before="2"/>
        <w:rPr>
          <w:rFonts w:ascii="Arial" w:eastAsia="Arial" w:hAnsi="Arial" w:cs="Arial"/>
          <w:sz w:val="11"/>
          <w:szCs w:val="11"/>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17D2E12A" wp14:editId="1014C1CE">
                <wp:extent cx="2352040" cy="160020"/>
                <wp:effectExtent l="0" t="0" r="635" b="1905"/>
                <wp:docPr id="1829"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708"/>
                              </w:tabs>
                              <w:spacing w:line="251" w:lineRule="exact"/>
                              <w:rPr>
                                <w:rFonts w:ascii="Arial" w:eastAsia="Arial" w:hAnsi="Arial" w:cs="Arial"/>
                              </w:rPr>
                            </w:pPr>
                            <w:r>
                              <w:rPr>
                                <w:rFonts w:ascii="Arial"/>
                              </w:rPr>
                              <w:t>(f)</w:t>
                            </w:r>
                            <w:r>
                              <w:rPr>
                                <w:rFonts w:ascii="Arial"/>
                              </w:rPr>
                              <w:tab/>
                            </w:r>
                            <w:r>
                              <w:rPr>
                                <w:rFonts w:ascii="Arial"/>
                                <w:spacing w:val="-1"/>
                              </w:rPr>
                              <w:t>hardware</w:t>
                            </w:r>
                            <w:r>
                              <w:rPr>
                                <w:rFonts w:ascii="Arial"/>
                              </w:rPr>
                              <w:t xml:space="preserve"> </w:t>
                            </w:r>
                            <w:r>
                              <w:rPr>
                                <w:rFonts w:ascii="Arial"/>
                                <w:spacing w:val="-1"/>
                              </w:rPr>
                              <w:t>configuration</w:t>
                            </w:r>
                            <w:r>
                              <w:rPr>
                                <w:rFonts w:ascii="Arial"/>
                              </w:rPr>
                              <w:t xml:space="preserve"> </w:t>
                            </w:r>
                            <w:r>
                              <w:rPr>
                                <w:rFonts w:ascii="Arial"/>
                                <w:spacing w:val="-2"/>
                              </w:rPr>
                              <w:t>details;</w:t>
                            </w:r>
                          </w:p>
                        </w:txbxContent>
                      </wps:txbx>
                      <wps:bodyPr rot="0" vert="horz" wrap="square" lIns="0" tIns="0" rIns="0" bIns="0" anchor="t" anchorCtr="0" upright="1">
                        <a:noAutofit/>
                      </wps:bodyPr>
                    </wps:wsp>
                  </a:graphicData>
                </a:graphic>
              </wp:inline>
            </w:drawing>
          </mc:Choice>
          <mc:Fallback>
            <w:pict>
              <v:shape w14:anchorId="17D2E12A" id="Text Box 1821" o:spid="_x0000_s1347" type="#_x0000_t202" style="width:185.2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" fillcolor="yellow" stroked="f">
                <v:textbox inset="0,0,0,0">
                  <w:txbxContent>
                    <w:p w:rsidR="005D2B81" w:rsidRDefault="005D2B81" w:rsidP="008918FA">
                      <w:pPr>
                        <w:tabs>
                          <w:tab w:val="left" w:pos="708"/>
                        </w:tabs>
                        <w:spacing w:line="251" w:lineRule="exact"/>
                        <w:rPr>
                          <w:rFonts w:ascii="Arial" w:eastAsia="Arial" w:hAnsi="Arial" w:cs="Arial"/>
                        </w:rPr>
                      </w:pPr>
                      <w:r>
                        <w:rPr>
                          <w:rFonts w:ascii="Arial"/>
                        </w:rPr>
                        <w:t>(f)</w:t>
                      </w:r>
                      <w:r>
                        <w:rPr>
                          <w:rFonts w:ascii="Arial"/>
                        </w:rPr>
                        <w:tab/>
                      </w:r>
                      <w:r>
                        <w:rPr>
                          <w:rFonts w:ascii="Arial"/>
                          <w:spacing w:val="-1"/>
                        </w:rPr>
                        <w:t>hardware</w:t>
                      </w:r>
                      <w:r>
                        <w:rPr>
                          <w:rFonts w:ascii="Arial"/>
                        </w:rPr>
                        <w:t xml:space="preserve"> </w:t>
                      </w:r>
                      <w:r>
                        <w:rPr>
                          <w:rFonts w:ascii="Arial"/>
                          <w:spacing w:val="-1"/>
                        </w:rPr>
                        <w:t>configuration</w:t>
                      </w:r>
                      <w:r>
                        <w:rPr>
                          <w:rFonts w:ascii="Arial"/>
                        </w:rPr>
                        <w:t xml:space="preserve"> </w:t>
                      </w:r>
                      <w:r>
                        <w:rPr>
                          <w:rFonts w:ascii="Arial"/>
                          <w:spacing w:val="-2"/>
                        </w:rPr>
                        <w:t>details;</w:t>
                      </w:r>
                    </w:p>
                  </w:txbxContent>
                </v:textbox>
                <w10:anchorlock/>
              </v:shape>
            </w:pict>
          </mc:Fallback>
        </mc:AlternateContent>
      </w:r>
    </w:p>
    <w:p w:rsidR="008918FA" w:rsidRDefault="008918FA" w:rsidP="008918FA">
      <w:pPr>
        <w:pStyle w:val="BodyText"/>
        <w:tabs>
          <w:tab w:val="left" w:pos="2734"/>
        </w:tabs>
        <w:spacing w:before="117"/>
        <w:ind w:left="2734" w:right="125" w:hanging="708"/>
      </w:pPr>
      <w:r>
        <w:rPr>
          <w:spacing w:val="-1"/>
        </w:rPr>
        <w:t>(g)</w:t>
      </w:r>
      <w:r>
        <w:rPr>
          <w:spacing w:val="-1"/>
        </w:rPr>
        <w:tab/>
        <w:t>network</w:t>
      </w:r>
      <w:r>
        <w:rPr>
          <w:spacing w:val="18"/>
        </w:rPr>
        <w:t xml:space="preserve"> </w:t>
      </w:r>
      <w:r>
        <w:rPr>
          <w:spacing w:val="-2"/>
        </w:rPr>
        <w:t>planning</w:t>
      </w:r>
      <w:r>
        <w:rPr>
          <w:spacing w:val="17"/>
        </w:rPr>
        <w:t xml:space="preserve"> </w:t>
      </w:r>
      <w:r>
        <w:rPr>
          <w:spacing w:val="-2"/>
        </w:rPr>
        <w:t>including</w:t>
      </w:r>
      <w:r>
        <w:rPr>
          <w:spacing w:val="17"/>
        </w:rPr>
        <w:t xml:space="preserve"> </w:t>
      </w:r>
      <w:r>
        <w:rPr>
          <w:spacing w:val="-2"/>
        </w:rPr>
        <w:t>details</w:t>
      </w:r>
      <w:r>
        <w:rPr>
          <w:spacing w:val="15"/>
        </w:rPr>
        <w:t xml:space="preserve"> </w:t>
      </w:r>
      <w:r>
        <w:rPr>
          <w:spacing w:val="-2"/>
        </w:rPr>
        <w:t>of</w:t>
      </w:r>
      <w:r>
        <w:rPr>
          <w:spacing w:val="19"/>
        </w:rPr>
        <w:t xml:space="preserve"> </w:t>
      </w:r>
      <w:r>
        <w:rPr>
          <w:spacing w:val="-1"/>
        </w:rPr>
        <w:t>all</w:t>
      </w:r>
      <w:r>
        <w:rPr>
          <w:spacing w:val="14"/>
        </w:rPr>
        <w:t xml:space="preserve"> </w:t>
      </w:r>
      <w:r>
        <w:rPr>
          <w:spacing w:val="-2"/>
        </w:rPr>
        <w:t>relevant</w:t>
      </w:r>
      <w:r>
        <w:rPr>
          <w:spacing w:val="16"/>
        </w:rPr>
        <w:t xml:space="preserve"> </w:t>
      </w:r>
      <w:r>
        <w:rPr>
          <w:spacing w:val="-1"/>
        </w:rPr>
        <w:t>data</w:t>
      </w:r>
      <w:r>
        <w:rPr>
          <w:spacing w:val="15"/>
        </w:rPr>
        <w:t xml:space="preserve"> </w:t>
      </w:r>
      <w:r>
        <w:rPr>
          <w:spacing w:val="-1"/>
        </w:rPr>
        <w:t>networks</w:t>
      </w:r>
      <w:r>
        <w:rPr>
          <w:spacing w:val="71"/>
        </w:rPr>
        <w:t xml:space="preserve"> </w:t>
      </w:r>
      <w:r>
        <w:rPr>
          <w:spacing w:val="-1"/>
        </w:rPr>
        <w:t>and</w:t>
      </w:r>
      <w:r>
        <w:rPr>
          <w:spacing w:val="1"/>
        </w:rPr>
        <w:t xml:space="preserve"> </w:t>
      </w:r>
      <w:r>
        <w:rPr>
          <w:spacing w:val="-1"/>
        </w:rPr>
        <w:t>communication</w:t>
      </w:r>
      <w:r>
        <w:rPr>
          <w:spacing w:val="-2"/>
        </w:rPr>
        <w:t xml:space="preserve"> </w:t>
      </w:r>
      <w:r>
        <w:rPr>
          <w:spacing w:val="-1"/>
        </w:rPr>
        <w:t>links;</w:t>
      </w:r>
    </w:p>
    <w:p w:rsidR="008918FA" w:rsidRDefault="008918FA" w:rsidP="008918FA">
      <w:pPr>
        <w:spacing w:before="6"/>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705926B2" wp14:editId="272E5C13">
                <wp:extent cx="1458595" cy="161925"/>
                <wp:effectExtent l="0" t="0" r="0" b="0"/>
                <wp:docPr id="1785"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707"/>
                              </w:tabs>
                              <w:spacing w:line="251" w:lineRule="exact"/>
                              <w:rPr>
                                <w:rFonts w:ascii="Arial" w:eastAsia="Arial" w:hAnsi="Arial" w:cs="Arial"/>
                              </w:rPr>
                            </w:pPr>
                            <w:r>
                              <w:rPr>
                                <w:rFonts w:ascii="Arial"/>
                                <w:spacing w:val="-1"/>
                              </w:rPr>
                              <w:t>(h)</w:t>
                            </w:r>
                            <w:r>
                              <w:rPr>
                                <w:rFonts w:ascii="Arial"/>
                                <w:spacing w:val="-1"/>
                              </w:rPr>
                              <w:tab/>
                              <w:t>invocation</w:t>
                            </w:r>
                            <w:r>
                              <w:rPr>
                                <w:rFonts w:ascii="Arial"/>
                              </w:rPr>
                              <w:t xml:space="preserve"> </w:t>
                            </w:r>
                            <w:r>
                              <w:rPr>
                                <w:rFonts w:ascii="Arial"/>
                                <w:spacing w:val="-1"/>
                              </w:rPr>
                              <w:t>rules;</w:t>
                            </w:r>
                          </w:p>
                        </w:txbxContent>
                      </wps:txbx>
                      <wps:bodyPr rot="0" vert="horz" wrap="square" lIns="0" tIns="0" rIns="0" bIns="0" anchor="t" anchorCtr="0" upright="1">
                        <a:noAutofit/>
                      </wps:bodyPr>
                    </wps:wsp>
                  </a:graphicData>
                </a:graphic>
              </wp:inline>
            </w:drawing>
          </mc:Choice>
          <mc:Fallback>
            <w:pict>
              <v:shape w14:anchorId="705926B2" id="Text Box 1777" o:spid="_x0000_s1348" type="#_x0000_t202" style="width:114.8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" fillcolor="yellow" stroked="f">
                <v:textbox inset="0,0,0,0">
                  <w:txbxContent>
                    <w:p w:rsidR="005D2B81" w:rsidRDefault="005D2B81" w:rsidP="008918FA">
                      <w:pPr>
                        <w:tabs>
                          <w:tab w:val="left" w:pos="707"/>
                        </w:tabs>
                        <w:spacing w:line="251" w:lineRule="exact"/>
                        <w:rPr>
                          <w:rFonts w:ascii="Arial" w:eastAsia="Arial" w:hAnsi="Arial" w:cs="Arial"/>
                        </w:rPr>
                      </w:pPr>
                      <w:r>
                        <w:rPr>
                          <w:rFonts w:ascii="Arial"/>
                          <w:spacing w:val="-1"/>
                        </w:rPr>
                        <w:t>(h)</w:t>
                      </w:r>
                      <w:r>
                        <w:rPr>
                          <w:rFonts w:ascii="Arial"/>
                          <w:spacing w:val="-1"/>
                        </w:rPr>
                        <w:tab/>
                        <w:t>invocation</w:t>
                      </w:r>
                      <w:r>
                        <w:rPr>
                          <w:rFonts w:ascii="Arial"/>
                        </w:rPr>
                        <w:t xml:space="preserve"> </w:t>
                      </w:r>
                      <w:r>
                        <w:rPr>
                          <w:rFonts w:ascii="Arial"/>
                          <w:spacing w:val="-1"/>
                        </w:rPr>
                        <w:t>rules;</w:t>
                      </w:r>
                    </w:p>
                  </w:txbxContent>
                </v:textbox>
                <w10:anchorlock/>
              </v:shape>
            </w:pict>
          </mc:Fallback>
        </mc:AlternateContent>
      </w:r>
    </w:p>
    <w:p w:rsidR="008918FA" w:rsidRDefault="008918FA" w:rsidP="008918FA">
      <w:pPr>
        <w:spacing w:before="5"/>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388EFD79" wp14:editId="609EEA1D">
                <wp:extent cx="2537460" cy="160020"/>
                <wp:effectExtent l="0" t="0" r="0" b="1905"/>
                <wp:docPr id="1784"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707"/>
                              </w:tabs>
                              <w:spacing w:line="251" w:lineRule="exact"/>
                              <w:ind w:right="-2"/>
                              <w:rPr>
                                <w:rFonts w:ascii="Arial" w:eastAsia="Arial" w:hAnsi="Arial" w:cs="Arial"/>
                              </w:rPr>
                            </w:pPr>
                            <w:r>
                              <w:rPr>
                                <w:rFonts w:ascii="Arial"/>
                                <w:spacing w:val="-1"/>
                              </w:rPr>
                              <w:t>(i)</w:t>
                            </w:r>
                            <w:r>
                              <w:rPr>
                                <w:rFonts w:ascii="Arial"/>
                                <w:spacing w:val="-1"/>
                              </w:rPr>
                              <w:tab/>
                            </w:r>
                            <w:r>
                              <w:rPr>
                                <w:rFonts w:ascii="Arial"/>
                                <w:spacing w:val="-2"/>
                              </w:rPr>
                              <w:t>Service</w:t>
                            </w:r>
                            <w:r>
                              <w:rPr>
                                <w:rFonts w:ascii="Arial"/>
                                <w:spacing w:val="1"/>
                              </w:rPr>
                              <w:t xml:space="preserve"> </w:t>
                            </w:r>
                            <w:r>
                              <w:rPr>
                                <w:rFonts w:ascii="Arial"/>
                                <w:spacing w:val="-1"/>
                              </w:rPr>
                              <w:t>recovery</w:t>
                            </w:r>
                            <w:r>
                              <w:rPr>
                                <w:rFonts w:ascii="Arial"/>
                                <w:spacing w:val="-2"/>
                              </w:rPr>
                              <w:t xml:space="preserve"> </w:t>
                            </w:r>
                            <w:r>
                              <w:rPr>
                                <w:rFonts w:ascii="Arial"/>
                                <w:spacing w:val="-1"/>
                              </w:rPr>
                              <w:t>procedures;</w:t>
                            </w:r>
                            <w:r>
                              <w:rPr>
                                <w:rFonts w:ascii="Arial"/>
                              </w:rPr>
                              <w:t xml:space="preserve"> </w:t>
                            </w:r>
                            <w:r>
                              <w:rPr>
                                <w:rFonts w:ascii="Arial"/>
                                <w:spacing w:val="-1"/>
                              </w:rPr>
                              <w:t>and</w:t>
                            </w:r>
                          </w:p>
                        </w:txbxContent>
                      </wps:txbx>
                      <wps:bodyPr rot="0" vert="horz" wrap="square" lIns="0" tIns="0" rIns="0" bIns="0" anchor="t" anchorCtr="0" upright="1">
                        <a:noAutofit/>
                      </wps:bodyPr>
                    </wps:wsp>
                  </a:graphicData>
                </a:graphic>
              </wp:inline>
            </w:drawing>
          </mc:Choice>
          <mc:Fallback>
            <w:pict>
              <v:shape w14:anchorId="388EFD79" id="Text Box 1776" o:spid="_x0000_s1349" type="#_x0000_t202" style="width:199.8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" fillcolor="yellow" stroked="f">
                <v:textbox inset="0,0,0,0">
                  <w:txbxContent>
                    <w:p w:rsidR="005D2B81" w:rsidRDefault="005D2B81" w:rsidP="008918FA">
                      <w:pPr>
                        <w:tabs>
                          <w:tab w:val="left" w:pos="707"/>
                        </w:tabs>
                        <w:spacing w:line="251" w:lineRule="exact"/>
                        <w:ind w:right="-2"/>
                        <w:rPr>
                          <w:rFonts w:ascii="Arial" w:eastAsia="Arial" w:hAnsi="Arial" w:cs="Arial"/>
                        </w:rPr>
                      </w:pPr>
                      <w:r>
                        <w:rPr>
                          <w:rFonts w:ascii="Arial"/>
                          <w:spacing w:val="-1"/>
                        </w:rPr>
                        <w:t>(i)</w:t>
                      </w:r>
                      <w:r>
                        <w:rPr>
                          <w:rFonts w:ascii="Arial"/>
                          <w:spacing w:val="-1"/>
                        </w:rPr>
                        <w:tab/>
                      </w:r>
                      <w:r>
                        <w:rPr>
                          <w:rFonts w:ascii="Arial"/>
                          <w:spacing w:val="-2"/>
                        </w:rPr>
                        <w:t>Service</w:t>
                      </w:r>
                      <w:r>
                        <w:rPr>
                          <w:rFonts w:ascii="Arial"/>
                          <w:spacing w:val="1"/>
                        </w:rPr>
                        <w:t xml:space="preserve"> </w:t>
                      </w:r>
                      <w:r>
                        <w:rPr>
                          <w:rFonts w:ascii="Arial"/>
                          <w:spacing w:val="-1"/>
                        </w:rPr>
                        <w:t>recovery</w:t>
                      </w:r>
                      <w:r>
                        <w:rPr>
                          <w:rFonts w:ascii="Arial"/>
                          <w:spacing w:val="-2"/>
                        </w:rPr>
                        <w:t xml:space="preserve"> </w:t>
                      </w:r>
                      <w:r>
                        <w:rPr>
                          <w:rFonts w:ascii="Arial"/>
                          <w:spacing w:val="-1"/>
                        </w:rPr>
                        <w:t>procedures;</w:t>
                      </w:r>
                      <w:r>
                        <w:rPr>
                          <w:rFonts w:ascii="Arial"/>
                        </w:rPr>
                        <w:t xml:space="preserve"> </w:t>
                      </w:r>
                      <w:r>
                        <w:rPr>
                          <w:rFonts w:ascii="Arial"/>
                          <w:spacing w:val="-1"/>
                        </w:rPr>
                        <w:t>and</w:t>
                      </w:r>
                    </w:p>
                  </w:txbxContent>
                </v:textbox>
                <w10:anchorlock/>
              </v:shape>
            </w:pict>
          </mc:Fallback>
        </mc:AlternateContent>
      </w:r>
    </w:p>
    <w:p w:rsidR="008918FA" w:rsidRDefault="008918FA" w:rsidP="008918FA">
      <w:pPr>
        <w:pStyle w:val="BodyText"/>
        <w:spacing w:before="117"/>
        <w:ind w:left="2734" w:right="114" w:hanging="708"/>
        <w:jc w:val="both"/>
      </w:pPr>
      <w:r>
        <w:rPr>
          <w:spacing w:val="-1"/>
        </w:rPr>
        <w:t>(j)</w:t>
      </w:r>
      <w:r>
        <w:rPr>
          <w:spacing w:val="22"/>
        </w:rPr>
        <w:t xml:space="preserve"> </w:t>
      </w:r>
      <w:r>
        <w:rPr>
          <w:spacing w:val="-1"/>
        </w:rPr>
        <w:t>steps</w:t>
      </w:r>
      <w:r>
        <w:rPr>
          <w:spacing w:val="32"/>
        </w:rPr>
        <w:t xml:space="preserve"> </w:t>
      </w:r>
      <w:r>
        <w:t>to</w:t>
      </w:r>
      <w:r>
        <w:rPr>
          <w:spacing w:val="31"/>
        </w:rPr>
        <w:t xml:space="preserve"> </w:t>
      </w:r>
      <w:r>
        <w:rPr>
          <w:spacing w:val="-1"/>
        </w:rPr>
        <w:t>be</w:t>
      </w:r>
      <w:r>
        <w:rPr>
          <w:spacing w:val="31"/>
        </w:rPr>
        <w:t xml:space="preserve"> </w:t>
      </w:r>
      <w:r>
        <w:rPr>
          <w:spacing w:val="-1"/>
        </w:rPr>
        <w:t>taken</w:t>
      </w:r>
      <w:r>
        <w:rPr>
          <w:spacing w:val="31"/>
        </w:rPr>
        <w:t xml:space="preserve"> </w:t>
      </w:r>
      <w:r>
        <w:rPr>
          <w:spacing w:val="-1"/>
        </w:rPr>
        <w:t>upon</w:t>
      </w:r>
      <w:r>
        <w:rPr>
          <w:spacing w:val="29"/>
        </w:rPr>
        <w:t xml:space="preserve"> </w:t>
      </w:r>
      <w:r>
        <w:rPr>
          <w:spacing w:val="-1"/>
        </w:rPr>
        <w:t>resumption</w:t>
      </w:r>
      <w:r>
        <w:rPr>
          <w:spacing w:val="31"/>
        </w:rPr>
        <w:t xml:space="preserve"> </w:t>
      </w:r>
      <w:r>
        <w:rPr>
          <w:spacing w:val="-2"/>
        </w:rPr>
        <w:t>of</w:t>
      </w:r>
      <w:r>
        <w:rPr>
          <w:spacing w:val="35"/>
        </w:rPr>
        <w:t xml:space="preserve"> </w:t>
      </w:r>
      <w:r>
        <w:t>the</w:t>
      </w:r>
      <w:r>
        <w:rPr>
          <w:spacing w:val="32"/>
        </w:rPr>
        <w:t xml:space="preserve"> </w:t>
      </w:r>
      <w:r>
        <w:rPr>
          <w:spacing w:val="-2"/>
        </w:rPr>
        <w:t>provision</w:t>
      </w:r>
      <w:r>
        <w:rPr>
          <w:spacing w:val="31"/>
        </w:rPr>
        <w:t xml:space="preserve"> </w:t>
      </w:r>
      <w:r>
        <w:rPr>
          <w:spacing w:val="-1"/>
        </w:rPr>
        <w:t>of</w:t>
      </w:r>
      <w:r>
        <w:rPr>
          <w:spacing w:val="35"/>
        </w:rPr>
        <w:t xml:space="preserve"> </w:t>
      </w:r>
      <w:r>
        <w:rPr>
          <w:spacing w:val="-1"/>
        </w:rPr>
        <w:t>Goods</w:t>
      </w:r>
      <w:r>
        <w:rPr>
          <w:spacing w:val="52"/>
        </w:rPr>
        <w:t xml:space="preserve"> </w:t>
      </w:r>
      <w:r>
        <w:rPr>
          <w:spacing w:val="-1"/>
        </w:rPr>
        <w:t>and/or</w:t>
      </w:r>
      <w:r>
        <w:rPr>
          <w:spacing w:val="6"/>
        </w:rPr>
        <w:t xml:space="preserve"> </w:t>
      </w:r>
      <w:r>
        <w:rPr>
          <w:spacing w:val="-2"/>
        </w:rPr>
        <w:t>Services</w:t>
      </w:r>
      <w:r>
        <w:rPr>
          <w:spacing w:val="6"/>
        </w:rPr>
        <w:t xml:space="preserve"> </w:t>
      </w:r>
      <w:r>
        <w:t>to</w:t>
      </w:r>
      <w:r>
        <w:rPr>
          <w:spacing w:val="5"/>
        </w:rPr>
        <w:t xml:space="preserve"> </w:t>
      </w:r>
      <w:r>
        <w:rPr>
          <w:spacing w:val="-2"/>
        </w:rPr>
        <w:t>address</w:t>
      </w:r>
      <w:r>
        <w:rPr>
          <w:spacing w:val="6"/>
        </w:rPr>
        <w:t xml:space="preserve"> </w:t>
      </w:r>
      <w:r>
        <w:rPr>
          <w:spacing w:val="-1"/>
        </w:rPr>
        <w:t>any</w:t>
      </w:r>
      <w:r>
        <w:rPr>
          <w:spacing w:val="3"/>
        </w:rPr>
        <w:t xml:space="preserve"> </w:t>
      </w:r>
      <w:r>
        <w:rPr>
          <w:spacing w:val="-2"/>
        </w:rPr>
        <w:t>prevailing</w:t>
      </w:r>
      <w:r>
        <w:rPr>
          <w:spacing w:val="7"/>
        </w:rPr>
        <w:t xml:space="preserve"> </w:t>
      </w:r>
      <w:r>
        <w:rPr>
          <w:spacing w:val="-1"/>
        </w:rPr>
        <w:t>effect</w:t>
      </w:r>
      <w:r>
        <w:rPr>
          <w:spacing w:val="7"/>
        </w:rPr>
        <w:t xml:space="preserve"> </w:t>
      </w:r>
      <w:r>
        <w:rPr>
          <w:spacing w:val="-2"/>
        </w:rPr>
        <w:t>of</w:t>
      </w:r>
      <w:r>
        <w:rPr>
          <w:spacing w:val="7"/>
        </w:rPr>
        <w:t xml:space="preserve"> </w:t>
      </w:r>
      <w:r>
        <w:t xml:space="preserve">the </w:t>
      </w:r>
      <w:r>
        <w:rPr>
          <w:spacing w:val="-1"/>
        </w:rPr>
        <w:t>failure</w:t>
      </w:r>
      <w:r>
        <w:rPr>
          <w:spacing w:val="3"/>
        </w:rPr>
        <w:t xml:space="preserve"> </w:t>
      </w:r>
      <w:r>
        <w:rPr>
          <w:spacing w:val="-1"/>
        </w:rPr>
        <w:t>or</w:t>
      </w:r>
      <w:r>
        <w:rPr>
          <w:spacing w:val="62"/>
        </w:rPr>
        <w:t xml:space="preserve"> </w:t>
      </w:r>
      <w:r>
        <w:rPr>
          <w:spacing w:val="-1"/>
        </w:rPr>
        <w:t>disruption</w:t>
      </w:r>
      <w:r>
        <w:t xml:space="preserve"> </w:t>
      </w:r>
      <w:r>
        <w:rPr>
          <w:spacing w:val="-2"/>
        </w:rPr>
        <w:t>of</w:t>
      </w:r>
      <w:r>
        <w:t xml:space="preserve"> the</w:t>
      </w:r>
      <w:r>
        <w:rPr>
          <w:spacing w:val="1"/>
        </w:rPr>
        <w:t xml:space="preserve"> </w:t>
      </w:r>
      <w:r>
        <w:rPr>
          <w:spacing w:val="-1"/>
        </w:rPr>
        <w:t>provision</w:t>
      </w:r>
      <w:r>
        <w:t xml:space="preserve"> </w:t>
      </w:r>
      <w:r>
        <w:rPr>
          <w:spacing w:val="-2"/>
        </w:rPr>
        <w:t>of</w:t>
      </w:r>
      <w:r>
        <w:rPr>
          <w:spacing w:val="2"/>
        </w:rPr>
        <w:t xml:space="preserve"> </w:t>
      </w:r>
      <w:r>
        <w:rPr>
          <w:spacing w:val="-1"/>
        </w:rPr>
        <w:t>Goods</w:t>
      </w:r>
      <w:r>
        <w:rPr>
          <w:spacing w:val="1"/>
        </w:rPr>
        <w:t xml:space="preserve"> </w:t>
      </w:r>
      <w:r>
        <w:rPr>
          <w:spacing w:val="-1"/>
        </w:rPr>
        <w:t>and/or Services;]</w:t>
      </w:r>
    </w:p>
    <w:p w:rsidR="008918FA" w:rsidRDefault="008918FA" w:rsidP="008918FA">
      <w:pPr>
        <w:pStyle w:val="BodyText"/>
        <w:numPr>
          <w:ilvl w:val="2"/>
          <w:numId w:val="10"/>
        </w:numPr>
        <w:tabs>
          <w:tab w:val="left" w:pos="2027"/>
        </w:tabs>
        <w:ind w:right="113"/>
        <w:jc w:val="both"/>
      </w:pPr>
      <w:r>
        <w:rPr>
          <w:spacing w:val="-1"/>
        </w:rPr>
        <w:t>any</w:t>
      </w:r>
      <w:r>
        <w:t xml:space="preserve"> </w:t>
      </w:r>
      <w:r>
        <w:rPr>
          <w:spacing w:val="-2"/>
        </w:rPr>
        <w:t>applicable</w:t>
      </w:r>
      <w:r>
        <w:rPr>
          <w:spacing w:val="2"/>
        </w:rPr>
        <w:t xml:space="preserve"> </w:t>
      </w:r>
      <w:r>
        <w:rPr>
          <w:spacing w:val="-1"/>
        </w:rPr>
        <w:t>Service</w:t>
      </w:r>
      <w:r>
        <w:rPr>
          <w:spacing w:val="2"/>
        </w:rPr>
        <w:t xml:space="preserve"> </w:t>
      </w:r>
      <w:r>
        <w:rPr>
          <w:spacing w:val="-2"/>
        </w:rPr>
        <w:t>Levels</w:t>
      </w:r>
      <w:r>
        <w:rPr>
          <w:spacing w:val="4"/>
        </w:rPr>
        <w:t xml:space="preserve"> </w:t>
      </w:r>
      <w:r>
        <w:rPr>
          <w:spacing w:val="-2"/>
        </w:rPr>
        <w:t>with</w:t>
      </w:r>
      <w:r>
        <w:rPr>
          <w:spacing w:val="2"/>
        </w:rPr>
        <w:t xml:space="preserve"> </w:t>
      </w:r>
      <w:r>
        <w:rPr>
          <w:spacing w:val="-1"/>
        </w:rPr>
        <w:t>respect</w:t>
      </w:r>
      <w:r>
        <w:rPr>
          <w:spacing w:val="1"/>
        </w:rPr>
        <w:t xml:space="preserve"> </w:t>
      </w:r>
      <w:r>
        <w:t>to</w:t>
      </w:r>
      <w:r>
        <w:rPr>
          <w:spacing w:val="58"/>
        </w:rPr>
        <w:t xml:space="preserve"> </w:t>
      </w:r>
      <w:r>
        <w:t>the</w:t>
      </w:r>
      <w:r>
        <w:rPr>
          <w:spacing w:val="2"/>
        </w:rPr>
        <w:t xml:space="preserve"> </w:t>
      </w:r>
      <w:r>
        <w:rPr>
          <w:spacing w:val="-2"/>
        </w:rPr>
        <w:t>provision</w:t>
      </w:r>
      <w:r>
        <w:rPr>
          <w:spacing w:val="2"/>
        </w:rPr>
        <w:t xml:space="preserve"> </w:t>
      </w:r>
      <w:r>
        <w:rPr>
          <w:spacing w:val="-1"/>
        </w:rPr>
        <w:t>of</w:t>
      </w:r>
      <w:r>
        <w:rPr>
          <w:spacing w:val="3"/>
        </w:rPr>
        <w:t xml:space="preserve"> </w:t>
      </w:r>
      <w:r>
        <w:rPr>
          <w:spacing w:val="-1"/>
        </w:rPr>
        <w:t>the</w:t>
      </w:r>
      <w:r>
        <w:rPr>
          <w:spacing w:val="64"/>
        </w:rPr>
        <w:t xml:space="preserve"> </w:t>
      </w:r>
      <w:r>
        <w:rPr>
          <w:spacing w:val="-1"/>
        </w:rPr>
        <w:t>Disaster</w:t>
      </w:r>
      <w:r>
        <w:rPr>
          <w:spacing w:val="6"/>
        </w:rPr>
        <w:t xml:space="preserve"> </w:t>
      </w:r>
      <w:r>
        <w:rPr>
          <w:spacing w:val="-1"/>
        </w:rPr>
        <w:t>Recovery</w:t>
      </w:r>
      <w:r>
        <w:rPr>
          <w:spacing w:val="3"/>
        </w:rPr>
        <w:t xml:space="preserve"> </w:t>
      </w:r>
      <w:r>
        <w:rPr>
          <w:spacing w:val="-1"/>
        </w:rPr>
        <w:t>Services</w:t>
      </w:r>
      <w:r>
        <w:rPr>
          <w:spacing w:val="5"/>
        </w:rPr>
        <w:t xml:space="preserve"> </w:t>
      </w:r>
      <w:r>
        <w:rPr>
          <w:spacing w:val="-1"/>
        </w:rPr>
        <w:t>and</w:t>
      </w:r>
      <w:r>
        <w:rPr>
          <w:spacing w:val="5"/>
        </w:rPr>
        <w:t xml:space="preserve"> </w:t>
      </w:r>
      <w:r>
        <w:rPr>
          <w:spacing w:val="-1"/>
        </w:rPr>
        <w:t>details</w:t>
      </w:r>
      <w:r>
        <w:rPr>
          <w:spacing w:val="5"/>
        </w:rPr>
        <w:t xml:space="preserve"> </w:t>
      </w:r>
      <w:r>
        <w:rPr>
          <w:spacing w:val="-2"/>
        </w:rPr>
        <w:t>of</w:t>
      </w:r>
      <w:r>
        <w:rPr>
          <w:spacing w:val="9"/>
        </w:rPr>
        <w:t xml:space="preserve"> </w:t>
      </w:r>
      <w:r>
        <w:rPr>
          <w:spacing w:val="-1"/>
        </w:rPr>
        <w:t>any</w:t>
      </w:r>
      <w:r>
        <w:rPr>
          <w:spacing w:val="3"/>
        </w:rPr>
        <w:t xml:space="preserve"> </w:t>
      </w:r>
      <w:r>
        <w:rPr>
          <w:spacing w:val="-1"/>
        </w:rPr>
        <w:t>agreed</w:t>
      </w:r>
      <w:r>
        <w:rPr>
          <w:spacing w:val="5"/>
        </w:rPr>
        <w:t xml:space="preserve"> </w:t>
      </w:r>
      <w:r>
        <w:rPr>
          <w:spacing w:val="-1"/>
        </w:rPr>
        <w:t>relaxation</w:t>
      </w:r>
      <w:r>
        <w:rPr>
          <w:spacing w:val="5"/>
        </w:rPr>
        <w:t xml:space="preserve"> </w:t>
      </w:r>
      <w:r>
        <w:t>to</w:t>
      </w:r>
      <w:r>
        <w:rPr>
          <w:spacing w:val="5"/>
        </w:rPr>
        <w:t xml:space="preserve"> </w:t>
      </w:r>
      <w:r>
        <w:rPr>
          <w:spacing w:val="-1"/>
        </w:rPr>
        <w:t>the</w:t>
      </w:r>
      <w:r>
        <w:rPr>
          <w:spacing w:val="30"/>
        </w:rPr>
        <w:t xml:space="preserve"> </w:t>
      </w:r>
      <w:r>
        <w:rPr>
          <w:spacing w:val="-2"/>
        </w:rPr>
        <w:t>Service</w:t>
      </w:r>
      <w:r>
        <w:rPr>
          <w:spacing w:val="12"/>
        </w:rPr>
        <w:t xml:space="preserve"> </w:t>
      </w:r>
      <w:r>
        <w:rPr>
          <w:spacing w:val="-2"/>
        </w:rPr>
        <w:t>Levels</w:t>
      </w:r>
      <w:r>
        <w:rPr>
          <w:spacing w:val="12"/>
        </w:rPr>
        <w:t xml:space="preserve"> </w:t>
      </w:r>
      <w:r>
        <w:rPr>
          <w:spacing w:val="-1"/>
        </w:rPr>
        <w:t>in</w:t>
      </w:r>
      <w:r>
        <w:rPr>
          <w:spacing w:val="11"/>
        </w:rPr>
        <w:t xml:space="preserve"> </w:t>
      </w:r>
      <w:r>
        <w:rPr>
          <w:spacing w:val="-1"/>
        </w:rPr>
        <w:t>respect</w:t>
      </w:r>
      <w:r>
        <w:rPr>
          <w:spacing w:val="13"/>
        </w:rPr>
        <w:t xml:space="preserve"> </w:t>
      </w:r>
      <w:r>
        <w:rPr>
          <w:spacing w:val="-2"/>
        </w:rPr>
        <w:t>of</w:t>
      </w:r>
      <w:r>
        <w:rPr>
          <w:spacing w:val="11"/>
        </w:rPr>
        <w:t xml:space="preserve"> </w:t>
      </w:r>
      <w:r>
        <w:t>the</w:t>
      </w:r>
      <w:r>
        <w:rPr>
          <w:spacing w:val="11"/>
        </w:rPr>
        <w:t xml:space="preserve"> </w:t>
      </w:r>
      <w:r>
        <w:rPr>
          <w:spacing w:val="-2"/>
        </w:rPr>
        <w:t>provision</w:t>
      </w:r>
      <w:r>
        <w:rPr>
          <w:spacing w:val="11"/>
        </w:rPr>
        <w:t xml:space="preserve"> </w:t>
      </w:r>
      <w:r>
        <w:rPr>
          <w:spacing w:val="-1"/>
        </w:rPr>
        <w:t>of</w:t>
      </w:r>
      <w:r>
        <w:rPr>
          <w:spacing w:val="13"/>
        </w:rPr>
        <w:t xml:space="preserve"> </w:t>
      </w:r>
      <w:r>
        <w:rPr>
          <w:spacing w:val="-1"/>
        </w:rPr>
        <w:t>other</w:t>
      </w:r>
      <w:r>
        <w:rPr>
          <w:spacing w:val="8"/>
        </w:rPr>
        <w:t xml:space="preserve"> </w:t>
      </w:r>
      <w:r>
        <w:rPr>
          <w:spacing w:val="-1"/>
        </w:rPr>
        <w:t>Goods</w:t>
      </w:r>
      <w:r>
        <w:rPr>
          <w:spacing w:val="12"/>
        </w:rPr>
        <w:t xml:space="preserve"> </w:t>
      </w:r>
      <w:r>
        <w:rPr>
          <w:spacing w:val="-1"/>
        </w:rPr>
        <w:t>and/or</w:t>
      </w:r>
      <w:r>
        <w:rPr>
          <w:spacing w:val="54"/>
        </w:rPr>
        <w:t xml:space="preserve"> </w:t>
      </w:r>
      <w:r>
        <w:rPr>
          <w:spacing w:val="-1"/>
        </w:rPr>
        <w:t>Services</w:t>
      </w:r>
      <w:r>
        <w:rPr>
          <w:spacing w:val="61"/>
        </w:rPr>
        <w:t xml:space="preserve"> </w:t>
      </w:r>
      <w:r>
        <w:rPr>
          <w:spacing w:val="-1"/>
        </w:rPr>
        <w:t>during</w:t>
      </w:r>
      <w:r>
        <w:rPr>
          <w:spacing w:val="2"/>
        </w:rPr>
        <w:t xml:space="preserve"> </w:t>
      </w:r>
      <w:r>
        <w:rPr>
          <w:spacing w:val="-1"/>
        </w:rPr>
        <w:t>any</w:t>
      </w:r>
      <w:r>
        <w:rPr>
          <w:spacing w:val="58"/>
        </w:rPr>
        <w:t xml:space="preserve"> </w:t>
      </w:r>
      <w:r>
        <w:rPr>
          <w:spacing w:val="-1"/>
        </w:rPr>
        <w:t>period</w:t>
      </w:r>
      <w:r>
        <w:rPr>
          <w:spacing w:val="60"/>
        </w:rPr>
        <w:t xml:space="preserve"> </w:t>
      </w:r>
      <w:r>
        <w:rPr>
          <w:spacing w:val="-2"/>
        </w:rPr>
        <w:t>of</w:t>
      </w:r>
      <w:r>
        <w:rPr>
          <w:spacing w:val="3"/>
        </w:rPr>
        <w:t xml:space="preserve"> </w:t>
      </w:r>
      <w:r>
        <w:rPr>
          <w:spacing w:val="-1"/>
        </w:rPr>
        <w:t>invocation</w:t>
      </w:r>
      <w:r>
        <w:rPr>
          <w:spacing w:val="60"/>
        </w:rPr>
        <w:t xml:space="preserve"> </w:t>
      </w:r>
      <w:r>
        <w:rPr>
          <w:spacing w:val="-1"/>
        </w:rPr>
        <w:t>of</w:t>
      </w:r>
      <w:r>
        <w:t xml:space="preserve">  </w:t>
      </w:r>
      <w:r>
        <w:rPr>
          <w:spacing w:val="-1"/>
        </w:rPr>
        <w:t>the</w:t>
      </w:r>
      <w:r>
        <w:rPr>
          <w:spacing w:val="60"/>
        </w:rPr>
        <w:t xml:space="preserve"> </w:t>
      </w:r>
      <w:r>
        <w:rPr>
          <w:spacing w:val="-1"/>
        </w:rPr>
        <w:t>Disaster</w:t>
      </w:r>
      <w:r>
        <w:t xml:space="preserve">  </w:t>
      </w:r>
      <w:r>
        <w:rPr>
          <w:spacing w:val="-1"/>
        </w:rPr>
        <w:t>Recovery</w:t>
      </w:r>
      <w:r>
        <w:rPr>
          <w:spacing w:val="29"/>
        </w:rPr>
        <w:t xml:space="preserve"> </w:t>
      </w:r>
      <w:r>
        <w:rPr>
          <w:spacing w:val="-2"/>
        </w:rPr>
        <w:t>Plan;</w:t>
      </w:r>
    </w:p>
    <w:p w:rsidR="008918FA" w:rsidRDefault="008918FA" w:rsidP="008918FA">
      <w:pPr>
        <w:pStyle w:val="BodyText"/>
        <w:numPr>
          <w:ilvl w:val="2"/>
          <w:numId w:val="10"/>
        </w:numPr>
        <w:tabs>
          <w:tab w:val="left" w:pos="2027"/>
        </w:tabs>
        <w:ind w:right="113"/>
        <w:jc w:val="both"/>
      </w:pPr>
      <w:r>
        <w:rPr>
          <w:spacing w:val="-1"/>
        </w:rPr>
        <w:t>details</w:t>
      </w:r>
      <w:r>
        <w:rPr>
          <w:spacing w:val="12"/>
        </w:rPr>
        <w:t xml:space="preserve"> </w:t>
      </w:r>
      <w:r>
        <w:rPr>
          <w:spacing w:val="-2"/>
        </w:rPr>
        <w:t>of</w:t>
      </w:r>
      <w:r>
        <w:rPr>
          <w:spacing w:val="15"/>
        </w:rPr>
        <w:t xml:space="preserve"> </w:t>
      </w:r>
      <w:r>
        <w:rPr>
          <w:spacing w:val="-1"/>
        </w:rPr>
        <w:t>how</w:t>
      </w:r>
      <w:r>
        <w:rPr>
          <w:spacing w:val="8"/>
        </w:rPr>
        <w:t xml:space="preserve"> </w:t>
      </w:r>
      <w:r>
        <w:t>the</w:t>
      </w:r>
      <w:r>
        <w:rPr>
          <w:spacing w:val="9"/>
        </w:rPr>
        <w:t xml:space="preserve"> </w:t>
      </w:r>
      <w:r>
        <w:rPr>
          <w:spacing w:val="-2"/>
        </w:rPr>
        <w:t>Supplier</w:t>
      </w:r>
      <w:r>
        <w:rPr>
          <w:spacing w:val="13"/>
        </w:rPr>
        <w:t xml:space="preserve"> </w:t>
      </w:r>
      <w:r>
        <w:rPr>
          <w:spacing w:val="-1"/>
        </w:rPr>
        <w:t>shall</w:t>
      </w:r>
      <w:r>
        <w:rPr>
          <w:spacing w:val="11"/>
        </w:rPr>
        <w:t xml:space="preserve"> </w:t>
      </w:r>
      <w:r>
        <w:rPr>
          <w:spacing w:val="-1"/>
        </w:rPr>
        <w:t>ensure</w:t>
      </w:r>
      <w:r>
        <w:rPr>
          <w:spacing w:val="11"/>
        </w:rPr>
        <w:t xml:space="preserve"> </w:t>
      </w:r>
      <w:r>
        <w:rPr>
          <w:spacing w:val="-2"/>
        </w:rPr>
        <w:t>compliance</w:t>
      </w:r>
      <w:r>
        <w:rPr>
          <w:spacing w:val="12"/>
        </w:rPr>
        <w:t xml:space="preserve"> </w:t>
      </w:r>
      <w:r>
        <w:rPr>
          <w:spacing w:val="-1"/>
        </w:rPr>
        <w:t>with</w:t>
      </w:r>
      <w:r>
        <w:rPr>
          <w:spacing w:val="11"/>
        </w:rPr>
        <w:t xml:space="preserve"> </w:t>
      </w:r>
      <w:r>
        <w:rPr>
          <w:spacing w:val="-1"/>
        </w:rPr>
        <w:t>security</w:t>
      </w:r>
      <w:r>
        <w:rPr>
          <w:spacing w:val="49"/>
        </w:rPr>
        <w:t xml:space="preserve"> </w:t>
      </w:r>
      <w:r>
        <w:rPr>
          <w:spacing w:val="-1"/>
        </w:rPr>
        <w:t>standards</w:t>
      </w:r>
      <w:r>
        <w:rPr>
          <w:spacing w:val="14"/>
        </w:rPr>
        <w:t xml:space="preserve"> </w:t>
      </w:r>
      <w:r>
        <w:rPr>
          <w:spacing w:val="-1"/>
        </w:rPr>
        <w:t>ensuring</w:t>
      </w:r>
      <w:r>
        <w:rPr>
          <w:spacing w:val="9"/>
        </w:rPr>
        <w:t xml:space="preserve"> </w:t>
      </w:r>
      <w:r>
        <w:rPr>
          <w:spacing w:val="-1"/>
        </w:rPr>
        <w:t>that</w:t>
      </w:r>
      <w:r>
        <w:rPr>
          <w:spacing w:val="8"/>
        </w:rPr>
        <w:t xml:space="preserve"> </w:t>
      </w:r>
      <w:r>
        <w:rPr>
          <w:spacing w:val="-1"/>
        </w:rPr>
        <w:t>compliance</w:t>
      </w:r>
      <w:r>
        <w:rPr>
          <w:spacing w:val="7"/>
        </w:rPr>
        <w:t xml:space="preserve"> </w:t>
      </w:r>
      <w:r>
        <w:rPr>
          <w:spacing w:val="-1"/>
        </w:rPr>
        <w:t>is</w:t>
      </w:r>
      <w:r>
        <w:rPr>
          <w:spacing w:val="7"/>
        </w:rPr>
        <w:t xml:space="preserve"> </w:t>
      </w:r>
      <w:r>
        <w:rPr>
          <w:spacing w:val="-1"/>
        </w:rPr>
        <w:t>maintained</w:t>
      </w:r>
      <w:r>
        <w:rPr>
          <w:spacing w:val="6"/>
        </w:rPr>
        <w:t xml:space="preserve"> </w:t>
      </w:r>
      <w:r>
        <w:t xml:space="preserve">for </w:t>
      </w:r>
      <w:r>
        <w:rPr>
          <w:spacing w:val="8"/>
        </w:rPr>
        <w:t xml:space="preserve"> </w:t>
      </w:r>
      <w:r>
        <w:rPr>
          <w:spacing w:val="-1"/>
        </w:rPr>
        <w:t>any</w:t>
      </w:r>
      <w:r>
        <w:t xml:space="preserve"> </w:t>
      </w:r>
      <w:r>
        <w:rPr>
          <w:spacing w:val="4"/>
        </w:rPr>
        <w:t xml:space="preserve"> </w:t>
      </w:r>
      <w:r>
        <w:rPr>
          <w:spacing w:val="-1"/>
        </w:rPr>
        <w:t>period</w:t>
      </w:r>
      <w:r>
        <w:rPr>
          <w:spacing w:val="22"/>
        </w:rPr>
        <w:t xml:space="preserve"> </w:t>
      </w:r>
      <w:r>
        <w:rPr>
          <w:spacing w:val="-1"/>
        </w:rPr>
        <w:t>during</w:t>
      </w:r>
      <w:r>
        <w:t xml:space="preserve"> </w:t>
      </w:r>
      <w:r>
        <w:rPr>
          <w:spacing w:val="-2"/>
        </w:rPr>
        <w:t>which</w:t>
      </w:r>
      <w:r>
        <w:rPr>
          <w:spacing w:val="1"/>
        </w:rPr>
        <w:t xml:space="preserve"> </w:t>
      </w:r>
      <w:r>
        <w:t xml:space="preserve">the </w:t>
      </w:r>
      <w:r>
        <w:rPr>
          <w:spacing w:val="-1"/>
        </w:rPr>
        <w:t>Disaster</w:t>
      </w:r>
      <w:r>
        <w:rPr>
          <w:spacing w:val="2"/>
        </w:rPr>
        <w:t xml:space="preserve"> </w:t>
      </w:r>
      <w:r>
        <w:rPr>
          <w:spacing w:val="-1"/>
        </w:rPr>
        <w:t>Recovery</w:t>
      </w:r>
      <w:r>
        <w:rPr>
          <w:spacing w:val="-2"/>
        </w:rPr>
        <w:t xml:space="preserve"> </w:t>
      </w:r>
      <w:r>
        <w:rPr>
          <w:spacing w:val="-1"/>
        </w:rPr>
        <w:t>Plan</w:t>
      </w:r>
      <w:r>
        <w:t xml:space="preserve"> </w:t>
      </w:r>
      <w:r>
        <w:rPr>
          <w:spacing w:val="-1"/>
        </w:rPr>
        <w:t>is</w:t>
      </w:r>
      <w:r>
        <w:rPr>
          <w:spacing w:val="1"/>
        </w:rPr>
        <w:t xml:space="preserve"> </w:t>
      </w:r>
      <w:r>
        <w:rPr>
          <w:spacing w:val="-2"/>
        </w:rPr>
        <w:t>invoked;</w:t>
      </w:r>
    </w:p>
    <w:p w:rsidR="008918FA" w:rsidRDefault="008918FA" w:rsidP="008918FA">
      <w:pPr>
        <w:pStyle w:val="BodyText"/>
        <w:numPr>
          <w:ilvl w:val="2"/>
          <w:numId w:val="10"/>
        </w:numPr>
        <w:tabs>
          <w:tab w:val="left" w:pos="2027"/>
        </w:tabs>
        <w:spacing w:before="121"/>
        <w:ind w:right="116"/>
        <w:jc w:val="both"/>
      </w:pPr>
      <w:r>
        <w:rPr>
          <w:spacing w:val="-1"/>
        </w:rPr>
        <w:t>access</w:t>
      </w:r>
      <w:r>
        <w:rPr>
          <w:spacing w:val="18"/>
        </w:rPr>
        <w:t xml:space="preserve"> </w:t>
      </w:r>
      <w:r>
        <w:rPr>
          <w:spacing w:val="-1"/>
        </w:rPr>
        <w:t>controls</w:t>
      </w:r>
      <w:r>
        <w:rPr>
          <w:spacing w:val="18"/>
        </w:rPr>
        <w:t xml:space="preserve"> </w:t>
      </w:r>
      <w:r>
        <w:t>to</w:t>
      </w:r>
      <w:r>
        <w:rPr>
          <w:spacing w:val="17"/>
        </w:rPr>
        <w:t xml:space="preserve"> </w:t>
      </w:r>
      <w:r>
        <w:rPr>
          <w:spacing w:val="-1"/>
        </w:rPr>
        <w:t>any</w:t>
      </w:r>
      <w:r>
        <w:rPr>
          <w:spacing w:val="15"/>
        </w:rPr>
        <w:t xml:space="preserve"> </w:t>
      </w:r>
      <w:r>
        <w:rPr>
          <w:spacing w:val="-1"/>
        </w:rPr>
        <w:t>disaster</w:t>
      </w:r>
      <w:r>
        <w:rPr>
          <w:spacing w:val="16"/>
        </w:rPr>
        <w:t xml:space="preserve"> </w:t>
      </w:r>
      <w:r>
        <w:rPr>
          <w:spacing w:val="-1"/>
        </w:rPr>
        <w:t>recovery</w:t>
      </w:r>
      <w:r>
        <w:rPr>
          <w:spacing w:val="15"/>
        </w:rPr>
        <w:t xml:space="preserve"> </w:t>
      </w:r>
      <w:r>
        <w:rPr>
          <w:spacing w:val="-1"/>
        </w:rPr>
        <w:t>sites</w:t>
      </w:r>
      <w:r>
        <w:rPr>
          <w:spacing w:val="18"/>
        </w:rPr>
        <w:t xml:space="preserve"> </w:t>
      </w:r>
      <w:r>
        <w:rPr>
          <w:spacing w:val="-1"/>
        </w:rPr>
        <w:t>used</w:t>
      </w:r>
      <w:r>
        <w:rPr>
          <w:spacing w:val="17"/>
        </w:rPr>
        <w:t xml:space="preserve"> </w:t>
      </w:r>
      <w:r>
        <w:rPr>
          <w:spacing w:val="-1"/>
        </w:rPr>
        <w:t>by</w:t>
      </w:r>
      <w:r>
        <w:rPr>
          <w:spacing w:val="15"/>
        </w:rPr>
        <w:t xml:space="preserve"> </w:t>
      </w:r>
      <w:r>
        <w:t>the</w:t>
      </w:r>
      <w:r>
        <w:rPr>
          <w:spacing w:val="17"/>
        </w:rPr>
        <w:t xml:space="preserve"> </w:t>
      </w:r>
      <w:r>
        <w:rPr>
          <w:spacing w:val="-2"/>
        </w:rPr>
        <w:t>Supplier</w:t>
      </w:r>
      <w:r>
        <w:rPr>
          <w:spacing w:val="19"/>
        </w:rPr>
        <w:t xml:space="preserve"> </w:t>
      </w:r>
      <w:r>
        <w:rPr>
          <w:spacing w:val="-1"/>
        </w:rPr>
        <w:t>in</w:t>
      </w:r>
      <w:r>
        <w:rPr>
          <w:spacing w:val="45"/>
        </w:rPr>
        <w:t xml:space="preserve"> </w:t>
      </w:r>
      <w:r>
        <w:rPr>
          <w:spacing w:val="-1"/>
        </w:rPr>
        <w:t>relation</w:t>
      </w:r>
      <w:r>
        <w:t xml:space="preserve"> to</w:t>
      </w:r>
      <w:r>
        <w:rPr>
          <w:spacing w:val="-2"/>
        </w:rPr>
        <w:t xml:space="preserve"> </w:t>
      </w:r>
      <w:r>
        <w:rPr>
          <w:spacing w:val="-1"/>
        </w:rPr>
        <w:t>its</w:t>
      </w:r>
      <w:r>
        <w:rPr>
          <w:spacing w:val="-2"/>
        </w:rPr>
        <w:t xml:space="preserve"> </w:t>
      </w:r>
      <w:r>
        <w:rPr>
          <w:spacing w:val="-1"/>
        </w:rPr>
        <w:t>obligations</w:t>
      </w:r>
      <w:r>
        <w:rPr>
          <w:spacing w:val="-2"/>
        </w:rPr>
        <w:t xml:space="preserve"> </w:t>
      </w:r>
      <w:r>
        <w:rPr>
          <w:spacing w:val="-1"/>
        </w:rPr>
        <w:t>pursuant</w:t>
      </w:r>
      <w:r>
        <w:t xml:space="preserve"> to</w:t>
      </w:r>
      <w:r>
        <w:rPr>
          <w:spacing w:val="-2"/>
        </w:rPr>
        <w:t xml:space="preserve"> </w:t>
      </w:r>
      <w:r>
        <w:rPr>
          <w:spacing w:val="-1"/>
        </w:rPr>
        <w:t>this</w:t>
      </w:r>
      <w:r>
        <w:rPr>
          <w:spacing w:val="-2"/>
        </w:rPr>
        <w:t xml:space="preserve"> </w:t>
      </w:r>
      <w:r>
        <w:rPr>
          <w:spacing w:val="-1"/>
        </w:rPr>
        <w:t>Schedule;</w:t>
      </w:r>
      <w:r>
        <w:rPr>
          <w:spacing w:val="2"/>
        </w:rPr>
        <w:t xml:space="preserve"> </w:t>
      </w:r>
      <w:r>
        <w:rPr>
          <w:spacing w:val="-1"/>
        </w:rPr>
        <w:t>and</w:t>
      </w:r>
    </w:p>
    <w:p w:rsidR="008918FA" w:rsidRDefault="008918FA" w:rsidP="008918FA">
      <w:pPr>
        <w:pStyle w:val="BodyText"/>
        <w:numPr>
          <w:ilvl w:val="2"/>
          <w:numId w:val="10"/>
        </w:numPr>
        <w:tabs>
          <w:tab w:val="left" w:pos="2027"/>
        </w:tabs>
      </w:pPr>
      <w:r>
        <w:rPr>
          <w:spacing w:val="-1"/>
        </w:rPr>
        <w:t>testing</w:t>
      </w:r>
      <w:r>
        <w:rPr>
          <w:spacing w:val="3"/>
        </w:rPr>
        <w:t xml:space="preserve"> </w:t>
      </w:r>
      <w:r>
        <w:rPr>
          <w:spacing w:val="-1"/>
        </w:rPr>
        <w:t>and</w:t>
      </w:r>
      <w:r>
        <w:rPr>
          <w:spacing w:val="-4"/>
        </w:rPr>
        <w:t xml:space="preserve"> </w:t>
      </w:r>
      <w:r>
        <w:rPr>
          <w:spacing w:val="-1"/>
        </w:rPr>
        <w:t>management</w:t>
      </w:r>
      <w:r>
        <w:t xml:space="preserve"> </w:t>
      </w:r>
      <w:r>
        <w:rPr>
          <w:spacing w:val="-1"/>
        </w:rPr>
        <w:t>arrangements.</w:t>
      </w:r>
    </w:p>
    <w:p w:rsidR="008918FA" w:rsidRDefault="008918FA" w:rsidP="008918FA">
      <w:pPr>
        <w:pStyle w:val="BodyText"/>
        <w:numPr>
          <w:ilvl w:val="0"/>
          <w:numId w:val="10"/>
        </w:numPr>
        <w:tabs>
          <w:tab w:val="left" w:pos="467"/>
        </w:tabs>
        <w:spacing w:before="120"/>
        <w:ind w:left="466"/>
        <w:jc w:val="left"/>
        <w:rPr>
          <w:rFonts w:ascii="Times New Roman" w:eastAsia="Times New Roman" w:hAnsi="Times New Roman" w:cs="Times New Roman"/>
        </w:rPr>
      </w:pPr>
      <w:r>
        <w:rPr>
          <w:rFonts w:ascii="Times New Roman"/>
          <w:spacing w:val="1"/>
        </w:rPr>
        <w:t>REVIEW</w:t>
      </w:r>
      <w:r>
        <w:rPr>
          <w:rFonts w:ascii="Times New Roman"/>
          <w:spacing w:val="10"/>
        </w:rPr>
        <w:t xml:space="preserve"> </w:t>
      </w:r>
      <w:r>
        <w:rPr>
          <w:rFonts w:ascii="Times New Roman"/>
          <w:spacing w:val="-3"/>
        </w:rPr>
        <w:t>AND</w:t>
      </w:r>
      <w:r>
        <w:rPr>
          <w:rFonts w:ascii="Times New Roman"/>
          <w:spacing w:val="8"/>
        </w:rPr>
        <w:t xml:space="preserve"> </w:t>
      </w:r>
      <w:r>
        <w:rPr>
          <w:rFonts w:ascii="Times New Roman"/>
          <w:spacing w:val="-2"/>
        </w:rPr>
        <w:t>AMENDMENT</w:t>
      </w:r>
      <w:r>
        <w:rPr>
          <w:rFonts w:ascii="Times New Roman"/>
          <w:spacing w:val="5"/>
        </w:rPr>
        <w:t xml:space="preserve"> </w:t>
      </w:r>
      <w:r>
        <w:rPr>
          <w:rFonts w:ascii="Times New Roman"/>
          <w:spacing w:val="6"/>
        </w:rPr>
        <w:t>OF</w:t>
      </w:r>
      <w:r>
        <w:rPr>
          <w:rFonts w:ascii="Times New Roman"/>
          <w:spacing w:val="19"/>
        </w:rPr>
        <w:t xml:space="preserve"> </w:t>
      </w:r>
      <w:r>
        <w:rPr>
          <w:rFonts w:ascii="Times New Roman"/>
          <w:spacing w:val="-2"/>
        </w:rPr>
        <w:t>THE</w:t>
      </w:r>
      <w:r>
        <w:rPr>
          <w:rFonts w:ascii="Times New Roman"/>
          <w:spacing w:val="18"/>
        </w:rPr>
        <w:t xml:space="preserve"> </w:t>
      </w:r>
      <w:r>
        <w:rPr>
          <w:rFonts w:ascii="Times New Roman"/>
          <w:spacing w:val="5"/>
        </w:rPr>
        <w:t>BCDR</w:t>
      </w:r>
      <w:r>
        <w:rPr>
          <w:rFonts w:ascii="Times New Roman"/>
          <w:spacing w:val="18"/>
        </w:rPr>
        <w:t xml:space="preserve"> </w:t>
      </w:r>
      <w:r>
        <w:rPr>
          <w:rFonts w:ascii="Times New Roman"/>
          <w:spacing w:val="4"/>
        </w:rPr>
        <w:t>PLAN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10"/>
        </w:numPr>
        <w:tabs>
          <w:tab w:val="left" w:pos="829"/>
        </w:tabs>
        <w:spacing w:before="0"/>
        <w:ind w:right="125"/>
      </w:pPr>
      <w:bookmarkStart w:id="438" w:name="_bookmark358"/>
      <w:bookmarkEnd w:id="438"/>
      <w:r>
        <w:t>The</w:t>
      </w:r>
      <w:r>
        <w:rPr>
          <w:spacing w:val="46"/>
        </w:rPr>
        <w:t xml:space="preserve"> </w:t>
      </w:r>
      <w:r>
        <w:rPr>
          <w:spacing w:val="-2"/>
        </w:rPr>
        <w:t>Supplier</w:t>
      </w:r>
      <w:r>
        <w:rPr>
          <w:spacing w:val="47"/>
        </w:rPr>
        <w:t xml:space="preserve"> </w:t>
      </w:r>
      <w:r>
        <w:rPr>
          <w:spacing w:val="-1"/>
        </w:rPr>
        <w:t>shall</w:t>
      </w:r>
      <w:r>
        <w:rPr>
          <w:spacing w:val="45"/>
        </w:rPr>
        <w:t xml:space="preserve"> </w:t>
      </w:r>
      <w:r>
        <w:rPr>
          <w:spacing w:val="-1"/>
        </w:rPr>
        <w:t>review</w:t>
      </w:r>
      <w:r>
        <w:rPr>
          <w:spacing w:val="43"/>
        </w:rPr>
        <w:t xml:space="preserve"> </w:t>
      </w:r>
      <w:r>
        <w:t>the</w:t>
      </w:r>
      <w:r>
        <w:rPr>
          <w:spacing w:val="46"/>
        </w:rPr>
        <w:t xml:space="preserve"> </w:t>
      </w:r>
      <w:r>
        <w:rPr>
          <w:spacing w:val="-1"/>
        </w:rPr>
        <w:t>BCDR</w:t>
      </w:r>
      <w:r>
        <w:rPr>
          <w:spacing w:val="45"/>
        </w:rPr>
        <w:t xml:space="preserve"> </w:t>
      </w:r>
      <w:r>
        <w:rPr>
          <w:spacing w:val="-1"/>
        </w:rPr>
        <w:t>Plan</w:t>
      </w:r>
      <w:r>
        <w:rPr>
          <w:spacing w:val="47"/>
        </w:rPr>
        <w:t xml:space="preserve"> </w:t>
      </w:r>
      <w:r>
        <w:rPr>
          <w:spacing w:val="-1"/>
        </w:rPr>
        <w:t>(and</w:t>
      </w:r>
      <w:r>
        <w:rPr>
          <w:spacing w:val="46"/>
        </w:rPr>
        <w:t xml:space="preserve"> </w:t>
      </w:r>
      <w:r>
        <w:t>the</w:t>
      </w:r>
      <w:r>
        <w:rPr>
          <w:spacing w:val="46"/>
        </w:rPr>
        <w:t xml:space="preserve"> </w:t>
      </w:r>
      <w:r>
        <w:rPr>
          <w:spacing w:val="-2"/>
        </w:rPr>
        <w:t>risk</w:t>
      </w:r>
      <w:r>
        <w:rPr>
          <w:spacing w:val="49"/>
        </w:rPr>
        <w:t xml:space="preserve"> </w:t>
      </w:r>
      <w:r>
        <w:rPr>
          <w:spacing w:val="-2"/>
        </w:rPr>
        <w:t>analysis</w:t>
      </w:r>
      <w:r>
        <w:rPr>
          <w:spacing w:val="46"/>
        </w:rPr>
        <w:t xml:space="preserve"> </w:t>
      </w:r>
      <w:r>
        <w:rPr>
          <w:spacing w:val="-1"/>
        </w:rPr>
        <w:t>on</w:t>
      </w:r>
      <w:r>
        <w:rPr>
          <w:spacing w:val="48"/>
        </w:rPr>
        <w:t xml:space="preserve"> </w:t>
      </w:r>
      <w:r>
        <w:rPr>
          <w:spacing w:val="-2"/>
        </w:rPr>
        <w:t>which</w:t>
      </w:r>
      <w:r>
        <w:rPr>
          <w:spacing w:val="47"/>
        </w:rPr>
        <w:t xml:space="preserve"> </w:t>
      </w:r>
      <w:r>
        <w:rPr>
          <w:spacing w:val="-1"/>
        </w:rPr>
        <w:t>it</w:t>
      </w:r>
      <w:r>
        <w:rPr>
          <w:spacing w:val="47"/>
        </w:rPr>
        <w:t xml:space="preserve"> </w:t>
      </w:r>
      <w:r>
        <w:rPr>
          <w:spacing w:val="-1"/>
        </w:rPr>
        <w:t>is</w:t>
      </w:r>
      <w:r>
        <w:rPr>
          <w:spacing w:val="63"/>
        </w:rPr>
        <w:t xml:space="preserve"> </w:t>
      </w:r>
      <w:r>
        <w:rPr>
          <w:spacing w:val="-1"/>
        </w:rPr>
        <w:t>based):</w:t>
      </w:r>
    </w:p>
    <w:p w:rsidR="008918FA" w:rsidRDefault="008918FA" w:rsidP="008918FA">
      <w:pPr>
        <w:pStyle w:val="BodyText"/>
        <w:numPr>
          <w:ilvl w:val="2"/>
          <w:numId w:val="10"/>
        </w:numPr>
        <w:tabs>
          <w:tab w:val="left" w:pos="2027"/>
        </w:tabs>
      </w:pPr>
      <w:bookmarkStart w:id="439" w:name="_bookmark359"/>
      <w:bookmarkEnd w:id="439"/>
      <w:r>
        <w:rPr>
          <w:spacing w:val="-1"/>
        </w:rPr>
        <w:t>on</w:t>
      </w:r>
      <w:r>
        <w:t xml:space="preserve"> a</w:t>
      </w:r>
      <w:r>
        <w:rPr>
          <w:spacing w:val="-2"/>
        </w:rPr>
        <w:t xml:space="preserve"> </w:t>
      </w:r>
      <w:r>
        <w:rPr>
          <w:spacing w:val="-1"/>
        </w:rPr>
        <w:t>regular</w:t>
      </w:r>
      <w:r>
        <w:rPr>
          <w:spacing w:val="2"/>
        </w:rPr>
        <w:t xml:space="preserve"> </w:t>
      </w:r>
      <w:r>
        <w:rPr>
          <w:spacing w:val="-1"/>
        </w:rPr>
        <w:t>basis</w:t>
      </w:r>
      <w:r>
        <w:rPr>
          <w:spacing w:val="-2"/>
        </w:rPr>
        <w:t xml:space="preserve"> </w:t>
      </w:r>
      <w:r>
        <w:rPr>
          <w:spacing w:val="-1"/>
        </w:rPr>
        <w:t>and</w:t>
      </w:r>
      <w:r>
        <w:t xml:space="preserve"> </w:t>
      </w:r>
      <w:r>
        <w:rPr>
          <w:spacing w:val="-2"/>
        </w:rPr>
        <w:t>as</w:t>
      </w:r>
      <w:r>
        <w:rPr>
          <w:spacing w:val="1"/>
        </w:rPr>
        <w:t xml:space="preserve"> </w:t>
      </w:r>
      <w:r>
        <w:t>a</w:t>
      </w:r>
      <w:r>
        <w:rPr>
          <w:spacing w:val="-2"/>
        </w:rPr>
        <w:t xml:space="preserve"> </w:t>
      </w:r>
      <w:r>
        <w:rPr>
          <w:spacing w:val="-1"/>
        </w:rPr>
        <w:t>minimum once</w:t>
      </w:r>
      <w:r>
        <w:rPr>
          <w:spacing w:val="-2"/>
        </w:rPr>
        <w:t xml:space="preserve"> </w:t>
      </w:r>
      <w:r>
        <w:rPr>
          <w:spacing w:val="-1"/>
        </w:rPr>
        <w:t>every</w:t>
      </w:r>
      <w:r>
        <w:rPr>
          <w:spacing w:val="-2"/>
        </w:rPr>
        <w:t xml:space="preserve"> </w:t>
      </w:r>
      <w:r>
        <w:rPr>
          <w:spacing w:val="-1"/>
        </w:rPr>
        <w:t>six</w:t>
      </w:r>
      <w:r>
        <w:rPr>
          <w:spacing w:val="-2"/>
        </w:rPr>
        <w:t xml:space="preserve"> </w:t>
      </w:r>
      <w:r>
        <w:t>(6)</w:t>
      </w:r>
      <w:r>
        <w:rPr>
          <w:spacing w:val="-1"/>
        </w:rPr>
        <w:t xml:space="preserve"> months;</w:t>
      </w:r>
    </w:p>
    <w:p w:rsidR="008918FA" w:rsidRDefault="008918FA" w:rsidP="008918FA">
      <w:pPr>
        <w:pStyle w:val="BodyText"/>
        <w:numPr>
          <w:ilvl w:val="2"/>
          <w:numId w:val="10"/>
        </w:numPr>
        <w:tabs>
          <w:tab w:val="left" w:pos="2027"/>
        </w:tabs>
        <w:ind w:right="119"/>
        <w:jc w:val="both"/>
      </w:pPr>
      <w:bookmarkStart w:id="440" w:name="_bookmark360"/>
      <w:bookmarkEnd w:id="440"/>
      <w:r>
        <w:rPr>
          <w:spacing w:val="-1"/>
        </w:rPr>
        <w:t>within</w:t>
      </w:r>
      <w:r>
        <w:rPr>
          <w:spacing w:val="31"/>
        </w:rPr>
        <w:t xml:space="preserve"> </w:t>
      </w:r>
      <w:r>
        <w:rPr>
          <w:spacing w:val="-1"/>
        </w:rPr>
        <w:t>three</w:t>
      </w:r>
      <w:r>
        <w:rPr>
          <w:spacing w:val="29"/>
        </w:rPr>
        <w:t xml:space="preserve"> </w:t>
      </w:r>
      <w:r>
        <w:rPr>
          <w:spacing w:val="-1"/>
        </w:rPr>
        <w:t>calendar</w:t>
      </w:r>
      <w:r>
        <w:rPr>
          <w:spacing w:val="30"/>
        </w:rPr>
        <w:t xml:space="preserve"> </w:t>
      </w:r>
      <w:r>
        <w:rPr>
          <w:spacing w:val="-1"/>
        </w:rPr>
        <w:t>months</w:t>
      </w:r>
      <w:r>
        <w:rPr>
          <w:spacing w:val="32"/>
        </w:rPr>
        <w:t xml:space="preserve"> </w:t>
      </w:r>
      <w:r>
        <w:rPr>
          <w:spacing w:val="-2"/>
        </w:rPr>
        <w:t>of</w:t>
      </w:r>
      <w:r>
        <w:rPr>
          <w:spacing w:val="30"/>
        </w:rPr>
        <w:t xml:space="preserve"> </w:t>
      </w:r>
      <w:r>
        <w:t>the</w:t>
      </w:r>
      <w:r>
        <w:rPr>
          <w:spacing w:val="31"/>
        </w:rPr>
        <w:t xml:space="preserve"> </w:t>
      </w:r>
      <w:r>
        <w:rPr>
          <w:spacing w:val="-2"/>
        </w:rPr>
        <w:t>BCDR</w:t>
      </w:r>
      <w:r>
        <w:rPr>
          <w:spacing w:val="31"/>
        </w:rPr>
        <w:t xml:space="preserve"> </w:t>
      </w:r>
      <w:r>
        <w:rPr>
          <w:spacing w:val="-2"/>
        </w:rPr>
        <w:t>Plan</w:t>
      </w:r>
      <w:r>
        <w:rPr>
          <w:spacing w:val="32"/>
        </w:rPr>
        <w:t xml:space="preserve"> </w:t>
      </w:r>
      <w:r>
        <w:rPr>
          <w:spacing w:val="-1"/>
        </w:rPr>
        <w:t>(or</w:t>
      </w:r>
      <w:r>
        <w:rPr>
          <w:spacing w:val="30"/>
        </w:rPr>
        <w:t xml:space="preserve"> </w:t>
      </w:r>
      <w:r>
        <w:rPr>
          <w:spacing w:val="-1"/>
        </w:rPr>
        <w:t>any</w:t>
      </w:r>
      <w:r>
        <w:rPr>
          <w:spacing w:val="30"/>
        </w:rPr>
        <w:t xml:space="preserve"> </w:t>
      </w:r>
      <w:r>
        <w:rPr>
          <w:spacing w:val="-1"/>
        </w:rPr>
        <w:t>part)</w:t>
      </w:r>
      <w:r>
        <w:rPr>
          <w:spacing w:val="30"/>
        </w:rPr>
        <w:t xml:space="preserve"> </w:t>
      </w:r>
      <w:r>
        <w:rPr>
          <w:spacing w:val="-2"/>
        </w:rPr>
        <w:t>having</w:t>
      </w:r>
      <w:r>
        <w:rPr>
          <w:spacing w:val="42"/>
        </w:rPr>
        <w:t xml:space="preserve"> </w:t>
      </w:r>
      <w:r>
        <w:rPr>
          <w:spacing w:val="-1"/>
        </w:rPr>
        <w:t>been</w:t>
      </w:r>
      <w:r>
        <w:t xml:space="preserve"> </w:t>
      </w:r>
      <w:r>
        <w:rPr>
          <w:spacing w:val="-1"/>
        </w:rPr>
        <w:t>invoked</w:t>
      </w:r>
      <w:r>
        <w:t xml:space="preserve"> </w:t>
      </w:r>
      <w:r>
        <w:rPr>
          <w:spacing w:val="-1"/>
        </w:rPr>
        <w:t>pursuant</w:t>
      </w:r>
      <w:r>
        <w:t xml:space="preserve"> </w:t>
      </w:r>
      <w:r>
        <w:rPr>
          <w:spacing w:val="-1"/>
        </w:rPr>
        <w:t>to</w:t>
      </w:r>
      <w:r>
        <w:t xml:space="preserve"> </w:t>
      </w:r>
      <w:r>
        <w:rPr>
          <w:spacing w:val="-1"/>
        </w:rPr>
        <w:t>paragraph</w:t>
      </w:r>
      <w:r>
        <w:rPr>
          <w:spacing w:val="2"/>
        </w:rPr>
        <w:t xml:space="preserve"> </w:t>
      </w:r>
      <w:r>
        <w:rPr>
          <w:spacing w:val="-2"/>
        </w:rPr>
        <w:t>7;</w:t>
      </w:r>
      <w:r>
        <w:rPr>
          <w:spacing w:val="2"/>
        </w:rPr>
        <w:t xml:space="preserve"> </w:t>
      </w:r>
      <w:r>
        <w:rPr>
          <w:spacing w:val="-1"/>
        </w:rPr>
        <w:t>and</w:t>
      </w:r>
    </w:p>
    <w:p w:rsidR="008918FA" w:rsidRDefault="008918FA" w:rsidP="008918FA">
      <w:pPr>
        <w:pStyle w:val="BodyText"/>
        <w:numPr>
          <w:ilvl w:val="2"/>
          <w:numId w:val="10"/>
        </w:numPr>
        <w:tabs>
          <w:tab w:val="left" w:pos="2027"/>
        </w:tabs>
        <w:ind w:right="111"/>
        <w:jc w:val="both"/>
      </w:pPr>
      <w:r>
        <w:rPr>
          <w:spacing w:val="-2"/>
        </w:rPr>
        <w:t>where</w:t>
      </w:r>
      <w:r>
        <w:rPr>
          <w:spacing w:val="17"/>
        </w:rPr>
        <w:t xml:space="preserve"> </w:t>
      </w:r>
      <w:r>
        <w:t>the</w:t>
      </w:r>
      <w:r>
        <w:rPr>
          <w:spacing w:val="17"/>
        </w:rPr>
        <w:t xml:space="preserve"> </w:t>
      </w:r>
      <w:r>
        <w:rPr>
          <w:spacing w:val="-1"/>
        </w:rPr>
        <w:t>Customer</w:t>
      </w:r>
      <w:r>
        <w:rPr>
          <w:spacing w:val="19"/>
        </w:rPr>
        <w:t xml:space="preserve"> </w:t>
      </w:r>
      <w:r>
        <w:rPr>
          <w:spacing w:val="-1"/>
        </w:rPr>
        <w:t>requests</w:t>
      </w:r>
      <w:r>
        <w:rPr>
          <w:spacing w:val="18"/>
        </w:rPr>
        <w:t xml:space="preserve"> </w:t>
      </w:r>
      <w:r>
        <w:rPr>
          <w:spacing w:val="-1"/>
        </w:rPr>
        <w:t>any</w:t>
      </w:r>
      <w:r>
        <w:rPr>
          <w:spacing w:val="15"/>
        </w:rPr>
        <w:t xml:space="preserve"> </w:t>
      </w:r>
      <w:r>
        <w:rPr>
          <w:spacing w:val="-1"/>
        </w:rPr>
        <w:t>additional</w:t>
      </w:r>
      <w:r>
        <w:rPr>
          <w:spacing w:val="17"/>
        </w:rPr>
        <w:t xml:space="preserve"> </w:t>
      </w:r>
      <w:r>
        <w:rPr>
          <w:spacing w:val="-2"/>
        </w:rPr>
        <w:t>reviews</w:t>
      </w:r>
      <w:r>
        <w:rPr>
          <w:spacing w:val="18"/>
        </w:rPr>
        <w:t xml:space="preserve"> </w:t>
      </w:r>
      <w:r>
        <w:rPr>
          <w:spacing w:val="-1"/>
        </w:rPr>
        <w:t>(over</w:t>
      </w:r>
      <w:r>
        <w:rPr>
          <w:spacing w:val="19"/>
        </w:rPr>
        <w:t xml:space="preserve"> </w:t>
      </w:r>
      <w:r>
        <w:rPr>
          <w:spacing w:val="-1"/>
        </w:rPr>
        <w:t>and</w:t>
      </w:r>
      <w:r>
        <w:rPr>
          <w:spacing w:val="17"/>
        </w:rPr>
        <w:t xml:space="preserve"> </w:t>
      </w:r>
      <w:r>
        <w:rPr>
          <w:spacing w:val="-2"/>
        </w:rPr>
        <w:t>above</w:t>
      </w:r>
      <w:r>
        <w:rPr>
          <w:spacing w:val="41"/>
        </w:rPr>
        <w:t xml:space="preserve"> </w:t>
      </w:r>
      <w:r>
        <w:rPr>
          <w:spacing w:val="-1"/>
        </w:rPr>
        <w:t>those</w:t>
      </w:r>
      <w:r>
        <w:rPr>
          <w:spacing w:val="33"/>
        </w:rPr>
        <w:t xml:space="preserve"> </w:t>
      </w:r>
      <w:r>
        <w:rPr>
          <w:spacing w:val="-2"/>
        </w:rPr>
        <w:t>provided</w:t>
      </w:r>
      <w:r>
        <w:rPr>
          <w:spacing w:val="32"/>
        </w:rPr>
        <w:t xml:space="preserve"> </w:t>
      </w:r>
      <w:r>
        <w:t>for</w:t>
      </w:r>
      <w:r>
        <w:rPr>
          <w:spacing w:val="34"/>
        </w:rPr>
        <w:t xml:space="preserve"> </w:t>
      </w:r>
      <w:r>
        <w:rPr>
          <w:spacing w:val="-1"/>
        </w:rPr>
        <w:t>in</w:t>
      </w:r>
      <w:r>
        <w:rPr>
          <w:spacing w:val="32"/>
        </w:rPr>
        <w:t xml:space="preserve"> </w:t>
      </w:r>
      <w:r>
        <w:rPr>
          <w:spacing w:val="-1"/>
        </w:rPr>
        <w:t xml:space="preserve">paragraphs </w:t>
      </w:r>
      <w:hyperlink w:anchor="_bookmark359" w:history="1">
        <w:r>
          <w:rPr>
            <w:spacing w:val="-1"/>
          </w:rPr>
          <w:t>6.1.1</w:t>
        </w:r>
      </w:hyperlink>
      <w:r>
        <w:rPr>
          <w:spacing w:val="-1"/>
        </w:rPr>
        <w:t>and</w:t>
      </w:r>
      <w:r>
        <w:rPr>
          <w:spacing w:val="33"/>
        </w:rPr>
        <w:t xml:space="preserve"> </w:t>
      </w:r>
      <w:hyperlink w:anchor="_bookmark360" w:history="1">
        <w:r>
          <w:rPr>
            <w:spacing w:val="-1"/>
          </w:rPr>
          <w:t>6.1.2</w:t>
        </w:r>
      </w:hyperlink>
      <w:r>
        <w:rPr>
          <w:spacing w:val="33"/>
        </w:rPr>
        <w:t xml:space="preserve"> </w:t>
      </w:r>
      <w:r>
        <w:rPr>
          <w:spacing w:val="-2"/>
        </w:rPr>
        <w:t>of</w:t>
      </w:r>
      <w:r>
        <w:rPr>
          <w:spacing w:val="35"/>
        </w:rPr>
        <w:t xml:space="preserve"> </w:t>
      </w:r>
      <w:r>
        <w:rPr>
          <w:spacing w:val="-1"/>
        </w:rPr>
        <w:t>this</w:t>
      </w:r>
      <w:r>
        <w:rPr>
          <w:spacing w:val="30"/>
        </w:rPr>
        <w:t xml:space="preserve"> </w:t>
      </w:r>
      <w:r>
        <w:rPr>
          <w:spacing w:val="-2"/>
        </w:rPr>
        <w:t>Call</w:t>
      </w:r>
      <w:r>
        <w:rPr>
          <w:spacing w:val="30"/>
        </w:rPr>
        <w:t xml:space="preserve"> </w:t>
      </w:r>
      <w:r>
        <w:rPr>
          <w:spacing w:val="-1"/>
        </w:rPr>
        <w:t>Off</w:t>
      </w:r>
      <w:r>
        <w:rPr>
          <w:spacing w:val="47"/>
        </w:rPr>
        <w:t xml:space="preserve"> </w:t>
      </w:r>
      <w:r>
        <w:rPr>
          <w:spacing w:val="-1"/>
        </w:rPr>
        <w:t>Schedule)</w:t>
      </w:r>
      <w:r>
        <w:rPr>
          <w:spacing w:val="2"/>
        </w:rPr>
        <w:t xml:space="preserve"> </w:t>
      </w:r>
      <w:r>
        <w:rPr>
          <w:spacing w:val="-1"/>
        </w:rPr>
        <w:t>by</w:t>
      </w:r>
      <w:r>
        <w:rPr>
          <w:spacing w:val="-2"/>
        </w:rPr>
        <w:t xml:space="preserve"> </w:t>
      </w:r>
      <w:r>
        <w:rPr>
          <w:spacing w:val="-1"/>
        </w:rPr>
        <w:t>notifying</w:t>
      </w:r>
      <w:r>
        <w:rPr>
          <w:spacing w:val="3"/>
        </w:rPr>
        <w:t xml:space="preserve"> </w:t>
      </w:r>
      <w:r>
        <w:rPr>
          <w:spacing w:val="-1"/>
        </w:rPr>
        <w:t>the</w:t>
      </w:r>
      <w:r>
        <w:t xml:space="preserve"> </w:t>
      </w:r>
      <w:r>
        <w:rPr>
          <w:spacing w:val="-2"/>
        </w:rPr>
        <w:t>Supplier</w:t>
      </w:r>
      <w:r>
        <w:rPr>
          <w:spacing w:val="2"/>
        </w:rPr>
        <w:t xml:space="preserve"> </w:t>
      </w:r>
      <w:r>
        <w:t xml:space="preserve">to </w:t>
      </w:r>
      <w:r>
        <w:rPr>
          <w:spacing w:val="-1"/>
        </w:rPr>
        <w:t>such</w:t>
      </w:r>
      <w:r>
        <w:rPr>
          <w:spacing w:val="1"/>
        </w:rPr>
        <w:t xml:space="preserve"> </w:t>
      </w:r>
      <w:r>
        <w:rPr>
          <w:spacing w:val="-1"/>
        </w:rPr>
        <w:t>effect</w:t>
      </w:r>
      <w:r>
        <w:t xml:space="preserve"> </w:t>
      </w:r>
      <w:r>
        <w:rPr>
          <w:spacing w:val="-1"/>
        </w:rPr>
        <w:t>in</w:t>
      </w:r>
      <w:r>
        <w:rPr>
          <w:spacing w:val="3"/>
        </w:rPr>
        <w:t xml:space="preserve"> </w:t>
      </w:r>
      <w:r>
        <w:rPr>
          <w:spacing w:val="-1"/>
        </w:rPr>
        <w:t>writing,</w:t>
      </w:r>
      <w:r>
        <w:rPr>
          <w:spacing w:val="2"/>
        </w:rPr>
        <w:t xml:space="preserve"> </w:t>
      </w:r>
      <w:r>
        <w:rPr>
          <w:spacing w:val="-2"/>
        </w:rPr>
        <w:t>whereupon</w:t>
      </w:r>
      <w:r>
        <w:rPr>
          <w:spacing w:val="56"/>
        </w:rPr>
        <w:t xml:space="preserve"> </w:t>
      </w:r>
      <w:r>
        <w:t>the</w:t>
      </w:r>
      <w:r>
        <w:rPr>
          <w:spacing w:val="28"/>
        </w:rPr>
        <w:t xml:space="preserve"> </w:t>
      </w:r>
      <w:r>
        <w:rPr>
          <w:spacing w:val="-2"/>
        </w:rPr>
        <w:t>Supplier</w:t>
      </w:r>
      <w:r>
        <w:rPr>
          <w:spacing w:val="29"/>
        </w:rPr>
        <w:t xml:space="preserve"> </w:t>
      </w:r>
      <w:r>
        <w:rPr>
          <w:spacing w:val="-1"/>
        </w:rPr>
        <w:t>shall</w:t>
      </w:r>
      <w:r>
        <w:rPr>
          <w:spacing w:val="30"/>
        </w:rPr>
        <w:t xml:space="preserve"> </w:t>
      </w:r>
      <w:r>
        <w:rPr>
          <w:spacing w:val="-1"/>
        </w:rPr>
        <w:t>conduct</w:t>
      </w:r>
      <w:r>
        <w:rPr>
          <w:spacing w:val="30"/>
        </w:rPr>
        <w:t xml:space="preserve"> </w:t>
      </w:r>
      <w:r>
        <w:rPr>
          <w:spacing w:val="-1"/>
        </w:rPr>
        <w:t>such</w:t>
      </w:r>
      <w:r>
        <w:rPr>
          <w:spacing w:val="28"/>
        </w:rPr>
        <w:t xml:space="preserve"> </w:t>
      </w:r>
      <w:r>
        <w:rPr>
          <w:spacing w:val="-2"/>
        </w:rPr>
        <w:t>reviews</w:t>
      </w:r>
      <w:r>
        <w:rPr>
          <w:spacing w:val="28"/>
        </w:rPr>
        <w:t xml:space="preserve"> </w:t>
      </w:r>
      <w:r>
        <w:rPr>
          <w:spacing w:val="-1"/>
        </w:rPr>
        <w:t>in</w:t>
      </w:r>
      <w:r>
        <w:rPr>
          <w:spacing w:val="33"/>
        </w:rPr>
        <w:t xml:space="preserve"> </w:t>
      </w:r>
      <w:r>
        <w:rPr>
          <w:spacing w:val="-1"/>
        </w:rPr>
        <w:t>accordance</w:t>
      </w:r>
      <w:r>
        <w:rPr>
          <w:spacing w:val="28"/>
        </w:rPr>
        <w:t xml:space="preserve"> </w:t>
      </w:r>
      <w:r>
        <w:rPr>
          <w:spacing w:val="-2"/>
        </w:rPr>
        <w:t>with</w:t>
      </w:r>
      <w:r>
        <w:rPr>
          <w:spacing w:val="28"/>
        </w:rPr>
        <w:t xml:space="preserve"> </w:t>
      </w:r>
      <w:r>
        <w:rPr>
          <w:spacing w:val="-1"/>
        </w:rPr>
        <w:t>the</w:t>
      </w:r>
      <w:r>
        <w:rPr>
          <w:spacing w:val="58"/>
        </w:rPr>
        <w:t xml:space="preserve"> </w:t>
      </w:r>
      <w:r>
        <w:rPr>
          <w:spacing w:val="-1"/>
        </w:rPr>
        <w:t>Customer’s</w:t>
      </w:r>
      <w:r>
        <w:rPr>
          <w:spacing w:val="31"/>
        </w:rPr>
        <w:t xml:space="preserve"> </w:t>
      </w:r>
      <w:r>
        <w:rPr>
          <w:spacing w:val="-1"/>
        </w:rPr>
        <w:t>written</w:t>
      </w:r>
      <w:r>
        <w:rPr>
          <w:spacing w:val="30"/>
        </w:rPr>
        <w:t xml:space="preserve"> </w:t>
      </w:r>
      <w:r>
        <w:rPr>
          <w:spacing w:val="-1"/>
        </w:rPr>
        <w:t>requirements.</w:t>
      </w:r>
      <w:r>
        <w:rPr>
          <w:spacing w:val="32"/>
        </w:rPr>
        <w:t xml:space="preserve"> </w:t>
      </w:r>
      <w:r>
        <w:rPr>
          <w:spacing w:val="-2"/>
        </w:rPr>
        <w:t>Prior</w:t>
      </w:r>
      <w:r>
        <w:rPr>
          <w:spacing w:val="32"/>
        </w:rPr>
        <w:t xml:space="preserve"> </w:t>
      </w:r>
      <w:r>
        <w:t>to</w:t>
      </w:r>
      <w:r>
        <w:rPr>
          <w:spacing w:val="28"/>
        </w:rPr>
        <w:t xml:space="preserve"> </w:t>
      </w:r>
      <w:r>
        <w:rPr>
          <w:spacing w:val="-1"/>
        </w:rPr>
        <w:t>starting</w:t>
      </w:r>
      <w:r>
        <w:rPr>
          <w:spacing w:val="33"/>
        </w:rPr>
        <w:t xml:space="preserve"> </w:t>
      </w:r>
      <w:r>
        <w:rPr>
          <w:spacing w:val="-1"/>
        </w:rPr>
        <w:t>its</w:t>
      </w:r>
      <w:r>
        <w:rPr>
          <w:spacing w:val="28"/>
        </w:rPr>
        <w:t xml:space="preserve"> </w:t>
      </w:r>
      <w:r>
        <w:rPr>
          <w:spacing w:val="-2"/>
        </w:rPr>
        <w:t>review,</w:t>
      </w:r>
      <w:r>
        <w:rPr>
          <w:spacing w:val="32"/>
        </w:rPr>
        <w:t xml:space="preserve"> </w:t>
      </w:r>
      <w:r>
        <w:t>the</w:t>
      </w:r>
      <w:r>
        <w:rPr>
          <w:spacing w:val="37"/>
        </w:rPr>
        <w:t xml:space="preserve"> </w:t>
      </w:r>
      <w:r>
        <w:rPr>
          <w:spacing w:val="-2"/>
        </w:rPr>
        <w:t>Supplier</w:t>
      </w:r>
      <w:r>
        <w:rPr>
          <w:spacing w:val="35"/>
        </w:rPr>
        <w:t xml:space="preserve"> </w:t>
      </w:r>
      <w:r>
        <w:rPr>
          <w:spacing w:val="-1"/>
        </w:rPr>
        <w:t>shall</w:t>
      </w:r>
      <w:r>
        <w:rPr>
          <w:spacing w:val="33"/>
        </w:rPr>
        <w:t xml:space="preserve"> </w:t>
      </w:r>
      <w:r>
        <w:rPr>
          <w:spacing w:val="-2"/>
        </w:rPr>
        <w:t>provide</w:t>
      </w:r>
      <w:r>
        <w:rPr>
          <w:spacing w:val="34"/>
        </w:rPr>
        <w:t xml:space="preserve"> </w:t>
      </w:r>
      <w:r>
        <w:rPr>
          <w:spacing w:val="1"/>
        </w:rPr>
        <w:t>an</w:t>
      </w:r>
      <w:r>
        <w:rPr>
          <w:spacing w:val="34"/>
        </w:rPr>
        <w:t xml:space="preserve"> </w:t>
      </w:r>
      <w:r>
        <w:rPr>
          <w:spacing w:val="-1"/>
        </w:rPr>
        <w:t>accurate</w:t>
      </w:r>
      <w:r>
        <w:rPr>
          <w:spacing w:val="34"/>
        </w:rPr>
        <w:t xml:space="preserve"> </w:t>
      </w:r>
      <w:r>
        <w:rPr>
          <w:spacing w:val="-1"/>
        </w:rPr>
        <w:t>written</w:t>
      </w:r>
      <w:r>
        <w:rPr>
          <w:spacing w:val="34"/>
        </w:rPr>
        <w:t xml:space="preserve"> </w:t>
      </w:r>
      <w:r>
        <w:rPr>
          <w:spacing w:val="-1"/>
        </w:rPr>
        <w:t>estimate</w:t>
      </w:r>
      <w:r>
        <w:rPr>
          <w:spacing w:val="35"/>
        </w:rPr>
        <w:t xml:space="preserve"> </w:t>
      </w:r>
      <w:r>
        <w:rPr>
          <w:spacing w:val="-2"/>
        </w:rPr>
        <w:t>of</w:t>
      </w:r>
      <w:r>
        <w:rPr>
          <w:spacing w:val="35"/>
        </w:rPr>
        <w:t xml:space="preserve"> </w:t>
      </w:r>
      <w:r>
        <w:t>the</w:t>
      </w:r>
      <w:r>
        <w:rPr>
          <w:spacing w:val="31"/>
        </w:rPr>
        <w:t xml:space="preserve"> </w:t>
      </w:r>
      <w:r>
        <w:t>total</w:t>
      </w:r>
      <w:r>
        <w:rPr>
          <w:spacing w:val="33"/>
        </w:rPr>
        <w:t xml:space="preserve"> </w:t>
      </w:r>
      <w:r>
        <w:rPr>
          <w:spacing w:val="-1"/>
        </w:rPr>
        <w:t>costs</w:t>
      </w:r>
      <w:r>
        <w:rPr>
          <w:spacing w:val="49"/>
        </w:rPr>
        <w:t xml:space="preserve"> </w:t>
      </w:r>
      <w:r>
        <w:rPr>
          <w:spacing w:val="-2"/>
        </w:rPr>
        <w:t>payable</w:t>
      </w:r>
      <w:r>
        <w:rPr>
          <w:spacing w:val="29"/>
        </w:rPr>
        <w:t xml:space="preserve"> </w:t>
      </w:r>
      <w:r>
        <w:rPr>
          <w:spacing w:val="1"/>
        </w:rPr>
        <w:t>by</w:t>
      </w:r>
      <w:r>
        <w:rPr>
          <w:spacing w:val="27"/>
        </w:rPr>
        <w:t xml:space="preserve"> </w:t>
      </w:r>
      <w:r>
        <w:t>the</w:t>
      </w:r>
      <w:r>
        <w:rPr>
          <w:spacing w:val="29"/>
        </w:rPr>
        <w:t xml:space="preserve"> </w:t>
      </w:r>
      <w:r>
        <w:rPr>
          <w:spacing w:val="-1"/>
        </w:rPr>
        <w:t>Customer</w:t>
      </w:r>
      <w:r>
        <w:rPr>
          <w:spacing w:val="28"/>
        </w:rPr>
        <w:t xml:space="preserve"> </w:t>
      </w:r>
      <w:r>
        <w:t>for</w:t>
      </w:r>
      <w:r>
        <w:rPr>
          <w:spacing w:val="28"/>
        </w:rPr>
        <w:t xml:space="preserve"> </w:t>
      </w:r>
      <w:r>
        <w:t>the</w:t>
      </w:r>
      <w:r>
        <w:rPr>
          <w:spacing w:val="29"/>
        </w:rPr>
        <w:t xml:space="preserve"> </w:t>
      </w:r>
      <w:r>
        <w:rPr>
          <w:spacing w:val="-2"/>
        </w:rPr>
        <w:t>Customer’s</w:t>
      </w:r>
      <w:r>
        <w:rPr>
          <w:spacing w:val="30"/>
        </w:rPr>
        <w:t xml:space="preserve"> </w:t>
      </w:r>
      <w:r>
        <w:rPr>
          <w:spacing w:val="-2"/>
        </w:rPr>
        <w:t>approval.</w:t>
      </w:r>
      <w:r>
        <w:rPr>
          <w:spacing w:val="61"/>
        </w:rPr>
        <w:t xml:space="preserve"> </w:t>
      </w:r>
      <w:r>
        <w:t>The</w:t>
      </w:r>
      <w:r>
        <w:rPr>
          <w:spacing w:val="29"/>
        </w:rPr>
        <w:t xml:space="preserve"> </w:t>
      </w:r>
      <w:r>
        <w:rPr>
          <w:spacing w:val="-1"/>
        </w:rPr>
        <w:t>costs</w:t>
      </w:r>
      <w:r>
        <w:rPr>
          <w:spacing w:val="30"/>
        </w:rPr>
        <w:t xml:space="preserve"> </w:t>
      </w:r>
      <w:r>
        <w:rPr>
          <w:spacing w:val="-2"/>
        </w:rPr>
        <w:t>of</w:t>
      </w:r>
      <w:r>
        <w:rPr>
          <w:spacing w:val="59"/>
        </w:rPr>
        <w:t xml:space="preserve"> </w:t>
      </w:r>
      <w:r>
        <w:rPr>
          <w:spacing w:val="-1"/>
        </w:rPr>
        <w:t>both</w:t>
      </w:r>
      <w:r>
        <w:rPr>
          <w:spacing w:val="13"/>
        </w:rPr>
        <w:t xml:space="preserve"> </w:t>
      </w:r>
      <w:r>
        <w:rPr>
          <w:spacing w:val="-1"/>
        </w:rPr>
        <w:t>Parties</w:t>
      </w:r>
      <w:r>
        <w:rPr>
          <w:spacing w:val="14"/>
        </w:rPr>
        <w:t xml:space="preserve"> </w:t>
      </w:r>
      <w:r>
        <w:rPr>
          <w:spacing w:val="-2"/>
        </w:rPr>
        <w:t>of</w:t>
      </w:r>
      <w:r>
        <w:rPr>
          <w:spacing w:val="17"/>
        </w:rPr>
        <w:t xml:space="preserve"> </w:t>
      </w:r>
      <w:r>
        <w:rPr>
          <w:spacing w:val="-1"/>
        </w:rPr>
        <w:t>any</w:t>
      </w:r>
      <w:r>
        <w:rPr>
          <w:spacing w:val="12"/>
        </w:rPr>
        <w:t xml:space="preserve"> </w:t>
      </w:r>
      <w:r>
        <w:t>such</w:t>
      </w:r>
      <w:r>
        <w:rPr>
          <w:spacing w:val="14"/>
        </w:rPr>
        <w:t xml:space="preserve"> </w:t>
      </w:r>
      <w:r>
        <w:rPr>
          <w:spacing w:val="-1"/>
        </w:rPr>
        <w:t>additional</w:t>
      </w:r>
      <w:r>
        <w:rPr>
          <w:spacing w:val="13"/>
        </w:rPr>
        <w:t xml:space="preserve"> </w:t>
      </w:r>
      <w:r>
        <w:rPr>
          <w:spacing w:val="-1"/>
        </w:rPr>
        <w:t>reviews</w:t>
      </w:r>
      <w:r>
        <w:rPr>
          <w:spacing w:val="16"/>
        </w:rPr>
        <w:t xml:space="preserve"> </w:t>
      </w:r>
      <w:r>
        <w:rPr>
          <w:spacing w:val="-1"/>
        </w:rPr>
        <w:t>shall</w:t>
      </w:r>
      <w:r>
        <w:rPr>
          <w:spacing w:val="13"/>
        </w:rPr>
        <w:t xml:space="preserve"> </w:t>
      </w:r>
      <w:r>
        <w:rPr>
          <w:spacing w:val="-1"/>
        </w:rPr>
        <w:t>be</w:t>
      </w:r>
      <w:r>
        <w:rPr>
          <w:spacing w:val="16"/>
        </w:rPr>
        <w:t xml:space="preserve"> </w:t>
      </w:r>
      <w:r>
        <w:rPr>
          <w:spacing w:val="-1"/>
        </w:rPr>
        <w:t>met</w:t>
      </w:r>
      <w:r>
        <w:rPr>
          <w:spacing w:val="15"/>
        </w:rPr>
        <w:t xml:space="preserve"> </w:t>
      </w:r>
      <w:r>
        <w:rPr>
          <w:spacing w:val="-1"/>
        </w:rPr>
        <w:t>by</w:t>
      </w:r>
      <w:r>
        <w:rPr>
          <w:spacing w:val="11"/>
        </w:rPr>
        <w:t xml:space="preserve"> </w:t>
      </w:r>
      <w:r>
        <w:rPr>
          <w:spacing w:val="-1"/>
        </w:rPr>
        <w:t>the</w:t>
      </w:r>
      <w:r>
        <w:rPr>
          <w:spacing w:val="36"/>
        </w:rPr>
        <w:t xml:space="preserve"> </w:t>
      </w:r>
      <w:r>
        <w:rPr>
          <w:spacing w:val="-1"/>
        </w:rPr>
        <w:t>Customer</w:t>
      </w:r>
      <w:r>
        <w:rPr>
          <w:spacing w:val="28"/>
        </w:rPr>
        <w:t xml:space="preserve"> </w:t>
      </w:r>
      <w:r>
        <w:rPr>
          <w:spacing w:val="-1"/>
        </w:rPr>
        <w:t>except</w:t>
      </w:r>
      <w:r>
        <w:rPr>
          <w:spacing w:val="26"/>
        </w:rPr>
        <w:t xml:space="preserve"> </w:t>
      </w:r>
      <w:r>
        <w:rPr>
          <w:spacing w:val="-1"/>
        </w:rPr>
        <w:t>that</w:t>
      </w:r>
      <w:r>
        <w:rPr>
          <w:spacing w:val="26"/>
        </w:rPr>
        <w:t xml:space="preserve"> </w:t>
      </w:r>
      <w:r>
        <w:rPr>
          <w:spacing w:val="-1"/>
        </w:rPr>
        <w:t>the</w:t>
      </w:r>
      <w:r>
        <w:rPr>
          <w:spacing w:val="27"/>
        </w:rPr>
        <w:t xml:space="preserve"> </w:t>
      </w:r>
      <w:r>
        <w:rPr>
          <w:spacing w:val="-2"/>
        </w:rPr>
        <w:t>Supplier</w:t>
      </w:r>
      <w:r>
        <w:rPr>
          <w:spacing w:val="28"/>
        </w:rPr>
        <w:t xml:space="preserve"> </w:t>
      </w:r>
      <w:r>
        <w:rPr>
          <w:spacing w:val="-1"/>
        </w:rPr>
        <w:t>shall</w:t>
      </w:r>
      <w:r>
        <w:rPr>
          <w:spacing w:val="26"/>
        </w:rPr>
        <w:t xml:space="preserve"> </w:t>
      </w:r>
      <w:r>
        <w:rPr>
          <w:spacing w:val="-1"/>
        </w:rPr>
        <w:t>not</w:t>
      </w:r>
      <w:r>
        <w:rPr>
          <w:spacing w:val="28"/>
        </w:rPr>
        <w:t xml:space="preserve"> </w:t>
      </w:r>
      <w:r>
        <w:rPr>
          <w:spacing w:val="-1"/>
        </w:rPr>
        <w:t>be</w:t>
      </w:r>
      <w:r>
        <w:rPr>
          <w:spacing w:val="22"/>
        </w:rPr>
        <w:t xml:space="preserve"> </w:t>
      </w:r>
      <w:r>
        <w:rPr>
          <w:spacing w:val="-1"/>
        </w:rPr>
        <w:t>entitled</w:t>
      </w:r>
      <w:r>
        <w:rPr>
          <w:spacing w:val="27"/>
        </w:rPr>
        <w:t xml:space="preserve"> </w:t>
      </w:r>
      <w:r>
        <w:t>to</w:t>
      </w:r>
      <w:r>
        <w:rPr>
          <w:spacing w:val="24"/>
        </w:rPr>
        <w:t xml:space="preserve"> </w:t>
      </w:r>
      <w:r>
        <w:rPr>
          <w:spacing w:val="-1"/>
        </w:rPr>
        <w:t>charge</w:t>
      </w:r>
      <w:r>
        <w:rPr>
          <w:spacing w:val="24"/>
        </w:rPr>
        <w:t xml:space="preserve"> </w:t>
      </w:r>
      <w:r>
        <w:rPr>
          <w:spacing w:val="-1"/>
        </w:rPr>
        <w:t>the</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spacing w:before="59"/>
        <w:ind w:right="115" w:firstLine="0"/>
      </w:pPr>
      <w:r>
        <w:rPr>
          <w:spacing w:val="-1"/>
        </w:rPr>
        <w:t>Customer</w:t>
      </w:r>
      <w:r>
        <w:rPr>
          <w:spacing w:val="28"/>
        </w:rPr>
        <w:t xml:space="preserve"> </w:t>
      </w:r>
      <w:r>
        <w:t>for</w:t>
      </w:r>
      <w:r>
        <w:rPr>
          <w:spacing w:val="30"/>
        </w:rPr>
        <w:t xml:space="preserve"> </w:t>
      </w:r>
      <w:r>
        <w:rPr>
          <w:spacing w:val="-1"/>
        </w:rPr>
        <w:t>any</w:t>
      </w:r>
      <w:r>
        <w:rPr>
          <w:spacing w:val="27"/>
        </w:rPr>
        <w:t xml:space="preserve"> </w:t>
      </w:r>
      <w:r>
        <w:rPr>
          <w:spacing w:val="-1"/>
        </w:rPr>
        <w:t>costs</w:t>
      </w:r>
      <w:r>
        <w:rPr>
          <w:spacing w:val="25"/>
        </w:rPr>
        <w:t xml:space="preserve"> </w:t>
      </w:r>
      <w:r>
        <w:rPr>
          <w:spacing w:val="-1"/>
        </w:rPr>
        <w:t>that</w:t>
      </w:r>
      <w:r>
        <w:rPr>
          <w:spacing w:val="30"/>
        </w:rPr>
        <w:t xml:space="preserve"> </w:t>
      </w:r>
      <w:r>
        <w:rPr>
          <w:spacing w:val="-2"/>
        </w:rPr>
        <w:t>it</w:t>
      </w:r>
      <w:r>
        <w:rPr>
          <w:spacing w:val="28"/>
        </w:rPr>
        <w:t xml:space="preserve"> </w:t>
      </w:r>
      <w:r>
        <w:rPr>
          <w:spacing w:val="-1"/>
        </w:rPr>
        <w:t>may</w:t>
      </w:r>
      <w:r>
        <w:rPr>
          <w:spacing w:val="27"/>
        </w:rPr>
        <w:t xml:space="preserve"> </w:t>
      </w:r>
      <w:r>
        <w:rPr>
          <w:spacing w:val="-1"/>
        </w:rPr>
        <w:t>incur</w:t>
      </w:r>
      <w:r>
        <w:rPr>
          <w:spacing w:val="30"/>
        </w:rPr>
        <w:t xml:space="preserve"> </w:t>
      </w:r>
      <w:r>
        <w:rPr>
          <w:spacing w:val="-2"/>
        </w:rPr>
        <w:t>above</w:t>
      </w:r>
      <w:r>
        <w:rPr>
          <w:spacing w:val="27"/>
        </w:rPr>
        <w:t xml:space="preserve"> </w:t>
      </w:r>
      <w:r>
        <w:rPr>
          <w:spacing w:val="-1"/>
        </w:rPr>
        <w:t>any</w:t>
      </w:r>
      <w:r>
        <w:rPr>
          <w:spacing w:val="27"/>
        </w:rPr>
        <w:t xml:space="preserve"> </w:t>
      </w:r>
      <w:r>
        <w:rPr>
          <w:spacing w:val="-1"/>
        </w:rPr>
        <w:t>estimate</w:t>
      </w:r>
      <w:r>
        <w:rPr>
          <w:spacing w:val="27"/>
        </w:rPr>
        <w:t xml:space="preserve"> </w:t>
      </w:r>
      <w:r>
        <w:rPr>
          <w:spacing w:val="-2"/>
        </w:rPr>
        <w:t>without</w:t>
      </w:r>
      <w:r>
        <w:rPr>
          <w:spacing w:val="50"/>
        </w:rPr>
        <w:t xml:space="preserve"> </w:t>
      </w:r>
      <w:r>
        <w:t xml:space="preserve">the </w:t>
      </w:r>
      <w:r>
        <w:rPr>
          <w:spacing w:val="-2"/>
        </w:rPr>
        <w:t>Customer’s</w:t>
      </w:r>
      <w:r>
        <w:rPr>
          <w:spacing w:val="1"/>
        </w:rPr>
        <w:t xml:space="preserve"> </w:t>
      </w:r>
      <w:r>
        <w:rPr>
          <w:spacing w:val="-2"/>
        </w:rPr>
        <w:t>prior</w:t>
      </w:r>
      <w:r>
        <w:rPr>
          <w:spacing w:val="2"/>
        </w:rPr>
        <w:t xml:space="preserve"> </w:t>
      </w:r>
      <w:r>
        <w:rPr>
          <w:spacing w:val="-1"/>
        </w:rPr>
        <w:t>written</w:t>
      </w:r>
      <w:r>
        <w:t xml:space="preserve"> </w:t>
      </w:r>
      <w:r>
        <w:rPr>
          <w:spacing w:val="-2"/>
        </w:rPr>
        <w:t>approval.</w:t>
      </w:r>
    </w:p>
    <w:p w:rsidR="008918FA" w:rsidRDefault="008918FA" w:rsidP="008918FA">
      <w:pPr>
        <w:pStyle w:val="BodyText"/>
        <w:numPr>
          <w:ilvl w:val="1"/>
          <w:numId w:val="10"/>
        </w:numPr>
        <w:tabs>
          <w:tab w:val="left" w:pos="689"/>
        </w:tabs>
        <w:spacing w:before="121"/>
        <w:ind w:left="688" w:right="114"/>
        <w:jc w:val="both"/>
      </w:pPr>
      <w:bookmarkStart w:id="441" w:name="_bookmark361"/>
      <w:bookmarkEnd w:id="441"/>
      <w:r>
        <w:rPr>
          <w:spacing w:val="-1"/>
        </w:rPr>
        <w:t>Each</w:t>
      </w:r>
      <w:r>
        <w:rPr>
          <w:spacing w:val="13"/>
        </w:rPr>
        <w:t xml:space="preserve"> </w:t>
      </w:r>
      <w:r>
        <w:rPr>
          <w:spacing w:val="-2"/>
        </w:rPr>
        <w:t>review</w:t>
      </w:r>
      <w:r>
        <w:rPr>
          <w:spacing w:val="9"/>
        </w:rPr>
        <w:t xml:space="preserve"> </w:t>
      </w:r>
      <w:r>
        <w:rPr>
          <w:spacing w:val="-1"/>
        </w:rPr>
        <w:t>of</w:t>
      </w:r>
      <w:r>
        <w:rPr>
          <w:spacing w:val="16"/>
        </w:rPr>
        <w:t xml:space="preserve"> </w:t>
      </w:r>
      <w:r>
        <w:t>the</w:t>
      </w:r>
      <w:r>
        <w:rPr>
          <w:spacing w:val="10"/>
        </w:rPr>
        <w:t xml:space="preserve"> </w:t>
      </w:r>
      <w:r>
        <w:rPr>
          <w:spacing w:val="-2"/>
        </w:rPr>
        <w:t>BCDR</w:t>
      </w:r>
      <w:r>
        <w:rPr>
          <w:spacing w:val="12"/>
        </w:rPr>
        <w:t xml:space="preserve"> </w:t>
      </w:r>
      <w:r>
        <w:rPr>
          <w:spacing w:val="-1"/>
        </w:rPr>
        <w:t>Plan</w:t>
      </w:r>
      <w:r>
        <w:rPr>
          <w:spacing w:val="12"/>
        </w:rPr>
        <w:t xml:space="preserve"> </w:t>
      </w:r>
      <w:r>
        <w:rPr>
          <w:spacing w:val="-1"/>
        </w:rPr>
        <w:t>pursuant</w:t>
      </w:r>
      <w:r>
        <w:rPr>
          <w:spacing w:val="11"/>
        </w:rPr>
        <w:t xml:space="preserve"> </w:t>
      </w:r>
      <w:r>
        <w:t>to</w:t>
      </w:r>
      <w:r>
        <w:rPr>
          <w:spacing w:val="10"/>
        </w:rPr>
        <w:t xml:space="preserve"> </w:t>
      </w:r>
      <w:r>
        <w:rPr>
          <w:spacing w:val="-1"/>
        </w:rPr>
        <w:t>paragraph</w:t>
      </w:r>
      <w:r>
        <w:rPr>
          <w:spacing w:val="2"/>
        </w:rPr>
        <w:t xml:space="preserve"> </w:t>
      </w:r>
      <w:hyperlink w:anchor="_bookmark358" w:history="1">
        <w:r>
          <w:rPr>
            <w:spacing w:val="-1"/>
          </w:rPr>
          <w:t>6.1</w:t>
        </w:r>
      </w:hyperlink>
      <w:r>
        <w:rPr>
          <w:spacing w:val="12"/>
        </w:rPr>
        <w:t xml:space="preserve"> </w:t>
      </w:r>
      <w:r>
        <w:rPr>
          <w:spacing w:val="-2"/>
        </w:rPr>
        <w:t>of</w:t>
      </w:r>
      <w:r>
        <w:rPr>
          <w:spacing w:val="14"/>
        </w:rPr>
        <w:t xml:space="preserve"> </w:t>
      </w:r>
      <w:r>
        <w:rPr>
          <w:spacing w:val="-1"/>
        </w:rPr>
        <w:t>this</w:t>
      </w:r>
      <w:r>
        <w:rPr>
          <w:spacing w:val="10"/>
        </w:rPr>
        <w:t xml:space="preserve"> </w:t>
      </w:r>
      <w:r>
        <w:rPr>
          <w:spacing w:val="-2"/>
        </w:rPr>
        <w:t>Call</w:t>
      </w:r>
      <w:r>
        <w:rPr>
          <w:spacing w:val="12"/>
        </w:rPr>
        <w:t xml:space="preserve"> </w:t>
      </w:r>
      <w:r>
        <w:rPr>
          <w:spacing w:val="-1"/>
        </w:rPr>
        <w:t>off</w:t>
      </w:r>
      <w:r>
        <w:rPr>
          <w:spacing w:val="11"/>
        </w:rPr>
        <w:t xml:space="preserve"> </w:t>
      </w:r>
      <w:r>
        <w:rPr>
          <w:spacing w:val="-1"/>
        </w:rPr>
        <w:t>Schedule</w:t>
      </w:r>
      <w:r>
        <w:rPr>
          <w:spacing w:val="51"/>
        </w:rPr>
        <w:t xml:space="preserve"> </w:t>
      </w:r>
      <w:r>
        <w:rPr>
          <w:spacing w:val="-1"/>
        </w:rPr>
        <w:t>shall</w:t>
      </w:r>
      <w:r>
        <w:rPr>
          <w:spacing w:val="19"/>
        </w:rPr>
        <w:t xml:space="preserve"> </w:t>
      </w:r>
      <w:r>
        <w:rPr>
          <w:spacing w:val="-1"/>
        </w:rPr>
        <w:t>be</w:t>
      </w:r>
      <w:r>
        <w:rPr>
          <w:spacing w:val="20"/>
        </w:rPr>
        <w:t xml:space="preserve"> </w:t>
      </w:r>
      <w:r>
        <w:t>a</w:t>
      </w:r>
      <w:r>
        <w:rPr>
          <w:spacing w:val="19"/>
        </w:rPr>
        <w:t xml:space="preserve"> </w:t>
      </w:r>
      <w:r>
        <w:rPr>
          <w:spacing w:val="-1"/>
        </w:rPr>
        <w:t>review</w:t>
      </w:r>
      <w:r>
        <w:rPr>
          <w:spacing w:val="17"/>
        </w:rPr>
        <w:t xml:space="preserve"> </w:t>
      </w:r>
      <w:r>
        <w:rPr>
          <w:spacing w:val="-1"/>
        </w:rPr>
        <w:t>of</w:t>
      </w:r>
      <w:r>
        <w:rPr>
          <w:spacing w:val="23"/>
        </w:rPr>
        <w:t xml:space="preserve"> </w:t>
      </w:r>
      <w:r>
        <w:t>the</w:t>
      </w:r>
      <w:r>
        <w:rPr>
          <w:spacing w:val="17"/>
        </w:rPr>
        <w:t xml:space="preserve"> </w:t>
      </w:r>
      <w:r>
        <w:rPr>
          <w:spacing w:val="-1"/>
        </w:rPr>
        <w:t>procedures</w:t>
      </w:r>
      <w:r>
        <w:rPr>
          <w:spacing w:val="20"/>
        </w:rPr>
        <w:t xml:space="preserve"> </w:t>
      </w:r>
      <w:r>
        <w:rPr>
          <w:spacing w:val="-2"/>
        </w:rPr>
        <w:t>and</w:t>
      </w:r>
      <w:r>
        <w:rPr>
          <w:spacing w:val="20"/>
        </w:rPr>
        <w:t xml:space="preserve"> </w:t>
      </w:r>
      <w:r>
        <w:rPr>
          <w:spacing w:val="-1"/>
        </w:rPr>
        <w:t>methodologies</w:t>
      </w:r>
      <w:r>
        <w:rPr>
          <w:spacing w:val="20"/>
        </w:rPr>
        <w:t xml:space="preserve"> </w:t>
      </w:r>
      <w:r>
        <w:rPr>
          <w:spacing w:val="-1"/>
        </w:rPr>
        <w:t>set</w:t>
      </w:r>
      <w:r>
        <w:rPr>
          <w:spacing w:val="21"/>
        </w:rPr>
        <w:t xml:space="preserve"> </w:t>
      </w:r>
      <w:r>
        <w:rPr>
          <w:spacing w:val="-2"/>
        </w:rPr>
        <w:t>out</w:t>
      </w:r>
      <w:r>
        <w:rPr>
          <w:spacing w:val="21"/>
        </w:rPr>
        <w:t xml:space="preserve"> </w:t>
      </w:r>
      <w:r>
        <w:rPr>
          <w:spacing w:val="-1"/>
        </w:rPr>
        <w:t>in</w:t>
      </w:r>
      <w:r>
        <w:rPr>
          <w:spacing w:val="20"/>
        </w:rPr>
        <w:t xml:space="preserve"> </w:t>
      </w:r>
      <w:r>
        <w:t>the</w:t>
      </w:r>
      <w:r>
        <w:rPr>
          <w:spacing w:val="17"/>
        </w:rPr>
        <w:t xml:space="preserve"> </w:t>
      </w:r>
      <w:r>
        <w:rPr>
          <w:spacing w:val="-2"/>
        </w:rPr>
        <w:t>BCDR</w:t>
      </w:r>
      <w:r>
        <w:rPr>
          <w:spacing w:val="19"/>
        </w:rPr>
        <w:t xml:space="preserve"> </w:t>
      </w:r>
      <w:r>
        <w:rPr>
          <w:spacing w:val="-2"/>
        </w:rPr>
        <w:t>Plan</w:t>
      </w:r>
      <w:r>
        <w:rPr>
          <w:spacing w:val="44"/>
        </w:rPr>
        <w:t xml:space="preserve"> </w:t>
      </w:r>
      <w:r>
        <w:rPr>
          <w:spacing w:val="-1"/>
        </w:rPr>
        <w:t>and</w:t>
      </w:r>
      <w:r>
        <w:rPr>
          <w:spacing w:val="12"/>
        </w:rPr>
        <w:t xml:space="preserve"> </w:t>
      </w:r>
      <w:r>
        <w:rPr>
          <w:spacing w:val="-1"/>
        </w:rPr>
        <w:t>shall</w:t>
      </w:r>
      <w:r>
        <w:rPr>
          <w:spacing w:val="12"/>
        </w:rPr>
        <w:t xml:space="preserve"> </w:t>
      </w:r>
      <w:r>
        <w:rPr>
          <w:spacing w:val="-1"/>
        </w:rPr>
        <w:t>assess</w:t>
      </w:r>
      <w:r>
        <w:rPr>
          <w:spacing w:val="13"/>
        </w:rPr>
        <w:t xml:space="preserve"> </w:t>
      </w:r>
      <w:r>
        <w:rPr>
          <w:spacing w:val="-1"/>
        </w:rPr>
        <w:t>their</w:t>
      </w:r>
      <w:r>
        <w:rPr>
          <w:spacing w:val="14"/>
        </w:rPr>
        <w:t xml:space="preserve"> </w:t>
      </w:r>
      <w:r>
        <w:rPr>
          <w:spacing w:val="-1"/>
        </w:rPr>
        <w:t>suitability</w:t>
      </w:r>
      <w:r>
        <w:rPr>
          <w:spacing w:val="13"/>
        </w:rPr>
        <w:t xml:space="preserve"> </w:t>
      </w:r>
      <w:r>
        <w:rPr>
          <w:spacing w:val="-1"/>
        </w:rPr>
        <w:t>having</w:t>
      </w:r>
      <w:r>
        <w:rPr>
          <w:spacing w:val="15"/>
        </w:rPr>
        <w:t xml:space="preserve"> </w:t>
      </w:r>
      <w:r>
        <w:rPr>
          <w:spacing w:val="-1"/>
        </w:rPr>
        <w:t>regard</w:t>
      </w:r>
      <w:r>
        <w:rPr>
          <w:spacing w:val="12"/>
        </w:rPr>
        <w:t xml:space="preserve"> </w:t>
      </w:r>
      <w:r>
        <w:rPr>
          <w:spacing w:val="-1"/>
        </w:rPr>
        <w:t>to</w:t>
      </w:r>
      <w:r>
        <w:rPr>
          <w:spacing w:val="12"/>
        </w:rPr>
        <w:t xml:space="preserve"> </w:t>
      </w:r>
      <w:r>
        <w:rPr>
          <w:spacing w:val="-1"/>
        </w:rPr>
        <w:t>any</w:t>
      </w:r>
      <w:r>
        <w:rPr>
          <w:spacing w:val="13"/>
        </w:rPr>
        <w:t xml:space="preserve"> </w:t>
      </w:r>
      <w:r>
        <w:rPr>
          <w:spacing w:val="-1"/>
        </w:rPr>
        <w:t>change</w:t>
      </w:r>
      <w:r>
        <w:rPr>
          <w:spacing w:val="12"/>
        </w:rPr>
        <w:t xml:space="preserve"> </w:t>
      </w:r>
      <w:r>
        <w:t>to</w:t>
      </w:r>
      <w:r>
        <w:rPr>
          <w:spacing w:val="12"/>
        </w:rPr>
        <w:t xml:space="preserve"> </w:t>
      </w:r>
      <w:r>
        <w:t>the</w:t>
      </w:r>
      <w:r>
        <w:rPr>
          <w:spacing w:val="12"/>
        </w:rPr>
        <w:t xml:space="preserve"> </w:t>
      </w:r>
      <w:r>
        <w:rPr>
          <w:spacing w:val="-1"/>
        </w:rPr>
        <w:t>Goods</w:t>
      </w:r>
      <w:r>
        <w:rPr>
          <w:spacing w:val="13"/>
        </w:rPr>
        <w:t xml:space="preserve"> </w:t>
      </w:r>
      <w:r>
        <w:rPr>
          <w:spacing w:val="-1"/>
        </w:rPr>
        <w:t>and/or</w:t>
      </w:r>
      <w:r>
        <w:rPr>
          <w:spacing w:val="49"/>
        </w:rPr>
        <w:t xml:space="preserve"> </w:t>
      </w:r>
      <w:r>
        <w:rPr>
          <w:spacing w:val="-1"/>
        </w:rPr>
        <w:t>Services</w:t>
      </w:r>
      <w:r>
        <w:rPr>
          <w:spacing w:val="46"/>
        </w:rPr>
        <w:t xml:space="preserve"> </w:t>
      </w:r>
      <w:r>
        <w:rPr>
          <w:spacing w:val="-1"/>
        </w:rPr>
        <w:t>or</w:t>
      </w:r>
      <w:r>
        <w:rPr>
          <w:spacing w:val="47"/>
        </w:rPr>
        <w:t xml:space="preserve"> </w:t>
      </w:r>
      <w:r>
        <w:t>any</w:t>
      </w:r>
      <w:r>
        <w:rPr>
          <w:spacing w:val="44"/>
        </w:rPr>
        <w:t xml:space="preserve"> </w:t>
      </w:r>
      <w:r>
        <w:rPr>
          <w:spacing w:val="-1"/>
        </w:rPr>
        <w:t>underlying</w:t>
      </w:r>
      <w:r>
        <w:rPr>
          <w:spacing w:val="49"/>
        </w:rPr>
        <w:t xml:space="preserve"> </w:t>
      </w:r>
      <w:r>
        <w:rPr>
          <w:spacing w:val="-1"/>
        </w:rPr>
        <w:t>business</w:t>
      </w:r>
      <w:r>
        <w:rPr>
          <w:spacing w:val="47"/>
        </w:rPr>
        <w:t xml:space="preserve"> </w:t>
      </w:r>
      <w:r>
        <w:rPr>
          <w:spacing w:val="-1"/>
        </w:rPr>
        <w:t>processes</w:t>
      </w:r>
      <w:r>
        <w:rPr>
          <w:spacing w:val="44"/>
        </w:rPr>
        <w:t xml:space="preserve"> </w:t>
      </w:r>
      <w:r>
        <w:rPr>
          <w:spacing w:val="-1"/>
        </w:rPr>
        <w:t>and</w:t>
      </w:r>
      <w:r>
        <w:rPr>
          <w:spacing w:val="47"/>
        </w:rPr>
        <w:t xml:space="preserve"> </w:t>
      </w:r>
      <w:r>
        <w:rPr>
          <w:spacing w:val="-1"/>
        </w:rPr>
        <w:t>operations</w:t>
      </w:r>
      <w:r>
        <w:rPr>
          <w:spacing w:val="46"/>
        </w:rPr>
        <w:t xml:space="preserve"> </w:t>
      </w:r>
      <w:r>
        <w:rPr>
          <w:spacing w:val="-1"/>
        </w:rPr>
        <w:t>facilitated</w:t>
      </w:r>
      <w:r>
        <w:rPr>
          <w:spacing w:val="46"/>
        </w:rPr>
        <w:t xml:space="preserve"> </w:t>
      </w:r>
      <w:r>
        <w:rPr>
          <w:spacing w:val="-1"/>
        </w:rPr>
        <w:t>by</w:t>
      </w:r>
      <w:r>
        <w:rPr>
          <w:spacing w:val="46"/>
        </w:rPr>
        <w:t xml:space="preserve"> </w:t>
      </w:r>
      <w:r>
        <w:rPr>
          <w:spacing w:val="-1"/>
        </w:rPr>
        <w:t>or</w:t>
      </w:r>
      <w:r>
        <w:rPr>
          <w:spacing w:val="40"/>
        </w:rPr>
        <w:t xml:space="preserve"> </w:t>
      </w:r>
      <w:r>
        <w:rPr>
          <w:spacing w:val="-1"/>
        </w:rPr>
        <w:t>supported</w:t>
      </w:r>
      <w:r>
        <w:rPr>
          <w:spacing w:val="31"/>
        </w:rPr>
        <w:t xml:space="preserve"> </w:t>
      </w:r>
      <w:r>
        <w:rPr>
          <w:spacing w:val="-1"/>
        </w:rPr>
        <w:t>by</w:t>
      </w:r>
      <w:r>
        <w:rPr>
          <w:spacing w:val="30"/>
        </w:rPr>
        <w:t xml:space="preserve"> </w:t>
      </w:r>
      <w:r>
        <w:t>the</w:t>
      </w:r>
      <w:r>
        <w:rPr>
          <w:spacing w:val="31"/>
        </w:rPr>
        <w:t xml:space="preserve"> </w:t>
      </w:r>
      <w:r>
        <w:rPr>
          <w:spacing w:val="-2"/>
        </w:rPr>
        <w:t>Services</w:t>
      </w:r>
      <w:r>
        <w:rPr>
          <w:spacing w:val="32"/>
        </w:rPr>
        <w:t xml:space="preserve"> </w:t>
      </w:r>
      <w:r>
        <w:rPr>
          <w:spacing w:val="-2"/>
        </w:rPr>
        <w:t>which</w:t>
      </w:r>
      <w:r>
        <w:rPr>
          <w:spacing w:val="32"/>
        </w:rPr>
        <w:t xml:space="preserve"> </w:t>
      </w:r>
      <w:r>
        <w:rPr>
          <w:spacing w:val="-1"/>
        </w:rPr>
        <w:t>have</w:t>
      </w:r>
      <w:r>
        <w:rPr>
          <w:spacing w:val="31"/>
        </w:rPr>
        <w:t xml:space="preserve"> </w:t>
      </w:r>
      <w:r>
        <w:t>taken</w:t>
      </w:r>
      <w:r>
        <w:rPr>
          <w:spacing w:val="31"/>
        </w:rPr>
        <w:t xml:space="preserve"> </w:t>
      </w:r>
      <w:r>
        <w:rPr>
          <w:spacing w:val="-2"/>
        </w:rPr>
        <w:t>place</w:t>
      </w:r>
      <w:r>
        <w:rPr>
          <w:spacing w:val="33"/>
        </w:rPr>
        <w:t xml:space="preserve"> </w:t>
      </w:r>
      <w:r>
        <w:rPr>
          <w:spacing w:val="-1"/>
        </w:rPr>
        <w:t>since</w:t>
      </w:r>
      <w:r>
        <w:rPr>
          <w:spacing w:val="32"/>
        </w:rPr>
        <w:t xml:space="preserve"> </w:t>
      </w:r>
      <w:r>
        <w:t>the</w:t>
      </w:r>
      <w:r>
        <w:rPr>
          <w:spacing w:val="31"/>
        </w:rPr>
        <w:t xml:space="preserve"> </w:t>
      </w:r>
      <w:r>
        <w:rPr>
          <w:spacing w:val="-1"/>
        </w:rPr>
        <w:t>later</w:t>
      </w:r>
      <w:r>
        <w:rPr>
          <w:spacing w:val="33"/>
        </w:rPr>
        <w:t xml:space="preserve"> </w:t>
      </w:r>
      <w:r>
        <w:rPr>
          <w:spacing w:val="-2"/>
        </w:rPr>
        <w:t>of</w:t>
      </w:r>
      <w:r>
        <w:rPr>
          <w:spacing w:val="33"/>
        </w:rPr>
        <w:t xml:space="preserve"> </w:t>
      </w:r>
      <w:r>
        <w:rPr>
          <w:spacing w:val="-1"/>
        </w:rPr>
        <w:t>the</w:t>
      </w:r>
      <w:r>
        <w:rPr>
          <w:spacing w:val="31"/>
        </w:rPr>
        <w:t xml:space="preserve"> </w:t>
      </w:r>
      <w:r>
        <w:rPr>
          <w:spacing w:val="-1"/>
        </w:rPr>
        <w:t>original</w:t>
      </w:r>
      <w:r>
        <w:rPr>
          <w:spacing w:val="48"/>
        </w:rPr>
        <w:t xml:space="preserve"> </w:t>
      </w:r>
      <w:r>
        <w:rPr>
          <w:spacing w:val="-1"/>
        </w:rPr>
        <w:t>approval</w:t>
      </w:r>
      <w:r>
        <w:t xml:space="preserve"> </w:t>
      </w:r>
      <w:r>
        <w:rPr>
          <w:spacing w:val="-1"/>
        </w:rPr>
        <w:t>of</w:t>
      </w:r>
      <w:r>
        <w:rPr>
          <w:spacing w:val="2"/>
        </w:rPr>
        <w:t xml:space="preserve"> </w:t>
      </w:r>
      <w:r>
        <w:t xml:space="preserve">the </w:t>
      </w:r>
      <w:r>
        <w:rPr>
          <w:spacing w:val="-2"/>
        </w:rPr>
        <w:t>BCDR</w:t>
      </w:r>
      <w:r>
        <w:t xml:space="preserve"> </w:t>
      </w:r>
      <w:r>
        <w:rPr>
          <w:spacing w:val="-1"/>
        </w:rPr>
        <w:t>Plan</w:t>
      </w:r>
      <w:r>
        <w:t xml:space="preserve"> </w:t>
      </w:r>
      <w:r>
        <w:rPr>
          <w:spacing w:val="-1"/>
        </w:rPr>
        <w:t>or</w:t>
      </w:r>
      <w:r>
        <w:rPr>
          <w:spacing w:val="2"/>
        </w:rPr>
        <w:t xml:space="preserve"> </w:t>
      </w:r>
      <w:r>
        <w:t>the</w:t>
      </w:r>
      <w:r>
        <w:rPr>
          <w:spacing w:val="-2"/>
        </w:rPr>
        <w:t xml:space="preserve"> </w:t>
      </w:r>
      <w:r>
        <w:rPr>
          <w:spacing w:val="-1"/>
        </w:rPr>
        <w:t>last</w:t>
      </w:r>
      <w:r>
        <w:t xml:space="preserve"> </w:t>
      </w:r>
      <w:r>
        <w:rPr>
          <w:spacing w:val="-1"/>
        </w:rPr>
        <w:t>review</w:t>
      </w:r>
      <w:r>
        <w:rPr>
          <w:spacing w:val="-3"/>
        </w:rPr>
        <w:t xml:space="preserve"> </w:t>
      </w:r>
      <w:r>
        <w:rPr>
          <w:spacing w:val="-1"/>
        </w:rPr>
        <w:t>of</w:t>
      </w:r>
      <w:r>
        <w:rPr>
          <w:spacing w:val="2"/>
        </w:rPr>
        <w:t xml:space="preserve"> </w:t>
      </w:r>
      <w:r>
        <w:rPr>
          <w:spacing w:val="-1"/>
        </w:rPr>
        <w:t>the</w:t>
      </w:r>
      <w:r>
        <w:t xml:space="preserve"> </w:t>
      </w:r>
      <w:r>
        <w:rPr>
          <w:spacing w:val="-2"/>
        </w:rPr>
        <w:t>BCDR</w:t>
      </w:r>
      <w:r>
        <w:t xml:space="preserve"> </w:t>
      </w:r>
      <w:r>
        <w:rPr>
          <w:spacing w:val="-1"/>
        </w:rPr>
        <w:t>Plan</w:t>
      </w:r>
      <w:r>
        <w:t xml:space="preserve"> </w:t>
      </w:r>
      <w:r>
        <w:rPr>
          <w:spacing w:val="-1"/>
        </w:rPr>
        <w:t>and</w:t>
      </w:r>
      <w:r>
        <w:t xml:space="preserve"> </w:t>
      </w:r>
      <w:r>
        <w:rPr>
          <w:spacing w:val="-1"/>
        </w:rPr>
        <w:t>shall</w:t>
      </w:r>
      <w:r>
        <w:rPr>
          <w:spacing w:val="2"/>
        </w:rPr>
        <w:t xml:space="preserve"> </w:t>
      </w:r>
      <w:r>
        <w:rPr>
          <w:spacing w:val="-1"/>
        </w:rPr>
        <w:t>also</w:t>
      </w:r>
      <w:r>
        <w:rPr>
          <w:spacing w:val="1"/>
        </w:rPr>
        <w:t xml:space="preserve"> </w:t>
      </w:r>
      <w:r>
        <w:rPr>
          <w:spacing w:val="-2"/>
        </w:rPr>
        <w:t>have</w:t>
      </w:r>
      <w:r>
        <w:rPr>
          <w:spacing w:val="33"/>
        </w:rPr>
        <w:t xml:space="preserve"> </w:t>
      </w:r>
      <w:r>
        <w:rPr>
          <w:spacing w:val="-1"/>
        </w:rPr>
        <w:t>regard</w:t>
      </w:r>
      <w:r>
        <w:rPr>
          <w:spacing w:val="3"/>
        </w:rPr>
        <w:t xml:space="preserve"> </w:t>
      </w:r>
      <w:r>
        <w:t>to</w:t>
      </w:r>
      <w:r>
        <w:rPr>
          <w:spacing w:val="3"/>
        </w:rPr>
        <w:t xml:space="preserve"> </w:t>
      </w:r>
      <w:r>
        <w:rPr>
          <w:spacing w:val="-1"/>
        </w:rPr>
        <w:t>any</w:t>
      </w:r>
      <w:r>
        <w:rPr>
          <w:spacing w:val="1"/>
        </w:rPr>
        <w:t xml:space="preserve"> </w:t>
      </w:r>
      <w:r>
        <w:rPr>
          <w:spacing w:val="-1"/>
        </w:rPr>
        <w:t>occurrence</w:t>
      </w:r>
      <w:r>
        <w:rPr>
          <w:spacing w:val="3"/>
        </w:rPr>
        <w:t xml:space="preserve"> </w:t>
      </w:r>
      <w:r>
        <w:rPr>
          <w:spacing w:val="-1"/>
        </w:rPr>
        <w:t>of</w:t>
      </w:r>
      <w:r>
        <w:rPr>
          <w:spacing w:val="6"/>
        </w:rPr>
        <w:t xml:space="preserve"> </w:t>
      </w:r>
      <w:r>
        <w:rPr>
          <w:spacing w:val="-1"/>
        </w:rPr>
        <w:t>any</w:t>
      </w:r>
      <w:r>
        <w:rPr>
          <w:spacing w:val="1"/>
        </w:rPr>
        <w:t xml:space="preserve"> </w:t>
      </w:r>
      <w:r>
        <w:rPr>
          <w:spacing w:val="-2"/>
        </w:rPr>
        <w:t>event</w:t>
      </w:r>
      <w:r>
        <w:rPr>
          <w:spacing w:val="4"/>
        </w:rPr>
        <w:t xml:space="preserve"> </w:t>
      </w:r>
      <w:r>
        <w:rPr>
          <w:spacing w:val="-1"/>
        </w:rPr>
        <w:t>since</w:t>
      </w:r>
      <w:r>
        <w:rPr>
          <w:spacing w:val="3"/>
        </w:rPr>
        <w:t xml:space="preserve"> </w:t>
      </w:r>
      <w:r>
        <w:rPr>
          <w:spacing w:val="-1"/>
        </w:rPr>
        <w:t>that</w:t>
      </w:r>
      <w:r>
        <w:rPr>
          <w:spacing w:val="2"/>
        </w:rPr>
        <w:t xml:space="preserve"> </w:t>
      </w:r>
      <w:r>
        <w:rPr>
          <w:spacing w:val="-1"/>
        </w:rPr>
        <w:t>date</w:t>
      </w:r>
      <w:r>
        <w:rPr>
          <w:spacing w:val="3"/>
        </w:rPr>
        <w:t xml:space="preserve"> </w:t>
      </w:r>
      <w:r>
        <w:rPr>
          <w:spacing w:val="-1"/>
        </w:rPr>
        <w:t>(or</w:t>
      </w:r>
      <w:r>
        <w:rPr>
          <w:spacing w:val="4"/>
        </w:rPr>
        <w:t xml:space="preserve"> </w:t>
      </w:r>
      <w:r>
        <w:t>the</w:t>
      </w:r>
      <w:r>
        <w:rPr>
          <w:spacing w:val="3"/>
        </w:rPr>
        <w:t xml:space="preserve"> </w:t>
      </w:r>
      <w:r>
        <w:rPr>
          <w:spacing w:val="-2"/>
        </w:rPr>
        <w:t>likelihood</w:t>
      </w:r>
      <w:r>
        <w:rPr>
          <w:spacing w:val="3"/>
        </w:rPr>
        <w:t xml:space="preserve"> </w:t>
      </w:r>
      <w:r>
        <w:rPr>
          <w:spacing w:val="-1"/>
        </w:rPr>
        <w:t>of</w:t>
      </w:r>
      <w:r>
        <w:rPr>
          <w:spacing w:val="4"/>
        </w:rPr>
        <w:t xml:space="preserve"> </w:t>
      </w:r>
      <w:r>
        <w:rPr>
          <w:spacing w:val="-1"/>
        </w:rPr>
        <w:t>any</w:t>
      </w:r>
      <w:r>
        <w:rPr>
          <w:spacing w:val="1"/>
        </w:rPr>
        <w:t xml:space="preserve"> </w:t>
      </w:r>
      <w:r>
        <w:rPr>
          <w:spacing w:val="-1"/>
        </w:rPr>
        <w:t>such</w:t>
      </w:r>
      <w:r>
        <w:rPr>
          <w:spacing w:val="68"/>
        </w:rPr>
        <w:t xml:space="preserve"> </w:t>
      </w:r>
      <w:r>
        <w:rPr>
          <w:spacing w:val="-2"/>
        </w:rPr>
        <w:t>event</w:t>
      </w:r>
      <w:r>
        <w:rPr>
          <w:spacing w:val="21"/>
        </w:rPr>
        <w:t xml:space="preserve"> </w:t>
      </w:r>
      <w:r>
        <w:rPr>
          <w:spacing w:val="-1"/>
        </w:rPr>
        <w:t>taking</w:t>
      </w:r>
      <w:r>
        <w:rPr>
          <w:spacing w:val="22"/>
        </w:rPr>
        <w:t xml:space="preserve"> </w:t>
      </w:r>
      <w:r>
        <w:rPr>
          <w:spacing w:val="-1"/>
        </w:rPr>
        <w:t>place</w:t>
      </w:r>
      <w:r>
        <w:rPr>
          <w:spacing w:val="20"/>
        </w:rPr>
        <w:t xml:space="preserve"> </w:t>
      </w:r>
      <w:r>
        <w:rPr>
          <w:spacing w:val="-1"/>
        </w:rPr>
        <w:t>in</w:t>
      </w:r>
      <w:r>
        <w:rPr>
          <w:spacing w:val="19"/>
        </w:rPr>
        <w:t xml:space="preserve"> </w:t>
      </w:r>
      <w:r>
        <w:rPr>
          <w:spacing w:val="1"/>
        </w:rPr>
        <w:t>the</w:t>
      </w:r>
      <w:r>
        <w:rPr>
          <w:spacing w:val="20"/>
        </w:rPr>
        <w:t xml:space="preserve"> </w:t>
      </w:r>
      <w:r>
        <w:rPr>
          <w:spacing w:val="-1"/>
        </w:rPr>
        <w:t>foreseeable</w:t>
      </w:r>
      <w:r>
        <w:rPr>
          <w:spacing w:val="17"/>
        </w:rPr>
        <w:t xml:space="preserve"> </w:t>
      </w:r>
      <w:r>
        <w:rPr>
          <w:spacing w:val="-1"/>
        </w:rPr>
        <w:t>future)</w:t>
      </w:r>
      <w:r>
        <w:rPr>
          <w:spacing w:val="21"/>
        </w:rPr>
        <w:t xml:space="preserve"> </w:t>
      </w:r>
      <w:r>
        <w:rPr>
          <w:spacing w:val="-1"/>
        </w:rPr>
        <w:t>which</w:t>
      </w:r>
      <w:r>
        <w:rPr>
          <w:spacing w:val="20"/>
        </w:rPr>
        <w:t xml:space="preserve"> </w:t>
      </w:r>
      <w:r>
        <w:rPr>
          <w:spacing w:val="-1"/>
        </w:rPr>
        <w:t>may</w:t>
      </w:r>
      <w:r>
        <w:rPr>
          <w:spacing w:val="20"/>
        </w:rPr>
        <w:t xml:space="preserve"> </w:t>
      </w:r>
      <w:r>
        <w:rPr>
          <w:spacing w:val="-1"/>
        </w:rPr>
        <w:t>increase</w:t>
      </w:r>
      <w:r>
        <w:rPr>
          <w:spacing w:val="20"/>
        </w:rPr>
        <w:t xml:space="preserve"> </w:t>
      </w:r>
      <w:r>
        <w:t>the</w:t>
      </w:r>
      <w:r>
        <w:rPr>
          <w:spacing w:val="20"/>
        </w:rPr>
        <w:t xml:space="preserve"> </w:t>
      </w:r>
      <w:r>
        <w:rPr>
          <w:spacing w:val="-1"/>
        </w:rPr>
        <w:t>likelihood</w:t>
      </w:r>
      <w:r>
        <w:rPr>
          <w:spacing w:val="19"/>
        </w:rPr>
        <w:t xml:space="preserve"> </w:t>
      </w:r>
      <w:r>
        <w:rPr>
          <w:spacing w:val="-2"/>
        </w:rPr>
        <w:t>of</w:t>
      </w:r>
      <w:r>
        <w:rPr>
          <w:spacing w:val="45"/>
        </w:rPr>
        <w:t xml:space="preserve"> </w:t>
      </w:r>
      <w:r>
        <w:t>the</w:t>
      </w:r>
      <w:r>
        <w:rPr>
          <w:spacing w:val="10"/>
        </w:rPr>
        <w:t xml:space="preserve"> </w:t>
      </w:r>
      <w:r>
        <w:rPr>
          <w:spacing w:val="-1"/>
        </w:rPr>
        <w:t>need</w:t>
      </w:r>
      <w:r>
        <w:rPr>
          <w:spacing w:val="10"/>
        </w:rPr>
        <w:t xml:space="preserve"> </w:t>
      </w:r>
      <w:r>
        <w:t>to</w:t>
      </w:r>
      <w:r>
        <w:rPr>
          <w:spacing w:val="10"/>
        </w:rPr>
        <w:t xml:space="preserve"> </w:t>
      </w:r>
      <w:r>
        <w:rPr>
          <w:spacing w:val="-1"/>
        </w:rPr>
        <w:t>invoke</w:t>
      </w:r>
      <w:r>
        <w:rPr>
          <w:spacing w:val="7"/>
        </w:rPr>
        <w:t xml:space="preserve"> </w:t>
      </w:r>
      <w:r>
        <w:t>the</w:t>
      </w:r>
      <w:r>
        <w:rPr>
          <w:spacing w:val="10"/>
        </w:rPr>
        <w:t xml:space="preserve"> </w:t>
      </w:r>
      <w:r>
        <w:rPr>
          <w:spacing w:val="-2"/>
        </w:rPr>
        <w:t>BCDR</w:t>
      </w:r>
      <w:r>
        <w:rPr>
          <w:spacing w:val="9"/>
        </w:rPr>
        <w:t xml:space="preserve"> </w:t>
      </w:r>
      <w:r>
        <w:rPr>
          <w:spacing w:val="-1"/>
        </w:rPr>
        <w:t>Plan.</w:t>
      </w:r>
      <w:r>
        <w:rPr>
          <w:spacing w:val="11"/>
        </w:rPr>
        <w:t xml:space="preserve"> </w:t>
      </w:r>
      <w:r>
        <w:t>The</w:t>
      </w:r>
      <w:r>
        <w:rPr>
          <w:spacing w:val="10"/>
        </w:rPr>
        <w:t xml:space="preserve"> </w:t>
      </w:r>
      <w:r>
        <w:rPr>
          <w:spacing w:val="-2"/>
        </w:rPr>
        <w:t>review</w:t>
      </w:r>
      <w:r>
        <w:rPr>
          <w:spacing w:val="7"/>
        </w:rPr>
        <w:t xml:space="preserve"> </w:t>
      </w:r>
      <w:r>
        <w:rPr>
          <w:spacing w:val="-1"/>
        </w:rPr>
        <w:t>shall</w:t>
      </w:r>
      <w:r>
        <w:rPr>
          <w:spacing w:val="9"/>
        </w:rPr>
        <w:t xml:space="preserve"> </w:t>
      </w:r>
      <w:r>
        <w:rPr>
          <w:spacing w:val="-1"/>
        </w:rPr>
        <w:t>be</w:t>
      </w:r>
      <w:r>
        <w:rPr>
          <w:spacing w:val="10"/>
        </w:rPr>
        <w:t xml:space="preserve"> </w:t>
      </w:r>
      <w:r>
        <w:rPr>
          <w:spacing w:val="-1"/>
        </w:rPr>
        <w:t>completed</w:t>
      </w:r>
      <w:r>
        <w:rPr>
          <w:spacing w:val="10"/>
        </w:rPr>
        <w:t xml:space="preserve"> </w:t>
      </w:r>
      <w:r>
        <w:rPr>
          <w:spacing w:val="-1"/>
        </w:rPr>
        <w:t>by</w:t>
      </w:r>
      <w:r>
        <w:rPr>
          <w:spacing w:val="8"/>
        </w:rPr>
        <w:t xml:space="preserve"> </w:t>
      </w:r>
      <w:r>
        <w:t>the</w:t>
      </w:r>
      <w:r>
        <w:rPr>
          <w:spacing w:val="7"/>
        </w:rPr>
        <w:t xml:space="preserve"> </w:t>
      </w:r>
      <w:r>
        <w:rPr>
          <w:spacing w:val="-2"/>
        </w:rPr>
        <w:t>Supplier</w:t>
      </w:r>
      <w:r>
        <w:rPr>
          <w:spacing w:val="46"/>
        </w:rPr>
        <w:t xml:space="preserve"> </w:t>
      </w:r>
      <w:r>
        <w:rPr>
          <w:spacing w:val="-1"/>
        </w:rPr>
        <w:t>within</w:t>
      </w:r>
      <w:r>
        <w:rPr>
          <w:spacing w:val="3"/>
        </w:rPr>
        <w:t xml:space="preserve"> </w:t>
      </w:r>
      <w:r>
        <w:t>the</w:t>
      </w:r>
      <w:r>
        <w:rPr>
          <w:spacing w:val="3"/>
        </w:rPr>
        <w:t xml:space="preserve"> </w:t>
      </w:r>
      <w:r>
        <w:rPr>
          <w:spacing w:val="-2"/>
        </w:rPr>
        <w:t>period</w:t>
      </w:r>
      <w:r>
        <w:rPr>
          <w:spacing w:val="3"/>
        </w:rPr>
        <w:t xml:space="preserve"> </w:t>
      </w:r>
      <w:r>
        <w:rPr>
          <w:spacing w:val="-1"/>
        </w:rPr>
        <w:t>required</w:t>
      </w:r>
      <w:r>
        <w:rPr>
          <w:spacing w:val="3"/>
        </w:rPr>
        <w:t xml:space="preserve"> </w:t>
      </w:r>
      <w:r>
        <w:rPr>
          <w:spacing w:val="-1"/>
        </w:rPr>
        <w:t>by</w:t>
      </w:r>
      <w:r>
        <w:rPr>
          <w:spacing w:val="1"/>
        </w:rPr>
        <w:t xml:space="preserve"> </w:t>
      </w:r>
      <w:r>
        <w:t>the</w:t>
      </w:r>
      <w:r>
        <w:rPr>
          <w:spacing w:val="3"/>
        </w:rPr>
        <w:t xml:space="preserve"> </w:t>
      </w:r>
      <w:r>
        <w:rPr>
          <w:spacing w:val="-2"/>
        </w:rPr>
        <w:t>BCDR</w:t>
      </w:r>
      <w:r>
        <w:rPr>
          <w:spacing w:val="2"/>
        </w:rPr>
        <w:t xml:space="preserve"> </w:t>
      </w:r>
      <w:r>
        <w:rPr>
          <w:spacing w:val="-1"/>
        </w:rPr>
        <w:t>Plan</w:t>
      </w:r>
      <w:r>
        <w:rPr>
          <w:spacing w:val="3"/>
        </w:rPr>
        <w:t xml:space="preserve"> </w:t>
      </w:r>
      <w:r>
        <w:rPr>
          <w:spacing w:val="-1"/>
        </w:rPr>
        <w:t>or,</w:t>
      </w:r>
      <w:r>
        <w:rPr>
          <w:spacing w:val="7"/>
        </w:rPr>
        <w:t xml:space="preserve"> </w:t>
      </w:r>
      <w:r>
        <w:rPr>
          <w:spacing w:val="-2"/>
        </w:rPr>
        <w:t>if</w:t>
      </w:r>
      <w:r>
        <w:rPr>
          <w:spacing w:val="4"/>
        </w:rPr>
        <w:t xml:space="preserve"> </w:t>
      </w:r>
      <w:r>
        <w:rPr>
          <w:spacing w:val="-1"/>
        </w:rPr>
        <w:t>no</w:t>
      </w:r>
      <w:r>
        <w:t xml:space="preserve"> </w:t>
      </w:r>
      <w:r>
        <w:rPr>
          <w:spacing w:val="-1"/>
        </w:rPr>
        <w:t>such</w:t>
      </w:r>
      <w:r>
        <w:rPr>
          <w:spacing w:val="3"/>
        </w:rPr>
        <w:t xml:space="preserve"> </w:t>
      </w:r>
      <w:r>
        <w:rPr>
          <w:spacing w:val="-2"/>
        </w:rPr>
        <w:t>period</w:t>
      </w:r>
      <w:r>
        <w:rPr>
          <w:spacing w:val="3"/>
        </w:rPr>
        <w:t xml:space="preserve"> </w:t>
      </w:r>
      <w:r>
        <w:rPr>
          <w:spacing w:val="-1"/>
        </w:rPr>
        <w:t>is</w:t>
      </w:r>
      <w:r>
        <w:rPr>
          <w:spacing w:val="1"/>
        </w:rPr>
        <w:t xml:space="preserve"> </w:t>
      </w:r>
      <w:r>
        <w:rPr>
          <w:spacing w:val="-1"/>
        </w:rPr>
        <w:t>required,</w:t>
      </w:r>
      <w:r>
        <w:rPr>
          <w:spacing w:val="4"/>
        </w:rPr>
        <w:t xml:space="preserve"> </w:t>
      </w:r>
      <w:r>
        <w:rPr>
          <w:spacing w:val="-2"/>
        </w:rPr>
        <w:t>within</w:t>
      </w:r>
      <w:r>
        <w:rPr>
          <w:spacing w:val="47"/>
        </w:rPr>
        <w:t xml:space="preserve"> </w:t>
      </w:r>
      <w:r>
        <w:rPr>
          <w:spacing w:val="-1"/>
        </w:rPr>
        <w:t>such</w:t>
      </w:r>
      <w:r>
        <w:rPr>
          <w:spacing w:val="22"/>
        </w:rPr>
        <w:t xml:space="preserve"> </w:t>
      </w:r>
      <w:r>
        <w:rPr>
          <w:spacing w:val="-1"/>
        </w:rPr>
        <w:t>period</w:t>
      </w:r>
      <w:r>
        <w:rPr>
          <w:spacing w:val="22"/>
        </w:rPr>
        <w:t xml:space="preserve"> </w:t>
      </w:r>
      <w:r>
        <w:rPr>
          <w:spacing w:val="-1"/>
        </w:rPr>
        <w:t>as</w:t>
      </w:r>
      <w:r>
        <w:rPr>
          <w:spacing w:val="22"/>
        </w:rPr>
        <w:t xml:space="preserve"> </w:t>
      </w:r>
      <w:r>
        <w:t>the</w:t>
      </w:r>
      <w:r>
        <w:rPr>
          <w:spacing w:val="22"/>
        </w:rPr>
        <w:t xml:space="preserve"> </w:t>
      </w:r>
      <w:r>
        <w:rPr>
          <w:spacing w:val="-1"/>
        </w:rPr>
        <w:t>Customer</w:t>
      </w:r>
      <w:r>
        <w:rPr>
          <w:spacing w:val="23"/>
        </w:rPr>
        <w:t xml:space="preserve"> </w:t>
      </w:r>
      <w:r>
        <w:rPr>
          <w:spacing w:val="-1"/>
        </w:rPr>
        <w:t>shall</w:t>
      </w:r>
      <w:r>
        <w:rPr>
          <w:spacing w:val="21"/>
        </w:rPr>
        <w:t xml:space="preserve"> </w:t>
      </w:r>
      <w:r>
        <w:rPr>
          <w:spacing w:val="-1"/>
        </w:rPr>
        <w:t>reasonably</w:t>
      </w:r>
      <w:r>
        <w:rPr>
          <w:spacing w:val="20"/>
        </w:rPr>
        <w:t xml:space="preserve"> </w:t>
      </w:r>
      <w:r>
        <w:rPr>
          <w:spacing w:val="-1"/>
        </w:rPr>
        <w:t>require.</w:t>
      </w:r>
      <w:r>
        <w:rPr>
          <w:spacing w:val="46"/>
        </w:rPr>
        <w:t xml:space="preserve"> </w:t>
      </w:r>
      <w:r>
        <w:t>The</w:t>
      </w:r>
      <w:r>
        <w:rPr>
          <w:spacing w:val="22"/>
        </w:rPr>
        <w:t xml:space="preserve"> </w:t>
      </w:r>
      <w:r>
        <w:rPr>
          <w:spacing w:val="-2"/>
        </w:rPr>
        <w:t>Supplier</w:t>
      </w:r>
      <w:r>
        <w:rPr>
          <w:spacing w:val="23"/>
        </w:rPr>
        <w:t xml:space="preserve"> </w:t>
      </w:r>
      <w:r>
        <w:rPr>
          <w:spacing w:val="-1"/>
        </w:rPr>
        <w:t>shall,</w:t>
      </w:r>
      <w:r>
        <w:rPr>
          <w:spacing w:val="26"/>
        </w:rPr>
        <w:t xml:space="preserve"> </w:t>
      </w:r>
      <w:r>
        <w:rPr>
          <w:spacing w:val="-2"/>
        </w:rPr>
        <w:t>within</w:t>
      </w:r>
      <w:r>
        <w:rPr>
          <w:spacing w:val="47"/>
        </w:rPr>
        <w:t xml:space="preserve"> </w:t>
      </w:r>
      <w:r>
        <w:rPr>
          <w:spacing w:val="-1"/>
        </w:rPr>
        <w:t>twenty</w:t>
      </w:r>
      <w:r>
        <w:rPr>
          <w:spacing w:val="-2"/>
        </w:rPr>
        <w:t xml:space="preserve"> </w:t>
      </w:r>
      <w:r>
        <w:rPr>
          <w:spacing w:val="-1"/>
        </w:rPr>
        <w:t>(20)</w:t>
      </w:r>
      <w:r>
        <w:rPr>
          <w:spacing w:val="-3"/>
        </w:rPr>
        <w:t xml:space="preserve"> </w:t>
      </w:r>
      <w:r>
        <w:rPr>
          <w:spacing w:val="-1"/>
        </w:rPr>
        <w:t>Working</w:t>
      </w:r>
      <w:r>
        <w:rPr>
          <w:spacing w:val="3"/>
        </w:rPr>
        <w:t xml:space="preserve"> </w:t>
      </w:r>
      <w:r>
        <w:rPr>
          <w:spacing w:val="-2"/>
        </w:rPr>
        <w:t>Days</w:t>
      </w:r>
      <w:r>
        <w:rPr>
          <w:spacing w:val="1"/>
        </w:rPr>
        <w:t xml:space="preserve"> </w:t>
      </w:r>
      <w:r>
        <w:rPr>
          <w:spacing w:val="-1"/>
        </w:rPr>
        <w:t>of</w:t>
      </w:r>
      <w:r>
        <w:rPr>
          <w:spacing w:val="2"/>
        </w:rPr>
        <w:t xml:space="preserve"> </w:t>
      </w:r>
      <w:r>
        <w:t xml:space="preserve">the </w:t>
      </w:r>
      <w:r>
        <w:rPr>
          <w:spacing w:val="-1"/>
        </w:rPr>
        <w:t>conclusion</w:t>
      </w:r>
      <w:r>
        <w:t xml:space="preserve"> </w:t>
      </w:r>
      <w:r>
        <w:rPr>
          <w:spacing w:val="-1"/>
        </w:rPr>
        <w:t>of</w:t>
      </w:r>
      <w:r>
        <w:rPr>
          <w:spacing w:val="4"/>
        </w:rPr>
        <w:t xml:space="preserve"> </w:t>
      </w:r>
      <w:r>
        <w:rPr>
          <w:spacing w:val="-2"/>
        </w:rPr>
        <w:t>each</w:t>
      </w:r>
      <w:r>
        <w:rPr>
          <w:spacing w:val="1"/>
        </w:rPr>
        <w:t xml:space="preserve"> </w:t>
      </w:r>
      <w:r>
        <w:rPr>
          <w:spacing w:val="-1"/>
        </w:rPr>
        <w:t>such</w:t>
      </w:r>
      <w:r>
        <w:rPr>
          <w:spacing w:val="1"/>
        </w:rPr>
        <w:t xml:space="preserve"> </w:t>
      </w:r>
      <w:r>
        <w:rPr>
          <w:spacing w:val="-1"/>
        </w:rPr>
        <w:t>review</w:t>
      </w:r>
      <w:r>
        <w:rPr>
          <w:spacing w:val="-3"/>
        </w:rPr>
        <w:t xml:space="preserve"> </w:t>
      </w:r>
      <w:r>
        <w:rPr>
          <w:spacing w:val="-1"/>
        </w:rPr>
        <w:t>of</w:t>
      </w:r>
      <w:r>
        <w:rPr>
          <w:spacing w:val="4"/>
        </w:rPr>
        <w:t xml:space="preserve"> </w:t>
      </w:r>
      <w:r>
        <w:t xml:space="preserve">the </w:t>
      </w:r>
      <w:r>
        <w:rPr>
          <w:spacing w:val="-2"/>
        </w:rPr>
        <w:t>BCDR</w:t>
      </w:r>
      <w:r>
        <w:t xml:space="preserve"> </w:t>
      </w:r>
      <w:r>
        <w:rPr>
          <w:spacing w:val="-2"/>
        </w:rPr>
        <w:t>Plan,</w:t>
      </w:r>
      <w:r>
        <w:rPr>
          <w:spacing w:val="62"/>
        </w:rPr>
        <w:t xml:space="preserve"> </w:t>
      </w:r>
      <w:r>
        <w:rPr>
          <w:spacing w:val="-2"/>
        </w:rPr>
        <w:t>provide</w:t>
      </w:r>
      <w:r>
        <w:t xml:space="preserve"> to the</w:t>
      </w:r>
      <w:r>
        <w:rPr>
          <w:spacing w:val="-2"/>
        </w:rPr>
        <w:t xml:space="preserve"> Customer</w:t>
      </w:r>
      <w:r>
        <w:rPr>
          <w:spacing w:val="-1"/>
        </w:rPr>
        <w:t xml:space="preserve"> </w:t>
      </w:r>
      <w:r>
        <w:t xml:space="preserve">a </w:t>
      </w:r>
      <w:r>
        <w:rPr>
          <w:spacing w:val="-1"/>
        </w:rPr>
        <w:t>report</w:t>
      </w:r>
      <w:r>
        <w:t xml:space="preserve"> (a</w:t>
      </w:r>
      <w:r>
        <w:rPr>
          <w:spacing w:val="-2"/>
        </w:rPr>
        <w:t xml:space="preserve"> </w:t>
      </w:r>
      <w:r>
        <w:rPr>
          <w:rFonts w:cs="Arial"/>
          <w:b/>
          <w:bCs/>
          <w:spacing w:val="-2"/>
        </w:rPr>
        <w:t>“Review</w:t>
      </w:r>
      <w:r>
        <w:rPr>
          <w:rFonts w:cs="Arial"/>
          <w:b/>
          <w:bCs/>
          <w:spacing w:val="4"/>
        </w:rPr>
        <w:t xml:space="preserve"> </w:t>
      </w:r>
      <w:r>
        <w:rPr>
          <w:rFonts w:cs="Arial"/>
          <w:b/>
          <w:bCs/>
          <w:spacing w:val="-1"/>
        </w:rPr>
        <w:t>Report”</w:t>
      </w:r>
      <w:r>
        <w:rPr>
          <w:spacing w:val="-1"/>
        </w:rPr>
        <w:t>) setting</w:t>
      </w:r>
      <w:r>
        <w:rPr>
          <w:spacing w:val="3"/>
        </w:rPr>
        <w:t xml:space="preserve"> </w:t>
      </w:r>
      <w:r>
        <w:rPr>
          <w:spacing w:val="-1"/>
        </w:rPr>
        <w:t>out:</w:t>
      </w:r>
    </w:p>
    <w:p w:rsidR="008918FA" w:rsidRDefault="008918FA" w:rsidP="008918FA">
      <w:pPr>
        <w:pStyle w:val="BodyText"/>
        <w:numPr>
          <w:ilvl w:val="2"/>
          <w:numId w:val="10"/>
        </w:numPr>
        <w:tabs>
          <w:tab w:val="left" w:pos="1886"/>
        </w:tabs>
        <w:spacing w:before="121"/>
        <w:ind w:left="1885" w:hanging="993"/>
      </w:pPr>
      <w:r>
        <w:t>the</w:t>
      </w:r>
      <w:r>
        <w:rPr>
          <w:spacing w:val="-2"/>
        </w:rPr>
        <w:t xml:space="preserve"> </w:t>
      </w:r>
      <w:r>
        <w:rPr>
          <w:spacing w:val="-1"/>
        </w:rPr>
        <w:t>findings</w:t>
      </w:r>
      <w:r>
        <w:rPr>
          <w:spacing w:val="-2"/>
        </w:rPr>
        <w:t xml:space="preserve"> of</w:t>
      </w:r>
      <w:r>
        <w:rPr>
          <w:spacing w:val="2"/>
        </w:rPr>
        <w:t xml:space="preserve"> </w:t>
      </w:r>
      <w:r>
        <w:t>the</w:t>
      </w:r>
      <w:r>
        <w:rPr>
          <w:spacing w:val="-2"/>
        </w:rPr>
        <w:t xml:space="preserve"> review;</w:t>
      </w:r>
    </w:p>
    <w:p w:rsidR="008918FA" w:rsidRDefault="008918FA" w:rsidP="008918FA">
      <w:pPr>
        <w:pStyle w:val="BodyText"/>
        <w:numPr>
          <w:ilvl w:val="2"/>
          <w:numId w:val="10"/>
        </w:numPr>
        <w:tabs>
          <w:tab w:val="left" w:pos="1886"/>
        </w:tabs>
        <w:spacing w:before="121"/>
        <w:ind w:left="1885" w:right="113" w:hanging="993"/>
        <w:jc w:val="both"/>
      </w:pPr>
      <w:r>
        <w:rPr>
          <w:spacing w:val="-1"/>
        </w:rPr>
        <w:t>any</w:t>
      </w:r>
      <w:r>
        <w:rPr>
          <w:spacing w:val="13"/>
        </w:rPr>
        <w:t xml:space="preserve"> </w:t>
      </w:r>
      <w:r>
        <w:rPr>
          <w:spacing w:val="-1"/>
        </w:rPr>
        <w:t>changes</w:t>
      </w:r>
      <w:r>
        <w:rPr>
          <w:spacing w:val="15"/>
        </w:rPr>
        <w:t xml:space="preserve"> </w:t>
      </w:r>
      <w:r>
        <w:rPr>
          <w:spacing w:val="-1"/>
        </w:rPr>
        <w:t>in</w:t>
      </w:r>
      <w:r>
        <w:rPr>
          <w:spacing w:val="15"/>
        </w:rPr>
        <w:t xml:space="preserve"> </w:t>
      </w:r>
      <w:r>
        <w:t>the</w:t>
      </w:r>
      <w:r>
        <w:rPr>
          <w:spacing w:val="15"/>
        </w:rPr>
        <w:t xml:space="preserve"> </w:t>
      </w:r>
      <w:r>
        <w:rPr>
          <w:spacing w:val="-1"/>
        </w:rPr>
        <w:t>risk</w:t>
      </w:r>
      <w:r>
        <w:rPr>
          <w:spacing w:val="18"/>
        </w:rPr>
        <w:t xml:space="preserve"> </w:t>
      </w:r>
      <w:r>
        <w:rPr>
          <w:spacing w:val="-1"/>
        </w:rPr>
        <w:t>profile</w:t>
      </w:r>
      <w:r>
        <w:rPr>
          <w:spacing w:val="15"/>
        </w:rPr>
        <w:t xml:space="preserve"> </w:t>
      </w:r>
      <w:r>
        <w:rPr>
          <w:spacing w:val="-1"/>
        </w:rPr>
        <w:t>associated</w:t>
      </w:r>
      <w:r>
        <w:rPr>
          <w:spacing w:val="15"/>
        </w:rPr>
        <w:t xml:space="preserve"> </w:t>
      </w:r>
      <w:r>
        <w:rPr>
          <w:spacing w:val="-2"/>
        </w:rPr>
        <w:t>with</w:t>
      </w:r>
      <w:r>
        <w:rPr>
          <w:spacing w:val="15"/>
        </w:rPr>
        <w:t xml:space="preserve"> </w:t>
      </w:r>
      <w:r>
        <w:t>the</w:t>
      </w:r>
      <w:r>
        <w:rPr>
          <w:spacing w:val="17"/>
        </w:rPr>
        <w:t xml:space="preserve"> </w:t>
      </w:r>
      <w:r>
        <w:rPr>
          <w:spacing w:val="-2"/>
        </w:rPr>
        <w:t>provision</w:t>
      </w:r>
      <w:r>
        <w:rPr>
          <w:spacing w:val="17"/>
        </w:rPr>
        <w:t xml:space="preserve"> </w:t>
      </w:r>
      <w:r>
        <w:rPr>
          <w:spacing w:val="-1"/>
        </w:rPr>
        <w:t>of</w:t>
      </w:r>
      <w:r>
        <w:rPr>
          <w:spacing w:val="19"/>
        </w:rPr>
        <w:t xml:space="preserve"> </w:t>
      </w:r>
      <w:r>
        <w:rPr>
          <w:spacing w:val="-1"/>
        </w:rPr>
        <w:t>Goods</w:t>
      </w:r>
      <w:r>
        <w:rPr>
          <w:spacing w:val="58"/>
        </w:rPr>
        <w:t xml:space="preserve"> </w:t>
      </w:r>
      <w:r>
        <w:rPr>
          <w:spacing w:val="-1"/>
        </w:rPr>
        <w:t>and/or Services;</w:t>
      </w:r>
      <w:r>
        <w:rPr>
          <w:spacing w:val="2"/>
        </w:rPr>
        <w:t xml:space="preserve"> </w:t>
      </w:r>
      <w:r>
        <w:rPr>
          <w:spacing w:val="-1"/>
        </w:rPr>
        <w:t>and</w:t>
      </w:r>
    </w:p>
    <w:p w:rsidR="008918FA" w:rsidRDefault="008918FA" w:rsidP="008918FA">
      <w:pPr>
        <w:pStyle w:val="BodyText"/>
        <w:numPr>
          <w:ilvl w:val="2"/>
          <w:numId w:val="10"/>
        </w:numPr>
        <w:tabs>
          <w:tab w:val="left" w:pos="1886"/>
        </w:tabs>
        <w:spacing w:before="116"/>
        <w:ind w:left="1885" w:right="112" w:hanging="993"/>
        <w:jc w:val="both"/>
      </w:pPr>
      <w:bookmarkStart w:id="442" w:name="_bookmark362"/>
      <w:bookmarkEnd w:id="442"/>
      <w:r>
        <w:t>the</w:t>
      </w:r>
      <w:r>
        <w:rPr>
          <w:spacing w:val="22"/>
        </w:rPr>
        <w:t xml:space="preserve"> </w:t>
      </w:r>
      <w:r>
        <w:rPr>
          <w:spacing w:val="-1"/>
        </w:rPr>
        <w:t>Supplier's</w:t>
      </w:r>
      <w:r>
        <w:rPr>
          <w:spacing w:val="20"/>
        </w:rPr>
        <w:t xml:space="preserve"> </w:t>
      </w:r>
      <w:r>
        <w:rPr>
          <w:spacing w:val="-2"/>
        </w:rPr>
        <w:t>proposals</w:t>
      </w:r>
      <w:r>
        <w:rPr>
          <w:spacing w:val="22"/>
        </w:rPr>
        <w:t xml:space="preserve"> </w:t>
      </w:r>
      <w:r>
        <w:t>(the</w:t>
      </w:r>
      <w:r>
        <w:rPr>
          <w:spacing w:val="21"/>
        </w:rPr>
        <w:t xml:space="preserve"> </w:t>
      </w:r>
      <w:r>
        <w:rPr>
          <w:rFonts w:cs="Arial"/>
          <w:b/>
          <w:bCs/>
          <w:spacing w:val="-1"/>
        </w:rPr>
        <w:t>“Supplier's</w:t>
      </w:r>
      <w:r>
        <w:rPr>
          <w:rFonts w:cs="Arial"/>
          <w:b/>
          <w:bCs/>
          <w:spacing w:val="22"/>
        </w:rPr>
        <w:t xml:space="preserve"> </w:t>
      </w:r>
      <w:r>
        <w:rPr>
          <w:rFonts w:cs="Arial"/>
          <w:b/>
          <w:bCs/>
          <w:spacing w:val="-1"/>
        </w:rPr>
        <w:t>Proposals”</w:t>
      </w:r>
      <w:r>
        <w:rPr>
          <w:spacing w:val="-1"/>
        </w:rPr>
        <w:t>)</w:t>
      </w:r>
      <w:r>
        <w:rPr>
          <w:spacing w:val="19"/>
        </w:rPr>
        <w:t xml:space="preserve"> </w:t>
      </w:r>
      <w:r>
        <w:t>for</w:t>
      </w:r>
      <w:r>
        <w:rPr>
          <w:spacing w:val="23"/>
        </w:rPr>
        <w:t xml:space="preserve"> </w:t>
      </w:r>
      <w:r>
        <w:rPr>
          <w:spacing w:val="-2"/>
        </w:rPr>
        <w:t>addressing</w:t>
      </w:r>
      <w:r>
        <w:rPr>
          <w:spacing w:val="49"/>
        </w:rPr>
        <w:t xml:space="preserve"> </w:t>
      </w:r>
      <w:r>
        <w:rPr>
          <w:spacing w:val="-1"/>
        </w:rPr>
        <w:t>any</w:t>
      </w:r>
      <w:r>
        <w:rPr>
          <w:spacing w:val="-2"/>
        </w:rPr>
        <w:t xml:space="preserve"> </w:t>
      </w:r>
      <w:r>
        <w:rPr>
          <w:spacing w:val="-1"/>
        </w:rPr>
        <w:t>changes</w:t>
      </w:r>
      <w:r>
        <w:rPr>
          <w:spacing w:val="1"/>
        </w:rPr>
        <w:t xml:space="preserve"> </w:t>
      </w:r>
      <w:r>
        <w:rPr>
          <w:spacing w:val="-1"/>
        </w:rPr>
        <w:t>in</w:t>
      </w:r>
      <w:r>
        <w:t xml:space="preserve"> the </w:t>
      </w:r>
      <w:r>
        <w:rPr>
          <w:spacing w:val="-1"/>
        </w:rPr>
        <w:t>risk</w:t>
      </w:r>
      <w:r>
        <w:rPr>
          <w:spacing w:val="4"/>
        </w:rPr>
        <w:t xml:space="preserve"> </w:t>
      </w:r>
      <w:r>
        <w:rPr>
          <w:spacing w:val="-1"/>
        </w:rPr>
        <w:t>profile</w:t>
      </w:r>
      <w:r>
        <w:t xml:space="preserve"> </w:t>
      </w:r>
      <w:r>
        <w:rPr>
          <w:spacing w:val="-1"/>
        </w:rPr>
        <w:t>and</w:t>
      </w:r>
      <w:r>
        <w:t xml:space="preserve"> </w:t>
      </w:r>
      <w:r>
        <w:rPr>
          <w:spacing w:val="-1"/>
        </w:rPr>
        <w:t>its</w:t>
      </w:r>
      <w:r>
        <w:rPr>
          <w:spacing w:val="1"/>
        </w:rPr>
        <w:t xml:space="preserve"> </w:t>
      </w:r>
      <w:r>
        <w:rPr>
          <w:spacing w:val="-1"/>
        </w:rPr>
        <w:t>proposals</w:t>
      </w:r>
      <w:r>
        <w:rPr>
          <w:spacing w:val="1"/>
        </w:rPr>
        <w:t xml:space="preserve"> </w:t>
      </w:r>
      <w:r>
        <w:t>for</w:t>
      </w:r>
      <w:r>
        <w:rPr>
          <w:spacing w:val="2"/>
        </w:rPr>
        <w:t xml:space="preserve"> </w:t>
      </w:r>
      <w:r>
        <w:rPr>
          <w:spacing w:val="-1"/>
        </w:rPr>
        <w:t>amendments</w:t>
      </w:r>
      <w:r>
        <w:rPr>
          <w:spacing w:val="1"/>
        </w:rPr>
        <w:t xml:space="preserve"> </w:t>
      </w:r>
      <w:r>
        <w:t>to</w:t>
      </w:r>
      <w:r>
        <w:rPr>
          <w:spacing w:val="-2"/>
        </w:rPr>
        <w:t xml:space="preserve"> </w:t>
      </w:r>
      <w:r>
        <w:rPr>
          <w:spacing w:val="-1"/>
        </w:rPr>
        <w:t>the</w:t>
      </w:r>
      <w:r>
        <w:rPr>
          <w:spacing w:val="44"/>
        </w:rPr>
        <w:t xml:space="preserve"> </w:t>
      </w:r>
      <w:r>
        <w:rPr>
          <w:spacing w:val="-2"/>
        </w:rPr>
        <w:t>BCDR</w:t>
      </w:r>
      <w:r>
        <w:rPr>
          <w:spacing w:val="12"/>
        </w:rPr>
        <w:t xml:space="preserve"> </w:t>
      </w:r>
      <w:r>
        <w:rPr>
          <w:spacing w:val="-1"/>
        </w:rPr>
        <w:t>Plan</w:t>
      </w:r>
      <w:r>
        <w:rPr>
          <w:spacing w:val="12"/>
        </w:rPr>
        <w:t xml:space="preserve"> </w:t>
      </w:r>
      <w:r>
        <w:rPr>
          <w:spacing w:val="-1"/>
        </w:rPr>
        <w:t>following</w:t>
      </w:r>
      <w:r>
        <w:rPr>
          <w:spacing w:val="15"/>
        </w:rPr>
        <w:t xml:space="preserve"> </w:t>
      </w:r>
      <w:r>
        <w:t>the</w:t>
      </w:r>
      <w:r>
        <w:rPr>
          <w:spacing w:val="12"/>
        </w:rPr>
        <w:t xml:space="preserve"> </w:t>
      </w:r>
      <w:r>
        <w:rPr>
          <w:spacing w:val="-1"/>
        </w:rPr>
        <w:t>review</w:t>
      </w:r>
      <w:r>
        <w:rPr>
          <w:spacing w:val="9"/>
        </w:rPr>
        <w:t xml:space="preserve"> </w:t>
      </w:r>
      <w:r>
        <w:rPr>
          <w:spacing w:val="-1"/>
        </w:rPr>
        <w:t>detailing</w:t>
      </w:r>
      <w:r>
        <w:rPr>
          <w:spacing w:val="15"/>
        </w:rPr>
        <w:t xml:space="preserve"> </w:t>
      </w:r>
      <w:r>
        <w:t>the</w:t>
      </w:r>
      <w:r>
        <w:rPr>
          <w:spacing w:val="12"/>
        </w:rPr>
        <w:t xml:space="preserve"> </w:t>
      </w:r>
      <w:r>
        <w:rPr>
          <w:spacing w:val="-2"/>
        </w:rPr>
        <w:t>impact</w:t>
      </w:r>
      <w:r>
        <w:rPr>
          <w:spacing w:val="14"/>
        </w:rPr>
        <w:t xml:space="preserve"> </w:t>
      </w:r>
      <w:r>
        <w:rPr>
          <w:spacing w:val="-2"/>
        </w:rPr>
        <w:t>(if</w:t>
      </w:r>
      <w:r>
        <w:rPr>
          <w:spacing w:val="16"/>
        </w:rPr>
        <w:t xml:space="preserve"> </w:t>
      </w:r>
      <w:r>
        <w:rPr>
          <w:spacing w:val="-1"/>
        </w:rPr>
        <w:t>any</w:t>
      </w:r>
      <w:r>
        <w:rPr>
          <w:spacing w:val="10"/>
        </w:rPr>
        <w:t xml:space="preserve"> </w:t>
      </w:r>
      <w:r>
        <w:rPr>
          <w:spacing w:val="-1"/>
        </w:rPr>
        <w:t>and</w:t>
      </w:r>
      <w:r>
        <w:rPr>
          <w:spacing w:val="12"/>
        </w:rPr>
        <w:t xml:space="preserve"> </w:t>
      </w:r>
      <w:r>
        <w:t>to</w:t>
      </w:r>
      <w:r>
        <w:rPr>
          <w:spacing w:val="12"/>
        </w:rPr>
        <w:t xml:space="preserve"> </w:t>
      </w:r>
      <w:r>
        <w:rPr>
          <w:spacing w:val="-1"/>
        </w:rPr>
        <w:t>the</w:t>
      </w:r>
      <w:r>
        <w:rPr>
          <w:spacing w:val="43"/>
        </w:rPr>
        <w:t xml:space="preserve"> </w:t>
      </w:r>
      <w:r>
        <w:rPr>
          <w:spacing w:val="-1"/>
        </w:rPr>
        <w:t>extent</w:t>
      </w:r>
      <w:r>
        <w:rPr>
          <w:spacing w:val="2"/>
        </w:rPr>
        <w:t xml:space="preserve"> </w:t>
      </w:r>
      <w:r>
        <w:rPr>
          <w:spacing w:val="-1"/>
        </w:rPr>
        <w:t>that</w:t>
      </w:r>
      <w:r>
        <w:rPr>
          <w:spacing w:val="2"/>
        </w:rPr>
        <w:t xml:space="preserve"> </w:t>
      </w:r>
      <w:r>
        <w:t xml:space="preserve">the </w:t>
      </w:r>
      <w:r>
        <w:rPr>
          <w:spacing w:val="-2"/>
        </w:rPr>
        <w:t>Supplier</w:t>
      </w:r>
      <w:r>
        <w:rPr>
          <w:spacing w:val="2"/>
        </w:rPr>
        <w:t xml:space="preserve"> </w:t>
      </w:r>
      <w:r>
        <w:rPr>
          <w:spacing w:val="-1"/>
        </w:rPr>
        <w:t>can</w:t>
      </w:r>
      <w:r>
        <w:t xml:space="preserve"> </w:t>
      </w:r>
      <w:r>
        <w:rPr>
          <w:spacing w:val="-1"/>
        </w:rPr>
        <w:t>reasonably</w:t>
      </w:r>
      <w:r>
        <w:rPr>
          <w:spacing w:val="-2"/>
        </w:rPr>
        <w:t xml:space="preserve"> </w:t>
      </w:r>
      <w:r>
        <w:rPr>
          <w:spacing w:val="-1"/>
        </w:rPr>
        <w:t>be</w:t>
      </w:r>
      <w:r>
        <w:t xml:space="preserve"> </w:t>
      </w:r>
      <w:r>
        <w:rPr>
          <w:spacing w:val="-1"/>
        </w:rPr>
        <w:t>expected</w:t>
      </w:r>
      <w:r>
        <w:t xml:space="preserve"> to </w:t>
      </w:r>
      <w:r>
        <w:rPr>
          <w:spacing w:val="-1"/>
        </w:rPr>
        <w:t>be</w:t>
      </w:r>
      <w:r>
        <w:t xml:space="preserve"> </w:t>
      </w:r>
      <w:r>
        <w:rPr>
          <w:spacing w:val="-1"/>
        </w:rPr>
        <w:t>aware</w:t>
      </w:r>
      <w:r>
        <w:t xml:space="preserve"> </w:t>
      </w:r>
      <w:r>
        <w:rPr>
          <w:spacing w:val="-1"/>
        </w:rPr>
        <w:t>of</w:t>
      </w:r>
      <w:r>
        <w:rPr>
          <w:spacing w:val="4"/>
        </w:rPr>
        <w:t xml:space="preserve"> </w:t>
      </w:r>
      <w:r>
        <w:rPr>
          <w:spacing w:val="-1"/>
        </w:rPr>
        <w:t>the</w:t>
      </w:r>
      <w:r>
        <w:rPr>
          <w:spacing w:val="57"/>
        </w:rPr>
        <w:t xml:space="preserve"> </w:t>
      </w:r>
      <w:r>
        <w:rPr>
          <w:spacing w:val="-1"/>
        </w:rPr>
        <w:t>same)</w:t>
      </w:r>
      <w:r>
        <w:rPr>
          <w:spacing w:val="42"/>
        </w:rPr>
        <w:t xml:space="preserve"> </w:t>
      </w:r>
      <w:r>
        <w:rPr>
          <w:spacing w:val="-1"/>
        </w:rPr>
        <w:t>that</w:t>
      </w:r>
      <w:r>
        <w:rPr>
          <w:spacing w:val="45"/>
        </w:rPr>
        <w:t xml:space="preserve"> </w:t>
      </w:r>
      <w:r>
        <w:t>the</w:t>
      </w:r>
      <w:r>
        <w:rPr>
          <w:spacing w:val="43"/>
        </w:rPr>
        <w:t xml:space="preserve"> </w:t>
      </w:r>
      <w:r>
        <w:rPr>
          <w:spacing w:val="-1"/>
        </w:rPr>
        <w:t>implementation</w:t>
      </w:r>
      <w:r>
        <w:rPr>
          <w:spacing w:val="43"/>
        </w:rPr>
        <w:t xml:space="preserve"> </w:t>
      </w:r>
      <w:r>
        <w:rPr>
          <w:spacing w:val="-2"/>
        </w:rPr>
        <w:t>of</w:t>
      </w:r>
      <w:r>
        <w:rPr>
          <w:spacing w:val="45"/>
        </w:rPr>
        <w:t xml:space="preserve"> </w:t>
      </w:r>
      <w:r>
        <w:rPr>
          <w:spacing w:val="-1"/>
        </w:rPr>
        <w:t>such</w:t>
      </w:r>
      <w:r>
        <w:rPr>
          <w:spacing w:val="44"/>
        </w:rPr>
        <w:t xml:space="preserve"> </w:t>
      </w:r>
      <w:r>
        <w:rPr>
          <w:spacing w:val="-2"/>
        </w:rPr>
        <w:t>proposals</w:t>
      </w:r>
      <w:r>
        <w:rPr>
          <w:spacing w:val="45"/>
        </w:rPr>
        <w:t xml:space="preserve"> </w:t>
      </w:r>
      <w:r>
        <w:rPr>
          <w:spacing w:val="-1"/>
        </w:rPr>
        <w:t>may</w:t>
      </w:r>
      <w:r>
        <w:rPr>
          <w:spacing w:val="41"/>
        </w:rPr>
        <w:t xml:space="preserve"> </w:t>
      </w:r>
      <w:r>
        <w:rPr>
          <w:spacing w:val="-2"/>
        </w:rPr>
        <w:t>have</w:t>
      </w:r>
      <w:r>
        <w:rPr>
          <w:spacing w:val="43"/>
        </w:rPr>
        <w:t xml:space="preserve"> </w:t>
      </w:r>
      <w:r>
        <w:rPr>
          <w:spacing w:val="-1"/>
        </w:rPr>
        <w:t>on</w:t>
      </w:r>
      <w:r>
        <w:rPr>
          <w:spacing w:val="43"/>
        </w:rPr>
        <w:t xml:space="preserve"> </w:t>
      </w:r>
      <w:r>
        <w:t>any</w:t>
      </w:r>
      <w:r>
        <w:rPr>
          <w:spacing w:val="41"/>
        </w:rPr>
        <w:t xml:space="preserve"> </w:t>
      </w:r>
      <w:r>
        <w:rPr>
          <w:spacing w:val="-1"/>
        </w:rPr>
        <w:t>goods,</w:t>
      </w:r>
      <w:r>
        <w:rPr>
          <w:spacing w:val="2"/>
        </w:rPr>
        <w:t xml:space="preserve"> </w:t>
      </w:r>
      <w:r>
        <w:rPr>
          <w:spacing w:val="-2"/>
        </w:rPr>
        <w:t>services</w:t>
      </w:r>
      <w:r>
        <w:rPr>
          <w:spacing w:val="1"/>
        </w:rPr>
        <w:t xml:space="preserve"> </w:t>
      </w:r>
      <w:r>
        <w:rPr>
          <w:spacing w:val="-1"/>
        </w:rPr>
        <w:t>or systems</w:t>
      </w:r>
      <w:r>
        <w:rPr>
          <w:spacing w:val="1"/>
        </w:rPr>
        <w:t xml:space="preserve"> </w:t>
      </w:r>
      <w:r>
        <w:rPr>
          <w:spacing w:val="-2"/>
        </w:rPr>
        <w:t>provided</w:t>
      </w:r>
      <w:r>
        <w:t xml:space="preserve"> </w:t>
      </w:r>
      <w:r>
        <w:rPr>
          <w:spacing w:val="-1"/>
        </w:rPr>
        <w:t>by</w:t>
      </w:r>
      <w:r>
        <w:rPr>
          <w:spacing w:val="-2"/>
        </w:rPr>
        <w:t xml:space="preserve"> </w:t>
      </w:r>
      <w:r>
        <w:t xml:space="preserve">a </w:t>
      </w:r>
      <w:r>
        <w:rPr>
          <w:spacing w:val="-1"/>
        </w:rPr>
        <w:t>third</w:t>
      </w:r>
      <w:r>
        <w:rPr>
          <w:spacing w:val="-2"/>
        </w:rPr>
        <w:t xml:space="preserve"> </w:t>
      </w:r>
      <w:r>
        <w:rPr>
          <w:spacing w:val="-1"/>
        </w:rPr>
        <w:t>party.</w:t>
      </w:r>
    </w:p>
    <w:p w:rsidR="008918FA" w:rsidRDefault="008918FA" w:rsidP="008918FA">
      <w:pPr>
        <w:pStyle w:val="BodyText"/>
        <w:numPr>
          <w:ilvl w:val="1"/>
          <w:numId w:val="10"/>
        </w:numPr>
        <w:tabs>
          <w:tab w:val="left" w:pos="689"/>
        </w:tabs>
        <w:spacing w:before="121"/>
        <w:ind w:left="688" w:right="116"/>
        <w:jc w:val="both"/>
      </w:pPr>
      <w:bookmarkStart w:id="443" w:name="_bookmark363"/>
      <w:bookmarkEnd w:id="443"/>
      <w:r>
        <w:rPr>
          <w:spacing w:val="-2"/>
        </w:rPr>
        <w:t>Following</w:t>
      </w:r>
      <w:r>
        <w:rPr>
          <w:spacing w:val="5"/>
        </w:rPr>
        <w:t xml:space="preserve"> </w:t>
      </w:r>
      <w:r>
        <w:rPr>
          <w:spacing w:val="-1"/>
        </w:rPr>
        <w:t>receipt</w:t>
      </w:r>
      <w:r>
        <w:rPr>
          <w:spacing w:val="4"/>
        </w:rPr>
        <w:t xml:space="preserve"> </w:t>
      </w:r>
      <w:r>
        <w:rPr>
          <w:spacing w:val="-1"/>
        </w:rPr>
        <w:t>of</w:t>
      </w:r>
      <w:r>
        <w:rPr>
          <w:spacing w:val="6"/>
        </w:rPr>
        <w:t xml:space="preserve"> </w:t>
      </w:r>
      <w:r>
        <w:t xml:space="preserve">the </w:t>
      </w:r>
      <w:r>
        <w:rPr>
          <w:spacing w:val="-1"/>
        </w:rPr>
        <w:t>Review</w:t>
      </w:r>
      <w:r>
        <w:rPr>
          <w:spacing w:val="2"/>
        </w:rPr>
        <w:t xml:space="preserve"> </w:t>
      </w:r>
      <w:r>
        <w:rPr>
          <w:spacing w:val="-1"/>
        </w:rPr>
        <w:t>Report</w:t>
      </w:r>
      <w:r>
        <w:rPr>
          <w:spacing w:val="4"/>
        </w:rPr>
        <w:t xml:space="preserve"> </w:t>
      </w:r>
      <w:r>
        <w:rPr>
          <w:spacing w:val="-1"/>
        </w:rPr>
        <w:t>and</w:t>
      </w:r>
      <w:r>
        <w:rPr>
          <w:spacing w:val="3"/>
        </w:rPr>
        <w:t xml:space="preserve"> </w:t>
      </w:r>
      <w:r>
        <w:t>the</w:t>
      </w:r>
      <w:r>
        <w:rPr>
          <w:spacing w:val="5"/>
        </w:rPr>
        <w:t xml:space="preserve"> </w:t>
      </w:r>
      <w:r>
        <w:rPr>
          <w:spacing w:val="-2"/>
        </w:rPr>
        <w:t>Supplier’s</w:t>
      </w:r>
      <w:r>
        <w:rPr>
          <w:spacing w:val="3"/>
        </w:rPr>
        <w:t xml:space="preserve"> </w:t>
      </w:r>
      <w:r>
        <w:rPr>
          <w:spacing w:val="-1"/>
        </w:rPr>
        <w:t>Proposals,</w:t>
      </w:r>
      <w:r>
        <w:rPr>
          <w:spacing w:val="5"/>
        </w:rPr>
        <w:t xml:space="preserve"> </w:t>
      </w:r>
      <w:r>
        <w:t>the</w:t>
      </w:r>
      <w:r>
        <w:rPr>
          <w:spacing w:val="3"/>
        </w:rPr>
        <w:t xml:space="preserve"> </w:t>
      </w:r>
      <w:r>
        <w:rPr>
          <w:spacing w:val="-1"/>
        </w:rPr>
        <w:t>Customer</w:t>
      </w:r>
      <w:r>
        <w:rPr>
          <w:spacing w:val="49"/>
        </w:rPr>
        <w:t xml:space="preserve"> </w:t>
      </w:r>
      <w:r>
        <w:rPr>
          <w:spacing w:val="-2"/>
        </w:rPr>
        <w:t>shall:</w:t>
      </w:r>
    </w:p>
    <w:p w:rsidR="008918FA" w:rsidRDefault="008918FA" w:rsidP="008918FA">
      <w:pPr>
        <w:pStyle w:val="BodyText"/>
        <w:numPr>
          <w:ilvl w:val="2"/>
          <w:numId w:val="10"/>
        </w:numPr>
        <w:tabs>
          <w:tab w:val="left" w:pos="1887"/>
        </w:tabs>
        <w:spacing w:before="121"/>
        <w:ind w:left="1886" w:right="117"/>
        <w:jc w:val="both"/>
      </w:pPr>
      <w:r>
        <w:rPr>
          <w:spacing w:val="-1"/>
        </w:rPr>
        <w:t>review</w:t>
      </w:r>
      <w:r>
        <w:rPr>
          <w:spacing w:val="34"/>
        </w:rPr>
        <w:t xml:space="preserve"> </w:t>
      </w:r>
      <w:r>
        <w:rPr>
          <w:spacing w:val="-1"/>
        </w:rPr>
        <w:t>and</w:t>
      </w:r>
      <w:r>
        <w:rPr>
          <w:spacing w:val="37"/>
        </w:rPr>
        <w:t xml:space="preserve"> </w:t>
      </w:r>
      <w:r>
        <w:rPr>
          <w:spacing w:val="-1"/>
        </w:rPr>
        <w:t>comment</w:t>
      </w:r>
      <w:r>
        <w:rPr>
          <w:spacing w:val="34"/>
        </w:rPr>
        <w:t xml:space="preserve"> </w:t>
      </w:r>
      <w:r>
        <w:rPr>
          <w:spacing w:val="-1"/>
        </w:rPr>
        <w:t>on</w:t>
      </w:r>
      <w:r>
        <w:rPr>
          <w:spacing w:val="37"/>
        </w:rPr>
        <w:t xml:space="preserve"> </w:t>
      </w:r>
      <w:r>
        <w:t>the</w:t>
      </w:r>
      <w:r>
        <w:rPr>
          <w:spacing w:val="37"/>
        </w:rPr>
        <w:t xml:space="preserve"> </w:t>
      </w:r>
      <w:r>
        <w:rPr>
          <w:spacing w:val="-1"/>
        </w:rPr>
        <w:t>Review</w:t>
      </w:r>
      <w:r>
        <w:rPr>
          <w:spacing w:val="34"/>
        </w:rPr>
        <w:t xml:space="preserve"> </w:t>
      </w:r>
      <w:r>
        <w:rPr>
          <w:spacing w:val="-1"/>
        </w:rPr>
        <w:t>Report</w:t>
      </w:r>
      <w:r>
        <w:rPr>
          <w:spacing w:val="40"/>
        </w:rPr>
        <w:t xml:space="preserve"> </w:t>
      </w:r>
      <w:r>
        <w:rPr>
          <w:spacing w:val="-1"/>
        </w:rPr>
        <w:t>and</w:t>
      </w:r>
      <w:r>
        <w:rPr>
          <w:spacing w:val="37"/>
        </w:rPr>
        <w:t xml:space="preserve"> </w:t>
      </w:r>
      <w:r>
        <w:t>the</w:t>
      </w:r>
      <w:r>
        <w:rPr>
          <w:spacing w:val="37"/>
        </w:rPr>
        <w:t xml:space="preserve"> </w:t>
      </w:r>
      <w:r>
        <w:rPr>
          <w:spacing w:val="-2"/>
        </w:rPr>
        <w:t>Supplier’s</w:t>
      </w:r>
      <w:r>
        <w:rPr>
          <w:spacing w:val="39"/>
        </w:rPr>
        <w:t xml:space="preserve"> </w:t>
      </w:r>
      <w:r>
        <w:rPr>
          <w:spacing w:val="-1"/>
        </w:rPr>
        <w:t>Proposals</w:t>
      </w:r>
      <w:r>
        <w:rPr>
          <w:spacing w:val="1"/>
        </w:rPr>
        <w:t xml:space="preserve"> </w:t>
      </w:r>
      <w:r>
        <w:rPr>
          <w:spacing w:val="-1"/>
        </w:rPr>
        <w:t>as</w:t>
      </w:r>
      <w:r>
        <w:rPr>
          <w:spacing w:val="-2"/>
        </w:rPr>
        <w:t xml:space="preserve"> </w:t>
      </w:r>
      <w:r>
        <w:rPr>
          <w:spacing w:val="-1"/>
        </w:rPr>
        <w:t>soon</w:t>
      </w:r>
      <w:r>
        <w:t xml:space="preserve"> </w:t>
      </w:r>
      <w:r>
        <w:rPr>
          <w:spacing w:val="-2"/>
        </w:rPr>
        <w:t xml:space="preserve">as </w:t>
      </w:r>
      <w:r>
        <w:rPr>
          <w:spacing w:val="-1"/>
        </w:rPr>
        <w:t>reasonably</w:t>
      </w:r>
      <w:r>
        <w:rPr>
          <w:spacing w:val="-2"/>
        </w:rPr>
        <w:t xml:space="preserve"> </w:t>
      </w:r>
      <w:r>
        <w:rPr>
          <w:spacing w:val="-1"/>
        </w:rPr>
        <w:t>practicable;</w:t>
      </w:r>
      <w:r>
        <w:rPr>
          <w:spacing w:val="2"/>
        </w:rPr>
        <w:t xml:space="preserve"> </w:t>
      </w:r>
      <w:r>
        <w:rPr>
          <w:spacing w:val="-2"/>
        </w:rPr>
        <w:t>and</w:t>
      </w:r>
    </w:p>
    <w:p w:rsidR="008918FA" w:rsidRDefault="008918FA" w:rsidP="008918FA">
      <w:pPr>
        <w:pStyle w:val="BodyText"/>
        <w:numPr>
          <w:ilvl w:val="2"/>
          <w:numId w:val="10"/>
        </w:numPr>
        <w:tabs>
          <w:tab w:val="left" w:pos="1887"/>
        </w:tabs>
        <w:ind w:left="1886" w:right="115"/>
        <w:jc w:val="both"/>
      </w:pPr>
      <w:r>
        <w:rPr>
          <w:spacing w:val="-1"/>
        </w:rPr>
        <w:t>notify</w:t>
      </w:r>
      <w:r>
        <w:rPr>
          <w:spacing w:val="46"/>
        </w:rPr>
        <w:t xml:space="preserve"> </w:t>
      </w:r>
      <w:r>
        <w:t>the</w:t>
      </w:r>
      <w:r>
        <w:rPr>
          <w:spacing w:val="48"/>
        </w:rPr>
        <w:t xml:space="preserve"> </w:t>
      </w:r>
      <w:r>
        <w:rPr>
          <w:spacing w:val="-2"/>
        </w:rPr>
        <w:t>Supplier</w:t>
      </w:r>
      <w:r>
        <w:rPr>
          <w:spacing w:val="49"/>
        </w:rPr>
        <w:t xml:space="preserve"> </w:t>
      </w:r>
      <w:r>
        <w:rPr>
          <w:spacing w:val="-1"/>
        </w:rPr>
        <w:t>in</w:t>
      </w:r>
      <w:r>
        <w:rPr>
          <w:spacing w:val="53"/>
        </w:rPr>
        <w:t xml:space="preserve"> </w:t>
      </w:r>
      <w:r>
        <w:rPr>
          <w:spacing w:val="-1"/>
        </w:rPr>
        <w:t>writing</w:t>
      </w:r>
      <w:r>
        <w:rPr>
          <w:spacing w:val="51"/>
        </w:rPr>
        <w:t xml:space="preserve"> </w:t>
      </w:r>
      <w:r>
        <w:rPr>
          <w:spacing w:val="-1"/>
        </w:rPr>
        <w:t>that</w:t>
      </w:r>
      <w:r>
        <w:rPr>
          <w:spacing w:val="50"/>
        </w:rPr>
        <w:t xml:space="preserve"> </w:t>
      </w:r>
      <w:r>
        <w:rPr>
          <w:spacing w:val="-1"/>
        </w:rPr>
        <w:t>it</w:t>
      </w:r>
      <w:r>
        <w:rPr>
          <w:spacing w:val="51"/>
        </w:rPr>
        <w:t xml:space="preserve"> </w:t>
      </w:r>
      <w:r>
        <w:rPr>
          <w:spacing w:val="-1"/>
        </w:rPr>
        <w:t>approves</w:t>
      </w:r>
      <w:r>
        <w:rPr>
          <w:spacing w:val="49"/>
        </w:rPr>
        <w:t xml:space="preserve"> </w:t>
      </w:r>
      <w:r>
        <w:rPr>
          <w:spacing w:val="-1"/>
        </w:rPr>
        <w:t>or</w:t>
      </w:r>
      <w:r>
        <w:rPr>
          <w:spacing w:val="49"/>
        </w:rPr>
        <w:t xml:space="preserve"> </w:t>
      </w:r>
      <w:r>
        <w:rPr>
          <w:spacing w:val="-1"/>
        </w:rPr>
        <w:t>rejects</w:t>
      </w:r>
      <w:r>
        <w:rPr>
          <w:spacing w:val="49"/>
        </w:rPr>
        <w:t xml:space="preserve"> </w:t>
      </w:r>
      <w:r>
        <w:t>the</w:t>
      </w:r>
      <w:r>
        <w:rPr>
          <w:spacing w:val="48"/>
        </w:rPr>
        <w:t xml:space="preserve"> </w:t>
      </w:r>
      <w:r>
        <w:rPr>
          <w:spacing w:val="-1"/>
        </w:rPr>
        <w:t>Review</w:t>
      </w:r>
      <w:r>
        <w:rPr>
          <w:spacing w:val="37"/>
        </w:rPr>
        <w:t xml:space="preserve"> </w:t>
      </w:r>
      <w:r>
        <w:rPr>
          <w:spacing w:val="-1"/>
        </w:rPr>
        <w:t>Report</w:t>
      </w:r>
      <w:r>
        <w:rPr>
          <w:spacing w:val="11"/>
        </w:rPr>
        <w:t xml:space="preserve"> </w:t>
      </w:r>
      <w:r>
        <w:rPr>
          <w:spacing w:val="-1"/>
        </w:rPr>
        <w:t>and</w:t>
      </w:r>
      <w:r>
        <w:rPr>
          <w:spacing w:val="7"/>
        </w:rPr>
        <w:t xml:space="preserve"> </w:t>
      </w:r>
      <w:r>
        <w:t>the</w:t>
      </w:r>
      <w:r>
        <w:rPr>
          <w:spacing w:val="7"/>
        </w:rPr>
        <w:t xml:space="preserve"> </w:t>
      </w:r>
      <w:r>
        <w:rPr>
          <w:spacing w:val="-2"/>
        </w:rPr>
        <w:t>Supplier’s</w:t>
      </w:r>
      <w:r>
        <w:rPr>
          <w:spacing w:val="10"/>
        </w:rPr>
        <w:t xml:space="preserve"> </w:t>
      </w:r>
      <w:r>
        <w:rPr>
          <w:spacing w:val="-1"/>
        </w:rPr>
        <w:t>Proposals</w:t>
      </w:r>
      <w:r>
        <w:rPr>
          <w:spacing w:val="10"/>
        </w:rPr>
        <w:t xml:space="preserve"> </w:t>
      </w:r>
      <w:r>
        <w:rPr>
          <w:spacing w:val="-1"/>
        </w:rPr>
        <w:t>no</w:t>
      </w:r>
      <w:r>
        <w:rPr>
          <w:spacing w:val="7"/>
        </w:rPr>
        <w:t xml:space="preserve"> </w:t>
      </w:r>
      <w:r>
        <w:rPr>
          <w:spacing w:val="-1"/>
        </w:rPr>
        <w:t>later</w:t>
      </w:r>
      <w:r>
        <w:rPr>
          <w:spacing w:val="9"/>
        </w:rPr>
        <w:t xml:space="preserve"> </w:t>
      </w:r>
      <w:r>
        <w:rPr>
          <w:spacing w:val="-1"/>
        </w:rPr>
        <w:t>than</w:t>
      </w:r>
      <w:r>
        <w:rPr>
          <w:spacing w:val="12"/>
        </w:rPr>
        <w:t xml:space="preserve"> </w:t>
      </w:r>
      <w:r>
        <w:rPr>
          <w:spacing w:val="-1"/>
        </w:rPr>
        <w:t>twenty</w:t>
      </w:r>
      <w:r>
        <w:rPr>
          <w:spacing w:val="8"/>
        </w:rPr>
        <w:t xml:space="preserve"> </w:t>
      </w:r>
      <w:r>
        <w:rPr>
          <w:spacing w:val="-1"/>
        </w:rPr>
        <w:t>(20)</w:t>
      </w:r>
      <w:r>
        <w:rPr>
          <w:spacing w:val="4"/>
        </w:rPr>
        <w:t xml:space="preserve"> </w:t>
      </w:r>
      <w:r>
        <w:rPr>
          <w:spacing w:val="-1"/>
        </w:rPr>
        <w:t>Working</w:t>
      </w:r>
      <w:r>
        <w:rPr>
          <w:spacing w:val="48"/>
        </w:rPr>
        <w:t xml:space="preserve"> </w:t>
      </w:r>
      <w:r>
        <w:rPr>
          <w:spacing w:val="-2"/>
        </w:rPr>
        <w:t>Days</w:t>
      </w:r>
      <w:r>
        <w:rPr>
          <w:spacing w:val="1"/>
        </w:rPr>
        <w:t xml:space="preserve"> </w:t>
      </w:r>
      <w:r>
        <w:t>after</w:t>
      </w:r>
      <w:r>
        <w:rPr>
          <w:spacing w:val="-1"/>
        </w:rPr>
        <w:t xml:space="preserve"> </w:t>
      </w:r>
      <w:r>
        <w:t>the</w:t>
      </w:r>
      <w:r>
        <w:rPr>
          <w:spacing w:val="-2"/>
        </w:rPr>
        <w:t xml:space="preserve"> </w:t>
      </w:r>
      <w:r>
        <w:rPr>
          <w:spacing w:val="-1"/>
        </w:rPr>
        <w:t>date</w:t>
      </w:r>
      <w:r>
        <w:rPr>
          <w:spacing w:val="-2"/>
        </w:rPr>
        <w:t xml:space="preserve"> </w:t>
      </w:r>
      <w:r>
        <w:rPr>
          <w:spacing w:val="-1"/>
        </w:rPr>
        <w:t>on</w:t>
      </w:r>
      <w:r>
        <w:rPr>
          <w:spacing w:val="-2"/>
        </w:rPr>
        <w:t xml:space="preserve"> which</w:t>
      </w:r>
      <w:r>
        <w:rPr>
          <w:spacing w:val="1"/>
        </w:rPr>
        <w:t xml:space="preserve"> </w:t>
      </w:r>
      <w:r>
        <w:rPr>
          <w:spacing w:val="-1"/>
        </w:rPr>
        <w:t>they</w:t>
      </w:r>
      <w:r>
        <w:rPr>
          <w:spacing w:val="-2"/>
        </w:rPr>
        <w:t xml:space="preserve"> </w:t>
      </w:r>
      <w:r>
        <w:rPr>
          <w:spacing w:val="-1"/>
        </w:rPr>
        <w:t>are</w:t>
      </w:r>
      <w:r>
        <w:rPr>
          <w:spacing w:val="-4"/>
        </w:rPr>
        <w:t xml:space="preserve"> </w:t>
      </w:r>
      <w:r>
        <w:rPr>
          <w:spacing w:val="-1"/>
        </w:rPr>
        <w:t>first</w:t>
      </w:r>
      <w:r>
        <w:t xml:space="preserve"> </w:t>
      </w:r>
      <w:r>
        <w:rPr>
          <w:spacing w:val="-1"/>
        </w:rPr>
        <w:t>delivered</w:t>
      </w:r>
      <w:r>
        <w:t xml:space="preserve"> to</w:t>
      </w:r>
      <w:r>
        <w:rPr>
          <w:spacing w:val="-2"/>
        </w:rPr>
        <w:t xml:space="preserve"> </w:t>
      </w:r>
      <w:r>
        <w:t>the</w:t>
      </w:r>
      <w:r>
        <w:rPr>
          <w:spacing w:val="-2"/>
        </w:rPr>
        <w:t xml:space="preserve"> </w:t>
      </w:r>
      <w:r>
        <w:rPr>
          <w:spacing w:val="-1"/>
        </w:rPr>
        <w:t>Customer.</w:t>
      </w:r>
    </w:p>
    <w:p w:rsidR="008918FA" w:rsidRDefault="008918FA" w:rsidP="008918FA">
      <w:pPr>
        <w:pStyle w:val="BodyText"/>
        <w:numPr>
          <w:ilvl w:val="1"/>
          <w:numId w:val="10"/>
        </w:numPr>
        <w:tabs>
          <w:tab w:val="left" w:pos="689"/>
        </w:tabs>
        <w:spacing w:before="121"/>
        <w:ind w:left="688"/>
      </w:pPr>
      <w:bookmarkStart w:id="444" w:name="_bookmark364"/>
      <w:bookmarkEnd w:id="444"/>
      <w:r>
        <w:rPr>
          <w:spacing w:val="-1"/>
        </w:rPr>
        <w:t>If</w:t>
      </w:r>
      <w:r>
        <w:rPr>
          <w:spacing w:val="2"/>
        </w:rPr>
        <w:t xml:space="preserve"> </w:t>
      </w:r>
      <w:r>
        <w:t>the</w:t>
      </w:r>
      <w:r>
        <w:rPr>
          <w:spacing w:val="-2"/>
        </w:rPr>
        <w:t xml:space="preserve"> </w:t>
      </w:r>
      <w:r>
        <w:rPr>
          <w:spacing w:val="-1"/>
        </w:rPr>
        <w:t>Customer rejects</w:t>
      </w:r>
      <w:r>
        <w:rPr>
          <w:spacing w:val="-2"/>
        </w:rPr>
        <w:t xml:space="preserve"> </w:t>
      </w:r>
      <w:r>
        <w:rPr>
          <w:spacing w:val="-1"/>
        </w:rPr>
        <w:t>the</w:t>
      </w:r>
      <w:r>
        <w:t xml:space="preserve"> </w:t>
      </w:r>
      <w:r>
        <w:rPr>
          <w:spacing w:val="-1"/>
        </w:rPr>
        <w:t>Review</w:t>
      </w:r>
      <w:r>
        <w:rPr>
          <w:spacing w:val="-3"/>
        </w:rPr>
        <w:t xml:space="preserve"> </w:t>
      </w:r>
      <w:r>
        <w:rPr>
          <w:spacing w:val="-1"/>
        </w:rPr>
        <w:t>Report</w:t>
      </w:r>
      <w:r>
        <w:rPr>
          <w:spacing w:val="2"/>
        </w:rPr>
        <w:t xml:space="preserve"> </w:t>
      </w:r>
      <w:r>
        <w:rPr>
          <w:spacing w:val="-1"/>
        </w:rPr>
        <w:t xml:space="preserve">and/or </w:t>
      </w:r>
      <w:r>
        <w:t>the</w:t>
      </w:r>
      <w:r>
        <w:rPr>
          <w:spacing w:val="-2"/>
        </w:rPr>
        <w:t xml:space="preserve"> Supplier’s</w:t>
      </w:r>
      <w:r>
        <w:rPr>
          <w:spacing w:val="1"/>
        </w:rPr>
        <w:t xml:space="preserve"> </w:t>
      </w:r>
      <w:r>
        <w:rPr>
          <w:spacing w:val="-1"/>
        </w:rPr>
        <w:t>Proposals:</w:t>
      </w:r>
    </w:p>
    <w:p w:rsidR="008918FA" w:rsidRDefault="008918FA" w:rsidP="008918FA">
      <w:pPr>
        <w:pStyle w:val="BodyText"/>
        <w:numPr>
          <w:ilvl w:val="2"/>
          <w:numId w:val="10"/>
        </w:numPr>
        <w:tabs>
          <w:tab w:val="left" w:pos="1886"/>
        </w:tabs>
        <w:ind w:left="1885" w:right="115" w:hanging="993"/>
        <w:jc w:val="both"/>
      </w:pPr>
      <w:r>
        <w:t>the</w:t>
      </w:r>
      <w:r>
        <w:rPr>
          <w:spacing w:val="22"/>
        </w:rPr>
        <w:t xml:space="preserve"> </w:t>
      </w:r>
      <w:r>
        <w:rPr>
          <w:spacing w:val="-1"/>
        </w:rPr>
        <w:t>Customer</w:t>
      </w:r>
      <w:r>
        <w:rPr>
          <w:spacing w:val="23"/>
        </w:rPr>
        <w:t xml:space="preserve"> </w:t>
      </w:r>
      <w:r>
        <w:rPr>
          <w:spacing w:val="-1"/>
        </w:rPr>
        <w:t>shall</w:t>
      </w:r>
      <w:r>
        <w:rPr>
          <w:spacing w:val="21"/>
        </w:rPr>
        <w:t xml:space="preserve"> </w:t>
      </w:r>
      <w:r>
        <w:rPr>
          <w:spacing w:val="-1"/>
        </w:rPr>
        <w:t>inform</w:t>
      </w:r>
      <w:r>
        <w:rPr>
          <w:spacing w:val="23"/>
        </w:rPr>
        <w:t xml:space="preserve"> </w:t>
      </w:r>
      <w:r>
        <w:t>the</w:t>
      </w:r>
      <w:r>
        <w:rPr>
          <w:spacing w:val="22"/>
        </w:rPr>
        <w:t xml:space="preserve"> </w:t>
      </w:r>
      <w:r>
        <w:rPr>
          <w:spacing w:val="-2"/>
        </w:rPr>
        <w:t>Supplier</w:t>
      </w:r>
      <w:r>
        <w:rPr>
          <w:spacing w:val="23"/>
        </w:rPr>
        <w:t xml:space="preserve"> </w:t>
      </w:r>
      <w:r>
        <w:rPr>
          <w:spacing w:val="-1"/>
        </w:rPr>
        <w:t>in</w:t>
      </w:r>
      <w:r>
        <w:rPr>
          <w:spacing w:val="24"/>
        </w:rPr>
        <w:t xml:space="preserve"> </w:t>
      </w:r>
      <w:r>
        <w:rPr>
          <w:spacing w:val="-2"/>
        </w:rPr>
        <w:t>writing</w:t>
      </w:r>
      <w:r>
        <w:rPr>
          <w:spacing w:val="24"/>
        </w:rPr>
        <w:t xml:space="preserve"> </w:t>
      </w:r>
      <w:r>
        <w:rPr>
          <w:spacing w:val="-1"/>
        </w:rPr>
        <w:t>of</w:t>
      </w:r>
      <w:r>
        <w:rPr>
          <w:spacing w:val="26"/>
        </w:rPr>
        <w:t xml:space="preserve"> </w:t>
      </w:r>
      <w:r>
        <w:rPr>
          <w:spacing w:val="-1"/>
        </w:rPr>
        <w:t>its</w:t>
      </w:r>
      <w:r>
        <w:rPr>
          <w:spacing w:val="22"/>
        </w:rPr>
        <w:t xml:space="preserve"> </w:t>
      </w:r>
      <w:r>
        <w:rPr>
          <w:spacing w:val="-1"/>
        </w:rPr>
        <w:t>reasons</w:t>
      </w:r>
      <w:r>
        <w:rPr>
          <w:spacing w:val="20"/>
        </w:rPr>
        <w:t xml:space="preserve"> </w:t>
      </w:r>
      <w:r>
        <w:t>for</w:t>
      </w:r>
      <w:r>
        <w:rPr>
          <w:spacing w:val="23"/>
        </w:rPr>
        <w:t xml:space="preserve"> </w:t>
      </w:r>
      <w:r>
        <w:rPr>
          <w:spacing w:val="-2"/>
        </w:rPr>
        <w:t>its</w:t>
      </w:r>
      <w:r>
        <w:rPr>
          <w:spacing w:val="53"/>
        </w:rPr>
        <w:t xml:space="preserve"> </w:t>
      </w:r>
      <w:r>
        <w:rPr>
          <w:spacing w:val="-1"/>
        </w:rPr>
        <w:t>rejection;</w:t>
      </w:r>
      <w:r>
        <w:t xml:space="preserve"> </w:t>
      </w:r>
      <w:r>
        <w:rPr>
          <w:spacing w:val="-1"/>
        </w:rPr>
        <w:t>and</w:t>
      </w:r>
    </w:p>
    <w:p w:rsidR="008918FA" w:rsidRDefault="008918FA" w:rsidP="008918FA">
      <w:pPr>
        <w:pStyle w:val="BodyText"/>
        <w:numPr>
          <w:ilvl w:val="2"/>
          <w:numId w:val="10"/>
        </w:numPr>
        <w:tabs>
          <w:tab w:val="left" w:pos="1886"/>
        </w:tabs>
        <w:spacing w:before="121"/>
        <w:ind w:left="1885" w:right="114" w:hanging="993"/>
        <w:jc w:val="both"/>
      </w:pPr>
      <w:r>
        <w:t>the</w:t>
      </w:r>
      <w:r>
        <w:rPr>
          <w:spacing w:val="15"/>
        </w:rPr>
        <w:t xml:space="preserve"> </w:t>
      </w:r>
      <w:r>
        <w:rPr>
          <w:spacing w:val="-2"/>
        </w:rPr>
        <w:t>Supplier</w:t>
      </w:r>
      <w:r>
        <w:rPr>
          <w:spacing w:val="16"/>
        </w:rPr>
        <w:t xml:space="preserve"> </w:t>
      </w:r>
      <w:r>
        <w:rPr>
          <w:spacing w:val="-1"/>
        </w:rPr>
        <w:t>shall</w:t>
      </w:r>
      <w:r>
        <w:rPr>
          <w:spacing w:val="14"/>
        </w:rPr>
        <w:t xml:space="preserve"> </w:t>
      </w:r>
      <w:r>
        <w:rPr>
          <w:spacing w:val="-1"/>
        </w:rPr>
        <w:t>then</w:t>
      </w:r>
      <w:r>
        <w:rPr>
          <w:spacing w:val="12"/>
        </w:rPr>
        <w:t xml:space="preserve"> </w:t>
      </w:r>
      <w:r>
        <w:rPr>
          <w:spacing w:val="-2"/>
        </w:rPr>
        <w:t>revise</w:t>
      </w:r>
      <w:r>
        <w:rPr>
          <w:spacing w:val="15"/>
        </w:rPr>
        <w:t xml:space="preserve"> </w:t>
      </w:r>
      <w:r>
        <w:t>the</w:t>
      </w:r>
      <w:r>
        <w:rPr>
          <w:spacing w:val="15"/>
        </w:rPr>
        <w:t xml:space="preserve"> </w:t>
      </w:r>
      <w:r>
        <w:rPr>
          <w:spacing w:val="-1"/>
        </w:rPr>
        <w:t>Review</w:t>
      </w:r>
      <w:r>
        <w:rPr>
          <w:spacing w:val="12"/>
        </w:rPr>
        <w:t xml:space="preserve"> </w:t>
      </w:r>
      <w:r>
        <w:rPr>
          <w:spacing w:val="-1"/>
        </w:rPr>
        <w:t>Report</w:t>
      </w:r>
      <w:r>
        <w:rPr>
          <w:spacing w:val="16"/>
        </w:rPr>
        <w:t xml:space="preserve"> </w:t>
      </w:r>
      <w:r>
        <w:rPr>
          <w:spacing w:val="-1"/>
        </w:rPr>
        <w:t>and/or</w:t>
      </w:r>
      <w:r>
        <w:rPr>
          <w:spacing w:val="14"/>
        </w:rPr>
        <w:t xml:space="preserve"> </w:t>
      </w:r>
      <w:r>
        <w:t>the</w:t>
      </w:r>
      <w:r>
        <w:rPr>
          <w:spacing w:val="12"/>
        </w:rPr>
        <w:t xml:space="preserve"> </w:t>
      </w:r>
      <w:r>
        <w:rPr>
          <w:spacing w:val="-2"/>
        </w:rPr>
        <w:t>Supplier’s</w:t>
      </w:r>
      <w:r>
        <w:rPr>
          <w:spacing w:val="55"/>
        </w:rPr>
        <w:t xml:space="preserve"> </w:t>
      </w:r>
      <w:r>
        <w:rPr>
          <w:spacing w:val="-1"/>
        </w:rPr>
        <w:t>Proposals</w:t>
      </w:r>
      <w:r>
        <w:rPr>
          <w:spacing w:val="4"/>
        </w:rPr>
        <w:t xml:space="preserve"> </w:t>
      </w:r>
      <w:r>
        <w:rPr>
          <w:spacing w:val="-1"/>
        </w:rPr>
        <w:t>as</w:t>
      </w:r>
      <w:r>
        <w:rPr>
          <w:spacing w:val="4"/>
        </w:rPr>
        <w:t xml:space="preserve"> </w:t>
      </w:r>
      <w:r>
        <w:t>the</w:t>
      </w:r>
      <w:r>
        <w:rPr>
          <w:spacing w:val="4"/>
        </w:rPr>
        <w:t xml:space="preserve"> </w:t>
      </w:r>
      <w:r>
        <w:rPr>
          <w:spacing w:val="-1"/>
        </w:rPr>
        <w:t>case</w:t>
      </w:r>
      <w:r>
        <w:rPr>
          <w:spacing w:val="2"/>
        </w:rPr>
        <w:t xml:space="preserve"> </w:t>
      </w:r>
      <w:r>
        <w:rPr>
          <w:spacing w:val="-1"/>
        </w:rPr>
        <w:t>may</w:t>
      </w:r>
      <w:r>
        <w:rPr>
          <w:spacing w:val="2"/>
        </w:rPr>
        <w:t xml:space="preserve"> </w:t>
      </w:r>
      <w:r>
        <w:rPr>
          <w:spacing w:val="-1"/>
        </w:rPr>
        <w:t>be</w:t>
      </w:r>
      <w:r>
        <w:rPr>
          <w:spacing w:val="4"/>
        </w:rPr>
        <w:t xml:space="preserve"> </w:t>
      </w:r>
      <w:r>
        <w:rPr>
          <w:spacing w:val="-1"/>
        </w:rPr>
        <w:t>(taking</w:t>
      </w:r>
      <w:r>
        <w:rPr>
          <w:spacing w:val="6"/>
        </w:rPr>
        <w:t xml:space="preserve"> </w:t>
      </w:r>
      <w:r>
        <w:rPr>
          <w:spacing w:val="-2"/>
        </w:rPr>
        <w:t>reasonable</w:t>
      </w:r>
      <w:r>
        <w:rPr>
          <w:spacing w:val="4"/>
        </w:rPr>
        <w:t xml:space="preserve"> </w:t>
      </w:r>
      <w:r>
        <w:rPr>
          <w:spacing w:val="-1"/>
        </w:rPr>
        <w:t>account</w:t>
      </w:r>
      <w:r>
        <w:rPr>
          <w:spacing w:val="5"/>
        </w:rPr>
        <w:t xml:space="preserve"> </w:t>
      </w:r>
      <w:r>
        <w:rPr>
          <w:spacing w:val="-2"/>
        </w:rPr>
        <w:t>of</w:t>
      </w:r>
      <w:r>
        <w:rPr>
          <w:spacing w:val="5"/>
        </w:rPr>
        <w:t xml:space="preserve"> </w:t>
      </w:r>
      <w:r>
        <w:rPr>
          <w:spacing w:val="-1"/>
        </w:rPr>
        <w:t>the</w:t>
      </w:r>
      <w:r>
        <w:rPr>
          <w:spacing w:val="48"/>
        </w:rPr>
        <w:t xml:space="preserve"> </w:t>
      </w:r>
      <w:r>
        <w:rPr>
          <w:spacing w:val="-1"/>
        </w:rPr>
        <w:t>Customer’s</w:t>
      </w:r>
      <w:r>
        <w:rPr>
          <w:spacing w:val="16"/>
        </w:rPr>
        <w:t xml:space="preserve"> </w:t>
      </w:r>
      <w:r>
        <w:rPr>
          <w:spacing w:val="-1"/>
        </w:rPr>
        <w:t>comments</w:t>
      </w:r>
      <w:r>
        <w:rPr>
          <w:spacing w:val="16"/>
        </w:rPr>
        <w:t xml:space="preserve"> </w:t>
      </w:r>
      <w:r>
        <w:rPr>
          <w:spacing w:val="-1"/>
        </w:rPr>
        <w:t>and</w:t>
      </w:r>
      <w:r>
        <w:rPr>
          <w:spacing w:val="16"/>
        </w:rPr>
        <w:t xml:space="preserve"> </w:t>
      </w:r>
      <w:r>
        <w:rPr>
          <w:spacing w:val="-1"/>
        </w:rPr>
        <w:t>carrying</w:t>
      </w:r>
      <w:r>
        <w:rPr>
          <w:spacing w:val="18"/>
        </w:rPr>
        <w:t xml:space="preserve"> </w:t>
      </w:r>
      <w:r>
        <w:rPr>
          <w:spacing w:val="-1"/>
        </w:rPr>
        <w:t>out</w:t>
      </w:r>
      <w:r>
        <w:rPr>
          <w:spacing w:val="17"/>
        </w:rPr>
        <w:t xml:space="preserve"> </w:t>
      </w:r>
      <w:r>
        <w:rPr>
          <w:spacing w:val="-1"/>
        </w:rPr>
        <w:t>any</w:t>
      </w:r>
      <w:r>
        <w:rPr>
          <w:spacing w:val="14"/>
        </w:rPr>
        <w:t xml:space="preserve"> </w:t>
      </w:r>
      <w:r>
        <w:rPr>
          <w:spacing w:val="-1"/>
        </w:rPr>
        <w:t>necessary</w:t>
      </w:r>
      <w:r>
        <w:rPr>
          <w:spacing w:val="14"/>
        </w:rPr>
        <w:t xml:space="preserve"> </w:t>
      </w:r>
      <w:r>
        <w:rPr>
          <w:spacing w:val="-1"/>
        </w:rPr>
        <w:t>actions</w:t>
      </w:r>
      <w:r>
        <w:rPr>
          <w:spacing w:val="16"/>
        </w:rPr>
        <w:t xml:space="preserve"> </w:t>
      </w:r>
      <w:r>
        <w:rPr>
          <w:spacing w:val="-1"/>
        </w:rPr>
        <w:t>in</w:t>
      </w:r>
      <w:r>
        <w:rPr>
          <w:spacing w:val="25"/>
        </w:rPr>
        <w:t xml:space="preserve"> </w:t>
      </w:r>
      <w:r>
        <w:rPr>
          <w:spacing w:val="-1"/>
        </w:rPr>
        <w:t>connection</w:t>
      </w:r>
      <w:r>
        <w:rPr>
          <w:spacing w:val="53"/>
        </w:rPr>
        <w:t xml:space="preserve"> </w:t>
      </w:r>
      <w:r>
        <w:rPr>
          <w:spacing w:val="-2"/>
        </w:rPr>
        <w:t>with</w:t>
      </w:r>
      <w:r>
        <w:rPr>
          <w:spacing w:val="53"/>
        </w:rPr>
        <w:t xml:space="preserve"> </w:t>
      </w:r>
      <w:r>
        <w:t>the</w:t>
      </w:r>
      <w:r>
        <w:rPr>
          <w:spacing w:val="53"/>
        </w:rPr>
        <w:t xml:space="preserve"> </w:t>
      </w:r>
      <w:r>
        <w:rPr>
          <w:spacing w:val="-1"/>
        </w:rPr>
        <w:t>revision)</w:t>
      </w:r>
      <w:r>
        <w:rPr>
          <w:spacing w:val="54"/>
        </w:rPr>
        <w:t xml:space="preserve"> </w:t>
      </w:r>
      <w:r>
        <w:rPr>
          <w:spacing w:val="-1"/>
        </w:rPr>
        <w:t>and</w:t>
      </w:r>
      <w:r>
        <w:rPr>
          <w:spacing w:val="53"/>
        </w:rPr>
        <w:t xml:space="preserve"> </w:t>
      </w:r>
      <w:r>
        <w:rPr>
          <w:spacing w:val="-1"/>
        </w:rPr>
        <w:t>shall</w:t>
      </w:r>
      <w:r>
        <w:rPr>
          <w:spacing w:val="52"/>
        </w:rPr>
        <w:t xml:space="preserve"> </w:t>
      </w:r>
      <w:r>
        <w:rPr>
          <w:spacing w:val="-1"/>
        </w:rPr>
        <w:t>re-submit</w:t>
      </w:r>
      <w:r>
        <w:rPr>
          <w:spacing w:val="56"/>
        </w:rPr>
        <w:t xml:space="preserve"> </w:t>
      </w:r>
      <w:r>
        <w:t>a</w:t>
      </w:r>
      <w:r>
        <w:rPr>
          <w:spacing w:val="53"/>
        </w:rPr>
        <w:t xml:space="preserve"> </w:t>
      </w:r>
      <w:r>
        <w:rPr>
          <w:spacing w:val="-1"/>
        </w:rPr>
        <w:t>revised</w:t>
      </w:r>
      <w:r>
        <w:rPr>
          <w:spacing w:val="53"/>
        </w:rPr>
        <w:t xml:space="preserve"> </w:t>
      </w:r>
      <w:r>
        <w:rPr>
          <w:spacing w:val="-1"/>
        </w:rPr>
        <w:t>Review</w:t>
      </w:r>
      <w:r>
        <w:rPr>
          <w:spacing w:val="39"/>
        </w:rPr>
        <w:t xml:space="preserve"> </w:t>
      </w:r>
      <w:r>
        <w:rPr>
          <w:spacing w:val="-1"/>
        </w:rPr>
        <w:t>Report</w:t>
      </w:r>
      <w:r>
        <w:rPr>
          <w:spacing w:val="47"/>
        </w:rPr>
        <w:t xml:space="preserve"> </w:t>
      </w:r>
      <w:r>
        <w:rPr>
          <w:spacing w:val="-1"/>
        </w:rPr>
        <w:t>and/or</w:t>
      </w:r>
      <w:r>
        <w:rPr>
          <w:spacing w:val="47"/>
        </w:rPr>
        <w:t xml:space="preserve"> </w:t>
      </w:r>
      <w:r>
        <w:rPr>
          <w:spacing w:val="-1"/>
        </w:rPr>
        <w:t>revised</w:t>
      </w:r>
      <w:r>
        <w:rPr>
          <w:spacing w:val="48"/>
        </w:rPr>
        <w:t xml:space="preserve"> </w:t>
      </w:r>
      <w:r>
        <w:rPr>
          <w:spacing w:val="-2"/>
        </w:rPr>
        <w:t>Supplier’s</w:t>
      </w:r>
      <w:r>
        <w:rPr>
          <w:spacing w:val="46"/>
        </w:rPr>
        <w:t xml:space="preserve"> </w:t>
      </w:r>
      <w:r>
        <w:rPr>
          <w:spacing w:val="-1"/>
        </w:rPr>
        <w:t>Proposals</w:t>
      </w:r>
      <w:r>
        <w:rPr>
          <w:spacing w:val="46"/>
        </w:rPr>
        <w:t xml:space="preserve"> </w:t>
      </w:r>
      <w:r>
        <w:t>to</w:t>
      </w:r>
      <w:r>
        <w:rPr>
          <w:spacing w:val="48"/>
        </w:rPr>
        <w:t xml:space="preserve"> </w:t>
      </w:r>
      <w:r>
        <w:t>the</w:t>
      </w:r>
      <w:r>
        <w:rPr>
          <w:spacing w:val="47"/>
        </w:rPr>
        <w:t xml:space="preserve"> </w:t>
      </w:r>
      <w:r>
        <w:rPr>
          <w:spacing w:val="-1"/>
        </w:rPr>
        <w:t>Customer</w:t>
      </w:r>
      <w:r>
        <w:rPr>
          <w:spacing w:val="45"/>
        </w:rPr>
        <w:t xml:space="preserve"> </w:t>
      </w:r>
      <w:r>
        <w:t>for</w:t>
      </w:r>
      <w:r>
        <w:rPr>
          <w:spacing w:val="45"/>
        </w:rPr>
        <w:t xml:space="preserve"> </w:t>
      </w:r>
      <w:r>
        <w:rPr>
          <w:spacing w:val="-1"/>
        </w:rPr>
        <w:t>the</w:t>
      </w:r>
      <w:r>
        <w:rPr>
          <w:spacing w:val="38"/>
        </w:rPr>
        <w:t xml:space="preserve"> </w:t>
      </w:r>
      <w:r>
        <w:rPr>
          <w:spacing w:val="-1"/>
        </w:rPr>
        <w:t>Customer’s</w:t>
      </w:r>
      <w:r>
        <w:rPr>
          <w:spacing w:val="34"/>
        </w:rPr>
        <w:t xml:space="preserve"> </w:t>
      </w:r>
      <w:r>
        <w:rPr>
          <w:spacing w:val="-1"/>
        </w:rPr>
        <w:t>approval</w:t>
      </w:r>
      <w:r>
        <w:rPr>
          <w:spacing w:val="36"/>
        </w:rPr>
        <w:t xml:space="preserve"> </w:t>
      </w:r>
      <w:r>
        <w:rPr>
          <w:spacing w:val="-1"/>
        </w:rPr>
        <w:t>within</w:t>
      </w:r>
      <w:r>
        <w:rPr>
          <w:spacing w:val="35"/>
        </w:rPr>
        <w:t xml:space="preserve"> </w:t>
      </w:r>
      <w:r>
        <w:rPr>
          <w:spacing w:val="-1"/>
        </w:rPr>
        <w:t>twenty</w:t>
      </w:r>
      <w:r>
        <w:rPr>
          <w:spacing w:val="32"/>
        </w:rPr>
        <w:t xml:space="preserve"> </w:t>
      </w:r>
      <w:r>
        <w:rPr>
          <w:spacing w:val="-1"/>
        </w:rPr>
        <w:t>(20)</w:t>
      </w:r>
      <w:r>
        <w:rPr>
          <w:spacing w:val="30"/>
        </w:rPr>
        <w:t xml:space="preserve"> </w:t>
      </w:r>
      <w:r>
        <w:t>Working</w:t>
      </w:r>
      <w:r>
        <w:rPr>
          <w:spacing w:val="34"/>
        </w:rPr>
        <w:t xml:space="preserve"> </w:t>
      </w:r>
      <w:r>
        <w:rPr>
          <w:spacing w:val="-2"/>
        </w:rPr>
        <w:t>Days</w:t>
      </w:r>
      <w:r>
        <w:rPr>
          <w:spacing w:val="38"/>
        </w:rPr>
        <w:t xml:space="preserve"> </w:t>
      </w:r>
      <w:r>
        <w:rPr>
          <w:spacing w:val="-1"/>
        </w:rPr>
        <w:t>of</w:t>
      </w:r>
      <w:r>
        <w:rPr>
          <w:spacing w:val="38"/>
        </w:rPr>
        <w:t xml:space="preserve"> </w:t>
      </w:r>
      <w:r>
        <w:t>the</w:t>
      </w:r>
      <w:r>
        <w:rPr>
          <w:spacing w:val="34"/>
        </w:rPr>
        <w:t xml:space="preserve"> </w:t>
      </w:r>
      <w:r>
        <w:rPr>
          <w:spacing w:val="-1"/>
        </w:rPr>
        <w:t>date</w:t>
      </w:r>
      <w:r>
        <w:rPr>
          <w:spacing w:val="31"/>
        </w:rPr>
        <w:t xml:space="preserve"> </w:t>
      </w:r>
      <w:r>
        <w:rPr>
          <w:spacing w:val="-2"/>
        </w:rPr>
        <w:t>of</w:t>
      </w:r>
      <w:r>
        <w:rPr>
          <w:spacing w:val="33"/>
        </w:rPr>
        <w:t xml:space="preserve"> </w:t>
      </w:r>
      <w:r>
        <w:t>the</w:t>
      </w:r>
      <w:r>
        <w:rPr>
          <w:spacing w:val="34"/>
        </w:rPr>
        <w:t xml:space="preserve"> </w:t>
      </w:r>
      <w:r>
        <w:rPr>
          <w:spacing w:val="-1"/>
        </w:rPr>
        <w:t>Customer’s</w:t>
      </w:r>
      <w:r>
        <w:rPr>
          <w:spacing w:val="34"/>
        </w:rPr>
        <w:t xml:space="preserve"> </w:t>
      </w:r>
      <w:r>
        <w:rPr>
          <w:spacing w:val="-1"/>
        </w:rPr>
        <w:t>notice</w:t>
      </w:r>
      <w:r>
        <w:rPr>
          <w:spacing w:val="34"/>
        </w:rPr>
        <w:t xml:space="preserve"> </w:t>
      </w:r>
      <w:r>
        <w:rPr>
          <w:spacing w:val="-2"/>
        </w:rPr>
        <w:t>of</w:t>
      </w:r>
      <w:r>
        <w:rPr>
          <w:spacing w:val="35"/>
        </w:rPr>
        <w:t xml:space="preserve"> </w:t>
      </w:r>
      <w:r>
        <w:rPr>
          <w:spacing w:val="-1"/>
        </w:rPr>
        <w:t>rejection.</w:t>
      </w:r>
      <w:r>
        <w:rPr>
          <w:spacing w:val="33"/>
        </w:rPr>
        <w:t xml:space="preserve"> </w:t>
      </w:r>
      <w:r>
        <w:t>The</w:t>
      </w:r>
      <w:r>
        <w:rPr>
          <w:spacing w:val="34"/>
        </w:rPr>
        <w:t xml:space="preserve"> </w:t>
      </w:r>
      <w:r>
        <w:rPr>
          <w:spacing w:val="-2"/>
        </w:rPr>
        <w:t>provisions</w:t>
      </w:r>
      <w:r>
        <w:rPr>
          <w:spacing w:val="35"/>
        </w:rPr>
        <w:t xml:space="preserve"> </w:t>
      </w:r>
      <w:r>
        <w:rPr>
          <w:spacing w:val="-1"/>
        </w:rPr>
        <w:t>of</w:t>
      </w:r>
      <w:r>
        <w:rPr>
          <w:spacing w:val="38"/>
        </w:rPr>
        <w:t xml:space="preserve"> </w:t>
      </w:r>
      <w:hyperlink r:id="rId28">
        <w:r>
          <w:rPr>
            <w:spacing w:val="-1"/>
          </w:rPr>
          <w:t>paragraphs</w:t>
        </w:r>
      </w:hyperlink>
      <w:r>
        <w:rPr>
          <w:spacing w:val="36"/>
        </w:rPr>
        <w:t xml:space="preserve"> </w:t>
      </w:r>
      <w:hyperlink w:anchor="_bookmark363" w:history="1">
        <w:r>
          <w:rPr>
            <w:spacing w:val="-1"/>
          </w:rPr>
          <w:t>6.3</w:t>
        </w:r>
      </w:hyperlink>
      <w:r>
        <w:rPr>
          <w:spacing w:val="45"/>
        </w:rPr>
        <w:t xml:space="preserve"> </w:t>
      </w:r>
      <w:r>
        <w:rPr>
          <w:spacing w:val="-1"/>
        </w:rPr>
        <w:t>and</w:t>
      </w:r>
      <w:r>
        <w:rPr>
          <w:spacing w:val="15"/>
        </w:rPr>
        <w:t xml:space="preserve"> </w:t>
      </w:r>
      <w:hyperlink w:anchor="_bookmark364" w:history="1">
        <w:r>
          <w:t>6.4</w:t>
        </w:r>
      </w:hyperlink>
      <w:r>
        <w:rPr>
          <w:spacing w:val="15"/>
        </w:rPr>
        <w:t xml:space="preserve"> </w:t>
      </w:r>
      <w:r>
        <w:rPr>
          <w:spacing w:val="-2"/>
        </w:rPr>
        <w:t>of</w:t>
      </w:r>
      <w:r>
        <w:rPr>
          <w:spacing w:val="19"/>
        </w:rPr>
        <w:t xml:space="preserve"> </w:t>
      </w:r>
      <w:r>
        <w:rPr>
          <w:spacing w:val="-1"/>
        </w:rPr>
        <w:t>this</w:t>
      </w:r>
      <w:r>
        <w:rPr>
          <w:spacing w:val="15"/>
        </w:rPr>
        <w:t xml:space="preserve"> </w:t>
      </w:r>
      <w:r>
        <w:rPr>
          <w:spacing w:val="-2"/>
        </w:rPr>
        <w:t>Call</w:t>
      </w:r>
      <w:r>
        <w:rPr>
          <w:spacing w:val="14"/>
        </w:rPr>
        <w:t xml:space="preserve"> </w:t>
      </w:r>
      <w:r>
        <w:t>Off</w:t>
      </w:r>
      <w:r>
        <w:rPr>
          <w:spacing w:val="14"/>
        </w:rPr>
        <w:t xml:space="preserve"> </w:t>
      </w:r>
      <w:r>
        <w:rPr>
          <w:spacing w:val="-1"/>
        </w:rPr>
        <w:t>Schedule</w:t>
      </w:r>
      <w:r>
        <w:rPr>
          <w:spacing w:val="15"/>
        </w:rPr>
        <w:t xml:space="preserve"> </w:t>
      </w:r>
      <w:r>
        <w:rPr>
          <w:spacing w:val="-1"/>
        </w:rPr>
        <w:t>shall</w:t>
      </w:r>
      <w:r>
        <w:rPr>
          <w:spacing w:val="14"/>
        </w:rPr>
        <w:t xml:space="preserve"> </w:t>
      </w:r>
      <w:r>
        <w:t>apply</w:t>
      </w:r>
      <w:r>
        <w:rPr>
          <w:spacing w:val="13"/>
        </w:rPr>
        <w:t xml:space="preserve"> </w:t>
      </w:r>
      <w:r>
        <w:rPr>
          <w:spacing w:val="-1"/>
        </w:rPr>
        <w:t>again</w:t>
      </w:r>
      <w:r>
        <w:rPr>
          <w:spacing w:val="15"/>
        </w:rPr>
        <w:t xml:space="preserve"> </w:t>
      </w:r>
      <w:r>
        <w:t>to</w:t>
      </w:r>
      <w:r>
        <w:rPr>
          <w:spacing w:val="15"/>
        </w:rPr>
        <w:t xml:space="preserve"> </w:t>
      </w:r>
      <w:r>
        <w:rPr>
          <w:spacing w:val="-1"/>
        </w:rPr>
        <w:t>any</w:t>
      </w:r>
      <w:r>
        <w:rPr>
          <w:spacing w:val="17"/>
        </w:rPr>
        <w:t xml:space="preserve"> </w:t>
      </w:r>
      <w:r>
        <w:rPr>
          <w:spacing w:val="-1"/>
        </w:rPr>
        <w:t>resubmitted</w:t>
      </w:r>
      <w:r>
        <w:rPr>
          <w:spacing w:val="45"/>
        </w:rPr>
        <w:t xml:space="preserve"> </w:t>
      </w:r>
      <w:r>
        <w:rPr>
          <w:spacing w:val="-1"/>
        </w:rPr>
        <w:t>Review</w:t>
      </w:r>
      <w:r>
        <w:rPr>
          <w:spacing w:val="47"/>
        </w:rPr>
        <w:t xml:space="preserve"> </w:t>
      </w:r>
      <w:r>
        <w:rPr>
          <w:spacing w:val="-1"/>
        </w:rPr>
        <w:t>Report</w:t>
      </w:r>
      <w:r>
        <w:rPr>
          <w:spacing w:val="52"/>
        </w:rPr>
        <w:t xml:space="preserve"> </w:t>
      </w:r>
      <w:r>
        <w:rPr>
          <w:spacing w:val="-1"/>
        </w:rPr>
        <w:t>and</w:t>
      </w:r>
      <w:r>
        <w:rPr>
          <w:spacing w:val="51"/>
        </w:rPr>
        <w:t xml:space="preserve"> </w:t>
      </w:r>
      <w:r>
        <w:rPr>
          <w:spacing w:val="-2"/>
        </w:rPr>
        <w:t>Supplier’s</w:t>
      </w:r>
      <w:r>
        <w:rPr>
          <w:spacing w:val="51"/>
        </w:rPr>
        <w:t xml:space="preserve"> </w:t>
      </w:r>
      <w:r>
        <w:rPr>
          <w:spacing w:val="-1"/>
        </w:rPr>
        <w:t>Proposals,</w:t>
      </w:r>
      <w:r>
        <w:rPr>
          <w:spacing w:val="53"/>
        </w:rPr>
        <w:t xml:space="preserve"> </w:t>
      </w:r>
      <w:r>
        <w:rPr>
          <w:spacing w:val="-2"/>
        </w:rPr>
        <w:t>provided</w:t>
      </w:r>
      <w:r>
        <w:rPr>
          <w:spacing w:val="51"/>
        </w:rPr>
        <w:t xml:space="preserve"> </w:t>
      </w:r>
      <w:r>
        <w:rPr>
          <w:spacing w:val="-1"/>
        </w:rPr>
        <w:t>that</w:t>
      </w:r>
      <w:r>
        <w:rPr>
          <w:spacing w:val="53"/>
        </w:rPr>
        <w:t xml:space="preserve"> </w:t>
      </w:r>
      <w:r>
        <w:rPr>
          <w:spacing w:val="-1"/>
        </w:rPr>
        <w:t>either</w:t>
      </w:r>
      <w:r>
        <w:rPr>
          <w:spacing w:val="52"/>
        </w:rPr>
        <w:t xml:space="preserve"> </w:t>
      </w:r>
      <w:r>
        <w:rPr>
          <w:spacing w:val="-1"/>
        </w:rPr>
        <w:t>Party</w:t>
      </w:r>
      <w:r>
        <w:rPr>
          <w:spacing w:val="43"/>
        </w:rPr>
        <w:t xml:space="preserve"> </w:t>
      </w:r>
      <w:r>
        <w:rPr>
          <w:spacing w:val="-1"/>
        </w:rPr>
        <w:t>may</w:t>
      </w:r>
      <w:r>
        <w:rPr>
          <w:spacing w:val="57"/>
        </w:rPr>
        <w:t xml:space="preserve"> </w:t>
      </w:r>
      <w:r>
        <w:rPr>
          <w:spacing w:val="-1"/>
        </w:rPr>
        <w:t>refer</w:t>
      </w:r>
      <w:r>
        <w:rPr>
          <w:spacing w:val="60"/>
        </w:rPr>
        <w:t xml:space="preserve"> </w:t>
      </w:r>
      <w:r>
        <w:rPr>
          <w:spacing w:val="-1"/>
        </w:rPr>
        <w:t>any</w:t>
      </w:r>
      <w:r>
        <w:rPr>
          <w:spacing w:val="57"/>
        </w:rPr>
        <w:t xml:space="preserve"> </w:t>
      </w:r>
      <w:r>
        <w:rPr>
          <w:spacing w:val="-1"/>
        </w:rPr>
        <w:t>disputed</w:t>
      </w:r>
      <w:r>
        <w:rPr>
          <w:spacing w:val="59"/>
        </w:rPr>
        <w:t xml:space="preserve"> </w:t>
      </w:r>
      <w:r>
        <w:rPr>
          <w:spacing w:val="-1"/>
        </w:rPr>
        <w:t>matters</w:t>
      </w:r>
      <w:r>
        <w:rPr>
          <w:spacing w:val="57"/>
        </w:rPr>
        <w:t xml:space="preserve"> </w:t>
      </w:r>
      <w:r>
        <w:rPr>
          <w:spacing w:val="-1"/>
        </w:rPr>
        <w:t>for</w:t>
      </w:r>
      <w:r>
        <w:rPr>
          <w:spacing w:val="60"/>
        </w:rPr>
        <w:t xml:space="preserve"> </w:t>
      </w:r>
      <w:r>
        <w:rPr>
          <w:spacing w:val="-1"/>
        </w:rPr>
        <w:t>resolution</w:t>
      </w:r>
      <w:r>
        <w:rPr>
          <w:spacing w:val="60"/>
        </w:rPr>
        <w:t xml:space="preserve"> </w:t>
      </w:r>
      <w:r>
        <w:rPr>
          <w:spacing w:val="-1"/>
        </w:rPr>
        <w:t>by</w:t>
      </w:r>
      <w:r>
        <w:rPr>
          <w:spacing w:val="57"/>
        </w:rPr>
        <w:t xml:space="preserve"> </w:t>
      </w:r>
      <w:r>
        <w:t>the</w:t>
      </w:r>
      <w:r>
        <w:rPr>
          <w:spacing w:val="59"/>
        </w:rPr>
        <w:t xml:space="preserve"> </w:t>
      </w:r>
      <w:r>
        <w:rPr>
          <w:spacing w:val="-1"/>
        </w:rPr>
        <w:t>Dispute</w:t>
      </w:r>
      <w:r>
        <w:rPr>
          <w:spacing w:val="31"/>
        </w:rPr>
        <w:t xml:space="preserve"> </w:t>
      </w:r>
      <w:r>
        <w:rPr>
          <w:spacing w:val="-1"/>
        </w:rPr>
        <w:t>Resolution</w:t>
      </w:r>
      <w:r>
        <w:t xml:space="preserve"> </w:t>
      </w:r>
      <w:r>
        <w:rPr>
          <w:spacing w:val="-1"/>
        </w:rPr>
        <w:t>Procedure</w:t>
      </w:r>
      <w:r>
        <w:rPr>
          <w:spacing w:val="-2"/>
        </w:rPr>
        <w:t xml:space="preserve"> </w:t>
      </w:r>
      <w:r>
        <w:rPr>
          <w:spacing w:val="-1"/>
        </w:rPr>
        <w:t>at</w:t>
      </w:r>
      <w:r>
        <w:rPr>
          <w:spacing w:val="-3"/>
        </w:rPr>
        <w:t xml:space="preserve"> </w:t>
      </w:r>
      <w:r>
        <w:rPr>
          <w:spacing w:val="-1"/>
        </w:rPr>
        <w:t>any</w:t>
      </w:r>
      <w:r>
        <w:rPr>
          <w:spacing w:val="-2"/>
        </w:rPr>
        <w:t xml:space="preserve"> </w:t>
      </w:r>
      <w:r>
        <w:rPr>
          <w:spacing w:val="-1"/>
        </w:rPr>
        <w:t>time.</w:t>
      </w:r>
    </w:p>
    <w:p w:rsidR="008918FA" w:rsidRDefault="008918FA" w:rsidP="008918FA">
      <w:pPr>
        <w:pStyle w:val="BodyText"/>
        <w:numPr>
          <w:ilvl w:val="1"/>
          <w:numId w:val="10"/>
        </w:numPr>
        <w:tabs>
          <w:tab w:val="left" w:pos="689"/>
        </w:tabs>
        <w:ind w:left="688" w:right="115"/>
        <w:jc w:val="both"/>
      </w:pPr>
      <w:r>
        <w:t>The</w:t>
      </w:r>
      <w:r>
        <w:rPr>
          <w:spacing w:val="23"/>
        </w:rPr>
        <w:t xml:space="preserve"> </w:t>
      </w:r>
      <w:r>
        <w:rPr>
          <w:spacing w:val="-2"/>
        </w:rPr>
        <w:t>Supplier</w:t>
      </w:r>
      <w:r>
        <w:rPr>
          <w:spacing w:val="24"/>
        </w:rPr>
        <w:t xml:space="preserve"> </w:t>
      </w:r>
      <w:r>
        <w:rPr>
          <w:spacing w:val="-1"/>
        </w:rPr>
        <w:t>shall</w:t>
      </w:r>
      <w:r>
        <w:rPr>
          <w:spacing w:val="22"/>
        </w:rPr>
        <w:t xml:space="preserve"> </w:t>
      </w:r>
      <w:r>
        <w:rPr>
          <w:spacing w:val="-1"/>
        </w:rPr>
        <w:t>as</w:t>
      </w:r>
      <w:r>
        <w:rPr>
          <w:spacing w:val="24"/>
        </w:rPr>
        <w:t xml:space="preserve"> </w:t>
      </w:r>
      <w:r>
        <w:rPr>
          <w:spacing w:val="-1"/>
        </w:rPr>
        <w:t>soon</w:t>
      </w:r>
      <w:r>
        <w:rPr>
          <w:spacing w:val="23"/>
        </w:rPr>
        <w:t xml:space="preserve"> </w:t>
      </w:r>
      <w:r>
        <w:rPr>
          <w:spacing w:val="-1"/>
        </w:rPr>
        <w:t>as</w:t>
      </w:r>
      <w:r>
        <w:rPr>
          <w:spacing w:val="24"/>
        </w:rPr>
        <w:t xml:space="preserve"> </w:t>
      </w:r>
      <w:r>
        <w:rPr>
          <w:spacing w:val="-1"/>
        </w:rPr>
        <w:t>is</w:t>
      </w:r>
      <w:r>
        <w:rPr>
          <w:spacing w:val="24"/>
        </w:rPr>
        <w:t xml:space="preserve"> </w:t>
      </w:r>
      <w:r>
        <w:rPr>
          <w:spacing w:val="-1"/>
        </w:rPr>
        <w:t>reasonably</w:t>
      </w:r>
      <w:r>
        <w:rPr>
          <w:spacing w:val="21"/>
        </w:rPr>
        <w:t xml:space="preserve"> </w:t>
      </w:r>
      <w:r>
        <w:rPr>
          <w:spacing w:val="-1"/>
        </w:rPr>
        <w:t>practicable</w:t>
      </w:r>
      <w:r>
        <w:rPr>
          <w:spacing w:val="23"/>
        </w:rPr>
        <w:t xml:space="preserve"> </w:t>
      </w:r>
      <w:r>
        <w:t>after</w:t>
      </w:r>
      <w:r>
        <w:rPr>
          <w:spacing w:val="24"/>
        </w:rPr>
        <w:t xml:space="preserve"> </w:t>
      </w:r>
      <w:r>
        <w:rPr>
          <w:spacing w:val="-2"/>
        </w:rPr>
        <w:t>receiving</w:t>
      </w:r>
      <w:r>
        <w:rPr>
          <w:spacing w:val="26"/>
        </w:rPr>
        <w:t xml:space="preserve"> </w:t>
      </w:r>
      <w:r>
        <w:rPr>
          <w:spacing w:val="-1"/>
        </w:rPr>
        <w:t>the</w:t>
      </w:r>
      <w:r>
        <w:rPr>
          <w:spacing w:val="56"/>
        </w:rPr>
        <w:t xml:space="preserve"> </w:t>
      </w:r>
      <w:r>
        <w:rPr>
          <w:spacing w:val="-1"/>
        </w:rPr>
        <w:t>Customer’s</w:t>
      </w:r>
      <w:r>
        <w:rPr>
          <w:spacing w:val="13"/>
        </w:rPr>
        <w:t xml:space="preserve"> </w:t>
      </w:r>
      <w:r>
        <w:rPr>
          <w:spacing w:val="-1"/>
        </w:rPr>
        <w:t>approval</w:t>
      </w:r>
      <w:r>
        <w:rPr>
          <w:spacing w:val="12"/>
        </w:rPr>
        <w:t xml:space="preserve"> </w:t>
      </w:r>
      <w:r>
        <w:rPr>
          <w:spacing w:val="-1"/>
        </w:rPr>
        <w:t>of</w:t>
      </w:r>
      <w:r>
        <w:rPr>
          <w:spacing w:val="14"/>
        </w:rPr>
        <w:t xml:space="preserve"> </w:t>
      </w:r>
      <w:r>
        <w:rPr>
          <w:spacing w:val="-1"/>
        </w:rPr>
        <w:t>the</w:t>
      </w:r>
      <w:r>
        <w:rPr>
          <w:spacing w:val="12"/>
        </w:rPr>
        <w:t xml:space="preserve"> </w:t>
      </w:r>
      <w:r>
        <w:rPr>
          <w:spacing w:val="-1"/>
        </w:rPr>
        <w:t>Supplier's</w:t>
      </w:r>
      <w:r>
        <w:rPr>
          <w:spacing w:val="13"/>
        </w:rPr>
        <w:t xml:space="preserve"> </w:t>
      </w:r>
      <w:r>
        <w:rPr>
          <w:spacing w:val="-1"/>
        </w:rPr>
        <w:t>Proposals</w:t>
      </w:r>
      <w:r>
        <w:rPr>
          <w:spacing w:val="10"/>
        </w:rPr>
        <w:t xml:space="preserve"> </w:t>
      </w:r>
      <w:r>
        <w:rPr>
          <w:spacing w:val="-2"/>
        </w:rPr>
        <w:t>(having</w:t>
      </w:r>
      <w:r>
        <w:rPr>
          <w:spacing w:val="15"/>
        </w:rPr>
        <w:t xml:space="preserve"> </w:t>
      </w:r>
      <w:r>
        <w:rPr>
          <w:spacing w:val="-1"/>
        </w:rPr>
        <w:t>regard</w:t>
      </w:r>
      <w:r>
        <w:rPr>
          <w:spacing w:val="10"/>
        </w:rPr>
        <w:t xml:space="preserve"> </w:t>
      </w:r>
      <w:r>
        <w:t>to</w:t>
      </w:r>
      <w:r>
        <w:rPr>
          <w:spacing w:val="10"/>
        </w:rPr>
        <w:t xml:space="preserve"> </w:t>
      </w:r>
      <w:r>
        <w:t>the</w:t>
      </w:r>
      <w:r>
        <w:rPr>
          <w:spacing w:val="12"/>
        </w:rPr>
        <w:t xml:space="preserve"> </w:t>
      </w:r>
      <w:r>
        <w:rPr>
          <w:spacing w:val="-1"/>
        </w:rPr>
        <w:t>significance</w:t>
      </w:r>
      <w:r>
        <w:rPr>
          <w:spacing w:val="39"/>
        </w:rPr>
        <w:t xml:space="preserve"> </w:t>
      </w:r>
      <w:r>
        <w:rPr>
          <w:spacing w:val="-2"/>
        </w:rPr>
        <w:t>of</w:t>
      </w:r>
      <w:r>
        <w:rPr>
          <w:spacing w:val="16"/>
        </w:rPr>
        <w:t xml:space="preserve"> </w:t>
      </w:r>
      <w:r>
        <w:rPr>
          <w:spacing w:val="-1"/>
        </w:rPr>
        <w:t>any</w:t>
      </w:r>
      <w:r>
        <w:rPr>
          <w:spacing w:val="10"/>
        </w:rPr>
        <w:t xml:space="preserve"> </w:t>
      </w:r>
      <w:r>
        <w:rPr>
          <w:spacing w:val="-1"/>
        </w:rPr>
        <w:t>risks</w:t>
      </w:r>
      <w:r>
        <w:rPr>
          <w:spacing w:val="13"/>
        </w:rPr>
        <w:t xml:space="preserve"> </w:t>
      </w:r>
      <w:r>
        <w:rPr>
          <w:spacing w:val="-1"/>
        </w:rPr>
        <w:t>highlighted</w:t>
      </w:r>
      <w:r>
        <w:rPr>
          <w:spacing w:val="12"/>
        </w:rPr>
        <w:t xml:space="preserve"> </w:t>
      </w:r>
      <w:r>
        <w:rPr>
          <w:spacing w:val="-1"/>
        </w:rPr>
        <w:t>in</w:t>
      </w:r>
      <w:r>
        <w:rPr>
          <w:spacing w:val="12"/>
        </w:rPr>
        <w:t xml:space="preserve"> </w:t>
      </w:r>
      <w:r>
        <w:t>the</w:t>
      </w:r>
      <w:r>
        <w:rPr>
          <w:spacing w:val="12"/>
        </w:rPr>
        <w:t xml:space="preserve"> </w:t>
      </w:r>
      <w:r>
        <w:rPr>
          <w:spacing w:val="-1"/>
        </w:rPr>
        <w:t>Review</w:t>
      </w:r>
      <w:r>
        <w:rPr>
          <w:spacing w:val="9"/>
        </w:rPr>
        <w:t xml:space="preserve"> </w:t>
      </w:r>
      <w:r>
        <w:rPr>
          <w:spacing w:val="-1"/>
        </w:rPr>
        <w:t>Report)</w:t>
      </w:r>
      <w:r>
        <w:rPr>
          <w:spacing w:val="14"/>
        </w:rPr>
        <w:t xml:space="preserve"> </w:t>
      </w:r>
      <w:r>
        <w:rPr>
          <w:spacing w:val="-1"/>
        </w:rPr>
        <w:t>effect</w:t>
      </w:r>
      <w:r>
        <w:rPr>
          <w:spacing w:val="14"/>
        </w:rPr>
        <w:t xml:space="preserve"> </w:t>
      </w:r>
      <w:r>
        <w:rPr>
          <w:spacing w:val="-1"/>
        </w:rPr>
        <w:t>any</w:t>
      </w:r>
      <w:r>
        <w:rPr>
          <w:spacing w:val="10"/>
        </w:rPr>
        <w:t xml:space="preserve"> </w:t>
      </w:r>
      <w:r>
        <w:rPr>
          <w:spacing w:val="-1"/>
        </w:rPr>
        <w:t>change</w:t>
      </w:r>
      <w:r>
        <w:rPr>
          <w:spacing w:val="12"/>
        </w:rPr>
        <w:t xml:space="preserve"> </w:t>
      </w:r>
      <w:r>
        <w:rPr>
          <w:spacing w:val="-1"/>
        </w:rPr>
        <w:t>in</w:t>
      </w:r>
      <w:r>
        <w:rPr>
          <w:spacing w:val="12"/>
        </w:rPr>
        <w:t xml:space="preserve"> </w:t>
      </w:r>
      <w:r>
        <w:rPr>
          <w:spacing w:val="-1"/>
        </w:rPr>
        <w:t>its</w:t>
      </w:r>
      <w:r>
        <w:rPr>
          <w:spacing w:val="13"/>
        </w:rPr>
        <w:t xml:space="preserve"> </w:t>
      </w:r>
      <w:r>
        <w:rPr>
          <w:spacing w:val="-1"/>
        </w:rPr>
        <w:t>practices</w:t>
      </w:r>
      <w:r>
        <w:rPr>
          <w:spacing w:val="13"/>
        </w:rPr>
        <w:t xml:space="preserve"> </w:t>
      </w:r>
      <w:r>
        <w:rPr>
          <w:spacing w:val="-1"/>
        </w:rPr>
        <w:t>or</w:t>
      </w:r>
      <w:r>
        <w:rPr>
          <w:spacing w:val="65"/>
        </w:rPr>
        <w:t xml:space="preserve"> </w:t>
      </w:r>
      <w:r>
        <w:rPr>
          <w:spacing w:val="-1"/>
        </w:rPr>
        <w:t>procedures</w:t>
      </w:r>
      <w:r>
        <w:rPr>
          <w:spacing w:val="30"/>
        </w:rPr>
        <w:t xml:space="preserve"> </w:t>
      </w:r>
      <w:r>
        <w:rPr>
          <w:spacing w:val="-1"/>
        </w:rPr>
        <w:t>necessary</w:t>
      </w:r>
      <w:r>
        <w:rPr>
          <w:spacing w:val="27"/>
        </w:rPr>
        <w:t xml:space="preserve"> </w:t>
      </w:r>
      <w:r>
        <w:rPr>
          <w:spacing w:val="-2"/>
        </w:rPr>
        <w:t>so</w:t>
      </w:r>
      <w:r>
        <w:rPr>
          <w:spacing w:val="29"/>
        </w:rPr>
        <w:t xml:space="preserve"> </w:t>
      </w:r>
      <w:r>
        <w:rPr>
          <w:spacing w:val="-1"/>
        </w:rPr>
        <w:t>as</w:t>
      </w:r>
      <w:r>
        <w:rPr>
          <w:spacing w:val="30"/>
        </w:rPr>
        <w:t xml:space="preserve"> </w:t>
      </w:r>
      <w:r>
        <w:t>to</w:t>
      </w:r>
      <w:r>
        <w:rPr>
          <w:spacing w:val="29"/>
        </w:rPr>
        <w:t xml:space="preserve"> </w:t>
      </w:r>
      <w:r>
        <w:rPr>
          <w:spacing w:val="-1"/>
        </w:rPr>
        <w:t>give</w:t>
      </w:r>
      <w:r>
        <w:rPr>
          <w:spacing w:val="29"/>
        </w:rPr>
        <w:t xml:space="preserve"> </w:t>
      </w:r>
      <w:r>
        <w:rPr>
          <w:spacing w:val="-1"/>
        </w:rPr>
        <w:t>effect</w:t>
      </w:r>
      <w:r>
        <w:rPr>
          <w:spacing w:val="30"/>
        </w:rPr>
        <w:t xml:space="preserve"> </w:t>
      </w:r>
      <w:r>
        <w:t>to</w:t>
      </w:r>
      <w:r>
        <w:rPr>
          <w:spacing w:val="27"/>
        </w:rPr>
        <w:t xml:space="preserve"> </w:t>
      </w:r>
      <w:r>
        <w:rPr>
          <w:spacing w:val="-1"/>
        </w:rPr>
        <w:t>the</w:t>
      </w:r>
      <w:r>
        <w:rPr>
          <w:spacing w:val="29"/>
        </w:rPr>
        <w:t xml:space="preserve"> </w:t>
      </w:r>
      <w:r>
        <w:rPr>
          <w:spacing w:val="-1"/>
        </w:rPr>
        <w:t>Supplier's</w:t>
      </w:r>
      <w:r>
        <w:rPr>
          <w:spacing w:val="30"/>
        </w:rPr>
        <w:t xml:space="preserve"> </w:t>
      </w:r>
      <w:r>
        <w:rPr>
          <w:spacing w:val="-1"/>
        </w:rPr>
        <w:t>Proposals.</w:t>
      </w:r>
      <w:r>
        <w:rPr>
          <w:spacing w:val="29"/>
        </w:rPr>
        <w:t xml:space="preserve"> </w:t>
      </w:r>
      <w:r>
        <w:rPr>
          <w:spacing w:val="-1"/>
        </w:rPr>
        <w:t>Any</w:t>
      </w:r>
      <w:r>
        <w:rPr>
          <w:spacing w:val="27"/>
        </w:rPr>
        <w:t xml:space="preserve"> </w:t>
      </w:r>
      <w:r>
        <w:rPr>
          <w:spacing w:val="-1"/>
        </w:rPr>
        <w:t>such</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left="828" w:right="114" w:firstLine="0"/>
        <w:jc w:val="both"/>
      </w:pPr>
      <w:r>
        <w:rPr>
          <w:spacing w:val="-1"/>
        </w:rPr>
        <w:t>change</w:t>
      </w:r>
      <w:r>
        <w:rPr>
          <w:spacing w:val="12"/>
        </w:rPr>
        <w:t xml:space="preserve"> </w:t>
      </w:r>
      <w:r>
        <w:rPr>
          <w:spacing w:val="-1"/>
        </w:rPr>
        <w:t>shall</w:t>
      </w:r>
      <w:r>
        <w:rPr>
          <w:spacing w:val="14"/>
        </w:rPr>
        <w:t xml:space="preserve"> </w:t>
      </w:r>
      <w:r>
        <w:rPr>
          <w:spacing w:val="-1"/>
        </w:rPr>
        <w:t>be</w:t>
      </w:r>
      <w:r>
        <w:rPr>
          <w:spacing w:val="15"/>
        </w:rPr>
        <w:t xml:space="preserve"> </w:t>
      </w:r>
      <w:r>
        <w:rPr>
          <w:spacing w:val="-1"/>
        </w:rPr>
        <w:t>at</w:t>
      </w:r>
      <w:r>
        <w:rPr>
          <w:spacing w:val="14"/>
        </w:rPr>
        <w:t xml:space="preserve"> </w:t>
      </w:r>
      <w:r>
        <w:t>the</w:t>
      </w:r>
      <w:r>
        <w:rPr>
          <w:spacing w:val="15"/>
        </w:rPr>
        <w:t xml:space="preserve"> </w:t>
      </w:r>
      <w:r>
        <w:rPr>
          <w:spacing w:val="-2"/>
        </w:rPr>
        <w:t>Supplier’s</w:t>
      </w:r>
      <w:r>
        <w:rPr>
          <w:spacing w:val="15"/>
        </w:rPr>
        <w:t xml:space="preserve"> </w:t>
      </w:r>
      <w:r>
        <w:rPr>
          <w:spacing w:val="-2"/>
        </w:rPr>
        <w:t>expense</w:t>
      </w:r>
      <w:r>
        <w:rPr>
          <w:spacing w:val="15"/>
        </w:rPr>
        <w:t xml:space="preserve"> </w:t>
      </w:r>
      <w:r>
        <w:rPr>
          <w:spacing w:val="-1"/>
        </w:rPr>
        <w:t>unless</w:t>
      </w:r>
      <w:r>
        <w:rPr>
          <w:spacing w:val="18"/>
        </w:rPr>
        <w:t xml:space="preserve"> </w:t>
      </w:r>
      <w:r>
        <w:rPr>
          <w:spacing w:val="-1"/>
        </w:rPr>
        <w:t>it</w:t>
      </w:r>
      <w:r>
        <w:rPr>
          <w:spacing w:val="16"/>
        </w:rPr>
        <w:t xml:space="preserve"> </w:t>
      </w:r>
      <w:r>
        <w:rPr>
          <w:spacing w:val="-1"/>
        </w:rPr>
        <w:t>can</w:t>
      </w:r>
      <w:r>
        <w:rPr>
          <w:spacing w:val="15"/>
        </w:rPr>
        <w:t xml:space="preserve"> </w:t>
      </w:r>
      <w:r>
        <w:rPr>
          <w:spacing w:val="-1"/>
        </w:rPr>
        <w:t>be</w:t>
      </w:r>
      <w:r>
        <w:rPr>
          <w:spacing w:val="12"/>
        </w:rPr>
        <w:t xml:space="preserve"> </w:t>
      </w:r>
      <w:r>
        <w:rPr>
          <w:spacing w:val="-1"/>
        </w:rPr>
        <w:t>reasonably</w:t>
      </w:r>
      <w:r>
        <w:rPr>
          <w:spacing w:val="13"/>
        </w:rPr>
        <w:t xml:space="preserve"> </w:t>
      </w:r>
      <w:r>
        <w:rPr>
          <w:spacing w:val="-2"/>
        </w:rPr>
        <w:t>shown</w:t>
      </w:r>
      <w:r>
        <w:rPr>
          <w:spacing w:val="15"/>
        </w:rPr>
        <w:t xml:space="preserve"> </w:t>
      </w:r>
      <w:r>
        <w:rPr>
          <w:spacing w:val="-1"/>
        </w:rPr>
        <w:t>that</w:t>
      </w:r>
      <w:r>
        <w:rPr>
          <w:spacing w:val="62"/>
        </w:rPr>
        <w:t xml:space="preserve"> </w:t>
      </w:r>
      <w:r>
        <w:t>the</w:t>
      </w:r>
      <w:r>
        <w:rPr>
          <w:spacing w:val="31"/>
        </w:rPr>
        <w:t xml:space="preserve"> </w:t>
      </w:r>
      <w:r>
        <w:rPr>
          <w:spacing w:val="-1"/>
        </w:rPr>
        <w:t>changes</w:t>
      </w:r>
      <w:r>
        <w:rPr>
          <w:spacing w:val="30"/>
        </w:rPr>
        <w:t xml:space="preserve"> </w:t>
      </w:r>
      <w:r>
        <w:rPr>
          <w:spacing w:val="-1"/>
        </w:rPr>
        <w:t>are</w:t>
      </w:r>
      <w:r>
        <w:rPr>
          <w:spacing w:val="29"/>
        </w:rPr>
        <w:t xml:space="preserve"> </w:t>
      </w:r>
      <w:r>
        <w:rPr>
          <w:spacing w:val="-1"/>
        </w:rPr>
        <w:t>required</w:t>
      </w:r>
      <w:r>
        <w:rPr>
          <w:spacing w:val="31"/>
        </w:rPr>
        <w:t xml:space="preserve"> </w:t>
      </w:r>
      <w:r>
        <w:rPr>
          <w:spacing w:val="-1"/>
        </w:rPr>
        <w:t>because</w:t>
      </w:r>
      <w:r>
        <w:rPr>
          <w:spacing w:val="32"/>
        </w:rPr>
        <w:t xml:space="preserve"> </w:t>
      </w:r>
      <w:r>
        <w:rPr>
          <w:spacing w:val="-2"/>
        </w:rPr>
        <w:t>of</w:t>
      </w:r>
      <w:r>
        <w:rPr>
          <w:spacing w:val="33"/>
        </w:rPr>
        <w:t xml:space="preserve"> </w:t>
      </w:r>
      <w:r>
        <w:t>a</w:t>
      </w:r>
      <w:r>
        <w:rPr>
          <w:spacing w:val="29"/>
        </w:rPr>
        <w:t xml:space="preserve"> </w:t>
      </w:r>
      <w:r>
        <w:rPr>
          <w:spacing w:val="-1"/>
        </w:rPr>
        <w:t>material</w:t>
      </w:r>
      <w:r>
        <w:rPr>
          <w:spacing w:val="31"/>
        </w:rPr>
        <w:t xml:space="preserve"> </w:t>
      </w:r>
      <w:r>
        <w:rPr>
          <w:spacing w:val="-1"/>
        </w:rPr>
        <w:t>change</w:t>
      </w:r>
      <w:r>
        <w:rPr>
          <w:spacing w:val="29"/>
        </w:rPr>
        <w:t xml:space="preserve"> </w:t>
      </w:r>
      <w:r>
        <w:t>to</w:t>
      </w:r>
      <w:r>
        <w:rPr>
          <w:spacing w:val="31"/>
        </w:rPr>
        <w:t xml:space="preserve"> </w:t>
      </w:r>
      <w:r>
        <w:t>the</w:t>
      </w:r>
      <w:r>
        <w:rPr>
          <w:spacing w:val="29"/>
        </w:rPr>
        <w:t xml:space="preserve"> </w:t>
      </w:r>
      <w:r>
        <w:rPr>
          <w:spacing w:val="-2"/>
        </w:rPr>
        <w:t>risk</w:t>
      </w:r>
      <w:r>
        <w:rPr>
          <w:spacing w:val="33"/>
        </w:rPr>
        <w:t xml:space="preserve"> </w:t>
      </w:r>
      <w:r>
        <w:rPr>
          <w:spacing w:val="-1"/>
        </w:rPr>
        <w:t>profile</w:t>
      </w:r>
      <w:r>
        <w:rPr>
          <w:spacing w:val="31"/>
        </w:rPr>
        <w:t xml:space="preserve"> </w:t>
      </w:r>
      <w:r>
        <w:rPr>
          <w:spacing w:val="-2"/>
        </w:rPr>
        <w:t>of</w:t>
      </w:r>
      <w:r>
        <w:rPr>
          <w:spacing w:val="35"/>
        </w:rPr>
        <w:t xml:space="preserve"> </w:t>
      </w:r>
      <w:r>
        <w:rPr>
          <w:spacing w:val="-2"/>
        </w:rPr>
        <w:t>the</w:t>
      </w:r>
      <w:r>
        <w:rPr>
          <w:spacing w:val="41"/>
        </w:rPr>
        <w:t xml:space="preserve"> </w:t>
      </w:r>
      <w:r>
        <w:rPr>
          <w:spacing w:val="-1"/>
        </w:rPr>
        <w:t>Goods</w:t>
      </w:r>
      <w:r>
        <w:rPr>
          <w:spacing w:val="1"/>
        </w:rPr>
        <w:t xml:space="preserve"> </w:t>
      </w:r>
      <w:r>
        <w:rPr>
          <w:spacing w:val="-1"/>
        </w:rPr>
        <w:t>and/or Services.</w:t>
      </w:r>
    </w:p>
    <w:p w:rsidR="008918FA" w:rsidRDefault="008918FA" w:rsidP="008918FA">
      <w:pPr>
        <w:pStyle w:val="BodyText"/>
        <w:numPr>
          <w:ilvl w:val="0"/>
          <w:numId w:val="10"/>
        </w:numPr>
        <w:tabs>
          <w:tab w:val="left" w:pos="467"/>
        </w:tabs>
        <w:spacing w:before="117"/>
        <w:ind w:left="466"/>
        <w:jc w:val="left"/>
        <w:rPr>
          <w:rFonts w:ascii="Times New Roman" w:eastAsia="Times New Roman" w:hAnsi="Times New Roman" w:cs="Times New Roman"/>
        </w:rPr>
      </w:pPr>
      <w:r>
        <w:rPr>
          <w:rFonts w:ascii="Times New Roman"/>
          <w:spacing w:val="2"/>
        </w:rPr>
        <w:t>TES</w:t>
      </w:r>
      <w:r>
        <w:rPr>
          <w:rFonts w:ascii="Times New Roman"/>
          <w:spacing w:val="-29"/>
        </w:rPr>
        <w:t xml:space="preserve"> </w:t>
      </w:r>
      <w:r>
        <w:rPr>
          <w:rFonts w:ascii="Times New Roman"/>
          <w:spacing w:val="-5"/>
        </w:rPr>
        <w:t>TING</w:t>
      </w:r>
      <w:r>
        <w:rPr>
          <w:rFonts w:ascii="Times New Roman"/>
          <w:spacing w:val="20"/>
        </w:rPr>
        <w:t xml:space="preserve"> </w:t>
      </w:r>
      <w:r>
        <w:rPr>
          <w:rFonts w:ascii="Times New Roman"/>
          <w:spacing w:val="6"/>
        </w:rPr>
        <w:t>OF</w:t>
      </w:r>
      <w:r>
        <w:rPr>
          <w:rFonts w:ascii="Times New Roman"/>
          <w:spacing w:val="19"/>
        </w:rPr>
        <w:t xml:space="preserve"> </w:t>
      </w:r>
      <w:r>
        <w:rPr>
          <w:rFonts w:ascii="Times New Roman"/>
          <w:spacing w:val="-2"/>
        </w:rPr>
        <w:t>THE</w:t>
      </w:r>
      <w:r>
        <w:rPr>
          <w:rFonts w:ascii="Times New Roman"/>
          <w:spacing w:val="18"/>
        </w:rPr>
        <w:t xml:space="preserve"> </w:t>
      </w:r>
      <w:r>
        <w:rPr>
          <w:rFonts w:ascii="Times New Roman"/>
          <w:spacing w:val="5"/>
        </w:rPr>
        <w:t>BCDR</w:t>
      </w:r>
      <w:r>
        <w:rPr>
          <w:rFonts w:ascii="Times New Roman"/>
          <w:spacing w:val="18"/>
        </w:rPr>
        <w:t xml:space="preserve"> </w:t>
      </w:r>
      <w:r>
        <w:rPr>
          <w:rFonts w:ascii="Times New Roman"/>
          <w:spacing w:val="3"/>
        </w:rPr>
        <w:t>PLAN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10"/>
        </w:numPr>
        <w:tabs>
          <w:tab w:val="left" w:pos="829"/>
        </w:tabs>
        <w:spacing w:before="0"/>
        <w:ind w:right="114"/>
        <w:jc w:val="both"/>
      </w:pPr>
      <w:r>
        <w:t xml:space="preserve">The </w:t>
      </w:r>
      <w:r>
        <w:rPr>
          <w:spacing w:val="-2"/>
        </w:rPr>
        <w:t>Supplier</w:t>
      </w:r>
      <w:r>
        <w:rPr>
          <w:spacing w:val="2"/>
        </w:rPr>
        <w:t xml:space="preserve"> </w:t>
      </w:r>
      <w:r>
        <w:rPr>
          <w:spacing w:val="-1"/>
        </w:rPr>
        <w:t>shall</w:t>
      </w:r>
      <w:r>
        <w:t xml:space="preserve"> </w:t>
      </w:r>
      <w:r>
        <w:rPr>
          <w:spacing w:val="-1"/>
        </w:rPr>
        <w:t>test</w:t>
      </w:r>
      <w:r>
        <w:t xml:space="preserve"> </w:t>
      </w:r>
      <w:r>
        <w:rPr>
          <w:spacing w:val="-1"/>
        </w:rPr>
        <w:t>the</w:t>
      </w:r>
      <w:r>
        <w:t xml:space="preserve"> </w:t>
      </w:r>
      <w:r>
        <w:rPr>
          <w:spacing w:val="-2"/>
        </w:rPr>
        <w:t>BCDR</w:t>
      </w:r>
      <w:r>
        <w:t xml:space="preserve"> </w:t>
      </w:r>
      <w:r>
        <w:rPr>
          <w:spacing w:val="-1"/>
        </w:rPr>
        <w:t>Plan</w:t>
      </w:r>
      <w:r>
        <w:t xml:space="preserve"> </w:t>
      </w:r>
      <w:r>
        <w:rPr>
          <w:spacing w:val="-1"/>
        </w:rPr>
        <w:t>on</w:t>
      </w:r>
      <w:r>
        <w:t xml:space="preserve"> a </w:t>
      </w:r>
      <w:r>
        <w:rPr>
          <w:spacing w:val="-1"/>
        </w:rPr>
        <w:t>regular</w:t>
      </w:r>
      <w:r>
        <w:rPr>
          <w:spacing w:val="2"/>
        </w:rPr>
        <w:t xml:space="preserve"> </w:t>
      </w:r>
      <w:r>
        <w:rPr>
          <w:spacing w:val="-1"/>
        </w:rPr>
        <w:t>basis</w:t>
      </w:r>
      <w:r>
        <w:rPr>
          <w:spacing w:val="1"/>
        </w:rPr>
        <w:t xml:space="preserve"> </w:t>
      </w:r>
      <w:r>
        <w:rPr>
          <w:spacing w:val="-1"/>
        </w:rPr>
        <w:t>(and</w:t>
      </w:r>
      <w:r>
        <w:t xml:space="preserve"> </w:t>
      </w:r>
      <w:r>
        <w:rPr>
          <w:spacing w:val="-1"/>
        </w:rPr>
        <w:t>in</w:t>
      </w:r>
      <w:r>
        <w:t xml:space="preserve"> </w:t>
      </w:r>
      <w:r>
        <w:rPr>
          <w:spacing w:val="-1"/>
        </w:rPr>
        <w:t>any</w:t>
      </w:r>
      <w:r>
        <w:rPr>
          <w:spacing w:val="-2"/>
        </w:rPr>
        <w:t xml:space="preserve"> event</w:t>
      </w:r>
      <w:r>
        <w:rPr>
          <w:spacing w:val="2"/>
        </w:rPr>
        <w:t xml:space="preserve"> </w:t>
      </w:r>
      <w:r>
        <w:rPr>
          <w:spacing w:val="-1"/>
        </w:rPr>
        <w:t>not</w:t>
      </w:r>
      <w:r>
        <w:rPr>
          <w:spacing w:val="2"/>
        </w:rPr>
        <w:t xml:space="preserve"> </w:t>
      </w:r>
      <w:r>
        <w:rPr>
          <w:spacing w:val="-2"/>
        </w:rPr>
        <w:t>less</w:t>
      </w:r>
      <w:r>
        <w:rPr>
          <w:spacing w:val="58"/>
        </w:rPr>
        <w:t xml:space="preserve"> </w:t>
      </w:r>
      <w:r>
        <w:rPr>
          <w:spacing w:val="-1"/>
        </w:rPr>
        <w:t>than</w:t>
      </w:r>
      <w:r>
        <w:rPr>
          <w:spacing w:val="60"/>
        </w:rPr>
        <w:t xml:space="preserve"> </w:t>
      </w:r>
      <w:r>
        <w:rPr>
          <w:spacing w:val="-1"/>
        </w:rPr>
        <w:t>once</w:t>
      </w:r>
      <w:r w:rsidR="001C1527">
        <w:t xml:space="preserve"> </w:t>
      </w:r>
      <w:r>
        <w:rPr>
          <w:spacing w:val="-1"/>
        </w:rPr>
        <w:t>in</w:t>
      </w:r>
      <w:r>
        <w:rPr>
          <w:spacing w:val="60"/>
        </w:rPr>
        <w:t xml:space="preserve"> </w:t>
      </w:r>
      <w:r>
        <w:rPr>
          <w:spacing w:val="-1"/>
        </w:rPr>
        <w:t>every</w:t>
      </w:r>
      <w:r>
        <w:rPr>
          <w:spacing w:val="58"/>
        </w:rPr>
        <w:t xml:space="preserve"> </w:t>
      </w:r>
      <w:r>
        <w:rPr>
          <w:spacing w:val="-1"/>
        </w:rPr>
        <w:t>Contract</w:t>
      </w:r>
      <w:r>
        <w:rPr>
          <w:spacing w:val="1"/>
        </w:rPr>
        <w:t xml:space="preserve"> </w:t>
      </w:r>
      <w:r>
        <w:rPr>
          <w:spacing w:val="-1"/>
        </w:rPr>
        <w:t>Year).</w:t>
      </w:r>
      <w:r>
        <w:rPr>
          <w:spacing w:val="1"/>
        </w:rPr>
        <w:t xml:space="preserve"> </w:t>
      </w:r>
      <w:r>
        <w:rPr>
          <w:spacing w:val="-1"/>
        </w:rPr>
        <w:t>Subject</w:t>
      </w:r>
      <w:r>
        <w:rPr>
          <w:spacing w:val="60"/>
        </w:rPr>
        <w:t xml:space="preserve"> </w:t>
      </w:r>
      <w:r>
        <w:rPr>
          <w:spacing w:val="-1"/>
        </w:rPr>
        <w:t>to</w:t>
      </w:r>
      <w:r>
        <w:rPr>
          <w:spacing w:val="1"/>
        </w:rPr>
        <w:t xml:space="preserve"> </w:t>
      </w:r>
      <w:r>
        <w:rPr>
          <w:spacing w:val="-1"/>
        </w:rPr>
        <w:t>paragraph</w:t>
      </w:r>
      <w:r>
        <w:rPr>
          <w:spacing w:val="-2"/>
        </w:rPr>
        <w:t xml:space="preserve"> </w:t>
      </w:r>
      <w:hyperlink w:anchor="_bookmark365" w:history="1">
        <w:r>
          <w:t>7.2</w:t>
        </w:r>
      </w:hyperlink>
      <w:r>
        <w:rPr>
          <w:spacing w:val="60"/>
        </w:rPr>
        <w:t xml:space="preserve"> </w:t>
      </w:r>
      <w:r>
        <w:rPr>
          <w:spacing w:val="-2"/>
        </w:rPr>
        <w:t>of</w:t>
      </w:r>
      <w:r>
        <w:rPr>
          <w:spacing w:val="1"/>
        </w:rPr>
        <w:t xml:space="preserve"> </w:t>
      </w:r>
      <w:r>
        <w:rPr>
          <w:spacing w:val="-1"/>
        </w:rPr>
        <w:t>this</w:t>
      </w:r>
      <w:r>
        <w:rPr>
          <w:spacing w:val="58"/>
        </w:rPr>
        <w:t xml:space="preserve"> </w:t>
      </w:r>
      <w:r>
        <w:rPr>
          <w:spacing w:val="-2"/>
        </w:rPr>
        <w:t>Call</w:t>
      </w:r>
      <w:r>
        <w:rPr>
          <w:spacing w:val="60"/>
        </w:rPr>
        <w:t xml:space="preserve"> </w:t>
      </w:r>
      <w:r>
        <w:rPr>
          <w:spacing w:val="-1"/>
        </w:rPr>
        <w:t>Off</w:t>
      </w:r>
      <w:r>
        <w:rPr>
          <w:spacing w:val="45"/>
        </w:rPr>
        <w:t xml:space="preserve"> </w:t>
      </w:r>
      <w:r>
        <w:rPr>
          <w:spacing w:val="-1"/>
        </w:rPr>
        <w:t>Schedule,</w:t>
      </w:r>
      <w:r>
        <w:rPr>
          <w:spacing w:val="42"/>
        </w:rPr>
        <w:t xml:space="preserve"> </w:t>
      </w:r>
      <w:r>
        <w:t>the</w:t>
      </w:r>
      <w:r>
        <w:rPr>
          <w:spacing w:val="41"/>
        </w:rPr>
        <w:t xml:space="preserve"> </w:t>
      </w:r>
      <w:r>
        <w:rPr>
          <w:spacing w:val="-2"/>
        </w:rPr>
        <w:t>Customer</w:t>
      </w:r>
      <w:r>
        <w:rPr>
          <w:spacing w:val="40"/>
        </w:rPr>
        <w:t xml:space="preserve"> </w:t>
      </w:r>
      <w:r>
        <w:rPr>
          <w:spacing w:val="-1"/>
        </w:rPr>
        <w:t>may</w:t>
      </w:r>
      <w:r>
        <w:rPr>
          <w:spacing w:val="39"/>
        </w:rPr>
        <w:t xml:space="preserve"> </w:t>
      </w:r>
      <w:r>
        <w:rPr>
          <w:spacing w:val="-1"/>
        </w:rPr>
        <w:t>require</w:t>
      </w:r>
      <w:r>
        <w:rPr>
          <w:spacing w:val="38"/>
        </w:rPr>
        <w:t xml:space="preserve"> </w:t>
      </w:r>
      <w:r>
        <w:t>the</w:t>
      </w:r>
      <w:r>
        <w:rPr>
          <w:spacing w:val="41"/>
        </w:rPr>
        <w:t xml:space="preserve"> </w:t>
      </w:r>
      <w:r>
        <w:rPr>
          <w:spacing w:val="-2"/>
        </w:rPr>
        <w:t>Supplier</w:t>
      </w:r>
      <w:r>
        <w:rPr>
          <w:spacing w:val="43"/>
        </w:rPr>
        <w:t xml:space="preserve"> </w:t>
      </w:r>
      <w:r>
        <w:t>to</w:t>
      </w:r>
      <w:r>
        <w:rPr>
          <w:spacing w:val="38"/>
        </w:rPr>
        <w:t xml:space="preserve"> </w:t>
      </w:r>
      <w:r>
        <w:rPr>
          <w:spacing w:val="-1"/>
        </w:rPr>
        <w:t>conduct</w:t>
      </w:r>
      <w:r>
        <w:rPr>
          <w:spacing w:val="42"/>
        </w:rPr>
        <w:t xml:space="preserve"> </w:t>
      </w:r>
      <w:r>
        <w:rPr>
          <w:spacing w:val="-1"/>
        </w:rPr>
        <w:t>additional</w:t>
      </w:r>
      <w:r>
        <w:rPr>
          <w:spacing w:val="40"/>
        </w:rPr>
        <w:t xml:space="preserve"> </w:t>
      </w:r>
      <w:r>
        <w:rPr>
          <w:spacing w:val="-1"/>
        </w:rPr>
        <w:t>tests</w:t>
      </w:r>
      <w:r>
        <w:rPr>
          <w:spacing w:val="36"/>
        </w:rPr>
        <w:t xml:space="preserve"> </w:t>
      </w:r>
      <w:r>
        <w:rPr>
          <w:spacing w:val="-2"/>
        </w:rPr>
        <w:t>of</w:t>
      </w:r>
      <w:r>
        <w:rPr>
          <w:spacing w:val="53"/>
        </w:rPr>
        <w:t xml:space="preserve"> </w:t>
      </w:r>
      <w:r>
        <w:rPr>
          <w:spacing w:val="-1"/>
        </w:rPr>
        <w:t>some</w:t>
      </w:r>
      <w:r>
        <w:rPr>
          <w:spacing w:val="5"/>
        </w:rPr>
        <w:t xml:space="preserve"> </w:t>
      </w:r>
      <w:r>
        <w:rPr>
          <w:spacing w:val="-2"/>
        </w:rPr>
        <w:t>or</w:t>
      </w:r>
      <w:r>
        <w:rPr>
          <w:spacing w:val="6"/>
        </w:rPr>
        <w:t xml:space="preserve"> </w:t>
      </w:r>
      <w:r>
        <w:rPr>
          <w:spacing w:val="-1"/>
        </w:rPr>
        <w:t>all</w:t>
      </w:r>
      <w:r>
        <w:rPr>
          <w:spacing w:val="4"/>
        </w:rPr>
        <w:t xml:space="preserve"> </w:t>
      </w:r>
      <w:r>
        <w:rPr>
          <w:spacing w:val="-1"/>
        </w:rPr>
        <w:t>aspects</w:t>
      </w:r>
      <w:r>
        <w:rPr>
          <w:spacing w:val="5"/>
        </w:rPr>
        <w:t xml:space="preserve"> </w:t>
      </w:r>
      <w:r>
        <w:rPr>
          <w:spacing w:val="-2"/>
        </w:rPr>
        <w:t>of</w:t>
      </w:r>
      <w:r>
        <w:rPr>
          <w:spacing w:val="4"/>
        </w:rPr>
        <w:t xml:space="preserve"> </w:t>
      </w:r>
      <w:r>
        <w:rPr>
          <w:spacing w:val="-1"/>
        </w:rPr>
        <w:t>the</w:t>
      </w:r>
      <w:r>
        <w:rPr>
          <w:spacing w:val="5"/>
        </w:rPr>
        <w:t xml:space="preserve"> </w:t>
      </w:r>
      <w:r>
        <w:rPr>
          <w:spacing w:val="-2"/>
        </w:rPr>
        <w:t>BCDR</w:t>
      </w:r>
      <w:r>
        <w:rPr>
          <w:spacing w:val="4"/>
        </w:rPr>
        <w:t xml:space="preserve"> </w:t>
      </w:r>
      <w:r>
        <w:rPr>
          <w:spacing w:val="-1"/>
        </w:rPr>
        <w:t>Plan</w:t>
      </w:r>
      <w:r>
        <w:rPr>
          <w:spacing w:val="5"/>
        </w:rPr>
        <w:t xml:space="preserve"> </w:t>
      </w:r>
      <w:r>
        <w:rPr>
          <w:spacing w:val="-1"/>
        </w:rPr>
        <w:t>at</w:t>
      </w:r>
      <w:r>
        <w:rPr>
          <w:spacing w:val="7"/>
        </w:rPr>
        <w:t xml:space="preserve"> </w:t>
      </w:r>
      <w:r>
        <w:rPr>
          <w:spacing w:val="-1"/>
        </w:rPr>
        <w:t>any</w:t>
      </w:r>
      <w:r>
        <w:rPr>
          <w:spacing w:val="3"/>
        </w:rPr>
        <w:t xml:space="preserve"> </w:t>
      </w:r>
      <w:r>
        <w:rPr>
          <w:spacing w:val="-1"/>
        </w:rPr>
        <w:t>time</w:t>
      </w:r>
      <w:r>
        <w:rPr>
          <w:spacing w:val="5"/>
        </w:rPr>
        <w:t xml:space="preserve"> </w:t>
      </w:r>
      <w:r>
        <w:rPr>
          <w:spacing w:val="-2"/>
        </w:rPr>
        <w:t>where</w:t>
      </w:r>
      <w:r>
        <w:rPr>
          <w:spacing w:val="5"/>
        </w:rPr>
        <w:t xml:space="preserve"> </w:t>
      </w:r>
      <w:r>
        <w:t>the</w:t>
      </w:r>
      <w:r>
        <w:rPr>
          <w:spacing w:val="5"/>
        </w:rPr>
        <w:t xml:space="preserve"> </w:t>
      </w:r>
      <w:r>
        <w:rPr>
          <w:spacing w:val="-2"/>
        </w:rPr>
        <w:t>Customer</w:t>
      </w:r>
      <w:r>
        <w:rPr>
          <w:spacing w:val="6"/>
        </w:rPr>
        <w:t xml:space="preserve"> </w:t>
      </w:r>
      <w:r>
        <w:rPr>
          <w:spacing w:val="-1"/>
        </w:rPr>
        <w:t>considers</w:t>
      </w:r>
      <w:r>
        <w:rPr>
          <w:spacing w:val="5"/>
        </w:rPr>
        <w:t xml:space="preserve"> </w:t>
      </w:r>
      <w:r>
        <w:rPr>
          <w:spacing w:val="-2"/>
        </w:rPr>
        <w:t>it</w:t>
      </w:r>
      <w:r>
        <w:rPr>
          <w:spacing w:val="51"/>
        </w:rPr>
        <w:t xml:space="preserve"> </w:t>
      </w:r>
      <w:r>
        <w:rPr>
          <w:spacing w:val="-1"/>
        </w:rPr>
        <w:t>necessary,</w:t>
      </w:r>
      <w:r>
        <w:rPr>
          <w:spacing w:val="5"/>
        </w:rPr>
        <w:t xml:space="preserve"> </w:t>
      </w:r>
      <w:r>
        <w:rPr>
          <w:spacing w:val="-2"/>
        </w:rPr>
        <w:t>including</w:t>
      </w:r>
      <w:r>
        <w:rPr>
          <w:spacing w:val="6"/>
        </w:rPr>
        <w:t xml:space="preserve"> </w:t>
      </w:r>
      <w:r>
        <w:rPr>
          <w:spacing w:val="-1"/>
        </w:rPr>
        <w:t>where</w:t>
      </w:r>
      <w:r>
        <w:rPr>
          <w:spacing w:val="4"/>
        </w:rPr>
        <w:t xml:space="preserve"> </w:t>
      </w:r>
      <w:r>
        <w:rPr>
          <w:spacing w:val="-1"/>
        </w:rPr>
        <w:t>there</w:t>
      </w:r>
      <w:r>
        <w:rPr>
          <w:spacing w:val="4"/>
        </w:rPr>
        <w:t xml:space="preserve"> </w:t>
      </w:r>
      <w:r>
        <w:rPr>
          <w:spacing w:val="-1"/>
        </w:rPr>
        <w:t>has</w:t>
      </w:r>
      <w:r>
        <w:rPr>
          <w:spacing w:val="4"/>
        </w:rPr>
        <w:t xml:space="preserve"> </w:t>
      </w:r>
      <w:r>
        <w:rPr>
          <w:spacing w:val="-1"/>
        </w:rPr>
        <w:t>been</w:t>
      </w:r>
      <w:r>
        <w:rPr>
          <w:spacing w:val="4"/>
        </w:rPr>
        <w:t xml:space="preserve"> </w:t>
      </w:r>
      <w:r>
        <w:rPr>
          <w:spacing w:val="-2"/>
        </w:rPr>
        <w:t>any</w:t>
      </w:r>
      <w:r>
        <w:rPr>
          <w:spacing w:val="2"/>
        </w:rPr>
        <w:t xml:space="preserve"> </w:t>
      </w:r>
      <w:r>
        <w:rPr>
          <w:spacing w:val="-1"/>
        </w:rPr>
        <w:t>change</w:t>
      </w:r>
      <w:r>
        <w:rPr>
          <w:spacing w:val="4"/>
        </w:rPr>
        <w:t xml:space="preserve"> </w:t>
      </w:r>
      <w:r>
        <w:t>to</w:t>
      </w:r>
      <w:r>
        <w:rPr>
          <w:spacing w:val="4"/>
        </w:rPr>
        <w:t xml:space="preserve"> </w:t>
      </w:r>
      <w:r>
        <w:t>the</w:t>
      </w:r>
      <w:r>
        <w:rPr>
          <w:spacing w:val="4"/>
        </w:rPr>
        <w:t xml:space="preserve"> </w:t>
      </w:r>
      <w:r>
        <w:rPr>
          <w:spacing w:val="-1"/>
        </w:rPr>
        <w:t>Goods</w:t>
      </w:r>
      <w:r>
        <w:rPr>
          <w:spacing w:val="4"/>
        </w:rPr>
        <w:t xml:space="preserve"> </w:t>
      </w:r>
      <w:r>
        <w:rPr>
          <w:spacing w:val="-1"/>
        </w:rPr>
        <w:t>and/or</w:t>
      </w:r>
      <w:r>
        <w:rPr>
          <w:spacing w:val="56"/>
        </w:rPr>
        <w:t xml:space="preserve"> </w:t>
      </w:r>
      <w:r>
        <w:rPr>
          <w:spacing w:val="-1"/>
        </w:rPr>
        <w:t>Services</w:t>
      </w:r>
      <w:r>
        <w:rPr>
          <w:spacing w:val="11"/>
        </w:rPr>
        <w:t xml:space="preserve"> </w:t>
      </w:r>
      <w:r>
        <w:rPr>
          <w:spacing w:val="-1"/>
        </w:rPr>
        <w:t>or</w:t>
      </w:r>
      <w:r>
        <w:rPr>
          <w:spacing w:val="11"/>
        </w:rPr>
        <w:t xml:space="preserve"> </w:t>
      </w:r>
      <w:r>
        <w:rPr>
          <w:spacing w:val="-1"/>
        </w:rPr>
        <w:t>any</w:t>
      </w:r>
      <w:r>
        <w:rPr>
          <w:spacing w:val="8"/>
        </w:rPr>
        <w:t xml:space="preserve"> </w:t>
      </w:r>
      <w:r>
        <w:rPr>
          <w:spacing w:val="-1"/>
        </w:rPr>
        <w:t>underlying</w:t>
      </w:r>
      <w:r>
        <w:rPr>
          <w:spacing w:val="12"/>
        </w:rPr>
        <w:t xml:space="preserve"> </w:t>
      </w:r>
      <w:r>
        <w:rPr>
          <w:spacing w:val="-1"/>
        </w:rPr>
        <w:t>business</w:t>
      </w:r>
      <w:r>
        <w:rPr>
          <w:spacing w:val="11"/>
        </w:rPr>
        <w:t xml:space="preserve"> </w:t>
      </w:r>
      <w:r>
        <w:rPr>
          <w:spacing w:val="-2"/>
        </w:rPr>
        <w:t>processes,</w:t>
      </w:r>
      <w:r>
        <w:rPr>
          <w:spacing w:val="11"/>
        </w:rPr>
        <w:t xml:space="preserve"> </w:t>
      </w:r>
      <w:r>
        <w:rPr>
          <w:spacing w:val="-1"/>
        </w:rPr>
        <w:t>or</w:t>
      </w:r>
      <w:r>
        <w:rPr>
          <w:spacing w:val="11"/>
        </w:rPr>
        <w:t xml:space="preserve"> </w:t>
      </w:r>
      <w:r>
        <w:rPr>
          <w:spacing w:val="-1"/>
        </w:rPr>
        <w:t>on</w:t>
      </w:r>
      <w:r>
        <w:rPr>
          <w:spacing w:val="10"/>
        </w:rPr>
        <w:t xml:space="preserve"> </w:t>
      </w:r>
      <w:r>
        <w:t>the</w:t>
      </w:r>
      <w:r>
        <w:rPr>
          <w:spacing w:val="10"/>
        </w:rPr>
        <w:t xml:space="preserve"> </w:t>
      </w:r>
      <w:r>
        <w:rPr>
          <w:spacing w:val="-1"/>
        </w:rPr>
        <w:t>occurrence</w:t>
      </w:r>
      <w:r>
        <w:rPr>
          <w:spacing w:val="10"/>
        </w:rPr>
        <w:t xml:space="preserve"> </w:t>
      </w:r>
      <w:r>
        <w:rPr>
          <w:spacing w:val="-2"/>
        </w:rPr>
        <w:t>of</w:t>
      </w:r>
      <w:r>
        <w:rPr>
          <w:spacing w:val="11"/>
        </w:rPr>
        <w:t xml:space="preserve"> </w:t>
      </w:r>
      <w:r>
        <w:rPr>
          <w:spacing w:val="-1"/>
        </w:rPr>
        <w:t>any</w:t>
      </w:r>
      <w:r>
        <w:rPr>
          <w:spacing w:val="8"/>
        </w:rPr>
        <w:t xml:space="preserve"> </w:t>
      </w:r>
      <w:r>
        <w:rPr>
          <w:spacing w:val="-1"/>
        </w:rPr>
        <w:t>event</w:t>
      </w:r>
      <w:r>
        <w:rPr>
          <w:spacing w:val="50"/>
        </w:rPr>
        <w:t xml:space="preserve"> </w:t>
      </w:r>
      <w:r>
        <w:rPr>
          <w:spacing w:val="-1"/>
        </w:rPr>
        <w:t>which</w:t>
      </w:r>
      <w:r>
        <w:rPr>
          <w:spacing w:val="1"/>
        </w:rPr>
        <w:t xml:space="preserve"> </w:t>
      </w:r>
      <w:r>
        <w:rPr>
          <w:spacing w:val="-1"/>
        </w:rPr>
        <w:t>may</w:t>
      </w:r>
      <w:r>
        <w:rPr>
          <w:spacing w:val="-2"/>
        </w:rPr>
        <w:t xml:space="preserve"> </w:t>
      </w:r>
      <w:r>
        <w:rPr>
          <w:spacing w:val="-1"/>
        </w:rPr>
        <w:t>increase</w:t>
      </w:r>
      <w:r>
        <w:rPr>
          <w:spacing w:val="-2"/>
        </w:rPr>
        <w:t xml:space="preserve"> </w:t>
      </w:r>
      <w:r>
        <w:t>the</w:t>
      </w:r>
      <w:r>
        <w:rPr>
          <w:spacing w:val="-2"/>
        </w:rPr>
        <w:t xml:space="preserve"> </w:t>
      </w:r>
      <w:r>
        <w:rPr>
          <w:spacing w:val="-1"/>
        </w:rPr>
        <w:t>likelihood</w:t>
      </w:r>
      <w:r>
        <w:t xml:space="preserve"> </w:t>
      </w:r>
      <w:r>
        <w:rPr>
          <w:spacing w:val="-2"/>
        </w:rPr>
        <w:t>of</w:t>
      </w:r>
      <w:r>
        <w:rPr>
          <w:spacing w:val="2"/>
        </w:rPr>
        <w:t xml:space="preserve"> </w:t>
      </w:r>
      <w:r>
        <w:t>the</w:t>
      </w:r>
      <w:r>
        <w:rPr>
          <w:spacing w:val="-2"/>
        </w:rPr>
        <w:t xml:space="preserve"> </w:t>
      </w:r>
      <w:r>
        <w:rPr>
          <w:spacing w:val="-1"/>
        </w:rPr>
        <w:t>need</w:t>
      </w:r>
      <w:r>
        <w:rPr>
          <w:spacing w:val="-2"/>
        </w:rPr>
        <w:t xml:space="preserve"> </w:t>
      </w:r>
      <w:r>
        <w:t>to</w:t>
      </w:r>
      <w:r>
        <w:rPr>
          <w:spacing w:val="-2"/>
        </w:rPr>
        <w:t xml:space="preserve"> </w:t>
      </w:r>
      <w:r>
        <w:rPr>
          <w:spacing w:val="-1"/>
        </w:rPr>
        <w:t>implement</w:t>
      </w:r>
      <w:r>
        <w:rPr>
          <w:spacing w:val="-3"/>
        </w:rPr>
        <w:t xml:space="preserve"> </w:t>
      </w:r>
      <w:r>
        <w:t xml:space="preserve">the </w:t>
      </w:r>
      <w:r>
        <w:rPr>
          <w:spacing w:val="-2"/>
        </w:rPr>
        <w:t>BCDR</w:t>
      </w:r>
      <w:r>
        <w:t xml:space="preserve"> </w:t>
      </w:r>
      <w:r>
        <w:rPr>
          <w:spacing w:val="-2"/>
        </w:rPr>
        <w:t>Plan.</w:t>
      </w:r>
    </w:p>
    <w:p w:rsidR="008918FA" w:rsidRDefault="008918FA" w:rsidP="008918FA">
      <w:pPr>
        <w:pStyle w:val="BodyText"/>
        <w:numPr>
          <w:ilvl w:val="1"/>
          <w:numId w:val="10"/>
        </w:numPr>
        <w:tabs>
          <w:tab w:val="left" w:pos="829"/>
        </w:tabs>
        <w:ind w:left="827" w:right="113" w:hanging="359"/>
        <w:jc w:val="both"/>
      </w:pPr>
      <w:bookmarkStart w:id="445" w:name="_bookmark365"/>
      <w:bookmarkEnd w:id="445"/>
      <w:r>
        <w:rPr>
          <w:spacing w:val="-1"/>
        </w:rPr>
        <w:t>If</w:t>
      </w:r>
      <w:r>
        <w:rPr>
          <w:spacing w:val="49"/>
        </w:rPr>
        <w:t xml:space="preserve"> </w:t>
      </w:r>
      <w:r>
        <w:t>the</w:t>
      </w:r>
      <w:r>
        <w:rPr>
          <w:spacing w:val="46"/>
        </w:rPr>
        <w:t xml:space="preserve"> </w:t>
      </w:r>
      <w:r>
        <w:rPr>
          <w:spacing w:val="-2"/>
        </w:rPr>
        <w:t>Customer</w:t>
      </w:r>
      <w:r>
        <w:rPr>
          <w:spacing w:val="47"/>
        </w:rPr>
        <w:t xml:space="preserve"> </w:t>
      </w:r>
      <w:r>
        <w:rPr>
          <w:spacing w:val="-1"/>
        </w:rPr>
        <w:t>requires</w:t>
      </w:r>
      <w:r>
        <w:rPr>
          <w:spacing w:val="46"/>
        </w:rPr>
        <w:t xml:space="preserve"> </w:t>
      </w:r>
      <w:r>
        <w:rPr>
          <w:spacing w:val="-1"/>
        </w:rPr>
        <w:t>an</w:t>
      </w:r>
      <w:r>
        <w:rPr>
          <w:spacing w:val="46"/>
        </w:rPr>
        <w:t xml:space="preserve"> </w:t>
      </w:r>
      <w:r>
        <w:rPr>
          <w:spacing w:val="-1"/>
        </w:rPr>
        <w:t>additional</w:t>
      </w:r>
      <w:r>
        <w:rPr>
          <w:spacing w:val="45"/>
        </w:rPr>
        <w:t xml:space="preserve"> </w:t>
      </w:r>
      <w:r>
        <w:rPr>
          <w:spacing w:val="-1"/>
        </w:rPr>
        <w:t>test</w:t>
      </w:r>
      <w:r>
        <w:rPr>
          <w:spacing w:val="50"/>
        </w:rPr>
        <w:t xml:space="preserve"> </w:t>
      </w:r>
      <w:r>
        <w:rPr>
          <w:spacing w:val="-2"/>
        </w:rPr>
        <w:t>of</w:t>
      </w:r>
      <w:r>
        <w:rPr>
          <w:spacing w:val="49"/>
        </w:rPr>
        <w:t xml:space="preserve"> </w:t>
      </w:r>
      <w:r>
        <w:rPr>
          <w:spacing w:val="-1"/>
        </w:rPr>
        <w:t>the</w:t>
      </w:r>
      <w:r>
        <w:rPr>
          <w:spacing w:val="46"/>
        </w:rPr>
        <w:t xml:space="preserve"> </w:t>
      </w:r>
      <w:r>
        <w:rPr>
          <w:spacing w:val="-2"/>
        </w:rPr>
        <w:t>BCDR</w:t>
      </w:r>
      <w:r>
        <w:rPr>
          <w:spacing w:val="45"/>
        </w:rPr>
        <w:t xml:space="preserve"> </w:t>
      </w:r>
      <w:r>
        <w:rPr>
          <w:spacing w:val="-1"/>
        </w:rPr>
        <w:t>Plan,</w:t>
      </w:r>
      <w:r>
        <w:rPr>
          <w:spacing w:val="47"/>
        </w:rPr>
        <w:t xml:space="preserve"> </w:t>
      </w:r>
      <w:r>
        <w:rPr>
          <w:spacing w:val="-1"/>
        </w:rPr>
        <w:t>it</w:t>
      </w:r>
      <w:r>
        <w:rPr>
          <w:spacing w:val="47"/>
        </w:rPr>
        <w:t xml:space="preserve"> </w:t>
      </w:r>
      <w:r>
        <w:rPr>
          <w:spacing w:val="-1"/>
        </w:rPr>
        <w:t>shall</w:t>
      </w:r>
      <w:r>
        <w:rPr>
          <w:spacing w:val="48"/>
        </w:rPr>
        <w:t xml:space="preserve"> </w:t>
      </w:r>
      <w:r>
        <w:rPr>
          <w:spacing w:val="-1"/>
        </w:rPr>
        <w:t>give</w:t>
      </w:r>
      <w:r>
        <w:rPr>
          <w:spacing w:val="46"/>
        </w:rPr>
        <w:t xml:space="preserve"> </w:t>
      </w:r>
      <w:r>
        <w:rPr>
          <w:spacing w:val="-1"/>
        </w:rPr>
        <w:t>the</w:t>
      </w:r>
      <w:r>
        <w:rPr>
          <w:spacing w:val="46"/>
        </w:rPr>
        <w:t xml:space="preserve"> </w:t>
      </w:r>
      <w:r>
        <w:rPr>
          <w:spacing w:val="-2"/>
        </w:rPr>
        <w:t>Supplier</w:t>
      </w:r>
      <w:r>
        <w:rPr>
          <w:spacing w:val="26"/>
        </w:rPr>
        <w:t xml:space="preserve"> </w:t>
      </w:r>
      <w:r>
        <w:rPr>
          <w:spacing w:val="-1"/>
        </w:rPr>
        <w:t>written</w:t>
      </w:r>
      <w:r>
        <w:rPr>
          <w:spacing w:val="22"/>
        </w:rPr>
        <w:t xml:space="preserve"> </w:t>
      </w:r>
      <w:r>
        <w:rPr>
          <w:spacing w:val="-1"/>
        </w:rPr>
        <w:t>notice</w:t>
      </w:r>
      <w:r>
        <w:rPr>
          <w:spacing w:val="22"/>
        </w:rPr>
        <w:t xml:space="preserve"> </w:t>
      </w:r>
      <w:r>
        <w:rPr>
          <w:spacing w:val="-1"/>
        </w:rPr>
        <w:t>and</w:t>
      </w:r>
      <w:r>
        <w:rPr>
          <w:spacing w:val="22"/>
        </w:rPr>
        <w:t xml:space="preserve"> </w:t>
      </w:r>
      <w:r>
        <w:t>the</w:t>
      </w:r>
      <w:r>
        <w:rPr>
          <w:spacing w:val="22"/>
        </w:rPr>
        <w:t xml:space="preserve"> </w:t>
      </w:r>
      <w:r>
        <w:rPr>
          <w:spacing w:val="-2"/>
        </w:rPr>
        <w:t>Supplier</w:t>
      </w:r>
      <w:r>
        <w:rPr>
          <w:spacing w:val="23"/>
        </w:rPr>
        <w:t xml:space="preserve"> </w:t>
      </w:r>
      <w:r>
        <w:rPr>
          <w:spacing w:val="-1"/>
        </w:rPr>
        <w:t>shall</w:t>
      </w:r>
      <w:r>
        <w:rPr>
          <w:spacing w:val="21"/>
        </w:rPr>
        <w:t xml:space="preserve"> </w:t>
      </w:r>
      <w:r>
        <w:rPr>
          <w:spacing w:val="-1"/>
        </w:rPr>
        <w:t>conduct</w:t>
      </w:r>
      <w:r>
        <w:rPr>
          <w:spacing w:val="24"/>
        </w:rPr>
        <w:t xml:space="preserve"> </w:t>
      </w:r>
      <w:r>
        <w:t>the</w:t>
      </w:r>
      <w:r>
        <w:rPr>
          <w:spacing w:val="22"/>
        </w:rPr>
        <w:t xml:space="preserve"> </w:t>
      </w:r>
      <w:r>
        <w:rPr>
          <w:spacing w:val="-1"/>
        </w:rPr>
        <w:t>test</w:t>
      </w:r>
      <w:r>
        <w:rPr>
          <w:spacing w:val="23"/>
        </w:rPr>
        <w:t xml:space="preserve"> </w:t>
      </w:r>
      <w:r>
        <w:rPr>
          <w:spacing w:val="-1"/>
        </w:rPr>
        <w:t>in</w:t>
      </w:r>
      <w:r>
        <w:rPr>
          <w:spacing w:val="22"/>
        </w:rPr>
        <w:t xml:space="preserve"> </w:t>
      </w:r>
      <w:r>
        <w:rPr>
          <w:spacing w:val="-1"/>
        </w:rPr>
        <w:t>accordance</w:t>
      </w:r>
      <w:r>
        <w:rPr>
          <w:spacing w:val="22"/>
        </w:rPr>
        <w:t xml:space="preserve"> </w:t>
      </w:r>
      <w:r>
        <w:rPr>
          <w:spacing w:val="-1"/>
        </w:rPr>
        <w:t>with</w:t>
      </w:r>
      <w:r>
        <w:rPr>
          <w:spacing w:val="55"/>
        </w:rPr>
        <w:t xml:space="preserve"> </w:t>
      </w:r>
      <w:r>
        <w:t>the</w:t>
      </w:r>
      <w:r>
        <w:rPr>
          <w:spacing w:val="20"/>
        </w:rPr>
        <w:t xml:space="preserve"> </w:t>
      </w:r>
      <w:r>
        <w:rPr>
          <w:spacing w:val="-1"/>
        </w:rPr>
        <w:t>Customer’s</w:t>
      </w:r>
      <w:r>
        <w:rPr>
          <w:spacing w:val="20"/>
        </w:rPr>
        <w:t xml:space="preserve"> </w:t>
      </w:r>
      <w:r>
        <w:rPr>
          <w:spacing w:val="-1"/>
        </w:rPr>
        <w:t>requirements</w:t>
      </w:r>
      <w:r>
        <w:rPr>
          <w:spacing w:val="20"/>
        </w:rPr>
        <w:t xml:space="preserve"> </w:t>
      </w:r>
      <w:r>
        <w:rPr>
          <w:spacing w:val="-1"/>
        </w:rPr>
        <w:t>and</w:t>
      </w:r>
      <w:r>
        <w:rPr>
          <w:spacing w:val="20"/>
        </w:rPr>
        <w:t xml:space="preserve"> </w:t>
      </w:r>
      <w:r>
        <w:t>the</w:t>
      </w:r>
      <w:r>
        <w:rPr>
          <w:spacing w:val="17"/>
        </w:rPr>
        <w:t xml:space="preserve"> </w:t>
      </w:r>
      <w:r>
        <w:rPr>
          <w:spacing w:val="-2"/>
        </w:rPr>
        <w:t>relevant</w:t>
      </w:r>
      <w:r>
        <w:rPr>
          <w:spacing w:val="21"/>
        </w:rPr>
        <w:t xml:space="preserve"> </w:t>
      </w:r>
      <w:r>
        <w:rPr>
          <w:spacing w:val="-2"/>
        </w:rPr>
        <w:t>provisions</w:t>
      </w:r>
      <w:r>
        <w:rPr>
          <w:spacing w:val="20"/>
        </w:rPr>
        <w:t xml:space="preserve"> </w:t>
      </w:r>
      <w:r>
        <w:rPr>
          <w:spacing w:val="-1"/>
        </w:rPr>
        <w:t>of</w:t>
      </w:r>
      <w:r>
        <w:rPr>
          <w:spacing w:val="23"/>
        </w:rPr>
        <w:t xml:space="preserve"> </w:t>
      </w:r>
      <w:r>
        <w:t>the</w:t>
      </w:r>
      <w:r>
        <w:rPr>
          <w:spacing w:val="19"/>
        </w:rPr>
        <w:t xml:space="preserve"> </w:t>
      </w:r>
      <w:r>
        <w:rPr>
          <w:spacing w:val="-2"/>
        </w:rPr>
        <w:t>BCDR</w:t>
      </w:r>
      <w:r>
        <w:rPr>
          <w:spacing w:val="19"/>
        </w:rPr>
        <w:t xml:space="preserve"> </w:t>
      </w:r>
      <w:r>
        <w:rPr>
          <w:spacing w:val="-1"/>
        </w:rPr>
        <w:t>Plan.</w:t>
      </w:r>
      <w:r>
        <w:rPr>
          <w:spacing w:val="42"/>
        </w:rPr>
        <w:t xml:space="preserve"> </w:t>
      </w:r>
      <w:r>
        <w:rPr>
          <w:spacing w:val="-2"/>
        </w:rPr>
        <w:t>The</w:t>
      </w:r>
      <w:r>
        <w:rPr>
          <w:spacing w:val="59"/>
        </w:rPr>
        <w:t xml:space="preserve"> </w:t>
      </w:r>
      <w:r>
        <w:rPr>
          <w:spacing w:val="-1"/>
        </w:rPr>
        <w:t>Supplier's</w:t>
      </w:r>
      <w:r>
        <w:rPr>
          <w:spacing w:val="30"/>
        </w:rPr>
        <w:t xml:space="preserve"> </w:t>
      </w:r>
      <w:r>
        <w:rPr>
          <w:spacing w:val="-1"/>
        </w:rPr>
        <w:t>costs</w:t>
      </w:r>
      <w:r>
        <w:rPr>
          <w:spacing w:val="30"/>
        </w:rPr>
        <w:t xml:space="preserve"> </w:t>
      </w:r>
      <w:r>
        <w:rPr>
          <w:spacing w:val="-2"/>
        </w:rPr>
        <w:t>of</w:t>
      </w:r>
      <w:r>
        <w:rPr>
          <w:spacing w:val="28"/>
        </w:rPr>
        <w:t xml:space="preserve"> </w:t>
      </w:r>
      <w:r>
        <w:t>the</w:t>
      </w:r>
      <w:r>
        <w:rPr>
          <w:spacing w:val="29"/>
        </w:rPr>
        <w:t xml:space="preserve"> </w:t>
      </w:r>
      <w:r>
        <w:rPr>
          <w:spacing w:val="-2"/>
        </w:rPr>
        <w:t>additional</w:t>
      </w:r>
      <w:r>
        <w:rPr>
          <w:spacing w:val="28"/>
        </w:rPr>
        <w:t xml:space="preserve"> </w:t>
      </w:r>
      <w:r>
        <w:rPr>
          <w:spacing w:val="-1"/>
        </w:rPr>
        <w:t>test</w:t>
      </w:r>
      <w:r>
        <w:rPr>
          <w:spacing w:val="29"/>
        </w:rPr>
        <w:t xml:space="preserve"> </w:t>
      </w:r>
      <w:r>
        <w:rPr>
          <w:spacing w:val="-1"/>
        </w:rPr>
        <w:t>shall</w:t>
      </w:r>
      <w:r>
        <w:rPr>
          <w:spacing w:val="28"/>
        </w:rPr>
        <w:t xml:space="preserve"> </w:t>
      </w:r>
      <w:r>
        <w:rPr>
          <w:spacing w:val="-1"/>
        </w:rPr>
        <w:t>be</w:t>
      </w:r>
      <w:r>
        <w:rPr>
          <w:spacing w:val="29"/>
        </w:rPr>
        <w:t xml:space="preserve"> </w:t>
      </w:r>
      <w:r>
        <w:rPr>
          <w:spacing w:val="-1"/>
        </w:rPr>
        <w:t>borne</w:t>
      </w:r>
      <w:r>
        <w:rPr>
          <w:spacing w:val="29"/>
        </w:rPr>
        <w:t xml:space="preserve"> </w:t>
      </w:r>
      <w:r>
        <w:rPr>
          <w:spacing w:val="-1"/>
        </w:rPr>
        <w:t>by</w:t>
      </w:r>
      <w:r>
        <w:rPr>
          <w:spacing w:val="29"/>
        </w:rPr>
        <w:t xml:space="preserve"> </w:t>
      </w:r>
      <w:r>
        <w:t>the</w:t>
      </w:r>
      <w:r>
        <w:rPr>
          <w:spacing w:val="27"/>
        </w:rPr>
        <w:t xml:space="preserve"> </w:t>
      </w:r>
      <w:r>
        <w:rPr>
          <w:spacing w:val="-1"/>
        </w:rPr>
        <w:t>Customer</w:t>
      </w:r>
      <w:r>
        <w:rPr>
          <w:spacing w:val="28"/>
        </w:rPr>
        <w:t xml:space="preserve"> </w:t>
      </w:r>
      <w:r>
        <w:rPr>
          <w:spacing w:val="-2"/>
        </w:rPr>
        <w:t>unless</w:t>
      </w:r>
      <w:r>
        <w:rPr>
          <w:spacing w:val="32"/>
        </w:rPr>
        <w:t xml:space="preserve"> </w:t>
      </w:r>
      <w:r>
        <w:rPr>
          <w:spacing w:val="-2"/>
        </w:rPr>
        <w:t>the</w:t>
      </w:r>
      <w:r>
        <w:rPr>
          <w:spacing w:val="46"/>
        </w:rPr>
        <w:t xml:space="preserve"> </w:t>
      </w:r>
      <w:r>
        <w:rPr>
          <w:spacing w:val="-2"/>
        </w:rPr>
        <w:t>BCDR</w:t>
      </w:r>
      <w:r>
        <w:rPr>
          <w:spacing w:val="9"/>
        </w:rPr>
        <w:t xml:space="preserve"> </w:t>
      </w:r>
      <w:r>
        <w:rPr>
          <w:spacing w:val="-1"/>
        </w:rPr>
        <w:t>Plan</w:t>
      </w:r>
      <w:r>
        <w:rPr>
          <w:spacing w:val="10"/>
        </w:rPr>
        <w:t xml:space="preserve"> </w:t>
      </w:r>
      <w:r>
        <w:rPr>
          <w:spacing w:val="-1"/>
        </w:rPr>
        <w:t>fails</w:t>
      </w:r>
      <w:r>
        <w:rPr>
          <w:spacing w:val="10"/>
        </w:rPr>
        <w:t xml:space="preserve"> </w:t>
      </w:r>
      <w:r>
        <w:t>the</w:t>
      </w:r>
      <w:r>
        <w:rPr>
          <w:spacing w:val="10"/>
        </w:rPr>
        <w:t xml:space="preserve"> </w:t>
      </w:r>
      <w:r>
        <w:rPr>
          <w:spacing w:val="-1"/>
        </w:rPr>
        <w:t>additional</w:t>
      </w:r>
      <w:r>
        <w:rPr>
          <w:spacing w:val="9"/>
        </w:rPr>
        <w:t xml:space="preserve"> </w:t>
      </w:r>
      <w:r>
        <w:rPr>
          <w:spacing w:val="-1"/>
        </w:rPr>
        <w:t>test</w:t>
      </w:r>
      <w:r>
        <w:rPr>
          <w:spacing w:val="12"/>
        </w:rPr>
        <w:t xml:space="preserve"> </w:t>
      </w:r>
      <w:r>
        <w:rPr>
          <w:spacing w:val="-1"/>
        </w:rPr>
        <w:t>in</w:t>
      </w:r>
      <w:r>
        <w:rPr>
          <w:spacing w:val="10"/>
        </w:rPr>
        <w:t xml:space="preserve"> </w:t>
      </w:r>
      <w:r>
        <w:rPr>
          <w:spacing w:val="-1"/>
        </w:rPr>
        <w:t>which</w:t>
      </w:r>
      <w:r>
        <w:rPr>
          <w:spacing w:val="10"/>
        </w:rPr>
        <w:t xml:space="preserve"> </w:t>
      </w:r>
      <w:r>
        <w:rPr>
          <w:spacing w:val="-1"/>
        </w:rPr>
        <w:t>case</w:t>
      </w:r>
      <w:r>
        <w:rPr>
          <w:spacing w:val="10"/>
        </w:rPr>
        <w:t xml:space="preserve"> </w:t>
      </w:r>
      <w:r>
        <w:t>the</w:t>
      </w:r>
      <w:r>
        <w:rPr>
          <w:spacing w:val="10"/>
        </w:rPr>
        <w:t xml:space="preserve"> </w:t>
      </w:r>
      <w:r>
        <w:rPr>
          <w:spacing w:val="-1"/>
        </w:rPr>
        <w:t>Supplier's</w:t>
      </w:r>
      <w:r>
        <w:rPr>
          <w:spacing w:val="10"/>
        </w:rPr>
        <w:t xml:space="preserve"> </w:t>
      </w:r>
      <w:r>
        <w:rPr>
          <w:spacing w:val="-1"/>
        </w:rPr>
        <w:t>costs</w:t>
      </w:r>
      <w:r>
        <w:rPr>
          <w:spacing w:val="10"/>
        </w:rPr>
        <w:t xml:space="preserve"> </w:t>
      </w:r>
      <w:r>
        <w:rPr>
          <w:spacing w:val="-2"/>
        </w:rPr>
        <w:t>of</w:t>
      </w:r>
      <w:r>
        <w:rPr>
          <w:spacing w:val="14"/>
        </w:rPr>
        <w:t xml:space="preserve"> </w:t>
      </w:r>
      <w:r>
        <w:rPr>
          <w:spacing w:val="-1"/>
        </w:rPr>
        <w:t>that</w:t>
      </w:r>
      <w:r>
        <w:rPr>
          <w:spacing w:val="9"/>
        </w:rPr>
        <w:t xml:space="preserve"> </w:t>
      </w:r>
      <w:r>
        <w:rPr>
          <w:spacing w:val="-1"/>
        </w:rPr>
        <w:t>failed</w:t>
      </w:r>
      <w:r>
        <w:rPr>
          <w:spacing w:val="38"/>
        </w:rPr>
        <w:t xml:space="preserve"> </w:t>
      </w:r>
      <w:r>
        <w:rPr>
          <w:spacing w:val="-1"/>
        </w:rPr>
        <w:t>test</w:t>
      </w:r>
      <w:r>
        <w:t xml:space="preserve"> </w:t>
      </w:r>
      <w:r>
        <w:rPr>
          <w:spacing w:val="-1"/>
        </w:rPr>
        <w:t>shall</w:t>
      </w:r>
      <w:r>
        <w:t xml:space="preserve"> </w:t>
      </w:r>
      <w:r>
        <w:rPr>
          <w:spacing w:val="-1"/>
        </w:rPr>
        <w:t>be</w:t>
      </w:r>
      <w:r>
        <w:t xml:space="preserve"> </w:t>
      </w:r>
      <w:r>
        <w:rPr>
          <w:spacing w:val="-1"/>
        </w:rPr>
        <w:t>borne</w:t>
      </w:r>
      <w:r>
        <w:t xml:space="preserve"> </w:t>
      </w:r>
      <w:r>
        <w:rPr>
          <w:spacing w:val="-1"/>
        </w:rPr>
        <w:t>by</w:t>
      </w:r>
      <w:r>
        <w:rPr>
          <w:spacing w:val="-4"/>
        </w:rPr>
        <w:t xml:space="preserve"> </w:t>
      </w:r>
      <w:r>
        <w:rPr>
          <w:spacing w:val="-1"/>
        </w:rPr>
        <w:t>the</w:t>
      </w:r>
      <w:r>
        <w:t xml:space="preserve"> </w:t>
      </w:r>
      <w:r>
        <w:rPr>
          <w:spacing w:val="-1"/>
        </w:rPr>
        <w:t>Supplier.</w:t>
      </w:r>
    </w:p>
    <w:p w:rsidR="008918FA" w:rsidRDefault="008918FA" w:rsidP="008918FA">
      <w:pPr>
        <w:pStyle w:val="BodyText"/>
        <w:numPr>
          <w:ilvl w:val="1"/>
          <w:numId w:val="10"/>
        </w:numPr>
        <w:tabs>
          <w:tab w:val="left" w:pos="828"/>
        </w:tabs>
        <w:ind w:left="827" w:right="115"/>
        <w:jc w:val="both"/>
      </w:pPr>
      <w:r>
        <w:t>The</w:t>
      </w:r>
      <w:r>
        <w:rPr>
          <w:spacing w:val="18"/>
        </w:rPr>
        <w:t xml:space="preserve"> </w:t>
      </w:r>
      <w:r>
        <w:rPr>
          <w:spacing w:val="-2"/>
        </w:rPr>
        <w:t>Supplier</w:t>
      </w:r>
      <w:r>
        <w:rPr>
          <w:spacing w:val="17"/>
        </w:rPr>
        <w:t xml:space="preserve"> </w:t>
      </w:r>
      <w:r>
        <w:rPr>
          <w:spacing w:val="-1"/>
        </w:rPr>
        <w:t>shall</w:t>
      </w:r>
      <w:r>
        <w:rPr>
          <w:spacing w:val="18"/>
        </w:rPr>
        <w:t xml:space="preserve"> </w:t>
      </w:r>
      <w:r>
        <w:rPr>
          <w:spacing w:val="-1"/>
        </w:rPr>
        <w:t>undertake</w:t>
      </w:r>
      <w:r>
        <w:rPr>
          <w:spacing w:val="16"/>
        </w:rPr>
        <w:t xml:space="preserve"> </w:t>
      </w:r>
      <w:r>
        <w:rPr>
          <w:spacing w:val="-1"/>
        </w:rPr>
        <w:t>and</w:t>
      </w:r>
      <w:r>
        <w:rPr>
          <w:spacing w:val="16"/>
        </w:rPr>
        <w:t xml:space="preserve"> </w:t>
      </w:r>
      <w:r>
        <w:rPr>
          <w:spacing w:val="-1"/>
        </w:rPr>
        <w:t>manage</w:t>
      </w:r>
      <w:r>
        <w:rPr>
          <w:spacing w:val="16"/>
        </w:rPr>
        <w:t xml:space="preserve"> </w:t>
      </w:r>
      <w:r>
        <w:rPr>
          <w:spacing w:val="-1"/>
        </w:rPr>
        <w:t>testing</w:t>
      </w:r>
      <w:r>
        <w:rPr>
          <w:spacing w:val="18"/>
        </w:rPr>
        <w:t xml:space="preserve"> </w:t>
      </w:r>
      <w:r>
        <w:rPr>
          <w:spacing w:val="-2"/>
        </w:rPr>
        <w:t>of</w:t>
      </w:r>
      <w:r>
        <w:rPr>
          <w:spacing w:val="20"/>
        </w:rPr>
        <w:t xml:space="preserve"> </w:t>
      </w:r>
      <w:r>
        <w:t>the</w:t>
      </w:r>
      <w:r>
        <w:rPr>
          <w:spacing w:val="16"/>
        </w:rPr>
        <w:t xml:space="preserve"> </w:t>
      </w:r>
      <w:r>
        <w:rPr>
          <w:spacing w:val="-2"/>
        </w:rPr>
        <w:t>BCDR</w:t>
      </w:r>
      <w:r>
        <w:rPr>
          <w:spacing w:val="18"/>
        </w:rPr>
        <w:t xml:space="preserve"> </w:t>
      </w:r>
      <w:r>
        <w:rPr>
          <w:spacing w:val="-1"/>
        </w:rPr>
        <w:t>Plan</w:t>
      </w:r>
      <w:r>
        <w:rPr>
          <w:spacing w:val="18"/>
        </w:rPr>
        <w:t xml:space="preserve"> </w:t>
      </w:r>
      <w:r>
        <w:rPr>
          <w:spacing w:val="-1"/>
        </w:rPr>
        <w:t>in</w:t>
      </w:r>
      <w:r>
        <w:rPr>
          <w:spacing w:val="16"/>
        </w:rPr>
        <w:t xml:space="preserve"> </w:t>
      </w:r>
      <w:r>
        <w:t>full</w:t>
      </w:r>
      <w:r>
        <w:rPr>
          <w:spacing w:val="49"/>
        </w:rPr>
        <w:t xml:space="preserve"> </w:t>
      </w:r>
      <w:r>
        <w:rPr>
          <w:spacing w:val="-1"/>
        </w:rPr>
        <w:t>consultation</w:t>
      </w:r>
      <w:r>
        <w:rPr>
          <w:spacing w:val="10"/>
        </w:rPr>
        <w:t xml:space="preserve"> </w:t>
      </w:r>
      <w:r>
        <w:rPr>
          <w:spacing w:val="-2"/>
        </w:rPr>
        <w:t>with</w:t>
      </w:r>
      <w:r>
        <w:rPr>
          <w:spacing w:val="10"/>
        </w:rPr>
        <w:t xml:space="preserve"> </w:t>
      </w:r>
      <w:r>
        <w:t>the</w:t>
      </w:r>
      <w:r>
        <w:rPr>
          <w:spacing w:val="10"/>
        </w:rPr>
        <w:t xml:space="preserve"> </w:t>
      </w:r>
      <w:r>
        <w:rPr>
          <w:spacing w:val="-1"/>
        </w:rPr>
        <w:t>Customer</w:t>
      </w:r>
      <w:r>
        <w:rPr>
          <w:spacing w:val="11"/>
        </w:rPr>
        <w:t xml:space="preserve"> </w:t>
      </w:r>
      <w:r>
        <w:rPr>
          <w:spacing w:val="-1"/>
        </w:rPr>
        <w:t>and</w:t>
      </w:r>
      <w:r>
        <w:rPr>
          <w:spacing w:val="10"/>
        </w:rPr>
        <w:t xml:space="preserve"> </w:t>
      </w:r>
      <w:r>
        <w:rPr>
          <w:spacing w:val="-1"/>
        </w:rPr>
        <w:t>shall</w:t>
      </w:r>
      <w:r>
        <w:rPr>
          <w:spacing w:val="9"/>
        </w:rPr>
        <w:t xml:space="preserve"> </w:t>
      </w:r>
      <w:r>
        <w:rPr>
          <w:spacing w:val="-1"/>
        </w:rPr>
        <w:t>liaise</w:t>
      </w:r>
      <w:r>
        <w:rPr>
          <w:spacing w:val="13"/>
        </w:rPr>
        <w:t xml:space="preserve"> </w:t>
      </w:r>
      <w:r>
        <w:rPr>
          <w:spacing w:val="-1"/>
        </w:rPr>
        <w:t>with</w:t>
      </w:r>
      <w:r>
        <w:rPr>
          <w:spacing w:val="10"/>
        </w:rPr>
        <w:t xml:space="preserve"> </w:t>
      </w:r>
      <w:r>
        <w:t>the</w:t>
      </w:r>
      <w:r>
        <w:rPr>
          <w:spacing w:val="10"/>
        </w:rPr>
        <w:t xml:space="preserve"> </w:t>
      </w:r>
      <w:r>
        <w:rPr>
          <w:spacing w:val="-1"/>
        </w:rPr>
        <w:t>Customer</w:t>
      </w:r>
      <w:r>
        <w:rPr>
          <w:spacing w:val="11"/>
        </w:rPr>
        <w:t xml:space="preserve"> </w:t>
      </w:r>
      <w:r>
        <w:rPr>
          <w:spacing w:val="-1"/>
        </w:rPr>
        <w:t>in</w:t>
      </w:r>
      <w:r>
        <w:rPr>
          <w:spacing w:val="10"/>
        </w:rPr>
        <w:t xml:space="preserve"> </w:t>
      </w:r>
      <w:r>
        <w:rPr>
          <w:spacing w:val="-1"/>
        </w:rPr>
        <w:t>respect</w:t>
      </w:r>
      <w:r>
        <w:rPr>
          <w:spacing w:val="12"/>
        </w:rPr>
        <w:t xml:space="preserve"> </w:t>
      </w:r>
      <w:r>
        <w:rPr>
          <w:spacing w:val="-2"/>
        </w:rPr>
        <w:t>of</w:t>
      </w:r>
      <w:r>
        <w:rPr>
          <w:spacing w:val="14"/>
        </w:rPr>
        <w:t xml:space="preserve"> </w:t>
      </w:r>
      <w:r>
        <w:rPr>
          <w:spacing w:val="-1"/>
        </w:rPr>
        <w:t>the</w:t>
      </w:r>
      <w:r>
        <w:rPr>
          <w:spacing w:val="39"/>
        </w:rPr>
        <w:t xml:space="preserve"> </w:t>
      </w:r>
      <w:r>
        <w:rPr>
          <w:spacing w:val="-1"/>
        </w:rPr>
        <w:t>planning,</w:t>
      </w:r>
      <w:r>
        <w:rPr>
          <w:spacing w:val="22"/>
        </w:rPr>
        <w:t xml:space="preserve"> </w:t>
      </w:r>
      <w:r>
        <w:rPr>
          <w:spacing w:val="-1"/>
        </w:rPr>
        <w:t>performance,</w:t>
      </w:r>
      <w:r>
        <w:rPr>
          <w:spacing w:val="20"/>
        </w:rPr>
        <w:t xml:space="preserve"> </w:t>
      </w:r>
      <w:r>
        <w:rPr>
          <w:spacing w:val="-1"/>
        </w:rPr>
        <w:t>and</w:t>
      </w:r>
      <w:r>
        <w:rPr>
          <w:spacing w:val="21"/>
        </w:rPr>
        <w:t xml:space="preserve"> </w:t>
      </w:r>
      <w:r>
        <w:rPr>
          <w:spacing w:val="-2"/>
        </w:rPr>
        <w:t>review,</w:t>
      </w:r>
      <w:r>
        <w:rPr>
          <w:spacing w:val="22"/>
        </w:rPr>
        <w:t xml:space="preserve"> </w:t>
      </w:r>
      <w:r>
        <w:rPr>
          <w:spacing w:val="-2"/>
        </w:rPr>
        <w:t>of</w:t>
      </w:r>
      <w:r>
        <w:rPr>
          <w:spacing w:val="24"/>
        </w:rPr>
        <w:t xml:space="preserve"> </w:t>
      </w:r>
      <w:r>
        <w:rPr>
          <w:spacing w:val="-1"/>
        </w:rPr>
        <w:t>each</w:t>
      </w:r>
      <w:r>
        <w:rPr>
          <w:spacing w:val="19"/>
        </w:rPr>
        <w:t xml:space="preserve"> </w:t>
      </w:r>
      <w:r>
        <w:rPr>
          <w:spacing w:val="-1"/>
        </w:rPr>
        <w:t>test,</w:t>
      </w:r>
      <w:r>
        <w:rPr>
          <w:spacing w:val="22"/>
        </w:rPr>
        <w:t xml:space="preserve"> </w:t>
      </w:r>
      <w:r>
        <w:rPr>
          <w:spacing w:val="-1"/>
        </w:rPr>
        <w:t>and</w:t>
      </w:r>
      <w:r>
        <w:rPr>
          <w:spacing w:val="21"/>
        </w:rPr>
        <w:t xml:space="preserve"> </w:t>
      </w:r>
      <w:r>
        <w:rPr>
          <w:spacing w:val="-1"/>
        </w:rPr>
        <w:t>shall</w:t>
      </w:r>
      <w:r>
        <w:rPr>
          <w:spacing w:val="20"/>
        </w:rPr>
        <w:t xml:space="preserve"> </w:t>
      </w:r>
      <w:r>
        <w:rPr>
          <w:spacing w:val="-2"/>
        </w:rPr>
        <w:t>comply</w:t>
      </w:r>
      <w:r>
        <w:rPr>
          <w:spacing w:val="21"/>
        </w:rPr>
        <w:t xml:space="preserve"> </w:t>
      </w:r>
      <w:r>
        <w:rPr>
          <w:spacing w:val="-2"/>
        </w:rPr>
        <w:t>with</w:t>
      </w:r>
      <w:r>
        <w:rPr>
          <w:spacing w:val="21"/>
        </w:rPr>
        <w:t xml:space="preserve"> </w:t>
      </w:r>
      <w:r>
        <w:rPr>
          <w:spacing w:val="-1"/>
        </w:rPr>
        <w:t>the</w:t>
      </w:r>
      <w:r>
        <w:rPr>
          <w:spacing w:val="52"/>
        </w:rPr>
        <w:t xml:space="preserve"> </w:t>
      </w:r>
      <w:r>
        <w:rPr>
          <w:spacing w:val="-1"/>
        </w:rPr>
        <w:t>reasonable</w:t>
      </w:r>
      <w:r>
        <w:rPr>
          <w:spacing w:val="5"/>
        </w:rPr>
        <w:t xml:space="preserve"> </w:t>
      </w:r>
      <w:r>
        <w:rPr>
          <w:spacing w:val="-1"/>
        </w:rPr>
        <w:t>requirements</w:t>
      </w:r>
      <w:r>
        <w:rPr>
          <w:spacing w:val="3"/>
        </w:rPr>
        <w:t xml:space="preserve"> </w:t>
      </w:r>
      <w:r>
        <w:rPr>
          <w:spacing w:val="-2"/>
        </w:rPr>
        <w:t>of</w:t>
      </w:r>
      <w:r>
        <w:rPr>
          <w:spacing w:val="9"/>
        </w:rPr>
        <w:t xml:space="preserve"> </w:t>
      </w:r>
      <w:r>
        <w:t>the</w:t>
      </w:r>
      <w:r>
        <w:rPr>
          <w:spacing w:val="5"/>
        </w:rPr>
        <w:t xml:space="preserve"> </w:t>
      </w:r>
      <w:r>
        <w:rPr>
          <w:spacing w:val="-2"/>
        </w:rPr>
        <w:t>Customer</w:t>
      </w:r>
      <w:r>
        <w:rPr>
          <w:spacing w:val="6"/>
        </w:rPr>
        <w:t xml:space="preserve"> </w:t>
      </w:r>
      <w:r>
        <w:rPr>
          <w:spacing w:val="-1"/>
        </w:rPr>
        <w:t>in</w:t>
      </w:r>
      <w:r>
        <w:rPr>
          <w:spacing w:val="5"/>
        </w:rPr>
        <w:t xml:space="preserve"> </w:t>
      </w:r>
      <w:r>
        <w:rPr>
          <w:spacing w:val="-1"/>
        </w:rPr>
        <w:t>this</w:t>
      </w:r>
      <w:r>
        <w:rPr>
          <w:spacing w:val="3"/>
        </w:rPr>
        <w:t xml:space="preserve"> </w:t>
      </w:r>
      <w:r>
        <w:rPr>
          <w:spacing w:val="-1"/>
        </w:rPr>
        <w:t>regard.</w:t>
      </w:r>
      <w:r>
        <w:rPr>
          <w:spacing w:val="13"/>
        </w:rPr>
        <w:t xml:space="preserve"> </w:t>
      </w:r>
      <w:r>
        <w:rPr>
          <w:spacing w:val="-1"/>
        </w:rPr>
        <w:t>Each</w:t>
      </w:r>
      <w:r>
        <w:rPr>
          <w:spacing w:val="3"/>
        </w:rPr>
        <w:t xml:space="preserve"> </w:t>
      </w:r>
      <w:r>
        <w:rPr>
          <w:spacing w:val="-1"/>
        </w:rPr>
        <w:t>test</w:t>
      </w:r>
      <w:r>
        <w:rPr>
          <w:spacing w:val="7"/>
        </w:rPr>
        <w:t xml:space="preserve"> </w:t>
      </w:r>
      <w:r>
        <w:rPr>
          <w:spacing w:val="-1"/>
        </w:rPr>
        <w:t>shall</w:t>
      </w:r>
      <w:r>
        <w:rPr>
          <w:spacing w:val="4"/>
        </w:rPr>
        <w:t xml:space="preserve"> </w:t>
      </w:r>
      <w:r>
        <w:rPr>
          <w:spacing w:val="-1"/>
        </w:rPr>
        <w:t>be</w:t>
      </w:r>
      <w:r>
        <w:rPr>
          <w:spacing w:val="5"/>
        </w:rPr>
        <w:t xml:space="preserve"> </w:t>
      </w:r>
      <w:r>
        <w:rPr>
          <w:spacing w:val="-1"/>
        </w:rPr>
        <w:t>carried</w:t>
      </w:r>
      <w:r>
        <w:rPr>
          <w:spacing w:val="47"/>
        </w:rPr>
        <w:t xml:space="preserve"> </w:t>
      </w:r>
      <w:r>
        <w:rPr>
          <w:spacing w:val="-1"/>
        </w:rPr>
        <w:t>out</w:t>
      </w:r>
      <w:r>
        <w:rPr>
          <w:spacing w:val="2"/>
        </w:rPr>
        <w:t xml:space="preserve"> </w:t>
      </w:r>
      <w:r>
        <w:rPr>
          <w:spacing w:val="-2"/>
        </w:rPr>
        <w:t>under</w:t>
      </w:r>
      <w:r>
        <w:rPr>
          <w:spacing w:val="-1"/>
        </w:rPr>
        <w:t xml:space="preserve"> </w:t>
      </w:r>
      <w:r>
        <w:t xml:space="preserve">the </w:t>
      </w:r>
      <w:r>
        <w:rPr>
          <w:spacing w:val="-2"/>
        </w:rPr>
        <w:t>supervision</w:t>
      </w:r>
      <w:r>
        <w:t xml:space="preserve"> </w:t>
      </w:r>
      <w:r>
        <w:rPr>
          <w:spacing w:val="-2"/>
        </w:rPr>
        <w:t>of</w:t>
      </w:r>
      <w:r>
        <w:rPr>
          <w:spacing w:val="2"/>
        </w:rPr>
        <w:t xml:space="preserve"> </w:t>
      </w:r>
      <w:r>
        <w:t>the</w:t>
      </w:r>
      <w:r>
        <w:rPr>
          <w:spacing w:val="-2"/>
        </w:rPr>
        <w:t xml:space="preserve"> </w:t>
      </w:r>
      <w:r>
        <w:rPr>
          <w:spacing w:val="-1"/>
        </w:rPr>
        <w:t>Customer or its</w:t>
      </w:r>
      <w:r>
        <w:rPr>
          <w:spacing w:val="-3"/>
        </w:rPr>
        <w:t xml:space="preserve"> </w:t>
      </w:r>
      <w:r>
        <w:rPr>
          <w:spacing w:val="-1"/>
        </w:rPr>
        <w:t>nominee.</w:t>
      </w:r>
    </w:p>
    <w:p w:rsidR="008918FA" w:rsidRDefault="008918FA" w:rsidP="008918FA">
      <w:pPr>
        <w:pStyle w:val="BodyText"/>
        <w:numPr>
          <w:ilvl w:val="1"/>
          <w:numId w:val="10"/>
        </w:numPr>
        <w:tabs>
          <w:tab w:val="left" w:pos="828"/>
        </w:tabs>
        <w:ind w:left="827" w:right="113"/>
        <w:jc w:val="both"/>
      </w:pPr>
      <w:r>
        <w:t>The</w:t>
      </w:r>
      <w:r>
        <w:rPr>
          <w:spacing w:val="10"/>
        </w:rPr>
        <w:t xml:space="preserve"> </w:t>
      </w:r>
      <w:r>
        <w:rPr>
          <w:spacing w:val="-2"/>
        </w:rPr>
        <w:t>Supplier</w:t>
      </w:r>
      <w:r>
        <w:rPr>
          <w:spacing w:val="11"/>
        </w:rPr>
        <w:t xml:space="preserve"> </w:t>
      </w:r>
      <w:r>
        <w:rPr>
          <w:spacing w:val="-1"/>
        </w:rPr>
        <w:t>shall</w:t>
      </w:r>
      <w:r>
        <w:rPr>
          <w:spacing w:val="9"/>
        </w:rPr>
        <w:t xml:space="preserve"> </w:t>
      </w:r>
      <w:r>
        <w:rPr>
          <w:spacing w:val="-1"/>
        </w:rPr>
        <w:t>ensure</w:t>
      </w:r>
      <w:r>
        <w:rPr>
          <w:spacing w:val="10"/>
        </w:rPr>
        <w:t xml:space="preserve"> </w:t>
      </w:r>
      <w:r>
        <w:rPr>
          <w:spacing w:val="-1"/>
        </w:rPr>
        <w:t>that</w:t>
      </w:r>
      <w:r>
        <w:rPr>
          <w:spacing w:val="11"/>
        </w:rPr>
        <w:t xml:space="preserve"> </w:t>
      </w:r>
      <w:r>
        <w:rPr>
          <w:spacing w:val="-1"/>
        </w:rPr>
        <w:t>any</w:t>
      </w:r>
      <w:r>
        <w:rPr>
          <w:spacing w:val="8"/>
        </w:rPr>
        <w:t xml:space="preserve"> </w:t>
      </w:r>
      <w:r>
        <w:rPr>
          <w:spacing w:val="-1"/>
        </w:rPr>
        <w:t>use</w:t>
      </w:r>
      <w:r>
        <w:rPr>
          <w:spacing w:val="10"/>
        </w:rPr>
        <w:t xml:space="preserve"> </w:t>
      </w:r>
      <w:r>
        <w:rPr>
          <w:spacing w:val="-1"/>
        </w:rPr>
        <w:t>by</w:t>
      </w:r>
      <w:r>
        <w:rPr>
          <w:spacing w:val="10"/>
        </w:rPr>
        <w:t xml:space="preserve"> </w:t>
      </w:r>
      <w:r>
        <w:rPr>
          <w:spacing w:val="-1"/>
        </w:rPr>
        <w:t>it</w:t>
      </w:r>
      <w:r>
        <w:rPr>
          <w:spacing w:val="11"/>
        </w:rPr>
        <w:t xml:space="preserve"> </w:t>
      </w:r>
      <w:r>
        <w:rPr>
          <w:spacing w:val="-1"/>
        </w:rPr>
        <w:t>or</w:t>
      </w:r>
      <w:r>
        <w:rPr>
          <w:spacing w:val="11"/>
        </w:rPr>
        <w:t xml:space="preserve"> </w:t>
      </w:r>
      <w:r>
        <w:t>any</w:t>
      </w:r>
      <w:r>
        <w:rPr>
          <w:spacing w:val="8"/>
        </w:rPr>
        <w:t xml:space="preserve"> </w:t>
      </w:r>
      <w:r>
        <w:rPr>
          <w:spacing w:val="-1"/>
        </w:rPr>
        <w:t>Sub-Contractor</w:t>
      </w:r>
      <w:r>
        <w:rPr>
          <w:spacing w:val="11"/>
        </w:rPr>
        <w:t xml:space="preserve"> </w:t>
      </w:r>
      <w:r>
        <w:rPr>
          <w:spacing w:val="-2"/>
        </w:rPr>
        <w:t>of</w:t>
      </w:r>
      <w:r>
        <w:rPr>
          <w:spacing w:val="11"/>
        </w:rPr>
        <w:t xml:space="preserve"> </w:t>
      </w:r>
      <w:r>
        <w:rPr>
          <w:spacing w:val="-1"/>
        </w:rPr>
        <w:t>“live”</w:t>
      </w:r>
      <w:r>
        <w:rPr>
          <w:spacing w:val="11"/>
        </w:rPr>
        <w:t xml:space="preserve"> </w:t>
      </w:r>
      <w:r>
        <w:rPr>
          <w:spacing w:val="-1"/>
        </w:rPr>
        <w:t>data</w:t>
      </w:r>
      <w:r>
        <w:rPr>
          <w:spacing w:val="10"/>
        </w:rPr>
        <w:t xml:space="preserve"> </w:t>
      </w:r>
      <w:r>
        <w:rPr>
          <w:spacing w:val="-1"/>
        </w:rPr>
        <w:t>in</w:t>
      </w:r>
      <w:r>
        <w:rPr>
          <w:spacing w:val="69"/>
        </w:rPr>
        <w:t xml:space="preserve"> </w:t>
      </w:r>
      <w:r>
        <w:rPr>
          <w:spacing w:val="-1"/>
        </w:rPr>
        <w:t>such</w:t>
      </w:r>
      <w:r>
        <w:rPr>
          <w:spacing w:val="27"/>
        </w:rPr>
        <w:t xml:space="preserve"> </w:t>
      </w:r>
      <w:r>
        <w:rPr>
          <w:spacing w:val="-1"/>
        </w:rPr>
        <w:t>testing</w:t>
      </w:r>
      <w:r>
        <w:rPr>
          <w:spacing w:val="27"/>
        </w:rPr>
        <w:t xml:space="preserve"> </w:t>
      </w:r>
      <w:r>
        <w:rPr>
          <w:spacing w:val="-1"/>
        </w:rPr>
        <w:t>is</w:t>
      </w:r>
      <w:r>
        <w:rPr>
          <w:spacing w:val="25"/>
        </w:rPr>
        <w:t xml:space="preserve"> </w:t>
      </w:r>
      <w:r>
        <w:rPr>
          <w:spacing w:val="-1"/>
        </w:rPr>
        <w:t>first</w:t>
      </w:r>
      <w:r>
        <w:rPr>
          <w:spacing w:val="28"/>
        </w:rPr>
        <w:t xml:space="preserve"> </w:t>
      </w:r>
      <w:r>
        <w:rPr>
          <w:spacing w:val="-2"/>
        </w:rPr>
        <w:t>approved</w:t>
      </w:r>
      <w:r>
        <w:rPr>
          <w:spacing w:val="29"/>
        </w:rPr>
        <w:t xml:space="preserve"> </w:t>
      </w:r>
      <w:r>
        <w:rPr>
          <w:spacing w:val="-2"/>
        </w:rPr>
        <w:t>with</w:t>
      </w:r>
      <w:r>
        <w:rPr>
          <w:spacing w:val="27"/>
        </w:rPr>
        <w:t xml:space="preserve"> </w:t>
      </w:r>
      <w:r>
        <w:t>the</w:t>
      </w:r>
      <w:r>
        <w:rPr>
          <w:spacing w:val="27"/>
        </w:rPr>
        <w:t xml:space="preserve"> </w:t>
      </w:r>
      <w:r>
        <w:rPr>
          <w:spacing w:val="-1"/>
        </w:rPr>
        <w:t>Customer.</w:t>
      </w:r>
      <w:r>
        <w:rPr>
          <w:spacing w:val="26"/>
        </w:rPr>
        <w:t xml:space="preserve"> </w:t>
      </w:r>
      <w:r>
        <w:rPr>
          <w:spacing w:val="-2"/>
        </w:rPr>
        <w:t>Copies</w:t>
      </w:r>
      <w:r>
        <w:rPr>
          <w:spacing w:val="27"/>
        </w:rPr>
        <w:t xml:space="preserve"> </w:t>
      </w:r>
      <w:r>
        <w:rPr>
          <w:spacing w:val="-2"/>
        </w:rPr>
        <w:t>of</w:t>
      </w:r>
      <w:r>
        <w:rPr>
          <w:spacing w:val="30"/>
        </w:rPr>
        <w:t xml:space="preserve"> </w:t>
      </w:r>
      <w:r>
        <w:rPr>
          <w:spacing w:val="-2"/>
        </w:rPr>
        <w:t>live</w:t>
      </w:r>
      <w:r>
        <w:rPr>
          <w:spacing w:val="27"/>
        </w:rPr>
        <w:t xml:space="preserve"> </w:t>
      </w:r>
      <w:r>
        <w:rPr>
          <w:spacing w:val="-1"/>
        </w:rPr>
        <w:t>test</w:t>
      </w:r>
      <w:r>
        <w:rPr>
          <w:spacing w:val="29"/>
        </w:rPr>
        <w:t xml:space="preserve"> </w:t>
      </w:r>
      <w:r>
        <w:rPr>
          <w:spacing w:val="-1"/>
        </w:rPr>
        <w:t>data</w:t>
      </w:r>
      <w:r>
        <w:rPr>
          <w:spacing w:val="24"/>
        </w:rPr>
        <w:t xml:space="preserve"> </w:t>
      </w:r>
      <w:r>
        <w:rPr>
          <w:spacing w:val="-1"/>
        </w:rPr>
        <w:t>used</w:t>
      </w:r>
      <w:r>
        <w:rPr>
          <w:spacing w:val="27"/>
        </w:rPr>
        <w:t xml:space="preserve"> </w:t>
      </w:r>
      <w:r>
        <w:rPr>
          <w:spacing w:val="-1"/>
        </w:rPr>
        <w:t>in</w:t>
      </w:r>
      <w:r>
        <w:rPr>
          <w:spacing w:val="63"/>
        </w:rPr>
        <w:t xml:space="preserve"> </w:t>
      </w:r>
      <w:r>
        <w:rPr>
          <w:spacing w:val="-1"/>
        </w:rPr>
        <w:t>any</w:t>
      </w:r>
      <w:r>
        <w:rPr>
          <w:spacing w:val="8"/>
        </w:rPr>
        <w:t xml:space="preserve"> </w:t>
      </w:r>
      <w:r>
        <w:rPr>
          <w:spacing w:val="-1"/>
        </w:rPr>
        <w:t>such</w:t>
      </w:r>
      <w:r>
        <w:rPr>
          <w:spacing w:val="10"/>
        </w:rPr>
        <w:t xml:space="preserve"> </w:t>
      </w:r>
      <w:r>
        <w:rPr>
          <w:spacing w:val="-1"/>
        </w:rPr>
        <w:t>testing</w:t>
      </w:r>
      <w:r>
        <w:rPr>
          <w:spacing w:val="12"/>
        </w:rPr>
        <w:t xml:space="preserve"> </w:t>
      </w:r>
      <w:r>
        <w:rPr>
          <w:spacing w:val="-1"/>
        </w:rPr>
        <w:t>shall</w:t>
      </w:r>
      <w:r>
        <w:rPr>
          <w:spacing w:val="9"/>
        </w:rPr>
        <w:t xml:space="preserve"> </w:t>
      </w:r>
      <w:r>
        <w:rPr>
          <w:spacing w:val="-1"/>
        </w:rPr>
        <w:t>be</w:t>
      </w:r>
      <w:r>
        <w:rPr>
          <w:spacing w:val="10"/>
        </w:rPr>
        <w:t xml:space="preserve"> </w:t>
      </w:r>
      <w:r>
        <w:rPr>
          <w:spacing w:val="-2"/>
        </w:rPr>
        <w:t>(if</w:t>
      </w:r>
      <w:r>
        <w:rPr>
          <w:spacing w:val="14"/>
        </w:rPr>
        <w:t xml:space="preserve"> </w:t>
      </w:r>
      <w:r>
        <w:rPr>
          <w:spacing w:val="-1"/>
        </w:rPr>
        <w:t>so</w:t>
      </w:r>
      <w:r>
        <w:rPr>
          <w:spacing w:val="8"/>
        </w:rPr>
        <w:t xml:space="preserve"> </w:t>
      </w:r>
      <w:r>
        <w:rPr>
          <w:spacing w:val="-1"/>
        </w:rPr>
        <w:t>required</w:t>
      </w:r>
      <w:r>
        <w:rPr>
          <w:spacing w:val="10"/>
        </w:rPr>
        <w:t xml:space="preserve"> </w:t>
      </w:r>
      <w:r>
        <w:rPr>
          <w:spacing w:val="-1"/>
        </w:rPr>
        <w:t>by</w:t>
      </w:r>
      <w:r>
        <w:rPr>
          <w:spacing w:val="8"/>
        </w:rPr>
        <w:t xml:space="preserve"> </w:t>
      </w:r>
      <w:r>
        <w:t>the</w:t>
      </w:r>
      <w:r>
        <w:rPr>
          <w:spacing w:val="10"/>
        </w:rPr>
        <w:t xml:space="preserve"> </w:t>
      </w:r>
      <w:r>
        <w:rPr>
          <w:spacing w:val="-1"/>
        </w:rPr>
        <w:t>Customer)</w:t>
      </w:r>
      <w:r>
        <w:rPr>
          <w:spacing w:val="11"/>
        </w:rPr>
        <w:t xml:space="preserve"> </w:t>
      </w:r>
      <w:r>
        <w:rPr>
          <w:spacing w:val="-2"/>
        </w:rPr>
        <w:t>destroyed</w:t>
      </w:r>
      <w:r>
        <w:rPr>
          <w:spacing w:val="10"/>
        </w:rPr>
        <w:t xml:space="preserve"> </w:t>
      </w:r>
      <w:r>
        <w:rPr>
          <w:spacing w:val="-1"/>
        </w:rPr>
        <w:t>or</w:t>
      </w:r>
      <w:r>
        <w:rPr>
          <w:spacing w:val="11"/>
        </w:rPr>
        <w:t xml:space="preserve"> </w:t>
      </w:r>
      <w:r>
        <w:rPr>
          <w:spacing w:val="-1"/>
        </w:rPr>
        <w:t>returned</w:t>
      </w:r>
      <w:r>
        <w:rPr>
          <w:spacing w:val="7"/>
        </w:rPr>
        <w:t xml:space="preserve"> </w:t>
      </w:r>
      <w:r>
        <w:t>to</w:t>
      </w:r>
      <w:r>
        <w:rPr>
          <w:spacing w:val="53"/>
        </w:rPr>
        <w:t xml:space="preserve"> </w:t>
      </w:r>
      <w:r>
        <w:t xml:space="preserve">the </w:t>
      </w:r>
      <w:r>
        <w:rPr>
          <w:spacing w:val="-2"/>
        </w:rPr>
        <w:t>Customer</w:t>
      </w:r>
      <w:r>
        <w:rPr>
          <w:spacing w:val="2"/>
        </w:rPr>
        <w:t xml:space="preserve"> </w:t>
      </w:r>
      <w:r>
        <w:rPr>
          <w:spacing w:val="-1"/>
        </w:rPr>
        <w:t>on</w:t>
      </w:r>
      <w:r>
        <w:rPr>
          <w:spacing w:val="-2"/>
        </w:rPr>
        <w:t xml:space="preserve"> </w:t>
      </w:r>
      <w:r>
        <w:rPr>
          <w:spacing w:val="-1"/>
        </w:rPr>
        <w:t>completion</w:t>
      </w:r>
      <w:r>
        <w:t xml:space="preserve"> </w:t>
      </w:r>
      <w:r>
        <w:rPr>
          <w:spacing w:val="-2"/>
        </w:rPr>
        <w:t>of</w:t>
      </w:r>
      <w:r>
        <w:rPr>
          <w:spacing w:val="2"/>
        </w:rPr>
        <w:t xml:space="preserve"> </w:t>
      </w:r>
      <w:r>
        <w:t>the</w:t>
      </w:r>
      <w:r>
        <w:rPr>
          <w:spacing w:val="-2"/>
        </w:rPr>
        <w:t xml:space="preserve"> </w:t>
      </w:r>
      <w:r>
        <w:rPr>
          <w:spacing w:val="-1"/>
        </w:rPr>
        <w:t>test.</w:t>
      </w:r>
    </w:p>
    <w:p w:rsidR="008918FA" w:rsidRDefault="008918FA" w:rsidP="008918FA">
      <w:pPr>
        <w:pStyle w:val="BodyText"/>
        <w:numPr>
          <w:ilvl w:val="1"/>
          <w:numId w:val="10"/>
        </w:numPr>
        <w:tabs>
          <w:tab w:val="left" w:pos="828"/>
        </w:tabs>
        <w:spacing w:before="121"/>
        <w:ind w:left="827" w:right="115"/>
        <w:jc w:val="both"/>
      </w:pPr>
      <w:r>
        <w:t>The</w:t>
      </w:r>
      <w:r>
        <w:rPr>
          <w:spacing w:val="10"/>
        </w:rPr>
        <w:t xml:space="preserve"> </w:t>
      </w:r>
      <w:r>
        <w:rPr>
          <w:spacing w:val="-2"/>
        </w:rPr>
        <w:t>Supplier</w:t>
      </w:r>
      <w:r>
        <w:rPr>
          <w:spacing w:val="11"/>
        </w:rPr>
        <w:t xml:space="preserve"> </w:t>
      </w:r>
      <w:r>
        <w:rPr>
          <w:spacing w:val="-1"/>
        </w:rPr>
        <w:t>shall,</w:t>
      </w:r>
      <w:r>
        <w:rPr>
          <w:spacing w:val="11"/>
        </w:rPr>
        <w:t xml:space="preserve"> </w:t>
      </w:r>
      <w:r>
        <w:rPr>
          <w:spacing w:val="-2"/>
        </w:rPr>
        <w:t>within</w:t>
      </w:r>
      <w:r>
        <w:rPr>
          <w:spacing w:val="10"/>
        </w:rPr>
        <w:t xml:space="preserve"> </w:t>
      </w:r>
      <w:r>
        <w:rPr>
          <w:spacing w:val="-1"/>
        </w:rPr>
        <w:t>twenty</w:t>
      </w:r>
      <w:r>
        <w:rPr>
          <w:spacing w:val="8"/>
        </w:rPr>
        <w:t xml:space="preserve"> </w:t>
      </w:r>
      <w:r>
        <w:t>(20)</w:t>
      </w:r>
      <w:r>
        <w:rPr>
          <w:spacing w:val="-3"/>
        </w:rPr>
        <w:t xml:space="preserve"> </w:t>
      </w:r>
      <w:r>
        <w:rPr>
          <w:spacing w:val="-1"/>
        </w:rPr>
        <w:t>Working</w:t>
      </w:r>
      <w:r>
        <w:rPr>
          <w:spacing w:val="12"/>
        </w:rPr>
        <w:t xml:space="preserve"> </w:t>
      </w:r>
      <w:r>
        <w:rPr>
          <w:spacing w:val="-2"/>
        </w:rPr>
        <w:t>Days</w:t>
      </w:r>
      <w:r>
        <w:rPr>
          <w:spacing w:val="10"/>
        </w:rPr>
        <w:t xml:space="preserve"> </w:t>
      </w:r>
      <w:r>
        <w:rPr>
          <w:spacing w:val="-1"/>
        </w:rPr>
        <w:t>of</w:t>
      </w:r>
      <w:r>
        <w:rPr>
          <w:spacing w:val="11"/>
        </w:rPr>
        <w:t xml:space="preserve"> </w:t>
      </w:r>
      <w:r>
        <w:t>the</w:t>
      </w:r>
      <w:r>
        <w:rPr>
          <w:spacing w:val="10"/>
        </w:rPr>
        <w:t xml:space="preserve"> </w:t>
      </w:r>
      <w:r>
        <w:rPr>
          <w:spacing w:val="-1"/>
        </w:rPr>
        <w:t>conclusion</w:t>
      </w:r>
      <w:r>
        <w:rPr>
          <w:spacing w:val="10"/>
        </w:rPr>
        <w:t xml:space="preserve"> </w:t>
      </w:r>
      <w:r>
        <w:rPr>
          <w:spacing w:val="-2"/>
        </w:rPr>
        <w:t>of</w:t>
      </w:r>
      <w:r>
        <w:rPr>
          <w:spacing w:val="9"/>
        </w:rPr>
        <w:t xml:space="preserve"> </w:t>
      </w:r>
      <w:r>
        <w:rPr>
          <w:spacing w:val="-1"/>
        </w:rPr>
        <w:t>each</w:t>
      </w:r>
      <w:r>
        <w:rPr>
          <w:spacing w:val="10"/>
        </w:rPr>
        <w:t xml:space="preserve"> </w:t>
      </w:r>
      <w:r>
        <w:rPr>
          <w:spacing w:val="-1"/>
        </w:rPr>
        <w:t>test,</w:t>
      </w:r>
      <w:r>
        <w:rPr>
          <w:spacing w:val="53"/>
        </w:rPr>
        <w:t xml:space="preserve"> </w:t>
      </w:r>
      <w:r>
        <w:rPr>
          <w:spacing w:val="-2"/>
        </w:rPr>
        <w:t>provide</w:t>
      </w:r>
      <w:r>
        <w:t xml:space="preserve"> to the</w:t>
      </w:r>
      <w:r>
        <w:rPr>
          <w:spacing w:val="-2"/>
        </w:rPr>
        <w:t xml:space="preserve"> Customer</w:t>
      </w:r>
      <w:r>
        <w:rPr>
          <w:spacing w:val="-1"/>
        </w:rPr>
        <w:t xml:space="preserve"> </w:t>
      </w:r>
      <w:r>
        <w:t xml:space="preserve">a </w:t>
      </w:r>
      <w:r>
        <w:rPr>
          <w:spacing w:val="-1"/>
        </w:rPr>
        <w:t>report</w:t>
      </w:r>
      <w:r>
        <w:t xml:space="preserve"> </w:t>
      </w:r>
      <w:r>
        <w:rPr>
          <w:spacing w:val="-1"/>
        </w:rPr>
        <w:t>setting</w:t>
      </w:r>
      <w:r>
        <w:t xml:space="preserve"> </w:t>
      </w:r>
      <w:r>
        <w:rPr>
          <w:spacing w:val="-1"/>
        </w:rPr>
        <w:t>out:</w:t>
      </w:r>
    </w:p>
    <w:p w:rsidR="008918FA" w:rsidRDefault="008918FA" w:rsidP="008918FA">
      <w:pPr>
        <w:pStyle w:val="BodyText"/>
        <w:numPr>
          <w:ilvl w:val="2"/>
          <w:numId w:val="10"/>
        </w:numPr>
        <w:tabs>
          <w:tab w:val="left" w:pos="2025"/>
        </w:tabs>
        <w:ind w:left="2024" w:hanging="993"/>
      </w:pPr>
      <w:r>
        <w:t xml:space="preserve">the </w:t>
      </w:r>
      <w:r>
        <w:rPr>
          <w:spacing w:val="-1"/>
        </w:rPr>
        <w:t>outcome</w:t>
      </w:r>
      <w:r>
        <w:rPr>
          <w:spacing w:val="-2"/>
        </w:rPr>
        <w:t xml:space="preserve"> of</w:t>
      </w:r>
      <w:r>
        <w:t xml:space="preserve"> the</w:t>
      </w:r>
      <w:r>
        <w:rPr>
          <w:spacing w:val="-2"/>
        </w:rPr>
        <w:t xml:space="preserve"> </w:t>
      </w:r>
      <w:r>
        <w:rPr>
          <w:spacing w:val="-1"/>
        </w:rPr>
        <w:t>test;</w:t>
      </w:r>
    </w:p>
    <w:p w:rsidR="008918FA" w:rsidRDefault="008918FA" w:rsidP="008918FA">
      <w:pPr>
        <w:pStyle w:val="BodyText"/>
        <w:numPr>
          <w:ilvl w:val="2"/>
          <w:numId w:val="10"/>
        </w:numPr>
        <w:tabs>
          <w:tab w:val="left" w:pos="2025"/>
        </w:tabs>
        <w:spacing w:before="121"/>
        <w:ind w:left="2024" w:right="120" w:hanging="993"/>
      </w:pPr>
      <w:r>
        <w:rPr>
          <w:spacing w:val="-1"/>
        </w:rPr>
        <w:t>any</w:t>
      </w:r>
      <w:r>
        <w:rPr>
          <w:spacing w:val="3"/>
        </w:rPr>
        <w:t xml:space="preserve"> </w:t>
      </w:r>
      <w:r>
        <w:rPr>
          <w:spacing w:val="-1"/>
        </w:rPr>
        <w:t>failures</w:t>
      </w:r>
      <w:r>
        <w:rPr>
          <w:spacing w:val="5"/>
        </w:rPr>
        <w:t xml:space="preserve"> </w:t>
      </w:r>
      <w:r>
        <w:rPr>
          <w:spacing w:val="-1"/>
        </w:rPr>
        <w:t>in</w:t>
      </w:r>
      <w:r>
        <w:rPr>
          <w:spacing w:val="5"/>
        </w:rPr>
        <w:t xml:space="preserve"> </w:t>
      </w:r>
      <w:r>
        <w:t>the</w:t>
      </w:r>
      <w:r>
        <w:rPr>
          <w:spacing w:val="5"/>
        </w:rPr>
        <w:t xml:space="preserve"> </w:t>
      </w:r>
      <w:r>
        <w:rPr>
          <w:spacing w:val="-2"/>
        </w:rPr>
        <w:t>BCDR</w:t>
      </w:r>
      <w:r>
        <w:rPr>
          <w:spacing w:val="7"/>
        </w:rPr>
        <w:t xml:space="preserve"> </w:t>
      </w:r>
      <w:r>
        <w:rPr>
          <w:spacing w:val="-1"/>
        </w:rPr>
        <w:t>Plan</w:t>
      </w:r>
      <w:r>
        <w:rPr>
          <w:spacing w:val="5"/>
        </w:rPr>
        <w:t xml:space="preserve"> </w:t>
      </w:r>
      <w:r>
        <w:rPr>
          <w:spacing w:val="-1"/>
        </w:rPr>
        <w:t>(including</w:t>
      </w:r>
      <w:r>
        <w:rPr>
          <w:spacing w:val="7"/>
        </w:rPr>
        <w:t xml:space="preserve"> </w:t>
      </w:r>
      <w:r>
        <w:t>the</w:t>
      </w:r>
      <w:r>
        <w:rPr>
          <w:spacing w:val="5"/>
        </w:rPr>
        <w:t xml:space="preserve"> </w:t>
      </w:r>
      <w:r>
        <w:rPr>
          <w:spacing w:val="-2"/>
        </w:rPr>
        <w:t>BCDR</w:t>
      </w:r>
      <w:r>
        <w:rPr>
          <w:spacing w:val="7"/>
        </w:rPr>
        <w:t xml:space="preserve"> </w:t>
      </w:r>
      <w:r>
        <w:rPr>
          <w:spacing w:val="-1"/>
        </w:rPr>
        <w:t>Plan's</w:t>
      </w:r>
      <w:r>
        <w:rPr>
          <w:spacing w:val="5"/>
        </w:rPr>
        <w:t xml:space="preserve"> </w:t>
      </w:r>
      <w:r>
        <w:rPr>
          <w:spacing w:val="-1"/>
        </w:rPr>
        <w:t>procedures)</w:t>
      </w:r>
      <w:r>
        <w:rPr>
          <w:spacing w:val="38"/>
        </w:rPr>
        <w:t xml:space="preserve"> </w:t>
      </w:r>
      <w:r>
        <w:rPr>
          <w:spacing w:val="-2"/>
        </w:rPr>
        <w:t>revealed</w:t>
      </w:r>
      <w:r>
        <w:t xml:space="preserve"> </w:t>
      </w:r>
      <w:r>
        <w:rPr>
          <w:spacing w:val="-1"/>
        </w:rPr>
        <w:t>by</w:t>
      </w:r>
      <w:r>
        <w:rPr>
          <w:spacing w:val="-2"/>
        </w:rPr>
        <w:t xml:space="preserve"> </w:t>
      </w:r>
      <w:r>
        <w:t xml:space="preserve">the </w:t>
      </w:r>
      <w:r>
        <w:rPr>
          <w:spacing w:val="-1"/>
        </w:rPr>
        <w:t>test;</w:t>
      </w:r>
      <w:r>
        <w:t xml:space="preserve"> </w:t>
      </w:r>
      <w:r>
        <w:rPr>
          <w:spacing w:val="-1"/>
        </w:rPr>
        <w:t>and</w:t>
      </w:r>
    </w:p>
    <w:p w:rsidR="008918FA" w:rsidRDefault="008918FA" w:rsidP="008918FA">
      <w:pPr>
        <w:pStyle w:val="BodyText"/>
        <w:numPr>
          <w:ilvl w:val="2"/>
          <w:numId w:val="10"/>
        </w:numPr>
        <w:tabs>
          <w:tab w:val="left" w:pos="2025"/>
        </w:tabs>
        <w:spacing w:before="121"/>
        <w:ind w:left="2024" w:hanging="993"/>
      </w:pPr>
      <w:r>
        <w:t xml:space="preserve">the </w:t>
      </w:r>
      <w:r>
        <w:rPr>
          <w:spacing w:val="-1"/>
        </w:rPr>
        <w:t>Supplier's</w:t>
      </w:r>
      <w:r>
        <w:rPr>
          <w:spacing w:val="-2"/>
        </w:rPr>
        <w:t xml:space="preserve"> </w:t>
      </w:r>
      <w:r>
        <w:rPr>
          <w:spacing w:val="-1"/>
        </w:rPr>
        <w:t>proposals</w:t>
      </w:r>
      <w:r>
        <w:rPr>
          <w:spacing w:val="-2"/>
        </w:rPr>
        <w:t xml:space="preserve"> </w:t>
      </w:r>
      <w:r>
        <w:t>for</w:t>
      </w:r>
      <w:r>
        <w:rPr>
          <w:spacing w:val="-1"/>
        </w:rPr>
        <w:t xml:space="preserve"> </w:t>
      </w:r>
      <w:r>
        <w:rPr>
          <w:spacing w:val="-2"/>
        </w:rPr>
        <w:t>remedying</w:t>
      </w:r>
      <w:r>
        <w:rPr>
          <w:spacing w:val="3"/>
        </w:rPr>
        <w:t xml:space="preserve"> </w:t>
      </w:r>
      <w:r>
        <w:rPr>
          <w:spacing w:val="-1"/>
        </w:rPr>
        <w:t>any</w:t>
      </w:r>
      <w:r>
        <w:rPr>
          <w:spacing w:val="-2"/>
        </w:rPr>
        <w:t xml:space="preserve"> </w:t>
      </w:r>
      <w:r>
        <w:rPr>
          <w:spacing w:val="-1"/>
        </w:rPr>
        <w:t>such</w:t>
      </w:r>
      <w:r>
        <w:rPr>
          <w:spacing w:val="-4"/>
        </w:rPr>
        <w:t xml:space="preserve"> </w:t>
      </w:r>
      <w:r>
        <w:rPr>
          <w:spacing w:val="-1"/>
        </w:rPr>
        <w:t>failures.</w:t>
      </w:r>
    </w:p>
    <w:p w:rsidR="008918FA" w:rsidRDefault="008918FA" w:rsidP="008918FA">
      <w:pPr>
        <w:pStyle w:val="BodyText"/>
        <w:numPr>
          <w:ilvl w:val="1"/>
          <w:numId w:val="10"/>
        </w:numPr>
        <w:tabs>
          <w:tab w:val="left" w:pos="828"/>
        </w:tabs>
        <w:ind w:left="827" w:right="114"/>
        <w:jc w:val="both"/>
      </w:pPr>
      <w:r>
        <w:rPr>
          <w:spacing w:val="-2"/>
        </w:rPr>
        <w:t>Following</w:t>
      </w:r>
      <w:r>
        <w:rPr>
          <w:spacing w:val="26"/>
        </w:rPr>
        <w:t xml:space="preserve"> </w:t>
      </w:r>
      <w:r>
        <w:rPr>
          <w:spacing w:val="-1"/>
        </w:rPr>
        <w:t>each</w:t>
      </w:r>
      <w:r>
        <w:rPr>
          <w:spacing w:val="24"/>
        </w:rPr>
        <w:t xml:space="preserve"> </w:t>
      </w:r>
      <w:r>
        <w:t>test,</w:t>
      </w:r>
      <w:r>
        <w:rPr>
          <w:spacing w:val="22"/>
        </w:rPr>
        <w:t xml:space="preserve"> </w:t>
      </w:r>
      <w:r>
        <w:rPr>
          <w:spacing w:val="-1"/>
        </w:rPr>
        <w:t>the</w:t>
      </w:r>
      <w:r>
        <w:rPr>
          <w:spacing w:val="23"/>
        </w:rPr>
        <w:t xml:space="preserve"> </w:t>
      </w:r>
      <w:r>
        <w:rPr>
          <w:spacing w:val="-2"/>
        </w:rPr>
        <w:t>Supplier</w:t>
      </w:r>
      <w:r>
        <w:rPr>
          <w:spacing w:val="24"/>
        </w:rPr>
        <w:t xml:space="preserve"> </w:t>
      </w:r>
      <w:r>
        <w:rPr>
          <w:spacing w:val="-1"/>
        </w:rPr>
        <w:t>shall</w:t>
      </w:r>
      <w:r>
        <w:rPr>
          <w:spacing w:val="25"/>
        </w:rPr>
        <w:t xml:space="preserve"> </w:t>
      </w:r>
      <w:r>
        <w:t>take</w:t>
      </w:r>
      <w:r>
        <w:rPr>
          <w:spacing w:val="21"/>
        </w:rPr>
        <w:t xml:space="preserve"> </w:t>
      </w:r>
      <w:r>
        <w:rPr>
          <w:spacing w:val="-1"/>
        </w:rPr>
        <w:t>all</w:t>
      </w:r>
      <w:r>
        <w:rPr>
          <w:spacing w:val="22"/>
        </w:rPr>
        <w:t xml:space="preserve"> </w:t>
      </w:r>
      <w:r>
        <w:rPr>
          <w:spacing w:val="-1"/>
        </w:rPr>
        <w:t>measures</w:t>
      </w:r>
      <w:r>
        <w:rPr>
          <w:spacing w:val="24"/>
        </w:rPr>
        <w:t xml:space="preserve"> </w:t>
      </w:r>
      <w:r>
        <w:rPr>
          <w:spacing w:val="-1"/>
        </w:rPr>
        <w:t>requested</w:t>
      </w:r>
      <w:r>
        <w:rPr>
          <w:spacing w:val="23"/>
        </w:rPr>
        <w:t xml:space="preserve"> </w:t>
      </w:r>
      <w:r>
        <w:rPr>
          <w:spacing w:val="-1"/>
        </w:rPr>
        <w:t>by</w:t>
      </w:r>
      <w:r>
        <w:rPr>
          <w:spacing w:val="21"/>
        </w:rPr>
        <w:t xml:space="preserve"> </w:t>
      </w:r>
      <w:r>
        <w:rPr>
          <w:spacing w:val="-1"/>
        </w:rPr>
        <w:t>the</w:t>
      </w:r>
      <w:r>
        <w:rPr>
          <w:spacing w:val="54"/>
        </w:rPr>
        <w:t xml:space="preserve"> </w:t>
      </w:r>
      <w:r>
        <w:rPr>
          <w:spacing w:val="-1"/>
        </w:rPr>
        <w:t>Customer,</w:t>
      </w:r>
      <w:r>
        <w:rPr>
          <w:spacing w:val="16"/>
        </w:rPr>
        <w:t xml:space="preserve"> </w:t>
      </w:r>
      <w:r>
        <w:rPr>
          <w:spacing w:val="-1"/>
        </w:rPr>
        <w:t>(including</w:t>
      </w:r>
      <w:r>
        <w:rPr>
          <w:spacing w:val="17"/>
        </w:rPr>
        <w:t xml:space="preserve"> </w:t>
      </w:r>
      <w:r>
        <w:rPr>
          <w:spacing w:val="-1"/>
        </w:rPr>
        <w:t>requests</w:t>
      </w:r>
      <w:r>
        <w:rPr>
          <w:spacing w:val="15"/>
        </w:rPr>
        <w:t xml:space="preserve"> </w:t>
      </w:r>
      <w:r>
        <w:t>for</w:t>
      </w:r>
      <w:r>
        <w:rPr>
          <w:spacing w:val="16"/>
        </w:rPr>
        <w:t xml:space="preserve"> </w:t>
      </w:r>
      <w:r>
        <w:t>the</w:t>
      </w:r>
      <w:r>
        <w:rPr>
          <w:spacing w:val="15"/>
        </w:rPr>
        <w:t xml:space="preserve"> </w:t>
      </w:r>
      <w:r>
        <w:rPr>
          <w:spacing w:val="-1"/>
        </w:rPr>
        <w:t>re-testing</w:t>
      </w:r>
      <w:r>
        <w:rPr>
          <w:spacing w:val="20"/>
        </w:rPr>
        <w:t xml:space="preserve"> </w:t>
      </w:r>
      <w:r>
        <w:rPr>
          <w:spacing w:val="-2"/>
        </w:rPr>
        <w:t>of</w:t>
      </w:r>
      <w:r>
        <w:rPr>
          <w:spacing w:val="19"/>
        </w:rPr>
        <w:t xml:space="preserve"> </w:t>
      </w:r>
      <w:r>
        <w:t>the</w:t>
      </w:r>
      <w:r>
        <w:rPr>
          <w:spacing w:val="15"/>
        </w:rPr>
        <w:t xml:space="preserve"> </w:t>
      </w:r>
      <w:r>
        <w:rPr>
          <w:spacing w:val="-2"/>
        </w:rPr>
        <w:t>BCDR</w:t>
      </w:r>
      <w:r>
        <w:rPr>
          <w:spacing w:val="17"/>
        </w:rPr>
        <w:t xml:space="preserve"> </w:t>
      </w:r>
      <w:r>
        <w:rPr>
          <w:spacing w:val="-1"/>
        </w:rPr>
        <w:t>Plan)</w:t>
      </w:r>
      <w:r>
        <w:rPr>
          <w:spacing w:val="19"/>
        </w:rPr>
        <w:t xml:space="preserve"> </w:t>
      </w:r>
      <w:r>
        <w:t>to</w:t>
      </w:r>
      <w:r>
        <w:rPr>
          <w:spacing w:val="17"/>
        </w:rPr>
        <w:t xml:space="preserve"> </w:t>
      </w:r>
      <w:r>
        <w:rPr>
          <w:spacing w:val="-1"/>
        </w:rPr>
        <w:t>remedy</w:t>
      </w:r>
      <w:r>
        <w:rPr>
          <w:spacing w:val="15"/>
        </w:rPr>
        <w:t xml:space="preserve"> </w:t>
      </w:r>
      <w:r>
        <w:rPr>
          <w:spacing w:val="-1"/>
        </w:rPr>
        <w:t>any</w:t>
      </w:r>
      <w:r>
        <w:rPr>
          <w:spacing w:val="26"/>
        </w:rPr>
        <w:t xml:space="preserve"> </w:t>
      </w:r>
      <w:r>
        <w:rPr>
          <w:spacing w:val="-1"/>
        </w:rPr>
        <w:t>failures</w:t>
      </w:r>
      <w:r>
        <w:rPr>
          <w:spacing w:val="7"/>
        </w:rPr>
        <w:t xml:space="preserve"> </w:t>
      </w:r>
      <w:r>
        <w:rPr>
          <w:spacing w:val="-1"/>
        </w:rPr>
        <w:t>in</w:t>
      </w:r>
      <w:r>
        <w:rPr>
          <w:spacing w:val="6"/>
        </w:rPr>
        <w:t xml:space="preserve"> </w:t>
      </w:r>
      <w:r>
        <w:rPr>
          <w:spacing w:val="-1"/>
        </w:rPr>
        <w:t>the</w:t>
      </w:r>
      <w:r>
        <w:rPr>
          <w:spacing w:val="6"/>
        </w:rPr>
        <w:t xml:space="preserve"> </w:t>
      </w:r>
      <w:r>
        <w:rPr>
          <w:spacing w:val="-2"/>
        </w:rPr>
        <w:t>BCDR</w:t>
      </w:r>
      <w:r>
        <w:rPr>
          <w:spacing w:val="3"/>
        </w:rPr>
        <w:t xml:space="preserve"> </w:t>
      </w:r>
      <w:r>
        <w:rPr>
          <w:spacing w:val="-1"/>
        </w:rPr>
        <w:t>Plan</w:t>
      </w:r>
      <w:r>
        <w:rPr>
          <w:spacing w:val="6"/>
        </w:rPr>
        <w:t xml:space="preserve"> </w:t>
      </w:r>
      <w:r>
        <w:rPr>
          <w:spacing w:val="-1"/>
        </w:rPr>
        <w:t>and</w:t>
      </w:r>
      <w:r>
        <w:rPr>
          <w:spacing w:val="6"/>
        </w:rPr>
        <w:t xml:space="preserve"> </w:t>
      </w:r>
      <w:r>
        <w:rPr>
          <w:spacing w:val="-1"/>
        </w:rPr>
        <w:t>such</w:t>
      </w:r>
      <w:r>
        <w:rPr>
          <w:spacing w:val="4"/>
        </w:rPr>
        <w:t xml:space="preserve"> </w:t>
      </w:r>
      <w:r>
        <w:rPr>
          <w:spacing w:val="-1"/>
        </w:rPr>
        <w:t>remedial</w:t>
      </w:r>
      <w:r>
        <w:rPr>
          <w:spacing w:val="6"/>
        </w:rPr>
        <w:t xml:space="preserve"> </w:t>
      </w:r>
      <w:r>
        <w:rPr>
          <w:spacing w:val="-1"/>
        </w:rPr>
        <w:t>activity</w:t>
      </w:r>
      <w:r>
        <w:rPr>
          <w:spacing w:val="4"/>
        </w:rPr>
        <w:t xml:space="preserve"> </w:t>
      </w:r>
      <w:r>
        <w:rPr>
          <w:spacing w:val="-1"/>
        </w:rPr>
        <w:t>and</w:t>
      </w:r>
      <w:r>
        <w:rPr>
          <w:spacing w:val="6"/>
        </w:rPr>
        <w:t xml:space="preserve"> </w:t>
      </w:r>
      <w:r>
        <w:rPr>
          <w:spacing w:val="-1"/>
        </w:rPr>
        <w:t>re-testing</w:t>
      </w:r>
      <w:r>
        <w:rPr>
          <w:spacing w:val="6"/>
        </w:rPr>
        <w:t xml:space="preserve"> </w:t>
      </w:r>
      <w:r>
        <w:rPr>
          <w:spacing w:val="-1"/>
        </w:rPr>
        <w:t>shall</w:t>
      </w:r>
      <w:r>
        <w:rPr>
          <w:spacing w:val="6"/>
        </w:rPr>
        <w:t xml:space="preserve"> </w:t>
      </w:r>
      <w:r>
        <w:rPr>
          <w:spacing w:val="-1"/>
        </w:rPr>
        <w:t>be</w:t>
      </w:r>
      <w:r>
        <w:rPr>
          <w:spacing w:val="32"/>
        </w:rPr>
        <w:t xml:space="preserve"> </w:t>
      </w:r>
      <w:r>
        <w:rPr>
          <w:spacing w:val="-1"/>
        </w:rPr>
        <w:t>completed</w:t>
      </w:r>
      <w:r>
        <w:rPr>
          <w:spacing w:val="51"/>
        </w:rPr>
        <w:t xml:space="preserve"> </w:t>
      </w:r>
      <w:r>
        <w:rPr>
          <w:spacing w:val="-1"/>
        </w:rPr>
        <w:t>by</w:t>
      </w:r>
      <w:r>
        <w:rPr>
          <w:spacing w:val="49"/>
        </w:rPr>
        <w:t xml:space="preserve"> </w:t>
      </w:r>
      <w:r>
        <w:t>the</w:t>
      </w:r>
      <w:r>
        <w:rPr>
          <w:spacing w:val="48"/>
        </w:rPr>
        <w:t xml:space="preserve"> </w:t>
      </w:r>
      <w:r>
        <w:rPr>
          <w:spacing w:val="-1"/>
        </w:rPr>
        <w:t>Supplier,</w:t>
      </w:r>
      <w:r>
        <w:rPr>
          <w:spacing w:val="52"/>
        </w:rPr>
        <w:t xml:space="preserve"> </w:t>
      </w:r>
      <w:r>
        <w:rPr>
          <w:spacing w:val="-2"/>
        </w:rPr>
        <w:t>at</w:t>
      </w:r>
      <w:r>
        <w:rPr>
          <w:spacing w:val="52"/>
        </w:rPr>
        <w:t xml:space="preserve"> </w:t>
      </w:r>
      <w:r>
        <w:rPr>
          <w:spacing w:val="-1"/>
        </w:rPr>
        <w:t>no</w:t>
      </w:r>
      <w:r>
        <w:rPr>
          <w:spacing w:val="51"/>
        </w:rPr>
        <w:t xml:space="preserve"> </w:t>
      </w:r>
      <w:r>
        <w:rPr>
          <w:spacing w:val="-1"/>
        </w:rPr>
        <w:t>additional</w:t>
      </w:r>
      <w:r>
        <w:rPr>
          <w:spacing w:val="51"/>
        </w:rPr>
        <w:t xml:space="preserve"> </w:t>
      </w:r>
      <w:r>
        <w:rPr>
          <w:spacing w:val="-2"/>
        </w:rPr>
        <w:t>cost</w:t>
      </w:r>
      <w:r>
        <w:rPr>
          <w:spacing w:val="50"/>
        </w:rPr>
        <w:t xml:space="preserve"> </w:t>
      </w:r>
      <w:r>
        <w:t>to</w:t>
      </w:r>
      <w:r>
        <w:rPr>
          <w:spacing w:val="51"/>
        </w:rPr>
        <w:t xml:space="preserve"> </w:t>
      </w:r>
      <w:r>
        <w:t>the</w:t>
      </w:r>
      <w:r>
        <w:rPr>
          <w:spacing w:val="48"/>
        </w:rPr>
        <w:t xml:space="preserve"> </w:t>
      </w:r>
      <w:r>
        <w:rPr>
          <w:spacing w:val="-1"/>
        </w:rPr>
        <w:t>Customer,</w:t>
      </w:r>
      <w:r>
        <w:rPr>
          <w:spacing w:val="52"/>
        </w:rPr>
        <w:t xml:space="preserve"> </w:t>
      </w:r>
      <w:r>
        <w:rPr>
          <w:spacing w:val="-1"/>
        </w:rPr>
        <w:t>by</w:t>
      </w:r>
      <w:r>
        <w:rPr>
          <w:spacing w:val="49"/>
        </w:rPr>
        <w:t xml:space="preserve"> </w:t>
      </w:r>
      <w:r>
        <w:t>the</w:t>
      </w:r>
      <w:r>
        <w:rPr>
          <w:spacing w:val="52"/>
        </w:rPr>
        <w:t xml:space="preserve"> </w:t>
      </w:r>
      <w:r>
        <w:rPr>
          <w:spacing w:val="-2"/>
        </w:rPr>
        <w:t>date</w:t>
      </w:r>
      <w:r>
        <w:rPr>
          <w:spacing w:val="31"/>
        </w:rPr>
        <w:t xml:space="preserve"> </w:t>
      </w:r>
      <w:r>
        <w:rPr>
          <w:spacing w:val="-1"/>
        </w:rPr>
        <w:t>reasonably</w:t>
      </w:r>
      <w:r>
        <w:rPr>
          <w:spacing w:val="-2"/>
        </w:rPr>
        <w:t xml:space="preserve"> </w:t>
      </w:r>
      <w:r>
        <w:rPr>
          <w:spacing w:val="-1"/>
        </w:rPr>
        <w:t>required</w:t>
      </w:r>
      <w:r>
        <w:t xml:space="preserve"> </w:t>
      </w:r>
      <w:r>
        <w:rPr>
          <w:spacing w:val="-1"/>
        </w:rPr>
        <w:t>by</w:t>
      </w:r>
      <w:r>
        <w:rPr>
          <w:spacing w:val="-2"/>
        </w:rPr>
        <w:t xml:space="preserve"> </w:t>
      </w:r>
      <w:r>
        <w:rPr>
          <w:spacing w:val="-1"/>
        </w:rPr>
        <w:t>the</w:t>
      </w:r>
      <w:r>
        <w:t xml:space="preserve"> </w:t>
      </w:r>
      <w:r>
        <w:rPr>
          <w:spacing w:val="-1"/>
        </w:rPr>
        <w:t>Customer and</w:t>
      </w:r>
      <w:r>
        <w:t xml:space="preserve"> </w:t>
      </w:r>
      <w:r>
        <w:rPr>
          <w:spacing w:val="-2"/>
        </w:rPr>
        <w:t>set</w:t>
      </w:r>
      <w:r>
        <w:t xml:space="preserve"> </w:t>
      </w:r>
      <w:r>
        <w:rPr>
          <w:spacing w:val="-1"/>
        </w:rPr>
        <w:t>out</w:t>
      </w:r>
      <w:r>
        <w:t xml:space="preserve"> </w:t>
      </w:r>
      <w:r>
        <w:rPr>
          <w:spacing w:val="-1"/>
        </w:rPr>
        <w:t>in</w:t>
      </w:r>
      <w:r>
        <w:t xml:space="preserve"> </w:t>
      </w:r>
      <w:r>
        <w:rPr>
          <w:spacing w:val="-1"/>
        </w:rPr>
        <w:t>such</w:t>
      </w:r>
      <w:r>
        <w:rPr>
          <w:spacing w:val="-2"/>
        </w:rPr>
        <w:t xml:space="preserve"> </w:t>
      </w:r>
      <w:r>
        <w:rPr>
          <w:spacing w:val="-1"/>
        </w:rPr>
        <w:t>notice.</w:t>
      </w:r>
    </w:p>
    <w:p w:rsidR="008918FA" w:rsidRDefault="008918FA" w:rsidP="008918FA">
      <w:pPr>
        <w:pStyle w:val="BodyText"/>
        <w:numPr>
          <w:ilvl w:val="1"/>
          <w:numId w:val="10"/>
        </w:numPr>
        <w:tabs>
          <w:tab w:val="left" w:pos="828"/>
        </w:tabs>
        <w:ind w:left="827" w:right="114"/>
        <w:jc w:val="both"/>
      </w:pPr>
      <w:r>
        <w:rPr>
          <w:spacing w:val="-1"/>
        </w:rPr>
        <w:t>For</w:t>
      </w:r>
      <w:r>
        <w:rPr>
          <w:spacing w:val="2"/>
        </w:rPr>
        <w:t xml:space="preserve"> </w:t>
      </w:r>
      <w:r>
        <w:t xml:space="preserve">the </w:t>
      </w:r>
      <w:r>
        <w:rPr>
          <w:spacing w:val="-2"/>
        </w:rPr>
        <w:t>avoidance</w:t>
      </w:r>
      <w:r>
        <w:rPr>
          <w:spacing w:val="1"/>
        </w:rPr>
        <w:t xml:space="preserve"> </w:t>
      </w:r>
      <w:r>
        <w:rPr>
          <w:spacing w:val="-1"/>
        </w:rPr>
        <w:t>of</w:t>
      </w:r>
      <w:r>
        <w:rPr>
          <w:spacing w:val="4"/>
        </w:rPr>
        <w:t xml:space="preserve"> </w:t>
      </w:r>
      <w:r>
        <w:rPr>
          <w:spacing w:val="-1"/>
        </w:rPr>
        <w:t>doubt,</w:t>
      </w:r>
      <w:r>
        <w:rPr>
          <w:spacing w:val="2"/>
        </w:rPr>
        <w:t xml:space="preserve"> </w:t>
      </w:r>
      <w:r>
        <w:t xml:space="preserve">the </w:t>
      </w:r>
      <w:r>
        <w:rPr>
          <w:spacing w:val="-2"/>
        </w:rPr>
        <w:t>carrying</w:t>
      </w:r>
      <w:r>
        <w:rPr>
          <w:spacing w:val="3"/>
        </w:rPr>
        <w:t xml:space="preserve"> </w:t>
      </w:r>
      <w:r>
        <w:rPr>
          <w:spacing w:val="-1"/>
        </w:rPr>
        <w:t>out</w:t>
      </w:r>
      <w:r>
        <w:rPr>
          <w:spacing w:val="2"/>
        </w:rPr>
        <w:t xml:space="preserve"> </w:t>
      </w:r>
      <w:r>
        <w:rPr>
          <w:spacing w:val="-2"/>
        </w:rPr>
        <w:t>of</w:t>
      </w:r>
      <w:r>
        <w:rPr>
          <w:spacing w:val="4"/>
        </w:rPr>
        <w:t xml:space="preserve"> </w:t>
      </w:r>
      <w:r>
        <w:t xml:space="preserve">a </w:t>
      </w:r>
      <w:r>
        <w:rPr>
          <w:spacing w:val="-1"/>
        </w:rPr>
        <w:t>test</w:t>
      </w:r>
      <w:r>
        <w:rPr>
          <w:spacing w:val="2"/>
        </w:rPr>
        <w:t xml:space="preserve"> </w:t>
      </w:r>
      <w:r>
        <w:rPr>
          <w:spacing w:val="-2"/>
        </w:rPr>
        <w:t>of</w:t>
      </w:r>
      <w:r>
        <w:rPr>
          <w:spacing w:val="4"/>
        </w:rPr>
        <w:t xml:space="preserve"> </w:t>
      </w:r>
      <w:r>
        <w:t xml:space="preserve">the </w:t>
      </w:r>
      <w:r>
        <w:rPr>
          <w:spacing w:val="-2"/>
        </w:rPr>
        <w:t>BCDR</w:t>
      </w:r>
      <w:r>
        <w:t xml:space="preserve"> </w:t>
      </w:r>
      <w:r>
        <w:rPr>
          <w:spacing w:val="-1"/>
        </w:rPr>
        <w:t>Plan</w:t>
      </w:r>
      <w:r>
        <w:rPr>
          <w:spacing w:val="3"/>
        </w:rPr>
        <w:t xml:space="preserve"> </w:t>
      </w:r>
      <w:r>
        <w:rPr>
          <w:spacing w:val="-1"/>
        </w:rPr>
        <w:t>(including</w:t>
      </w:r>
      <w:r>
        <w:rPr>
          <w:spacing w:val="3"/>
        </w:rPr>
        <w:t xml:space="preserve"> </w:t>
      </w:r>
      <w:r>
        <w:t>a</w:t>
      </w:r>
      <w:r>
        <w:rPr>
          <w:spacing w:val="63"/>
        </w:rPr>
        <w:t xml:space="preserve"> </w:t>
      </w:r>
      <w:r>
        <w:rPr>
          <w:spacing w:val="-1"/>
        </w:rPr>
        <w:t>test</w:t>
      </w:r>
      <w:r>
        <w:rPr>
          <w:spacing w:val="40"/>
        </w:rPr>
        <w:t xml:space="preserve"> </w:t>
      </w:r>
      <w:r>
        <w:rPr>
          <w:spacing w:val="-2"/>
        </w:rPr>
        <w:t>of</w:t>
      </w:r>
      <w:r>
        <w:rPr>
          <w:spacing w:val="40"/>
        </w:rPr>
        <w:t xml:space="preserve"> </w:t>
      </w:r>
      <w:r>
        <w:t>the</w:t>
      </w:r>
      <w:r>
        <w:rPr>
          <w:spacing w:val="38"/>
        </w:rPr>
        <w:t xml:space="preserve"> </w:t>
      </w:r>
      <w:r>
        <w:rPr>
          <w:spacing w:val="-2"/>
        </w:rPr>
        <w:t>BCDR</w:t>
      </w:r>
      <w:r>
        <w:rPr>
          <w:spacing w:val="38"/>
        </w:rPr>
        <w:t xml:space="preserve"> </w:t>
      </w:r>
      <w:r>
        <w:rPr>
          <w:spacing w:val="-1"/>
        </w:rPr>
        <w:t>Plan’s</w:t>
      </w:r>
      <w:r>
        <w:rPr>
          <w:spacing w:val="39"/>
        </w:rPr>
        <w:t xml:space="preserve"> </w:t>
      </w:r>
      <w:r>
        <w:rPr>
          <w:spacing w:val="-1"/>
        </w:rPr>
        <w:t>procedures)</w:t>
      </w:r>
      <w:r>
        <w:rPr>
          <w:spacing w:val="40"/>
        </w:rPr>
        <w:t xml:space="preserve"> </w:t>
      </w:r>
      <w:r>
        <w:rPr>
          <w:spacing w:val="-1"/>
        </w:rPr>
        <w:t>shall</w:t>
      </w:r>
      <w:r>
        <w:rPr>
          <w:spacing w:val="39"/>
        </w:rPr>
        <w:t xml:space="preserve"> </w:t>
      </w:r>
      <w:r>
        <w:rPr>
          <w:spacing w:val="-1"/>
        </w:rPr>
        <w:t>not</w:t>
      </w:r>
      <w:r>
        <w:rPr>
          <w:spacing w:val="40"/>
        </w:rPr>
        <w:t xml:space="preserve"> </w:t>
      </w:r>
      <w:r>
        <w:rPr>
          <w:spacing w:val="-2"/>
        </w:rPr>
        <w:t>relieve</w:t>
      </w:r>
      <w:r>
        <w:rPr>
          <w:spacing w:val="38"/>
        </w:rPr>
        <w:t xml:space="preserve"> </w:t>
      </w:r>
      <w:r>
        <w:t>the</w:t>
      </w:r>
      <w:r>
        <w:rPr>
          <w:spacing w:val="38"/>
        </w:rPr>
        <w:t xml:space="preserve"> </w:t>
      </w:r>
      <w:r>
        <w:rPr>
          <w:spacing w:val="-1"/>
        </w:rPr>
        <w:t>Supplier</w:t>
      </w:r>
      <w:r>
        <w:rPr>
          <w:spacing w:val="40"/>
        </w:rPr>
        <w:t xml:space="preserve"> </w:t>
      </w:r>
      <w:r>
        <w:rPr>
          <w:spacing w:val="-1"/>
        </w:rPr>
        <w:t>of</w:t>
      </w:r>
      <w:r>
        <w:rPr>
          <w:spacing w:val="40"/>
        </w:rPr>
        <w:t xml:space="preserve"> </w:t>
      </w:r>
      <w:r>
        <w:rPr>
          <w:spacing w:val="-1"/>
        </w:rPr>
        <w:t>any</w:t>
      </w:r>
      <w:r>
        <w:rPr>
          <w:spacing w:val="37"/>
        </w:rPr>
        <w:t xml:space="preserve"> </w:t>
      </w:r>
      <w:r>
        <w:rPr>
          <w:spacing w:val="-1"/>
        </w:rPr>
        <w:t>of</w:t>
      </w:r>
      <w:r>
        <w:rPr>
          <w:spacing w:val="42"/>
        </w:rPr>
        <w:t xml:space="preserve"> </w:t>
      </w:r>
      <w:r>
        <w:rPr>
          <w:spacing w:val="-1"/>
        </w:rPr>
        <w:t>its</w:t>
      </w:r>
      <w:r>
        <w:rPr>
          <w:spacing w:val="51"/>
        </w:rPr>
        <w:t xml:space="preserve"> </w:t>
      </w:r>
      <w:r>
        <w:rPr>
          <w:spacing w:val="-1"/>
        </w:rPr>
        <w:t>obligations</w:t>
      </w:r>
      <w:r>
        <w:rPr>
          <w:spacing w:val="1"/>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pStyle w:val="BodyText"/>
        <w:numPr>
          <w:ilvl w:val="1"/>
          <w:numId w:val="10"/>
        </w:numPr>
        <w:tabs>
          <w:tab w:val="left" w:pos="828"/>
        </w:tabs>
        <w:ind w:left="827" w:right="115"/>
        <w:jc w:val="both"/>
      </w:pPr>
      <w:r>
        <w:t>The</w:t>
      </w:r>
      <w:r>
        <w:rPr>
          <w:spacing w:val="12"/>
        </w:rPr>
        <w:t xml:space="preserve"> </w:t>
      </w:r>
      <w:r>
        <w:rPr>
          <w:spacing w:val="-2"/>
        </w:rPr>
        <w:t>Supplier</w:t>
      </w:r>
      <w:r>
        <w:rPr>
          <w:spacing w:val="14"/>
        </w:rPr>
        <w:t xml:space="preserve"> </w:t>
      </w:r>
      <w:r>
        <w:rPr>
          <w:spacing w:val="-1"/>
        </w:rPr>
        <w:t>shall</w:t>
      </w:r>
      <w:r>
        <w:rPr>
          <w:spacing w:val="12"/>
        </w:rPr>
        <w:t xml:space="preserve"> </w:t>
      </w:r>
      <w:r>
        <w:rPr>
          <w:spacing w:val="-1"/>
        </w:rPr>
        <w:t>also</w:t>
      </w:r>
      <w:r>
        <w:rPr>
          <w:spacing w:val="13"/>
        </w:rPr>
        <w:t xml:space="preserve"> </w:t>
      </w:r>
      <w:r>
        <w:rPr>
          <w:spacing w:val="-1"/>
        </w:rPr>
        <w:t>perform</w:t>
      </w:r>
      <w:r>
        <w:rPr>
          <w:spacing w:val="14"/>
        </w:rPr>
        <w:t xml:space="preserve"> </w:t>
      </w:r>
      <w:r>
        <w:t>a</w:t>
      </w:r>
      <w:r>
        <w:rPr>
          <w:spacing w:val="10"/>
        </w:rPr>
        <w:t xml:space="preserve"> </w:t>
      </w:r>
      <w:r>
        <w:rPr>
          <w:spacing w:val="-1"/>
        </w:rPr>
        <w:t>test</w:t>
      </w:r>
      <w:r>
        <w:rPr>
          <w:spacing w:val="14"/>
        </w:rPr>
        <w:t xml:space="preserve"> </w:t>
      </w:r>
      <w:r>
        <w:rPr>
          <w:spacing w:val="-2"/>
        </w:rPr>
        <w:t>of</w:t>
      </w:r>
      <w:r>
        <w:rPr>
          <w:spacing w:val="14"/>
        </w:rPr>
        <w:t xml:space="preserve"> </w:t>
      </w:r>
      <w:r>
        <w:t>the</w:t>
      </w:r>
      <w:r>
        <w:rPr>
          <w:spacing w:val="12"/>
        </w:rPr>
        <w:t xml:space="preserve"> </w:t>
      </w:r>
      <w:r>
        <w:rPr>
          <w:spacing w:val="-2"/>
        </w:rPr>
        <w:t>BCDR</w:t>
      </w:r>
      <w:r>
        <w:rPr>
          <w:spacing w:val="12"/>
        </w:rPr>
        <w:t xml:space="preserve"> </w:t>
      </w:r>
      <w:r>
        <w:rPr>
          <w:spacing w:val="-1"/>
        </w:rPr>
        <w:t>Plan</w:t>
      </w:r>
      <w:r>
        <w:rPr>
          <w:spacing w:val="12"/>
        </w:rPr>
        <w:t xml:space="preserve"> </w:t>
      </w:r>
      <w:r>
        <w:rPr>
          <w:spacing w:val="-1"/>
        </w:rPr>
        <w:t>in</w:t>
      </w:r>
      <w:r>
        <w:rPr>
          <w:spacing w:val="12"/>
        </w:rPr>
        <w:t xml:space="preserve"> </w:t>
      </w:r>
      <w:r>
        <w:t>the</w:t>
      </w:r>
      <w:r>
        <w:rPr>
          <w:spacing w:val="12"/>
        </w:rPr>
        <w:t xml:space="preserve"> </w:t>
      </w:r>
      <w:r>
        <w:rPr>
          <w:spacing w:val="-2"/>
        </w:rPr>
        <w:t>event</w:t>
      </w:r>
      <w:r>
        <w:rPr>
          <w:spacing w:val="14"/>
        </w:rPr>
        <w:t xml:space="preserve"> </w:t>
      </w:r>
      <w:r>
        <w:rPr>
          <w:spacing w:val="-1"/>
        </w:rPr>
        <w:t>of</w:t>
      </w:r>
      <w:r>
        <w:rPr>
          <w:spacing w:val="14"/>
        </w:rPr>
        <w:t xml:space="preserve"> </w:t>
      </w:r>
      <w:r>
        <w:rPr>
          <w:spacing w:val="-1"/>
        </w:rPr>
        <w:t>any</w:t>
      </w:r>
      <w:r>
        <w:rPr>
          <w:spacing w:val="10"/>
        </w:rPr>
        <w:t xml:space="preserve"> </w:t>
      </w:r>
      <w:r>
        <w:rPr>
          <w:spacing w:val="-1"/>
        </w:rPr>
        <w:t>major</w:t>
      </w:r>
      <w:r>
        <w:rPr>
          <w:spacing w:val="51"/>
        </w:rPr>
        <w:t xml:space="preserve"> </w:t>
      </w:r>
      <w:r>
        <w:rPr>
          <w:spacing w:val="-1"/>
        </w:rPr>
        <w:t>reconfiguration</w:t>
      </w:r>
      <w:r>
        <w:rPr>
          <w:spacing w:val="3"/>
        </w:rPr>
        <w:t xml:space="preserve"> </w:t>
      </w:r>
      <w:r>
        <w:rPr>
          <w:spacing w:val="-2"/>
        </w:rPr>
        <w:t>of</w:t>
      </w:r>
      <w:r>
        <w:rPr>
          <w:spacing w:val="2"/>
        </w:rPr>
        <w:t xml:space="preserve"> </w:t>
      </w:r>
      <w:r>
        <w:t xml:space="preserve">the </w:t>
      </w:r>
      <w:r>
        <w:rPr>
          <w:spacing w:val="-1"/>
        </w:rPr>
        <w:t>Goods</w:t>
      </w:r>
      <w:r>
        <w:rPr>
          <w:spacing w:val="3"/>
        </w:rPr>
        <w:t xml:space="preserve"> </w:t>
      </w:r>
      <w:r>
        <w:rPr>
          <w:spacing w:val="-1"/>
        </w:rPr>
        <w:t>and/or</w:t>
      </w:r>
      <w:r>
        <w:rPr>
          <w:spacing w:val="4"/>
        </w:rPr>
        <w:t xml:space="preserve"> </w:t>
      </w:r>
      <w:r>
        <w:rPr>
          <w:spacing w:val="-1"/>
        </w:rPr>
        <w:t>Services</w:t>
      </w:r>
      <w:r>
        <w:rPr>
          <w:spacing w:val="5"/>
        </w:rPr>
        <w:t xml:space="preserve"> </w:t>
      </w:r>
      <w:r>
        <w:rPr>
          <w:spacing w:val="-2"/>
        </w:rPr>
        <w:t>or</w:t>
      </w:r>
      <w:r>
        <w:rPr>
          <w:spacing w:val="4"/>
        </w:rPr>
        <w:t xml:space="preserve"> </w:t>
      </w:r>
      <w:r>
        <w:rPr>
          <w:spacing w:val="-2"/>
        </w:rPr>
        <w:t>as</w:t>
      </w:r>
      <w:r>
        <w:rPr>
          <w:spacing w:val="3"/>
        </w:rPr>
        <w:t xml:space="preserve"> </w:t>
      </w:r>
      <w:r>
        <w:rPr>
          <w:spacing w:val="-2"/>
        </w:rPr>
        <w:t>otherwise</w:t>
      </w:r>
      <w:r>
        <w:rPr>
          <w:spacing w:val="3"/>
        </w:rPr>
        <w:t xml:space="preserve"> </w:t>
      </w:r>
      <w:r>
        <w:rPr>
          <w:spacing w:val="-1"/>
        </w:rPr>
        <w:t>reasonably</w:t>
      </w:r>
      <w:r>
        <w:rPr>
          <w:spacing w:val="1"/>
        </w:rPr>
        <w:t xml:space="preserve"> </w:t>
      </w:r>
      <w:r>
        <w:rPr>
          <w:spacing w:val="-1"/>
        </w:rPr>
        <w:t>requested</w:t>
      </w:r>
      <w:r>
        <w:rPr>
          <w:spacing w:val="46"/>
        </w:rPr>
        <w:t xml:space="preserve"> </w:t>
      </w:r>
      <w:r>
        <w:rPr>
          <w:spacing w:val="-1"/>
        </w:rPr>
        <w:t>by</w:t>
      </w:r>
      <w:r>
        <w:rPr>
          <w:spacing w:val="-2"/>
        </w:rPr>
        <w:t xml:space="preserve"> </w:t>
      </w:r>
      <w:r>
        <w:t xml:space="preserve">the </w:t>
      </w:r>
      <w:r>
        <w:rPr>
          <w:spacing w:val="-1"/>
        </w:rPr>
        <w:t>Customer.</w:t>
      </w:r>
    </w:p>
    <w:p w:rsidR="008918FA" w:rsidRDefault="008918FA" w:rsidP="008918FA">
      <w:pPr>
        <w:pStyle w:val="BodyText"/>
        <w:numPr>
          <w:ilvl w:val="0"/>
          <w:numId w:val="10"/>
        </w:numPr>
        <w:tabs>
          <w:tab w:val="left" w:pos="465"/>
        </w:tabs>
        <w:spacing w:before="120"/>
        <w:ind w:left="464"/>
        <w:jc w:val="left"/>
        <w:rPr>
          <w:rFonts w:ascii="Times New Roman" w:eastAsia="Times New Roman" w:hAnsi="Times New Roman" w:cs="Times New Roman"/>
        </w:rPr>
      </w:pPr>
      <w:r>
        <w:rPr>
          <w:rFonts w:ascii="Times New Roman"/>
          <w:spacing w:val="-1"/>
        </w:rPr>
        <w:t>INVOCATION</w:t>
      </w:r>
      <w:r>
        <w:rPr>
          <w:rFonts w:ascii="Times New Roman"/>
          <w:spacing w:val="6"/>
        </w:rPr>
        <w:t xml:space="preserve"> OF</w:t>
      </w:r>
      <w:r>
        <w:rPr>
          <w:rFonts w:ascii="Times New Roman"/>
          <w:spacing w:val="19"/>
        </w:rPr>
        <w:t xml:space="preserve"> </w:t>
      </w:r>
      <w:r>
        <w:rPr>
          <w:rFonts w:ascii="Times New Roman"/>
          <w:spacing w:val="-2"/>
        </w:rPr>
        <w:t>THE</w:t>
      </w:r>
      <w:r>
        <w:rPr>
          <w:rFonts w:ascii="Times New Roman"/>
          <w:spacing w:val="18"/>
        </w:rPr>
        <w:t xml:space="preserve"> </w:t>
      </w:r>
      <w:r>
        <w:rPr>
          <w:rFonts w:ascii="Times New Roman"/>
          <w:spacing w:val="4"/>
        </w:rPr>
        <w:t>BCDR</w:t>
      </w:r>
      <w:r>
        <w:rPr>
          <w:rFonts w:ascii="Times New Roman"/>
          <w:spacing w:val="18"/>
        </w:rPr>
        <w:t xml:space="preserve"> </w:t>
      </w:r>
      <w:r>
        <w:rPr>
          <w:rFonts w:ascii="Times New Roman"/>
          <w:spacing w:val="3"/>
        </w:rPr>
        <w:t>PLAN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10"/>
        </w:numPr>
        <w:tabs>
          <w:tab w:val="left" w:pos="827"/>
        </w:tabs>
        <w:spacing w:before="0"/>
        <w:ind w:left="826" w:right="114" w:hanging="359"/>
        <w:jc w:val="both"/>
      </w:pPr>
      <w:r>
        <w:t>In</w:t>
      </w:r>
      <w:r>
        <w:rPr>
          <w:spacing w:val="5"/>
        </w:rPr>
        <w:t xml:space="preserve"> </w:t>
      </w:r>
      <w:r>
        <w:t>the</w:t>
      </w:r>
      <w:r>
        <w:rPr>
          <w:spacing w:val="3"/>
        </w:rPr>
        <w:t xml:space="preserve"> </w:t>
      </w:r>
      <w:r>
        <w:rPr>
          <w:spacing w:val="-2"/>
        </w:rPr>
        <w:t>event</w:t>
      </w:r>
      <w:r>
        <w:rPr>
          <w:spacing w:val="7"/>
        </w:rPr>
        <w:t xml:space="preserve"> </w:t>
      </w:r>
      <w:r>
        <w:rPr>
          <w:spacing w:val="-2"/>
        </w:rPr>
        <w:t>of</w:t>
      </w:r>
      <w:r>
        <w:rPr>
          <w:spacing w:val="7"/>
        </w:rPr>
        <w:t xml:space="preserve"> </w:t>
      </w:r>
      <w:r>
        <w:t>a</w:t>
      </w:r>
      <w:r>
        <w:rPr>
          <w:spacing w:val="5"/>
        </w:rPr>
        <w:t xml:space="preserve"> </w:t>
      </w:r>
      <w:r>
        <w:rPr>
          <w:spacing w:val="-2"/>
        </w:rPr>
        <w:t>complete</w:t>
      </w:r>
      <w:r>
        <w:rPr>
          <w:spacing w:val="5"/>
        </w:rPr>
        <w:t xml:space="preserve"> </w:t>
      </w:r>
      <w:r>
        <w:rPr>
          <w:spacing w:val="-1"/>
        </w:rPr>
        <w:t>loss</w:t>
      </w:r>
      <w:r>
        <w:rPr>
          <w:spacing w:val="6"/>
        </w:rPr>
        <w:t xml:space="preserve"> </w:t>
      </w:r>
      <w:r>
        <w:rPr>
          <w:spacing w:val="-2"/>
        </w:rPr>
        <w:t>of</w:t>
      </w:r>
      <w:r>
        <w:rPr>
          <w:spacing w:val="7"/>
        </w:rPr>
        <w:t xml:space="preserve"> </w:t>
      </w:r>
      <w:r>
        <w:rPr>
          <w:spacing w:val="-1"/>
        </w:rPr>
        <w:t>service</w:t>
      </w:r>
      <w:r>
        <w:rPr>
          <w:spacing w:val="5"/>
        </w:rPr>
        <w:t xml:space="preserve"> </w:t>
      </w:r>
      <w:r>
        <w:rPr>
          <w:spacing w:val="-1"/>
        </w:rPr>
        <w:t>or</w:t>
      </w:r>
      <w:r>
        <w:rPr>
          <w:spacing w:val="4"/>
        </w:rPr>
        <w:t xml:space="preserve"> </w:t>
      </w:r>
      <w:r>
        <w:rPr>
          <w:spacing w:val="-1"/>
        </w:rPr>
        <w:t>in</w:t>
      </w:r>
      <w:r>
        <w:rPr>
          <w:spacing w:val="5"/>
        </w:rPr>
        <w:t xml:space="preserve"> </w:t>
      </w:r>
      <w:r>
        <w:rPr>
          <w:spacing w:val="-1"/>
        </w:rPr>
        <w:t>the</w:t>
      </w:r>
      <w:r>
        <w:rPr>
          <w:spacing w:val="5"/>
        </w:rPr>
        <w:t xml:space="preserve"> </w:t>
      </w:r>
      <w:r>
        <w:rPr>
          <w:spacing w:val="-2"/>
        </w:rPr>
        <w:t>event</w:t>
      </w:r>
      <w:r>
        <w:rPr>
          <w:spacing w:val="7"/>
        </w:rPr>
        <w:t xml:space="preserve"> </w:t>
      </w:r>
      <w:r>
        <w:rPr>
          <w:spacing w:val="-2"/>
        </w:rPr>
        <w:t>of</w:t>
      </w:r>
      <w:r>
        <w:rPr>
          <w:spacing w:val="9"/>
        </w:rPr>
        <w:t xml:space="preserve"> </w:t>
      </w:r>
      <w:r>
        <w:t>a</w:t>
      </w:r>
      <w:r>
        <w:rPr>
          <w:spacing w:val="3"/>
        </w:rPr>
        <w:t xml:space="preserve"> </w:t>
      </w:r>
      <w:r>
        <w:rPr>
          <w:spacing w:val="-1"/>
        </w:rPr>
        <w:t>Disaster,</w:t>
      </w:r>
      <w:r>
        <w:rPr>
          <w:spacing w:val="4"/>
        </w:rPr>
        <w:t xml:space="preserve"> </w:t>
      </w:r>
      <w:r>
        <w:rPr>
          <w:spacing w:val="-1"/>
        </w:rPr>
        <w:t>the</w:t>
      </w:r>
      <w:r>
        <w:rPr>
          <w:spacing w:val="5"/>
        </w:rPr>
        <w:t xml:space="preserve"> </w:t>
      </w:r>
      <w:r>
        <w:rPr>
          <w:spacing w:val="-2"/>
        </w:rPr>
        <w:t>Supplier</w:t>
      </w:r>
      <w:r>
        <w:rPr>
          <w:spacing w:val="56"/>
        </w:rPr>
        <w:t xml:space="preserve"> </w:t>
      </w:r>
      <w:r>
        <w:rPr>
          <w:spacing w:val="-1"/>
        </w:rPr>
        <w:t>shall</w:t>
      </w:r>
      <w:r>
        <w:rPr>
          <w:spacing w:val="17"/>
        </w:rPr>
        <w:t xml:space="preserve"> </w:t>
      </w:r>
      <w:r>
        <w:rPr>
          <w:spacing w:val="-1"/>
        </w:rPr>
        <w:t>immediately</w:t>
      </w:r>
      <w:r>
        <w:rPr>
          <w:spacing w:val="18"/>
        </w:rPr>
        <w:t xml:space="preserve"> </w:t>
      </w:r>
      <w:r>
        <w:rPr>
          <w:spacing w:val="-1"/>
        </w:rPr>
        <w:t>invoke</w:t>
      </w:r>
      <w:r>
        <w:rPr>
          <w:spacing w:val="17"/>
        </w:rPr>
        <w:t xml:space="preserve"> </w:t>
      </w:r>
      <w:r>
        <w:t>the</w:t>
      </w:r>
      <w:r>
        <w:rPr>
          <w:spacing w:val="17"/>
        </w:rPr>
        <w:t xml:space="preserve"> </w:t>
      </w:r>
      <w:r>
        <w:rPr>
          <w:spacing w:val="-2"/>
        </w:rPr>
        <w:t>BCDR</w:t>
      </w:r>
      <w:r>
        <w:rPr>
          <w:spacing w:val="19"/>
        </w:rPr>
        <w:t xml:space="preserve"> </w:t>
      </w:r>
      <w:r>
        <w:rPr>
          <w:spacing w:val="-1"/>
        </w:rPr>
        <w:t>Plan</w:t>
      </w:r>
      <w:r>
        <w:rPr>
          <w:spacing w:val="20"/>
        </w:rPr>
        <w:t xml:space="preserve"> </w:t>
      </w:r>
      <w:r>
        <w:rPr>
          <w:spacing w:val="-1"/>
        </w:rPr>
        <w:t>(and</w:t>
      </w:r>
      <w:r>
        <w:rPr>
          <w:spacing w:val="17"/>
        </w:rPr>
        <w:t xml:space="preserve"> </w:t>
      </w:r>
      <w:r>
        <w:rPr>
          <w:spacing w:val="-1"/>
        </w:rPr>
        <w:t>shall</w:t>
      </w:r>
      <w:r>
        <w:rPr>
          <w:spacing w:val="19"/>
        </w:rPr>
        <w:t xml:space="preserve"> </w:t>
      </w:r>
      <w:r>
        <w:rPr>
          <w:spacing w:val="-1"/>
        </w:rPr>
        <w:t>inform</w:t>
      </w:r>
      <w:r>
        <w:rPr>
          <w:spacing w:val="19"/>
        </w:rPr>
        <w:t xml:space="preserve"> </w:t>
      </w:r>
      <w:r>
        <w:t>the</w:t>
      </w:r>
      <w:r>
        <w:rPr>
          <w:spacing w:val="17"/>
        </w:rPr>
        <w:t xml:space="preserve"> </w:t>
      </w:r>
      <w:r>
        <w:rPr>
          <w:spacing w:val="-1"/>
        </w:rPr>
        <w:t>Customer</w:t>
      </w:r>
      <w:r>
        <w:rPr>
          <w:spacing w:val="16"/>
        </w:rPr>
        <w:t xml:space="preserve"> </w:t>
      </w:r>
      <w:r>
        <w:rPr>
          <w:spacing w:val="-1"/>
        </w:rPr>
        <w:t>promptly</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spacing w:before="59"/>
        <w:ind w:left="688" w:right="118" w:firstLine="0"/>
      </w:pPr>
      <w:r>
        <w:rPr>
          <w:spacing w:val="-2"/>
        </w:rPr>
        <w:t>of</w:t>
      </w:r>
      <w:r>
        <w:rPr>
          <w:spacing w:val="54"/>
        </w:rPr>
        <w:t xml:space="preserve"> </w:t>
      </w:r>
      <w:r>
        <w:rPr>
          <w:spacing w:val="-1"/>
        </w:rPr>
        <w:t>such</w:t>
      </w:r>
      <w:r>
        <w:rPr>
          <w:spacing w:val="49"/>
        </w:rPr>
        <w:t xml:space="preserve"> </w:t>
      </w:r>
      <w:r>
        <w:rPr>
          <w:spacing w:val="-1"/>
        </w:rPr>
        <w:t>invocation).</w:t>
      </w:r>
      <w:r>
        <w:rPr>
          <w:spacing w:val="50"/>
        </w:rPr>
        <w:t xml:space="preserve"> </w:t>
      </w:r>
      <w:r>
        <w:t>In</w:t>
      </w:r>
      <w:r>
        <w:rPr>
          <w:spacing w:val="48"/>
        </w:rPr>
        <w:t xml:space="preserve"> </w:t>
      </w:r>
      <w:r>
        <w:rPr>
          <w:spacing w:val="-1"/>
        </w:rPr>
        <w:t>all</w:t>
      </w:r>
      <w:r>
        <w:rPr>
          <w:spacing w:val="50"/>
        </w:rPr>
        <w:t xml:space="preserve"> </w:t>
      </w:r>
      <w:r>
        <w:rPr>
          <w:spacing w:val="-1"/>
        </w:rPr>
        <w:t>other</w:t>
      </w:r>
      <w:r>
        <w:rPr>
          <w:spacing w:val="52"/>
        </w:rPr>
        <w:t xml:space="preserve"> </w:t>
      </w:r>
      <w:r>
        <w:rPr>
          <w:spacing w:val="-1"/>
        </w:rPr>
        <w:t>instances</w:t>
      </w:r>
      <w:r>
        <w:rPr>
          <w:spacing w:val="52"/>
        </w:rPr>
        <w:t xml:space="preserve"> </w:t>
      </w:r>
      <w:r>
        <w:rPr>
          <w:spacing w:val="-1"/>
        </w:rPr>
        <w:t>the</w:t>
      </w:r>
      <w:r>
        <w:rPr>
          <w:spacing w:val="48"/>
        </w:rPr>
        <w:t xml:space="preserve"> </w:t>
      </w:r>
      <w:r>
        <w:rPr>
          <w:spacing w:val="-2"/>
        </w:rPr>
        <w:t>Supplier</w:t>
      </w:r>
      <w:r>
        <w:rPr>
          <w:spacing w:val="52"/>
        </w:rPr>
        <w:t xml:space="preserve"> </w:t>
      </w:r>
      <w:r>
        <w:rPr>
          <w:spacing w:val="-1"/>
        </w:rPr>
        <w:t>shall</w:t>
      </w:r>
      <w:r>
        <w:rPr>
          <w:spacing w:val="50"/>
        </w:rPr>
        <w:t xml:space="preserve"> </w:t>
      </w:r>
      <w:r>
        <w:rPr>
          <w:spacing w:val="-1"/>
        </w:rPr>
        <w:t>invoke</w:t>
      </w:r>
      <w:r>
        <w:rPr>
          <w:spacing w:val="51"/>
        </w:rPr>
        <w:t xml:space="preserve"> </w:t>
      </w:r>
      <w:r>
        <w:rPr>
          <w:spacing w:val="-1"/>
        </w:rPr>
        <w:t>or</w:t>
      </w:r>
      <w:r>
        <w:rPr>
          <w:spacing w:val="49"/>
        </w:rPr>
        <w:t xml:space="preserve"> </w:t>
      </w:r>
      <w:r>
        <w:rPr>
          <w:spacing w:val="-1"/>
        </w:rPr>
        <w:t>test</w:t>
      </w:r>
      <w:r>
        <w:rPr>
          <w:spacing w:val="53"/>
        </w:rPr>
        <w:t xml:space="preserve"> </w:t>
      </w:r>
      <w:r>
        <w:rPr>
          <w:spacing w:val="-1"/>
        </w:rPr>
        <w:t>the</w:t>
      </w:r>
      <w:r>
        <w:rPr>
          <w:spacing w:val="44"/>
        </w:rPr>
        <w:t xml:space="preserve"> </w:t>
      </w:r>
      <w:r>
        <w:rPr>
          <w:spacing w:val="-2"/>
        </w:rPr>
        <w:t>BCDR</w:t>
      </w:r>
      <w:r>
        <w:t xml:space="preserve"> </w:t>
      </w:r>
      <w:r>
        <w:rPr>
          <w:spacing w:val="-1"/>
        </w:rPr>
        <w:t>Plan</w:t>
      </w:r>
      <w:r>
        <w:t xml:space="preserve"> </w:t>
      </w:r>
      <w:r>
        <w:rPr>
          <w:spacing w:val="-1"/>
        </w:rPr>
        <w:t>only</w:t>
      </w:r>
      <w:r>
        <w:rPr>
          <w:spacing w:val="1"/>
        </w:rPr>
        <w:t xml:space="preserve"> </w:t>
      </w:r>
      <w:r>
        <w:rPr>
          <w:spacing w:val="-2"/>
        </w:rPr>
        <w:t>with</w:t>
      </w:r>
      <w:r>
        <w:t xml:space="preserve"> the </w:t>
      </w:r>
      <w:r>
        <w:rPr>
          <w:spacing w:val="-1"/>
        </w:rPr>
        <w:t>prior consent</w:t>
      </w:r>
      <w:r>
        <w:rPr>
          <w:spacing w:val="2"/>
        </w:rPr>
        <w:t xml:space="preserve"> </w:t>
      </w:r>
      <w:r>
        <w:rPr>
          <w:spacing w:val="-2"/>
        </w:rPr>
        <w:t>of</w:t>
      </w:r>
      <w:r>
        <w:t xml:space="preserve"> the </w:t>
      </w:r>
      <w:r>
        <w:rPr>
          <w:spacing w:val="-1"/>
        </w:rPr>
        <w:t>Customer.</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1"/>
        <w:rPr>
          <w:rFonts w:ascii="Arial" w:eastAsia="Arial" w:hAnsi="Arial" w:cs="Arial"/>
          <w:sz w:val="20"/>
          <w:szCs w:val="20"/>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80" w:left="1680" w:header="0" w:footer="987" w:gutter="0"/>
          <w:cols w:space="720"/>
        </w:sectPr>
      </w:pPr>
    </w:p>
    <w:p w:rsidR="008918FA" w:rsidRDefault="008918FA" w:rsidP="008918FA">
      <w:pPr>
        <w:pStyle w:val="BodyText"/>
        <w:spacing w:before="58"/>
        <w:ind w:left="1949" w:firstLine="0"/>
        <w:rPr>
          <w:rFonts w:ascii="Times New Roman" w:eastAsia="Times New Roman" w:hAnsi="Times New Roman" w:cs="Times New Roman"/>
        </w:rPr>
      </w:pPr>
      <w:bookmarkStart w:id="446" w:name="CALL_OFF_SCHEDULE_10:_EXIT_MANAGEMENT"/>
      <w:bookmarkStart w:id="447" w:name="_bookmark366"/>
      <w:bookmarkEnd w:id="446"/>
      <w:bookmarkEnd w:id="447"/>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7"/>
        </w:rPr>
        <w:t>10:</w:t>
      </w:r>
      <w:r>
        <w:rPr>
          <w:rFonts w:ascii="Times New Roman"/>
          <w:spacing w:val="20"/>
        </w:rPr>
        <w:t xml:space="preserve"> </w:t>
      </w:r>
      <w:r>
        <w:rPr>
          <w:rFonts w:ascii="Times New Roman"/>
          <w:spacing w:val="-4"/>
        </w:rPr>
        <w:t>EXIT</w:t>
      </w:r>
      <w:r>
        <w:rPr>
          <w:rFonts w:ascii="Times New Roman"/>
          <w:spacing w:val="4"/>
        </w:rPr>
        <w:t xml:space="preserve"> </w:t>
      </w:r>
      <w:r>
        <w:rPr>
          <w:rFonts w:ascii="Times New Roman"/>
          <w:spacing w:val="-1"/>
        </w:rPr>
        <w:t>MANAGEMENT</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spacing w:line="200" w:lineRule="atLeast"/>
        <w:ind w:left="4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32ECDBAF" wp14:editId="43B4845E">
                <wp:extent cx="5388610" cy="965200"/>
                <wp:effectExtent l="0" t="0" r="2540" b="0"/>
                <wp:docPr id="1671"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965200"/>
                          <a:chOff x="0" y="0"/>
                          <a:chExt cx="8486" cy="1520"/>
                        </a:xfrm>
                      </wpg:grpSpPr>
                      <wpg:grpSp>
                        <wpg:cNvPr id="1672" name="Group 1675"/>
                        <wpg:cNvGrpSpPr>
                          <a:grpSpLocks/>
                        </wpg:cNvGrpSpPr>
                        <wpg:grpSpPr bwMode="auto">
                          <a:xfrm>
                            <a:off x="0" y="0"/>
                            <a:ext cx="8484" cy="255"/>
                            <a:chOff x="0" y="0"/>
                            <a:chExt cx="8484" cy="255"/>
                          </a:xfrm>
                        </wpg:grpSpPr>
                        <wps:wsp>
                          <wps:cNvPr id="1673" name="Freeform 1676"/>
                          <wps:cNvSpPr>
                            <a:spLocks/>
                          </wps:cNvSpPr>
                          <wps:spPr bwMode="auto">
                            <a:xfrm>
                              <a:off x="0" y="0"/>
                              <a:ext cx="8484" cy="255"/>
                            </a:xfrm>
                            <a:custGeom>
                              <a:avLst/>
                              <a:gdLst>
                                <a:gd name="T0" fmla="*/ 0 w 8484"/>
                                <a:gd name="T1" fmla="*/ 254 h 255"/>
                                <a:gd name="T2" fmla="*/ 8484 w 8484"/>
                                <a:gd name="T3" fmla="*/ 254 h 255"/>
                                <a:gd name="T4" fmla="*/ 8484 w 8484"/>
                                <a:gd name="T5" fmla="*/ 0 h 255"/>
                                <a:gd name="T6" fmla="*/ 0 w 8484"/>
                                <a:gd name="T7" fmla="*/ 0 h 255"/>
                                <a:gd name="T8" fmla="*/ 0 w 8484"/>
                                <a:gd name="T9" fmla="*/ 254 h 255"/>
                              </a:gdLst>
                              <a:ahLst/>
                              <a:cxnLst>
                                <a:cxn ang="0">
                                  <a:pos x="T0" y="T1"/>
                                </a:cxn>
                                <a:cxn ang="0">
                                  <a:pos x="T2" y="T3"/>
                                </a:cxn>
                                <a:cxn ang="0">
                                  <a:pos x="T4" y="T5"/>
                                </a:cxn>
                                <a:cxn ang="0">
                                  <a:pos x="T6" y="T7"/>
                                </a:cxn>
                                <a:cxn ang="0">
                                  <a:pos x="T8" y="T9"/>
                                </a:cxn>
                              </a:cxnLst>
                              <a:rect l="0" t="0" r="r" b="b"/>
                              <a:pathLst>
                                <a:path w="8484" h="255">
                                  <a:moveTo>
                                    <a:pt x="0" y="254"/>
                                  </a:moveTo>
                                  <a:lnTo>
                                    <a:pt x="8484" y="254"/>
                                  </a:lnTo>
                                  <a:lnTo>
                                    <a:pt x="8484"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4" name="Group 1673"/>
                        <wpg:cNvGrpSpPr>
                          <a:grpSpLocks/>
                        </wpg:cNvGrpSpPr>
                        <wpg:grpSpPr bwMode="auto">
                          <a:xfrm>
                            <a:off x="0" y="254"/>
                            <a:ext cx="8484" cy="252"/>
                            <a:chOff x="0" y="254"/>
                            <a:chExt cx="8484" cy="252"/>
                          </a:xfrm>
                        </wpg:grpSpPr>
                        <wps:wsp>
                          <wps:cNvPr id="1675" name="Freeform 1674"/>
                          <wps:cNvSpPr>
                            <a:spLocks/>
                          </wps:cNvSpPr>
                          <wps:spPr bwMode="auto">
                            <a:xfrm>
                              <a:off x="0" y="254"/>
                              <a:ext cx="8484" cy="252"/>
                            </a:xfrm>
                            <a:custGeom>
                              <a:avLst/>
                              <a:gdLst>
                                <a:gd name="T0" fmla="*/ 0 w 8484"/>
                                <a:gd name="T1" fmla="+- 0 506 254"/>
                                <a:gd name="T2" fmla="*/ 506 h 252"/>
                                <a:gd name="T3" fmla="*/ 8484 w 8484"/>
                                <a:gd name="T4" fmla="+- 0 506 254"/>
                                <a:gd name="T5" fmla="*/ 506 h 252"/>
                                <a:gd name="T6" fmla="*/ 8484 w 8484"/>
                                <a:gd name="T7" fmla="+- 0 254 254"/>
                                <a:gd name="T8" fmla="*/ 254 h 252"/>
                                <a:gd name="T9" fmla="*/ 0 w 8484"/>
                                <a:gd name="T10" fmla="+- 0 254 254"/>
                                <a:gd name="T11" fmla="*/ 254 h 252"/>
                                <a:gd name="T12" fmla="*/ 0 w 8484"/>
                                <a:gd name="T13" fmla="+- 0 506 254"/>
                                <a:gd name="T14" fmla="*/ 506 h 252"/>
                              </a:gdLst>
                              <a:ahLst/>
                              <a:cxnLst>
                                <a:cxn ang="0">
                                  <a:pos x="T0" y="T2"/>
                                </a:cxn>
                                <a:cxn ang="0">
                                  <a:pos x="T3" y="T5"/>
                                </a:cxn>
                                <a:cxn ang="0">
                                  <a:pos x="T6" y="T8"/>
                                </a:cxn>
                                <a:cxn ang="0">
                                  <a:pos x="T9" y="T11"/>
                                </a:cxn>
                                <a:cxn ang="0">
                                  <a:pos x="T12" y="T14"/>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 name="Group 1671"/>
                        <wpg:cNvGrpSpPr>
                          <a:grpSpLocks/>
                        </wpg:cNvGrpSpPr>
                        <wpg:grpSpPr bwMode="auto">
                          <a:xfrm>
                            <a:off x="0" y="506"/>
                            <a:ext cx="8484" cy="255"/>
                            <a:chOff x="0" y="506"/>
                            <a:chExt cx="8484" cy="255"/>
                          </a:xfrm>
                        </wpg:grpSpPr>
                        <wps:wsp>
                          <wps:cNvPr id="1677" name="Freeform 1672"/>
                          <wps:cNvSpPr>
                            <a:spLocks/>
                          </wps:cNvSpPr>
                          <wps:spPr bwMode="auto">
                            <a:xfrm>
                              <a:off x="0" y="506"/>
                              <a:ext cx="8484" cy="255"/>
                            </a:xfrm>
                            <a:custGeom>
                              <a:avLst/>
                              <a:gdLst>
                                <a:gd name="T0" fmla="*/ 0 w 8484"/>
                                <a:gd name="T1" fmla="+- 0 761 506"/>
                                <a:gd name="T2" fmla="*/ 761 h 255"/>
                                <a:gd name="T3" fmla="*/ 8484 w 8484"/>
                                <a:gd name="T4" fmla="+- 0 761 506"/>
                                <a:gd name="T5" fmla="*/ 761 h 255"/>
                                <a:gd name="T6" fmla="*/ 8484 w 8484"/>
                                <a:gd name="T7" fmla="+- 0 506 506"/>
                                <a:gd name="T8" fmla="*/ 506 h 255"/>
                                <a:gd name="T9" fmla="*/ 0 w 8484"/>
                                <a:gd name="T10" fmla="+- 0 506 506"/>
                                <a:gd name="T11" fmla="*/ 506 h 255"/>
                                <a:gd name="T12" fmla="*/ 0 w 8484"/>
                                <a:gd name="T13" fmla="+- 0 761 506"/>
                                <a:gd name="T14" fmla="*/ 761 h 255"/>
                              </a:gdLst>
                              <a:ahLst/>
                              <a:cxnLst>
                                <a:cxn ang="0">
                                  <a:pos x="T0" y="T2"/>
                                </a:cxn>
                                <a:cxn ang="0">
                                  <a:pos x="T3" y="T5"/>
                                </a:cxn>
                                <a:cxn ang="0">
                                  <a:pos x="T6" y="T8"/>
                                </a:cxn>
                                <a:cxn ang="0">
                                  <a:pos x="T9" y="T11"/>
                                </a:cxn>
                                <a:cxn ang="0">
                                  <a:pos x="T12" y="T14"/>
                                </a:cxn>
                              </a:cxnLst>
                              <a:rect l="0" t="0" r="r" b="b"/>
                              <a:pathLst>
                                <a:path w="8484" h="255">
                                  <a:moveTo>
                                    <a:pt x="0" y="255"/>
                                  </a:moveTo>
                                  <a:lnTo>
                                    <a:pt x="8484" y="255"/>
                                  </a:lnTo>
                                  <a:lnTo>
                                    <a:pt x="8484" y="0"/>
                                  </a:lnTo>
                                  <a:lnTo>
                                    <a:pt x="0" y="0"/>
                                  </a:lnTo>
                                  <a:lnTo>
                                    <a:pt x="0" y="25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1669"/>
                        <wpg:cNvGrpSpPr>
                          <a:grpSpLocks/>
                        </wpg:cNvGrpSpPr>
                        <wpg:grpSpPr bwMode="auto">
                          <a:xfrm>
                            <a:off x="0" y="761"/>
                            <a:ext cx="8484" cy="252"/>
                            <a:chOff x="0" y="761"/>
                            <a:chExt cx="8484" cy="252"/>
                          </a:xfrm>
                        </wpg:grpSpPr>
                        <wps:wsp>
                          <wps:cNvPr id="1679" name="Freeform 1670"/>
                          <wps:cNvSpPr>
                            <a:spLocks/>
                          </wps:cNvSpPr>
                          <wps:spPr bwMode="auto">
                            <a:xfrm>
                              <a:off x="0" y="761"/>
                              <a:ext cx="8484" cy="252"/>
                            </a:xfrm>
                            <a:custGeom>
                              <a:avLst/>
                              <a:gdLst>
                                <a:gd name="T0" fmla="*/ 0 w 8484"/>
                                <a:gd name="T1" fmla="+- 0 1013 761"/>
                                <a:gd name="T2" fmla="*/ 1013 h 252"/>
                                <a:gd name="T3" fmla="*/ 8484 w 8484"/>
                                <a:gd name="T4" fmla="+- 0 1013 761"/>
                                <a:gd name="T5" fmla="*/ 1013 h 252"/>
                                <a:gd name="T6" fmla="*/ 8484 w 8484"/>
                                <a:gd name="T7" fmla="+- 0 761 761"/>
                                <a:gd name="T8" fmla="*/ 761 h 252"/>
                                <a:gd name="T9" fmla="*/ 0 w 8484"/>
                                <a:gd name="T10" fmla="+- 0 761 761"/>
                                <a:gd name="T11" fmla="*/ 761 h 252"/>
                                <a:gd name="T12" fmla="*/ 0 w 8484"/>
                                <a:gd name="T13" fmla="+- 0 1013 761"/>
                                <a:gd name="T14" fmla="*/ 1013 h 252"/>
                              </a:gdLst>
                              <a:ahLst/>
                              <a:cxnLst>
                                <a:cxn ang="0">
                                  <a:pos x="T0" y="T2"/>
                                </a:cxn>
                                <a:cxn ang="0">
                                  <a:pos x="T3" y="T5"/>
                                </a:cxn>
                                <a:cxn ang="0">
                                  <a:pos x="T6" y="T8"/>
                                </a:cxn>
                                <a:cxn ang="0">
                                  <a:pos x="T9" y="T11"/>
                                </a:cxn>
                                <a:cxn ang="0">
                                  <a:pos x="T12" y="T14"/>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0" name="Group 1667"/>
                        <wpg:cNvGrpSpPr>
                          <a:grpSpLocks/>
                        </wpg:cNvGrpSpPr>
                        <wpg:grpSpPr bwMode="auto">
                          <a:xfrm>
                            <a:off x="0" y="1013"/>
                            <a:ext cx="8484" cy="252"/>
                            <a:chOff x="0" y="1013"/>
                            <a:chExt cx="8484" cy="252"/>
                          </a:xfrm>
                        </wpg:grpSpPr>
                        <wps:wsp>
                          <wps:cNvPr id="1681" name="Freeform 1668"/>
                          <wps:cNvSpPr>
                            <a:spLocks/>
                          </wps:cNvSpPr>
                          <wps:spPr bwMode="auto">
                            <a:xfrm>
                              <a:off x="0" y="1013"/>
                              <a:ext cx="8484" cy="252"/>
                            </a:xfrm>
                            <a:custGeom>
                              <a:avLst/>
                              <a:gdLst>
                                <a:gd name="T0" fmla="*/ 0 w 8484"/>
                                <a:gd name="T1" fmla="+- 0 1265 1013"/>
                                <a:gd name="T2" fmla="*/ 1265 h 252"/>
                                <a:gd name="T3" fmla="*/ 8484 w 8484"/>
                                <a:gd name="T4" fmla="+- 0 1265 1013"/>
                                <a:gd name="T5" fmla="*/ 1265 h 252"/>
                                <a:gd name="T6" fmla="*/ 8484 w 8484"/>
                                <a:gd name="T7" fmla="+- 0 1013 1013"/>
                                <a:gd name="T8" fmla="*/ 1013 h 252"/>
                                <a:gd name="T9" fmla="*/ 0 w 8484"/>
                                <a:gd name="T10" fmla="+- 0 1013 1013"/>
                                <a:gd name="T11" fmla="*/ 1013 h 252"/>
                                <a:gd name="T12" fmla="*/ 0 w 8484"/>
                                <a:gd name="T13" fmla="+- 0 1265 1013"/>
                                <a:gd name="T14" fmla="*/ 1265 h 252"/>
                              </a:gdLst>
                              <a:ahLst/>
                              <a:cxnLst>
                                <a:cxn ang="0">
                                  <a:pos x="T0" y="T2"/>
                                </a:cxn>
                                <a:cxn ang="0">
                                  <a:pos x="T3" y="T5"/>
                                </a:cxn>
                                <a:cxn ang="0">
                                  <a:pos x="T6" y="T8"/>
                                </a:cxn>
                                <a:cxn ang="0">
                                  <a:pos x="T9" y="T11"/>
                                </a:cxn>
                                <a:cxn ang="0">
                                  <a:pos x="T12" y="T14"/>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 name="Group 1664"/>
                        <wpg:cNvGrpSpPr>
                          <a:grpSpLocks/>
                        </wpg:cNvGrpSpPr>
                        <wpg:grpSpPr bwMode="auto">
                          <a:xfrm>
                            <a:off x="0" y="1265"/>
                            <a:ext cx="4071" cy="255"/>
                            <a:chOff x="0" y="1265"/>
                            <a:chExt cx="4071" cy="255"/>
                          </a:xfrm>
                        </wpg:grpSpPr>
                        <wps:wsp>
                          <wps:cNvPr id="1683" name="Freeform 1666"/>
                          <wps:cNvSpPr>
                            <a:spLocks/>
                          </wps:cNvSpPr>
                          <wps:spPr bwMode="auto">
                            <a:xfrm>
                              <a:off x="0" y="1265"/>
                              <a:ext cx="4071" cy="255"/>
                            </a:xfrm>
                            <a:custGeom>
                              <a:avLst/>
                              <a:gdLst>
                                <a:gd name="T0" fmla="*/ 0 w 4071"/>
                                <a:gd name="T1" fmla="+- 0 1519 1265"/>
                                <a:gd name="T2" fmla="*/ 1519 h 255"/>
                                <a:gd name="T3" fmla="*/ 4070 w 4071"/>
                                <a:gd name="T4" fmla="+- 0 1519 1265"/>
                                <a:gd name="T5" fmla="*/ 1519 h 255"/>
                                <a:gd name="T6" fmla="*/ 4070 w 4071"/>
                                <a:gd name="T7" fmla="+- 0 1265 1265"/>
                                <a:gd name="T8" fmla="*/ 1265 h 255"/>
                                <a:gd name="T9" fmla="*/ 0 w 4071"/>
                                <a:gd name="T10" fmla="+- 0 1265 1265"/>
                                <a:gd name="T11" fmla="*/ 1265 h 255"/>
                                <a:gd name="T12" fmla="*/ 0 w 4071"/>
                                <a:gd name="T13" fmla="+- 0 1519 1265"/>
                                <a:gd name="T14" fmla="*/ 1519 h 255"/>
                              </a:gdLst>
                              <a:ahLst/>
                              <a:cxnLst>
                                <a:cxn ang="0">
                                  <a:pos x="T0" y="T2"/>
                                </a:cxn>
                                <a:cxn ang="0">
                                  <a:pos x="T3" y="T5"/>
                                </a:cxn>
                                <a:cxn ang="0">
                                  <a:pos x="T6" y="T8"/>
                                </a:cxn>
                                <a:cxn ang="0">
                                  <a:pos x="T9" y="T11"/>
                                </a:cxn>
                                <a:cxn ang="0">
                                  <a:pos x="T12" y="T14"/>
                                </a:cxn>
                              </a:cxnLst>
                              <a:rect l="0" t="0" r="r" b="b"/>
                              <a:pathLst>
                                <a:path w="4071" h="255">
                                  <a:moveTo>
                                    <a:pt x="0" y="254"/>
                                  </a:moveTo>
                                  <a:lnTo>
                                    <a:pt x="4070" y="254"/>
                                  </a:lnTo>
                                  <a:lnTo>
                                    <a:pt x="4070"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Text Box 1665"/>
                          <wps:cNvSpPr txBox="1">
                            <a:spLocks noChangeArrowheads="1"/>
                          </wps:cNvSpPr>
                          <wps:spPr bwMode="auto">
                            <a:xfrm>
                              <a:off x="0" y="0"/>
                              <a:ext cx="8486"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jc w:val="both"/>
                                  <w:rPr>
                                    <w:rFonts w:ascii="Arial" w:eastAsia="Arial" w:hAnsi="Arial" w:cs="Arial"/>
                                  </w:rPr>
                                </w:pPr>
                                <w:r>
                                  <w:rPr>
                                    <w:rFonts w:ascii="Arial" w:eastAsia="Arial" w:hAnsi="Arial" w:cs="Arial"/>
                                    <w:b/>
                                    <w:bCs/>
                                    <w:i/>
                                    <w:spacing w:val="-1"/>
                                  </w:rPr>
                                  <w:t>[Guidance</w:t>
                                </w:r>
                                <w:r>
                                  <w:rPr>
                                    <w:rFonts w:ascii="Arial" w:eastAsia="Arial" w:hAnsi="Arial" w:cs="Arial"/>
                                    <w:b/>
                                    <w:bCs/>
                                    <w:i/>
                                    <w:spacing w:val="35"/>
                                  </w:rPr>
                                  <w:t xml:space="preserve"> </w:t>
                                </w:r>
                                <w:r>
                                  <w:rPr>
                                    <w:rFonts w:ascii="Arial" w:eastAsia="Arial" w:hAnsi="Arial" w:cs="Arial"/>
                                    <w:b/>
                                    <w:bCs/>
                                    <w:i/>
                                    <w:spacing w:val="-1"/>
                                  </w:rPr>
                                  <w:t>Note:</w:t>
                                </w:r>
                                <w:r>
                                  <w:rPr>
                                    <w:rFonts w:ascii="Arial" w:eastAsia="Arial" w:hAnsi="Arial" w:cs="Arial"/>
                                    <w:b/>
                                    <w:bCs/>
                                    <w:i/>
                                    <w:spacing w:val="36"/>
                                  </w:rPr>
                                  <w:t xml:space="preserve"> </w:t>
                                </w:r>
                                <w:r>
                                  <w:rPr>
                                    <w:rFonts w:ascii="Arial" w:eastAsia="Arial" w:hAnsi="Arial" w:cs="Arial"/>
                                    <w:b/>
                                    <w:bCs/>
                                    <w:i/>
                                    <w:spacing w:val="-1"/>
                                  </w:rPr>
                                  <w:t>Consider</w:t>
                                </w:r>
                                <w:r>
                                  <w:rPr>
                                    <w:rFonts w:ascii="Arial" w:eastAsia="Arial" w:hAnsi="Arial" w:cs="Arial"/>
                                    <w:b/>
                                    <w:bCs/>
                                    <w:i/>
                                    <w:spacing w:val="36"/>
                                  </w:rPr>
                                  <w:t xml:space="preserve"> </w:t>
                                </w:r>
                                <w:r>
                                  <w:rPr>
                                    <w:rFonts w:ascii="Arial" w:eastAsia="Arial" w:hAnsi="Arial" w:cs="Arial"/>
                                    <w:b/>
                                    <w:bCs/>
                                    <w:i/>
                                    <w:spacing w:val="-1"/>
                                  </w:rPr>
                                  <w:t>the</w:t>
                                </w:r>
                                <w:r>
                                  <w:rPr>
                                    <w:rFonts w:ascii="Arial" w:eastAsia="Arial" w:hAnsi="Arial" w:cs="Arial"/>
                                    <w:b/>
                                    <w:bCs/>
                                    <w:i/>
                                    <w:spacing w:val="35"/>
                                  </w:rPr>
                                  <w:t xml:space="preserve"> </w:t>
                                </w:r>
                                <w:r>
                                  <w:rPr>
                                    <w:rFonts w:ascii="Arial" w:eastAsia="Arial" w:hAnsi="Arial" w:cs="Arial"/>
                                    <w:b/>
                                    <w:bCs/>
                                    <w:i/>
                                    <w:spacing w:val="-1"/>
                                  </w:rPr>
                                  <w:t>guidance</w:t>
                                </w:r>
                                <w:r>
                                  <w:rPr>
                                    <w:rFonts w:ascii="Arial" w:eastAsia="Arial" w:hAnsi="Arial" w:cs="Arial"/>
                                    <w:b/>
                                    <w:bCs/>
                                    <w:i/>
                                    <w:spacing w:val="35"/>
                                  </w:rPr>
                                  <w:t xml:space="preserve"> </w:t>
                                </w:r>
                                <w:r>
                                  <w:rPr>
                                    <w:rFonts w:ascii="Arial" w:eastAsia="Arial" w:hAnsi="Arial" w:cs="Arial"/>
                                    <w:b/>
                                    <w:bCs/>
                                    <w:i/>
                                    <w:spacing w:val="-1"/>
                                  </w:rPr>
                                  <w:t>note</w:t>
                                </w:r>
                                <w:r>
                                  <w:rPr>
                                    <w:rFonts w:ascii="Arial" w:eastAsia="Arial" w:hAnsi="Arial" w:cs="Arial"/>
                                    <w:b/>
                                    <w:bCs/>
                                    <w:i/>
                                    <w:spacing w:val="35"/>
                                  </w:rPr>
                                  <w:t xml:space="preserve"> </w:t>
                                </w:r>
                                <w:r>
                                  <w:rPr>
                                    <w:rFonts w:ascii="Arial" w:eastAsia="Arial" w:hAnsi="Arial" w:cs="Arial"/>
                                    <w:b/>
                                    <w:bCs/>
                                    <w:i/>
                                    <w:spacing w:val="-1"/>
                                  </w:rPr>
                                  <w:t>on</w:t>
                                </w:r>
                                <w:r>
                                  <w:rPr>
                                    <w:rFonts w:ascii="Arial" w:eastAsia="Arial" w:hAnsi="Arial" w:cs="Arial"/>
                                    <w:b/>
                                    <w:bCs/>
                                    <w:i/>
                                    <w:spacing w:val="36"/>
                                  </w:rPr>
                                  <w:t xml:space="preserve"> </w:t>
                                </w:r>
                                <w:r>
                                  <w:rPr>
                                    <w:rFonts w:ascii="Arial" w:eastAsia="Arial" w:hAnsi="Arial" w:cs="Arial"/>
                                    <w:b/>
                                    <w:bCs/>
                                    <w:i/>
                                    <w:spacing w:val="-1"/>
                                  </w:rPr>
                                  <w:t>Exit</w:t>
                                </w:r>
                                <w:r>
                                  <w:rPr>
                                    <w:rFonts w:ascii="Arial" w:eastAsia="Arial" w:hAnsi="Arial" w:cs="Arial"/>
                                    <w:b/>
                                    <w:bCs/>
                                    <w:i/>
                                    <w:spacing w:val="36"/>
                                  </w:rPr>
                                  <w:t xml:space="preserve"> </w:t>
                                </w:r>
                                <w:r>
                                  <w:rPr>
                                    <w:rFonts w:ascii="Arial" w:eastAsia="Arial" w:hAnsi="Arial" w:cs="Arial"/>
                                    <w:b/>
                                    <w:bCs/>
                                    <w:i/>
                                    <w:spacing w:val="-1"/>
                                  </w:rPr>
                                  <w:t>Management</w:t>
                                </w:r>
                                <w:r>
                                  <w:rPr>
                                    <w:rFonts w:ascii="Arial" w:eastAsia="Arial" w:hAnsi="Arial" w:cs="Arial"/>
                                    <w:b/>
                                    <w:bCs/>
                                    <w:i/>
                                    <w:spacing w:val="36"/>
                                  </w:rPr>
                                  <w:t xml:space="preserve"> </w:t>
                                </w:r>
                                <w:r>
                                  <w:rPr>
                                    <w:rFonts w:ascii="Arial" w:eastAsia="Arial" w:hAnsi="Arial" w:cs="Arial"/>
                                    <w:b/>
                                    <w:bCs/>
                                    <w:i/>
                                  </w:rPr>
                                  <w:t>in</w:t>
                                </w:r>
                                <w:r>
                                  <w:rPr>
                                    <w:rFonts w:ascii="Arial" w:eastAsia="Arial" w:hAnsi="Arial" w:cs="Arial"/>
                                    <w:b/>
                                    <w:bCs/>
                                    <w:i/>
                                    <w:spacing w:val="32"/>
                                  </w:rPr>
                                  <w:t xml:space="preserve"> </w:t>
                                </w:r>
                                <w:r>
                                  <w:rPr>
                                    <w:rFonts w:ascii="Arial" w:eastAsia="Arial" w:hAnsi="Arial" w:cs="Arial"/>
                                    <w:b/>
                                    <w:bCs/>
                                    <w:i/>
                                    <w:spacing w:val="-1"/>
                                  </w:rPr>
                                  <w:t>the</w:t>
                                </w:r>
                                <w:r>
                                  <w:rPr>
                                    <w:rFonts w:ascii="Arial" w:eastAsia="Arial" w:hAnsi="Arial" w:cs="Arial"/>
                                    <w:b/>
                                    <w:bCs/>
                                    <w:i/>
                                    <w:spacing w:val="34"/>
                                  </w:rPr>
                                  <w:t xml:space="preserve"> </w:t>
                                </w:r>
                                <w:r>
                                  <w:rPr>
                                    <w:rFonts w:ascii="Arial" w:eastAsia="Arial" w:hAnsi="Arial" w:cs="Arial"/>
                                    <w:b/>
                                    <w:bCs/>
                                    <w:i/>
                                    <w:spacing w:val="-1"/>
                                  </w:rPr>
                                  <w:t>Template</w:t>
                                </w:r>
                                <w:r>
                                  <w:rPr>
                                    <w:rFonts w:ascii="Arial" w:eastAsia="Arial" w:hAnsi="Arial" w:cs="Arial"/>
                                    <w:b/>
                                    <w:bCs/>
                                    <w:i/>
                                    <w:spacing w:val="17"/>
                                  </w:rPr>
                                  <w:t xml:space="preserve"> </w:t>
                                </w:r>
                                <w:r>
                                  <w:rPr>
                                    <w:rFonts w:ascii="Arial" w:eastAsia="Arial" w:hAnsi="Arial" w:cs="Arial"/>
                                    <w:b/>
                                    <w:bCs/>
                                    <w:i/>
                                    <w:spacing w:val="-1"/>
                                  </w:rPr>
                                  <w:t>Order</w:t>
                                </w:r>
                                <w:r>
                                  <w:rPr>
                                    <w:rFonts w:ascii="Arial" w:eastAsia="Arial" w:hAnsi="Arial" w:cs="Arial"/>
                                    <w:b/>
                                    <w:bCs/>
                                    <w:i/>
                                    <w:spacing w:val="18"/>
                                  </w:rPr>
                                  <w:t xml:space="preserve"> </w:t>
                                </w:r>
                                <w:r>
                                  <w:rPr>
                                    <w:rFonts w:ascii="Arial" w:eastAsia="Arial" w:hAnsi="Arial" w:cs="Arial"/>
                                    <w:b/>
                                    <w:bCs/>
                                    <w:i/>
                                    <w:spacing w:val="-1"/>
                                  </w:rPr>
                                  <w:t>Form</w:t>
                                </w:r>
                                <w:r>
                                  <w:rPr>
                                    <w:rFonts w:ascii="Arial" w:eastAsia="Arial" w:hAnsi="Arial" w:cs="Arial"/>
                                    <w:b/>
                                    <w:bCs/>
                                    <w:i/>
                                    <w:spacing w:val="16"/>
                                  </w:rPr>
                                  <w:t xml:space="preserve"> </w:t>
                                </w:r>
                                <w:r>
                                  <w:rPr>
                                    <w:rFonts w:ascii="Arial" w:eastAsia="Arial" w:hAnsi="Arial" w:cs="Arial"/>
                                    <w:b/>
                                    <w:bCs/>
                                    <w:i/>
                                    <w:spacing w:val="-1"/>
                                  </w:rPr>
                                  <w:t>and</w:t>
                                </w:r>
                                <w:r>
                                  <w:rPr>
                                    <w:rFonts w:ascii="Arial" w:eastAsia="Arial" w:hAnsi="Arial" w:cs="Arial"/>
                                    <w:b/>
                                    <w:bCs/>
                                    <w:i/>
                                    <w:spacing w:val="17"/>
                                  </w:rPr>
                                  <w:t xml:space="preserve"> </w:t>
                                </w:r>
                                <w:r>
                                  <w:rPr>
                                    <w:rFonts w:ascii="Arial" w:eastAsia="Arial" w:hAnsi="Arial" w:cs="Arial"/>
                                    <w:b/>
                                    <w:bCs/>
                                    <w:i/>
                                    <w:spacing w:val="-1"/>
                                  </w:rPr>
                                  <w:t>Clause</w:t>
                                </w:r>
                                <w:r>
                                  <w:rPr>
                                    <w:rFonts w:ascii="Arial" w:eastAsia="Arial" w:hAnsi="Arial" w:cs="Arial"/>
                                    <w:b/>
                                    <w:bCs/>
                                    <w:i/>
                                    <w:spacing w:val="17"/>
                                  </w:rPr>
                                  <w:t xml:space="preserve"> </w:t>
                                </w:r>
                                <w:hyperlink w:anchor="_bookmark252" w:history="1">
                                  <w:r>
                                    <w:rPr>
                                      <w:rFonts w:ascii="Arial" w:eastAsia="Arial" w:hAnsi="Arial" w:cs="Arial"/>
                                      <w:b/>
                                      <w:bCs/>
                                      <w:i/>
                                      <w:spacing w:val="-1"/>
                                    </w:rPr>
                                    <w:t>45.5</w:t>
                                  </w:r>
                                </w:hyperlink>
                                <w:r>
                                  <w:rPr>
                                    <w:rFonts w:ascii="Arial" w:eastAsia="Arial" w:hAnsi="Arial" w:cs="Arial"/>
                                    <w:b/>
                                    <w:bCs/>
                                    <w:i/>
                                    <w:spacing w:val="17"/>
                                  </w:rPr>
                                  <w:t xml:space="preserve"> </w:t>
                                </w:r>
                                <w:r>
                                  <w:rPr>
                                    <w:rFonts w:ascii="Arial" w:eastAsia="Arial" w:hAnsi="Arial" w:cs="Arial"/>
                                    <w:b/>
                                    <w:bCs/>
                                    <w:i/>
                                    <w:spacing w:val="-2"/>
                                  </w:rPr>
                                  <w:t>of</w:t>
                                </w:r>
                                <w:r>
                                  <w:rPr>
                                    <w:rFonts w:ascii="Arial" w:eastAsia="Arial" w:hAnsi="Arial" w:cs="Arial"/>
                                    <w:b/>
                                    <w:bCs/>
                                    <w:i/>
                                    <w:spacing w:val="19"/>
                                  </w:rPr>
                                  <w:t xml:space="preserve"> </w:t>
                                </w:r>
                                <w:r>
                                  <w:rPr>
                                    <w:rFonts w:ascii="Arial" w:eastAsia="Arial" w:hAnsi="Arial" w:cs="Arial"/>
                                    <w:b/>
                                    <w:bCs/>
                                    <w:i/>
                                    <w:spacing w:val="-1"/>
                                  </w:rPr>
                                  <w:t>the</w:t>
                                </w:r>
                                <w:r>
                                  <w:rPr>
                                    <w:rFonts w:ascii="Arial" w:eastAsia="Arial" w:hAnsi="Arial" w:cs="Arial"/>
                                    <w:b/>
                                    <w:bCs/>
                                    <w:i/>
                                    <w:spacing w:val="15"/>
                                  </w:rPr>
                                  <w:t xml:space="preserve"> </w:t>
                                </w:r>
                                <w:r>
                                  <w:rPr>
                                    <w:rFonts w:ascii="Arial" w:eastAsia="Arial" w:hAnsi="Arial" w:cs="Arial"/>
                                    <w:b/>
                                    <w:bCs/>
                                    <w:i/>
                                    <w:spacing w:val="-1"/>
                                  </w:rPr>
                                  <w:t>Template</w:t>
                                </w:r>
                                <w:r>
                                  <w:rPr>
                                    <w:rFonts w:ascii="Arial" w:eastAsia="Arial" w:hAnsi="Arial" w:cs="Arial"/>
                                    <w:b/>
                                    <w:bCs/>
                                    <w:i/>
                                    <w:spacing w:val="17"/>
                                  </w:rPr>
                                  <w:t xml:space="preserve"> </w:t>
                                </w:r>
                                <w:r>
                                  <w:rPr>
                                    <w:rFonts w:ascii="Arial" w:eastAsia="Arial" w:hAnsi="Arial" w:cs="Arial"/>
                                    <w:b/>
                                    <w:bCs/>
                                    <w:i/>
                                    <w:spacing w:val="-2"/>
                                  </w:rPr>
                                  <w:t>Call</w:t>
                                </w:r>
                                <w:r>
                                  <w:rPr>
                                    <w:rFonts w:ascii="Arial" w:eastAsia="Arial" w:hAnsi="Arial" w:cs="Arial"/>
                                    <w:b/>
                                    <w:bCs/>
                                    <w:i/>
                                    <w:spacing w:val="19"/>
                                  </w:rPr>
                                  <w:t xml:space="preserve"> </w:t>
                                </w:r>
                                <w:r>
                                  <w:rPr>
                                    <w:rFonts w:ascii="Arial" w:eastAsia="Arial" w:hAnsi="Arial" w:cs="Arial"/>
                                    <w:b/>
                                    <w:bCs/>
                                    <w:i/>
                                    <w:spacing w:val="-1"/>
                                  </w:rPr>
                                  <w:t>Off</w:t>
                                </w:r>
                                <w:r>
                                  <w:rPr>
                                    <w:rFonts w:ascii="Arial" w:eastAsia="Arial" w:hAnsi="Arial" w:cs="Arial"/>
                                    <w:b/>
                                    <w:bCs/>
                                    <w:i/>
                                    <w:spacing w:val="16"/>
                                  </w:rPr>
                                  <w:t xml:space="preserve"> </w:t>
                                </w:r>
                                <w:r>
                                  <w:rPr>
                                    <w:rFonts w:ascii="Arial" w:eastAsia="Arial" w:hAnsi="Arial" w:cs="Arial"/>
                                    <w:b/>
                                    <w:bCs/>
                                    <w:i/>
                                    <w:spacing w:val="-1"/>
                                  </w:rPr>
                                  <w:t>Terms.</w:t>
                                </w:r>
                                <w:r>
                                  <w:rPr>
                                    <w:rFonts w:ascii="Arial" w:eastAsia="Arial" w:hAnsi="Arial" w:cs="Arial"/>
                                    <w:b/>
                                    <w:bCs/>
                                    <w:i/>
                                    <w:spacing w:val="19"/>
                                  </w:rPr>
                                  <w:t xml:space="preserve"> </w:t>
                                </w:r>
                                <w:r>
                                  <w:rPr>
                                    <w:rFonts w:ascii="Arial" w:eastAsia="Arial" w:hAnsi="Arial" w:cs="Arial"/>
                                    <w:b/>
                                    <w:bCs/>
                                    <w:i/>
                                    <w:spacing w:val="-1"/>
                                  </w:rPr>
                                  <w:t>This</w:t>
                                </w:r>
                                <w:r>
                                  <w:rPr>
                                    <w:rFonts w:ascii="Arial" w:eastAsia="Arial" w:hAnsi="Arial" w:cs="Arial"/>
                                    <w:b/>
                                    <w:bCs/>
                                    <w:i/>
                                    <w:spacing w:val="17"/>
                                  </w:rPr>
                                  <w:t xml:space="preserve"> </w:t>
                                </w:r>
                                <w:r>
                                  <w:rPr>
                                    <w:rFonts w:ascii="Arial" w:eastAsia="Arial" w:hAnsi="Arial" w:cs="Arial"/>
                                    <w:b/>
                                    <w:bCs/>
                                    <w:i/>
                                    <w:spacing w:val="-2"/>
                                  </w:rPr>
                                  <w:t>Call</w:t>
                                </w:r>
                                <w:r>
                                  <w:rPr>
                                    <w:rFonts w:ascii="Arial" w:eastAsia="Arial" w:hAnsi="Arial" w:cs="Arial"/>
                                    <w:b/>
                                    <w:bCs/>
                                    <w:i/>
                                    <w:spacing w:val="51"/>
                                  </w:rPr>
                                  <w:t xml:space="preserve"> </w:t>
                                </w:r>
                                <w:r>
                                  <w:rPr>
                                    <w:rFonts w:ascii="Arial" w:eastAsia="Arial" w:hAnsi="Arial" w:cs="Arial"/>
                                    <w:b/>
                                    <w:bCs/>
                                    <w:i/>
                                    <w:spacing w:val="-1"/>
                                  </w:rPr>
                                  <w:t>Off</w:t>
                                </w:r>
                                <w:r>
                                  <w:rPr>
                                    <w:rFonts w:ascii="Arial" w:eastAsia="Arial" w:hAnsi="Arial" w:cs="Arial"/>
                                    <w:b/>
                                    <w:bCs/>
                                    <w:i/>
                                    <w:spacing w:val="21"/>
                                  </w:rPr>
                                  <w:t xml:space="preserve"> </w:t>
                                </w:r>
                                <w:r>
                                  <w:rPr>
                                    <w:rFonts w:ascii="Arial" w:eastAsia="Arial" w:hAnsi="Arial" w:cs="Arial"/>
                                    <w:b/>
                                    <w:bCs/>
                                    <w:i/>
                                    <w:spacing w:val="-1"/>
                                  </w:rPr>
                                  <w:t>Schedule</w:t>
                                </w:r>
                                <w:r>
                                  <w:rPr>
                                    <w:rFonts w:ascii="Arial" w:eastAsia="Arial" w:hAnsi="Arial" w:cs="Arial"/>
                                    <w:b/>
                                    <w:bCs/>
                                    <w:i/>
                                    <w:spacing w:val="20"/>
                                  </w:rPr>
                                  <w:t xml:space="preserve"> </w:t>
                                </w:r>
                                <w:r>
                                  <w:rPr>
                                    <w:rFonts w:ascii="Arial" w:eastAsia="Arial" w:hAnsi="Arial" w:cs="Arial"/>
                                    <w:b/>
                                    <w:bCs/>
                                    <w:i/>
                                  </w:rPr>
                                  <w:t>is</w:t>
                                </w:r>
                                <w:r>
                                  <w:rPr>
                                    <w:rFonts w:ascii="Arial" w:eastAsia="Arial" w:hAnsi="Arial" w:cs="Arial"/>
                                    <w:b/>
                                    <w:bCs/>
                                    <w:i/>
                                    <w:spacing w:val="19"/>
                                  </w:rPr>
                                  <w:t xml:space="preserve"> </w:t>
                                </w:r>
                                <w:r>
                                  <w:rPr>
                                    <w:rFonts w:ascii="Arial" w:eastAsia="Arial" w:hAnsi="Arial" w:cs="Arial"/>
                                    <w:b/>
                                    <w:bCs/>
                                    <w:i/>
                                    <w:spacing w:val="-1"/>
                                  </w:rPr>
                                  <w:t>likely</w:t>
                                </w:r>
                                <w:r>
                                  <w:rPr>
                                    <w:rFonts w:ascii="Arial" w:eastAsia="Arial" w:hAnsi="Arial" w:cs="Arial"/>
                                    <w:b/>
                                    <w:bCs/>
                                    <w:i/>
                                    <w:spacing w:val="20"/>
                                  </w:rPr>
                                  <w:t xml:space="preserve"> </w:t>
                                </w:r>
                                <w:r>
                                  <w:rPr>
                                    <w:rFonts w:ascii="Arial" w:eastAsia="Arial" w:hAnsi="Arial" w:cs="Arial"/>
                                    <w:b/>
                                    <w:bCs/>
                                    <w:i/>
                                    <w:spacing w:val="-1"/>
                                  </w:rPr>
                                  <w:t>to</w:t>
                                </w:r>
                                <w:r>
                                  <w:rPr>
                                    <w:rFonts w:ascii="Arial" w:eastAsia="Arial" w:hAnsi="Arial" w:cs="Arial"/>
                                    <w:b/>
                                    <w:bCs/>
                                    <w:i/>
                                    <w:spacing w:val="20"/>
                                  </w:rPr>
                                  <w:t xml:space="preserve"> </w:t>
                                </w:r>
                                <w:r>
                                  <w:rPr>
                                    <w:rFonts w:ascii="Arial" w:eastAsia="Arial" w:hAnsi="Arial" w:cs="Arial"/>
                                    <w:b/>
                                    <w:bCs/>
                                    <w:i/>
                                    <w:spacing w:val="-1"/>
                                  </w:rPr>
                                  <w:t>be</w:t>
                                </w:r>
                                <w:r>
                                  <w:rPr>
                                    <w:rFonts w:ascii="Arial" w:eastAsia="Arial" w:hAnsi="Arial" w:cs="Arial"/>
                                    <w:b/>
                                    <w:bCs/>
                                    <w:i/>
                                    <w:spacing w:val="20"/>
                                  </w:rPr>
                                  <w:t xml:space="preserve"> </w:t>
                                </w:r>
                                <w:r>
                                  <w:rPr>
                                    <w:rFonts w:ascii="Arial" w:eastAsia="Arial" w:hAnsi="Arial" w:cs="Arial"/>
                                    <w:b/>
                                    <w:bCs/>
                                    <w:i/>
                                    <w:spacing w:val="-1"/>
                                  </w:rPr>
                                  <w:t>relevant</w:t>
                                </w:r>
                                <w:r>
                                  <w:rPr>
                                    <w:rFonts w:ascii="Arial" w:eastAsia="Arial" w:hAnsi="Arial" w:cs="Arial"/>
                                    <w:b/>
                                    <w:bCs/>
                                    <w:i/>
                                    <w:spacing w:val="21"/>
                                  </w:rPr>
                                  <w:t xml:space="preserve"> </w:t>
                                </w:r>
                                <w:r>
                                  <w:rPr>
                                    <w:rFonts w:ascii="Arial" w:eastAsia="Arial" w:hAnsi="Arial" w:cs="Arial"/>
                                    <w:b/>
                                    <w:bCs/>
                                    <w:i/>
                                  </w:rPr>
                                  <w:t>in</w:t>
                                </w:r>
                                <w:r>
                                  <w:rPr>
                                    <w:rFonts w:ascii="Arial" w:eastAsia="Arial" w:hAnsi="Arial" w:cs="Arial"/>
                                    <w:b/>
                                    <w:bCs/>
                                    <w:i/>
                                    <w:spacing w:val="20"/>
                                  </w:rPr>
                                  <w:t xml:space="preserve"> </w:t>
                                </w:r>
                                <w:r>
                                  <w:rPr>
                                    <w:rFonts w:ascii="Arial" w:eastAsia="Arial" w:hAnsi="Arial" w:cs="Arial"/>
                                    <w:b/>
                                    <w:bCs/>
                                    <w:i/>
                                    <w:spacing w:val="-1"/>
                                  </w:rPr>
                                  <w:t>the</w:t>
                                </w:r>
                                <w:r>
                                  <w:rPr>
                                    <w:rFonts w:ascii="Arial" w:eastAsia="Arial" w:hAnsi="Arial" w:cs="Arial"/>
                                    <w:b/>
                                    <w:bCs/>
                                    <w:i/>
                                    <w:spacing w:val="20"/>
                                  </w:rPr>
                                  <w:t xml:space="preserve"> </w:t>
                                </w:r>
                                <w:r>
                                  <w:rPr>
                                    <w:rFonts w:ascii="Arial" w:eastAsia="Arial" w:hAnsi="Arial" w:cs="Arial"/>
                                    <w:b/>
                                    <w:bCs/>
                                    <w:i/>
                                    <w:spacing w:val="-1"/>
                                  </w:rPr>
                                  <w:t>context</w:t>
                                </w:r>
                                <w:r>
                                  <w:rPr>
                                    <w:rFonts w:ascii="Arial" w:eastAsia="Arial" w:hAnsi="Arial" w:cs="Arial"/>
                                    <w:b/>
                                    <w:bCs/>
                                    <w:i/>
                                    <w:spacing w:val="21"/>
                                  </w:rPr>
                                  <w:t xml:space="preserve"> </w:t>
                                </w:r>
                                <w:r>
                                  <w:rPr>
                                    <w:rFonts w:ascii="Arial" w:eastAsia="Arial" w:hAnsi="Arial" w:cs="Arial"/>
                                    <w:b/>
                                    <w:bCs/>
                                    <w:i/>
                                    <w:spacing w:val="-1"/>
                                  </w:rPr>
                                  <w:t>of</w:t>
                                </w:r>
                                <w:r>
                                  <w:rPr>
                                    <w:rFonts w:ascii="Arial" w:eastAsia="Arial" w:hAnsi="Arial" w:cs="Arial"/>
                                    <w:b/>
                                    <w:bCs/>
                                    <w:i/>
                                    <w:spacing w:val="21"/>
                                  </w:rPr>
                                  <w:t xml:space="preserve"> </w:t>
                                </w:r>
                                <w:r>
                                  <w:rPr>
                                    <w:rFonts w:ascii="Arial" w:eastAsia="Arial" w:hAnsi="Arial" w:cs="Arial"/>
                                    <w:b/>
                                    <w:bCs/>
                                    <w:i/>
                                    <w:spacing w:val="-1"/>
                                  </w:rPr>
                                  <w:t>procuring</w:t>
                                </w:r>
                                <w:r>
                                  <w:rPr>
                                    <w:rFonts w:ascii="Arial" w:eastAsia="Arial" w:hAnsi="Arial" w:cs="Arial"/>
                                    <w:b/>
                                    <w:bCs/>
                                    <w:i/>
                                    <w:spacing w:val="20"/>
                                  </w:rPr>
                                  <w:t xml:space="preserve"> </w:t>
                                </w:r>
                                <w:r>
                                  <w:rPr>
                                    <w:rFonts w:ascii="Arial" w:eastAsia="Arial" w:hAnsi="Arial" w:cs="Arial"/>
                                    <w:b/>
                                    <w:bCs/>
                                    <w:i/>
                                    <w:spacing w:val="-1"/>
                                  </w:rPr>
                                  <w:t>Services</w:t>
                                </w:r>
                                <w:r>
                                  <w:rPr>
                                    <w:rFonts w:ascii="Arial" w:eastAsia="Arial" w:hAnsi="Arial" w:cs="Arial"/>
                                    <w:b/>
                                    <w:bCs/>
                                    <w:i/>
                                    <w:spacing w:val="20"/>
                                  </w:rPr>
                                  <w:t xml:space="preserve"> </w:t>
                                </w:r>
                                <w:r>
                                  <w:rPr>
                                    <w:rFonts w:ascii="Arial" w:eastAsia="Arial" w:hAnsi="Arial" w:cs="Arial"/>
                                    <w:b/>
                                    <w:bCs/>
                                    <w:i/>
                                    <w:spacing w:val="-1"/>
                                  </w:rPr>
                                  <w:t>rather</w:t>
                                </w:r>
                                <w:r>
                                  <w:rPr>
                                    <w:rFonts w:ascii="Arial" w:eastAsia="Arial" w:hAnsi="Arial" w:cs="Arial"/>
                                    <w:b/>
                                    <w:bCs/>
                                    <w:i/>
                                    <w:spacing w:val="58"/>
                                  </w:rPr>
                                  <w:t xml:space="preserve"> </w:t>
                                </w:r>
                                <w:r>
                                  <w:rPr>
                                    <w:rFonts w:ascii="Arial" w:eastAsia="Arial" w:hAnsi="Arial" w:cs="Arial"/>
                                    <w:b/>
                                    <w:bCs/>
                                    <w:i/>
                                    <w:spacing w:val="-1"/>
                                  </w:rPr>
                                  <w:t>than</w:t>
                                </w:r>
                                <w:r>
                                  <w:rPr>
                                    <w:rFonts w:ascii="Arial" w:eastAsia="Arial" w:hAnsi="Arial" w:cs="Arial"/>
                                    <w:b/>
                                    <w:bCs/>
                                    <w:i/>
                                    <w:spacing w:val="27"/>
                                  </w:rPr>
                                  <w:t xml:space="preserve"> </w:t>
                                </w:r>
                                <w:r>
                                  <w:rPr>
                                    <w:rFonts w:ascii="Arial" w:eastAsia="Arial" w:hAnsi="Arial" w:cs="Arial"/>
                                    <w:b/>
                                    <w:bCs/>
                                    <w:i/>
                                    <w:spacing w:val="-1"/>
                                  </w:rPr>
                                  <w:t>Goods</w:t>
                                </w:r>
                                <w:r>
                                  <w:rPr>
                                    <w:rFonts w:ascii="Arial" w:eastAsia="Arial" w:hAnsi="Arial" w:cs="Arial"/>
                                    <w:b/>
                                    <w:bCs/>
                                    <w:i/>
                                    <w:spacing w:val="27"/>
                                  </w:rPr>
                                  <w:t xml:space="preserve"> </w:t>
                                </w:r>
                                <w:r>
                                  <w:rPr>
                                    <w:rFonts w:ascii="Arial" w:eastAsia="Arial" w:hAnsi="Arial" w:cs="Arial"/>
                                    <w:b/>
                                    <w:bCs/>
                                    <w:i/>
                                    <w:spacing w:val="-1"/>
                                  </w:rPr>
                                  <w:t>only,</w:t>
                                </w:r>
                                <w:r>
                                  <w:rPr>
                                    <w:rFonts w:ascii="Arial" w:eastAsia="Arial" w:hAnsi="Arial" w:cs="Arial"/>
                                    <w:b/>
                                    <w:bCs/>
                                    <w:i/>
                                    <w:spacing w:val="28"/>
                                  </w:rPr>
                                  <w:t xml:space="preserve"> </w:t>
                                </w:r>
                                <w:r>
                                  <w:rPr>
                                    <w:rFonts w:ascii="Arial" w:eastAsia="Arial" w:hAnsi="Arial" w:cs="Arial"/>
                                    <w:b/>
                                    <w:bCs/>
                                    <w:i/>
                                    <w:spacing w:val="-1"/>
                                  </w:rPr>
                                  <w:t>with</w:t>
                                </w:r>
                                <w:r>
                                  <w:rPr>
                                    <w:rFonts w:ascii="Arial" w:eastAsia="Arial" w:hAnsi="Arial" w:cs="Arial"/>
                                    <w:b/>
                                    <w:bCs/>
                                    <w:i/>
                                    <w:spacing w:val="24"/>
                                  </w:rPr>
                                  <w:t xml:space="preserve"> </w:t>
                                </w:r>
                                <w:r>
                                  <w:rPr>
                                    <w:rFonts w:ascii="Arial" w:eastAsia="Arial" w:hAnsi="Arial" w:cs="Arial"/>
                                    <w:b/>
                                    <w:bCs/>
                                    <w:i/>
                                    <w:spacing w:val="-1"/>
                                  </w:rPr>
                                  <w:t>emphasis</w:t>
                                </w:r>
                                <w:r>
                                  <w:rPr>
                                    <w:rFonts w:ascii="Arial" w:eastAsia="Arial" w:hAnsi="Arial" w:cs="Arial"/>
                                    <w:b/>
                                    <w:bCs/>
                                    <w:i/>
                                    <w:spacing w:val="27"/>
                                  </w:rPr>
                                  <w:t xml:space="preserve"> </w:t>
                                </w:r>
                                <w:r>
                                  <w:rPr>
                                    <w:rFonts w:ascii="Arial" w:eastAsia="Arial" w:hAnsi="Arial" w:cs="Arial"/>
                                    <w:b/>
                                    <w:bCs/>
                                    <w:i/>
                                    <w:spacing w:val="-1"/>
                                  </w:rPr>
                                  <w:t>on</w:t>
                                </w:r>
                                <w:r>
                                  <w:rPr>
                                    <w:rFonts w:ascii="Arial" w:eastAsia="Arial" w:hAnsi="Arial" w:cs="Arial"/>
                                    <w:b/>
                                    <w:bCs/>
                                    <w:i/>
                                    <w:spacing w:val="27"/>
                                  </w:rPr>
                                  <w:t xml:space="preserve"> </w:t>
                                </w:r>
                                <w:r>
                                  <w:rPr>
                                    <w:rFonts w:ascii="Arial" w:eastAsia="Arial" w:hAnsi="Arial" w:cs="Arial"/>
                                    <w:b/>
                                    <w:bCs/>
                                    <w:i/>
                                    <w:spacing w:val="-1"/>
                                  </w:rPr>
                                  <w:t>ongoing</w:t>
                                </w:r>
                                <w:r>
                                  <w:rPr>
                                    <w:rFonts w:ascii="Arial" w:eastAsia="Arial" w:hAnsi="Arial" w:cs="Arial"/>
                                    <w:b/>
                                    <w:bCs/>
                                    <w:i/>
                                    <w:spacing w:val="24"/>
                                  </w:rPr>
                                  <w:t xml:space="preserve"> </w:t>
                                </w:r>
                                <w:r>
                                  <w:rPr>
                                    <w:rFonts w:ascii="Arial" w:eastAsia="Arial" w:hAnsi="Arial" w:cs="Arial"/>
                                    <w:b/>
                                    <w:bCs/>
                                    <w:i/>
                                    <w:spacing w:val="-1"/>
                                  </w:rPr>
                                  <w:t>Services.</w:t>
                                </w:r>
                                <w:r>
                                  <w:rPr>
                                    <w:rFonts w:ascii="Arial" w:eastAsia="Arial" w:hAnsi="Arial" w:cs="Arial"/>
                                    <w:b/>
                                    <w:bCs/>
                                    <w:i/>
                                    <w:spacing w:val="28"/>
                                  </w:rPr>
                                  <w:t xml:space="preserve"> </w:t>
                                </w:r>
                                <w:r>
                                  <w:rPr>
                                    <w:rFonts w:ascii="Arial" w:eastAsia="Arial" w:hAnsi="Arial" w:cs="Arial"/>
                                    <w:b/>
                                    <w:bCs/>
                                    <w:i/>
                                    <w:spacing w:val="-1"/>
                                  </w:rPr>
                                  <w:t>Switch</w:t>
                                </w:r>
                                <w:r>
                                  <w:rPr>
                                    <w:rFonts w:ascii="Arial" w:eastAsia="Arial" w:hAnsi="Arial" w:cs="Arial"/>
                                    <w:b/>
                                    <w:bCs/>
                                    <w:i/>
                                    <w:spacing w:val="27"/>
                                  </w:rPr>
                                  <w:t xml:space="preserve"> </w:t>
                                </w:r>
                                <w:r>
                                  <w:rPr>
                                    <w:rFonts w:ascii="Arial" w:eastAsia="Arial" w:hAnsi="Arial" w:cs="Arial"/>
                                    <w:b/>
                                    <w:bCs/>
                                    <w:i/>
                                  </w:rPr>
                                  <w:t>to</w:t>
                                </w:r>
                                <w:r>
                                  <w:rPr>
                                    <w:rFonts w:ascii="Arial" w:eastAsia="Arial" w:hAnsi="Arial" w:cs="Arial"/>
                                    <w:b/>
                                    <w:bCs/>
                                    <w:i/>
                                    <w:spacing w:val="27"/>
                                  </w:rPr>
                                  <w:t xml:space="preserve"> </w:t>
                                </w:r>
                                <w:r>
                                  <w:rPr>
                                    <w:rFonts w:ascii="Arial" w:eastAsia="Arial" w:hAnsi="Arial" w:cs="Arial"/>
                                    <w:b/>
                                    <w:bCs/>
                                    <w:i/>
                                    <w:spacing w:val="-2"/>
                                  </w:rPr>
                                  <w:t>“Not</w:t>
                                </w:r>
                                <w:r>
                                  <w:rPr>
                                    <w:rFonts w:ascii="Arial" w:eastAsia="Arial" w:hAnsi="Arial" w:cs="Arial"/>
                                    <w:b/>
                                    <w:bCs/>
                                    <w:i/>
                                    <w:spacing w:val="28"/>
                                  </w:rPr>
                                  <w:t xml:space="preserve"> </w:t>
                                </w:r>
                                <w:r>
                                  <w:rPr>
                                    <w:rFonts w:ascii="Arial" w:eastAsia="Arial" w:hAnsi="Arial" w:cs="Arial"/>
                                    <w:b/>
                                    <w:bCs/>
                                    <w:i/>
                                    <w:spacing w:val="-1"/>
                                  </w:rPr>
                                  <w:t>Used”</w:t>
                                </w:r>
                                <w:r>
                                  <w:rPr>
                                    <w:rFonts w:ascii="Arial" w:eastAsia="Arial" w:hAnsi="Arial" w:cs="Arial"/>
                                    <w:b/>
                                    <w:bCs/>
                                    <w:i/>
                                    <w:spacing w:val="27"/>
                                  </w:rPr>
                                  <w:t xml:space="preserve"> </w:t>
                                </w:r>
                                <w:r>
                                  <w:rPr>
                                    <w:rFonts w:ascii="Arial" w:eastAsia="Arial" w:hAnsi="Arial" w:cs="Arial"/>
                                    <w:b/>
                                    <w:bCs/>
                                    <w:i/>
                                  </w:rPr>
                                  <w:t>if</w:t>
                                </w:r>
                                <w:r>
                                  <w:rPr>
                                    <w:rFonts w:ascii="Arial" w:eastAsia="Arial" w:hAnsi="Arial" w:cs="Arial"/>
                                    <w:b/>
                                    <w:bCs/>
                                    <w:i/>
                                    <w:spacing w:val="55"/>
                                  </w:rPr>
                                  <w:t xml:space="preserve"> </w:t>
                                </w:r>
                                <w:r>
                                  <w:rPr>
                                    <w:rFonts w:ascii="Arial" w:eastAsia="Arial" w:hAnsi="Arial" w:cs="Arial"/>
                                    <w:b/>
                                    <w:bCs/>
                                    <w:i/>
                                    <w:spacing w:val="-1"/>
                                  </w:rPr>
                                  <w:t>not</w:t>
                                </w:r>
                                <w:r>
                                  <w:rPr>
                                    <w:rFonts w:ascii="Arial" w:eastAsia="Arial" w:hAnsi="Arial" w:cs="Arial"/>
                                    <w:b/>
                                    <w:bCs/>
                                    <w:i/>
                                    <w:spacing w:val="59"/>
                                  </w:rPr>
                                  <w:t xml:space="preserve"> </w:t>
                                </w:r>
                                <w:r>
                                  <w:rPr>
                                    <w:rFonts w:ascii="Arial" w:eastAsia="Arial" w:hAnsi="Arial" w:cs="Arial"/>
                                    <w:b/>
                                    <w:bCs/>
                                    <w:i/>
                                    <w:spacing w:val="-1"/>
                                  </w:rPr>
                                  <w:t>required;</w:t>
                                </w:r>
                                <w:r>
                                  <w:rPr>
                                    <w:rFonts w:ascii="Arial" w:eastAsia="Arial" w:hAnsi="Arial" w:cs="Arial"/>
                                    <w:b/>
                                    <w:bCs/>
                                    <w:i/>
                                    <w:spacing w:val="59"/>
                                  </w:rPr>
                                  <w:t xml:space="preserve"> </w:t>
                                </w:r>
                                <w:r>
                                  <w:rPr>
                                    <w:rFonts w:ascii="Arial" w:eastAsia="Arial" w:hAnsi="Arial" w:cs="Arial"/>
                                    <w:b/>
                                    <w:bCs/>
                                    <w:i/>
                                    <w:spacing w:val="-1"/>
                                  </w:rPr>
                                  <w:t>or</w:t>
                                </w:r>
                                <w:r>
                                  <w:rPr>
                                    <w:rFonts w:ascii="Arial" w:eastAsia="Arial" w:hAnsi="Arial" w:cs="Arial"/>
                                    <w:b/>
                                    <w:bCs/>
                                    <w:i/>
                                    <w:spacing w:val="59"/>
                                  </w:rPr>
                                  <w:t xml:space="preserve"> </w:t>
                                </w:r>
                                <w:r>
                                  <w:rPr>
                                    <w:rFonts w:ascii="Arial" w:eastAsia="Arial" w:hAnsi="Arial" w:cs="Arial"/>
                                    <w:b/>
                                    <w:bCs/>
                                    <w:i/>
                                    <w:spacing w:val="-1"/>
                                  </w:rPr>
                                  <w:t>retain</w:t>
                                </w:r>
                                <w:r>
                                  <w:rPr>
                                    <w:rFonts w:ascii="Arial" w:eastAsia="Arial" w:hAnsi="Arial" w:cs="Arial"/>
                                    <w:b/>
                                    <w:bCs/>
                                    <w:i/>
                                    <w:spacing w:val="58"/>
                                  </w:rPr>
                                  <w:t xml:space="preserve"> </w:t>
                                </w:r>
                                <w:r>
                                  <w:rPr>
                                    <w:rFonts w:ascii="Arial" w:eastAsia="Arial" w:hAnsi="Arial" w:cs="Arial"/>
                                    <w:b/>
                                    <w:bCs/>
                                    <w:i/>
                                    <w:spacing w:val="-1"/>
                                  </w:rPr>
                                  <w:t>and</w:t>
                                </w:r>
                                <w:r>
                                  <w:rPr>
                                    <w:rFonts w:ascii="Arial" w:eastAsia="Arial" w:hAnsi="Arial" w:cs="Arial"/>
                                    <w:b/>
                                    <w:bCs/>
                                    <w:i/>
                                    <w:spacing w:val="58"/>
                                  </w:rPr>
                                  <w:t xml:space="preserve"> </w:t>
                                </w:r>
                                <w:r>
                                  <w:rPr>
                                    <w:rFonts w:ascii="Arial" w:eastAsia="Arial" w:hAnsi="Arial" w:cs="Arial"/>
                                    <w:b/>
                                    <w:bCs/>
                                    <w:i/>
                                    <w:spacing w:val="-1"/>
                                  </w:rPr>
                                  <w:t>refine</w:t>
                                </w:r>
                                <w:r>
                                  <w:rPr>
                                    <w:rFonts w:ascii="Arial" w:eastAsia="Arial" w:hAnsi="Arial" w:cs="Arial"/>
                                    <w:b/>
                                    <w:bCs/>
                                    <w:i/>
                                    <w:spacing w:val="58"/>
                                  </w:rPr>
                                  <w:t xml:space="preserve"> </w:t>
                                </w:r>
                                <w:r>
                                  <w:rPr>
                                    <w:rFonts w:ascii="Arial" w:eastAsia="Arial" w:hAnsi="Arial" w:cs="Arial"/>
                                    <w:b/>
                                    <w:bCs/>
                                    <w:i/>
                                    <w:spacing w:val="-1"/>
                                  </w:rPr>
                                  <w:t>the</w:t>
                                </w:r>
                                <w:r>
                                  <w:rPr>
                                    <w:rFonts w:ascii="Arial" w:eastAsia="Arial" w:hAnsi="Arial" w:cs="Arial"/>
                                    <w:b/>
                                    <w:bCs/>
                                    <w:i/>
                                    <w:spacing w:val="59"/>
                                  </w:rPr>
                                  <w:t xml:space="preserve"> </w:t>
                                </w:r>
                                <w:r>
                                  <w:rPr>
                                    <w:rFonts w:ascii="Arial" w:eastAsia="Arial" w:hAnsi="Arial" w:cs="Arial"/>
                                    <w:b/>
                                    <w:bCs/>
                                    <w:i/>
                                    <w:spacing w:val="-1"/>
                                  </w:rPr>
                                  <w:t>parts</w:t>
                                </w:r>
                                <w:r>
                                  <w:rPr>
                                    <w:rFonts w:ascii="Arial" w:eastAsia="Arial" w:hAnsi="Arial" w:cs="Arial"/>
                                    <w:b/>
                                    <w:bCs/>
                                    <w:i/>
                                    <w:spacing w:val="58"/>
                                  </w:rPr>
                                  <w:t xml:space="preserve"> </w:t>
                                </w:r>
                                <w:r>
                                  <w:rPr>
                                    <w:rFonts w:ascii="Arial" w:eastAsia="Arial" w:hAnsi="Arial" w:cs="Arial"/>
                                    <w:b/>
                                    <w:bCs/>
                                    <w:i/>
                                    <w:spacing w:val="-1"/>
                                  </w:rPr>
                                  <w:t>relevant</w:t>
                                </w:r>
                                <w:r>
                                  <w:rPr>
                                    <w:rFonts w:ascii="Arial" w:eastAsia="Arial" w:hAnsi="Arial" w:cs="Arial"/>
                                    <w:b/>
                                    <w:bCs/>
                                    <w:i/>
                                    <w:spacing w:val="59"/>
                                  </w:rPr>
                                  <w:t xml:space="preserve"> </w:t>
                                </w:r>
                                <w:r>
                                  <w:rPr>
                                    <w:rFonts w:ascii="Arial" w:eastAsia="Arial" w:hAnsi="Arial" w:cs="Arial"/>
                                    <w:b/>
                                    <w:bCs/>
                                    <w:i/>
                                  </w:rPr>
                                  <w:t>to</w:t>
                                </w:r>
                                <w:r>
                                  <w:rPr>
                                    <w:rFonts w:ascii="Arial" w:eastAsia="Arial" w:hAnsi="Arial" w:cs="Arial"/>
                                    <w:b/>
                                    <w:bCs/>
                                    <w:i/>
                                    <w:spacing w:val="58"/>
                                  </w:rPr>
                                  <w:t xml:space="preserve"> </w:t>
                                </w:r>
                                <w:r>
                                  <w:rPr>
                                    <w:rFonts w:ascii="Arial" w:eastAsia="Arial" w:hAnsi="Arial" w:cs="Arial"/>
                                    <w:b/>
                                    <w:bCs/>
                                    <w:i/>
                                    <w:spacing w:val="-1"/>
                                  </w:rPr>
                                  <w:t>your</w:t>
                                </w:r>
                                <w:r>
                                  <w:rPr>
                                    <w:rFonts w:ascii="Arial" w:eastAsia="Arial" w:hAnsi="Arial" w:cs="Arial"/>
                                    <w:b/>
                                    <w:bCs/>
                                    <w:i/>
                                    <w:spacing w:val="59"/>
                                  </w:rPr>
                                  <w:t xml:space="preserve"> </w:t>
                                </w:r>
                                <w:r>
                                  <w:rPr>
                                    <w:rFonts w:ascii="Arial" w:eastAsia="Arial" w:hAnsi="Arial" w:cs="Arial"/>
                                    <w:b/>
                                    <w:bCs/>
                                    <w:i/>
                                    <w:spacing w:val="-1"/>
                                  </w:rPr>
                                  <w:t>requirements</w:t>
                                </w:r>
                                <w:r>
                                  <w:rPr>
                                    <w:rFonts w:ascii="Arial" w:eastAsia="Arial" w:hAnsi="Arial" w:cs="Arial"/>
                                    <w:b/>
                                    <w:bCs/>
                                    <w:i/>
                                    <w:spacing w:val="58"/>
                                  </w:rPr>
                                  <w:t xml:space="preserve"> </w:t>
                                </w:r>
                                <w:r>
                                  <w:rPr>
                                    <w:rFonts w:ascii="Arial" w:eastAsia="Arial" w:hAnsi="Arial" w:cs="Arial"/>
                                    <w:b/>
                                    <w:bCs/>
                                    <w:i/>
                                  </w:rPr>
                                  <w:t>if</w:t>
                                </w:r>
                                <w:r>
                                  <w:rPr>
                                    <w:rFonts w:ascii="Arial" w:eastAsia="Arial" w:hAnsi="Arial" w:cs="Arial"/>
                                    <w:b/>
                                    <w:bCs/>
                                    <w:i/>
                                    <w:spacing w:val="51"/>
                                  </w:rPr>
                                  <w:t xml:space="preserve"> </w:t>
                                </w:r>
                                <w:r>
                                  <w:rPr>
                                    <w:rFonts w:ascii="Arial" w:eastAsia="Arial" w:hAnsi="Arial" w:cs="Arial"/>
                                    <w:b/>
                                    <w:bCs/>
                                    <w:i/>
                                    <w:spacing w:val="-1"/>
                                  </w:rPr>
                                  <w:t>procuring</w:t>
                                </w:r>
                                <w:r>
                                  <w:rPr>
                                    <w:rFonts w:ascii="Arial" w:eastAsia="Arial" w:hAnsi="Arial" w:cs="Arial"/>
                                    <w:b/>
                                    <w:bCs/>
                                    <w:i/>
                                    <w:spacing w:val="-2"/>
                                  </w:rPr>
                                  <w:t xml:space="preserve"> </w:t>
                                </w:r>
                                <w:r>
                                  <w:rPr>
                                    <w:rFonts w:ascii="Arial" w:eastAsia="Arial" w:hAnsi="Arial" w:cs="Arial"/>
                                    <w:b/>
                                    <w:bCs/>
                                    <w:i/>
                                    <w:spacing w:val="-1"/>
                                  </w:rPr>
                                  <w:t>through</w:t>
                                </w:r>
                                <w:r>
                                  <w:rPr>
                                    <w:rFonts w:ascii="Arial" w:eastAsia="Arial" w:hAnsi="Arial" w:cs="Arial"/>
                                    <w:b/>
                                    <w:bCs/>
                                    <w:i/>
                                    <w:spacing w:val="-2"/>
                                  </w:rPr>
                                  <w:t xml:space="preserve"> </w:t>
                                </w:r>
                                <w:r>
                                  <w:rPr>
                                    <w:rFonts w:ascii="Arial" w:eastAsia="Arial" w:hAnsi="Arial" w:cs="Arial"/>
                                    <w:b/>
                                    <w:bCs/>
                                    <w:i/>
                                    <w:spacing w:val="-1"/>
                                  </w:rPr>
                                  <w:t>further</w:t>
                                </w:r>
                                <w:r>
                                  <w:rPr>
                                    <w:rFonts w:ascii="Arial" w:eastAsia="Arial" w:hAnsi="Arial" w:cs="Arial"/>
                                    <w:b/>
                                    <w:bCs/>
                                    <w:i/>
                                    <w:spacing w:val="1"/>
                                  </w:rPr>
                                  <w:t xml:space="preserve"> </w:t>
                                </w:r>
                                <w:r>
                                  <w:rPr>
                                    <w:rFonts w:ascii="Arial" w:eastAsia="Arial" w:hAnsi="Arial" w:cs="Arial"/>
                                    <w:b/>
                                    <w:bCs/>
                                    <w:i/>
                                    <w:spacing w:val="-2"/>
                                  </w:rPr>
                                  <w:t>competition]</w:t>
                                </w:r>
                              </w:p>
                            </w:txbxContent>
                          </wps:txbx>
                          <wps:bodyPr rot="0" vert="horz" wrap="square" lIns="0" tIns="0" rIns="0" bIns="0" anchor="t" anchorCtr="0" upright="1">
                            <a:noAutofit/>
                          </wps:bodyPr>
                        </wps:wsp>
                      </wpg:grpSp>
                    </wpg:wgp>
                  </a:graphicData>
                </a:graphic>
              </wp:inline>
            </w:drawing>
          </mc:Choice>
          <mc:Fallback>
            <w:pict>
              <v:group w14:anchorId="32ECDBAF" id="Group 1663" o:spid="_x0000_s1350" style="width:424.3pt;height:76pt;mso-position-horizontal-relative:char;mso-position-vertical-relative:line" coordsize="8486,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">
                <v:group id="Group 1675" o:spid="_x0000_s1351" style="position:absolute;width:8484;height:255"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676" o:spid="_x0000_s1352" style="position:absolute;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sN8QA&#10;AADdAAAADwAAAGRycy9kb3ducmV2LnhtbERP22oCMRB9L/QfwhT6VrNaqu3WKCIoQkXpth8wbKab&#10;rZtJTKJu/74pFHybw7nOdN7bTpwpxNaxguGgAEFcO91yo+DzY/XwDCImZI2dY1LwQxHms9ubKZba&#10;XfidzlVqRA7hWKICk5IvpYy1IYtx4Dxx5r5csJgyDI3UAS853HZyVBRjabHl3GDQ09JQfahOVsFu&#10;uP/2o+54eNtu1k/hZVvtja+Uur/rF68gEvXpKv53b3SeP548wt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LDfEAAAA3QAAAA8AAAAAAAAAAAAAAAAAmAIAAGRycy9k&#10;b3ducmV2LnhtbFBLBQYAAAAABAAEAPUAAACJAwAAAAA=&#10;" path="m,254r8484,l8484,,,,,254xe" fillcolor="lime" stroked="f">
                    <v:path arrowok="t" o:connecttype="custom" o:connectlocs="0,254;8484,254;8484,0;0,0;0,254" o:connectangles="0,0,0,0,0"/>
                  </v:shape>
                </v:group>
                <v:group id="Group 1673" o:spid="_x0000_s1353" style="position:absolute;top:254;width:8484;height:252" coordorigin=",254"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674" o:spid="_x0000_s1354" style="position:absolute;top:254;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liMQA&#10;AADdAAAADwAAAGRycy9kb3ducmV2LnhtbERPTWvCQBC9F/wPywje6kalWtJsRETB9tKaCl6n2TGJ&#10;ZmdDdk3Sf98tFHqbx/ucZD2YWnTUusqygtk0AkGcW11xoeD0uX98BuE8ssbaMin4JgfrdPSQYKxt&#10;z0fqMl+IEMIuRgWl900spctLMuimtiEO3MW2Bn2AbSF1i30IN7WcR9FSGqw4NJTY0Lak/JbdjYLd&#10;4tic377277tXfe2uq/6js1mh1GQ8bF5AeBr8v/jPfdBh/nL1BL/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JYjEAAAA3QAAAA8AAAAAAAAAAAAAAAAAmAIAAGRycy9k&#10;b3ducmV2LnhtbFBLBQYAAAAABAAEAPUAAACJAwAAAAA=&#10;" path="m,252r8484,l8484,,,,,252xe" fillcolor="lime" stroked="f">
                    <v:path arrowok="t" o:connecttype="custom" o:connectlocs="0,506;8484,506;8484,254;0,254;0,506" o:connectangles="0,0,0,0,0"/>
                  </v:shape>
                </v:group>
                <v:group id="Group 1671" o:spid="_x0000_s1355" style="position:absolute;top:506;width:8484;height:255" coordorigin=",506" coordsize="848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672" o:spid="_x0000_s1356" style="position:absolute;top:506;width:8484;height:255;visibility:visible;mso-wrap-style:square;v-text-anchor:top" coordsize="84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qNMQA&#10;AADdAAAADwAAAGRycy9kb3ducmV2LnhtbERP22oCMRB9L/gPYYS+1axCvWyNIkKLUKm49gOGzXSz&#10;dTNJk1S3f98UCr7N4Vxnue5tJy4UYutYwXhUgCCunW65UfB+en6Yg4gJWWPnmBT8UIT1anC3xFK7&#10;Kx/pUqVG5BCOJSowKflSylgbshhHzhNn7sMFiynD0Egd8JrDbScnRTGVFlvODQY9bQ3V5+rbKngb&#10;Hz79pPs6v+53L49hsa8OxldK3Q/7zROIRH26if/dO53nT2cz+Psmn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KjTEAAAA3QAAAA8AAAAAAAAAAAAAAAAAmAIAAGRycy9k&#10;b3ducmV2LnhtbFBLBQYAAAAABAAEAPUAAACJAwAAAAA=&#10;" path="m,255r8484,l8484,,,,,255xe" fillcolor="lime" stroked="f">
                    <v:path arrowok="t" o:connecttype="custom" o:connectlocs="0,761;8484,761;8484,506;0,506;0,761" o:connectangles="0,0,0,0,0"/>
                  </v:shape>
                </v:group>
                <v:group id="Group 1669" o:spid="_x0000_s1357" style="position:absolute;top:761;width:8484;height:252" coordorigin=",761"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670" o:spid="_x0000_s1358" style="position:absolute;top:761;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vjcQA&#10;AADdAAAADwAAAGRycy9kb3ducmV2LnhtbERPS2vCQBC+F/oflin0VjdV8JG6ioiCerFGweuYnSax&#10;2dmQ3Sbx37uC0Nt8fM+ZzjtTioZqV1hW8NmLQBCnVhecKTgd1x9jEM4jaywtk4IbOZjPXl+mGGvb&#10;8oGaxGcihLCLUUHufRVL6dKcDLqerYgD92Nrgz7AOpO6xjaEm1L2o2goDRYcGnKsaJlT+pv8GQWr&#10;waE67y7r/Wqrr8111H43NsmUen/rFl8gPHX+X/x0b3SYPxxN4P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L43EAAAA3QAAAA8AAAAAAAAAAAAAAAAAmAIAAGRycy9k&#10;b3ducmV2LnhtbFBLBQYAAAAABAAEAPUAAACJAwAAAAA=&#10;" path="m,252r8484,l8484,,,,,252xe" fillcolor="lime" stroked="f">
                    <v:path arrowok="t" o:connecttype="custom" o:connectlocs="0,1013;8484,1013;8484,761;0,761;0,1013" o:connectangles="0,0,0,0,0"/>
                  </v:shape>
                </v:group>
                <v:group id="Group 1667" o:spid="_x0000_s1359" style="position:absolute;top:1013;width:8484;height:252" coordorigin=",1013"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668" o:spid="_x0000_s1360" style="position:absolute;top:1013;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TrMMA&#10;AADdAAAADwAAAGRycy9kb3ducmV2LnhtbERPTWvCQBC9F/wPywje6kYFK9FVRBRsL9YoeB2zYxLN&#10;zobsmqT/visUepvH+5zFqjOlaKh2hWUFo2EEgji1uuBMwfm0e5+BcB5ZY2mZFPyQg9Wy97bAWNuW&#10;j9QkPhMhhF2MCnLvq1hKl+Zk0A1tRRy4m60N+gDrTOoa2xBuSjmOoqk0WHBoyLGiTU7pI3kaBdvJ&#10;sbp8XXeH7ae+N/eP9ruxSabUoN+t5yA8df5f/Ofe6zB/OhvB6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TrMMAAADdAAAADwAAAAAAAAAAAAAAAACYAgAAZHJzL2Rv&#10;d25yZXYueG1sUEsFBgAAAAAEAAQA9QAAAIgDAAAAAA==&#10;" path="m,252r8484,l8484,,,,,252xe" fillcolor="lime" stroked="f">
                    <v:path arrowok="t" o:connecttype="custom" o:connectlocs="0,1265;8484,1265;8484,1013;0,1013;0,1265" o:connectangles="0,0,0,0,0"/>
                  </v:shape>
                </v:group>
                <v:group id="Group 1664" o:spid="_x0000_s1361" style="position:absolute;top:1265;width:4071;height:255" coordorigin=",1265" coordsize="407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666" o:spid="_x0000_s1362" style="position:absolute;top:1265;width:4071;height:255;visibility:visible;mso-wrap-style:square;v-text-anchor:top" coordsize="407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9JMQA&#10;AADdAAAADwAAAGRycy9kb3ducmV2LnhtbESPQWvDMAyF74P+B6PCbovTjmUhi1tKoTTXZWVkNxGr&#10;SWgsB9tts38/Dwa7Sbyn9z2V29mM4kbOD5YVrJIUBHFr9cCdgtPH4SkH4QOyxtEyKfgmD9vN4qHE&#10;Qts7v9OtDp2IIewLVNCHMBVS+rYngz6xE3HUztYZDHF1ndQO7zHcjHKdppk0OHAk9DjRvqf2Ul9N&#10;5FYvQyPD57F6NVbWWTPq9Oug1ONy3r2BCDSHf/PfdaVj/Sx/ht9v4gh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vSTEAAAA3QAAAA8AAAAAAAAAAAAAAAAAmAIAAGRycy9k&#10;b3ducmV2LnhtbFBLBQYAAAAABAAEAPUAAACJAwAAAAA=&#10;" path="m,254r4070,l4070,,,,,254xe" fillcolor="lime" stroked="f">
                    <v:path arrowok="t" o:connecttype="custom" o:connectlocs="0,1519;4070,1519;4070,1265;0,1265;0,1519" o:connectangles="0,0,0,0,0"/>
                  </v:shape>
                  <v:shape id="Text Box 1665" o:spid="_x0000_s1363" type="#_x0000_t202" style="position:absolute;width:848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mGcMA&#10;AADdAAAADwAAAGRycy9kb3ducmV2LnhtbERPTWvCQBC9C/0PyxR6041S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mGcMAAADdAAAADwAAAAAAAAAAAAAAAACYAgAAZHJzL2Rv&#10;d25yZXYueG1sUEsFBgAAAAAEAAQA9QAAAIgDAAAAAA==&#10;" filled="f" stroked="f">
                    <v:textbox inset="0,0,0,0">
                      <w:txbxContent>
                        <w:p w:rsidR="005D2B81" w:rsidRDefault="005D2B81" w:rsidP="008918FA">
                          <w:pPr>
                            <w:jc w:val="both"/>
                            <w:rPr>
                              <w:rFonts w:ascii="Arial" w:eastAsia="Arial" w:hAnsi="Arial" w:cs="Arial"/>
                            </w:rPr>
                          </w:pPr>
                          <w:r>
                            <w:rPr>
                              <w:rFonts w:ascii="Arial" w:eastAsia="Arial" w:hAnsi="Arial" w:cs="Arial"/>
                              <w:b/>
                              <w:bCs/>
                              <w:i/>
                              <w:spacing w:val="-1"/>
                            </w:rPr>
                            <w:t>[Guidance</w:t>
                          </w:r>
                          <w:r>
                            <w:rPr>
                              <w:rFonts w:ascii="Arial" w:eastAsia="Arial" w:hAnsi="Arial" w:cs="Arial"/>
                              <w:b/>
                              <w:bCs/>
                              <w:i/>
                              <w:spacing w:val="35"/>
                            </w:rPr>
                            <w:t xml:space="preserve"> </w:t>
                          </w:r>
                          <w:r>
                            <w:rPr>
                              <w:rFonts w:ascii="Arial" w:eastAsia="Arial" w:hAnsi="Arial" w:cs="Arial"/>
                              <w:b/>
                              <w:bCs/>
                              <w:i/>
                              <w:spacing w:val="-1"/>
                            </w:rPr>
                            <w:t>Note:</w:t>
                          </w:r>
                          <w:r>
                            <w:rPr>
                              <w:rFonts w:ascii="Arial" w:eastAsia="Arial" w:hAnsi="Arial" w:cs="Arial"/>
                              <w:b/>
                              <w:bCs/>
                              <w:i/>
                              <w:spacing w:val="36"/>
                            </w:rPr>
                            <w:t xml:space="preserve"> </w:t>
                          </w:r>
                          <w:r>
                            <w:rPr>
                              <w:rFonts w:ascii="Arial" w:eastAsia="Arial" w:hAnsi="Arial" w:cs="Arial"/>
                              <w:b/>
                              <w:bCs/>
                              <w:i/>
                              <w:spacing w:val="-1"/>
                            </w:rPr>
                            <w:t>Consider</w:t>
                          </w:r>
                          <w:r>
                            <w:rPr>
                              <w:rFonts w:ascii="Arial" w:eastAsia="Arial" w:hAnsi="Arial" w:cs="Arial"/>
                              <w:b/>
                              <w:bCs/>
                              <w:i/>
                              <w:spacing w:val="36"/>
                            </w:rPr>
                            <w:t xml:space="preserve"> </w:t>
                          </w:r>
                          <w:r>
                            <w:rPr>
                              <w:rFonts w:ascii="Arial" w:eastAsia="Arial" w:hAnsi="Arial" w:cs="Arial"/>
                              <w:b/>
                              <w:bCs/>
                              <w:i/>
                              <w:spacing w:val="-1"/>
                            </w:rPr>
                            <w:t>the</w:t>
                          </w:r>
                          <w:r>
                            <w:rPr>
                              <w:rFonts w:ascii="Arial" w:eastAsia="Arial" w:hAnsi="Arial" w:cs="Arial"/>
                              <w:b/>
                              <w:bCs/>
                              <w:i/>
                              <w:spacing w:val="35"/>
                            </w:rPr>
                            <w:t xml:space="preserve"> </w:t>
                          </w:r>
                          <w:r>
                            <w:rPr>
                              <w:rFonts w:ascii="Arial" w:eastAsia="Arial" w:hAnsi="Arial" w:cs="Arial"/>
                              <w:b/>
                              <w:bCs/>
                              <w:i/>
                              <w:spacing w:val="-1"/>
                            </w:rPr>
                            <w:t>guidance</w:t>
                          </w:r>
                          <w:r>
                            <w:rPr>
                              <w:rFonts w:ascii="Arial" w:eastAsia="Arial" w:hAnsi="Arial" w:cs="Arial"/>
                              <w:b/>
                              <w:bCs/>
                              <w:i/>
                              <w:spacing w:val="35"/>
                            </w:rPr>
                            <w:t xml:space="preserve"> </w:t>
                          </w:r>
                          <w:r>
                            <w:rPr>
                              <w:rFonts w:ascii="Arial" w:eastAsia="Arial" w:hAnsi="Arial" w:cs="Arial"/>
                              <w:b/>
                              <w:bCs/>
                              <w:i/>
                              <w:spacing w:val="-1"/>
                            </w:rPr>
                            <w:t>note</w:t>
                          </w:r>
                          <w:r>
                            <w:rPr>
                              <w:rFonts w:ascii="Arial" w:eastAsia="Arial" w:hAnsi="Arial" w:cs="Arial"/>
                              <w:b/>
                              <w:bCs/>
                              <w:i/>
                              <w:spacing w:val="35"/>
                            </w:rPr>
                            <w:t xml:space="preserve"> </w:t>
                          </w:r>
                          <w:r>
                            <w:rPr>
                              <w:rFonts w:ascii="Arial" w:eastAsia="Arial" w:hAnsi="Arial" w:cs="Arial"/>
                              <w:b/>
                              <w:bCs/>
                              <w:i/>
                              <w:spacing w:val="-1"/>
                            </w:rPr>
                            <w:t>on</w:t>
                          </w:r>
                          <w:r>
                            <w:rPr>
                              <w:rFonts w:ascii="Arial" w:eastAsia="Arial" w:hAnsi="Arial" w:cs="Arial"/>
                              <w:b/>
                              <w:bCs/>
                              <w:i/>
                              <w:spacing w:val="36"/>
                            </w:rPr>
                            <w:t xml:space="preserve"> </w:t>
                          </w:r>
                          <w:r>
                            <w:rPr>
                              <w:rFonts w:ascii="Arial" w:eastAsia="Arial" w:hAnsi="Arial" w:cs="Arial"/>
                              <w:b/>
                              <w:bCs/>
                              <w:i/>
                              <w:spacing w:val="-1"/>
                            </w:rPr>
                            <w:t>Exit</w:t>
                          </w:r>
                          <w:r>
                            <w:rPr>
                              <w:rFonts w:ascii="Arial" w:eastAsia="Arial" w:hAnsi="Arial" w:cs="Arial"/>
                              <w:b/>
                              <w:bCs/>
                              <w:i/>
                              <w:spacing w:val="36"/>
                            </w:rPr>
                            <w:t xml:space="preserve"> </w:t>
                          </w:r>
                          <w:r>
                            <w:rPr>
                              <w:rFonts w:ascii="Arial" w:eastAsia="Arial" w:hAnsi="Arial" w:cs="Arial"/>
                              <w:b/>
                              <w:bCs/>
                              <w:i/>
                              <w:spacing w:val="-1"/>
                            </w:rPr>
                            <w:t>Management</w:t>
                          </w:r>
                          <w:r>
                            <w:rPr>
                              <w:rFonts w:ascii="Arial" w:eastAsia="Arial" w:hAnsi="Arial" w:cs="Arial"/>
                              <w:b/>
                              <w:bCs/>
                              <w:i/>
                              <w:spacing w:val="36"/>
                            </w:rPr>
                            <w:t xml:space="preserve"> </w:t>
                          </w:r>
                          <w:r>
                            <w:rPr>
                              <w:rFonts w:ascii="Arial" w:eastAsia="Arial" w:hAnsi="Arial" w:cs="Arial"/>
                              <w:b/>
                              <w:bCs/>
                              <w:i/>
                            </w:rPr>
                            <w:t>in</w:t>
                          </w:r>
                          <w:r>
                            <w:rPr>
                              <w:rFonts w:ascii="Arial" w:eastAsia="Arial" w:hAnsi="Arial" w:cs="Arial"/>
                              <w:b/>
                              <w:bCs/>
                              <w:i/>
                              <w:spacing w:val="32"/>
                            </w:rPr>
                            <w:t xml:space="preserve"> </w:t>
                          </w:r>
                          <w:r>
                            <w:rPr>
                              <w:rFonts w:ascii="Arial" w:eastAsia="Arial" w:hAnsi="Arial" w:cs="Arial"/>
                              <w:b/>
                              <w:bCs/>
                              <w:i/>
                              <w:spacing w:val="-1"/>
                            </w:rPr>
                            <w:t>the</w:t>
                          </w:r>
                          <w:r>
                            <w:rPr>
                              <w:rFonts w:ascii="Arial" w:eastAsia="Arial" w:hAnsi="Arial" w:cs="Arial"/>
                              <w:b/>
                              <w:bCs/>
                              <w:i/>
                              <w:spacing w:val="34"/>
                            </w:rPr>
                            <w:t xml:space="preserve"> </w:t>
                          </w:r>
                          <w:r>
                            <w:rPr>
                              <w:rFonts w:ascii="Arial" w:eastAsia="Arial" w:hAnsi="Arial" w:cs="Arial"/>
                              <w:b/>
                              <w:bCs/>
                              <w:i/>
                              <w:spacing w:val="-1"/>
                            </w:rPr>
                            <w:t>Template</w:t>
                          </w:r>
                          <w:r>
                            <w:rPr>
                              <w:rFonts w:ascii="Arial" w:eastAsia="Arial" w:hAnsi="Arial" w:cs="Arial"/>
                              <w:b/>
                              <w:bCs/>
                              <w:i/>
                              <w:spacing w:val="17"/>
                            </w:rPr>
                            <w:t xml:space="preserve"> </w:t>
                          </w:r>
                          <w:r>
                            <w:rPr>
                              <w:rFonts w:ascii="Arial" w:eastAsia="Arial" w:hAnsi="Arial" w:cs="Arial"/>
                              <w:b/>
                              <w:bCs/>
                              <w:i/>
                              <w:spacing w:val="-1"/>
                            </w:rPr>
                            <w:t>Order</w:t>
                          </w:r>
                          <w:r>
                            <w:rPr>
                              <w:rFonts w:ascii="Arial" w:eastAsia="Arial" w:hAnsi="Arial" w:cs="Arial"/>
                              <w:b/>
                              <w:bCs/>
                              <w:i/>
                              <w:spacing w:val="18"/>
                            </w:rPr>
                            <w:t xml:space="preserve"> </w:t>
                          </w:r>
                          <w:r>
                            <w:rPr>
                              <w:rFonts w:ascii="Arial" w:eastAsia="Arial" w:hAnsi="Arial" w:cs="Arial"/>
                              <w:b/>
                              <w:bCs/>
                              <w:i/>
                              <w:spacing w:val="-1"/>
                            </w:rPr>
                            <w:t>Form</w:t>
                          </w:r>
                          <w:r>
                            <w:rPr>
                              <w:rFonts w:ascii="Arial" w:eastAsia="Arial" w:hAnsi="Arial" w:cs="Arial"/>
                              <w:b/>
                              <w:bCs/>
                              <w:i/>
                              <w:spacing w:val="16"/>
                            </w:rPr>
                            <w:t xml:space="preserve"> </w:t>
                          </w:r>
                          <w:r>
                            <w:rPr>
                              <w:rFonts w:ascii="Arial" w:eastAsia="Arial" w:hAnsi="Arial" w:cs="Arial"/>
                              <w:b/>
                              <w:bCs/>
                              <w:i/>
                              <w:spacing w:val="-1"/>
                            </w:rPr>
                            <w:t>and</w:t>
                          </w:r>
                          <w:r>
                            <w:rPr>
                              <w:rFonts w:ascii="Arial" w:eastAsia="Arial" w:hAnsi="Arial" w:cs="Arial"/>
                              <w:b/>
                              <w:bCs/>
                              <w:i/>
                              <w:spacing w:val="17"/>
                            </w:rPr>
                            <w:t xml:space="preserve"> </w:t>
                          </w:r>
                          <w:r>
                            <w:rPr>
                              <w:rFonts w:ascii="Arial" w:eastAsia="Arial" w:hAnsi="Arial" w:cs="Arial"/>
                              <w:b/>
                              <w:bCs/>
                              <w:i/>
                              <w:spacing w:val="-1"/>
                            </w:rPr>
                            <w:t>Clause</w:t>
                          </w:r>
                          <w:r>
                            <w:rPr>
                              <w:rFonts w:ascii="Arial" w:eastAsia="Arial" w:hAnsi="Arial" w:cs="Arial"/>
                              <w:b/>
                              <w:bCs/>
                              <w:i/>
                              <w:spacing w:val="17"/>
                            </w:rPr>
                            <w:t xml:space="preserve"> </w:t>
                          </w:r>
                          <w:hyperlink w:anchor="_bookmark252" w:history="1">
                            <w:r>
                              <w:rPr>
                                <w:rFonts w:ascii="Arial" w:eastAsia="Arial" w:hAnsi="Arial" w:cs="Arial"/>
                                <w:b/>
                                <w:bCs/>
                                <w:i/>
                                <w:spacing w:val="-1"/>
                              </w:rPr>
                              <w:t>45.5</w:t>
                            </w:r>
                          </w:hyperlink>
                          <w:r>
                            <w:rPr>
                              <w:rFonts w:ascii="Arial" w:eastAsia="Arial" w:hAnsi="Arial" w:cs="Arial"/>
                              <w:b/>
                              <w:bCs/>
                              <w:i/>
                              <w:spacing w:val="17"/>
                            </w:rPr>
                            <w:t xml:space="preserve"> </w:t>
                          </w:r>
                          <w:r>
                            <w:rPr>
                              <w:rFonts w:ascii="Arial" w:eastAsia="Arial" w:hAnsi="Arial" w:cs="Arial"/>
                              <w:b/>
                              <w:bCs/>
                              <w:i/>
                              <w:spacing w:val="-2"/>
                            </w:rPr>
                            <w:t>of</w:t>
                          </w:r>
                          <w:r>
                            <w:rPr>
                              <w:rFonts w:ascii="Arial" w:eastAsia="Arial" w:hAnsi="Arial" w:cs="Arial"/>
                              <w:b/>
                              <w:bCs/>
                              <w:i/>
                              <w:spacing w:val="19"/>
                            </w:rPr>
                            <w:t xml:space="preserve"> </w:t>
                          </w:r>
                          <w:r>
                            <w:rPr>
                              <w:rFonts w:ascii="Arial" w:eastAsia="Arial" w:hAnsi="Arial" w:cs="Arial"/>
                              <w:b/>
                              <w:bCs/>
                              <w:i/>
                              <w:spacing w:val="-1"/>
                            </w:rPr>
                            <w:t>the</w:t>
                          </w:r>
                          <w:r>
                            <w:rPr>
                              <w:rFonts w:ascii="Arial" w:eastAsia="Arial" w:hAnsi="Arial" w:cs="Arial"/>
                              <w:b/>
                              <w:bCs/>
                              <w:i/>
                              <w:spacing w:val="15"/>
                            </w:rPr>
                            <w:t xml:space="preserve"> </w:t>
                          </w:r>
                          <w:r>
                            <w:rPr>
                              <w:rFonts w:ascii="Arial" w:eastAsia="Arial" w:hAnsi="Arial" w:cs="Arial"/>
                              <w:b/>
                              <w:bCs/>
                              <w:i/>
                              <w:spacing w:val="-1"/>
                            </w:rPr>
                            <w:t>Template</w:t>
                          </w:r>
                          <w:r>
                            <w:rPr>
                              <w:rFonts w:ascii="Arial" w:eastAsia="Arial" w:hAnsi="Arial" w:cs="Arial"/>
                              <w:b/>
                              <w:bCs/>
                              <w:i/>
                              <w:spacing w:val="17"/>
                            </w:rPr>
                            <w:t xml:space="preserve"> </w:t>
                          </w:r>
                          <w:r>
                            <w:rPr>
                              <w:rFonts w:ascii="Arial" w:eastAsia="Arial" w:hAnsi="Arial" w:cs="Arial"/>
                              <w:b/>
                              <w:bCs/>
                              <w:i/>
                              <w:spacing w:val="-2"/>
                            </w:rPr>
                            <w:t>Call</w:t>
                          </w:r>
                          <w:r>
                            <w:rPr>
                              <w:rFonts w:ascii="Arial" w:eastAsia="Arial" w:hAnsi="Arial" w:cs="Arial"/>
                              <w:b/>
                              <w:bCs/>
                              <w:i/>
                              <w:spacing w:val="19"/>
                            </w:rPr>
                            <w:t xml:space="preserve"> </w:t>
                          </w:r>
                          <w:r>
                            <w:rPr>
                              <w:rFonts w:ascii="Arial" w:eastAsia="Arial" w:hAnsi="Arial" w:cs="Arial"/>
                              <w:b/>
                              <w:bCs/>
                              <w:i/>
                              <w:spacing w:val="-1"/>
                            </w:rPr>
                            <w:t>Off</w:t>
                          </w:r>
                          <w:r>
                            <w:rPr>
                              <w:rFonts w:ascii="Arial" w:eastAsia="Arial" w:hAnsi="Arial" w:cs="Arial"/>
                              <w:b/>
                              <w:bCs/>
                              <w:i/>
                              <w:spacing w:val="16"/>
                            </w:rPr>
                            <w:t xml:space="preserve"> </w:t>
                          </w:r>
                          <w:r>
                            <w:rPr>
                              <w:rFonts w:ascii="Arial" w:eastAsia="Arial" w:hAnsi="Arial" w:cs="Arial"/>
                              <w:b/>
                              <w:bCs/>
                              <w:i/>
                              <w:spacing w:val="-1"/>
                            </w:rPr>
                            <w:t>Terms.</w:t>
                          </w:r>
                          <w:r>
                            <w:rPr>
                              <w:rFonts w:ascii="Arial" w:eastAsia="Arial" w:hAnsi="Arial" w:cs="Arial"/>
                              <w:b/>
                              <w:bCs/>
                              <w:i/>
                              <w:spacing w:val="19"/>
                            </w:rPr>
                            <w:t xml:space="preserve"> </w:t>
                          </w:r>
                          <w:r>
                            <w:rPr>
                              <w:rFonts w:ascii="Arial" w:eastAsia="Arial" w:hAnsi="Arial" w:cs="Arial"/>
                              <w:b/>
                              <w:bCs/>
                              <w:i/>
                              <w:spacing w:val="-1"/>
                            </w:rPr>
                            <w:t>This</w:t>
                          </w:r>
                          <w:r>
                            <w:rPr>
                              <w:rFonts w:ascii="Arial" w:eastAsia="Arial" w:hAnsi="Arial" w:cs="Arial"/>
                              <w:b/>
                              <w:bCs/>
                              <w:i/>
                              <w:spacing w:val="17"/>
                            </w:rPr>
                            <w:t xml:space="preserve"> </w:t>
                          </w:r>
                          <w:r>
                            <w:rPr>
                              <w:rFonts w:ascii="Arial" w:eastAsia="Arial" w:hAnsi="Arial" w:cs="Arial"/>
                              <w:b/>
                              <w:bCs/>
                              <w:i/>
                              <w:spacing w:val="-2"/>
                            </w:rPr>
                            <w:t>Call</w:t>
                          </w:r>
                          <w:r>
                            <w:rPr>
                              <w:rFonts w:ascii="Arial" w:eastAsia="Arial" w:hAnsi="Arial" w:cs="Arial"/>
                              <w:b/>
                              <w:bCs/>
                              <w:i/>
                              <w:spacing w:val="51"/>
                            </w:rPr>
                            <w:t xml:space="preserve"> </w:t>
                          </w:r>
                          <w:r>
                            <w:rPr>
                              <w:rFonts w:ascii="Arial" w:eastAsia="Arial" w:hAnsi="Arial" w:cs="Arial"/>
                              <w:b/>
                              <w:bCs/>
                              <w:i/>
                              <w:spacing w:val="-1"/>
                            </w:rPr>
                            <w:t>Off</w:t>
                          </w:r>
                          <w:r>
                            <w:rPr>
                              <w:rFonts w:ascii="Arial" w:eastAsia="Arial" w:hAnsi="Arial" w:cs="Arial"/>
                              <w:b/>
                              <w:bCs/>
                              <w:i/>
                              <w:spacing w:val="21"/>
                            </w:rPr>
                            <w:t xml:space="preserve"> </w:t>
                          </w:r>
                          <w:r>
                            <w:rPr>
                              <w:rFonts w:ascii="Arial" w:eastAsia="Arial" w:hAnsi="Arial" w:cs="Arial"/>
                              <w:b/>
                              <w:bCs/>
                              <w:i/>
                              <w:spacing w:val="-1"/>
                            </w:rPr>
                            <w:t>Schedule</w:t>
                          </w:r>
                          <w:r>
                            <w:rPr>
                              <w:rFonts w:ascii="Arial" w:eastAsia="Arial" w:hAnsi="Arial" w:cs="Arial"/>
                              <w:b/>
                              <w:bCs/>
                              <w:i/>
                              <w:spacing w:val="20"/>
                            </w:rPr>
                            <w:t xml:space="preserve"> </w:t>
                          </w:r>
                          <w:r>
                            <w:rPr>
                              <w:rFonts w:ascii="Arial" w:eastAsia="Arial" w:hAnsi="Arial" w:cs="Arial"/>
                              <w:b/>
                              <w:bCs/>
                              <w:i/>
                            </w:rPr>
                            <w:t>is</w:t>
                          </w:r>
                          <w:r>
                            <w:rPr>
                              <w:rFonts w:ascii="Arial" w:eastAsia="Arial" w:hAnsi="Arial" w:cs="Arial"/>
                              <w:b/>
                              <w:bCs/>
                              <w:i/>
                              <w:spacing w:val="19"/>
                            </w:rPr>
                            <w:t xml:space="preserve"> </w:t>
                          </w:r>
                          <w:r>
                            <w:rPr>
                              <w:rFonts w:ascii="Arial" w:eastAsia="Arial" w:hAnsi="Arial" w:cs="Arial"/>
                              <w:b/>
                              <w:bCs/>
                              <w:i/>
                              <w:spacing w:val="-1"/>
                            </w:rPr>
                            <w:t>likely</w:t>
                          </w:r>
                          <w:r>
                            <w:rPr>
                              <w:rFonts w:ascii="Arial" w:eastAsia="Arial" w:hAnsi="Arial" w:cs="Arial"/>
                              <w:b/>
                              <w:bCs/>
                              <w:i/>
                              <w:spacing w:val="20"/>
                            </w:rPr>
                            <w:t xml:space="preserve"> </w:t>
                          </w:r>
                          <w:r>
                            <w:rPr>
                              <w:rFonts w:ascii="Arial" w:eastAsia="Arial" w:hAnsi="Arial" w:cs="Arial"/>
                              <w:b/>
                              <w:bCs/>
                              <w:i/>
                              <w:spacing w:val="-1"/>
                            </w:rPr>
                            <w:t>to</w:t>
                          </w:r>
                          <w:r>
                            <w:rPr>
                              <w:rFonts w:ascii="Arial" w:eastAsia="Arial" w:hAnsi="Arial" w:cs="Arial"/>
                              <w:b/>
                              <w:bCs/>
                              <w:i/>
                              <w:spacing w:val="20"/>
                            </w:rPr>
                            <w:t xml:space="preserve"> </w:t>
                          </w:r>
                          <w:r>
                            <w:rPr>
                              <w:rFonts w:ascii="Arial" w:eastAsia="Arial" w:hAnsi="Arial" w:cs="Arial"/>
                              <w:b/>
                              <w:bCs/>
                              <w:i/>
                              <w:spacing w:val="-1"/>
                            </w:rPr>
                            <w:t>be</w:t>
                          </w:r>
                          <w:r>
                            <w:rPr>
                              <w:rFonts w:ascii="Arial" w:eastAsia="Arial" w:hAnsi="Arial" w:cs="Arial"/>
                              <w:b/>
                              <w:bCs/>
                              <w:i/>
                              <w:spacing w:val="20"/>
                            </w:rPr>
                            <w:t xml:space="preserve"> </w:t>
                          </w:r>
                          <w:r>
                            <w:rPr>
                              <w:rFonts w:ascii="Arial" w:eastAsia="Arial" w:hAnsi="Arial" w:cs="Arial"/>
                              <w:b/>
                              <w:bCs/>
                              <w:i/>
                              <w:spacing w:val="-1"/>
                            </w:rPr>
                            <w:t>relevant</w:t>
                          </w:r>
                          <w:r>
                            <w:rPr>
                              <w:rFonts w:ascii="Arial" w:eastAsia="Arial" w:hAnsi="Arial" w:cs="Arial"/>
                              <w:b/>
                              <w:bCs/>
                              <w:i/>
                              <w:spacing w:val="21"/>
                            </w:rPr>
                            <w:t xml:space="preserve"> </w:t>
                          </w:r>
                          <w:r>
                            <w:rPr>
                              <w:rFonts w:ascii="Arial" w:eastAsia="Arial" w:hAnsi="Arial" w:cs="Arial"/>
                              <w:b/>
                              <w:bCs/>
                              <w:i/>
                            </w:rPr>
                            <w:t>in</w:t>
                          </w:r>
                          <w:r>
                            <w:rPr>
                              <w:rFonts w:ascii="Arial" w:eastAsia="Arial" w:hAnsi="Arial" w:cs="Arial"/>
                              <w:b/>
                              <w:bCs/>
                              <w:i/>
                              <w:spacing w:val="20"/>
                            </w:rPr>
                            <w:t xml:space="preserve"> </w:t>
                          </w:r>
                          <w:r>
                            <w:rPr>
                              <w:rFonts w:ascii="Arial" w:eastAsia="Arial" w:hAnsi="Arial" w:cs="Arial"/>
                              <w:b/>
                              <w:bCs/>
                              <w:i/>
                              <w:spacing w:val="-1"/>
                            </w:rPr>
                            <w:t>the</w:t>
                          </w:r>
                          <w:r>
                            <w:rPr>
                              <w:rFonts w:ascii="Arial" w:eastAsia="Arial" w:hAnsi="Arial" w:cs="Arial"/>
                              <w:b/>
                              <w:bCs/>
                              <w:i/>
                              <w:spacing w:val="20"/>
                            </w:rPr>
                            <w:t xml:space="preserve"> </w:t>
                          </w:r>
                          <w:r>
                            <w:rPr>
                              <w:rFonts w:ascii="Arial" w:eastAsia="Arial" w:hAnsi="Arial" w:cs="Arial"/>
                              <w:b/>
                              <w:bCs/>
                              <w:i/>
                              <w:spacing w:val="-1"/>
                            </w:rPr>
                            <w:t>context</w:t>
                          </w:r>
                          <w:r>
                            <w:rPr>
                              <w:rFonts w:ascii="Arial" w:eastAsia="Arial" w:hAnsi="Arial" w:cs="Arial"/>
                              <w:b/>
                              <w:bCs/>
                              <w:i/>
                              <w:spacing w:val="21"/>
                            </w:rPr>
                            <w:t xml:space="preserve"> </w:t>
                          </w:r>
                          <w:r>
                            <w:rPr>
                              <w:rFonts w:ascii="Arial" w:eastAsia="Arial" w:hAnsi="Arial" w:cs="Arial"/>
                              <w:b/>
                              <w:bCs/>
                              <w:i/>
                              <w:spacing w:val="-1"/>
                            </w:rPr>
                            <w:t>of</w:t>
                          </w:r>
                          <w:r>
                            <w:rPr>
                              <w:rFonts w:ascii="Arial" w:eastAsia="Arial" w:hAnsi="Arial" w:cs="Arial"/>
                              <w:b/>
                              <w:bCs/>
                              <w:i/>
                              <w:spacing w:val="21"/>
                            </w:rPr>
                            <w:t xml:space="preserve"> </w:t>
                          </w:r>
                          <w:r>
                            <w:rPr>
                              <w:rFonts w:ascii="Arial" w:eastAsia="Arial" w:hAnsi="Arial" w:cs="Arial"/>
                              <w:b/>
                              <w:bCs/>
                              <w:i/>
                              <w:spacing w:val="-1"/>
                            </w:rPr>
                            <w:t>procuring</w:t>
                          </w:r>
                          <w:r>
                            <w:rPr>
                              <w:rFonts w:ascii="Arial" w:eastAsia="Arial" w:hAnsi="Arial" w:cs="Arial"/>
                              <w:b/>
                              <w:bCs/>
                              <w:i/>
                              <w:spacing w:val="20"/>
                            </w:rPr>
                            <w:t xml:space="preserve"> </w:t>
                          </w:r>
                          <w:r>
                            <w:rPr>
                              <w:rFonts w:ascii="Arial" w:eastAsia="Arial" w:hAnsi="Arial" w:cs="Arial"/>
                              <w:b/>
                              <w:bCs/>
                              <w:i/>
                              <w:spacing w:val="-1"/>
                            </w:rPr>
                            <w:t>Services</w:t>
                          </w:r>
                          <w:r>
                            <w:rPr>
                              <w:rFonts w:ascii="Arial" w:eastAsia="Arial" w:hAnsi="Arial" w:cs="Arial"/>
                              <w:b/>
                              <w:bCs/>
                              <w:i/>
                              <w:spacing w:val="20"/>
                            </w:rPr>
                            <w:t xml:space="preserve"> </w:t>
                          </w:r>
                          <w:r>
                            <w:rPr>
                              <w:rFonts w:ascii="Arial" w:eastAsia="Arial" w:hAnsi="Arial" w:cs="Arial"/>
                              <w:b/>
                              <w:bCs/>
                              <w:i/>
                              <w:spacing w:val="-1"/>
                            </w:rPr>
                            <w:t>rather</w:t>
                          </w:r>
                          <w:r>
                            <w:rPr>
                              <w:rFonts w:ascii="Arial" w:eastAsia="Arial" w:hAnsi="Arial" w:cs="Arial"/>
                              <w:b/>
                              <w:bCs/>
                              <w:i/>
                              <w:spacing w:val="58"/>
                            </w:rPr>
                            <w:t xml:space="preserve"> </w:t>
                          </w:r>
                          <w:r>
                            <w:rPr>
                              <w:rFonts w:ascii="Arial" w:eastAsia="Arial" w:hAnsi="Arial" w:cs="Arial"/>
                              <w:b/>
                              <w:bCs/>
                              <w:i/>
                              <w:spacing w:val="-1"/>
                            </w:rPr>
                            <w:t>than</w:t>
                          </w:r>
                          <w:r>
                            <w:rPr>
                              <w:rFonts w:ascii="Arial" w:eastAsia="Arial" w:hAnsi="Arial" w:cs="Arial"/>
                              <w:b/>
                              <w:bCs/>
                              <w:i/>
                              <w:spacing w:val="27"/>
                            </w:rPr>
                            <w:t xml:space="preserve"> </w:t>
                          </w:r>
                          <w:r>
                            <w:rPr>
                              <w:rFonts w:ascii="Arial" w:eastAsia="Arial" w:hAnsi="Arial" w:cs="Arial"/>
                              <w:b/>
                              <w:bCs/>
                              <w:i/>
                              <w:spacing w:val="-1"/>
                            </w:rPr>
                            <w:t>Goods</w:t>
                          </w:r>
                          <w:r>
                            <w:rPr>
                              <w:rFonts w:ascii="Arial" w:eastAsia="Arial" w:hAnsi="Arial" w:cs="Arial"/>
                              <w:b/>
                              <w:bCs/>
                              <w:i/>
                              <w:spacing w:val="27"/>
                            </w:rPr>
                            <w:t xml:space="preserve"> </w:t>
                          </w:r>
                          <w:r>
                            <w:rPr>
                              <w:rFonts w:ascii="Arial" w:eastAsia="Arial" w:hAnsi="Arial" w:cs="Arial"/>
                              <w:b/>
                              <w:bCs/>
                              <w:i/>
                              <w:spacing w:val="-1"/>
                            </w:rPr>
                            <w:t>only,</w:t>
                          </w:r>
                          <w:r>
                            <w:rPr>
                              <w:rFonts w:ascii="Arial" w:eastAsia="Arial" w:hAnsi="Arial" w:cs="Arial"/>
                              <w:b/>
                              <w:bCs/>
                              <w:i/>
                              <w:spacing w:val="28"/>
                            </w:rPr>
                            <w:t xml:space="preserve"> </w:t>
                          </w:r>
                          <w:r>
                            <w:rPr>
                              <w:rFonts w:ascii="Arial" w:eastAsia="Arial" w:hAnsi="Arial" w:cs="Arial"/>
                              <w:b/>
                              <w:bCs/>
                              <w:i/>
                              <w:spacing w:val="-1"/>
                            </w:rPr>
                            <w:t>with</w:t>
                          </w:r>
                          <w:r>
                            <w:rPr>
                              <w:rFonts w:ascii="Arial" w:eastAsia="Arial" w:hAnsi="Arial" w:cs="Arial"/>
                              <w:b/>
                              <w:bCs/>
                              <w:i/>
                              <w:spacing w:val="24"/>
                            </w:rPr>
                            <w:t xml:space="preserve"> </w:t>
                          </w:r>
                          <w:r>
                            <w:rPr>
                              <w:rFonts w:ascii="Arial" w:eastAsia="Arial" w:hAnsi="Arial" w:cs="Arial"/>
                              <w:b/>
                              <w:bCs/>
                              <w:i/>
                              <w:spacing w:val="-1"/>
                            </w:rPr>
                            <w:t>emphasis</w:t>
                          </w:r>
                          <w:r>
                            <w:rPr>
                              <w:rFonts w:ascii="Arial" w:eastAsia="Arial" w:hAnsi="Arial" w:cs="Arial"/>
                              <w:b/>
                              <w:bCs/>
                              <w:i/>
                              <w:spacing w:val="27"/>
                            </w:rPr>
                            <w:t xml:space="preserve"> </w:t>
                          </w:r>
                          <w:r>
                            <w:rPr>
                              <w:rFonts w:ascii="Arial" w:eastAsia="Arial" w:hAnsi="Arial" w:cs="Arial"/>
                              <w:b/>
                              <w:bCs/>
                              <w:i/>
                              <w:spacing w:val="-1"/>
                            </w:rPr>
                            <w:t>on</w:t>
                          </w:r>
                          <w:r>
                            <w:rPr>
                              <w:rFonts w:ascii="Arial" w:eastAsia="Arial" w:hAnsi="Arial" w:cs="Arial"/>
                              <w:b/>
                              <w:bCs/>
                              <w:i/>
                              <w:spacing w:val="27"/>
                            </w:rPr>
                            <w:t xml:space="preserve"> </w:t>
                          </w:r>
                          <w:r>
                            <w:rPr>
                              <w:rFonts w:ascii="Arial" w:eastAsia="Arial" w:hAnsi="Arial" w:cs="Arial"/>
                              <w:b/>
                              <w:bCs/>
                              <w:i/>
                              <w:spacing w:val="-1"/>
                            </w:rPr>
                            <w:t>ongoing</w:t>
                          </w:r>
                          <w:r>
                            <w:rPr>
                              <w:rFonts w:ascii="Arial" w:eastAsia="Arial" w:hAnsi="Arial" w:cs="Arial"/>
                              <w:b/>
                              <w:bCs/>
                              <w:i/>
                              <w:spacing w:val="24"/>
                            </w:rPr>
                            <w:t xml:space="preserve"> </w:t>
                          </w:r>
                          <w:r>
                            <w:rPr>
                              <w:rFonts w:ascii="Arial" w:eastAsia="Arial" w:hAnsi="Arial" w:cs="Arial"/>
                              <w:b/>
                              <w:bCs/>
                              <w:i/>
                              <w:spacing w:val="-1"/>
                            </w:rPr>
                            <w:t>Services.</w:t>
                          </w:r>
                          <w:r>
                            <w:rPr>
                              <w:rFonts w:ascii="Arial" w:eastAsia="Arial" w:hAnsi="Arial" w:cs="Arial"/>
                              <w:b/>
                              <w:bCs/>
                              <w:i/>
                              <w:spacing w:val="28"/>
                            </w:rPr>
                            <w:t xml:space="preserve"> </w:t>
                          </w:r>
                          <w:r>
                            <w:rPr>
                              <w:rFonts w:ascii="Arial" w:eastAsia="Arial" w:hAnsi="Arial" w:cs="Arial"/>
                              <w:b/>
                              <w:bCs/>
                              <w:i/>
                              <w:spacing w:val="-1"/>
                            </w:rPr>
                            <w:t>Switch</w:t>
                          </w:r>
                          <w:r>
                            <w:rPr>
                              <w:rFonts w:ascii="Arial" w:eastAsia="Arial" w:hAnsi="Arial" w:cs="Arial"/>
                              <w:b/>
                              <w:bCs/>
                              <w:i/>
                              <w:spacing w:val="27"/>
                            </w:rPr>
                            <w:t xml:space="preserve"> </w:t>
                          </w:r>
                          <w:r>
                            <w:rPr>
                              <w:rFonts w:ascii="Arial" w:eastAsia="Arial" w:hAnsi="Arial" w:cs="Arial"/>
                              <w:b/>
                              <w:bCs/>
                              <w:i/>
                            </w:rPr>
                            <w:t>to</w:t>
                          </w:r>
                          <w:r>
                            <w:rPr>
                              <w:rFonts w:ascii="Arial" w:eastAsia="Arial" w:hAnsi="Arial" w:cs="Arial"/>
                              <w:b/>
                              <w:bCs/>
                              <w:i/>
                              <w:spacing w:val="27"/>
                            </w:rPr>
                            <w:t xml:space="preserve"> </w:t>
                          </w:r>
                          <w:r>
                            <w:rPr>
                              <w:rFonts w:ascii="Arial" w:eastAsia="Arial" w:hAnsi="Arial" w:cs="Arial"/>
                              <w:b/>
                              <w:bCs/>
                              <w:i/>
                              <w:spacing w:val="-2"/>
                            </w:rPr>
                            <w:t>“Not</w:t>
                          </w:r>
                          <w:r>
                            <w:rPr>
                              <w:rFonts w:ascii="Arial" w:eastAsia="Arial" w:hAnsi="Arial" w:cs="Arial"/>
                              <w:b/>
                              <w:bCs/>
                              <w:i/>
                              <w:spacing w:val="28"/>
                            </w:rPr>
                            <w:t xml:space="preserve"> </w:t>
                          </w:r>
                          <w:r>
                            <w:rPr>
                              <w:rFonts w:ascii="Arial" w:eastAsia="Arial" w:hAnsi="Arial" w:cs="Arial"/>
                              <w:b/>
                              <w:bCs/>
                              <w:i/>
                              <w:spacing w:val="-1"/>
                            </w:rPr>
                            <w:t>Used”</w:t>
                          </w:r>
                          <w:r>
                            <w:rPr>
                              <w:rFonts w:ascii="Arial" w:eastAsia="Arial" w:hAnsi="Arial" w:cs="Arial"/>
                              <w:b/>
                              <w:bCs/>
                              <w:i/>
                              <w:spacing w:val="27"/>
                            </w:rPr>
                            <w:t xml:space="preserve"> </w:t>
                          </w:r>
                          <w:r>
                            <w:rPr>
                              <w:rFonts w:ascii="Arial" w:eastAsia="Arial" w:hAnsi="Arial" w:cs="Arial"/>
                              <w:b/>
                              <w:bCs/>
                              <w:i/>
                            </w:rPr>
                            <w:t>if</w:t>
                          </w:r>
                          <w:r>
                            <w:rPr>
                              <w:rFonts w:ascii="Arial" w:eastAsia="Arial" w:hAnsi="Arial" w:cs="Arial"/>
                              <w:b/>
                              <w:bCs/>
                              <w:i/>
                              <w:spacing w:val="55"/>
                            </w:rPr>
                            <w:t xml:space="preserve"> </w:t>
                          </w:r>
                          <w:r>
                            <w:rPr>
                              <w:rFonts w:ascii="Arial" w:eastAsia="Arial" w:hAnsi="Arial" w:cs="Arial"/>
                              <w:b/>
                              <w:bCs/>
                              <w:i/>
                              <w:spacing w:val="-1"/>
                            </w:rPr>
                            <w:t>not</w:t>
                          </w:r>
                          <w:r>
                            <w:rPr>
                              <w:rFonts w:ascii="Arial" w:eastAsia="Arial" w:hAnsi="Arial" w:cs="Arial"/>
                              <w:b/>
                              <w:bCs/>
                              <w:i/>
                              <w:spacing w:val="59"/>
                            </w:rPr>
                            <w:t xml:space="preserve"> </w:t>
                          </w:r>
                          <w:r>
                            <w:rPr>
                              <w:rFonts w:ascii="Arial" w:eastAsia="Arial" w:hAnsi="Arial" w:cs="Arial"/>
                              <w:b/>
                              <w:bCs/>
                              <w:i/>
                              <w:spacing w:val="-1"/>
                            </w:rPr>
                            <w:t>required;</w:t>
                          </w:r>
                          <w:r>
                            <w:rPr>
                              <w:rFonts w:ascii="Arial" w:eastAsia="Arial" w:hAnsi="Arial" w:cs="Arial"/>
                              <w:b/>
                              <w:bCs/>
                              <w:i/>
                              <w:spacing w:val="59"/>
                            </w:rPr>
                            <w:t xml:space="preserve"> </w:t>
                          </w:r>
                          <w:r>
                            <w:rPr>
                              <w:rFonts w:ascii="Arial" w:eastAsia="Arial" w:hAnsi="Arial" w:cs="Arial"/>
                              <w:b/>
                              <w:bCs/>
                              <w:i/>
                              <w:spacing w:val="-1"/>
                            </w:rPr>
                            <w:t>or</w:t>
                          </w:r>
                          <w:r>
                            <w:rPr>
                              <w:rFonts w:ascii="Arial" w:eastAsia="Arial" w:hAnsi="Arial" w:cs="Arial"/>
                              <w:b/>
                              <w:bCs/>
                              <w:i/>
                              <w:spacing w:val="59"/>
                            </w:rPr>
                            <w:t xml:space="preserve"> </w:t>
                          </w:r>
                          <w:r>
                            <w:rPr>
                              <w:rFonts w:ascii="Arial" w:eastAsia="Arial" w:hAnsi="Arial" w:cs="Arial"/>
                              <w:b/>
                              <w:bCs/>
                              <w:i/>
                              <w:spacing w:val="-1"/>
                            </w:rPr>
                            <w:t>retain</w:t>
                          </w:r>
                          <w:r>
                            <w:rPr>
                              <w:rFonts w:ascii="Arial" w:eastAsia="Arial" w:hAnsi="Arial" w:cs="Arial"/>
                              <w:b/>
                              <w:bCs/>
                              <w:i/>
                              <w:spacing w:val="58"/>
                            </w:rPr>
                            <w:t xml:space="preserve"> </w:t>
                          </w:r>
                          <w:r>
                            <w:rPr>
                              <w:rFonts w:ascii="Arial" w:eastAsia="Arial" w:hAnsi="Arial" w:cs="Arial"/>
                              <w:b/>
                              <w:bCs/>
                              <w:i/>
                              <w:spacing w:val="-1"/>
                            </w:rPr>
                            <w:t>and</w:t>
                          </w:r>
                          <w:r>
                            <w:rPr>
                              <w:rFonts w:ascii="Arial" w:eastAsia="Arial" w:hAnsi="Arial" w:cs="Arial"/>
                              <w:b/>
                              <w:bCs/>
                              <w:i/>
                              <w:spacing w:val="58"/>
                            </w:rPr>
                            <w:t xml:space="preserve"> </w:t>
                          </w:r>
                          <w:r>
                            <w:rPr>
                              <w:rFonts w:ascii="Arial" w:eastAsia="Arial" w:hAnsi="Arial" w:cs="Arial"/>
                              <w:b/>
                              <w:bCs/>
                              <w:i/>
                              <w:spacing w:val="-1"/>
                            </w:rPr>
                            <w:t>refine</w:t>
                          </w:r>
                          <w:r>
                            <w:rPr>
                              <w:rFonts w:ascii="Arial" w:eastAsia="Arial" w:hAnsi="Arial" w:cs="Arial"/>
                              <w:b/>
                              <w:bCs/>
                              <w:i/>
                              <w:spacing w:val="58"/>
                            </w:rPr>
                            <w:t xml:space="preserve"> </w:t>
                          </w:r>
                          <w:r>
                            <w:rPr>
                              <w:rFonts w:ascii="Arial" w:eastAsia="Arial" w:hAnsi="Arial" w:cs="Arial"/>
                              <w:b/>
                              <w:bCs/>
                              <w:i/>
                              <w:spacing w:val="-1"/>
                            </w:rPr>
                            <w:t>the</w:t>
                          </w:r>
                          <w:r>
                            <w:rPr>
                              <w:rFonts w:ascii="Arial" w:eastAsia="Arial" w:hAnsi="Arial" w:cs="Arial"/>
                              <w:b/>
                              <w:bCs/>
                              <w:i/>
                              <w:spacing w:val="59"/>
                            </w:rPr>
                            <w:t xml:space="preserve"> </w:t>
                          </w:r>
                          <w:r>
                            <w:rPr>
                              <w:rFonts w:ascii="Arial" w:eastAsia="Arial" w:hAnsi="Arial" w:cs="Arial"/>
                              <w:b/>
                              <w:bCs/>
                              <w:i/>
                              <w:spacing w:val="-1"/>
                            </w:rPr>
                            <w:t>parts</w:t>
                          </w:r>
                          <w:r>
                            <w:rPr>
                              <w:rFonts w:ascii="Arial" w:eastAsia="Arial" w:hAnsi="Arial" w:cs="Arial"/>
                              <w:b/>
                              <w:bCs/>
                              <w:i/>
                              <w:spacing w:val="58"/>
                            </w:rPr>
                            <w:t xml:space="preserve"> </w:t>
                          </w:r>
                          <w:r>
                            <w:rPr>
                              <w:rFonts w:ascii="Arial" w:eastAsia="Arial" w:hAnsi="Arial" w:cs="Arial"/>
                              <w:b/>
                              <w:bCs/>
                              <w:i/>
                              <w:spacing w:val="-1"/>
                            </w:rPr>
                            <w:t>relevant</w:t>
                          </w:r>
                          <w:r>
                            <w:rPr>
                              <w:rFonts w:ascii="Arial" w:eastAsia="Arial" w:hAnsi="Arial" w:cs="Arial"/>
                              <w:b/>
                              <w:bCs/>
                              <w:i/>
                              <w:spacing w:val="59"/>
                            </w:rPr>
                            <w:t xml:space="preserve"> </w:t>
                          </w:r>
                          <w:r>
                            <w:rPr>
                              <w:rFonts w:ascii="Arial" w:eastAsia="Arial" w:hAnsi="Arial" w:cs="Arial"/>
                              <w:b/>
                              <w:bCs/>
                              <w:i/>
                            </w:rPr>
                            <w:t>to</w:t>
                          </w:r>
                          <w:r>
                            <w:rPr>
                              <w:rFonts w:ascii="Arial" w:eastAsia="Arial" w:hAnsi="Arial" w:cs="Arial"/>
                              <w:b/>
                              <w:bCs/>
                              <w:i/>
                              <w:spacing w:val="58"/>
                            </w:rPr>
                            <w:t xml:space="preserve"> </w:t>
                          </w:r>
                          <w:r>
                            <w:rPr>
                              <w:rFonts w:ascii="Arial" w:eastAsia="Arial" w:hAnsi="Arial" w:cs="Arial"/>
                              <w:b/>
                              <w:bCs/>
                              <w:i/>
                              <w:spacing w:val="-1"/>
                            </w:rPr>
                            <w:t>your</w:t>
                          </w:r>
                          <w:r>
                            <w:rPr>
                              <w:rFonts w:ascii="Arial" w:eastAsia="Arial" w:hAnsi="Arial" w:cs="Arial"/>
                              <w:b/>
                              <w:bCs/>
                              <w:i/>
                              <w:spacing w:val="59"/>
                            </w:rPr>
                            <w:t xml:space="preserve"> </w:t>
                          </w:r>
                          <w:r>
                            <w:rPr>
                              <w:rFonts w:ascii="Arial" w:eastAsia="Arial" w:hAnsi="Arial" w:cs="Arial"/>
                              <w:b/>
                              <w:bCs/>
                              <w:i/>
                              <w:spacing w:val="-1"/>
                            </w:rPr>
                            <w:t>requirements</w:t>
                          </w:r>
                          <w:r>
                            <w:rPr>
                              <w:rFonts w:ascii="Arial" w:eastAsia="Arial" w:hAnsi="Arial" w:cs="Arial"/>
                              <w:b/>
                              <w:bCs/>
                              <w:i/>
                              <w:spacing w:val="58"/>
                            </w:rPr>
                            <w:t xml:space="preserve"> </w:t>
                          </w:r>
                          <w:r>
                            <w:rPr>
                              <w:rFonts w:ascii="Arial" w:eastAsia="Arial" w:hAnsi="Arial" w:cs="Arial"/>
                              <w:b/>
                              <w:bCs/>
                              <w:i/>
                            </w:rPr>
                            <w:t>if</w:t>
                          </w:r>
                          <w:r>
                            <w:rPr>
                              <w:rFonts w:ascii="Arial" w:eastAsia="Arial" w:hAnsi="Arial" w:cs="Arial"/>
                              <w:b/>
                              <w:bCs/>
                              <w:i/>
                              <w:spacing w:val="51"/>
                            </w:rPr>
                            <w:t xml:space="preserve"> </w:t>
                          </w:r>
                          <w:r>
                            <w:rPr>
                              <w:rFonts w:ascii="Arial" w:eastAsia="Arial" w:hAnsi="Arial" w:cs="Arial"/>
                              <w:b/>
                              <w:bCs/>
                              <w:i/>
                              <w:spacing w:val="-1"/>
                            </w:rPr>
                            <w:t>procuring</w:t>
                          </w:r>
                          <w:r>
                            <w:rPr>
                              <w:rFonts w:ascii="Arial" w:eastAsia="Arial" w:hAnsi="Arial" w:cs="Arial"/>
                              <w:b/>
                              <w:bCs/>
                              <w:i/>
                              <w:spacing w:val="-2"/>
                            </w:rPr>
                            <w:t xml:space="preserve"> </w:t>
                          </w:r>
                          <w:r>
                            <w:rPr>
                              <w:rFonts w:ascii="Arial" w:eastAsia="Arial" w:hAnsi="Arial" w:cs="Arial"/>
                              <w:b/>
                              <w:bCs/>
                              <w:i/>
                              <w:spacing w:val="-1"/>
                            </w:rPr>
                            <w:t>through</w:t>
                          </w:r>
                          <w:r>
                            <w:rPr>
                              <w:rFonts w:ascii="Arial" w:eastAsia="Arial" w:hAnsi="Arial" w:cs="Arial"/>
                              <w:b/>
                              <w:bCs/>
                              <w:i/>
                              <w:spacing w:val="-2"/>
                            </w:rPr>
                            <w:t xml:space="preserve"> </w:t>
                          </w:r>
                          <w:r>
                            <w:rPr>
                              <w:rFonts w:ascii="Arial" w:eastAsia="Arial" w:hAnsi="Arial" w:cs="Arial"/>
                              <w:b/>
                              <w:bCs/>
                              <w:i/>
                              <w:spacing w:val="-1"/>
                            </w:rPr>
                            <w:t>further</w:t>
                          </w:r>
                          <w:r>
                            <w:rPr>
                              <w:rFonts w:ascii="Arial" w:eastAsia="Arial" w:hAnsi="Arial" w:cs="Arial"/>
                              <w:b/>
                              <w:bCs/>
                              <w:i/>
                              <w:spacing w:val="1"/>
                            </w:rPr>
                            <w:t xml:space="preserve"> </w:t>
                          </w:r>
                          <w:r>
                            <w:rPr>
                              <w:rFonts w:ascii="Arial" w:eastAsia="Arial" w:hAnsi="Arial" w:cs="Arial"/>
                              <w:b/>
                              <w:bCs/>
                              <w:i/>
                              <w:spacing w:val="-2"/>
                            </w:rPr>
                            <w:t>competition]</w:t>
                          </w:r>
                        </w:p>
                      </w:txbxContent>
                    </v:textbox>
                  </v:shape>
                </v:group>
                <w10:anchorlock/>
              </v:group>
            </w:pict>
          </mc:Fallback>
        </mc:AlternateContent>
      </w:r>
    </w:p>
    <w:p w:rsidR="008918FA" w:rsidRDefault="008918FA" w:rsidP="008918FA">
      <w:pPr>
        <w:pStyle w:val="BodyText"/>
        <w:numPr>
          <w:ilvl w:val="0"/>
          <w:numId w:val="9"/>
        </w:numPr>
        <w:tabs>
          <w:tab w:val="left" w:pos="467"/>
        </w:tabs>
        <w:spacing w:before="116"/>
        <w:ind w:hanging="359"/>
        <w:rPr>
          <w:rFonts w:ascii="Times New Roman" w:eastAsia="Times New Roman" w:hAnsi="Times New Roman" w:cs="Times New Roman"/>
        </w:rPr>
      </w:pPr>
      <w:r>
        <w:rPr>
          <w:rFonts w:ascii="Times New Roman"/>
          <w:spacing w:val="-1"/>
        </w:rPr>
        <w:t>DEFINITIONS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9"/>
        </w:numPr>
        <w:tabs>
          <w:tab w:val="left" w:pos="829"/>
        </w:tabs>
        <w:spacing w:before="0"/>
      </w:pPr>
      <w:r>
        <w:t>In</w:t>
      </w:r>
      <w:r>
        <w:rPr>
          <w:spacing w:val="-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t xml:space="preserve"> the</w:t>
      </w:r>
      <w:r>
        <w:rPr>
          <w:spacing w:val="-4"/>
        </w:rPr>
        <w:t xml:space="preserve"> </w:t>
      </w:r>
      <w:r>
        <w:rPr>
          <w:spacing w:val="-2"/>
        </w:rPr>
        <w:t>following</w:t>
      </w:r>
      <w:r>
        <w:rPr>
          <w:spacing w:val="3"/>
        </w:rPr>
        <w:t xml:space="preserve"> </w:t>
      </w:r>
      <w:r>
        <w:rPr>
          <w:spacing w:val="-1"/>
        </w:rPr>
        <w:t>definitions</w:t>
      </w:r>
      <w:r>
        <w:rPr>
          <w:spacing w:val="-2"/>
        </w:rPr>
        <w:t xml:space="preserve"> </w:t>
      </w:r>
      <w:r>
        <w:rPr>
          <w:spacing w:val="-1"/>
        </w:rPr>
        <w:t>shall</w:t>
      </w:r>
      <w:r>
        <w:t xml:space="preserve"> </w:t>
      </w:r>
      <w:r>
        <w:rPr>
          <w:spacing w:val="-2"/>
        </w:rPr>
        <w:t>apply:</w:t>
      </w:r>
    </w:p>
    <w:p w:rsidR="008918FA" w:rsidRDefault="008918FA" w:rsidP="008918FA">
      <w:pPr>
        <w:spacing w:before="6"/>
        <w:rPr>
          <w:rFonts w:ascii="Arial" w:eastAsia="Arial" w:hAnsi="Arial" w:cs="Arial"/>
          <w:sz w:val="7"/>
          <w:szCs w:val="7"/>
        </w:rPr>
      </w:pPr>
    </w:p>
    <w:tbl>
      <w:tblPr>
        <w:tblW w:w="0" w:type="auto"/>
        <w:tblInd w:w="1088" w:type="dxa"/>
        <w:tblLayout w:type="fixed"/>
        <w:tblCellMar>
          <w:left w:w="0" w:type="dxa"/>
          <w:right w:w="0" w:type="dxa"/>
        </w:tblCellMar>
        <w:tblLook w:val="01E0" w:firstRow="1" w:lastRow="1" w:firstColumn="1" w:lastColumn="1" w:noHBand="0" w:noVBand="0"/>
      </w:tblPr>
      <w:tblGrid>
        <w:gridCol w:w="3132"/>
        <w:gridCol w:w="4691"/>
      </w:tblGrid>
      <w:tr w:rsidR="008918FA" w:rsidTr="005D2B81">
        <w:trPr>
          <w:trHeight w:hRule="exact" w:val="1116"/>
        </w:trPr>
        <w:tc>
          <w:tcPr>
            <w:tcW w:w="3132" w:type="dxa"/>
            <w:tcBorders>
              <w:top w:val="nil"/>
              <w:left w:val="nil"/>
              <w:bottom w:val="nil"/>
              <w:right w:val="nil"/>
            </w:tcBorders>
          </w:tcPr>
          <w:p w:rsidR="008918FA" w:rsidRDefault="008918FA" w:rsidP="005D2B81">
            <w:pPr>
              <w:pStyle w:val="TableParagraph"/>
              <w:spacing w:before="32"/>
              <w:ind w:left="230"/>
              <w:rPr>
                <w:rFonts w:ascii="Arial" w:eastAsia="Arial" w:hAnsi="Arial" w:cs="Arial"/>
              </w:rPr>
            </w:pPr>
            <w:r>
              <w:rPr>
                <w:rFonts w:ascii="Arial"/>
                <w:b/>
                <w:spacing w:val="-1"/>
              </w:rPr>
              <w:t>"Exclusive</w:t>
            </w:r>
            <w:r>
              <w:rPr>
                <w:rFonts w:ascii="Arial"/>
                <w:b/>
                <w:spacing w:val="3"/>
              </w:rPr>
              <w:t xml:space="preserve"> </w:t>
            </w:r>
            <w:r>
              <w:rPr>
                <w:rFonts w:ascii="Arial"/>
                <w:b/>
                <w:spacing w:val="-2"/>
              </w:rPr>
              <w:t>Assets"</w:t>
            </w:r>
          </w:p>
        </w:tc>
        <w:tc>
          <w:tcPr>
            <w:tcW w:w="4691" w:type="dxa"/>
            <w:tcBorders>
              <w:top w:val="nil"/>
              <w:left w:val="nil"/>
              <w:bottom w:val="nil"/>
              <w:right w:val="nil"/>
            </w:tcBorders>
          </w:tcPr>
          <w:p w:rsidR="008918FA" w:rsidRDefault="008918FA" w:rsidP="005D2B81">
            <w:pPr>
              <w:pStyle w:val="TableParagraph"/>
              <w:spacing w:before="35"/>
              <w:ind w:left="210" w:right="228"/>
              <w:jc w:val="both"/>
              <w:rPr>
                <w:rFonts w:ascii="Arial" w:eastAsia="Arial" w:hAnsi="Arial" w:cs="Arial"/>
              </w:rPr>
            </w:pPr>
            <w:r>
              <w:rPr>
                <w:rFonts w:ascii="Arial"/>
                <w:spacing w:val="-1"/>
              </w:rPr>
              <w:t>means</w:t>
            </w:r>
            <w:r>
              <w:rPr>
                <w:rFonts w:ascii="Arial"/>
                <w:spacing w:val="18"/>
              </w:rPr>
              <w:t xml:space="preserve"> </w:t>
            </w:r>
            <w:r>
              <w:rPr>
                <w:rFonts w:ascii="Arial"/>
                <w:spacing w:val="-1"/>
              </w:rPr>
              <w:t>those</w:t>
            </w:r>
            <w:r>
              <w:rPr>
                <w:rFonts w:ascii="Arial"/>
                <w:spacing w:val="40"/>
              </w:rPr>
              <w:t xml:space="preserve"> </w:t>
            </w:r>
            <w:r>
              <w:rPr>
                <w:rFonts w:ascii="Arial"/>
                <w:spacing w:val="-2"/>
              </w:rPr>
              <w:t>Supplier</w:t>
            </w:r>
            <w:r>
              <w:rPr>
                <w:rFonts w:ascii="Arial"/>
                <w:spacing w:val="19"/>
              </w:rPr>
              <w:t xml:space="preserve"> </w:t>
            </w:r>
            <w:r>
              <w:rPr>
                <w:rFonts w:ascii="Arial"/>
                <w:spacing w:val="-1"/>
              </w:rPr>
              <w:t>Assets</w:t>
            </w:r>
            <w:r>
              <w:rPr>
                <w:rFonts w:ascii="Arial"/>
                <w:spacing w:val="20"/>
              </w:rPr>
              <w:t xml:space="preserve"> </w:t>
            </w:r>
            <w:r>
              <w:rPr>
                <w:rFonts w:ascii="Arial"/>
                <w:spacing w:val="-1"/>
              </w:rPr>
              <w:t>used</w:t>
            </w:r>
            <w:r>
              <w:rPr>
                <w:rFonts w:ascii="Arial"/>
                <w:spacing w:val="17"/>
              </w:rPr>
              <w:t xml:space="preserve"> </w:t>
            </w:r>
            <w:r>
              <w:rPr>
                <w:rFonts w:ascii="Arial"/>
                <w:spacing w:val="-1"/>
              </w:rPr>
              <w:t>by</w:t>
            </w:r>
            <w:r>
              <w:rPr>
                <w:rFonts w:ascii="Arial"/>
                <w:spacing w:val="18"/>
              </w:rPr>
              <w:t xml:space="preserve"> </w:t>
            </w:r>
            <w:r>
              <w:rPr>
                <w:rFonts w:ascii="Arial"/>
                <w:spacing w:val="-1"/>
              </w:rPr>
              <w:t>the</w:t>
            </w:r>
            <w:r>
              <w:rPr>
                <w:rFonts w:ascii="Arial"/>
                <w:spacing w:val="42"/>
              </w:rPr>
              <w:t xml:space="preserve"> </w:t>
            </w:r>
            <w:r>
              <w:rPr>
                <w:rFonts w:ascii="Arial"/>
                <w:spacing w:val="-2"/>
              </w:rPr>
              <w:t>Supplier</w:t>
            </w:r>
            <w:r>
              <w:rPr>
                <w:rFonts w:ascii="Arial"/>
                <w:spacing w:val="2"/>
              </w:rPr>
              <w:t xml:space="preserve"> </w:t>
            </w:r>
            <w:r>
              <w:rPr>
                <w:rFonts w:ascii="Arial"/>
                <w:spacing w:val="-1"/>
              </w:rPr>
              <w:t>or</w:t>
            </w:r>
            <w:r>
              <w:rPr>
                <w:rFonts w:ascii="Arial"/>
                <w:spacing w:val="2"/>
              </w:rPr>
              <w:t xml:space="preserve"> </w:t>
            </w:r>
            <w:r>
              <w:rPr>
                <w:rFonts w:ascii="Arial"/>
              </w:rPr>
              <w:t xml:space="preserve">a </w:t>
            </w:r>
            <w:r>
              <w:rPr>
                <w:rFonts w:ascii="Arial"/>
                <w:spacing w:val="-1"/>
              </w:rPr>
              <w:t>Key</w:t>
            </w:r>
            <w:r>
              <w:rPr>
                <w:rFonts w:ascii="Arial"/>
                <w:spacing w:val="-2"/>
              </w:rPr>
              <w:t xml:space="preserve"> </w:t>
            </w:r>
            <w:r>
              <w:rPr>
                <w:rFonts w:ascii="Arial"/>
                <w:spacing w:val="-1"/>
              </w:rPr>
              <w:t>Sub-Contractor</w:t>
            </w:r>
            <w:r>
              <w:rPr>
                <w:rFonts w:ascii="Arial"/>
                <w:spacing w:val="2"/>
              </w:rPr>
              <w:t xml:space="preserve"> </w:t>
            </w:r>
            <w:r>
              <w:rPr>
                <w:rFonts w:ascii="Arial"/>
                <w:spacing w:val="-2"/>
              </w:rPr>
              <w:t>which</w:t>
            </w:r>
            <w:r>
              <w:rPr>
                <w:rFonts w:ascii="Arial"/>
                <w:spacing w:val="1"/>
              </w:rPr>
              <w:t xml:space="preserve"> </w:t>
            </w:r>
            <w:r>
              <w:rPr>
                <w:rFonts w:ascii="Arial"/>
                <w:spacing w:val="-1"/>
              </w:rPr>
              <w:t>are</w:t>
            </w:r>
            <w:r>
              <w:rPr>
                <w:rFonts w:ascii="Arial"/>
                <w:spacing w:val="37"/>
              </w:rPr>
              <w:t xml:space="preserve"> </w:t>
            </w:r>
            <w:r>
              <w:rPr>
                <w:rFonts w:ascii="Arial"/>
                <w:spacing w:val="-1"/>
              </w:rPr>
              <w:t>used</w:t>
            </w:r>
            <w:r>
              <w:rPr>
                <w:rFonts w:ascii="Arial"/>
                <w:spacing w:val="21"/>
              </w:rPr>
              <w:t xml:space="preserve"> </w:t>
            </w:r>
            <w:r>
              <w:rPr>
                <w:rFonts w:ascii="Arial"/>
                <w:spacing w:val="-1"/>
              </w:rPr>
              <w:t>exclusively</w:t>
            </w:r>
            <w:r>
              <w:rPr>
                <w:rFonts w:ascii="Arial"/>
                <w:spacing w:val="19"/>
              </w:rPr>
              <w:t xml:space="preserve"> </w:t>
            </w:r>
            <w:r>
              <w:rPr>
                <w:rFonts w:ascii="Arial"/>
                <w:spacing w:val="-1"/>
              </w:rPr>
              <w:t>in</w:t>
            </w:r>
            <w:r>
              <w:rPr>
                <w:rFonts w:ascii="Arial"/>
                <w:spacing w:val="21"/>
              </w:rPr>
              <w:t xml:space="preserve"> </w:t>
            </w:r>
            <w:r>
              <w:rPr>
                <w:rFonts w:ascii="Arial"/>
              </w:rPr>
              <w:t>the</w:t>
            </w:r>
            <w:r>
              <w:rPr>
                <w:rFonts w:ascii="Arial"/>
                <w:spacing w:val="21"/>
              </w:rPr>
              <w:t xml:space="preserve"> </w:t>
            </w:r>
            <w:r>
              <w:rPr>
                <w:rFonts w:ascii="Arial"/>
                <w:spacing w:val="-2"/>
              </w:rPr>
              <w:t>provision</w:t>
            </w:r>
            <w:r>
              <w:rPr>
                <w:rFonts w:ascii="Arial"/>
                <w:spacing w:val="21"/>
              </w:rPr>
              <w:t xml:space="preserve"> </w:t>
            </w:r>
            <w:r>
              <w:rPr>
                <w:rFonts w:ascii="Arial"/>
                <w:spacing w:val="-1"/>
              </w:rPr>
              <w:t>of</w:t>
            </w:r>
            <w:r>
              <w:rPr>
                <w:rFonts w:ascii="Arial"/>
                <w:spacing w:val="22"/>
              </w:rPr>
              <w:t xml:space="preserve"> </w:t>
            </w:r>
            <w:r>
              <w:rPr>
                <w:rFonts w:ascii="Arial"/>
                <w:spacing w:val="-1"/>
              </w:rPr>
              <w:t>the</w:t>
            </w:r>
            <w:r>
              <w:rPr>
                <w:rFonts w:ascii="Arial"/>
                <w:spacing w:val="28"/>
              </w:rPr>
              <w:t xml:space="preserve"> </w:t>
            </w:r>
            <w:r>
              <w:rPr>
                <w:rFonts w:ascii="Arial"/>
                <w:spacing w:val="-1"/>
              </w:rPr>
              <w:t>Goods</w:t>
            </w:r>
            <w:r>
              <w:rPr>
                <w:rFonts w:ascii="Arial"/>
                <w:spacing w:val="1"/>
              </w:rPr>
              <w:t xml:space="preserve"> </w:t>
            </w:r>
            <w:r>
              <w:rPr>
                <w:rFonts w:ascii="Arial"/>
                <w:spacing w:val="-1"/>
              </w:rPr>
              <w:t>and/or Services;</w:t>
            </w:r>
          </w:p>
        </w:tc>
      </w:tr>
      <w:tr w:rsidR="008918FA" w:rsidTr="005D2B81">
        <w:trPr>
          <w:trHeight w:hRule="exact" w:val="626"/>
        </w:trPr>
        <w:tc>
          <w:tcPr>
            <w:tcW w:w="3132"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"Exit Information"</w:t>
            </w:r>
          </w:p>
        </w:tc>
        <w:tc>
          <w:tcPr>
            <w:tcW w:w="4691" w:type="dxa"/>
            <w:tcBorders>
              <w:top w:val="nil"/>
              <w:left w:val="nil"/>
              <w:bottom w:val="nil"/>
              <w:right w:val="nil"/>
            </w:tcBorders>
          </w:tcPr>
          <w:p w:rsidR="008918FA" w:rsidRDefault="008918FA" w:rsidP="005D2B81">
            <w:pPr>
              <w:pStyle w:val="TableParagraph"/>
              <w:tabs>
                <w:tab w:val="left" w:pos="858"/>
                <w:tab w:val="left" w:pos="1455"/>
                <w:tab w:val="left" w:pos="2590"/>
                <w:tab w:val="left" w:pos="3408"/>
                <w:tab w:val="left" w:pos="3886"/>
                <w:tab w:val="left" w:pos="4289"/>
              </w:tabs>
              <w:spacing w:before="49"/>
              <w:ind w:left="210" w:right="229"/>
              <w:rPr>
                <w:rFonts w:ascii="Arial" w:eastAsia="Arial" w:hAnsi="Arial" w:cs="Arial"/>
              </w:rPr>
            </w:pPr>
            <w:r>
              <w:rPr>
                <w:rFonts w:ascii="Arial"/>
                <w:spacing w:val="-1"/>
              </w:rPr>
              <w:t>has</w:t>
            </w:r>
            <w:r>
              <w:rPr>
                <w:rFonts w:ascii="Arial"/>
                <w:spacing w:val="-1"/>
              </w:rPr>
              <w:tab/>
            </w:r>
            <w:r>
              <w:rPr>
                <w:rFonts w:ascii="Arial"/>
                <w:w w:val="95"/>
              </w:rPr>
              <w:t>the</w:t>
            </w:r>
            <w:r>
              <w:rPr>
                <w:rFonts w:ascii="Arial"/>
                <w:w w:val="95"/>
              </w:rPr>
              <w:tab/>
            </w:r>
            <w:r>
              <w:rPr>
                <w:rFonts w:ascii="Arial"/>
                <w:spacing w:val="-1"/>
              </w:rPr>
              <w:t>meaning</w:t>
            </w:r>
            <w:r>
              <w:rPr>
                <w:rFonts w:ascii="Arial"/>
                <w:spacing w:val="-1"/>
              </w:rPr>
              <w:tab/>
              <w:t>given</w:t>
            </w:r>
            <w:r>
              <w:rPr>
                <w:rFonts w:ascii="Arial"/>
                <w:spacing w:val="-1"/>
              </w:rPr>
              <w:tab/>
            </w:r>
            <w:r>
              <w:rPr>
                <w:rFonts w:ascii="Arial"/>
              </w:rPr>
              <w:t>to</w:t>
            </w:r>
            <w:r>
              <w:rPr>
                <w:rFonts w:ascii="Arial"/>
              </w:rPr>
              <w:tab/>
            </w:r>
            <w:r>
              <w:rPr>
                <w:rFonts w:ascii="Arial"/>
                <w:spacing w:val="-1"/>
              </w:rPr>
              <w:t>it</w:t>
            </w:r>
            <w:r>
              <w:rPr>
                <w:rFonts w:ascii="Arial"/>
                <w:spacing w:val="-1"/>
              </w:rPr>
              <w:tab/>
              <w:t>in</w:t>
            </w:r>
            <w:r>
              <w:rPr>
                <w:rFonts w:ascii="Arial"/>
                <w:spacing w:val="25"/>
              </w:rPr>
              <w:t xml:space="preserve"> </w:t>
            </w:r>
            <w:r>
              <w:rPr>
                <w:rFonts w:ascii="Arial"/>
                <w:spacing w:val="-1"/>
              </w:rPr>
              <w:t>paragraph</w:t>
            </w:r>
            <w:r>
              <w:rPr>
                <w:rFonts w:ascii="Arial"/>
                <w:spacing w:val="-2"/>
              </w:rPr>
              <w:t xml:space="preserve"> </w:t>
            </w:r>
            <w:hyperlink w:anchor="_bookmark371" w:history="1">
              <w:r>
                <w:rPr>
                  <w:rFonts w:ascii="Arial"/>
                </w:rPr>
                <w:t>4.1</w:t>
              </w:r>
            </w:hyperlink>
            <w:r>
              <w:rPr>
                <w:rFonts w:ascii="Arial"/>
                <w:spacing w:val="-2"/>
              </w:rPr>
              <w:t xml:space="preserve"> of</w:t>
            </w:r>
            <w:r>
              <w:rPr>
                <w:rFonts w:ascii="Arial"/>
                <w:spacing w:val="2"/>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2"/>
              </w:rPr>
              <w:t>Schedule;</w:t>
            </w:r>
          </w:p>
        </w:tc>
      </w:tr>
      <w:tr w:rsidR="008918FA" w:rsidTr="005D2B81">
        <w:trPr>
          <w:trHeight w:hRule="exact" w:val="1385"/>
        </w:trPr>
        <w:tc>
          <w:tcPr>
            <w:tcW w:w="3132"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"Exit</w:t>
            </w:r>
            <w:r>
              <w:rPr>
                <w:rFonts w:ascii="Arial"/>
                <w:b/>
                <w:spacing w:val="-3"/>
              </w:rPr>
              <w:t xml:space="preserve"> </w:t>
            </w:r>
            <w:r>
              <w:rPr>
                <w:rFonts w:ascii="Arial"/>
                <w:b/>
                <w:spacing w:val="-1"/>
              </w:rPr>
              <w:t>Manager"</w:t>
            </w:r>
          </w:p>
        </w:tc>
        <w:tc>
          <w:tcPr>
            <w:tcW w:w="4691" w:type="dxa"/>
            <w:tcBorders>
              <w:top w:val="nil"/>
              <w:left w:val="nil"/>
              <w:bottom w:val="nil"/>
              <w:right w:val="nil"/>
            </w:tcBorders>
          </w:tcPr>
          <w:p w:rsidR="008918FA" w:rsidRDefault="008918FA" w:rsidP="005D2B81">
            <w:pPr>
              <w:pStyle w:val="TableParagraph"/>
              <w:spacing w:before="49"/>
              <w:ind w:left="210" w:right="229"/>
              <w:jc w:val="both"/>
              <w:rPr>
                <w:rFonts w:ascii="Arial" w:eastAsia="Arial" w:hAnsi="Arial" w:cs="Arial"/>
              </w:rPr>
            </w:pPr>
            <w:r>
              <w:rPr>
                <w:rFonts w:ascii="Arial"/>
                <w:spacing w:val="-1"/>
              </w:rPr>
              <w:t>means</w:t>
            </w:r>
            <w:r>
              <w:rPr>
                <w:rFonts w:ascii="Arial"/>
                <w:spacing w:val="8"/>
              </w:rPr>
              <w:t xml:space="preserve"> </w:t>
            </w:r>
            <w:r>
              <w:rPr>
                <w:rFonts w:ascii="Arial"/>
              </w:rPr>
              <w:t>the</w:t>
            </w:r>
            <w:r>
              <w:rPr>
                <w:rFonts w:ascii="Arial"/>
                <w:spacing w:val="7"/>
              </w:rPr>
              <w:t xml:space="preserve"> </w:t>
            </w:r>
            <w:r>
              <w:rPr>
                <w:rFonts w:ascii="Arial"/>
                <w:spacing w:val="-1"/>
              </w:rPr>
              <w:t>person</w:t>
            </w:r>
            <w:r>
              <w:rPr>
                <w:rFonts w:ascii="Arial"/>
                <w:spacing w:val="7"/>
              </w:rPr>
              <w:t xml:space="preserve"> </w:t>
            </w:r>
            <w:r>
              <w:rPr>
                <w:rFonts w:ascii="Arial"/>
                <w:spacing w:val="-1"/>
              </w:rPr>
              <w:t>appointed</w:t>
            </w:r>
            <w:r>
              <w:rPr>
                <w:rFonts w:ascii="Arial"/>
                <w:spacing w:val="7"/>
              </w:rPr>
              <w:t xml:space="preserve"> </w:t>
            </w:r>
            <w:r>
              <w:rPr>
                <w:rFonts w:ascii="Arial"/>
                <w:spacing w:val="-1"/>
              </w:rPr>
              <w:t>by</w:t>
            </w:r>
            <w:r>
              <w:rPr>
                <w:rFonts w:ascii="Arial"/>
                <w:spacing w:val="5"/>
              </w:rPr>
              <w:t xml:space="preserve"> </w:t>
            </w:r>
            <w:r>
              <w:rPr>
                <w:rFonts w:ascii="Arial"/>
                <w:spacing w:val="-1"/>
              </w:rPr>
              <w:t>each</w:t>
            </w:r>
            <w:r>
              <w:rPr>
                <w:rFonts w:ascii="Arial"/>
                <w:spacing w:val="8"/>
              </w:rPr>
              <w:t xml:space="preserve"> </w:t>
            </w:r>
            <w:r>
              <w:rPr>
                <w:rFonts w:ascii="Arial"/>
                <w:spacing w:val="-1"/>
              </w:rPr>
              <w:t>Party</w:t>
            </w:r>
            <w:r>
              <w:rPr>
                <w:rFonts w:ascii="Arial"/>
                <w:spacing w:val="23"/>
              </w:rPr>
              <w:t xml:space="preserve"> </w:t>
            </w:r>
            <w:r>
              <w:rPr>
                <w:rFonts w:ascii="Arial"/>
                <w:spacing w:val="-1"/>
              </w:rPr>
              <w:t>pursuant</w:t>
            </w:r>
            <w:r>
              <w:rPr>
                <w:rFonts w:ascii="Arial"/>
                <w:spacing w:val="45"/>
              </w:rPr>
              <w:t xml:space="preserve"> </w:t>
            </w:r>
            <w:r>
              <w:rPr>
                <w:rFonts w:ascii="Arial"/>
              </w:rPr>
              <w:t>to</w:t>
            </w:r>
            <w:r>
              <w:rPr>
                <w:rFonts w:ascii="Arial"/>
                <w:spacing w:val="43"/>
              </w:rPr>
              <w:t xml:space="preserve"> </w:t>
            </w:r>
            <w:r>
              <w:rPr>
                <w:rFonts w:ascii="Arial"/>
                <w:spacing w:val="-1"/>
              </w:rPr>
              <w:t>paragraph</w:t>
            </w:r>
            <w:r>
              <w:rPr>
                <w:rFonts w:ascii="Arial"/>
                <w:spacing w:val="1"/>
              </w:rPr>
              <w:t xml:space="preserve"> </w:t>
            </w:r>
            <w:hyperlink w:anchor="_bookmark370" w:history="1">
              <w:r>
                <w:rPr>
                  <w:rFonts w:ascii="Arial"/>
                  <w:spacing w:val="-1"/>
                </w:rPr>
                <w:t>3.4</w:t>
              </w:r>
            </w:hyperlink>
            <w:r>
              <w:rPr>
                <w:rFonts w:ascii="Arial"/>
                <w:spacing w:val="46"/>
              </w:rPr>
              <w:t xml:space="preserve"> </w:t>
            </w:r>
            <w:r>
              <w:rPr>
                <w:rFonts w:ascii="Arial"/>
                <w:spacing w:val="-2"/>
              </w:rPr>
              <w:t>of</w:t>
            </w:r>
            <w:r>
              <w:rPr>
                <w:rFonts w:ascii="Arial"/>
                <w:spacing w:val="45"/>
              </w:rPr>
              <w:t xml:space="preserve"> </w:t>
            </w:r>
            <w:r>
              <w:rPr>
                <w:rFonts w:ascii="Arial"/>
                <w:spacing w:val="-1"/>
              </w:rPr>
              <w:t>this</w:t>
            </w:r>
            <w:r>
              <w:rPr>
                <w:rFonts w:ascii="Arial"/>
                <w:spacing w:val="46"/>
              </w:rPr>
              <w:t xml:space="preserve"> </w:t>
            </w:r>
            <w:r>
              <w:rPr>
                <w:rFonts w:ascii="Arial"/>
                <w:spacing w:val="-2"/>
              </w:rPr>
              <w:t>Call</w:t>
            </w:r>
            <w:r>
              <w:rPr>
                <w:rFonts w:ascii="Arial"/>
                <w:spacing w:val="40"/>
              </w:rPr>
              <w:t xml:space="preserve"> </w:t>
            </w:r>
            <w:r>
              <w:rPr>
                <w:rFonts w:ascii="Arial"/>
              </w:rPr>
              <w:t>Off</w:t>
            </w:r>
            <w:r>
              <w:rPr>
                <w:rFonts w:ascii="Arial"/>
                <w:spacing w:val="26"/>
              </w:rPr>
              <w:t xml:space="preserve"> </w:t>
            </w:r>
            <w:r>
              <w:rPr>
                <w:rFonts w:ascii="Arial"/>
                <w:spacing w:val="-1"/>
              </w:rPr>
              <w:t>Schedule</w:t>
            </w:r>
            <w:r>
              <w:rPr>
                <w:rFonts w:ascii="Arial"/>
                <w:spacing w:val="24"/>
              </w:rPr>
              <w:t xml:space="preserve"> </w:t>
            </w:r>
            <w:r>
              <w:rPr>
                <w:rFonts w:ascii="Arial"/>
              </w:rPr>
              <w:t>for</w:t>
            </w:r>
            <w:r>
              <w:rPr>
                <w:rFonts w:ascii="Arial"/>
                <w:spacing w:val="24"/>
              </w:rPr>
              <w:t xml:space="preserve"> </w:t>
            </w:r>
            <w:r>
              <w:rPr>
                <w:rFonts w:ascii="Arial"/>
                <w:spacing w:val="-1"/>
              </w:rPr>
              <w:t>managing</w:t>
            </w:r>
            <w:r>
              <w:rPr>
                <w:rFonts w:ascii="Arial"/>
                <w:spacing w:val="26"/>
              </w:rPr>
              <w:t xml:space="preserve"> </w:t>
            </w:r>
            <w:r>
              <w:rPr>
                <w:rFonts w:ascii="Arial"/>
              </w:rPr>
              <w:t>the</w:t>
            </w:r>
            <w:r>
              <w:rPr>
                <w:rFonts w:ascii="Arial"/>
                <w:spacing w:val="23"/>
              </w:rPr>
              <w:t xml:space="preserve"> </w:t>
            </w:r>
            <w:r>
              <w:rPr>
                <w:rFonts w:ascii="Arial"/>
                <w:spacing w:val="-2"/>
              </w:rPr>
              <w:t>Parties'</w:t>
            </w:r>
            <w:r>
              <w:rPr>
                <w:rFonts w:ascii="Arial"/>
                <w:spacing w:val="29"/>
              </w:rPr>
              <w:t xml:space="preserve"> </w:t>
            </w:r>
            <w:r>
              <w:rPr>
                <w:rFonts w:ascii="Arial"/>
                <w:spacing w:val="-1"/>
              </w:rPr>
              <w:t>respective</w:t>
            </w:r>
            <w:r>
              <w:rPr>
                <w:rFonts w:ascii="Arial"/>
                <w:spacing w:val="60"/>
              </w:rPr>
              <w:t xml:space="preserve"> </w:t>
            </w:r>
            <w:r>
              <w:rPr>
                <w:rFonts w:ascii="Arial"/>
                <w:spacing w:val="-1"/>
              </w:rPr>
              <w:t>obligations</w:t>
            </w:r>
            <w:r>
              <w:rPr>
                <w:rFonts w:ascii="Arial"/>
              </w:rPr>
              <w:t xml:space="preserve"> </w:t>
            </w:r>
            <w:r>
              <w:rPr>
                <w:rFonts w:ascii="Arial"/>
                <w:spacing w:val="-1"/>
              </w:rPr>
              <w:t>under</w:t>
            </w:r>
            <w:r>
              <w:rPr>
                <w:rFonts w:ascii="Arial"/>
              </w:rPr>
              <w:t xml:space="preserve">  </w:t>
            </w:r>
            <w:r>
              <w:rPr>
                <w:rFonts w:ascii="Arial"/>
                <w:spacing w:val="-1"/>
              </w:rPr>
              <w:t>this</w:t>
            </w:r>
            <w:r>
              <w:rPr>
                <w:rFonts w:ascii="Arial"/>
              </w:rPr>
              <w:t xml:space="preserve">  </w:t>
            </w:r>
            <w:r>
              <w:rPr>
                <w:rFonts w:ascii="Arial"/>
                <w:spacing w:val="-2"/>
              </w:rPr>
              <w:t>Call</w:t>
            </w:r>
            <w:r>
              <w:rPr>
                <w:rFonts w:ascii="Arial"/>
                <w:spacing w:val="59"/>
              </w:rPr>
              <w:t xml:space="preserve"> </w:t>
            </w:r>
            <w:r>
              <w:rPr>
                <w:rFonts w:ascii="Arial"/>
                <w:spacing w:val="-1"/>
              </w:rPr>
              <w:t>Off</w:t>
            </w:r>
            <w:r>
              <w:rPr>
                <w:rFonts w:ascii="Arial"/>
                <w:spacing w:val="27"/>
              </w:rPr>
              <w:t xml:space="preserve"> </w:t>
            </w:r>
            <w:r>
              <w:rPr>
                <w:rFonts w:ascii="Arial"/>
                <w:spacing w:val="-1"/>
              </w:rPr>
              <w:t>Schedule;</w:t>
            </w:r>
          </w:p>
        </w:tc>
      </w:tr>
      <w:tr w:rsidR="008918FA" w:rsidTr="001C1527">
        <w:trPr>
          <w:trHeight w:hRule="exact" w:val="1638"/>
        </w:trPr>
        <w:tc>
          <w:tcPr>
            <w:tcW w:w="3132" w:type="dxa"/>
            <w:tcBorders>
              <w:top w:val="nil"/>
              <w:left w:val="nil"/>
              <w:bottom w:val="nil"/>
              <w:right w:val="nil"/>
            </w:tcBorders>
            <w:shd w:val="clear" w:color="auto" w:fill="auto"/>
          </w:tcPr>
          <w:p w:rsidR="008918FA" w:rsidRDefault="008918FA" w:rsidP="005D2B81">
            <w:pPr>
              <w:pStyle w:val="TableParagraph"/>
              <w:spacing w:before="47"/>
              <w:ind w:left="230"/>
              <w:rPr>
                <w:rFonts w:ascii="Arial" w:eastAsia="Arial" w:hAnsi="Arial" w:cs="Arial"/>
              </w:rPr>
            </w:pPr>
            <w:r>
              <w:rPr>
                <w:rFonts w:ascii="Arial"/>
                <w:b/>
                <w:spacing w:val="-1"/>
              </w:rPr>
              <w:t>"Net</w:t>
            </w:r>
            <w:r>
              <w:rPr>
                <w:rFonts w:ascii="Arial"/>
                <w:b/>
                <w:spacing w:val="2"/>
              </w:rPr>
              <w:t xml:space="preserve"> </w:t>
            </w:r>
            <w:r>
              <w:rPr>
                <w:rFonts w:ascii="Arial"/>
                <w:b/>
                <w:spacing w:val="-1"/>
              </w:rPr>
              <w:t>Book</w:t>
            </w:r>
            <w:r>
              <w:rPr>
                <w:rFonts w:ascii="Arial"/>
                <w:b/>
                <w:spacing w:val="-2"/>
              </w:rPr>
              <w:t xml:space="preserve"> </w:t>
            </w:r>
            <w:r>
              <w:rPr>
                <w:rFonts w:ascii="Arial"/>
                <w:b/>
                <w:spacing w:val="-1"/>
              </w:rPr>
              <w:t>Value"</w:t>
            </w:r>
          </w:p>
        </w:tc>
        <w:tc>
          <w:tcPr>
            <w:tcW w:w="4691" w:type="dxa"/>
            <w:tcBorders>
              <w:top w:val="nil"/>
              <w:left w:val="nil"/>
              <w:bottom w:val="nil"/>
              <w:right w:val="nil"/>
            </w:tcBorders>
          </w:tcPr>
          <w:p w:rsidR="008918FA" w:rsidRDefault="008918FA" w:rsidP="005D2B81">
            <w:pPr>
              <w:pStyle w:val="TableParagraph"/>
              <w:spacing w:before="49"/>
              <w:ind w:left="210" w:right="229"/>
              <w:jc w:val="both"/>
              <w:rPr>
                <w:rFonts w:ascii="Arial" w:eastAsia="Arial" w:hAnsi="Arial" w:cs="Arial"/>
              </w:rPr>
            </w:pPr>
            <w:r>
              <w:rPr>
                <w:rFonts w:ascii="Arial"/>
                <w:spacing w:val="-1"/>
              </w:rPr>
              <w:t>means</w:t>
            </w:r>
            <w:r>
              <w:rPr>
                <w:rFonts w:ascii="Arial"/>
                <w:spacing w:val="37"/>
              </w:rPr>
              <w:t xml:space="preserve"> </w:t>
            </w:r>
            <w:r>
              <w:rPr>
                <w:rFonts w:ascii="Arial"/>
              </w:rPr>
              <w:t>the</w:t>
            </w:r>
            <w:r>
              <w:rPr>
                <w:rFonts w:ascii="Arial"/>
                <w:spacing w:val="38"/>
              </w:rPr>
              <w:t xml:space="preserve"> </w:t>
            </w:r>
            <w:r>
              <w:rPr>
                <w:rFonts w:ascii="Arial"/>
                <w:spacing w:val="-1"/>
              </w:rPr>
              <w:t>net</w:t>
            </w:r>
            <w:r>
              <w:rPr>
                <w:rFonts w:ascii="Arial"/>
                <w:spacing w:val="38"/>
              </w:rPr>
              <w:t xml:space="preserve"> </w:t>
            </w:r>
            <w:r>
              <w:rPr>
                <w:rFonts w:ascii="Arial"/>
                <w:spacing w:val="-2"/>
              </w:rPr>
              <w:t>book</w:t>
            </w:r>
            <w:r>
              <w:rPr>
                <w:rFonts w:ascii="Arial"/>
                <w:spacing w:val="41"/>
              </w:rPr>
              <w:t xml:space="preserve"> </w:t>
            </w:r>
            <w:r>
              <w:rPr>
                <w:rFonts w:ascii="Arial"/>
                <w:spacing w:val="-2"/>
              </w:rPr>
              <w:t>value</w:t>
            </w:r>
            <w:r>
              <w:rPr>
                <w:rFonts w:ascii="Arial"/>
                <w:spacing w:val="38"/>
              </w:rPr>
              <w:t xml:space="preserve"> </w:t>
            </w:r>
            <w:r>
              <w:rPr>
                <w:rFonts w:ascii="Arial"/>
                <w:spacing w:val="-2"/>
              </w:rPr>
              <w:t>of</w:t>
            </w:r>
            <w:r>
              <w:rPr>
                <w:rFonts w:ascii="Arial"/>
                <w:spacing w:val="40"/>
              </w:rPr>
              <w:t xml:space="preserve"> </w:t>
            </w:r>
            <w:r>
              <w:rPr>
                <w:rFonts w:ascii="Arial"/>
              </w:rPr>
              <w:t>the</w:t>
            </w:r>
            <w:r>
              <w:rPr>
                <w:rFonts w:ascii="Arial"/>
                <w:spacing w:val="40"/>
              </w:rPr>
              <w:t xml:space="preserve"> </w:t>
            </w:r>
            <w:r>
              <w:rPr>
                <w:rFonts w:ascii="Arial"/>
                <w:spacing w:val="-2"/>
              </w:rPr>
              <w:t>relevant</w:t>
            </w:r>
            <w:r>
              <w:rPr>
                <w:rFonts w:ascii="Arial"/>
                <w:spacing w:val="32"/>
              </w:rPr>
              <w:t xml:space="preserve"> </w:t>
            </w:r>
            <w:r>
              <w:rPr>
                <w:rFonts w:ascii="Arial"/>
                <w:spacing w:val="-2"/>
              </w:rPr>
              <w:t>Supplier</w:t>
            </w:r>
            <w:r>
              <w:rPr>
                <w:rFonts w:ascii="Arial"/>
                <w:spacing w:val="23"/>
              </w:rPr>
              <w:t xml:space="preserve"> </w:t>
            </w:r>
            <w:r>
              <w:rPr>
                <w:rFonts w:ascii="Arial"/>
                <w:spacing w:val="-1"/>
              </w:rPr>
              <w:t>Asset(s)</w:t>
            </w:r>
            <w:r>
              <w:rPr>
                <w:rFonts w:ascii="Arial"/>
                <w:spacing w:val="23"/>
              </w:rPr>
              <w:t xml:space="preserve"> </w:t>
            </w:r>
            <w:r>
              <w:rPr>
                <w:rFonts w:ascii="Arial"/>
                <w:spacing w:val="-1"/>
              </w:rPr>
              <w:t>calculated</w:t>
            </w:r>
            <w:r>
              <w:rPr>
                <w:rFonts w:ascii="Arial"/>
                <w:spacing w:val="22"/>
              </w:rPr>
              <w:t xml:space="preserve"> </w:t>
            </w:r>
            <w:r>
              <w:rPr>
                <w:rFonts w:ascii="Arial"/>
                <w:spacing w:val="-1"/>
              </w:rPr>
              <w:t>in</w:t>
            </w:r>
            <w:r>
              <w:rPr>
                <w:rFonts w:ascii="Arial"/>
                <w:spacing w:val="22"/>
              </w:rPr>
              <w:t xml:space="preserve"> </w:t>
            </w:r>
            <w:r>
              <w:rPr>
                <w:rFonts w:ascii="Arial"/>
                <w:spacing w:val="-1"/>
              </w:rPr>
              <w:t>accordance</w:t>
            </w:r>
            <w:r>
              <w:rPr>
                <w:rFonts w:ascii="Arial"/>
                <w:spacing w:val="29"/>
              </w:rPr>
              <w:t xml:space="preserve"> </w:t>
            </w:r>
            <w:r>
              <w:rPr>
                <w:rFonts w:ascii="Arial"/>
                <w:spacing w:val="-1"/>
              </w:rPr>
              <w:t>with</w:t>
            </w:r>
            <w:r>
              <w:rPr>
                <w:rFonts w:ascii="Arial"/>
                <w:spacing w:val="20"/>
              </w:rPr>
              <w:t xml:space="preserve"> </w:t>
            </w:r>
            <w:r>
              <w:rPr>
                <w:rFonts w:ascii="Arial"/>
              </w:rPr>
              <w:t>the</w:t>
            </w:r>
            <w:r>
              <w:rPr>
                <w:rFonts w:ascii="Arial"/>
                <w:spacing w:val="20"/>
              </w:rPr>
              <w:t xml:space="preserve"> </w:t>
            </w:r>
            <w:r>
              <w:rPr>
                <w:rFonts w:ascii="Arial"/>
                <w:spacing w:val="-1"/>
              </w:rPr>
              <w:t>depreciation</w:t>
            </w:r>
            <w:r>
              <w:rPr>
                <w:rFonts w:ascii="Arial"/>
                <w:spacing w:val="20"/>
              </w:rPr>
              <w:t xml:space="preserve"> </w:t>
            </w:r>
            <w:r>
              <w:rPr>
                <w:rFonts w:ascii="Arial"/>
                <w:spacing w:val="-2"/>
              </w:rPr>
              <w:t>policy</w:t>
            </w:r>
            <w:r>
              <w:rPr>
                <w:rFonts w:ascii="Arial"/>
                <w:spacing w:val="18"/>
              </w:rPr>
              <w:t xml:space="preserve"> </w:t>
            </w:r>
            <w:r>
              <w:rPr>
                <w:rFonts w:ascii="Arial"/>
                <w:spacing w:val="-1"/>
              </w:rPr>
              <w:t>of</w:t>
            </w:r>
            <w:r>
              <w:rPr>
                <w:rFonts w:ascii="Arial"/>
                <w:spacing w:val="23"/>
              </w:rPr>
              <w:t xml:space="preserve"> </w:t>
            </w:r>
            <w:r>
              <w:rPr>
                <w:rFonts w:ascii="Arial"/>
              </w:rPr>
              <w:t>the</w:t>
            </w:r>
            <w:r>
              <w:rPr>
                <w:rFonts w:ascii="Arial"/>
                <w:spacing w:val="20"/>
              </w:rPr>
              <w:t xml:space="preserve"> </w:t>
            </w:r>
            <w:r>
              <w:rPr>
                <w:rFonts w:ascii="Arial"/>
                <w:spacing w:val="-2"/>
              </w:rPr>
              <w:t>Supplier</w:t>
            </w:r>
            <w:r>
              <w:rPr>
                <w:rFonts w:ascii="Arial"/>
                <w:spacing w:val="32"/>
              </w:rPr>
              <w:t xml:space="preserve"> </w:t>
            </w:r>
            <w:r>
              <w:rPr>
                <w:rFonts w:ascii="Arial"/>
                <w:spacing w:val="-1"/>
              </w:rPr>
              <w:t>set</w:t>
            </w:r>
            <w:r>
              <w:rPr>
                <w:rFonts w:ascii="Arial"/>
                <w:spacing w:val="11"/>
              </w:rPr>
              <w:t xml:space="preserve"> </w:t>
            </w:r>
            <w:r>
              <w:rPr>
                <w:rFonts w:ascii="Arial"/>
                <w:spacing w:val="-2"/>
              </w:rPr>
              <w:t>out</w:t>
            </w:r>
            <w:r>
              <w:rPr>
                <w:rFonts w:ascii="Arial"/>
                <w:spacing w:val="11"/>
              </w:rPr>
              <w:t xml:space="preserve"> </w:t>
            </w:r>
            <w:r>
              <w:rPr>
                <w:rFonts w:ascii="Arial"/>
                <w:spacing w:val="-1"/>
              </w:rPr>
              <w:t>in</w:t>
            </w:r>
            <w:r>
              <w:rPr>
                <w:rFonts w:ascii="Arial"/>
                <w:spacing w:val="10"/>
              </w:rPr>
              <w:t xml:space="preserve"> </w:t>
            </w:r>
            <w:r>
              <w:rPr>
                <w:rFonts w:ascii="Arial"/>
              </w:rPr>
              <w:t>the</w:t>
            </w:r>
            <w:r>
              <w:rPr>
                <w:rFonts w:ascii="Arial"/>
                <w:spacing w:val="7"/>
              </w:rPr>
              <w:t xml:space="preserve"> </w:t>
            </w:r>
            <w:r>
              <w:rPr>
                <w:rFonts w:ascii="Arial"/>
                <w:spacing w:val="-1"/>
              </w:rPr>
              <w:t>letter</w:t>
            </w:r>
            <w:r>
              <w:rPr>
                <w:rFonts w:ascii="Arial"/>
                <w:spacing w:val="11"/>
              </w:rPr>
              <w:t xml:space="preserve"> </w:t>
            </w:r>
            <w:r>
              <w:rPr>
                <w:rFonts w:ascii="Arial"/>
                <w:spacing w:val="-1"/>
              </w:rPr>
              <w:t>in</w:t>
            </w:r>
            <w:r>
              <w:rPr>
                <w:rFonts w:ascii="Arial"/>
                <w:spacing w:val="7"/>
              </w:rPr>
              <w:t xml:space="preserve"> </w:t>
            </w:r>
            <w:r>
              <w:rPr>
                <w:rFonts w:ascii="Arial"/>
                <w:spacing w:val="-1"/>
              </w:rPr>
              <w:t>the</w:t>
            </w:r>
            <w:r>
              <w:rPr>
                <w:rFonts w:ascii="Arial"/>
                <w:spacing w:val="10"/>
              </w:rPr>
              <w:t xml:space="preserve"> </w:t>
            </w:r>
            <w:r>
              <w:rPr>
                <w:rFonts w:ascii="Arial"/>
                <w:spacing w:val="-1"/>
              </w:rPr>
              <w:t>agreed</w:t>
            </w:r>
            <w:r>
              <w:rPr>
                <w:rFonts w:ascii="Arial"/>
                <w:spacing w:val="7"/>
              </w:rPr>
              <w:t xml:space="preserve"> </w:t>
            </w:r>
            <w:r>
              <w:rPr>
                <w:rFonts w:ascii="Arial"/>
                <w:spacing w:val="-1"/>
              </w:rPr>
              <w:t>form</w:t>
            </w:r>
            <w:r>
              <w:rPr>
                <w:rFonts w:ascii="Arial"/>
                <w:spacing w:val="9"/>
              </w:rPr>
              <w:t xml:space="preserve"> </w:t>
            </w:r>
            <w:r>
              <w:rPr>
                <w:rFonts w:ascii="Arial"/>
                <w:spacing w:val="-1"/>
              </w:rPr>
              <w:t>from</w:t>
            </w:r>
            <w:r>
              <w:rPr>
                <w:rFonts w:ascii="Arial"/>
                <w:spacing w:val="27"/>
              </w:rPr>
              <w:t xml:space="preserve"> </w:t>
            </w:r>
            <w:r>
              <w:rPr>
                <w:rFonts w:ascii="Arial"/>
              </w:rPr>
              <w:t>the</w:t>
            </w:r>
            <w:r>
              <w:rPr>
                <w:rFonts w:ascii="Arial"/>
                <w:spacing w:val="24"/>
              </w:rPr>
              <w:t xml:space="preserve"> </w:t>
            </w:r>
            <w:r>
              <w:rPr>
                <w:rFonts w:ascii="Arial"/>
                <w:spacing w:val="-2"/>
              </w:rPr>
              <w:t>Supplier</w:t>
            </w:r>
            <w:r>
              <w:rPr>
                <w:rFonts w:ascii="Arial"/>
                <w:spacing w:val="26"/>
              </w:rPr>
              <w:t xml:space="preserve"> </w:t>
            </w:r>
            <w:r>
              <w:rPr>
                <w:rFonts w:ascii="Arial"/>
              </w:rPr>
              <w:t>to</w:t>
            </w:r>
            <w:r>
              <w:rPr>
                <w:rFonts w:ascii="Arial"/>
                <w:spacing w:val="24"/>
              </w:rPr>
              <w:t xml:space="preserve"> </w:t>
            </w:r>
            <w:r>
              <w:rPr>
                <w:rFonts w:ascii="Arial"/>
              </w:rPr>
              <w:t>the</w:t>
            </w:r>
            <w:r>
              <w:rPr>
                <w:rFonts w:ascii="Arial"/>
                <w:spacing w:val="24"/>
              </w:rPr>
              <w:t xml:space="preserve"> </w:t>
            </w:r>
            <w:r>
              <w:rPr>
                <w:rFonts w:ascii="Arial"/>
                <w:spacing w:val="-2"/>
              </w:rPr>
              <w:t>Costumer</w:t>
            </w:r>
            <w:r>
              <w:rPr>
                <w:rFonts w:ascii="Arial"/>
                <w:spacing w:val="26"/>
              </w:rPr>
              <w:t xml:space="preserve"> </w:t>
            </w:r>
            <w:r>
              <w:rPr>
                <w:rFonts w:ascii="Arial"/>
                <w:spacing w:val="-2"/>
              </w:rPr>
              <w:t>of</w:t>
            </w:r>
            <w:r>
              <w:rPr>
                <w:rFonts w:ascii="Arial"/>
                <w:spacing w:val="26"/>
              </w:rPr>
              <w:t xml:space="preserve"> </w:t>
            </w:r>
            <w:r>
              <w:rPr>
                <w:rFonts w:ascii="Arial"/>
                <w:spacing w:val="-2"/>
              </w:rPr>
              <w:t>even</w:t>
            </w:r>
            <w:r>
              <w:rPr>
                <w:rFonts w:ascii="Arial"/>
                <w:spacing w:val="24"/>
              </w:rPr>
              <w:t xml:space="preserve"> </w:t>
            </w:r>
            <w:r>
              <w:rPr>
                <w:rFonts w:ascii="Arial"/>
                <w:spacing w:val="-1"/>
              </w:rPr>
              <w:t>date</w:t>
            </w:r>
            <w:r>
              <w:rPr>
                <w:rFonts w:ascii="Arial"/>
                <w:spacing w:val="43"/>
              </w:rPr>
              <w:t xml:space="preserve"> </w:t>
            </w:r>
            <w:r>
              <w:rPr>
                <w:rFonts w:ascii="Arial"/>
                <w:spacing w:val="-1"/>
              </w:rPr>
              <w:t>with</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spacing w:val="-3"/>
              </w:rPr>
              <w:t xml:space="preserve"> </w:t>
            </w:r>
            <w:r>
              <w:rPr>
                <w:rFonts w:ascii="Arial"/>
                <w:spacing w:val="-1"/>
              </w:rPr>
              <w:t>Off</w:t>
            </w:r>
            <w:r>
              <w:rPr>
                <w:rFonts w:ascii="Arial"/>
                <w:spacing w:val="2"/>
              </w:rPr>
              <w:t xml:space="preserve"> </w:t>
            </w:r>
            <w:r>
              <w:rPr>
                <w:rFonts w:ascii="Arial"/>
                <w:spacing w:val="-1"/>
              </w:rPr>
              <w:t>Contract;</w:t>
            </w:r>
          </w:p>
        </w:tc>
      </w:tr>
      <w:tr w:rsidR="008918FA" w:rsidTr="005D2B81">
        <w:trPr>
          <w:trHeight w:hRule="exact" w:val="1638"/>
        </w:trPr>
        <w:tc>
          <w:tcPr>
            <w:tcW w:w="3132" w:type="dxa"/>
            <w:tcBorders>
              <w:top w:val="nil"/>
              <w:left w:val="nil"/>
              <w:bottom w:val="nil"/>
              <w:right w:val="nil"/>
            </w:tcBorders>
          </w:tcPr>
          <w:p w:rsidR="008918FA" w:rsidRDefault="008918FA" w:rsidP="005D2B81">
            <w:pPr>
              <w:pStyle w:val="TableParagraph"/>
              <w:spacing w:before="48"/>
              <w:ind w:left="230"/>
              <w:rPr>
                <w:rFonts w:ascii="Arial" w:eastAsia="Arial" w:hAnsi="Arial" w:cs="Arial"/>
              </w:rPr>
            </w:pPr>
            <w:r>
              <w:rPr>
                <w:rFonts w:ascii="Arial"/>
                <w:b/>
                <w:spacing w:val="-1"/>
              </w:rPr>
              <w:t>"Non-Exclusive</w:t>
            </w:r>
            <w:r>
              <w:rPr>
                <w:rFonts w:ascii="Arial"/>
                <w:b/>
                <w:spacing w:val="3"/>
              </w:rPr>
              <w:t xml:space="preserve"> </w:t>
            </w:r>
            <w:r>
              <w:rPr>
                <w:rFonts w:ascii="Arial"/>
                <w:b/>
                <w:spacing w:val="-2"/>
              </w:rPr>
              <w:t>Assets"</w:t>
            </w:r>
          </w:p>
        </w:tc>
        <w:tc>
          <w:tcPr>
            <w:tcW w:w="4691" w:type="dxa"/>
            <w:tcBorders>
              <w:top w:val="nil"/>
              <w:left w:val="nil"/>
              <w:bottom w:val="nil"/>
              <w:right w:val="nil"/>
            </w:tcBorders>
          </w:tcPr>
          <w:p w:rsidR="008918FA" w:rsidRDefault="008918FA" w:rsidP="005D2B81">
            <w:pPr>
              <w:pStyle w:val="TableParagraph"/>
              <w:spacing w:before="50"/>
              <w:ind w:left="210" w:right="229"/>
              <w:jc w:val="both"/>
              <w:rPr>
                <w:rFonts w:ascii="Arial" w:eastAsia="Arial" w:hAnsi="Arial" w:cs="Arial"/>
              </w:rPr>
            </w:pPr>
            <w:r>
              <w:rPr>
                <w:rFonts w:ascii="Arial"/>
                <w:spacing w:val="-1"/>
              </w:rPr>
              <w:t>means</w:t>
            </w:r>
            <w:r>
              <w:rPr>
                <w:rFonts w:ascii="Arial"/>
                <w:spacing w:val="6"/>
              </w:rPr>
              <w:t xml:space="preserve"> </w:t>
            </w:r>
            <w:r>
              <w:rPr>
                <w:rFonts w:ascii="Arial"/>
                <w:spacing w:val="-1"/>
              </w:rPr>
              <w:t>those</w:t>
            </w:r>
            <w:r>
              <w:rPr>
                <w:rFonts w:ascii="Arial"/>
                <w:spacing w:val="6"/>
              </w:rPr>
              <w:t xml:space="preserve"> </w:t>
            </w:r>
            <w:r>
              <w:rPr>
                <w:rFonts w:ascii="Arial"/>
                <w:spacing w:val="-2"/>
              </w:rPr>
              <w:t>Supplier</w:t>
            </w:r>
            <w:r>
              <w:rPr>
                <w:rFonts w:ascii="Arial"/>
                <w:spacing w:val="7"/>
              </w:rPr>
              <w:t xml:space="preserve"> </w:t>
            </w:r>
            <w:r>
              <w:rPr>
                <w:rFonts w:ascii="Arial"/>
                <w:spacing w:val="-1"/>
              </w:rPr>
              <w:t>Assets</w:t>
            </w:r>
            <w:r>
              <w:rPr>
                <w:rFonts w:ascii="Arial"/>
                <w:spacing w:val="5"/>
              </w:rPr>
              <w:t xml:space="preserve"> </w:t>
            </w:r>
            <w:r>
              <w:rPr>
                <w:rFonts w:ascii="Arial"/>
                <w:spacing w:val="-2"/>
              </w:rPr>
              <w:t>(if</w:t>
            </w:r>
            <w:r>
              <w:rPr>
                <w:rFonts w:ascii="Arial"/>
                <w:spacing w:val="9"/>
              </w:rPr>
              <w:t xml:space="preserve"> </w:t>
            </w:r>
            <w:r>
              <w:rPr>
                <w:rFonts w:ascii="Arial"/>
                <w:spacing w:val="-2"/>
              </w:rPr>
              <w:t>any)</w:t>
            </w:r>
            <w:r>
              <w:rPr>
                <w:rFonts w:ascii="Arial"/>
                <w:spacing w:val="6"/>
              </w:rPr>
              <w:t xml:space="preserve"> </w:t>
            </w:r>
            <w:r>
              <w:rPr>
                <w:rFonts w:ascii="Arial"/>
                <w:spacing w:val="-2"/>
              </w:rPr>
              <w:t>which</w:t>
            </w:r>
            <w:r>
              <w:rPr>
                <w:rFonts w:ascii="Arial"/>
                <w:spacing w:val="50"/>
              </w:rPr>
              <w:t xml:space="preserve"> </w:t>
            </w:r>
            <w:r>
              <w:rPr>
                <w:rFonts w:ascii="Arial"/>
                <w:spacing w:val="-1"/>
              </w:rPr>
              <w:t>are</w:t>
            </w:r>
            <w:r>
              <w:rPr>
                <w:rFonts w:ascii="Arial"/>
                <w:spacing w:val="55"/>
              </w:rPr>
              <w:t xml:space="preserve"> </w:t>
            </w:r>
            <w:r>
              <w:rPr>
                <w:rFonts w:ascii="Arial"/>
                <w:spacing w:val="-1"/>
              </w:rPr>
              <w:t>used</w:t>
            </w:r>
            <w:r>
              <w:rPr>
                <w:rFonts w:ascii="Arial"/>
                <w:spacing w:val="55"/>
              </w:rPr>
              <w:t xml:space="preserve"> </w:t>
            </w:r>
            <w:r>
              <w:rPr>
                <w:rFonts w:ascii="Arial"/>
                <w:spacing w:val="-1"/>
              </w:rPr>
              <w:t>by</w:t>
            </w:r>
            <w:r>
              <w:rPr>
                <w:rFonts w:ascii="Arial"/>
                <w:spacing w:val="53"/>
              </w:rPr>
              <w:t xml:space="preserve"> </w:t>
            </w:r>
            <w:r>
              <w:rPr>
                <w:rFonts w:ascii="Arial"/>
              </w:rPr>
              <w:t>the</w:t>
            </w:r>
            <w:r>
              <w:rPr>
                <w:rFonts w:ascii="Arial"/>
                <w:spacing w:val="55"/>
              </w:rPr>
              <w:t xml:space="preserve"> </w:t>
            </w:r>
            <w:r>
              <w:rPr>
                <w:rFonts w:ascii="Arial"/>
                <w:spacing w:val="-1"/>
              </w:rPr>
              <w:t>Supplier</w:t>
            </w:r>
            <w:r>
              <w:rPr>
                <w:rFonts w:ascii="Arial"/>
                <w:spacing w:val="57"/>
              </w:rPr>
              <w:t xml:space="preserve"> </w:t>
            </w:r>
            <w:r>
              <w:rPr>
                <w:rFonts w:ascii="Arial"/>
                <w:spacing w:val="-1"/>
              </w:rPr>
              <w:t>or</w:t>
            </w:r>
            <w:r>
              <w:rPr>
                <w:rFonts w:ascii="Arial"/>
                <w:spacing w:val="57"/>
              </w:rPr>
              <w:t xml:space="preserve"> </w:t>
            </w:r>
            <w:r>
              <w:rPr>
                <w:rFonts w:ascii="Arial"/>
              </w:rPr>
              <w:t>a</w:t>
            </w:r>
            <w:r>
              <w:rPr>
                <w:rFonts w:ascii="Arial"/>
                <w:spacing w:val="56"/>
              </w:rPr>
              <w:t xml:space="preserve"> </w:t>
            </w:r>
            <w:r>
              <w:rPr>
                <w:rFonts w:ascii="Arial"/>
                <w:spacing w:val="-1"/>
              </w:rPr>
              <w:t>Key</w:t>
            </w:r>
            <w:r>
              <w:rPr>
                <w:rFonts w:ascii="Arial"/>
                <w:spacing w:val="53"/>
              </w:rPr>
              <w:t xml:space="preserve"> </w:t>
            </w:r>
            <w:r>
              <w:rPr>
                <w:rFonts w:ascii="Arial"/>
                <w:spacing w:val="-1"/>
              </w:rPr>
              <w:t>Sub-</w:t>
            </w:r>
            <w:r>
              <w:rPr>
                <w:rFonts w:ascii="Arial"/>
                <w:spacing w:val="27"/>
              </w:rPr>
              <w:t xml:space="preserve"> </w:t>
            </w:r>
            <w:r>
              <w:rPr>
                <w:rFonts w:ascii="Arial"/>
                <w:spacing w:val="-1"/>
              </w:rPr>
              <w:t>Contractor</w:t>
            </w:r>
            <w:r>
              <w:rPr>
                <w:rFonts w:ascii="Arial"/>
                <w:spacing w:val="5"/>
              </w:rPr>
              <w:t xml:space="preserve"> </w:t>
            </w:r>
            <w:r>
              <w:rPr>
                <w:rFonts w:ascii="Arial"/>
                <w:spacing w:val="-1"/>
              </w:rPr>
              <w:t>in</w:t>
            </w:r>
            <w:r>
              <w:rPr>
                <w:rFonts w:ascii="Arial"/>
                <w:spacing w:val="4"/>
              </w:rPr>
              <w:t xml:space="preserve"> </w:t>
            </w:r>
            <w:r>
              <w:rPr>
                <w:rFonts w:ascii="Arial"/>
                <w:spacing w:val="-1"/>
              </w:rPr>
              <w:t>connection</w:t>
            </w:r>
            <w:r>
              <w:rPr>
                <w:rFonts w:ascii="Arial"/>
                <w:spacing w:val="6"/>
              </w:rPr>
              <w:t xml:space="preserve"> </w:t>
            </w:r>
            <w:r>
              <w:rPr>
                <w:rFonts w:ascii="Arial"/>
                <w:spacing w:val="-2"/>
              </w:rPr>
              <w:t>with</w:t>
            </w:r>
            <w:r>
              <w:rPr>
                <w:rFonts w:ascii="Arial"/>
                <w:spacing w:val="4"/>
              </w:rPr>
              <w:t xml:space="preserve"> </w:t>
            </w:r>
            <w:r>
              <w:rPr>
                <w:rFonts w:ascii="Arial"/>
              </w:rPr>
              <w:t>the</w:t>
            </w:r>
            <w:r>
              <w:rPr>
                <w:rFonts w:ascii="Arial"/>
                <w:spacing w:val="4"/>
              </w:rPr>
              <w:t xml:space="preserve"> </w:t>
            </w:r>
            <w:r>
              <w:rPr>
                <w:rFonts w:ascii="Arial"/>
                <w:spacing w:val="-1"/>
              </w:rPr>
              <w:t>Goods</w:t>
            </w:r>
            <w:r>
              <w:rPr>
                <w:rFonts w:ascii="Arial"/>
                <w:spacing w:val="22"/>
              </w:rPr>
              <w:t xml:space="preserve"> </w:t>
            </w:r>
            <w:r>
              <w:rPr>
                <w:rFonts w:ascii="Arial"/>
                <w:spacing w:val="-1"/>
              </w:rPr>
              <w:t>and/or</w:t>
            </w:r>
            <w:r>
              <w:rPr>
                <w:rFonts w:ascii="Arial"/>
                <w:spacing w:val="9"/>
              </w:rPr>
              <w:t xml:space="preserve"> </w:t>
            </w:r>
            <w:r>
              <w:rPr>
                <w:rFonts w:ascii="Arial"/>
                <w:spacing w:val="-2"/>
              </w:rPr>
              <w:t>Services</w:t>
            </w:r>
            <w:r>
              <w:rPr>
                <w:rFonts w:ascii="Arial"/>
                <w:spacing w:val="9"/>
              </w:rPr>
              <w:t xml:space="preserve"> </w:t>
            </w:r>
            <w:r>
              <w:rPr>
                <w:rFonts w:ascii="Arial"/>
                <w:spacing w:val="-1"/>
              </w:rPr>
              <w:t>but</w:t>
            </w:r>
            <w:r>
              <w:rPr>
                <w:rFonts w:ascii="Arial"/>
                <w:spacing w:val="9"/>
              </w:rPr>
              <w:t xml:space="preserve"> </w:t>
            </w:r>
            <w:r>
              <w:rPr>
                <w:rFonts w:ascii="Arial"/>
                <w:spacing w:val="-2"/>
              </w:rPr>
              <w:t>which</w:t>
            </w:r>
            <w:r>
              <w:rPr>
                <w:rFonts w:ascii="Arial"/>
                <w:spacing w:val="8"/>
              </w:rPr>
              <w:t xml:space="preserve"> </w:t>
            </w:r>
            <w:r>
              <w:rPr>
                <w:rFonts w:ascii="Arial"/>
                <w:spacing w:val="-1"/>
              </w:rPr>
              <w:t>are</w:t>
            </w:r>
            <w:r>
              <w:rPr>
                <w:rFonts w:ascii="Arial"/>
                <w:spacing w:val="7"/>
              </w:rPr>
              <w:t xml:space="preserve"> </w:t>
            </w:r>
            <w:r>
              <w:rPr>
                <w:rFonts w:ascii="Arial"/>
                <w:spacing w:val="-1"/>
              </w:rPr>
              <w:t>also</w:t>
            </w:r>
            <w:r>
              <w:rPr>
                <w:rFonts w:ascii="Arial"/>
                <w:spacing w:val="8"/>
              </w:rPr>
              <w:t xml:space="preserve"> </w:t>
            </w:r>
            <w:r>
              <w:rPr>
                <w:rFonts w:ascii="Arial"/>
                <w:spacing w:val="-1"/>
              </w:rPr>
              <w:t>used</w:t>
            </w:r>
            <w:r>
              <w:rPr>
                <w:rFonts w:ascii="Arial"/>
                <w:spacing w:val="5"/>
              </w:rPr>
              <w:t xml:space="preserve"> </w:t>
            </w:r>
            <w:r>
              <w:rPr>
                <w:rFonts w:ascii="Arial"/>
                <w:spacing w:val="-1"/>
              </w:rPr>
              <w:t>by</w:t>
            </w:r>
            <w:r>
              <w:rPr>
                <w:rFonts w:ascii="Arial"/>
                <w:spacing w:val="32"/>
              </w:rPr>
              <w:t xml:space="preserve"> </w:t>
            </w:r>
            <w:r>
              <w:rPr>
                <w:rFonts w:ascii="Arial"/>
              </w:rPr>
              <w:t>the</w:t>
            </w:r>
            <w:r>
              <w:rPr>
                <w:rFonts w:ascii="Arial"/>
                <w:spacing w:val="40"/>
              </w:rPr>
              <w:t xml:space="preserve"> </w:t>
            </w:r>
            <w:r>
              <w:rPr>
                <w:rFonts w:ascii="Arial"/>
                <w:spacing w:val="-2"/>
              </w:rPr>
              <w:t>Supplier</w:t>
            </w:r>
            <w:r>
              <w:rPr>
                <w:rFonts w:ascii="Arial"/>
                <w:spacing w:val="41"/>
              </w:rPr>
              <w:t xml:space="preserve"> </w:t>
            </w:r>
            <w:r>
              <w:rPr>
                <w:rFonts w:ascii="Arial"/>
                <w:spacing w:val="-1"/>
              </w:rPr>
              <w:t>or</w:t>
            </w:r>
            <w:r>
              <w:rPr>
                <w:rFonts w:ascii="Arial"/>
                <w:spacing w:val="41"/>
              </w:rPr>
              <w:t xml:space="preserve"> </w:t>
            </w:r>
            <w:r>
              <w:rPr>
                <w:rFonts w:ascii="Arial"/>
                <w:spacing w:val="-1"/>
              </w:rPr>
              <w:t>Key</w:t>
            </w:r>
            <w:r>
              <w:rPr>
                <w:rFonts w:ascii="Arial"/>
                <w:spacing w:val="35"/>
              </w:rPr>
              <w:t xml:space="preserve"> </w:t>
            </w:r>
            <w:r>
              <w:rPr>
                <w:rFonts w:ascii="Arial"/>
                <w:spacing w:val="-1"/>
              </w:rPr>
              <w:t>Sub-Contractor</w:t>
            </w:r>
            <w:r>
              <w:rPr>
                <w:rFonts w:ascii="Arial"/>
                <w:spacing w:val="36"/>
              </w:rPr>
              <w:t xml:space="preserve"> </w:t>
            </w:r>
            <w:r>
              <w:rPr>
                <w:rFonts w:ascii="Arial"/>
              </w:rPr>
              <w:t>for</w:t>
            </w:r>
            <w:r>
              <w:rPr>
                <w:rFonts w:ascii="Arial"/>
                <w:spacing w:val="29"/>
              </w:rPr>
              <w:t xml:space="preserve"> </w:t>
            </w:r>
            <w:r>
              <w:rPr>
                <w:rFonts w:ascii="Arial"/>
                <w:spacing w:val="-1"/>
              </w:rPr>
              <w:t>other purposes;</w:t>
            </w:r>
          </w:p>
        </w:tc>
      </w:tr>
      <w:tr w:rsidR="008918FA" w:rsidTr="005D2B81">
        <w:trPr>
          <w:trHeight w:hRule="exact" w:val="878"/>
        </w:trPr>
        <w:tc>
          <w:tcPr>
            <w:tcW w:w="3132"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"Registers"</w:t>
            </w:r>
          </w:p>
        </w:tc>
        <w:tc>
          <w:tcPr>
            <w:tcW w:w="4691" w:type="dxa"/>
            <w:tcBorders>
              <w:top w:val="nil"/>
              <w:left w:val="nil"/>
              <w:bottom w:val="nil"/>
              <w:right w:val="nil"/>
            </w:tcBorders>
          </w:tcPr>
          <w:p w:rsidR="008918FA" w:rsidRDefault="008918FA" w:rsidP="005D2B81">
            <w:pPr>
              <w:pStyle w:val="TableParagraph"/>
              <w:spacing w:before="49"/>
              <w:ind w:left="210" w:right="229"/>
              <w:jc w:val="both"/>
              <w:rPr>
                <w:rFonts w:ascii="Arial" w:eastAsia="Arial" w:hAnsi="Arial" w:cs="Arial"/>
              </w:rPr>
            </w:pPr>
            <w:r>
              <w:rPr>
                <w:rFonts w:ascii="Arial"/>
                <w:spacing w:val="-1"/>
              </w:rPr>
              <w:t>means</w:t>
            </w:r>
            <w:r>
              <w:rPr>
                <w:rFonts w:ascii="Arial"/>
                <w:spacing w:val="47"/>
              </w:rPr>
              <w:t xml:space="preserve"> </w:t>
            </w:r>
            <w:r>
              <w:rPr>
                <w:rFonts w:ascii="Arial"/>
              </w:rPr>
              <w:t>the</w:t>
            </w:r>
            <w:r>
              <w:rPr>
                <w:rFonts w:ascii="Arial"/>
                <w:spacing w:val="44"/>
              </w:rPr>
              <w:t xml:space="preserve"> </w:t>
            </w:r>
            <w:r>
              <w:rPr>
                <w:rFonts w:ascii="Arial"/>
                <w:spacing w:val="-1"/>
              </w:rPr>
              <w:t>register</w:t>
            </w:r>
            <w:r>
              <w:rPr>
                <w:rFonts w:ascii="Arial"/>
                <w:spacing w:val="47"/>
              </w:rPr>
              <w:t xml:space="preserve"> </w:t>
            </w:r>
            <w:r>
              <w:rPr>
                <w:rFonts w:ascii="Arial"/>
                <w:spacing w:val="-1"/>
              </w:rPr>
              <w:t>and</w:t>
            </w:r>
            <w:r>
              <w:rPr>
                <w:rFonts w:ascii="Arial"/>
                <w:spacing w:val="46"/>
              </w:rPr>
              <w:t xml:space="preserve"> </w:t>
            </w:r>
            <w:r>
              <w:rPr>
                <w:rFonts w:ascii="Arial"/>
                <w:spacing w:val="-1"/>
              </w:rPr>
              <w:t>configuration</w:t>
            </w:r>
            <w:r>
              <w:rPr>
                <w:rFonts w:ascii="Arial"/>
                <w:spacing w:val="24"/>
              </w:rPr>
              <w:t xml:space="preserve"> </w:t>
            </w:r>
            <w:r>
              <w:rPr>
                <w:rFonts w:ascii="Arial"/>
                <w:spacing w:val="-1"/>
              </w:rPr>
              <w:t>database</w:t>
            </w:r>
            <w:r>
              <w:rPr>
                <w:rFonts w:ascii="Arial"/>
                <w:spacing w:val="16"/>
              </w:rPr>
              <w:t xml:space="preserve"> </w:t>
            </w:r>
            <w:r>
              <w:rPr>
                <w:rFonts w:ascii="Arial"/>
                <w:spacing w:val="-1"/>
              </w:rPr>
              <w:t>referred</w:t>
            </w:r>
            <w:r>
              <w:rPr>
                <w:rFonts w:ascii="Arial"/>
                <w:spacing w:val="13"/>
              </w:rPr>
              <w:t xml:space="preserve"> </w:t>
            </w:r>
            <w:r>
              <w:rPr>
                <w:rFonts w:ascii="Arial"/>
              </w:rPr>
              <w:t>to</w:t>
            </w:r>
            <w:r>
              <w:rPr>
                <w:rFonts w:ascii="Arial"/>
                <w:spacing w:val="16"/>
              </w:rPr>
              <w:t xml:space="preserve"> </w:t>
            </w:r>
            <w:r>
              <w:rPr>
                <w:rFonts w:ascii="Arial"/>
                <w:spacing w:val="-1"/>
              </w:rPr>
              <w:t>in</w:t>
            </w:r>
            <w:r>
              <w:rPr>
                <w:rFonts w:ascii="Arial"/>
                <w:spacing w:val="16"/>
              </w:rPr>
              <w:t xml:space="preserve"> </w:t>
            </w:r>
            <w:r>
              <w:rPr>
                <w:rFonts w:ascii="Arial"/>
                <w:spacing w:val="-1"/>
              </w:rPr>
              <w:t>paragraph</w:t>
            </w:r>
            <w:hyperlink w:anchor="_bookmark367" w:history="1">
              <w:r>
                <w:rPr>
                  <w:rFonts w:ascii="Arial"/>
                  <w:spacing w:val="-1"/>
                </w:rPr>
                <w:t>s</w:t>
              </w:r>
              <w:r>
                <w:rPr>
                  <w:rFonts w:ascii="Arial"/>
                </w:rPr>
                <w:t xml:space="preserve"> </w:t>
              </w:r>
              <w:r>
                <w:rPr>
                  <w:rFonts w:ascii="Arial"/>
                  <w:spacing w:val="-1"/>
                </w:rPr>
                <w:t>3.1.1</w:t>
              </w:r>
            </w:hyperlink>
            <w:r>
              <w:rPr>
                <w:rFonts w:ascii="Arial"/>
                <w:spacing w:val="21"/>
              </w:rPr>
              <w:t xml:space="preserve"> </w:t>
            </w:r>
            <w:r>
              <w:rPr>
                <w:rFonts w:ascii="Arial"/>
                <w:spacing w:val="-1"/>
              </w:rPr>
              <w:t>and</w:t>
            </w:r>
            <w:r>
              <w:rPr>
                <w:rFonts w:ascii="Arial"/>
                <w:spacing w:val="1"/>
              </w:rPr>
              <w:t xml:space="preserve"> </w:t>
            </w:r>
            <w:hyperlink w:anchor="_bookmark368" w:history="1">
              <w:r>
                <w:rPr>
                  <w:rFonts w:ascii="Arial"/>
                  <w:spacing w:val="-1"/>
                </w:rPr>
                <w:t>3.1.2</w:t>
              </w:r>
            </w:hyperlink>
            <w:r>
              <w:rPr>
                <w:rFonts w:ascii="Arial"/>
              </w:rPr>
              <w:t xml:space="preserve"> </w:t>
            </w:r>
            <w:r>
              <w:rPr>
                <w:rFonts w:ascii="Arial"/>
                <w:spacing w:val="-2"/>
              </w:rPr>
              <w:t>of</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2"/>
              </w:rPr>
              <w:t>Off</w:t>
            </w:r>
            <w:r>
              <w:rPr>
                <w:rFonts w:ascii="Arial"/>
              </w:rPr>
              <w:t xml:space="preserve"> </w:t>
            </w:r>
            <w:r>
              <w:rPr>
                <w:rFonts w:ascii="Arial"/>
                <w:spacing w:val="-1"/>
              </w:rPr>
              <w:t>Schedule;</w:t>
            </w:r>
          </w:p>
        </w:tc>
      </w:tr>
      <w:tr w:rsidR="008918FA" w:rsidTr="005D2B81">
        <w:trPr>
          <w:trHeight w:hRule="exact" w:val="1385"/>
        </w:trPr>
        <w:tc>
          <w:tcPr>
            <w:tcW w:w="3132"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"Termination</w:t>
            </w:r>
            <w:r>
              <w:rPr>
                <w:rFonts w:ascii="Arial"/>
                <w:b/>
                <w:spacing w:val="3"/>
              </w:rPr>
              <w:t xml:space="preserve"> </w:t>
            </w:r>
            <w:r>
              <w:rPr>
                <w:rFonts w:ascii="Arial"/>
                <w:b/>
                <w:spacing w:val="-2"/>
              </w:rPr>
              <w:t>Assistance"</w:t>
            </w:r>
          </w:p>
        </w:tc>
        <w:tc>
          <w:tcPr>
            <w:tcW w:w="4691" w:type="dxa"/>
            <w:tcBorders>
              <w:top w:val="nil"/>
              <w:left w:val="nil"/>
              <w:bottom w:val="nil"/>
              <w:right w:val="nil"/>
            </w:tcBorders>
          </w:tcPr>
          <w:p w:rsidR="008918FA" w:rsidRDefault="008918FA" w:rsidP="005D2B81">
            <w:pPr>
              <w:pStyle w:val="TableParagraph"/>
              <w:spacing w:before="49"/>
              <w:ind w:left="210" w:right="228"/>
              <w:jc w:val="both"/>
              <w:rPr>
                <w:rFonts w:ascii="Arial" w:eastAsia="Arial" w:hAnsi="Arial" w:cs="Arial"/>
              </w:rPr>
            </w:pPr>
            <w:r>
              <w:rPr>
                <w:rFonts w:ascii="Arial"/>
                <w:spacing w:val="-1"/>
              </w:rPr>
              <w:t>means</w:t>
            </w:r>
            <w:r>
              <w:rPr>
                <w:rFonts w:ascii="Arial"/>
                <w:spacing w:val="6"/>
              </w:rPr>
              <w:t xml:space="preserve"> </w:t>
            </w:r>
            <w:r>
              <w:rPr>
                <w:rFonts w:ascii="Arial"/>
              </w:rPr>
              <w:t>the</w:t>
            </w:r>
            <w:r>
              <w:rPr>
                <w:rFonts w:ascii="Arial"/>
                <w:spacing w:val="5"/>
              </w:rPr>
              <w:t xml:space="preserve"> </w:t>
            </w:r>
            <w:r>
              <w:rPr>
                <w:rFonts w:ascii="Arial"/>
                <w:spacing w:val="-2"/>
              </w:rPr>
              <w:t>activities</w:t>
            </w:r>
            <w:r>
              <w:rPr>
                <w:rFonts w:ascii="Arial"/>
                <w:spacing w:val="5"/>
              </w:rPr>
              <w:t xml:space="preserve"> </w:t>
            </w:r>
            <w:r>
              <w:rPr>
                <w:rFonts w:ascii="Arial"/>
              </w:rPr>
              <w:t>to</w:t>
            </w:r>
            <w:r>
              <w:rPr>
                <w:rFonts w:ascii="Arial"/>
                <w:spacing w:val="5"/>
              </w:rPr>
              <w:t xml:space="preserve"> </w:t>
            </w:r>
            <w:r>
              <w:rPr>
                <w:rFonts w:ascii="Arial"/>
                <w:spacing w:val="-1"/>
              </w:rPr>
              <w:t>be</w:t>
            </w:r>
            <w:r>
              <w:rPr>
                <w:rFonts w:ascii="Arial"/>
                <w:spacing w:val="5"/>
              </w:rPr>
              <w:t xml:space="preserve"> </w:t>
            </w:r>
            <w:r>
              <w:rPr>
                <w:rFonts w:ascii="Arial"/>
                <w:spacing w:val="-1"/>
              </w:rPr>
              <w:t>performed</w:t>
            </w:r>
            <w:r>
              <w:rPr>
                <w:rFonts w:ascii="Arial"/>
                <w:spacing w:val="5"/>
              </w:rPr>
              <w:t xml:space="preserve"> </w:t>
            </w:r>
            <w:r>
              <w:rPr>
                <w:rFonts w:ascii="Arial"/>
                <w:spacing w:val="-1"/>
              </w:rPr>
              <w:t>by</w:t>
            </w:r>
            <w:r>
              <w:rPr>
                <w:rFonts w:ascii="Arial"/>
                <w:spacing w:val="3"/>
              </w:rPr>
              <w:t xml:space="preserve"> </w:t>
            </w:r>
            <w:r>
              <w:rPr>
                <w:rFonts w:ascii="Arial"/>
                <w:spacing w:val="-1"/>
              </w:rPr>
              <w:t>the</w:t>
            </w:r>
            <w:r>
              <w:rPr>
                <w:rFonts w:ascii="Arial"/>
                <w:spacing w:val="37"/>
              </w:rPr>
              <w:t xml:space="preserve"> </w:t>
            </w:r>
            <w:r>
              <w:rPr>
                <w:rFonts w:ascii="Arial"/>
                <w:spacing w:val="-2"/>
              </w:rPr>
              <w:t>Supplier</w:t>
            </w:r>
            <w:r>
              <w:rPr>
                <w:rFonts w:ascii="Arial"/>
                <w:spacing w:val="11"/>
              </w:rPr>
              <w:t xml:space="preserve"> </w:t>
            </w:r>
            <w:r>
              <w:rPr>
                <w:rFonts w:ascii="Arial"/>
                <w:spacing w:val="-1"/>
              </w:rPr>
              <w:t>pursuant</w:t>
            </w:r>
            <w:r>
              <w:rPr>
                <w:rFonts w:ascii="Arial"/>
                <w:spacing w:val="11"/>
              </w:rPr>
              <w:t xml:space="preserve"> </w:t>
            </w:r>
            <w:r>
              <w:rPr>
                <w:rFonts w:ascii="Arial"/>
              </w:rPr>
              <w:t>to</w:t>
            </w:r>
            <w:r>
              <w:rPr>
                <w:rFonts w:ascii="Arial"/>
                <w:spacing w:val="7"/>
              </w:rPr>
              <w:t xml:space="preserve"> </w:t>
            </w:r>
            <w:r>
              <w:rPr>
                <w:rFonts w:ascii="Arial"/>
              </w:rPr>
              <w:t>the</w:t>
            </w:r>
            <w:r>
              <w:rPr>
                <w:rFonts w:ascii="Arial"/>
                <w:spacing w:val="10"/>
              </w:rPr>
              <w:t xml:space="preserve"> </w:t>
            </w:r>
            <w:r>
              <w:rPr>
                <w:rFonts w:ascii="Arial"/>
                <w:spacing w:val="-2"/>
              </w:rPr>
              <w:t>Exit</w:t>
            </w:r>
            <w:r>
              <w:rPr>
                <w:rFonts w:ascii="Arial"/>
                <w:spacing w:val="11"/>
              </w:rPr>
              <w:t xml:space="preserve"> </w:t>
            </w:r>
            <w:r>
              <w:rPr>
                <w:rFonts w:ascii="Arial"/>
                <w:spacing w:val="-1"/>
              </w:rPr>
              <w:t>Plan,</w:t>
            </w:r>
            <w:r>
              <w:rPr>
                <w:rFonts w:ascii="Arial"/>
                <w:spacing w:val="11"/>
              </w:rPr>
              <w:t xml:space="preserve"> </w:t>
            </w:r>
            <w:r>
              <w:rPr>
                <w:rFonts w:ascii="Arial"/>
                <w:spacing w:val="-1"/>
              </w:rPr>
              <w:t>and</w:t>
            </w:r>
            <w:r>
              <w:rPr>
                <w:rFonts w:ascii="Arial"/>
                <w:spacing w:val="10"/>
              </w:rPr>
              <w:t xml:space="preserve"> </w:t>
            </w:r>
            <w:r>
              <w:rPr>
                <w:rFonts w:ascii="Arial"/>
              </w:rPr>
              <w:t>any</w:t>
            </w:r>
            <w:r>
              <w:rPr>
                <w:rFonts w:ascii="Arial"/>
                <w:spacing w:val="31"/>
              </w:rPr>
              <w:t xml:space="preserve"> </w:t>
            </w:r>
            <w:r>
              <w:rPr>
                <w:rFonts w:ascii="Arial"/>
                <w:spacing w:val="-1"/>
              </w:rPr>
              <w:t>other</w:t>
            </w:r>
            <w:r>
              <w:rPr>
                <w:rFonts w:ascii="Arial"/>
                <w:spacing w:val="21"/>
              </w:rPr>
              <w:t xml:space="preserve"> </w:t>
            </w:r>
            <w:r>
              <w:rPr>
                <w:rFonts w:ascii="Arial"/>
                <w:spacing w:val="-1"/>
              </w:rPr>
              <w:t>assistance</w:t>
            </w:r>
            <w:r>
              <w:rPr>
                <w:rFonts w:ascii="Arial"/>
                <w:spacing w:val="20"/>
              </w:rPr>
              <w:t xml:space="preserve"> </w:t>
            </w:r>
            <w:r>
              <w:rPr>
                <w:rFonts w:ascii="Arial"/>
                <w:spacing w:val="-1"/>
              </w:rPr>
              <w:t>required</w:t>
            </w:r>
            <w:r>
              <w:rPr>
                <w:rFonts w:ascii="Arial"/>
                <w:spacing w:val="20"/>
              </w:rPr>
              <w:t xml:space="preserve"> </w:t>
            </w:r>
            <w:r>
              <w:rPr>
                <w:rFonts w:ascii="Arial"/>
                <w:spacing w:val="-1"/>
              </w:rPr>
              <w:t>by</w:t>
            </w:r>
            <w:r>
              <w:rPr>
                <w:rFonts w:ascii="Arial"/>
                <w:spacing w:val="17"/>
              </w:rPr>
              <w:t xml:space="preserve"> </w:t>
            </w:r>
            <w:r>
              <w:rPr>
                <w:rFonts w:ascii="Arial"/>
              </w:rPr>
              <w:t>the</w:t>
            </w:r>
            <w:r>
              <w:rPr>
                <w:rFonts w:ascii="Arial"/>
                <w:spacing w:val="19"/>
              </w:rPr>
              <w:t xml:space="preserve"> </w:t>
            </w:r>
            <w:r>
              <w:rPr>
                <w:rFonts w:ascii="Arial"/>
                <w:spacing w:val="-1"/>
              </w:rPr>
              <w:t>Customer</w:t>
            </w:r>
            <w:r>
              <w:rPr>
                <w:rFonts w:ascii="Arial"/>
                <w:spacing w:val="28"/>
              </w:rPr>
              <w:t xml:space="preserve"> </w:t>
            </w:r>
            <w:r>
              <w:rPr>
                <w:rFonts w:ascii="Arial"/>
                <w:spacing w:val="-1"/>
              </w:rPr>
              <w:t>pursuant</w:t>
            </w:r>
            <w:r>
              <w:rPr>
                <w:rFonts w:ascii="Arial"/>
                <w:spacing w:val="46"/>
              </w:rPr>
              <w:t xml:space="preserve"> </w:t>
            </w:r>
            <w:r>
              <w:rPr>
                <w:rFonts w:ascii="Arial"/>
              </w:rPr>
              <w:t>to</w:t>
            </w:r>
            <w:r>
              <w:rPr>
                <w:rFonts w:ascii="Arial"/>
                <w:spacing w:val="45"/>
              </w:rPr>
              <w:t xml:space="preserve"> </w:t>
            </w:r>
            <w:r>
              <w:rPr>
                <w:rFonts w:ascii="Arial"/>
              </w:rPr>
              <w:t>the</w:t>
            </w:r>
            <w:r>
              <w:rPr>
                <w:rFonts w:ascii="Arial"/>
                <w:spacing w:val="45"/>
              </w:rPr>
              <w:t xml:space="preserve"> </w:t>
            </w:r>
            <w:r>
              <w:rPr>
                <w:rFonts w:ascii="Arial"/>
                <w:spacing w:val="-1"/>
              </w:rPr>
              <w:t>Termination</w:t>
            </w:r>
            <w:r>
              <w:rPr>
                <w:rFonts w:ascii="Arial"/>
                <w:spacing w:val="47"/>
              </w:rPr>
              <w:t xml:space="preserve"> </w:t>
            </w:r>
            <w:r>
              <w:rPr>
                <w:rFonts w:ascii="Arial"/>
                <w:spacing w:val="-1"/>
              </w:rPr>
              <w:t>Assistance</w:t>
            </w:r>
            <w:r>
              <w:rPr>
                <w:rFonts w:ascii="Arial"/>
                <w:spacing w:val="27"/>
              </w:rPr>
              <w:t xml:space="preserve"> </w:t>
            </w:r>
            <w:r>
              <w:rPr>
                <w:rFonts w:ascii="Arial"/>
                <w:spacing w:val="-1"/>
              </w:rPr>
              <w:t>Notice;</w:t>
            </w:r>
          </w:p>
        </w:tc>
      </w:tr>
      <w:tr w:rsidR="008918FA" w:rsidTr="005D2B81">
        <w:trPr>
          <w:trHeight w:hRule="exact" w:val="626"/>
        </w:trPr>
        <w:tc>
          <w:tcPr>
            <w:tcW w:w="3132" w:type="dxa"/>
            <w:tcBorders>
              <w:top w:val="nil"/>
              <w:left w:val="nil"/>
              <w:bottom w:val="nil"/>
              <w:right w:val="nil"/>
            </w:tcBorders>
          </w:tcPr>
          <w:p w:rsidR="008918FA" w:rsidRDefault="008918FA" w:rsidP="005D2B81">
            <w:pPr>
              <w:pStyle w:val="TableParagraph"/>
              <w:spacing w:before="47"/>
              <w:ind w:left="230" w:right="313"/>
              <w:rPr>
                <w:rFonts w:ascii="Arial" w:eastAsia="Arial" w:hAnsi="Arial" w:cs="Arial"/>
              </w:rPr>
            </w:pPr>
            <w:r>
              <w:rPr>
                <w:rFonts w:ascii="Arial"/>
                <w:b/>
                <w:spacing w:val="-1"/>
              </w:rPr>
              <w:t>"Termination</w:t>
            </w:r>
            <w:r>
              <w:rPr>
                <w:rFonts w:ascii="Arial"/>
                <w:b/>
                <w:spacing w:val="3"/>
              </w:rPr>
              <w:t xml:space="preserve"> </w:t>
            </w:r>
            <w:r>
              <w:rPr>
                <w:rFonts w:ascii="Arial"/>
                <w:b/>
                <w:spacing w:val="-2"/>
              </w:rPr>
              <w:t>Assistance</w:t>
            </w:r>
            <w:r>
              <w:rPr>
                <w:rFonts w:ascii="Arial"/>
                <w:b/>
                <w:spacing w:val="20"/>
              </w:rPr>
              <w:t xml:space="preserve"> </w:t>
            </w:r>
            <w:r>
              <w:rPr>
                <w:rFonts w:ascii="Arial"/>
                <w:b/>
                <w:spacing w:val="-1"/>
              </w:rPr>
              <w:t>Notice"</w:t>
            </w:r>
          </w:p>
        </w:tc>
        <w:tc>
          <w:tcPr>
            <w:tcW w:w="4691" w:type="dxa"/>
            <w:tcBorders>
              <w:top w:val="nil"/>
              <w:left w:val="nil"/>
              <w:bottom w:val="nil"/>
              <w:right w:val="nil"/>
            </w:tcBorders>
          </w:tcPr>
          <w:p w:rsidR="008918FA" w:rsidRDefault="008918FA" w:rsidP="005D2B81">
            <w:pPr>
              <w:pStyle w:val="TableParagraph"/>
              <w:spacing w:before="49"/>
              <w:ind w:left="210"/>
              <w:rPr>
                <w:rFonts w:ascii="Arial" w:eastAsia="Arial" w:hAnsi="Arial" w:cs="Arial"/>
              </w:rPr>
            </w:pPr>
            <w:r>
              <w:rPr>
                <w:rFonts w:ascii="Arial"/>
                <w:spacing w:val="-1"/>
              </w:rPr>
              <w:t>has</w:t>
            </w:r>
            <w:r>
              <w:rPr>
                <w:rFonts w:ascii="Arial"/>
                <w:spacing w:val="46"/>
              </w:rPr>
              <w:t xml:space="preserve"> </w:t>
            </w:r>
            <w:r>
              <w:rPr>
                <w:rFonts w:ascii="Arial"/>
              </w:rPr>
              <w:t>the</w:t>
            </w:r>
            <w:r>
              <w:rPr>
                <w:rFonts w:ascii="Arial"/>
                <w:spacing w:val="43"/>
              </w:rPr>
              <w:t xml:space="preserve"> </w:t>
            </w:r>
            <w:r>
              <w:rPr>
                <w:rFonts w:ascii="Arial"/>
                <w:spacing w:val="-2"/>
              </w:rPr>
              <w:t>meaning</w:t>
            </w:r>
            <w:r>
              <w:rPr>
                <w:rFonts w:ascii="Arial"/>
                <w:spacing w:val="46"/>
              </w:rPr>
              <w:t xml:space="preserve"> </w:t>
            </w:r>
            <w:r>
              <w:rPr>
                <w:rFonts w:ascii="Arial"/>
                <w:spacing w:val="-1"/>
              </w:rPr>
              <w:t>given</w:t>
            </w:r>
            <w:r>
              <w:rPr>
                <w:rFonts w:ascii="Arial"/>
                <w:spacing w:val="47"/>
              </w:rPr>
              <w:t xml:space="preserve"> </w:t>
            </w:r>
            <w:r>
              <w:rPr>
                <w:rFonts w:ascii="Arial"/>
              </w:rPr>
              <w:t>to</w:t>
            </w:r>
            <w:r>
              <w:rPr>
                <w:rFonts w:ascii="Arial"/>
                <w:spacing w:val="46"/>
              </w:rPr>
              <w:t xml:space="preserve"> </w:t>
            </w:r>
            <w:r>
              <w:rPr>
                <w:rFonts w:ascii="Arial"/>
                <w:spacing w:val="-1"/>
              </w:rPr>
              <w:t>it</w:t>
            </w:r>
            <w:r>
              <w:rPr>
                <w:rFonts w:ascii="Arial"/>
                <w:spacing w:val="45"/>
              </w:rPr>
              <w:t xml:space="preserve"> </w:t>
            </w:r>
            <w:r>
              <w:rPr>
                <w:rFonts w:ascii="Arial"/>
                <w:spacing w:val="-1"/>
              </w:rPr>
              <w:t>in</w:t>
            </w:r>
            <w:r>
              <w:rPr>
                <w:rFonts w:ascii="Arial"/>
                <w:spacing w:val="47"/>
              </w:rPr>
              <w:t xml:space="preserve"> </w:t>
            </w:r>
            <w:r>
              <w:rPr>
                <w:rFonts w:ascii="Arial"/>
                <w:spacing w:val="-1"/>
              </w:rPr>
              <w:t>paragraph</w:t>
            </w:r>
          </w:p>
          <w:p w:rsidR="008918FA" w:rsidRDefault="00E32C6B" w:rsidP="005D2B81">
            <w:pPr>
              <w:pStyle w:val="TableParagraph"/>
              <w:spacing w:before="1"/>
              <w:ind w:left="210"/>
              <w:rPr>
                <w:rFonts w:ascii="Arial" w:eastAsia="Arial" w:hAnsi="Arial" w:cs="Arial"/>
              </w:rPr>
            </w:pPr>
            <w:hyperlink w:anchor="_bookmark374" w:history="1">
              <w:r w:rsidR="008918FA">
                <w:rPr>
                  <w:rFonts w:ascii="Arial"/>
                </w:rPr>
                <w:t>6.1</w:t>
              </w:r>
            </w:hyperlink>
            <w:r w:rsidR="008918FA">
              <w:rPr>
                <w:rFonts w:ascii="Arial"/>
              </w:rPr>
              <w:t xml:space="preserve"> </w:t>
            </w:r>
            <w:r w:rsidR="008918FA">
              <w:rPr>
                <w:rFonts w:ascii="Arial"/>
                <w:spacing w:val="-2"/>
              </w:rPr>
              <w:t>of</w:t>
            </w:r>
            <w:r w:rsidR="008918FA">
              <w:rPr>
                <w:rFonts w:ascii="Arial"/>
              </w:rPr>
              <w:t xml:space="preserve"> </w:t>
            </w:r>
            <w:r w:rsidR="008918FA">
              <w:rPr>
                <w:rFonts w:ascii="Arial"/>
                <w:spacing w:val="-1"/>
              </w:rPr>
              <w:t>this</w:t>
            </w:r>
            <w:r w:rsidR="008918FA">
              <w:rPr>
                <w:rFonts w:ascii="Arial"/>
                <w:spacing w:val="1"/>
              </w:rPr>
              <w:t xml:space="preserve"> </w:t>
            </w:r>
            <w:r w:rsidR="008918FA">
              <w:rPr>
                <w:rFonts w:ascii="Arial"/>
                <w:spacing w:val="-2"/>
              </w:rPr>
              <w:t>Call</w:t>
            </w:r>
            <w:r w:rsidR="008918FA">
              <w:rPr>
                <w:rFonts w:ascii="Arial"/>
              </w:rPr>
              <w:t xml:space="preserve"> </w:t>
            </w:r>
            <w:r w:rsidR="008918FA">
              <w:rPr>
                <w:rFonts w:ascii="Arial"/>
                <w:spacing w:val="-1"/>
              </w:rPr>
              <w:t>Off</w:t>
            </w:r>
            <w:r w:rsidR="008918FA">
              <w:rPr>
                <w:rFonts w:ascii="Arial"/>
              </w:rPr>
              <w:t xml:space="preserve"> </w:t>
            </w:r>
            <w:r w:rsidR="008918FA">
              <w:rPr>
                <w:rFonts w:ascii="Arial"/>
                <w:spacing w:val="-2"/>
              </w:rPr>
              <w:t>Schedule;</w:t>
            </w:r>
          </w:p>
        </w:tc>
      </w:tr>
      <w:tr w:rsidR="008918FA" w:rsidTr="005D2B81">
        <w:trPr>
          <w:trHeight w:hRule="exact" w:val="1622"/>
        </w:trPr>
        <w:tc>
          <w:tcPr>
            <w:tcW w:w="3132" w:type="dxa"/>
            <w:tcBorders>
              <w:top w:val="nil"/>
              <w:left w:val="nil"/>
              <w:bottom w:val="nil"/>
              <w:right w:val="nil"/>
            </w:tcBorders>
          </w:tcPr>
          <w:p w:rsidR="008918FA" w:rsidRDefault="008918FA" w:rsidP="005D2B81">
            <w:pPr>
              <w:pStyle w:val="TableParagraph"/>
              <w:spacing w:before="47"/>
              <w:ind w:left="230" w:right="313"/>
              <w:rPr>
                <w:rFonts w:ascii="Arial" w:eastAsia="Arial" w:hAnsi="Arial" w:cs="Arial"/>
              </w:rPr>
            </w:pPr>
            <w:r>
              <w:rPr>
                <w:rFonts w:ascii="Arial"/>
                <w:b/>
                <w:spacing w:val="-1"/>
              </w:rPr>
              <w:t>"Termination</w:t>
            </w:r>
            <w:r>
              <w:rPr>
                <w:rFonts w:ascii="Arial"/>
                <w:b/>
                <w:spacing w:val="3"/>
              </w:rPr>
              <w:t xml:space="preserve"> </w:t>
            </w:r>
            <w:r>
              <w:rPr>
                <w:rFonts w:ascii="Arial"/>
                <w:b/>
                <w:spacing w:val="-2"/>
              </w:rPr>
              <w:t>Assistance</w:t>
            </w:r>
            <w:r>
              <w:rPr>
                <w:rFonts w:ascii="Arial"/>
                <w:b/>
                <w:spacing w:val="20"/>
              </w:rPr>
              <w:t xml:space="preserve"> </w:t>
            </w:r>
            <w:r>
              <w:rPr>
                <w:rFonts w:ascii="Arial"/>
                <w:b/>
                <w:spacing w:val="-1"/>
              </w:rPr>
              <w:t>Period"</w:t>
            </w:r>
          </w:p>
        </w:tc>
        <w:tc>
          <w:tcPr>
            <w:tcW w:w="4691" w:type="dxa"/>
            <w:tcBorders>
              <w:top w:val="nil"/>
              <w:left w:val="nil"/>
              <w:bottom w:val="nil"/>
              <w:right w:val="nil"/>
            </w:tcBorders>
          </w:tcPr>
          <w:p w:rsidR="008918FA" w:rsidRDefault="008918FA" w:rsidP="005D2B81">
            <w:pPr>
              <w:pStyle w:val="TableParagraph"/>
              <w:spacing w:before="49"/>
              <w:ind w:left="210" w:right="229"/>
              <w:jc w:val="both"/>
              <w:rPr>
                <w:rFonts w:ascii="Arial" w:eastAsia="Arial" w:hAnsi="Arial" w:cs="Arial"/>
              </w:rPr>
            </w:pPr>
            <w:r>
              <w:rPr>
                <w:rFonts w:ascii="Arial"/>
                <w:spacing w:val="-1"/>
              </w:rPr>
              <w:t>means</w:t>
            </w:r>
            <w:r>
              <w:rPr>
                <w:rFonts w:ascii="Arial"/>
              </w:rPr>
              <w:t xml:space="preserve"> </w:t>
            </w:r>
            <w:r>
              <w:rPr>
                <w:rFonts w:ascii="Arial"/>
                <w:spacing w:val="-1"/>
              </w:rPr>
              <w:t>in</w:t>
            </w:r>
            <w:r>
              <w:rPr>
                <w:rFonts w:ascii="Arial"/>
                <w:spacing w:val="60"/>
              </w:rPr>
              <w:t xml:space="preserve"> </w:t>
            </w:r>
            <w:r>
              <w:rPr>
                <w:rFonts w:ascii="Arial"/>
                <w:spacing w:val="-1"/>
              </w:rPr>
              <w:t>relation</w:t>
            </w:r>
            <w:r>
              <w:rPr>
                <w:rFonts w:ascii="Arial"/>
                <w:spacing w:val="60"/>
              </w:rPr>
              <w:t xml:space="preserve"> </w:t>
            </w:r>
            <w:r>
              <w:rPr>
                <w:rFonts w:ascii="Arial"/>
              </w:rPr>
              <w:t>to</w:t>
            </w:r>
            <w:r>
              <w:rPr>
                <w:rFonts w:ascii="Arial"/>
                <w:spacing w:val="60"/>
              </w:rPr>
              <w:t xml:space="preserve"> </w:t>
            </w:r>
            <w:r>
              <w:rPr>
                <w:rFonts w:ascii="Arial"/>
              </w:rPr>
              <w:t>a</w:t>
            </w:r>
            <w:r>
              <w:rPr>
                <w:rFonts w:ascii="Arial"/>
                <w:spacing w:val="60"/>
              </w:rPr>
              <w:t xml:space="preserve"> </w:t>
            </w:r>
            <w:r>
              <w:rPr>
                <w:rFonts w:ascii="Arial"/>
                <w:spacing w:val="-1"/>
              </w:rPr>
              <w:t>Termination</w:t>
            </w:r>
            <w:r>
              <w:rPr>
                <w:rFonts w:ascii="Arial"/>
                <w:spacing w:val="28"/>
              </w:rPr>
              <w:t xml:space="preserve"> </w:t>
            </w:r>
            <w:r>
              <w:rPr>
                <w:rFonts w:ascii="Arial"/>
                <w:spacing w:val="-1"/>
              </w:rPr>
              <w:t>Assistance</w:t>
            </w:r>
            <w:r>
              <w:rPr>
                <w:rFonts w:ascii="Arial"/>
                <w:spacing w:val="46"/>
              </w:rPr>
              <w:t xml:space="preserve"> </w:t>
            </w:r>
            <w:r>
              <w:rPr>
                <w:rFonts w:ascii="Arial"/>
                <w:spacing w:val="-1"/>
              </w:rPr>
              <w:t>Notice,</w:t>
            </w:r>
            <w:r>
              <w:rPr>
                <w:rFonts w:ascii="Arial"/>
                <w:spacing w:val="47"/>
              </w:rPr>
              <w:t xml:space="preserve"> </w:t>
            </w:r>
            <w:r>
              <w:rPr>
                <w:rFonts w:ascii="Arial"/>
              </w:rPr>
              <w:t>the</w:t>
            </w:r>
            <w:r>
              <w:rPr>
                <w:rFonts w:ascii="Arial"/>
                <w:spacing w:val="43"/>
              </w:rPr>
              <w:t xml:space="preserve"> </w:t>
            </w:r>
            <w:r>
              <w:rPr>
                <w:rFonts w:ascii="Arial"/>
                <w:spacing w:val="-1"/>
              </w:rPr>
              <w:t>period</w:t>
            </w:r>
            <w:r>
              <w:rPr>
                <w:rFonts w:ascii="Arial"/>
                <w:spacing w:val="46"/>
              </w:rPr>
              <w:t xml:space="preserve"> </w:t>
            </w:r>
            <w:r>
              <w:rPr>
                <w:rFonts w:ascii="Arial"/>
                <w:spacing w:val="-1"/>
              </w:rPr>
              <w:t>specified</w:t>
            </w:r>
            <w:r>
              <w:rPr>
                <w:rFonts w:ascii="Arial"/>
                <w:spacing w:val="46"/>
              </w:rPr>
              <w:t xml:space="preserve"> </w:t>
            </w:r>
            <w:r>
              <w:rPr>
                <w:rFonts w:ascii="Arial"/>
                <w:spacing w:val="-1"/>
              </w:rPr>
              <w:t>in</w:t>
            </w:r>
            <w:r>
              <w:rPr>
                <w:rFonts w:ascii="Arial"/>
                <w:spacing w:val="23"/>
              </w:rPr>
              <w:t xml:space="preserve"> </w:t>
            </w:r>
            <w:r>
              <w:rPr>
                <w:rFonts w:ascii="Arial"/>
              </w:rPr>
              <w:t>the</w:t>
            </w:r>
            <w:r>
              <w:rPr>
                <w:rFonts w:ascii="Arial"/>
                <w:spacing w:val="24"/>
              </w:rPr>
              <w:t xml:space="preserve"> </w:t>
            </w:r>
            <w:r>
              <w:rPr>
                <w:rFonts w:ascii="Arial"/>
                <w:spacing w:val="-1"/>
              </w:rPr>
              <w:t>Termination</w:t>
            </w:r>
            <w:r>
              <w:rPr>
                <w:rFonts w:ascii="Arial"/>
                <w:spacing w:val="24"/>
              </w:rPr>
              <w:t xml:space="preserve"> </w:t>
            </w:r>
            <w:r>
              <w:rPr>
                <w:rFonts w:ascii="Arial"/>
                <w:spacing w:val="-1"/>
              </w:rPr>
              <w:t>Assistance</w:t>
            </w:r>
            <w:r>
              <w:rPr>
                <w:rFonts w:ascii="Arial"/>
                <w:spacing w:val="25"/>
              </w:rPr>
              <w:t xml:space="preserve"> </w:t>
            </w:r>
            <w:r>
              <w:rPr>
                <w:rFonts w:ascii="Arial"/>
                <w:spacing w:val="-1"/>
              </w:rPr>
              <w:t>Notice</w:t>
            </w:r>
            <w:r>
              <w:rPr>
                <w:rFonts w:ascii="Arial"/>
                <w:spacing w:val="22"/>
              </w:rPr>
              <w:t xml:space="preserve"> </w:t>
            </w:r>
            <w:r>
              <w:rPr>
                <w:rFonts w:ascii="Arial"/>
              </w:rPr>
              <w:t>for</w:t>
            </w:r>
            <w:r>
              <w:rPr>
                <w:rFonts w:ascii="Arial"/>
                <w:spacing w:val="26"/>
              </w:rPr>
              <w:t xml:space="preserve"> </w:t>
            </w:r>
            <w:r>
              <w:rPr>
                <w:rFonts w:ascii="Arial"/>
                <w:spacing w:val="-1"/>
              </w:rPr>
              <w:t>which</w:t>
            </w:r>
            <w:r>
              <w:rPr>
                <w:rFonts w:ascii="Arial"/>
                <w:spacing w:val="56"/>
              </w:rPr>
              <w:t xml:space="preserve"> </w:t>
            </w:r>
            <w:r>
              <w:rPr>
                <w:rFonts w:ascii="Arial"/>
              </w:rPr>
              <w:t>the</w:t>
            </w:r>
            <w:r>
              <w:rPr>
                <w:rFonts w:ascii="Arial"/>
                <w:spacing w:val="55"/>
              </w:rPr>
              <w:t xml:space="preserve"> </w:t>
            </w:r>
            <w:r>
              <w:rPr>
                <w:rFonts w:ascii="Arial"/>
                <w:spacing w:val="-1"/>
              </w:rPr>
              <w:t>Supplier</w:t>
            </w:r>
            <w:r>
              <w:rPr>
                <w:rFonts w:ascii="Arial"/>
                <w:spacing w:val="57"/>
              </w:rPr>
              <w:t xml:space="preserve"> </w:t>
            </w:r>
            <w:r>
              <w:rPr>
                <w:rFonts w:ascii="Arial"/>
                <w:spacing w:val="-1"/>
              </w:rPr>
              <w:t>is</w:t>
            </w:r>
            <w:r>
              <w:rPr>
                <w:rFonts w:ascii="Arial"/>
                <w:spacing w:val="56"/>
              </w:rPr>
              <w:t xml:space="preserve"> </w:t>
            </w:r>
            <w:r>
              <w:rPr>
                <w:rFonts w:ascii="Arial"/>
                <w:spacing w:val="-1"/>
              </w:rPr>
              <w:t>required</w:t>
            </w:r>
            <w:r>
              <w:rPr>
                <w:rFonts w:ascii="Arial"/>
                <w:spacing w:val="53"/>
              </w:rPr>
              <w:t xml:space="preserve"> </w:t>
            </w:r>
            <w:r>
              <w:rPr>
                <w:rFonts w:ascii="Arial"/>
              </w:rPr>
              <w:t>to</w:t>
            </w:r>
            <w:r>
              <w:rPr>
                <w:rFonts w:ascii="Arial"/>
                <w:spacing w:val="55"/>
              </w:rPr>
              <w:t xml:space="preserve"> </w:t>
            </w:r>
            <w:r>
              <w:rPr>
                <w:rFonts w:ascii="Arial"/>
                <w:spacing w:val="-2"/>
              </w:rPr>
              <w:t>provide</w:t>
            </w:r>
            <w:r>
              <w:rPr>
                <w:rFonts w:ascii="Arial"/>
                <w:spacing w:val="27"/>
              </w:rPr>
              <w:t xml:space="preserve"> </w:t>
            </w:r>
            <w:r>
              <w:rPr>
                <w:rFonts w:ascii="Arial"/>
              </w:rPr>
              <w:t>the</w:t>
            </w:r>
            <w:r>
              <w:rPr>
                <w:rFonts w:ascii="Arial"/>
                <w:spacing w:val="20"/>
              </w:rPr>
              <w:t xml:space="preserve"> </w:t>
            </w:r>
            <w:r>
              <w:rPr>
                <w:rFonts w:ascii="Arial"/>
                <w:spacing w:val="-1"/>
              </w:rPr>
              <w:t>Termination</w:t>
            </w:r>
            <w:r>
              <w:rPr>
                <w:rFonts w:ascii="Arial"/>
                <w:spacing w:val="20"/>
              </w:rPr>
              <w:t xml:space="preserve"> </w:t>
            </w:r>
            <w:r>
              <w:rPr>
                <w:rFonts w:ascii="Arial"/>
                <w:spacing w:val="-1"/>
              </w:rPr>
              <w:t>Assistance</w:t>
            </w:r>
            <w:r>
              <w:rPr>
                <w:rFonts w:ascii="Arial"/>
                <w:spacing w:val="20"/>
              </w:rPr>
              <w:t xml:space="preserve"> </w:t>
            </w:r>
            <w:r>
              <w:rPr>
                <w:rFonts w:ascii="Arial"/>
                <w:spacing w:val="-1"/>
              </w:rPr>
              <w:t>as</w:t>
            </w:r>
            <w:r>
              <w:rPr>
                <w:rFonts w:ascii="Arial"/>
                <w:spacing w:val="20"/>
              </w:rPr>
              <w:t xml:space="preserve"> </w:t>
            </w:r>
            <w:r>
              <w:rPr>
                <w:rFonts w:ascii="Arial"/>
                <w:spacing w:val="-1"/>
              </w:rPr>
              <w:t>such</w:t>
            </w:r>
            <w:r>
              <w:rPr>
                <w:rFonts w:ascii="Arial"/>
                <w:spacing w:val="20"/>
              </w:rPr>
              <w:t xml:space="preserve"> </w:t>
            </w:r>
            <w:r>
              <w:rPr>
                <w:rFonts w:ascii="Arial"/>
                <w:spacing w:val="-1"/>
              </w:rPr>
              <w:t>period</w:t>
            </w:r>
            <w:r>
              <w:rPr>
                <w:rFonts w:ascii="Arial"/>
                <w:spacing w:val="25"/>
              </w:rPr>
              <w:t xml:space="preserve"> </w:t>
            </w:r>
            <w:r>
              <w:rPr>
                <w:rFonts w:ascii="Arial"/>
                <w:spacing w:val="-1"/>
              </w:rPr>
              <w:t>may</w:t>
            </w:r>
            <w:r>
              <w:rPr>
                <w:rFonts w:ascii="Arial"/>
              </w:rPr>
              <w:t xml:space="preserve"> </w:t>
            </w:r>
            <w:r>
              <w:rPr>
                <w:rFonts w:ascii="Arial"/>
                <w:spacing w:val="2"/>
              </w:rPr>
              <w:t xml:space="preserve"> </w:t>
            </w:r>
            <w:r>
              <w:rPr>
                <w:rFonts w:ascii="Arial"/>
                <w:spacing w:val="-1"/>
              </w:rPr>
              <w:t>be</w:t>
            </w:r>
            <w:r>
              <w:rPr>
                <w:rFonts w:ascii="Arial"/>
              </w:rPr>
              <w:t xml:space="preserve"> </w:t>
            </w:r>
            <w:r>
              <w:rPr>
                <w:rFonts w:ascii="Arial"/>
                <w:spacing w:val="4"/>
              </w:rPr>
              <w:t xml:space="preserve"> </w:t>
            </w:r>
            <w:r>
              <w:rPr>
                <w:rFonts w:ascii="Arial"/>
                <w:spacing w:val="-1"/>
              </w:rPr>
              <w:t>extended</w:t>
            </w:r>
            <w:r>
              <w:rPr>
                <w:rFonts w:ascii="Arial"/>
              </w:rPr>
              <w:t xml:space="preserve"> </w:t>
            </w:r>
            <w:r>
              <w:rPr>
                <w:rFonts w:ascii="Arial"/>
                <w:spacing w:val="4"/>
              </w:rPr>
              <w:t xml:space="preserve"> </w:t>
            </w:r>
            <w:r>
              <w:rPr>
                <w:rFonts w:ascii="Arial"/>
                <w:spacing w:val="-1"/>
              </w:rPr>
              <w:t>pursuant</w:t>
            </w:r>
            <w:r>
              <w:rPr>
                <w:rFonts w:ascii="Arial"/>
              </w:rPr>
              <w:t xml:space="preserve"> </w:t>
            </w:r>
            <w:r>
              <w:rPr>
                <w:rFonts w:ascii="Arial"/>
                <w:spacing w:val="5"/>
              </w:rPr>
              <w:t xml:space="preserve"> </w:t>
            </w:r>
            <w:r>
              <w:rPr>
                <w:rFonts w:ascii="Arial"/>
              </w:rPr>
              <w:t xml:space="preserve">to </w:t>
            </w:r>
            <w:r>
              <w:rPr>
                <w:rFonts w:ascii="Arial"/>
                <w:spacing w:val="4"/>
              </w:rPr>
              <w:t xml:space="preserve"> </w:t>
            </w:r>
            <w:r>
              <w:rPr>
                <w:rFonts w:ascii="Arial"/>
                <w:spacing w:val="-1"/>
              </w:rPr>
              <w:t>paragraph</w:t>
            </w:r>
          </w:p>
        </w:tc>
      </w:tr>
    </w:tbl>
    <w:p w:rsidR="008918FA" w:rsidRDefault="008918FA" w:rsidP="008918FA">
      <w:pPr>
        <w:jc w:val="both"/>
        <w:rPr>
          <w:rFonts w:ascii="Arial" w:eastAsia="Arial" w:hAnsi="Arial" w:cs="Arial"/>
        </w:rPr>
        <w:sectPr w:rsidR="008918FA">
          <w:pgSz w:w="11910" w:h="16840"/>
          <w:pgMar w:top="1480" w:right="1300" w:bottom="1180" w:left="1540" w:header="0" w:footer="987" w:gutter="0"/>
          <w:cols w:space="720"/>
        </w:sectPr>
      </w:pPr>
    </w:p>
    <w:p w:rsidR="008918FA" w:rsidRDefault="008918FA" w:rsidP="008918FA">
      <w:pPr>
        <w:spacing w:before="6"/>
        <w:rPr>
          <w:rFonts w:ascii="Arial" w:eastAsia="Arial" w:hAnsi="Arial" w:cs="Arial"/>
          <w:sz w:val="7"/>
          <w:szCs w:val="7"/>
        </w:rPr>
      </w:pPr>
    </w:p>
    <w:tbl>
      <w:tblPr>
        <w:tblW w:w="0" w:type="auto"/>
        <w:tblInd w:w="1088" w:type="dxa"/>
        <w:tblLayout w:type="fixed"/>
        <w:tblCellMar>
          <w:left w:w="0" w:type="dxa"/>
          <w:right w:w="0" w:type="dxa"/>
        </w:tblCellMar>
        <w:tblLook w:val="01E0" w:firstRow="1" w:lastRow="1" w:firstColumn="1" w:lastColumn="1" w:noHBand="0" w:noVBand="0"/>
      </w:tblPr>
      <w:tblGrid>
        <w:gridCol w:w="3095"/>
        <w:gridCol w:w="4728"/>
      </w:tblGrid>
      <w:tr w:rsidR="008918FA" w:rsidTr="005D2B81">
        <w:trPr>
          <w:trHeight w:hRule="exact" w:val="355"/>
        </w:trPr>
        <w:tc>
          <w:tcPr>
            <w:tcW w:w="7823" w:type="dxa"/>
            <w:gridSpan w:val="2"/>
            <w:tcBorders>
              <w:top w:val="nil"/>
              <w:left w:val="nil"/>
              <w:bottom w:val="nil"/>
              <w:right w:val="nil"/>
            </w:tcBorders>
          </w:tcPr>
          <w:p w:rsidR="008918FA" w:rsidRDefault="00E32C6B" w:rsidP="005D2B81">
            <w:pPr>
              <w:pStyle w:val="TableParagraph"/>
              <w:spacing w:before="32"/>
              <w:ind w:left="3342"/>
              <w:rPr>
                <w:rFonts w:ascii="Arial" w:eastAsia="Arial" w:hAnsi="Arial" w:cs="Arial"/>
              </w:rPr>
            </w:pPr>
            <w:hyperlink w:anchor="_bookmark375" w:history="1">
              <w:r w:rsidR="008918FA">
                <w:rPr>
                  <w:rFonts w:ascii="Arial"/>
                </w:rPr>
                <w:t>6.2</w:t>
              </w:r>
            </w:hyperlink>
            <w:r w:rsidR="008918FA">
              <w:rPr>
                <w:rFonts w:ascii="Arial"/>
              </w:rPr>
              <w:t xml:space="preserve"> </w:t>
            </w:r>
            <w:r w:rsidR="008918FA">
              <w:rPr>
                <w:rFonts w:ascii="Arial"/>
                <w:spacing w:val="-2"/>
              </w:rPr>
              <w:t>of</w:t>
            </w:r>
            <w:r w:rsidR="008918FA">
              <w:rPr>
                <w:rFonts w:ascii="Arial"/>
              </w:rPr>
              <w:t xml:space="preserve"> </w:t>
            </w:r>
            <w:r w:rsidR="008918FA">
              <w:rPr>
                <w:rFonts w:ascii="Arial"/>
                <w:spacing w:val="-1"/>
              </w:rPr>
              <w:t>this</w:t>
            </w:r>
            <w:r w:rsidR="008918FA">
              <w:rPr>
                <w:rFonts w:ascii="Arial"/>
                <w:spacing w:val="1"/>
              </w:rPr>
              <w:t xml:space="preserve"> </w:t>
            </w:r>
            <w:r w:rsidR="008918FA">
              <w:rPr>
                <w:rFonts w:ascii="Arial"/>
                <w:spacing w:val="-2"/>
              </w:rPr>
              <w:t>Call</w:t>
            </w:r>
            <w:r w:rsidR="008918FA">
              <w:rPr>
                <w:rFonts w:ascii="Arial"/>
              </w:rPr>
              <w:t xml:space="preserve"> </w:t>
            </w:r>
            <w:r w:rsidR="008918FA">
              <w:rPr>
                <w:rFonts w:ascii="Arial"/>
                <w:spacing w:val="-1"/>
              </w:rPr>
              <w:t>Off</w:t>
            </w:r>
            <w:r w:rsidR="008918FA">
              <w:rPr>
                <w:rFonts w:ascii="Arial"/>
              </w:rPr>
              <w:t xml:space="preserve"> </w:t>
            </w:r>
            <w:r w:rsidR="008918FA">
              <w:rPr>
                <w:rFonts w:ascii="Arial"/>
                <w:spacing w:val="-2"/>
              </w:rPr>
              <w:t>Schedule;</w:t>
            </w:r>
          </w:p>
        </w:tc>
      </w:tr>
      <w:tr w:rsidR="008918FA" w:rsidTr="005D2B81">
        <w:trPr>
          <w:trHeight w:hRule="exact" w:val="880"/>
        </w:trPr>
        <w:tc>
          <w:tcPr>
            <w:tcW w:w="3095"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"Transferable</w:t>
            </w:r>
            <w:r>
              <w:rPr>
                <w:rFonts w:ascii="Arial"/>
                <w:b/>
              </w:rPr>
              <w:t xml:space="preserve"> </w:t>
            </w:r>
            <w:r>
              <w:rPr>
                <w:rFonts w:ascii="Arial"/>
                <w:b/>
                <w:spacing w:val="-2"/>
              </w:rPr>
              <w:t>Assets"</w:t>
            </w:r>
          </w:p>
        </w:tc>
        <w:tc>
          <w:tcPr>
            <w:tcW w:w="4728" w:type="dxa"/>
            <w:tcBorders>
              <w:top w:val="nil"/>
              <w:left w:val="nil"/>
              <w:bottom w:val="nil"/>
              <w:right w:val="nil"/>
            </w:tcBorders>
          </w:tcPr>
          <w:p w:rsidR="008918FA" w:rsidRDefault="008918FA" w:rsidP="005D2B81">
            <w:pPr>
              <w:pStyle w:val="TableParagraph"/>
              <w:spacing w:before="49"/>
              <w:ind w:left="247" w:right="228"/>
              <w:jc w:val="both"/>
              <w:rPr>
                <w:rFonts w:ascii="Arial" w:eastAsia="Arial" w:hAnsi="Arial" w:cs="Arial"/>
              </w:rPr>
            </w:pPr>
            <w:r>
              <w:rPr>
                <w:rFonts w:ascii="Arial"/>
                <w:spacing w:val="-1"/>
              </w:rPr>
              <w:t>means</w:t>
            </w:r>
            <w:r>
              <w:rPr>
                <w:rFonts w:ascii="Arial"/>
                <w:spacing w:val="6"/>
              </w:rPr>
              <w:t xml:space="preserve"> </w:t>
            </w:r>
            <w:r>
              <w:rPr>
                <w:rFonts w:ascii="Arial"/>
                <w:spacing w:val="-1"/>
              </w:rPr>
              <w:t>those</w:t>
            </w:r>
            <w:r>
              <w:rPr>
                <w:rFonts w:ascii="Arial"/>
                <w:spacing w:val="5"/>
              </w:rPr>
              <w:t xml:space="preserve"> </w:t>
            </w:r>
            <w:r>
              <w:rPr>
                <w:rFonts w:ascii="Arial"/>
                <w:spacing w:val="-2"/>
              </w:rPr>
              <w:t>of</w:t>
            </w:r>
            <w:r>
              <w:rPr>
                <w:rFonts w:ascii="Arial"/>
                <w:spacing w:val="9"/>
              </w:rPr>
              <w:t xml:space="preserve"> </w:t>
            </w:r>
            <w:r>
              <w:rPr>
                <w:rFonts w:ascii="Arial"/>
              </w:rPr>
              <w:t>the</w:t>
            </w:r>
            <w:r>
              <w:rPr>
                <w:rFonts w:ascii="Arial"/>
                <w:spacing w:val="5"/>
              </w:rPr>
              <w:t xml:space="preserve"> </w:t>
            </w:r>
            <w:r>
              <w:rPr>
                <w:rFonts w:ascii="Arial"/>
                <w:spacing w:val="-2"/>
              </w:rPr>
              <w:t>Exclusive</w:t>
            </w:r>
            <w:r>
              <w:rPr>
                <w:rFonts w:ascii="Arial"/>
                <w:spacing w:val="7"/>
              </w:rPr>
              <w:t xml:space="preserve"> </w:t>
            </w:r>
            <w:r>
              <w:rPr>
                <w:rFonts w:ascii="Arial"/>
                <w:spacing w:val="-1"/>
              </w:rPr>
              <w:t>Assets</w:t>
            </w:r>
            <w:r>
              <w:rPr>
                <w:rFonts w:ascii="Arial"/>
                <w:spacing w:val="5"/>
              </w:rPr>
              <w:t xml:space="preserve"> </w:t>
            </w:r>
            <w:r>
              <w:rPr>
                <w:rFonts w:ascii="Arial"/>
                <w:spacing w:val="-2"/>
              </w:rPr>
              <w:t>which</w:t>
            </w:r>
            <w:r>
              <w:rPr>
                <w:rFonts w:ascii="Arial"/>
                <w:spacing w:val="40"/>
              </w:rPr>
              <w:t xml:space="preserve"> </w:t>
            </w:r>
            <w:r>
              <w:rPr>
                <w:rFonts w:ascii="Arial"/>
                <w:spacing w:val="-1"/>
              </w:rPr>
              <w:t>are</w:t>
            </w:r>
            <w:r>
              <w:rPr>
                <w:rFonts w:ascii="Arial"/>
                <w:spacing w:val="29"/>
              </w:rPr>
              <w:t xml:space="preserve"> </w:t>
            </w:r>
            <w:r>
              <w:rPr>
                <w:rFonts w:ascii="Arial"/>
                <w:spacing w:val="-1"/>
              </w:rPr>
              <w:t>capable</w:t>
            </w:r>
            <w:r>
              <w:rPr>
                <w:rFonts w:ascii="Arial"/>
                <w:spacing w:val="29"/>
              </w:rPr>
              <w:t xml:space="preserve"> </w:t>
            </w:r>
            <w:r>
              <w:rPr>
                <w:rFonts w:ascii="Arial"/>
                <w:spacing w:val="-2"/>
              </w:rPr>
              <w:t>of</w:t>
            </w:r>
            <w:r>
              <w:rPr>
                <w:rFonts w:ascii="Arial"/>
                <w:spacing w:val="30"/>
              </w:rPr>
              <w:t xml:space="preserve"> </w:t>
            </w:r>
            <w:r>
              <w:rPr>
                <w:rFonts w:ascii="Arial"/>
                <w:spacing w:val="-1"/>
              </w:rPr>
              <w:t>legal</w:t>
            </w:r>
            <w:r>
              <w:rPr>
                <w:rFonts w:ascii="Arial"/>
                <w:spacing w:val="28"/>
              </w:rPr>
              <w:t xml:space="preserve"> </w:t>
            </w:r>
            <w:r>
              <w:rPr>
                <w:rFonts w:ascii="Arial"/>
                <w:spacing w:val="-1"/>
              </w:rPr>
              <w:t>transfer</w:t>
            </w:r>
            <w:r>
              <w:rPr>
                <w:rFonts w:ascii="Arial"/>
                <w:spacing w:val="30"/>
              </w:rPr>
              <w:t xml:space="preserve"> </w:t>
            </w:r>
            <w:r>
              <w:rPr>
                <w:rFonts w:ascii="Arial"/>
              </w:rPr>
              <w:t>to</w:t>
            </w:r>
            <w:r>
              <w:rPr>
                <w:rFonts w:ascii="Arial"/>
                <w:spacing w:val="27"/>
              </w:rPr>
              <w:t xml:space="preserve"> </w:t>
            </w:r>
            <w:r>
              <w:rPr>
                <w:rFonts w:ascii="Arial"/>
                <w:spacing w:val="-1"/>
              </w:rPr>
              <w:t>the</w:t>
            </w:r>
            <w:r>
              <w:rPr>
                <w:rFonts w:ascii="Arial"/>
                <w:spacing w:val="30"/>
              </w:rPr>
              <w:t xml:space="preserve"> </w:t>
            </w:r>
            <w:r>
              <w:rPr>
                <w:rFonts w:ascii="Arial"/>
                <w:spacing w:val="-1"/>
              </w:rPr>
              <w:t>Customer;</w:t>
            </w:r>
          </w:p>
        </w:tc>
      </w:tr>
      <w:tr w:rsidR="008918FA" w:rsidTr="005D2B81">
        <w:trPr>
          <w:trHeight w:hRule="exact" w:val="2396"/>
        </w:trPr>
        <w:tc>
          <w:tcPr>
            <w:tcW w:w="3095" w:type="dxa"/>
            <w:tcBorders>
              <w:top w:val="nil"/>
              <w:left w:val="nil"/>
              <w:bottom w:val="nil"/>
              <w:right w:val="nil"/>
            </w:tcBorders>
          </w:tcPr>
          <w:p w:rsidR="008918FA" w:rsidRDefault="008918FA" w:rsidP="005D2B81">
            <w:pPr>
              <w:pStyle w:val="TableParagraph"/>
              <w:spacing w:before="48"/>
              <w:ind w:left="230"/>
              <w:rPr>
                <w:rFonts w:ascii="Arial" w:eastAsia="Arial" w:hAnsi="Arial" w:cs="Arial"/>
              </w:rPr>
            </w:pPr>
            <w:r>
              <w:rPr>
                <w:rFonts w:ascii="Arial"/>
                <w:b/>
                <w:spacing w:val="-1"/>
              </w:rPr>
              <w:t>"Transferable</w:t>
            </w:r>
            <w:r>
              <w:rPr>
                <w:rFonts w:ascii="Arial"/>
                <w:b/>
                <w:spacing w:val="-2"/>
              </w:rPr>
              <w:t xml:space="preserve"> </w:t>
            </w:r>
            <w:r>
              <w:rPr>
                <w:rFonts w:ascii="Arial"/>
                <w:b/>
                <w:spacing w:val="-1"/>
              </w:rPr>
              <w:t>Contracts"</w:t>
            </w:r>
          </w:p>
        </w:tc>
        <w:tc>
          <w:tcPr>
            <w:tcW w:w="4728" w:type="dxa"/>
            <w:tcBorders>
              <w:top w:val="nil"/>
              <w:left w:val="nil"/>
              <w:bottom w:val="nil"/>
              <w:right w:val="nil"/>
            </w:tcBorders>
          </w:tcPr>
          <w:p w:rsidR="008918FA" w:rsidRDefault="008918FA" w:rsidP="005D2B81">
            <w:pPr>
              <w:pStyle w:val="TableParagraph"/>
              <w:spacing w:before="50"/>
              <w:ind w:left="247" w:right="228"/>
              <w:jc w:val="both"/>
              <w:rPr>
                <w:rFonts w:ascii="Arial" w:eastAsia="Arial" w:hAnsi="Arial" w:cs="Arial"/>
              </w:rPr>
            </w:pPr>
            <w:r>
              <w:rPr>
                <w:rFonts w:ascii="Arial"/>
                <w:spacing w:val="-1"/>
              </w:rPr>
              <w:t>means</w:t>
            </w:r>
            <w:r>
              <w:rPr>
                <w:rFonts w:ascii="Arial"/>
                <w:spacing w:val="6"/>
              </w:rPr>
              <w:t xml:space="preserve"> </w:t>
            </w:r>
            <w:r>
              <w:rPr>
                <w:rFonts w:ascii="Arial"/>
              </w:rPr>
              <w:t>the</w:t>
            </w:r>
            <w:r>
              <w:rPr>
                <w:rFonts w:ascii="Arial"/>
                <w:spacing w:val="8"/>
              </w:rPr>
              <w:t xml:space="preserve"> </w:t>
            </w:r>
            <w:r>
              <w:rPr>
                <w:rFonts w:ascii="Arial"/>
                <w:spacing w:val="-1"/>
              </w:rPr>
              <w:t>Sub-Contracts,</w:t>
            </w:r>
            <w:r>
              <w:rPr>
                <w:rFonts w:ascii="Arial"/>
                <w:spacing w:val="7"/>
              </w:rPr>
              <w:t xml:space="preserve"> </w:t>
            </w:r>
            <w:r>
              <w:rPr>
                <w:rFonts w:ascii="Arial"/>
                <w:spacing w:val="-1"/>
              </w:rPr>
              <w:t>licences</w:t>
            </w:r>
            <w:r>
              <w:rPr>
                <w:rFonts w:ascii="Arial"/>
                <w:spacing w:val="6"/>
              </w:rPr>
              <w:t xml:space="preserve"> </w:t>
            </w:r>
            <w:r>
              <w:rPr>
                <w:rFonts w:ascii="Arial"/>
                <w:spacing w:val="-1"/>
              </w:rPr>
              <w:t>for</w:t>
            </w:r>
            <w:r>
              <w:rPr>
                <w:rFonts w:ascii="Arial"/>
                <w:spacing w:val="29"/>
              </w:rPr>
              <w:t xml:space="preserve"> </w:t>
            </w:r>
            <w:r>
              <w:rPr>
                <w:rFonts w:ascii="Arial"/>
                <w:spacing w:val="-2"/>
              </w:rPr>
              <w:t>Supplier</w:t>
            </w:r>
            <w:r>
              <w:rPr>
                <w:rFonts w:ascii="Arial"/>
                <w:spacing w:val="36"/>
              </w:rPr>
              <w:t xml:space="preserve"> </w:t>
            </w:r>
            <w:r>
              <w:rPr>
                <w:rFonts w:ascii="Arial"/>
                <w:spacing w:val="-1"/>
              </w:rPr>
              <w:t>Background</w:t>
            </w:r>
            <w:r>
              <w:rPr>
                <w:rFonts w:ascii="Arial"/>
                <w:spacing w:val="31"/>
              </w:rPr>
              <w:t xml:space="preserve"> </w:t>
            </w:r>
            <w:r>
              <w:rPr>
                <w:rFonts w:ascii="Arial"/>
                <w:spacing w:val="-2"/>
              </w:rPr>
              <w:t>IPR,</w:t>
            </w:r>
            <w:r>
              <w:rPr>
                <w:rFonts w:ascii="Arial"/>
                <w:spacing w:val="35"/>
              </w:rPr>
              <w:t xml:space="preserve"> </w:t>
            </w:r>
            <w:r>
              <w:rPr>
                <w:rFonts w:ascii="Arial"/>
                <w:spacing w:val="-1"/>
              </w:rPr>
              <w:t>Project</w:t>
            </w:r>
            <w:r>
              <w:rPr>
                <w:rFonts w:ascii="Arial"/>
                <w:spacing w:val="35"/>
              </w:rPr>
              <w:t xml:space="preserve"> </w:t>
            </w:r>
            <w:r>
              <w:rPr>
                <w:rFonts w:ascii="Arial"/>
                <w:spacing w:val="-1"/>
              </w:rPr>
              <w:t>Specific</w:t>
            </w:r>
            <w:r>
              <w:rPr>
                <w:rFonts w:ascii="Arial"/>
                <w:spacing w:val="39"/>
              </w:rPr>
              <w:t xml:space="preserve"> </w:t>
            </w:r>
            <w:r>
              <w:rPr>
                <w:rFonts w:ascii="Arial"/>
                <w:spacing w:val="-1"/>
              </w:rPr>
              <w:t>IPR,</w:t>
            </w:r>
            <w:r>
              <w:rPr>
                <w:rFonts w:ascii="Arial"/>
                <w:spacing w:val="38"/>
              </w:rPr>
              <w:t xml:space="preserve"> </w:t>
            </w:r>
            <w:r>
              <w:rPr>
                <w:rFonts w:ascii="Arial"/>
                <w:spacing w:val="-1"/>
              </w:rPr>
              <w:t>licences</w:t>
            </w:r>
            <w:r>
              <w:rPr>
                <w:rFonts w:ascii="Arial"/>
                <w:spacing w:val="34"/>
              </w:rPr>
              <w:t xml:space="preserve"> </w:t>
            </w:r>
            <w:r>
              <w:rPr>
                <w:rFonts w:ascii="Arial"/>
              </w:rPr>
              <w:t>for</w:t>
            </w:r>
            <w:r>
              <w:rPr>
                <w:rFonts w:ascii="Arial"/>
                <w:spacing w:val="35"/>
              </w:rPr>
              <w:t xml:space="preserve"> </w:t>
            </w:r>
            <w:r>
              <w:rPr>
                <w:rFonts w:ascii="Arial"/>
                <w:spacing w:val="-1"/>
              </w:rPr>
              <w:t>Third</w:t>
            </w:r>
            <w:r>
              <w:rPr>
                <w:rFonts w:ascii="Arial"/>
                <w:spacing w:val="34"/>
              </w:rPr>
              <w:t xml:space="preserve"> </w:t>
            </w:r>
            <w:r>
              <w:rPr>
                <w:rFonts w:ascii="Arial"/>
                <w:spacing w:val="-1"/>
              </w:rPr>
              <w:t>Party</w:t>
            </w:r>
            <w:r>
              <w:rPr>
                <w:rFonts w:ascii="Arial"/>
                <w:spacing w:val="35"/>
              </w:rPr>
              <w:t xml:space="preserve"> </w:t>
            </w:r>
            <w:r>
              <w:rPr>
                <w:rFonts w:ascii="Arial"/>
              </w:rPr>
              <w:t>IPR</w:t>
            </w:r>
            <w:r>
              <w:rPr>
                <w:rFonts w:ascii="Arial"/>
                <w:spacing w:val="36"/>
              </w:rPr>
              <w:t xml:space="preserve"> </w:t>
            </w:r>
            <w:r>
              <w:rPr>
                <w:rFonts w:ascii="Arial"/>
                <w:spacing w:val="-1"/>
              </w:rPr>
              <w:t>or</w:t>
            </w:r>
            <w:r>
              <w:rPr>
                <w:rFonts w:ascii="Arial"/>
                <w:spacing w:val="39"/>
              </w:rPr>
              <w:t xml:space="preserve"> </w:t>
            </w:r>
            <w:r>
              <w:rPr>
                <w:rFonts w:ascii="Arial"/>
                <w:spacing w:val="-1"/>
              </w:rPr>
              <w:t>other</w:t>
            </w:r>
            <w:r>
              <w:rPr>
                <w:rFonts w:ascii="Arial"/>
                <w:spacing w:val="29"/>
              </w:rPr>
              <w:t xml:space="preserve"> </w:t>
            </w:r>
            <w:r>
              <w:rPr>
                <w:rFonts w:ascii="Arial"/>
                <w:spacing w:val="-1"/>
              </w:rPr>
              <w:t>agreements</w:t>
            </w:r>
            <w:r>
              <w:rPr>
                <w:rFonts w:ascii="Arial"/>
                <w:spacing w:val="10"/>
              </w:rPr>
              <w:t xml:space="preserve"> </w:t>
            </w:r>
            <w:r>
              <w:rPr>
                <w:rFonts w:ascii="Arial"/>
                <w:spacing w:val="-2"/>
              </w:rPr>
              <w:t>which</w:t>
            </w:r>
            <w:r>
              <w:rPr>
                <w:rFonts w:ascii="Arial"/>
                <w:spacing w:val="10"/>
              </w:rPr>
              <w:t xml:space="preserve"> </w:t>
            </w:r>
            <w:r>
              <w:rPr>
                <w:rFonts w:ascii="Arial"/>
                <w:spacing w:val="-1"/>
              </w:rPr>
              <w:t>are</w:t>
            </w:r>
            <w:r>
              <w:rPr>
                <w:rFonts w:ascii="Arial"/>
                <w:spacing w:val="10"/>
              </w:rPr>
              <w:t xml:space="preserve"> </w:t>
            </w:r>
            <w:r>
              <w:rPr>
                <w:rFonts w:ascii="Arial"/>
                <w:spacing w:val="-1"/>
              </w:rPr>
              <w:t>necessary</w:t>
            </w:r>
            <w:r>
              <w:rPr>
                <w:rFonts w:ascii="Arial"/>
                <w:spacing w:val="8"/>
              </w:rPr>
              <w:t xml:space="preserve"> </w:t>
            </w:r>
            <w:r>
              <w:rPr>
                <w:rFonts w:ascii="Arial"/>
              </w:rPr>
              <w:t>to</w:t>
            </w:r>
            <w:r>
              <w:rPr>
                <w:rFonts w:ascii="Arial"/>
                <w:spacing w:val="10"/>
              </w:rPr>
              <w:t xml:space="preserve"> </w:t>
            </w:r>
            <w:r>
              <w:rPr>
                <w:rFonts w:ascii="Arial"/>
                <w:spacing w:val="-1"/>
              </w:rPr>
              <w:t>enable</w:t>
            </w:r>
            <w:r>
              <w:rPr>
                <w:rFonts w:ascii="Arial"/>
                <w:spacing w:val="25"/>
              </w:rPr>
              <w:t xml:space="preserve"> </w:t>
            </w:r>
            <w:r>
              <w:rPr>
                <w:rFonts w:ascii="Arial"/>
              </w:rPr>
              <w:t>the</w:t>
            </w:r>
            <w:r>
              <w:rPr>
                <w:rFonts w:ascii="Arial"/>
                <w:spacing w:val="5"/>
              </w:rPr>
              <w:t xml:space="preserve"> </w:t>
            </w:r>
            <w:r>
              <w:rPr>
                <w:rFonts w:ascii="Arial"/>
                <w:spacing w:val="-1"/>
              </w:rPr>
              <w:t>Customer</w:t>
            </w:r>
            <w:r>
              <w:rPr>
                <w:rFonts w:ascii="Arial"/>
                <w:spacing w:val="6"/>
              </w:rPr>
              <w:t xml:space="preserve"> </w:t>
            </w:r>
            <w:r>
              <w:rPr>
                <w:rFonts w:ascii="Arial"/>
                <w:spacing w:val="-2"/>
              </w:rPr>
              <w:t>or</w:t>
            </w:r>
            <w:r>
              <w:rPr>
                <w:rFonts w:ascii="Arial"/>
                <w:spacing w:val="6"/>
              </w:rPr>
              <w:t xml:space="preserve"> </w:t>
            </w:r>
            <w:r>
              <w:rPr>
                <w:rFonts w:ascii="Arial"/>
                <w:spacing w:val="-1"/>
              </w:rPr>
              <w:t>any</w:t>
            </w:r>
            <w:r>
              <w:rPr>
                <w:rFonts w:ascii="Arial"/>
                <w:spacing w:val="3"/>
              </w:rPr>
              <w:t xml:space="preserve"> </w:t>
            </w:r>
            <w:r>
              <w:rPr>
                <w:rFonts w:ascii="Arial"/>
                <w:spacing w:val="-1"/>
              </w:rPr>
              <w:t>Replacement</w:t>
            </w:r>
            <w:r>
              <w:rPr>
                <w:rFonts w:ascii="Arial"/>
                <w:spacing w:val="7"/>
              </w:rPr>
              <w:t xml:space="preserve"> </w:t>
            </w:r>
            <w:r>
              <w:rPr>
                <w:rFonts w:ascii="Arial"/>
                <w:spacing w:val="-2"/>
              </w:rPr>
              <w:t>Supplier</w:t>
            </w:r>
            <w:r>
              <w:rPr>
                <w:rFonts w:ascii="Arial"/>
                <w:spacing w:val="20"/>
              </w:rPr>
              <w:t xml:space="preserve"> </w:t>
            </w:r>
            <w:r>
              <w:rPr>
                <w:rFonts w:ascii="Arial"/>
              </w:rPr>
              <w:t>to</w:t>
            </w:r>
            <w:r>
              <w:rPr>
                <w:rFonts w:ascii="Arial"/>
                <w:spacing w:val="53"/>
              </w:rPr>
              <w:t xml:space="preserve"> </w:t>
            </w:r>
            <w:r>
              <w:rPr>
                <w:rFonts w:ascii="Arial"/>
                <w:spacing w:val="-1"/>
              </w:rPr>
              <w:t>perform</w:t>
            </w:r>
            <w:r>
              <w:rPr>
                <w:rFonts w:ascii="Arial"/>
                <w:spacing w:val="54"/>
              </w:rPr>
              <w:t xml:space="preserve"> </w:t>
            </w:r>
            <w:r>
              <w:rPr>
                <w:rFonts w:ascii="Arial"/>
              </w:rPr>
              <w:t>the</w:t>
            </w:r>
            <w:r>
              <w:rPr>
                <w:rFonts w:ascii="Arial"/>
                <w:spacing w:val="51"/>
              </w:rPr>
              <w:t xml:space="preserve"> </w:t>
            </w:r>
            <w:r>
              <w:rPr>
                <w:rFonts w:ascii="Arial"/>
                <w:spacing w:val="-1"/>
              </w:rPr>
              <w:t>Goods</w:t>
            </w:r>
            <w:r>
              <w:rPr>
                <w:rFonts w:ascii="Arial"/>
                <w:spacing w:val="51"/>
              </w:rPr>
              <w:t xml:space="preserve"> </w:t>
            </w:r>
            <w:r>
              <w:rPr>
                <w:rFonts w:ascii="Arial"/>
                <w:spacing w:val="-1"/>
              </w:rPr>
              <w:t>and/or</w:t>
            </w:r>
            <w:r>
              <w:rPr>
                <w:rFonts w:ascii="Arial"/>
                <w:spacing w:val="55"/>
              </w:rPr>
              <w:t xml:space="preserve"> </w:t>
            </w:r>
            <w:r>
              <w:rPr>
                <w:rFonts w:ascii="Arial"/>
                <w:spacing w:val="-1"/>
              </w:rPr>
              <w:t>Services</w:t>
            </w:r>
            <w:r>
              <w:rPr>
                <w:rFonts w:ascii="Arial"/>
                <w:spacing w:val="53"/>
              </w:rPr>
              <w:t xml:space="preserve"> </w:t>
            </w:r>
            <w:r>
              <w:rPr>
                <w:rFonts w:ascii="Arial"/>
                <w:spacing w:val="-2"/>
              </w:rPr>
              <w:t>or</w:t>
            </w:r>
            <w:r>
              <w:rPr>
                <w:rFonts w:ascii="Arial"/>
                <w:spacing w:val="30"/>
              </w:rPr>
              <w:t xml:space="preserve"> </w:t>
            </w:r>
            <w:r>
              <w:rPr>
                <w:rFonts w:ascii="Arial"/>
              </w:rPr>
              <w:t>the</w:t>
            </w:r>
            <w:r>
              <w:rPr>
                <w:rFonts w:ascii="Arial"/>
                <w:spacing w:val="30"/>
              </w:rPr>
              <w:t xml:space="preserve"> </w:t>
            </w:r>
            <w:r>
              <w:rPr>
                <w:rFonts w:ascii="Arial"/>
                <w:spacing w:val="-1"/>
              </w:rPr>
              <w:t>Replacement</w:t>
            </w:r>
            <w:r>
              <w:rPr>
                <w:rFonts w:ascii="Arial"/>
                <w:spacing w:val="28"/>
              </w:rPr>
              <w:t xml:space="preserve"> </w:t>
            </w:r>
            <w:r>
              <w:rPr>
                <w:rFonts w:ascii="Arial"/>
                <w:spacing w:val="-1"/>
              </w:rPr>
              <w:t>Goods</w:t>
            </w:r>
            <w:r>
              <w:rPr>
                <w:rFonts w:ascii="Arial"/>
                <w:spacing w:val="30"/>
              </w:rPr>
              <w:t xml:space="preserve"> </w:t>
            </w:r>
            <w:r>
              <w:rPr>
                <w:rFonts w:ascii="Arial"/>
                <w:spacing w:val="-2"/>
              </w:rPr>
              <w:t>and/or</w:t>
            </w:r>
            <w:r>
              <w:rPr>
                <w:rFonts w:ascii="Arial"/>
                <w:spacing w:val="30"/>
              </w:rPr>
              <w:t xml:space="preserve"> </w:t>
            </w:r>
            <w:r>
              <w:rPr>
                <w:rFonts w:ascii="Arial"/>
                <w:spacing w:val="-1"/>
              </w:rPr>
              <w:t>Replacement</w:t>
            </w:r>
            <w:r>
              <w:rPr>
                <w:rFonts w:ascii="Arial"/>
                <w:spacing w:val="11"/>
              </w:rPr>
              <w:t xml:space="preserve"> </w:t>
            </w:r>
            <w:r>
              <w:rPr>
                <w:rFonts w:ascii="Arial"/>
                <w:spacing w:val="-1"/>
              </w:rPr>
              <w:t>Services,</w:t>
            </w:r>
            <w:r>
              <w:rPr>
                <w:rFonts w:ascii="Arial"/>
                <w:spacing w:val="12"/>
              </w:rPr>
              <w:t xml:space="preserve"> </w:t>
            </w:r>
            <w:r>
              <w:rPr>
                <w:rFonts w:ascii="Arial"/>
                <w:spacing w:val="-2"/>
              </w:rPr>
              <w:t>including</w:t>
            </w:r>
            <w:r>
              <w:rPr>
                <w:rFonts w:ascii="Arial"/>
                <w:spacing w:val="12"/>
              </w:rPr>
              <w:t xml:space="preserve"> </w:t>
            </w:r>
            <w:r>
              <w:rPr>
                <w:rFonts w:ascii="Arial"/>
                <w:spacing w:val="-1"/>
              </w:rPr>
              <w:t>in</w:t>
            </w:r>
            <w:r>
              <w:rPr>
                <w:rFonts w:ascii="Arial"/>
                <w:spacing w:val="10"/>
              </w:rPr>
              <w:t xml:space="preserve"> </w:t>
            </w:r>
            <w:r>
              <w:rPr>
                <w:rFonts w:ascii="Arial"/>
                <w:spacing w:val="-1"/>
              </w:rPr>
              <w:t>relation</w:t>
            </w:r>
            <w:r>
              <w:rPr>
                <w:rFonts w:ascii="Arial"/>
                <w:spacing w:val="28"/>
              </w:rPr>
              <w:t xml:space="preserve"> </w:t>
            </w:r>
            <w:r>
              <w:rPr>
                <w:rFonts w:ascii="Arial"/>
              </w:rPr>
              <w:t xml:space="preserve">to </w:t>
            </w:r>
            <w:r>
              <w:rPr>
                <w:rFonts w:ascii="Arial"/>
                <w:spacing w:val="-1"/>
              </w:rPr>
              <w:t>licences</w:t>
            </w:r>
            <w:r>
              <w:rPr>
                <w:rFonts w:ascii="Arial"/>
                <w:spacing w:val="1"/>
              </w:rPr>
              <w:t xml:space="preserve"> </w:t>
            </w:r>
            <w:r>
              <w:rPr>
                <w:rFonts w:ascii="Arial"/>
                <w:spacing w:val="-1"/>
              </w:rPr>
              <w:t>all</w:t>
            </w:r>
            <w:r>
              <w:rPr>
                <w:rFonts w:ascii="Arial"/>
                <w:spacing w:val="-3"/>
              </w:rPr>
              <w:t xml:space="preserve"> </w:t>
            </w:r>
            <w:r>
              <w:rPr>
                <w:rFonts w:ascii="Arial"/>
                <w:spacing w:val="-2"/>
              </w:rPr>
              <w:t>relevant</w:t>
            </w:r>
            <w:r>
              <w:rPr>
                <w:rFonts w:ascii="Arial"/>
                <w:spacing w:val="2"/>
              </w:rPr>
              <w:t xml:space="preserve"> </w:t>
            </w:r>
            <w:r>
              <w:rPr>
                <w:rFonts w:ascii="Arial"/>
                <w:spacing w:val="-1"/>
              </w:rPr>
              <w:t>Documentation;</w:t>
            </w:r>
          </w:p>
        </w:tc>
      </w:tr>
      <w:tr w:rsidR="008918FA" w:rsidTr="005D2B81">
        <w:trPr>
          <w:trHeight w:hRule="exact" w:val="626"/>
        </w:trPr>
        <w:tc>
          <w:tcPr>
            <w:tcW w:w="3095"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eastAsia="Arial" w:hAnsi="Arial" w:cs="Arial"/>
                <w:b/>
                <w:bCs/>
                <w:spacing w:val="-1"/>
              </w:rPr>
              <w:t>“Transferring</w:t>
            </w:r>
            <w:r>
              <w:rPr>
                <w:rFonts w:ascii="Arial" w:eastAsia="Arial" w:hAnsi="Arial" w:cs="Arial"/>
                <w:b/>
                <w:bCs/>
              </w:rPr>
              <w:t xml:space="preserve"> </w:t>
            </w:r>
            <w:r>
              <w:rPr>
                <w:rFonts w:ascii="Arial" w:eastAsia="Arial" w:hAnsi="Arial" w:cs="Arial"/>
                <w:b/>
                <w:bCs/>
                <w:spacing w:val="-2"/>
              </w:rPr>
              <w:t>Assets”</w:t>
            </w:r>
          </w:p>
        </w:tc>
        <w:tc>
          <w:tcPr>
            <w:tcW w:w="4728" w:type="dxa"/>
            <w:tcBorders>
              <w:top w:val="nil"/>
              <w:left w:val="nil"/>
              <w:bottom w:val="nil"/>
              <w:right w:val="nil"/>
            </w:tcBorders>
          </w:tcPr>
          <w:p w:rsidR="008918FA" w:rsidRDefault="008918FA" w:rsidP="005D2B81">
            <w:pPr>
              <w:pStyle w:val="TableParagraph"/>
              <w:spacing w:before="49"/>
              <w:ind w:left="247"/>
              <w:rPr>
                <w:rFonts w:ascii="Arial" w:eastAsia="Arial" w:hAnsi="Arial" w:cs="Arial"/>
              </w:rPr>
            </w:pPr>
            <w:r>
              <w:rPr>
                <w:rFonts w:ascii="Arial"/>
                <w:spacing w:val="-1"/>
              </w:rPr>
              <w:t>has</w:t>
            </w:r>
            <w:r>
              <w:rPr>
                <w:rFonts w:ascii="Arial"/>
                <w:spacing w:val="46"/>
              </w:rPr>
              <w:t xml:space="preserve"> </w:t>
            </w:r>
            <w:r>
              <w:rPr>
                <w:rFonts w:ascii="Arial"/>
              </w:rPr>
              <w:t>the</w:t>
            </w:r>
            <w:r>
              <w:rPr>
                <w:rFonts w:ascii="Arial"/>
                <w:spacing w:val="43"/>
              </w:rPr>
              <w:t xml:space="preserve"> </w:t>
            </w:r>
            <w:r>
              <w:rPr>
                <w:rFonts w:ascii="Arial"/>
                <w:spacing w:val="-2"/>
              </w:rPr>
              <w:t>meaning</w:t>
            </w:r>
            <w:r>
              <w:rPr>
                <w:rFonts w:ascii="Arial"/>
                <w:spacing w:val="46"/>
              </w:rPr>
              <w:t xml:space="preserve"> </w:t>
            </w:r>
            <w:r>
              <w:rPr>
                <w:rFonts w:ascii="Arial"/>
                <w:spacing w:val="-1"/>
              </w:rPr>
              <w:t>given</w:t>
            </w:r>
            <w:r>
              <w:rPr>
                <w:rFonts w:ascii="Arial"/>
                <w:spacing w:val="46"/>
              </w:rPr>
              <w:t xml:space="preserve"> </w:t>
            </w:r>
            <w:r>
              <w:rPr>
                <w:rFonts w:ascii="Arial"/>
              </w:rPr>
              <w:t>to</w:t>
            </w:r>
            <w:r>
              <w:rPr>
                <w:rFonts w:ascii="Arial"/>
                <w:spacing w:val="46"/>
              </w:rPr>
              <w:t xml:space="preserve"> </w:t>
            </w:r>
            <w:r>
              <w:rPr>
                <w:rFonts w:ascii="Arial"/>
                <w:spacing w:val="-1"/>
              </w:rPr>
              <w:t>it</w:t>
            </w:r>
            <w:r>
              <w:rPr>
                <w:rFonts w:ascii="Arial"/>
                <w:spacing w:val="45"/>
              </w:rPr>
              <w:t xml:space="preserve"> </w:t>
            </w:r>
            <w:r>
              <w:rPr>
                <w:rFonts w:ascii="Arial"/>
                <w:spacing w:val="-1"/>
              </w:rPr>
              <w:t>in</w:t>
            </w:r>
            <w:r>
              <w:rPr>
                <w:rFonts w:ascii="Arial"/>
                <w:spacing w:val="47"/>
              </w:rPr>
              <w:t xml:space="preserve"> </w:t>
            </w:r>
            <w:r>
              <w:rPr>
                <w:rFonts w:ascii="Arial"/>
                <w:spacing w:val="-1"/>
              </w:rPr>
              <w:t>paragraph</w:t>
            </w:r>
          </w:p>
          <w:p w:rsidR="008918FA" w:rsidRDefault="00E32C6B" w:rsidP="005D2B81">
            <w:pPr>
              <w:pStyle w:val="TableParagraph"/>
              <w:spacing w:before="1"/>
              <w:ind w:left="247"/>
              <w:rPr>
                <w:rFonts w:ascii="Arial" w:eastAsia="Arial" w:hAnsi="Arial" w:cs="Arial"/>
              </w:rPr>
            </w:pPr>
            <w:hyperlink w:anchor="_bookmark380" w:history="1">
              <w:r w:rsidR="008918FA">
                <w:rPr>
                  <w:rFonts w:ascii="Arial"/>
                </w:rPr>
                <w:t>9.2.1</w:t>
              </w:r>
            </w:hyperlink>
            <w:r w:rsidR="008918FA">
              <w:rPr>
                <w:rFonts w:ascii="Arial"/>
                <w:spacing w:val="-2"/>
              </w:rPr>
              <w:t xml:space="preserve"> of</w:t>
            </w:r>
            <w:r w:rsidR="008918FA">
              <w:rPr>
                <w:rFonts w:ascii="Arial"/>
                <w:spacing w:val="2"/>
              </w:rPr>
              <w:t xml:space="preserve"> </w:t>
            </w:r>
            <w:r w:rsidR="008918FA">
              <w:rPr>
                <w:rFonts w:ascii="Arial"/>
                <w:spacing w:val="-1"/>
              </w:rPr>
              <w:t>this</w:t>
            </w:r>
            <w:r w:rsidR="008918FA">
              <w:rPr>
                <w:rFonts w:ascii="Arial"/>
                <w:spacing w:val="-2"/>
              </w:rPr>
              <w:t xml:space="preserve"> Call</w:t>
            </w:r>
            <w:r w:rsidR="008918FA">
              <w:rPr>
                <w:rFonts w:ascii="Arial"/>
              </w:rPr>
              <w:t xml:space="preserve"> </w:t>
            </w:r>
            <w:r w:rsidR="008918FA">
              <w:rPr>
                <w:rFonts w:ascii="Arial"/>
                <w:spacing w:val="-1"/>
              </w:rPr>
              <w:t>Off</w:t>
            </w:r>
            <w:r w:rsidR="008918FA">
              <w:rPr>
                <w:rFonts w:ascii="Arial"/>
                <w:spacing w:val="2"/>
              </w:rPr>
              <w:t xml:space="preserve"> </w:t>
            </w:r>
            <w:r w:rsidR="008918FA">
              <w:rPr>
                <w:rFonts w:ascii="Arial"/>
                <w:spacing w:val="-2"/>
              </w:rPr>
              <w:t>Schedule;</w:t>
            </w:r>
          </w:p>
        </w:tc>
      </w:tr>
      <w:tr w:rsidR="008918FA" w:rsidTr="005D2B81">
        <w:trPr>
          <w:trHeight w:hRule="exact" w:val="612"/>
        </w:trPr>
        <w:tc>
          <w:tcPr>
            <w:tcW w:w="3095"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"Transferring</w:t>
            </w:r>
            <w:r>
              <w:rPr>
                <w:rFonts w:ascii="Arial"/>
                <w:b/>
              </w:rPr>
              <w:t xml:space="preserve"> </w:t>
            </w:r>
            <w:r>
              <w:rPr>
                <w:rFonts w:ascii="Arial"/>
                <w:b/>
                <w:spacing w:val="-2"/>
              </w:rPr>
              <w:t>Contracts"</w:t>
            </w:r>
          </w:p>
        </w:tc>
        <w:tc>
          <w:tcPr>
            <w:tcW w:w="4728" w:type="dxa"/>
            <w:tcBorders>
              <w:top w:val="nil"/>
              <w:left w:val="nil"/>
              <w:bottom w:val="nil"/>
              <w:right w:val="nil"/>
            </w:tcBorders>
          </w:tcPr>
          <w:p w:rsidR="008918FA" w:rsidRDefault="008918FA" w:rsidP="005D2B81">
            <w:pPr>
              <w:pStyle w:val="TableParagraph"/>
              <w:tabs>
                <w:tab w:val="left" w:pos="895"/>
                <w:tab w:val="left" w:pos="1493"/>
                <w:tab w:val="left" w:pos="2627"/>
                <w:tab w:val="left" w:pos="3445"/>
                <w:tab w:val="left" w:pos="3923"/>
                <w:tab w:val="left" w:pos="4326"/>
              </w:tabs>
              <w:spacing w:before="49"/>
              <w:ind w:left="247" w:right="228"/>
              <w:rPr>
                <w:rFonts w:ascii="Arial" w:eastAsia="Arial" w:hAnsi="Arial" w:cs="Arial"/>
              </w:rPr>
            </w:pPr>
            <w:r>
              <w:rPr>
                <w:rFonts w:ascii="Arial"/>
                <w:spacing w:val="-1"/>
              </w:rPr>
              <w:t>has</w:t>
            </w:r>
            <w:r>
              <w:rPr>
                <w:rFonts w:ascii="Arial"/>
                <w:spacing w:val="-1"/>
              </w:rPr>
              <w:tab/>
            </w:r>
            <w:r>
              <w:rPr>
                <w:rFonts w:ascii="Arial"/>
                <w:w w:val="95"/>
              </w:rPr>
              <w:t>the</w:t>
            </w:r>
            <w:r>
              <w:rPr>
                <w:rFonts w:ascii="Arial"/>
                <w:w w:val="95"/>
              </w:rPr>
              <w:tab/>
            </w:r>
            <w:r>
              <w:rPr>
                <w:rFonts w:ascii="Arial"/>
                <w:spacing w:val="-1"/>
                <w:w w:val="95"/>
              </w:rPr>
              <w:t>meaning</w:t>
            </w:r>
            <w:r>
              <w:rPr>
                <w:rFonts w:ascii="Arial"/>
                <w:spacing w:val="-1"/>
                <w:w w:val="95"/>
              </w:rPr>
              <w:tab/>
            </w:r>
            <w:r>
              <w:rPr>
                <w:rFonts w:ascii="Arial"/>
                <w:spacing w:val="-1"/>
              </w:rPr>
              <w:t>given</w:t>
            </w:r>
            <w:r>
              <w:rPr>
                <w:rFonts w:ascii="Arial"/>
                <w:spacing w:val="-1"/>
              </w:rPr>
              <w:tab/>
            </w:r>
            <w:r>
              <w:rPr>
                <w:rFonts w:ascii="Arial"/>
              </w:rPr>
              <w:t>to</w:t>
            </w:r>
            <w:r>
              <w:rPr>
                <w:rFonts w:ascii="Arial"/>
              </w:rPr>
              <w:tab/>
            </w:r>
            <w:r>
              <w:rPr>
                <w:rFonts w:ascii="Arial"/>
                <w:spacing w:val="-1"/>
              </w:rPr>
              <w:t>it</w:t>
            </w:r>
            <w:r>
              <w:rPr>
                <w:rFonts w:ascii="Arial"/>
                <w:spacing w:val="-1"/>
              </w:rPr>
              <w:tab/>
              <w:t>in</w:t>
            </w:r>
            <w:r>
              <w:rPr>
                <w:rFonts w:ascii="Arial"/>
                <w:spacing w:val="25"/>
              </w:rPr>
              <w:t xml:space="preserve"> </w:t>
            </w:r>
            <w:r>
              <w:rPr>
                <w:rFonts w:ascii="Arial"/>
                <w:spacing w:val="-1"/>
              </w:rPr>
              <w:t>paragraph</w:t>
            </w:r>
            <w:r>
              <w:rPr>
                <w:rFonts w:ascii="Arial"/>
                <w:spacing w:val="-2"/>
              </w:rPr>
              <w:t xml:space="preserve"> </w:t>
            </w:r>
            <w:hyperlink w:anchor="_bookmark382" w:history="1">
              <w:r>
                <w:rPr>
                  <w:rFonts w:ascii="Arial"/>
                  <w:spacing w:val="-1"/>
                </w:rPr>
                <w:t>9.2.3</w:t>
              </w:r>
            </w:hyperlink>
            <w:r>
              <w:rPr>
                <w:rFonts w:ascii="Arial"/>
              </w:rPr>
              <w:t xml:space="preserve"> </w:t>
            </w:r>
            <w:r>
              <w:rPr>
                <w:rFonts w:ascii="Arial"/>
                <w:spacing w:val="-2"/>
              </w:rPr>
              <w:t>of</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Schedule.</w:t>
            </w:r>
          </w:p>
        </w:tc>
      </w:tr>
    </w:tbl>
    <w:p w:rsidR="008918FA" w:rsidRDefault="008918FA" w:rsidP="008918FA">
      <w:pPr>
        <w:spacing w:before="6"/>
        <w:rPr>
          <w:rFonts w:ascii="Arial" w:eastAsia="Arial" w:hAnsi="Arial" w:cs="Arial"/>
          <w:sz w:val="9"/>
          <w:szCs w:val="9"/>
        </w:rPr>
      </w:pPr>
    </w:p>
    <w:p w:rsidR="008918FA" w:rsidRDefault="008918FA" w:rsidP="008918FA">
      <w:pPr>
        <w:pStyle w:val="BodyText"/>
        <w:numPr>
          <w:ilvl w:val="0"/>
          <w:numId w:val="9"/>
        </w:numPr>
        <w:tabs>
          <w:tab w:val="left" w:pos="467"/>
        </w:tabs>
        <w:spacing w:before="72"/>
        <w:ind w:left="466"/>
        <w:rPr>
          <w:rFonts w:ascii="Times New Roman" w:eastAsia="Times New Roman" w:hAnsi="Times New Roman" w:cs="Times New Roman"/>
        </w:rPr>
      </w:pPr>
      <w:r>
        <w:rPr>
          <w:rFonts w:ascii="Times New Roman"/>
          <w:spacing w:val="1"/>
        </w:rPr>
        <w:t>INTRODUCTION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9"/>
        </w:numPr>
        <w:tabs>
          <w:tab w:val="left" w:pos="829"/>
        </w:tabs>
        <w:spacing w:before="0"/>
        <w:ind w:right="113"/>
        <w:jc w:val="both"/>
      </w:pPr>
      <w:r>
        <w:rPr>
          <w:spacing w:val="-1"/>
        </w:rPr>
        <w:t>This</w:t>
      </w:r>
      <w:r>
        <w:rPr>
          <w:spacing w:val="44"/>
        </w:rPr>
        <w:t xml:space="preserve"> </w:t>
      </w:r>
      <w:r>
        <w:rPr>
          <w:spacing w:val="-2"/>
        </w:rPr>
        <w:t>Call</w:t>
      </w:r>
      <w:r>
        <w:rPr>
          <w:spacing w:val="43"/>
        </w:rPr>
        <w:t xml:space="preserve"> </w:t>
      </w:r>
      <w:r>
        <w:rPr>
          <w:spacing w:val="-1"/>
        </w:rPr>
        <w:t>Off</w:t>
      </w:r>
      <w:r>
        <w:rPr>
          <w:spacing w:val="45"/>
        </w:rPr>
        <w:t xml:space="preserve"> </w:t>
      </w:r>
      <w:r>
        <w:rPr>
          <w:spacing w:val="-1"/>
        </w:rPr>
        <w:t>Schedule</w:t>
      </w:r>
      <w:r>
        <w:rPr>
          <w:spacing w:val="41"/>
        </w:rPr>
        <w:t xml:space="preserve"> </w:t>
      </w:r>
      <w:r>
        <w:rPr>
          <w:spacing w:val="-1"/>
        </w:rPr>
        <w:t>describes</w:t>
      </w:r>
      <w:r>
        <w:rPr>
          <w:spacing w:val="44"/>
        </w:rPr>
        <w:t xml:space="preserve"> </w:t>
      </w:r>
      <w:r>
        <w:rPr>
          <w:spacing w:val="-2"/>
        </w:rPr>
        <w:t>provisions</w:t>
      </w:r>
      <w:r>
        <w:rPr>
          <w:spacing w:val="44"/>
        </w:rPr>
        <w:t xml:space="preserve"> </w:t>
      </w:r>
      <w:r>
        <w:rPr>
          <w:spacing w:val="-1"/>
        </w:rPr>
        <w:t>that</w:t>
      </w:r>
      <w:r>
        <w:rPr>
          <w:spacing w:val="46"/>
        </w:rPr>
        <w:t xml:space="preserve"> </w:t>
      </w:r>
      <w:r>
        <w:rPr>
          <w:spacing w:val="-1"/>
        </w:rPr>
        <w:t>should</w:t>
      </w:r>
      <w:r>
        <w:rPr>
          <w:spacing w:val="43"/>
        </w:rPr>
        <w:t xml:space="preserve"> </w:t>
      </w:r>
      <w:r>
        <w:rPr>
          <w:spacing w:val="-1"/>
        </w:rPr>
        <w:t>be</w:t>
      </w:r>
      <w:r>
        <w:rPr>
          <w:spacing w:val="43"/>
        </w:rPr>
        <w:t xml:space="preserve"> </w:t>
      </w:r>
      <w:r>
        <w:rPr>
          <w:spacing w:val="-1"/>
        </w:rPr>
        <w:t>included</w:t>
      </w:r>
      <w:r>
        <w:rPr>
          <w:spacing w:val="43"/>
        </w:rPr>
        <w:t xml:space="preserve"> </w:t>
      </w:r>
      <w:r>
        <w:rPr>
          <w:spacing w:val="-1"/>
        </w:rPr>
        <w:t>in</w:t>
      </w:r>
      <w:r>
        <w:rPr>
          <w:spacing w:val="43"/>
        </w:rPr>
        <w:t xml:space="preserve"> </w:t>
      </w:r>
      <w:r>
        <w:t>the</w:t>
      </w:r>
      <w:r>
        <w:rPr>
          <w:spacing w:val="43"/>
        </w:rPr>
        <w:t xml:space="preserve"> </w:t>
      </w:r>
      <w:r>
        <w:rPr>
          <w:spacing w:val="-2"/>
        </w:rPr>
        <w:t>Exit</w:t>
      </w:r>
      <w:r>
        <w:rPr>
          <w:spacing w:val="49"/>
        </w:rPr>
        <w:t xml:space="preserve"> </w:t>
      </w:r>
      <w:r>
        <w:rPr>
          <w:spacing w:val="-1"/>
        </w:rPr>
        <w:t>Plan,</w:t>
      </w:r>
      <w:r>
        <w:rPr>
          <w:spacing w:val="19"/>
        </w:rPr>
        <w:t xml:space="preserve"> </w:t>
      </w:r>
      <w:r>
        <w:t>the</w:t>
      </w:r>
      <w:r>
        <w:rPr>
          <w:spacing w:val="17"/>
        </w:rPr>
        <w:t xml:space="preserve"> </w:t>
      </w:r>
      <w:r>
        <w:rPr>
          <w:spacing w:val="-1"/>
        </w:rPr>
        <w:t>duties</w:t>
      </w:r>
      <w:r>
        <w:rPr>
          <w:spacing w:val="18"/>
        </w:rPr>
        <w:t xml:space="preserve"> </w:t>
      </w:r>
      <w:r>
        <w:rPr>
          <w:spacing w:val="-1"/>
        </w:rPr>
        <w:t>and</w:t>
      </w:r>
      <w:r>
        <w:rPr>
          <w:spacing w:val="17"/>
        </w:rPr>
        <w:t xml:space="preserve"> </w:t>
      </w:r>
      <w:r>
        <w:rPr>
          <w:spacing w:val="-1"/>
        </w:rPr>
        <w:t>responsibilities</w:t>
      </w:r>
      <w:r>
        <w:rPr>
          <w:spacing w:val="18"/>
        </w:rPr>
        <w:t xml:space="preserve"> </w:t>
      </w:r>
      <w:r>
        <w:rPr>
          <w:spacing w:val="-1"/>
        </w:rPr>
        <w:t>of</w:t>
      </w:r>
      <w:r>
        <w:rPr>
          <w:spacing w:val="21"/>
        </w:rPr>
        <w:t xml:space="preserve"> </w:t>
      </w:r>
      <w:r>
        <w:t>the</w:t>
      </w:r>
      <w:r>
        <w:rPr>
          <w:spacing w:val="17"/>
        </w:rPr>
        <w:t xml:space="preserve"> </w:t>
      </w:r>
      <w:r>
        <w:rPr>
          <w:spacing w:val="-2"/>
        </w:rPr>
        <w:t>Supplier</w:t>
      </w:r>
      <w:r>
        <w:rPr>
          <w:spacing w:val="19"/>
        </w:rPr>
        <w:t xml:space="preserve"> </w:t>
      </w:r>
      <w:r>
        <w:t>to</w:t>
      </w:r>
      <w:r>
        <w:rPr>
          <w:spacing w:val="17"/>
        </w:rPr>
        <w:t xml:space="preserve"> </w:t>
      </w:r>
      <w:r>
        <w:t>the</w:t>
      </w:r>
      <w:r>
        <w:rPr>
          <w:spacing w:val="17"/>
        </w:rPr>
        <w:t xml:space="preserve"> </w:t>
      </w:r>
      <w:r>
        <w:rPr>
          <w:spacing w:val="-1"/>
        </w:rPr>
        <w:t>Customer</w:t>
      </w:r>
      <w:r>
        <w:rPr>
          <w:spacing w:val="19"/>
        </w:rPr>
        <w:t xml:space="preserve"> </w:t>
      </w:r>
      <w:r>
        <w:rPr>
          <w:spacing w:val="-2"/>
        </w:rPr>
        <w:t>leading</w:t>
      </w:r>
      <w:r>
        <w:rPr>
          <w:spacing w:val="20"/>
        </w:rPr>
        <w:t xml:space="preserve"> </w:t>
      </w:r>
      <w:r>
        <w:rPr>
          <w:spacing w:val="-1"/>
        </w:rPr>
        <w:t>up</w:t>
      </w:r>
      <w:r>
        <w:rPr>
          <w:spacing w:val="17"/>
        </w:rPr>
        <w:t xml:space="preserve"> </w:t>
      </w:r>
      <w:r>
        <w:t>to</w:t>
      </w:r>
      <w:r>
        <w:rPr>
          <w:spacing w:val="45"/>
        </w:rPr>
        <w:t xml:space="preserve"> </w:t>
      </w:r>
      <w:r>
        <w:rPr>
          <w:spacing w:val="-1"/>
        </w:rPr>
        <w:t>and</w:t>
      </w:r>
      <w:r>
        <w:rPr>
          <w:spacing w:val="24"/>
        </w:rPr>
        <w:t xml:space="preserve"> </w:t>
      </w:r>
      <w:r>
        <w:rPr>
          <w:spacing w:val="-1"/>
        </w:rPr>
        <w:t>covering</w:t>
      </w:r>
      <w:r>
        <w:rPr>
          <w:spacing w:val="24"/>
        </w:rPr>
        <w:t xml:space="preserve"> </w:t>
      </w:r>
      <w:r>
        <w:t>the</w:t>
      </w:r>
      <w:r>
        <w:rPr>
          <w:spacing w:val="24"/>
        </w:rPr>
        <w:t xml:space="preserve"> </w:t>
      </w:r>
      <w:r>
        <w:rPr>
          <w:spacing w:val="-2"/>
        </w:rPr>
        <w:t>Call</w:t>
      </w:r>
      <w:r>
        <w:rPr>
          <w:spacing w:val="24"/>
        </w:rPr>
        <w:t xml:space="preserve"> </w:t>
      </w:r>
      <w:r>
        <w:rPr>
          <w:spacing w:val="-1"/>
        </w:rPr>
        <w:t>Off</w:t>
      </w:r>
      <w:r>
        <w:rPr>
          <w:spacing w:val="26"/>
        </w:rPr>
        <w:t xml:space="preserve"> </w:t>
      </w:r>
      <w:r>
        <w:rPr>
          <w:spacing w:val="-2"/>
        </w:rPr>
        <w:t>Expiry</w:t>
      </w:r>
      <w:r>
        <w:rPr>
          <w:spacing w:val="22"/>
        </w:rPr>
        <w:t xml:space="preserve"> </w:t>
      </w:r>
      <w:r>
        <w:rPr>
          <w:spacing w:val="-1"/>
        </w:rPr>
        <w:t>Date</w:t>
      </w:r>
      <w:r>
        <w:rPr>
          <w:spacing w:val="24"/>
        </w:rPr>
        <w:t xml:space="preserve"> </w:t>
      </w:r>
      <w:r>
        <w:rPr>
          <w:spacing w:val="-1"/>
        </w:rPr>
        <w:t>and</w:t>
      </w:r>
      <w:r>
        <w:rPr>
          <w:spacing w:val="24"/>
        </w:rPr>
        <w:t xml:space="preserve"> </w:t>
      </w:r>
      <w:r>
        <w:t>the</w:t>
      </w:r>
      <w:r>
        <w:rPr>
          <w:spacing w:val="22"/>
        </w:rPr>
        <w:t xml:space="preserve"> </w:t>
      </w:r>
      <w:r>
        <w:rPr>
          <w:spacing w:val="-1"/>
        </w:rPr>
        <w:t>transfer</w:t>
      </w:r>
      <w:r>
        <w:rPr>
          <w:spacing w:val="26"/>
        </w:rPr>
        <w:t xml:space="preserve"> </w:t>
      </w:r>
      <w:r>
        <w:rPr>
          <w:spacing w:val="-2"/>
        </w:rPr>
        <w:t>of</w:t>
      </w:r>
      <w:r>
        <w:rPr>
          <w:spacing w:val="26"/>
        </w:rPr>
        <w:t xml:space="preserve"> </w:t>
      </w:r>
      <w:r>
        <w:rPr>
          <w:spacing w:val="-2"/>
        </w:rPr>
        <w:t>service</w:t>
      </w:r>
      <w:r>
        <w:rPr>
          <w:spacing w:val="25"/>
        </w:rPr>
        <w:t xml:space="preserve"> </w:t>
      </w:r>
      <w:r>
        <w:rPr>
          <w:spacing w:val="-1"/>
        </w:rPr>
        <w:t>provision</w:t>
      </w:r>
      <w:r>
        <w:rPr>
          <w:spacing w:val="24"/>
        </w:rPr>
        <w:t xml:space="preserve"> </w:t>
      </w:r>
      <w:r>
        <w:t>to</w:t>
      </w:r>
      <w:r>
        <w:rPr>
          <w:spacing w:val="22"/>
        </w:rPr>
        <w:t xml:space="preserve"> </w:t>
      </w:r>
      <w:r>
        <w:rPr>
          <w:spacing w:val="-1"/>
        </w:rPr>
        <w:t>the</w:t>
      </w:r>
      <w:r>
        <w:rPr>
          <w:spacing w:val="48"/>
        </w:rPr>
        <w:t xml:space="preserve"> </w:t>
      </w:r>
      <w:r>
        <w:rPr>
          <w:spacing w:val="-1"/>
        </w:rPr>
        <w:t>Customer</w:t>
      </w:r>
      <w:r>
        <w:rPr>
          <w:spacing w:val="2"/>
        </w:rPr>
        <w:t xml:space="preserve"> </w:t>
      </w:r>
      <w:r>
        <w:rPr>
          <w:spacing w:val="-1"/>
        </w:rPr>
        <w:t xml:space="preserve">and/or </w:t>
      </w:r>
      <w:r>
        <w:t xml:space="preserve">a </w:t>
      </w:r>
      <w:r>
        <w:rPr>
          <w:spacing w:val="-2"/>
        </w:rPr>
        <w:t>Replacement</w:t>
      </w:r>
      <w:r>
        <w:t xml:space="preserve"> </w:t>
      </w:r>
      <w:r>
        <w:rPr>
          <w:spacing w:val="-1"/>
        </w:rPr>
        <w:t>Supplier.</w:t>
      </w:r>
    </w:p>
    <w:p w:rsidR="008918FA" w:rsidRDefault="008918FA" w:rsidP="008918FA">
      <w:pPr>
        <w:pStyle w:val="BodyText"/>
        <w:numPr>
          <w:ilvl w:val="1"/>
          <w:numId w:val="9"/>
        </w:numPr>
        <w:tabs>
          <w:tab w:val="left" w:pos="829"/>
        </w:tabs>
        <w:ind w:right="111"/>
        <w:jc w:val="both"/>
      </w:pPr>
      <w:r>
        <w:t xml:space="preserve">The </w:t>
      </w:r>
      <w:r>
        <w:rPr>
          <w:spacing w:val="-1"/>
        </w:rPr>
        <w:t>objectives</w:t>
      </w:r>
      <w:r>
        <w:rPr>
          <w:spacing w:val="1"/>
        </w:rPr>
        <w:t xml:space="preserve"> </w:t>
      </w:r>
      <w:r>
        <w:rPr>
          <w:spacing w:val="-1"/>
        </w:rPr>
        <w:t>of</w:t>
      </w:r>
      <w:r>
        <w:rPr>
          <w:spacing w:val="4"/>
        </w:rPr>
        <w:t xml:space="preserve"> </w:t>
      </w:r>
      <w:r>
        <w:t xml:space="preserve">the </w:t>
      </w:r>
      <w:r>
        <w:rPr>
          <w:spacing w:val="-2"/>
        </w:rPr>
        <w:t>exit</w:t>
      </w:r>
      <w:r>
        <w:rPr>
          <w:spacing w:val="2"/>
        </w:rPr>
        <w:t xml:space="preserve"> </w:t>
      </w:r>
      <w:r>
        <w:rPr>
          <w:spacing w:val="-2"/>
        </w:rPr>
        <w:t>planning</w:t>
      </w:r>
      <w:r>
        <w:rPr>
          <w:spacing w:val="3"/>
        </w:rPr>
        <w:t xml:space="preserve"> </w:t>
      </w:r>
      <w:r>
        <w:rPr>
          <w:spacing w:val="-1"/>
        </w:rPr>
        <w:t>and</w:t>
      </w:r>
      <w:r>
        <w:t xml:space="preserve"> </w:t>
      </w:r>
      <w:r>
        <w:rPr>
          <w:spacing w:val="-1"/>
        </w:rPr>
        <w:t>service</w:t>
      </w:r>
      <w:r>
        <w:rPr>
          <w:spacing w:val="3"/>
        </w:rPr>
        <w:t xml:space="preserve"> </w:t>
      </w:r>
      <w:r>
        <w:rPr>
          <w:spacing w:val="-1"/>
        </w:rPr>
        <w:t>transfer</w:t>
      </w:r>
      <w:r>
        <w:rPr>
          <w:spacing w:val="2"/>
        </w:rPr>
        <w:t xml:space="preserve"> </w:t>
      </w:r>
      <w:r>
        <w:rPr>
          <w:spacing w:val="-1"/>
        </w:rPr>
        <w:t>arrangements</w:t>
      </w:r>
      <w:r>
        <w:rPr>
          <w:spacing w:val="3"/>
        </w:rPr>
        <w:t xml:space="preserve"> </w:t>
      </w:r>
      <w:r>
        <w:rPr>
          <w:spacing w:val="-1"/>
        </w:rPr>
        <w:t>are</w:t>
      </w:r>
      <w:r>
        <w:t xml:space="preserve"> </w:t>
      </w:r>
      <w:r>
        <w:rPr>
          <w:spacing w:val="-1"/>
        </w:rPr>
        <w:t>to</w:t>
      </w:r>
      <w:r>
        <w:t xml:space="preserve"> </w:t>
      </w:r>
      <w:r>
        <w:rPr>
          <w:spacing w:val="-1"/>
        </w:rPr>
        <w:t>ensure</w:t>
      </w:r>
      <w:r>
        <w:rPr>
          <w:spacing w:val="49"/>
        </w:rPr>
        <w:t xml:space="preserve"> </w:t>
      </w:r>
      <w:r>
        <w:t>a</w:t>
      </w:r>
      <w:r>
        <w:rPr>
          <w:spacing w:val="4"/>
        </w:rPr>
        <w:t xml:space="preserve"> </w:t>
      </w:r>
      <w:r>
        <w:rPr>
          <w:spacing w:val="-1"/>
        </w:rPr>
        <w:t>smooth</w:t>
      </w:r>
      <w:r>
        <w:rPr>
          <w:spacing w:val="2"/>
        </w:rPr>
        <w:t xml:space="preserve"> </w:t>
      </w:r>
      <w:r>
        <w:rPr>
          <w:spacing w:val="-1"/>
        </w:rPr>
        <w:t>transition</w:t>
      </w:r>
      <w:r>
        <w:rPr>
          <w:spacing w:val="4"/>
        </w:rPr>
        <w:t xml:space="preserve"> </w:t>
      </w:r>
      <w:r>
        <w:rPr>
          <w:spacing w:val="-2"/>
        </w:rPr>
        <w:t>of</w:t>
      </w:r>
      <w:r>
        <w:rPr>
          <w:spacing w:val="5"/>
        </w:rPr>
        <w:t xml:space="preserve"> </w:t>
      </w:r>
      <w:r>
        <w:t>the</w:t>
      </w:r>
      <w:r>
        <w:rPr>
          <w:spacing w:val="4"/>
        </w:rPr>
        <w:t xml:space="preserve"> </w:t>
      </w:r>
      <w:r>
        <w:rPr>
          <w:spacing w:val="-1"/>
        </w:rPr>
        <w:t>availability</w:t>
      </w:r>
      <w:r>
        <w:rPr>
          <w:spacing w:val="2"/>
        </w:rPr>
        <w:t xml:space="preserve"> </w:t>
      </w:r>
      <w:r>
        <w:rPr>
          <w:spacing w:val="-1"/>
        </w:rPr>
        <w:t>of</w:t>
      </w:r>
      <w:r>
        <w:rPr>
          <w:spacing w:val="8"/>
        </w:rPr>
        <w:t xml:space="preserve"> </w:t>
      </w:r>
      <w:r>
        <w:t>the</w:t>
      </w:r>
      <w:r>
        <w:rPr>
          <w:spacing w:val="4"/>
        </w:rPr>
        <w:t xml:space="preserve"> </w:t>
      </w:r>
      <w:r>
        <w:rPr>
          <w:spacing w:val="-1"/>
        </w:rPr>
        <w:t>Goods</w:t>
      </w:r>
      <w:r>
        <w:rPr>
          <w:spacing w:val="4"/>
        </w:rPr>
        <w:t xml:space="preserve"> </w:t>
      </w:r>
      <w:r>
        <w:rPr>
          <w:spacing w:val="-1"/>
        </w:rPr>
        <w:t>and/or</w:t>
      </w:r>
      <w:r>
        <w:rPr>
          <w:spacing w:val="5"/>
        </w:rPr>
        <w:t xml:space="preserve"> </w:t>
      </w:r>
      <w:r>
        <w:rPr>
          <w:spacing w:val="-1"/>
        </w:rPr>
        <w:t>Services</w:t>
      </w:r>
      <w:r>
        <w:rPr>
          <w:spacing w:val="5"/>
        </w:rPr>
        <w:t xml:space="preserve"> </w:t>
      </w:r>
      <w:r>
        <w:rPr>
          <w:spacing w:val="-1"/>
        </w:rPr>
        <w:t>from</w:t>
      </w:r>
      <w:r>
        <w:t xml:space="preserve"> </w:t>
      </w:r>
      <w:r>
        <w:rPr>
          <w:spacing w:val="-2"/>
        </w:rPr>
        <w:t>the</w:t>
      </w:r>
      <w:r>
        <w:rPr>
          <w:spacing w:val="36"/>
        </w:rPr>
        <w:t xml:space="preserve"> </w:t>
      </w:r>
      <w:r>
        <w:rPr>
          <w:spacing w:val="-2"/>
        </w:rPr>
        <w:t>Supplier</w:t>
      </w:r>
      <w:r>
        <w:rPr>
          <w:spacing w:val="42"/>
        </w:rPr>
        <w:t xml:space="preserve"> </w:t>
      </w:r>
      <w:r>
        <w:t>to</w:t>
      </w:r>
      <w:r>
        <w:rPr>
          <w:spacing w:val="41"/>
        </w:rPr>
        <w:t xml:space="preserve"> </w:t>
      </w:r>
      <w:r>
        <w:t>the</w:t>
      </w:r>
      <w:r>
        <w:rPr>
          <w:spacing w:val="41"/>
        </w:rPr>
        <w:t xml:space="preserve"> </w:t>
      </w:r>
      <w:r>
        <w:rPr>
          <w:spacing w:val="-1"/>
        </w:rPr>
        <w:t>Customer</w:t>
      </w:r>
      <w:r>
        <w:rPr>
          <w:spacing w:val="42"/>
        </w:rPr>
        <w:t xml:space="preserve"> </w:t>
      </w:r>
      <w:r>
        <w:rPr>
          <w:spacing w:val="-1"/>
        </w:rPr>
        <w:t>and/or</w:t>
      </w:r>
      <w:r>
        <w:rPr>
          <w:spacing w:val="42"/>
        </w:rPr>
        <w:t xml:space="preserve"> </w:t>
      </w:r>
      <w:r>
        <w:t>a</w:t>
      </w:r>
      <w:r>
        <w:rPr>
          <w:spacing w:val="41"/>
        </w:rPr>
        <w:t xml:space="preserve"> </w:t>
      </w:r>
      <w:r>
        <w:rPr>
          <w:spacing w:val="-2"/>
        </w:rPr>
        <w:t>Replacement</w:t>
      </w:r>
      <w:r>
        <w:rPr>
          <w:spacing w:val="43"/>
        </w:rPr>
        <w:t xml:space="preserve"> </w:t>
      </w:r>
      <w:r>
        <w:rPr>
          <w:spacing w:val="-2"/>
        </w:rPr>
        <w:t>Supplier</w:t>
      </w:r>
      <w:r>
        <w:rPr>
          <w:spacing w:val="42"/>
        </w:rPr>
        <w:t xml:space="preserve"> </w:t>
      </w:r>
      <w:r>
        <w:rPr>
          <w:spacing w:val="-1"/>
        </w:rPr>
        <w:t>at</w:t>
      </w:r>
      <w:r>
        <w:rPr>
          <w:spacing w:val="42"/>
        </w:rPr>
        <w:t xml:space="preserve"> </w:t>
      </w:r>
      <w:r>
        <w:t>the</w:t>
      </w:r>
      <w:r>
        <w:rPr>
          <w:spacing w:val="41"/>
        </w:rPr>
        <w:t xml:space="preserve"> </w:t>
      </w:r>
      <w:r>
        <w:rPr>
          <w:spacing w:val="-2"/>
        </w:rPr>
        <w:t>Call</w:t>
      </w:r>
      <w:r>
        <w:rPr>
          <w:spacing w:val="45"/>
        </w:rPr>
        <w:t xml:space="preserve"> </w:t>
      </w:r>
      <w:r>
        <w:rPr>
          <w:spacing w:val="-1"/>
        </w:rPr>
        <w:t>Off</w:t>
      </w:r>
      <w:r>
        <w:rPr>
          <w:spacing w:val="45"/>
        </w:rPr>
        <w:t xml:space="preserve"> </w:t>
      </w:r>
      <w:r>
        <w:rPr>
          <w:spacing w:val="-2"/>
        </w:rPr>
        <w:t>Expiry</w:t>
      </w:r>
      <w:r>
        <w:rPr>
          <w:spacing w:val="81"/>
        </w:rPr>
        <w:t xml:space="preserve"> </w:t>
      </w:r>
      <w:r>
        <w:rPr>
          <w:spacing w:val="-1"/>
        </w:rPr>
        <w:t>Date.</w:t>
      </w:r>
    </w:p>
    <w:p w:rsidR="008918FA" w:rsidRDefault="008918FA" w:rsidP="008918FA">
      <w:pPr>
        <w:pStyle w:val="BodyText"/>
        <w:numPr>
          <w:ilvl w:val="0"/>
          <w:numId w:val="9"/>
        </w:numPr>
        <w:tabs>
          <w:tab w:val="left" w:pos="467"/>
        </w:tabs>
        <w:spacing w:before="120"/>
        <w:ind w:right="125" w:hanging="359"/>
        <w:rPr>
          <w:rFonts w:ascii="Times New Roman" w:eastAsia="Times New Roman" w:hAnsi="Times New Roman" w:cs="Times New Roman"/>
        </w:rPr>
      </w:pPr>
      <w:r>
        <w:rPr>
          <w:rFonts w:ascii="Times New Roman"/>
          <w:spacing w:val="1"/>
        </w:rPr>
        <w:t>OBLIGATIONS</w:t>
      </w:r>
      <w:r>
        <w:rPr>
          <w:rFonts w:ascii="Times New Roman"/>
        </w:rPr>
        <w:t xml:space="preserve"> </w:t>
      </w:r>
      <w:r>
        <w:rPr>
          <w:rFonts w:ascii="Times New Roman"/>
          <w:spacing w:val="33"/>
        </w:rPr>
        <w:t xml:space="preserve"> </w:t>
      </w:r>
      <w:r>
        <w:rPr>
          <w:rFonts w:ascii="Times New Roman"/>
          <w:spacing w:val="-1"/>
        </w:rPr>
        <w:t>DURING</w:t>
      </w:r>
      <w:r>
        <w:rPr>
          <w:rFonts w:ascii="Times New Roman"/>
        </w:rPr>
        <w:t xml:space="preserve"> </w:t>
      </w:r>
      <w:r>
        <w:rPr>
          <w:rFonts w:ascii="Times New Roman"/>
          <w:spacing w:val="23"/>
        </w:rPr>
        <w:t xml:space="preserve"> </w:t>
      </w:r>
      <w:r>
        <w:rPr>
          <w:rFonts w:ascii="Times New Roman"/>
          <w:spacing w:val="-2"/>
        </w:rPr>
        <w:t>THE</w:t>
      </w:r>
      <w:r>
        <w:rPr>
          <w:rFonts w:ascii="Times New Roman"/>
        </w:rPr>
        <w:t xml:space="preserve"> </w:t>
      </w:r>
      <w:r>
        <w:rPr>
          <w:rFonts w:ascii="Times New Roman"/>
          <w:spacing w:val="21"/>
        </w:rPr>
        <w:t xml:space="preserve"> </w:t>
      </w:r>
      <w:r>
        <w:rPr>
          <w:rFonts w:ascii="Times New Roman"/>
          <w:spacing w:val="2"/>
        </w:rPr>
        <w:t>CALL</w:t>
      </w:r>
      <w:r>
        <w:rPr>
          <w:rFonts w:ascii="Times New Roman"/>
        </w:rPr>
        <w:t xml:space="preserve"> </w:t>
      </w:r>
      <w:r>
        <w:rPr>
          <w:rFonts w:ascii="Times New Roman"/>
          <w:spacing w:val="9"/>
        </w:rPr>
        <w:t xml:space="preserve"> </w:t>
      </w:r>
      <w:r>
        <w:rPr>
          <w:rFonts w:ascii="Times New Roman"/>
          <w:spacing w:val="8"/>
        </w:rPr>
        <w:t>OFF</w:t>
      </w:r>
      <w:r>
        <w:rPr>
          <w:rFonts w:ascii="Times New Roman"/>
        </w:rPr>
        <w:t xml:space="preserve"> </w:t>
      </w:r>
      <w:r>
        <w:rPr>
          <w:rFonts w:ascii="Times New Roman"/>
          <w:spacing w:val="21"/>
        </w:rPr>
        <w:t xml:space="preserve"> </w:t>
      </w:r>
      <w:r>
        <w:rPr>
          <w:rFonts w:ascii="Times New Roman"/>
          <w:spacing w:val="4"/>
        </w:rPr>
        <w:t>CONTRACT</w:t>
      </w:r>
      <w:r>
        <w:rPr>
          <w:rFonts w:ascii="Times New Roman"/>
        </w:rPr>
        <w:t xml:space="preserve"> </w:t>
      </w:r>
      <w:r>
        <w:rPr>
          <w:rFonts w:ascii="Times New Roman"/>
          <w:spacing w:val="9"/>
        </w:rPr>
        <w:t xml:space="preserve"> </w:t>
      </w:r>
      <w:r>
        <w:rPr>
          <w:rFonts w:ascii="Times New Roman"/>
          <w:spacing w:val="7"/>
        </w:rPr>
        <w:t>PERIOD</w:t>
      </w:r>
      <w:r>
        <w:rPr>
          <w:rFonts w:ascii="Times New Roman"/>
        </w:rPr>
        <w:t xml:space="preserve"> </w:t>
      </w:r>
      <w:r>
        <w:rPr>
          <w:rFonts w:ascii="Times New Roman"/>
          <w:spacing w:val="8"/>
        </w:rPr>
        <w:t xml:space="preserve"> </w:t>
      </w:r>
      <w:r>
        <w:rPr>
          <w:rFonts w:ascii="Times New Roman"/>
          <w:spacing w:val="-2"/>
        </w:rPr>
        <w:t>TO</w:t>
      </w:r>
      <w:r>
        <w:rPr>
          <w:rFonts w:ascii="Times New Roman"/>
        </w:rPr>
        <w:t xml:space="preserve"> </w:t>
      </w:r>
      <w:r>
        <w:rPr>
          <w:rFonts w:ascii="Times New Roman"/>
          <w:spacing w:val="23"/>
        </w:rPr>
        <w:t xml:space="preserve"> </w:t>
      </w:r>
      <w:r>
        <w:rPr>
          <w:rFonts w:ascii="Times New Roman"/>
          <w:spacing w:val="-1"/>
        </w:rPr>
        <w:t>FACILITATE</w:t>
      </w:r>
      <w:r>
        <w:rPr>
          <w:rFonts w:ascii="Times New Roman"/>
          <w:spacing w:val="39"/>
        </w:rPr>
        <w:t xml:space="preserve"> </w:t>
      </w:r>
      <w:r>
        <w:rPr>
          <w:rFonts w:ascii="Times New Roman"/>
          <w:spacing w:val="-4"/>
        </w:rPr>
        <w:t>EXIT</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9"/>
        </w:numPr>
        <w:tabs>
          <w:tab w:val="left" w:pos="828"/>
        </w:tabs>
        <w:spacing w:before="0"/>
      </w:pPr>
      <w:r>
        <w:rPr>
          <w:spacing w:val="-1"/>
        </w:rPr>
        <w:t>During</w:t>
      </w:r>
      <w:r>
        <w:t xml:space="preserve"> the</w:t>
      </w:r>
      <w:r>
        <w:rPr>
          <w:spacing w:val="-2"/>
        </w:rPr>
        <w:t xml:space="preserve"> </w:t>
      </w:r>
      <w:r>
        <w:rPr>
          <w:spacing w:val="-1"/>
        </w:rPr>
        <w:t>Call</w:t>
      </w:r>
      <w:r>
        <w:t xml:space="preserve"> </w:t>
      </w:r>
      <w:r>
        <w:rPr>
          <w:spacing w:val="-1"/>
        </w:rPr>
        <w:t>Off</w:t>
      </w:r>
      <w:r>
        <w:rPr>
          <w:spacing w:val="2"/>
        </w:rPr>
        <w:t xml:space="preserve"> </w:t>
      </w:r>
      <w:r>
        <w:rPr>
          <w:spacing w:val="-2"/>
        </w:rPr>
        <w:t>Contract</w:t>
      </w:r>
      <w:r>
        <w:rPr>
          <w:spacing w:val="2"/>
        </w:rPr>
        <w:t xml:space="preserve"> </w:t>
      </w:r>
      <w:r>
        <w:rPr>
          <w:spacing w:val="-2"/>
        </w:rPr>
        <w:t>Period,</w:t>
      </w:r>
      <w:r>
        <w:t xml:space="preserve"> the </w:t>
      </w:r>
      <w:r>
        <w:rPr>
          <w:spacing w:val="-2"/>
        </w:rPr>
        <w:t>Supplier</w:t>
      </w:r>
      <w:r>
        <w:rPr>
          <w:spacing w:val="-3"/>
        </w:rPr>
        <w:t xml:space="preserve"> </w:t>
      </w:r>
      <w:r>
        <w:rPr>
          <w:spacing w:val="-1"/>
        </w:rPr>
        <w:t>shall:</w:t>
      </w:r>
    </w:p>
    <w:p w:rsidR="008918FA" w:rsidRDefault="008918FA" w:rsidP="008918FA">
      <w:pPr>
        <w:pStyle w:val="BodyText"/>
        <w:numPr>
          <w:ilvl w:val="2"/>
          <w:numId w:val="9"/>
        </w:numPr>
        <w:tabs>
          <w:tab w:val="left" w:pos="2026"/>
        </w:tabs>
        <w:spacing w:before="121"/>
      </w:pPr>
      <w:bookmarkStart w:id="448" w:name="_bookmark367"/>
      <w:bookmarkEnd w:id="448"/>
      <w:r>
        <w:rPr>
          <w:spacing w:val="-1"/>
        </w:rPr>
        <w:t>create</w:t>
      </w:r>
      <w:r>
        <w:rPr>
          <w:spacing w:val="-2"/>
        </w:rPr>
        <w:t xml:space="preserve"> </w:t>
      </w:r>
      <w:r>
        <w:rPr>
          <w:spacing w:val="-1"/>
        </w:rPr>
        <w:t>and</w:t>
      </w:r>
      <w:r>
        <w:rPr>
          <w:spacing w:val="-2"/>
        </w:rPr>
        <w:t xml:space="preserve"> </w:t>
      </w:r>
      <w:r>
        <w:rPr>
          <w:spacing w:val="-1"/>
        </w:rPr>
        <w:t>maintain</w:t>
      </w:r>
      <w:r>
        <w:t xml:space="preserve"> a</w:t>
      </w:r>
      <w:r>
        <w:rPr>
          <w:spacing w:val="-2"/>
        </w:rPr>
        <w:t xml:space="preserve"> </w:t>
      </w:r>
      <w:r>
        <w:rPr>
          <w:spacing w:val="-1"/>
        </w:rPr>
        <w:t>Register</w:t>
      </w:r>
      <w:r>
        <w:rPr>
          <w:spacing w:val="2"/>
        </w:rPr>
        <w:t xml:space="preserve"> </w:t>
      </w:r>
      <w:r>
        <w:rPr>
          <w:spacing w:val="-2"/>
        </w:rPr>
        <w:t>of</w:t>
      </w:r>
      <w:r>
        <w:rPr>
          <w:spacing w:val="2"/>
        </w:rPr>
        <w:t xml:space="preserve"> </w:t>
      </w:r>
      <w:r>
        <w:rPr>
          <w:spacing w:val="-2"/>
        </w:rPr>
        <w:t>all:</w:t>
      </w:r>
    </w:p>
    <w:p w:rsidR="008918FA" w:rsidRDefault="008918FA" w:rsidP="008918FA">
      <w:pPr>
        <w:pStyle w:val="BodyText"/>
        <w:numPr>
          <w:ilvl w:val="3"/>
          <w:numId w:val="9"/>
        </w:numPr>
        <w:tabs>
          <w:tab w:val="left" w:pos="2734"/>
        </w:tabs>
      </w:pPr>
      <w:r>
        <w:rPr>
          <w:spacing w:val="-2"/>
        </w:rPr>
        <w:t>Supplier</w:t>
      </w:r>
      <w:r>
        <w:rPr>
          <w:spacing w:val="2"/>
        </w:rPr>
        <w:t xml:space="preserve"> </w:t>
      </w:r>
      <w:r>
        <w:rPr>
          <w:spacing w:val="-1"/>
        </w:rPr>
        <w:t>Assets,</w:t>
      </w:r>
      <w:r>
        <w:rPr>
          <w:spacing w:val="2"/>
        </w:rPr>
        <w:t xml:space="preserve"> </w:t>
      </w:r>
      <w:r>
        <w:rPr>
          <w:spacing w:val="-2"/>
        </w:rPr>
        <w:t>detailing</w:t>
      </w:r>
      <w:r>
        <w:t xml:space="preserve"> </w:t>
      </w:r>
      <w:r>
        <w:rPr>
          <w:spacing w:val="-1"/>
        </w:rPr>
        <w:t>their:</w:t>
      </w:r>
    </w:p>
    <w:p w:rsidR="008918FA" w:rsidRDefault="008918FA" w:rsidP="008918FA">
      <w:pPr>
        <w:pStyle w:val="BodyText"/>
        <w:numPr>
          <w:ilvl w:val="4"/>
          <w:numId w:val="9"/>
        </w:numPr>
        <w:tabs>
          <w:tab w:val="left" w:pos="3303"/>
        </w:tabs>
        <w:spacing w:before="121"/>
      </w:pPr>
      <w:r>
        <w:rPr>
          <w:spacing w:val="-1"/>
        </w:rPr>
        <w:t>make,</w:t>
      </w:r>
      <w:r>
        <w:rPr>
          <w:spacing w:val="-3"/>
        </w:rPr>
        <w:t xml:space="preserve"> </w:t>
      </w:r>
      <w:r>
        <w:rPr>
          <w:spacing w:val="-1"/>
        </w:rPr>
        <w:t>model</w:t>
      </w:r>
      <w:r>
        <w:t xml:space="preserve"> </w:t>
      </w:r>
      <w:r>
        <w:rPr>
          <w:spacing w:val="-1"/>
        </w:rPr>
        <w:t>and</w:t>
      </w:r>
      <w:r>
        <w:t xml:space="preserve"> </w:t>
      </w:r>
      <w:r>
        <w:rPr>
          <w:spacing w:val="-1"/>
        </w:rPr>
        <w:t>asset</w:t>
      </w:r>
      <w:r>
        <w:rPr>
          <w:spacing w:val="-3"/>
        </w:rPr>
        <w:t xml:space="preserve"> </w:t>
      </w:r>
      <w:r>
        <w:rPr>
          <w:spacing w:val="-1"/>
        </w:rPr>
        <w:t>number;</w:t>
      </w:r>
    </w:p>
    <w:p w:rsidR="008918FA" w:rsidRDefault="008918FA" w:rsidP="008918FA">
      <w:pPr>
        <w:pStyle w:val="BodyText"/>
        <w:numPr>
          <w:ilvl w:val="4"/>
          <w:numId w:val="9"/>
        </w:numPr>
        <w:tabs>
          <w:tab w:val="left" w:pos="3303"/>
        </w:tabs>
        <w:ind w:right="125"/>
      </w:pPr>
      <w:r>
        <w:rPr>
          <w:spacing w:val="-2"/>
        </w:rPr>
        <w:t>ownership</w:t>
      </w:r>
      <w:r>
        <w:rPr>
          <w:spacing w:val="20"/>
        </w:rPr>
        <w:t xml:space="preserve"> </w:t>
      </w:r>
      <w:r>
        <w:rPr>
          <w:spacing w:val="-1"/>
        </w:rPr>
        <w:t>and</w:t>
      </w:r>
      <w:r>
        <w:rPr>
          <w:spacing w:val="20"/>
        </w:rPr>
        <w:t xml:space="preserve"> </w:t>
      </w:r>
      <w:r>
        <w:rPr>
          <w:spacing w:val="-1"/>
        </w:rPr>
        <w:t>status</w:t>
      </w:r>
      <w:r>
        <w:rPr>
          <w:spacing w:val="18"/>
        </w:rPr>
        <w:t xml:space="preserve"> </w:t>
      </w:r>
      <w:r>
        <w:rPr>
          <w:spacing w:val="-1"/>
        </w:rPr>
        <w:t>as</w:t>
      </w:r>
      <w:r>
        <w:rPr>
          <w:spacing w:val="17"/>
        </w:rPr>
        <w:t xml:space="preserve"> </w:t>
      </w:r>
      <w:r>
        <w:rPr>
          <w:spacing w:val="-1"/>
        </w:rPr>
        <w:t>either</w:t>
      </w:r>
      <w:r>
        <w:rPr>
          <w:spacing w:val="21"/>
        </w:rPr>
        <w:t xml:space="preserve"> </w:t>
      </w:r>
      <w:r>
        <w:rPr>
          <w:spacing w:val="-2"/>
        </w:rPr>
        <w:t>Exclusive</w:t>
      </w:r>
      <w:r>
        <w:rPr>
          <w:spacing w:val="19"/>
        </w:rPr>
        <w:t xml:space="preserve"> </w:t>
      </w:r>
      <w:r>
        <w:rPr>
          <w:spacing w:val="-1"/>
        </w:rPr>
        <w:t>Assets</w:t>
      </w:r>
      <w:r>
        <w:rPr>
          <w:spacing w:val="20"/>
        </w:rPr>
        <w:t xml:space="preserve"> </w:t>
      </w:r>
      <w:r>
        <w:rPr>
          <w:spacing w:val="-1"/>
        </w:rPr>
        <w:t>or</w:t>
      </w:r>
      <w:r>
        <w:rPr>
          <w:spacing w:val="21"/>
        </w:rPr>
        <w:t xml:space="preserve"> </w:t>
      </w:r>
      <w:r>
        <w:rPr>
          <w:spacing w:val="-1"/>
        </w:rPr>
        <w:t>Non-</w:t>
      </w:r>
      <w:r>
        <w:rPr>
          <w:spacing w:val="57"/>
        </w:rPr>
        <w:t xml:space="preserve"> </w:t>
      </w:r>
      <w:r>
        <w:rPr>
          <w:spacing w:val="-1"/>
        </w:rPr>
        <w:t>Exclusive</w:t>
      </w:r>
      <w:r>
        <w:t xml:space="preserve"> </w:t>
      </w:r>
      <w:r>
        <w:rPr>
          <w:spacing w:val="-1"/>
        </w:rPr>
        <w:t>Assets;</w:t>
      </w:r>
    </w:p>
    <w:p w:rsidR="008918FA" w:rsidRDefault="008918FA" w:rsidP="008918FA">
      <w:pPr>
        <w:pStyle w:val="BodyText"/>
        <w:numPr>
          <w:ilvl w:val="4"/>
          <w:numId w:val="9"/>
        </w:numPr>
        <w:tabs>
          <w:tab w:val="left" w:pos="3303"/>
        </w:tabs>
        <w:spacing w:before="121"/>
      </w:pPr>
      <w:r>
        <w:rPr>
          <w:spacing w:val="-1"/>
        </w:rPr>
        <w:t>Net</w:t>
      </w:r>
      <w:r>
        <w:rPr>
          <w:spacing w:val="2"/>
        </w:rPr>
        <w:t xml:space="preserve"> </w:t>
      </w:r>
      <w:r>
        <w:rPr>
          <w:spacing w:val="-2"/>
        </w:rPr>
        <w:t>Book</w:t>
      </w:r>
      <w:r>
        <w:rPr>
          <w:spacing w:val="3"/>
        </w:rPr>
        <w:t xml:space="preserve"> </w:t>
      </w:r>
      <w:r>
        <w:rPr>
          <w:spacing w:val="-2"/>
        </w:rPr>
        <w:t>Value;</w:t>
      </w:r>
    </w:p>
    <w:p w:rsidR="008918FA" w:rsidRDefault="008918FA" w:rsidP="008918FA">
      <w:pPr>
        <w:pStyle w:val="BodyText"/>
        <w:numPr>
          <w:ilvl w:val="4"/>
          <w:numId w:val="9"/>
        </w:numPr>
        <w:tabs>
          <w:tab w:val="left" w:pos="3303"/>
        </w:tabs>
      </w:pPr>
      <w:r>
        <w:rPr>
          <w:spacing w:val="-1"/>
        </w:rPr>
        <w:t>condition</w:t>
      </w:r>
      <w:r>
        <w:t xml:space="preserve"> </w:t>
      </w:r>
      <w:r>
        <w:rPr>
          <w:spacing w:val="-1"/>
        </w:rPr>
        <w:t>and</w:t>
      </w:r>
      <w:r>
        <w:t xml:space="preserve"> </w:t>
      </w:r>
      <w:r>
        <w:rPr>
          <w:spacing w:val="-1"/>
        </w:rPr>
        <w:t>physical</w:t>
      </w:r>
      <w:r>
        <w:t xml:space="preserve"> </w:t>
      </w:r>
      <w:r>
        <w:rPr>
          <w:spacing w:val="-1"/>
        </w:rPr>
        <w:t>location;</w:t>
      </w:r>
      <w:r>
        <w:rPr>
          <w:spacing w:val="2"/>
        </w:rPr>
        <w:t xml:space="preserve"> </w:t>
      </w:r>
      <w:r>
        <w:rPr>
          <w:spacing w:val="-1"/>
        </w:rPr>
        <w:t>and</w:t>
      </w:r>
    </w:p>
    <w:p w:rsidR="008918FA" w:rsidRDefault="008918FA" w:rsidP="008918FA">
      <w:pPr>
        <w:pStyle w:val="BodyText"/>
        <w:numPr>
          <w:ilvl w:val="4"/>
          <w:numId w:val="9"/>
        </w:numPr>
        <w:tabs>
          <w:tab w:val="left" w:pos="3303"/>
        </w:tabs>
        <w:spacing w:before="121"/>
      </w:pPr>
      <w:r>
        <w:rPr>
          <w:spacing w:val="-1"/>
        </w:rPr>
        <w:t>use</w:t>
      </w:r>
      <w:r>
        <w:rPr>
          <w:spacing w:val="1"/>
        </w:rPr>
        <w:t xml:space="preserve"> </w:t>
      </w:r>
      <w:r>
        <w:rPr>
          <w:spacing w:val="-1"/>
        </w:rPr>
        <w:t>(including</w:t>
      </w:r>
      <w:r>
        <w:t xml:space="preserve"> </w:t>
      </w:r>
      <w:r>
        <w:rPr>
          <w:spacing w:val="-1"/>
        </w:rPr>
        <w:t>technical</w:t>
      </w:r>
      <w:r>
        <w:rPr>
          <w:spacing w:val="-3"/>
        </w:rPr>
        <w:t xml:space="preserve"> </w:t>
      </w:r>
      <w:r>
        <w:rPr>
          <w:spacing w:val="-1"/>
        </w:rPr>
        <w:t>specifications);</w:t>
      </w:r>
      <w:r>
        <w:rPr>
          <w:spacing w:val="2"/>
        </w:rPr>
        <w:t xml:space="preserve"> </w:t>
      </w:r>
      <w:r>
        <w:rPr>
          <w:spacing w:val="-1"/>
        </w:rPr>
        <w:t>and</w:t>
      </w:r>
    </w:p>
    <w:p w:rsidR="008918FA" w:rsidRDefault="008918FA" w:rsidP="008918FA">
      <w:pPr>
        <w:pStyle w:val="BodyText"/>
        <w:numPr>
          <w:ilvl w:val="3"/>
          <w:numId w:val="9"/>
        </w:numPr>
        <w:tabs>
          <w:tab w:val="left" w:pos="2734"/>
        </w:tabs>
        <w:ind w:right="116"/>
        <w:jc w:val="both"/>
      </w:pPr>
      <w:r>
        <w:rPr>
          <w:spacing w:val="-1"/>
        </w:rPr>
        <w:t>Sub-Contracts</w:t>
      </w:r>
      <w:r>
        <w:rPr>
          <w:spacing w:val="27"/>
        </w:rPr>
        <w:t xml:space="preserve"> </w:t>
      </w:r>
      <w:r>
        <w:rPr>
          <w:spacing w:val="-1"/>
        </w:rPr>
        <w:t>and</w:t>
      </w:r>
      <w:r>
        <w:rPr>
          <w:spacing w:val="27"/>
        </w:rPr>
        <w:t xml:space="preserve"> </w:t>
      </w:r>
      <w:r>
        <w:rPr>
          <w:spacing w:val="-2"/>
        </w:rPr>
        <w:t>other</w:t>
      </w:r>
      <w:r>
        <w:rPr>
          <w:spacing w:val="28"/>
        </w:rPr>
        <w:t xml:space="preserve"> </w:t>
      </w:r>
      <w:r>
        <w:rPr>
          <w:spacing w:val="-2"/>
        </w:rPr>
        <w:t>relevant</w:t>
      </w:r>
      <w:r>
        <w:rPr>
          <w:spacing w:val="28"/>
        </w:rPr>
        <w:t xml:space="preserve"> </w:t>
      </w:r>
      <w:r>
        <w:rPr>
          <w:spacing w:val="-1"/>
        </w:rPr>
        <w:t>agreements</w:t>
      </w:r>
      <w:r>
        <w:rPr>
          <w:spacing w:val="27"/>
        </w:rPr>
        <w:t xml:space="preserve"> </w:t>
      </w:r>
      <w:r>
        <w:rPr>
          <w:spacing w:val="-2"/>
        </w:rPr>
        <w:t>(including</w:t>
      </w:r>
      <w:r>
        <w:rPr>
          <w:spacing w:val="52"/>
        </w:rPr>
        <w:t xml:space="preserve"> </w:t>
      </w:r>
      <w:r>
        <w:rPr>
          <w:spacing w:val="-2"/>
        </w:rPr>
        <w:t>relevant</w:t>
      </w:r>
      <w:r>
        <w:rPr>
          <w:spacing w:val="32"/>
        </w:rPr>
        <w:t xml:space="preserve"> </w:t>
      </w:r>
      <w:r>
        <w:rPr>
          <w:spacing w:val="-1"/>
        </w:rPr>
        <w:t>software</w:t>
      </w:r>
      <w:r>
        <w:rPr>
          <w:spacing w:val="30"/>
        </w:rPr>
        <w:t xml:space="preserve"> </w:t>
      </w:r>
      <w:r>
        <w:rPr>
          <w:spacing w:val="-1"/>
        </w:rPr>
        <w:t>licences,</w:t>
      </w:r>
      <w:r>
        <w:rPr>
          <w:spacing w:val="32"/>
        </w:rPr>
        <w:t xml:space="preserve"> </w:t>
      </w:r>
      <w:r>
        <w:rPr>
          <w:spacing w:val="-1"/>
        </w:rPr>
        <w:t>maintenance</w:t>
      </w:r>
      <w:r>
        <w:rPr>
          <w:spacing w:val="28"/>
        </w:rPr>
        <w:t xml:space="preserve"> </w:t>
      </w:r>
      <w:r>
        <w:rPr>
          <w:spacing w:val="-1"/>
        </w:rPr>
        <w:t>and</w:t>
      </w:r>
      <w:r>
        <w:rPr>
          <w:spacing w:val="30"/>
        </w:rPr>
        <w:t xml:space="preserve"> </w:t>
      </w:r>
      <w:r>
        <w:rPr>
          <w:spacing w:val="-1"/>
        </w:rPr>
        <w:t>support</w:t>
      </w:r>
      <w:r>
        <w:rPr>
          <w:spacing w:val="39"/>
        </w:rPr>
        <w:t xml:space="preserve"> </w:t>
      </w:r>
      <w:r>
        <w:rPr>
          <w:spacing w:val="-1"/>
        </w:rPr>
        <w:t>agreements</w:t>
      </w:r>
      <w:r>
        <w:rPr>
          <w:spacing w:val="40"/>
        </w:rPr>
        <w:t xml:space="preserve"> </w:t>
      </w:r>
      <w:r>
        <w:rPr>
          <w:spacing w:val="-1"/>
        </w:rPr>
        <w:t>and</w:t>
      </w:r>
      <w:r>
        <w:rPr>
          <w:spacing w:val="40"/>
        </w:rPr>
        <w:t xml:space="preserve"> </w:t>
      </w:r>
      <w:r>
        <w:rPr>
          <w:spacing w:val="-1"/>
        </w:rPr>
        <w:t>equipment</w:t>
      </w:r>
      <w:r>
        <w:rPr>
          <w:spacing w:val="39"/>
        </w:rPr>
        <w:t xml:space="preserve"> </w:t>
      </w:r>
      <w:r>
        <w:rPr>
          <w:spacing w:val="-1"/>
        </w:rPr>
        <w:t>rental</w:t>
      </w:r>
      <w:r>
        <w:rPr>
          <w:spacing w:val="39"/>
        </w:rPr>
        <w:t xml:space="preserve"> </w:t>
      </w:r>
      <w:r>
        <w:rPr>
          <w:spacing w:val="-1"/>
        </w:rPr>
        <w:t>and</w:t>
      </w:r>
      <w:r>
        <w:rPr>
          <w:spacing w:val="40"/>
        </w:rPr>
        <w:t xml:space="preserve"> </w:t>
      </w:r>
      <w:r>
        <w:rPr>
          <w:spacing w:val="-1"/>
        </w:rPr>
        <w:t>lease</w:t>
      </w:r>
      <w:r>
        <w:rPr>
          <w:spacing w:val="40"/>
        </w:rPr>
        <w:t xml:space="preserve"> </w:t>
      </w:r>
      <w:r>
        <w:rPr>
          <w:spacing w:val="-1"/>
        </w:rPr>
        <w:t>agreements)</w:t>
      </w:r>
      <w:r>
        <w:rPr>
          <w:spacing w:val="27"/>
        </w:rPr>
        <w:t xml:space="preserve"> </w:t>
      </w:r>
      <w:r>
        <w:rPr>
          <w:spacing w:val="-1"/>
        </w:rPr>
        <w:t>required</w:t>
      </w:r>
      <w:r>
        <w:rPr>
          <w:spacing w:val="-2"/>
        </w:rPr>
        <w:t xml:space="preserve"> </w:t>
      </w:r>
      <w:r>
        <w:t>for</w:t>
      </w:r>
      <w:r>
        <w:rPr>
          <w:spacing w:val="-1"/>
        </w:rPr>
        <w:t xml:space="preserve"> </w:t>
      </w:r>
      <w:r>
        <w:t>the</w:t>
      </w:r>
      <w:r>
        <w:rPr>
          <w:spacing w:val="-2"/>
        </w:rPr>
        <w:t xml:space="preserve"> </w:t>
      </w:r>
      <w:r>
        <w:rPr>
          <w:spacing w:val="-1"/>
        </w:rPr>
        <w:t>performance</w:t>
      </w:r>
      <w:r>
        <w:rPr>
          <w:spacing w:val="1"/>
        </w:rPr>
        <w:t xml:space="preserve"> </w:t>
      </w:r>
      <w:r>
        <w:rPr>
          <w:spacing w:val="-2"/>
        </w:rPr>
        <w:t>of</w:t>
      </w:r>
      <w:r>
        <w:rPr>
          <w:spacing w:val="3"/>
        </w:rPr>
        <w:t xml:space="preserve"> </w:t>
      </w:r>
      <w:r>
        <w:t>the</w:t>
      </w:r>
      <w:r>
        <w:rPr>
          <w:spacing w:val="-4"/>
        </w:rPr>
        <w:t xml:space="preserve"> </w:t>
      </w:r>
      <w:r>
        <w:rPr>
          <w:spacing w:val="-1"/>
        </w:rPr>
        <w:t>Goods</w:t>
      </w:r>
      <w:r>
        <w:rPr>
          <w:spacing w:val="1"/>
        </w:rPr>
        <w:t xml:space="preserve"> </w:t>
      </w:r>
      <w:r>
        <w:rPr>
          <w:spacing w:val="-1"/>
        </w:rPr>
        <w:t>and/or</w:t>
      </w:r>
      <w:r>
        <w:rPr>
          <w:spacing w:val="-3"/>
        </w:rPr>
        <w:t xml:space="preserve"> </w:t>
      </w:r>
      <w:r>
        <w:rPr>
          <w:spacing w:val="-1"/>
        </w:rPr>
        <w:t>Services;</w:t>
      </w:r>
    </w:p>
    <w:p w:rsidR="008918FA" w:rsidRDefault="008918FA" w:rsidP="008918FA">
      <w:pPr>
        <w:pStyle w:val="BodyText"/>
        <w:numPr>
          <w:ilvl w:val="2"/>
          <w:numId w:val="9"/>
        </w:numPr>
        <w:tabs>
          <w:tab w:val="left" w:pos="2026"/>
        </w:tabs>
        <w:spacing w:before="121"/>
        <w:ind w:right="115"/>
        <w:jc w:val="both"/>
      </w:pPr>
      <w:bookmarkStart w:id="449" w:name="_bookmark368"/>
      <w:bookmarkEnd w:id="449"/>
      <w:r>
        <w:rPr>
          <w:spacing w:val="-1"/>
        </w:rPr>
        <w:t>create</w:t>
      </w:r>
      <w:r>
        <w:rPr>
          <w:spacing w:val="41"/>
        </w:rPr>
        <w:t xml:space="preserve"> </w:t>
      </w:r>
      <w:r>
        <w:rPr>
          <w:spacing w:val="-1"/>
        </w:rPr>
        <w:t>and</w:t>
      </w:r>
      <w:r>
        <w:rPr>
          <w:spacing w:val="41"/>
        </w:rPr>
        <w:t xml:space="preserve"> </w:t>
      </w:r>
      <w:r>
        <w:rPr>
          <w:spacing w:val="-1"/>
        </w:rPr>
        <w:t>maintain</w:t>
      </w:r>
      <w:r>
        <w:rPr>
          <w:spacing w:val="41"/>
        </w:rPr>
        <w:t xml:space="preserve"> </w:t>
      </w:r>
      <w:r>
        <w:t>a</w:t>
      </w:r>
      <w:r>
        <w:rPr>
          <w:spacing w:val="41"/>
        </w:rPr>
        <w:t xml:space="preserve"> </w:t>
      </w:r>
      <w:r>
        <w:rPr>
          <w:spacing w:val="-1"/>
        </w:rPr>
        <w:t>configuration</w:t>
      </w:r>
      <w:r>
        <w:rPr>
          <w:spacing w:val="41"/>
        </w:rPr>
        <w:t xml:space="preserve"> </w:t>
      </w:r>
      <w:r>
        <w:rPr>
          <w:spacing w:val="-1"/>
        </w:rPr>
        <w:t>database</w:t>
      </w:r>
      <w:r>
        <w:rPr>
          <w:spacing w:val="41"/>
        </w:rPr>
        <w:t xml:space="preserve"> </w:t>
      </w:r>
      <w:r>
        <w:rPr>
          <w:spacing w:val="-1"/>
        </w:rPr>
        <w:t>detailing</w:t>
      </w:r>
      <w:r>
        <w:rPr>
          <w:spacing w:val="44"/>
        </w:rPr>
        <w:t xml:space="preserve"> </w:t>
      </w:r>
      <w:r>
        <w:t>the</w:t>
      </w:r>
      <w:r>
        <w:rPr>
          <w:spacing w:val="41"/>
        </w:rPr>
        <w:t xml:space="preserve"> </w:t>
      </w:r>
      <w:r>
        <w:rPr>
          <w:spacing w:val="-1"/>
        </w:rPr>
        <w:t>technical</w:t>
      </w:r>
      <w:r>
        <w:rPr>
          <w:spacing w:val="39"/>
        </w:rPr>
        <w:t xml:space="preserve"> </w:t>
      </w:r>
      <w:r>
        <w:rPr>
          <w:spacing w:val="-1"/>
        </w:rPr>
        <w:t>infrastructure</w:t>
      </w:r>
      <w:r>
        <w:rPr>
          <w:spacing w:val="58"/>
        </w:rPr>
        <w:t xml:space="preserve"> </w:t>
      </w:r>
      <w:r>
        <w:rPr>
          <w:spacing w:val="-2"/>
        </w:rPr>
        <w:t>and</w:t>
      </w:r>
      <w:r>
        <w:rPr>
          <w:spacing w:val="58"/>
        </w:rPr>
        <w:t xml:space="preserve"> </w:t>
      </w:r>
      <w:r>
        <w:rPr>
          <w:spacing w:val="-2"/>
        </w:rPr>
        <w:t>operating</w:t>
      </w:r>
      <w:r>
        <w:rPr>
          <w:spacing w:val="58"/>
        </w:rPr>
        <w:t xml:space="preserve"> </w:t>
      </w:r>
      <w:r>
        <w:rPr>
          <w:spacing w:val="-1"/>
        </w:rPr>
        <w:t>procedures</w:t>
      </w:r>
      <w:r>
        <w:rPr>
          <w:spacing w:val="56"/>
        </w:rPr>
        <w:t xml:space="preserve"> </w:t>
      </w:r>
      <w:r>
        <w:rPr>
          <w:spacing w:val="-1"/>
        </w:rPr>
        <w:t>through</w:t>
      </w:r>
      <w:r>
        <w:rPr>
          <w:spacing w:val="55"/>
        </w:rPr>
        <w:t xml:space="preserve"> </w:t>
      </w:r>
      <w:r>
        <w:rPr>
          <w:spacing w:val="-2"/>
        </w:rPr>
        <w:t>which</w:t>
      </w:r>
      <w:r>
        <w:rPr>
          <w:spacing w:val="58"/>
        </w:rPr>
        <w:t xml:space="preserve"> </w:t>
      </w:r>
      <w:r>
        <w:t>the</w:t>
      </w:r>
      <w:r>
        <w:rPr>
          <w:spacing w:val="59"/>
        </w:rPr>
        <w:t xml:space="preserve"> </w:t>
      </w:r>
      <w:r>
        <w:rPr>
          <w:spacing w:val="-2"/>
        </w:rPr>
        <w:t>Supplier</w:t>
      </w:r>
      <w:r>
        <w:rPr>
          <w:spacing w:val="54"/>
        </w:rPr>
        <w:t xml:space="preserve"> </w:t>
      </w:r>
      <w:r>
        <w:rPr>
          <w:spacing w:val="-2"/>
        </w:rPr>
        <w:t>provides</w:t>
      </w:r>
      <w:r>
        <w:t xml:space="preserve"> </w:t>
      </w:r>
      <w:r>
        <w:rPr>
          <w:spacing w:val="4"/>
        </w:rPr>
        <w:t xml:space="preserve"> </w:t>
      </w:r>
      <w:r>
        <w:t xml:space="preserve">the </w:t>
      </w:r>
      <w:r>
        <w:rPr>
          <w:spacing w:val="4"/>
        </w:rPr>
        <w:t xml:space="preserve"> </w:t>
      </w:r>
      <w:r>
        <w:rPr>
          <w:spacing w:val="-1"/>
        </w:rPr>
        <w:t>Goods</w:t>
      </w:r>
      <w:r>
        <w:t xml:space="preserve"> </w:t>
      </w:r>
      <w:r>
        <w:rPr>
          <w:spacing w:val="4"/>
        </w:rPr>
        <w:t xml:space="preserve"> </w:t>
      </w:r>
      <w:r>
        <w:rPr>
          <w:spacing w:val="-1"/>
        </w:rPr>
        <w:t>and/or</w:t>
      </w:r>
      <w:r>
        <w:t xml:space="preserve"> </w:t>
      </w:r>
      <w:r>
        <w:rPr>
          <w:spacing w:val="5"/>
        </w:rPr>
        <w:t xml:space="preserve"> </w:t>
      </w:r>
      <w:r>
        <w:rPr>
          <w:spacing w:val="-1"/>
        </w:rPr>
        <w:t>Services,</w:t>
      </w:r>
      <w:r>
        <w:t xml:space="preserve"> </w:t>
      </w:r>
      <w:r>
        <w:rPr>
          <w:spacing w:val="5"/>
        </w:rPr>
        <w:t xml:space="preserve"> </w:t>
      </w:r>
      <w:r>
        <w:rPr>
          <w:spacing w:val="-2"/>
        </w:rPr>
        <w:t>which</w:t>
      </w:r>
      <w:r>
        <w:t xml:space="preserve"> </w:t>
      </w:r>
      <w:r>
        <w:rPr>
          <w:spacing w:val="4"/>
        </w:rPr>
        <w:t xml:space="preserve"> </w:t>
      </w:r>
      <w:r>
        <w:rPr>
          <w:spacing w:val="-1"/>
        </w:rPr>
        <w:t>shall</w:t>
      </w:r>
      <w:r>
        <w:t xml:space="preserve"> </w:t>
      </w:r>
      <w:r>
        <w:rPr>
          <w:spacing w:val="3"/>
        </w:rPr>
        <w:t xml:space="preserve"> </w:t>
      </w:r>
      <w:r>
        <w:rPr>
          <w:spacing w:val="-1"/>
        </w:rPr>
        <w:t>contain</w:t>
      </w:r>
      <w:r>
        <w:t xml:space="preserve"> </w:t>
      </w:r>
      <w:r>
        <w:rPr>
          <w:spacing w:val="4"/>
        </w:rPr>
        <w:t xml:space="preserve"> </w:t>
      </w:r>
      <w:r>
        <w:rPr>
          <w:spacing w:val="-1"/>
        </w:rPr>
        <w:t>sufficient</w:t>
      </w:r>
    </w:p>
    <w:p w:rsidR="008918FA" w:rsidRDefault="008918FA" w:rsidP="008918FA">
      <w:pPr>
        <w:jc w:val="both"/>
        <w:sectPr w:rsidR="008918FA">
          <w:pgSz w:w="11910" w:h="16840"/>
          <w:pgMar w:top="1420" w:right="1300" w:bottom="1180" w:left="1540" w:header="0" w:footer="987" w:gutter="0"/>
          <w:cols w:space="720"/>
        </w:sectPr>
      </w:pPr>
    </w:p>
    <w:p w:rsidR="008918FA" w:rsidRDefault="008918FA" w:rsidP="008918FA">
      <w:pPr>
        <w:pStyle w:val="BodyText"/>
        <w:spacing w:before="59"/>
        <w:ind w:left="2026" w:right="112" w:firstLine="0"/>
        <w:jc w:val="both"/>
      </w:pPr>
      <w:r>
        <w:rPr>
          <w:spacing w:val="-1"/>
        </w:rPr>
        <w:t>detail</w:t>
      </w:r>
      <w:r>
        <w:rPr>
          <w:spacing w:val="56"/>
        </w:rPr>
        <w:t xml:space="preserve"> </w:t>
      </w:r>
      <w:r>
        <w:t>to</w:t>
      </w:r>
      <w:r>
        <w:rPr>
          <w:spacing w:val="57"/>
        </w:rPr>
        <w:t xml:space="preserve"> </w:t>
      </w:r>
      <w:r>
        <w:rPr>
          <w:spacing w:val="-1"/>
        </w:rPr>
        <w:t>permit</w:t>
      </w:r>
      <w:r>
        <w:rPr>
          <w:spacing w:val="56"/>
        </w:rPr>
        <w:t xml:space="preserve"> </w:t>
      </w:r>
      <w:r>
        <w:t>the</w:t>
      </w:r>
      <w:r>
        <w:rPr>
          <w:spacing w:val="52"/>
        </w:rPr>
        <w:t xml:space="preserve"> </w:t>
      </w:r>
      <w:r>
        <w:rPr>
          <w:spacing w:val="-1"/>
        </w:rPr>
        <w:t>Customer</w:t>
      </w:r>
      <w:r>
        <w:rPr>
          <w:spacing w:val="58"/>
        </w:rPr>
        <w:t xml:space="preserve"> </w:t>
      </w:r>
      <w:r>
        <w:rPr>
          <w:spacing w:val="-1"/>
        </w:rPr>
        <w:t>and/or</w:t>
      </w:r>
      <w:r>
        <w:rPr>
          <w:spacing w:val="55"/>
        </w:rPr>
        <w:t xml:space="preserve"> </w:t>
      </w:r>
      <w:r>
        <w:rPr>
          <w:spacing w:val="-1"/>
        </w:rPr>
        <w:t>Replacement</w:t>
      </w:r>
      <w:r>
        <w:rPr>
          <w:spacing w:val="57"/>
        </w:rPr>
        <w:t xml:space="preserve"> </w:t>
      </w:r>
      <w:r>
        <w:rPr>
          <w:spacing w:val="-2"/>
        </w:rPr>
        <w:t>Supplier</w:t>
      </w:r>
      <w:r>
        <w:rPr>
          <w:spacing w:val="58"/>
        </w:rPr>
        <w:t xml:space="preserve"> </w:t>
      </w:r>
      <w:r>
        <w:t>to</w:t>
      </w:r>
      <w:r>
        <w:rPr>
          <w:spacing w:val="31"/>
        </w:rPr>
        <w:t xml:space="preserve"> </w:t>
      </w:r>
      <w:r>
        <w:rPr>
          <w:spacing w:val="-1"/>
        </w:rPr>
        <w:t>understand</w:t>
      </w:r>
      <w:r>
        <w:rPr>
          <w:spacing w:val="12"/>
        </w:rPr>
        <w:t xml:space="preserve"> </w:t>
      </w:r>
      <w:r>
        <w:rPr>
          <w:spacing w:val="-1"/>
        </w:rPr>
        <w:t>how</w:t>
      </w:r>
      <w:r>
        <w:rPr>
          <w:spacing w:val="12"/>
        </w:rPr>
        <w:t xml:space="preserve"> </w:t>
      </w:r>
      <w:r>
        <w:t>the</w:t>
      </w:r>
      <w:r>
        <w:rPr>
          <w:spacing w:val="15"/>
        </w:rPr>
        <w:t xml:space="preserve"> </w:t>
      </w:r>
      <w:r>
        <w:rPr>
          <w:spacing w:val="-2"/>
        </w:rPr>
        <w:t>Supplier</w:t>
      </w:r>
      <w:r>
        <w:rPr>
          <w:spacing w:val="16"/>
        </w:rPr>
        <w:t xml:space="preserve"> </w:t>
      </w:r>
      <w:r>
        <w:rPr>
          <w:spacing w:val="-2"/>
        </w:rPr>
        <w:t>provides</w:t>
      </w:r>
      <w:r>
        <w:rPr>
          <w:spacing w:val="15"/>
        </w:rPr>
        <w:t xml:space="preserve"> </w:t>
      </w:r>
      <w:r>
        <w:t>the</w:t>
      </w:r>
      <w:r>
        <w:rPr>
          <w:spacing w:val="15"/>
        </w:rPr>
        <w:t xml:space="preserve"> </w:t>
      </w:r>
      <w:r>
        <w:rPr>
          <w:spacing w:val="-1"/>
        </w:rPr>
        <w:t>Goods</w:t>
      </w:r>
      <w:r>
        <w:rPr>
          <w:spacing w:val="13"/>
        </w:rPr>
        <w:t xml:space="preserve"> </w:t>
      </w:r>
      <w:r>
        <w:rPr>
          <w:spacing w:val="-1"/>
        </w:rPr>
        <w:t>and/or</w:t>
      </w:r>
      <w:r>
        <w:rPr>
          <w:spacing w:val="14"/>
        </w:rPr>
        <w:t xml:space="preserve"> </w:t>
      </w:r>
      <w:r>
        <w:rPr>
          <w:spacing w:val="-1"/>
        </w:rPr>
        <w:t>Services</w:t>
      </w:r>
      <w:r>
        <w:rPr>
          <w:spacing w:val="17"/>
        </w:rPr>
        <w:t xml:space="preserve"> </w:t>
      </w:r>
      <w:r>
        <w:rPr>
          <w:spacing w:val="-1"/>
        </w:rPr>
        <w:t>and</w:t>
      </w:r>
      <w:r>
        <w:rPr>
          <w:spacing w:val="46"/>
        </w:rPr>
        <w:t xml:space="preserve"> </w:t>
      </w:r>
      <w:r>
        <w:t>to</w:t>
      </w:r>
      <w:r>
        <w:rPr>
          <w:spacing w:val="15"/>
        </w:rPr>
        <w:t xml:space="preserve"> </w:t>
      </w:r>
      <w:r>
        <w:rPr>
          <w:spacing w:val="-1"/>
        </w:rPr>
        <w:t>enable</w:t>
      </w:r>
      <w:r>
        <w:rPr>
          <w:spacing w:val="15"/>
        </w:rPr>
        <w:t xml:space="preserve"> </w:t>
      </w:r>
      <w:r>
        <w:t>the</w:t>
      </w:r>
      <w:r>
        <w:rPr>
          <w:spacing w:val="15"/>
        </w:rPr>
        <w:t xml:space="preserve"> </w:t>
      </w:r>
      <w:r>
        <w:rPr>
          <w:spacing w:val="-1"/>
        </w:rPr>
        <w:t>smooth</w:t>
      </w:r>
      <w:r>
        <w:rPr>
          <w:spacing w:val="15"/>
        </w:rPr>
        <w:t xml:space="preserve"> </w:t>
      </w:r>
      <w:r>
        <w:rPr>
          <w:spacing w:val="-1"/>
        </w:rPr>
        <w:t>transition</w:t>
      </w:r>
      <w:r>
        <w:rPr>
          <w:spacing w:val="15"/>
        </w:rPr>
        <w:t xml:space="preserve"> </w:t>
      </w:r>
      <w:r>
        <w:rPr>
          <w:spacing w:val="-1"/>
        </w:rPr>
        <w:t>of</w:t>
      </w:r>
      <w:r>
        <w:rPr>
          <w:spacing w:val="19"/>
        </w:rPr>
        <w:t xml:space="preserve"> </w:t>
      </w:r>
      <w:r>
        <w:t>the</w:t>
      </w:r>
      <w:r>
        <w:rPr>
          <w:spacing w:val="15"/>
        </w:rPr>
        <w:t xml:space="preserve"> </w:t>
      </w:r>
      <w:r>
        <w:rPr>
          <w:spacing w:val="-1"/>
        </w:rPr>
        <w:t>Goods</w:t>
      </w:r>
      <w:r>
        <w:rPr>
          <w:spacing w:val="15"/>
        </w:rPr>
        <w:t xml:space="preserve"> </w:t>
      </w:r>
      <w:r>
        <w:rPr>
          <w:spacing w:val="-1"/>
        </w:rPr>
        <w:t>and/or</w:t>
      </w:r>
      <w:r>
        <w:rPr>
          <w:spacing w:val="16"/>
        </w:rPr>
        <w:t xml:space="preserve"> </w:t>
      </w:r>
      <w:r>
        <w:rPr>
          <w:spacing w:val="-1"/>
        </w:rPr>
        <w:t>Services</w:t>
      </w:r>
      <w:r>
        <w:rPr>
          <w:spacing w:val="19"/>
        </w:rPr>
        <w:t xml:space="preserve"> </w:t>
      </w:r>
      <w:r>
        <w:rPr>
          <w:spacing w:val="-2"/>
        </w:rPr>
        <w:t>with</w:t>
      </w:r>
      <w:r>
        <w:rPr>
          <w:spacing w:val="15"/>
        </w:rPr>
        <w:t xml:space="preserve"> </w:t>
      </w:r>
      <w:r>
        <w:rPr>
          <w:spacing w:val="-1"/>
        </w:rPr>
        <w:t>the</w:t>
      </w:r>
      <w:r>
        <w:rPr>
          <w:spacing w:val="38"/>
        </w:rPr>
        <w:t xml:space="preserve"> </w:t>
      </w:r>
      <w:r>
        <w:rPr>
          <w:spacing w:val="-1"/>
        </w:rPr>
        <w:t xml:space="preserve">minimum </w:t>
      </w:r>
      <w:r>
        <w:rPr>
          <w:spacing w:val="-2"/>
        </w:rPr>
        <w:t>of</w:t>
      </w:r>
      <w:r>
        <w:rPr>
          <w:spacing w:val="2"/>
        </w:rPr>
        <w:t xml:space="preserve"> </w:t>
      </w:r>
      <w:r>
        <w:rPr>
          <w:spacing w:val="-1"/>
        </w:rPr>
        <w:t>disruption;</w:t>
      </w:r>
    </w:p>
    <w:p w:rsidR="008918FA" w:rsidRDefault="008918FA" w:rsidP="008918FA">
      <w:pPr>
        <w:pStyle w:val="BodyText"/>
        <w:numPr>
          <w:ilvl w:val="2"/>
          <w:numId w:val="9"/>
        </w:numPr>
        <w:tabs>
          <w:tab w:val="left" w:pos="2027"/>
        </w:tabs>
        <w:spacing w:before="121"/>
        <w:ind w:left="2026" w:right="114"/>
        <w:jc w:val="both"/>
      </w:pPr>
      <w:r>
        <w:rPr>
          <w:spacing w:val="-1"/>
        </w:rPr>
        <w:t>agree</w:t>
      </w:r>
      <w:r>
        <w:rPr>
          <w:spacing w:val="43"/>
        </w:rPr>
        <w:t xml:space="preserve"> </w:t>
      </w:r>
      <w:r>
        <w:t>the</w:t>
      </w:r>
      <w:r>
        <w:rPr>
          <w:spacing w:val="38"/>
        </w:rPr>
        <w:t xml:space="preserve"> </w:t>
      </w:r>
      <w:r>
        <w:rPr>
          <w:spacing w:val="-1"/>
        </w:rPr>
        <w:t>format</w:t>
      </w:r>
      <w:r>
        <w:rPr>
          <w:spacing w:val="45"/>
        </w:rPr>
        <w:t xml:space="preserve"> </w:t>
      </w:r>
      <w:r>
        <w:rPr>
          <w:spacing w:val="-2"/>
        </w:rPr>
        <w:t>of</w:t>
      </w:r>
      <w:r>
        <w:rPr>
          <w:spacing w:val="45"/>
        </w:rPr>
        <w:t xml:space="preserve"> </w:t>
      </w:r>
      <w:r>
        <w:t>the</w:t>
      </w:r>
      <w:r>
        <w:rPr>
          <w:spacing w:val="41"/>
        </w:rPr>
        <w:t xml:space="preserve"> </w:t>
      </w:r>
      <w:r>
        <w:rPr>
          <w:spacing w:val="-1"/>
        </w:rPr>
        <w:t>Registers</w:t>
      </w:r>
      <w:r>
        <w:rPr>
          <w:spacing w:val="44"/>
        </w:rPr>
        <w:t xml:space="preserve"> </w:t>
      </w:r>
      <w:r>
        <w:rPr>
          <w:spacing w:val="-2"/>
        </w:rPr>
        <w:t>with</w:t>
      </w:r>
      <w:r>
        <w:rPr>
          <w:spacing w:val="44"/>
        </w:rPr>
        <w:t xml:space="preserve"> </w:t>
      </w:r>
      <w:r>
        <w:t>the</w:t>
      </w:r>
      <w:r>
        <w:rPr>
          <w:spacing w:val="43"/>
        </w:rPr>
        <w:t xml:space="preserve"> </w:t>
      </w:r>
      <w:r>
        <w:rPr>
          <w:spacing w:val="-2"/>
        </w:rPr>
        <w:t>Customer</w:t>
      </w:r>
      <w:r>
        <w:rPr>
          <w:spacing w:val="45"/>
        </w:rPr>
        <w:t xml:space="preserve"> </w:t>
      </w:r>
      <w:r>
        <w:rPr>
          <w:spacing w:val="-1"/>
        </w:rPr>
        <w:t>as</w:t>
      </w:r>
      <w:r>
        <w:rPr>
          <w:spacing w:val="44"/>
        </w:rPr>
        <w:t xml:space="preserve"> </w:t>
      </w:r>
      <w:r>
        <w:rPr>
          <w:spacing w:val="-1"/>
        </w:rPr>
        <w:t>part</w:t>
      </w:r>
      <w:r>
        <w:rPr>
          <w:spacing w:val="42"/>
        </w:rPr>
        <w:t xml:space="preserve"> </w:t>
      </w:r>
      <w:r>
        <w:rPr>
          <w:spacing w:val="-2"/>
        </w:rPr>
        <w:t>of</w:t>
      </w:r>
      <w:r>
        <w:rPr>
          <w:spacing w:val="45"/>
        </w:rPr>
        <w:t xml:space="preserve"> </w:t>
      </w:r>
      <w:r>
        <w:t>the</w:t>
      </w:r>
      <w:r>
        <w:rPr>
          <w:spacing w:val="43"/>
        </w:rPr>
        <w:t xml:space="preserve"> </w:t>
      </w:r>
      <w:r>
        <w:rPr>
          <w:spacing w:val="-1"/>
        </w:rPr>
        <w:t xml:space="preserve">process </w:t>
      </w:r>
      <w:r>
        <w:rPr>
          <w:spacing w:val="-2"/>
        </w:rPr>
        <w:t>of</w:t>
      </w:r>
      <w:r>
        <w:rPr>
          <w:spacing w:val="2"/>
        </w:rPr>
        <w:t xml:space="preserve"> </w:t>
      </w:r>
      <w:r>
        <w:rPr>
          <w:spacing w:val="-1"/>
        </w:rPr>
        <w:t>agreeing</w:t>
      </w:r>
      <w:r>
        <w:t xml:space="preserve"> the</w:t>
      </w:r>
      <w:r>
        <w:rPr>
          <w:spacing w:val="-2"/>
        </w:rPr>
        <w:t xml:space="preserve"> Exit</w:t>
      </w:r>
      <w:r>
        <w:rPr>
          <w:spacing w:val="2"/>
        </w:rPr>
        <w:t xml:space="preserve"> </w:t>
      </w:r>
      <w:r>
        <w:rPr>
          <w:spacing w:val="-1"/>
        </w:rPr>
        <w:t>Plan;</w:t>
      </w:r>
      <w:r>
        <w:rPr>
          <w:spacing w:val="2"/>
        </w:rPr>
        <w:t xml:space="preserve"> </w:t>
      </w:r>
      <w:r>
        <w:rPr>
          <w:spacing w:val="-1"/>
        </w:rPr>
        <w:t>and</w:t>
      </w:r>
    </w:p>
    <w:p w:rsidR="008918FA" w:rsidRDefault="008918FA" w:rsidP="008918FA">
      <w:pPr>
        <w:pStyle w:val="BodyText"/>
        <w:numPr>
          <w:ilvl w:val="2"/>
          <w:numId w:val="9"/>
        </w:numPr>
        <w:tabs>
          <w:tab w:val="left" w:pos="2027"/>
        </w:tabs>
        <w:ind w:left="2026" w:right="114"/>
        <w:jc w:val="both"/>
      </w:pPr>
      <w:r>
        <w:rPr>
          <w:spacing w:val="-1"/>
        </w:rPr>
        <w:t>at</w:t>
      </w:r>
      <w:r>
        <w:rPr>
          <w:spacing w:val="4"/>
        </w:rPr>
        <w:t xml:space="preserve"> </w:t>
      </w:r>
      <w:r>
        <w:rPr>
          <w:spacing w:val="-1"/>
        </w:rPr>
        <w:t>all</w:t>
      </w:r>
      <w:r>
        <w:rPr>
          <w:spacing w:val="2"/>
        </w:rPr>
        <w:t xml:space="preserve"> </w:t>
      </w:r>
      <w:r>
        <w:rPr>
          <w:spacing w:val="-1"/>
        </w:rPr>
        <w:t>times</w:t>
      </w:r>
      <w:r>
        <w:rPr>
          <w:spacing w:val="1"/>
        </w:rPr>
        <w:t xml:space="preserve"> </w:t>
      </w:r>
      <w:r>
        <w:t>keep the</w:t>
      </w:r>
      <w:r>
        <w:rPr>
          <w:spacing w:val="3"/>
        </w:rPr>
        <w:t xml:space="preserve"> </w:t>
      </w:r>
      <w:r>
        <w:rPr>
          <w:spacing w:val="-1"/>
        </w:rPr>
        <w:t>Registers</w:t>
      </w:r>
      <w:r>
        <w:rPr>
          <w:spacing w:val="3"/>
        </w:rPr>
        <w:t xml:space="preserve"> </w:t>
      </w:r>
      <w:r>
        <w:rPr>
          <w:spacing w:val="-1"/>
        </w:rPr>
        <w:t>up</w:t>
      </w:r>
      <w:r>
        <w:t xml:space="preserve"> to</w:t>
      </w:r>
      <w:r>
        <w:rPr>
          <w:spacing w:val="3"/>
        </w:rPr>
        <w:t xml:space="preserve"> </w:t>
      </w:r>
      <w:r>
        <w:rPr>
          <w:spacing w:val="-1"/>
        </w:rPr>
        <w:t>date,</w:t>
      </w:r>
      <w:r>
        <w:rPr>
          <w:spacing w:val="4"/>
        </w:rPr>
        <w:t xml:space="preserve"> </w:t>
      </w:r>
      <w:r>
        <w:rPr>
          <w:spacing w:val="-1"/>
        </w:rPr>
        <w:t>in</w:t>
      </w:r>
      <w:r>
        <w:rPr>
          <w:spacing w:val="3"/>
        </w:rPr>
        <w:t xml:space="preserve"> </w:t>
      </w:r>
      <w:r>
        <w:rPr>
          <w:spacing w:val="-1"/>
        </w:rPr>
        <w:t>particular</w:t>
      </w:r>
      <w:r>
        <w:rPr>
          <w:spacing w:val="4"/>
        </w:rPr>
        <w:t xml:space="preserve"> </w:t>
      </w:r>
      <w:r>
        <w:rPr>
          <w:spacing w:val="-1"/>
        </w:rPr>
        <w:t>in</w:t>
      </w:r>
      <w:r>
        <w:rPr>
          <w:spacing w:val="3"/>
        </w:rPr>
        <w:t xml:space="preserve"> </w:t>
      </w:r>
      <w:r>
        <w:t>the</w:t>
      </w:r>
      <w:r>
        <w:rPr>
          <w:spacing w:val="3"/>
        </w:rPr>
        <w:t xml:space="preserve"> </w:t>
      </w:r>
      <w:r>
        <w:rPr>
          <w:spacing w:val="-2"/>
        </w:rPr>
        <w:t>event</w:t>
      </w:r>
      <w:r>
        <w:rPr>
          <w:spacing w:val="4"/>
        </w:rPr>
        <w:t xml:space="preserve"> </w:t>
      </w:r>
      <w:r>
        <w:rPr>
          <w:spacing w:val="-1"/>
        </w:rPr>
        <w:t>that</w:t>
      </w:r>
      <w:r>
        <w:rPr>
          <w:spacing w:val="28"/>
        </w:rPr>
        <w:t xml:space="preserve"> </w:t>
      </w:r>
      <w:r>
        <w:rPr>
          <w:spacing w:val="-1"/>
        </w:rPr>
        <w:t>Assets,</w:t>
      </w:r>
      <w:r>
        <w:rPr>
          <w:spacing w:val="33"/>
        </w:rPr>
        <w:t xml:space="preserve"> </w:t>
      </w:r>
      <w:r>
        <w:rPr>
          <w:spacing w:val="-1"/>
        </w:rPr>
        <w:t>Sub-Contracts</w:t>
      </w:r>
      <w:r>
        <w:rPr>
          <w:spacing w:val="32"/>
        </w:rPr>
        <w:t xml:space="preserve"> </w:t>
      </w:r>
      <w:r>
        <w:rPr>
          <w:spacing w:val="-2"/>
        </w:rPr>
        <w:t>or</w:t>
      </w:r>
      <w:r>
        <w:rPr>
          <w:spacing w:val="33"/>
        </w:rPr>
        <w:t xml:space="preserve"> </w:t>
      </w:r>
      <w:r>
        <w:rPr>
          <w:spacing w:val="-1"/>
        </w:rPr>
        <w:t>other</w:t>
      </w:r>
      <w:r>
        <w:rPr>
          <w:spacing w:val="30"/>
        </w:rPr>
        <w:t xml:space="preserve"> </w:t>
      </w:r>
      <w:r>
        <w:rPr>
          <w:spacing w:val="-2"/>
        </w:rPr>
        <w:t>relevant</w:t>
      </w:r>
      <w:r>
        <w:rPr>
          <w:spacing w:val="33"/>
        </w:rPr>
        <w:t xml:space="preserve"> </w:t>
      </w:r>
      <w:r>
        <w:rPr>
          <w:spacing w:val="-1"/>
        </w:rPr>
        <w:t>agreements</w:t>
      </w:r>
      <w:r>
        <w:rPr>
          <w:spacing w:val="32"/>
        </w:rPr>
        <w:t xml:space="preserve"> </w:t>
      </w:r>
      <w:r>
        <w:rPr>
          <w:spacing w:val="-1"/>
        </w:rPr>
        <w:t>are</w:t>
      </w:r>
      <w:r>
        <w:rPr>
          <w:spacing w:val="32"/>
        </w:rPr>
        <w:t xml:space="preserve"> </w:t>
      </w:r>
      <w:r>
        <w:rPr>
          <w:spacing w:val="-1"/>
        </w:rPr>
        <w:t>added</w:t>
      </w:r>
      <w:r>
        <w:rPr>
          <w:spacing w:val="31"/>
        </w:rPr>
        <w:t xml:space="preserve"> </w:t>
      </w:r>
      <w:r>
        <w:t>to</w:t>
      </w:r>
      <w:r>
        <w:rPr>
          <w:spacing w:val="31"/>
        </w:rPr>
        <w:t xml:space="preserve"> </w:t>
      </w:r>
      <w:r>
        <w:rPr>
          <w:spacing w:val="-2"/>
        </w:rPr>
        <w:t>or</w:t>
      </w:r>
      <w:r>
        <w:rPr>
          <w:spacing w:val="57"/>
        </w:rPr>
        <w:t xml:space="preserve"> </w:t>
      </w:r>
      <w:r>
        <w:rPr>
          <w:spacing w:val="-1"/>
        </w:rPr>
        <w:t>removed</w:t>
      </w:r>
      <w:r>
        <w:rPr>
          <w:spacing w:val="-2"/>
        </w:rPr>
        <w:t xml:space="preserve"> </w:t>
      </w:r>
      <w:r>
        <w:rPr>
          <w:spacing w:val="-1"/>
        </w:rPr>
        <w:t xml:space="preserve">from </w:t>
      </w:r>
      <w:r>
        <w:t>the</w:t>
      </w:r>
      <w:r>
        <w:rPr>
          <w:spacing w:val="-2"/>
        </w:rPr>
        <w:t xml:space="preserve"> </w:t>
      </w:r>
      <w:r>
        <w:rPr>
          <w:spacing w:val="-1"/>
        </w:rPr>
        <w:t>Goods</w:t>
      </w:r>
      <w:r>
        <w:rPr>
          <w:spacing w:val="-2"/>
        </w:rPr>
        <w:t xml:space="preserve"> </w:t>
      </w:r>
      <w:r>
        <w:rPr>
          <w:spacing w:val="-1"/>
        </w:rPr>
        <w:t>and/or</w:t>
      </w:r>
      <w:r>
        <w:rPr>
          <w:spacing w:val="2"/>
        </w:rPr>
        <w:t xml:space="preserve"> </w:t>
      </w:r>
      <w:r>
        <w:rPr>
          <w:spacing w:val="-1"/>
        </w:rPr>
        <w:t>Services.</w:t>
      </w:r>
    </w:p>
    <w:p w:rsidR="008918FA" w:rsidRDefault="008918FA" w:rsidP="008918FA">
      <w:pPr>
        <w:pStyle w:val="BodyText"/>
        <w:numPr>
          <w:ilvl w:val="1"/>
          <w:numId w:val="9"/>
        </w:numPr>
        <w:tabs>
          <w:tab w:val="left" w:pos="829"/>
        </w:tabs>
        <w:spacing w:before="121"/>
      </w:pPr>
      <w:r>
        <w:t>The</w:t>
      </w:r>
      <w:r>
        <w:rPr>
          <w:spacing w:val="-2"/>
        </w:rPr>
        <w:t xml:space="preserve"> Supplier</w:t>
      </w:r>
      <w:r>
        <w:rPr>
          <w:spacing w:val="2"/>
        </w:rPr>
        <w:t xml:space="preserve"> </w:t>
      </w:r>
      <w:r>
        <w:rPr>
          <w:spacing w:val="-1"/>
        </w:rPr>
        <w:t>shall:</w:t>
      </w:r>
    </w:p>
    <w:p w:rsidR="008918FA" w:rsidRDefault="008918FA" w:rsidP="008918FA">
      <w:pPr>
        <w:pStyle w:val="BodyText"/>
        <w:numPr>
          <w:ilvl w:val="2"/>
          <w:numId w:val="9"/>
        </w:numPr>
        <w:tabs>
          <w:tab w:val="left" w:pos="2027"/>
        </w:tabs>
        <w:ind w:left="2026" w:right="113"/>
        <w:jc w:val="both"/>
      </w:pPr>
      <w:r>
        <w:rPr>
          <w:spacing w:val="-1"/>
        </w:rPr>
        <w:t>procure</w:t>
      </w:r>
      <w:r>
        <w:rPr>
          <w:spacing w:val="48"/>
        </w:rPr>
        <w:t xml:space="preserve"> </w:t>
      </w:r>
      <w:r>
        <w:rPr>
          <w:spacing w:val="-1"/>
        </w:rPr>
        <w:t>that</w:t>
      </w:r>
      <w:r>
        <w:rPr>
          <w:spacing w:val="52"/>
        </w:rPr>
        <w:t xml:space="preserve"> </w:t>
      </w:r>
      <w:r>
        <w:rPr>
          <w:spacing w:val="-1"/>
        </w:rPr>
        <w:t>all</w:t>
      </w:r>
      <w:r>
        <w:rPr>
          <w:spacing w:val="50"/>
        </w:rPr>
        <w:t xml:space="preserve"> </w:t>
      </w:r>
      <w:r>
        <w:rPr>
          <w:spacing w:val="-2"/>
        </w:rPr>
        <w:t>Exclusive</w:t>
      </w:r>
      <w:r>
        <w:rPr>
          <w:spacing w:val="51"/>
        </w:rPr>
        <w:t xml:space="preserve"> </w:t>
      </w:r>
      <w:r>
        <w:rPr>
          <w:spacing w:val="-1"/>
        </w:rPr>
        <w:t>Assets</w:t>
      </w:r>
      <w:r>
        <w:rPr>
          <w:spacing w:val="51"/>
        </w:rPr>
        <w:t xml:space="preserve"> </w:t>
      </w:r>
      <w:r>
        <w:rPr>
          <w:spacing w:val="-1"/>
        </w:rPr>
        <w:t>listed</w:t>
      </w:r>
      <w:r>
        <w:rPr>
          <w:spacing w:val="51"/>
        </w:rPr>
        <w:t xml:space="preserve"> </w:t>
      </w:r>
      <w:r>
        <w:rPr>
          <w:spacing w:val="-1"/>
        </w:rPr>
        <w:t>in</w:t>
      </w:r>
      <w:r>
        <w:rPr>
          <w:spacing w:val="52"/>
        </w:rPr>
        <w:t xml:space="preserve"> </w:t>
      </w:r>
      <w:r>
        <w:t>the</w:t>
      </w:r>
      <w:r>
        <w:rPr>
          <w:spacing w:val="51"/>
        </w:rPr>
        <w:t xml:space="preserve"> </w:t>
      </w:r>
      <w:r>
        <w:rPr>
          <w:spacing w:val="-1"/>
        </w:rPr>
        <w:t>Registers</w:t>
      </w:r>
      <w:r>
        <w:rPr>
          <w:spacing w:val="51"/>
        </w:rPr>
        <w:t xml:space="preserve"> </w:t>
      </w:r>
      <w:r>
        <w:rPr>
          <w:spacing w:val="-1"/>
        </w:rPr>
        <w:t>are</w:t>
      </w:r>
      <w:r>
        <w:rPr>
          <w:spacing w:val="48"/>
        </w:rPr>
        <w:t xml:space="preserve"> </w:t>
      </w:r>
      <w:r>
        <w:rPr>
          <w:spacing w:val="-1"/>
        </w:rPr>
        <w:t>clearly</w:t>
      </w:r>
      <w:r>
        <w:rPr>
          <w:spacing w:val="53"/>
        </w:rPr>
        <w:t xml:space="preserve"> </w:t>
      </w:r>
      <w:r>
        <w:rPr>
          <w:spacing w:val="-1"/>
        </w:rPr>
        <w:t>marked</w:t>
      </w:r>
      <w:r>
        <w:rPr>
          <w:spacing w:val="-2"/>
        </w:rPr>
        <w:t xml:space="preserve"> </w:t>
      </w:r>
      <w:r>
        <w:t>to</w:t>
      </w:r>
      <w:r>
        <w:rPr>
          <w:spacing w:val="-2"/>
        </w:rPr>
        <w:t xml:space="preserve"> </w:t>
      </w:r>
      <w:r>
        <w:rPr>
          <w:spacing w:val="-1"/>
        </w:rPr>
        <w:t>identify</w:t>
      </w:r>
      <w:r>
        <w:rPr>
          <w:spacing w:val="-2"/>
        </w:rPr>
        <w:t xml:space="preserve"> </w:t>
      </w:r>
      <w:r>
        <w:rPr>
          <w:spacing w:val="-1"/>
        </w:rPr>
        <w:t>that</w:t>
      </w:r>
      <w:r>
        <w:t xml:space="preserve"> </w:t>
      </w:r>
      <w:r>
        <w:rPr>
          <w:spacing w:val="-1"/>
        </w:rPr>
        <w:t>they</w:t>
      </w:r>
      <w:r>
        <w:rPr>
          <w:spacing w:val="-2"/>
        </w:rPr>
        <w:t xml:space="preserve"> </w:t>
      </w:r>
      <w:r>
        <w:rPr>
          <w:spacing w:val="-1"/>
        </w:rPr>
        <w:t>are</w:t>
      </w:r>
      <w:r>
        <w:t xml:space="preserve"> </w:t>
      </w:r>
      <w:r>
        <w:rPr>
          <w:spacing w:val="-1"/>
        </w:rPr>
        <w:t>exclusively</w:t>
      </w:r>
      <w:r>
        <w:rPr>
          <w:spacing w:val="-2"/>
        </w:rPr>
        <w:t xml:space="preserve"> </w:t>
      </w:r>
      <w:r>
        <w:rPr>
          <w:spacing w:val="-1"/>
        </w:rPr>
        <w:t>used</w:t>
      </w:r>
      <w:r>
        <w:rPr>
          <w:spacing w:val="-2"/>
        </w:rPr>
        <w:t xml:space="preserve"> </w:t>
      </w:r>
      <w:r>
        <w:t>for</w:t>
      </w:r>
      <w:r>
        <w:rPr>
          <w:spacing w:val="2"/>
        </w:rPr>
        <w:t xml:space="preserve"> </w:t>
      </w:r>
      <w:r>
        <w:rPr>
          <w:spacing w:val="-1"/>
        </w:rPr>
        <w:t>the</w:t>
      </w:r>
      <w:r>
        <w:t xml:space="preserve"> </w:t>
      </w:r>
      <w:r>
        <w:rPr>
          <w:spacing w:val="-2"/>
        </w:rPr>
        <w:t>provision</w:t>
      </w:r>
      <w:r>
        <w:t xml:space="preserve"> </w:t>
      </w:r>
      <w:r>
        <w:rPr>
          <w:spacing w:val="-1"/>
        </w:rPr>
        <w:t>of</w:t>
      </w:r>
      <w:r>
        <w:rPr>
          <w:spacing w:val="2"/>
        </w:rPr>
        <w:t xml:space="preserve"> </w:t>
      </w:r>
      <w:r>
        <w:rPr>
          <w:spacing w:val="-1"/>
        </w:rPr>
        <w:t>the</w:t>
      </w:r>
      <w:r>
        <w:rPr>
          <w:spacing w:val="50"/>
        </w:rPr>
        <w:t xml:space="preserve"> </w:t>
      </w:r>
      <w:r>
        <w:rPr>
          <w:spacing w:val="-1"/>
        </w:rPr>
        <w:t>Goods</w:t>
      </w:r>
      <w:r>
        <w:rPr>
          <w:spacing w:val="1"/>
        </w:rPr>
        <w:t xml:space="preserve"> </w:t>
      </w:r>
      <w:r>
        <w:rPr>
          <w:spacing w:val="-1"/>
        </w:rPr>
        <w:t>and/or Services</w:t>
      </w:r>
      <w:r>
        <w:rPr>
          <w:spacing w:val="2"/>
        </w:rPr>
        <w:t xml:space="preserve"> </w:t>
      </w:r>
      <w:r>
        <w:rPr>
          <w:spacing w:val="-2"/>
        </w:rPr>
        <w:t>under</w:t>
      </w:r>
      <w:r>
        <w:rPr>
          <w:spacing w:val="-1"/>
        </w:rPr>
        <w:t xml:space="preserve"> this</w:t>
      </w:r>
      <w:r>
        <w:rPr>
          <w:spacing w:val="1"/>
        </w:rPr>
        <w:t xml:space="preserve"> </w:t>
      </w:r>
      <w:r>
        <w:rPr>
          <w:spacing w:val="-2"/>
        </w:rPr>
        <w:t>Call</w:t>
      </w:r>
      <w:r>
        <w:t xml:space="preserve"> </w:t>
      </w:r>
      <w:r>
        <w:rPr>
          <w:spacing w:val="-1"/>
        </w:rPr>
        <w:t>Off</w:t>
      </w:r>
      <w:r>
        <w:t xml:space="preserve"> </w:t>
      </w:r>
      <w:r>
        <w:rPr>
          <w:spacing w:val="-1"/>
        </w:rPr>
        <w:t>Contract;</w:t>
      </w:r>
      <w:r>
        <w:t xml:space="preserve"> </w:t>
      </w:r>
      <w:r>
        <w:rPr>
          <w:spacing w:val="-1"/>
        </w:rPr>
        <w:t>and</w:t>
      </w:r>
    </w:p>
    <w:p w:rsidR="008918FA" w:rsidRDefault="008918FA" w:rsidP="008918FA">
      <w:pPr>
        <w:pStyle w:val="BodyText"/>
        <w:numPr>
          <w:ilvl w:val="2"/>
          <w:numId w:val="9"/>
        </w:numPr>
        <w:tabs>
          <w:tab w:val="left" w:pos="2027"/>
        </w:tabs>
        <w:ind w:left="2026" w:right="114"/>
        <w:jc w:val="both"/>
      </w:pPr>
      <w:bookmarkStart w:id="450" w:name="_bookmark369"/>
      <w:bookmarkEnd w:id="450"/>
      <w:r>
        <w:rPr>
          <w:spacing w:val="-1"/>
        </w:rPr>
        <w:t>(unless</w:t>
      </w:r>
      <w:r>
        <w:rPr>
          <w:spacing w:val="28"/>
        </w:rPr>
        <w:t xml:space="preserve"> </w:t>
      </w:r>
      <w:r>
        <w:rPr>
          <w:spacing w:val="-2"/>
        </w:rPr>
        <w:t>otherwise</w:t>
      </w:r>
      <w:r>
        <w:rPr>
          <w:spacing w:val="27"/>
        </w:rPr>
        <w:t xml:space="preserve"> </w:t>
      </w:r>
      <w:r>
        <w:rPr>
          <w:spacing w:val="-1"/>
        </w:rPr>
        <w:t>agreed</w:t>
      </w:r>
      <w:r>
        <w:rPr>
          <w:spacing w:val="27"/>
        </w:rPr>
        <w:t xml:space="preserve"> </w:t>
      </w:r>
      <w:r>
        <w:rPr>
          <w:spacing w:val="-1"/>
        </w:rPr>
        <w:t>by</w:t>
      </w:r>
      <w:r>
        <w:rPr>
          <w:spacing w:val="25"/>
        </w:rPr>
        <w:t xml:space="preserve"> </w:t>
      </w:r>
      <w:r>
        <w:t>the</w:t>
      </w:r>
      <w:r>
        <w:rPr>
          <w:spacing w:val="27"/>
        </w:rPr>
        <w:t xml:space="preserve"> </w:t>
      </w:r>
      <w:r>
        <w:rPr>
          <w:spacing w:val="-1"/>
        </w:rPr>
        <w:t>Customer</w:t>
      </w:r>
      <w:r>
        <w:rPr>
          <w:spacing w:val="28"/>
        </w:rPr>
        <w:t xml:space="preserve"> </w:t>
      </w:r>
      <w:r>
        <w:rPr>
          <w:spacing w:val="-1"/>
        </w:rPr>
        <w:t>in</w:t>
      </w:r>
      <w:r>
        <w:rPr>
          <w:spacing w:val="27"/>
        </w:rPr>
        <w:t xml:space="preserve"> </w:t>
      </w:r>
      <w:r>
        <w:rPr>
          <w:spacing w:val="-2"/>
        </w:rPr>
        <w:t>writing)</w:t>
      </w:r>
      <w:r>
        <w:rPr>
          <w:spacing w:val="28"/>
        </w:rPr>
        <w:t xml:space="preserve"> </w:t>
      </w:r>
      <w:r>
        <w:rPr>
          <w:spacing w:val="-1"/>
        </w:rPr>
        <w:t>procure</w:t>
      </w:r>
      <w:r>
        <w:rPr>
          <w:spacing w:val="24"/>
        </w:rPr>
        <w:t xml:space="preserve"> </w:t>
      </w:r>
      <w:r>
        <w:rPr>
          <w:spacing w:val="-1"/>
        </w:rPr>
        <w:t>that</w:t>
      </w:r>
      <w:r>
        <w:rPr>
          <w:spacing w:val="28"/>
        </w:rPr>
        <w:t xml:space="preserve"> </w:t>
      </w:r>
      <w:r>
        <w:rPr>
          <w:spacing w:val="-2"/>
        </w:rPr>
        <w:t>all</w:t>
      </w:r>
      <w:r>
        <w:rPr>
          <w:spacing w:val="51"/>
        </w:rPr>
        <w:t xml:space="preserve"> </w:t>
      </w:r>
      <w:r>
        <w:rPr>
          <w:spacing w:val="-1"/>
        </w:rPr>
        <w:t>licences</w:t>
      </w:r>
      <w:r>
        <w:rPr>
          <w:spacing w:val="13"/>
        </w:rPr>
        <w:t xml:space="preserve"> </w:t>
      </w:r>
      <w:r>
        <w:t>for</w:t>
      </w:r>
      <w:r>
        <w:rPr>
          <w:spacing w:val="11"/>
        </w:rPr>
        <w:t xml:space="preserve"> </w:t>
      </w:r>
      <w:r>
        <w:rPr>
          <w:spacing w:val="-1"/>
        </w:rPr>
        <w:t>Third</w:t>
      </w:r>
      <w:r>
        <w:rPr>
          <w:spacing w:val="12"/>
        </w:rPr>
        <w:t xml:space="preserve"> </w:t>
      </w:r>
      <w:r>
        <w:rPr>
          <w:spacing w:val="-1"/>
        </w:rPr>
        <w:t>Party</w:t>
      </w:r>
      <w:r>
        <w:rPr>
          <w:spacing w:val="10"/>
        </w:rPr>
        <w:t xml:space="preserve"> </w:t>
      </w:r>
      <w:r>
        <w:rPr>
          <w:spacing w:val="-1"/>
        </w:rPr>
        <w:t>IPR</w:t>
      </w:r>
      <w:r>
        <w:rPr>
          <w:spacing w:val="13"/>
        </w:rPr>
        <w:t xml:space="preserve"> </w:t>
      </w:r>
      <w:r>
        <w:rPr>
          <w:spacing w:val="-1"/>
        </w:rPr>
        <w:t>and</w:t>
      </w:r>
      <w:r>
        <w:rPr>
          <w:spacing w:val="12"/>
        </w:rPr>
        <w:t xml:space="preserve"> </w:t>
      </w:r>
      <w:r>
        <w:rPr>
          <w:spacing w:val="-1"/>
        </w:rPr>
        <w:t>all</w:t>
      </w:r>
      <w:r>
        <w:rPr>
          <w:spacing w:val="14"/>
        </w:rPr>
        <w:t xml:space="preserve"> </w:t>
      </w:r>
      <w:r>
        <w:rPr>
          <w:spacing w:val="-1"/>
        </w:rPr>
        <w:t>Sub-Contracts</w:t>
      </w:r>
      <w:r>
        <w:rPr>
          <w:spacing w:val="13"/>
        </w:rPr>
        <w:t xml:space="preserve"> </w:t>
      </w:r>
      <w:r>
        <w:rPr>
          <w:spacing w:val="-1"/>
        </w:rPr>
        <w:t>shall</w:t>
      </w:r>
      <w:r>
        <w:rPr>
          <w:spacing w:val="12"/>
        </w:rPr>
        <w:t xml:space="preserve"> </w:t>
      </w:r>
      <w:r>
        <w:rPr>
          <w:spacing w:val="-1"/>
        </w:rPr>
        <w:t>be</w:t>
      </w:r>
      <w:r>
        <w:rPr>
          <w:spacing w:val="12"/>
        </w:rPr>
        <w:t xml:space="preserve"> </w:t>
      </w:r>
      <w:r>
        <w:rPr>
          <w:spacing w:val="-1"/>
        </w:rPr>
        <w:t>assignable</w:t>
      </w:r>
      <w:r>
        <w:rPr>
          <w:spacing w:val="39"/>
        </w:rPr>
        <w:t xml:space="preserve"> </w:t>
      </w:r>
      <w:r>
        <w:rPr>
          <w:spacing w:val="-1"/>
        </w:rPr>
        <w:t>and/or</w:t>
      </w:r>
      <w:r>
        <w:rPr>
          <w:spacing w:val="61"/>
        </w:rPr>
        <w:t xml:space="preserve"> </w:t>
      </w:r>
      <w:r>
        <w:rPr>
          <w:spacing w:val="-1"/>
        </w:rPr>
        <w:t>capable</w:t>
      </w:r>
      <w:r>
        <w:rPr>
          <w:spacing w:val="60"/>
        </w:rPr>
        <w:t xml:space="preserve"> </w:t>
      </w:r>
      <w:r>
        <w:rPr>
          <w:spacing w:val="-2"/>
        </w:rPr>
        <w:t>of</w:t>
      </w:r>
      <w:r>
        <w:rPr>
          <w:spacing w:val="3"/>
        </w:rPr>
        <w:t xml:space="preserve"> </w:t>
      </w:r>
      <w:r>
        <w:rPr>
          <w:spacing w:val="-1"/>
        </w:rPr>
        <w:t>novation</w:t>
      </w:r>
      <w:r>
        <w:rPr>
          <w:spacing w:val="60"/>
        </w:rPr>
        <w:t xml:space="preserve"> </w:t>
      </w:r>
      <w:r>
        <w:rPr>
          <w:spacing w:val="-1"/>
        </w:rPr>
        <w:t>at</w:t>
      </w:r>
      <w:r>
        <w:rPr>
          <w:spacing w:val="1"/>
        </w:rPr>
        <w:t xml:space="preserve"> </w:t>
      </w:r>
      <w:r>
        <w:t>the</w:t>
      </w:r>
      <w:r>
        <w:rPr>
          <w:spacing w:val="60"/>
        </w:rPr>
        <w:t xml:space="preserve"> </w:t>
      </w:r>
      <w:r>
        <w:rPr>
          <w:spacing w:val="-1"/>
        </w:rPr>
        <w:t>request</w:t>
      </w:r>
      <w:r>
        <w:rPr>
          <w:spacing w:val="1"/>
        </w:rPr>
        <w:t xml:space="preserve"> </w:t>
      </w:r>
      <w:r>
        <w:rPr>
          <w:spacing w:val="-2"/>
        </w:rPr>
        <w:t>of</w:t>
      </w:r>
      <w:r>
        <w:rPr>
          <w:spacing w:val="3"/>
        </w:rPr>
        <w:t xml:space="preserve"> </w:t>
      </w:r>
      <w:r>
        <w:rPr>
          <w:spacing w:val="-1"/>
        </w:rPr>
        <w:t>the</w:t>
      </w:r>
      <w:r>
        <w:rPr>
          <w:spacing w:val="60"/>
        </w:rPr>
        <w:t xml:space="preserve"> </w:t>
      </w:r>
      <w:r>
        <w:rPr>
          <w:spacing w:val="-1"/>
        </w:rPr>
        <w:t>Customer</w:t>
      </w:r>
      <w:r w:rsidR="001C1527">
        <w:t xml:space="preserve"> </w:t>
      </w:r>
      <w:r>
        <w:t>to</w:t>
      </w:r>
      <w:r>
        <w:rPr>
          <w:spacing w:val="60"/>
        </w:rPr>
        <w:t xml:space="preserve"> </w:t>
      </w:r>
      <w:r>
        <w:rPr>
          <w:spacing w:val="-1"/>
        </w:rPr>
        <w:t>the</w:t>
      </w:r>
      <w:r>
        <w:rPr>
          <w:spacing w:val="37"/>
        </w:rPr>
        <w:t xml:space="preserve"> </w:t>
      </w:r>
      <w:r>
        <w:rPr>
          <w:spacing w:val="-1"/>
        </w:rPr>
        <w:t>Customer</w:t>
      </w:r>
      <w:r>
        <w:rPr>
          <w:spacing w:val="9"/>
        </w:rPr>
        <w:t xml:space="preserve"> </w:t>
      </w:r>
      <w:r>
        <w:rPr>
          <w:spacing w:val="-1"/>
        </w:rPr>
        <w:t>(and/or</w:t>
      </w:r>
      <w:r>
        <w:rPr>
          <w:spacing w:val="9"/>
        </w:rPr>
        <w:t xml:space="preserve"> </w:t>
      </w:r>
      <w:r>
        <w:rPr>
          <w:spacing w:val="-1"/>
        </w:rPr>
        <w:t>its</w:t>
      </w:r>
      <w:r>
        <w:rPr>
          <w:spacing w:val="8"/>
        </w:rPr>
        <w:t xml:space="preserve"> </w:t>
      </w:r>
      <w:r>
        <w:rPr>
          <w:spacing w:val="-1"/>
        </w:rPr>
        <w:t>nominee)</w:t>
      </w:r>
      <w:r>
        <w:rPr>
          <w:spacing w:val="9"/>
        </w:rPr>
        <w:t xml:space="preserve"> </w:t>
      </w:r>
      <w:r>
        <w:rPr>
          <w:spacing w:val="-1"/>
        </w:rPr>
        <w:t>and/or</w:t>
      </w:r>
      <w:r>
        <w:rPr>
          <w:spacing w:val="9"/>
        </w:rPr>
        <w:t xml:space="preserve"> </w:t>
      </w:r>
      <w:r>
        <w:rPr>
          <w:spacing w:val="-1"/>
        </w:rPr>
        <w:t>any</w:t>
      </w:r>
      <w:r>
        <w:rPr>
          <w:spacing w:val="5"/>
        </w:rPr>
        <w:t xml:space="preserve"> </w:t>
      </w:r>
      <w:r>
        <w:rPr>
          <w:spacing w:val="-1"/>
        </w:rPr>
        <w:t>Replacement</w:t>
      </w:r>
      <w:r>
        <w:rPr>
          <w:spacing w:val="9"/>
        </w:rPr>
        <w:t xml:space="preserve"> </w:t>
      </w:r>
      <w:r>
        <w:rPr>
          <w:spacing w:val="-2"/>
        </w:rPr>
        <w:t>Supplier</w:t>
      </w:r>
      <w:r>
        <w:rPr>
          <w:spacing w:val="9"/>
        </w:rPr>
        <w:t xml:space="preserve"> </w:t>
      </w:r>
      <w:r>
        <w:rPr>
          <w:spacing w:val="-1"/>
        </w:rPr>
        <w:t>upon</w:t>
      </w:r>
      <w:r>
        <w:rPr>
          <w:spacing w:val="42"/>
        </w:rPr>
        <w:t xml:space="preserve"> </w:t>
      </w:r>
      <w:r>
        <w:t>the</w:t>
      </w:r>
      <w:r>
        <w:rPr>
          <w:spacing w:val="20"/>
        </w:rPr>
        <w:t xml:space="preserve"> </w:t>
      </w:r>
      <w:r>
        <w:rPr>
          <w:spacing w:val="-2"/>
        </w:rPr>
        <w:t>Supplier</w:t>
      </w:r>
      <w:r>
        <w:rPr>
          <w:spacing w:val="21"/>
        </w:rPr>
        <w:t xml:space="preserve"> </w:t>
      </w:r>
      <w:r>
        <w:rPr>
          <w:spacing w:val="-1"/>
        </w:rPr>
        <w:t>ceasing</w:t>
      </w:r>
      <w:r>
        <w:rPr>
          <w:spacing w:val="22"/>
        </w:rPr>
        <w:t xml:space="preserve"> </w:t>
      </w:r>
      <w:r>
        <w:t>to</w:t>
      </w:r>
      <w:r>
        <w:rPr>
          <w:spacing w:val="17"/>
        </w:rPr>
        <w:t xml:space="preserve"> </w:t>
      </w:r>
      <w:r>
        <w:rPr>
          <w:spacing w:val="-2"/>
        </w:rPr>
        <w:t>provide</w:t>
      </w:r>
      <w:r>
        <w:rPr>
          <w:spacing w:val="19"/>
        </w:rPr>
        <w:t xml:space="preserve"> </w:t>
      </w:r>
      <w:r>
        <w:t>the</w:t>
      </w:r>
      <w:r>
        <w:rPr>
          <w:spacing w:val="21"/>
        </w:rPr>
        <w:t xml:space="preserve"> </w:t>
      </w:r>
      <w:r>
        <w:rPr>
          <w:spacing w:val="-1"/>
        </w:rPr>
        <w:t>Goods</w:t>
      </w:r>
      <w:r>
        <w:rPr>
          <w:spacing w:val="20"/>
        </w:rPr>
        <w:t xml:space="preserve"> </w:t>
      </w:r>
      <w:r>
        <w:rPr>
          <w:spacing w:val="-2"/>
        </w:rPr>
        <w:t>and/or</w:t>
      </w:r>
      <w:r>
        <w:rPr>
          <w:spacing w:val="21"/>
        </w:rPr>
        <w:t xml:space="preserve"> </w:t>
      </w:r>
      <w:r>
        <w:rPr>
          <w:spacing w:val="-1"/>
        </w:rPr>
        <w:t>Services</w:t>
      </w:r>
      <w:r>
        <w:rPr>
          <w:spacing w:val="20"/>
        </w:rPr>
        <w:t xml:space="preserve"> </w:t>
      </w:r>
      <w:r>
        <w:rPr>
          <w:spacing w:val="-1"/>
        </w:rPr>
        <w:t>(or</w:t>
      </w:r>
      <w:r>
        <w:rPr>
          <w:spacing w:val="21"/>
        </w:rPr>
        <w:t xml:space="preserve"> </w:t>
      </w:r>
      <w:r>
        <w:rPr>
          <w:spacing w:val="-1"/>
        </w:rPr>
        <w:t>part</w:t>
      </w:r>
      <w:r>
        <w:rPr>
          <w:spacing w:val="19"/>
        </w:rPr>
        <w:t xml:space="preserve"> </w:t>
      </w:r>
      <w:r>
        <w:rPr>
          <w:spacing w:val="-2"/>
        </w:rPr>
        <w:t>of</w:t>
      </w:r>
      <w:r>
        <w:rPr>
          <w:spacing w:val="49"/>
        </w:rPr>
        <w:t xml:space="preserve"> </w:t>
      </w:r>
      <w:r>
        <w:rPr>
          <w:spacing w:val="-1"/>
        </w:rPr>
        <w:t>them)</w:t>
      </w:r>
      <w:r>
        <w:rPr>
          <w:spacing w:val="21"/>
        </w:rPr>
        <w:t xml:space="preserve"> </w:t>
      </w:r>
      <w:r>
        <w:rPr>
          <w:spacing w:val="-2"/>
        </w:rPr>
        <w:t>without</w:t>
      </w:r>
      <w:r>
        <w:rPr>
          <w:spacing w:val="21"/>
        </w:rPr>
        <w:t xml:space="preserve"> </w:t>
      </w:r>
      <w:r>
        <w:rPr>
          <w:spacing w:val="-1"/>
        </w:rPr>
        <w:t>restriction</w:t>
      </w:r>
      <w:r>
        <w:rPr>
          <w:spacing w:val="20"/>
        </w:rPr>
        <w:t xml:space="preserve"> </w:t>
      </w:r>
      <w:r>
        <w:rPr>
          <w:spacing w:val="-1"/>
        </w:rPr>
        <w:t>(including</w:t>
      </w:r>
      <w:r>
        <w:rPr>
          <w:spacing w:val="22"/>
        </w:rPr>
        <w:t xml:space="preserve"> </w:t>
      </w:r>
      <w:r>
        <w:rPr>
          <w:spacing w:val="-1"/>
        </w:rPr>
        <w:t>any</w:t>
      </w:r>
      <w:r>
        <w:rPr>
          <w:spacing w:val="18"/>
        </w:rPr>
        <w:t xml:space="preserve"> </w:t>
      </w:r>
      <w:r>
        <w:rPr>
          <w:spacing w:val="-1"/>
        </w:rPr>
        <w:t>need</w:t>
      </w:r>
      <w:r>
        <w:rPr>
          <w:spacing w:val="19"/>
        </w:rPr>
        <w:t xml:space="preserve"> </w:t>
      </w:r>
      <w:r>
        <w:t>to</w:t>
      </w:r>
      <w:r>
        <w:rPr>
          <w:spacing w:val="22"/>
        </w:rPr>
        <w:t xml:space="preserve"> </w:t>
      </w:r>
      <w:r>
        <w:rPr>
          <w:spacing w:val="-1"/>
        </w:rPr>
        <w:t>obtain</w:t>
      </w:r>
      <w:r>
        <w:rPr>
          <w:spacing w:val="20"/>
        </w:rPr>
        <w:t xml:space="preserve"> </w:t>
      </w:r>
      <w:r>
        <w:rPr>
          <w:spacing w:val="-1"/>
        </w:rPr>
        <w:t>any</w:t>
      </w:r>
      <w:r>
        <w:rPr>
          <w:spacing w:val="18"/>
        </w:rPr>
        <w:t xml:space="preserve"> </w:t>
      </w:r>
      <w:r>
        <w:rPr>
          <w:spacing w:val="-1"/>
        </w:rPr>
        <w:t>consent</w:t>
      </w:r>
      <w:r>
        <w:rPr>
          <w:spacing w:val="21"/>
        </w:rPr>
        <w:t xml:space="preserve"> </w:t>
      </w:r>
      <w:r>
        <w:rPr>
          <w:spacing w:val="-1"/>
        </w:rPr>
        <w:t>or</w:t>
      </w:r>
      <w:r>
        <w:rPr>
          <w:spacing w:val="40"/>
        </w:rPr>
        <w:t xml:space="preserve"> </w:t>
      </w:r>
      <w:r>
        <w:rPr>
          <w:spacing w:val="-2"/>
        </w:rPr>
        <w:t>approval)</w:t>
      </w:r>
      <w:r>
        <w:rPr>
          <w:spacing w:val="2"/>
        </w:rPr>
        <w:t xml:space="preserve"> </w:t>
      </w:r>
      <w:r>
        <w:rPr>
          <w:spacing w:val="-1"/>
        </w:rPr>
        <w:t>or</w:t>
      </w:r>
      <w:r>
        <w:rPr>
          <w:spacing w:val="2"/>
        </w:rPr>
        <w:t xml:space="preserve"> </w:t>
      </w:r>
      <w:r>
        <w:rPr>
          <w:spacing w:val="-2"/>
        </w:rPr>
        <w:t>payment</w:t>
      </w:r>
      <w:r>
        <w:rPr>
          <w:spacing w:val="2"/>
        </w:rPr>
        <w:t xml:space="preserve"> </w:t>
      </w:r>
      <w:r>
        <w:rPr>
          <w:spacing w:val="-1"/>
        </w:rPr>
        <w:t>by</w:t>
      </w:r>
      <w:r>
        <w:rPr>
          <w:spacing w:val="-4"/>
        </w:rPr>
        <w:t xml:space="preserve"> </w:t>
      </w:r>
      <w:r>
        <w:t xml:space="preserve">the </w:t>
      </w:r>
      <w:r>
        <w:rPr>
          <w:spacing w:val="-1"/>
        </w:rPr>
        <w:t>Customer.</w:t>
      </w:r>
    </w:p>
    <w:p w:rsidR="008918FA" w:rsidRDefault="008918FA" w:rsidP="008918FA">
      <w:pPr>
        <w:pStyle w:val="BodyText"/>
        <w:numPr>
          <w:ilvl w:val="1"/>
          <w:numId w:val="9"/>
        </w:numPr>
        <w:tabs>
          <w:tab w:val="left" w:pos="829"/>
        </w:tabs>
        <w:ind w:right="112"/>
        <w:jc w:val="both"/>
      </w:pPr>
      <w:r>
        <w:rPr>
          <w:spacing w:val="-1"/>
        </w:rPr>
        <w:t>Where</w:t>
      </w:r>
      <w:r>
        <w:rPr>
          <w:spacing w:val="7"/>
        </w:rPr>
        <w:t xml:space="preserve"> </w:t>
      </w:r>
      <w:r>
        <w:t>the</w:t>
      </w:r>
      <w:r>
        <w:rPr>
          <w:spacing w:val="7"/>
        </w:rPr>
        <w:t xml:space="preserve"> </w:t>
      </w:r>
      <w:r>
        <w:rPr>
          <w:spacing w:val="-2"/>
        </w:rPr>
        <w:t>Supplier</w:t>
      </w:r>
      <w:r>
        <w:rPr>
          <w:spacing w:val="9"/>
        </w:rPr>
        <w:t xml:space="preserve"> </w:t>
      </w:r>
      <w:r>
        <w:rPr>
          <w:spacing w:val="-1"/>
        </w:rPr>
        <w:t>is</w:t>
      </w:r>
      <w:r>
        <w:rPr>
          <w:spacing w:val="8"/>
        </w:rPr>
        <w:t xml:space="preserve"> </w:t>
      </w:r>
      <w:r>
        <w:rPr>
          <w:spacing w:val="-1"/>
        </w:rPr>
        <w:t>unable</w:t>
      </w:r>
      <w:r>
        <w:rPr>
          <w:spacing w:val="7"/>
        </w:rPr>
        <w:t xml:space="preserve"> </w:t>
      </w:r>
      <w:r>
        <w:t>to</w:t>
      </w:r>
      <w:r>
        <w:rPr>
          <w:spacing w:val="7"/>
        </w:rPr>
        <w:t xml:space="preserve"> </w:t>
      </w:r>
      <w:r>
        <w:rPr>
          <w:spacing w:val="-1"/>
        </w:rPr>
        <w:t>procure</w:t>
      </w:r>
      <w:r>
        <w:rPr>
          <w:spacing w:val="7"/>
        </w:rPr>
        <w:t xml:space="preserve"> </w:t>
      </w:r>
      <w:r>
        <w:rPr>
          <w:spacing w:val="-1"/>
        </w:rPr>
        <w:t>that</w:t>
      </w:r>
      <w:r>
        <w:rPr>
          <w:spacing w:val="9"/>
        </w:rPr>
        <w:t xml:space="preserve"> </w:t>
      </w:r>
      <w:r>
        <w:rPr>
          <w:spacing w:val="-1"/>
        </w:rPr>
        <w:t>any</w:t>
      </w:r>
      <w:r>
        <w:rPr>
          <w:spacing w:val="5"/>
        </w:rPr>
        <w:t xml:space="preserve"> </w:t>
      </w:r>
      <w:r>
        <w:rPr>
          <w:spacing w:val="-1"/>
        </w:rPr>
        <w:t>Sub-Contract</w:t>
      </w:r>
      <w:r>
        <w:rPr>
          <w:spacing w:val="9"/>
        </w:rPr>
        <w:t xml:space="preserve"> </w:t>
      </w:r>
      <w:r>
        <w:rPr>
          <w:spacing w:val="-1"/>
        </w:rPr>
        <w:t>or</w:t>
      </w:r>
      <w:r>
        <w:rPr>
          <w:spacing w:val="9"/>
        </w:rPr>
        <w:t xml:space="preserve"> </w:t>
      </w:r>
      <w:r>
        <w:rPr>
          <w:spacing w:val="-1"/>
        </w:rPr>
        <w:t>other</w:t>
      </w:r>
      <w:r>
        <w:rPr>
          <w:spacing w:val="9"/>
        </w:rPr>
        <w:t xml:space="preserve"> </w:t>
      </w:r>
      <w:r>
        <w:rPr>
          <w:spacing w:val="-1"/>
        </w:rPr>
        <w:t>agreement</w:t>
      </w:r>
      <w:r>
        <w:rPr>
          <w:spacing w:val="57"/>
        </w:rPr>
        <w:t xml:space="preserve"> </w:t>
      </w:r>
      <w:r>
        <w:rPr>
          <w:spacing w:val="-1"/>
        </w:rPr>
        <w:t>referred</w:t>
      </w:r>
      <w:r>
        <w:rPr>
          <w:spacing w:val="-2"/>
        </w:rPr>
        <w:t xml:space="preserve"> </w:t>
      </w:r>
      <w:r>
        <w:t xml:space="preserve">to </w:t>
      </w:r>
      <w:r>
        <w:rPr>
          <w:spacing w:val="-1"/>
        </w:rPr>
        <w:t>in</w:t>
      </w:r>
      <w:r>
        <w:t xml:space="preserve"> </w:t>
      </w:r>
      <w:r>
        <w:rPr>
          <w:spacing w:val="-1"/>
        </w:rPr>
        <w:t>paragraph</w:t>
      </w:r>
      <w:r>
        <w:rPr>
          <w:spacing w:val="-4"/>
        </w:rPr>
        <w:t xml:space="preserve"> </w:t>
      </w:r>
      <w:hyperlink w:anchor="_bookmark369" w:history="1">
        <w:r>
          <w:t>3.2.2</w:t>
        </w:r>
      </w:hyperlink>
      <w:r>
        <w:t xml:space="preserve"> </w:t>
      </w:r>
      <w:r>
        <w:rPr>
          <w:spacing w:val="-2"/>
        </w:rPr>
        <w:t>of</w:t>
      </w:r>
      <w:r>
        <w:rPr>
          <w:spacing w:val="2"/>
        </w:rP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Schedule</w:t>
      </w:r>
      <w:r>
        <w:rPr>
          <w:spacing w:val="1"/>
        </w:rPr>
        <w:t xml:space="preserve"> </w:t>
      </w:r>
      <w:r>
        <w:rPr>
          <w:spacing w:val="-1"/>
        </w:rPr>
        <w:t>which</w:t>
      </w:r>
      <w:r>
        <w:rPr>
          <w:spacing w:val="1"/>
        </w:rPr>
        <w:t xml:space="preserve"> </w:t>
      </w:r>
      <w:r>
        <w:t xml:space="preserve">the </w:t>
      </w:r>
      <w:r>
        <w:rPr>
          <w:spacing w:val="-2"/>
        </w:rPr>
        <w:t>Supplier</w:t>
      </w:r>
      <w:r>
        <w:rPr>
          <w:spacing w:val="2"/>
        </w:rPr>
        <w:t xml:space="preserve"> </w:t>
      </w:r>
      <w:r>
        <w:rPr>
          <w:spacing w:val="-1"/>
        </w:rPr>
        <w:t>proposes</w:t>
      </w:r>
      <w:r>
        <w:rPr>
          <w:spacing w:val="67"/>
        </w:rPr>
        <w:t xml:space="preserve"> </w:t>
      </w:r>
      <w:r>
        <w:t xml:space="preserve">to </w:t>
      </w:r>
      <w:r>
        <w:rPr>
          <w:spacing w:val="-1"/>
        </w:rPr>
        <w:t>enter into</w:t>
      </w:r>
      <w:r>
        <w:t xml:space="preserve"> </w:t>
      </w:r>
      <w:r>
        <w:rPr>
          <w:spacing w:val="-1"/>
        </w:rPr>
        <w:t xml:space="preserve">after </w:t>
      </w:r>
      <w:r>
        <w:t xml:space="preserve">the </w:t>
      </w:r>
      <w:r>
        <w:rPr>
          <w:spacing w:val="-2"/>
        </w:rPr>
        <w:t>Call</w:t>
      </w:r>
      <w:r>
        <w:t xml:space="preserve"> </w:t>
      </w:r>
      <w:r>
        <w:rPr>
          <w:spacing w:val="-1"/>
        </w:rPr>
        <w:t>Off</w:t>
      </w:r>
      <w:r>
        <w:rPr>
          <w:spacing w:val="2"/>
        </w:rPr>
        <w:t xml:space="preserve"> </w:t>
      </w:r>
      <w:r>
        <w:rPr>
          <w:spacing w:val="-2"/>
        </w:rPr>
        <w:t>Commencement</w:t>
      </w:r>
      <w:r>
        <w:rPr>
          <w:spacing w:val="2"/>
        </w:rPr>
        <w:t xml:space="preserve"> </w:t>
      </w:r>
      <w:r>
        <w:rPr>
          <w:spacing w:val="-1"/>
        </w:rPr>
        <w:t>Date</w:t>
      </w:r>
      <w:r>
        <w:t xml:space="preserve"> </w:t>
      </w:r>
      <w:r>
        <w:rPr>
          <w:spacing w:val="-1"/>
        </w:rPr>
        <w:t>is</w:t>
      </w:r>
      <w:r>
        <w:rPr>
          <w:spacing w:val="1"/>
        </w:rPr>
        <w:t xml:space="preserve"> </w:t>
      </w:r>
      <w:r>
        <w:rPr>
          <w:spacing w:val="-1"/>
        </w:rPr>
        <w:t>assignable</w:t>
      </w:r>
      <w:r>
        <w:t xml:space="preserve"> </w:t>
      </w:r>
      <w:r>
        <w:rPr>
          <w:spacing w:val="-1"/>
        </w:rPr>
        <w:t xml:space="preserve">and/or </w:t>
      </w:r>
      <w:r>
        <w:rPr>
          <w:spacing w:val="-2"/>
        </w:rPr>
        <w:t>capable</w:t>
      </w:r>
      <w:r>
        <w:t xml:space="preserve"> </w:t>
      </w:r>
      <w:r>
        <w:rPr>
          <w:spacing w:val="-2"/>
        </w:rPr>
        <w:t>of</w:t>
      </w:r>
      <w:r>
        <w:rPr>
          <w:spacing w:val="53"/>
        </w:rPr>
        <w:t xml:space="preserve"> </w:t>
      </w:r>
      <w:r>
        <w:rPr>
          <w:spacing w:val="-1"/>
        </w:rPr>
        <w:t>novation</w:t>
      </w:r>
      <w:r>
        <w:rPr>
          <w:spacing w:val="31"/>
        </w:rPr>
        <w:t xml:space="preserve"> </w:t>
      </w:r>
      <w:r>
        <w:t>to</w:t>
      </w:r>
      <w:r>
        <w:rPr>
          <w:spacing w:val="31"/>
        </w:rPr>
        <w:t xml:space="preserve"> </w:t>
      </w:r>
      <w:r>
        <w:t>the</w:t>
      </w:r>
      <w:r>
        <w:rPr>
          <w:spacing w:val="31"/>
        </w:rPr>
        <w:t xml:space="preserve"> </w:t>
      </w:r>
      <w:r>
        <w:rPr>
          <w:spacing w:val="-2"/>
        </w:rPr>
        <w:t>Customer</w:t>
      </w:r>
      <w:r>
        <w:rPr>
          <w:spacing w:val="33"/>
        </w:rPr>
        <w:t xml:space="preserve"> </w:t>
      </w:r>
      <w:r>
        <w:rPr>
          <w:spacing w:val="-1"/>
        </w:rPr>
        <w:t>(and/or</w:t>
      </w:r>
      <w:r>
        <w:rPr>
          <w:spacing w:val="33"/>
        </w:rPr>
        <w:t xml:space="preserve"> </w:t>
      </w:r>
      <w:r>
        <w:rPr>
          <w:spacing w:val="-1"/>
        </w:rPr>
        <w:t>its</w:t>
      </w:r>
      <w:r>
        <w:rPr>
          <w:spacing w:val="32"/>
        </w:rPr>
        <w:t xml:space="preserve"> </w:t>
      </w:r>
      <w:r>
        <w:rPr>
          <w:spacing w:val="-2"/>
        </w:rPr>
        <w:t>nominee)</w:t>
      </w:r>
      <w:r>
        <w:rPr>
          <w:spacing w:val="31"/>
        </w:rPr>
        <w:t xml:space="preserve"> </w:t>
      </w:r>
      <w:r>
        <w:rPr>
          <w:spacing w:val="-1"/>
        </w:rPr>
        <w:t>and/or</w:t>
      </w:r>
      <w:r>
        <w:rPr>
          <w:spacing w:val="33"/>
        </w:rPr>
        <w:t xml:space="preserve"> </w:t>
      </w:r>
      <w:r>
        <w:rPr>
          <w:spacing w:val="-1"/>
        </w:rPr>
        <w:t>any</w:t>
      </w:r>
      <w:r>
        <w:rPr>
          <w:spacing w:val="30"/>
        </w:rPr>
        <w:t xml:space="preserve"> </w:t>
      </w:r>
      <w:r>
        <w:rPr>
          <w:spacing w:val="-2"/>
        </w:rPr>
        <w:t>Replacement</w:t>
      </w:r>
      <w:r>
        <w:rPr>
          <w:spacing w:val="33"/>
        </w:rPr>
        <w:t xml:space="preserve"> </w:t>
      </w:r>
      <w:r>
        <w:rPr>
          <w:spacing w:val="-2"/>
        </w:rPr>
        <w:t>Supplier</w:t>
      </w:r>
      <w:r>
        <w:rPr>
          <w:spacing w:val="74"/>
        </w:rPr>
        <w:t xml:space="preserve"> </w:t>
      </w:r>
      <w:r>
        <w:rPr>
          <w:spacing w:val="-1"/>
        </w:rPr>
        <w:t>without</w:t>
      </w:r>
      <w:r>
        <w:rPr>
          <w:spacing w:val="21"/>
        </w:rPr>
        <w:t xml:space="preserve"> </w:t>
      </w:r>
      <w:r>
        <w:rPr>
          <w:spacing w:val="-1"/>
        </w:rPr>
        <w:t>restriction</w:t>
      </w:r>
      <w:r>
        <w:rPr>
          <w:spacing w:val="20"/>
        </w:rPr>
        <w:t xml:space="preserve"> </w:t>
      </w:r>
      <w:r>
        <w:rPr>
          <w:spacing w:val="-1"/>
        </w:rPr>
        <w:t>or</w:t>
      </w:r>
      <w:r>
        <w:rPr>
          <w:spacing w:val="21"/>
        </w:rPr>
        <w:t xml:space="preserve"> </w:t>
      </w:r>
      <w:r>
        <w:rPr>
          <w:spacing w:val="-1"/>
        </w:rPr>
        <w:t>payment,</w:t>
      </w:r>
      <w:r>
        <w:rPr>
          <w:spacing w:val="42"/>
        </w:rPr>
        <w:t xml:space="preserve"> </w:t>
      </w:r>
      <w:r>
        <w:t>the</w:t>
      </w:r>
      <w:r>
        <w:rPr>
          <w:spacing w:val="19"/>
        </w:rPr>
        <w:t xml:space="preserve"> </w:t>
      </w:r>
      <w:r>
        <w:rPr>
          <w:spacing w:val="-2"/>
        </w:rPr>
        <w:t>Supplier</w:t>
      </w:r>
      <w:r>
        <w:rPr>
          <w:spacing w:val="21"/>
        </w:rPr>
        <w:t xml:space="preserve"> </w:t>
      </w:r>
      <w:r>
        <w:rPr>
          <w:spacing w:val="-1"/>
        </w:rPr>
        <w:t>shall</w:t>
      </w:r>
      <w:r>
        <w:rPr>
          <w:spacing w:val="21"/>
        </w:rPr>
        <w:t xml:space="preserve"> </w:t>
      </w:r>
      <w:r>
        <w:rPr>
          <w:spacing w:val="-1"/>
        </w:rPr>
        <w:t>promptly</w:t>
      </w:r>
      <w:r>
        <w:rPr>
          <w:spacing w:val="18"/>
        </w:rPr>
        <w:t xml:space="preserve"> </w:t>
      </w:r>
      <w:r>
        <w:t>notify</w:t>
      </w:r>
      <w:r>
        <w:rPr>
          <w:spacing w:val="18"/>
        </w:rPr>
        <w:t xml:space="preserve"> </w:t>
      </w:r>
      <w:r>
        <w:t>the</w:t>
      </w:r>
      <w:r>
        <w:rPr>
          <w:spacing w:val="19"/>
        </w:rPr>
        <w:t xml:space="preserve"> </w:t>
      </w:r>
      <w:r>
        <w:rPr>
          <w:spacing w:val="-1"/>
        </w:rPr>
        <w:t>Customer</w:t>
      </w:r>
      <w:r>
        <w:rPr>
          <w:spacing w:val="19"/>
        </w:rPr>
        <w:t xml:space="preserve"> </w:t>
      </w:r>
      <w:r>
        <w:rPr>
          <w:spacing w:val="-2"/>
        </w:rPr>
        <w:t>of</w:t>
      </w:r>
      <w:r>
        <w:rPr>
          <w:spacing w:val="49"/>
        </w:rPr>
        <w:t xml:space="preserve"> </w:t>
      </w:r>
      <w:r>
        <w:rPr>
          <w:spacing w:val="-1"/>
        </w:rPr>
        <w:t>this</w:t>
      </w:r>
      <w:r>
        <w:rPr>
          <w:spacing w:val="15"/>
        </w:rPr>
        <w:t xml:space="preserve"> </w:t>
      </w:r>
      <w:r>
        <w:rPr>
          <w:spacing w:val="-1"/>
        </w:rPr>
        <w:t>and</w:t>
      </w:r>
      <w:r>
        <w:rPr>
          <w:spacing w:val="15"/>
        </w:rPr>
        <w:t xml:space="preserve"> </w:t>
      </w:r>
      <w:r>
        <w:t>the</w:t>
      </w:r>
      <w:r>
        <w:rPr>
          <w:spacing w:val="15"/>
        </w:rPr>
        <w:t xml:space="preserve"> </w:t>
      </w:r>
      <w:r>
        <w:rPr>
          <w:spacing w:val="-1"/>
        </w:rPr>
        <w:t>Parties</w:t>
      </w:r>
      <w:r>
        <w:rPr>
          <w:spacing w:val="15"/>
        </w:rPr>
        <w:t xml:space="preserve"> </w:t>
      </w:r>
      <w:r>
        <w:rPr>
          <w:spacing w:val="-2"/>
        </w:rPr>
        <w:t>shall</w:t>
      </w:r>
      <w:r>
        <w:rPr>
          <w:spacing w:val="14"/>
        </w:rPr>
        <w:t xml:space="preserve"> </w:t>
      </w:r>
      <w:r>
        <w:rPr>
          <w:spacing w:val="-1"/>
        </w:rPr>
        <w:t>(acting</w:t>
      </w:r>
      <w:r>
        <w:rPr>
          <w:spacing w:val="17"/>
        </w:rPr>
        <w:t xml:space="preserve"> </w:t>
      </w:r>
      <w:r>
        <w:rPr>
          <w:spacing w:val="-1"/>
        </w:rPr>
        <w:t>reasonably</w:t>
      </w:r>
      <w:r>
        <w:rPr>
          <w:spacing w:val="13"/>
        </w:rPr>
        <w:t xml:space="preserve"> </w:t>
      </w:r>
      <w:r>
        <w:rPr>
          <w:spacing w:val="-1"/>
        </w:rPr>
        <w:t>and</w:t>
      </w:r>
      <w:r>
        <w:rPr>
          <w:spacing w:val="15"/>
        </w:rPr>
        <w:t xml:space="preserve"> </w:t>
      </w:r>
      <w:r>
        <w:rPr>
          <w:spacing w:val="-2"/>
        </w:rPr>
        <w:t>without</w:t>
      </w:r>
      <w:r>
        <w:rPr>
          <w:spacing w:val="16"/>
        </w:rPr>
        <w:t xml:space="preserve"> </w:t>
      </w:r>
      <w:r>
        <w:rPr>
          <w:spacing w:val="-1"/>
        </w:rPr>
        <w:t>undue</w:t>
      </w:r>
      <w:r>
        <w:rPr>
          <w:spacing w:val="15"/>
        </w:rPr>
        <w:t xml:space="preserve"> </w:t>
      </w:r>
      <w:r>
        <w:rPr>
          <w:spacing w:val="-2"/>
        </w:rPr>
        <w:t>delay)</w:t>
      </w:r>
      <w:r>
        <w:rPr>
          <w:spacing w:val="16"/>
        </w:rPr>
        <w:t xml:space="preserve"> </w:t>
      </w:r>
      <w:r>
        <w:rPr>
          <w:spacing w:val="-1"/>
        </w:rPr>
        <w:t>discuss</w:t>
      </w:r>
      <w:r>
        <w:rPr>
          <w:spacing w:val="16"/>
        </w:rPr>
        <w:t xml:space="preserve"> </w:t>
      </w:r>
      <w:r>
        <w:rPr>
          <w:spacing w:val="-1"/>
        </w:rPr>
        <w:t>the</w:t>
      </w:r>
      <w:r>
        <w:rPr>
          <w:spacing w:val="57"/>
        </w:rPr>
        <w:t xml:space="preserve"> </w:t>
      </w:r>
      <w:r>
        <w:rPr>
          <w:spacing w:val="-1"/>
        </w:rPr>
        <w:t>appropriate</w:t>
      </w:r>
      <w:r>
        <w:rPr>
          <w:spacing w:val="15"/>
        </w:rPr>
        <w:t xml:space="preserve"> </w:t>
      </w:r>
      <w:r>
        <w:rPr>
          <w:spacing w:val="-1"/>
        </w:rPr>
        <w:t>action</w:t>
      </w:r>
      <w:r>
        <w:rPr>
          <w:spacing w:val="15"/>
        </w:rPr>
        <w:t xml:space="preserve"> </w:t>
      </w:r>
      <w:r>
        <w:t>to</w:t>
      </w:r>
      <w:r>
        <w:rPr>
          <w:spacing w:val="15"/>
        </w:rPr>
        <w:t xml:space="preserve"> </w:t>
      </w:r>
      <w:r>
        <w:rPr>
          <w:spacing w:val="-1"/>
        </w:rPr>
        <w:t>be</w:t>
      </w:r>
      <w:r>
        <w:rPr>
          <w:spacing w:val="12"/>
        </w:rPr>
        <w:t xml:space="preserve"> </w:t>
      </w:r>
      <w:r>
        <w:rPr>
          <w:spacing w:val="-1"/>
        </w:rPr>
        <w:t>taken</w:t>
      </w:r>
      <w:r>
        <w:rPr>
          <w:spacing w:val="15"/>
        </w:rPr>
        <w:t xml:space="preserve"> </w:t>
      </w:r>
      <w:r>
        <w:rPr>
          <w:spacing w:val="-2"/>
        </w:rPr>
        <w:t>which,</w:t>
      </w:r>
      <w:r>
        <w:rPr>
          <w:spacing w:val="16"/>
        </w:rPr>
        <w:t xml:space="preserve"> </w:t>
      </w:r>
      <w:r>
        <w:rPr>
          <w:spacing w:val="-2"/>
        </w:rPr>
        <w:t>where</w:t>
      </w:r>
      <w:r>
        <w:rPr>
          <w:spacing w:val="15"/>
        </w:rPr>
        <w:t xml:space="preserve"> </w:t>
      </w:r>
      <w:r>
        <w:t>the</w:t>
      </w:r>
      <w:r>
        <w:rPr>
          <w:spacing w:val="15"/>
        </w:rPr>
        <w:t xml:space="preserve"> </w:t>
      </w:r>
      <w:r>
        <w:rPr>
          <w:spacing w:val="-1"/>
        </w:rPr>
        <w:t>Customer</w:t>
      </w:r>
      <w:r>
        <w:rPr>
          <w:spacing w:val="16"/>
        </w:rPr>
        <w:t xml:space="preserve"> </w:t>
      </w:r>
      <w:r>
        <w:rPr>
          <w:spacing w:val="-1"/>
        </w:rPr>
        <w:t>so</w:t>
      </w:r>
      <w:r>
        <w:rPr>
          <w:spacing w:val="15"/>
        </w:rPr>
        <w:t xml:space="preserve"> </w:t>
      </w:r>
      <w:r>
        <w:rPr>
          <w:spacing w:val="-2"/>
        </w:rPr>
        <w:t>directs,</w:t>
      </w:r>
      <w:r>
        <w:rPr>
          <w:spacing w:val="16"/>
        </w:rPr>
        <w:t xml:space="preserve"> </w:t>
      </w:r>
      <w:r>
        <w:rPr>
          <w:spacing w:val="-1"/>
        </w:rPr>
        <w:t>may</w:t>
      </w:r>
      <w:r>
        <w:rPr>
          <w:spacing w:val="13"/>
        </w:rPr>
        <w:t xml:space="preserve"> </w:t>
      </w:r>
      <w:r>
        <w:rPr>
          <w:spacing w:val="-2"/>
        </w:rPr>
        <w:t>include</w:t>
      </w:r>
      <w:r>
        <w:rPr>
          <w:spacing w:val="68"/>
        </w:rPr>
        <w:t xml:space="preserve"> </w:t>
      </w:r>
      <w:r>
        <w:t>the</w:t>
      </w:r>
      <w:r>
        <w:rPr>
          <w:spacing w:val="48"/>
        </w:rPr>
        <w:t xml:space="preserve"> </w:t>
      </w:r>
      <w:r>
        <w:rPr>
          <w:spacing w:val="-2"/>
        </w:rPr>
        <w:t>Supplier</w:t>
      </w:r>
      <w:r>
        <w:rPr>
          <w:spacing w:val="49"/>
        </w:rPr>
        <w:t xml:space="preserve"> </w:t>
      </w:r>
      <w:r>
        <w:rPr>
          <w:spacing w:val="-1"/>
        </w:rPr>
        <w:t>seeking</w:t>
      </w:r>
      <w:r>
        <w:rPr>
          <w:spacing w:val="51"/>
        </w:rPr>
        <w:t xml:space="preserve"> </w:t>
      </w:r>
      <w:r>
        <w:rPr>
          <w:spacing w:val="-1"/>
        </w:rPr>
        <w:t>an</w:t>
      </w:r>
      <w:r>
        <w:rPr>
          <w:spacing w:val="46"/>
        </w:rPr>
        <w:t xml:space="preserve"> </w:t>
      </w:r>
      <w:r>
        <w:rPr>
          <w:spacing w:val="-1"/>
        </w:rPr>
        <w:t>alternative</w:t>
      </w:r>
      <w:r>
        <w:rPr>
          <w:spacing w:val="48"/>
        </w:rPr>
        <w:t xml:space="preserve"> </w:t>
      </w:r>
      <w:r>
        <w:rPr>
          <w:spacing w:val="-1"/>
        </w:rPr>
        <w:t>Sub-Contractor</w:t>
      </w:r>
      <w:r>
        <w:rPr>
          <w:spacing w:val="49"/>
        </w:rPr>
        <w:t xml:space="preserve"> </w:t>
      </w:r>
      <w:r>
        <w:rPr>
          <w:spacing w:val="-2"/>
        </w:rPr>
        <w:t>or</w:t>
      </w:r>
      <w:r>
        <w:rPr>
          <w:spacing w:val="50"/>
        </w:rPr>
        <w:t xml:space="preserve"> </w:t>
      </w:r>
      <w:r>
        <w:rPr>
          <w:spacing w:val="-2"/>
        </w:rPr>
        <w:t>provider</w:t>
      </w:r>
      <w:r>
        <w:rPr>
          <w:spacing w:val="49"/>
        </w:rPr>
        <w:t xml:space="preserve"> </w:t>
      </w:r>
      <w:r>
        <w:rPr>
          <w:spacing w:val="-2"/>
        </w:rPr>
        <w:t>of</w:t>
      </w:r>
      <w:r>
        <w:rPr>
          <w:spacing w:val="49"/>
        </w:rPr>
        <w:t xml:space="preserve"> </w:t>
      </w:r>
      <w:r>
        <w:rPr>
          <w:spacing w:val="-1"/>
        </w:rPr>
        <w:t>goods</w:t>
      </w:r>
      <w:r>
        <w:rPr>
          <w:spacing w:val="49"/>
        </w:rPr>
        <w:t xml:space="preserve"> </w:t>
      </w:r>
      <w:r>
        <w:rPr>
          <w:spacing w:val="-2"/>
        </w:rPr>
        <w:t>and/or</w:t>
      </w:r>
      <w:r>
        <w:rPr>
          <w:spacing w:val="67"/>
        </w:rPr>
        <w:t xml:space="preserve"> </w:t>
      </w:r>
      <w:r>
        <w:rPr>
          <w:spacing w:val="-1"/>
        </w:rPr>
        <w:t>services</w:t>
      </w:r>
      <w:r>
        <w:rPr>
          <w:spacing w:val="1"/>
        </w:rPr>
        <w:t xml:space="preserve"> </w:t>
      </w:r>
      <w:r>
        <w:t xml:space="preserve">to </w:t>
      </w:r>
      <w:r>
        <w:rPr>
          <w:spacing w:val="-2"/>
        </w:rPr>
        <w:t>which</w:t>
      </w:r>
      <w:r>
        <w:rPr>
          <w:spacing w:val="1"/>
        </w:rPr>
        <w:t xml:space="preserve"> </w:t>
      </w:r>
      <w:r>
        <w:t>the</w:t>
      </w:r>
      <w:r>
        <w:rPr>
          <w:spacing w:val="-2"/>
        </w:rPr>
        <w:t xml:space="preserve"> relevant</w:t>
      </w:r>
      <w:r>
        <w:rPr>
          <w:spacing w:val="2"/>
        </w:rPr>
        <w:t xml:space="preserve"> </w:t>
      </w:r>
      <w:r>
        <w:rPr>
          <w:spacing w:val="-1"/>
        </w:rPr>
        <w:t>agreement</w:t>
      </w:r>
      <w:r>
        <w:t xml:space="preserve"> </w:t>
      </w:r>
      <w:r>
        <w:rPr>
          <w:spacing w:val="-1"/>
        </w:rPr>
        <w:t>relates.</w:t>
      </w:r>
    </w:p>
    <w:p w:rsidR="008918FA" w:rsidRDefault="008918FA" w:rsidP="008918FA">
      <w:pPr>
        <w:pStyle w:val="BodyText"/>
        <w:numPr>
          <w:ilvl w:val="1"/>
          <w:numId w:val="9"/>
        </w:numPr>
        <w:tabs>
          <w:tab w:val="left" w:pos="829"/>
        </w:tabs>
        <w:spacing w:before="121"/>
        <w:ind w:right="109"/>
        <w:jc w:val="both"/>
      </w:pPr>
      <w:bookmarkStart w:id="451" w:name="_bookmark370"/>
      <w:bookmarkEnd w:id="451"/>
      <w:r>
        <w:rPr>
          <w:spacing w:val="-1"/>
        </w:rPr>
        <w:t>Each</w:t>
      </w:r>
      <w:r>
        <w:rPr>
          <w:spacing w:val="2"/>
        </w:rPr>
        <w:t xml:space="preserve"> </w:t>
      </w:r>
      <w:r>
        <w:rPr>
          <w:spacing w:val="-1"/>
        </w:rPr>
        <w:t>Party</w:t>
      </w:r>
      <w:r w:rsidR="001C1527">
        <w:t xml:space="preserve"> </w:t>
      </w:r>
      <w:r>
        <w:rPr>
          <w:spacing w:val="-1"/>
        </w:rPr>
        <w:t>shall</w:t>
      </w:r>
      <w:r>
        <w:rPr>
          <w:spacing w:val="1"/>
        </w:rPr>
        <w:t xml:space="preserve"> </w:t>
      </w:r>
      <w:r>
        <w:rPr>
          <w:spacing w:val="-1"/>
        </w:rPr>
        <w:t>appoint</w:t>
      </w:r>
      <w:r>
        <w:rPr>
          <w:spacing w:val="3"/>
        </w:rPr>
        <w:t xml:space="preserve"> </w:t>
      </w:r>
      <w:r>
        <w:t>a</w:t>
      </w:r>
      <w:r>
        <w:rPr>
          <w:spacing w:val="2"/>
        </w:rPr>
        <w:t xml:space="preserve"> </w:t>
      </w:r>
      <w:r>
        <w:rPr>
          <w:spacing w:val="-1"/>
        </w:rPr>
        <w:t>person</w:t>
      </w:r>
      <w:r>
        <w:rPr>
          <w:spacing w:val="60"/>
        </w:rPr>
        <w:t xml:space="preserve"> </w:t>
      </w:r>
      <w:r>
        <w:t>for  the</w:t>
      </w:r>
      <w:r>
        <w:rPr>
          <w:spacing w:val="60"/>
        </w:rPr>
        <w:t xml:space="preserve"> </w:t>
      </w:r>
      <w:r>
        <w:rPr>
          <w:spacing w:val="-1"/>
        </w:rPr>
        <w:t>purposes</w:t>
      </w:r>
      <w:r>
        <w:rPr>
          <w:spacing w:val="2"/>
        </w:rPr>
        <w:t xml:space="preserve"> </w:t>
      </w:r>
      <w:r>
        <w:rPr>
          <w:spacing w:val="-2"/>
        </w:rPr>
        <w:t>of</w:t>
      </w:r>
      <w:r>
        <w:rPr>
          <w:spacing w:val="1"/>
        </w:rPr>
        <w:t xml:space="preserve"> </w:t>
      </w:r>
      <w:r>
        <w:rPr>
          <w:spacing w:val="-1"/>
        </w:rPr>
        <w:t>managing</w:t>
      </w:r>
      <w:r>
        <w:rPr>
          <w:spacing w:val="2"/>
        </w:rPr>
        <w:t xml:space="preserve"> </w:t>
      </w:r>
      <w:r>
        <w:rPr>
          <w:spacing w:val="-1"/>
        </w:rPr>
        <w:t>the</w:t>
      </w:r>
      <w:r>
        <w:rPr>
          <w:spacing w:val="2"/>
        </w:rPr>
        <w:t xml:space="preserve"> </w:t>
      </w:r>
      <w:r>
        <w:rPr>
          <w:spacing w:val="-1"/>
        </w:rPr>
        <w:t>Parties'</w:t>
      </w:r>
      <w:r>
        <w:rPr>
          <w:spacing w:val="27"/>
        </w:rPr>
        <w:t xml:space="preserve"> </w:t>
      </w:r>
      <w:r>
        <w:rPr>
          <w:spacing w:val="-1"/>
        </w:rPr>
        <w:t>respective</w:t>
      </w:r>
      <w:r>
        <w:rPr>
          <w:spacing w:val="17"/>
        </w:rPr>
        <w:t xml:space="preserve"> </w:t>
      </w:r>
      <w:r>
        <w:rPr>
          <w:spacing w:val="-1"/>
        </w:rPr>
        <w:t>obligations</w:t>
      </w:r>
      <w:r>
        <w:rPr>
          <w:spacing w:val="15"/>
        </w:rPr>
        <w:t xml:space="preserve"> </w:t>
      </w:r>
      <w:r>
        <w:rPr>
          <w:spacing w:val="-2"/>
        </w:rPr>
        <w:t>under</w:t>
      </w:r>
      <w:r>
        <w:rPr>
          <w:spacing w:val="19"/>
        </w:rPr>
        <w:t xml:space="preserve"> </w:t>
      </w:r>
      <w:r>
        <w:rPr>
          <w:spacing w:val="-1"/>
        </w:rPr>
        <w:t>this</w:t>
      </w:r>
      <w:r>
        <w:rPr>
          <w:spacing w:val="18"/>
        </w:rPr>
        <w:t xml:space="preserve"> </w:t>
      </w:r>
      <w:r>
        <w:rPr>
          <w:spacing w:val="-2"/>
        </w:rPr>
        <w:t>Call</w:t>
      </w:r>
      <w:r>
        <w:rPr>
          <w:spacing w:val="14"/>
        </w:rPr>
        <w:t xml:space="preserve"> </w:t>
      </w:r>
      <w:r>
        <w:rPr>
          <w:spacing w:val="-1"/>
        </w:rPr>
        <w:t>Off</w:t>
      </w:r>
      <w:r>
        <w:rPr>
          <w:spacing w:val="19"/>
        </w:rPr>
        <w:t xml:space="preserve"> </w:t>
      </w:r>
      <w:r>
        <w:rPr>
          <w:spacing w:val="-2"/>
        </w:rPr>
        <w:t>Schedule</w:t>
      </w:r>
      <w:r>
        <w:rPr>
          <w:spacing w:val="17"/>
        </w:rPr>
        <w:t xml:space="preserve"> </w:t>
      </w:r>
      <w:r>
        <w:rPr>
          <w:spacing w:val="-1"/>
        </w:rPr>
        <w:t>and</w:t>
      </w:r>
      <w:r>
        <w:rPr>
          <w:spacing w:val="17"/>
        </w:rPr>
        <w:t xml:space="preserve"> </w:t>
      </w:r>
      <w:r>
        <w:rPr>
          <w:spacing w:val="-2"/>
        </w:rPr>
        <w:t>provide</w:t>
      </w:r>
      <w:r>
        <w:rPr>
          <w:spacing w:val="17"/>
        </w:rPr>
        <w:t xml:space="preserve"> </w:t>
      </w:r>
      <w:r>
        <w:rPr>
          <w:spacing w:val="-1"/>
        </w:rPr>
        <w:t>written</w:t>
      </w:r>
      <w:r>
        <w:rPr>
          <w:spacing w:val="17"/>
        </w:rPr>
        <w:t xml:space="preserve"> </w:t>
      </w:r>
      <w:r>
        <w:rPr>
          <w:spacing w:val="-1"/>
        </w:rPr>
        <w:t>notification</w:t>
      </w:r>
      <w:r>
        <w:rPr>
          <w:spacing w:val="72"/>
        </w:rPr>
        <w:t xml:space="preserve"> </w:t>
      </w:r>
      <w:r>
        <w:rPr>
          <w:spacing w:val="-2"/>
        </w:rPr>
        <w:t>of</w:t>
      </w:r>
      <w:r>
        <w:rPr>
          <w:spacing w:val="52"/>
        </w:rPr>
        <w:t xml:space="preserve"> </w:t>
      </w:r>
      <w:r>
        <w:rPr>
          <w:spacing w:val="-1"/>
        </w:rPr>
        <w:t>such</w:t>
      </w:r>
      <w:r>
        <w:rPr>
          <w:spacing w:val="49"/>
        </w:rPr>
        <w:t xml:space="preserve"> </w:t>
      </w:r>
      <w:r>
        <w:rPr>
          <w:spacing w:val="-1"/>
        </w:rPr>
        <w:t>appointment</w:t>
      </w:r>
      <w:r>
        <w:rPr>
          <w:spacing w:val="47"/>
        </w:rPr>
        <w:t xml:space="preserve"> </w:t>
      </w:r>
      <w:r>
        <w:t>to</w:t>
      </w:r>
      <w:r>
        <w:rPr>
          <w:spacing w:val="46"/>
        </w:rPr>
        <w:t xml:space="preserve"> </w:t>
      </w:r>
      <w:r>
        <w:t>the</w:t>
      </w:r>
      <w:r>
        <w:rPr>
          <w:spacing w:val="48"/>
        </w:rPr>
        <w:t xml:space="preserve"> </w:t>
      </w:r>
      <w:r>
        <w:rPr>
          <w:spacing w:val="-1"/>
        </w:rPr>
        <w:t>other</w:t>
      </w:r>
      <w:r>
        <w:rPr>
          <w:spacing w:val="49"/>
        </w:rPr>
        <w:t xml:space="preserve"> </w:t>
      </w:r>
      <w:r>
        <w:rPr>
          <w:spacing w:val="-1"/>
        </w:rPr>
        <w:t>Party</w:t>
      </w:r>
      <w:r>
        <w:rPr>
          <w:spacing w:val="47"/>
        </w:rPr>
        <w:t xml:space="preserve"> </w:t>
      </w:r>
      <w:r>
        <w:rPr>
          <w:spacing w:val="-1"/>
        </w:rPr>
        <w:t>within</w:t>
      </w:r>
      <w:r>
        <w:rPr>
          <w:spacing w:val="48"/>
        </w:rPr>
        <w:t xml:space="preserve"> </w:t>
      </w:r>
      <w:r>
        <w:rPr>
          <w:spacing w:val="-1"/>
        </w:rPr>
        <w:t>three</w:t>
      </w:r>
      <w:r>
        <w:rPr>
          <w:spacing w:val="46"/>
        </w:rPr>
        <w:t xml:space="preserve"> </w:t>
      </w:r>
      <w:r>
        <w:rPr>
          <w:spacing w:val="-1"/>
        </w:rPr>
        <w:t>(3)</w:t>
      </w:r>
      <w:r>
        <w:rPr>
          <w:spacing w:val="47"/>
        </w:rPr>
        <w:t xml:space="preserve"> </w:t>
      </w:r>
      <w:r>
        <w:rPr>
          <w:spacing w:val="-1"/>
        </w:rPr>
        <w:t>months</w:t>
      </w:r>
      <w:r>
        <w:rPr>
          <w:spacing w:val="49"/>
        </w:rPr>
        <w:t xml:space="preserve"> </w:t>
      </w:r>
      <w:r>
        <w:rPr>
          <w:spacing w:val="-2"/>
        </w:rPr>
        <w:t>of</w:t>
      </w:r>
      <w:r>
        <w:rPr>
          <w:spacing w:val="49"/>
        </w:rPr>
        <w:t xml:space="preserve"> </w:t>
      </w:r>
      <w:r>
        <w:t>the</w:t>
      </w:r>
      <w:r>
        <w:rPr>
          <w:spacing w:val="47"/>
        </w:rPr>
        <w:t xml:space="preserve"> </w:t>
      </w:r>
      <w:r>
        <w:rPr>
          <w:spacing w:val="-2"/>
        </w:rPr>
        <w:t>Call</w:t>
      </w:r>
      <w:r>
        <w:rPr>
          <w:spacing w:val="47"/>
        </w:rPr>
        <w:t xml:space="preserve"> </w:t>
      </w:r>
      <w:r>
        <w:rPr>
          <w:spacing w:val="-1"/>
        </w:rPr>
        <w:t>Off</w:t>
      </w:r>
      <w:r>
        <w:rPr>
          <w:spacing w:val="43"/>
        </w:rPr>
        <w:t xml:space="preserve"> </w:t>
      </w:r>
      <w:r>
        <w:rPr>
          <w:spacing w:val="-1"/>
        </w:rPr>
        <w:t>Commencement</w:t>
      </w:r>
      <w:r>
        <w:rPr>
          <w:spacing w:val="25"/>
        </w:rPr>
        <w:t xml:space="preserve"> </w:t>
      </w:r>
      <w:r>
        <w:rPr>
          <w:spacing w:val="-1"/>
        </w:rPr>
        <w:t>Date.</w:t>
      </w:r>
      <w:r>
        <w:rPr>
          <w:spacing w:val="25"/>
        </w:rPr>
        <w:t xml:space="preserve"> </w:t>
      </w:r>
      <w:r>
        <w:t>The</w:t>
      </w:r>
      <w:r>
        <w:rPr>
          <w:spacing w:val="26"/>
        </w:rPr>
        <w:t xml:space="preserve"> </w:t>
      </w:r>
      <w:r>
        <w:rPr>
          <w:spacing w:val="-1"/>
        </w:rPr>
        <w:t>Supplier's</w:t>
      </w:r>
      <w:r>
        <w:rPr>
          <w:spacing w:val="26"/>
        </w:rPr>
        <w:t xml:space="preserve"> </w:t>
      </w:r>
      <w:r>
        <w:rPr>
          <w:spacing w:val="-2"/>
        </w:rPr>
        <w:t>Exit</w:t>
      </w:r>
      <w:r>
        <w:rPr>
          <w:spacing w:val="27"/>
        </w:rPr>
        <w:t xml:space="preserve"> </w:t>
      </w:r>
      <w:r>
        <w:rPr>
          <w:spacing w:val="-1"/>
        </w:rPr>
        <w:t>Manager</w:t>
      </w:r>
      <w:r>
        <w:rPr>
          <w:spacing w:val="27"/>
        </w:rPr>
        <w:t xml:space="preserve"> </w:t>
      </w:r>
      <w:r>
        <w:rPr>
          <w:spacing w:val="-1"/>
        </w:rPr>
        <w:t>shall</w:t>
      </w:r>
      <w:r>
        <w:rPr>
          <w:spacing w:val="25"/>
        </w:rPr>
        <w:t xml:space="preserve"> </w:t>
      </w:r>
      <w:r>
        <w:rPr>
          <w:spacing w:val="-1"/>
        </w:rPr>
        <w:t>be</w:t>
      </w:r>
      <w:r>
        <w:rPr>
          <w:spacing w:val="23"/>
        </w:rPr>
        <w:t xml:space="preserve"> </w:t>
      </w:r>
      <w:r>
        <w:rPr>
          <w:spacing w:val="-1"/>
        </w:rPr>
        <w:t>responsible</w:t>
      </w:r>
      <w:r>
        <w:rPr>
          <w:spacing w:val="26"/>
        </w:rPr>
        <w:t xml:space="preserve"> </w:t>
      </w:r>
      <w:r>
        <w:rPr>
          <w:spacing w:val="-1"/>
        </w:rPr>
        <w:t>for</w:t>
      </w:r>
      <w:r>
        <w:rPr>
          <w:spacing w:val="30"/>
        </w:rPr>
        <w:t xml:space="preserve"> </w:t>
      </w:r>
      <w:r>
        <w:rPr>
          <w:spacing w:val="-1"/>
        </w:rPr>
        <w:t>ensuring</w:t>
      </w:r>
      <w:r>
        <w:rPr>
          <w:spacing w:val="15"/>
        </w:rPr>
        <w:t xml:space="preserve"> </w:t>
      </w:r>
      <w:r>
        <w:rPr>
          <w:spacing w:val="-1"/>
        </w:rPr>
        <w:t>that</w:t>
      </w:r>
      <w:r>
        <w:rPr>
          <w:spacing w:val="14"/>
        </w:rPr>
        <w:t xml:space="preserve"> </w:t>
      </w:r>
      <w:r>
        <w:t>the</w:t>
      </w:r>
      <w:r>
        <w:rPr>
          <w:spacing w:val="15"/>
        </w:rPr>
        <w:t xml:space="preserve"> </w:t>
      </w:r>
      <w:r>
        <w:rPr>
          <w:spacing w:val="-2"/>
        </w:rPr>
        <w:t>Supplier</w:t>
      </w:r>
      <w:r>
        <w:rPr>
          <w:spacing w:val="16"/>
        </w:rPr>
        <w:t xml:space="preserve"> </w:t>
      </w:r>
      <w:r>
        <w:rPr>
          <w:spacing w:val="-1"/>
        </w:rPr>
        <w:t>and</w:t>
      </w:r>
      <w:r>
        <w:rPr>
          <w:spacing w:val="15"/>
        </w:rPr>
        <w:t xml:space="preserve"> </w:t>
      </w:r>
      <w:r>
        <w:rPr>
          <w:spacing w:val="-2"/>
        </w:rPr>
        <w:t>its</w:t>
      </w:r>
      <w:r>
        <w:rPr>
          <w:spacing w:val="15"/>
        </w:rPr>
        <w:t xml:space="preserve"> </w:t>
      </w:r>
      <w:r>
        <w:rPr>
          <w:spacing w:val="-2"/>
        </w:rPr>
        <w:t>employees,</w:t>
      </w:r>
      <w:r>
        <w:rPr>
          <w:spacing w:val="17"/>
        </w:rPr>
        <w:t xml:space="preserve"> </w:t>
      </w:r>
      <w:r>
        <w:rPr>
          <w:spacing w:val="-1"/>
        </w:rPr>
        <w:t>agents</w:t>
      </w:r>
      <w:r>
        <w:rPr>
          <w:spacing w:val="15"/>
        </w:rPr>
        <w:t xml:space="preserve"> </w:t>
      </w:r>
      <w:r>
        <w:rPr>
          <w:spacing w:val="-1"/>
        </w:rPr>
        <w:t>and</w:t>
      </w:r>
      <w:r>
        <w:rPr>
          <w:spacing w:val="15"/>
        </w:rPr>
        <w:t xml:space="preserve"> </w:t>
      </w:r>
      <w:r>
        <w:rPr>
          <w:spacing w:val="-1"/>
        </w:rPr>
        <w:t>Sub-Contractors</w:t>
      </w:r>
      <w:r>
        <w:rPr>
          <w:spacing w:val="15"/>
        </w:rPr>
        <w:t xml:space="preserve"> </w:t>
      </w:r>
      <w:r>
        <w:rPr>
          <w:spacing w:val="-1"/>
        </w:rPr>
        <w:t>comply</w:t>
      </w:r>
      <w:r>
        <w:rPr>
          <w:spacing w:val="55"/>
        </w:rPr>
        <w:t xml:space="preserve"> </w:t>
      </w:r>
      <w:r>
        <w:rPr>
          <w:spacing w:val="-1"/>
        </w:rPr>
        <w:t>with</w:t>
      </w:r>
      <w:r>
        <w:rPr>
          <w:spacing w:val="5"/>
        </w:rPr>
        <w:t xml:space="preserve"> </w:t>
      </w:r>
      <w:r>
        <w:rPr>
          <w:spacing w:val="-1"/>
        </w:rPr>
        <w:t>this</w:t>
      </w:r>
      <w:r>
        <w:rPr>
          <w:spacing w:val="5"/>
        </w:rPr>
        <w:t xml:space="preserve"> </w:t>
      </w:r>
      <w:r>
        <w:rPr>
          <w:spacing w:val="-2"/>
        </w:rPr>
        <w:t>Call</w:t>
      </w:r>
      <w:r>
        <w:rPr>
          <w:spacing w:val="4"/>
        </w:rPr>
        <w:t xml:space="preserve"> </w:t>
      </w:r>
      <w:r>
        <w:t>Off</w:t>
      </w:r>
      <w:r>
        <w:rPr>
          <w:spacing w:val="7"/>
        </w:rPr>
        <w:t xml:space="preserve"> </w:t>
      </w:r>
      <w:r>
        <w:rPr>
          <w:spacing w:val="-2"/>
        </w:rPr>
        <w:t>Schedule.</w:t>
      </w:r>
      <w:r>
        <w:rPr>
          <w:spacing w:val="8"/>
        </w:rPr>
        <w:t xml:space="preserve"> </w:t>
      </w:r>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1"/>
        </w:rPr>
        <w:t>ensure</w:t>
      </w:r>
      <w:r>
        <w:rPr>
          <w:spacing w:val="5"/>
        </w:rPr>
        <w:t xml:space="preserve"> </w:t>
      </w:r>
      <w:r>
        <w:rPr>
          <w:spacing w:val="-1"/>
        </w:rPr>
        <w:t>that</w:t>
      </w:r>
      <w:r>
        <w:rPr>
          <w:spacing w:val="7"/>
        </w:rPr>
        <w:t xml:space="preserve"> </w:t>
      </w:r>
      <w:r>
        <w:rPr>
          <w:spacing w:val="-1"/>
        </w:rPr>
        <w:t>its</w:t>
      </w:r>
      <w:r>
        <w:rPr>
          <w:spacing w:val="5"/>
        </w:rPr>
        <w:t xml:space="preserve"> </w:t>
      </w:r>
      <w:r>
        <w:rPr>
          <w:spacing w:val="-2"/>
        </w:rPr>
        <w:t>Exit</w:t>
      </w:r>
      <w:r>
        <w:rPr>
          <w:spacing w:val="7"/>
        </w:rPr>
        <w:t xml:space="preserve"> </w:t>
      </w:r>
      <w:r>
        <w:rPr>
          <w:spacing w:val="-1"/>
        </w:rPr>
        <w:t>Manager</w:t>
      </w:r>
      <w:r>
        <w:rPr>
          <w:spacing w:val="6"/>
        </w:rPr>
        <w:t xml:space="preserve"> </w:t>
      </w:r>
      <w:r>
        <w:rPr>
          <w:spacing w:val="-1"/>
        </w:rPr>
        <w:t>has</w:t>
      </w:r>
      <w:r>
        <w:rPr>
          <w:spacing w:val="5"/>
        </w:rPr>
        <w:t xml:space="preserve"> </w:t>
      </w:r>
      <w:r>
        <w:rPr>
          <w:spacing w:val="-1"/>
        </w:rPr>
        <w:t>the</w:t>
      </w:r>
      <w:r>
        <w:rPr>
          <w:spacing w:val="72"/>
        </w:rPr>
        <w:t xml:space="preserve"> </w:t>
      </w:r>
      <w:r>
        <w:rPr>
          <w:spacing w:val="-1"/>
        </w:rPr>
        <w:t>requisite</w:t>
      </w:r>
      <w:r>
        <w:rPr>
          <w:spacing w:val="39"/>
        </w:rPr>
        <w:t xml:space="preserve"> </w:t>
      </w:r>
      <w:r>
        <w:rPr>
          <w:spacing w:val="-1"/>
        </w:rPr>
        <w:t>Authority</w:t>
      </w:r>
      <w:r>
        <w:rPr>
          <w:spacing w:val="37"/>
        </w:rPr>
        <w:t xml:space="preserve"> </w:t>
      </w:r>
      <w:r>
        <w:t>to</w:t>
      </w:r>
      <w:r>
        <w:rPr>
          <w:spacing w:val="38"/>
        </w:rPr>
        <w:t xml:space="preserve"> </w:t>
      </w:r>
      <w:r>
        <w:rPr>
          <w:spacing w:val="-1"/>
        </w:rPr>
        <w:t>arrange</w:t>
      </w:r>
      <w:r>
        <w:rPr>
          <w:spacing w:val="38"/>
        </w:rPr>
        <w:t xml:space="preserve"> </w:t>
      </w:r>
      <w:r>
        <w:rPr>
          <w:spacing w:val="-1"/>
        </w:rPr>
        <w:t>and</w:t>
      </w:r>
      <w:r>
        <w:rPr>
          <w:spacing w:val="36"/>
        </w:rPr>
        <w:t xml:space="preserve"> </w:t>
      </w:r>
      <w:r>
        <w:rPr>
          <w:spacing w:val="-1"/>
        </w:rPr>
        <w:t>procure</w:t>
      </w:r>
      <w:r>
        <w:rPr>
          <w:spacing w:val="38"/>
        </w:rPr>
        <w:t xml:space="preserve"> </w:t>
      </w:r>
      <w:r>
        <w:rPr>
          <w:spacing w:val="-1"/>
        </w:rPr>
        <w:t>any</w:t>
      </w:r>
      <w:r>
        <w:rPr>
          <w:spacing w:val="38"/>
        </w:rPr>
        <w:t xml:space="preserve"> </w:t>
      </w:r>
      <w:r>
        <w:rPr>
          <w:spacing w:val="-1"/>
        </w:rPr>
        <w:t>resources</w:t>
      </w:r>
      <w:r>
        <w:rPr>
          <w:spacing w:val="39"/>
        </w:rPr>
        <w:t xml:space="preserve"> </w:t>
      </w:r>
      <w:r>
        <w:rPr>
          <w:spacing w:val="-2"/>
        </w:rPr>
        <w:t>of</w:t>
      </w:r>
      <w:r>
        <w:rPr>
          <w:spacing w:val="38"/>
        </w:rPr>
        <w:t xml:space="preserve"> </w:t>
      </w:r>
      <w:r>
        <w:t>the</w:t>
      </w:r>
      <w:r>
        <w:rPr>
          <w:spacing w:val="38"/>
        </w:rPr>
        <w:t xml:space="preserve"> </w:t>
      </w:r>
      <w:r>
        <w:rPr>
          <w:spacing w:val="-2"/>
        </w:rPr>
        <w:t>Supplier</w:t>
      </w:r>
      <w:r>
        <w:rPr>
          <w:spacing w:val="40"/>
        </w:rPr>
        <w:t xml:space="preserve"> </w:t>
      </w:r>
      <w:r>
        <w:rPr>
          <w:spacing w:val="-1"/>
        </w:rPr>
        <w:t>as</w:t>
      </w:r>
      <w:r>
        <w:rPr>
          <w:spacing w:val="39"/>
        </w:rPr>
        <w:t xml:space="preserve"> </w:t>
      </w:r>
      <w:r>
        <w:rPr>
          <w:spacing w:val="-2"/>
        </w:rPr>
        <w:t>are</w:t>
      </w:r>
      <w:r>
        <w:rPr>
          <w:spacing w:val="53"/>
        </w:rPr>
        <w:t xml:space="preserve"> </w:t>
      </w:r>
      <w:r>
        <w:rPr>
          <w:spacing w:val="-1"/>
        </w:rPr>
        <w:t>reasonably</w:t>
      </w:r>
      <w:r>
        <w:rPr>
          <w:spacing w:val="20"/>
        </w:rPr>
        <w:t xml:space="preserve"> </w:t>
      </w:r>
      <w:r>
        <w:rPr>
          <w:spacing w:val="-1"/>
        </w:rPr>
        <w:t>necessary</w:t>
      </w:r>
      <w:r>
        <w:rPr>
          <w:spacing w:val="20"/>
        </w:rPr>
        <w:t xml:space="preserve"> </w:t>
      </w:r>
      <w:r>
        <w:t>to</w:t>
      </w:r>
      <w:r>
        <w:rPr>
          <w:spacing w:val="22"/>
        </w:rPr>
        <w:t xml:space="preserve"> </w:t>
      </w:r>
      <w:r>
        <w:rPr>
          <w:spacing w:val="-1"/>
        </w:rPr>
        <w:t>enable</w:t>
      </w:r>
      <w:r>
        <w:rPr>
          <w:spacing w:val="22"/>
        </w:rPr>
        <w:t xml:space="preserve"> </w:t>
      </w:r>
      <w:r>
        <w:t>the</w:t>
      </w:r>
      <w:r>
        <w:rPr>
          <w:spacing w:val="22"/>
        </w:rPr>
        <w:t xml:space="preserve"> </w:t>
      </w:r>
      <w:r>
        <w:rPr>
          <w:spacing w:val="-2"/>
        </w:rPr>
        <w:t>Supplier</w:t>
      </w:r>
      <w:r>
        <w:rPr>
          <w:spacing w:val="23"/>
        </w:rPr>
        <w:t xml:space="preserve"> </w:t>
      </w:r>
      <w:r>
        <w:t>to</w:t>
      </w:r>
      <w:r>
        <w:rPr>
          <w:spacing w:val="24"/>
        </w:rPr>
        <w:t xml:space="preserve"> </w:t>
      </w:r>
      <w:r>
        <w:rPr>
          <w:spacing w:val="-1"/>
        </w:rPr>
        <w:t>comply</w:t>
      </w:r>
      <w:r>
        <w:rPr>
          <w:spacing w:val="22"/>
        </w:rPr>
        <w:t xml:space="preserve"> </w:t>
      </w:r>
      <w:r>
        <w:rPr>
          <w:spacing w:val="-2"/>
        </w:rPr>
        <w:t>with</w:t>
      </w:r>
      <w:r>
        <w:rPr>
          <w:spacing w:val="22"/>
        </w:rPr>
        <w:t xml:space="preserve"> </w:t>
      </w:r>
      <w:r>
        <w:t>the</w:t>
      </w:r>
      <w:r>
        <w:rPr>
          <w:spacing w:val="22"/>
        </w:rPr>
        <w:t xml:space="preserve"> </w:t>
      </w:r>
      <w:r>
        <w:rPr>
          <w:spacing w:val="-1"/>
        </w:rPr>
        <w:t>requirements</w:t>
      </w:r>
      <w:r>
        <w:rPr>
          <w:spacing w:val="22"/>
        </w:rPr>
        <w:t xml:space="preserve"> </w:t>
      </w:r>
      <w:r>
        <w:rPr>
          <w:spacing w:val="-2"/>
        </w:rPr>
        <w:t>set</w:t>
      </w:r>
      <w:r>
        <w:rPr>
          <w:spacing w:val="57"/>
        </w:rPr>
        <w:t xml:space="preserve"> </w:t>
      </w:r>
      <w:r>
        <w:rPr>
          <w:spacing w:val="-1"/>
        </w:rPr>
        <w:t>out</w:t>
      </w:r>
      <w:r>
        <w:rPr>
          <w:spacing w:val="2"/>
        </w:rPr>
        <w:t xml:space="preserve"> </w:t>
      </w:r>
      <w:r>
        <w:rPr>
          <w:spacing w:val="-1"/>
        </w:rPr>
        <w:t>in</w:t>
      </w:r>
      <w:r>
        <w:t xml:space="preserve"> </w:t>
      </w:r>
      <w:r>
        <w:rPr>
          <w:spacing w:val="-1"/>
        </w:rPr>
        <w:t>this</w:t>
      </w:r>
      <w:r>
        <w:rPr>
          <w:spacing w:val="1"/>
        </w:rPr>
        <w:t xml:space="preserve"> </w:t>
      </w:r>
      <w:r>
        <w:rPr>
          <w:spacing w:val="-1"/>
        </w:rPr>
        <w:t>Call</w:t>
      </w:r>
      <w:r>
        <w:t xml:space="preserve"> Off</w:t>
      </w:r>
      <w:r>
        <w:rPr>
          <w:spacing w:val="4"/>
        </w:rPr>
        <w:t xml:space="preserve"> </w:t>
      </w:r>
      <w:r>
        <w:rPr>
          <w:spacing w:val="-2"/>
        </w:rPr>
        <w:t>Schedule.</w:t>
      </w:r>
      <w:r>
        <w:rPr>
          <w:spacing w:val="2"/>
        </w:rPr>
        <w:t xml:space="preserve"> </w:t>
      </w:r>
      <w:r>
        <w:t xml:space="preserve">The </w:t>
      </w:r>
      <w:r>
        <w:rPr>
          <w:spacing w:val="-1"/>
        </w:rPr>
        <w:t>Parties'</w:t>
      </w:r>
      <w:r>
        <w:rPr>
          <w:spacing w:val="2"/>
        </w:rPr>
        <w:t xml:space="preserve"> </w:t>
      </w:r>
      <w:r>
        <w:rPr>
          <w:spacing w:val="-2"/>
        </w:rPr>
        <w:t>Exit</w:t>
      </w:r>
      <w:r>
        <w:rPr>
          <w:spacing w:val="4"/>
        </w:rPr>
        <w:t xml:space="preserve"> </w:t>
      </w:r>
      <w:r>
        <w:rPr>
          <w:spacing w:val="-1"/>
        </w:rPr>
        <w:t>Managers</w:t>
      </w:r>
      <w:r>
        <w:rPr>
          <w:spacing w:val="1"/>
        </w:rPr>
        <w:t xml:space="preserve"> </w:t>
      </w:r>
      <w:r>
        <w:rPr>
          <w:spacing w:val="-2"/>
        </w:rPr>
        <w:t>will</w:t>
      </w:r>
      <w:r>
        <w:rPr>
          <w:spacing w:val="2"/>
        </w:rPr>
        <w:t xml:space="preserve"> </w:t>
      </w:r>
      <w:r>
        <w:rPr>
          <w:spacing w:val="-1"/>
        </w:rPr>
        <w:t>liaise</w:t>
      </w:r>
      <w:r>
        <w:rPr>
          <w:spacing w:val="3"/>
        </w:rPr>
        <w:t xml:space="preserve"> </w:t>
      </w:r>
      <w:r>
        <w:rPr>
          <w:spacing w:val="-1"/>
        </w:rPr>
        <w:t>with</w:t>
      </w:r>
      <w:r>
        <w:t xml:space="preserve"> </w:t>
      </w:r>
      <w:r>
        <w:rPr>
          <w:spacing w:val="-1"/>
        </w:rPr>
        <w:t>one</w:t>
      </w:r>
      <w:r>
        <w:t xml:space="preserve"> </w:t>
      </w:r>
      <w:r>
        <w:rPr>
          <w:spacing w:val="-1"/>
        </w:rPr>
        <w:t>another</w:t>
      </w:r>
      <w:r>
        <w:rPr>
          <w:spacing w:val="64"/>
        </w:rPr>
        <w:t xml:space="preserve"> </w:t>
      </w:r>
      <w:r>
        <w:rPr>
          <w:spacing w:val="-1"/>
        </w:rPr>
        <w:t>in</w:t>
      </w:r>
      <w:r>
        <w:rPr>
          <w:spacing w:val="20"/>
        </w:rPr>
        <w:t xml:space="preserve"> </w:t>
      </w:r>
      <w:r>
        <w:rPr>
          <w:spacing w:val="-1"/>
        </w:rPr>
        <w:t>relation</w:t>
      </w:r>
      <w:r>
        <w:rPr>
          <w:spacing w:val="20"/>
        </w:rPr>
        <w:t xml:space="preserve"> </w:t>
      </w:r>
      <w:r>
        <w:t>to</w:t>
      </w:r>
      <w:r>
        <w:rPr>
          <w:spacing w:val="19"/>
        </w:rPr>
        <w:t xml:space="preserve"> </w:t>
      </w:r>
      <w:r>
        <w:rPr>
          <w:spacing w:val="-1"/>
        </w:rPr>
        <w:t>all</w:t>
      </w:r>
      <w:r>
        <w:rPr>
          <w:spacing w:val="19"/>
        </w:rPr>
        <w:t xml:space="preserve"> </w:t>
      </w:r>
      <w:r>
        <w:rPr>
          <w:spacing w:val="-1"/>
        </w:rPr>
        <w:t>issues</w:t>
      </w:r>
      <w:r>
        <w:rPr>
          <w:spacing w:val="20"/>
        </w:rPr>
        <w:t xml:space="preserve"> </w:t>
      </w:r>
      <w:r>
        <w:rPr>
          <w:spacing w:val="-2"/>
        </w:rPr>
        <w:t>relevant</w:t>
      </w:r>
      <w:r>
        <w:rPr>
          <w:spacing w:val="21"/>
        </w:rPr>
        <w:t xml:space="preserve"> </w:t>
      </w:r>
      <w:r>
        <w:t>to</w:t>
      </w:r>
      <w:r>
        <w:rPr>
          <w:spacing w:val="20"/>
        </w:rPr>
        <w:t xml:space="preserve"> </w:t>
      </w:r>
      <w:r>
        <w:t>the</w:t>
      </w:r>
      <w:r>
        <w:rPr>
          <w:spacing w:val="19"/>
        </w:rPr>
        <w:t xml:space="preserve"> </w:t>
      </w:r>
      <w:r>
        <w:rPr>
          <w:spacing w:val="-1"/>
        </w:rPr>
        <w:t>termination</w:t>
      </w:r>
      <w:r>
        <w:rPr>
          <w:spacing w:val="20"/>
        </w:rPr>
        <w:t xml:space="preserve"> </w:t>
      </w:r>
      <w:r>
        <w:rPr>
          <w:spacing w:val="-2"/>
        </w:rPr>
        <w:t>of</w:t>
      </w:r>
      <w:r>
        <w:rPr>
          <w:spacing w:val="23"/>
        </w:rPr>
        <w:t xml:space="preserve"> </w:t>
      </w:r>
      <w:r>
        <w:rPr>
          <w:spacing w:val="-1"/>
        </w:rPr>
        <w:t>this</w:t>
      </w:r>
      <w:r>
        <w:rPr>
          <w:spacing w:val="20"/>
        </w:rPr>
        <w:t xml:space="preserve"> </w:t>
      </w:r>
      <w:r>
        <w:rPr>
          <w:spacing w:val="-2"/>
        </w:rPr>
        <w:t>Call</w:t>
      </w:r>
      <w:r>
        <w:rPr>
          <w:spacing w:val="19"/>
        </w:rPr>
        <w:t xml:space="preserve"> </w:t>
      </w:r>
      <w:r>
        <w:rPr>
          <w:spacing w:val="-1"/>
        </w:rPr>
        <w:t>Off</w:t>
      </w:r>
      <w:r>
        <w:rPr>
          <w:spacing w:val="21"/>
        </w:rPr>
        <w:t xml:space="preserve"> </w:t>
      </w:r>
      <w:r>
        <w:rPr>
          <w:spacing w:val="-1"/>
        </w:rPr>
        <w:t>Contract</w:t>
      </w:r>
      <w:r>
        <w:rPr>
          <w:spacing w:val="21"/>
        </w:rPr>
        <w:t xml:space="preserve"> </w:t>
      </w:r>
      <w:r>
        <w:rPr>
          <w:spacing w:val="-1"/>
        </w:rPr>
        <w:t>and</w:t>
      </w:r>
      <w:r>
        <w:rPr>
          <w:spacing w:val="20"/>
        </w:rPr>
        <w:t xml:space="preserve"> </w:t>
      </w:r>
      <w:r>
        <w:rPr>
          <w:spacing w:val="-1"/>
        </w:rPr>
        <w:t>all</w:t>
      </w:r>
      <w:r>
        <w:rPr>
          <w:spacing w:val="47"/>
        </w:rPr>
        <w:t xml:space="preserve"> </w:t>
      </w:r>
      <w:r>
        <w:rPr>
          <w:spacing w:val="-1"/>
        </w:rPr>
        <w:t>matters</w:t>
      </w:r>
      <w:r>
        <w:rPr>
          <w:spacing w:val="-2"/>
        </w:rPr>
        <w:t xml:space="preserve"> </w:t>
      </w:r>
      <w:r>
        <w:rPr>
          <w:spacing w:val="-1"/>
        </w:rPr>
        <w:t>connected</w:t>
      </w:r>
      <w:r>
        <w:t xml:space="preserve"> </w:t>
      </w:r>
      <w:r>
        <w:rPr>
          <w:spacing w:val="-2"/>
        </w:rPr>
        <w:t>with</w:t>
      </w:r>
      <w:r>
        <w:t xml:space="preserve"> </w:t>
      </w:r>
      <w:r>
        <w:rPr>
          <w:spacing w:val="-2"/>
        </w:rPr>
        <w:t>this</w:t>
      </w:r>
      <w:r>
        <w:rPr>
          <w:spacing w:val="1"/>
        </w:rPr>
        <w:t xml:space="preserve"> </w:t>
      </w:r>
      <w:r>
        <w:rPr>
          <w:spacing w:val="-2"/>
        </w:rPr>
        <w:t>Call</w:t>
      </w:r>
      <w:r>
        <w:t xml:space="preserve"> Off</w:t>
      </w:r>
      <w:r>
        <w:rPr>
          <w:spacing w:val="2"/>
        </w:rPr>
        <w:t xml:space="preserve"> </w:t>
      </w:r>
      <w:r>
        <w:rPr>
          <w:spacing w:val="-1"/>
        </w:rPr>
        <w:t>Schedule</w:t>
      </w:r>
      <w:r>
        <w:rPr>
          <w:spacing w:val="-2"/>
        </w:rPr>
        <w:t xml:space="preserve"> and</w:t>
      </w:r>
      <w:r>
        <w:t xml:space="preserve"> </w:t>
      </w:r>
      <w:r>
        <w:rPr>
          <w:spacing w:val="-1"/>
        </w:rPr>
        <w:t>each</w:t>
      </w:r>
      <w:r>
        <w:rPr>
          <w:spacing w:val="1"/>
        </w:rPr>
        <w:t xml:space="preserve"> </w:t>
      </w:r>
      <w:r>
        <w:rPr>
          <w:spacing w:val="-1"/>
        </w:rPr>
        <w:t>Party's</w:t>
      </w:r>
      <w:r>
        <w:rPr>
          <w:spacing w:val="-2"/>
        </w:rPr>
        <w:t xml:space="preserve"> compliance</w:t>
      </w:r>
      <w:r>
        <w:t xml:space="preserve"> </w:t>
      </w:r>
      <w:r>
        <w:rPr>
          <w:spacing w:val="-2"/>
        </w:rPr>
        <w:t>with</w:t>
      </w:r>
      <w:r>
        <w:t xml:space="preserve"> </w:t>
      </w:r>
      <w:r>
        <w:rPr>
          <w:spacing w:val="-1"/>
        </w:rPr>
        <w:t>it.</w:t>
      </w:r>
    </w:p>
    <w:p w:rsidR="008918FA" w:rsidRDefault="008918FA" w:rsidP="008918FA">
      <w:pPr>
        <w:pStyle w:val="BodyText"/>
        <w:numPr>
          <w:ilvl w:val="0"/>
          <w:numId w:val="9"/>
        </w:numPr>
        <w:tabs>
          <w:tab w:val="left" w:pos="466"/>
        </w:tabs>
        <w:spacing w:before="117"/>
        <w:rPr>
          <w:rFonts w:ascii="Times New Roman" w:eastAsia="Times New Roman" w:hAnsi="Times New Roman" w:cs="Times New Roman"/>
        </w:rPr>
      </w:pPr>
      <w:r>
        <w:rPr>
          <w:rFonts w:ascii="Times New Roman"/>
          <w:spacing w:val="1"/>
        </w:rPr>
        <w:t>OBLIGATIONS</w:t>
      </w:r>
      <w:r>
        <w:rPr>
          <w:rFonts w:ascii="Times New Roman"/>
          <w:spacing w:val="31"/>
        </w:rPr>
        <w:t xml:space="preserve"> </w:t>
      </w:r>
      <w:r>
        <w:rPr>
          <w:rFonts w:ascii="Times New Roman"/>
          <w:spacing w:val="-2"/>
        </w:rPr>
        <w:t>TO</w:t>
      </w:r>
      <w:r>
        <w:rPr>
          <w:rFonts w:ascii="Times New Roman"/>
          <w:spacing w:val="23"/>
        </w:rPr>
        <w:t xml:space="preserve"> </w:t>
      </w:r>
      <w:r>
        <w:rPr>
          <w:rFonts w:ascii="Times New Roman"/>
          <w:spacing w:val="-6"/>
        </w:rPr>
        <w:t>A</w:t>
      </w:r>
      <w:r>
        <w:rPr>
          <w:rFonts w:ascii="Times New Roman"/>
          <w:spacing w:val="23"/>
        </w:rPr>
        <w:t>S</w:t>
      </w:r>
      <w:r>
        <w:rPr>
          <w:rFonts w:ascii="Times New Roman"/>
          <w:spacing w:val="26"/>
        </w:rPr>
        <w:t>S</w:t>
      </w:r>
      <w:r>
        <w:rPr>
          <w:rFonts w:ascii="Times New Roman"/>
          <w:spacing w:val="-12"/>
        </w:rPr>
        <w:t>I</w:t>
      </w:r>
      <w:r>
        <w:rPr>
          <w:rFonts w:ascii="Times New Roman"/>
          <w:spacing w:val="23"/>
        </w:rPr>
        <w:t>S</w:t>
      </w:r>
      <w:r>
        <w:rPr>
          <w:rFonts w:ascii="Times New Roman"/>
        </w:rPr>
        <w:t>T</w:t>
      </w:r>
      <w:r>
        <w:rPr>
          <w:rFonts w:ascii="Times New Roman"/>
          <w:spacing w:val="4"/>
        </w:rPr>
        <w:t xml:space="preserve"> </w:t>
      </w:r>
      <w:r>
        <w:rPr>
          <w:rFonts w:ascii="Times New Roman"/>
          <w:spacing w:val="6"/>
        </w:rPr>
        <w:t xml:space="preserve">ON </w:t>
      </w:r>
      <w:r>
        <w:rPr>
          <w:rFonts w:ascii="Times New Roman"/>
          <w:spacing w:val="3"/>
        </w:rPr>
        <w:t>RE-TENDERING</w:t>
      </w:r>
      <w:r>
        <w:rPr>
          <w:rFonts w:ascii="Times New Roman"/>
          <w:spacing w:val="18"/>
        </w:rPr>
        <w:t xml:space="preserve"> </w:t>
      </w:r>
      <w:r>
        <w:rPr>
          <w:rFonts w:ascii="Times New Roman"/>
          <w:spacing w:val="6"/>
        </w:rPr>
        <w:t>OF</w:t>
      </w:r>
      <w:r>
        <w:rPr>
          <w:rFonts w:ascii="Times New Roman"/>
          <w:spacing w:val="16"/>
        </w:rPr>
        <w:t xml:space="preserve"> </w:t>
      </w:r>
      <w:r>
        <w:rPr>
          <w:rFonts w:ascii="Times New Roman"/>
          <w:spacing w:val="7"/>
        </w:rPr>
        <w:t>GOODS</w:t>
      </w:r>
      <w:r>
        <w:rPr>
          <w:rFonts w:ascii="Times New Roman"/>
          <w:spacing w:val="30"/>
        </w:rPr>
        <w:t xml:space="preserve"> </w:t>
      </w:r>
      <w:r>
        <w:rPr>
          <w:rFonts w:ascii="Times New Roman"/>
        </w:rPr>
        <w:t>AND/OR</w:t>
      </w:r>
      <w:r>
        <w:rPr>
          <w:rFonts w:ascii="Times New Roman"/>
          <w:spacing w:val="16"/>
        </w:rPr>
        <w:t xml:space="preserve"> </w:t>
      </w:r>
      <w:r>
        <w:rPr>
          <w:rFonts w:ascii="Times New Roman"/>
          <w:spacing w:val="5"/>
        </w:rPr>
        <w:t>SERVICES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9"/>
        </w:numPr>
        <w:tabs>
          <w:tab w:val="left" w:pos="829"/>
        </w:tabs>
        <w:spacing w:before="0"/>
        <w:ind w:left="827" w:right="112" w:hanging="359"/>
        <w:jc w:val="both"/>
      </w:pPr>
      <w:bookmarkStart w:id="452" w:name="_bookmark371"/>
      <w:bookmarkEnd w:id="452"/>
      <w:r>
        <w:t>On</w:t>
      </w:r>
      <w:r>
        <w:rPr>
          <w:spacing w:val="7"/>
        </w:rPr>
        <w:t xml:space="preserve"> </w:t>
      </w:r>
      <w:r>
        <w:rPr>
          <w:spacing w:val="-1"/>
        </w:rPr>
        <w:t>reasonable</w:t>
      </w:r>
      <w:r>
        <w:rPr>
          <w:spacing w:val="7"/>
        </w:rPr>
        <w:t xml:space="preserve"> </w:t>
      </w:r>
      <w:r>
        <w:rPr>
          <w:spacing w:val="-1"/>
        </w:rPr>
        <w:t>notice</w:t>
      </w:r>
      <w:r>
        <w:rPr>
          <w:spacing w:val="8"/>
        </w:rPr>
        <w:t xml:space="preserve"> </w:t>
      </w:r>
      <w:r>
        <w:rPr>
          <w:spacing w:val="-1"/>
        </w:rPr>
        <w:t>at</w:t>
      </w:r>
      <w:r>
        <w:rPr>
          <w:spacing w:val="7"/>
        </w:rPr>
        <w:t xml:space="preserve"> </w:t>
      </w:r>
      <w:r>
        <w:rPr>
          <w:spacing w:val="-1"/>
        </w:rPr>
        <w:t>any</w:t>
      </w:r>
      <w:r>
        <w:rPr>
          <w:spacing w:val="5"/>
        </w:rPr>
        <w:t xml:space="preserve"> </w:t>
      </w:r>
      <w:r>
        <w:rPr>
          <w:spacing w:val="-1"/>
        </w:rPr>
        <w:t>point</w:t>
      </w:r>
      <w:r>
        <w:rPr>
          <w:spacing w:val="9"/>
        </w:rPr>
        <w:t xml:space="preserve"> </w:t>
      </w:r>
      <w:r>
        <w:rPr>
          <w:spacing w:val="-1"/>
        </w:rPr>
        <w:t>during</w:t>
      </w:r>
      <w:r>
        <w:rPr>
          <w:spacing w:val="10"/>
        </w:rPr>
        <w:t xml:space="preserve"> </w:t>
      </w:r>
      <w:r>
        <w:t>the</w:t>
      </w:r>
      <w:r>
        <w:rPr>
          <w:spacing w:val="7"/>
        </w:rPr>
        <w:t xml:space="preserve"> </w:t>
      </w:r>
      <w:r>
        <w:rPr>
          <w:spacing w:val="-2"/>
        </w:rPr>
        <w:t>Call</w:t>
      </w:r>
      <w:r>
        <w:rPr>
          <w:spacing w:val="7"/>
        </w:rPr>
        <w:t xml:space="preserve"> </w:t>
      </w:r>
      <w:r>
        <w:rPr>
          <w:spacing w:val="-1"/>
        </w:rPr>
        <w:t>Off</w:t>
      </w:r>
      <w:r>
        <w:rPr>
          <w:spacing w:val="9"/>
        </w:rPr>
        <w:t xml:space="preserve"> </w:t>
      </w:r>
      <w:r>
        <w:rPr>
          <w:spacing w:val="-1"/>
        </w:rPr>
        <w:t>Contract</w:t>
      </w:r>
      <w:r>
        <w:rPr>
          <w:spacing w:val="9"/>
        </w:rPr>
        <w:t xml:space="preserve"> </w:t>
      </w:r>
      <w:r>
        <w:rPr>
          <w:spacing w:val="-2"/>
        </w:rPr>
        <w:t>Period,</w:t>
      </w:r>
      <w:r>
        <w:rPr>
          <w:spacing w:val="9"/>
        </w:rPr>
        <w:t xml:space="preserve"> </w:t>
      </w:r>
      <w:r>
        <w:t>the</w:t>
      </w:r>
      <w:r>
        <w:rPr>
          <w:spacing w:val="5"/>
        </w:rPr>
        <w:t xml:space="preserve"> </w:t>
      </w:r>
      <w:r>
        <w:rPr>
          <w:spacing w:val="-2"/>
        </w:rPr>
        <w:t>Supplier</w:t>
      </w:r>
      <w:r>
        <w:rPr>
          <w:spacing w:val="48"/>
        </w:rPr>
        <w:t xml:space="preserve"> </w:t>
      </w:r>
      <w:r>
        <w:rPr>
          <w:spacing w:val="-1"/>
        </w:rPr>
        <w:t>shall</w:t>
      </w:r>
      <w:r>
        <w:rPr>
          <w:spacing w:val="21"/>
        </w:rPr>
        <w:t xml:space="preserve"> </w:t>
      </w:r>
      <w:r>
        <w:rPr>
          <w:spacing w:val="-2"/>
        </w:rPr>
        <w:t>provide</w:t>
      </w:r>
      <w:r>
        <w:rPr>
          <w:spacing w:val="24"/>
        </w:rPr>
        <w:t xml:space="preserve"> </w:t>
      </w:r>
      <w:r>
        <w:t>to</w:t>
      </w:r>
      <w:r>
        <w:rPr>
          <w:spacing w:val="22"/>
        </w:rPr>
        <w:t xml:space="preserve"> </w:t>
      </w:r>
      <w:r>
        <w:t>the</w:t>
      </w:r>
      <w:r>
        <w:rPr>
          <w:spacing w:val="22"/>
        </w:rPr>
        <w:t xml:space="preserve"> </w:t>
      </w:r>
      <w:r>
        <w:rPr>
          <w:spacing w:val="-1"/>
        </w:rPr>
        <w:t>Customer</w:t>
      </w:r>
      <w:r>
        <w:rPr>
          <w:spacing w:val="23"/>
        </w:rPr>
        <w:t xml:space="preserve"> </w:t>
      </w:r>
      <w:r>
        <w:rPr>
          <w:spacing w:val="-1"/>
        </w:rPr>
        <w:t>and/or</w:t>
      </w:r>
      <w:r>
        <w:rPr>
          <w:spacing w:val="23"/>
        </w:rPr>
        <w:t xml:space="preserve"> </w:t>
      </w:r>
      <w:r>
        <w:rPr>
          <w:spacing w:val="-1"/>
        </w:rPr>
        <w:t>its</w:t>
      </w:r>
      <w:r>
        <w:rPr>
          <w:spacing w:val="22"/>
        </w:rPr>
        <w:t xml:space="preserve"> </w:t>
      </w:r>
      <w:r>
        <w:rPr>
          <w:spacing w:val="-1"/>
        </w:rPr>
        <w:t>potential</w:t>
      </w:r>
      <w:r>
        <w:rPr>
          <w:spacing w:val="21"/>
        </w:rPr>
        <w:t xml:space="preserve"> </w:t>
      </w:r>
      <w:r>
        <w:rPr>
          <w:spacing w:val="-1"/>
        </w:rPr>
        <w:t>Replacement</w:t>
      </w:r>
      <w:r>
        <w:rPr>
          <w:spacing w:val="23"/>
        </w:rPr>
        <w:t xml:space="preserve"> </w:t>
      </w:r>
      <w:r>
        <w:rPr>
          <w:spacing w:val="-1"/>
        </w:rPr>
        <w:t>Suppliers</w:t>
      </w:r>
      <w:r>
        <w:rPr>
          <w:spacing w:val="22"/>
        </w:rPr>
        <w:t xml:space="preserve"> </w:t>
      </w:r>
      <w:r>
        <w:rPr>
          <w:spacing w:val="-1"/>
        </w:rPr>
        <w:t>(subject</w:t>
      </w:r>
      <w:r>
        <w:rPr>
          <w:spacing w:val="37"/>
        </w:rPr>
        <w:t xml:space="preserve"> </w:t>
      </w:r>
      <w:r>
        <w:t>to</w:t>
      </w:r>
      <w:r>
        <w:rPr>
          <w:spacing w:val="29"/>
        </w:rPr>
        <w:t xml:space="preserve"> </w:t>
      </w:r>
      <w:r>
        <w:t>the</w:t>
      </w:r>
      <w:r>
        <w:rPr>
          <w:spacing w:val="27"/>
        </w:rPr>
        <w:t xml:space="preserve"> </w:t>
      </w:r>
      <w:r>
        <w:rPr>
          <w:spacing w:val="-1"/>
        </w:rPr>
        <w:t>potential</w:t>
      </w:r>
      <w:r>
        <w:rPr>
          <w:spacing w:val="28"/>
        </w:rPr>
        <w:t xml:space="preserve"> </w:t>
      </w:r>
      <w:r>
        <w:rPr>
          <w:spacing w:val="-1"/>
        </w:rPr>
        <w:t>Replacement</w:t>
      </w:r>
      <w:r>
        <w:rPr>
          <w:spacing w:val="28"/>
        </w:rPr>
        <w:t xml:space="preserve"> </w:t>
      </w:r>
      <w:r>
        <w:rPr>
          <w:spacing w:val="-1"/>
        </w:rPr>
        <w:t>Suppliers</w:t>
      </w:r>
      <w:r>
        <w:rPr>
          <w:spacing w:val="30"/>
        </w:rPr>
        <w:t xml:space="preserve"> </w:t>
      </w:r>
      <w:r>
        <w:rPr>
          <w:spacing w:val="-2"/>
        </w:rPr>
        <w:t>entering</w:t>
      </w:r>
      <w:r>
        <w:rPr>
          <w:spacing w:val="31"/>
        </w:rPr>
        <w:t xml:space="preserve"> </w:t>
      </w:r>
      <w:r>
        <w:rPr>
          <w:spacing w:val="-1"/>
        </w:rPr>
        <w:t>into</w:t>
      </w:r>
      <w:r>
        <w:rPr>
          <w:spacing w:val="27"/>
        </w:rPr>
        <w:t xml:space="preserve"> </w:t>
      </w:r>
      <w:r>
        <w:rPr>
          <w:spacing w:val="-1"/>
        </w:rPr>
        <w:t>reasonable</w:t>
      </w:r>
      <w:r>
        <w:rPr>
          <w:spacing w:val="30"/>
        </w:rPr>
        <w:t xml:space="preserve"> </w:t>
      </w:r>
      <w:r>
        <w:rPr>
          <w:spacing w:val="-1"/>
        </w:rPr>
        <w:t>written</w:t>
      </w:r>
      <w:r>
        <w:rPr>
          <w:spacing w:val="35"/>
        </w:rPr>
        <w:t xml:space="preserve"> </w:t>
      </w:r>
      <w:r>
        <w:rPr>
          <w:spacing w:val="-1"/>
        </w:rPr>
        <w:t>confidentiality</w:t>
      </w:r>
      <w:r>
        <w:t xml:space="preserve"> </w:t>
      </w:r>
      <w:r>
        <w:rPr>
          <w:spacing w:val="-1"/>
        </w:rPr>
        <w:t>undertakings),</w:t>
      </w:r>
      <w:r>
        <w:rPr>
          <w:spacing w:val="1"/>
        </w:rPr>
        <w:t xml:space="preserve"> </w:t>
      </w:r>
      <w:r>
        <w:t>the</w:t>
      </w:r>
      <w:r>
        <w:rPr>
          <w:spacing w:val="60"/>
        </w:rPr>
        <w:t xml:space="preserve"> </w:t>
      </w:r>
      <w:r>
        <w:rPr>
          <w:spacing w:val="-2"/>
        </w:rPr>
        <w:t>following</w:t>
      </w:r>
      <w:r>
        <w:rPr>
          <w:spacing w:val="4"/>
        </w:rPr>
        <w:t xml:space="preserve"> </w:t>
      </w:r>
      <w:r>
        <w:rPr>
          <w:spacing w:val="-1"/>
        </w:rPr>
        <w:t>material</w:t>
      </w:r>
      <w:r>
        <w:rPr>
          <w:spacing w:val="1"/>
        </w:rPr>
        <w:t xml:space="preserve"> </w:t>
      </w:r>
      <w:r>
        <w:rPr>
          <w:spacing w:val="-1"/>
        </w:rPr>
        <w:t>and</w:t>
      </w:r>
      <w:r>
        <w:rPr>
          <w:spacing w:val="2"/>
        </w:rPr>
        <w:t xml:space="preserve"> </w:t>
      </w:r>
      <w:r>
        <w:rPr>
          <w:spacing w:val="-1"/>
        </w:rPr>
        <w:t>information</w:t>
      </w:r>
      <w:r>
        <w:rPr>
          <w:spacing w:val="2"/>
        </w:rPr>
        <w:t xml:space="preserve"> </w:t>
      </w:r>
      <w:r>
        <w:rPr>
          <w:spacing w:val="-1"/>
        </w:rPr>
        <w:t>in</w:t>
      </w:r>
      <w:r>
        <w:rPr>
          <w:spacing w:val="2"/>
        </w:rPr>
        <w:t xml:space="preserve"> </w:t>
      </w:r>
      <w:r>
        <w:rPr>
          <w:spacing w:val="-1"/>
        </w:rPr>
        <w:t>order</w:t>
      </w:r>
      <w:r>
        <w:rPr>
          <w:spacing w:val="3"/>
        </w:rPr>
        <w:t xml:space="preserve"> </w:t>
      </w:r>
      <w:r>
        <w:rPr>
          <w:spacing w:val="-1"/>
        </w:rPr>
        <w:t>to</w:t>
      </w:r>
      <w:r>
        <w:rPr>
          <w:spacing w:val="55"/>
        </w:rPr>
        <w:t xml:space="preserve"> </w:t>
      </w:r>
      <w:r>
        <w:rPr>
          <w:spacing w:val="-1"/>
        </w:rPr>
        <w:t>facilitate</w:t>
      </w:r>
      <w:r>
        <w:rPr>
          <w:spacing w:val="53"/>
        </w:rPr>
        <w:t xml:space="preserve"> </w:t>
      </w:r>
      <w:r>
        <w:t>the</w:t>
      </w:r>
      <w:r>
        <w:rPr>
          <w:spacing w:val="53"/>
        </w:rPr>
        <w:t xml:space="preserve"> </w:t>
      </w:r>
      <w:r>
        <w:rPr>
          <w:spacing w:val="-1"/>
        </w:rPr>
        <w:t>preparation</w:t>
      </w:r>
      <w:r>
        <w:rPr>
          <w:spacing w:val="53"/>
        </w:rPr>
        <w:t xml:space="preserve"> </w:t>
      </w:r>
      <w:r>
        <w:rPr>
          <w:spacing w:val="-1"/>
        </w:rPr>
        <w:t>by</w:t>
      </w:r>
      <w:r>
        <w:rPr>
          <w:spacing w:val="51"/>
        </w:rPr>
        <w:t xml:space="preserve"> </w:t>
      </w:r>
      <w:r>
        <w:t>the</w:t>
      </w:r>
      <w:r>
        <w:rPr>
          <w:spacing w:val="53"/>
        </w:rPr>
        <w:t xml:space="preserve"> </w:t>
      </w:r>
      <w:r>
        <w:rPr>
          <w:spacing w:val="-1"/>
        </w:rPr>
        <w:t>Customer</w:t>
      </w:r>
      <w:r>
        <w:rPr>
          <w:spacing w:val="54"/>
        </w:rPr>
        <w:t xml:space="preserve"> </w:t>
      </w:r>
      <w:r>
        <w:rPr>
          <w:spacing w:val="-2"/>
        </w:rPr>
        <w:t>of</w:t>
      </w:r>
      <w:r>
        <w:rPr>
          <w:spacing w:val="53"/>
        </w:rPr>
        <w:t xml:space="preserve"> </w:t>
      </w:r>
      <w:r>
        <w:rPr>
          <w:spacing w:val="-1"/>
        </w:rPr>
        <w:t>any</w:t>
      </w:r>
      <w:r>
        <w:rPr>
          <w:spacing w:val="51"/>
        </w:rPr>
        <w:t xml:space="preserve"> </w:t>
      </w:r>
      <w:r>
        <w:rPr>
          <w:spacing w:val="-1"/>
        </w:rPr>
        <w:t>invitation</w:t>
      </w:r>
      <w:r>
        <w:rPr>
          <w:spacing w:val="53"/>
        </w:rPr>
        <w:t xml:space="preserve"> </w:t>
      </w:r>
      <w:r>
        <w:t>to</w:t>
      </w:r>
      <w:r>
        <w:rPr>
          <w:spacing w:val="53"/>
        </w:rPr>
        <w:t xml:space="preserve"> </w:t>
      </w:r>
      <w:r>
        <w:rPr>
          <w:spacing w:val="-1"/>
        </w:rPr>
        <w:t>tender</w:t>
      </w:r>
      <w:r>
        <w:rPr>
          <w:spacing w:val="52"/>
        </w:rPr>
        <w:t xml:space="preserve"> </w:t>
      </w:r>
      <w:r>
        <w:rPr>
          <w:spacing w:val="-1"/>
        </w:rPr>
        <w:t>and/or</w:t>
      </w:r>
      <w:r>
        <w:rPr>
          <w:spacing w:val="52"/>
        </w:rPr>
        <w:t xml:space="preserve"> </w:t>
      </w:r>
      <w:r>
        <w:t>to</w:t>
      </w:r>
      <w:r>
        <w:rPr>
          <w:spacing w:val="45"/>
        </w:rPr>
        <w:t xml:space="preserve"> </w:t>
      </w:r>
      <w:r>
        <w:rPr>
          <w:spacing w:val="-1"/>
        </w:rPr>
        <w:t>facilitate</w:t>
      </w:r>
      <w:r>
        <w:t xml:space="preserve"> </w:t>
      </w:r>
      <w:r>
        <w:rPr>
          <w:spacing w:val="-1"/>
        </w:rPr>
        <w:t>any</w:t>
      </w:r>
      <w:r>
        <w:rPr>
          <w:spacing w:val="-2"/>
        </w:rPr>
        <w:t xml:space="preserve"> </w:t>
      </w:r>
      <w:r>
        <w:rPr>
          <w:spacing w:val="-1"/>
        </w:rPr>
        <w:t>potential</w:t>
      </w:r>
      <w:r>
        <w:t xml:space="preserve"> </w:t>
      </w:r>
      <w:r>
        <w:rPr>
          <w:spacing w:val="-2"/>
        </w:rPr>
        <w:t>Replacement</w:t>
      </w:r>
      <w:r>
        <w:t xml:space="preserve"> </w:t>
      </w:r>
      <w:r>
        <w:rPr>
          <w:spacing w:val="-1"/>
        </w:rPr>
        <w:t>Suppliers</w:t>
      </w:r>
      <w:r>
        <w:rPr>
          <w:spacing w:val="1"/>
        </w:rPr>
        <w:t xml:space="preserve"> </w:t>
      </w:r>
      <w:r>
        <w:rPr>
          <w:spacing w:val="-1"/>
        </w:rPr>
        <w:t>undertaking</w:t>
      </w:r>
      <w:r>
        <w:rPr>
          <w:spacing w:val="3"/>
        </w:rPr>
        <w:t xml:space="preserve"> </w:t>
      </w:r>
      <w:r>
        <w:rPr>
          <w:spacing w:val="-1"/>
        </w:rPr>
        <w:t>due</w:t>
      </w:r>
      <w:r>
        <w:rPr>
          <w:spacing w:val="-2"/>
        </w:rPr>
        <w:t xml:space="preserve"> diligence:</w:t>
      </w:r>
    </w:p>
    <w:p w:rsidR="008918FA" w:rsidRDefault="008918FA" w:rsidP="008918FA">
      <w:pPr>
        <w:pStyle w:val="BodyText"/>
        <w:numPr>
          <w:ilvl w:val="2"/>
          <w:numId w:val="9"/>
        </w:numPr>
        <w:tabs>
          <w:tab w:val="left" w:pos="2026"/>
        </w:tabs>
        <w:ind w:left="2026" w:hanging="995"/>
      </w:pPr>
      <w:r>
        <w:rPr>
          <w:spacing w:val="-1"/>
        </w:rPr>
        <w:t>details</w:t>
      </w:r>
      <w:r>
        <w:rPr>
          <w:spacing w:val="1"/>
        </w:rPr>
        <w:t xml:space="preserve"> </w:t>
      </w:r>
      <w:r>
        <w:rPr>
          <w:spacing w:val="-2"/>
        </w:rPr>
        <w:t>of</w:t>
      </w:r>
      <w:r>
        <w:rPr>
          <w:spacing w:val="2"/>
        </w:rPr>
        <w:t xml:space="preserve"> </w:t>
      </w:r>
      <w:r>
        <w:t>the</w:t>
      </w:r>
      <w:r>
        <w:rPr>
          <w:spacing w:val="-2"/>
        </w:rPr>
        <w:t xml:space="preserve"> </w:t>
      </w:r>
      <w:r>
        <w:rPr>
          <w:spacing w:val="-1"/>
        </w:rPr>
        <w:t>Service(s);</w:t>
      </w:r>
    </w:p>
    <w:p w:rsidR="008918FA" w:rsidRDefault="008918FA" w:rsidP="008918FA">
      <w:pPr>
        <w:sectPr w:rsidR="008918FA">
          <w:pgSz w:w="11910" w:h="16840"/>
          <w:pgMar w:top="1480" w:right="1300" w:bottom="1180" w:left="1540" w:header="0" w:footer="987" w:gutter="0"/>
          <w:cols w:space="720"/>
        </w:sectPr>
      </w:pPr>
    </w:p>
    <w:p w:rsidR="008918FA" w:rsidRDefault="008918FA" w:rsidP="008918FA">
      <w:pPr>
        <w:pStyle w:val="BodyText"/>
        <w:numPr>
          <w:ilvl w:val="2"/>
          <w:numId w:val="9"/>
        </w:numPr>
        <w:tabs>
          <w:tab w:val="left" w:pos="2027"/>
        </w:tabs>
        <w:spacing w:before="59"/>
        <w:ind w:left="2026" w:right="120"/>
      </w:pPr>
      <w:r>
        <w:t>a</w:t>
      </w:r>
      <w:r>
        <w:rPr>
          <w:spacing w:val="43"/>
        </w:rPr>
        <w:t xml:space="preserve"> </w:t>
      </w:r>
      <w:r>
        <w:rPr>
          <w:spacing w:val="-1"/>
        </w:rPr>
        <w:t>copy</w:t>
      </w:r>
      <w:r>
        <w:rPr>
          <w:spacing w:val="41"/>
        </w:rPr>
        <w:t xml:space="preserve"> </w:t>
      </w:r>
      <w:r>
        <w:rPr>
          <w:spacing w:val="-1"/>
        </w:rPr>
        <w:t>of</w:t>
      </w:r>
      <w:r>
        <w:rPr>
          <w:spacing w:val="45"/>
        </w:rPr>
        <w:t xml:space="preserve"> </w:t>
      </w:r>
      <w:r>
        <w:t>the</w:t>
      </w:r>
      <w:r>
        <w:rPr>
          <w:spacing w:val="43"/>
        </w:rPr>
        <w:t xml:space="preserve"> </w:t>
      </w:r>
      <w:r>
        <w:rPr>
          <w:spacing w:val="-2"/>
        </w:rPr>
        <w:t>Registers,</w:t>
      </w:r>
      <w:r>
        <w:rPr>
          <w:spacing w:val="45"/>
        </w:rPr>
        <w:t xml:space="preserve"> </w:t>
      </w:r>
      <w:r>
        <w:rPr>
          <w:spacing w:val="-1"/>
        </w:rPr>
        <w:t>updated</w:t>
      </w:r>
      <w:r>
        <w:rPr>
          <w:spacing w:val="43"/>
        </w:rPr>
        <w:t xml:space="preserve"> </w:t>
      </w:r>
      <w:r>
        <w:rPr>
          <w:spacing w:val="-1"/>
        </w:rPr>
        <w:t>by</w:t>
      </w:r>
      <w:r>
        <w:rPr>
          <w:spacing w:val="42"/>
        </w:rPr>
        <w:t xml:space="preserve"> </w:t>
      </w:r>
      <w:r>
        <w:t>the</w:t>
      </w:r>
      <w:r>
        <w:rPr>
          <w:spacing w:val="43"/>
        </w:rPr>
        <w:t xml:space="preserve"> </w:t>
      </w:r>
      <w:r>
        <w:rPr>
          <w:spacing w:val="-2"/>
        </w:rPr>
        <w:t>Supplier</w:t>
      </w:r>
      <w:r>
        <w:rPr>
          <w:spacing w:val="45"/>
        </w:rPr>
        <w:t xml:space="preserve"> </w:t>
      </w:r>
      <w:r>
        <w:rPr>
          <w:spacing w:val="-1"/>
        </w:rPr>
        <w:t>up</w:t>
      </w:r>
      <w:r>
        <w:rPr>
          <w:spacing w:val="43"/>
        </w:rPr>
        <w:t xml:space="preserve"> </w:t>
      </w:r>
      <w:r>
        <w:t>to</w:t>
      </w:r>
      <w:r>
        <w:rPr>
          <w:spacing w:val="41"/>
        </w:rPr>
        <w:t xml:space="preserve"> </w:t>
      </w:r>
      <w:r>
        <w:t>the</w:t>
      </w:r>
      <w:r>
        <w:rPr>
          <w:spacing w:val="43"/>
        </w:rPr>
        <w:t xml:space="preserve"> </w:t>
      </w:r>
      <w:r>
        <w:rPr>
          <w:spacing w:val="-1"/>
        </w:rPr>
        <w:t>date</w:t>
      </w:r>
      <w:r>
        <w:rPr>
          <w:spacing w:val="44"/>
        </w:rPr>
        <w:t xml:space="preserve"> </w:t>
      </w:r>
      <w:r>
        <w:rPr>
          <w:spacing w:val="-2"/>
        </w:rPr>
        <w:t>of</w:t>
      </w:r>
      <w:r>
        <w:rPr>
          <w:spacing w:val="55"/>
        </w:rPr>
        <w:t xml:space="preserve"> </w:t>
      </w:r>
      <w:r>
        <w:rPr>
          <w:spacing w:val="-1"/>
        </w:rPr>
        <w:t>delivery</w:t>
      </w:r>
      <w:r>
        <w:rPr>
          <w:spacing w:val="-2"/>
        </w:rPr>
        <w:t xml:space="preserve"> </w:t>
      </w:r>
      <w:r>
        <w:rPr>
          <w:spacing w:val="-1"/>
        </w:rPr>
        <w:t>of</w:t>
      </w:r>
      <w:r>
        <w:rPr>
          <w:spacing w:val="2"/>
        </w:rPr>
        <w:t xml:space="preserve"> </w:t>
      </w:r>
      <w:r>
        <w:rPr>
          <w:spacing w:val="-1"/>
        </w:rPr>
        <w:t>such</w:t>
      </w:r>
      <w:r>
        <w:rPr>
          <w:spacing w:val="-2"/>
        </w:rPr>
        <w:t xml:space="preserve"> </w:t>
      </w:r>
      <w:r>
        <w:rPr>
          <w:spacing w:val="-1"/>
        </w:rPr>
        <w:t>Registers;</w:t>
      </w:r>
    </w:p>
    <w:p w:rsidR="008918FA" w:rsidRDefault="008918FA" w:rsidP="008918FA">
      <w:pPr>
        <w:pStyle w:val="BodyText"/>
        <w:numPr>
          <w:ilvl w:val="2"/>
          <w:numId w:val="9"/>
        </w:numPr>
        <w:tabs>
          <w:tab w:val="left" w:pos="2027"/>
        </w:tabs>
        <w:spacing w:before="121"/>
        <w:ind w:left="2026"/>
      </w:pPr>
      <w:r>
        <w:rPr>
          <w:spacing w:val="-1"/>
        </w:rPr>
        <w:t>an</w:t>
      </w:r>
      <w:r>
        <w:t xml:space="preserve"> </w:t>
      </w:r>
      <w:r>
        <w:rPr>
          <w:spacing w:val="-1"/>
        </w:rPr>
        <w:t>inventory</w:t>
      </w:r>
      <w:r>
        <w:rPr>
          <w:spacing w:val="-2"/>
        </w:rPr>
        <w:t xml:space="preserve"> of</w:t>
      </w:r>
      <w:r>
        <w:rPr>
          <w:spacing w:val="4"/>
        </w:rPr>
        <w:t xml:space="preserve"> </w:t>
      </w:r>
      <w:r>
        <w:rPr>
          <w:spacing w:val="-2"/>
        </w:rPr>
        <w:t>Customer</w:t>
      </w:r>
      <w:r>
        <w:rPr>
          <w:spacing w:val="2"/>
        </w:rPr>
        <w:t xml:space="preserve"> </w:t>
      </w:r>
      <w:r>
        <w:rPr>
          <w:spacing w:val="-1"/>
        </w:rPr>
        <w:t>Data</w:t>
      </w:r>
      <w:r>
        <w:rPr>
          <w:spacing w:val="-2"/>
        </w:rPr>
        <w:t xml:space="preserve"> </w:t>
      </w:r>
      <w:r>
        <w:rPr>
          <w:spacing w:val="-1"/>
        </w:rPr>
        <w:t>in</w:t>
      </w:r>
      <w:r>
        <w:rPr>
          <w:spacing w:val="-2"/>
        </w:rPr>
        <w:t xml:space="preserve"> </w:t>
      </w:r>
      <w:r>
        <w:t xml:space="preserve">the </w:t>
      </w:r>
      <w:r>
        <w:rPr>
          <w:spacing w:val="-1"/>
        </w:rPr>
        <w:t>Supplier's</w:t>
      </w:r>
      <w:r>
        <w:rPr>
          <w:spacing w:val="-2"/>
        </w:rPr>
        <w:t xml:space="preserve"> </w:t>
      </w:r>
      <w:r>
        <w:rPr>
          <w:spacing w:val="-1"/>
        </w:rPr>
        <w:t>possession</w:t>
      </w:r>
      <w:r>
        <w:rPr>
          <w:spacing w:val="2"/>
        </w:rPr>
        <w:t xml:space="preserve"> </w:t>
      </w:r>
      <w:r>
        <w:rPr>
          <w:spacing w:val="-1"/>
        </w:rPr>
        <w:t>or control;</w:t>
      </w:r>
    </w:p>
    <w:p w:rsidR="008918FA" w:rsidRDefault="008918FA" w:rsidP="008918FA">
      <w:pPr>
        <w:pStyle w:val="BodyText"/>
        <w:numPr>
          <w:ilvl w:val="2"/>
          <w:numId w:val="9"/>
        </w:numPr>
        <w:tabs>
          <w:tab w:val="left" w:pos="2027"/>
        </w:tabs>
        <w:ind w:left="2026" w:right="125"/>
      </w:pPr>
      <w:r>
        <w:rPr>
          <w:spacing w:val="-1"/>
        </w:rPr>
        <w:t>details</w:t>
      </w:r>
      <w:r>
        <w:rPr>
          <w:spacing w:val="56"/>
        </w:rPr>
        <w:t xml:space="preserve"> </w:t>
      </w:r>
      <w:r>
        <w:rPr>
          <w:spacing w:val="-2"/>
        </w:rPr>
        <w:t>of</w:t>
      </w:r>
      <w:r>
        <w:rPr>
          <w:spacing w:val="59"/>
        </w:rPr>
        <w:t xml:space="preserve"> </w:t>
      </w:r>
      <w:r>
        <w:rPr>
          <w:spacing w:val="-1"/>
        </w:rPr>
        <w:t>any</w:t>
      </w:r>
      <w:r>
        <w:rPr>
          <w:spacing w:val="51"/>
        </w:rPr>
        <w:t xml:space="preserve"> </w:t>
      </w:r>
      <w:r>
        <w:t>key</w:t>
      </w:r>
      <w:r>
        <w:rPr>
          <w:spacing w:val="53"/>
        </w:rPr>
        <w:t xml:space="preserve"> </w:t>
      </w:r>
      <w:r>
        <w:rPr>
          <w:spacing w:val="-1"/>
        </w:rPr>
        <w:t>terms</w:t>
      </w:r>
      <w:r>
        <w:rPr>
          <w:spacing w:val="56"/>
        </w:rPr>
        <w:t xml:space="preserve"> </w:t>
      </w:r>
      <w:r>
        <w:rPr>
          <w:spacing w:val="-2"/>
        </w:rPr>
        <w:t>of</w:t>
      </w:r>
      <w:r>
        <w:rPr>
          <w:spacing w:val="59"/>
        </w:rPr>
        <w:t xml:space="preserve"> </w:t>
      </w:r>
      <w:r>
        <w:rPr>
          <w:spacing w:val="-1"/>
        </w:rPr>
        <w:t>any</w:t>
      </w:r>
      <w:r>
        <w:rPr>
          <w:spacing w:val="54"/>
        </w:rPr>
        <w:t xml:space="preserve"> </w:t>
      </w:r>
      <w:r>
        <w:rPr>
          <w:spacing w:val="-1"/>
        </w:rPr>
        <w:t>third</w:t>
      </w:r>
      <w:r>
        <w:rPr>
          <w:spacing w:val="53"/>
        </w:rPr>
        <w:t xml:space="preserve"> </w:t>
      </w:r>
      <w:r>
        <w:rPr>
          <w:spacing w:val="-1"/>
        </w:rPr>
        <w:t>party</w:t>
      </w:r>
      <w:r>
        <w:rPr>
          <w:spacing w:val="53"/>
        </w:rPr>
        <w:t xml:space="preserve"> </w:t>
      </w:r>
      <w:r>
        <w:rPr>
          <w:spacing w:val="-1"/>
        </w:rPr>
        <w:t>contracts</w:t>
      </w:r>
      <w:r>
        <w:rPr>
          <w:spacing w:val="56"/>
        </w:rPr>
        <w:t xml:space="preserve"> </w:t>
      </w:r>
      <w:r>
        <w:rPr>
          <w:spacing w:val="-1"/>
        </w:rPr>
        <w:t>and</w:t>
      </w:r>
      <w:r>
        <w:rPr>
          <w:spacing w:val="53"/>
        </w:rPr>
        <w:t xml:space="preserve"> </w:t>
      </w:r>
      <w:r>
        <w:rPr>
          <w:spacing w:val="-1"/>
        </w:rPr>
        <w:t>licences,</w:t>
      </w:r>
      <w:r>
        <w:rPr>
          <w:spacing w:val="36"/>
        </w:rPr>
        <w:t xml:space="preserve"> </w:t>
      </w:r>
      <w:r>
        <w:rPr>
          <w:spacing w:val="-1"/>
        </w:rPr>
        <w:t>particularly</w:t>
      </w:r>
      <w:r>
        <w:rPr>
          <w:spacing w:val="-2"/>
        </w:rPr>
        <w:t xml:space="preserve"> </w:t>
      </w:r>
      <w:r>
        <w:rPr>
          <w:spacing w:val="-1"/>
        </w:rPr>
        <w:t>as</w:t>
      </w:r>
      <w:r>
        <w:rPr>
          <w:spacing w:val="1"/>
        </w:rPr>
        <w:t xml:space="preserve"> </w:t>
      </w:r>
      <w:r>
        <w:rPr>
          <w:spacing w:val="-1"/>
        </w:rPr>
        <w:t>regards</w:t>
      </w:r>
      <w:r>
        <w:rPr>
          <w:spacing w:val="-2"/>
        </w:rPr>
        <w:t xml:space="preserve"> </w:t>
      </w:r>
      <w:r>
        <w:rPr>
          <w:spacing w:val="-1"/>
        </w:rPr>
        <w:t>charges,</w:t>
      </w:r>
      <w:r>
        <w:t xml:space="preserve"> </w:t>
      </w:r>
      <w:r>
        <w:rPr>
          <w:spacing w:val="-1"/>
        </w:rPr>
        <w:t>termination,</w:t>
      </w:r>
      <w:r>
        <w:rPr>
          <w:spacing w:val="2"/>
        </w:rPr>
        <w:t xml:space="preserve"> </w:t>
      </w:r>
      <w:r>
        <w:rPr>
          <w:spacing w:val="-1"/>
        </w:rPr>
        <w:t>assignment</w:t>
      </w:r>
      <w:r>
        <w:t xml:space="preserve"> </w:t>
      </w:r>
      <w:r>
        <w:rPr>
          <w:spacing w:val="-1"/>
        </w:rPr>
        <w:t>and</w:t>
      </w:r>
      <w:r>
        <w:t xml:space="preserve"> </w:t>
      </w:r>
      <w:r>
        <w:rPr>
          <w:spacing w:val="-2"/>
        </w:rPr>
        <w:t>novation;</w:t>
      </w:r>
    </w:p>
    <w:p w:rsidR="008918FA" w:rsidRDefault="008918FA" w:rsidP="008918FA">
      <w:pPr>
        <w:pStyle w:val="BodyText"/>
        <w:numPr>
          <w:ilvl w:val="2"/>
          <w:numId w:val="9"/>
        </w:numPr>
        <w:tabs>
          <w:tab w:val="left" w:pos="2027"/>
        </w:tabs>
        <w:ind w:left="2026" w:right="120"/>
      </w:pPr>
      <w:r>
        <w:t>a</w:t>
      </w:r>
      <w:r>
        <w:rPr>
          <w:spacing w:val="5"/>
        </w:rPr>
        <w:t xml:space="preserve"> </w:t>
      </w:r>
      <w:r>
        <w:rPr>
          <w:spacing w:val="-2"/>
        </w:rPr>
        <w:t>list</w:t>
      </w:r>
      <w:r>
        <w:rPr>
          <w:spacing w:val="8"/>
        </w:rPr>
        <w:t xml:space="preserve"> </w:t>
      </w:r>
      <w:r>
        <w:rPr>
          <w:spacing w:val="-2"/>
        </w:rPr>
        <w:t>of</w:t>
      </w:r>
      <w:r>
        <w:rPr>
          <w:spacing w:val="9"/>
        </w:rPr>
        <w:t xml:space="preserve"> </w:t>
      </w:r>
      <w:r>
        <w:rPr>
          <w:spacing w:val="-1"/>
        </w:rPr>
        <w:t>on-going</w:t>
      </w:r>
      <w:r>
        <w:rPr>
          <w:spacing w:val="7"/>
        </w:rPr>
        <w:t xml:space="preserve"> </w:t>
      </w:r>
      <w:r>
        <w:rPr>
          <w:spacing w:val="-2"/>
        </w:rPr>
        <w:t>and/or</w:t>
      </w:r>
      <w:r>
        <w:rPr>
          <w:spacing w:val="6"/>
        </w:rPr>
        <w:t xml:space="preserve"> </w:t>
      </w:r>
      <w:r>
        <w:rPr>
          <w:spacing w:val="-1"/>
        </w:rPr>
        <w:t>threatened</w:t>
      </w:r>
      <w:r>
        <w:rPr>
          <w:spacing w:val="5"/>
        </w:rPr>
        <w:t xml:space="preserve"> </w:t>
      </w:r>
      <w:r>
        <w:rPr>
          <w:spacing w:val="-1"/>
        </w:rPr>
        <w:t>disputes</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3"/>
        </w:rPr>
        <w:t xml:space="preserve"> </w:t>
      </w:r>
      <w:r>
        <w:t>the</w:t>
      </w:r>
      <w:r>
        <w:rPr>
          <w:spacing w:val="5"/>
        </w:rPr>
        <w:t xml:space="preserve"> </w:t>
      </w:r>
      <w:r>
        <w:rPr>
          <w:spacing w:val="-2"/>
        </w:rPr>
        <w:t>provision</w:t>
      </w:r>
      <w:r>
        <w:rPr>
          <w:spacing w:val="42"/>
        </w:rPr>
        <w:t xml:space="preserve"> </w:t>
      </w:r>
      <w:r>
        <w:rPr>
          <w:spacing w:val="-2"/>
        </w:rPr>
        <w:t>of</w:t>
      </w:r>
      <w:r>
        <w:rPr>
          <w:spacing w:val="2"/>
        </w:rPr>
        <w:t xml:space="preserve"> </w:t>
      </w:r>
      <w:r>
        <w:t>the</w:t>
      </w:r>
      <w:r>
        <w:rPr>
          <w:spacing w:val="-2"/>
        </w:rPr>
        <w:t xml:space="preserve"> </w:t>
      </w:r>
      <w:r>
        <w:rPr>
          <w:spacing w:val="-1"/>
        </w:rPr>
        <w:t>Goods</w:t>
      </w:r>
      <w:r>
        <w:rPr>
          <w:spacing w:val="-2"/>
        </w:rPr>
        <w:t xml:space="preserve"> </w:t>
      </w:r>
      <w:r>
        <w:rPr>
          <w:spacing w:val="-1"/>
        </w:rPr>
        <w:t>and/or</w:t>
      </w:r>
      <w:r>
        <w:rPr>
          <w:spacing w:val="2"/>
        </w:rPr>
        <w:t xml:space="preserve"> </w:t>
      </w:r>
      <w:r>
        <w:rPr>
          <w:spacing w:val="-2"/>
        </w:rPr>
        <w:t>Services;</w:t>
      </w:r>
    </w:p>
    <w:p w:rsidR="008918FA" w:rsidRDefault="008918FA" w:rsidP="008918FA">
      <w:pPr>
        <w:pStyle w:val="BodyText"/>
        <w:numPr>
          <w:ilvl w:val="2"/>
          <w:numId w:val="9"/>
        </w:numPr>
        <w:tabs>
          <w:tab w:val="left" w:pos="2027"/>
        </w:tabs>
        <w:spacing w:before="121"/>
        <w:ind w:left="2026" w:right="125"/>
      </w:pPr>
      <w:r>
        <w:rPr>
          <w:spacing w:val="-1"/>
        </w:rPr>
        <w:t>all</w:t>
      </w:r>
      <w:r>
        <w:rPr>
          <w:spacing w:val="17"/>
        </w:rPr>
        <w:t xml:space="preserve"> </w:t>
      </w:r>
      <w:r>
        <w:rPr>
          <w:spacing w:val="-1"/>
        </w:rPr>
        <w:t>information</w:t>
      </w:r>
      <w:r>
        <w:rPr>
          <w:spacing w:val="17"/>
        </w:rPr>
        <w:t xml:space="preserve"> </w:t>
      </w:r>
      <w:r>
        <w:rPr>
          <w:spacing w:val="-1"/>
        </w:rPr>
        <w:t>relating</w:t>
      </w:r>
      <w:r>
        <w:rPr>
          <w:spacing w:val="20"/>
        </w:rPr>
        <w:t xml:space="preserve"> </w:t>
      </w:r>
      <w:r>
        <w:t>to</w:t>
      </w:r>
      <w:r>
        <w:rPr>
          <w:spacing w:val="15"/>
        </w:rPr>
        <w:t xml:space="preserve"> </w:t>
      </w:r>
      <w:r>
        <w:rPr>
          <w:spacing w:val="-1"/>
        </w:rPr>
        <w:t>Transferring</w:t>
      </w:r>
      <w:r>
        <w:rPr>
          <w:spacing w:val="20"/>
        </w:rPr>
        <w:t xml:space="preserve"> </w:t>
      </w:r>
      <w:r>
        <w:rPr>
          <w:spacing w:val="-2"/>
        </w:rPr>
        <w:t>Supplier</w:t>
      </w:r>
      <w:r>
        <w:rPr>
          <w:spacing w:val="19"/>
        </w:rPr>
        <w:t xml:space="preserve"> </w:t>
      </w:r>
      <w:r>
        <w:rPr>
          <w:spacing w:val="-2"/>
        </w:rPr>
        <w:t>Employees</w:t>
      </w:r>
      <w:r>
        <w:rPr>
          <w:spacing w:val="18"/>
        </w:rPr>
        <w:t xml:space="preserve"> </w:t>
      </w:r>
      <w:r>
        <w:rPr>
          <w:spacing w:val="-1"/>
        </w:rPr>
        <w:t>required</w:t>
      </w:r>
      <w:r>
        <w:rPr>
          <w:spacing w:val="17"/>
        </w:rPr>
        <w:t xml:space="preserve"> </w:t>
      </w:r>
      <w:r>
        <w:t>to</w:t>
      </w:r>
      <w:r>
        <w:rPr>
          <w:spacing w:val="59"/>
        </w:rPr>
        <w:t xml:space="preserve"> </w:t>
      </w:r>
      <w:r>
        <w:rPr>
          <w:spacing w:val="-1"/>
        </w:rPr>
        <w:t>be</w:t>
      </w:r>
      <w:r>
        <w:t xml:space="preserve"> </w:t>
      </w:r>
      <w:r>
        <w:rPr>
          <w:spacing w:val="-2"/>
        </w:rPr>
        <w:t>provided</w:t>
      </w:r>
      <w:r>
        <w:t xml:space="preserve"> </w:t>
      </w:r>
      <w:r>
        <w:rPr>
          <w:spacing w:val="-1"/>
        </w:rPr>
        <w:t>by</w:t>
      </w:r>
      <w:r>
        <w:rPr>
          <w:spacing w:val="-2"/>
        </w:rPr>
        <w:t xml:space="preserve"> </w:t>
      </w:r>
      <w:r>
        <w:t xml:space="preserve">the </w:t>
      </w:r>
      <w:r>
        <w:rPr>
          <w:spacing w:val="-2"/>
        </w:rPr>
        <w:t>Supplier</w:t>
      </w:r>
      <w:r>
        <w:rPr>
          <w:spacing w:val="2"/>
        </w:rPr>
        <w:t xml:space="preserve"> </w:t>
      </w:r>
      <w:r>
        <w:rPr>
          <w:spacing w:val="-1"/>
        </w:rPr>
        <w:t>under this</w:t>
      </w:r>
      <w:r>
        <w:rPr>
          <w:spacing w:val="-2"/>
        </w:rPr>
        <w:t xml:space="preserve"> Call</w:t>
      </w:r>
      <w:r>
        <w:t xml:space="preserve"> </w:t>
      </w:r>
      <w:r>
        <w:rPr>
          <w:spacing w:val="-1"/>
        </w:rPr>
        <w:t>Off</w:t>
      </w:r>
      <w:r>
        <w:rPr>
          <w:spacing w:val="2"/>
        </w:rPr>
        <w:t xml:space="preserve"> </w:t>
      </w:r>
      <w:r>
        <w:rPr>
          <w:spacing w:val="-1"/>
        </w:rPr>
        <w:t>Contract;</w:t>
      </w:r>
      <w:r>
        <w:t xml:space="preserve"> </w:t>
      </w:r>
      <w:r>
        <w:rPr>
          <w:spacing w:val="-1"/>
        </w:rPr>
        <w:t>and</w:t>
      </w:r>
    </w:p>
    <w:p w:rsidR="008918FA" w:rsidRDefault="008918FA" w:rsidP="008918FA">
      <w:pPr>
        <w:pStyle w:val="BodyText"/>
        <w:numPr>
          <w:ilvl w:val="2"/>
          <w:numId w:val="9"/>
        </w:numPr>
        <w:tabs>
          <w:tab w:val="left" w:pos="2027"/>
        </w:tabs>
        <w:spacing w:before="121"/>
        <w:ind w:left="2026" w:right="125"/>
      </w:pPr>
      <w:r>
        <w:rPr>
          <w:spacing w:val="-1"/>
        </w:rPr>
        <w:t>such</w:t>
      </w:r>
      <w:r>
        <w:rPr>
          <w:spacing w:val="15"/>
        </w:rPr>
        <w:t xml:space="preserve"> </w:t>
      </w:r>
      <w:r>
        <w:rPr>
          <w:spacing w:val="-1"/>
        </w:rPr>
        <w:t>other</w:t>
      </w:r>
      <w:r>
        <w:rPr>
          <w:spacing w:val="16"/>
        </w:rPr>
        <w:t xml:space="preserve"> </w:t>
      </w:r>
      <w:r>
        <w:rPr>
          <w:spacing w:val="-1"/>
        </w:rPr>
        <w:t>material</w:t>
      </w:r>
      <w:r>
        <w:rPr>
          <w:spacing w:val="14"/>
        </w:rPr>
        <w:t xml:space="preserve"> </w:t>
      </w:r>
      <w:r>
        <w:rPr>
          <w:spacing w:val="-1"/>
        </w:rPr>
        <w:t>and</w:t>
      </w:r>
      <w:r>
        <w:rPr>
          <w:spacing w:val="15"/>
        </w:rPr>
        <w:t xml:space="preserve"> </w:t>
      </w:r>
      <w:r>
        <w:rPr>
          <w:spacing w:val="-1"/>
        </w:rPr>
        <w:t>information</w:t>
      </w:r>
      <w:r>
        <w:rPr>
          <w:spacing w:val="15"/>
        </w:rPr>
        <w:t xml:space="preserve"> </w:t>
      </w:r>
      <w:r>
        <w:rPr>
          <w:spacing w:val="-1"/>
        </w:rPr>
        <w:t>as</w:t>
      </w:r>
      <w:r>
        <w:rPr>
          <w:spacing w:val="15"/>
        </w:rPr>
        <w:t xml:space="preserve"> </w:t>
      </w:r>
      <w:r>
        <w:t>the</w:t>
      </w:r>
      <w:r>
        <w:rPr>
          <w:spacing w:val="15"/>
        </w:rPr>
        <w:t xml:space="preserve"> </w:t>
      </w:r>
      <w:r>
        <w:rPr>
          <w:spacing w:val="-1"/>
        </w:rPr>
        <w:t>Customer</w:t>
      </w:r>
      <w:r>
        <w:rPr>
          <w:spacing w:val="16"/>
        </w:rPr>
        <w:t xml:space="preserve"> </w:t>
      </w:r>
      <w:r>
        <w:rPr>
          <w:spacing w:val="-1"/>
        </w:rPr>
        <w:t>shall</w:t>
      </w:r>
      <w:r>
        <w:rPr>
          <w:spacing w:val="14"/>
        </w:rPr>
        <w:t xml:space="preserve"> </w:t>
      </w:r>
      <w:r>
        <w:rPr>
          <w:spacing w:val="-1"/>
        </w:rPr>
        <w:t>reasonably</w:t>
      </w:r>
      <w:r>
        <w:rPr>
          <w:spacing w:val="33"/>
        </w:rPr>
        <w:t xml:space="preserve"> </w:t>
      </w:r>
      <w:r>
        <w:rPr>
          <w:spacing w:val="-1"/>
        </w:rPr>
        <w:t>require,</w:t>
      </w:r>
    </w:p>
    <w:p w:rsidR="008918FA" w:rsidRDefault="008918FA" w:rsidP="008918FA">
      <w:pPr>
        <w:spacing w:before="116"/>
        <w:ind w:left="1032"/>
        <w:rPr>
          <w:rFonts w:ascii="Arial" w:eastAsia="Arial" w:hAnsi="Arial" w:cs="Arial"/>
        </w:rPr>
      </w:pPr>
      <w:r>
        <w:rPr>
          <w:rFonts w:ascii="Arial" w:eastAsia="Arial" w:hAnsi="Arial" w:cs="Arial"/>
          <w:spacing w:val="-1"/>
        </w:rPr>
        <w:t>(together,</w:t>
      </w:r>
      <w:r>
        <w:rPr>
          <w:rFonts w:ascii="Arial" w:eastAsia="Arial" w:hAnsi="Arial" w:cs="Arial"/>
        </w:rPr>
        <w:t xml:space="preserve"> the</w:t>
      </w:r>
      <w:r>
        <w:rPr>
          <w:rFonts w:ascii="Arial" w:eastAsia="Arial" w:hAnsi="Arial" w:cs="Arial"/>
          <w:spacing w:val="-2"/>
        </w:rPr>
        <w:t xml:space="preserve"> </w:t>
      </w:r>
      <w:r>
        <w:rPr>
          <w:rFonts w:ascii="Arial" w:eastAsia="Arial" w:hAnsi="Arial" w:cs="Arial"/>
          <w:spacing w:val="-1"/>
        </w:rPr>
        <w:t>“</w:t>
      </w:r>
      <w:r>
        <w:rPr>
          <w:rFonts w:ascii="Arial" w:eastAsia="Arial" w:hAnsi="Arial" w:cs="Arial"/>
          <w:b/>
          <w:bCs/>
          <w:spacing w:val="-1"/>
        </w:rPr>
        <w:t>Exit Information</w:t>
      </w:r>
      <w:r>
        <w:rPr>
          <w:rFonts w:ascii="Arial" w:eastAsia="Arial" w:hAnsi="Arial" w:cs="Arial"/>
          <w:spacing w:val="-1"/>
        </w:rPr>
        <w:t>”).</w:t>
      </w:r>
    </w:p>
    <w:p w:rsidR="008918FA" w:rsidRDefault="008918FA" w:rsidP="008918FA">
      <w:pPr>
        <w:pStyle w:val="BodyText"/>
        <w:numPr>
          <w:ilvl w:val="1"/>
          <w:numId w:val="9"/>
        </w:numPr>
        <w:tabs>
          <w:tab w:val="left" w:pos="829"/>
        </w:tabs>
        <w:spacing w:before="124"/>
        <w:ind w:right="113"/>
        <w:jc w:val="both"/>
      </w:pPr>
      <w:bookmarkStart w:id="453" w:name="_bookmark372"/>
      <w:bookmarkEnd w:id="453"/>
      <w:r>
        <w:t>The</w:t>
      </w:r>
      <w:r>
        <w:rPr>
          <w:spacing w:val="38"/>
        </w:rPr>
        <w:t xml:space="preserve"> </w:t>
      </w:r>
      <w:r>
        <w:rPr>
          <w:spacing w:val="-2"/>
        </w:rPr>
        <w:t>Supplier</w:t>
      </w:r>
      <w:r>
        <w:rPr>
          <w:spacing w:val="39"/>
        </w:rPr>
        <w:t xml:space="preserve"> </w:t>
      </w:r>
      <w:r>
        <w:rPr>
          <w:spacing w:val="-1"/>
        </w:rPr>
        <w:t>acknowledges</w:t>
      </w:r>
      <w:r>
        <w:rPr>
          <w:spacing w:val="35"/>
        </w:rPr>
        <w:t xml:space="preserve"> </w:t>
      </w:r>
      <w:r>
        <w:rPr>
          <w:spacing w:val="-1"/>
        </w:rPr>
        <w:t>that</w:t>
      </w:r>
      <w:r>
        <w:rPr>
          <w:spacing w:val="36"/>
        </w:rPr>
        <w:t xml:space="preserve"> </w:t>
      </w:r>
      <w:r>
        <w:t>the</w:t>
      </w:r>
      <w:r>
        <w:rPr>
          <w:spacing w:val="37"/>
        </w:rPr>
        <w:t xml:space="preserve"> </w:t>
      </w:r>
      <w:r>
        <w:rPr>
          <w:spacing w:val="-2"/>
        </w:rPr>
        <w:t>Customer</w:t>
      </w:r>
      <w:r>
        <w:rPr>
          <w:spacing w:val="39"/>
        </w:rPr>
        <w:t xml:space="preserve"> </w:t>
      </w:r>
      <w:r>
        <w:rPr>
          <w:spacing w:val="-1"/>
        </w:rPr>
        <w:t>may</w:t>
      </w:r>
      <w:r>
        <w:rPr>
          <w:spacing w:val="36"/>
        </w:rPr>
        <w:t xml:space="preserve"> </w:t>
      </w:r>
      <w:r>
        <w:rPr>
          <w:spacing w:val="-1"/>
        </w:rPr>
        <w:t>disclose</w:t>
      </w:r>
      <w:r>
        <w:rPr>
          <w:spacing w:val="35"/>
        </w:rPr>
        <w:t xml:space="preserve"> </w:t>
      </w:r>
      <w:r>
        <w:t>the</w:t>
      </w:r>
      <w:r>
        <w:rPr>
          <w:spacing w:val="35"/>
        </w:rPr>
        <w:t xml:space="preserve"> </w:t>
      </w:r>
      <w:r>
        <w:rPr>
          <w:spacing w:val="-1"/>
        </w:rPr>
        <w:t>Supplier's</w:t>
      </w:r>
      <w:r>
        <w:rPr>
          <w:spacing w:val="45"/>
        </w:rPr>
        <w:t xml:space="preserve"> </w:t>
      </w:r>
      <w:r>
        <w:rPr>
          <w:spacing w:val="-1"/>
        </w:rPr>
        <w:t>Confidential</w:t>
      </w:r>
      <w:r>
        <w:rPr>
          <w:spacing w:val="24"/>
        </w:rPr>
        <w:t xml:space="preserve"> </w:t>
      </w:r>
      <w:r>
        <w:rPr>
          <w:spacing w:val="-1"/>
        </w:rPr>
        <w:t>Information</w:t>
      </w:r>
      <w:r>
        <w:rPr>
          <w:spacing w:val="22"/>
        </w:rPr>
        <w:t xml:space="preserve"> </w:t>
      </w:r>
      <w:r>
        <w:t>to</w:t>
      </w:r>
      <w:r>
        <w:rPr>
          <w:spacing w:val="24"/>
        </w:rPr>
        <w:t xml:space="preserve"> </w:t>
      </w:r>
      <w:r>
        <w:rPr>
          <w:spacing w:val="-1"/>
        </w:rPr>
        <w:t>an</w:t>
      </w:r>
      <w:r>
        <w:rPr>
          <w:spacing w:val="24"/>
        </w:rPr>
        <w:t xml:space="preserve"> </w:t>
      </w:r>
      <w:r>
        <w:rPr>
          <w:spacing w:val="-1"/>
        </w:rPr>
        <w:t>actual</w:t>
      </w:r>
      <w:r>
        <w:rPr>
          <w:spacing w:val="24"/>
        </w:rPr>
        <w:t xml:space="preserve"> </w:t>
      </w:r>
      <w:r>
        <w:rPr>
          <w:spacing w:val="-1"/>
        </w:rPr>
        <w:t>or</w:t>
      </w:r>
      <w:r>
        <w:rPr>
          <w:spacing w:val="26"/>
        </w:rPr>
        <w:t xml:space="preserve"> </w:t>
      </w:r>
      <w:r>
        <w:rPr>
          <w:spacing w:val="-1"/>
        </w:rPr>
        <w:t>prospective</w:t>
      </w:r>
      <w:r>
        <w:rPr>
          <w:spacing w:val="24"/>
        </w:rPr>
        <w:t xml:space="preserve"> </w:t>
      </w:r>
      <w:r>
        <w:rPr>
          <w:spacing w:val="-1"/>
        </w:rPr>
        <w:t>Replacement</w:t>
      </w:r>
      <w:r>
        <w:rPr>
          <w:spacing w:val="26"/>
        </w:rPr>
        <w:t xml:space="preserve"> </w:t>
      </w:r>
      <w:r>
        <w:rPr>
          <w:spacing w:val="-2"/>
        </w:rPr>
        <w:t>Supplier</w:t>
      </w:r>
      <w:r>
        <w:rPr>
          <w:spacing w:val="26"/>
        </w:rPr>
        <w:t xml:space="preserve"> </w:t>
      </w:r>
      <w:r>
        <w:rPr>
          <w:spacing w:val="-1"/>
        </w:rPr>
        <w:t>or</w:t>
      </w:r>
      <w:r>
        <w:rPr>
          <w:spacing w:val="26"/>
        </w:rPr>
        <w:t xml:space="preserve"> </w:t>
      </w:r>
      <w:r>
        <w:rPr>
          <w:spacing w:val="-1"/>
        </w:rPr>
        <w:t>any</w:t>
      </w:r>
      <w:r>
        <w:rPr>
          <w:spacing w:val="52"/>
        </w:rPr>
        <w:t xml:space="preserve"> </w:t>
      </w:r>
      <w:r>
        <w:rPr>
          <w:spacing w:val="-1"/>
        </w:rPr>
        <w:t>third</w:t>
      </w:r>
      <w:r>
        <w:rPr>
          <w:spacing w:val="41"/>
        </w:rPr>
        <w:t xml:space="preserve"> </w:t>
      </w:r>
      <w:r>
        <w:rPr>
          <w:spacing w:val="-1"/>
        </w:rPr>
        <w:t>party</w:t>
      </w:r>
      <w:r>
        <w:rPr>
          <w:spacing w:val="39"/>
        </w:rPr>
        <w:t xml:space="preserve"> </w:t>
      </w:r>
      <w:r>
        <w:rPr>
          <w:spacing w:val="-2"/>
        </w:rPr>
        <w:t>whom</w:t>
      </w:r>
      <w:r>
        <w:rPr>
          <w:spacing w:val="42"/>
        </w:rPr>
        <w:t xml:space="preserve"> </w:t>
      </w:r>
      <w:r>
        <w:t>the</w:t>
      </w:r>
      <w:r>
        <w:rPr>
          <w:spacing w:val="41"/>
        </w:rPr>
        <w:t xml:space="preserve"> </w:t>
      </w:r>
      <w:r>
        <w:rPr>
          <w:spacing w:val="-1"/>
        </w:rPr>
        <w:t>Customer</w:t>
      </w:r>
      <w:r>
        <w:rPr>
          <w:spacing w:val="42"/>
        </w:rPr>
        <w:t xml:space="preserve"> </w:t>
      </w:r>
      <w:r>
        <w:rPr>
          <w:spacing w:val="-1"/>
        </w:rPr>
        <w:t>is</w:t>
      </w:r>
      <w:r>
        <w:rPr>
          <w:spacing w:val="41"/>
        </w:rPr>
        <w:t xml:space="preserve"> </w:t>
      </w:r>
      <w:r>
        <w:rPr>
          <w:spacing w:val="-1"/>
        </w:rPr>
        <w:t>considering</w:t>
      </w:r>
      <w:r>
        <w:rPr>
          <w:spacing w:val="42"/>
        </w:rPr>
        <w:t xml:space="preserve"> </w:t>
      </w:r>
      <w:r>
        <w:rPr>
          <w:spacing w:val="-1"/>
        </w:rPr>
        <w:t>engaging</w:t>
      </w:r>
      <w:r>
        <w:rPr>
          <w:spacing w:val="43"/>
        </w:rPr>
        <w:t xml:space="preserve"> </w:t>
      </w:r>
      <w:r>
        <w:t>to</w:t>
      </w:r>
      <w:r>
        <w:rPr>
          <w:spacing w:val="41"/>
        </w:rPr>
        <w:t xml:space="preserve"> </w:t>
      </w:r>
      <w:r>
        <w:t>the</w:t>
      </w:r>
      <w:r>
        <w:rPr>
          <w:spacing w:val="41"/>
        </w:rPr>
        <w:t xml:space="preserve"> </w:t>
      </w:r>
      <w:r>
        <w:rPr>
          <w:spacing w:val="-1"/>
        </w:rPr>
        <w:t>extent</w:t>
      </w:r>
      <w:r>
        <w:rPr>
          <w:spacing w:val="40"/>
        </w:rPr>
        <w:t xml:space="preserve"> </w:t>
      </w:r>
      <w:r>
        <w:rPr>
          <w:spacing w:val="-1"/>
        </w:rPr>
        <w:t>that</w:t>
      </w:r>
      <w:r>
        <w:rPr>
          <w:spacing w:val="42"/>
        </w:rPr>
        <w:t xml:space="preserve"> </w:t>
      </w:r>
      <w:r>
        <w:rPr>
          <w:spacing w:val="-1"/>
        </w:rPr>
        <w:t>such</w:t>
      </w:r>
      <w:r>
        <w:rPr>
          <w:spacing w:val="46"/>
        </w:rPr>
        <w:t xml:space="preserve"> </w:t>
      </w:r>
      <w:r>
        <w:rPr>
          <w:spacing w:val="-1"/>
        </w:rPr>
        <w:t>disclosure</w:t>
      </w:r>
      <w:r>
        <w:rPr>
          <w:spacing w:val="4"/>
        </w:rPr>
        <w:t xml:space="preserve"> </w:t>
      </w:r>
      <w:r>
        <w:rPr>
          <w:spacing w:val="-1"/>
        </w:rPr>
        <w:t>is</w:t>
      </w:r>
      <w:r>
        <w:rPr>
          <w:spacing w:val="4"/>
        </w:rPr>
        <w:t xml:space="preserve"> </w:t>
      </w:r>
      <w:r>
        <w:rPr>
          <w:spacing w:val="-1"/>
        </w:rPr>
        <w:t>necessary</w:t>
      </w:r>
      <w:r>
        <w:rPr>
          <w:spacing w:val="2"/>
        </w:rPr>
        <w:t xml:space="preserve"> </w:t>
      </w:r>
      <w:r>
        <w:rPr>
          <w:spacing w:val="-1"/>
        </w:rPr>
        <w:t>in</w:t>
      </w:r>
      <w:r>
        <w:rPr>
          <w:spacing w:val="4"/>
        </w:rPr>
        <w:t xml:space="preserve"> </w:t>
      </w:r>
      <w:r>
        <w:rPr>
          <w:spacing w:val="-1"/>
        </w:rPr>
        <w:t>connection</w:t>
      </w:r>
      <w:r>
        <w:rPr>
          <w:spacing w:val="2"/>
        </w:rPr>
        <w:t xml:space="preserve"> </w:t>
      </w:r>
      <w:r>
        <w:rPr>
          <w:spacing w:val="-2"/>
        </w:rPr>
        <w:t>with</w:t>
      </w:r>
      <w:r>
        <w:rPr>
          <w:spacing w:val="4"/>
        </w:rPr>
        <w:t xml:space="preserve"> </w:t>
      </w:r>
      <w:r>
        <w:rPr>
          <w:spacing w:val="-1"/>
        </w:rPr>
        <w:t>such</w:t>
      </w:r>
      <w:r>
        <w:rPr>
          <w:spacing w:val="4"/>
        </w:rPr>
        <w:t xml:space="preserve"> </w:t>
      </w:r>
      <w:r>
        <w:rPr>
          <w:spacing w:val="-1"/>
        </w:rPr>
        <w:t>engagement</w:t>
      </w:r>
      <w:r>
        <w:rPr>
          <w:spacing w:val="3"/>
        </w:rPr>
        <w:t xml:space="preserve"> </w:t>
      </w:r>
      <w:r>
        <w:rPr>
          <w:spacing w:val="-1"/>
        </w:rPr>
        <w:t>(except</w:t>
      </w:r>
      <w:r>
        <w:rPr>
          <w:spacing w:val="3"/>
        </w:rPr>
        <w:t xml:space="preserve"> </w:t>
      </w:r>
      <w:r>
        <w:rPr>
          <w:spacing w:val="-1"/>
        </w:rPr>
        <w:t>that</w:t>
      </w:r>
      <w:r>
        <w:rPr>
          <w:spacing w:val="3"/>
        </w:rPr>
        <w:t xml:space="preserve"> </w:t>
      </w:r>
      <w:r>
        <w:rPr>
          <w:spacing w:val="-1"/>
        </w:rPr>
        <w:t>the</w:t>
      </w:r>
      <w:r>
        <w:rPr>
          <w:spacing w:val="38"/>
        </w:rPr>
        <w:t xml:space="preserve"> </w:t>
      </w:r>
      <w:r>
        <w:rPr>
          <w:spacing w:val="-1"/>
        </w:rPr>
        <w:t>Customer</w:t>
      </w:r>
      <w:r>
        <w:rPr>
          <w:spacing w:val="14"/>
        </w:rPr>
        <w:t xml:space="preserve"> </w:t>
      </w:r>
      <w:r>
        <w:rPr>
          <w:spacing w:val="-1"/>
        </w:rPr>
        <w:t>may</w:t>
      </w:r>
      <w:r>
        <w:rPr>
          <w:spacing w:val="10"/>
        </w:rPr>
        <w:t xml:space="preserve"> </w:t>
      </w:r>
      <w:r>
        <w:rPr>
          <w:spacing w:val="-1"/>
        </w:rPr>
        <w:t>not</w:t>
      </w:r>
      <w:r>
        <w:rPr>
          <w:spacing w:val="14"/>
        </w:rPr>
        <w:t xml:space="preserve"> </w:t>
      </w:r>
      <w:r>
        <w:rPr>
          <w:spacing w:val="-1"/>
        </w:rPr>
        <w:t>under</w:t>
      </w:r>
      <w:r>
        <w:rPr>
          <w:spacing w:val="14"/>
        </w:rPr>
        <w:t xml:space="preserve"> </w:t>
      </w:r>
      <w:r>
        <w:rPr>
          <w:spacing w:val="-1"/>
        </w:rPr>
        <w:t>this</w:t>
      </w:r>
      <w:r>
        <w:rPr>
          <w:spacing w:val="13"/>
        </w:rPr>
        <w:t xml:space="preserve"> </w:t>
      </w:r>
      <w:r>
        <w:rPr>
          <w:spacing w:val="-1"/>
        </w:rPr>
        <w:t>paragraph</w:t>
      </w:r>
      <w:r>
        <w:rPr>
          <w:spacing w:val="2"/>
        </w:rPr>
        <w:t xml:space="preserve"> </w:t>
      </w:r>
      <w:hyperlink w:anchor="_bookmark372" w:history="1">
        <w:r>
          <w:rPr>
            <w:spacing w:val="-1"/>
          </w:rPr>
          <w:t>4.2</w:t>
        </w:r>
      </w:hyperlink>
      <w:r>
        <w:rPr>
          <w:spacing w:val="12"/>
        </w:rPr>
        <w:t xml:space="preserve"> </w:t>
      </w:r>
      <w:r>
        <w:rPr>
          <w:spacing w:val="-2"/>
        </w:rPr>
        <w:t>of</w:t>
      </w:r>
      <w:r>
        <w:rPr>
          <w:spacing w:val="16"/>
        </w:rPr>
        <w:t xml:space="preserve"> </w:t>
      </w:r>
      <w:r>
        <w:rPr>
          <w:spacing w:val="-1"/>
        </w:rPr>
        <w:t>this</w:t>
      </w:r>
      <w:r>
        <w:rPr>
          <w:spacing w:val="13"/>
        </w:rPr>
        <w:t xml:space="preserve"> </w:t>
      </w:r>
      <w:r>
        <w:rPr>
          <w:spacing w:val="-1"/>
        </w:rPr>
        <w:t>Call</w:t>
      </w:r>
      <w:r>
        <w:rPr>
          <w:spacing w:val="12"/>
        </w:rPr>
        <w:t xml:space="preserve"> </w:t>
      </w:r>
      <w:r>
        <w:t>Off</w:t>
      </w:r>
      <w:r>
        <w:rPr>
          <w:spacing w:val="16"/>
        </w:rPr>
        <w:t xml:space="preserve"> </w:t>
      </w:r>
      <w:r>
        <w:rPr>
          <w:spacing w:val="-1"/>
        </w:rPr>
        <w:t>Schedule</w:t>
      </w:r>
      <w:r>
        <w:rPr>
          <w:spacing w:val="12"/>
        </w:rPr>
        <w:t xml:space="preserve"> </w:t>
      </w:r>
      <w:r>
        <w:rPr>
          <w:spacing w:val="-1"/>
        </w:rPr>
        <w:t>disclose</w:t>
      </w:r>
      <w:r>
        <w:rPr>
          <w:spacing w:val="13"/>
        </w:rPr>
        <w:t xml:space="preserve"> </w:t>
      </w:r>
      <w:r>
        <w:rPr>
          <w:spacing w:val="-1"/>
        </w:rPr>
        <w:t>any</w:t>
      </w:r>
      <w:r>
        <w:rPr>
          <w:spacing w:val="34"/>
        </w:rPr>
        <w:t xml:space="preserve"> </w:t>
      </w:r>
      <w:r>
        <w:rPr>
          <w:spacing w:val="-2"/>
        </w:rPr>
        <w:t>Supplier’s</w:t>
      </w:r>
      <w:r>
        <w:rPr>
          <w:spacing w:val="10"/>
        </w:rPr>
        <w:t xml:space="preserve"> </w:t>
      </w:r>
      <w:r>
        <w:rPr>
          <w:spacing w:val="-1"/>
        </w:rPr>
        <w:t>Confidential</w:t>
      </w:r>
      <w:r>
        <w:rPr>
          <w:spacing w:val="7"/>
        </w:rPr>
        <w:t xml:space="preserve"> </w:t>
      </w:r>
      <w:r>
        <w:rPr>
          <w:spacing w:val="-1"/>
        </w:rPr>
        <w:t>Information</w:t>
      </w:r>
      <w:r>
        <w:rPr>
          <w:spacing w:val="10"/>
        </w:rPr>
        <w:t xml:space="preserve"> </w:t>
      </w:r>
      <w:r>
        <w:rPr>
          <w:spacing w:val="-2"/>
        </w:rPr>
        <w:t>which</w:t>
      </w:r>
      <w:r>
        <w:rPr>
          <w:spacing w:val="10"/>
        </w:rPr>
        <w:t xml:space="preserve"> </w:t>
      </w:r>
      <w:r>
        <w:rPr>
          <w:spacing w:val="-1"/>
        </w:rPr>
        <w:t>is</w:t>
      </w:r>
      <w:r>
        <w:rPr>
          <w:spacing w:val="10"/>
        </w:rPr>
        <w:t xml:space="preserve"> </w:t>
      </w:r>
      <w:r>
        <w:rPr>
          <w:spacing w:val="-1"/>
        </w:rPr>
        <w:t>information</w:t>
      </w:r>
      <w:r>
        <w:rPr>
          <w:spacing w:val="7"/>
        </w:rPr>
        <w:t xml:space="preserve"> </w:t>
      </w:r>
      <w:r>
        <w:rPr>
          <w:spacing w:val="-1"/>
        </w:rPr>
        <w:t>relating</w:t>
      </w:r>
      <w:r>
        <w:rPr>
          <w:spacing w:val="12"/>
        </w:rPr>
        <w:t xml:space="preserve"> </w:t>
      </w:r>
      <w:r>
        <w:t>to</w:t>
      </w:r>
      <w:r>
        <w:rPr>
          <w:spacing w:val="7"/>
        </w:rPr>
        <w:t xml:space="preserve"> </w:t>
      </w:r>
      <w:r>
        <w:t>the</w:t>
      </w:r>
      <w:r>
        <w:rPr>
          <w:spacing w:val="7"/>
        </w:rPr>
        <w:t xml:space="preserve"> </w:t>
      </w:r>
      <w:r>
        <w:rPr>
          <w:spacing w:val="-2"/>
        </w:rPr>
        <w:t>Supplier’s</w:t>
      </w:r>
      <w:r>
        <w:rPr>
          <w:spacing w:val="10"/>
        </w:rPr>
        <w:t xml:space="preserve"> </w:t>
      </w:r>
      <w:r>
        <w:rPr>
          <w:spacing w:val="-1"/>
        </w:rPr>
        <w:t>or</w:t>
      </w:r>
      <w:r>
        <w:rPr>
          <w:spacing w:val="62"/>
        </w:rPr>
        <w:t xml:space="preserve"> </w:t>
      </w:r>
      <w:r>
        <w:rPr>
          <w:spacing w:val="-1"/>
        </w:rPr>
        <w:t>its</w:t>
      </w:r>
      <w:r>
        <w:rPr>
          <w:spacing w:val="1"/>
        </w:rPr>
        <w:t xml:space="preserve"> </w:t>
      </w:r>
      <w:r>
        <w:rPr>
          <w:spacing w:val="-1"/>
        </w:rPr>
        <w:t>Sub-Contractors’</w:t>
      </w:r>
      <w:r>
        <w:rPr>
          <w:spacing w:val="-2"/>
        </w:rPr>
        <w:t xml:space="preserve"> prices</w:t>
      </w:r>
      <w:r>
        <w:rPr>
          <w:spacing w:val="1"/>
        </w:rPr>
        <w:t xml:space="preserve"> </w:t>
      </w:r>
      <w:r>
        <w:rPr>
          <w:spacing w:val="-1"/>
        </w:rPr>
        <w:t>or costs).</w:t>
      </w:r>
    </w:p>
    <w:p w:rsidR="008918FA" w:rsidRDefault="008918FA" w:rsidP="008918FA">
      <w:pPr>
        <w:pStyle w:val="BodyText"/>
        <w:numPr>
          <w:ilvl w:val="1"/>
          <w:numId w:val="9"/>
        </w:numPr>
        <w:tabs>
          <w:tab w:val="left" w:pos="829"/>
        </w:tabs>
        <w:spacing w:before="121"/>
      </w:pPr>
      <w:r>
        <w:t>The</w:t>
      </w:r>
      <w:r>
        <w:rPr>
          <w:spacing w:val="-2"/>
        </w:rPr>
        <w:t xml:space="preserve"> Supplier</w:t>
      </w:r>
      <w:r>
        <w:rPr>
          <w:spacing w:val="2"/>
        </w:rPr>
        <w:t xml:space="preserve"> </w:t>
      </w:r>
      <w:r>
        <w:rPr>
          <w:spacing w:val="-1"/>
        </w:rPr>
        <w:t>shall:</w:t>
      </w:r>
    </w:p>
    <w:p w:rsidR="008918FA" w:rsidRDefault="008918FA" w:rsidP="008918FA">
      <w:pPr>
        <w:pStyle w:val="BodyText"/>
        <w:numPr>
          <w:ilvl w:val="2"/>
          <w:numId w:val="9"/>
        </w:numPr>
        <w:tabs>
          <w:tab w:val="left" w:pos="2026"/>
        </w:tabs>
        <w:ind w:right="114" w:hanging="993"/>
        <w:jc w:val="both"/>
      </w:pPr>
      <w:r>
        <w:rPr>
          <w:spacing w:val="-1"/>
        </w:rPr>
        <w:t>notify</w:t>
      </w:r>
      <w:r>
        <w:rPr>
          <w:spacing w:val="16"/>
        </w:rPr>
        <w:t xml:space="preserve"> </w:t>
      </w:r>
      <w:r>
        <w:t>the</w:t>
      </w:r>
      <w:r>
        <w:rPr>
          <w:spacing w:val="18"/>
        </w:rPr>
        <w:t xml:space="preserve"> </w:t>
      </w:r>
      <w:r>
        <w:rPr>
          <w:spacing w:val="-1"/>
        </w:rPr>
        <w:t>Customer</w:t>
      </w:r>
      <w:r>
        <w:rPr>
          <w:spacing w:val="20"/>
        </w:rPr>
        <w:t xml:space="preserve"> </w:t>
      </w:r>
      <w:r>
        <w:rPr>
          <w:spacing w:val="-2"/>
        </w:rPr>
        <w:t>within</w:t>
      </w:r>
      <w:r>
        <w:rPr>
          <w:spacing w:val="16"/>
        </w:rPr>
        <w:t xml:space="preserve"> </w:t>
      </w:r>
      <w:r>
        <w:rPr>
          <w:spacing w:val="-1"/>
        </w:rPr>
        <w:t>five</w:t>
      </w:r>
      <w:r>
        <w:rPr>
          <w:spacing w:val="18"/>
        </w:rPr>
        <w:t xml:space="preserve"> </w:t>
      </w:r>
      <w:r>
        <w:t>(5)</w:t>
      </w:r>
      <w:r>
        <w:rPr>
          <w:spacing w:val="-6"/>
        </w:rPr>
        <w:t xml:space="preserve"> </w:t>
      </w:r>
      <w:r>
        <w:rPr>
          <w:spacing w:val="-1"/>
        </w:rPr>
        <w:t>Working</w:t>
      </w:r>
      <w:r>
        <w:rPr>
          <w:spacing w:val="21"/>
        </w:rPr>
        <w:t xml:space="preserve"> </w:t>
      </w:r>
      <w:r>
        <w:rPr>
          <w:spacing w:val="-2"/>
        </w:rPr>
        <w:t>Days</w:t>
      </w:r>
      <w:r>
        <w:rPr>
          <w:spacing w:val="19"/>
        </w:rPr>
        <w:t xml:space="preserve"> </w:t>
      </w:r>
      <w:r>
        <w:rPr>
          <w:spacing w:val="-1"/>
        </w:rPr>
        <w:t>of</w:t>
      </w:r>
      <w:r>
        <w:rPr>
          <w:spacing w:val="22"/>
        </w:rPr>
        <w:t xml:space="preserve"> </w:t>
      </w:r>
      <w:r>
        <w:rPr>
          <w:spacing w:val="-1"/>
        </w:rPr>
        <w:t>any</w:t>
      </w:r>
      <w:r>
        <w:rPr>
          <w:spacing w:val="16"/>
        </w:rPr>
        <w:t xml:space="preserve"> </w:t>
      </w:r>
      <w:r>
        <w:rPr>
          <w:spacing w:val="-1"/>
        </w:rPr>
        <w:t>material</w:t>
      </w:r>
      <w:r>
        <w:rPr>
          <w:spacing w:val="42"/>
        </w:rPr>
        <w:t xml:space="preserve"> </w:t>
      </w:r>
      <w:r>
        <w:rPr>
          <w:spacing w:val="-1"/>
        </w:rPr>
        <w:t>change</w:t>
      </w:r>
      <w:r>
        <w:rPr>
          <w:spacing w:val="24"/>
        </w:rPr>
        <w:t xml:space="preserve"> </w:t>
      </w:r>
      <w:r>
        <w:t>to</w:t>
      </w:r>
      <w:r>
        <w:rPr>
          <w:spacing w:val="24"/>
        </w:rPr>
        <w:t xml:space="preserve"> </w:t>
      </w:r>
      <w:r>
        <w:t>the</w:t>
      </w:r>
      <w:r>
        <w:rPr>
          <w:spacing w:val="27"/>
        </w:rPr>
        <w:t xml:space="preserve"> </w:t>
      </w:r>
      <w:r>
        <w:rPr>
          <w:spacing w:val="-2"/>
        </w:rPr>
        <w:t>Exit</w:t>
      </w:r>
      <w:r>
        <w:rPr>
          <w:spacing w:val="28"/>
        </w:rPr>
        <w:t xml:space="preserve"> </w:t>
      </w:r>
      <w:r>
        <w:rPr>
          <w:spacing w:val="-1"/>
        </w:rPr>
        <w:t>Information</w:t>
      </w:r>
      <w:r>
        <w:rPr>
          <w:spacing w:val="27"/>
        </w:rPr>
        <w:t xml:space="preserve"> </w:t>
      </w:r>
      <w:r>
        <w:rPr>
          <w:spacing w:val="-2"/>
        </w:rPr>
        <w:t>which</w:t>
      </w:r>
      <w:r>
        <w:rPr>
          <w:spacing w:val="27"/>
        </w:rPr>
        <w:t xml:space="preserve"> </w:t>
      </w:r>
      <w:r>
        <w:rPr>
          <w:spacing w:val="-1"/>
        </w:rPr>
        <w:t>may</w:t>
      </w:r>
      <w:r>
        <w:rPr>
          <w:spacing w:val="25"/>
        </w:rPr>
        <w:t xml:space="preserve"> </w:t>
      </w:r>
      <w:r>
        <w:rPr>
          <w:spacing w:val="-1"/>
        </w:rPr>
        <w:t>adversely</w:t>
      </w:r>
      <w:r>
        <w:rPr>
          <w:spacing w:val="25"/>
        </w:rPr>
        <w:t xml:space="preserve"> </w:t>
      </w:r>
      <w:r>
        <w:rPr>
          <w:spacing w:val="-1"/>
        </w:rPr>
        <w:t>impact</w:t>
      </w:r>
      <w:r>
        <w:rPr>
          <w:spacing w:val="29"/>
        </w:rPr>
        <w:t xml:space="preserve"> </w:t>
      </w:r>
      <w:r>
        <w:rPr>
          <w:spacing w:val="-1"/>
        </w:rPr>
        <w:t>upon</w:t>
      </w:r>
      <w:r>
        <w:rPr>
          <w:spacing w:val="27"/>
        </w:rPr>
        <w:t xml:space="preserve"> </w:t>
      </w:r>
      <w:r>
        <w:t>the</w:t>
      </w:r>
      <w:r>
        <w:rPr>
          <w:spacing w:val="37"/>
        </w:rPr>
        <w:t xml:space="preserve"> </w:t>
      </w:r>
      <w:r>
        <w:rPr>
          <w:spacing w:val="-2"/>
        </w:rPr>
        <w:t>provision</w:t>
      </w:r>
      <w:r>
        <w:rPr>
          <w:spacing w:val="55"/>
        </w:rPr>
        <w:t xml:space="preserve"> </w:t>
      </w:r>
      <w:r>
        <w:rPr>
          <w:spacing w:val="-1"/>
        </w:rPr>
        <w:t>of</w:t>
      </w:r>
      <w:r>
        <w:rPr>
          <w:spacing w:val="59"/>
        </w:rPr>
        <w:t xml:space="preserve"> </w:t>
      </w:r>
      <w:r>
        <w:rPr>
          <w:spacing w:val="-1"/>
        </w:rPr>
        <w:t>any</w:t>
      </w:r>
      <w:r>
        <w:rPr>
          <w:spacing w:val="53"/>
        </w:rPr>
        <w:t xml:space="preserve"> </w:t>
      </w:r>
      <w:r>
        <w:rPr>
          <w:spacing w:val="-1"/>
        </w:rPr>
        <w:t>Goods</w:t>
      </w:r>
      <w:r>
        <w:rPr>
          <w:spacing w:val="53"/>
        </w:rPr>
        <w:t xml:space="preserve"> </w:t>
      </w:r>
      <w:r>
        <w:rPr>
          <w:spacing w:val="-1"/>
        </w:rPr>
        <w:t>and/or</w:t>
      </w:r>
      <w:r>
        <w:rPr>
          <w:spacing w:val="57"/>
        </w:rPr>
        <w:t xml:space="preserve"> </w:t>
      </w:r>
      <w:r>
        <w:rPr>
          <w:spacing w:val="-1"/>
        </w:rPr>
        <w:t>Services</w:t>
      </w:r>
      <w:r>
        <w:rPr>
          <w:spacing w:val="57"/>
        </w:rPr>
        <w:t xml:space="preserve"> </w:t>
      </w:r>
      <w:r>
        <w:rPr>
          <w:spacing w:val="-1"/>
        </w:rPr>
        <w:t>and</w:t>
      </w:r>
      <w:r>
        <w:rPr>
          <w:spacing w:val="56"/>
        </w:rPr>
        <w:t xml:space="preserve"> </w:t>
      </w:r>
      <w:r>
        <w:rPr>
          <w:spacing w:val="-2"/>
        </w:rPr>
        <w:t>shall</w:t>
      </w:r>
      <w:r>
        <w:rPr>
          <w:spacing w:val="55"/>
        </w:rPr>
        <w:t xml:space="preserve"> </w:t>
      </w:r>
      <w:r>
        <w:rPr>
          <w:spacing w:val="-1"/>
        </w:rPr>
        <w:t>consult</w:t>
      </w:r>
      <w:r>
        <w:rPr>
          <w:spacing w:val="57"/>
        </w:rPr>
        <w:t xml:space="preserve"> </w:t>
      </w:r>
      <w:r>
        <w:rPr>
          <w:spacing w:val="-1"/>
        </w:rPr>
        <w:t>with</w:t>
      </w:r>
      <w:r>
        <w:rPr>
          <w:spacing w:val="55"/>
        </w:rPr>
        <w:t xml:space="preserve"> </w:t>
      </w:r>
      <w:r>
        <w:rPr>
          <w:spacing w:val="-1"/>
        </w:rPr>
        <w:t>the</w:t>
      </w:r>
      <w:r>
        <w:rPr>
          <w:spacing w:val="50"/>
        </w:rPr>
        <w:t xml:space="preserve"> </w:t>
      </w:r>
      <w:r>
        <w:rPr>
          <w:spacing w:val="-1"/>
        </w:rPr>
        <w:t>Customer regarding</w:t>
      </w:r>
      <w:r>
        <w:t xml:space="preserve"> </w:t>
      </w:r>
      <w:r>
        <w:rPr>
          <w:spacing w:val="-1"/>
        </w:rPr>
        <w:t>such</w:t>
      </w:r>
      <w:r>
        <w:t xml:space="preserve"> </w:t>
      </w:r>
      <w:r>
        <w:rPr>
          <w:spacing w:val="-1"/>
        </w:rPr>
        <w:t>proposed</w:t>
      </w:r>
      <w:r>
        <w:rPr>
          <w:spacing w:val="-2"/>
        </w:rPr>
        <w:t xml:space="preserve"> </w:t>
      </w:r>
      <w:r>
        <w:rPr>
          <w:spacing w:val="-1"/>
        </w:rPr>
        <w:t>material</w:t>
      </w:r>
      <w:r>
        <w:t xml:space="preserve"> </w:t>
      </w:r>
      <w:r>
        <w:rPr>
          <w:spacing w:val="-1"/>
        </w:rPr>
        <w:t>changes;</w:t>
      </w:r>
      <w:r>
        <w:rPr>
          <w:spacing w:val="2"/>
        </w:rPr>
        <w:t xml:space="preserve"> </w:t>
      </w:r>
      <w:r>
        <w:rPr>
          <w:spacing w:val="-1"/>
        </w:rPr>
        <w:t>and</w:t>
      </w:r>
    </w:p>
    <w:p w:rsidR="008918FA" w:rsidRDefault="008918FA" w:rsidP="008918FA">
      <w:pPr>
        <w:pStyle w:val="BodyText"/>
        <w:numPr>
          <w:ilvl w:val="2"/>
          <w:numId w:val="9"/>
        </w:numPr>
        <w:tabs>
          <w:tab w:val="left" w:pos="2026"/>
        </w:tabs>
        <w:spacing w:before="121"/>
        <w:ind w:right="125" w:hanging="993"/>
      </w:pPr>
      <w:r>
        <w:rPr>
          <w:spacing w:val="-2"/>
        </w:rPr>
        <w:t>provide</w:t>
      </w:r>
      <w:r>
        <w:rPr>
          <w:spacing w:val="27"/>
        </w:rPr>
        <w:t xml:space="preserve"> </w:t>
      </w:r>
      <w:r>
        <w:rPr>
          <w:spacing w:val="-1"/>
        </w:rPr>
        <w:t>complete</w:t>
      </w:r>
      <w:r>
        <w:rPr>
          <w:spacing w:val="27"/>
        </w:rPr>
        <w:t xml:space="preserve"> </w:t>
      </w:r>
      <w:r>
        <w:rPr>
          <w:spacing w:val="-1"/>
        </w:rPr>
        <w:t>updates</w:t>
      </w:r>
      <w:r>
        <w:rPr>
          <w:spacing w:val="27"/>
        </w:rPr>
        <w:t xml:space="preserve"> </w:t>
      </w:r>
      <w:r>
        <w:rPr>
          <w:spacing w:val="-2"/>
        </w:rPr>
        <w:t>of</w:t>
      </w:r>
      <w:r>
        <w:rPr>
          <w:spacing w:val="28"/>
        </w:rPr>
        <w:t xml:space="preserve"> </w:t>
      </w:r>
      <w:r>
        <w:t>the</w:t>
      </w:r>
      <w:r>
        <w:rPr>
          <w:spacing w:val="27"/>
        </w:rPr>
        <w:t xml:space="preserve"> </w:t>
      </w:r>
      <w:r>
        <w:rPr>
          <w:spacing w:val="-2"/>
        </w:rPr>
        <w:t>Exit</w:t>
      </w:r>
      <w:r>
        <w:rPr>
          <w:spacing w:val="28"/>
        </w:rPr>
        <w:t xml:space="preserve"> </w:t>
      </w:r>
      <w:r>
        <w:rPr>
          <w:spacing w:val="-1"/>
        </w:rPr>
        <w:t>Information</w:t>
      </w:r>
      <w:r>
        <w:rPr>
          <w:spacing w:val="27"/>
        </w:rPr>
        <w:t xml:space="preserve"> </w:t>
      </w:r>
      <w:r>
        <w:rPr>
          <w:spacing w:val="-1"/>
        </w:rPr>
        <w:t>on</w:t>
      </w:r>
      <w:r>
        <w:rPr>
          <w:spacing w:val="27"/>
        </w:rPr>
        <w:t xml:space="preserve"> </w:t>
      </w:r>
      <w:r>
        <w:rPr>
          <w:spacing w:val="-1"/>
        </w:rPr>
        <w:t>an</w:t>
      </w:r>
      <w:r>
        <w:rPr>
          <w:spacing w:val="27"/>
        </w:rPr>
        <w:t xml:space="preserve"> </w:t>
      </w:r>
      <w:r>
        <w:rPr>
          <w:spacing w:val="-1"/>
        </w:rPr>
        <w:t>as-requested</w:t>
      </w:r>
      <w:r>
        <w:rPr>
          <w:spacing w:val="40"/>
        </w:rPr>
        <w:t xml:space="preserve"> </w:t>
      </w:r>
      <w:r>
        <w:rPr>
          <w:spacing w:val="-1"/>
        </w:rPr>
        <w:t>basis</w:t>
      </w:r>
      <w:r>
        <w:rPr>
          <w:spacing w:val="32"/>
        </w:rPr>
        <w:t xml:space="preserve"> </w:t>
      </w:r>
      <w:r>
        <w:rPr>
          <w:spacing w:val="-1"/>
        </w:rPr>
        <w:t>as</w:t>
      </w:r>
      <w:r>
        <w:rPr>
          <w:spacing w:val="32"/>
        </w:rPr>
        <w:t xml:space="preserve"> </w:t>
      </w:r>
      <w:r>
        <w:rPr>
          <w:spacing w:val="-1"/>
        </w:rPr>
        <w:t>soon</w:t>
      </w:r>
      <w:r>
        <w:rPr>
          <w:spacing w:val="31"/>
        </w:rPr>
        <w:t xml:space="preserve"> </w:t>
      </w:r>
      <w:r>
        <w:rPr>
          <w:spacing w:val="-1"/>
        </w:rPr>
        <w:t>as</w:t>
      </w:r>
      <w:r>
        <w:rPr>
          <w:spacing w:val="32"/>
        </w:rPr>
        <w:t xml:space="preserve"> </w:t>
      </w:r>
      <w:r>
        <w:rPr>
          <w:spacing w:val="-2"/>
        </w:rPr>
        <w:t>reasonably</w:t>
      </w:r>
      <w:r>
        <w:rPr>
          <w:spacing w:val="30"/>
        </w:rPr>
        <w:t xml:space="preserve"> </w:t>
      </w:r>
      <w:r>
        <w:rPr>
          <w:spacing w:val="-1"/>
        </w:rPr>
        <w:t>practicable</w:t>
      </w:r>
      <w:r>
        <w:rPr>
          <w:spacing w:val="31"/>
        </w:rPr>
        <w:t xml:space="preserve"> </w:t>
      </w:r>
      <w:r>
        <w:rPr>
          <w:spacing w:val="-1"/>
        </w:rPr>
        <w:t>and</w:t>
      </w:r>
      <w:r>
        <w:rPr>
          <w:spacing w:val="31"/>
        </w:rPr>
        <w:t xml:space="preserve"> </w:t>
      </w:r>
      <w:r>
        <w:rPr>
          <w:spacing w:val="-1"/>
        </w:rPr>
        <w:t>in</w:t>
      </w:r>
      <w:r>
        <w:rPr>
          <w:spacing w:val="35"/>
        </w:rPr>
        <w:t xml:space="preserve"> </w:t>
      </w:r>
      <w:r>
        <w:rPr>
          <w:spacing w:val="-1"/>
        </w:rPr>
        <w:t>any</w:t>
      </w:r>
      <w:r>
        <w:rPr>
          <w:spacing w:val="30"/>
        </w:rPr>
        <w:t xml:space="preserve"> </w:t>
      </w:r>
      <w:r>
        <w:rPr>
          <w:spacing w:val="-1"/>
        </w:rPr>
        <w:t>event</w:t>
      </w:r>
      <w:r>
        <w:rPr>
          <w:spacing w:val="33"/>
        </w:rPr>
        <w:t xml:space="preserve"> </w:t>
      </w:r>
      <w:r>
        <w:rPr>
          <w:spacing w:val="-2"/>
        </w:rPr>
        <w:t>within</w:t>
      </w:r>
      <w:r>
        <w:rPr>
          <w:spacing w:val="31"/>
        </w:rPr>
        <w:t xml:space="preserve"> </w:t>
      </w:r>
      <w:r>
        <w:t>ten</w:t>
      </w:r>
    </w:p>
    <w:p w:rsidR="008918FA" w:rsidRDefault="008918FA" w:rsidP="008918FA">
      <w:pPr>
        <w:pStyle w:val="BodyText"/>
        <w:spacing w:before="1"/>
        <w:ind w:left="2025" w:firstLine="0"/>
      </w:pPr>
      <w:r>
        <w:rPr>
          <w:spacing w:val="-1"/>
        </w:rPr>
        <w:t>(10)</w:t>
      </w:r>
      <w:r>
        <w:rPr>
          <w:spacing w:val="-5"/>
        </w:rPr>
        <w:t xml:space="preserve"> </w:t>
      </w:r>
      <w:r>
        <w:rPr>
          <w:spacing w:val="-1"/>
        </w:rPr>
        <w:t>Working</w:t>
      </w:r>
      <w:r>
        <w:t xml:space="preserve"> </w:t>
      </w:r>
      <w:r>
        <w:rPr>
          <w:spacing w:val="-2"/>
        </w:rPr>
        <w:t>Days</w:t>
      </w:r>
      <w:r>
        <w:rPr>
          <w:spacing w:val="3"/>
        </w:rPr>
        <w:t xml:space="preserve"> </w:t>
      </w:r>
      <w:r>
        <w:rPr>
          <w:spacing w:val="-2"/>
        </w:rPr>
        <w:t>of</w:t>
      </w:r>
      <w:r>
        <w:rPr>
          <w:spacing w:val="2"/>
        </w:rPr>
        <w:t xml:space="preserve"> </w:t>
      </w:r>
      <w:r>
        <w:t>a</w:t>
      </w:r>
      <w:r>
        <w:rPr>
          <w:spacing w:val="-2"/>
        </w:rPr>
        <w:t xml:space="preserve"> </w:t>
      </w:r>
      <w:r>
        <w:rPr>
          <w:spacing w:val="-1"/>
        </w:rPr>
        <w:t>request</w:t>
      </w:r>
      <w:r>
        <w:rPr>
          <w:spacing w:val="2"/>
        </w:rPr>
        <w:t xml:space="preserve"> </w:t>
      </w:r>
      <w:r>
        <w:rPr>
          <w:spacing w:val="-1"/>
        </w:rPr>
        <w:t>in</w:t>
      </w:r>
      <w:r>
        <w:t xml:space="preserve"> </w:t>
      </w:r>
      <w:r>
        <w:rPr>
          <w:spacing w:val="-2"/>
        </w:rPr>
        <w:t>writing</w:t>
      </w:r>
      <w:r>
        <w:t xml:space="preserve"> </w:t>
      </w:r>
      <w:r>
        <w:rPr>
          <w:spacing w:val="-1"/>
        </w:rPr>
        <w:t>from the</w:t>
      </w:r>
      <w:r>
        <w:t xml:space="preserve"> </w:t>
      </w:r>
      <w:r>
        <w:rPr>
          <w:spacing w:val="-1"/>
        </w:rPr>
        <w:t>Customer.</w:t>
      </w:r>
    </w:p>
    <w:p w:rsidR="008918FA" w:rsidRDefault="008918FA" w:rsidP="008918FA">
      <w:pPr>
        <w:pStyle w:val="BodyText"/>
        <w:numPr>
          <w:ilvl w:val="1"/>
          <w:numId w:val="9"/>
        </w:numPr>
        <w:tabs>
          <w:tab w:val="left" w:pos="829"/>
        </w:tabs>
        <w:ind w:right="111"/>
        <w:jc w:val="both"/>
      </w:pPr>
      <w:r>
        <w:t>The</w:t>
      </w:r>
      <w:r>
        <w:rPr>
          <w:spacing w:val="27"/>
        </w:rPr>
        <w:t xml:space="preserve"> </w:t>
      </w:r>
      <w:r>
        <w:rPr>
          <w:spacing w:val="-2"/>
        </w:rPr>
        <w:t>Supplier</w:t>
      </w:r>
      <w:r>
        <w:rPr>
          <w:spacing w:val="28"/>
        </w:rPr>
        <w:t xml:space="preserve"> </w:t>
      </w:r>
      <w:r>
        <w:rPr>
          <w:spacing w:val="-1"/>
        </w:rPr>
        <w:t>may</w:t>
      </w:r>
      <w:r>
        <w:rPr>
          <w:spacing w:val="25"/>
        </w:rPr>
        <w:t xml:space="preserve"> </w:t>
      </w:r>
      <w:r>
        <w:rPr>
          <w:spacing w:val="-1"/>
        </w:rPr>
        <w:t>charge</w:t>
      </w:r>
      <w:r>
        <w:rPr>
          <w:spacing w:val="27"/>
        </w:rPr>
        <w:t xml:space="preserve"> </w:t>
      </w:r>
      <w:r>
        <w:t>the</w:t>
      </w:r>
      <w:r>
        <w:rPr>
          <w:spacing w:val="27"/>
        </w:rPr>
        <w:t xml:space="preserve"> </w:t>
      </w:r>
      <w:r>
        <w:rPr>
          <w:spacing w:val="-1"/>
        </w:rPr>
        <w:t>Customer</w:t>
      </w:r>
      <w:r>
        <w:rPr>
          <w:spacing w:val="26"/>
        </w:rPr>
        <w:t xml:space="preserve"> </w:t>
      </w:r>
      <w:r>
        <w:t>for</w:t>
      </w:r>
      <w:r>
        <w:rPr>
          <w:spacing w:val="28"/>
        </w:rPr>
        <w:t xml:space="preserve"> </w:t>
      </w:r>
      <w:r>
        <w:rPr>
          <w:spacing w:val="-1"/>
        </w:rPr>
        <w:t>its</w:t>
      </w:r>
      <w:r>
        <w:rPr>
          <w:spacing w:val="27"/>
        </w:rPr>
        <w:t xml:space="preserve"> </w:t>
      </w:r>
      <w:r>
        <w:rPr>
          <w:spacing w:val="-1"/>
        </w:rPr>
        <w:t>reasonable</w:t>
      </w:r>
      <w:r>
        <w:rPr>
          <w:spacing w:val="27"/>
        </w:rPr>
        <w:t xml:space="preserve"> </w:t>
      </w:r>
      <w:r>
        <w:rPr>
          <w:spacing w:val="-1"/>
        </w:rPr>
        <w:t>additional</w:t>
      </w:r>
      <w:r>
        <w:rPr>
          <w:spacing w:val="26"/>
        </w:rPr>
        <w:t xml:space="preserve"> </w:t>
      </w:r>
      <w:r>
        <w:t>costs</w:t>
      </w:r>
      <w:r>
        <w:rPr>
          <w:spacing w:val="27"/>
        </w:rPr>
        <w:t xml:space="preserve"> </w:t>
      </w:r>
      <w:r>
        <w:t>to</w:t>
      </w:r>
      <w:r>
        <w:rPr>
          <w:spacing w:val="27"/>
        </w:rPr>
        <w:t xml:space="preserve"> </w:t>
      </w:r>
      <w:r>
        <w:rPr>
          <w:spacing w:val="-1"/>
        </w:rPr>
        <w:t>the</w:t>
      </w:r>
      <w:r>
        <w:rPr>
          <w:spacing w:val="46"/>
        </w:rPr>
        <w:t xml:space="preserve"> </w:t>
      </w:r>
      <w:r>
        <w:rPr>
          <w:spacing w:val="-1"/>
        </w:rPr>
        <w:t>extent</w:t>
      </w:r>
      <w:r>
        <w:rPr>
          <w:spacing w:val="50"/>
        </w:rPr>
        <w:t xml:space="preserve"> </w:t>
      </w:r>
      <w:r>
        <w:t>the</w:t>
      </w:r>
      <w:r>
        <w:rPr>
          <w:spacing w:val="48"/>
        </w:rPr>
        <w:t xml:space="preserve"> </w:t>
      </w:r>
      <w:r>
        <w:rPr>
          <w:spacing w:val="-2"/>
        </w:rPr>
        <w:t>Customer</w:t>
      </w:r>
      <w:r>
        <w:rPr>
          <w:spacing w:val="49"/>
        </w:rPr>
        <w:t xml:space="preserve"> </w:t>
      </w:r>
      <w:r>
        <w:rPr>
          <w:spacing w:val="-1"/>
        </w:rPr>
        <w:t>requests</w:t>
      </w:r>
      <w:r>
        <w:rPr>
          <w:spacing w:val="46"/>
        </w:rPr>
        <w:t xml:space="preserve"> </w:t>
      </w:r>
      <w:r>
        <w:rPr>
          <w:spacing w:val="-1"/>
        </w:rPr>
        <w:t>more</w:t>
      </w:r>
      <w:r>
        <w:rPr>
          <w:spacing w:val="46"/>
        </w:rPr>
        <w:t xml:space="preserve"> </w:t>
      </w:r>
      <w:r>
        <w:rPr>
          <w:spacing w:val="-1"/>
        </w:rPr>
        <w:t>than</w:t>
      </w:r>
      <w:r>
        <w:rPr>
          <w:spacing w:val="46"/>
        </w:rPr>
        <w:t xml:space="preserve"> </w:t>
      </w:r>
      <w:r>
        <w:rPr>
          <w:spacing w:val="-1"/>
        </w:rPr>
        <w:t>four</w:t>
      </w:r>
      <w:r>
        <w:rPr>
          <w:spacing w:val="48"/>
        </w:rPr>
        <w:t xml:space="preserve"> </w:t>
      </w:r>
      <w:r>
        <w:rPr>
          <w:spacing w:val="-1"/>
        </w:rPr>
        <w:t>(4)</w:t>
      </w:r>
      <w:r>
        <w:rPr>
          <w:spacing w:val="49"/>
        </w:rPr>
        <w:t xml:space="preserve"> </w:t>
      </w:r>
      <w:r>
        <w:rPr>
          <w:spacing w:val="-1"/>
        </w:rPr>
        <w:t>updates</w:t>
      </w:r>
      <w:r>
        <w:rPr>
          <w:spacing w:val="49"/>
        </w:rPr>
        <w:t xml:space="preserve"> </w:t>
      </w:r>
      <w:r>
        <w:rPr>
          <w:spacing w:val="-1"/>
        </w:rPr>
        <w:t>in</w:t>
      </w:r>
      <w:r>
        <w:rPr>
          <w:spacing w:val="48"/>
        </w:rPr>
        <w:t xml:space="preserve"> </w:t>
      </w:r>
      <w:r>
        <w:rPr>
          <w:spacing w:val="-1"/>
        </w:rPr>
        <w:t>any</w:t>
      </w:r>
      <w:r>
        <w:rPr>
          <w:spacing w:val="46"/>
        </w:rPr>
        <w:t xml:space="preserve"> </w:t>
      </w:r>
      <w:r>
        <w:rPr>
          <w:spacing w:val="-1"/>
        </w:rPr>
        <w:t>six</w:t>
      </w:r>
      <w:r>
        <w:rPr>
          <w:spacing w:val="49"/>
        </w:rPr>
        <w:t xml:space="preserve"> </w:t>
      </w:r>
      <w:r>
        <w:rPr>
          <w:spacing w:val="-1"/>
        </w:rPr>
        <w:t>(6)</w:t>
      </w:r>
      <w:r>
        <w:rPr>
          <w:spacing w:val="2"/>
        </w:rPr>
        <w:t xml:space="preserve"> </w:t>
      </w:r>
      <w:r>
        <w:rPr>
          <w:spacing w:val="-1"/>
        </w:rPr>
        <w:t>month</w:t>
      </w:r>
      <w:r>
        <w:rPr>
          <w:spacing w:val="59"/>
        </w:rPr>
        <w:t xml:space="preserve"> </w:t>
      </w:r>
      <w:r>
        <w:rPr>
          <w:spacing w:val="-1"/>
        </w:rPr>
        <w:t>period.</w:t>
      </w:r>
    </w:p>
    <w:p w:rsidR="008918FA" w:rsidRDefault="008918FA" w:rsidP="008918FA">
      <w:pPr>
        <w:pStyle w:val="BodyText"/>
        <w:numPr>
          <w:ilvl w:val="1"/>
          <w:numId w:val="9"/>
        </w:numPr>
        <w:tabs>
          <w:tab w:val="left" w:pos="829"/>
        </w:tabs>
        <w:ind w:right="113"/>
        <w:jc w:val="both"/>
      </w:pPr>
      <w:r>
        <w:t xml:space="preserve">The </w:t>
      </w:r>
      <w:r>
        <w:rPr>
          <w:spacing w:val="-2"/>
        </w:rPr>
        <w:t>Exit</w:t>
      </w:r>
      <w:r>
        <w:t xml:space="preserve"> </w:t>
      </w:r>
      <w:r>
        <w:rPr>
          <w:spacing w:val="-1"/>
        </w:rPr>
        <w:t>Information</w:t>
      </w:r>
      <w:r>
        <w:t xml:space="preserve"> </w:t>
      </w:r>
      <w:r>
        <w:rPr>
          <w:spacing w:val="-2"/>
        </w:rPr>
        <w:t>shall</w:t>
      </w:r>
      <w:r>
        <w:t xml:space="preserve"> </w:t>
      </w:r>
      <w:r>
        <w:rPr>
          <w:spacing w:val="-1"/>
        </w:rPr>
        <w:t>be</w:t>
      </w:r>
      <w:r>
        <w:t xml:space="preserve"> </w:t>
      </w:r>
      <w:r>
        <w:rPr>
          <w:spacing w:val="-1"/>
        </w:rPr>
        <w:t>accurate</w:t>
      </w:r>
      <w:r>
        <w:t xml:space="preserve"> </w:t>
      </w:r>
      <w:r>
        <w:rPr>
          <w:spacing w:val="-1"/>
        </w:rPr>
        <w:t>and</w:t>
      </w:r>
      <w:r>
        <w:rPr>
          <w:spacing w:val="-2"/>
        </w:rPr>
        <w:t xml:space="preserve"> </w:t>
      </w:r>
      <w:r>
        <w:rPr>
          <w:spacing w:val="-1"/>
        </w:rPr>
        <w:t>complete</w:t>
      </w:r>
      <w:r>
        <w:t xml:space="preserve"> </w:t>
      </w:r>
      <w:r>
        <w:rPr>
          <w:spacing w:val="-1"/>
        </w:rPr>
        <w:t>in</w:t>
      </w:r>
      <w:r>
        <w:t xml:space="preserve"> </w:t>
      </w:r>
      <w:r>
        <w:rPr>
          <w:spacing w:val="-1"/>
        </w:rPr>
        <w:t>all</w:t>
      </w:r>
      <w:r>
        <w:rPr>
          <w:spacing w:val="-3"/>
        </w:rPr>
        <w:t xml:space="preserve"> </w:t>
      </w:r>
      <w:r>
        <w:rPr>
          <w:spacing w:val="-1"/>
        </w:rPr>
        <w:t>material</w:t>
      </w:r>
      <w:r>
        <w:t xml:space="preserve"> </w:t>
      </w:r>
      <w:r>
        <w:rPr>
          <w:spacing w:val="-1"/>
        </w:rPr>
        <w:t>respects</w:t>
      </w:r>
      <w:r>
        <w:rPr>
          <w:spacing w:val="1"/>
        </w:rPr>
        <w:t xml:space="preserve"> </w:t>
      </w:r>
      <w:r>
        <w:rPr>
          <w:spacing w:val="-1"/>
        </w:rPr>
        <w:t>and</w:t>
      </w:r>
      <w:r>
        <w:rPr>
          <w:spacing w:val="-2"/>
        </w:rPr>
        <w:t xml:space="preserve"> </w:t>
      </w:r>
      <w:r>
        <w:rPr>
          <w:spacing w:val="-1"/>
        </w:rPr>
        <w:t>the</w:t>
      </w:r>
      <w:r>
        <w:rPr>
          <w:spacing w:val="44"/>
        </w:rPr>
        <w:t xml:space="preserve"> </w:t>
      </w:r>
      <w:r>
        <w:rPr>
          <w:spacing w:val="-1"/>
        </w:rPr>
        <w:t>level</w:t>
      </w:r>
      <w:r>
        <w:rPr>
          <w:spacing w:val="7"/>
        </w:rPr>
        <w:t xml:space="preserve"> </w:t>
      </w:r>
      <w:r>
        <w:rPr>
          <w:spacing w:val="-1"/>
        </w:rPr>
        <w:t>of</w:t>
      </w:r>
      <w:r>
        <w:rPr>
          <w:spacing w:val="11"/>
        </w:rPr>
        <w:t xml:space="preserve"> </w:t>
      </w:r>
      <w:r>
        <w:rPr>
          <w:spacing w:val="-1"/>
        </w:rPr>
        <w:t>detail</w:t>
      </w:r>
      <w:r>
        <w:rPr>
          <w:spacing w:val="7"/>
        </w:rPr>
        <w:t xml:space="preserve"> </w:t>
      </w:r>
      <w:r>
        <w:t>to</w:t>
      </w:r>
      <w:r>
        <w:rPr>
          <w:spacing w:val="7"/>
        </w:rPr>
        <w:t xml:space="preserve"> </w:t>
      </w:r>
      <w:r>
        <w:rPr>
          <w:spacing w:val="-1"/>
        </w:rPr>
        <w:t>be</w:t>
      </w:r>
      <w:r>
        <w:rPr>
          <w:spacing w:val="7"/>
        </w:rPr>
        <w:t xml:space="preserve"> </w:t>
      </w:r>
      <w:r>
        <w:rPr>
          <w:spacing w:val="-2"/>
        </w:rPr>
        <w:t>provided</w:t>
      </w:r>
      <w:r>
        <w:rPr>
          <w:spacing w:val="7"/>
        </w:rPr>
        <w:t xml:space="preserve"> </w:t>
      </w:r>
      <w:r>
        <w:rPr>
          <w:spacing w:val="-1"/>
        </w:rPr>
        <w:t>by</w:t>
      </w:r>
      <w:r>
        <w:rPr>
          <w:spacing w:val="5"/>
        </w:rPr>
        <w:t xml:space="preserve"> </w:t>
      </w:r>
      <w:r>
        <w:t>the</w:t>
      </w:r>
      <w:r>
        <w:rPr>
          <w:spacing w:val="7"/>
        </w:rPr>
        <w:t xml:space="preserve"> </w:t>
      </w:r>
      <w:r>
        <w:rPr>
          <w:spacing w:val="-1"/>
        </w:rPr>
        <w:t>Supplier</w:t>
      </w:r>
      <w:r>
        <w:rPr>
          <w:spacing w:val="9"/>
        </w:rPr>
        <w:t xml:space="preserve"> </w:t>
      </w:r>
      <w:r>
        <w:rPr>
          <w:spacing w:val="-1"/>
        </w:rPr>
        <w:t>shall</w:t>
      </w:r>
      <w:r>
        <w:rPr>
          <w:spacing w:val="9"/>
        </w:rPr>
        <w:t xml:space="preserve"> </w:t>
      </w:r>
      <w:r>
        <w:rPr>
          <w:spacing w:val="-1"/>
        </w:rPr>
        <w:t>be</w:t>
      </w:r>
      <w:r>
        <w:rPr>
          <w:spacing w:val="7"/>
        </w:rPr>
        <w:t xml:space="preserve"> </w:t>
      </w:r>
      <w:r>
        <w:rPr>
          <w:spacing w:val="-1"/>
        </w:rPr>
        <w:t>such</w:t>
      </w:r>
      <w:r>
        <w:rPr>
          <w:spacing w:val="8"/>
        </w:rPr>
        <w:t xml:space="preserve"> </w:t>
      </w:r>
      <w:r>
        <w:rPr>
          <w:spacing w:val="-1"/>
        </w:rPr>
        <w:t>as</w:t>
      </w:r>
      <w:r>
        <w:rPr>
          <w:spacing w:val="10"/>
        </w:rPr>
        <w:t xml:space="preserve"> </w:t>
      </w:r>
      <w:r>
        <w:rPr>
          <w:spacing w:val="-2"/>
        </w:rPr>
        <w:t>would</w:t>
      </w:r>
      <w:r>
        <w:rPr>
          <w:spacing w:val="7"/>
        </w:rPr>
        <w:t xml:space="preserve"> </w:t>
      </w:r>
      <w:r>
        <w:rPr>
          <w:spacing w:val="-1"/>
        </w:rPr>
        <w:t>be</w:t>
      </w:r>
      <w:r>
        <w:rPr>
          <w:spacing w:val="7"/>
        </w:rPr>
        <w:t xml:space="preserve"> </w:t>
      </w:r>
      <w:r>
        <w:rPr>
          <w:spacing w:val="-1"/>
        </w:rPr>
        <w:t>reasonably</w:t>
      </w:r>
      <w:r>
        <w:rPr>
          <w:spacing w:val="59"/>
        </w:rPr>
        <w:t xml:space="preserve"> </w:t>
      </w:r>
      <w:r>
        <w:rPr>
          <w:spacing w:val="-1"/>
        </w:rPr>
        <w:t>necessary</w:t>
      </w:r>
      <w:r>
        <w:rPr>
          <w:spacing w:val="-2"/>
        </w:rPr>
        <w:t xml:space="preserve"> </w:t>
      </w:r>
      <w:r>
        <w:t>to</w:t>
      </w:r>
      <w:r>
        <w:rPr>
          <w:spacing w:val="-2"/>
        </w:rPr>
        <w:t xml:space="preserve"> </w:t>
      </w:r>
      <w:r>
        <w:rPr>
          <w:spacing w:val="-1"/>
        </w:rPr>
        <w:t>enable</w:t>
      </w:r>
      <w:r>
        <w:t xml:space="preserve"> a</w:t>
      </w:r>
      <w:r>
        <w:rPr>
          <w:spacing w:val="-2"/>
        </w:rPr>
        <w:t xml:space="preserve"> </w:t>
      </w:r>
      <w:r>
        <w:rPr>
          <w:spacing w:val="-1"/>
        </w:rPr>
        <w:t>third</w:t>
      </w:r>
      <w:r>
        <w:t xml:space="preserve"> </w:t>
      </w:r>
      <w:r>
        <w:rPr>
          <w:spacing w:val="-1"/>
        </w:rPr>
        <w:t>party</w:t>
      </w:r>
      <w:r>
        <w:rPr>
          <w:spacing w:val="-2"/>
        </w:rPr>
        <w:t xml:space="preserve"> </w:t>
      </w:r>
      <w:r>
        <w:rPr>
          <w:spacing w:val="-1"/>
        </w:rPr>
        <w:t>to:</w:t>
      </w:r>
    </w:p>
    <w:p w:rsidR="008918FA" w:rsidRDefault="008918FA" w:rsidP="008918FA">
      <w:pPr>
        <w:pStyle w:val="BodyText"/>
        <w:numPr>
          <w:ilvl w:val="2"/>
          <w:numId w:val="9"/>
        </w:numPr>
        <w:tabs>
          <w:tab w:val="left" w:pos="2026"/>
        </w:tabs>
        <w:ind w:hanging="993"/>
      </w:pPr>
      <w:r>
        <w:rPr>
          <w:spacing w:val="-1"/>
        </w:rPr>
        <w:t>prepare</w:t>
      </w:r>
      <w:r>
        <w:rPr>
          <w:spacing w:val="-2"/>
        </w:rPr>
        <w:t xml:space="preserve"> </w:t>
      </w:r>
      <w:r>
        <w:rPr>
          <w:spacing w:val="-1"/>
        </w:rPr>
        <w:t>an</w:t>
      </w:r>
      <w:r>
        <w:t xml:space="preserve"> </w:t>
      </w:r>
      <w:r>
        <w:rPr>
          <w:spacing w:val="-1"/>
        </w:rPr>
        <w:t>informed</w:t>
      </w:r>
      <w:r>
        <w:rPr>
          <w:spacing w:val="-2"/>
        </w:rPr>
        <w:t xml:space="preserve"> </w:t>
      </w:r>
      <w:r>
        <w:rPr>
          <w:spacing w:val="-1"/>
        </w:rPr>
        <w:t xml:space="preserve">offer </w:t>
      </w:r>
      <w:r>
        <w:t>for</w:t>
      </w:r>
      <w:r>
        <w:rPr>
          <w:spacing w:val="-1"/>
        </w:rPr>
        <w:t xml:space="preserve"> those</w:t>
      </w:r>
      <w:r>
        <w:rPr>
          <w:spacing w:val="-3"/>
        </w:rPr>
        <w:t xml:space="preserve"> </w:t>
      </w:r>
      <w:r>
        <w:rPr>
          <w:spacing w:val="-1"/>
        </w:rPr>
        <w:t>Goods</w:t>
      </w:r>
      <w:r>
        <w:rPr>
          <w:spacing w:val="1"/>
        </w:rPr>
        <w:t xml:space="preserve"> </w:t>
      </w:r>
      <w:r>
        <w:rPr>
          <w:spacing w:val="-1"/>
        </w:rPr>
        <w:t>and/or</w:t>
      </w:r>
      <w:r>
        <w:rPr>
          <w:spacing w:val="-3"/>
        </w:rPr>
        <w:t xml:space="preserve"> </w:t>
      </w:r>
      <w:r>
        <w:rPr>
          <w:spacing w:val="-1"/>
        </w:rPr>
        <w:t>Services;</w:t>
      </w:r>
      <w:r>
        <w:rPr>
          <w:spacing w:val="2"/>
        </w:rPr>
        <w:t xml:space="preserve"> </w:t>
      </w:r>
      <w:r>
        <w:rPr>
          <w:spacing w:val="-1"/>
        </w:rPr>
        <w:t>and</w:t>
      </w:r>
    </w:p>
    <w:p w:rsidR="008918FA" w:rsidRDefault="008918FA" w:rsidP="008918FA">
      <w:pPr>
        <w:pStyle w:val="BodyText"/>
        <w:numPr>
          <w:ilvl w:val="2"/>
          <w:numId w:val="9"/>
        </w:numPr>
        <w:tabs>
          <w:tab w:val="left" w:pos="2026"/>
        </w:tabs>
        <w:spacing w:before="121"/>
        <w:ind w:right="125"/>
      </w:pPr>
      <w:r>
        <w:rPr>
          <w:spacing w:val="-1"/>
        </w:rPr>
        <w:t>not</w:t>
      </w:r>
      <w:r>
        <w:t xml:space="preserve"> </w:t>
      </w:r>
      <w:r>
        <w:rPr>
          <w:spacing w:val="-1"/>
        </w:rPr>
        <w:t>be</w:t>
      </w:r>
      <w:r>
        <w:t xml:space="preserve"> </w:t>
      </w:r>
      <w:r>
        <w:rPr>
          <w:spacing w:val="59"/>
        </w:rPr>
        <w:t xml:space="preserve"> </w:t>
      </w:r>
      <w:r>
        <w:rPr>
          <w:spacing w:val="-1"/>
        </w:rPr>
        <w:t>disadvantaged</w:t>
      </w:r>
      <w:r>
        <w:t xml:space="preserve"> </w:t>
      </w:r>
      <w:r>
        <w:rPr>
          <w:spacing w:val="57"/>
        </w:rPr>
        <w:t xml:space="preserve"> </w:t>
      </w:r>
      <w:r>
        <w:rPr>
          <w:spacing w:val="-1"/>
        </w:rPr>
        <w:t>in</w:t>
      </w:r>
      <w:r>
        <w:t xml:space="preserve"> </w:t>
      </w:r>
      <w:r>
        <w:rPr>
          <w:spacing w:val="59"/>
        </w:rPr>
        <w:t xml:space="preserve"> </w:t>
      </w:r>
      <w:r>
        <w:rPr>
          <w:spacing w:val="-1"/>
        </w:rPr>
        <w:t>any</w:t>
      </w:r>
      <w:r>
        <w:t xml:space="preserve"> </w:t>
      </w:r>
      <w:r>
        <w:rPr>
          <w:spacing w:val="57"/>
        </w:rPr>
        <w:t xml:space="preserve"> </w:t>
      </w:r>
      <w:r>
        <w:rPr>
          <w:spacing w:val="-1"/>
        </w:rPr>
        <w:t>subsequent</w:t>
      </w:r>
      <w:r>
        <w:t xml:space="preserve"> </w:t>
      </w:r>
      <w:r>
        <w:rPr>
          <w:spacing w:val="58"/>
        </w:rPr>
        <w:t xml:space="preserve"> </w:t>
      </w:r>
      <w:r>
        <w:rPr>
          <w:spacing w:val="-1"/>
        </w:rPr>
        <w:t>procurement</w:t>
      </w:r>
      <w:r>
        <w:t xml:space="preserve"> </w:t>
      </w:r>
      <w:r>
        <w:rPr>
          <w:spacing w:val="59"/>
        </w:rPr>
        <w:t xml:space="preserve"> </w:t>
      </w:r>
      <w:r>
        <w:rPr>
          <w:spacing w:val="-1"/>
        </w:rPr>
        <w:t>process</w:t>
      </w:r>
      <w:r>
        <w:rPr>
          <w:spacing w:val="27"/>
        </w:rPr>
        <w:t xml:space="preserve"> </w:t>
      </w:r>
      <w:r>
        <w:rPr>
          <w:spacing w:val="-1"/>
        </w:rPr>
        <w:t>compared</w:t>
      </w:r>
      <w:r>
        <w:rPr>
          <w:spacing w:val="-2"/>
        </w:rPr>
        <w:t xml:space="preserve"> </w:t>
      </w:r>
      <w:r>
        <w:t>to</w:t>
      </w:r>
      <w:r>
        <w:rPr>
          <w:spacing w:val="-2"/>
        </w:rPr>
        <w:t xml:space="preserve"> </w:t>
      </w:r>
      <w:r>
        <w:rPr>
          <w:spacing w:val="-1"/>
        </w:rPr>
        <w:t>the</w:t>
      </w:r>
      <w:r>
        <w:t xml:space="preserve"> </w:t>
      </w:r>
      <w:r>
        <w:rPr>
          <w:spacing w:val="-2"/>
        </w:rPr>
        <w:t>Supplier</w:t>
      </w:r>
      <w:r>
        <w:rPr>
          <w:spacing w:val="2"/>
        </w:rPr>
        <w:t xml:space="preserve"> </w:t>
      </w:r>
      <w:r>
        <w:rPr>
          <w:spacing w:val="-2"/>
        </w:rPr>
        <w:t>(if</w:t>
      </w:r>
      <w:r>
        <w:t xml:space="preserve"> the </w:t>
      </w:r>
      <w:r>
        <w:rPr>
          <w:spacing w:val="-2"/>
        </w:rPr>
        <w:t>Supplier</w:t>
      </w:r>
      <w:r>
        <w:rPr>
          <w:spacing w:val="2"/>
        </w:rPr>
        <w:t xml:space="preserve"> </w:t>
      </w:r>
      <w:r>
        <w:rPr>
          <w:spacing w:val="-1"/>
        </w:rPr>
        <w:t>is</w:t>
      </w:r>
      <w:r>
        <w:rPr>
          <w:spacing w:val="-2"/>
        </w:rPr>
        <w:t xml:space="preserve"> invited</w:t>
      </w:r>
      <w:r>
        <w:t xml:space="preserve"> to</w:t>
      </w:r>
      <w:r>
        <w:rPr>
          <w:spacing w:val="-2"/>
        </w:rPr>
        <w:t xml:space="preserve"> </w:t>
      </w:r>
      <w:r>
        <w:rPr>
          <w:spacing w:val="-1"/>
        </w:rPr>
        <w:t>participate).</w:t>
      </w:r>
    </w:p>
    <w:p w:rsidR="008918FA" w:rsidRDefault="008918FA" w:rsidP="008918FA">
      <w:pPr>
        <w:pStyle w:val="BodyText"/>
        <w:numPr>
          <w:ilvl w:val="0"/>
          <w:numId w:val="9"/>
        </w:numPr>
        <w:tabs>
          <w:tab w:val="left" w:pos="466"/>
        </w:tabs>
        <w:spacing w:before="120"/>
        <w:rPr>
          <w:rFonts w:ascii="Times New Roman" w:eastAsia="Times New Roman" w:hAnsi="Times New Roman" w:cs="Times New Roman"/>
        </w:rPr>
      </w:pPr>
      <w:r>
        <w:rPr>
          <w:rFonts w:ascii="Times New Roman"/>
          <w:spacing w:val="-4"/>
        </w:rPr>
        <w:t>EXIT</w:t>
      </w:r>
      <w:r>
        <w:rPr>
          <w:rFonts w:ascii="Times New Roman"/>
          <w:spacing w:val="4"/>
        </w:rPr>
        <w:t xml:space="preserve"> </w:t>
      </w:r>
      <w:r>
        <w:rPr>
          <w:rFonts w:ascii="Times New Roman"/>
          <w:spacing w:val="5"/>
        </w:rPr>
        <w:t>PLAN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9"/>
        </w:numPr>
        <w:tabs>
          <w:tab w:val="left" w:pos="828"/>
        </w:tabs>
        <w:spacing w:before="0"/>
        <w:ind w:left="827" w:right="125"/>
      </w:pPr>
      <w:r>
        <w:t>The</w:t>
      </w:r>
      <w:r>
        <w:rPr>
          <w:spacing w:val="5"/>
        </w:rPr>
        <w:t xml:space="preserve"> </w:t>
      </w:r>
      <w:r>
        <w:rPr>
          <w:spacing w:val="-2"/>
        </w:rPr>
        <w:t>Supplier</w:t>
      </w:r>
      <w:r>
        <w:rPr>
          <w:spacing w:val="6"/>
        </w:rPr>
        <w:t xml:space="preserve"> </w:t>
      </w:r>
      <w:r>
        <w:rPr>
          <w:spacing w:val="-1"/>
        </w:rPr>
        <w:t>shall,</w:t>
      </w:r>
      <w:r>
        <w:rPr>
          <w:spacing w:val="7"/>
        </w:rPr>
        <w:t xml:space="preserve"> </w:t>
      </w:r>
      <w:r>
        <w:rPr>
          <w:spacing w:val="-1"/>
        </w:rPr>
        <w:t>within</w:t>
      </w:r>
      <w:r>
        <w:rPr>
          <w:spacing w:val="5"/>
        </w:rPr>
        <w:t xml:space="preserve"> </w:t>
      </w:r>
      <w:r>
        <w:rPr>
          <w:spacing w:val="-1"/>
        </w:rPr>
        <w:t>three</w:t>
      </w:r>
      <w:r>
        <w:rPr>
          <w:spacing w:val="5"/>
        </w:rPr>
        <w:t xml:space="preserve"> </w:t>
      </w:r>
      <w:r>
        <w:rPr>
          <w:spacing w:val="-1"/>
        </w:rPr>
        <w:t>(3)</w:t>
      </w:r>
      <w:r>
        <w:rPr>
          <w:spacing w:val="6"/>
        </w:rPr>
        <w:t xml:space="preserve"> </w:t>
      </w:r>
      <w:r>
        <w:rPr>
          <w:spacing w:val="-1"/>
        </w:rPr>
        <w:t>months</w:t>
      </w:r>
      <w:r>
        <w:rPr>
          <w:spacing w:val="5"/>
        </w:rPr>
        <w:t xml:space="preserve"> </w:t>
      </w:r>
      <w:r>
        <w:rPr>
          <w:spacing w:val="-1"/>
        </w:rPr>
        <w:t>after</w:t>
      </w:r>
      <w:r>
        <w:rPr>
          <w:spacing w:val="4"/>
        </w:rPr>
        <w:t xml:space="preserve"> </w:t>
      </w:r>
      <w:r>
        <w:rPr>
          <w:spacing w:val="-1"/>
        </w:rPr>
        <w:t>the</w:t>
      </w:r>
      <w:r>
        <w:rPr>
          <w:spacing w:val="5"/>
        </w:rPr>
        <w:t xml:space="preserve"> </w:t>
      </w:r>
      <w:r>
        <w:rPr>
          <w:spacing w:val="-2"/>
        </w:rPr>
        <w:t>Call</w:t>
      </w:r>
      <w:r>
        <w:rPr>
          <w:spacing w:val="4"/>
        </w:rPr>
        <w:t xml:space="preserve"> </w:t>
      </w:r>
      <w:r>
        <w:t>Off</w:t>
      </w:r>
      <w:r>
        <w:rPr>
          <w:spacing w:val="7"/>
        </w:rPr>
        <w:t xml:space="preserve"> </w:t>
      </w:r>
      <w:r>
        <w:rPr>
          <w:spacing w:val="-1"/>
        </w:rPr>
        <w:t>Commencement</w:t>
      </w:r>
      <w:r>
        <w:rPr>
          <w:spacing w:val="7"/>
        </w:rPr>
        <w:t xml:space="preserve"> </w:t>
      </w:r>
      <w:r>
        <w:rPr>
          <w:spacing w:val="-1"/>
        </w:rPr>
        <w:t>Date,</w:t>
      </w:r>
      <w:r>
        <w:rPr>
          <w:spacing w:val="47"/>
        </w:rPr>
        <w:t xml:space="preserve"> </w:t>
      </w:r>
      <w:r>
        <w:rPr>
          <w:spacing w:val="-1"/>
        </w:rPr>
        <w:t>deliver</w:t>
      </w:r>
      <w:r>
        <w:rPr>
          <w:spacing w:val="2"/>
        </w:rPr>
        <w:t xml:space="preserve"> </w:t>
      </w:r>
      <w:r>
        <w:t>to</w:t>
      </w:r>
      <w:r>
        <w:rPr>
          <w:spacing w:val="-2"/>
        </w:rPr>
        <w:t xml:space="preserve"> </w:t>
      </w:r>
      <w:r>
        <w:t>the</w:t>
      </w:r>
      <w:r>
        <w:rPr>
          <w:spacing w:val="-2"/>
        </w:rPr>
        <w:t xml:space="preserve"> </w:t>
      </w:r>
      <w:r>
        <w:rPr>
          <w:spacing w:val="-1"/>
        </w:rPr>
        <w:t>Customer</w:t>
      </w:r>
      <w:r>
        <w:rPr>
          <w:spacing w:val="-3"/>
        </w:rPr>
        <w:t xml:space="preserve"> </w:t>
      </w:r>
      <w:r>
        <w:rPr>
          <w:spacing w:val="-1"/>
        </w:rPr>
        <w:t>an</w:t>
      </w:r>
      <w:r>
        <w:t xml:space="preserve"> </w:t>
      </w:r>
      <w:r>
        <w:rPr>
          <w:spacing w:val="-2"/>
        </w:rPr>
        <w:t>Exit</w:t>
      </w:r>
      <w:r>
        <w:rPr>
          <w:spacing w:val="2"/>
        </w:rPr>
        <w:t xml:space="preserve"> </w:t>
      </w:r>
      <w:r>
        <w:rPr>
          <w:spacing w:val="-1"/>
        </w:rPr>
        <w:t>Plan</w:t>
      </w:r>
      <w:r>
        <w:t xml:space="preserve"> </w:t>
      </w:r>
      <w:r>
        <w:rPr>
          <w:spacing w:val="-2"/>
        </w:rPr>
        <w:t>which:</w:t>
      </w:r>
    </w:p>
    <w:p w:rsidR="008918FA" w:rsidRDefault="008918FA" w:rsidP="008918FA">
      <w:pPr>
        <w:pStyle w:val="BodyText"/>
        <w:numPr>
          <w:ilvl w:val="2"/>
          <w:numId w:val="9"/>
        </w:numPr>
        <w:tabs>
          <w:tab w:val="left" w:pos="2026"/>
        </w:tabs>
        <w:ind w:right="113"/>
        <w:jc w:val="both"/>
      </w:pPr>
      <w:r>
        <w:t>sets</w:t>
      </w:r>
      <w:r>
        <w:rPr>
          <w:spacing w:val="13"/>
        </w:rPr>
        <w:t xml:space="preserve"> </w:t>
      </w:r>
      <w:r>
        <w:rPr>
          <w:spacing w:val="-1"/>
        </w:rPr>
        <w:t>out</w:t>
      </w:r>
      <w:r>
        <w:rPr>
          <w:spacing w:val="11"/>
        </w:rPr>
        <w:t xml:space="preserve"> </w:t>
      </w:r>
      <w:r>
        <w:t>the</w:t>
      </w:r>
      <w:r>
        <w:rPr>
          <w:spacing w:val="12"/>
        </w:rPr>
        <w:t xml:space="preserve"> </w:t>
      </w:r>
      <w:r>
        <w:rPr>
          <w:spacing w:val="-2"/>
        </w:rPr>
        <w:t>Supplier's</w:t>
      </w:r>
      <w:r>
        <w:rPr>
          <w:spacing w:val="13"/>
        </w:rPr>
        <w:t xml:space="preserve"> </w:t>
      </w:r>
      <w:r>
        <w:rPr>
          <w:spacing w:val="-1"/>
        </w:rPr>
        <w:t>proposed</w:t>
      </w:r>
      <w:r>
        <w:rPr>
          <w:spacing w:val="12"/>
        </w:rPr>
        <w:t xml:space="preserve"> </w:t>
      </w:r>
      <w:r>
        <w:rPr>
          <w:spacing w:val="-1"/>
        </w:rPr>
        <w:t>methodology</w:t>
      </w:r>
      <w:r>
        <w:rPr>
          <w:spacing w:val="10"/>
        </w:rPr>
        <w:t xml:space="preserve"> </w:t>
      </w:r>
      <w:r>
        <w:t>for</w:t>
      </w:r>
      <w:r>
        <w:rPr>
          <w:spacing w:val="14"/>
        </w:rPr>
        <w:t xml:space="preserve"> </w:t>
      </w:r>
      <w:r>
        <w:rPr>
          <w:spacing w:val="-2"/>
        </w:rPr>
        <w:t>achieving</w:t>
      </w:r>
      <w:r>
        <w:rPr>
          <w:spacing w:val="15"/>
        </w:rPr>
        <w:t xml:space="preserve"> </w:t>
      </w:r>
      <w:r>
        <w:rPr>
          <w:spacing w:val="-1"/>
        </w:rPr>
        <w:t>an</w:t>
      </w:r>
      <w:r>
        <w:rPr>
          <w:spacing w:val="12"/>
        </w:rPr>
        <w:t xml:space="preserve"> </w:t>
      </w:r>
      <w:r>
        <w:rPr>
          <w:spacing w:val="-1"/>
        </w:rPr>
        <w:t>orderly</w:t>
      </w:r>
      <w:r>
        <w:rPr>
          <w:spacing w:val="47"/>
        </w:rPr>
        <w:t xml:space="preserve"> </w:t>
      </w:r>
      <w:r>
        <w:rPr>
          <w:spacing w:val="-1"/>
        </w:rPr>
        <w:t>transition</w:t>
      </w:r>
      <w:r>
        <w:rPr>
          <w:spacing w:val="16"/>
        </w:rPr>
        <w:t xml:space="preserve"> </w:t>
      </w:r>
      <w:r>
        <w:rPr>
          <w:spacing w:val="-2"/>
        </w:rPr>
        <w:t>of</w:t>
      </w:r>
      <w:r>
        <w:rPr>
          <w:spacing w:val="15"/>
        </w:rPr>
        <w:t xml:space="preserve"> </w:t>
      </w:r>
      <w:r>
        <w:t>the</w:t>
      </w:r>
      <w:r>
        <w:rPr>
          <w:spacing w:val="14"/>
        </w:rPr>
        <w:t xml:space="preserve"> </w:t>
      </w:r>
      <w:r>
        <w:rPr>
          <w:spacing w:val="-1"/>
        </w:rPr>
        <w:t>Goods</w:t>
      </w:r>
      <w:r>
        <w:rPr>
          <w:spacing w:val="14"/>
        </w:rPr>
        <w:t xml:space="preserve"> </w:t>
      </w:r>
      <w:r>
        <w:rPr>
          <w:spacing w:val="-1"/>
        </w:rPr>
        <w:t>and/or</w:t>
      </w:r>
      <w:r>
        <w:rPr>
          <w:spacing w:val="15"/>
        </w:rPr>
        <w:t xml:space="preserve"> </w:t>
      </w:r>
      <w:r>
        <w:rPr>
          <w:spacing w:val="-1"/>
        </w:rPr>
        <w:t>Services</w:t>
      </w:r>
      <w:r>
        <w:rPr>
          <w:spacing w:val="15"/>
        </w:rPr>
        <w:t xml:space="preserve"> </w:t>
      </w:r>
      <w:r>
        <w:t>from</w:t>
      </w:r>
      <w:r>
        <w:rPr>
          <w:spacing w:val="15"/>
        </w:rPr>
        <w:t xml:space="preserve"> </w:t>
      </w:r>
      <w:r>
        <w:t>the</w:t>
      </w:r>
      <w:r>
        <w:rPr>
          <w:spacing w:val="16"/>
        </w:rPr>
        <w:t xml:space="preserve"> </w:t>
      </w:r>
      <w:r>
        <w:rPr>
          <w:spacing w:val="-2"/>
        </w:rPr>
        <w:t>Supplier</w:t>
      </w:r>
      <w:r>
        <w:rPr>
          <w:spacing w:val="15"/>
        </w:rPr>
        <w:t xml:space="preserve"> </w:t>
      </w:r>
      <w:r>
        <w:t>to</w:t>
      </w:r>
      <w:r>
        <w:rPr>
          <w:spacing w:val="13"/>
        </w:rPr>
        <w:t xml:space="preserve"> </w:t>
      </w:r>
      <w:r>
        <w:rPr>
          <w:spacing w:val="-1"/>
        </w:rPr>
        <w:t>the</w:t>
      </w:r>
      <w:r>
        <w:rPr>
          <w:spacing w:val="44"/>
        </w:rPr>
        <w:t xml:space="preserve"> </w:t>
      </w:r>
      <w:r>
        <w:rPr>
          <w:spacing w:val="-1"/>
        </w:rPr>
        <w:t>Customer</w:t>
      </w:r>
      <w:r>
        <w:rPr>
          <w:spacing w:val="8"/>
        </w:rPr>
        <w:t xml:space="preserve"> </w:t>
      </w:r>
      <w:r>
        <w:rPr>
          <w:spacing w:val="-1"/>
        </w:rPr>
        <w:t>and/or</w:t>
      </w:r>
      <w:r>
        <w:rPr>
          <w:spacing w:val="4"/>
        </w:rPr>
        <w:t xml:space="preserve"> </w:t>
      </w:r>
      <w:r>
        <w:rPr>
          <w:spacing w:val="-1"/>
        </w:rPr>
        <w:t>its</w:t>
      </w:r>
      <w:r>
        <w:rPr>
          <w:spacing w:val="1"/>
        </w:rPr>
        <w:t xml:space="preserve"> </w:t>
      </w:r>
      <w:r>
        <w:rPr>
          <w:spacing w:val="-1"/>
        </w:rPr>
        <w:t>Replacement</w:t>
      </w:r>
      <w:r>
        <w:rPr>
          <w:spacing w:val="4"/>
        </w:rPr>
        <w:t xml:space="preserve"> </w:t>
      </w:r>
      <w:r>
        <w:rPr>
          <w:spacing w:val="-2"/>
        </w:rPr>
        <w:t>Supplier</w:t>
      </w:r>
      <w:r>
        <w:rPr>
          <w:spacing w:val="4"/>
        </w:rPr>
        <w:t xml:space="preserve"> </w:t>
      </w:r>
      <w:r>
        <w:rPr>
          <w:spacing w:val="-1"/>
        </w:rPr>
        <w:t>on</w:t>
      </w:r>
      <w:r>
        <w:t xml:space="preserve"> </w:t>
      </w:r>
      <w:r>
        <w:rPr>
          <w:spacing w:val="3"/>
        </w:rPr>
        <w:t xml:space="preserve"> </w:t>
      </w:r>
      <w:r>
        <w:t xml:space="preserve">the </w:t>
      </w:r>
      <w:r>
        <w:rPr>
          <w:spacing w:val="3"/>
        </w:rPr>
        <w:t xml:space="preserve"> </w:t>
      </w:r>
      <w:r>
        <w:rPr>
          <w:spacing w:val="-2"/>
        </w:rPr>
        <w:t>expiry</w:t>
      </w:r>
      <w:r>
        <w:t xml:space="preserve"> </w:t>
      </w:r>
      <w:r>
        <w:rPr>
          <w:spacing w:val="1"/>
        </w:rPr>
        <w:t xml:space="preserve"> </w:t>
      </w:r>
      <w:r>
        <w:rPr>
          <w:spacing w:val="-1"/>
        </w:rPr>
        <w:t>or</w:t>
      </w:r>
      <w:r>
        <w:rPr>
          <w:spacing w:val="40"/>
        </w:rPr>
        <w:t xml:space="preserve"> </w:t>
      </w:r>
      <w:r>
        <w:rPr>
          <w:spacing w:val="-1"/>
        </w:rPr>
        <w:t>termination</w:t>
      </w:r>
      <w:r>
        <w:t xml:space="preserve">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Contract;</w:t>
      </w:r>
    </w:p>
    <w:p w:rsidR="008918FA" w:rsidRDefault="008918FA" w:rsidP="008918FA">
      <w:pPr>
        <w:pStyle w:val="BodyText"/>
        <w:numPr>
          <w:ilvl w:val="2"/>
          <w:numId w:val="9"/>
        </w:numPr>
        <w:tabs>
          <w:tab w:val="left" w:pos="2026"/>
        </w:tabs>
        <w:spacing w:before="121"/>
        <w:ind w:right="116"/>
        <w:jc w:val="both"/>
      </w:pPr>
      <w:r>
        <w:rPr>
          <w:spacing w:val="-1"/>
        </w:rPr>
        <w:t>complies</w:t>
      </w:r>
      <w:r>
        <w:rPr>
          <w:spacing w:val="5"/>
        </w:rPr>
        <w:t xml:space="preserve"> </w:t>
      </w:r>
      <w:r>
        <w:rPr>
          <w:spacing w:val="-2"/>
        </w:rPr>
        <w:t>with</w:t>
      </w:r>
      <w:r>
        <w:rPr>
          <w:spacing w:val="5"/>
        </w:rPr>
        <w:t xml:space="preserve"> </w:t>
      </w:r>
      <w:r>
        <w:t>the</w:t>
      </w:r>
      <w:r>
        <w:rPr>
          <w:spacing w:val="5"/>
        </w:rPr>
        <w:t xml:space="preserve"> </w:t>
      </w:r>
      <w:r>
        <w:rPr>
          <w:spacing w:val="-1"/>
        </w:rPr>
        <w:t>requirements</w:t>
      </w:r>
      <w:r>
        <w:rPr>
          <w:spacing w:val="3"/>
        </w:rPr>
        <w:t xml:space="preserve"> </w:t>
      </w:r>
      <w:r>
        <w:rPr>
          <w:spacing w:val="-1"/>
        </w:rPr>
        <w:t>set</w:t>
      </w:r>
      <w:r>
        <w:rPr>
          <w:spacing w:val="7"/>
        </w:rPr>
        <w:t xml:space="preserve"> </w:t>
      </w:r>
      <w:r>
        <w:rPr>
          <w:spacing w:val="-2"/>
        </w:rPr>
        <w:t>out</w:t>
      </w:r>
      <w:r>
        <w:rPr>
          <w:spacing w:val="7"/>
        </w:rPr>
        <w:t xml:space="preserve"> </w:t>
      </w:r>
      <w:r>
        <w:rPr>
          <w:spacing w:val="-1"/>
        </w:rPr>
        <w:t>in</w:t>
      </w:r>
      <w:r>
        <w:rPr>
          <w:spacing w:val="5"/>
        </w:rPr>
        <w:t xml:space="preserve"> </w:t>
      </w:r>
      <w:r>
        <w:rPr>
          <w:spacing w:val="-2"/>
        </w:rPr>
        <w:t>paragraph</w:t>
      </w:r>
      <w:r>
        <w:rPr>
          <w:spacing w:val="2"/>
        </w:rPr>
        <w:t xml:space="preserve"> </w:t>
      </w:r>
      <w:hyperlink w:anchor="_bookmark373" w:history="1">
        <w:r>
          <w:t>5.3</w:t>
        </w:r>
      </w:hyperlink>
      <w:r>
        <w:rPr>
          <w:spacing w:val="5"/>
        </w:rPr>
        <w:t xml:space="preserve"> </w:t>
      </w:r>
      <w:r>
        <w:rPr>
          <w:spacing w:val="-2"/>
        </w:rPr>
        <w:t>of</w:t>
      </w:r>
      <w:r>
        <w:rPr>
          <w:spacing w:val="7"/>
        </w:rPr>
        <w:t xml:space="preserve"> </w:t>
      </w:r>
      <w:r>
        <w:rPr>
          <w:spacing w:val="-2"/>
        </w:rPr>
        <w:t>this</w:t>
      </w:r>
      <w:r>
        <w:rPr>
          <w:spacing w:val="5"/>
        </w:rPr>
        <w:t xml:space="preserve"> </w:t>
      </w:r>
      <w:r>
        <w:rPr>
          <w:spacing w:val="-2"/>
        </w:rPr>
        <w:t>Call</w:t>
      </w:r>
      <w:r>
        <w:rPr>
          <w:spacing w:val="4"/>
        </w:rPr>
        <w:t xml:space="preserve"> </w:t>
      </w:r>
      <w:r>
        <w:rPr>
          <w:spacing w:val="-1"/>
        </w:rPr>
        <w:t>Off</w:t>
      </w:r>
      <w:r>
        <w:rPr>
          <w:spacing w:val="61"/>
        </w:rPr>
        <w:t xml:space="preserve"> </w:t>
      </w:r>
      <w:r>
        <w:rPr>
          <w:spacing w:val="-1"/>
        </w:rPr>
        <w:t>Schedule;</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numPr>
          <w:ilvl w:val="2"/>
          <w:numId w:val="9"/>
        </w:numPr>
        <w:tabs>
          <w:tab w:val="left" w:pos="1887"/>
        </w:tabs>
        <w:spacing w:before="59"/>
        <w:ind w:left="1886"/>
      </w:pPr>
      <w:r>
        <w:rPr>
          <w:spacing w:val="-1"/>
        </w:rPr>
        <w:t>is</w:t>
      </w:r>
      <w:r>
        <w:rPr>
          <w:spacing w:val="1"/>
        </w:rPr>
        <w:t xml:space="preserve"> </w:t>
      </w:r>
      <w:r>
        <w:rPr>
          <w:spacing w:val="-1"/>
        </w:rPr>
        <w:t>otherwise</w:t>
      </w:r>
      <w:r>
        <w:rPr>
          <w:spacing w:val="1"/>
        </w:rPr>
        <w:t xml:space="preserve"> </w:t>
      </w:r>
      <w:r>
        <w:rPr>
          <w:spacing w:val="-1"/>
        </w:rPr>
        <w:t>reasonably</w:t>
      </w:r>
      <w:r>
        <w:rPr>
          <w:spacing w:val="-4"/>
        </w:rPr>
        <w:t xml:space="preserve"> </w:t>
      </w:r>
      <w:r>
        <w:rPr>
          <w:spacing w:val="-1"/>
        </w:rPr>
        <w:t>satisfactory</w:t>
      </w:r>
      <w:r>
        <w:rPr>
          <w:spacing w:val="-2"/>
        </w:rPr>
        <w:t xml:space="preserve"> </w:t>
      </w:r>
      <w:r>
        <w:t>to</w:t>
      </w:r>
      <w:r>
        <w:rPr>
          <w:spacing w:val="-4"/>
        </w:rPr>
        <w:t xml:space="preserve"> </w:t>
      </w:r>
      <w:r>
        <w:t xml:space="preserve">the </w:t>
      </w:r>
      <w:r>
        <w:rPr>
          <w:spacing w:val="-2"/>
        </w:rPr>
        <w:t>Customer.</w:t>
      </w:r>
    </w:p>
    <w:p w:rsidR="008918FA" w:rsidRDefault="008918FA" w:rsidP="008918FA">
      <w:pPr>
        <w:pStyle w:val="BodyText"/>
        <w:numPr>
          <w:ilvl w:val="1"/>
          <w:numId w:val="9"/>
        </w:numPr>
        <w:tabs>
          <w:tab w:val="left" w:pos="689"/>
        </w:tabs>
        <w:ind w:left="688" w:right="115"/>
      </w:pPr>
      <w:r>
        <w:t>The</w:t>
      </w:r>
      <w:r>
        <w:rPr>
          <w:spacing w:val="43"/>
        </w:rPr>
        <w:t xml:space="preserve"> </w:t>
      </w:r>
      <w:r>
        <w:rPr>
          <w:spacing w:val="-1"/>
        </w:rPr>
        <w:t>Parties</w:t>
      </w:r>
      <w:r>
        <w:rPr>
          <w:spacing w:val="44"/>
        </w:rPr>
        <w:t xml:space="preserve"> </w:t>
      </w:r>
      <w:r>
        <w:rPr>
          <w:spacing w:val="-1"/>
        </w:rPr>
        <w:t>shall</w:t>
      </w:r>
      <w:r>
        <w:rPr>
          <w:spacing w:val="43"/>
        </w:rPr>
        <w:t xml:space="preserve"> </w:t>
      </w:r>
      <w:r>
        <w:rPr>
          <w:spacing w:val="-1"/>
        </w:rPr>
        <w:t>use</w:t>
      </w:r>
      <w:r>
        <w:rPr>
          <w:spacing w:val="44"/>
        </w:rPr>
        <w:t xml:space="preserve"> </w:t>
      </w:r>
      <w:r>
        <w:rPr>
          <w:spacing w:val="-1"/>
        </w:rPr>
        <w:t>reasonable</w:t>
      </w:r>
      <w:r>
        <w:rPr>
          <w:spacing w:val="43"/>
        </w:rPr>
        <w:t xml:space="preserve"> </w:t>
      </w:r>
      <w:r>
        <w:rPr>
          <w:spacing w:val="-1"/>
        </w:rPr>
        <w:t>endeavours</w:t>
      </w:r>
      <w:r>
        <w:rPr>
          <w:spacing w:val="44"/>
        </w:rPr>
        <w:t xml:space="preserve"> </w:t>
      </w:r>
      <w:r>
        <w:t>to</w:t>
      </w:r>
      <w:r>
        <w:rPr>
          <w:spacing w:val="44"/>
        </w:rPr>
        <w:t xml:space="preserve"> </w:t>
      </w:r>
      <w:r>
        <w:t>agree</w:t>
      </w:r>
      <w:r>
        <w:rPr>
          <w:spacing w:val="41"/>
        </w:rPr>
        <w:t xml:space="preserve"> </w:t>
      </w:r>
      <w:r>
        <w:t>the</w:t>
      </w:r>
      <w:r>
        <w:rPr>
          <w:spacing w:val="43"/>
        </w:rPr>
        <w:t xml:space="preserve"> </w:t>
      </w:r>
      <w:r>
        <w:rPr>
          <w:spacing w:val="-1"/>
        </w:rPr>
        <w:t>contents</w:t>
      </w:r>
      <w:r>
        <w:rPr>
          <w:spacing w:val="44"/>
        </w:rPr>
        <w:t xml:space="preserve"> </w:t>
      </w:r>
      <w:r>
        <w:rPr>
          <w:spacing w:val="-2"/>
        </w:rPr>
        <w:t>of</w:t>
      </w:r>
      <w:r>
        <w:rPr>
          <w:spacing w:val="45"/>
        </w:rPr>
        <w:t xml:space="preserve"> </w:t>
      </w:r>
      <w:r>
        <w:t>the</w:t>
      </w:r>
      <w:r>
        <w:rPr>
          <w:spacing w:val="43"/>
        </w:rPr>
        <w:t xml:space="preserve"> </w:t>
      </w:r>
      <w:r>
        <w:rPr>
          <w:spacing w:val="-2"/>
        </w:rPr>
        <w:t>Exit</w:t>
      </w:r>
      <w:r>
        <w:rPr>
          <w:spacing w:val="29"/>
        </w:rPr>
        <w:t xml:space="preserve"> </w:t>
      </w:r>
      <w:r>
        <w:rPr>
          <w:spacing w:val="-1"/>
        </w:rPr>
        <w:t>Plan.</w:t>
      </w:r>
      <w:r>
        <w:rPr>
          <w:spacing w:val="16"/>
        </w:rPr>
        <w:t xml:space="preserve"> </w:t>
      </w:r>
      <w:r>
        <w:rPr>
          <w:spacing w:val="-1"/>
        </w:rPr>
        <w:t>If</w:t>
      </w:r>
      <w:r>
        <w:rPr>
          <w:spacing w:val="16"/>
        </w:rPr>
        <w:t xml:space="preserve"> </w:t>
      </w:r>
      <w:r>
        <w:t>the</w:t>
      </w:r>
      <w:r>
        <w:rPr>
          <w:spacing w:val="15"/>
        </w:rPr>
        <w:t xml:space="preserve"> </w:t>
      </w:r>
      <w:r>
        <w:rPr>
          <w:spacing w:val="-1"/>
        </w:rPr>
        <w:t>Parties</w:t>
      </w:r>
      <w:r>
        <w:rPr>
          <w:spacing w:val="15"/>
        </w:rPr>
        <w:t xml:space="preserve"> </w:t>
      </w:r>
      <w:r>
        <w:rPr>
          <w:spacing w:val="-1"/>
        </w:rPr>
        <w:t>are</w:t>
      </w:r>
      <w:r>
        <w:rPr>
          <w:spacing w:val="15"/>
        </w:rPr>
        <w:t xml:space="preserve"> </w:t>
      </w:r>
      <w:r>
        <w:rPr>
          <w:spacing w:val="-2"/>
        </w:rPr>
        <w:t>unable</w:t>
      </w:r>
      <w:r>
        <w:rPr>
          <w:spacing w:val="15"/>
        </w:rPr>
        <w:t xml:space="preserve"> </w:t>
      </w:r>
      <w:r>
        <w:t>to</w:t>
      </w:r>
      <w:r>
        <w:rPr>
          <w:spacing w:val="15"/>
        </w:rPr>
        <w:t xml:space="preserve"> </w:t>
      </w:r>
      <w:r>
        <w:rPr>
          <w:spacing w:val="-1"/>
        </w:rPr>
        <w:t>agree</w:t>
      </w:r>
      <w:r>
        <w:rPr>
          <w:spacing w:val="15"/>
        </w:rPr>
        <w:t xml:space="preserve"> </w:t>
      </w:r>
      <w:r>
        <w:t>the</w:t>
      </w:r>
      <w:r>
        <w:rPr>
          <w:spacing w:val="12"/>
        </w:rPr>
        <w:t xml:space="preserve"> </w:t>
      </w:r>
      <w:r>
        <w:rPr>
          <w:spacing w:val="-1"/>
        </w:rPr>
        <w:t>contents</w:t>
      </w:r>
      <w:r>
        <w:rPr>
          <w:spacing w:val="15"/>
        </w:rPr>
        <w:t xml:space="preserve"> </w:t>
      </w:r>
      <w:r>
        <w:rPr>
          <w:spacing w:val="-2"/>
        </w:rPr>
        <w:t>of</w:t>
      </w:r>
      <w:r>
        <w:rPr>
          <w:spacing w:val="16"/>
        </w:rPr>
        <w:t xml:space="preserve"> </w:t>
      </w:r>
      <w:r>
        <w:t>the</w:t>
      </w:r>
      <w:r>
        <w:rPr>
          <w:spacing w:val="15"/>
        </w:rPr>
        <w:t xml:space="preserve"> </w:t>
      </w:r>
      <w:r>
        <w:rPr>
          <w:spacing w:val="-2"/>
        </w:rPr>
        <w:t>Exit</w:t>
      </w:r>
      <w:r>
        <w:rPr>
          <w:spacing w:val="16"/>
        </w:rPr>
        <w:t xml:space="preserve"> </w:t>
      </w:r>
      <w:r>
        <w:rPr>
          <w:spacing w:val="-1"/>
        </w:rPr>
        <w:t>Plan</w:t>
      </w:r>
      <w:r>
        <w:rPr>
          <w:spacing w:val="17"/>
        </w:rPr>
        <w:t xml:space="preserve"> </w:t>
      </w:r>
      <w:r>
        <w:rPr>
          <w:spacing w:val="-1"/>
        </w:rPr>
        <w:t>within</w:t>
      </w:r>
      <w:r>
        <w:rPr>
          <w:spacing w:val="15"/>
        </w:rPr>
        <w:t xml:space="preserve"> </w:t>
      </w:r>
      <w:r>
        <w:rPr>
          <w:spacing w:val="-1"/>
        </w:rPr>
        <w:t>twenty</w:t>
      </w:r>
    </w:p>
    <w:p w:rsidR="008918FA" w:rsidRDefault="008918FA" w:rsidP="008918FA">
      <w:pPr>
        <w:pStyle w:val="BodyText"/>
        <w:spacing w:before="0"/>
        <w:ind w:left="688" w:right="118" w:firstLine="0"/>
      </w:pPr>
      <w:r>
        <w:rPr>
          <w:spacing w:val="-1"/>
        </w:rPr>
        <w:t>(20)</w:t>
      </w:r>
      <w:r>
        <w:rPr>
          <w:spacing w:val="59"/>
        </w:rPr>
        <w:t xml:space="preserve"> </w:t>
      </w:r>
      <w:r>
        <w:rPr>
          <w:spacing w:val="-1"/>
        </w:rPr>
        <w:t>Working</w:t>
      </w:r>
      <w:r>
        <w:t xml:space="preserve"> </w:t>
      </w:r>
      <w:r>
        <w:rPr>
          <w:spacing w:val="6"/>
        </w:rPr>
        <w:t xml:space="preserve"> </w:t>
      </w:r>
      <w:r>
        <w:rPr>
          <w:spacing w:val="-2"/>
        </w:rPr>
        <w:t>Days</w:t>
      </w:r>
      <w:r>
        <w:t xml:space="preserve"> </w:t>
      </w:r>
      <w:r>
        <w:rPr>
          <w:spacing w:val="4"/>
        </w:rPr>
        <w:t xml:space="preserve"> </w:t>
      </w:r>
      <w:r>
        <w:rPr>
          <w:spacing w:val="-2"/>
        </w:rPr>
        <w:t>of</w:t>
      </w:r>
      <w:r>
        <w:t xml:space="preserve"> </w:t>
      </w:r>
      <w:r>
        <w:rPr>
          <w:spacing w:val="8"/>
        </w:rPr>
        <w:t xml:space="preserve"> </w:t>
      </w:r>
      <w:r>
        <w:rPr>
          <w:spacing w:val="-1"/>
        </w:rPr>
        <w:t>its</w:t>
      </w:r>
      <w:r>
        <w:t xml:space="preserve"> </w:t>
      </w:r>
      <w:r>
        <w:rPr>
          <w:spacing w:val="4"/>
        </w:rPr>
        <w:t xml:space="preserve"> </w:t>
      </w:r>
      <w:r>
        <w:rPr>
          <w:spacing w:val="-1"/>
        </w:rPr>
        <w:t>submission,</w:t>
      </w:r>
      <w:r>
        <w:t xml:space="preserve"> </w:t>
      </w:r>
      <w:r>
        <w:rPr>
          <w:spacing w:val="3"/>
        </w:rPr>
        <w:t xml:space="preserve"> </w:t>
      </w:r>
      <w:r>
        <w:rPr>
          <w:spacing w:val="-1"/>
        </w:rPr>
        <w:t>then</w:t>
      </w:r>
      <w:r>
        <w:t xml:space="preserve"> </w:t>
      </w:r>
      <w:r>
        <w:rPr>
          <w:spacing w:val="4"/>
        </w:rPr>
        <w:t xml:space="preserve"> </w:t>
      </w:r>
      <w:r>
        <w:rPr>
          <w:spacing w:val="-2"/>
        </w:rPr>
        <w:t>such</w:t>
      </w:r>
      <w:r>
        <w:t xml:space="preserve"> </w:t>
      </w:r>
      <w:r>
        <w:rPr>
          <w:spacing w:val="4"/>
        </w:rPr>
        <w:t xml:space="preserve"> </w:t>
      </w:r>
      <w:r>
        <w:rPr>
          <w:spacing w:val="-1"/>
        </w:rPr>
        <w:t>Dispute</w:t>
      </w:r>
      <w:r>
        <w:t xml:space="preserve"> </w:t>
      </w:r>
      <w:r>
        <w:rPr>
          <w:spacing w:val="4"/>
        </w:rPr>
        <w:t xml:space="preserve"> </w:t>
      </w:r>
      <w:r>
        <w:rPr>
          <w:spacing w:val="-1"/>
        </w:rPr>
        <w:t>shall</w:t>
      </w:r>
      <w:r>
        <w:t xml:space="preserve"> </w:t>
      </w:r>
      <w:r>
        <w:rPr>
          <w:spacing w:val="3"/>
        </w:rPr>
        <w:t xml:space="preserve"> </w:t>
      </w:r>
      <w:r>
        <w:rPr>
          <w:spacing w:val="-1"/>
        </w:rPr>
        <w:t>be</w:t>
      </w:r>
      <w:r>
        <w:t xml:space="preserve"> </w:t>
      </w:r>
      <w:r>
        <w:rPr>
          <w:spacing w:val="4"/>
        </w:rPr>
        <w:t xml:space="preserve"> </w:t>
      </w:r>
      <w:r>
        <w:rPr>
          <w:spacing w:val="-2"/>
        </w:rPr>
        <w:t>resolved</w:t>
      </w:r>
      <w:r>
        <w:t xml:space="preserve"> </w:t>
      </w:r>
      <w:r>
        <w:rPr>
          <w:spacing w:val="4"/>
        </w:rPr>
        <w:t xml:space="preserve"> </w:t>
      </w:r>
      <w:r>
        <w:rPr>
          <w:spacing w:val="-1"/>
        </w:rPr>
        <w:t>in</w:t>
      </w:r>
      <w:r>
        <w:rPr>
          <w:spacing w:val="55"/>
        </w:rPr>
        <w:t xml:space="preserve"> </w:t>
      </w:r>
      <w:r>
        <w:rPr>
          <w:spacing w:val="-1"/>
        </w:rPr>
        <w:t>accordance</w:t>
      </w:r>
      <w:r>
        <w:rPr>
          <w:spacing w:val="-2"/>
        </w:rPr>
        <w:t xml:space="preserve"> with</w:t>
      </w:r>
      <w:r>
        <w:t xml:space="preserve"> the </w:t>
      </w:r>
      <w:r>
        <w:rPr>
          <w:spacing w:val="-2"/>
        </w:rPr>
        <w:t>Dispute</w:t>
      </w:r>
      <w:r>
        <w:t xml:space="preserve"> </w:t>
      </w:r>
      <w:r>
        <w:rPr>
          <w:spacing w:val="-1"/>
        </w:rPr>
        <w:t>Resolution</w:t>
      </w:r>
      <w:r>
        <w:t xml:space="preserve"> </w:t>
      </w:r>
      <w:r>
        <w:rPr>
          <w:spacing w:val="-2"/>
        </w:rPr>
        <w:t>Procedure.</w:t>
      </w:r>
    </w:p>
    <w:p w:rsidR="008918FA" w:rsidRDefault="008918FA" w:rsidP="008918FA">
      <w:pPr>
        <w:pStyle w:val="BodyText"/>
        <w:numPr>
          <w:ilvl w:val="1"/>
          <w:numId w:val="9"/>
        </w:numPr>
        <w:tabs>
          <w:tab w:val="left" w:pos="689"/>
        </w:tabs>
        <w:ind w:left="688" w:right="118"/>
      </w:pPr>
      <w:bookmarkStart w:id="454" w:name="_bookmark373"/>
      <w:bookmarkEnd w:id="454"/>
      <w:r>
        <w:rPr>
          <w:spacing w:val="-2"/>
        </w:rPr>
        <w:t>Unless</w:t>
      </w:r>
      <w:r>
        <w:rPr>
          <w:spacing w:val="30"/>
        </w:rPr>
        <w:t xml:space="preserve"> </w:t>
      </w:r>
      <w:r>
        <w:rPr>
          <w:spacing w:val="-1"/>
        </w:rPr>
        <w:t>otherwise</w:t>
      </w:r>
      <w:r>
        <w:rPr>
          <w:spacing w:val="30"/>
        </w:rPr>
        <w:t xml:space="preserve"> </w:t>
      </w:r>
      <w:r>
        <w:rPr>
          <w:spacing w:val="-1"/>
        </w:rPr>
        <w:t>specified</w:t>
      </w:r>
      <w:r>
        <w:rPr>
          <w:spacing w:val="29"/>
        </w:rPr>
        <w:t xml:space="preserve"> </w:t>
      </w:r>
      <w:r>
        <w:rPr>
          <w:spacing w:val="-1"/>
        </w:rPr>
        <w:t>by</w:t>
      </w:r>
      <w:r>
        <w:rPr>
          <w:spacing w:val="27"/>
        </w:rPr>
        <w:t xml:space="preserve"> </w:t>
      </w:r>
      <w:r>
        <w:t>the</w:t>
      </w:r>
      <w:r>
        <w:rPr>
          <w:spacing w:val="29"/>
        </w:rPr>
        <w:t xml:space="preserve"> </w:t>
      </w:r>
      <w:r>
        <w:rPr>
          <w:spacing w:val="-1"/>
        </w:rPr>
        <w:t>Customer</w:t>
      </w:r>
      <w:r>
        <w:rPr>
          <w:spacing w:val="30"/>
        </w:rPr>
        <w:t xml:space="preserve"> </w:t>
      </w:r>
      <w:r>
        <w:rPr>
          <w:spacing w:val="-1"/>
        </w:rPr>
        <w:t>or</w:t>
      </w:r>
      <w:r>
        <w:rPr>
          <w:spacing w:val="26"/>
        </w:rPr>
        <w:t xml:space="preserve"> </w:t>
      </w:r>
      <w:r>
        <w:rPr>
          <w:spacing w:val="-1"/>
        </w:rPr>
        <w:t>Approved,</w:t>
      </w:r>
      <w:r>
        <w:rPr>
          <w:spacing w:val="30"/>
        </w:rPr>
        <w:t xml:space="preserve"> </w:t>
      </w:r>
      <w:r>
        <w:t>the</w:t>
      </w:r>
      <w:r>
        <w:rPr>
          <w:spacing w:val="29"/>
        </w:rPr>
        <w:t xml:space="preserve"> </w:t>
      </w:r>
      <w:r>
        <w:rPr>
          <w:spacing w:val="-2"/>
        </w:rPr>
        <w:t>Exit</w:t>
      </w:r>
      <w:r>
        <w:rPr>
          <w:spacing w:val="30"/>
        </w:rPr>
        <w:t xml:space="preserve"> </w:t>
      </w:r>
      <w:r>
        <w:rPr>
          <w:spacing w:val="-1"/>
        </w:rPr>
        <w:t>Plan</w:t>
      </w:r>
      <w:r>
        <w:rPr>
          <w:spacing w:val="29"/>
        </w:rPr>
        <w:t xml:space="preserve"> </w:t>
      </w:r>
      <w:r>
        <w:rPr>
          <w:spacing w:val="-1"/>
        </w:rPr>
        <w:t>shall</w:t>
      </w:r>
      <w:r>
        <w:rPr>
          <w:spacing w:val="28"/>
        </w:rPr>
        <w:t xml:space="preserve"> </w:t>
      </w:r>
      <w:r>
        <w:rPr>
          <w:spacing w:val="-1"/>
        </w:rPr>
        <w:t>set</w:t>
      </w:r>
      <w:r>
        <w:rPr>
          <w:spacing w:val="33"/>
        </w:rPr>
        <w:t xml:space="preserve"> </w:t>
      </w:r>
      <w:r>
        <w:rPr>
          <w:spacing w:val="-1"/>
        </w:rPr>
        <w:t>out,</w:t>
      </w:r>
      <w:r>
        <w:t xml:space="preserve"> </w:t>
      </w:r>
      <w:r>
        <w:rPr>
          <w:spacing w:val="-1"/>
        </w:rPr>
        <w:t>as</w:t>
      </w:r>
      <w:r>
        <w:rPr>
          <w:spacing w:val="1"/>
        </w:rPr>
        <w:t xml:space="preserve"> </w:t>
      </w:r>
      <w:r>
        <w:t>a</w:t>
      </w:r>
      <w:r>
        <w:rPr>
          <w:spacing w:val="-4"/>
        </w:rPr>
        <w:t xml:space="preserve"> </w:t>
      </w:r>
      <w:r>
        <w:rPr>
          <w:spacing w:val="-1"/>
        </w:rPr>
        <w:t>minimum:</w:t>
      </w:r>
    </w:p>
    <w:p w:rsidR="008918FA" w:rsidRDefault="008918FA" w:rsidP="008918FA">
      <w:pPr>
        <w:pStyle w:val="BodyText"/>
        <w:numPr>
          <w:ilvl w:val="2"/>
          <w:numId w:val="9"/>
        </w:numPr>
        <w:tabs>
          <w:tab w:val="left" w:pos="1887"/>
        </w:tabs>
        <w:spacing w:before="121"/>
        <w:ind w:left="1886"/>
      </w:pPr>
      <w:r>
        <w:rPr>
          <w:spacing w:val="-1"/>
        </w:rPr>
        <w:t>how</w:t>
      </w:r>
      <w:r>
        <w:rPr>
          <w:spacing w:val="-3"/>
        </w:rPr>
        <w:t xml:space="preserve"> </w:t>
      </w:r>
      <w:r>
        <w:t xml:space="preserve">the </w:t>
      </w:r>
      <w:r>
        <w:rPr>
          <w:spacing w:val="-2"/>
        </w:rPr>
        <w:t>Exit</w:t>
      </w:r>
      <w:r>
        <w:rPr>
          <w:spacing w:val="2"/>
        </w:rPr>
        <w:t xml:space="preserve"> </w:t>
      </w:r>
      <w:r>
        <w:rPr>
          <w:spacing w:val="-1"/>
        </w:rPr>
        <w:t>Information</w:t>
      </w:r>
      <w:r>
        <w:rPr>
          <w:spacing w:val="-2"/>
        </w:rPr>
        <w:t xml:space="preserve"> </w:t>
      </w:r>
      <w:r>
        <w:rPr>
          <w:spacing w:val="-1"/>
        </w:rPr>
        <w:t>is</w:t>
      </w:r>
      <w:r>
        <w:rPr>
          <w:spacing w:val="1"/>
        </w:rPr>
        <w:t xml:space="preserve"> </w:t>
      </w:r>
      <w:r>
        <w:rPr>
          <w:spacing w:val="-1"/>
        </w:rPr>
        <w:t>obtained;</w:t>
      </w:r>
    </w:p>
    <w:p w:rsidR="008918FA" w:rsidRDefault="008918FA" w:rsidP="008918FA">
      <w:pPr>
        <w:pStyle w:val="BodyText"/>
        <w:numPr>
          <w:ilvl w:val="2"/>
          <w:numId w:val="9"/>
        </w:numPr>
        <w:tabs>
          <w:tab w:val="left" w:pos="1887"/>
        </w:tabs>
        <w:ind w:left="1886" w:right="116"/>
        <w:jc w:val="both"/>
      </w:pPr>
      <w:r>
        <w:t>the</w:t>
      </w:r>
      <w:r>
        <w:rPr>
          <w:spacing w:val="41"/>
        </w:rPr>
        <w:t xml:space="preserve"> </w:t>
      </w:r>
      <w:r>
        <w:rPr>
          <w:spacing w:val="-1"/>
        </w:rPr>
        <w:t>management</w:t>
      </w:r>
      <w:r>
        <w:rPr>
          <w:spacing w:val="45"/>
        </w:rPr>
        <w:t xml:space="preserve"> </w:t>
      </w:r>
      <w:r>
        <w:rPr>
          <w:spacing w:val="-1"/>
        </w:rPr>
        <w:t>structure</w:t>
      </w:r>
      <w:r>
        <w:rPr>
          <w:spacing w:val="43"/>
        </w:rPr>
        <w:t xml:space="preserve"> </w:t>
      </w:r>
      <w:r>
        <w:t>to</w:t>
      </w:r>
      <w:r>
        <w:rPr>
          <w:spacing w:val="41"/>
        </w:rPr>
        <w:t xml:space="preserve"> </w:t>
      </w:r>
      <w:r>
        <w:rPr>
          <w:spacing w:val="-1"/>
        </w:rPr>
        <w:t>be</w:t>
      </w:r>
      <w:r>
        <w:rPr>
          <w:spacing w:val="43"/>
        </w:rPr>
        <w:t xml:space="preserve"> </w:t>
      </w:r>
      <w:r>
        <w:rPr>
          <w:spacing w:val="-2"/>
        </w:rPr>
        <w:t>employed</w:t>
      </w:r>
      <w:r>
        <w:rPr>
          <w:spacing w:val="43"/>
        </w:rPr>
        <w:t xml:space="preserve"> </w:t>
      </w:r>
      <w:r>
        <w:rPr>
          <w:spacing w:val="-2"/>
        </w:rPr>
        <w:t>during</w:t>
      </w:r>
      <w:r>
        <w:rPr>
          <w:spacing w:val="47"/>
        </w:rPr>
        <w:t xml:space="preserve"> </w:t>
      </w:r>
      <w:r>
        <w:rPr>
          <w:spacing w:val="-1"/>
        </w:rPr>
        <w:t>both</w:t>
      </w:r>
      <w:r>
        <w:rPr>
          <w:spacing w:val="43"/>
        </w:rPr>
        <w:t xml:space="preserve"> </w:t>
      </w:r>
      <w:r>
        <w:rPr>
          <w:spacing w:val="-1"/>
        </w:rPr>
        <w:t>transfer</w:t>
      </w:r>
      <w:r>
        <w:rPr>
          <w:spacing w:val="42"/>
        </w:rPr>
        <w:t xml:space="preserve"> </w:t>
      </w:r>
      <w:r>
        <w:rPr>
          <w:spacing w:val="-1"/>
        </w:rPr>
        <w:t>and</w:t>
      </w:r>
      <w:r>
        <w:rPr>
          <w:spacing w:val="34"/>
        </w:rPr>
        <w:t xml:space="preserve"> </w:t>
      </w:r>
      <w:r>
        <w:rPr>
          <w:spacing w:val="-1"/>
        </w:rPr>
        <w:t>cessation</w:t>
      </w:r>
      <w:r>
        <w:t xml:space="preserve"> </w:t>
      </w:r>
      <w:r>
        <w:rPr>
          <w:spacing w:val="-2"/>
        </w:rPr>
        <w:t>of</w:t>
      </w:r>
      <w:r>
        <w:t xml:space="preserve"> the</w:t>
      </w:r>
      <w:r>
        <w:rPr>
          <w:spacing w:val="-2"/>
        </w:rPr>
        <w:t xml:space="preserve"> </w:t>
      </w:r>
      <w:r>
        <w:rPr>
          <w:spacing w:val="-1"/>
        </w:rPr>
        <w:t>Goods</w:t>
      </w:r>
      <w:r>
        <w:rPr>
          <w:spacing w:val="-2"/>
        </w:rPr>
        <w:t xml:space="preserve"> </w:t>
      </w:r>
      <w:r>
        <w:rPr>
          <w:spacing w:val="-1"/>
        </w:rPr>
        <w:t>and/or Services;</w:t>
      </w:r>
    </w:p>
    <w:p w:rsidR="008918FA" w:rsidRDefault="008918FA" w:rsidP="008918FA">
      <w:pPr>
        <w:pStyle w:val="BodyText"/>
        <w:numPr>
          <w:ilvl w:val="2"/>
          <w:numId w:val="9"/>
        </w:numPr>
        <w:tabs>
          <w:tab w:val="left" w:pos="1887"/>
        </w:tabs>
        <w:ind w:left="1886" w:right="114"/>
        <w:jc w:val="both"/>
      </w:pPr>
      <w:r>
        <w:t>the</w:t>
      </w:r>
      <w:r>
        <w:rPr>
          <w:spacing w:val="4"/>
        </w:rPr>
        <w:t xml:space="preserve"> </w:t>
      </w:r>
      <w:r>
        <w:rPr>
          <w:spacing w:val="-1"/>
        </w:rPr>
        <w:t>management</w:t>
      </w:r>
      <w:r>
        <w:rPr>
          <w:spacing w:val="5"/>
        </w:rPr>
        <w:t xml:space="preserve"> </w:t>
      </w:r>
      <w:r>
        <w:rPr>
          <w:spacing w:val="-1"/>
        </w:rPr>
        <w:t>structure</w:t>
      </w:r>
      <w:r>
        <w:rPr>
          <w:spacing w:val="4"/>
        </w:rPr>
        <w:t xml:space="preserve"> </w:t>
      </w:r>
      <w:r>
        <w:t>to</w:t>
      </w:r>
      <w:r>
        <w:rPr>
          <w:spacing w:val="4"/>
        </w:rPr>
        <w:t xml:space="preserve"> </w:t>
      </w:r>
      <w:r>
        <w:rPr>
          <w:spacing w:val="-1"/>
        </w:rPr>
        <w:t>be</w:t>
      </w:r>
      <w:r>
        <w:rPr>
          <w:spacing w:val="4"/>
        </w:rPr>
        <w:t xml:space="preserve"> </w:t>
      </w:r>
      <w:r>
        <w:rPr>
          <w:spacing w:val="-2"/>
        </w:rPr>
        <w:t>employed</w:t>
      </w:r>
      <w:r>
        <w:rPr>
          <w:spacing w:val="4"/>
        </w:rPr>
        <w:t xml:space="preserve"> </w:t>
      </w:r>
      <w:r>
        <w:rPr>
          <w:spacing w:val="-1"/>
        </w:rPr>
        <w:t>during</w:t>
      </w:r>
      <w:r>
        <w:rPr>
          <w:spacing w:val="4"/>
        </w:rPr>
        <w:t xml:space="preserve"> </w:t>
      </w:r>
      <w:r>
        <w:t>the</w:t>
      </w:r>
      <w:r>
        <w:rPr>
          <w:spacing w:val="2"/>
        </w:rPr>
        <w:t xml:space="preserve"> </w:t>
      </w:r>
      <w:r>
        <w:rPr>
          <w:spacing w:val="-1"/>
        </w:rPr>
        <w:t>Termination</w:t>
      </w:r>
      <w:r>
        <w:rPr>
          <w:spacing w:val="26"/>
        </w:rPr>
        <w:t xml:space="preserve"> </w:t>
      </w:r>
      <w:r>
        <w:rPr>
          <w:spacing w:val="-1"/>
        </w:rPr>
        <w:t>Assistance</w:t>
      </w:r>
      <w:r>
        <w:rPr>
          <w:spacing w:val="1"/>
        </w:rPr>
        <w:t xml:space="preserve"> </w:t>
      </w:r>
      <w:r>
        <w:rPr>
          <w:spacing w:val="-2"/>
        </w:rPr>
        <w:t>Period;</w:t>
      </w:r>
    </w:p>
    <w:p w:rsidR="008918FA" w:rsidRDefault="008918FA" w:rsidP="008918FA">
      <w:pPr>
        <w:pStyle w:val="BodyText"/>
        <w:numPr>
          <w:ilvl w:val="2"/>
          <w:numId w:val="9"/>
        </w:numPr>
        <w:tabs>
          <w:tab w:val="left" w:pos="1887"/>
        </w:tabs>
        <w:spacing w:before="121"/>
        <w:ind w:left="1886" w:right="115"/>
        <w:jc w:val="both"/>
      </w:pPr>
      <w:r>
        <w:t>a</w:t>
      </w:r>
      <w:r>
        <w:rPr>
          <w:spacing w:val="43"/>
        </w:rPr>
        <w:t xml:space="preserve"> </w:t>
      </w:r>
      <w:r>
        <w:rPr>
          <w:spacing w:val="-1"/>
        </w:rPr>
        <w:t>detailed</w:t>
      </w:r>
      <w:r>
        <w:rPr>
          <w:spacing w:val="43"/>
        </w:rPr>
        <w:t xml:space="preserve"> </w:t>
      </w:r>
      <w:r>
        <w:rPr>
          <w:spacing w:val="-1"/>
        </w:rPr>
        <w:t>description</w:t>
      </w:r>
      <w:r>
        <w:rPr>
          <w:spacing w:val="43"/>
        </w:rPr>
        <w:t xml:space="preserve"> </w:t>
      </w:r>
      <w:r>
        <w:rPr>
          <w:spacing w:val="-2"/>
        </w:rPr>
        <w:t>of</w:t>
      </w:r>
      <w:r>
        <w:rPr>
          <w:spacing w:val="45"/>
        </w:rPr>
        <w:t xml:space="preserve"> </w:t>
      </w:r>
      <w:r>
        <w:rPr>
          <w:spacing w:val="-1"/>
        </w:rPr>
        <w:t>both</w:t>
      </w:r>
      <w:r>
        <w:rPr>
          <w:spacing w:val="41"/>
        </w:rPr>
        <w:t xml:space="preserve"> </w:t>
      </w:r>
      <w:r>
        <w:t>the</w:t>
      </w:r>
      <w:r>
        <w:rPr>
          <w:spacing w:val="41"/>
        </w:rPr>
        <w:t xml:space="preserve"> </w:t>
      </w:r>
      <w:r>
        <w:rPr>
          <w:spacing w:val="-1"/>
        </w:rPr>
        <w:t>transfer</w:t>
      </w:r>
      <w:r>
        <w:rPr>
          <w:spacing w:val="43"/>
        </w:rPr>
        <w:t xml:space="preserve"> </w:t>
      </w:r>
      <w:r>
        <w:rPr>
          <w:spacing w:val="-1"/>
        </w:rPr>
        <w:t>and</w:t>
      </w:r>
      <w:r>
        <w:rPr>
          <w:spacing w:val="41"/>
        </w:rPr>
        <w:t xml:space="preserve"> </w:t>
      </w:r>
      <w:r>
        <w:rPr>
          <w:spacing w:val="-1"/>
        </w:rPr>
        <w:t>cessation</w:t>
      </w:r>
      <w:r>
        <w:rPr>
          <w:spacing w:val="43"/>
        </w:rPr>
        <w:t xml:space="preserve"> </w:t>
      </w:r>
      <w:r>
        <w:rPr>
          <w:spacing w:val="-1"/>
        </w:rPr>
        <w:t>processes,</w:t>
      </w:r>
      <w:r>
        <w:rPr>
          <w:spacing w:val="31"/>
        </w:rPr>
        <w:t xml:space="preserve"> </w:t>
      </w:r>
      <w:r>
        <w:rPr>
          <w:spacing w:val="-2"/>
        </w:rPr>
        <w:t>including</w:t>
      </w:r>
      <w:r>
        <w:rPr>
          <w:spacing w:val="3"/>
        </w:rPr>
        <w:t xml:space="preserve"> </w:t>
      </w:r>
      <w:r>
        <w:t>a</w:t>
      </w:r>
      <w:r>
        <w:rPr>
          <w:spacing w:val="-2"/>
        </w:rPr>
        <w:t xml:space="preserve"> </w:t>
      </w:r>
      <w:r>
        <w:rPr>
          <w:spacing w:val="-1"/>
        </w:rPr>
        <w:t>timetable;</w:t>
      </w:r>
    </w:p>
    <w:p w:rsidR="008918FA" w:rsidRDefault="008918FA" w:rsidP="008918FA">
      <w:pPr>
        <w:pStyle w:val="BodyText"/>
        <w:numPr>
          <w:ilvl w:val="2"/>
          <w:numId w:val="9"/>
        </w:numPr>
        <w:tabs>
          <w:tab w:val="left" w:pos="1887"/>
        </w:tabs>
        <w:spacing w:before="121"/>
        <w:ind w:left="1886" w:right="114"/>
        <w:jc w:val="both"/>
      </w:pPr>
      <w:r>
        <w:rPr>
          <w:spacing w:val="-1"/>
        </w:rPr>
        <w:t>how</w:t>
      </w:r>
      <w:r>
        <w:rPr>
          <w:spacing w:val="15"/>
        </w:rPr>
        <w:t xml:space="preserve"> </w:t>
      </w:r>
      <w:r>
        <w:t>the</w:t>
      </w:r>
      <w:r>
        <w:rPr>
          <w:spacing w:val="16"/>
        </w:rPr>
        <w:t xml:space="preserve"> </w:t>
      </w:r>
      <w:r>
        <w:rPr>
          <w:spacing w:val="-1"/>
        </w:rPr>
        <w:t>Goods</w:t>
      </w:r>
      <w:r>
        <w:rPr>
          <w:spacing w:val="16"/>
        </w:rPr>
        <w:t xml:space="preserve"> </w:t>
      </w:r>
      <w:r>
        <w:rPr>
          <w:spacing w:val="-1"/>
        </w:rPr>
        <w:t>and/or</w:t>
      </w:r>
      <w:r>
        <w:rPr>
          <w:spacing w:val="15"/>
        </w:rPr>
        <w:t xml:space="preserve"> </w:t>
      </w:r>
      <w:r>
        <w:rPr>
          <w:spacing w:val="-1"/>
        </w:rPr>
        <w:t>Services</w:t>
      </w:r>
      <w:r>
        <w:rPr>
          <w:spacing w:val="20"/>
        </w:rPr>
        <w:t xml:space="preserve"> </w:t>
      </w:r>
      <w:r>
        <w:rPr>
          <w:spacing w:val="-1"/>
        </w:rPr>
        <w:t>will</w:t>
      </w:r>
      <w:r>
        <w:rPr>
          <w:spacing w:val="15"/>
        </w:rPr>
        <w:t xml:space="preserve"> </w:t>
      </w:r>
      <w:r>
        <w:rPr>
          <w:spacing w:val="-1"/>
        </w:rPr>
        <w:t>transfer</w:t>
      </w:r>
      <w:r>
        <w:rPr>
          <w:spacing w:val="15"/>
        </w:rPr>
        <w:t xml:space="preserve"> </w:t>
      </w:r>
      <w:r>
        <w:t>to</w:t>
      </w:r>
      <w:r>
        <w:rPr>
          <w:spacing w:val="16"/>
        </w:rPr>
        <w:t xml:space="preserve"> </w:t>
      </w:r>
      <w:r>
        <w:t>the</w:t>
      </w:r>
      <w:r>
        <w:rPr>
          <w:spacing w:val="16"/>
        </w:rPr>
        <w:t xml:space="preserve"> </w:t>
      </w:r>
      <w:r>
        <w:rPr>
          <w:spacing w:val="-1"/>
        </w:rPr>
        <w:t>Replacement</w:t>
      </w:r>
      <w:r>
        <w:rPr>
          <w:spacing w:val="30"/>
        </w:rPr>
        <w:t xml:space="preserve"> </w:t>
      </w:r>
      <w:r>
        <w:rPr>
          <w:spacing w:val="-2"/>
        </w:rPr>
        <w:t>Supplier</w:t>
      </w:r>
      <w:r>
        <w:rPr>
          <w:spacing w:val="17"/>
        </w:rPr>
        <w:t xml:space="preserve"> </w:t>
      </w:r>
      <w:r>
        <w:rPr>
          <w:spacing w:val="-1"/>
        </w:rPr>
        <w:t>and/or</w:t>
      </w:r>
      <w:r>
        <w:rPr>
          <w:spacing w:val="17"/>
        </w:rPr>
        <w:t xml:space="preserve"> </w:t>
      </w:r>
      <w:r>
        <w:t>the</w:t>
      </w:r>
      <w:r>
        <w:rPr>
          <w:spacing w:val="16"/>
        </w:rPr>
        <w:t xml:space="preserve"> </w:t>
      </w:r>
      <w:r>
        <w:rPr>
          <w:spacing w:val="-1"/>
        </w:rPr>
        <w:t>Customer,</w:t>
      </w:r>
      <w:r>
        <w:rPr>
          <w:spacing w:val="17"/>
        </w:rPr>
        <w:t xml:space="preserve"> </w:t>
      </w:r>
      <w:r>
        <w:rPr>
          <w:spacing w:val="-2"/>
        </w:rPr>
        <w:t>including</w:t>
      </w:r>
      <w:r>
        <w:rPr>
          <w:spacing w:val="18"/>
        </w:rPr>
        <w:t xml:space="preserve"> </w:t>
      </w:r>
      <w:r>
        <w:rPr>
          <w:spacing w:val="-2"/>
        </w:rPr>
        <w:t>details</w:t>
      </w:r>
      <w:r>
        <w:rPr>
          <w:spacing w:val="16"/>
        </w:rPr>
        <w:t xml:space="preserve"> </w:t>
      </w:r>
      <w:r>
        <w:rPr>
          <w:spacing w:val="-2"/>
        </w:rPr>
        <w:t>of</w:t>
      </w:r>
      <w:r>
        <w:rPr>
          <w:spacing w:val="20"/>
        </w:rPr>
        <w:t xml:space="preserve"> </w:t>
      </w:r>
      <w:r>
        <w:t>the</w:t>
      </w:r>
      <w:r>
        <w:rPr>
          <w:spacing w:val="16"/>
        </w:rPr>
        <w:t xml:space="preserve"> </w:t>
      </w:r>
      <w:r>
        <w:rPr>
          <w:spacing w:val="-1"/>
        </w:rPr>
        <w:t>processes,</w:t>
      </w:r>
      <w:r>
        <w:rPr>
          <w:spacing w:val="51"/>
        </w:rPr>
        <w:t xml:space="preserve"> </w:t>
      </w:r>
      <w:r>
        <w:rPr>
          <w:spacing w:val="-1"/>
        </w:rPr>
        <w:t>documentation,</w:t>
      </w:r>
      <w:r>
        <w:rPr>
          <w:spacing w:val="17"/>
        </w:rPr>
        <w:t xml:space="preserve"> </w:t>
      </w:r>
      <w:r>
        <w:rPr>
          <w:spacing w:val="-1"/>
        </w:rPr>
        <w:t>data</w:t>
      </w:r>
      <w:r>
        <w:rPr>
          <w:spacing w:val="13"/>
        </w:rPr>
        <w:t xml:space="preserve"> </w:t>
      </w:r>
      <w:r>
        <w:rPr>
          <w:spacing w:val="-1"/>
        </w:rPr>
        <w:t>transfer,</w:t>
      </w:r>
      <w:r>
        <w:rPr>
          <w:spacing w:val="17"/>
        </w:rPr>
        <w:t xml:space="preserve"> </w:t>
      </w:r>
      <w:r>
        <w:rPr>
          <w:spacing w:val="-1"/>
        </w:rPr>
        <w:t>systems</w:t>
      </w:r>
      <w:r>
        <w:rPr>
          <w:spacing w:val="14"/>
        </w:rPr>
        <w:t xml:space="preserve"> </w:t>
      </w:r>
      <w:r>
        <w:rPr>
          <w:spacing w:val="-1"/>
        </w:rPr>
        <w:t>migration,</w:t>
      </w:r>
      <w:r>
        <w:rPr>
          <w:spacing w:val="17"/>
        </w:rPr>
        <w:t xml:space="preserve"> </w:t>
      </w:r>
      <w:r>
        <w:rPr>
          <w:spacing w:val="-1"/>
        </w:rPr>
        <w:t>security</w:t>
      </w:r>
      <w:r>
        <w:rPr>
          <w:spacing w:val="14"/>
        </w:rPr>
        <w:t xml:space="preserve"> </w:t>
      </w:r>
      <w:r>
        <w:rPr>
          <w:spacing w:val="-1"/>
        </w:rPr>
        <w:t>and</w:t>
      </w:r>
      <w:r>
        <w:rPr>
          <w:spacing w:val="16"/>
        </w:rPr>
        <w:t xml:space="preserve"> </w:t>
      </w:r>
      <w:r>
        <w:rPr>
          <w:spacing w:val="-1"/>
        </w:rPr>
        <w:t>the</w:t>
      </w:r>
      <w:r>
        <w:rPr>
          <w:spacing w:val="44"/>
        </w:rPr>
        <w:t xml:space="preserve"> </w:t>
      </w:r>
      <w:r>
        <w:rPr>
          <w:spacing w:val="-1"/>
        </w:rPr>
        <w:t>segregation</w:t>
      </w:r>
      <w:r>
        <w:rPr>
          <w:spacing w:val="37"/>
        </w:rPr>
        <w:t xml:space="preserve"> </w:t>
      </w:r>
      <w:r>
        <w:rPr>
          <w:spacing w:val="-2"/>
        </w:rPr>
        <w:t>of</w:t>
      </w:r>
      <w:r>
        <w:rPr>
          <w:spacing w:val="36"/>
        </w:rPr>
        <w:t xml:space="preserve"> </w:t>
      </w:r>
      <w:r>
        <w:t>the</w:t>
      </w:r>
      <w:r>
        <w:rPr>
          <w:spacing w:val="37"/>
        </w:rPr>
        <w:t xml:space="preserve"> </w:t>
      </w:r>
      <w:r>
        <w:rPr>
          <w:spacing w:val="-1"/>
        </w:rPr>
        <w:t>Customer's</w:t>
      </w:r>
      <w:r>
        <w:rPr>
          <w:spacing w:val="35"/>
        </w:rPr>
        <w:t xml:space="preserve"> </w:t>
      </w:r>
      <w:r>
        <w:rPr>
          <w:spacing w:val="-1"/>
        </w:rPr>
        <w:t>technology</w:t>
      </w:r>
      <w:r>
        <w:rPr>
          <w:spacing w:val="35"/>
        </w:rPr>
        <w:t xml:space="preserve"> </w:t>
      </w:r>
      <w:r>
        <w:rPr>
          <w:spacing w:val="-1"/>
        </w:rPr>
        <w:t>components</w:t>
      </w:r>
      <w:r>
        <w:rPr>
          <w:spacing w:val="33"/>
        </w:rPr>
        <w:t xml:space="preserve"> </w:t>
      </w:r>
      <w:r>
        <w:t>from</w:t>
      </w:r>
      <w:r>
        <w:rPr>
          <w:spacing w:val="37"/>
        </w:rPr>
        <w:t xml:space="preserve"> </w:t>
      </w:r>
      <w:r>
        <w:rPr>
          <w:spacing w:val="-1"/>
        </w:rPr>
        <w:t>any</w:t>
      </w:r>
      <w:r>
        <w:rPr>
          <w:spacing w:val="26"/>
        </w:rPr>
        <w:t xml:space="preserve"> </w:t>
      </w:r>
      <w:r>
        <w:rPr>
          <w:spacing w:val="-1"/>
        </w:rPr>
        <w:t>technology</w:t>
      </w:r>
      <w:r>
        <w:rPr>
          <w:spacing w:val="10"/>
        </w:rPr>
        <w:t xml:space="preserve"> </w:t>
      </w:r>
      <w:r>
        <w:rPr>
          <w:spacing w:val="-2"/>
        </w:rPr>
        <w:t>components</w:t>
      </w:r>
      <w:r>
        <w:rPr>
          <w:spacing w:val="13"/>
        </w:rPr>
        <w:t xml:space="preserve"> </w:t>
      </w:r>
      <w:r>
        <w:rPr>
          <w:spacing w:val="-1"/>
        </w:rPr>
        <w:t>operated</w:t>
      </w:r>
      <w:r>
        <w:rPr>
          <w:spacing w:val="12"/>
        </w:rPr>
        <w:t xml:space="preserve"> </w:t>
      </w:r>
      <w:r>
        <w:rPr>
          <w:spacing w:val="-1"/>
        </w:rPr>
        <w:t>by</w:t>
      </w:r>
      <w:r>
        <w:rPr>
          <w:spacing w:val="10"/>
        </w:rPr>
        <w:t xml:space="preserve"> </w:t>
      </w:r>
      <w:r>
        <w:t>the</w:t>
      </w:r>
      <w:r>
        <w:rPr>
          <w:spacing w:val="10"/>
        </w:rPr>
        <w:t xml:space="preserve"> </w:t>
      </w:r>
      <w:r>
        <w:rPr>
          <w:spacing w:val="-2"/>
        </w:rPr>
        <w:t>Supplier</w:t>
      </w:r>
      <w:r>
        <w:rPr>
          <w:spacing w:val="14"/>
        </w:rPr>
        <w:t xml:space="preserve"> </w:t>
      </w:r>
      <w:r>
        <w:rPr>
          <w:spacing w:val="-1"/>
        </w:rPr>
        <w:t>or</w:t>
      </w:r>
      <w:r>
        <w:rPr>
          <w:spacing w:val="14"/>
        </w:rPr>
        <w:t xml:space="preserve"> </w:t>
      </w:r>
      <w:r>
        <w:rPr>
          <w:spacing w:val="-1"/>
        </w:rPr>
        <w:t>its</w:t>
      </w:r>
      <w:r>
        <w:rPr>
          <w:spacing w:val="10"/>
        </w:rPr>
        <w:t xml:space="preserve"> </w:t>
      </w:r>
      <w:r>
        <w:rPr>
          <w:spacing w:val="-1"/>
        </w:rPr>
        <w:t>Sub-</w:t>
      </w:r>
      <w:r>
        <w:rPr>
          <w:spacing w:val="53"/>
        </w:rPr>
        <w:t xml:space="preserve"> </w:t>
      </w:r>
      <w:r>
        <w:rPr>
          <w:spacing w:val="-1"/>
        </w:rPr>
        <w:t>Contractors</w:t>
      </w:r>
      <w:r>
        <w:rPr>
          <w:spacing w:val="-2"/>
        </w:rPr>
        <w:t xml:space="preserve"> </w:t>
      </w:r>
      <w:r>
        <w:rPr>
          <w:spacing w:val="-1"/>
        </w:rPr>
        <w:t>(where</w:t>
      </w:r>
      <w:r>
        <w:t xml:space="preserve"> </w:t>
      </w:r>
      <w:r>
        <w:rPr>
          <w:spacing w:val="-1"/>
        </w:rPr>
        <w:t>applicable);</w:t>
      </w:r>
    </w:p>
    <w:p w:rsidR="008918FA" w:rsidRDefault="008918FA" w:rsidP="008918FA">
      <w:pPr>
        <w:pStyle w:val="BodyText"/>
        <w:numPr>
          <w:ilvl w:val="2"/>
          <w:numId w:val="9"/>
        </w:numPr>
        <w:tabs>
          <w:tab w:val="left" w:pos="1887"/>
        </w:tabs>
        <w:ind w:left="1886" w:right="113"/>
        <w:jc w:val="both"/>
      </w:pPr>
      <w:r>
        <w:rPr>
          <w:spacing w:val="-1"/>
        </w:rPr>
        <w:t>details</w:t>
      </w:r>
      <w:r>
        <w:rPr>
          <w:spacing w:val="32"/>
        </w:rPr>
        <w:t xml:space="preserve"> </w:t>
      </w:r>
      <w:r>
        <w:rPr>
          <w:spacing w:val="-1"/>
        </w:rPr>
        <w:t>of</w:t>
      </w:r>
      <w:r>
        <w:rPr>
          <w:spacing w:val="35"/>
        </w:rPr>
        <w:t xml:space="preserve"> </w:t>
      </w:r>
      <w:r>
        <w:rPr>
          <w:spacing w:val="-1"/>
        </w:rPr>
        <w:t>contracts</w:t>
      </w:r>
      <w:r>
        <w:rPr>
          <w:spacing w:val="30"/>
        </w:rPr>
        <w:t xml:space="preserve"> </w:t>
      </w:r>
      <w:r>
        <w:rPr>
          <w:spacing w:val="-2"/>
        </w:rPr>
        <w:t>(if</w:t>
      </w:r>
      <w:r>
        <w:rPr>
          <w:spacing w:val="35"/>
        </w:rPr>
        <w:t xml:space="preserve"> </w:t>
      </w:r>
      <w:r>
        <w:rPr>
          <w:spacing w:val="-2"/>
        </w:rPr>
        <w:t>any)</w:t>
      </w:r>
      <w:r>
        <w:rPr>
          <w:spacing w:val="35"/>
        </w:rPr>
        <w:t xml:space="preserve"> </w:t>
      </w:r>
      <w:r>
        <w:rPr>
          <w:spacing w:val="-2"/>
        </w:rPr>
        <w:t>which</w:t>
      </w:r>
      <w:r>
        <w:rPr>
          <w:spacing w:val="34"/>
        </w:rPr>
        <w:t xml:space="preserve"> </w:t>
      </w:r>
      <w:r>
        <w:rPr>
          <w:spacing w:val="-2"/>
        </w:rPr>
        <w:t>will</w:t>
      </w:r>
      <w:r>
        <w:rPr>
          <w:spacing w:val="31"/>
        </w:rPr>
        <w:t xml:space="preserve"> </w:t>
      </w:r>
      <w:r>
        <w:rPr>
          <w:spacing w:val="-1"/>
        </w:rPr>
        <w:t>be</w:t>
      </w:r>
      <w:r>
        <w:rPr>
          <w:spacing w:val="35"/>
        </w:rPr>
        <w:t xml:space="preserve"> </w:t>
      </w:r>
      <w:r>
        <w:rPr>
          <w:spacing w:val="-1"/>
        </w:rPr>
        <w:t>available</w:t>
      </w:r>
      <w:r>
        <w:rPr>
          <w:spacing w:val="31"/>
        </w:rPr>
        <w:t xml:space="preserve"> </w:t>
      </w:r>
      <w:r>
        <w:t>for</w:t>
      </w:r>
      <w:r>
        <w:rPr>
          <w:spacing w:val="33"/>
        </w:rPr>
        <w:t xml:space="preserve"> </w:t>
      </w:r>
      <w:r>
        <w:rPr>
          <w:spacing w:val="-1"/>
        </w:rPr>
        <w:t>transfer</w:t>
      </w:r>
      <w:r>
        <w:rPr>
          <w:spacing w:val="33"/>
        </w:rPr>
        <w:t xml:space="preserve"> </w:t>
      </w:r>
      <w:r>
        <w:t>to</w:t>
      </w:r>
      <w:r>
        <w:rPr>
          <w:spacing w:val="31"/>
        </w:rPr>
        <w:t xml:space="preserve"> </w:t>
      </w:r>
      <w:r>
        <w:rPr>
          <w:spacing w:val="-1"/>
        </w:rPr>
        <w:t>the</w:t>
      </w:r>
      <w:r>
        <w:rPr>
          <w:spacing w:val="40"/>
        </w:rPr>
        <w:t xml:space="preserve"> </w:t>
      </w:r>
      <w:r>
        <w:rPr>
          <w:spacing w:val="-1"/>
        </w:rPr>
        <w:t>Customer</w:t>
      </w:r>
      <w:r>
        <w:rPr>
          <w:spacing w:val="35"/>
        </w:rPr>
        <w:t xml:space="preserve"> </w:t>
      </w:r>
      <w:r>
        <w:rPr>
          <w:spacing w:val="-1"/>
        </w:rPr>
        <w:t>and/or</w:t>
      </w:r>
      <w:r>
        <w:rPr>
          <w:spacing w:val="33"/>
        </w:rPr>
        <w:t xml:space="preserve"> </w:t>
      </w:r>
      <w:r>
        <w:t>the</w:t>
      </w:r>
      <w:r>
        <w:rPr>
          <w:spacing w:val="34"/>
        </w:rPr>
        <w:t xml:space="preserve"> </w:t>
      </w:r>
      <w:r>
        <w:rPr>
          <w:spacing w:val="-2"/>
        </w:rPr>
        <w:t>Replacement</w:t>
      </w:r>
      <w:r>
        <w:rPr>
          <w:spacing w:val="35"/>
        </w:rPr>
        <w:t xml:space="preserve"> </w:t>
      </w:r>
      <w:r>
        <w:rPr>
          <w:spacing w:val="-2"/>
        </w:rPr>
        <w:t>Supplier</w:t>
      </w:r>
      <w:r>
        <w:rPr>
          <w:spacing w:val="35"/>
        </w:rPr>
        <w:t xml:space="preserve"> </w:t>
      </w:r>
      <w:r>
        <w:rPr>
          <w:spacing w:val="-2"/>
        </w:rPr>
        <w:t>upon</w:t>
      </w:r>
      <w:r>
        <w:rPr>
          <w:spacing w:val="34"/>
        </w:rPr>
        <w:t xml:space="preserve"> </w:t>
      </w:r>
      <w:r>
        <w:t>the</w:t>
      </w:r>
      <w:r>
        <w:rPr>
          <w:spacing w:val="35"/>
        </w:rPr>
        <w:t xml:space="preserve"> </w:t>
      </w:r>
      <w:r>
        <w:rPr>
          <w:spacing w:val="-2"/>
        </w:rPr>
        <w:t>Call</w:t>
      </w:r>
      <w:r>
        <w:rPr>
          <w:spacing w:val="33"/>
        </w:rPr>
        <w:t xml:space="preserve"> </w:t>
      </w:r>
      <w:r>
        <w:rPr>
          <w:spacing w:val="-1"/>
        </w:rPr>
        <w:t>Off</w:t>
      </w:r>
      <w:r>
        <w:rPr>
          <w:spacing w:val="35"/>
        </w:rPr>
        <w:t xml:space="preserve"> </w:t>
      </w:r>
      <w:r>
        <w:rPr>
          <w:spacing w:val="-2"/>
        </w:rPr>
        <w:t>Expiry</w:t>
      </w:r>
      <w:r>
        <w:rPr>
          <w:spacing w:val="65"/>
        </w:rPr>
        <w:t xml:space="preserve"> </w:t>
      </w:r>
      <w:r>
        <w:rPr>
          <w:spacing w:val="-1"/>
        </w:rPr>
        <w:t>Date</w:t>
      </w:r>
      <w:r>
        <w:rPr>
          <w:spacing w:val="23"/>
        </w:rPr>
        <w:t xml:space="preserve"> </w:t>
      </w:r>
      <w:r>
        <w:rPr>
          <w:spacing w:val="-1"/>
        </w:rPr>
        <w:t>together</w:t>
      </w:r>
      <w:r>
        <w:rPr>
          <w:spacing w:val="22"/>
        </w:rPr>
        <w:t xml:space="preserve"> </w:t>
      </w:r>
      <w:r>
        <w:rPr>
          <w:spacing w:val="-2"/>
        </w:rPr>
        <w:t>with</w:t>
      </w:r>
      <w:r>
        <w:rPr>
          <w:spacing w:val="23"/>
        </w:rPr>
        <w:t xml:space="preserve"> </w:t>
      </w:r>
      <w:r>
        <w:rPr>
          <w:spacing w:val="-1"/>
        </w:rPr>
        <w:t>any</w:t>
      </w:r>
      <w:r>
        <w:rPr>
          <w:spacing w:val="24"/>
        </w:rPr>
        <w:t xml:space="preserve"> </w:t>
      </w:r>
      <w:r>
        <w:rPr>
          <w:spacing w:val="-1"/>
        </w:rPr>
        <w:t>reasonable</w:t>
      </w:r>
      <w:r>
        <w:rPr>
          <w:spacing w:val="23"/>
        </w:rPr>
        <w:t xml:space="preserve"> </w:t>
      </w:r>
      <w:r>
        <w:rPr>
          <w:spacing w:val="-1"/>
        </w:rPr>
        <w:t>costs</w:t>
      </w:r>
      <w:r>
        <w:rPr>
          <w:spacing w:val="21"/>
        </w:rPr>
        <w:t xml:space="preserve"> </w:t>
      </w:r>
      <w:r>
        <w:rPr>
          <w:spacing w:val="-1"/>
        </w:rPr>
        <w:t>required</w:t>
      </w:r>
      <w:r>
        <w:rPr>
          <w:spacing w:val="23"/>
        </w:rPr>
        <w:t xml:space="preserve"> </w:t>
      </w:r>
      <w:r>
        <w:t>to</w:t>
      </w:r>
      <w:r>
        <w:rPr>
          <w:spacing w:val="23"/>
        </w:rPr>
        <w:t xml:space="preserve"> </w:t>
      </w:r>
      <w:r>
        <w:rPr>
          <w:spacing w:val="-1"/>
        </w:rPr>
        <w:t>effect</w:t>
      </w:r>
      <w:r>
        <w:rPr>
          <w:spacing w:val="23"/>
        </w:rPr>
        <w:t xml:space="preserve"> </w:t>
      </w:r>
      <w:r>
        <w:rPr>
          <w:spacing w:val="-1"/>
        </w:rPr>
        <w:t>such</w:t>
      </w:r>
      <w:r>
        <w:rPr>
          <w:spacing w:val="32"/>
        </w:rPr>
        <w:t xml:space="preserve"> </w:t>
      </w:r>
      <w:r>
        <w:rPr>
          <w:spacing w:val="-1"/>
        </w:rPr>
        <w:t>transfer</w:t>
      </w:r>
      <w:r>
        <w:rPr>
          <w:spacing w:val="6"/>
        </w:rPr>
        <w:t xml:space="preserve"> </w:t>
      </w:r>
      <w:r>
        <w:rPr>
          <w:spacing w:val="-1"/>
        </w:rPr>
        <w:t>(and</w:t>
      </w:r>
      <w:r>
        <w:rPr>
          <w:spacing w:val="5"/>
        </w:rPr>
        <w:t xml:space="preserve"> </w:t>
      </w:r>
      <w:r>
        <w:t>the</w:t>
      </w:r>
      <w:r>
        <w:rPr>
          <w:spacing w:val="7"/>
        </w:rPr>
        <w:t xml:space="preserve"> </w:t>
      </w:r>
      <w:r>
        <w:rPr>
          <w:spacing w:val="-2"/>
        </w:rPr>
        <w:t>Supplier</w:t>
      </w:r>
      <w:r>
        <w:rPr>
          <w:spacing w:val="9"/>
        </w:rPr>
        <w:t xml:space="preserve"> </w:t>
      </w:r>
      <w:r>
        <w:rPr>
          <w:spacing w:val="-1"/>
        </w:rPr>
        <w:t>agrees</w:t>
      </w:r>
      <w:r>
        <w:rPr>
          <w:spacing w:val="5"/>
        </w:rPr>
        <w:t xml:space="preserve"> </w:t>
      </w:r>
      <w:r>
        <w:rPr>
          <w:spacing w:val="-1"/>
        </w:rPr>
        <w:t>that</w:t>
      </w:r>
      <w:r>
        <w:rPr>
          <w:spacing w:val="9"/>
        </w:rPr>
        <w:t xml:space="preserve"> </w:t>
      </w:r>
      <w:r>
        <w:rPr>
          <w:spacing w:val="-1"/>
        </w:rPr>
        <w:t>all</w:t>
      </w:r>
      <w:r>
        <w:rPr>
          <w:spacing w:val="7"/>
        </w:rPr>
        <w:t xml:space="preserve"> </w:t>
      </w:r>
      <w:r>
        <w:rPr>
          <w:spacing w:val="-1"/>
        </w:rPr>
        <w:t>assets</w:t>
      </w:r>
      <w:r>
        <w:rPr>
          <w:spacing w:val="8"/>
        </w:rPr>
        <w:t xml:space="preserve"> </w:t>
      </w:r>
      <w:r>
        <w:rPr>
          <w:spacing w:val="-2"/>
        </w:rPr>
        <w:t>and</w:t>
      </w:r>
      <w:r>
        <w:rPr>
          <w:spacing w:val="7"/>
        </w:rPr>
        <w:t xml:space="preserve"> </w:t>
      </w:r>
      <w:r>
        <w:rPr>
          <w:spacing w:val="-1"/>
        </w:rPr>
        <w:t>contracts</w:t>
      </w:r>
      <w:r>
        <w:rPr>
          <w:spacing w:val="5"/>
        </w:rPr>
        <w:t xml:space="preserve"> </w:t>
      </w:r>
      <w:r>
        <w:rPr>
          <w:spacing w:val="-1"/>
        </w:rPr>
        <w:t>used</w:t>
      </w:r>
      <w:r>
        <w:rPr>
          <w:spacing w:val="7"/>
        </w:rPr>
        <w:t xml:space="preserve"> </w:t>
      </w:r>
      <w:r>
        <w:rPr>
          <w:spacing w:val="-1"/>
        </w:rPr>
        <w:t>by</w:t>
      </w:r>
      <w:r>
        <w:rPr>
          <w:spacing w:val="58"/>
        </w:rPr>
        <w:t xml:space="preserve"> </w:t>
      </w:r>
      <w:r>
        <w:t>the</w:t>
      </w:r>
      <w:r>
        <w:rPr>
          <w:spacing w:val="60"/>
        </w:rPr>
        <w:t xml:space="preserve"> </w:t>
      </w:r>
      <w:r>
        <w:rPr>
          <w:spacing w:val="-2"/>
        </w:rPr>
        <w:t>Supplier</w:t>
      </w:r>
      <w:r>
        <w:t xml:space="preserve"> </w:t>
      </w:r>
      <w:r>
        <w:rPr>
          <w:spacing w:val="-1"/>
        </w:rPr>
        <w:t>in</w:t>
      </w:r>
      <w:r>
        <w:rPr>
          <w:spacing w:val="2"/>
        </w:rPr>
        <w:t xml:space="preserve"> </w:t>
      </w:r>
      <w:r>
        <w:rPr>
          <w:spacing w:val="-1"/>
        </w:rPr>
        <w:t>connection</w:t>
      </w:r>
      <w:r>
        <w:rPr>
          <w:spacing w:val="2"/>
        </w:rPr>
        <w:t xml:space="preserve"> </w:t>
      </w:r>
      <w:r>
        <w:rPr>
          <w:spacing w:val="-2"/>
        </w:rPr>
        <w:t>with</w:t>
      </w:r>
      <w:r>
        <w:rPr>
          <w:spacing w:val="60"/>
        </w:rPr>
        <w:t xml:space="preserve"> </w:t>
      </w:r>
      <w:r>
        <w:t>the</w:t>
      </w:r>
      <w:r>
        <w:rPr>
          <w:spacing w:val="60"/>
        </w:rPr>
        <w:t xml:space="preserve"> </w:t>
      </w:r>
      <w:r>
        <w:rPr>
          <w:spacing w:val="-1"/>
        </w:rPr>
        <w:t>provision</w:t>
      </w:r>
      <w:r>
        <w:rPr>
          <w:spacing w:val="4"/>
        </w:rPr>
        <w:t xml:space="preserve"> </w:t>
      </w:r>
      <w:r>
        <w:rPr>
          <w:spacing w:val="-2"/>
        </w:rPr>
        <w:t>of</w:t>
      </w:r>
      <w:r>
        <w:rPr>
          <w:spacing w:val="3"/>
        </w:rPr>
        <w:t xml:space="preserve"> </w:t>
      </w:r>
      <w:r>
        <w:t>the</w:t>
      </w:r>
      <w:r>
        <w:rPr>
          <w:spacing w:val="2"/>
        </w:rPr>
        <w:t xml:space="preserve"> </w:t>
      </w:r>
      <w:r>
        <w:rPr>
          <w:spacing w:val="-1"/>
        </w:rPr>
        <w:t>Goods</w:t>
      </w:r>
      <w:r>
        <w:t xml:space="preserve">  </w:t>
      </w:r>
      <w:r>
        <w:rPr>
          <w:spacing w:val="-1"/>
        </w:rPr>
        <w:t>and/or</w:t>
      </w:r>
      <w:r>
        <w:rPr>
          <w:spacing w:val="41"/>
        </w:rPr>
        <w:t xml:space="preserve"> </w:t>
      </w:r>
      <w:r>
        <w:rPr>
          <w:spacing w:val="-1"/>
        </w:rPr>
        <w:t>Services</w:t>
      </w:r>
      <w:r>
        <w:rPr>
          <w:spacing w:val="1"/>
        </w:rPr>
        <w:t xml:space="preserve"> </w:t>
      </w:r>
      <w:r>
        <w:rPr>
          <w:spacing w:val="-2"/>
        </w:rPr>
        <w:t>will</w:t>
      </w:r>
      <w:r>
        <w:t xml:space="preserve"> </w:t>
      </w:r>
      <w:r>
        <w:rPr>
          <w:spacing w:val="-1"/>
        </w:rPr>
        <w:t>be</w:t>
      </w:r>
      <w:r>
        <w:t xml:space="preserve"> </w:t>
      </w:r>
      <w:r>
        <w:rPr>
          <w:spacing w:val="-2"/>
        </w:rPr>
        <w:t>available</w:t>
      </w:r>
      <w:r>
        <w:t xml:space="preserve"> for</w:t>
      </w:r>
      <w:r>
        <w:rPr>
          <w:spacing w:val="2"/>
        </w:rPr>
        <w:t xml:space="preserve"> </w:t>
      </w:r>
      <w:r>
        <w:rPr>
          <w:spacing w:val="-1"/>
        </w:rPr>
        <w:t>such</w:t>
      </w:r>
      <w:r>
        <w:rPr>
          <w:spacing w:val="-2"/>
        </w:rPr>
        <w:t xml:space="preserve"> </w:t>
      </w:r>
      <w:r>
        <w:rPr>
          <w:spacing w:val="-1"/>
        </w:rPr>
        <w:t>transfer);</w:t>
      </w:r>
    </w:p>
    <w:p w:rsidR="008918FA" w:rsidRDefault="008918FA" w:rsidP="008918FA">
      <w:pPr>
        <w:pStyle w:val="BodyText"/>
        <w:numPr>
          <w:ilvl w:val="2"/>
          <w:numId w:val="9"/>
        </w:numPr>
        <w:tabs>
          <w:tab w:val="left" w:pos="1887"/>
        </w:tabs>
        <w:spacing w:before="121"/>
        <w:ind w:left="1886" w:right="113"/>
        <w:jc w:val="both"/>
      </w:pPr>
      <w:r>
        <w:rPr>
          <w:spacing w:val="-1"/>
        </w:rPr>
        <w:t>proposals</w:t>
      </w:r>
      <w:r>
        <w:rPr>
          <w:spacing w:val="35"/>
        </w:rPr>
        <w:t xml:space="preserve"> </w:t>
      </w:r>
      <w:r>
        <w:t>for</w:t>
      </w:r>
      <w:r>
        <w:rPr>
          <w:spacing w:val="39"/>
        </w:rPr>
        <w:t xml:space="preserve"> </w:t>
      </w:r>
      <w:r>
        <w:t>the</w:t>
      </w:r>
      <w:r>
        <w:rPr>
          <w:spacing w:val="37"/>
        </w:rPr>
        <w:t xml:space="preserve"> </w:t>
      </w:r>
      <w:r>
        <w:rPr>
          <w:spacing w:val="-2"/>
        </w:rPr>
        <w:t>training</w:t>
      </w:r>
      <w:r>
        <w:rPr>
          <w:spacing w:val="40"/>
        </w:rPr>
        <w:t xml:space="preserve"> </w:t>
      </w:r>
      <w:r>
        <w:rPr>
          <w:spacing w:val="-2"/>
        </w:rPr>
        <w:t>of</w:t>
      </w:r>
      <w:r>
        <w:rPr>
          <w:spacing w:val="41"/>
        </w:rPr>
        <w:t xml:space="preserve"> </w:t>
      </w:r>
      <w:r>
        <w:t>key</w:t>
      </w:r>
      <w:r>
        <w:rPr>
          <w:spacing w:val="35"/>
        </w:rPr>
        <w:t xml:space="preserve"> </w:t>
      </w:r>
      <w:r>
        <w:rPr>
          <w:spacing w:val="-1"/>
        </w:rPr>
        <w:t>members</w:t>
      </w:r>
      <w:r>
        <w:rPr>
          <w:spacing w:val="36"/>
        </w:rPr>
        <w:t xml:space="preserve"> </w:t>
      </w:r>
      <w:r>
        <w:rPr>
          <w:spacing w:val="-2"/>
        </w:rPr>
        <w:t>of</w:t>
      </w:r>
      <w:r>
        <w:rPr>
          <w:spacing w:val="41"/>
        </w:rPr>
        <w:t xml:space="preserve"> </w:t>
      </w:r>
      <w:r>
        <w:t>the</w:t>
      </w:r>
      <w:r>
        <w:rPr>
          <w:spacing w:val="37"/>
        </w:rPr>
        <w:t xml:space="preserve"> </w:t>
      </w:r>
      <w:r>
        <w:rPr>
          <w:spacing w:val="-1"/>
        </w:rPr>
        <w:t>Replacement</w:t>
      </w:r>
      <w:r>
        <w:rPr>
          <w:spacing w:val="32"/>
        </w:rPr>
        <w:t xml:space="preserve"> </w:t>
      </w:r>
      <w:r>
        <w:rPr>
          <w:spacing w:val="-2"/>
        </w:rPr>
        <w:t>Supplier’s</w:t>
      </w:r>
      <w:r>
        <w:rPr>
          <w:spacing w:val="50"/>
        </w:rPr>
        <w:t xml:space="preserve"> </w:t>
      </w:r>
      <w:r>
        <w:rPr>
          <w:spacing w:val="-1"/>
        </w:rPr>
        <w:t>personnel</w:t>
      </w:r>
      <w:r>
        <w:rPr>
          <w:spacing w:val="49"/>
        </w:rPr>
        <w:t xml:space="preserve"> </w:t>
      </w:r>
      <w:r>
        <w:rPr>
          <w:spacing w:val="-1"/>
        </w:rPr>
        <w:t>in</w:t>
      </w:r>
      <w:r>
        <w:rPr>
          <w:spacing w:val="52"/>
        </w:rPr>
        <w:t xml:space="preserve"> </w:t>
      </w:r>
      <w:r>
        <w:rPr>
          <w:spacing w:val="-1"/>
        </w:rPr>
        <w:t>connection</w:t>
      </w:r>
      <w:r>
        <w:rPr>
          <w:spacing w:val="49"/>
        </w:rPr>
        <w:t xml:space="preserve"> </w:t>
      </w:r>
      <w:r>
        <w:rPr>
          <w:spacing w:val="-2"/>
        </w:rPr>
        <w:t>with</w:t>
      </w:r>
      <w:r>
        <w:rPr>
          <w:spacing w:val="49"/>
        </w:rPr>
        <w:t xml:space="preserve"> </w:t>
      </w:r>
      <w:r>
        <w:t>the</w:t>
      </w:r>
      <w:r>
        <w:rPr>
          <w:spacing w:val="49"/>
        </w:rPr>
        <w:t xml:space="preserve"> </w:t>
      </w:r>
      <w:r>
        <w:rPr>
          <w:spacing w:val="-1"/>
        </w:rPr>
        <w:t>continuation</w:t>
      </w:r>
      <w:r>
        <w:rPr>
          <w:spacing w:val="50"/>
        </w:rPr>
        <w:t xml:space="preserve"> </w:t>
      </w:r>
      <w:r>
        <w:rPr>
          <w:spacing w:val="-2"/>
        </w:rPr>
        <w:t>of</w:t>
      </w:r>
      <w:r>
        <w:rPr>
          <w:spacing w:val="51"/>
        </w:rPr>
        <w:t xml:space="preserve"> </w:t>
      </w:r>
      <w:r>
        <w:t>the</w:t>
      </w:r>
      <w:r>
        <w:rPr>
          <w:spacing w:val="47"/>
        </w:rPr>
        <w:t xml:space="preserve"> </w:t>
      </w:r>
      <w:r>
        <w:rPr>
          <w:spacing w:val="-2"/>
        </w:rPr>
        <w:t>provision</w:t>
      </w:r>
      <w:r>
        <w:rPr>
          <w:spacing w:val="36"/>
        </w:rPr>
        <w:t xml:space="preserve"> </w:t>
      </w:r>
      <w:r>
        <w:rPr>
          <w:spacing w:val="-1"/>
        </w:rPr>
        <w:t>of</w:t>
      </w:r>
      <w:r>
        <w:rPr>
          <w:spacing w:val="40"/>
        </w:rPr>
        <w:t xml:space="preserve"> </w:t>
      </w:r>
      <w:r>
        <w:t>the</w:t>
      </w:r>
      <w:r>
        <w:rPr>
          <w:spacing w:val="36"/>
        </w:rPr>
        <w:t xml:space="preserve"> </w:t>
      </w:r>
      <w:r>
        <w:rPr>
          <w:spacing w:val="-1"/>
        </w:rPr>
        <w:t>Goods</w:t>
      </w:r>
      <w:r>
        <w:rPr>
          <w:spacing w:val="34"/>
        </w:rPr>
        <w:t xml:space="preserve"> </w:t>
      </w:r>
      <w:r>
        <w:rPr>
          <w:spacing w:val="-1"/>
        </w:rPr>
        <w:t>and/or</w:t>
      </w:r>
      <w:r>
        <w:rPr>
          <w:spacing w:val="38"/>
        </w:rPr>
        <w:t xml:space="preserve"> </w:t>
      </w:r>
      <w:r>
        <w:rPr>
          <w:spacing w:val="-1"/>
        </w:rPr>
        <w:t>Services</w:t>
      </w:r>
      <w:r>
        <w:rPr>
          <w:spacing w:val="38"/>
        </w:rPr>
        <w:t xml:space="preserve"> </w:t>
      </w:r>
      <w:r>
        <w:rPr>
          <w:spacing w:val="-1"/>
        </w:rPr>
        <w:t>following</w:t>
      </w:r>
      <w:r>
        <w:rPr>
          <w:spacing w:val="40"/>
        </w:rPr>
        <w:t xml:space="preserve"> </w:t>
      </w:r>
      <w:r>
        <w:t>the</w:t>
      </w:r>
      <w:r>
        <w:rPr>
          <w:spacing w:val="36"/>
        </w:rPr>
        <w:t xml:space="preserve"> </w:t>
      </w:r>
      <w:r>
        <w:rPr>
          <w:spacing w:val="-2"/>
        </w:rPr>
        <w:t>Call</w:t>
      </w:r>
      <w:r>
        <w:rPr>
          <w:spacing w:val="36"/>
        </w:rPr>
        <w:t xml:space="preserve"> </w:t>
      </w:r>
      <w:r>
        <w:rPr>
          <w:spacing w:val="-1"/>
        </w:rPr>
        <w:t>Off</w:t>
      </w:r>
      <w:r>
        <w:rPr>
          <w:spacing w:val="40"/>
        </w:rPr>
        <w:t xml:space="preserve"> </w:t>
      </w:r>
      <w:r>
        <w:rPr>
          <w:spacing w:val="-2"/>
        </w:rPr>
        <w:t>Expiry</w:t>
      </w:r>
      <w:r>
        <w:rPr>
          <w:spacing w:val="55"/>
        </w:rPr>
        <w:t xml:space="preserve"> </w:t>
      </w:r>
      <w:r>
        <w:rPr>
          <w:spacing w:val="-1"/>
        </w:rPr>
        <w:t>Date</w:t>
      </w:r>
      <w:r>
        <w:t xml:space="preserve"> </w:t>
      </w:r>
      <w:r>
        <w:rPr>
          <w:spacing w:val="-1"/>
        </w:rPr>
        <w:t>charged</w:t>
      </w:r>
      <w:r>
        <w:t xml:space="preserve"> </w:t>
      </w:r>
      <w:r>
        <w:rPr>
          <w:spacing w:val="-2"/>
        </w:rPr>
        <w:t>at</w:t>
      </w:r>
      <w:r>
        <w:t xml:space="preserve"> </w:t>
      </w:r>
      <w:r>
        <w:rPr>
          <w:spacing w:val="-1"/>
        </w:rPr>
        <w:t>rates</w:t>
      </w:r>
      <w:r>
        <w:rPr>
          <w:spacing w:val="-2"/>
        </w:rPr>
        <w:t xml:space="preserve"> </w:t>
      </w:r>
      <w:r>
        <w:rPr>
          <w:spacing w:val="-1"/>
        </w:rPr>
        <w:t>agreed</w:t>
      </w:r>
      <w:r>
        <w:t xml:space="preserve"> </w:t>
      </w:r>
      <w:r>
        <w:rPr>
          <w:spacing w:val="-2"/>
        </w:rPr>
        <w:t>between</w:t>
      </w:r>
      <w:r>
        <w:t xml:space="preserve"> the </w:t>
      </w:r>
      <w:r>
        <w:rPr>
          <w:spacing w:val="-1"/>
        </w:rPr>
        <w:t>Parties</w:t>
      </w:r>
      <w:r>
        <w:rPr>
          <w:spacing w:val="-2"/>
        </w:rPr>
        <w:t xml:space="preserve"> </w:t>
      </w:r>
      <w:r>
        <w:rPr>
          <w:spacing w:val="-1"/>
        </w:rPr>
        <w:t>at</w:t>
      </w:r>
      <w:r>
        <w:t xml:space="preserve"> </w:t>
      </w:r>
      <w:r>
        <w:rPr>
          <w:spacing w:val="-1"/>
        </w:rPr>
        <w:t>that</w:t>
      </w:r>
      <w:r>
        <w:t xml:space="preserve"> </w:t>
      </w:r>
      <w:r>
        <w:rPr>
          <w:spacing w:val="-1"/>
        </w:rPr>
        <w:t>time;</w:t>
      </w:r>
    </w:p>
    <w:p w:rsidR="008918FA" w:rsidRDefault="008918FA" w:rsidP="008918FA">
      <w:pPr>
        <w:pStyle w:val="BodyText"/>
        <w:numPr>
          <w:ilvl w:val="2"/>
          <w:numId w:val="9"/>
        </w:numPr>
        <w:tabs>
          <w:tab w:val="left" w:pos="1887"/>
        </w:tabs>
        <w:ind w:left="1886" w:right="118"/>
        <w:jc w:val="both"/>
      </w:pPr>
      <w:r>
        <w:rPr>
          <w:spacing w:val="-1"/>
        </w:rPr>
        <w:t>proposals</w:t>
      </w:r>
      <w:r>
        <w:rPr>
          <w:spacing w:val="16"/>
        </w:rPr>
        <w:t xml:space="preserve"> </w:t>
      </w:r>
      <w:r>
        <w:t>for</w:t>
      </w:r>
      <w:r>
        <w:rPr>
          <w:spacing w:val="20"/>
        </w:rPr>
        <w:t xml:space="preserve"> </w:t>
      </w:r>
      <w:r>
        <w:rPr>
          <w:spacing w:val="-2"/>
        </w:rPr>
        <w:t>providing</w:t>
      </w:r>
      <w:r>
        <w:rPr>
          <w:spacing w:val="18"/>
        </w:rPr>
        <w:t xml:space="preserve"> </w:t>
      </w:r>
      <w:r>
        <w:t>the</w:t>
      </w:r>
      <w:r>
        <w:rPr>
          <w:spacing w:val="18"/>
        </w:rPr>
        <w:t xml:space="preserve"> </w:t>
      </w:r>
      <w:r>
        <w:rPr>
          <w:spacing w:val="-1"/>
        </w:rPr>
        <w:t>Customer</w:t>
      </w:r>
      <w:r>
        <w:rPr>
          <w:spacing w:val="20"/>
        </w:rPr>
        <w:t xml:space="preserve"> </w:t>
      </w:r>
      <w:r>
        <w:rPr>
          <w:spacing w:val="-1"/>
        </w:rPr>
        <w:t>or</w:t>
      </w:r>
      <w:r>
        <w:rPr>
          <w:spacing w:val="20"/>
        </w:rPr>
        <w:t xml:space="preserve"> </w:t>
      </w:r>
      <w:r>
        <w:t>a</w:t>
      </w:r>
      <w:r>
        <w:rPr>
          <w:spacing w:val="18"/>
        </w:rPr>
        <w:t xml:space="preserve"> </w:t>
      </w:r>
      <w:r>
        <w:rPr>
          <w:spacing w:val="-1"/>
        </w:rPr>
        <w:t>Replacement</w:t>
      </w:r>
      <w:r>
        <w:rPr>
          <w:spacing w:val="20"/>
        </w:rPr>
        <w:t xml:space="preserve"> </w:t>
      </w:r>
      <w:r>
        <w:rPr>
          <w:spacing w:val="-2"/>
        </w:rPr>
        <w:t>Supplier</w:t>
      </w:r>
      <w:r>
        <w:rPr>
          <w:spacing w:val="40"/>
        </w:rPr>
        <w:t xml:space="preserve"> </w:t>
      </w:r>
      <w:r>
        <w:rPr>
          <w:spacing w:val="-1"/>
        </w:rPr>
        <w:t>copies</w:t>
      </w:r>
      <w:r>
        <w:rPr>
          <w:spacing w:val="1"/>
        </w:rPr>
        <w:t xml:space="preserve"> </w:t>
      </w:r>
      <w:r>
        <w:rPr>
          <w:spacing w:val="-2"/>
        </w:rPr>
        <w:t>of</w:t>
      </w:r>
      <w:r>
        <w:rPr>
          <w:spacing w:val="2"/>
        </w:rPr>
        <w:t xml:space="preserve"> </w:t>
      </w:r>
      <w:r>
        <w:rPr>
          <w:spacing w:val="-1"/>
        </w:rPr>
        <w:t>all</w:t>
      </w:r>
      <w:r>
        <w:t xml:space="preserve"> </w:t>
      </w:r>
      <w:r>
        <w:rPr>
          <w:spacing w:val="-1"/>
        </w:rPr>
        <w:t>documentation:</w:t>
      </w:r>
    </w:p>
    <w:p w:rsidR="008918FA" w:rsidRDefault="008918FA" w:rsidP="008918FA">
      <w:pPr>
        <w:pStyle w:val="BodyText"/>
        <w:numPr>
          <w:ilvl w:val="3"/>
          <w:numId w:val="9"/>
        </w:numPr>
        <w:tabs>
          <w:tab w:val="left" w:pos="2594"/>
        </w:tabs>
        <w:ind w:left="2594" w:right="116"/>
        <w:jc w:val="both"/>
      </w:pPr>
      <w:r>
        <w:rPr>
          <w:spacing w:val="-1"/>
        </w:rPr>
        <w:t>used</w:t>
      </w:r>
      <w:r>
        <w:rPr>
          <w:spacing w:val="32"/>
        </w:rPr>
        <w:t xml:space="preserve"> </w:t>
      </w:r>
      <w:r>
        <w:rPr>
          <w:spacing w:val="-1"/>
        </w:rPr>
        <w:t>in</w:t>
      </w:r>
      <w:r>
        <w:rPr>
          <w:spacing w:val="32"/>
        </w:rPr>
        <w:t xml:space="preserve"> </w:t>
      </w:r>
      <w:r>
        <w:t>the</w:t>
      </w:r>
      <w:r>
        <w:rPr>
          <w:spacing w:val="33"/>
        </w:rPr>
        <w:t xml:space="preserve"> </w:t>
      </w:r>
      <w:r>
        <w:rPr>
          <w:spacing w:val="-2"/>
        </w:rPr>
        <w:t>provision</w:t>
      </w:r>
      <w:r>
        <w:rPr>
          <w:spacing w:val="35"/>
        </w:rPr>
        <w:t xml:space="preserve"> </w:t>
      </w:r>
      <w:r>
        <w:rPr>
          <w:spacing w:val="-1"/>
        </w:rPr>
        <w:t>of</w:t>
      </w:r>
      <w:r>
        <w:rPr>
          <w:spacing w:val="34"/>
        </w:rPr>
        <w:t xml:space="preserve"> </w:t>
      </w:r>
      <w:r>
        <w:t>the</w:t>
      </w:r>
      <w:r>
        <w:rPr>
          <w:spacing w:val="34"/>
        </w:rPr>
        <w:t xml:space="preserve"> </w:t>
      </w:r>
      <w:r>
        <w:rPr>
          <w:spacing w:val="-1"/>
        </w:rPr>
        <w:t>Goods</w:t>
      </w:r>
      <w:r>
        <w:rPr>
          <w:spacing w:val="34"/>
        </w:rPr>
        <w:t xml:space="preserve"> </w:t>
      </w:r>
      <w:r>
        <w:rPr>
          <w:spacing w:val="-1"/>
        </w:rPr>
        <w:t>and/or</w:t>
      </w:r>
      <w:r>
        <w:rPr>
          <w:spacing w:val="31"/>
        </w:rPr>
        <w:t xml:space="preserve"> </w:t>
      </w:r>
      <w:r>
        <w:rPr>
          <w:spacing w:val="-1"/>
        </w:rPr>
        <w:t>Services</w:t>
      </w:r>
      <w:r>
        <w:rPr>
          <w:spacing w:val="34"/>
        </w:rPr>
        <w:t xml:space="preserve"> </w:t>
      </w:r>
      <w:r>
        <w:rPr>
          <w:spacing w:val="-1"/>
        </w:rPr>
        <w:t>and</w:t>
      </w:r>
      <w:r>
        <w:rPr>
          <w:spacing w:val="30"/>
        </w:rPr>
        <w:t xml:space="preserve"> </w:t>
      </w:r>
      <w:r>
        <w:rPr>
          <w:spacing w:val="-1"/>
        </w:rPr>
        <w:t>necessarily</w:t>
      </w:r>
      <w:r>
        <w:rPr>
          <w:spacing w:val="8"/>
        </w:rPr>
        <w:t xml:space="preserve"> </w:t>
      </w:r>
      <w:r>
        <w:rPr>
          <w:spacing w:val="-1"/>
        </w:rPr>
        <w:t>required</w:t>
      </w:r>
      <w:r>
        <w:rPr>
          <w:spacing w:val="7"/>
        </w:rPr>
        <w:t xml:space="preserve"> </w:t>
      </w:r>
      <w:r>
        <w:t>for</w:t>
      </w:r>
      <w:r>
        <w:rPr>
          <w:spacing w:val="11"/>
        </w:rPr>
        <w:t xml:space="preserve"> </w:t>
      </w:r>
      <w:r>
        <w:rPr>
          <w:spacing w:val="-1"/>
        </w:rPr>
        <w:t>the</w:t>
      </w:r>
      <w:r>
        <w:rPr>
          <w:spacing w:val="10"/>
        </w:rPr>
        <w:t xml:space="preserve"> </w:t>
      </w:r>
      <w:r>
        <w:rPr>
          <w:spacing w:val="-1"/>
        </w:rPr>
        <w:t>continued</w:t>
      </w:r>
      <w:r>
        <w:rPr>
          <w:spacing w:val="10"/>
        </w:rPr>
        <w:t xml:space="preserve"> </w:t>
      </w:r>
      <w:r>
        <w:rPr>
          <w:spacing w:val="-1"/>
        </w:rPr>
        <w:t>use</w:t>
      </w:r>
      <w:r>
        <w:rPr>
          <w:spacing w:val="10"/>
        </w:rPr>
        <w:t xml:space="preserve"> </w:t>
      </w:r>
      <w:r>
        <w:rPr>
          <w:spacing w:val="-1"/>
        </w:rPr>
        <w:t>thereof,</w:t>
      </w:r>
      <w:r>
        <w:rPr>
          <w:spacing w:val="11"/>
        </w:rPr>
        <w:t xml:space="preserve"> </w:t>
      </w:r>
      <w:r>
        <w:rPr>
          <w:spacing w:val="-1"/>
        </w:rPr>
        <w:t>in</w:t>
      </w:r>
      <w:r>
        <w:rPr>
          <w:spacing w:val="10"/>
        </w:rPr>
        <w:t xml:space="preserve"> </w:t>
      </w:r>
      <w:r>
        <w:rPr>
          <w:spacing w:val="-1"/>
        </w:rPr>
        <w:t>which</w:t>
      </w:r>
      <w:r>
        <w:rPr>
          <w:spacing w:val="10"/>
        </w:rPr>
        <w:t xml:space="preserve"> </w:t>
      </w:r>
      <w:r>
        <w:rPr>
          <w:spacing w:val="-1"/>
        </w:rPr>
        <w:t>the</w:t>
      </w:r>
      <w:r>
        <w:rPr>
          <w:spacing w:val="28"/>
        </w:rPr>
        <w:t xml:space="preserve"> </w:t>
      </w:r>
      <w:r>
        <w:rPr>
          <w:spacing w:val="-1"/>
        </w:rPr>
        <w:t>Intellectual</w:t>
      </w:r>
      <w:r>
        <w:t xml:space="preserve"> </w:t>
      </w:r>
      <w:r>
        <w:rPr>
          <w:spacing w:val="-1"/>
        </w:rPr>
        <w:t>Property</w:t>
      </w:r>
      <w:r>
        <w:rPr>
          <w:spacing w:val="-2"/>
        </w:rPr>
        <w:t xml:space="preserve"> </w:t>
      </w:r>
      <w:r>
        <w:rPr>
          <w:spacing w:val="-1"/>
        </w:rPr>
        <w:t>Rights</w:t>
      </w:r>
      <w:r>
        <w:rPr>
          <w:spacing w:val="1"/>
        </w:rPr>
        <w:t xml:space="preserve"> </w:t>
      </w:r>
      <w:r>
        <w:rPr>
          <w:spacing w:val="-1"/>
        </w:rPr>
        <w:t>are</w:t>
      </w:r>
      <w:r>
        <w:t xml:space="preserve"> </w:t>
      </w:r>
      <w:r>
        <w:rPr>
          <w:spacing w:val="-2"/>
        </w:rPr>
        <w:t>owned</w:t>
      </w:r>
      <w:r>
        <w:t xml:space="preserve"> </w:t>
      </w:r>
      <w:r>
        <w:rPr>
          <w:spacing w:val="-1"/>
        </w:rPr>
        <w:t>by</w:t>
      </w:r>
      <w:r>
        <w:rPr>
          <w:spacing w:val="-2"/>
        </w:rPr>
        <w:t xml:space="preserve"> </w:t>
      </w:r>
      <w:r>
        <w:t xml:space="preserve">the </w:t>
      </w:r>
      <w:r>
        <w:rPr>
          <w:spacing w:val="-2"/>
        </w:rPr>
        <w:t>Supplier;</w:t>
      </w:r>
      <w:r>
        <w:rPr>
          <w:spacing w:val="2"/>
        </w:rPr>
        <w:t xml:space="preserve"> </w:t>
      </w:r>
      <w:r>
        <w:rPr>
          <w:spacing w:val="-1"/>
        </w:rPr>
        <w:t>and</w:t>
      </w:r>
    </w:p>
    <w:p w:rsidR="008918FA" w:rsidRDefault="008918FA" w:rsidP="008918FA">
      <w:pPr>
        <w:pStyle w:val="BodyText"/>
        <w:numPr>
          <w:ilvl w:val="3"/>
          <w:numId w:val="9"/>
        </w:numPr>
        <w:tabs>
          <w:tab w:val="left" w:pos="2594"/>
        </w:tabs>
        <w:ind w:left="2593" w:hanging="707"/>
      </w:pPr>
      <w:r>
        <w:rPr>
          <w:spacing w:val="-1"/>
        </w:rPr>
        <w:t>relating</w:t>
      </w:r>
      <w:r>
        <w:t xml:space="preserve"> to</w:t>
      </w:r>
      <w:r>
        <w:rPr>
          <w:spacing w:val="-2"/>
        </w:rPr>
        <w:t xml:space="preserve"> </w:t>
      </w:r>
      <w:r>
        <w:t>the</w:t>
      </w:r>
      <w:r>
        <w:rPr>
          <w:spacing w:val="-2"/>
        </w:rPr>
        <w:t xml:space="preserve"> </w:t>
      </w:r>
      <w:r>
        <w:rPr>
          <w:spacing w:val="-1"/>
        </w:rPr>
        <w:t>use</w:t>
      </w:r>
      <w:r>
        <w:rPr>
          <w:spacing w:val="-2"/>
        </w:rPr>
        <w:t xml:space="preserve"> </w:t>
      </w:r>
      <w:r>
        <w:rPr>
          <w:spacing w:val="-1"/>
        </w:rPr>
        <w:t>and</w:t>
      </w:r>
      <w:r>
        <w:t xml:space="preserve"> </w:t>
      </w:r>
      <w:r>
        <w:rPr>
          <w:spacing w:val="-1"/>
        </w:rPr>
        <w:t>operation</w:t>
      </w:r>
      <w:r>
        <w:t xml:space="preserve"> </w:t>
      </w:r>
      <w:r>
        <w:rPr>
          <w:spacing w:val="-2"/>
        </w:rPr>
        <w:t>of</w:t>
      </w:r>
      <w:r>
        <w:t xml:space="preserve"> the</w:t>
      </w:r>
      <w:r>
        <w:rPr>
          <w:spacing w:val="-1"/>
        </w:rPr>
        <w:t xml:space="preserve"> Goods</w:t>
      </w:r>
      <w:r>
        <w:rPr>
          <w:spacing w:val="-2"/>
        </w:rPr>
        <w:t xml:space="preserve"> </w:t>
      </w:r>
      <w:r>
        <w:rPr>
          <w:spacing w:val="-1"/>
        </w:rPr>
        <w:t>and/or Services;</w:t>
      </w:r>
    </w:p>
    <w:p w:rsidR="008918FA" w:rsidRDefault="008918FA" w:rsidP="008918FA">
      <w:pPr>
        <w:pStyle w:val="BodyText"/>
        <w:numPr>
          <w:ilvl w:val="2"/>
          <w:numId w:val="9"/>
        </w:numPr>
        <w:tabs>
          <w:tab w:val="left" w:pos="1886"/>
        </w:tabs>
        <w:spacing w:before="121"/>
        <w:ind w:left="1885" w:right="115" w:hanging="993"/>
        <w:jc w:val="both"/>
      </w:pPr>
      <w:r>
        <w:rPr>
          <w:spacing w:val="-1"/>
        </w:rPr>
        <w:t>proposals</w:t>
      </w:r>
      <w:r>
        <w:rPr>
          <w:spacing w:val="24"/>
        </w:rPr>
        <w:t xml:space="preserve"> </w:t>
      </w:r>
      <w:r>
        <w:t>for</w:t>
      </w:r>
      <w:r>
        <w:rPr>
          <w:spacing w:val="24"/>
        </w:rPr>
        <w:t xml:space="preserve"> </w:t>
      </w:r>
      <w:r>
        <w:t>the</w:t>
      </w:r>
      <w:r>
        <w:rPr>
          <w:spacing w:val="26"/>
        </w:rPr>
        <w:t xml:space="preserve"> </w:t>
      </w:r>
      <w:r>
        <w:rPr>
          <w:spacing w:val="-1"/>
        </w:rPr>
        <w:t>assignment</w:t>
      </w:r>
      <w:r>
        <w:rPr>
          <w:spacing w:val="25"/>
        </w:rPr>
        <w:t xml:space="preserve"> </w:t>
      </w:r>
      <w:r>
        <w:rPr>
          <w:spacing w:val="-1"/>
        </w:rPr>
        <w:t>or</w:t>
      </w:r>
      <w:r>
        <w:rPr>
          <w:spacing w:val="27"/>
        </w:rPr>
        <w:t xml:space="preserve"> </w:t>
      </w:r>
      <w:r>
        <w:rPr>
          <w:spacing w:val="-1"/>
        </w:rPr>
        <w:t>novation</w:t>
      </w:r>
      <w:r>
        <w:rPr>
          <w:spacing w:val="26"/>
        </w:rPr>
        <w:t xml:space="preserve"> </w:t>
      </w:r>
      <w:r>
        <w:rPr>
          <w:spacing w:val="-2"/>
        </w:rPr>
        <w:t>of</w:t>
      </w:r>
      <w:r>
        <w:rPr>
          <w:spacing w:val="25"/>
        </w:rPr>
        <w:t xml:space="preserve"> </w:t>
      </w:r>
      <w:r>
        <w:t>the</w:t>
      </w:r>
      <w:r>
        <w:rPr>
          <w:spacing w:val="26"/>
        </w:rPr>
        <w:t xml:space="preserve"> </w:t>
      </w:r>
      <w:r>
        <w:rPr>
          <w:spacing w:val="-2"/>
        </w:rPr>
        <w:t>provision</w:t>
      </w:r>
      <w:r>
        <w:rPr>
          <w:spacing w:val="26"/>
        </w:rPr>
        <w:t xml:space="preserve"> </w:t>
      </w:r>
      <w:r>
        <w:rPr>
          <w:spacing w:val="-1"/>
        </w:rPr>
        <w:t>of</w:t>
      </w:r>
      <w:r>
        <w:rPr>
          <w:spacing w:val="29"/>
        </w:rPr>
        <w:t xml:space="preserve"> </w:t>
      </w:r>
      <w:r>
        <w:rPr>
          <w:spacing w:val="-1"/>
        </w:rPr>
        <w:t>all</w:t>
      </w:r>
      <w:r>
        <w:rPr>
          <w:spacing w:val="25"/>
        </w:rPr>
        <w:t xml:space="preserve"> </w:t>
      </w:r>
      <w:r>
        <w:rPr>
          <w:spacing w:val="-1"/>
        </w:rPr>
        <w:t>services,</w:t>
      </w:r>
      <w:r>
        <w:rPr>
          <w:spacing w:val="53"/>
        </w:rPr>
        <w:t xml:space="preserve"> </w:t>
      </w:r>
      <w:r>
        <w:rPr>
          <w:spacing w:val="-1"/>
        </w:rPr>
        <w:t>leases,</w:t>
      </w:r>
      <w:r>
        <w:rPr>
          <w:spacing w:val="50"/>
        </w:rPr>
        <w:t xml:space="preserve"> </w:t>
      </w:r>
      <w:r>
        <w:rPr>
          <w:spacing w:val="-1"/>
        </w:rPr>
        <w:t>maintenance</w:t>
      </w:r>
      <w:r>
        <w:rPr>
          <w:spacing w:val="51"/>
        </w:rPr>
        <w:t xml:space="preserve"> </w:t>
      </w:r>
      <w:r>
        <w:rPr>
          <w:spacing w:val="-1"/>
        </w:rPr>
        <w:t>agreements</w:t>
      </w:r>
      <w:r>
        <w:rPr>
          <w:spacing w:val="49"/>
        </w:rPr>
        <w:t xml:space="preserve"> </w:t>
      </w:r>
      <w:r>
        <w:rPr>
          <w:spacing w:val="-1"/>
        </w:rPr>
        <w:t>and</w:t>
      </w:r>
      <w:r>
        <w:rPr>
          <w:spacing w:val="48"/>
        </w:rPr>
        <w:t xml:space="preserve"> </w:t>
      </w:r>
      <w:r>
        <w:rPr>
          <w:spacing w:val="-1"/>
        </w:rPr>
        <w:t>support</w:t>
      </w:r>
      <w:r>
        <w:rPr>
          <w:spacing w:val="50"/>
        </w:rPr>
        <w:t xml:space="preserve"> </w:t>
      </w:r>
      <w:r>
        <w:rPr>
          <w:spacing w:val="-1"/>
        </w:rPr>
        <w:t>agreements</w:t>
      </w:r>
      <w:r>
        <w:rPr>
          <w:spacing w:val="23"/>
        </w:rPr>
        <w:t xml:space="preserve"> </w:t>
      </w:r>
      <w:r>
        <w:rPr>
          <w:spacing w:val="-1"/>
        </w:rPr>
        <w:t>utilised</w:t>
      </w:r>
      <w:r>
        <w:rPr>
          <w:spacing w:val="2"/>
        </w:rPr>
        <w:t xml:space="preserve"> </w:t>
      </w:r>
      <w:r>
        <w:rPr>
          <w:spacing w:val="-1"/>
        </w:rPr>
        <w:t>by</w:t>
      </w:r>
      <w:r>
        <w:t xml:space="preserve">  the</w:t>
      </w:r>
      <w:r>
        <w:rPr>
          <w:spacing w:val="2"/>
        </w:rPr>
        <w:t xml:space="preserve"> </w:t>
      </w:r>
      <w:r>
        <w:rPr>
          <w:spacing w:val="-2"/>
        </w:rPr>
        <w:t>Supplier</w:t>
      </w:r>
      <w:r>
        <w:t xml:space="preserve"> </w:t>
      </w:r>
      <w:r>
        <w:rPr>
          <w:spacing w:val="-1"/>
        </w:rPr>
        <w:t>in</w:t>
      </w:r>
      <w:r>
        <w:rPr>
          <w:spacing w:val="2"/>
        </w:rPr>
        <w:t xml:space="preserve"> </w:t>
      </w:r>
      <w:r>
        <w:rPr>
          <w:spacing w:val="-1"/>
        </w:rPr>
        <w:t>connection</w:t>
      </w:r>
      <w:r>
        <w:rPr>
          <w:spacing w:val="2"/>
        </w:rPr>
        <w:t xml:space="preserve"> </w:t>
      </w:r>
      <w:r>
        <w:rPr>
          <w:spacing w:val="-2"/>
        </w:rPr>
        <w:t>with</w:t>
      </w:r>
      <w:r>
        <w:rPr>
          <w:spacing w:val="2"/>
        </w:rPr>
        <w:t xml:space="preserve"> </w:t>
      </w:r>
      <w:r>
        <w:t>the</w:t>
      </w:r>
      <w:r>
        <w:rPr>
          <w:spacing w:val="60"/>
        </w:rPr>
        <w:t xml:space="preserve"> </w:t>
      </w:r>
      <w:r>
        <w:rPr>
          <w:spacing w:val="-1"/>
        </w:rPr>
        <w:t>performance</w:t>
      </w:r>
      <w:r>
        <w:rPr>
          <w:spacing w:val="2"/>
        </w:rPr>
        <w:t xml:space="preserve"> </w:t>
      </w:r>
      <w:r>
        <w:rPr>
          <w:spacing w:val="-2"/>
        </w:rPr>
        <w:t>of</w:t>
      </w:r>
      <w:r>
        <w:rPr>
          <w:spacing w:val="1"/>
        </w:rPr>
        <w:t xml:space="preserve"> </w:t>
      </w:r>
      <w:r>
        <w:rPr>
          <w:spacing w:val="-1"/>
        </w:rPr>
        <w:t>the</w:t>
      </w:r>
      <w:r>
        <w:rPr>
          <w:spacing w:val="36"/>
        </w:rPr>
        <w:t xml:space="preserve"> </w:t>
      </w:r>
      <w:r>
        <w:rPr>
          <w:spacing w:val="-1"/>
        </w:rPr>
        <w:t>supply</w:t>
      </w:r>
      <w:r>
        <w:rPr>
          <w:spacing w:val="-2"/>
        </w:rPr>
        <w:t xml:space="preserve"> </w:t>
      </w:r>
      <w:r>
        <w:rPr>
          <w:spacing w:val="-1"/>
        </w:rPr>
        <w:t>of</w:t>
      </w:r>
      <w:r>
        <w:rPr>
          <w:spacing w:val="2"/>
        </w:rPr>
        <w:t xml:space="preserve"> </w:t>
      </w:r>
      <w:r>
        <w:t>the</w:t>
      </w:r>
      <w:r>
        <w:rPr>
          <w:spacing w:val="-2"/>
        </w:rPr>
        <w:t xml:space="preserve"> </w:t>
      </w:r>
      <w:r>
        <w:rPr>
          <w:spacing w:val="-1"/>
        </w:rPr>
        <w:t>Goods</w:t>
      </w:r>
      <w:r>
        <w:rPr>
          <w:spacing w:val="1"/>
        </w:rPr>
        <w:t xml:space="preserve"> </w:t>
      </w:r>
      <w:r>
        <w:rPr>
          <w:spacing w:val="-2"/>
        </w:rPr>
        <w:t>and/or</w:t>
      </w:r>
      <w:r>
        <w:rPr>
          <w:spacing w:val="2"/>
        </w:rPr>
        <w:t xml:space="preserve"> </w:t>
      </w:r>
      <w:r>
        <w:rPr>
          <w:spacing w:val="-1"/>
        </w:rPr>
        <w:t>Services;</w:t>
      </w:r>
    </w:p>
    <w:p w:rsidR="008918FA" w:rsidRDefault="008918FA" w:rsidP="008918FA">
      <w:pPr>
        <w:pStyle w:val="BodyText"/>
        <w:numPr>
          <w:ilvl w:val="2"/>
          <w:numId w:val="9"/>
        </w:numPr>
        <w:tabs>
          <w:tab w:val="left" w:pos="1886"/>
        </w:tabs>
        <w:ind w:left="1885" w:right="113" w:hanging="993"/>
        <w:jc w:val="both"/>
      </w:pPr>
      <w:r>
        <w:rPr>
          <w:spacing w:val="-1"/>
        </w:rPr>
        <w:t>proposals</w:t>
      </w:r>
      <w:r>
        <w:rPr>
          <w:spacing w:val="25"/>
        </w:rPr>
        <w:t xml:space="preserve"> </w:t>
      </w:r>
      <w:r>
        <w:t>for</w:t>
      </w:r>
      <w:r>
        <w:rPr>
          <w:spacing w:val="26"/>
        </w:rPr>
        <w:t xml:space="preserve"> </w:t>
      </w:r>
      <w:r>
        <w:t>the</w:t>
      </w:r>
      <w:r>
        <w:rPr>
          <w:spacing w:val="27"/>
        </w:rPr>
        <w:t xml:space="preserve"> </w:t>
      </w:r>
      <w:r>
        <w:rPr>
          <w:spacing w:val="-1"/>
        </w:rPr>
        <w:t>identification</w:t>
      </w:r>
      <w:r>
        <w:rPr>
          <w:spacing w:val="27"/>
        </w:rPr>
        <w:t xml:space="preserve"> </w:t>
      </w:r>
      <w:r>
        <w:rPr>
          <w:spacing w:val="-1"/>
        </w:rPr>
        <w:t>and</w:t>
      </w:r>
      <w:r>
        <w:rPr>
          <w:spacing w:val="27"/>
        </w:rPr>
        <w:t xml:space="preserve"> </w:t>
      </w:r>
      <w:r>
        <w:rPr>
          <w:spacing w:val="-1"/>
        </w:rPr>
        <w:t>return</w:t>
      </w:r>
      <w:r>
        <w:rPr>
          <w:spacing w:val="24"/>
        </w:rPr>
        <w:t xml:space="preserve"> </w:t>
      </w:r>
      <w:r>
        <w:rPr>
          <w:spacing w:val="-2"/>
        </w:rPr>
        <w:t>of</w:t>
      </w:r>
      <w:r>
        <w:rPr>
          <w:spacing w:val="28"/>
        </w:rPr>
        <w:t xml:space="preserve"> </w:t>
      </w:r>
      <w:r>
        <w:rPr>
          <w:spacing w:val="-1"/>
        </w:rPr>
        <w:t>all</w:t>
      </w:r>
      <w:r>
        <w:rPr>
          <w:spacing w:val="26"/>
        </w:rPr>
        <w:t xml:space="preserve"> </w:t>
      </w:r>
      <w:r>
        <w:rPr>
          <w:spacing w:val="-1"/>
        </w:rPr>
        <w:t>Customer</w:t>
      </w:r>
      <w:r>
        <w:rPr>
          <w:spacing w:val="28"/>
        </w:rPr>
        <w:t xml:space="preserve"> </w:t>
      </w:r>
      <w:r>
        <w:rPr>
          <w:spacing w:val="-1"/>
        </w:rPr>
        <w:t>Property</w:t>
      </w:r>
      <w:r>
        <w:rPr>
          <w:spacing w:val="25"/>
        </w:rPr>
        <w:t xml:space="preserve"> </w:t>
      </w:r>
      <w:r>
        <w:rPr>
          <w:spacing w:val="-1"/>
        </w:rPr>
        <w:t>in</w:t>
      </w:r>
      <w:r>
        <w:rPr>
          <w:spacing w:val="27"/>
        </w:rPr>
        <w:t xml:space="preserve"> </w:t>
      </w:r>
      <w:r>
        <w:t>the</w:t>
      </w:r>
      <w:r>
        <w:rPr>
          <w:spacing w:val="55"/>
        </w:rPr>
        <w:t xml:space="preserve"> </w:t>
      </w:r>
      <w:r>
        <w:rPr>
          <w:spacing w:val="-1"/>
        </w:rPr>
        <w:t>possession</w:t>
      </w:r>
      <w:r>
        <w:rPr>
          <w:spacing w:val="55"/>
        </w:rPr>
        <w:t xml:space="preserve"> </w:t>
      </w:r>
      <w:r>
        <w:rPr>
          <w:spacing w:val="-2"/>
        </w:rPr>
        <w:t>of</w:t>
      </w:r>
      <w:r>
        <w:rPr>
          <w:spacing w:val="59"/>
        </w:rPr>
        <w:t xml:space="preserve"> </w:t>
      </w:r>
      <w:r>
        <w:rPr>
          <w:spacing w:val="-2"/>
        </w:rPr>
        <w:t>and/or</w:t>
      </w:r>
      <w:r>
        <w:rPr>
          <w:spacing w:val="57"/>
        </w:rPr>
        <w:t xml:space="preserve"> </w:t>
      </w:r>
      <w:r>
        <w:rPr>
          <w:spacing w:val="-1"/>
        </w:rPr>
        <w:t>control</w:t>
      </w:r>
      <w:r>
        <w:rPr>
          <w:spacing w:val="55"/>
        </w:rPr>
        <w:t xml:space="preserve"> </w:t>
      </w:r>
      <w:r>
        <w:rPr>
          <w:spacing w:val="-2"/>
        </w:rPr>
        <w:t>of</w:t>
      </w:r>
      <w:r>
        <w:rPr>
          <w:spacing w:val="57"/>
        </w:rPr>
        <w:t xml:space="preserve"> </w:t>
      </w:r>
      <w:r>
        <w:t>the</w:t>
      </w:r>
      <w:r>
        <w:rPr>
          <w:spacing w:val="54"/>
        </w:rPr>
        <w:t xml:space="preserve"> </w:t>
      </w:r>
      <w:r>
        <w:rPr>
          <w:spacing w:val="-2"/>
        </w:rPr>
        <w:t>Supplier</w:t>
      </w:r>
      <w:r>
        <w:rPr>
          <w:spacing w:val="57"/>
        </w:rPr>
        <w:t xml:space="preserve"> </w:t>
      </w:r>
      <w:r>
        <w:rPr>
          <w:spacing w:val="-1"/>
        </w:rPr>
        <w:t>or</w:t>
      </w:r>
      <w:r>
        <w:rPr>
          <w:spacing w:val="54"/>
        </w:rPr>
        <w:t xml:space="preserve"> </w:t>
      </w:r>
      <w:r>
        <w:rPr>
          <w:spacing w:val="-1"/>
        </w:rPr>
        <w:t>any</w:t>
      </w:r>
      <w:r>
        <w:rPr>
          <w:spacing w:val="53"/>
        </w:rPr>
        <w:t xml:space="preserve"> </w:t>
      </w:r>
      <w:r>
        <w:rPr>
          <w:spacing w:val="-1"/>
        </w:rPr>
        <w:t>third</w:t>
      </w:r>
      <w:r>
        <w:rPr>
          <w:spacing w:val="55"/>
        </w:rPr>
        <w:t xml:space="preserve"> </w:t>
      </w:r>
      <w:r>
        <w:rPr>
          <w:spacing w:val="-1"/>
        </w:rPr>
        <w:t>party</w:t>
      </w:r>
      <w:r>
        <w:rPr>
          <w:spacing w:val="47"/>
        </w:rPr>
        <w:t xml:space="preserve"> </w:t>
      </w:r>
      <w:r>
        <w:rPr>
          <w:spacing w:val="-1"/>
        </w:rPr>
        <w:t>(including</w:t>
      </w:r>
      <w:r>
        <w:rPr>
          <w:spacing w:val="3"/>
        </w:rPr>
        <w:t xml:space="preserve"> </w:t>
      </w:r>
      <w:r>
        <w:rPr>
          <w:spacing w:val="-1"/>
        </w:rPr>
        <w:t>any</w:t>
      </w:r>
      <w:r>
        <w:rPr>
          <w:spacing w:val="-2"/>
        </w:rPr>
        <w:t xml:space="preserve"> </w:t>
      </w:r>
      <w:r>
        <w:rPr>
          <w:spacing w:val="-1"/>
        </w:rPr>
        <w:t>Sub-Contractor);</w:t>
      </w:r>
    </w:p>
    <w:p w:rsidR="008918FA" w:rsidRDefault="008918FA" w:rsidP="008918FA">
      <w:pPr>
        <w:pStyle w:val="BodyText"/>
        <w:numPr>
          <w:ilvl w:val="2"/>
          <w:numId w:val="9"/>
        </w:numPr>
        <w:tabs>
          <w:tab w:val="left" w:pos="1886"/>
        </w:tabs>
        <w:spacing w:before="121"/>
        <w:ind w:left="1885" w:right="115" w:hanging="993"/>
        <w:jc w:val="both"/>
      </w:pPr>
      <w:r>
        <w:rPr>
          <w:spacing w:val="-1"/>
        </w:rPr>
        <w:t>proposals</w:t>
      </w:r>
      <w:r>
        <w:rPr>
          <w:spacing w:val="41"/>
        </w:rPr>
        <w:t xml:space="preserve"> </w:t>
      </w:r>
      <w:r>
        <w:t>for</w:t>
      </w:r>
      <w:r>
        <w:rPr>
          <w:spacing w:val="42"/>
        </w:rPr>
        <w:t xml:space="preserve"> </w:t>
      </w:r>
      <w:r>
        <w:rPr>
          <w:spacing w:val="-1"/>
        </w:rPr>
        <w:t>the</w:t>
      </w:r>
      <w:r>
        <w:rPr>
          <w:spacing w:val="43"/>
        </w:rPr>
        <w:t xml:space="preserve"> </w:t>
      </w:r>
      <w:r>
        <w:rPr>
          <w:spacing w:val="-1"/>
        </w:rPr>
        <w:t>disposal</w:t>
      </w:r>
      <w:r>
        <w:rPr>
          <w:spacing w:val="43"/>
        </w:rPr>
        <w:t xml:space="preserve"> </w:t>
      </w:r>
      <w:r>
        <w:rPr>
          <w:spacing w:val="-1"/>
        </w:rPr>
        <w:t>of</w:t>
      </w:r>
      <w:r>
        <w:rPr>
          <w:spacing w:val="47"/>
        </w:rPr>
        <w:t xml:space="preserve"> </w:t>
      </w:r>
      <w:r>
        <w:rPr>
          <w:spacing w:val="-1"/>
        </w:rPr>
        <w:t>any</w:t>
      </w:r>
      <w:r>
        <w:rPr>
          <w:spacing w:val="41"/>
        </w:rPr>
        <w:t xml:space="preserve"> </w:t>
      </w:r>
      <w:r>
        <w:rPr>
          <w:spacing w:val="-1"/>
        </w:rPr>
        <w:t>redundant</w:t>
      </w:r>
      <w:r>
        <w:rPr>
          <w:spacing w:val="46"/>
        </w:rPr>
        <w:t xml:space="preserve"> </w:t>
      </w:r>
      <w:r>
        <w:rPr>
          <w:spacing w:val="-1"/>
        </w:rPr>
        <w:t>Goods</w:t>
      </w:r>
      <w:r>
        <w:rPr>
          <w:spacing w:val="44"/>
        </w:rPr>
        <w:t xml:space="preserve"> </w:t>
      </w:r>
      <w:r>
        <w:rPr>
          <w:spacing w:val="-1"/>
        </w:rPr>
        <w:t>and/or</w:t>
      </w:r>
      <w:r>
        <w:rPr>
          <w:spacing w:val="45"/>
        </w:rPr>
        <w:t xml:space="preserve"> </w:t>
      </w:r>
      <w:r>
        <w:rPr>
          <w:spacing w:val="-1"/>
        </w:rPr>
        <w:t>Services</w:t>
      </w:r>
      <w:r>
        <w:rPr>
          <w:spacing w:val="31"/>
        </w:rPr>
        <w:t xml:space="preserve"> </w:t>
      </w:r>
      <w:r>
        <w:rPr>
          <w:spacing w:val="-1"/>
        </w:rPr>
        <w:t>and</w:t>
      </w:r>
      <w:r>
        <w:t xml:space="preserve"> </w:t>
      </w:r>
      <w:r>
        <w:rPr>
          <w:spacing w:val="-1"/>
        </w:rPr>
        <w:t>materials;</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numPr>
          <w:ilvl w:val="2"/>
          <w:numId w:val="9"/>
        </w:numPr>
        <w:tabs>
          <w:tab w:val="left" w:pos="2027"/>
        </w:tabs>
        <w:spacing w:before="59"/>
        <w:ind w:left="2026" w:right="114"/>
        <w:jc w:val="both"/>
      </w:pPr>
      <w:r>
        <w:rPr>
          <w:spacing w:val="-1"/>
        </w:rPr>
        <w:t>procedures</w:t>
      </w:r>
      <w:r>
        <w:rPr>
          <w:spacing w:val="56"/>
        </w:rPr>
        <w:t xml:space="preserve"> </w:t>
      </w:r>
      <w:r>
        <w:t>to</w:t>
      </w:r>
      <w:r>
        <w:rPr>
          <w:spacing w:val="58"/>
        </w:rPr>
        <w:t xml:space="preserve"> </w:t>
      </w:r>
      <w:r>
        <w:rPr>
          <w:spacing w:val="-1"/>
        </w:rPr>
        <w:t>deal</w:t>
      </w:r>
      <w:r>
        <w:rPr>
          <w:spacing w:val="57"/>
        </w:rPr>
        <w:t xml:space="preserve"> </w:t>
      </w:r>
      <w:r>
        <w:rPr>
          <w:spacing w:val="-2"/>
        </w:rPr>
        <w:t>with</w:t>
      </w:r>
      <w:r>
        <w:rPr>
          <w:spacing w:val="58"/>
        </w:rPr>
        <w:t xml:space="preserve"> </w:t>
      </w:r>
      <w:r>
        <w:rPr>
          <w:spacing w:val="-1"/>
        </w:rPr>
        <w:t>requests</w:t>
      </w:r>
      <w:r>
        <w:rPr>
          <w:spacing w:val="56"/>
        </w:rPr>
        <w:t xml:space="preserve"> </w:t>
      </w:r>
      <w:r>
        <w:rPr>
          <w:spacing w:val="-1"/>
        </w:rPr>
        <w:t>made</w:t>
      </w:r>
      <w:r>
        <w:rPr>
          <w:spacing w:val="59"/>
        </w:rPr>
        <w:t xml:space="preserve"> </w:t>
      </w:r>
      <w:r>
        <w:rPr>
          <w:spacing w:val="-1"/>
        </w:rPr>
        <w:t>by</w:t>
      </w:r>
      <w:r>
        <w:rPr>
          <w:spacing w:val="57"/>
        </w:rPr>
        <w:t xml:space="preserve"> </w:t>
      </w:r>
      <w:r>
        <w:t>the</w:t>
      </w:r>
      <w:r>
        <w:rPr>
          <w:spacing w:val="55"/>
        </w:rPr>
        <w:t xml:space="preserve"> </w:t>
      </w:r>
      <w:r>
        <w:rPr>
          <w:spacing w:val="-1"/>
        </w:rPr>
        <w:t>Customer</w:t>
      </w:r>
      <w:r>
        <w:rPr>
          <w:spacing w:val="59"/>
        </w:rPr>
        <w:t xml:space="preserve"> </w:t>
      </w:r>
      <w:r>
        <w:rPr>
          <w:spacing w:val="-1"/>
        </w:rPr>
        <w:t>and/or</w:t>
      </w:r>
      <w:r>
        <w:rPr>
          <w:spacing w:val="59"/>
        </w:rPr>
        <w:t xml:space="preserve"> </w:t>
      </w:r>
      <w:r>
        <w:t>a</w:t>
      </w:r>
      <w:r>
        <w:rPr>
          <w:spacing w:val="39"/>
        </w:rPr>
        <w:t xml:space="preserve"> </w:t>
      </w:r>
      <w:r>
        <w:rPr>
          <w:spacing w:val="-1"/>
        </w:rPr>
        <w:t>Replacement</w:t>
      </w:r>
      <w:r>
        <w:rPr>
          <w:spacing w:val="3"/>
        </w:rPr>
        <w:t xml:space="preserve"> </w:t>
      </w:r>
      <w:r>
        <w:rPr>
          <w:spacing w:val="-2"/>
        </w:rPr>
        <w:t>Supplier</w:t>
      </w:r>
      <w:r>
        <w:rPr>
          <w:spacing w:val="3"/>
        </w:rPr>
        <w:t xml:space="preserve"> </w:t>
      </w:r>
      <w:r>
        <w:t>for</w:t>
      </w:r>
      <w:r>
        <w:rPr>
          <w:spacing w:val="3"/>
        </w:rPr>
        <w:t xml:space="preserve"> </w:t>
      </w:r>
      <w:r>
        <w:rPr>
          <w:spacing w:val="-1"/>
        </w:rPr>
        <w:t>Staffing</w:t>
      </w:r>
      <w:r>
        <w:rPr>
          <w:spacing w:val="2"/>
        </w:rPr>
        <w:t xml:space="preserve"> </w:t>
      </w:r>
      <w:r>
        <w:rPr>
          <w:spacing w:val="-1"/>
        </w:rPr>
        <w:t>Information</w:t>
      </w:r>
      <w:r>
        <w:rPr>
          <w:spacing w:val="2"/>
        </w:rPr>
        <w:t xml:space="preserve"> </w:t>
      </w:r>
      <w:r>
        <w:rPr>
          <w:spacing w:val="-1"/>
        </w:rPr>
        <w:t>pursuant</w:t>
      </w:r>
      <w:r>
        <w:rPr>
          <w:spacing w:val="3"/>
        </w:rPr>
        <w:t xml:space="preserve"> </w:t>
      </w:r>
      <w:r>
        <w:t>to</w:t>
      </w:r>
      <w:r>
        <w:rPr>
          <w:spacing w:val="2"/>
        </w:rPr>
        <w:t xml:space="preserve"> </w:t>
      </w:r>
      <w:r>
        <w:rPr>
          <w:spacing w:val="-2"/>
        </w:rPr>
        <w:t>Call</w:t>
      </w:r>
      <w:r>
        <w:rPr>
          <w:spacing w:val="59"/>
        </w:rPr>
        <w:t xml:space="preserve"> </w:t>
      </w:r>
      <w:r>
        <w:rPr>
          <w:spacing w:val="-1"/>
        </w:rPr>
        <w:t>Off</w:t>
      </w:r>
      <w:r>
        <w:rPr>
          <w:spacing w:val="51"/>
        </w:rPr>
        <w:t xml:space="preserve"> </w:t>
      </w:r>
      <w:r>
        <w:rPr>
          <w:spacing w:val="-1"/>
        </w:rPr>
        <w:t>Schedule</w:t>
      </w:r>
      <w:r>
        <w:t xml:space="preserve"> </w:t>
      </w:r>
      <w:r>
        <w:rPr>
          <w:spacing w:val="-1"/>
        </w:rPr>
        <w:t>11</w:t>
      </w:r>
      <w:r>
        <w:rPr>
          <w:spacing w:val="1"/>
        </w:rPr>
        <w:t xml:space="preserve"> </w:t>
      </w:r>
      <w:r>
        <w:rPr>
          <w:spacing w:val="-1"/>
        </w:rPr>
        <w:t>(Staff</w:t>
      </w:r>
      <w:r>
        <w:t xml:space="preserve"> </w:t>
      </w:r>
      <w:r>
        <w:rPr>
          <w:spacing w:val="-1"/>
        </w:rPr>
        <w:t>Transfer);</w:t>
      </w:r>
    </w:p>
    <w:p w:rsidR="008918FA" w:rsidRDefault="008918FA" w:rsidP="008918FA">
      <w:pPr>
        <w:pStyle w:val="BodyText"/>
        <w:numPr>
          <w:ilvl w:val="2"/>
          <w:numId w:val="9"/>
        </w:numPr>
        <w:tabs>
          <w:tab w:val="left" w:pos="2027"/>
        </w:tabs>
        <w:ind w:left="2026" w:right="112"/>
        <w:jc w:val="both"/>
      </w:pPr>
      <w:r>
        <w:rPr>
          <w:spacing w:val="-1"/>
        </w:rPr>
        <w:t>how</w:t>
      </w:r>
      <w:r>
        <w:rPr>
          <w:spacing w:val="8"/>
        </w:rPr>
        <w:t xml:space="preserve"> </w:t>
      </w:r>
      <w:r>
        <w:rPr>
          <w:spacing w:val="-1"/>
        </w:rPr>
        <w:t>each</w:t>
      </w:r>
      <w:r>
        <w:rPr>
          <w:spacing w:val="12"/>
        </w:rPr>
        <w:t xml:space="preserve"> </w:t>
      </w:r>
      <w:r>
        <w:rPr>
          <w:spacing w:val="-1"/>
        </w:rPr>
        <w:t>of</w:t>
      </w:r>
      <w:r>
        <w:rPr>
          <w:spacing w:val="15"/>
        </w:rPr>
        <w:t xml:space="preserve"> </w:t>
      </w:r>
      <w:r>
        <w:t>the</w:t>
      </w:r>
      <w:r>
        <w:rPr>
          <w:spacing w:val="11"/>
        </w:rPr>
        <w:t xml:space="preserve"> </w:t>
      </w:r>
      <w:r>
        <w:rPr>
          <w:spacing w:val="-2"/>
        </w:rPr>
        <w:t>issues</w:t>
      </w:r>
      <w:r>
        <w:rPr>
          <w:spacing w:val="12"/>
        </w:rPr>
        <w:t xml:space="preserve"> </w:t>
      </w:r>
      <w:r>
        <w:rPr>
          <w:spacing w:val="-1"/>
        </w:rPr>
        <w:t>set</w:t>
      </w:r>
      <w:r>
        <w:rPr>
          <w:spacing w:val="13"/>
        </w:rPr>
        <w:t xml:space="preserve"> </w:t>
      </w:r>
      <w:r>
        <w:rPr>
          <w:spacing w:val="-1"/>
        </w:rPr>
        <w:t>out</w:t>
      </w:r>
      <w:r>
        <w:rPr>
          <w:spacing w:val="13"/>
        </w:rPr>
        <w:t xml:space="preserve"> </w:t>
      </w:r>
      <w:r>
        <w:rPr>
          <w:spacing w:val="-1"/>
        </w:rPr>
        <w:t>in</w:t>
      </w:r>
      <w:r>
        <w:rPr>
          <w:spacing w:val="11"/>
        </w:rPr>
        <w:t xml:space="preserve"> </w:t>
      </w:r>
      <w:r>
        <w:rPr>
          <w:spacing w:val="-1"/>
        </w:rPr>
        <w:t>this</w:t>
      </w:r>
      <w:r>
        <w:rPr>
          <w:spacing w:val="12"/>
        </w:rPr>
        <w:t xml:space="preserve"> </w:t>
      </w:r>
      <w:r>
        <w:rPr>
          <w:spacing w:val="-2"/>
        </w:rPr>
        <w:t>Call</w:t>
      </w:r>
      <w:r>
        <w:rPr>
          <w:spacing w:val="11"/>
        </w:rPr>
        <w:t xml:space="preserve"> </w:t>
      </w:r>
      <w:r>
        <w:rPr>
          <w:spacing w:val="-1"/>
        </w:rPr>
        <w:t>Off</w:t>
      </w:r>
      <w:r>
        <w:rPr>
          <w:spacing w:val="13"/>
        </w:rPr>
        <w:t xml:space="preserve"> </w:t>
      </w:r>
      <w:r>
        <w:rPr>
          <w:spacing w:val="-1"/>
        </w:rPr>
        <w:t>Schedule</w:t>
      </w:r>
      <w:r>
        <w:rPr>
          <w:spacing w:val="2"/>
        </w:rPr>
        <w:t xml:space="preserve"> </w:t>
      </w:r>
      <w:r>
        <w:rPr>
          <w:spacing w:val="-2"/>
        </w:rPr>
        <w:t>will</w:t>
      </w:r>
      <w:r>
        <w:rPr>
          <w:spacing w:val="11"/>
        </w:rPr>
        <w:t xml:space="preserve"> </w:t>
      </w:r>
      <w:r>
        <w:rPr>
          <w:spacing w:val="1"/>
        </w:rPr>
        <w:t>be</w:t>
      </w:r>
      <w:r>
        <w:rPr>
          <w:spacing w:val="39"/>
        </w:rPr>
        <w:t xml:space="preserve"> </w:t>
      </w:r>
      <w:r>
        <w:rPr>
          <w:spacing w:val="-1"/>
        </w:rPr>
        <w:t>addressed</w:t>
      </w:r>
      <w:r>
        <w:rPr>
          <w:spacing w:val="3"/>
        </w:rPr>
        <w:t xml:space="preserve"> </w:t>
      </w:r>
      <w:r>
        <w:t>to</w:t>
      </w:r>
      <w:r>
        <w:rPr>
          <w:spacing w:val="3"/>
        </w:rPr>
        <w:t xml:space="preserve"> </w:t>
      </w:r>
      <w:r>
        <w:rPr>
          <w:spacing w:val="-1"/>
        </w:rPr>
        <w:t>facilitate</w:t>
      </w:r>
      <w:r>
        <w:rPr>
          <w:spacing w:val="3"/>
        </w:rPr>
        <w:t xml:space="preserve"> </w:t>
      </w:r>
      <w:r>
        <w:rPr>
          <w:spacing w:val="-1"/>
        </w:rPr>
        <w:t>the</w:t>
      </w:r>
      <w:r>
        <w:rPr>
          <w:spacing w:val="5"/>
        </w:rPr>
        <w:t xml:space="preserve"> </w:t>
      </w:r>
      <w:r>
        <w:rPr>
          <w:spacing w:val="-1"/>
        </w:rPr>
        <w:t>transition</w:t>
      </w:r>
      <w:r>
        <w:rPr>
          <w:spacing w:val="5"/>
        </w:rPr>
        <w:t xml:space="preserve"> </w:t>
      </w:r>
      <w:r>
        <w:rPr>
          <w:spacing w:val="-2"/>
        </w:rPr>
        <w:t>of</w:t>
      </w:r>
      <w:r>
        <w:rPr>
          <w:spacing w:val="7"/>
        </w:rPr>
        <w:t xml:space="preserve"> </w:t>
      </w:r>
      <w:r>
        <w:t>the</w:t>
      </w:r>
      <w:r>
        <w:rPr>
          <w:spacing w:val="2"/>
        </w:rPr>
        <w:t xml:space="preserve"> </w:t>
      </w:r>
      <w:r>
        <w:rPr>
          <w:spacing w:val="-1"/>
        </w:rPr>
        <w:t>Goods</w:t>
      </w:r>
      <w:r>
        <w:rPr>
          <w:spacing w:val="3"/>
        </w:rPr>
        <w:t xml:space="preserve"> </w:t>
      </w:r>
      <w:r>
        <w:rPr>
          <w:spacing w:val="-1"/>
        </w:rPr>
        <w:t>and/or</w:t>
      </w:r>
      <w:r>
        <w:rPr>
          <w:spacing w:val="4"/>
        </w:rPr>
        <w:t xml:space="preserve"> </w:t>
      </w:r>
      <w:r>
        <w:rPr>
          <w:spacing w:val="-1"/>
        </w:rPr>
        <w:t>Services</w:t>
      </w:r>
      <w:r>
        <w:rPr>
          <w:spacing w:val="4"/>
        </w:rPr>
        <w:t xml:space="preserve"> </w:t>
      </w:r>
      <w:r>
        <w:t>from</w:t>
      </w:r>
      <w:r>
        <w:rPr>
          <w:spacing w:val="41"/>
        </w:rPr>
        <w:t xml:space="preserve"> </w:t>
      </w:r>
      <w:r>
        <w:t>the</w:t>
      </w:r>
      <w:r>
        <w:rPr>
          <w:spacing w:val="3"/>
        </w:rPr>
        <w:t xml:space="preserve"> </w:t>
      </w:r>
      <w:r>
        <w:rPr>
          <w:spacing w:val="-2"/>
        </w:rPr>
        <w:t>Supplier</w:t>
      </w:r>
      <w:r>
        <w:rPr>
          <w:spacing w:val="2"/>
        </w:rPr>
        <w:t xml:space="preserve"> </w:t>
      </w:r>
      <w:r>
        <w:t>to the</w:t>
      </w:r>
      <w:r>
        <w:rPr>
          <w:spacing w:val="3"/>
        </w:rPr>
        <w:t xml:space="preserve"> </w:t>
      </w:r>
      <w:r>
        <w:rPr>
          <w:spacing w:val="-2"/>
        </w:rPr>
        <w:t>Replacement</w:t>
      </w:r>
      <w:r>
        <w:rPr>
          <w:spacing w:val="2"/>
        </w:rPr>
        <w:t xml:space="preserve"> </w:t>
      </w:r>
      <w:r>
        <w:rPr>
          <w:spacing w:val="-2"/>
        </w:rPr>
        <w:t>Supplier</w:t>
      </w:r>
      <w:r>
        <w:rPr>
          <w:spacing w:val="4"/>
        </w:rPr>
        <w:t xml:space="preserve"> </w:t>
      </w:r>
      <w:r>
        <w:rPr>
          <w:spacing w:val="-1"/>
        </w:rPr>
        <w:t>and/or</w:t>
      </w:r>
      <w:r>
        <w:rPr>
          <w:spacing w:val="2"/>
        </w:rPr>
        <w:t xml:space="preserve"> </w:t>
      </w:r>
      <w:r>
        <w:rPr>
          <w:spacing w:val="-1"/>
        </w:rPr>
        <w:t>the</w:t>
      </w:r>
      <w:r>
        <w:rPr>
          <w:spacing w:val="3"/>
        </w:rPr>
        <w:t xml:space="preserve"> </w:t>
      </w:r>
      <w:r>
        <w:rPr>
          <w:spacing w:val="-1"/>
        </w:rPr>
        <w:t>Customer</w:t>
      </w:r>
      <w:r>
        <w:rPr>
          <w:spacing w:val="2"/>
        </w:rPr>
        <w:t xml:space="preserve"> </w:t>
      </w:r>
      <w:r>
        <w:rPr>
          <w:spacing w:val="-2"/>
        </w:rPr>
        <w:t>with</w:t>
      </w:r>
      <w:r>
        <w:rPr>
          <w:spacing w:val="3"/>
        </w:rPr>
        <w:t xml:space="preserve"> </w:t>
      </w:r>
      <w:r>
        <w:rPr>
          <w:spacing w:val="-1"/>
        </w:rPr>
        <w:t>the</w:t>
      </w:r>
      <w:r>
        <w:rPr>
          <w:spacing w:val="64"/>
        </w:rPr>
        <w:t xml:space="preserve"> </w:t>
      </w:r>
      <w:r>
        <w:rPr>
          <w:spacing w:val="-1"/>
        </w:rPr>
        <w:t>aim</w:t>
      </w:r>
      <w:r>
        <w:rPr>
          <w:spacing w:val="47"/>
        </w:rPr>
        <w:t xml:space="preserve"> </w:t>
      </w:r>
      <w:r>
        <w:rPr>
          <w:spacing w:val="-2"/>
        </w:rPr>
        <w:t>of</w:t>
      </w:r>
      <w:r>
        <w:rPr>
          <w:spacing w:val="47"/>
        </w:rPr>
        <w:t xml:space="preserve"> </w:t>
      </w:r>
      <w:r>
        <w:rPr>
          <w:spacing w:val="-1"/>
        </w:rPr>
        <w:t>ensuring</w:t>
      </w:r>
      <w:r>
        <w:rPr>
          <w:spacing w:val="46"/>
        </w:rPr>
        <w:t xml:space="preserve"> </w:t>
      </w:r>
      <w:r>
        <w:rPr>
          <w:spacing w:val="-1"/>
        </w:rPr>
        <w:t>that</w:t>
      </w:r>
      <w:r>
        <w:rPr>
          <w:spacing w:val="45"/>
        </w:rPr>
        <w:t xml:space="preserve"> </w:t>
      </w:r>
      <w:r>
        <w:rPr>
          <w:spacing w:val="-1"/>
        </w:rPr>
        <w:t>there</w:t>
      </w:r>
      <w:r>
        <w:rPr>
          <w:spacing w:val="46"/>
        </w:rPr>
        <w:t xml:space="preserve"> </w:t>
      </w:r>
      <w:r>
        <w:rPr>
          <w:spacing w:val="-1"/>
        </w:rPr>
        <w:t>is</w:t>
      </w:r>
      <w:r>
        <w:rPr>
          <w:spacing w:val="46"/>
        </w:rPr>
        <w:t xml:space="preserve"> </w:t>
      </w:r>
      <w:r>
        <w:rPr>
          <w:spacing w:val="-1"/>
        </w:rPr>
        <w:t>no</w:t>
      </w:r>
      <w:r>
        <w:rPr>
          <w:spacing w:val="44"/>
        </w:rPr>
        <w:t xml:space="preserve"> </w:t>
      </w:r>
      <w:r>
        <w:rPr>
          <w:spacing w:val="-1"/>
        </w:rPr>
        <w:t>disruption</w:t>
      </w:r>
      <w:r>
        <w:rPr>
          <w:spacing w:val="43"/>
        </w:rPr>
        <w:t xml:space="preserve"> </w:t>
      </w:r>
      <w:r>
        <w:t>to</w:t>
      </w:r>
      <w:r>
        <w:rPr>
          <w:spacing w:val="43"/>
        </w:rPr>
        <w:t xml:space="preserve"> </w:t>
      </w:r>
      <w:r>
        <w:rPr>
          <w:spacing w:val="-1"/>
        </w:rPr>
        <w:t>or</w:t>
      </w:r>
      <w:r>
        <w:rPr>
          <w:spacing w:val="47"/>
        </w:rPr>
        <w:t xml:space="preserve"> </w:t>
      </w:r>
      <w:r>
        <w:rPr>
          <w:spacing w:val="-1"/>
        </w:rPr>
        <w:t>degradation</w:t>
      </w:r>
      <w:r>
        <w:rPr>
          <w:spacing w:val="46"/>
        </w:rPr>
        <w:t xml:space="preserve"> </w:t>
      </w:r>
      <w:r>
        <w:rPr>
          <w:spacing w:val="-2"/>
        </w:rPr>
        <w:t>of</w:t>
      </w:r>
      <w:r>
        <w:rPr>
          <w:spacing w:val="47"/>
        </w:rPr>
        <w:t xml:space="preserve"> </w:t>
      </w:r>
      <w:r>
        <w:rPr>
          <w:spacing w:val="-2"/>
        </w:rPr>
        <w:t>the</w:t>
      </w:r>
      <w:r>
        <w:rPr>
          <w:spacing w:val="34"/>
        </w:rPr>
        <w:t xml:space="preserve"> </w:t>
      </w:r>
      <w:r>
        <w:rPr>
          <w:spacing w:val="-1"/>
        </w:rPr>
        <w:t>Goods</w:t>
      </w:r>
      <w:r>
        <w:rPr>
          <w:spacing w:val="1"/>
        </w:rPr>
        <w:t xml:space="preserve"> </w:t>
      </w:r>
      <w:r>
        <w:rPr>
          <w:spacing w:val="-1"/>
        </w:rPr>
        <w:t>and/or Services</w:t>
      </w:r>
      <w:r>
        <w:rPr>
          <w:spacing w:val="2"/>
        </w:rPr>
        <w:t xml:space="preserve"> </w:t>
      </w:r>
      <w:r>
        <w:rPr>
          <w:spacing w:val="-2"/>
        </w:rPr>
        <w:t>during</w:t>
      </w:r>
      <w:r>
        <w:t xml:space="preserve"> the</w:t>
      </w:r>
      <w:r>
        <w:rPr>
          <w:spacing w:val="-4"/>
        </w:rPr>
        <w:t xml:space="preserve"> </w:t>
      </w:r>
      <w:r>
        <w:rPr>
          <w:spacing w:val="-1"/>
        </w:rPr>
        <w:t>Termination</w:t>
      </w:r>
      <w:r>
        <w:t xml:space="preserve"> </w:t>
      </w:r>
      <w:r>
        <w:rPr>
          <w:spacing w:val="-1"/>
        </w:rPr>
        <w:t>Assistance</w:t>
      </w:r>
      <w:r>
        <w:rPr>
          <w:spacing w:val="1"/>
        </w:rPr>
        <w:t xml:space="preserve"> </w:t>
      </w:r>
      <w:r>
        <w:rPr>
          <w:spacing w:val="-2"/>
        </w:rPr>
        <w:t>Period;</w:t>
      </w:r>
      <w:r>
        <w:rPr>
          <w:spacing w:val="2"/>
        </w:rPr>
        <w:t xml:space="preserve"> </w:t>
      </w:r>
      <w:r>
        <w:rPr>
          <w:spacing w:val="-1"/>
        </w:rPr>
        <w:t>and</w:t>
      </w:r>
    </w:p>
    <w:p w:rsidR="008918FA" w:rsidRDefault="008918FA" w:rsidP="008918FA">
      <w:pPr>
        <w:pStyle w:val="BodyText"/>
        <w:numPr>
          <w:ilvl w:val="2"/>
          <w:numId w:val="9"/>
        </w:numPr>
        <w:tabs>
          <w:tab w:val="left" w:pos="2027"/>
        </w:tabs>
        <w:ind w:left="2026" w:right="114"/>
        <w:jc w:val="both"/>
      </w:pPr>
      <w:r>
        <w:rPr>
          <w:spacing w:val="-1"/>
        </w:rPr>
        <w:t>proposals</w:t>
      </w:r>
      <w:r>
        <w:rPr>
          <w:spacing w:val="31"/>
        </w:rPr>
        <w:t xml:space="preserve"> </w:t>
      </w:r>
      <w:r>
        <w:t>for</w:t>
      </w:r>
      <w:r>
        <w:rPr>
          <w:spacing w:val="32"/>
        </w:rPr>
        <w:t xml:space="preserve"> </w:t>
      </w:r>
      <w:r>
        <w:t>the</w:t>
      </w:r>
      <w:r>
        <w:rPr>
          <w:spacing w:val="32"/>
        </w:rPr>
        <w:t xml:space="preserve"> </w:t>
      </w:r>
      <w:r>
        <w:rPr>
          <w:spacing w:val="-2"/>
        </w:rPr>
        <w:t>supply</w:t>
      </w:r>
      <w:r>
        <w:rPr>
          <w:spacing w:val="30"/>
        </w:rPr>
        <w:t xml:space="preserve"> </w:t>
      </w:r>
      <w:r>
        <w:rPr>
          <w:spacing w:val="-1"/>
        </w:rPr>
        <w:t>of</w:t>
      </w:r>
      <w:r>
        <w:rPr>
          <w:spacing w:val="36"/>
        </w:rPr>
        <w:t xml:space="preserve"> </w:t>
      </w:r>
      <w:r>
        <w:rPr>
          <w:spacing w:val="-1"/>
        </w:rPr>
        <w:t>any</w:t>
      </w:r>
      <w:r>
        <w:rPr>
          <w:spacing w:val="30"/>
        </w:rPr>
        <w:t xml:space="preserve"> </w:t>
      </w:r>
      <w:r>
        <w:rPr>
          <w:spacing w:val="-1"/>
        </w:rPr>
        <w:t>other</w:t>
      </w:r>
      <w:r>
        <w:rPr>
          <w:spacing w:val="35"/>
        </w:rPr>
        <w:t xml:space="preserve"> </w:t>
      </w:r>
      <w:r>
        <w:rPr>
          <w:spacing w:val="-1"/>
        </w:rPr>
        <w:t>information</w:t>
      </w:r>
      <w:r>
        <w:rPr>
          <w:spacing w:val="32"/>
        </w:rPr>
        <w:t xml:space="preserve"> </w:t>
      </w:r>
      <w:r>
        <w:rPr>
          <w:spacing w:val="-1"/>
        </w:rPr>
        <w:t>or</w:t>
      </w:r>
      <w:r>
        <w:rPr>
          <w:spacing w:val="34"/>
        </w:rPr>
        <w:t xml:space="preserve"> </w:t>
      </w:r>
      <w:r>
        <w:rPr>
          <w:spacing w:val="-1"/>
        </w:rPr>
        <w:t>assistance</w:t>
      </w:r>
      <w:r>
        <w:rPr>
          <w:spacing w:val="42"/>
        </w:rPr>
        <w:t xml:space="preserve"> </w:t>
      </w:r>
      <w:r>
        <w:rPr>
          <w:spacing w:val="-1"/>
        </w:rPr>
        <w:t>reasonably</w:t>
      </w:r>
      <w:r>
        <w:rPr>
          <w:spacing w:val="41"/>
        </w:rPr>
        <w:t xml:space="preserve"> </w:t>
      </w:r>
      <w:r>
        <w:rPr>
          <w:spacing w:val="-1"/>
        </w:rPr>
        <w:t>required</w:t>
      </w:r>
      <w:r>
        <w:rPr>
          <w:spacing w:val="43"/>
        </w:rPr>
        <w:t xml:space="preserve"> </w:t>
      </w:r>
      <w:r>
        <w:rPr>
          <w:spacing w:val="-1"/>
        </w:rPr>
        <w:t>by</w:t>
      </w:r>
      <w:r>
        <w:rPr>
          <w:spacing w:val="41"/>
        </w:rPr>
        <w:t xml:space="preserve"> </w:t>
      </w:r>
      <w:r>
        <w:t>the</w:t>
      </w:r>
      <w:r>
        <w:rPr>
          <w:spacing w:val="43"/>
        </w:rPr>
        <w:t xml:space="preserve"> </w:t>
      </w:r>
      <w:r>
        <w:rPr>
          <w:spacing w:val="-1"/>
        </w:rPr>
        <w:t>Customer</w:t>
      </w:r>
      <w:r>
        <w:rPr>
          <w:spacing w:val="45"/>
        </w:rPr>
        <w:t xml:space="preserve"> </w:t>
      </w:r>
      <w:r>
        <w:rPr>
          <w:spacing w:val="-1"/>
        </w:rPr>
        <w:t>or</w:t>
      </w:r>
      <w:r>
        <w:rPr>
          <w:spacing w:val="45"/>
        </w:rPr>
        <w:t xml:space="preserve"> </w:t>
      </w:r>
      <w:r>
        <w:t>a</w:t>
      </w:r>
      <w:r>
        <w:rPr>
          <w:spacing w:val="44"/>
        </w:rPr>
        <w:t xml:space="preserve"> </w:t>
      </w:r>
      <w:r>
        <w:rPr>
          <w:spacing w:val="-1"/>
        </w:rPr>
        <w:t>Replacement</w:t>
      </w:r>
      <w:r>
        <w:rPr>
          <w:spacing w:val="45"/>
        </w:rPr>
        <w:t xml:space="preserve"> </w:t>
      </w:r>
      <w:r>
        <w:rPr>
          <w:spacing w:val="-2"/>
        </w:rPr>
        <w:t>Supplier</w:t>
      </w:r>
      <w:r>
        <w:rPr>
          <w:spacing w:val="45"/>
        </w:rPr>
        <w:t xml:space="preserve"> </w:t>
      </w:r>
      <w:r>
        <w:rPr>
          <w:spacing w:val="-1"/>
        </w:rPr>
        <w:t>in</w:t>
      </w:r>
      <w:r>
        <w:rPr>
          <w:spacing w:val="37"/>
        </w:rPr>
        <w:t xml:space="preserve"> </w:t>
      </w:r>
      <w:r>
        <w:rPr>
          <w:spacing w:val="-1"/>
        </w:rPr>
        <w:t>order</w:t>
      </w:r>
      <w:r>
        <w:rPr>
          <w:spacing w:val="59"/>
        </w:rPr>
        <w:t xml:space="preserve"> </w:t>
      </w:r>
      <w:r>
        <w:t>to</w:t>
      </w:r>
      <w:r>
        <w:rPr>
          <w:spacing w:val="60"/>
        </w:rPr>
        <w:t xml:space="preserve"> </w:t>
      </w:r>
      <w:r>
        <w:rPr>
          <w:spacing w:val="-1"/>
        </w:rPr>
        <w:t>effect</w:t>
      </w:r>
      <w:r>
        <w:rPr>
          <w:spacing w:val="1"/>
        </w:rPr>
        <w:t xml:space="preserve"> </w:t>
      </w:r>
      <w:r>
        <w:rPr>
          <w:spacing w:val="-1"/>
        </w:rPr>
        <w:t>an</w:t>
      </w:r>
      <w:r>
        <w:rPr>
          <w:spacing w:val="60"/>
        </w:rPr>
        <w:t xml:space="preserve"> </w:t>
      </w:r>
      <w:r>
        <w:rPr>
          <w:spacing w:val="-2"/>
        </w:rPr>
        <w:t>orderly</w:t>
      </w:r>
      <w:r>
        <w:rPr>
          <w:spacing w:val="58"/>
        </w:rPr>
        <w:t xml:space="preserve"> </w:t>
      </w:r>
      <w:r>
        <w:rPr>
          <w:spacing w:val="-2"/>
        </w:rPr>
        <w:t>handover</w:t>
      </w:r>
      <w:r>
        <w:t xml:space="preserve">  </w:t>
      </w:r>
      <w:r>
        <w:rPr>
          <w:spacing w:val="-1"/>
        </w:rPr>
        <w:t>of</w:t>
      </w:r>
      <w:r>
        <w:rPr>
          <w:spacing w:val="3"/>
        </w:rPr>
        <w:t xml:space="preserve"> </w:t>
      </w:r>
      <w:r>
        <w:t>the</w:t>
      </w:r>
      <w:r>
        <w:rPr>
          <w:spacing w:val="60"/>
        </w:rPr>
        <w:t xml:space="preserve"> </w:t>
      </w:r>
      <w:r>
        <w:rPr>
          <w:spacing w:val="-2"/>
        </w:rPr>
        <w:t>provision</w:t>
      </w:r>
      <w:r>
        <w:rPr>
          <w:spacing w:val="60"/>
        </w:rPr>
        <w:t xml:space="preserve"> </w:t>
      </w:r>
      <w:r>
        <w:rPr>
          <w:spacing w:val="-1"/>
        </w:rPr>
        <w:t>of</w:t>
      </w:r>
      <w:r>
        <w:rPr>
          <w:spacing w:val="3"/>
        </w:rPr>
        <w:t xml:space="preserve"> </w:t>
      </w:r>
      <w:r>
        <w:t>the</w:t>
      </w:r>
      <w:r>
        <w:rPr>
          <w:spacing w:val="2"/>
        </w:rPr>
        <w:t xml:space="preserve"> </w:t>
      </w:r>
      <w:r>
        <w:rPr>
          <w:spacing w:val="-1"/>
        </w:rPr>
        <w:t>Goods</w:t>
      </w:r>
      <w:r>
        <w:rPr>
          <w:spacing w:val="53"/>
        </w:rPr>
        <w:t xml:space="preserve"> </w:t>
      </w:r>
      <w:r>
        <w:rPr>
          <w:spacing w:val="-1"/>
        </w:rPr>
        <w:t>and/or Services.</w:t>
      </w:r>
    </w:p>
    <w:p w:rsidR="008918FA" w:rsidRDefault="008918FA" w:rsidP="008918FA">
      <w:pPr>
        <w:pStyle w:val="BodyText"/>
        <w:numPr>
          <w:ilvl w:val="0"/>
          <w:numId w:val="9"/>
        </w:numPr>
        <w:tabs>
          <w:tab w:val="left" w:pos="467"/>
        </w:tabs>
        <w:spacing w:before="120"/>
        <w:ind w:left="466"/>
        <w:rPr>
          <w:rFonts w:ascii="Times New Roman" w:eastAsia="Times New Roman" w:hAnsi="Times New Roman" w:cs="Times New Roman"/>
        </w:rPr>
      </w:pPr>
      <w:r>
        <w:rPr>
          <w:rFonts w:ascii="Times New Roman"/>
          <w:spacing w:val="-1"/>
        </w:rPr>
        <w:t>TERMINATION</w:t>
      </w:r>
      <w:r>
        <w:rPr>
          <w:rFonts w:ascii="Times New Roman"/>
          <w:spacing w:val="8"/>
        </w:rPr>
        <w:t xml:space="preserve"> </w:t>
      </w:r>
      <w:r>
        <w:rPr>
          <w:rFonts w:ascii="Times New Roman"/>
          <w:spacing w:val="6"/>
        </w:rPr>
        <w:t>ASS</w:t>
      </w:r>
      <w:r>
        <w:rPr>
          <w:rFonts w:ascii="Times New Roman"/>
          <w:spacing w:val="-32"/>
        </w:rPr>
        <w:t xml:space="preserve"> </w:t>
      </w:r>
      <w:r>
        <w:rPr>
          <w:rFonts w:ascii="Times New Roman"/>
          <w:spacing w:val="-6"/>
        </w:rPr>
        <w:t>IS</w:t>
      </w:r>
      <w:r>
        <w:rPr>
          <w:rFonts w:ascii="Times New Roman"/>
          <w:spacing w:val="-32"/>
        </w:rPr>
        <w:t xml:space="preserve"> </w:t>
      </w:r>
      <w:r>
        <w:rPr>
          <w:rFonts w:ascii="Times New Roman"/>
          <w:spacing w:val="3"/>
        </w:rPr>
        <w:t>TANCE</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9"/>
        </w:numPr>
        <w:tabs>
          <w:tab w:val="left" w:pos="829"/>
        </w:tabs>
        <w:spacing w:before="0"/>
        <w:ind w:right="112"/>
        <w:jc w:val="both"/>
      </w:pPr>
      <w:bookmarkStart w:id="455" w:name="_bookmark374"/>
      <w:bookmarkEnd w:id="455"/>
      <w:r>
        <w:t xml:space="preserve">The </w:t>
      </w:r>
      <w:r>
        <w:rPr>
          <w:spacing w:val="-2"/>
        </w:rPr>
        <w:t>Customer</w:t>
      </w:r>
      <w:r>
        <w:rPr>
          <w:spacing w:val="-1"/>
        </w:rPr>
        <w:t xml:space="preserve"> shall</w:t>
      </w:r>
      <w:r>
        <w:t xml:space="preserve"> </w:t>
      </w:r>
      <w:r>
        <w:rPr>
          <w:spacing w:val="-1"/>
        </w:rPr>
        <w:t>be</w:t>
      </w:r>
      <w:r>
        <w:t xml:space="preserve"> </w:t>
      </w:r>
      <w:r>
        <w:rPr>
          <w:spacing w:val="-1"/>
        </w:rPr>
        <w:t>entitled</w:t>
      </w:r>
      <w:r>
        <w:t xml:space="preserve"> to</w:t>
      </w:r>
      <w:r>
        <w:rPr>
          <w:spacing w:val="-2"/>
        </w:rPr>
        <w:t xml:space="preserve"> </w:t>
      </w:r>
      <w:r>
        <w:rPr>
          <w:spacing w:val="-1"/>
        </w:rPr>
        <w:t>require</w:t>
      </w:r>
      <w:r>
        <w:rPr>
          <w:spacing w:val="-2"/>
        </w:rPr>
        <w:t xml:space="preserve"> </w:t>
      </w:r>
      <w:r>
        <w:t>the</w:t>
      </w:r>
      <w:r>
        <w:rPr>
          <w:spacing w:val="-2"/>
        </w:rPr>
        <w:t xml:space="preserve"> provision</w:t>
      </w:r>
      <w:r>
        <w:t xml:space="preserve"> </w:t>
      </w:r>
      <w:r>
        <w:rPr>
          <w:spacing w:val="-1"/>
        </w:rPr>
        <w:t>of</w:t>
      </w:r>
      <w:r>
        <w:t xml:space="preserve"> </w:t>
      </w:r>
      <w:r>
        <w:rPr>
          <w:spacing w:val="-1"/>
        </w:rPr>
        <w:t>Termination</w:t>
      </w:r>
      <w:r>
        <w:t xml:space="preserve"> </w:t>
      </w:r>
      <w:r>
        <w:rPr>
          <w:spacing w:val="-1"/>
        </w:rPr>
        <w:t>Assistance</w:t>
      </w:r>
      <w:r>
        <w:rPr>
          <w:spacing w:val="1"/>
        </w:rPr>
        <w:t xml:space="preserve"> </w:t>
      </w:r>
      <w:r>
        <w:rPr>
          <w:spacing w:val="-2"/>
        </w:rPr>
        <w:t>at</w:t>
      </w:r>
      <w:r>
        <w:rPr>
          <w:spacing w:val="57"/>
        </w:rPr>
        <w:t xml:space="preserve"> </w:t>
      </w:r>
      <w:r>
        <w:rPr>
          <w:spacing w:val="-1"/>
        </w:rPr>
        <w:t>any</w:t>
      </w:r>
      <w:r>
        <w:rPr>
          <w:spacing w:val="3"/>
        </w:rPr>
        <w:t xml:space="preserve"> </w:t>
      </w:r>
      <w:r>
        <w:rPr>
          <w:spacing w:val="-1"/>
        </w:rPr>
        <w:t>time</w:t>
      </w:r>
      <w:r>
        <w:rPr>
          <w:spacing w:val="5"/>
        </w:rPr>
        <w:t xml:space="preserve"> </w:t>
      </w:r>
      <w:r>
        <w:rPr>
          <w:spacing w:val="-1"/>
        </w:rPr>
        <w:t>during</w:t>
      </w:r>
      <w:r>
        <w:rPr>
          <w:spacing w:val="7"/>
        </w:rPr>
        <w:t xml:space="preserve"> </w:t>
      </w:r>
      <w:r>
        <w:t>the</w:t>
      </w:r>
      <w:r>
        <w:rPr>
          <w:spacing w:val="5"/>
        </w:rPr>
        <w:t xml:space="preserve"> </w:t>
      </w:r>
      <w:r>
        <w:rPr>
          <w:spacing w:val="-2"/>
        </w:rPr>
        <w:t>Call</w:t>
      </w:r>
      <w:r>
        <w:rPr>
          <w:spacing w:val="7"/>
        </w:rPr>
        <w:t xml:space="preserve"> </w:t>
      </w:r>
      <w:r>
        <w:rPr>
          <w:spacing w:val="-1"/>
        </w:rPr>
        <w:t>Off</w:t>
      </w:r>
      <w:r>
        <w:rPr>
          <w:spacing w:val="9"/>
        </w:rPr>
        <w:t xml:space="preserve"> </w:t>
      </w:r>
      <w:r>
        <w:rPr>
          <w:spacing w:val="-2"/>
        </w:rPr>
        <w:t>Contract</w:t>
      </w:r>
      <w:r>
        <w:rPr>
          <w:spacing w:val="7"/>
        </w:rPr>
        <w:t xml:space="preserve"> </w:t>
      </w:r>
      <w:r>
        <w:rPr>
          <w:spacing w:val="-1"/>
        </w:rPr>
        <w:t>Period</w:t>
      </w:r>
      <w:r>
        <w:rPr>
          <w:spacing w:val="5"/>
        </w:rPr>
        <w:t xml:space="preserve"> </w:t>
      </w:r>
      <w:r>
        <w:rPr>
          <w:spacing w:val="-1"/>
        </w:rPr>
        <w:t>by</w:t>
      </w:r>
      <w:r>
        <w:rPr>
          <w:spacing w:val="3"/>
        </w:rPr>
        <w:t xml:space="preserve"> </w:t>
      </w:r>
      <w:r>
        <w:rPr>
          <w:spacing w:val="-1"/>
        </w:rPr>
        <w:t>giving</w:t>
      </w:r>
      <w:r>
        <w:rPr>
          <w:spacing w:val="13"/>
        </w:rPr>
        <w:t xml:space="preserve"> </w:t>
      </w:r>
      <w:r>
        <w:rPr>
          <w:spacing w:val="-1"/>
        </w:rPr>
        <w:t>written</w:t>
      </w:r>
      <w:r>
        <w:rPr>
          <w:spacing w:val="5"/>
        </w:rPr>
        <w:t xml:space="preserve"> </w:t>
      </w:r>
      <w:r>
        <w:rPr>
          <w:spacing w:val="-1"/>
        </w:rPr>
        <w:t>notice</w:t>
      </w:r>
      <w:r>
        <w:rPr>
          <w:spacing w:val="5"/>
        </w:rPr>
        <w:t xml:space="preserve"> </w:t>
      </w:r>
      <w:r>
        <w:t>to</w:t>
      </w:r>
      <w:r>
        <w:rPr>
          <w:spacing w:val="5"/>
        </w:rPr>
        <w:t xml:space="preserve"> </w:t>
      </w:r>
      <w:r>
        <w:t>the</w:t>
      </w:r>
      <w:r>
        <w:rPr>
          <w:spacing w:val="5"/>
        </w:rPr>
        <w:t xml:space="preserve"> </w:t>
      </w:r>
      <w:r>
        <w:rPr>
          <w:spacing w:val="-2"/>
        </w:rPr>
        <w:t>Supplier</w:t>
      </w:r>
      <w:r>
        <w:rPr>
          <w:spacing w:val="66"/>
        </w:rPr>
        <w:t xml:space="preserve"> </w:t>
      </w:r>
      <w:r>
        <w:t>(a</w:t>
      </w:r>
      <w:r>
        <w:rPr>
          <w:spacing w:val="10"/>
        </w:rPr>
        <w:t xml:space="preserve"> </w:t>
      </w:r>
      <w:r>
        <w:rPr>
          <w:b/>
          <w:spacing w:val="-1"/>
        </w:rPr>
        <w:t>"Termination</w:t>
      </w:r>
      <w:r>
        <w:rPr>
          <w:b/>
          <w:spacing w:val="12"/>
        </w:rPr>
        <w:t xml:space="preserve"> </w:t>
      </w:r>
      <w:r>
        <w:rPr>
          <w:b/>
          <w:spacing w:val="-2"/>
        </w:rPr>
        <w:t>Assistance</w:t>
      </w:r>
      <w:r>
        <w:rPr>
          <w:b/>
          <w:spacing w:val="10"/>
        </w:rPr>
        <w:t xml:space="preserve"> </w:t>
      </w:r>
      <w:r>
        <w:rPr>
          <w:b/>
          <w:spacing w:val="-1"/>
        </w:rPr>
        <w:t>Notice"</w:t>
      </w:r>
      <w:r>
        <w:rPr>
          <w:spacing w:val="-1"/>
        </w:rPr>
        <w:t>)</w:t>
      </w:r>
      <w:r>
        <w:rPr>
          <w:spacing w:val="11"/>
        </w:rPr>
        <w:t xml:space="preserve"> </w:t>
      </w:r>
      <w:r>
        <w:rPr>
          <w:spacing w:val="-2"/>
        </w:rPr>
        <w:t>at</w:t>
      </w:r>
      <w:r>
        <w:rPr>
          <w:spacing w:val="11"/>
        </w:rPr>
        <w:t xml:space="preserve"> </w:t>
      </w:r>
      <w:r>
        <w:rPr>
          <w:spacing w:val="-1"/>
        </w:rPr>
        <w:t>least</w:t>
      </w:r>
      <w:r>
        <w:rPr>
          <w:spacing w:val="9"/>
        </w:rPr>
        <w:t xml:space="preserve"> </w:t>
      </w:r>
      <w:r>
        <w:rPr>
          <w:spacing w:val="-1"/>
        </w:rPr>
        <w:t>four</w:t>
      </w:r>
      <w:r>
        <w:rPr>
          <w:spacing w:val="11"/>
        </w:rPr>
        <w:t xml:space="preserve"> </w:t>
      </w:r>
      <w:r>
        <w:rPr>
          <w:spacing w:val="-1"/>
        </w:rPr>
        <w:t>(4)</w:t>
      </w:r>
      <w:r>
        <w:rPr>
          <w:spacing w:val="11"/>
        </w:rPr>
        <w:t xml:space="preserve"> </w:t>
      </w:r>
      <w:r>
        <w:rPr>
          <w:spacing w:val="-1"/>
        </w:rPr>
        <w:t>months</w:t>
      </w:r>
      <w:r>
        <w:rPr>
          <w:spacing w:val="10"/>
        </w:rPr>
        <w:t xml:space="preserve"> </w:t>
      </w:r>
      <w:r>
        <w:rPr>
          <w:spacing w:val="-2"/>
        </w:rPr>
        <w:t>prior</w:t>
      </w:r>
      <w:r>
        <w:rPr>
          <w:spacing w:val="11"/>
        </w:rPr>
        <w:t xml:space="preserve"> </w:t>
      </w:r>
      <w:r>
        <w:t>to</w:t>
      </w:r>
      <w:r>
        <w:rPr>
          <w:spacing w:val="7"/>
        </w:rPr>
        <w:t xml:space="preserve"> </w:t>
      </w:r>
      <w:r>
        <w:rPr>
          <w:spacing w:val="-1"/>
        </w:rPr>
        <w:t>the</w:t>
      </w:r>
      <w:r>
        <w:rPr>
          <w:spacing w:val="10"/>
        </w:rPr>
        <w:t xml:space="preserve"> </w:t>
      </w:r>
      <w:r>
        <w:rPr>
          <w:spacing w:val="-2"/>
        </w:rPr>
        <w:t>Call</w:t>
      </w:r>
      <w:r>
        <w:rPr>
          <w:spacing w:val="7"/>
        </w:rPr>
        <w:t xml:space="preserve"> </w:t>
      </w:r>
      <w:r>
        <w:rPr>
          <w:spacing w:val="-1"/>
        </w:rPr>
        <w:t>Off</w:t>
      </w:r>
      <w:r>
        <w:rPr>
          <w:spacing w:val="57"/>
        </w:rPr>
        <w:t xml:space="preserve"> </w:t>
      </w:r>
      <w:r>
        <w:rPr>
          <w:spacing w:val="-1"/>
        </w:rPr>
        <w:t>Expiry</w:t>
      </w:r>
      <w:r>
        <w:rPr>
          <w:spacing w:val="15"/>
        </w:rPr>
        <w:t xml:space="preserve"> </w:t>
      </w:r>
      <w:r>
        <w:rPr>
          <w:spacing w:val="-1"/>
        </w:rPr>
        <w:t>Date</w:t>
      </w:r>
      <w:r>
        <w:rPr>
          <w:spacing w:val="17"/>
        </w:rPr>
        <w:t xml:space="preserve"> </w:t>
      </w:r>
      <w:r>
        <w:rPr>
          <w:spacing w:val="-1"/>
        </w:rPr>
        <w:t>or</w:t>
      </w:r>
      <w:r>
        <w:rPr>
          <w:spacing w:val="19"/>
        </w:rPr>
        <w:t xml:space="preserve"> </w:t>
      </w:r>
      <w:r>
        <w:rPr>
          <w:spacing w:val="-1"/>
        </w:rPr>
        <w:t>as</w:t>
      </w:r>
      <w:r>
        <w:rPr>
          <w:spacing w:val="18"/>
        </w:rPr>
        <w:t xml:space="preserve"> </w:t>
      </w:r>
      <w:r>
        <w:rPr>
          <w:spacing w:val="-1"/>
        </w:rPr>
        <w:t>soon</w:t>
      </w:r>
      <w:r>
        <w:rPr>
          <w:spacing w:val="15"/>
        </w:rPr>
        <w:t xml:space="preserve"> </w:t>
      </w:r>
      <w:r>
        <w:rPr>
          <w:spacing w:val="-1"/>
        </w:rPr>
        <w:t>as</w:t>
      </w:r>
      <w:r>
        <w:rPr>
          <w:spacing w:val="18"/>
        </w:rPr>
        <w:t xml:space="preserve"> </w:t>
      </w:r>
      <w:r>
        <w:rPr>
          <w:spacing w:val="-1"/>
        </w:rPr>
        <w:t>reasonably</w:t>
      </w:r>
      <w:r>
        <w:rPr>
          <w:spacing w:val="15"/>
        </w:rPr>
        <w:t xml:space="preserve"> </w:t>
      </w:r>
      <w:r>
        <w:rPr>
          <w:spacing w:val="-1"/>
        </w:rPr>
        <w:t>practicable</w:t>
      </w:r>
      <w:r>
        <w:rPr>
          <w:spacing w:val="17"/>
        </w:rPr>
        <w:t xml:space="preserve"> </w:t>
      </w:r>
      <w:r>
        <w:rPr>
          <w:spacing w:val="-1"/>
        </w:rPr>
        <w:t>(but</w:t>
      </w:r>
      <w:r>
        <w:rPr>
          <w:spacing w:val="19"/>
        </w:rPr>
        <w:t xml:space="preserve"> </w:t>
      </w:r>
      <w:r>
        <w:rPr>
          <w:spacing w:val="-1"/>
        </w:rPr>
        <w:t>in</w:t>
      </w:r>
      <w:r>
        <w:rPr>
          <w:spacing w:val="17"/>
        </w:rPr>
        <w:t xml:space="preserve"> </w:t>
      </w:r>
      <w:r>
        <w:rPr>
          <w:spacing w:val="-1"/>
        </w:rPr>
        <w:t>any</w:t>
      </w:r>
      <w:r>
        <w:rPr>
          <w:spacing w:val="15"/>
        </w:rPr>
        <w:t xml:space="preserve"> </w:t>
      </w:r>
      <w:r>
        <w:rPr>
          <w:spacing w:val="-1"/>
        </w:rPr>
        <w:t>event,</w:t>
      </w:r>
      <w:r>
        <w:rPr>
          <w:spacing w:val="20"/>
        </w:rPr>
        <w:t xml:space="preserve"> </w:t>
      </w:r>
      <w:r>
        <w:rPr>
          <w:spacing w:val="-2"/>
        </w:rPr>
        <w:t>not</w:t>
      </w:r>
      <w:r>
        <w:rPr>
          <w:spacing w:val="19"/>
        </w:rPr>
        <w:t xml:space="preserve"> </w:t>
      </w:r>
      <w:r>
        <w:rPr>
          <w:spacing w:val="-1"/>
        </w:rPr>
        <w:t>later</w:t>
      </w:r>
      <w:r>
        <w:rPr>
          <w:spacing w:val="16"/>
        </w:rPr>
        <w:t xml:space="preserve"> </w:t>
      </w:r>
      <w:r>
        <w:rPr>
          <w:spacing w:val="-1"/>
        </w:rPr>
        <w:t>than</w:t>
      </w:r>
      <w:r>
        <w:rPr>
          <w:spacing w:val="40"/>
        </w:rPr>
        <w:t xml:space="preserve"> </w:t>
      </w:r>
      <w:r>
        <w:rPr>
          <w:spacing w:val="-1"/>
        </w:rPr>
        <w:t>one</w:t>
      </w:r>
      <w:r>
        <w:rPr>
          <w:spacing w:val="24"/>
        </w:rPr>
        <w:t xml:space="preserve"> </w:t>
      </w:r>
      <w:r>
        <w:rPr>
          <w:spacing w:val="-1"/>
        </w:rPr>
        <w:t>(1)</w:t>
      </w:r>
      <w:r>
        <w:rPr>
          <w:spacing w:val="23"/>
        </w:rPr>
        <w:t xml:space="preserve"> </w:t>
      </w:r>
      <w:r>
        <w:rPr>
          <w:spacing w:val="-1"/>
        </w:rPr>
        <w:t>month)</w:t>
      </w:r>
      <w:r>
        <w:rPr>
          <w:spacing w:val="23"/>
        </w:rPr>
        <w:t xml:space="preserve"> </w:t>
      </w:r>
      <w:r>
        <w:rPr>
          <w:spacing w:val="-2"/>
        </w:rPr>
        <w:t>following</w:t>
      </w:r>
      <w:r>
        <w:rPr>
          <w:spacing w:val="27"/>
        </w:rPr>
        <w:t xml:space="preserve"> </w:t>
      </w:r>
      <w:r>
        <w:t>the</w:t>
      </w:r>
      <w:r>
        <w:rPr>
          <w:spacing w:val="24"/>
        </w:rPr>
        <w:t xml:space="preserve"> </w:t>
      </w:r>
      <w:r>
        <w:rPr>
          <w:spacing w:val="-2"/>
        </w:rPr>
        <w:t>service</w:t>
      </w:r>
      <w:r>
        <w:rPr>
          <w:spacing w:val="25"/>
        </w:rPr>
        <w:t xml:space="preserve"> </w:t>
      </w:r>
      <w:r>
        <w:rPr>
          <w:spacing w:val="-1"/>
        </w:rPr>
        <w:t>by</w:t>
      </w:r>
      <w:r>
        <w:rPr>
          <w:spacing w:val="22"/>
        </w:rPr>
        <w:t xml:space="preserve"> </w:t>
      </w:r>
      <w:r>
        <w:rPr>
          <w:spacing w:val="-1"/>
        </w:rPr>
        <w:t>either</w:t>
      </w:r>
      <w:r>
        <w:rPr>
          <w:spacing w:val="26"/>
        </w:rPr>
        <w:t xml:space="preserve"> </w:t>
      </w:r>
      <w:r>
        <w:rPr>
          <w:spacing w:val="-1"/>
        </w:rPr>
        <w:t>Party</w:t>
      </w:r>
      <w:r>
        <w:rPr>
          <w:spacing w:val="22"/>
        </w:rPr>
        <w:t xml:space="preserve"> </w:t>
      </w:r>
      <w:r>
        <w:rPr>
          <w:spacing w:val="-2"/>
        </w:rPr>
        <w:t>of</w:t>
      </w:r>
      <w:r>
        <w:rPr>
          <w:spacing w:val="28"/>
        </w:rPr>
        <w:t xml:space="preserve"> </w:t>
      </w:r>
      <w:r>
        <w:t>a</w:t>
      </w:r>
      <w:r>
        <w:rPr>
          <w:spacing w:val="22"/>
        </w:rPr>
        <w:t xml:space="preserve"> </w:t>
      </w:r>
      <w:r>
        <w:rPr>
          <w:spacing w:val="-1"/>
        </w:rPr>
        <w:t>Termination</w:t>
      </w:r>
      <w:r>
        <w:rPr>
          <w:spacing w:val="24"/>
        </w:rPr>
        <w:t xml:space="preserve"> </w:t>
      </w:r>
      <w:r>
        <w:rPr>
          <w:spacing w:val="-1"/>
        </w:rPr>
        <w:t>Notice.</w:t>
      </w:r>
      <w:r>
        <w:rPr>
          <w:spacing w:val="23"/>
        </w:rPr>
        <w:t xml:space="preserve"> </w:t>
      </w:r>
      <w:r>
        <w:t>The</w:t>
      </w:r>
      <w:r>
        <w:rPr>
          <w:spacing w:val="48"/>
        </w:rPr>
        <w:t xml:space="preserve"> </w:t>
      </w:r>
      <w:r>
        <w:rPr>
          <w:spacing w:val="-1"/>
        </w:rPr>
        <w:t>Termination</w:t>
      </w:r>
      <w:r>
        <w:rPr>
          <w:spacing w:val="-2"/>
        </w:rPr>
        <w:t xml:space="preserve"> </w:t>
      </w:r>
      <w:r>
        <w:rPr>
          <w:spacing w:val="-1"/>
        </w:rPr>
        <w:t>Assistance</w:t>
      </w:r>
      <w:r>
        <w:rPr>
          <w:spacing w:val="-4"/>
        </w:rPr>
        <w:t xml:space="preserve"> </w:t>
      </w:r>
      <w:r>
        <w:rPr>
          <w:spacing w:val="-1"/>
        </w:rPr>
        <w:t>Notice</w:t>
      </w:r>
      <w:r>
        <w:rPr>
          <w:spacing w:val="1"/>
        </w:rPr>
        <w:t xml:space="preserve"> </w:t>
      </w:r>
      <w:r>
        <w:rPr>
          <w:spacing w:val="-1"/>
        </w:rPr>
        <w:t>shall</w:t>
      </w:r>
      <w:r>
        <w:t xml:space="preserve"> </w:t>
      </w:r>
      <w:r>
        <w:rPr>
          <w:spacing w:val="-1"/>
        </w:rPr>
        <w:t>specify:</w:t>
      </w:r>
    </w:p>
    <w:p w:rsidR="008918FA" w:rsidRDefault="008918FA" w:rsidP="008918FA">
      <w:pPr>
        <w:pStyle w:val="BodyText"/>
        <w:numPr>
          <w:ilvl w:val="2"/>
          <w:numId w:val="9"/>
        </w:numPr>
        <w:tabs>
          <w:tab w:val="left" w:pos="2026"/>
        </w:tabs>
        <w:spacing w:before="121"/>
        <w:ind w:hanging="993"/>
      </w:pPr>
      <w:r>
        <w:t xml:space="preserve">the </w:t>
      </w:r>
      <w:r>
        <w:rPr>
          <w:spacing w:val="-1"/>
        </w:rPr>
        <w:t>date</w:t>
      </w:r>
      <w:r>
        <w:rPr>
          <w:spacing w:val="-2"/>
        </w:rPr>
        <w:t xml:space="preserve"> </w:t>
      </w:r>
      <w:r>
        <w:rPr>
          <w:spacing w:val="-1"/>
        </w:rPr>
        <w:t>from</w:t>
      </w:r>
      <w:r>
        <w:rPr>
          <w:spacing w:val="2"/>
        </w:rPr>
        <w:t xml:space="preserve"> </w:t>
      </w:r>
      <w:r>
        <w:rPr>
          <w:spacing w:val="-2"/>
        </w:rPr>
        <w:t xml:space="preserve">which </w:t>
      </w:r>
      <w:r>
        <w:rPr>
          <w:spacing w:val="-1"/>
        </w:rPr>
        <w:t>Termination</w:t>
      </w:r>
      <w:r>
        <w:t xml:space="preserve"> </w:t>
      </w:r>
      <w:r>
        <w:rPr>
          <w:spacing w:val="-1"/>
        </w:rPr>
        <w:t>Assistance</w:t>
      </w:r>
      <w:r>
        <w:rPr>
          <w:spacing w:val="1"/>
        </w:rPr>
        <w:t xml:space="preserve"> </w:t>
      </w:r>
      <w:r>
        <w:rPr>
          <w:spacing w:val="-1"/>
        </w:rPr>
        <w:t>is</w:t>
      </w:r>
      <w:r>
        <w:rPr>
          <w:spacing w:val="-2"/>
        </w:rPr>
        <w:t xml:space="preserve"> </w:t>
      </w:r>
      <w:r>
        <w:rPr>
          <w:spacing w:val="-1"/>
        </w:rPr>
        <w:t>required;</w:t>
      </w:r>
    </w:p>
    <w:p w:rsidR="008918FA" w:rsidRDefault="008918FA" w:rsidP="008918FA">
      <w:pPr>
        <w:pStyle w:val="BodyText"/>
        <w:numPr>
          <w:ilvl w:val="2"/>
          <w:numId w:val="9"/>
        </w:numPr>
        <w:tabs>
          <w:tab w:val="left" w:pos="2026"/>
        </w:tabs>
        <w:ind w:hanging="993"/>
      </w:pPr>
      <w:r>
        <w:t xml:space="preserve">the </w:t>
      </w:r>
      <w:r>
        <w:rPr>
          <w:spacing w:val="-1"/>
        </w:rPr>
        <w:t>nature</w:t>
      </w:r>
      <w:r>
        <w:rPr>
          <w:spacing w:val="-2"/>
        </w:rPr>
        <w:t xml:space="preserve"> of</w:t>
      </w:r>
      <w:r>
        <w:rPr>
          <w:spacing w:val="2"/>
        </w:rPr>
        <w:t xml:space="preserve"> </w:t>
      </w:r>
      <w:r>
        <w:t>the</w:t>
      </w:r>
      <w:r>
        <w:rPr>
          <w:spacing w:val="-4"/>
        </w:rPr>
        <w:t xml:space="preserve"> </w:t>
      </w:r>
      <w:r>
        <w:rPr>
          <w:spacing w:val="-1"/>
        </w:rPr>
        <w:t>Termination</w:t>
      </w:r>
      <w:r>
        <w:t xml:space="preserve"> </w:t>
      </w:r>
      <w:r>
        <w:rPr>
          <w:spacing w:val="-1"/>
        </w:rPr>
        <w:t>Assistance</w:t>
      </w:r>
      <w:r>
        <w:rPr>
          <w:spacing w:val="-2"/>
        </w:rPr>
        <w:t xml:space="preserve"> required;</w:t>
      </w:r>
      <w:r>
        <w:rPr>
          <w:spacing w:val="2"/>
        </w:rPr>
        <w:t xml:space="preserve"> </w:t>
      </w:r>
      <w:r>
        <w:rPr>
          <w:spacing w:val="-1"/>
        </w:rPr>
        <w:t>and</w:t>
      </w:r>
    </w:p>
    <w:p w:rsidR="008918FA" w:rsidRDefault="008918FA" w:rsidP="008918FA">
      <w:pPr>
        <w:pStyle w:val="BodyText"/>
        <w:numPr>
          <w:ilvl w:val="2"/>
          <w:numId w:val="9"/>
        </w:numPr>
        <w:tabs>
          <w:tab w:val="left" w:pos="2026"/>
        </w:tabs>
        <w:spacing w:before="121"/>
        <w:ind w:right="112" w:hanging="993"/>
        <w:jc w:val="both"/>
      </w:pPr>
      <w:r>
        <w:t>the</w:t>
      </w:r>
      <w:r>
        <w:rPr>
          <w:spacing w:val="39"/>
        </w:rPr>
        <w:t xml:space="preserve"> </w:t>
      </w:r>
      <w:r>
        <w:rPr>
          <w:spacing w:val="-1"/>
        </w:rPr>
        <w:t>period</w:t>
      </w:r>
      <w:r>
        <w:rPr>
          <w:spacing w:val="38"/>
        </w:rPr>
        <w:t xml:space="preserve"> </w:t>
      </w:r>
      <w:r>
        <w:rPr>
          <w:spacing w:val="-2"/>
        </w:rPr>
        <w:t>during</w:t>
      </w:r>
      <w:r>
        <w:rPr>
          <w:spacing w:val="41"/>
        </w:rPr>
        <w:t xml:space="preserve"> </w:t>
      </w:r>
      <w:r>
        <w:rPr>
          <w:spacing w:val="-2"/>
        </w:rPr>
        <w:t>which</w:t>
      </w:r>
      <w:r>
        <w:rPr>
          <w:spacing w:val="39"/>
        </w:rPr>
        <w:t xml:space="preserve"> </w:t>
      </w:r>
      <w:r>
        <w:rPr>
          <w:spacing w:val="-1"/>
        </w:rPr>
        <w:t>it</w:t>
      </w:r>
      <w:r>
        <w:rPr>
          <w:spacing w:val="40"/>
        </w:rPr>
        <w:t xml:space="preserve"> </w:t>
      </w:r>
      <w:r>
        <w:rPr>
          <w:spacing w:val="-1"/>
        </w:rPr>
        <w:t>is</w:t>
      </w:r>
      <w:r>
        <w:rPr>
          <w:spacing w:val="39"/>
        </w:rPr>
        <w:t xml:space="preserve"> </w:t>
      </w:r>
      <w:r>
        <w:rPr>
          <w:spacing w:val="-1"/>
        </w:rPr>
        <w:t>anticipated</w:t>
      </w:r>
      <w:r>
        <w:rPr>
          <w:spacing w:val="39"/>
        </w:rPr>
        <w:t xml:space="preserve"> </w:t>
      </w:r>
      <w:r>
        <w:rPr>
          <w:spacing w:val="-1"/>
        </w:rPr>
        <w:t>that</w:t>
      </w:r>
      <w:r>
        <w:rPr>
          <w:spacing w:val="38"/>
        </w:rPr>
        <w:t xml:space="preserve"> </w:t>
      </w:r>
      <w:r>
        <w:rPr>
          <w:spacing w:val="-1"/>
        </w:rPr>
        <w:t>Termination</w:t>
      </w:r>
      <w:r>
        <w:rPr>
          <w:spacing w:val="38"/>
        </w:rPr>
        <w:t xml:space="preserve"> </w:t>
      </w:r>
      <w:r>
        <w:rPr>
          <w:spacing w:val="-1"/>
        </w:rPr>
        <w:t>Assistance</w:t>
      </w:r>
      <w:r>
        <w:rPr>
          <w:spacing w:val="32"/>
        </w:rPr>
        <w:t xml:space="preserve"> </w:t>
      </w:r>
      <w:r>
        <w:rPr>
          <w:spacing w:val="-2"/>
        </w:rPr>
        <w:t>will</w:t>
      </w:r>
      <w:r>
        <w:rPr>
          <w:spacing w:val="13"/>
        </w:rPr>
        <w:t xml:space="preserve"> </w:t>
      </w:r>
      <w:r>
        <w:rPr>
          <w:spacing w:val="-1"/>
        </w:rPr>
        <w:t>be</w:t>
      </w:r>
      <w:r>
        <w:rPr>
          <w:spacing w:val="14"/>
        </w:rPr>
        <w:t xml:space="preserve"> </w:t>
      </w:r>
      <w:r>
        <w:rPr>
          <w:spacing w:val="-1"/>
        </w:rPr>
        <w:t>required,</w:t>
      </w:r>
      <w:r>
        <w:rPr>
          <w:spacing w:val="15"/>
        </w:rPr>
        <w:t xml:space="preserve"> </w:t>
      </w:r>
      <w:r>
        <w:rPr>
          <w:spacing w:val="-2"/>
        </w:rPr>
        <w:t>which</w:t>
      </w:r>
      <w:r>
        <w:rPr>
          <w:spacing w:val="14"/>
        </w:rPr>
        <w:t xml:space="preserve"> </w:t>
      </w:r>
      <w:r>
        <w:rPr>
          <w:spacing w:val="-1"/>
        </w:rPr>
        <w:t>shall</w:t>
      </w:r>
      <w:r>
        <w:rPr>
          <w:spacing w:val="13"/>
        </w:rPr>
        <w:t xml:space="preserve"> </w:t>
      </w:r>
      <w:r>
        <w:rPr>
          <w:spacing w:val="-1"/>
        </w:rPr>
        <w:t>continue</w:t>
      </w:r>
      <w:r>
        <w:rPr>
          <w:spacing w:val="13"/>
        </w:rPr>
        <w:t xml:space="preserve"> </w:t>
      </w:r>
      <w:r>
        <w:rPr>
          <w:spacing w:val="-1"/>
        </w:rPr>
        <w:t>no</w:t>
      </w:r>
      <w:r>
        <w:rPr>
          <w:spacing w:val="14"/>
        </w:rPr>
        <w:t xml:space="preserve"> </w:t>
      </w:r>
      <w:r>
        <w:rPr>
          <w:spacing w:val="-2"/>
        </w:rPr>
        <w:t>longer</w:t>
      </w:r>
      <w:r>
        <w:rPr>
          <w:spacing w:val="15"/>
        </w:rPr>
        <w:t xml:space="preserve"> </w:t>
      </w:r>
      <w:r>
        <w:rPr>
          <w:spacing w:val="-1"/>
        </w:rPr>
        <w:t>than</w:t>
      </w:r>
      <w:r>
        <w:rPr>
          <w:spacing w:val="11"/>
        </w:rPr>
        <w:t xml:space="preserve"> </w:t>
      </w:r>
      <w:r>
        <w:rPr>
          <w:spacing w:val="-2"/>
        </w:rPr>
        <w:t>twelve</w:t>
      </w:r>
      <w:r>
        <w:rPr>
          <w:spacing w:val="14"/>
        </w:rPr>
        <w:t xml:space="preserve"> </w:t>
      </w:r>
      <w:r>
        <w:rPr>
          <w:spacing w:val="-1"/>
        </w:rPr>
        <w:t>(12)</w:t>
      </w:r>
      <w:r>
        <w:rPr>
          <w:spacing w:val="50"/>
        </w:rPr>
        <w:t xml:space="preserve"> </w:t>
      </w:r>
      <w:r>
        <w:rPr>
          <w:spacing w:val="-1"/>
        </w:rPr>
        <w:t>months</w:t>
      </w:r>
      <w:r>
        <w:rPr>
          <w:spacing w:val="27"/>
        </w:rPr>
        <w:t xml:space="preserve"> </w:t>
      </w:r>
      <w:r>
        <w:rPr>
          <w:spacing w:val="-1"/>
        </w:rPr>
        <w:t>after</w:t>
      </w:r>
      <w:r>
        <w:rPr>
          <w:spacing w:val="28"/>
        </w:rPr>
        <w:t xml:space="preserve"> </w:t>
      </w:r>
      <w:r>
        <w:t>the</w:t>
      </w:r>
      <w:r>
        <w:rPr>
          <w:spacing w:val="27"/>
        </w:rPr>
        <w:t xml:space="preserve"> </w:t>
      </w:r>
      <w:r>
        <w:rPr>
          <w:spacing w:val="-1"/>
        </w:rPr>
        <w:t>date</w:t>
      </w:r>
      <w:r>
        <w:rPr>
          <w:spacing w:val="27"/>
        </w:rPr>
        <w:t xml:space="preserve"> </w:t>
      </w:r>
      <w:r>
        <w:rPr>
          <w:spacing w:val="-1"/>
        </w:rPr>
        <w:t>that</w:t>
      </w:r>
      <w:r>
        <w:rPr>
          <w:spacing w:val="28"/>
        </w:rPr>
        <w:t xml:space="preserve"> </w:t>
      </w:r>
      <w:r>
        <w:t>the</w:t>
      </w:r>
      <w:r>
        <w:rPr>
          <w:spacing w:val="29"/>
        </w:rPr>
        <w:t xml:space="preserve"> </w:t>
      </w:r>
      <w:r>
        <w:rPr>
          <w:spacing w:val="-2"/>
        </w:rPr>
        <w:t>Supplier</w:t>
      </w:r>
      <w:r>
        <w:rPr>
          <w:spacing w:val="30"/>
        </w:rPr>
        <w:t xml:space="preserve"> </w:t>
      </w:r>
      <w:r>
        <w:rPr>
          <w:spacing w:val="-1"/>
        </w:rPr>
        <w:t>ceases</w:t>
      </w:r>
      <w:r>
        <w:rPr>
          <w:spacing w:val="27"/>
        </w:rPr>
        <w:t xml:space="preserve"> </w:t>
      </w:r>
      <w:r>
        <w:rPr>
          <w:spacing w:val="-1"/>
        </w:rPr>
        <w:t>to</w:t>
      </w:r>
      <w:r>
        <w:rPr>
          <w:spacing w:val="29"/>
        </w:rPr>
        <w:t xml:space="preserve"> </w:t>
      </w:r>
      <w:r>
        <w:rPr>
          <w:spacing w:val="-2"/>
        </w:rPr>
        <w:t>provide</w:t>
      </w:r>
      <w:r>
        <w:rPr>
          <w:spacing w:val="29"/>
        </w:rPr>
        <w:t xml:space="preserve"> </w:t>
      </w:r>
      <w:r>
        <w:t>the</w:t>
      </w:r>
      <w:r>
        <w:rPr>
          <w:spacing w:val="29"/>
        </w:rPr>
        <w:t xml:space="preserve"> </w:t>
      </w:r>
      <w:r>
        <w:rPr>
          <w:spacing w:val="-1"/>
        </w:rPr>
        <w:t>Goods</w:t>
      </w:r>
      <w:r>
        <w:rPr>
          <w:spacing w:val="52"/>
        </w:rPr>
        <w:t xml:space="preserve"> </w:t>
      </w:r>
      <w:r>
        <w:rPr>
          <w:spacing w:val="-1"/>
        </w:rPr>
        <w:t>and/or Services.</w:t>
      </w:r>
    </w:p>
    <w:p w:rsidR="008918FA" w:rsidRDefault="008918FA" w:rsidP="008918FA">
      <w:pPr>
        <w:pStyle w:val="BodyText"/>
        <w:numPr>
          <w:ilvl w:val="1"/>
          <w:numId w:val="9"/>
        </w:numPr>
        <w:tabs>
          <w:tab w:val="left" w:pos="829"/>
        </w:tabs>
        <w:ind w:left="827" w:right="113" w:hanging="359"/>
        <w:jc w:val="both"/>
      </w:pPr>
      <w:bookmarkStart w:id="456" w:name="_bookmark375"/>
      <w:bookmarkEnd w:id="456"/>
      <w:r>
        <w:t>The</w:t>
      </w:r>
      <w:r>
        <w:rPr>
          <w:spacing w:val="29"/>
        </w:rPr>
        <w:t xml:space="preserve"> </w:t>
      </w:r>
      <w:r>
        <w:rPr>
          <w:spacing w:val="-2"/>
        </w:rPr>
        <w:t>Customer</w:t>
      </w:r>
      <w:r>
        <w:rPr>
          <w:spacing w:val="30"/>
        </w:rPr>
        <w:t xml:space="preserve"> </w:t>
      </w:r>
      <w:r>
        <w:rPr>
          <w:spacing w:val="-1"/>
        </w:rPr>
        <w:t>shall</w:t>
      </w:r>
      <w:r>
        <w:rPr>
          <w:spacing w:val="28"/>
        </w:rPr>
        <w:t xml:space="preserve"> </w:t>
      </w:r>
      <w:r>
        <w:rPr>
          <w:spacing w:val="-1"/>
        </w:rPr>
        <w:t>have</w:t>
      </w:r>
      <w:r>
        <w:rPr>
          <w:spacing w:val="30"/>
        </w:rPr>
        <w:t xml:space="preserve"> </w:t>
      </w:r>
      <w:r>
        <w:rPr>
          <w:spacing w:val="-1"/>
        </w:rPr>
        <w:t>an</w:t>
      </w:r>
      <w:r>
        <w:rPr>
          <w:spacing w:val="29"/>
        </w:rPr>
        <w:t xml:space="preserve"> </w:t>
      </w:r>
      <w:r>
        <w:rPr>
          <w:spacing w:val="-1"/>
        </w:rPr>
        <w:t>option</w:t>
      </w:r>
      <w:r>
        <w:rPr>
          <w:spacing w:val="29"/>
        </w:rPr>
        <w:t xml:space="preserve"> </w:t>
      </w:r>
      <w:r>
        <w:t>to</w:t>
      </w:r>
      <w:r>
        <w:rPr>
          <w:spacing w:val="29"/>
        </w:rPr>
        <w:t xml:space="preserve"> </w:t>
      </w:r>
      <w:r>
        <w:rPr>
          <w:spacing w:val="-1"/>
        </w:rPr>
        <w:t>extend</w:t>
      </w:r>
      <w:r>
        <w:rPr>
          <w:spacing w:val="29"/>
        </w:rPr>
        <w:t xml:space="preserve"> </w:t>
      </w:r>
      <w:r>
        <w:rPr>
          <w:spacing w:val="-1"/>
        </w:rPr>
        <w:t>the</w:t>
      </w:r>
      <w:r>
        <w:rPr>
          <w:spacing w:val="29"/>
        </w:rPr>
        <w:t xml:space="preserve"> </w:t>
      </w:r>
      <w:r>
        <w:rPr>
          <w:spacing w:val="-1"/>
        </w:rPr>
        <w:t>Termination</w:t>
      </w:r>
      <w:r>
        <w:rPr>
          <w:spacing w:val="29"/>
        </w:rPr>
        <w:t xml:space="preserve"> </w:t>
      </w:r>
      <w:r>
        <w:rPr>
          <w:spacing w:val="-2"/>
        </w:rPr>
        <w:t>Assistance</w:t>
      </w:r>
      <w:r>
        <w:rPr>
          <w:spacing w:val="29"/>
        </w:rPr>
        <w:t xml:space="preserve"> </w:t>
      </w:r>
      <w:r>
        <w:rPr>
          <w:spacing w:val="-1"/>
        </w:rPr>
        <w:t>Period</w:t>
      </w:r>
      <w:r>
        <w:rPr>
          <w:spacing w:val="58"/>
        </w:rPr>
        <w:t xml:space="preserve"> </w:t>
      </w:r>
      <w:r>
        <w:rPr>
          <w:spacing w:val="-2"/>
        </w:rPr>
        <w:t>beyond</w:t>
      </w:r>
      <w:r>
        <w:rPr>
          <w:spacing w:val="46"/>
        </w:rPr>
        <w:t xml:space="preserve"> </w:t>
      </w:r>
      <w:r>
        <w:t>the</w:t>
      </w:r>
      <w:r>
        <w:rPr>
          <w:spacing w:val="46"/>
        </w:rPr>
        <w:t xml:space="preserve"> </w:t>
      </w:r>
      <w:r>
        <w:rPr>
          <w:spacing w:val="-1"/>
        </w:rPr>
        <w:t>period</w:t>
      </w:r>
      <w:r>
        <w:rPr>
          <w:spacing w:val="46"/>
        </w:rPr>
        <w:t xml:space="preserve"> </w:t>
      </w:r>
      <w:r>
        <w:rPr>
          <w:spacing w:val="-1"/>
        </w:rPr>
        <w:t>specified</w:t>
      </w:r>
      <w:r>
        <w:rPr>
          <w:spacing w:val="46"/>
        </w:rPr>
        <w:t xml:space="preserve"> </w:t>
      </w:r>
      <w:r>
        <w:rPr>
          <w:spacing w:val="-1"/>
        </w:rPr>
        <w:t>in</w:t>
      </w:r>
      <w:r>
        <w:rPr>
          <w:spacing w:val="46"/>
        </w:rPr>
        <w:t xml:space="preserve"> </w:t>
      </w:r>
      <w:r>
        <w:t>the</w:t>
      </w:r>
      <w:r>
        <w:rPr>
          <w:spacing w:val="43"/>
        </w:rPr>
        <w:t xml:space="preserve"> </w:t>
      </w:r>
      <w:r>
        <w:rPr>
          <w:spacing w:val="-1"/>
        </w:rPr>
        <w:t>Termination</w:t>
      </w:r>
      <w:r>
        <w:rPr>
          <w:spacing w:val="47"/>
        </w:rPr>
        <w:t xml:space="preserve"> </w:t>
      </w:r>
      <w:r>
        <w:rPr>
          <w:spacing w:val="-1"/>
        </w:rPr>
        <w:t>Assistance</w:t>
      </w:r>
      <w:r>
        <w:rPr>
          <w:spacing w:val="46"/>
        </w:rPr>
        <w:t xml:space="preserve"> </w:t>
      </w:r>
      <w:r>
        <w:rPr>
          <w:spacing w:val="-1"/>
        </w:rPr>
        <w:t>Notice</w:t>
      </w:r>
      <w:r>
        <w:rPr>
          <w:spacing w:val="46"/>
        </w:rPr>
        <w:t xml:space="preserve"> </w:t>
      </w:r>
      <w:r>
        <w:rPr>
          <w:spacing w:val="-2"/>
        </w:rPr>
        <w:t>provided</w:t>
      </w:r>
      <w:r>
        <w:rPr>
          <w:spacing w:val="46"/>
        </w:rPr>
        <w:t xml:space="preserve"> </w:t>
      </w:r>
      <w:r>
        <w:rPr>
          <w:spacing w:val="-1"/>
        </w:rPr>
        <w:t>that</w:t>
      </w:r>
      <w:r>
        <w:rPr>
          <w:spacing w:val="42"/>
        </w:rPr>
        <w:t xml:space="preserve"> </w:t>
      </w:r>
      <w:r>
        <w:rPr>
          <w:spacing w:val="-1"/>
        </w:rPr>
        <w:t>such</w:t>
      </w:r>
      <w:r>
        <w:rPr>
          <w:spacing w:val="37"/>
        </w:rPr>
        <w:t xml:space="preserve"> </w:t>
      </w:r>
      <w:r>
        <w:rPr>
          <w:spacing w:val="-1"/>
        </w:rPr>
        <w:t>extension</w:t>
      </w:r>
      <w:r>
        <w:rPr>
          <w:spacing w:val="36"/>
        </w:rPr>
        <w:t xml:space="preserve"> </w:t>
      </w:r>
      <w:r>
        <w:rPr>
          <w:spacing w:val="-1"/>
        </w:rPr>
        <w:t>shall</w:t>
      </w:r>
      <w:r>
        <w:rPr>
          <w:spacing w:val="36"/>
        </w:rPr>
        <w:t xml:space="preserve"> </w:t>
      </w:r>
      <w:r>
        <w:rPr>
          <w:spacing w:val="-1"/>
        </w:rPr>
        <w:t>not</w:t>
      </w:r>
      <w:r>
        <w:rPr>
          <w:spacing w:val="38"/>
        </w:rPr>
        <w:t xml:space="preserve"> </w:t>
      </w:r>
      <w:r>
        <w:rPr>
          <w:spacing w:val="-1"/>
        </w:rPr>
        <w:t>extend</w:t>
      </w:r>
      <w:r>
        <w:rPr>
          <w:spacing w:val="34"/>
        </w:rPr>
        <w:t xml:space="preserve"> </w:t>
      </w:r>
      <w:r>
        <w:t>for</w:t>
      </w:r>
      <w:r>
        <w:rPr>
          <w:spacing w:val="38"/>
        </w:rPr>
        <w:t xml:space="preserve"> </w:t>
      </w:r>
      <w:r>
        <w:rPr>
          <w:spacing w:val="-1"/>
        </w:rPr>
        <w:t>more</w:t>
      </w:r>
      <w:r>
        <w:rPr>
          <w:spacing w:val="35"/>
        </w:rPr>
        <w:t xml:space="preserve"> </w:t>
      </w:r>
      <w:r>
        <w:rPr>
          <w:spacing w:val="-1"/>
        </w:rPr>
        <w:t>than</w:t>
      </w:r>
      <w:r>
        <w:rPr>
          <w:spacing w:val="34"/>
        </w:rPr>
        <w:t xml:space="preserve"> </w:t>
      </w:r>
      <w:r>
        <w:rPr>
          <w:spacing w:val="-1"/>
        </w:rPr>
        <w:t>six</w:t>
      </w:r>
      <w:r>
        <w:rPr>
          <w:spacing w:val="34"/>
        </w:rPr>
        <w:t xml:space="preserve"> </w:t>
      </w:r>
      <w:r>
        <w:rPr>
          <w:spacing w:val="-1"/>
        </w:rPr>
        <w:t>(6)</w:t>
      </w:r>
      <w:r>
        <w:rPr>
          <w:spacing w:val="38"/>
        </w:rPr>
        <w:t xml:space="preserve"> </w:t>
      </w:r>
      <w:r>
        <w:rPr>
          <w:spacing w:val="-1"/>
        </w:rPr>
        <w:t>months</w:t>
      </w:r>
      <w:r>
        <w:rPr>
          <w:spacing w:val="37"/>
        </w:rPr>
        <w:t xml:space="preserve"> </w:t>
      </w:r>
      <w:r>
        <w:rPr>
          <w:spacing w:val="-1"/>
        </w:rPr>
        <w:t>after</w:t>
      </w:r>
      <w:r>
        <w:rPr>
          <w:spacing w:val="35"/>
        </w:rPr>
        <w:t xml:space="preserve"> </w:t>
      </w:r>
      <w:r>
        <w:t>the</w:t>
      </w:r>
      <w:r>
        <w:rPr>
          <w:spacing w:val="35"/>
        </w:rPr>
        <w:t xml:space="preserve"> </w:t>
      </w:r>
      <w:r>
        <w:rPr>
          <w:spacing w:val="-1"/>
        </w:rPr>
        <w:t>date</w:t>
      </w:r>
      <w:r>
        <w:rPr>
          <w:spacing w:val="36"/>
        </w:rPr>
        <w:t xml:space="preserve"> </w:t>
      </w:r>
      <w:r>
        <w:rPr>
          <w:spacing w:val="-1"/>
        </w:rPr>
        <w:t>the</w:t>
      </w:r>
      <w:r>
        <w:rPr>
          <w:spacing w:val="45"/>
        </w:rPr>
        <w:t xml:space="preserve"> </w:t>
      </w:r>
      <w:r>
        <w:rPr>
          <w:spacing w:val="-2"/>
        </w:rPr>
        <w:t>Supplier</w:t>
      </w:r>
      <w:r>
        <w:rPr>
          <w:spacing w:val="9"/>
        </w:rPr>
        <w:t xml:space="preserve"> </w:t>
      </w:r>
      <w:r>
        <w:rPr>
          <w:spacing w:val="-1"/>
        </w:rPr>
        <w:t>ceases</w:t>
      </w:r>
      <w:r>
        <w:rPr>
          <w:spacing w:val="8"/>
        </w:rPr>
        <w:t xml:space="preserve"> </w:t>
      </w:r>
      <w:r>
        <w:t>to</w:t>
      </w:r>
      <w:r>
        <w:rPr>
          <w:spacing w:val="7"/>
        </w:rPr>
        <w:t xml:space="preserve"> </w:t>
      </w:r>
      <w:r>
        <w:rPr>
          <w:spacing w:val="-1"/>
        </w:rPr>
        <w:t>provide</w:t>
      </w:r>
      <w:r>
        <w:rPr>
          <w:spacing w:val="7"/>
        </w:rPr>
        <w:t xml:space="preserve"> </w:t>
      </w:r>
      <w:r>
        <w:t>the</w:t>
      </w:r>
      <w:r>
        <w:rPr>
          <w:spacing w:val="7"/>
        </w:rPr>
        <w:t xml:space="preserve"> </w:t>
      </w:r>
      <w:r>
        <w:rPr>
          <w:spacing w:val="-1"/>
        </w:rPr>
        <w:t>Goods</w:t>
      </w:r>
      <w:r>
        <w:rPr>
          <w:spacing w:val="8"/>
        </w:rPr>
        <w:t xml:space="preserve"> </w:t>
      </w:r>
      <w:r>
        <w:rPr>
          <w:spacing w:val="-1"/>
        </w:rPr>
        <w:t>and/or</w:t>
      </w:r>
      <w:r>
        <w:rPr>
          <w:spacing w:val="9"/>
        </w:rPr>
        <w:t xml:space="preserve"> </w:t>
      </w:r>
      <w:r>
        <w:rPr>
          <w:spacing w:val="-2"/>
        </w:rPr>
        <w:t>Services</w:t>
      </w:r>
      <w:r>
        <w:rPr>
          <w:spacing w:val="10"/>
        </w:rPr>
        <w:t xml:space="preserve"> </w:t>
      </w:r>
      <w:r>
        <w:rPr>
          <w:spacing w:val="-1"/>
        </w:rPr>
        <w:t>or,</w:t>
      </w:r>
      <w:r>
        <w:rPr>
          <w:spacing w:val="9"/>
        </w:rPr>
        <w:t xml:space="preserve"> </w:t>
      </w:r>
      <w:r>
        <w:rPr>
          <w:spacing w:val="-1"/>
        </w:rPr>
        <w:t>if</w:t>
      </w:r>
      <w:r>
        <w:rPr>
          <w:spacing w:val="11"/>
        </w:rPr>
        <w:t xml:space="preserve"> </w:t>
      </w:r>
      <w:r>
        <w:rPr>
          <w:spacing w:val="-2"/>
        </w:rPr>
        <w:t>applicable,</w:t>
      </w:r>
      <w:r>
        <w:rPr>
          <w:spacing w:val="9"/>
        </w:rPr>
        <w:t xml:space="preserve"> </w:t>
      </w:r>
      <w:r>
        <w:rPr>
          <w:spacing w:val="-2"/>
        </w:rPr>
        <w:t>beyond</w:t>
      </w:r>
      <w:r>
        <w:rPr>
          <w:spacing w:val="7"/>
        </w:rPr>
        <w:t xml:space="preserve"> </w:t>
      </w:r>
      <w:r>
        <w:rPr>
          <w:spacing w:val="-1"/>
        </w:rPr>
        <w:t>the</w:t>
      </w:r>
      <w:r>
        <w:rPr>
          <w:spacing w:val="84"/>
        </w:rPr>
        <w:t xml:space="preserve"> </w:t>
      </w:r>
      <w:r>
        <w:rPr>
          <w:spacing w:val="-1"/>
        </w:rPr>
        <w:t>end</w:t>
      </w:r>
      <w:r>
        <w:rPr>
          <w:spacing w:val="58"/>
        </w:rPr>
        <w:t xml:space="preserve"> </w:t>
      </w:r>
      <w:r>
        <w:rPr>
          <w:spacing w:val="-2"/>
        </w:rPr>
        <w:t>of</w:t>
      </w:r>
      <w:r>
        <w:rPr>
          <w:spacing w:val="59"/>
        </w:rPr>
        <w:t xml:space="preserve"> </w:t>
      </w:r>
      <w:r>
        <w:t>the</w:t>
      </w:r>
      <w:r>
        <w:rPr>
          <w:spacing w:val="55"/>
        </w:rPr>
        <w:t xml:space="preserve"> </w:t>
      </w:r>
      <w:r>
        <w:rPr>
          <w:spacing w:val="-1"/>
        </w:rPr>
        <w:t>Termination</w:t>
      </w:r>
      <w:r>
        <w:rPr>
          <w:spacing w:val="55"/>
        </w:rPr>
        <w:t xml:space="preserve"> </w:t>
      </w:r>
      <w:r>
        <w:rPr>
          <w:spacing w:val="-1"/>
        </w:rPr>
        <w:t>Assistance</w:t>
      </w:r>
      <w:r>
        <w:rPr>
          <w:spacing w:val="58"/>
        </w:rPr>
        <w:t xml:space="preserve"> </w:t>
      </w:r>
      <w:r>
        <w:rPr>
          <w:spacing w:val="-2"/>
        </w:rPr>
        <w:t>Period</w:t>
      </w:r>
      <w:r>
        <w:rPr>
          <w:spacing w:val="58"/>
        </w:rPr>
        <w:t xml:space="preserve"> </w:t>
      </w:r>
      <w:r>
        <w:rPr>
          <w:spacing w:val="-1"/>
        </w:rPr>
        <w:t>and</w:t>
      </w:r>
      <w:r>
        <w:rPr>
          <w:spacing w:val="56"/>
        </w:rPr>
        <w:t xml:space="preserve"> </w:t>
      </w:r>
      <w:r>
        <w:rPr>
          <w:spacing w:val="-2"/>
        </w:rPr>
        <w:t>provided</w:t>
      </w:r>
      <w:r>
        <w:rPr>
          <w:spacing w:val="58"/>
        </w:rPr>
        <w:t xml:space="preserve"> </w:t>
      </w:r>
      <w:r>
        <w:rPr>
          <w:spacing w:val="-1"/>
        </w:rPr>
        <w:t>that</w:t>
      </w:r>
      <w:r>
        <w:rPr>
          <w:spacing w:val="59"/>
        </w:rPr>
        <w:t xml:space="preserve"> </w:t>
      </w:r>
      <w:r>
        <w:rPr>
          <w:spacing w:val="-1"/>
        </w:rPr>
        <w:t>it</w:t>
      </w:r>
      <w:r>
        <w:rPr>
          <w:spacing w:val="57"/>
        </w:rPr>
        <w:t xml:space="preserve"> </w:t>
      </w:r>
      <w:r>
        <w:rPr>
          <w:spacing w:val="-1"/>
        </w:rPr>
        <w:t>shall</w:t>
      </w:r>
      <w:r>
        <w:rPr>
          <w:spacing w:val="57"/>
        </w:rPr>
        <w:t xml:space="preserve"> </w:t>
      </w:r>
      <w:r>
        <w:rPr>
          <w:spacing w:val="-1"/>
        </w:rPr>
        <w:t>notify</w:t>
      </w:r>
      <w:r>
        <w:rPr>
          <w:spacing w:val="56"/>
        </w:rPr>
        <w:t xml:space="preserve"> </w:t>
      </w:r>
      <w:r>
        <w:rPr>
          <w:spacing w:val="-1"/>
        </w:rPr>
        <w:t>the</w:t>
      </w:r>
      <w:r>
        <w:rPr>
          <w:spacing w:val="62"/>
        </w:rPr>
        <w:t xml:space="preserve"> </w:t>
      </w:r>
      <w:r>
        <w:rPr>
          <w:spacing w:val="-2"/>
        </w:rPr>
        <w:t>Supplier</w:t>
      </w:r>
      <w:r>
        <w:rPr>
          <w:spacing w:val="14"/>
        </w:rPr>
        <w:t xml:space="preserve"> </w:t>
      </w:r>
      <w:r>
        <w:t>to</w:t>
      </w:r>
      <w:r>
        <w:rPr>
          <w:spacing w:val="12"/>
        </w:rPr>
        <w:t xml:space="preserve"> </w:t>
      </w:r>
      <w:r>
        <w:rPr>
          <w:spacing w:val="-1"/>
        </w:rPr>
        <w:t>such</w:t>
      </w:r>
      <w:r>
        <w:rPr>
          <w:spacing w:val="10"/>
        </w:rPr>
        <w:t xml:space="preserve"> </w:t>
      </w:r>
      <w:r>
        <w:rPr>
          <w:spacing w:val="-1"/>
        </w:rPr>
        <w:t>effect</w:t>
      </w:r>
      <w:r>
        <w:rPr>
          <w:spacing w:val="12"/>
        </w:rPr>
        <w:t xml:space="preserve"> </w:t>
      </w:r>
      <w:r>
        <w:rPr>
          <w:spacing w:val="-2"/>
        </w:rPr>
        <w:t>no</w:t>
      </w:r>
      <w:r>
        <w:rPr>
          <w:spacing w:val="12"/>
        </w:rPr>
        <w:t xml:space="preserve"> </w:t>
      </w:r>
      <w:r>
        <w:rPr>
          <w:spacing w:val="-1"/>
        </w:rPr>
        <w:t>later</w:t>
      </w:r>
      <w:r>
        <w:rPr>
          <w:spacing w:val="11"/>
        </w:rPr>
        <w:t xml:space="preserve"> </w:t>
      </w:r>
      <w:r>
        <w:rPr>
          <w:spacing w:val="-1"/>
        </w:rPr>
        <w:t>than</w:t>
      </w:r>
      <w:r>
        <w:rPr>
          <w:spacing w:val="10"/>
        </w:rPr>
        <w:t xml:space="preserve"> </w:t>
      </w:r>
      <w:r>
        <w:rPr>
          <w:spacing w:val="-1"/>
        </w:rPr>
        <w:t>twenty</w:t>
      </w:r>
      <w:r>
        <w:rPr>
          <w:spacing w:val="10"/>
        </w:rPr>
        <w:t xml:space="preserve"> </w:t>
      </w:r>
      <w:r>
        <w:rPr>
          <w:spacing w:val="-1"/>
        </w:rPr>
        <w:t>(20)</w:t>
      </w:r>
      <w:r>
        <w:rPr>
          <w:spacing w:val="1"/>
        </w:rPr>
        <w:t xml:space="preserve"> </w:t>
      </w:r>
      <w:r>
        <w:rPr>
          <w:spacing w:val="-1"/>
        </w:rPr>
        <w:t>Working</w:t>
      </w:r>
      <w:r>
        <w:rPr>
          <w:spacing w:val="15"/>
        </w:rPr>
        <w:t xml:space="preserve"> </w:t>
      </w:r>
      <w:r>
        <w:rPr>
          <w:spacing w:val="-2"/>
        </w:rPr>
        <w:t>Days</w:t>
      </w:r>
      <w:r>
        <w:rPr>
          <w:spacing w:val="13"/>
        </w:rPr>
        <w:t xml:space="preserve"> </w:t>
      </w:r>
      <w:r>
        <w:rPr>
          <w:spacing w:val="-1"/>
        </w:rPr>
        <w:t>prior</w:t>
      </w:r>
      <w:r>
        <w:rPr>
          <w:spacing w:val="11"/>
        </w:rPr>
        <w:t xml:space="preserve"> </w:t>
      </w:r>
      <w:r>
        <w:t>to</w:t>
      </w:r>
      <w:r>
        <w:rPr>
          <w:spacing w:val="10"/>
        </w:rPr>
        <w:t xml:space="preserve"> </w:t>
      </w:r>
      <w:r>
        <w:rPr>
          <w:spacing w:val="-1"/>
        </w:rPr>
        <w:t>the</w:t>
      </w:r>
      <w:r>
        <w:rPr>
          <w:spacing w:val="12"/>
        </w:rPr>
        <w:t xml:space="preserve"> </w:t>
      </w:r>
      <w:r>
        <w:rPr>
          <w:spacing w:val="-1"/>
        </w:rPr>
        <w:t>date</w:t>
      </w:r>
      <w:r>
        <w:rPr>
          <w:spacing w:val="12"/>
        </w:rPr>
        <w:t xml:space="preserve"> </w:t>
      </w:r>
      <w:r>
        <w:rPr>
          <w:spacing w:val="-2"/>
        </w:rPr>
        <w:t>on</w:t>
      </w:r>
      <w:r>
        <w:rPr>
          <w:spacing w:val="69"/>
        </w:rPr>
        <w:t xml:space="preserve"> </w:t>
      </w:r>
      <w:r>
        <w:rPr>
          <w:spacing w:val="-1"/>
        </w:rPr>
        <w:t>which</w:t>
      </w:r>
      <w:r>
        <w:rPr>
          <w:spacing w:val="53"/>
        </w:rPr>
        <w:t xml:space="preserve"> </w:t>
      </w:r>
      <w:r>
        <w:t>the</w:t>
      </w:r>
      <w:r>
        <w:rPr>
          <w:spacing w:val="53"/>
        </w:rPr>
        <w:t xml:space="preserve"> </w:t>
      </w:r>
      <w:r>
        <w:rPr>
          <w:spacing w:val="-2"/>
        </w:rPr>
        <w:t>provision</w:t>
      </w:r>
      <w:r>
        <w:rPr>
          <w:spacing w:val="53"/>
        </w:rPr>
        <w:t xml:space="preserve"> </w:t>
      </w:r>
      <w:r>
        <w:rPr>
          <w:spacing w:val="-1"/>
        </w:rPr>
        <w:t>of</w:t>
      </w:r>
      <w:r>
        <w:rPr>
          <w:spacing w:val="57"/>
        </w:rPr>
        <w:t xml:space="preserve"> </w:t>
      </w:r>
      <w:r>
        <w:rPr>
          <w:spacing w:val="-1"/>
        </w:rPr>
        <w:t>Termination</w:t>
      </w:r>
      <w:r>
        <w:rPr>
          <w:spacing w:val="53"/>
        </w:rPr>
        <w:t xml:space="preserve"> </w:t>
      </w:r>
      <w:r>
        <w:rPr>
          <w:spacing w:val="-1"/>
        </w:rPr>
        <w:t>Assistance</w:t>
      </w:r>
      <w:r>
        <w:rPr>
          <w:spacing w:val="51"/>
        </w:rPr>
        <w:t xml:space="preserve"> </w:t>
      </w:r>
      <w:r>
        <w:rPr>
          <w:spacing w:val="-1"/>
        </w:rPr>
        <w:t>is</w:t>
      </w:r>
      <w:r>
        <w:rPr>
          <w:spacing w:val="54"/>
        </w:rPr>
        <w:t xml:space="preserve"> </w:t>
      </w:r>
      <w:r>
        <w:rPr>
          <w:spacing w:val="-1"/>
        </w:rPr>
        <w:t>otherwise</w:t>
      </w:r>
      <w:r>
        <w:rPr>
          <w:spacing w:val="53"/>
        </w:rPr>
        <w:t xml:space="preserve"> </w:t>
      </w:r>
      <w:r>
        <w:rPr>
          <w:spacing w:val="-1"/>
        </w:rPr>
        <w:t>due</w:t>
      </w:r>
      <w:r>
        <w:rPr>
          <w:spacing w:val="55"/>
        </w:rPr>
        <w:t xml:space="preserve"> </w:t>
      </w:r>
      <w:r>
        <w:t>to</w:t>
      </w:r>
      <w:r>
        <w:rPr>
          <w:spacing w:val="53"/>
        </w:rPr>
        <w:t xml:space="preserve"> </w:t>
      </w:r>
      <w:r>
        <w:rPr>
          <w:spacing w:val="-2"/>
        </w:rPr>
        <w:t>expire.</w:t>
      </w:r>
      <w:r>
        <w:rPr>
          <w:spacing w:val="55"/>
        </w:rPr>
        <w:t xml:space="preserve"> </w:t>
      </w:r>
      <w:r>
        <w:t>The</w:t>
      </w:r>
      <w:r>
        <w:rPr>
          <w:spacing w:val="48"/>
        </w:rPr>
        <w:t xml:space="preserve"> </w:t>
      </w:r>
      <w:r>
        <w:rPr>
          <w:spacing w:val="-1"/>
        </w:rPr>
        <w:t>Customer</w:t>
      </w:r>
      <w:r>
        <w:rPr>
          <w:spacing w:val="36"/>
        </w:rPr>
        <w:t xml:space="preserve"> </w:t>
      </w:r>
      <w:r>
        <w:rPr>
          <w:spacing w:val="-1"/>
        </w:rPr>
        <w:t>shall</w:t>
      </w:r>
      <w:r>
        <w:rPr>
          <w:spacing w:val="34"/>
        </w:rPr>
        <w:t xml:space="preserve"> </w:t>
      </w:r>
      <w:r>
        <w:rPr>
          <w:spacing w:val="-2"/>
        </w:rPr>
        <w:t>have</w:t>
      </w:r>
      <w:r>
        <w:rPr>
          <w:spacing w:val="37"/>
        </w:rPr>
        <w:t xml:space="preserve"> </w:t>
      </w:r>
      <w:r>
        <w:t>the</w:t>
      </w:r>
      <w:r>
        <w:rPr>
          <w:spacing w:val="35"/>
        </w:rPr>
        <w:t xml:space="preserve"> </w:t>
      </w:r>
      <w:r>
        <w:rPr>
          <w:spacing w:val="-1"/>
        </w:rPr>
        <w:t>right</w:t>
      </w:r>
      <w:r>
        <w:rPr>
          <w:spacing w:val="34"/>
        </w:rPr>
        <w:t xml:space="preserve"> </w:t>
      </w:r>
      <w:r>
        <w:t>to</w:t>
      </w:r>
      <w:r>
        <w:rPr>
          <w:spacing w:val="35"/>
        </w:rPr>
        <w:t xml:space="preserve"> </w:t>
      </w:r>
      <w:r>
        <w:rPr>
          <w:spacing w:val="-1"/>
        </w:rPr>
        <w:t>terminate</w:t>
      </w:r>
      <w:r>
        <w:rPr>
          <w:spacing w:val="33"/>
        </w:rPr>
        <w:t xml:space="preserve"> </w:t>
      </w:r>
      <w:r>
        <w:rPr>
          <w:spacing w:val="-1"/>
        </w:rPr>
        <w:t>its</w:t>
      </w:r>
      <w:r>
        <w:rPr>
          <w:spacing w:val="35"/>
        </w:rPr>
        <w:t xml:space="preserve"> </w:t>
      </w:r>
      <w:r>
        <w:rPr>
          <w:spacing w:val="-1"/>
        </w:rPr>
        <w:t>requirement</w:t>
      </w:r>
      <w:r>
        <w:rPr>
          <w:spacing w:val="34"/>
        </w:rPr>
        <w:t xml:space="preserve"> </w:t>
      </w:r>
      <w:r>
        <w:t>for</w:t>
      </w:r>
      <w:r>
        <w:rPr>
          <w:spacing w:val="34"/>
        </w:rPr>
        <w:t xml:space="preserve"> </w:t>
      </w:r>
      <w:r>
        <w:rPr>
          <w:spacing w:val="-1"/>
        </w:rPr>
        <w:t>Termination</w:t>
      </w:r>
      <w:r>
        <w:rPr>
          <w:spacing w:val="46"/>
        </w:rPr>
        <w:t xml:space="preserve"> </w:t>
      </w:r>
      <w:r>
        <w:rPr>
          <w:spacing w:val="-1"/>
        </w:rPr>
        <w:t>Assistance</w:t>
      </w:r>
      <w:r>
        <w:rPr>
          <w:spacing w:val="39"/>
        </w:rPr>
        <w:t xml:space="preserve"> </w:t>
      </w:r>
      <w:r>
        <w:rPr>
          <w:spacing w:val="-1"/>
        </w:rPr>
        <w:t>by</w:t>
      </w:r>
      <w:r>
        <w:rPr>
          <w:spacing w:val="36"/>
        </w:rPr>
        <w:t xml:space="preserve"> </w:t>
      </w:r>
      <w:r>
        <w:rPr>
          <w:spacing w:val="-1"/>
        </w:rPr>
        <w:t>serving</w:t>
      </w:r>
      <w:r>
        <w:rPr>
          <w:spacing w:val="41"/>
        </w:rPr>
        <w:t xml:space="preserve"> </w:t>
      </w:r>
      <w:r>
        <w:t>not</w:t>
      </w:r>
      <w:r>
        <w:rPr>
          <w:spacing w:val="40"/>
        </w:rPr>
        <w:t xml:space="preserve"> </w:t>
      </w:r>
      <w:r>
        <w:rPr>
          <w:spacing w:val="-1"/>
        </w:rPr>
        <w:t>less</w:t>
      </w:r>
      <w:r>
        <w:rPr>
          <w:spacing w:val="40"/>
        </w:rPr>
        <w:t xml:space="preserve"> </w:t>
      </w:r>
      <w:r>
        <w:rPr>
          <w:spacing w:val="-1"/>
        </w:rPr>
        <w:t>than</w:t>
      </w:r>
      <w:r>
        <w:rPr>
          <w:spacing w:val="38"/>
        </w:rPr>
        <w:t xml:space="preserve"> </w:t>
      </w:r>
      <w:r>
        <w:rPr>
          <w:spacing w:val="-1"/>
        </w:rPr>
        <w:t>(20)</w:t>
      </w:r>
      <w:r>
        <w:rPr>
          <w:spacing w:val="36"/>
        </w:rPr>
        <w:t xml:space="preserve"> </w:t>
      </w:r>
      <w:r>
        <w:rPr>
          <w:spacing w:val="-1"/>
        </w:rPr>
        <w:t>Working</w:t>
      </w:r>
      <w:r>
        <w:rPr>
          <w:spacing w:val="41"/>
        </w:rPr>
        <w:t xml:space="preserve"> </w:t>
      </w:r>
      <w:r>
        <w:rPr>
          <w:spacing w:val="-2"/>
        </w:rPr>
        <w:t>Days'</w:t>
      </w:r>
      <w:r>
        <w:rPr>
          <w:spacing w:val="43"/>
        </w:rPr>
        <w:t xml:space="preserve"> </w:t>
      </w:r>
      <w:r>
        <w:rPr>
          <w:spacing w:val="-1"/>
        </w:rPr>
        <w:t>written</w:t>
      </w:r>
      <w:r>
        <w:rPr>
          <w:spacing w:val="39"/>
        </w:rPr>
        <w:t xml:space="preserve"> </w:t>
      </w:r>
      <w:r>
        <w:rPr>
          <w:spacing w:val="-1"/>
        </w:rPr>
        <w:t>notice</w:t>
      </w:r>
      <w:r>
        <w:rPr>
          <w:spacing w:val="39"/>
        </w:rPr>
        <w:t xml:space="preserve"> </w:t>
      </w:r>
      <w:r>
        <w:rPr>
          <w:spacing w:val="-1"/>
        </w:rPr>
        <w:t>upon</w:t>
      </w:r>
      <w:r>
        <w:rPr>
          <w:spacing w:val="38"/>
        </w:rPr>
        <w:t xml:space="preserve"> </w:t>
      </w:r>
      <w:r>
        <w:rPr>
          <w:spacing w:val="-1"/>
        </w:rPr>
        <w:t>the</w:t>
      </w:r>
      <w:r>
        <w:rPr>
          <w:spacing w:val="52"/>
        </w:rPr>
        <w:t xml:space="preserve"> </w:t>
      </w:r>
      <w:r>
        <w:rPr>
          <w:spacing w:val="-2"/>
        </w:rPr>
        <w:t>Supplier</w:t>
      </w:r>
      <w:r>
        <w:rPr>
          <w:spacing w:val="2"/>
        </w:rPr>
        <w:t xml:space="preserve"> </w:t>
      </w:r>
      <w:r>
        <w:t xml:space="preserve">to </w:t>
      </w:r>
      <w:r>
        <w:rPr>
          <w:spacing w:val="-2"/>
        </w:rPr>
        <w:t>such</w:t>
      </w:r>
      <w:r>
        <w:rPr>
          <w:spacing w:val="1"/>
        </w:rPr>
        <w:t xml:space="preserve"> </w:t>
      </w:r>
      <w:r>
        <w:rPr>
          <w:spacing w:val="-1"/>
        </w:rPr>
        <w:t>effect.</w:t>
      </w:r>
    </w:p>
    <w:p w:rsidR="008918FA" w:rsidRDefault="008918FA" w:rsidP="008918FA">
      <w:pPr>
        <w:pStyle w:val="BodyText"/>
        <w:numPr>
          <w:ilvl w:val="0"/>
          <w:numId w:val="9"/>
        </w:numPr>
        <w:tabs>
          <w:tab w:val="left" w:pos="466"/>
        </w:tabs>
        <w:spacing w:before="117"/>
        <w:rPr>
          <w:rFonts w:ascii="Times New Roman" w:eastAsia="Times New Roman" w:hAnsi="Times New Roman" w:cs="Times New Roman"/>
        </w:rPr>
      </w:pPr>
      <w:r>
        <w:rPr>
          <w:rFonts w:ascii="Times New Roman"/>
          <w:spacing w:val="-1"/>
        </w:rPr>
        <w:t>TERMINATION</w:t>
      </w:r>
      <w:r>
        <w:rPr>
          <w:rFonts w:ascii="Times New Roman"/>
          <w:spacing w:val="8"/>
        </w:rPr>
        <w:t xml:space="preserve"> </w:t>
      </w:r>
      <w:r>
        <w:rPr>
          <w:rFonts w:ascii="Times New Roman"/>
          <w:spacing w:val="6"/>
        </w:rPr>
        <w:t>ASS</w:t>
      </w:r>
      <w:r>
        <w:rPr>
          <w:rFonts w:ascii="Times New Roman"/>
          <w:spacing w:val="-32"/>
        </w:rPr>
        <w:t xml:space="preserve"> </w:t>
      </w:r>
      <w:r>
        <w:rPr>
          <w:rFonts w:ascii="Times New Roman"/>
          <w:spacing w:val="-6"/>
        </w:rPr>
        <w:t>IS</w:t>
      </w:r>
      <w:r>
        <w:rPr>
          <w:rFonts w:ascii="Times New Roman"/>
          <w:spacing w:val="-32"/>
        </w:rPr>
        <w:t xml:space="preserve"> </w:t>
      </w:r>
      <w:r>
        <w:rPr>
          <w:rFonts w:ascii="Times New Roman"/>
          <w:spacing w:val="1"/>
        </w:rPr>
        <w:t>TANCE</w:t>
      </w:r>
      <w:r>
        <w:rPr>
          <w:rFonts w:ascii="Times New Roman"/>
          <w:spacing w:val="18"/>
        </w:rPr>
        <w:t xml:space="preserve"> </w:t>
      </w:r>
      <w:r>
        <w:rPr>
          <w:rFonts w:ascii="Times New Roman"/>
          <w:spacing w:val="7"/>
        </w:rPr>
        <w:t>PERIOD</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9"/>
        </w:numPr>
        <w:tabs>
          <w:tab w:val="left" w:pos="828"/>
        </w:tabs>
        <w:spacing w:before="0"/>
        <w:ind w:left="827" w:right="114"/>
        <w:jc w:val="both"/>
      </w:pPr>
      <w:r>
        <w:rPr>
          <w:spacing w:val="-1"/>
        </w:rPr>
        <w:t>Throughout</w:t>
      </w:r>
      <w:r>
        <w:rPr>
          <w:spacing w:val="3"/>
        </w:rPr>
        <w:t xml:space="preserve"> </w:t>
      </w:r>
      <w:r>
        <w:t>the</w:t>
      </w:r>
      <w:r>
        <w:rPr>
          <w:spacing w:val="2"/>
        </w:rPr>
        <w:t xml:space="preserve"> </w:t>
      </w:r>
      <w:r>
        <w:rPr>
          <w:spacing w:val="-1"/>
        </w:rPr>
        <w:t>Termination</w:t>
      </w:r>
      <w:r>
        <w:rPr>
          <w:spacing w:val="5"/>
        </w:rPr>
        <w:t xml:space="preserve"> </w:t>
      </w:r>
      <w:r>
        <w:rPr>
          <w:spacing w:val="-1"/>
        </w:rPr>
        <w:t>Assistance</w:t>
      </w:r>
      <w:r>
        <w:rPr>
          <w:spacing w:val="4"/>
        </w:rPr>
        <w:t xml:space="preserve"> </w:t>
      </w:r>
      <w:r>
        <w:rPr>
          <w:spacing w:val="-2"/>
        </w:rPr>
        <w:t>Period,</w:t>
      </w:r>
      <w:r>
        <w:rPr>
          <w:spacing w:val="5"/>
        </w:rPr>
        <w:t xml:space="preserve"> </w:t>
      </w:r>
      <w:r>
        <w:rPr>
          <w:spacing w:val="-1"/>
        </w:rPr>
        <w:t>or</w:t>
      </w:r>
      <w:r>
        <w:rPr>
          <w:spacing w:val="5"/>
        </w:rPr>
        <w:t xml:space="preserve"> </w:t>
      </w:r>
      <w:r>
        <w:rPr>
          <w:spacing w:val="-1"/>
        </w:rPr>
        <w:t>such</w:t>
      </w:r>
      <w:r>
        <w:rPr>
          <w:spacing w:val="4"/>
        </w:rPr>
        <w:t xml:space="preserve"> </w:t>
      </w:r>
      <w:r>
        <w:rPr>
          <w:spacing w:val="-1"/>
        </w:rPr>
        <w:t>shorter</w:t>
      </w:r>
      <w:r>
        <w:rPr>
          <w:spacing w:val="5"/>
        </w:rPr>
        <w:t xml:space="preserve"> </w:t>
      </w:r>
      <w:r>
        <w:rPr>
          <w:spacing w:val="-2"/>
        </w:rPr>
        <w:t>period</w:t>
      </w:r>
      <w:r>
        <w:rPr>
          <w:spacing w:val="4"/>
        </w:rPr>
        <w:t xml:space="preserve"> </w:t>
      </w:r>
      <w:r>
        <w:rPr>
          <w:spacing w:val="-1"/>
        </w:rPr>
        <w:t>as</w:t>
      </w:r>
      <w:r>
        <w:rPr>
          <w:spacing w:val="4"/>
        </w:rPr>
        <w:t xml:space="preserve"> </w:t>
      </w:r>
      <w:r>
        <w:rPr>
          <w:spacing w:val="-1"/>
        </w:rPr>
        <w:t>the</w:t>
      </w:r>
      <w:r>
        <w:rPr>
          <w:spacing w:val="58"/>
        </w:rPr>
        <w:t xml:space="preserve"> </w:t>
      </w:r>
      <w:r>
        <w:rPr>
          <w:spacing w:val="-1"/>
        </w:rPr>
        <w:t>Customer may</w:t>
      </w:r>
      <w:r>
        <w:rPr>
          <w:spacing w:val="-2"/>
        </w:rPr>
        <w:t xml:space="preserve"> </w:t>
      </w:r>
      <w:r>
        <w:rPr>
          <w:spacing w:val="-1"/>
        </w:rPr>
        <w:t>require,</w:t>
      </w:r>
      <w:r>
        <w:t xml:space="preserve"> </w:t>
      </w:r>
      <w:r>
        <w:rPr>
          <w:spacing w:val="-1"/>
        </w:rPr>
        <w:t>the</w:t>
      </w:r>
      <w:r>
        <w:t xml:space="preserve"> </w:t>
      </w:r>
      <w:r>
        <w:rPr>
          <w:spacing w:val="-2"/>
        </w:rPr>
        <w:t>Supplier</w:t>
      </w:r>
      <w:r>
        <w:rPr>
          <w:spacing w:val="2"/>
        </w:rPr>
        <w:t xml:space="preserve"> </w:t>
      </w:r>
      <w:r>
        <w:rPr>
          <w:spacing w:val="-1"/>
        </w:rPr>
        <w:t>shall:</w:t>
      </w:r>
    </w:p>
    <w:p w:rsidR="008918FA" w:rsidRDefault="008918FA" w:rsidP="008918FA">
      <w:pPr>
        <w:pStyle w:val="BodyText"/>
        <w:numPr>
          <w:ilvl w:val="2"/>
          <w:numId w:val="9"/>
        </w:numPr>
        <w:tabs>
          <w:tab w:val="left" w:pos="2026"/>
        </w:tabs>
        <w:spacing w:before="121"/>
        <w:ind w:right="116"/>
        <w:jc w:val="both"/>
      </w:pPr>
      <w:r>
        <w:rPr>
          <w:spacing w:val="-1"/>
        </w:rPr>
        <w:t>continue</w:t>
      </w:r>
      <w:r>
        <w:rPr>
          <w:spacing w:val="24"/>
        </w:rPr>
        <w:t xml:space="preserve"> </w:t>
      </w:r>
      <w:r>
        <w:t>to</w:t>
      </w:r>
      <w:r>
        <w:rPr>
          <w:spacing w:val="22"/>
        </w:rPr>
        <w:t xml:space="preserve"> </w:t>
      </w:r>
      <w:r>
        <w:rPr>
          <w:spacing w:val="-2"/>
        </w:rPr>
        <w:t>provide</w:t>
      </w:r>
      <w:r>
        <w:rPr>
          <w:spacing w:val="24"/>
        </w:rPr>
        <w:t xml:space="preserve"> </w:t>
      </w:r>
      <w:r>
        <w:t>the</w:t>
      </w:r>
      <w:r>
        <w:rPr>
          <w:spacing w:val="23"/>
        </w:rPr>
        <w:t xml:space="preserve"> </w:t>
      </w:r>
      <w:r>
        <w:rPr>
          <w:spacing w:val="-1"/>
        </w:rPr>
        <w:t>Goods</w:t>
      </w:r>
      <w:r>
        <w:rPr>
          <w:spacing w:val="25"/>
        </w:rPr>
        <w:t xml:space="preserve"> </w:t>
      </w:r>
      <w:r>
        <w:rPr>
          <w:spacing w:val="-1"/>
        </w:rPr>
        <w:t>and/or</w:t>
      </w:r>
      <w:r>
        <w:rPr>
          <w:spacing w:val="23"/>
        </w:rPr>
        <w:t xml:space="preserve"> </w:t>
      </w:r>
      <w:r>
        <w:rPr>
          <w:spacing w:val="-1"/>
        </w:rPr>
        <w:t>Services</w:t>
      </w:r>
      <w:r>
        <w:rPr>
          <w:spacing w:val="26"/>
        </w:rPr>
        <w:t xml:space="preserve"> </w:t>
      </w:r>
      <w:r>
        <w:rPr>
          <w:spacing w:val="-1"/>
        </w:rPr>
        <w:t>(as</w:t>
      </w:r>
      <w:r>
        <w:rPr>
          <w:spacing w:val="25"/>
        </w:rPr>
        <w:t xml:space="preserve"> </w:t>
      </w:r>
      <w:r>
        <w:rPr>
          <w:spacing w:val="-2"/>
        </w:rPr>
        <w:t>applicable)</w:t>
      </w:r>
      <w:r>
        <w:rPr>
          <w:spacing w:val="26"/>
        </w:rPr>
        <w:t xml:space="preserve"> </w:t>
      </w:r>
      <w:r>
        <w:rPr>
          <w:spacing w:val="-1"/>
        </w:rPr>
        <w:t>and,</w:t>
      </w:r>
      <w:r>
        <w:rPr>
          <w:spacing w:val="26"/>
        </w:rPr>
        <w:t xml:space="preserve"> </w:t>
      </w:r>
      <w:r>
        <w:rPr>
          <w:spacing w:val="-2"/>
        </w:rPr>
        <w:t>if</w:t>
      </w:r>
      <w:r>
        <w:rPr>
          <w:spacing w:val="51"/>
        </w:rPr>
        <w:t xml:space="preserve"> </w:t>
      </w:r>
      <w:r>
        <w:rPr>
          <w:spacing w:val="-1"/>
        </w:rPr>
        <w:t>required</w:t>
      </w:r>
      <w:r>
        <w:rPr>
          <w:spacing w:val="39"/>
        </w:rPr>
        <w:t xml:space="preserve"> </w:t>
      </w:r>
      <w:r>
        <w:rPr>
          <w:spacing w:val="-1"/>
        </w:rPr>
        <w:t>by</w:t>
      </w:r>
      <w:r>
        <w:rPr>
          <w:spacing w:val="37"/>
        </w:rPr>
        <w:t xml:space="preserve"> </w:t>
      </w:r>
      <w:r>
        <w:t>the</w:t>
      </w:r>
      <w:r>
        <w:rPr>
          <w:spacing w:val="38"/>
        </w:rPr>
        <w:t xml:space="preserve"> </w:t>
      </w:r>
      <w:r>
        <w:rPr>
          <w:spacing w:val="-1"/>
        </w:rPr>
        <w:t>Customer</w:t>
      </w:r>
      <w:r>
        <w:rPr>
          <w:spacing w:val="40"/>
        </w:rPr>
        <w:t xml:space="preserve"> </w:t>
      </w:r>
      <w:r>
        <w:rPr>
          <w:spacing w:val="-1"/>
        </w:rPr>
        <w:t>pursuant</w:t>
      </w:r>
      <w:r>
        <w:rPr>
          <w:spacing w:val="38"/>
        </w:rPr>
        <w:t xml:space="preserve"> </w:t>
      </w:r>
      <w:r>
        <w:t>to</w:t>
      </w:r>
      <w:r>
        <w:rPr>
          <w:spacing w:val="38"/>
        </w:rPr>
        <w:t xml:space="preserve"> </w:t>
      </w:r>
      <w:r>
        <w:rPr>
          <w:spacing w:val="-1"/>
        </w:rPr>
        <w:t>paragraph</w:t>
      </w:r>
      <w:r>
        <w:rPr>
          <w:spacing w:val="2"/>
        </w:rPr>
        <w:t xml:space="preserve"> </w:t>
      </w:r>
      <w:hyperlink w:anchor="_bookmark374" w:history="1">
        <w:r>
          <w:t>6.1</w:t>
        </w:r>
      </w:hyperlink>
      <w:r>
        <w:rPr>
          <w:spacing w:val="40"/>
        </w:rPr>
        <w:t xml:space="preserve"> </w:t>
      </w:r>
      <w:r>
        <w:rPr>
          <w:spacing w:val="-2"/>
        </w:rPr>
        <w:t>of</w:t>
      </w:r>
      <w:r>
        <w:rPr>
          <w:spacing w:val="42"/>
        </w:rPr>
        <w:t xml:space="preserve"> </w:t>
      </w:r>
      <w:r>
        <w:rPr>
          <w:spacing w:val="-1"/>
        </w:rPr>
        <w:t>this</w:t>
      </w:r>
      <w:r>
        <w:rPr>
          <w:spacing w:val="39"/>
        </w:rPr>
        <w:t xml:space="preserve"> </w:t>
      </w:r>
      <w:r>
        <w:rPr>
          <w:spacing w:val="-2"/>
        </w:rPr>
        <w:t>Call</w:t>
      </w:r>
      <w:r>
        <w:rPr>
          <w:spacing w:val="36"/>
        </w:rPr>
        <w:t xml:space="preserve"> </w:t>
      </w:r>
      <w:r>
        <w:rPr>
          <w:spacing w:val="-1"/>
        </w:rPr>
        <w:t>Off</w:t>
      </w:r>
      <w:r>
        <w:rPr>
          <w:spacing w:val="43"/>
        </w:rPr>
        <w:t xml:space="preserve"> </w:t>
      </w:r>
      <w:r>
        <w:rPr>
          <w:spacing w:val="-1"/>
        </w:rPr>
        <w:t>Schedule,</w:t>
      </w:r>
      <w:r>
        <w:rPr>
          <w:spacing w:val="2"/>
        </w:rPr>
        <w:t xml:space="preserve"> </w:t>
      </w:r>
      <w:r>
        <w:rPr>
          <w:spacing w:val="-2"/>
        </w:rPr>
        <w:t>provide</w:t>
      </w:r>
      <w:r>
        <w:t xml:space="preserve"> the</w:t>
      </w:r>
      <w:r>
        <w:rPr>
          <w:spacing w:val="-4"/>
        </w:rPr>
        <w:t xml:space="preserve"> </w:t>
      </w:r>
      <w:r>
        <w:rPr>
          <w:spacing w:val="-1"/>
        </w:rPr>
        <w:t>Termination</w:t>
      </w:r>
      <w:r>
        <w:t xml:space="preserve"> </w:t>
      </w:r>
      <w:r>
        <w:rPr>
          <w:spacing w:val="-2"/>
        </w:rPr>
        <w:t>Assistance;</w:t>
      </w:r>
    </w:p>
    <w:p w:rsidR="008918FA" w:rsidRDefault="008918FA" w:rsidP="008918FA">
      <w:pPr>
        <w:pStyle w:val="BodyText"/>
        <w:numPr>
          <w:ilvl w:val="2"/>
          <w:numId w:val="9"/>
        </w:numPr>
        <w:tabs>
          <w:tab w:val="left" w:pos="2026"/>
        </w:tabs>
        <w:spacing w:before="121"/>
        <w:ind w:right="113"/>
        <w:jc w:val="both"/>
      </w:pPr>
      <w:bookmarkStart w:id="457" w:name="_bookmark376"/>
      <w:bookmarkEnd w:id="457"/>
      <w:r>
        <w:rPr>
          <w:spacing w:val="-1"/>
        </w:rPr>
        <w:t>in</w:t>
      </w:r>
      <w:r>
        <w:rPr>
          <w:spacing w:val="3"/>
        </w:rPr>
        <w:t xml:space="preserve"> </w:t>
      </w:r>
      <w:r>
        <w:rPr>
          <w:spacing w:val="-1"/>
        </w:rPr>
        <w:t>addition</w:t>
      </w:r>
      <w:r>
        <w:rPr>
          <w:spacing w:val="3"/>
        </w:rPr>
        <w:t xml:space="preserve"> </w:t>
      </w:r>
      <w:r>
        <w:t>to</w:t>
      </w:r>
      <w:r>
        <w:rPr>
          <w:spacing w:val="3"/>
        </w:rPr>
        <w:t xml:space="preserve"> </w:t>
      </w:r>
      <w:r>
        <w:rPr>
          <w:spacing w:val="-2"/>
        </w:rPr>
        <w:t>providing</w:t>
      </w:r>
      <w:r>
        <w:rPr>
          <w:spacing w:val="5"/>
        </w:rPr>
        <w:t xml:space="preserve"> </w:t>
      </w:r>
      <w:r>
        <w:t>the</w:t>
      </w:r>
      <w:r>
        <w:rPr>
          <w:spacing w:val="4"/>
        </w:rPr>
        <w:t xml:space="preserve"> </w:t>
      </w:r>
      <w:r>
        <w:rPr>
          <w:spacing w:val="-1"/>
        </w:rPr>
        <w:t>Goods</w:t>
      </w:r>
      <w:r>
        <w:rPr>
          <w:spacing w:val="3"/>
        </w:rPr>
        <w:t xml:space="preserve"> </w:t>
      </w:r>
      <w:r>
        <w:rPr>
          <w:spacing w:val="-1"/>
        </w:rPr>
        <w:t>and/or</w:t>
      </w:r>
      <w:r>
        <w:rPr>
          <w:spacing w:val="4"/>
        </w:rPr>
        <w:t xml:space="preserve"> </w:t>
      </w:r>
      <w:r>
        <w:rPr>
          <w:spacing w:val="-1"/>
        </w:rPr>
        <w:t>Services</w:t>
      </w:r>
      <w:r>
        <w:rPr>
          <w:spacing w:val="4"/>
        </w:rPr>
        <w:t xml:space="preserve"> </w:t>
      </w:r>
      <w:r>
        <w:rPr>
          <w:spacing w:val="-1"/>
        </w:rPr>
        <w:t>and</w:t>
      </w:r>
      <w:r>
        <w:rPr>
          <w:spacing w:val="3"/>
        </w:rPr>
        <w:t xml:space="preserve"> </w:t>
      </w:r>
      <w:r>
        <w:t xml:space="preserve">the </w:t>
      </w:r>
      <w:r>
        <w:rPr>
          <w:spacing w:val="-1"/>
        </w:rPr>
        <w:t>Termination</w:t>
      </w:r>
      <w:r>
        <w:rPr>
          <w:spacing w:val="34"/>
        </w:rPr>
        <w:t xml:space="preserve"> </w:t>
      </w:r>
      <w:r>
        <w:rPr>
          <w:spacing w:val="-1"/>
        </w:rPr>
        <w:t>Assistance,</w:t>
      </w:r>
      <w:r>
        <w:rPr>
          <w:spacing w:val="41"/>
        </w:rPr>
        <w:t xml:space="preserve"> </w:t>
      </w:r>
      <w:r>
        <w:rPr>
          <w:spacing w:val="-2"/>
        </w:rPr>
        <w:t>provide</w:t>
      </w:r>
      <w:r>
        <w:rPr>
          <w:spacing w:val="42"/>
        </w:rPr>
        <w:t xml:space="preserve"> </w:t>
      </w:r>
      <w:r>
        <w:t>to</w:t>
      </w:r>
      <w:r>
        <w:rPr>
          <w:spacing w:val="40"/>
        </w:rPr>
        <w:t xml:space="preserve"> </w:t>
      </w:r>
      <w:r>
        <w:t>the</w:t>
      </w:r>
      <w:r>
        <w:rPr>
          <w:spacing w:val="40"/>
        </w:rPr>
        <w:t xml:space="preserve"> </w:t>
      </w:r>
      <w:r>
        <w:rPr>
          <w:spacing w:val="-1"/>
        </w:rPr>
        <w:t>Customer</w:t>
      </w:r>
      <w:r>
        <w:rPr>
          <w:spacing w:val="41"/>
        </w:rPr>
        <w:t xml:space="preserve"> </w:t>
      </w:r>
      <w:r>
        <w:rPr>
          <w:spacing w:val="-1"/>
        </w:rPr>
        <w:t>any</w:t>
      </w:r>
      <w:r>
        <w:rPr>
          <w:spacing w:val="40"/>
        </w:rPr>
        <w:t xml:space="preserve"> </w:t>
      </w:r>
      <w:r>
        <w:rPr>
          <w:spacing w:val="-1"/>
        </w:rPr>
        <w:t>reasonable</w:t>
      </w:r>
      <w:r>
        <w:rPr>
          <w:spacing w:val="43"/>
        </w:rPr>
        <w:t xml:space="preserve"> </w:t>
      </w:r>
      <w:r>
        <w:rPr>
          <w:spacing w:val="-1"/>
        </w:rPr>
        <w:t>assistance</w:t>
      </w:r>
      <w:r>
        <w:rPr>
          <w:spacing w:val="34"/>
        </w:rPr>
        <w:t xml:space="preserve"> </w:t>
      </w:r>
      <w:r>
        <w:rPr>
          <w:spacing w:val="-1"/>
        </w:rPr>
        <w:t>requested</w:t>
      </w:r>
      <w:r>
        <w:rPr>
          <w:spacing w:val="53"/>
        </w:rPr>
        <w:t xml:space="preserve"> </w:t>
      </w:r>
      <w:r>
        <w:rPr>
          <w:spacing w:val="-1"/>
        </w:rPr>
        <w:t>by</w:t>
      </w:r>
      <w:r>
        <w:rPr>
          <w:spacing w:val="51"/>
        </w:rPr>
        <w:t xml:space="preserve"> </w:t>
      </w:r>
      <w:r>
        <w:t>the</w:t>
      </w:r>
      <w:r>
        <w:rPr>
          <w:spacing w:val="53"/>
        </w:rPr>
        <w:t xml:space="preserve"> </w:t>
      </w:r>
      <w:r>
        <w:rPr>
          <w:spacing w:val="-1"/>
        </w:rPr>
        <w:t>Customer</w:t>
      </w:r>
      <w:r>
        <w:rPr>
          <w:spacing w:val="54"/>
        </w:rPr>
        <w:t xml:space="preserve"> </w:t>
      </w:r>
      <w:r>
        <w:t>to</w:t>
      </w:r>
      <w:r>
        <w:rPr>
          <w:spacing w:val="53"/>
        </w:rPr>
        <w:t xml:space="preserve"> </w:t>
      </w:r>
      <w:r>
        <w:rPr>
          <w:spacing w:val="-2"/>
        </w:rPr>
        <w:t>allow</w:t>
      </w:r>
      <w:r>
        <w:rPr>
          <w:spacing w:val="52"/>
        </w:rPr>
        <w:t xml:space="preserve"> </w:t>
      </w:r>
      <w:r>
        <w:t>the</w:t>
      </w:r>
      <w:r>
        <w:rPr>
          <w:spacing w:val="54"/>
        </w:rPr>
        <w:t xml:space="preserve"> </w:t>
      </w:r>
      <w:r>
        <w:rPr>
          <w:spacing w:val="-1"/>
        </w:rPr>
        <w:t>Goods</w:t>
      </w:r>
      <w:r>
        <w:rPr>
          <w:spacing w:val="53"/>
        </w:rPr>
        <w:t xml:space="preserve"> </w:t>
      </w:r>
      <w:r>
        <w:rPr>
          <w:spacing w:val="-1"/>
        </w:rPr>
        <w:t>and/or</w:t>
      </w:r>
      <w:r>
        <w:rPr>
          <w:spacing w:val="54"/>
        </w:rPr>
        <w:t xml:space="preserve"> </w:t>
      </w:r>
      <w:r>
        <w:rPr>
          <w:spacing w:val="-1"/>
        </w:rPr>
        <w:t>Services</w:t>
      </w:r>
      <w:r>
        <w:rPr>
          <w:spacing w:val="55"/>
        </w:rPr>
        <w:t xml:space="preserve"> </w:t>
      </w:r>
      <w:r>
        <w:t>to</w:t>
      </w:r>
      <w:r>
        <w:rPr>
          <w:spacing w:val="43"/>
        </w:rPr>
        <w:t xml:space="preserve"> </w:t>
      </w:r>
      <w:r>
        <w:rPr>
          <w:spacing w:val="-1"/>
        </w:rPr>
        <w:t>continue</w:t>
      </w:r>
      <w:r>
        <w:rPr>
          <w:spacing w:val="20"/>
        </w:rPr>
        <w:t xml:space="preserve"> </w:t>
      </w:r>
      <w:r>
        <w:rPr>
          <w:spacing w:val="-2"/>
        </w:rPr>
        <w:t>without</w:t>
      </w:r>
      <w:r>
        <w:rPr>
          <w:spacing w:val="21"/>
        </w:rPr>
        <w:t xml:space="preserve"> </w:t>
      </w:r>
      <w:r>
        <w:rPr>
          <w:spacing w:val="-1"/>
        </w:rPr>
        <w:t>interruption</w:t>
      </w:r>
      <w:r>
        <w:rPr>
          <w:spacing w:val="17"/>
        </w:rPr>
        <w:t xml:space="preserve"> </w:t>
      </w:r>
      <w:r>
        <w:rPr>
          <w:spacing w:val="-1"/>
        </w:rPr>
        <w:t>following</w:t>
      </w:r>
      <w:r>
        <w:rPr>
          <w:spacing w:val="22"/>
        </w:rPr>
        <w:t xml:space="preserve"> </w:t>
      </w:r>
      <w:r>
        <w:t>the</w:t>
      </w:r>
      <w:r>
        <w:rPr>
          <w:spacing w:val="20"/>
        </w:rPr>
        <w:t xml:space="preserve"> </w:t>
      </w:r>
      <w:r>
        <w:rPr>
          <w:spacing w:val="-1"/>
        </w:rPr>
        <w:t>termination</w:t>
      </w:r>
      <w:r>
        <w:rPr>
          <w:spacing w:val="20"/>
        </w:rPr>
        <w:t xml:space="preserve"> </w:t>
      </w:r>
      <w:r>
        <w:rPr>
          <w:spacing w:val="-1"/>
        </w:rPr>
        <w:t>or</w:t>
      </w:r>
      <w:r>
        <w:rPr>
          <w:spacing w:val="21"/>
        </w:rPr>
        <w:t xml:space="preserve"> </w:t>
      </w:r>
      <w:r>
        <w:rPr>
          <w:spacing w:val="-2"/>
        </w:rPr>
        <w:t>expiry</w:t>
      </w:r>
      <w:r>
        <w:rPr>
          <w:spacing w:val="17"/>
        </w:rPr>
        <w:t xml:space="preserve"> </w:t>
      </w:r>
      <w:r>
        <w:rPr>
          <w:spacing w:val="-1"/>
        </w:rPr>
        <w:t>of</w:t>
      </w:r>
      <w:r>
        <w:rPr>
          <w:spacing w:val="23"/>
        </w:rPr>
        <w:t xml:space="preserve"> </w:t>
      </w:r>
      <w:r>
        <w:rPr>
          <w:spacing w:val="-1"/>
        </w:rPr>
        <w:t>this</w:t>
      </w:r>
      <w:r>
        <w:rPr>
          <w:spacing w:val="47"/>
        </w:rPr>
        <w:t xml:space="preserve"> </w:t>
      </w:r>
      <w:r>
        <w:rPr>
          <w:spacing w:val="-2"/>
        </w:rPr>
        <w:t>Call</w:t>
      </w:r>
      <w:r>
        <w:rPr>
          <w:spacing w:val="26"/>
        </w:rPr>
        <w:t xml:space="preserve"> </w:t>
      </w:r>
      <w:r>
        <w:rPr>
          <w:spacing w:val="-1"/>
        </w:rPr>
        <w:t>Off</w:t>
      </w:r>
      <w:r>
        <w:rPr>
          <w:spacing w:val="30"/>
        </w:rPr>
        <w:t xml:space="preserve"> </w:t>
      </w:r>
      <w:r>
        <w:rPr>
          <w:spacing w:val="-2"/>
        </w:rPr>
        <w:t>Contract</w:t>
      </w:r>
      <w:r>
        <w:rPr>
          <w:spacing w:val="28"/>
        </w:rPr>
        <w:t xml:space="preserve"> </w:t>
      </w:r>
      <w:r>
        <w:rPr>
          <w:spacing w:val="-1"/>
        </w:rPr>
        <w:t>and</w:t>
      </w:r>
      <w:r>
        <w:rPr>
          <w:spacing w:val="24"/>
        </w:rPr>
        <w:t xml:space="preserve"> </w:t>
      </w:r>
      <w:r>
        <w:t>to</w:t>
      </w:r>
      <w:r>
        <w:rPr>
          <w:spacing w:val="22"/>
        </w:rPr>
        <w:t xml:space="preserve"> </w:t>
      </w:r>
      <w:r>
        <w:rPr>
          <w:spacing w:val="-1"/>
        </w:rPr>
        <w:t>facilitate</w:t>
      </w:r>
      <w:r>
        <w:rPr>
          <w:spacing w:val="24"/>
        </w:rPr>
        <w:t xml:space="preserve"> </w:t>
      </w:r>
      <w:r>
        <w:t>the</w:t>
      </w:r>
      <w:r>
        <w:rPr>
          <w:spacing w:val="27"/>
        </w:rPr>
        <w:t xml:space="preserve"> </w:t>
      </w:r>
      <w:r>
        <w:rPr>
          <w:spacing w:val="-1"/>
        </w:rPr>
        <w:t>orderly</w:t>
      </w:r>
      <w:r>
        <w:rPr>
          <w:spacing w:val="25"/>
        </w:rPr>
        <w:t xml:space="preserve"> </w:t>
      </w:r>
      <w:r>
        <w:rPr>
          <w:spacing w:val="-1"/>
        </w:rPr>
        <w:t>transfer</w:t>
      </w:r>
      <w:r>
        <w:rPr>
          <w:spacing w:val="28"/>
        </w:rPr>
        <w:t xml:space="preserve"> </w:t>
      </w:r>
      <w:r>
        <w:rPr>
          <w:spacing w:val="-2"/>
        </w:rPr>
        <w:t>of</w:t>
      </w:r>
      <w:r>
        <w:rPr>
          <w:spacing w:val="26"/>
        </w:rPr>
        <w:t xml:space="preserve"> </w:t>
      </w:r>
      <w:r>
        <w:rPr>
          <w:spacing w:val="-1"/>
        </w:rPr>
        <w:t>responsibility</w:t>
      </w:r>
      <w:r>
        <w:rPr>
          <w:spacing w:val="57"/>
        </w:rPr>
        <w:t xml:space="preserve"> </w:t>
      </w:r>
      <w:r>
        <w:t>for</w:t>
      </w:r>
      <w:r>
        <w:rPr>
          <w:spacing w:val="16"/>
        </w:rPr>
        <w:t xml:space="preserve"> </w:t>
      </w:r>
      <w:r>
        <w:rPr>
          <w:spacing w:val="-1"/>
        </w:rPr>
        <w:t>and</w:t>
      </w:r>
      <w:r>
        <w:rPr>
          <w:spacing w:val="15"/>
        </w:rPr>
        <w:t xml:space="preserve"> </w:t>
      </w:r>
      <w:r>
        <w:rPr>
          <w:spacing w:val="-1"/>
        </w:rPr>
        <w:t>conduct</w:t>
      </w:r>
      <w:r>
        <w:rPr>
          <w:spacing w:val="17"/>
        </w:rPr>
        <w:t xml:space="preserve"> </w:t>
      </w:r>
      <w:r>
        <w:rPr>
          <w:spacing w:val="-2"/>
        </w:rPr>
        <w:t>of</w:t>
      </w:r>
      <w:r>
        <w:rPr>
          <w:spacing w:val="19"/>
        </w:rPr>
        <w:t xml:space="preserve"> </w:t>
      </w:r>
      <w:r>
        <w:t>the</w:t>
      </w:r>
      <w:r>
        <w:rPr>
          <w:spacing w:val="15"/>
        </w:rPr>
        <w:t xml:space="preserve"> </w:t>
      </w:r>
      <w:r>
        <w:rPr>
          <w:spacing w:val="-1"/>
        </w:rPr>
        <w:t>Goods</w:t>
      </w:r>
      <w:r>
        <w:rPr>
          <w:spacing w:val="15"/>
        </w:rPr>
        <w:t xml:space="preserve"> </w:t>
      </w:r>
      <w:r>
        <w:rPr>
          <w:spacing w:val="-1"/>
        </w:rPr>
        <w:t>and/or</w:t>
      </w:r>
      <w:r>
        <w:rPr>
          <w:spacing w:val="16"/>
        </w:rPr>
        <w:t xml:space="preserve"> </w:t>
      </w:r>
      <w:r>
        <w:rPr>
          <w:spacing w:val="-1"/>
        </w:rPr>
        <w:t>Services</w:t>
      </w:r>
      <w:r>
        <w:rPr>
          <w:spacing w:val="16"/>
        </w:rPr>
        <w:t xml:space="preserve"> </w:t>
      </w:r>
      <w:r>
        <w:t>to</w:t>
      </w:r>
      <w:r>
        <w:rPr>
          <w:spacing w:val="17"/>
        </w:rPr>
        <w:t xml:space="preserve"> </w:t>
      </w:r>
      <w:r>
        <w:t>the</w:t>
      </w:r>
      <w:r>
        <w:rPr>
          <w:spacing w:val="15"/>
        </w:rPr>
        <w:t xml:space="preserve"> </w:t>
      </w:r>
      <w:r>
        <w:rPr>
          <w:spacing w:val="-1"/>
        </w:rPr>
        <w:t>Customer</w:t>
      </w:r>
      <w:r>
        <w:rPr>
          <w:spacing w:val="16"/>
        </w:rPr>
        <w:t xml:space="preserve"> </w:t>
      </w:r>
      <w:r>
        <w:rPr>
          <w:spacing w:val="-1"/>
        </w:rPr>
        <w:t>and/or</w:t>
      </w:r>
      <w:r>
        <w:rPr>
          <w:spacing w:val="21"/>
        </w:rPr>
        <w:t xml:space="preserve"> </w:t>
      </w:r>
      <w:r>
        <w:rPr>
          <w:spacing w:val="-1"/>
        </w:rPr>
        <w:t>its</w:t>
      </w:r>
      <w:r>
        <w:rPr>
          <w:spacing w:val="1"/>
        </w:rPr>
        <w:t xml:space="preserve"> </w:t>
      </w:r>
      <w:r>
        <w:rPr>
          <w:spacing w:val="-2"/>
        </w:rPr>
        <w:t>Replacement</w:t>
      </w:r>
      <w:r>
        <w:rPr>
          <w:spacing w:val="2"/>
        </w:rPr>
        <w:t xml:space="preserve"> </w:t>
      </w:r>
      <w:r>
        <w:rPr>
          <w:spacing w:val="-2"/>
        </w:rPr>
        <w:t>Supplier;</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numPr>
          <w:ilvl w:val="2"/>
          <w:numId w:val="9"/>
        </w:numPr>
        <w:tabs>
          <w:tab w:val="left" w:pos="2027"/>
        </w:tabs>
        <w:spacing w:before="59"/>
        <w:ind w:left="2026" w:right="111"/>
        <w:jc w:val="both"/>
      </w:pPr>
      <w:bookmarkStart w:id="458" w:name="_bookmark377"/>
      <w:bookmarkEnd w:id="458"/>
      <w:r>
        <w:rPr>
          <w:spacing w:val="-1"/>
        </w:rPr>
        <w:t>use</w:t>
      </w:r>
      <w:r>
        <w:rPr>
          <w:spacing w:val="8"/>
        </w:rPr>
        <w:t xml:space="preserve"> </w:t>
      </w:r>
      <w:r>
        <w:rPr>
          <w:spacing w:val="-1"/>
        </w:rPr>
        <w:t>all</w:t>
      </w:r>
      <w:r>
        <w:rPr>
          <w:spacing w:val="7"/>
        </w:rPr>
        <w:t xml:space="preserve"> </w:t>
      </w:r>
      <w:r>
        <w:rPr>
          <w:spacing w:val="-1"/>
        </w:rPr>
        <w:t>reasonable</w:t>
      </w:r>
      <w:r>
        <w:rPr>
          <w:spacing w:val="10"/>
        </w:rPr>
        <w:t xml:space="preserve"> </w:t>
      </w:r>
      <w:r>
        <w:rPr>
          <w:spacing w:val="-1"/>
        </w:rPr>
        <w:t>endeavours</w:t>
      </w:r>
      <w:r>
        <w:rPr>
          <w:spacing w:val="8"/>
        </w:rPr>
        <w:t xml:space="preserve"> </w:t>
      </w:r>
      <w:r>
        <w:t>to</w:t>
      </w:r>
      <w:r>
        <w:rPr>
          <w:spacing w:val="7"/>
        </w:rPr>
        <w:t xml:space="preserve"> </w:t>
      </w:r>
      <w:r>
        <w:rPr>
          <w:spacing w:val="-1"/>
        </w:rPr>
        <w:t>reallocate</w:t>
      </w:r>
      <w:r>
        <w:rPr>
          <w:spacing w:val="7"/>
        </w:rPr>
        <w:t xml:space="preserve"> </w:t>
      </w:r>
      <w:r>
        <w:rPr>
          <w:spacing w:val="-1"/>
        </w:rPr>
        <w:t>resources</w:t>
      </w:r>
      <w:r>
        <w:rPr>
          <w:spacing w:val="8"/>
        </w:rPr>
        <w:t xml:space="preserve"> </w:t>
      </w:r>
      <w:r>
        <w:t>to</w:t>
      </w:r>
      <w:r>
        <w:rPr>
          <w:spacing w:val="7"/>
        </w:rPr>
        <w:t xml:space="preserve"> </w:t>
      </w:r>
      <w:r>
        <w:rPr>
          <w:spacing w:val="-2"/>
        </w:rPr>
        <w:t>provide</w:t>
      </w:r>
      <w:r>
        <w:rPr>
          <w:spacing w:val="7"/>
        </w:rPr>
        <w:t xml:space="preserve"> </w:t>
      </w:r>
      <w:r>
        <w:rPr>
          <w:spacing w:val="-1"/>
        </w:rPr>
        <w:t>such</w:t>
      </w:r>
      <w:r>
        <w:rPr>
          <w:spacing w:val="46"/>
        </w:rPr>
        <w:t xml:space="preserve"> </w:t>
      </w:r>
      <w:r>
        <w:rPr>
          <w:spacing w:val="-1"/>
        </w:rPr>
        <w:t>assistance</w:t>
      </w:r>
      <w:r>
        <w:rPr>
          <w:spacing w:val="1"/>
        </w:rPr>
        <w:t xml:space="preserve"> </w:t>
      </w:r>
      <w:r>
        <w:rPr>
          <w:spacing w:val="-1"/>
        </w:rPr>
        <w:t>as</w:t>
      </w:r>
      <w:r>
        <w:rPr>
          <w:spacing w:val="1"/>
        </w:rPr>
        <w:t xml:space="preserve"> </w:t>
      </w:r>
      <w:r>
        <w:rPr>
          <w:spacing w:val="-1"/>
        </w:rPr>
        <w:t>is</w:t>
      </w:r>
      <w:r>
        <w:rPr>
          <w:spacing w:val="1"/>
        </w:rPr>
        <w:t xml:space="preserve"> </w:t>
      </w:r>
      <w:r>
        <w:rPr>
          <w:spacing w:val="-1"/>
        </w:rPr>
        <w:t>referred</w:t>
      </w:r>
      <w:r>
        <w:rPr>
          <w:spacing w:val="-2"/>
        </w:rPr>
        <w:t xml:space="preserve"> </w:t>
      </w:r>
      <w:r>
        <w:t xml:space="preserve">to </w:t>
      </w:r>
      <w:r>
        <w:rPr>
          <w:spacing w:val="-1"/>
        </w:rPr>
        <w:t>in</w:t>
      </w:r>
      <w:r>
        <w:t xml:space="preserve"> </w:t>
      </w:r>
      <w:r>
        <w:rPr>
          <w:spacing w:val="-1"/>
        </w:rPr>
        <w:t xml:space="preserve">paragraph </w:t>
      </w:r>
      <w:hyperlink w:anchor="_bookmark376" w:history="1">
        <w:r>
          <w:rPr>
            <w:spacing w:val="-1"/>
          </w:rPr>
          <w:t>7.1.2</w:t>
        </w:r>
      </w:hyperlink>
      <w:r>
        <w:t xml:space="preserve"> </w:t>
      </w:r>
      <w:r>
        <w:rPr>
          <w:spacing w:val="-2"/>
        </w:rPr>
        <w:t>of</w:t>
      </w:r>
      <w:r>
        <w:rPr>
          <w:spacing w:val="4"/>
        </w:rPr>
        <w:t xml:space="preserve"> </w:t>
      </w:r>
      <w:r>
        <w:rPr>
          <w:spacing w:val="-2"/>
        </w:rPr>
        <w:t>this</w:t>
      </w:r>
      <w:r>
        <w:rPr>
          <w:spacing w:val="1"/>
        </w:rPr>
        <w:t xml:space="preserve"> </w:t>
      </w:r>
      <w:r>
        <w:rPr>
          <w:spacing w:val="-1"/>
        </w:rPr>
        <w:t>Call</w:t>
      </w:r>
      <w:r>
        <w:t xml:space="preserve"> Off</w:t>
      </w:r>
      <w:r>
        <w:rPr>
          <w:spacing w:val="4"/>
        </w:rPr>
        <w:t xml:space="preserve"> </w:t>
      </w:r>
      <w:r>
        <w:rPr>
          <w:spacing w:val="-1"/>
        </w:rPr>
        <w:t>Schedule</w:t>
      </w:r>
      <w:r>
        <w:rPr>
          <w:spacing w:val="59"/>
        </w:rPr>
        <w:t xml:space="preserve"> </w:t>
      </w:r>
      <w:r>
        <w:rPr>
          <w:spacing w:val="-1"/>
        </w:rPr>
        <w:t>without</w:t>
      </w:r>
      <w:r>
        <w:rPr>
          <w:spacing w:val="2"/>
        </w:rPr>
        <w:t xml:space="preserve"> </w:t>
      </w:r>
      <w:r>
        <w:rPr>
          <w:spacing w:val="-1"/>
        </w:rPr>
        <w:t>additional</w:t>
      </w:r>
      <w:r>
        <w:t xml:space="preserve"> </w:t>
      </w:r>
      <w:r>
        <w:rPr>
          <w:spacing w:val="-1"/>
        </w:rPr>
        <w:t>costs</w:t>
      </w:r>
      <w:r>
        <w:rPr>
          <w:spacing w:val="-2"/>
        </w:rPr>
        <w:t xml:space="preserve"> </w:t>
      </w:r>
      <w:r>
        <w:rPr>
          <w:spacing w:val="-1"/>
        </w:rPr>
        <w:t>to</w:t>
      </w:r>
      <w:r>
        <w:t xml:space="preserve"> the</w:t>
      </w:r>
      <w:r>
        <w:rPr>
          <w:spacing w:val="-2"/>
        </w:rPr>
        <w:t xml:space="preserve"> </w:t>
      </w:r>
      <w:r>
        <w:rPr>
          <w:spacing w:val="-1"/>
        </w:rPr>
        <w:t>Customer;</w:t>
      </w:r>
    </w:p>
    <w:p w:rsidR="008918FA" w:rsidRDefault="008918FA" w:rsidP="008918FA">
      <w:pPr>
        <w:pStyle w:val="BodyText"/>
        <w:numPr>
          <w:ilvl w:val="2"/>
          <w:numId w:val="9"/>
        </w:numPr>
        <w:tabs>
          <w:tab w:val="left" w:pos="2027"/>
        </w:tabs>
        <w:ind w:left="2026" w:right="114"/>
        <w:jc w:val="both"/>
      </w:pPr>
      <w:r>
        <w:rPr>
          <w:spacing w:val="-2"/>
        </w:rPr>
        <w:t>provide</w:t>
      </w:r>
      <w:r>
        <w:rPr>
          <w:spacing w:val="15"/>
        </w:rPr>
        <w:t xml:space="preserve"> </w:t>
      </w:r>
      <w:r>
        <w:t>the</w:t>
      </w:r>
      <w:r>
        <w:rPr>
          <w:spacing w:val="15"/>
        </w:rPr>
        <w:t xml:space="preserve"> </w:t>
      </w:r>
      <w:r>
        <w:rPr>
          <w:spacing w:val="-1"/>
        </w:rPr>
        <w:t>Goods</w:t>
      </w:r>
      <w:r>
        <w:rPr>
          <w:spacing w:val="15"/>
        </w:rPr>
        <w:t xml:space="preserve"> </w:t>
      </w:r>
      <w:r>
        <w:rPr>
          <w:spacing w:val="-1"/>
        </w:rPr>
        <w:t>and/or</w:t>
      </w:r>
      <w:r>
        <w:rPr>
          <w:spacing w:val="16"/>
        </w:rPr>
        <w:t xml:space="preserve"> </w:t>
      </w:r>
      <w:r>
        <w:rPr>
          <w:spacing w:val="-1"/>
        </w:rPr>
        <w:t>Services</w:t>
      </w:r>
      <w:r>
        <w:rPr>
          <w:spacing w:val="16"/>
        </w:rPr>
        <w:t xml:space="preserve"> </w:t>
      </w:r>
      <w:r>
        <w:rPr>
          <w:spacing w:val="-1"/>
        </w:rPr>
        <w:t>and</w:t>
      </w:r>
      <w:r>
        <w:rPr>
          <w:spacing w:val="15"/>
        </w:rPr>
        <w:t xml:space="preserve"> </w:t>
      </w:r>
      <w:r>
        <w:t>the</w:t>
      </w:r>
      <w:r>
        <w:rPr>
          <w:spacing w:val="15"/>
        </w:rPr>
        <w:t xml:space="preserve"> </w:t>
      </w:r>
      <w:r>
        <w:rPr>
          <w:spacing w:val="-1"/>
        </w:rPr>
        <w:t>Termination</w:t>
      </w:r>
      <w:r>
        <w:rPr>
          <w:spacing w:val="15"/>
        </w:rPr>
        <w:t xml:space="preserve"> </w:t>
      </w:r>
      <w:r>
        <w:rPr>
          <w:spacing w:val="-1"/>
        </w:rPr>
        <w:t>Assistance</w:t>
      </w:r>
      <w:r>
        <w:rPr>
          <w:spacing w:val="15"/>
        </w:rPr>
        <w:t xml:space="preserve"> </w:t>
      </w:r>
      <w:r>
        <w:rPr>
          <w:spacing w:val="-1"/>
        </w:rPr>
        <w:t>at</w:t>
      </w:r>
      <w:r>
        <w:rPr>
          <w:spacing w:val="40"/>
        </w:rPr>
        <w:t xml:space="preserve"> </w:t>
      </w:r>
      <w:r>
        <w:rPr>
          <w:spacing w:val="-1"/>
        </w:rPr>
        <w:t>no</w:t>
      </w:r>
      <w:r>
        <w:rPr>
          <w:spacing w:val="15"/>
        </w:rPr>
        <w:t xml:space="preserve"> </w:t>
      </w:r>
      <w:r>
        <w:rPr>
          <w:spacing w:val="-1"/>
        </w:rPr>
        <w:t>detriment</w:t>
      </w:r>
      <w:r>
        <w:rPr>
          <w:spacing w:val="16"/>
        </w:rPr>
        <w:t xml:space="preserve"> </w:t>
      </w:r>
      <w:r>
        <w:t>to</w:t>
      </w:r>
      <w:r>
        <w:rPr>
          <w:spacing w:val="15"/>
        </w:rPr>
        <w:t xml:space="preserve"> </w:t>
      </w:r>
      <w:r>
        <w:rPr>
          <w:spacing w:val="-1"/>
        </w:rPr>
        <w:t>the</w:t>
      </w:r>
      <w:r>
        <w:rPr>
          <w:spacing w:val="15"/>
        </w:rPr>
        <w:t xml:space="preserve"> </w:t>
      </w:r>
      <w:r>
        <w:rPr>
          <w:spacing w:val="-2"/>
        </w:rPr>
        <w:t>Service</w:t>
      </w:r>
      <w:r>
        <w:rPr>
          <w:spacing w:val="15"/>
        </w:rPr>
        <w:t xml:space="preserve"> </w:t>
      </w:r>
      <w:r>
        <w:rPr>
          <w:spacing w:val="-1"/>
        </w:rPr>
        <w:t>Level</w:t>
      </w:r>
      <w:r>
        <w:rPr>
          <w:spacing w:val="14"/>
        </w:rPr>
        <w:t xml:space="preserve"> </w:t>
      </w:r>
      <w:r>
        <w:rPr>
          <w:spacing w:val="-1"/>
        </w:rPr>
        <w:t>Performance</w:t>
      </w:r>
      <w:r>
        <w:rPr>
          <w:spacing w:val="15"/>
        </w:rPr>
        <w:t xml:space="preserve"> </w:t>
      </w:r>
      <w:r>
        <w:rPr>
          <w:spacing w:val="-1"/>
        </w:rPr>
        <w:t>Measures,</w:t>
      </w:r>
      <w:r>
        <w:rPr>
          <w:spacing w:val="17"/>
        </w:rPr>
        <w:t xml:space="preserve"> </w:t>
      </w:r>
      <w:r>
        <w:rPr>
          <w:spacing w:val="-1"/>
        </w:rPr>
        <w:t>save</w:t>
      </w:r>
      <w:r>
        <w:rPr>
          <w:spacing w:val="15"/>
        </w:rPr>
        <w:t xml:space="preserve"> </w:t>
      </w:r>
      <w:r>
        <w:t>to</w:t>
      </w:r>
      <w:r>
        <w:rPr>
          <w:spacing w:val="15"/>
        </w:rPr>
        <w:t xml:space="preserve"> </w:t>
      </w:r>
      <w:r>
        <w:rPr>
          <w:spacing w:val="-1"/>
        </w:rPr>
        <w:t>the</w:t>
      </w:r>
      <w:r>
        <w:rPr>
          <w:spacing w:val="40"/>
        </w:rPr>
        <w:t xml:space="preserve"> </w:t>
      </w:r>
      <w:r>
        <w:rPr>
          <w:spacing w:val="-1"/>
        </w:rPr>
        <w:t>extent</w:t>
      </w:r>
      <w:r>
        <w:rPr>
          <w:spacing w:val="38"/>
        </w:rPr>
        <w:t xml:space="preserve"> </w:t>
      </w:r>
      <w:r>
        <w:rPr>
          <w:spacing w:val="-1"/>
        </w:rPr>
        <w:t>that</w:t>
      </w:r>
      <w:r>
        <w:rPr>
          <w:spacing w:val="38"/>
        </w:rPr>
        <w:t xml:space="preserve"> </w:t>
      </w:r>
      <w:r>
        <w:t>the</w:t>
      </w:r>
      <w:r>
        <w:rPr>
          <w:spacing w:val="34"/>
        </w:rPr>
        <w:t xml:space="preserve"> </w:t>
      </w:r>
      <w:r>
        <w:rPr>
          <w:spacing w:val="-1"/>
        </w:rPr>
        <w:t>Parties</w:t>
      </w:r>
      <w:r>
        <w:rPr>
          <w:spacing w:val="37"/>
        </w:rPr>
        <w:t xml:space="preserve"> </w:t>
      </w:r>
      <w:r>
        <w:rPr>
          <w:spacing w:val="-1"/>
        </w:rPr>
        <w:t>agree</w:t>
      </w:r>
      <w:r>
        <w:rPr>
          <w:spacing w:val="36"/>
        </w:rPr>
        <w:t xml:space="preserve"> </w:t>
      </w:r>
      <w:r>
        <w:rPr>
          <w:spacing w:val="-2"/>
        </w:rPr>
        <w:t>otherwise</w:t>
      </w:r>
      <w:r>
        <w:rPr>
          <w:spacing w:val="37"/>
        </w:rPr>
        <w:t xml:space="preserve"> </w:t>
      </w:r>
      <w:r>
        <w:rPr>
          <w:spacing w:val="-1"/>
        </w:rPr>
        <w:t>in</w:t>
      </w:r>
      <w:r>
        <w:rPr>
          <w:spacing w:val="37"/>
        </w:rPr>
        <w:t xml:space="preserve"> </w:t>
      </w:r>
      <w:r>
        <w:rPr>
          <w:spacing w:val="-1"/>
        </w:rPr>
        <w:t>accordance</w:t>
      </w:r>
      <w:r>
        <w:t xml:space="preserve"> </w:t>
      </w:r>
      <w:r>
        <w:rPr>
          <w:spacing w:val="34"/>
        </w:rPr>
        <w:t xml:space="preserve"> </w:t>
      </w:r>
      <w:r>
        <w:rPr>
          <w:spacing w:val="-2"/>
        </w:rPr>
        <w:t>with</w:t>
      </w:r>
      <w:r>
        <w:rPr>
          <w:spacing w:val="37"/>
        </w:rPr>
        <w:t xml:space="preserve"> </w:t>
      </w:r>
      <w:r>
        <w:rPr>
          <w:spacing w:val="-1"/>
        </w:rPr>
        <w:t>paragraph</w:t>
      </w:r>
      <w:r>
        <w:rPr>
          <w:spacing w:val="-2"/>
        </w:rPr>
        <w:t xml:space="preserve"> </w:t>
      </w:r>
      <w:hyperlink w:anchor="_bookmark379" w:history="1">
        <w:r>
          <w:rPr>
            <w:spacing w:val="-1"/>
          </w:rPr>
          <w:t>7.3</w:t>
        </w:r>
      </w:hyperlink>
      <w:r>
        <w:rPr>
          <w:spacing w:val="-1"/>
        </w:rPr>
        <w:t>;</w:t>
      </w:r>
      <w:r>
        <w:rPr>
          <w:spacing w:val="2"/>
        </w:rPr>
        <w:t xml:space="preserve"> </w:t>
      </w:r>
      <w:r>
        <w:rPr>
          <w:spacing w:val="-1"/>
        </w:rPr>
        <w:t>and</w:t>
      </w:r>
    </w:p>
    <w:p w:rsidR="008918FA" w:rsidRDefault="008918FA" w:rsidP="008918FA">
      <w:pPr>
        <w:pStyle w:val="BodyText"/>
        <w:numPr>
          <w:ilvl w:val="2"/>
          <w:numId w:val="9"/>
        </w:numPr>
        <w:tabs>
          <w:tab w:val="left" w:pos="2027"/>
        </w:tabs>
        <w:spacing w:before="121"/>
        <w:ind w:left="2026" w:right="111"/>
        <w:jc w:val="both"/>
      </w:pPr>
      <w:bookmarkStart w:id="459" w:name="_bookmark378"/>
      <w:bookmarkEnd w:id="459"/>
      <w:r>
        <w:rPr>
          <w:spacing w:val="-1"/>
        </w:rPr>
        <w:t>at</w:t>
      </w:r>
      <w:r>
        <w:rPr>
          <w:spacing w:val="4"/>
        </w:rPr>
        <w:t xml:space="preserve"> </w:t>
      </w:r>
      <w:r>
        <w:t>the</w:t>
      </w:r>
      <w:r>
        <w:rPr>
          <w:spacing w:val="5"/>
        </w:rPr>
        <w:t xml:space="preserve"> </w:t>
      </w:r>
      <w:r>
        <w:rPr>
          <w:spacing w:val="-1"/>
        </w:rPr>
        <w:t>Customer's</w:t>
      </w:r>
      <w:r>
        <w:rPr>
          <w:spacing w:val="3"/>
        </w:rPr>
        <w:t xml:space="preserve"> </w:t>
      </w:r>
      <w:r>
        <w:rPr>
          <w:spacing w:val="-1"/>
        </w:rPr>
        <w:t>request</w:t>
      </w:r>
      <w:r>
        <w:rPr>
          <w:spacing w:val="7"/>
        </w:rPr>
        <w:t xml:space="preserve"> </w:t>
      </w:r>
      <w:r>
        <w:rPr>
          <w:spacing w:val="-1"/>
        </w:rPr>
        <w:t>and</w:t>
      </w:r>
      <w:r>
        <w:rPr>
          <w:spacing w:val="3"/>
        </w:rPr>
        <w:t xml:space="preserve"> </w:t>
      </w:r>
      <w:r>
        <w:rPr>
          <w:spacing w:val="-1"/>
        </w:rPr>
        <w:t>on</w:t>
      </w:r>
      <w:r>
        <w:rPr>
          <w:spacing w:val="3"/>
        </w:rPr>
        <w:t xml:space="preserve"> </w:t>
      </w:r>
      <w:r>
        <w:rPr>
          <w:spacing w:val="-1"/>
        </w:rPr>
        <w:t>reasonable</w:t>
      </w:r>
      <w:r>
        <w:rPr>
          <w:spacing w:val="5"/>
        </w:rPr>
        <w:t xml:space="preserve"> </w:t>
      </w:r>
      <w:r>
        <w:rPr>
          <w:spacing w:val="-2"/>
        </w:rPr>
        <w:t>notice,</w:t>
      </w:r>
      <w:r>
        <w:rPr>
          <w:spacing w:val="7"/>
        </w:rPr>
        <w:t xml:space="preserve"> </w:t>
      </w:r>
      <w:r>
        <w:rPr>
          <w:spacing w:val="-2"/>
        </w:rPr>
        <w:t>deliver</w:t>
      </w:r>
      <w:r>
        <w:rPr>
          <w:spacing w:val="6"/>
        </w:rPr>
        <w:t xml:space="preserve"> </w:t>
      </w:r>
      <w:r>
        <w:rPr>
          <w:spacing w:val="-1"/>
        </w:rPr>
        <w:t>up-to-date</w:t>
      </w:r>
      <w:r>
        <w:rPr>
          <w:spacing w:val="51"/>
        </w:rPr>
        <w:t xml:space="preserve"> </w:t>
      </w:r>
      <w:r>
        <w:rPr>
          <w:spacing w:val="-1"/>
        </w:rPr>
        <w:t>Registers</w:t>
      </w:r>
      <w:r>
        <w:rPr>
          <w:spacing w:val="-2"/>
        </w:rPr>
        <w:t xml:space="preserve"> </w:t>
      </w:r>
      <w:r>
        <w:t>to</w:t>
      </w:r>
      <w:r>
        <w:rPr>
          <w:spacing w:val="-2"/>
        </w:rPr>
        <w:t xml:space="preserve"> </w:t>
      </w:r>
      <w:r>
        <w:t xml:space="preserve">the </w:t>
      </w:r>
      <w:r>
        <w:rPr>
          <w:spacing w:val="-2"/>
        </w:rPr>
        <w:t>Customer.</w:t>
      </w:r>
    </w:p>
    <w:p w:rsidR="008918FA" w:rsidRDefault="008918FA" w:rsidP="008918FA">
      <w:pPr>
        <w:pStyle w:val="BodyText"/>
        <w:numPr>
          <w:ilvl w:val="1"/>
          <w:numId w:val="9"/>
        </w:numPr>
        <w:tabs>
          <w:tab w:val="left" w:pos="829"/>
        </w:tabs>
        <w:spacing w:before="121"/>
        <w:ind w:right="112"/>
        <w:jc w:val="both"/>
      </w:pPr>
      <w:r>
        <w:rPr>
          <w:spacing w:val="-1"/>
        </w:rPr>
        <w:t>Without</w:t>
      </w:r>
      <w:r>
        <w:rPr>
          <w:spacing w:val="30"/>
        </w:rPr>
        <w:t xml:space="preserve"> </w:t>
      </w:r>
      <w:r>
        <w:rPr>
          <w:spacing w:val="-1"/>
        </w:rPr>
        <w:t>prejudice</w:t>
      </w:r>
      <w:r>
        <w:rPr>
          <w:spacing w:val="30"/>
        </w:rPr>
        <w:t xml:space="preserve"> </w:t>
      </w:r>
      <w:r>
        <w:t>to</w:t>
      </w:r>
      <w:r>
        <w:rPr>
          <w:spacing w:val="29"/>
        </w:rPr>
        <w:t xml:space="preserve"> </w:t>
      </w:r>
      <w:r>
        <w:t>the</w:t>
      </w:r>
      <w:r>
        <w:rPr>
          <w:spacing w:val="29"/>
        </w:rPr>
        <w:t xml:space="preserve"> </w:t>
      </w:r>
      <w:r>
        <w:rPr>
          <w:spacing w:val="-2"/>
        </w:rPr>
        <w:t>Supplier’s</w:t>
      </w:r>
      <w:r>
        <w:rPr>
          <w:spacing w:val="32"/>
        </w:rPr>
        <w:t xml:space="preserve"> </w:t>
      </w:r>
      <w:r>
        <w:rPr>
          <w:spacing w:val="-1"/>
        </w:rPr>
        <w:t>obligations</w:t>
      </w:r>
      <w:r>
        <w:rPr>
          <w:spacing w:val="30"/>
        </w:rPr>
        <w:t xml:space="preserve"> </w:t>
      </w:r>
      <w:r>
        <w:rPr>
          <w:spacing w:val="-2"/>
        </w:rPr>
        <w:t>under</w:t>
      </w:r>
      <w:r>
        <w:rPr>
          <w:spacing w:val="33"/>
        </w:rPr>
        <w:t xml:space="preserve"> </w:t>
      </w:r>
      <w:r>
        <w:rPr>
          <w:spacing w:val="-1"/>
        </w:rPr>
        <w:t>paragraph</w:t>
      </w:r>
      <w:r>
        <w:rPr>
          <w:spacing w:val="29"/>
        </w:rPr>
        <w:t xml:space="preserve"> </w:t>
      </w:r>
      <w:hyperlink w:anchor="_bookmark377" w:history="1">
        <w:r>
          <w:rPr>
            <w:spacing w:val="-1"/>
          </w:rPr>
          <w:t>7.1.3</w:t>
        </w:r>
      </w:hyperlink>
      <w:r>
        <w:rPr>
          <w:spacing w:val="34"/>
        </w:rPr>
        <w:t xml:space="preserve"> </w:t>
      </w:r>
      <w:r>
        <w:rPr>
          <w:spacing w:val="-2"/>
        </w:rPr>
        <w:t>of</w:t>
      </w:r>
      <w:r>
        <w:rPr>
          <w:spacing w:val="30"/>
        </w:rPr>
        <w:t xml:space="preserve"> </w:t>
      </w:r>
      <w:r>
        <w:rPr>
          <w:spacing w:val="-1"/>
        </w:rPr>
        <w:t>this</w:t>
      </w:r>
      <w:r>
        <w:rPr>
          <w:spacing w:val="30"/>
        </w:rPr>
        <w:t xml:space="preserve"> </w:t>
      </w:r>
      <w:r>
        <w:rPr>
          <w:spacing w:val="-2"/>
        </w:rPr>
        <w:t>Call</w:t>
      </w:r>
      <w:r>
        <w:rPr>
          <w:spacing w:val="59"/>
        </w:rPr>
        <w:t xml:space="preserve"> </w:t>
      </w:r>
      <w:r>
        <w:rPr>
          <w:spacing w:val="-1"/>
        </w:rPr>
        <w:t>Off</w:t>
      </w:r>
      <w:r>
        <w:rPr>
          <w:spacing w:val="9"/>
        </w:rPr>
        <w:t xml:space="preserve"> </w:t>
      </w:r>
      <w:r>
        <w:rPr>
          <w:spacing w:val="-1"/>
        </w:rPr>
        <w:t>Schedule,</w:t>
      </w:r>
      <w:r>
        <w:rPr>
          <w:spacing w:val="9"/>
        </w:rPr>
        <w:t xml:space="preserve"> </w:t>
      </w:r>
      <w:r>
        <w:rPr>
          <w:spacing w:val="-2"/>
        </w:rPr>
        <w:t>if</w:t>
      </w:r>
      <w:r>
        <w:rPr>
          <w:spacing w:val="11"/>
        </w:rPr>
        <w:t xml:space="preserve"> </w:t>
      </w:r>
      <w:r>
        <w:rPr>
          <w:spacing w:val="-1"/>
        </w:rPr>
        <w:t>it</w:t>
      </w:r>
      <w:r>
        <w:rPr>
          <w:spacing w:val="9"/>
        </w:rPr>
        <w:t xml:space="preserve"> </w:t>
      </w:r>
      <w:r>
        <w:rPr>
          <w:spacing w:val="-1"/>
        </w:rPr>
        <w:t>is</w:t>
      </w:r>
      <w:r>
        <w:rPr>
          <w:spacing w:val="8"/>
        </w:rPr>
        <w:t xml:space="preserve"> </w:t>
      </w:r>
      <w:r>
        <w:rPr>
          <w:spacing w:val="-1"/>
        </w:rPr>
        <w:t>not</w:t>
      </w:r>
      <w:r>
        <w:rPr>
          <w:spacing w:val="7"/>
        </w:rPr>
        <w:t xml:space="preserve"> </w:t>
      </w:r>
      <w:r>
        <w:rPr>
          <w:spacing w:val="-1"/>
        </w:rPr>
        <w:t>possible</w:t>
      </w:r>
      <w:r>
        <w:rPr>
          <w:spacing w:val="7"/>
        </w:rPr>
        <w:t xml:space="preserve"> </w:t>
      </w:r>
      <w:r>
        <w:t>for</w:t>
      </w:r>
      <w:r>
        <w:rPr>
          <w:spacing w:val="6"/>
        </w:rPr>
        <w:t xml:space="preserve"> </w:t>
      </w:r>
      <w:r>
        <w:t>the</w:t>
      </w:r>
      <w:r>
        <w:rPr>
          <w:spacing w:val="7"/>
        </w:rPr>
        <w:t xml:space="preserve"> </w:t>
      </w:r>
      <w:r>
        <w:rPr>
          <w:spacing w:val="-2"/>
        </w:rPr>
        <w:t>Supplier</w:t>
      </w:r>
      <w:r>
        <w:rPr>
          <w:spacing w:val="9"/>
        </w:rPr>
        <w:t xml:space="preserve"> </w:t>
      </w:r>
      <w:r>
        <w:t>to</w:t>
      </w:r>
      <w:r>
        <w:rPr>
          <w:spacing w:val="7"/>
        </w:rPr>
        <w:t xml:space="preserve"> </w:t>
      </w:r>
      <w:r>
        <w:rPr>
          <w:spacing w:val="-1"/>
        </w:rPr>
        <w:t>reallocate</w:t>
      </w:r>
      <w:r>
        <w:rPr>
          <w:spacing w:val="7"/>
        </w:rPr>
        <w:t xml:space="preserve"> </w:t>
      </w:r>
      <w:r>
        <w:rPr>
          <w:spacing w:val="-1"/>
        </w:rPr>
        <w:t>resources</w:t>
      </w:r>
      <w:r>
        <w:rPr>
          <w:spacing w:val="8"/>
        </w:rPr>
        <w:t xml:space="preserve"> </w:t>
      </w:r>
      <w:r>
        <w:rPr>
          <w:spacing w:val="-1"/>
        </w:rPr>
        <w:t>to</w:t>
      </w:r>
      <w:r>
        <w:rPr>
          <w:spacing w:val="7"/>
        </w:rPr>
        <w:t xml:space="preserve"> </w:t>
      </w:r>
      <w:r>
        <w:rPr>
          <w:spacing w:val="-2"/>
        </w:rPr>
        <w:t>provide</w:t>
      </w:r>
      <w:r>
        <w:rPr>
          <w:spacing w:val="56"/>
        </w:rPr>
        <w:t xml:space="preserve"> </w:t>
      </w:r>
      <w:r>
        <w:rPr>
          <w:spacing w:val="-1"/>
        </w:rPr>
        <w:t>such</w:t>
      </w:r>
      <w:r>
        <w:rPr>
          <w:spacing w:val="58"/>
        </w:rPr>
        <w:t xml:space="preserve"> </w:t>
      </w:r>
      <w:r>
        <w:rPr>
          <w:spacing w:val="-1"/>
        </w:rPr>
        <w:t>assistance</w:t>
      </w:r>
      <w:r>
        <w:rPr>
          <w:spacing w:val="56"/>
        </w:rPr>
        <w:t xml:space="preserve"> </w:t>
      </w:r>
      <w:r>
        <w:rPr>
          <w:spacing w:val="-1"/>
        </w:rPr>
        <w:t>as</w:t>
      </w:r>
      <w:r>
        <w:rPr>
          <w:spacing w:val="58"/>
        </w:rPr>
        <w:t xml:space="preserve"> </w:t>
      </w:r>
      <w:r>
        <w:rPr>
          <w:spacing w:val="-1"/>
        </w:rPr>
        <w:t>is</w:t>
      </w:r>
      <w:r>
        <w:rPr>
          <w:spacing w:val="56"/>
        </w:rPr>
        <w:t xml:space="preserve"> </w:t>
      </w:r>
      <w:r>
        <w:rPr>
          <w:spacing w:val="-1"/>
        </w:rPr>
        <w:t>referred</w:t>
      </w:r>
      <w:r>
        <w:rPr>
          <w:spacing w:val="58"/>
        </w:rPr>
        <w:t xml:space="preserve"> </w:t>
      </w:r>
      <w:r>
        <w:t>to</w:t>
      </w:r>
      <w:r>
        <w:rPr>
          <w:spacing w:val="55"/>
        </w:rPr>
        <w:t xml:space="preserve"> </w:t>
      </w:r>
      <w:r>
        <w:rPr>
          <w:spacing w:val="-1"/>
        </w:rPr>
        <w:t>in</w:t>
      </w:r>
      <w:r>
        <w:rPr>
          <w:spacing w:val="59"/>
        </w:rPr>
        <w:t xml:space="preserve"> </w:t>
      </w:r>
      <w:r>
        <w:rPr>
          <w:spacing w:val="-1"/>
        </w:rPr>
        <w:t>paragraph</w:t>
      </w:r>
      <w:r>
        <w:t xml:space="preserve"> </w:t>
      </w:r>
      <w:hyperlink w:anchor="_bookmark376" w:history="1">
        <w:r>
          <w:rPr>
            <w:spacing w:val="-1"/>
          </w:rPr>
          <w:t>7.1.2</w:t>
        </w:r>
      </w:hyperlink>
      <w:r>
        <w:rPr>
          <w:spacing w:val="58"/>
        </w:rPr>
        <w:t xml:space="preserve"> </w:t>
      </w:r>
      <w:r>
        <w:rPr>
          <w:spacing w:val="-2"/>
        </w:rPr>
        <w:t>of</w:t>
      </w:r>
      <w:r>
        <w:rPr>
          <w:spacing w:val="59"/>
        </w:rPr>
        <w:t xml:space="preserve"> </w:t>
      </w:r>
      <w:r>
        <w:rPr>
          <w:spacing w:val="-1"/>
        </w:rPr>
        <w:t>this</w:t>
      </w:r>
      <w:r>
        <w:rPr>
          <w:spacing w:val="58"/>
        </w:rPr>
        <w:t xml:space="preserve"> </w:t>
      </w:r>
      <w:r>
        <w:rPr>
          <w:spacing w:val="-2"/>
        </w:rPr>
        <w:t>Call</w:t>
      </w:r>
      <w:r>
        <w:rPr>
          <w:spacing w:val="57"/>
        </w:rPr>
        <w:t xml:space="preserve"> </w:t>
      </w:r>
      <w:r>
        <w:rPr>
          <w:spacing w:val="-1"/>
        </w:rPr>
        <w:t>Off</w:t>
      </w:r>
      <w:r>
        <w:rPr>
          <w:spacing w:val="55"/>
        </w:rPr>
        <w:t xml:space="preserve"> </w:t>
      </w:r>
      <w:r>
        <w:rPr>
          <w:spacing w:val="-1"/>
        </w:rPr>
        <w:t>Schedule</w:t>
      </w:r>
      <w:r>
        <w:rPr>
          <w:spacing w:val="47"/>
        </w:rPr>
        <w:t xml:space="preserve"> </w:t>
      </w:r>
      <w:r>
        <w:rPr>
          <w:spacing w:val="-1"/>
        </w:rPr>
        <w:t>without</w:t>
      </w:r>
      <w:r>
        <w:rPr>
          <w:spacing w:val="59"/>
        </w:rPr>
        <w:t xml:space="preserve"> </w:t>
      </w:r>
      <w:r>
        <w:rPr>
          <w:spacing w:val="-1"/>
        </w:rPr>
        <w:t>additional</w:t>
      </w:r>
      <w:r>
        <w:rPr>
          <w:spacing w:val="57"/>
        </w:rPr>
        <w:t xml:space="preserve"> </w:t>
      </w:r>
      <w:r>
        <w:rPr>
          <w:spacing w:val="-1"/>
        </w:rPr>
        <w:t>costs</w:t>
      </w:r>
      <w:r>
        <w:rPr>
          <w:spacing w:val="56"/>
        </w:rPr>
        <w:t xml:space="preserve"> </w:t>
      </w:r>
      <w:r>
        <w:t>to</w:t>
      </w:r>
      <w:r>
        <w:rPr>
          <w:spacing w:val="58"/>
        </w:rPr>
        <w:t xml:space="preserve"> </w:t>
      </w:r>
      <w:r>
        <w:t>the</w:t>
      </w:r>
      <w:r>
        <w:rPr>
          <w:spacing w:val="58"/>
        </w:rPr>
        <w:t xml:space="preserve"> </w:t>
      </w:r>
      <w:r>
        <w:rPr>
          <w:spacing w:val="-1"/>
        </w:rPr>
        <w:t>Customer,</w:t>
      </w:r>
      <w:r>
        <w:rPr>
          <w:spacing w:val="59"/>
        </w:rPr>
        <w:t xml:space="preserve"> </w:t>
      </w:r>
      <w:r>
        <w:rPr>
          <w:spacing w:val="-1"/>
        </w:rPr>
        <w:t>any</w:t>
      </w:r>
      <w:r>
        <w:rPr>
          <w:spacing w:val="57"/>
        </w:rPr>
        <w:t xml:space="preserve"> </w:t>
      </w:r>
      <w:r>
        <w:rPr>
          <w:spacing w:val="-1"/>
        </w:rPr>
        <w:t>additional</w:t>
      </w:r>
      <w:r>
        <w:rPr>
          <w:spacing w:val="57"/>
        </w:rPr>
        <w:t xml:space="preserve"> </w:t>
      </w:r>
      <w:r>
        <w:rPr>
          <w:spacing w:val="-1"/>
        </w:rPr>
        <w:t>costs</w:t>
      </w:r>
      <w:r>
        <w:rPr>
          <w:spacing w:val="58"/>
        </w:rPr>
        <w:t xml:space="preserve"> </w:t>
      </w:r>
      <w:r>
        <w:rPr>
          <w:spacing w:val="-1"/>
        </w:rPr>
        <w:t>incurred</w:t>
      </w:r>
      <w:r>
        <w:rPr>
          <w:spacing w:val="58"/>
        </w:rPr>
        <w:t xml:space="preserve"> </w:t>
      </w:r>
      <w:r>
        <w:rPr>
          <w:spacing w:val="-1"/>
        </w:rPr>
        <w:t>by</w:t>
      </w:r>
      <w:r>
        <w:rPr>
          <w:spacing w:val="56"/>
        </w:rPr>
        <w:t xml:space="preserve"> </w:t>
      </w:r>
      <w:r>
        <w:rPr>
          <w:spacing w:val="-1"/>
        </w:rPr>
        <w:t>the</w:t>
      </w:r>
      <w:r>
        <w:rPr>
          <w:spacing w:val="34"/>
        </w:rPr>
        <w:t xml:space="preserve"> </w:t>
      </w:r>
      <w:r>
        <w:rPr>
          <w:spacing w:val="-2"/>
        </w:rPr>
        <w:t>Supplier</w:t>
      </w:r>
      <w:r>
        <w:rPr>
          <w:spacing w:val="9"/>
        </w:rPr>
        <w:t xml:space="preserve"> </w:t>
      </w:r>
      <w:r>
        <w:rPr>
          <w:spacing w:val="-1"/>
        </w:rPr>
        <w:t>in</w:t>
      </w:r>
      <w:r>
        <w:rPr>
          <w:spacing w:val="7"/>
        </w:rPr>
        <w:t xml:space="preserve"> </w:t>
      </w:r>
      <w:r>
        <w:rPr>
          <w:spacing w:val="-1"/>
        </w:rPr>
        <w:t>providing</w:t>
      </w:r>
      <w:r>
        <w:rPr>
          <w:spacing w:val="10"/>
        </w:rPr>
        <w:t xml:space="preserve"> </w:t>
      </w:r>
      <w:r>
        <w:rPr>
          <w:spacing w:val="-1"/>
        </w:rPr>
        <w:t>such</w:t>
      </w:r>
      <w:r>
        <w:rPr>
          <w:spacing w:val="8"/>
        </w:rPr>
        <w:t xml:space="preserve"> </w:t>
      </w:r>
      <w:r>
        <w:rPr>
          <w:spacing w:val="-1"/>
        </w:rPr>
        <w:t>reasonable</w:t>
      </w:r>
      <w:r>
        <w:rPr>
          <w:spacing w:val="7"/>
        </w:rPr>
        <w:t xml:space="preserve"> </w:t>
      </w:r>
      <w:r>
        <w:rPr>
          <w:spacing w:val="-1"/>
        </w:rPr>
        <w:t>assistance</w:t>
      </w:r>
      <w:r>
        <w:rPr>
          <w:spacing w:val="8"/>
        </w:rPr>
        <w:t xml:space="preserve"> </w:t>
      </w:r>
      <w:r>
        <w:rPr>
          <w:spacing w:val="-2"/>
        </w:rPr>
        <w:t>which</w:t>
      </w:r>
      <w:r>
        <w:rPr>
          <w:spacing w:val="8"/>
        </w:rPr>
        <w:t xml:space="preserve"> </w:t>
      </w:r>
      <w:r>
        <w:rPr>
          <w:spacing w:val="-1"/>
        </w:rPr>
        <w:t>is</w:t>
      </w:r>
      <w:r>
        <w:rPr>
          <w:spacing w:val="10"/>
        </w:rPr>
        <w:t xml:space="preserve"> </w:t>
      </w:r>
      <w:r>
        <w:rPr>
          <w:spacing w:val="-1"/>
        </w:rPr>
        <w:t>not</w:t>
      </w:r>
      <w:r>
        <w:rPr>
          <w:spacing w:val="9"/>
        </w:rPr>
        <w:t xml:space="preserve"> </w:t>
      </w:r>
      <w:r>
        <w:rPr>
          <w:spacing w:val="-1"/>
        </w:rPr>
        <w:t>already</w:t>
      </w:r>
      <w:r>
        <w:rPr>
          <w:spacing w:val="8"/>
        </w:rPr>
        <w:t xml:space="preserve"> </w:t>
      </w:r>
      <w:r>
        <w:rPr>
          <w:spacing w:val="-1"/>
        </w:rPr>
        <w:t>in</w:t>
      </w:r>
      <w:r>
        <w:rPr>
          <w:spacing w:val="7"/>
        </w:rPr>
        <w:t xml:space="preserve"> </w:t>
      </w:r>
      <w:r>
        <w:t>the</w:t>
      </w:r>
      <w:r>
        <w:rPr>
          <w:spacing w:val="7"/>
        </w:rPr>
        <w:t xml:space="preserve"> </w:t>
      </w:r>
      <w:r>
        <w:rPr>
          <w:spacing w:val="-1"/>
        </w:rPr>
        <w:t>scope</w:t>
      </w:r>
      <w:r>
        <w:rPr>
          <w:spacing w:val="44"/>
        </w:rPr>
        <w:t xml:space="preserve"> </w:t>
      </w:r>
      <w:r>
        <w:rPr>
          <w:spacing w:val="-2"/>
        </w:rPr>
        <w:t>of</w:t>
      </w:r>
      <w:r>
        <w:rPr>
          <w:spacing w:val="45"/>
        </w:rPr>
        <w:t xml:space="preserve"> </w:t>
      </w:r>
      <w:r>
        <w:t>the</w:t>
      </w:r>
      <w:r>
        <w:rPr>
          <w:spacing w:val="38"/>
        </w:rPr>
        <w:t xml:space="preserve"> </w:t>
      </w:r>
      <w:r>
        <w:rPr>
          <w:spacing w:val="-1"/>
        </w:rPr>
        <w:t>Termination</w:t>
      </w:r>
      <w:r>
        <w:rPr>
          <w:spacing w:val="41"/>
        </w:rPr>
        <w:t xml:space="preserve"> </w:t>
      </w:r>
      <w:r>
        <w:rPr>
          <w:spacing w:val="-1"/>
        </w:rPr>
        <w:t>Assistance</w:t>
      </w:r>
      <w:r>
        <w:rPr>
          <w:spacing w:val="41"/>
        </w:rPr>
        <w:t xml:space="preserve"> </w:t>
      </w:r>
      <w:r>
        <w:rPr>
          <w:spacing w:val="-1"/>
        </w:rPr>
        <w:t>or</w:t>
      </w:r>
      <w:r>
        <w:rPr>
          <w:spacing w:val="40"/>
        </w:rPr>
        <w:t xml:space="preserve"> </w:t>
      </w:r>
      <w:r>
        <w:t>the</w:t>
      </w:r>
      <w:r>
        <w:rPr>
          <w:spacing w:val="41"/>
        </w:rPr>
        <w:t xml:space="preserve"> </w:t>
      </w:r>
      <w:r>
        <w:rPr>
          <w:spacing w:val="-2"/>
        </w:rPr>
        <w:t>Exit</w:t>
      </w:r>
      <w:r>
        <w:rPr>
          <w:spacing w:val="43"/>
        </w:rPr>
        <w:t xml:space="preserve"> </w:t>
      </w:r>
      <w:r>
        <w:rPr>
          <w:spacing w:val="-1"/>
        </w:rPr>
        <w:t>Plan</w:t>
      </w:r>
      <w:r>
        <w:rPr>
          <w:spacing w:val="43"/>
        </w:rPr>
        <w:t xml:space="preserve"> </w:t>
      </w:r>
      <w:r>
        <w:rPr>
          <w:spacing w:val="-1"/>
        </w:rPr>
        <w:t>shall</w:t>
      </w:r>
      <w:r>
        <w:rPr>
          <w:spacing w:val="40"/>
        </w:rPr>
        <w:t xml:space="preserve"> </w:t>
      </w:r>
      <w:r>
        <w:rPr>
          <w:spacing w:val="-1"/>
        </w:rPr>
        <w:t>be</w:t>
      </w:r>
      <w:r>
        <w:rPr>
          <w:spacing w:val="41"/>
        </w:rPr>
        <w:t xml:space="preserve"> </w:t>
      </w:r>
      <w:r>
        <w:rPr>
          <w:spacing w:val="-1"/>
        </w:rPr>
        <w:t>subject</w:t>
      </w:r>
      <w:r>
        <w:rPr>
          <w:spacing w:val="43"/>
        </w:rPr>
        <w:t xml:space="preserve"> </w:t>
      </w:r>
      <w:r>
        <w:t>to</w:t>
      </w:r>
      <w:r>
        <w:rPr>
          <w:spacing w:val="41"/>
        </w:rPr>
        <w:t xml:space="preserve"> </w:t>
      </w:r>
      <w:r>
        <w:t>the</w:t>
      </w:r>
      <w:r>
        <w:rPr>
          <w:spacing w:val="43"/>
        </w:rPr>
        <w:t xml:space="preserve"> </w:t>
      </w:r>
      <w:r>
        <w:rPr>
          <w:spacing w:val="-1"/>
        </w:rPr>
        <w:t>Variation</w:t>
      </w:r>
      <w:r>
        <w:rPr>
          <w:spacing w:val="36"/>
        </w:rPr>
        <w:t xml:space="preserve"> </w:t>
      </w:r>
      <w:r>
        <w:rPr>
          <w:spacing w:val="-1"/>
        </w:rPr>
        <w:t>Procedure.</w:t>
      </w:r>
    </w:p>
    <w:p w:rsidR="008918FA" w:rsidRDefault="008918FA" w:rsidP="008918FA">
      <w:pPr>
        <w:pStyle w:val="BodyText"/>
        <w:numPr>
          <w:ilvl w:val="1"/>
          <w:numId w:val="9"/>
        </w:numPr>
        <w:tabs>
          <w:tab w:val="left" w:pos="829"/>
        </w:tabs>
        <w:spacing w:before="121"/>
        <w:ind w:right="115"/>
        <w:jc w:val="both"/>
      </w:pPr>
      <w:bookmarkStart w:id="460" w:name="_bookmark379"/>
      <w:bookmarkEnd w:id="460"/>
      <w:r>
        <w:rPr>
          <w:spacing w:val="-1"/>
        </w:rPr>
        <w:t>If</w:t>
      </w:r>
      <w:r>
        <w:rPr>
          <w:spacing w:val="34"/>
        </w:rPr>
        <w:t xml:space="preserve"> </w:t>
      </w:r>
      <w:r>
        <w:t>the</w:t>
      </w:r>
      <w:r>
        <w:rPr>
          <w:spacing w:val="32"/>
        </w:rPr>
        <w:t xml:space="preserve"> </w:t>
      </w:r>
      <w:r>
        <w:rPr>
          <w:spacing w:val="-2"/>
        </w:rPr>
        <w:t>Supplier</w:t>
      </w:r>
      <w:r>
        <w:rPr>
          <w:spacing w:val="34"/>
        </w:rPr>
        <w:t xml:space="preserve"> </w:t>
      </w:r>
      <w:r>
        <w:rPr>
          <w:spacing w:val="-1"/>
        </w:rPr>
        <w:t>demonstrates</w:t>
      </w:r>
      <w:r>
        <w:rPr>
          <w:spacing w:val="33"/>
        </w:rPr>
        <w:t xml:space="preserve"> </w:t>
      </w:r>
      <w:r>
        <w:t>to</w:t>
      </w:r>
      <w:r>
        <w:rPr>
          <w:spacing w:val="30"/>
        </w:rPr>
        <w:t xml:space="preserve"> </w:t>
      </w:r>
      <w:r>
        <w:t>the</w:t>
      </w:r>
      <w:r>
        <w:rPr>
          <w:spacing w:val="33"/>
        </w:rPr>
        <w:t xml:space="preserve"> </w:t>
      </w:r>
      <w:r>
        <w:rPr>
          <w:spacing w:val="-1"/>
        </w:rPr>
        <w:t>Customer's</w:t>
      </w:r>
      <w:r>
        <w:rPr>
          <w:spacing w:val="32"/>
        </w:rPr>
        <w:t xml:space="preserve"> </w:t>
      </w:r>
      <w:r>
        <w:rPr>
          <w:spacing w:val="-1"/>
        </w:rPr>
        <w:t>reasonable</w:t>
      </w:r>
      <w:r>
        <w:rPr>
          <w:spacing w:val="32"/>
        </w:rPr>
        <w:t xml:space="preserve"> </w:t>
      </w:r>
      <w:r>
        <w:rPr>
          <w:spacing w:val="-1"/>
        </w:rPr>
        <w:t>satisfaction</w:t>
      </w:r>
      <w:r>
        <w:rPr>
          <w:spacing w:val="32"/>
        </w:rPr>
        <w:t xml:space="preserve"> </w:t>
      </w:r>
      <w:r>
        <w:rPr>
          <w:spacing w:val="-1"/>
        </w:rPr>
        <w:t>that</w:t>
      </w:r>
      <w:r>
        <w:rPr>
          <w:spacing w:val="37"/>
        </w:rPr>
        <w:t xml:space="preserve"> </w:t>
      </w:r>
      <w:r>
        <w:rPr>
          <w:spacing w:val="-1"/>
        </w:rPr>
        <w:t>transition</w:t>
      </w:r>
      <w:r>
        <w:rPr>
          <w:spacing w:val="41"/>
        </w:rPr>
        <w:t xml:space="preserve"> </w:t>
      </w:r>
      <w:r>
        <w:rPr>
          <w:spacing w:val="-2"/>
        </w:rPr>
        <w:t>of</w:t>
      </w:r>
      <w:r>
        <w:rPr>
          <w:spacing w:val="42"/>
        </w:rPr>
        <w:t xml:space="preserve"> </w:t>
      </w:r>
      <w:r>
        <w:t>the</w:t>
      </w:r>
      <w:r>
        <w:rPr>
          <w:spacing w:val="42"/>
        </w:rPr>
        <w:t xml:space="preserve"> </w:t>
      </w:r>
      <w:r>
        <w:rPr>
          <w:spacing w:val="-1"/>
        </w:rPr>
        <w:t>Goods</w:t>
      </w:r>
      <w:r>
        <w:rPr>
          <w:spacing w:val="41"/>
        </w:rPr>
        <w:t xml:space="preserve"> </w:t>
      </w:r>
      <w:r>
        <w:rPr>
          <w:spacing w:val="-1"/>
        </w:rPr>
        <w:t>and/or</w:t>
      </w:r>
      <w:r>
        <w:rPr>
          <w:spacing w:val="42"/>
        </w:rPr>
        <w:t xml:space="preserve"> </w:t>
      </w:r>
      <w:r>
        <w:rPr>
          <w:spacing w:val="-1"/>
        </w:rPr>
        <w:t>Services</w:t>
      </w:r>
      <w:r>
        <w:rPr>
          <w:spacing w:val="42"/>
        </w:rPr>
        <w:t xml:space="preserve"> </w:t>
      </w:r>
      <w:r>
        <w:rPr>
          <w:spacing w:val="-1"/>
        </w:rPr>
        <w:t>and</w:t>
      </w:r>
      <w:r>
        <w:rPr>
          <w:spacing w:val="42"/>
        </w:rPr>
        <w:t xml:space="preserve"> </w:t>
      </w:r>
      <w:r>
        <w:rPr>
          <w:spacing w:val="-2"/>
        </w:rPr>
        <w:t>provision</w:t>
      </w:r>
      <w:r>
        <w:rPr>
          <w:spacing w:val="43"/>
        </w:rPr>
        <w:t xml:space="preserve"> </w:t>
      </w:r>
      <w:r>
        <w:rPr>
          <w:spacing w:val="-1"/>
        </w:rPr>
        <w:t>of</w:t>
      </w:r>
      <w:r>
        <w:rPr>
          <w:spacing w:val="45"/>
        </w:rPr>
        <w:t xml:space="preserve"> </w:t>
      </w:r>
      <w:r>
        <w:t>the</w:t>
      </w:r>
      <w:r>
        <w:rPr>
          <w:spacing w:val="38"/>
        </w:rPr>
        <w:t xml:space="preserve"> </w:t>
      </w:r>
      <w:r>
        <w:rPr>
          <w:spacing w:val="-1"/>
        </w:rPr>
        <w:t>Termination</w:t>
      </w:r>
      <w:r>
        <w:rPr>
          <w:spacing w:val="41"/>
        </w:rPr>
        <w:t xml:space="preserve"> </w:t>
      </w:r>
      <w:r>
        <w:rPr>
          <w:spacing w:val="-1"/>
        </w:rPr>
        <w:t>Assist</w:t>
      </w:r>
      <w:r>
        <w:rPr>
          <w:spacing w:val="40"/>
        </w:rPr>
        <w:t xml:space="preserve"> </w:t>
      </w:r>
      <w:r>
        <w:rPr>
          <w:spacing w:val="-1"/>
        </w:rPr>
        <w:t>during</w:t>
      </w:r>
      <w:r>
        <w:t xml:space="preserve"> the</w:t>
      </w:r>
      <w:r>
        <w:rPr>
          <w:spacing w:val="-2"/>
        </w:rPr>
        <w:t xml:space="preserve"> </w:t>
      </w:r>
      <w:r>
        <w:rPr>
          <w:spacing w:val="-1"/>
        </w:rPr>
        <w:t>Termination</w:t>
      </w:r>
      <w:r>
        <w:t xml:space="preserve"> </w:t>
      </w:r>
      <w:r>
        <w:rPr>
          <w:spacing w:val="-1"/>
        </w:rPr>
        <w:t>Assistance</w:t>
      </w:r>
      <w:r>
        <w:rPr>
          <w:spacing w:val="1"/>
        </w:rPr>
        <w:t xml:space="preserve"> </w:t>
      </w:r>
      <w:r>
        <w:rPr>
          <w:spacing w:val="-1"/>
        </w:rPr>
        <w:t>Period</w:t>
      </w:r>
      <w:r>
        <w:t xml:space="preserve"> </w:t>
      </w:r>
      <w:r>
        <w:rPr>
          <w:spacing w:val="-2"/>
        </w:rPr>
        <w:t>will</w:t>
      </w:r>
      <w:r>
        <w:t xml:space="preserve"> </w:t>
      </w:r>
      <w:r>
        <w:rPr>
          <w:spacing w:val="-1"/>
        </w:rPr>
        <w:t>have</w:t>
      </w:r>
      <w:r>
        <w:rPr>
          <w:spacing w:val="1"/>
        </w:rPr>
        <w:t xml:space="preserve"> </w:t>
      </w:r>
      <w:r>
        <w:t xml:space="preserve">a </w:t>
      </w:r>
      <w:r>
        <w:rPr>
          <w:spacing w:val="-1"/>
        </w:rPr>
        <w:t>material,</w:t>
      </w:r>
      <w:r>
        <w:rPr>
          <w:spacing w:val="2"/>
        </w:rPr>
        <w:t xml:space="preserve"> </w:t>
      </w:r>
      <w:r>
        <w:rPr>
          <w:spacing w:val="-1"/>
        </w:rPr>
        <w:t>unavoidable</w:t>
      </w:r>
      <w:r>
        <w:t xml:space="preserve"> </w:t>
      </w:r>
      <w:r>
        <w:rPr>
          <w:spacing w:val="-2"/>
        </w:rPr>
        <w:t>adverse</w:t>
      </w:r>
      <w:r>
        <w:rPr>
          <w:spacing w:val="38"/>
        </w:rPr>
        <w:t xml:space="preserve"> </w:t>
      </w:r>
      <w:r>
        <w:rPr>
          <w:spacing w:val="-1"/>
        </w:rPr>
        <w:t>effect</w:t>
      </w:r>
      <w:r>
        <w:rPr>
          <w:spacing w:val="13"/>
        </w:rPr>
        <w:t xml:space="preserve"> </w:t>
      </w:r>
      <w:r>
        <w:rPr>
          <w:spacing w:val="-1"/>
        </w:rPr>
        <w:t>on</w:t>
      </w:r>
      <w:r>
        <w:rPr>
          <w:spacing w:val="11"/>
        </w:rPr>
        <w:t xml:space="preserve"> </w:t>
      </w:r>
      <w:r>
        <w:t>the</w:t>
      </w:r>
      <w:r>
        <w:rPr>
          <w:spacing w:val="9"/>
        </w:rPr>
        <w:t xml:space="preserve"> </w:t>
      </w:r>
      <w:r>
        <w:rPr>
          <w:spacing w:val="-1"/>
        </w:rPr>
        <w:t>Supplier's</w:t>
      </w:r>
      <w:r>
        <w:rPr>
          <w:spacing w:val="9"/>
        </w:rPr>
        <w:t xml:space="preserve"> </w:t>
      </w:r>
      <w:r>
        <w:rPr>
          <w:spacing w:val="-1"/>
        </w:rPr>
        <w:t>ability</w:t>
      </w:r>
      <w:r>
        <w:rPr>
          <w:spacing w:val="9"/>
        </w:rPr>
        <w:t xml:space="preserve"> </w:t>
      </w:r>
      <w:r>
        <w:t>to</w:t>
      </w:r>
      <w:r>
        <w:rPr>
          <w:spacing w:val="11"/>
        </w:rPr>
        <w:t xml:space="preserve"> </w:t>
      </w:r>
      <w:r>
        <w:rPr>
          <w:spacing w:val="-1"/>
        </w:rPr>
        <w:t>meet</w:t>
      </w:r>
      <w:r>
        <w:rPr>
          <w:spacing w:val="13"/>
        </w:rPr>
        <w:t xml:space="preserve"> </w:t>
      </w:r>
      <w:r>
        <w:rPr>
          <w:spacing w:val="-1"/>
        </w:rPr>
        <w:t>one</w:t>
      </w:r>
      <w:r>
        <w:rPr>
          <w:spacing w:val="11"/>
        </w:rPr>
        <w:t xml:space="preserve"> </w:t>
      </w:r>
      <w:r>
        <w:rPr>
          <w:spacing w:val="-2"/>
        </w:rPr>
        <w:t>or</w:t>
      </w:r>
      <w:r>
        <w:rPr>
          <w:spacing w:val="13"/>
        </w:rPr>
        <w:t xml:space="preserve"> </w:t>
      </w:r>
      <w:r>
        <w:rPr>
          <w:spacing w:val="-1"/>
        </w:rPr>
        <w:t>more</w:t>
      </w:r>
      <w:r>
        <w:rPr>
          <w:spacing w:val="11"/>
        </w:rPr>
        <w:t xml:space="preserve"> </w:t>
      </w:r>
      <w:r>
        <w:rPr>
          <w:spacing w:val="-1"/>
        </w:rPr>
        <w:t>particular</w:t>
      </w:r>
      <w:r>
        <w:rPr>
          <w:spacing w:val="13"/>
        </w:rPr>
        <w:t xml:space="preserve"> </w:t>
      </w:r>
      <w:r>
        <w:rPr>
          <w:spacing w:val="-2"/>
        </w:rPr>
        <w:t>Service</w:t>
      </w:r>
      <w:r>
        <w:rPr>
          <w:spacing w:val="12"/>
        </w:rPr>
        <w:t xml:space="preserve"> </w:t>
      </w:r>
      <w:r>
        <w:rPr>
          <w:spacing w:val="-2"/>
        </w:rPr>
        <w:t>Level</w:t>
      </w:r>
      <w:r>
        <w:rPr>
          <w:spacing w:val="44"/>
        </w:rPr>
        <w:t xml:space="preserve"> </w:t>
      </w:r>
      <w:r>
        <w:rPr>
          <w:spacing w:val="-1"/>
        </w:rPr>
        <w:t>Performance</w:t>
      </w:r>
      <w:r>
        <w:rPr>
          <w:spacing w:val="40"/>
        </w:rPr>
        <w:t xml:space="preserve"> </w:t>
      </w:r>
      <w:r>
        <w:rPr>
          <w:spacing w:val="-1"/>
        </w:rPr>
        <w:t>Measure(s),</w:t>
      </w:r>
      <w:r>
        <w:rPr>
          <w:spacing w:val="41"/>
        </w:rPr>
        <w:t xml:space="preserve"> </w:t>
      </w:r>
      <w:r>
        <w:t>the</w:t>
      </w:r>
      <w:r>
        <w:rPr>
          <w:spacing w:val="42"/>
        </w:rPr>
        <w:t xml:space="preserve"> </w:t>
      </w:r>
      <w:r>
        <w:rPr>
          <w:spacing w:val="-1"/>
        </w:rPr>
        <w:t>Parties</w:t>
      </w:r>
      <w:r>
        <w:rPr>
          <w:spacing w:val="40"/>
        </w:rPr>
        <w:t xml:space="preserve"> </w:t>
      </w:r>
      <w:r>
        <w:rPr>
          <w:spacing w:val="-1"/>
        </w:rPr>
        <w:t>shall</w:t>
      </w:r>
      <w:r>
        <w:rPr>
          <w:spacing w:val="42"/>
        </w:rPr>
        <w:t xml:space="preserve"> </w:t>
      </w:r>
      <w:r>
        <w:rPr>
          <w:spacing w:val="-1"/>
        </w:rPr>
        <w:t>vary</w:t>
      </w:r>
      <w:r>
        <w:rPr>
          <w:spacing w:val="40"/>
        </w:rPr>
        <w:t xml:space="preserve"> </w:t>
      </w:r>
      <w:r>
        <w:t>the</w:t>
      </w:r>
      <w:r>
        <w:rPr>
          <w:spacing w:val="43"/>
        </w:rPr>
        <w:t xml:space="preserve"> </w:t>
      </w:r>
      <w:r>
        <w:rPr>
          <w:spacing w:val="-2"/>
        </w:rPr>
        <w:t>relevant</w:t>
      </w:r>
      <w:r>
        <w:rPr>
          <w:spacing w:val="44"/>
        </w:rPr>
        <w:t xml:space="preserve"> </w:t>
      </w:r>
      <w:r>
        <w:rPr>
          <w:spacing w:val="-2"/>
        </w:rPr>
        <w:t>Service</w:t>
      </w:r>
      <w:r>
        <w:rPr>
          <w:spacing w:val="43"/>
        </w:rPr>
        <w:t xml:space="preserve"> </w:t>
      </w:r>
      <w:r>
        <w:rPr>
          <w:spacing w:val="-2"/>
        </w:rPr>
        <w:t>Level</w:t>
      </w:r>
      <w:r>
        <w:rPr>
          <w:spacing w:val="50"/>
        </w:rPr>
        <w:t xml:space="preserve"> </w:t>
      </w:r>
      <w:r>
        <w:rPr>
          <w:spacing w:val="-1"/>
        </w:rPr>
        <w:t>Performance</w:t>
      </w:r>
      <w:r>
        <w:rPr>
          <w:spacing w:val="22"/>
        </w:rPr>
        <w:t xml:space="preserve"> </w:t>
      </w:r>
      <w:r>
        <w:rPr>
          <w:spacing w:val="-2"/>
        </w:rPr>
        <w:t>Measure(s)</w:t>
      </w:r>
      <w:r>
        <w:rPr>
          <w:spacing w:val="23"/>
        </w:rPr>
        <w:t xml:space="preserve"> </w:t>
      </w:r>
      <w:r>
        <w:rPr>
          <w:spacing w:val="-1"/>
        </w:rPr>
        <w:t>and/or</w:t>
      </w:r>
      <w:r>
        <w:rPr>
          <w:spacing w:val="21"/>
        </w:rPr>
        <w:t xml:space="preserve"> </w:t>
      </w:r>
      <w:r>
        <w:t>the</w:t>
      </w:r>
      <w:r>
        <w:rPr>
          <w:spacing w:val="22"/>
        </w:rPr>
        <w:t xml:space="preserve"> </w:t>
      </w:r>
      <w:r>
        <w:rPr>
          <w:spacing w:val="-2"/>
        </w:rPr>
        <w:t>applicable</w:t>
      </w:r>
      <w:r>
        <w:rPr>
          <w:spacing w:val="24"/>
        </w:rPr>
        <w:t xml:space="preserve"> </w:t>
      </w:r>
      <w:r>
        <w:rPr>
          <w:spacing w:val="-2"/>
        </w:rPr>
        <w:t>Service</w:t>
      </w:r>
      <w:r>
        <w:rPr>
          <w:spacing w:val="22"/>
        </w:rPr>
        <w:t xml:space="preserve"> </w:t>
      </w:r>
      <w:r>
        <w:rPr>
          <w:spacing w:val="-1"/>
        </w:rPr>
        <w:t>Credits</w:t>
      </w:r>
      <w:r>
        <w:rPr>
          <w:spacing w:val="22"/>
        </w:rPr>
        <w:t xml:space="preserve"> </w:t>
      </w:r>
      <w:r>
        <w:t>to</w:t>
      </w:r>
      <w:r>
        <w:rPr>
          <w:spacing w:val="22"/>
        </w:rPr>
        <w:t xml:space="preserve"> </w:t>
      </w:r>
      <w:r>
        <w:t>take</w:t>
      </w:r>
      <w:r>
        <w:rPr>
          <w:spacing w:val="19"/>
        </w:rPr>
        <w:t xml:space="preserve"> </w:t>
      </w:r>
      <w:r>
        <w:rPr>
          <w:spacing w:val="-1"/>
        </w:rPr>
        <w:t>account</w:t>
      </w:r>
      <w:r>
        <w:rPr>
          <w:spacing w:val="21"/>
        </w:rPr>
        <w:t xml:space="preserve"> </w:t>
      </w:r>
      <w:r>
        <w:rPr>
          <w:spacing w:val="-2"/>
        </w:rPr>
        <w:t>of</w:t>
      </w:r>
      <w:r>
        <w:rPr>
          <w:spacing w:val="79"/>
        </w:rPr>
        <w:t xml:space="preserve"> </w:t>
      </w:r>
      <w:r>
        <w:rPr>
          <w:spacing w:val="-1"/>
        </w:rPr>
        <w:t>such</w:t>
      </w:r>
      <w:r>
        <w:rPr>
          <w:spacing w:val="1"/>
        </w:rPr>
        <w:t xml:space="preserve"> </w:t>
      </w:r>
      <w:r>
        <w:rPr>
          <w:spacing w:val="-1"/>
        </w:rPr>
        <w:t>adverse</w:t>
      </w:r>
      <w:r>
        <w:rPr>
          <w:spacing w:val="1"/>
        </w:rPr>
        <w:t xml:space="preserve"> </w:t>
      </w:r>
      <w:r>
        <w:rPr>
          <w:spacing w:val="-1"/>
        </w:rPr>
        <w:t>effect.</w:t>
      </w:r>
    </w:p>
    <w:p w:rsidR="008918FA" w:rsidRDefault="008918FA" w:rsidP="008918FA">
      <w:pPr>
        <w:pStyle w:val="BodyText"/>
        <w:numPr>
          <w:ilvl w:val="0"/>
          <w:numId w:val="9"/>
        </w:numPr>
        <w:tabs>
          <w:tab w:val="left" w:pos="466"/>
        </w:tabs>
        <w:spacing w:before="117"/>
        <w:rPr>
          <w:rFonts w:ascii="Times New Roman" w:eastAsia="Times New Roman" w:hAnsi="Times New Roman" w:cs="Times New Roman"/>
        </w:rPr>
      </w:pPr>
      <w:r>
        <w:rPr>
          <w:rFonts w:ascii="Times New Roman"/>
          <w:spacing w:val="-1"/>
        </w:rPr>
        <w:t>TERMINATION</w:t>
      </w:r>
      <w:r>
        <w:rPr>
          <w:rFonts w:ascii="Times New Roman"/>
          <w:spacing w:val="6"/>
        </w:rPr>
        <w:t xml:space="preserve"> </w:t>
      </w:r>
      <w:r>
        <w:rPr>
          <w:rFonts w:ascii="Times New Roman"/>
          <w:spacing w:val="1"/>
        </w:rPr>
        <w:t>OBLIGATIONS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9"/>
        </w:numPr>
        <w:tabs>
          <w:tab w:val="left" w:pos="829"/>
        </w:tabs>
        <w:spacing w:before="0"/>
      </w:pPr>
      <w:r>
        <w:t>The</w:t>
      </w:r>
      <w:r>
        <w:rPr>
          <w:spacing w:val="-2"/>
        </w:rPr>
        <w:t xml:space="preserve"> Supplier</w:t>
      </w:r>
      <w:r>
        <w:rPr>
          <w:spacing w:val="2"/>
        </w:rPr>
        <w:t xml:space="preserve"> </w:t>
      </w:r>
      <w:r>
        <w:rPr>
          <w:spacing w:val="-1"/>
        </w:rPr>
        <w:t>shall</w:t>
      </w:r>
      <w:r>
        <w:t xml:space="preserve"> </w:t>
      </w:r>
      <w:r>
        <w:rPr>
          <w:spacing w:val="-2"/>
        </w:rPr>
        <w:t>comply</w:t>
      </w:r>
      <w:r>
        <w:rPr>
          <w:spacing w:val="1"/>
        </w:rPr>
        <w:t xml:space="preserve"> </w:t>
      </w:r>
      <w:r>
        <w:rPr>
          <w:spacing w:val="-2"/>
        </w:rPr>
        <w:t>with</w:t>
      </w:r>
      <w:r>
        <w:t xml:space="preserve"> </w:t>
      </w:r>
      <w:r>
        <w:rPr>
          <w:spacing w:val="-1"/>
        </w:rPr>
        <w:t>all</w:t>
      </w:r>
      <w:r>
        <w:t xml:space="preserve"> </w:t>
      </w:r>
      <w:r>
        <w:rPr>
          <w:spacing w:val="-2"/>
        </w:rPr>
        <w:t>of</w:t>
      </w:r>
      <w:r>
        <w:rPr>
          <w:spacing w:val="4"/>
        </w:rPr>
        <w:t xml:space="preserve"> </w:t>
      </w:r>
      <w:r>
        <w:rPr>
          <w:spacing w:val="-1"/>
        </w:rPr>
        <w:t>its</w:t>
      </w:r>
      <w:r>
        <w:rPr>
          <w:spacing w:val="-2"/>
        </w:rPr>
        <w:t xml:space="preserve"> </w:t>
      </w:r>
      <w:r>
        <w:rPr>
          <w:spacing w:val="-1"/>
        </w:rPr>
        <w:t>obligations</w:t>
      </w:r>
      <w:r>
        <w:rPr>
          <w:spacing w:val="1"/>
        </w:rPr>
        <w:t xml:space="preserve"> </w:t>
      </w:r>
      <w:r>
        <w:rPr>
          <w:spacing w:val="-1"/>
        </w:rPr>
        <w:t>contained</w:t>
      </w:r>
      <w:r>
        <w:rPr>
          <w:spacing w:val="-2"/>
        </w:rPr>
        <w:t xml:space="preserve"> </w:t>
      </w:r>
      <w:r>
        <w:rPr>
          <w:spacing w:val="-1"/>
        </w:rPr>
        <w:t>in</w:t>
      </w:r>
      <w:r>
        <w:t xml:space="preserve"> the</w:t>
      </w:r>
      <w:r>
        <w:rPr>
          <w:spacing w:val="-2"/>
        </w:rPr>
        <w:t xml:space="preserve"> Exit</w:t>
      </w:r>
      <w:r>
        <w:rPr>
          <w:spacing w:val="2"/>
        </w:rPr>
        <w:t xml:space="preserve"> </w:t>
      </w:r>
      <w:r>
        <w:rPr>
          <w:spacing w:val="-2"/>
        </w:rPr>
        <w:t>Plan.</w:t>
      </w:r>
    </w:p>
    <w:p w:rsidR="008918FA" w:rsidRDefault="008918FA" w:rsidP="008918FA">
      <w:pPr>
        <w:pStyle w:val="BodyText"/>
        <w:numPr>
          <w:ilvl w:val="1"/>
          <w:numId w:val="9"/>
        </w:numPr>
        <w:tabs>
          <w:tab w:val="left" w:pos="829"/>
        </w:tabs>
        <w:ind w:right="114"/>
        <w:jc w:val="both"/>
      </w:pPr>
      <w:r>
        <w:rPr>
          <w:spacing w:val="-1"/>
        </w:rPr>
        <w:t>Upon</w:t>
      </w:r>
      <w:r>
        <w:rPr>
          <w:spacing w:val="20"/>
        </w:rPr>
        <w:t xml:space="preserve"> </w:t>
      </w:r>
      <w:r>
        <w:rPr>
          <w:spacing w:val="-1"/>
        </w:rPr>
        <w:t>termination</w:t>
      </w:r>
      <w:r>
        <w:rPr>
          <w:spacing w:val="20"/>
        </w:rPr>
        <w:t xml:space="preserve"> </w:t>
      </w:r>
      <w:r>
        <w:rPr>
          <w:spacing w:val="-1"/>
        </w:rPr>
        <w:t>or</w:t>
      </w:r>
      <w:r>
        <w:rPr>
          <w:spacing w:val="19"/>
        </w:rPr>
        <w:t xml:space="preserve"> </w:t>
      </w:r>
      <w:r>
        <w:rPr>
          <w:spacing w:val="-2"/>
        </w:rPr>
        <w:t>expiry</w:t>
      </w:r>
      <w:r>
        <w:rPr>
          <w:spacing w:val="18"/>
        </w:rPr>
        <w:t xml:space="preserve"> </w:t>
      </w:r>
      <w:r>
        <w:rPr>
          <w:spacing w:val="-1"/>
        </w:rPr>
        <w:t>(as</w:t>
      </w:r>
      <w:r>
        <w:rPr>
          <w:spacing w:val="20"/>
        </w:rPr>
        <w:t xml:space="preserve"> </w:t>
      </w:r>
      <w:r>
        <w:t>the</w:t>
      </w:r>
      <w:r>
        <w:rPr>
          <w:spacing w:val="17"/>
        </w:rPr>
        <w:t xml:space="preserve"> </w:t>
      </w:r>
      <w:r>
        <w:rPr>
          <w:spacing w:val="-1"/>
        </w:rPr>
        <w:t>case</w:t>
      </w:r>
      <w:r>
        <w:rPr>
          <w:spacing w:val="18"/>
        </w:rPr>
        <w:t xml:space="preserve"> </w:t>
      </w:r>
      <w:r>
        <w:rPr>
          <w:spacing w:val="-1"/>
        </w:rPr>
        <w:t>may</w:t>
      </w:r>
      <w:r>
        <w:rPr>
          <w:spacing w:val="18"/>
        </w:rPr>
        <w:t xml:space="preserve"> </w:t>
      </w:r>
      <w:r>
        <w:rPr>
          <w:spacing w:val="-1"/>
        </w:rPr>
        <w:t>be)</w:t>
      </w:r>
      <w:r>
        <w:rPr>
          <w:spacing w:val="18"/>
        </w:rPr>
        <w:t xml:space="preserve"> </w:t>
      </w:r>
      <w:r>
        <w:rPr>
          <w:spacing w:val="-1"/>
        </w:rPr>
        <w:t>or</w:t>
      </w:r>
      <w:r>
        <w:rPr>
          <w:spacing w:val="21"/>
        </w:rPr>
        <w:t xml:space="preserve"> </w:t>
      </w:r>
      <w:r>
        <w:rPr>
          <w:spacing w:val="-2"/>
        </w:rPr>
        <w:t>at</w:t>
      </w:r>
      <w:r>
        <w:rPr>
          <w:spacing w:val="21"/>
        </w:rPr>
        <w:t xml:space="preserve"> </w:t>
      </w:r>
      <w:r>
        <w:rPr>
          <w:spacing w:val="-1"/>
        </w:rPr>
        <w:t>the</w:t>
      </w:r>
      <w:r>
        <w:rPr>
          <w:spacing w:val="20"/>
        </w:rPr>
        <w:t xml:space="preserve"> </w:t>
      </w:r>
      <w:r>
        <w:rPr>
          <w:spacing w:val="-1"/>
        </w:rPr>
        <w:t>end</w:t>
      </w:r>
      <w:r>
        <w:rPr>
          <w:spacing w:val="20"/>
        </w:rPr>
        <w:t xml:space="preserve"> </w:t>
      </w:r>
      <w:r>
        <w:rPr>
          <w:spacing w:val="-2"/>
        </w:rPr>
        <w:t>of</w:t>
      </w:r>
      <w:r>
        <w:rPr>
          <w:spacing w:val="19"/>
        </w:rPr>
        <w:t xml:space="preserve"> </w:t>
      </w:r>
      <w:r>
        <w:t>the</w:t>
      </w:r>
      <w:r>
        <w:rPr>
          <w:spacing w:val="17"/>
        </w:rPr>
        <w:t xml:space="preserve"> </w:t>
      </w:r>
      <w:r>
        <w:rPr>
          <w:spacing w:val="-1"/>
        </w:rPr>
        <w:t>Termination</w:t>
      </w:r>
      <w:r>
        <w:rPr>
          <w:spacing w:val="44"/>
        </w:rPr>
        <w:t xml:space="preserve"> </w:t>
      </w:r>
      <w:r>
        <w:rPr>
          <w:spacing w:val="-1"/>
        </w:rPr>
        <w:t>Assistance</w:t>
      </w:r>
      <w:r>
        <w:rPr>
          <w:spacing w:val="19"/>
        </w:rPr>
        <w:t xml:space="preserve"> </w:t>
      </w:r>
      <w:r>
        <w:rPr>
          <w:spacing w:val="-1"/>
        </w:rPr>
        <w:t>Period</w:t>
      </w:r>
      <w:r>
        <w:rPr>
          <w:spacing w:val="18"/>
        </w:rPr>
        <w:t xml:space="preserve"> </w:t>
      </w:r>
      <w:r>
        <w:rPr>
          <w:spacing w:val="-1"/>
        </w:rPr>
        <w:t>(or</w:t>
      </w:r>
      <w:r>
        <w:rPr>
          <w:spacing w:val="17"/>
        </w:rPr>
        <w:t xml:space="preserve"> </w:t>
      </w:r>
      <w:r>
        <w:rPr>
          <w:spacing w:val="-1"/>
        </w:rPr>
        <w:t>earlier</w:t>
      </w:r>
      <w:r>
        <w:rPr>
          <w:spacing w:val="20"/>
        </w:rPr>
        <w:t xml:space="preserve"> </w:t>
      </w:r>
      <w:r>
        <w:rPr>
          <w:spacing w:val="-1"/>
        </w:rPr>
        <w:t>if</w:t>
      </w:r>
      <w:r>
        <w:rPr>
          <w:spacing w:val="20"/>
        </w:rPr>
        <w:t xml:space="preserve"> </w:t>
      </w:r>
      <w:r>
        <w:rPr>
          <w:spacing w:val="-1"/>
        </w:rPr>
        <w:t>this</w:t>
      </w:r>
      <w:r>
        <w:rPr>
          <w:spacing w:val="19"/>
        </w:rPr>
        <w:t xml:space="preserve"> </w:t>
      </w:r>
      <w:r>
        <w:rPr>
          <w:spacing w:val="-1"/>
        </w:rPr>
        <w:t>does</w:t>
      </w:r>
      <w:r>
        <w:rPr>
          <w:spacing w:val="19"/>
        </w:rPr>
        <w:t xml:space="preserve"> </w:t>
      </w:r>
      <w:r>
        <w:rPr>
          <w:spacing w:val="-1"/>
        </w:rPr>
        <w:t>not</w:t>
      </w:r>
      <w:r>
        <w:rPr>
          <w:spacing w:val="17"/>
        </w:rPr>
        <w:t xml:space="preserve"> </w:t>
      </w:r>
      <w:r>
        <w:rPr>
          <w:spacing w:val="-1"/>
        </w:rPr>
        <w:t>adversely</w:t>
      </w:r>
      <w:r>
        <w:rPr>
          <w:spacing w:val="16"/>
        </w:rPr>
        <w:t xml:space="preserve"> </w:t>
      </w:r>
      <w:r>
        <w:rPr>
          <w:spacing w:val="-1"/>
        </w:rPr>
        <w:t>affect</w:t>
      </w:r>
      <w:r>
        <w:rPr>
          <w:spacing w:val="20"/>
        </w:rPr>
        <w:t xml:space="preserve"> </w:t>
      </w:r>
      <w:r>
        <w:t>the</w:t>
      </w:r>
      <w:r>
        <w:rPr>
          <w:spacing w:val="16"/>
        </w:rPr>
        <w:t xml:space="preserve"> </w:t>
      </w:r>
      <w:r>
        <w:rPr>
          <w:spacing w:val="-1"/>
        </w:rPr>
        <w:t>Supplier's</w:t>
      </w:r>
      <w:r>
        <w:rPr>
          <w:spacing w:val="41"/>
        </w:rPr>
        <w:t xml:space="preserve"> </w:t>
      </w:r>
      <w:r>
        <w:rPr>
          <w:spacing w:val="-1"/>
        </w:rPr>
        <w:t>performance</w:t>
      </w:r>
      <w:r>
        <w:rPr>
          <w:spacing w:val="11"/>
        </w:rPr>
        <w:t xml:space="preserve"> </w:t>
      </w:r>
      <w:r>
        <w:rPr>
          <w:spacing w:val="-2"/>
        </w:rPr>
        <w:t>of</w:t>
      </w:r>
      <w:r>
        <w:rPr>
          <w:spacing w:val="11"/>
        </w:rPr>
        <w:t xml:space="preserve"> </w:t>
      </w:r>
      <w:r>
        <w:t>the</w:t>
      </w:r>
      <w:r>
        <w:rPr>
          <w:spacing w:val="8"/>
        </w:rPr>
        <w:t xml:space="preserve"> </w:t>
      </w:r>
      <w:r>
        <w:rPr>
          <w:spacing w:val="-1"/>
        </w:rPr>
        <w:t>Goods</w:t>
      </w:r>
      <w:r>
        <w:rPr>
          <w:spacing w:val="10"/>
        </w:rPr>
        <w:t xml:space="preserve"> </w:t>
      </w:r>
      <w:r>
        <w:rPr>
          <w:spacing w:val="-1"/>
        </w:rPr>
        <w:t>and/or</w:t>
      </w:r>
      <w:r>
        <w:rPr>
          <w:spacing w:val="11"/>
        </w:rPr>
        <w:t xml:space="preserve"> </w:t>
      </w:r>
      <w:r>
        <w:rPr>
          <w:spacing w:val="-1"/>
        </w:rPr>
        <w:t>Services</w:t>
      </w:r>
      <w:r>
        <w:rPr>
          <w:spacing w:val="11"/>
        </w:rPr>
        <w:t xml:space="preserve"> </w:t>
      </w:r>
      <w:r>
        <w:rPr>
          <w:spacing w:val="-1"/>
        </w:rPr>
        <w:t>and</w:t>
      </w:r>
      <w:r>
        <w:rPr>
          <w:spacing w:val="10"/>
        </w:rPr>
        <w:t xml:space="preserve"> </w:t>
      </w:r>
      <w:r>
        <w:rPr>
          <w:spacing w:val="-1"/>
        </w:rPr>
        <w:t>the</w:t>
      </w:r>
      <w:r>
        <w:rPr>
          <w:spacing w:val="10"/>
        </w:rPr>
        <w:t xml:space="preserve"> </w:t>
      </w:r>
      <w:r>
        <w:rPr>
          <w:spacing w:val="-1"/>
        </w:rPr>
        <w:t>Termination</w:t>
      </w:r>
      <w:r>
        <w:rPr>
          <w:spacing w:val="10"/>
        </w:rPr>
        <w:t xml:space="preserve"> </w:t>
      </w:r>
      <w:r>
        <w:rPr>
          <w:spacing w:val="-1"/>
        </w:rPr>
        <w:t>Assistance</w:t>
      </w:r>
      <w:r>
        <w:rPr>
          <w:spacing w:val="10"/>
        </w:rPr>
        <w:t xml:space="preserve"> </w:t>
      </w:r>
      <w:r>
        <w:rPr>
          <w:spacing w:val="-1"/>
        </w:rPr>
        <w:t>and</w:t>
      </w:r>
      <w:r>
        <w:rPr>
          <w:spacing w:val="10"/>
        </w:rPr>
        <w:t xml:space="preserve"> </w:t>
      </w:r>
      <w:r>
        <w:rPr>
          <w:spacing w:val="-1"/>
        </w:rPr>
        <w:t>its</w:t>
      </w:r>
      <w:r>
        <w:rPr>
          <w:spacing w:val="35"/>
        </w:rPr>
        <w:t xml:space="preserve"> </w:t>
      </w:r>
      <w:r>
        <w:rPr>
          <w:spacing w:val="-1"/>
        </w:rPr>
        <w:t>compliance</w:t>
      </w:r>
      <w:r>
        <w:rPr>
          <w:spacing w:val="1"/>
        </w:rPr>
        <w:t xml:space="preserve"> </w:t>
      </w:r>
      <w:r>
        <w:rPr>
          <w:spacing w:val="-2"/>
        </w:rPr>
        <w:t>with</w:t>
      </w:r>
      <w:r>
        <w:t xml:space="preserve"> the </w:t>
      </w:r>
      <w:r>
        <w:rPr>
          <w:spacing w:val="-2"/>
        </w:rPr>
        <w:t>other</w:t>
      </w:r>
      <w:r>
        <w:rPr>
          <w:spacing w:val="2"/>
        </w:rPr>
        <w:t xml:space="preserve"> </w:t>
      </w:r>
      <w:r>
        <w:rPr>
          <w:spacing w:val="-2"/>
        </w:rPr>
        <w:t>provisions</w:t>
      </w:r>
      <w:r>
        <w:rPr>
          <w:spacing w:val="1"/>
        </w:rPr>
        <w:t xml:space="preserve"> </w:t>
      </w:r>
      <w:r>
        <w:rPr>
          <w:spacing w:val="-1"/>
        </w:rPr>
        <w:t>of</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2"/>
        </w:rPr>
        <w:t>Schedule),</w:t>
      </w:r>
      <w:r>
        <w:t xml:space="preserve"> the</w:t>
      </w:r>
      <w:r>
        <w:rPr>
          <w:spacing w:val="-2"/>
        </w:rPr>
        <w:t xml:space="preserve"> Supplier</w:t>
      </w:r>
      <w:r>
        <w:rPr>
          <w:spacing w:val="2"/>
        </w:rPr>
        <w:t xml:space="preserve"> </w:t>
      </w:r>
      <w:r>
        <w:rPr>
          <w:spacing w:val="-1"/>
        </w:rPr>
        <w:t>shall:</w:t>
      </w:r>
    </w:p>
    <w:p w:rsidR="008918FA" w:rsidRDefault="008918FA" w:rsidP="008918FA">
      <w:pPr>
        <w:pStyle w:val="BodyText"/>
        <w:numPr>
          <w:ilvl w:val="2"/>
          <w:numId w:val="9"/>
        </w:numPr>
        <w:tabs>
          <w:tab w:val="left" w:pos="2026"/>
        </w:tabs>
        <w:spacing w:before="121"/>
        <w:ind w:hanging="993"/>
      </w:pPr>
      <w:r>
        <w:rPr>
          <w:spacing w:val="-1"/>
        </w:rPr>
        <w:t>cease</w:t>
      </w:r>
      <w:r>
        <w:rPr>
          <w:spacing w:val="1"/>
        </w:rPr>
        <w:t xml:space="preserve"> </w:t>
      </w:r>
      <w:r>
        <w:t>to</w:t>
      </w:r>
      <w:r>
        <w:rPr>
          <w:spacing w:val="-2"/>
        </w:rPr>
        <w:t xml:space="preserve"> </w:t>
      </w:r>
      <w:r>
        <w:rPr>
          <w:spacing w:val="-1"/>
        </w:rPr>
        <w:t>use</w:t>
      </w:r>
      <w:r>
        <w:rPr>
          <w:spacing w:val="-2"/>
        </w:rPr>
        <w:t xml:space="preserve"> </w:t>
      </w:r>
      <w:r>
        <w:t>the</w:t>
      </w:r>
      <w:r>
        <w:rPr>
          <w:spacing w:val="-2"/>
        </w:rPr>
        <w:t xml:space="preserve"> Customer</w:t>
      </w:r>
      <w:r>
        <w:rPr>
          <w:spacing w:val="2"/>
        </w:rPr>
        <w:t xml:space="preserve"> </w:t>
      </w:r>
      <w:r>
        <w:rPr>
          <w:spacing w:val="-1"/>
        </w:rPr>
        <w:t>Data;</w:t>
      </w:r>
    </w:p>
    <w:p w:rsidR="008918FA" w:rsidRDefault="008918FA" w:rsidP="008918FA">
      <w:pPr>
        <w:pStyle w:val="BodyText"/>
        <w:numPr>
          <w:ilvl w:val="2"/>
          <w:numId w:val="9"/>
        </w:numPr>
        <w:tabs>
          <w:tab w:val="left" w:pos="2026"/>
        </w:tabs>
        <w:ind w:right="115" w:hanging="993"/>
        <w:jc w:val="both"/>
      </w:pPr>
      <w:r>
        <w:rPr>
          <w:spacing w:val="-2"/>
        </w:rPr>
        <w:t>provide</w:t>
      </w:r>
      <w:r>
        <w:rPr>
          <w:spacing w:val="52"/>
        </w:rPr>
        <w:t xml:space="preserve"> </w:t>
      </w:r>
      <w:r>
        <w:t>the</w:t>
      </w:r>
      <w:r>
        <w:rPr>
          <w:spacing w:val="52"/>
        </w:rPr>
        <w:t xml:space="preserve"> </w:t>
      </w:r>
      <w:r>
        <w:rPr>
          <w:spacing w:val="-1"/>
        </w:rPr>
        <w:t>Customer</w:t>
      </w:r>
      <w:r>
        <w:rPr>
          <w:spacing w:val="51"/>
        </w:rPr>
        <w:t xml:space="preserve"> </w:t>
      </w:r>
      <w:r>
        <w:rPr>
          <w:spacing w:val="-1"/>
        </w:rPr>
        <w:t>and/or</w:t>
      </w:r>
      <w:r>
        <w:rPr>
          <w:spacing w:val="51"/>
        </w:rPr>
        <w:t xml:space="preserve"> </w:t>
      </w:r>
      <w:r>
        <w:t>the</w:t>
      </w:r>
      <w:r>
        <w:rPr>
          <w:spacing w:val="49"/>
        </w:rPr>
        <w:t xml:space="preserve"> </w:t>
      </w:r>
      <w:r>
        <w:rPr>
          <w:spacing w:val="-2"/>
        </w:rPr>
        <w:t>Replacement</w:t>
      </w:r>
      <w:r>
        <w:rPr>
          <w:spacing w:val="53"/>
        </w:rPr>
        <w:t xml:space="preserve"> </w:t>
      </w:r>
      <w:r>
        <w:rPr>
          <w:spacing w:val="-2"/>
        </w:rPr>
        <w:t>Supplier</w:t>
      </w:r>
      <w:r>
        <w:rPr>
          <w:spacing w:val="54"/>
        </w:rPr>
        <w:t xml:space="preserve"> </w:t>
      </w:r>
      <w:r>
        <w:rPr>
          <w:spacing w:val="-2"/>
        </w:rPr>
        <w:t>with</w:t>
      </w:r>
      <w:r>
        <w:rPr>
          <w:spacing w:val="52"/>
        </w:rPr>
        <w:t xml:space="preserve"> </w:t>
      </w:r>
      <w:r>
        <w:t>a</w:t>
      </w:r>
      <w:r>
        <w:rPr>
          <w:spacing w:val="61"/>
        </w:rPr>
        <w:t xml:space="preserve"> </w:t>
      </w:r>
      <w:r>
        <w:rPr>
          <w:spacing w:val="-1"/>
        </w:rPr>
        <w:t>complete</w:t>
      </w:r>
      <w:r>
        <w:rPr>
          <w:spacing w:val="22"/>
        </w:rPr>
        <w:t xml:space="preserve"> </w:t>
      </w:r>
      <w:r>
        <w:rPr>
          <w:spacing w:val="-1"/>
        </w:rPr>
        <w:t>and</w:t>
      </w:r>
      <w:r>
        <w:rPr>
          <w:spacing w:val="22"/>
        </w:rPr>
        <w:t xml:space="preserve"> </w:t>
      </w:r>
      <w:r>
        <w:rPr>
          <w:spacing w:val="-1"/>
        </w:rPr>
        <w:t>uncorrupted</w:t>
      </w:r>
      <w:r>
        <w:rPr>
          <w:spacing w:val="22"/>
        </w:rPr>
        <w:t xml:space="preserve"> </w:t>
      </w:r>
      <w:r>
        <w:rPr>
          <w:spacing w:val="-1"/>
        </w:rPr>
        <w:t>version</w:t>
      </w:r>
      <w:r>
        <w:rPr>
          <w:spacing w:val="22"/>
        </w:rPr>
        <w:t xml:space="preserve"> </w:t>
      </w:r>
      <w:r>
        <w:rPr>
          <w:spacing w:val="-1"/>
        </w:rPr>
        <w:t>of</w:t>
      </w:r>
      <w:r>
        <w:rPr>
          <w:spacing w:val="26"/>
        </w:rPr>
        <w:t xml:space="preserve"> </w:t>
      </w:r>
      <w:r>
        <w:t>the</w:t>
      </w:r>
      <w:r>
        <w:rPr>
          <w:spacing w:val="22"/>
        </w:rPr>
        <w:t xml:space="preserve"> </w:t>
      </w:r>
      <w:r>
        <w:rPr>
          <w:spacing w:val="-1"/>
        </w:rPr>
        <w:t>Customer</w:t>
      </w:r>
      <w:r>
        <w:rPr>
          <w:spacing w:val="23"/>
        </w:rPr>
        <w:t xml:space="preserve"> </w:t>
      </w:r>
      <w:r>
        <w:rPr>
          <w:spacing w:val="-1"/>
        </w:rPr>
        <w:t>Data</w:t>
      </w:r>
      <w:r>
        <w:rPr>
          <w:spacing w:val="22"/>
        </w:rPr>
        <w:t xml:space="preserve"> </w:t>
      </w:r>
      <w:r>
        <w:rPr>
          <w:spacing w:val="-1"/>
        </w:rPr>
        <w:t>in</w:t>
      </w:r>
      <w:r>
        <w:rPr>
          <w:spacing w:val="22"/>
        </w:rPr>
        <w:t xml:space="preserve"> </w:t>
      </w:r>
      <w:r>
        <w:rPr>
          <w:spacing w:val="-1"/>
        </w:rPr>
        <w:t>electronic</w:t>
      </w:r>
      <w:r>
        <w:rPr>
          <w:spacing w:val="21"/>
        </w:rPr>
        <w:t xml:space="preserve"> </w:t>
      </w:r>
      <w:r>
        <w:rPr>
          <w:spacing w:val="-1"/>
        </w:rPr>
        <w:t>form (or such</w:t>
      </w:r>
      <w:r>
        <w:rPr>
          <w:spacing w:val="-2"/>
        </w:rPr>
        <w:t xml:space="preserve"> </w:t>
      </w:r>
      <w:r>
        <w:rPr>
          <w:spacing w:val="-1"/>
        </w:rPr>
        <w:t>other format</w:t>
      </w:r>
      <w:r>
        <w:rPr>
          <w:spacing w:val="2"/>
        </w:rPr>
        <w:t xml:space="preserve"> </w:t>
      </w:r>
      <w:r>
        <w:rPr>
          <w:spacing w:val="-1"/>
        </w:rPr>
        <w:t>as</w:t>
      </w:r>
      <w:r>
        <w:rPr>
          <w:spacing w:val="-2"/>
        </w:rPr>
        <w:t xml:space="preserve"> </w:t>
      </w:r>
      <w:r>
        <w:rPr>
          <w:spacing w:val="-1"/>
        </w:rPr>
        <w:t>reasonably</w:t>
      </w:r>
      <w:r>
        <w:rPr>
          <w:spacing w:val="-2"/>
        </w:rPr>
        <w:t xml:space="preserve"> </w:t>
      </w:r>
      <w:r>
        <w:rPr>
          <w:spacing w:val="-1"/>
        </w:rPr>
        <w:t>required</w:t>
      </w:r>
      <w:r>
        <w:t xml:space="preserve"> </w:t>
      </w:r>
      <w:r>
        <w:rPr>
          <w:spacing w:val="-1"/>
        </w:rPr>
        <w:t>by</w:t>
      </w:r>
      <w:r>
        <w:rPr>
          <w:spacing w:val="-2"/>
        </w:rPr>
        <w:t xml:space="preserve"> </w:t>
      </w:r>
      <w:r>
        <w:t xml:space="preserve">the </w:t>
      </w:r>
      <w:r>
        <w:rPr>
          <w:spacing w:val="-2"/>
        </w:rPr>
        <w:t>Customer);</w:t>
      </w:r>
    </w:p>
    <w:p w:rsidR="008918FA" w:rsidRDefault="008918FA" w:rsidP="008918FA">
      <w:pPr>
        <w:pStyle w:val="BodyText"/>
        <w:numPr>
          <w:ilvl w:val="2"/>
          <w:numId w:val="9"/>
        </w:numPr>
        <w:tabs>
          <w:tab w:val="left" w:pos="2026"/>
        </w:tabs>
        <w:ind w:right="113" w:hanging="993"/>
        <w:jc w:val="both"/>
      </w:pPr>
      <w:r>
        <w:rPr>
          <w:spacing w:val="-1"/>
        </w:rPr>
        <w:t>erase</w:t>
      </w:r>
      <w:r>
        <w:rPr>
          <w:spacing w:val="-2"/>
        </w:rPr>
        <w:t xml:space="preserve"> </w:t>
      </w:r>
      <w:r>
        <w:t>from</w:t>
      </w:r>
      <w:r>
        <w:rPr>
          <w:spacing w:val="2"/>
        </w:rPr>
        <w:t xml:space="preserve"> </w:t>
      </w:r>
      <w:r>
        <w:rPr>
          <w:spacing w:val="-1"/>
        </w:rPr>
        <w:t>any</w:t>
      </w:r>
      <w:r>
        <w:rPr>
          <w:spacing w:val="-2"/>
        </w:rPr>
        <w:t xml:space="preserve"> </w:t>
      </w:r>
      <w:r>
        <w:rPr>
          <w:spacing w:val="-1"/>
        </w:rPr>
        <w:t>computers,</w:t>
      </w:r>
      <w:r>
        <w:rPr>
          <w:spacing w:val="2"/>
        </w:rPr>
        <w:t xml:space="preserve"> </w:t>
      </w:r>
      <w:r>
        <w:rPr>
          <w:spacing w:val="-1"/>
        </w:rPr>
        <w:t>storage</w:t>
      </w:r>
      <w:r>
        <w:t xml:space="preserve"> </w:t>
      </w:r>
      <w:r>
        <w:rPr>
          <w:spacing w:val="-2"/>
        </w:rPr>
        <w:t>devices</w:t>
      </w:r>
      <w:r>
        <w:rPr>
          <w:spacing w:val="1"/>
        </w:rPr>
        <w:t xml:space="preserve"> </w:t>
      </w:r>
      <w:r>
        <w:rPr>
          <w:spacing w:val="-1"/>
        </w:rPr>
        <w:t>and</w:t>
      </w:r>
      <w:r>
        <w:t xml:space="preserve"> </w:t>
      </w:r>
      <w:r>
        <w:rPr>
          <w:spacing w:val="-1"/>
        </w:rPr>
        <w:t>storage</w:t>
      </w:r>
      <w:r>
        <w:t xml:space="preserve"> </w:t>
      </w:r>
      <w:r>
        <w:rPr>
          <w:spacing w:val="-1"/>
        </w:rPr>
        <w:t>media</w:t>
      </w:r>
      <w:r>
        <w:t xml:space="preserve"> </w:t>
      </w:r>
      <w:r>
        <w:rPr>
          <w:spacing w:val="-1"/>
        </w:rPr>
        <w:t>that</w:t>
      </w:r>
      <w:r>
        <w:rPr>
          <w:spacing w:val="2"/>
        </w:rPr>
        <w:t xml:space="preserve"> </w:t>
      </w:r>
      <w:r>
        <w:rPr>
          <w:spacing w:val="-1"/>
        </w:rPr>
        <w:t>are</w:t>
      </w:r>
      <w:r>
        <w:rPr>
          <w:spacing w:val="45"/>
        </w:rPr>
        <w:t xml:space="preserve"> </w:t>
      </w:r>
      <w:r>
        <w:t>to</w:t>
      </w:r>
      <w:r>
        <w:rPr>
          <w:spacing w:val="21"/>
        </w:rPr>
        <w:t xml:space="preserve"> </w:t>
      </w:r>
      <w:r>
        <w:rPr>
          <w:spacing w:val="-1"/>
        </w:rPr>
        <w:t>be</w:t>
      </w:r>
      <w:r>
        <w:rPr>
          <w:spacing w:val="21"/>
        </w:rPr>
        <w:t xml:space="preserve"> </w:t>
      </w:r>
      <w:r>
        <w:rPr>
          <w:spacing w:val="-1"/>
        </w:rPr>
        <w:t>retained</w:t>
      </w:r>
      <w:r>
        <w:rPr>
          <w:spacing w:val="21"/>
        </w:rPr>
        <w:t xml:space="preserve"> </w:t>
      </w:r>
      <w:r>
        <w:rPr>
          <w:spacing w:val="-1"/>
        </w:rPr>
        <w:t>by</w:t>
      </w:r>
      <w:r>
        <w:rPr>
          <w:spacing w:val="19"/>
        </w:rPr>
        <w:t xml:space="preserve"> </w:t>
      </w:r>
      <w:r>
        <w:t>the</w:t>
      </w:r>
      <w:r>
        <w:rPr>
          <w:spacing w:val="21"/>
        </w:rPr>
        <w:t xml:space="preserve"> </w:t>
      </w:r>
      <w:r>
        <w:rPr>
          <w:spacing w:val="-2"/>
        </w:rPr>
        <w:t>Supplier</w:t>
      </w:r>
      <w:r>
        <w:rPr>
          <w:spacing w:val="22"/>
        </w:rPr>
        <w:t xml:space="preserve"> </w:t>
      </w:r>
      <w:r>
        <w:t>after</w:t>
      </w:r>
      <w:r>
        <w:rPr>
          <w:spacing w:val="22"/>
        </w:rPr>
        <w:t xml:space="preserve"> </w:t>
      </w:r>
      <w:r>
        <w:t>the</w:t>
      </w:r>
      <w:r>
        <w:rPr>
          <w:spacing w:val="21"/>
        </w:rPr>
        <w:t xml:space="preserve"> </w:t>
      </w:r>
      <w:r>
        <w:rPr>
          <w:spacing w:val="-2"/>
        </w:rPr>
        <w:t>end</w:t>
      </w:r>
      <w:r>
        <w:rPr>
          <w:spacing w:val="21"/>
        </w:rPr>
        <w:t xml:space="preserve"> </w:t>
      </w:r>
      <w:r>
        <w:rPr>
          <w:spacing w:val="-1"/>
        </w:rPr>
        <w:t>of</w:t>
      </w:r>
      <w:r>
        <w:rPr>
          <w:spacing w:val="22"/>
        </w:rPr>
        <w:t xml:space="preserve"> </w:t>
      </w:r>
      <w:r>
        <w:t>the</w:t>
      </w:r>
      <w:r>
        <w:rPr>
          <w:spacing w:val="21"/>
        </w:rPr>
        <w:t xml:space="preserve"> </w:t>
      </w:r>
      <w:r>
        <w:rPr>
          <w:spacing w:val="-1"/>
        </w:rPr>
        <w:t>Termination</w:t>
      </w:r>
      <w:r>
        <w:rPr>
          <w:spacing w:val="38"/>
        </w:rPr>
        <w:t xml:space="preserve"> </w:t>
      </w:r>
      <w:r>
        <w:rPr>
          <w:spacing w:val="-1"/>
        </w:rPr>
        <w:t>Assistance</w:t>
      </w:r>
      <w:r>
        <w:rPr>
          <w:spacing w:val="21"/>
        </w:rPr>
        <w:t xml:space="preserve"> </w:t>
      </w:r>
      <w:r>
        <w:rPr>
          <w:spacing w:val="-1"/>
        </w:rPr>
        <w:t>Period</w:t>
      </w:r>
      <w:r>
        <w:rPr>
          <w:spacing w:val="21"/>
        </w:rPr>
        <w:t xml:space="preserve"> </w:t>
      </w:r>
      <w:r>
        <w:rPr>
          <w:spacing w:val="-1"/>
        </w:rPr>
        <w:t>all</w:t>
      </w:r>
      <w:r>
        <w:rPr>
          <w:spacing w:val="20"/>
        </w:rPr>
        <w:t xml:space="preserve"> </w:t>
      </w:r>
      <w:r>
        <w:rPr>
          <w:spacing w:val="-1"/>
        </w:rPr>
        <w:t>Customer</w:t>
      </w:r>
      <w:r>
        <w:rPr>
          <w:spacing w:val="22"/>
        </w:rPr>
        <w:t xml:space="preserve"> </w:t>
      </w:r>
      <w:r>
        <w:rPr>
          <w:spacing w:val="-1"/>
        </w:rPr>
        <w:t>Data</w:t>
      </w:r>
      <w:r>
        <w:rPr>
          <w:spacing w:val="21"/>
        </w:rPr>
        <w:t xml:space="preserve"> </w:t>
      </w:r>
      <w:r>
        <w:rPr>
          <w:spacing w:val="-1"/>
        </w:rPr>
        <w:t>and</w:t>
      </w:r>
      <w:r>
        <w:rPr>
          <w:spacing w:val="21"/>
        </w:rPr>
        <w:t xml:space="preserve"> </w:t>
      </w:r>
      <w:r>
        <w:rPr>
          <w:spacing w:val="-1"/>
        </w:rPr>
        <w:t>promptly</w:t>
      </w:r>
      <w:r>
        <w:rPr>
          <w:spacing w:val="19"/>
        </w:rPr>
        <w:t xml:space="preserve"> </w:t>
      </w:r>
      <w:r>
        <w:rPr>
          <w:spacing w:val="-1"/>
        </w:rPr>
        <w:t>certify</w:t>
      </w:r>
      <w:r>
        <w:rPr>
          <w:spacing w:val="19"/>
        </w:rPr>
        <w:t xml:space="preserve"> </w:t>
      </w:r>
      <w:r>
        <w:t>to</w:t>
      </w:r>
      <w:r>
        <w:rPr>
          <w:spacing w:val="21"/>
        </w:rPr>
        <w:t xml:space="preserve"> </w:t>
      </w:r>
      <w:r>
        <w:rPr>
          <w:spacing w:val="-1"/>
        </w:rPr>
        <w:t>the</w:t>
      </w:r>
      <w:r>
        <w:rPr>
          <w:spacing w:val="38"/>
        </w:rPr>
        <w:t xml:space="preserve"> </w:t>
      </w:r>
      <w:r>
        <w:rPr>
          <w:spacing w:val="-1"/>
        </w:rPr>
        <w:t>Customer that</w:t>
      </w:r>
      <w:r>
        <w:t xml:space="preserve"> </w:t>
      </w:r>
      <w:r>
        <w:rPr>
          <w:spacing w:val="-1"/>
        </w:rPr>
        <w:t>it</w:t>
      </w:r>
      <w:r>
        <w:t xml:space="preserve"> </w:t>
      </w:r>
      <w:r>
        <w:rPr>
          <w:spacing w:val="-1"/>
        </w:rPr>
        <w:t>has</w:t>
      </w:r>
      <w:r>
        <w:rPr>
          <w:spacing w:val="1"/>
        </w:rPr>
        <w:t xml:space="preserve"> </w:t>
      </w:r>
      <w:r>
        <w:rPr>
          <w:spacing w:val="-2"/>
        </w:rPr>
        <w:t>completed</w:t>
      </w:r>
      <w:r>
        <w:t xml:space="preserve"> </w:t>
      </w:r>
      <w:r>
        <w:rPr>
          <w:spacing w:val="-1"/>
        </w:rPr>
        <w:t>such</w:t>
      </w:r>
      <w:r>
        <w:rPr>
          <w:spacing w:val="-2"/>
        </w:rPr>
        <w:t xml:space="preserve"> </w:t>
      </w:r>
      <w:r>
        <w:rPr>
          <w:spacing w:val="-1"/>
        </w:rPr>
        <w:t>deletion;</w:t>
      </w:r>
    </w:p>
    <w:p w:rsidR="008918FA" w:rsidRDefault="008918FA" w:rsidP="008918FA">
      <w:pPr>
        <w:pStyle w:val="BodyText"/>
        <w:numPr>
          <w:ilvl w:val="2"/>
          <w:numId w:val="9"/>
        </w:numPr>
        <w:tabs>
          <w:tab w:val="left" w:pos="2026"/>
        </w:tabs>
        <w:ind w:right="117" w:hanging="993"/>
        <w:jc w:val="both"/>
      </w:pPr>
      <w:r>
        <w:rPr>
          <w:spacing w:val="-1"/>
        </w:rPr>
        <w:t>return</w:t>
      </w:r>
      <w:r>
        <w:rPr>
          <w:spacing w:val="43"/>
        </w:rPr>
        <w:t xml:space="preserve"> </w:t>
      </w:r>
      <w:r>
        <w:t>to</w:t>
      </w:r>
      <w:r>
        <w:rPr>
          <w:spacing w:val="41"/>
        </w:rPr>
        <w:t xml:space="preserve"> </w:t>
      </w:r>
      <w:r>
        <w:t>the</w:t>
      </w:r>
      <w:r>
        <w:rPr>
          <w:spacing w:val="43"/>
        </w:rPr>
        <w:t xml:space="preserve"> </w:t>
      </w:r>
      <w:r>
        <w:rPr>
          <w:spacing w:val="-1"/>
        </w:rPr>
        <w:t>Customer</w:t>
      </w:r>
      <w:r>
        <w:rPr>
          <w:spacing w:val="42"/>
        </w:rPr>
        <w:t xml:space="preserve"> </w:t>
      </w:r>
      <w:r>
        <w:rPr>
          <w:spacing w:val="-1"/>
        </w:rPr>
        <w:t>such</w:t>
      </w:r>
      <w:r>
        <w:rPr>
          <w:spacing w:val="44"/>
        </w:rPr>
        <w:t xml:space="preserve"> </w:t>
      </w:r>
      <w:r>
        <w:rPr>
          <w:spacing w:val="-2"/>
        </w:rPr>
        <w:t>of</w:t>
      </w:r>
      <w:r>
        <w:rPr>
          <w:spacing w:val="47"/>
        </w:rPr>
        <w:t xml:space="preserve"> </w:t>
      </w:r>
      <w:r>
        <w:t>the</w:t>
      </w:r>
      <w:r>
        <w:rPr>
          <w:spacing w:val="42"/>
        </w:rPr>
        <w:t xml:space="preserve"> </w:t>
      </w:r>
      <w:r>
        <w:rPr>
          <w:spacing w:val="-2"/>
        </w:rPr>
        <w:t>following</w:t>
      </w:r>
      <w:r>
        <w:rPr>
          <w:spacing w:val="46"/>
        </w:rPr>
        <w:t xml:space="preserve"> </w:t>
      </w:r>
      <w:r>
        <w:rPr>
          <w:spacing w:val="-1"/>
        </w:rPr>
        <w:t>as</w:t>
      </w:r>
      <w:r>
        <w:rPr>
          <w:spacing w:val="44"/>
        </w:rPr>
        <w:t xml:space="preserve"> </w:t>
      </w:r>
      <w:r>
        <w:rPr>
          <w:spacing w:val="-1"/>
        </w:rPr>
        <w:t>is</w:t>
      </w:r>
      <w:r>
        <w:rPr>
          <w:spacing w:val="44"/>
        </w:rPr>
        <w:t xml:space="preserve"> </w:t>
      </w:r>
      <w:r>
        <w:rPr>
          <w:spacing w:val="-1"/>
        </w:rPr>
        <w:t>in</w:t>
      </w:r>
      <w:r>
        <w:rPr>
          <w:spacing w:val="43"/>
        </w:rPr>
        <w:t xml:space="preserve"> </w:t>
      </w:r>
      <w:r>
        <w:t>the</w:t>
      </w:r>
      <w:r>
        <w:rPr>
          <w:spacing w:val="43"/>
        </w:rPr>
        <w:t xml:space="preserve"> </w:t>
      </w:r>
      <w:r>
        <w:rPr>
          <w:spacing w:val="-1"/>
        </w:rPr>
        <w:t>Supplier's</w:t>
      </w:r>
      <w:r>
        <w:rPr>
          <w:spacing w:val="35"/>
        </w:rPr>
        <w:t xml:space="preserve"> </w:t>
      </w:r>
      <w:r>
        <w:rPr>
          <w:spacing w:val="-1"/>
        </w:rPr>
        <w:t>possession</w:t>
      </w:r>
      <w:r>
        <w:t xml:space="preserve"> </w:t>
      </w:r>
      <w:r>
        <w:rPr>
          <w:spacing w:val="-1"/>
        </w:rPr>
        <w:t>or control:</w:t>
      </w:r>
    </w:p>
    <w:p w:rsidR="008918FA" w:rsidRDefault="008918FA" w:rsidP="008918FA">
      <w:pPr>
        <w:pStyle w:val="BodyText"/>
        <w:numPr>
          <w:ilvl w:val="3"/>
          <w:numId w:val="9"/>
        </w:numPr>
        <w:tabs>
          <w:tab w:val="left" w:pos="2734"/>
        </w:tabs>
        <w:ind w:right="114"/>
        <w:jc w:val="both"/>
      </w:pPr>
      <w:r>
        <w:rPr>
          <w:spacing w:val="-1"/>
        </w:rPr>
        <w:t>all</w:t>
      </w:r>
      <w:r>
        <w:t xml:space="preserve"> </w:t>
      </w:r>
      <w:r>
        <w:rPr>
          <w:spacing w:val="-1"/>
        </w:rPr>
        <w:t>materials</w:t>
      </w:r>
      <w:r>
        <w:rPr>
          <w:spacing w:val="1"/>
        </w:rPr>
        <w:t xml:space="preserve"> </w:t>
      </w:r>
      <w:r>
        <w:rPr>
          <w:spacing w:val="-1"/>
        </w:rPr>
        <w:t>created</w:t>
      </w:r>
      <w:r>
        <w:rPr>
          <w:spacing w:val="-2"/>
        </w:rPr>
        <w:t xml:space="preserve"> </w:t>
      </w:r>
      <w:r>
        <w:rPr>
          <w:spacing w:val="-1"/>
        </w:rPr>
        <w:t>by</w:t>
      </w:r>
      <w:r>
        <w:rPr>
          <w:spacing w:val="-2"/>
        </w:rPr>
        <w:t xml:space="preserve"> </w:t>
      </w:r>
      <w:r>
        <w:rPr>
          <w:spacing w:val="-1"/>
        </w:rPr>
        <w:t>the</w:t>
      </w:r>
      <w:r>
        <w:t xml:space="preserve"> </w:t>
      </w:r>
      <w:r>
        <w:rPr>
          <w:spacing w:val="-2"/>
        </w:rPr>
        <w:t>Supplier</w:t>
      </w:r>
      <w:r>
        <w:rPr>
          <w:spacing w:val="2"/>
        </w:rPr>
        <w:t xml:space="preserve"> </w:t>
      </w:r>
      <w:r>
        <w:rPr>
          <w:spacing w:val="-1"/>
        </w:rPr>
        <w:t>under this</w:t>
      </w:r>
      <w:r>
        <w:rPr>
          <w:spacing w:val="1"/>
        </w:rPr>
        <w:t xml:space="preserve"> </w:t>
      </w:r>
      <w:r>
        <w:rPr>
          <w:spacing w:val="-2"/>
        </w:rPr>
        <w:t>Call</w:t>
      </w:r>
      <w:r>
        <w:t xml:space="preserve"> </w:t>
      </w:r>
      <w:r>
        <w:rPr>
          <w:spacing w:val="-1"/>
        </w:rPr>
        <w:t>Off</w:t>
      </w:r>
      <w:r>
        <w:rPr>
          <w:spacing w:val="2"/>
        </w:rPr>
        <w:t xml:space="preserve"> </w:t>
      </w:r>
      <w:r>
        <w:rPr>
          <w:spacing w:val="-2"/>
        </w:rPr>
        <w:t>Contract</w:t>
      </w:r>
      <w:r>
        <w:rPr>
          <w:spacing w:val="54"/>
        </w:rPr>
        <w:t xml:space="preserve"> </w:t>
      </w:r>
      <w:r>
        <w:rPr>
          <w:spacing w:val="-1"/>
        </w:rPr>
        <w:t>in</w:t>
      </w:r>
      <w:r>
        <w:t xml:space="preserve"> </w:t>
      </w:r>
      <w:r>
        <w:rPr>
          <w:spacing w:val="-2"/>
        </w:rPr>
        <w:t>which</w:t>
      </w:r>
      <w:r>
        <w:rPr>
          <w:spacing w:val="1"/>
        </w:rPr>
        <w:t xml:space="preserve"> </w:t>
      </w:r>
      <w:r>
        <w:t xml:space="preserve">the </w:t>
      </w:r>
      <w:r>
        <w:rPr>
          <w:spacing w:val="-1"/>
        </w:rPr>
        <w:t>IPRs</w:t>
      </w:r>
      <w:r>
        <w:rPr>
          <w:spacing w:val="1"/>
        </w:rPr>
        <w:t xml:space="preserve"> </w:t>
      </w:r>
      <w:r>
        <w:rPr>
          <w:spacing w:val="-1"/>
        </w:rPr>
        <w:t>are</w:t>
      </w:r>
      <w:r>
        <w:t xml:space="preserve"> </w:t>
      </w:r>
      <w:r>
        <w:rPr>
          <w:spacing w:val="-2"/>
        </w:rPr>
        <w:t>owned</w:t>
      </w:r>
      <w:r>
        <w:t xml:space="preserve"> </w:t>
      </w:r>
      <w:r>
        <w:rPr>
          <w:spacing w:val="-1"/>
        </w:rPr>
        <w:t>by</w:t>
      </w:r>
      <w:r>
        <w:rPr>
          <w:spacing w:val="-2"/>
        </w:rPr>
        <w:t xml:space="preserve"> </w:t>
      </w:r>
      <w:r>
        <w:t xml:space="preserve">the </w:t>
      </w:r>
      <w:r>
        <w:rPr>
          <w:spacing w:val="-2"/>
        </w:rPr>
        <w:t>Customer;</w:t>
      </w:r>
    </w:p>
    <w:p w:rsidR="008918FA" w:rsidRDefault="008918FA" w:rsidP="008918FA">
      <w:pPr>
        <w:pStyle w:val="BodyText"/>
        <w:numPr>
          <w:ilvl w:val="3"/>
          <w:numId w:val="9"/>
        </w:numPr>
        <w:tabs>
          <w:tab w:val="left" w:pos="2734"/>
        </w:tabs>
        <w:spacing w:before="121"/>
      </w:pPr>
      <w:r>
        <w:rPr>
          <w:spacing w:val="-1"/>
        </w:rPr>
        <w:t>any</w:t>
      </w:r>
      <w:r>
        <w:rPr>
          <w:spacing w:val="-2"/>
        </w:rPr>
        <w:t xml:space="preserve"> </w:t>
      </w:r>
      <w:r>
        <w:rPr>
          <w:spacing w:val="-1"/>
        </w:rPr>
        <w:t>equipment</w:t>
      </w:r>
      <w:r>
        <w:rPr>
          <w:spacing w:val="2"/>
        </w:rPr>
        <w:t xml:space="preserve"> </w:t>
      </w:r>
      <w:r>
        <w:rPr>
          <w:spacing w:val="-2"/>
        </w:rPr>
        <w:t>which</w:t>
      </w:r>
      <w:r>
        <w:rPr>
          <w:spacing w:val="1"/>
        </w:rPr>
        <w:t xml:space="preserve"> </w:t>
      </w:r>
      <w:r>
        <w:rPr>
          <w:spacing w:val="-1"/>
        </w:rPr>
        <w:t>belongs</w:t>
      </w:r>
      <w:r>
        <w:rPr>
          <w:spacing w:val="-2"/>
        </w:rPr>
        <w:t xml:space="preserve"> </w:t>
      </w:r>
      <w:r>
        <w:t>to</w:t>
      </w:r>
      <w:r>
        <w:rPr>
          <w:spacing w:val="-2"/>
        </w:rPr>
        <w:t xml:space="preserve"> </w:t>
      </w:r>
      <w:r>
        <w:t>the</w:t>
      </w:r>
      <w:r>
        <w:rPr>
          <w:spacing w:val="-2"/>
        </w:rPr>
        <w:t xml:space="preserve"> </w:t>
      </w:r>
      <w:r>
        <w:rPr>
          <w:spacing w:val="-1"/>
        </w:rPr>
        <w:t>Customer;</w:t>
      </w:r>
    </w:p>
    <w:p w:rsidR="008918FA" w:rsidRDefault="008918FA" w:rsidP="008918FA">
      <w:pPr>
        <w:pStyle w:val="BodyText"/>
        <w:numPr>
          <w:ilvl w:val="3"/>
          <w:numId w:val="9"/>
        </w:numPr>
        <w:tabs>
          <w:tab w:val="left" w:pos="2734"/>
        </w:tabs>
        <w:ind w:right="114"/>
        <w:jc w:val="both"/>
      </w:pPr>
      <w:r>
        <w:rPr>
          <w:spacing w:val="-1"/>
        </w:rPr>
        <w:t>any</w:t>
      </w:r>
      <w:r>
        <w:rPr>
          <w:spacing w:val="5"/>
        </w:rPr>
        <w:t xml:space="preserve"> </w:t>
      </w:r>
      <w:r>
        <w:rPr>
          <w:spacing w:val="-1"/>
        </w:rPr>
        <w:t>items</w:t>
      </w:r>
      <w:r>
        <w:rPr>
          <w:spacing w:val="8"/>
        </w:rPr>
        <w:t xml:space="preserve"> </w:t>
      </w:r>
      <w:r>
        <w:rPr>
          <w:spacing w:val="-1"/>
        </w:rPr>
        <w:t>that</w:t>
      </w:r>
      <w:r>
        <w:rPr>
          <w:spacing w:val="9"/>
        </w:rPr>
        <w:t xml:space="preserve"> </w:t>
      </w:r>
      <w:r>
        <w:rPr>
          <w:spacing w:val="-2"/>
        </w:rPr>
        <w:t>have</w:t>
      </w:r>
      <w:r>
        <w:rPr>
          <w:spacing w:val="7"/>
        </w:rPr>
        <w:t xml:space="preserve"> </w:t>
      </w:r>
      <w:r>
        <w:rPr>
          <w:spacing w:val="-2"/>
        </w:rPr>
        <w:t>been</w:t>
      </w:r>
      <w:r>
        <w:rPr>
          <w:spacing w:val="7"/>
        </w:rPr>
        <w:t xml:space="preserve"> </w:t>
      </w:r>
      <w:r>
        <w:rPr>
          <w:spacing w:val="-1"/>
        </w:rPr>
        <w:t>on-charged</w:t>
      </w:r>
      <w:r>
        <w:rPr>
          <w:spacing w:val="7"/>
        </w:rPr>
        <w:t xml:space="preserve"> </w:t>
      </w:r>
      <w:r>
        <w:rPr>
          <w:spacing w:val="-1"/>
        </w:rPr>
        <w:t>to</w:t>
      </w:r>
      <w:r>
        <w:rPr>
          <w:spacing w:val="7"/>
        </w:rPr>
        <w:t xml:space="preserve"> </w:t>
      </w:r>
      <w:r>
        <w:t>the</w:t>
      </w:r>
      <w:r>
        <w:rPr>
          <w:spacing w:val="5"/>
        </w:rPr>
        <w:t xml:space="preserve"> </w:t>
      </w:r>
      <w:r>
        <w:rPr>
          <w:spacing w:val="-1"/>
        </w:rPr>
        <w:t>Customer,</w:t>
      </w:r>
      <w:r>
        <w:rPr>
          <w:spacing w:val="9"/>
        </w:rPr>
        <w:t xml:space="preserve"> </w:t>
      </w:r>
      <w:r>
        <w:rPr>
          <w:spacing w:val="-1"/>
        </w:rPr>
        <w:t>such</w:t>
      </w:r>
      <w:r>
        <w:rPr>
          <w:spacing w:val="5"/>
        </w:rPr>
        <w:t xml:space="preserve"> </w:t>
      </w:r>
      <w:r>
        <w:rPr>
          <w:spacing w:val="-1"/>
        </w:rPr>
        <w:t>as</w:t>
      </w:r>
      <w:r>
        <w:rPr>
          <w:spacing w:val="36"/>
        </w:rPr>
        <w:t xml:space="preserve"> </w:t>
      </w:r>
      <w:r>
        <w:rPr>
          <w:spacing w:val="-1"/>
        </w:rPr>
        <w:t>consumables;</w:t>
      </w:r>
      <w:r>
        <w:t xml:space="preserve"> </w:t>
      </w:r>
      <w:r>
        <w:rPr>
          <w:spacing w:val="-1"/>
        </w:rPr>
        <w:t>and</w:t>
      </w:r>
    </w:p>
    <w:p w:rsidR="008918FA" w:rsidRDefault="008918FA" w:rsidP="008918FA">
      <w:pPr>
        <w:pStyle w:val="BodyText"/>
        <w:numPr>
          <w:ilvl w:val="3"/>
          <w:numId w:val="9"/>
        </w:numPr>
        <w:tabs>
          <w:tab w:val="left" w:pos="2734"/>
        </w:tabs>
        <w:ind w:right="114"/>
        <w:jc w:val="both"/>
      </w:pPr>
      <w:r>
        <w:rPr>
          <w:spacing w:val="-1"/>
        </w:rPr>
        <w:t>all</w:t>
      </w:r>
      <w:r>
        <w:rPr>
          <w:spacing w:val="24"/>
        </w:rPr>
        <w:t xml:space="preserve"> </w:t>
      </w:r>
      <w:r>
        <w:rPr>
          <w:spacing w:val="-1"/>
        </w:rPr>
        <w:t>Customer</w:t>
      </w:r>
      <w:r>
        <w:rPr>
          <w:spacing w:val="26"/>
        </w:rPr>
        <w:t xml:space="preserve"> </w:t>
      </w:r>
      <w:r>
        <w:rPr>
          <w:spacing w:val="-1"/>
        </w:rPr>
        <w:t>Property</w:t>
      </w:r>
      <w:r>
        <w:rPr>
          <w:spacing w:val="22"/>
        </w:rPr>
        <w:t xml:space="preserve"> </w:t>
      </w:r>
      <w:r>
        <w:rPr>
          <w:spacing w:val="-1"/>
        </w:rPr>
        <w:t>issued</w:t>
      </w:r>
      <w:r>
        <w:rPr>
          <w:spacing w:val="24"/>
        </w:rPr>
        <w:t xml:space="preserve"> </w:t>
      </w:r>
      <w:r>
        <w:t>to</w:t>
      </w:r>
      <w:r>
        <w:rPr>
          <w:spacing w:val="24"/>
        </w:rPr>
        <w:t xml:space="preserve"> </w:t>
      </w:r>
      <w:r>
        <w:t>the</w:t>
      </w:r>
      <w:r>
        <w:rPr>
          <w:spacing w:val="24"/>
        </w:rPr>
        <w:t xml:space="preserve"> </w:t>
      </w:r>
      <w:r>
        <w:rPr>
          <w:spacing w:val="-2"/>
        </w:rPr>
        <w:t>Supplier</w:t>
      </w:r>
      <w:r>
        <w:rPr>
          <w:spacing w:val="26"/>
        </w:rPr>
        <w:t xml:space="preserve"> </w:t>
      </w:r>
      <w:r>
        <w:rPr>
          <w:spacing w:val="-1"/>
        </w:rPr>
        <w:t>under</w:t>
      </w:r>
      <w:r>
        <w:rPr>
          <w:spacing w:val="26"/>
        </w:rPr>
        <w:t xml:space="preserve"> </w:t>
      </w:r>
      <w:r>
        <w:rPr>
          <w:spacing w:val="-2"/>
        </w:rPr>
        <w:t>Clause</w:t>
      </w:r>
      <w:r>
        <w:rPr>
          <w:spacing w:val="28"/>
        </w:rPr>
        <w:t xml:space="preserve"> </w:t>
      </w:r>
      <w:hyperlink w:anchor="_bookmark156" w:history="1">
        <w:r>
          <w:rPr>
            <w:spacing w:val="-1"/>
          </w:rPr>
          <w:t>31</w:t>
        </w:r>
      </w:hyperlink>
      <w:r>
        <w:rPr>
          <w:spacing w:val="48"/>
        </w:rPr>
        <w:t xml:space="preserve"> </w:t>
      </w:r>
      <w:r>
        <w:rPr>
          <w:spacing w:val="-2"/>
        </w:rPr>
        <w:t>of</w:t>
      </w:r>
      <w:r>
        <w:rPr>
          <w:spacing w:val="23"/>
        </w:rPr>
        <w:t xml:space="preserve"> </w:t>
      </w:r>
      <w:r>
        <w:rPr>
          <w:spacing w:val="-1"/>
        </w:rPr>
        <w:t>this</w:t>
      </w:r>
      <w:r>
        <w:rPr>
          <w:spacing w:val="20"/>
        </w:rPr>
        <w:t xml:space="preserve"> </w:t>
      </w:r>
      <w:r>
        <w:rPr>
          <w:spacing w:val="-2"/>
        </w:rPr>
        <w:t>Call</w:t>
      </w:r>
      <w:r>
        <w:rPr>
          <w:spacing w:val="19"/>
        </w:rPr>
        <w:t xml:space="preserve"> </w:t>
      </w:r>
      <w:r>
        <w:rPr>
          <w:spacing w:val="-1"/>
        </w:rPr>
        <w:t>Off</w:t>
      </w:r>
      <w:r>
        <w:rPr>
          <w:spacing w:val="23"/>
        </w:rPr>
        <w:t xml:space="preserve"> </w:t>
      </w:r>
      <w:r>
        <w:rPr>
          <w:spacing w:val="-2"/>
        </w:rPr>
        <w:t>Contract</w:t>
      </w:r>
      <w:r>
        <w:rPr>
          <w:spacing w:val="21"/>
        </w:rPr>
        <w:t xml:space="preserve"> </w:t>
      </w:r>
      <w:r>
        <w:rPr>
          <w:spacing w:val="-1"/>
        </w:rPr>
        <w:t>(Customer</w:t>
      </w:r>
      <w:r>
        <w:rPr>
          <w:spacing w:val="21"/>
        </w:rPr>
        <w:t xml:space="preserve"> </w:t>
      </w:r>
      <w:r>
        <w:rPr>
          <w:spacing w:val="-1"/>
        </w:rPr>
        <w:t>Property).</w:t>
      </w:r>
      <w:r>
        <w:rPr>
          <w:spacing w:val="42"/>
        </w:rPr>
        <w:t xml:space="preserve"> </w:t>
      </w:r>
      <w:r>
        <w:rPr>
          <w:spacing w:val="-2"/>
        </w:rPr>
        <w:t>Such</w:t>
      </w:r>
      <w:r>
        <w:rPr>
          <w:spacing w:val="20"/>
        </w:rPr>
        <w:t xml:space="preserve"> </w:t>
      </w:r>
      <w:r>
        <w:rPr>
          <w:spacing w:val="-1"/>
        </w:rPr>
        <w:t>Customer</w:t>
      </w:r>
      <w:r>
        <w:rPr>
          <w:spacing w:val="43"/>
        </w:rPr>
        <w:t xml:space="preserve"> </w:t>
      </w:r>
      <w:r>
        <w:rPr>
          <w:spacing w:val="-1"/>
        </w:rPr>
        <w:t>Property</w:t>
      </w:r>
      <w:r>
        <w:rPr>
          <w:spacing w:val="-2"/>
        </w:rPr>
        <w:t xml:space="preserve"> </w:t>
      </w:r>
      <w:r>
        <w:rPr>
          <w:spacing w:val="-1"/>
        </w:rPr>
        <w:t>shall</w:t>
      </w:r>
      <w:r>
        <w:t xml:space="preserve"> </w:t>
      </w:r>
      <w:r>
        <w:rPr>
          <w:spacing w:val="-1"/>
        </w:rPr>
        <w:t>be</w:t>
      </w:r>
      <w:r>
        <w:t xml:space="preserve"> </w:t>
      </w:r>
      <w:r>
        <w:rPr>
          <w:spacing w:val="-1"/>
        </w:rPr>
        <w:t>handed</w:t>
      </w:r>
      <w:r>
        <w:t xml:space="preserve"> </w:t>
      </w:r>
      <w:r>
        <w:rPr>
          <w:spacing w:val="-1"/>
        </w:rPr>
        <w:t>back</w:t>
      </w:r>
      <w:r>
        <w:rPr>
          <w:spacing w:val="1"/>
        </w:rPr>
        <w:t xml:space="preserve"> </w:t>
      </w:r>
      <w:r>
        <w:t xml:space="preserve">to the </w:t>
      </w:r>
      <w:r>
        <w:rPr>
          <w:spacing w:val="-2"/>
        </w:rPr>
        <w:t>Customer</w:t>
      </w:r>
      <w:r>
        <w:rPr>
          <w:spacing w:val="2"/>
        </w:rPr>
        <w:t xml:space="preserve"> </w:t>
      </w:r>
      <w:r>
        <w:rPr>
          <w:spacing w:val="-1"/>
        </w:rPr>
        <w:t>in</w:t>
      </w:r>
      <w:r>
        <w:t xml:space="preserve"> good </w:t>
      </w:r>
      <w:r>
        <w:rPr>
          <w:spacing w:val="-2"/>
        </w:rPr>
        <w:t>working</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spacing w:before="59"/>
        <w:ind w:left="2734" w:right="125" w:firstLine="0"/>
      </w:pPr>
      <w:r>
        <w:rPr>
          <w:spacing w:val="-1"/>
        </w:rPr>
        <w:t>order</w:t>
      </w:r>
      <w:r>
        <w:rPr>
          <w:spacing w:val="28"/>
        </w:rPr>
        <w:t xml:space="preserve"> </w:t>
      </w:r>
      <w:r>
        <w:rPr>
          <w:spacing w:val="-2"/>
        </w:rPr>
        <w:t>(allowance</w:t>
      </w:r>
      <w:r>
        <w:rPr>
          <w:spacing w:val="27"/>
        </w:rPr>
        <w:t xml:space="preserve"> </w:t>
      </w:r>
      <w:r>
        <w:rPr>
          <w:spacing w:val="-1"/>
        </w:rPr>
        <w:t>shall</w:t>
      </w:r>
      <w:r>
        <w:rPr>
          <w:spacing w:val="26"/>
        </w:rPr>
        <w:t xml:space="preserve"> </w:t>
      </w:r>
      <w:r>
        <w:rPr>
          <w:spacing w:val="1"/>
        </w:rPr>
        <w:t>be</w:t>
      </w:r>
      <w:r>
        <w:rPr>
          <w:spacing w:val="27"/>
        </w:rPr>
        <w:t xml:space="preserve"> </w:t>
      </w:r>
      <w:r>
        <w:rPr>
          <w:spacing w:val="-1"/>
        </w:rPr>
        <w:t>made</w:t>
      </w:r>
      <w:r>
        <w:rPr>
          <w:spacing w:val="27"/>
        </w:rPr>
        <w:t xml:space="preserve"> </w:t>
      </w:r>
      <w:r>
        <w:rPr>
          <w:spacing w:val="-1"/>
        </w:rPr>
        <w:t>only</w:t>
      </w:r>
      <w:r>
        <w:rPr>
          <w:spacing w:val="27"/>
        </w:rPr>
        <w:t xml:space="preserve"> </w:t>
      </w:r>
      <w:r>
        <w:t>for</w:t>
      </w:r>
      <w:r>
        <w:rPr>
          <w:spacing w:val="28"/>
        </w:rPr>
        <w:t xml:space="preserve"> </w:t>
      </w:r>
      <w:r>
        <w:rPr>
          <w:spacing w:val="-1"/>
        </w:rPr>
        <w:t>reasonable</w:t>
      </w:r>
      <w:r>
        <w:rPr>
          <w:spacing w:val="29"/>
        </w:rPr>
        <w:t xml:space="preserve"> </w:t>
      </w:r>
      <w:r>
        <w:rPr>
          <w:spacing w:val="-2"/>
        </w:rPr>
        <w:t>wear</w:t>
      </w:r>
      <w:r>
        <w:rPr>
          <w:spacing w:val="28"/>
        </w:rPr>
        <w:t xml:space="preserve"> </w:t>
      </w:r>
      <w:r>
        <w:rPr>
          <w:spacing w:val="-1"/>
        </w:rPr>
        <w:t>and</w:t>
      </w:r>
      <w:r>
        <w:rPr>
          <w:spacing w:val="44"/>
        </w:rPr>
        <w:t xml:space="preserve"> </w:t>
      </w:r>
      <w:r>
        <w:rPr>
          <w:spacing w:val="-1"/>
        </w:rPr>
        <w:t>tear);</w:t>
      </w:r>
    </w:p>
    <w:p w:rsidR="008918FA" w:rsidRDefault="008918FA" w:rsidP="008918FA">
      <w:pPr>
        <w:pStyle w:val="BodyText"/>
        <w:numPr>
          <w:ilvl w:val="3"/>
          <w:numId w:val="9"/>
        </w:numPr>
        <w:tabs>
          <w:tab w:val="left" w:pos="2735"/>
        </w:tabs>
        <w:spacing w:before="121"/>
        <w:ind w:left="2734" w:right="113"/>
        <w:jc w:val="both"/>
      </w:pPr>
      <w:r>
        <w:rPr>
          <w:spacing w:val="-1"/>
        </w:rPr>
        <w:t>any</w:t>
      </w:r>
      <w:r>
        <w:rPr>
          <w:spacing w:val="13"/>
        </w:rPr>
        <w:t xml:space="preserve"> </w:t>
      </w:r>
      <w:r>
        <w:rPr>
          <w:spacing w:val="-1"/>
        </w:rPr>
        <w:t>sums</w:t>
      </w:r>
      <w:r>
        <w:rPr>
          <w:spacing w:val="15"/>
        </w:rPr>
        <w:t xml:space="preserve"> </w:t>
      </w:r>
      <w:r>
        <w:rPr>
          <w:spacing w:val="-1"/>
        </w:rPr>
        <w:t>prepaid</w:t>
      </w:r>
      <w:r>
        <w:rPr>
          <w:spacing w:val="15"/>
        </w:rPr>
        <w:t xml:space="preserve"> </w:t>
      </w:r>
      <w:r>
        <w:rPr>
          <w:spacing w:val="-1"/>
        </w:rPr>
        <w:t>by</w:t>
      </w:r>
      <w:r>
        <w:rPr>
          <w:spacing w:val="13"/>
        </w:rPr>
        <w:t xml:space="preserve"> </w:t>
      </w:r>
      <w:r>
        <w:rPr>
          <w:spacing w:val="-1"/>
        </w:rPr>
        <w:t>the</w:t>
      </w:r>
      <w:r>
        <w:rPr>
          <w:spacing w:val="15"/>
        </w:rPr>
        <w:t xml:space="preserve"> </w:t>
      </w:r>
      <w:r>
        <w:rPr>
          <w:spacing w:val="-1"/>
        </w:rPr>
        <w:t>Customer</w:t>
      </w:r>
      <w:r>
        <w:rPr>
          <w:spacing w:val="16"/>
        </w:rPr>
        <w:t xml:space="preserve"> </w:t>
      </w:r>
      <w:r>
        <w:rPr>
          <w:spacing w:val="-1"/>
        </w:rPr>
        <w:t>in</w:t>
      </w:r>
      <w:r>
        <w:rPr>
          <w:spacing w:val="12"/>
        </w:rPr>
        <w:t xml:space="preserve"> </w:t>
      </w:r>
      <w:r>
        <w:rPr>
          <w:spacing w:val="-1"/>
        </w:rPr>
        <w:t>respect</w:t>
      </w:r>
      <w:r>
        <w:rPr>
          <w:spacing w:val="16"/>
        </w:rPr>
        <w:t xml:space="preserve"> </w:t>
      </w:r>
      <w:r>
        <w:rPr>
          <w:spacing w:val="-2"/>
        </w:rPr>
        <w:t>of</w:t>
      </w:r>
      <w:r>
        <w:rPr>
          <w:spacing w:val="15"/>
        </w:rPr>
        <w:t xml:space="preserve"> </w:t>
      </w:r>
      <w:r>
        <w:rPr>
          <w:spacing w:val="-1"/>
        </w:rPr>
        <w:t>Goods</w:t>
      </w:r>
      <w:r>
        <w:rPr>
          <w:spacing w:val="15"/>
        </w:rPr>
        <w:t xml:space="preserve"> </w:t>
      </w:r>
      <w:r>
        <w:rPr>
          <w:spacing w:val="-1"/>
        </w:rPr>
        <w:t>and/or</w:t>
      </w:r>
      <w:r>
        <w:rPr>
          <w:spacing w:val="26"/>
        </w:rPr>
        <w:t xml:space="preserve"> </w:t>
      </w:r>
      <w:r>
        <w:rPr>
          <w:spacing w:val="-1"/>
        </w:rPr>
        <w:t>Services</w:t>
      </w:r>
      <w:r>
        <w:rPr>
          <w:spacing w:val="1"/>
        </w:rPr>
        <w:t xml:space="preserve"> </w:t>
      </w:r>
      <w:r>
        <w:rPr>
          <w:spacing w:val="-1"/>
        </w:rPr>
        <w:t>not</w:t>
      </w:r>
      <w:r>
        <w:rPr>
          <w:spacing w:val="2"/>
        </w:rPr>
        <w:t xml:space="preserve"> </w:t>
      </w:r>
      <w:r>
        <w:rPr>
          <w:spacing w:val="-2"/>
        </w:rPr>
        <w:t>Delivered</w:t>
      </w:r>
      <w:r>
        <w:t xml:space="preserve"> </w:t>
      </w:r>
      <w:r>
        <w:rPr>
          <w:spacing w:val="-1"/>
        </w:rPr>
        <w:t>by</w:t>
      </w:r>
      <w:r>
        <w:rPr>
          <w:spacing w:val="-2"/>
        </w:rPr>
        <w:t xml:space="preserve"> </w:t>
      </w:r>
      <w:r>
        <w:t xml:space="preserve">the </w:t>
      </w:r>
      <w:r>
        <w:rPr>
          <w:spacing w:val="-2"/>
        </w:rPr>
        <w:t>Call</w:t>
      </w:r>
      <w:r>
        <w:t xml:space="preserve"> </w:t>
      </w:r>
      <w:r>
        <w:rPr>
          <w:spacing w:val="-1"/>
        </w:rPr>
        <w:t>Off</w:t>
      </w:r>
      <w:r>
        <w:t xml:space="preserve"> </w:t>
      </w:r>
      <w:r>
        <w:rPr>
          <w:spacing w:val="-2"/>
        </w:rPr>
        <w:t xml:space="preserve">Expiry </w:t>
      </w:r>
      <w:r>
        <w:rPr>
          <w:spacing w:val="-1"/>
        </w:rPr>
        <w:t>Date;</w:t>
      </w:r>
    </w:p>
    <w:p w:rsidR="008918FA" w:rsidRDefault="008918FA" w:rsidP="008918FA">
      <w:pPr>
        <w:pStyle w:val="BodyText"/>
        <w:numPr>
          <w:ilvl w:val="2"/>
          <w:numId w:val="9"/>
        </w:numPr>
        <w:tabs>
          <w:tab w:val="left" w:pos="2027"/>
        </w:tabs>
        <w:spacing w:before="121"/>
        <w:ind w:left="2026"/>
      </w:pPr>
      <w:r>
        <w:rPr>
          <w:spacing w:val="-1"/>
        </w:rPr>
        <w:t>vacate</w:t>
      </w:r>
      <w:r>
        <w:t xml:space="preserve"> </w:t>
      </w:r>
      <w:r>
        <w:rPr>
          <w:spacing w:val="-1"/>
        </w:rPr>
        <w:t>any</w:t>
      </w:r>
      <w:r>
        <w:rPr>
          <w:spacing w:val="-2"/>
        </w:rPr>
        <w:t xml:space="preserve"> </w:t>
      </w:r>
      <w:r>
        <w:rPr>
          <w:spacing w:val="-1"/>
        </w:rPr>
        <w:t>Customer</w:t>
      </w:r>
      <w:r>
        <w:rPr>
          <w:spacing w:val="2"/>
        </w:rPr>
        <w:t xml:space="preserve"> </w:t>
      </w:r>
      <w:r>
        <w:rPr>
          <w:spacing w:val="-2"/>
        </w:rPr>
        <w:t>Premises;</w:t>
      </w:r>
    </w:p>
    <w:p w:rsidR="008918FA" w:rsidRDefault="008918FA" w:rsidP="008918FA">
      <w:pPr>
        <w:pStyle w:val="BodyText"/>
        <w:numPr>
          <w:ilvl w:val="2"/>
          <w:numId w:val="9"/>
        </w:numPr>
        <w:tabs>
          <w:tab w:val="left" w:pos="2027"/>
        </w:tabs>
        <w:ind w:left="2026" w:right="114"/>
        <w:jc w:val="both"/>
      </w:pPr>
      <w:r>
        <w:rPr>
          <w:spacing w:val="-1"/>
        </w:rPr>
        <w:t>remove</w:t>
      </w:r>
      <w:r>
        <w:rPr>
          <w:spacing w:val="5"/>
        </w:rPr>
        <w:t xml:space="preserve"> </w:t>
      </w:r>
      <w:r>
        <w:t>the</w:t>
      </w:r>
      <w:r>
        <w:rPr>
          <w:spacing w:val="5"/>
        </w:rPr>
        <w:t xml:space="preserve"> </w:t>
      </w:r>
      <w:r>
        <w:rPr>
          <w:spacing w:val="-2"/>
        </w:rPr>
        <w:t>Supplier</w:t>
      </w:r>
      <w:r>
        <w:rPr>
          <w:spacing w:val="6"/>
        </w:rPr>
        <w:t xml:space="preserve"> </w:t>
      </w:r>
      <w:r>
        <w:rPr>
          <w:spacing w:val="-2"/>
        </w:rPr>
        <w:t>Equipment</w:t>
      </w:r>
      <w:r>
        <w:rPr>
          <w:spacing w:val="4"/>
        </w:rPr>
        <w:t xml:space="preserve"> </w:t>
      </w:r>
      <w:r>
        <w:rPr>
          <w:spacing w:val="-1"/>
        </w:rPr>
        <w:t>together</w:t>
      </w:r>
      <w:r>
        <w:rPr>
          <w:spacing w:val="6"/>
        </w:rPr>
        <w:t xml:space="preserve"> </w:t>
      </w:r>
      <w:r>
        <w:rPr>
          <w:spacing w:val="-2"/>
        </w:rPr>
        <w:t>with</w:t>
      </w:r>
      <w:r>
        <w:rPr>
          <w:spacing w:val="5"/>
        </w:rPr>
        <w:t xml:space="preserve"> </w:t>
      </w:r>
      <w:r>
        <w:rPr>
          <w:spacing w:val="-1"/>
        </w:rPr>
        <w:t>any</w:t>
      </w:r>
      <w:r>
        <w:rPr>
          <w:spacing w:val="5"/>
        </w:rPr>
        <w:t xml:space="preserve"> </w:t>
      </w:r>
      <w:r>
        <w:rPr>
          <w:spacing w:val="-1"/>
        </w:rPr>
        <w:t>other</w:t>
      </w:r>
      <w:r>
        <w:rPr>
          <w:spacing w:val="4"/>
        </w:rPr>
        <w:t xml:space="preserve"> </w:t>
      </w:r>
      <w:r>
        <w:rPr>
          <w:spacing w:val="-1"/>
        </w:rPr>
        <w:t>materials</w:t>
      </w:r>
      <w:r>
        <w:rPr>
          <w:spacing w:val="5"/>
        </w:rPr>
        <w:t xml:space="preserve"> </w:t>
      </w:r>
      <w:r>
        <w:rPr>
          <w:spacing w:val="-1"/>
        </w:rPr>
        <w:t>used</w:t>
      </w:r>
      <w:r>
        <w:rPr>
          <w:spacing w:val="61"/>
        </w:rPr>
        <w:t xml:space="preserve"> </w:t>
      </w:r>
      <w:r>
        <w:rPr>
          <w:spacing w:val="-1"/>
        </w:rPr>
        <w:t>by</w:t>
      </w:r>
      <w:r>
        <w:rPr>
          <w:spacing w:val="27"/>
        </w:rPr>
        <w:t xml:space="preserve"> </w:t>
      </w:r>
      <w:r>
        <w:t>the</w:t>
      </w:r>
      <w:r>
        <w:rPr>
          <w:spacing w:val="29"/>
        </w:rPr>
        <w:t xml:space="preserve"> </w:t>
      </w:r>
      <w:r>
        <w:rPr>
          <w:spacing w:val="-2"/>
        </w:rPr>
        <w:t>Supplier</w:t>
      </w:r>
      <w:r>
        <w:rPr>
          <w:spacing w:val="30"/>
        </w:rPr>
        <w:t xml:space="preserve"> </w:t>
      </w:r>
      <w:r>
        <w:t>to</w:t>
      </w:r>
      <w:r>
        <w:rPr>
          <w:spacing w:val="27"/>
        </w:rPr>
        <w:t xml:space="preserve"> </w:t>
      </w:r>
      <w:r>
        <w:rPr>
          <w:spacing w:val="-2"/>
        </w:rPr>
        <w:t>supply</w:t>
      </w:r>
      <w:r>
        <w:rPr>
          <w:spacing w:val="27"/>
        </w:rPr>
        <w:t xml:space="preserve"> </w:t>
      </w:r>
      <w:r>
        <w:t>the</w:t>
      </w:r>
      <w:r>
        <w:rPr>
          <w:spacing w:val="29"/>
        </w:rPr>
        <w:t xml:space="preserve"> </w:t>
      </w:r>
      <w:r>
        <w:rPr>
          <w:spacing w:val="-1"/>
        </w:rPr>
        <w:t>Goods</w:t>
      </w:r>
      <w:r>
        <w:rPr>
          <w:spacing w:val="30"/>
        </w:rPr>
        <w:t xml:space="preserve"> </w:t>
      </w:r>
      <w:r>
        <w:rPr>
          <w:spacing w:val="-1"/>
        </w:rPr>
        <w:t>and/or</w:t>
      </w:r>
      <w:r>
        <w:rPr>
          <w:spacing w:val="30"/>
        </w:rPr>
        <w:t xml:space="preserve"> </w:t>
      </w:r>
      <w:r>
        <w:rPr>
          <w:spacing w:val="-2"/>
        </w:rPr>
        <w:t>Services</w:t>
      </w:r>
      <w:r>
        <w:rPr>
          <w:spacing w:val="30"/>
        </w:rPr>
        <w:t xml:space="preserve"> </w:t>
      </w:r>
      <w:r>
        <w:rPr>
          <w:spacing w:val="-1"/>
        </w:rPr>
        <w:t>and</w:t>
      </w:r>
      <w:r>
        <w:rPr>
          <w:spacing w:val="29"/>
        </w:rPr>
        <w:t xml:space="preserve"> </w:t>
      </w:r>
      <w:r>
        <w:rPr>
          <w:spacing w:val="-1"/>
        </w:rPr>
        <w:t>shall</w:t>
      </w:r>
      <w:r>
        <w:rPr>
          <w:spacing w:val="28"/>
        </w:rPr>
        <w:t xml:space="preserve"> </w:t>
      </w:r>
      <w:r>
        <w:rPr>
          <w:spacing w:val="-2"/>
        </w:rPr>
        <w:t>leave</w:t>
      </w:r>
      <w:r>
        <w:rPr>
          <w:spacing w:val="54"/>
        </w:rPr>
        <w:t xml:space="preserve"> </w:t>
      </w:r>
      <w:r>
        <w:t>the</w:t>
      </w:r>
      <w:r>
        <w:rPr>
          <w:spacing w:val="43"/>
        </w:rPr>
        <w:t xml:space="preserve"> </w:t>
      </w:r>
      <w:r>
        <w:rPr>
          <w:spacing w:val="-1"/>
        </w:rPr>
        <w:t>Sites</w:t>
      </w:r>
      <w:r>
        <w:rPr>
          <w:spacing w:val="44"/>
        </w:rPr>
        <w:t xml:space="preserve"> </w:t>
      </w:r>
      <w:r>
        <w:rPr>
          <w:spacing w:val="-1"/>
        </w:rPr>
        <w:t>in</w:t>
      </w:r>
      <w:r>
        <w:rPr>
          <w:spacing w:val="43"/>
        </w:rPr>
        <w:t xml:space="preserve"> </w:t>
      </w:r>
      <w:r>
        <w:t>a</w:t>
      </w:r>
      <w:r>
        <w:rPr>
          <w:spacing w:val="43"/>
        </w:rPr>
        <w:t xml:space="preserve"> </w:t>
      </w:r>
      <w:r>
        <w:rPr>
          <w:spacing w:val="-1"/>
        </w:rPr>
        <w:t>clean,</w:t>
      </w:r>
      <w:r>
        <w:rPr>
          <w:spacing w:val="45"/>
        </w:rPr>
        <w:t xml:space="preserve"> </w:t>
      </w:r>
      <w:r>
        <w:t>safe</w:t>
      </w:r>
      <w:r>
        <w:rPr>
          <w:spacing w:val="43"/>
        </w:rPr>
        <w:t xml:space="preserve"> </w:t>
      </w:r>
      <w:r>
        <w:rPr>
          <w:spacing w:val="-1"/>
        </w:rPr>
        <w:t>and</w:t>
      </w:r>
      <w:r>
        <w:rPr>
          <w:spacing w:val="44"/>
        </w:rPr>
        <w:t xml:space="preserve"> </w:t>
      </w:r>
      <w:r>
        <w:rPr>
          <w:spacing w:val="-1"/>
        </w:rPr>
        <w:t>tidy</w:t>
      </w:r>
      <w:r>
        <w:rPr>
          <w:spacing w:val="41"/>
        </w:rPr>
        <w:t xml:space="preserve"> </w:t>
      </w:r>
      <w:r>
        <w:rPr>
          <w:spacing w:val="-1"/>
        </w:rPr>
        <w:t>condition.</w:t>
      </w:r>
      <w:r>
        <w:rPr>
          <w:spacing w:val="45"/>
        </w:rPr>
        <w:t xml:space="preserve"> </w:t>
      </w:r>
      <w:r>
        <w:rPr>
          <w:spacing w:val="-1"/>
        </w:rPr>
        <w:t>The</w:t>
      </w:r>
      <w:r>
        <w:rPr>
          <w:spacing w:val="43"/>
        </w:rPr>
        <w:t xml:space="preserve"> </w:t>
      </w:r>
      <w:r>
        <w:rPr>
          <w:spacing w:val="-2"/>
        </w:rPr>
        <w:t>Supplier</w:t>
      </w:r>
      <w:r>
        <w:rPr>
          <w:spacing w:val="45"/>
        </w:rPr>
        <w:t xml:space="preserve"> </w:t>
      </w:r>
      <w:r>
        <w:rPr>
          <w:spacing w:val="-1"/>
        </w:rPr>
        <w:t>is</w:t>
      </w:r>
      <w:r>
        <w:rPr>
          <w:spacing w:val="44"/>
        </w:rPr>
        <w:t xml:space="preserve"> </w:t>
      </w:r>
      <w:r>
        <w:t>solely</w:t>
      </w:r>
      <w:r>
        <w:rPr>
          <w:spacing w:val="33"/>
        </w:rPr>
        <w:t xml:space="preserve"> </w:t>
      </w:r>
      <w:r>
        <w:rPr>
          <w:spacing w:val="-1"/>
        </w:rPr>
        <w:t>responsible</w:t>
      </w:r>
      <w:r>
        <w:rPr>
          <w:spacing w:val="24"/>
        </w:rPr>
        <w:t xml:space="preserve"> </w:t>
      </w:r>
      <w:r>
        <w:t>for</w:t>
      </w:r>
      <w:r>
        <w:rPr>
          <w:spacing w:val="26"/>
        </w:rPr>
        <w:t xml:space="preserve"> </w:t>
      </w:r>
      <w:r>
        <w:rPr>
          <w:spacing w:val="-1"/>
        </w:rPr>
        <w:t>making</w:t>
      </w:r>
      <w:r>
        <w:rPr>
          <w:spacing w:val="24"/>
        </w:rPr>
        <w:t xml:space="preserve"> </w:t>
      </w:r>
      <w:r>
        <w:t>good</w:t>
      </w:r>
      <w:r>
        <w:rPr>
          <w:spacing w:val="27"/>
        </w:rPr>
        <w:t xml:space="preserve"> </w:t>
      </w:r>
      <w:r>
        <w:rPr>
          <w:spacing w:val="-1"/>
        </w:rPr>
        <w:t>any</w:t>
      </w:r>
      <w:r>
        <w:rPr>
          <w:spacing w:val="25"/>
        </w:rPr>
        <w:t xml:space="preserve"> </w:t>
      </w:r>
      <w:r>
        <w:rPr>
          <w:spacing w:val="-1"/>
        </w:rPr>
        <w:t>damage</w:t>
      </w:r>
      <w:r>
        <w:rPr>
          <w:spacing w:val="24"/>
        </w:rPr>
        <w:t xml:space="preserve"> </w:t>
      </w:r>
      <w:r>
        <w:t>to</w:t>
      </w:r>
      <w:r>
        <w:rPr>
          <w:spacing w:val="24"/>
        </w:rPr>
        <w:t xml:space="preserve"> </w:t>
      </w:r>
      <w:r>
        <w:rPr>
          <w:spacing w:val="-1"/>
        </w:rPr>
        <w:t>the</w:t>
      </w:r>
      <w:r>
        <w:rPr>
          <w:spacing w:val="27"/>
        </w:rPr>
        <w:t xml:space="preserve"> </w:t>
      </w:r>
      <w:r>
        <w:rPr>
          <w:spacing w:val="-1"/>
        </w:rPr>
        <w:t>Sites</w:t>
      </w:r>
      <w:r>
        <w:rPr>
          <w:spacing w:val="27"/>
        </w:rPr>
        <w:t xml:space="preserve"> </w:t>
      </w:r>
      <w:r>
        <w:rPr>
          <w:spacing w:val="-1"/>
        </w:rPr>
        <w:t>or</w:t>
      </w:r>
      <w:r>
        <w:rPr>
          <w:spacing w:val="26"/>
        </w:rPr>
        <w:t xml:space="preserve"> </w:t>
      </w:r>
      <w:r>
        <w:rPr>
          <w:spacing w:val="-1"/>
        </w:rPr>
        <w:t>any</w:t>
      </w:r>
      <w:r>
        <w:rPr>
          <w:spacing w:val="25"/>
        </w:rPr>
        <w:t xml:space="preserve"> </w:t>
      </w:r>
      <w:r>
        <w:rPr>
          <w:spacing w:val="-1"/>
        </w:rPr>
        <w:t>objects</w:t>
      </w:r>
      <w:r>
        <w:rPr>
          <w:spacing w:val="31"/>
        </w:rPr>
        <w:t xml:space="preserve"> </w:t>
      </w:r>
      <w:r>
        <w:rPr>
          <w:spacing w:val="-1"/>
        </w:rPr>
        <w:t>contained</w:t>
      </w:r>
      <w:r>
        <w:rPr>
          <w:spacing w:val="27"/>
        </w:rPr>
        <w:t xml:space="preserve"> </w:t>
      </w:r>
      <w:r>
        <w:rPr>
          <w:spacing w:val="-1"/>
        </w:rPr>
        <w:t>thereon,</w:t>
      </w:r>
      <w:r>
        <w:rPr>
          <w:spacing w:val="28"/>
        </w:rPr>
        <w:t xml:space="preserve"> </w:t>
      </w:r>
      <w:r>
        <w:rPr>
          <w:spacing w:val="-1"/>
        </w:rPr>
        <w:t>other</w:t>
      </w:r>
      <w:r>
        <w:rPr>
          <w:spacing w:val="26"/>
        </w:rPr>
        <w:t xml:space="preserve"> </w:t>
      </w:r>
      <w:r>
        <w:rPr>
          <w:spacing w:val="-1"/>
        </w:rPr>
        <w:t>than</w:t>
      </w:r>
      <w:r>
        <w:rPr>
          <w:spacing w:val="24"/>
        </w:rPr>
        <w:t xml:space="preserve"> </w:t>
      </w:r>
      <w:r>
        <w:t>fair</w:t>
      </w:r>
      <w:r>
        <w:rPr>
          <w:spacing w:val="28"/>
        </w:rPr>
        <w:t xml:space="preserve"> </w:t>
      </w:r>
      <w:r>
        <w:rPr>
          <w:spacing w:val="-2"/>
        </w:rPr>
        <w:t>wear</w:t>
      </w:r>
      <w:r>
        <w:rPr>
          <w:spacing w:val="28"/>
        </w:rPr>
        <w:t xml:space="preserve"> </w:t>
      </w:r>
      <w:r>
        <w:rPr>
          <w:spacing w:val="-1"/>
        </w:rPr>
        <w:t>and</w:t>
      </w:r>
      <w:r>
        <w:rPr>
          <w:spacing w:val="27"/>
        </w:rPr>
        <w:t xml:space="preserve"> </w:t>
      </w:r>
      <w:r>
        <w:rPr>
          <w:spacing w:val="-1"/>
        </w:rPr>
        <w:t>tear,</w:t>
      </w:r>
      <w:r>
        <w:rPr>
          <w:spacing w:val="28"/>
        </w:rPr>
        <w:t xml:space="preserve"> </w:t>
      </w:r>
      <w:r>
        <w:rPr>
          <w:spacing w:val="-2"/>
        </w:rPr>
        <w:t>which</w:t>
      </w:r>
      <w:r>
        <w:rPr>
          <w:spacing w:val="27"/>
        </w:rPr>
        <w:t xml:space="preserve"> </w:t>
      </w:r>
      <w:r>
        <w:rPr>
          <w:spacing w:val="-1"/>
        </w:rPr>
        <w:t>is</w:t>
      </w:r>
      <w:r>
        <w:rPr>
          <w:spacing w:val="27"/>
        </w:rPr>
        <w:t xml:space="preserve"> </w:t>
      </w:r>
      <w:r>
        <w:rPr>
          <w:spacing w:val="-1"/>
        </w:rPr>
        <w:t>caused</w:t>
      </w:r>
      <w:r>
        <w:rPr>
          <w:spacing w:val="27"/>
        </w:rPr>
        <w:t xml:space="preserve"> </w:t>
      </w:r>
      <w:r>
        <w:rPr>
          <w:spacing w:val="1"/>
        </w:rPr>
        <w:t>by</w:t>
      </w:r>
      <w:r>
        <w:rPr>
          <w:spacing w:val="39"/>
        </w:rPr>
        <w:t xml:space="preserve"> </w:t>
      </w:r>
      <w:r>
        <w:t xml:space="preserve">the </w:t>
      </w:r>
      <w:r>
        <w:rPr>
          <w:spacing w:val="-1"/>
        </w:rPr>
        <w:t>Supplier</w:t>
      </w:r>
      <w:r>
        <w:rPr>
          <w:spacing w:val="2"/>
        </w:rPr>
        <w:t xml:space="preserve"> </w:t>
      </w:r>
      <w:r>
        <w:rPr>
          <w:spacing w:val="-1"/>
        </w:rPr>
        <w:t>and/or any</w:t>
      </w:r>
      <w:r>
        <w:rPr>
          <w:spacing w:val="-4"/>
        </w:rPr>
        <w:t xml:space="preserve"> </w:t>
      </w:r>
      <w:r>
        <w:rPr>
          <w:spacing w:val="-2"/>
        </w:rPr>
        <w:t>Supplier</w:t>
      </w:r>
      <w:r>
        <w:rPr>
          <w:spacing w:val="2"/>
        </w:rPr>
        <w:t xml:space="preserve"> </w:t>
      </w:r>
      <w:r>
        <w:rPr>
          <w:spacing w:val="-1"/>
        </w:rPr>
        <w:t>Personnel;</w:t>
      </w:r>
    </w:p>
    <w:p w:rsidR="008918FA" w:rsidRDefault="008918FA" w:rsidP="008918FA">
      <w:pPr>
        <w:pStyle w:val="BodyText"/>
        <w:numPr>
          <w:ilvl w:val="2"/>
          <w:numId w:val="9"/>
        </w:numPr>
        <w:tabs>
          <w:tab w:val="left" w:pos="2027"/>
        </w:tabs>
        <w:ind w:left="2026" w:right="114"/>
        <w:jc w:val="both"/>
      </w:pPr>
      <w:r>
        <w:rPr>
          <w:spacing w:val="-2"/>
        </w:rPr>
        <w:t>provide</w:t>
      </w:r>
      <w:r>
        <w:rPr>
          <w:spacing w:val="34"/>
        </w:rPr>
        <w:t xml:space="preserve"> </w:t>
      </w:r>
      <w:r>
        <w:rPr>
          <w:spacing w:val="-1"/>
        </w:rPr>
        <w:t>access</w:t>
      </w:r>
      <w:r>
        <w:rPr>
          <w:spacing w:val="35"/>
        </w:rPr>
        <w:t xml:space="preserve"> </w:t>
      </w:r>
      <w:r>
        <w:rPr>
          <w:spacing w:val="-2"/>
        </w:rPr>
        <w:t>during</w:t>
      </w:r>
      <w:r>
        <w:rPr>
          <w:spacing w:val="36"/>
        </w:rPr>
        <w:t xml:space="preserve"> </w:t>
      </w:r>
      <w:r>
        <w:rPr>
          <w:spacing w:val="-1"/>
        </w:rPr>
        <w:t>normal</w:t>
      </w:r>
      <w:r>
        <w:rPr>
          <w:spacing w:val="33"/>
        </w:rPr>
        <w:t xml:space="preserve"> </w:t>
      </w:r>
      <w:r>
        <w:rPr>
          <w:spacing w:val="-2"/>
        </w:rPr>
        <w:t>working</w:t>
      </w:r>
      <w:r>
        <w:rPr>
          <w:spacing w:val="36"/>
        </w:rPr>
        <w:t xml:space="preserve"> </w:t>
      </w:r>
      <w:r>
        <w:rPr>
          <w:spacing w:val="-1"/>
        </w:rPr>
        <w:t>hours</w:t>
      </w:r>
      <w:r>
        <w:rPr>
          <w:spacing w:val="32"/>
        </w:rPr>
        <w:t xml:space="preserve"> </w:t>
      </w:r>
      <w:r>
        <w:t>to</w:t>
      </w:r>
      <w:r>
        <w:rPr>
          <w:spacing w:val="32"/>
        </w:rPr>
        <w:t xml:space="preserve"> </w:t>
      </w:r>
      <w:r>
        <w:t>the</w:t>
      </w:r>
      <w:r>
        <w:rPr>
          <w:spacing w:val="34"/>
        </w:rPr>
        <w:t xml:space="preserve"> </w:t>
      </w:r>
      <w:r>
        <w:rPr>
          <w:spacing w:val="-1"/>
        </w:rPr>
        <w:t>Customer</w:t>
      </w:r>
      <w:r>
        <w:rPr>
          <w:spacing w:val="33"/>
        </w:rPr>
        <w:t xml:space="preserve"> </w:t>
      </w:r>
      <w:r>
        <w:rPr>
          <w:spacing w:val="-1"/>
        </w:rPr>
        <w:t>and/or</w:t>
      </w:r>
      <w:r>
        <w:rPr>
          <w:spacing w:val="47"/>
        </w:rPr>
        <w:t xml:space="preserve"> </w:t>
      </w:r>
      <w:r>
        <w:t>the</w:t>
      </w:r>
      <w:r>
        <w:rPr>
          <w:spacing w:val="17"/>
        </w:rPr>
        <w:t xml:space="preserve"> </w:t>
      </w:r>
      <w:r>
        <w:rPr>
          <w:spacing w:val="-1"/>
        </w:rPr>
        <w:t>Replacement</w:t>
      </w:r>
      <w:r>
        <w:rPr>
          <w:spacing w:val="16"/>
        </w:rPr>
        <w:t xml:space="preserve"> </w:t>
      </w:r>
      <w:r>
        <w:rPr>
          <w:spacing w:val="-2"/>
        </w:rPr>
        <w:t>Supplier</w:t>
      </w:r>
      <w:r>
        <w:rPr>
          <w:spacing w:val="16"/>
        </w:rPr>
        <w:t xml:space="preserve"> </w:t>
      </w:r>
      <w:r>
        <w:t>for</w:t>
      </w:r>
      <w:r>
        <w:rPr>
          <w:spacing w:val="19"/>
        </w:rPr>
        <w:t xml:space="preserve"> </w:t>
      </w:r>
      <w:r>
        <w:rPr>
          <w:spacing w:val="-1"/>
        </w:rPr>
        <w:t>up</w:t>
      </w:r>
      <w:r>
        <w:rPr>
          <w:spacing w:val="17"/>
        </w:rPr>
        <w:t xml:space="preserve"> </w:t>
      </w:r>
      <w:r>
        <w:t>to</w:t>
      </w:r>
      <w:r>
        <w:rPr>
          <w:spacing w:val="16"/>
        </w:rPr>
        <w:t xml:space="preserve"> </w:t>
      </w:r>
      <w:r>
        <w:rPr>
          <w:spacing w:val="-1"/>
        </w:rPr>
        <w:t>twelve</w:t>
      </w:r>
      <w:r>
        <w:rPr>
          <w:spacing w:val="17"/>
        </w:rPr>
        <w:t xml:space="preserve"> </w:t>
      </w:r>
      <w:r>
        <w:rPr>
          <w:spacing w:val="-1"/>
        </w:rPr>
        <w:t>(12)</w:t>
      </w:r>
      <w:r>
        <w:rPr>
          <w:spacing w:val="19"/>
        </w:rPr>
        <w:t xml:space="preserve"> </w:t>
      </w:r>
      <w:r>
        <w:rPr>
          <w:spacing w:val="-1"/>
        </w:rPr>
        <w:t>months</w:t>
      </w:r>
      <w:r>
        <w:rPr>
          <w:spacing w:val="18"/>
        </w:rPr>
        <w:t xml:space="preserve"> </w:t>
      </w:r>
      <w:r>
        <w:rPr>
          <w:spacing w:val="-1"/>
        </w:rPr>
        <w:t>after</w:t>
      </w:r>
      <w:r>
        <w:rPr>
          <w:spacing w:val="19"/>
        </w:rPr>
        <w:t xml:space="preserve"> </w:t>
      </w:r>
      <w:r>
        <w:rPr>
          <w:spacing w:val="-2"/>
        </w:rPr>
        <w:t>expiry</w:t>
      </w:r>
      <w:r>
        <w:rPr>
          <w:spacing w:val="15"/>
        </w:rPr>
        <w:t xml:space="preserve"> </w:t>
      </w:r>
      <w:r>
        <w:rPr>
          <w:spacing w:val="-1"/>
        </w:rPr>
        <w:t>or</w:t>
      </w:r>
      <w:r>
        <w:rPr>
          <w:spacing w:val="44"/>
        </w:rPr>
        <w:t xml:space="preserve"> </w:t>
      </w:r>
      <w:r>
        <w:rPr>
          <w:spacing w:val="-1"/>
        </w:rPr>
        <w:t>termination</w:t>
      </w:r>
      <w:r>
        <w:rPr>
          <w:spacing w:val="-2"/>
        </w:rPr>
        <w:t xml:space="preserve"> </w:t>
      </w:r>
      <w:r>
        <w:rPr>
          <w:spacing w:val="-1"/>
        </w:rPr>
        <w:t>to:</w:t>
      </w:r>
    </w:p>
    <w:p w:rsidR="008918FA" w:rsidRDefault="008918FA" w:rsidP="008918FA">
      <w:pPr>
        <w:pStyle w:val="BodyText"/>
        <w:numPr>
          <w:ilvl w:val="3"/>
          <w:numId w:val="9"/>
        </w:numPr>
        <w:tabs>
          <w:tab w:val="left" w:pos="2735"/>
        </w:tabs>
        <w:spacing w:before="121"/>
        <w:ind w:left="2734" w:right="117"/>
        <w:jc w:val="both"/>
      </w:pPr>
      <w:r>
        <w:rPr>
          <w:spacing w:val="-1"/>
        </w:rPr>
        <w:t>such</w:t>
      </w:r>
      <w:r>
        <w:rPr>
          <w:spacing w:val="14"/>
        </w:rPr>
        <w:t xml:space="preserve"> </w:t>
      </w:r>
      <w:r>
        <w:rPr>
          <w:spacing w:val="-1"/>
        </w:rPr>
        <w:t>information</w:t>
      </w:r>
      <w:r>
        <w:rPr>
          <w:spacing w:val="14"/>
        </w:rPr>
        <w:t xml:space="preserve"> </w:t>
      </w:r>
      <w:r>
        <w:rPr>
          <w:spacing w:val="-1"/>
        </w:rPr>
        <w:t>relating</w:t>
      </w:r>
      <w:r>
        <w:rPr>
          <w:spacing w:val="16"/>
        </w:rPr>
        <w:t xml:space="preserve"> </w:t>
      </w:r>
      <w:r>
        <w:t>to</w:t>
      </w:r>
      <w:r>
        <w:rPr>
          <w:spacing w:val="14"/>
        </w:rPr>
        <w:t xml:space="preserve"> </w:t>
      </w:r>
      <w:r>
        <w:t>the</w:t>
      </w:r>
      <w:r>
        <w:rPr>
          <w:spacing w:val="14"/>
        </w:rPr>
        <w:t xml:space="preserve"> </w:t>
      </w:r>
      <w:r>
        <w:rPr>
          <w:spacing w:val="-1"/>
        </w:rPr>
        <w:t>Goods</w:t>
      </w:r>
      <w:r>
        <w:rPr>
          <w:spacing w:val="14"/>
        </w:rPr>
        <w:t xml:space="preserve"> </w:t>
      </w:r>
      <w:r>
        <w:rPr>
          <w:spacing w:val="-1"/>
        </w:rPr>
        <w:t>and/or</w:t>
      </w:r>
      <w:r>
        <w:rPr>
          <w:spacing w:val="13"/>
        </w:rPr>
        <w:t xml:space="preserve"> </w:t>
      </w:r>
      <w:r>
        <w:rPr>
          <w:spacing w:val="-1"/>
        </w:rPr>
        <w:t>Services</w:t>
      </w:r>
      <w:r>
        <w:rPr>
          <w:spacing w:val="15"/>
        </w:rPr>
        <w:t xml:space="preserve"> </w:t>
      </w:r>
      <w:r>
        <w:rPr>
          <w:spacing w:val="-1"/>
        </w:rPr>
        <w:t>as</w:t>
      </w:r>
      <w:r>
        <w:rPr>
          <w:spacing w:val="24"/>
        </w:rPr>
        <w:t xml:space="preserve"> </w:t>
      </w:r>
      <w:r>
        <w:rPr>
          <w:spacing w:val="-1"/>
        </w:rPr>
        <w:t>remains</w:t>
      </w:r>
      <w:r>
        <w:rPr>
          <w:spacing w:val="1"/>
        </w:rPr>
        <w:t xml:space="preserve"> </w:t>
      </w:r>
      <w:r>
        <w:rPr>
          <w:spacing w:val="-1"/>
        </w:rPr>
        <w:t>in</w:t>
      </w:r>
      <w:r>
        <w:rPr>
          <w:spacing w:val="-2"/>
        </w:rPr>
        <w:t xml:space="preserve"> </w:t>
      </w:r>
      <w:r>
        <w:t>the</w:t>
      </w:r>
      <w:r>
        <w:rPr>
          <w:spacing w:val="-2"/>
        </w:rPr>
        <w:t xml:space="preserve"> </w:t>
      </w:r>
      <w:r>
        <w:rPr>
          <w:spacing w:val="-1"/>
        </w:rPr>
        <w:t>possession</w:t>
      </w:r>
      <w:r>
        <w:t xml:space="preserve"> </w:t>
      </w:r>
      <w:r>
        <w:rPr>
          <w:spacing w:val="-1"/>
        </w:rPr>
        <w:t>or control</w:t>
      </w:r>
      <w:r>
        <w:t xml:space="preserve"> </w:t>
      </w:r>
      <w:r>
        <w:rPr>
          <w:spacing w:val="-2"/>
        </w:rPr>
        <w:t>of</w:t>
      </w:r>
      <w:r>
        <w:t xml:space="preserve"> the </w:t>
      </w:r>
      <w:r>
        <w:rPr>
          <w:spacing w:val="-1"/>
        </w:rPr>
        <w:t>Supplier;</w:t>
      </w:r>
      <w:r>
        <w:t xml:space="preserve"> </w:t>
      </w:r>
      <w:r>
        <w:rPr>
          <w:spacing w:val="-1"/>
        </w:rPr>
        <w:t>and</w:t>
      </w:r>
    </w:p>
    <w:p w:rsidR="008918FA" w:rsidRDefault="008918FA" w:rsidP="008918FA">
      <w:pPr>
        <w:pStyle w:val="BodyText"/>
        <w:numPr>
          <w:ilvl w:val="3"/>
          <w:numId w:val="9"/>
        </w:numPr>
        <w:tabs>
          <w:tab w:val="left" w:pos="2735"/>
        </w:tabs>
        <w:spacing w:before="121"/>
        <w:ind w:left="2734" w:right="112"/>
        <w:jc w:val="both"/>
      </w:pPr>
      <w:r>
        <w:rPr>
          <w:spacing w:val="-1"/>
        </w:rPr>
        <w:t>such</w:t>
      </w:r>
      <w:r>
        <w:rPr>
          <w:spacing w:val="45"/>
        </w:rPr>
        <w:t xml:space="preserve"> </w:t>
      </w:r>
      <w:r>
        <w:rPr>
          <w:spacing w:val="-1"/>
        </w:rPr>
        <w:t>members</w:t>
      </w:r>
      <w:r>
        <w:rPr>
          <w:spacing w:val="45"/>
        </w:rPr>
        <w:t xml:space="preserve"> </w:t>
      </w:r>
      <w:r>
        <w:rPr>
          <w:spacing w:val="-2"/>
        </w:rPr>
        <w:t>of</w:t>
      </w:r>
      <w:r>
        <w:rPr>
          <w:spacing w:val="46"/>
        </w:rPr>
        <w:t xml:space="preserve"> </w:t>
      </w:r>
      <w:r>
        <w:t>the</w:t>
      </w:r>
      <w:r>
        <w:rPr>
          <w:spacing w:val="42"/>
        </w:rPr>
        <w:t xml:space="preserve"> </w:t>
      </w:r>
      <w:r>
        <w:rPr>
          <w:spacing w:val="-2"/>
        </w:rPr>
        <w:t>Supplier</w:t>
      </w:r>
      <w:r>
        <w:rPr>
          <w:spacing w:val="46"/>
        </w:rPr>
        <w:t xml:space="preserve"> </w:t>
      </w:r>
      <w:r>
        <w:rPr>
          <w:spacing w:val="-1"/>
        </w:rPr>
        <w:t>Personnel</w:t>
      </w:r>
      <w:r>
        <w:rPr>
          <w:spacing w:val="44"/>
        </w:rPr>
        <w:t xml:space="preserve"> </w:t>
      </w:r>
      <w:r>
        <w:rPr>
          <w:spacing w:val="1"/>
        </w:rPr>
        <w:t>as</w:t>
      </w:r>
      <w:r>
        <w:rPr>
          <w:spacing w:val="46"/>
        </w:rPr>
        <w:t xml:space="preserve"> </w:t>
      </w:r>
      <w:r>
        <w:rPr>
          <w:spacing w:val="-2"/>
        </w:rPr>
        <w:t>have</w:t>
      </w:r>
      <w:r>
        <w:rPr>
          <w:spacing w:val="45"/>
        </w:rPr>
        <w:t xml:space="preserve"> </w:t>
      </w:r>
      <w:r>
        <w:rPr>
          <w:spacing w:val="-1"/>
        </w:rPr>
        <w:t>been</w:t>
      </w:r>
      <w:r>
        <w:rPr>
          <w:spacing w:val="36"/>
        </w:rPr>
        <w:t xml:space="preserve"> </w:t>
      </w:r>
      <w:r>
        <w:rPr>
          <w:spacing w:val="-2"/>
        </w:rPr>
        <w:t>involved</w:t>
      </w:r>
      <w:r>
        <w:rPr>
          <w:spacing w:val="3"/>
        </w:rPr>
        <w:t xml:space="preserve"> </w:t>
      </w:r>
      <w:r>
        <w:rPr>
          <w:spacing w:val="-1"/>
        </w:rPr>
        <w:t>in</w:t>
      </w:r>
      <w:r>
        <w:rPr>
          <w:spacing w:val="3"/>
        </w:rPr>
        <w:t xml:space="preserve"> </w:t>
      </w:r>
      <w:r>
        <w:t>the</w:t>
      </w:r>
      <w:r>
        <w:rPr>
          <w:spacing w:val="3"/>
        </w:rPr>
        <w:t xml:space="preserve"> </w:t>
      </w:r>
      <w:r>
        <w:rPr>
          <w:spacing w:val="-1"/>
        </w:rPr>
        <w:t>design,</w:t>
      </w:r>
      <w:r>
        <w:rPr>
          <w:spacing w:val="4"/>
        </w:rPr>
        <w:t xml:space="preserve"> </w:t>
      </w:r>
      <w:r>
        <w:rPr>
          <w:spacing w:val="-2"/>
        </w:rPr>
        <w:t>development</w:t>
      </w:r>
      <w:r>
        <w:rPr>
          <w:spacing w:val="4"/>
        </w:rPr>
        <w:t xml:space="preserve"> </w:t>
      </w:r>
      <w:r>
        <w:rPr>
          <w:spacing w:val="-1"/>
        </w:rPr>
        <w:t>and</w:t>
      </w:r>
      <w:r>
        <w:rPr>
          <w:spacing w:val="3"/>
        </w:rPr>
        <w:t xml:space="preserve"> </w:t>
      </w:r>
      <w:r>
        <w:rPr>
          <w:spacing w:val="-2"/>
        </w:rPr>
        <w:t>provision</w:t>
      </w:r>
      <w:r>
        <w:rPr>
          <w:spacing w:val="3"/>
        </w:rPr>
        <w:t xml:space="preserve"> </w:t>
      </w:r>
      <w:r>
        <w:rPr>
          <w:spacing w:val="-2"/>
        </w:rPr>
        <w:t>of</w:t>
      </w:r>
      <w:r>
        <w:rPr>
          <w:spacing w:val="4"/>
        </w:rPr>
        <w:t xml:space="preserve"> </w:t>
      </w:r>
      <w:r>
        <w:t>the</w:t>
      </w:r>
      <w:r>
        <w:rPr>
          <w:spacing w:val="3"/>
        </w:rPr>
        <w:t xml:space="preserve"> </w:t>
      </w:r>
      <w:r>
        <w:rPr>
          <w:spacing w:val="-1"/>
        </w:rPr>
        <w:t>Goods</w:t>
      </w:r>
      <w:r>
        <w:rPr>
          <w:spacing w:val="60"/>
        </w:rPr>
        <w:t xml:space="preserve"> </w:t>
      </w:r>
      <w:r>
        <w:rPr>
          <w:spacing w:val="-1"/>
        </w:rPr>
        <w:t>and/or</w:t>
      </w:r>
      <w:r>
        <w:rPr>
          <w:spacing w:val="47"/>
        </w:rPr>
        <w:t xml:space="preserve"> </w:t>
      </w:r>
      <w:r>
        <w:rPr>
          <w:spacing w:val="-1"/>
        </w:rPr>
        <w:t>Services</w:t>
      </w:r>
      <w:r>
        <w:rPr>
          <w:spacing w:val="47"/>
        </w:rPr>
        <w:t xml:space="preserve"> </w:t>
      </w:r>
      <w:r>
        <w:rPr>
          <w:spacing w:val="-1"/>
        </w:rPr>
        <w:t>and</w:t>
      </w:r>
      <w:r>
        <w:rPr>
          <w:spacing w:val="48"/>
        </w:rPr>
        <w:t xml:space="preserve"> </w:t>
      </w:r>
      <w:r>
        <w:rPr>
          <w:spacing w:val="-1"/>
        </w:rPr>
        <w:t>who</w:t>
      </w:r>
      <w:r>
        <w:rPr>
          <w:spacing w:val="46"/>
        </w:rPr>
        <w:t xml:space="preserve"> </w:t>
      </w:r>
      <w:r>
        <w:rPr>
          <w:spacing w:val="-1"/>
        </w:rPr>
        <w:t>are</w:t>
      </w:r>
      <w:r>
        <w:rPr>
          <w:spacing w:val="46"/>
        </w:rPr>
        <w:t xml:space="preserve"> </w:t>
      </w:r>
      <w:r>
        <w:rPr>
          <w:spacing w:val="-1"/>
        </w:rPr>
        <w:t>still</w:t>
      </w:r>
      <w:r>
        <w:rPr>
          <w:spacing w:val="45"/>
        </w:rPr>
        <w:t xml:space="preserve"> </w:t>
      </w:r>
      <w:r>
        <w:rPr>
          <w:spacing w:val="-1"/>
        </w:rPr>
        <w:t>employed</w:t>
      </w:r>
      <w:r>
        <w:rPr>
          <w:spacing w:val="47"/>
        </w:rPr>
        <w:t xml:space="preserve"> </w:t>
      </w:r>
      <w:r>
        <w:rPr>
          <w:spacing w:val="1"/>
        </w:rPr>
        <w:t>by</w:t>
      </w:r>
      <w:r>
        <w:rPr>
          <w:spacing w:val="46"/>
        </w:rPr>
        <w:t xml:space="preserve"> </w:t>
      </w:r>
      <w:r>
        <w:t>the</w:t>
      </w:r>
      <w:r>
        <w:rPr>
          <w:spacing w:val="46"/>
        </w:rPr>
        <w:t xml:space="preserve"> </w:t>
      </w:r>
      <w:r>
        <w:rPr>
          <w:spacing w:val="-1"/>
        </w:rPr>
        <w:t>Supplier,</w:t>
      </w:r>
      <w:r>
        <w:rPr>
          <w:spacing w:val="21"/>
        </w:rPr>
        <w:t xml:space="preserve"> </w:t>
      </w:r>
      <w:r>
        <w:rPr>
          <w:spacing w:val="-2"/>
        </w:rPr>
        <w:t>provided</w:t>
      </w:r>
      <w:r>
        <w:rPr>
          <w:spacing w:val="38"/>
        </w:rPr>
        <w:t xml:space="preserve"> </w:t>
      </w:r>
      <w:r>
        <w:rPr>
          <w:spacing w:val="-1"/>
        </w:rPr>
        <w:t>that</w:t>
      </w:r>
      <w:r>
        <w:rPr>
          <w:spacing w:val="40"/>
        </w:rPr>
        <w:t xml:space="preserve"> </w:t>
      </w:r>
      <w:r>
        <w:t>the</w:t>
      </w:r>
      <w:r>
        <w:rPr>
          <w:spacing w:val="38"/>
        </w:rPr>
        <w:t xml:space="preserve"> </w:t>
      </w:r>
      <w:r>
        <w:rPr>
          <w:spacing w:val="-1"/>
        </w:rPr>
        <w:t>Customer</w:t>
      </w:r>
      <w:r>
        <w:rPr>
          <w:spacing w:val="40"/>
        </w:rPr>
        <w:t xml:space="preserve"> </w:t>
      </w:r>
      <w:r>
        <w:rPr>
          <w:spacing w:val="-1"/>
        </w:rPr>
        <w:t>and/or</w:t>
      </w:r>
      <w:r>
        <w:rPr>
          <w:spacing w:val="41"/>
        </w:rPr>
        <w:t xml:space="preserve"> </w:t>
      </w:r>
      <w:r>
        <w:t>the</w:t>
      </w:r>
      <w:r>
        <w:rPr>
          <w:spacing w:val="38"/>
        </w:rPr>
        <w:t xml:space="preserve"> </w:t>
      </w:r>
      <w:r>
        <w:rPr>
          <w:spacing w:val="-1"/>
        </w:rPr>
        <w:t>Replacement</w:t>
      </w:r>
      <w:r>
        <w:rPr>
          <w:spacing w:val="41"/>
        </w:rPr>
        <w:t xml:space="preserve"> </w:t>
      </w:r>
      <w:r>
        <w:rPr>
          <w:spacing w:val="-2"/>
        </w:rPr>
        <w:t>Supplier</w:t>
      </w:r>
      <w:r>
        <w:rPr>
          <w:spacing w:val="42"/>
        </w:rPr>
        <w:t xml:space="preserve"> </w:t>
      </w:r>
      <w:r>
        <w:rPr>
          <w:spacing w:val="-1"/>
        </w:rPr>
        <w:t>shall</w:t>
      </w:r>
      <w:r>
        <w:rPr>
          <w:spacing w:val="12"/>
        </w:rPr>
        <w:t xml:space="preserve"> </w:t>
      </w:r>
      <w:r>
        <w:rPr>
          <w:spacing w:val="-1"/>
        </w:rPr>
        <w:t>pay</w:t>
      </w:r>
      <w:r>
        <w:rPr>
          <w:spacing w:val="10"/>
        </w:rPr>
        <w:t xml:space="preserve"> </w:t>
      </w:r>
      <w:r>
        <w:t>the</w:t>
      </w:r>
      <w:r>
        <w:rPr>
          <w:spacing w:val="12"/>
        </w:rPr>
        <w:t xml:space="preserve"> </w:t>
      </w:r>
      <w:r>
        <w:rPr>
          <w:spacing w:val="-1"/>
        </w:rPr>
        <w:t>reasonable</w:t>
      </w:r>
      <w:r>
        <w:rPr>
          <w:spacing w:val="10"/>
        </w:rPr>
        <w:t xml:space="preserve"> </w:t>
      </w:r>
      <w:r>
        <w:rPr>
          <w:spacing w:val="-1"/>
        </w:rPr>
        <w:t>costs</w:t>
      </w:r>
      <w:r>
        <w:rPr>
          <w:spacing w:val="10"/>
        </w:rPr>
        <w:t xml:space="preserve"> </w:t>
      </w:r>
      <w:r>
        <w:rPr>
          <w:spacing w:val="-2"/>
        </w:rPr>
        <w:t>of</w:t>
      </w:r>
      <w:r>
        <w:rPr>
          <w:spacing w:val="14"/>
        </w:rPr>
        <w:t xml:space="preserve"> </w:t>
      </w:r>
      <w:r>
        <w:t>the</w:t>
      </w:r>
      <w:r>
        <w:rPr>
          <w:spacing w:val="12"/>
        </w:rPr>
        <w:t xml:space="preserve"> </w:t>
      </w:r>
      <w:r>
        <w:rPr>
          <w:spacing w:val="-2"/>
        </w:rPr>
        <w:t>Supplier</w:t>
      </w:r>
      <w:r>
        <w:rPr>
          <w:spacing w:val="14"/>
        </w:rPr>
        <w:t xml:space="preserve"> </w:t>
      </w:r>
      <w:r>
        <w:rPr>
          <w:spacing w:val="-2"/>
        </w:rPr>
        <w:t>actually</w:t>
      </w:r>
      <w:r>
        <w:rPr>
          <w:spacing w:val="10"/>
        </w:rPr>
        <w:t xml:space="preserve"> </w:t>
      </w:r>
      <w:r>
        <w:rPr>
          <w:spacing w:val="-1"/>
        </w:rPr>
        <w:t>incurred</w:t>
      </w:r>
      <w:r>
        <w:rPr>
          <w:spacing w:val="46"/>
        </w:rPr>
        <w:t xml:space="preserve"> </w:t>
      </w:r>
      <w:r>
        <w:rPr>
          <w:spacing w:val="-1"/>
        </w:rPr>
        <w:t>in</w:t>
      </w:r>
      <w:r>
        <w:t xml:space="preserve"> </w:t>
      </w:r>
      <w:r>
        <w:rPr>
          <w:spacing w:val="-1"/>
        </w:rPr>
        <w:t>responding</w:t>
      </w:r>
      <w:r>
        <w:t xml:space="preserve"> to</w:t>
      </w:r>
      <w:r>
        <w:rPr>
          <w:spacing w:val="-2"/>
        </w:rPr>
        <w:t xml:space="preserve"> </w:t>
      </w:r>
      <w:r>
        <w:rPr>
          <w:spacing w:val="-1"/>
        </w:rPr>
        <w:t>requests</w:t>
      </w:r>
      <w:r>
        <w:rPr>
          <w:spacing w:val="-2"/>
        </w:rPr>
        <w:t xml:space="preserve"> </w:t>
      </w:r>
      <w:r>
        <w:t>for</w:t>
      </w:r>
      <w:r>
        <w:rPr>
          <w:spacing w:val="2"/>
        </w:rPr>
        <w:t xml:space="preserve"> </w:t>
      </w:r>
      <w:r>
        <w:rPr>
          <w:spacing w:val="-1"/>
        </w:rPr>
        <w:t>access</w:t>
      </w:r>
      <w:r>
        <w:rPr>
          <w:spacing w:val="1"/>
        </w:rPr>
        <w:t xml:space="preserve"> </w:t>
      </w:r>
      <w:r>
        <w:rPr>
          <w:spacing w:val="-2"/>
        </w:rPr>
        <w:t>under</w:t>
      </w:r>
      <w:r>
        <w:rPr>
          <w:spacing w:val="-1"/>
        </w:rPr>
        <w:t xml:space="preserve"> this</w:t>
      </w:r>
      <w:r>
        <w:rPr>
          <w:spacing w:val="1"/>
        </w:rPr>
        <w:t xml:space="preserve"> </w:t>
      </w:r>
      <w:r>
        <w:rPr>
          <w:spacing w:val="-1"/>
        </w:rPr>
        <w:t>paragraph.</w:t>
      </w:r>
    </w:p>
    <w:p w:rsidR="008918FA" w:rsidRDefault="008918FA" w:rsidP="008918FA">
      <w:pPr>
        <w:pStyle w:val="BodyText"/>
        <w:numPr>
          <w:ilvl w:val="1"/>
          <w:numId w:val="9"/>
        </w:numPr>
        <w:tabs>
          <w:tab w:val="left" w:pos="829"/>
        </w:tabs>
        <w:ind w:right="113"/>
        <w:jc w:val="both"/>
      </w:pPr>
      <w:r>
        <w:rPr>
          <w:spacing w:val="-1"/>
        </w:rPr>
        <w:t>Upon</w:t>
      </w:r>
      <w:r>
        <w:rPr>
          <w:spacing w:val="20"/>
        </w:rPr>
        <w:t xml:space="preserve"> </w:t>
      </w:r>
      <w:r>
        <w:rPr>
          <w:spacing w:val="-1"/>
        </w:rPr>
        <w:t>termination</w:t>
      </w:r>
      <w:r>
        <w:rPr>
          <w:spacing w:val="20"/>
        </w:rPr>
        <w:t xml:space="preserve"> </w:t>
      </w:r>
      <w:r>
        <w:rPr>
          <w:spacing w:val="-1"/>
        </w:rPr>
        <w:t>or</w:t>
      </w:r>
      <w:r>
        <w:rPr>
          <w:spacing w:val="19"/>
        </w:rPr>
        <w:t xml:space="preserve"> </w:t>
      </w:r>
      <w:r>
        <w:rPr>
          <w:spacing w:val="-2"/>
        </w:rPr>
        <w:t>expiry</w:t>
      </w:r>
      <w:r>
        <w:rPr>
          <w:spacing w:val="18"/>
        </w:rPr>
        <w:t xml:space="preserve"> </w:t>
      </w:r>
      <w:r>
        <w:rPr>
          <w:spacing w:val="-1"/>
        </w:rPr>
        <w:t>(as</w:t>
      </w:r>
      <w:r>
        <w:rPr>
          <w:spacing w:val="20"/>
        </w:rPr>
        <w:t xml:space="preserve"> </w:t>
      </w:r>
      <w:r>
        <w:t>the</w:t>
      </w:r>
      <w:r>
        <w:rPr>
          <w:spacing w:val="17"/>
        </w:rPr>
        <w:t xml:space="preserve"> </w:t>
      </w:r>
      <w:r>
        <w:rPr>
          <w:spacing w:val="-1"/>
        </w:rPr>
        <w:t>case</w:t>
      </w:r>
      <w:r>
        <w:rPr>
          <w:spacing w:val="18"/>
        </w:rPr>
        <w:t xml:space="preserve"> </w:t>
      </w:r>
      <w:r>
        <w:rPr>
          <w:spacing w:val="-1"/>
        </w:rPr>
        <w:t>may</w:t>
      </w:r>
      <w:r>
        <w:rPr>
          <w:spacing w:val="18"/>
        </w:rPr>
        <w:t xml:space="preserve"> </w:t>
      </w:r>
      <w:r>
        <w:rPr>
          <w:spacing w:val="-1"/>
        </w:rPr>
        <w:t>be)</w:t>
      </w:r>
      <w:r>
        <w:rPr>
          <w:spacing w:val="18"/>
        </w:rPr>
        <w:t xml:space="preserve"> </w:t>
      </w:r>
      <w:r>
        <w:rPr>
          <w:spacing w:val="-1"/>
        </w:rPr>
        <w:t>or</w:t>
      </w:r>
      <w:r>
        <w:rPr>
          <w:spacing w:val="21"/>
        </w:rPr>
        <w:t xml:space="preserve"> </w:t>
      </w:r>
      <w:r>
        <w:rPr>
          <w:spacing w:val="-2"/>
        </w:rPr>
        <w:t>at</w:t>
      </w:r>
      <w:r>
        <w:rPr>
          <w:spacing w:val="21"/>
        </w:rPr>
        <w:t xml:space="preserve"> </w:t>
      </w:r>
      <w:r>
        <w:rPr>
          <w:spacing w:val="-1"/>
        </w:rPr>
        <w:t>the</w:t>
      </w:r>
      <w:r>
        <w:rPr>
          <w:spacing w:val="20"/>
        </w:rPr>
        <w:t xml:space="preserve"> </w:t>
      </w:r>
      <w:r>
        <w:rPr>
          <w:spacing w:val="-1"/>
        </w:rPr>
        <w:t>end</w:t>
      </w:r>
      <w:r>
        <w:rPr>
          <w:spacing w:val="20"/>
        </w:rPr>
        <w:t xml:space="preserve"> </w:t>
      </w:r>
      <w:r>
        <w:rPr>
          <w:spacing w:val="-2"/>
        </w:rPr>
        <w:t>of</w:t>
      </w:r>
      <w:r>
        <w:rPr>
          <w:spacing w:val="19"/>
        </w:rPr>
        <w:t xml:space="preserve"> </w:t>
      </w:r>
      <w:r>
        <w:t>the</w:t>
      </w:r>
      <w:r>
        <w:rPr>
          <w:spacing w:val="17"/>
        </w:rPr>
        <w:t xml:space="preserve"> </w:t>
      </w:r>
      <w:r>
        <w:rPr>
          <w:spacing w:val="-1"/>
        </w:rPr>
        <w:t>Termination</w:t>
      </w:r>
      <w:r>
        <w:rPr>
          <w:spacing w:val="44"/>
        </w:rPr>
        <w:t xml:space="preserve"> </w:t>
      </w:r>
      <w:r>
        <w:rPr>
          <w:spacing w:val="-1"/>
        </w:rPr>
        <w:t>Assistance</w:t>
      </w:r>
      <w:r>
        <w:rPr>
          <w:spacing w:val="19"/>
        </w:rPr>
        <w:t xml:space="preserve"> </w:t>
      </w:r>
      <w:r>
        <w:rPr>
          <w:spacing w:val="-1"/>
        </w:rPr>
        <w:t>Period</w:t>
      </w:r>
      <w:r>
        <w:rPr>
          <w:spacing w:val="18"/>
        </w:rPr>
        <w:t xml:space="preserve"> </w:t>
      </w:r>
      <w:r>
        <w:rPr>
          <w:spacing w:val="-1"/>
        </w:rPr>
        <w:t>(or</w:t>
      </w:r>
      <w:r>
        <w:rPr>
          <w:spacing w:val="17"/>
        </w:rPr>
        <w:t xml:space="preserve"> </w:t>
      </w:r>
      <w:r>
        <w:rPr>
          <w:spacing w:val="-1"/>
        </w:rPr>
        <w:t>earlier</w:t>
      </w:r>
      <w:r>
        <w:rPr>
          <w:spacing w:val="20"/>
        </w:rPr>
        <w:t xml:space="preserve"> </w:t>
      </w:r>
      <w:r>
        <w:rPr>
          <w:spacing w:val="-1"/>
        </w:rPr>
        <w:t>if</w:t>
      </w:r>
      <w:r>
        <w:rPr>
          <w:spacing w:val="20"/>
        </w:rPr>
        <w:t xml:space="preserve"> </w:t>
      </w:r>
      <w:r>
        <w:rPr>
          <w:spacing w:val="-1"/>
        </w:rPr>
        <w:t>this</w:t>
      </w:r>
      <w:r>
        <w:rPr>
          <w:spacing w:val="19"/>
        </w:rPr>
        <w:t xml:space="preserve"> </w:t>
      </w:r>
      <w:r>
        <w:rPr>
          <w:spacing w:val="-1"/>
        </w:rPr>
        <w:t>does</w:t>
      </w:r>
      <w:r>
        <w:rPr>
          <w:spacing w:val="19"/>
        </w:rPr>
        <w:t xml:space="preserve"> </w:t>
      </w:r>
      <w:r>
        <w:rPr>
          <w:spacing w:val="-1"/>
        </w:rPr>
        <w:t>not</w:t>
      </w:r>
      <w:r>
        <w:rPr>
          <w:spacing w:val="17"/>
        </w:rPr>
        <w:t xml:space="preserve"> </w:t>
      </w:r>
      <w:r>
        <w:rPr>
          <w:spacing w:val="-1"/>
        </w:rPr>
        <w:t>adversely</w:t>
      </w:r>
      <w:r>
        <w:rPr>
          <w:spacing w:val="16"/>
        </w:rPr>
        <w:t xml:space="preserve"> </w:t>
      </w:r>
      <w:r>
        <w:rPr>
          <w:spacing w:val="-1"/>
        </w:rPr>
        <w:t>affect</w:t>
      </w:r>
      <w:r>
        <w:rPr>
          <w:spacing w:val="20"/>
        </w:rPr>
        <w:t xml:space="preserve"> </w:t>
      </w:r>
      <w:r>
        <w:t>the</w:t>
      </w:r>
      <w:r>
        <w:rPr>
          <w:spacing w:val="16"/>
        </w:rPr>
        <w:t xml:space="preserve"> </w:t>
      </w:r>
      <w:r>
        <w:rPr>
          <w:spacing w:val="-1"/>
        </w:rPr>
        <w:t>Supplier's</w:t>
      </w:r>
      <w:r>
        <w:rPr>
          <w:spacing w:val="41"/>
        </w:rPr>
        <w:t xml:space="preserve"> </w:t>
      </w:r>
      <w:r>
        <w:rPr>
          <w:spacing w:val="-1"/>
        </w:rPr>
        <w:t>performance</w:t>
      </w:r>
      <w:r>
        <w:rPr>
          <w:spacing w:val="10"/>
        </w:rPr>
        <w:t xml:space="preserve"> </w:t>
      </w:r>
      <w:r>
        <w:rPr>
          <w:spacing w:val="-2"/>
        </w:rPr>
        <w:t>of</w:t>
      </w:r>
      <w:r>
        <w:rPr>
          <w:spacing w:val="11"/>
        </w:rPr>
        <w:t xml:space="preserve"> </w:t>
      </w:r>
      <w:r>
        <w:t>the</w:t>
      </w:r>
      <w:r>
        <w:rPr>
          <w:spacing w:val="8"/>
        </w:rPr>
        <w:t xml:space="preserve"> </w:t>
      </w:r>
      <w:r>
        <w:rPr>
          <w:spacing w:val="-1"/>
        </w:rPr>
        <w:t>Goods</w:t>
      </w:r>
      <w:r>
        <w:rPr>
          <w:spacing w:val="10"/>
        </w:rPr>
        <w:t xml:space="preserve"> </w:t>
      </w:r>
      <w:r>
        <w:rPr>
          <w:spacing w:val="-1"/>
        </w:rPr>
        <w:t>and/or</w:t>
      </w:r>
      <w:r>
        <w:rPr>
          <w:spacing w:val="11"/>
        </w:rPr>
        <w:t xml:space="preserve"> </w:t>
      </w:r>
      <w:r>
        <w:rPr>
          <w:spacing w:val="-1"/>
        </w:rPr>
        <w:t>Services</w:t>
      </w:r>
      <w:r>
        <w:rPr>
          <w:spacing w:val="11"/>
        </w:rPr>
        <w:t xml:space="preserve"> </w:t>
      </w:r>
      <w:r>
        <w:rPr>
          <w:spacing w:val="-1"/>
        </w:rPr>
        <w:t>and</w:t>
      </w:r>
      <w:r>
        <w:rPr>
          <w:spacing w:val="10"/>
        </w:rPr>
        <w:t xml:space="preserve"> </w:t>
      </w:r>
      <w:r>
        <w:rPr>
          <w:spacing w:val="-1"/>
        </w:rPr>
        <w:t>the</w:t>
      </w:r>
      <w:r>
        <w:rPr>
          <w:spacing w:val="10"/>
        </w:rPr>
        <w:t xml:space="preserve"> </w:t>
      </w:r>
      <w:r>
        <w:rPr>
          <w:spacing w:val="-1"/>
        </w:rPr>
        <w:t>Termination</w:t>
      </w:r>
      <w:r>
        <w:rPr>
          <w:spacing w:val="10"/>
        </w:rPr>
        <w:t xml:space="preserve"> </w:t>
      </w:r>
      <w:r>
        <w:rPr>
          <w:spacing w:val="-1"/>
        </w:rPr>
        <w:t>Assistance</w:t>
      </w:r>
      <w:r>
        <w:rPr>
          <w:spacing w:val="10"/>
        </w:rPr>
        <w:t xml:space="preserve"> </w:t>
      </w:r>
      <w:r>
        <w:rPr>
          <w:spacing w:val="-1"/>
        </w:rPr>
        <w:t>and</w:t>
      </w:r>
      <w:r>
        <w:rPr>
          <w:spacing w:val="10"/>
        </w:rPr>
        <w:t xml:space="preserve"> </w:t>
      </w:r>
      <w:r>
        <w:rPr>
          <w:spacing w:val="-1"/>
        </w:rPr>
        <w:t>its</w:t>
      </w:r>
      <w:r>
        <w:rPr>
          <w:spacing w:val="35"/>
        </w:rPr>
        <w:t xml:space="preserve"> </w:t>
      </w:r>
      <w:r>
        <w:rPr>
          <w:spacing w:val="-1"/>
        </w:rPr>
        <w:t>compliance</w:t>
      </w:r>
      <w:r>
        <w:rPr>
          <w:spacing w:val="32"/>
        </w:rPr>
        <w:t xml:space="preserve"> </w:t>
      </w:r>
      <w:r>
        <w:rPr>
          <w:spacing w:val="-2"/>
        </w:rPr>
        <w:t>with</w:t>
      </w:r>
      <w:r>
        <w:rPr>
          <w:spacing w:val="31"/>
        </w:rPr>
        <w:t xml:space="preserve"> </w:t>
      </w:r>
      <w:r>
        <w:t>the</w:t>
      </w:r>
      <w:r>
        <w:rPr>
          <w:spacing w:val="31"/>
        </w:rPr>
        <w:t xml:space="preserve"> </w:t>
      </w:r>
      <w:r>
        <w:rPr>
          <w:spacing w:val="-1"/>
        </w:rPr>
        <w:t>other</w:t>
      </w:r>
      <w:r>
        <w:rPr>
          <w:spacing w:val="33"/>
        </w:rPr>
        <w:t xml:space="preserve"> </w:t>
      </w:r>
      <w:r>
        <w:rPr>
          <w:spacing w:val="-2"/>
        </w:rPr>
        <w:t>provisions</w:t>
      </w:r>
      <w:r>
        <w:rPr>
          <w:spacing w:val="32"/>
        </w:rPr>
        <w:t xml:space="preserve"> </w:t>
      </w:r>
      <w:r>
        <w:rPr>
          <w:spacing w:val="-1"/>
        </w:rPr>
        <w:t>of</w:t>
      </w:r>
      <w:r>
        <w:rPr>
          <w:spacing w:val="35"/>
        </w:rPr>
        <w:t xml:space="preserve"> </w:t>
      </w:r>
      <w:r>
        <w:rPr>
          <w:spacing w:val="-1"/>
        </w:rPr>
        <w:t>this</w:t>
      </w:r>
      <w:r>
        <w:rPr>
          <w:spacing w:val="33"/>
        </w:rPr>
        <w:t xml:space="preserve"> </w:t>
      </w:r>
      <w:r>
        <w:rPr>
          <w:spacing w:val="-2"/>
        </w:rPr>
        <w:t>Call</w:t>
      </w:r>
      <w:r>
        <w:rPr>
          <w:spacing w:val="31"/>
        </w:rPr>
        <w:t xml:space="preserve"> </w:t>
      </w:r>
      <w:r>
        <w:rPr>
          <w:spacing w:val="-1"/>
        </w:rPr>
        <w:t>Off</w:t>
      </w:r>
      <w:r>
        <w:rPr>
          <w:spacing w:val="35"/>
        </w:rPr>
        <w:t xml:space="preserve"> </w:t>
      </w:r>
      <w:r>
        <w:rPr>
          <w:spacing w:val="-1"/>
        </w:rPr>
        <w:t>Schedule),</w:t>
      </w:r>
      <w:r>
        <w:rPr>
          <w:spacing w:val="33"/>
        </w:rPr>
        <w:t xml:space="preserve"> </w:t>
      </w:r>
      <w:r>
        <w:rPr>
          <w:spacing w:val="-1"/>
        </w:rPr>
        <w:t>each</w:t>
      </w:r>
      <w:r>
        <w:rPr>
          <w:spacing w:val="32"/>
        </w:rPr>
        <w:t xml:space="preserve"> </w:t>
      </w:r>
      <w:r>
        <w:rPr>
          <w:spacing w:val="-1"/>
        </w:rPr>
        <w:t>Party</w:t>
      </w:r>
      <w:r>
        <w:rPr>
          <w:spacing w:val="30"/>
        </w:rPr>
        <w:t xml:space="preserve"> </w:t>
      </w:r>
      <w:r>
        <w:rPr>
          <w:spacing w:val="-1"/>
        </w:rPr>
        <w:t>shall</w:t>
      </w:r>
      <w:r>
        <w:rPr>
          <w:spacing w:val="51"/>
        </w:rPr>
        <w:t xml:space="preserve"> </w:t>
      </w:r>
      <w:r>
        <w:rPr>
          <w:spacing w:val="-1"/>
        </w:rPr>
        <w:t>return</w:t>
      </w:r>
      <w:r>
        <w:rPr>
          <w:spacing w:val="14"/>
        </w:rPr>
        <w:t xml:space="preserve"> </w:t>
      </w:r>
      <w:r>
        <w:t>to</w:t>
      </w:r>
      <w:r>
        <w:rPr>
          <w:spacing w:val="14"/>
        </w:rPr>
        <w:t xml:space="preserve"> </w:t>
      </w:r>
      <w:r>
        <w:t>the</w:t>
      </w:r>
      <w:r>
        <w:rPr>
          <w:spacing w:val="14"/>
        </w:rPr>
        <w:t xml:space="preserve"> </w:t>
      </w:r>
      <w:r>
        <w:rPr>
          <w:spacing w:val="-1"/>
        </w:rPr>
        <w:t>other</w:t>
      </w:r>
      <w:r>
        <w:rPr>
          <w:spacing w:val="15"/>
        </w:rPr>
        <w:t xml:space="preserve"> </w:t>
      </w:r>
      <w:r>
        <w:rPr>
          <w:spacing w:val="-1"/>
        </w:rPr>
        <w:t>Party</w:t>
      </w:r>
      <w:r>
        <w:rPr>
          <w:spacing w:val="12"/>
        </w:rPr>
        <w:t xml:space="preserve"> </w:t>
      </w:r>
      <w:r>
        <w:rPr>
          <w:spacing w:val="-1"/>
        </w:rPr>
        <w:t>(or</w:t>
      </w:r>
      <w:r>
        <w:rPr>
          <w:spacing w:val="15"/>
        </w:rPr>
        <w:t xml:space="preserve"> </w:t>
      </w:r>
      <w:r>
        <w:rPr>
          <w:spacing w:val="-1"/>
        </w:rPr>
        <w:t>if</w:t>
      </w:r>
      <w:r>
        <w:rPr>
          <w:spacing w:val="15"/>
        </w:rPr>
        <w:t xml:space="preserve"> </w:t>
      </w:r>
      <w:r>
        <w:rPr>
          <w:spacing w:val="-1"/>
        </w:rPr>
        <w:t>requested,</w:t>
      </w:r>
      <w:r>
        <w:rPr>
          <w:spacing w:val="15"/>
        </w:rPr>
        <w:t xml:space="preserve"> </w:t>
      </w:r>
      <w:r>
        <w:rPr>
          <w:spacing w:val="-1"/>
        </w:rPr>
        <w:t>destroy</w:t>
      </w:r>
      <w:r>
        <w:rPr>
          <w:spacing w:val="11"/>
        </w:rPr>
        <w:t xml:space="preserve"> </w:t>
      </w:r>
      <w:r>
        <w:rPr>
          <w:spacing w:val="-1"/>
        </w:rPr>
        <w:t>or</w:t>
      </w:r>
      <w:r>
        <w:rPr>
          <w:spacing w:val="15"/>
        </w:rPr>
        <w:t xml:space="preserve"> </w:t>
      </w:r>
      <w:r>
        <w:rPr>
          <w:spacing w:val="-1"/>
        </w:rPr>
        <w:t>delete)</w:t>
      </w:r>
      <w:r>
        <w:rPr>
          <w:spacing w:val="15"/>
        </w:rPr>
        <w:t xml:space="preserve"> </w:t>
      </w:r>
      <w:r>
        <w:rPr>
          <w:spacing w:val="-1"/>
        </w:rPr>
        <w:t>all</w:t>
      </w:r>
      <w:r>
        <w:rPr>
          <w:spacing w:val="13"/>
        </w:rPr>
        <w:t xml:space="preserve"> </w:t>
      </w:r>
      <w:r>
        <w:rPr>
          <w:spacing w:val="-1"/>
        </w:rPr>
        <w:t>Confidential</w:t>
      </w:r>
      <w:r>
        <w:rPr>
          <w:spacing w:val="48"/>
        </w:rPr>
        <w:t xml:space="preserve"> </w:t>
      </w:r>
      <w:r>
        <w:rPr>
          <w:spacing w:val="-1"/>
        </w:rPr>
        <w:t>Information</w:t>
      </w:r>
      <w:r>
        <w:rPr>
          <w:spacing w:val="43"/>
        </w:rPr>
        <w:t xml:space="preserve"> </w:t>
      </w:r>
      <w:r>
        <w:rPr>
          <w:spacing w:val="-1"/>
        </w:rPr>
        <w:t>of</w:t>
      </w:r>
      <w:r>
        <w:rPr>
          <w:spacing w:val="45"/>
        </w:rPr>
        <w:t xml:space="preserve"> </w:t>
      </w:r>
      <w:r>
        <w:t>the</w:t>
      </w:r>
      <w:r>
        <w:rPr>
          <w:spacing w:val="43"/>
        </w:rPr>
        <w:t xml:space="preserve"> </w:t>
      </w:r>
      <w:r>
        <w:rPr>
          <w:spacing w:val="-1"/>
        </w:rPr>
        <w:t>other</w:t>
      </w:r>
      <w:r>
        <w:rPr>
          <w:spacing w:val="42"/>
        </w:rPr>
        <w:t xml:space="preserve"> </w:t>
      </w:r>
      <w:r>
        <w:rPr>
          <w:spacing w:val="-1"/>
        </w:rPr>
        <w:t>Party</w:t>
      </w:r>
      <w:r>
        <w:rPr>
          <w:spacing w:val="41"/>
        </w:rPr>
        <w:t xml:space="preserve"> </w:t>
      </w:r>
      <w:r>
        <w:rPr>
          <w:spacing w:val="-1"/>
        </w:rPr>
        <w:t>and</w:t>
      </w:r>
      <w:r>
        <w:rPr>
          <w:spacing w:val="43"/>
        </w:rPr>
        <w:t xml:space="preserve"> </w:t>
      </w:r>
      <w:r>
        <w:rPr>
          <w:spacing w:val="-1"/>
        </w:rPr>
        <w:t>shall</w:t>
      </w:r>
      <w:r>
        <w:rPr>
          <w:spacing w:val="44"/>
        </w:rPr>
        <w:t xml:space="preserve"> </w:t>
      </w:r>
      <w:r>
        <w:t>certify</w:t>
      </w:r>
      <w:r>
        <w:rPr>
          <w:spacing w:val="41"/>
        </w:rPr>
        <w:t xml:space="preserve"> </w:t>
      </w:r>
      <w:r>
        <w:rPr>
          <w:spacing w:val="-1"/>
        </w:rPr>
        <w:t>that</w:t>
      </w:r>
      <w:r>
        <w:rPr>
          <w:spacing w:val="45"/>
        </w:rPr>
        <w:t xml:space="preserve"> </w:t>
      </w:r>
      <w:r>
        <w:rPr>
          <w:spacing w:val="-1"/>
        </w:rPr>
        <w:t>it</w:t>
      </w:r>
      <w:r>
        <w:rPr>
          <w:spacing w:val="45"/>
        </w:rPr>
        <w:t xml:space="preserve"> </w:t>
      </w:r>
      <w:r>
        <w:rPr>
          <w:spacing w:val="-1"/>
        </w:rPr>
        <w:t>does</w:t>
      </w:r>
      <w:r>
        <w:rPr>
          <w:spacing w:val="44"/>
        </w:rPr>
        <w:t xml:space="preserve"> </w:t>
      </w:r>
      <w:r>
        <w:rPr>
          <w:spacing w:val="-1"/>
        </w:rPr>
        <w:t>not</w:t>
      </w:r>
      <w:r>
        <w:rPr>
          <w:spacing w:val="45"/>
        </w:rPr>
        <w:t xml:space="preserve"> </w:t>
      </w:r>
      <w:r>
        <w:rPr>
          <w:spacing w:val="-1"/>
        </w:rPr>
        <w:t>retain</w:t>
      </w:r>
      <w:r>
        <w:rPr>
          <w:spacing w:val="44"/>
        </w:rPr>
        <w:t xml:space="preserve"> </w:t>
      </w:r>
      <w:r>
        <w:rPr>
          <w:spacing w:val="-1"/>
        </w:rPr>
        <w:t>the</w:t>
      </w:r>
      <w:r>
        <w:rPr>
          <w:spacing w:val="43"/>
        </w:rPr>
        <w:t xml:space="preserve"> </w:t>
      </w:r>
      <w:r>
        <w:rPr>
          <w:spacing w:val="-1"/>
        </w:rPr>
        <w:t>other</w:t>
      </w:r>
      <w:r>
        <w:rPr>
          <w:spacing w:val="56"/>
        </w:rPr>
        <w:t xml:space="preserve"> </w:t>
      </w:r>
      <w:r>
        <w:rPr>
          <w:spacing w:val="-1"/>
        </w:rPr>
        <w:t>Party's</w:t>
      </w:r>
      <w:r>
        <w:rPr>
          <w:spacing w:val="18"/>
        </w:rPr>
        <w:t xml:space="preserve"> </w:t>
      </w:r>
      <w:r>
        <w:rPr>
          <w:spacing w:val="-1"/>
        </w:rPr>
        <w:t>Confidential</w:t>
      </w:r>
      <w:r>
        <w:rPr>
          <w:spacing w:val="17"/>
        </w:rPr>
        <w:t xml:space="preserve"> </w:t>
      </w:r>
      <w:r>
        <w:rPr>
          <w:spacing w:val="-1"/>
        </w:rPr>
        <w:t>Information</w:t>
      </w:r>
      <w:r>
        <w:rPr>
          <w:spacing w:val="17"/>
        </w:rPr>
        <w:t xml:space="preserve"> </w:t>
      </w:r>
      <w:r>
        <w:rPr>
          <w:spacing w:val="-1"/>
        </w:rPr>
        <w:t>save</w:t>
      </w:r>
      <w:r>
        <w:rPr>
          <w:spacing w:val="17"/>
        </w:rPr>
        <w:t xml:space="preserve"> </w:t>
      </w:r>
      <w:r>
        <w:t>to</w:t>
      </w:r>
      <w:r>
        <w:rPr>
          <w:spacing w:val="17"/>
        </w:rPr>
        <w:t xml:space="preserve"> </w:t>
      </w:r>
      <w:r>
        <w:t>the</w:t>
      </w:r>
      <w:r>
        <w:rPr>
          <w:spacing w:val="17"/>
        </w:rPr>
        <w:t xml:space="preserve"> </w:t>
      </w:r>
      <w:r>
        <w:rPr>
          <w:spacing w:val="-2"/>
        </w:rPr>
        <w:t>extent</w:t>
      </w:r>
      <w:r>
        <w:rPr>
          <w:spacing w:val="19"/>
        </w:rPr>
        <w:t xml:space="preserve"> </w:t>
      </w:r>
      <w:r>
        <w:rPr>
          <w:spacing w:val="-1"/>
        </w:rPr>
        <w:t>(and</w:t>
      </w:r>
      <w:r>
        <w:rPr>
          <w:spacing w:val="15"/>
        </w:rPr>
        <w:t xml:space="preserve"> </w:t>
      </w:r>
      <w:r>
        <w:t>for</w:t>
      </w:r>
      <w:r>
        <w:rPr>
          <w:spacing w:val="16"/>
        </w:rPr>
        <w:t xml:space="preserve"> </w:t>
      </w:r>
      <w:r>
        <w:t>the</w:t>
      </w:r>
      <w:r>
        <w:rPr>
          <w:spacing w:val="17"/>
        </w:rPr>
        <w:t xml:space="preserve"> </w:t>
      </w:r>
      <w:r>
        <w:rPr>
          <w:spacing w:val="-1"/>
        </w:rPr>
        <w:t>limited</w:t>
      </w:r>
      <w:r>
        <w:rPr>
          <w:spacing w:val="17"/>
        </w:rPr>
        <w:t xml:space="preserve"> </w:t>
      </w:r>
      <w:r>
        <w:rPr>
          <w:spacing w:val="-2"/>
        </w:rPr>
        <w:t>period)</w:t>
      </w:r>
      <w:r>
        <w:rPr>
          <w:spacing w:val="19"/>
        </w:rPr>
        <w:t xml:space="preserve"> </w:t>
      </w:r>
      <w:r>
        <w:rPr>
          <w:spacing w:val="-1"/>
        </w:rPr>
        <w:t>that</w:t>
      </w:r>
      <w:r>
        <w:rPr>
          <w:spacing w:val="53"/>
        </w:rPr>
        <w:t xml:space="preserve"> </w:t>
      </w:r>
      <w:r>
        <w:rPr>
          <w:spacing w:val="-1"/>
        </w:rPr>
        <w:t>such</w:t>
      </w:r>
      <w:r>
        <w:rPr>
          <w:spacing w:val="13"/>
        </w:rPr>
        <w:t xml:space="preserve"> </w:t>
      </w:r>
      <w:r>
        <w:rPr>
          <w:spacing w:val="-1"/>
        </w:rPr>
        <w:t>information</w:t>
      </w:r>
      <w:r>
        <w:rPr>
          <w:spacing w:val="12"/>
        </w:rPr>
        <w:t xml:space="preserve"> </w:t>
      </w:r>
      <w:r>
        <w:rPr>
          <w:spacing w:val="-1"/>
        </w:rPr>
        <w:t>needs</w:t>
      </w:r>
      <w:r>
        <w:rPr>
          <w:spacing w:val="10"/>
        </w:rPr>
        <w:t xml:space="preserve"> </w:t>
      </w:r>
      <w:r>
        <w:rPr>
          <w:spacing w:val="-1"/>
        </w:rPr>
        <w:t>to</w:t>
      </w:r>
      <w:r>
        <w:rPr>
          <w:spacing w:val="12"/>
        </w:rPr>
        <w:t xml:space="preserve"> </w:t>
      </w:r>
      <w:r>
        <w:rPr>
          <w:spacing w:val="-1"/>
        </w:rPr>
        <w:t>be</w:t>
      </w:r>
      <w:r>
        <w:rPr>
          <w:spacing w:val="12"/>
        </w:rPr>
        <w:t xml:space="preserve"> </w:t>
      </w:r>
      <w:r>
        <w:rPr>
          <w:spacing w:val="-1"/>
        </w:rPr>
        <w:t>retained</w:t>
      </w:r>
      <w:r>
        <w:rPr>
          <w:spacing w:val="12"/>
        </w:rPr>
        <w:t xml:space="preserve"> </w:t>
      </w:r>
      <w:r>
        <w:rPr>
          <w:spacing w:val="-1"/>
        </w:rPr>
        <w:t>by</w:t>
      </w:r>
      <w:r>
        <w:rPr>
          <w:spacing w:val="10"/>
        </w:rPr>
        <w:t xml:space="preserve"> </w:t>
      </w:r>
      <w:r>
        <w:t>the</w:t>
      </w:r>
      <w:r>
        <w:rPr>
          <w:spacing w:val="12"/>
        </w:rPr>
        <w:t xml:space="preserve"> </w:t>
      </w:r>
      <w:r>
        <w:rPr>
          <w:spacing w:val="-1"/>
        </w:rPr>
        <w:t>Party</w:t>
      </w:r>
      <w:r>
        <w:rPr>
          <w:spacing w:val="10"/>
        </w:rPr>
        <w:t xml:space="preserve"> </w:t>
      </w:r>
      <w:r>
        <w:rPr>
          <w:spacing w:val="-1"/>
        </w:rPr>
        <w:t>in</w:t>
      </w:r>
      <w:r>
        <w:rPr>
          <w:spacing w:val="12"/>
        </w:rPr>
        <w:t xml:space="preserve"> </w:t>
      </w:r>
      <w:r>
        <w:rPr>
          <w:spacing w:val="-1"/>
        </w:rPr>
        <w:t>question</w:t>
      </w:r>
      <w:r>
        <w:rPr>
          <w:spacing w:val="10"/>
        </w:rPr>
        <w:t xml:space="preserve"> </w:t>
      </w:r>
      <w:r>
        <w:t>for</w:t>
      </w:r>
      <w:r>
        <w:rPr>
          <w:spacing w:val="14"/>
        </w:rPr>
        <w:t xml:space="preserve"> </w:t>
      </w:r>
      <w:r>
        <w:t>the</w:t>
      </w:r>
      <w:r>
        <w:rPr>
          <w:spacing w:val="12"/>
        </w:rPr>
        <w:t xml:space="preserve"> </w:t>
      </w:r>
      <w:r>
        <w:rPr>
          <w:spacing w:val="-2"/>
        </w:rPr>
        <w:t>purposes</w:t>
      </w:r>
      <w:r>
        <w:rPr>
          <w:spacing w:val="13"/>
        </w:rPr>
        <w:t xml:space="preserve"> </w:t>
      </w:r>
      <w:r>
        <w:rPr>
          <w:spacing w:val="-2"/>
        </w:rPr>
        <w:t>of</w:t>
      </w:r>
      <w:r>
        <w:rPr>
          <w:spacing w:val="53"/>
        </w:rPr>
        <w:t xml:space="preserve"> </w:t>
      </w:r>
      <w:r>
        <w:rPr>
          <w:spacing w:val="-2"/>
        </w:rPr>
        <w:t>providing</w:t>
      </w:r>
      <w:r>
        <w:rPr>
          <w:spacing w:val="34"/>
        </w:rPr>
        <w:t xml:space="preserve"> </w:t>
      </w:r>
      <w:r>
        <w:rPr>
          <w:spacing w:val="-1"/>
        </w:rPr>
        <w:t>or</w:t>
      </w:r>
      <w:r>
        <w:rPr>
          <w:spacing w:val="33"/>
        </w:rPr>
        <w:t xml:space="preserve"> </w:t>
      </w:r>
      <w:r>
        <w:rPr>
          <w:spacing w:val="-2"/>
        </w:rPr>
        <w:t>receiving</w:t>
      </w:r>
      <w:r>
        <w:rPr>
          <w:spacing w:val="34"/>
        </w:rPr>
        <w:t xml:space="preserve"> </w:t>
      </w:r>
      <w:r>
        <w:rPr>
          <w:spacing w:val="-2"/>
        </w:rPr>
        <w:t>any</w:t>
      </w:r>
      <w:r>
        <w:rPr>
          <w:spacing w:val="30"/>
        </w:rPr>
        <w:t xml:space="preserve"> </w:t>
      </w:r>
      <w:r>
        <w:rPr>
          <w:spacing w:val="-1"/>
        </w:rPr>
        <w:t>Goods</w:t>
      </w:r>
      <w:r>
        <w:rPr>
          <w:spacing w:val="32"/>
        </w:rPr>
        <w:t xml:space="preserve"> </w:t>
      </w:r>
      <w:r>
        <w:rPr>
          <w:spacing w:val="-1"/>
        </w:rPr>
        <w:t>and/or</w:t>
      </w:r>
      <w:r>
        <w:rPr>
          <w:spacing w:val="33"/>
        </w:rPr>
        <w:t xml:space="preserve"> </w:t>
      </w:r>
      <w:r>
        <w:rPr>
          <w:spacing w:val="-1"/>
        </w:rPr>
        <w:t>Services</w:t>
      </w:r>
      <w:r>
        <w:rPr>
          <w:spacing w:val="34"/>
        </w:rPr>
        <w:t xml:space="preserve"> </w:t>
      </w:r>
      <w:r>
        <w:rPr>
          <w:spacing w:val="-1"/>
        </w:rPr>
        <w:t>or</w:t>
      </w:r>
      <w:r>
        <w:rPr>
          <w:spacing w:val="31"/>
        </w:rPr>
        <w:t xml:space="preserve"> </w:t>
      </w:r>
      <w:r>
        <w:rPr>
          <w:spacing w:val="-1"/>
        </w:rPr>
        <w:t>Termination</w:t>
      </w:r>
      <w:r>
        <w:rPr>
          <w:spacing w:val="31"/>
        </w:rPr>
        <w:t xml:space="preserve"> </w:t>
      </w:r>
      <w:r>
        <w:rPr>
          <w:spacing w:val="-1"/>
        </w:rPr>
        <w:t>Services</w:t>
      </w:r>
      <w:r>
        <w:rPr>
          <w:spacing w:val="32"/>
        </w:rPr>
        <w:t xml:space="preserve"> </w:t>
      </w:r>
      <w:r>
        <w:rPr>
          <w:spacing w:val="-1"/>
        </w:rPr>
        <w:t>or</w:t>
      </w:r>
      <w:r>
        <w:rPr>
          <w:spacing w:val="30"/>
        </w:rPr>
        <w:t xml:space="preserve"> </w:t>
      </w:r>
      <w:r>
        <w:t>for</w:t>
      </w:r>
      <w:r>
        <w:rPr>
          <w:spacing w:val="61"/>
        </w:rPr>
        <w:t xml:space="preserve"> </w:t>
      </w:r>
      <w:r>
        <w:rPr>
          <w:spacing w:val="-1"/>
        </w:rPr>
        <w:t>statutory</w:t>
      </w:r>
      <w:r>
        <w:rPr>
          <w:spacing w:val="-2"/>
        </w:rPr>
        <w:t xml:space="preserve"> compliance</w:t>
      </w:r>
      <w:r>
        <w:rPr>
          <w:spacing w:val="1"/>
        </w:rPr>
        <w:t xml:space="preserve"> </w:t>
      </w:r>
      <w:r>
        <w:rPr>
          <w:spacing w:val="-1"/>
        </w:rPr>
        <w:t>purposes.</w:t>
      </w:r>
    </w:p>
    <w:p w:rsidR="008918FA" w:rsidRDefault="008918FA" w:rsidP="008918FA">
      <w:pPr>
        <w:pStyle w:val="BodyText"/>
        <w:numPr>
          <w:ilvl w:val="1"/>
          <w:numId w:val="9"/>
        </w:numPr>
        <w:tabs>
          <w:tab w:val="left" w:pos="829"/>
        </w:tabs>
        <w:ind w:right="114"/>
        <w:jc w:val="both"/>
      </w:pPr>
      <w:r>
        <w:rPr>
          <w:spacing w:val="-1"/>
        </w:rPr>
        <w:t>Except</w:t>
      </w:r>
      <w:r>
        <w:rPr>
          <w:spacing w:val="40"/>
        </w:rPr>
        <w:t xml:space="preserve"> </w:t>
      </w:r>
      <w:r>
        <w:rPr>
          <w:spacing w:val="-2"/>
        </w:rPr>
        <w:t>where</w:t>
      </w:r>
      <w:r>
        <w:rPr>
          <w:spacing w:val="36"/>
        </w:rPr>
        <w:t xml:space="preserve"> </w:t>
      </w:r>
      <w:r>
        <w:rPr>
          <w:spacing w:val="-1"/>
        </w:rPr>
        <w:t>this</w:t>
      </w:r>
      <w:r>
        <w:rPr>
          <w:spacing w:val="37"/>
        </w:rPr>
        <w:t xml:space="preserve"> </w:t>
      </w:r>
      <w:r>
        <w:rPr>
          <w:spacing w:val="-2"/>
        </w:rPr>
        <w:t>Call</w:t>
      </w:r>
      <w:r>
        <w:rPr>
          <w:spacing w:val="40"/>
        </w:rPr>
        <w:t xml:space="preserve"> </w:t>
      </w:r>
      <w:r>
        <w:rPr>
          <w:spacing w:val="-1"/>
        </w:rPr>
        <w:t>Off</w:t>
      </w:r>
      <w:r>
        <w:rPr>
          <w:spacing w:val="40"/>
        </w:rPr>
        <w:t xml:space="preserve"> </w:t>
      </w:r>
      <w:r>
        <w:rPr>
          <w:spacing w:val="-2"/>
        </w:rPr>
        <w:t>Contract</w:t>
      </w:r>
      <w:r>
        <w:rPr>
          <w:spacing w:val="38"/>
        </w:rPr>
        <w:t xml:space="preserve"> </w:t>
      </w:r>
      <w:r>
        <w:rPr>
          <w:spacing w:val="-2"/>
        </w:rPr>
        <w:t>provides</w:t>
      </w:r>
      <w:r>
        <w:rPr>
          <w:spacing w:val="38"/>
        </w:rPr>
        <w:t xml:space="preserve"> </w:t>
      </w:r>
      <w:r>
        <w:rPr>
          <w:spacing w:val="-1"/>
        </w:rPr>
        <w:t>otherwise,</w:t>
      </w:r>
      <w:r>
        <w:rPr>
          <w:spacing w:val="38"/>
        </w:rPr>
        <w:t xml:space="preserve"> </w:t>
      </w:r>
      <w:r>
        <w:rPr>
          <w:spacing w:val="-1"/>
        </w:rPr>
        <w:t>all</w:t>
      </w:r>
      <w:r>
        <w:rPr>
          <w:spacing w:val="38"/>
        </w:rPr>
        <w:t xml:space="preserve"> </w:t>
      </w:r>
      <w:r>
        <w:rPr>
          <w:spacing w:val="-1"/>
        </w:rPr>
        <w:t>licences,</w:t>
      </w:r>
      <w:r>
        <w:rPr>
          <w:spacing w:val="38"/>
        </w:rPr>
        <w:t xml:space="preserve"> </w:t>
      </w:r>
      <w:r>
        <w:rPr>
          <w:spacing w:val="-1"/>
        </w:rPr>
        <w:t>leases</w:t>
      </w:r>
      <w:r>
        <w:rPr>
          <w:spacing w:val="37"/>
        </w:rPr>
        <w:t xml:space="preserve"> </w:t>
      </w:r>
      <w:r>
        <w:rPr>
          <w:spacing w:val="-1"/>
        </w:rPr>
        <w:t>and</w:t>
      </w:r>
      <w:r>
        <w:rPr>
          <w:spacing w:val="62"/>
        </w:rPr>
        <w:t xml:space="preserve"> </w:t>
      </w:r>
      <w:r>
        <w:rPr>
          <w:spacing w:val="-1"/>
        </w:rPr>
        <w:t>authorisations</w:t>
      </w:r>
      <w:r>
        <w:rPr>
          <w:spacing w:val="34"/>
        </w:rPr>
        <w:t xml:space="preserve"> </w:t>
      </w:r>
      <w:r>
        <w:rPr>
          <w:spacing w:val="-1"/>
        </w:rPr>
        <w:t>granted</w:t>
      </w:r>
      <w:r>
        <w:rPr>
          <w:spacing w:val="36"/>
        </w:rPr>
        <w:t xml:space="preserve"> </w:t>
      </w:r>
      <w:r>
        <w:rPr>
          <w:spacing w:val="-2"/>
        </w:rPr>
        <w:t>by</w:t>
      </w:r>
      <w:r>
        <w:rPr>
          <w:spacing w:val="34"/>
        </w:rPr>
        <w:t xml:space="preserve"> </w:t>
      </w:r>
      <w:r>
        <w:t>the</w:t>
      </w:r>
      <w:r>
        <w:rPr>
          <w:spacing w:val="36"/>
        </w:rPr>
        <w:t xml:space="preserve"> </w:t>
      </w:r>
      <w:r>
        <w:rPr>
          <w:spacing w:val="-1"/>
        </w:rPr>
        <w:t>Customer</w:t>
      </w:r>
      <w:r>
        <w:rPr>
          <w:spacing w:val="38"/>
        </w:rPr>
        <w:t xml:space="preserve"> </w:t>
      </w:r>
      <w:r>
        <w:t>to</w:t>
      </w:r>
      <w:r>
        <w:rPr>
          <w:spacing w:val="36"/>
        </w:rPr>
        <w:t xml:space="preserve"> </w:t>
      </w:r>
      <w:r>
        <w:rPr>
          <w:spacing w:val="-1"/>
        </w:rPr>
        <w:t>the</w:t>
      </w:r>
      <w:r>
        <w:rPr>
          <w:spacing w:val="37"/>
        </w:rPr>
        <w:t xml:space="preserve"> </w:t>
      </w:r>
      <w:r>
        <w:rPr>
          <w:spacing w:val="-2"/>
        </w:rPr>
        <w:t>Supplier</w:t>
      </w:r>
      <w:r>
        <w:rPr>
          <w:spacing w:val="38"/>
        </w:rPr>
        <w:t xml:space="preserve"> </w:t>
      </w:r>
      <w:r>
        <w:rPr>
          <w:spacing w:val="-1"/>
        </w:rPr>
        <w:t>in</w:t>
      </w:r>
      <w:r>
        <w:rPr>
          <w:spacing w:val="36"/>
        </w:rPr>
        <w:t xml:space="preserve"> </w:t>
      </w:r>
      <w:r>
        <w:rPr>
          <w:spacing w:val="-1"/>
        </w:rPr>
        <w:t>relation</w:t>
      </w:r>
      <w:r>
        <w:rPr>
          <w:spacing w:val="36"/>
        </w:rPr>
        <w:t xml:space="preserve"> </w:t>
      </w:r>
      <w:r>
        <w:t>to</w:t>
      </w:r>
      <w:r>
        <w:rPr>
          <w:spacing w:val="36"/>
        </w:rPr>
        <w:t xml:space="preserve"> </w:t>
      </w:r>
      <w:r>
        <w:t>the</w:t>
      </w:r>
      <w:r>
        <w:rPr>
          <w:spacing w:val="36"/>
        </w:rPr>
        <w:t xml:space="preserve"> </w:t>
      </w:r>
      <w:r>
        <w:rPr>
          <w:spacing w:val="-1"/>
        </w:rPr>
        <w:t>Goods</w:t>
      </w:r>
      <w:r>
        <w:rPr>
          <w:spacing w:val="56"/>
        </w:rPr>
        <w:t xml:space="preserve"> </w:t>
      </w:r>
      <w:r>
        <w:rPr>
          <w:spacing w:val="-1"/>
        </w:rPr>
        <w:t>and/or</w:t>
      </w:r>
      <w:r>
        <w:rPr>
          <w:spacing w:val="40"/>
        </w:rPr>
        <w:t xml:space="preserve"> </w:t>
      </w:r>
      <w:r>
        <w:rPr>
          <w:spacing w:val="-1"/>
        </w:rPr>
        <w:t>Services</w:t>
      </w:r>
      <w:r>
        <w:rPr>
          <w:spacing w:val="42"/>
        </w:rPr>
        <w:t xml:space="preserve"> </w:t>
      </w:r>
      <w:r>
        <w:rPr>
          <w:spacing w:val="-1"/>
        </w:rPr>
        <w:t>shall</w:t>
      </w:r>
      <w:r>
        <w:rPr>
          <w:spacing w:val="40"/>
        </w:rPr>
        <w:t xml:space="preserve"> </w:t>
      </w:r>
      <w:r>
        <w:rPr>
          <w:spacing w:val="-1"/>
        </w:rPr>
        <w:t>be</w:t>
      </w:r>
      <w:r>
        <w:rPr>
          <w:spacing w:val="41"/>
        </w:rPr>
        <w:t xml:space="preserve"> </w:t>
      </w:r>
      <w:r>
        <w:rPr>
          <w:spacing w:val="-1"/>
        </w:rPr>
        <w:t>terminated</w:t>
      </w:r>
      <w:r>
        <w:rPr>
          <w:spacing w:val="38"/>
        </w:rPr>
        <w:t xml:space="preserve"> </w:t>
      </w:r>
      <w:r>
        <w:rPr>
          <w:spacing w:val="-2"/>
        </w:rPr>
        <w:t>with</w:t>
      </w:r>
      <w:r>
        <w:rPr>
          <w:spacing w:val="41"/>
        </w:rPr>
        <w:t xml:space="preserve"> </w:t>
      </w:r>
      <w:r>
        <w:rPr>
          <w:spacing w:val="-1"/>
        </w:rPr>
        <w:t>effect</w:t>
      </w:r>
      <w:r>
        <w:rPr>
          <w:spacing w:val="39"/>
        </w:rPr>
        <w:t xml:space="preserve"> </w:t>
      </w:r>
      <w:r>
        <w:t>from</w:t>
      </w:r>
      <w:r>
        <w:rPr>
          <w:spacing w:val="40"/>
        </w:rPr>
        <w:t xml:space="preserve"> </w:t>
      </w:r>
      <w:r>
        <w:t>the</w:t>
      </w:r>
      <w:r>
        <w:rPr>
          <w:spacing w:val="38"/>
        </w:rPr>
        <w:t xml:space="preserve"> </w:t>
      </w:r>
      <w:r>
        <w:rPr>
          <w:spacing w:val="-1"/>
        </w:rPr>
        <w:t>end</w:t>
      </w:r>
      <w:r>
        <w:rPr>
          <w:spacing w:val="41"/>
        </w:rPr>
        <w:t xml:space="preserve"> </w:t>
      </w:r>
      <w:r>
        <w:rPr>
          <w:spacing w:val="-2"/>
        </w:rPr>
        <w:t>of</w:t>
      </w:r>
      <w:r>
        <w:rPr>
          <w:spacing w:val="40"/>
        </w:rPr>
        <w:t xml:space="preserve"> </w:t>
      </w:r>
      <w:r>
        <w:rPr>
          <w:spacing w:val="-1"/>
        </w:rPr>
        <w:t>the</w:t>
      </w:r>
      <w:r>
        <w:rPr>
          <w:spacing w:val="39"/>
        </w:rPr>
        <w:t xml:space="preserve"> </w:t>
      </w:r>
      <w:r>
        <w:rPr>
          <w:spacing w:val="-1"/>
        </w:rPr>
        <w:t>Termination</w:t>
      </w:r>
      <w:r>
        <w:rPr>
          <w:spacing w:val="41"/>
        </w:rPr>
        <w:t xml:space="preserve"> </w:t>
      </w:r>
      <w:r>
        <w:rPr>
          <w:spacing w:val="-1"/>
        </w:rPr>
        <w:t>Assistance</w:t>
      </w:r>
      <w:r>
        <w:t xml:space="preserve"> </w:t>
      </w:r>
      <w:r>
        <w:rPr>
          <w:spacing w:val="-2"/>
        </w:rPr>
        <w:t>Period.</w:t>
      </w:r>
    </w:p>
    <w:p w:rsidR="008918FA" w:rsidRDefault="008918FA" w:rsidP="008918FA">
      <w:pPr>
        <w:pStyle w:val="BodyText"/>
        <w:numPr>
          <w:ilvl w:val="0"/>
          <w:numId w:val="9"/>
        </w:numPr>
        <w:tabs>
          <w:tab w:val="left" w:pos="466"/>
        </w:tabs>
        <w:spacing w:before="120"/>
        <w:rPr>
          <w:rFonts w:ascii="Times New Roman" w:eastAsia="Times New Roman" w:hAnsi="Times New Roman" w:cs="Times New Roman"/>
        </w:rPr>
      </w:pPr>
      <w:r>
        <w:rPr>
          <w:rFonts w:ascii="Times New Roman"/>
          <w:spacing w:val="9"/>
        </w:rPr>
        <w:t>ASSETS</w:t>
      </w:r>
      <w:r>
        <w:rPr>
          <w:rFonts w:ascii="Times New Roman"/>
          <w:spacing w:val="33"/>
        </w:rPr>
        <w:t xml:space="preserve"> </w:t>
      </w:r>
      <w:r>
        <w:rPr>
          <w:rFonts w:ascii="Times New Roman"/>
          <w:spacing w:val="-2"/>
        </w:rPr>
        <w:t>AND</w:t>
      </w:r>
      <w:r>
        <w:rPr>
          <w:rFonts w:ascii="Times New Roman"/>
        </w:rPr>
        <w:t xml:space="preserve"> </w:t>
      </w:r>
      <w:r>
        <w:rPr>
          <w:rFonts w:ascii="Times New Roman"/>
          <w:spacing w:val="13"/>
        </w:rPr>
        <w:t xml:space="preserve"> </w:t>
      </w:r>
      <w:r>
        <w:rPr>
          <w:rFonts w:ascii="Times New Roman"/>
        </w:rPr>
        <w:t>S</w:t>
      </w:r>
      <w:r>
        <w:rPr>
          <w:rFonts w:ascii="Times New Roman"/>
          <w:spacing w:val="-32"/>
        </w:rPr>
        <w:t xml:space="preserve"> </w:t>
      </w:r>
      <w:r>
        <w:rPr>
          <w:rFonts w:ascii="Times New Roman"/>
          <w:spacing w:val="3"/>
        </w:rPr>
        <w:t>UB-CONTRACTS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9"/>
        </w:numPr>
        <w:tabs>
          <w:tab w:val="left" w:pos="829"/>
        </w:tabs>
        <w:spacing w:before="0"/>
        <w:ind w:left="827" w:right="114" w:hanging="359"/>
        <w:jc w:val="both"/>
      </w:pPr>
      <w:r>
        <w:rPr>
          <w:spacing w:val="-2"/>
        </w:rPr>
        <w:t>Following</w:t>
      </w:r>
      <w:r>
        <w:rPr>
          <w:spacing w:val="12"/>
        </w:rPr>
        <w:t xml:space="preserve"> </w:t>
      </w:r>
      <w:r>
        <w:rPr>
          <w:spacing w:val="-1"/>
        </w:rPr>
        <w:t>notice</w:t>
      </w:r>
      <w:r>
        <w:rPr>
          <w:spacing w:val="10"/>
        </w:rPr>
        <w:t xml:space="preserve"> </w:t>
      </w:r>
      <w:r>
        <w:rPr>
          <w:spacing w:val="-2"/>
        </w:rPr>
        <w:t>of</w:t>
      </w:r>
      <w:r>
        <w:rPr>
          <w:spacing w:val="11"/>
        </w:rPr>
        <w:t xml:space="preserve"> </w:t>
      </w:r>
      <w:r>
        <w:rPr>
          <w:spacing w:val="-1"/>
        </w:rPr>
        <w:t>termination</w:t>
      </w:r>
      <w:r>
        <w:rPr>
          <w:spacing w:val="10"/>
        </w:rPr>
        <w:t xml:space="preserve"> </w:t>
      </w:r>
      <w:r>
        <w:rPr>
          <w:spacing w:val="-2"/>
        </w:rPr>
        <w:t>of</w:t>
      </w:r>
      <w:r>
        <w:rPr>
          <w:spacing w:val="11"/>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1"/>
        </w:rPr>
        <w:t xml:space="preserve"> </w:t>
      </w:r>
      <w:r>
        <w:rPr>
          <w:spacing w:val="-2"/>
        </w:rPr>
        <w:t>Contract</w:t>
      </w:r>
      <w:r>
        <w:rPr>
          <w:spacing w:val="11"/>
        </w:rPr>
        <w:t xml:space="preserve"> </w:t>
      </w:r>
      <w:r>
        <w:rPr>
          <w:spacing w:val="-1"/>
        </w:rPr>
        <w:t>and</w:t>
      </w:r>
      <w:r>
        <w:rPr>
          <w:spacing w:val="10"/>
        </w:rPr>
        <w:t xml:space="preserve"> </w:t>
      </w:r>
      <w:r>
        <w:rPr>
          <w:spacing w:val="-2"/>
        </w:rPr>
        <w:t>during</w:t>
      </w:r>
      <w:r>
        <w:rPr>
          <w:spacing w:val="10"/>
        </w:rPr>
        <w:t xml:space="preserve"> </w:t>
      </w:r>
      <w:r>
        <w:t>the</w:t>
      </w:r>
      <w:r>
        <w:rPr>
          <w:spacing w:val="7"/>
        </w:rPr>
        <w:t xml:space="preserve"> </w:t>
      </w:r>
      <w:r>
        <w:rPr>
          <w:spacing w:val="-1"/>
        </w:rPr>
        <w:t>Termination</w:t>
      </w:r>
      <w:r>
        <w:rPr>
          <w:spacing w:val="66"/>
        </w:rPr>
        <w:t xml:space="preserve"> </w:t>
      </w:r>
      <w:r>
        <w:rPr>
          <w:spacing w:val="-1"/>
        </w:rPr>
        <w:t>Assistance</w:t>
      </w:r>
      <w:r>
        <w:t xml:space="preserve"> </w:t>
      </w:r>
      <w:r>
        <w:rPr>
          <w:spacing w:val="-1"/>
        </w:rPr>
        <w:t>Period,</w:t>
      </w:r>
      <w:r>
        <w:rPr>
          <w:spacing w:val="1"/>
        </w:rPr>
        <w:t xml:space="preserve"> </w:t>
      </w:r>
      <w:r>
        <w:t>the</w:t>
      </w:r>
      <w:r>
        <w:rPr>
          <w:spacing w:val="58"/>
        </w:rPr>
        <w:t xml:space="preserve"> </w:t>
      </w:r>
      <w:r>
        <w:rPr>
          <w:spacing w:val="-2"/>
        </w:rPr>
        <w:t>Supplier</w:t>
      </w:r>
      <w:r>
        <w:t xml:space="preserve">  </w:t>
      </w:r>
      <w:r>
        <w:rPr>
          <w:spacing w:val="-1"/>
        </w:rPr>
        <w:t>shall</w:t>
      </w:r>
      <w:r>
        <w:rPr>
          <w:spacing w:val="1"/>
        </w:rPr>
        <w:t xml:space="preserve"> </w:t>
      </w:r>
      <w:r>
        <w:rPr>
          <w:spacing w:val="-1"/>
        </w:rPr>
        <w:t>not,</w:t>
      </w:r>
      <w:r>
        <w:rPr>
          <w:spacing w:val="1"/>
        </w:rPr>
        <w:t xml:space="preserve"> </w:t>
      </w:r>
      <w:r>
        <w:rPr>
          <w:spacing w:val="-1"/>
        </w:rPr>
        <w:t>without</w:t>
      </w:r>
      <w:r>
        <w:rPr>
          <w:spacing w:val="1"/>
        </w:rPr>
        <w:t xml:space="preserve"> </w:t>
      </w:r>
      <w:r>
        <w:t>the</w:t>
      </w:r>
      <w:r>
        <w:rPr>
          <w:spacing w:val="60"/>
        </w:rPr>
        <w:t xml:space="preserve"> </w:t>
      </w:r>
      <w:r>
        <w:rPr>
          <w:spacing w:val="-1"/>
        </w:rPr>
        <w:t>Customer's</w:t>
      </w:r>
      <w:r>
        <w:t xml:space="preserve">  </w:t>
      </w:r>
      <w:r>
        <w:rPr>
          <w:spacing w:val="-2"/>
        </w:rPr>
        <w:t>prior</w:t>
      </w:r>
      <w:r>
        <w:rPr>
          <w:spacing w:val="3"/>
        </w:rPr>
        <w:t xml:space="preserve"> </w:t>
      </w:r>
      <w:r>
        <w:rPr>
          <w:spacing w:val="-1"/>
        </w:rPr>
        <w:t>written</w:t>
      </w:r>
      <w:r>
        <w:rPr>
          <w:spacing w:val="51"/>
        </w:rPr>
        <w:t xml:space="preserve"> </w:t>
      </w:r>
      <w:r>
        <w:rPr>
          <w:spacing w:val="-1"/>
        </w:rPr>
        <w:t>consent:</w:t>
      </w:r>
    </w:p>
    <w:p w:rsidR="008918FA" w:rsidRDefault="008918FA" w:rsidP="008918FA">
      <w:pPr>
        <w:pStyle w:val="BodyText"/>
        <w:numPr>
          <w:ilvl w:val="2"/>
          <w:numId w:val="9"/>
        </w:numPr>
        <w:tabs>
          <w:tab w:val="left" w:pos="2026"/>
        </w:tabs>
      </w:pPr>
      <w:r>
        <w:rPr>
          <w:spacing w:val="-1"/>
        </w:rPr>
        <w:t>terminate,</w:t>
      </w:r>
      <w:r>
        <w:t xml:space="preserve"> </w:t>
      </w:r>
      <w:r>
        <w:rPr>
          <w:spacing w:val="-1"/>
        </w:rPr>
        <w:t>enter</w:t>
      </w:r>
      <w:r>
        <w:rPr>
          <w:spacing w:val="2"/>
        </w:rPr>
        <w:t xml:space="preserve"> </w:t>
      </w:r>
      <w:r>
        <w:rPr>
          <w:spacing w:val="-1"/>
        </w:rPr>
        <w:t>into</w:t>
      </w:r>
      <w:r>
        <w:t xml:space="preserve"> </w:t>
      </w:r>
      <w:r>
        <w:rPr>
          <w:spacing w:val="-2"/>
        </w:rPr>
        <w:t>or</w:t>
      </w:r>
      <w:r>
        <w:rPr>
          <w:spacing w:val="2"/>
        </w:rPr>
        <w:t xml:space="preserve"> </w:t>
      </w:r>
      <w:r>
        <w:rPr>
          <w:spacing w:val="-1"/>
        </w:rPr>
        <w:t>vary</w:t>
      </w:r>
      <w:r>
        <w:rPr>
          <w:spacing w:val="-2"/>
        </w:rPr>
        <w:t xml:space="preserve"> </w:t>
      </w:r>
      <w:r>
        <w:rPr>
          <w:spacing w:val="-1"/>
        </w:rPr>
        <w:t>any</w:t>
      </w:r>
      <w:r>
        <w:rPr>
          <w:spacing w:val="-2"/>
        </w:rPr>
        <w:t xml:space="preserve"> </w:t>
      </w:r>
      <w:r>
        <w:rPr>
          <w:spacing w:val="-1"/>
        </w:rPr>
        <w:t>Sub-Contract;</w:t>
      </w:r>
    </w:p>
    <w:p w:rsidR="008918FA" w:rsidRDefault="008918FA" w:rsidP="008918FA">
      <w:pPr>
        <w:pStyle w:val="BodyText"/>
        <w:numPr>
          <w:ilvl w:val="2"/>
          <w:numId w:val="9"/>
        </w:numPr>
        <w:tabs>
          <w:tab w:val="left" w:pos="2026"/>
        </w:tabs>
        <w:spacing w:before="121"/>
        <w:ind w:right="116"/>
        <w:jc w:val="both"/>
      </w:pPr>
      <w:r>
        <w:rPr>
          <w:spacing w:val="-1"/>
        </w:rPr>
        <w:t>(subject</w:t>
      </w:r>
      <w:r>
        <w:rPr>
          <w:spacing w:val="43"/>
        </w:rPr>
        <w:t xml:space="preserve"> </w:t>
      </w:r>
      <w:r>
        <w:t>to</w:t>
      </w:r>
      <w:r>
        <w:rPr>
          <w:spacing w:val="41"/>
        </w:rPr>
        <w:t xml:space="preserve"> </w:t>
      </w:r>
      <w:r>
        <w:rPr>
          <w:spacing w:val="-1"/>
        </w:rPr>
        <w:t>normal</w:t>
      </w:r>
      <w:r>
        <w:rPr>
          <w:spacing w:val="40"/>
        </w:rPr>
        <w:t xml:space="preserve"> </w:t>
      </w:r>
      <w:r>
        <w:rPr>
          <w:spacing w:val="-1"/>
        </w:rPr>
        <w:t>maintenance</w:t>
      </w:r>
      <w:r>
        <w:rPr>
          <w:spacing w:val="42"/>
        </w:rPr>
        <w:t xml:space="preserve"> </w:t>
      </w:r>
      <w:r>
        <w:rPr>
          <w:spacing w:val="-1"/>
        </w:rPr>
        <w:t>requirements)</w:t>
      </w:r>
      <w:r>
        <w:rPr>
          <w:spacing w:val="43"/>
        </w:rPr>
        <w:t xml:space="preserve"> </w:t>
      </w:r>
      <w:r>
        <w:rPr>
          <w:spacing w:val="-1"/>
        </w:rPr>
        <w:t>make</w:t>
      </w:r>
      <w:r>
        <w:rPr>
          <w:spacing w:val="42"/>
        </w:rPr>
        <w:t xml:space="preserve"> </w:t>
      </w:r>
      <w:r>
        <w:rPr>
          <w:spacing w:val="-1"/>
        </w:rPr>
        <w:t>material</w:t>
      </w:r>
      <w:r>
        <w:rPr>
          <w:spacing w:val="22"/>
        </w:rPr>
        <w:t xml:space="preserve"> </w:t>
      </w:r>
      <w:r>
        <w:rPr>
          <w:spacing w:val="-1"/>
        </w:rPr>
        <w:t>modifications</w:t>
      </w:r>
      <w:r>
        <w:rPr>
          <w:spacing w:val="8"/>
        </w:rPr>
        <w:t xml:space="preserve"> </w:t>
      </w:r>
      <w:r>
        <w:t>to,</w:t>
      </w:r>
      <w:r>
        <w:rPr>
          <w:spacing w:val="9"/>
        </w:rPr>
        <w:t xml:space="preserve"> </w:t>
      </w:r>
      <w:r>
        <w:rPr>
          <w:spacing w:val="-1"/>
        </w:rPr>
        <w:t>or</w:t>
      </w:r>
      <w:r>
        <w:rPr>
          <w:spacing w:val="9"/>
        </w:rPr>
        <w:t xml:space="preserve"> </w:t>
      </w:r>
      <w:r>
        <w:rPr>
          <w:spacing w:val="-2"/>
        </w:rPr>
        <w:t>dispose</w:t>
      </w:r>
      <w:r>
        <w:rPr>
          <w:spacing w:val="10"/>
        </w:rPr>
        <w:t xml:space="preserve"> </w:t>
      </w:r>
      <w:r>
        <w:rPr>
          <w:spacing w:val="-1"/>
        </w:rPr>
        <w:t>of,</w:t>
      </w:r>
      <w:r>
        <w:rPr>
          <w:spacing w:val="11"/>
        </w:rPr>
        <w:t xml:space="preserve"> </w:t>
      </w:r>
      <w:r>
        <w:rPr>
          <w:spacing w:val="-1"/>
        </w:rPr>
        <w:t>any</w:t>
      </w:r>
      <w:r>
        <w:rPr>
          <w:spacing w:val="8"/>
        </w:rPr>
        <w:t xml:space="preserve"> </w:t>
      </w:r>
      <w:r>
        <w:rPr>
          <w:spacing w:val="-2"/>
        </w:rPr>
        <w:t>existing</w:t>
      </w:r>
      <w:r>
        <w:rPr>
          <w:spacing w:val="12"/>
        </w:rPr>
        <w:t xml:space="preserve"> </w:t>
      </w:r>
      <w:r>
        <w:rPr>
          <w:spacing w:val="-2"/>
        </w:rPr>
        <w:t>Supplier</w:t>
      </w:r>
      <w:r>
        <w:rPr>
          <w:spacing w:val="11"/>
        </w:rPr>
        <w:t xml:space="preserve"> </w:t>
      </w:r>
      <w:r>
        <w:rPr>
          <w:spacing w:val="-1"/>
        </w:rPr>
        <w:t>Assets</w:t>
      </w:r>
      <w:r>
        <w:rPr>
          <w:spacing w:val="10"/>
        </w:rPr>
        <w:t xml:space="preserve"> </w:t>
      </w:r>
      <w:r>
        <w:rPr>
          <w:spacing w:val="-2"/>
        </w:rPr>
        <w:t>or</w:t>
      </w:r>
      <w:r>
        <w:rPr>
          <w:spacing w:val="11"/>
        </w:rPr>
        <w:t xml:space="preserve"> </w:t>
      </w:r>
      <w:r>
        <w:rPr>
          <w:spacing w:val="-1"/>
        </w:rPr>
        <w:t>acquire</w:t>
      </w:r>
      <w:r>
        <w:rPr>
          <w:spacing w:val="59"/>
        </w:rPr>
        <w:t xml:space="preserve"> </w:t>
      </w:r>
      <w:r>
        <w:rPr>
          <w:spacing w:val="-1"/>
        </w:rPr>
        <w:t>any</w:t>
      </w:r>
      <w:r>
        <w:rPr>
          <w:spacing w:val="-2"/>
        </w:rPr>
        <w:t xml:space="preserve"> </w:t>
      </w:r>
      <w:r>
        <w:rPr>
          <w:spacing w:val="-1"/>
        </w:rPr>
        <w:t>new</w:t>
      </w:r>
      <w:r>
        <w:rPr>
          <w:spacing w:val="-3"/>
        </w:rPr>
        <w:t xml:space="preserve"> </w:t>
      </w:r>
      <w:r>
        <w:rPr>
          <w:spacing w:val="-1"/>
        </w:rPr>
        <w:t>Supplier</w:t>
      </w:r>
      <w:r>
        <w:rPr>
          <w:spacing w:val="2"/>
        </w:rPr>
        <w:t xml:space="preserve"> </w:t>
      </w:r>
      <w:r>
        <w:rPr>
          <w:spacing w:val="-1"/>
        </w:rPr>
        <w:t>Assets;</w:t>
      </w:r>
      <w:r>
        <w:rPr>
          <w:spacing w:val="2"/>
        </w:rPr>
        <w:t xml:space="preserve"> </w:t>
      </w:r>
      <w:r>
        <w:rPr>
          <w:spacing w:val="-2"/>
        </w:rPr>
        <w:t>or</w:t>
      </w:r>
    </w:p>
    <w:p w:rsidR="008918FA" w:rsidRDefault="008918FA" w:rsidP="008918FA">
      <w:pPr>
        <w:pStyle w:val="BodyText"/>
        <w:numPr>
          <w:ilvl w:val="2"/>
          <w:numId w:val="9"/>
        </w:numPr>
        <w:tabs>
          <w:tab w:val="left" w:pos="2026"/>
        </w:tabs>
        <w:ind w:right="120"/>
        <w:jc w:val="both"/>
      </w:pPr>
      <w:r>
        <w:rPr>
          <w:spacing w:val="-1"/>
        </w:rPr>
        <w:t>terminate,</w:t>
      </w:r>
      <w:r>
        <w:rPr>
          <w:spacing w:val="4"/>
        </w:rPr>
        <w:t xml:space="preserve"> </w:t>
      </w:r>
      <w:r>
        <w:rPr>
          <w:spacing w:val="-1"/>
        </w:rPr>
        <w:t>enter</w:t>
      </w:r>
      <w:r>
        <w:rPr>
          <w:spacing w:val="4"/>
        </w:rPr>
        <w:t xml:space="preserve"> </w:t>
      </w:r>
      <w:r>
        <w:rPr>
          <w:spacing w:val="-1"/>
        </w:rPr>
        <w:t>into</w:t>
      </w:r>
      <w:r>
        <w:rPr>
          <w:spacing w:val="3"/>
        </w:rPr>
        <w:t xml:space="preserve"> </w:t>
      </w:r>
      <w:r>
        <w:rPr>
          <w:spacing w:val="-1"/>
        </w:rPr>
        <w:t>or</w:t>
      </w:r>
      <w:r>
        <w:rPr>
          <w:spacing w:val="4"/>
        </w:rPr>
        <w:t xml:space="preserve"> </w:t>
      </w:r>
      <w:r>
        <w:rPr>
          <w:spacing w:val="-1"/>
        </w:rPr>
        <w:t>vary</w:t>
      </w:r>
      <w:r>
        <w:rPr>
          <w:spacing w:val="1"/>
        </w:rPr>
        <w:t xml:space="preserve"> </w:t>
      </w:r>
      <w:r>
        <w:t>any</w:t>
      </w:r>
      <w:r>
        <w:rPr>
          <w:spacing w:val="1"/>
        </w:rPr>
        <w:t xml:space="preserve"> </w:t>
      </w:r>
      <w:r>
        <w:rPr>
          <w:spacing w:val="-1"/>
        </w:rPr>
        <w:t>licence</w:t>
      </w:r>
      <w:r>
        <w:rPr>
          <w:spacing w:val="3"/>
        </w:rPr>
        <w:t xml:space="preserve"> </w:t>
      </w:r>
      <w:r>
        <w:t>for</w:t>
      </w:r>
      <w:r>
        <w:rPr>
          <w:spacing w:val="4"/>
        </w:rPr>
        <w:t xml:space="preserve"> </w:t>
      </w:r>
      <w:r>
        <w:rPr>
          <w:spacing w:val="-1"/>
        </w:rPr>
        <w:t>software</w:t>
      </w:r>
      <w:r>
        <w:rPr>
          <w:spacing w:val="3"/>
        </w:rPr>
        <w:t xml:space="preserve"> </w:t>
      </w:r>
      <w:r>
        <w:rPr>
          <w:spacing w:val="-1"/>
        </w:rPr>
        <w:t>in</w:t>
      </w:r>
      <w:r>
        <w:rPr>
          <w:spacing w:val="3"/>
        </w:rPr>
        <w:t xml:space="preserve"> </w:t>
      </w:r>
      <w:r>
        <w:rPr>
          <w:spacing w:val="-1"/>
        </w:rPr>
        <w:t>connection</w:t>
      </w:r>
      <w:r>
        <w:rPr>
          <w:spacing w:val="5"/>
        </w:rPr>
        <w:t xml:space="preserve"> </w:t>
      </w:r>
      <w:r>
        <w:rPr>
          <w:spacing w:val="-2"/>
        </w:rPr>
        <w:t>with</w:t>
      </w:r>
      <w:r>
        <w:rPr>
          <w:spacing w:val="39"/>
        </w:rPr>
        <w:t xml:space="preserve"> </w:t>
      </w:r>
      <w:r>
        <w:t xml:space="preserve">the </w:t>
      </w:r>
      <w:r>
        <w:rPr>
          <w:spacing w:val="-2"/>
        </w:rPr>
        <w:t>provision</w:t>
      </w:r>
      <w:r>
        <w:t xml:space="preserve"> </w:t>
      </w:r>
      <w:r>
        <w:rPr>
          <w:spacing w:val="-1"/>
        </w:rPr>
        <w:t>of</w:t>
      </w:r>
      <w:r>
        <w:t xml:space="preserve"> </w:t>
      </w:r>
      <w:r>
        <w:rPr>
          <w:spacing w:val="-1"/>
        </w:rPr>
        <w:t>Goods</w:t>
      </w:r>
      <w:r>
        <w:rPr>
          <w:spacing w:val="1"/>
        </w:rPr>
        <w:t xml:space="preserve"> </w:t>
      </w:r>
      <w:r>
        <w:rPr>
          <w:spacing w:val="-1"/>
        </w:rPr>
        <w:t>and/or</w:t>
      </w:r>
      <w:r>
        <w:t xml:space="preserve"> </w:t>
      </w:r>
      <w:r>
        <w:rPr>
          <w:spacing w:val="-2"/>
        </w:rPr>
        <w:t>Services.</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numPr>
          <w:ilvl w:val="1"/>
          <w:numId w:val="9"/>
        </w:numPr>
        <w:tabs>
          <w:tab w:val="left" w:pos="689"/>
        </w:tabs>
        <w:spacing w:before="59"/>
        <w:ind w:left="688" w:right="113"/>
        <w:jc w:val="both"/>
      </w:pPr>
      <w:r>
        <w:rPr>
          <w:spacing w:val="-1"/>
        </w:rPr>
        <w:t>Within</w:t>
      </w:r>
      <w:r>
        <w:rPr>
          <w:spacing w:val="8"/>
        </w:rPr>
        <w:t xml:space="preserve"> </w:t>
      </w:r>
      <w:r>
        <w:rPr>
          <w:spacing w:val="-1"/>
        </w:rPr>
        <w:t>twenty</w:t>
      </w:r>
      <w:r>
        <w:rPr>
          <w:spacing w:val="5"/>
        </w:rPr>
        <w:t xml:space="preserve"> </w:t>
      </w:r>
      <w:r>
        <w:rPr>
          <w:spacing w:val="-1"/>
        </w:rPr>
        <w:t>(20)</w:t>
      </w:r>
      <w:r>
        <w:rPr>
          <w:spacing w:val="-3"/>
        </w:rPr>
        <w:t xml:space="preserve"> </w:t>
      </w:r>
      <w:r>
        <w:rPr>
          <w:spacing w:val="-1"/>
        </w:rPr>
        <w:t>Working</w:t>
      </w:r>
      <w:r>
        <w:rPr>
          <w:spacing w:val="10"/>
        </w:rPr>
        <w:t xml:space="preserve"> </w:t>
      </w:r>
      <w:r>
        <w:rPr>
          <w:spacing w:val="-2"/>
        </w:rPr>
        <w:t>Days</w:t>
      </w:r>
      <w:r>
        <w:rPr>
          <w:spacing w:val="8"/>
        </w:rPr>
        <w:t xml:space="preserve"> </w:t>
      </w:r>
      <w:r>
        <w:rPr>
          <w:spacing w:val="-1"/>
        </w:rPr>
        <w:t>of</w:t>
      </w:r>
      <w:r>
        <w:rPr>
          <w:spacing w:val="11"/>
        </w:rPr>
        <w:t xml:space="preserve"> </w:t>
      </w:r>
      <w:r>
        <w:rPr>
          <w:spacing w:val="-1"/>
        </w:rPr>
        <w:t>receipt</w:t>
      </w:r>
      <w:r>
        <w:rPr>
          <w:spacing w:val="9"/>
        </w:rPr>
        <w:t xml:space="preserve"> </w:t>
      </w:r>
      <w:r>
        <w:rPr>
          <w:spacing w:val="-2"/>
        </w:rPr>
        <w:t>of</w:t>
      </w:r>
      <w:r>
        <w:rPr>
          <w:spacing w:val="11"/>
        </w:rPr>
        <w:t xml:space="preserve"> </w:t>
      </w:r>
      <w:r>
        <w:t>the</w:t>
      </w:r>
      <w:r>
        <w:rPr>
          <w:spacing w:val="5"/>
        </w:rPr>
        <w:t xml:space="preserve"> </w:t>
      </w:r>
      <w:r>
        <w:rPr>
          <w:spacing w:val="-1"/>
        </w:rPr>
        <w:t>up-to-date</w:t>
      </w:r>
      <w:r>
        <w:rPr>
          <w:spacing w:val="7"/>
        </w:rPr>
        <w:t xml:space="preserve"> </w:t>
      </w:r>
      <w:r>
        <w:rPr>
          <w:spacing w:val="-1"/>
        </w:rPr>
        <w:t>Registers</w:t>
      </w:r>
      <w:r>
        <w:rPr>
          <w:spacing w:val="8"/>
        </w:rPr>
        <w:t xml:space="preserve"> </w:t>
      </w:r>
      <w:r>
        <w:rPr>
          <w:spacing w:val="-2"/>
        </w:rPr>
        <w:t>provided</w:t>
      </w:r>
      <w:r>
        <w:rPr>
          <w:spacing w:val="7"/>
        </w:rPr>
        <w:t xml:space="preserve"> </w:t>
      </w:r>
      <w:r>
        <w:rPr>
          <w:spacing w:val="1"/>
        </w:rPr>
        <w:t>by</w:t>
      </w:r>
      <w:r>
        <w:rPr>
          <w:spacing w:val="61"/>
        </w:rPr>
        <w:t xml:space="preserve"> </w:t>
      </w:r>
      <w:r>
        <w:t>the</w:t>
      </w:r>
      <w:r>
        <w:rPr>
          <w:spacing w:val="27"/>
        </w:rPr>
        <w:t xml:space="preserve"> </w:t>
      </w:r>
      <w:r>
        <w:rPr>
          <w:spacing w:val="-2"/>
        </w:rPr>
        <w:t>Supplier</w:t>
      </w:r>
      <w:r>
        <w:rPr>
          <w:spacing w:val="28"/>
        </w:rPr>
        <w:t xml:space="preserve"> </w:t>
      </w:r>
      <w:r>
        <w:rPr>
          <w:spacing w:val="-1"/>
        </w:rPr>
        <w:t>pursuant</w:t>
      </w:r>
      <w:r>
        <w:rPr>
          <w:spacing w:val="26"/>
        </w:rPr>
        <w:t xml:space="preserve"> </w:t>
      </w:r>
      <w:r>
        <w:t>to</w:t>
      </w:r>
      <w:r>
        <w:rPr>
          <w:spacing w:val="24"/>
        </w:rPr>
        <w:t xml:space="preserve"> </w:t>
      </w:r>
      <w:r>
        <w:rPr>
          <w:spacing w:val="-1"/>
        </w:rPr>
        <w:t>paragraph</w:t>
      </w:r>
      <w:r>
        <w:rPr>
          <w:spacing w:val="2"/>
        </w:rPr>
        <w:t xml:space="preserve"> </w:t>
      </w:r>
      <w:hyperlink w:anchor="_bookmark378" w:history="1">
        <w:r>
          <w:rPr>
            <w:spacing w:val="-1"/>
          </w:rPr>
          <w:t>7.1.5</w:t>
        </w:r>
      </w:hyperlink>
      <w:r>
        <w:rPr>
          <w:spacing w:val="27"/>
        </w:rPr>
        <w:t xml:space="preserve"> </w:t>
      </w:r>
      <w:r>
        <w:rPr>
          <w:spacing w:val="-2"/>
        </w:rPr>
        <w:t>of</w:t>
      </w:r>
      <w:r>
        <w:rPr>
          <w:spacing w:val="30"/>
        </w:rPr>
        <w:t xml:space="preserve"> </w:t>
      </w:r>
      <w:r>
        <w:rPr>
          <w:spacing w:val="-1"/>
        </w:rPr>
        <w:t>this</w:t>
      </w:r>
      <w:r>
        <w:rPr>
          <w:spacing w:val="25"/>
        </w:rPr>
        <w:t xml:space="preserve"> </w:t>
      </w:r>
      <w:r>
        <w:rPr>
          <w:spacing w:val="-1"/>
        </w:rPr>
        <w:t>Call</w:t>
      </w:r>
      <w:r>
        <w:rPr>
          <w:spacing w:val="26"/>
        </w:rPr>
        <w:t xml:space="preserve"> </w:t>
      </w:r>
      <w:r>
        <w:t>Off</w:t>
      </w:r>
      <w:r>
        <w:rPr>
          <w:spacing w:val="28"/>
        </w:rPr>
        <w:t xml:space="preserve"> </w:t>
      </w:r>
      <w:r>
        <w:rPr>
          <w:spacing w:val="-1"/>
        </w:rPr>
        <w:t>Schedule,</w:t>
      </w:r>
      <w:r>
        <w:rPr>
          <w:spacing w:val="28"/>
        </w:rPr>
        <w:t xml:space="preserve"> </w:t>
      </w:r>
      <w:r>
        <w:t>the</w:t>
      </w:r>
      <w:r>
        <w:rPr>
          <w:spacing w:val="24"/>
        </w:rPr>
        <w:t xml:space="preserve"> </w:t>
      </w:r>
      <w:r>
        <w:rPr>
          <w:spacing w:val="-1"/>
        </w:rPr>
        <w:t>Customer</w:t>
      </w:r>
      <w:r>
        <w:rPr>
          <w:spacing w:val="45"/>
        </w:rPr>
        <w:t xml:space="preserve"> </w:t>
      </w:r>
      <w:r>
        <w:rPr>
          <w:spacing w:val="-1"/>
        </w:rPr>
        <w:t>shall</w:t>
      </w:r>
      <w:r>
        <w:t xml:space="preserve"> </w:t>
      </w:r>
      <w:r>
        <w:rPr>
          <w:spacing w:val="-2"/>
        </w:rPr>
        <w:t>provide</w:t>
      </w:r>
      <w:r>
        <w:t xml:space="preserve"> </w:t>
      </w:r>
      <w:r>
        <w:rPr>
          <w:spacing w:val="-1"/>
        </w:rPr>
        <w:t>written</w:t>
      </w:r>
      <w:r>
        <w:t xml:space="preserve"> </w:t>
      </w:r>
      <w:r>
        <w:rPr>
          <w:spacing w:val="-1"/>
        </w:rPr>
        <w:t>notice</w:t>
      </w:r>
      <w:r>
        <w:rPr>
          <w:spacing w:val="1"/>
        </w:rPr>
        <w:t xml:space="preserve"> </w:t>
      </w:r>
      <w:r>
        <w:t>to</w:t>
      </w:r>
      <w:r>
        <w:rPr>
          <w:spacing w:val="-2"/>
        </w:rPr>
        <w:t xml:space="preserve"> </w:t>
      </w:r>
      <w:r>
        <w:t>the</w:t>
      </w:r>
      <w:r>
        <w:rPr>
          <w:spacing w:val="-2"/>
        </w:rPr>
        <w:t xml:space="preserve"> Supplier</w:t>
      </w:r>
      <w:r>
        <w:rPr>
          <w:spacing w:val="2"/>
        </w:rPr>
        <w:t xml:space="preserve"> </w:t>
      </w:r>
      <w:r>
        <w:rPr>
          <w:spacing w:val="-1"/>
        </w:rPr>
        <w:t>setting</w:t>
      </w:r>
      <w:r>
        <w:t xml:space="preserve"> </w:t>
      </w:r>
      <w:r>
        <w:rPr>
          <w:spacing w:val="-1"/>
        </w:rPr>
        <w:t>out:</w:t>
      </w:r>
    </w:p>
    <w:p w:rsidR="008918FA" w:rsidRDefault="008918FA" w:rsidP="008918FA">
      <w:pPr>
        <w:pStyle w:val="BodyText"/>
        <w:numPr>
          <w:ilvl w:val="2"/>
          <w:numId w:val="9"/>
        </w:numPr>
        <w:tabs>
          <w:tab w:val="left" w:pos="1887"/>
        </w:tabs>
        <w:spacing w:before="120" w:line="239" w:lineRule="auto"/>
        <w:ind w:left="1886" w:right="113"/>
        <w:jc w:val="both"/>
      </w:pPr>
      <w:bookmarkStart w:id="461" w:name="_bookmark380"/>
      <w:bookmarkEnd w:id="461"/>
      <w:r>
        <w:rPr>
          <w:spacing w:val="-1"/>
        </w:rPr>
        <w:t>which,</w:t>
      </w:r>
      <w:r>
        <w:rPr>
          <w:spacing w:val="21"/>
        </w:rPr>
        <w:t xml:space="preserve"> </w:t>
      </w:r>
      <w:r>
        <w:rPr>
          <w:spacing w:val="-1"/>
        </w:rPr>
        <w:t>if</w:t>
      </w:r>
      <w:r>
        <w:rPr>
          <w:spacing w:val="23"/>
        </w:rPr>
        <w:t xml:space="preserve"> </w:t>
      </w:r>
      <w:r>
        <w:rPr>
          <w:spacing w:val="-2"/>
        </w:rPr>
        <w:t>any,</w:t>
      </w:r>
      <w:r>
        <w:rPr>
          <w:spacing w:val="21"/>
        </w:rPr>
        <w:t xml:space="preserve"> </w:t>
      </w:r>
      <w:r>
        <w:rPr>
          <w:spacing w:val="-2"/>
        </w:rPr>
        <w:t>of</w:t>
      </w:r>
      <w:r>
        <w:rPr>
          <w:spacing w:val="23"/>
        </w:rPr>
        <w:t xml:space="preserve"> </w:t>
      </w:r>
      <w:r>
        <w:t>the</w:t>
      </w:r>
      <w:r>
        <w:rPr>
          <w:spacing w:val="20"/>
        </w:rPr>
        <w:t xml:space="preserve"> </w:t>
      </w:r>
      <w:r>
        <w:rPr>
          <w:spacing w:val="-1"/>
        </w:rPr>
        <w:t>Transferable</w:t>
      </w:r>
      <w:r>
        <w:rPr>
          <w:spacing w:val="20"/>
        </w:rPr>
        <w:t xml:space="preserve"> </w:t>
      </w:r>
      <w:r>
        <w:rPr>
          <w:spacing w:val="-1"/>
        </w:rPr>
        <w:t>Assets</w:t>
      </w:r>
      <w:r>
        <w:rPr>
          <w:spacing w:val="18"/>
        </w:rPr>
        <w:t xml:space="preserve"> </w:t>
      </w:r>
      <w:r>
        <w:t>the</w:t>
      </w:r>
      <w:r>
        <w:rPr>
          <w:spacing w:val="19"/>
        </w:rPr>
        <w:t xml:space="preserve"> </w:t>
      </w:r>
      <w:r>
        <w:rPr>
          <w:spacing w:val="-1"/>
        </w:rPr>
        <w:t>Customer</w:t>
      </w:r>
      <w:r>
        <w:rPr>
          <w:spacing w:val="21"/>
        </w:rPr>
        <w:t xml:space="preserve"> </w:t>
      </w:r>
      <w:r>
        <w:rPr>
          <w:spacing w:val="-1"/>
        </w:rPr>
        <w:t>requires</w:t>
      </w:r>
      <w:r>
        <w:rPr>
          <w:spacing w:val="20"/>
        </w:rPr>
        <w:t xml:space="preserve"> </w:t>
      </w:r>
      <w:r>
        <w:t>to</w:t>
      </w:r>
      <w:r>
        <w:rPr>
          <w:spacing w:val="20"/>
        </w:rPr>
        <w:t xml:space="preserve"> </w:t>
      </w:r>
      <w:r>
        <w:rPr>
          <w:spacing w:val="-1"/>
        </w:rPr>
        <w:t>be</w:t>
      </w:r>
      <w:r>
        <w:rPr>
          <w:spacing w:val="32"/>
        </w:rPr>
        <w:t xml:space="preserve"> </w:t>
      </w:r>
      <w:r>
        <w:rPr>
          <w:spacing w:val="-1"/>
        </w:rPr>
        <w:t>transferred</w:t>
      </w:r>
      <w:r>
        <w:rPr>
          <w:spacing w:val="12"/>
        </w:rPr>
        <w:t xml:space="preserve"> </w:t>
      </w:r>
      <w:r>
        <w:t>to</w:t>
      </w:r>
      <w:r>
        <w:rPr>
          <w:spacing w:val="12"/>
        </w:rPr>
        <w:t xml:space="preserve"> </w:t>
      </w:r>
      <w:r>
        <w:t>the</w:t>
      </w:r>
      <w:r>
        <w:rPr>
          <w:spacing w:val="12"/>
        </w:rPr>
        <w:t xml:space="preserve"> </w:t>
      </w:r>
      <w:r>
        <w:rPr>
          <w:spacing w:val="-2"/>
        </w:rPr>
        <w:t>Customer</w:t>
      </w:r>
      <w:r>
        <w:rPr>
          <w:spacing w:val="14"/>
        </w:rPr>
        <w:t xml:space="preserve"> </w:t>
      </w:r>
      <w:r>
        <w:rPr>
          <w:spacing w:val="-1"/>
        </w:rPr>
        <w:t>and/or</w:t>
      </w:r>
      <w:r>
        <w:rPr>
          <w:spacing w:val="14"/>
        </w:rPr>
        <w:t xml:space="preserve"> </w:t>
      </w:r>
      <w:r>
        <w:t>the</w:t>
      </w:r>
      <w:r>
        <w:rPr>
          <w:spacing w:val="12"/>
        </w:rPr>
        <w:t xml:space="preserve"> </w:t>
      </w:r>
      <w:r>
        <w:rPr>
          <w:spacing w:val="-1"/>
        </w:rPr>
        <w:t>Replacement</w:t>
      </w:r>
      <w:r>
        <w:rPr>
          <w:spacing w:val="14"/>
        </w:rPr>
        <w:t xml:space="preserve"> </w:t>
      </w:r>
      <w:r>
        <w:rPr>
          <w:spacing w:val="-2"/>
        </w:rPr>
        <w:t>Supplier</w:t>
      </w:r>
      <w:r>
        <w:rPr>
          <w:spacing w:val="40"/>
        </w:rPr>
        <w:t xml:space="preserve"> </w:t>
      </w:r>
      <w:r>
        <w:rPr>
          <w:spacing w:val="-1"/>
        </w:rPr>
        <w:t>(“</w:t>
      </w:r>
      <w:r>
        <w:rPr>
          <w:rFonts w:cs="Arial"/>
          <w:b/>
          <w:bCs/>
          <w:spacing w:val="-1"/>
        </w:rPr>
        <w:t>Transferring</w:t>
      </w:r>
      <w:r>
        <w:rPr>
          <w:rFonts w:cs="Arial"/>
          <w:b/>
          <w:bCs/>
        </w:rPr>
        <w:t xml:space="preserve"> </w:t>
      </w:r>
      <w:r>
        <w:rPr>
          <w:rFonts w:cs="Arial"/>
          <w:b/>
          <w:bCs/>
          <w:spacing w:val="-2"/>
        </w:rPr>
        <w:t>Assets</w:t>
      </w:r>
      <w:r>
        <w:rPr>
          <w:spacing w:val="-2"/>
        </w:rPr>
        <w:t>”);</w:t>
      </w:r>
    </w:p>
    <w:p w:rsidR="008918FA" w:rsidRDefault="008918FA" w:rsidP="008918FA">
      <w:pPr>
        <w:pStyle w:val="BodyText"/>
        <w:numPr>
          <w:ilvl w:val="2"/>
          <w:numId w:val="9"/>
        </w:numPr>
        <w:tabs>
          <w:tab w:val="left" w:pos="1887"/>
        </w:tabs>
        <w:spacing w:before="121"/>
        <w:ind w:left="1886"/>
        <w:jc w:val="both"/>
      </w:pPr>
      <w:bookmarkStart w:id="462" w:name="_bookmark381"/>
      <w:bookmarkEnd w:id="462"/>
      <w:r>
        <w:rPr>
          <w:spacing w:val="-1"/>
        </w:rPr>
        <w:t>which,</w:t>
      </w:r>
      <w:r>
        <w:rPr>
          <w:spacing w:val="2"/>
        </w:rPr>
        <w:t xml:space="preserve"> </w:t>
      </w:r>
      <w:r>
        <w:rPr>
          <w:spacing w:val="-2"/>
        </w:rPr>
        <w:t>if</w:t>
      </w:r>
      <w:r>
        <w:rPr>
          <w:spacing w:val="4"/>
        </w:rPr>
        <w:t xml:space="preserve"> </w:t>
      </w:r>
      <w:r>
        <w:rPr>
          <w:spacing w:val="-2"/>
        </w:rPr>
        <w:t>any,</w:t>
      </w:r>
      <w:r>
        <w:t xml:space="preserve"> </w:t>
      </w:r>
      <w:r>
        <w:rPr>
          <w:spacing w:val="-1"/>
        </w:rPr>
        <w:t>of:</w:t>
      </w:r>
    </w:p>
    <w:p w:rsidR="008918FA" w:rsidRDefault="008918FA" w:rsidP="008918FA">
      <w:pPr>
        <w:pStyle w:val="BodyText"/>
        <w:numPr>
          <w:ilvl w:val="3"/>
          <w:numId w:val="9"/>
        </w:numPr>
        <w:tabs>
          <w:tab w:val="left" w:pos="2595"/>
        </w:tabs>
        <w:spacing w:before="121"/>
        <w:ind w:left="2594"/>
      </w:pPr>
      <w:r>
        <w:t xml:space="preserve">the </w:t>
      </w:r>
      <w:r>
        <w:rPr>
          <w:spacing w:val="-2"/>
        </w:rPr>
        <w:t>Exclusive</w:t>
      </w:r>
      <w:r>
        <w:t xml:space="preserve"> </w:t>
      </w:r>
      <w:r>
        <w:rPr>
          <w:spacing w:val="-1"/>
        </w:rPr>
        <w:t>Assets</w:t>
      </w:r>
      <w:r>
        <w:rPr>
          <w:spacing w:val="1"/>
        </w:rPr>
        <w:t xml:space="preserve"> </w:t>
      </w:r>
      <w:r>
        <w:rPr>
          <w:spacing w:val="-1"/>
        </w:rPr>
        <w:t>that</w:t>
      </w:r>
      <w:r>
        <w:t xml:space="preserve"> </w:t>
      </w:r>
      <w:r>
        <w:rPr>
          <w:spacing w:val="-1"/>
        </w:rPr>
        <w:t>are</w:t>
      </w:r>
      <w:r>
        <w:rPr>
          <w:spacing w:val="-2"/>
        </w:rPr>
        <w:t xml:space="preserve"> </w:t>
      </w:r>
      <w:r>
        <w:rPr>
          <w:spacing w:val="-1"/>
        </w:rPr>
        <w:t>not</w:t>
      </w:r>
      <w:r>
        <w:rPr>
          <w:spacing w:val="-3"/>
        </w:rPr>
        <w:t xml:space="preserve"> </w:t>
      </w:r>
      <w:r>
        <w:rPr>
          <w:spacing w:val="-1"/>
        </w:rPr>
        <w:t>Transferable</w:t>
      </w:r>
      <w:r>
        <w:rPr>
          <w:spacing w:val="-2"/>
        </w:rPr>
        <w:t xml:space="preserve"> </w:t>
      </w:r>
      <w:r>
        <w:rPr>
          <w:spacing w:val="-1"/>
        </w:rPr>
        <w:t>Assets;</w:t>
      </w:r>
      <w:r>
        <w:t xml:space="preserve"> </w:t>
      </w:r>
      <w:r>
        <w:rPr>
          <w:spacing w:val="-1"/>
        </w:rPr>
        <w:t>and</w:t>
      </w:r>
    </w:p>
    <w:p w:rsidR="008918FA" w:rsidRDefault="008918FA" w:rsidP="008918FA">
      <w:pPr>
        <w:pStyle w:val="BodyText"/>
        <w:numPr>
          <w:ilvl w:val="3"/>
          <w:numId w:val="9"/>
        </w:numPr>
        <w:tabs>
          <w:tab w:val="left" w:pos="2595"/>
        </w:tabs>
        <w:ind w:left="2594"/>
      </w:pPr>
      <w:r>
        <w:t xml:space="preserve">the </w:t>
      </w:r>
      <w:r>
        <w:rPr>
          <w:spacing w:val="-2"/>
        </w:rPr>
        <w:t>Non-Exclusive</w:t>
      </w:r>
      <w:r>
        <w:t xml:space="preserve"> </w:t>
      </w:r>
      <w:r>
        <w:rPr>
          <w:spacing w:val="-1"/>
        </w:rPr>
        <w:t>Assets,</w:t>
      </w:r>
    </w:p>
    <w:p w:rsidR="008918FA" w:rsidRDefault="008918FA" w:rsidP="008918FA">
      <w:pPr>
        <w:pStyle w:val="BodyText"/>
        <w:spacing w:before="121"/>
        <w:ind w:right="115" w:firstLine="0"/>
      </w:pPr>
      <w:r>
        <w:t>the</w:t>
      </w:r>
      <w:r>
        <w:rPr>
          <w:spacing w:val="10"/>
        </w:rPr>
        <w:t xml:space="preserve"> </w:t>
      </w:r>
      <w:r>
        <w:rPr>
          <w:spacing w:val="-1"/>
        </w:rPr>
        <w:t>Customer</w:t>
      </w:r>
      <w:r>
        <w:rPr>
          <w:spacing w:val="11"/>
        </w:rPr>
        <w:t xml:space="preserve"> </w:t>
      </w:r>
      <w:r>
        <w:rPr>
          <w:spacing w:val="-1"/>
        </w:rPr>
        <w:t>and/or</w:t>
      </w:r>
      <w:r>
        <w:rPr>
          <w:spacing w:val="9"/>
        </w:rPr>
        <w:t xml:space="preserve"> </w:t>
      </w:r>
      <w:r>
        <w:t>the</w:t>
      </w:r>
      <w:r>
        <w:rPr>
          <w:spacing w:val="7"/>
        </w:rPr>
        <w:t xml:space="preserve"> </w:t>
      </w:r>
      <w:r>
        <w:rPr>
          <w:spacing w:val="-1"/>
        </w:rPr>
        <w:t>Replacement</w:t>
      </w:r>
      <w:r>
        <w:rPr>
          <w:spacing w:val="11"/>
        </w:rPr>
        <w:t xml:space="preserve"> </w:t>
      </w:r>
      <w:r>
        <w:rPr>
          <w:spacing w:val="-2"/>
        </w:rPr>
        <w:t>Supplier</w:t>
      </w:r>
      <w:r>
        <w:rPr>
          <w:spacing w:val="11"/>
        </w:rPr>
        <w:t xml:space="preserve"> </w:t>
      </w:r>
      <w:r>
        <w:rPr>
          <w:spacing w:val="-1"/>
        </w:rPr>
        <w:t>requires</w:t>
      </w:r>
      <w:r>
        <w:rPr>
          <w:spacing w:val="8"/>
        </w:rPr>
        <w:t xml:space="preserve"> </w:t>
      </w:r>
      <w:r>
        <w:t>the</w:t>
      </w:r>
      <w:r>
        <w:rPr>
          <w:spacing w:val="10"/>
        </w:rPr>
        <w:t xml:space="preserve"> </w:t>
      </w:r>
      <w:r>
        <w:rPr>
          <w:spacing w:val="-1"/>
        </w:rPr>
        <w:t>continued</w:t>
      </w:r>
      <w:r>
        <w:rPr>
          <w:spacing w:val="26"/>
        </w:rPr>
        <w:t xml:space="preserve"> </w:t>
      </w:r>
      <w:r>
        <w:rPr>
          <w:spacing w:val="-1"/>
        </w:rPr>
        <w:t>use</w:t>
      </w:r>
      <w:r>
        <w:rPr>
          <w:spacing w:val="1"/>
        </w:rPr>
        <w:t xml:space="preserve"> </w:t>
      </w:r>
      <w:r>
        <w:rPr>
          <w:spacing w:val="-1"/>
        </w:rPr>
        <w:t>of;</w:t>
      </w:r>
      <w:r>
        <w:rPr>
          <w:spacing w:val="2"/>
        </w:rPr>
        <w:t xml:space="preserve"> </w:t>
      </w:r>
      <w:r>
        <w:rPr>
          <w:spacing w:val="-1"/>
        </w:rPr>
        <w:t>and</w:t>
      </w:r>
    </w:p>
    <w:p w:rsidR="008918FA" w:rsidRDefault="008918FA" w:rsidP="008918FA">
      <w:pPr>
        <w:pStyle w:val="BodyText"/>
        <w:numPr>
          <w:ilvl w:val="2"/>
          <w:numId w:val="9"/>
        </w:numPr>
        <w:tabs>
          <w:tab w:val="left" w:pos="1887"/>
        </w:tabs>
        <w:spacing w:before="120" w:line="239" w:lineRule="auto"/>
        <w:ind w:left="1886" w:right="116"/>
        <w:jc w:val="both"/>
      </w:pPr>
      <w:bookmarkStart w:id="463" w:name="_bookmark382"/>
      <w:bookmarkEnd w:id="463"/>
      <w:r>
        <w:rPr>
          <w:spacing w:val="-1"/>
        </w:rPr>
        <w:t>which,</w:t>
      </w:r>
      <w:r>
        <w:rPr>
          <w:spacing w:val="33"/>
        </w:rPr>
        <w:t xml:space="preserve"> </w:t>
      </w:r>
      <w:r>
        <w:rPr>
          <w:spacing w:val="-2"/>
        </w:rPr>
        <w:t>if</w:t>
      </w:r>
      <w:r>
        <w:rPr>
          <w:spacing w:val="35"/>
        </w:rPr>
        <w:t xml:space="preserve"> </w:t>
      </w:r>
      <w:r>
        <w:rPr>
          <w:spacing w:val="-2"/>
        </w:rPr>
        <w:t>any,</w:t>
      </w:r>
      <w:r>
        <w:rPr>
          <w:spacing w:val="33"/>
        </w:rPr>
        <w:t xml:space="preserve"> </w:t>
      </w:r>
      <w:r>
        <w:rPr>
          <w:spacing w:val="-2"/>
        </w:rPr>
        <w:t>of</w:t>
      </w:r>
      <w:r>
        <w:rPr>
          <w:spacing w:val="33"/>
        </w:rPr>
        <w:t xml:space="preserve"> </w:t>
      </w:r>
      <w:r>
        <w:rPr>
          <w:spacing w:val="-1"/>
        </w:rPr>
        <w:t>Transferable</w:t>
      </w:r>
      <w:r>
        <w:rPr>
          <w:spacing w:val="31"/>
        </w:rPr>
        <w:t xml:space="preserve"> </w:t>
      </w:r>
      <w:r>
        <w:rPr>
          <w:spacing w:val="-1"/>
        </w:rPr>
        <w:t>Contracts</w:t>
      </w:r>
      <w:r>
        <w:rPr>
          <w:spacing w:val="30"/>
        </w:rPr>
        <w:t xml:space="preserve"> </w:t>
      </w:r>
      <w:r>
        <w:t>the</w:t>
      </w:r>
      <w:r>
        <w:rPr>
          <w:spacing w:val="31"/>
        </w:rPr>
        <w:t xml:space="preserve"> </w:t>
      </w:r>
      <w:r>
        <w:rPr>
          <w:spacing w:val="-2"/>
        </w:rPr>
        <w:t>Customer</w:t>
      </w:r>
      <w:r>
        <w:rPr>
          <w:spacing w:val="34"/>
        </w:rPr>
        <w:t xml:space="preserve"> </w:t>
      </w:r>
      <w:r>
        <w:rPr>
          <w:spacing w:val="-1"/>
        </w:rPr>
        <w:t>requires</w:t>
      </w:r>
      <w:r>
        <w:rPr>
          <w:spacing w:val="32"/>
        </w:rPr>
        <w:t xml:space="preserve"> </w:t>
      </w:r>
      <w:r>
        <w:t>to</w:t>
      </w:r>
      <w:r>
        <w:rPr>
          <w:spacing w:val="29"/>
        </w:rPr>
        <w:t xml:space="preserve"> </w:t>
      </w:r>
      <w:r>
        <w:rPr>
          <w:spacing w:val="-1"/>
        </w:rPr>
        <w:t>be</w:t>
      </w:r>
      <w:r>
        <w:rPr>
          <w:spacing w:val="34"/>
        </w:rPr>
        <w:t xml:space="preserve"> </w:t>
      </w:r>
      <w:r>
        <w:rPr>
          <w:spacing w:val="-1"/>
        </w:rPr>
        <w:t>assigned</w:t>
      </w:r>
      <w:r>
        <w:rPr>
          <w:spacing w:val="3"/>
        </w:rPr>
        <w:t xml:space="preserve"> </w:t>
      </w:r>
      <w:r>
        <w:rPr>
          <w:spacing w:val="-1"/>
        </w:rPr>
        <w:t>or</w:t>
      </w:r>
      <w:r>
        <w:rPr>
          <w:spacing w:val="4"/>
        </w:rPr>
        <w:t xml:space="preserve"> </w:t>
      </w:r>
      <w:r>
        <w:rPr>
          <w:spacing w:val="-1"/>
        </w:rPr>
        <w:t>novated</w:t>
      </w:r>
      <w:r>
        <w:rPr>
          <w:spacing w:val="3"/>
        </w:rPr>
        <w:t xml:space="preserve"> </w:t>
      </w:r>
      <w:r>
        <w:t>to</w:t>
      </w:r>
      <w:r>
        <w:rPr>
          <w:spacing w:val="3"/>
        </w:rPr>
        <w:t xml:space="preserve"> </w:t>
      </w:r>
      <w:r>
        <w:rPr>
          <w:spacing w:val="-1"/>
        </w:rPr>
        <w:t>the</w:t>
      </w:r>
      <w:r>
        <w:rPr>
          <w:spacing w:val="3"/>
        </w:rPr>
        <w:t xml:space="preserve"> </w:t>
      </w:r>
      <w:r>
        <w:rPr>
          <w:spacing w:val="-1"/>
        </w:rPr>
        <w:t>Customer</w:t>
      </w:r>
      <w:r>
        <w:rPr>
          <w:spacing w:val="4"/>
        </w:rPr>
        <w:t xml:space="preserve"> </w:t>
      </w:r>
      <w:r>
        <w:rPr>
          <w:spacing w:val="-1"/>
        </w:rPr>
        <w:t>and/or</w:t>
      </w:r>
      <w:r>
        <w:rPr>
          <w:spacing w:val="2"/>
        </w:rPr>
        <w:t xml:space="preserve"> </w:t>
      </w:r>
      <w:r>
        <w:t>the</w:t>
      </w:r>
      <w:r>
        <w:rPr>
          <w:spacing w:val="3"/>
        </w:rPr>
        <w:t xml:space="preserve"> </w:t>
      </w:r>
      <w:r>
        <w:rPr>
          <w:spacing w:val="-1"/>
        </w:rPr>
        <w:t>Replacement</w:t>
      </w:r>
      <w:r>
        <w:rPr>
          <w:spacing w:val="4"/>
        </w:rPr>
        <w:t xml:space="preserve"> </w:t>
      </w:r>
      <w:r>
        <w:rPr>
          <w:spacing w:val="-2"/>
        </w:rPr>
        <w:t>Supplier</w:t>
      </w:r>
      <w:r>
        <w:rPr>
          <w:spacing w:val="36"/>
        </w:rPr>
        <w:t xml:space="preserve"> </w:t>
      </w:r>
      <w:r>
        <w:t>(the</w:t>
      </w:r>
      <w:r>
        <w:rPr>
          <w:spacing w:val="-2"/>
        </w:rPr>
        <w:t xml:space="preserve"> </w:t>
      </w:r>
      <w:r>
        <w:rPr>
          <w:rFonts w:cs="Arial"/>
          <w:b/>
          <w:bCs/>
          <w:spacing w:val="-1"/>
        </w:rPr>
        <w:t>“Transferring</w:t>
      </w:r>
      <w:r>
        <w:rPr>
          <w:rFonts w:cs="Arial"/>
          <w:b/>
          <w:bCs/>
        </w:rPr>
        <w:t xml:space="preserve"> </w:t>
      </w:r>
      <w:r>
        <w:rPr>
          <w:rFonts w:cs="Arial"/>
          <w:b/>
          <w:bCs/>
          <w:spacing w:val="-2"/>
        </w:rPr>
        <w:t>Contracts”</w:t>
      </w:r>
      <w:r>
        <w:rPr>
          <w:spacing w:val="-2"/>
        </w:rPr>
        <w:t>),</w:t>
      </w:r>
    </w:p>
    <w:p w:rsidR="008918FA" w:rsidRDefault="008918FA" w:rsidP="008918FA">
      <w:pPr>
        <w:pStyle w:val="BodyText"/>
        <w:spacing w:before="124"/>
        <w:ind w:left="892" w:right="112" w:firstLine="0"/>
        <w:jc w:val="both"/>
      </w:pPr>
      <w:r>
        <w:rPr>
          <w:spacing w:val="-1"/>
        </w:rPr>
        <w:t>in</w:t>
      </w:r>
      <w:r>
        <w:rPr>
          <w:spacing w:val="15"/>
        </w:rPr>
        <w:t xml:space="preserve"> </w:t>
      </w:r>
      <w:r>
        <w:rPr>
          <w:spacing w:val="-1"/>
        </w:rPr>
        <w:t>order</w:t>
      </w:r>
      <w:r>
        <w:rPr>
          <w:spacing w:val="11"/>
        </w:rPr>
        <w:t xml:space="preserve"> </w:t>
      </w:r>
      <w:r>
        <w:t>for</w:t>
      </w:r>
      <w:r>
        <w:rPr>
          <w:spacing w:val="14"/>
        </w:rPr>
        <w:t xml:space="preserve"> </w:t>
      </w:r>
      <w:r>
        <w:t>the</w:t>
      </w:r>
      <w:r>
        <w:rPr>
          <w:spacing w:val="15"/>
        </w:rPr>
        <w:t xml:space="preserve"> </w:t>
      </w:r>
      <w:r>
        <w:rPr>
          <w:spacing w:val="-2"/>
        </w:rPr>
        <w:t>Customer</w:t>
      </w:r>
      <w:r>
        <w:rPr>
          <w:spacing w:val="16"/>
        </w:rPr>
        <w:t xml:space="preserve"> </w:t>
      </w:r>
      <w:r>
        <w:rPr>
          <w:spacing w:val="-1"/>
        </w:rPr>
        <w:t>and/or</w:t>
      </w:r>
      <w:r>
        <w:rPr>
          <w:spacing w:val="16"/>
        </w:rPr>
        <w:t xml:space="preserve"> </w:t>
      </w:r>
      <w:r>
        <w:rPr>
          <w:spacing w:val="-1"/>
        </w:rPr>
        <w:t>its</w:t>
      </w:r>
      <w:r>
        <w:rPr>
          <w:spacing w:val="15"/>
        </w:rPr>
        <w:t xml:space="preserve"> </w:t>
      </w:r>
      <w:r>
        <w:rPr>
          <w:spacing w:val="-2"/>
        </w:rPr>
        <w:t>Replacement</w:t>
      </w:r>
      <w:r>
        <w:rPr>
          <w:spacing w:val="14"/>
        </w:rPr>
        <w:t xml:space="preserve"> </w:t>
      </w:r>
      <w:r>
        <w:rPr>
          <w:spacing w:val="-2"/>
        </w:rPr>
        <w:t>Supplier</w:t>
      </w:r>
      <w:r>
        <w:rPr>
          <w:spacing w:val="16"/>
        </w:rPr>
        <w:t xml:space="preserve"> </w:t>
      </w:r>
      <w:r>
        <w:t>to</w:t>
      </w:r>
      <w:r>
        <w:rPr>
          <w:spacing w:val="12"/>
        </w:rPr>
        <w:t xml:space="preserve"> </w:t>
      </w:r>
      <w:r>
        <w:rPr>
          <w:spacing w:val="-2"/>
        </w:rPr>
        <w:t>provide</w:t>
      </w:r>
      <w:r>
        <w:rPr>
          <w:spacing w:val="15"/>
        </w:rPr>
        <w:t xml:space="preserve"> </w:t>
      </w:r>
      <w:r>
        <w:t>the</w:t>
      </w:r>
      <w:r>
        <w:rPr>
          <w:spacing w:val="15"/>
        </w:rPr>
        <w:t xml:space="preserve"> </w:t>
      </w:r>
      <w:r>
        <w:rPr>
          <w:spacing w:val="-1"/>
        </w:rPr>
        <w:t>Goods</w:t>
      </w:r>
      <w:r>
        <w:rPr>
          <w:spacing w:val="70"/>
        </w:rPr>
        <w:t xml:space="preserve"> </w:t>
      </w:r>
      <w:r>
        <w:rPr>
          <w:spacing w:val="-1"/>
        </w:rPr>
        <w:t>and/or</w:t>
      </w:r>
      <w:r>
        <w:rPr>
          <w:spacing w:val="45"/>
        </w:rPr>
        <w:t xml:space="preserve"> </w:t>
      </w:r>
      <w:r>
        <w:rPr>
          <w:spacing w:val="-1"/>
        </w:rPr>
        <w:t>Services</w:t>
      </w:r>
      <w:r>
        <w:rPr>
          <w:spacing w:val="41"/>
        </w:rPr>
        <w:t xml:space="preserve"> </w:t>
      </w:r>
      <w:r>
        <w:t>from</w:t>
      </w:r>
      <w:r>
        <w:rPr>
          <w:spacing w:val="42"/>
        </w:rPr>
        <w:t xml:space="preserve"> </w:t>
      </w:r>
      <w:r>
        <w:rPr>
          <w:spacing w:val="-1"/>
        </w:rPr>
        <w:t>the</w:t>
      </w:r>
      <w:r>
        <w:rPr>
          <w:spacing w:val="43"/>
        </w:rPr>
        <w:t xml:space="preserve"> </w:t>
      </w:r>
      <w:r>
        <w:rPr>
          <w:spacing w:val="-1"/>
        </w:rPr>
        <w:t>expiry</w:t>
      </w:r>
      <w:r>
        <w:rPr>
          <w:spacing w:val="41"/>
        </w:rPr>
        <w:t xml:space="preserve"> </w:t>
      </w:r>
      <w:r>
        <w:rPr>
          <w:spacing w:val="-1"/>
        </w:rPr>
        <w:t>of</w:t>
      </w:r>
      <w:r>
        <w:rPr>
          <w:spacing w:val="45"/>
        </w:rPr>
        <w:t xml:space="preserve"> </w:t>
      </w:r>
      <w:r>
        <w:t>the</w:t>
      </w:r>
      <w:r>
        <w:rPr>
          <w:spacing w:val="42"/>
        </w:rPr>
        <w:t xml:space="preserve"> </w:t>
      </w:r>
      <w:r>
        <w:rPr>
          <w:spacing w:val="-1"/>
        </w:rPr>
        <w:t>Termination</w:t>
      </w:r>
      <w:r>
        <w:rPr>
          <w:spacing w:val="43"/>
        </w:rPr>
        <w:t xml:space="preserve"> </w:t>
      </w:r>
      <w:r>
        <w:rPr>
          <w:spacing w:val="-1"/>
        </w:rPr>
        <w:t>Assistance</w:t>
      </w:r>
      <w:r>
        <w:rPr>
          <w:spacing w:val="44"/>
        </w:rPr>
        <w:t xml:space="preserve"> </w:t>
      </w:r>
      <w:r>
        <w:rPr>
          <w:spacing w:val="-1"/>
        </w:rPr>
        <w:t>Period.</w:t>
      </w:r>
      <w:r>
        <w:rPr>
          <w:spacing w:val="42"/>
        </w:rPr>
        <w:t xml:space="preserve"> </w:t>
      </w:r>
      <w:r>
        <w:rPr>
          <w:spacing w:val="-1"/>
        </w:rPr>
        <w:t>Where</w:t>
      </w:r>
      <w:r>
        <w:rPr>
          <w:spacing w:val="39"/>
        </w:rPr>
        <w:t xml:space="preserve"> </w:t>
      </w:r>
      <w:r>
        <w:rPr>
          <w:spacing w:val="-1"/>
        </w:rPr>
        <w:t>requested</w:t>
      </w:r>
      <w:r>
        <w:rPr>
          <w:spacing w:val="24"/>
        </w:rPr>
        <w:t xml:space="preserve"> </w:t>
      </w:r>
      <w:r>
        <w:rPr>
          <w:spacing w:val="-1"/>
        </w:rPr>
        <w:t>by</w:t>
      </w:r>
      <w:r>
        <w:rPr>
          <w:spacing w:val="22"/>
        </w:rPr>
        <w:t xml:space="preserve"> </w:t>
      </w:r>
      <w:r>
        <w:t>the</w:t>
      </w:r>
      <w:r>
        <w:rPr>
          <w:spacing w:val="24"/>
        </w:rPr>
        <w:t xml:space="preserve"> </w:t>
      </w:r>
      <w:r>
        <w:rPr>
          <w:spacing w:val="-1"/>
        </w:rPr>
        <w:t>Customer</w:t>
      </w:r>
      <w:r>
        <w:rPr>
          <w:spacing w:val="26"/>
        </w:rPr>
        <w:t xml:space="preserve"> </w:t>
      </w:r>
      <w:r>
        <w:rPr>
          <w:spacing w:val="-1"/>
        </w:rPr>
        <w:t>and/or</w:t>
      </w:r>
      <w:r>
        <w:rPr>
          <w:spacing w:val="26"/>
        </w:rPr>
        <w:t xml:space="preserve"> </w:t>
      </w:r>
      <w:r>
        <w:rPr>
          <w:spacing w:val="-1"/>
        </w:rPr>
        <w:t>its</w:t>
      </w:r>
      <w:r>
        <w:rPr>
          <w:spacing w:val="25"/>
        </w:rPr>
        <w:t xml:space="preserve"> </w:t>
      </w:r>
      <w:r>
        <w:rPr>
          <w:spacing w:val="-1"/>
        </w:rPr>
        <w:t>Replacement</w:t>
      </w:r>
      <w:r>
        <w:rPr>
          <w:spacing w:val="26"/>
        </w:rPr>
        <w:t xml:space="preserve"> </w:t>
      </w:r>
      <w:r>
        <w:rPr>
          <w:spacing w:val="-1"/>
        </w:rPr>
        <w:t>Supplier,</w:t>
      </w:r>
      <w:r>
        <w:rPr>
          <w:spacing w:val="26"/>
        </w:rPr>
        <w:t xml:space="preserve"> </w:t>
      </w:r>
      <w:r>
        <w:t>the</w:t>
      </w:r>
      <w:r>
        <w:rPr>
          <w:spacing w:val="24"/>
        </w:rPr>
        <w:t xml:space="preserve"> </w:t>
      </w:r>
      <w:r>
        <w:rPr>
          <w:spacing w:val="-2"/>
        </w:rPr>
        <w:t>Supplier</w:t>
      </w:r>
      <w:r>
        <w:rPr>
          <w:spacing w:val="26"/>
        </w:rPr>
        <w:t xml:space="preserve"> </w:t>
      </w:r>
      <w:r>
        <w:rPr>
          <w:spacing w:val="-1"/>
        </w:rPr>
        <w:t>shall</w:t>
      </w:r>
      <w:r>
        <w:rPr>
          <w:spacing w:val="41"/>
        </w:rPr>
        <w:t xml:space="preserve"> </w:t>
      </w:r>
      <w:r>
        <w:rPr>
          <w:spacing w:val="-2"/>
        </w:rPr>
        <w:t>provide</w:t>
      </w:r>
      <w:r>
        <w:rPr>
          <w:spacing w:val="16"/>
        </w:rPr>
        <w:t xml:space="preserve"> </w:t>
      </w:r>
      <w:r>
        <w:t>all</w:t>
      </w:r>
      <w:r>
        <w:rPr>
          <w:spacing w:val="15"/>
        </w:rPr>
        <w:t xml:space="preserve"> </w:t>
      </w:r>
      <w:r>
        <w:rPr>
          <w:spacing w:val="-1"/>
        </w:rPr>
        <w:t>reasonable</w:t>
      </w:r>
      <w:r>
        <w:rPr>
          <w:spacing w:val="18"/>
        </w:rPr>
        <w:t xml:space="preserve"> </w:t>
      </w:r>
      <w:r>
        <w:rPr>
          <w:spacing w:val="-1"/>
        </w:rPr>
        <w:t>assistance</w:t>
      </w:r>
      <w:r>
        <w:rPr>
          <w:spacing w:val="16"/>
        </w:rPr>
        <w:t xml:space="preserve"> </w:t>
      </w:r>
      <w:r>
        <w:t>to</w:t>
      </w:r>
      <w:r>
        <w:rPr>
          <w:spacing w:val="16"/>
        </w:rPr>
        <w:t xml:space="preserve"> </w:t>
      </w:r>
      <w:r>
        <w:t>the</w:t>
      </w:r>
      <w:r>
        <w:rPr>
          <w:spacing w:val="16"/>
        </w:rPr>
        <w:t xml:space="preserve"> </w:t>
      </w:r>
      <w:r>
        <w:rPr>
          <w:spacing w:val="-1"/>
        </w:rPr>
        <w:t>Customer</w:t>
      </w:r>
      <w:r>
        <w:rPr>
          <w:spacing w:val="17"/>
        </w:rPr>
        <w:t xml:space="preserve"> </w:t>
      </w:r>
      <w:r>
        <w:rPr>
          <w:spacing w:val="-1"/>
        </w:rPr>
        <w:t>and/or</w:t>
      </w:r>
      <w:r>
        <w:rPr>
          <w:spacing w:val="17"/>
        </w:rPr>
        <w:t xml:space="preserve"> </w:t>
      </w:r>
      <w:r>
        <w:rPr>
          <w:spacing w:val="-1"/>
        </w:rPr>
        <w:t>its</w:t>
      </w:r>
      <w:r>
        <w:rPr>
          <w:spacing w:val="16"/>
        </w:rPr>
        <w:t xml:space="preserve"> </w:t>
      </w:r>
      <w:r>
        <w:rPr>
          <w:spacing w:val="-1"/>
        </w:rPr>
        <w:t>Replacement</w:t>
      </w:r>
      <w:r>
        <w:rPr>
          <w:spacing w:val="32"/>
        </w:rPr>
        <w:t xml:space="preserve"> </w:t>
      </w:r>
      <w:r>
        <w:rPr>
          <w:spacing w:val="-2"/>
        </w:rPr>
        <w:t>Supplier</w:t>
      </w:r>
      <w:r>
        <w:rPr>
          <w:spacing w:val="33"/>
        </w:rPr>
        <w:t xml:space="preserve"> </w:t>
      </w:r>
      <w:r>
        <w:t>to</w:t>
      </w:r>
      <w:r>
        <w:rPr>
          <w:spacing w:val="31"/>
        </w:rPr>
        <w:t xml:space="preserve"> </w:t>
      </w:r>
      <w:r>
        <w:rPr>
          <w:spacing w:val="-1"/>
        </w:rPr>
        <w:t>enable</w:t>
      </w:r>
      <w:r>
        <w:rPr>
          <w:spacing w:val="31"/>
        </w:rPr>
        <w:t xml:space="preserve"> </w:t>
      </w:r>
      <w:r>
        <w:rPr>
          <w:spacing w:val="-1"/>
        </w:rPr>
        <w:t>it</w:t>
      </w:r>
      <w:r>
        <w:rPr>
          <w:spacing w:val="33"/>
        </w:rPr>
        <w:t xml:space="preserve"> </w:t>
      </w:r>
      <w:r>
        <w:t>to</w:t>
      </w:r>
      <w:r>
        <w:rPr>
          <w:spacing w:val="29"/>
        </w:rPr>
        <w:t xml:space="preserve"> </w:t>
      </w:r>
      <w:r>
        <w:rPr>
          <w:spacing w:val="-1"/>
        </w:rPr>
        <w:t>determine</w:t>
      </w:r>
      <w:r>
        <w:rPr>
          <w:spacing w:val="31"/>
        </w:rPr>
        <w:t xml:space="preserve"> </w:t>
      </w:r>
      <w:r>
        <w:rPr>
          <w:spacing w:val="-2"/>
        </w:rPr>
        <w:t>which</w:t>
      </w:r>
      <w:r>
        <w:rPr>
          <w:spacing w:val="32"/>
        </w:rPr>
        <w:t xml:space="preserve"> </w:t>
      </w:r>
      <w:r>
        <w:rPr>
          <w:spacing w:val="-1"/>
        </w:rPr>
        <w:t>Transferable</w:t>
      </w:r>
      <w:r>
        <w:rPr>
          <w:spacing w:val="32"/>
        </w:rPr>
        <w:t xml:space="preserve"> </w:t>
      </w:r>
      <w:r>
        <w:rPr>
          <w:spacing w:val="-1"/>
        </w:rPr>
        <w:t>Assets</w:t>
      </w:r>
      <w:r>
        <w:rPr>
          <w:spacing w:val="32"/>
        </w:rPr>
        <w:t xml:space="preserve"> </w:t>
      </w:r>
      <w:r>
        <w:rPr>
          <w:spacing w:val="-1"/>
        </w:rPr>
        <w:t>and</w:t>
      </w:r>
      <w:r>
        <w:rPr>
          <w:spacing w:val="29"/>
        </w:rPr>
        <w:t xml:space="preserve"> </w:t>
      </w:r>
      <w:r>
        <w:rPr>
          <w:spacing w:val="-1"/>
        </w:rPr>
        <w:t>Transferable</w:t>
      </w:r>
      <w:r>
        <w:rPr>
          <w:spacing w:val="51"/>
        </w:rPr>
        <w:t xml:space="preserve"> </w:t>
      </w:r>
      <w:r>
        <w:rPr>
          <w:spacing w:val="-1"/>
        </w:rPr>
        <w:t>Contracts</w:t>
      </w:r>
      <w:r>
        <w:rPr>
          <w:spacing w:val="15"/>
        </w:rPr>
        <w:t xml:space="preserve"> </w:t>
      </w:r>
      <w:r>
        <w:rPr>
          <w:spacing w:val="-1"/>
        </w:rPr>
        <w:t>the</w:t>
      </w:r>
      <w:r>
        <w:rPr>
          <w:spacing w:val="12"/>
        </w:rPr>
        <w:t xml:space="preserve"> </w:t>
      </w:r>
      <w:r>
        <w:rPr>
          <w:spacing w:val="-1"/>
        </w:rPr>
        <w:t>Customer</w:t>
      </w:r>
      <w:r>
        <w:rPr>
          <w:spacing w:val="11"/>
        </w:rPr>
        <w:t xml:space="preserve"> </w:t>
      </w:r>
      <w:r>
        <w:rPr>
          <w:spacing w:val="-1"/>
        </w:rPr>
        <w:t>and/or</w:t>
      </w:r>
      <w:r>
        <w:rPr>
          <w:spacing w:val="16"/>
        </w:rPr>
        <w:t xml:space="preserve"> </w:t>
      </w:r>
      <w:r>
        <w:rPr>
          <w:spacing w:val="-2"/>
        </w:rPr>
        <w:t>its</w:t>
      </w:r>
      <w:r>
        <w:rPr>
          <w:spacing w:val="15"/>
        </w:rPr>
        <w:t xml:space="preserve"> </w:t>
      </w:r>
      <w:r>
        <w:rPr>
          <w:spacing w:val="-2"/>
        </w:rPr>
        <w:t>Replacement</w:t>
      </w:r>
      <w:r>
        <w:rPr>
          <w:spacing w:val="14"/>
        </w:rPr>
        <w:t xml:space="preserve"> </w:t>
      </w:r>
      <w:r>
        <w:rPr>
          <w:spacing w:val="-2"/>
        </w:rPr>
        <w:t>Supplier</w:t>
      </w:r>
      <w:r>
        <w:rPr>
          <w:spacing w:val="16"/>
        </w:rPr>
        <w:t xml:space="preserve"> </w:t>
      </w:r>
      <w:r>
        <w:rPr>
          <w:spacing w:val="-1"/>
        </w:rPr>
        <w:t>requires</w:t>
      </w:r>
      <w:r>
        <w:rPr>
          <w:spacing w:val="15"/>
        </w:rPr>
        <w:t xml:space="preserve"> </w:t>
      </w:r>
      <w:r>
        <w:t>to</w:t>
      </w:r>
      <w:r>
        <w:rPr>
          <w:spacing w:val="12"/>
        </w:rPr>
        <w:t xml:space="preserve"> </w:t>
      </w:r>
      <w:r>
        <w:rPr>
          <w:spacing w:val="-2"/>
        </w:rPr>
        <w:t>provide</w:t>
      </w:r>
      <w:r>
        <w:rPr>
          <w:spacing w:val="15"/>
        </w:rPr>
        <w:t xml:space="preserve"> </w:t>
      </w:r>
      <w:r>
        <w:rPr>
          <w:spacing w:val="-1"/>
        </w:rPr>
        <w:t>the</w:t>
      </w:r>
      <w:r>
        <w:rPr>
          <w:spacing w:val="80"/>
        </w:rPr>
        <w:t xml:space="preserve"> </w:t>
      </w:r>
      <w:r>
        <w:rPr>
          <w:spacing w:val="-1"/>
        </w:rPr>
        <w:t>Goods</w:t>
      </w:r>
      <w:r>
        <w:rPr>
          <w:spacing w:val="57"/>
        </w:rPr>
        <w:t xml:space="preserve"> </w:t>
      </w:r>
      <w:r>
        <w:rPr>
          <w:spacing w:val="-1"/>
        </w:rPr>
        <w:t>and/or</w:t>
      </w:r>
      <w:r>
        <w:rPr>
          <w:spacing w:val="55"/>
        </w:rPr>
        <w:t xml:space="preserve"> </w:t>
      </w:r>
      <w:r>
        <w:rPr>
          <w:spacing w:val="-1"/>
        </w:rPr>
        <w:t>Services</w:t>
      </w:r>
      <w:r>
        <w:rPr>
          <w:spacing w:val="57"/>
        </w:rPr>
        <w:t xml:space="preserve"> </w:t>
      </w:r>
      <w:r>
        <w:rPr>
          <w:spacing w:val="-1"/>
        </w:rPr>
        <w:t>or</w:t>
      </w:r>
      <w:r>
        <w:rPr>
          <w:spacing w:val="56"/>
        </w:rPr>
        <w:t xml:space="preserve"> </w:t>
      </w:r>
      <w:r>
        <w:t>the</w:t>
      </w:r>
      <w:r>
        <w:rPr>
          <w:spacing w:val="57"/>
        </w:rPr>
        <w:t xml:space="preserve"> </w:t>
      </w:r>
      <w:r>
        <w:rPr>
          <w:spacing w:val="-2"/>
        </w:rPr>
        <w:t>Replacement</w:t>
      </w:r>
      <w:r>
        <w:rPr>
          <w:spacing w:val="56"/>
        </w:rPr>
        <w:t xml:space="preserve"> </w:t>
      </w:r>
      <w:r>
        <w:rPr>
          <w:spacing w:val="-1"/>
        </w:rPr>
        <w:t>Goods</w:t>
      </w:r>
      <w:r>
        <w:rPr>
          <w:spacing w:val="58"/>
        </w:rPr>
        <w:t xml:space="preserve"> </w:t>
      </w:r>
      <w:r>
        <w:rPr>
          <w:spacing w:val="-2"/>
        </w:rPr>
        <w:t>and/or</w:t>
      </w:r>
      <w:r>
        <w:rPr>
          <w:spacing w:val="58"/>
        </w:rPr>
        <w:t xml:space="preserve"> </w:t>
      </w:r>
      <w:r>
        <w:rPr>
          <w:spacing w:val="-1"/>
        </w:rPr>
        <w:t>Replacement</w:t>
      </w:r>
      <w:r>
        <w:rPr>
          <w:spacing w:val="46"/>
        </w:rPr>
        <w:t xml:space="preserve"> </w:t>
      </w:r>
      <w:r>
        <w:rPr>
          <w:spacing w:val="-2"/>
        </w:rPr>
        <w:t>Services.</w:t>
      </w:r>
    </w:p>
    <w:p w:rsidR="008918FA" w:rsidRDefault="008918FA" w:rsidP="008918FA">
      <w:pPr>
        <w:pStyle w:val="BodyText"/>
        <w:numPr>
          <w:ilvl w:val="1"/>
          <w:numId w:val="9"/>
        </w:numPr>
        <w:tabs>
          <w:tab w:val="left" w:pos="689"/>
        </w:tabs>
        <w:ind w:left="688" w:right="115"/>
        <w:jc w:val="both"/>
      </w:pPr>
      <w:r>
        <w:rPr>
          <w:spacing w:val="-1"/>
        </w:rPr>
        <w:t>With</w:t>
      </w:r>
      <w:r>
        <w:rPr>
          <w:spacing w:val="7"/>
        </w:rPr>
        <w:t xml:space="preserve"> </w:t>
      </w:r>
      <w:r>
        <w:rPr>
          <w:spacing w:val="-1"/>
        </w:rPr>
        <w:t>effect</w:t>
      </w:r>
      <w:r>
        <w:rPr>
          <w:spacing w:val="5"/>
        </w:rPr>
        <w:t xml:space="preserve"> </w:t>
      </w:r>
      <w:r>
        <w:t>from</w:t>
      </w:r>
      <w:r>
        <w:rPr>
          <w:spacing w:val="6"/>
        </w:rPr>
        <w:t xml:space="preserve"> </w:t>
      </w:r>
      <w:r>
        <w:t>the</w:t>
      </w:r>
      <w:r>
        <w:rPr>
          <w:spacing w:val="7"/>
        </w:rPr>
        <w:t xml:space="preserve"> </w:t>
      </w:r>
      <w:r>
        <w:rPr>
          <w:spacing w:val="-2"/>
        </w:rPr>
        <w:t>expiry</w:t>
      </w:r>
      <w:r>
        <w:rPr>
          <w:spacing w:val="5"/>
        </w:rPr>
        <w:t xml:space="preserve"> </w:t>
      </w:r>
      <w:r>
        <w:rPr>
          <w:spacing w:val="-1"/>
        </w:rPr>
        <w:t>of</w:t>
      </w:r>
      <w:r>
        <w:rPr>
          <w:spacing w:val="9"/>
        </w:rPr>
        <w:t xml:space="preserve"> </w:t>
      </w:r>
      <w:r>
        <w:t>the</w:t>
      </w:r>
      <w:r>
        <w:rPr>
          <w:spacing w:val="5"/>
        </w:rPr>
        <w:t xml:space="preserve"> </w:t>
      </w:r>
      <w:r>
        <w:rPr>
          <w:spacing w:val="-1"/>
        </w:rPr>
        <w:t>Termination</w:t>
      </w:r>
      <w:r>
        <w:rPr>
          <w:spacing w:val="7"/>
        </w:rPr>
        <w:t xml:space="preserve"> </w:t>
      </w:r>
      <w:r>
        <w:rPr>
          <w:spacing w:val="-1"/>
        </w:rPr>
        <w:t>Assistance</w:t>
      </w:r>
      <w:r>
        <w:rPr>
          <w:spacing w:val="8"/>
        </w:rPr>
        <w:t xml:space="preserve"> </w:t>
      </w:r>
      <w:r>
        <w:rPr>
          <w:spacing w:val="-1"/>
        </w:rPr>
        <w:t>Period,</w:t>
      </w:r>
      <w:r>
        <w:rPr>
          <w:spacing w:val="7"/>
        </w:rPr>
        <w:t xml:space="preserve"> </w:t>
      </w:r>
      <w:r>
        <w:t>the</w:t>
      </w:r>
      <w:r>
        <w:rPr>
          <w:spacing w:val="7"/>
        </w:rPr>
        <w:t xml:space="preserve"> </w:t>
      </w:r>
      <w:r>
        <w:rPr>
          <w:spacing w:val="-2"/>
        </w:rPr>
        <w:t>Supplier</w:t>
      </w:r>
      <w:r>
        <w:rPr>
          <w:spacing w:val="9"/>
        </w:rPr>
        <w:t xml:space="preserve"> </w:t>
      </w:r>
      <w:r>
        <w:rPr>
          <w:spacing w:val="-1"/>
        </w:rPr>
        <w:t>shall</w:t>
      </w:r>
      <w:r>
        <w:rPr>
          <w:spacing w:val="49"/>
        </w:rPr>
        <w:t xml:space="preserve"> </w:t>
      </w:r>
      <w:r>
        <w:rPr>
          <w:spacing w:val="-1"/>
        </w:rPr>
        <w:t>sell</w:t>
      </w:r>
      <w:r>
        <w:rPr>
          <w:spacing w:val="40"/>
        </w:rPr>
        <w:t xml:space="preserve"> </w:t>
      </w:r>
      <w:r>
        <w:t>the</w:t>
      </w:r>
      <w:r>
        <w:rPr>
          <w:spacing w:val="41"/>
        </w:rPr>
        <w:t xml:space="preserve"> </w:t>
      </w:r>
      <w:r>
        <w:rPr>
          <w:spacing w:val="-1"/>
        </w:rPr>
        <w:t>Transferring</w:t>
      </w:r>
      <w:r>
        <w:rPr>
          <w:spacing w:val="43"/>
        </w:rPr>
        <w:t xml:space="preserve"> </w:t>
      </w:r>
      <w:r>
        <w:rPr>
          <w:spacing w:val="-1"/>
        </w:rPr>
        <w:t>Assets</w:t>
      </w:r>
      <w:r>
        <w:rPr>
          <w:spacing w:val="41"/>
        </w:rPr>
        <w:t xml:space="preserve"> </w:t>
      </w:r>
      <w:r>
        <w:rPr>
          <w:spacing w:val="-1"/>
        </w:rPr>
        <w:t>to</w:t>
      </w:r>
      <w:r>
        <w:rPr>
          <w:spacing w:val="41"/>
        </w:rPr>
        <w:t xml:space="preserve"> </w:t>
      </w:r>
      <w:r>
        <w:t>the</w:t>
      </w:r>
      <w:r>
        <w:rPr>
          <w:spacing w:val="41"/>
        </w:rPr>
        <w:t xml:space="preserve"> </w:t>
      </w:r>
      <w:r>
        <w:rPr>
          <w:spacing w:val="-2"/>
        </w:rPr>
        <w:t>Customer</w:t>
      </w:r>
      <w:r>
        <w:rPr>
          <w:spacing w:val="43"/>
        </w:rPr>
        <w:t xml:space="preserve"> </w:t>
      </w:r>
      <w:r>
        <w:rPr>
          <w:spacing w:val="-1"/>
        </w:rPr>
        <w:t>and/or</w:t>
      </w:r>
      <w:r>
        <w:rPr>
          <w:spacing w:val="42"/>
        </w:rPr>
        <w:t xml:space="preserve"> </w:t>
      </w:r>
      <w:r>
        <w:rPr>
          <w:spacing w:val="-1"/>
        </w:rPr>
        <w:t>its</w:t>
      </w:r>
      <w:r>
        <w:rPr>
          <w:spacing w:val="39"/>
        </w:rPr>
        <w:t xml:space="preserve"> </w:t>
      </w:r>
      <w:r>
        <w:rPr>
          <w:spacing w:val="-1"/>
        </w:rPr>
        <w:t>nominated</w:t>
      </w:r>
      <w:r>
        <w:rPr>
          <w:spacing w:val="38"/>
        </w:rPr>
        <w:t xml:space="preserve"> </w:t>
      </w:r>
      <w:r>
        <w:rPr>
          <w:spacing w:val="-2"/>
        </w:rPr>
        <w:t>Replacement</w:t>
      </w:r>
      <w:r>
        <w:rPr>
          <w:spacing w:val="55"/>
        </w:rPr>
        <w:t xml:space="preserve"> </w:t>
      </w:r>
      <w:r>
        <w:rPr>
          <w:spacing w:val="-2"/>
        </w:rPr>
        <w:t>Supplier</w:t>
      </w:r>
      <w:r>
        <w:rPr>
          <w:spacing w:val="2"/>
        </w:rPr>
        <w:t xml:space="preserve"> </w:t>
      </w:r>
      <w:r>
        <w:t>for</w:t>
      </w:r>
      <w:r>
        <w:rPr>
          <w:spacing w:val="2"/>
        </w:rPr>
        <w:t xml:space="preserve"> </w:t>
      </w:r>
      <w:r>
        <w:t xml:space="preserve">a </w:t>
      </w:r>
      <w:r>
        <w:rPr>
          <w:spacing w:val="-1"/>
        </w:rPr>
        <w:t>consideration</w:t>
      </w:r>
      <w:r>
        <w:t xml:space="preserve"> </w:t>
      </w:r>
      <w:r>
        <w:rPr>
          <w:spacing w:val="-1"/>
        </w:rPr>
        <w:t>equal</w:t>
      </w:r>
      <w:r>
        <w:t xml:space="preserve"> </w:t>
      </w:r>
      <w:r>
        <w:rPr>
          <w:spacing w:val="-1"/>
        </w:rPr>
        <w:t>to</w:t>
      </w:r>
      <w:r>
        <w:t xml:space="preserve"> </w:t>
      </w:r>
      <w:r>
        <w:rPr>
          <w:spacing w:val="-1"/>
        </w:rPr>
        <w:t>their</w:t>
      </w:r>
      <w:r>
        <w:rPr>
          <w:spacing w:val="2"/>
        </w:rPr>
        <w:t xml:space="preserve"> </w:t>
      </w:r>
      <w:r>
        <w:rPr>
          <w:spacing w:val="-2"/>
        </w:rPr>
        <w:t>Net</w:t>
      </w:r>
      <w:r>
        <w:rPr>
          <w:spacing w:val="2"/>
        </w:rPr>
        <w:t xml:space="preserve"> </w:t>
      </w:r>
      <w:r>
        <w:rPr>
          <w:spacing w:val="-2"/>
        </w:rPr>
        <w:t>Book</w:t>
      </w:r>
      <w:r>
        <w:rPr>
          <w:spacing w:val="3"/>
        </w:rPr>
        <w:t xml:space="preserve"> </w:t>
      </w:r>
      <w:r>
        <w:rPr>
          <w:spacing w:val="-1"/>
        </w:rPr>
        <w:t>Value,</w:t>
      </w:r>
      <w:r>
        <w:rPr>
          <w:spacing w:val="2"/>
        </w:rPr>
        <w:t xml:space="preserve"> </w:t>
      </w:r>
      <w:r>
        <w:rPr>
          <w:spacing w:val="-1"/>
        </w:rPr>
        <w:t>except</w:t>
      </w:r>
      <w:r>
        <w:rPr>
          <w:spacing w:val="2"/>
        </w:rPr>
        <w:t xml:space="preserve"> </w:t>
      </w:r>
      <w:r>
        <w:rPr>
          <w:spacing w:val="-2"/>
        </w:rPr>
        <w:t>where</w:t>
      </w:r>
      <w:r>
        <w:t xml:space="preserve"> </w:t>
      </w:r>
      <w:r>
        <w:rPr>
          <w:spacing w:val="-1"/>
        </w:rPr>
        <w:t>the</w:t>
      </w:r>
      <w:r>
        <w:t xml:space="preserve"> </w:t>
      </w:r>
      <w:r>
        <w:rPr>
          <w:spacing w:val="-1"/>
        </w:rPr>
        <w:t>cost</w:t>
      </w:r>
      <w:r>
        <w:t xml:space="preserve"> </w:t>
      </w:r>
      <w:r>
        <w:rPr>
          <w:spacing w:val="-2"/>
        </w:rPr>
        <w:t>of</w:t>
      </w:r>
      <w:r>
        <w:rPr>
          <w:spacing w:val="51"/>
        </w:rPr>
        <w:t xml:space="preserve"> </w:t>
      </w:r>
      <w:r>
        <w:t>the</w:t>
      </w:r>
      <w:r>
        <w:rPr>
          <w:spacing w:val="51"/>
        </w:rPr>
        <w:t xml:space="preserve"> </w:t>
      </w:r>
      <w:r>
        <w:rPr>
          <w:spacing w:val="-1"/>
        </w:rPr>
        <w:t>Transferring</w:t>
      </w:r>
      <w:r>
        <w:rPr>
          <w:spacing w:val="53"/>
        </w:rPr>
        <w:t xml:space="preserve"> </w:t>
      </w:r>
      <w:r>
        <w:rPr>
          <w:spacing w:val="-1"/>
        </w:rPr>
        <w:t>Asset</w:t>
      </w:r>
      <w:r>
        <w:rPr>
          <w:spacing w:val="52"/>
        </w:rPr>
        <w:t xml:space="preserve"> </w:t>
      </w:r>
      <w:r>
        <w:rPr>
          <w:spacing w:val="-1"/>
        </w:rPr>
        <w:t>has</w:t>
      </w:r>
      <w:r>
        <w:rPr>
          <w:spacing w:val="53"/>
        </w:rPr>
        <w:t xml:space="preserve"> </w:t>
      </w:r>
      <w:r>
        <w:rPr>
          <w:spacing w:val="-1"/>
        </w:rPr>
        <w:t>been</w:t>
      </w:r>
      <w:r>
        <w:rPr>
          <w:spacing w:val="53"/>
        </w:rPr>
        <w:t xml:space="preserve"> </w:t>
      </w:r>
      <w:r>
        <w:rPr>
          <w:spacing w:val="-2"/>
        </w:rPr>
        <w:t>partially</w:t>
      </w:r>
      <w:r>
        <w:rPr>
          <w:spacing w:val="51"/>
        </w:rPr>
        <w:t xml:space="preserve"> </w:t>
      </w:r>
      <w:r>
        <w:rPr>
          <w:spacing w:val="-1"/>
        </w:rPr>
        <w:t>or</w:t>
      </w:r>
      <w:r>
        <w:rPr>
          <w:spacing w:val="55"/>
        </w:rPr>
        <w:t xml:space="preserve"> </w:t>
      </w:r>
      <w:r>
        <w:rPr>
          <w:spacing w:val="-1"/>
        </w:rPr>
        <w:t>fully</w:t>
      </w:r>
      <w:r>
        <w:rPr>
          <w:spacing w:val="51"/>
        </w:rPr>
        <w:t xml:space="preserve"> </w:t>
      </w:r>
      <w:r>
        <w:rPr>
          <w:spacing w:val="-1"/>
        </w:rPr>
        <w:t>paid</w:t>
      </w:r>
      <w:r>
        <w:rPr>
          <w:spacing w:val="53"/>
        </w:rPr>
        <w:t xml:space="preserve"> </w:t>
      </w:r>
      <w:r>
        <w:t>for</w:t>
      </w:r>
      <w:r>
        <w:rPr>
          <w:spacing w:val="52"/>
        </w:rPr>
        <w:t xml:space="preserve"> </w:t>
      </w:r>
      <w:r>
        <w:rPr>
          <w:spacing w:val="-1"/>
        </w:rPr>
        <w:t>through</w:t>
      </w:r>
      <w:r>
        <w:rPr>
          <w:spacing w:val="53"/>
        </w:rPr>
        <w:t xml:space="preserve"> </w:t>
      </w:r>
      <w:r>
        <w:t>the</w:t>
      </w:r>
      <w:r>
        <w:rPr>
          <w:spacing w:val="51"/>
        </w:rPr>
        <w:t xml:space="preserve"> </w:t>
      </w:r>
      <w:r>
        <w:rPr>
          <w:spacing w:val="-2"/>
        </w:rPr>
        <w:t>Call</w:t>
      </w:r>
      <w:r>
        <w:rPr>
          <w:spacing w:val="51"/>
        </w:rPr>
        <w:t xml:space="preserve"> </w:t>
      </w:r>
      <w:r>
        <w:rPr>
          <w:spacing w:val="-1"/>
        </w:rPr>
        <w:t>Off</w:t>
      </w:r>
      <w:r>
        <w:rPr>
          <w:spacing w:val="61"/>
        </w:rPr>
        <w:t xml:space="preserve"> </w:t>
      </w:r>
      <w:r>
        <w:rPr>
          <w:spacing w:val="-1"/>
        </w:rPr>
        <w:t>Contract</w:t>
      </w:r>
      <w:r>
        <w:rPr>
          <w:spacing w:val="4"/>
        </w:rPr>
        <w:t xml:space="preserve"> </w:t>
      </w:r>
      <w:r>
        <w:rPr>
          <w:spacing w:val="-1"/>
        </w:rPr>
        <w:t>Charges</w:t>
      </w:r>
      <w:r>
        <w:rPr>
          <w:spacing w:val="3"/>
        </w:rPr>
        <w:t xml:space="preserve"> </w:t>
      </w:r>
      <w:r>
        <w:rPr>
          <w:spacing w:val="-1"/>
        </w:rPr>
        <w:t>at</w:t>
      </w:r>
      <w:r>
        <w:rPr>
          <w:spacing w:val="4"/>
        </w:rPr>
        <w:t xml:space="preserve"> </w:t>
      </w:r>
      <w:r>
        <w:t xml:space="preserve">the </w:t>
      </w:r>
      <w:r>
        <w:rPr>
          <w:spacing w:val="-2"/>
        </w:rPr>
        <w:t>Call</w:t>
      </w:r>
      <w:r>
        <w:rPr>
          <w:spacing w:val="2"/>
        </w:rPr>
        <w:t xml:space="preserve"> </w:t>
      </w:r>
      <w:r>
        <w:t>Off</w:t>
      </w:r>
      <w:r>
        <w:rPr>
          <w:spacing w:val="6"/>
        </w:rPr>
        <w:t xml:space="preserve"> </w:t>
      </w:r>
      <w:r>
        <w:rPr>
          <w:spacing w:val="-2"/>
        </w:rPr>
        <w:t>expiry</w:t>
      </w:r>
      <w:r>
        <w:rPr>
          <w:spacing w:val="1"/>
        </w:rPr>
        <w:t xml:space="preserve"> </w:t>
      </w:r>
      <w:r>
        <w:rPr>
          <w:spacing w:val="-1"/>
        </w:rPr>
        <w:t>Date,</w:t>
      </w:r>
      <w:r>
        <w:rPr>
          <w:spacing w:val="4"/>
        </w:rPr>
        <w:t xml:space="preserve"> </w:t>
      </w:r>
      <w:r>
        <w:rPr>
          <w:spacing w:val="-1"/>
        </w:rPr>
        <w:t>in</w:t>
      </w:r>
      <w:r>
        <w:rPr>
          <w:spacing w:val="5"/>
        </w:rPr>
        <w:t xml:space="preserve"> </w:t>
      </w:r>
      <w:r>
        <w:rPr>
          <w:spacing w:val="-2"/>
        </w:rPr>
        <w:t>which</w:t>
      </w:r>
      <w:r>
        <w:rPr>
          <w:spacing w:val="3"/>
        </w:rPr>
        <w:t xml:space="preserve"> </w:t>
      </w:r>
      <w:r>
        <w:rPr>
          <w:spacing w:val="-1"/>
        </w:rPr>
        <w:t>case</w:t>
      </w:r>
      <w:r>
        <w:rPr>
          <w:spacing w:val="3"/>
        </w:rPr>
        <w:t xml:space="preserve"> </w:t>
      </w:r>
      <w:r>
        <w:t>the</w:t>
      </w:r>
      <w:r>
        <w:rPr>
          <w:spacing w:val="3"/>
        </w:rPr>
        <w:t xml:space="preserve"> </w:t>
      </w:r>
      <w:r>
        <w:rPr>
          <w:spacing w:val="-1"/>
        </w:rPr>
        <w:t>Customer</w:t>
      </w:r>
      <w:r>
        <w:rPr>
          <w:spacing w:val="2"/>
        </w:rPr>
        <w:t xml:space="preserve"> </w:t>
      </w:r>
      <w:r>
        <w:rPr>
          <w:spacing w:val="-1"/>
        </w:rPr>
        <w:t>shall</w:t>
      </w:r>
      <w:r>
        <w:rPr>
          <w:spacing w:val="2"/>
        </w:rPr>
        <w:t xml:space="preserve"> </w:t>
      </w:r>
      <w:r>
        <w:t>pay</w:t>
      </w:r>
      <w:r>
        <w:rPr>
          <w:spacing w:val="55"/>
        </w:rPr>
        <w:t xml:space="preserve"> </w:t>
      </w:r>
      <w:r>
        <w:t>the</w:t>
      </w:r>
      <w:r>
        <w:rPr>
          <w:spacing w:val="7"/>
        </w:rPr>
        <w:t xml:space="preserve"> </w:t>
      </w:r>
      <w:r>
        <w:rPr>
          <w:spacing w:val="-2"/>
        </w:rPr>
        <w:t>Supplier</w:t>
      </w:r>
      <w:r>
        <w:rPr>
          <w:spacing w:val="9"/>
        </w:rPr>
        <w:t xml:space="preserve"> </w:t>
      </w:r>
      <w:r>
        <w:t>the</w:t>
      </w:r>
      <w:r>
        <w:rPr>
          <w:spacing w:val="7"/>
        </w:rPr>
        <w:t xml:space="preserve"> </w:t>
      </w:r>
      <w:r>
        <w:rPr>
          <w:spacing w:val="-1"/>
        </w:rPr>
        <w:t>Net</w:t>
      </w:r>
      <w:r>
        <w:rPr>
          <w:spacing w:val="9"/>
        </w:rPr>
        <w:t xml:space="preserve"> </w:t>
      </w:r>
      <w:r>
        <w:t>Book</w:t>
      </w:r>
      <w:r>
        <w:rPr>
          <w:spacing w:val="10"/>
        </w:rPr>
        <w:t xml:space="preserve"> </w:t>
      </w:r>
      <w:r>
        <w:rPr>
          <w:spacing w:val="-1"/>
        </w:rPr>
        <w:t>Value</w:t>
      </w:r>
      <w:r>
        <w:rPr>
          <w:spacing w:val="7"/>
        </w:rPr>
        <w:t xml:space="preserve"> </w:t>
      </w:r>
      <w:r>
        <w:rPr>
          <w:spacing w:val="-1"/>
        </w:rPr>
        <w:t>of</w:t>
      </w:r>
      <w:r>
        <w:rPr>
          <w:spacing w:val="11"/>
        </w:rPr>
        <w:t xml:space="preserve"> </w:t>
      </w:r>
      <w:r>
        <w:t>the</w:t>
      </w:r>
      <w:r>
        <w:rPr>
          <w:spacing w:val="5"/>
        </w:rPr>
        <w:t xml:space="preserve"> </w:t>
      </w:r>
      <w:r>
        <w:rPr>
          <w:spacing w:val="-1"/>
        </w:rPr>
        <w:t>Transferring</w:t>
      </w:r>
      <w:r>
        <w:rPr>
          <w:spacing w:val="10"/>
        </w:rPr>
        <w:t xml:space="preserve"> </w:t>
      </w:r>
      <w:r>
        <w:rPr>
          <w:spacing w:val="-1"/>
        </w:rPr>
        <w:t>Asset</w:t>
      </w:r>
      <w:r>
        <w:rPr>
          <w:spacing w:val="9"/>
        </w:rPr>
        <w:t xml:space="preserve"> </w:t>
      </w:r>
      <w:r>
        <w:rPr>
          <w:spacing w:val="-1"/>
        </w:rPr>
        <w:t>less</w:t>
      </w:r>
      <w:r>
        <w:rPr>
          <w:spacing w:val="8"/>
        </w:rPr>
        <w:t xml:space="preserve"> </w:t>
      </w:r>
      <w:r>
        <w:t>the</w:t>
      </w:r>
      <w:r>
        <w:rPr>
          <w:spacing w:val="7"/>
        </w:rPr>
        <w:t xml:space="preserve"> </w:t>
      </w:r>
      <w:r>
        <w:rPr>
          <w:spacing w:val="-1"/>
        </w:rPr>
        <w:t>amount</w:t>
      </w:r>
      <w:r>
        <w:rPr>
          <w:spacing w:val="9"/>
        </w:rPr>
        <w:t xml:space="preserve"> </w:t>
      </w:r>
      <w:r>
        <w:rPr>
          <w:spacing w:val="-1"/>
        </w:rPr>
        <w:t>already</w:t>
      </w:r>
      <w:r>
        <w:rPr>
          <w:spacing w:val="22"/>
        </w:rPr>
        <w:t xml:space="preserve"> </w:t>
      </w:r>
      <w:r>
        <w:rPr>
          <w:spacing w:val="-1"/>
        </w:rPr>
        <w:t>paid</w:t>
      </w:r>
      <w:r>
        <w:t xml:space="preserve"> </w:t>
      </w:r>
      <w:r>
        <w:rPr>
          <w:spacing w:val="-1"/>
        </w:rPr>
        <w:t>through</w:t>
      </w:r>
      <w:r>
        <w:rPr>
          <w:spacing w:val="-2"/>
        </w:rPr>
        <w:t xml:space="preserve"> </w:t>
      </w:r>
      <w:r>
        <w:t>the</w:t>
      </w:r>
      <w:r>
        <w:rPr>
          <w:spacing w:val="-2"/>
        </w:rPr>
        <w:t xml:space="preserve"> </w:t>
      </w:r>
      <w:r>
        <w:rPr>
          <w:spacing w:val="-1"/>
        </w:rPr>
        <w:t>Call</w:t>
      </w:r>
      <w:r>
        <w:t xml:space="preserve"> </w:t>
      </w:r>
      <w:r>
        <w:rPr>
          <w:spacing w:val="-1"/>
        </w:rPr>
        <w:t>Off</w:t>
      </w:r>
      <w:r>
        <w:rPr>
          <w:spacing w:val="-3"/>
        </w:rPr>
        <w:t xml:space="preserve"> </w:t>
      </w:r>
      <w:r>
        <w:rPr>
          <w:spacing w:val="-1"/>
        </w:rPr>
        <w:t>Contract</w:t>
      </w:r>
      <w:r>
        <w:rPr>
          <w:spacing w:val="2"/>
        </w:rPr>
        <w:t xml:space="preserve"> </w:t>
      </w:r>
      <w:r>
        <w:rPr>
          <w:spacing w:val="-2"/>
        </w:rPr>
        <w:t>Charges.</w:t>
      </w:r>
    </w:p>
    <w:p w:rsidR="008918FA" w:rsidRDefault="008918FA" w:rsidP="008918FA">
      <w:pPr>
        <w:pStyle w:val="BodyText"/>
        <w:numPr>
          <w:ilvl w:val="1"/>
          <w:numId w:val="9"/>
        </w:numPr>
        <w:tabs>
          <w:tab w:val="left" w:pos="689"/>
        </w:tabs>
        <w:spacing w:before="121"/>
        <w:ind w:left="688" w:right="116"/>
        <w:jc w:val="both"/>
      </w:pPr>
      <w:r>
        <w:rPr>
          <w:spacing w:val="-2"/>
        </w:rPr>
        <w:t>Risk</w:t>
      </w:r>
      <w:r>
        <w:rPr>
          <w:spacing w:val="42"/>
        </w:rPr>
        <w:t xml:space="preserve"> </w:t>
      </w:r>
      <w:r>
        <w:rPr>
          <w:spacing w:val="-1"/>
        </w:rPr>
        <w:t>in</w:t>
      </w:r>
      <w:r>
        <w:rPr>
          <w:spacing w:val="38"/>
        </w:rPr>
        <w:t xml:space="preserve"> </w:t>
      </w:r>
      <w:r>
        <w:t>the</w:t>
      </w:r>
      <w:r>
        <w:rPr>
          <w:spacing w:val="36"/>
        </w:rPr>
        <w:t xml:space="preserve"> </w:t>
      </w:r>
      <w:r>
        <w:rPr>
          <w:spacing w:val="-1"/>
        </w:rPr>
        <w:t>Transferring</w:t>
      </w:r>
      <w:r>
        <w:rPr>
          <w:spacing w:val="38"/>
        </w:rPr>
        <w:t xml:space="preserve"> </w:t>
      </w:r>
      <w:r>
        <w:rPr>
          <w:spacing w:val="-1"/>
        </w:rPr>
        <w:t>Assets</w:t>
      </w:r>
      <w:r>
        <w:rPr>
          <w:spacing w:val="39"/>
        </w:rPr>
        <w:t xml:space="preserve"> </w:t>
      </w:r>
      <w:r>
        <w:rPr>
          <w:spacing w:val="-1"/>
        </w:rPr>
        <w:t>shall</w:t>
      </w:r>
      <w:r>
        <w:rPr>
          <w:spacing w:val="38"/>
        </w:rPr>
        <w:t xml:space="preserve"> </w:t>
      </w:r>
      <w:r>
        <w:rPr>
          <w:spacing w:val="-1"/>
        </w:rPr>
        <w:t>pass</w:t>
      </w:r>
      <w:r>
        <w:rPr>
          <w:spacing w:val="41"/>
        </w:rPr>
        <w:t xml:space="preserve"> </w:t>
      </w:r>
      <w:r>
        <w:t>to</w:t>
      </w:r>
      <w:r>
        <w:rPr>
          <w:spacing w:val="38"/>
        </w:rPr>
        <w:t xml:space="preserve"> </w:t>
      </w:r>
      <w:r>
        <w:rPr>
          <w:spacing w:val="-1"/>
        </w:rPr>
        <w:t>the</w:t>
      </w:r>
      <w:r>
        <w:rPr>
          <w:spacing w:val="38"/>
        </w:rPr>
        <w:t xml:space="preserve"> </w:t>
      </w:r>
      <w:r>
        <w:rPr>
          <w:spacing w:val="-1"/>
        </w:rPr>
        <w:t>Customer</w:t>
      </w:r>
      <w:r>
        <w:rPr>
          <w:spacing w:val="40"/>
        </w:rPr>
        <w:t xml:space="preserve"> </w:t>
      </w:r>
      <w:r>
        <w:rPr>
          <w:spacing w:val="-1"/>
        </w:rPr>
        <w:t>or</w:t>
      </w:r>
      <w:r>
        <w:rPr>
          <w:spacing w:val="40"/>
        </w:rPr>
        <w:t xml:space="preserve"> </w:t>
      </w:r>
      <w:r>
        <w:t>the</w:t>
      </w:r>
      <w:r>
        <w:rPr>
          <w:spacing w:val="38"/>
        </w:rPr>
        <w:t xml:space="preserve"> </w:t>
      </w:r>
      <w:r>
        <w:rPr>
          <w:spacing w:val="-2"/>
        </w:rPr>
        <w:t>Replacement</w:t>
      </w:r>
      <w:r>
        <w:rPr>
          <w:spacing w:val="51"/>
        </w:rPr>
        <w:t xml:space="preserve"> </w:t>
      </w:r>
      <w:r>
        <w:rPr>
          <w:spacing w:val="-2"/>
        </w:rPr>
        <w:t>Supplier</w:t>
      </w:r>
      <w:r>
        <w:rPr>
          <w:spacing w:val="14"/>
        </w:rPr>
        <w:t xml:space="preserve"> </w:t>
      </w:r>
      <w:r>
        <w:rPr>
          <w:spacing w:val="-1"/>
        </w:rPr>
        <w:t>(as</w:t>
      </w:r>
      <w:r>
        <w:rPr>
          <w:spacing w:val="13"/>
        </w:rPr>
        <w:t xml:space="preserve"> </w:t>
      </w:r>
      <w:r>
        <w:rPr>
          <w:spacing w:val="-1"/>
        </w:rPr>
        <w:t>appropriate)</w:t>
      </w:r>
      <w:r>
        <w:rPr>
          <w:spacing w:val="11"/>
        </w:rPr>
        <w:t xml:space="preserve"> </w:t>
      </w:r>
      <w:r>
        <w:rPr>
          <w:spacing w:val="-1"/>
        </w:rPr>
        <w:t>at</w:t>
      </w:r>
      <w:r>
        <w:rPr>
          <w:spacing w:val="14"/>
        </w:rPr>
        <w:t xml:space="preserve"> </w:t>
      </w:r>
      <w:r>
        <w:t>the</w:t>
      </w:r>
      <w:r>
        <w:rPr>
          <w:spacing w:val="12"/>
        </w:rPr>
        <w:t xml:space="preserve"> </w:t>
      </w:r>
      <w:r>
        <w:rPr>
          <w:spacing w:val="-1"/>
        </w:rPr>
        <w:t>end</w:t>
      </w:r>
      <w:r>
        <w:rPr>
          <w:spacing w:val="12"/>
        </w:rPr>
        <w:t xml:space="preserve"> </w:t>
      </w:r>
      <w:r>
        <w:rPr>
          <w:spacing w:val="-1"/>
        </w:rPr>
        <w:t>of</w:t>
      </w:r>
      <w:r>
        <w:rPr>
          <w:spacing w:val="16"/>
        </w:rPr>
        <w:t xml:space="preserve"> </w:t>
      </w:r>
      <w:r>
        <w:t>the</w:t>
      </w:r>
      <w:r>
        <w:rPr>
          <w:spacing w:val="12"/>
        </w:rPr>
        <w:t xml:space="preserve"> </w:t>
      </w:r>
      <w:r>
        <w:rPr>
          <w:spacing w:val="-1"/>
        </w:rPr>
        <w:t>Termination</w:t>
      </w:r>
      <w:r>
        <w:rPr>
          <w:spacing w:val="12"/>
        </w:rPr>
        <w:t xml:space="preserve"> </w:t>
      </w:r>
      <w:r>
        <w:rPr>
          <w:spacing w:val="-1"/>
        </w:rPr>
        <w:t>Assistance</w:t>
      </w:r>
      <w:r>
        <w:rPr>
          <w:spacing w:val="13"/>
        </w:rPr>
        <w:t xml:space="preserve"> </w:t>
      </w:r>
      <w:r>
        <w:rPr>
          <w:spacing w:val="-1"/>
        </w:rPr>
        <w:t>Period</w:t>
      </w:r>
      <w:r>
        <w:rPr>
          <w:spacing w:val="12"/>
        </w:rPr>
        <w:t xml:space="preserve"> </w:t>
      </w:r>
      <w:r>
        <w:rPr>
          <w:spacing w:val="-1"/>
        </w:rPr>
        <w:t>and</w:t>
      </w:r>
      <w:r>
        <w:rPr>
          <w:spacing w:val="12"/>
        </w:rPr>
        <w:t xml:space="preserve"> </w:t>
      </w:r>
      <w:r>
        <w:rPr>
          <w:spacing w:val="-1"/>
        </w:rPr>
        <w:t>title</w:t>
      </w:r>
      <w:r>
        <w:rPr>
          <w:spacing w:val="53"/>
        </w:rPr>
        <w:t xml:space="preserve"> </w:t>
      </w:r>
      <w:r>
        <w:t>to</w:t>
      </w:r>
      <w:r>
        <w:rPr>
          <w:spacing w:val="5"/>
        </w:rPr>
        <w:t xml:space="preserve"> </w:t>
      </w:r>
      <w:r>
        <w:t>the</w:t>
      </w:r>
      <w:r>
        <w:rPr>
          <w:spacing w:val="5"/>
        </w:rPr>
        <w:t xml:space="preserve"> </w:t>
      </w:r>
      <w:r>
        <w:rPr>
          <w:spacing w:val="-1"/>
        </w:rPr>
        <w:t>Transferring</w:t>
      </w:r>
      <w:r>
        <w:rPr>
          <w:spacing w:val="10"/>
        </w:rPr>
        <w:t xml:space="preserve"> </w:t>
      </w:r>
      <w:r>
        <w:rPr>
          <w:spacing w:val="-2"/>
        </w:rPr>
        <w:t>Assets</w:t>
      </w:r>
      <w:r>
        <w:rPr>
          <w:spacing w:val="8"/>
        </w:rPr>
        <w:t xml:space="preserve"> </w:t>
      </w:r>
      <w:r>
        <w:rPr>
          <w:spacing w:val="-1"/>
        </w:rPr>
        <w:t>shall</w:t>
      </w:r>
      <w:r>
        <w:rPr>
          <w:spacing w:val="7"/>
        </w:rPr>
        <w:t xml:space="preserve"> </w:t>
      </w:r>
      <w:r>
        <w:rPr>
          <w:spacing w:val="-1"/>
        </w:rPr>
        <w:t>pass</w:t>
      </w:r>
      <w:r>
        <w:rPr>
          <w:spacing w:val="6"/>
        </w:rPr>
        <w:t xml:space="preserve"> </w:t>
      </w:r>
      <w:r>
        <w:t>to</w:t>
      </w:r>
      <w:r>
        <w:rPr>
          <w:spacing w:val="5"/>
        </w:rPr>
        <w:t xml:space="preserve"> </w:t>
      </w:r>
      <w:r>
        <w:t>the</w:t>
      </w:r>
      <w:r>
        <w:rPr>
          <w:spacing w:val="7"/>
        </w:rPr>
        <w:t xml:space="preserve"> </w:t>
      </w:r>
      <w:r>
        <w:rPr>
          <w:spacing w:val="-2"/>
        </w:rPr>
        <w:t>Customer</w:t>
      </w:r>
      <w:r>
        <w:rPr>
          <w:spacing w:val="6"/>
        </w:rPr>
        <w:t xml:space="preserve"> </w:t>
      </w:r>
      <w:r>
        <w:rPr>
          <w:spacing w:val="-1"/>
        </w:rPr>
        <w:t>or</w:t>
      </w:r>
      <w:r>
        <w:rPr>
          <w:spacing w:val="6"/>
        </w:rPr>
        <w:t xml:space="preserve"> </w:t>
      </w:r>
      <w:r>
        <w:t>the</w:t>
      </w:r>
      <w:r>
        <w:rPr>
          <w:spacing w:val="5"/>
        </w:rPr>
        <w:t xml:space="preserve"> </w:t>
      </w:r>
      <w:r>
        <w:rPr>
          <w:spacing w:val="-1"/>
        </w:rPr>
        <w:t>Replacement</w:t>
      </w:r>
      <w:r>
        <w:rPr>
          <w:spacing w:val="4"/>
        </w:rPr>
        <w:t xml:space="preserve"> </w:t>
      </w:r>
      <w:r>
        <w:rPr>
          <w:spacing w:val="-2"/>
        </w:rPr>
        <w:t>Supplier</w:t>
      </w:r>
      <w:r>
        <w:rPr>
          <w:spacing w:val="54"/>
        </w:rPr>
        <w:t xml:space="preserve"> </w:t>
      </w:r>
      <w:r>
        <w:rPr>
          <w:spacing w:val="-1"/>
        </w:rPr>
        <w:t>(as</w:t>
      </w:r>
      <w:r>
        <w:rPr>
          <w:spacing w:val="1"/>
        </w:rPr>
        <w:t xml:space="preserve"> </w:t>
      </w:r>
      <w:r>
        <w:rPr>
          <w:spacing w:val="-1"/>
        </w:rPr>
        <w:t>appropriate)</w:t>
      </w:r>
      <w:r>
        <w:rPr>
          <w:spacing w:val="2"/>
        </w:rPr>
        <w:t xml:space="preserve"> </w:t>
      </w:r>
      <w:r>
        <w:rPr>
          <w:spacing w:val="-1"/>
        </w:rPr>
        <w:t>on</w:t>
      </w:r>
      <w:r>
        <w:rPr>
          <w:spacing w:val="-2"/>
        </w:rPr>
        <w:t xml:space="preserve"> </w:t>
      </w:r>
      <w:r>
        <w:rPr>
          <w:spacing w:val="-1"/>
        </w:rPr>
        <w:t>payment</w:t>
      </w:r>
      <w:r>
        <w:rPr>
          <w:spacing w:val="-3"/>
        </w:rPr>
        <w:t xml:space="preserve"> </w:t>
      </w:r>
      <w:r>
        <w:t>for</w:t>
      </w:r>
      <w:r>
        <w:rPr>
          <w:spacing w:val="-1"/>
        </w:rPr>
        <w:t xml:space="preserve"> </w:t>
      </w:r>
      <w:r>
        <w:t>the</w:t>
      </w:r>
      <w:r>
        <w:rPr>
          <w:spacing w:val="-2"/>
        </w:rPr>
        <w:t xml:space="preserve"> </w:t>
      </w:r>
      <w:r>
        <w:rPr>
          <w:spacing w:val="-1"/>
        </w:rPr>
        <w:t>same.</w:t>
      </w:r>
    </w:p>
    <w:p w:rsidR="008918FA" w:rsidRDefault="008918FA" w:rsidP="008918FA">
      <w:pPr>
        <w:pStyle w:val="BodyText"/>
        <w:numPr>
          <w:ilvl w:val="1"/>
          <w:numId w:val="9"/>
        </w:numPr>
        <w:tabs>
          <w:tab w:val="left" w:pos="689"/>
        </w:tabs>
        <w:ind w:left="688" w:right="114"/>
        <w:jc w:val="both"/>
      </w:pPr>
      <w:r>
        <w:rPr>
          <w:spacing w:val="-1"/>
        </w:rPr>
        <w:t>Where</w:t>
      </w:r>
      <w:r>
        <w:rPr>
          <w:spacing w:val="24"/>
        </w:rPr>
        <w:t xml:space="preserve"> </w:t>
      </w:r>
      <w:r>
        <w:t>the</w:t>
      </w:r>
      <w:r>
        <w:rPr>
          <w:spacing w:val="24"/>
        </w:rPr>
        <w:t xml:space="preserve"> </w:t>
      </w:r>
      <w:r>
        <w:rPr>
          <w:spacing w:val="-2"/>
        </w:rPr>
        <w:t>Supplier</w:t>
      </w:r>
      <w:r>
        <w:rPr>
          <w:spacing w:val="26"/>
        </w:rPr>
        <w:t xml:space="preserve"> </w:t>
      </w:r>
      <w:r>
        <w:rPr>
          <w:spacing w:val="-1"/>
        </w:rPr>
        <w:t>is</w:t>
      </w:r>
      <w:r>
        <w:rPr>
          <w:spacing w:val="25"/>
        </w:rPr>
        <w:t xml:space="preserve"> </w:t>
      </w:r>
      <w:r>
        <w:rPr>
          <w:spacing w:val="-1"/>
        </w:rPr>
        <w:t>notified</w:t>
      </w:r>
      <w:r>
        <w:rPr>
          <w:spacing w:val="24"/>
        </w:rPr>
        <w:t xml:space="preserve"> </w:t>
      </w:r>
      <w:r>
        <w:rPr>
          <w:spacing w:val="-1"/>
        </w:rPr>
        <w:t>in</w:t>
      </w:r>
      <w:r>
        <w:rPr>
          <w:spacing w:val="24"/>
        </w:rPr>
        <w:t xml:space="preserve"> </w:t>
      </w:r>
      <w:r>
        <w:rPr>
          <w:spacing w:val="-1"/>
        </w:rPr>
        <w:t>accordance</w:t>
      </w:r>
      <w:r>
        <w:rPr>
          <w:spacing w:val="25"/>
        </w:rPr>
        <w:t xml:space="preserve"> </w:t>
      </w:r>
      <w:r>
        <w:rPr>
          <w:spacing w:val="-2"/>
        </w:rPr>
        <w:t>with</w:t>
      </w:r>
      <w:r>
        <w:rPr>
          <w:spacing w:val="24"/>
        </w:rPr>
        <w:t xml:space="preserve"> </w:t>
      </w:r>
      <w:r>
        <w:rPr>
          <w:spacing w:val="-1"/>
        </w:rPr>
        <w:t>paragraph</w:t>
      </w:r>
      <w:r>
        <w:rPr>
          <w:spacing w:val="3"/>
        </w:rPr>
        <w:t xml:space="preserve"> </w:t>
      </w:r>
      <w:hyperlink w:anchor="_bookmark381" w:history="1">
        <w:r>
          <w:rPr>
            <w:spacing w:val="-1"/>
          </w:rPr>
          <w:t>9.2.2</w:t>
        </w:r>
      </w:hyperlink>
      <w:r>
        <w:rPr>
          <w:spacing w:val="24"/>
        </w:rPr>
        <w:t xml:space="preserve"> </w:t>
      </w:r>
      <w:r>
        <w:rPr>
          <w:spacing w:val="-2"/>
        </w:rPr>
        <w:t>of</w:t>
      </w:r>
      <w:r>
        <w:rPr>
          <w:spacing w:val="28"/>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61"/>
        </w:rPr>
        <w:t xml:space="preserve"> </w:t>
      </w:r>
      <w:r>
        <w:rPr>
          <w:spacing w:val="-1"/>
        </w:rPr>
        <w:t>Schedule</w:t>
      </w:r>
      <w:r>
        <w:rPr>
          <w:spacing w:val="27"/>
        </w:rPr>
        <w:t xml:space="preserve"> </w:t>
      </w:r>
      <w:r>
        <w:rPr>
          <w:spacing w:val="-1"/>
        </w:rPr>
        <w:t>that</w:t>
      </w:r>
      <w:r>
        <w:rPr>
          <w:spacing w:val="26"/>
        </w:rPr>
        <w:t xml:space="preserve"> </w:t>
      </w:r>
      <w:r>
        <w:t>the</w:t>
      </w:r>
      <w:r>
        <w:rPr>
          <w:spacing w:val="27"/>
        </w:rPr>
        <w:t xml:space="preserve"> </w:t>
      </w:r>
      <w:r>
        <w:rPr>
          <w:spacing w:val="-1"/>
        </w:rPr>
        <w:t>Customer</w:t>
      </w:r>
      <w:r>
        <w:rPr>
          <w:spacing w:val="28"/>
        </w:rPr>
        <w:t xml:space="preserve"> </w:t>
      </w:r>
      <w:r>
        <w:rPr>
          <w:spacing w:val="-1"/>
        </w:rPr>
        <w:t>and/or</w:t>
      </w:r>
      <w:r>
        <w:rPr>
          <w:spacing w:val="26"/>
        </w:rPr>
        <w:t xml:space="preserve"> </w:t>
      </w:r>
      <w:r>
        <w:t>the</w:t>
      </w:r>
      <w:r>
        <w:rPr>
          <w:spacing w:val="27"/>
        </w:rPr>
        <w:t xml:space="preserve"> </w:t>
      </w:r>
      <w:r>
        <w:rPr>
          <w:spacing w:val="-2"/>
        </w:rPr>
        <w:t>Replacement</w:t>
      </w:r>
      <w:r>
        <w:rPr>
          <w:spacing w:val="28"/>
        </w:rPr>
        <w:t xml:space="preserve"> </w:t>
      </w:r>
      <w:r>
        <w:rPr>
          <w:spacing w:val="-2"/>
        </w:rPr>
        <w:t>Supplier</w:t>
      </w:r>
      <w:r>
        <w:rPr>
          <w:spacing w:val="26"/>
        </w:rPr>
        <w:t xml:space="preserve"> </w:t>
      </w:r>
      <w:r>
        <w:rPr>
          <w:spacing w:val="-1"/>
        </w:rPr>
        <w:t>requires</w:t>
      </w:r>
      <w:r>
        <w:rPr>
          <w:spacing w:val="25"/>
        </w:rPr>
        <w:t xml:space="preserve"> </w:t>
      </w:r>
      <w:r>
        <w:rPr>
          <w:spacing w:val="-1"/>
        </w:rPr>
        <w:t>continued</w:t>
      </w:r>
      <w:r>
        <w:rPr>
          <w:spacing w:val="54"/>
        </w:rPr>
        <w:t xml:space="preserve"> </w:t>
      </w:r>
      <w:r>
        <w:rPr>
          <w:spacing w:val="-1"/>
        </w:rPr>
        <w:t>use</w:t>
      </w:r>
      <w:r>
        <w:rPr>
          <w:spacing w:val="5"/>
        </w:rPr>
        <w:t xml:space="preserve"> </w:t>
      </w:r>
      <w:r>
        <w:rPr>
          <w:spacing w:val="-2"/>
        </w:rPr>
        <w:t>of</w:t>
      </w:r>
      <w:r>
        <w:rPr>
          <w:spacing w:val="9"/>
        </w:rPr>
        <w:t xml:space="preserve"> </w:t>
      </w:r>
      <w:r>
        <w:rPr>
          <w:spacing w:val="-1"/>
        </w:rPr>
        <w:t>any</w:t>
      </w:r>
      <w:r>
        <w:rPr>
          <w:spacing w:val="3"/>
        </w:rPr>
        <w:t xml:space="preserve"> </w:t>
      </w:r>
      <w:r>
        <w:rPr>
          <w:spacing w:val="-2"/>
        </w:rPr>
        <w:t>Exclusive</w:t>
      </w:r>
      <w:r>
        <w:rPr>
          <w:spacing w:val="5"/>
        </w:rPr>
        <w:t xml:space="preserve"> </w:t>
      </w:r>
      <w:r>
        <w:t>Assets</w:t>
      </w:r>
      <w:r>
        <w:rPr>
          <w:spacing w:val="3"/>
        </w:rPr>
        <w:t xml:space="preserve"> </w:t>
      </w:r>
      <w:r>
        <w:rPr>
          <w:spacing w:val="-1"/>
        </w:rPr>
        <w:t>that</w:t>
      </w:r>
      <w:r>
        <w:rPr>
          <w:spacing w:val="7"/>
        </w:rPr>
        <w:t xml:space="preserve"> </w:t>
      </w:r>
      <w:r>
        <w:rPr>
          <w:spacing w:val="-1"/>
        </w:rPr>
        <w:t>are</w:t>
      </w:r>
      <w:r>
        <w:rPr>
          <w:spacing w:val="5"/>
        </w:rPr>
        <w:t xml:space="preserve"> </w:t>
      </w:r>
      <w:r>
        <w:rPr>
          <w:spacing w:val="-2"/>
        </w:rPr>
        <w:t>not</w:t>
      </w:r>
      <w:r>
        <w:rPr>
          <w:spacing w:val="4"/>
        </w:rPr>
        <w:t xml:space="preserve"> </w:t>
      </w:r>
      <w:r>
        <w:rPr>
          <w:spacing w:val="-1"/>
        </w:rPr>
        <w:t>Transferable</w:t>
      </w:r>
      <w:r>
        <w:rPr>
          <w:spacing w:val="5"/>
        </w:rPr>
        <w:t xml:space="preserve"> </w:t>
      </w:r>
      <w:r>
        <w:rPr>
          <w:spacing w:val="-1"/>
        </w:rPr>
        <w:t>Assets</w:t>
      </w:r>
      <w:r>
        <w:rPr>
          <w:spacing w:val="5"/>
        </w:rPr>
        <w:t xml:space="preserve"> </w:t>
      </w:r>
      <w:r>
        <w:rPr>
          <w:spacing w:val="-2"/>
        </w:rPr>
        <w:t>or</w:t>
      </w:r>
      <w:r>
        <w:rPr>
          <w:spacing w:val="6"/>
        </w:rPr>
        <w:t xml:space="preserve"> </w:t>
      </w:r>
      <w:r>
        <w:rPr>
          <w:spacing w:val="-1"/>
        </w:rPr>
        <w:t>any</w:t>
      </w:r>
      <w:r>
        <w:rPr>
          <w:spacing w:val="3"/>
        </w:rPr>
        <w:t xml:space="preserve"> </w:t>
      </w:r>
      <w:r>
        <w:rPr>
          <w:spacing w:val="-2"/>
        </w:rPr>
        <w:t>Non-Exclusive</w:t>
      </w:r>
      <w:r>
        <w:rPr>
          <w:spacing w:val="58"/>
        </w:rPr>
        <w:t xml:space="preserve"> </w:t>
      </w:r>
      <w:r>
        <w:rPr>
          <w:spacing w:val="-1"/>
        </w:rPr>
        <w:t>Assets,</w:t>
      </w:r>
      <w:r>
        <w:t xml:space="preserve"> </w:t>
      </w:r>
      <w:r>
        <w:rPr>
          <w:spacing w:val="-1"/>
        </w:rPr>
        <w:t>the</w:t>
      </w:r>
      <w:r>
        <w:t xml:space="preserve"> </w:t>
      </w:r>
      <w:r>
        <w:rPr>
          <w:spacing w:val="-2"/>
        </w:rPr>
        <w:t>Supplier</w:t>
      </w:r>
      <w:r>
        <w:rPr>
          <w:spacing w:val="2"/>
        </w:rPr>
        <w:t xml:space="preserve"> </w:t>
      </w:r>
      <w:r>
        <w:rPr>
          <w:spacing w:val="-2"/>
        </w:rPr>
        <w:t>shall</w:t>
      </w:r>
      <w:r>
        <w:t xml:space="preserve"> </w:t>
      </w:r>
      <w:r>
        <w:rPr>
          <w:spacing w:val="-1"/>
        </w:rPr>
        <w:t>as</w:t>
      </w:r>
      <w:r>
        <w:rPr>
          <w:spacing w:val="1"/>
        </w:rPr>
        <w:t xml:space="preserve"> </w:t>
      </w:r>
      <w:r>
        <w:rPr>
          <w:spacing w:val="-1"/>
        </w:rPr>
        <w:t>soon</w:t>
      </w:r>
      <w:r>
        <w:rPr>
          <w:spacing w:val="-2"/>
        </w:rPr>
        <w:t xml:space="preserve"> </w:t>
      </w:r>
      <w:r>
        <w:rPr>
          <w:spacing w:val="-1"/>
        </w:rPr>
        <w:t>as</w:t>
      </w:r>
      <w:r>
        <w:rPr>
          <w:spacing w:val="-2"/>
        </w:rPr>
        <w:t xml:space="preserve"> </w:t>
      </w:r>
      <w:r>
        <w:rPr>
          <w:spacing w:val="-1"/>
        </w:rPr>
        <w:t>reasonably</w:t>
      </w:r>
      <w:r>
        <w:rPr>
          <w:spacing w:val="-2"/>
        </w:rPr>
        <w:t xml:space="preserve"> </w:t>
      </w:r>
      <w:r>
        <w:rPr>
          <w:spacing w:val="-1"/>
        </w:rPr>
        <w:t>practicable:</w:t>
      </w:r>
    </w:p>
    <w:p w:rsidR="008918FA" w:rsidRDefault="008918FA" w:rsidP="008918FA">
      <w:pPr>
        <w:pStyle w:val="BodyText"/>
        <w:numPr>
          <w:ilvl w:val="2"/>
          <w:numId w:val="9"/>
        </w:numPr>
        <w:tabs>
          <w:tab w:val="left" w:pos="1887"/>
        </w:tabs>
        <w:ind w:left="1886" w:right="112"/>
        <w:jc w:val="both"/>
      </w:pPr>
      <w:r>
        <w:rPr>
          <w:spacing w:val="-1"/>
        </w:rPr>
        <w:t>procure</w:t>
      </w:r>
      <w:r>
        <w:rPr>
          <w:spacing w:val="24"/>
        </w:rPr>
        <w:t xml:space="preserve"> </w:t>
      </w:r>
      <w:r>
        <w:t>a</w:t>
      </w:r>
      <w:r>
        <w:rPr>
          <w:spacing w:val="22"/>
        </w:rPr>
        <w:t xml:space="preserve"> </w:t>
      </w:r>
      <w:r>
        <w:rPr>
          <w:spacing w:val="-2"/>
        </w:rPr>
        <w:t>non-exclusive,</w:t>
      </w:r>
      <w:r>
        <w:rPr>
          <w:spacing w:val="26"/>
        </w:rPr>
        <w:t xml:space="preserve"> </w:t>
      </w:r>
      <w:r>
        <w:rPr>
          <w:spacing w:val="-1"/>
        </w:rPr>
        <w:t>perpetual,</w:t>
      </w:r>
      <w:r>
        <w:rPr>
          <w:spacing w:val="26"/>
        </w:rPr>
        <w:t xml:space="preserve"> </w:t>
      </w:r>
      <w:r>
        <w:rPr>
          <w:spacing w:val="-1"/>
        </w:rPr>
        <w:t>royalty-free</w:t>
      </w:r>
      <w:r>
        <w:rPr>
          <w:spacing w:val="24"/>
        </w:rPr>
        <w:t xml:space="preserve"> </w:t>
      </w:r>
      <w:r>
        <w:rPr>
          <w:spacing w:val="-2"/>
        </w:rPr>
        <w:t>licence</w:t>
      </w:r>
      <w:r>
        <w:rPr>
          <w:spacing w:val="25"/>
        </w:rPr>
        <w:t xml:space="preserve"> </w:t>
      </w:r>
      <w:r>
        <w:rPr>
          <w:spacing w:val="-1"/>
        </w:rPr>
        <w:t>(or</w:t>
      </w:r>
      <w:r>
        <w:rPr>
          <w:spacing w:val="26"/>
        </w:rPr>
        <w:t xml:space="preserve"> </w:t>
      </w:r>
      <w:r>
        <w:rPr>
          <w:spacing w:val="-1"/>
        </w:rPr>
        <w:t>licence</w:t>
      </w:r>
      <w:r>
        <w:rPr>
          <w:spacing w:val="25"/>
        </w:rPr>
        <w:t xml:space="preserve"> </w:t>
      </w:r>
      <w:r>
        <w:rPr>
          <w:spacing w:val="-1"/>
        </w:rPr>
        <w:t>on</w:t>
      </w:r>
      <w:r>
        <w:rPr>
          <w:spacing w:val="54"/>
        </w:rPr>
        <w:t xml:space="preserve"> </w:t>
      </w:r>
      <w:r>
        <w:rPr>
          <w:spacing w:val="-1"/>
        </w:rPr>
        <w:t>such</w:t>
      </w:r>
      <w:r>
        <w:rPr>
          <w:spacing w:val="53"/>
        </w:rPr>
        <w:t xml:space="preserve"> </w:t>
      </w:r>
      <w:r>
        <w:rPr>
          <w:spacing w:val="-1"/>
        </w:rPr>
        <w:t>other</w:t>
      </w:r>
      <w:r>
        <w:rPr>
          <w:spacing w:val="54"/>
        </w:rPr>
        <w:t xml:space="preserve"> </w:t>
      </w:r>
      <w:r>
        <w:rPr>
          <w:spacing w:val="-1"/>
        </w:rPr>
        <w:t>terms</w:t>
      </w:r>
      <w:r>
        <w:rPr>
          <w:spacing w:val="53"/>
        </w:rPr>
        <w:t xml:space="preserve"> </w:t>
      </w:r>
      <w:r>
        <w:rPr>
          <w:spacing w:val="-1"/>
        </w:rPr>
        <w:t>that</w:t>
      </w:r>
      <w:r>
        <w:rPr>
          <w:spacing w:val="52"/>
        </w:rPr>
        <w:t xml:space="preserve"> </w:t>
      </w:r>
      <w:r>
        <w:rPr>
          <w:spacing w:val="-2"/>
        </w:rPr>
        <w:t>have</w:t>
      </w:r>
      <w:r>
        <w:rPr>
          <w:spacing w:val="53"/>
        </w:rPr>
        <w:t xml:space="preserve"> </w:t>
      </w:r>
      <w:r>
        <w:rPr>
          <w:spacing w:val="-1"/>
        </w:rPr>
        <w:t>been</w:t>
      </w:r>
      <w:r>
        <w:rPr>
          <w:spacing w:val="53"/>
        </w:rPr>
        <w:t xml:space="preserve"> </w:t>
      </w:r>
      <w:r>
        <w:rPr>
          <w:spacing w:val="-1"/>
        </w:rPr>
        <w:t>agreed</w:t>
      </w:r>
      <w:r>
        <w:rPr>
          <w:spacing w:val="52"/>
        </w:rPr>
        <w:t xml:space="preserve"> </w:t>
      </w:r>
      <w:r>
        <w:rPr>
          <w:spacing w:val="-1"/>
        </w:rPr>
        <w:t>by</w:t>
      </w:r>
      <w:r>
        <w:rPr>
          <w:spacing w:val="51"/>
        </w:rPr>
        <w:t xml:space="preserve"> </w:t>
      </w:r>
      <w:r>
        <w:t>the</w:t>
      </w:r>
      <w:r>
        <w:rPr>
          <w:spacing w:val="53"/>
        </w:rPr>
        <w:t xml:space="preserve"> </w:t>
      </w:r>
      <w:r>
        <w:rPr>
          <w:spacing w:val="-1"/>
        </w:rPr>
        <w:t>Customer)</w:t>
      </w:r>
      <w:r>
        <w:rPr>
          <w:spacing w:val="49"/>
        </w:rPr>
        <w:t xml:space="preserve"> </w:t>
      </w:r>
      <w:r>
        <w:t>for</w:t>
      </w:r>
      <w:r>
        <w:rPr>
          <w:spacing w:val="54"/>
        </w:rPr>
        <w:t xml:space="preserve"> </w:t>
      </w:r>
      <w:r>
        <w:rPr>
          <w:spacing w:val="-1"/>
        </w:rPr>
        <w:t>the</w:t>
      </w:r>
      <w:r>
        <w:rPr>
          <w:spacing w:val="37"/>
        </w:rPr>
        <w:t xml:space="preserve"> </w:t>
      </w:r>
      <w:r>
        <w:rPr>
          <w:spacing w:val="-1"/>
        </w:rPr>
        <w:t>Customer</w:t>
      </w:r>
      <w:r>
        <w:rPr>
          <w:spacing w:val="11"/>
        </w:rPr>
        <w:t xml:space="preserve"> </w:t>
      </w:r>
      <w:r>
        <w:rPr>
          <w:spacing w:val="-1"/>
        </w:rPr>
        <w:t>and/or</w:t>
      </w:r>
      <w:r>
        <w:rPr>
          <w:spacing w:val="9"/>
        </w:rPr>
        <w:t xml:space="preserve"> </w:t>
      </w:r>
      <w:r>
        <w:t>the</w:t>
      </w:r>
      <w:r>
        <w:rPr>
          <w:spacing w:val="10"/>
        </w:rPr>
        <w:t xml:space="preserve"> </w:t>
      </w:r>
      <w:r>
        <w:rPr>
          <w:spacing w:val="-2"/>
        </w:rPr>
        <w:t>Replacement</w:t>
      </w:r>
      <w:r>
        <w:rPr>
          <w:spacing w:val="11"/>
        </w:rPr>
        <w:t xml:space="preserve"> </w:t>
      </w:r>
      <w:r>
        <w:rPr>
          <w:spacing w:val="-2"/>
        </w:rPr>
        <w:t>Supplier</w:t>
      </w:r>
      <w:r>
        <w:rPr>
          <w:spacing w:val="9"/>
        </w:rPr>
        <w:t xml:space="preserve"> </w:t>
      </w:r>
      <w:r>
        <w:t>to</w:t>
      </w:r>
      <w:r>
        <w:rPr>
          <w:spacing w:val="10"/>
        </w:rPr>
        <w:t xml:space="preserve"> </w:t>
      </w:r>
      <w:r>
        <w:rPr>
          <w:spacing w:val="-2"/>
        </w:rPr>
        <w:t>use</w:t>
      </w:r>
      <w:r>
        <w:rPr>
          <w:spacing w:val="10"/>
        </w:rPr>
        <w:t xml:space="preserve"> </w:t>
      </w:r>
      <w:r>
        <w:rPr>
          <w:spacing w:val="-1"/>
        </w:rPr>
        <w:t>such</w:t>
      </w:r>
      <w:r>
        <w:rPr>
          <w:spacing w:val="10"/>
        </w:rPr>
        <w:t xml:space="preserve"> </w:t>
      </w:r>
      <w:r>
        <w:rPr>
          <w:spacing w:val="-1"/>
        </w:rPr>
        <w:t>assets</w:t>
      </w:r>
      <w:r>
        <w:rPr>
          <w:spacing w:val="8"/>
        </w:rPr>
        <w:t xml:space="preserve"> </w:t>
      </w:r>
      <w:r>
        <w:rPr>
          <w:spacing w:val="-1"/>
        </w:rPr>
        <w:t>(with</w:t>
      </w:r>
      <w:r>
        <w:rPr>
          <w:spacing w:val="10"/>
        </w:rPr>
        <w:t xml:space="preserve"> </w:t>
      </w:r>
      <w:r>
        <w:t>a</w:t>
      </w:r>
      <w:r>
        <w:rPr>
          <w:spacing w:val="49"/>
        </w:rPr>
        <w:t xml:space="preserve"> </w:t>
      </w:r>
      <w:r>
        <w:rPr>
          <w:spacing w:val="-1"/>
        </w:rPr>
        <w:t>right</w:t>
      </w:r>
      <w:r>
        <w:rPr>
          <w:spacing w:val="2"/>
        </w:rPr>
        <w:t xml:space="preserve"> </w:t>
      </w:r>
      <w:r>
        <w:rPr>
          <w:spacing w:val="-2"/>
        </w:rPr>
        <w:t>of</w:t>
      </w:r>
      <w:r>
        <w:rPr>
          <w:spacing w:val="2"/>
        </w:rPr>
        <w:t xml:space="preserve"> </w:t>
      </w:r>
      <w:r>
        <w:rPr>
          <w:spacing w:val="-1"/>
        </w:rPr>
        <w:t>sub-licence</w:t>
      </w:r>
      <w:r>
        <w:rPr>
          <w:spacing w:val="1"/>
        </w:rPr>
        <w:t xml:space="preserve"> </w:t>
      </w:r>
      <w:r>
        <w:rPr>
          <w:spacing w:val="-2"/>
        </w:rPr>
        <w:t>or</w:t>
      </w:r>
      <w:r>
        <w:rPr>
          <w:spacing w:val="2"/>
        </w:rPr>
        <w:t xml:space="preserve"> </w:t>
      </w:r>
      <w:r>
        <w:rPr>
          <w:spacing w:val="-1"/>
        </w:rPr>
        <w:t>assignment</w:t>
      </w:r>
      <w:r>
        <w:t xml:space="preserve"> </w:t>
      </w:r>
      <w:r>
        <w:rPr>
          <w:spacing w:val="-1"/>
        </w:rPr>
        <w:t>on</w:t>
      </w:r>
      <w:r>
        <w:rPr>
          <w:spacing w:val="-2"/>
        </w:rPr>
        <w:t xml:space="preserve"> </w:t>
      </w:r>
      <w:r>
        <w:t xml:space="preserve">the </w:t>
      </w:r>
      <w:r>
        <w:rPr>
          <w:spacing w:val="-1"/>
        </w:rPr>
        <w:t>same</w:t>
      </w:r>
      <w:r>
        <w:rPr>
          <w:spacing w:val="-2"/>
        </w:rPr>
        <w:t xml:space="preserve"> </w:t>
      </w:r>
      <w:r>
        <w:rPr>
          <w:spacing w:val="-1"/>
        </w:rPr>
        <w:t>terms);</w:t>
      </w:r>
      <w:r>
        <w:t xml:space="preserve"> </w:t>
      </w:r>
      <w:r>
        <w:rPr>
          <w:spacing w:val="-1"/>
        </w:rPr>
        <w:t>or</w:t>
      </w:r>
      <w:r>
        <w:rPr>
          <w:spacing w:val="-3"/>
        </w:rPr>
        <w:t xml:space="preserve"> </w:t>
      </w:r>
      <w:r>
        <w:rPr>
          <w:spacing w:val="-1"/>
        </w:rPr>
        <w:t>failing</w:t>
      </w:r>
      <w:r>
        <w:t xml:space="preserve"> </w:t>
      </w:r>
      <w:r>
        <w:rPr>
          <w:spacing w:val="-2"/>
        </w:rPr>
        <w:t>which</w:t>
      </w:r>
    </w:p>
    <w:p w:rsidR="008918FA" w:rsidRDefault="008918FA" w:rsidP="008918FA">
      <w:pPr>
        <w:pStyle w:val="BodyText"/>
        <w:numPr>
          <w:ilvl w:val="2"/>
          <w:numId w:val="9"/>
        </w:numPr>
        <w:tabs>
          <w:tab w:val="left" w:pos="1887"/>
        </w:tabs>
        <w:spacing w:before="121"/>
        <w:ind w:left="1886" w:right="114"/>
        <w:jc w:val="both"/>
      </w:pPr>
      <w:r>
        <w:rPr>
          <w:spacing w:val="-1"/>
        </w:rPr>
        <w:t>procure</w:t>
      </w:r>
      <w:r>
        <w:rPr>
          <w:spacing w:val="17"/>
        </w:rPr>
        <w:t xml:space="preserve"> </w:t>
      </w:r>
      <w:r>
        <w:t>a</w:t>
      </w:r>
      <w:r>
        <w:rPr>
          <w:spacing w:val="17"/>
        </w:rPr>
        <w:t xml:space="preserve"> </w:t>
      </w:r>
      <w:r>
        <w:rPr>
          <w:spacing w:val="-1"/>
        </w:rPr>
        <w:t>suitable</w:t>
      </w:r>
      <w:r>
        <w:rPr>
          <w:spacing w:val="17"/>
        </w:rPr>
        <w:t xml:space="preserve"> </w:t>
      </w:r>
      <w:r>
        <w:rPr>
          <w:spacing w:val="-1"/>
        </w:rPr>
        <w:t>alternative</w:t>
      </w:r>
      <w:r>
        <w:rPr>
          <w:spacing w:val="17"/>
        </w:rPr>
        <w:t xml:space="preserve"> </w:t>
      </w:r>
      <w:r>
        <w:t>to</w:t>
      </w:r>
      <w:r>
        <w:rPr>
          <w:spacing w:val="17"/>
        </w:rPr>
        <w:t xml:space="preserve"> </w:t>
      </w:r>
      <w:r>
        <w:rPr>
          <w:spacing w:val="-1"/>
        </w:rPr>
        <w:t>such</w:t>
      </w:r>
      <w:r>
        <w:rPr>
          <w:spacing w:val="18"/>
        </w:rPr>
        <w:t xml:space="preserve"> </w:t>
      </w:r>
      <w:r>
        <w:rPr>
          <w:spacing w:val="-1"/>
        </w:rPr>
        <w:t>assets</w:t>
      </w:r>
      <w:r>
        <w:rPr>
          <w:spacing w:val="15"/>
        </w:rPr>
        <w:t xml:space="preserve"> </w:t>
      </w:r>
      <w:r>
        <w:rPr>
          <w:spacing w:val="-1"/>
        </w:rPr>
        <w:t>and</w:t>
      </w:r>
      <w:r>
        <w:rPr>
          <w:spacing w:val="15"/>
        </w:rPr>
        <w:t xml:space="preserve"> </w:t>
      </w:r>
      <w:r>
        <w:t>the</w:t>
      </w:r>
      <w:r>
        <w:rPr>
          <w:spacing w:val="17"/>
        </w:rPr>
        <w:t xml:space="preserve"> </w:t>
      </w:r>
      <w:r>
        <w:rPr>
          <w:spacing w:val="-1"/>
        </w:rPr>
        <w:t>Customer</w:t>
      </w:r>
      <w:r>
        <w:rPr>
          <w:spacing w:val="19"/>
        </w:rPr>
        <w:t xml:space="preserve"> </w:t>
      </w:r>
      <w:r>
        <w:rPr>
          <w:spacing w:val="-2"/>
        </w:rPr>
        <w:t>or</w:t>
      </w:r>
      <w:r>
        <w:rPr>
          <w:spacing w:val="19"/>
        </w:rPr>
        <w:t xml:space="preserve"> </w:t>
      </w:r>
      <w:r>
        <w:rPr>
          <w:spacing w:val="-1"/>
        </w:rPr>
        <w:t>the</w:t>
      </w:r>
      <w:r>
        <w:rPr>
          <w:spacing w:val="31"/>
        </w:rPr>
        <w:t xml:space="preserve"> </w:t>
      </w:r>
      <w:r>
        <w:rPr>
          <w:spacing w:val="-1"/>
        </w:rPr>
        <w:t>Replacement</w:t>
      </w:r>
      <w:r>
        <w:rPr>
          <w:spacing w:val="25"/>
        </w:rPr>
        <w:t xml:space="preserve"> </w:t>
      </w:r>
      <w:r>
        <w:rPr>
          <w:spacing w:val="-2"/>
        </w:rPr>
        <w:t>Supplier</w:t>
      </w:r>
      <w:r>
        <w:rPr>
          <w:spacing w:val="22"/>
        </w:rPr>
        <w:t xml:space="preserve"> </w:t>
      </w:r>
      <w:r>
        <w:rPr>
          <w:spacing w:val="-1"/>
        </w:rPr>
        <w:t>shall</w:t>
      </w:r>
      <w:r>
        <w:rPr>
          <w:spacing w:val="22"/>
        </w:rPr>
        <w:t xml:space="preserve"> </w:t>
      </w:r>
      <w:r>
        <w:rPr>
          <w:spacing w:val="-1"/>
        </w:rPr>
        <w:t>bear</w:t>
      </w:r>
      <w:r>
        <w:rPr>
          <w:spacing w:val="24"/>
        </w:rPr>
        <w:t xml:space="preserve"> </w:t>
      </w:r>
      <w:r>
        <w:t>the</w:t>
      </w:r>
      <w:r>
        <w:rPr>
          <w:spacing w:val="21"/>
        </w:rPr>
        <w:t xml:space="preserve"> </w:t>
      </w:r>
      <w:r>
        <w:rPr>
          <w:spacing w:val="-2"/>
        </w:rPr>
        <w:t>reasonable</w:t>
      </w:r>
      <w:r>
        <w:rPr>
          <w:spacing w:val="23"/>
        </w:rPr>
        <w:t xml:space="preserve"> </w:t>
      </w:r>
      <w:r>
        <w:rPr>
          <w:spacing w:val="-1"/>
        </w:rPr>
        <w:t>proven</w:t>
      </w:r>
      <w:r>
        <w:rPr>
          <w:spacing w:val="23"/>
        </w:rPr>
        <w:t xml:space="preserve"> </w:t>
      </w:r>
      <w:r>
        <w:rPr>
          <w:spacing w:val="-1"/>
        </w:rPr>
        <w:t>costs</w:t>
      </w:r>
      <w:r>
        <w:rPr>
          <w:spacing w:val="21"/>
        </w:rPr>
        <w:t xml:space="preserve"> </w:t>
      </w:r>
      <w:r>
        <w:rPr>
          <w:spacing w:val="-2"/>
        </w:rPr>
        <w:t>of</w:t>
      </w:r>
      <w:r>
        <w:rPr>
          <w:spacing w:val="47"/>
        </w:rPr>
        <w:t xml:space="preserve"> </w:t>
      </w:r>
      <w:r>
        <w:rPr>
          <w:spacing w:val="-1"/>
        </w:rPr>
        <w:t>procuring</w:t>
      </w:r>
      <w:r>
        <w:t xml:space="preserve"> the</w:t>
      </w:r>
      <w:r>
        <w:rPr>
          <w:spacing w:val="-2"/>
        </w:rPr>
        <w:t xml:space="preserve"> </w:t>
      </w:r>
      <w:r>
        <w:rPr>
          <w:spacing w:val="-1"/>
        </w:rPr>
        <w:t>same.</w:t>
      </w:r>
    </w:p>
    <w:p w:rsidR="008918FA" w:rsidRDefault="008918FA" w:rsidP="008918FA">
      <w:pPr>
        <w:pStyle w:val="BodyText"/>
        <w:numPr>
          <w:ilvl w:val="1"/>
          <w:numId w:val="9"/>
        </w:numPr>
        <w:tabs>
          <w:tab w:val="left" w:pos="689"/>
        </w:tabs>
        <w:ind w:left="688" w:right="115"/>
        <w:jc w:val="both"/>
      </w:pPr>
      <w:bookmarkStart w:id="464" w:name="_bookmark383"/>
      <w:bookmarkEnd w:id="464"/>
      <w:r>
        <w:t>The</w:t>
      </w:r>
      <w:r>
        <w:rPr>
          <w:spacing w:val="13"/>
        </w:rPr>
        <w:t xml:space="preserve"> </w:t>
      </w:r>
      <w:r>
        <w:rPr>
          <w:spacing w:val="-2"/>
        </w:rPr>
        <w:t>Supplier</w:t>
      </w:r>
      <w:r>
        <w:rPr>
          <w:spacing w:val="17"/>
        </w:rPr>
        <w:t xml:space="preserve"> </w:t>
      </w:r>
      <w:r>
        <w:rPr>
          <w:spacing w:val="-1"/>
        </w:rPr>
        <w:t>shall</w:t>
      </w:r>
      <w:r>
        <w:rPr>
          <w:spacing w:val="15"/>
        </w:rPr>
        <w:t xml:space="preserve"> </w:t>
      </w:r>
      <w:r>
        <w:rPr>
          <w:spacing w:val="-1"/>
        </w:rPr>
        <w:t>as</w:t>
      </w:r>
      <w:r>
        <w:rPr>
          <w:spacing w:val="14"/>
        </w:rPr>
        <w:t xml:space="preserve"> </w:t>
      </w:r>
      <w:r>
        <w:rPr>
          <w:spacing w:val="-1"/>
        </w:rPr>
        <w:t>soon</w:t>
      </w:r>
      <w:r>
        <w:rPr>
          <w:spacing w:val="16"/>
        </w:rPr>
        <w:t xml:space="preserve"> </w:t>
      </w:r>
      <w:r>
        <w:rPr>
          <w:spacing w:val="-1"/>
        </w:rPr>
        <w:t>as</w:t>
      </w:r>
      <w:r>
        <w:rPr>
          <w:spacing w:val="14"/>
        </w:rPr>
        <w:t xml:space="preserve"> </w:t>
      </w:r>
      <w:r>
        <w:rPr>
          <w:spacing w:val="-1"/>
        </w:rPr>
        <w:t>reasonably</w:t>
      </w:r>
      <w:r>
        <w:rPr>
          <w:spacing w:val="14"/>
        </w:rPr>
        <w:t xml:space="preserve"> </w:t>
      </w:r>
      <w:r>
        <w:rPr>
          <w:spacing w:val="-1"/>
        </w:rPr>
        <w:t>practicable</w:t>
      </w:r>
      <w:r>
        <w:rPr>
          <w:spacing w:val="16"/>
        </w:rPr>
        <w:t xml:space="preserve"> </w:t>
      </w:r>
      <w:r>
        <w:rPr>
          <w:spacing w:val="-1"/>
        </w:rPr>
        <w:t>assign</w:t>
      </w:r>
      <w:r>
        <w:rPr>
          <w:spacing w:val="16"/>
        </w:rPr>
        <w:t xml:space="preserve"> </w:t>
      </w:r>
      <w:r>
        <w:rPr>
          <w:spacing w:val="-2"/>
        </w:rPr>
        <w:t>or</w:t>
      </w:r>
      <w:r>
        <w:rPr>
          <w:spacing w:val="17"/>
        </w:rPr>
        <w:t xml:space="preserve"> </w:t>
      </w:r>
      <w:r>
        <w:rPr>
          <w:spacing w:val="-1"/>
        </w:rPr>
        <w:t>procure</w:t>
      </w:r>
      <w:r>
        <w:rPr>
          <w:spacing w:val="14"/>
        </w:rPr>
        <w:t xml:space="preserve"> </w:t>
      </w:r>
      <w:r>
        <w:rPr>
          <w:spacing w:val="-1"/>
        </w:rPr>
        <w:t>the</w:t>
      </w:r>
      <w:r>
        <w:rPr>
          <w:spacing w:val="42"/>
        </w:rPr>
        <w:t xml:space="preserve"> </w:t>
      </w:r>
      <w:r>
        <w:rPr>
          <w:spacing w:val="-1"/>
        </w:rPr>
        <w:t>novation</w:t>
      </w:r>
      <w:r>
        <w:rPr>
          <w:spacing w:val="51"/>
        </w:rPr>
        <w:t xml:space="preserve"> </w:t>
      </w:r>
      <w:r>
        <w:t>to</w:t>
      </w:r>
      <w:r>
        <w:rPr>
          <w:spacing w:val="51"/>
        </w:rPr>
        <w:t xml:space="preserve"> </w:t>
      </w:r>
      <w:r>
        <w:t>the</w:t>
      </w:r>
      <w:r>
        <w:rPr>
          <w:spacing w:val="51"/>
        </w:rPr>
        <w:t xml:space="preserve"> </w:t>
      </w:r>
      <w:r>
        <w:rPr>
          <w:spacing w:val="-1"/>
        </w:rPr>
        <w:t>Customer</w:t>
      </w:r>
      <w:r>
        <w:rPr>
          <w:spacing w:val="52"/>
        </w:rPr>
        <w:t xml:space="preserve"> </w:t>
      </w:r>
      <w:r>
        <w:rPr>
          <w:spacing w:val="-1"/>
        </w:rPr>
        <w:t>and/or</w:t>
      </w:r>
      <w:r>
        <w:rPr>
          <w:spacing w:val="52"/>
        </w:rPr>
        <w:t xml:space="preserve"> </w:t>
      </w:r>
      <w:r>
        <w:t>the</w:t>
      </w:r>
      <w:r>
        <w:rPr>
          <w:spacing w:val="51"/>
        </w:rPr>
        <w:t xml:space="preserve"> </w:t>
      </w:r>
      <w:r>
        <w:rPr>
          <w:spacing w:val="-1"/>
        </w:rPr>
        <w:t>Replacement</w:t>
      </w:r>
      <w:r>
        <w:rPr>
          <w:spacing w:val="53"/>
        </w:rPr>
        <w:t xml:space="preserve"> </w:t>
      </w:r>
      <w:r>
        <w:rPr>
          <w:spacing w:val="-2"/>
        </w:rPr>
        <w:t>Supplier</w:t>
      </w:r>
      <w:r>
        <w:rPr>
          <w:spacing w:val="52"/>
        </w:rPr>
        <w:t xml:space="preserve"> </w:t>
      </w:r>
      <w:r>
        <w:rPr>
          <w:spacing w:val="-1"/>
        </w:rPr>
        <w:t>of</w:t>
      </w:r>
      <w:r>
        <w:rPr>
          <w:spacing w:val="52"/>
        </w:rPr>
        <w:t xml:space="preserve"> </w:t>
      </w:r>
      <w:r>
        <w:t>the</w:t>
      </w:r>
      <w:r>
        <w:rPr>
          <w:spacing w:val="51"/>
        </w:rPr>
        <w:t xml:space="preserve"> </w:t>
      </w:r>
      <w:r>
        <w:rPr>
          <w:spacing w:val="-2"/>
        </w:rPr>
        <w:t>Transferring</w:t>
      </w:r>
      <w:r>
        <w:rPr>
          <w:spacing w:val="55"/>
        </w:rPr>
        <w:t xml:space="preserve"> </w:t>
      </w:r>
      <w:r>
        <w:rPr>
          <w:spacing w:val="-1"/>
        </w:rPr>
        <w:t>Contracts.</w:t>
      </w:r>
      <w:r>
        <w:t xml:space="preserve">  </w:t>
      </w:r>
      <w:r>
        <w:rPr>
          <w:spacing w:val="17"/>
        </w:rPr>
        <w:t xml:space="preserve"> </w:t>
      </w:r>
      <w:r>
        <w:t>The</w:t>
      </w:r>
      <w:r>
        <w:rPr>
          <w:spacing w:val="38"/>
        </w:rPr>
        <w:t xml:space="preserve"> </w:t>
      </w:r>
      <w:r>
        <w:rPr>
          <w:spacing w:val="-2"/>
        </w:rPr>
        <w:t>Supplier</w:t>
      </w:r>
      <w:r>
        <w:rPr>
          <w:spacing w:val="40"/>
        </w:rPr>
        <w:t xml:space="preserve"> </w:t>
      </w:r>
      <w:r>
        <w:rPr>
          <w:spacing w:val="-1"/>
        </w:rPr>
        <w:t>shall</w:t>
      </w:r>
      <w:r>
        <w:rPr>
          <w:spacing w:val="38"/>
        </w:rPr>
        <w:t xml:space="preserve"> </w:t>
      </w:r>
      <w:r>
        <w:rPr>
          <w:spacing w:val="-1"/>
        </w:rPr>
        <w:t>execute</w:t>
      </w:r>
      <w:r>
        <w:rPr>
          <w:spacing w:val="38"/>
        </w:rPr>
        <w:t xml:space="preserve"> </w:t>
      </w:r>
      <w:r>
        <w:rPr>
          <w:spacing w:val="-1"/>
        </w:rPr>
        <w:t>such</w:t>
      </w:r>
      <w:r>
        <w:rPr>
          <w:spacing w:val="39"/>
        </w:rPr>
        <w:t xml:space="preserve"> </w:t>
      </w:r>
      <w:r>
        <w:rPr>
          <w:spacing w:val="-1"/>
        </w:rPr>
        <w:t>documents</w:t>
      </w:r>
      <w:r>
        <w:rPr>
          <w:spacing w:val="39"/>
        </w:rPr>
        <w:t xml:space="preserve"> </w:t>
      </w:r>
      <w:r>
        <w:rPr>
          <w:spacing w:val="-1"/>
        </w:rPr>
        <w:t>and</w:t>
      </w:r>
      <w:r>
        <w:rPr>
          <w:spacing w:val="39"/>
        </w:rPr>
        <w:t xml:space="preserve"> </w:t>
      </w:r>
      <w:r>
        <w:rPr>
          <w:spacing w:val="-2"/>
        </w:rPr>
        <w:t>provide</w:t>
      </w:r>
      <w:r>
        <w:rPr>
          <w:spacing w:val="38"/>
        </w:rPr>
        <w:t xml:space="preserve"> </w:t>
      </w:r>
      <w:r>
        <w:t>such</w:t>
      </w:r>
      <w:r>
        <w:rPr>
          <w:spacing w:val="39"/>
        </w:rPr>
        <w:t xml:space="preserve"> </w:t>
      </w:r>
      <w:r>
        <w:rPr>
          <w:spacing w:val="-1"/>
        </w:rPr>
        <w:t>other</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left="828" w:right="120" w:firstLine="0"/>
      </w:pPr>
      <w:r>
        <w:rPr>
          <w:spacing w:val="-1"/>
        </w:rPr>
        <w:t>assistance</w:t>
      </w:r>
      <w:r>
        <w:t xml:space="preserve"> </w:t>
      </w:r>
      <w:r>
        <w:rPr>
          <w:spacing w:val="40"/>
        </w:rPr>
        <w:t xml:space="preserve"> </w:t>
      </w:r>
      <w:r>
        <w:rPr>
          <w:spacing w:val="-1"/>
        </w:rPr>
        <w:t>as</w:t>
      </w:r>
      <w:r>
        <w:t xml:space="preserve"> </w:t>
      </w:r>
      <w:r>
        <w:rPr>
          <w:spacing w:val="38"/>
        </w:rPr>
        <w:t xml:space="preserve"> </w:t>
      </w:r>
      <w:r>
        <w:t xml:space="preserve">the </w:t>
      </w:r>
      <w:r>
        <w:rPr>
          <w:spacing w:val="40"/>
        </w:rPr>
        <w:t xml:space="preserve"> </w:t>
      </w:r>
      <w:r>
        <w:rPr>
          <w:spacing w:val="-2"/>
        </w:rPr>
        <w:t>Customer</w:t>
      </w:r>
      <w:r>
        <w:t xml:space="preserve"> </w:t>
      </w:r>
      <w:r>
        <w:rPr>
          <w:spacing w:val="41"/>
        </w:rPr>
        <w:t xml:space="preserve"> </w:t>
      </w:r>
      <w:r>
        <w:rPr>
          <w:spacing w:val="-1"/>
        </w:rPr>
        <w:t>reasonably</w:t>
      </w:r>
      <w:r>
        <w:t xml:space="preserve"> </w:t>
      </w:r>
      <w:r>
        <w:rPr>
          <w:spacing w:val="38"/>
        </w:rPr>
        <w:t xml:space="preserve"> </w:t>
      </w:r>
      <w:r>
        <w:rPr>
          <w:spacing w:val="-1"/>
        </w:rPr>
        <w:t>requires</w:t>
      </w:r>
      <w:r>
        <w:t xml:space="preserve"> </w:t>
      </w:r>
      <w:r>
        <w:rPr>
          <w:spacing w:val="40"/>
        </w:rPr>
        <w:t xml:space="preserve"> </w:t>
      </w:r>
      <w:r>
        <w:t xml:space="preserve">to </w:t>
      </w:r>
      <w:r>
        <w:rPr>
          <w:spacing w:val="41"/>
        </w:rPr>
        <w:t xml:space="preserve"> </w:t>
      </w:r>
      <w:r>
        <w:rPr>
          <w:spacing w:val="-1"/>
        </w:rPr>
        <w:t>effect</w:t>
      </w:r>
      <w:r>
        <w:t xml:space="preserve"> </w:t>
      </w:r>
      <w:r>
        <w:rPr>
          <w:spacing w:val="39"/>
        </w:rPr>
        <w:t xml:space="preserve"> </w:t>
      </w:r>
      <w:r>
        <w:rPr>
          <w:spacing w:val="-1"/>
        </w:rPr>
        <w:t>this</w:t>
      </w:r>
      <w:r>
        <w:t xml:space="preserve"> </w:t>
      </w:r>
      <w:r>
        <w:rPr>
          <w:spacing w:val="40"/>
        </w:rPr>
        <w:t xml:space="preserve"> </w:t>
      </w:r>
      <w:r>
        <w:rPr>
          <w:spacing w:val="-2"/>
        </w:rPr>
        <w:t>novation</w:t>
      </w:r>
      <w:r>
        <w:t xml:space="preserve"> </w:t>
      </w:r>
      <w:r>
        <w:rPr>
          <w:spacing w:val="40"/>
        </w:rPr>
        <w:t xml:space="preserve"> </w:t>
      </w:r>
      <w:r>
        <w:rPr>
          <w:spacing w:val="-1"/>
        </w:rPr>
        <w:t>or</w:t>
      </w:r>
      <w:r>
        <w:rPr>
          <w:spacing w:val="46"/>
        </w:rPr>
        <w:t xml:space="preserve"> </w:t>
      </w:r>
      <w:r>
        <w:rPr>
          <w:spacing w:val="-1"/>
        </w:rPr>
        <w:t>assignment.</w:t>
      </w:r>
    </w:p>
    <w:p w:rsidR="008918FA" w:rsidRDefault="008918FA" w:rsidP="008918FA">
      <w:pPr>
        <w:pStyle w:val="BodyText"/>
        <w:numPr>
          <w:ilvl w:val="1"/>
          <w:numId w:val="9"/>
        </w:numPr>
        <w:tabs>
          <w:tab w:val="left" w:pos="829"/>
        </w:tabs>
        <w:spacing w:before="121"/>
      </w:pPr>
      <w:r>
        <w:t>The</w:t>
      </w:r>
      <w:r>
        <w:rPr>
          <w:spacing w:val="-2"/>
        </w:rPr>
        <w:t xml:space="preserve"> </w:t>
      </w:r>
      <w:r>
        <w:rPr>
          <w:spacing w:val="-1"/>
        </w:rPr>
        <w:t>Customer shall:</w:t>
      </w:r>
    </w:p>
    <w:p w:rsidR="008918FA" w:rsidRDefault="008918FA" w:rsidP="008918FA">
      <w:pPr>
        <w:pStyle w:val="BodyText"/>
        <w:numPr>
          <w:ilvl w:val="2"/>
          <w:numId w:val="9"/>
        </w:numPr>
        <w:tabs>
          <w:tab w:val="left" w:pos="2027"/>
        </w:tabs>
        <w:ind w:left="2026" w:right="114"/>
        <w:jc w:val="both"/>
      </w:pPr>
      <w:r>
        <w:rPr>
          <w:spacing w:val="-1"/>
        </w:rPr>
        <w:t>accept</w:t>
      </w:r>
      <w:r>
        <w:rPr>
          <w:spacing w:val="5"/>
        </w:rPr>
        <w:t xml:space="preserve"> </w:t>
      </w:r>
      <w:r>
        <w:rPr>
          <w:spacing w:val="-1"/>
        </w:rPr>
        <w:t>assignments</w:t>
      </w:r>
      <w:r>
        <w:rPr>
          <w:spacing w:val="2"/>
        </w:rPr>
        <w:t xml:space="preserve"> </w:t>
      </w:r>
      <w:r>
        <w:rPr>
          <w:spacing w:val="-1"/>
        </w:rPr>
        <w:t>from</w:t>
      </w:r>
      <w:r>
        <w:rPr>
          <w:spacing w:val="5"/>
        </w:rPr>
        <w:t xml:space="preserve"> </w:t>
      </w:r>
      <w:r>
        <w:t>the</w:t>
      </w:r>
      <w:r>
        <w:rPr>
          <w:spacing w:val="4"/>
        </w:rPr>
        <w:t xml:space="preserve"> </w:t>
      </w:r>
      <w:r>
        <w:rPr>
          <w:spacing w:val="-2"/>
        </w:rPr>
        <w:t>Supplier</w:t>
      </w:r>
      <w:r>
        <w:rPr>
          <w:spacing w:val="5"/>
        </w:rPr>
        <w:t xml:space="preserve"> </w:t>
      </w:r>
      <w:r>
        <w:rPr>
          <w:spacing w:val="-1"/>
        </w:rPr>
        <w:t>or</w:t>
      </w:r>
      <w:r>
        <w:rPr>
          <w:spacing w:val="3"/>
        </w:rPr>
        <w:t xml:space="preserve"> </w:t>
      </w:r>
      <w:r>
        <w:rPr>
          <w:spacing w:val="-1"/>
        </w:rPr>
        <w:t>join</w:t>
      </w:r>
      <w:r>
        <w:rPr>
          <w:spacing w:val="4"/>
        </w:rPr>
        <w:t xml:space="preserve"> </w:t>
      </w:r>
      <w:r>
        <w:rPr>
          <w:spacing w:val="-1"/>
        </w:rPr>
        <w:t>with</w:t>
      </w:r>
      <w:r>
        <w:rPr>
          <w:spacing w:val="4"/>
        </w:rPr>
        <w:t xml:space="preserve"> </w:t>
      </w:r>
      <w:r>
        <w:t>the</w:t>
      </w:r>
      <w:r>
        <w:rPr>
          <w:spacing w:val="4"/>
        </w:rPr>
        <w:t xml:space="preserve"> </w:t>
      </w:r>
      <w:r>
        <w:rPr>
          <w:spacing w:val="-2"/>
        </w:rPr>
        <w:t>Supplier</w:t>
      </w:r>
      <w:r>
        <w:rPr>
          <w:spacing w:val="5"/>
        </w:rPr>
        <w:t xml:space="preserve"> </w:t>
      </w:r>
      <w:r>
        <w:rPr>
          <w:spacing w:val="-1"/>
        </w:rPr>
        <w:t>in</w:t>
      </w:r>
      <w:r>
        <w:rPr>
          <w:spacing w:val="55"/>
        </w:rPr>
        <w:t xml:space="preserve"> </w:t>
      </w:r>
      <w:r>
        <w:rPr>
          <w:spacing w:val="-1"/>
        </w:rPr>
        <w:t>procuring</w:t>
      </w:r>
      <w:r>
        <w:rPr>
          <w:spacing w:val="3"/>
        </w:rPr>
        <w:t xml:space="preserve"> </w:t>
      </w:r>
      <w:r>
        <w:t>a</w:t>
      </w:r>
      <w:r>
        <w:rPr>
          <w:spacing w:val="-2"/>
        </w:rPr>
        <w:t xml:space="preserve"> </w:t>
      </w:r>
      <w:r>
        <w:rPr>
          <w:spacing w:val="-1"/>
        </w:rPr>
        <w:t>novation</w:t>
      </w:r>
      <w:r>
        <w:t xml:space="preserve"> </w:t>
      </w:r>
      <w:r>
        <w:rPr>
          <w:spacing w:val="-2"/>
        </w:rPr>
        <w:t>of</w:t>
      </w:r>
      <w:r>
        <w:rPr>
          <w:spacing w:val="2"/>
        </w:rPr>
        <w:t xml:space="preserve"> </w:t>
      </w:r>
      <w:r>
        <w:rPr>
          <w:spacing w:val="-2"/>
        </w:rPr>
        <w:t xml:space="preserve">each </w:t>
      </w:r>
      <w:r>
        <w:rPr>
          <w:spacing w:val="-1"/>
        </w:rPr>
        <w:t>Transferring</w:t>
      </w:r>
      <w:r>
        <w:rPr>
          <w:spacing w:val="3"/>
        </w:rPr>
        <w:t xml:space="preserve"> </w:t>
      </w:r>
      <w:r>
        <w:rPr>
          <w:spacing w:val="-1"/>
        </w:rPr>
        <w:t>Contract;</w:t>
      </w:r>
      <w:r>
        <w:t xml:space="preserve"> </w:t>
      </w:r>
      <w:r>
        <w:rPr>
          <w:spacing w:val="-1"/>
        </w:rPr>
        <w:t>and</w:t>
      </w:r>
    </w:p>
    <w:p w:rsidR="008918FA" w:rsidRDefault="008918FA" w:rsidP="008918FA">
      <w:pPr>
        <w:pStyle w:val="BodyText"/>
        <w:numPr>
          <w:ilvl w:val="2"/>
          <w:numId w:val="9"/>
        </w:numPr>
        <w:tabs>
          <w:tab w:val="left" w:pos="2027"/>
        </w:tabs>
        <w:ind w:left="2026" w:right="114"/>
        <w:jc w:val="both"/>
      </w:pPr>
      <w:r>
        <w:rPr>
          <w:spacing w:val="-1"/>
        </w:rPr>
        <w:t>once</w:t>
      </w:r>
      <w:r>
        <w:rPr>
          <w:spacing w:val="22"/>
        </w:rPr>
        <w:t xml:space="preserve"> </w:t>
      </w:r>
      <w:r>
        <w:t>a</w:t>
      </w:r>
      <w:r>
        <w:rPr>
          <w:spacing w:val="22"/>
        </w:rPr>
        <w:t xml:space="preserve"> </w:t>
      </w:r>
      <w:r>
        <w:rPr>
          <w:spacing w:val="-1"/>
        </w:rPr>
        <w:t>Transferring</w:t>
      </w:r>
      <w:r>
        <w:rPr>
          <w:spacing w:val="24"/>
        </w:rPr>
        <w:t xml:space="preserve"> </w:t>
      </w:r>
      <w:r>
        <w:rPr>
          <w:spacing w:val="-1"/>
        </w:rPr>
        <w:t>Contract</w:t>
      </w:r>
      <w:r>
        <w:rPr>
          <w:spacing w:val="23"/>
        </w:rPr>
        <w:t xml:space="preserve"> </w:t>
      </w:r>
      <w:r>
        <w:rPr>
          <w:spacing w:val="-1"/>
        </w:rPr>
        <w:t>is</w:t>
      </w:r>
      <w:r>
        <w:rPr>
          <w:spacing w:val="22"/>
        </w:rPr>
        <w:t xml:space="preserve"> </w:t>
      </w:r>
      <w:r>
        <w:rPr>
          <w:spacing w:val="-1"/>
        </w:rPr>
        <w:t>novated</w:t>
      </w:r>
      <w:r>
        <w:rPr>
          <w:spacing w:val="22"/>
        </w:rPr>
        <w:t xml:space="preserve"> </w:t>
      </w:r>
      <w:r>
        <w:rPr>
          <w:spacing w:val="-1"/>
        </w:rPr>
        <w:t>or</w:t>
      </w:r>
      <w:r>
        <w:rPr>
          <w:spacing w:val="23"/>
        </w:rPr>
        <w:t xml:space="preserve"> </w:t>
      </w:r>
      <w:r>
        <w:rPr>
          <w:spacing w:val="-1"/>
        </w:rPr>
        <w:t>assigned</w:t>
      </w:r>
      <w:r>
        <w:rPr>
          <w:spacing w:val="22"/>
        </w:rPr>
        <w:t xml:space="preserve"> </w:t>
      </w:r>
      <w:r>
        <w:t>to</w:t>
      </w:r>
      <w:r>
        <w:rPr>
          <w:spacing w:val="22"/>
        </w:rPr>
        <w:t xml:space="preserve"> </w:t>
      </w:r>
      <w:r>
        <w:t>the</w:t>
      </w:r>
      <w:r>
        <w:rPr>
          <w:spacing w:val="22"/>
        </w:rPr>
        <w:t xml:space="preserve"> </w:t>
      </w:r>
      <w:r>
        <w:rPr>
          <w:spacing w:val="-1"/>
        </w:rPr>
        <w:t>Customer</w:t>
      </w:r>
      <w:r>
        <w:rPr>
          <w:spacing w:val="27"/>
        </w:rPr>
        <w:t xml:space="preserve"> </w:t>
      </w:r>
      <w:r>
        <w:rPr>
          <w:spacing w:val="-1"/>
        </w:rPr>
        <w:t>and/or</w:t>
      </w:r>
      <w:r>
        <w:rPr>
          <w:spacing w:val="14"/>
        </w:rPr>
        <w:t xml:space="preserve"> </w:t>
      </w:r>
      <w:r>
        <w:t>the</w:t>
      </w:r>
      <w:r>
        <w:rPr>
          <w:spacing w:val="12"/>
        </w:rPr>
        <w:t xml:space="preserve"> </w:t>
      </w:r>
      <w:r>
        <w:rPr>
          <w:spacing w:val="-2"/>
        </w:rPr>
        <w:t>Replacement</w:t>
      </w:r>
      <w:r>
        <w:rPr>
          <w:spacing w:val="11"/>
        </w:rPr>
        <w:t xml:space="preserve"> </w:t>
      </w:r>
      <w:r>
        <w:rPr>
          <w:spacing w:val="-1"/>
        </w:rPr>
        <w:t>Supplier,</w:t>
      </w:r>
      <w:r>
        <w:rPr>
          <w:spacing w:val="14"/>
        </w:rPr>
        <w:t xml:space="preserve"> </w:t>
      </w:r>
      <w:r>
        <w:rPr>
          <w:spacing w:val="-1"/>
        </w:rPr>
        <w:t>carry</w:t>
      </w:r>
      <w:r>
        <w:rPr>
          <w:spacing w:val="10"/>
        </w:rPr>
        <w:t xml:space="preserve"> </w:t>
      </w:r>
      <w:r>
        <w:rPr>
          <w:spacing w:val="-1"/>
        </w:rPr>
        <w:t>out,</w:t>
      </w:r>
      <w:r>
        <w:rPr>
          <w:spacing w:val="14"/>
        </w:rPr>
        <w:t xml:space="preserve"> </w:t>
      </w:r>
      <w:r>
        <w:rPr>
          <w:spacing w:val="-1"/>
        </w:rPr>
        <w:t>perform</w:t>
      </w:r>
      <w:r>
        <w:rPr>
          <w:spacing w:val="14"/>
        </w:rPr>
        <w:t xml:space="preserve"> </w:t>
      </w:r>
      <w:r>
        <w:rPr>
          <w:spacing w:val="-1"/>
        </w:rPr>
        <w:t>and</w:t>
      </w:r>
      <w:r>
        <w:rPr>
          <w:spacing w:val="12"/>
        </w:rPr>
        <w:t xml:space="preserve"> </w:t>
      </w:r>
      <w:r>
        <w:rPr>
          <w:spacing w:val="-1"/>
        </w:rPr>
        <w:t>discharge</w:t>
      </w:r>
      <w:r>
        <w:rPr>
          <w:spacing w:val="12"/>
        </w:rPr>
        <w:t xml:space="preserve"> </w:t>
      </w:r>
      <w:r>
        <w:rPr>
          <w:spacing w:val="-1"/>
        </w:rPr>
        <w:t>all</w:t>
      </w:r>
      <w:r>
        <w:rPr>
          <w:spacing w:val="49"/>
        </w:rPr>
        <w:t xml:space="preserve"> </w:t>
      </w:r>
      <w:r>
        <w:t>the</w:t>
      </w:r>
      <w:r>
        <w:rPr>
          <w:spacing w:val="57"/>
        </w:rPr>
        <w:t xml:space="preserve"> </w:t>
      </w:r>
      <w:r>
        <w:rPr>
          <w:spacing w:val="-1"/>
        </w:rPr>
        <w:t>obligations</w:t>
      </w:r>
      <w:r>
        <w:rPr>
          <w:spacing w:val="57"/>
        </w:rPr>
        <w:t xml:space="preserve"> </w:t>
      </w:r>
      <w:r>
        <w:rPr>
          <w:spacing w:val="-1"/>
        </w:rPr>
        <w:t>and</w:t>
      </w:r>
      <w:r>
        <w:rPr>
          <w:spacing w:val="57"/>
        </w:rPr>
        <w:t xml:space="preserve"> </w:t>
      </w:r>
      <w:r>
        <w:rPr>
          <w:spacing w:val="-2"/>
        </w:rPr>
        <w:t>liabilities</w:t>
      </w:r>
      <w:r>
        <w:rPr>
          <w:spacing w:val="57"/>
        </w:rPr>
        <w:t xml:space="preserve"> </w:t>
      </w:r>
      <w:r>
        <w:rPr>
          <w:spacing w:val="-1"/>
        </w:rPr>
        <w:t>created</w:t>
      </w:r>
      <w:r>
        <w:rPr>
          <w:spacing w:val="57"/>
        </w:rPr>
        <w:t xml:space="preserve"> </w:t>
      </w:r>
      <w:r>
        <w:rPr>
          <w:spacing w:val="-1"/>
        </w:rPr>
        <w:t>by</w:t>
      </w:r>
      <w:r>
        <w:rPr>
          <w:spacing w:val="57"/>
        </w:rPr>
        <w:t xml:space="preserve"> </w:t>
      </w:r>
      <w:r>
        <w:rPr>
          <w:spacing w:val="-1"/>
        </w:rPr>
        <w:t>or</w:t>
      </w:r>
      <w:r>
        <w:rPr>
          <w:spacing w:val="61"/>
        </w:rPr>
        <w:t xml:space="preserve"> </w:t>
      </w:r>
      <w:r>
        <w:rPr>
          <w:spacing w:val="-1"/>
        </w:rPr>
        <w:t>arising</w:t>
      </w:r>
      <w:r>
        <w:rPr>
          <w:spacing w:val="59"/>
        </w:rPr>
        <w:t xml:space="preserve"> </w:t>
      </w:r>
      <w:r>
        <w:rPr>
          <w:spacing w:val="-1"/>
        </w:rPr>
        <w:t>under</w:t>
      </w:r>
      <w:r>
        <w:rPr>
          <w:spacing w:val="58"/>
        </w:rPr>
        <w:t xml:space="preserve"> </w:t>
      </w:r>
      <w:r>
        <w:rPr>
          <w:spacing w:val="-1"/>
        </w:rPr>
        <w:t>that</w:t>
      </w:r>
      <w:r>
        <w:rPr>
          <w:spacing w:val="45"/>
        </w:rPr>
        <w:t xml:space="preserve"> </w:t>
      </w:r>
      <w:r>
        <w:rPr>
          <w:spacing w:val="-1"/>
        </w:rPr>
        <w:t>Transferring</w:t>
      </w:r>
      <w:r>
        <w:rPr>
          <w:spacing w:val="52"/>
        </w:rPr>
        <w:t xml:space="preserve"> </w:t>
      </w:r>
      <w:r>
        <w:rPr>
          <w:spacing w:val="-1"/>
        </w:rPr>
        <w:t>Contract</w:t>
      </w:r>
      <w:r>
        <w:rPr>
          <w:spacing w:val="49"/>
        </w:rPr>
        <w:t xml:space="preserve"> </w:t>
      </w:r>
      <w:r>
        <w:rPr>
          <w:spacing w:val="-1"/>
        </w:rPr>
        <w:t>and</w:t>
      </w:r>
      <w:r>
        <w:rPr>
          <w:spacing w:val="49"/>
        </w:rPr>
        <w:t xml:space="preserve"> </w:t>
      </w:r>
      <w:r>
        <w:rPr>
          <w:spacing w:val="-1"/>
        </w:rPr>
        <w:t>exercise</w:t>
      </w:r>
      <w:r>
        <w:rPr>
          <w:spacing w:val="50"/>
        </w:rPr>
        <w:t xml:space="preserve"> </w:t>
      </w:r>
      <w:r>
        <w:rPr>
          <w:spacing w:val="-1"/>
        </w:rPr>
        <w:t>its</w:t>
      </w:r>
      <w:r>
        <w:rPr>
          <w:spacing w:val="50"/>
        </w:rPr>
        <w:t xml:space="preserve"> </w:t>
      </w:r>
      <w:r>
        <w:rPr>
          <w:spacing w:val="-1"/>
        </w:rPr>
        <w:t>rights</w:t>
      </w:r>
      <w:r>
        <w:rPr>
          <w:spacing w:val="50"/>
        </w:rPr>
        <w:t xml:space="preserve"> </w:t>
      </w:r>
      <w:r>
        <w:rPr>
          <w:spacing w:val="-1"/>
        </w:rPr>
        <w:t>arising</w:t>
      </w:r>
      <w:r>
        <w:rPr>
          <w:spacing w:val="53"/>
        </w:rPr>
        <w:t xml:space="preserve"> </w:t>
      </w:r>
      <w:r>
        <w:rPr>
          <w:spacing w:val="-1"/>
        </w:rPr>
        <w:t>under</w:t>
      </w:r>
      <w:r>
        <w:rPr>
          <w:spacing w:val="48"/>
        </w:rPr>
        <w:t xml:space="preserve"> </w:t>
      </w:r>
      <w:r>
        <w:rPr>
          <w:spacing w:val="-1"/>
        </w:rPr>
        <w:t>that</w:t>
      </w:r>
      <w:r>
        <w:rPr>
          <w:spacing w:val="23"/>
        </w:rPr>
        <w:t xml:space="preserve"> </w:t>
      </w:r>
      <w:r>
        <w:rPr>
          <w:spacing w:val="-1"/>
        </w:rPr>
        <w:t>Transferring</w:t>
      </w:r>
      <w:r>
        <w:rPr>
          <w:spacing w:val="22"/>
        </w:rPr>
        <w:t xml:space="preserve"> </w:t>
      </w:r>
      <w:r>
        <w:rPr>
          <w:spacing w:val="-1"/>
        </w:rPr>
        <w:t>Contract,</w:t>
      </w:r>
      <w:r>
        <w:rPr>
          <w:spacing w:val="21"/>
        </w:rPr>
        <w:t xml:space="preserve"> </w:t>
      </w:r>
      <w:r>
        <w:rPr>
          <w:spacing w:val="-2"/>
        </w:rPr>
        <w:t>or</w:t>
      </w:r>
      <w:r>
        <w:rPr>
          <w:spacing w:val="19"/>
        </w:rPr>
        <w:t xml:space="preserve"> </w:t>
      </w:r>
      <w:r>
        <w:rPr>
          <w:spacing w:val="-1"/>
        </w:rPr>
        <w:t>as</w:t>
      </w:r>
      <w:r>
        <w:rPr>
          <w:spacing w:val="20"/>
        </w:rPr>
        <w:t xml:space="preserve"> </w:t>
      </w:r>
      <w:r>
        <w:rPr>
          <w:spacing w:val="-2"/>
        </w:rPr>
        <w:t>applicable,</w:t>
      </w:r>
      <w:r>
        <w:rPr>
          <w:spacing w:val="21"/>
        </w:rPr>
        <w:t xml:space="preserve"> </w:t>
      </w:r>
      <w:r>
        <w:rPr>
          <w:spacing w:val="-1"/>
        </w:rPr>
        <w:t>procure</w:t>
      </w:r>
      <w:r>
        <w:rPr>
          <w:spacing w:val="19"/>
        </w:rPr>
        <w:t xml:space="preserve"> </w:t>
      </w:r>
      <w:r>
        <w:rPr>
          <w:spacing w:val="-1"/>
        </w:rPr>
        <w:t>that</w:t>
      </w:r>
      <w:r>
        <w:rPr>
          <w:spacing w:val="21"/>
        </w:rPr>
        <w:t xml:space="preserve"> </w:t>
      </w:r>
      <w:r>
        <w:t>the</w:t>
      </w:r>
      <w:r>
        <w:rPr>
          <w:spacing w:val="20"/>
        </w:rPr>
        <w:t xml:space="preserve"> </w:t>
      </w:r>
      <w:r>
        <w:rPr>
          <w:spacing w:val="-2"/>
        </w:rPr>
        <w:t>Replacement</w:t>
      </w:r>
      <w:r>
        <w:rPr>
          <w:spacing w:val="48"/>
        </w:rPr>
        <w:t xml:space="preserve"> </w:t>
      </w:r>
      <w:r>
        <w:rPr>
          <w:spacing w:val="-2"/>
        </w:rPr>
        <w:t>Supplier</w:t>
      </w:r>
      <w:r>
        <w:rPr>
          <w:spacing w:val="2"/>
        </w:rPr>
        <w:t xml:space="preserve"> </w:t>
      </w:r>
      <w:r>
        <w:rPr>
          <w:spacing w:val="-1"/>
        </w:rPr>
        <w:t>does</w:t>
      </w:r>
      <w:r>
        <w:rPr>
          <w:spacing w:val="1"/>
        </w:rPr>
        <w:t xml:space="preserve"> </w:t>
      </w:r>
      <w:r>
        <w:t>the</w:t>
      </w:r>
      <w:r>
        <w:rPr>
          <w:spacing w:val="-2"/>
        </w:rPr>
        <w:t xml:space="preserve"> same.</w:t>
      </w:r>
    </w:p>
    <w:p w:rsidR="008918FA" w:rsidRDefault="008918FA" w:rsidP="008918FA">
      <w:pPr>
        <w:pStyle w:val="BodyText"/>
        <w:numPr>
          <w:ilvl w:val="1"/>
          <w:numId w:val="9"/>
        </w:numPr>
        <w:tabs>
          <w:tab w:val="left" w:pos="829"/>
        </w:tabs>
        <w:ind w:right="110"/>
        <w:jc w:val="both"/>
      </w:pPr>
      <w:r>
        <w:t>The</w:t>
      </w:r>
      <w:r>
        <w:rPr>
          <w:spacing w:val="19"/>
        </w:rPr>
        <w:t xml:space="preserve"> </w:t>
      </w:r>
      <w:r>
        <w:rPr>
          <w:spacing w:val="-2"/>
        </w:rPr>
        <w:t>Supplier</w:t>
      </w:r>
      <w:r>
        <w:rPr>
          <w:spacing w:val="21"/>
        </w:rPr>
        <w:t xml:space="preserve"> </w:t>
      </w:r>
      <w:r>
        <w:rPr>
          <w:spacing w:val="-1"/>
        </w:rPr>
        <w:t>shall</w:t>
      </w:r>
      <w:r>
        <w:rPr>
          <w:spacing w:val="19"/>
        </w:rPr>
        <w:t xml:space="preserve"> </w:t>
      </w:r>
      <w:r>
        <w:rPr>
          <w:spacing w:val="-1"/>
        </w:rPr>
        <w:t>hold</w:t>
      </w:r>
      <w:r>
        <w:rPr>
          <w:spacing w:val="22"/>
        </w:rPr>
        <w:t xml:space="preserve"> </w:t>
      </w:r>
      <w:r>
        <w:rPr>
          <w:spacing w:val="-1"/>
        </w:rPr>
        <w:t>any</w:t>
      </w:r>
      <w:r>
        <w:rPr>
          <w:spacing w:val="18"/>
        </w:rPr>
        <w:t xml:space="preserve"> </w:t>
      </w:r>
      <w:r>
        <w:rPr>
          <w:spacing w:val="-1"/>
        </w:rPr>
        <w:t>Transferring</w:t>
      </w:r>
      <w:r>
        <w:rPr>
          <w:spacing w:val="22"/>
        </w:rPr>
        <w:t xml:space="preserve"> </w:t>
      </w:r>
      <w:r>
        <w:rPr>
          <w:spacing w:val="-1"/>
        </w:rPr>
        <w:t>Contracts</w:t>
      </w:r>
      <w:r>
        <w:rPr>
          <w:spacing w:val="20"/>
        </w:rPr>
        <w:t xml:space="preserve"> </w:t>
      </w:r>
      <w:r>
        <w:rPr>
          <w:spacing w:val="-1"/>
        </w:rPr>
        <w:t>on</w:t>
      </w:r>
      <w:r>
        <w:rPr>
          <w:spacing w:val="20"/>
        </w:rPr>
        <w:t xml:space="preserve"> </w:t>
      </w:r>
      <w:r>
        <w:rPr>
          <w:spacing w:val="-1"/>
        </w:rPr>
        <w:t>trust</w:t>
      </w:r>
      <w:r>
        <w:rPr>
          <w:spacing w:val="19"/>
        </w:rPr>
        <w:t xml:space="preserve"> </w:t>
      </w:r>
      <w:r>
        <w:t>for</w:t>
      </w:r>
      <w:r>
        <w:rPr>
          <w:spacing w:val="21"/>
        </w:rPr>
        <w:t xml:space="preserve"> </w:t>
      </w:r>
      <w:r>
        <w:t>the</w:t>
      </w:r>
      <w:r>
        <w:rPr>
          <w:spacing w:val="19"/>
        </w:rPr>
        <w:t xml:space="preserve"> </w:t>
      </w:r>
      <w:r>
        <w:rPr>
          <w:spacing w:val="-1"/>
        </w:rPr>
        <w:t>Customer</w:t>
      </w:r>
      <w:r>
        <w:rPr>
          <w:spacing w:val="21"/>
        </w:rPr>
        <w:t xml:space="preserve"> </w:t>
      </w:r>
      <w:r>
        <w:rPr>
          <w:spacing w:val="-1"/>
        </w:rPr>
        <w:t>until</w:t>
      </w:r>
      <w:r>
        <w:rPr>
          <w:spacing w:val="61"/>
        </w:rPr>
        <w:t xml:space="preserve"> </w:t>
      </w:r>
      <w:r>
        <w:rPr>
          <w:spacing w:val="-1"/>
        </w:rPr>
        <w:t>such</w:t>
      </w:r>
      <w:r>
        <w:rPr>
          <w:spacing w:val="41"/>
        </w:rPr>
        <w:t xml:space="preserve"> </w:t>
      </w:r>
      <w:r>
        <w:rPr>
          <w:spacing w:val="-1"/>
        </w:rPr>
        <w:t>time</w:t>
      </w:r>
      <w:r>
        <w:rPr>
          <w:spacing w:val="41"/>
        </w:rPr>
        <w:t xml:space="preserve"> </w:t>
      </w:r>
      <w:r>
        <w:rPr>
          <w:spacing w:val="-1"/>
        </w:rPr>
        <w:t>as</w:t>
      </w:r>
      <w:r>
        <w:rPr>
          <w:spacing w:val="39"/>
        </w:rPr>
        <w:t xml:space="preserve"> </w:t>
      </w:r>
      <w:r>
        <w:t>the</w:t>
      </w:r>
      <w:r>
        <w:rPr>
          <w:spacing w:val="38"/>
        </w:rPr>
        <w:t xml:space="preserve"> </w:t>
      </w:r>
      <w:r>
        <w:rPr>
          <w:spacing w:val="-1"/>
        </w:rPr>
        <w:t>transfer</w:t>
      </w:r>
      <w:r>
        <w:rPr>
          <w:spacing w:val="42"/>
        </w:rPr>
        <w:t xml:space="preserve"> </w:t>
      </w:r>
      <w:r>
        <w:rPr>
          <w:spacing w:val="-2"/>
        </w:rPr>
        <w:t>of</w:t>
      </w:r>
      <w:r>
        <w:rPr>
          <w:spacing w:val="42"/>
        </w:rPr>
        <w:t xml:space="preserve"> </w:t>
      </w:r>
      <w:r>
        <w:t>the</w:t>
      </w:r>
      <w:r>
        <w:rPr>
          <w:spacing w:val="39"/>
        </w:rPr>
        <w:t xml:space="preserve"> </w:t>
      </w:r>
      <w:r>
        <w:rPr>
          <w:spacing w:val="-2"/>
        </w:rPr>
        <w:t>relevant</w:t>
      </w:r>
      <w:r>
        <w:rPr>
          <w:spacing w:val="40"/>
        </w:rPr>
        <w:t xml:space="preserve"> </w:t>
      </w:r>
      <w:r>
        <w:rPr>
          <w:spacing w:val="-1"/>
        </w:rPr>
        <w:t>Transferring</w:t>
      </w:r>
      <w:r>
        <w:rPr>
          <w:spacing w:val="41"/>
        </w:rPr>
        <w:t xml:space="preserve"> </w:t>
      </w:r>
      <w:r>
        <w:rPr>
          <w:spacing w:val="-1"/>
        </w:rPr>
        <w:t>Contract</w:t>
      </w:r>
      <w:r>
        <w:rPr>
          <w:spacing w:val="40"/>
        </w:rPr>
        <w:t xml:space="preserve"> </w:t>
      </w:r>
      <w:r>
        <w:t>to</w:t>
      </w:r>
      <w:r>
        <w:rPr>
          <w:spacing w:val="38"/>
        </w:rPr>
        <w:t xml:space="preserve"> </w:t>
      </w:r>
      <w:r>
        <w:t>the</w:t>
      </w:r>
      <w:r>
        <w:rPr>
          <w:spacing w:val="36"/>
        </w:rPr>
        <w:t xml:space="preserve"> </w:t>
      </w:r>
      <w:r>
        <w:rPr>
          <w:spacing w:val="-1"/>
        </w:rPr>
        <w:t>Customer</w:t>
      </w:r>
      <w:r>
        <w:rPr>
          <w:spacing w:val="35"/>
        </w:rPr>
        <w:t xml:space="preserve"> </w:t>
      </w:r>
      <w:r>
        <w:rPr>
          <w:spacing w:val="-1"/>
        </w:rPr>
        <w:t xml:space="preserve">and/or </w:t>
      </w:r>
      <w:r>
        <w:t>the</w:t>
      </w:r>
      <w:r>
        <w:rPr>
          <w:spacing w:val="-2"/>
        </w:rPr>
        <w:t xml:space="preserve"> Replacement</w:t>
      </w:r>
      <w:r>
        <w:t xml:space="preserve"> </w:t>
      </w:r>
      <w:r>
        <w:rPr>
          <w:spacing w:val="-2"/>
        </w:rPr>
        <w:t>Supplier</w:t>
      </w:r>
      <w:r>
        <w:rPr>
          <w:spacing w:val="2"/>
        </w:rPr>
        <w:t xml:space="preserve"> </w:t>
      </w:r>
      <w:r>
        <w:rPr>
          <w:spacing w:val="-1"/>
        </w:rPr>
        <w:t>has</w:t>
      </w:r>
      <w:r>
        <w:rPr>
          <w:spacing w:val="1"/>
        </w:rPr>
        <w:t xml:space="preserve"> </w:t>
      </w:r>
      <w:r>
        <w:rPr>
          <w:spacing w:val="-1"/>
        </w:rPr>
        <w:t>been</w:t>
      </w:r>
      <w:r>
        <w:rPr>
          <w:spacing w:val="-2"/>
        </w:rPr>
        <w:t xml:space="preserve"> </w:t>
      </w:r>
      <w:r>
        <w:rPr>
          <w:spacing w:val="-1"/>
        </w:rPr>
        <w:t>effected.</w:t>
      </w:r>
    </w:p>
    <w:p w:rsidR="008918FA" w:rsidRDefault="008918FA" w:rsidP="008918FA">
      <w:pPr>
        <w:pStyle w:val="BodyText"/>
        <w:numPr>
          <w:ilvl w:val="1"/>
          <w:numId w:val="9"/>
        </w:numPr>
        <w:tabs>
          <w:tab w:val="left" w:pos="829"/>
        </w:tabs>
        <w:spacing w:before="121"/>
        <w:ind w:right="113"/>
        <w:jc w:val="both"/>
      </w:pPr>
      <w:bookmarkStart w:id="465" w:name="_bookmark384"/>
      <w:bookmarkEnd w:id="465"/>
      <w:r>
        <w:t>The</w:t>
      </w:r>
      <w:r>
        <w:rPr>
          <w:spacing w:val="27"/>
        </w:rPr>
        <w:t xml:space="preserve"> </w:t>
      </w:r>
      <w:r>
        <w:rPr>
          <w:spacing w:val="-2"/>
        </w:rPr>
        <w:t>Supplier</w:t>
      </w:r>
      <w:r>
        <w:rPr>
          <w:spacing w:val="28"/>
        </w:rPr>
        <w:t xml:space="preserve"> </w:t>
      </w:r>
      <w:r>
        <w:rPr>
          <w:spacing w:val="-1"/>
        </w:rPr>
        <w:t>shall</w:t>
      </w:r>
      <w:r>
        <w:rPr>
          <w:spacing w:val="26"/>
        </w:rPr>
        <w:t xml:space="preserve"> </w:t>
      </w:r>
      <w:r>
        <w:rPr>
          <w:spacing w:val="-1"/>
        </w:rPr>
        <w:t>indemnify</w:t>
      </w:r>
      <w:r>
        <w:rPr>
          <w:spacing w:val="25"/>
        </w:rPr>
        <w:t xml:space="preserve"> </w:t>
      </w:r>
      <w:r>
        <w:t>the</w:t>
      </w:r>
      <w:r>
        <w:rPr>
          <w:spacing w:val="27"/>
        </w:rPr>
        <w:t xml:space="preserve"> </w:t>
      </w:r>
      <w:r>
        <w:rPr>
          <w:spacing w:val="-2"/>
        </w:rPr>
        <w:t>Customer</w:t>
      </w:r>
      <w:r>
        <w:rPr>
          <w:spacing w:val="28"/>
        </w:rPr>
        <w:t xml:space="preserve"> </w:t>
      </w:r>
      <w:r>
        <w:rPr>
          <w:spacing w:val="-1"/>
        </w:rPr>
        <w:t>(and/or</w:t>
      </w:r>
      <w:r>
        <w:rPr>
          <w:spacing w:val="26"/>
        </w:rPr>
        <w:t xml:space="preserve"> </w:t>
      </w:r>
      <w:r>
        <w:t>the</w:t>
      </w:r>
      <w:r>
        <w:rPr>
          <w:spacing w:val="27"/>
        </w:rPr>
        <w:t xml:space="preserve"> </w:t>
      </w:r>
      <w:r>
        <w:rPr>
          <w:spacing w:val="-2"/>
        </w:rPr>
        <w:t>Replacement</w:t>
      </w:r>
      <w:r>
        <w:rPr>
          <w:spacing w:val="28"/>
        </w:rPr>
        <w:t xml:space="preserve"> </w:t>
      </w:r>
      <w:r>
        <w:rPr>
          <w:spacing w:val="-2"/>
        </w:rPr>
        <w:t>Supplier,</w:t>
      </w:r>
      <w:r>
        <w:rPr>
          <w:spacing w:val="28"/>
        </w:rPr>
        <w:t xml:space="preserve"> </w:t>
      </w:r>
      <w:r>
        <w:rPr>
          <w:spacing w:val="-1"/>
        </w:rPr>
        <w:t>as</w:t>
      </w:r>
      <w:r>
        <w:rPr>
          <w:spacing w:val="68"/>
        </w:rPr>
        <w:t xml:space="preserve"> </w:t>
      </w:r>
      <w:r>
        <w:rPr>
          <w:spacing w:val="-2"/>
        </w:rPr>
        <w:t>applicable)</w:t>
      </w:r>
      <w:r>
        <w:rPr>
          <w:spacing w:val="9"/>
        </w:rPr>
        <w:t xml:space="preserve"> </w:t>
      </w:r>
      <w:r>
        <w:rPr>
          <w:spacing w:val="-1"/>
        </w:rPr>
        <w:t>against</w:t>
      </w:r>
      <w:r>
        <w:rPr>
          <w:spacing w:val="9"/>
        </w:rPr>
        <w:t xml:space="preserve"> </w:t>
      </w:r>
      <w:r>
        <w:rPr>
          <w:spacing w:val="-2"/>
        </w:rPr>
        <w:t>each</w:t>
      </w:r>
      <w:r>
        <w:rPr>
          <w:spacing w:val="5"/>
        </w:rPr>
        <w:t xml:space="preserve"> </w:t>
      </w:r>
      <w:r>
        <w:rPr>
          <w:spacing w:val="-1"/>
        </w:rPr>
        <w:t>loss,</w:t>
      </w:r>
      <w:r>
        <w:rPr>
          <w:spacing w:val="10"/>
        </w:rPr>
        <w:t xml:space="preserve"> </w:t>
      </w:r>
      <w:r>
        <w:rPr>
          <w:spacing w:val="-1"/>
        </w:rPr>
        <w:t>liability</w:t>
      </w:r>
      <w:r>
        <w:rPr>
          <w:spacing w:val="5"/>
        </w:rPr>
        <w:t xml:space="preserve"> </w:t>
      </w:r>
      <w:r>
        <w:rPr>
          <w:spacing w:val="-1"/>
        </w:rPr>
        <w:t>and</w:t>
      </w:r>
      <w:r>
        <w:rPr>
          <w:spacing w:val="7"/>
        </w:rPr>
        <w:t xml:space="preserve"> </w:t>
      </w:r>
      <w:r>
        <w:rPr>
          <w:spacing w:val="-1"/>
        </w:rPr>
        <w:t>cost</w:t>
      </w:r>
      <w:r>
        <w:rPr>
          <w:spacing w:val="9"/>
        </w:rPr>
        <w:t xml:space="preserve"> </w:t>
      </w:r>
      <w:r>
        <w:rPr>
          <w:spacing w:val="-2"/>
        </w:rPr>
        <w:t>arising</w:t>
      </w:r>
      <w:r>
        <w:rPr>
          <w:spacing w:val="10"/>
        </w:rPr>
        <w:t xml:space="preserve"> </w:t>
      </w:r>
      <w:r>
        <w:rPr>
          <w:spacing w:val="-1"/>
        </w:rPr>
        <w:t>out</w:t>
      </w:r>
      <w:r>
        <w:rPr>
          <w:spacing w:val="9"/>
        </w:rPr>
        <w:t xml:space="preserve"> </w:t>
      </w:r>
      <w:r>
        <w:rPr>
          <w:spacing w:val="-2"/>
        </w:rPr>
        <w:t>of</w:t>
      </w:r>
      <w:r>
        <w:rPr>
          <w:spacing w:val="9"/>
        </w:rPr>
        <w:t xml:space="preserve"> </w:t>
      </w:r>
      <w:r>
        <w:rPr>
          <w:spacing w:val="-1"/>
        </w:rPr>
        <w:t>any</w:t>
      </w:r>
      <w:r>
        <w:rPr>
          <w:spacing w:val="5"/>
        </w:rPr>
        <w:t xml:space="preserve"> </w:t>
      </w:r>
      <w:r>
        <w:rPr>
          <w:spacing w:val="-1"/>
        </w:rPr>
        <w:t>claims</w:t>
      </w:r>
      <w:r>
        <w:rPr>
          <w:spacing w:val="5"/>
        </w:rPr>
        <w:t xml:space="preserve"> </w:t>
      </w:r>
      <w:r>
        <w:rPr>
          <w:spacing w:val="-1"/>
        </w:rPr>
        <w:t>made</w:t>
      </w:r>
      <w:r>
        <w:rPr>
          <w:spacing w:val="7"/>
        </w:rPr>
        <w:t xml:space="preserve"> </w:t>
      </w:r>
      <w:r>
        <w:rPr>
          <w:spacing w:val="-1"/>
        </w:rPr>
        <w:t>by</w:t>
      </w:r>
      <w:r>
        <w:rPr>
          <w:spacing w:val="5"/>
        </w:rPr>
        <w:t xml:space="preserve"> </w:t>
      </w:r>
      <w:r>
        <w:t>a</w:t>
      </w:r>
      <w:r>
        <w:rPr>
          <w:spacing w:val="61"/>
        </w:rPr>
        <w:t xml:space="preserve"> </w:t>
      </w:r>
      <w:r>
        <w:rPr>
          <w:spacing w:val="-1"/>
        </w:rPr>
        <w:t>counterparty</w:t>
      </w:r>
      <w:r>
        <w:rPr>
          <w:spacing w:val="11"/>
        </w:rPr>
        <w:t xml:space="preserve"> </w:t>
      </w:r>
      <w:r>
        <w:t>to</w:t>
      </w:r>
      <w:r>
        <w:rPr>
          <w:spacing w:val="14"/>
        </w:rPr>
        <w:t xml:space="preserve"> </w:t>
      </w:r>
      <w:r>
        <w:t>a</w:t>
      </w:r>
      <w:r>
        <w:rPr>
          <w:spacing w:val="11"/>
        </w:rPr>
        <w:t xml:space="preserve"> </w:t>
      </w:r>
      <w:r>
        <w:rPr>
          <w:spacing w:val="-1"/>
        </w:rPr>
        <w:t>Transferring</w:t>
      </w:r>
      <w:r>
        <w:rPr>
          <w:spacing w:val="16"/>
        </w:rPr>
        <w:t xml:space="preserve"> </w:t>
      </w:r>
      <w:r>
        <w:rPr>
          <w:spacing w:val="-2"/>
        </w:rPr>
        <w:t>Contract</w:t>
      </w:r>
      <w:r>
        <w:rPr>
          <w:spacing w:val="15"/>
        </w:rPr>
        <w:t xml:space="preserve"> </w:t>
      </w:r>
      <w:r>
        <w:rPr>
          <w:spacing w:val="-2"/>
        </w:rPr>
        <w:t>which</w:t>
      </w:r>
      <w:r>
        <w:rPr>
          <w:spacing w:val="16"/>
        </w:rPr>
        <w:t xml:space="preserve"> </w:t>
      </w:r>
      <w:r>
        <w:rPr>
          <w:spacing w:val="-1"/>
        </w:rPr>
        <w:t>is</w:t>
      </w:r>
      <w:r>
        <w:rPr>
          <w:spacing w:val="14"/>
        </w:rPr>
        <w:t xml:space="preserve"> </w:t>
      </w:r>
      <w:r>
        <w:rPr>
          <w:spacing w:val="-1"/>
        </w:rPr>
        <w:t>assigned</w:t>
      </w:r>
      <w:r>
        <w:rPr>
          <w:spacing w:val="14"/>
        </w:rPr>
        <w:t xml:space="preserve"> </w:t>
      </w:r>
      <w:r>
        <w:rPr>
          <w:spacing w:val="-1"/>
        </w:rPr>
        <w:t>or</w:t>
      </w:r>
      <w:r>
        <w:rPr>
          <w:spacing w:val="15"/>
        </w:rPr>
        <w:t xml:space="preserve"> </w:t>
      </w:r>
      <w:r>
        <w:rPr>
          <w:spacing w:val="-2"/>
        </w:rPr>
        <w:t>novated</w:t>
      </w:r>
      <w:r>
        <w:rPr>
          <w:spacing w:val="13"/>
        </w:rPr>
        <w:t xml:space="preserve"> </w:t>
      </w:r>
      <w:r>
        <w:t>to</w:t>
      </w:r>
      <w:r>
        <w:rPr>
          <w:spacing w:val="14"/>
        </w:rPr>
        <w:t xml:space="preserve"> </w:t>
      </w:r>
      <w:r>
        <w:rPr>
          <w:spacing w:val="-1"/>
        </w:rPr>
        <w:t>the</w:t>
      </w:r>
      <w:r>
        <w:rPr>
          <w:spacing w:val="65"/>
        </w:rPr>
        <w:t xml:space="preserve"> </w:t>
      </w:r>
      <w:r>
        <w:rPr>
          <w:spacing w:val="-1"/>
        </w:rPr>
        <w:t>Customer</w:t>
      </w:r>
      <w:r>
        <w:rPr>
          <w:spacing w:val="9"/>
        </w:rPr>
        <w:t xml:space="preserve"> </w:t>
      </w:r>
      <w:r>
        <w:rPr>
          <w:spacing w:val="-1"/>
        </w:rPr>
        <w:t>(and/or</w:t>
      </w:r>
      <w:r>
        <w:rPr>
          <w:spacing w:val="9"/>
        </w:rPr>
        <w:t xml:space="preserve"> </w:t>
      </w:r>
      <w:r>
        <w:rPr>
          <w:spacing w:val="-1"/>
        </w:rPr>
        <w:t>Replacement</w:t>
      </w:r>
      <w:r>
        <w:rPr>
          <w:spacing w:val="7"/>
        </w:rPr>
        <w:t xml:space="preserve"> </w:t>
      </w:r>
      <w:r>
        <w:rPr>
          <w:spacing w:val="-1"/>
        </w:rPr>
        <w:t>Supplier)</w:t>
      </w:r>
      <w:r>
        <w:rPr>
          <w:spacing w:val="9"/>
        </w:rPr>
        <w:t xml:space="preserve"> </w:t>
      </w:r>
      <w:r>
        <w:rPr>
          <w:spacing w:val="-2"/>
        </w:rPr>
        <w:t>pursuant</w:t>
      </w:r>
      <w:r>
        <w:rPr>
          <w:spacing w:val="9"/>
        </w:rPr>
        <w:t xml:space="preserve"> </w:t>
      </w:r>
      <w:r>
        <w:t>to</w:t>
      </w:r>
      <w:r>
        <w:rPr>
          <w:spacing w:val="5"/>
        </w:rPr>
        <w:t xml:space="preserve"> </w:t>
      </w:r>
      <w:r>
        <w:rPr>
          <w:spacing w:val="-1"/>
        </w:rPr>
        <w:t>paragraph</w:t>
      </w:r>
      <w:r>
        <w:rPr>
          <w:spacing w:val="3"/>
        </w:rPr>
        <w:t xml:space="preserve"> </w:t>
      </w:r>
      <w:hyperlink w:anchor="_bookmark383" w:history="1">
        <w:r>
          <w:rPr>
            <w:spacing w:val="-1"/>
          </w:rPr>
          <w:t>9.6</w:t>
        </w:r>
      </w:hyperlink>
      <w:r>
        <w:rPr>
          <w:spacing w:val="7"/>
        </w:rPr>
        <w:t xml:space="preserve"> </w:t>
      </w:r>
      <w:r>
        <w:rPr>
          <w:spacing w:val="-2"/>
        </w:rPr>
        <w:t>of</w:t>
      </w:r>
      <w:r>
        <w:rPr>
          <w:spacing w:val="7"/>
        </w:rPr>
        <w:t xml:space="preserve"> </w:t>
      </w:r>
      <w:r>
        <w:rPr>
          <w:spacing w:val="-1"/>
        </w:rPr>
        <w:t>this</w:t>
      </w:r>
      <w:r>
        <w:rPr>
          <w:spacing w:val="8"/>
        </w:rPr>
        <w:t xml:space="preserve"> </w:t>
      </w:r>
      <w:r>
        <w:rPr>
          <w:spacing w:val="-2"/>
        </w:rPr>
        <w:t>Call</w:t>
      </w:r>
      <w:r>
        <w:rPr>
          <w:spacing w:val="2"/>
        </w:rPr>
        <w:t xml:space="preserve"> </w:t>
      </w:r>
      <w:r>
        <w:t>Off</w:t>
      </w:r>
      <w:r>
        <w:rPr>
          <w:spacing w:val="38"/>
        </w:rPr>
        <w:t xml:space="preserve"> </w:t>
      </w:r>
      <w:r>
        <w:rPr>
          <w:spacing w:val="-1"/>
        </w:rPr>
        <w:t>Schedule</w:t>
      </w:r>
      <w:r>
        <w:rPr>
          <w:spacing w:val="56"/>
        </w:rPr>
        <w:t xml:space="preserve"> </w:t>
      </w:r>
      <w:r>
        <w:rPr>
          <w:spacing w:val="-1"/>
        </w:rPr>
        <w:t>in</w:t>
      </w:r>
      <w:r>
        <w:rPr>
          <w:spacing w:val="55"/>
        </w:rPr>
        <w:t xml:space="preserve"> </w:t>
      </w:r>
      <w:r>
        <w:rPr>
          <w:spacing w:val="-1"/>
        </w:rPr>
        <w:t>relation</w:t>
      </w:r>
      <w:r>
        <w:rPr>
          <w:spacing w:val="55"/>
        </w:rPr>
        <w:t xml:space="preserve"> </w:t>
      </w:r>
      <w:r>
        <w:t>to</w:t>
      </w:r>
      <w:r>
        <w:rPr>
          <w:spacing w:val="55"/>
        </w:rPr>
        <w:t xml:space="preserve"> </w:t>
      </w:r>
      <w:r>
        <w:rPr>
          <w:spacing w:val="-1"/>
        </w:rPr>
        <w:t>any</w:t>
      </w:r>
      <w:r>
        <w:rPr>
          <w:spacing w:val="53"/>
        </w:rPr>
        <w:t xml:space="preserve"> </w:t>
      </w:r>
      <w:r>
        <w:t>matters</w:t>
      </w:r>
      <w:r>
        <w:rPr>
          <w:spacing w:val="56"/>
        </w:rPr>
        <w:t xml:space="preserve"> </w:t>
      </w:r>
      <w:r>
        <w:rPr>
          <w:spacing w:val="-2"/>
        </w:rPr>
        <w:t>arising</w:t>
      </w:r>
      <w:r>
        <w:rPr>
          <w:spacing w:val="59"/>
        </w:rPr>
        <w:t xml:space="preserve"> </w:t>
      </w:r>
      <w:r>
        <w:rPr>
          <w:spacing w:val="-2"/>
        </w:rPr>
        <w:t>prior</w:t>
      </w:r>
      <w:r>
        <w:rPr>
          <w:spacing w:val="57"/>
        </w:rPr>
        <w:t xml:space="preserve"> </w:t>
      </w:r>
      <w:r>
        <w:t>to</w:t>
      </w:r>
      <w:r>
        <w:rPr>
          <w:spacing w:val="55"/>
        </w:rPr>
        <w:t xml:space="preserve"> </w:t>
      </w:r>
      <w:r>
        <w:t>the</w:t>
      </w:r>
      <w:r>
        <w:rPr>
          <w:spacing w:val="55"/>
        </w:rPr>
        <w:t xml:space="preserve"> </w:t>
      </w:r>
      <w:r>
        <w:rPr>
          <w:spacing w:val="-1"/>
        </w:rPr>
        <w:t>date</w:t>
      </w:r>
      <w:r>
        <w:rPr>
          <w:spacing w:val="55"/>
        </w:rPr>
        <w:t xml:space="preserve"> </w:t>
      </w:r>
      <w:r>
        <w:rPr>
          <w:spacing w:val="-2"/>
        </w:rPr>
        <w:t>of</w:t>
      </w:r>
      <w:r>
        <w:rPr>
          <w:spacing w:val="59"/>
        </w:rPr>
        <w:t xml:space="preserve"> </w:t>
      </w:r>
      <w:r>
        <w:rPr>
          <w:spacing w:val="-1"/>
        </w:rPr>
        <w:t>assignment</w:t>
      </w:r>
      <w:r>
        <w:rPr>
          <w:spacing w:val="56"/>
        </w:rPr>
        <w:t xml:space="preserve"> </w:t>
      </w:r>
      <w:r>
        <w:rPr>
          <w:spacing w:val="-2"/>
        </w:rPr>
        <w:t>or</w:t>
      </w:r>
      <w:r>
        <w:rPr>
          <w:spacing w:val="39"/>
        </w:rPr>
        <w:t xml:space="preserve"> </w:t>
      </w:r>
      <w:r>
        <w:rPr>
          <w:spacing w:val="-1"/>
        </w:rPr>
        <w:t>novation</w:t>
      </w:r>
      <w:r>
        <w:t xml:space="preserve"> </w:t>
      </w:r>
      <w:r>
        <w:rPr>
          <w:spacing w:val="-1"/>
        </w:rPr>
        <w:t>of</w:t>
      </w:r>
      <w:r>
        <w:rPr>
          <w:spacing w:val="2"/>
        </w:rPr>
        <w:t xml:space="preserve"> </w:t>
      </w:r>
      <w:r>
        <w:rPr>
          <w:spacing w:val="-1"/>
        </w:rPr>
        <w:t>such</w:t>
      </w:r>
      <w:r>
        <w:rPr>
          <w:spacing w:val="-4"/>
        </w:rPr>
        <w:t xml:space="preserve"> </w:t>
      </w:r>
      <w:r>
        <w:rPr>
          <w:spacing w:val="-1"/>
        </w:rPr>
        <w:t>Transferring</w:t>
      </w:r>
      <w:r>
        <w:rPr>
          <w:spacing w:val="3"/>
        </w:rPr>
        <w:t xml:space="preserve"> </w:t>
      </w:r>
      <w:r>
        <w:rPr>
          <w:spacing w:val="-1"/>
        </w:rPr>
        <w:t>Contract.</w:t>
      </w:r>
    </w:p>
    <w:p w:rsidR="008918FA" w:rsidRDefault="008918FA" w:rsidP="008918FA">
      <w:pPr>
        <w:pStyle w:val="BodyText"/>
        <w:numPr>
          <w:ilvl w:val="0"/>
          <w:numId w:val="9"/>
        </w:numPr>
        <w:tabs>
          <w:tab w:val="left" w:pos="466"/>
        </w:tabs>
        <w:spacing w:before="117"/>
        <w:ind w:hanging="359"/>
        <w:rPr>
          <w:rFonts w:ascii="Times New Roman" w:eastAsia="Times New Roman" w:hAnsi="Times New Roman" w:cs="Times New Roman"/>
        </w:rPr>
      </w:pPr>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LIER</w:t>
      </w:r>
      <w:r>
        <w:rPr>
          <w:rFonts w:ascii="Times New Roman"/>
          <w:spacing w:val="18"/>
        </w:rPr>
        <w:t xml:space="preserve"> </w:t>
      </w:r>
      <w:r>
        <w:rPr>
          <w:rFonts w:ascii="Times New Roman"/>
          <w:spacing w:val="9"/>
        </w:rPr>
        <w:t>PERSONNEL</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9"/>
        </w:numPr>
        <w:tabs>
          <w:tab w:val="left" w:pos="1033"/>
        </w:tabs>
        <w:spacing w:before="0"/>
        <w:ind w:right="113"/>
        <w:jc w:val="both"/>
      </w:pPr>
      <w:r>
        <w:t>The</w:t>
      </w:r>
      <w:r>
        <w:rPr>
          <w:spacing w:val="48"/>
        </w:rPr>
        <w:t xml:space="preserve"> </w:t>
      </w:r>
      <w:r>
        <w:rPr>
          <w:spacing w:val="-2"/>
        </w:rPr>
        <w:t>Customer</w:t>
      </w:r>
      <w:r>
        <w:rPr>
          <w:spacing w:val="49"/>
        </w:rPr>
        <w:t xml:space="preserve"> </w:t>
      </w:r>
      <w:r>
        <w:rPr>
          <w:spacing w:val="-1"/>
        </w:rPr>
        <w:t>and</w:t>
      </w:r>
      <w:r>
        <w:rPr>
          <w:spacing w:val="48"/>
        </w:rPr>
        <w:t xml:space="preserve"> </w:t>
      </w:r>
      <w:r>
        <w:rPr>
          <w:spacing w:val="-2"/>
        </w:rPr>
        <w:t>Supplier</w:t>
      </w:r>
      <w:r>
        <w:rPr>
          <w:spacing w:val="49"/>
        </w:rPr>
        <w:t xml:space="preserve"> </w:t>
      </w:r>
      <w:r>
        <w:t>agree</w:t>
      </w:r>
      <w:r>
        <w:rPr>
          <w:spacing w:val="48"/>
        </w:rPr>
        <w:t xml:space="preserve"> </w:t>
      </w:r>
      <w:r>
        <w:rPr>
          <w:spacing w:val="-1"/>
        </w:rPr>
        <w:t>and</w:t>
      </w:r>
      <w:r>
        <w:rPr>
          <w:spacing w:val="48"/>
        </w:rPr>
        <w:t xml:space="preserve"> </w:t>
      </w:r>
      <w:r>
        <w:rPr>
          <w:spacing w:val="-2"/>
        </w:rPr>
        <w:t>acknowledge</w:t>
      </w:r>
      <w:r>
        <w:rPr>
          <w:spacing w:val="49"/>
        </w:rPr>
        <w:t xml:space="preserve"> </w:t>
      </w:r>
      <w:r>
        <w:rPr>
          <w:spacing w:val="-1"/>
        </w:rPr>
        <w:t>that</w:t>
      </w:r>
      <w:r>
        <w:rPr>
          <w:spacing w:val="50"/>
        </w:rPr>
        <w:t xml:space="preserve"> </w:t>
      </w:r>
      <w:r>
        <w:rPr>
          <w:spacing w:val="-1"/>
        </w:rPr>
        <w:t>in</w:t>
      </w:r>
      <w:r>
        <w:rPr>
          <w:spacing w:val="48"/>
        </w:rPr>
        <w:t xml:space="preserve"> </w:t>
      </w:r>
      <w:r>
        <w:t>the</w:t>
      </w:r>
      <w:r>
        <w:rPr>
          <w:spacing w:val="48"/>
        </w:rPr>
        <w:t xml:space="preserve"> </w:t>
      </w:r>
      <w:r>
        <w:rPr>
          <w:spacing w:val="-2"/>
        </w:rPr>
        <w:t>event</w:t>
      </w:r>
      <w:r>
        <w:rPr>
          <w:spacing w:val="47"/>
        </w:rPr>
        <w:t xml:space="preserve"> </w:t>
      </w:r>
      <w:r>
        <w:rPr>
          <w:spacing w:val="-2"/>
        </w:rPr>
        <w:t>of</w:t>
      </w:r>
      <w:r>
        <w:rPr>
          <w:spacing w:val="52"/>
        </w:rPr>
        <w:t xml:space="preserve"> </w:t>
      </w:r>
      <w:r>
        <w:rPr>
          <w:spacing w:val="-1"/>
        </w:rPr>
        <w:t>the</w:t>
      </w:r>
      <w:r>
        <w:rPr>
          <w:spacing w:val="66"/>
        </w:rPr>
        <w:t xml:space="preserve"> </w:t>
      </w:r>
      <w:r>
        <w:rPr>
          <w:spacing w:val="-2"/>
        </w:rPr>
        <w:t>Supplier</w:t>
      </w:r>
      <w:r>
        <w:rPr>
          <w:spacing w:val="45"/>
        </w:rPr>
        <w:t xml:space="preserve"> </w:t>
      </w:r>
      <w:r>
        <w:rPr>
          <w:spacing w:val="-1"/>
        </w:rPr>
        <w:t>ceasing</w:t>
      </w:r>
      <w:r>
        <w:rPr>
          <w:spacing w:val="46"/>
        </w:rPr>
        <w:t xml:space="preserve"> </w:t>
      </w:r>
      <w:r>
        <w:t>to</w:t>
      </w:r>
      <w:r>
        <w:rPr>
          <w:spacing w:val="43"/>
        </w:rPr>
        <w:t xml:space="preserve"> </w:t>
      </w:r>
      <w:r>
        <w:rPr>
          <w:spacing w:val="-2"/>
        </w:rPr>
        <w:t>provide</w:t>
      </w:r>
      <w:r>
        <w:rPr>
          <w:spacing w:val="43"/>
        </w:rPr>
        <w:t xml:space="preserve"> </w:t>
      </w:r>
      <w:r>
        <w:t>the</w:t>
      </w:r>
      <w:r>
        <w:rPr>
          <w:spacing w:val="43"/>
        </w:rPr>
        <w:t xml:space="preserve"> </w:t>
      </w:r>
      <w:r>
        <w:rPr>
          <w:spacing w:val="-1"/>
        </w:rPr>
        <w:t>Goods</w:t>
      </w:r>
      <w:r>
        <w:rPr>
          <w:spacing w:val="44"/>
        </w:rPr>
        <w:t xml:space="preserve"> </w:t>
      </w:r>
      <w:r>
        <w:rPr>
          <w:spacing w:val="-1"/>
        </w:rPr>
        <w:t>and/or</w:t>
      </w:r>
      <w:r>
        <w:rPr>
          <w:spacing w:val="43"/>
        </w:rPr>
        <w:t xml:space="preserve"> </w:t>
      </w:r>
      <w:r>
        <w:rPr>
          <w:spacing w:val="-1"/>
        </w:rPr>
        <w:t>Services</w:t>
      </w:r>
      <w:r>
        <w:rPr>
          <w:spacing w:val="44"/>
        </w:rPr>
        <w:t xml:space="preserve"> </w:t>
      </w:r>
      <w:r>
        <w:rPr>
          <w:spacing w:val="-1"/>
        </w:rPr>
        <w:t>or</w:t>
      </w:r>
      <w:r>
        <w:rPr>
          <w:spacing w:val="45"/>
        </w:rPr>
        <w:t xml:space="preserve"> </w:t>
      </w:r>
      <w:r>
        <w:rPr>
          <w:spacing w:val="-1"/>
        </w:rPr>
        <w:t>part</w:t>
      </w:r>
      <w:r>
        <w:rPr>
          <w:spacing w:val="45"/>
        </w:rPr>
        <w:t xml:space="preserve"> </w:t>
      </w:r>
      <w:r>
        <w:rPr>
          <w:spacing w:val="-2"/>
        </w:rPr>
        <w:t>of</w:t>
      </w:r>
      <w:r>
        <w:rPr>
          <w:spacing w:val="45"/>
        </w:rPr>
        <w:t xml:space="preserve"> </w:t>
      </w:r>
      <w:r>
        <w:rPr>
          <w:spacing w:val="-1"/>
        </w:rPr>
        <w:t>them</w:t>
      </w:r>
      <w:r>
        <w:rPr>
          <w:spacing w:val="42"/>
        </w:rPr>
        <w:t xml:space="preserve"> </w:t>
      </w:r>
      <w:r>
        <w:t>for</w:t>
      </w:r>
      <w:r>
        <w:rPr>
          <w:spacing w:val="46"/>
        </w:rPr>
        <w:t xml:space="preserve"> </w:t>
      </w:r>
      <w:r>
        <w:rPr>
          <w:spacing w:val="-1"/>
        </w:rPr>
        <w:t>any</w:t>
      </w:r>
      <w:r>
        <w:rPr>
          <w:spacing w:val="46"/>
        </w:rPr>
        <w:t xml:space="preserve"> </w:t>
      </w:r>
      <w:r>
        <w:rPr>
          <w:spacing w:val="-1"/>
        </w:rPr>
        <w:t>reason,</w:t>
      </w:r>
      <w:r>
        <w:t xml:space="preserve"> </w:t>
      </w:r>
      <w:r>
        <w:rPr>
          <w:spacing w:val="-2"/>
        </w:rPr>
        <w:t>Call</w:t>
      </w:r>
      <w:r>
        <w:t xml:space="preserve"> </w:t>
      </w:r>
      <w:r>
        <w:rPr>
          <w:spacing w:val="-1"/>
        </w:rPr>
        <w:t>Off</w:t>
      </w:r>
      <w:r>
        <w:t xml:space="preserve"> </w:t>
      </w:r>
      <w:r>
        <w:rPr>
          <w:spacing w:val="-1"/>
        </w:rPr>
        <w:t>Schedule</w:t>
      </w:r>
      <w:r>
        <w:rPr>
          <w:spacing w:val="1"/>
        </w:rPr>
        <w:t xml:space="preserve"> </w:t>
      </w:r>
      <w:r>
        <w:rPr>
          <w:spacing w:val="-1"/>
        </w:rPr>
        <w:t>11</w:t>
      </w:r>
      <w:r>
        <w:rPr>
          <w:spacing w:val="-2"/>
        </w:rPr>
        <w:t xml:space="preserve"> </w:t>
      </w:r>
      <w:r>
        <w:rPr>
          <w:spacing w:val="-1"/>
        </w:rPr>
        <w:t>(Staff</w:t>
      </w:r>
      <w:r>
        <w:t xml:space="preserve"> </w:t>
      </w:r>
      <w:r>
        <w:rPr>
          <w:spacing w:val="-1"/>
        </w:rPr>
        <w:t>Transfer)</w:t>
      </w:r>
      <w:r>
        <w:rPr>
          <w:spacing w:val="2"/>
        </w:rPr>
        <w:t xml:space="preserve"> </w:t>
      </w:r>
      <w:r>
        <w:rPr>
          <w:spacing w:val="-2"/>
        </w:rPr>
        <w:t>shall</w:t>
      </w:r>
      <w:r>
        <w:t xml:space="preserve"> </w:t>
      </w:r>
      <w:r>
        <w:rPr>
          <w:spacing w:val="-2"/>
        </w:rPr>
        <w:t>apply.</w:t>
      </w:r>
    </w:p>
    <w:p w:rsidR="008918FA" w:rsidRDefault="008918FA" w:rsidP="008918FA">
      <w:pPr>
        <w:pStyle w:val="BodyText"/>
        <w:numPr>
          <w:ilvl w:val="1"/>
          <w:numId w:val="9"/>
        </w:numPr>
        <w:tabs>
          <w:tab w:val="left" w:pos="1033"/>
        </w:tabs>
        <w:spacing w:before="121"/>
        <w:ind w:right="112"/>
        <w:jc w:val="both"/>
      </w:pPr>
      <w:r>
        <w:t>The</w:t>
      </w:r>
      <w:r>
        <w:rPr>
          <w:spacing w:val="2"/>
        </w:rPr>
        <w:t xml:space="preserve"> </w:t>
      </w:r>
      <w:r>
        <w:rPr>
          <w:spacing w:val="-2"/>
        </w:rPr>
        <w:t>Supplier</w:t>
      </w:r>
      <w:r>
        <w:rPr>
          <w:spacing w:val="3"/>
        </w:rPr>
        <w:t xml:space="preserve"> </w:t>
      </w:r>
      <w:r>
        <w:rPr>
          <w:spacing w:val="-1"/>
        </w:rPr>
        <w:t>shall</w:t>
      </w:r>
      <w:r>
        <w:rPr>
          <w:spacing w:val="1"/>
        </w:rPr>
        <w:t xml:space="preserve"> </w:t>
      </w:r>
      <w:r>
        <w:rPr>
          <w:spacing w:val="-1"/>
        </w:rPr>
        <w:t>not</w:t>
      </w:r>
      <w:r>
        <w:rPr>
          <w:spacing w:val="1"/>
        </w:rPr>
        <w:t xml:space="preserve"> </w:t>
      </w:r>
      <w:r>
        <w:t>take</w:t>
      </w:r>
      <w:r>
        <w:rPr>
          <w:spacing w:val="2"/>
        </w:rPr>
        <w:t xml:space="preserve"> </w:t>
      </w:r>
      <w:r>
        <w:rPr>
          <w:spacing w:val="-1"/>
        </w:rPr>
        <w:t>any</w:t>
      </w:r>
      <w:r>
        <w:rPr>
          <w:spacing w:val="61"/>
        </w:rPr>
        <w:t xml:space="preserve"> </w:t>
      </w:r>
      <w:r>
        <w:rPr>
          <w:spacing w:val="-1"/>
        </w:rPr>
        <w:t>step</w:t>
      </w:r>
      <w:r>
        <w:rPr>
          <w:spacing w:val="2"/>
        </w:rPr>
        <w:t xml:space="preserve"> </w:t>
      </w:r>
      <w:r>
        <w:rPr>
          <w:spacing w:val="-2"/>
        </w:rPr>
        <w:t>(expressly</w:t>
      </w:r>
      <w:r w:rsidR="001C1527">
        <w:t xml:space="preserve"> </w:t>
      </w:r>
      <w:r>
        <w:rPr>
          <w:spacing w:val="-1"/>
        </w:rPr>
        <w:t>or</w:t>
      </w:r>
      <w:r>
        <w:rPr>
          <w:spacing w:val="3"/>
        </w:rPr>
        <w:t xml:space="preserve"> </w:t>
      </w:r>
      <w:r>
        <w:rPr>
          <w:spacing w:val="-1"/>
        </w:rPr>
        <w:t>implicitly</w:t>
      </w:r>
      <w:r>
        <w:t xml:space="preserve"> </w:t>
      </w:r>
      <w:r>
        <w:rPr>
          <w:spacing w:val="-1"/>
        </w:rPr>
        <w:t>and</w:t>
      </w:r>
      <w:r>
        <w:rPr>
          <w:spacing w:val="2"/>
        </w:rPr>
        <w:t xml:space="preserve"> </w:t>
      </w:r>
      <w:r>
        <w:rPr>
          <w:spacing w:val="-1"/>
        </w:rPr>
        <w:t>directly</w:t>
      </w:r>
      <w:r>
        <w:t xml:space="preserve">  </w:t>
      </w:r>
      <w:r>
        <w:rPr>
          <w:spacing w:val="-1"/>
        </w:rPr>
        <w:t>or</w:t>
      </w:r>
      <w:r>
        <w:rPr>
          <w:spacing w:val="60"/>
        </w:rPr>
        <w:t xml:space="preserve"> </w:t>
      </w:r>
      <w:r>
        <w:rPr>
          <w:spacing w:val="-1"/>
        </w:rPr>
        <w:t>indirectly</w:t>
      </w:r>
      <w:r>
        <w:rPr>
          <w:spacing w:val="46"/>
        </w:rPr>
        <w:t xml:space="preserve"> </w:t>
      </w:r>
      <w:r>
        <w:rPr>
          <w:spacing w:val="1"/>
        </w:rPr>
        <w:t>by</w:t>
      </w:r>
      <w:r>
        <w:rPr>
          <w:spacing w:val="49"/>
        </w:rPr>
        <w:t xml:space="preserve"> </w:t>
      </w:r>
      <w:r>
        <w:rPr>
          <w:spacing w:val="-1"/>
        </w:rPr>
        <w:t>itself</w:t>
      </w:r>
      <w:r>
        <w:rPr>
          <w:spacing w:val="52"/>
        </w:rPr>
        <w:t xml:space="preserve"> </w:t>
      </w:r>
      <w:r>
        <w:rPr>
          <w:spacing w:val="-1"/>
        </w:rPr>
        <w:t>or</w:t>
      </w:r>
      <w:r>
        <w:rPr>
          <w:spacing w:val="47"/>
        </w:rPr>
        <w:t xml:space="preserve"> </w:t>
      </w:r>
      <w:r>
        <w:rPr>
          <w:spacing w:val="-1"/>
        </w:rPr>
        <w:t>through</w:t>
      </w:r>
      <w:r>
        <w:rPr>
          <w:spacing w:val="48"/>
        </w:rPr>
        <w:t xml:space="preserve"> </w:t>
      </w:r>
      <w:r>
        <w:rPr>
          <w:spacing w:val="-1"/>
        </w:rPr>
        <w:t>any</w:t>
      </w:r>
      <w:r>
        <w:rPr>
          <w:spacing w:val="46"/>
        </w:rPr>
        <w:t xml:space="preserve"> </w:t>
      </w:r>
      <w:r>
        <w:rPr>
          <w:spacing w:val="-1"/>
        </w:rPr>
        <w:t>other</w:t>
      </w:r>
      <w:r>
        <w:rPr>
          <w:spacing w:val="50"/>
        </w:rPr>
        <w:t xml:space="preserve"> </w:t>
      </w:r>
      <w:r>
        <w:rPr>
          <w:spacing w:val="-1"/>
        </w:rPr>
        <w:t>person)</w:t>
      </w:r>
      <w:r>
        <w:rPr>
          <w:spacing w:val="47"/>
        </w:rPr>
        <w:t xml:space="preserve"> </w:t>
      </w:r>
      <w:r>
        <w:t>to</w:t>
      </w:r>
      <w:r>
        <w:rPr>
          <w:spacing w:val="48"/>
        </w:rPr>
        <w:t xml:space="preserve"> </w:t>
      </w:r>
      <w:r>
        <w:rPr>
          <w:spacing w:val="-1"/>
        </w:rPr>
        <w:t>dissuade</w:t>
      </w:r>
      <w:r>
        <w:rPr>
          <w:spacing w:val="48"/>
        </w:rPr>
        <w:t xml:space="preserve"> </w:t>
      </w:r>
      <w:r>
        <w:rPr>
          <w:spacing w:val="-1"/>
        </w:rPr>
        <w:t>or</w:t>
      </w:r>
      <w:r>
        <w:rPr>
          <w:spacing w:val="49"/>
        </w:rPr>
        <w:t xml:space="preserve"> </w:t>
      </w:r>
      <w:r>
        <w:rPr>
          <w:spacing w:val="-1"/>
        </w:rPr>
        <w:t>discourage</w:t>
      </w:r>
      <w:r>
        <w:rPr>
          <w:spacing w:val="48"/>
        </w:rPr>
        <w:t xml:space="preserve"> </w:t>
      </w:r>
      <w:r>
        <w:rPr>
          <w:spacing w:val="-1"/>
        </w:rPr>
        <w:t>any</w:t>
      </w:r>
      <w:r>
        <w:rPr>
          <w:spacing w:val="48"/>
        </w:rPr>
        <w:t xml:space="preserve"> </w:t>
      </w:r>
      <w:r>
        <w:rPr>
          <w:spacing w:val="-2"/>
        </w:rPr>
        <w:t>employees</w:t>
      </w:r>
      <w:r>
        <w:rPr>
          <w:spacing w:val="1"/>
        </w:rPr>
        <w:t xml:space="preserve"> </w:t>
      </w:r>
      <w:r>
        <w:rPr>
          <w:spacing w:val="-1"/>
        </w:rPr>
        <w:t>engaged</w:t>
      </w:r>
      <w:r>
        <w:t xml:space="preserve"> </w:t>
      </w:r>
      <w:r>
        <w:rPr>
          <w:spacing w:val="-1"/>
        </w:rPr>
        <w:t>in</w:t>
      </w:r>
      <w:r>
        <w:t xml:space="preserve"> </w:t>
      </w:r>
      <w:r>
        <w:rPr>
          <w:spacing w:val="-1"/>
        </w:rPr>
        <w:t>the</w:t>
      </w:r>
      <w:r>
        <w:t xml:space="preserve"> </w:t>
      </w:r>
      <w:r>
        <w:rPr>
          <w:spacing w:val="-2"/>
        </w:rPr>
        <w:t>provision</w:t>
      </w:r>
      <w:r>
        <w:t xml:space="preserve"> </w:t>
      </w:r>
      <w:r>
        <w:rPr>
          <w:spacing w:val="-1"/>
        </w:rPr>
        <w:t>of</w:t>
      </w:r>
      <w:r>
        <w:rPr>
          <w:spacing w:val="4"/>
        </w:rPr>
        <w:t xml:space="preserve"> </w:t>
      </w:r>
      <w:r>
        <w:t xml:space="preserve">the </w:t>
      </w:r>
      <w:r>
        <w:rPr>
          <w:spacing w:val="-1"/>
        </w:rPr>
        <w:t>Goods</w:t>
      </w:r>
      <w:r>
        <w:rPr>
          <w:spacing w:val="1"/>
        </w:rPr>
        <w:t xml:space="preserve"> </w:t>
      </w:r>
      <w:r>
        <w:rPr>
          <w:spacing w:val="-1"/>
        </w:rPr>
        <w:t>and/or</w:t>
      </w:r>
      <w:r>
        <w:rPr>
          <w:spacing w:val="2"/>
        </w:rPr>
        <w:t xml:space="preserve"> </w:t>
      </w:r>
      <w:r>
        <w:rPr>
          <w:spacing w:val="-2"/>
        </w:rPr>
        <w:t>Services</w:t>
      </w:r>
      <w:r>
        <w:rPr>
          <w:spacing w:val="1"/>
        </w:rPr>
        <w:t xml:space="preserve"> </w:t>
      </w:r>
      <w:r>
        <w:t>from</w:t>
      </w:r>
      <w:r>
        <w:rPr>
          <w:spacing w:val="-1"/>
        </w:rPr>
        <w:t xml:space="preserve"> transferring</w:t>
      </w:r>
      <w:r>
        <w:rPr>
          <w:spacing w:val="67"/>
        </w:rPr>
        <w:t xml:space="preserve"> </w:t>
      </w:r>
      <w:r>
        <w:rPr>
          <w:spacing w:val="-1"/>
        </w:rPr>
        <w:t>their</w:t>
      </w:r>
      <w:r>
        <w:rPr>
          <w:spacing w:val="2"/>
        </w:rPr>
        <w:t xml:space="preserve"> </w:t>
      </w:r>
      <w:r>
        <w:rPr>
          <w:spacing w:val="-2"/>
        </w:rPr>
        <w:t>employment</w:t>
      </w:r>
      <w:r>
        <w:t xml:space="preserve"> to</w:t>
      </w:r>
      <w:r>
        <w:rPr>
          <w:spacing w:val="-2"/>
        </w:rPr>
        <w:t xml:space="preserve"> </w:t>
      </w:r>
      <w:r>
        <w:t>the</w:t>
      </w:r>
      <w:r>
        <w:rPr>
          <w:spacing w:val="-4"/>
        </w:rPr>
        <w:t xml:space="preserve"> </w:t>
      </w:r>
      <w:r>
        <w:rPr>
          <w:spacing w:val="-1"/>
        </w:rPr>
        <w:t>Customer</w:t>
      </w:r>
      <w:r>
        <w:rPr>
          <w:spacing w:val="2"/>
        </w:rPr>
        <w:t xml:space="preserve"> </w:t>
      </w:r>
      <w:r>
        <w:rPr>
          <w:spacing w:val="-1"/>
        </w:rPr>
        <w:t xml:space="preserve">and/or </w:t>
      </w:r>
      <w:r>
        <w:t>the</w:t>
      </w:r>
      <w:r>
        <w:rPr>
          <w:spacing w:val="-2"/>
        </w:rPr>
        <w:t xml:space="preserve"> Replacement</w:t>
      </w:r>
      <w:r>
        <w:t xml:space="preserve"> </w:t>
      </w:r>
      <w:r>
        <w:rPr>
          <w:spacing w:val="-1"/>
        </w:rPr>
        <w:t>Supplier.</w:t>
      </w:r>
    </w:p>
    <w:p w:rsidR="008918FA" w:rsidRDefault="008918FA" w:rsidP="008918FA">
      <w:pPr>
        <w:pStyle w:val="BodyText"/>
        <w:numPr>
          <w:ilvl w:val="1"/>
          <w:numId w:val="9"/>
        </w:numPr>
        <w:tabs>
          <w:tab w:val="left" w:pos="1033"/>
        </w:tabs>
        <w:ind w:right="113"/>
        <w:jc w:val="both"/>
      </w:pPr>
      <w:r>
        <w:rPr>
          <w:spacing w:val="-1"/>
        </w:rPr>
        <w:t>During</w:t>
      </w:r>
      <w:r>
        <w:rPr>
          <w:spacing w:val="20"/>
        </w:rPr>
        <w:t xml:space="preserve"> </w:t>
      </w:r>
      <w:r>
        <w:t>the</w:t>
      </w:r>
      <w:r>
        <w:rPr>
          <w:spacing w:val="17"/>
        </w:rPr>
        <w:t xml:space="preserve"> </w:t>
      </w:r>
      <w:r>
        <w:rPr>
          <w:spacing w:val="-1"/>
        </w:rPr>
        <w:t>Termination</w:t>
      </w:r>
      <w:r>
        <w:rPr>
          <w:spacing w:val="17"/>
        </w:rPr>
        <w:t xml:space="preserve"> </w:t>
      </w:r>
      <w:r>
        <w:rPr>
          <w:spacing w:val="-1"/>
        </w:rPr>
        <w:t>Assistance</w:t>
      </w:r>
      <w:r>
        <w:rPr>
          <w:spacing w:val="20"/>
        </w:rPr>
        <w:t xml:space="preserve"> </w:t>
      </w:r>
      <w:r>
        <w:rPr>
          <w:spacing w:val="-1"/>
        </w:rPr>
        <w:t>Period,</w:t>
      </w:r>
      <w:r>
        <w:rPr>
          <w:spacing w:val="19"/>
        </w:rPr>
        <w:t xml:space="preserve"> </w:t>
      </w:r>
      <w:r>
        <w:t>the</w:t>
      </w:r>
      <w:r>
        <w:rPr>
          <w:spacing w:val="17"/>
        </w:rPr>
        <w:t xml:space="preserve"> </w:t>
      </w:r>
      <w:r>
        <w:rPr>
          <w:spacing w:val="-2"/>
        </w:rPr>
        <w:t>Supplier</w:t>
      </w:r>
      <w:r>
        <w:rPr>
          <w:spacing w:val="22"/>
        </w:rPr>
        <w:t xml:space="preserve"> </w:t>
      </w:r>
      <w:r>
        <w:rPr>
          <w:spacing w:val="-1"/>
        </w:rPr>
        <w:t>shall</w:t>
      </w:r>
      <w:r>
        <w:rPr>
          <w:spacing w:val="19"/>
        </w:rPr>
        <w:t xml:space="preserve"> </w:t>
      </w:r>
      <w:r>
        <w:rPr>
          <w:spacing w:val="-1"/>
        </w:rPr>
        <w:t>give</w:t>
      </w:r>
      <w:r>
        <w:rPr>
          <w:spacing w:val="20"/>
        </w:rPr>
        <w:t xml:space="preserve"> </w:t>
      </w:r>
      <w:r>
        <w:t>the</w:t>
      </w:r>
      <w:r>
        <w:rPr>
          <w:spacing w:val="20"/>
        </w:rPr>
        <w:t xml:space="preserve"> </w:t>
      </w:r>
      <w:r>
        <w:rPr>
          <w:spacing w:val="-1"/>
        </w:rPr>
        <w:t>Customer</w:t>
      </w:r>
      <w:r>
        <w:rPr>
          <w:spacing w:val="37"/>
        </w:rPr>
        <w:t xml:space="preserve"> </w:t>
      </w:r>
      <w:r>
        <w:rPr>
          <w:spacing w:val="-1"/>
        </w:rPr>
        <w:t>and/or</w:t>
      </w:r>
      <w:r>
        <w:rPr>
          <w:spacing w:val="9"/>
        </w:rPr>
        <w:t xml:space="preserve"> </w:t>
      </w:r>
      <w:r>
        <w:t>the</w:t>
      </w:r>
      <w:r>
        <w:rPr>
          <w:spacing w:val="10"/>
        </w:rPr>
        <w:t xml:space="preserve"> </w:t>
      </w:r>
      <w:r>
        <w:rPr>
          <w:spacing w:val="-2"/>
        </w:rPr>
        <w:t>Replacement</w:t>
      </w:r>
      <w:r>
        <w:rPr>
          <w:spacing w:val="9"/>
        </w:rPr>
        <w:t xml:space="preserve"> </w:t>
      </w:r>
      <w:r>
        <w:rPr>
          <w:spacing w:val="-2"/>
        </w:rPr>
        <w:t>Supplier</w:t>
      </w:r>
      <w:r>
        <w:rPr>
          <w:spacing w:val="11"/>
        </w:rPr>
        <w:t xml:space="preserve"> </w:t>
      </w:r>
      <w:r>
        <w:rPr>
          <w:spacing w:val="-1"/>
        </w:rPr>
        <w:t>reasonable</w:t>
      </w:r>
      <w:r>
        <w:rPr>
          <w:spacing w:val="10"/>
        </w:rPr>
        <w:t xml:space="preserve"> </w:t>
      </w:r>
      <w:r>
        <w:rPr>
          <w:spacing w:val="-1"/>
        </w:rPr>
        <w:t>access</w:t>
      </w:r>
      <w:r>
        <w:rPr>
          <w:spacing w:val="11"/>
        </w:rPr>
        <w:t xml:space="preserve"> </w:t>
      </w:r>
      <w:r>
        <w:t>to</w:t>
      </w:r>
      <w:r>
        <w:rPr>
          <w:spacing w:val="7"/>
        </w:rPr>
        <w:t xml:space="preserve"> </w:t>
      </w:r>
      <w:r>
        <w:t>the</w:t>
      </w:r>
      <w:r>
        <w:rPr>
          <w:spacing w:val="10"/>
        </w:rPr>
        <w:t xml:space="preserve"> </w:t>
      </w:r>
      <w:r>
        <w:rPr>
          <w:spacing w:val="-1"/>
        </w:rPr>
        <w:t>Supplier's</w:t>
      </w:r>
      <w:r>
        <w:rPr>
          <w:spacing w:val="10"/>
        </w:rPr>
        <w:t xml:space="preserve"> </w:t>
      </w:r>
      <w:r>
        <w:rPr>
          <w:spacing w:val="-2"/>
        </w:rPr>
        <w:t>personnel</w:t>
      </w:r>
      <w:r>
        <w:rPr>
          <w:spacing w:val="9"/>
        </w:rPr>
        <w:t xml:space="preserve"> </w:t>
      </w:r>
      <w:r>
        <w:t>to</w:t>
      </w:r>
      <w:r>
        <w:rPr>
          <w:spacing w:val="69"/>
        </w:rPr>
        <w:t xml:space="preserve"> </w:t>
      </w:r>
      <w:r>
        <w:rPr>
          <w:spacing w:val="-1"/>
        </w:rPr>
        <w:t>present</w:t>
      </w:r>
      <w:r>
        <w:rPr>
          <w:spacing w:val="52"/>
        </w:rPr>
        <w:t xml:space="preserve"> </w:t>
      </w:r>
      <w:r>
        <w:t>the</w:t>
      </w:r>
      <w:r>
        <w:rPr>
          <w:spacing w:val="51"/>
        </w:rPr>
        <w:t xml:space="preserve"> </w:t>
      </w:r>
      <w:r>
        <w:rPr>
          <w:spacing w:val="-1"/>
        </w:rPr>
        <w:t>case</w:t>
      </w:r>
      <w:r>
        <w:rPr>
          <w:spacing w:val="49"/>
        </w:rPr>
        <w:t xml:space="preserve"> </w:t>
      </w:r>
      <w:r>
        <w:t>for</w:t>
      </w:r>
      <w:r>
        <w:rPr>
          <w:spacing w:val="52"/>
        </w:rPr>
        <w:t xml:space="preserve"> </w:t>
      </w:r>
      <w:r>
        <w:rPr>
          <w:spacing w:val="-1"/>
        </w:rPr>
        <w:t>transferring</w:t>
      </w:r>
      <w:r>
        <w:rPr>
          <w:spacing w:val="51"/>
        </w:rPr>
        <w:t xml:space="preserve"> </w:t>
      </w:r>
      <w:r>
        <w:rPr>
          <w:spacing w:val="-1"/>
        </w:rPr>
        <w:t>their</w:t>
      </w:r>
      <w:r>
        <w:rPr>
          <w:spacing w:val="52"/>
        </w:rPr>
        <w:t xml:space="preserve"> </w:t>
      </w:r>
      <w:r>
        <w:rPr>
          <w:spacing w:val="-1"/>
        </w:rPr>
        <w:t>employment</w:t>
      </w:r>
      <w:r>
        <w:rPr>
          <w:spacing w:val="53"/>
        </w:rPr>
        <w:t xml:space="preserve"> </w:t>
      </w:r>
      <w:r>
        <w:t>to</w:t>
      </w:r>
      <w:r>
        <w:rPr>
          <w:spacing w:val="48"/>
        </w:rPr>
        <w:t xml:space="preserve"> </w:t>
      </w:r>
      <w:r>
        <w:t>the</w:t>
      </w:r>
      <w:r>
        <w:rPr>
          <w:spacing w:val="51"/>
        </w:rPr>
        <w:t xml:space="preserve"> </w:t>
      </w:r>
      <w:r>
        <w:rPr>
          <w:spacing w:val="-1"/>
        </w:rPr>
        <w:t>Customer</w:t>
      </w:r>
      <w:r>
        <w:rPr>
          <w:spacing w:val="49"/>
        </w:rPr>
        <w:t xml:space="preserve"> </w:t>
      </w:r>
      <w:r>
        <w:rPr>
          <w:spacing w:val="-1"/>
        </w:rPr>
        <w:t>and/or</w:t>
      </w:r>
      <w:r>
        <w:rPr>
          <w:spacing w:val="52"/>
        </w:rPr>
        <w:t xml:space="preserve"> </w:t>
      </w:r>
      <w:r>
        <w:rPr>
          <w:spacing w:val="-1"/>
        </w:rPr>
        <w:t>the</w:t>
      </w:r>
      <w:r>
        <w:rPr>
          <w:spacing w:val="28"/>
        </w:rPr>
        <w:t xml:space="preserve"> </w:t>
      </w:r>
      <w:r>
        <w:rPr>
          <w:spacing w:val="-1"/>
        </w:rPr>
        <w:t>Replacement</w:t>
      </w:r>
      <w:r>
        <w:rPr>
          <w:spacing w:val="2"/>
        </w:rPr>
        <w:t xml:space="preserve"> </w:t>
      </w:r>
      <w:r>
        <w:rPr>
          <w:spacing w:val="-2"/>
        </w:rPr>
        <w:t>Supplier.</w:t>
      </w:r>
    </w:p>
    <w:p w:rsidR="008918FA" w:rsidRDefault="008918FA" w:rsidP="008918FA">
      <w:pPr>
        <w:pStyle w:val="BodyText"/>
        <w:numPr>
          <w:ilvl w:val="1"/>
          <w:numId w:val="9"/>
        </w:numPr>
        <w:tabs>
          <w:tab w:val="left" w:pos="1033"/>
        </w:tabs>
        <w:ind w:right="115"/>
        <w:jc w:val="both"/>
      </w:pPr>
      <w:r>
        <w:t>The</w:t>
      </w:r>
      <w:r>
        <w:rPr>
          <w:spacing w:val="41"/>
        </w:rPr>
        <w:t xml:space="preserve"> </w:t>
      </w:r>
      <w:r>
        <w:rPr>
          <w:spacing w:val="-2"/>
        </w:rPr>
        <w:t>Supplier</w:t>
      </w:r>
      <w:r>
        <w:rPr>
          <w:spacing w:val="42"/>
        </w:rPr>
        <w:t xml:space="preserve"> </w:t>
      </w:r>
      <w:r>
        <w:rPr>
          <w:spacing w:val="-1"/>
        </w:rPr>
        <w:t>shall</w:t>
      </w:r>
      <w:r>
        <w:rPr>
          <w:spacing w:val="43"/>
        </w:rPr>
        <w:t xml:space="preserve"> </w:t>
      </w:r>
      <w:r>
        <w:rPr>
          <w:spacing w:val="-1"/>
        </w:rPr>
        <w:t>immediately</w:t>
      </w:r>
      <w:r>
        <w:rPr>
          <w:spacing w:val="39"/>
        </w:rPr>
        <w:t xml:space="preserve"> </w:t>
      </w:r>
      <w:r>
        <w:t>notify</w:t>
      </w:r>
      <w:r>
        <w:rPr>
          <w:spacing w:val="39"/>
        </w:rPr>
        <w:t xml:space="preserve"> </w:t>
      </w:r>
      <w:r>
        <w:t>the</w:t>
      </w:r>
      <w:r>
        <w:rPr>
          <w:spacing w:val="41"/>
        </w:rPr>
        <w:t xml:space="preserve"> </w:t>
      </w:r>
      <w:r>
        <w:rPr>
          <w:spacing w:val="-1"/>
        </w:rPr>
        <w:t>Customer</w:t>
      </w:r>
      <w:r>
        <w:rPr>
          <w:spacing w:val="46"/>
        </w:rPr>
        <w:t xml:space="preserve"> </w:t>
      </w:r>
      <w:r>
        <w:rPr>
          <w:spacing w:val="-1"/>
        </w:rPr>
        <w:t>or,</w:t>
      </w:r>
      <w:r>
        <w:rPr>
          <w:spacing w:val="42"/>
        </w:rPr>
        <w:t xml:space="preserve"> </w:t>
      </w:r>
      <w:r>
        <w:rPr>
          <w:spacing w:val="-1"/>
        </w:rPr>
        <w:t>at</w:t>
      </w:r>
      <w:r>
        <w:rPr>
          <w:spacing w:val="42"/>
        </w:rPr>
        <w:t xml:space="preserve"> </w:t>
      </w:r>
      <w:r>
        <w:t>the</w:t>
      </w:r>
      <w:r>
        <w:rPr>
          <w:spacing w:val="41"/>
        </w:rPr>
        <w:t xml:space="preserve"> </w:t>
      </w:r>
      <w:r>
        <w:rPr>
          <w:spacing w:val="-1"/>
        </w:rPr>
        <w:t>direction</w:t>
      </w:r>
      <w:r>
        <w:rPr>
          <w:spacing w:val="41"/>
        </w:rPr>
        <w:t xml:space="preserve"> </w:t>
      </w:r>
      <w:r>
        <w:rPr>
          <w:spacing w:val="-1"/>
        </w:rPr>
        <w:t>of</w:t>
      </w:r>
      <w:r>
        <w:rPr>
          <w:spacing w:val="45"/>
        </w:rPr>
        <w:t xml:space="preserve"> </w:t>
      </w:r>
      <w:r>
        <w:rPr>
          <w:spacing w:val="-1"/>
        </w:rPr>
        <w:t>the</w:t>
      </w:r>
      <w:r>
        <w:rPr>
          <w:spacing w:val="32"/>
        </w:rPr>
        <w:t xml:space="preserve"> </w:t>
      </w:r>
      <w:r>
        <w:rPr>
          <w:spacing w:val="-1"/>
        </w:rPr>
        <w:t>Customer,</w:t>
      </w:r>
      <w:r>
        <w:rPr>
          <w:spacing w:val="14"/>
        </w:rPr>
        <w:t xml:space="preserve"> </w:t>
      </w:r>
      <w:r>
        <w:t>the</w:t>
      </w:r>
      <w:r>
        <w:rPr>
          <w:spacing w:val="12"/>
        </w:rPr>
        <w:t xml:space="preserve"> </w:t>
      </w:r>
      <w:r>
        <w:rPr>
          <w:spacing w:val="-1"/>
        </w:rPr>
        <w:t>Replacement</w:t>
      </w:r>
      <w:r>
        <w:rPr>
          <w:spacing w:val="14"/>
        </w:rPr>
        <w:t xml:space="preserve"> </w:t>
      </w:r>
      <w:r>
        <w:rPr>
          <w:spacing w:val="-2"/>
        </w:rPr>
        <w:t>Supplier</w:t>
      </w:r>
      <w:r>
        <w:rPr>
          <w:spacing w:val="14"/>
        </w:rPr>
        <w:t xml:space="preserve"> </w:t>
      </w:r>
      <w:r>
        <w:rPr>
          <w:spacing w:val="-1"/>
        </w:rPr>
        <w:t>of</w:t>
      </w:r>
      <w:r>
        <w:rPr>
          <w:spacing w:val="16"/>
        </w:rPr>
        <w:t xml:space="preserve"> </w:t>
      </w:r>
      <w:r>
        <w:rPr>
          <w:spacing w:val="-1"/>
        </w:rPr>
        <w:t>any</w:t>
      </w:r>
      <w:r>
        <w:rPr>
          <w:spacing w:val="10"/>
        </w:rPr>
        <w:t xml:space="preserve"> </w:t>
      </w:r>
      <w:r>
        <w:rPr>
          <w:spacing w:val="-1"/>
        </w:rPr>
        <w:t>period</w:t>
      </w:r>
      <w:r>
        <w:rPr>
          <w:spacing w:val="12"/>
        </w:rPr>
        <w:t xml:space="preserve"> </w:t>
      </w:r>
      <w:r>
        <w:rPr>
          <w:spacing w:val="-1"/>
        </w:rPr>
        <w:t>of</w:t>
      </w:r>
      <w:r>
        <w:rPr>
          <w:spacing w:val="16"/>
        </w:rPr>
        <w:t xml:space="preserve"> </w:t>
      </w:r>
      <w:r>
        <w:rPr>
          <w:spacing w:val="-1"/>
        </w:rPr>
        <w:t>notice</w:t>
      </w:r>
      <w:r>
        <w:rPr>
          <w:spacing w:val="13"/>
        </w:rPr>
        <w:t xml:space="preserve"> </w:t>
      </w:r>
      <w:r>
        <w:rPr>
          <w:spacing w:val="-1"/>
        </w:rPr>
        <w:t>given</w:t>
      </w:r>
      <w:r>
        <w:rPr>
          <w:spacing w:val="12"/>
        </w:rPr>
        <w:t xml:space="preserve"> </w:t>
      </w:r>
      <w:r>
        <w:rPr>
          <w:spacing w:val="-1"/>
        </w:rPr>
        <w:t>by</w:t>
      </w:r>
      <w:r>
        <w:rPr>
          <w:spacing w:val="13"/>
        </w:rPr>
        <w:t xml:space="preserve"> </w:t>
      </w:r>
      <w:r>
        <w:t>the</w:t>
      </w:r>
      <w:r>
        <w:rPr>
          <w:spacing w:val="12"/>
        </w:rPr>
        <w:t xml:space="preserve"> </w:t>
      </w:r>
      <w:r>
        <w:rPr>
          <w:spacing w:val="-2"/>
        </w:rPr>
        <w:t>Supplier</w:t>
      </w:r>
      <w:r>
        <w:rPr>
          <w:spacing w:val="48"/>
        </w:rPr>
        <w:t xml:space="preserve"> </w:t>
      </w:r>
      <w:r>
        <w:rPr>
          <w:spacing w:val="-1"/>
        </w:rPr>
        <w:t>or</w:t>
      </w:r>
      <w:r>
        <w:rPr>
          <w:spacing w:val="28"/>
        </w:rPr>
        <w:t xml:space="preserve"> </w:t>
      </w:r>
      <w:r>
        <w:rPr>
          <w:spacing w:val="-1"/>
        </w:rPr>
        <w:t>received</w:t>
      </w:r>
      <w:r>
        <w:rPr>
          <w:spacing w:val="27"/>
        </w:rPr>
        <w:t xml:space="preserve"> </w:t>
      </w:r>
      <w:r>
        <w:t>from</w:t>
      </w:r>
      <w:r>
        <w:rPr>
          <w:spacing w:val="28"/>
        </w:rPr>
        <w:t xml:space="preserve"> </w:t>
      </w:r>
      <w:r>
        <w:rPr>
          <w:spacing w:val="-1"/>
        </w:rPr>
        <w:t>any</w:t>
      </w:r>
      <w:r>
        <w:rPr>
          <w:spacing w:val="25"/>
        </w:rPr>
        <w:t xml:space="preserve"> </w:t>
      </w:r>
      <w:r>
        <w:t>person</w:t>
      </w:r>
      <w:r>
        <w:rPr>
          <w:spacing w:val="27"/>
        </w:rPr>
        <w:t xml:space="preserve"> </w:t>
      </w:r>
      <w:r>
        <w:rPr>
          <w:spacing w:val="-1"/>
        </w:rPr>
        <w:t>referred</w:t>
      </w:r>
      <w:r>
        <w:rPr>
          <w:spacing w:val="27"/>
        </w:rPr>
        <w:t xml:space="preserve"> </w:t>
      </w:r>
      <w:r>
        <w:t>to</w:t>
      </w:r>
      <w:r>
        <w:rPr>
          <w:spacing w:val="27"/>
        </w:rPr>
        <w:t xml:space="preserve"> </w:t>
      </w:r>
      <w:r>
        <w:rPr>
          <w:spacing w:val="-1"/>
        </w:rPr>
        <w:t>in</w:t>
      </w:r>
      <w:r>
        <w:rPr>
          <w:spacing w:val="27"/>
        </w:rPr>
        <w:t xml:space="preserve"> </w:t>
      </w:r>
      <w:r>
        <w:t>the</w:t>
      </w:r>
      <w:r>
        <w:rPr>
          <w:spacing w:val="27"/>
        </w:rPr>
        <w:t xml:space="preserve"> </w:t>
      </w:r>
      <w:r>
        <w:rPr>
          <w:spacing w:val="-1"/>
        </w:rPr>
        <w:t>Staffing</w:t>
      </w:r>
      <w:r>
        <w:rPr>
          <w:spacing w:val="29"/>
        </w:rPr>
        <w:t xml:space="preserve"> </w:t>
      </w:r>
      <w:r>
        <w:rPr>
          <w:spacing w:val="-1"/>
        </w:rPr>
        <w:t>Information,</w:t>
      </w:r>
      <w:r>
        <w:rPr>
          <w:spacing w:val="28"/>
        </w:rPr>
        <w:t xml:space="preserve"> </w:t>
      </w:r>
      <w:r>
        <w:rPr>
          <w:spacing w:val="-1"/>
        </w:rPr>
        <w:t>regardless</w:t>
      </w:r>
      <w:r>
        <w:rPr>
          <w:spacing w:val="28"/>
        </w:rPr>
        <w:t xml:space="preserve"> </w:t>
      </w:r>
      <w:r>
        <w:rPr>
          <w:spacing w:val="-2"/>
        </w:rPr>
        <w:t>of</w:t>
      </w:r>
      <w:r>
        <w:rPr>
          <w:spacing w:val="31"/>
        </w:rPr>
        <w:t xml:space="preserve"> </w:t>
      </w:r>
      <w:r>
        <w:rPr>
          <w:spacing w:val="-2"/>
        </w:rPr>
        <w:t>when</w:t>
      </w:r>
      <w:r>
        <w:t xml:space="preserve"> </w:t>
      </w:r>
      <w:r>
        <w:rPr>
          <w:spacing w:val="-1"/>
        </w:rPr>
        <w:t>such</w:t>
      </w:r>
      <w:r>
        <w:rPr>
          <w:spacing w:val="1"/>
        </w:rPr>
        <w:t xml:space="preserve"> </w:t>
      </w:r>
      <w:r>
        <w:rPr>
          <w:spacing w:val="-1"/>
        </w:rPr>
        <w:t>notice</w:t>
      </w:r>
      <w:r>
        <w:rPr>
          <w:spacing w:val="-2"/>
        </w:rPr>
        <w:t xml:space="preserve"> </w:t>
      </w:r>
      <w:r>
        <w:rPr>
          <w:spacing w:val="-1"/>
        </w:rPr>
        <w:t>takes</w:t>
      </w:r>
      <w:r>
        <w:rPr>
          <w:spacing w:val="-4"/>
        </w:rPr>
        <w:t xml:space="preserve"> </w:t>
      </w:r>
      <w:r>
        <w:rPr>
          <w:spacing w:val="-1"/>
        </w:rPr>
        <w:t>effect.</w:t>
      </w:r>
    </w:p>
    <w:p w:rsidR="008918FA" w:rsidRDefault="008918FA" w:rsidP="008918FA">
      <w:pPr>
        <w:pStyle w:val="BodyText"/>
        <w:numPr>
          <w:ilvl w:val="1"/>
          <w:numId w:val="9"/>
        </w:numPr>
        <w:tabs>
          <w:tab w:val="left" w:pos="1033"/>
        </w:tabs>
        <w:spacing w:before="121"/>
        <w:ind w:left="829" w:right="111" w:hanging="361"/>
        <w:jc w:val="both"/>
      </w:pPr>
      <w:r>
        <w:t>The</w:t>
      </w:r>
      <w:r>
        <w:rPr>
          <w:spacing w:val="3"/>
        </w:rPr>
        <w:t xml:space="preserve"> </w:t>
      </w:r>
      <w:r>
        <w:rPr>
          <w:spacing w:val="-2"/>
        </w:rPr>
        <w:t>Supplier</w:t>
      </w:r>
      <w:r>
        <w:rPr>
          <w:spacing w:val="4"/>
        </w:rPr>
        <w:t xml:space="preserve"> </w:t>
      </w:r>
      <w:r>
        <w:rPr>
          <w:spacing w:val="-2"/>
        </w:rPr>
        <w:t>shall</w:t>
      </w:r>
      <w:r>
        <w:rPr>
          <w:spacing w:val="2"/>
        </w:rPr>
        <w:t xml:space="preserve"> </w:t>
      </w:r>
      <w:r>
        <w:rPr>
          <w:spacing w:val="-1"/>
        </w:rPr>
        <w:t>not</w:t>
      </w:r>
      <w:r>
        <w:rPr>
          <w:spacing w:val="2"/>
        </w:rPr>
        <w:t xml:space="preserve"> </w:t>
      </w:r>
      <w:r>
        <w:t>for</w:t>
      </w:r>
      <w:r>
        <w:rPr>
          <w:spacing w:val="4"/>
        </w:rPr>
        <w:t xml:space="preserve"> </w:t>
      </w:r>
      <w:r>
        <w:t>a</w:t>
      </w:r>
      <w:r>
        <w:rPr>
          <w:spacing w:val="3"/>
        </w:rPr>
        <w:t xml:space="preserve"> </w:t>
      </w:r>
      <w:r>
        <w:rPr>
          <w:spacing w:val="-1"/>
        </w:rPr>
        <w:t>period</w:t>
      </w:r>
      <w:r>
        <w:rPr>
          <w:spacing w:val="3"/>
        </w:rPr>
        <w:t xml:space="preserve"> </w:t>
      </w:r>
      <w:r>
        <w:rPr>
          <w:spacing w:val="-2"/>
        </w:rPr>
        <w:t>of</w:t>
      </w:r>
      <w:r>
        <w:rPr>
          <w:spacing w:val="4"/>
        </w:rPr>
        <w:t xml:space="preserve"> </w:t>
      </w:r>
      <w:r>
        <w:rPr>
          <w:spacing w:val="-2"/>
        </w:rPr>
        <w:t>twelve</w:t>
      </w:r>
      <w:r>
        <w:rPr>
          <w:spacing w:val="3"/>
        </w:rPr>
        <w:t xml:space="preserve"> </w:t>
      </w:r>
      <w:r>
        <w:rPr>
          <w:spacing w:val="-1"/>
        </w:rPr>
        <w:t>(12)</w:t>
      </w:r>
      <w:r>
        <w:rPr>
          <w:spacing w:val="3"/>
        </w:rPr>
        <w:t xml:space="preserve"> </w:t>
      </w:r>
      <w:r>
        <w:rPr>
          <w:spacing w:val="-1"/>
        </w:rPr>
        <w:t>months</w:t>
      </w:r>
      <w:r>
        <w:rPr>
          <w:spacing w:val="-2"/>
        </w:rPr>
        <w:t xml:space="preserve"> </w:t>
      </w:r>
      <w:r>
        <w:t>from</w:t>
      </w:r>
      <w:r>
        <w:rPr>
          <w:spacing w:val="2"/>
        </w:rPr>
        <w:t xml:space="preserve"> </w:t>
      </w:r>
      <w:r>
        <w:t xml:space="preserve">the </w:t>
      </w:r>
      <w:r>
        <w:rPr>
          <w:spacing w:val="-1"/>
        </w:rPr>
        <w:t>date</w:t>
      </w:r>
      <w:r>
        <w:rPr>
          <w:spacing w:val="3"/>
        </w:rPr>
        <w:t xml:space="preserve"> </w:t>
      </w:r>
      <w:r>
        <w:rPr>
          <w:spacing w:val="-2"/>
        </w:rPr>
        <w:t>of</w:t>
      </w:r>
      <w:r>
        <w:rPr>
          <w:spacing w:val="2"/>
        </w:rPr>
        <w:t xml:space="preserve"> </w:t>
      </w:r>
      <w:r>
        <w:rPr>
          <w:spacing w:val="-1"/>
        </w:rPr>
        <w:t>transfer</w:t>
      </w:r>
      <w:r>
        <w:rPr>
          <w:spacing w:val="59"/>
        </w:rPr>
        <w:t xml:space="preserve"> </w:t>
      </w:r>
      <w:r>
        <w:rPr>
          <w:spacing w:val="-1"/>
        </w:rPr>
        <w:t>re-employ</w:t>
      </w:r>
      <w:r>
        <w:rPr>
          <w:spacing w:val="49"/>
        </w:rPr>
        <w:t xml:space="preserve"> </w:t>
      </w:r>
      <w:r>
        <w:rPr>
          <w:spacing w:val="-1"/>
        </w:rPr>
        <w:t>or</w:t>
      </w:r>
      <w:r>
        <w:rPr>
          <w:spacing w:val="52"/>
        </w:rPr>
        <w:t xml:space="preserve"> </w:t>
      </w:r>
      <w:r>
        <w:rPr>
          <w:spacing w:val="-1"/>
        </w:rPr>
        <w:t>re-engage</w:t>
      </w:r>
      <w:r>
        <w:rPr>
          <w:spacing w:val="48"/>
        </w:rPr>
        <w:t xml:space="preserve"> </w:t>
      </w:r>
      <w:r>
        <w:rPr>
          <w:spacing w:val="-1"/>
        </w:rPr>
        <w:t>or</w:t>
      </w:r>
      <w:r>
        <w:rPr>
          <w:spacing w:val="52"/>
        </w:rPr>
        <w:t xml:space="preserve"> </w:t>
      </w:r>
      <w:r>
        <w:rPr>
          <w:spacing w:val="-1"/>
        </w:rPr>
        <w:t>entice</w:t>
      </w:r>
      <w:r>
        <w:rPr>
          <w:spacing w:val="51"/>
        </w:rPr>
        <w:t xml:space="preserve"> </w:t>
      </w:r>
      <w:r>
        <w:rPr>
          <w:spacing w:val="-1"/>
        </w:rPr>
        <w:t>any</w:t>
      </w:r>
      <w:r>
        <w:rPr>
          <w:spacing w:val="49"/>
        </w:rPr>
        <w:t xml:space="preserve"> </w:t>
      </w:r>
      <w:r>
        <w:rPr>
          <w:spacing w:val="-1"/>
        </w:rPr>
        <w:t>employees,</w:t>
      </w:r>
      <w:r>
        <w:rPr>
          <w:spacing w:val="54"/>
        </w:rPr>
        <w:t xml:space="preserve"> </w:t>
      </w:r>
      <w:r>
        <w:rPr>
          <w:spacing w:val="-1"/>
        </w:rPr>
        <w:t>suppliers</w:t>
      </w:r>
      <w:r>
        <w:rPr>
          <w:spacing w:val="49"/>
        </w:rPr>
        <w:t xml:space="preserve"> </w:t>
      </w:r>
      <w:r>
        <w:rPr>
          <w:spacing w:val="-1"/>
        </w:rPr>
        <w:t>or</w:t>
      </w:r>
      <w:r>
        <w:rPr>
          <w:spacing w:val="49"/>
        </w:rPr>
        <w:t xml:space="preserve"> </w:t>
      </w:r>
      <w:r>
        <w:rPr>
          <w:spacing w:val="-1"/>
        </w:rPr>
        <w:t>Sub-Contractors</w:t>
      </w:r>
      <w:r>
        <w:rPr>
          <w:spacing w:val="25"/>
        </w:rPr>
        <w:t xml:space="preserve"> </w:t>
      </w:r>
      <w:r>
        <w:rPr>
          <w:spacing w:val="-2"/>
        </w:rPr>
        <w:t>whose</w:t>
      </w:r>
      <w:r>
        <w:rPr>
          <w:spacing w:val="4"/>
        </w:rPr>
        <w:t xml:space="preserve"> </w:t>
      </w:r>
      <w:r>
        <w:rPr>
          <w:spacing w:val="-1"/>
        </w:rPr>
        <w:t>employment</w:t>
      </w:r>
      <w:r>
        <w:rPr>
          <w:spacing w:val="5"/>
        </w:rPr>
        <w:t xml:space="preserve"> </w:t>
      </w:r>
      <w:r>
        <w:rPr>
          <w:spacing w:val="-1"/>
        </w:rPr>
        <w:t>or</w:t>
      </w:r>
      <w:r>
        <w:rPr>
          <w:spacing w:val="3"/>
        </w:rPr>
        <w:t xml:space="preserve"> </w:t>
      </w:r>
      <w:r>
        <w:rPr>
          <w:spacing w:val="-1"/>
        </w:rPr>
        <w:t>engagement</w:t>
      </w:r>
      <w:r>
        <w:rPr>
          <w:spacing w:val="5"/>
        </w:rPr>
        <w:t xml:space="preserve"> </w:t>
      </w:r>
      <w:r>
        <w:rPr>
          <w:spacing w:val="-1"/>
        </w:rPr>
        <w:t>is</w:t>
      </w:r>
      <w:r>
        <w:rPr>
          <w:spacing w:val="4"/>
        </w:rPr>
        <w:t xml:space="preserve"> </w:t>
      </w:r>
      <w:r>
        <w:rPr>
          <w:spacing w:val="-2"/>
        </w:rPr>
        <w:t>transferred</w:t>
      </w:r>
      <w:r>
        <w:rPr>
          <w:spacing w:val="4"/>
        </w:rPr>
        <w:t xml:space="preserve"> </w:t>
      </w:r>
      <w:r>
        <w:t>to</w:t>
      </w:r>
      <w:r>
        <w:rPr>
          <w:spacing w:val="4"/>
        </w:rPr>
        <w:t xml:space="preserve"> </w:t>
      </w:r>
      <w:r>
        <w:t>the</w:t>
      </w:r>
      <w:r>
        <w:rPr>
          <w:spacing w:val="4"/>
        </w:rPr>
        <w:t xml:space="preserve"> </w:t>
      </w:r>
      <w:r>
        <w:rPr>
          <w:spacing w:val="-2"/>
        </w:rPr>
        <w:t>Customer</w:t>
      </w:r>
      <w:r>
        <w:rPr>
          <w:spacing w:val="5"/>
        </w:rPr>
        <w:t xml:space="preserve"> </w:t>
      </w:r>
      <w:r>
        <w:rPr>
          <w:spacing w:val="-1"/>
        </w:rPr>
        <w:t>and/or</w:t>
      </w:r>
      <w:r>
        <w:rPr>
          <w:spacing w:val="5"/>
        </w:rPr>
        <w:t xml:space="preserve"> </w:t>
      </w:r>
      <w:r>
        <w:rPr>
          <w:spacing w:val="-2"/>
        </w:rPr>
        <w:t>the</w:t>
      </w:r>
      <w:r>
        <w:rPr>
          <w:spacing w:val="64"/>
        </w:rPr>
        <w:t xml:space="preserve"> </w:t>
      </w:r>
      <w:r>
        <w:rPr>
          <w:spacing w:val="-1"/>
        </w:rPr>
        <w:t>Replacement</w:t>
      </w:r>
      <w:r>
        <w:rPr>
          <w:spacing w:val="2"/>
        </w:rPr>
        <w:t xml:space="preserve"> </w:t>
      </w:r>
      <w:r>
        <w:rPr>
          <w:spacing w:val="-2"/>
        </w:rPr>
        <w:t>Supplier.</w:t>
      </w:r>
    </w:p>
    <w:p w:rsidR="008918FA" w:rsidRDefault="008918FA" w:rsidP="008918FA">
      <w:pPr>
        <w:pStyle w:val="BodyText"/>
        <w:numPr>
          <w:ilvl w:val="0"/>
          <w:numId w:val="9"/>
        </w:numPr>
        <w:tabs>
          <w:tab w:val="left" w:pos="467"/>
        </w:tabs>
        <w:spacing w:before="117"/>
        <w:ind w:left="466"/>
        <w:rPr>
          <w:rFonts w:ascii="Times New Roman" w:eastAsia="Times New Roman" w:hAnsi="Times New Roman" w:cs="Times New Roman"/>
        </w:rPr>
      </w:pPr>
      <w:r>
        <w:rPr>
          <w:rFonts w:ascii="Times New Roman"/>
          <w:spacing w:val="6"/>
        </w:rPr>
        <w:t>CHARGES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9"/>
        </w:numPr>
        <w:tabs>
          <w:tab w:val="left" w:pos="1034"/>
        </w:tabs>
        <w:spacing w:before="0"/>
        <w:ind w:left="829" w:right="114"/>
        <w:jc w:val="both"/>
      </w:pPr>
      <w:r>
        <w:rPr>
          <w:spacing w:val="-1"/>
        </w:rPr>
        <w:t>Except</w:t>
      </w:r>
      <w:r>
        <w:rPr>
          <w:spacing w:val="38"/>
        </w:rPr>
        <w:t xml:space="preserve"> </w:t>
      </w:r>
      <w:r>
        <w:rPr>
          <w:spacing w:val="-1"/>
        </w:rPr>
        <w:t>as</w:t>
      </w:r>
      <w:r>
        <w:rPr>
          <w:spacing w:val="37"/>
        </w:rPr>
        <w:t xml:space="preserve"> </w:t>
      </w:r>
      <w:r>
        <w:rPr>
          <w:spacing w:val="-1"/>
        </w:rPr>
        <w:t>otherwise</w:t>
      </w:r>
      <w:r>
        <w:rPr>
          <w:spacing w:val="37"/>
        </w:rPr>
        <w:t xml:space="preserve"> </w:t>
      </w:r>
      <w:r>
        <w:rPr>
          <w:spacing w:val="-1"/>
        </w:rPr>
        <w:t>expressly</w:t>
      </w:r>
      <w:r>
        <w:rPr>
          <w:spacing w:val="34"/>
        </w:rPr>
        <w:t xml:space="preserve"> </w:t>
      </w:r>
      <w:r>
        <w:rPr>
          <w:spacing w:val="-1"/>
        </w:rPr>
        <w:t>specified</w:t>
      </w:r>
      <w:r>
        <w:rPr>
          <w:spacing w:val="36"/>
        </w:rPr>
        <w:t xml:space="preserve"> </w:t>
      </w:r>
      <w:r>
        <w:rPr>
          <w:spacing w:val="-1"/>
        </w:rPr>
        <w:t>in</w:t>
      </w:r>
      <w:r>
        <w:rPr>
          <w:spacing w:val="36"/>
        </w:rPr>
        <w:t xml:space="preserve"> </w:t>
      </w:r>
      <w:r>
        <w:rPr>
          <w:spacing w:val="-1"/>
        </w:rPr>
        <w:t>this</w:t>
      </w:r>
      <w:r>
        <w:rPr>
          <w:spacing w:val="35"/>
        </w:rPr>
        <w:t xml:space="preserve"> </w:t>
      </w:r>
      <w:r>
        <w:rPr>
          <w:spacing w:val="-2"/>
        </w:rPr>
        <w:t>Call</w:t>
      </w:r>
      <w:r>
        <w:rPr>
          <w:spacing w:val="36"/>
        </w:rPr>
        <w:t xml:space="preserve"> </w:t>
      </w:r>
      <w:r>
        <w:t>Off</w:t>
      </w:r>
      <w:r>
        <w:rPr>
          <w:spacing w:val="38"/>
        </w:rPr>
        <w:t xml:space="preserve"> </w:t>
      </w:r>
      <w:r>
        <w:rPr>
          <w:spacing w:val="-1"/>
        </w:rPr>
        <w:t>Contract,</w:t>
      </w:r>
      <w:r>
        <w:rPr>
          <w:spacing w:val="35"/>
        </w:rPr>
        <w:t xml:space="preserve"> </w:t>
      </w:r>
      <w:r>
        <w:t>the</w:t>
      </w:r>
      <w:r>
        <w:rPr>
          <w:spacing w:val="34"/>
        </w:rPr>
        <w:t xml:space="preserve"> </w:t>
      </w:r>
      <w:r>
        <w:rPr>
          <w:spacing w:val="-2"/>
        </w:rPr>
        <w:t>Supplier</w:t>
      </w:r>
      <w:r>
        <w:rPr>
          <w:spacing w:val="44"/>
        </w:rPr>
        <w:t xml:space="preserve"> </w:t>
      </w:r>
      <w:r>
        <w:rPr>
          <w:spacing w:val="-1"/>
        </w:rPr>
        <w:t>shall</w:t>
      </w:r>
      <w:r>
        <w:rPr>
          <w:spacing w:val="17"/>
        </w:rPr>
        <w:t xml:space="preserve"> </w:t>
      </w:r>
      <w:r>
        <w:rPr>
          <w:spacing w:val="-1"/>
        </w:rPr>
        <w:t>not</w:t>
      </w:r>
      <w:r>
        <w:rPr>
          <w:spacing w:val="19"/>
        </w:rPr>
        <w:t xml:space="preserve"> </w:t>
      </w:r>
      <w:r>
        <w:rPr>
          <w:spacing w:val="-1"/>
        </w:rPr>
        <w:t>make</w:t>
      </w:r>
      <w:r>
        <w:rPr>
          <w:spacing w:val="17"/>
        </w:rPr>
        <w:t xml:space="preserve"> </w:t>
      </w:r>
      <w:r>
        <w:rPr>
          <w:spacing w:val="-1"/>
        </w:rPr>
        <w:t>any</w:t>
      </w:r>
      <w:r>
        <w:rPr>
          <w:spacing w:val="15"/>
        </w:rPr>
        <w:t xml:space="preserve"> </w:t>
      </w:r>
      <w:r>
        <w:rPr>
          <w:spacing w:val="-1"/>
        </w:rPr>
        <w:t>charges</w:t>
      </w:r>
      <w:r>
        <w:rPr>
          <w:spacing w:val="15"/>
        </w:rPr>
        <w:t xml:space="preserve"> </w:t>
      </w:r>
      <w:r>
        <w:t>for</w:t>
      </w:r>
      <w:r>
        <w:rPr>
          <w:spacing w:val="16"/>
        </w:rPr>
        <w:t xml:space="preserve"> </w:t>
      </w:r>
      <w:r>
        <w:t>the</w:t>
      </w:r>
      <w:r>
        <w:rPr>
          <w:spacing w:val="17"/>
        </w:rPr>
        <w:t xml:space="preserve"> </w:t>
      </w:r>
      <w:r>
        <w:rPr>
          <w:spacing w:val="-1"/>
        </w:rPr>
        <w:t>services</w:t>
      </w:r>
      <w:r>
        <w:rPr>
          <w:spacing w:val="18"/>
        </w:rPr>
        <w:t xml:space="preserve"> </w:t>
      </w:r>
      <w:r>
        <w:rPr>
          <w:spacing w:val="-2"/>
        </w:rPr>
        <w:t>provided</w:t>
      </w:r>
      <w:r>
        <w:rPr>
          <w:spacing w:val="17"/>
        </w:rPr>
        <w:t xml:space="preserve"> </w:t>
      </w:r>
      <w:r>
        <w:rPr>
          <w:spacing w:val="1"/>
        </w:rPr>
        <w:t>by</w:t>
      </w:r>
      <w:r>
        <w:rPr>
          <w:spacing w:val="15"/>
        </w:rPr>
        <w:t xml:space="preserve"> </w:t>
      </w:r>
      <w:r>
        <w:t>the</w:t>
      </w:r>
      <w:r>
        <w:rPr>
          <w:spacing w:val="17"/>
        </w:rPr>
        <w:t xml:space="preserve"> </w:t>
      </w:r>
      <w:r>
        <w:rPr>
          <w:spacing w:val="-2"/>
        </w:rPr>
        <w:t>Supplier</w:t>
      </w:r>
      <w:r>
        <w:rPr>
          <w:spacing w:val="19"/>
        </w:rPr>
        <w:t xml:space="preserve"> </w:t>
      </w:r>
      <w:r>
        <w:rPr>
          <w:spacing w:val="-1"/>
        </w:rPr>
        <w:t>pursuant</w:t>
      </w:r>
      <w:r>
        <w:rPr>
          <w:spacing w:val="16"/>
        </w:rPr>
        <w:t xml:space="preserve"> </w:t>
      </w:r>
      <w:r>
        <w:rPr>
          <w:spacing w:val="-1"/>
        </w:rPr>
        <w:t>to,</w:t>
      </w:r>
      <w:r>
        <w:rPr>
          <w:spacing w:val="61"/>
        </w:rPr>
        <w:t xml:space="preserve"> </w:t>
      </w:r>
      <w:r>
        <w:rPr>
          <w:spacing w:val="-1"/>
        </w:rPr>
        <w:t>and</w:t>
      </w:r>
      <w:r>
        <w:rPr>
          <w:spacing w:val="15"/>
        </w:rPr>
        <w:t xml:space="preserve"> </w:t>
      </w:r>
      <w:r>
        <w:t>the</w:t>
      </w:r>
      <w:r>
        <w:rPr>
          <w:spacing w:val="15"/>
        </w:rPr>
        <w:t xml:space="preserve"> </w:t>
      </w:r>
      <w:r>
        <w:rPr>
          <w:spacing w:val="-1"/>
        </w:rPr>
        <w:t>Customer</w:t>
      </w:r>
      <w:r>
        <w:rPr>
          <w:spacing w:val="16"/>
        </w:rPr>
        <w:t xml:space="preserve"> </w:t>
      </w:r>
      <w:r>
        <w:rPr>
          <w:spacing w:val="-1"/>
        </w:rPr>
        <w:t>shall</w:t>
      </w:r>
      <w:r>
        <w:rPr>
          <w:spacing w:val="17"/>
        </w:rPr>
        <w:t xml:space="preserve"> </w:t>
      </w:r>
      <w:r>
        <w:rPr>
          <w:spacing w:val="-1"/>
        </w:rPr>
        <w:t>not</w:t>
      </w:r>
      <w:r>
        <w:rPr>
          <w:spacing w:val="16"/>
        </w:rPr>
        <w:t xml:space="preserve"> </w:t>
      </w:r>
      <w:r>
        <w:rPr>
          <w:spacing w:val="-1"/>
        </w:rPr>
        <w:t>be</w:t>
      </w:r>
      <w:r>
        <w:rPr>
          <w:spacing w:val="15"/>
        </w:rPr>
        <w:t xml:space="preserve"> </w:t>
      </w:r>
      <w:r>
        <w:rPr>
          <w:spacing w:val="-1"/>
        </w:rPr>
        <w:t>obliged</w:t>
      </w:r>
      <w:r>
        <w:rPr>
          <w:spacing w:val="15"/>
        </w:rPr>
        <w:t xml:space="preserve"> </w:t>
      </w:r>
      <w:r>
        <w:t>to</w:t>
      </w:r>
      <w:r>
        <w:rPr>
          <w:spacing w:val="15"/>
        </w:rPr>
        <w:t xml:space="preserve"> </w:t>
      </w:r>
      <w:r>
        <w:rPr>
          <w:spacing w:val="-1"/>
        </w:rPr>
        <w:t>pay</w:t>
      </w:r>
      <w:r>
        <w:rPr>
          <w:spacing w:val="13"/>
        </w:rPr>
        <w:t xml:space="preserve"> </w:t>
      </w:r>
      <w:r>
        <w:t>for</w:t>
      </w:r>
      <w:r>
        <w:rPr>
          <w:spacing w:val="14"/>
        </w:rPr>
        <w:t xml:space="preserve"> </w:t>
      </w:r>
      <w:r>
        <w:rPr>
          <w:spacing w:val="-1"/>
        </w:rPr>
        <w:t>costs</w:t>
      </w:r>
      <w:r>
        <w:rPr>
          <w:spacing w:val="15"/>
        </w:rPr>
        <w:t xml:space="preserve"> </w:t>
      </w:r>
      <w:r>
        <w:rPr>
          <w:spacing w:val="-1"/>
        </w:rPr>
        <w:t>incurred</w:t>
      </w:r>
      <w:r>
        <w:rPr>
          <w:spacing w:val="15"/>
        </w:rPr>
        <w:t xml:space="preserve"> </w:t>
      </w:r>
      <w:r>
        <w:rPr>
          <w:spacing w:val="-1"/>
        </w:rPr>
        <w:t>by</w:t>
      </w:r>
      <w:r>
        <w:rPr>
          <w:spacing w:val="13"/>
        </w:rPr>
        <w:t xml:space="preserve"> </w:t>
      </w:r>
      <w:r>
        <w:t>the</w:t>
      </w:r>
      <w:r>
        <w:rPr>
          <w:spacing w:val="15"/>
        </w:rPr>
        <w:t xml:space="preserve"> </w:t>
      </w:r>
      <w:r>
        <w:rPr>
          <w:spacing w:val="-2"/>
        </w:rPr>
        <w:t>Supplier</w:t>
      </w:r>
      <w:r>
        <w:rPr>
          <w:spacing w:val="16"/>
        </w:rPr>
        <w:t xml:space="preserve"> </w:t>
      </w:r>
      <w:r>
        <w:rPr>
          <w:spacing w:val="-1"/>
        </w:rPr>
        <w:t>in</w:t>
      </w:r>
      <w:r>
        <w:rPr>
          <w:spacing w:val="53"/>
        </w:rPr>
        <w:t xml:space="preserve"> </w:t>
      </w:r>
      <w:r>
        <w:rPr>
          <w:spacing w:val="-1"/>
        </w:rPr>
        <w:t>relation</w:t>
      </w:r>
      <w:r>
        <w:rPr>
          <w:spacing w:val="7"/>
        </w:rPr>
        <w:t xml:space="preserve"> </w:t>
      </w:r>
      <w:r>
        <w:t>to</w:t>
      </w:r>
      <w:r>
        <w:rPr>
          <w:spacing w:val="7"/>
        </w:rPr>
        <w:t xml:space="preserve"> </w:t>
      </w:r>
      <w:r>
        <w:rPr>
          <w:spacing w:val="-1"/>
        </w:rPr>
        <w:t>its</w:t>
      </w:r>
      <w:r>
        <w:rPr>
          <w:spacing w:val="8"/>
        </w:rPr>
        <w:t xml:space="preserve"> </w:t>
      </w:r>
      <w:r>
        <w:rPr>
          <w:spacing w:val="-1"/>
        </w:rPr>
        <w:t>compliance</w:t>
      </w:r>
      <w:r>
        <w:rPr>
          <w:spacing w:val="10"/>
        </w:rPr>
        <w:t xml:space="preserve"> </w:t>
      </w:r>
      <w:r>
        <w:rPr>
          <w:spacing w:val="-2"/>
        </w:rPr>
        <w:t>with,</w:t>
      </w:r>
      <w:r>
        <w:rPr>
          <w:spacing w:val="9"/>
        </w:rPr>
        <w:t xml:space="preserve"> </w:t>
      </w:r>
      <w:r>
        <w:rPr>
          <w:spacing w:val="-1"/>
        </w:rPr>
        <w:t>this</w:t>
      </w:r>
      <w:r>
        <w:rPr>
          <w:spacing w:val="8"/>
        </w:rPr>
        <w:t xml:space="preserve"> </w:t>
      </w:r>
      <w:r>
        <w:rPr>
          <w:spacing w:val="-2"/>
        </w:rPr>
        <w:t>Call</w:t>
      </w:r>
      <w:r>
        <w:rPr>
          <w:spacing w:val="9"/>
        </w:rPr>
        <w:t xml:space="preserve"> </w:t>
      </w:r>
      <w:r>
        <w:rPr>
          <w:spacing w:val="-1"/>
        </w:rPr>
        <w:t>Off</w:t>
      </w:r>
      <w:r>
        <w:rPr>
          <w:spacing w:val="11"/>
        </w:rPr>
        <w:t xml:space="preserve"> </w:t>
      </w:r>
      <w:r>
        <w:rPr>
          <w:spacing w:val="-2"/>
        </w:rPr>
        <w:t>Schedule</w:t>
      </w:r>
      <w:r>
        <w:rPr>
          <w:spacing w:val="7"/>
        </w:rPr>
        <w:t xml:space="preserve"> </w:t>
      </w:r>
      <w:r>
        <w:rPr>
          <w:spacing w:val="-1"/>
        </w:rPr>
        <w:t>including</w:t>
      </w:r>
      <w:r>
        <w:rPr>
          <w:spacing w:val="10"/>
        </w:rPr>
        <w:t xml:space="preserve"> </w:t>
      </w:r>
      <w:r>
        <w:t>the</w:t>
      </w:r>
      <w:r>
        <w:rPr>
          <w:spacing w:val="7"/>
        </w:rPr>
        <w:t xml:space="preserve"> </w:t>
      </w:r>
      <w:r>
        <w:rPr>
          <w:spacing w:val="-1"/>
        </w:rPr>
        <w:t>preparation</w:t>
      </w:r>
      <w:r>
        <w:rPr>
          <w:spacing w:val="7"/>
        </w:rPr>
        <w:t xml:space="preserve"> </w:t>
      </w:r>
      <w:r>
        <w:rPr>
          <w:spacing w:val="-1"/>
        </w:rPr>
        <w:t>and</w:t>
      </w:r>
      <w:r>
        <w:rPr>
          <w:spacing w:val="58"/>
        </w:rPr>
        <w:t xml:space="preserve"> </w:t>
      </w:r>
      <w:r>
        <w:rPr>
          <w:spacing w:val="-1"/>
        </w:rPr>
        <w:t>implementation</w:t>
      </w:r>
      <w:r>
        <w:rPr>
          <w:spacing w:val="55"/>
        </w:rPr>
        <w:t xml:space="preserve"> </w:t>
      </w:r>
      <w:r>
        <w:rPr>
          <w:spacing w:val="-2"/>
        </w:rPr>
        <w:t>of</w:t>
      </w:r>
      <w:r>
        <w:rPr>
          <w:spacing w:val="59"/>
        </w:rPr>
        <w:t xml:space="preserve"> </w:t>
      </w:r>
      <w:r>
        <w:t>the</w:t>
      </w:r>
      <w:r>
        <w:rPr>
          <w:spacing w:val="53"/>
        </w:rPr>
        <w:t xml:space="preserve"> </w:t>
      </w:r>
      <w:r>
        <w:rPr>
          <w:spacing w:val="-2"/>
        </w:rPr>
        <w:t>Exit</w:t>
      </w:r>
      <w:r>
        <w:rPr>
          <w:spacing w:val="57"/>
        </w:rPr>
        <w:t xml:space="preserve"> </w:t>
      </w:r>
      <w:r>
        <w:rPr>
          <w:spacing w:val="-1"/>
        </w:rPr>
        <w:t>Plan,</w:t>
      </w:r>
      <w:r>
        <w:rPr>
          <w:spacing w:val="57"/>
        </w:rPr>
        <w:t xml:space="preserve"> </w:t>
      </w:r>
      <w:r>
        <w:t>the</w:t>
      </w:r>
      <w:r>
        <w:rPr>
          <w:spacing w:val="55"/>
        </w:rPr>
        <w:t xml:space="preserve"> </w:t>
      </w:r>
      <w:r>
        <w:rPr>
          <w:spacing w:val="-1"/>
        </w:rPr>
        <w:t>Termination</w:t>
      </w:r>
      <w:r>
        <w:rPr>
          <w:spacing w:val="56"/>
        </w:rPr>
        <w:t xml:space="preserve"> </w:t>
      </w:r>
      <w:r>
        <w:rPr>
          <w:spacing w:val="-1"/>
        </w:rPr>
        <w:t>Assistance</w:t>
      </w:r>
      <w:r>
        <w:rPr>
          <w:spacing w:val="56"/>
        </w:rPr>
        <w:t xml:space="preserve"> </w:t>
      </w:r>
      <w:r>
        <w:rPr>
          <w:spacing w:val="-1"/>
        </w:rPr>
        <w:t>and</w:t>
      </w:r>
      <w:r>
        <w:rPr>
          <w:spacing w:val="55"/>
        </w:rPr>
        <w:t xml:space="preserve"> </w:t>
      </w:r>
      <w:r>
        <w:rPr>
          <w:spacing w:val="-1"/>
        </w:rPr>
        <w:t>any</w:t>
      </w:r>
      <w:r>
        <w:rPr>
          <w:spacing w:val="53"/>
        </w:rPr>
        <w:t xml:space="preserve"> </w:t>
      </w:r>
      <w:r>
        <w:rPr>
          <w:spacing w:val="-2"/>
        </w:rPr>
        <w:t>activities</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spacing w:before="59"/>
        <w:ind w:left="828" w:right="125" w:firstLine="0"/>
      </w:pPr>
      <w:r>
        <w:rPr>
          <w:spacing w:val="-1"/>
        </w:rPr>
        <w:t>mutually</w:t>
      </w:r>
      <w:r>
        <w:rPr>
          <w:spacing w:val="5"/>
        </w:rPr>
        <w:t xml:space="preserve"> </w:t>
      </w:r>
      <w:r>
        <w:rPr>
          <w:spacing w:val="-1"/>
        </w:rPr>
        <w:t>agreed</w:t>
      </w:r>
      <w:r>
        <w:rPr>
          <w:spacing w:val="7"/>
        </w:rPr>
        <w:t xml:space="preserve"> </w:t>
      </w:r>
      <w:r>
        <w:rPr>
          <w:spacing w:val="-1"/>
        </w:rPr>
        <w:t>between</w:t>
      </w:r>
      <w:r>
        <w:rPr>
          <w:spacing w:val="7"/>
        </w:rPr>
        <w:t xml:space="preserve"> </w:t>
      </w:r>
      <w:r>
        <w:t>the</w:t>
      </w:r>
      <w:r>
        <w:rPr>
          <w:spacing w:val="7"/>
        </w:rPr>
        <w:t xml:space="preserve"> </w:t>
      </w:r>
      <w:r>
        <w:rPr>
          <w:spacing w:val="-1"/>
        </w:rPr>
        <w:t>Parties</w:t>
      </w:r>
      <w:r>
        <w:rPr>
          <w:spacing w:val="5"/>
        </w:rPr>
        <w:t xml:space="preserve"> </w:t>
      </w:r>
      <w:r>
        <w:t>to</w:t>
      </w:r>
      <w:r>
        <w:rPr>
          <w:spacing w:val="7"/>
        </w:rPr>
        <w:t xml:space="preserve"> </w:t>
      </w:r>
      <w:r>
        <w:rPr>
          <w:spacing w:val="-1"/>
        </w:rPr>
        <w:t>carry</w:t>
      </w:r>
      <w:r>
        <w:rPr>
          <w:spacing w:val="5"/>
        </w:rPr>
        <w:t xml:space="preserve"> </w:t>
      </w:r>
      <w:r>
        <w:rPr>
          <w:spacing w:val="-1"/>
        </w:rPr>
        <w:t>on</w:t>
      </w:r>
      <w:r>
        <w:rPr>
          <w:spacing w:val="5"/>
        </w:rPr>
        <w:t xml:space="preserve"> </w:t>
      </w:r>
      <w:r>
        <w:rPr>
          <w:spacing w:val="-1"/>
        </w:rPr>
        <w:t>after</w:t>
      </w:r>
      <w:r>
        <w:rPr>
          <w:spacing w:val="9"/>
        </w:rPr>
        <w:t xml:space="preserve"> </w:t>
      </w:r>
      <w:r>
        <w:t>the</w:t>
      </w:r>
      <w:r>
        <w:rPr>
          <w:spacing w:val="5"/>
        </w:rPr>
        <w:t xml:space="preserve"> </w:t>
      </w:r>
      <w:r>
        <w:rPr>
          <w:spacing w:val="-2"/>
        </w:rPr>
        <w:t>expiry</w:t>
      </w:r>
      <w:r>
        <w:rPr>
          <w:spacing w:val="5"/>
        </w:rPr>
        <w:t xml:space="preserve"> </w:t>
      </w:r>
      <w:r>
        <w:rPr>
          <w:spacing w:val="-1"/>
        </w:rPr>
        <w:t>of</w:t>
      </w:r>
      <w:r>
        <w:rPr>
          <w:spacing w:val="9"/>
        </w:rPr>
        <w:t xml:space="preserve"> </w:t>
      </w:r>
      <w:r>
        <w:t>the</w:t>
      </w:r>
      <w:r>
        <w:rPr>
          <w:spacing w:val="5"/>
        </w:rPr>
        <w:t xml:space="preserve"> </w:t>
      </w:r>
      <w:r>
        <w:rPr>
          <w:spacing w:val="-1"/>
        </w:rPr>
        <w:t>Termination</w:t>
      </w:r>
      <w:r>
        <w:rPr>
          <w:spacing w:val="41"/>
        </w:rPr>
        <w:t xml:space="preserve"> </w:t>
      </w:r>
      <w:r>
        <w:rPr>
          <w:spacing w:val="-1"/>
        </w:rPr>
        <w:t>Assistance</w:t>
      </w:r>
      <w:r>
        <w:rPr>
          <w:spacing w:val="1"/>
        </w:rPr>
        <w:t xml:space="preserve"> </w:t>
      </w:r>
      <w:r>
        <w:rPr>
          <w:spacing w:val="-2"/>
        </w:rPr>
        <w:t>Period.</w:t>
      </w:r>
    </w:p>
    <w:p w:rsidR="008918FA" w:rsidRDefault="008918FA" w:rsidP="008918FA">
      <w:pPr>
        <w:pStyle w:val="BodyText"/>
        <w:numPr>
          <w:ilvl w:val="0"/>
          <w:numId w:val="9"/>
        </w:numPr>
        <w:tabs>
          <w:tab w:val="left" w:pos="467"/>
        </w:tabs>
        <w:spacing w:before="120"/>
        <w:ind w:left="466"/>
        <w:rPr>
          <w:rFonts w:ascii="Times New Roman" w:eastAsia="Times New Roman" w:hAnsi="Times New Roman" w:cs="Times New Roman"/>
        </w:rPr>
      </w:pPr>
      <w:r>
        <w:rPr>
          <w:rFonts w:ascii="Times New Roman"/>
          <w:spacing w:val="-6"/>
        </w:rPr>
        <w:t>A</w:t>
      </w:r>
      <w:r>
        <w:rPr>
          <w:rFonts w:ascii="Times New Roman"/>
          <w:spacing w:val="26"/>
        </w:rPr>
        <w:t>P</w:t>
      </w:r>
      <w:r>
        <w:rPr>
          <w:rFonts w:ascii="Times New Roman"/>
          <w:spacing w:val="23"/>
        </w:rPr>
        <w:t>P</w:t>
      </w:r>
      <w:r>
        <w:rPr>
          <w:rFonts w:ascii="Times New Roman"/>
          <w:spacing w:val="13"/>
        </w:rPr>
        <w:t>OR</w:t>
      </w:r>
      <w:r>
        <w:rPr>
          <w:rFonts w:ascii="Times New Roman"/>
          <w:spacing w:val="-3"/>
        </w:rPr>
        <w:t>T</w:t>
      </w:r>
      <w:r>
        <w:rPr>
          <w:rFonts w:ascii="Times New Roman"/>
          <w:spacing w:val="-12"/>
        </w:rPr>
        <w:t>I</w:t>
      </w:r>
      <w:r>
        <w:rPr>
          <w:rFonts w:ascii="Times New Roman"/>
          <w:spacing w:val="13"/>
        </w:rPr>
        <w:t>O</w:t>
      </w:r>
      <w:r>
        <w:rPr>
          <w:rFonts w:ascii="Times New Roman"/>
          <w:spacing w:val="-2"/>
        </w:rPr>
        <w:t>N</w:t>
      </w:r>
      <w:r>
        <w:rPr>
          <w:rFonts w:ascii="Times New Roman"/>
          <w:spacing w:val="-12"/>
        </w:rPr>
        <w:t>M</w:t>
      </w:r>
      <w:r>
        <w:rPr>
          <w:rFonts w:ascii="Times New Roman"/>
          <w:spacing w:val="11"/>
        </w:rPr>
        <w:t>E</w:t>
      </w:r>
      <w:r>
        <w:rPr>
          <w:rFonts w:ascii="Times New Roman"/>
          <w:spacing w:val="-2"/>
        </w:rPr>
        <w:t>N</w:t>
      </w:r>
      <w:r>
        <w:rPr>
          <w:rFonts w:ascii="Times New Roman"/>
          <w:spacing w:val="-3"/>
        </w:rPr>
        <w:t>TS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9"/>
        </w:numPr>
        <w:tabs>
          <w:tab w:val="left" w:pos="1033"/>
        </w:tabs>
        <w:spacing w:before="0"/>
        <w:ind w:right="114"/>
        <w:jc w:val="both"/>
      </w:pPr>
      <w:bookmarkStart w:id="466" w:name="_bookmark385"/>
      <w:bookmarkEnd w:id="466"/>
      <w:r>
        <w:rPr>
          <w:spacing w:val="-1"/>
        </w:rPr>
        <w:t>All</w:t>
      </w:r>
      <w:r>
        <w:rPr>
          <w:spacing w:val="1"/>
        </w:rPr>
        <w:t xml:space="preserve"> </w:t>
      </w:r>
      <w:r>
        <w:rPr>
          <w:spacing w:val="-1"/>
        </w:rPr>
        <w:t>outgoings</w:t>
      </w:r>
      <w:r>
        <w:rPr>
          <w:spacing w:val="2"/>
        </w:rPr>
        <w:t xml:space="preserve"> </w:t>
      </w:r>
      <w:r>
        <w:rPr>
          <w:spacing w:val="-1"/>
        </w:rPr>
        <w:t>and</w:t>
      </w:r>
      <w:r>
        <w:rPr>
          <w:spacing w:val="60"/>
        </w:rPr>
        <w:t xml:space="preserve"> </w:t>
      </w:r>
      <w:r>
        <w:rPr>
          <w:spacing w:val="-1"/>
        </w:rPr>
        <w:t>expenses</w:t>
      </w:r>
      <w:r>
        <w:rPr>
          <w:spacing w:val="2"/>
        </w:rPr>
        <w:t xml:space="preserve"> </w:t>
      </w:r>
      <w:r>
        <w:rPr>
          <w:spacing w:val="-1"/>
        </w:rPr>
        <w:t>(including</w:t>
      </w:r>
      <w:r>
        <w:rPr>
          <w:spacing w:val="2"/>
        </w:rPr>
        <w:t xml:space="preserve"> </w:t>
      </w:r>
      <w:r>
        <w:rPr>
          <w:spacing w:val="-1"/>
        </w:rPr>
        <w:t>any</w:t>
      </w:r>
      <w:r>
        <w:t xml:space="preserve">  </w:t>
      </w:r>
      <w:r>
        <w:rPr>
          <w:spacing w:val="-1"/>
        </w:rPr>
        <w:t>remuneration</w:t>
      </w:r>
      <w:r>
        <w:rPr>
          <w:spacing w:val="2"/>
        </w:rPr>
        <w:t xml:space="preserve"> </w:t>
      </w:r>
      <w:r>
        <w:rPr>
          <w:spacing w:val="-1"/>
        </w:rPr>
        <w:t>due)</w:t>
      </w:r>
      <w:r>
        <w:t xml:space="preserve">  </w:t>
      </w:r>
      <w:r>
        <w:rPr>
          <w:spacing w:val="-1"/>
        </w:rPr>
        <w:t>and</w:t>
      </w:r>
      <w:r>
        <w:rPr>
          <w:spacing w:val="2"/>
        </w:rPr>
        <w:t xml:space="preserve"> </w:t>
      </w:r>
      <w:r>
        <w:rPr>
          <w:spacing w:val="-2"/>
        </w:rPr>
        <w:t>all</w:t>
      </w:r>
      <w:r>
        <w:rPr>
          <w:spacing w:val="1"/>
        </w:rPr>
        <w:t xml:space="preserve"> </w:t>
      </w:r>
      <w:r>
        <w:rPr>
          <w:spacing w:val="-1"/>
        </w:rPr>
        <w:t>rents,</w:t>
      </w:r>
      <w:r>
        <w:rPr>
          <w:spacing w:val="31"/>
        </w:rPr>
        <w:t xml:space="preserve"> </w:t>
      </w:r>
      <w:r>
        <w:rPr>
          <w:spacing w:val="-1"/>
        </w:rPr>
        <w:t>royalties</w:t>
      </w:r>
      <w:r>
        <w:rPr>
          <w:spacing w:val="34"/>
        </w:rPr>
        <w:t xml:space="preserve"> </w:t>
      </w:r>
      <w:r>
        <w:rPr>
          <w:spacing w:val="-1"/>
        </w:rPr>
        <w:t>and</w:t>
      </w:r>
      <w:r>
        <w:rPr>
          <w:spacing w:val="34"/>
        </w:rPr>
        <w:t xml:space="preserve"> </w:t>
      </w:r>
      <w:r>
        <w:rPr>
          <w:spacing w:val="-1"/>
        </w:rPr>
        <w:t>other</w:t>
      </w:r>
      <w:r>
        <w:rPr>
          <w:spacing w:val="35"/>
        </w:rPr>
        <w:t xml:space="preserve"> </w:t>
      </w:r>
      <w:r>
        <w:rPr>
          <w:spacing w:val="-1"/>
        </w:rPr>
        <w:t>periodical</w:t>
      </w:r>
      <w:r>
        <w:rPr>
          <w:spacing w:val="33"/>
        </w:rPr>
        <w:t xml:space="preserve"> </w:t>
      </w:r>
      <w:r>
        <w:rPr>
          <w:spacing w:val="-1"/>
        </w:rPr>
        <w:t>payments</w:t>
      </w:r>
      <w:r>
        <w:rPr>
          <w:spacing w:val="34"/>
        </w:rPr>
        <w:t xml:space="preserve"> </w:t>
      </w:r>
      <w:r>
        <w:rPr>
          <w:spacing w:val="-2"/>
        </w:rPr>
        <w:t>receivable</w:t>
      </w:r>
      <w:r>
        <w:rPr>
          <w:spacing w:val="34"/>
        </w:rPr>
        <w:t xml:space="preserve"> </w:t>
      </w:r>
      <w:r>
        <w:rPr>
          <w:spacing w:val="-1"/>
        </w:rPr>
        <w:t>in</w:t>
      </w:r>
      <w:r>
        <w:rPr>
          <w:spacing w:val="35"/>
        </w:rPr>
        <w:t xml:space="preserve"> </w:t>
      </w:r>
      <w:r>
        <w:rPr>
          <w:spacing w:val="-1"/>
        </w:rPr>
        <w:t>respect</w:t>
      </w:r>
      <w:r>
        <w:rPr>
          <w:spacing w:val="36"/>
        </w:rPr>
        <w:t xml:space="preserve"> </w:t>
      </w:r>
      <w:r>
        <w:rPr>
          <w:spacing w:val="-1"/>
        </w:rPr>
        <w:t>of</w:t>
      </w:r>
      <w:r>
        <w:rPr>
          <w:spacing w:val="38"/>
        </w:rPr>
        <w:t xml:space="preserve"> </w:t>
      </w:r>
      <w:r>
        <w:t>the</w:t>
      </w:r>
      <w:r>
        <w:rPr>
          <w:spacing w:val="31"/>
        </w:rPr>
        <w:t xml:space="preserve"> </w:t>
      </w:r>
      <w:r>
        <w:rPr>
          <w:spacing w:val="-1"/>
        </w:rPr>
        <w:t>Transferring</w:t>
      </w:r>
      <w:r>
        <w:rPr>
          <w:spacing w:val="46"/>
        </w:rPr>
        <w:t xml:space="preserve"> </w:t>
      </w:r>
      <w:r>
        <w:rPr>
          <w:spacing w:val="-1"/>
        </w:rPr>
        <w:t>Assets</w:t>
      </w:r>
      <w:r>
        <w:rPr>
          <w:spacing w:val="3"/>
        </w:rPr>
        <w:t xml:space="preserve"> </w:t>
      </w:r>
      <w:r>
        <w:rPr>
          <w:spacing w:val="-1"/>
        </w:rPr>
        <w:t>and</w:t>
      </w:r>
      <w:r>
        <w:t xml:space="preserve"> </w:t>
      </w:r>
      <w:r>
        <w:rPr>
          <w:spacing w:val="-1"/>
        </w:rPr>
        <w:t>Transferring</w:t>
      </w:r>
      <w:r>
        <w:rPr>
          <w:spacing w:val="3"/>
        </w:rPr>
        <w:t xml:space="preserve"> </w:t>
      </w:r>
      <w:r>
        <w:rPr>
          <w:spacing w:val="-1"/>
        </w:rPr>
        <w:t>Contracts</w:t>
      </w:r>
      <w:r>
        <w:rPr>
          <w:spacing w:val="3"/>
        </w:rPr>
        <w:t xml:space="preserve"> </w:t>
      </w:r>
      <w:r>
        <w:rPr>
          <w:spacing w:val="-1"/>
        </w:rPr>
        <w:t>shall</w:t>
      </w:r>
      <w:r>
        <w:rPr>
          <w:spacing w:val="2"/>
        </w:rPr>
        <w:t xml:space="preserve"> </w:t>
      </w:r>
      <w:r>
        <w:rPr>
          <w:spacing w:val="-1"/>
        </w:rPr>
        <w:t>be</w:t>
      </w:r>
      <w:r>
        <w:rPr>
          <w:spacing w:val="3"/>
        </w:rPr>
        <w:t xml:space="preserve"> </w:t>
      </w:r>
      <w:r>
        <w:rPr>
          <w:spacing w:val="-1"/>
        </w:rPr>
        <w:t>apportioned</w:t>
      </w:r>
      <w:r>
        <w:rPr>
          <w:spacing w:val="3"/>
        </w:rPr>
        <w:t xml:space="preserve"> </w:t>
      </w:r>
      <w:r>
        <w:rPr>
          <w:spacing w:val="-1"/>
        </w:rPr>
        <w:t>between</w:t>
      </w:r>
      <w:r>
        <w:rPr>
          <w:spacing w:val="3"/>
        </w:rPr>
        <w:t xml:space="preserve"> </w:t>
      </w:r>
      <w:r>
        <w:t>the</w:t>
      </w:r>
      <w:r>
        <w:rPr>
          <w:spacing w:val="3"/>
        </w:rPr>
        <w:t xml:space="preserve"> </w:t>
      </w:r>
      <w:r>
        <w:rPr>
          <w:spacing w:val="-1"/>
        </w:rPr>
        <w:t>Customer</w:t>
      </w:r>
      <w:r>
        <w:rPr>
          <w:spacing w:val="4"/>
        </w:rPr>
        <w:t xml:space="preserve"> </w:t>
      </w:r>
      <w:r>
        <w:rPr>
          <w:spacing w:val="-2"/>
        </w:rPr>
        <w:t>and</w:t>
      </w:r>
      <w:r>
        <w:rPr>
          <w:spacing w:val="41"/>
        </w:rPr>
        <w:t xml:space="preserve"> </w:t>
      </w:r>
      <w:r>
        <w:t>the</w:t>
      </w:r>
      <w:r>
        <w:rPr>
          <w:spacing w:val="20"/>
        </w:rPr>
        <w:t xml:space="preserve"> </w:t>
      </w:r>
      <w:r>
        <w:rPr>
          <w:spacing w:val="-2"/>
        </w:rPr>
        <w:t>Supplier</w:t>
      </w:r>
      <w:r>
        <w:rPr>
          <w:spacing w:val="21"/>
        </w:rPr>
        <w:t xml:space="preserve"> </w:t>
      </w:r>
      <w:r>
        <w:rPr>
          <w:spacing w:val="-1"/>
        </w:rPr>
        <w:t>and/or</w:t>
      </w:r>
      <w:r>
        <w:rPr>
          <w:spacing w:val="21"/>
        </w:rPr>
        <w:t xml:space="preserve"> </w:t>
      </w:r>
      <w:r>
        <w:t>the</w:t>
      </w:r>
      <w:r>
        <w:rPr>
          <w:spacing w:val="17"/>
        </w:rPr>
        <w:t xml:space="preserve"> </w:t>
      </w:r>
      <w:r>
        <w:rPr>
          <w:spacing w:val="-1"/>
        </w:rPr>
        <w:t>Replacement</w:t>
      </w:r>
      <w:r>
        <w:rPr>
          <w:spacing w:val="21"/>
        </w:rPr>
        <w:t xml:space="preserve"> </w:t>
      </w:r>
      <w:r>
        <w:rPr>
          <w:spacing w:val="-2"/>
        </w:rPr>
        <w:t>Supplier</w:t>
      </w:r>
      <w:r>
        <w:rPr>
          <w:spacing w:val="21"/>
        </w:rPr>
        <w:t xml:space="preserve"> </w:t>
      </w:r>
      <w:r>
        <w:rPr>
          <w:spacing w:val="-2"/>
        </w:rPr>
        <w:t>and</w:t>
      </w:r>
      <w:r>
        <w:rPr>
          <w:spacing w:val="20"/>
        </w:rPr>
        <w:t xml:space="preserve"> </w:t>
      </w:r>
      <w:r>
        <w:t>the</w:t>
      </w:r>
      <w:r>
        <w:rPr>
          <w:spacing w:val="20"/>
        </w:rPr>
        <w:t xml:space="preserve"> </w:t>
      </w:r>
      <w:r>
        <w:rPr>
          <w:spacing w:val="-2"/>
        </w:rPr>
        <w:t>Supplier</w:t>
      </w:r>
      <w:r>
        <w:rPr>
          <w:spacing w:val="21"/>
        </w:rPr>
        <w:t xml:space="preserve"> </w:t>
      </w:r>
      <w:r>
        <w:rPr>
          <w:spacing w:val="-1"/>
        </w:rPr>
        <w:t>(as</w:t>
      </w:r>
      <w:r>
        <w:rPr>
          <w:spacing w:val="20"/>
        </w:rPr>
        <w:t xml:space="preserve"> </w:t>
      </w:r>
      <w:r>
        <w:rPr>
          <w:spacing w:val="-2"/>
        </w:rPr>
        <w:t>applicable)</w:t>
      </w:r>
      <w:r>
        <w:rPr>
          <w:spacing w:val="21"/>
        </w:rPr>
        <w:t xml:space="preserve"> </w:t>
      </w:r>
      <w:r>
        <w:rPr>
          <w:spacing w:val="-1"/>
        </w:rPr>
        <w:t>as</w:t>
      </w:r>
      <w:r>
        <w:rPr>
          <w:spacing w:val="72"/>
        </w:rPr>
        <w:t xml:space="preserve"> </w:t>
      </w:r>
      <w:r>
        <w:rPr>
          <w:spacing w:val="-2"/>
        </w:rPr>
        <w:t>follows:</w:t>
      </w:r>
    </w:p>
    <w:p w:rsidR="008918FA" w:rsidRDefault="008918FA" w:rsidP="008918FA">
      <w:pPr>
        <w:pStyle w:val="BodyText"/>
        <w:numPr>
          <w:ilvl w:val="2"/>
          <w:numId w:val="9"/>
        </w:numPr>
        <w:tabs>
          <w:tab w:val="left" w:pos="2027"/>
        </w:tabs>
        <w:ind w:left="2026" w:right="118"/>
        <w:jc w:val="both"/>
      </w:pPr>
      <w:r>
        <w:t>the</w:t>
      </w:r>
      <w:r>
        <w:rPr>
          <w:spacing w:val="24"/>
        </w:rPr>
        <w:t xml:space="preserve"> </w:t>
      </w:r>
      <w:r>
        <w:rPr>
          <w:spacing w:val="-1"/>
        </w:rPr>
        <w:t>amounts</w:t>
      </w:r>
      <w:r>
        <w:rPr>
          <w:spacing w:val="25"/>
        </w:rPr>
        <w:t xml:space="preserve"> </w:t>
      </w:r>
      <w:r>
        <w:rPr>
          <w:spacing w:val="-1"/>
        </w:rPr>
        <w:t>shall</w:t>
      </w:r>
      <w:r>
        <w:rPr>
          <w:spacing w:val="24"/>
        </w:rPr>
        <w:t xml:space="preserve"> </w:t>
      </w:r>
      <w:r>
        <w:rPr>
          <w:spacing w:val="-1"/>
        </w:rPr>
        <w:t>be</w:t>
      </w:r>
      <w:r>
        <w:rPr>
          <w:spacing w:val="24"/>
        </w:rPr>
        <w:t xml:space="preserve"> </w:t>
      </w:r>
      <w:r>
        <w:rPr>
          <w:spacing w:val="-1"/>
        </w:rPr>
        <w:t>annualised</w:t>
      </w:r>
      <w:r>
        <w:rPr>
          <w:spacing w:val="24"/>
        </w:rPr>
        <w:t xml:space="preserve"> </w:t>
      </w:r>
      <w:r>
        <w:rPr>
          <w:spacing w:val="-1"/>
        </w:rPr>
        <w:t>and</w:t>
      </w:r>
      <w:r>
        <w:rPr>
          <w:spacing w:val="24"/>
        </w:rPr>
        <w:t xml:space="preserve"> </w:t>
      </w:r>
      <w:r>
        <w:rPr>
          <w:spacing w:val="-1"/>
        </w:rPr>
        <w:t>divided</w:t>
      </w:r>
      <w:r>
        <w:rPr>
          <w:spacing w:val="24"/>
        </w:rPr>
        <w:t xml:space="preserve"> </w:t>
      </w:r>
      <w:r>
        <w:rPr>
          <w:spacing w:val="1"/>
        </w:rPr>
        <w:t>by</w:t>
      </w:r>
      <w:r>
        <w:rPr>
          <w:spacing w:val="25"/>
        </w:rPr>
        <w:t xml:space="preserve"> </w:t>
      </w:r>
      <w:r>
        <w:rPr>
          <w:spacing w:val="-1"/>
        </w:rPr>
        <w:t>365</w:t>
      </w:r>
      <w:r>
        <w:rPr>
          <w:spacing w:val="24"/>
        </w:rPr>
        <w:t xml:space="preserve"> </w:t>
      </w:r>
      <w:r>
        <w:t>to</w:t>
      </w:r>
      <w:r>
        <w:rPr>
          <w:spacing w:val="24"/>
        </w:rPr>
        <w:t xml:space="preserve"> </w:t>
      </w:r>
      <w:r>
        <w:rPr>
          <w:spacing w:val="-1"/>
        </w:rPr>
        <w:t>reach</w:t>
      </w:r>
      <w:r>
        <w:rPr>
          <w:spacing w:val="25"/>
        </w:rPr>
        <w:t xml:space="preserve"> </w:t>
      </w:r>
      <w:r>
        <w:t>a</w:t>
      </w:r>
      <w:r>
        <w:rPr>
          <w:spacing w:val="24"/>
        </w:rPr>
        <w:t xml:space="preserve"> </w:t>
      </w:r>
      <w:r>
        <w:rPr>
          <w:spacing w:val="-2"/>
        </w:rPr>
        <w:t>daily</w:t>
      </w:r>
      <w:r>
        <w:rPr>
          <w:spacing w:val="27"/>
        </w:rPr>
        <w:t xml:space="preserve"> </w:t>
      </w:r>
      <w:r>
        <w:rPr>
          <w:spacing w:val="-2"/>
        </w:rPr>
        <w:t>rate;</w:t>
      </w:r>
    </w:p>
    <w:p w:rsidR="008918FA" w:rsidRDefault="008918FA" w:rsidP="008918FA">
      <w:pPr>
        <w:pStyle w:val="BodyText"/>
        <w:numPr>
          <w:ilvl w:val="2"/>
          <w:numId w:val="9"/>
        </w:numPr>
        <w:tabs>
          <w:tab w:val="left" w:pos="2027"/>
        </w:tabs>
        <w:ind w:left="2026" w:right="113"/>
        <w:jc w:val="both"/>
      </w:pPr>
      <w:r>
        <w:t>the</w:t>
      </w:r>
      <w:r>
        <w:rPr>
          <w:spacing w:val="21"/>
        </w:rPr>
        <w:t xml:space="preserve"> </w:t>
      </w:r>
      <w:r>
        <w:rPr>
          <w:spacing w:val="-1"/>
        </w:rPr>
        <w:t>Customer</w:t>
      </w:r>
      <w:r>
        <w:rPr>
          <w:spacing w:val="22"/>
        </w:rPr>
        <w:t xml:space="preserve"> </w:t>
      </w:r>
      <w:r>
        <w:rPr>
          <w:spacing w:val="-1"/>
        </w:rPr>
        <w:t>shall</w:t>
      </w:r>
      <w:r>
        <w:rPr>
          <w:spacing w:val="20"/>
        </w:rPr>
        <w:t xml:space="preserve"> </w:t>
      </w:r>
      <w:r>
        <w:rPr>
          <w:spacing w:val="-1"/>
        </w:rPr>
        <w:t>be</w:t>
      </w:r>
      <w:r>
        <w:rPr>
          <w:spacing w:val="21"/>
        </w:rPr>
        <w:t xml:space="preserve"> </w:t>
      </w:r>
      <w:r>
        <w:rPr>
          <w:spacing w:val="-1"/>
        </w:rPr>
        <w:t>responsible</w:t>
      </w:r>
      <w:r>
        <w:rPr>
          <w:spacing w:val="21"/>
        </w:rPr>
        <w:t xml:space="preserve"> </w:t>
      </w:r>
      <w:r>
        <w:t>for</w:t>
      </w:r>
      <w:r>
        <w:rPr>
          <w:spacing w:val="22"/>
        </w:rPr>
        <w:t xml:space="preserve"> </w:t>
      </w:r>
      <w:r>
        <w:rPr>
          <w:spacing w:val="-1"/>
        </w:rPr>
        <w:t>(or</w:t>
      </w:r>
      <w:r>
        <w:rPr>
          <w:spacing w:val="22"/>
        </w:rPr>
        <w:t xml:space="preserve"> </w:t>
      </w:r>
      <w:r>
        <w:rPr>
          <w:spacing w:val="-2"/>
        </w:rPr>
        <w:t>shall</w:t>
      </w:r>
      <w:r>
        <w:rPr>
          <w:spacing w:val="20"/>
        </w:rPr>
        <w:t xml:space="preserve"> </w:t>
      </w:r>
      <w:r>
        <w:rPr>
          <w:spacing w:val="-1"/>
        </w:rPr>
        <w:t>procure</w:t>
      </w:r>
      <w:r>
        <w:rPr>
          <w:spacing w:val="21"/>
        </w:rPr>
        <w:t xml:space="preserve"> </w:t>
      </w:r>
      <w:r>
        <w:rPr>
          <w:spacing w:val="-1"/>
        </w:rPr>
        <w:t>that</w:t>
      </w:r>
      <w:r>
        <w:rPr>
          <w:spacing w:val="20"/>
        </w:rPr>
        <w:t xml:space="preserve"> </w:t>
      </w:r>
      <w:r>
        <w:rPr>
          <w:spacing w:val="-1"/>
        </w:rPr>
        <w:t>the</w:t>
      </w:r>
      <w:r>
        <w:rPr>
          <w:spacing w:val="34"/>
        </w:rPr>
        <w:t xml:space="preserve"> </w:t>
      </w:r>
      <w:r>
        <w:rPr>
          <w:spacing w:val="-1"/>
        </w:rPr>
        <w:t>Replacement</w:t>
      </w:r>
      <w:r>
        <w:rPr>
          <w:spacing w:val="35"/>
        </w:rPr>
        <w:t xml:space="preserve"> </w:t>
      </w:r>
      <w:r>
        <w:rPr>
          <w:spacing w:val="-2"/>
        </w:rPr>
        <w:t>Supplier</w:t>
      </w:r>
      <w:r>
        <w:rPr>
          <w:spacing w:val="35"/>
        </w:rPr>
        <w:t xml:space="preserve"> </w:t>
      </w:r>
      <w:r>
        <w:rPr>
          <w:spacing w:val="-1"/>
        </w:rPr>
        <w:t>shall</w:t>
      </w:r>
      <w:r>
        <w:rPr>
          <w:spacing w:val="33"/>
        </w:rPr>
        <w:t xml:space="preserve"> </w:t>
      </w:r>
      <w:r>
        <w:rPr>
          <w:spacing w:val="-1"/>
        </w:rPr>
        <w:t>be</w:t>
      </w:r>
      <w:r>
        <w:rPr>
          <w:spacing w:val="34"/>
        </w:rPr>
        <w:t xml:space="preserve"> </w:t>
      </w:r>
      <w:r>
        <w:rPr>
          <w:spacing w:val="-1"/>
        </w:rPr>
        <w:t>responsible</w:t>
      </w:r>
      <w:r>
        <w:rPr>
          <w:spacing w:val="34"/>
        </w:rPr>
        <w:t xml:space="preserve"> </w:t>
      </w:r>
      <w:r>
        <w:t>for)</w:t>
      </w:r>
      <w:r>
        <w:rPr>
          <w:spacing w:val="33"/>
        </w:rPr>
        <w:t xml:space="preserve"> </w:t>
      </w:r>
      <w:r>
        <w:rPr>
          <w:spacing w:val="-1"/>
        </w:rPr>
        <w:t>or</w:t>
      </w:r>
      <w:r>
        <w:rPr>
          <w:spacing w:val="36"/>
        </w:rPr>
        <w:t xml:space="preserve"> </w:t>
      </w:r>
      <w:r>
        <w:rPr>
          <w:spacing w:val="-1"/>
        </w:rPr>
        <w:t>entitled</w:t>
      </w:r>
      <w:r>
        <w:rPr>
          <w:spacing w:val="34"/>
        </w:rPr>
        <w:t xml:space="preserve"> </w:t>
      </w:r>
      <w:r>
        <w:t>to</w:t>
      </w:r>
      <w:r>
        <w:rPr>
          <w:spacing w:val="34"/>
        </w:rPr>
        <w:t xml:space="preserve"> </w:t>
      </w:r>
      <w:r>
        <w:rPr>
          <w:spacing w:val="-1"/>
        </w:rPr>
        <w:t>(as</w:t>
      </w:r>
      <w:r>
        <w:rPr>
          <w:spacing w:val="34"/>
        </w:rPr>
        <w:t xml:space="preserve"> </w:t>
      </w:r>
      <w:r>
        <w:rPr>
          <w:spacing w:val="-1"/>
        </w:rPr>
        <w:t>the</w:t>
      </w:r>
      <w:r>
        <w:rPr>
          <w:spacing w:val="46"/>
        </w:rPr>
        <w:t xml:space="preserve"> </w:t>
      </w:r>
      <w:r>
        <w:rPr>
          <w:spacing w:val="-1"/>
        </w:rPr>
        <w:t>case</w:t>
      </w:r>
      <w:r>
        <w:rPr>
          <w:spacing w:val="53"/>
        </w:rPr>
        <w:t xml:space="preserve"> </w:t>
      </w:r>
      <w:r>
        <w:rPr>
          <w:spacing w:val="-1"/>
        </w:rPr>
        <w:t>may</w:t>
      </w:r>
      <w:r>
        <w:rPr>
          <w:spacing w:val="51"/>
        </w:rPr>
        <w:t xml:space="preserve"> </w:t>
      </w:r>
      <w:r>
        <w:rPr>
          <w:spacing w:val="-1"/>
        </w:rPr>
        <w:t>be)</w:t>
      </w:r>
      <w:r>
        <w:rPr>
          <w:spacing w:val="52"/>
        </w:rPr>
        <w:t xml:space="preserve"> </w:t>
      </w:r>
      <w:r>
        <w:rPr>
          <w:spacing w:val="-1"/>
        </w:rPr>
        <w:t>that</w:t>
      </w:r>
      <w:r>
        <w:rPr>
          <w:spacing w:val="55"/>
        </w:rPr>
        <w:t xml:space="preserve"> </w:t>
      </w:r>
      <w:r>
        <w:rPr>
          <w:spacing w:val="-1"/>
        </w:rPr>
        <w:t>part</w:t>
      </w:r>
      <w:r>
        <w:rPr>
          <w:spacing w:val="52"/>
        </w:rPr>
        <w:t xml:space="preserve"> </w:t>
      </w:r>
      <w:r>
        <w:rPr>
          <w:spacing w:val="-2"/>
        </w:rPr>
        <w:t>of</w:t>
      </w:r>
      <w:r>
        <w:rPr>
          <w:spacing w:val="54"/>
        </w:rPr>
        <w:t xml:space="preserve"> </w:t>
      </w:r>
      <w:r>
        <w:t>the</w:t>
      </w:r>
      <w:r>
        <w:rPr>
          <w:spacing w:val="54"/>
        </w:rPr>
        <w:t xml:space="preserve"> </w:t>
      </w:r>
      <w:r>
        <w:rPr>
          <w:spacing w:val="-2"/>
        </w:rPr>
        <w:t>value</w:t>
      </w:r>
      <w:r>
        <w:rPr>
          <w:spacing w:val="53"/>
        </w:rPr>
        <w:t xml:space="preserve"> </w:t>
      </w:r>
      <w:r>
        <w:rPr>
          <w:spacing w:val="-2"/>
        </w:rPr>
        <w:t>of</w:t>
      </w:r>
      <w:r>
        <w:rPr>
          <w:spacing w:val="57"/>
        </w:rPr>
        <w:t xml:space="preserve"> </w:t>
      </w:r>
      <w:r>
        <w:rPr>
          <w:spacing w:val="-1"/>
        </w:rPr>
        <w:t>the</w:t>
      </w:r>
      <w:r>
        <w:rPr>
          <w:spacing w:val="53"/>
        </w:rPr>
        <w:t xml:space="preserve"> </w:t>
      </w:r>
      <w:r>
        <w:rPr>
          <w:spacing w:val="-2"/>
        </w:rPr>
        <w:t>invoice</w:t>
      </w:r>
      <w:r>
        <w:rPr>
          <w:spacing w:val="53"/>
        </w:rPr>
        <w:t xml:space="preserve"> </w:t>
      </w:r>
      <w:r>
        <w:rPr>
          <w:spacing w:val="-1"/>
        </w:rPr>
        <w:t>pro</w:t>
      </w:r>
      <w:r>
        <w:rPr>
          <w:spacing w:val="53"/>
        </w:rPr>
        <w:t xml:space="preserve"> </w:t>
      </w:r>
      <w:r>
        <w:t>rata</w:t>
      </w:r>
      <w:r>
        <w:rPr>
          <w:spacing w:val="52"/>
        </w:rPr>
        <w:t xml:space="preserve"> </w:t>
      </w:r>
      <w:r>
        <w:t>to</w:t>
      </w:r>
      <w:r>
        <w:rPr>
          <w:spacing w:val="51"/>
        </w:rPr>
        <w:t xml:space="preserve"> </w:t>
      </w:r>
      <w:r>
        <w:rPr>
          <w:spacing w:val="-1"/>
        </w:rPr>
        <w:t>the</w:t>
      </w:r>
      <w:r>
        <w:rPr>
          <w:spacing w:val="42"/>
        </w:rPr>
        <w:t xml:space="preserve"> </w:t>
      </w:r>
      <w:r>
        <w:rPr>
          <w:spacing w:val="-1"/>
        </w:rPr>
        <w:t>number</w:t>
      </w:r>
      <w:r>
        <w:rPr>
          <w:spacing w:val="14"/>
        </w:rPr>
        <w:t xml:space="preserve"> </w:t>
      </w:r>
      <w:r>
        <w:rPr>
          <w:spacing w:val="-2"/>
        </w:rPr>
        <w:t>of</w:t>
      </w:r>
      <w:r>
        <w:rPr>
          <w:spacing w:val="14"/>
        </w:rPr>
        <w:t xml:space="preserve"> </w:t>
      </w:r>
      <w:r>
        <w:rPr>
          <w:spacing w:val="-1"/>
        </w:rPr>
        <w:t>complete</w:t>
      </w:r>
      <w:r>
        <w:rPr>
          <w:spacing w:val="12"/>
        </w:rPr>
        <w:t xml:space="preserve"> </w:t>
      </w:r>
      <w:r>
        <w:rPr>
          <w:spacing w:val="-2"/>
        </w:rPr>
        <w:t>days</w:t>
      </w:r>
      <w:r>
        <w:rPr>
          <w:spacing w:val="10"/>
        </w:rPr>
        <w:t xml:space="preserve"> </w:t>
      </w:r>
      <w:r>
        <w:rPr>
          <w:spacing w:val="-1"/>
        </w:rPr>
        <w:t>following</w:t>
      </w:r>
      <w:r>
        <w:rPr>
          <w:spacing w:val="15"/>
        </w:rPr>
        <w:t xml:space="preserve"> </w:t>
      </w:r>
      <w:r>
        <w:t>the</w:t>
      </w:r>
      <w:r>
        <w:rPr>
          <w:spacing w:val="12"/>
        </w:rPr>
        <w:t xml:space="preserve"> </w:t>
      </w:r>
      <w:r>
        <w:rPr>
          <w:spacing w:val="-1"/>
        </w:rPr>
        <w:t>transfer,</w:t>
      </w:r>
      <w:r>
        <w:rPr>
          <w:spacing w:val="11"/>
        </w:rPr>
        <w:t xml:space="preserve"> </w:t>
      </w:r>
      <w:r>
        <w:rPr>
          <w:spacing w:val="-1"/>
        </w:rPr>
        <w:t>multiplied</w:t>
      </w:r>
      <w:r>
        <w:rPr>
          <w:spacing w:val="12"/>
        </w:rPr>
        <w:t xml:space="preserve"> </w:t>
      </w:r>
      <w:r>
        <w:rPr>
          <w:spacing w:val="-1"/>
        </w:rPr>
        <w:t>by</w:t>
      </w:r>
      <w:r>
        <w:rPr>
          <w:spacing w:val="10"/>
        </w:rPr>
        <w:t xml:space="preserve"> </w:t>
      </w:r>
      <w:r>
        <w:t>the</w:t>
      </w:r>
      <w:r>
        <w:rPr>
          <w:spacing w:val="12"/>
        </w:rPr>
        <w:t xml:space="preserve"> </w:t>
      </w:r>
      <w:r>
        <w:rPr>
          <w:spacing w:val="-1"/>
        </w:rPr>
        <w:t>daily</w:t>
      </w:r>
      <w:r>
        <w:rPr>
          <w:spacing w:val="33"/>
        </w:rPr>
        <w:t xml:space="preserve"> </w:t>
      </w:r>
      <w:r>
        <w:rPr>
          <w:spacing w:val="-1"/>
        </w:rPr>
        <w:t>rate;</w:t>
      </w:r>
      <w:r>
        <w:rPr>
          <w:spacing w:val="2"/>
        </w:rPr>
        <w:t xml:space="preserve"> </w:t>
      </w:r>
      <w:r>
        <w:rPr>
          <w:spacing w:val="-1"/>
        </w:rPr>
        <w:t>and</w:t>
      </w:r>
    </w:p>
    <w:p w:rsidR="008918FA" w:rsidRDefault="008918FA" w:rsidP="008918FA">
      <w:pPr>
        <w:pStyle w:val="BodyText"/>
        <w:numPr>
          <w:ilvl w:val="2"/>
          <w:numId w:val="9"/>
        </w:numPr>
        <w:tabs>
          <w:tab w:val="left" w:pos="2027"/>
        </w:tabs>
        <w:ind w:left="2026" w:right="117"/>
        <w:jc w:val="both"/>
      </w:pPr>
      <w:r>
        <w:t>the</w:t>
      </w:r>
      <w:r>
        <w:rPr>
          <w:spacing w:val="3"/>
        </w:rPr>
        <w:t xml:space="preserve"> </w:t>
      </w:r>
      <w:r>
        <w:rPr>
          <w:spacing w:val="-2"/>
        </w:rPr>
        <w:t>Supplier</w:t>
      </w:r>
      <w:r>
        <w:rPr>
          <w:spacing w:val="4"/>
        </w:rPr>
        <w:t xml:space="preserve"> </w:t>
      </w:r>
      <w:r>
        <w:rPr>
          <w:spacing w:val="-1"/>
        </w:rPr>
        <w:t>shall</w:t>
      </w:r>
      <w:r>
        <w:rPr>
          <w:spacing w:val="2"/>
        </w:rPr>
        <w:t xml:space="preserve"> </w:t>
      </w:r>
      <w:r>
        <w:rPr>
          <w:spacing w:val="-1"/>
        </w:rPr>
        <w:t>be</w:t>
      </w:r>
      <w:r>
        <w:rPr>
          <w:spacing w:val="3"/>
        </w:rPr>
        <w:t xml:space="preserve"> </w:t>
      </w:r>
      <w:r>
        <w:rPr>
          <w:spacing w:val="-2"/>
        </w:rPr>
        <w:t>responsible</w:t>
      </w:r>
      <w:r>
        <w:rPr>
          <w:spacing w:val="3"/>
        </w:rPr>
        <w:t xml:space="preserve"> </w:t>
      </w:r>
      <w:r>
        <w:t>for</w:t>
      </w:r>
      <w:r>
        <w:rPr>
          <w:spacing w:val="4"/>
        </w:rPr>
        <w:t xml:space="preserve"> </w:t>
      </w:r>
      <w:r>
        <w:rPr>
          <w:spacing w:val="-2"/>
        </w:rPr>
        <w:t>or</w:t>
      </w:r>
      <w:r>
        <w:rPr>
          <w:spacing w:val="4"/>
        </w:rPr>
        <w:t xml:space="preserve"> </w:t>
      </w:r>
      <w:r>
        <w:rPr>
          <w:spacing w:val="-1"/>
        </w:rPr>
        <w:t>entitled</w:t>
      </w:r>
      <w:r>
        <w:rPr>
          <w:spacing w:val="3"/>
        </w:rPr>
        <w:t xml:space="preserve"> </w:t>
      </w:r>
      <w:r>
        <w:t xml:space="preserve">to </w:t>
      </w:r>
      <w:r>
        <w:rPr>
          <w:spacing w:val="-1"/>
        </w:rPr>
        <w:t>(as</w:t>
      </w:r>
      <w:r>
        <w:rPr>
          <w:spacing w:val="1"/>
        </w:rPr>
        <w:t xml:space="preserve"> </w:t>
      </w:r>
      <w:r>
        <w:t>the</w:t>
      </w:r>
      <w:r>
        <w:rPr>
          <w:spacing w:val="3"/>
        </w:rPr>
        <w:t xml:space="preserve"> </w:t>
      </w:r>
      <w:r>
        <w:rPr>
          <w:spacing w:val="-1"/>
        </w:rPr>
        <w:t>case</w:t>
      </w:r>
      <w:r>
        <w:rPr>
          <w:spacing w:val="1"/>
        </w:rPr>
        <w:t xml:space="preserve"> </w:t>
      </w:r>
      <w:r>
        <w:rPr>
          <w:spacing w:val="-1"/>
        </w:rPr>
        <w:t>may</w:t>
      </w:r>
      <w:r>
        <w:rPr>
          <w:spacing w:val="1"/>
        </w:rPr>
        <w:t xml:space="preserve"> </w:t>
      </w:r>
      <w:r>
        <w:rPr>
          <w:spacing w:val="-1"/>
        </w:rPr>
        <w:t>be)</w:t>
      </w:r>
      <w:r>
        <w:rPr>
          <w:spacing w:val="52"/>
        </w:rPr>
        <w:t xml:space="preserve"> </w:t>
      </w:r>
      <w:r>
        <w:t>the</w:t>
      </w:r>
      <w:r>
        <w:rPr>
          <w:spacing w:val="-2"/>
        </w:rPr>
        <w:t xml:space="preserve"> </w:t>
      </w:r>
      <w:r>
        <w:rPr>
          <w:spacing w:val="-1"/>
        </w:rPr>
        <w:t>rest</w:t>
      </w:r>
      <w:r>
        <w:t xml:space="preserve"> </w:t>
      </w:r>
      <w:r>
        <w:rPr>
          <w:spacing w:val="-2"/>
        </w:rPr>
        <w:t>of</w:t>
      </w:r>
      <w:r>
        <w:rPr>
          <w:spacing w:val="2"/>
        </w:rPr>
        <w:t xml:space="preserve"> </w:t>
      </w:r>
      <w:r>
        <w:t>the</w:t>
      </w:r>
      <w:r>
        <w:rPr>
          <w:spacing w:val="-2"/>
        </w:rPr>
        <w:t xml:space="preserve"> invoice.</w:t>
      </w:r>
    </w:p>
    <w:p w:rsidR="008918FA" w:rsidRDefault="008918FA" w:rsidP="008918FA">
      <w:pPr>
        <w:pStyle w:val="BodyText"/>
        <w:numPr>
          <w:ilvl w:val="1"/>
          <w:numId w:val="9"/>
        </w:numPr>
        <w:tabs>
          <w:tab w:val="left" w:pos="1034"/>
        </w:tabs>
        <w:ind w:left="829" w:right="114"/>
        <w:jc w:val="both"/>
      </w:pPr>
      <w:r>
        <w:rPr>
          <w:spacing w:val="-1"/>
        </w:rPr>
        <w:t>Each</w:t>
      </w:r>
      <w:r>
        <w:rPr>
          <w:spacing w:val="27"/>
        </w:rPr>
        <w:t xml:space="preserve"> </w:t>
      </w:r>
      <w:r>
        <w:rPr>
          <w:spacing w:val="-1"/>
        </w:rPr>
        <w:t>Party</w:t>
      </w:r>
      <w:r>
        <w:rPr>
          <w:spacing w:val="25"/>
        </w:rPr>
        <w:t xml:space="preserve"> </w:t>
      </w:r>
      <w:r>
        <w:rPr>
          <w:spacing w:val="-1"/>
        </w:rPr>
        <w:t>shall</w:t>
      </w:r>
      <w:r>
        <w:rPr>
          <w:spacing w:val="26"/>
        </w:rPr>
        <w:t xml:space="preserve"> </w:t>
      </w:r>
      <w:r>
        <w:rPr>
          <w:spacing w:val="-1"/>
        </w:rPr>
        <w:t>pay</w:t>
      </w:r>
      <w:r>
        <w:rPr>
          <w:spacing w:val="25"/>
        </w:rPr>
        <w:t xml:space="preserve"> </w:t>
      </w:r>
      <w:r>
        <w:rPr>
          <w:spacing w:val="-1"/>
        </w:rPr>
        <w:t>(and/or</w:t>
      </w:r>
      <w:r>
        <w:rPr>
          <w:spacing w:val="26"/>
        </w:rPr>
        <w:t xml:space="preserve"> </w:t>
      </w:r>
      <w:r>
        <w:t>the</w:t>
      </w:r>
      <w:r>
        <w:rPr>
          <w:spacing w:val="27"/>
        </w:rPr>
        <w:t xml:space="preserve"> </w:t>
      </w:r>
      <w:r>
        <w:rPr>
          <w:spacing w:val="-2"/>
        </w:rPr>
        <w:t>Customer</w:t>
      </w:r>
      <w:r>
        <w:rPr>
          <w:spacing w:val="28"/>
        </w:rPr>
        <w:t xml:space="preserve"> </w:t>
      </w:r>
      <w:r>
        <w:rPr>
          <w:spacing w:val="-2"/>
        </w:rPr>
        <w:t>shall</w:t>
      </w:r>
      <w:r>
        <w:rPr>
          <w:spacing w:val="26"/>
        </w:rPr>
        <w:t xml:space="preserve"> </w:t>
      </w:r>
      <w:r>
        <w:rPr>
          <w:spacing w:val="-1"/>
        </w:rPr>
        <w:t>procure</w:t>
      </w:r>
      <w:r>
        <w:rPr>
          <w:spacing w:val="24"/>
        </w:rPr>
        <w:t xml:space="preserve"> </w:t>
      </w:r>
      <w:r>
        <w:rPr>
          <w:spacing w:val="-1"/>
        </w:rPr>
        <w:t>that</w:t>
      </w:r>
      <w:r>
        <w:rPr>
          <w:spacing w:val="26"/>
        </w:rPr>
        <w:t xml:space="preserve"> </w:t>
      </w:r>
      <w:r>
        <w:t>the</w:t>
      </w:r>
      <w:r>
        <w:rPr>
          <w:spacing w:val="27"/>
        </w:rPr>
        <w:t xml:space="preserve"> </w:t>
      </w:r>
      <w:r>
        <w:rPr>
          <w:spacing w:val="-2"/>
        </w:rPr>
        <w:t>Replacement</w:t>
      </w:r>
      <w:r>
        <w:rPr>
          <w:spacing w:val="76"/>
        </w:rPr>
        <w:t xml:space="preserve"> </w:t>
      </w:r>
      <w:r>
        <w:rPr>
          <w:spacing w:val="-2"/>
        </w:rPr>
        <w:t>Supplier</w:t>
      </w:r>
      <w:r>
        <w:rPr>
          <w:spacing w:val="9"/>
        </w:rPr>
        <w:t xml:space="preserve"> </w:t>
      </w:r>
      <w:r>
        <w:rPr>
          <w:spacing w:val="-1"/>
        </w:rPr>
        <w:t>shall</w:t>
      </w:r>
      <w:r>
        <w:rPr>
          <w:spacing w:val="7"/>
        </w:rPr>
        <w:t xml:space="preserve"> </w:t>
      </w:r>
      <w:r>
        <w:rPr>
          <w:spacing w:val="-1"/>
        </w:rPr>
        <w:t>pay)</w:t>
      </w:r>
      <w:r>
        <w:rPr>
          <w:spacing w:val="9"/>
        </w:rPr>
        <w:t xml:space="preserve"> </w:t>
      </w:r>
      <w:r>
        <w:rPr>
          <w:spacing w:val="-1"/>
        </w:rPr>
        <w:t>any</w:t>
      </w:r>
      <w:r>
        <w:rPr>
          <w:spacing w:val="8"/>
        </w:rPr>
        <w:t xml:space="preserve"> </w:t>
      </w:r>
      <w:r>
        <w:rPr>
          <w:spacing w:val="-1"/>
        </w:rPr>
        <w:t>monies</w:t>
      </w:r>
      <w:r>
        <w:rPr>
          <w:spacing w:val="8"/>
        </w:rPr>
        <w:t xml:space="preserve"> </w:t>
      </w:r>
      <w:r>
        <w:rPr>
          <w:spacing w:val="-1"/>
        </w:rPr>
        <w:t>due</w:t>
      </w:r>
      <w:r>
        <w:rPr>
          <w:spacing w:val="7"/>
        </w:rPr>
        <w:t xml:space="preserve"> </w:t>
      </w:r>
      <w:r>
        <w:rPr>
          <w:spacing w:val="-1"/>
        </w:rPr>
        <w:t>under</w:t>
      </w:r>
      <w:r>
        <w:rPr>
          <w:spacing w:val="9"/>
        </w:rPr>
        <w:t xml:space="preserve"> </w:t>
      </w:r>
      <w:r>
        <w:rPr>
          <w:spacing w:val="-2"/>
        </w:rPr>
        <w:t>paragraph</w:t>
      </w:r>
      <w:r>
        <w:rPr>
          <w:spacing w:val="3"/>
        </w:rPr>
        <w:t xml:space="preserve"> </w:t>
      </w:r>
      <w:hyperlink w:anchor="_bookmark385" w:history="1">
        <w:r>
          <w:rPr>
            <w:spacing w:val="-1"/>
          </w:rPr>
          <w:t>12.1</w:t>
        </w:r>
      </w:hyperlink>
      <w:r>
        <w:rPr>
          <w:spacing w:val="8"/>
        </w:rPr>
        <w:t xml:space="preserve"> </w:t>
      </w:r>
      <w:r>
        <w:rPr>
          <w:spacing w:val="-2"/>
        </w:rPr>
        <w:t>of</w:t>
      </w:r>
      <w:r>
        <w:rPr>
          <w:spacing w:val="9"/>
        </w:rPr>
        <w:t xml:space="preserve"> </w:t>
      </w:r>
      <w:r>
        <w:rPr>
          <w:spacing w:val="-1"/>
        </w:rPr>
        <w:t>this</w:t>
      </w:r>
      <w:r>
        <w:rPr>
          <w:spacing w:val="8"/>
        </w:rPr>
        <w:t xml:space="preserve"> </w:t>
      </w:r>
      <w:r>
        <w:rPr>
          <w:spacing w:val="-2"/>
        </w:rPr>
        <w:t>Call</w:t>
      </w:r>
      <w:r>
        <w:rPr>
          <w:spacing w:val="7"/>
        </w:rPr>
        <w:t xml:space="preserve"> </w:t>
      </w:r>
      <w:r>
        <w:rPr>
          <w:spacing w:val="-1"/>
        </w:rPr>
        <w:t>Off</w:t>
      </w:r>
      <w:r>
        <w:rPr>
          <w:spacing w:val="7"/>
        </w:rPr>
        <w:t xml:space="preserve"> </w:t>
      </w:r>
      <w:r>
        <w:rPr>
          <w:spacing w:val="-1"/>
        </w:rPr>
        <w:t>Schedule</w:t>
      </w:r>
      <w:r>
        <w:rPr>
          <w:spacing w:val="65"/>
        </w:rPr>
        <w:t xml:space="preserve"> </w:t>
      </w:r>
      <w:r>
        <w:rPr>
          <w:spacing w:val="-1"/>
        </w:rPr>
        <w:t>as</w:t>
      </w:r>
      <w:r>
        <w:rPr>
          <w:spacing w:val="1"/>
        </w:rPr>
        <w:t xml:space="preserve"> </w:t>
      </w:r>
      <w:r>
        <w:rPr>
          <w:spacing w:val="-1"/>
        </w:rPr>
        <w:t>soon</w:t>
      </w:r>
      <w:r>
        <w:t xml:space="preserve"> </w:t>
      </w:r>
      <w:r>
        <w:rPr>
          <w:spacing w:val="-2"/>
        </w:rPr>
        <w:t xml:space="preserve">as </w:t>
      </w:r>
      <w:r>
        <w:rPr>
          <w:spacing w:val="-1"/>
        </w:rPr>
        <w:t>reasonably</w:t>
      </w:r>
      <w:r>
        <w:rPr>
          <w:spacing w:val="-2"/>
        </w:rPr>
        <w:t xml:space="preserve"> </w:t>
      </w:r>
      <w:r>
        <w:rPr>
          <w:spacing w:val="-1"/>
        </w:rPr>
        <w:t>practicable.</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spacing w:before="58" w:line="466" w:lineRule="auto"/>
        <w:ind w:left="3715" w:right="1890" w:hanging="1815"/>
        <w:rPr>
          <w:rFonts w:ascii="Times New Roman" w:eastAsia="Times New Roman" w:hAnsi="Times New Roman" w:cs="Times New Roman"/>
        </w:rPr>
      </w:pPr>
      <w:bookmarkStart w:id="467" w:name="CALL_OFF_SCHEDULE_11:_STAFF_TRANSFER"/>
      <w:bookmarkStart w:id="468" w:name="_bookmark386"/>
      <w:bookmarkEnd w:id="467"/>
      <w:bookmarkEnd w:id="468"/>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7"/>
        </w:rPr>
        <w:t>11:</w:t>
      </w:r>
      <w:r>
        <w:rPr>
          <w:rFonts w:ascii="Times New Roman"/>
          <w:spacing w:val="20"/>
        </w:rPr>
        <w:t xml:space="preserve"> </w:t>
      </w:r>
      <w:r>
        <w:rPr>
          <w:rFonts w:ascii="Times New Roman"/>
          <w:spacing w:val="5"/>
        </w:rPr>
        <w:t>STAFF</w:t>
      </w:r>
      <w:r>
        <w:rPr>
          <w:rFonts w:ascii="Times New Roman"/>
          <w:spacing w:val="21"/>
        </w:rPr>
        <w:t xml:space="preserve"> </w:t>
      </w:r>
      <w:r>
        <w:rPr>
          <w:rFonts w:ascii="Times New Roman"/>
          <w:spacing w:val="6"/>
        </w:rPr>
        <w:t>TRANSFER</w:t>
      </w:r>
      <w:r>
        <w:rPr>
          <w:rFonts w:ascii="Times New Roman"/>
          <w:spacing w:val="30"/>
        </w:rPr>
        <w:t xml:space="preserve"> </w:t>
      </w:r>
      <w:r>
        <w:rPr>
          <w:rFonts w:ascii="Times New Roman"/>
          <w:spacing w:val="3"/>
        </w:rPr>
        <w:t>NOT</w:t>
      </w:r>
      <w:r>
        <w:rPr>
          <w:rFonts w:ascii="Times New Roman"/>
          <w:spacing w:val="4"/>
        </w:rPr>
        <w:t xml:space="preserve"> </w:t>
      </w:r>
      <w:r>
        <w:rPr>
          <w:rFonts w:ascii="Times New Roman"/>
          <w:spacing w:val="-1"/>
        </w:rPr>
        <w:t>US</w:t>
      </w:r>
      <w:r>
        <w:rPr>
          <w:rFonts w:ascii="Times New Roman"/>
          <w:spacing w:val="-32"/>
        </w:rPr>
        <w:t xml:space="preserve"> </w:t>
      </w:r>
      <w:r>
        <w:rPr>
          <w:rFonts w:ascii="Times New Roman"/>
          <w:spacing w:val="5"/>
        </w:rPr>
        <w:t>ED</w:t>
      </w: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spacing w:before="3"/>
        <w:rPr>
          <w:rFonts w:ascii="Times New Roman" w:eastAsia="Times New Roman" w:hAnsi="Times New Roman" w:cs="Times New Roman"/>
          <w:sz w:val="19"/>
          <w:szCs w:val="19"/>
        </w:rPr>
      </w:pPr>
    </w:p>
    <w:p w:rsidR="008918FA" w:rsidRDefault="008918FA" w:rsidP="008918FA">
      <w:pPr>
        <w:spacing w:line="200" w:lineRule="atLeast"/>
        <w:ind w:left="198"/>
        <w:rPr>
          <w:rFonts w:ascii="Times New Roman" w:eastAsia="Times New Roman" w:hAnsi="Times New Roman" w:cs="Times New Roman"/>
          <w:sz w:val="20"/>
          <w:szCs w:val="20"/>
        </w:rPr>
      </w:pPr>
    </w:p>
    <w:p w:rsidR="008918FA" w:rsidRDefault="008918FA" w:rsidP="008918FA">
      <w:pPr>
        <w:spacing w:line="200" w:lineRule="atLeast"/>
        <w:rPr>
          <w:rFonts w:ascii="Times New Roman" w:eastAsia="Times New Roman" w:hAnsi="Times New Roman" w:cs="Times New Roman"/>
          <w:sz w:val="20"/>
          <w:szCs w:val="20"/>
        </w:rPr>
        <w:sectPr w:rsidR="008918FA">
          <w:pgSz w:w="11910" w:h="16840"/>
          <w:pgMar w:top="1480" w:right="1680" w:bottom="1180" w:left="1680" w:header="0" w:footer="987" w:gutter="0"/>
          <w:cols w:space="720"/>
        </w:sectPr>
      </w:pPr>
    </w:p>
    <w:p w:rsidR="008918FA" w:rsidRDefault="008918FA" w:rsidP="008918FA">
      <w:pPr>
        <w:pStyle w:val="BodyText"/>
        <w:spacing w:before="58"/>
        <w:ind w:left="3858" w:right="4188" w:firstLine="0"/>
        <w:jc w:val="center"/>
        <w:rPr>
          <w:rFonts w:ascii="Times New Roman" w:eastAsia="Times New Roman" w:hAnsi="Times New Roman" w:cs="Times New Roman"/>
        </w:rPr>
      </w:pPr>
      <w:r>
        <w:rPr>
          <w:rFonts w:ascii="Times New Roman"/>
        </w:rPr>
        <w:t>P</w:t>
      </w:r>
      <w:r>
        <w:rPr>
          <w:rFonts w:ascii="Times New Roman"/>
          <w:spacing w:val="-29"/>
        </w:rPr>
        <w:t xml:space="preserve"> </w:t>
      </w:r>
      <w:r>
        <w:rPr>
          <w:rFonts w:ascii="Times New Roman"/>
          <w:spacing w:val="2"/>
        </w:rPr>
        <w:t>ART</w:t>
      </w:r>
      <w:r>
        <w:rPr>
          <w:rFonts w:ascii="Times New Roman"/>
          <w:spacing w:val="9"/>
        </w:rPr>
        <w:t xml:space="preserve"> </w:t>
      </w:r>
      <w:r>
        <w:rPr>
          <w:rFonts w:ascii="Times New Roman"/>
        </w:rPr>
        <w:t>A</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spacing w:before="0"/>
        <w:ind w:left="480" w:firstLine="0"/>
        <w:rPr>
          <w:rFonts w:ascii="Times New Roman" w:eastAsia="Times New Roman" w:hAnsi="Times New Roman" w:cs="Times New Roman"/>
        </w:rPr>
      </w:pPr>
      <w:r>
        <w:rPr>
          <w:rFonts w:ascii="Times New Roman"/>
          <w:spacing w:val="5"/>
        </w:rPr>
        <w:t>TRANSFERRING</w:t>
      </w:r>
      <w:r>
        <w:rPr>
          <w:rFonts w:ascii="Times New Roman"/>
        </w:rPr>
        <w:t xml:space="preserve">  </w:t>
      </w:r>
      <w:r>
        <w:rPr>
          <w:rFonts w:ascii="Times New Roman"/>
          <w:spacing w:val="11"/>
        </w:rPr>
        <w:t xml:space="preserve"> C</w:t>
      </w:r>
      <w:r>
        <w:rPr>
          <w:rFonts w:ascii="Times New Roman"/>
          <w:spacing w:val="-2"/>
        </w:rPr>
        <w:t>U</w:t>
      </w:r>
      <w:r>
        <w:rPr>
          <w:rFonts w:ascii="Times New Roman"/>
          <w:spacing w:val="26"/>
        </w:rPr>
        <w:t>S</w:t>
      </w:r>
      <w:r>
        <w:rPr>
          <w:rFonts w:ascii="Times New Roman"/>
          <w:spacing w:val="-3"/>
        </w:rPr>
        <w:t>T</w:t>
      </w:r>
      <w:r>
        <w:rPr>
          <w:rFonts w:ascii="Times New Roman"/>
          <w:spacing w:val="13"/>
        </w:rPr>
        <w:t>O</w:t>
      </w:r>
      <w:r>
        <w:rPr>
          <w:rFonts w:ascii="Times New Roman"/>
          <w:spacing w:val="-12"/>
        </w:rPr>
        <w:t>M</w:t>
      </w:r>
      <w:r>
        <w:rPr>
          <w:rFonts w:ascii="Times New Roman"/>
          <w:spacing w:val="11"/>
        </w:rPr>
        <w:t>E</w:t>
      </w:r>
      <w:r>
        <w:rPr>
          <w:rFonts w:ascii="Times New Roman"/>
        </w:rPr>
        <w:t xml:space="preserve">R  </w:t>
      </w:r>
      <w:r>
        <w:rPr>
          <w:rFonts w:ascii="Times New Roman"/>
          <w:spacing w:val="9"/>
        </w:rPr>
        <w:t xml:space="preserve"> </w:t>
      </w:r>
      <w:r>
        <w:rPr>
          <w:rFonts w:ascii="Times New Roman"/>
          <w:spacing w:val="-1"/>
        </w:rPr>
        <w:t>EMP</w:t>
      </w:r>
      <w:r>
        <w:rPr>
          <w:rFonts w:ascii="Times New Roman"/>
          <w:spacing w:val="-32"/>
        </w:rPr>
        <w:t xml:space="preserve"> </w:t>
      </w:r>
      <w:r>
        <w:rPr>
          <w:rFonts w:ascii="Times New Roman"/>
          <w:spacing w:val="3"/>
        </w:rPr>
        <w:t>LOYEES</w:t>
      </w:r>
      <w:r>
        <w:rPr>
          <w:rFonts w:ascii="Times New Roman"/>
        </w:rPr>
        <w:t xml:space="preserve">  </w:t>
      </w:r>
      <w:r>
        <w:rPr>
          <w:rFonts w:ascii="Times New Roman"/>
          <w:spacing w:val="26"/>
        </w:rPr>
        <w:t xml:space="preserve"> </w:t>
      </w:r>
      <w:r>
        <w:rPr>
          <w:rFonts w:ascii="Times New Roman"/>
          <w:spacing w:val="-3"/>
        </w:rPr>
        <w:t>AT</w:t>
      </w:r>
      <w:r>
        <w:rPr>
          <w:rFonts w:ascii="Times New Roman"/>
        </w:rPr>
        <w:t xml:space="preserve"> </w:t>
      </w:r>
      <w:r>
        <w:rPr>
          <w:rFonts w:ascii="Times New Roman"/>
          <w:spacing w:val="2"/>
        </w:rPr>
        <w:t>COMMENCEMENT</w:t>
      </w:r>
      <w:r>
        <w:rPr>
          <w:rFonts w:ascii="Times New Roman"/>
          <w:spacing w:val="50"/>
        </w:rPr>
        <w:t xml:space="preserve"> </w:t>
      </w:r>
      <w:r>
        <w:rPr>
          <w:rFonts w:ascii="Times New Roman"/>
          <w:spacing w:val="6"/>
        </w:rPr>
        <w:t>OF</w:t>
      </w:r>
      <w:r>
        <w:rPr>
          <w:rFonts w:ascii="Times New Roman"/>
        </w:rPr>
        <w:t xml:space="preserve">  </w:t>
      </w:r>
      <w:r>
        <w:rPr>
          <w:rFonts w:ascii="Times New Roman"/>
          <w:spacing w:val="12"/>
        </w:rPr>
        <w:t xml:space="preserve"> </w:t>
      </w:r>
      <w:r>
        <w:rPr>
          <w:rFonts w:ascii="Times New Roman"/>
          <w:spacing w:val="-2"/>
        </w:rPr>
        <w:t>THE</w:t>
      </w:r>
      <w:r>
        <w:rPr>
          <w:rFonts w:ascii="Times New Roman"/>
          <w:spacing w:val="109"/>
        </w:rPr>
        <w:t xml:space="preserve"> </w:t>
      </w:r>
      <w:r>
        <w:rPr>
          <w:rFonts w:ascii="Times New Roman"/>
          <w:spacing w:val="4"/>
        </w:rPr>
        <w:t>PROVISION</w:t>
      </w:r>
      <w:r>
        <w:rPr>
          <w:rFonts w:ascii="Times New Roman"/>
          <w:spacing w:val="3"/>
        </w:rPr>
        <w:t xml:space="preserve"> </w:t>
      </w:r>
      <w:r>
        <w:rPr>
          <w:rFonts w:ascii="Times New Roman"/>
          <w:spacing w:val="6"/>
        </w:rPr>
        <w:t>OF</w:t>
      </w:r>
      <w:r>
        <w:rPr>
          <w:rFonts w:ascii="Times New Roman"/>
          <w:spacing w:val="16"/>
        </w:rPr>
        <w:t xml:space="preserve"> </w:t>
      </w:r>
      <w:r>
        <w:rPr>
          <w:rFonts w:ascii="Times New Roman"/>
          <w:spacing w:val="6"/>
        </w:rPr>
        <w:t>GOODS</w:t>
      </w:r>
      <w:r>
        <w:rPr>
          <w:rFonts w:ascii="Times New Roman"/>
          <w:spacing w:val="33"/>
        </w:rPr>
        <w:t xml:space="preserve"> </w:t>
      </w:r>
      <w:r>
        <w:rPr>
          <w:rFonts w:ascii="Times New Roman"/>
        </w:rPr>
        <w:t>AND/OR</w:t>
      </w:r>
      <w:r>
        <w:rPr>
          <w:rFonts w:ascii="Times New Roman"/>
          <w:spacing w:val="18"/>
        </w:rPr>
        <w:t xml:space="preserve"> </w:t>
      </w:r>
      <w:r>
        <w:rPr>
          <w:rFonts w:ascii="Times New Roman"/>
          <w:spacing w:val="5"/>
        </w:rPr>
        <w:t>SERVICES</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spacing w:before="0"/>
        <w:ind w:left="480" w:firstLine="0"/>
        <w:rPr>
          <w:rFonts w:ascii="Times New Roman" w:eastAsia="Times New Roman" w:hAnsi="Times New Roman" w:cs="Times New Roman"/>
        </w:rPr>
      </w:pPr>
      <w:r>
        <w:rPr>
          <w:rFonts w:ascii="Times New Roman"/>
          <w:spacing w:val="3"/>
        </w:rPr>
        <w:t>NOT</w:t>
      </w:r>
      <w:r>
        <w:rPr>
          <w:rFonts w:ascii="Times New Roman"/>
          <w:spacing w:val="4"/>
        </w:rPr>
        <w:t xml:space="preserve"> </w:t>
      </w:r>
      <w:r>
        <w:rPr>
          <w:rFonts w:ascii="Times New Roman"/>
          <w:spacing w:val="-1"/>
        </w:rPr>
        <w:t>US</w:t>
      </w:r>
      <w:r>
        <w:rPr>
          <w:rFonts w:ascii="Times New Roman"/>
          <w:spacing w:val="-32"/>
        </w:rPr>
        <w:t xml:space="preserve"> </w:t>
      </w:r>
      <w:r>
        <w:rPr>
          <w:rFonts w:ascii="Times New Roman"/>
          <w:spacing w:val="5"/>
        </w:rPr>
        <w:t>ED</w:t>
      </w: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spacing w:before="5"/>
        <w:rPr>
          <w:rFonts w:ascii="Times New Roman" w:eastAsia="Times New Roman" w:hAnsi="Times New Roman" w:cs="Times New Roman"/>
          <w:sz w:val="14"/>
          <w:szCs w:val="14"/>
        </w:rPr>
      </w:pPr>
    </w:p>
    <w:p w:rsidR="008918FA" w:rsidRDefault="008918FA" w:rsidP="008918FA">
      <w:pPr>
        <w:spacing w:line="200" w:lineRule="atLeast"/>
        <w:ind w:left="198"/>
        <w:rPr>
          <w:rFonts w:ascii="Times New Roman" w:eastAsia="Times New Roman" w:hAnsi="Times New Roman" w:cs="Times New Roman"/>
          <w:sz w:val="20"/>
          <w:szCs w:val="20"/>
        </w:rPr>
      </w:pPr>
    </w:p>
    <w:p w:rsidR="008918FA" w:rsidRDefault="008918FA" w:rsidP="008918FA">
      <w:pPr>
        <w:spacing w:line="200" w:lineRule="atLeast"/>
        <w:rPr>
          <w:rFonts w:ascii="Times New Roman" w:eastAsia="Times New Roman" w:hAnsi="Times New Roman" w:cs="Times New Roman"/>
          <w:sz w:val="20"/>
          <w:szCs w:val="20"/>
        </w:rPr>
        <w:sectPr w:rsidR="008918FA">
          <w:pgSz w:w="11910" w:h="16840"/>
          <w:pgMar w:top="1480" w:right="1320" w:bottom="1180" w:left="1680" w:header="0" w:footer="987" w:gutter="0"/>
          <w:cols w:space="720"/>
        </w:sectPr>
      </w:pPr>
    </w:p>
    <w:p w:rsidR="008918FA" w:rsidRDefault="008918FA" w:rsidP="008918FA">
      <w:pPr>
        <w:pStyle w:val="BodyText"/>
        <w:spacing w:before="58"/>
        <w:ind w:left="3841" w:right="4188" w:firstLine="0"/>
        <w:jc w:val="center"/>
        <w:rPr>
          <w:rFonts w:ascii="Times New Roman" w:eastAsia="Times New Roman" w:hAnsi="Times New Roman" w:cs="Times New Roman"/>
        </w:rPr>
      </w:pPr>
      <w:r>
        <w:rPr>
          <w:rFonts w:ascii="Times New Roman"/>
        </w:rPr>
        <w:t>P</w:t>
      </w:r>
      <w:r>
        <w:rPr>
          <w:rFonts w:ascii="Times New Roman"/>
          <w:spacing w:val="-29"/>
        </w:rPr>
        <w:t xml:space="preserve"> </w:t>
      </w:r>
      <w:r>
        <w:rPr>
          <w:rFonts w:ascii="Times New Roman"/>
          <w:spacing w:val="2"/>
        </w:rPr>
        <w:t>ART</w:t>
      </w:r>
      <w:r>
        <w:rPr>
          <w:rFonts w:ascii="Times New Roman"/>
          <w:spacing w:val="4"/>
        </w:rPr>
        <w:t xml:space="preserve"> </w:t>
      </w:r>
      <w:r>
        <w:rPr>
          <w:rFonts w:ascii="Times New Roman"/>
        </w:rPr>
        <w:t>B</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spacing w:before="0"/>
        <w:ind w:left="480" w:firstLine="0"/>
        <w:rPr>
          <w:rFonts w:ascii="Times New Roman" w:eastAsia="Times New Roman" w:hAnsi="Times New Roman" w:cs="Times New Roman"/>
        </w:rPr>
      </w:pPr>
      <w:r>
        <w:rPr>
          <w:rFonts w:ascii="Times New Roman"/>
          <w:spacing w:val="5"/>
        </w:rPr>
        <w:t>TRANSFERRING</w:t>
      </w:r>
      <w:r>
        <w:rPr>
          <w:rFonts w:ascii="Times New Roman"/>
        </w:rPr>
        <w:t xml:space="preserve"> </w:t>
      </w:r>
      <w:r>
        <w:rPr>
          <w:rFonts w:ascii="Times New Roman"/>
          <w:spacing w:val="5"/>
        </w:rPr>
        <w:t>FORMER</w:t>
      </w:r>
      <w:r>
        <w:rPr>
          <w:rFonts w:ascii="Times New Roman"/>
        </w:rPr>
        <w:t xml:space="preserve"> </w:t>
      </w:r>
      <w:r>
        <w:rPr>
          <w:rFonts w:ascii="Times New Roman"/>
          <w:spacing w:val="6"/>
        </w:rPr>
        <w:t xml:space="preserve"> </w:t>
      </w:r>
      <w:r>
        <w:rPr>
          <w:rFonts w:ascii="Times New Roman"/>
        </w:rPr>
        <w:t>S</w:t>
      </w:r>
      <w:r>
        <w:rPr>
          <w:rFonts w:ascii="Times New Roman"/>
          <w:spacing w:val="-32"/>
        </w:rPr>
        <w:t xml:space="preserve"> </w:t>
      </w:r>
      <w:r>
        <w:rPr>
          <w:rFonts w:ascii="Times New Roman"/>
          <w:spacing w:val="7"/>
        </w:rPr>
        <w:t>UPP</w:t>
      </w:r>
      <w:r>
        <w:rPr>
          <w:rFonts w:ascii="Times New Roman"/>
          <w:spacing w:val="-32"/>
        </w:rPr>
        <w:t xml:space="preserve"> </w:t>
      </w:r>
      <w:r>
        <w:rPr>
          <w:rFonts w:ascii="Times New Roman"/>
          <w:spacing w:val="-1"/>
        </w:rPr>
        <w:t>LIER</w:t>
      </w:r>
      <w:r>
        <w:rPr>
          <w:rFonts w:ascii="Times New Roman"/>
        </w:rPr>
        <w:t xml:space="preserve"> </w:t>
      </w:r>
      <w:r>
        <w:rPr>
          <w:rFonts w:ascii="Times New Roman"/>
          <w:spacing w:val="6"/>
        </w:rPr>
        <w:t xml:space="preserve"> </w:t>
      </w:r>
      <w:r>
        <w:rPr>
          <w:rFonts w:ascii="Times New Roman"/>
          <w:spacing w:val="-1"/>
        </w:rPr>
        <w:t>EMP</w:t>
      </w:r>
      <w:r>
        <w:rPr>
          <w:rFonts w:ascii="Times New Roman"/>
          <w:spacing w:val="-32"/>
        </w:rPr>
        <w:t xml:space="preserve"> </w:t>
      </w:r>
      <w:r>
        <w:rPr>
          <w:rFonts w:ascii="Times New Roman"/>
          <w:spacing w:val="3"/>
        </w:rPr>
        <w:t>LOYEES</w:t>
      </w:r>
      <w:r>
        <w:rPr>
          <w:rFonts w:ascii="Times New Roman"/>
        </w:rPr>
        <w:t xml:space="preserve"> </w:t>
      </w:r>
      <w:r>
        <w:rPr>
          <w:rFonts w:ascii="Times New Roman"/>
          <w:spacing w:val="21"/>
        </w:rPr>
        <w:t xml:space="preserve"> </w:t>
      </w:r>
      <w:r>
        <w:rPr>
          <w:rFonts w:ascii="Times New Roman"/>
          <w:spacing w:val="-3"/>
        </w:rPr>
        <w:t>AT</w:t>
      </w:r>
      <w:r>
        <w:rPr>
          <w:rFonts w:ascii="Times New Roman"/>
          <w:spacing w:val="50"/>
        </w:rPr>
        <w:t xml:space="preserve"> </w:t>
      </w:r>
      <w:r>
        <w:rPr>
          <w:rFonts w:ascii="Times New Roman"/>
          <w:spacing w:val="2"/>
        </w:rPr>
        <w:t>COMMENCEMENT</w:t>
      </w:r>
      <w:r>
        <w:rPr>
          <w:rFonts w:ascii="Times New Roman"/>
          <w:spacing w:val="47"/>
        </w:rPr>
        <w:t xml:space="preserve"> </w:t>
      </w:r>
      <w:r>
        <w:rPr>
          <w:rFonts w:ascii="Times New Roman"/>
          <w:spacing w:val="6"/>
        </w:rPr>
        <w:t>OF</w:t>
      </w:r>
      <w:r>
        <w:rPr>
          <w:rFonts w:ascii="Times New Roman"/>
          <w:spacing w:val="30"/>
        </w:rPr>
        <w:t xml:space="preserve"> </w:t>
      </w:r>
      <w:r>
        <w:rPr>
          <w:rFonts w:ascii="Times New Roman"/>
          <w:spacing w:val="-2"/>
        </w:rPr>
        <w:t>THE</w:t>
      </w:r>
      <w:r>
        <w:rPr>
          <w:rFonts w:ascii="Times New Roman"/>
          <w:spacing w:val="18"/>
        </w:rPr>
        <w:t xml:space="preserve"> </w:t>
      </w:r>
      <w:r>
        <w:rPr>
          <w:rFonts w:ascii="Times New Roman"/>
          <w:spacing w:val="5"/>
        </w:rPr>
        <w:t>PROVISION</w:t>
      </w:r>
      <w:r>
        <w:rPr>
          <w:rFonts w:ascii="Times New Roman"/>
          <w:spacing w:val="3"/>
        </w:rPr>
        <w:t xml:space="preserve"> </w:t>
      </w:r>
      <w:r>
        <w:rPr>
          <w:rFonts w:ascii="Times New Roman"/>
          <w:spacing w:val="6"/>
        </w:rPr>
        <w:t>OF</w:t>
      </w:r>
      <w:r>
        <w:rPr>
          <w:rFonts w:ascii="Times New Roman"/>
          <w:spacing w:val="16"/>
        </w:rPr>
        <w:t xml:space="preserve"> </w:t>
      </w:r>
      <w:r>
        <w:rPr>
          <w:rFonts w:ascii="Times New Roman"/>
          <w:spacing w:val="6"/>
        </w:rPr>
        <w:t>GOODS</w:t>
      </w:r>
      <w:r>
        <w:rPr>
          <w:rFonts w:ascii="Times New Roman"/>
          <w:spacing w:val="30"/>
        </w:rPr>
        <w:t xml:space="preserve"> </w:t>
      </w:r>
      <w:r>
        <w:rPr>
          <w:rFonts w:ascii="Times New Roman"/>
        </w:rPr>
        <w:t>AND/OR</w:t>
      </w:r>
      <w:r>
        <w:rPr>
          <w:rFonts w:ascii="Times New Roman"/>
          <w:spacing w:val="18"/>
        </w:rPr>
        <w:t xml:space="preserve"> </w:t>
      </w:r>
      <w:r>
        <w:rPr>
          <w:rFonts w:ascii="Times New Roman"/>
          <w:spacing w:val="5"/>
        </w:rPr>
        <w:t>SERVICES</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spacing w:before="0"/>
        <w:ind w:left="480" w:firstLine="0"/>
        <w:rPr>
          <w:rFonts w:ascii="Times New Roman" w:eastAsia="Times New Roman" w:hAnsi="Times New Roman" w:cs="Times New Roman"/>
        </w:rPr>
      </w:pPr>
      <w:r>
        <w:rPr>
          <w:rFonts w:ascii="Times New Roman"/>
          <w:spacing w:val="3"/>
        </w:rPr>
        <w:t>NOT</w:t>
      </w:r>
      <w:r>
        <w:rPr>
          <w:rFonts w:ascii="Times New Roman"/>
          <w:spacing w:val="4"/>
        </w:rPr>
        <w:t xml:space="preserve"> </w:t>
      </w:r>
      <w:r>
        <w:rPr>
          <w:rFonts w:ascii="Times New Roman"/>
          <w:spacing w:val="-1"/>
        </w:rPr>
        <w:t>US</w:t>
      </w:r>
      <w:r>
        <w:rPr>
          <w:rFonts w:ascii="Times New Roman"/>
          <w:spacing w:val="-32"/>
        </w:rPr>
        <w:t xml:space="preserve"> </w:t>
      </w:r>
      <w:r>
        <w:rPr>
          <w:rFonts w:ascii="Times New Roman"/>
          <w:spacing w:val="5"/>
        </w:rPr>
        <w:t>ED</w:t>
      </w: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spacing w:before="5"/>
        <w:rPr>
          <w:rFonts w:ascii="Times New Roman" w:eastAsia="Times New Roman" w:hAnsi="Times New Roman" w:cs="Times New Roman"/>
          <w:sz w:val="14"/>
          <w:szCs w:val="14"/>
        </w:rPr>
      </w:pPr>
    </w:p>
    <w:p w:rsidR="008918FA" w:rsidRDefault="008918FA" w:rsidP="008918FA">
      <w:pPr>
        <w:spacing w:line="200" w:lineRule="atLeast"/>
        <w:ind w:left="198"/>
        <w:rPr>
          <w:rFonts w:ascii="Times New Roman" w:eastAsia="Times New Roman" w:hAnsi="Times New Roman" w:cs="Times New Roman"/>
          <w:sz w:val="20"/>
          <w:szCs w:val="20"/>
        </w:rPr>
      </w:pPr>
    </w:p>
    <w:p w:rsidR="008918FA" w:rsidRDefault="008918FA" w:rsidP="008918FA">
      <w:pPr>
        <w:spacing w:line="200" w:lineRule="atLeast"/>
        <w:rPr>
          <w:rFonts w:ascii="Times New Roman" w:eastAsia="Times New Roman" w:hAnsi="Times New Roman" w:cs="Times New Roman"/>
          <w:sz w:val="20"/>
          <w:szCs w:val="20"/>
        </w:rPr>
        <w:sectPr w:rsidR="008918FA">
          <w:pgSz w:w="11910" w:h="16840"/>
          <w:pgMar w:top="1480" w:right="1320" w:bottom="1180" w:left="1680" w:header="0" w:footer="987" w:gutter="0"/>
          <w:cols w:space="720"/>
        </w:sectPr>
      </w:pPr>
    </w:p>
    <w:p w:rsidR="008918FA" w:rsidRDefault="008918FA" w:rsidP="008918FA">
      <w:pPr>
        <w:pStyle w:val="BodyText"/>
        <w:spacing w:before="58"/>
        <w:ind w:left="0" w:right="227" w:firstLine="0"/>
        <w:jc w:val="center"/>
        <w:rPr>
          <w:rFonts w:ascii="Times New Roman" w:eastAsia="Times New Roman" w:hAnsi="Times New Roman" w:cs="Times New Roman"/>
        </w:rPr>
      </w:pPr>
      <w:r>
        <w:rPr>
          <w:rFonts w:ascii="Times New Roman"/>
        </w:rPr>
        <w:t>P</w:t>
      </w:r>
      <w:r>
        <w:rPr>
          <w:rFonts w:ascii="Times New Roman"/>
          <w:spacing w:val="-29"/>
        </w:rPr>
        <w:t xml:space="preserve"> </w:t>
      </w:r>
      <w:r>
        <w:rPr>
          <w:rFonts w:ascii="Times New Roman"/>
          <w:spacing w:val="2"/>
        </w:rPr>
        <w:t>ART</w:t>
      </w:r>
      <w:r>
        <w:rPr>
          <w:rFonts w:ascii="Times New Roman"/>
          <w:spacing w:val="4"/>
        </w:rPr>
        <w:t xml:space="preserve"> </w:t>
      </w:r>
      <w:r>
        <w:rPr>
          <w:rFonts w:ascii="Times New Roman"/>
        </w:rPr>
        <w:t>C</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spacing w:before="0"/>
        <w:ind w:left="619" w:right="120" w:firstLine="0"/>
        <w:rPr>
          <w:rFonts w:ascii="Times New Roman" w:eastAsia="Times New Roman" w:hAnsi="Times New Roman" w:cs="Times New Roman"/>
        </w:rPr>
      </w:pPr>
      <w:r>
        <w:rPr>
          <w:rFonts w:ascii="Times New Roman"/>
          <w:spacing w:val="-1"/>
        </w:rPr>
        <w:t>NO</w:t>
      </w:r>
      <w:r>
        <w:rPr>
          <w:rFonts w:ascii="Times New Roman"/>
          <w:spacing w:val="28"/>
        </w:rPr>
        <w:t xml:space="preserve"> </w:t>
      </w:r>
      <w:r>
        <w:rPr>
          <w:rFonts w:ascii="Times New Roman"/>
        </w:rPr>
        <w:t>TRANS</w:t>
      </w:r>
      <w:r>
        <w:rPr>
          <w:rFonts w:ascii="Times New Roman"/>
          <w:spacing w:val="-32"/>
        </w:rPr>
        <w:t xml:space="preserve"> </w:t>
      </w:r>
      <w:r>
        <w:rPr>
          <w:rFonts w:ascii="Times New Roman"/>
          <w:spacing w:val="8"/>
        </w:rPr>
        <w:t>FER</w:t>
      </w:r>
      <w:r>
        <w:rPr>
          <w:rFonts w:ascii="Times New Roman"/>
          <w:spacing w:val="25"/>
        </w:rPr>
        <w:t xml:space="preserve"> </w:t>
      </w:r>
      <w:r>
        <w:rPr>
          <w:rFonts w:ascii="Times New Roman"/>
          <w:spacing w:val="6"/>
        </w:rPr>
        <w:t>OF</w:t>
      </w:r>
      <w:r>
        <w:rPr>
          <w:rFonts w:ascii="Times New Roman"/>
          <w:spacing w:val="26"/>
        </w:rPr>
        <w:t xml:space="preserve"> </w:t>
      </w:r>
      <w:r>
        <w:rPr>
          <w:rFonts w:ascii="Times New Roman"/>
          <w:spacing w:val="4"/>
        </w:rPr>
        <w:t>EMPLOYEES</w:t>
      </w:r>
      <w:r>
        <w:rPr>
          <w:rFonts w:ascii="Times New Roman"/>
          <w:spacing w:val="40"/>
        </w:rPr>
        <w:t xml:space="preserve"> </w:t>
      </w:r>
      <w:r>
        <w:rPr>
          <w:rFonts w:ascii="Times New Roman"/>
          <w:spacing w:val="-3"/>
        </w:rPr>
        <w:t>AT</w:t>
      </w:r>
      <w:r>
        <w:rPr>
          <w:rFonts w:ascii="Times New Roman"/>
          <w:spacing w:val="16"/>
        </w:rPr>
        <w:t xml:space="preserve"> </w:t>
      </w:r>
      <w:r>
        <w:rPr>
          <w:rFonts w:ascii="Times New Roman"/>
          <w:spacing w:val="2"/>
        </w:rPr>
        <w:t>COMMENCEMENT</w:t>
      </w:r>
      <w:r>
        <w:rPr>
          <w:rFonts w:ascii="Times New Roman"/>
          <w:spacing w:val="11"/>
        </w:rPr>
        <w:t xml:space="preserve"> </w:t>
      </w:r>
      <w:r>
        <w:rPr>
          <w:rFonts w:ascii="Times New Roman"/>
          <w:spacing w:val="6"/>
        </w:rPr>
        <w:t>OF</w:t>
      </w:r>
      <w:r>
        <w:rPr>
          <w:rFonts w:ascii="Times New Roman"/>
          <w:spacing w:val="28"/>
        </w:rPr>
        <w:t xml:space="preserve"> </w:t>
      </w:r>
      <w:r>
        <w:rPr>
          <w:rFonts w:ascii="Times New Roman"/>
          <w:spacing w:val="-2"/>
        </w:rPr>
        <w:t>THE</w:t>
      </w:r>
      <w:r>
        <w:rPr>
          <w:rFonts w:ascii="Times New Roman"/>
          <w:spacing w:val="28"/>
        </w:rPr>
        <w:t xml:space="preserve"> </w:t>
      </w:r>
      <w:r>
        <w:rPr>
          <w:rFonts w:ascii="Times New Roman"/>
          <w:spacing w:val="5"/>
        </w:rPr>
        <w:t>PROVISION</w:t>
      </w:r>
      <w:r>
        <w:rPr>
          <w:rFonts w:ascii="Times New Roman"/>
          <w:spacing w:val="13"/>
        </w:rPr>
        <w:t xml:space="preserve"> </w:t>
      </w:r>
      <w:r>
        <w:rPr>
          <w:rFonts w:ascii="Times New Roman"/>
          <w:spacing w:val="5"/>
        </w:rPr>
        <w:t>OF</w:t>
      </w:r>
      <w:r>
        <w:rPr>
          <w:rFonts w:ascii="Times New Roman"/>
          <w:spacing w:val="34"/>
        </w:rPr>
        <w:t xml:space="preserve"> </w:t>
      </w:r>
      <w:r>
        <w:rPr>
          <w:rFonts w:ascii="Times New Roman"/>
          <w:spacing w:val="7"/>
        </w:rPr>
        <w:t>GOODS</w:t>
      </w:r>
      <w:r>
        <w:rPr>
          <w:rFonts w:ascii="Times New Roman"/>
          <w:spacing w:val="33"/>
        </w:rPr>
        <w:t xml:space="preserve"> </w:t>
      </w:r>
      <w:r>
        <w:rPr>
          <w:rFonts w:ascii="Times New Roman"/>
        </w:rPr>
        <w:t>AND/OR</w:t>
      </w:r>
      <w:r>
        <w:rPr>
          <w:rFonts w:ascii="Times New Roman"/>
          <w:spacing w:val="18"/>
        </w:rPr>
        <w:t xml:space="preserve"> </w:t>
      </w:r>
      <w:r>
        <w:rPr>
          <w:rFonts w:ascii="Times New Roman"/>
          <w:spacing w:val="5"/>
        </w:rPr>
        <w:t>SERVICES</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numPr>
          <w:ilvl w:val="0"/>
          <w:numId w:val="8"/>
        </w:numPr>
        <w:tabs>
          <w:tab w:val="left" w:pos="467"/>
        </w:tabs>
        <w:spacing w:before="0"/>
        <w:rPr>
          <w:rFonts w:ascii="Times New Roman" w:eastAsia="Times New Roman" w:hAnsi="Times New Roman" w:cs="Times New Roman"/>
        </w:rPr>
      </w:pPr>
      <w:r>
        <w:rPr>
          <w:rFonts w:ascii="Times New Roman"/>
          <w:spacing w:val="8"/>
        </w:rPr>
        <w:t>PROCEDURE</w:t>
      </w:r>
      <w:r>
        <w:rPr>
          <w:rFonts w:ascii="Times New Roman"/>
          <w:spacing w:val="18"/>
        </w:rPr>
        <w:t xml:space="preserve"> </w:t>
      </w:r>
      <w:r>
        <w:rPr>
          <w:rFonts w:ascii="Times New Roman"/>
          <w:spacing w:val="-6"/>
        </w:rPr>
        <w:t>IN</w:t>
      </w:r>
      <w:r>
        <w:rPr>
          <w:rFonts w:ascii="Times New Roman"/>
          <w:spacing w:val="6"/>
        </w:rPr>
        <w:t xml:space="preserve"> </w:t>
      </w:r>
      <w:r>
        <w:rPr>
          <w:rFonts w:ascii="Times New Roman"/>
          <w:spacing w:val="-2"/>
        </w:rPr>
        <w:t>THE</w:t>
      </w:r>
      <w:r>
        <w:rPr>
          <w:rFonts w:ascii="Times New Roman"/>
          <w:spacing w:val="18"/>
        </w:rPr>
        <w:t xml:space="preserve"> </w:t>
      </w:r>
      <w:r>
        <w:rPr>
          <w:rFonts w:ascii="Times New Roman"/>
          <w:spacing w:val="1"/>
        </w:rPr>
        <w:t>EVENT</w:t>
      </w:r>
      <w:r>
        <w:rPr>
          <w:rFonts w:ascii="Times New Roman"/>
          <w:spacing w:val="4"/>
        </w:rPr>
        <w:t xml:space="preserve"> </w:t>
      </w:r>
      <w:r>
        <w:rPr>
          <w:rFonts w:ascii="Times New Roman"/>
          <w:spacing w:val="6"/>
        </w:rPr>
        <w:t>OF</w:t>
      </w:r>
      <w:r>
        <w:rPr>
          <w:rFonts w:ascii="Times New Roman"/>
          <w:spacing w:val="19"/>
        </w:rPr>
        <w:t xml:space="preserve"> </w:t>
      </w:r>
      <w:r>
        <w:rPr>
          <w:rFonts w:ascii="Times New Roman"/>
          <w:spacing w:val="1"/>
        </w:rPr>
        <w:t>TRANS</w:t>
      </w:r>
      <w:r>
        <w:rPr>
          <w:rFonts w:ascii="Times New Roman"/>
          <w:spacing w:val="-32"/>
        </w:rPr>
        <w:t xml:space="preserve"> </w:t>
      </w:r>
      <w:r>
        <w:rPr>
          <w:rFonts w:ascii="Times New Roman"/>
          <w:spacing w:val="7"/>
        </w:rPr>
        <w:t>FER</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8"/>
        </w:numPr>
        <w:tabs>
          <w:tab w:val="left" w:pos="829"/>
        </w:tabs>
        <w:spacing w:before="0"/>
        <w:ind w:right="111"/>
        <w:jc w:val="both"/>
      </w:pPr>
      <w:r>
        <w:t>The</w:t>
      </w:r>
      <w:r>
        <w:rPr>
          <w:spacing w:val="17"/>
        </w:rPr>
        <w:t xml:space="preserve"> </w:t>
      </w:r>
      <w:r>
        <w:rPr>
          <w:spacing w:val="-1"/>
        </w:rPr>
        <w:t>Customer</w:t>
      </w:r>
      <w:r>
        <w:rPr>
          <w:spacing w:val="19"/>
        </w:rPr>
        <w:t xml:space="preserve"> </w:t>
      </w:r>
      <w:r>
        <w:rPr>
          <w:spacing w:val="-1"/>
        </w:rPr>
        <w:t>and</w:t>
      </w:r>
      <w:r>
        <w:rPr>
          <w:spacing w:val="15"/>
        </w:rPr>
        <w:t xml:space="preserve"> </w:t>
      </w:r>
      <w:r>
        <w:t>the</w:t>
      </w:r>
      <w:r>
        <w:rPr>
          <w:spacing w:val="15"/>
        </w:rPr>
        <w:t xml:space="preserve"> </w:t>
      </w:r>
      <w:r>
        <w:rPr>
          <w:spacing w:val="-2"/>
        </w:rPr>
        <w:t>Supplier</w:t>
      </w:r>
      <w:r>
        <w:rPr>
          <w:spacing w:val="19"/>
        </w:rPr>
        <w:t xml:space="preserve"> </w:t>
      </w:r>
      <w:r>
        <w:t>agree</w:t>
      </w:r>
      <w:r>
        <w:rPr>
          <w:spacing w:val="17"/>
        </w:rPr>
        <w:t xml:space="preserve"> </w:t>
      </w:r>
      <w:r>
        <w:rPr>
          <w:spacing w:val="-1"/>
        </w:rPr>
        <w:t>that</w:t>
      </w:r>
      <w:r>
        <w:rPr>
          <w:spacing w:val="19"/>
        </w:rPr>
        <w:t xml:space="preserve"> </w:t>
      </w:r>
      <w:r>
        <w:t>the</w:t>
      </w:r>
      <w:r>
        <w:rPr>
          <w:spacing w:val="15"/>
        </w:rPr>
        <w:t xml:space="preserve"> </w:t>
      </w:r>
      <w:r>
        <w:rPr>
          <w:spacing w:val="-1"/>
        </w:rPr>
        <w:t>commencement</w:t>
      </w:r>
      <w:r>
        <w:rPr>
          <w:spacing w:val="19"/>
        </w:rPr>
        <w:t xml:space="preserve"> </w:t>
      </w:r>
      <w:r>
        <w:rPr>
          <w:spacing w:val="-2"/>
        </w:rPr>
        <w:t>of</w:t>
      </w:r>
      <w:r>
        <w:rPr>
          <w:spacing w:val="19"/>
        </w:rPr>
        <w:t xml:space="preserve"> </w:t>
      </w:r>
      <w:r>
        <w:t>the</w:t>
      </w:r>
      <w:r>
        <w:rPr>
          <w:spacing w:val="17"/>
        </w:rPr>
        <w:t xml:space="preserve"> </w:t>
      </w:r>
      <w:r>
        <w:rPr>
          <w:spacing w:val="-2"/>
        </w:rPr>
        <w:t>provision</w:t>
      </w:r>
      <w:r>
        <w:rPr>
          <w:spacing w:val="17"/>
        </w:rPr>
        <w:t xml:space="preserve"> </w:t>
      </w:r>
      <w:r>
        <w:rPr>
          <w:spacing w:val="-1"/>
        </w:rPr>
        <w:t>of</w:t>
      </w:r>
      <w:r>
        <w:rPr>
          <w:spacing w:val="44"/>
        </w:rPr>
        <w:t xml:space="preserve"> </w:t>
      </w:r>
      <w:r>
        <w:t xml:space="preserve">the </w:t>
      </w:r>
      <w:r>
        <w:rPr>
          <w:spacing w:val="-1"/>
        </w:rPr>
        <w:t>Goods</w:t>
      </w:r>
      <w:r>
        <w:rPr>
          <w:spacing w:val="1"/>
        </w:rPr>
        <w:t xml:space="preserve"> </w:t>
      </w:r>
      <w:r>
        <w:rPr>
          <w:spacing w:val="-1"/>
        </w:rPr>
        <w:t>and/or</w:t>
      </w:r>
      <w:r>
        <w:rPr>
          <w:spacing w:val="2"/>
        </w:rPr>
        <w:t xml:space="preserve"> </w:t>
      </w:r>
      <w:r>
        <w:rPr>
          <w:spacing w:val="-1"/>
        </w:rPr>
        <w:t>Services</w:t>
      </w:r>
      <w:r>
        <w:rPr>
          <w:spacing w:val="2"/>
        </w:rPr>
        <w:t xml:space="preserve"> </w:t>
      </w:r>
      <w:r>
        <w:rPr>
          <w:spacing w:val="-1"/>
        </w:rPr>
        <w:t>or</w:t>
      </w:r>
      <w:r>
        <w:rPr>
          <w:spacing w:val="2"/>
        </w:rPr>
        <w:t xml:space="preserve"> </w:t>
      </w:r>
      <w:r>
        <w:rPr>
          <w:spacing w:val="-2"/>
        </w:rPr>
        <w:t>of</w:t>
      </w:r>
      <w:r>
        <w:rPr>
          <w:spacing w:val="4"/>
        </w:rPr>
        <w:t xml:space="preserve"> </w:t>
      </w:r>
      <w:r>
        <w:rPr>
          <w:spacing w:val="-1"/>
        </w:rPr>
        <w:t>any</w:t>
      </w:r>
      <w:r>
        <w:rPr>
          <w:spacing w:val="-2"/>
        </w:rPr>
        <w:t xml:space="preserve"> </w:t>
      </w:r>
      <w:r>
        <w:rPr>
          <w:spacing w:val="-1"/>
        </w:rPr>
        <w:t>part</w:t>
      </w:r>
      <w:r>
        <w:rPr>
          <w:spacing w:val="2"/>
        </w:rPr>
        <w:t xml:space="preserve"> </w:t>
      </w:r>
      <w:r>
        <w:rPr>
          <w:spacing w:val="-2"/>
        </w:rPr>
        <w:t>of</w:t>
      </w:r>
      <w:r>
        <w:rPr>
          <w:spacing w:val="2"/>
        </w:rPr>
        <w:t xml:space="preserve"> </w:t>
      </w:r>
      <w:r>
        <w:t xml:space="preserve">the </w:t>
      </w:r>
      <w:r>
        <w:rPr>
          <w:spacing w:val="-1"/>
        </w:rPr>
        <w:t>Goods</w:t>
      </w:r>
      <w:r>
        <w:rPr>
          <w:spacing w:val="1"/>
        </w:rPr>
        <w:t xml:space="preserve"> </w:t>
      </w:r>
      <w:r>
        <w:rPr>
          <w:spacing w:val="-1"/>
        </w:rPr>
        <w:t>and/or</w:t>
      </w:r>
      <w:r>
        <w:rPr>
          <w:spacing w:val="2"/>
        </w:rPr>
        <w:t xml:space="preserve"> </w:t>
      </w:r>
      <w:r>
        <w:rPr>
          <w:spacing w:val="-1"/>
        </w:rPr>
        <w:t>Services</w:t>
      </w:r>
      <w:r>
        <w:rPr>
          <w:spacing w:val="2"/>
        </w:rPr>
        <w:t xml:space="preserve"> </w:t>
      </w:r>
      <w:r>
        <w:rPr>
          <w:spacing w:val="-2"/>
        </w:rPr>
        <w:t>will</w:t>
      </w:r>
      <w:r>
        <w:rPr>
          <w:spacing w:val="2"/>
        </w:rPr>
        <w:t xml:space="preserve"> </w:t>
      </w:r>
      <w:r>
        <w:rPr>
          <w:spacing w:val="-1"/>
        </w:rPr>
        <w:t>not</w:t>
      </w:r>
      <w:r>
        <w:rPr>
          <w:spacing w:val="2"/>
        </w:rPr>
        <w:t xml:space="preserve"> </w:t>
      </w:r>
      <w:r>
        <w:rPr>
          <w:spacing w:val="-1"/>
        </w:rPr>
        <w:t>be</w:t>
      </w:r>
      <w:r>
        <w:t xml:space="preserve"> a</w:t>
      </w:r>
      <w:r>
        <w:rPr>
          <w:spacing w:val="37"/>
        </w:rPr>
        <w:t xml:space="preserve"> </w:t>
      </w:r>
      <w:r>
        <w:rPr>
          <w:spacing w:val="-2"/>
        </w:rPr>
        <w:t>Relevant</w:t>
      </w:r>
      <w:r>
        <w:rPr>
          <w:spacing w:val="7"/>
        </w:rPr>
        <w:t xml:space="preserve"> </w:t>
      </w:r>
      <w:r>
        <w:rPr>
          <w:spacing w:val="-1"/>
        </w:rPr>
        <w:t>Transfer</w:t>
      </w:r>
      <w:r>
        <w:rPr>
          <w:spacing w:val="6"/>
        </w:rPr>
        <w:t xml:space="preserve"> </w:t>
      </w:r>
      <w:r>
        <w:rPr>
          <w:spacing w:val="-1"/>
        </w:rPr>
        <w:t>in</w:t>
      </w:r>
      <w:r>
        <w:rPr>
          <w:spacing w:val="6"/>
        </w:rPr>
        <w:t xml:space="preserve"> </w:t>
      </w:r>
      <w:r>
        <w:rPr>
          <w:spacing w:val="-1"/>
        </w:rPr>
        <w:t>relation</w:t>
      </w:r>
      <w:r>
        <w:rPr>
          <w:spacing w:val="5"/>
        </w:rPr>
        <w:t xml:space="preserve"> </w:t>
      </w:r>
      <w:r>
        <w:t>to</w:t>
      </w:r>
      <w:r>
        <w:rPr>
          <w:spacing w:val="5"/>
        </w:rPr>
        <w:t xml:space="preserve"> </w:t>
      </w:r>
      <w:r>
        <w:rPr>
          <w:spacing w:val="-1"/>
        </w:rPr>
        <w:t>any</w:t>
      </w:r>
      <w:r>
        <w:rPr>
          <w:spacing w:val="3"/>
        </w:rPr>
        <w:t xml:space="preserve"> </w:t>
      </w:r>
      <w:r>
        <w:rPr>
          <w:spacing w:val="-2"/>
        </w:rPr>
        <w:t>employees</w:t>
      </w:r>
      <w:r>
        <w:rPr>
          <w:spacing w:val="5"/>
        </w:rPr>
        <w:t xml:space="preserve"> </w:t>
      </w:r>
      <w:r>
        <w:rPr>
          <w:spacing w:val="-1"/>
        </w:rPr>
        <w:t>of</w:t>
      </w:r>
      <w:r>
        <w:rPr>
          <w:spacing w:val="7"/>
        </w:rPr>
        <w:t xml:space="preserve"> </w:t>
      </w:r>
      <w:r>
        <w:t>the</w:t>
      </w:r>
      <w:r>
        <w:rPr>
          <w:spacing w:val="5"/>
        </w:rPr>
        <w:t xml:space="preserve"> </w:t>
      </w:r>
      <w:r>
        <w:rPr>
          <w:spacing w:val="-1"/>
        </w:rPr>
        <w:t>Customer</w:t>
      </w:r>
      <w:r>
        <w:rPr>
          <w:spacing w:val="6"/>
        </w:rPr>
        <w:t xml:space="preserve"> </w:t>
      </w:r>
      <w:r>
        <w:rPr>
          <w:spacing w:val="-1"/>
        </w:rPr>
        <w:t>and/or</w:t>
      </w:r>
      <w:r>
        <w:rPr>
          <w:spacing w:val="6"/>
        </w:rPr>
        <w:t xml:space="preserve"> </w:t>
      </w:r>
      <w:r>
        <w:rPr>
          <w:spacing w:val="-2"/>
        </w:rPr>
        <w:t>any</w:t>
      </w:r>
      <w:r>
        <w:rPr>
          <w:spacing w:val="3"/>
        </w:rPr>
        <w:t xml:space="preserve"> </w:t>
      </w:r>
      <w:r>
        <w:rPr>
          <w:spacing w:val="-1"/>
        </w:rPr>
        <w:t>Former</w:t>
      </w:r>
      <w:r>
        <w:rPr>
          <w:spacing w:val="56"/>
        </w:rPr>
        <w:t xml:space="preserve"> </w:t>
      </w:r>
      <w:r>
        <w:rPr>
          <w:spacing w:val="-1"/>
        </w:rPr>
        <w:t>Supplier.</w:t>
      </w:r>
    </w:p>
    <w:p w:rsidR="008918FA" w:rsidRDefault="008918FA" w:rsidP="008918FA">
      <w:pPr>
        <w:pStyle w:val="BodyText"/>
        <w:numPr>
          <w:ilvl w:val="1"/>
          <w:numId w:val="8"/>
        </w:numPr>
        <w:tabs>
          <w:tab w:val="left" w:pos="829"/>
        </w:tabs>
        <w:ind w:right="112"/>
        <w:jc w:val="both"/>
      </w:pPr>
      <w:bookmarkStart w:id="469" w:name="_bookmark387"/>
      <w:bookmarkEnd w:id="469"/>
      <w:r>
        <w:rPr>
          <w:spacing w:val="-1"/>
        </w:rPr>
        <w:t>If</w:t>
      </w:r>
      <w:r>
        <w:rPr>
          <w:spacing w:val="22"/>
        </w:rPr>
        <w:t xml:space="preserve"> </w:t>
      </w:r>
      <w:r>
        <w:rPr>
          <w:spacing w:val="-1"/>
        </w:rPr>
        <w:t>any</w:t>
      </w:r>
      <w:r>
        <w:rPr>
          <w:spacing w:val="16"/>
        </w:rPr>
        <w:t xml:space="preserve"> </w:t>
      </w:r>
      <w:r>
        <w:rPr>
          <w:spacing w:val="-2"/>
        </w:rPr>
        <w:t>employee</w:t>
      </w:r>
      <w:r>
        <w:rPr>
          <w:spacing w:val="18"/>
        </w:rPr>
        <w:t xml:space="preserve"> </w:t>
      </w:r>
      <w:r>
        <w:rPr>
          <w:spacing w:val="-2"/>
        </w:rPr>
        <w:t>of</w:t>
      </w:r>
      <w:r>
        <w:rPr>
          <w:spacing w:val="22"/>
        </w:rPr>
        <w:t xml:space="preserve"> </w:t>
      </w:r>
      <w:r>
        <w:rPr>
          <w:spacing w:val="-1"/>
        </w:rPr>
        <w:t>the</w:t>
      </w:r>
      <w:r>
        <w:rPr>
          <w:spacing w:val="18"/>
        </w:rPr>
        <w:t xml:space="preserve"> </w:t>
      </w:r>
      <w:r>
        <w:rPr>
          <w:spacing w:val="-1"/>
        </w:rPr>
        <w:t>Customer</w:t>
      </w:r>
      <w:r>
        <w:rPr>
          <w:spacing w:val="20"/>
        </w:rPr>
        <w:t xml:space="preserve"> </w:t>
      </w:r>
      <w:r>
        <w:rPr>
          <w:spacing w:val="-1"/>
        </w:rPr>
        <w:t>and/or</w:t>
      </w:r>
      <w:r>
        <w:rPr>
          <w:spacing w:val="20"/>
        </w:rPr>
        <w:t xml:space="preserve"> </w:t>
      </w:r>
      <w:r>
        <w:t>a</w:t>
      </w:r>
      <w:r>
        <w:rPr>
          <w:spacing w:val="16"/>
        </w:rPr>
        <w:t xml:space="preserve"> </w:t>
      </w:r>
      <w:r>
        <w:rPr>
          <w:spacing w:val="-1"/>
        </w:rPr>
        <w:t>Former</w:t>
      </w:r>
      <w:r>
        <w:rPr>
          <w:spacing w:val="20"/>
        </w:rPr>
        <w:t xml:space="preserve"> </w:t>
      </w:r>
      <w:r>
        <w:rPr>
          <w:spacing w:val="-2"/>
        </w:rPr>
        <w:t>Supplier</w:t>
      </w:r>
      <w:r>
        <w:rPr>
          <w:spacing w:val="20"/>
        </w:rPr>
        <w:t xml:space="preserve"> </w:t>
      </w:r>
      <w:r>
        <w:rPr>
          <w:spacing w:val="-2"/>
        </w:rPr>
        <w:t>claims,</w:t>
      </w:r>
      <w:r>
        <w:rPr>
          <w:spacing w:val="20"/>
        </w:rPr>
        <w:t xml:space="preserve"> </w:t>
      </w:r>
      <w:r>
        <w:rPr>
          <w:spacing w:val="-1"/>
        </w:rPr>
        <w:t>or</w:t>
      </w:r>
      <w:r>
        <w:rPr>
          <w:spacing w:val="20"/>
        </w:rPr>
        <w:t xml:space="preserve"> </w:t>
      </w:r>
      <w:r>
        <w:rPr>
          <w:spacing w:val="-1"/>
        </w:rPr>
        <w:t>it</w:t>
      </w:r>
      <w:r>
        <w:rPr>
          <w:spacing w:val="17"/>
        </w:rPr>
        <w:t xml:space="preserve"> </w:t>
      </w:r>
      <w:r>
        <w:rPr>
          <w:spacing w:val="-1"/>
        </w:rPr>
        <w:t>is</w:t>
      </w:r>
      <w:r>
        <w:rPr>
          <w:spacing w:val="55"/>
        </w:rPr>
        <w:t xml:space="preserve"> </w:t>
      </w:r>
      <w:r>
        <w:rPr>
          <w:spacing w:val="-1"/>
        </w:rPr>
        <w:t>determined</w:t>
      </w:r>
      <w:r>
        <w:rPr>
          <w:spacing w:val="10"/>
        </w:rPr>
        <w:t xml:space="preserve"> </w:t>
      </w: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8"/>
        </w:rPr>
        <w:t xml:space="preserve"> </w:t>
      </w:r>
      <w:r>
        <w:rPr>
          <w:spacing w:val="-1"/>
        </w:rPr>
        <w:t>employee</w:t>
      </w:r>
      <w:r>
        <w:rPr>
          <w:spacing w:val="10"/>
        </w:rPr>
        <w:t xml:space="preserve"> </w:t>
      </w:r>
      <w:r>
        <w:rPr>
          <w:spacing w:val="-1"/>
        </w:rPr>
        <w:t>of</w:t>
      </w:r>
      <w:r>
        <w:rPr>
          <w:spacing w:val="14"/>
        </w:rPr>
        <w:t xml:space="preserve"> </w:t>
      </w:r>
      <w:r>
        <w:t>the</w:t>
      </w:r>
      <w:r>
        <w:rPr>
          <w:spacing w:val="10"/>
        </w:rPr>
        <w:t xml:space="preserve"> </w:t>
      </w:r>
      <w:r>
        <w:rPr>
          <w:spacing w:val="-2"/>
        </w:rPr>
        <w:t>Customer</w:t>
      </w:r>
      <w:r>
        <w:rPr>
          <w:spacing w:val="11"/>
        </w:rPr>
        <w:t xml:space="preserve"> </w:t>
      </w:r>
      <w:r>
        <w:rPr>
          <w:spacing w:val="-1"/>
        </w:rPr>
        <w:t>and/or</w:t>
      </w:r>
      <w:r>
        <w:rPr>
          <w:spacing w:val="11"/>
        </w:rPr>
        <w:t xml:space="preserve"> </w:t>
      </w:r>
      <w:r>
        <w:t>a</w:t>
      </w:r>
      <w:r>
        <w:rPr>
          <w:spacing w:val="10"/>
        </w:rPr>
        <w:t xml:space="preserve"> </w:t>
      </w:r>
      <w:r>
        <w:rPr>
          <w:spacing w:val="-1"/>
        </w:rPr>
        <w:t>Former</w:t>
      </w:r>
      <w:r>
        <w:rPr>
          <w:spacing w:val="9"/>
        </w:rPr>
        <w:t xml:space="preserve"> </w:t>
      </w:r>
      <w:r>
        <w:rPr>
          <w:spacing w:val="-1"/>
        </w:rPr>
        <w:t>Supplier,</w:t>
      </w:r>
      <w:r>
        <w:rPr>
          <w:spacing w:val="37"/>
        </w:rPr>
        <w:t xml:space="preserve"> </w:t>
      </w:r>
      <w:r>
        <w:rPr>
          <w:spacing w:val="-1"/>
        </w:rPr>
        <w:t>that</w:t>
      </w:r>
      <w:r>
        <w:rPr>
          <w:spacing w:val="2"/>
        </w:rPr>
        <w:t xml:space="preserve"> </w:t>
      </w:r>
      <w:r>
        <w:rPr>
          <w:spacing w:val="-1"/>
        </w:rPr>
        <w:t>his/her</w:t>
      </w:r>
      <w:r>
        <w:rPr>
          <w:spacing w:val="2"/>
        </w:rPr>
        <w:t xml:space="preserve"> </w:t>
      </w:r>
      <w:r>
        <w:rPr>
          <w:spacing w:val="-1"/>
        </w:rPr>
        <w:t>contract</w:t>
      </w:r>
      <w:r>
        <w:rPr>
          <w:spacing w:val="2"/>
        </w:rPr>
        <w:t xml:space="preserve"> </w:t>
      </w:r>
      <w:r>
        <w:rPr>
          <w:spacing w:val="-2"/>
        </w:rPr>
        <w:t>of</w:t>
      </w:r>
      <w:r>
        <w:rPr>
          <w:spacing w:val="4"/>
        </w:rPr>
        <w:t xml:space="preserve"> </w:t>
      </w:r>
      <w:r>
        <w:rPr>
          <w:spacing w:val="-1"/>
        </w:rPr>
        <w:t>employment</w:t>
      </w:r>
      <w:r>
        <w:rPr>
          <w:spacing w:val="2"/>
        </w:rPr>
        <w:t xml:space="preserve"> </w:t>
      </w:r>
      <w:r>
        <w:rPr>
          <w:spacing w:val="-1"/>
        </w:rPr>
        <w:t>has</w:t>
      </w:r>
      <w:r>
        <w:rPr>
          <w:spacing w:val="1"/>
        </w:rPr>
        <w:t xml:space="preserve"> </w:t>
      </w:r>
      <w:r>
        <w:rPr>
          <w:spacing w:val="-1"/>
        </w:rPr>
        <w:t>been</w:t>
      </w:r>
      <w:r>
        <w:t xml:space="preserve"> </w:t>
      </w:r>
      <w:r>
        <w:rPr>
          <w:spacing w:val="-1"/>
        </w:rPr>
        <w:t>transferred</w:t>
      </w:r>
      <w:r>
        <w:rPr>
          <w:spacing w:val="-2"/>
        </w:rPr>
        <w:t xml:space="preserve"> </w:t>
      </w:r>
      <w:r>
        <w:t>from</w:t>
      </w:r>
      <w:r>
        <w:rPr>
          <w:spacing w:val="2"/>
        </w:rPr>
        <w:t xml:space="preserve"> </w:t>
      </w:r>
      <w:r>
        <w:t xml:space="preserve">the </w:t>
      </w:r>
      <w:r>
        <w:rPr>
          <w:spacing w:val="-1"/>
        </w:rPr>
        <w:t>Customer</w:t>
      </w:r>
      <w:r>
        <w:rPr>
          <w:spacing w:val="2"/>
        </w:rPr>
        <w:t xml:space="preserve"> </w:t>
      </w:r>
      <w:r>
        <w:rPr>
          <w:spacing w:val="-2"/>
        </w:rPr>
        <w:t>and/or</w:t>
      </w:r>
      <w:r>
        <w:rPr>
          <w:spacing w:val="41"/>
        </w:rPr>
        <w:t xml:space="preserve"> </w:t>
      </w:r>
      <w:r>
        <w:t>the</w:t>
      </w:r>
      <w:r>
        <w:rPr>
          <w:spacing w:val="46"/>
        </w:rPr>
        <w:t xml:space="preserve"> </w:t>
      </w:r>
      <w:r>
        <w:rPr>
          <w:spacing w:val="-1"/>
        </w:rPr>
        <w:t>Former</w:t>
      </w:r>
      <w:r>
        <w:rPr>
          <w:spacing w:val="47"/>
        </w:rPr>
        <w:t xml:space="preserve"> </w:t>
      </w:r>
      <w:r>
        <w:rPr>
          <w:spacing w:val="-2"/>
        </w:rPr>
        <w:t>Supplier</w:t>
      </w:r>
      <w:r>
        <w:rPr>
          <w:spacing w:val="47"/>
        </w:rPr>
        <w:t xml:space="preserve"> </w:t>
      </w:r>
      <w:r>
        <w:t>to</w:t>
      </w:r>
      <w:r>
        <w:rPr>
          <w:spacing w:val="43"/>
        </w:rPr>
        <w:t xml:space="preserve"> </w:t>
      </w:r>
      <w:r>
        <w:t>the</w:t>
      </w:r>
      <w:r>
        <w:rPr>
          <w:spacing w:val="46"/>
        </w:rPr>
        <w:t xml:space="preserve"> </w:t>
      </w:r>
      <w:r>
        <w:rPr>
          <w:spacing w:val="-2"/>
        </w:rPr>
        <w:t>Supplier</w:t>
      </w:r>
      <w:r>
        <w:rPr>
          <w:spacing w:val="47"/>
        </w:rPr>
        <w:t xml:space="preserve"> </w:t>
      </w:r>
      <w:r>
        <w:rPr>
          <w:spacing w:val="-1"/>
        </w:rPr>
        <w:t>and/or</w:t>
      </w:r>
      <w:r>
        <w:rPr>
          <w:spacing w:val="48"/>
        </w:rPr>
        <w:t xml:space="preserve"> </w:t>
      </w:r>
      <w:r>
        <w:rPr>
          <w:spacing w:val="-1"/>
        </w:rPr>
        <w:t>any</w:t>
      </w:r>
      <w:r>
        <w:rPr>
          <w:spacing w:val="44"/>
        </w:rPr>
        <w:t xml:space="preserve"> </w:t>
      </w:r>
      <w:r>
        <w:rPr>
          <w:spacing w:val="-1"/>
        </w:rPr>
        <w:t>Sub-Contractor</w:t>
      </w:r>
      <w:r>
        <w:rPr>
          <w:spacing w:val="47"/>
        </w:rPr>
        <w:t xml:space="preserve"> </w:t>
      </w:r>
      <w:r>
        <w:rPr>
          <w:spacing w:val="-2"/>
        </w:rPr>
        <w:t>pursuant</w:t>
      </w:r>
      <w:r>
        <w:rPr>
          <w:spacing w:val="47"/>
        </w:rPr>
        <w:t xml:space="preserve"> </w:t>
      </w:r>
      <w:r>
        <w:t>to</w:t>
      </w:r>
      <w:r>
        <w:rPr>
          <w:spacing w:val="43"/>
        </w:rPr>
        <w:t xml:space="preserve"> </w:t>
      </w:r>
      <w:r>
        <w:rPr>
          <w:spacing w:val="-1"/>
        </w:rPr>
        <w:t>the</w:t>
      </w:r>
      <w:r>
        <w:rPr>
          <w:spacing w:val="71"/>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or </w:t>
      </w:r>
      <w:r>
        <w:t>the</w:t>
      </w:r>
      <w:r>
        <w:rPr>
          <w:spacing w:val="-2"/>
        </w:rPr>
        <w:t xml:space="preserve"> </w:t>
      </w:r>
      <w:r>
        <w:rPr>
          <w:spacing w:val="-1"/>
        </w:rPr>
        <w:t>Acquired</w:t>
      </w:r>
      <w:r>
        <w:t xml:space="preserve"> </w:t>
      </w:r>
      <w:r>
        <w:rPr>
          <w:spacing w:val="-2"/>
        </w:rPr>
        <w:t>Rights Directive</w:t>
      </w:r>
      <w:r>
        <w:t xml:space="preserve"> </w:t>
      </w:r>
      <w:r>
        <w:rPr>
          <w:spacing w:val="-1"/>
        </w:rPr>
        <w:t>then:</w:t>
      </w:r>
    </w:p>
    <w:p w:rsidR="008918FA" w:rsidRDefault="008918FA" w:rsidP="008918FA">
      <w:pPr>
        <w:pStyle w:val="BodyText"/>
        <w:numPr>
          <w:ilvl w:val="2"/>
          <w:numId w:val="8"/>
        </w:numPr>
        <w:tabs>
          <w:tab w:val="left" w:pos="2027"/>
        </w:tabs>
        <w:ind w:right="115"/>
        <w:jc w:val="both"/>
      </w:pPr>
      <w:r>
        <w:t>the</w:t>
      </w:r>
      <w:r>
        <w:rPr>
          <w:spacing w:val="24"/>
        </w:rPr>
        <w:t xml:space="preserve"> </w:t>
      </w:r>
      <w:r>
        <w:rPr>
          <w:spacing w:val="-2"/>
        </w:rPr>
        <w:t>Supplier</w:t>
      </w:r>
      <w:r>
        <w:rPr>
          <w:spacing w:val="26"/>
        </w:rPr>
        <w:t xml:space="preserve"> </w:t>
      </w:r>
      <w:r>
        <w:rPr>
          <w:spacing w:val="-1"/>
        </w:rPr>
        <w:t>shall,</w:t>
      </w:r>
      <w:r>
        <w:rPr>
          <w:spacing w:val="26"/>
        </w:rPr>
        <w:t xml:space="preserve"> </w:t>
      </w:r>
      <w:r>
        <w:rPr>
          <w:spacing w:val="-1"/>
        </w:rPr>
        <w:t>and</w:t>
      </w:r>
      <w:r>
        <w:rPr>
          <w:spacing w:val="24"/>
        </w:rPr>
        <w:t xml:space="preserve"> </w:t>
      </w:r>
      <w:r>
        <w:rPr>
          <w:spacing w:val="-1"/>
        </w:rPr>
        <w:t>shall</w:t>
      </w:r>
      <w:r>
        <w:rPr>
          <w:spacing w:val="24"/>
        </w:rPr>
        <w:t xml:space="preserve"> </w:t>
      </w:r>
      <w:r>
        <w:rPr>
          <w:spacing w:val="-1"/>
        </w:rPr>
        <w:t>procure</w:t>
      </w:r>
      <w:r>
        <w:rPr>
          <w:spacing w:val="24"/>
        </w:rPr>
        <w:t xml:space="preserve"> </w:t>
      </w:r>
      <w:r>
        <w:rPr>
          <w:spacing w:val="-1"/>
        </w:rPr>
        <w:t>that</w:t>
      </w:r>
      <w:r>
        <w:rPr>
          <w:spacing w:val="26"/>
        </w:rPr>
        <w:t xml:space="preserve"> </w:t>
      </w:r>
      <w:r>
        <w:t>the</w:t>
      </w:r>
      <w:r>
        <w:rPr>
          <w:spacing w:val="24"/>
        </w:rPr>
        <w:t xml:space="preserve"> </w:t>
      </w:r>
      <w:r>
        <w:rPr>
          <w:spacing w:val="-2"/>
        </w:rPr>
        <w:t>relevant</w:t>
      </w:r>
      <w:r>
        <w:rPr>
          <w:spacing w:val="26"/>
        </w:rPr>
        <w:t xml:space="preserve"> </w:t>
      </w:r>
      <w:r>
        <w:rPr>
          <w:spacing w:val="-1"/>
        </w:rPr>
        <w:t>Sub-Contractor</w:t>
      </w:r>
      <w:r>
        <w:rPr>
          <w:spacing w:val="54"/>
        </w:rPr>
        <w:t xml:space="preserve"> </w:t>
      </w:r>
      <w:r>
        <w:rPr>
          <w:spacing w:val="-2"/>
        </w:rPr>
        <w:t>shall,</w:t>
      </w:r>
      <w:r>
        <w:rPr>
          <w:spacing w:val="9"/>
        </w:rPr>
        <w:t xml:space="preserve"> </w:t>
      </w:r>
      <w:r>
        <w:rPr>
          <w:spacing w:val="-2"/>
        </w:rPr>
        <w:t>within</w:t>
      </w:r>
      <w:r>
        <w:rPr>
          <w:spacing w:val="7"/>
        </w:rPr>
        <w:t xml:space="preserve"> </w:t>
      </w:r>
      <w:r>
        <w:rPr>
          <w:spacing w:val="-1"/>
        </w:rPr>
        <w:t>five</w:t>
      </w:r>
      <w:r>
        <w:rPr>
          <w:spacing w:val="7"/>
        </w:rPr>
        <w:t xml:space="preserve"> </w:t>
      </w:r>
      <w:r>
        <w:t>(5)</w:t>
      </w:r>
      <w:r>
        <w:rPr>
          <w:spacing w:val="-6"/>
        </w:rPr>
        <w:t xml:space="preserve"> </w:t>
      </w:r>
      <w:r>
        <w:rPr>
          <w:spacing w:val="-1"/>
        </w:rPr>
        <w:t>Working</w:t>
      </w:r>
      <w:r>
        <w:rPr>
          <w:spacing w:val="10"/>
        </w:rPr>
        <w:t xml:space="preserve"> </w:t>
      </w:r>
      <w:r>
        <w:rPr>
          <w:spacing w:val="-2"/>
        </w:rPr>
        <w:t>Days</w:t>
      </w:r>
      <w:r>
        <w:rPr>
          <w:spacing w:val="8"/>
        </w:rPr>
        <w:t xml:space="preserve"> </w:t>
      </w:r>
      <w:r>
        <w:rPr>
          <w:spacing w:val="-2"/>
        </w:rPr>
        <w:t>of</w:t>
      </w:r>
      <w:r>
        <w:rPr>
          <w:spacing w:val="11"/>
        </w:rPr>
        <w:t xml:space="preserve"> </w:t>
      </w:r>
      <w:r>
        <w:rPr>
          <w:spacing w:val="-2"/>
        </w:rPr>
        <w:t>becoming</w:t>
      </w:r>
      <w:r>
        <w:rPr>
          <w:spacing w:val="10"/>
        </w:rPr>
        <w:t xml:space="preserve"> </w:t>
      </w:r>
      <w:r>
        <w:rPr>
          <w:spacing w:val="-2"/>
        </w:rPr>
        <w:t>aware</w:t>
      </w:r>
      <w:r>
        <w:rPr>
          <w:spacing w:val="7"/>
        </w:rPr>
        <w:t xml:space="preserve"> </w:t>
      </w:r>
      <w:r>
        <w:rPr>
          <w:spacing w:val="-1"/>
        </w:rPr>
        <w:t>of</w:t>
      </w:r>
      <w:r>
        <w:rPr>
          <w:spacing w:val="9"/>
        </w:rPr>
        <w:t xml:space="preserve"> </w:t>
      </w:r>
      <w:r>
        <w:rPr>
          <w:spacing w:val="-1"/>
        </w:rPr>
        <w:t>that</w:t>
      </w:r>
      <w:r>
        <w:rPr>
          <w:spacing w:val="4"/>
        </w:rPr>
        <w:t xml:space="preserve"> </w:t>
      </w:r>
      <w:r>
        <w:t>fact,</w:t>
      </w:r>
      <w:r>
        <w:rPr>
          <w:spacing w:val="4"/>
        </w:rPr>
        <w:t xml:space="preserve"> </w:t>
      </w:r>
      <w:r>
        <w:rPr>
          <w:spacing w:val="-1"/>
        </w:rPr>
        <w:t>give</w:t>
      </w:r>
      <w:r>
        <w:rPr>
          <w:spacing w:val="65"/>
        </w:rPr>
        <w:t xml:space="preserve"> </w:t>
      </w:r>
      <w:r>
        <w:rPr>
          <w:spacing w:val="-1"/>
        </w:rPr>
        <w:t>notice</w:t>
      </w:r>
      <w:r>
        <w:rPr>
          <w:spacing w:val="1"/>
        </w:rPr>
        <w:t xml:space="preserve"> </w:t>
      </w:r>
      <w:r>
        <w:rPr>
          <w:spacing w:val="-1"/>
        </w:rPr>
        <w:t>in</w:t>
      </w:r>
      <w:r>
        <w:rPr>
          <w:spacing w:val="3"/>
        </w:rPr>
        <w:t xml:space="preserve"> </w:t>
      </w:r>
      <w:r>
        <w:rPr>
          <w:spacing w:val="-2"/>
        </w:rPr>
        <w:t>writing</w:t>
      </w:r>
      <w:r>
        <w:rPr>
          <w:spacing w:val="3"/>
        </w:rPr>
        <w:t xml:space="preserve"> </w:t>
      </w:r>
      <w:r>
        <w:t xml:space="preserve">to the </w:t>
      </w:r>
      <w:r>
        <w:rPr>
          <w:spacing w:val="-1"/>
        </w:rPr>
        <w:t>Customer</w:t>
      </w:r>
      <w:r>
        <w:rPr>
          <w:spacing w:val="2"/>
        </w:rPr>
        <w:t xml:space="preserve"> </w:t>
      </w:r>
      <w:r>
        <w:rPr>
          <w:spacing w:val="-1"/>
        </w:rPr>
        <w:t>and,</w:t>
      </w:r>
      <w:r>
        <w:rPr>
          <w:spacing w:val="2"/>
        </w:rPr>
        <w:t xml:space="preserve"> </w:t>
      </w:r>
      <w:r>
        <w:rPr>
          <w:spacing w:val="-2"/>
        </w:rPr>
        <w:t>where</w:t>
      </w:r>
      <w:r>
        <w:t xml:space="preserve"> </w:t>
      </w:r>
      <w:r>
        <w:rPr>
          <w:spacing w:val="-1"/>
        </w:rPr>
        <w:t>required</w:t>
      </w:r>
      <w:r>
        <w:t xml:space="preserve"> </w:t>
      </w:r>
      <w:r>
        <w:rPr>
          <w:spacing w:val="-1"/>
        </w:rPr>
        <w:t>by</w:t>
      </w:r>
      <w:r>
        <w:rPr>
          <w:spacing w:val="1"/>
        </w:rPr>
        <w:t xml:space="preserve"> </w:t>
      </w:r>
      <w:r>
        <w:t xml:space="preserve">the </w:t>
      </w:r>
      <w:r>
        <w:rPr>
          <w:spacing w:val="-1"/>
        </w:rPr>
        <w:t>Customer,</w:t>
      </w:r>
      <w:r>
        <w:rPr>
          <w:spacing w:val="43"/>
        </w:rPr>
        <w:t xml:space="preserve"> </w:t>
      </w:r>
      <w:r>
        <w:rPr>
          <w:spacing w:val="-1"/>
        </w:rPr>
        <w:t>give</w:t>
      </w:r>
      <w:r>
        <w:t xml:space="preserve"> </w:t>
      </w:r>
      <w:r>
        <w:rPr>
          <w:spacing w:val="-1"/>
        </w:rPr>
        <w:t>notice</w:t>
      </w:r>
      <w:r>
        <w:rPr>
          <w:spacing w:val="-2"/>
        </w:rPr>
        <w:t xml:space="preserve"> </w:t>
      </w:r>
      <w:r>
        <w:t>to</w:t>
      </w:r>
      <w:r>
        <w:rPr>
          <w:spacing w:val="-2"/>
        </w:rPr>
        <w:t xml:space="preserve"> </w:t>
      </w:r>
      <w:r>
        <w:t xml:space="preserve">the </w:t>
      </w:r>
      <w:r>
        <w:rPr>
          <w:spacing w:val="-2"/>
        </w:rPr>
        <w:t>Former</w:t>
      </w:r>
      <w:r>
        <w:rPr>
          <w:spacing w:val="-1"/>
        </w:rPr>
        <w:t xml:space="preserve"> Supplier;</w:t>
      </w:r>
      <w:r>
        <w:rPr>
          <w:spacing w:val="2"/>
        </w:rPr>
        <w:t xml:space="preserve"> </w:t>
      </w:r>
      <w:r>
        <w:rPr>
          <w:spacing w:val="-1"/>
        </w:rPr>
        <w:t>and</w:t>
      </w:r>
    </w:p>
    <w:p w:rsidR="008918FA" w:rsidRDefault="008918FA" w:rsidP="008918FA">
      <w:pPr>
        <w:pStyle w:val="BodyText"/>
        <w:numPr>
          <w:ilvl w:val="2"/>
          <w:numId w:val="8"/>
        </w:numPr>
        <w:tabs>
          <w:tab w:val="left" w:pos="2027"/>
        </w:tabs>
        <w:ind w:right="113"/>
        <w:jc w:val="both"/>
      </w:pPr>
      <w:bookmarkStart w:id="470" w:name="_bookmark388"/>
      <w:bookmarkEnd w:id="470"/>
      <w:r>
        <w:t>the</w:t>
      </w:r>
      <w:r>
        <w:rPr>
          <w:spacing w:val="31"/>
        </w:rPr>
        <w:t xml:space="preserve"> </w:t>
      </w:r>
      <w:r>
        <w:rPr>
          <w:spacing w:val="-1"/>
        </w:rPr>
        <w:t>Customer</w:t>
      </w:r>
      <w:r>
        <w:rPr>
          <w:spacing w:val="30"/>
        </w:rPr>
        <w:t xml:space="preserve"> </w:t>
      </w:r>
      <w:r>
        <w:rPr>
          <w:spacing w:val="-1"/>
        </w:rPr>
        <w:t>and/or</w:t>
      </w:r>
      <w:r>
        <w:rPr>
          <w:spacing w:val="33"/>
        </w:rPr>
        <w:t xml:space="preserve"> </w:t>
      </w:r>
      <w:r>
        <w:rPr>
          <w:spacing w:val="-1"/>
        </w:rPr>
        <w:t>the</w:t>
      </w:r>
      <w:r>
        <w:rPr>
          <w:spacing w:val="31"/>
        </w:rPr>
        <w:t xml:space="preserve"> </w:t>
      </w:r>
      <w:r>
        <w:rPr>
          <w:spacing w:val="-1"/>
        </w:rPr>
        <w:t>Former</w:t>
      </w:r>
      <w:r>
        <w:rPr>
          <w:spacing w:val="33"/>
        </w:rPr>
        <w:t xml:space="preserve"> </w:t>
      </w:r>
      <w:r>
        <w:rPr>
          <w:spacing w:val="-2"/>
        </w:rPr>
        <w:t>Supplier</w:t>
      </w:r>
      <w:r>
        <w:rPr>
          <w:spacing w:val="33"/>
        </w:rPr>
        <w:t xml:space="preserve"> </w:t>
      </w:r>
      <w:r>
        <w:rPr>
          <w:spacing w:val="-1"/>
        </w:rPr>
        <w:t>may</w:t>
      </w:r>
      <w:r>
        <w:rPr>
          <w:spacing w:val="27"/>
        </w:rPr>
        <w:t xml:space="preserve"> </w:t>
      </w:r>
      <w:r>
        <w:rPr>
          <w:spacing w:val="-1"/>
        </w:rPr>
        <w:t>offer</w:t>
      </w:r>
      <w:r>
        <w:rPr>
          <w:spacing w:val="34"/>
        </w:rPr>
        <w:t xml:space="preserve"> </w:t>
      </w:r>
      <w:r>
        <w:rPr>
          <w:spacing w:val="-1"/>
        </w:rPr>
        <w:t>(or</w:t>
      </w:r>
      <w:r>
        <w:rPr>
          <w:spacing w:val="30"/>
        </w:rPr>
        <w:t xml:space="preserve"> </w:t>
      </w:r>
      <w:r>
        <w:rPr>
          <w:spacing w:val="-1"/>
        </w:rPr>
        <w:t>may</w:t>
      </w:r>
      <w:r>
        <w:rPr>
          <w:spacing w:val="30"/>
        </w:rPr>
        <w:t xml:space="preserve"> </w:t>
      </w:r>
      <w:r>
        <w:rPr>
          <w:spacing w:val="-1"/>
        </w:rPr>
        <w:t>procure</w:t>
      </w:r>
      <w:r>
        <w:rPr>
          <w:spacing w:val="45"/>
        </w:rPr>
        <w:t xml:space="preserve"> </w:t>
      </w:r>
      <w:r>
        <w:rPr>
          <w:spacing w:val="-1"/>
        </w:rPr>
        <w:t>that</w:t>
      </w:r>
      <w:r>
        <w:rPr>
          <w:spacing w:val="21"/>
        </w:rPr>
        <w:t xml:space="preserve"> </w:t>
      </w:r>
      <w:r>
        <w:t>a</w:t>
      </w:r>
      <w:r>
        <w:rPr>
          <w:spacing w:val="20"/>
        </w:rPr>
        <w:t xml:space="preserve"> </w:t>
      </w:r>
      <w:r>
        <w:rPr>
          <w:spacing w:val="-1"/>
        </w:rPr>
        <w:t>third</w:t>
      </w:r>
      <w:r>
        <w:rPr>
          <w:spacing w:val="19"/>
        </w:rPr>
        <w:t xml:space="preserve"> </w:t>
      </w:r>
      <w:r>
        <w:rPr>
          <w:spacing w:val="-1"/>
        </w:rPr>
        <w:t>party</w:t>
      </w:r>
      <w:r>
        <w:rPr>
          <w:spacing w:val="18"/>
        </w:rPr>
        <w:t xml:space="preserve"> </w:t>
      </w:r>
      <w:r>
        <w:rPr>
          <w:spacing w:val="-1"/>
        </w:rPr>
        <w:t>may</w:t>
      </w:r>
      <w:r>
        <w:rPr>
          <w:spacing w:val="18"/>
        </w:rPr>
        <w:t xml:space="preserve"> </w:t>
      </w:r>
      <w:r>
        <w:t>offer)</w:t>
      </w:r>
      <w:r>
        <w:rPr>
          <w:spacing w:val="21"/>
        </w:rPr>
        <w:t xml:space="preserve"> </w:t>
      </w:r>
      <w:r>
        <w:rPr>
          <w:spacing w:val="-2"/>
        </w:rPr>
        <w:t>employment</w:t>
      </w:r>
      <w:r>
        <w:rPr>
          <w:spacing w:val="21"/>
        </w:rPr>
        <w:t xml:space="preserve"> </w:t>
      </w:r>
      <w:r>
        <w:t>to</w:t>
      </w:r>
      <w:r>
        <w:rPr>
          <w:spacing w:val="20"/>
        </w:rPr>
        <w:t xml:space="preserve"> </w:t>
      </w:r>
      <w:r>
        <w:rPr>
          <w:spacing w:val="-1"/>
        </w:rPr>
        <w:t>such</w:t>
      </w:r>
      <w:r>
        <w:rPr>
          <w:spacing w:val="18"/>
        </w:rPr>
        <w:t xml:space="preserve"> </w:t>
      </w:r>
      <w:r>
        <w:rPr>
          <w:spacing w:val="-1"/>
        </w:rPr>
        <w:t>person</w:t>
      </w:r>
      <w:r>
        <w:rPr>
          <w:spacing w:val="20"/>
        </w:rPr>
        <w:t xml:space="preserve"> </w:t>
      </w:r>
      <w:r>
        <w:rPr>
          <w:spacing w:val="-1"/>
        </w:rPr>
        <w:t>within</w:t>
      </w:r>
      <w:r>
        <w:rPr>
          <w:spacing w:val="20"/>
        </w:rPr>
        <w:t xml:space="preserve"> </w:t>
      </w:r>
      <w:r>
        <w:rPr>
          <w:spacing w:val="-1"/>
        </w:rPr>
        <w:t>fifteen</w:t>
      </w:r>
    </w:p>
    <w:p w:rsidR="008918FA" w:rsidRDefault="008918FA" w:rsidP="008918FA">
      <w:pPr>
        <w:pStyle w:val="BodyText"/>
        <w:spacing w:before="1"/>
        <w:ind w:left="2026" w:right="113" w:firstLine="0"/>
        <w:jc w:val="both"/>
      </w:pPr>
      <w:r>
        <w:rPr>
          <w:spacing w:val="-1"/>
        </w:rPr>
        <w:t>(15)</w:t>
      </w:r>
      <w:r>
        <w:rPr>
          <w:spacing w:val="-5"/>
        </w:rPr>
        <w:t xml:space="preserve"> </w:t>
      </w:r>
      <w:r>
        <w:rPr>
          <w:spacing w:val="-1"/>
        </w:rPr>
        <w:t>Working</w:t>
      </w:r>
      <w:r>
        <w:rPr>
          <w:spacing w:val="9"/>
        </w:rPr>
        <w:t xml:space="preserve"> </w:t>
      </w:r>
      <w:r>
        <w:rPr>
          <w:spacing w:val="-2"/>
        </w:rPr>
        <w:t>Days</w:t>
      </w:r>
      <w:r>
        <w:rPr>
          <w:spacing w:val="9"/>
        </w:rPr>
        <w:t xml:space="preserve"> </w:t>
      </w:r>
      <w:r>
        <w:rPr>
          <w:spacing w:val="-2"/>
        </w:rPr>
        <w:t>of</w:t>
      </w:r>
      <w:r>
        <w:rPr>
          <w:spacing w:val="10"/>
        </w:rPr>
        <w:t xml:space="preserve"> </w:t>
      </w:r>
      <w:r>
        <w:rPr>
          <w:spacing w:val="-1"/>
        </w:rPr>
        <w:t>the</w:t>
      </w:r>
      <w:r>
        <w:rPr>
          <w:spacing w:val="9"/>
        </w:rPr>
        <w:t xml:space="preserve"> </w:t>
      </w:r>
      <w:r>
        <w:rPr>
          <w:spacing w:val="-1"/>
        </w:rPr>
        <w:t>notification</w:t>
      </w:r>
      <w:r>
        <w:rPr>
          <w:spacing w:val="9"/>
        </w:rPr>
        <w:t xml:space="preserve"> </w:t>
      </w:r>
      <w:r>
        <w:rPr>
          <w:spacing w:val="-1"/>
        </w:rPr>
        <w:t>by</w:t>
      </w:r>
      <w:r>
        <w:rPr>
          <w:spacing w:val="7"/>
        </w:rPr>
        <w:t xml:space="preserve"> </w:t>
      </w:r>
      <w:r>
        <w:t>the</w:t>
      </w:r>
      <w:r>
        <w:rPr>
          <w:spacing w:val="6"/>
        </w:rPr>
        <w:t xml:space="preserve"> </w:t>
      </w:r>
      <w:r>
        <w:rPr>
          <w:spacing w:val="-2"/>
        </w:rPr>
        <w:t>Supplier</w:t>
      </w:r>
      <w:r>
        <w:rPr>
          <w:spacing w:val="10"/>
        </w:rPr>
        <w:t xml:space="preserve"> </w:t>
      </w:r>
      <w:r>
        <w:rPr>
          <w:spacing w:val="-1"/>
        </w:rPr>
        <w:t>or</w:t>
      </w:r>
      <w:r>
        <w:rPr>
          <w:spacing w:val="10"/>
        </w:rPr>
        <w:t xml:space="preserve"> </w:t>
      </w:r>
      <w:r>
        <w:rPr>
          <w:spacing w:val="-1"/>
        </w:rPr>
        <w:t>the</w:t>
      </w:r>
      <w:r>
        <w:rPr>
          <w:spacing w:val="9"/>
        </w:rPr>
        <w:t xml:space="preserve"> </w:t>
      </w:r>
      <w:r>
        <w:rPr>
          <w:spacing w:val="-1"/>
        </w:rPr>
        <w:t>Sub-</w:t>
      </w:r>
      <w:r>
        <w:rPr>
          <w:spacing w:val="47"/>
        </w:rPr>
        <w:t xml:space="preserve"> </w:t>
      </w:r>
      <w:r>
        <w:rPr>
          <w:spacing w:val="-1"/>
        </w:rPr>
        <w:t>Contractor</w:t>
      </w:r>
      <w:r>
        <w:rPr>
          <w:spacing w:val="6"/>
        </w:rPr>
        <w:t xml:space="preserve"> </w:t>
      </w:r>
      <w:r>
        <w:rPr>
          <w:spacing w:val="-1"/>
        </w:rPr>
        <w:t>(as</w:t>
      </w:r>
      <w:r>
        <w:rPr>
          <w:spacing w:val="5"/>
        </w:rPr>
        <w:t xml:space="preserve"> </w:t>
      </w:r>
      <w:r>
        <w:rPr>
          <w:spacing w:val="-1"/>
        </w:rPr>
        <w:t>appropriate)</w:t>
      </w:r>
      <w:r>
        <w:rPr>
          <w:spacing w:val="6"/>
        </w:rPr>
        <w:t xml:space="preserve"> </w:t>
      </w:r>
      <w:r>
        <w:rPr>
          <w:spacing w:val="-1"/>
        </w:rPr>
        <w:t>or</w:t>
      </w:r>
      <w:r>
        <w:rPr>
          <w:spacing w:val="4"/>
        </w:rPr>
        <w:t xml:space="preserve"> </w:t>
      </w:r>
      <w:r>
        <w:t>take</w:t>
      </w:r>
      <w:r>
        <w:rPr>
          <w:spacing w:val="5"/>
        </w:rPr>
        <w:t xml:space="preserve"> </w:t>
      </w:r>
      <w:r>
        <w:rPr>
          <w:spacing w:val="-1"/>
        </w:rPr>
        <w:t>such</w:t>
      </w:r>
      <w:r>
        <w:rPr>
          <w:spacing w:val="5"/>
        </w:rPr>
        <w:t xml:space="preserve"> </w:t>
      </w:r>
      <w:r>
        <w:rPr>
          <w:spacing w:val="-1"/>
        </w:rPr>
        <w:t>other</w:t>
      </w:r>
      <w:r>
        <w:rPr>
          <w:spacing w:val="4"/>
        </w:rPr>
        <w:t xml:space="preserve"> </w:t>
      </w:r>
      <w:r>
        <w:rPr>
          <w:spacing w:val="-1"/>
        </w:rPr>
        <w:t>reasonable</w:t>
      </w:r>
      <w:r>
        <w:rPr>
          <w:spacing w:val="5"/>
        </w:rPr>
        <w:t xml:space="preserve"> </w:t>
      </w:r>
      <w:r>
        <w:rPr>
          <w:spacing w:val="-1"/>
        </w:rPr>
        <w:t>steps</w:t>
      </w:r>
      <w:r>
        <w:rPr>
          <w:spacing w:val="5"/>
        </w:rPr>
        <w:t xml:space="preserve"> </w:t>
      </w:r>
      <w:r>
        <w:rPr>
          <w:spacing w:val="-1"/>
        </w:rPr>
        <w:t>as</w:t>
      </w:r>
      <w:r>
        <w:rPr>
          <w:spacing w:val="5"/>
        </w:rPr>
        <w:t xml:space="preserve"> </w:t>
      </w:r>
      <w:r>
        <w:rPr>
          <w:spacing w:val="-1"/>
        </w:rPr>
        <w:t>the</w:t>
      </w:r>
      <w:r>
        <w:rPr>
          <w:spacing w:val="30"/>
        </w:rPr>
        <w:t xml:space="preserve"> </w:t>
      </w:r>
      <w:r>
        <w:rPr>
          <w:spacing w:val="-1"/>
        </w:rPr>
        <w:t>Customer</w:t>
      </w:r>
      <w:r>
        <w:rPr>
          <w:spacing w:val="46"/>
        </w:rPr>
        <w:t xml:space="preserve"> </w:t>
      </w:r>
      <w:r>
        <w:rPr>
          <w:spacing w:val="-1"/>
        </w:rPr>
        <w:t>or</w:t>
      </w:r>
      <w:r>
        <w:rPr>
          <w:spacing w:val="44"/>
        </w:rPr>
        <w:t xml:space="preserve"> </w:t>
      </w:r>
      <w:r>
        <w:rPr>
          <w:spacing w:val="-1"/>
        </w:rPr>
        <w:t>Former</w:t>
      </w:r>
      <w:r>
        <w:rPr>
          <w:spacing w:val="44"/>
        </w:rPr>
        <w:t xml:space="preserve"> </w:t>
      </w:r>
      <w:r>
        <w:rPr>
          <w:spacing w:val="-2"/>
        </w:rPr>
        <w:t>Supplier</w:t>
      </w:r>
      <w:r>
        <w:rPr>
          <w:spacing w:val="46"/>
        </w:rPr>
        <w:t xml:space="preserve"> </w:t>
      </w:r>
      <w:r>
        <w:rPr>
          <w:spacing w:val="-1"/>
        </w:rPr>
        <w:t>(as</w:t>
      </w:r>
      <w:r>
        <w:rPr>
          <w:spacing w:val="45"/>
        </w:rPr>
        <w:t xml:space="preserve"> </w:t>
      </w:r>
      <w:r>
        <w:t>the</w:t>
      </w:r>
      <w:r>
        <w:rPr>
          <w:spacing w:val="42"/>
        </w:rPr>
        <w:t xml:space="preserve"> </w:t>
      </w:r>
      <w:r>
        <w:rPr>
          <w:spacing w:val="-1"/>
        </w:rPr>
        <w:t>case</w:t>
      </w:r>
      <w:r>
        <w:rPr>
          <w:spacing w:val="44"/>
        </w:rPr>
        <w:t xml:space="preserve"> </w:t>
      </w:r>
      <w:r>
        <w:rPr>
          <w:spacing w:val="-1"/>
        </w:rPr>
        <w:t>may</w:t>
      </w:r>
      <w:r>
        <w:rPr>
          <w:spacing w:val="43"/>
        </w:rPr>
        <w:t xml:space="preserve"> </w:t>
      </w:r>
      <w:r>
        <w:rPr>
          <w:spacing w:val="-1"/>
        </w:rPr>
        <w:t>be)</w:t>
      </w:r>
      <w:r>
        <w:rPr>
          <w:spacing w:val="46"/>
        </w:rPr>
        <w:t xml:space="preserve"> </w:t>
      </w:r>
      <w:r>
        <w:rPr>
          <w:spacing w:val="-1"/>
        </w:rPr>
        <w:t>considers</w:t>
      </w:r>
      <w:r>
        <w:rPr>
          <w:spacing w:val="37"/>
        </w:rPr>
        <w:t xml:space="preserve"> </w:t>
      </w:r>
      <w:r>
        <w:rPr>
          <w:spacing w:val="-1"/>
        </w:rPr>
        <w:t>appropriate</w:t>
      </w:r>
      <w:r>
        <w:t xml:space="preserve"> to </w:t>
      </w:r>
      <w:r>
        <w:rPr>
          <w:spacing w:val="-1"/>
        </w:rPr>
        <w:t>deal</w:t>
      </w:r>
      <w:r>
        <w:t xml:space="preserve"> </w:t>
      </w:r>
      <w:r>
        <w:rPr>
          <w:spacing w:val="-2"/>
        </w:rPr>
        <w:t>with</w:t>
      </w:r>
      <w:r>
        <w:t xml:space="preserve"> the </w:t>
      </w:r>
      <w:r>
        <w:rPr>
          <w:spacing w:val="-1"/>
        </w:rPr>
        <w:t>matter</w:t>
      </w:r>
      <w:r>
        <w:rPr>
          <w:spacing w:val="2"/>
        </w:rPr>
        <w:t xml:space="preserve"> </w:t>
      </w:r>
      <w:r>
        <w:rPr>
          <w:spacing w:val="-2"/>
        </w:rPr>
        <w:t>provided</w:t>
      </w:r>
      <w:r>
        <w:t xml:space="preserve"> </w:t>
      </w:r>
      <w:r>
        <w:rPr>
          <w:spacing w:val="-1"/>
        </w:rPr>
        <w:t>always</w:t>
      </w:r>
      <w:r>
        <w:rPr>
          <w:spacing w:val="1"/>
        </w:rPr>
        <w:t xml:space="preserve"> </w:t>
      </w:r>
      <w:r>
        <w:rPr>
          <w:spacing w:val="-1"/>
        </w:rPr>
        <w:t>that</w:t>
      </w:r>
      <w:r>
        <w:rPr>
          <w:spacing w:val="2"/>
        </w:rPr>
        <w:t xml:space="preserve"> </w:t>
      </w:r>
      <w:r>
        <w:rPr>
          <w:spacing w:val="-1"/>
        </w:rPr>
        <w:t>such</w:t>
      </w:r>
      <w:r>
        <w:rPr>
          <w:spacing w:val="1"/>
        </w:rPr>
        <w:t xml:space="preserve"> </w:t>
      </w:r>
      <w:r>
        <w:rPr>
          <w:spacing w:val="-1"/>
        </w:rPr>
        <w:t>steps</w:t>
      </w:r>
      <w:r>
        <w:rPr>
          <w:spacing w:val="1"/>
        </w:rPr>
        <w:t xml:space="preserve"> </w:t>
      </w:r>
      <w:r>
        <w:rPr>
          <w:spacing w:val="-1"/>
        </w:rPr>
        <w:t>are</w:t>
      </w:r>
      <w:r>
        <w:rPr>
          <w:spacing w:val="67"/>
        </w:rPr>
        <w:t xml:space="preserve"> </w:t>
      </w:r>
      <w:r>
        <w:rPr>
          <w:spacing w:val="-1"/>
        </w:rPr>
        <w:t>in</w:t>
      </w:r>
      <w:r>
        <w:t xml:space="preserve"> </w:t>
      </w:r>
      <w:r>
        <w:rPr>
          <w:spacing w:val="-1"/>
        </w:rPr>
        <w:t>compliance</w:t>
      </w:r>
      <w:r>
        <w:rPr>
          <w:spacing w:val="1"/>
        </w:rPr>
        <w:t xml:space="preserve"> </w:t>
      </w:r>
      <w:r>
        <w:rPr>
          <w:spacing w:val="-2"/>
        </w:rPr>
        <w:t>with</w:t>
      </w:r>
      <w:r>
        <w:t xml:space="preserve"> </w:t>
      </w:r>
      <w:r>
        <w:rPr>
          <w:spacing w:val="-2"/>
        </w:rPr>
        <w:t>applicable</w:t>
      </w:r>
      <w:r>
        <w:t xml:space="preserve"> </w:t>
      </w:r>
      <w:r>
        <w:rPr>
          <w:spacing w:val="-2"/>
        </w:rPr>
        <w:t>Law.</w:t>
      </w:r>
    </w:p>
    <w:p w:rsidR="008918FA" w:rsidRDefault="008918FA" w:rsidP="008918FA">
      <w:pPr>
        <w:pStyle w:val="BodyText"/>
        <w:numPr>
          <w:ilvl w:val="1"/>
          <w:numId w:val="8"/>
        </w:numPr>
        <w:tabs>
          <w:tab w:val="left" w:pos="829"/>
        </w:tabs>
        <w:spacing w:before="121"/>
        <w:ind w:right="112"/>
        <w:jc w:val="both"/>
      </w:pPr>
      <w:r>
        <w:rPr>
          <w:spacing w:val="-1"/>
        </w:rPr>
        <w:t>If</w:t>
      </w:r>
      <w:r>
        <w:rPr>
          <w:spacing w:val="49"/>
        </w:rPr>
        <w:t xml:space="preserve"> </w:t>
      </w:r>
      <w:r>
        <w:rPr>
          <w:spacing w:val="-1"/>
        </w:rPr>
        <w:t>an</w:t>
      </w:r>
      <w:r>
        <w:rPr>
          <w:spacing w:val="46"/>
        </w:rPr>
        <w:t xml:space="preserve"> </w:t>
      </w:r>
      <w:r>
        <w:rPr>
          <w:spacing w:val="-1"/>
        </w:rPr>
        <w:t>offer</w:t>
      </w:r>
      <w:r>
        <w:rPr>
          <w:spacing w:val="47"/>
        </w:rPr>
        <w:t xml:space="preserve"> </w:t>
      </w:r>
      <w:r>
        <w:rPr>
          <w:spacing w:val="-1"/>
        </w:rPr>
        <w:t>referred</w:t>
      </w:r>
      <w:r>
        <w:rPr>
          <w:spacing w:val="43"/>
        </w:rPr>
        <w:t xml:space="preserve"> </w:t>
      </w:r>
      <w:r>
        <w:t>to</w:t>
      </w:r>
      <w:r>
        <w:rPr>
          <w:spacing w:val="46"/>
        </w:rPr>
        <w:t xml:space="preserve"> </w:t>
      </w:r>
      <w:r>
        <w:rPr>
          <w:spacing w:val="-1"/>
        </w:rPr>
        <w:t>in</w:t>
      </w:r>
      <w:r>
        <w:rPr>
          <w:spacing w:val="46"/>
        </w:rPr>
        <w:t xml:space="preserve"> </w:t>
      </w:r>
      <w:r>
        <w:rPr>
          <w:spacing w:val="-1"/>
        </w:rPr>
        <w:t xml:space="preserve">paragraph </w:t>
      </w:r>
      <w:hyperlink w:anchor="_bookmark388" w:history="1">
        <w:r>
          <w:rPr>
            <w:spacing w:val="-1"/>
          </w:rPr>
          <w:t>1.2.2</w:t>
        </w:r>
      </w:hyperlink>
      <w:r>
        <w:rPr>
          <w:spacing w:val="47"/>
        </w:rPr>
        <w:t xml:space="preserve"> </w:t>
      </w:r>
      <w:r>
        <w:rPr>
          <w:spacing w:val="-2"/>
        </w:rPr>
        <w:t>of</w:t>
      </w:r>
      <w:r>
        <w:rPr>
          <w:spacing w:val="47"/>
        </w:rPr>
        <w:t xml:space="preserve"> </w:t>
      </w:r>
      <w:r>
        <w:rPr>
          <w:spacing w:val="-1"/>
        </w:rPr>
        <w:t>Part</w:t>
      </w:r>
      <w:r>
        <w:rPr>
          <w:spacing w:val="47"/>
        </w:rPr>
        <w:t xml:space="preserve"> </w:t>
      </w:r>
      <w:r>
        <w:t>C</w:t>
      </w:r>
      <w:r>
        <w:rPr>
          <w:spacing w:val="45"/>
        </w:rPr>
        <w:t xml:space="preserve"> </w:t>
      </w:r>
      <w:r>
        <w:rPr>
          <w:spacing w:val="-2"/>
        </w:rPr>
        <w:t>of</w:t>
      </w:r>
      <w:r>
        <w:rPr>
          <w:spacing w:val="47"/>
        </w:rPr>
        <w:t xml:space="preserve"> </w:t>
      </w:r>
      <w:r>
        <w:rPr>
          <w:spacing w:val="-1"/>
        </w:rPr>
        <w:t>this</w:t>
      </w:r>
      <w:r>
        <w:rPr>
          <w:spacing w:val="46"/>
        </w:rPr>
        <w:t xml:space="preserve"> </w:t>
      </w:r>
      <w:r>
        <w:rPr>
          <w:spacing w:val="-2"/>
        </w:rPr>
        <w:t>Call</w:t>
      </w:r>
      <w:r>
        <w:rPr>
          <w:spacing w:val="46"/>
        </w:rPr>
        <w:t xml:space="preserve"> </w:t>
      </w:r>
      <w:r>
        <w:rPr>
          <w:spacing w:val="-1"/>
        </w:rPr>
        <w:t>Off</w:t>
      </w:r>
      <w:r>
        <w:rPr>
          <w:spacing w:val="47"/>
        </w:rPr>
        <w:t xml:space="preserve"> </w:t>
      </w:r>
      <w:r>
        <w:rPr>
          <w:spacing w:val="-2"/>
        </w:rPr>
        <w:t>Schedule</w:t>
      </w:r>
      <w:r>
        <w:rPr>
          <w:spacing w:val="46"/>
        </w:rPr>
        <w:t xml:space="preserve"> </w:t>
      </w:r>
      <w:r>
        <w:rPr>
          <w:spacing w:val="-1"/>
        </w:rPr>
        <w:t>is</w:t>
      </w:r>
      <w:r>
        <w:rPr>
          <w:spacing w:val="59"/>
        </w:rPr>
        <w:t xml:space="preserve"> </w:t>
      </w:r>
      <w:r>
        <w:rPr>
          <w:spacing w:val="-1"/>
        </w:rPr>
        <w:t>accepted</w:t>
      </w:r>
      <w:r>
        <w:rPr>
          <w:spacing w:val="20"/>
        </w:rPr>
        <w:t xml:space="preserve"> </w:t>
      </w:r>
      <w:r>
        <w:rPr>
          <w:spacing w:val="-1"/>
        </w:rPr>
        <w:t>(or</w:t>
      </w:r>
      <w:r>
        <w:rPr>
          <w:spacing w:val="21"/>
        </w:rPr>
        <w:t xml:space="preserve"> </w:t>
      </w:r>
      <w:r>
        <w:rPr>
          <w:spacing w:val="-2"/>
        </w:rPr>
        <w:t>if</w:t>
      </w:r>
      <w:r>
        <w:rPr>
          <w:spacing w:val="23"/>
        </w:rPr>
        <w:t xml:space="preserve"> </w:t>
      </w:r>
      <w:r>
        <w:t>the</w:t>
      </w:r>
      <w:r>
        <w:rPr>
          <w:spacing w:val="20"/>
        </w:rPr>
        <w:t xml:space="preserve"> </w:t>
      </w:r>
      <w:r>
        <w:rPr>
          <w:spacing w:val="-2"/>
        </w:rPr>
        <w:t>situation</w:t>
      </w:r>
      <w:r>
        <w:rPr>
          <w:spacing w:val="20"/>
        </w:rPr>
        <w:t xml:space="preserve"> </w:t>
      </w:r>
      <w:r>
        <w:rPr>
          <w:spacing w:val="-1"/>
        </w:rPr>
        <w:t>has</w:t>
      </w:r>
      <w:r>
        <w:rPr>
          <w:spacing w:val="20"/>
        </w:rPr>
        <w:t xml:space="preserve"> </w:t>
      </w:r>
      <w:r>
        <w:rPr>
          <w:spacing w:val="-1"/>
        </w:rPr>
        <w:t>otherwise</w:t>
      </w:r>
      <w:r>
        <w:rPr>
          <w:spacing w:val="20"/>
        </w:rPr>
        <w:t xml:space="preserve"> </w:t>
      </w:r>
      <w:r>
        <w:rPr>
          <w:spacing w:val="-1"/>
        </w:rPr>
        <w:t>been</w:t>
      </w:r>
      <w:r>
        <w:rPr>
          <w:spacing w:val="22"/>
        </w:rPr>
        <w:t xml:space="preserve"> </w:t>
      </w:r>
      <w:r>
        <w:rPr>
          <w:spacing w:val="-1"/>
        </w:rPr>
        <w:t>resolved</w:t>
      </w:r>
      <w:r>
        <w:rPr>
          <w:spacing w:val="19"/>
        </w:rPr>
        <w:t xml:space="preserve"> </w:t>
      </w:r>
      <w:r>
        <w:rPr>
          <w:spacing w:val="1"/>
        </w:rPr>
        <w:t>by</w:t>
      </w:r>
      <w:r>
        <w:rPr>
          <w:spacing w:val="17"/>
        </w:rPr>
        <w:t xml:space="preserve"> </w:t>
      </w:r>
      <w:r>
        <w:t>the</w:t>
      </w:r>
      <w:r>
        <w:rPr>
          <w:spacing w:val="19"/>
        </w:rPr>
        <w:t xml:space="preserve"> </w:t>
      </w:r>
      <w:r>
        <w:rPr>
          <w:spacing w:val="-1"/>
        </w:rPr>
        <w:t>Customer</w:t>
      </w:r>
      <w:r>
        <w:rPr>
          <w:spacing w:val="21"/>
        </w:rPr>
        <w:t xml:space="preserve"> </w:t>
      </w:r>
      <w:r>
        <w:rPr>
          <w:spacing w:val="-1"/>
        </w:rPr>
        <w:t>and/or</w:t>
      </w:r>
      <w:r>
        <w:rPr>
          <w:spacing w:val="46"/>
        </w:rPr>
        <w:t xml:space="preserve"> </w:t>
      </w:r>
      <w:r>
        <w:t>the</w:t>
      </w:r>
      <w:r>
        <w:rPr>
          <w:spacing w:val="27"/>
        </w:rPr>
        <w:t xml:space="preserve"> </w:t>
      </w:r>
      <w:r>
        <w:rPr>
          <w:spacing w:val="-1"/>
        </w:rPr>
        <w:t>Former</w:t>
      </w:r>
      <w:r>
        <w:rPr>
          <w:spacing w:val="28"/>
        </w:rPr>
        <w:t xml:space="preserve"> </w:t>
      </w:r>
      <w:r>
        <w:rPr>
          <w:spacing w:val="-2"/>
        </w:rPr>
        <w:t>Supplier),</w:t>
      </w:r>
      <w:r>
        <w:rPr>
          <w:spacing w:val="28"/>
        </w:rPr>
        <w:t xml:space="preserve"> </w:t>
      </w:r>
      <w:r>
        <w:rPr>
          <w:spacing w:val="-1"/>
        </w:rPr>
        <w:t>the</w:t>
      </w:r>
      <w:r>
        <w:rPr>
          <w:spacing w:val="27"/>
        </w:rPr>
        <w:t xml:space="preserve"> </w:t>
      </w:r>
      <w:r>
        <w:rPr>
          <w:spacing w:val="-2"/>
        </w:rPr>
        <w:t>Supplier</w:t>
      </w:r>
      <w:r>
        <w:rPr>
          <w:spacing w:val="28"/>
        </w:rPr>
        <w:t xml:space="preserve"> </w:t>
      </w:r>
      <w:r>
        <w:rPr>
          <w:spacing w:val="-1"/>
        </w:rPr>
        <w:t>shall,</w:t>
      </w:r>
      <w:r>
        <w:rPr>
          <w:spacing w:val="28"/>
        </w:rPr>
        <w:t xml:space="preserve"> </w:t>
      </w:r>
      <w:r>
        <w:rPr>
          <w:spacing w:val="-1"/>
        </w:rPr>
        <w:t>or</w:t>
      </w:r>
      <w:r>
        <w:rPr>
          <w:spacing w:val="28"/>
        </w:rPr>
        <w:t xml:space="preserve"> </w:t>
      </w:r>
      <w:r>
        <w:rPr>
          <w:spacing w:val="-1"/>
        </w:rPr>
        <w:t>shall</w:t>
      </w:r>
      <w:r>
        <w:rPr>
          <w:spacing w:val="28"/>
        </w:rPr>
        <w:t xml:space="preserve"> </w:t>
      </w:r>
      <w:r>
        <w:rPr>
          <w:spacing w:val="-1"/>
        </w:rPr>
        <w:t>procure</w:t>
      </w:r>
      <w:r>
        <w:rPr>
          <w:spacing w:val="27"/>
        </w:rPr>
        <w:t xml:space="preserve"> </w:t>
      </w:r>
      <w:r>
        <w:rPr>
          <w:spacing w:val="-1"/>
        </w:rPr>
        <w:t>that</w:t>
      </w:r>
      <w:r>
        <w:rPr>
          <w:spacing w:val="28"/>
        </w:rPr>
        <w:t xml:space="preserve"> </w:t>
      </w:r>
      <w:r>
        <w:t>the</w:t>
      </w:r>
      <w:r>
        <w:rPr>
          <w:spacing w:val="27"/>
        </w:rPr>
        <w:t xml:space="preserve"> </w:t>
      </w:r>
      <w:r>
        <w:rPr>
          <w:spacing w:val="-1"/>
        </w:rPr>
        <w:t>Sub-Contractor</w:t>
      </w:r>
      <w:r>
        <w:rPr>
          <w:spacing w:val="55"/>
        </w:rPr>
        <w:t xml:space="preserve"> </w:t>
      </w:r>
      <w:r>
        <w:rPr>
          <w:spacing w:val="-1"/>
        </w:rPr>
        <w:t>shall,</w:t>
      </w:r>
      <w:r>
        <w:rPr>
          <w:spacing w:val="49"/>
        </w:rPr>
        <w:t xml:space="preserve"> </w:t>
      </w:r>
      <w:r>
        <w:rPr>
          <w:spacing w:val="-1"/>
        </w:rPr>
        <w:t>immediately</w:t>
      </w:r>
      <w:r>
        <w:rPr>
          <w:spacing w:val="45"/>
        </w:rPr>
        <w:t xml:space="preserve"> </w:t>
      </w:r>
      <w:r>
        <w:rPr>
          <w:spacing w:val="-1"/>
        </w:rPr>
        <w:t>release</w:t>
      </w:r>
      <w:r>
        <w:rPr>
          <w:spacing w:val="47"/>
        </w:rPr>
        <w:t xml:space="preserve"> </w:t>
      </w:r>
      <w:r>
        <w:t>the</w:t>
      </w:r>
      <w:r>
        <w:rPr>
          <w:spacing w:val="47"/>
        </w:rPr>
        <w:t xml:space="preserve"> </w:t>
      </w:r>
      <w:r>
        <w:rPr>
          <w:spacing w:val="-1"/>
        </w:rPr>
        <w:t>person</w:t>
      </w:r>
      <w:r>
        <w:rPr>
          <w:spacing w:val="45"/>
        </w:rPr>
        <w:t xml:space="preserve"> </w:t>
      </w:r>
      <w:r>
        <w:t>from</w:t>
      </w:r>
      <w:r>
        <w:rPr>
          <w:spacing w:val="44"/>
        </w:rPr>
        <w:t xml:space="preserve"> </w:t>
      </w:r>
      <w:r>
        <w:rPr>
          <w:spacing w:val="-1"/>
        </w:rPr>
        <w:t>his/her</w:t>
      </w:r>
      <w:r>
        <w:rPr>
          <w:spacing w:val="49"/>
        </w:rPr>
        <w:t xml:space="preserve"> </w:t>
      </w:r>
      <w:r>
        <w:rPr>
          <w:spacing w:val="-2"/>
        </w:rPr>
        <w:t>employment</w:t>
      </w:r>
      <w:r>
        <w:rPr>
          <w:spacing w:val="49"/>
        </w:rPr>
        <w:t xml:space="preserve"> </w:t>
      </w:r>
      <w:r>
        <w:rPr>
          <w:spacing w:val="-1"/>
        </w:rPr>
        <w:t>or</w:t>
      </w:r>
      <w:r>
        <w:rPr>
          <w:spacing w:val="46"/>
        </w:rPr>
        <w:t xml:space="preserve"> </w:t>
      </w:r>
      <w:r>
        <w:rPr>
          <w:spacing w:val="-1"/>
        </w:rPr>
        <w:t>alleged</w:t>
      </w:r>
      <w:r>
        <w:rPr>
          <w:spacing w:val="32"/>
        </w:rPr>
        <w:t xml:space="preserve"> </w:t>
      </w:r>
      <w:r>
        <w:rPr>
          <w:spacing w:val="-1"/>
        </w:rPr>
        <w:t>employment.</w:t>
      </w:r>
    </w:p>
    <w:p w:rsidR="008918FA" w:rsidRDefault="008918FA" w:rsidP="008918FA">
      <w:pPr>
        <w:pStyle w:val="BodyText"/>
        <w:numPr>
          <w:ilvl w:val="1"/>
          <w:numId w:val="8"/>
        </w:numPr>
        <w:tabs>
          <w:tab w:val="left" w:pos="829"/>
        </w:tabs>
        <w:spacing w:before="121"/>
      </w:pPr>
      <w:bookmarkStart w:id="471" w:name="_bookmark389"/>
      <w:bookmarkEnd w:id="471"/>
      <w:r>
        <w:rPr>
          <w:spacing w:val="-1"/>
        </w:rPr>
        <w:t>If</w:t>
      </w:r>
      <w:r>
        <w:rPr>
          <w:spacing w:val="2"/>
        </w:rPr>
        <w:t xml:space="preserve"> </w:t>
      </w:r>
      <w:r>
        <w:rPr>
          <w:spacing w:val="-1"/>
        </w:rPr>
        <w:t>by</w:t>
      </w:r>
      <w:r>
        <w:rPr>
          <w:spacing w:val="-2"/>
        </w:rPr>
        <w:t xml:space="preserve"> </w:t>
      </w:r>
      <w:r>
        <w:t xml:space="preserve">the </w:t>
      </w:r>
      <w:r>
        <w:rPr>
          <w:spacing w:val="-1"/>
        </w:rPr>
        <w:t>end</w:t>
      </w:r>
      <w:r>
        <w:rPr>
          <w:spacing w:val="-2"/>
        </w:rPr>
        <w:t xml:space="preserve"> of</w:t>
      </w:r>
      <w:r>
        <w:t xml:space="preserve"> the</w:t>
      </w:r>
      <w:r>
        <w:rPr>
          <w:spacing w:val="-2"/>
        </w:rPr>
        <w:t xml:space="preserve"> </w:t>
      </w:r>
      <w:r>
        <w:rPr>
          <w:spacing w:val="-1"/>
        </w:rPr>
        <w:t>fifteen</w:t>
      </w:r>
      <w:r>
        <w:t xml:space="preserve"> </w:t>
      </w:r>
      <w:r>
        <w:rPr>
          <w:spacing w:val="-1"/>
        </w:rPr>
        <w:t>(15)</w:t>
      </w:r>
      <w:r>
        <w:rPr>
          <w:spacing w:val="-6"/>
        </w:rPr>
        <w:t xml:space="preserve"> </w:t>
      </w:r>
      <w:r>
        <w:rPr>
          <w:spacing w:val="-1"/>
        </w:rPr>
        <w:t>Working</w:t>
      </w:r>
      <w:r>
        <w:rPr>
          <w:spacing w:val="3"/>
        </w:rPr>
        <w:t xml:space="preserve"> </w:t>
      </w:r>
      <w:r>
        <w:rPr>
          <w:spacing w:val="-1"/>
        </w:rPr>
        <w:t>Day</w:t>
      </w:r>
      <w:r>
        <w:rPr>
          <w:spacing w:val="-2"/>
        </w:rPr>
        <w:t xml:space="preserve"> period</w:t>
      </w:r>
      <w:r>
        <w:t xml:space="preserve"> </w:t>
      </w:r>
      <w:r>
        <w:rPr>
          <w:spacing w:val="-1"/>
        </w:rPr>
        <w:t>specified</w:t>
      </w:r>
      <w:r>
        <w:t xml:space="preserve"> </w:t>
      </w:r>
      <w:r>
        <w:rPr>
          <w:spacing w:val="-1"/>
        </w:rPr>
        <w:t>in</w:t>
      </w:r>
      <w:r>
        <w:t xml:space="preserve"> </w:t>
      </w:r>
      <w:r>
        <w:rPr>
          <w:spacing w:val="-1"/>
        </w:rPr>
        <w:t>paragraph</w:t>
      </w:r>
      <w:r>
        <w:rPr>
          <w:spacing w:val="-2"/>
        </w:rPr>
        <w:t xml:space="preserve"> </w:t>
      </w:r>
      <w:hyperlink w:anchor="_bookmark388" w:history="1">
        <w:r>
          <w:rPr>
            <w:spacing w:val="-1"/>
          </w:rPr>
          <w:t>1.2.2</w:t>
        </w:r>
      </w:hyperlink>
      <w:r>
        <w:rPr>
          <w:spacing w:val="-1"/>
        </w:rPr>
        <w:t>:</w:t>
      </w:r>
    </w:p>
    <w:p w:rsidR="008918FA" w:rsidRDefault="008918FA" w:rsidP="008918FA">
      <w:pPr>
        <w:pStyle w:val="BodyText"/>
        <w:numPr>
          <w:ilvl w:val="2"/>
          <w:numId w:val="8"/>
        </w:numPr>
        <w:tabs>
          <w:tab w:val="left" w:pos="2027"/>
        </w:tabs>
      </w:pPr>
      <w:r>
        <w:rPr>
          <w:spacing w:val="-1"/>
        </w:rPr>
        <w:t>no</w:t>
      </w:r>
      <w:r>
        <w:t xml:space="preserve"> </w:t>
      </w:r>
      <w:r>
        <w:rPr>
          <w:spacing w:val="-1"/>
        </w:rPr>
        <w:t>such</w:t>
      </w:r>
      <w:r>
        <w:rPr>
          <w:spacing w:val="1"/>
        </w:rPr>
        <w:t xml:space="preserve"> </w:t>
      </w:r>
      <w:r>
        <w:rPr>
          <w:spacing w:val="-1"/>
        </w:rPr>
        <w:t xml:space="preserve">offer </w:t>
      </w:r>
      <w:r>
        <w:rPr>
          <w:spacing w:val="-2"/>
        </w:rPr>
        <w:t>of</w:t>
      </w:r>
      <w:r>
        <w:rPr>
          <w:spacing w:val="2"/>
        </w:rPr>
        <w:t xml:space="preserve"> </w:t>
      </w:r>
      <w:r>
        <w:rPr>
          <w:spacing w:val="-1"/>
        </w:rPr>
        <w:t>employment</w:t>
      </w:r>
      <w:r>
        <w:t xml:space="preserve"> </w:t>
      </w:r>
      <w:r>
        <w:rPr>
          <w:spacing w:val="-1"/>
        </w:rPr>
        <w:t>has</w:t>
      </w:r>
      <w:r>
        <w:rPr>
          <w:spacing w:val="1"/>
        </w:rPr>
        <w:t xml:space="preserve"> </w:t>
      </w:r>
      <w:r>
        <w:rPr>
          <w:spacing w:val="-2"/>
        </w:rPr>
        <w:t xml:space="preserve">been </w:t>
      </w:r>
      <w:r>
        <w:rPr>
          <w:spacing w:val="-1"/>
        </w:rPr>
        <w:t>made;</w:t>
      </w:r>
    </w:p>
    <w:p w:rsidR="008918FA" w:rsidRDefault="008918FA" w:rsidP="008918FA">
      <w:pPr>
        <w:pStyle w:val="BodyText"/>
        <w:numPr>
          <w:ilvl w:val="2"/>
          <w:numId w:val="8"/>
        </w:numPr>
        <w:tabs>
          <w:tab w:val="left" w:pos="2027"/>
        </w:tabs>
        <w:spacing w:before="121"/>
      </w:pPr>
      <w:r>
        <w:rPr>
          <w:spacing w:val="-1"/>
        </w:rPr>
        <w:t>such</w:t>
      </w:r>
      <w:r>
        <w:rPr>
          <w:spacing w:val="1"/>
        </w:rPr>
        <w:t xml:space="preserve"> </w:t>
      </w:r>
      <w:r>
        <w:rPr>
          <w:spacing w:val="-1"/>
        </w:rPr>
        <w:t>offer has</w:t>
      </w:r>
      <w:r>
        <w:rPr>
          <w:spacing w:val="-2"/>
        </w:rPr>
        <w:t xml:space="preserve"> </w:t>
      </w:r>
      <w:r>
        <w:rPr>
          <w:spacing w:val="-1"/>
        </w:rPr>
        <w:t>been</w:t>
      </w:r>
      <w:r>
        <w:rPr>
          <w:spacing w:val="-2"/>
        </w:rPr>
        <w:t xml:space="preserve"> </w:t>
      </w:r>
      <w:r>
        <w:rPr>
          <w:spacing w:val="-1"/>
        </w:rPr>
        <w:t>made</w:t>
      </w:r>
      <w:r>
        <w:t xml:space="preserve"> </w:t>
      </w:r>
      <w:r>
        <w:rPr>
          <w:spacing w:val="-1"/>
        </w:rPr>
        <w:t>but</w:t>
      </w:r>
      <w:r>
        <w:t xml:space="preserve"> </w:t>
      </w:r>
      <w:r>
        <w:rPr>
          <w:spacing w:val="-1"/>
        </w:rPr>
        <w:t>not</w:t>
      </w:r>
      <w:r>
        <w:t xml:space="preserve"> </w:t>
      </w:r>
      <w:r>
        <w:rPr>
          <w:spacing w:val="-1"/>
        </w:rPr>
        <w:t>accepted;</w:t>
      </w:r>
      <w:r>
        <w:t xml:space="preserve"> </w:t>
      </w:r>
      <w:r>
        <w:rPr>
          <w:spacing w:val="-1"/>
        </w:rPr>
        <w:t>or</w:t>
      </w:r>
    </w:p>
    <w:p w:rsidR="008918FA" w:rsidRDefault="008918FA" w:rsidP="008918FA">
      <w:pPr>
        <w:pStyle w:val="BodyText"/>
        <w:numPr>
          <w:ilvl w:val="2"/>
          <w:numId w:val="8"/>
        </w:numPr>
        <w:tabs>
          <w:tab w:val="left" w:pos="2026"/>
        </w:tabs>
        <w:ind w:left="2025" w:hanging="993"/>
      </w:pPr>
      <w:r>
        <w:t xml:space="preserve">the </w:t>
      </w:r>
      <w:r>
        <w:rPr>
          <w:spacing w:val="-1"/>
        </w:rPr>
        <w:t>situation</w:t>
      </w:r>
      <w:r>
        <w:t xml:space="preserve"> </w:t>
      </w:r>
      <w:r>
        <w:rPr>
          <w:spacing w:val="-1"/>
        </w:rPr>
        <w:t>has</w:t>
      </w:r>
      <w:r>
        <w:rPr>
          <w:spacing w:val="-2"/>
        </w:rPr>
        <w:t xml:space="preserve"> </w:t>
      </w:r>
      <w:r>
        <w:rPr>
          <w:spacing w:val="-1"/>
        </w:rPr>
        <w:t>not</w:t>
      </w:r>
      <w:r>
        <w:t xml:space="preserve"> </w:t>
      </w:r>
      <w:r>
        <w:rPr>
          <w:spacing w:val="-2"/>
        </w:rPr>
        <w:t>otherwise</w:t>
      </w:r>
      <w:r>
        <w:rPr>
          <w:spacing w:val="1"/>
        </w:rPr>
        <w:t xml:space="preserve"> </w:t>
      </w:r>
      <w:r>
        <w:rPr>
          <w:spacing w:val="-1"/>
        </w:rPr>
        <w:t>been</w:t>
      </w:r>
      <w:r>
        <w:t xml:space="preserve"> </w:t>
      </w:r>
      <w:r>
        <w:rPr>
          <w:spacing w:val="-2"/>
        </w:rPr>
        <w:t>resolved,</w:t>
      </w:r>
    </w:p>
    <w:p w:rsidR="008918FA" w:rsidRDefault="008918FA" w:rsidP="008918FA">
      <w:pPr>
        <w:pStyle w:val="BodyText"/>
        <w:ind w:left="1032" w:right="125" w:hanging="1"/>
      </w:pPr>
      <w:r>
        <w:t>the</w:t>
      </w:r>
      <w:r>
        <w:rPr>
          <w:spacing w:val="38"/>
        </w:rPr>
        <w:t xml:space="preserve"> </w:t>
      </w:r>
      <w:r>
        <w:rPr>
          <w:spacing w:val="-2"/>
        </w:rPr>
        <w:t>Supplier</w:t>
      </w:r>
      <w:r>
        <w:rPr>
          <w:spacing w:val="40"/>
        </w:rPr>
        <w:t xml:space="preserve"> </w:t>
      </w:r>
      <w:r>
        <w:rPr>
          <w:spacing w:val="-1"/>
        </w:rPr>
        <w:t>and/or</w:t>
      </w:r>
      <w:r>
        <w:rPr>
          <w:spacing w:val="40"/>
        </w:rPr>
        <w:t xml:space="preserve"> </w:t>
      </w:r>
      <w:r>
        <w:t>the</w:t>
      </w:r>
      <w:r>
        <w:rPr>
          <w:spacing w:val="38"/>
        </w:rPr>
        <w:t xml:space="preserve"> </w:t>
      </w:r>
      <w:r>
        <w:rPr>
          <w:spacing w:val="-1"/>
        </w:rPr>
        <w:t>Sub-Contractor</w:t>
      </w:r>
      <w:r>
        <w:rPr>
          <w:spacing w:val="38"/>
        </w:rPr>
        <w:t xml:space="preserve"> </w:t>
      </w:r>
      <w:r>
        <w:rPr>
          <w:spacing w:val="-1"/>
        </w:rPr>
        <w:t>may</w:t>
      </w:r>
      <w:r>
        <w:rPr>
          <w:spacing w:val="39"/>
        </w:rPr>
        <w:t xml:space="preserve"> </w:t>
      </w:r>
      <w:r>
        <w:rPr>
          <w:spacing w:val="-1"/>
        </w:rPr>
        <w:t>within</w:t>
      </w:r>
      <w:r>
        <w:rPr>
          <w:spacing w:val="41"/>
        </w:rPr>
        <w:t xml:space="preserve"> </w:t>
      </w:r>
      <w:r>
        <w:rPr>
          <w:spacing w:val="-1"/>
        </w:rPr>
        <w:t>five</w:t>
      </w:r>
      <w:r>
        <w:rPr>
          <w:spacing w:val="39"/>
        </w:rPr>
        <w:t xml:space="preserve"> </w:t>
      </w:r>
      <w:r>
        <w:rPr>
          <w:spacing w:val="-1"/>
        </w:rPr>
        <w:t>(5)</w:t>
      </w:r>
      <w:r>
        <w:rPr>
          <w:spacing w:val="-3"/>
        </w:rPr>
        <w:t xml:space="preserve"> </w:t>
      </w:r>
      <w:r>
        <w:rPr>
          <w:spacing w:val="-1"/>
        </w:rPr>
        <w:t>Working</w:t>
      </w:r>
      <w:r>
        <w:rPr>
          <w:spacing w:val="41"/>
        </w:rPr>
        <w:t xml:space="preserve"> </w:t>
      </w:r>
      <w:r>
        <w:rPr>
          <w:spacing w:val="-2"/>
        </w:rPr>
        <w:t>Days</w:t>
      </w:r>
      <w:r>
        <w:rPr>
          <w:spacing w:val="39"/>
        </w:rPr>
        <w:t xml:space="preserve"> </w:t>
      </w:r>
      <w:r>
        <w:rPr>
          <w:spacing w:val="-2"/>
        </w:rPr>
        <w:t>give</w:t>
      </w:r>
      <w:r>
        <w:rPr>
          <w:spacing w:val="58"/>
        </w:rPr>
        <w:t xml:space="preserve"> </w:t>
      </w:r>
      <w:r>
        <w:rPr>
          <w:spacing w:val="-1"/>
        </w:rPr>
        <w:t>notice</w:t>
      </w:r>
      <w:r>
        <w:rPr>
          <w:spacing w:val="1"/>
        </w:rPr>
        <w:t xml:space="preserve"> </w:t>
      </w:r>
      <w:r>
        <w:t>to</w:t>
      </w:r>
      <w:r>
        <w:rPr>
          <w:spacing w:val="-4"/>
        </w:rPr>
        <w:t xml:space="preserve"> </w:t>
      </w:r>
      <w:r>
        <w:rPr>
          <w:spacing w:val="-1"/>
        </w:rPr>
        <w:t>terminate</w:t>
      </w:r>
      <w:r>
        <w:rPr>
          <w:spacing w:val="-2"/>
        </w:rPr>
        <w:t xml:space="preserve"> </w:t>
      </w:r>
      <w:r>
        <w:t xml:space="preserve">the </w:t>
      </w:r>
      <w:r>
        <w:rPr>
          <w:spacing w:val="-2"/>
        </w:rPr>
        <w:t>employment</w:t>
      </w:r>
      <w:r>
        <w:rPr>
          <w:spacing w:val="2"/>
        </w:rPr>
        <w:t xml:space="preserve"> </w:t>
      </w:r>
      <w:r>
        <w:rPr>
          <w:spacing w:val="-2"/>
        </w:rPr>
        <w:t>or</w:t>
      </w:r>
      <w:r>
        <w:rPr>
          <w:spacing w:val="2"/>
        </w:rPr>
        <w:t xml:space="preserve"> </w:t>
      </w:r>
      <w:r>
        <w:rPr>
          <w:spacing w:val="-1"/>
        </w:rPr>
        <w:t>alleged</w:t>
      </w:r>
      <w:r>
        <w:t xml:space="preserve"> </w:t>
      </w:r>
      <w:r>
        <w:rPr>
          <w:spacing w:val="-2"/>
        </w:rPr>
        <w:t>employment</w:t>
      </w:r>
      <w:r>
        <w:rPr>
          <w:spacing w:val="2"/>
        </w:rPr>
        <w:t xml:space="preserve"> </w:t>
      </w:r>
      <w:r>
        <w:rPr>
          <w:spacing w:val="-2"/>
        </w:rPr>
        <w:t>of</w:t>
      </w:r>
      <w:r>
        <w:rPr>
          <w:spacing w:val="2"/>
        </w:rPr>
        <w:t xml:space="preserve"> </w:t>
      </w:r>
      <w:r>
        <w:rPr>
          <w:spacing w:val="-2"/>
        </w:rPr>
        <w:t>such</w:t>
      </w:r>
      <w:r>
        <w:rPr>
          <w:spacing w:val="1"/>
        </w:rPr>
        <w:t xml:space="preserve"> </w:t>
      </w:r>
      <w:r>
        <w:rPr>
          <w:spacing w:val="-2"/>
        </w:rPr>
        <w:t>person.</w:t>
      </w:r>
    </w:p>
    <w:p w:rsidR="008918FA" w:rsidRDefault="008918FA" w:rsidP="008918FA">
      <w:pPr>
        <w:pStyle w:val="BodyText"/>
        <w:numPr>
          <w:ilvl w:val="0"/>
          <w:numId w:val="8"/>
        </w:numPr>
        <w:tabs>
          <w:tab w:val="left" w:pos="466"/>
        </w:tabs>
        <w:spacing w:before="117"/>
        <w:ind w:left="465" w:hanging="359"/>
        <w:rPr>
          <w:rFonts w:ascii="Times New Roman" w:eastAsia="Times New Roman" w:hAnsi="Times New Roman" w:cs="Times New Roman"/>
        </w:rPr>
      </w:pPr>
      <w:r>
        <w:rPr>
          <w:rFonts w:ascii="Times New Roman"/>
          <w:spacing w:val="-4"/>
        </w:rPr>
        <w:t>INDEMNITIES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8"/>
        </w:numPr>
        <w:tabs>
          <w:tab w:val="left" w:pos="829"/>
        </w:tabs>
        <w:spacing w:before="0"/>
        <w:ind w:left="827" w:right="113" w:hanging="359"/>
        <w:jc w:val="both"/>
      </w:pPr>
      <w:bookmarkStart w:id="472" w:name="_bookmark390"/>
      <w:bookmarkEnd w:id="472"/>
      <w:r>
        <w:rPr>
          <w:spacing w:val="-1"/>
        </w:rPr>
        <w:t>Subject</w:t>
      </w:r>
      <w:r>
        <w:rPr>
          <w:spacing w:val="38"/>
        </w:rPr>
        <w:t xml:space="preserve"> </w:t>
      </w:r>
      <w:r>
        <w:t>to</w:t>
      </w:r>
      <w:r>
        <w:rPr>
          <w:spacing w:val="34"/>
        </w:rPr>
        <w:t xml:space="preserve"> </w:t>
      </w:r>
      <w:r>
        <w:t>the</w:t>
      </w:r>
      <w:r>
        <w:rPr>
          <w:spacing w:val="36"/>
        </w:rPr>
        <w:t xml:space="preserve"> </w:t>
      </w:r>
      <w:r>
        <w:rPr>
          <w:spacing w:val="-2"/>
        </w:rPr>
        <w:t>Supplier</w:t>
      </w:r>
      <w:r>
        <w:rPr>
          <w:spacing w:val="38"/>
        </w:rPr>
        <w:t xml:space="preserve"> </w:t>
      </w:r>
      <w:r>
        <w:rPr>
          <w:spacing w:val="-1"/>
        </w:rPr>
        <w:t>and/or</w:t>
      </w:r>
      <w:r>
        <w:rPr>
          <w:spacing w:val="38"/>
        </w:rPr>
        <w:t xml:space="preserve"> </w:t>
      </w:r>
      <w:r>
        <w:t>the</w:t>
      </w:r>
      <w:r>
        <w:rPr>
          <w:spacing w:val="36"/>
        </w:rPr>
        <w:t xml:space="preserve"> </w:t>
      </w:r>
      <w:r>
        <w:rPr>
          <w:spacing w:val="-2"/>
        </w:rPr>
        <w:t>relevant</w:t>
      </w:r>
      <w:r>
        <w:rPr>
          <w:spacing w:val="39"/>
        </w:rPr>
        <w:t xml:space="preserve"> </w:t>
      </w:r>
      <w:r>
        <w:rPr>
          <w:spacing w:val="-1"/>
        </w:rPr>
        <w:t>Sub-Contractor</w:t>
      </w:r>
      <w:r>
        <w:rPr>
          <w:spacing w:val="38"/>
        </w:rPr>
        <w:t xml:space="preserve"> </w:t>
      </w:r>
      <w:r>
        <w:rPr>
          <w:spacing w:val="-2"/>
        </w:rPr>
        <w:t>acting</w:t>
      </w:r>
      <w:r>
        <w:rPr>
          <w:spacing w:val="39"/>
        </w:rPr>
        <w:t xml:space="preserve"> </w:t>
      </w:r>
      <w:r>
        <w:rPr>
          <w:spacing w:val="-1"/>
        </w:rPr>
        <w:t>in</w:t>
      </w:r>
      <w:r>
        <w:rPr>
          <w:spacing w:val="36"/>
        </w:rPr>
        <w:t xml:space="preserve"> </w:t>
      </w:r>
      <w:r>
        <w:rPr>
          <w:spacing w:val="-1"/>
        </w:rPr>
        <w:t>accordance</w:t>
      </w:r>
      <w:r>
        <w:rPr>
          <w:spacing w:val="66"/>
        </w:rPr>
        <w:t xml:space="preserve"> </w:t>
      </w:r>
      <w:r>
        <w:rPr>
          <w:spacing w:val="-1"/>
        </w:rPr>
        <w:t>with</w:t>
      </w:r>
      <w:r>
        <w:rPr>
          <w:spacing w:val="7"/>
        </w:rPr>
        <w:t xml:space="preserve"> </w:t>
      </w:r>
      <w:r>
        <w:t>the</w:t>
      </w:r>
      <w:r>
        <w:rPr>
          <w:spacing w:val="7"/>
        </w:rPr>
        <w:t xml:space="preserve"> </w:t>
      </w:r>
      <w:r>
        <w:rPr>
          <w:spacing w:val="-2"/>
        </w:rPr>
        <w:t>provisions</w:t>
      </w:r>
      <w:r>
        <w:rPr>
          <w:spacing w:val="8"/>
        </w:rPr>
        <w:t xml:space="preserve"> </w:t>
      </w:r>
      <w:r>
        <w:rPr>
          <w:spacing w:val="-1"/>
        </w:rPr>
        <w:t>of</w:t>
      </w:r>
      <w:r>
        <w:rPr>
          <w:spacing w:val="11"/>
        </w:rPr>
        <w:t xml:space="preserve"> </w:t>
      </w:r>
      <w:r>
        <w:rPr>
          <w:spacing w:val="-1"/>
        </w:rPr>
        <w:t>paragraphs</w:t>
      </w:r>
      <w:r>
        <w:t xml:space="preserve"> </w:t>
      </w:r>
      <w:hyperlink w:anchor="_bookmark387" w:history="1">
        <w:r>
          <w:t>1.2</w:t>
        </w:r>
      </w:hyperlink>
      <w:r>
        <w:rPr>
          <w:spacing w:val="5"/>
        </w:rPr>
        <w:t xml:space="preserve"> </w:t>
      </w:r>
      <w:r>
        <w:t>to</w:t>
      </w:r>
      <w:r>
        <w:rPr>
          <w:spacing w:val="7"/>
        </w:rPr>
        <w:t xml:space="preserve"> </w:t>
      </w:r>
      <w:hyperlink w:anchor="_bookmark389" w:history="1">
        <w:r>
          <w:t>1.4</w:t>
        </w:r>
      </w:hyperlink>
      <w:r>
        <w:rPr>
          <w:spacing w:val="8"/>
        </w:rPr>
        <w:t xml:space="preserve"> </w:t>
      </w:r>
      <w:r>
        <w:rPr>
          <w:spacing w:val="-2"/>
        </w:rPr>
        <w:t>of</w:t>
      </w:r>
      <w:r>
        <w:rPr>
          <w:spacing w:val="11"/>
        </w:rPr>
        <w:t xml:space="preserve"> </w:t>
      </w:r>
      <w:r>
        <w:rPr>
          <w:spacing w:val="-2"/>
        </w:rPr>
        <w:t>Part</w:t>
      </w:r>
      <w:r>
        <w:rPr>
          <w:spacing w:val="9"/>
        </w:rPr>
        <w:t xml:space="preserve"> </w:t>
      </w:r>
      <w:r>
        <w:t>C</w:t>
      </w:r>
      <w:r>
        <w:rPr>
          <w:spacing w:val="7"/>
        </w:rPr>
        <w:t xml:space="preserve"> </w:t>
      </w:r>
      <w:r>
        <w:rPr>
          <w:spacing w:val="-2"/>
        </w:rPr>
        <w:t>of</w:t>
      </w:r>
      <w:r>
        <w:rPr>
          <w:spacing w:val="11"/>
        </w:rPr>
        <w:t xml:space="preserve"> </w:t>
      </w:r>
      <w:r>
        <w:rPr>
          <w:spacing w:val="-1"/>
        </w:rPr>
        <w:t>this</w:t>
      </w:r>
      <w:r>
        <w:rPr>
          <w:spacing w:val="8"/>
        </w:rPr>
        <w:t xml:space="preserve"> </w:t>
      </w:r>
      <w:r>
        <w:rPr>
          <w:spacing w:val="-2"/>
        </w:rPr>
        <w:t>Call</w:t>
      </w:r>
      <w:r>
        <w:rPr>
          <w:spacing w:val="7"/>
        </w:rPr>
        <w:t xml:space="preserve"> </w:t>
      </w:r>
      <w:r>
        <w:rPr>
          <w:spacing w:val="-1"/>
        </w:rPr>
        <w:t>Off</w:t>
      </w:r>
      <w:r>
        <w:rPr>
          <w:spacing w:val="11"/>
        </w:rPr>
        <w:t xml:space="preserve"> </w:t>
      </w:r>
      <w:r>
        <w:rPr>
          <w:spacing w:val="-2"/>
        </w:rPr>
        <w:t>Schedule</w:t>
      </w:r>
      <w:r>
        <w:rPr>
          <w:spacing w:val="9"/>
        </w:rPr>
        <w:t xml:space="preserve"> </w:t>
      </w:r>
      <w:r>
        <w:rPr>
          <w:spacing w:val="-1"/>
        </w:rPr>
        <w:t>and</w:t>
      </w:r>
      <w:r>
        <w:rPr>
          <w:spacing w:val="68"/>
        </w:rPr>
        <w:t xml:space="preserve"> </w:t>
      </w:r>
      <w:r>
        <w:rPr>
          <w:spacing w:val="-1"/>
        </w:rPr>
        <w:t>in</w:t>
      </w:r>
      <w:r>
        <w:rPr>
          <w:spacing w:val="5"/>
        </w:rPr>
        <w:t xml:space="preserve"> </w:t>
      </w:r>
      <w:r>
        <w:rPr>
          <w:spacing w:val="-1"/>
        </w:rPr>
        <w:t>accordance</w:t>
      </w:r>
      <w:r>
        <w:rPr>
          <w:spacing w:val="5"/>
        </w:rPr>
        <w:t xml:space="preserve"> </w:t>
      </w:r>
      <w:r>
        <w:rPr>
          <w:spacing w:val="-1"/>
        </w:rPr>
        <w:t>with</w:t>
      </w:r>
      <w:r>
        <w:rPr>
          <w:spacing w:val="5"/>
        </w:rPr>
        <w:t xml:space="preserve"> </w:t>
      </w:r>
      <w:r>
        <w:rPr>
          <w:spacing w:val="-1"/>
        </w:rPr>
        <w:t>all</w:t>
      </w:r>
      <w:r>
        <w:rPr>
          <w:spacing w:val="4"/>
        </w:rPr>
        <w:t xml:space="preserve"> </w:t>
      </w:r>
      <w:r>
        <w:rPr>
          <w:spacing w:val="-1"/>
        </w:rPr>
        <w:t>applicable</w:t>
      </w:r>
      <w:r>
        <w:rPr>
          <w:spacing w:val="5"/>
        </w:rPr>
        <w:t xml:space="preserve"> </w:t>
      </w:r>
      <w:r>
        <w:rPr>
          <w:spacing w:val="-1"/>
        </w:rPr>
        <w:t>employment</w:t>
      </w:r>
      <w:r>
        <w:rPr>
          <w:spacing w:val="7"/>
        </w:rPr>
        <w:t xml:space="preserve"> </w:t>
      </w:r>
      <w:r>
        <w:rPr>
          <w:spacing w:val="-1"/>
        </w:rPr>
        <w:t>procedures</w:t>
      </w:r>
      <w:r>
        <w:rPr>
          <w:spacing w:val="5"/>
        </w:rPr>
        <w:t xml:space="preserve"> </w:t>
      </w:r>
      <w:r>
        <w:rPr>
          <w:spacing w:val="-1"/>
        </w:rPr>
        <w:t>set</w:t>
      </w:r>
      <w:r>
        <w:rPr>
          <w:spacing w:val="7"/>
        </w:rPr>
        <w:t xml:space="preserve"> </w:t>
      </w:r>
      <w:r>
        <w:rPr>
          <w:spacing w:val="-1"/>
        </w:rPr>
        <w:t>out</w:t>
      </w:r>
      <w:r>
        <w:rPr>
          <w:spacing w:val="7"/>
        </w:rPr>
        <w:t xml:space="preserve"> </w:t>
      </w:r>
      <w:r>
        <w:rPr>
          <w:spacing w:val="-1"/>
        </w:rPr>
        <w:t>in</w:t>
      </w:r>
      <w:r>
        <w:rPr>
          <w:spacing w:val="5"/>
        </w:rPr>
        <w:t xml:space="preserve"> </w:t>
      </w:r>
      <w:r>
        <w:rPr>
          <w:spacing w:val="-2"/>
        </w:rPr>
        <w:t>applicable</w:t>
      </w:r>
      <w:r>
        <w:rPr>
          <w:spacing w:val="5"/>
        </w:rPr>
        <w:t xml:space="preserve"> </w:t>
      </w:r>
      <w:r>
        <w:t>Law</w:t>
      </w:r>
      <w:r>
        <w:rPr>
          <w:spacing w:val="49"/>
        </w:rPr>
        <w:t xml:space="preserve"> </w:t>
      </w:r>
      <w:r>
        <w:rPr>
          <w:spacing w:val="-1"/>
        </w:rPr>
        <w:t>and</w:t>
      </w:r>
      <w:r>
        <w:rPr>
          <w:spacing w:val="3"/>
        </w:rPr>
        <w:t xml:space="preserve"> </w:t>
      </w:r>
      <w:r>
        <w:rPr>
          <w:spacing w:val="-1"/>
        </w:rPr>
        <w:t>subject</w:t>
      </w:r>
      <w:r>
        <w:rPr>
          <w:spacing w:val="5"/>
        </w:rPr>
        <w:t xml:space="preserve"> </w:t>
      </w:r>
      <w:r>
        <w:rPr>
          <w:spacing w:val="-1"/>
        </w:rPr>
        <w:t>also</w:t>
      </w:r>
      <w:r>
        <w:rPr>
          <w:spacing w:val="3"/>
        </w:rPr>
        <w:t xml:space="preserve"> </w:t>
      </w:r>
      <w:r>
        <w:t>to</w:t>
      </w:r>
      <w:r>
        <w:rPr>
          <w:spacing w:val="4"/>
        </w:rPr>
        <w:t xml:space="preserve"> </w:t>
      </w:r>
      <w:r>
        <w:rPr>
          <w:spacing w:val="-1"/>
        </w:rPr>
        <w:t>paragraph</w:t>
      </w:r>
      <w:r>
        <w:rPr>
          <w:spacing w:val="1"/>
        </w:rPr>
        <w:t xml:space="preserve"> </w:t>
      </w:r>
      <w:hyperlink w:anchor="_bookmark393" w:history="1">
        <w:r>
          <w:rPr>
            <w:spacing w:val="-1"/>
          </w:rPr>
          <w:t>2.4</w:t>
        </w:r>
      </w:hyperlink>
      <w:r>
        <w:rPr>
          <w:spacing w:val="3"/>
        </w:rPr>
        <w:t xml:space="preserve"> </w:t>
      </w:r>
      <w:r>
        <w:rPr>
          <w:spacing w:val="-2"/>
        </w:rPr>
        <w:t>of</w:t>
      </w:r>
      <w:r>
        <w:rPr>
          <w:spacing w:val="6"/>
        </w:rPr>
        <w:t xml:space="preserve"> </w:t>
      </w:r>
      <w:r>
        <w:rPr>
          <w:spacing w:val="-1"/>
        </w:rPr>
        <w:t>Part</w:t>
      </w:r>
      <w:r>
        <w:rPr>
          <w:spacing w:val="4"/>
        </w:rPr>
        <w:t xml:space="preserve"> </w:t>
      </w:r>
      <w:r>
        <w:t>C</w:t>
      </w:r>
      <w:r>
        <w:rPr>
          <w:spacing w:val="2"/>
        </w:rPr>
        <w:t xml:space="preserve"> </w:t>
      </w:r>
      <w:r>
        <w:rPr>
          <w:spacing w:val="-2"/>
        </w:rPr>
        <w:t>of</w:t>
      </w:r>
      <w:r>
        <w:rPr>
          <w:spacing w:val="6"/>
        </w:rPr>
        <w:t xml:space="preserve"> </w:t>
      </w:r>
      <w:r>
        <w:rPr>
          <w:spacing w:val="-1"/>
        </w:rPr>
        <w:t>this</w:t>
      </w:r>
      <w:r>
        <w:rPr>
          <w:spacing w:val="3"/>
        </w:rPr>
        <w:t xml:space="preserve"> </w:t>
      </w:r>
      <w:r>
        <w:rPr>
          <w:spacing w:val="-2"/>
        </w:rPr>
        <w:t>Call</w:t>
      </w:r>
      <w:r>
        <w:rPr>
          <w:spacing w:val="2"/>
        </w:rPr>
        <w:t xml:space="preserve"> </w:t>
      </w:r>
      <w:r>
        <w:t>Off</w:t>
      </w:r>
      <w:r>
        <w:rPr>
          <w:spacing w:val="6"/>
        </w:rPr>
        <w:t xml:space="preserve"> </w:t>
      </w:r>
      <w:r>
        <w:rPr>
          <w:spacing w:val="-1"/>
        </w:rPr>
        <w:t>Schedule,</w:t>
      </w:r>
      <w:r>
        <w:rPr>
          <w:spacing w:val="4"/>
        </w:rPr>
        <w:t xml:space="preserve"> </w:t>
      </w:r>
      <w:r>
        <w:t xml:space="preserve">the </w:t>
      </w:r>
      <w:r>
        <w:rPr>
          <w:spacing w:val="-1"/>
        </w:rPr>
        <w:t>Customer</w:t>
      </w:r>
      <w:r>
        <w:rPr>
          <w:spacing w:val="41"/>
        </w:rPr>
        <w:t xml:space="preserve"> </w:t>
      </w:r>
      <w:r>
        <w:rPr>
          <w:spacing w:val="-2"/>
        </w:rPr>
        <w:t>shall:</w:t>
      </w:r>
    </w:p>
    <w:p w:rsidR="008918FA" w:rsidRDefault="008918FA" w:rsidP="008918FA">
      <w:pPr>
        <w:pStyle w:val="BodyText"/>
        <w:numPr>
          <w:ilvl w:val="2"/>
          <w:numId w:val="8"/>
        </w:numPr>
        <w:tabs>
          <w:tab w:val="left" w:pos="2026"/>
        </w:tabs>
        <w:spacing w:before="121"/>
        <w:ind w:left="2025" w:right="111"/>
        <w:jc w:val="both"/>
      </w:pPr>
      <w:r>
        <w:rPr>
          <w:spacing w:val="-1"/>
        </w:rPr>
        <w:t>indemnify</w:t>
      </w:r>
      <w:r>
        <w:rPr>
          <w:spacing w:val="27"/>
        </w:rPr>
        <w:t xml:space="preserve"> </w:t>
      </w:r>
      <w:r>
        <w:t>the</w:t>
      </w:r>
      <w:r>
        <w:rPr>
          <w:spacing w:val="29"/>
        </w:rPr>
        <w:t xml:space="preserve"> </w:t>
      </w:r>
      <w:r>
        <w:rPr>
          <w:spacing w:val="-2"/>
        </w:rPr>
        <w:t>Supplier</w:t>
      </w:r>
      <w:r>
        <w:rPr>
          <w:spacing w:val="30"/>
        </w:rPr>
        <w:t xml:space="preserve"> </w:t>
      </w:r>
      <w:r>
        <w:rPr>
          <w:spacing w:val="-1"/>
        </w:rPr>
        <w:t>and/or</w:t>
      </w:r>
      <w:r>
        <w:rPr>
          <w:spacing w:val="30"/>
        </w:rPr>
        <w:t xml:space="preserve"> </w:t>
      </w:r>
      <w:r>
        <w:t>the</w:t>
      </w:r>
      <w:r>
        <w:rPr>
          <w:spacing w:val="27"/>
        </w:rPr>
        <w:t xml:space="preserve"> </w:t>
      </w:r>
      <w:r>
        <w:rPr>
          <w:spacing w:val="-2"/>
        </w:rPr>
        <w:t>relevant</w:t>
      </w:r>
      <w:r>
        <w:rPr>
          <w:spacing w:val="30"/>
        </w:rPr>
        <w:t xml:space="preserve"> </w:t>
      </w:r>
      <w:r>
        <w:rPr>
          <w:spacing w:val="-1"/>
        </w:rPr>
        <w:t>Sub-Contractor</w:t>
      </w:r>
      <w:r>
        <w:rPr>
          <w:spacing w:val="30"/>
        </w:rPr>
        <w:t xml:space="preserve"> </w:t>
      </w:r>
      <w:r>
        <w:rPr>
          <w:spacing w:val="-1"/>
        </w:rPr>
        <w:t>against</w:t>
      </w:r>
      <w:r>
        <w:rPr>
          <w:spacing w:val="31"/>
        </w:rPr>
        <w:t xml:space="preserve"> </w:t>
      </w:r>
      <w:r>
        <w:rPr>
          <w:spacing w:val="-1"/>
        </w:rPr>
        <w:t>all</w:t>
      </w:r>
      <w:r>
        <w:rPr>
          <w:spacing w:val="57"/>
        </w:rPr>
        <w:t xml:space="preserve"> </w:t>
      </w:r>
      <w:r>
        <w:rPr>
          <w:spacing w:val="-2"/>
        </w:rPr>
        <w:t>Employee</w:t>
      </w:r>
      <w:r>
        <w:rPr>
          <w:spacing w:val="3"/>
        </w:rPr>
        <w:t xml:space="preserve"> </w:t>
      </w:r>
      <w:r>
        <w:rPr>
          <w:spacing w:val="-1"/>
        </w:rPr>
        <w:t>Liabilities</w:t>
      </w:r>
      <w:r>
        <w:rPr>
          <w:spacing w:val="3"/>
        </w:rPr>
        <w:t xml:space="preserve"> </w:t>
      </w:r>
      <w:r>
        <w:rPr>
          <w:spacing w:val="-1"/>
        </w:rPr>
        <w:t>arising</w:t>
      </w:r>
      <w:r>
        <w:rPr>
          <w:spacing w:val="5"/>
        </w:rPr>
        <w:t xml:space="preserve"> </w:t>
      </w:r>
      <w:r>
        <w:rPr>
          <w:spacing w:val="-2"/>
        </w:rPr>
        <w:t>out</w:t>
      </w:r>
      <w:r>
        <w:rPr>
          <w:spacing w:val="2"/>
        </w:rPr>
        <w:t xml:space="preserve"> </w:t>
      </w:r>
      <w:r>
        <w:rPr>
          <w:spacing w:val="-2"/>
        </w:rPr>
        <w:t>of</w:t>
      </w:r>
      <w:r>
        <w:rPr>
          <w:spacing w:val="4"/>
        </w:rPr>
        <w:t xml:space="preserve"> </w:t>
      </w:r>
      <w:r>
        <w:t xml:space="preserve">the </w:t>
      </w:r>
      <w:r>
        <w:rPr>
          <w:spacing w:val="-1"/>
        </w:rPr>
        <w:t>termination</w:t>
      </w:r>
      <w:r>
        <w:t xml:space="preserve"> </w:t>
      </w:r>
      <w:r>
        <w:rPr>
          <w:spacing w:val="-2"/>
        </w:rPr>
        <w:t>of</w:t>
      </w:r>
      <w:r>
        <w:rPr>
          <w:spacing w:val="4"/>
        </w:rPr>
        <w:t xml:space="preserve"> </w:t>
      </w:r>
      <w:r>
        <w:t>the</w:t>
      </w:r>
      <w:r>
        <w:rPr>
          <w:spacing w:val="3"/>
        </w:rPr>
        <w:t xml:space="preserve"> </w:t>
      </w:r>
      <w:r>
        <w:rPr>
          <w:spacing w:val="-2"/>
        </w:rPr>
        <w:t>employment</w:t>
      </w:r>
      <w:r>
        <w:rPr>
          <w:spacing w:val="2"/>
        </w:rPr>
        <w:t xml:space="preserve"> </w:t>
      </w:r>
      <w:r>
        <w:rPr>
          <w:spacing w:val="-2"/>
        </w:rPr>
        <w:t>of</w:t>
      </w:r>
      <w:r>
        <w:rPr>
          <w:spacing w:val="51"/>
        </w:rPr>
        <w:t xml:space="preserve"> </w:t>
      </w:r>
      <w:r>
        <w:rPr>
          <w:spacing w:val="-1"/>
        </w:rPr>
        <w:t>any</w:t>
      </w:r>
      <w:r>
        <w:rPr>
          <w:spacing w:val="10"/>
        </w:rPr>
        <w:t xml:space="preserve"> </w:t>
      </w:r>
      <w:r>
        <w:rPr>
          <w:spacing w:val="-2"/>
        </w:rPr>
        <w:t>employees</w:t>
      </w:r>
      <w:r>
        <w:rPr>
          <w:spacing w:val="13"/>
        </w:rPr>
        <w:t xml:space="preserve"> </w:t>
      </w:r>
      <w:r>
        <w:rPr>
          <w:spacing w:val="-1"/>
        </w:rPr>
        <w:t>of</w:t>
      </w:r>
      <w:r>
        <w:rPr>
          <w:spacing w:val="16"/>
        </w:rPr>
        <w:t xml:space="preserve"> </w:t>
      </w:r>
      <w:r>
        <w:t>the</w:t>
      </w:r>
      <w:r>
        <w:rPr>
          <w:spacing w:val="12"/>
        </w:rPr>
        <w:t xml:space="preserve"> </w:t>
      </w:r>
      <w:r>
        <w:rPr>
          <w:spacing w:val="-1"/>
        </w:rPr>
        <w:t>Customer</w:t>
      </w:r>
      <w:r>
        <w:rPr>
          <w:spacing w:val="14"/>
        </w:rPr>
        <w:t xml:space="preserve"> </w:t>
      </w:r>
      <w:r>
        <w:rPr>
          <w:spacing w:val="-1"/>
        </w:rPr>
        <w:t>referred</w:t>
      </w:r>
      <w:r>
        <w:rPr>
          <w:spacing w:val="12"/>
        </w:rPr>
        <w:t xml:space="preserve"> </w:t>
      </w:r>
      <w:r>
        <w:t>to</w:t>
      </w:r>
      <w:r>
        <w:rPr>
          <w:spacing w:val="12"/>
        </w:rPr>
        <w:t xml:space="preserve"> </w:t>
      </w:r>
      <w:r>
        <w:rPr>
          <w:spacing w:val="-1"/>
        </w:rPr>
        <w:t>in</w:t>
      </w:r>
      <w:r>
        <w:rPr>
          <w:spacing w:val="12"/>
        </w:rPr>
        <w:t xml:space="preserve"> </w:t>
      </w:r>
      <w:r>
        <w:rPr>
          <w:spacing w:val="-1"/>
        </w:rPr>
        <w:t>paragraph</w:t>
      </w:r>
      <w:r>
        <w:t xml:space="preserve"> </w:t>
      </w:r>
      <w:hyperlink w:anchor="_bookmark387" w:history="1">
        <w:r>
          <w:t>1.2</w:t>
        </w:r>
      </w:hyperlink>
      <w:r>
        <w:rPr>
          <w:spacing w:val="12"/>
        </w:rPr>
        <w:t xml:space="preserve"> </w:t>
      </w:r>
      <w:r>
        <w:rPr>
          <w:spacing w:val="-2"/>
        </w:rPr>
        <w:t>of</w:t>
      </w:r>
      <w:r>
        <w:rPr>
          <w:spacing w:val="16"/>
        </w:rPr>
        <w:t xml:space="preserve"> </w:t>
      </w:r>
      <w:r>
        <w:rPr>
          <w:spacing w:val="-1"/>
        </w:rPr>
        <w:t>Part</w:t>
      </w:r>
      <w:r>
        <w:rPr>
          <w:spacing w:val="14"/>
        </w:rPr>
        <w:t xml:space="preserve"> </w:t>
      </w:r>
      <w:r>
        <w:t>C</w:t>
      </w:r>
      <w:r>
        <w:rPr>
          <w:spacing w:val="35"/>
        </w:rPr>
        <w:t xml:space="preserve"> </w:t>
      </w:r>
      <w:r>
        <w:rPr>
          <w:spacing w:val="-2"/>
        </w:rPr>
        <w:t>of</w:t>
      </w:r>
      <w:r>
        <w:t xml:space="preserve"> </w:t>
      </w:r>
      <w:r>
        <w:rPr>
          <w:spacing w:val="53"/>
        </w:rPr>
        <w:t xml:space="preserve"> </w:t>
      </w:r>
      <w:r>
        <w:rPr>
          <w:spacing w:val="-1"/>
        </w:rPr>
        <w:t>this</w:t>
      </w:r>
      <w:r>
        <w:t xml:space="preserve"> </w:t>
      </w:r>
      <w:r>
        <w:rPr>
          <w:spacing w:val="50"/>
        </w:rPr>
        <w:t xml:space="preserve"> </w:t>
      </w:r>
      <w:r>
        <w:rPr>
          <w:spacing w:val="-2"/>
        </w:rPr>
        <w:t>Call</w:t>
      </w:r>
      <w:r>
        <w:t xml:space="preserve"> </w:t>
      </w:r>
      <w:r>
        <w:rPr>
          <w:spacing w:val="49"/>
        </w:rPr>
        <w:t xml:space="preserve"> </w:t>
      </w:r>
      <w:r>
        <w:t xml:space="preserve">Off </w:t>
      </w:r>
      <w:r>
        <w:rPr>
          <w:spacing w:val="53"/>
        </w:rPr>
        <w:t xml:space="preserve"> </w:t>
      </w:r>
      <w:r>
        <w:rPr>
          <w:spacing w:val="-2"/>
        </w:rPr>
        <w:t>Schedule</w:t>
      </w:r>
      <w:r>
        <w:t xml:space="preserve"> </w:t>
      </w:r>
      <w:r>
        <w:rPr>
          <w:spacing w:val="49"/>
        </w:rPr>
        <w:t xml:space="preserve"> </w:t>
      </w:r>
      <w:r>
        <w:rPr>
          <w:spacing w:val="-1"/>
        </w:rPr>
        <w:t>made</w:t>
      </w:r>
      <w:r>
        <w:t xml:space="preserve"> </w:t>
      </w:r>
      <w:r>
        <w:rPr>
          <w:spacing w:val="49"/>
        </w:rPr>
        <w:t xml:space="preserve"> </w:t>
      </w:r>
      <w:r>
        <w:rPr>
          <w:spacing w:val="-1"/>
        </w:rPr>
        <w:t>pursuant</w:t>
      </w:r>
      <w:r>
        <w:t xml:space="preserve"> </w:t>
      </w:r>
      <w:r>
        <w:rPr>
          <w:spacing w:val="52"/>
        </w:rPr>
        <w:t xml:space="preserve"> </w:t>
      </w:r>
      <w:r>
        <w:rPr>
          <w:spacing w:val="-1"/>
        </w:rPr>
        <w:t>to</w:t>
      </w:r>
      <w:r>
        <w:t xml:space="preserve"> </w:t>
      </w:r>
      <w:r>
        <w:rPr>
          <w:spacing w:val="49"/>
        </w:rPr>
        <w:t xml:space="preserve"> </w:t>
      </w:r>
      <w:r>
        <w:t xml:space="preserve">the </w:t>
      </w:r>
      <w:r>
        <w:rPr>
          <w:spacing w:val="49"/>
        </w:rPr>
        <w:t xml:space="preserve"> </w:t>
      </w:r>
      <w:r>
        <w:rPr>
          <w:spacing w:val="-2"/>
        </w:rPr>
        <w:t>provisions</w:t>
      </w:r>
      <w:r>
        <w:t xml:space="preserve"> </w:t>
      </w:r>
      <w:r>
        <w:rPr>
          <w:spacing w:val="50"/>
        </w:rPr>
        <w:t xml:space="preserve"> </w:t>
      </w:r>
      <w:r>
        <w:rPr>
          <w:spacing w:val="-1"/>
        </w:rPr>
        <w:t>of</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spacing w:before="59"/>
        <w:ind w:left="2026" w:right="113" w:firstLine="0"/>
        <w:jc w:val="both"/>
      </w:pPr>
      <w:r>
        <w:rPr>
          <w:spacing w:val="-1"/>
        </w:rPr>
        <w:t>paragraph</w:t>
      </w:r>
      <w:r>
        <w:rPr>
          <w:spacing w:val="-2"/>
        </w:rPr>
        <w:t xml:space="preserve"> </w:t>
      </w:r>
      <w:hyperlink w:anchor="_bookmark389" w:history="1">
        <w:r>
          <w:t>1.4</w:t>
        </w:r>
      </w:hyperlink>
      <w:r>
        <w:rPr>
          <w:spacing w:val="43"/>
        </w:rPr>
        <w:t xml:space="preserve"> </w:t>
      </w:r>
      <w:r>
        <w:rPr>
          <w:spacing w:val="-2"/>
        </w:rPr>
        <w:t>of</w:t>
      </w:r>
      <w:r>
        <w:rPr>
          <w:spacing w:val="47"/>
        </w:rPr>
        <w:t xml:space="preserve"> </w:t>
      </w:r>
      <w:r>
        <w:rPr>
          <w:spacing w:val="-1"/>
        </w:rPr>
        <w:t>Part</w:t>
      </w:r>
      <w:r>
        <w:rPr>
          <w:spacing w:val="47"/>
        </w:rPr>
        <w:t xml:space="preserve"> </w:t>
      </w:r>
      <w:r>
        <w:t>C</w:t>
      </w:r>
      <w:r>
        <w:rPr>
          <w:spacing w:val="43"/>
        </w:rPr>
        <w:t xml:space="preserve"> </w:t>
      </w:r>
      <w:r>
        <w:rPr>
          <w:spacing w:val="-2"/>
        </w:rPr>
        <w:t>of</w:t>
      </w:r>
      <w:r>
        <w:rPr>
          <w:spacing w:val="47"/>
        </w:rPr>
        <w:t xml:space="preserve"> </w:t>
      </w:r>
      <w:r>
        <w:rPr>
          <w:spacing w:val="-1"/>
        </w:rPr>
        <w:t>this</w:t>
      </w:r>
      <w:r>
        <w:rPr>
          <w:spacing w:val="46"/>
        </w:rPr>
        <w:t xml:space="preserve"> </w:t>
      </w:r>
      <w:r>
        <w:rPr>
          <w:spacing w:val="-2"/>
        </w:rPr>
        <w:t>Call</w:t>
      </w:r>
      <w:r>
        <w:rPr>
          <w:spacing w:val="44"/>
        </w:rPr>
        <w:t xml:space="preserve"> </w:t>
      </w:r>
      <w:r>
        <w:rPr>
          <w:spacing w:val="-1"/>
        </w:rPr>
        <w:t>Off</w:t>
      </w:r>
      <w:r>
        <w:rPr>
          <w:spacing w:val="47"/>
        </w:rPr>
        <w:t xml:space="preserve"> </w:t>
      </w:r>
      <w:r>
        <w:rPr>
          <w:spacing w:val="-2"/>
        </w:rPr>
        <w:t>Schedule</w:t>
      </w:r>
      <w:r>
        <w:rPr>
          <w:spacing w:val="46"/>
        </w:rPr>
        <w:t xml:space="preserve"> </w:t>
      </w:r>
      <w:r>
        <w:rPr>
          <w:spacing w:val="-2"/>
        </w:rPr>
        <w:t>provided</w:t>
      </w:r>
      <w:r>
        <w:rPr>
          <w:spacing w:val="46"/>
        </w:rPr>
        <w:t xml:space="preserve"> </w:t>
      </w:r>
      <w:r>
        <w:rPr>
          <w:spacing w:val="-1"/>
        </w:rPr>
        <w:t>that</w:t>
      </w:r>
      <w:r>
        <w:rPr>
          <w:spacing w:val="45"/>
        </w:rPr>
        <w:t xml:space="preserve"> </w:t>
      </w:r>
      <w:r>
        <w:rPr>
          <w:spacing w:val="-1"/>
        </w:rPr>
        <w:t>the</w:t>
      </w:r>
      <w:r>
        <w:rPr>
          <w:spacing w:val="64"/>
        </w:rPr>
        <w:t xml:space="preserve"> </w:t>
      </w:r>
      <w:r>
        <w:rPr>
          <w:spacing w:val="-2"/>
        </w:rPr>
        <w:t>Supplier</w:t>
      </w:r>
      <w:r>
        <w:rPr>
          <w:spacing w:val="11"/>
        </w:rPr>
        <w:t xml:space="preserve"> </w:t>
      </w:r>
      <w:r>
        <w:rPr>
          <w:spacing w:val="-1"/>
        </w:rPr>
        <w:t>takes,</w:t>
      </w:r>
      <w:r>
        <w:rPr>
          <w:spacing w:val="11"/>
        </w:rPr>
        <w:t xml:space="preserve"> </w:t>
      </w:r>
      <w:r>
        <w:rPr>
          <w:spacing w:val="-2"/>
        </w:rPr>
        <w:t>or</w:t>
      </w:r>
      <w:r>
        <w:rPr>
          <w:spacing w:val="11"/>
        </w:rPr>
        <w:t xml:space="preserve"> </w:t>
      </w:r>
      <w:r>
        <w:rPr>
          <w:spacing w:val="-1"/>
        </w:rPr>
        <w:t>shall</w:t>
      </w:r>
      <w:r>
        <w:rPr>
          <w:spacing w:val="9"/>
        </w:rPr>
        <w:t xml:space="preserve"> </w:t>
      </w:r>
      <w:r>
        <w:rPr>
          <w:spacing w:val="-1"/>
        </w:rPr>
        <w:t>procure</w:t>
      </w:r>
      <w:r>
        <w:rPr>
          <w:spacing w:val="7"/>
        </w:rPr>
        <w:t xml:space="preserve"> </w:t>
      </w:r>
      <w:r>
        <w:rPr>
          <w:spacing w:val="-1"/>
        </w:rPr>
        <w:t>that</w:t>
      </w:r>
      <w:r>
        <w:rPr>
          <w:spacing w:val="9"/>
        </w:rPr>
        <w:t xml:space="preserve"> </w:t>
      </w:r>
      <w:r>
        <w:t>the</w:t>
      </w:r>
      <w:r>
        <w:rPr>
          <w:spacing w:val="10"/>
        </w:rPr>
        <w:t xml:space="preserve"> </w:t>
      </w:r>
      <w:r>
        <w:rPr>
          <w:spacing w:val="-1"/>
        </w:rPr>
        <w:t>Notified</w:t>
      </w:r>
      <w:r>
        <w:rPr>
          <w:spacing w:val="10"/>
        </w:rPr>
        <w:t xml:space="preserve"> </w:t>
      </w:r>
      <w:r>
        <w:rPr>
          <w:spacing w:val="-1"/>
        </w:rPr>
        <w:t>Sub-Contractor</w:t>
      </w:r>
      <w:r>
        <w:rPr>
          <w:spacing w:val="9"/>
        </w:rPr>
        <w:t xml:space="preserve"> </w:t>
      </w:r>
      <w:r>
        <w:rPr>
          <w:spacing w:val="-1"/>
        </w:rPr>
        <w:t>takes,</w:t>
      </w:r>
      <w:r>
        <w:rPr>
          <w:spacing w:val="38"/>
        </w:rPr>
        <w:t xml:space="preserve"> </w:t>
      </w:r>
      <w:r>
        <w:rPr>
          <w:spacing w:val="-1"/>
        </w:rPr>
        <w:t>all</w:t>
      </w:r>
      <w:r>
        <w:t xml:space="preserve"> </w:t>
      </w:r>
      <w:r>
        <w:rPr>
          <w:spacing w:val="-1"/>
        </w:rPr>
        <w:t>reasonable</w:t>
      </w:r>
      <w:r>
        <w:t xml:space="preserve"> </w:t>
      </w:r>
      <w:r>
        <w:rPr>
          <w:spacing w:val="-1"/>
        </w:rPr>
        <w:t>steps</w:t>
      </w:r>
      <w:r>
        <w:rPr>
          <w:spacing w:val="-2"/>
        </w:rPr>
        <w:t xml:space="preserve"> </w:t>
      </w:r>
      <w:r>
        <w:t>to</w:t>
      </w:r>
      <w:r>
        <w:rPr>
          <w:spacing w:val="-2"/>
        </w:rPr>
        <w:t xml:space="preserve"> minimise</w:t>
      </w:r>
      <w:r>
        <w:rPr>
          <w:spacing w:val="1"/>
        </w:rPr>
        <w:t xml:space="preserve"> </w:t>
      </w:r>
      <w:r>
        <w:rPr>
          <w:spacing w:val="-1"/>
        </w:rPr>
        <w:t>any</w:t>
      </w:r>
      <w:r>
        <w:rPr>
          <w:spacing w:val="-2"/>
        </w:rPr>
        <w:t xml:space="preserve"> </w:t>
      </w:r>
      <w:r>
        <w:rPr>
          <w:spacing w:val="-1"/>
        </w:rPr>
        <w:t>such</w:t>
      </w:r>
      <w:r>
        <w:rPr>
          <w:spacing w:val="1"/>
        </w:rPr>
        <w:t xml:space="preserve"> </w:t>
      </w:r>
      <w:r>
        <w:rPr>
          <w:spacing w:val="-2"/>
        </w:rPr>
        <w:t>Employee</w:t>
      </w:r>
      <w:r>
        <w:t xml:space="preserve"> </w:t>
      </w:r>
      <w:r>
        <w:rPr>
          <w:spacing w:val="-2"/>
        </w:rPr>
        <w:t>Liabilities;</w:t>
      </w:r>
      <w:r>
        <w:rPr>
          <w:spacing w:val="2"/>
        </w:rPr>
        <w:t xml:space="preserve"> </w:t>
      </w:r>
      <w:r>
        <w:rPr>
          <w:spacing w:val="-1"/>
        </w:rPr>
        <w:t>and</w:t>
      </w:r>
    </w:p>
    <w:p w:rsidR="008918FA" w:rsidRDefault="008918FA" w:rsidP="008918FA">
      <w:pPr>
        <w:pStyle w:val="BodyText"/>
        <w:numPr>
          <w:ilvl w:val="2"/>
          <w:numId w:val="8"/>
        </w:numPr>
        <w:tabs>
          <w:tab w:val="left" w:pos="2027"/>
        </w:tabs>
        <w:ind w:right="113"/>
        <w:jc w:val="both"/>
      </w:pPr>
      <w:r>
        <w:rPr>
          <w:spacing w:val="-1"/>
        </w:rPr>
        <w:t>procure</w:t>
      </w:r>
      <w:r>
        <w:rPr>
          <w:spacing w:val="24"/>
        </w:rPr>
        <w:t xml:space="preserve"> </w:t>
      </w:r>
      <w:r>
        <w:rPr>
          <w:spacing w:val="-1"/>
        </w:rPr>
        <w:t>that</w:t>
      </w:r>
      <w:r>
        <w:rPr>
          <w:spacing w:val="26"/>
        </w:rPr>
        <w:t xml:space="preserve"> </w:t>
      </w:r>
      <w:r>
        <w:t>the</w:t>
      </w:r>
      <w:r>
        <w:rPr>
          <w:spacing w:val="24"/>
        </w:rPr>
        <w:t xml:space="preserve"> </w:t>
      </w:r>
      <w:r>
        <w:rPr>
          <w:spacing w:val="-2"/>
        </w:rPr>
        <w:t>Former</w:t>
      </w:r>
      <w:r>
        <w:rPr>
          <w:spacing w:val="23"/>
        </w:rPr>
        <w:t xml:space="preserve"> </w:t>
      </w:r>
      <w:r>
        <w:rPr>
          <w:spacing w:val="-2"/>
        </w:rPr>
        <w:t>Supplier</w:t>
      </w:r>
      <w:r>
        <w:rPr>
          <w:spacing w:val="26"/>
        </w:rPr>
        <w:t xml:space="preserve"> </w:t>
      </w:r>
      <w:r>
        <w:rPr>
          <w:spacing w:val="-1"/>
        </w:rPr>
        <w:t>indemnifies</w:t>
      </w:r>
      <w:r>
        <w:rPr>
          <w:spacing w:val="25"/>
        </w:rPr>
        <w:t xml:space="preserve"> </w:t>
      </w:r>
      <w:r>
        <w:rPr>
          <w:spacing w:val="-1"/>
        </w:rPr>
        <w:t>the</w:t>
      </w:r>
      <w:r>
        <w:rPr>
          <w:spacing w:val="24"/>
        </w:rPr>
        <w:t xml:space="preserve"> </w:t>
      </w:r>
      <w:r>
        <w:rPr>
          <w:spacing w:val="-2"/>
        </w:rPr>
        <w:t>Supplier</w:t>
      </w:r>
      <w:r>
        <w:rPr>
          <w:spacing w:val="26"/>
        </w:rPr>
        <w:t xml:space="preserve"> </w:t>
      </w:r>
      <w:r>
        <w:rPr>
          <w:spacing w:val="-1"/>
        </w:rPr>
        <w:t>and/or</w:t>
      </w:r>
      <w:r>
        <w:rPr>
          <w:spacing w:val="26"/>
        </w:rPr>
        <w:t xml:space="preserve"> </w:t>
      </w:r>
      <w:r>
        <w:t>any</w:t>
      </w:r>
      <w:r>
        <w:rPr>
          <w:spacing w:val="65"/>
        </w:rPr>
        <w:t xml:space="preserve"> </w:t>
      </w:r>
      <w:r>
        <w:rPr>
          <w:spacing w:val="-1"/>
        </w:rPr>
        <w:t>Notified</w:t>
      </w:r>
      <w:r>
        <w:rPr>
          <w:spacing w:val="29"/>
        </w:rPr>
        <w:t xml:space="preserve"> </w:t>
      </w:r>
      <w:r>
        <w:rPr>
          <w:spacing w:val="-1"/>
        </w:rPr>
        <w:t>Sub-Contractor</w:t>
      </w:r>
      <w:r>
        <w:rPr>
          <w:spacing w:val="28"/>
        </w:rPr>
        <w:t xml:space="preserve"> </w:t>
      </w:r>
      <w:r>
        <w:rPr>
          <w:spacing w:val="-1"/>
        </w:rPr>
        <w:t>against</w:t>
      </w:r>
      <w:r>
        <w:rPr>
          <w:spacing w:val="31"/>
        </w:rPr>
        <w:t xml:space="preserve"> </w:t>
      </w:r>
      <w:r>
        <w:rPr>
          <w:spacing w:val="-1"/>
        </w:rPr>
        <w:t>all</w:t>
      </w:r>
      <w:r>
        <w:rPr>
          <w:spacing w:val="28"/>
        </w:rPr>
        <w:t xml:space="preserve"> </w:t>
      </w:r>
      <w:r>
        <w:rPr>
          <w:spacing w:val="-2"/>
        </w:rPr>
        <w:t>Employee</w:t>
      </w:r>
      <w:r>
        <w:rPr>
          <w:spacing w:val="29"/>
        </w:rPr>
        <w:t xml:space="preserve"> </w:t>
      </w:r>
      <w:r>
        <w:rPr>
          <w:spacing w:val="-1"/>
        </w:rPr>
        <w:t>Liabilities</w:t>
      </w:r>
      <w:r>
        <w:rPr>
          <w:spacing w:val="30"/>
        </w:rPr>
        <w:t xml:space="preserve"> </w:t>
      </w:r>
      <w:r>
        <w:rPr>
          <w:spacing w:val="-1"/>
        </w:rPr>
        <w:t>arising</w:t>
      </w:r>
      <w:r>
        <w:rPr>
          <w:spacing w:val="31"/>
        </w:rPr>
        <w:t xml:space="preserve"> </w:t>
      </w:r>
      <w:r>
        <w:rPr>
          <w:spacing w:val="-1"/>
        </w:rPr>
        <w:t>out</w:t>
      </w:r>
      <w:r>
        <w:rPr>
          <w:spacing w:val="30"/>
        </w:rPr>
        <w:t xml:space="preserve"> </w:t>
      </w:r>
      <w:r>
        <w:rPr>
          <w:spacing w:val="-1"/>
        </w:rPr>
        <w:t>of</w:t>
      </w:r>
      <w:r>
        <w:rPr>
          <w:spacing w:val="38"/>
        </w:rPr>
        <w:t xml:space="preserve"> </w:t>
      </w:r>
      <w:r>
        <w:rPr>
          <w:spacing w:val="-1"/>
        </w:rPr>
        <w:t>termination</w:t>
      </w:r>
      <w:r>
        <w:rPr>
          <w:spacing w:val="32"/>
        </w:rPr>
        <w:t xml:space="preserve"> </w:t>
      </w:r>
      <w:r>
        <w:rPr>
          <w:spacing w:val="-2"/>
        </w:rPr>
        <w:t>of</w:t>
      </w:r>
      <w:r>
        <w:rPr>
          <w:spacing w:val="34"/>
        </w:rPr>
        <w:t xml:space="preserve"> </w:t>
      </w:r>
      <w:r>
        <w:t>the</w:t>
      </w:r>
      <w:r>
        <w:rPr>
          <w:spacing w:val="30"/>
        </w:rPr>
        <w:t xml:space="preserve"> </w:t>
      </w:r>
      <w:r>
        <w:rPr>
          <w:spacing w:val="-2"/>
        </w:rPr>
        <w:t>employment</w:t>
      </w:r>
      <w:r>
        <w:rPr>
          <w:spacing w:val="34"/>
        </w:rPr>
        <w:t xml:space="preserve"> </w:t>
      </w:r>
      <w:r>
        <w:rPr>
          <w:spacing w:val="-2"/>
        </w:rPr>
        <w:t>of</w:t>
      </w:r>
      <w:r>
        <w:rPr>
          <w:spacing w:val="34"/>
        </w:rPr>
        <w:t xml:space="preserve"> </w:t>
      </w:r>
      <w:r>
        <w:t>the</w:t>
      </w:r>
      <w:r>
        <w:rPr>
          <w:spacing w:val="32"/>
        </w:rPr>
        <w:t xml:space="preserve"> </w:t>
      </w:r>
      <w:r>
        <w:rPr>
          <w:spacing w:val="-2"/>
        </w:rPr>
        <w:t>employees</w:t>
      </w:r>
      <w:r>
        <w:rPr>
          <w:spacing w:val="34"/>
        </w:rPr>
        <w:t xml:space="preserve"> </w:t>
      </w:r>
      <w:r>
        <w:rPr>
          <w:spacing w:val="-1"/>
        </w:rPr>
        <w:t>of</w:t>
      </w:r>
      <w:r>
        <w:rPr>
          <w:spacing w:val="34"/>
        </w:rPr>
        <w:t xml:space="preserve"> </w:t>
      </w:r>
      <w:r>
        <w:t>the</w:t>
      </w:r>
      <w:r>
        <w:rPr>
          <w:spacing w:val="30"/>
        </w:rPr>
        <w:t xml:space="preserve"> </w:t>
      </w:r>
      <w:r>
        <w:rPr>
          <w:spacing w:val="-1"/>
        </w:rPr>
        <w:t>Former</w:t>
      </w:r>
      <w:r>
        <w:rPr>
          <w:spacing w:val="36"/>
        </w:rPr>
        <w:t xml:space="preserve"> </w:t>
      </w:r>
      <w:r>
        <w:rPr>
          <w:spacing w:val="-2"/>
        </w:rPr>
        <w:t>Supplier</w:t>
      </w:r>
      <w:r>
        <w:rPr>
          <w:spacing w:val="6"/>
        </w:rPr>
        <w:t xml:space="preserve"> </w:t>
      </w:r>
      <w:r>
        <w:rPr>
          <w:spacing w:val="-1"/>
        </w:rPr>
        <w:t>made</w:t>
      </w:r>
      <w:r>
        <w:rPr>
          <w:spacing w:val="5"/>
        </w:rPr>
        <w:t xml:space="preserve"> </w:t>
      </w:r>
      <w:r>
        <w:rPr>
          <w:spacing w:val="-1"/>
        </w:rPr>
        <w:t>pursuant</w:t>
      </w:r>
      <w:r>
        <w:rPr>
          <w:spacing w:val="4"/>
        </w:rPr>
        <w:t xml:space="preserve"> </w:t>
      </w:r>
      <w:r>
        <w:t>to</w:t>
      </w:r>
      <w:r>
        <w:rPr>
          <w:spacing w:val="5"/>
        </w:rPr>
        <w:t xml:space="preserve"> </w:t>
      </w:r>
      <w:r>
        <w:t>the</w:t>
      </w:r>
      <w:r>
        <w:rPr>
          <w:spacing w:val="5"/>
        </w:rPr>
        <w:t xml:space="preserve"> </w:t>
      </w:r>
      <w:r>
        <w:rPr>
          <w:spacing w:val="-2"/>
        </w:rPr>
        <w:t>provisions</w:t>
      </w:r>
      <w:r>
        <w:rPr>
          <w:spacing w:val="5"/>
        </w:rPr>
        <w:t xml:space="preserve"> </w:t>
      </w:r>
      <w:r>
        <w:rPr>
          <w:spacing w:val="-1"/>
        </w:rPr>
        <w:t>of</w:t>
      </w:r>
      <w:r>
        <w:rPr>
          <w:spacing w:val="11"/>
        </w:rPr>
        <w:t xml:space="preserve"> </w:t>
      </w:r>
      <w:r>
        <w:rPr>
          <w:spacing w:val="-1"/>
        </w:rPr>
        <w:t>paragraph</w:t>
      </w:r>
      <w:r>
        <w:rPr>
          <w:spacing w:val="1"/>
        </w:rPr>
        <w:t xml:space="preserve"> </w:t>
      </w:r>
      <w:hyperlink w:anchor="_bookmark389" w:history="1">
        <w:r>
          <w:rPr>
            <w:spacing w:val="-1"/>
          </w:rPr>
          <w:t>1.4</w:t>
        </w:r>
      </w:hyperlink>
      <w:r>
        <w:rPr>
          <w:spacing w:val="5"/>
        </w:rPr>
        <w:t xml:space="preserve"> </w:t>
      </w:r>
      <w:r>
        <w:rPr>
          <w:spacing w:val="-2"/>
        </w:rPr>
        <w:t>of</w:t>
      </w:r>
      <w:r>
        <w:rPr>
          <w:spacing w:val="9"/>
        </w:rPr>
        <w:t xml:space="preserve"> </w:t>
      </w:r>
      <w:r>
        <w:rPr>
          <w:spacing w:val="-1"/>
        </w:rPr>
        <w:t>Part</w:t>
      </w:r>
      <w:r>
        <w:rPr>
          <w:spacing w:val="7"/>
        </w:rPr>
        <w:t xml:space="preserve"> </w:t>
      </w:r>
      <w:r>
        <w:t>C</w:t>
      </w:r>
      <w:r>
        <w:rPr>
          <w:spacing w:val="4"/>
        </w:rPr>
        <w:t xml:space="preserve"> </w:t>
      </w:r>
      <w:r>
        <w:rPr>
          <w:spacing w:val="-3"/>
        </w:rPr>
        <w:t>of</w:t>
      </w:r>
      <w:r>
        <w:rPr>
          <w:spacing w:val="56"/>
        </w:rPr>
        <w:t xml:space="preserve"> </w:t>
      </w:r>
      <w:r>
        <w:rPr>
          <w:spacing w:val="-1"/>
        </w:rPr>
        <w:t>this</w:t>
      </w:r>
      <w:r>
        <w:rPr>
          <w:spacing w:val="1"/>
        </w:rPr>
        <w:t xml:space="preserve"> </w:t>
      </w:r>
      <w:r>
        <w:rPr>
          <w:spacing w:val="-2"/>
        </w:rPr>
        <w:t>Call</w:t>
      </w:r>
      <w:r>
        <w:t xml:space="preserve"> </w:t>
      </w:r>
      <w:r>
        <w:rPr>
          <w:spacing w:val="-1"/>
        </w:rPr>
        <w:t>Off</w:t>
      </w:r>
      <w:r>
        <w:rPr>
          <w:spacing w:val="4"/>
        </w:rPr>
        <w:t xml:space="preserve"> </w:t>
      </w:r>
      <w:r>
        <w:rPr>
          <w:spacing w:val="-1"/>
        </w:rPr>
        <w:t>Schedule</w:t>
      </w:r>
      <w:r>
        <w:t xml:space="preserve"> </w:t>
      </w:r>
      <w:r>
        <w:rPr>
          <w:spacing w:val="-2"/>
        </w:rPr>
        <w:t>provided</w:t>
      </w:r>
      <w:r>
        <w:t xml:space="preserve"> </w:t>
      </w:r>
      <w:r>
        <w:rPr>
          <w:spacing w:val="-1"/>
        </w:rPr>
        <w:t>that</w:t>
      </w:r>
      <w:r>
        <w:rPr>
          <w:spacing w:val="2"/>
        </w:rPr>
        <w:t xml:space="preserve"> </w:t>
      </w:r>
      <w:r>
        <w:t xml:space="preserve">the </w:t>
      </w:r>
      <w:r>
        <w:rPr>
          <w:spacing w:val="-2"/>
        </w:rPr>
        <w:t>Supplier</w:t>
      </w:r>
      <w:r>
        <w:rPr>
          <w:spacing w:val="2"/>
        </w:rPr>
        <w:t xml:space="preserve"> </w:t>
      </w:r>
      <w:r>
        <w:rPr>
          <w:spacing w:val="-1"/>
        </w:rPr>
        <w:t>takes,</w:t>
      </w:r>
      <w:r>
        <w:rPr>
          <w:spacing w:val="2"/>
        </w:rPr>
        <w:t xml:space="preserve"> </w:t>
      </w:r>
      <w:r>
        <w:rPr>
          <w:spacing w:val="-1"/>
        </w:rPr>
        <w:t>or shall</w:t>
      </w:r>
      <w:r>
        <w:t xml:space="preserve"> </w:t>
      </w:r>
      <w:r>
        <w:rPr>
          <w:spacing w:val="-1"/>
        </w:rPr>
        <w:t>procure</w:t>
      </w:r>
      <w:r>
        <w:rPr>
          <w:spacing w:val="61"/>
        </w:rPr>
        <w:t xml:space="preserve"> </w:t>
      </w:r>
      <w:r>
        <w:rPr>
          <w:spacing w:val="-1"/>
        </w:rPr>
        <w:t>that</w:t>
      </w:r>
      <w:r>
        <w:rPr>
          <w:spacing w:val="49"/>
        </w:rPr>
        <w:t xml:space="preserve"> </w:t>
      </w:r>
      <w:r>
        <w:t>the</w:t>
      </w:r>
      <w:r>
        <w:rPr>
          <w:spacing w:val="47"/>
        </w:rPr>
        <w:t xml:space="preserve"> </w:t>
      </w:r>
      <w:r>
        <w:rPr>
          <w:spacing w:val="-2"/>
        </w:rPr>
        <w:t>relevant</w:t>
      </w:r>
      <w:r>
        <w:rPr>
          <w:spacing w:val="49"/>
        </w:rPr>
        <w:t xml:space="preserve"> </w:t>
      </w:r>
      <w:r>
        <w:rPr>
          <w:spacing w:val="-1"/>
        </w:rPr>
        <w:t>Sub-Contractor</w:t>
      </w:r>
      <w:r>
        <w:rPr>
          <w:spacing w:val="48"/>
        </w:rPr>
        <w:t xml:space="preserve"> </w:t>
      </w:r>
      <w:r>
        <w:rPr>
          <w:spacing w:val="-1"/>
        </w:rPr>
        <w:t>takes,</w:t>
      </w:r>
      <w:r>
        <w:rPr>
          <w:spacing w:val="49"/>
        </w:rPr>
        <w:t xml:space="preserve"> </w:t>
      </w:r>
      <w:r>
        <w:rPr>
          <w:spacing w:val="-1"/>
        </w:rPr>
        <w:t>all</w:t>
      </w:r>
      <w:r>
        <w:rPr>
          <w:spacing w:val="46"/>
        </w:rPr>
        <w:t xml:space="preserve"> </w:t>
      </w:r>
      <w:r>
        <w:rPr>
          <w:spacing w:val="-1"/>
        </w:rPr>
        <w:t>reasonable</w:t>
      </w:r>
      <w:r>
        <w:rPr>
          <w:spacing w:val="48"/>
        </w:rPr>
        <w:t xml:space="preserve"> </w:t>
      </w:r>
      <w:r>
        <w:rPr>
          <w:spacing w:val="-1"/>
        </w:rPr>
        <w:t>steps</w:t>
      </w:r>
      <w:r>
        <w:rPr>
          <w:spacing w:val="47"/>
        </w:rPr>
        <w:t xml:space="preserve"> </w:t>
      </w:r>
      <w:r>
        <w:t>to</w:t>
      </w:r>
      <w:r>
        <w:rPr>
          <w:spacing w:val="41"/>
        </w:rPr>
        <w:t xml:space="preserve"> </w:t>
      </w:r>
      <w:r>
        <w:rPr>
          <w:spacing w:val="-1"/>
        </w:rPr>
        <w:t>minimise</w:t>
      </w:r>
      <w:r>
        <w:rPr>
          <w:spacing w:val="1"/>
        </w:rPr>
        <w:t xml:space="preserve"> </w:t>
      </w:r>
      <w:r>
        <w:rPr>
          <w:spacing w:val="-1"/>
        </w:rPr>
        <w:t>any</w:t>
      </w:r>
      <w:r>
        <w:rPr>
          <w:spacing w:val="-2"/>
        </w:rPr>
        <w:t xml:space="preserve"> </w:t>
      </w:r>
      <w:r>
        <w:rPr>
          <w:spacing w:val="-1"/>
        </w:rPr>
        <w:t>such</w:t>
      </w:r>
      <w:r>
        <w:rPr>
          <w:spacing w:val="-2"/>
        </w:rPr>
        <w:t xml:space="preserve"> Employee</w:t>
      </w:r>
      <w:r>
        <w:t xml:space="preserve"> </w:t>
      </w:r>
      <w:r>
        <w:rPr>
          <w:spacing w:val="-1"/>
        </w:rPr>
        <w:t>Liabilities.</w:t>
      </w:r>
    </w:p>
    <w:p w:rsidR="008918FA" w:rsidRDefault="008918FA" w:rsidP="008918FA">
      <w:pPr>
        <w:pStyle w:val="BodyText"/>
        <w:numPr>
          <w:ilvl w:val="1"/>
          <w:numId w:val="8"/>
        </w:numPr>
        <w:tabs>
          <w:tab w:val="left" w:pos="829"/>
        </w:tabs>
        <w:ind w:left="827" w:right="112" w:hanging="359"/>
        <w:jc w:val="both"/>
      </w:pPr>
      <w:bookmarkStart w:id="473" w:name="_bookmark391"/>
      <w:bookmarkEnd w:id="473"/>
      <w:r>
        <w:rPr>
          <w:spacing w:val="-1"/>
        </w:rPr>
        <w:t>If</w:t>
      </w:r>
      <w:r>
        <w:rPr>
          <w:spacing w:val="54"/>
        </w:rPr>
        <w:t xml:space="preserve"> </w:t>
      </w:r>
      <w:r>
        <w:rPr>
          <w:spacing w:val="-1"/>
        </w:rPr>
        <w:t>any</w:t>
      </w:r>
      <w:r>
        <w:rPr>
          <w:spacing w:val="49"/>
        </w:rPr>
        <w:t xml:space="preserve"> </w:t>
      </w:r>
      <w:r>
        <w:rPr>
          <w:spacing w:val="-1"/>
        </w:rPr>
        <w:t>such</w:t>
      </w:r>
      <w:r>
        <w:rPr>
          <w:spacing w:val="49"/>
        </w:rPr>
        <w:t xml:space="preserve"> </w:t>
      </w:r>
      <w:r>
        <w:rPr>
          <w:spacing w:val="-1"/>
        </w:rPr>
        <w:t>person</w:t>
      </w:r>
      <w:r>
        <w:rPr>
          <w:spacing w:val="51"/>
        </w:rPr>
        <w:t xml:space="preserve"> </w:t>
      </w:r>
      <w:r>
        <w:rPr>
          <w:spacing w:val="-1"/>
        </w:rPr>
        <w:t>as</w:t>
      </w:r>
      <w:r>
        <w:rPr>
          <w:spacing w:val="49"/>
        </w:rPr>
        <w:t xml:space="preserve"> </w:t>
      </w:r>
      <w:r>
        <w:rPr>
          <w:spacing w:val="-1"/>
        </w:rPr>
        <w:t>is</w:t>
      </w:r>
      <w:r>
        <w:rPr>
          <w:spacing w:val="51"/>
        </w:rPr>
        <w:t xml:space="preserve"> </w:t>
      </w:r>
      <w:r>
        <w:rPr>
          <w:spacing w:val="-1"/>
        </w:rPr>
        <w:t>described</w:t>
      </w:r>
      <w:r>
        <w:rPr>
          <w:spacing w:val="52"/>
        </w:rPr>
        <w:t xml:space="preserve"> </w:t>
      </w:r>
      <w:r>
        <w:rPr>
          <w:spacing w:val="-1"/>
        </w:rPr>
        <w:t>in</w:t>
      </w:r>
      <w:r>
        <w:rPr>
          <w:spacing w:val="48"/>
        </w:rPr>
        <w:t xml:space="preserve"> </w:t>
      </w:r>
      <w:r>
        <w:rPr>
          <w:spacing w:val="-2"/>
        </w:rPr>
        <w:t>paragraph</w:t>
      </w:r>
      <w:r>
        <w:rPr>
          <w:spacing w:val="2"/>
        </w:rPr>
        <w:t xml:space="preserve"> </w:t>
      </w:r>
      <w:hyperlink w:anchor="_bookmark387" w:history="1">
        <w:r>
          <w:t>1.2</w:t>
        </w:r>
      </w:hyperlink>
      <w:r>
        <w:rPr>
          <w:spacing w:val="48"/>
        </w:rPr>
        <w:t xml:space="preserve"> </w:t>
      </w:r>
      <w:r>
        <w:rPr>
          <w:spacing w:val="-2"/>
        </w:rPr>
        <w:t>of</w:t>
      </w:r>
      <w:r>
        <w:rPr>
          <w:spacing w:val="54"/>
        </w:rPr>
        <w:t xml:space="preserve"> </w:t>
      </w:r>
      <w:r>
        <w:rPr>
          <w:spacing w:val="-1"/>
        </w:rPr>
        <w:t>Part</w:t>
      </w:r>
      <w:r>
        <w:rPr>
          <w:spacing w:val="50"/>
        </w:rPr>
        <w:t xml:space="preserve"> </w:t>
      </w:r>
      <w:r>
        <w:t>C</w:t>
      </w:r>
      <w:r>
        <w:rPr>
          <w:spacing w:val="50"/>
        </w:rPr>
        <w:t xml:space="preserve"> </w:t>
      </w:r>
      <w:r>
        <w:rPr>
          <w:spacing w:val="-2"/>
        </w:rPr>
        <w:t>of</w:t>
      </w:r>
      <w:r>
        <w:rPr>
          <w:spacing w:val="53"/>
        </w:rPr>
        <w:t xml:space="preserve"> </w:t>
      </w:r>
      <w:r>
        <w:rPr>
          <w:spacing w:val="-1"/>
        </w:rPr>
        <w:t>this</w:t>
      </w:r>
      <w:r>
        <w:rPr>
          <w:spacing w:val="46"/>
        </w:rPr>
        <w:t xml:space="preserve"> </w:t>
      </w:r>
      <w:r>
        <w:rPr>
          <w:spacing w:val="-2"/>
        </w:rPr>
        <w:t>Call</w:t>
      </w:r>
      <w:r>
        <w:rPr>
          <w:spacing w:val="50"/>
        </w:rPr>
        <w:t xml:space="preserve"> </w:t>
      </w:r>
      <w:r>
        <w:rPr>
          <w:spacing w:val="-1"/>
        </w:rPr>
        <w:t>Off</w:t>
      </w:r>
      <w:r>
        <w:rPr>
          <w:spacing w:val="47"/>
        </w:rPr>
        <w:t xml:space="preserve"> </w:t>
      </w:r>
      <w:r>
        <w:rPr>
          <w:spacing w:val="-1"/>
        </w:rPr>
        <w:t>Schedule</w:t>
      </w:r>
      <w:r>
        <w:rPr>
          <w:spacing w:val="27"/>
        </w:rPr>
        <w:t xml:space="preserve"> </w:t>
      </w:r>
      <w:r>
        <w:rPr>
          <w:spacing w:val="-1"/>
        </w:rPr>
        <w:t>is</w:t>
      </w:r>
      <w:r>
        <w:rPr>
          <w:spacing w:val="27"/>
        </w:rPr>
        <w:t xml:space="preserve"> </w:t>
      </w:r>
      <w:r>
        <w:rPr>
          <w:spacing w:val="-1"/>
        </w:rPr>
        <w:t>neither</w:t>
      </w:r>
      <w:r>
        <w:rPr>
          <w:spacing w:val="26"/>
        </w:rPr>
        <w:t xml:space="preserve"> </w:t>
      </w:r>
      <w:r>
        <w:t>re</w:t>
      </w:r>
      <w:r>
        <w:rPr>
          <w:spacing w:val="27"/>
        </w:rPr>
        <w:t xml:space="preserve"> </w:t>
      </w:r>
      <w:r>
        <w:rPr>
          <w:spacing w:val="-2"/>
        </w:rPr>
        <w:t>employed</w:t>
      </w:r>
      <w:r>
        <w:rPr>
          <w:spacing w:val="27"/>
        </w:rPr>
        <w:t xml:space="preserve"> </w:t>
      </w:r>
      <w:r>
        <w:rPr>
          <w:spacing w:val="-1"/>
        </w:rPr>
        <w:t>by</w:t>
      </w:r>
      <w:r>
        <w:rPr>
          <w:spacing w:val="25"/>
        </w:rPr>
        <w:t xml:space="preserve"> </w:t>
      </w:r>
      <w:r>
        <w:t>the</w:t>
      </w:r>
      <w:r>
        <w:rPr>
          <w:spacing w:val="27"/>
        </w:rPr>
        <w:t xml:space="preserve"> </w:t>
      </w:r>
      <w:r>
        <w:rPr>
          <w:spacing w:val="-2"/>
        </w:rPr>
        <w:t>Customer</w:t>
      </w:r>
      <w:r>
        <w:rPr>
          <w:spacing w:val="28"/>
        </w:rPr>
        <w:t xml:space="preserve"> </w:t>
      </w:r>
      <w:r>
        <w:rPr>
          <w:spacing w:val="-1"/>
        </w:rPr>
        <w:t>and/or</w:t>
      </w:r>
      <w:r>
        <w:rPr>
          <w:spacing w:val="26"/>
        </w:rPr>
        <w:t xml:space="preserve"> </w:t>
      </w:r>
      <w:r>
        <w:t>the</w:t>
      </w:r>
      <w:r>
        <w:rPr>
          <w:spacing w:val="27"/>
        </w:rPr>
        <w:t xml:space="preserve"> </w:t>
      </w:r>
      <w:r>
        <w:rPr>
          <w:spacing w:val="-2"/>
        </w:rPr>
        <w:t>Former</w:t>
      </w:r>
      <w:r>
        <w:rPr>
          <w:spacing w:val="28"/>
        </w:rPr>
        <w:t xml:space="preserve"> </w:t>
      </w:r>
      <w:r>
        <w:rPr>
          <w:spacing w:val="-2"/>
        </w:rPr>
        <w:t>Supplier</w:t>
      </w:r>
      <w:r>
        <w:rPr>
          <w:spacing w:val="28"/>
        </w:rPr>
        <w:t xml:space="preserve"> </w:t>
      </w:r>
      <w:r>
        <w:rPr>
          <w:spacing w:val="-1"/>
        </w:rPr>
        <w:t>as</w:t>
      </w:r>
      <w:r>
        <w:rPr>
          <w:spacing w:val="56"/>
        </w:rPr>
        <w:t xml:space="preserve"> </w:t>
      </w:r>
      <w:r>
        <w:rPr>
          <w:spacing w:val="-1"/>
        </w:rPr>
        <w:t>appropriate</w:t>
      </w:r>
      <w:r>
        <w:rPr>
          <w:spacing w:val="41"/>
        </w:rPr>
        <w:t xml:space="preserve"> </w:t>
      </w:r>
      <w:r>
        <w:rPr>
          <w:spacing w:val="-2"/>
        </w:rPr>
        <w:t>nor</w:t>
      </w:r>
      <w:r>
        <w:rPr>
          <w:spacing w:val="42"/>
        </w:rPr>
        <w:t xml:space="preserve"> </w:t>
      </w:r>
      <w:r>
        <w:rPr>
          <w:spacing w:val="-1"/>
        </w:rPr>
        <w:t>dismissed</w:t>
      </w:r>
      <w:r>
        <w:rPr>
          <w:spacing w:val="41"/>
        </w:rPr>
        <w:t xml:space="preserve"> </w:t>
      </w:r>
      <w:r>
        <w:rPr>
          <w:spacing w:val="-1"/>
        </w:rPr>
        <w:t>by</w:t>
      </w:r>
      <w:r>
        <w:rPr>
          <w:spacing w:val="39"/>
        </w:rPr>
        <w:t xml:space="preserve"> </w:t>
      </w:r>
      <w:r>
        <w:t>the</w:t>
      </w:r>
      <w:r>
        <w:rPr>
          <w:spacing w:val="41"/>
        </w:rPr>
        <w:t xml:space="preserve"> </w:t>
      </w:r>
      <w:r>
        <w:rPr>
          <w:spacing w:val="-2"/>
        </w:rPr>
        <w:t>Supplier</w:t>
      </w:r>
      <w:r>
        <w:rPr>
          <w:spacing w:val="42"/>
        </w:rPr>
        <w:t xml:space="preserve"> </w:t>
      </w:r>
      <w:r>
        <w:rPr>
          <w:spacing w:val="-1"/>
        </w:rPr>
        <w:t>and/or</w:t>
      </w:r>
      <w:r>
        <w:rPr>
          <w:spacing w:val="43"/>
        </w:rPr>
        <w:t xml:space="preserve"> </w:t>
      </w:r>
      <w:r>
        <w:rPr>
          <w:spacing w:val="-1"/>
        </w:rPr>
        <w:t>any</w:t>
      </w:r>
      <w:r>
        <w:rPr>
          <w:spacing w:val="39"/>
        </w:rPr>
        <w:t xml:space="preserve"> </w:t>
      </w:r>
      <w:r>
        <w:rPr>
          <w:spacing w:val="-1"/>
        </w:rPr>
        <w:t>Sub-Contractor</w:t>
      </w:r>
      <w:r>
        <w:rPr>
          <w:spacing w:val="40"/>
        </w:rPr>
        <w:t xml:space="preserve"> </w:t>
      </w:r>
      <w:r>
        <w:rPr>
          <w:spacing w:val="-1"/>
        </w:rPr>
        <w:t>within</w:t>
      </w:r>
      <w:r>
        <w:rPr>
          <w:spacing w:val="41"/>
        </w:rPr>
        <w:t xml:space="preserve"> </w:t>
      </w:r>
      <w:r>
        <w:rPr>
          <w:spacing w:val="-1"/>
        </w:rPr>
        <w:t>the</w:t>
      </w:r>
      <w:r>
        <w:rPr>
          <w:spacing w:val="53"/>
        </w:rPr>
        <w:t xml:space="preserve"> </w:t>
      </w:r>
      <w:r>
        <w:rPr>
          <w:spacing w:val="-1"/>
        </w:rPr>
        <w:t>fifteen</w:t>
      </w:r>
      <w:r>
        <w:rPr>
          <w:spacing w:val="22"/>
        </w:rPr>
        <w:t xml:space="preserve"> </w:t>
      </w:r>
      <w:r>
        <w:rPr>
          <w:spacing w:val="-1"/>
        </w:rPr>
        <w:t>(15)</w:t>
      </w:r>
      <w:r>
        <w:rPr>
          <w:spacing w:val="-6"/>
        </w:rPr>
        <w:t xml:space="preserve"> </w:t>
      </w:r>
      <w:r>
        <w:rPr>
          <w:spacing w:val="-1"/>
        </w:rPr>
        <w:t>Working</w:t>
      </w:r>
      <w:r>
        <w:rPr>
          <w:spacing w:val="27"/>
        </w:rPr>
        <w:t xml:space="preserve"> </w:t>
      </w:r>
      <w:r>
        <w:rPr>
          <w:spacing w:val="-1"/>
        </w:rPr>
        <w:t>Day</w:t>
      </w:r>
      <w:r>
        <w:rPr>
          <w:spacing w:val="22"/>
        </w:rPr>
        <w:t xml:space="preserve"> </w:t>
      </w:r>
      <w:r>
        <w:rPr>
          <w:spacing w:val="-1"/>
        </w:rPr>
        <w:t>period</w:t>
      </w:r>
      <w:r>
        <w:rPr>
          <w:spacing w:val="24"/>
        </w:rPr>
        <w:t xml:space="preserve"> </w:t>
      </w:r>
      <w:r>
        <w:rPr>
          <w:spacing w:val="-1"/>
        </w:rPr>
        <w:t>referred</w:t>
      </w:r>
      <w:r>
        <w:rPr>
          <w:spacing w:val="24"/>
        </w:rPr>
        <w:t xml:space="preserve"> </w:t>
      </w:r>
      <w:r>
        <w:t>to</w:t>
      </w:r>
      <w:r>
        <w:rPr>
          <w:spacing w:val="22"/>
        </w:rPr>
        <w:t xml:space="preserve"> </w:t>
      </w:r>
      <w:r>
        <w:rPr>
          <w:spacing w:val="-1"/>
        </w:rPr>
        <w:t>in</w:t>
      </w:r>
      <w:r>
        <w:rPr>
          <w:spacing w:val="26"/>
        </w:rPr>
        <w:t xml:space="preserve"> </w:t>
      </w:r>
      <w:r>
        <w:rPr>
          <w:spacing w:val="-1"/>
        </w:rPr>
        <w:t xml:space="preserve">paragraph </w:t>
      </w:r>
      <w:hyperlink w:anchor="_bookmark389" w:history="1">
        <w:r>
          <w:t>1.4</w:t>
        </w:r>
      </w:hyperlink>
      <w:r>
        <w:rPr>
          <w:spacing w:val="24"/>
        </w:rPr>
        <w:t xml:space="preserve"> </w:t>
      </w:r>
      <w:r>
        <w:rPr>
          <w:spacing w:val="-2"/>
        </w:rPr>
        <w:t>of</w:t>
      </w:r>
      <w:r>
        <w:rPr>
          <w:spacing w:val="26"/>
        </w:rPr>
        <w:t xml:space="preserve"> </w:t>
      </w:r>
      <w:r>
        <w:rPr>
          <w:spacing w:val="-1"/>
        </w:rPr>
        <w:t>Part</w:t>
      </w:r>
      <w:r>
        <w:rPr>
          <w:spacing w:val="26"/>
        </w:rPr>
        <w:t xml:space="preserve"> </w:t>
      </w:r>
      <w:r>
        <w:t>C</w:t>
      </w:r>
      <w:r>
        <w:rPr>
          <w:spacing w:val="24"/>
        </w:rPr>
        <w:t xml:space="preserve"> </w:t>
      </w:r>
      <w:r>
        <w:rPr>
          <w:spacing w:val="-2"/>
        </w:rPr>
        <w:t>of</w:t>
      </w:r>
      <w:r>
        <w:rPr>
          <w:spacing w:val="23"/>
        </w:rPr>
        <w:t xml:space="preserve"> </w:t>
      </w:r>
      <w:r>
        <w:rPr>
          <w:spacing w:val="-1"/>
        </w:rPr>
        <w:t>this</w:t>
      </w:r>
      <w:r>
        <w:rPr>
          <w:spacing w:val="25"/>
        </w:rPr>
        <w:t xml:space="preserve"> </w:t>
      </w:r>
      <w:r>
        <w:rPr>
          <w:spacing w:val="-2"/>
        </w:rPr>
        <w:t>Call</w:t>
      </w:r>
      <w:r>
        <w:rPr>
          <w:spacing w:val="47"/>
        </w:rPr>
        <w:t xml:space="preserve"> </w:t>
      </w:r>
      <w:r>
        <w:rPr>
          <w:spacing w:val="-1"/>
        </w:rPr>
        <w:t>Off</w:t>
      </w:r>
      <w:r>
        <w:rPr>
          <w:spacing w:val="35"/>
        </w:rPr>
        <w:t xml:space="preserve"> </w:t>
      </w:r>
      <w:r>
        <w:rPr>
          <w:spacing w:val="-1"/>
        </w:rPr>
        <w:t>Schedule</w:t>
      </w:r>
      <w:r>
        <w:rPr>
          <w:spacing w:val="34"/>
        </w:rPr>
        <w:t xml:space="preserve"> </w:t>
      </w:r>
      <w:r>
        <w:rPr>
          <w:spacing w:val="-1"/>
        </w:rPr>
        <w:t>such</w:t>
      </w:r>
      <w:r>
        <w:rPr>
          <w:spacing w:val="34"/>
        </w:rPr>
        <w:t xml:space="preserve"> </w:t>
      </w:r>
      <w:r>
        <w:rPr>
          <w:spacing w:val="-2"/>
        </w:rPr>
        <w:t>person</w:t>
      </w:r>
      <w:r>
        <w:rPr>
          <w:spacing w:val="34"/>
        </w:rPr>
        <w:t xml:space="preserve"> </w:t>
      </w:r>
      <w:r>
        <w:rPr>
          <w:spacing w:val="-1"/>
        </w:rPr>
        <w:t>shall</w:t>
      </w:r>
      <w:r>
        <w:rPr>
          <w:spacing w:val="33"/>
        </w:rPr>
        <w:t xml:space="preserve"> </w:t>
      </w:r>
      <w:r>
        <w:rPr>
          <w:spacing w:val="-1"/>
        </w:rPr>
        <w:t>be</w:t>
      </w:r>
      <w:r>
        <w:rPr>
          <w:spacing w:val="34"/>
        </w:rPr>
        <w:t xml:space="preserve"> </w:t>
      </w:r>
      <w:r>
        <w:rPr>
          <w:spacing w:val="-1"/>
        </w:rPr>
        <w:t>treated</w:t>
      </w:r>
      <w:r>
        <w:rPr>
          <w:spacing w:val="35"/>
        </w:rPr>
        <w:t xml:space="preserve"> </w:t>
      </w:r>
      <w:r>
        <w:rPr>
          <w:spacing w:val="-1"/>
        </w:rPr>
        <w:t>as</w:t>
      </w:r>
      <w:r>
        <w:rPr>
          <w:spacing w:val="32"/>
        </w:rPr>
        <w:t xml:space="preserve"> </w:t>
      </w:r>
      <w:r>
        <w:rPr>
          <w:spacing w:val="-2"/>
        </w:rPr>
        <w:t>having</w:t>
      </w:r>
      <w:r>
        <w:rPr>
          <w:spacing w:val="36"/>
        </w:rPr>
        <w:t xml:space="preserve"> </w:t>
      </w:r>
      <w:r>
        <w:rPr>
          <w:spacing w:val="-1"/>
        </w:rPr>
        <w:t>transferred</w:t>
      </w:r>
      <w:r>
        <w:rPr>
          <w:spacing w:val="34"/>
        </w:rPr>
        <w:t xml:space="preserve"> </w:t>
      </w:r>
      <w:r>
        <w:t>to</w:t>
      </w:r>
      <w:r>
        <w:rPr>
          <w:spacing w:val="31"/>
        </w:rPr>
        <w:t xml:space="preserve"> </w:t>
      </w:r>
      <w:r>
        <w:rPr>
          <w:spacing w:val="-1"/>
        </w:rPr>
        <w:t>the</w:t>
      </w:r>
      <w:r>
        <w:rPr>
          <w:spacing w:val="34"/>
        </w:rPr>
        <w:t xml:space="preserve"> </w:t>
      </w:r>
      <w:r>
        <w:rPr>
          <w:spacing w:val="-2"/>
        </w:rPr>
        <w:t>Supplier</w:t>
      </w:r>
      <w:r>
        <w:rPr>
          <w:spacing w:val="68"/>
        </w:rPr>
        <w:t xml:space="preserve"> </w:t>
      </w:r>
      <w:r>
        <w:rPr>
          <w:spacing w:val="-1"/>
        </w:rPr>
        <w:t>and/or</w:t>
      </w:r>
      <w:r>
        <w:rPr>
          <w:spacing w:val="14"/>
        </w:rPr>
        <w:t xml:space="preserve"> </w:t>
      </w:r>
      <w:r>
        <w:rPr>
          <w:spacing w:val="-1"/>
        </w:rPr>
        <w:t>the</w:t>
      </w:r>
      <w:r>
        <w:rPr>
          <w:spacing w:val="12"/>
        </w:rPr>
        <w:t xml:space="preserve"> </w:t>
      </w:r>
      <w:r>
        <w:rPr>
          <w:spacing w:val="-1"/>
        </w:rPr>
        <w:t>Sub-Contractor</w:t>
      </w:r>
      <w:r>
        <w:rPr>
          <w:spacing w:val="14"/>
        </w:rPr>
        <w:t xml:space="preserve"> </w:t>
      </w:r>
      <w:r>
        <w:rPr>
          <w:spacing w:val="-1"/>
        </w:rPr>
        <w:t>(as</w:t>
      </w:r>
      <w:r>
        <w:rPr>
          <w:spacing w:val="13"/>
        </w:rPr>
        <w:t xml:space="preserve"> </w:t>
      </w:r>
      <w:r>
        <w:rPr>
          <w:spacing w:val="-1"/>
        </w:rPr>
        <w:t>appropriate)</w:t>
      </w:r>
      <w:r>
        <w:rPr>
          <w:spacing w:val="14"/>
        </w:rPr>
        <w:t xml:space="preserve"> </w:t>
      </w:r>
      <w:r>
        <w:rPr>
          <w:spacing w:val="-1"/>
        </w:rPr>
        <w:t>and</w:t>
      </w:r>
      <w:r>
        <w:rPr>
          <w:spacing w:val="12"/>
        </w:rPr>
        <w:t xml:space="preserve"> </w:t>
      </w:r>
      <w:r>
        <w:rPr>
          <w:spacing w:val="-1"/>
        </w:rPr>
        <w:t>the</w:t>
      </w:r>
      <w:r>
        <w:rPr>
          <w:spacing w:val="12"/>
        </w:rPr>
        <w:t xml:space="preserve"> </w:t>
      </w:r>
      <w:r>
        <w:rPr>
          <w:spacing w:val="-2"/>
        </w:rPr>
        <w:t>Supplier</w:t>
      </w:r>
      <w:r>
        <w:rPr>
          <w:spacing w:val="14"/>
        </w:rPr>
        <w:t xml:space="preserve"> </w:t>
      </w:r>
      <w:r>
        <w:rPr>
          <w:spacing w:val="-1"/>
        </w:rPr>
        <w:t>shall,</w:t>
      </w:r>
      <w:r>
        <w:rPr>
          <w:spacing w:val="14"/>
        </w:rPr>
        <w:t xml:space="preserve"> </w:t>
      </w:r>
      <w:r>
        <w:rPr>
          <w:spacing w:val="-1"/>
        </w:rPr>
        <w:t>or</w:t>
      </w:r>
      <w:r>
        <w:rPr>
          <w:spacing w:val="14"/>
        </w:rPr>
        <w:t xml:space="preserve"> </w:t>
      </w:r>
      <w:r>
        <w:rPr>
          <w:spacing w:val="-1"/>
        </w:rPr>
        <w:t>shall</w:t>
      </w:r>
      <w:r>
        <w:rPr>
          <w:spacing w:val="12"/>
        </w:rPr>
        <w:t xml:space="preserve"> </w:t>
      </w:r>
      <w:r>
        <w:rPr>
          <w:spacing w:val="-1"/>
        </w:rPr>
        <w:t>procure</w:t>
      </w:r>
      <w:r>
        <w:rPr>
          <w:spacing w:val="43"/>
        </w:rPr>
        <w:t xml:space="preserve"> </w:t>
      </w:r>
      <w:r>
        <w:rPr>
          <w:spacing w:val="-1"/>
        </w:rPr>
        <w:t>that</w:t>
      </w:r>
      <w:r>
        <w:rPr>
          <w:spacing w:val="40"/>
        </w:rPr>
        <w:t xml:space="preserve"> </w:t>
      </w:r>
      <w:r>
        <w:t>the</w:t>
      </w:r>
      <w:r>
        <w:rPr>
          <w:spacing w:val="39"/>
        </w:rPr>
        <w:t xml:space="preserve"> </w:t>
      </w:r>
      <w:r>
        <w:rPr>
          <w:spacing w:val="-1"/>
        </w:rPr>
        <w:t>Sub-Contractor</w:t>
      </w:r>
      <w:r>
        <w:rPr>
          <w:spacing w:val="37"/>
        </w:rPr>
        <w:t xml:space="preserve"> </w:t>
      </w:r>
      <w:r>
        <w:rPr>
          <w:spacing w:val="-1"/>
        </w:rPr>
        <w:t>shall,</w:t>
      </w:r>
      <w:r>
        <w:rPr>
          <w:spacing w:val="40"/>
        </w:rPr>
        <w:t xml:space="preserve"> </w:t>
      </w:r>
      <w:r>
        <w:rPr>
          <w:spacing w:val="-1"/>
        </w:rPr>
        <w:t>comply</w:t>
      </w:r>
      <w:r>
        <w:rPr>
          <w:spacing w:val="39"/>
        </w:rPr>
        <w:t xml:space="preserve"> </w:t>
      </w:r>
      <w:r>
        <w:rPr>
          <w:spacing w:val="-1"/>
        </w:rPr>
        <w:t>with</w:t>
      </w:r>
      <w:r>
        <w:rPr>
          <w:spacing w:val="38"/>
        </w:rPr>
        <w:t xml:space="preserve"> </w:t>
      </w:r>
      <w:r>
        <w:rPr>
          <w:spacing w:val="-1"/>
        </w:rPr>
        <w:t>such</w:t>
      </w:r>
      <w:r>
        <w:rPr>
          <w:spacing w:val="40"/>
        </w:rPr>
        <w:t xml:space="preserve"> </w:t>
      </w:r>
      <w:r>
        <w:rPr>
          <w:spacing w:val="-1"/>
        </w:rPr>
        <w:t>obligations</w:t>
      </w:r>
      <w:r>
        <w:rPr>
          <w:spacing w:val="39"/>
        </w:rPr>
        <w:t xml:space="preserve"> </w:t>
      </w:r>
      <w:r>
        <w:rPr>
          <w:spacing w:val="-1"/>
        </w:rPr>
        <w:t>as</w:t>
      </w:r>
      <w:r>
        <w:rPr>
          <w:spacing w:val="39"/>
        </w:rPr>
        <w:t xml:space="preserve"> </w:t>
      </w:r>
      <w:r>
        <w:rPr>
          <w:spacing w:val="-1"/>
        </w:rPr>
        <w:t>may</w:t>
      </w:r>
      <w:r>
        <w:rPr>
          <w:spacing w:val="36"/>
        </w:rPr>
        <w:t xml:space="preserve"> </w:t>
      </w:r>
      <w:r>
        <w:rPr>
          <w:spacing w:val="-1"/>
        </w:rPr>
        <w:t>be</w:t>
      </w:r>
      <w:r>
        <w:rPr>
          <w:spacing w:val="38"/>
        </w:rPr>
        <w:t xml:space="preserve"> </w:t>
      </w:r>
      <w:r>
        <w:rPr>
          <w:spacing w:val="-1"/>
        </w:rPr>
        <w:t>imposed</w:t>
      </w:r>
      <w:r>
        <w:rPr>
          <w:spacing w:val="35"/>
        </w:rPr>
        <w:t xml:space="preserve"> </w:t>
      </w:r>
      <w:r>
        <w:rPr>
          <w:spacing w:val="-1"/>
        </w:rPr>
        <w:t>upon</w:t>
      </w:r>
      <w:r>
        <w:t xml:space="preserve"> </w:t>
      </w:r>
      <w:r>
        <w:rPr>
          <w:spacing w:val="-1"/>
        </w:rPr>
        <w:t>it</w:t>
      </w:r>
      <w:r>
        <w:rPr>
          <w:spacing w:val="2"/>
        </w:rPr>
        <w:t xml:space="preserve"> </w:t>
      </w:r>
      <w:r>
        <w:rPr>
          <w:spacing w:val="-2"/>
        </w:rPr>
        <w:t>under</w:t>
      </w:r>
      <w:r>
        <w:rPr>
          <w:spacing w:val="2"/>
        </w:rPr>
        <w:t xml:space="preserve"> </w:t>
      </w:r>
      <w:r>
        <w:rPr>
          <w:spacing w:val="-2"/>
        </w:rPr>
        <w:t>Law.</w:t>
      </w:r>
    </w:p>
    <w:p w:rsidR="008918FA" w:rsidRDefault="008918FA" w:rsidP="008918FA">
      <w:pPr>
        <w:pStyle w:val="BodyText"/>
        <w:numPr>
          <w:ilvl w:val="1"/>
          <w:numId w:val="8"/>
        </w:numPr>
        <w:tabs>
          <w:tab w:val="left" w:pos="829"/>
        </w:tabs>
        <w:ind w:right="113"/>
        <w:jc w:val="both"/>
      </w:pPr>
      <w:bookmarkStart w:id="474" w:name="_bookmark392"/>
      <w:bookmarkEnd w:id="474"/>
      <w:r>
        <w:rPr>
          <w:spacing w:val="-1"/>
        </w:rPr>
        <w:t>Where</w:t>
      </w:r>
      <w:r>
        <w:rPr>
          <w:spacing w:val="27"/>
        </w:rPr>
        <w:t xml:space="preserve"> </w:t>
      </w:r>
      <w:r>
        <w:rPr>
          <w:spacing w:val="-1"/>
        </w:rPr>
        <w:t>any</w:t>
      </w:r>
      <w:r>
        <w:rPr>
          <w:spacing w:val="25"/>
        </w:rPr>
        <w:t xml:space="preserve"> </w:t>
      </w:r>
      <w:r>
        <w:rPr>
          <w:spacing w:val="-1"/>
        </w:rPr>
        <w:t>person</w:t>
      </w:r>
      <w:r>
        <w:rPr>
          <w:spacing w:val="27"/>
        </w:rPr>
        <w:t xml:space="preserve"> </w:t>
      </w:r>
      <w:r>
        <w:rPr>
          <w:spacing w:val="-1"/>
        </w:rPr>
        <w:t>remains</w:t>
      </w:r>
      <w:r>
        <w:rPr>
          <w:spacing w:val="27"/>
        </w:rPr>
        <w:t xml:space="preserve"> </w:t>
      </w:r>
      <w:r>
        <w:rPr>
          <w:spacing w:val="-2"/>
        </w:rPr>
        <w:t>employed</w:t>
      </w:r>
      <w:r>
        <w:rPr>
          <w:spacing w:val="27"/>
        </w:rPr>
        <w:t xml:space="preserve"> </w:t>
      </w:r>
      <w:r>
        <w:rPr>
          <w:spacing w:val="1"/>
        </w:rPr>
        <w:t>by</w:t>
      </w:r>
      <w:r>
        <w:rPr>
          <w:spacing w:val="25"/>
        </w:rPr>
        <w:t xml:space="preserve"> </w:t>
      </w:r>
      <w:r>
        <w:t>the</w:t>
      </w:r>
      <w:r>
        <w:rPr>
          <w:spacing w:val="27"/>
        </w:rPr>
        <w:t xml:space="preserve"> </w:t>
      </w:r>
      <w:r>
        <w:rPr>
          <w:spacing w:val="-1"/>
        </w:rPr>
        <w:t>Supplier</w:t>
      </w:r>
      <w:r>
        <w:rPr>
          <w:spacing w:val="28"/>
        </w:rPr>
        <w:t xml:space="preserve"> </w:t>
      </w:r>
      <w:r>
        <w:rPr>
          <w:spacing w:val="-1"/>
        </w:rPr>
        <w:t>and/or</w:t>
      </w:r>
      <w:r>
        <w:rPr>
          <w:spacing w:val="28"/>
        </w:rPr>
        <w:t xml:space="preserve"> </w:t>
      </w:r>
      <w:r>
        <w:rPr>
          <w:spacing w:val="-1"/>
        </w:rPr>
        <w:t>any</w:t>
      </w:r>
      <w:r>
        <w:rPr>
          <w:spacing w:val="25"/>
        </w:rPr>
        <w:t xml:space="preserve"> </w:t>
      </w:r>
      <w:r>
        <w:rPr>
          <w:spacing w:val="-1"/>
        </w:rPr>
        <w:t>Sub-Contractor</w:t>
      </w:r>
      <w:r>
        <w:rPr>
          <w:spacing w:val="59"/>
        </w:rPr>
        <w:t xml:space="preserve"> </w:t>
      </w:r>
      <w:r>
        <w:rPr>
          <w:spacing w:val="-1"/>
        </w:rPr>
        <w:t>pursuant</w:t>
      </w:r>
      <w:r>
        <w:rPr>
          <w:spacing w:val="8"/>
        </w:rPr>
        <w:t xml:space="preserve"> </w:t>
      </w:r>
      <w:r>
        <w:t>to</w:t>
      </w:r>
      <w:r>
        <w:rPr>
          <w:spacing w:val="9"/>
        </w:rPr>
        <w:t xml:space="preserve"> </w:t>
      </w:r>
      <w:r>
        <w:rPr>
          <w:spacing w:val="-1"/>
        </w:rPr>
        <w:t>paragraph</w:t>
      </w:r>
      <w:r>
        <w:rPr>
          <w:spacing w:val="-4"/>
        </w:rPr>
        <w:t xml:space="preserve"> </w:t>
      </w:r>
      <w:hyperlink w:anchor="_bookmark391" w:history="1">
        <w:r>
          <w:t>2.2</w:t>
        </w:r>
      </w:hyperlink>
      <w:r>
        <w:rPr>
          <w:spacing w:val="9"/>
        </w:rPr>
        <w:t xml:space="preserve"> </w:t>
      </w:r>
      <w:r>
        <w:rPr>
          <w:spacing w:val="-2"/>
        </w:rPr>
        <w:t>of</w:t>
      </w:r>
      <w:r>
        <w:rPr>
          <w:spacing w:val="13"/>
        </w:rPr>
        <w:t xml:space="preserve"> </w:t>
      </w:r>
      <w:r>
        <w:rPr>
          <w:spacing w:val="-1"/>
        </w:rPr>
        <w:t>Part</w:t>
      </w:r>
      <w:r>
        <w:rPr>
          <w:spacing w:val="10"/>
        </w:rPr>
        <w:t xml:space="preserve"> </w:t>
      </w:r>
      <w:r>
        <w:t>C</w:t>
      </w:r>
      <w:r>
        <w:rPr>
          <w:spacing w:val="8"/>
        </w:rPr>
        <w:t xml:space="preserve"> </w:t>
      </w:r>
      <w:r>
        <w:rPr>
          <w:spacing w:val="-2"/>
        </w:rPr>
        <w:t>of</w:t>
      </w:r>
      <w:r>
        <w:rPr>
          <w:spacing w:val="10"/>
        </w:rPr>
        <w:t xml:space="preserve"> </w:t>
      </w:r>
      <w:r>
        <w:rPr>
          <w:spacing w:val="-1"/>
        </w:rPr>
        <w:t>this</w:t>
      </w:r>
      <w:r>
        <w:rPr>
          <w:spacing w:val="9"/>
        </w:rPr>
        <w:t xml:space="preserve"> </w:t>
      </w:r>
      <w:r>
        <w:rPr>
          <w:spacing w:val="-2"/>
        </w:rPr>
        <w:t>Call</w:t>
      </w:r>
      <w:r>
        <w:rPr>
          <w:spacing w:val="8"/>
        </w:rPr>
        <w:t xml:space="preserve"> </w:t>
      </w:r>
      <w:r>
        <w:t>Off</w:t>
      </w:r>
      <w:r>
        <w:rPr>
          <w:spacing w:val="13"/>
        </w:rPr>
        <w:t xml:space="preserve"> </w:t>
      </w:r>
      <w:r>
        <w:rPr>
          <w:spacing w:val="-2"/>
        </w:rPr>
        <w:t>Schedule,</w:t>
      </w:r>
      <w:r>
        <w:rPr>
          <w:spacing w:val="10"/>
        </w:rPr>
        <w:t xml:space="preserve"> </w:t>
      </w:r>
      <w:r>
        <w:rPr>
          <w:spacing w:val="-1"/>
        </w:rPr>
        <w:t>all</w:t>
      </w:r>
      <w:r>
        <w:rPr>
          <w:spacing w:val="11"/>
        </w:rPr>
        <w:t xml:space="preserve"> </w:t>
      </w:r>
      <w:r>
        <w:rPr>
          <w:spacing w:val="-2"/>
        </w:rPr>
        <w:t>Employee</w:t>
      </w:r>
      <w:r>
        <w:rPr>
          <w:spacing w:val="66"/>
        </w:rPr>
        <w:t xml:space="preserve"> </w:t>
      </w:r>
      <w:r>
        <w:rPr>
          <w:spacing w:val="-2"/>
        </w:rPr>
        <w:t>Liabilities</w:t>
      </w:r>
      <w:r>
        <w:rPr>
          <w:spacing w:val="37"/>
        </w:rPr>
        <w:t xml:space="preserve"> </w:t>
      </w:r>
      <w:r>
        <w:rPr>
          <w:spacing w:val="-1"/>
        </w:rPr>
        <w:t>in</w:t>
      </w:r>
      <w:r>
        <w:rPr>
          <w:spacing w:val="34"/>
        </w:rPr>
        <w:t xml:space="preserve"> </w:t>
      </w:r>
      <w:r>
        <w:rPr>
          <w:spacing w:val="-1"/>
        </w:rPr>
        <w:t>relation</w:t>
      </w:r>
      <w:r>
        <w:rPr>
          <w:spacing w:val="34"/>
        </w:rPr>
        <w:t xml:space="preserve"> </w:t>
      </w:r>
      <w:r>
        <w:t>to</w:t>
      </w:r>
      <w:r>
        <w:rPr>
          <w:spacing w:val="36"/>
        </w:rPr>
        <w:t xml:space="preserve"> </w:t>
      </w:r>
      <w:r>
        <w:rPr>
          <w:spacing w:val="-1"/>
        </w:rPr>
        <w:t>such</w:t>
      </w:r>
      <w:r>
        <w:rPr>
          <w:spacing w:val="34"/>
        </w:rPr>
        <w:t xml:space="preserve"> </w:t>
      </w:r>
      <w:r>
        <w:rPr>
          <w:spacing w:val="-2"/>
        </w:rPr>
        <w:t>employee</w:t>
      </w:r>
      <w:r>
        <w:rPr>
          <w:spacing w:val="34"/>
        </w:rPr>
        <w:t xml:space="preserve"> </w:t>
      </w:r>
      <w:r>
        <w:rPr>
          <w:spacing w:val="-1"/>
        </w:rPr>
        <w:t>shall</w:t>
      </w:r>
      <w:r>
        <w:rPr>
          <w:spacing w:val="37"/>
        </w:rPr>
        <w:t xml:space="preserve"> </w:t>
      </w:r>
      <w:r>
        <w:rPr>
          <w:spacing w:val="-1"/>
        </w:rPr>
        <w:t>remain</w:t>
      </w:r>
      <w:r>
        <w:rPr>
          <w:spacing w:val="34"/>
        </w:rPr>
        <w:t xml:space="preserve"> </w:t>
      </w:r>
      <w:r>
        <w:rPr>
          <w:spacing w:val="-1"/>
        </w:rPr>
        <w:t>with</w:t>
      </w:r>
      <w:r>
        <w:rPr>
          <w:spacing w:val="34"/>
        </w:rPr>
        <w:t xml:space="preserve"> </w:t>
      </w:r>
      <w:r>
        <w:t>the</w:t>
      </w:r>
      <w:r>
        <w:rPr>
          <w:spacing w:val="34"/>
        </w:rPr>
        <w:t xml:space="preserve"> </w:t>
      </w:r>
      <w:r>
        <w:rPr>
          <w:spacing w:val="-2"/>
        </w:rPr>
        <w:t>Supplier</w:t>
      </w:r>
      <w:r>
        <w:rPr>
          <w:spacing w:val="38"/>
        </w:rPr>
        <w:t xml:space="preserve"> </w:t>
      </w:r>
      <w:r>
        <w:rPr>
          <w:spacing w:val="-1"/>
        </w:rPr>
        <w:t>and/or</w:t>
      </w:r>
      <w:r>
        <w:rPr>
          <w:spacing w:val="35"/>
        </w:rPr>
        <w:t xml:space="preserve"> </w:t>
      </w:r>
      <w:r>
        <w:rPr>
          <w:spacing w:val="-1"/>
        </w:rPr>
        <w:t>the</w:t>
      </w:r>
      <w:r>
        <w:rPr>
          <w:spacing w:val="74"/>
        </w:rPr>
        <w:t xml:space="preserve"> </w:t>
      </w:r>
      <w:r>
        <w:rPr>
          <w:spacing w:val="-1"/>
        </w:rPr>
        <w:t>Sub-Contractor</w:t>
      </w:r>
      <w:r>
        <w:rPr>
          <w:spacing w:val="45"/>
        </w:rPr>
        <w:t xml:space="preserve"> </w:t>
      </w:r>
      <w:r>
        <w:rPr>
          <w:spacing w:val="-1"/>
        </w:rPr>
        <w:t>and</w:t>
      </w:r>
      <w:r>
        <w:rPr>
          <w:spacing w:val="43"/>
        </w:rPr>
        <w:t xml:space="preserve"> </w:t>
      </w:r>
      <w:r>
        <w:t>the</w:t>
      </w:r>
      <w:r>
        <w:rPr>
          <w:spacing w:val="41"/>
        </w:rPr>
        <w:t xml:space="preserve"> </w:t>
      </w:r>
      <w:r>
        <w:rPr>
          <w:spacing w:val="-2"/>
        </w:rPr>
        <w:t>Supplier</w:t>
      </w:r>
      <w:r>
        <w:rPr>
          <w:spacing w:val="45"/>
        </w:rPr>
        <w:t xml:space="preserve"> </w:t>
      </w:r>
      <w:r>
        <w:rPr>
          <w:spacing w:val="-1"/>
        </w:rPr>
        <w:t>shall</w:t>
      </w:r>
      <w:r>
        <w:rPr>
          <w:spacing w:val="45"/>
        </w:rPr>
        <w:t xml:space="preserve"> </w:t>
      </w:r>
      <w:r>
        <w:rPr>
          <w:spacing w:val="-1"/>
        </w:rPr>
        <w:t>indemnify</w:t>
      </w:r>
      <w:r>
        <w:rPr>
          <w:spacing w:val="41"/>
        </w:rPr>
        <w:t xml:space="preserve"> </w:t>
      </w:r>
      <w:r>
        <w:t>the</w:t>
      </w:r>
      <w:r>
        <w:rPr>
          <w:spacing w:val="44"/>
        </w:rPr>
        <w:t xml:space="preserve"> </w:t>
      </w:r>
      <w:r>
        <w:rPr>
          <w:spacing w:val="-1"/>
        </w:rPr>
        <w:t>Customer</w:t>
      </w:r>
      <w:r>
        <w:rPr>
          <w:spacing w:val="45"/>
        </w:rPr>
        <w:t xml:space="preserve"> </w:t>
      </w:r>
      <w:r>
        <w:rPr>
          <w:spacing w:val="-1"/>
        </w:rPr>
        <w:t>and</w:t>
      </w:r>
      <w:r>
        <w:rPr>
          <w:spacing w:val="43"/>
        </w:rPr>
        <w:t xml:space="preserve"> </w:t>
      </w:r>
      <w:r>
        <w:rPr>
          <w:spacing w:val="-1"/>
        </w:rPr>
        <w:t>any</w:t>
      </w:r>
      <w:r>
        <w:rPr>
          <w:spacing w:val="41"/>
        </w:rPr>
        <w:t xml:space="preserve"> </w:t>
      </w:r>
      <w:r>
        <w:rPr>
          <w:spacing w:val="-1"/>
        </w:rPr>
        <w:t>Former</w:t>
      </w:r>
      <w:r>
        <w:rPr>
          <w:spacing w:val="50"/>
        </w:rPr>
        <w:t xml:space="preserve"> </w:t>
      </w:r>
      <w:r>
        <w:rPr>
          <w:spacing w:val="-1"/>
        </w:rPr>
        <w:t>Supplier,</w:t>
      </w:r>
      <w:r>
        <w:rPr>
          <w:spacing w:val="26"/>
        </w:rPr>
        <w:t xml:space="preserve"> </w:t>
      </w:r>
      <w:r>
        <w:rPr>
          <w:spacing w:val="-1"/>
        </w:rPr>
        <w:t>and</w:t>
      </w:r>
      <w:r>
        <w:rPr>
          <w:spacing w:val="24"/>
        </w:rPr>
        <w:t xml:space="preserve"> </w:t>
      </w:r>
      <w:r>
        <w:rPr>
          <w:spacing w:val="-1"/>
        </w:rPr>
        <w:t>shall</w:t>
      </w:r>
      <w:r>
        <w:rPr>
          <w:spacing w:val="24"/>
        </w:rPr>
        <w:t xml:space="preserve"> </w:t>
      </w:r>
      <w:r>
        <w:rPr>
          <w:spacing w:val="-1"/>
        </w:rPr>
        <w:t>procure</w:t>
      </w:r>
      <w:r>
        <w:rPr>
          <w:spacing w:val="24"/>
        </w:rPr>
        <w:t xml:space="preserve"> </w:t>
      </w:r>
      <w:r>
        <w:rPr>
          <w:spacing w:val="-1"/>
        </w:rPr>
        <w:t>that</w:t>
      </w:r>
      <w:r>
        <w:rPr>
          <w:spacing w:val="23"/>
        </w:rPr>
        <w:t xml:space="preserve"> </w:t>
      </w:r>
      <w:r>
        <w:t>the</w:t>
      </w:r>
      <w:r>
        <w:rPr>
          <w:spacing w:val="24"/>
        </w:rPr>
        <w:t xml:space="preserve"> </w:t>
      </w:r>
      <w:r>
        <w:rPr>
          <w:spacing w:val="-1"/>
        </w:rPr>
        <w:t>Sub-Contractor</w:t>
      </w:r>
      <w:r>
        <w:rPr>
          <w:spacing w:val="26"/>
        </w:rPr>
        <w:t xml:space="preserve"> </w:t>
      </w:r>
      <w:r>
        <w:rPr>
          <w:spacing w:val="-1"/>
        </w:rPr>
        <w:t>shall</w:t>
      </w:r>
      <w:r>
        <w:rPr>
          <w:spacing w:val="24"/>
        </w:rPr>
        <w:t xml:space="preserve"> </w:t>
      </w:r>
      <w:r>
        <w:rPr>
          <w:spacing w:val="-1"/>
        </w:rPr>
        <w:t>indemnify</w:t>
      </w:r>
      <w:r>
        <w:rPr>
          <w:spacing w:val="22"/>
        </w:rPr>
        <w:t xml:space="preserve"> </w:t>
      </w:r>
      <w:r>
        <w:t>the</w:t>
      </w:r>
      <w:r>
        <w:rPr>
          <w:spacing w:val="24"/>
        </w:rPr>
        <w:t xml:space="preserve"> </w:t>
      </w:r>
      <w:r>
        <w:rPr>
          <w:spacing w:val="-1"/>
        </w:rPr>
        <w:t>Customer</w:t>
      </w:r>
      <w:r>
        <w:rPr>
          <w:spacing w:val="33"/>
        </w:rPr>
        <w:t xml:space="preserve"> </w:t>
      </w:r>
      <w:r>
        <w:rPr>
          <w:spacing w:val="-1"/>
        </w:rPr>
        <w:t>and</w:t>
      </w:r>
      <w:r>
        <w:rPr>
          <w:spacing w:val="10"/>
        </w:rPr>
        <w:t xml:space="preserve"> </w:t>
      </w:r>
      <w:r>
        <w:rPr>
          <w:spacing w:val="-1"/>
        </w:rPr>
        <w:t>any</w:t>
      </w:r>
      <w:r>
        <w:rPr>
          <w:spacing w:val="8"/>
        </w:rPr>
        <w:t xml:space="preserve"> </w:t>
      </w:r>
      <w:r>
        <w:rPr>
          <w:spacing w:val="-1"/>
        </w:rPr>
        <w:t>Former</w:t>
      </w:r>
      <w:r>
        <w:rPr>
          <w:spacing w:val="11"/>
        </w:rPr>
        <w:t xml:space="preserve"> </w:t>
      </w:r>
      <w:r>
        <w:rPr>
          <w:spacing w:val="-1"/>
        </w:rPr>
        <w:t>Supplier,</w:t>
      </w:r>
      <w:r>
        <w:rPr>
          <w:spacing w:val="11"/>
        </w:rPr>
        <w:t xml:space="preserve"> </w:t>
      </w:r>
      <w:r>
        <w:rPr>
          <w:spacing w:val="-1"/>
        </w:rPr>
        <w:t>against</w:t>
      </w:r>
      <w:r>
        <w:rPr>
          <w:spacing w:val="11"/>
        </w:rPr>
        <w:t xml:space="preserve"> </w:t>
      </w:r>
      <w:r>
        <w:rPr>
          <w:spacing w:val="-1"/>
        </w:rPr>
        <w:t>any</w:t>
      </w:r>
      <w:r>
        <w:rPr>
          <w:spacing w:val="8"/>
        </w:rPr>
        <w:t xml:space="preserve"> </w:t>
      </w:r>
      <w:r>
        <w:rPr>
          <w:spacing w:val="-2"/>
        </w:rPr>
        <w:t>Employee</w:t>
      </w:r>
      <w:r>
        <w:rPr>
          <w:spacing w:val="12"/>
        </w:rPr>
        <w:t xml:space="preserve"> </w:t>
      </w:r>
      <w:r>
        <w:rPr>
          <w:spacing w:val="-2"/>
        </w:rPr>
        <w:t>Liabilities</w:t>
      </w:r>
      <w:r>
        <w:rPr>
          <w:spacing w:val="10"/>
        </w:rPr>
        <w:t xml:space="preserve"> </w:t>
      </w:r>
      <w:r>
        <w:rPr>
          <w:spacing w:val="-1"/>
        </w:rPr>
        <w:t>that</w:t>
      </w:r>
      <w:r>
        <w:rPr>
          <w:spacing w:val="11"/>
        </w:rPr>
        <w:t xml:space="preserve"> </w:t>
      </w:r>
      <w:r>
        <w:rPr>
          <w:spacing w:val="-1"/>
        </w:rPr>
        <w:t>either</w:t>
      </w:r>
      <w:r>
        <w:rPr>
          <w:spacing w:val="11"/>
        </w:rPr>
        <w:t xml:space="preserve"> </w:t>
      </w:r>
      <w:r>
        <w:rPr>
          <w:spacing w:val="-2"/>
        </w:rPr>
        <w:t>of</w:t>
      </w:r>
      <w:r>
        <w:rPr>
          <w:spacing w:val="14"/>
        </w:rPr>
        <w:t xml:space="preserve"> </w:t>
      </w:r>
      <w:r>
        <w:rPr>
          <w:spacing w:val="-1"/>
        </w:rPr>
        <w:t>them</w:t>
      </w:r>
      <w:r>
        <w:rPr>
          <w:spacing w:val="11"/>
        </w:rPr>
        <w:t xml:space="preserve"> </w:t>
      </w:r>
      <w:r>
        <w:rPr>
          <w:spacing w:val="-1"/>
        </w:rPr>
        <w:t>may</w:t>
      </w:r>
      <w:r>
        <w:rPr>
          <w:spacing w:val="60"/>
        </w:rPr>
        <w:t xml:space="preserve"> </w:t>
      </w:r>
      <w:r>
        <w:rPr>
          <w:spacing w:val="-1"/>
        </w:rPr>
        <w:t>incur</w:t>
      </w:r>
      <w:r>
        <w:rPr>
          <w:spacing w:val="33"/>
        </w:rPr>
        <w:t xml:space="preserve"> </w:t>
      </w:r>
      <w:r>
        <w:rPr>
          <w:spacing w:val="-1"/>
        </w:rPr>
        <w:t>in</w:t>
      </w:r>
      <w:r>
        <w:rPr>
          <w:spacing w:val="31"/>
        </w:rPr>
        <w:t xml:space="preserve"> </w:t>
      </w:r>
      <w:r>
        <w:rPr>
          <w:spacing w:val="-1"/>
        </w:rPr>
        <w:t>respect</w:t>
      </w:r>
      <w:r>
        <w:rPr>
          <w:spacing w:val="33"/>
        </w:rPr>
        <w:t xml:space="preserve"> </w:t>
      </w:r>
      <w:r>
        <w:rPr>
          <w:spacing w:val="-2"/>
        </w:rPr>
        <w:t>of</w:t>
      </w:r>
      <w:r>
        <w:rPr>
          <w:spacing w:val="35"/>
        </w:rPr>
        <w:t xml:space="preserve"> </w:t>
      </w:r>
      <w:r>
        <w:rPr>
          <w:spacing w:val="-1"/>
        </w:rPr>
        <w:t>any</w:t>
      </w:r>
      <w:r>
        <w:rPr>
          <w:spacing w:val="27"/>
        </w:rPr>
        <w:t xml:space="preserve"> </w:t>
      </w:r>
      <w:r>
        <w:rPr>
          <w:spacing w:val="-1"/>
        </w:rPr>
        <w:t>such</w:t>
      </w:r>
      <w:r>
        <w:rPr>
          <w:spacing w:val="32"/>
        </w:rPr>
        <w:t xml:space="preserve"> </w:t>
      </w:r>
      <w:r>
        <w:rPr>
          <w:spacing w:val="-2"/>
        </w:rPr>
        <w:t>employees</w:t>
      </w:r>
      <w:r>
        <w:rPr>
          <w:spacing w:val="32"/>
        </w:rPr>
        <w:t xml:space="preserve"> </w:t>
      </w:r>
      <w:r>
        <w:rPr>
          <w:spacing w:val="-2"/>
        </w:rPr>
        <w:t>of</w:t>
      </w:r>
      <w:r>
        <w:rPr>
          <w:spacing w:val="34"/>
        </w:rPr>
        <w:t xml:space="preserve"> </w:t>
      </w:r>
      <w:r>
        <w:t>the</w:t>
      </w:r>
      <w:r>
        <w:rPr>
          <w:spacing w:val="29"/>
        </w:rPr>
        <w:t xml:space="preserve"> </w:t>
      </w:r>
      <w:r>
        <w:rPr>
          <w:spacing w:val="-2"/>
        </w:rPr>
        <w:t>Supplier</w:t>
      </w:r>
      <w:r>
        <w:rPr>
          <w:spacing w:val="33"/>
        </w:rPr>
        <w:t xml:space="preserve"> </w:t>
      </w:r>
      <w:r>
        <w:rPr>
          <w:spacing w:val="-1"/>
        </w:rPr>
        <w:t>and/or</w:t>
      </w:r>
      <w:r>
        <w:rPr>
          <w:spacing w:val="33"/>
        </w:rPr>
        <w:t xml:space="preserve"> </w:t>
      </w:r>
      <w:r>
        <w:rPr>
          <w:spacing w:val="-1"/>
        </w:rPr>
        <w:t>employees</w:t>
      </w:r>
      <w:r>
        <w:rPr>
          <w:spacing w:val="32"/>
        </w:rPr>
        <w:t xml:space="preserve"> </w:t>
      </w:r>
      <w:r>
        <w:rPr>
          <w:spacing w:val="-2"/>
        </w:rPr>
        <w:t>of</w:t>
      </w:r>
      <w:r>
        <w:rPr>
          <w:spacing w:val="33"/>
        </w:rPr>
        <w:t xml:space="preserve"> </w:t>
      </w:r>
      <w:r>
        <w:rPr>
          <w:spacing w:val="-1"/>
        </w:rPr>
        <w:t>the</w:t>
      </w:r>
      <w:r>
        <w:rPr>
          <w:spacing w:val="56"/>
        </w:rPr>
        <w:t xml:space="preserve"> </w:t>
      </w:r>
      <w:r>
        <w:rPr>
          <w:spacing w:val="-1"/>
        </w:rPr>
        <w:t>Sub-Contractor.</w:t>
      </w:r>
    </w:p>
    <w:p w:rsidR="008918FA" w:rsidRDefault="008918FA" w:rsidP="008918FA">
      <w:pPr>
        <w:pStyle w:val="BodyText"/>
        <w:numPr>
          <w:ilvl w:val="1"/>
          <w:numId w:val="8"/>
        </w:numPr>
        <w:tabs>
          <w:tab w:val="left" w:pos="829"/>
        </w:tabs>
        <w:spacing w:before="121"/>
      </w:pPr>
      <w:bookmarkStart w:id="475" w:name="_bookmark393"/>
      <w:bookmarkEnd w:id="475"/>
      <w:r>
        <w:t>The</w:t>
      </w:r>
      <w:r>
        <w:rPr>
          <w:spacing w:val="-2"/>
        </w:rPr>
        <w:t xml:space="preserve"> </w:t>
      </w:r>
      <w:r>
        <w:rPr>
          <w:spacing w:val="-1"/>
        </w:rPr>
        <w:t>indemnities</w:t>
      </w:r>
      <w:r>
        <w:rPr>
          <w:spacing w:val="1"/>
        </w:rPr>
        <w:t xml:space="preserve"> </w:t>
      </w:r>
      <w:r>
        <w:rPr>
          <w:spacing w:val="-1"/>
        </w:rPr>
        <w:t>in</w:t>
      </w:r>
      <w:r>
        <w:rPr>
          <w:spacing w:val="-2"/>
        </w:rPr>
        <w:t xml:space="preserve"> </w:t>
      </w:r>
      <w:r>
        <w:rPr>
          <w:spacing w:val="-1"/>
        </w:rPr>
        <w:t>paragraph</w:t>
      </w:r>
      <w:r>
        <w:rPr>
          <w:spacing w:val="2"/>
        </w:rPr>
        <w:t xml:space="preserve"> </w:t>
      </w:r>
      <w:hyperlink w:anchor="_bookmark390" w:history="1">
        <w:r>
          <w:rPr>
            <w:spacing w:val="-1"/>
          </w:rPr>
          <w:t>2.1</w:t>
        </w:r>
      </w:hyperlink>
      <w:r>
        <w:t xml:space="preserve"> </w:t>
      </w:r>
      <w:r>
        <w:rPr>
          <w:spacing w:val="-2"/>
        </w:rPr>
        <w:t>of</w:t>
      </w:r>
      <w:r>
        <w:rPr>
          <w:spacing w:val="2"/>
        </w:rPr>
        <w:t xml:space="preserve"> </w:t>
      </w:r>
      <w:r>
        <w:rPr>
          <w:spacing w:val="-1"/>
        </w:rPr>
        <w:t>Part</w:t>
      </w:r>
      <w:r>
        <w:t xml:space="preserve"> C </w:t>
      </w:r>
      <w:r>
        <w:rPr>
          <w:spacing w:val="-2"/>
        </w:rPr>
        <w:t>of</w:t>
      </w:r>
      <w:r>
        <w:t xml:space="preserve"> </w:t>
      </w:r>
      <w:r>
        <w:rPr>
          <w:spacing w:val="-1"/>
        </w:rPr>
        <w:t>this</w:t>
      </w:r>
      <w:r>
        <w:rPr>
          <w:spacing w:val="-2"/>
        </w:rPr>
        <w:t xml:space="preserve"> Call</w:t>
      </w:r>
      <w:r>
        <w:t xml:space="preserve"> </w:t>
      </w:r>
      <w:r>
        <w:rPr>
          <w:spacing w:val="-1"/>
        </w:rPr>
        <w:t>Off</w:t>
      </w:r>
      <w:r>
        <w:rPr>
          <w:spacing w:val="2"/>
        </w:rPr>
        <w:t xml:space="preserve"> </w:t>
      </w:r>
      <w:r>
        <w:rPr>
          <w:spacing w:val="-1"/>
        </w:rPr>
        <w:t>Schedule:</w:t>
      </w:r>
    </w:p>
    <w:p w:rsidR="008918FA" w:rsidRDefault="008918FA" w:rsidP="008918FA">
      <w:pPr>
        <w:pStyle w:val="BodyText"/>
        <w:numPr>
          <w:ilvl w:val="2"/>
          <w:numId w:val="8"/>
        </w:numPr>
        <w:tabs>
          <w:tab w:val="left" w:pos="2026"/>
        </w:tabs>
        <w:ind w:left="2025" w:hanging="993"/>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rsidR="008918FA" w:rsidRDefault="008918FA" w:rsidP="008918FA">
      <w:pPr>
        <w:pStyle w:val="BodyText"/>
        <w:numPr>
          <w:ilvl w:val="3"/>
          <w:numId w:val="8"/>
        </w:numPr>
        <w:tabs>
          <w:tab w:val="left" w:pos="2734"/>
        </w:tabs>
        <w:jc w:val="both"/>
      </w:pPr>
      <w:r>
        <w:rPr>
          <w:spacing w:val="-1"/>
        </w:rPr>
        <w:t>any</w:t>
      </w:r>
      <w:r>
        <w:rPr>
          <w:spacing w:val="-2"/>
        </w:rPr>
        <w:t xml:space="preserve"> </w:t>
      </w:r>
      <w:r>
        <w:rPr>
          <w:spacing w:val="-1"/>
        </w:rPr>
        <w:t xml:space="preserve">claim </w:t>
      </w:r>
      <w:r>
        <w:t>for:</w:t>
      </w:r>
    </w:p>
    <w:p w:rsidR="008918FA" w:rsidRDefault="008918FA" w:rsidP="008918FA">
      <w:pPr>
        <w:pStyle w:val="BodyText"/>
        <w:numPr>
          <w:ilvl w:val="4"/>
          <w:numId w:val="8"/>
        </w:numPr>
        <w:tabs>
          <w:tab w:val="left" w:pos="3303"/>
        </w:tabs>
        <w:spacing w:before="121"/>
        <w:ind w:right="115"/>
        <w:jc w:val="both"/>
      </w:pPr>
      <w:r>
        <w:rPr>
          <w:spacing w:val="-1"/>
        </w:rPr>
        <w:t>discrimination,</w:t>
      </w:r>
      <w:r>
        <w:rPr>
          <w:spacing w:val="15"/>
        </w:rPr>
        <w:t xml:space="preserve"> </w:t>
      </w:r>
      <w:r>
        <w:rPr>
          <w:spacing w:val="-2"/>
        </w:rPr>
        <w:t>including</w:t>
      </w:r>
      <w:r>
        <w:rPr>
          <w:spacing w:val="14"/>
        </w:rPr>
        <w:t xml:space="preserve"> </w:t>
      </w:r>
      <w:r>
        <w:rPr>
          <w:spacing w:val="-1"/>
        </w:rPr>
        <w:t>on</w:t>
      </w:r>
      <w:r>
        <w:rPr>
          <w:spacing w:val="14"/>
        </w:rPr>
        <w:t xml:space="preserve"> </w:t>
      </w:r>
      <w:r>
        <w:t>the</w:t>
      </w:r>
      <w:r>
        <w:rPr>
          <w:spacing w:val="9"/>
        </w:rPr>
        <w:t xml:space="preserve"> </w:t>
      </w:r>
      <w:r>
        <w:rPr>
          <w:spacing w:val="-1"/>
        </w:rPr>
        <w:t>grounds</w:t>
      </w:r>
      <w:r>
        <w:rPr>
          <w:spacing w:val="11"/>
        </w:rPr>
        <w:t xml:space="preserve"> </w:t>
      </w:r>
      <w:r>
        <w:rPr>
          <w:spacing w:val="-2"/>
        </w:rPr>
        <w:t>of</w:t>
      </w:r>
      <w:r>
        <w:rPr>
          <w:spacing w:val="15"/>
        </w:rPr>
        <w:t xml:space="preserve"> </w:t>
      </w:r>
      <w:r>
        <w:rPr>
          <w:spacing w:val="-2"/>
        </w:rPr>
        <w:t>sex,</w:t>
      </w:r>
      <w:r>
        <w:rPr>
          <w:spacing w:val="15"/>
        </w:rPr>
        <w:t xml:space="preserve"> </w:t>
      </w:r>
      <w:r>
        <w:rPr>
          <w:spacing w:val="-1"/>
        </w:rPr>
        <w:t>race,</w:t>
      </w:r>
      <w:r>
        <w:rPr>
          <w:spacing w:val="39"/>
        </w:rPr>
        <w:t xml:space="preserve"> </w:t>
      </w:r>
      <w:r>
        <w:rPr>
          <w:spacing w:val="-1"/>
        </w:rPr>
        <w:t>disability,</w:t>
      </w:r>
      <w:r>
        <w:rPr>
          <w:spacing w:val="15"/>
        </w:rPr>
        <w:t xml:space="preserve"> </w:t>
      </w:r>
      <w:r>
        <w:rPr>
          <w:spacing w:val="-1"/>
        </w:rPr>
        <w:t>age,</w:t>
      </w:r>
      <w:r>
        <w:rPr>
          <w:spacing w:val="13"/>
        </w:rPr>
        <w:t xml:space="preserve"> </w:t>
      </w:r>
      <w:r>
        <w:rPr>
          <w:spacing w:val="-1"/>
        </w:rPr>
        <w:t>gender</w:t>
      </w:r>
      <w:r>
        <w:rPr>
          <w:spacing w:val="10"/>
        </w:rPr>
        <w:t xml:space="preserve"> </w:t>
      </w:r>
      <w:r>
        <w:rPr>
          <w:spacing w:val="-1"/>
        </w:rPr>
        <w:t>reassignment,</w:t>
      </w:r>
      <w:r>
        <w:rPr>
          <w:spacing w:val="13"/>
        </w:rPr>
        <w:t xml:space="preserve"> </w:t>
      </w:r>
      <w:r>
        <w:rPr>
          <w:spacing w:val="-1"/>
        </w:rPr>
        <w:t>marriage</w:t>
      </w:r>
      <w:r>
        <w:rPr>
          <w:spacing w:val="11"/>
        </w:rPr>
        <w:t xml:space="preserve"> </w:t>
      </w:r>
      <w:r>
        <w:rPr>
          <w:spacing w:val="-1"/>
        </w:rPr>
        <w:t>or</w:t>
      </w:r>
      <w:r>
        <w:rPr>
          <w:spacing w:val="15"/>
        </w:rPr>
        <w:t xml:space="preserve"> </w:t>
      </w:r>
      <w:r>
        <w:rPr>
          <w:spacing w:val="-2"/>
        </w:rPr>
        <w:t>civil</w:t>
      </w:r>
      <w:r>
        <w:rPr>
          <w:spacing w:val="33"/>
        </w:rPr>
        <w:t xml:space="preserve"> </w:t>
      </w:r>
      <w:r>
        <w:rPr>
          <w:spacing w:val="-1"/>
        </w:rPr>
        <w:t>partnership,</w:t>
      </w:r>
      <w:r>
        <w:rPr>
          <w:spacing w:val="27"/>
        </w:rPr>
        <w:t xml:space="preserve"> </w:t>
      </w:r>
      <w:r>
        <w:rPr>
          <w:spacing w:val="-2"/>
        </w:rPr>
        <w:t>pregnancy</w:t>
      </w:r>
      <w:r>
        <w:rPr>
          <w:spacing w:val="24"/>
        </w:rPr>
        <w:t xml:space="preserve"> </w:t>
      </w:r>
      <w:r>
        <w:rPr>
          <w:spacing w:val="-1"/>
        </w:rPr>
        <w:t>and</w:t>
      </w:r>
      <w:r>
        <w:rPr>
          <w:spacing w:val="26"/>
        </w:rPr>
        <w:t xml:space="preserve"> </w:t>
      </w:r>
      <w:r>
        <w:rPr>
          <w:spacing w:val="-1"/>
        </w:rPr>
        <w:t>maternity</w:t>
      </w:r>
      <w:r>
        <w:rPr>
          <w:spacing w:val="24"/>
        </w:rPr>
        <w:t xml:space="preserve"> </w:t>
      </w:r>
      <w:r>
        <w:rPr>
          <w:spacing w:val="-1"/>
        </w:rPr>
        <w:t>or</w:t>
      </w:r>
      <w:r>
        <w:rPr>
          <w:spacing w:val="24"/>
        </w:rPr>
        <w:t xml:space="preserve"> </w:t>
      </w:r>
      <w:r>
        <w:rPr>
          <w:spacing w:val="-2"/>
        </w:rPr>
        <w:t>sexual</w:t>
      </w:r>
      <w:r>
        <w:rPr>
          <w:spacing w:val="50"/>
        </w:rPr>
        <w:t xml:space="preserve"> </w:t>
      </w:r>
      <w:r>
        <w:rPr>
          <w:spacing w:val="-1"/>
        </w:rPr>
        <w:t>orientation,</w:t>
      </w:r>
      <w:r>
        <w:t xml:space="preserve"> </w:t>
      </w:r>
      <w:r>
        <w:rPr>
          <w:spacing w:val="-1"/>
        </w:rPr>
        <w:t>religion</w:t>
      </w:r>
      <w:r>
        <w:t xml:space="preserve"> </w:t>
      </w:r>
      <w:r>
        <w:rPr>
          <w:spacing w:val="-1"/>
        </w:rPr>
        <w:t>or belief;</w:t>
      </w:r>
      <w:r>
        <w:t xml:space="preserve"> </w:t>
      </w:r>
      <w:r>
        <w:rPr>
          <w:spacing w:val="-1"/>
        </w:rPr>
        <w:t>or</w:t>
      </w:r>
    </w:p>
    <w:p w:rsidR="008918FA" w:rsidRDefault="008918FA" w:rsidP="008918FA">
      <w:pPr>
        <w:pStyle w:val="BodyText"/>
        <w:numPr>
          <w:ilvl w:val="4"/>
          <w:numId w:val="8"/>
        </w:numPr>
        <w:tabs>
          <w:tab w:val="left" w:pos="3303"/>
        </w:tabs>
        <w:ind w:right="116"/>
        <w:jc w:val="both"/>
      </w:pPr>
      <w:r>
        <w:rPr>
          <w:spacing w:val="-1"/>
        </w:rPr>
        <w:t>equal</w:t>
      </w:r>
      <w:r>
        <w:rPr>
          <w:spacing w:val="21"/>
        </w:rPr>
        <w:t xml:space="preserve"> </w:t>
      </w:r>
      <w:r>
        <w:rPr>
          <w:spacing w:val="-1"/>
        </w:rPr>
        <w:t>pay</w:t>
      </w:r>
      <w:r>
        <w:rPr>
          <w:spacing w:val="20"/>
        </w:rPr>
        <w:t xml:space="preserve"> </w:t>
      </w:r>
      <w:r>
        <w:rPr>
          <w:spacing w:val="-1"/>
        </w:rPr>
        <w:t>or</w:t>
      </w:r>
      <w:r>
        <w:rPr>
          <w:spacing w:val="23"/>
        </w:rPr>
        <w:t xml:space="preserve"> </w:t>
      </w:r>
      <w:r>
        <w:rPr>
          <w:spacing w:val="-2"/>
        </w:rPr>
        <w:t>compensation</w:t>
      </w:r>
      <w:r>
        <w:rPr>
          <w:spacing w:val="22"/>
        </w:rPr>
        <w:t xml:space="preserve"> </w:t>
      </w:r>
      <w:r>
        <w:t>for</w:t>
      </w:r>
      <w:r>
        <w:rPr>
          <w:spacing w:val="23"/>
        </w:rPr>
        <w:t xml:space="preserve"> </w:t>
      </w:r>
      <w:r>
        <w:rPr>
          <w:spacing w:val="-1"/>
        </w:rPr>
        <w:t>less</w:t>
      </w:r>
      <w:r>
        <w:rPr>
          <w:spacing w:val="20"/>
        </w:rPr>
        <w:t xml:space="preserve"> </w:t>
      </w:r>
      <w:r>
        <w:rPr>
          <w:spacing w:val="-1"/>
        </w:rPr>
        <w:t>favourable</w:t>
      </w:r>
      <w:r>
        <w:rPr>
          <w:spacing w:val="22"/>
        </w:rPr>
        <w:t xml:space="preserve"> </w:t>
      </w:r>
      <w:r>
        <w:rPr>
          <w:spacing w:val="-1"/>
        </w:rPr>
        <w:t>treatment</w:t>
      </w:r>
      <w:r>
        <w:rPr>
          <w:spacing w:val="39"/>
        </w:rPr>
        <w:t xml:space="preserve"> </w:t>
      </w:r>
      <w:r>
        <w:rPr>
          <w:spacing w:val="-2"/>
        </w:rPr>
        <w:t>of</w:t>
      </w:r>
      <w:r>
        <w:rPr>
          <w:spacing w:val="4"/>
        </w:rPr>
        <w:t xml:space="preserve"> </w:t>
      </w:r>
      <w:r>
        <w:rPr>
          <w:spacing w:val="-1"/>
        </w:rPr>
        <w:t>part-time</w:t>
      </w:r>
      <w:r>
        <w:rPr>
          <w:spacing w:val="-2"/>
        </w:rPr>
        <w:t xml:space="preserve"> </w:t>
      </w:r>
      <w:r>
        <w:rPr>
          <w:spacing w:val="-1"/>
        </w:rPr>
        <w:t>workers</w:t>
      </w:r>
      <w:r>
        <w:rPr>
          <w:spacing w:val="-2"/>
        </w:rPr>
        <w:t xml:space="preserve"> </w:t>
      </w:r>
      <w:r>
        <w:rPr>
          <w:spacing w:val="-1"/>
        </w:rPr>
        <w:t>or</w:t>
      </w:r>
      <w:r>
        <w:rPr>
          <w:spacing w:val="-3"/>
        </w:rPr>
        <w:t xml:space="preserve"> </w:t>
      </w:r>
      <w:r>
        <w:rPr>
          <w:spacing w:val="-1"/>
        </w:rPr>
        <w:t xml:space="preserve">fixed-term </w:t>
      </w:r>
      <w:r>
        <w:rPr>
          <w:spacing w:val="-2"/>
        </w:rPr>
        <w:t>employees,</w:t>
      </w:r>
    </w:p>
    <w:p w:rsidR="008918FA" w:rsidRDefault="008918FA" w:rsidP="008918FA">
      <w:pPr>
        <w:pStyle w:val="BodyText"/>
        <w:ind w:left="2875" w:right="120" w:firstLine="0"/>
      </w:pPr>
      <w:r>
        <w:rPr>
          <w:spacing w:val="-1"/>
        </w:rPr>
        <w:t>in</w:t>
      </w:r>
      <w:r>
        <w:rPr>
          <w:spacing w:val="29"/>
        </w:rPr>
        <w:t xml:space="preserve"> </w:t>
      </w:r>
      <w:r>
        <w:rPr>
          <w:spacing w:val="-1"/>
        </w:rPr>
        <w:t>any</w:t>
      </w:r>
      <w:r>
        <w:rPr>
          <w:spacing w:val="27"/>
        </w:rPr>
        <w:t xml:space="preserve"> </w:t>
      </w:r>
      <w:r>
        <w:rPr>
          <w:spacing w:val="-1"/>
        </w:rPr>
        <w:t>case</w:t>
      </w:r>
      <w:r>
        <w:rPr>
          <w:spacing w:val="30"/>
        </w:rPr>
        <w:t xml:space="preserve"> </w:t>
      </w:r>
      <w:r>
        <w:rPr>
          <w:spacing w:val="-1"/>
        </w:rPr>
        <w:t>in</w:t>
      </w:r>
      <w:r>
        <w:rPr>
          <w:spacing w:val="29"/>
        </w:rPr>
        <w:t xml:space="preserve"> </w:t>
      </w:r>
      <w:r>
        <w:rPr>
          <w:spacing w:val="-1"/>
        </w:rPr>
        <w:t>relation</w:t>
      </w:r>
      <w:r>
        <w:rPr>
          <w:spacing w:val="29"/>
        </w:rPr>
        <w:t xml:space="preserve"> </w:t>
      </w:r>
      <w:r>
        <w:t>to</w:t>
      </w:r>
      <w:r>
        <w:rPr>
          <w:spacing w:val="29"/>
        </w:rPr>
        <w:t xml:space="preserve"> </w:t>
      </w:r>
      <w:r>
        <w:rPr>
          <w:spacing w:val="-1"/>
        </w:rPr>
        <w:t>any</w:t>
      </w:r>
      <w:r>
        <w:rPr>
          <w:spacing w:val="27"/>
        </w:rPr>
        <w:t xml:space="preserve"> </w:t>
      </w:r>
      <w:r>
        <w:rPr>
          <w:spacing w:val="-1"/>
        </w:rPr>
        <w:t>alleged</w:t>
      </w:r>
      <w:r>
        <w:rPr>
          <w:spacing w:val="29"/>
        </w:rPr>
        <w:t xml:space="preserve"> </w:t>
      </w:r>
      <w:r>
        <w:rPr>
          <w:spacing w:val="-1"/>
        </w:rPr>
        <w:t>act</w:t>
      </w:r>
      <w:r>
        <w:rPr>
          <w:spacing w:val="31"/>
        </w:rPr>
        <w:t xml:space="preserve"> </w:t>
      </w:r>
      <w:r>
        <w:rPr>
          <w:spacing w:val="-2"/>
        </w:rPr>
        <w:t>or</w:t>
      </w:r>
      <w:r>
        <w:rPr>
          <w:spacing w:val="30"/>
        </w:rPr>
        <w:t xml:space="preserve"> </w:t>
      </w:r>
      <w:r>
        <w:rPr>
          <w:spacing w:val="-2"/>
        </w:rPr>
        <w:t>omission</w:t>
      </w:r>
      <w:r>
        <w:rPr>
          <w:spacing w:val="29"/>
        </w:rPr>
        <w:t xml:space="preserve"> </w:t>
      </w:r>
      <w:r>
        <w:rPr>
          <w:spacing w:val="-1"/>
        </w:rPr>
        <w:t>of</w:t>
      </w:r>
      <w:r>
        <w:rPr>
          <w:spacing w:val="30"/>
        </w:rPr>
        <w:t xml:space="preserve"> </w:t>
      </w:r>
      <w:r>
        <w:rPr>
          <w:spacing w:val="-1"/>
        </w:rPr>
        <w:t>the</w:t>
      </w:r>
      <w:r>
        <w:rPr>
          <w:spacing w:val="48"/>
        </w:rPr>
        <w:t xml:space="preserve"> </w:t>
      </w:r>
      <w:r>
        <w:rPr>
          <w:spacing w:val="-2"/>
        </w:rPr>
        <w:t>Supplier</w:t>
      </w:r>
      <w:r>
        <w:rPr>
          <w:spacing w:val="2"/>
        </w:rPr>
        <w:t xml:space="preserve"> </w:t>
      </w:r>
      <w:r>
        <w:rPr>
          <w:spacing w:val="-1"/>
        </w:rPr>
        <w:t>and/or any</w:t>
      </w:r>
      <w:r>
        <w:rPr>
          <w:spacing w:val="-2"/>
        </w:rPr>
        <w:t xml:space="preserve"> </w:t>
      </w:r>
      <w:r>
        <w:rPr>
          <w:spacing w:val="-1"/>
        </w:rPr>
        <w:t>Sub-Contractor;</w:t>
      </w:r>
      <w:r>
        <w:rPr>
          <w:spacing w:val="2"/>
        </w:rPr>
        <w:t xml:space="preserve"> </w:t>
      </w:r>
      <w:r>
        <w:rPr>
          <w:spacing w:val="-2"/>
        </w:rPr>
        <w:t>or</w:t>
      </w:r>
    </w:p>
    <w:p w:rsidR="008918FA" w:rsidRDefault="008918FA" w:rsidP="008918FA">
      <w:pPr>
        <w:pStyle w:val="BodyText"/>
        <w:numPr>
          <w:ilvl w:val="3"/>
          <w:numId w:val="8"/>
        </w:numPr>
        <w:tabs>
          <w:tab w:val="left" w:pos="2734"/>
        </w:tabs>
        <w:ind w:right="112"/>
        <w:jc w:val="both"/>
      </w:pPr>
      <w:r>
        <w:rPr>
          <w:spacing w:val="-1"/>
        </w:rPr>
        <w:t>any</w:t>
      </w:r>
      <w:r>
        <w:rPr>
          <w:spacing w:val="33"/>
        </w:rPr>
        <w:t xml:space="preserve"> </w:t>
      </w:r>
      <w:r>
        <w:rPr>
          <w:spacing w:val="-1"/>
        </w:rPr>
        <w:t>claim</w:t>
      </w:r>
      <w:r>
        <w:rPr>
          <w:spacing w:val="36"/>
        </w:rPr>
        <w:t xml:space="preserve"> </w:t>
      </w:r>
      <w:r>
        <w:rPr>
          <w:spacing w:val="-1"/>
        </w:rPr>
        <w:t>that</w:t>
      </w:r>
      <w:r>
        <w:rPr>
          <w:spacing w:val="34"/>
        </w:rPr>
        <w:t xml:space="preserve"> </w:t>
      </w:r>
      <w:r>
        <w:t>the</w:t>
      </w:r>
      <w:r>
        <w:rPr>
          <w:spacing w:val="35"/>
        </w:rPr>
        <w:t xml:space="preserve"> </w:t>
      </w:r>
      <w:r>
        <w:rPr>
          <w:spacing w:val="-1"/>
        </w:rPr>
        <w:t>termination</w:t>
      </w:r>
      <w:r>
        <w:rPr>
          <w:spacing w:val="35"/>
        </w:rPr>
        <w:t xml:space="preserve"> </w:t>
      </w:r>
      <w:r>
        <w:rPr>
          <w:spacing w:val="-2"/>
        </w:rPr>
        <w:t>of</w:t>
      </w:r>
      <w:r>
        <w:rPr>
          <w:spacing w:val="36"/>
        </w:rPr>
        <w:t xml:space="preserve"> </w:t>
      </w:r>
      <w:r>
        <w:rPr>
          <w:spacing w:val="-2"/>
        </w:rPr>
        <w:t>employment</w:t>
      </w:r>
      <w:r>
        <w:rPr>
          <w:spacing w:val="37"/>
        </w:rPr>
        <w:t xml:space="preserve"> </w:t>
      </w:r>
      <w:r>
        <w:rPr>
          <w:spacing w:val="-2"/>
        </w:rPr>
        <w:t>was</w:t>
      </w:r>
      <w:r>
        <w:rPr>
          <w:spacing w:val="35"/>
        </w:rPr>
        <w:t xml:space="preserve"> </w:t>
      </w:r>
      <w:r>
        <w:rPr>
          <w:spacing w:val="-1"/>
        </w:rPr>
        <w:t>unfair</w:t>
      </w:r>
      <w:r>
        <w:rPr>
          <w:spacing w:val="35"/>
        </w:rPr>
        <w:t xml:space="preserve"> </w:t>
      </w:r>
      <w:r>
        <w:rPr>
          <w:spacing w:val="-1"/>
        </w:rPr>
        <w:t>because</w:t>
      </w:r>
      <w:r>
        <w:rPr>
          <w:spacing w:val="32"/>
        </w:rPr>
        <w:t xml:space="preserve"> </w:t>
      </w:r>
      <w:r>
        <w:t>the</w:t>
      </w:r>
      <w:r>
        <w:rPr>
          <w:spacing w:val="31"/>
        </w:rPr>
        <w:t xml:space="preserve"> </w:t>
      </w:r>
      <w:r>
        <w:rPr>
          <w:spacing w:val="-2"/>
        </w:rPr>
        <w:t>Supplier</w:t>
      </w:r>
      <w:r>
        <w:rPr>
          <w:spacing w:val="33"/>
        </w:rPr>
        <w:t xml:space="preserve"> </w:t>
      </w:r>
      <w:r>
        <w:t>and/or</w:t>
      </w:r>
      <w:r>
        <w:rPr>
          <w:spacing w:val="33"/>
        </w:rPr>
        <w:t xml:space="preserve"> </w:t>
      </w:r>
      <w:r>
        <w:rPr>
          <w:spacing w:val="-1"/>
        </w:rPr>
        <w:t>any</w:t>
      </w:r>
      <w:r>
        <w:rPr>
          <w:spacing w:val="30"/>
        </w:rPr>
        <w:t xml:space="preserve"> </w:t>
      </w:r>
      <w:r>
        <w:rPr>
          <w:spacing w:val="-1"/>
        </w:rPr>
        <w:t>Sub-Contractor</w:t>
      </w:r>
      <w:r>
        <w:rPr>
          <w:spacing w:val="33"/>
        </w:rPr>
        <w:t xml:space="preserve"> </w:t>
      </w:r>
      <w:r>
        <w:rPr>
          <w:spacing w:val="-1"/>
        </w:rPr>
        <w:t>neglected</w:t>
      </w:r>
      <w:r>
        <w:rPr>
          <w:spacing w:val="29"/>
        </w:rPr>
        <w:t xml:space="preserve"> </w:t>
      </w:r>
      <w:r>
        <w:t>to</w:t>
      </w:r>
      <w:r>
        <w:rPr>
          <w:spacing w:val="45"/>
        </w:rPr>
        <w:t xml:space="preserve"> </w:t>
      </w:r>
      <w:r>
        <w:rPr>
          <w:spacing w:val="-1"/>
        </w:rPr>
        <w:t>follow</w:t>
      </w:r>
      <w:r>
        <w:rPr>
          <w:spacing w:val="-3"/>
        </w:rPr>
        <w:t xml:space="preserve"> </w:t>
      </w:r>
      <w:r>
        <w:t>a fair</w:t>
      </w:r>
      <w:r>
        <w:rPr>
          <w:spacing w:val="-1"/>
        </w:rPr>
        <w:t xml:space="preserve"> dismissal</w:t>
      </w:r>
      <w:r>
        <w:t xml:space="preserve"> </w:t>
      </w:r>
      <w:r>
        <w:rPr>
          <w:spacing w:val="-1"/>
        </w:rPr>
        <w:t>procedure;</w:t>
      </w:r>
      <w:r>
        <w:t xml:space="preserve"> </w:t>
      </w:r>
      <w:r>
        <w:rPr>
          <w:spacing w:val="-1"/>
        </w:rPr>
        <w:t>and</w:t>
      </w:r>
    </w:p>
    <w:p w:rsidR="008918FA" w:rsidRDefault="008918FA" w:rsidP="008918FA">
      <w:pPr>
        <w:pStyle w:val="BodyText"/>
        <w:numPr>
          <w:ilvl w:val="2"/>
          <w:numId w:val="8"/>
        </w:numPr>
        <w:tabs>
          <w:tab w:val="left" w:pos="2026"/>
        </w:tabs>
        <w:ind w:left="2025" w:right="114"/>
        <w:jc w:val="both"/>
      </w:pPr>
      <w:r>
        <w:rPr>
          <w:spacing w:val="-1"/>
        </w:rPr>
        <w:t>shall</w:t>
      </w:r>
      <w:r>
        <w:rPr>
          <w:spacing w:val="28"/>
        </w:rPr>
        <w:t xml:space="preserve"> </w:t>
      </w:r>
      <w:r>
        <w:rPr>
          <w:spacing w:val="-1"/>
        </w:rPr>
        <w:t>apply</w:t>
      </w:r>
      <w:r>
        <w:rPr>
          <w:spacing w:val="27"/>
        </w:rPr>
        <w:t xml:space="preserve"> </w:t>
      </w:r>
      <w:r>
        <w:rPr>
          <w:spacing w:val="-1"/>
        </w:rPr>
        <w:t>only</w:t>
      </w:r>
      <w:r>
        <w:rPr>
          <w:spacing w:val="30"/>
        </w:rPr>
        <w:t xml:space="preserve"> </w:t>
      </w:r>
      <w:r>
        <w:rPr>
          <w:spacing w:val="-2"/>
        </w:rPr>
        <w:t>where</w:t>
      </w:r>
      <w:r>
        <w:rPr>
          <w:spacing w:val="29"/>
        </w:rPr>
        <w:t xml:space="preserve"> </w:t>
      </w:r>
      <w:r>
        <w:t>the</w:t>
      </w:r>
      <w:r>
        <w:rPr>
          <w:spacing w:val="29"/>
        </w:rPr>
        <w:t xml:space="preserve"> </w:t>
      </w:r>
      <w:r>
        <w:rPr>
          <w:spacing w:val="-1"/>
        </w:rPr>
        <w:t>notification</w:t>
      </w:r>
      <w:r>
        <w:rPr>
          <w:spacing w:val="27"/>
        </w:rPr>
        <w:t xml:space="preserve"> </w:t>
      </w:r>
      <w:r>
        <w:rPr>
          <w:spacing w:val="-1"/>
        </w:rPr>
        <w:t>referred</w:t>
      </w:r>
      <w:r>
        <w:rPr>
          <w:spacing w:val="27"/>
        </w:rPr>
        <w:t xml:space="preserve"> </w:t>
      </w:r>
      <w:r>
        <w:rPr>
          <w:spacing w:val="-1"/>
        </w:rPr>
        <w:t>to</w:t>
      </w:r>
      <w:r>
        <w:rPr>
          <w:spacing w:val="29"/>
        </w:rPr>
        <w:t xml:space="preserve"> </w:t>
      </w:r>
      <w:r>
        <w:rPr>
          <w:spacing w:val="-1"/>
        </w:rPr>
        <w:t>in</w:t>
      </w:r>
      <w:r>
        <w:rPr>
          <w:spacing w:val="29"/>
        </w:rPr>
        <w:t xml:space="preserve"> </w:t>
      </w:r>
      <w:r>
        <w:rPr>
          <w:spacing w:val="-1"/>
        </w:rPr>
        <w:t>paragraph</w:t>
      </w:r>
      <w:r>
        <w:rPr>
          <w:spacing w:val="1"/>
        </w:rPr>
        <w:t xml:space="preserve"> </w:t>
      </w:r>
      <w:hyperlink w:anchor="_bookmark387" w:history="1">
        <w:r>
          <w:t>1.2</w:t>
        </w:r>
      </w:hyperlink>
      <w:r>
        <w:rPr>
          <w:spacing w:val="27"/>
        </w:rPr>
        <w:t xml:space="preserve"> </w:t>
      </w:r>
      <w:r>
        <w:rPr>
          <w:spacing w:val="-3"/>
        </w:rPr>
        <w:t>of</w:t>
      </w:r>
      <w:r>
        <w:rPr>
          <w:spacing w:val="40"/>
        </w:rPr>
        <w:t xml:space="preserve"> </w:t>
      </w:r>
      <w:r>
        <w:rPr>
          <w:spacing w:val="-1"/>
        </w:rPr>
        <w:t>Part</w:t>
      </w:r>
      <w:r>
        <w:rPr>
          <w:spacing w:val="33"/>
        </w:rPr>
        <w:t xml:space="preserve"> </w:t>
      </w:r>
      <w:r>
        <w:t>C</w:t>
      </w:r>
      <w:r>
        <w:rPr>
          <w:spacing w:val="31"/>
        </w:rPr>
        <w:t xml:space="preserve"> </w:t>
      </w:r>
      <w:r>
        <w:rPr>
          <w:spacing w:val="-2"/>
        </w:rPr>
        <w:t>of</w:t>
      </w:r>
      <w:r>
        <w:rPr>
          <w:spacing w:val="33"/>
        </w:rPr>
        <w:t xml:space="preserve"> </w:t>
      </w:r>
      <w:r>
        <w:rPr>
          <w:spacing w:val="-1"/>
        </w:rPr>
        <w:t>this</w:t>
      </w:r>
      <w:r>
        <w:rPr>
          <w:spacing w:val="32"/>
        </w:rPr>
        <w:t xml:space="preserve"> </w:t>
      </w:r>
      <w:r>
        <w:rPr>
          <w:spacing w:val="-2"/>
        </w:rPr>
        <w:t>Call</w:t>
      </w:r>
      <w:r>
        <w:rPr>
          <w:spacing w:val="31"/>
        </w:rPr>
        <w:t xml:space="preserve"> </w:t>
      </w:r>
      <w:r>
        <w:rPr>
          <w:spacing w:val="-1"/>
        </w:rPr>
        <w:t>Off</w:t>
      </w:r>
      <w:r>
        <w:rPr>
          <w:spacing w:val="30"/>
        </w:rPr>
        <w:t xml:space="preserve"> </w:t>
      </w:r>
      <w:r>
        <w:rPr>
          <w:spacing w:val="-1"/>
        </w:rPr>
        <w:t>Schedule</w:t>
      </w:r>
      <w:r>
        <w:rPr>
          <w:spacing w:val="32"/>
        </w:rPr>
        <w:t xml:space="preserve"> </w:t>
      </w:r>
      <w:r>
        <w:rPr>
          <w:spacing w:val="-1"/>
        </w:rPr>
        <w:t>is</w:t>
      </w:r>
      <w:r>
        <w:rPr>
          <w:spacing w:val="32"/>
        </w:rPr>
        <w:t xml:space="preserve"> </w:t>
      </w:r>
      <w:r>
        <w:rPr>
          <w:spacing w:val="-1"/>
        </w:rPr>
        <w:t>made</w:t>
      </w:r>
      <w:r>
        <w:rPr>
          <w:spacing w:val="31"/>
        </w:rPr>
        <w:t xml:space="preserve"> </w:t>
      </w:r>
      <w:r>
        <w:rPr>
          <w:spacing w:val="-1"/>
        </w:rPr>
        <w:t>by</w:t>
      </w:r>
      <w:r>
        <w:rPr>
          <w:spacing w:val="30"/>
        </w:rPr>
        <w:t xml:space="preserve"> </w:t>
      </w:r>
      <w:r>
        <w:rPr>
          <w:spacing w:val="-1"/>
        </w:rPr>
        <w:t>the</w:t>
      </w:r>
      <w:r>
        <w:rPr>
          <w:spacing w:val="31"/>
        </w:rPr>
        <w:t xml:space="preserve"> </w:t>
      </w:r>
      <w:r>
        <w:rPr>
          <w:spacing w:val="-2"/>
        </w:rPr>
        <w:t>Supplier</w:t>
      </w:r>
      <w:r>
        <w:rPr>
          <w:spacing w:val="33"/>
        </w:rPr>
        <w:t xml:space="preserve"> </w:t>
      </w:r>
      <w:r>
        <w:rPr>
          <w:spacing w:val="-1"/>
        </w:rPr>
        <w:t>and/or</w:t>
      </w:r>
      <w:r>
        <w:rPr>
          <w:spacing w:val="33"/>
        </w:rPr>
        <w:t xml:space="preserve"> </w:t>
      </w:r>
      <w:r>
        <w:rPr>
          <w:spacing w:val="-1"/>
        </w:rPr>
        <w:t>any</w:t>
      </w:r>
      <w:r>
        <w:rPr>
          <w:spacing w:val="50"/>
        </w:rPr>
        <w:t xml:space="preserve"> </w:t>
      </w:r>
      <w:r>
        <w:rPr>
          <w:spacing w:val="-1"/>
        </w:rPr>
        <w:t>Sub-Contractor</w:t>
      </w:r>
      <w:r>
        <w:rPr>
          <w:spacing w:val="47"/>
        </w:rPr>
        <w:t xml:space="preserve"> </w:t>
      </w:r>
      <w:r>
        <w:t>to</w:t>
      </w:r>
      <w:r>
        <w:rPr>
          <w:spacing w:val="46"/>
        </w:rPr>
        <w:t xml:space="preserve"> </w:t>
      </w:r>
      <w:r>
        <w:t>the</w:t>
      </w:r>
      <w:r>
        <w:rPr>
          <w:spacing w:val="46"/>
        </w:rPr>
        <w:t xml:space="preserve"> </w:t>
      </w:r>
      <w:r>
        <w:rPr>
          <w:spacing w:val="-1"/>
        </w:rPr>
        <w:t>Customer</w:t>
      </w:r>
      <w:r>
        <w:rPr>
          <w:spacing w:val="49"/>
        </w:rPr>
        <w:t xml:space="preserve"> </w:t>
      </w:r>
      <w:r>
        <w:rPr>
          <w:spacing w:val="-1"/>
        </w:rPr>
        <w:t>and,</w:t>
      </w:r>
      <w:r>
        <w:rPr>
          <w:spacing w:val="50"/>
        </w:rPr>
        <w:t xml:space="preserve"> </w:t>
      </w:r>
      <w:r>
        <w:rPr>
          <w:spacing w:val="-2"/>
        </w:rPr>
        <w:t>if</w:t>
      </w:r>
      <w:r>
        <w:rPr>
          <w:spacing w:val="50"/>
        </w:rPr>
        <w:t xml:space="preserve"> </w:t>
      </w:r>
      <w:r>
        <w:rPr>
          <w:spacing w:val="-2"/>
        </w:rPr>
        <w:t>applicable,</w:t>
      </w:r>
      <w:r>
        <w:rPr>
          <w:spacing w:val="51"/>
        </w:rPr>
        <w:t xml:space="preserve"> </w:t>
      </w:r>
      <w:r>
        <w:rPr>
          <w:spacing w:val="-1"/>
        </w:rPr>
        <w:t>Former</w:t>
      </w:r>
      <w:r>
        <w:rPr>
          <w:spacing w:val="49"/>
        </w:rPr>
        <w:t xml:space="preserve"> </w:t>
      </w:r>
      <w:r>
        <w:rPr>
          <w:spacing w:val="-2"/>
        </w:rPr>
        <w:t>Supplier</w:t>
      </w:r>
      <w:r>
        <w:rPr>
          <w:spacing w:val="48"/>
        </w:rPr>
        <w:t xml:space="preserve"> </w:t>
      </w:r>
      <w:r>
        <w:rPr>
          <w:spacing w:val="-1"/>
        </w:rPr>
        <w:t>within</w:t>
      </w:r>
      <w:r>
        <w:rPr>
          <w:spacing w:val="1"/>
        </w:rPr>
        <w:t xml:space="preserve"> </w:t>
      </w:r>
      <w:r>
        <w:rPr>
          <w:spacing w:val="-1"/>
        </w:rPr>
        <w:t>six (6) months</w:t>
      </w:r>
      <w:r>
        <w:rPr>
          <w:spacing w:val="1"/>
        </w:rPr>
        <w:t xml:space="preserve"> </w:t>
      </w:r>
      <w:r>
        <w:rPr>
          <w:spacing w:val="-2"/>
        </w:rPr>
        <w:t>of</w:t>
      </w:r>
      <w:r>
        <w:t xml:space="preserve"> </w:t>
      </w:r>
      <w:r>
        <w:rPr>
          <w:spacing w:val="-1"/>
        </w:rPr>
        <w:t>the</w:t>
      </w:r>
      <w:r>
        <w:t xml:space="preserve"> </w:t>
      </w:r>
      <w:r>
        <w:rPr>
          <w:spacing w:val="-2"/>
        </w:rPr>
        <w:t>Call</w:t>
      </w:r>
      <w:r>
        <w:t xml:space="preserve"> </w:t>
      </w:r>
      <w:r>
        <w:rPr>
          <w:spacing w:val="-1"/>
        </w:rPr>
        <w:t>Off</w:t>
      </w:r>
      <w:r>
        <w:rPr>
          <w:spacing w:val="2"/>
        </w:rPr>
        <w:t xml:space="preserve"> </w:t>
      </w:r>
      <w:r>
        <w:rPr>
          <w:spacing w:val="-2"/>
        </w:rPr>
        <w:t>Commencement</w:t>
      </w:r>
      <w:r>
        <w:rPr>
          <w:spacing w:val="2"/>
        </w:rPr>
        <w:t xml:space="preserve"> </w:t>
      </w:r>
      <w:r>
        <w:rPr>
          <w:spacing w:val="-1"/>
        </w:rPr>
        <w:t>Date.</w:t>
      </w:r>
    </w:p>
    <w:p w:rsidR="008918FA" w:rsidRDefault="008918FA" w:rsidP="008918FA">
      <w:pPr>
        <w:pStyle w:val="BodyText"/>
        <w:numPr>
          <w:ilvl w:val="0"/>
          <w:numId w:val="8"/>
        </w:numPr>
        <w:tabs>
          <w:tab w:val="left" w:pos="466"/>
        </w:tabs>
        <w:spacing w:before="117"/>
        <w:ind w:left="465"/>
        <w:rPr>
          <w:rFonts w:ascii="Times New Roman" w:eastAsia="Times New Roman" w:hAnsi="Times New Roman" w:cs="Times New Roman"/>
        </w:rPr>
      </w:pPr>
      <w:r>
        <w:rPr>
          <w:rFonts w:ascii="Times New Roman"/>
          <w:spacing w:val="6"/>
        </w:rPr>
        <w:t>PROCUREMENT</w:t>
      </w:r>
      <w:r>
        <w:rPr>
          <w:rFonts w:ascii="Times New Roman"/>
          <w:spacing w:val="4"/>
        </w:rPr>
        <w:t xml:space="preserve"> </w:t>
      </w:r>
      <w:r>
        <w:rPr>
          <w:rFonts w:ascii="Times New Roman"/>
          <w:spacing w:val="1"/>
        </w:rPr>
        <w:t>OBLIGATIONS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8"/>
        </w:numPr>
        <w:tabs>
          <w:tab w:val="left" w:pos="829"/>
        </w:tabs>
        <w:spacing w:before="0"/>
        <w:ind w:right="112"/>
        <w:jc w:val="both"/>
      </w:pPr>
      <w:r>
        <w:rPr>
          <w:spacing w:val="-1"/>
        </w:rPr>
        <w:t>Where</w:t>
      </w:r>
      <w:r>
        <w:rPr>
          <w:spacing w:val="9"/>
        </w:rPr>
        <w:t xml:space="preserve"> </w:t>
      </w:r>
      <w:r>
        <w:rPr>
          <w:spacing w:val="-1"/>
        </w:rPr>
        <w:t>in</w:t>
      </w:r>
      <w:r>
        <w:rPr>
          <w:spacing w:val="6"/>
        </w:rPr>
        <w:t xml:space="preserve"> </w:t>
      </w:r>
      <w:r>
        <w:rPr>
          <w:spacing w:val="-1"/>
        </w:rPr>
        <w:t>this</w:t>
      </w:r>
      <w:r>
        <w:rPr>
          <w:spacing w:val="10"/>
        </w:rPr>
        <w:t xml:space="preserve"> </w:t>
      </w:r>
      <w:r>
        <w:rPr>
          <w:spacing w:val="-2"/>
        </w:rPr>
        <w:t>of</w:t>
      </w:r>
      <w:r>
        <w:rPr>
          <w:spacing w:val="10"/>
        </w:rPr>
        <w:t xml:space="preserve"> </w:t>
      </w:r>
      <w:r>
        <w:rPr>
          <w:spacing w:val="-1"/>
        </w:rPr>
        <w:t>Part</w:t>
      </w:r>
      <w:r>
        <w:rPr>
          <w:spacing w:val="8"/>
        </w:rPr>
        <w:t xml:space="preserve"> </w:t>
      </w:r>
      <w:r>
        <w:t>C</w:t>
      </w:r>
      <w:r>
        <w:rPr>
          <w:spacing w:val="8"/>
        </w:rPr>
        <w:t xml:space="preserve"> </w:t>
      </w:r>
      <w:r>
        <w:rPr>
          <w:spacing w:val="-2"/>
        </w:rPr>
        <w:t>of</w:t>
      </w:r>
      <w:r>
        <w:rPr>
          <w:spacing w:val="10"/>
        </w:rPr>
        <w:t xml:space="preserve"> </w:t>
      </w:r>
      <w:r>
        <w:rPr>
          <w:spacing w:val="-1"/>
        </w:rPr>
        <w:t>this</w:t>
      </w:r>
      <w:r>
        <w:rPr>
          <w:spacing w:val="9"/>
        </w:rPr>
        <w:t xml:space="preserve"> </w:t>
      </w:r>
      <w:r>
        <w:rPr>
          <w:spacing w:val="-2"/>
        </w:rPr>
        <w:t>Call</w:t>
      </w:r>
      <w:r>
        <w:rPr>
          <w:spacing w:val="8"/>
        </w:rPr>
        <w:t xml:space="preserve"> </w:t>
      </w:r>
      <w:r>
        <w:rPr>
          <w:spacing w:val="-1"/>
        </w:rPr>
        <w:t>Off</w:t>
      </w:r>
      <w:r>
        <w:rPr>
          <w:spacing w:val="10"/>
        </w:rPr>
        <w:t xml:space="preserve"> </w:t>
      </w:r>
      <w:r>
        <w:rPr>
          <w:spacing w:val="-2"/>
        </w:rPr>
        <w:t>Schedule</w:t>
      </w:r>
      <w:r>
        <w:rPr>
          <w:spacing w:val="10"/>
        </w:rPr>
        <w:t xml:space="preserve"> </w:t>
      </w:r>
      <w:r>
        <w:t>the</w:t>
      </w:r>
      <w:r>
        <w:rPr>
          <w:spacing w:val="9"/>
        </w:rPr>
        <w:t xml:space="preserve"> </w:t>
      </w:r>
      <w:r>
        <w:rPr>
          <w:spacing w:val="-2"/>
        </w:rPr>
        <w:t>Customer</w:t>
      </w:r>
      <w:r>
        <w:rPr>
          <w:spacing w:val="10"/>
        </w:rPr>
        <w:t xml:space="preserve"> </w:t>
      </w:r>
      <w:r>
        <w:rPr>
          <w:spacing w:val="-1"/>
        </w:rPr>
        <w:t>accepts</w:t>
      </w:r>
      <w:r>
        <w:t xml:space="preserve"> </w:t>
      </w:r>
      <w:r>
        <w:rPr>
          <w:spacing w:val="9"/>
        </w:rPr>
        <w:t xml:space="preserve"> </w:t>
      </w:r>
      <w:r>
        <w:rPr>
          <w:spacing w:val="-2"/>
        </w:rPr>
        <w:t>an</w:t>
      </w:r>
      <w:r>
        <w:rPr>
          <w:spacing w:val="63"/>
        </w:rPr>
        <w:t xml:space="preserve"> </w:t>
      </w:r>
      <w:r>
        <w:rPr>
          <w:spacing w:val="-1"/>
        </w:rPr>
        <w:t>obligation</w:t>
      </w:r>
      <w:r>
        <w:rPr>
          <w:spacing w:val="15"/>
        </w:rPr>
        <w:t xml:space="preserve"> </w:t>
      </w:r>
      <w:r>
        <w:t>to</w:t>
      </w:r>
      <w:r>
        <w:rPr>
          <w:spacing w:val="15"/>
        </w:rPr>
        <w:t xml:space="preserve"> </w:t>
      </w:r>
      <w:r>
        <w:rPr>
          <w:spacing w:val="-1"/>
        </w:rPr>
        <w:t>procure</w:t>
      </w:r>
      <w:r>
        <w:rPr>
          <w:spacing w:val="15"/>
        </w:rPr>
        <w:t xml:space="preserve"> </w:t>
      </w:r>
      <w:r>
        <w:rPr>
          <w:spacing w:val="-1"/>
        </w:rPr>
        <w:t>that</w:t>
      </w:r>
      <w:r>
        <w:rPr>
          <w:spacing w:val="16"/>
        </w:rPr>
        <w:t xml:space="preserve"> </w:t>
      </w:r>
      <w:r>
        <w:t>a</w:t>
      </w:r>
      <w:r>
        <w:rPr>
          <w:spacing w:val="15"/>
        </w:rPr>
        <w:t xml:space="preserve"> </w:t>
      </w:r>
      <w:r>
        <w:rPr>
          <w:spacing w:val="-1"/>
        </w:rPr>
        <w:t>Former</w:t>
      </w:r>
      <w:r>
        <w:rPr>
          <w:spacing w:val="16"/>
        </w:rPr>
        <w:t xml:space="preserve"> </w:t>
      </w:r>
      <w:r>
        <w:rPr>
          <w:spacing w:val="-2"/>
        </w:rPr>
        <w:t>Supplier</w:t>
      </w:r>
      <w:r>
        <w:rPr>
          <w:spacing w:val="16"/>
        </w:rPr>
        <w:t xml:space="preserve"> </w:t>
      </w:r>
      <w:r>
        <w:rPr>
          <w:spacing w:val="-1"/>
        </w:rPr>
        <w:t>does</w:t>
      </w:r>
      <w:r>
        <w:rPr>
          <w:spacing w:val="15"/>
        </w:rPr>
        <w:t xml:space="preserve"> </w:t>
      </w:r>
      <w:r>
        <w:rPr>
          <w:spacing w:val="-1"/>
        </w:rPr>
        <w:t>or</w:t>
      </w:r>
      <w:r>
        <w:rPr>
          <w:spacing w:val="16"/>
        </w:rPr>
        <w:t xml:space="preserve"> </w:t>
      </w:r>
      <w:r>
        <w:rPr>
          <w:spacing w:val="-1"/>
        </w:rPr>
        <w:t>does</w:t>
      </w:r>
      <w:r>
        <w:rPr>
          <w:spacing w:val="15"/>
        </w:rPr>
        <w:t xml:space="preserve"> </w:t>
      </w:r>
      <w:r>
        <w:rPr>
          <w:spacing w:val="-1"/>
        </w:rPr>
        <w:t>not</w:t>
      </w:r>
      <w:r>
        <w:rPr>
          <w:spacing w:val="16"/>
        </w:rPr>
        <w:t xml:space="preserve"> </w:t>
      </w:r>
      <w:r>
        <w:rPr>
          <w:spacing w:val="-1"/>
        </w:rPr>
        <w:t>do</w:t>
      </w:r>
      <w:r>
        <w:rPr>
          <w:spacing w:val="15"/>
        </w:rPr>
        <w:t xml:space="preserve"> </w:t>
      </w:r>
      <w:r>
        <w:rPr>
          <w:spacing w:val="-1"/>
        </w:rPr>
        <w:t>something,</w:t>
      </w:r>
      <w:r>
        <w:rPr>
          <w:spacing w:val="16"/>
        </w:rPr>
        <w:t xml:space="preserve"> </w:t>
      </w:r>
      <w:r>
        <w:rPr>
          <w:spacing w:val="-1"/>
        </w:rPr>
        <w:t>such</w:t>
      </w:r>
      <w:r>
        <w:rPr>
          <w:spacing w:val="45"/>
        </w:rPr>
        <w:t xml:space="preserve"> </w:t>
      </w:r>
      <w:r>
        <w:rPr>
          <w:spacing w:val="-1"/>
        </w:rPr>
        <w:t>obligation</w:t>
      </w:r>
      <w:r>
        <w:rPr>
          <w:spacing w:val="17"/>
        </w:rPr>
        <w:t xml:space="preserve"> </w:t>
      </w:r>
      <w:r>
        <w:rPr>
          <w:spacing w:val="-1"/>
        </w:rPr>
        <w:t>shall</w:t>
      </w:r>
      <w:r>
        <w:rPr>
          <w:spacing w:val="17"/>
        </w:rPr>
        <w:t xml:space="preserve"> </w:t>
      </w:r>
      <w:r>
        <w:rPr>
          <w:spacing w:val="-1"/>
        </w:rPr>
        <w:t>be</w:t>
      </w:r>
      <w:r>
        <w:rPr>
          <w:spacing w:val="17"/>
        </w:rPr>
        <w:t xml:space="preserve"> </w:t>
      </w:r>
      <w:r>
        <w:rPr>
          <w:spacing w:val="-2"/>
        </w:rPr>
        <w:t>limited</w:t>
      </w:r>
      <w:r>
        <w:rPr>
          <w:spacing w:val="17"/>
        </w:rPr>
        <w:t xml:space="preserve"> </w:t>
      </w:r>
      <w:r>
        <w:rPr>
          <w:spacing w:val="-1"/>
        </w:rPr>
        <w:t>so</w:t>
      </w:r>
      <w:r>
        <w:rPr>
          <w:spacing w:val="18"/>
        </w:rPr>
        <w:t xml:space="preserve"> </w:t>
      </w:r>
      <w:r>
        <w:rPr>
          <w:spacing w:val="-1"/>
        </w:rPr>
        <w:t>that</w:t>
      </w:r>
      <w:r>
        <w:rPr>
          <w:spacing w:val="19"/>
        </w:rPr>
        <w:t xml:space="preserve"> </w:t>
      </w:r>
      <w:r>
        <w:rPr>
          <w:spacing w:val="-2"/>
        </w:rPr>
        <w:t>it</w:t>
      </w:r>
      <w:r>
        <w:rPr>
          <w:spacing w:val="19"/>
        </w:rPr>
        <w:t xml:space="preserve"> </w:t>
      </w:r>
      <w:r>
        <w:rPr>
          <w:spacing w:val="-1"/>
        </w:rPr>
        <w:t>extends</w:t>
      </w:r>
      <w:r>
        <w:rPr>
          <w:spacing w:val="18"/>
        </w:rPr>
        <w:t xml:space="preserve"> </w:t>
      </w:r>
      <w:r>
        <w:rPr>
          <w:spacing w:val="-1"/>
        </w:rPr>
        <w:t>only</w:t>
      </w:r>
      <w:r>
        <w:rPr>
          <w:spacing w:val="15"/>
        </w:rPr>
        <w:t xml:space="preserve"> </w:t>
      </w:r>
      <w:r>
        <w:t>to</w:t>
      </w:r>
      <w:r>
        <w:rPr>
          <w:spacing w:val="15"/>
        </w:rPr>
        <w:t xml:space="preserve"> </w:t>
      </w:r>
      <w:r>
        <w:t>the</w:t>
      </w:r>
      <w:r>
        <w:rPr>
          <w:spacing w:val="17"/>
        </w:rPr>
        <w:t xml:space="preserve"> </w:t>
      </w:r>
      <w:r>
        <w:rPr>
          <w:spacing w:val="-1"/>
        </w:rPr>
        <w:t>extent</w:t>
      </w:r>
      <w:r>
        <w:rPr>
          <w:spacing w:val="16"/>
        </w:rPr>
        <w:t xml:space="preserve"> </w:t>
      </w:r>
      <w:r>
        <w:rPr>
          <w:spacing w:val="-1"/>
        </w:rPr>
        <w:t>that</w:t>
      </w:r>
      <w:r>
        <w:rPr>
          <w:spacing w:val="16"/>
        </w:rPr>
        <w:t xml:space="preserve"> </w:t>
      </w:r>
      <w:r>
        <w:t>the</w:t>
      </w:r>
      <w:r>
        <w:rPr>
          <w:spacing w:val="17"/>
        </w:rPr>
        <w:t xml:space="preserve"> </w:t>
      </w:r>
      <w:r>
        <w:rPr>
          <w:spacing w:val="-2"/>
        </w:rPr>
        <w:t>Customer's</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spacing w:before="59"/>
        <w:ind w:left="688" w:right="116" w:firstLine="0"/>
        <w:jc w:val="both"/>
      </w:pPr>
      <w:r>
        <w:rPr>
          <w:spacing w:val="-1"/>
        </w:rPr>
        <w:t>contract</w:t>
      </w:r>
      <w:r>
        <w:rPr>
          <w:spacing w:val="19"/>
        </w:rPr>
        <w:t xml:space="preserve"> </w:t>
      </w:r>
      <w:r>
        <w:rPr>
          <w:spacing w:val="-2"/>
        </w:rPr>
        <w:t>with</w:t>
      </w:r>
      <w:r>
        <w:rPr>
          <w:spacing w:val="17"/>
        </w:rPr>
        <w:t xml:space="preserve"> </w:t>
      </w:r>
      <w:r>
        <w:t>the</w:t>
      </w:r>
      <w:r>
        <w:rPr>
          <w:spacing w:val="17"/>
        </w:rPr>
        <w:t xml:space="preserve"> </w:t>
      </w:r>
      <w:r>
        <w:rPr>
          <w:spacing w:val="-2"/>
        </w:rPr>
        <w:t>Former</w:t>
      </w:r>
      <w:r>
        <w:rPr>
          <w:spacing w:val="16"/>
        </w:rPr>
        <w:t xml:space="preserve"> </w:t>
      </w:r>
      <w:r>
        <w:rPr>
          <w:spacing w:val="-2"/>
        </w:rPr>
        <w:t>Supplier</w:t>
      </w:r>
      <w:r>
        <w:rPr>
          <w:spacing w:val="19"/>
        </w:rPr>
        <w:t xml:space="preserve"> </w:t>
      </w:r>
      <w:r>
        <w:rPr>
          <w:spacing w:val="-1"/>
        </w:rPr>
        <w:t>contains</w:t>
      </w:r>
      <w:r>
        <w:rPr>
          <w:spacing w:val="18"/>
        </w:rPr>
        <w:t xml:space="preserve"> </w:t>
      </w:r>
      <w:r>
        <w:t>a</w:t>
      </w:r>
      <w:r>
        <w:rPr>
          <w:spacing w:val="17"/>
        </w:rPr>
        <w:t xml:space="preserve"> </w:t>
      </w:r>
      <w:r>
        <w:rPr>
          <w:spacing w:val="-1"/>
        </w:rPr>
        <w:t>contractual</w:t>
      </w:r>
      <w:r>
        <w:rPr>
          <w:spacing w:val="17"/>
        </w:rPr>
        <w:t xml:space="preserve"> </w:t>
      </w:r>
      <w:r>
        <w:rPr>
          <w:spacing w:val="-1"/>
        </w:rPr>
        <w:t>right</w:t>
      </w:r>
      <w:r>
        <w:rPr>
          <w:spacing w:val="19"/>
        </w:rPr>
        <w:t xml:space="preserve"> </w:t>
      </w:r>
      <w:r>
        <w:rPr>
          <w:spacing w:val="-1"/>
        </w:rPr>
        <w:t>in</w:t>
      </w:r>
      <w:r>
        <w:rPr>
          <w:spacing w:val="15"/>
        </w:rPr>
        <w:t xml:space="preserve"> </w:t>
      </w:r>
      <w:r>
        <w:rPr>
          <w:spacing w:val="-1"/>
        </w:rPr>
        <w:t>that</w:t>
      </w:r>
      <w:r>
        <w:rPr>
          <w:spacing w:val="16"/>
        </w:rPr>
        <w:t xml:space="preserve"> </w:t>
      </w:r>
      <w:r>
        <w:rPr>
          <w:spacing w:val="-1"/>
        </w:rPr>
        <w:t>regard</w:t>
      </w:r>
      <w:r>
        <w:rPr>
          <w:spacing w:val="17"/>
        </w:rPr>
        <w:t xml:space="preserve"> </w:t>
      </w:r>
      <w:r>
        <w:rPr>
          <w:spacing w:val="-2"/>
        </w:rPr>
        <w:t>which</w:t>
      </w:r>
      <w:r>
        <w:rPr>
          <w:spacing w:val="64"/>
        </w:rPr>
        <w:t xml:space="preserve"> </w:t>
      </w:r>
      <w:r>
        <w:t>the</w:t>
      </w:r>
      <w:r>
        <w:rPr>
          <w:spacing w:val="12"/>
        </w:rPr>
        <w:t xml:space="preserve"> </w:t>
      </w:r>
      <w:r>
        <w:rPr>
          <w:spacing w:val="-1"/>
        </w:rPr>
        <w:t>Customer</w:t>
      </w:r>
      <w:r>
        <w:rPr>
          <w:spacing w:val="14"/>
        </w:rPr>
        <w:t xml:space="preserve"> </w:t>
      </w:r>
      <w:r>
        <w:rPr>
          <w:spacing w:val="-1"/>
        </w:rPr>
        <w:t>may</w:t>
      </w:r>
      <w:r>
        <w:rPr>
          <w:spacing w:val="10"/>
        </w:rPr>
        <w:t xml:space="preserve"> </w:t>
      </w:r>
      <w:r>
        <w:rPr>
          <w:spacing w:val="-1"/>
        </w:rPr>
        <w:t>enforce,</w:t>
      </w:r>
      <w:r>
        <w:rPr>
          <w:spacing w:val="14"/>
        </w:rPr>
        <w:t xml:space="preserve"> </w:t>
      </w:r>
      <w:r>
        <w:rPr>
          <w:spacing w:val="-1"/>
        </w:rPr>
        <w:t>or</w:t>
      </w:r>
      <w:r>
        <w:rPr>
          <w:spacing w:val="14"/>
        </w:rPr>
        <w:t xml:space="preserve"> </w:t>
      </w:r>
      <w:r>
        <w:rPr>
          <w:spacing w:val="-1"/>
        </w:rPr>
        <w:t>otherwise</w:t>
      </w:r>
      <w:r>
        <w:rPr>
          <w:spacing w:val="13"/>
        </w:rPr>
        <w:t xml:space="preserve"> </w:t>
      </w:r>
      <w:r>
        <w:rPr>
          <w:spacing w:val="-1"/>
        </w:rPr>
        <w:t>so</w:t>
      </w:r>
      <w:r>
        <w:rPr>
          <w:spacing w:val="13"/>
        </w:rPr>
        <w:t xml:space="preserve"> </w:t>
      </w:r>
      <w:r>
        <w:rPr>
          <w:spacing w:val="-1"/>
        </w:rPr>
        <w:t>that</w:t>
      </w:r>
      <w:r>
        <w:rPr>
          <w:spacing w:val="14"/>
        </w:rPr>
        <w:t xml:space="preserve"> </w:t>
      </w:r>
      <w:r>
        <w:rPr>
          <w:spacing w:val="-1"/>
        </w:rPr>
        <w:t>it</w:t>
      </w:r>
      <w:r>
        <w:rPr>
          <w:spacing w:val="14"/>
        </w:rPr>
        <w:t xml:space="preserve"> </w:t>
      </w:r>
      <w:r>
        <w:rPr>
          <w:spacing w:val="-1"/>
        </w:rPr>
        <w:t>requires</w:t>
      </w:r>
      <w:r>
        <w:rPr>
          <w:spacing w:val="13"/>
        </w:rPr>
        <w:t xml:space="preserve"> </w:t>
      </w:r>
      <w:r>
        <w:rPr>
          <w:spacing w:val="-1"/>
        </w:rPr>
        <w:t>only</w:t>
      </w:r>
      <w:r>
        <w:rPr>
          <w:spacing w:val="10"/>
        </w:rPr>
        <w:t xml:space="preserve"> </w:t>
      </w:r>
      <w:r>
        <w:rPr>
          <w:spacing w:val="-1"/>
        </w:rPr>
        <w:t>that</w:t>
      </w:r>
      <w:r>
        <w:rPr>
          <w:spacing w:val="14"/>
        </w:rPr>
        <w:t xml:space="preserve"> </w:t>
      </w:r>
      <w:r>
        <w:t>the</w:t>
      </w:r>
      <w:r>
        <w:rPr>
          <w:spacing w:val="12"/>
        </w:rPr>
        <w:t xml:space="preserve"> </w:t>
      </w:r>
      <w:r>
        <w:rPr>
          <w:spacing w:val="-1"/>
        </w:rPr>
        <w:t>Customer</w:t>
      </w:r>
      <w:r>
        <w:rPr>
          <w:spacing w:val="37"/>
        </w:rPr>
        <w:t xml:space="preserve"> </w:t>
      </w:r>
      <w:r>
        <w:rPr>
          <w:spacing w:val="-1"/>
        </w:rPr>
        <w:t>must</w:t>
      </w:r>
      <w:r>
        <w:rPr>
          <w:spacing w:val="5"/>
        </w:rPr>
        <w:t xml:space="preserve"> </w:t>
      </w:r>
      <w:r>
        <w:rPr>
          <w:spacing w:val="-1"/>
        </w:rPr>
        <w:t>use</w:t>
      </w:r>
      <w:r>
        <w:rPr>
          <w:spacing w:val="1"/>
        </w:rPr>
        <w:t xml:space="preserve"> </w:t>
      </w:r>
      <w:r>
        <w:rPr>
          <w:spacing w:val="-1"/>
        </w:rPr>
        <w:t>reasonable</w:t>
      </w:r>
      <w:r>
        <w:rPr>
          <w:spacing w:val="3"/>
        </w:rPr>
        <w:t xml:space="preserve"> </w:t>
      </w:r>
      <w:r>
        <w:rPr>
          <w:spacing w:val="-1"/>
        </w:rPr>
        <w:t>endeavours</w:t>
      </w:r>
      <w:r>
        <w:rPr>
          <w:spacing w:val="3"/>
        </w:rPr>
        <w:t xml:space="preserve"> </w:t>
      </w:r>
      <w:r>
        <w:t>to</w:t>
      </w:r>
      <w:r>
        <w:rPr>
          <w:spacing w:val="3"/>
        </w:rPr>
        <w:t xml:space="preserve"> </w:t>
      </w:r>
      <w:r>
        <w:rPr>
          <w:spacing w:val="-1"/>
        </w:rPr>
        <w:t>procure</w:t>
      </w:r>
      <w:r>
        <w:rPr>
          <w:spacing w:val="3"/>
        </w:rPr>
        <w:t xml:space="preserve"> </w:t>
      </w:r>
      <w:r>
        <w:rPr>
          <w:spacing w:val="-1"/>
        </w:rPr>
        <w:t>that</w:t>
      </w:r>
      <w:r>
        <w:rPr>
          <w:spacing w:val="2"/>
        </w:rPr>
        <w:t xml:space="preserve"> </w:t>
      </w:r>
      <w:r>
        <w:t>the</w:t>
      </w:r>
      <w:r>
        <w:rPr>
          <w:spacing w:val="3"/>
        </w:rPr>
        <w:t xml:space="preserve"> </w:t>
      </w:r>
      <w:r>
        <w:rPr>
          <w:spacing w:val="-1"/>
        </w:rPr>
        <w:t>Former</w:t>
      </w:r>
      <w:r>
        <w:rPr>
          <w:spacing w:val="4"/>
        </w:rPr>
        <w:t xml:space="preserve"> </w:t>
      </w:r>
      <w:r>
        <w:rPr>
          <w:spacing w:val="-2"/>
        </w:rPr>
        <w:t>Supplier</w:t>
      </w:r>
      <w:r>
        <w:rPr>
          <w:spacing w:val="4"/>
        </w:rPr>
        <w:t xml:space="preserve"> </w:t>
      </w:r>
      <w:r>
        <w:rPr>
          <w:spacing w:val="-1"/>
        </w:rPr>
        <w:t>does</w:t>
      </w:r>
      <w:r>
        <w:rPr>
          <w:spacing w:val="3"/>
        </w:rPr>
        <w:t xml:space="preserve"> </w:t>
      </w:r>
      <w:r>
        <w:rPr>
          <w:spacing w:val="-1"/>
        </w:rPr>
        <w:t>or</w:t>
      </w:r>
      <w:r>
        <w:rPr>
          <w:spacing w:val="4"/>
        </w:rPr>
        <w:t xml:space="preserve"> </w:t>
      </w:r>
      <w:r>
        <w:rPr>
          <w:spacing w:val="-1"/>
        </w:rPr>
        <w:t>does</w:t>
      </w:r>
      <w:r>
        <w:rPr>
          <w:spacing w:val="42"/>
        </w:rPr>
        <w:t xml:space="preserve"> </w:t>
      </w:r>
      <w:r>
        <w:rPr>
          <w:spacing w:val="-1"/>
        </w:rPr>
        <w:t>not</w:t>
      </w:r>
      <w:r>
        <w:rPr>
          <w:spacing w:val="2"/>
        </w:rPr>
        <w:t xml:space="preserve"> </w:t>
      </w:r>
      <w:r>
        <w:rPr>
          <w:spacing w:val="-2"/>
        </w:rPr>
        <w:t>act</w:t>
      </w:r>
      <w:r>
        <w:rPr>
          <w:spacing w:val="2"/>
        </w:rPr>
        <w:t xml:space="preserve"> </w:t>
      </w:r>
      <w:r>
        <w:rPr>
          <w:spacing w:val="-2"/>
        </w:rPr>
        <w:t>accordingly.</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1"/>
        <w:rPr>
          <w:rFonts w:ascii="Arial" w:eastAsia="Arial" w:hAnsi="Arial" w:cs="Arial"/>
          <w:sz w:val="16"/>
          <w:szCs w:val="16"/>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300" w:bottom="1180" w:left="1680" w:header="0" w:footer="987" w:gutter="0"/>
          <w:cols w:space="720"/>
        </w:sectPr>
      </w:pPr>
    </w:p>
    <w:p w:rsidR="008918FA" w:rsidRDefault="008918FA" w:rsidP="008918FA">
      <w:pPr>
        <w:pStyle w:val="BodyText"/>
        <w:spacing w:before="58" w:line="466" w:lineRule="auto"/>
        <w:ind w:left="620" w:right="3808" w:firstLine="3395"/>
        <w:rPr>
          <w:rFonts w:ascii="Times New Roman" w:eastAsia="Times New Roman" w:hAnsi="Times New Roman" w:cs="Times New Roman"/>
        </w:rPr>
      </w:pPr>
      <w:r>
        <w:rPr>
          <w:rFonts w:ascii="Times New Roman"/>
        </w:rPr>
        <w:t>P</w:t>
      </w:r>
      <w:r>
        <w:rPr>
          <w:rFonts w:ascii="Times New Roman"/>
          <w:spacing w:val="-29"/>
        </w:rPr>
        <w:t xml:space="preserve"> </w:t>
      </w:r>
      <w:r>
        <w:rPr>
          <w:rFonts w:ascii="Times New Roman"/>
          <w:spacing w:val="2"/>
        </w:rPr>
        <w:t>ART</w:t>
      </w:r>
      <w:r>
        <w:rPr>
          <w:rFonts w:ascii="Times New Roman"/>
          <w:spacing w:val="4"/>
        </w:rPr>
        <w:t xml:space="preserve"> </w:t>
      </w:r>
      <w:r>
        <w:rPr>
          <w:rFonts w:ascii="Times New Roman"/>
        </w:rPr>
        <w:t>D</w:t>
      </w:r>
      <w:r>
        <w:rPr>
          <w:rFonts w:ascii="Times New Roman"/>
          <w:spacing w:val="21"/>
        </w:rPr>
        <w:t xml:space="preserve"> </w:t>
      </w:r>
      <w:r>
        <w:rPr>
          <w:rFonts w:ascii="Times New Roman"/>
          <w:spacing w:val="-1"/>
        </w:rPr>
        <w:t>EMP</w:t>
      </w:r>
      <w:r>
        <w:rPr>
          <w:rFonts w:ascii="Times New Roman"/>
          <w:spacing w:val="-32"/>
        </w:rPr>
        <w:t xml:space="preserve"> </w:t>
      </w:r>
      <w:r>
        <w:rPr>
          <w:rFonts w:ascii="Times New Roman"/>
          <w:spacing w:val="-1"/>
        </w:rPr>
        <w:t>LOYMENT</w:t>
      </w:r>
      <w:r>
        <w:rPr>
          <w:rFonts w:ascii="Times New Roman"/>
          <w:spacing w:val="4"/>
        </w:rPr>
        <w:t xml:space="preserve"> </w:t>
      </w:r>
      <w:r>
        <w:rPr>
          <w:rFonts w:ascii="Times New Roman"/>
          <w:spacing w:val="-4"/>
        </w:rPr>
        <w:t>EXIT</w:t>
      </w:r>
      <w:r>
        <w:rPr>
          <w:rFonts w:ascii="Times New Roman"/>
          <w:spacing w:val="4"/>
        </w:rPr>
        <w:t xml:space="preserve"> </w:t>
      </w:r>
      <w:r>
        <w:rPr>
          <w:rFonts w:ascii="Times New Roman"/>
          <w:spacing w:val="26"/>
        </w:rPr>
        <w:t>P</w:t>
      </w:r>
      <w:r>
        <w:rPr>
          <w:rFonts w:ascii="Times New Roman"/>
          <w:spacing w:val="11"/>
        </w:rPr>
        <w:t>R</w:t>
      </w:r>
      <w:r>
        <w:rPr>
          <w:rFonts w:ascii="Times New Roman"/>
          <w:spacing w:val="13"/>
        </w:rPr>
        <w:t>O</w:t>
      </w:r>
      <w:r>
        <w:rPr>
          <w:rFonts w:ascii="Times New Roman"/>
          <w:spacing w:val="-14"/>
        </w:rPr>
        <w:t>V</w:t>
      </w:r>
      <w:r>
        <w:rPr>
          <w:rFonts w:ascii="Times New Roman"/>
          <w:spacing w:val="-12"/>
        </w:rPr>
        <w:t>I</w:t>
      </w:r>
      <w:r>
        <w:rPr>
          <w:rFonts w:ascii="Times New Roman"/>
        </w:rPr>
        <w:t>S</w:t>
      </w:r>
      <w:r>
        <w:rPr>
          <w:rFonts w:ascii="Times New Roman"/>
          <w:spacing w:val="-32"/>
        </w:rPr>
        <w:t xml:space="preserve"> </w:t>
      </w:r>
      <w:r>
        <w:rPr>
          <w:rFonts w:ascii="Times New Roman"/>
          <w:spacing w:val="-1"/>
        </w:rPr>
        <w:t>IONS</w:t>
      </w:r>
    </w:p>
    <w:p w:rsidR="008918FA" w:rsidRDefault="008918FA" w:rsidP="008918FA">
      <w:pPr>
        <w:pStyle w:val="BodyText"/>
        <w:numPr>
          <w:ilvl w:val="0"/>
          <w:numId w:val="7"/>
        </w:numPr>
        <w:tabs>
          <w:tab w:val="left" w:pos="467"/>
        </w:tabs>
        <w:spacing w:before="11"/>
        <w:rPr>
          <w:rFonts w:ascii="Times New Roman" w:eastAsia="Times New Roman" w:hAnsi="Times New Roman" w:cs="Times New Roman"/>
        </w:rPr>
      </w:pPr>
      <w:r>
        <w:rPr>
          <w:rFonts w:ascii="Times New Roman"/>
          <w:spacing w:val="6"/>
        </w:rPr>
        <w:t>PRE-SERVICE</w:t>
      </w:r>
      <w:r>
        <w:rPr>
          <w:rFonts w:ascii="Times New Roman"/>
          <w:spacing w:val="18"/>
        </w:rPr>
        <w:t xml:space="preserve"> </w:t>
      </w:r>
      <w:r>
        <w:rPr>
          <w:rFonts w:ascii="Times New Roman"/>
          <w:spacing w:val="6"/>
        </w:rPr>
        <w:t>TRANSFER</w:t>
      </w:r>
      <w:r>
        <w:rPr>
          <w:rFonts w:ascii="Times New Roman"/>
          <w:spacing w:val="18"/>
        </w:rPr>
        <w:t xml:space="preserve"> </w:t>
      </w:r>
      <w:r>
        <w:rPr>
          <w:rFonts w:ascii="Times New Roman"/>
          <w:spacing w:val="1"/>
        </w:rPr>
        <w:t>OBLIGATIONS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7"/>
        </w:numPr>
        <w:tabs>
          <w:tab w:val="left" w:pos="829"/>
        </w:tabs>
        <w:spacing w:before="0"/>
        <w:jc w:val="left"/>
      </w:pPr>
      <w:bookmarkStart w:id="476" w:name="_bookmark394"/>
      <w:bookmarkEnd w:id="476"/>
      <w:r>
        <w:t>The</w:t>
      </w:r>
      <w:r>
        <w:rPr>
          <w:spacing w:val="-2"/>
        </w:rPr>
        <w:t xml:space="preserve"> Supplier</w:t>
      </w:r>
      <w:r>
        <w:rPr>
          <w:spacing w:val="2"/>
        </w:rPr>
        <w:t xml:space="preserve"> </w:t>
      </w:r>
      <w:r>
        <w:rPr>
          <w:spacing w:val="-1"/>
        </w:rPr>
        <w:t>agrees</w:t>
      </w:r>
      <w:r>
        <w:rPr>
          <w:spacing w:val="-4"/>
        </w:rPr>
        <w:t xml:space="preserve"> </w:t>
      </w:r>
      <w:r>
        <w:rPr>
          <w:spacing w:val="-1"/>
        </w:rPr>
        <w:t>that</w:t>
      </w:r>
      <w:r>
        <w:t xml:space="preserve"> </w:t>
      </w:r>
      <w:r>
        <w:rPr>
          <w:spacing w:val="-2"/>
        </w:rPr>
        <w:t>within</w:t>
      </w:r>
      <w:r>
        <w:t xml:space="preserve"> </w:t>
      </w:r>
      <w:r>
        <w:rPr>
          <w:spacing w:val="-1"/>
        </w:rPr>
        <w:t>twenty</w:t>
      </w:r>
      <w:r>
        <w:rPr>
          <w:spacing w:val="-2"/>
        </w:rPr>
        <w:t xml:space="preserve"> </w:t>
      </w:r>
      <w:r>
        <w:rPr>
          <w:spacing w:val="-1"/>
        </w:rPr>
        <w:t>(20)</w:t>
      </w:r>
      <w:r>
        <w:rPr>
          <w:spacing w:val="-3"/>
        </w:rPr>
        <w:t xml:space="preserve"> </w:t>
      </w:r>
      <w:r>
        <w:rPr>
          <w:spacing w:val="-1"/>
        </w:rPr>
        <w:t>Working</w:t>
      </w:r>
      <w:r>
        <w:t xml:space="preserve"> </w:t>
      </w:r>
      <w:r>
        <w:rPr>
          <w:spacing w:val="-2"/>
        </w:rPr>
        <w:t>Days</w:t>
      </w:r>
      <w:r>
        <w:rPr>
          <w:spacing w:val="1"/>
        </w:rPr>
        <w:t xml:space="preserve"> </w:t>
      </w:r>
      <w:r>
        <w:rPr>
          <w:spacing w:val="-2"/>
        </w:rPr>
        <w:t>of</w:t>
      </w:r>
      <w:r>
        <w:rPr>
          <w:spacing w:val="2"/>
        </w:rPr>
        <w:t xml:space="preserve"> </w:t>
      </w:r>
      <w:r>
        <w:t xml:space="preserve">the </w:t>
      </w:r>
      <w:r>
        <w:rPr>
          <w:spacing w:val="-2"/>
        </w:rPr>
        <w:t>earliest</w:t>
      </w:r>
      <w:r>
        <w:rPr>
          <w:spacing w:val="2"/>
        </w:rPr>
        <w:t xml:space="preserve"> </w:t>
      </w:r>
      <w:r>
        <w:rPr>
          <w:spacing w:val="-2"/>
        </w:rPr>
        <w:t>of:</w:t>
      </w:r>
    </w:p>
    <w:p w:rsidR="008918FA" w:rsidRDefault="008918FA" w:rsidP="008918FA">
      <w:pPr>
        <w:pStyle w:val="BodyText"/>
        <w:numPr>
          <w:ilvl w:val="2"/>
          <w:numId w:val="7"/>
        </w:numPr>
        <w:tabs>
          <w:tab w:val="left" w:pos="2027"/>
        </w:tabs>
        <w:spacing w:before="121"/>
        <w:ind w:right="117"/>
        <w:jc w:val="both"/>
      </w:pPr>
      <w:r>
        <w:rPr>
          <w:spacing w:val="-1"/>
        </w:rPr>
        <w:t>receipt</w:t>
      </w:r>
      <w:r>
        <w:rPr>
          <w:spacing w:val="45"/>
        </w:rPr>
        <w:t xml:space="preserve"> </w:t>
      </w:r>
      <w:r>
        <w:rPr>
          <w:spacing w:val="-2"/>
        </w:rPr>
        <w:t>of</w:t>
      </w:r>
      <w:r>
        <w:rPr>
          <w:spacing w:val="45"/>
        </w:rPr>
        <w:t xml:space="preserve"> </w:t>
      </w:r>
      <w:r>
        <w:t>a</w:t>
      </w:r>
      <w:r>
        <w:rPr>
          <w:spacing w:val="41"/>
        </w:rPr>
        <w:t xml:space="preserve"> </w:t>
      </w:r>
      <w:r>
        <w:rPr>
          <w:spacing w:val="-1"/>
        </w:rPr>
        <w:t>notification</w:t>
      </w:r>
      <w:r>
        <w:rPr>
          <w:spacing w:val="41"/>
        </w:rPr>
        <w:t xml:space="preserve"> </w:t>
      </w:r>
      <w:r>
        <w:rPr>
          <w:spacing w:val="-1"/>
        </w:rPr>
        <w:t>from</w:t>
      </w:r>
      <w:r>
        <w:rPr>
          <w:spacing w:val="42"/>
        </w:rPr>
        <w:t xml:space="preserve"> </w:t>
      </w:r>
      <w:r>
        <w:t>the</w:t>
      </w:r>
      <w:r>
        <w:rPr>
          <w:spacing w:val="43"/>
        </w:rPr>
        <w:t xml:space="preserve"> </w:t>
      </w:r>
      <w:r>
        <w:rPr>
          <w:spacing w:val="-2"/>
        </w:rPr>
        <w:t>Customer</w:t>
      </w:r>
      <w:r>
        <w:rPr>
          <w:spacing w:val="46"/>
        </w:rPr>
        <w:t xml:space="preserve"> </w:t>
      </w:r>
      <w:r>
        <w:rPr>
          <w:spacing w:val="-2"/>
        </w:rPr>
        <w:t>of</w:t>
      </w:r>
      <w:r>
        <w:rPr>
          <w:spacing w:val="45"/>
        </w:rPr>
        <w:t xml:space="preserve"> </w:t>
      </w:r>
      <w:r>
        <w:t>a</w:t>
      </w:r>
      <w:r>
        <w:rPr>
          <w:spacing w:val="41"/>
        </w:rPr>
        <w:t xml:space="preserve"> </w:t>
      </w:r>
      <w:r>
        <w:rPr>
          <w:spacing w:val="-2"/>
        </w:rPr>
        <w:t>Service</w:t>
      </w:r>
      <w:r>
        <w:rPr>
          <w:spacing w:val="44"/>
        </w:rPr>
        <w:t xml:space="preserve"> </w:t>
      </w:r>
      <w:r>
        <w:rPr>
          <w:spacing w:val="-1"/>
        </w:rPr>
        <w:t>Transfer</w:t>
      </w:r>
      <w:r>
        <w:rPr>
          <w:spacing w:val="45"/>
        </w:rPr>
        <w:t xml:space="preserve"> </w:t>
      </w:r>
      <w:r>
        <w:rPr>
          <w:spacing w:val="-2"/>
        </w:rPr>
        <w:t>or</w:t>
      </w:r>
      <w:r>
        <w:rPr>
          <w:spacing w:val="47"/>
        </w:rPr>
        <w:t xml:space="preserve"> </w:t>
      </w:r>
      <w:r>
        <w:rPr>
          <w:spacing w:val="-1"/>
        </w:rPr>
        <w:t>intended</w:t>
      </w:r>
      <w:r>
        <w:t xml:space="preserve"> </w:t>
      </w:r>
      <w:r>
        <w:rPr>
          <w:spacing w:val="-2"/>
        </w:rPr>
        <w:t xml:space="preserve">Service </w:t>
      </w:r>
      <w:r>
        <w:rPr>
          <w:spacing w:val="-1"/>
        </w:rPr>
        <w:t>Transfer;</w:t>
      </w:r>
    </w:p>
    <w:p w:rsidR="008918FA" w:rsidRDefault="008918FA" w:rsidP="008918FA">
      <w:pPr>
        <w:pStyle w:val="BodyText"/>
        <w:numPr>
          <w:ilvl w:val="2"/>
          <w:numId w:val="7"/>
        </w:numPr>
        <w:tabs>
          <w:tab w:val="left" w:pos="2027"/>
        </w:tabs>
        <w:ind w:right="116"/>
        <w:jc w:val="both"/>
      </w:pPr>
      <w:r>
        <w:rPr>
          <w:spacing w:val="-1"/>
        </w:rPr>
        <w:t>receipt</w:t>
      </w:r>
      <w:r>
        <w:rPr>
          <w:spacing w:val="17"/>
        </w:rPr>
        <w:t xml:space="preserve"> </w:t>
      </w:r>
      <w:r>
        <w:rPr>
          <w:spacing w:val="-2"/>
        </w:rPr>
        <w:t>of</w:t>
      </w:r>
      <w:r>
        <w:rPr>
          <w:spacing w:val="17"/>
        </w:rPr>
        <w:t xml:space="preserve"> </w:t>
      </w:r>
      <w:r>
        <w:t>the</w:t>
      </w:r>
      <w:r>
        <w:rPr>
          <w:spacing w:val="13"/>
        </w:rPr>
        <w:t xml:space="preserve"> </w:t>
      </w:r>
      <w:r>
        <w:rPr>
          <w:spacing w:val="-1"/>
        </w:rPr>
        <w:t>giving</w:t>
      </w:r>
      <w:r>
        <w:rPr>
          <w:spacing w:val="18"/>
        </w:rPr>
        <w:t xml:space="preserve"> </w:t>
      </w:r>
      <w:r>
        <w:rPr>
          <w:spacing w:val="-2"/>
        </w:rPr>
        <w:t>of</w:t>
      </w:r>
      <w:r>
        <w:rPr>
          <w:spacing w:val="17"/>
        </w:rPr>
        <w:t xml:space="preserve"> </w:t>
      </w:r>
      <w:r>
        <w:rPr>
          <w:spacing w:val="-1"/>
        </w:rPr>
        <w:t>notice</w:t>
      </w:r>
      <w:r>
        <w:rPr>
          <w:spacing w:val="16"/>
        </w:rPr>
        <w:t xml:space="preserve"> </w:t>
      </w:r>
      <w:r>
        <w:rPr>
          <w:spacing w:val="-2"/>
        </w:rPr>
        <w:t>of</w:t>
      </w:r>
      <w:r>
        <w:rPr>
          <w:spacing w:val="17"/>
        </w:rPr>
        <w:t xml:space="preserve"> </w:t>
      </w:r>
      <w:r>
        <w:rPr>
          <w:spacing w:val="-1"/>
        </w:rPr>
        <w:t>early</w:t>
      </w:r>
      <w:r>
        <w:rPr>
          <w:spacing w:val="14"/>
        </w:rPr>
        <w:t xml:space="preserve"> </w:t>
      </w:r>
      <w:r>
        <w:rPr>
          <w:spacing w:val="-1"/>
        </w:rPr>
        <w:t>termination</w:t>
      </w:r>
      <w:r>
        <w:rPr>
          <w:spacing w:val="16"/>
        </w:rPr>
        <w:t xml:space="preserve"> </w:t>
      </w:r>
      <w:r>
        <w:rPr>
          <w:spacing w:val="-1"/>
        </w:rPr>
        <w:t>or</w:t>
      </w:r>
      <w:r>
        <w:rPr>
          <w:spacing w:val="17"/>
        </w:rPr>
        <w:t xml:space="preserve"> </w:t>
      </w:r>
      <w:r>
        <w:rPr>
          <w:spacing w:val="-1"/>
        </w:rPr>
        <w:t>any</w:t>
      </w:r>
      <w:r>
        <w:rPr>
          <w:spacing w:val="14"/>
        </w:rPr>
        <w:t xml:space="preserve"> </w:t>
      </w:r>
      <w:r>
        <w:rPr>
          <w:spacing w:val="-1"/>
        </w:rPr>
        <w:t>partial</w:t>
      </w:r>
      <w:r>
        <w:rPr>
          <w:spacing w:val="30"/>
        </w:rPr>
        <w:t xml:space="preserve"> </w:t>
      </w:r>
      <w:r>
        <w:rPr>
          <w:spacing w:val="-1"/>
        </w:rPr>
        <w:t>termination</w:t>
      </w:r>
      <w:r>
        <w:t xml:space="preserve">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2"/>
        </w:rPr>
        <w:t>Contract;</w:t>
      </w:r>
    </w:p>
    <w:p w:rsidR="008918FA" w:rsidRDefault="008918FA" w:rsidP="008918FA">
      <w:pPr>
        <w:pStyle w:val="BodyText"/>
        <w:numPr>
          <w:ilvl w:val="2"/>
          <w:numId w:val="7"/>
        </w:numPr>
        <w:tabs>
          <w:tab w:val="left" w:pos="2027"/>
        </w:tabs>
        <w:ind w:right="115"/>
        <w:jc w:val="both"/>
      </w:pPr>
      <w:r>
        <w:t xml:space="preserve">the </w:t>
      </w:r>
      <w:r>
        <w:rPr>
          <w:spacing w:val="-1"/>
        </w:rPr>
        <w:t>date</w:t>
      </w:r>
      <w:r>
        <w:t xml:space="preserve"> </w:t>
      </w:r>
      <w:r>
        <w:rPr>
          <w:spacing w:val="-2"/>
        </w:rPr>
        <w:t>which</w:t>
      </w:r>
      <w:r>
        <w:rPr>
          <w:spacing w:val="3"/>
        </w:rPr>
        <w:t xml:space="preserve"> </w:t>
      </w:r>
      <w:r>
        <w:rPr>
          <w:spacing w:val="-1"/>
        </w:rPr>
        <w:t>is</w:t>
      </w:r>
      <w:r>
        <w:rPr>
          <w:spacing w:val="1"/>
        </w:rPr>
        <w:t xml:space="preserve"> </w:t>
      </w:r>
      <w:r>
        <w:rPr>
          <w:spacing w:val="-1"/>
        </w:rPr>
        <w:t>twenty</w:t>
      </w:r>
      <w:r>
        <w:rPr>
          <w:spacing w:val="1"/>
        </w:rPr>
        <w:t xml:space="preserve"> </w:t>
      </w:r>
      <w:r>
        <w:rPr>
          <w:spacing w:val="-1"/>
        </w:rPr>
        <w:t>four</w:t>
      </w:r>
      <w:r>
        <w:rPr>
          <w:spacing w:val="2"/>
        </w:rPr>
        <w:t xml:space="preserve"> </w:t>
      </w:r>
      <w:r>
        <w:rPr>
          <w:spacing w:val="-1"/>
        </w:rPr>
        <w:t>(24) months</w:t>
      </w:r>
      <w:r>
        <w:rPr>
          <w:spacing w:val="1"/>
        </w:rPr>
        <w:t xml:space="preserve"> </w:t>
      </w:r>
      <w:r>
        <w:rPr>
          <w:spacing w:val="-1"/>
        </w:rPr>
        <w:t>before</w:t>
      </w:r>
      <w:r>
        <w:rPr>
          <w:spacing w:val="-2"/>
        </w:rPr>
        <w:t xml:space="preserve"> </w:t>
      </w:r>
      <w:r>
        <w:rPr>
          <w:spacing w:val="-1"/>
        </w:rPr>
        <w:t>the</w:t>
      </w:r>
      <w:r>
        <w:t xml:space="preserve"> </w:t>
      </w:r>
      <w:r>
        <w:rPr>
          <w:spacing w:val="-1"/>
        </w:rPr>
        <w:t>end</w:t>
      </w:r>
      <w:r>
        <w:t xml:space="preserve"> </w:t>
      </w:r>
      <w:r>
        <w:rPr>
          <w:spacing w:val="-1"/>
        </w:rPr>
        <w:t>of</w:t>
      </w:r>
      <w:r>
        <w:rPr>
          <w:spacing w:val="4"/>
        </w:rPr>
        <w:t xml:space="preserve"> </w:t>
      </w:r>
      <w:r>
        <w:t xml:space="preserve">the </w:t>
      </w:r>
      <w:r>
        <w:rPr>
          <w:spacing w:val="-2"/>
        </w:rPr>
        <w:t>Call</w:t>
      </w:r>
      <w:r>
        <w:t xml:space="preserve"> </w:t>
      </w:r>
      <w:r>
        <w:rPr>
          <w:spacing w:val="-1"/>
        </w:rPr>
        <w:t>Off</w:t>
      </w:r>
      <w:r>
        <w:rPr>
          <w:spacing w:val="53"/>
        </w:rPr>
        <w:t xml:space="preserve"> </w:t>
      </w:r>
      <w:r>
        <w:rPr>
          <w:spacing w:val="-1"/>
        </w:rPr>
        <w:t>Contract</w:t>
      </w:r>
      <w:r>
        <w:rPr>
          <w:spacing w:val="2"/>
        </w:rPr>
        <w:t xml:space="preserve"> </w:t>
      </w:r>
      <w:r>
        <w:rPr>
          <w:spacing w:val="-2"/>
        </w:rPr>
        <w:t>Period;</w:t>
      </w:r>
      <w:r>
        <w:rPr>
          <w:spacing w:val="2"/>
        </w:rPr>
        <w:t xml:space="preserve"> </w:t>
      </w:r>
      <w:r>
        <w:rPr>
          <w:spacing w:val="-1"/>
        </w:rPr>
        <w:t>and</w:t>
      </w:r>
    </w:p>
    <w:p w:rsidR="008918FA" w:rsidRDefault="008918FA" w:rsidP="008918FA">
      <w:pPr>
        <w:pStyle w:val="BodyText"/>
        <w:numPr>
          <w:ilvl w:val="2"/>
          <w:numId w:val="7"/>
        </w:numPr>
        <w:tabs>
          <w:tab w:val="left" w:pos="2027"/>
        </w:tabs>
        <w:ind w:right="115"/>
        <w:jc w:val="both"/>
      </w:pPr>
      <w:r>
        <w:rPr>
          <w:spacing w:val="-1"/>
        </w:rPr>
        <w:t>receipt</w:t>
      </w:r>
      <w:r>
        <w:rPr>
          <w:spacing w:val="14"/>
        </w:rPr>
        <w:t xml:space="preserve"> </w:t>
      </w:r>
      <w:r>
        <w:rPr>
          <w:spacing w:val="-2"/>
        </w:rPr>
        <w:t>of</w:t>
      </w:r>
      <w:r>
        <w:rPr>
          <w:spacing w:val="16"/>
        </w:rPr>
        <w:t xml:space="preserve"> </w:t>
      </w:r>
      <w:r>
        <w:t>a</w:t>
      </w:r>
      <w:r>
        <w:rPr>
          <w:spacing w:val="12"/>
        </w:rPr>
        <w:t xml:space="preserve"> </w:t>
      </w:r>
      <w:r>
        <w:rPr>
          <w:spacing w:val="-1"/>
        </w:rPr>
        <w:t>written</w:t>
      </w:r>
      <w:r>
        <w:rPr>
          <w:spacing w:val="10"/>
        </w:rPr>
        <w:t xml:space="preserve"> </w:t>
      </w:r>
      <w:r>
        <w:rPr>
          <w:spacing w:val="-1"/>
        </w:rPr>
        <w:t>request</w:t>
      </w:r>
      <w:r>
        <w:rPr>
          <w:spacing w:val="14"/>
        </w:rPr>
        <w:t xml:space="preserve"> </w:t>
      </w:r>
      <w:r>
        <w:rPr>
          <w:spacing w:val="-2"/>
        </w:rPr>
        <w:t>of</w:t>
      </w:r>
      <w:r>
        <w:rPr>
          <w:spacing w:val="14"/>
        </w:rPr>
        <w:t xml:space="preserve"> </w:t>
      </w:r>
      <w:r>
        <w:t>the</w:t>
      </w:r>
      <w:r>
        <w:rPr>
          <w:spacing w:val="12"/>
        </w:rPr>
        <w:t xml:space="preserve"> </w:t>
      </w:r>
      <w:r>
        <w:rPr>
          <w:spacing w:val="-1"/>
        </w:rPr>
        <w:t>Customer</w:t>
      </w:r>
      <w:r>
        <w:rPr>
          <w:spacing w:val="14"/>
        </w:rPr>
        <w:t xml:space="preserve"> </w:t>
      </w:r>
      <w:r>
        <w:rPr>
          <w:spacing w:val="-2"/>
        </w:rPr>
        <w:t>at</w:t>
      </w:r>
      <w:r>
        <w:rPr>
          <w:spacing w:val="14"/>
        </w:rPr>
        <w:t xml:space="preserve"> </w:t>
      </w:r>
      <w:r>
        <w:rPr>
          <w:spacing w:val="-2"/>
        </w:rPr>
        <w:t>any</w:t>
      </w:r>
      <w:r>
        <w:rPr>
          <w:spacing w:val="10"/>
        </w:rPr>
        <w:t xml:space="preserve"> </w:t>
      </w:r>
      <w:r>
        <w:rPr>
          <w:spacing w:val="-1"/>
        </w:rPr>
        <w:t>time</w:t>
      </w:r>
      <w:r>
        <w:rPr>
          <w:spacing w:val="12"/>
        </w:rPr>
        <w:t xml:space="preserve"> </w:t>
      </w:r>
      <w:r>
        <w:rPr>
          <w:spacing w:val="-1"/>
        </w:rPr>
        <w:t>(provided</w:t>
      </w:r>
      <w:r>
        <w:rPr>
          <w:spacing w:val="12"/>
        </w:rPr>
        <w:t xml:space="preserve"> </w:t>
      </w:r>
      <w:r>
        <w:rPr>
          <w:spacing w:val="-1"/>
        </w:rPr>
        <w:t>that</w:t>
      </w:r>
      <w:r>
        <w:rPr>
          <w:spacing w:val="34"/>
        </w:rPr>
        <w:t xml:space="preserve"> </w:t>
      </w:r>
      <w:r>
        <w:t>the</w:t>
      </w:r>
      <w:r>
        <w:rPr>
          <w:spacing w:val="24"/>
        </w:rPr>
        <w:t xml:space="preserve"> </w:t>
      </w:r>
      <w:r>
        <w:rPr>
          <w:spacing w:val="-1"/>
        </w:rPr>
        <w:t>Customer</w:t>
      </w:r>
      <w:r>
        <w:rPr>
          <w:spacing w:val="26"/>
        </w:rPr>
        <w:t xml:space="preserve"> </w:t>
      </w:r>
      <w:r>
        <w:rPr>
          <w:spacing w:val="-1"/>
        </w:rPr>
        <w:t>shall</w:t>
      </w:r>
      <w:r>
        <w:rPr>
          <w:spacing w:val="24"/>
        </w:rPr>
        <w:t xml:space="preserve"> </w:t>
      </w:r>
      <w:r>
        <w:rPr>
          <w:spacing w:val="-1"/>
        </w:rPr>
        <w:t>only</w:t>
      </w:r>
      <w:r>
        <w:rPr>
          <w:spacing w:val="25"/>
        </w:rPr>
        <w:t xml:space="preserve"> </w:t>
      </w:r>
      <w:r>
        <w:rPr>
          <w:spacing w:val="-1"/>
        </w:rPr>
        <w:t>be</w:t>
      </w:r>
      <w:r>
        <w:rPr>
          <w:spacing w:val="24"/>
        </w:rPr>
        <w:t xml:space="preserve"> </w:t>
      </w:r>
      <w:r>
        <w:rPr>
          <w:spacing w:val="-1"/>
        </w:rPr>
        <w:t>entitled</w:t>
      </w:r>
      <w:r>
        <w:rPr>
          <w:spacing w:val="24"/>
        </w:rPr>
        <w:t xml:space="preserve"> </w:t>
      </w:r>
      <w:r>
        <w:t>to</w:t>
      </w:r>
      <w:r>
        <w:rPr>
          <w:spacing w:val="24"/>
        </w:rPr>
        <w:t xml:space="preserve"> </w:t>
      </w:r>
      <w:r>
        <w:rPr>
          <w:spacing w:val="-1"/>
        </w:rPr>
        <w:t>make</w:t>
      </w:r>
      <w:r>
        <w:rPr>
          <w:spacing w:val="24"/>
        </w:rPr>
        <w:t xml:space="preserve"> </w:t>
      </w:r>
      <w:r>
        <w:rPr>
          <w:spacing w:val="-2"/>
        </w:rPr>
        <w:t>one</w:t>
      </w:r>
      <w:r>
        <w:rPr>
          <w:spacing w:val="24"/>
        </w:rPr>
        <w:t xml:space="preserve"> </w:t>
      </w:r>
      <w:r>
        <w:rPr>
          <w:spacing w:val="-1"/>
        </w:rPr>
        <w:t>such</w:t>
      </w:r>
      <w:r>
        <w:rPr>
          <w:spacing w:val="25"/>
        </w:rPr>
        <w:t xml:space="preserve"> </w:t>
      </w:r>
      <w:r>
        <w:rPr>
          <w:spacing w:val="-1"/>
        </w:rPr>
        <w:t>request</w:t>
      </w:r>
      <w:r>
        <w:rPr>
          <w:spacing w:val="26"/>
        </w:rPr>
        <w:t xml:space="preserve"> </w:t>
      </w:r>
      <w:r>
        <w:rPr>
          <w:spacing w:val="-1"/>
        </w:rPr>
        <w:t>in</w:t>
      </w:r>
      <w:r>
        <w:rPr>
          <w:spacing w:val="24"/>
        </w:rPr>
        <w:t xml:space="preserve"> </w:t>
      </w:r>
      <w:r>
        <w:rPr>
          <w:spacing w:val="-1"/>
        </w:rPr>
        <w:t>any</w:t>
      </w:r>
      <w:r>
        <w:rPr>
          <w:spacing w:val="34"/>
        </w:rPr>
        <w:t xml:space="preserve"> </w:t>
      </w:r>
      <w:r>
        <w:rPr>
          <w:spacing w:val="-1"/>
        </w:rPr>
        <w:t>six</w:t>
      </w:r>
      <w:r>
        <w:rPr>
          <w:spacing w:val="-2"/>
        </w:rPr>
        <w:t xml:space="preserve"> </w:t>
      </w:r>
      <w:r>
        <w:rPr>
          <w:spacing w:val="-1"/>
        </w:rPr>
        <w:t>(6) month</w:t>
      </w:r>
      <w:r>
        <w:rPr>
          <w:spacing w:val="-2"/>
        </w:rPr>
        <w:t xml:space="preserve"> </w:t>
      </w:r>
      <w:r>
        <w:rPr>
          <w:spacing w:val="-1"/>
        </w:rPr>
        <w:t>period),</w:t>
      </w:r>
    </w:p>
    <w:p w:rsidR="008918FA" w:rsidRDefault="008918FA" w:rsidP="008918FA">
      <w:pPr>
        <w:pStyle w:val="BodyText"/>
        <w:ind w:left="1032" w:right="113" w:firstLine="0"/>
        <w:jc w:val="both"/>
      </w:pPr>
      <w:r>
        <w:rPr>
          <w:spacing w:val="-1"/>
        </w:rPr>
        <w:t>it</w:t>
      </w:r>
      <w:r>
        <w:rPr>
          <w:spacing w:val="2"/>
        </w:rPr>
        <w:t xml:space="preserve"> </w:t>
      </w:r>
      <w:r>
        <w:rPr>
          <w:spacing w:val="-1"/>
        </w:rPr>
        <w:t>shall</w:t>
      </w:r>
      <w:r>
        <w:t xml:space="preserve"> </w:t>
      </w:r>
      <w:r>
        <w:rPr>
          <w:spacing w:val="-2"/>
        </w:rPr>
        <w:t>provide</w:t>
      </w:r>
      <w:r>
        <w:t xml:space="preserve"> </w:t>
      </w:r>
      <w:r>
        <w:rPr>
          <w:spacing w:val="-1"/>
        </w:rPr>
        <w:t>in</w:t>
      </w:r>
      <w:r>
        <w:t xml:space="preserve"> a </w:t>
      </w:r>
      <w:r>
        <w:rPr>
          <w:spacing w:val="-1"/>
        </w:rPr>
        <w:t>suitably</w:t>
      </w:r>
      <w:r>
        <w:rPr>
          <w:spacing w:val="-2"/>
        </w:rPr>
        <w:t xml:space="preserve"> </w:t>
      </w:r>
      <w:r>
        <w:rPr>
          <w:spacing w:val="-1"/>
        </w:rPr>
        <w:t>anonymised</w:t>
      </w:r>
      <w:r>
        <w:rPr>
          <w:spacing w:val="-2"/>
        </w:rPr>
        <w:t xml:space="preserve"> </w:t>
      </w:r>
      <w:r>
        <w:rPr>
          <w:spacing w:val="-1"/>
        </w:rPr>
        <w:t>format</w:t>
      </w:r>
      <w:r>
        <w:rPr>
          <w:spacing w:val="2"/>
        </w:rPr>
        <w:t xml:space="preserve"> </w:t>
      </w:r>
      <w:r>
        <w:rPr>
          <w:spacing w:val="-2"/>
        </w:rPr>
        <w:t>so</w:t>
      </w:r>
      <w:r>
        <w:t xml:space="preserve"> </w:t>
      </w:r>
      <w:r>
        <w:rPr>
          <w:spacing w:val="-1"/>
        </w:rPr>
        <w:t>as</w:t>
      </w:r>
      <w:r>
        <w:rPr>
          <w:spacing w:val="-2"/>
        </w:rPr>
        <w:t xml:space="preserve"> </w:t>
      </w:r>
      <w:r>
        <w:t xml:space="preserve">to </w:t>
      </w:r>
      <w:r>
        <w:rPr>
          <w:spacing w:val="-2"/>
        </w:rPr>
        <w:t xml:space="preserve">comply </w:t>
      </w:r>
      <w:r>
        <w:rPr>
          <w:spacing w:val="-1"/>
        </w:rPr>
        <w:t>with</w:t>
      </w:r>
      <w:r>
        <w:t xml:space="preserve"> the</w:t>
      </w:r>
      <w:r>
        <w:rPr>
          <w:spacing w:val="-2"/>
        </w:rPr>
        <w:t xml:space="preserve"> </w:t>
      </w:r>
      <w:r>
        <w:rPr>
          <w:spacing w:val="-1"/>
        </w:rPr>
        <w:t>DPA,</w:t>
      </w:r>
      <w:r>
        <w:rPr>
          <w:spacing w:val="2"/>
        </w:rPr>
        <w:t xml:space="preserve"> </w:t>
      </w:r>
      <w:r>
        <w:rPr>
          <w:spacing w:val="-1"/>
        </w:rPr>
        <w:t>the</w:t>
      </w:r>
      <w:r>
        <w:rPr>
          <w:spacing w:val="48"/>
        </w:rPr>
        <w:t xml:space="preserve"> </w:t>
      </w:r>
      <w:r>
        <w:rPr>
          <w:spacing w:val="-1"/>
        </w:rPr>
        <w:t>Supplier's</w:t>
      </w:r>
      <w:r>
        <w:rPr>
          <w:spacing w:val="46"/>
        </w:rPr>
        <w:t xml:space="preserve"> </w:t>
      </w:r>
      <w:r>
        <w:rPr>
          <w:spacing w:val="-2"/>
        </w:rPr>
        <w:t>Provisional</w:t>
      </w:r>
      <w:r>
        <w:rPr>
          <w:spacing w:val="45"/>
        </w:rPr>
        <w:t xml:space="preserve"> </w:t>
      </w:r>
      <w:r>
        <w:rPr>
          <w:spacing w:val="-1"/>
        </w:rPr>
        <w:t>Personnel</w:t>
      </w:r>
      <w:r>
        <w:rPr>
          <w:spacing w:val="45"/>
        </w:rPr>
        <w:t xml:space="preserve"> </w:t>
      </w:r>
      <w:r>
        <w:rPr>
          <w:spacing w:val="-1"/>
        </w:rPr>
        <w:t>List,</w:t>
      </w:r>
      <w:r>
        <w:rPr>
          <w:spacing w:val="47"/>
        </w:rPr>
        <w:t xml:space="preserve"> </w:t>
      </w:r>
      <w:r>
        <w:rPr>
          <w:spacing w:val="-1"/>
        </w:rPr>
        <w:t>together</w:t>
      </w:r>
      <w:r>
        <w:rPr>
          <w:spacing w:val="45"/>
        </w:rPr>
        <w:t xml:space="preserve"> </w:t>
      </w:r>
      <w:r>
        <w:rPr>
          <w:spacing w:val="-1"/>
        </w:rPr>
        <w:t>with</w:t>
      </w:r>
      <w:r>
        <w:rPr>
          <w:spacing w:val="46"/>
        </w:rPr>
        <w:t xml:space="preserve"> </w:t>
      </w:r>
      <w:r>
        <w:t>the</w:t>
      </w:r>
      <w:r>
        <w:rPr>
          <w:spacing w:val="47"/>
        </w:rPr>
        <w:t xml:space="preserve"> </w:t>
      </w:r>
      <w:r>
        <w:rPr>
          <w:spacing w:val="-1"/>
        </w:rPr>
        <w:t>Staffing</w:t>
      </w:r>
      <w:r>
        <w:rPr>
          <w:spacing w:val="46"/>
        </w:rPr>
        <w:t xml:space="preserve"> </w:t>
      </w:r>
      <w:r>
        <w:rPr>
          <w:spacing w:val="-1"/>
        </w:rPr>
        <w:t>Information</w:t>
      </w:r>
      <w:r>
        <w:rPr>
          <w:spacing w:val="46"/>
        </w:rPr>
        <w:t xml:space="preserve"> </w:t>
      </w:r>
      <w:r>
        <w:rPr>
          <w:spacing w:val="-1"/>
        </w:rPr>
        <w:t>in</w:t>
      </w:r>
      <w:r>
        <w:rPr>
          <w:spacing w:val="47"/>
        </w:rPr>
        <w:t xml:space="preserve"> </w:t>
      </w:r>
      <w:r>
        <w:rPr>
          <w:spacing w:val="-1"/>
        </w:rPr>
        <w:t>relation</w:t>
      </w:r>
      <w:r>
        <w:rPr>
          <w:spacing w:val="9"/>
        </w:rPr>
        <w:t xml:space="preserve"> </w:t>
      </w:r>
      <w:r>
        <w:t>to</w:t>
      </w:r>
      <w:r>
        <w:rPr>
          <w:spacing w:val="6"/>
        </w:rPr>
        <w:t xml:space="preserve"> </w:t>
      </w:r>
      <w:r>
        <w:t>the</w:t>
      </w:r>
      <w:r>
        <w:rPr>
          <w:spacing w:val="6"/>
        </w:rPr>
        <w:t xml:space="preserve"> </w:t>
      </w:r>
      <w:r>
        <w:rPr>
          <w:spacing w:val="-2"/>
        </w:rPr>
        <w:t>Supplier's</w:t>
      </w:r>
      <w:r>
        <w:rPr>
          <w:spacing w:val="9"/>
        </w:rPr>
        <w:t xml:space="preserve"> </w:t>
      </w:r>
      <w:r>
        <w:rPr>
          <w:spacing w:val="-2"/>
        </w:rPr>
        <w:t>Provisional</w:t>
      </w:r>
      <w:r>
        <w:rPr>
          <w:spacing w:val="8"/>
        </w:rPr>
        <w:t xml:space="preserve"> </w:t>
      </w:r>
      <w:r>
        <w:rPr>
          <w:spacing w:val="-1"/>
        </w:rPr>
        <w:t>Personnel</w:t>
      </w:r>
      <w:r>
        <w:rPr>
          <w:spacing w:val="8"/>
        </w:rPr>
        <w:t xml:space="preserve"> </w:t>
      </w:r>
      <w:r>
        <w:rPr>
          <w:spacing w:val="-1"/>
        </w:rPr>
        <w:t>List</w:t>
      </w:r>
      <w:r>
        <w:rPr>
          <w:spacing w:val="11"/>
        </w:rPr>
        <w:t xml:space="preserve"> </w:t>
      </w:r>
      <w:r>
        <w:rPr>
          <w:spacing w:val="-1"/>
        </w:rPr>
        <w:t>and</w:t>
      </w:r>
      <w:r>
        <w:rPr>
          <w:spacing w:val="6"/>
        </w:rPr>
        <w:t xml:space="preserve"> </w:t>
      </w:r>
      <w:r>
        <w:rPr>
          <w:spacing w:val="-1"/>
        </w:rPr>
        <w:t>it</w:t>
      </w:r>
      <w:r>
        <w:rPr>
          <w:spacing w:val="10"/>
        </w:rPr>
        <w:t xml:space="preserve"> </w:t>
      </w:r>
      <w:r>
        <w:rPr>
          <w:spacing w:val="-1"/>
        </w:rPr>
        <w:t>shall</w:t>
      </w:r>
      <w:r>
        <w:rPr>
          <w:spacing w:val="8"/>
        </w:rPr>
        <w:t xml:space="preserve"> </w:t>
      </w:r>
      <w:r>
        <w:rPr>
          <w:spacing w:val="-1"/>
        </w:rPr>
        <w:t>provide</w:t>
      </w:r>
      <w:r>
        <w:rPr>
          <w:spacing w:val="9"/>
        </w:rPr>
        <w:t xml:space="preserve"> </w:t>
      </w:r>
      <w:r>
        <w:rPr>
          <w:spacing w:val="-1"/>
        </w:rPr>
        <w:t>an</w:t>
      </w:r>
      <w:r>
        <w:rPr>
          <w:spacing w:val="54"/>
        </w:rPr>
        <w:t xml:space="preserve"> </w:t>
      </w:r>
      <w:r>
        <w:rPr>
          <w:spacing w:val="-1"/>
        </w:rPr>
        <w:t>updated</w:t>
      </w:r>
      <w:r>
        <w:rPr>
          <w:spacing w:val="3"/>
        </w:rPr>
        <w:t xml:space="preserve"> </w:t>
      </w:r>
      <w:r>
        <w:rPr>
          <w:spacing w:val="-1"/>
        </w:rPr>
        <w:t>Supplier's</w:t>
      </w:r>
      <w:r>
        <w:rPr>
          <w:spacing w:val="3"/>
        </w:rPr>
        <w:t xml:space="preserve"> </w:t>
      </w:r>
      <w:r>
        <w:rPr>
          <w:spacing w:val="-1"/>
        </w:rPr>
        <w:t>Provisional</w:t>
      </w:r>
      <w:r>
        <w:rPr>
          <w:spacing w:val="2"/>
        </w:rPr>
        <w:t xml:space="preserve"> </w:t>
      </w:r>
      <w:r>
        <w:rPr>
          <w:spacing w:val="-1"/>
        </w:rPr>
        <w:t>Personnel</w:t>
      </w:r>
      <w:r>
        <w:rPr>
          <w:spacing w:val="2"/>
        </w:rPr>
        <w:t xml:space="preserve"> </w:t>
      </w:r>
      <w:r>
        <w:rPr>
          <w:spacing w:val="-1"/>
        </w:rPr>
        <w:t>List</w:t>
      </w:r>
      <w:r>
        <w:rPr>
          <w:spacing w:val="5"/>
        </w:rPr>
        <w:t xml:space="preserve"> </w:t>
      </w:r>
      <w:r>
        <w:rPr>
          <w:spacing w:val="-1"/>
        </w:rPr>
        <w:t>at</w:t>
      </w:r>
      <w:r>
        <w:rPr>
          <w:spacing w:val="4"/>
        </w:rPr>
        <w:t xml:space="preserve"> </w:t>
      </w:r>
      <w:r>
        <w:rPr>
          <w:spacing w:val="-1"/>
        </w:rPr>
        <w:t>such</w:t>
      </w:r>
      <w:r>
        <w:rPr>
          <w:spacing w:val="3"/>
        </w:rPr>
        <w:t xml:space="preserve"> </w:t>
      </w:r>
      <w:r>
        <w:rPr>
          <w:spacing w:val="-1"/>
        </w:rPr>
        <w:t>intervals</w:t>
      </w:r>
      <w:r>
        <w:rPr>
          <w:spacing w:val="6"/>
        </w:rPr>
        <w:t xml:space="preserve"> </w:t>
      </w:r>
      <w:r>
        <w:rPr>
          <w:spacing w:val="-1"/>
        </w:rPr>
        <w:t>as</w:t>
      </w:r>
      <w:r>
        <w:rPr>
          <w:spacing w:val="3"/>
        </w:rPr>
        <w:t xml:space="preserve"> </w:t>
      </w:r>
      <w:r>
        <w:rPr>
          <w:spacing w:val="-1"/>
        </w:rPr>
        <w:t>are</w:t>
      </w:r>
      <w:r>
        <w:rPr>
          <w:spacing w:val="3"/>
        </w:rPr>
        <w:t xml:space="preserve"> </w:t>
      </w:r>
      <w:r>
        <w:rPr>
          <w:spacing w:val="-1"/>
        </w:rPr>
        <w:t>reasonably</w:t>
      </w:r>
      <w:r>
        <w:rPr>
          <w:spacing w:val="49"/>
        </w:rPr>
        <w:t xml:space="preserve"> </w:t>
      </w:r>
      <w:r>
        <w:rPr>
          <w:spacing w:val="-1"/>
        </w:rPr>
        <w:t>requested</w:t>
      </w:r>
      <w:r>
        <w:rPr>
          <w:spacing w:val="-2"/>
        </w:rPr>
        <w:t xml:space="preserve"> </w:t>
      </w:r>
      <w:r>
        <w:rPr>
          <w:spacing w:val="-1"/>
        </w:rPr>
        <w:t>by</w:t>
      </w:r>
      <w:r>
        <w:rPr>
          <w:spacing w:val="-2"/>
        </w:rPr>
        <w:t xml:space="preserve"> </w:t>
      </w:r>
      <w:r>
        <w:t>the</w:t>
      </w:r>
      <w:r>
        <w:rPr>
          <w:spacing w:val="-2"/>
        </w:rPr>
        <w:t xml:space="preserve"> </w:t>
      </w:r>
      <w:r>
        <w:rPr>
          <w:spacing w:val="-1"/>
        </w:rPr>
        <w:t>Customer.</w:t>
      </w:r>
    </w:p>
    <w:p w:rsidR="008918FA" w:rsidRDefault="008918FA" w:rsidP="008918FA">
      <w:pPr>
        <w:pStyle w:val="BodyText"/>
        <w:numPr>
          <w:ilvl w:val="1"/>
          <w:numId w:val="7"/>
        </w:numPr>
        <w:tabs>
          <w:tab w:val="left" w:pos="829"/>
        </w:tabs>
        <w:ind w:right="113"/>
        <w:jc w:val="both"/>
      </w:pPr>
      <w:bookmarkStart w:id="477" w:name="_bookmark395"/>
      <w:bookmarkEnd w:id="477"/>
      <w:r>
        <w:rPr>
          <w:spacing w:val="-1"/>
        </w:rPr>
        <w:t>At</w:t>
      </w:r>
      <w:r>
        <w:rPr>
          <w:spacing w:val="16"/>
        </w:rPr>
        <w:t xml:space="preserve"> </w:t>
      </w:r>
      <w:r>
        <w:rPr>
          <w:spacing w:val="-1"/>
        </w:rPr>
        <w:t>least</w:t>
      </w:r>
      <w:r>
        <w:rPr>
          <w:spacing w:val="17"/>
        </w:rPr>
        <w:t xml:space="preserve"> </w:t>
      </w:r>
      <w:r>
        <w:rPr>
          <w:spacing w:val="-1"/>
        </w:rPr>
        <w:t>twenty</w:t>
      </w:r>
      <w:r>
        <w:rPr>
          <w:spacing w:val="13"/>
        </w:rPr>
        <w:t xml:space="preserve"> </w:t>
      </w:r>
      <w:r>
        <w:rPr>
          <w:spacing w:val="-1"/>
        </w:rPr>
        <w:t>(20)</w:t>
      </w:r>
      <w:r>
        <w:rPr>
          <w:spacing w:val="-3"/>
        </w:rPr>
        <w:t xml:space="preserve"> </w:t>
      </w:r>
      <w:r>
        <w:rPr>
          <w:spacing w:val="-1"/>
        </w:rPr>
        <w:t>Working</w:t>
      </w:r>
      <w:r>
        <w:rPr>
          <w:spacing w:val="17"/>
        </w:rPr>
        <w:t xml:space="preserve"> </w:t>
      </w:r>
      <w:r>
        <w:rPr>
          <w:spacing w:val="-2"/>
        </w:rPr>
        <w:t>Days</w:t>
      </w:r>
      <w:r>
        <w:rPr>
          <w:spacing w:val="15"/>
        </w:rPr>
        <w:t xml:space="preserve"> </w:t>
      </w:r>
      <w:r>
        <w:rPr>
          <w:spacing w:val="-1"/>
        </w:rPr>
        <w:t>prior</w:t>
      </w:r>
      <w:r>
        <w:rPr>
          <w:spacing w:val="16"/>
        </w:rPr>
        <w:t xml:space="preserve"> </w:t>
      </w:r>
      <w:r>
        <w:t>to</w:t>
      </w:r>
      <w:r>
        <w:rPr>
          <w:spacing w:val="15"/>
        </w:rPr>
        <w:t xml:space="preserve"> </w:t>
      </w:r>
      <w:r>
        <w:t>the</w:t>
      </w:r>
      <w:r>
        <w:rPr>
          <w:spacing w:val="15"/>
        </w:rPr>
        <w:t xml:space="preserve"> </w:t>
      </w:r>
      <w:r>
        <w:rPr>
          <w:spacing w:val="-2"/>
        </w:rPr>
        <w:t>Service</w:t>
      </w:r>
      <w:r>
        <w:rPr>
          <w:spacing w:val="15"/>
        </w:rPr>
        <w:t xml:space="preserve"> </w:t>
      </w:r>
      <w:r>
        <w:rPr>
          <w:spacing w:val="-1"/>
        </w:rPr>
        <w:t>Transfer</w:t>
      </w:r>
      <w:r>
        <w:rPr>
          <w:spacing w:val="16"/>
        </w:rPr>
        <w:t xml:space="preserve"> </w:t>
      </w:r>
      <w:r>
        <w:rPr>
          <w:spacing w:val="-1"/>
        </w:rPr>
        <w:t>Date,</w:t>
      </w:r>
      <w:r>
        <w:rPr>
          <w:spacing w:val="16"/>
        </w:rPr>
        <w:t xml:space="preserve"> </w:t>
      </w:r>
      <w:r>
        <w:rPr>
          <w:spacing w:val="-1"/>
        </w:rPr>
        <w:t>the</w:t>
      </w:r>
      <w:r>
        <w:rPr>
          <w:spacing w:val="15"/>
        </w:rPr>
        <w:t xml:space="preserve"> </w:t>
      </w:r>
      <w:r>
        <w:rPr>
          <w:spacing w:val="-2"/>
        </w:rPr>
        <w:t>Supplier</w:t>
      </w:r>
      <w:r>
        <w:rPr>
          <w:spacing w:val="70"/>
        </w:rPr>
        <w:t xml:space="preserve"> </w:t>
      </w:r>
      <w:r>
        <w:rPr>
          <w:spacing w:val="-1"/>
        </w:rPr>
        <w:t>shall</w:t>
      </w:r>
      <w:r>
        <w:rPr>
          <w:spacing w:val="30"/>
        </w:rPr>
        <w:t xml:space="preserve"> </w:t>
      </w:r>
      <w:r>
        <w:rPr>
          <w:spacing w:val="-1"/>
        </w:rPr>
        <w:t>provide</w:t>
      </w:r>
      <w:r>
        <w:rPr>
          <w:spacing w:val="30"/>
        </w:rPr>
        <w:t xml:space="preserve"> </w:t>
      </w:r>
      <w:r>
        <w:t>to</w:t>
      </w:r>
      <w:r>
        <w:rPr>
          <w:spacing w:val="30"/>
        </w:rPr>
        <w:t xml:space="preserve"> </w:t>
      </w:r>
      <w:r>
        <w:t>the</w:t>
      </w:r>
      <w:r>
        <w:rPr>
          <w:spacing w:val="30"/>
        </w:rPr>
        <w:t xml:space="preserve"> </w:t>
      </w:r>
      <w:r>
        <w:rPr>
          <w:spacing w:val="-1"/>
        </w:rPr>
        <w:t>Customer</w:t>
      </w:r>
      <w:r>
        <w:rPr>
          <w:spacing w:val="32"/>
        </w:rPr>
        <w:t xml:space="preserve"> </w:t>
      </w:r>
      <w:r>
        <w:rPr>
          <w:spacing w:val="-1"/>
        </w:rPr>
        <w:t>or</w:t>
      </w:r>
      <w:r>
        <w:rPr>
          <w:spacing w:val="32"/>
        </w:rPr>
        <w:t xml:space="preserve"> </w:t>
      </w:r>
      <w:r>
        <w:rPr>
          <w:spacing w:val="-1"/>
        </w:rPr>
        <w:t>at</w:t>
      </w:r>
      <w:r>
        <w:rPr>
          <w:spacing w:val="32"/>
        </w:rPr>
        <w:t xml:space="preserve"> </w:t>
      </w:r>
      <w:r>
        <w:t>the</w:t>
      </w:r>
      <w:r>
        <w:rPr>
          <w:spacing w:val="31"/>
        </w:rPr>
        <w:t xml:space="preserve"> </w:t>
      </w:r>
      <w:r>
        <w:rPr>
          <w:spacing w:val="-1"/>
        </w:rPr>
        <w:t>direction</w:t>
      </w:r>
      <w:r>
        <w:rPr>
          <w:spacing w:val="30"/>
        </w:rPr>
        <w:t xml:space="preserve"> </w:t>
      </w:r>
      <w:r>
        <w:rPr>
          <w:spacing w:val="-2"/>
        </w:rPr>
        <w:t>of</w:t>
      </w:r>
      <w:r>
        <w:rPr>
          <w:spacing w:val="34"/>
        </w:rPr>
        <w:t xml:space="preserve"> </w:t>
      </w:r>
      <w:r>
        <w:t>the</w:t>
      </w:r>
      <w:r>
        <w:rPr>
          <w:spacing w:val="30"/>
        </w:rPr>
        <w:t xml:space="preserve"> </w:t>
      </w:r>
      <w:r>
        <w:rPr>
          <w:spacing w:val="-2"/>
        </w:rPr>
        <w:t>Customer</w:t>
      </w:r>
      <w:r>
        <w:rPr>
          <w:spacing w:val="32"/>
        </w:rPr>
        <w:t xml:space="preserve"> </w:t>
      </w:r>
      <w:r>
        <w:t>to</w:t>
      </w:r>
      <w:r>
        <w:rPr>
          <w:spacing w:val="30"/>
        </w:rPr>
        <w:t xml:space="preserve"> </w:t>
      </w:r>
      <w:r>
        <w:rPr>
          <w:spacing w:val="-1"/>
        </w:rPr>
        <w:t>any</w:t>
      </w:r>
      <w:r>
        <w:rPr>
          <w:spacing w:val="38"/>
        </w:rPr>
        <w:t xml:space="preserve"> </w:t>
      </w:r>
      <w:r>
        <w:rPr>
          <w:spacing w:val="-1"/>
        </w:rPr>
        <w:t>Replacement</w:t>
      </w:r>
      <w:r>
        <w:rPr>
          <w:spacing w:val="2"/>
        </w:rPr>
        <w:t xml:space="preserve"> </w:t>
      </w:r>
      <w:r>
        <w:rPr>
          <w:spacing w:val="-2"/>
        </w:rPr>
        <w:t>Supplier</w:t>
      </w:r>
      <w:r>
        <w:rPr>
          <w:spacing w:val="-1"/>
        </w:rPr>
        <w:t xml:space="preserve"> and/or any</w:t>
      </w:r>
      <w:r>
        <w:rPr>
          <w:spacing w:val="-2"/>
        </w:rPr>
        <w:t xml:space="preserve"> </w:t>
      </w:r>
      <w:r>
        <w:rPr>
          <w:spacing w:val="-1"/>
        </w:rPr>
        <w:t>Replacement Sub-Contractor:</w:t>
      </w:r>
    </w:p>
    <w:p w:rsidR="008918FA" w:rsidRDefault="008918FA" w:rsidP="008918FA">
      <w:pPr>
        <w:pStyle w:val="BodyText"/>
        <w:numPr>
          <w:ilvl w:val="2"/>
          <w:numId w:val="7"/>
        </w:numPr>
        <w:tabs>
          <w:tab w:val="left" w:pos="2027"/>
        </w:tabs>
        <w:spacing w:before="121"/>
        <w:ind w:right="118"/>
        <w:jc w:val="both"/>
      </w:pPr>
      <w:r>
        <w:t>the</w:t>
      </w:r>
      <w:r>
        <w:rPr>
          <w:spacing w:val="41"/>
        </w:rPr>
        <w:t xml:space="preserve"> </w:t>
      </w:r>
      <w:r>
        <w:rPr>
          <w:spacing w:val="-1"/>
        </w:rPr>
        <w:t>Supplier's</w:t>
      </w:r>
      <w:r>
        <w:rPr>
          <w:spacing w:val="39"/>
        </w:rPr>
        <w:t xml:space="preserve"> </w:t>
      </w:r>
      <w:r>
        <w:rPr>
          <w:spacing w:val="-1"/>
        </w:rPr>
        <w:t>Final</w:t>
      </w:r>
      <w:r>
        <w:rPr>
          <w:spacing w:val="40"/>
        </w:rPr>
        <w:t xml:space="preserve"> </w:t>
      </w:r>
      <w:r>
        <w:rPr>
          <w:spacing w:val="-1"/>
        </w:rPr>
        <w:t>Personnel</w:t>
      </w:r>
      <w:r>
        <w:rPr>
          <w:spacing w:val="40"/>
        </w:rPr>
        <w:t xml:space="preserve"> </w:t>
      </w:r>
      <w:r>
        <w:rPr>
          <w:spacing w:val="-1"/>
        </w:rPr>
        <w:t>List,</w:t>
      </w:r>
      <w:r>
        <w:rPr>
          <w:spacing w:val="42"/>
        </w:rPr>
        <w:t xml:space="preserve"> </w:t>
      </w:r>
      <w:r>
        <w:rPr>
          <w:spacing w:val="-2"/>
        </w:rPr>
        <w:t>which</w:t>
      </w:r>
      <w:r>
        <w:rPr>
          <w:spacing w:val="41"/>
        </w:rPr>
        <w:t xml:space="preserve"> </w:t>
      </w:r>
      <w:r>
        <w:rPr>
          <w:spacing w:val="-1"/>
        </w:rPr>
        <w:t>shall</w:t>
      </w:r>
      <w:r>
        <w:rPr>
          <w:spacing w:val="41"/>
        </w:rPr>
        <w:t xml:space="preserve"> </w:t>
      </w:r>
      <w:r>
        <w:rPr>
          <w:spacing w:val="-1"/>
        </w:rPr>
        <w:t>identify</w:t>
      </w:r>
      <w:r>
        <w:rPr>
          <w:spacing w:val="39"/>
        </w:rPr>
        <w:t xml:space="preserve"> </w:t>
      </w:r>
      <w:r>
        <w:rPr>
          <w:spacing w:val="-2"/>
        </w:rPr>
        <w:t>which</w:t>
      </w:r>
      <w:r>
        <w:rPr>
          <w:spacing w:val="41"/>
        </w:rPr>
        <w:t xml:space="preserve"> </w:t>
      </w:r>
      <w:r>
        <w:rPr>
          <w:spacing w:val="-1"/>
        </w:rPr>
        <w:t>of</w:t>
      </w:r>
      <w:r>
        <w:rPr>
          <w:spacing w:val="42"/>
        </w:rPr>
        <w:t xml:space="preserve"> </w:t>
      </w:r>
      <w:r>
        <w:rPr>
          <w:spacing w:val="-1"/>
        </w:rPr>
        <w:t>the</w:t>
      </w:r>
      <w:r>
        <w:rPr>
          <w:spacing w:val="32"/>
        </w:rPr>
        <w:t xml:space="preserve"> </w:t>
      </w:r>
      <w:r>
        <w:rPr>
          <w:spacing w:val="-2"/>
        </w:rPr>
        <w:t>Supplier</w:t>
      </w:r>
      <w:r>
        <w:rPr>
          <w:spacing w:val="2"/>
        </w:rPr>
        <w:t xml:space="preserve"> </w:t>
      </w:r>
      <w:r>
        <w:rPr>
          <w:spacing w:val="-1"/>
        </w:rPr>
        <w:t>Personnel</w:t>
      </w:r>
      <w:r>
        <w:t xml:space="preserve"> </w:t>
      </w:r>
      <w:r>
        <w:rPr>
          <w:spacing w:val="-1"/>
        </w:rPr>
        <w:t>are</w:t>
      </w:r>
      <w:r>
        <w:rPr>
          <w:spacing w:val="-4"/>
        </w:rPr>
        <w:t xml:space="preserve"> </w:t>
      </w:r>
      <w:r>
        <w:rPr>
          <w:spacing w:val="-1"/>
        </w:rPr>
        <w:t>Transferring</w:t>
      </w:r>
      <w:r>
        <w:rPr>
          <w:spacing w:val="3"/>
        </w:rPr>
        <w:t xml:space="preserve"> </w:t>
      </w:r>
      <w:r>
        <w:rPr>
          <w:spacing w:val="-2"/>
        </w:rPr>
        <w:t>Supplier</w:t>
      </w:r>
      <w:r>
        <w:rPr>
          <w:spacing w:val="-1"/>
        </w:rPr>
        <w:t xml:space="preserve"> </w:t>
      </w:r>
      <w:r>
        <w:rPr>
          <w:spacing w:val="-2"/>
        </w:rPr>
        <w:t>Employees;</w:t>
      </w:r>
      <w:r>
        <w:rPr>
          <w:spacing w:val="2"/>
        </w:rPr>
        <w:t xml:space="preserve"> </w:t>
      </w:r>
      <w:r>
        <w:rPr>
          <w:spacing w:val="-1"/>
        </w:rPr>
        <w:t>and</w:t>
      </w:r>
    </w:p>
    <w:p w:rsidR="008918FA" w:rsidRDefault="008918FA" w:rsidP="008918FA">
      <w:pPr>
        <w:pStyle w:val="BodyText"/>
        <w:numPr>
          <w:ilvl w:val="2"/>
          <w:numId w:val="7"/>
        </w:numPr>
        <w:tabs>
          <w:tab w:val="left" w:pos="2027"/>
        </w:tabs>
        <w:ind w:right="115"/>
        <w:jc w:val="both"/>
      </w:pPr>
      <w:r>
        <w:t xml:space="preserve">the </w:t>
      </w:r>
      <w:r>
        <w:rPr>
          <w:spacing w:val="-1"/>
        </w:rPr>
        <w:t>Staffing</w:t>
      </w:r>
      <w:r>
        <w:t xml:space="preserve"> </w:t>
      </w:r>
      <w:r>
        <w:rPr>
          <w:spacing w:val="-1"/>
        </w:rPr>
        <w:t>Information</w:t>
      </w:r>
      <w:r>
        <w:rPr>
          <w:spacing w:val="-2"/>
        </w:rPr>
        <w:t xml:space="preserve"> </w:t>
      </w:r>
      <w:r>
        <w:rPr>
          <w:spacing w:val="-1"/>
        </w:rPr>
        <w:t>in</w:t>
      </w:r>
      <w:r>
        <w:t xml:space="preserve"> </w:t>
      </w:r>
      <w:r>
        <w:rPr>
          <w:spacing w:val="-1"/>
        </w:rPr>
        <w:t>relation</w:t>
      </w:r>
      <w:r>
        <w:rPr>
          <w:spacing w:val="-2"/>
        </w:rPr>
        <w:t xml:space="preserve"> </w:t>
      </w:r>
      <w:r>
        <w:t>to</w:t>
      </w:r>
      <w:r>
        <w:rPr>
          <w:spacing w:val="-2"/>
        </w:rPr>
        <w:t xml:space="preserve"> </w:t>
      </w:r>
      <w:r>
        <w:t xml:space="preserve">the </w:t>
      </w:r>
      <w:r>
        <w:rPr>
          <w:spacing w:val="-2"/>
        </w:rPr>
        <w:t>Supplier’s</w:t>
      </w:r>
      <w:r>
        <w:rPr>
          <w:spacing w:val="1"/>
        </w:rPr>
        <w:t xml:space="preserve"> </w:t>
      </w:r>
      <w:r>
        <w:rPr>
          <w:spacing w:val="-1"/>
        </w:rPr>
        <w:t>Final</w:t>
      </w:r>
      <w:r>
        <w:t xml:space="preserve"> </w:t>
      </w:r>
      <w:r>
        <w:rPr>
          <w:spacing w:val="-1"/>
        </w:rPr>
        <w:t>Personnel</w:t>
      </w:r>
      <w:r>
        <w:t xml:space="preserve"> </w:t>
      </w:r>
      <w:r>
        <w:rPr>
          <w:spacing w:val="-2"/>
        </w:rPr>
        <w:t>List</w:t>
      </w:r>
      <w:r>
        <w:rPr>
          <w:spacing w:val="44"/>
        </w:rPr>
        <w:t xml:space="preserve"> </w:t>
      </w:r>
      <w:r>
        <w:rPr>
          <w:spacing w:val="-1"/>
        </w:rPr>
        <w:t>(insofar as</w:t>
      </w:r>
      <w:r>
        <w:rPr>
          <w:spacing w:val="-2"/>
        </w:rPr>
        <w:t xml:space="preserve"> </w:t>
      </w:r>
      <w:r>
        <w:rPr>
          <w:spacing w:val="-1"/>
        </w:rPr>
        <w:t>such</w:t>
      </w:r>
      <w:r>
        <w:rPr>
          <w:spacing w:val="1"/>
        </w:rPr>
        <w:t xml:space="preserve"> </w:t>
      </w:r>
      <w:r>
        <w:rPr>
          <w:spacing w:val="-2"/>
        </w:rPr>
        <w:t>information</w:t>
      </w:r>
      <w:r>
        <w:t xml:space="preserve"> </w:t>
      </w:r>
      <w:r>
        <w:rPr>
          <w:spacing w:val="-1"/>
        </w:rPr>
        <w:t>has</w:t>
      </w:r>
      <w:r>
        <w:rPr>
          <w:spacing w:val="1"/>
        </w:rPr>
        <w:t xml:space="preserve"> </w:t>
      </w:r>
      <w:r>
        <w:rPr>
          <w:spacing w:val="-1"/>
        </w:rPr>
        <w:t>not</w:t>
      </w:r>
      <w:r>
        <w:t xml:space="preserve"> </w:t>
      </w:r>
      <w:r>
        <w:rPr>
          <w:spacing w:val="-1"/>
        </w:rPr>
        <w:t>previously</w:t>
      </w:r>
      <w:r>
        <w:rPr>
          <w:spacing w:val="-2"/>
        </w:rPr>
        <w:t xml:space="preserve"> </w:t>
      </w:r>
      <w:r>
        <w:rPr>
          <w:spacing w:val="-1"/>
        </w:rPr>
        <w:t>been</w:t>
      </w:r>
      <w:r>
        <w:t xml:space="preserve"> </w:t>
      </w:r>
      <w:r>
        <w:rPr>
          <w:spacing w:val="-1"/>
        </w:rPr>
        <w:t>provided).</w:t>
      </w:r>
    </w:p>
    <w:p w:rsidR="008918FA" w:rsidRDefault="008918FA" w:rsidP="008918FA">
      <w:pPr>
        <w:pStyle w:val="BodyText"/>
        <w:numPr>
          <w:ilvl w:val="1"/>
          <w:numId w:val="7"/>
        </w:numPr>
        <w:tabs>
          <w:tab w:val="left" w:pos="829"/>
        </w:tabs>
        <w:ind w:right="112"/>
        <w:jc w:val="both"/>
      </w:pPr>
      <w:r>
        <w:t>The</w:t>
      </w:r>
      <w:r>
        <w:rPr>
          <w:spacing w:val="22"/>
        </w:rPr>
        <w:t xml:space="preserve"> </w:t>
      </w:r>
      <w:r>
        <w:rPr>
          <w:spacing w:val="-2"/>
        </w:rPr>
        <w:t>Customer</w:t>
      </w:r>
      <w:r>
        <w:rPr>
          <w:spacing w:val="23"/>
        </w:rPr>
        <w:t xml:space="preserve"> </w:t>
      </w:r>
      <w:r>
        <w:rPr>
          <w:spacing w:val="-1"/>
        </w:rPr>
        <w:t>shall</w:t>
      </w:r>
      <w:r>
        <w:rPr>
          <w:spacing w:val="21"/>
        </w:rPr>
        <w:t xml:space="preserve"> </w:t>
      </w:r>
      <w:r>
        <w:rPr>
          <w:spacing w:val="-1"/>
        </w:rPr>
        <w:t>be</w:t>
      </w:r>
      <w:r>
        <w:rPr>
          <w:spacing w:val="21"/>
        </w:rPr>
        <w:t xml:space="preserve"> </w:t>
      </w:r>
      <w:r>
        <w:rPr>
          <w:spacing w:val="-1"/>
        </w:rPr>
        <w:t>permitted</w:t>
      </w:r>
      <w:r>
        <w:rPr>
          <w:spacing w:val="20"/>
        </w:rPr>
        <w:t xml:space="preserve"> </w:t>
      </w:r>
      <w:r>
        <w:t>to</w:t>
      </w:r>
      <w:r>
        <w:rPr>
          <w:spacing w:val="22"/>
        </w:rPr>
        <w:t xml:space="preserve"> </w:t>
      </w:r>
      <w:r>
        <w:rPr>
          <w:spacing w:val="-1"/>
        </w:rPr>
        <w:t>use</w:t>
      </w:r>
      <w:r>
        <w:rPr>
          <w:spacing w:val="22"/>
        </w:rPr>
        <w:t xml:space="preserve"> </w:t>
      </w:r>
      <w:r>
        <w:rPr>
          <w:spacing w:val="-1"/>
        </w:rPr>
        <w:t>and</w:t>
      </w:r>
      <w:r>
        <w:rPr>
          <w:spacing w:val="22"/>
        </w:rPr>
        <w:t xml:space="preserve"> </w:t>
      </w:r>
      <w:r>
        <w:rPr>
          <w:spacing w:val="-2"/>
        </w:rPr>
        <w:t>disclose</w:t>
      </w:r>
      <w:r>
        <w:rPr>
          <w:spacing w:val="22"/>
        </w:rPr>
        <w:t xml:space="preserve"> </w:t>
      </w:r>
      <w:r>
        <w:rPr>
          <w:spacing w:val="-1"/>
        </w:rPr>
        <w:t>information</w:t>
      </w:r>
      <w:r>
        <w:rPr>
          <w:spacing w:val="22"/>
        </w:rPr>
        <w:t xml:space="preserve"> </w:t>
      </w:r>
      <w:r>
        <w:rPr>
          <w:spacing w:val="-2"/>
        </w:rPr>
        <w:t>provided</w:t>
      </w:r>
      <w:r>
        <w:rPr>
          <w:spacing w:val="22"/>
        </w:rPr>
        <w:t xml:space="preserve"> </w:t>
      </w:r>
      <w:r>
        <w:rPr>
          <w:spacing w:val="-1"/>
        </w:rPr>
        <w:t>by</w:t>
      </w:r>
      <w:r>
        <w:rPr>
          <w:spacing w:val="20"/>
        </w:rPr>
        <w:t xml:space="preserve"> </w:t>
      </w:r>
      <w:r>
        <w:rPr>
          <w:spacing w:val="-1"/>
        </w:rPr>
        <w:t>the</w:t>
      </w:r>
      <w:r>
        <w:rPr>
          <w:spacing w:val="72"/>
        </w:rPr>
        <w:t xml:space="preserve"> </w:t>
      </w:r>
      <w:r>
        <w:rPr>
          <w:spacing w:val="-2"/>
        </w:rPr>
        <w:t>Supplier</w:t>
      </w:r>
      <w:r>
        <w:rPr>
          <w:spacing w:val="23"/>
        </w:rPr>
        <w:t xml:space="preserve"> </w:t>
      </w:r>
      <w:r>
        <w:rPr>
          <w:spacing w:val="-1"/>
        </w:rPr>
        <w:t>under</w:t>
      </w:r>
      <w:r>
        <w:rPr>
          <w:spacing w:val="24"/>
        </w:rPr>
        <w:t xml:space="preserve"> </w:t>
      </w:r>
      <w:r>
        <w:rPr>
          <w:spacing w:val="-1"/>
        </w:rPr>
        <w:t>paragraphs</w:t>
      </w:r>
      <w:r>
        <w:rPr>
          <w:spacing w:val="1"/>
        </w:rPr>
        <w:t xml:space="preserve"> </w:t>
      </w:r>
      <w:hyperlink w:anchor="_bookmark394" w:history="1">
        <w:r>
          <w:t>1.1</w:t>
        </w:r>
      </w:hyperlink>
      <w:r>
        <w:rPr>
          <w:spacing w:val="22"/>
        </w:rPr>
        <w:t xml:space="preserve"> </w:t>
      </w:r>
      <w:r>
        <w:rPr>
          <w:spacing w:val="-1"/>
        </w:rPr>
        <w:t>and</w:t>
      </w:r>
      <w:r>
        <w:rPr>
          <w:spacing w:val="22"/>
        </w:rPr>
        <w:t xml:space="preserve"> </w:t>
      </w:r>
      <w:hyperlink w:anchor="_bookmark395" w:history="1">
        <w:r>
          <w:rPr>
            <w:spacing w:val="-1"/>
          </w:rPr>
          <w:t>1.2</w:t>
        </w:r>
      </w:hyperlink>
      <w:r>
        <w:rPr>
          <w:spacing w:val="22"/>
        </w:rPr>
        <w:t xml:space="preserve"> </w:t>
      </w:r>
      <w:r>
        <w:rPr>
          <w:spacing w:val="-2"/>
        </w:rPr>
        <w:t>of</w:t>
      </w:r>
      <w:r>
        <w:rPr>
          <w:spacing w:val="26"/>
        </w:rPr>
        <w:t xml:space="preserve"> </w:t>
      </w:r>
      <w:r>
        <w:rPr>
          <w:spacing w:val="-1"/>
        </w:rPr>
        <w:t>Part</w:t>
      </w:r>
      <w:r>
        <w:rPr>
          <w:spacing w:val="23"/>
        </w:rPr>
        <w:t xml:space="preserve"> </w:t>
      </w:r>
      <w:r>
        <w:t>D</w:t>
      </w:r>
      <w:r>
        <w:rPr>
          <w:spacing w:val="19"/>
        </w:rPr>
        <w:t xml:space="preserve"> </w:t>
      </w:r>
      <w:r>
        <w:rPr>
          <w:spacing w:val="-2"/>
        </w:rPr>
        <w:t>of</w:t>
      </w:r>
      <w:r>
        <w:rPr>
          <w:spacing w:val="26"/>
        </w:rPr>
        <w:t xml:space="preserve"> </w:t>
      </w:r>
      <w:r>
        <w:rPr>
          <w:spacing w:val="-1"/>
        </w:rPr>
        <w:t>this</w:t>
      </w:r>
      <w:r>
        <w:rPr>
          <w:spacing w:val="22"/>
        </w:rPr>
        <w:t xml:space="preserve"> </w:t>
      </w:r>
      <w:r>
        <w:rPr>
          <w:spacing w:val="-2"/>
        </w:rPr>
        <w:t>Call</w:t>
      </w:r>
      <w:r>
        <w:rPr>
          <w:spacing w:val="21"/>
        </w:rPr>
        <w:t xml:space="preserve"> </w:t>
      </w:r>
      <w:r>
        <w:rPr>
          <w:spacing w:val="-1"/>
        </w:rPr>
        <w:t>Off</w:t>
      </w:r>
      <w:r>
        <w:rPr>
          <w:spacing w:val="23"/>
        </w:rPr>
        <w:t xml:space="preserve"> </w:t>
      </w:r>
      <w:r>
        <w:rPr>
          <w:spacing w:val="-2"/>
        </w:rPr>
        <w:t>Schedule</w:t>
      </w:r>
      <w:r>
        <w:rPr>
          <w:spacing w:val="21"/>
        </w:rPr>
        <w:t xml:space="preserve"> </w:t>
      </w:r>
      <w:r>
        <w:t>for</w:t>
      </w:r>
      <w:r>
        <w:rPr>
          <w:spacing w:val="21"/>
        </w:rPr>
        <w:t xml:space="preserve"> </w:t>
      </w:r>
      <w:r>
        <w:rPr>
          <w:spacing w:val="-1"/>
        </w:rPr>
        <w:t>the</w:t>
      </w:r>
      <w:r>
        <w:rPr>
          <w:spacing w:val="62"/>
        </w:rPr>
        <w:t xml:space="preserve"> </w:t>
      </w:r>
      <w:r>
        <w:rPr>
          <w:spacing w:val="-1"/>
        </w:rPr>
        <w:t>purpose</w:t>
      </w:r>
      <w:r>
        <w:rPr>
          <w:spacing w:val="30"/>
        </w:rPr>
        <w:t xml:space="preserve"> </w:t>
      </w:r>
      <w:r>
        <w:rPr>
          <w:spacing w:val="-2"/>
        </w:rPr>
        <w:t>of</w:t>
      </w:r>
      <w:r>
        <w:rPr>
          <w:spacing w:val="33"/>
        </w:rPr>
        <w:t xml:space="preserve"> </w:t>
      </w:r>
      <w:r>
        <w:rPr>
          <w:spacing w:val="-2"/>
        </w:rPr>
        <w:t>informing</w:t>
      </w:r>
      <w:r>
        <w:rPr>
          <w:spacing w:val="31"/>
        </w:rPr>
        <w:t xml:space="preserve"> </w:t>
      </w:r>
      <w:r>
        <w:rPr>
          <w:spacing w:val="-1"/>
        </w:rPr>
        <w:t>any</w:t>
      </w:r>
      <w:r>
        <w:rPr>
          <w:spacing w:val="27"/>
        </w:rPr>
        <w:t xml:space="preserve"> </w:t>
      </w:r>
      <w:r>
        <w:rPr>
          <w:spacing w:val="-1"/>
        </w:rPr>
        <w:t>prospective</w:t>
      </w:r>
      <w:r>
        <w:rPr>
          <w:spacing w:val="29"/>
        </w:rPr>
        <w:t xml:space="preserve"> </w:t>
      </w:r>
      <w:r>
        <w:rPr>
          <w:spacing w:val="-1"/>
        </w:rPr>
        <w:t>Replacement</w:t>
      </w:r>
      <w:r>
        <w:rPr>
          <w:spacing w:val="30"/>
        </w:rPr>
        <w:t xml:space="preserve"> </w:t>
      </w:r>
      <w:r>
        <w:rPr>
          <w:spacing w:val="-2"/>
        </w:rPr>
        <w:t>Supplier</w:t>
      </w:r>
      <w:r>
        <w:rPr>
          <w:spacing w:val="30"/>
        </w:rPr>
        <w:t xml:space="preserve"> </w:t>
      </w:r>
      <w:r>
        <w:rPr>
          <w:spacing w:val="-1"/>
        </w:rPr>
        <w:t>and/or</w:t>
      </w:r>
      <w:r>
        <w:rPr>
          <w:spacing w:val="30"/>
        </w:rPr>
        <w:t xml:space="preserve"> </w:t>
      </w:r>
      <w:r>
        <w:rPr>
          <w:spacing w:val="-2"/>
        </w:rPr>
        <w:t>Replacement</w:t>
      </w:r>
      <w:r>
        <w:rPr>
          <w:spacing w:val="77"/>
        </w:rPr>
        <w:t xml:space="preserve"> </w:t>
      </w:r>
      <w:r>
        <w:rPr>
          <w:spacing w:val="-1"/>
        </w:rPr>
        <w:t>Sub-Contractor.</w:t>
      </w:r>
    </w:p>
    <w:p w:rsidR="008918FA" w:rsidRDefault="008918FA" w:rsidP="008918FA">
      <w:pPr>
        <w:pStyle w:val="BodyText"/>
        <w:numPr>
          <w:ilvl w:val="1"/>
          <w:numId w:val="7"/>
        </w:numPr>
        <w:tabs>
          <w:tab w:val="left" w:pos="829"/>
        </w:tabs>
        <w:spacing w:before="121"/>
        <w:ind w:right="112"/>
        <w:jc w:val="both"/>
      </w:pPr>
      <w:bookmarkStart w:id="478" w:name="_bookmark396"/>
      <w:bookmarkEnd w:id="478"/>
      <w:r>
        <w:t>The</w:t>
      </w:r>
      <w:r>
        <w:rPr>
          <w:spacing w:val="10"/>
        </w:rPr>
        <w:t xml:space="preserve"> </w:t>
      </w:r>
      <w:r>
        <w:rPr>
          <w:spacing w:val="-2"/>
        </w:rPr>
        <w:t>Supplier</w:t>
      </w:r>
      <w:r>
        <w:rPr>
          <w:spacing w:val="11"/>
        </w:rPr>
        <w:t xml:space="preserve"> </w:t>
      </w:r>
      <w:r>
        <w:rPr>
          <w:spacing w:val="-1"/>
        </w:rPr>
        <w:t>warrants,</w:t>
      </w:r>
      <w:r>
        <w:rPr>
          <w:spacing w:val="7"/>
        </w:rPr>
        <w:t xml:space="preserve"> </w:t>
      </w:r>
      <w:r>
        <w:t>for</w:t>
      </w:r>
      <w:r>
        <w:rPr>
          <w:spacing w:val="11"/>
        </w:rPr>
        <w:t xml:space="preserve"> </w:t>
      </w:r>
      <w:r>
        <w:t>the</w:t>
      </w:r>
      <w:r>
        <w:rPr>
          <w:spacing w:val="7"/>
        </w:rPr>
        <w:t xml:space="preserve"> </w:t>
      </w:r>
      <w:r>
        <w:rPr>
          <w:spacing w:val="-1"/>
        </w:rPr>
        <w:t>benefit</w:t>
      </w:r>
      <w:r>
        <w:rPr>
          <w:spacing w:val="9"/>
        </w:rPr>
        <w:t xml:space="preserve"> </w:t>
      </w:r>
      <w:r>
        <w:rPr>
          <w:spacing w:val="-2"/>
        </w:rPr>
        <w:t>of</w:t>
      </w:r>
      <w:r>
        <w:rPr>
          <w:spacing w:val="11"/>
        </w:rPr>
        <w:t xml:space="preserve"> </w:t>
      </w:r>
      <w:r>
        <w:t>the</w:t>
      </w:r>
      <w:r>
        <w:rPr>
          <w:spacing w:val="10"/>
        </w:rPr>
        <w:t xml:space="preserve"> </w:t>
      </w:r>
      <w:r>
        <w:rPr>
          <w:spacing w:val="-1"/>
        </w:rPr>
        <w:t>Customer,</w:t>
      </w:r>
      <w:r>
        <w:rPr>
          <w:spacing w:val="11"/>
        </w:rPr>
        <w:t xml:space="preserve"> </w:t>
      </w:r>
      <w:r>
        <w:rPr>
          <w:spacing w:val="-2"/>
        </w:rPr>
        <w:t>any</w:t>
      </w:r>
      <w:r>
        <w:rPr>
          <w:spacing w:val="8"/>
        </w:rPr>
        <w:t xml:space="preserve"> </w:t>
      </w:r>
      <w:r>
        <w:rPr>
          <w:spacing w:val="-1"/>
        </w:rPr>
        <w:t>Replacement</w:t>
      </w:r>
      <w:r>
        <w:rPr>
          <w:spacing w:val="9"/>
        </w:rPr>
        <w:t xml:space="preserve"> </w:t>
      </w:r>
      <w:r>
        <w:rPr>
          <w:spacing w:val="-1"/>
        </w:rPr>
        <w:t>Supplier,</w:t>
      </w:r>
      <w:r>
        <w:rPr>
          <w:spacing w:val="33"/>
        </w:rPr>
        <w:t xml:space="preserve"> </w:t>
      </w:r>
      <w:r>
        <w:rPr>
          <w:spacing w:val="-1"/>
        </w:rPr>
        <w:t>and</w:t>
      </w:r>
      <w:r>
        <w:rPr>
          <w:spacing w:val="55"/>
        </w:rPr>
        <w:t xml:space="preserve"> </w:t>
      </w:r>
      <w:r>
        <w:rPr>
          <w:spacing w:val="-1"/>
        </w:rPr>
        <w:t>any</w:t>
      </w:r>
      <w:r>
        <w:rPr>
          <w:spacing w:val="53"/>
        </w:rPr>
        <w:t xml:space="preserve"> </w:t>
      </w:r>
      <w:r>
        <w:rPr>
          <w:spacing w:val="-1"/>
        </w:rPr>
        <w:t>Replacement</w:t>
      </w:r>
      <w:r>
        <w:rPr>
          <w:spacing w:val="55"/>
        </w:rPr>
        <w:t xml:space="preserve"> </w:t>
      </w:r>
      <w:r>
        <w:rPr>
          <w:spacing w:val="-1"/>
        </w:rPr>
        <w:t>Sub-Contractor</w:t>
      </w:r>
      <w:r>
        <w:rPr>
          <w:spacing w:val="54"/>
        </w:rPr>
        <w:t xml:space="preserve"> </w:t>
      </w:r>
      <w:r>
        <w:rPr>
          <w:spacing w:val="-1"/>
        </w:rPr>
        <w:t>that</w:t>
      </w:r>
      <w:r>
        <w:rPr>
          <w:spacing w:val="57"/>
        </w:rPr>
        <w:t xml:space="preserve"> </w:t>
      </w:r>
      <w:r>
        <w:rPr>
          <w:spacing w:val="-1"/>
        </w:rPr>
        <w:t>all</w:t>
      </w:r>
      <w:r>
        <w:rPr>
          <w:spacing w:val="55"/>
        </w:rPr>
        <w:t xml:space="preserve"> </w:t>
      </w:r>
      <w:r>
        <w:rPr>
          <w:spacing w:val="-1"/>
        </w:rPr>
        <w:t>information</w:t>
      </w:r>
      <w:r>
        <w:rPr>
          <w:spacing w:val="56"/>
        </w:rPr>
        <w:t xml:space="preserve"> </w:t>
      </w:r>
      <w:r>
        <w:rPr>
          <w:spacing w:val="-2"/>
        </w:rPr>
        <w:t>provided</w:t>
      </w:r>
      <w:r>
        <w:rPr>
          <w:spacing w:val="55"/>
        </w:rPr>
        <w:t xml:space="preserve"> </w:t>
      </w:r>
      <w:r>
        <w:rPr>
          <w:spacing w:val="-1"/>
        </w:rPr>
        <w:t>pursuant</w:t>
      </w:r>
      <w:r>
        <w:rPr>
          <w:spacing w:val="55"/>
        </w:rPr>
        <w:t xml:space="preserve"> </w:t>
      </w:r>
      <w:r>
        <w:rPr>
          <w:spacing w:val="-1"/>
        </w:rPr>
        <w:t>to</w:t>
      </w:r>
      <w:r>
        <w:rPr>
          <w:spacing w:val="43"/>
        </w:rPr>
        <w:t xml:space="preserve"> </w:t>
      </w:r>
      <w:r>
        <w:rPr>
          <w:spacing w:val="-1"/>
        </w:rPr>
        <w:t xml:space="preserve">paragraphs </w:t>
      </w:r>
      <w:hyperlink w:anchor="_bookmark394" w:history="1">
        <w:r>
          <w:t>1.1</w:t>
        </w:r>
      </w:hyperlink>
      <w:r>
        <w:rPr>
          <w:spacing w:val="55"/>
        </w:rPr>
        <w:t xml:space="preserve"> </w:t>
      </w:r>
      <w:r>
        <w:rPr>
          <w:spacing w:val="-1"/>
        </w:rPr>
        <w:t>and</w:t>
      </w:r>
      <w:r>
        <w:rPr>
          <w:spacing w:val="58"/>
        </w:rPr>
        <w:t xml:space="preserve"> </w:t>
      </w:r>
      <w:hyperlink w:anchor="_bookmark395" w:history="1">
        <w:r>
          <w:rPr>
            <w:spacing w:val="-1"/>
          </w:rPr>
          <w:t>1.2</w:t>
        </w:r>
      </w:hyperlink>
      <w:r>
        <w:rPr>
          <w:spacing w:val="55"/>
        </w:rPr>
        <w:t xml:space="preserve"> </w:t>
      </w:r>
      <w:r>
        <w:rPr>
          <w:spacing w:val="-2"/>
        </w:rPr>
        <w:t>of</w:t>
      </w:r>
      <w:r>
        <w:t xml:space="preserve"> </w:t>
      </w:r>
      <w:r>
        <w:rPr>
          <w:spacing w:val="-1"/>
        </w:rPr>
        <w:t>Part</w:t>
      </w:r>
      <w:r>
        <w:rPr>
          <w:spacing w:val="57"/>
        </w:rPr>
        <w:t xml:space="preserve"> </w:t>
      </w:r>
      <w:r>
        <w:t>D</w:t>
      </w:r>
      <w:r>
        <w:rPr>
          <w:spacing w:val="57"/>
        </w:rPr>
        <w:t xml:space="preserve"> </w:t>
      </w:r>
      <w:r>
        <w:rPr>
          <w:spacing w:val="-2"/>
        </w:rPr>
        <w:t>of</w:t>
      </w:r>
      <w:r>
        <w:rPr>
          <w:spacing w:val="57"/>
        </w:rPr>
        <w:t xml:space="preserve"> </w:t>
      </w:r>
      <w:r>
        <w:rPr>
          <w:spacing w:val="-1"/>
        </w:rPr>
        <w:t>this</w:t>
      </w:r>
      <w:r>
        <w:rPr>
          <w:spacing w:val="59"/>
        </w:rPr>
        <w:t xml:space="preserve"> </w:t>
      </w:r>
      <w:r>
        <w:rPr>
          <w:spacing w:val="-2"/>
        </w:rPr>
        <w:t>Call</w:t>
      </w:r>
      <w:r>
        <w:rPr>
          <w:spacing w:val="57"/>
        </w:rPr>
        <w:t xml:space="preserve"> </w:t>
      </w:r>
      <w:r>
        <w:rPr>
          <w:spacing w:val="-1"/>
        </w:rPr>
        <w:t>Off</w:t>
      </w:r>
      <w:r>
        <w:rPr>
          <w:spacing w:val="57"/>
        </w:rPr>
        <w:t xml:space="preserve"> </w:t>
      </w:r>
      <w:r>
        <w:rPr>
          <w:spacing w:val="-1"/>
        </w:rPr>
        <w:t>Schedule</w:t>
      </w:r>
      <w:r>
        <w:rPr>
          <w:spacing w:val="59"/>
        </w:rPr>
        <w:t xml:space="preserve"> </w:t>
      </w:r>
      <w:r>
        <w:rPr>
          <w:spacing w:val="-1"/>
        </w:rPr>
        <w:t>shall</w:t>
      </w:r>
      <w:r>
        <w:rPr>
          <w:spacing w:val="57"/>
        </w:rPr>
        <w:t xml:space="preserve"> </w:t>
      </w:r>
      <w:r>
        <w:rPr>
          <w:spacing w:val="-1"/>
        </w:rPr>
        <w:t>be</w:t>
      </w:r>
      <w:r>
        <w:rPr>
          <w:spacing w:val="55"/>
        </w:rPr>
        <w:t xml:space="preserve"> </w:t>
      </w:r>
      <w:r>
        <w:t>true</w:t>
      </w:r>
      <w:r>
        <w:rPr>
          <w:spacing w:val="56"/>
        </w:rPr>
        <w:t xml:space="preserve"> </w:t>
      </w:r>
      <w:r>
        <w:rPr>
          <w:spacing w:val="-1"/>
        </w:rPr>
        <w:t>and</w:t>
      </w:r>
      <w:r>
        <w:rPr>
          <w:spacing w:val="36"/>
        </w:rPr>
        <w:t xml:space="preserve"> </w:t>
      </w:r>
      <w:r>
        <w:rPr>
          <w:spacing w:val="-1"/>
        </w:rPr>
        <w:t>accurate</w:t>
      </w:r>
      <w:r>
        <w:rPr>
          <w:spacing w:val="-2"/>
        </w:rPr>
        <w:t xml:space="preserve"> </w:t>
      </w:r>
      <w:r>
        <w:rPr>
          <w:spacing w:val="-1"/>
        </w:rPr>
        <w:t>in</w:t>
      </w:r>
      <w:r>
        <w:t xml:space="preserve"> </w:t>
      </w:r>
      <w:r>
        <w:rPr>
          <w:spacing w:val="-1"/>
        </w:rPr>
        <w:t>all</w:t>
      </w:r>
      <w:r>
        <w:rPr>
          <w:spacing w:val="-3"/>
        </w:rPr>
        <w:t xml:space="preserve"> </w:t>
      </w:r>
      <w:r>
        <w:rPr>
          <w:spacing w:val="-1"/>
        </w:rPr>
        <w:t>material</w:t>
      </w:r>
      <w:r>
        <w:t xml:space="preserve"> </w:t>
      </w:r>
      <w:r>
        <w:rPr>
          <w:spacing w:val="-1"/>
        </w:rPr>
        <w:t>respects.</w:t>
      </w:r>
    </w:p>
    <w:p w:rsidR="008918FA" w:rsidRDefault="008918FA" w:rsidP="008918FA">
      <w:pPr>
        <w:pStyle w:val="BodyText"/>
        <w:numPr>
          <w:ilvl w:val="1"/>
          <w:numId w:val="7"/>
        </w:numPr>
        <w:tabs>
          <w:tab w:val="left" w:pos="829"/>
        </w:tabs>
        <w:ind w:right="113"/>
        <w:jc w:val="both"/>
      </w:pPr>
      <w:r>
        <w:rPr>
          <w:spacing w:val="-1"/>
        </w:rPr>
        <w:t xml:space="preserve">From </w:t>
      </w:r>
      <w:r>
        <w:t xml:space="preserve">the </w:t>
      </w:r>
      <w:r>
        <w:rPr>
          <w:spacing w:val="-1"/>
        </w:rPr>
        <w:t>date</w:t>
      </w:r>
      <w:r>
        <w:t xml:space="preserve"> </w:t>
      </w:r>
      <w:r>
        <w:rPr>
          <w:spacing w:val="-2"/>
        </w:rPr>
        <w:t>of</w:t>
      </w:r>
      <w:r>
        <w:rPr>
          <w:spacing w:val="2"/>
        </w:rPr>
        <w:t xml:space="preserve"> </w:t>
      </w:r>
      <w:r>
        <w:t xml:space="preserve">the </w:t>
      </w:r>
      <w:r>
        <w:rPr>
          <w:spacing w:val="-2"/>
        </w:rPr>
        <w:t>earliest</w:t>
      </w:r>
      <w:r>
        <w:rPr>
          <w:spacing w:val="2"/>
        </w:rPr>
        <w:t xml:space="preserve"> </w:t>
      </w:r>
      <w:r>
        <w:rPr>
          <w:spacing w:val="-2"/>
        </w:rPr>
        <w:t>event</w:t>
      </w:r>
      <w:r>
        <w:rPr>
          <w:spacing w:val="2"/>
        </w:rPr>
        <w:t xml:space="preserve"> </w:t>
      </w:r>
      <w:r>
        <w:rPr>
          <w:spacing w:val="-1"/>
        </w:rPr>
        <w:t>referred</w:t>
      </w:r>
      <w:r>
        <w:rPr>
          <w:spacing w:val="-2"/>
        </w:rPr>
        <w:t xml:space="preserve"> </w:t>
      </w:r>
      <w:r>
        <w:t xml:space="preserve">to </w:t>
      </w:r>
      <w:r>
        <w:rPr>
          <w:spacing w:val="-1"/>
        </w:rPr>
        <w:t>in</w:t>
      </w:r>
      <w:r>
        <w:t xml:space="preserve"> </w:t>
      </w:r>
      <w:r>
        <w:rPr>
          <w:spacing w:val="-1"/>
        </w:rPr>
        <w:t xml:space="preserve">paragraph </w:t>
      </w:r>
      <w:hyperlink w:anchor="_bookmark394" w:history="1">
        <w:r>
          <w:t>1.1</w:t>
        </w:r>
      </w:hyperlink>
      <w:r>
        <w:t xml:space="preserve"> </w:t>
      </w:r>
      <w:r>
        <w:rPr>
          <w:spacing w:val="-2"/>
        </w:rPr>
        <w:t>of</w:t>
      </w:r>
      <w:r>
        <w:rPr>
          <w:spacing w:val="2"/>
        </w:rPr>
        <w:t xml:space="preserve"> </w:t>
      </w:r>
      <w:r>
        <w:rPr>
          <w:spacing w:val="-1"/>
        </w:rPr>
        <w:t>Part</w:t>
      </w:r>
      <w:r>
        <w:rPr>
          <w:spacing w:val="2"/>
        </w:rPr>
        <w:t xml:space="preserve"> </w:t>
      </w:r>
      <w:r>
        <w:t xml:space="preserve">D </w:t>
      </w:r>
      <w:r>
        <w:rPr>
          <w:spacing w:val="-2"/>
        </w:rPr>
        <w:t>of</w:t>
      </w:r>
      <w:r>
        <w:t xml:space="preserve"> </w:t>
      </w:r>
      <w:r>
        <w:rPr>
          <w:spacing w:val="-1"/>
        </w:rPr>
        <w:t>this</w:t>
      </w:r>
      <w:r>
        <w:rPr>
          <w:spacing w:val="1"/>
        </w:rPr>
        <w:t xml:space="preserve"> </w:t>
      </w:r>
      <w:r>
        <w:rPr>
          <w:spacing w:val="-2"/>
        </w:rPr>
        <w:t>Call</w:t>
      </w:r>
      <w:r>
        <w:rPr>
          <w:spacing w:val="51"/>
        </w:rPr>
        <w:t xml:space="preserve"> </w:t>
      </w:r>
      <w:r>
        <w:rPr>
          <w:spacing w:val="-1"/>
        </w:rPr>
        <w:t>Off</w:t>
      </w:r>
      <w:r>
        <w:rPr>
          <w:spacing w:val="4"/>
        </w:rPr>
        <w:t xml:space="preserve"> </w:t>
      </w:r>
      <w:r>
        <w:rPr>
          <w:spacing w:val="-1"/>
        </w:rPr>
        <w:t>Schedule,</w:t>
      </w:r>
      <w:r>
        <w:rPr>
          <w:spacing w:val="2"/>
        </w:rPr>
        <w:t xml:space="preserve"> </w:t>
      </w:r>
      <w:r>
        <w:t xml:space="preserve">the </w:t>
      </w:r>
      <w:r>
        <w:rPr>
          <w:spacing w:val="-2"/>
        </w:rPr>
        <w:t>Supplier</w:t>
      </w:r>
      <w:r>
        <w:rPr>
          <w:spacing w:val="4"/>
        </w:rPr>
        <w:t xml:space="preserve"> </w:t>
      </w:r>
      <w:r>
        <w:rPr>
          <w:spacing w:val="-1"/>
        </w:rPr>
        <w:t>agrees,</w:t>
      </w:r>
      <w:r>
        <w:rPr>
          <w:spacing w:val="2"/>
        </w:rPr>
        <w:t xml:space="preserve"> </w:t>
      </w:r>
      <w:r>
        <w:rPr>
          <w:spacing w:val="-1"/>
        </w:rPr>
        <w:t>that</w:t>
      </w:r>
      <w:r>
        <w:rPr>
          <w:spacing w:val="4"/>
        </w:rPr>
        <w:t xml:space="preserve"> </w:t>
      </w:r>
      <w:r>
        <w:rPr>
          <w:spacing w:val="-1"/>
        </w:rPr>
        <w:t>it</w:t>
      </w:r>
      <w:r>
        <w:rPr>
          <w:spacing w:val="2"/>
        </w:rPr>
        <w:t xml:space="preserve"> </w:t>
      </w:r>
      <w:r>
        <w:rPr>
          <w:spacing w:val="-1"/>
        </w:rPr>
        <w:t>shall</w:t>
      </w:r>
      <w:r>
        <w:rPr>
          <w:spacing w:val="2"/>
        </w:rPr>
        <w:t xml:space="preserve"> </w:t>
      </w:r>
      <w:r>
        <w:rPr>
          <w:spacing w:val="-1"/>
        </w:rPr>
        <w:t>not,</w:t>
      </w:r>
      <w:r>
        <w:rPr>
          <w:spacing w:val="4"/>
        </w:rPr>
        <w:t xml:space="preserve"> </w:t>
      </w:r>
      <w:r>
        <w:rPr>
          <w:spacing w:val="-2"/>
        </w:rPr>
        <w:t>and</w:t>
      </w:r>
      <w:r>
        <w:rPr>
          <w:spacing w:val="3"/>
        </w:rPr>
        <w:t xml:space="preserve"> </w:t>
      </w:r>
      <w:r>
        <w:rPr>
          <w:spacing w:val="-1"/>
        </w:rPr>
        <w:t>agrees</w:t>
      </w:r>
      <w:r>
        <w:rPr>
          <w:spacing w:val="1"/>
        </w:rPr>
        <w:t xml:space="preserve"> </w:t>
      </w:r>
      <w:r>
        <w:t>to</w:t>
      </w:r>
      <w:r>
        <w:rPr>
          <w:spacing w:val="3"/>
        </w:rPr>
        <w:t xml:space="preserve"> </w:t>
      </w:r>
      <w:r>
        <w:rPr>
          <w:spacing w:val="-1"/>
        </w:rPr>
        <w:t>procure</w:t>
      </w:r>
      <w:r>
        <w:rPr>
          <w:spacing w:val="-2"/>
        </w:rPr>
        <w:t xml:space="preserve"> </w:t>
      </w:r>
      <w:r>
        <w:rPr>
          <w:spacing w:val="-1"/>
        </w:rPr>
        <w:t>that</w:t>
      </w:r>
      <w:r>
        <w:rPr>
          <w:spacing w:val="2"/>
        </w:rPr>
        <w:t xml:space="preserve"> </w:t>
      </w:r>
      <w:r>
        <w:rPr>
          <w:spacing w:val="-1"/>
        </w:rPr>
        <w:t>each</w:t>
      </w:r>
      <w:r>
        <w:rPr>
          <w:spacing w:val="50"/>
        </w:rPr>
        <w:t xml:space="preserve"> </w:t>
      </w:r>
      <w:r>
        <w:rPr>
          <w:spacing w:val="-1"/>
        </w:rPr>
        <w:t>Sub-Contractor</w:t>
      </w:r>
      <w:r>
        <w:rPr>
          <w:spacing w:val="23"/>
        </w:rPr>
        <w:t xml:space="preserve"> </w:t>
      </w:r>
      <w:r>
        <w:rPr>
          <w:spacing w:val="-1"/>
        </w:rPr>
        <w:t>shall</w:t>
      </w:r>
      <w:r>
        <w:rPr>
          <w:spacing w:val="21"/>
        </w:rPr>
        <w:t xml:space="preserve"> </w:t>
      </w:r>
      <w:r>
        <w:rPr>
          <w:spacing w:val="-1"/>
        </w:rPr>
        <w:t>not,</w:t>
      </w:r>
      <w:r>
        <w:rPr>
          <w:spacing w:val="23"/>
        </w:rPr>
        <w:t xml:space="preserve"> </w:t>
      </w:r>
      <w:r>
        <w:rPr>
          <w:spacing w:val="-1"/>
        </w:rPr>
        <w:t>assign</w:t>
      </w:r>
      <w:r>
        <w:rPr>
          <w:spacing w:val="22"/>
        </w:rPr>
        <w:t xml:space="preserve"> </w:t>
      </w:r>
      <w:r>
        <w:rPr>
          <w:spacing w:val="-1"/>
        </w:rPr>
        <w:t>any</w:t>
      </w:r>
      <w:r>
        <w:rPr>
          <w:spacing w:val="20"/>
        </w:rPr>
        <w:t xml:space="preserve"> </w:t>
      </w:r>
      <w:r>
        <w:rPr>
          <w:spacing w:val="-1"/>
        </w:rPr>
        <w:t>person</w:t>
      </w:r>
      <w:r>
        <w:rPr>
          <w:spacing w:val="22"/>
        </w:rPr>
        <w:t xml:space="preserve"> </w:t>
      </w:r>
      <w:r>
        <w:t>to</w:t>
      </w:r>
      <w:r>
        <w:rPr>
          <w:spacing w:val="22"/>
        </w:rPr>
        <w:t xml:space="preserve"> </w:t>
      </w:r>
      <w:r>
        <w:rPr>
          <w:spacing w:val="-1"/>
        </w:rPr>
        <w:t>the</w:t>
      </w:r>
      <w:r>
        <w:rPr>
          <w:spacing w:val="22"/>
        </w:rPr>
        <w:t xml:space="preserve"> </w:t>
      </w:r>
      <w:r>
        <w:rPr>
          <w:spacing w:val="-2"/>
        </w:rPr>
        <w:t>provision</w:t>
      </w:r>
      <w:r>
        <w:rPr>
          <w:spacing w:val="22"/>
        </w:rPr>
        <w:t xml:space="preserve"> </w:t>
      </w:r>
      <w:r>
        <w:rPr>
          <w:spacing w:val="-1"/>
        </w:rPr>
        <w:t>of</w:t>
      </w:r>
      <w:r>
        <w:rPr>
          <w:spacing w:val="26"/>
        </w:rPr>
        <w:t xml:space="preserve"> </w:t>
      </w:r>
      <w:r>
        <w:t>the</w:t>
      </w:r>
      <w:r>
        <w:rPr>
          <w:spacing w:val="25"/>
        </w:rPr>
        <w:t xml:space="preserve"> </w:t>
      </w:r>
      <w:r>
        <w:rPr>
          <w:spacing w:val="-1"/>
        </w:rPr>
        <w:t>Goods</w:t>
      </w:r>
      <w:r>
        <w:rPr>
          <w:spacing w:val="22"/>
        </w:rPr>
        <w:t xml:space="preserve"> </w:t>
      </w:r>
      <w:r>
        <w:rPr>
          <w:spacing w:val="-1"/>
        </w:rPr>
        <w:t>and/or</w:t>
      </w:r>
      <w:r>
        <w:rPr>
          <w:spacing w:val="52"/>
        </w:rPr>
        <w:t xml:space="preserve"> </w:t>
      </w:r>
      <w:r>
        <w:rPr>
          <w:spacing w:val="-1"/>
        </w:rPr>
        <w:t>Services</w:t>
      </w:r>
      <w:r>
        <w:rPr>
          <w:spacing w:val="6"/>
        </w:rPr>
        <w:t xml:space="preserve"> </w:t>
      </w:r>
      <w:r>
        <w:rPr>
          <w:spacing w:val="-2"/>
        </w:rPr>
        <w:t>who</w:t>
      </w:r>
      <w:r>
        <w:rPr>
          <w:spacing w:val="3"/>
        </w:rPr>
        <w:t xml:space="preserve"> </w:t>
      </w:r>
      <w:r>
        <w:rPr>
          <w:spacing w:val="-1"/>
        </w:rPr>
        <w:t>is</w:t>
      </w:r>
      <w:r>
        <w:rPr>
          <w:spacing w:val="3"/>
        </w:rPr>
        <w:t xml:space="preserve"> </w:t>
      </w:r>
      <w:r>
        <w:rPr>
          <w:spacing w:val="-1"/>
        </w:rPr>
        <w:t>not</w:t>
      </w:r>
      <w:r>
        <w:rPr>
          <w:spacing w:val="4"/>
        </w:rPr>
        <w:t xml:space="preserve"> </w:t>
      </w:r>
      <w:r>
        <w:rPr>
          <w:spacing w:val="-1"/>
        </w:rPr>
        <w:t>listed</w:t>
      </w:r>
      <w:r>
        <w:rPr>
          <w:spacing w:val="3"/>
        </w:rPr>
        <w:t xml:space="preserve"> </w:t>
      </w:r>
      <w:r>
        <w:rPr>
          <w:spacing w:val="-1"/>
        </w:rPr>
        <w:t>on</w:t>
      </w:r>
      <w:r>
        <w:rPr>
          <w:spacing w:val="3"/>
        </w:rPr>
        <w:t xml:space="preserve"> </w:t>
      </w:r>
      <w:r>
        <w:t>the</w:t>
      </w:r>
      <w:r>
        <w:rPr>
          <w:spacing w:val="3"/>
        </w:rPr>
        <w:t xml:space="preserve"> </w:t>
      </w:r>
      <w:r>
        <w:rPr>
          <w:spacing w:val="-2"/>
        </w:rPr>
        <w:t>Supplier’s</w:t>
      </w:r>
      <w:r>
        <w:rPr>
          <w:spacing w:val="3"/>
        </w:rPr>
        <w:t xml:space="preserve"> </w:t>
      </w:r>
      <w:r>
        <w:rPr>
          <w:spacing w:val="-1"/>
        </w:rPr>
        <w:t>Provisional</w:t>
      </w:r>
      <w:r>
        <w:rPr>
          <w:spacing w:val="2"/>
        </w:rPr>
        <w:t xml:space="preserve"> </w:t>
      </w:r>
      <w:r>
        <w:rPr>
          <w:spacing w:val="-1"/>
        </w:rPr>
        <w:t>Personnel</w:t>
      </w:r>
      <w:r>
        <w:rPr>
          <w:spacing w:val="2"/>
        </w:rPr>
        <w:t xml:space="preserve"> </w:t>
      </w:r>
      <w:r>
        <w:rPr>
          <w:spacing w:val="-1"/>
        </w:rPr>
        <w:t>List</w:t>
      </w:r>
      <w:r>
        <w:rPr>
          <w:spacing w:val="5"/>
        </w:rPr>
        <w:t xml:space="preserve"> </w:t>
      </w:r>
      <w:r>
        <w:rPr>
          <w:spacing w:val="-1"/>
        </w:rPr>
        <w:t>and</w:t>
      </w:r>
      <w:r>
        <w:rPr>
          <w:spacing w:val="3"/>
        </w:rPr>
        <w:t xml:space="preserve"> </w:t>
      </w:r>
      <w:r>
        <w:rPr>
          <w:spacing w:val="-1"/>
        </w:rPr>
        <w:t>shall</w:t>
      </w:r>
      <w:r>
        <w:rPr>
          <w:spacing w:val="2"/>
        </w:rPr>
        <w:t xml:space="preserve"> </w:t>
      </w:r>
      <w:r>
        <w:rPr>
          <w:spacing w:val="-1"/>
        </w:rPr>
        <w:t>not</w:t>
      </w:r>
      <w:r>
        <w:rPr>
          <w:spacing w:val="46"/>
        </w:rPr>
        <w:t xml:space="preserve"> </w:t>
      </w:r>
      <w:r>
        <w:rPr>
          <w:spacing w:val="-1"/>
        </w:rPr>
        <w:t>without</w:t>
      </w:r>
      <w:r>
        <w:t xml:space="preserve"> the </w:t>
      </w:r>
      <w:r>
        <w:rPr>
          <w:spacing w:val="-2"/>
        </w:rPr>
        <w:t>approval</w:t>
      </w:r>
      <w:r>
        <w:t xml:space="preserve"> </w:t>
      </w:r>
      <w:r>
        <w:rPr>
          <w:spacing w:val="-2"/>
        </w:rPr>
        <w:t>of</w:t>
      </w:r>
      <w:r>
        <w:rPr>
          <w:spacing w:val="2"/>
        </w:rPr>
        <w:t xml:space="preserve"> </w:t>
      </w:r>
      <w:r>
        <w:rPr>
          <w:spacing w:val="-1"/>
        </w:rPr>
        <w:t>the</w:t>
      </w:r>
      <w:r>
        <w:t xml:space="preserve"> </w:t>
      </w:r>
      <w:r>
        <w:rPr>
          <w:spacing w:val="-1"/>
        </w:rPr>
        <w:t>Customer (not</w:t>
      </w:r>
      <w:r>
        <w:t xml:space="preserve"> to </w:t>
      </w:r>
      <w:r>
        <w:rPr>
          <w:spacing w:val="-1"/>
        </w:rPr>
        <w:t>be</w:t>
      </w:r>
      <w:r>
        <w:rPr>
          <w:spacing w:val="-2"/>
        </w:rPr>
        <w:t xml:space="preserve"> </w:t>
      </w:r>
      <w:r>
        <w:rPr>
          <w:spacing w:val="-1"/>
        </w:rPr>
        <w:t>unreasonably</w:t>
      </w:r>
      <w:r>
        <w:rPr>
          <w:spacing w:val="-2"/>
        </w:rPr>
        <w:t xml:space="preserve"> </w:t>
      </w:r>
      <w:r>
        <w:rPr>
          <w:spacing w:val="-1"/>
        </w:rPr>
        <w:t>withheld</w:t>
      </w:r>
      <w:r>
        <w:t xml:space="preserve"> </w:t>
      </w:r>
      <w:r>
        <w:rPr>
          <w:spacing w:val="-1"/>
        </w:rPr>
        <w:t xml:space="preserve">or </w:t>
      </w:r>
      <w:r>
        <w:rPr>
          <w:spacing w:val="-2"/>
        </w:rPr>
        <w:t>delayed):</w:t>
      </w:r>
    </w:p>
    <w:p w:rsidR="008918FA" w:rsidRDefault="008918FA" w:rsidP="008918FA">
      <w:pPr>
        <w:pStyle w:val="BodyText"/>
        <w:numPr>
          <w:ilvl w:val="2"/>
          <w:numId w:val="7"/>
        </w:numPr>
        <w:tabs>
          <w:tab w:val="left" w:pos="2027"/>
        </w:tabs>
        <w:spacing w:before="121"/>
        <w:ind w:left="2025" w:right="114" w:hanging="993"/>
        <w:jc w:val="both"/>
      </w:pPr>
      <w:r>
        <w:rPr>
          <w:spacing w:val="-1"/>
        </w:rPr>
        <w:t>replace</w:t>
      </w:r>
      <w:r>
        <w:rPr>
          <w:spacing w:val="56"/>
        </w:rPr>
        <w:t xml:space="preserve"> </w:t>
      </w:r>
      <w:r>
        <w:rPr>
          <w:spacing w:val="-1"/>
        </w:rPr>
        <w:t>or</w:t>
      </w:r>
      <w:r>
        <w:rPr>
          <w:spacing w:val="57"/>
        </w:rPr>
        <w:t xml:space="preserve"> </w:t>
      </w:r>
      <w:r>
        <w:rPr>
          <w:spacing w:val="-1"/>
        </w:rPr>
        <w:t>re-deploy</w:t>
      </w:r>
      <w:r>
        <w:rPr>
          <w:spacing w:val="53"/>
        </w:rPr>
        <w:t xml:space="preserve"> </w:t>
      </w:r>
      <w:r>
        <w:rPr>
          <w:spacing w:val="-1"/>
        </w:rPr>
        <w:t>any</w:t>
      </w:r>
      <w:r>
        <w:rPr>
          <w:spacing w:val="53"/>
        </w:rPr>
        <w:t xml:space="preserve"> </w:t>
      </w:r>
      <w:r>
        <w:rPr>
          <w:spacing w:val="-1"/>
        </w:rPr>
        <w:t>Supplier</w:t>
      </w:r>
      <w:r>
        <w:rPr>
          <w:spacing w:val="57"/>
        </w:rPr>
        <w:t xml:space="preserve"> </w:t>
      </w:r>
      <w:r>
        <w:rPr>
          <w:spacing w:val="-1"/>
        </w:rPr>
        <w:t>Personnel</w:t>
      </w:r>
      <w:r>
        <w:rPr>
          <w:spacing w:val="55"/>
        </w:rPr>
        <w:t xml:space="preserve"> </w:t>
      </w:r>
      <w:r>
        <w:t>listed</w:t>
      </w:r>
      <w:r>
        <w:rPr>
          <w:spacing w:val="56"/>
        </w:rPr>
        <w:t xml:space="preserve"> </w:t>
      </w:r>
      <w:r>
        <w:rPr>
          <w:spacing w:val="-1"/>
        </w:rPr>
        <w:t>on</w:t>
      </w:r>
      <w:r>
        <w:rPr>
          <w:spacing w:val="55"/>
        </w:rPr>
        <w:t xml:space="preserve"> </w:t>
      </w:r>
      <w:r>
        <w:t>the</w:t>
      </w:r>
      <w:r>
        <w:rPr>
          <w:spacing w:val="55"/>
        </w:rPr>
        <w:t xml:space="preserve"> </w:t>
      </w:r>
      <w:r>
        <w:rPr>
          <w:spacing w:val="-2"/>
        </w:rPr>
        <w:t>Supplier</w:t>
      </w:r>
      <w:r>
        <w:rPr>
          <w:spacing w:val="38"/>
        </w:rPr>
        <w:t xml:space="preserve"> </w:t>
      </w:r>
      <w:r>
        <w:rPr>
          <w:spacing w:val="-2"/>
        </w:rPr>
        <w:t>Provisional</w:t>
      </w:r>
      <w:r>
        <w:rPr>
          <w:spacing w:val="57"/>
        </w:rPr>
        <w:t xml:space="preserve"> </w:t>
      </w:r>
      <w:r>
        <w:rPr>
          <w:spacing w:val="-1"/>
        </w:rPr>
        <w:t>Personnel</w:t>
      </w:r>
      <w:r>
        <w:rPr>
          <w:spacing w:val="58"/>
        </w:rPr>
        <w:t xml:space="preserve"> </w:t>
      </w:r>
      <w:r>
        <w:rPr>
          <w:spacing w:val="-1"/>
        </w:rPr>
        <w:t>List</w:t>
      </w:r>
      <w:r>
        <w:rPr>
          <w:spacing w:val="60"/>
        </w:rPr>
        <w:t xml:space="preserve"> </w:t>
      </w:r>
      <w:r>
        <w:rPr>
          <w:spacing w:val="-1"/>
        </w:rPr>
        <w:t>other</w:t>
      </w:r>
      <w:r>
        <w:rPr>
          <w:spacing w:val="57"/>
        </w:rPr>
        <w:t xml:space="preserve"> </w:t>
      </w:r>
      <w:r>
        <w:rPr>
          <w:spacing w:val="-1"/>
        </w:rPr>
        <w:t>than</w:t>
      </w:r>
      <w:r>
        <w:rPr>
          <w:spacing w:val="58"/>
        </w:rPr>
        <w:t xml:space="preserve"> </w:t>
      </w:r>
      <w:r>
        <w:rPr>
          <w:spacing w:val="-2"/>
        </w:rPr>
        <w:t>where</w:t>
      </w:r>
      <w:r>
        <w:rPr>
          <w:spacing w:val="58"/>
        </w:rPr>
        <w:t xml:space="preserve"> </w:t>
      </w:r>
      <w:r>
        <w:rPr>
          <w:spacing w:val="-2"/>
        </w:rPr>
        <w:t>any</w:t>
      </w:r>
      <w:r>
        <w:rPr>
          <w:spacing w:val="57"/>
        </w:rPr>
        <w:t xml:space="preserve"> </w:t>
      </w:r>
      <w:r>
        <w:rPr>
          <w:spacing w:val="-1"/>
        </w:rPr>
        <w:t>replacement</w:t>
      </w:r>
      <w:r>
        <w:rPr>
          <w:spacing w:val="59"/>
        </w:rPr>
        <w:t xml:space="preserve"> </w:t>
      </w:r>
      <w:r>
        <w:rPr>
          <w:spacing w:val="-1"/>
        </w:rPr>
        <w:t>is</w:t>
      </w:r>
      <w:r>
        <w:rPr>
          <w:spacing w:val="58"/>
        </w:rPr>
        <w:t xml:space="preserve"> </w:t>
      </w:r>
      <w:r>
        <w:rPr>
          <w:spacing w:val="-2"/>
        </w:rPr>
        <w:t>of</w:t>
      </w:r>
      <w:r>
        <w:rPr>
          <w:spacing w:val="65"/>
        </w:rPr>
        <w:t xml:space="preserve"> </w:t>
      </w:r>
      <w:r>
        <w:rPr>
          <w:spacing w:val="-1"/>
        </w:rPr>
        <w:t>equivalent</w:t>
      </w:r>
      <w:r>
        <w:rPr>
          <w:spacing w:val="16"/>
        </w:rPr>
        <w:t xml:space="preserve"> </w:t>
      </w:r>
      <w:r>
        <w:rPr>
          <w:spacing w:val="-1"/>
        </w:rPr>
        <w:t>grade,</w:t>
      </w:r>
      <w:r>
        <w:rPr>
          <w:spacing w:val="16"/>
        </w:rPr>
        <w:t xml:space="preserve"> </w:t>
      </w:r>
      <w:r>
        <w:rPr>
          <w:spacing w:val="-2"/>
        </w:rPr>
        <w:t>skills,</w:t>
      </w:r>
      <w:r>
        <w:rPr>
          <w:spacing w:val="17"/>
        </w:rPr>
        <w:t xml:space="preserve"> </w:t>
      </w:r>
      <w:r>
        <w:rPr>
          <w:spacing w:val="-2"/>
        </w:rPr>
        <w:t>experience</w:t>
      </w:r>
      <w:r>
        <w:rPr>
          <w:spacing w:val="15"/>
        </w:rPr>
        <w:t xml:space="preserve"> </w:t>
      </w:r>
      <w:r>
        <w:rPr>
          <w:spacing w:val="-1"/>
        </w:rPr>
        <w:t>and</w:t>
      </w:r>
      <w:r>
        <w:rPr>
          <w:spacing w:val="15"/>
        </w:rPr>
        <w:t xml:space="preserve"> </w:t>
      </w:r>
      <w:r>
        <w:rPr>
          <w:spacing w:val="-1"/>
        </w:rPr>
        <w:t>expertise</w:t>
      </w:r>
      <w:r>
        <w:rPr>
          <w:spacing w:val="15"/>
        </w:rPr>
        <w:t xml:space="preserve"> </w:t>
      </w:r>
      <w:r>
        <w:rPr>
          <w:spacing w:val="-1"/>
        </w:rPr>
        <w:t>and</w:t>
      </w:r>
      <w:r>
        <w:rPr>
          <w:spacing w:val="15"/>
        </w:rPr>
        <w:t xml:space="preserve"> </w:t>
      </w:r>
      <w:r>
        <w:rPr>
          <w:spacing w:val="-1"/>
        </w:rPr>
        <w:t>is</w:t>
      </w:r>
      <w:r>
        <w:rPr>
          <w:spacing w:val="15"/>
        </w:rPr>
        <w:t xml:space="preserve"> </w:t>
      </w:r>
      <w:r>
        <w:rPr>
          <w:spacing w:val="-1"/>
        </w:rPr>
        <w:t>employed</w:t>
      </w:r>
      <w:r>
        <w:rPr>
          <w:spacing w:val="15"/>
        </w:rPr>
        <w:t xml:space="preserve"> </w:t>
      </w:r>
      <w:r>
        <w:rPr>
          <w:spacing w:val="-1"/>
        </w:rPr>
        <w:t>on</w:t>
      </w:r>
      <w:r>
        <w:rPr>
          <w:spacing w:val="52"/>
        </w:rPr>
        <w:t xml:space="preserve"> </w:t>
      </w:r>
      <w:r>
        <w:t>the</w:t>
      </w:r>
      <w:r>
        <w:rPr>
          <w:spacing w:val="29"/>
        </w:rPr>
        <w:t xml:space="preserve"> </w:t>
      </w:r>
      <w:r>
        <w:rPr>
          <w:spacing w:val="-1"/>
        </w:rPr>
        <w:t>same</w:t>
      </w:r>
      <w:r>
        <w:rPr>
          <w:spacing w:val="29"/>
        </w:rPr>
        <w:t xml:space="preserve"> </w:t>
      </w:r>
      <w:r>
        <w:rPr>
          <w:spacing w:val="-1"/>
        </w:rPr>
        <w:t>terms</w:t>
      </w:r>
      <w:r>
        <w:rPr>
          <w:spacing w:val="30"/>
        </w:rPr>
        <w:t xml:space="preserve"> </w:t>
      </w:r>
      <w:r>
        <w:rPr>
          <w:spacing w:val="-1"/>
        </w:rPr>
        <w:t>and</w:t>
      </w:r>
      <w:r>
        <w:rPr>
          <w:spacing w:val="29"/>
        </w:rPr>
        <w:t xml:space="preserve"> </w:t>
      </w:r>
      <w:r>
        <w:rPr>
          <w:spacing w:val="-1"/>
        </w:rPr>
        <w:t>conditions</w:t>
      </w:r>
      <w:r>
        <w:rPr>
          <w:spacing w:val="30"/>
        </w:rPr>
        <w:t xml:space="preserve"> </w:t>
      </w:r>
      <w:r>
        <w:rPr>
          <w:spacing w:val="-1"/>
        </w:rPr>
        <w:t>of</w:t>
      </w:r>
      <w:r>
        <w:rPr>
          <w:spacing w:val="33"/>
        </w:rPr>
        <w:t xml:space="preserve"> </w:t>
      </w:r>
      <w:r>
        <w:rPr>
          <w:spacing w:val="-2"/>
        </w:rPr>
        <w:t>employment</w:t>
      </w:r>
      <w:r>
        <w:rPr>
          <w:spacing w:val="30"/>
        </w:rPr>
        <w:t xml:space="preserve"> </w:t>
      </w:r>
      <w:r>
        <w:rPr>
          <w:spacing w:val="-1"/>
        </w:rPr>
        <w:t>as</w:t>
      </w:r>
      <w:r>
        <w:rPr>
          <w:spacing w:val="30"/>
        </w:rPr>
        <w:t xml:space="preserve"> </w:t>
      </w:r>
      <w:r>
        <w:t>the</w:t>
      </w:r>
      <w:r>
        <w:rPr>
          <w:spacing w:val="29"/>
        </w:rPr>
        <w:t xml:space="preserve"> </w:t>
      </w:r>
      <w:r>
        <w:rPr>
          <w:spacing w:val="-1"/>
        </w:rPr>
        <w:t>person</w:t>
      </w:r>
      <w:r>
        <w:rPr>
          <w:spacing w:val="29"/>
        </w:rPr>
        <w:t xml:space="preserve"> </w:t>
      </w:r>
      <w:r>
        <w:rPr>
          <w:spacing w:val="-1"/>
        </w:rPr>
        <w:t>he/she</w:t>
      </w:r>
      <w:r>
        <w:rPr>
          <w:spacing w:val="43"/>
        </w:rPr>
        <w:t xml:space="preserve"> </w:t>
      </w:r>
      <w:r>
        <w:rPr>
          <w:spacing w:val="-1"/>
        </w:rPr>
        <w:t>replaces;</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numPr>
          <w:ilvl w:val="2"/>
          <w:numId w:val="7"/>
        </w:numPr>
        <w:tabs>
          <w:tab w:val="left" w:pos="1887"/>
        </w:tabs>
        <w:spacing w:before="59"/>
        <w:ind w:left="1886" w:right="116"/>
        <w:jc w:val="both"/>
      </w:pPr>
      <w:r>
        <w:rPr>
          <w:spacing w:val="-1"/>
        </w:rPr>
        <w:t>make,</w:t>
      </w:r>
      <w:r>
        <w:rPr>
          <w:spacing w:val="26"/>
        </w:rPr>
        <w:t xml:space="preserve"> </w:t>
      </w:r>
      <w:r>
        <w:rPr>
          <w:spacing w:val="-2"/>
        </w:rPr>
        <w:t>promise,</w:t>
      </w:r>
      <w:r>
        <w:rPr>
          <w:spacing w:val="26"/>
        </w:rPr>
        <w:t xml:space="preserve"> </w:t>
      </w:r>
      <w:r>
        <w:rPr>
          <w:spacing w:val="-1"/>
        </w:rPr>
        <w:t>propose</w:t>
      </w:r>
      <w:r>
        <w:rPr>
          <w:spacing w:val="22"/>
        </w:rPr>
        <w:t xml:space="preserve"> </w:t>
      </w:r>
      <w:r>
        <w:rPr>
          <w:spacing w:val="-1"/>
        </w:rPr>
        <w:t>or</w:t>
      </w:r>
      <w:r>
        <w:rPr>
          <w:spacing w:val="26"/>
        </w:rPr>
        <w:t xml:space="preserve"> </w:t>
      </w:r>
      <w:r>
        <w:rPr>
          <w:spacing w:val="-1"/>
        </w:rPr>
        <w:t>permit</w:t>
      </w:r>
      <w:r>
        <w:rPr>
          <w:spacing w:val="26"/>
        </w:rPr>
        <w:t xml:space="preserve"> </w:t>
      </w:r>
      <w:r>
        <w:rPr>
          <w:spacing w:val="-1"/>
        </w:rPr>
        <w:t>any</w:t>
      </w:r>
      <w:r>
        <w:rPr>
          <w:spacing w:val="22"/>
        </w:rPr>
        <w:t xml:space="preserve"> </w:t>
      </w:r>
      <w:r>
        <w:rPr>
          <w:spacing w:val="-1"/>
        </w:rPr>
        <w:t>material</w:t>
      </w:r>
      <w:r>
        <w:rPr>
          <w:spacing w:val="24"/>
        </w:rPr>
        <w:t xml:space="preserve"> </w:t>
      </w:r>
      <w:r>
        <w:rPr>
          <w:spacing w:val="-1"/>
        </w:rPr>
        <w:t>changes</w:t>
      </w:r>
      <w:r>
        <w:rPr>
          <w:spacing w:val="22"/>
        </w:rPr>
        <w:t xml:space="preserve"> </w:t>
      </w:r>
      <w:r>
        <w:t>to</w:t>
      </w:r>
      <w:r>
        <w:rPr>
          <w:spacing w:val="24"/>
        </w:rPr>
        <w:t xml:space="preserve"> </w:t>
      </w:r>
      <w:r>
        <w:t>the</w:t>
      </w:r>
      <w:r>
        <w:rPr>
          <w:spacing w:val="24"/>
        </w:rPr>
        <w:t xml:space="preserve"> </w:t>
      </w:r>
      <w:r>
        <w:rPr>
          <w:spacing w:val="-1"/>
        </w:rPr>
        <w:t>terms</w:t>
      </w:r>
      <w:r>
        <w:rPr>
          <w:spacing w:val="49"/>
        </w:rPr>
        <w:t xml:space="preserve"> </w:t>
      </w:r>
      <w:r>
        <w:rPr>
          <w:spacing w:val="-1"/>
        </w:rPr>
        <w:t>and</w:t>
      </w:r>
      <w:r>
        <w:rPr>
          <w:spacing w:val="5"/>
        </w:rPr>
        <w:t xml:space="preserve"> </w:t>
      </w:r>
      <w:r>
        <w:rPr>
          <w:spacing w:val="-1"/>
        </w:rPr>
        <w:t>conditions</w:t>
      </w:r>
      <w:r>
        <w:rPr>
          <w:spacing w:val="5"/>
        </w:rPr>
        <w:t xml:space="preserve"> </w:t>
      </w:r>
      <w:r>
        <w:rPr>
          <w:spacing w:val="-2"/>
        </w:rPr>
        <w:t>of</w:t>
      </w:r>
      <w:r>
        <w:rPr>
          <w:spacing w:val="9"/>
        </w:rPr>
        <w:t xml:space="preserve"> </w:t>
      </w:r>
      <w:r>
        <w:rPr>
          <w:spacing w:val="-2"/>
        </w:rPr>
        <w:t>employment</w:t>
      </w:r>
      <w:r>
        <w:rPr>
          <w:spacing w:val="7"/>
        </w:rPr>
        <w:t xml:space="preserve"> </w:t>
      </w:r>
      <w:r>
        <w:rPr>
          <w:spacing w:val="-2"/>
        </w:rPr>
        <w:t>of</w:t>
      </w:r>
      <w:r>
        <w:rPr>
          <w:spacing w:val="4"/>
        </w:rPr>
        <w:t xml:space="preserve"> </w:t>
      </w:r>
      <w:r>
        <w:t>the</w:t>
      </w:r>
      <w:r>
        <w:rPr>
          <w:spacing w:val="5"/>
        </w:rPr>
        <w:t xml:space="preserve"> </w:t>
      </w:r>
      <w:r>
        <w:rPr>
          <w:spacing w:val="-2"/>
        </w:rPr>
        <w:t>Supplier</w:t>
      </w:r>
      <w:r>
        <w:rPr>
          <w:spacing w:val="6"/>
        </w:rPr>
        <w:t xml:space="preserve"> </w:t>
      </w:r>
      <w:r>
        <w:rPr>
          <w:spacing w:val="-1"/>
        </w:rPr>
        <w:t>Personnel</w:t>
      </w:r>
      <w:r>
        <w:rPr>
          <w:spacing w:val="4"/>
        </w:rPr>
        <w:t xml:space="preserve"> </w:t>
      </w:r>
      <w:r>
        <w:rPr>
          <w:spacing w:val="-1"/>
        </w:rPr>
        <w:t>(including</w:t>
      </w:r>
      <w:r>
        <w:rPr>
          <w:spacing w:val="7"/>
        </w:rPr>
        <w:t xml:space="preserve"> </w:t>
      </w:r>
      <w:r>
        <w:rPr>
          <w:spacing w:val="-1"/>
        </w:rPr>
        <w:t>any</w:t>
      </w:r>
      <w:r>
        <w:rPr>
          <w:spacing w:val="42"/>
        </w:rPr>
        <w:t xml:space="preserve"> </w:t>
      </w:r>
      <w:r>
        <w:rPr>
          <w:spacing w:val="-1"/>
        </w:rPr>
        <w:t>payments</w:t>
      </w:r>
      <w:r>
        <w:rPr>
          <w:spacing w:val="1"/>
        </w:rPr>
        <w:t xml:space="preserve"> </w:t>
      </w:r>
      <w:r>
        <w:rPr>
          <w:spacing w:val="-1"/>
        </w:rPr>
        <w:t>connected</w:t>
      </w:r>
      <w:r>
        <w:rPr>
          <w:spacing w:val="-2"/>
        </w:rPr>
        <w:t xml:space="preserve"> with</w:t>
      </w:r>
      <w:r>
        <w:t xml:space="preserve"> the</w:t>
      </w:r>
      <w:r>
        <w:rPr>
          <w:spacing w:val="-2"/>
        </w:rPr>
        <w:t xml:space="preserve"> </w:t>
      </w:r>
      <w:r>
        <w:rPr>
          <w:spacing w:val="-1"/>
        </w:rPr>
        <w:t>termination</w:t>
      </w:r>
      <w:r>
        <w:rPr>
          <w:spacing w:val="-2"/>
        </w:rPr>
        <w:t xml:space="preserve"> of</w:t>
      </w:r>
      <w:r>
        <w:rPr>
          <w:spacing w:val="2"/>
        </w:rPr>
        <w:t xml:space="preserve"> </w:t>
      </w:r>
      <w:r>
        <w:rPr>
          <w:spacing w:val="-1"/>
        </w:rPr>
        <w:t>employment);</w:t>
      </w:r>
    </w:p>
    <w:p w:rsidR="008918FA" w:rsidRDefault="008918FA" w:rsidP="008918FA">
      <w:pPr>
        <w:pStyle w:val="BodyText"/>
        <w:numPr>
          <w:ilvl w:val="2"/>
          <w:numId w:val="7"/>
        </w:numPr>
        <w:tabs>
          <w:tab w:val="left" w:pos="1887"/>
        </w:tabs>
        <w:ind w:left="1886" w:right="115"/>
        <w:jc w:val="both"/>
      </w:pPr>
      <w:r>
        <w:rPr>
          <w:spacing w:val="-1"/>
        </w:rPr>
        <w:t>increase</w:t>
      </w:r>
      <w:r>
        <w:rPr>
          <w:spacing w:val="46"/>
        </w:rPr>
        <w:t xml:space="preserve"> </w:t>
      </w:r>
      <w:r>
        <w:t>the</w:t>
      </w:r>
      <w:r>
        <w:rPr>
          <w:spacing w:val="46"/>
        </w:rPr>
        <w:t xml:space="preserve"> </w:t>
      </w:r>
      <w:r>
        <w:rPr>
          <w:spacing w:val="-1"/>
        </w:rPr>
        <w:t>proportion</w:t>
      </w:r>
      <w:r>
        <w:rPr>
          <w:spacing w:val="43"/>
        </w:rPr>
        <w:t xml:space="preserve"> </w:t>
      </w:r>
      <w:r>
        <w:rPr>
          <w:spacing w:val="-2"/>
        </w:rPr>
        <w:t>of</w:t>
      </w:r>
      <w:r>
        <w:rPr>
          <w:spacing w:val="49"/>
        </w:rPr>
        <w:t xml:space="preserve"> </w:t>
      </w:r>
      <w:r>
        <w:rPr>
          <w:spacing w:val="-2"/>
        </w:rPr>
        <w:t>working</w:t>
      </w:r>
      <w:r>
        <w:rPr>
          <w:spacing w:val="48"/>
        </w:rPr>
        <w:t xml:space="preserve"> </w:t>
      </w:r>
      <w:r>
        <w:rPr>
          <w:spacing w:val="-1"/>
        </w:rPr>
        <w:t>time</w:t>
      </w:r>
      <w:r>
        <w:rPr>
          <w:spacing w:val="46"/>
        </w:rPr>
        <w:t xml:space="preserve"> </w:t>
      </w:r>
      <w:r>
        <w:rPr>
          <w:spacing w:val="-1"/>
        </w:rPr>
        <w:t>spent</w:t>
      </w:r>
      <w:r>
        <w:rPr>
          <w:spacing w:val="48"/>
        </w:rPr>
        <w:t xml:space="preserve"> </w:t>
      </w:r>
      <w:r>
        <w:rPr>
          <w:spacing w:val="-2"/>
        </w:rPr>
        <w:t>on</w:t>
      </w:r>
      <w:r>
        <w:rPr>
          <w:spacing w:val="46"/>
        </w:rPr>
        <w:t xml:space="preserve"> </w:t>
      </w:r>
      <w:r>
        <w:t>the</w:t>
      </w:r>
      <w:r>
        <w:rPr>
          <w:spacing w:val="46"/>
        </w:rPr>
        <w:t xml:space="preserve"> </w:t>
      </w:r>
      <w:r>
        <w:rPr>
          <w:spacing w:val="-1"/>
        </w:rPr>
        <w:t>Goods</w:t>
      </w:r>
      <w:r>
        <w:rPr>
          <w:spacing w:val="46"/>
        </w:rPr>
        <w:t xml:space="preserve"> </w:t>
      </w:r>
      <w:r>
        <w:rPr>
          <w:spacing w:val="-1"/>
        </w:rPr>
        <w:t>and/or</w:t>
      </w:r>
      <w:r>
        <w:rPr>
          <w:spacing w:val="31"/>
        </w:rPr>
        <w:t xml:space="preserve"> </w:t>
      </w:r>
      <w:r>
        <w:rPr>
          <w:spacing w:val="-1"/>
        </w:rPr>
        <w:t>Services</w:t>
      </w:r>
      <w:r>
        <w:rPr>
          <w:spacing w:val="13"/>
        </w:rPr>
        <w:t xml:space="preserve"> </w:t>
      </w:r>
      <w:r>
        <w:rPr>
          <w:spacing w:val="-1"/>
        </w:rPr>
        <w:t>(or</w:t>
      </w:r>
      <w:r>
        <w:rPr>
          <w:spacing w:val="14"/>
        </w:rPr>
        <w:t xml:space="preserve"> </w:t>
      </w:r>
      <w:r>
        <w:t>the</w:t>
      </w:r>
      <w:r>
        <w:rPr>
          <w:spacing w:val="12"/>
        </w:rPr>
        <w:t xml:space="preserve"> </w:t>
      </w:r>
      <w:r>
        <w:rPr>
          <w:spacing w:val="-2"/>
        </w:rPr>
        <w:t>relevant</w:t>
      </w:r>
      <w:r>
        <w:rPr>
          <w:spacing w:val="11"/>
        </w:rPr>
        <w:t xml:space="preserve"> </w:t>
      </w:r>
      <w:r>
        <w:rPr>
          <w:spacing w:val="-1"/>
        </w:rPr>
        <w:t>part</w:t>
      </w:r>
      <w:r>
        <w:rPr>
          <w:spacing w:val="14"/>
        </w:rPr>
        <w:t xml:space="preserve"> </w:t>
      </w:r>
      <w:r>
        <w:rPr>
          <w:spacing w:val="-2"/>
        </w:rPr>
        <w:t>of</w:t>
      </w:r>
      <w:r>
        <w:rPr>
          <w:spacing w:val="14"/>
        </w:rPr>
        <w:t xml:space="preserve"> </w:t>
      </w:r>
      <w:r>
        <w:t>the</w:t>
      </w:r>
      <w:r>
        <w:rPr>
          <w:spacing w:val="11"/>
        </w:rPr>
        <w:t xml:space="preserve"> </w:t>
      </w:r>
      <w:r>
        <w:rPr>
          <w:spacing w:val="-1"/>
        </w:rPr>
        <w:t>Goods</w:t>
      </w:r>
      <w:r>
        <w:rPr>
          <w:spacing w:val="13"/>
        </w:rPr>
        <w:t xml:space="preserve"> </w:t>
      </w:r>
      <w:r>
        <w:rPr>
          <w:spacing w:val="-1"/>
        </w:rPr>
        <w:t>and/or</w:t>
      </w:r>
      <w:r>
        <w:rPr>
          <w:spacing w:val="14"/>
        </w:rPr>
        <w:t xml:space="preserve"> </w:t>
      </w:r>
      <w:r>
        <w:rPr>
          <w:spacing w:val="-1"/>
        </w:rPr>
        <w:t>Services)</w:t>
      </w:r>
      <w:r>
        <w:rPr>
          <w:spacing w:val="14"/>
        </w:rPr>
        <w:t xml:space="preserve"> </w:t>
      </w:r>
      <w:r>
        <w:rPr>
          <w:spacing w:val="-1"/>
        </w:rPr>
        <w:t>by</w:t>
      </w:r>
      <w:r>
        <w:rPr>
          <w:spacing w:val="10"/>
        </w:rPr>
        <w:t xml:space="preserve"> </w:t>
      </w:r>
      <w:r>
        <w:rPr>
          <w:spacing w:val="-1"/>
        </w:rPr>
        <w:t>any</w:t>
      </w:r>
      <w:r>
        <w:rPr>
          <w:spacing w:val="10"/>
        </w:rPr>
        <w:t xml:space="preserve"> </w:t>
      </w:r>
      <w:r>
        <w:rPr>
          <w:spacing w:val="-1"/>
        </w:rPr>
        <w:t>of</w:t>
      </w:r>
      <w:r>
        <w:rPr>
          <w:spacing w:val="36"/>
        </w:rPr>
        <w:t xml:space="preserve"> </w:t>
      </w:r>
      <w:r>
        <w:t>the</w:t>
      </w:r>
      <w:r>
        <w:rPr>
          <w:spacing w:val="2"/>
        </w:rPr>
        <w:t xml:space="preserve"> </w:t>
      </w:r>
      <w:r>
        <w:rPr>
          <w:spacing w:val="-2"/>
        </w:rPr>
        <w:t>Supplier</w:t>
      </w:r>
      <w:r>
        <w:rPr>
          <w:spacing w:val="3"/>
        </w:rPr>
        <w:t xml:space="preserve"> </w:t>
      </w:r>
      <w:r>
        <w:rPr>
          <w:spacing w:val="-1"/>
        </w:rPr>
        <w:t>Personnel</w:t>
      </w:r>
      <w:r>
        <w:rPr>
          <w:spacing w:val="59"/>
        </w:rPr>
        <w:t xml:space="preserve"> </w:t>
      </w:r>
      <w:r>
        <w:rPr>
          <w:spacing w:val="-1"/>
        </w:rPr>
        <w:t>save</w:t>
      </w:r>
      <w:r>
        <w:rPr>
          <w:spacing w:val="60"/>
        </w:rPr>
        <w:t xml:space="preserve"> </w:t>
      </w:r>
      <w:r>
        <w:t xml:space="preserve">for  </w:t>
      </w:r>
      <w:r>
        <w:rPr>
          <w:spacing w:val="-1"/>
        </w:rPr>
        <w:t>fulfilling</w:t>
      </w:r>
      <w:r>
        <w:rPr>
          <w:spacing w:val="4"/>
        </w:rPr>
        <w:t xml:space="preserve"> </w:t>
      </w:r>
      <w:r>
        <w:rPr>
          <w:spacing w:val="-1"/>
        </w:rPr>
        <w:t>assignments</w:t>
      </w:r>
      <w:r>
        <w:t xml:space="preserve">  </w:t>
      </w:r>
      <w:r>
        <w:rPr>
          <w:spacing w:val="-1"/>
        </w:rPr>
        <w:t>and</w:t>
      </w:r>
      <w:r>
        <w:rPr>
          <w:spacing w:val="2"/>
        </w:rPr>
        <w:t xml:space="preserve"> </w:t>
      </w:r>
      <w:r>
        <w:rPr>
          <w:spacing w:val="-1"/>
        </w:rPr>
        <w:t>projects</w:t>
      </w:r>
      <w:r>
        <w:rPr>
          <w:spacing w:val="37"/>
        </w:rPr>
        <w:t xml:space="preserve"> </w:t>
      </w:r>
      <w:r>
        <w:rPr>
          <w:spacing w:val="-1"/>
        </w:rPr>
        <w:t>previously</w:t>
      </w:r>
      <w:r>
        <w:rPr>
          <w:spacing w:val="-2"/>
        </w:rPr>
        <w:t xml:space="preserve"> </w:t>
      </w:r>
      <w:r>
        <w:rPr>
          <w:spacing w:val="-1"/>
        </w:rPr>
        <w:t>scheduled</w:t>
      </w:r>
      <w:r>
        <w:t xml:space="preserve"> </w:t>
      </w:r>
      <w:r>
        <w:rPr>
          <w:spacing w:val="-1"/>
        </w:rPr>
        <w:t>and</w:t>
      </w:r>
      <w:r>
        <w:t xml:space="preserve"> </w:t>
      </w:r>
      <w:r>
        <w:rPr>
          <w:spacing w:val="-1"/>
        </w:rPr>
        <w:t>agreed;</w:t>
      </w:r>
    </w:p>
    <w:p w:rsidR="008918FA" w:rsidRDefault="008918FA" w:rsidP="008918FA">
      <w:pPr>
        <w:pStyle w:val="BodyText"/>
        <w:numPr>
          <w:ilvl w:val="2"/>
          <w:numId w:val="7"/>
        </w:numPr>
        <w:tabs>
          <w:tab w:val="left" w:pos="1887"/>
        </w:tabs>
        <w:spacing w:before="121"/>
        <w:ind w:left="1886" w:right="114"/>
        <w:jc w:val="both"/>
      </w:pPr>
      <w:r>
        <w:rPr>
          <w:spacing w:val="-1"/>
        </w:rPr>
        <w:t>introduce</w:t>
      </w:r>
      <w:r>
        <w:rPr>
          <w:spacing w:val="41"/>
        </w:rPr>
        <w:t xml:space="preserve"> </w:t>
      </w:r>
      <w:r>
        <w:rPr>
          <w:spacing w:val="-1"/>
        </w:rPr>
        <w:t>any</w:t>
      </w:r>
      <w:r>
        <w:rPr>
          <w:spacing w:val="39"/>
        </w:rPr>
        <w:t xml:space="preserve"> </w:t>
      </w:r>
      <w:r>
        <w:rPr>
          <w:spacing w:val="-1"/>
        </w:rPr>
        <w:t>new</w:t>
      </w:r>
      <w:r>
        <w:rPr>
          <w:spacing w:val="38"/>
        </w:rPr>
        <w:t xml:space="preserve"> </w:t>
      </w:r>
      <w:r>
        <w:rPr>
          <w:spacing w:val="-1"/>
        </w:rPr>
        <w:t>contractual</w:t>
      </w:r>
      <w:r>
        <w:rPr>
          <w:spacing w:val="40"/>
        </w:rPr>
        <w:t xml:space="preserve"> </w:t>
      </w:r>
      <w:r>
        <w:rPr>
          <w:spacing w:val="-2"/>
        </w:rPr>
        <w:t>or</w:t>
      </w:r>
      <w:r>
        <w:rPr>
          <w:spacing w:val="42"/>
        </w:rPr>
        <w:t xml:space="preserve"> </w:t>
      </w:r>
      <w:r>
        <w:rPr>
          <w:spacing w:val="-1"/>
        </w:rPr>
        <w:t>customary</w:t>
      </w:r>
      <w:r>
        <w:rPr>
          <w:spacing w:val="39"/>
        </w:rPr>
        <w:t xml:space="preserve"> </w:t>
      </w:r>
      <w:r>
        <w:rPr>
          <w:spacing w:val="-1"/>
        </w:rPr>
        <w:t>practice</w:t>
      </w:r>
      <w:r>
        <w:rPr>
          <w:spacing w:val="42"/>
        </w:rPr>
        <w:t xml:space="preserve"> </w:t>
      </w:r>
      <w:r>
        <w:rPr>
          <w:spacing w:val="-1"/>
        </w:rPr>
        <w:t>concerning</w:t>
      </w:r>
      <w:r>
        <w:rPr>
          <w:spacing w:val="41"/>
        </w:rPr>
        <w:t xml:space="preserve"> </w:t>
      </w:r>
      <w:r>
        <w:rPr>
          <w:spacing w:val="-1"/>
        </w:rPr>
        <w:t>the</w:t>
      </w:r>
      <w:r>
        <w:rPr>
          <w:spacing w:val="36"/>
        </w:rPr>
        <w:t xml:space="preserve"> </w:t>
      </w:r>
      <w:r>
        <w:rPr>
          <w:spacing w:val="-1"/>
        </w:rPr>
        <w:t>making</w:t>
      </w:r>
      <w:r>
        <w:rPr>
          <w:spacing w:val="5"/>
        </w:rPr>
        <w:t xml:space="preserve"> </w:t>
      </w:r>
      <w:r>
        <w:rPr>
          <w:spacing w:val="-2"/>
        </w:rPr>
        <w:t>of</w:t>
      </w:r>
      <w:r>
        <w:rPr>
          <w:spacing w:val="9"/>
        </w:rPr>
        <w:t xml:space="preserve"> </w:t>
      </w:r>
      <w:r>
        <w:rPr>
          <w:spacing w:val="-1"/>
        </w:rPr>
        <w:t>any</w:t>
      </w:r>
      <w:r>
        <w:rPr>
          <w:spacing w:val="3"/>
        </w:rPr>
        <w:t xml:space="preserve"> </w:t>
      </w:r>
      <w:r>
        <w:rPr>
          <w:spacing w:val="-1"/>
        </w:rPr>
        <w:t>lump</w:t>
      </w:r>
      <w:r>
        <w:rPr>
          <w:spacing w:val="5"/>
        </w:rPr>
        <w:t xml:space="preserve"> </w:t>
      </w:r>
      <w:r>
        <w:rPr>
          <w:spacing w:val="-2"/>
        </w:rPr>
        <w:t>sum</w:t>
      </w:r>
      <w:r>
        <w:rPr>
          <w:spacing w:val="4"/>
        </w:rPr>
        <w:t xml:space="preserve"> </w:t>
      </w:r>
      <w:r>
        <w:rPr>
          <w:spacing w:val="-1"/>
        </w:rPr>
        <w:t>payment</w:t>
      </w:r>
      <w:r>
        <w:rPr>
          <w:spacing w:val="7"/>
        </w:rPr>
        <w:t xml:space="preserve"> </w:t>
      </w:r>
      <w:r>
        <w:rPr>
          <w:spacing w:val="-1"/>
        </w:rPr>
        <w:t>on</w:t>
      </w:r>
      <w:r>
        <w:rPr>
          <w:spacing w:val="5"/>
        </w:rPr>
        <w:t xml:space="preserve"> </w:t>
      </w:r>
      <w:r>
        <w:t>the</w:t>
      </w:r>
      <w:r>
        <w:rPr>
          <w:spacing w:val="3"/>
        </w:rPr>
        <w:t xml:space="preserve"> </w:t>
      </w:r>
      <w:r>
        <w:rPr>
          <w:spacing w:val="-1"/>
        </w:rPr>
        <w:t>termination</w:t>
      </w:r>
      <w:r>
        <w:rPr>
          <w:spacing w:val="5"/>
        </w:rPr>
        <w:t xml:space="preserve"> </w:t>
      </w:r>
      <w:r>
        <w:rPr>
          <w:spacing w:val="-2"/>
        </w:rPr>
        <w:t>of</w:t>
      </w:r>
      <w:r>
        <w:rPr>
          <w:spacing w:val="9"/>
        </w:rPr>
        <w:t xml:space="preserve"> </w:t>
      </w:r>
      <w:r>
        <w:rPr>
          <w:spacing w:val="-2"/>
        </w:rPr>
        <w:t>employment</w:t>
      </w:r>
      <w:r>
        <w:rPr>
          <w:spacing w:val="7"/>
        </w:rPr>
        <w:t xml:space="preserve"> </w:t>
      </w:r>
      <w:r>
        <w:rPr>
          <w:spacing w:val="-2"/>
        </w:rPr>
        <w:t>of</w:t>
      </w:r>
      <w:r>
        <w:rPr>
          <w:spacing w:val="39"/>
        </w:rPr>
        <w:t xml:space="preserve"> </w:t>
      </w:r>
      <w:r>
        <w:rPr>
          <w:spacing w:val="-1"/>
        </w:rPr>
        <w:t>any</w:t>
      </w:r>
      <w:r>
        <w:rPr>
          <w:spacing w:val="-2"/>
        </w:rPr>
        <w:t xml:space="preserve"> employees</w:t>
      </w:r>
      <w:r>
        <w:rPr>
          <w:spacing w:val="1"/>
        </w:rPr>
        <w:t xml:space="preserve"> </w:t>
      </w:r>
      <w:r>
        <w:rPr>
          <w:spacing w:val="-1"/>
        </w:rPr>
        <w:t>listed</w:t>
      </w:r>
      <w:r>
        <w:t xml:space="preserve"> </w:t>
      </w:r>
      <w:r>
        <w:rPr>
          <w:spacing w:val="-1"/>
        </w:rPr>
        <w:t>on</w:t>
      </w:r>
      <w:r>
        <w:rPr>
          <w:spacing w:val="-2"/>
        </w:rPr>
        <w:t xml:space="preserve"> </w:t>
      </w:r>
      <w:r>
        <w:t xml:space="preserve">the </w:t>
      </w:r>
      <w:r>
        <w:rPr>
          <w:spacing w:val="-1"/>
        </w:rPr>
        <w:t>Supplier's</w:t>
      </w:r>
      <w:r>
        <w:rPr>
          <w:spacing w:val="-2"/>
        </w:rPr>
        <w:t xml:space="preserve"> Provisional</w:t>
      </w:r>
      <w:r>
        <w:t xml:space="preserve"> </w:t>
      </w:r>
      <w:r>
        <w:rPr>
          <w:spacing w:val="-1"/>
        </w:rPr>
        <w:t>Personnel</w:t>
      </w:r>
      <w:r>
        <w:t xml:space="preserve"> </w:t>
      </w:r>
      <w:r>
        <w:rPr>
          <w:spacing w:val="-1"/>
        </w:rPr>
        <w:t>List;</w:t>
      </w:r>
    </w:p>
    <w:p w:rsidR="008918FA" w:rsidRDefault="008918FA" w:rsidP="008918FA">
      <w:pPr>
        <w:pStyle w:val="BodyText"/>
        <w:numPr>
          <w:ilvl w:val="2"/>
          <w:numId w:val="7"/>
        </w:numPr>
        <w:tabs>
          <w:tab w:val="left" w:pos="1887"/>
        </w:tabs>
        <w:ind w:left="1886" w:right="111"/>
        <w:jc w:val="both"/>
      </w:pPr>
      <w:r>
        <w:rPr>
          <w:spacing w:val="-1"/>
        </w:rPr>
        <w:t>increase</w:t>
      </w:r>
      <w:r>
        <w:rPr>
          <w:spacing w:val="53"/>
        </w:rPr>
        <w:t xml:space="preserve"> </w:t>
      </w:r>
      <w:r>
        <w:rPr>
          <w:spacing w:val="-1"/>
        </w:rPr>
        <w:t>or</w:t>
      </w:r>
      <w:r>
        <w:rPr>
          <w:spacing w:val="54"/>
        </w:rPr>
        <w:t xml:space="preserve"> </w:t>
      </w:r>
      <w:r>
        <w:rPr>
          <w:spacing w:val="-1"/>
        </w:rPr>
        <w:t>reduce</w:t>
      </w:r>
      <w:r>
        <w:rPr>
          <w:spacing w:val="53"/>
        </w:rPr>
        <w:t xml:space="preserve"> </w:t>
      </w:r>
      <w:r>
        <w:t>the</w:t>
      </w:r>
      <w:r>
        <w:rPr>
          <w:spacing w:val="51"/>
        </w:rPr>
        <w:t xml:space="preserve"> </w:t>
      </w:r>
      <w:r>
        <w:t>total</w:t>
      </w:r>
      <w:r>
        <w:rPr>
          <w:spacing w:val="52"/>
        </w:rPr>
        <w:t xml:space="preserve"> </w:t>
      </w:r>
      <w:r>
        <w:rPr>
          <w:spacing w:val="-1"/>
        </w:rPr>
        <w:t>number</w:t>
      </w:r>
      <w:r>
        <w:rPr>
          <w:spacing w:val="54"/>
        </w:rPr>
        <w:t xml:space="preserve"> </w:t>
      </w:r>
      <w:r>
        <w:rPr>
          <w:spacing w:val="-2"/>
        </w:rPr>
        <w:t>of</w:t>
      </w:r>
      <w:r>
        <w:rPr>
          <w:spacing w:val="58"/>
        </w:rPr>
        <w:t xml:space="preserve"> </w:t>
      </w:r>
      <w:r>
        <w:rPr>
          <w:spacing w:val="-2"/>
        </w:rPr>
        <w:t>employees</w:t>
      </w:r>
      <w:r>
        <w:rPr>
          <w:spacing w:val="53"/>
        </w:rPr>
        <w:t xml:space="preserve"> </w:t>
      </w:r>
      <w:r>
        <w:rPr>
          <w:spacing w:val="-1"/>
        </w:rPr>
        <w:t>so</w:t>
      </w:r>
      <w:r>
        <w:rPr>
          <w:spacing w:val="53"/>
        </w:rPr>
        <w:t xml:space="preserve"> </w:t>
      </w:r>
      <w:r>
        <w:rPr>
          <w:spacing w:val="-1"/>
        </w:rPr>
        <w:t>engaged,</w:t>
      </w:r>
      <w:r>
        <w:rPr>
          <w:spacing w:val="55"/>
        </w:rPr>
        <w:t xml:space="preserve"> </w:t>
      </w:r>
      <w:r>
        <w:rPr>
          <w:spacing w:val="-1"/>
        </w:rPr>
        <w:t>or</w:t>
      </w:r>
      <w:r>
        <w:rPr>
          <w:spacing w:val="44"/>
        </w:rPr>
        <w:t xml:space="preserve"> </w:t>
      </w:r>
      <w:r>
        <w:rPr>
          <w:spacing w:val="-1"/>
        </w:rPr>
        <w:t>deploy</w:t>
      </w:r>
      <w:r>
        <w:rPr>
          <w:spacing w:val="10"/>
        </w:rPr>
        <w:t xml:space="preserve"> </w:t>
      </w:r>
      <w:r>
        <w:t>any</w:t>
      </w:r>
      <w:r>
        <w:rPr>
          <w:spacing w:val="10"/>
        </w:rPr>
        <w:t xml:space="preserve"> </w:t>
      </w:r>
      <w:r>
        <w:rPr>
          <w:spacing w:val="-1"/>
        </w:rPr>
        <w:t>other</w:t>
      </w:r>
      <w:r>
        <w:rPr>
          <w:spacing w:val="14"/>
        </w:rPr>
        <w:t xml:space="preserve"> </w:t>
      </w:r>
      <w:r>
        <w:rPr>
          <w:spacing w:val="-1"/>
        </w:rPr>
        <w:t>person</w:t>
      </w:r>
      <w:r>
        <w:rPr>
          <w:spacing w:val="10"/>
        </w:rPr>
        <w:t xml:space="preserve"> </w:t>
      </w:r>
      <w:r>
        <w:t>to</w:t>
      </w:r>
      <w:r>
        <w:rPr>
          <w:spacing w:val="12"/>
        </w:rPr>
        <w:t xml:space="preserve"> </w:t>
      </w:r>
      <w:r>
        <w:rPr>
          <w:spacing w:val="-1"/>
        </w:rPr>
        <w:t>perform</w:t>
      </w:r>
      <w:r>
        <w:rPr>
          <w:spacing w:val="11"/>
        </w:rPr>
        <w:t xml:space="preserve"> </w:t>
      </w:r>
      <w:r>
        <w:t>the</w:t>
      </w:r>
      <w:r>
        <w:rPr>
          <w:spacing w:val="10"/>
        </w:rPr>
        <w:t xml:space="preserve"> </w:t>
      </w:r>
      <w:r>
        <w:rPr>
          <w:spacing w:val="-1"/>
        </w:rPr>
        <w:t>Goods</w:t>
      </w:r>
      <w:r>
        <w:rPr>
          <w:spacing w:val="13"/>
        </w:rPr>
        <w:t xml:space="preserve"> </w:t>
      </w:r>
      <w:r>
        <w:rPr>
          <w:spacing w:val="-1"/>
        </w:rPr>
        <w:t>and/or</w:t>
      </w:r>
      <w:r>
        <w:rPr>
          <w:spacing w:val="14"/>
        </w:rPr>
        <w:t xml:space="preserve"> </w:t>
      </w:r>
      <w:r>
        <w:rPr>
          <w:spacing w:val="-2"/>
        </w:rPr>
        <w:t>Services</w:t>
      </w:r>
      <w:r>
        <w:rPr>
          <w:spacing w:val="15"/>
        </w:rPr>
        <w:t xml:space="preserve"> </w:t>
      </w:r>
      <w:r>
        <w:rPr>
          <w:spacing w:val="-1"/>
        </w:rPr>
        <w:t>(or</w:t>
      </w:r>
      <w:r>
        <w:rPr>
          <w:spacing w:val="11"/>
        </w:rPr>
        <w:t xml:space="preserve"> </w:t>
      </w:r>
      <w:r>
        <w:rPr>
          <w:spacing w:val="-1"/>
        </w:rPr>
        <w:t>the</w:t>
      </w:r>
      <w:r>
        <w:rPr>
          <w:spacing w:val="38"/>
        </w:rPr>
        <w:t xml:space="preserve"> </w:t>
      </w:r>
      <w:r>
        <w:rPr>
          <w:spacing w:val="-2"/>
        </w:rPr>
        <w:t>relevant</w:t>
      </w:r>
      <w:r>
        <w:rPr>
          <w:spacing w:val="2"/>
        </w:rPr>
        <w:t xml:space="preserve"> </w:t>
      </w:r>
      <w:r>
        <w:rPr>
          <w:spacing w:val="-1"/>
        </w:rPr>
        <w:t>part</w:t>
      </w:r>
      <w:r>
        <w:t xml:space="preserve"> </w:t>
      </w:r>
      <w:r>
        <w:rPr>
          <w:spacing w:val="-2"/>
        </w:rPr>
        <w:t>of</w:t>
      </w:r>
      <w:r>
        <w:t xml:space="preserve"> the</w:t>
      </w:r>
      <w:r>
        <w:rPr>
          <w:spacing w:val="-2"/>
        </w:rPr>
        <w:t xml:space="preserve"> </w:t>
      </w:r>
      <w:r>
        <w:rPr>
          <w:spacing w:val="-1"/>
        </w:rPr>
        <w:t>Goods</w:t>
      </w:r>
      <w:r>
        <w:rPr>
          <w:spacing w:val="1"/>
        </w:rPr>
        <w:t xml:space="preserve"> </w:t>
      </w:r>
      <w:r>
        <w:rPr>
          <w:spacing w:val="-1"/>
        </w:rPr>
        <w:t>and/or</w:t>
      </w:r>
      <w:r>
        <w:rPr>
          <w:spacing w:val="2"/>
        </w:rPr>
        <w:t xml:space="preserve"> </w:t>
      </w:r>
      <w:r>
        <w:rPr>
          <w:spacing w:val="-1"/>
        </w:rPr>
        <w:t>Services);</w:t>
      </w:r>
      <w:r>
        <w:rPr>
          <w:spacing w:val="2"/>
        </w:rPr>
        <w:t xml:space="preserve"> </w:t>
      </w:r>
      <w:r>
        <w:rPr>
          <w:spacing w:val="-3"/>
        </w:rPr>
        <w:t>or</w:t>
      </w:r>
    </w:p>
    <w:p w:rsidR="008918FA" w:rsidRDefault="008918FA" w:rsidP="008918FA">
      <w:pPr>
        <w:pStyle w:val="BodyText"/>
        <w:numPr>
          <w:ilvl w:val="2"/>
          <w:numId w:val="7"/>
        </w:numPr>
        <w:tabs>
          <w:tab w:val="left" w:pos="1887"/>
        </w:tabs>
        <w:ind w:left="1886" w:right="116"/>
        <w:jc w:val="both"/>
      </w:pPr>
      <w:r>
        <w:rPr>
          <w:spacing w:val="-1"/>
        </w:rPr>
        <w:t>terminate</w:t>
      </w:r>
      <w:r>
        <w:rPr>
          <w:spacing w:val="31"/>
        </w:rPr>
        <w:t xml:space="preserve"> </w:t>
      </w:r>
      <w:r>
        <w:rPr>
          <w:spacing w:val="-1"/>
        </w:rPr>
        <w:t>or</w:t>
      </w:r>
      <w:r>
        <w:rPr>
          <w:spacing w:val="30"/>
        </w:rPr>
        <w:t xml:space="preserve"> </w:t>
      </w:r>
      <w:r>
        <w:rPr>
          <w:spacing w:val="-1"/>
        </w:rPr>
        <w:t>give</w:t>
      </w:r>
      <w:r>
        <w:rPr>
          <w:spacing w:val="31"/>
        </w:rPr>
        <w:t xml:space="preserve"> </w:t>
      </w:r>
      <w:r>
        <w:rPr>
          <w:spacing w:val="-1"/>
        </w:rPr>
        <w:t>notice</w:t>
      </w:r>
      <w:r>
        <w:rPr>
          <w:spacing w:val="32"/>
        </w:rPr>
        <w:t xml:space="preserve"> </w:t>
      </w:r>
      <w:r>
        <w:t>to</w:t>
      </w:r>
      <w:r>
        <w:rPr>
          <w:spacing w:val="31"/>
        </w:rPr>
        <w:t xml:space="preserve"> </w:t>
      </w:r>
      <w:r>
        <w:rPr>
          <w:spacing w:val="-1"/>
        </w:rPr>
        <w:t>terminate</w:t>
      </w:r>
      <w:r>
        <w:rPr>
          <w:spacing w:val="31"/>
        </w:rPr>
        <w:t xml:space="preserve"> </w:t>
      </w:r>
      <w:r>
        <w:t>the</w:t>
      </w:r>
      <w:r>
        <w:rPr>
          <w:spacing w:val="32"/>
        </w:rPr>
        <w:t xml:space="preserve"> </w:t>
      </w:r>
      <w:r>
        <w:rPr>
          <w:spacing w:val="-2"/>
        </w:rPr>
        <w:t>employment</w:t>
      </w:r>
      <w:r>
        <w:rPr>
          <w:spacing w:val="33"/>
        </w:rPr>
        <w:t xml:space="preserve"> </w:t>
      </w:r>
      <w:r>
        <w:rPr>
          <w:spacing w:val="-1"/>
        </w:rPr>
        <w:t>or</w:t>
      </w:r>
      <w:r>
        <w:rPr>
          <w:spacing w:val="33"/>
        </w:rPr>
        <w:t xml:space="preserve"> </w:t>
      </w:r>
      <w:r>
        <w:rPr>
          <w:spacing w:val="-1"/>
        </w:rPr>
        <w:t>contracts</w:t>
      </w:r>
      <w:r>
        <w:rPr>
          <w:spacing w:val="32"/>
        </w:rPr>
        <w:t xml:space="preserve"> </w:t>
      </w:r>
      <w:r>
        <w:rPr>
          <w:spacing w:val="-2"/>
        </w:rPr>
        <w:t>of</w:t>
      </w:r>
      <w:r>
        <w:rPr>
          <w:spacing w:val="57"/>
        </w:rPr>
        <w:t xml:space="preserve"> </w:t>
      </w:r>
      <w:r>
        <w:rPr>
          <w:spacing w:val="-1"/>
        </w:rPr>
        <w:t>any</w:t>
      </w:r>
      <w:r>
        <w:rPr>
          <w:spacing w:val="15"/>
        </w:rPr>
        <w:t xml:space="preserve"> </w:t>
      </w:r>
      <w:r>
        <w:rPr>
          <w:spacing w:val="-1"/>
        </w:rPr>
        <w:t>persons</w:t>
      </w:r>
      <w:r>
        <w:rPr>
          <w:spacing w:val="18"/>
        </w:rPr>
        <w:t xml:space="preserve"> </w:t>
      </w:r>
      <w:r>
        <w:rPr>
          <w:spacing w:val="-1"/>
        </w:rPr>
        <w:t>on</w:t>
      </w:r>
      <w:r>
        <w:rPr>
          <w:spacing w:val="17"/>
        </w:rPr>
        <w:t xml:space="preserve"> </w:t>
      </w:r>
      <w:r>
        <w:t>the</w:t>
      </w:r>
      <w:r>
        <w:rPr>
          <w:spacing w:val="17"/>
        </w:rPr>
        <w:t xml:space="preserve"> </w:t>
      </w:r>
      <w:r>
        <w:rPr>
          <w:spacing w:val="-1"/>
        </w:rPr>
        <w:t>Supplier's</w:t>
      </w:r>
      <w:r>
        <w:rPr>
          <w:spacing w:val="18"/>
        </w:rPr>
        <w:t xml:space="preserve"> </w:t>
      </w:r>
      <w:r>
        <w:rPr>
          <w:spacing w:val="-2"/>
        </w:rPr>
        <w:t>Provisional</w:t>
      </w:r>
      <w:r>
        <w:rPr>
          <w:spacing w:val="19"/>
        </w:rPr>
        <w:t xml:space="preserve"> </w:t>
      </w:r>
      <w:r>
        <w:rPr>
          <w:spacing w:val="-1"/>
        </w:rPr>
        <w:t>Personnel</w:t>
      </w:r>
      <w:r>
        <w:rPr>
          <w:spacing w:val="17"/>
        </w:rPr>
        <w:t xml:space="preserve"> </w:t>
      </w:r>
      <w:r>
        <w:rPr>
          <w:spacing w:val="-1"/>
        </w:rPr>
        <w:t>List</w:t>
      </w:r>
      <w:r>
        <w:rPr>
          <w:spacing w:val="19"/>
        </w:rPr>
        <w:t xml:space="preserve"> </w:t>
      </w:r>
      <w:r>
        <w:rPr>
          <w:spacing w:val="-1"/>
        </w:rPr>
        <w:t>save</w:t>
      </w:r>
      <w:r>
        <w:rPr>
          <w:spacing w:val="17"/>
        </w:rPr>
        <w:t xml:space="preserve"> </w:t>
      </w:r>
      <w:r>
        <w:rPr>
          <w:spacing w:val="1"/>
        </w:rPr>
        <w:t>by</w:t>
      </w:r>
      <w:r>
        <w:rPr>
          <w:spacing w:val="15"/>
        </w:rPr>
        <w:t xml:space="preserve"> </w:t>
      </w:r>
      <w:r>
        <w:t>due</w:t>
      </w:r>
      <w:r>
        <w:rPr>
          <w:spacing w:val="53"/>
        </w:rPr>
        <w:t xml:space="preserve"> </w:t>
      </w:r>
      <w:r>
        <w:rPr>
          <w:spacing w:val="-2"/>
        </w:rPr>
        <w:t xml:space="preserve">disciplinary </w:t>
      </w:r>
      <w:r>
        <w:rPr>
          <w:spacing w:val="-1"/>
        </w:rPr>
        <w:t>process,</w:t>
      </w:r>
    </w:p>
    <w:p w:rsidR="008918FA" w:rsidRDefault="008918FA" w:rsidP="008918FA">
      <w:pPr>
        <w:pStyle w:val="BodyText"/>
        <w:spacing w:before="121"/>
        <w:ind w:left="892" w:right="114" w:firstLine="0"/>
        <w:jc w:val="both"/>
      </w:pPr>
      <w:r>
        <w:rPr>
          <w:spacing w:val="-1"/>
        </w:rPr>
        <w:t>and</w:t>
      </w:r>
      <w:r>
        <w:rPr>
          <w:spacing w:val="29"/>
        </w:rPr>
        <w:t xml:space="preserve"> </w:t>
      </w:r>
      <w:r>
        <w:rPr>
          <w:spacing w:val="-1"/>
        </w:rPr>
        <w:t>shall</w:t>
      </w:r>
      <w:r>
        <w:rPr>
          <w:spacing w:val="28"/>
        </w:rPr>
        <w:t xml:space="preserve"> </w:t>
      </w:r>
      <w:r>
        <w:rPr>
          <w:spacing w:val="-1"/>
        </w:rPr>
        <w:t>promptly</w:t>
      </w:r>
      <w:r>
        <w:rPr>
          <w:spacing w:val="27"/>
        </w:rPr>
        <w:t xml:space="preserve"> </w:t>
      </w:r>
      <w:r>
        <w:rPr>
          <w:spacing w:val="-1"/>
        </w:rPr>
        <w:t>notify,</w:t>
      </w:r>
      <w:r>
        <w:rPr>
          <w:spacing w:val="30"/>
        </w:rPr>
        <w:t xml:space="preserve"> </w:t>
      </w:r>
      <w:r>
        <w:rPr>
          <w:spacing w:val="-1"/>
        </w:rPr>
        <w:t>and</w:t>
      </w:r>
      <w:r>
        <w:rPr>
          <w:spacing w:val="29"/>
        </w:rPr>
        <w:t xml:space="preserve"> </w:t>
      </w:r>
      <w:r>
        <w:rPr>
          <w:spacing w:val="-1"/>
        </w:rPr>
        <w:t>procure</w:t>
      </w:r>
      <w:r>
        <w:rPr>
          <w:spacing w:val="29"/>
        </w:rPr>
        <w:t xml:space="preserve"> </w:t>
      </w:r>
      <w:r>
        <w:rPr>
          <w:spacing w:val="-1"/>
        </w:rPr>
        <w:t>that</w:t>
      </w:r>
      <w:r>
        <w:rPr>
          <w:spacing w:val="30"/>
        </w:rPr>
        <w:t xml:space="preserve"> </w:t>
      </w:r>
      <w:r>
        <w:rPr>
          <w:spacing w:val="-2"/>
        </w:rPr>
        <w:t>each</w:t>
      </w:r>
      <w:r>
        <w:rPr>
          <w:spacing w:val="29"/>
        </w:rPr>
        <w:t xml:space="preserve"> </w:t>
      </w:r>
      <w:r>
        <w:rPr>
          <w:spacing w:val="-1"/>
        </w:rPr>
        <w:t>Sub-Contractor</w:t>
      </w:r>
      <w:r>
        <w:rPr>
          <w:spacing w:val="30"/>
        </w:rPr>
        <w:t xml:space="preserve"> </w:t>
      </w:r>
      <w:r>
        <w:rPr>
          <w:spacing w:val="-1"/>
        </w:rPr>
        <w:t>shall</w:t>
      </w:r>
      <w:r>
        <w:rPr>
          <w:spacing w:val="28"/>
        </w:rPr>
        <w:t xml:space="preserve"> </w:t>
      </w:r>
      <w:r>
        <w:rPr>
          <w:spacing w:val="-1"/>
        </w:rPr>
        <w:t>promptly</w:t>
      </w:r>
      <w:r>
        <w:rPr>
          <w:spacing w:val="63"/>
        </w:rPr>
        <w:t xml:space="preserve"> </w:t>
      </w:r>
      <w:r>
        <w:rPr>
          <w:spacing w:val="-1"/>
        </w:rPr>
        <w:t>notify,</w:t>
      </w:r>
      <w:r>
        <w:rPr>
          <w:spacing w:val="1"/>
        </w:rPr>
        <w:t xml:space="preserve"> </w:t>
      </w:r>
      <w:r>
        <w:t>the</w:t>
      </w:r>
      <w:r>
        <w:rPr>
          <w:spacing w:val="58"/>
        </w:rPr>
        <w:t xml:space="preserve"> </w:t>
      </w:r>
      <w:r>
        <w:rPr>
          <w:spacing w:val="-1"/>
        </w:rPr>
        <w:t>Customer</w:t>
      </w:r>
      <w:r>
        <w:rPr>
          <w:spacing w:val="59"/>
        </w:rPr>
        <w:t xml:space="preserve"> </w:t>
      </w:r>
      <w:r>
        <w:rPr>
          <w:spacing w:val="-1"/>
        </w:rPr>
        <w:t>or,</w:t>
      </w:r>
      <w:r>
        <w:rPr>
          <w:spacing w:val="1"/>
        </w:rPr>
        <w:t xml:space="preserve"> </w:t>
      </w:r>
      <w:r>
        <w:rPr>
          <w:spacing w:val="-1"/>
        </w:rPr>
        <w:t>at</w:t>
      </w:r>
      <w:r>
        <w:rPr>
          <w:spacing w:val="59"/>
        </w:rPr>
        <w:t xml:space="preserve"> </w:t>
      </w:r>
      <w:r>
        <w:t>the</w:t>
      </w:r>
      <w:r>
        <w:rPr>
          <w:spacing w:val="58"/>
        </w:rPr>
        <w:t xml:space="preserve"> </w:t>
      </w:r>
      <w:r>
        <w:rPr>
          <w:spacing w:val="-1"/>
        </w:rPr>
        <w:t>direction</w:t>
      </w:r>
      <w:r>
        <w:rPr>
          <w:spacing w:val="60"/>
        </w:rPr>
        <w:t xml:space="preserve"> </w:t>
      </w:r>
      <w:r>
        <w:rPr>
          <w:spacing w:val="-2"/>
        </w:rPr>
        <w:t>of</w:t>
      </w:r>
      <w:r>
        <w:t xml:space="preserve">  </w:t>
      </w:r>
      <w:r>
        <w:rPr>
          <w:spacing w:val="-1"/>
        </w:rPr>
        <w:t>the</w:t>
      </w:r>
      <w:r>
        <w:rPr>
          <w:spacing w:val="60"/>
        </w:rPr>
        <w:t xml:space="preserve"> </w:t>
      </w:r>
      <w:r>
        <w:rPr>
          <w:spacing w:val="-1"/>
        </w:rPr>
        <w:t>Customer,</w:t>
      </w:r>
      <w:r>
        <w:rPr>
          <w:spacing w:val="1"/>
        </w:rPr>
        <w:t xml:space="preserve"> </w:t>
      </w:r>
      <w:r>
        <w:rPr>
          <w:spacing w:val="-1"/>
        </w:rPr>
        <w:t>any</w:t>
      </w:r>
      <w:r>
        <w:rPr>
          <w:spacing w:val="59"/>
        </w:rPr>
        <w:t xml:space="preserve"> </w:t>
      </w:r>
      <w:r>
        <w:rPr>
          <w:spacing w:val="-1"/>
        </w:rPr>
        <w:t>Replacement</w:t>
      </w:r>
      <w:r>
        <w:rPr>
          <w:spacing w:val="27"/>
        </w:rPr>
        <w:t xml:space="preserve"> </w:t>
      </w:r>
      <w:r>
        <w:rPr>
          <w:spacing w:val="-2"/>
        </w:rPr>
        <w:t>Supplier</w:t>
      </w:r>
      <w:r>
        <w:rPr>
          <w:spacing w:val="32"/>
        </w:rPr>
        <w:t xml:space="preserve"> </w:t>
      </w:r>
      <w:r>
        <w:rPr>
          <w:spacing w:val="-1"/>
        </w:rPr>
        <w:t>and</w:t>
      </w:r>
      <w:r>
        <w:rPr>
          <w:spacing w:val="30"/>
        </w:rPr>
        <w:t xml:space="preserve"> </w:t>
      </w:r>
      <w:r>
        <w:rPr>
          <w:spacing w:val="-1"/>
        </w:rPr>
        <w:t>any</w:t>
      </w:r>
      <w:r>
        <w:rPr>
          <w:spacing w:val="28"/>
        </w:rPr>
        <w:t xml:space="preserve"> </w:t>
      </w:r>
      <w:r>
        <w:rPr>
          <w:spacing w:val="-1"/>
        </w:rPr>
        <w:t>Replacement</w:t>
      </w:r>
      <w:r>
        <w:rPr>
          <w:spacing w:val="30"/>
        </w:rPr>
        <w:t xml:space="preserve"> </w:t>
      </w:r>
      <w:r>
        <w:rPr>
          <w:spacing w:val="-1"/>
        </w:rPr>
        <w:t>Sub-Contractor</w:t>
      </w:r>
      <w:r>
        <w:rPr>
          <w:spacing w:val="32"/>
        </w:rPr>
        <w:t xml:space="preserve"> </w:t>
      </w:r>
      <w:r>
        <w:rPr>
          <w:spacing w:val="-2"/>
        </w:rPr>
        <w:t>of</w:t>
      </w:r>
      <w:r>
        <w:rPr>
          <w:spacing w:val="32"/>
        </w:rPr>
        <w:t xml:space="preserve"> </w:t>
      </w:r>
      <w:r>
        <w:rPr>
          <w:spacing w:val="-1"/>
        </w:rPr>
        <w:t>any</w:t>
      </w:r>
      <w:r>
        <w:rPr>
          <w:spacing w:val="28"/>
        </w:rPr>
        <w:t xml:space="preserve"> </w:t>
      </w:r>
      <w:r>
        <w:rPr>
          <w:spacing w:val="-1"/>
        </w:rPr>
        <w:t>notice</w:t>
      </w:r>
      <w:r>
        <w:rPr>
          <w:spacing w:val="28"/>
        </w:rPr>
        <w:t xml:space="preserve"> </w:t>
      </w:r>
      <w:r>
        <w:t>to</w:t>
      </w:r>
      <w:r>
        <w:rPr>
          <w:spacing w:val="28"/>
        </w:rPr>
        <w:t xml:space="preserve"> </w:t>
      </w:r>
      <w:r>
        <w:rPr>
          <w:spacing w:val="-1"/>
        </w:rPr>
        <w:t>terminate</w:t>
      </w:r>
      <w:r>
        <w:rPr>
          <w:spacing w:val="41"/>
        </w:rPr>
        <w:t xml:space="preserve"> </w:t>
      </w:r>
      <w:r>
        <w:rPr>
          <w:spacing w:val="-1"/>
        </w:rPr>
        <w:t>employment</w:t>
      </w:r>
      <w:r>
        <w:rPr>
          <w:spacing w:val="28"/>
        </w:rPr>
        <w:t xml:space="preserve"> </w:t>
      </w:r>
      <w:r>
        <w:rPr>
          <w:spacing w:val="-1"/>
        </w:rPr>
        <w:t>given</w:t>
      </w:r>
      <w:r>
        <w:rPr>
          <w:spacing w:val="29"/>
        </w:rPr>
        <w:t xml:space="preserve"> </w:t>
      </w:r>
      <w:r>
        <w:rPr>
          <w:spacing w:val="-1"/>
        </w:rPr>
        <w:t>by</w:t>
      </w:r>
      <w:r>
        <w:rPr>
          <w:spacing w:val="27"/>
        </w:rPr>
        <w:t xml:space="preserve"> </w:t>
      </w:r>
      <w:r>
        <w:t>the</w:t>
      </w:r>
      <w:r>
        <w:rPr>
          <w:spacing w:val="29"/>
        </w:rPr>
        <w:t xml:space="preserve"> </w:t>
      </w:r>
      <w:r>
        <w:rPr>
          <w:spacing w:val="-2"/>
        </w:rPr>
        <w:t>Supplier</w:t>
      </w:r>
      <w:r>
        <w:rPr>
          <w:spacing w:val="30"/>
        </w:rPr>
        <w:t xml:space="preserve"> </w:t>
      </w:r>
      <w:r>
        <w:rPr>
          <w:spacing w:val="-1"/>
        </w:rPr>
        <w:t>or</w:t>
      </w:r>
      <w:r>
        <w:rPr>
          <w:spacing w:val="30"/>
        </w:rPr>
        <w:t xml:space="preserve"> </w:t>
      </w:r>
      <w:r>
        <w:rPr>
          <w:spacing w:val="-2"/>
        </w:rPr>
        <w:t>relevant</w:t>
      </w:r>
      <w:r>
        <w:rPr>
          <w:spacing w:val="30"/>
        </w:rPr>
        <w:t xml:space="preserve"> </w:t>
      </w:r>
      <w:r>
        <w:rPr>
          <w:spacing w:val="-1"/>
        </w:rPr>
        <w:t>Sub-Contractor</w:t>
      </w:r>
      <w:r>
        <w:rPr>
          <w:spacing w:val="30"/>
        </w:rPr>
        <w:t xml:space="preserve"> </w:t>
      </w:r>
      <w:r>
        <w:rPr>
          <w:spacing w:val="-1"/>
        </w:rPr>
        <w:t>or</w:t>
      </w:r>
      <w:r>
        <w:rPr>
          <w:spacing w:val="28"/>
        </w:rPr>
        <w:t xml:space="preserve"> </w:t>
      </w:r>
      <w:r>
        <w:rPr>
          <w:spacing w:val="-1"/>
        </w:rPr>
        <w:t>received</w:t>
      </w:r>
      <w:r>
        <w:rPr>
          <w:spacing w:val="27"/>
        </w:rPr>
        <w:t xml:space="preserve"> </w:t>
      </w:r>
      <w:r>
        <w:t>from</w:t>
      </w:r>
      <w:r>
        <w:rPr>
          <w:spacing w:val="45"/>
        </w:rPr>
        <w:t xml:space="preserve"> </w:t>
      </w:r>
      <w:r>
        <w:rPr>
          <w:spacing w:val="-1"/>
        </w:rPr>
        <w:t>any</w:t>
      </w:r>
      <w:r>
        <w:rPr>
          <w:spacing w:val="49"/>
        </w:rPr>
        <w:t xml:space="preserve"> </w:t>
      </w:r>
      <w:r>
        <w:rPr>
          <w:spacing w:val="-1"/>
        </w:rPr>
        <w:t>persons</w:t>
      </w:r>
      <w:r>
        <w:rPr>
          <w:spacing w:val="51"/>
        </w:rPr>
        <w:t xml:space="preserve"> </w:t>
      </w:r>
      <w:r>
        <w:rPr>
          <w:spacing w:val="-1"/>
        </w:rPr>
        <w:t>listed</w:t>
      </w:r>
      <w:r>
        <w:rPr>
          <w:spacing w:val="51"/>
        </w:rPr>
        <w:t xml:space="preserve"> </w:t>
      </w:r>
      <w:r>
        <w:rPr>
          <w:spacing w:val="-1"/>
        </w:rPr>
        <w:t>on</w:t>
      </w:r>
      <w:r>
        <w:rPr>
          <w:spacing w:val="51"/>
        </w:rPr>
        <w:t xml:space="preserve"> </w:t>
      </w:r>
      <w:r>
        <w:t>the</w:t>
      </w:r>
      <w:r>
        <w:rPr>
          <w:spacing w:val="51"/>
        </w:rPr>
        <w:t xml:space="preserve"> </w:t>
      </w:r>
      <w:r>
        <w:rPr>
          <w:spacing w:val="-1"/>
        </w:rPr>
        <w:t>Supplier's</w:t>
      </w:r>
      <w:r>
        <w:rPr>
          <w:spacing w:val="51"/>
        </w:rPr>
        <w:t xml:space="preserve"> </w:t>
      </w:r>
      <w:r>
        <w:rPr>
          <w:spacing w:val="-1"/>
        </w:rPr>
        <w:t>Provisional</w:t>
      </w:r>
      <w:r>
        <w:rPr>
          <w:spacing w:val="51"/>
        </w:rPr>
        <w:t xml:space="preserve"> </w:t>
      </w:r>
      <w:r>
        <w:rPr>
          <w:spacing w:val="-1"/>
        </w:rPr>
        <w:t>Personnel</w:t>
      </w:r>
      <w:r>
        <w:rPr>
          <w:spacing w:val="50"/>
        </w:rPr>
        <w:t xml:space="preserve"> </w:t>
      </w:r>
      <w:r>
        <w:rPr>
          <w:spacing w:val="-1"/>
        </w:rPr>
        <w:t>List</w:t>
      </w:r>
      <w:r>
        <w:rPr>
          <w:spacing w:val="53"/>
        </w:rPr>
        <w:t xml:space="preserve"> </w:t>
      </w:r>
      <w:r>
        <w:rPr>
          <w:spacing w:val="-1"/>
        </w:rPr>
        <w:t>regardless</w:t>
      </w:r>
      <w:r>
        <w:rPr>
          <w:spacing w:val="51"/>
        </w:rPr>
        <w:t xml:space="preserve"> </w:t>
      </w:r>
      <w:r>
        <w:rPr>
          <w:spacing w:val="-1"/>
        </w:rPr>
        <w:t>of</w:t>
      </w:r>
      <w:r>
        <w:rPr>
          <w:spacing w:val="42"/>
        </w:rPr>
        <w:t xml:space="preserve"> </w:t>
      </w:r>
      <w:r>
        <w:rPr>
          <w:spacing w:val="-2"/>
        </w:rPr>
        <w:t>when</w:t>
      </w:r>
      <w:r>
        <w:t xml:space="preserve"> </w:t>
      </w:r>
      <w:r>
        <w:rPr>
          <w:spacing w:val="-1"/>
        </w:rPr>
        <w:t>such</w:t>
      </w:r>
      <w:r>
        <w:rPr>
          <w:spacing w:val="1"/>
        </w:rPr>
        <w:t xml:space="preserve"> </w:t>
      </w:r>
      <w:r>
        <w:rPr>
          <w:spacing w:val="-1"/>
        </w:rPr>
        <w:t>notice</w:t>
      </w:r>
      <w:r>
        <w:rPr>
          <w:spacing w:val="-2"/>
        </w:rPr>
        <w:t xml:space="preserve"> </w:t>
      </w:r>
      <w:r>
        <w:rPr>
          <w:spacing w:val="-1"/>
        </w:rPr>
        <w:t>takes</w:t>
      </w:r>
      <w:r>
        <w:rPr>
          <w:spacing w:val="-4"/>
        </w:rPr>
        <w:t xml:space="preserve"> </w:t>
      </w:r>
      <w:r>
        <w:rPr>
          <w:spacing w:val="-1"/>
        </w:rPr>
        <w:t>effect.</w:t>
      </w:r>
    </w:p>
    <w:p w:rsidR="008918FA" w:rsidRDefault="008918FA" w:rsidP="008918FA">
      <w:pPr>
        <w:pStyle w:val="BodyText"/>
        <w:numPr>
          <w:ilvl w:val="1"/>
          <w:numId w:val="7"/>
        </w:numPr>
        <w:tabs>
          <w:tab w:val="left" w:pos="689"/>
        </w:tabs>
        <w:ind w:left="688" w:right="110"/>
        <w:jc w:val="both"/>
      </w:pPr>
      <w:r>
        <w:rPr>
          <w:spacing w:val="-1"/>
        </w:rPr>
        <w:t>During</w:t>
      </w:r>
      <w:r>
        <w:rPr>
          <w:spacing w:val="7"/>
        </w:rPr>
        <w:t xml:space="preserve"> </w:t>
      </w:r>
      <w:r>
        <w:t>the</w:t>
      </w:r>
      <w:r>
        <w:rPr>
          <w:spacing w:val="5"/>
        </w:rPr>
        <w:t xml:space="preserve"> </w:t>
      </w:r>
      <w:r>
        <w:rPr>
          <w:spacing w:val="-2"/>
        </w:rPr>
        <w:t>Call</w:t>
      </w:r>
      <w:r>
        <w:rPr>
          <w:spacing w:val="4"/>
        </w:rPr>
        <w:t xml:space="preserve"> </w:t>
      </w:r>
      <w:r>
        <w:rPr>
          <w:spacing w:val="-1"/>
        </w:rPr>
        <w:t>Off</w:t>
      </w:r>
      <w:r>
        <w:rPr>
          <w:spacing w:val="9"/>
        </w:rPr>
        <w:t xml:space="preserve"> </w:t>
      </w:r>
      <w:r>
        <w:rPr>
          <w:spacing w:val="-2"/>
        </w:rPr>
        <w:t>Contract</w:t>
      </w:r>
      <w:r>
        <w:rPr>
          <w:spacing w:val="7"/>
        </w:rPr>
        <w:t xml:space="preserve"> </w:t>
      </w:r>
      <w:r>
        <w:rPr>
          <w:spacing w:val="-1"/>
        </w:rPr>
        <w:t>Period,</w:t>
      </w:r>
      <w:r>
        <w:rPr>
          <w:spacing w:val="7"/>
        </w:rPr>
        <w:t xml:space="preserve"> </w:t>
      </w:r>
      <w:r>
        <w:t>the</w:t>
      </w:r>
      <w:r>
        <w:rPr>
          <w:spacing w:val="5"/>
        </w:rPr>
        <w:t xml:space="preserve"> </w:t>
      </w:r>
      <w:r>
        <w:rPr>
          <w:spacing w:val="-2"/>
        </w:rPr>
        <w:t>Supplier</w:t>
      </w:r>
      <w:r>
        <w:rPr>
          <w:spacing w:val="6"/>
        </w:rPr>
        <w:t xml:space="preserve"> </w:t>
      </w:r>
      <w:r>
        <w:rPr>
          <w:spacing w:val="-1"/>
        </w:rPr>
        <w:t>shall</w:t>
      </w:r>
      <w:r>
        <w:rPr>
          <w:spacing w:val="4"/>
        </w:rPr>
        <w:t xml:space="preserve"> </w:t>
      </w:r>
      <w:r>
        <w:rPr>
          <w:spacing w:val="-1"/>
        </w:rPr>
        <w:t>provide</w:t>
      </w:r>
      <w:r>
        <w:rPr>
          <w:spacing w:val="5"/>
        </w:rPr>
        <w:t xml:space="preserve"> </w:t>
      </w:r>
      <w:r>
        <w:t>to</w:t>
      </w:r>
      <w:r>
        <w:rPr>
          <w:spacing w:val="5"/>
        </w:rPr>
        <w:t xml:space="preserve"> </w:t>
      </w:r>
      <w:r>
        <w:t>the</w:t>
      </w:r>
      <w:r>
        <w:rPr>
          <w:spacing w:val="5"/>
        </w:rPr>
        <w:t xml:space="preserve"> </w:t>
      </w:r>
      <w:r>
        <w:rPr>
          <w:spacing w:val="-1"/>
        </w:rPr>
        <w:t>Customer</w:t>
      </w:r>
      <w:r>
        <w:rPr>
          <w:spacing w:val="6"/>
        </w:rPr>
        <w:t xml:space="preserve"> </w:t>
      </w:r>
      <w:r>
        <w:rPr>
          <w:spacing w:val="-1"/>
        </w:rPr>
        <w:t>any</w:t>
      </w:r>
      <w:r>
        <w:rPr>
          <w:spacing w:val="54"/>
        </w:rPr>
        <w:t xml:space="preserve"> </w:t>
      </w:r>
      <w:r>
        <w:rPr>
          <w:spacing w:val="-1"/>
        </w:rPr>
        <w:t>information</w:t>
      </w:r>
      <w:r>
        <w:rPr>
          <w:spacing w:val="35"/>
        </w:rPr>
        <w:t xml:space="preserve"> </w:t>
      </w:r>
      <w:r>
        <w:t>the</w:t>
      </w:r>
      <w:r>
        <w:rPr>
          <w:spacing w:val="32"/>
        </w:rPr>
        <w:t xml:space="preserve"> </w:t>
      </w:r>
      <w:r>
        <w:rPr>
          <w:spacing w:val="-1"/>
        </w:rPr>
        <w:t>Customer</w:t>
      </w:r>
      <w:r>
        <w:rPr>
          <w:spacing w:val="34"/>
        </w:rPr>
        <w:t xml:space="preserve"> </w:t>
      </w:r>
      <w:r>
        <w:rPr>
          <w:spacing w:val="-1"/>
        </w:rPr>
        <w:t>may</w:t>
      </w:r>
      <w:r>
        <w:rPr>
          <w:spacing w:val="33"/>
        </w:rPr>
        <w:t xml:space="preserve"> </w:t>
      </w:r>
      <w:r>
        <w:rPr>
          <w:spacing w:val="-1"/>
        </w:rPr>
        <w:t>reasonably</w:t>
      </w:r>
      <w:r>
        <w:rPr>
          <w:spacing w:val="33"/>
        </w:rPr>
        <w:t xml:space="preserve"> </w:t>
      </w:r>
      <w:r>
        <w:rPr>
          <w:spacing w:val="-1"/>
        </w:rPr>
        <w:t>require</w:t>
      </w:r>
      <w:r>
        <w:rPr>
          <w:spacing w:val="32"/>
        </w:rPr>
        <w:t xml:space="preserve"> </w:t>
      </w:r>
      <w:r>
        <w:rPr>
          <w:spacing w:val="-1"/>
        </w:rPr>
        <w:t>relating</w:t>
      </w:r>
      <w:r>
        <w:rPr>
          <w:spacing w:val="38"/>
        </w:rPr>
        <w:t xml:space="preserve"> </w:t>
      </w:r>
      <w:r>
        <w:t>to</w:t>
      </w:r>
      <w:r>
        <w:rPr>
          <w:spacing w:val="32"/>
        </w:rPr>
        <w:t xml:space="preserve"> </w:t>
      </w:r>
      <w:r>
        <w:rPr>
          <w:spacing w:val="-1"/>
        </w:rPr>
        <w:t>any</w:t>
      </w:r>
      <w:r>
        <w:rPr>
          <w:spacing w:val="33"/>
        </w:rPr>
        <w:t xml:space="preserve"> </w:t>
      </w:r>
      <w:r>
        <w:rPr>
          <w:spacing w:val="-2"/>
        </w:rPr>
        <w:t>individual</w:t>
      </w:r>
      <w:r>
        <w:rPr>
          <w:spacing w:val="42"/>
        </w:rPr>
        <w:t xml:space="preserve"> </w:t>
      </w:r>
      <w:r>
        <w:rPr>
          <w:spacing w:val="-2"/>
        </w:rPr>
        <w:t>employed,</w:t>
      </w:r>
      <w:r>
        <w:rPr>
          <w:spacing w:val="7"/>
        </w:rPr>
        <w:t xml:space="preserve"> </w:t>
      </w:r>
      <w:r>
        <w:rPr>
          <w:spacing w:val="-1"/>
        </w:rPr>
        <w:t>assigned</w:t>
      </w:r>
      <w:r>
        <w:rPr>
          <w:spacing w:val="5"/>
        </w:rPr>
        <w:t xml:space="preserve"> </w:t>
      </w:r>
      <w:r>
        <w:rPr>
          <w:spacing w:val="-2"/>
        </w:rPr>
        <w:t>or</w:t>
      </w:r>
      <w:r>
        <w:rPr>
          <w:spacing w:val="6"/>
        </w:rPr>
        <w:t xml:space="preserve"> </w:t>
      </w:r>
      <w:r>
        <w:rPr>
          <w:spacing w:val="-1"/>
        </w:rPr>
        <w:t>engaged</w:t>
      </w:r>
      <w:r>
        <w:rPr>
          <w:spacing w:val="5"/>
        </w:rPr>
        <w:t xml:space="preserve"> </w:t>
      </w:r>
      <w:r>
        <w:rPr>
          <w:spacing w:val="-1"/>
        </w:rPr>
        <w:t>in</w:t>
      </w:r>
      <w:r>
        <w:rPr>
          <w:spacing w:val="5"/>
        </w:rPr>
        <w:t xml:space="preserve"> </w:t>
      </w:r>
      <w:r>
        <w:rPr>
          <w:spacing w:val="-2"/>
        </w:rPr>
        <w:t>providing</w:t>
      </w:r>
      <w:r>
        <w:rPr>
          <w:spacing w:val="7"/>
        </w:rPr>
        <w:t xml:space="preserve"> </w:t>
      </w:r>
      <w:r>
        <w:t>the</w:t>
      </w:r>
      <w:r>
        <w:rPr>
          <w:spacing w:val="5"/>
        </w:rPr>
        <w:t xml:space="preserve"> </w:t>
      </w:r>
      <w:r>
        <w:rPr>
          <w:spacing w:val="-1"/>
        </w:rPr>
        <w:t>Goods</w:t>
      </w:r>
      <w:r>
        <w:rPr>
          <w:spacing w:val="5"/>
        </w:rPr>
        <w:t xml:space="preserve"> </w:t>
      </w:r>
      <w:r>
        <w:rPr>
          <w:spacing w:val="-1"/>
        </w:rPr>
        <w:t>and/or</w:t>
      </w:r>
      <w:r>
        <w:rPr>
          <w:spacing w:val="6"/>
        </w:rPr>
        <w:t xml:space="preserve"> </w:t>
      </w:r>
      <w:r>
        <w:rPr>
          <w:spacing w:val="-2"/>
        </w:rPr>
        <w:t>Services</w:t>
      </w:r>
      <w:r>
        <w:rPr>
          <w:spacing w:val="6"/>
        </w:rPr>
        <w:t xml:space="preserve"> </w:t>
      </w:r>
      <w:r>
        <w:rPr>
          <w:spacing w:val="-1"/>
        </w:rPr>
        <w:t>(subject</w:t>
      </w:r>
      <w:r>
        <w:rPr>
          <w:spacing w:val="7"/>
        </w:rPr>
        <w:t xml:space="preserve"> </w:t>
      </w:r>
      <w:r>
        <w:rPr>
          <w:spacing w:val="-1"/>
        </w:rPr>
        <w:t>to</w:t>
      </w:r>
      <w:r>
        <w:rPr>
          <w:spacing w:val="69"/>
        </w:rPr>
        <w:t xml:space="preserve"> </w:t>
      </w:r>
      <w:r>
        <w:rPr>
          <w:spacing w:val="-1"/>
        </w:rPr>
        <w:t>any</w:t>
      </w:r>
      <w:r>
        <w:rPr>
          <w:spacing w:val="16"/>
        </w:rPr>
        <w:t xml:space="preserve"> </w:t>
      </w:r>
      <w:r>
        <w:rPr>
          <w:spacing w:val="-1"/>
        </w:rPr>
        <w:t>limitations</w:t>
      </w:r>
      <w:r>
        <w:rPr>
          <w:spacing w:val="19"/>
        </w:rPr>
        <w:t xml:space="preserve"> </w:t>
      </w:r>
      <w:r>
        <w:rPr>
          <w:spacing w:val="-1"/>
        </w:rPr>
        <w:t>imposed</w:t>
      </w:r>
      <w:r>
        <w:rPr>
          <w:spacing w:val="16"/>
        </w:rPr>
        <w:t xml:space="preserve"> </w:t>
      </w:r>
      <w:r>
        <w:rPr>
          <w:spacing w:val="-1"/>
        </w:rPr>
        <w:t>by</w:t>
      </w:r>
      <w:r>
        <w:rPr>
          <w:spacing w:val="16"/>
        </w:rPr>
        <w:t xml:space="preserve"> </w:t>
      </w:r>
      <w:r>
        <w:t>the</w:t>
      </w:r>
      <w:r>
        <w:rPr>
          <w:spacing w:val="18"/>
        </w:rPr>
        <w:t xml:space="preserve"> </w:t>
      </w:r>
      <w:r>
        <w:rPr>
          <w:spacing w:val="-1"/>
        </w:rPr>
        <w:t>DPA)</w:t>
      </w:r>
      <w:r>
        <w:rPr>
          <w:spacing w:val="20"/>
        </w:rPr>
        <w:t xml:space="preserve"> </w:t>
      </w:r>
      <w:r>
        <w:rPr>
          <w:spacing w:val="-2"/>
        </w:rPr>
        <w:t>including</w:t>
      </w:r>
      <w:r>
        <w:rPr>
          <w:spacing w:val="21"/>
        </w:rPr>
        <w:t xml:space="preserve"> </w:t>
      </w:r>
      <w:r>
        <w:rPr>
          <w:spacing w:val="-2"/>
        </w:rPr>
        <w:t>without</w:t>
      </w:r>
      <w:r>
        <w:rPr>
          <w:spacing w:val="20"/>
        </w:rPr>
        <w:t xml:space="preserve"> </w:t>
      </w:r>
      <w:r>
        <w:rPr>
          <w:spacing w:val="-1"/>
        </w:rPr>
        <w:t>limitation</w:t>
      </w:r>
      <w:r>
        <w:rPr>
          <w:spacing w:val="18"/>
        </w:rPr>
        <w:t xml:space="preserve"> </w:t>
      </w:r>
      <w:r>
        <w:t>the</w:t>
      </w:r>
      <w:r>
        <w:rPr>
          <w:spacing w:val="16"/>
        </w:rPr>
        <w:t xml:space="preserve"> </w:t>
      </w:r>
      <w:r>
        <w:rPr>
          <w:spacing w:val="-1"/>
        </w:rPr>
        <w:t>Staffing</w:t>
      </w:r>
      <w:r>
        <w:rPr>
          <w:spacing w:val="45"/>
        </w:rPr>
        <w:t xml:space="preserve"> </w:t>
      </w:r>
      <w:r>
        <w:rPr>
          <w:spacing w:val="-1"/>
        </w:rPr>
        <w:t>Information</w:t>
      </w:r>
      <w:r>
        <w:rPr>
          <w:spacing w:val="3"/>
        </w:rPr>
        <w:t xml:space="preserve"> </w:t>
      </w:r>
      <w:r>
        <w:rPr>
          <w:spacing w:val="-1"/>
        </w:rPr>
        <w:t>and,</w:t>
      </w:r>
      <w:r>
        <w:rPr>
          <w:spacing w:val="4"/>
        </w:rPr>
        <w:t xml:space="preserve"> </w:t>
      </w:r>
      <w:r>
        <w:rPr>
          <w:spacing w:val="-1"/>
        </w:rPr>
        <w:t>upon</w:t>
      </w:r>
      <w:r>
        <w:rPr>
          <w:spacing w:val="3"/>
        </w:rPr>
        <w:t xml:space="preserve"> </w:t>
      </w:r>
      <w:r>
        <w:rPr>
          <w:spacing w:val="-1"/>
        </w:rPr>
        <w:t>reasonable</w:t>
      </w:r>
      <w:r>
        <w:rPr>
          <w:spacing w:val="3"/>
        </w:rPr>
        <w:t xml:space="preserve"> </w:t>
      </w:r>
      <w:r>
        <w:rPr>
          <w:spacing w:val="-1"/>
        </w:rPr>
        <w:t>request</w:t>
      </w:r>
      <w:r>
        <w:rPr>
          <w:spacing w:val="4"/>
        </w:rPr>
        <w:t xml:space="preserve"> </w:t>
      </w:r>
      <w:r>
        <w:rPr>
          <w:spacing w:val="-1"/>
        </w:rPr>
        <w:t>by</w:t>
      </w:r>
      <w:r>
        <w:rPr>
          <w:spacing w:val="1"/>
        </w:rPr>
        <w:t xml:space="preserve"> </w:t>
      </w:r>
      <w:r>
        <w:t>the</w:t>
      </w:r>
      <w:r>
        <w:rPr>
          <w:spacing w:val="3"/>
        </w:rPr>
        <w:t xml:space="preserve"> </w:t>
      </w:r>
      <w:r>
        <w:rPr>
          <w:spacing w:val="-1"/>
        </w:rPr>
        <w:t>Customer</w:t>
      </w:r>
      <w:r>
        <w:rPr>
          <w:spacing w:val="4"/>
        </w:rPr>
        <w:t xml:space="preserve"> </w:t>
      </w:r>
      <w:r>
        <w:rPr>
          <w:spacing w:val="-1"/>
        </w:rPr>
        <w:t>and</w:t>
      </w:r>
      <w:r>
        <w:rPr>
          <w:spacing w:val="3"/>
        </w:rPr>
        <w:t xml:space="preserve"> </w:t>
      </w:r>
      <w:r>
        <w:rPr>
          <w:spacing w:val="-1"/>
        </w:rPr>
        <w:t>subject</w:t>
      </w:r>
      <w:r>
        <w:rPr>
          <w:spacing w:val="4"/>
        </w:rPr>
        <w:t xml:space="preserve"> </w:t>
      </w:r>
      <w:r>
        <w:rPr>
          <w:spacing w:val="-2"/>
        </w:rPr>
        <w:t>only</w:t>
      </w:r>
      <w:r>
        <w:rPr>
          <w:spacing w:val="1"/>
        </w:rPr>
        <w:t xml:space="preserve"> </w:t>
      </w:r>
      <w:r>
        <w:t>to</w:t>
      </w:r>
      <w:r>
        <w:rPr>
          <w:spacing w:val="3"/>
        </w:rPr>
        <w:t xml:space="preserve"> </w:t>
      </w:r>
      <w:r>
        <w:t>any</w:t>
      </w:r>
      <w:r>
        <w:rPr>
          <w:spacing w:val="37"/>
        </w:rPr>
        <w:t xml:space="preserve"> </w:t>
      </w:r>
      <w:r>
        <w:rPr>
          <w:spacing w:val="-1"/>
        </w:rPr>
        <w:t>limitation</w:t>
      </w:r>
      <w:r>
        <w:rPr>
          <w:spacing w:val="29"/>
        </w:rPr>
        <w:t xml:space="preserve"> </w:t>
      </w:r>
      <w:r>
        <w:rPr>
          <w:spacing w:val="-1"/>
        </w:rPr>
        <w:t>imposed</w:t>
      </w:r>
      <w:r>
        <w:rPr>
          <w:spacing w:val="29"/>
        </w:rPr>
        <w:t xml:space="preserve"> </w:t>
      </w:r>
      <w:r>
        <w:rPr>
          <w:spacing w:val="-1"/>
        </w:rPr>
        <w:t>by</w:t>
      </w:r>
      <w:r>
        <w:rPr>
          <w:spacing w:val="27"/>
        </w:rPr>
        <w:t xml:space="preserve"> </w:t>
      </w:r>
      <w:r>
        <w:rPr>
          <w:spacing w:val="-1"/>
        </w:rPr>
        <w:t>the</w:t>
      </w:r>
      <w:r>
        <w:rPr>
          <w:spacing w:val="29"/>
        </w:rPr>
        <w:t xml:space="preserve"> </w:t>
      </w:r>
      <w:r>
        <w:rPr>
          <w:spacing w:val="-1"/>
        </w:rPr>
        <w:t>DPA,</w:t>
      </w:r>
      <w:r>
        <w:rPr>
          <w:spacing w:val="30"/>
        </w:rPr>
        <w:t xml:space="preserve"> </w:t>
      </w:r>
      <w:r>
        <w:t>the</w:t>
      </w:r>
      <w:r>
        <w:rPr>
          <w:spacing w:val="29"/>
        </w:rPr>
        <w:t xml:space="preserve"> </w:t>
      </w:r>
      <w:r>
        <w:rPr>
          <w:spacing w:val="-2"/>
        </w:rPr>
        <w:t>Supplier</w:t>
      </w:r>
      <w:r>
        <w:rPr>
          <w:spacing w:val="30"/>
        </w:rPr>
        <w:t xml:space="preserve"> </w:t>
      </w:r>
      <w:r>
        <w:rPr>
          <w:spacing w:val="-2"/>
        </w:rPr>
        <w:t>shall</w:t>
      </w:r>
      <w:r>
        <w:rPr>
          <w:spacing w:val="28"/>
        </w:rPr>
        <w:t xml:space="preserve"> </w:t>
      </w:r>
      <w:r>
        <w:rPr>
          <w:spacing w:val="-2"/>
        </w:rPr>
        <w:t>provide,</w:t>
      </w:r>
      <w:r>
        <w:rPr>
          <w:spacing w:val="30"/>
        </w:rPr>
        <w:t xml:space="preserve"> </w:t>
      </w:r>
      <w:r>
        <w:rPr>
          <w:spacing w:val="-1"/>
        </w:rPr>
        <w:t>and</w:t>
      </w:r>
      <w:r>
        <w:rPr>
          <w:spacing w:val="29"/>
        </w:rPr>
        <w:t xml:space="preserve"> </w:t>
      </w:r>
      <w:r>
        <w:rPr>
          <w:spacing w:val="-1"/>
        </w:rPr>
        <w:t>shall</w:t>
      </w:r>
      <w:r>
        <w:rPr>
          <w:spacing w:val="28"/>
        </w:rPr>
        <w:t xml:space="preserve"> </w:t>
      </w:r>
      <w:r>
        <w:t>procure</w:t>
      </w:r>
      <w:r>
        <w:rPr>
          <w:spacing w:val="29"/>
        </w:rPr>
        <w:t xml:space="preserve"> </w:t>
      </w:r>
      <w:r>
        <w:rPr>
          <w:spacing w:val="-1"/>
        </w:rPr>
        <w:t>that</w:t>
      </w:r>
      <w:r>
        <w:rPr>
          <w:spacing w:val="53"/>
        </w:rPr>
        <w:t xml:space="preserve"> </w:t>
      </w:r>
      <w:r>
        <w:rPr>
          <w:spacing w:val="-1"/>
        </w:rPr>
        <w:t>each</w:t>
      </w:r>
      <w:r>
        <w:rPr>
          <w:spacing w:val="21"/>
        </w:rPr>
        <w:t xml:space="preserve"> </w:t>
      </w:r>
      <w:r>
        <w:rPr>
          <w:spacing w:val="-1"/>
        </w:rPr>
        <w:t>Sub-Contractor</w:t>
      </w:r>
      <w:r>
        <w:rPr>
          <w:spacing w:val="22"/>
        </w:rPr>
        <w:t xml:space="preserve"> </w:t>
      </w:r>
      <w:r>
        <w:rPr>
          <w:spacing w:val="-2"/>
        </w:rPr>
        <w:t>shall</w:t>
      </w:r>
      <w:r>
        <w:rPr>
          <w:spacing w:val="20"/>
        </w:rPr>
        <w:t xml:space="preserve"> </w:t>
      </w:r>
      <w:r>
        <w:rPr>
          <w:spacing w:val="-1"/>
        </w:rPr>
        <w:t>provide,</w:t>
      </w:r>
      <w:r>
        <w:rPr>
          <w:spacing w:val="22"/>
        </w:rPr>
        <w:t xml:space="preserve"> </w:t>
      </w:r>
      <w:r>
        <w:t>the</w:t>
      </w:r>
      <w:r>
        <w:rPr>
          <w:spacing w:val="21"/>
        </w:rPr>
        <w:t xml:space="preserve"> </w:t>
      </w:r>
      <w:r>
        <w:rPr>
          <w:spacing w:val="-1"/>
        </w:rPr>
        <w:t>Customer</w:t>
      </w:r>
      <w:r>
        <w:rPr>
          <w:spacing w:val="22"/>
        </w:rPr>
        <w:t xml:space="preserve"> </w:t>
      </w:r>
      <w:r>
        <w:rPr>
          <w:spacing w:val="-1"/>
        </w:rPr>
        <w:t>or,</w:t>
      </w:r>
      <w:r>
        <w:rPr>
          <w:spacing w:val="22"/>
        </w:rPr>
        <w:t xml:space="preserve"> </w:t>
      </w:r>
      <w:r>
        <w:rPr>
          <w:spacing w:val="-1"/>
        </w:rPr>
        <w:t>at</w:t>
      </w:r>
      <w:r>
        <w:rPr>
          <w:spacing w:val="22"/>
        </w:rPr>
        <w:t xml:space="preserve"> </w:t>
      </w:r>
      <w:r>
        <w:t>the</w:t>
      </w:r>
      <w:r>
        <w:rPr>
          <w:spacing w:val="21"/>
        </w:rPr>
        <w:t xml:space="preserve"> </w:t>
      </w:r>
      <w:r>
        <w:rPr>
          <w:spacing w:val="-2"/>
        </w:rPr>
        <w:t>direction</w:t>
      </w:r>
      <w:r>
        <w:rPr>
          <w:spacing w:val="21"/>
        </w:rPr>
        <w:t xml:space="preserve"> </w:t>
      </w:r>
      <w:r>
        <w:rPr>
          <w:spacing w:val="-1"/>
        </w:rPr>
        <w:t>of</w:t>
      </w:r>
      <w:r>
        <w:rPr>
          <w:spacing w:val="24"/>
        </w:rPr>
        <w:t xml:space="preserve"> </w:t>
      </w:r>
      <w:r>
        <w:rPr>
          <w:spacing w:val="-2"/>
        </w:rPr>
        <w:t>the</w:t>
      </w:r>
      <w:r>
        <w:rPr>
          <w:spacing w:val="50"/>
        </w:rPr>
        <w:t xml:space="preserve"> </w:t>
      </w:r>
      <w:r>
        <w:rPr>
          <w:spacing w:val="-1"/>
        </w:rPr>
        <w:t>Customer</w:t>
      </w:r>
      <w:r>
        <w:rPr>
          <w:spacing w:val="6"/>
        </w:rPr>
        <w:t xml:space="preserve"> </w:t>
      </w:r>
      <w:r>
        <w:t>to</w:t>
      </w:r>
      <w:r>
        <w:rPr>
          <w:spacing w:val="3"/>
        </w:rPr>
        <w:t xml:space="preserve"> </w:t>
      </w:r>
      <w:r>
        <w:t>a</w:t>
      </w:r>
      <w:r>
        <w:rPr>
          <w:spacing w:val="5"/>
        </w:rPr>
        <w:t xml:space="preserve"> </w:t>
      </w:r>
      <w:r>
        <w:rPr>
          <w:spacing w:val="-2"/>
        </w:rPr>
        <w:t>Replacement</w:t>
      </w:r>
      <w:r>
        <w:rPr>
          <w:spacing w:val="7"/>
        </w:rPr>
        <w:t xml:space="preserve"> </w:t>
      </w:r>
      <w:r>
        <w:rPr>
          <w:spacing w:val="-2"/>
        </w:rPr>
        <w:t>Supplier</w:t>
      </w:r>
      <w:r>
        <w:rPr>
          <w:spacing w:val="6"/>
        </w:rPr>
        <w:t xml:space="preserve"> </w:t>
      </w:r>
      <w:r>
        <w:rPr>
          <w:spacing w:val="-1"/>
        </w:rPr>
        <w:t>and/or</w:t>
      </w:r>
      <w:r>
        <w:rPr>
          <w:spacing w:val="6"/>
        </w:rPr>
        <w:t xml:space="preserve"> </w:t>
      </w:r>
      <w:r>
        <w:rPr>
          <w:spacing w:val="-1"/>
        </w:rPr>
        <w:t>any</w:t>
      </w:r>
      <w:r>
        <w:rPr>
          <w:spacing w:val="3"/>
        </w:rPr>
        <w:t xml:space="preserve"> </w:t>
      </w:r>
      <w:r>
        <w:rPr>
          <w:spacing w:val="-1"/>
        </w:rPr>
        <w:t>Replacement</w:t>
      </w:r>
      <w:r>
        <w:rPr>
          <w:spacing w:val="9"/>
        </w:rPr>
        <w:t xml:space="preserve"> </w:t>
      </w:r>
      <w:r>
        <w:rPr>
          <w:spacing w:val="-1"/>
        </w:rPr>
        <w:t>Sub-Contractor</w:t>
      </w:r>
      <w:r>
        <w:rPr>
          <w:spacing w:val="6"/>
        </w:rPr>
        <w:t xml:space="preserve"> </w:t>
      </w:r>
      <w:r>
        <w:rPr>
          <w:spacing w:val="-1"/>
        </w:rPr>
        <w:t>with</w:t>
      </w:r>
      <w:r>
        <w:rPr>
          <w:spacing w:val="52"/>
        </w:rPr>
        <w:t xml:space="preserve"> </w:t>
      </w:r>
      <w:r>
        <w:rPr>
          <w:spacing w:val="-1"/>
        </w:rPr>
        <w:t>access</w:t>
      </w:r>
      <w:r>
        <w:rPr>
          <w:spacing w:val="53"/>
        </w:rPr>
        <w:t xml:space="preserve"> </w:t>
      </w:r>
      <w:r>
        <w:rPr>
          <w:spacing w:val="-1"/>
        </w:rPr>
        <w:t>(on</w:t>
      </w:r>
      <w:r>
        <w:rPr>
          <w:spacing w:val="52"/>
        </w:rPr>
        <w:t xml:space="preserve"> </w:t>
      </w:r>
      <w:r>
        <w:rPr>
          <w:spacing w:val="-1"/>
        </w:rPr>
        <w:t>reasonable</w:t>
      </w:r>
      <w:r>
        <w:rPr>
          <w:spacing w:val="49"/>
        </w:rPr>
        <w:t xml:space="preserve"> </w:t>
      </w:r>
      <w:r>
        <w:rPr>
          <w:spacing w:val="-1"/>
        </w:rPr>
        <w:t>notice</w:t>
      </w:r>
      <w:r>
        <w:rPr>
          <w:spacing w:val="52"/>
        </w:rPr>
        <w:t xml:space="preserve"> </w:t>
      </w:r>
      <w:r>
        <w:rPr>
          <w:spacing w:val="-1"/>
        </w:rPr>
        <w:t>and</w:t>
      </w:r>
      <w:r>
        <w:rPr>
          <w:spacing w:val="52"/>
        </w:rPr>
        <w:t xml:space="preserve"> </w:t>
      </w:r>
      <w:r>
        <w:rPr>
          <w:spacing w:val="-1"/>
        </w:rPr>
        <w:t>during</w:t>
      </w:r>
      <w:r>
        <w:rPr>
          <w:spacing w:val="54"/>
        </w:rPr>
        <w:t xml:space="preserve"> </w:t>
      </w:r>
      <w:r>
        <w:rPr>
          <w:spacing w:val="-1"/>
        </w:rPr>
        <w:t>normal</w:t>
      </w:r>
      <w:r>
        <w:rPr>
          <w:spacing w:val="52"/>
        </w:rPr>
        <w:t xml:space="preserve"> </w:t>
      </w:r>
      <w:r>
        <w:rPr>
          <w:spacing w:val="-1"/>
        </w:rPr>
        <w:t>working</w:t>
      </w:r>
      <w:r>
        <w:rPr>
          <w:spacing w:val="54"/>
        </w:rPr>
        <w:t xml:space="preserve"> </w:t>
      </w:r>
      <w:r>
        <w:rPr>
          <w:spacing w:val="-1"/>
        </w:rPr>
        <w:t>hours)</w:t>
      </w:r>
      <w:r>
        <w:rPr>
          <w:spacing w:val="51"/>
        </w:rPr>
        <w:t xml:space="preserve"> </w:t>
      </w:r>
      <w:r>
        <w:t>to</w:t>
      </w:r>
      <w:r>
        <w:rPr>
          <w:spacing w:val="52"/>
        </w:rPr>
        <w:t xml:space="preserve"> </w:t>
      </w:r>
      <w:r>
        <w:rPr>
          <w:spacing w:val="-1"/>
        </w:rPr>
        <w:t>such</w:t>
      </w:r>
      <w:r>
        <w:rPr>
          <w:spacing w:val="32"/>
        </w:rPr>
        <w:t xml:space="preserve"> </w:t>
      </w:r>
      <w:r>
        <w:rPr>
          <w:spacing w:val="-1"/>
        </w:rPr>
        <w:t>employment</w:t>
      </w:r>
      <w:r>
        <w:rPr>
          <w:spacing w:val="55"/>
        </w:rPr>
        <w:t xml:space="preserve"> </w:t>
      </w:r>
      <w:r>
        <w:rPr>
          <w:spacing w:val="-1"/>
        </w:rPr>
        <w:t>records</w:t>
      </w:r>
      <w:r>
        <w:rPr>
          <w:spacing w:val="53"/>
        </w:rPr>
        <w:t xml:space="preserve"> </w:t>
      </w:r>
      <w:r>
        <w:rPr>
          <w:spacing w:val="-1"/>
        </w:rPr>
        <w:t>as</w:t>
      </w:r>
      <w:r>
        <w:rPr>
          <w:spacing w:val="51"/>
        </w:rPr>
        <w:t xml:space="preserve"> </w:t>
      </w:r>
      <w:r>
        <w:t>the</w:t>
      </w:r>
      <w:r>
        <w:rPr>
          <w:spacing w:val="53"/>
        </w:rPr>
        <w:t xml:space="preserve"> </w:t>
      </w:r>
      <w:r>
        <w:rPr>
          <w:spacing w:val="-1"/>
        </w:rPr>
        <w:t>Customer</w:t>
      </w:r>
      <w:r>
        <w:rPr>
          <w:spacing w:val="52"/>
        </w:rPr>
        <w:t xml:space="preserve"> </w:t>
      </w:r>
      <w:r>
        <w:rPr>
          <w:spacing w:val="-1"/>
        </w:rPr>
        <w:t>reasonably</w:t>
      </w:r>
      <w:r>
        <w:rPr>
          <w:spacing w:val="51"/>
        </w:rPr>
        <w:t xml:space="preserve"> </w:t>
      </w:r>
      <w:r>
        <w:rPr>
          <w:spacing w:val="-1"/>
        </w:rPr>
        <w:t>requests</w:t>
      </w:r>
      <w:r>
        <w:rPr>
          <w:spacing w:val="54"/>
        </w:rPr>
        <w:t xml:space="preserve"> </w:t>
      </w:r>
      <w:r>
        <w:rPr>
          <w:spacing w:val="-1"/>
        </w:rPr>
        <w:t>and</w:t>
      </w:r>
      <w:r>
        <w:rPr>
          <w:spacing w:val="53"/>
        </w:rPr>
        <w:t xml:space="preserve"> </w:t>
      </w:r>
      <w:r>
        <w:rPr>
          <w:spacing w:val="-1"/>
        </w:rPr>
        <w:t>shall</w:t>
      </w:r>
      <w:r>
        <w:rPr>
          <w:spacing w:val="50"/>
        </w:rPr>
        <w:t xml:space="preserve"> </w:t>
      </w:r>
      <w:r>
        <w:rPr>
          <w:spacing w:val="-1"/>
        </w:rPr>
        <w:t>allow</w:t>
      </w:r>
      <w:r>
        <w:rPr>
          <w:spacing w:val="50"/>
        </w:rPr>
        <w:t xml:space="preserve"> </w:t>
      </w:r>
      <w:r>
        <w:rPr>
          <w:spacing w:val="-1"/>
        </w:rPr>
        <w:t>the</w:t>
      </w:r>
      <w:r>
        <w:rPr>
          <w:spacing w:val="32"/>
        </w:rPr>
        <w:t xml:space="preserve"> </w:t>
      </w:r>
      <w:r>
        <w:rPr>
          <w:spacing w:val="-1"/>
        </w:rPr>
        <w:t>Customer</w:t>
      </w:r>
      <w:r>
        <w:rPr>
          <w:spacing w:val="47"/>
        </w:rPr>
        <w:t xml:space="preserve"> </w:t>
      </w:r>
      <w:r>
        <w:rPr>
          <w:spacing w:val="-1"/>
        </w:rPr>
        <w:t>or</w:t>
      </w:r>
      <w:r>
        <w:rPr>
          <w:spacing w:val="47"/>
        </w:rPr>
        <w:t xml:space="preserve"> </w:t>
      </w:r>
      <w:r>
        <w:rPr>
          <w:spacing w:val="-1"/>
        </w:rPr>
        <w:t>at</w:t>
      </w:r>
      <w:r>
        <w:rPr>
          <w:spacing w:val="47"/>
        </w:rPr>
        <w:t xml:space="preserve"> </w:t>
      </w:r>
      <w:r>
        <w:t>the</w:t>
      </w:r>
      <w:r>
        <w:rPr>
          <w:spacing w:val="46"/>
        </w:rPr>
        <w:t xml:space="preserve"> </w:t>
      </w:r>
      <w:r>
        <w:rPr>
          <w:spacing w:val="-1"/>
        </w:rPr>
        <w:t>Customer’s</w:t>
      </w:r>
      <w:r>
        <w:rPr>
          <w:spacing w:val="46"/>
        </w:rPr>
        <w:t xml:space="preserve"> </w:t>
      </w:r>
      <w:r>
        <w:rPr>
          <w:spacing w:val="-1"/>
        </w:rPr>
        <w:t>direction,</w:t>
      </w:r>
      <w:r>
        <w:rPr>
          <w:spacing w:val="47"/>
        </w:rPr>
        <w:t xml:space="preserve"> </w:t>
      </w:r>
      <w:r>
        <w:t>the</w:t>
      </w:r>
      <w:r>
        <w:rPr>
          <w:spacing w:val="44"/>
        </w:rPr>
        <w:t xml:space="preserve"> </w:t>
      </w:r>
      <w:r>
        <w:rPr>
          <w:spacing w:val="-1"/>
        </w:rPr>
        <w:t>Replacement</w:t>
      </w:r>
      <w:r>
        <w:rPr>
          <w:spacing w:val="47"/>
        </w:rPr>
        <w:t xml:space="preserve"> </w:t>
      </w:r>
      <w:r>
        <w:rPr>
          <w:spacing w:val="-2"/>
        </w:rPr>
        <w:t>Supplier</w:t>
      </w:r>
      <w:r>
        <w:rPr>
          <w:spacing w:val="47"/>
        </w:rPr>
        <w:t xml:space="preserve"> </w:t>
      </w:r>
      <w:r>
        <w:rPr>
          <w:spacing w:val="-1"/>
        </w:rPr>
        <w:t>and/or</w:t>
      </w:r>
      <w:r>
        <w:rPr>
          <w:spacing w:val="47"/>
        </w:rPr>
        <w:t xml:space="preserve"> </w:t>
      </w:r>
      <w:r>
        <w:rPr>
          <w:spacing w:val="-1"/>
        </w:rPr>
        <w:t>any</w:t>
      </w:r>
      <w:r>
        <w:rPr>
          <w:spacing w:val="34"/>
        </w:rPr>
        <w:t xml:space="preserve"> </w:t>
      </w:r>
      <w:r>
        <w:rPr>
          <w:spacing w:val="-1"/>
        </w:rPr>
        <w:t>Replacement</w:t>
      </w:r>
      <w:r>
        <w:rPr>
          <w:spacing w:val="2"/>
        </w:rPr>
        <w:t xml:space="preserve"> </w:t>
      </w:r>
      <w:r>
        <w:rPr>
          <w:spacing w:val="-2"/>
        </w:rPr>
        <w:t>Sub-Contractor</w:t>
      </w:r>
      <w:r>
        <w:rPr>
          <w:spacing w:val="-1"/>
        </w:rPr>
        <w:t xml:space="preserve"> </w:t>
      </w:r>
      <w:r>
        <w:t>to</w:t>
      </w:r>
      <w:r>
        <w:rPr>
          <w:spacing w:val="-2"/>
        </w:rPr>
        <w:t xml:space="preserve"> have</w:t>
      </w:r>
      <w:r>
        <w:t xml:space="preserve"> </w:t>
      </w:r>
      <w:r>
        <w:rPr>
          <w:spacing w:val="-1"/>
        </w:rPr>
        <w:t>copies</w:t>
      </w:r>
      <w:r>
        <w:rPr>
          <w:spacing w:val="1"/>
        </w:rPr>
        <w:t xml:space="preserve"> </w:t>
      </w:r>
      <w:r>
        <w:rPr>
          <w:spacing w:val="-2"/>
        </w:rPr>
        <w:t>of</w:t>
      </w:r>
      <w:r>
        <w:rPr>
          <w:spacing w:val="2"/>
        </w:rPr>
        <w:t xml:space="preserve"> </w:t>
      </w:r>
      <w:r>
        <w:rPr>
          <w:spacing w:val="-2"/>
        </w:rPr>
        <w:t xml:space="preserve">any </w:t>
      </w:r>
      <w:r>
        <w:rPr>
          <w:spacing w:val="-1"/>
        </w:rPr>
        <w:t>such</w:t>
      </w:r>
      <w:r>
        <w:rPr>
          <w:spacing w:val="1"/>
        </w:rPr>
        <w:t xml:space="preserve"> </w:t>
      </w:r>
      <w:r>
        <w:rPr>
          <w:spacing w:val="-1"/>
        </w:rPr>
        <w:t>documents.</w:t>
      </w:r>
    </w:p>
    <w:p w:rsidR="008918FA" w:rsidRDefault="008918FA" w:rsidP="008918FA">
      <w:pPr>
        <w:pStyle w:val="BodyText"/>
        <w:numPr>
          <w:ilvl w:val="1"/>
          <w:numId w:val="7"/>
        </w:numPr>
        <w:tabs>
          <w:tab w:val="left" w:pos="689"/>
        </w:tabs>
        <w:spacing w:before="121"/>
        <w:ind w:left="688" w:right="111"/>
        <w:jc w:val="both"/>
      </w:pPr>
      <w:r>
        <w:t>The</w:t>
      </w:r>
      <w:r>
        <w:rPr>
          <w:spacing w:val="11"/>
        </w:rPr>
        <w:t xml:space="preserve"> </w:t>
      </w:r>
      <w:r>
        <w:rPr>
          <w:spacing w:val="-2"/>
        </w:rPr>
        <w:t>Supplier</w:t>
      </w:r>
      <w:r>
        <w:rPr>
          <w:spacing w:val="13"/>
        </w:rPr>
        <w:t xml:space="preserve"> </w:t>
      </w:r>
      <w:r>
        <w:rPr>
          <w:spacing w:val="-1"/>
        </w:rPr>
        <w:t>shall</w:t>
      </w:r>
      <w:r>
        <w:rPr>
          <w:spacing w:val="11"/>
        </w:rPr>
        <w:t xml:space="preserve"> </w:t>
      </w:r>
      <w:r>
        <w:rPr>
          <w:spacing w:val="-2"/>
        </w:rPr>
        <w:t>provide,</w:t>
      </w:r>
      <w:r>
        <w:rPr>
          <w:spacing w:val="13"/>
        </w:rPr>
        <w:t xml:space="preserve"> </w:t>
      </w:r>
      <w:r>
        <w:rPr>
          <w:spacing w:val="-1"/>
        </w:rPr>
        <w:t>and</w:t>
      </w:r>
      <w:r>
        <w:rPr>
          <w:spacing w:val="11"/>
        </w:rPr>
        <w:t xml:space="preserve"> </w:t>
      </w:r>
      <w:r>
        <w:rPr>
          <w:spacing w:val="-1"/>
        </w:rPr>
        <w:t>shall</w:t>
      </w:r>
      <w:r>
        <w:rPr>
          <w:spacing w:val="13"/>
        </w:rPr>
        <w:t xml:space="preserve"> </w:t>
      </w:r>
      <w:r>
        <w:rPr>
          <w:spacing w:val="-1"/>
        </w:rPr>
        <w:t>procure</w:t>
      </w:r>
      <w:r>
        <w:rPr>
          <w:spacing w:val="9"/>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13"/>
        </w:rPr>
        <w:t xml:space="preserve"> </w:t>
      </w:r>
      <w:r>
        <w:rPr>
          <w:spacing w:val="-1"/>
        </w:rPr>
        <w:t>shall</w:t>
      </w:r>
      <w:r>
        <w:rPr>
          <w:spacing w:val="63"/>
        </w:rPr>
        <w:t xml:space="preserve"> </w:t>
      </w:r>
      <w:r>
        <w:rPr>
          <w:spacing w:val="-2"/>
        </w:rPr>
        <w:t>provide,</w:t>
      </w:r>
      <w:r>
        <w:rPr>
          <w:spacing w:val="58"/>
        </w:rPr>
        <w:t xml:space="preserve"> </w:t>
      </w:r>
      <w:r>
        <w:rPr>
          <w:spacing w:val="-1"/>
        </w:rPr>
        <w:t>all</w:t>
      </w:r>
      <w:r>
        <w:rPr>
          <w:spacing w:val="56"/>
        </w:rPr>
        <w:t xml:space="preserve"> </w:t>
      </w:r>
      <w:r>
        <w:rPr>
          <w:spacing w:val="-1"/>
        </w:rPr>
        <w:t>reasonable</w:t>
      </w:r>
      <w:r>
        <w:rPr>
          <w:spacing w:val="57"/>
        </w:rPr>
        <w:t xml:space="preserve"> </w:t>
      </w:r>
      <w:r>
        <w:rPr>
          <w:spacing w:val="-1"/>
        </w:rPr>
        <w:t>cooperation</w:t>
      </w:r>
      <w:r>
        <w:rPr>
          <w:spacing w:val="57"/>
        </w:rPr>
        <w:t xml:space="preserve"> </w:t>
      </w:r>
      <w:r>
        <w:rPr>
          <w:spacing w:val="-1"/>
        </w:rPr>
        <w:t>and</w:t>
      </w:r>
      <w:r>
        <w:rPr>
          <w:spacing w:val="54"/>
        </w:rPr>
        <w:t xml:space="preserve"> </w:t>
      </w:r>
      <w:r>
        <w:rPr>
          <w:spacing w:val="-1"/>
        </w:rPr>
        <w:t>assistance</w:t>
      </w:r>
      <w:r>
        <w:rPr>
          <w:spacing w:val="55"/>
        </w:rPr>
        <w:t xml:space="preserve"> </w:t>
      </w:r>
      <w:r>
        <w:t>to</w:t>
      </w:r>
      <w:r>
        <w:rPr>
          <w:spacing w:val="58"/>
        </w:rPr>
        <w:t xml:space="preserve"> </w:t>
      </w:r>
      <w:r>
        <w:t>the</w:t>
      </w:r>
      <w:r>
        <w:rPr>
          <w:spacing w:val="54"/>
        </w:rPr>
        <w:t xml:space="preserve"> </w:t>
      </w:r>
      <w:r>
        <w:rPr>
          <w:spacing w:val="-1"/>
        </w:rPr>
        <w:t>Customer,</w:t>
      </w:r>
      <w:r>
        <w:rPr>
          <w:spacing w:val="58"/>
        </w:rPr>
        <w:t xml:space="preserve"> </w:t>
      </w:r>
      <w:r>
        <w:rPr>
          <w:spacing w:val="-1"/>
        </w:rPr>
        <w:t>any</w:t>
      </w:r>
      <w:r>
        <w:rPr>
          <w:spacing w:val="32"/>
        </w:rPr>
        <w:t xml:space="preserve"> </w:t>
      </w:r>
      <w:r>
        <w:rPr>
          <w:spacing w:val="-1"/>
        </w:rPr>
        <w:t>Replacement</w:t>
      </w:r>
      <w:r>
        <w:rPr>
          <w:spacing w:val="15"/>
        </w:rPr>
        <w:t xml:space="preserve"> </w:t>
      </w:r>
      <w:r>
        <w:rPr>
          <w:spacing w:val="-2"/>
        </w:rPr>
        <w:t>Supplier</w:t>
      </w:r>
      <w:r>
        <w:rPr>
          <w:spacing w:val="13"/>
        </w:rPr>
        <w:t xml:space="preserve"> </w:t>
      </w:r>
      <w:r>
        <w:rPr>
          <w:spacing w:val="-1"/>
        </w:rPr>
        <w:t>and/or</w:t>
      </w:r>
      <w:r>
        <w:rPr>
          <w:spacing w:val="15"/>
        </w:rPr>
        <w:t xml:space="preserve"> </w:t>
      </w:r>
      <w:r>
        <w:rPr>
          <w:spacing w:val="-1"/>
        </w:rPr>
        <w:t>any</w:t>
      </w:r>
      <w:r>
        <w:rPr>
          <w:spacing w:val="12"/>
        </w:rPr>
        <w:t xml:space="preserve"> </w:t>
      </w:r>
      <w:r>
        <w:rPr>
          <w:spacing w:val="-2"/>
        </w:rPr>
        <w:t>Replacement</w:t>
      </w:r>
      <w:r>
        <w:rPr>
          <w:spacing w:val="15"/>
        </w:rPr>
        <w:t xml:space="preserve"> </w:t>
      </w:r>
      <w:r>
        <w:rPr>
          <w:spacing w:val="-1"/>
        </w:rPr>
        <w:t>Sub-Contractor</w:t>
      </w:r>
      <w:r>
        <w:rPr>
          <w:spacing w:val="13"/>
        </w:rPr>
        <w:t xml:space="preserve"> </w:t>
      </w:r>
      <w:r>
        <w:t>to</w:t>
      </w:r>
      <w:r>
        <w:rPr>
          <w:spacing w:val="14"/>
        </w:rPr>
        <w:t xml:space="preserve"> </w:t>
      </w:r>
      <w:r>
        <w:rPr>
          <w:spacing w:val="-1"/>
        </w:rPr>
        <w:t>ensure</w:t>
      </w:r>
      <w:r>
        <w:rPr>
          <w:spacing w:val="13"/>
        </w:rPr>
        <w:t xml:space="preserve"> </w:t>
      </w:r>
      <w:r>
        <w:rPr>
          <w:spacing w:val="-1"/>
        </w:rPr>
        <w:t>the</w:t>
      </w:r>
      <w:r>
        <w:rPr>
          <w:spacing w:val="57"/>
        </w:rPr>
        <w:t xml:space="preserve"> </w:t>
      </w:r>
      <w:r>
        <w:rPr>
          <w:spacing w:val="-1"/>
        </w:rPr>
        <w:t>smooth</w:t>
      </w:r>
      <w:r>
        <w:rPr>
          <w:spacing w:val="34"/>
        </w:rPr>
        <w:t xml:space="preserve"> </w:t>
      </w:r>
      <w:r>
        <w:rPr>
          <w:spacing w:val="-1"/>
        </w:rPr>
        <w:t>transfer</w:t>
      </w:r>
      <w:r>
        <w:rPr>
          <w:spacing w:val="38"/>
        </w:rPr>
        <w:t xml:space="preserve"> </w:t>
      </w:r>
      <w:r>
        <w:rPr>
          <w:spacing w:val="-2"/>
        </w:rPr>
        <w:t>of</w:t>
      </w:r>
      <w:r>
        <w:rPr>
          <w:spacing w:val="38"/>
        </w:rPr>
        <w:t xml:space="preserve"> </w:t>
      </w:r>
      <w:r>
        <w:t>the</w:t>
      </w:r>
      <w:r>
        <w:rPr>
          <w:spacing w:val="34"/>
        </w:rPr>
        <w:t xml:space="preserve"> </w:t>
      </w:r>
      <w:r>
        <w:rPr>
          <w:spacing w:val="-1"/>
        </w:rPr>
        <w:t>Transferring</w:t>
      </w:r>
      <w:r>
        <w:rPr>
          <w:spacing w:val="39"/>
        </w:rPr>
        <w:t xml:space="preserve"> </w:t>
      </w:r>
      <w:r>
        <w:rPr>
          <w:spacing w:val="-2"/>
        </w:rPr>
        <w:t>Supplier</w:t>
      </w:r>
      <w:r>
        <w:rPr>
          <w:spacing w:val="38"/>
        </w:rPr>
        <w:t xml:space="preserve"> </w:t>
      </w:r>
      <w:r>
        <w:rPr>
          <w:spacing w:val="-2"/>
        </w:rPr>
        <w:t>Employees</w:t>
      </w:r>
      <w:r>
        <w:rPr>
          <w:spacing w:val="38"/>
        </w:rPr>
        <w:t xml:space="preserve"> </w:t>
      </w:r>
      <w:r>
        <w:rPr>
          <w:spacing w:val="-1"/>
        </w:rPr>
        <w:t>on</w:t>
      </w:r>
      <w:r>
        <w:rPr>
          <w:spacing w:val="36"/>
        </w:rPr>
        <w:t xml:space="preserve"> </w:t>
      </w:r>
      <w:r>
        <w:t>the</w:t>
      </w:r>
      <w:r>
        <w:rPr>
          <w:spacing w:val="36"/>
        </w:rPr>
        <w:t xml:space="preserve"> </w:t>
      </w:r>
      <w:r>
        <w:rPr>
          <w:spacing w:val="-2"/>
        </w:rPr>
        <w:t>Service</w:t>
      </w:r>
      <w:r>
        <w:rPr>
          <w:spacing w:val="37"/>
        </w:rPr>
        <w:t xml:space="preserve"> </w:t>
      </w:r>
      <w:r>
        <w:rPr>
          <w:spacing w:val="-1"/>
        </w:rPr>
        <w:t>Transfer</w:t>
      </w:r>
      <w:r>
        <w:rPr>
          <w:spacing w:val="61"/>
        </w:rPr>
        <w:t xml:space="preserve"> </w:t>
      </w:r>
      <w:r>
        <w:rPr>
          <w:spacing w:val="-1"/>
        </w:rPr>
        <w:t>Date</w:t>
      </w:r>
      <w:r>
        <w:rPr>
          <w:spacing w:val="27"/>
        </w:rPr>
        <w:t xml:space="preserve"> </w:t>
      </w:r>
      <w:r>
        <w:rPr>
          <w:spacing w:val="-2"/>
        </w:rPr>
        <w:t>including</w:t>
      </w:r>
      <w:r>
        <w:rPr>
          <w:spacing w:val="29"/>
        </w:rPr>
        <w:t xml:space="preserve"> </w:t>
      </w:r>
      <w:r>
        <w:rPr>
          <w:spacing w:val="-2"/>
        </w:rPr>
        <w:t>providing</w:t>
      </w:r>
      <w:r>
        <w:rPr>
          <w:spacing w:val="29"/>
        </w:rPr>
        <w:t xml:space="preserve"> </w:t>
      </w:r>
      <w:r>
        <w:rPr>
          <w:spacing w:val="-1"/>
        </w:rPr>
        <w:t>sufficient</w:t>
      </w:r>
      <w:r>
        <w:rPr>
          <w:spacing w:val="28"/>
        </w:rPr>
        <w:t xml:space="preserve"> </w:t>
      </w:r>
      <w:r>
        <w:rPr>
          <w:spacing w:val="-1"/>
        </w:rPr>
        <w:t>information</w:t>
      </w:r>
      <w:r>
        <w:rPr>
          <w:spacing w:val="27"/>
        </w:rPr>
        <w:t xml:space="preserve"> </w:t>
      </w:r>
      <w:r>
        <w:rPr>
          <w:spacing w:val="-1"/>
        </w:rPr>
        <w:t>in</w:t>
      </w:r>
      <w:r>
        <w:rPr>
          <w:spacing w:val="27"/>
        </w:rPr>
        <w:t xml:space="preserve"> </w:t>
      </w:r>
      <w:r>
        <w:rPr>
          <w:spacing w:val="-2"/>
        </w:rPr>
        <w:t>advance</w:t>
      </w:r>
      <w:r>
        <w:rPr>
          <w:spacing w:val="27"/>
        </w:rPr>
        <w:t xml:space="preserve"> </w:t>
      </w:r>
      <w:r>
        <w:rPr>
          <w:spacing w:val="-1"/>
        </w:rPr>
        <w:t>of</w:t>
      </w:r>
      <w:r>
        <w:rPr>
          <w:spacing w:val="30"/>
        </w:rPr>
        <w:t xml:space="preserve"> </w:t>
      </w:r>
      <w:r>
        <w:t>the</w:t>
      </w:r>
      <w:r>
        <w:rPr>
          <w:spacing w:val="27"/>
        </w:rPr>
        <w:t xml:space="preserve"> </w:t>
      </w:r>
      <w:r>
        <w:rPr>
          <w:spacing w:val="-2"/>
        </w:rPr>
        <w:t>Service</w:t>
      </w:r>
      <w:r>
        <w:rPr>
          <w:spacing w:val="27"/>
        </w:rPr>
        <w:t xml:space="preserve"> </w:t>
      </w:r>
      <w:r>
        <w:rPr>
          <w:spacing w:val="-1"/>
        </w:rPr>
        <w:t>Transfer</w:t>
      </w:r>
      <w:r>
        <w:rPr>
          <w:spacing w:val="80"/>
        </w:rPr>
        <w:t xml:space="preserve"> </w:t>
      </w:r>
      <w:r>
        <w:rPr>
          <w:spacing w:val="-1"/>
        </w:rPr>
        <w:t>Date</w:t>
      </w:r>
      <w:r>
        <w:rPr>
          <w:spacing w:val="7"/>
        </w:rPr>
        <w:t xml:space="preserve"> </w:t>
      </w:r>
      <w:r>
        <w:t>to</w:t>
      </w:r>
      <w:r>
        <w:rPr>
          <w:spacing w:val="7"/>
        </w:rPr>
        <w:t xml:space="preserve"> </w:t>
      </w:r>
      <w:r>
        <w:rPr>
          <w:spacing w:val="-1"/>
        </w:rPr>
        <w:t>ensure</w:t>
      </w:r>
      <w:r>
        <w:rPr>
          <w:spacing w:val="5"/>
        </w:rPr>
        <w:t xml:space="preserve"> </w:t>
      </w:r>
      <w:r>
        <w:rPr>
          <w:spacing w:val="-1"/>
        </w:rPr>
        <w:t>that</w:t>
      </w:r>
      <w:r>
        <w:rPr>
          <w:spacing w:val="9"/>
        </w:rPr>
        <w:t xml:space="preserve"> </w:t>
      </w:r>
      <w:r>
        <w:rPr>
          <w:spacing w:val="-1"/>
        </w:rPr>
        <w:t>all</w:t>
      </w:r>
      <w:r>
        <w:rPr>
          <w:spacing w:val="7"/>
        </w:rPr>
        <w:t xml:space="preserve"> </w:t>
      </w:r>
      <w:r>
        <w:rPr>
          <w:spacing w:val="-1"/>
        </w:rPr>
        <w:t>necessary</w:t>
      </w:r>
      <w:r>
        <w:rPr>
          <w:spacing w:val="5"/>
        </w:rPr>
        <w:t xml:space="preserve"> </w:t>
      </w:r>
      <w:r>
        <w:rPr>
          <w:spacing w:val="-2"/>
        </w:rPr>
        <w:t>payroll</w:t>
      </w:r>
      <w:r>
        <w:rPr>
          <w:spacing w:val="7"/>
        </w:rPr>
        <w:t xml:space="preserve"> </w:t>
      </w:r>
      <w:r>
        <w:rPr>
          <w:spacing w:val="-1"/>
        </w:rPr>
        <w:t>arrangements</w:t>
      </w:r>
      <w:r>
        <w:rPr>
          <w:spacing w:val="8"/>
        </w:rPr>
        <w:t xml:space="preserve"> </w:t>
      </w:r>
      <w:r>
        <w:rPr>
          <w:spacing w:val="-2"/>
        </w:rPr>
        <w:t>can</w:t>
      </w:r>
      <w:r>
        <w:rPr>
          <w:spacing w:val="7"/>
        </w:rPr>
        <w:t xml:space="preserve"> </w:t>
      </w:r>
      <w:r>
        <w:rPr>
          <w:spacing w:val="-1"/>
        </w:rPr>
        <w:t>be</w:t>
      </w:r>
      <w:r>
        <w:rPr>
          <w:spacing w:val="7"/>
        </w:rPr>
        <w:t xml:space="preserve"> </w:t>
      </w:r>
      <w:r>
        <w:rPr>
          <w:spacing w:val="-1"/>
        </w:rPr>
        <w:t>made</w:t>
      </w:r>
      <w:r>
        <w:rPr>
          <w:spacing w:val="5"/>
        </w:rPr>
        <w:t xml:space="preserve"> </w:t>
      </w:r>
      <w:r>
        <w:t>to</w:t>
      </w:r>
      <w:r>
        <w:rPr>
          <w:spacing w:val="7"/>
        </w:rPr>
        <w:t xml:space="preserve"> </w:t>
      </w:r>
      <w:r>
        <w:rPr>
          <w:spacing w:val="-2"/>
        </w:rPr>
        <w:t>enable</w:t>
      </w:r>
      <w:r>
        <w:rPr>
          <w:spacing w:val="7"/>
        </w:rPr>
        <w:t xml:space="preserve"> </w:t>
      </w:r>
      <w:r>
        <w:rPr>
          <w:spacing w:val="-1"/>
        </w:rPr>
        <w:t>the</w:t>
      </w:r>
      <w:r>
        <w:rPr>
          <w:spacing w:val="72"/>
        </w:rPr>
        <w:t xml:space="preserve"> </w:t>
      </w:r>
      <w:r>
        <w:rPr>
          <w:spacing w:val="-1"/>
        </w:rPr>
        <w:t>Transferring</w:t>
      </w:r>
      <w:r>
        <w:rPr>
          <w:spacing w:val="29"/>
        </w:rPr>
        <w:t xml:space="preserve"> </w:t>
      </w:r>
      <w:r>
        <w:rPr>
          <w:spacing w:val="-2"/>
        </w:rPr>
        <w:t>Supplier</w:t>
      </w:r>
      <w:r>
        <w:rPr>
          <w:spacing w:val="28"/>
        </w:rPr>
        <w:t xml:space="preserve"> </w:t>
      </w:r>
      <w:r>
        <w:rPr>
          <w:spacing w:val="-2"/>
        </w:rPr>
        <w:t>Employees</w:t>
      </w:r>
      <w:r>
        <w:rPr>
          <w:spacing w:val="27"/>
        </w:rPr>
        <w:t xml:space="preserve"> </w:t>
      </w:r>
      <w:r>
        <w:t>to</w:t>
      </w:r>
      <w:r>
        <w:rPr>
          <w:spacing w:val="27"/>
        </w:rPr>
        <w:t xml:space="preserve"> </w:t>
      </w:r>
      <w:r>
        <w:rPr>
          <w:spacing w:val="-1"/>
        </w:rPr>
        <w:t>be</w:t>
      </w:r>
      <w:r>
        <w:rPr>
          <w:spacing w:val="27"/>
        </w:rPr>
        <w:t xml:space="preserve"> </w:t>
      </w:r>
      <w:r>
        <w:rPr>
          <w:spacing w:val="-1"/>
        </w:rPr>
        <w:t>paid</w:t>
      </w:r>
      <w:r>
        <w:rPr>
          <w:spacing w:val="27"/>
        </w:rPr>
        <w:t xml:space="preserve"> </w:t>
      </w:r>
      <w:r>
        <w:rPr>
          <w:spacing w:val="-1"/>
        </w:rPr>
        <w:t>as</w:t>
      </w:r>
      <w:r>
        <w:rPr>
          <w:spacing w:val="25"/>
        </w:rPr>
        <w:t xml:space="preserve"> </w:t>
      </w:r>
      <w:r>
        <w:rPr>
          <w:spacing w:val="-1"/>
        </w:rPr>
        <w:t>appropriate.</w:t>
      </w:r>
      <w:r>
        <w:rPr>
          <w:spacing w:val="48"/>
        </w:rPr>
        <w:t xml:space="preserve"> </w:t>
      </w:r>
      <w:r>
        <w:rPr>
          <w:spacing w:val="-1"/>
        </w:rPr>
        <w:t>Without</w:t>
      </w:r>
      <w:r>
        <w:rPr>
          <w:spacing w:val="28"/>
        </w:rPr>
        <w:t xml:space="preserve"> </w:t>
      </w:r>
      <w:r>
        <w:rPr>
          <w:spacing w:val="-1"/>
        </w:rPr>
        <w:t>prejudice</w:t>
      </w:r>
      <w:r>
        <w:rPr>
          <w:spacing w:val="25"/>
        </w:rPr>
        <w:t xml:space="preserve"> </w:t>
      </w:r>
      <w:r>
        <w:rPr>
          <w:spacing w:val="-1"/>
        </w:rPr>
        <w:t>to</w:t>
      </w:r>
      <w:r>
        <w:rPr>
          <w:spacing w:val="53"/>
        </w:rPr>
        <w:t xml:space="preserve"> </w:t>
      </w:r>
      <w:r>
        <w:t>the</w:t>
      </w:r>
      <w:r>
        <w:rPr>
          <w:spacing w:val="24"/>
        </w:rPr>
        <w:t xml:space="preserve"> </w:t>
      </w:r>
      <w:r>
        <w:rPr>
          <w:spacing w:val="-1"/>
        </w:rPr>
        <w:t>generality</w:t>
      </w:r>
      <w:r>
        <w:rPr>
          <w:spacing w:val="22"/>
        </w:rPr>
        <w:t xml:space="preserve"> </w:t>
      </w:r>
      <w:r>
        <w:rPr>
          <w:spacing w:val="-1"/>
        </w:rPr>
        <w:t>of</w:t>
      </w:r>
      <w:r>
        <w:rPr>
          <w:spacing w:val="28"/>
        </w:rPr>
        <w:t xml:space="preserve"> </w:t>
      </w:r>
      <w:r>
        <w:rPr>
          <w:spacing w:val="-1"/>
        </w:rPr>
        <w:t>the</w:t>
      </w:r>
      <w:r>
        <w:rPr>
          <w:spacing w:val="22"/>
        </w:rPr>
        <w:t xml:space="preserve"> </w:t>
      </w:r>
      <w:r>
        <w:rPr>
          <w:spacing w:val="-1"/>
        </w:rPr>
        <w:t>foregoing,</w:t>
      </w:r>
      <w:r>
        <w:rPr>
          <w:spacing w:val="26"/>
        </w:rPr>
        <w:t xml:space="preserve"> </w:t>
      </w:r>
      <w:r>
        <w:rPr>
          <w:spacing w:val="-2"/>
        </w:rPr>
        <w:t>within</w:t>
      </w:r>
      <w:r>
        <w:rPr>
          <w:spacing w:val="26"/>
        </w:rPr>
        <w:t xml:space="preserve"> </w:t>
      </w:r>
      <w:r>
        <w:rPr>
          <w:spacing w:val="-1"/>
        </w:rPr>
        <w:t>five</w:t>
      </w:r>
      <w:r>
        <w:rPr>
          <w:spacing w:val="24"/>
        </w:rPr>
        <w:t xml:space="preserve"> </w:t>
      </w:r>
      <w:r>
        <w:rPr>
          <w:spacing w:val="-1"/>
        </w:rPr>
        <w:t>(5)</w:t>
      </w:r>
      <w:r>
        <w:rPr>
          <w:spacing w:val="-6"/>
        </w:rPr>
        <w:t xml:space="preserve"> </w:t>
      </w:r>
      <w:r>
        <w:rPr>
          <w:spacing w:val="-1"/>
        </w:rPr>
        <w:t>Working</w:t>
      </w:r>
      <w:r>
        <w:rPr>
          <w:spacing w:val="27"/>
        </w:rPr>
        <w:t xml:space="preserve"> </w:t>
      </w:r>
      <w:r>
        <w:rPr>
          <w:spacing w:val="-2"/>
        </w:rPr>
        <w:t>Days</w:t>
      </w:r>
      <w:r>
        <w:rPr>
          <w:spacing w:val="22"/>
        </w:rPr>
        <w:t xml:space="preserve"> </w:t>
      </w:r>
      <w:r>
        <w:rPr>
          <w:spacing w:val="-1"/>
        </w:rPr>
        <w:t>following</w:t>
      </w:r>
      <w:r>
        <w:rPr>
          <w:spacing w:val="27"/>
        </w:rPr>
        <w:t xml:space="preserve"> </w:t>
      </w:r>
      <w:r>
        <w:rPr>
          <w:spacing w:val="-1"/>
        </w:rPr>
        <w:t>the</w:t>
      </w:r>
      <w:r>
        <w:rPr>
          <w:spacing w:val="24"/>
        </w:rPr>
        <w:t xml:space="preserve"> </w:t>
      </w:r>
      <w:r>
        <w:rPr>
          <w:spacing w:val="-2"/>
        </w:rPr>
        <w:t>Service</w:t>
      </w:r>
      <w:r>
        <w:rPr>
          <w:spacing w:val="66"/>
        </w:rPr>
        <w:t xml:space="preserve"> </w:t>
      </w:r>
      <w:r>
        <w:rPr>
          <w:spacing w:val="-1"/>
        </w:rPr>
        <w:t>Transfer</w:t>
      </w:r>
      <w:r>
        <w:rPr>
          <w:spacing w:val="20"/>
        </w:rPr>
        <w:t xml:space="preserve"> </w:t>
      </w:r>
      <w:r>
        <w:rPr>
          <w:spacing w:val="-1"/>
        </w:rPr>
        <w:t>Date,</w:t>
      </w:r>
      <w:r>
        <w:rPr>
          <w:spacing w:val="20"/>
        </w:rPr>
        <w:t xml:space="preserve"> </w:t>
      </w:r>
      <w:r>
        <w:t>the</w:t>
      </w:r>
      <w:r>
        <w:rPr>
          <w:spacing w:val="18"/>
        </w:rPr>
        <w:t xml:space="preserve"> </w:t>
      </w:r>
      <w:r>
        <w:rPr>
          <w:spacing w:val="-2"/>
        </w:rPr>
        <w:t>Supplier</w:t>
      </w:r>
      <w:r>
        <w:rPr>
          <w:spacing w:val="20"/>
        </w:rPr>
        <w:t xml:space="preserve"> </w:t>
      </w:r>
      <w:r>
        <w:rPr>
          <w:spacing w:val="-1"/>
        </w:rPr>
        <w:t>shall</w:t>
      </w:r>
      <w:r>
        <w:rPr>
          <w:spacing w:val="18"/>
        </w:rPr>
        <w:t xml:space="preserve"> </w:t>
      </w:r>
      <w:r>
        <w:rPr>
          <w:spacing w:val="-2"/>
        </w:rPr>
        <w:t>provide,</w:t>
      </w:r>
      <w:r>
        <w:rPr>
          <w:spacing w:val="20"/>
        </w:rPr>
        <w:t xml:space="preserve"> </w:t>
      </w:r>
      <w:r>
        <w:t>and</w:t>
      </w:r>
      <w:r>
        <w:rPr>
          <w:spacing w:val="18"/>
        </w:rPr>
        <w:t xml:space="preserve"> </w:t>
      </w:r>
      <w:r>
        <w:rPr>
          <w:spacing w:val="-1"/>
        </w:rPr>
        <w:t>shall</w:t>
      </w:r>
      <w:r>
        <w:rPr>
          <w:spacing w:val="18"/>
        </w:rPr>
        <w:t xml:space="preserve"> </w:t>
      </w:r>
      <w:r>
        <w:rPr>
          <w:spacing w:val="-1"/>
        </w:rPr>
        <w:t>procure</w:t>
      </w:r>
      <w:r>
        <w:rPr>
          <w:spacing w:val="18"/>
        </w:rPr>
        <w:t xml:space="preserve"> </w:t>
      </w:r>
      <w:r>
        <w:rPr>
          <w:spacing w:val="-1"/>
        </w:rPr>
        <w:t>that</w:t>
      </w:r>
      <w:r>
        <w:rPr>
          <w:spacing w:val="20"/>
        </w:rPr>
        <w:t xml:space="preserve"> </w:t>
      </w:r>
      <w:r>
        <w:rPr>
          <w:spacing w:val="-2"/>
        </w:rPr>
        <w:t>each</w:t>
      </w:r>
      <w:r>
        <w:rPr>
          <w:spacing w:val="19"/>
        </w:rPr>
        <w:t xml:space="preserve"> </w:t>
      </w:r>
      <w:r>
        <w:rPr>
          <w:spacing w:val="-1"/>
        </w:rPr>
        <w:t>Sub-</w:t>
      </w:r>
      <w:r>
        <w:rPr>
          <w:spacing w:val="55"/>
        </w:rPr>
        <w:t xml:space="preserve"> </w:t>
      </w:r>
      <w:r>
        <w:rPr>
          <w:spacing w:val="-1"/>
        </w:rPr>
        <w:t>Contractor</w:t>
      </w:r>
      <w:r>
        <w:rPr>
          <w:spacing w:val="14"/>
        </w:rPr>
        <w:t xml:space="preserve"> </w:t>
      </w:r>
      <w:r>
        <w:rPr>
          <w:spacing w:val="-1"/>
        </w:rPr>
        <w:t>shall</w:t>
      </w:r>
      <w:r>
        <w:rPr>
          <w:spacing w:val="12"/>
        </w:rPr>
        <w:t xml:space="preserve"> </w:t>
      </w:r>
      <w:r>
        <w:rPr>
          <w:spacing w:val="-2"/>
        </w:rPr>
        <w:t>provide,</w:t>
      </w:r>
      <w:r>
        <w:rPr>
          <w:spacing w:val="16"/>
        </w:rPr>
        <w:t xml:space="preserve"> </w:t>
      </w:r>
      <w:r>
        <w:t>the</w:t>
      </w:r>
      <w:r>
        <w:rPr>
          <w:spacing w:val="12"/>
        </w:rPr>
        <w:t xml:space="preserve"> </w:t>
      </w:r>
      <w:r>
        <w:rPr>
          <w:spacing w:val="-1"/>
        </w:rPr>
        <w:t>Customer</w:t>
      </w:r>
      <w:r>
        <w:rPr>
          <w:spacing w:val="14"/>
        </w:rPr>
        <w:t xml:space="preserve"> </w:t>
      </w:r>
      <w:r>
        <w:rPr>
          <w:spacing w:val="-1"/>
        </w:rPr>
        <w:t>or,</w:t>
      </w:r>
      <w:r>
        <w:rPr>
          <w:spacing w:val="14"/>
        </w:rPr>
        <w:t xml:space="preserve"> </w:t>
      </w:r>
      <w:r>
        <w:rPr>
          <w:spacing w:val="-1"/>
        </w:rPr>
        <w:t>at</w:t>
      </w:r>
      <w:r>
        <w:rPr>
          <w:spacing w:val="14"/>
        </w:rPr>
        <w:t xml:space="preserve"> </w:t>
      </w:r>
      <w:r>
        <w:t>the</w:t>
      </w:r>
      <w:r>
        <w:rPr>
          <w:spacing w:val="10"/>
        </w:rPr>
        <w:t xml:space="preserve"> </w:t>
      </w:r>
      <w:r>
        <w:rPr>
          <w:spacing w:val="-1"/>
        </w:rPr>
        <w:t>direction</w:t>
      </w:r>
      <w:r>
        <w:rPr>
          <w:spacing w:val="12"/>
        </w:rPr>
        <w:t xml:space="preserve"> </w:t>
      </w:r>
      <w:r>
        <w:rPr>
          <w:spacing w:val="-1"/>
        </w:rPr>
        <w:t>of</w:t>
      </w:r>
      <w:r>
        <w:rPr>
          <w:spacing w:val="16"/>
        </w:rPr>
        <w:t xml:space="preserve"> </w:t>
      </w:r>
      <w:r>
        <w:t>the</w:t>
      </w:r>
      <w:r>
        <w:rPr>
          <w:spacing w:val="12"/>
        </w:rPr>
        <w:t xml:space="preserve"> </w:t>
      </w:r>
      <w:r>
        <w:rPr>
          <w:spacing w:val="-1"/>
        </w:rPr>
        <w:t>Customer,</w:t>
      </w:r>
      <w:r>
        <w:rPr>
          <w:spacing w:val="14"/>
        </w:rPr>
        <w:t xml:space="preserve"> </w:t>
      </w:r>
      <w:r>
        <w:t>to</w:t>
      </w:r>
      <w:r>
        <w:rPr>
          <w:spacing w:val="12"/>
        </w:rPr>
        <w:t xml:space="preserve"> </w:t>
      </w:r>
      <w:r>
        <w:rPr>
          <w:spacing w:val="-1"/>
        </w:rPr>
        <w:t>any</w:t>
      </w:r>
      <w:r>
        <w:rPr>
          <w:spacing w:val="38"/>
        </w:rPr>
        <w:t xml:space="preserve"> </w:t>
      </w:r>
      <w:r>
        <w:rPr>
          <w:spacing w:val="-1"/>
        </w:rPr>
        <w:t>Replacement</w:t>
      </w:r>
      <w:r>
        <w:rPr>
          <w:spacing w:val="4"/>
        </w:rPr>
        <w:t xml:space="preserve"> </w:t>
      </w:r>
      <w:r>
        <w:rPr>
          <w:spacing w:val="-2"/>
        </w:rPr>
        <w:t>Supplier</w:t>
      </w:r>
      <w:r>
        <w:rPr>
          <w:spacing w:val="4"/>
        </w:rPr>
        <w:t xml:space="preserve"> </w:t>
      </w:r>
      <w:r>
        <w:rPr>
          <w:spacing w:val="-1"/>
        </w:rPr>
        <w:t>and/or</w:t>
      </w:r>
      <w:r>
        <w:rPr>
          <w:spacing w:val="4"/>
        </w:rPr>
        <w:t xml:space="preserve"> </w:t>
      </w:r>
      <w:r>
        <w:rPr>
          <w:spacing w:val="-1"/>
        </w:rPr>
        <w:t>any</w:t>
      </w:r>
      <w:r>
        <w:rPr>
          <w:spacing w:val="1"/>
        </w:rPr>
        <w:t xml:space="preserve"> </w:t>
      </w:r>
      <w:r>
        <w:rPr>
          <w:spacing w:val="-1"/>
        </w:rPr>
        <w:t>Replacement</w:t>
      </w:r>
      <w:r>
        <w:rPr>
          <w:spacing w:val="7"/>
        </w:rPr>
        <w:t xml:space="preserve"> </w:t>
      </w:r>
      <w:r>
        <w:rPr>
          <w:spacing w:val="-1"/>
        </w:rPr>
        <w:t>Sub-Contractor</w:t>
      </w:r>
      <w:r>
        <w:rPr>
          <w:spacing w:val="4"/>
        </w:rPr>
        <w:t xml:space="preserve"> </w:t>
      </w:r>
      <w:r>
        <w:rPr>
          <w:spacing w:val="-1"/>
        </w:rPr>
        <w:t>(as</w:t>
      </w:r>
      <w:r>
        <w:rPr>
          <w:spacing w:val="3"/>
        </w:rPr>
        <w:t xml:space="preserve"> </w:t>
      </w:r>
      <w:r>
        <w:rPr>
          <w:spacing w:val="-1"/>
        </w:rPr>
        <w:t>appropriate),</w:t>
      </w:r>
      <w:r>
        <w:rPr>
          <w:spacing w:val="4"/>
        </w:rPr>
        <w:t xml:space="preserve"> </w:t>
      </w:r>
      <w:r>
        <w:rPr>
          <w:spacing w:val="-1"/>
        </w:rPr>
        <w:t>in</w:t>
      </w:r>
      <w:r>
        <w:rPr>
          <w:spacing w:val="37"/>
        </w:rPr>
        <w:t xml:space="preserve"> </w:t>
      </w:r>
      <w:r>
        <w:rPr>
          <w:spacing w:val="-1"/>
        </w:rPr>
        <w:t>respect</w:t>
      </w:r>
      <w:r>
        <w:rPr>
          <w:spacing w:val="7"/>
        </w:rPr>
        <w:t xml:space="preserve"> </w:t>
      </w:r>
      <w:r>
        <w:rPr>
          <w:spacing w:val="-2"/>
        </w:rPr>
        <w:t>of</w:t>
      </w:r>
      <w:r>
        <w:rPr>
          <w:spacing w:val="7"/>
        </w:rPr>
        <w:t xml:space="preserve"> </w:t>
      </w:r>
      <w:r>
        <w:rPr>
          <w:spacing w:val="-1"/>
        </w:rPr>
        <w:t>each</w:t>
      </w:r>
      <w:r>
        <w:rPr>
          <w:spacing w:val="5"/>
        </w:rPr>
        <w:t xml:space="preserve"> </w:t>
      </w:r>
      <w:r>
        <w:rPr>
          <w:spacing w:val="-1"/>
        </w:rPr>
        <w:t>person</w:t>
      </w:r>
      <w:r>
        <w:rPr>
          <w:spacing w:val="5"/>
        </w:rPr>
        <w:t xml:space="preserve"> </w:t>
      </w:r>
      <w:r>
        <w:rPr>
          <w:spacing w:val="-2"/>
        </w:rPr>
        <w:t>on</w:t>
      </w:r>
      <w:r>
        <w:rPr>
          <w:spacing w:val="5"/>
        </w:rPr>
        <w:t xml:space="preserve"> </w:t>
      </w:r>
      <w:r>
        <w:t>the</w:t>
      </w:r>
      <w:r>
        <w:rPr>
          <w:spacing w:val="5"/>
        </w:rPr>
        <w:t xml:space="preserve"> </w:t>
      </w:r>
      <w:r>
        <w:rPr>
          <w:spacing w:val="-1"/>
        </w:rPr>
        <w:t>Supplier's</w:t>
      </w:r>
      <w:r>
        <w:rPr>
          <w:spacing w:val="5"/>
        </w:rPr>
        <w:t xml:space="preserve"> </w:t>
      </w:r>
      <w:r>
        <w:rPr>
          <w:spacing w:val="-1"/>
        </w:rPr>
        <w:t>Final</w:t>
      </w:r>
      <w:r>
        <w:rPr>
          <w:spacing w:val="4"/>
        </w:rPr>
        <w:t xml:space="preserve"> </w:t>
      </w:r>
      <w:r>
        <w:rPr>
          <w:spacing w:val="-1"/>
        </w:rPr>
        <w:t>Personnel</w:t>
      </w:r>
      <w:r>
        <w:rPr>
          <w:spacing w:val="4"/>
        </w:rPr>
        <w:t xml:space="preserve"> </w:t>
      </w:r>
      <w:r>
        <w:rPr>
          <w:spacing w:val="-1"/>
        </w:rPr>
        <w:t>List</w:t>
      </w:r>
      <w:r>
        <w:rPr>
          <w:spacing w:val="7"/>
        </w:rPr>
        <w:t xml:space="preserve"> </w:t>
      </w:r>
      <w:r>
        <w:rPr>
          <w:spacing w:val="-2"/>
        </w:rPr>
        <w:t>who</w:t>
      </w:r>
      <w:r>
        <w:rPr>
          <w:spacing w:val="5"/>
        </w:rPr>
        <w:t xml:space="preserve"> </w:t>
      </w:r>
      <w:r>
        <w:rPr>
          <w:spacing w:val="-1"/>
        </w:rPr>
        <w:t>is</w:t>
      </w:r>
      <w:r>
        <w:rPr>
          <w:spacing w:val="5"/>
        </w:rPr>
        <w:t xml:space="preserve"> </w:t>
      </w:r>
      <w:r>
        <w:t>a</w:t>
      </w:r>
      <w:r>
        <w:rPr>
          <w:spacing w:val="5"/>
        </w:rPr>
        <w:t xml:space="preserve"> </w:t>
      </w:r>
      <w:r>
        <w:rPr>
          <w:spacing w:val="-1"/>
        </w:rPr>
        <w:t>Transferring</w:t>
      </w:r>
      <w:r>
        <w:rPr>
          <w:spacing w:val="39"/>
        </w:rPr>
        <w:t xml:space="preserve"> </w:t>
      </w:r>
      <w:r>
        <w:rPr>
          <w:spacing w:val="-2"/>
        </w:rPr>
        <w:t>Supplier</w:t>
      </w:r>
      <w:r>
        <w:rPr>
          <w:spacing w:val="2"/>
        </w:rPr>
        <w:t xml:space="preserve"> </w:t>
      </w:r>
      <w:r>
        <w:rPr>
          <w:spacing w:val="-2"/>
        </w:rPr>
        <w:t>Employee:</w:t>
      </w:r>
    </w:p>
    <w:p w:rsidR="008918FA" w:rsidRDefault="008918FA" w:rsidP="008918FA">
      <w:pPr>
        <w:pStyle w:val="BodyText"/>
        <w:numPr>
          <w:ilvl w:val="2"/>
          <w:numId w:val="7"/>
        </w:numPr>
        <w:tabs>
          <w:tab w:val="left" w:pos="1886"/>
        </w:tabs>
        <w:ind w:left="1885" w:hanging="993"/>
        <w:jc w:val="both"/>
      </w:pPr>
      <w:r>
        <w:t>the</w:t>
      </w:r>
      <w:r>
        <w:rPr>
          <w:spacing w:val="-2"/>
        </w:rPr>
        <w:t xml:space="preserve"> </w:t>
      </w:r>
      <w:r>
        <w:rPr>
          <w:spacing w:val="-1"/>
        </w:rPr>
        <w:t>most</w:t>
      </w:r>
      <w:r>
        <w:t xml:space="preserve"> </w:t>
      </w:r>
      <w:r>
        <w:rPr>
          <w:spacing w:val="-1"/>
        </w:rPr>
        <w:t>recent</w:t>
      </w:r>
      <w:r>
        <w:t xml:space="preserve"> </w:t>
      </w:r>
      <w:r>
        <w:rPr>
          <w:spacing w:val="-1"/>
        </w:rPr>
        <w:t>month's</w:t>
      </w:r>
      <w:r>
        <w:rPr>
          <w:spacing w:val="-2"/>
        </w:rPr>
        <w:t xml:space="preserve"> </w:t>
      </w:r>
      <w:r>
        <w:rPr>
          <w:spacing w:val="-1"/>
        </w:rPr>
        <w:t>copy</w:t>
      </w:r>
      <w:r>
        <w:rPr>
          <w:spacing w:val="-2"/>
        </w:rPr>
        <w:t xml:space="preserve"> </w:t>
      </w:r>
      <w:r>
        <w:rPr>
          <w:spacing w:val="-1"/>
        </w:rPr>
        <w:t>pay</w:t>
      </w:r>
      <w:r>
        <w:rPr>
          <w:spacing w:val="-2"/>
        </w:rPr>
        <w:t xml:space="preserve"> </w:t>
      </w:r>
      <w:r>
        <w:rPr>
          <w:spacing w:val="-1"/>
        </w:rPr>
        <w:t>slip</w:t>
      </w:r>
      <w:r>
        <w:t xml:space="preserve"> </w:t>
      </w:r>
      <w:r>
        <w:rPr>
          <w:spacing w:val="-1"/>
        </w:rPr>
        <w:t>data;</w:t>
      </w:r>
    </w:p>
    <w:p w:rsidR="008918FA" w:rsidRDefault="008918FA" w:rsidP="008918FA">
      <w:pPr>
        <w:pStyle w:val="BodyText"/>
        <w:numPr>
          <w:ilvl w:val="2"/>
          <w:numId w:val="7"/>
        </w:numPr>
        <w:tabs>
          <w:tab w:val="left" w:pos="1886"/>
        </w:tabs>
        <w:spacing w:before="121"/>
        <w:ind w:left="1885" w:hanging="993"/>
        <w:jc w:val="both"/>
      </w:pPr>
      <w:r>
        <w:rPr>
          <w:spacing w:val="-1"/>
        </w:rPr>
        <w:t>details</w:t>
      </w:r>
      <w:r>
        <w:rPr>
          <w:spacing w:val="1"/>
        </w:rPr>
        <w:t xml:space="preserve"> </w:t>
      </w:r>
      <w:r>
        <w:rPr>
          <w:spacing w:val="-2"/>
        </w:rPr>
        <w:t>of</w:t>
      </w:r>
      <w:r>
        <w:rPr>
          <w:spacing w:val="2"/>
        </w:rPr>
        <w:t xml:space="preserve"> </w:t>
      </w:r>
      <w:r>
        <w:rPr>
          <w:spacing w:val="-2"/>
        </w:rPr>
        <w:t>cumulative</w:t>
      </w:r>
      <w:r>
        <w:t xml:space="preserve"> </w:t>
      </w:r>
      <w:r>
        <w:rPr>
          <w:spacing w:val="-1"/>
        </w:rPr>
        <w:t>pay</w:t>
      </w:r>
      <w:r>
        <w:rPr>
          <w:spacing w:val="-2"/>
        </w:rPr>
        <w:t xml:space="preserve"> </w:t>
      </w:r>
      <w:r>
        <w:t>for</w:t>
      </w:r>
      <w:r>
        <w:rPr>
          <w:spacing w:val="-1"/>
        </w:rPr>
        <w:t xml:space="preserve"> </w:t>
      </w:r>
      <w:r>
        <w:t>tax</w:t>
      </w:r>
      <w:r>
        <w:rPr>
          <w:spacing w:val="-2"/>
        </w:rPr>
        <w:t xml:space="preserve"> </w:t>
      </w:r>
      <w:r>
        <w:rPr>
          <w:spacing w:val="-1"/>
        </w:rPr>
        <w:t>and</w:t>
      </w:r>
      <w:r>
        <w:t xml:space="preserve"> </w:t>
      </w:r>
      <w:r>
        <w:rPr>
          <w:spacing w:val="-1"/>
        </w:rPr>
        <w:t>pension</w:t>
      </w:r>
      <w:r>
        <w:t xml:space="preserve"> </w:t>
      </w:r>
      <w:r>
        <w:rPr>
          <w:spacing w:val="-2"/>
        </w:rPr>
        <w:t>purposes;</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numPr>
          <w:ilvl w:val="2"/>
          <w:numId w:val="7"/>
        </w:numPr>
        <w:tabs>
          <w:tab w:val="left" w:pos="2027"/>
        </w:tabs>
        <w:spacing w:before="59"/>
      </w:pPr>
      <w:r>
        <w:rPr>
          <w:spacing w:val="-1"/>
        </w:rPr>
        <w:t>details</w:t>
      </w:r>
      <w:r>
        <w:rPr>
          <w:spacing w:val="1"/>
        </w:rPr>
        <w:t xml:space="preserve"> </w:t>
      </w:r>
      <w:r>
        <w:rPr>
          <w:spacing w:val="-2"/>
        </w:rPr>
        <w:t>of</w:t>
      </w:r>
      <w:r>
        <w:rPr>
          <w:spacing w:val="2"/>
        </w:rPr>
        <w:t xml:space="preserve"> </w:t>
      </w:r>
      <w:r>
        <w:rPr>
          <w:spacing w:val="-2"/>
        </w:rPr>
        <w:t>cumulative</w:t>
      </w:r>
      <w:r>
        <w:t xml:space="preserve"> tax</w:t>
      </w:r>
      <w:r>
        <w:rPr>
          <w:spacing w:val="-2"/>
        </w:rPr>
        <w:t xml:space="preserve"> paid;</w:t>
      </w:r>
    </w:p>
    <w:p w:rsidR="008918FA" w:rsidRDefault="008918FA" w:rsidP="008918FA">
      <w:pPr>
        <w:pStyle w:val="BodyText"/>
        <w:numPr>
          <w:ilvl w:val="2"/>
          <w:numId w:val="7"/>
        </w:numPr>
        <w:tabs>
          <w:tab w:val="left" w:pos="2027"/>
        </w:tabs>
      </w:pPr>
      <w:r>
        <w:t>tax</w:t>
      </w:r>
      <w:r>
        <w:rPr>
          <w:spacing w:val="-2"/>
        </w:rPr>
        <w:t xml:space="preserve"> </w:t>
      </w:r>
      <w:r>
        <w:rPr>
          <w:spacing w:val="-1"/>
        </w:rPr>
        <w:t>code;</w:t>
      </w:r>
    </w:p>
    <w:p w:rsidR="008918FA" w:rsidRDefault="008918FA" w:rsidP="008918FA">
      <w:pPr>
        <w:pStyle w:val="BodyText"/>
        <w:numPr>
          <w:ilvl w:val="2"/>
          <w:numId w:val="7"/>
        </w:numPr>
        <w:tabs>
          <w:tab w:val="left" w:pos="2027"/>
        </w:tabs>
        <w:spacing w:before="121"/>
      </w:pPr>
      <w:r>
        <w:rPr>
          <w:spacing w:val="-1"/>
        </w:rPr>
        <w:t>details</w:t>
      </w:r>
      <w:r>
        <w:rPr>
          <w:spacing w:val="1"/>
        </w:rPr>
        <w:t xml:space="preserve"> </w:t>
      </w:r>
      <w:r>
        <w:rPr>
          <w:spacing w:val="-2"/>
        </w:rPr>
        <w:t>of</w:t>
      </w:r>
      <w:r>
        <w:rPr>
          <w:spacing w:val="2"/>
        </w:rPr>
        <w:t xml:space="preserve"> </w:t>
      </w:r>
      <w:r>
        <w:rPr>
          <w:spacing w:val="-1"/>
        </w:rPr>
        <w:t>any</w:t>
      </w:r>
      <w:r>
        <w:rPr>
          <w:spacing w:val="-2"/>
        </w:rPr>
        <w:t xml:space="preserve"> </w:t>
      </w:r>
      <w:r>
        <w:rPr>
          <w:spacing w:val="-1"/>
        </w:rPr>
        <w:t>voluntary</w:t>
      </w:r>
      <w:r>
        <w:rPr>
          <w:spacing w:val="-2"/>
        </w:rPr>
        <w:t xml:space="preserve"> </w:t>
      </w:r>
      <w:r>
        <w:rPr>
          <w:spacing w:val="-1"/>
        </w:rPr>
        <w:t>deductions</w:t>
      </w:r>
      <w:r>
        <w:rPr>
          <w:spacing w:val="-2"/>
        </w:rPr>
        <w:t xml:space="preserve"> </w:t>
      </w:r>
      <w:r>
        <w:rPr>
          <w:spacing w:val="-1"/>
        </w:rPr>
        <w:t>from</w:t>
      </w:r>
      <w:r>
        <w:rPr>
          <w:spacing w:val="2"/>
        </w:rPr>
        <w:t xml:space="preserve"> </w:t>
      </w:r>
      <w:r>
        <w:rPr>
          <w:spacing w:val="-2"/>
        </w:rPr>
        <w:t>pay;</w:t>
      </w:r>
      <w:r>
        <w:t xml:space="preserve"> </w:t>
      </w:r>
      <w:r>
        <w:rPr>
          <w:spacing w:val="-1"/>
        </w:rPr>
        <w:t>and</w:t>
      </w:r>
    </w:p>
    <w:p w:rsidR="008918FA" w:rsidRDefault="008918FA" w:rsidP="008918FA">
      <w:pPr>
        <w:pStyle w:val="BodyText"/>
        <w:numPr>
          <w:ilvl w:val="2"/>
          <w:numId w:val="7"/>
        </w:numPr>
        <w:tabs>
          <w:tab w:val="left" w:pos="2027"/>
        </w:tabs>
      </w:pPr>
      <w:r>
        <w:rPr>
          <w:spacing w:val="-1"/>
        </w:rPr>
        <w:t>bank/building</w:t>
      </w:r>
      <w:r>
        <w:rPr>
          <w:spacing w:val="3"/>
        </w:rPr>
        <w:t xml:space="preserve"> </w:t>
      </w:r>
      <w:r>
        <w:rPr>
          <w:spacing w:val="-1"/>
        </w:rPr>
        <w:t>society</w:t>
      </w:r>
      <w:r>
        <w:rPr>
          <w:spacing w:val="-2"/>
        </w:rPr>
        <w:t xml:space="preserve"> </w:t>
      </w:r>
      <w:r>
        <w:rPr>
          <w:spacing w:val="-1"/>
        </w:rPr>
        <w:t>account</w:t>
      </w:r>
      <w:r>
        <w:rPr>
          <w:spacing w:val="2"/>
        </w:rPr>
        <w:t xml:space="preserve"> </w:t>
      </w:r>
      <w:r>
        <w:rPr>
          <w:spacing w:val="-2"/>
        </w:rPr>
        <w:t xml:space="preserve">details </w:t>
      </w:r>
      <w:r>
        <w:t>for</w:t>
      </w:r>
      <w:r>
        <w:rPr>
          <w:spacing w:val="2"/>
        </w:rPr>
        <w:t xml:space="preserve"> </w:t>
      </w:r>
      <w:r>
        <w:rPr>
          <w:spacing w:val="-2"/>
        </w:rPr>
        <w:t>payroll</w:t>
      </w:r>
      <w:r>
        <w:t xml:space="preserve"> </w:t>
      </w:r>
      <w:r>
        <w:rPr>
          <w:spacing w:val="-1"/>
        </w:rPr>
        <w:t>purposes.</w:t>
      </w:r>
    </w:p>
    <w:p w:rsidR="008918FA" w:rsidRDefault="008918FA" w:rsidP="008918FA">
      <w:pPr>
        <w:pStyle w:val="BodyText"/>
        <w:numPr>
          <w:ilvl w:val="0"/>
          <w:numId w:val="7"/>
        </w:numPr>
        <w:tabs>
          <w:tab w:val="left" w:pos="467"/>
        </w:tabs>
        <w:spacing w:before="120"/>
        <w:rPr>
          <w:rFonts w:ascii="Times New Roman" w:eastAsia="Times New Roman" w:hAnsi="Times New Roman" w:cs="Times New Roman"/>
        </w:rPr>
      </w:pPr>
      <w:r>
        <w:rPr>
          <w:rFonts w:ascii="Times New Roman"/>
          <w:spacing w:val="-1"/>
        </w:rPr>
        <w:t>EMP</w:t>
      </w:r>
      <w:r>
        <w:rPr>
          <w:rFonts w:ascii="Times New Roman"/>
          <w:spacing w:val="-32"/>
        </w:rPr>
        <w:t xml:space="preserve"> </w:t>
      </w:r>
      <w:r>
        <w:rPr>
          <w:rFonts w:ascii="Times New Roman"/>
          <w:spacing w:val="-1"/>
        </w:rPr>
        <w:t>LOYMENT</w:t>
      </w:r>
      <w:r>
        <w:rPr>
          <w:rFonts w:ascii="Times New Roman"/>
          <w:spacing w:val="4"/>
        </w:rPr>
        <w:t xml:space="preserve"> </w:t>
      </w:r>
      <w:r>
        <w:rPr>
          <w:rFonts w:ascii="Times New Roman"/>
          <w:spacing w:val="2"/>
        </w:rPr>
        <w:t>REGULATIONS</w:t>
      </w:r>
      <w:r>
        <w:rPr>
          <w:rFonts w:ascii="Times New Roman"/>
          <w:spacing w:val="31"/>
        </w:rPr>
        <w:t xml:space="preserve"> </w:t>
      </w:r>
      <w:r>
        <w:rPr>
          <w:rFonts w:ascii="Times New Roman"/>
          <w:spacing w:val="-4"/>
        </w:rPr>
        <w:t>EXIT</w:t>
      </w:r>
      <w:r>
        <w:rPr>
          <w:rFonts w:ascii="Times New Roman"/>
          <w:spacing w:val="4"/>
        </w:rPr>
        <w:t xml:space="preserve"> </w:t>
      </w:r>
      <w:r>
        <w:rPr>
          <w:rFonts w:ascii="Times New Roman"/>
          <w:spacing w:val="3"/>
        </w:rPr>
        <w:t>PROVIS</w:t>
      </w:r>
      <w:r>
        <w:rPr>
          <w:rFonts w:ascii="Times New Roman"/>
          <w:spacing w:val="-32"/>
        </w:rPr>
        <w:t xml:space="preserve"> </w:t>
      </w:r>
      <w:r>
        <w:rPr>
          <w:rFonts w:ascii="Times New Roman"/>
          <w:spacing w:val="-1"/>
        </w:rPr>
        <w:t>IONS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7"/>
        </w:numPr>
        <w:tabs>
          <w:tab w:val="left" w:pos="829"/>
        </w:tabs>
        <w:spacing w:before="0"/>
        <w:ind w:left="827" w:right="111" w:hanging="359"/>
        <w:jc w:val="both"/>
      </w:pPr>
      <w:r>
        <w:t>The</w:t>
      </w:r>
      <w:r>
        <w:rPr>
          <w:spacing w:val="41"/>
        </w:rPr>
        <w:t xml:space="preserve"> </w:t>
      </w:r>
      <w:r>
        <w:rPr>
          <w:spacing w:val="-2"/>
        </w:rPr>
        <w:t>Customer</w:t>
      </w:r>
      <w:r>
        <w:rPr>
          <w:spacing w:val="42"/>
        </w:rPr>
        <w:t xml:space="preserve"> </w:t>
      </w:r>
      <w:r>
        <w:rPr>
          <w:spacing w:val="-1"/>
        </w:rPr>
        <w:t>and</w:t>
      </w:r>
      <w:r>
        <w:rPr>
          <w:spacing w:val="41"/>
        </w:rPr>
        <w:t xml:space="preserve"> </w:t>
      </w:r>
      <w:r>
        <w:rPr>
          <w:spacing w:val="-1"/>
        </w:rPr>
        <w:t>the</w:t>
      </w:r>
      <w:r>
        <w:rPr>
          <w:spacing w:val="41"/>
        </w:rPr>
        <w:t xml:space="preserve"> </w:t>
      </w:r>
      <w:r>
        <w:rPr>
          <w:spacing w:val="-2"/>
        </w:rPr>
        <w:t>Supplier</w:t>
      </w:r>
      <w:r>
        <w:rPr>
          <w:spacing w:val="42"/>
        </w:rPr>
        <w:t xml:space="preserve"> </w:t>
      </w:r>
      <w:r>
        <w:rPr>
          <w:spacing w:val="-1"/>
        </w:rPr>
        <w:t>acknowledge</w:t>
      </w:r>
      <w:r>
        <w:rPr>
          <w:spacing w:val="39"/>
        </w:rPr>
        <w:t xml:space="preserve"> </w:t>
      </w:r>
      <w:r>
        <w:rPr>
          <w:spacing w:val="-1"/>
        </w:rPr>
        <w:t>that</w:t>
      </w:r>
      <w:r>
        <w:rPr>
          <w:spacing w:val="44"/>
        </w:rPr>
        <w:t xml:space="preserve"> </w:t>
      </w:r>
      <w:r>
        <w:rPr>
          <w:spacing w:val="-1"/>
        </w:rPr>
        <w:t>subsequent</w:t>
      </w:r>
      <w:r>
        <w:rPr>
          <w:spacing w:val="40"/>
        </w:rPr>
        <w:t xml:space="preserve"> </w:t>
      </w:r>
      <w:r>
        <w:t>to</w:t>
      </w:r>
      <w:r>
        <w:rPr>
          <w:spacing w:val="41"/>
        </w:rPr>
        <w:t xml:space="preserve"> </w:t>
      </w:r>
      <w:r>
        <w:rPr>
          <w:spacing w:val="-1"/>
        </w:rPr>
        <w:t>the</w:t>
      </w:r>
      <w:r>
        <w:rPr>
          <w:spacing w:val="57"/>
        </w:rPr>
        <w:t xml:space="preserve"> </w:t>
      </w:r>
      <w:r>
        <w:rPr>
          <w:spacing w:val="-1"/>
        </w:rPr>
        <w:t>commencement</w:t>
      </w:r>
      <w:r>
        <w:rPr>
          <w:spacing w:val="26"/>
        </w:rPr>
        <w:t xml:space="preserve"> </w:t>
      </w:r>
      <w:r>
        <w:rPr>
          <w:spacing w:val="-2"/>
        </w:rPr>
        <w:t>of</w:t>
      </w:r>
      <w:r>
        <w:rPr>
          <w:spacing w:val="26"/>
        </w:rPr>
        <w:t xml:space="preserve"> </w:t>
      </w:r>
      <w:r>
        <w:t>the</w:t>
      </w:r>
      <w:r>
        <w:rPr>
          <w:spacing w:val="22"/>
        </w:rPr>
        <w:t xml:space="preserve"> </w:t>
      </w:r>
      <w:r>
        <w:rPr>
          <w:spacing w:val="-2"/>
        </w:rPr>
        <w:t>provision</w:t>
      </w:r>
      <w:r>
        <w:rPr>
          <w:spacing w:val="24"/>
        </w:rPr>
        <w:t xml:space="preserve"> </w:t>
      </w:r>
      <w:r>
        <w:rPr>
          <w:spacing w:val="-1"/>
        </w:rPr>
        <w:t>of</w:t>
      </w:r>
      <w:r>
        <w:rPr>
          <w:spacing w:val="26"/>
        </w:rPr>
        <w:t xml:space="preserve"> </w:t>
      </w:r>
      <w:r>
        <w:t>the</w:t>
      </w:r>
      <w:r>
        <w:rPr>
          <w:spacing w:val="24"/>
        </w:rPr>
        <w:t xml:space="preserve"> </w:t>
      </w:r>
      <w:r>
        <w:rPr>
          <w:spacing w:val="-1"/>
        </w:rPr>
        <w:t>Goods</w:t>
      </w:r>
      <w:r>
        <w:rPr>
          <w:spacing w:val="25"/>
        </w:rPr>
        <w:t xml:space="preserve"> </w:t>
      </w:r>
      <w:r>
        <w:rPr>
          <w:spacing w:val="-1"/>
        </w:rPr>
        <w:t>and/or</w:t>
      </w:r>
      <w:r>
        <w:rPr>
          <w:spacing w:val="26"/>
        </w:rPr>
        <w:t xml:space="preserve"> </w:t>
      </w:r>
      <w:r>
        <w:rPr>
          <w:spacing w:val="-2"/>
        </w:rPr>
        <w:t>Services,</w:t>
      </w:r>
      <w:r>
        <w:rPr>
          <w:spacing w:val="26"/>
        </w:rPr>
        <w:t xml:space="preserve"> </w:t>
      </w:r>
      <w:r>
        <w:t>the</w:t>
      </w:r>
      <w:r>
        <w:rPr>
          <w:spacing w:val="24"/>
        </w:rPr>
        <w:t xml:space="preserve"> </w:t>
      </w:r>
      <w:r>
        <w:rPr>
          <w:spacing w:val="-2"/>
        </w:rPr>
        <w:t>identity</w:t>
      </w:r>
      <w:r>
        <w:rPr>
          <w:spacing w:val="22"/>
        </w:rPr>
        <w:t xml:space="preserve"> </w:t>
      </w:r>
      <w:r>
        <w:rPr>
          <w:spacing w:val="-1"/>
        </w:rPr>
        <w:t>of</w:t>
      </w:r>
      <w:r>
        <w:rPr>
          <w:spacing w:val="26"/>
        </w:rPr>
        <w:t xml:space="preserve"> </w:t>
      </w:r>
      <w:r>
        <w:rPr>
          <w:spacing w:val="-1"/>
        </w:rPr>
        <w:t>the</w:t>
      </w:r>
      <w:r>
        <w:rPr>
          <w:spacing w:val="62"/>
        </w:rPr>
        <w:t xml:space="preserve"> </w:t>
      </w:r>
      <w:r>
        <w:rPr>
          <w:spacing w:val="-2"/>
        </w:rPr>
        <w:t>provider</w:t>
      </w:r>
      <w:r>
        <w:rPr>
          <w:spacing w:val="19"/>
        </w:rPr>
        <w:t xml:space="preserve"> </w:t>
      </w:r>
      <w:r>
        <w:rPr>
          <w:spacing w:val="-1"/>
        </w:rPr>
        <w:t>of</w:t>
      </w:r>
      <w:r>
        <w:rPr>
          <w:spacing w:val="21"/>
        </w:rPr>
        <w:t xml:space="preserve"> </w:t>
      </w:r>
      <w:r>
        <w:t>the</w:t>
      </w:r>
      <w:r>
        <w:rPr>
          <w:spacing w:val="17"/>
        </w:rPr>
        <w:t xml:space="preserve"> </w:t>
      </w:r>
      <w:r>
        <w:rPr>
          <w:spacing w:val="-1"/>
        </w:rPr>
        <w:t>Goods</w:t>
      </w:r>
      <w:r>
        <w:rPr>
          <w:spacing w:val="18"/>
        </w:rPr>
        <w:t xml:space="preserve"> </w:t>
      </w:r>
      <w:r>
        <w:rPr>
          <w:spacing w:val="-1"/>
        </w:rPr>
        <w:t>and/or</w:t>
      </w:r>
      <w:r>
        <w:rPr>
          <w:spacing w:val="19"/>
        </w:rPr>
        <w:t xml:space="preserve"> </w:t>
      </w:r>
      <w:r>
        <w:rPr>
          <w:spacing w:val="-1"/>
        </w:rPr>
        <w:t>Services</w:t>
      </w:r>
      <w:r>
        <w:rPr>
          <w:spacing w:val="19"/>
        </w:rPr>
        <w:t xml:space="preserve"> </w:t>
      </w:r>
      <w:r>
        <w:rPr>
          <w:spacing w:val="-1"/>
        </w:rPr>
        <w:t>(or</w:t>
      </w:r>
      <w:r>
        <w:rPr>
          <w:spacing w:val="19"/>
        </w:rPr>
        <w:t xml:space="preserve"> </w:t>
      </w:r>
      <w:r>
        <w:rPr>
          <w:spacing w:val="-1"/>
        </w:rPr>
        <w:t>any</w:t>
      </w:r>
      <w:r>
        <w:rPr>
          <w:spacing w:val="15"/>
        </w:rPr>
        <w:t xml:space="preserve"> </w:t>
      </w:r>
      <w:r>
        <w:t>part</w:t>
      </w:r>
      <w:r>
        <w:rPr>
          <w:spacing w:val="19"/>
        </w:rPr>
        <w:t xml:space="preserve"> </w:t>
      </w:r>
      <w:r>
        <w:rPr>
          <w:spacing w:val="-2"/>
        </w:rPr>
        <w:t>of</w:t>
      </w:r>
      <w:r>
        <w:rPr>
          <w:spacing w:val="21"/>
        </w:rPr>
        <w:t xml:space="preserve"> </w:t>
      </w:r>
      <w:r>
        <w:t>the</w:t>
      </w:r>
      <w:r>
        <w:rPr>
          <w:spacing w:val="15"/>
        </w:rPr>
        <w:t xml:space="preserve"> </w:t>
      </w:r>
      <w:r>
        <w:rPr>
          <w:spacing w:val="-1"/>
        </w:rPr>
        <w:t>Goods</w:t>
      </w:r>
      <w:r>
        <w:rPr>
          <w:spacing w:val="18"/>
        </w:rPr>
        <w:t xml:space="preserve"> </w:t>
      </w:r>
      <w:r>
        <w:rPr>
          <w:spacing w:val="-1"/>
        </w:rPr>
        <w:t>and/or</w:t>
      </w:r>
      <w:r>
        <w:rPr>
          <w:spacing w:val="19"/>
        </w:rPr>
        <w:t xml:space="preserve"> </w:t>
      </w:r>
      <w:r>
        <w:rPr>
          <w:spacing w:val="-1"/>
        </w:rPr>
        <w:t>Services)</w:t>
      </w:r>
      <w:r>
        <w:rPr>
          <w:spacing w:val="45"/>
        </w:rPr>
        <w:t xml:space="preserve"> </w:t>
      </w:r>
      <w:r>
        <w:rPr>
          <w:spacing w:val="-1"/>
        </w:rPr>
        <w:t>may</w:t>
      </w:r>
      <w:r>
        <w:rPr>
          <w:spacing w:val="-2"/>
        </w:rPr>
        <w:t xml:space="preserve"> </w:t>
      </w:r>
      <w:r>
        <w:rPr>
          <w:spacing w:val="-1"/>
        </w:rPr>
        <w:t>change</w:t>
      </w:r>
      <w:r>
        <w:t xml:space="preserve"> </w:t>
      </w:r>
      <w:r>
        <w:rPr>
          <w:spacing w:val="-1"/>
        </w:rPr>
        <w:t>(whether</w:t>
      </w:r>
      <w:r>
        <w:rPr>
          <w:spacing w:val="2"/>
        </w:rPr>
        <w:t xml:space="preserve"> </w:t>
      </w:r>
      <w:r>
        <w:rPr>
          <w:spacing w:val="-1"/>
        </w:rPr>
        <w:t>as</w:t>
      </w:r>
      <w:r>
        <w:rPr>
          <w:spacing w:val="-2"/>
        </w:rPr>
        <w:t xml:space="preserve"> </w:t>
      </w:r>
      <w:r>
        <w:t xml:space="preserve">a </w:t>
      </w:r>
      <w:r>
        <w:rPr>
          <w:spacing w:val="-1"/>
        </w:rPr>
        <w:t>result</w:t>
      </w:r>
      <w:r>
        <w:rPr>
          <w:spacing w:val="2"/>
        </w:rPr>
        <w:t xml:space="preserve"> </w:t>
      </w:r>
      <w:r>
        <w:rPr>
          <w:spacing w:val="-2"/>
        </w:rPr>
        <w:t>of</w:t>
      </w:r>
      <w:r>
        <w:rPr>
          <w:spacing w:val="4"/>
        </w:rPr>
        <w:t xml:space="preserve"> </w:t>
      </w:r>
      <w:r>
        <w:rPr>
          <w:spacing w:val="-1"/>
        </w:rPr>
        <w:t>termination</w:t>
      </w:r>
      <w:r>
        <w:t xml:space="preserve"> </w:t>
      </w:r>
      <w:r>
        <w:rPr>
          <w:spacing w:val="-1"/>
        </w:rPr>
        <w:t>or partial</w:t>
      </w:r>
      <w:r>
        <w:t xml:space="preserve"> </w:t>
      </w:r>
      <w:r>
        <w:rPr>
          <w:spacing w:val="-1"/>
        </w:rPr>
        <w:t>termination</w:t>
      </w:r>
      <w:r>
        <w:t xml:space="preserve"> </w:t>
      </w:r>
      <w:r>
        <w:rPr>
          <w:spacing w:val="-2"/>
        </w:rPr>
        <w:t>of</w:t>
      </w:r>
      <w:r>
        <w:rPr>
          <w:spacing w:val="4"/>
        </w:rPr>
        <w:t xml:space="preserve"> </w:t>
      </w:r>
      <w:r>
        <w:rPr>
          <w:spacing w:val="-1"/>
        </w:rPr>
        <w:t>this</w:t>
      </w:r>
      <w:r>
        <w:rPr>
          <w:spacing w:val="2"/>
        </w:rPr>
        <w:t xml:space="preserve"> </w:t>
      </w:r>
      <w:r>
        <w:rPr>
          <w:spacing w:val="-2"/>
        </w:rPr>
        <w:t>Call</w:t>
      </w:r>
      <w:r>
        <w:t xml:space="preserve"> </w:t>
      </w:r>
      <w:r>
        <w:rPr>
          <w:spacing w:val="-1"/>
        </w:rPr>
        <w:t>Off</w:t>
      </w:r>
      <w:r>
        <w:rPr>
          <w:spacing w:val="63"/>
        </w:rPr>
        <w:t xml:space="preserve"> </w:t>
      </w:r>
      <w:r>
        <w:rPr>
          <w:spacing w:val="-1"/>
        </w:rPr>
        <w:t>Contract</w:t>
      </w:r>
      <w:r>
        <w:rPr>
          <w:spacing w:val="12"/>
        </w:rPr>
        <w:t xml:space="preserve"> </w:t>
      </w:r>
      <w:r>
        <w:rPr>
          <w:spacing w:val="-1"/>
        </w:rPr>
        <w:t>or</w:t>
      </w:r>
      <w:r>
        <w:rPr>
          <w:spacing w:val="9"/>
        </w:rPr>
        <w:t xml:space="preserve"> </w:t>
      </w:r>
      <w:r>
        <w:rPr>
          <w:spacing w:val="-2"/>
        </w:rPr>
        <w:t>otherwise)</w:t>
      </w:r>
      <w:r>
        <w:rPr>
          <w:spacing w:val="11"/>
        </w:rPr>
        <w:t xml:space="preserve"> </w:t>
      </w:r>
      <w:r>
        <w:rPr>
          <w:spacing w:val="-1"/>
        </w:rPr>
        <w:t>resulting</w:t>
      </w:r>
      <w:r>
        <w:rPr>
          <w:spacing w:val="12"/>
        </w:rPr>
        <w:t xml:space="preserve"> </w:t>
      </w:r>
      <w:r>
        <w:rPr>
          <w:spacing w:val="-1"/>
        </w:rPr>
        <w:t>in</w:t>
      </w:r>
      <w:r>
        <w:rPr>
          <w:spacing w:val="7"/>
        </w:rPr>
        <w:t xml:space="preserve"> </w:t>
      </w:r>
      <w:r>
        <w:t>the</w:t>
      </w:r>
      <w:r>
        <w:rPr>
          <w:spacing w:val="9"/>
        </w:rPr>
        <w:t xml:space="preserve"> </w:t>
      </w:r>
      <w:r>
        <w:rPr>
          <w:spacing w:val="-1"/>
        </w:rPr>
        <w:t>Goods</w:t>
      </w:r>
      <w:r>
        <w:rPr>
          <w:spacing w:val="10"/>
        </w:rPr>
        <w:t xml:space="preserve"> </w:t>
      </w:r>
      <w:r>
        <w:rPr>
          <w:spacing w:val="-1"/>
        </w:rPr>
        <w:t>and/or</w:t>
      </w:r>
      <w:r>
        <w:rPr>
          <w:spacing w:val="11"/>
        </w:rPr>
        <w:t xml:space="preserve"> </w:t>
      </w:r>
      <w:r>
        <w:rPr>
          <w:spacing w:val="-2"/>
        </w:rPr>
        <w:t>Services</w:t>
      </w:r>
      <w:r>
        <w:rPr>
          <w:spacing w:val="11"/>
        </w:rPr>
        <w:t xml:space="preserve"> </w:t>
      </w:r>
      <w:r>
        <w:rPr>
          <w:spacing w:val="-1"/>
        </w:rPr>
        <w:t>being</w:t>
      </w:r>
      <w:r>
        <w:rPr>
          <w:spacing w:val="12"/>
        </w:rPr>
        <w:t xml:space="preserve"> </w:t>
      </w:r>
      <w:r>
        <w:rPr>
          <w:spacing w:val="-1"/>
        </w:rPr>
        <w:t>undertaken</w:t>
      </w:r>
      <w:r>
        <w:rPr>
          <w:spacing w:val="10"/>
        </w:rPr>
        <w:t xml:space="preserve"> </w:t>
      </w:r>
      <w:r>
        <w:rPr>
          <w:spacing w:val="-1"/>
        </w:rPr>
        <w:t>by</w:t>
      </w:r>
      <w:r>
        <w:rPr>
          <w:spacing w:val="50"/>
        </w:rPr>
        <w:t xml:space="preserve"> </w:t>
      </w:r>
      <w:r>
        <w:t>a</w:t>
      </w:r>
      <w:r>
        <w:rPr>
          <w:spacing w:val="39"/>
        </w:rPr>
        <w:t xml:space="preserve"> </w:t>
      </w:r>
      <w:r>
        <w:rPr>
          <w:spacing w:val="-1"/>
        </w:rPr>
        <w:t>Replacement</w:t>
      </w:r>
      <w:r>
        <w:rPr>
          <w:spacing w:val="40"/>
        </w:rPr>
        <w:t xml:space="preserve"> </w:t>
      </w:r>
      <w:r>
        <w:rPr>
          <w:spacing w:val="-2"/>
        </w:rPr>
        <w:t>Supplier</w:t>
      </w:r>
      <w:r>
        <w:rPr>
          <w:spacing w:val="37"/>
        </w:rPr>
        <w:t xml:space="preserve"> </w:t>
      </w:r>
      <w:r>
        <w:rPr>
          <w:spacing w:val="-1"/>
        </w:rPr>
        <w:t>and/or</w:t>
      </w:r>
      <w:r>
        <w:rPr>
          <w:spacing w:val="40"/>
        </w:rPr>
        <w:t xml:space="preserve"> </w:t>
      </w:r>
      <w:r>
        <w:t>a</w:t>
      </w:r>
      <w:r>
        <w:rPr>
          <w:spacing w:val="38"/>
        </w:rPr>
        <w:t xml:space="preserve"> </w:t>
      </w:r>
      <w:r>
        <w:rPr>
          <w:spacing w:val="-2"/>
        </w:rPr>
        <w:t>Replacement</w:t>
      </w:r>
      <w:r>
        <w:rPr>
          <w:spacing w:val="40"/>
        </w:rPr>
        <w:t xml:space="preserve"> </w:t>
      </w:r>
      <w:r>
        <w:rPr>
          <w:spacing w:val="-1"/>
        </w:rPr>
        <w:t>Sub-Contractor.</w:t>
      </w:r>
      <w:r>
        <w:rPr>
          <w:spacing w:val="41"/>
        </w:rPr>
        <w:t xml:space="preserve"> </w:t>
      </w:r>
      <w:r>
        <w:rPr>
          <w:spacing w:val="-1"/>
        </w:rPr>
        <w:t>Such</w:t>
      </w:r>
      <w:r>
        <w:rPr>
          <w:spacing w:val="39"/>
        </w:rPr>
        <w:t xml:space="preserve"> </w:t>
      </w:r>
      <w:r>
        <w:rPr>
          <w:spacing w:val="-1"/>
        </w:rPr>
        <w:t>change</w:t>
      </w:r>
      <w:r>
        <w:rPr>
          <w:spacing w:val="38"/>
        </w:rPr>
        <w:t xml:space="preserve"> </w:t>
      </w:r>
      <w:r>
        <w:rPr>
          <w:spacing w:val="-1"/>
        </w:rPr>
        <w:t>in</w:t>
      </w:r>
      <w:r>
        <w:rPr>
          <w:spacing w:val="55"/>
        </w:rPr>
        <w:t xml:space="preserve"> </w:t>
      </w:r>
      <w:r>
        <w:t>the</w:t>
      </w:r>
      <w:r>
        <w:rPr>
          <w:spacing w:val="3"/>
        </w:rPr>
        <w:t xml:space="preserve"> </w:t>
      </w:r>
      <w:r>
        <w:rPr>
          <w:spacing w:val="-1"/>
        </w:rPr>
        <w:t>identity</w:t>
      </w:r>
      <w:r>
        <w:rPr>
          <w:spacing w:val="1"/>
        </w:rPr>
        <w:t xml:space="preserve"> </w:t>
      </w:r>
      <w:r>
        <w:rPr>
          <w:spacing w:val="-2"/>
        </w:rPr>
        <w:t>of</w:t>
      </w:r>
      <w:r>
        <w:rPr>
          <w:spacing w:val="4"/>
        </w:rPr>
        <w:t xml:space="preserve"> </w:t>
      </w:r>
      <w:r>
        <w:t xml:space="preserve">the </w:t>
      </w:r>
      <w:r>
        <w:rPr>
          <w:spacing w:val="-1"/>
        </w:rPr>
        <w:t>supplier</w:t>
      </w:r>
      <w:r>
        <w:rPr>
          <w:spacing w:val="4"/>
        </w:rPr>
        <w:t xml:space="preserve"> </w:t>
      </w:r>
      <w:r>
        <w:rPr>
          <w:spacing w:val="-2"/>
        </w:rPr>
        <w:t>of</w:t>
      </w:r>
      <w:r>
        <w:rPr>
          <w:spacing w:val="4"/>
        </w:rPr>
        <w:t xml:space="preserve"> </w:t>
      </w:r>
      <w:r>
        <w:rPr>
          <w:spacing w:val="-1"/>
        </w:rPr>
        <w:t>such</w:t>
      </w:r>
      <w:r>
        <w:rPr>
          <w:spacing w:val="2"/>
        </w:rPr>
        <w:t xml:space="preserve"> </w:t>
      </w:r>
      <w:r>
        <w:rPr>
          <w:spacing w:val="-1"/>
        </w:rPr>
        <w:t>goods</w:t>
      </w:r>
      <w:r>
        <w:rPr>
          <w:spacing w:val="1"/>
        </w:rPr>
        <w:t xml:space="preserve"> </w:t>
      </w:r>
      <w:r>
        <w:rPr>
          <w:spacing w:val="-1"/>
        </w:rPr>
        <w:t>and/or</w:t>
      </w:r>
      <w:r>
        <w:rPr>
          <w:spacing w:val="4"/>
        </w:rPr>
        <w:t xml:space="preserve"> </w:t>
      </w:r>
      <w:r>
        <w:rPr>
          <w:spacing w:val="-2"/>
        </w:rPr>
        <w:t>services</w:t>
      </w:r>
      <w:r>
        <w:rPr>
          <w:spacing w:val="3"/>
        </w:rPr>
        <w:t xml:space="preserve"> </w:t>
      </w:r>
      <w:r>
        <w:rPr>
          <w:spacing w:val="-1"/>
        </w:rPr>
        <w:t>may</w:t>
      </w:r>
      <w:r>
        <w:rPr>
          <w:spacing w:val="1"/>
        </w:rPr>
        <w:t xml:space="preserve"> </w:t>
      </w:r>
      <w:r>
        <w:rPr>
          <w:spacing w:val="-1"/>
        </w:rPr>
        <w:t>constitute</w:t>
      </w:r>
      <w:r>
        <w:rPr>
          <w:spacing w:val="3"/>
        </w:rPr>
        <w:t xml:space="preserve"> </w:t>
      </w:r>
      <w:r>
        <w:t xml:space="preserve">a </w:t>
      </w:r>
      <w:r>
        <w:rPr>
          <w:spacing w:val="-2"/>
        </w:rPr>
        <w:t>Relevant</w:t>
      </w:r>
      <w:r>
        <w:rPr>
          <w:spacing w:val="58"/>
        </w:rPr>
        <w:t xml:space="preserve"> </w:t>
      </w:r>
      <w:r>
        <w:rPr>
          <w:spacing w:val="-1"/>
        </w:rPr>
        <w:t>Transfer</w:t>
      </w:r>
      <w:r>
        <w:rPr>
          <w:spacing w:val="39"/>
        </w:rPr>
        <w:t xml:space="preserve"> </w:t>
      </w:r>
      <w:r>
        <w:t>to</w:t>
      </w:r>
      <w:r>
        <w:rPr>
          <w:spacing w:val="37"/>
        </w:rPr>
        <w:t xml:space="preserve"> </w:t>
      </w:r>
      <w:r>
        <w:rPr>
          <w:spacing w:val="-2"/>
        </w:rPr>
        <w:t>which</w:t>
      </w:r>
      <w:r>
        <w:rPr>
          <w:spacing w:val="38"/>
        </w:rPr>
        <w:t xml:space="preserve"> </w:t>
      </w:r>
      <w:r>
        <w:t>the</w:t>
      </w:r>
      <w:r>
        <w:rPr>
          <w:spacing w:val="35"/>
        </w:rPr>
        <w:t xml:space="preserve"> </w:t>
      </w:r>
      <w:r>
        <w:rPr>
          <w:spacing w:val="-1"/>
        </w:rPr>
        <w:t>Employment</w:t>
      </w:r>
      <w:r>
        <w:rPr>
          <w:spacing w:val="39"/>
        </w:rPr>
        <w:t xml:space="preserve"> </w:t>
      </w:r>
      <w:r>
        <w:rPr>
          <w:spacing w:val="-1"/>
        </w:rPr>
        <w:t>Regulations</w:t>
      </w:r>
      <w:r>
        <w:rPr>
          <w:spacing w:val="38"/>
        </w:rPr>
        <w:t xml:space="preserve"> </w:t>
      </w:r>
      <w:r>
        <w:rPr>
          <w:spacing w:val="-1"/>
        </w:rPr>
        <w:t>and/or</w:t>
      </w:r>
      <w:r>
        <w:rPr>
          <w:spacing w:val="37"/>
        </w:rPr>
        <w:t xml:space="preserve"> </w:t>
      </w:r>
      <w:r>
        <w:t>the</w:t>
      </w:r>
      <w:r>
        <w:rPr>
          <w:spacing w:val="37"/>
        </w:rPr>
        <w:t xml:space="preserve"> </w:t>
      </w:r>
      <w:r>
        <w:rPr>
          <w:spacing w:val="-1"/>
        </w:rPr>
        <w:t>Acquired</w:t>
      </w:r>
      <w:r>
        <w:rPr>
          <w:spacing w:val="37"/>
        </w:rPr>
        <w:t xml:space="preserve"> </w:t>
      </w:r>
      <w:r>
        <w:rPr>
          <w:spacing w:val="-1"/>
        </w:rPr>
        <w:t>Rights</w:t>
      </w:r>
      <w:r>
        <w:rPr>
          <w:spacing w:val="23"/>
        </w:rPr>
        <w:t xml:space="preserve"> </w:t>
      </w:r>
      <w:r>
        <w:rPr>
          <w:spacing w:val="-2"/>
        </w:rPr>
        <w:t>Directive</w:t>
      </w:r>
      <w:r>
        <w:t xml:space="preserve"> </w:t>
      </w:r>
      <w:r>
        <w:rPr>
          <w:spacing w:val="-2"/>
        </w:rPr>
        <w:t>will</w:t>
      </w:r>
      <w:r>
        <w:t xml:space="preserve"> </w:t>
      </w:r>
      <w:r>
        <w:rPr>
          <w:spacing w:val="-1"/>
        </w:rPr>
        <w:t>apply.</w:t>
      </w:r>
      <w:r>
        <w:rPr>
          <w:spacing w:val="2"/>
        </w:rPr>
        <w:t xml:space="preserve"> </w:t>
      </w:r>
      <w:r>
        <w:t>The</w:t>
      </w:r>
      <w:r>
        <w:rPr>
          <w:spacing w:val="-2"/>
        </w:rPr>
        <w:t xml:space="preserve"> </w:t>
      </w:r>
      <w:r>
        <w:rPr>
          <w:spacing w:val="-1"/>
        </w:rPr>
        <w:t>Customer</w:t>
      </w:r>
      <w:r>
        <w:rPr>
          <w:spacing w:val="2"/>
        </w:rPr>
        <w:t xml:space="preserve"> </w:t>
      </w:r>
      <w:r>
        <w:rPr>
          <w:spacing w:val="-1"/>
        </w:rPr>
        <w:t>and</w:t>
      </w:r>
      <w:r>
        <w:rPr>
          <w:spacing w:val="-2"/>
        </w:rPr>
        <w:t xml:space="preserve"> </w:t>
      </w:r>
      <w:r>
        <w:t>the</w:t>
      </w:r>
      <w:r>
        <w:rPr>
          <w:spacing w:val="-2"/>
        </w:rPr>
        <w:t xml:space="preserve"> Supplier</w:t>
      </w:r>
      <w:r>
        <w:rPr>
          <w:spacing w:val="-1"/>
        </w:rPr>
        <w:t xml:space="preserve"> further</w:t>
      </w:r>
      <w:r>
        <w:rPr>
          <w:spacing w:val="2"/>
        </w:rPr>
        <w:t xml:space="preserve"> </w:t>
      </w:r>
      <w:r>
        <w:rPr>
          <w:spacing w:val="-1"/>
        </w:rPr>
        <w:t>agree</w:t>
      </w:r>
      <w:r>
        <w:rPr>
          <w:spacing w:val="-2"/>
        </w:rPr>
        <w:t xml:space="preserve"> </w:t>
      </w:r>
      <w:r>
        <w:rPr>
          <w:spacing w:val="-1"/>
        </w:rPr>
        <w:t>that,</w:t>
      </w:r>
      <w:r>
        <w:t xml:space="preserve"> </w:t>
      </w:r>
      <w:r>
        <w:rPr>
          <w:spacing w:val="-1"/>
        </w:rPr>
        <w:t>as</w:t>
      </w:r>
      <w:r>
        <w:rPr>
          <w:spacing w:val="-2"/>
        </w:rPr>
        <w:t xml:space="preserve"> </w:t>
      </w:r>
      <w:r>
        <w:t xml:space="preserve">a </w:t>
      </w:r>
      <w:r>
        <w:rPr>
          <w:spacing w:val="-1"/>
        </w:rPr>
        <w:t>result</w:t>
      </w:r>
      <w:r>
        <w:rPr>
          <w:spacing w:val="-3"/>
        </w:rPr>
        <w:t xml:space="preserve"> </w:t>
      </w:r>
      <w:r>
        <w:rPr>
          <w:spacing w:val="-2"/>
        </w:rPr>
        <w:t>of</w:t>
      </w:r>
      <w:r>
        <w:rPr>
          <w:spacing w:val="61"/>
        </w:rPr>
        <w:t xml:space="preserve"> </w:t>
      </w:r>
      <w:r>
        <w:t>the</w:t>
      </w:r>
      <w:r>
        <w:rPr>
          <w:spacing w:val="22"/>
        </w:rPr>
        <w:t xml:space="preserve"> </w:t>
      </w:r>
      <w:r>
        <w:rPr>
          <w:spacing w:val="-1"/>
        </w:rPr>
        <w:t>operation</w:t>
      </w:r>
      <w:r>
        <w:rPr>
          <w:spacing w:val="22"/>
        </w:rPr>
        <w:t xml:space="preserve"> </w:t>
      </w:r>
      <w:r>
        <w:rPr>
          <w:spacing w:val="-2"/>
        </w:rPr>
        <w:t>of</w:t>
      </w:r>
      <w:r>
        <w:rPr>
          <w:spacing w:val="23"/>
        </w:rPr>
        <w:t xml:space="preserve"> </w:t>
      </w:r>
      <w:r>
        <w:t>the</w:t>
      </w:r>
      <w:r>
        <w:rPr>
          <w:spacing w:val="22"/>
        </w:rPr>
        <w:t xml:space="preserve"> </w:t>
      </w:r>
      <w:r>
        <w:rPr>
          <w:spacing w:val="-2"/>
        </w:rPr>
        <w:t>Employment</w:t>
      </w:r>
      <w:r>
        <w:rPr>
          <w:spacing w:val="23"/>
        </w:rPr>
        <w:t xml:space="preserve"> </w:t>
      </w:r>
      <w:r>
        <w:rPr>
          <w:spacing w:val="-1"/>
        </w:rPr>
        <w:t>Regulations,</w:t>
      </w:r>
      <w:r>
        <w:rPr>
          <w:spacing w:val="24"/>
        </w:rPr>
        <w:t xml:space="preserve"> </w:t>
      </w:r>
      <w:r>
        <w:rPr>
          <w:spacing w:val="-2"/>
        </w:rPr>
        <w:t>where</w:t>
      </w:r>
      <w:r>
        <w:rPr>
          <w:spacing w:val="22"/>
        </w:rPr>
        <w:t xml:space="preserve"> </w:t>
      </w:r>
      <w:r>
        <w:t>a</w:t>
      </w:r>
      <w:r>
        <w:rPr>
          <w:spacing w:val="22"/>
        </w:rPr>
        <w:t xml:space="preserve"> </w:t>
      </w:r>
      <w:r>
        <w:rPr>
          <w:spacing w:val="-1"/>
        </w:rPr>
        <w:t>Relevant</w:t>
      </w:r>
      <w:r>
        <w:rPr>
          <w:spacing w:val="23"/>
        </w:rPr>
        <w:t xml:space="preserve"> </w:t>
      </w:r>
      <w:r>
        <w:rPr>
          <w:spacing w:val="-1"/>
        </w:rPr>
        <w:t>Transfer</w:t>
      </w:r>
      <w:r>
        <w:rPr>
          <w:spacing w:val="23"/>
        </w:rPr>
        <w:t xml:space="preserve"> </w:t>
      </w:r>
      <w:r>
        <w:rPr>
          <w:spacing w:val="-1"/>
        </w:rPr>
        <w:t>occurs,</w:t>
      </w:r>
      <w:r>
        <w:rPr>
          <w:spacing w:val="51"/>
        </w:rPr>
        <w:t xml:space="preserve"> </w:t>
      </w:r>
      <w:r>
        <w:t>the</w:t>
      </w:r>
      <w:r>
        <w:rPr>
          <w:spacing w:val="31"/>
        </w:rPr>
        <w:t xml:space="preserve"> </w:t>
      </w:r>
      <w:r>
        <w:rPr>
          <w:spacing w:val="-1"/>
        </w:rPr>
        <w:t>contracts</w:t>
      </w:r>
      <w:r>
        <w:rPr>
          <w:spacing w:val="32"/>
        </w:rPr>
        <w:t xml:space="preserve"> </w:t>
      </w:r>
      <w:r>
        <w:rPr>
          <w:spacing w:val="-2"/>
        </w:rPr>
        <w:t>of</w:t>
      </w:r>
      <w:r>
        <w:rPr>
          <w:spacing w:val="33"/>
        </w:rPr>
        <w:t xml:space="preserve"> </w:t>
      </w:r>
      <w:r>
        <w:rPr>
          <w:spacing w:val="-1"/>
        </w:rPr>
        <w:t>employment</w:t>
      </w:r>
      <w:r>
        <w:rPr>
          <w:spacing w:val="33"/>
        </w:rPr>
        <w:t xml:space="preserve"> </w:t>
      </w:r>
      <w:r>
        <w:rPr>
          <w:spacing w:val="-2"/>
        </w:rPr>
        <w:t>between</w:t>
      </w:r>
      <w:r>
        <w:rPr>
          <w:spacing w:val="31"/>
        </w:rPr>
        <w:t xml:space="preserve"> </w:t>
      </w:r>
      <w:r>
        <w:t>the</w:t>
      </w:r>
      <w:r>
        <w:rPr>
          <w:spacing w:val="31"/>
        </w:rPr>
        <w:t xml:space="preserve"> </w:t>
      </w:r>
      <w:r>
        <w:rPr>
          <w:spacing w:val="-2"/>
        </w:rPr>
        <w:t>Supplier</w:t>
      </w:r>
      <w:r>
        <w:rPr>
          <w:spacing w:val="34"/>
        </w:rPr>
        <w:t xml:space="preserve"> </w:t>
      </w:r>
      <w:r>
        <w:rPr>
          <w:spacing w:val="-1"/>
        </w:rPr>
        <w:t>and</w:t>
      </w:r>
      <w:r>
        <w:rPr>
          <w:spacing w:val="31"/>
        </w:rPr>
        <w:t xml:space="preserve"> </w:t>
      </w:r>
      <w:r>
        <w:t>the</w:t>
      </w:r>
      <w:r>
        <w:rPr>
          <w:spacing w:val="29"/>
        </w:rPr>
        <w:t xml:space="preserve"> </w:t>
      </w:r>
      <w:r>
        <w:rPr>
          <w:spacing w:val="-1"/>
        </w:rPr>
        <w:t>Transferring</w:t>
      </w:r>
      <w:r>
        <w:rPr>
          <w:spacing w:val="31"/>
        </w:rPr>
        <w:t xml:space="preserve"> </w:t>
      </w:r>
      <w:r>
        <w:rPr>
          <w:spacing w:val="-2"/>
        </w:rPr>
        <w:t>Supplier</w:t>
      </w:r>
      <w:r>
        <w:rPr>
          <w:spacing w:val="42"/>
        </w:rPr>
        <w:t xml:space="preserve"> </w:t>
      </w:r>
      <w:r>
        <w:rPr>
          <w:spacing w:val="-2"/>
        </w:rPr>
        <w:t>Employees</w:t>
      </w:r>
      <w:r>
        <w:rPr>
          <w:spacing w:val="3"/>
        </w:rPr>
        <w:t xml:space="preserve"> </w:t>
      </w:r>
      <w:r>
        <w:rPr>
          <w:spacing w:val="-1"/>
        </w:rPr>
        <w:t>(except</w:t>
      </w:r>
      <w:r>
        <w:rPr>
          <w:spacing w:val="4"/>
        </w:rPr>
        <w:t xml:space="preserve"> </w:t>
      </w:r>
      <w:r>
        <w:rPr>
          <w:spacing w:val="-1"/>
        </w:rPr>
        <w:t>in</w:t>
      </w:r>
      <w:r>
        <w:rPr>
          <w:spacing w:val="3"/>
        </w:rPr>
        <w:t xml:space="preserve"> </w:t>
      </w:r>
      <w:r>
        <w:rPr>
          <w:spacing w:val="-1"/>
        </w:rPr>
        <w:t>relation</w:t>
      </w:r>
      <w:r>
        <w:rPr>
          <w:spacing w:val="3"/>
        </w:rPr>
        <w:t xml:space="preserve"> </w:t>
      </w:r>
      <w:r>
        <w:t>to</w:t>
      </w:r>
      <w:r>
        <w:rPr>
          <w:spacing w:val="3"/>
        </w:rPr>
        <w:t xml:space="preserve"> </w:t>
      </w:r>
      <w:r>
        <w:rPr>
          <w:spacing w:val="-1"/>
        </w:rPr>
        <w:t>any</w:t>
      </w:r>
      <w:r>
        <w:rPr>
          <w:spacing w:val="1"/>
        </w:rPr>
        <w:t xml:space="preserve"> </w:t>
      </w:r>
      <w:r>
        <w:rPr>
          <w:spacing w:val="-1"/>
        </w:rPr>
        <w:t>contract</w:t>
      </w:r>
      <w:r>
        <w:rPr>
          <w:spacing w:val="2"/>
        </w:rPr>
        <w:t xml:space="preserve"> </w:t>
      </w:r>
      <w:r>
        <w:rPr>
          <w:spacing w:val="-1"/>
        </w:rPr>
        <w:t>terms</w:t>
      </w:r>
      <w:r>
        <w:rPr>
          <w:spacing w:val="3"/>
        </w:rPr>
        <w:t xml:space="preserve"> </w:t>
      </w:r>
      <w:r>
        <w:rPr>
          <w:spacing w:val="-2"/>
        </w:rPr>
        <w:t>disapplied</w:t>
      </w:r>
      <w:r>
        <w:rPr>
          <w:spacing w:val="5"/>
        </w:rPr>
        <w:t xml:space="preserve"> </w:t>
      </w:r>
      <w:r>
        <w:rPr>
          <w:spacing w:val="-1"/>
        </w:rPr>
        <w:t>through</w:t>
      </w:r>
      <w:r>
        <w:rPr>
          <w:spacing w:val="3"/>
        </w:rPr>
        <w:t xml:space="preserve"> </w:t>
      </w:r>
      <w:r>
        <w:rPr>
          <w:spacing w:val="-1"/>
        </w:rPr>
        <w:t>operation</w:t>
      </w:r>
      <w:r>
        <w:t xml:space="preserve"> </w:t>
      </w:r>
      <w:r>
        <w:rPr>
          <w:spacing w:val="-2"/>
        </w:rPr>
        <w:t>of</w:t>
      </w:r>
      <w:r>
        <w:rPr>
          <w:spacing w:val="71"/>
        </w:rPr>
        <w:t xml:space="preserve"> </w:t>
      </w:r>
      <w:r>
        <w:rPr>
          <w:spacing w:val="-1"/>
        </w:rPr>
        <w:t>regulation</w:t>
      </w:r>
      <w:r>
        <w:rPr>
          <w:spacing w:val="1"/>
        </w:rPr>
        <w:t xml:space="preserve"> </w:t>
      </w:r>
      <w:r>
        <w:rPr>
          <w:spacing w:val="-1"/>
        </w:rPr>
        <w:t>10(2)</w:t>
      </w:r>
      <w:r>
        <w:rPr>
          <w:spacing w:val="26"/>
        </w:rPr>
        <w:t xml:space="preserve"> </w:t>
      </w:r>
      <w:r>
        <w:rPr>
          <w:spacing w:val="-2"/>
        </w:rPr>
        <w:t>of</w:t>
      </w:r>
      <w:r>
        <w:rPr>
          <w:spacing w:val="26"/>
        </w:rPr>
        <w:t xml:space="preserve"> </w:t>
      </w:r>
      <w:r>
        <w:t>the</w:t>
      </w:r>
      <w:r>
        <w:rPr>
          <w:spacing w:val="24"/>
        </w:rPr>
        <w:t xml:space="preserve"> </w:t>
      </w:r>
      <w:r>
        <w:rPr>
          <w:spacing w:val="-1"/>
        </w:rPr>
        <w:t>Employment</w:t>
      </w:r>
      <w:r>
        <w:rPr>
          <w:spacing w:val="26"/>
        </w:rPr>
        <w:t xml:space="preserve"> </w:t>
      </w:r>
      <w:r>
        <w:rPr>
          <w:spacing w:val="-1"/>
        </w:rPr>
        <w:t>Regulations)</w:t>
      </w:r>
      <w:r>
        <w:rPr>
          <w:spacing w:val="23"/>
        </w:rPr>
        <w:t xml:space="preserve"> </w:t>
      </w:r>
      <w:r>
        <w:rPr>
          <w:spacing w:val="-1"/>
        </w:rPr>
        <w:t>will</w:t>
      </w:r>
      <w:r>
        <w:rPr>
          <w:spacing w:val="24"/>
        </w:rPr>
        <w:t xml:space="preserve"> </w:t>
      </w:r>
      <w:r>
        <w:rPr>
          <w:spacing w:val="-1"/>
        </w:rPr>
        <w:t>have</w:t>
      </w:r>
      <w:r>
        <w:rPr>
          <w:spacing w:val="24"/>
        </w:rPr>
        <w:t xml:space="preserve"> </w:t>
      </w:r>
      <w:r>
        <w:rPr>
          <w:spacing w:val="-1"/>
        </w:rPr>
        <w:t>effect</w:t>
      </w:r>
      <w:r>
        <w:rPr>
          <w:spacing w:val="26"/>
        </w:rPr>
        <w:t xml:space="preserve"> </w:t>
      </w:r>
      <w:r>
        <w:rPr>
          <w:spacing w:val="-1"/>
        </w:rPr>
        <w:t>on</w:t>
      </w:r>
      <w:r>
        <w:rPr>
          <w:spacing w:val="27"/>
        </w:rPr>
        <w:t xml:space="preserve"> </w:t>
      </w:r>
      <w:r>
        <w:rPr>
          <w:spacing w:val="-1"/>
        </w:rPr>
        <w:t>and</w:t>
      </w:r>
      <w:r>
        <w:rPr>
          <w:spacing w:val="22"/>
        </w:rPr>
        <w:t xml:space="preserve"> </w:t>
      </w:r>
      <w:r>
        <w:rPr>
          <w:spacing w:val="-1"/>
        </w:rPr>
        <w:t>from</w:t>
      </w:r>
      <w:r>
        <w:rPr>
          <w:spacing w:val="26"/>
        </w:rPr>
        <w:t xml:space="preserve"> </w:t>
      </w:r>
      <w:r>
        <w:rPr>
          <w:spacing w:val="-1"/>
        </w:rPr>
        <w:t>the</w:t>
      </w:r>
      <w:r>
        <w:rPr>
          <w:spacing w:val="36"/>
        </w:rPr>
        <w:t xml:space="preserve"> </w:t>
      </w:r>
      <w:r>
        <w:rPr>
          <w:spacing w:val="-2"/>
        </w:rPr>
        <w:t>Service</w:t>
      </w:r>
      <w:r>
        <w:rPr>
          <w:spacing w:val="49"/>
        </w:rPr>
        <w:t xml:space="preserve"> </w:t>
      </w:r>
      <w:r>
        <w:rPr>
          <w:spacing w:val="-1"/>
        </w:rPr>
        <w:t>Transfer</w:t>
      </w:r>
      <w:r>
        <w:rPr>
          <w:spacing w:val="49"/>
        </w:rPr>
        <w:t xml:space="preserve"> </w:t>
      </w:r>
      <w:r>
        <w:rPr>
          <w:spacing w:val="-1"/>
        </w:rPr>
        <w:t>Date</w:t>
      </w:r>
      <w:r>
        <w:rPr>
          <w:spacing w:val="43"/>
        </w:rPr>
        <w:t xml:space="preserve"> </w:t>
      </w:r>
      <w:r>
        <w:rPr>
          <w:spacing w:val="-1"/>
        </w:rPr>
        <w:t>as</w:t>
      </w:r>
      <w:r>
        <w:rPr>
          <w:spacing w:val="49"/>
        </w:rPr>
        <w:t xml:space="preserve"> </w:t>
      </w:r>
      <w:r>
        <w:rPr>
          <w:spacing w:val="-1"/>
        </w:rPr>
        <w:t>if</w:t>
      </w:r>
      <w:r>
        <w:rPr>
          <w:spacing w:val="52"/>
        </w:rPr>
        <w:t xml:space="preserve"> </w:t>
      </w:r>
      <w:r>
        <w:rPr>
          <w:spacing w:val="-2"/>
        </w:rPr>
        <w:t>originally</w:t>
      </w:r>
      <w:r>
        <w:rPr>
          <w:spacing w:val="46"/>
        </w:rPr>
        <w:t xml:space="preserve"> </w:t>
      </w:r>
      <w:r>
        <w:rPr>
          <w:spacing w:val="-1"/>
        </w:rPr>
        <w:t>made</w:t>
      </w:r>
      <w:r>
        <w:rPr>
          <w:spacing w:val="49"/>
        </w:rPr>
        <w:t xml:space="preserve"> </w:t>
      </w:r>
      <w:r>
        <w:rPr>
          <w:spacing w:val="-1"/>
        </w:rPr>
        <w:t>between</w:t>
      </w:r>
      <w:r>
        <w:rPr>
          <w:spacing w:val="48"/>
        </w:rPr>
        <w:t xml:space="preserve"> </w:t>
      </w:r>
      <w:r>
        <w:t>the</w:t>
      </w:r>
      <w:r>
        <w:rPr>
          <w:spacing w:val="48"/>
        </w:rPr>
        <w:t xml:space="preserve"> </w:t>
      </w:r>
      <w:r>
        <w:rPr>
          <w:spacing w:val="-1"/>
        </w:rPr>
        <w:t>Replacement</w:t>
      </w:r>
      <w:r>
        <w:rPr>
          <w:spacing w:val="47"/>
        </w:rPr>
        <w:t xml:space="preserve"> </w:t>
      </w:r>
      <w:r>
        <w:rPr>
          <w:spacing w:val="-2"/>
        </w:rPr>
        <w:t>Supplier</w:t>
      </w:r>
      <w:r>
        <w:rPr>
          <w:spacing w:val="66"/>
        </w:rPr>
        <w:t xml:space="preserve"> </w:t>
      </w:r>
      <w:r>
        <w:rPr>
          <w:spacing w:val="-1"/>
        </w:rPr>
        <w:t>and/or</w:t>
      </w:r>
      <w:r>
        <w:rPr>
          <w:spacing w:val="13"/>
        </w:rPr>
        <w:t xml:space="preserve"> </w:t>
      </w:r>
      <w:r>
        <w:t>a</w:t>
      </w:r>
      <w:r>
        <w:rPr>
          <w:spacing w:val="9"/>
        </w:rPr>
        <w:t xml:space="preserve"> </w:t>
      </w:r>
      <w:r>
        <w:rPr>
          <w:spacing w:val="-2"/>
        </w:rPr>
        <w:t>Replacement</w:t>
      </w:r>
      <w:r>
        <w:rPr>
          <w:spacing w:val="11"/>
        </w:rPr>
        <w:t xml:space="preserve"> </w:t>
      </w:r>
      <w:r>
        <w:rPr>
          <w:spacing w:val="-1"/>
        </w:rPr>
        <w:t>Sub-Contractor</w:t>
      </w:r>
      <w:r>
        <w:rPr>
          <w:spacing w:val="10"/>
        </w:rPr>
        <w:t xml:space="preserve"> </w:t>
      </w:r>
      <w:r>
        <w:rPr>
          <w:spacing w:val="-1"/>
        </w:rPr>
        <w:t>(as</w:t>
      </w:r>
      <w:r>
        <w:rPr>
          <w:spacing w:val="9"/>
        </w:rPr>
        <w:t xml:space="preserve"> </w:t>
      </w:r>
      <w:r>
        <w:t>the</w:t>
      </w:r>
      <w:r>
        <w:rPr>
          <w:spacing w:val="9"/>
        </w:rPr>
        <w:t xml:space="preserve"> </w:t>
      </w:r>
      <w:r>
        <w:rPr>
          <w:spacing w:val="-1"/>
        </w:rPr>
        <w:t>case</w:t>
      </w:r>
      <w:r>
        <w:rPr>
          <w:spacing w:val="9"/>
        </w:rPr>
        <w:t xml:space="preserve"> </w:t>
      </w:r>
      <w:r>
        <w:rPr>
          <w:spacing w:val="-1"/>
        </w:rPr>
        <w:t>may</w:t>
      </w:r>
      <w:r>
        <w:rPr>
          <w:spacing w:val="9"/>
        </w:rPr>
        <w:t xml:space="preserve"> </w:t>
      </w:r>
      <w:r>
        <w:rPr>
          <w:spacing w:val="-1"/>
        </w:rPr>
        <w:t>be)</w:t>
      </w:r>
      <w:r>
        <w:rPr>
          <w:spacing w:val="13"/>
        </w:rPr>
        <w:t xml:space="preserve"> </w:t>
      </w:r>
      <w:r>
        <w:rPr>
          <w:spacing w:val="-1"/>
        </w:rPr>
        <w:t>and</w:t>
      </w:r>
      <w:r>
        <w:rPr>
          <w:spacing w:val="11"/>
        </w:rPr>
        <w:t xml:space="preserve"> </w:t>
      </w:r>
      <w:r>
        <w:rPr>
          <w:spacing w:val="-2"/>
        </w:rPr>
        <w:t>each</w:t>
      </w:r>
      <w:r>
        <w:rPr>
          <w:spacing w:val="12"/>
        </w:rPr>
        <w:t xml:space="preserve"> </w:t>
      </w:r>
      <w:r>
        <w:rPr>
          <w:spacing w:val="-1"/>
        </w:rPr>
        <w:t>such</w:t>
      </w:r>
      <w:r>
        <w:rPr>
          <w:spacing w:val="57"/>
        </w:rPr>
        <w:t xml:space="preserve"> </w:t>
      </w:r>
      <w:r>
        <w:rPr>
          <w:spacing w:val="-1"/>
        </w:rPr>
        <w:t>Transferring</w:t>
      </w:r>
      <w:r>
        <w:rPr>
          <w:spacing w:val="3"/>
        </w:rPr>
        <w:t xml:space="preserve"> </w:t>
      </w:r>
      <w:r>
        <w:rPr>
          <w:spacing w:val="-2"/>
        </w:rPr>
        <w:t>Supplier</w:t>
      </w:r>
      <w:r>
        <w:rPr>
          <w:spacing w:val="-1"/>
        </w:rPr>
        <w:t xml:space="preserve"> </w:t>
      </w:r>
      <w:r>
        <w:rPr>
          <w:spacing w:val="-2"/>
        </w:rPr>
        <w:t>Employee.</w:t>
      </w:r>
    </w:p>
    <w:p w:rsidR="008918FA" w:rsidRDefault="008918FA" w:rsidP="008918FA">
      <w:pPr>
        <w:pStyle w:val="BodyText"/>
        <w:numPr>
          <w:ilvl w:val="1"/>
          <w:numId w:val="7"/>
        </w:numPr>
        <w:tabs>
          <w:tab w:val="left" w:pos="828"/>
        </w:tabs>
        <w:spacing w:before="121"/>
        <w:ind w:left="827" w:right="112"/>
        <w:jc w:val="both"/>
      </w:pPr>
      <w:r>
        <w:t>The</w:t>
      </w:r>
      <w:r>
        <w:rPr>
          <w:spacing w:val="22"/>
        </w:rPr>
        <w:t xml:space="preserve"> </w:t>
      </w:r>
      <w:r>
        <w:rPr>
          <w:spacing w:val="-2"/>
        </w:rPr>
        <w:t>Supplier</w:t>
      </w:r>
      <w:r>
        <w:rPr>
          <w:spacing w:val="23"/>
        </w:rPr>
        <w:t xml:space="preserve"> </w:t>
      </w:r>
      <w:r>
        <w:rPr>
          <w:spacing w:val="-1"/>
        </w:rPr>
        <w:t>shall,</w:t>
      </w:r>
      <w:r>
        <w:rPr>
          <w:spacing w:val="23"/>
        </w:rPr>
        <w:t xml:space="preserve"> </w:t>
      </w:r>
      <w:r>
        <w:rPr>
          <w:spacing w:val="-1"/>
        </w:rPr>
        <w:t>and</w:t>
      </w:r>
      <w:r>
        <w:rPr>
          <w:spacing w:val="19"/>
        </w:rPr>
        <w:t xml:space="preserve"> </w:t>
      </w:r>
      <w:r>
        <w:rPr>
          <w:spacing w:val="-1"/>
        </w:rPr>
        <w:t>shall</w:t>
      </w:r>
      <w:r>
        <w:rPr>
          <w:spacing w:val="21"/>
        </w:rPr>
        <w:t xml:space="preserve"> </w:t>
      </w:r>
      <w:r>
        <w:rPr>
          <w:spacing w:val="-1"/>
        </w:rPr>
        <w:t>procure</w:t>
      </w:r>
      <w:r>
        <w:rPr>
          <w:spacing w:val="20"/>
        </w:rPr>
        <w:t xml:space="preserve"> </w:t>
      </w:r>
      <w:r>
        <w:rPr>
          <w:spacing w:val="-1"/>
        </w:rPr>
        <w:t>that</w:t>
      </w:r>
      <w:r>
        <w:rPr>
          <w:spacing w:val="23"/>
        </w:rPr>
        <w:t xml:space="preserve"> </w:t>
      </w:r>
      <w:r>
        <w:rPr>
          <w:spacing w:val="-1"/>
        </w:rPr>
        <w:t>each</w:t>
      </w:r>
      <w:r>
        <w:rPr>
          <w:spacing w:val="18"/>
        </w:rPr>
        <w:t xml:space="preserve"> </w:t>
      </w:r>
      <w:r>
        <w:rPr>
          <w:spacing w:val="-1"/>
        </w:rPr>
        <w:t>Sub-Contractor</w:t>
      </w:r>
      <w:r>
        <w:rPr>
          <w:spacing w:val="21"/>
        </w:rPr>
        <w:t xml:space="preserve"> </w:t>
      </w:r>
      <w:r>
        <w:rPr>
          <w:spacing w:val="-2"/>
        </w:rPr>
        <w:t>shall,</w:t>
      </w:r>
      <w:r>
        <w:rPr>
          <w:spacing w:val="23"/>
        </w:rPr>
        <w:t xml:space="preserve"> </w:t>
      </w:r>
      <w:r>
        <w:rPr>
          <w:spacing w:val="-2"/>
        </w:rPr>
        <w:t>comply</w:t>
      </w:r>
      <w:r>
        <w:rPr>
          <w:spacing w:val="22"/>
        </w:rPr>
        <w:t xml:space="preserve"> </w:t>
      </w:r>
      <w:r>
        <w:rPr>
          <w:spacing w:val="-2"/>
        </w:rPr>
        <w:t>with</w:t>
      </w:r>
      <w:r>
        <w:rPr>
          <w:spacing w:val="77"/>
        </w:rPr>
        <w:t xml:space="preserve"> </w:t>
      </w:r>
      <w:r>
        <w:rPr>
          <w:spacing w:val="-1"/>
        </w:rPr>
        <w:t>all</w:t>
      </w:r>
      <w:r>
        <w:rPr>
          <w:spacing w:val="24"/>
        </w:rPr>
        <w:t xml:space="preserve"> </w:t>
      </w:r>
      <w:r>
        <w:rPr>
          <w:spacing w:val="-1"/>
        </w:rPr>
        <w:t>its</w:t>
      </w:r>
      <w:r>
        <w:rPr>
          <w:spacing w:val="25"/>
        </w:rPr>
        <w:t xml:space="preserve"> </w:t>
      </w:r>
      <w:r>
        <w:rPr>
          <w:spacing w:val="-1"/>
        </w:rPr>
        <w:t>obligations</w:t>
      </w:r>
      <w:r>
        <w:rPr>
          <w:spacing w:val="25"/>
        </w:rPr>
        <w:t xml:space="preserve"> </w:t>
      </w:r>
      <w:r>
        <w:rPr>
          <w:spacing w:val="-1"/>
        </w:rPr>
        <w:t>in</w:t>
      </w:r>
      <w:r>
        <w:rPr>
          <w:spacing w:val="24"/>
        </w:rPr>
        <w:t xml:space="preserve"> </w:t>
      </w:r>
      <w:r>
        <w:rPr>
          <w:spacing w:val="-1"/>
        </w:rPr>
        <w:t>respect</w:t>
      </w:r>
      <w:r>
        <w:rPr>
          <w:spacing w:val="26"/>
        </w:rPr>
        <w:t xml:space="preserve"> </w:t>
      </w:r>
      <w:r>
        <w:rPr>
          <w:spacing w:val="-2"/>
        </w:rPr>
        <w:t>of</w:t>
      </w:r>
      <w:r>
        <w:rPr>
          <w:spacing w:val="28"/>
        </w:rPr>
        <w:t xml:space="preserve"> </w:t>
      </w:r>
      <w:r>
        <w:t>the</w:t>
      </w:r>
      <w:r>
        <w:rPr>
          <w:spacing w:val="22"/>
        </w:rPr>
        <w:t xml:space="preserve"> </w:t>
      </w:r>
      <w:r>
        <w:rPr>
          <w:spacing w:val="-1"/>
        </w:rPr>
        <w:t>Transferring</w:t>
      </w:r>
      <w:r>
        <w:rPr>
          <w:spacing w:val="24"/>
        </w:rPr>
        <w:t xml:space="preserve"> </w:t>
      </w:r>
      <w:r>
        <w:rPr>
          <w:spacing w:val="-2"/>
        </w:rPr>
        <w:t>Supplier</w:t>
      </w:r>
      <w:r>
        <w:rPr>
          <w:spacing w:val="26"/>
        </w:rPr>
        <w:t xml:space="preserve"> </w:t>
      </w:r>
      <w:r>
        <w:rPr>
          <w:spacing w:val="-2"/>
        </w:rPr>
        <w:t>Employees</w:t>
      </w:r>
      <w:r>
        <w:rPr>
          <w:spacing w:val="25"/>
        </w:rPr>
        <w:t xml:space="preserve"> </w:t>
      </w:r>
      <w:r>
        <w:rPr>
          <w:spacing w:val="-1"/>
        </w:rPr>
        <w:t>arising</w:t>
      </w:r>
      <w:r>
        <w:rPr>
          <w:spacing w:val="27"/>
        </w:rPr>
        <w:t xml:space="preserve"> </w:t>
      </w:r>
      <w:r>
        <w:rPr>
          <w:spacing w:val="-1"/>
        </w:rPr>
        <w:t>under</w:t>
      </w:r>
      <w:r>
        <w:rPr>
          <w:spacing w:val="56"/>
        </w:rPr>
        <w:t xml:space="preserve"> </w:t>
      </w:r>
      <w:r>
        <w:t>the</w:t>
      </w:r>
      <w:r>
        <w:rPr>
          <w:spacing w:val="48"/>
        </w:rPr>
        <w:t xml:space="preserve"> </w:t>
      </w:r>
      <w:r>
        <w:rPr>
          <w:spacing w:val="-1"/>
        </w:rPr>
        <w:t>Employment</w:t>
      </w:r>
      <w:r>
        <w:rPr>
          <w:spacing w:val="50"/>
        </w:rPr>
        <w:t xml:space="preserve"> </w:t>
      </w:r>
      <w:r>
        <w:rPr>
          <w:spacing w:val="-2"/>
        </w:rPr>
        <w:t>Regulations</w:t>
      </w:r>
      <w:r>
        <w:rPr>
          <w:spacing w:val="49"/>
        </w:rPr>
        <w:t xml:space="preserve"> </w:t>
      </w:r>
      <w:r>
        <w:rPr>
          <w:spacing w:val="-1"/>
        </w:rPr>
        <w:t>in</w:t>
      </w:r>
      <w:r>
        <w:rPr>
          <w:spacing w:val="48"/>
        </w:rPr>
        <w:t xml:space="preserve"> </w:t>
      </w:r>
      <w:r>
        <w:rPr>
          <w:spacing w:val="-1"/>
        </w:rPr>
        <w:t>respect</w:t>
      </w:r>
      <w:r>
        <w:rPr>
          <w:spacing w:val="50"/>
        </w:rPr>
        <w:t xml:space="preserve"> </w:t>
      </w:r>
      <w:r>
        <w:rPr>
          <w:spacing w:val="-2"/>
        </w:rPr>
        <w:t>of</w:t>
      </w:r>
      <w:r>
        <w:rPr>
          <w:spacing w:val="49"/>
        </w:rPr>
        <w:t xml:space="preserve"> </w:t>
      </w:r>
      <w:r>
        <w:t>the</w:t>
      </w:r>
      <w:r>
        <w:rPr>
          <w:spacing w:val="47"/>
        </w:rPr>
        <w:t xml:space="preserve"> </w:t>
      </w:r>
      <w:r>
        <w:rPr>
          <w:spacing w:val="-1"/>
        </w:rPr>
        <w:t>period</w:t>
      </w:r>
      <w:r>
        <w:rPr>
          <w:spacing w:val="48"/>
        </w:rPr>
        <w:t xml:space="preserve"> </w:t>
      </w:r>
      <w:r>
        <w:rPr>
          <w:spacing w:val="-1"/>
        </w:rPr>
        <w:t>up</w:t>
      </w:r>
      <w:r>
        <w:rPr>
          <w:spacing w:val="48"/>
        </w:rPr>
        <w:t xml:space="preserve"> </w:t>
      </w:r>
      <w:r>
        <w:t>to</w:t>
      </w:r>
      <w:r>
        <w:rPr>
          <w:spacing w:val="48"/>
        </w:rPr>
        <w:t xml:space="preserve"> </w:t>
      </w:r>
      <w:r>
        <w:rPr>
          <w:spacing w:val="-1"/>
        </w:rPr>
        <w:t>(and</w:t>
      </w:r>
      <w:r>
        <w:rPr>
          <w:spacing w:val="48"/>
        </w:rPr>
        <w:t xml:space="preserve"> </w:t>
      </w:r>
      <w:r>
        <w:rPr>
          <w:spacing w:val="-1"/>
        </w:rPr>
        <w:t>including)</w:t>
      </w:r>
      <w:r>
        <w:rPr>
          <w:spacing w:val="47"/>
        </w:rPr>
        <w:t xml:space="preserve"> </w:t>
      </w:r>
      <w:r>
        <w:rPr>
          <w:spacing w:val="-1"/>
        </w:rPr>
        <w:t>the</w:t>
      </w:r>
      <w:r>
        <w:rPr>
          <w:spacing w:val="38"/>
        </w:rPr>
        <w:t xml:space="preserve"> </w:t>
      </w:r>
      <w:r>
        <w:rPr>
          <w:spacing w:val="-2"/>
        </w:rPr>
        <w:t>Service</w:t>
      </w:r>
      <w:r>
        <w:rPr>
          <w:spacing w:val="46"/>
        </w:rPr>
        <w:t xml:space="preserve"> </w:t>
      </w:r>
      <w:r>
        <w:rPr>
          <w:spacing w:val="-1"/>
        </w:rPr>
        <w:t>Transfer</w:t>
      </w:r>
      <w:r>
        <w:rPr>
          <w:spacing w:val="47"/>
        </w:rPr>
        <w:t xml:space="preserve"> </w:t>
      </w:r>
      <w:r>
        <w:rPr>
          <w:spacing w:val="-1"/>
        </w:rPr>
        <w:t>Date</w:t>
      </w:r>
      <w:r>
        <w:rPr>
          <w:spacing w:val="43"/>
        </w:rPr>
        <w:t xml:space="preserve"> </w:t>
      </w:r>
      <w:r>
        <w:rPr>
          <w:spacing w:val="-1"/>
        </w:rPr>
        <w:t>and</w:t>
      </w:r>
      <w:r>
        <w:rPr>
          <w:spacing w:val="46"/>
        </w:rPr>
        <w:t xml:space="preserve"> </w:t>
      </w:r>
      <w:r>
        <w:rPr>
          <w:spacing w:val="-1"/>
        </w:rPr>
        <w:t>shall</w:t>
      </w:r>
      <w:r>
        <w:rPr>
          <w:spacing w:val="45"/>
        </w:rPr>
        <w:t xml:space="preserve"> </w:t>
      </w:r>
      <w:r>
        <w:rPr>
          <w:spacing w:val="-1"/>
        </w:rPr>
        <w:t>perform</w:t>
      </w:r>
      <w:r>
        <w:rPr>
          <w:spacing w:val="47"/>
        </w:rPr>
        <w:t xml:space="preserve"> </w:t>
      </w:r>
      <w:r>
        <w:rPr>
          <w:spacing w:val="-1"/>
        </w:rPr>
        <w:t>and</w:t>
      </w:r>
      <w:r>
        <w:rPr>
          <w:spacing w:val="44"/>
        </w:rPr>
        <w:t xml:space="preserve"> </w:t>
      </w:r>
      <w:r>
        <w:rPr>
          <w:spacing w:val="-1"/>
        </w:rPr>
        <w:t>discharge,</w:t>
      </w:r>
      <w:r>
        <w:rPr>
          <w:spacing w:val="47"/>
        </w:rPr>
        <w:t xml:space="preserve"> </w:t>
      </w:r>
      <w:r>
        <w:rPr>
          <w:spacing w:val="-1"/>
        </w:rPr>
        <w:t>and</w:t>
      </w:r>
      <w:r>
        <w:rPr>
          <w:spacing w:val="46"/>
        </w:rPr>
        <w:t xml:space="preserve"> </w:t>
      </w:r>
      <w:r>
        <w:rPr>
          <w:spacing w:val="-1"/>
        </w:rPr>
        <w:t>procure</w:t>
      </w:r>
      <w:r>
        <w:rPr>
          <w:spacing w:val="43"/>
        </w:rPr>
        <w:t xml:space="preserve"> </w:t>
      </w:r>
      <w:r>
        <w:rPr>
          <w:spacing w:val="-1"/>
        </w:rPr>
        <w:t>that</w:t>
      </w:r>
      <w:r>
        <w:rPr>
          <w:spacing w:val="47"/>
        </w:rPr>
        <w:t xml:space="preserve"> </w:t>
      </w:r>
      <w:r>
        <w:rPr>
          <w:spacing w:val="-1"/>
        </w:rPr>
        <w:t>each</w:t>
      </w:r>
      <w:r>
        <w:rPr>
          <w:spacing w:val="59"/>
        </w:rPr>
        <w:t xml:space="preserve"> </w:t>
      </w:r>
      <w:r>
        <w:rPr>
          <w:spacing w:val="-1"/>
        </w:rPr>
        <w:t>Sub-Contractor</w:t>
      </w:r>
      <w:r>
        <w:rPr>
          <w:spacing w:val="16"/>
        </w:rPr>
        <w:t xml:space="preserve"> </w:t>
      </w:r>
      <w:r>
        <w:rPr>
          <w:spacing w:val="-1"/>
        </w:rPr>
        <w:t>shall</w:t>
      </w:r>
      <w:r>
        <w:rPr>
          <w:spacing w:val="17"/>
        </w:rPr>
        <w:t xml:space="preserve"> </w:t>
      </w:r>
      <w:r>
        <w:rPr>
          <w:spacing w:val="-1"/>
        </w:rPr>
        <w:t>perform</w:t>
      </w:r>
      <w:r>
        <w:rPr>
          <w:spacing w:val="19"/>
        </w:rPr>
        <w:t xml:space="preserve"> </w:t>
      </w:r>
      <w:r>
        <w:rPr>
          <w:spacing w:val="-1"/>
        </w:rPr>
        <w:t>and</w:t>
      </w:r>
      <w:r>
        <w:rPr>
          <w:spacing w:val="17"/>
        </w:rPr>
        <w:t xml:space="preserve"> </w:t>
      </w:r>
      <w:r>
        <w:rPr>
          <w:spacing w:val="-1"/>
        </w:rPr>
        <w:t>discharge,</w:t>
      </w:r>
      <w:r>
        <w:rPr>
          <w:spacing w:val="19"/>
        </w:rPr>
        <w:t xml:space="preserve"> </w:t>
      </w:r>
      <w:r>
        <w:rPr>
          <w:spacing w:val="-1"/>
        </w:rPr>
        <w:t>all</w:t>
      </w:r>
      <w:r>
        <w:rPr>
          <w:spacing w:val="17"/>
        </w:rPr>
        <w:t xml:space="preserve"> </w:t>
      </w:r>
      <w:r>
        <w:rPr>
          <w:spacing w:val="-1"/>
        </w:rPr>
        <w:t>its</w:t>
      </w:r>
      <w:r>
        <w:rPr>
          <w:spacing w:val="18"/>
        </w:rPr>
        <w:t xml:space="preserve"> </w:t>
      </w:r>
      <w:r>
        <w:rPr>
          <w:spacing w:val="-1"/>
        </w:rPr>
        <w:t>obligations</w:t>
      </w:r>
      <w:r>
        <w:rPr>
          <w:spacing w:val="18"/>
        </w:rPr>
        <w:t xml:space="preserve"> </w:t>
      </w:r>
      <w:r>
        <w:rPr>
          <w:spacing w:val="-1"/>
        </w:rPr>
        <w:t>in</w:t>
      </w:r>
      <w:r>
        <w:rPr>
          <w:spacing w:val="17"/>
        </w:rPr>
        <w:t xml:space="preserve"> </w:t>
      </w:r>
      <w:r>
        <w:rPr>
          <w:spacing w:val="-1"/>
        </w:rPr>
        <w:t>respect</w:t>
      </w:r>
      <w:r>
        <w:rPr>
          <w:spacing w:val="17"/>
        </w:rPr>
        <w:t xml:space="preserve"> </w:t>
      </w:r>
      <w:r>
        <w:rPr>
          <w:spacing w:val="-2"/>
        </w:rPr>
        <w:t>of</w:t>
      </w:r>
      <w:r>
        <w:rPr>
          <w:spacing w:val="21"/>
        </w:rPr>
        <w:t xml:space="preserve"> </w:t>
      </w:r>
      <w:r>
        <w:rPr>
          <w:spacing w:val="-1"/>
        </w:rPr>
        <w:t>all</w:t>
      </w:r>
      <w:r>
        <w:rPr>
          <w:spacing w:val="17"/>
        </w:rPr>
        <w:t xml:space="preserve"> </w:t>
      </w:r>
      <w:r>
        <w:rPr>
          <w:spacing w:val="-1"/>
        </w:rPr>
        <w:t>the</w:t>
      </w:r>
      <w:r>
        <w:rPr>
          <w:spacing w:val="26"/>
        </w:rPr>
        <w:t xml:space="preserve"> </w:t>
      </w:r>
      <w:r>
        <w:rPr>
          <w:spacing w:val="-1"/>
        </w:rPr>
        <w:t>Transferring</w:t>
      </w:r>
      <w:r>
        <w:rPr>
          <w:spacing w:val="18"/>
        </w:rPr>
        <w:t xml:space="preserve"> </w:t>
      </w:r>
      <w:r>
        <w:rPr>
          <w:spacing w:val="-2"/>
        </w:rPr>
        <w:t>Supplier</w:t>
      </w:r>
      <w:r>
        <w:rPr>
          <w:spacing w:val="17"/>
        </w:rPr>
        <w:t xml:space="preserve"> </w:t>
      </w:r>
      <w:r>
        <w:rPr>
          <w:spacing w:val="-2"/>
        </w:rPr>
        <w:t>Employees</w:t>
      </w:r>
      <w:r>
        <w:rPr>
          <w:spacing w:val="16"/>
        </w:rPr>
        <w:t xml:space="preserve"> </w:t>
      </w:r>
      <w:r>
        <w:rPr>
          <w:spacing w:val="-1"/>
        </w:rPr>
        <w:t>arising</w:t>
      </w:r>
      <w:r>
        <w:rPr>
          <w:spacing w:val="18"/>
        </w:rPr>
        <w:t xml:space="preserve"> </w:t>
      </w:r>
      <w:r>
        <w:rPr>
          <w:spacing w:val="-1"/>
        </w:rPr>
        <w:t>in</w:t>
      </w:r>
      <w:r>
        <w:rPr>
          <w:spacing w:val="16"/>
        </w:rPr>
        <w:t xml:space="preserve"> </w:t>
      </w:r>
      <w:r>
        <w:rPr>
          <w:spacing w:val="-1"/>
        </w:rPr>
        <w:t>respect</w:t>
      </w:r>
      <w:r>
        <w:rPr>
          <w:spacing w:val="18"/>
        </w:rPr>
        <w:t xml:space="preserve"> </w:t>
      </w:r>
      <w:r>
        <w:rPr>
          <w:spacing w:val="-2"/>
        </w:rPr>
        <w:t>of</w:t>
      </w:r>
      <w:r>
        <w:rPr>
          <w:spacing w:val="17"/>
        </w:rPr>
        <w:t xml:space="preserve"> </w:t>
      </w:r>
      <w:r>
        <w:t>the</w:t>
      </w:r>
      <w:r>
        <w:rPr>
          <w:spacing w:val="16"/>
        </w:rPr>
        <w:t xml:space="preserve"> </w:t>
      </w:r>
      <w:r>
        <w:rPr>
          <w:spacing w:val="-2"/>
        </w:rPr>
        <w:t>period</w:t>
      </w:r>
      <w:r>
        <w:rPr>
          <w:spacing w:val="16"/>
        </w:rPr>
        <w:t xml:space="preserve"> </w:t>
      </w:r>
      <w:r>
        <w:rPr>
          <w:spacing w:val="-1"/>
        </w:rPr>
        <w:t>up</w:t>
      </w:r>
      <w:r>
        <w:rPr>
          <w:spacing w:val="16"/>
        </w:rPr>
        <w:t xml:space="preserve"> </w:t>
      </w:r>
      <w:r>
        <w:t>to</w:t>
      </w:r>
      <w:r>
        <w:rPr>
          <w:spacing w:val="16"/>
        </w:rPr>
        <w:t xml:space="preserve"> </w:t>
      </w:r>
      <w:r>
        <w:rPr>
          <w:spacing w:val="-1"/>
        </w:rPr>
        <w:t>(and</w:t>
      </w:r>
      <w:r>
        <w:rPr>
          <w:spacing w:val="55"/>
        </w:rPr>
        <w:t xml:space="preserve"> </w:t>
      </w:r>
      <w:r>
        <w:rPr>
          <w:spacing w:val="-1"/>
        </w:rPr>
        <w:t>including)</w:t>
      </w:r>
      <w:r>
        <w:rPr>
          <w:spacing w:val="40"/>
        </w:rPr>
        <w:t xml:space="preserve"> </w:t>
      </w:r>
      <w:r>
        <w:t>the</w:t>
      </w:r>
      <w:r>
        <w:rPr>
          <w:spacing w:val="38"/>
        </w:rPr>
        <w:t xml:space="preserve"> </w:t>
      </w:r>
      <w:r>
        <w:rPr>
          <w:spacing w:val="-2"/>
        </w:rPr>
        <w:t>Service</w:t>
      </w:r>
      <w:r>
        <w:rPr>
          <w:spacing w:val="39"/>
        </w:rPr>
        <w:t xml:space="preserve"> </w:t>
      </w:r>
      <w:r>
        <w:rPr>
          <w:spacing w:val="-1"/>
        </w:rPr>
        <w:t>Transfer</w:t>
      </w:r>
      <w:r>
        <w:rPr>
          <w:spacing w:val="40"/>
        </w:rPr>
        <w:t xml:space="preserve"> </w:t>
      </w:r>
      <w:r>
        <w:rPr>
          <w:spacing w:val="-1"/>
        </w:rPr>
        <w:t>Date</w:t>
      </w:r>
      <w:r>
        <w:rPr>
          <w:spacing w:val="36"/>
        </w:rPr>
        <w:t xml:space="preserve"> </w:t>
      </w:r>
      <w:r>
        <w:rPr>
          <w:spacing w:val="-1"/>
        </w:rPr>
        <w:t>(including</w:t>
      </w:r>
      <w:r>
        <w:rPr>
          <w:spacing w:val="39"/>
        </w:rPr>
        <w:t xml:space="preserve"> </w:t>
      </w:r>
      <w:r>
        <w:rPr>
          <w:spacing w:val="-1"/>
        </w:rPr>
        <w:t>the</w:t>
      </w:r>
      <w:r>
        <w:rPr>
          <w:spacing w:val="39"/>
        </w:rPr>
        <w:t xml:space="preserve"> </w:t>
      </w:r>
      <w:r>
        <w:rPr>
          <w:spacing w:val="-1"/>
        </w:rPr>
        <w:t>payment</w:t>
      </w:r>
      <w:r>
        <w:rPr>
          <w:spacing w:val="40"/>
        </w:rPr>
        <w:t xml:space="preserve"> </w:t>
      </w:r>
      <w:r>
        <w:rPr>
          <w:spacing w:val="-2"/>
        </w:rPr>
        <w:t>of</w:t>
      </w:r>
      <w:r>
        <w:rPr>
          <w:spacing w:val="42"/>
        </w:rPr>
        <w:t xml:space="preserve"> </w:t>
      </w:r>
      <w:r>
        <w:rPr>
          <w:spacing w:val="-1"/>
        </w:rPr>
        <w:t>all</w:t>
      </w:r>
      <w:r>
        <w:rPr>
          <w:spacing w:val="38"/>
        </w:rPr>
        <w:t xml:space="preserve"> </w:t>
      </w:r>
      <w:r>
        <w:rPr>
          <w:spacing w:val="-1"/>
        </w:rPr>
        <w:t>remuneration,</w:t>
      </w:r>
      <w:r>
        <w:rPr>
          <w:spacing w:val="22"/>
        </w:rPr>
        <w:t xml:space="preserve"> </w:t>
      </w:r>
      <w:r>
        <w:rPr>
          <w:spacing w:val="-1"/>
        </w:rPr>
        <w:t>benefits,</w:t>
      </w:r>
      <w:r>
        <w:rPr>
          <w:spacing w:val="22"/>
        </w:rPr>
        <w:t xml:space="preserve"> </w:t>
      </w:r>
      <w:r>
        <w:rPr>
          <w:spacing w:val="-1"/>
        </w:rPr>
        <w:t>entitlements</w:t>
      </w:r>
      <w:r>
        <w:rPr>
          <w:spacing w:val="20"/>
        </w:rPr>
        <w:t xml:space="preserve"> </w:t>
      </w:r>
      <w:r>
        <w:rPr>
          <w:spacing w:val="-2"/>
        </w:rPr>
        <w:t>and</w:t>
      </w:r>
      <w:r>
        <w:rPr>
          <w:spacing w:val="19"/>
        </w:rPr>
        <w:t xml:space="preserve"> </w:t>
      </w:r>
      <w:r>
        <w:rPr>
          <w:spacing w:val="-1"/>
        </w:rPr>
        <w:t>outgoings,</w:t>
      </w:r>
      <w:r>
        <w:rPr>
          <w:spacing w:val="21"/>
        </w:rPr>
        <w:t xml:space="preserve"> </w:t>
      </w:r>
      <w:r>
        <w:rPr>
          <w:spacing w:val="-1"/>
        </w:rPr>
        <w:t>all</w:t>
      </w:r>
      <w:r>
        <w:rPr>
          <w:spacing w:val="21"/>
        </w:rPr>
        <w:t xml:space="preserve"> </w:t>
      </w:r>
      <w:r>
        <w:rPr>
          <w:spacing w:val="-1"/>
        </w:rPr>
        <w:t>wages,</w:t>
      </w:r>
      <w:r>
        <w:rPr>
          <w:spacing w:val="19"/>
        </w:rPr>
        <w:t xml:space="preserve"> </w:t>
      </w:r>
      <w:r>
        <w:rPr>
          <w:spacing w:val="-1"/>
        </w:rPr>
        <w:t>accrued</w:t>
      </w:r>
      <w:r>
        <w:rPr>
          <w:spacing w:val="19"/>
        </w:rPr>
        <w:t xml:space="preserve"> </w:t>
      </w:r>
      <w:r>
        <w:rPr>
          <w:spacing w:val="-1"/>
        </w:rPr>
        <w:t>but</w:t>
      </w:r>
      <w:r>
        <w:rPr>
          <w:spacing w:val="21"/>
        </w:rPr>
        <w:t xml:space="preserve"> </w:t>
      </w:r>
      <w:r>
        <w:rPr>
          <w:spacing w:val="-1"/>
        </w:rPr>
        <w:t>untaken</w:t>
      </w:r>
      <w:r>
        <w:rPr>
          <w:spacing w:val="19"/>
        </w:rPr>
        <w:t xml:space="preserve"> </w:t>
      </w:r>
      <w:r>
        <w:rPr>
          <w:spacing w:val="-2"/>
        </w:rPr>
        <w:t>holiday</w:t>
      </w:r>
      <w:r>
        <w:rPr>
          <w:spacing w:val="18"/>
        </w:rPr>
        <w:t xml:space="preserve"> </w:t>
      </w:r>
      <w:r>
        <w:rPr>
          <w:spacing w:val="-1"/>
        </w:rPr>
        <w:t>pay,</w:t>
      </w:r>
      <w:r>
        <w:rPr>
          <w:spacing w:val="55"/>
        </w:rPr>
        <w:t xml:space="preserve"> </w:t>
      </w:r>
      <w:r>
        <w:rPr>
          <w:spacing w:val="-1"/>
        </w:rPr>
        <w:t>bonuses,</w:t>
      </w:r>
      <w:r>
        <w:rPr>
          <w:spacing w:val="36"/>
        </w:rPr>
        <w:t xml:space="preserve"> </w:t>
      </w:r>
      <w:r>
        <w:rPr>
          <w:spacing w:val="-1"/>
        </w:rPr>
        <w:t>commissions,</w:t>
      </w:r>
      <w:r>
        <w:rPr>
          <w:spacing w:val="33"/>
        </w:rPr>
        <w:t xml:space="preserve"> </w:t>
      </w:r>
      <w:r>
        <w:rPr>
          <w:spacing w:val="-1"/>
        </w:rPr>
        <w:t>payments</w:t>
      </w:r>
      <w:r>
        <w:rPr>
          <w:spacing w:val="34"/>
        </w:rPr>
        <w:t xml:space="preserve"> </w:t>
      </w:r>
      <w:r>
        <w:rPr>
          <w:spacing w:val="-2"/>
        </w:rPr>
        <w:t>of</w:t>
      </w:r>
      <w:r>
        <w:rPr>
          <w:spacing w:val="38"/>
        </w:rPr>
        <w:t xml:space="preserve"> </w:t>
      </w:r>
      <w:r>
        <w:rPr>
          <w:spacing w:val="-1"/>
        </w:rPr>
        <w:t>PAYE,</w:t>
      </w:r>
      <w:r>
        <w:rPr>
          <w:spacing w:val="35"/>
        </w:rPr>
        <w:t xml:space="preserve"> </w:t>
      </w:r>
      <w:r>
        <w:rPr>
          <w:spacing w:val="-1"/>
        </w:rPr>
        <w:t>national</w:t>
      </w:r>
      <w:r>
        <w:rPr>
          <w:spacing w:val="33"/>
        </w:rPr>
        <w:t xml:space="preserve"> </w:t>
      </w:r>
      <w:r>
        <w:rPr>
          <w:spacing w:val="-1"/>
        </w:rPr>
        <w:t>insurance</w:t>
      </w:r>
      <w:r>
        <w:rPr>
          <w:spacing w:val="35"/>
        </w:rPr>
        <w:t xml:space="preserve"> </w:t>
      </w:r>
      <w:r>
        <w:rPr>
          <w:spacing w:val="-1"/>
        </w:rPr>
        <w:t>contributions</w:t>
      </w:r>
      <w:r>
        <w:rPr>
          <w:spacing w:val="34"/>
        </w:rPr>
        <w:t xml:space="preserve"> </w:t>
      </w:r>
      <w:r>
        <w:rPr>
          <w:spacing w:val="-1"/>
        </w:rPr>
        <w:t>and</w:t>
      </w:r>
      <w:r>
        <w:rPr>
          <w:spacing w:val="22"/>
        </w:rPr>
        <w:t xml:space="preserve"> </w:t>
      </w:r>
      <w:r>
        <w:rPr>
          <w:spacing w:val="-1"/>
        </w:rPr>
        <w:t>pension</w:t>
      </w:r>
      <w:r>
        <w:rPr>
          <w:spacing w:val="22"/>
        </w:rPr>
        <w:t xml:space="preserve"> </w:t>
      </w:r>
      <w:r>
        <w:rPr>
          <w:spacing w:val="-1"/>
        </w:rPr>
        <w:t>contributions</w:t>
      </w:r>
      <w:r>
        <w:rPr>
          <w:spacing w:val="22"/>
        </w:rPr>
        <w:t xml:space="preserve"> </w:t>
      </w:r>
      <w:r>
        <w:rPr>
          <w:spacing w:val="-2"/>
        </w:rPr>
        <w:t>which</w:t>
      </w:r>
      <w:r>
        <w:rPr>
          <w:spacing w:val="22"/>
        </w:rPr>
        <w:t xml:space="preserve"> </w:t>
      </w:r>
      <w:r>
        <w:rPr>
          <w:spacing w:val="-1"/>
        </w:rPr>
        <w:t>in</w:t>
      </w:r>
      <w:r>
        <w:rPr>
          <w:spacing w:val="22"/>
        </w:rPr>
        <w:t xml:space="preserve"> </w:t>
      </w:r>
      <w:r>
        <w:rPr>
          <w:spacing w:val="-1"/>
        </w:rPr>
        <w:t>any</w:t>
      </w:r>
      <w:r>
        <w:rPr>
          <w:spacing w:val="20"/>
        </w:rPr>
        <w:t xml:space="preserve"> </w:t>
      </w:r>
      <w:r>
        <w:rPr>
          <w:spacing w:val="-1"/>
        </w:rPr>
        <w:t>case</w:t>
      </w:r>
      <w:r>
        <w:rPr>
          <w:spacing w:val="22"/>
        </w:rPr>
        <w:t xml:space="preserve"> </w:t>
      </w:r>
      <w:r>
        <w:rPr>
          <w:spacing w:val="-1"/>
        </w:rPr>
        <w:t>are</w:t>
      </w:r>
      <w:r>
        <w:rPr>
          <w:spacing w:val="22"/>
        </w:rPr>
        <w:t xml:space="preserve"> </w:t>
      </w:r>
      <w:r>
        <w:rPr>
          <w:spacing w:val="-2"/>
        </w:rPr>
        <w:t>attributable</w:t>
      </w:r>
      <w:r>
        <w:rPr>
          <w:spacing w:val="22"/>
        </w:rPr>
        <w:t xml:space="preserve"> </w:t>
      </w:r>
      <w:r>
        <w:rPr>
          <w:spacing w:val="-1"/>
        </w:rPr>
        <w:t>in</w:t>
      </w:r>
      <w:r>
        <w:rPr>
          <w:spacing w:val="22"/>
        </w:rPr>
        <w:t xml:space="preserve"> </w:t>
      </w:r>
      <w:r>
        <w:rPr>
          <w:spacing w:val="-2"/>
        </w:rPr>
        <w:t>whole</w:t>
      </w:r>
      <w:r>
        <w:rPr>
          <w:spacing w:val="22"/>
        </w:rPr>
        <w:t xml:space="preserve"> </w:t>
      </w:r>
      <w:r>
        <w:rPr>
          <w:spacing w:val="-1"/>
        </w:rPr>
        <w:t>or</w:t>
      </w:r>
      <w:r>
        <w:rPr>
          <w:spacing w:val="23"/>
        </w:rPr>
        <w:t xml:space="preserve"> </w:t>
      </w:r>
      <w:r>
        <w:rPr>
          <w:spacing w:val="-1"/>
        </w:rPr>
        <w:t>in</w:t>
      </w:r>
      <w:r>
        <w:rPr>
          <w:spacing w:val="22"/>
        </w:rPr>
        <w:t xml:space="preserve"> </w:t>
      </w:r>
      <w:r>
        <w:rPr>
          <w:spacing w:val="-1"/>
        </w:rPr>
        <w:t>part</w:t>
      </w:r>
      <w:r>
        <w:rPr>
          <w:spacing w:val="21"/>
        </w:rPr>
        <w:t xml:space="preserve"> </w:t>
      </w:r>
      <w:r>
        <w:t>to</w:t>
      </w:r>
      <w:r>
        <w:rPr>
          <w:spacing w:val="20"/>
        </w:rPr>
        <w:t xml:space="preserve"> </w:t>
      </w:r>
      <w:r>
        <w:rPr>
          <w:spacing w:val="-1"/>
        </w:rPr>
        <w:t>the</w:t>
      </w:r>
      <w:r>
        <w:rPr>
          <w:spacing w:val="58"/>
        </w:rPr>
        <w:t xml:space="preserve"> </w:t>
      </w:r>
      <w:r>
        <w:rPr>
          <w:spacing w:val="-1"/>
        </w:rPr>
        <w:t>period</w:t>
      </w:r>
      <w:r>
        <w:rPr>
          <w:spacing w:val="39"/>
        </w:rPr>
        <w:t xml:space="preserve"> </w:t>
      </w:r>
      <w:r>
        <w:rPr>
          <w:spacing w:val="-1"/>
        </w:rPr>
        <w:t>ending</w:t>
      </w:r>
      <w:r>
        <w:rPr>
          <w:spacing w:val="41"/>
        </w:rPr>
        <w:t xml:space="preserve"> </w:t>
      </w:r>
      <w:r>
        <w:rPr>
          <w:spacing w:val="-1"/>
        </w:rPr>
        <w:t>on</w:t>
      </w:r>
      <w:r>
        <w:rPr>
          <w:spacing w:val="36"/>
        </w:rPr>
        <w:t xml:space="preserve"> </w:t>
      </w:r>
      <w:r>
        <w:rPr>
          <w:spacing w:val="-1"/>
        </w:rPr>
        <w:t>(and</w:t>
      </w:r>
      <w:r>
        <w:rPr>
          <w:spacing w:val="38"/>
        </w:rPr>
        <w:t xml:space="preserve"> </w:t>
      </w:r>
      <w:r>
        <w:rPr>
          <w:spacing w:val="-1"/>
        </w:rPr>
        <w:t>including)</w:t>
      </w:r>
      <w:r>
        <w:rPr>
          <w:spacing w:val="38"/>
        </w:rPr>
        <w:t xml:space="preserve"> </w:t>
      </w:r>
      <w:r>
        <w:t>the</w:t>
      </w:r>
      <w:r>
        <w:rPr>
          <w:spacing w:val="39"/>
        </w:rPr>
        <w:t xml:space="preserve"> </w:t>
      </w:r>
      <w:r>
        <w:rPr>
          <w:spacing w:val="-2"/>
        </w:rPr>
        <w:t>Service</w:t>
      </w:r>
      <w:r>
        <w:rPr>
          <w:spacing w:val="38"/>
        </w:rPr>
        <w:t xml:space="preserve"> </w:t>
      </w:r>
      <w:r>
        <w:rPr>
          <w:spacing w:val="-1"/>
        </w:rPr>
        <w:t>Transfer</w:t>
      </w:r>
      <w:r>
        <w:rPr>
          <w:spacing w:val="40"/>
        </w:rPr>
        <w:t xml:space="preserve"> </w:t>
      </w:r>
      <w:r>
        <w:rPr>
          <w:spacing w:val="-1"/>
        </w:rPr>
        <w:t>Date)</w:t>
      </w:r>
      <w:r>
        <w:rPr>
          <w:spacing w:val="37"/>
        </w:rPr>
        <w:t xml:space="preserve"> </w:t>
      </w:r>
      <w:r>
        <w:rPr>
          <w:spacing w:val="-1"/>
        </w:rPr>
        <w:t>and</w:t>
      </w:r>
      <w:r>
        <w:rPr>
          <w:spacing w:val="38"/>
        </w:rPr>
        <w:t xml:space="preserve"> </w:t>
      </w:r>
      <w:r>
        <w:rPr>
          <w:spacing w:val="-1"/>
        </w:rPr>
        <w:t>any</w:t>
      </w:r>
      <w:r>
        <w:rPr>
          <w:spacing w:val="36"/>
        </w:rPr>
        <w:t xml:space="preserve"> </w:t>
      </w:r>
      <w:r>
        <w:rPr>
          <w:spacing w:val="-1"/>
        </w:rPr>
        <w:t>necessary</w:t>
      </w:r>
      <w:r>
        <w:rPr>
          <w:spacing w:val="43"/>
        </w:rPr>
        <w:t xml:space="preserve"> </w:t>
      </w:r>
      <w:r>
        <w:rPr>
          <w:spacing w:val="-1"/>
        </w:rPr>
        <w:t>apportionments</w:t>
      </w:r>
      <w:r>
        <w:rPr>
          <w:spacing w:val="5"/>
        </w:rPr>
        <w:t xml:space="preserve"> </w:t>
      </w:r>
      <w:r>
        <w:rPr>
          <w:spacing w:val="-1"/>
        </w:rPr>
        <w:t>in</w:t>
      </w:r>
      <w:r>
        <w:rPr>
          <w:spacing w:val="5"/>
        </w:rPr>
        <w:t xml:space="preserve"> </w:t>
      </w:r>
      <w:r>
        <w:rPr>
          <w:spacing w:val="-1"/>
        </w:rPr>
        <w:t>respect</w:t>
      </w:r>
      <w:r>
        <w:rPr>
          <w:spacing w:val="7"/>
        </w:rPr>
        <w:t xml:space="preserve"> </w:t>
      </w:r>
      <w:r>
        <w:rPr>
          <w:spacing w:val="-2"/>
        </w:rPr>
        <w:t>of</w:t>
      </w:r>
      <w:r>
        <w:rPr>
          <w:spacing w:val="9"/>
        </w:rPr>
        <w:t xml:space="preserve"> </w:t>
      </w:r>
      <w:r>
        <w:rPr>
          <w:spacing w:val="-1"/>
        </w:rPr>
        <w:t>any</w:t>
      </w:r>
      <w:r>
        <w:rPr>
          <w:spacing w:val="3"/>
        </w:rPr>
        <w:t xml:space="preserve"> </w:t>
      </w:r>
      <w:r>
        <w:rPr>
          <w:spacing w:val="-1"/>
        </w:rPr>
        <w:t>periodic</w:t>
      </w:r>
      <w:r>
        <w:rPr>
          <w:spacing w:val="5"/>
        </w:rPr>
        <w:t xml:space="preserve"> </w:t>
      </w:r>
      <w:r>
        <w:rPr>
          <w:spacing w:val="-1"/>
        </w:rPr>
        <w:t>payments</w:t>
      </w:r>
      <w:r>
        <w:rPr>
          <w:spacing w:val="5"/>
        </w:rPr>
        <w:t xml:space="preserve"> </w:t>
      </w:r>
      <w:r>
        <w:rPr>
          <w:spacing w:val="-1"/>
        </w:rPr>
        <w:t>shall</w:t>
      </w:r>
      <w:r>
        <w:rPr>
          <w:spacing w:val="4"/>
        </w:rPr>
        <w:t xml:space="preserve"> </w:t>
      </w:r>
      <w:r>
        <w:rPr>
          <w:spacing w:val="-1"/>
        </w:rPr>
        <w:t>be</w:t>
      </w:r>
      <w:r>
        <w:rPr>
          <w:spacing w:val="5"/>
        </w:rPr>
        <w:t xml:space="preserve"> </w:t>
      </w:r>
      <w:r>
        <w:rPr>
          <w:spacing w:val="-1"/>
        </w:rPr>
        <w:t>made</w:t>
      </w:r>
      <w:r>
        <w:rPr>
          <w:spacing w:val="5"/>
        </w:rPr>
        <w:t xml:space="preserve"> </w:t>
      </w:r>
      <w:r>
        <w:rPr>
          <w:spacing w:val="-1"/>
        </w:rPr>
        <w:t>between:</w:t>
      </w:r>
      <w:r>
        <w:rPr>
          <w:spacing w:val="7"/>
        </w:rPr>
        <w:t xml:space="preserve"> </w:t>
      </w:r>
      <w:r>
        <w:rPr>
          <w:spacing w:val="-1"/>
        </w:rPr>
        <w:t>(i)</w:t>
      </w:r>
      <w:r>
        <w:rPr>
          <w:spacing w:val="6"/>
        </w:rPr>
        <w:t xml:space="preserve"> </w:t>
      </w:r>
      <w:r>
        <w:rPr>
          <w:spacing w:val="-2"/>
        </w:rPr>
        <w:t>the</w:t>
      </w:r>
      <w:r>
        <w:rPr>
          <w:spacing w:val="32"/>
        </w:rPr>
        <w:t xml:space="preserve"> </w:t>
      </w:r>
      <w:r>
        <w:rPr>
          <w:spacing w:val="-2"/>
        </w:rPr>
        <w:t>Supplier</w:t>
      </w:r>
      <w:r>
        <w:rPr>
          <w:spacing w:val="3"/>
        </w:rPr>
        <w:t xml:space="preserve"> </w:t>
      </w:r>
      <w:r>
        <w:rPr>
          <w:spacing w:val="-1"/>
        </w:rPr>
        <w:t>and/or</w:t>
      </w:r>
      <w:r>
        <w:rPr>
          <w:spacing w:val="3"/>
        </w:rPr>
        <w:t xml:space="preserve"> </w:t>
      </w:r>
      <w:r>
        <w:t>the</w:t>
      </w:r>
      <w:r>
        <w:rPr>
          <w:spacing w:val="2"/>
        </w:rPr>
        <w:t xml:space="preserve"> </w:t>
      </w:r>
      <w:r>
        <w:rPr>
          <w:spacing w:val="-1"/>
        </w:rPr>
        <w:t>Sub-Contractor</w:t>
      </w:r>
      <w:r>
        <w:rPr>
          <w:spacing w:val="3"/>
        </w:rPr>
        <w:t xml:space="preserve"> </w:t>
      </w:r>
      <w:r>
        <w:rPr>
          <w:spacing w:val="-1"/>
        </w:rPr>
        <w:t>(as</w:t>
      </w:r>
      <w:r>
        <w:rPr>
          <w:spacing w:val="2"/>
        </w:rPr>
        <w:t xml:space="preserve"> </w:t>
      </w:r>
      <w:r>
        <w:rPr>
          <w:spacing w:val="-1"/>
        </w:rPr>
        <w:t>appropriate);</w:t>
      </w:r>
      <w:r>
        <w:rPr>
          <w:spacing w:val="3"/>
        </w:rPr>
        <w:t xml:space="preserve"> </w:t>
      </w:r>
      <w:r>
        <w:rPr>
          <w:spacing w:val="-1"/>
        </w:rPr>
        <w:t>and</w:t>
      </w:r>
      <w:r>
        <w:rPr>
          <w:spacing w:val="2"/>
        </w:rPr>
        <w:t xml:space="preserve"> </w:t>
      </w:r>
      <w:r>
        <w:rPr>
          <w:spacing w:val="-1"/>
        </w:rPr>
        <w:t>(ii)</w:t>
      </w:r>
      <w:r>
        <w:rPr>
          <w:spacing w:val="3"/>
        </w:rPr>
        <w:t xml:space="preserve"> </w:t>
      </w:r>
      <w:r>
        <w:t>the</w:t>
      </w:r>
      <w:r>
        <w:rPr>
          <w:spacing w:val="2"/>
        </w:rPr>
        <w:t xml:space="preserve"> </w:t>
      </w:r>
      <w:r>
        <w:rPr>
          <w:spacing w:val="-2"/>
        </w:rPr>
        <w:t>Replacement</w:t>
      </w:r>
      <w:r>
        <w:rPr>
          <w:spacing w:val="50"/>
        </w:rPr>
        <w:t xml:space="preserve"> </w:t>
      </w:r>
      <w:r>
        <w:rPr>
          <w:spacing w:val="-2"/>
        </w:rPr>
        <w:t>Supplier</w:t>
      </w:r>
      <w:r>
        <w:rPr>
          <w:spacing w:val="2"/>
        </w:rPr>
        <w:t xml:space="preserve"> </w:t>
      </w:r>
      <w:r>
        <w:rPr>
          <w:spacing w:val="-1"/>
        </w:rPr>
        <w:t>and/or Replacement</w:t>
      </w:r>
      <w:r>
        <w:t xml:space="preserve"> </w:t>
      </w:r>
      <w:r>
        <w:rPr>
          <w:spacing w:val="-1"/>
        </w:rPr>
        <w:t>Sub-Contractor.</w:t>
      </w:r>
    </w:p>
    <w:p w:rsidR="008918FA" w:rsidRDefault="008918FA" w:rsidP="008918FA">
      <w:pPr>
        <w:pStyle w:val="BodyText"/>
        <w:numPr>
          <w:ilvl w:val="1"/>
          <w:numId w:val="7"/>
        </w:numPr>
        <w:tabs>
          <w:tab w:val="left" w:pos="828"/>
        </w:tabs>
        <w:ind w:left="827" w:right="114"/>
        <w:jc w:val="both"/>
      </w:pPr>
      <w:bookmarkStart w:id="479" w:name="_bookmark397"/>
      <w:bookmarkEnd w:id="479"/>
      <w:r>
        <w:rPr>
          <w:spacing w:val="-1"/>
        </w:rPr>
        <w:t>Subject</w:t>
      </w:r>
      <w:r>
        <w:rPr>
          <w:spacing w:val="41"/>
        </w:rPr>
        <w:t xml:space="preserve"> </w:t>
      </w:r>
      <w:r>
        <w:t>to</w:t>
      </w:r>
      <w:r>
        <w:rPr>
          <w:spacing w:val="41"/>
        </w:rPr>
        <w:t xml:space="preserve"> </w:t>
      </w:r>
      <w:r>
        <w:rPr>
          <w:spacing w:val="-1"/>
        </w:rPr>
        <w:t>paragraph</w:t>
      </w:r>
      <w:r>
        <w:rPr>
          <w:spacing w:val="-2"/>
        </w:rPr>
        <w:t xml:space="preserve"> </w:t>
      </w:r>
      <w:hyperlink w:anchor="_bookmark401" w:history="1">
        <w:r>
          <w:rPr>
            <w:spacing w:val="-2"/>
          </w:rPr>
          <w:t>2.6</w:t>
        </w:r>
      </w:hyperlink>
      <w:r>
        <w:rPr>
          <w:spacing w:val="41"/>
        </w:rPr>
        <w:t xml:space="preserve"> </w:t>
      </w:r>
      <w:r>
        <w:rPr>
          <w:spacing w:val="-1"/>
        </w:rPr>
        <w:t>of</w:t>
      </w:r>
      <w:r>
        <w:rPr>
          <w:spacing w:val="45"/>
        </w:rPr>
        <w:t xml:space="preserve"> </w:t>
      </w:r>
      <w:r>
        <w:rPr>
          <w:spacing w:val="-1"/>
        </w:rPr>
        <w:t>Part</w:t>
      </w:r>
      <w:r>
        <w:rPr>
          <w:spacing w:val="42"/>
        </w:rPr>
        <w:t xml:space="preserve"> </w:t>
      </w:r>
      <w:r>
        <w:t>D</w:t>
      </w:r>
      <w:r>
        <w:rPr>
          <w:spacing w:val="40"/>
        </w:rPr>
        <w:t xml:space="preserve"> </w:t>
      </w:r>
      <w:r>
        <w:rPr>
          <w:spacing w:val="-2"/>
        </w:rPr>
        <w:t>of</w:t>
      </w:r>
      <w:r>
        <w:rPr>
          <w:spacing w:val="46"/>
        </w:rPr>
        <w:t xml:space="preserve"> </w:t>
      </w:r>
      <w:r>
        <w:rPr>
          <w:spacing w:val="-1"/>
        </w:rPr>
        <w:t>this</w:t>
      </w:r>
      <w:r>
        <w:rPr>
          <w:spacing w:val="41"/>
        </w:rPr>
        <w:t xml:space="preserve"> </w:t>
      </w:r>
      <w:r>
        <w:rPr>
          <w:spacing w:val="-2"/>
        </w:rPr>
        <w:t>Call</w:t>
      </w:r>
      <w:r>
        <w:rPr>
          <w:spacing w:val="40"/>
        </w:rPr>
        <w:t xml:space="preserve"> </w:t>
      </w:r>
      <w:r>
        <w:rPr>
          <w:spacing w:val="-1"/>
        </w:rPr>
        <w:t>Off</w:t>
      </w:r>
      <w:r>
        <w:rPr>
          <w:spacing w:val="45"/>
        </w:rPr>
        <w:t xml:space="preserve"> </w:t>
      </w:r>
      <w:r>
        <w:rPr>
          <w:spacing w:val="-1"/>
        </w:rPr>
        <w:t>Schedule,</w:t>
      </w:r>
      <w:r>
        <w:rPr>
          <w:spacing w:val="42"/>
        </w:rPr>
        <w:t xml:space="preserve"> </w:t>
      </w:r>
      <w:r>
        <w:t>the</w:t>
      </w:r>
      <w:r>
        <w:rPr>
          <w:spacing w:val="41"/>
        </w:rPr>
        <w:t xml:space="preserve"> </w:t>
      </w:r>
      <w:r>
        <w:rPr>
          <w:spacing w:val="-2"/>
        </w:rPr>
        <w:t>Supplier</w:t>
      </w:r>
      <w:r>
        <w:rPr>
          <w:spacing w:val="43"/>
        </w:rPr>
        <w:t xml:space="preserve"> </w:t>
      </w:r>
      <w:r>
        <w:rPr>
          <w:spacing w:val="-1"/>
        </w:rPr>
        <w:t>shall</w:t>
      </w:r>
      <w:r>
        <w:rPr>
          <w:spacing w:val="51"/>
        </w:rPr>
        <w:t xml:space="preserve"> </w:t>
      </w:r>
      <w:r>
        <w:rPr>
          <w:spacing w:val="-1"/>
        </w:rPr>
        <w:t>indemnify</w:t>
      </w:r>
      <w:r>
        <w:rPr>
          <w:spacing w:val="3"/>
        </w:rPr>
        <w:t xml:space="preserve"> </w:t>
      </w:r>
      <w:r>
        <w:t>the</w:t>
      </w:r>
      <w:r>
        <w:rPr>
          <w:spacing w:val="5"/>
        </w:rPr>
        <w:t xml:space="preserve"> </w:t>
      </w:r>
      <w:r>
        <w:rPr>
          <w:spacing w:val="-1"/>
        </w:rPr>
        <w:t>Customer</w:t>
      </w:r>
      <w:r>
        <w:rPr>
          <w:spacing w:val="4"/>
        </w:rPr>
        <w:t xml:space="preserve"> </w:t>
      </w:r>
      <w:r>
        <w:rPr>
          <w:spacing w:val="-1"/>
        </w:rPr>
        <w:t>and/or</w:t>
      </w:r>
      <w:r>
        <w:rPr>
          <w:spacing w:val="6"/>
        </w:rPr>
        <w:t xml:space="preserve"> </w:t>
      </w:r>
      <w:r>
        <w:t>the</w:t>
      </w:r>
      <w:r>
        <w:rPr>
          <w:spacing w:val="5"/>
        </w:rPr>
        <w:t xml:space="preserve"> </w:t>
      </w:r>
      <w:r>
        <w:rPr>
          <w:spacing w:val="-2"/>
        </w:rPr>
        <w:t>Replacement</w:t>
      </w:r>
      <w:r>
        <w:rPr>
          <w:spacing w:val="7"/>
        </w:rPr>
        <w:t xml:space="preserve"> </w:t>
      </w:r>
      <w:r>
        <w:rPr>
          <w:spacing w:val="-2"/>
        </w:rPr>
        <w:t>Supplier</w:t>
      </w:r>
      <w:r>
        <w:rPr>
          <w:spacing w:val="6"/>
        </w:rPr>
        <w:t xml:space="preserve"> </w:t>
      </w:r>
      <w:r>
        <w:rPr>
          <w:spacing w:val="-1"/>
        </w:rPr>
        <w:t>and/or</w:t>
      </w:r>
      <w:r>
        <w:rPr>
          <w:spacing w:val="6"/>
        </w:rPr>
        <w:t xml:space="preserve"> </w:t>
      </w:r>
      <w:r>
        <w:rPr>
          <w:spacing w:val="-1"/>
        </w:rPr>
        <w:t>any</w:t>
      </w:r>
      <w:r>
        <w:rPr>
          <w:spacing w:val="6"/>
        </w:rPr>
        <w:t xml:space="preserve"> </w:t>
      </w:r>
      <w:r>
        <w:rPr>
          <w:spacing w:val="-1"/>
        </w:rPr>
        <w:t>Replacement</w:t>
      </w:r>
      <w:r>
        <w:rPr>
          <w:spacing w:val="69"/>
        </w:rPr>
        <w:t xml:space="preserve"> </w:t>
      </w:r>
      <w:r>
        <w:rPr>
          <w:spacing w:val="-1"/>
        </w:rPr>
        <w:t>Sub-Contractor</w:t>
      </w:r>
      <w:r>
        <w:rPr>
          <w:spacing w:val="57"/>
        </w:rPr>
        <w:t xml:space="preserve"> </w:t>
      </w:r>
      <w:r>
        <w:rPr>
          <w:spacing w:val="-1"/>
        </w:rPr>
        <w:t>against</w:t>
      </w:r>
      <w:r>
        <w:rPr>
          <w:spacing w:val="55"/>
        </w:rPr>
        <w:t xml:space="preserve"> </w:t>
      </w:r>
      <w:r>
        <w:rPr>
          <w:spacing w:val="-1"/>
        </w:rPr>
        <w:t>any</w:t>
      </w:r>
      <w:r>
        <w:rPr>
          <w:spacing w:val="53"/>
        </w:rPr>
        <w:t xml:space="preserve"> </w:t>
      </w:r>
      <w:r>
        <w:rPr>
          <w:spacing w:val="-1"/>
        </w:rPr>
        <w:t>Employee</w:t>
      </w:r>
      <w:r>
        <w:rPr>
          <w:spacing w:val="55"/>
        </w:rPr>
        <w:t xml:space="preserve"> </w:t>
      </w:r>
      <w:r>
        <w:rPr>
          <w:spacing w:val="-1"/>
        </w:rPr>
        <w:t>Liabilities</w:t>
      </w:r>
      <w:r>
        <w:rPr>
          <w:spacing w:val="56"/>
        </w:rPr>
        <w:t xml:space="preserve"> </w:t>
      </w:r>
      <w:r>
        <w:rPr>
          <w:spacing w:val="-1"/>
        </w:rPr>
        <w:t>in</w:t>
      </w:r>
      <w:r>
        <w:rPr>
          <w:spacing w:val="55"/>
        </w:rPr>
        <w:t xml:space="preserve"> </w:t>
      </w:r>
      <w:r>
        <w:rPr>
          <w:spacing w:val="-1"/>
        </w:rPr>
        <w:t>respect</w:t>
      </w:r>
      <w:r>
        <w:rPr>
          <w:spacing w:val="58"/>
        </w:rPr>
        <w:t xml:space="preserve"> </w:t>
      </w:r>
      <w:r>
        <w:rPr>
          <w:spacing w:val="-2"/>
        </w:rPr>
        <w:t>of</w:t>
      </w:r>
      <w:r>
        <w:rPr>
          <w:spacing w:val="59"/>
        </w:rPr>
        <w:t xml:space="preserve"> </w:t>
      </w:r>
      <w:r>
        <w:rPr>
          <w:spacing w:val="-1"/>
        </w:rPr>
        <w:t>any</w:t>
      </w:r>
      <w:r>
        <w:rPr>
          <w:spacing w:val="53"/>
        </w:rPr>
        <w:t xml:space="preserve"> </w:t>
      </w:r>
      <w:r>
        <w:rPr>
          <w:spacing w:val="-1"/>
        </w:rPr>
        <w:t>Transferring</w:t>
      </w:r>
      <w:r>
        <w:rPr>
          <w:spacing w:val="40"/>
        </w:rPr>
        <w:t xml:space="preserve"> </w:t>
      </w:r>
      <w:r>
        <w:rPr>
          <w:spacing w:val="-2"/>
        </w:rPr>
        <w:t>Supplier</w:t>
      </w:r>
      <w:r>
        <w:rPr>
          <w:spacing w:val="23"/>
        </w:rPr>
        <w:t xml:space="preserve"> </w:t>
      </w:r>
      <w:r>
        <w:rPr>
          <w:spacing w:val="-2"/>
        </w:rPr>
        <w:t>Employee</w:t>
      </w:r>
      <w:r>
        <w:rPr>
          <w:spacing w:val="22"/>
        </w:rPr>
        <w:t xml:space="preserve"> </w:t>
      </w:r>
      <w:r>
        <w:rPr>
          <w:spacing w:val="-1"/>
        </w:rPr>
        <w:t>(or,</w:t>
      </w:r>
      <w:r>
        <w:rPr>
          <w:spacing w:val="23"/>
        </w:rPr>
        <w:t xml:space="preserve"> </w:t>
      </w:r>
      <w:r>
        <w:rPr>
          <w:spacing w:val="-2"/>
        </w:rPr>
        <w:t>where</w:t>
      </w:r>
      <w:r>
        <w:rPr>
          <w:spacing w:val="22"/>
        </w:rPr>
        <w:t xml:space="preserve"> </w:t>
      </w:r>
      <w:r>
        <w:rPr>
          <w:spacing w:val="-1"/>
        </w:rPr>
        <w:t>applicable</w:t>
      </w:r>
      <w:r>
        <w:rPr>
          <w:spacing w:val="22"/>
        </w:rPr>
        <w:t xml:space="preserve"> </w:t>
      </w:r>
      <w:r>
        <w:t>any</w:t>
      </w:r>
      <w:r>
        <w:rPr>
          <w:spacing w:val="20"/>
        </w:rPr>
        <w:t xml:space="preserve"> </w:t>
      </w:r>
      <w:r>
        <w:rPr>
          <w:spacing w:val="-1"/>
        </w:rPr>
        <w:t>employee</w:t>
      </w:r>
      <w:r>
        <w:rPr>
          <w:spacing w:val="22"/>
        </w:rPr>
        <w:t xml:space="preserve"> </w:t>
      </w:r>
      <w:r>
        <w:rPr>
          <w:spacing w:val="-1"/>
        </w:rPr>
        <w:t>representative</w:t>
      </w:r>
      <w:r>
        <w:rPr>
          <w:spacing w:val="24"/>
        </w:rPr>
        <w:t xml:space="preserve"> </w:t>
      </w:r>
      <w:r>
        <w:rPr>
          <w:spacing w:val="-1"/>
        </w:rPr>
        <w:t>as</w:t>
      </w:r>
      <w:r>
        <w:rPr>
          <w:spacing w:val="22"/>
        </w:rPr>
        <w:t xml:space="preserve"> </w:t>
      </w:r>
      <w:r>
        <w:rPr>
          <w:spacing w:val="-1"/>
        </w:rPr>
        <w:t>defined</w:t>
      </w:r>
      <w:r>
        <w:rPr>
          <w:spacing w:val="62"/>
        </w:rPr>
        <w:t xml:space="preserve"> </w:t>
      </w:r>
      <w:r>
        <w:rPr>
          <w:spacing w:val="-1"/>
        </w:rPr>
        <w:t>in</w:t>
      </w:r>
      <w:r>
        <w:t xml:space="preserve"> the </w:t>
      </w:r>
      <w:r>
        <w:rPr>
          <w:spacing w:val="-2"/>
        </w:rPr>
        <w:t>Employment</w:t>
      </w:r>
      <w:r>
        <w:rPr>
          <w:spacing w:val="2"/>
        </w:rPr>
        <w:t xml:space="preserve"> </w:t>
      </w:r>
      <w:r>
        <w:rPr>
          <w:spacing w:val="-2"/>
        </w:rPr>
        <w:t>Regulations)</w:t>
      </w:r>
      <w:r>
        <w:rPr>
          <w:spacing w:val="2"/>
        </w:rPr>
        <w:t xml:space="preserve"> </w:t>
      </w:r>
      <w:r>
        <w:rPr>
          <w:spacing w:val="-2"/>
        </w:rPr>
        <w:t>arising</w:t>
      </w:r>
      <w:r>
        <w:t xml:space="preserve"> </w:t>
      </w:r>
      <w:r>
        <w:rPr>
          <w:spacing w:val="-1"/>
        </w:rPr>
        <w:t xml:space="preserve">from or </w:t>
      </w:r>
      <w:r>
        <w:rPr>
          <w:spacing w:val="-2"/>
        </w:rPr>
        <w:t>as</w:t>
      </w:r>
      <w:r>
        <w:rPr>
          <w:spacing w:val="1"/>
        </w:rPr>
        <w:t xml:space="preserve"> </w:t>
      </w:r>
      <w:r>
        <w:t>a</w:t>
      </w:r>
      <w:r>
        <w:rPr>
          <w:spacing w:val="-2"/>
        </w:rPr>
        <w:t xml:space="preserve"> </w:t>
      </w:r>
      <w:r>
        <w:rPr>
          <w:spacing w:val="-1"/>
        </w:rPr>
        <w:t>result</w:t>
      </w:r>
      <w:r>
        <w:t xml:space="preserve"> </w:t>
      </w:r>
      <w:r>
        <w:rPr>
          <w:spacing w:val="-1"/>
        </w:rPr>
        <w:t>of:</w:t>
      </w:r>
    </w:p>
    <w:p w:rsidR="008918FA" w:rsidRDefault="008918FA" w:rsidP="008918FA">
      <w:pPr>
        <w:pStyle w:val="BodyText"/>
        <w:numPr>
          <w:ilvl w:val="2"/>
          <w:numId w:val="7"/>
        </w:numPr>
        <w:tabs>
          <w:tab w:val="left" w:pos="2025"/>
        </w:tabs>
        <w:ind w:left="2024" w:right="120" w:hanging="993"/>
      </w:pPr>
      <w:r>
        <w:rPr>
          <w:spacing w:val="-1"/>
        </w:rPr>
        <w:t>any</w:t>
      </w:r>
      <w:r>
        <w:rPr>
          <w:spacing w:val="44"/>
        </w:rPr>
        <w:t xml:space="preserve"> </w:t>
      </w:r>
      <w:r>
        <w:rPr>
          <w:spacing w:val="-1"/>
        </w:rPr>
        <w:t>act</w:t>
      </w:r>
      <w:r>
        <w:rPr>
          <w:spacing w:val="48"/>
        </w:rPr>
        <w:t xml:space="preserve"> </w:t>
      </w:r>
      <w:r>
        <w:rPr>
          <w:spacing w:val="-1"/>
        </w:rPr>
        <w:t>or</w:t>
      </w:r>
      <w:r>
        <w:rPr>
          <w:spacing w:val="47"/>
        </w:rPr>
        <w:t xml:space="preserve"> </w:t>
      </w:r>
      <w:r>
        <w:rPr>
          <w:spacing w:val="-1"/>
        </w:rPr>
        <w:t>omission</w:t>
      </w:r>
      <w:r>
        <w:rPr>
          <w:spacing w:val="46"/>
        </w:rPr>
        <w:t xml:space="preserve"> </w:t>
      </w:r>
      <w:r>
        <w:rPr>
          <w:spacing w:val="-1"/>
        </w:rPr>
        <w:t>of</w:t>
      </w:r>
      <w:r>
        <w:rPr>
          <w:spacing w:val="50"/>
        </w:rPr>
        <w:t xml:space="preserve"> </w:t>
      </w:r>
      <w:r>
        <w:t>the</w:t>
      </w:r>
      <w:r>
        <w:rPr>
          <w:spacing w:val="46"/>
        </w:rPr>
        <w:t xml:space="preserve"> </w:t>
      </w:r>
      <w:r>
        <w:rPr>
          <w:spacing w:val="-2"/>
        </w:rPr>
        <w:t>Supplier</w:t>
      </w:r>
      <w:r>
        <w:rPr>
          <w:spacing w:val="48"/>
        </w:rPr>
        <w:t xml:space="preserve"> </w:t>
      </w:r>
      <w:r>
        <w:rPr>
          <w:spacing w:val="-1"/>
        </w:rPr>
        <w:t>or</w:t>
      </w:r>
      <w:r>
        <w:rPr>
          <w:spacing w:val="47"/>
        </w:rPr>
        <w:t xml:space="preserve"> </w:t>
      </w:r>
      <w:r>
        <w:rPr>
          <w:spacing w:val="-1"/>
        </w:rPr>
        <w:t>any</w:t>
      </w:r>
      <w:r>
        <w:rPr>
          <w:spacing w:val="46"/>
        </w:rPr>
        <w:t xml:space="preserve"> </w:t>
      </w:r>
      <w:r>
        <w:rPr>
          <w:spacing w:val="-1"/>
        </w:rPr>
        <w:t>Sub-Contractor</w:t>
      </w:r>
      <w:r>
        <w:rPr>
          <w:spacing w:val="47"/>
        </w:rPr>
        <w:t xml:space="preserve"> </w:t>
      </w:r>
      <w:r>
        <w:rPr>
          <w:spacing w:val="-2"/>
        </w:rPr>
        <w:t>whether</w:t>
      </w:r>
      <w:r>
        <w:rPr>
          <w:spacing w:val="54"/>
        </w:rPr>
        <w:t xml:space="preserve"> </w:t>
      </w:r>
      <w:r>
        <w:rPr>
          <w:spacing w:val="-1"/>
        </w:rPr>
        <w:t>occurring</w:t>
      </w:r>
      <w:r>
        <w:t xml:space="preserve"> </w:t>
      </w:r>
      <w:r>
        <w:rPr>
          <w:spacing w:val="-1"/>
        </w:rPr>
        <w:t>before, on</w:t>
      </w:r>
      <w:r>
        <w:t xml:space="preserve"> </w:t>
      </w:r>
      <w:r>
        <w:rPr>
          <w:spacing w:val="-2"/>
        </w:rPr>
        <w:t>or</w:t>
      </w:r>
      <w:r>
        <w:rPr>
          <w:spacing w:val="2"/>
        </w:rPr>
        <w:t xml:space="preserve"> </w:t>
      </w:r>
      <w:r>
        <w:rPr>
          <w:spacing w:val="-1"/>
        </w:rPr>
        <w:t xml:space="preserve">after </w:t>
      </w:r>
      <w:r>
        <w:t xml:space="preserve">the </w:t>
      </w:r>
      <w:r>
        <w:rPr>
          <w:spacing w:val="-2"/>
        </w:rPr>
        <w:t>Service</w:t>
      </w:r>
      <w:r>
        <w:rPr>
          <w:spacing w:val="1"/>
        </w:rPr>
        <w:t xml:space="preserve"> </w:t>
      </w:r>
      <w:r>
        <w:rPr>
          <w:spacing w:val="-1"/>
        </w:rPr>
        <w:t>Transfer Date;</w:t>
      </w:r>
    </w:p>
    <w:p w:rsidR="008918FA" w:rsidRDefault="008918FA" w:rsidP="008918FA">
      <w:pPr>
        <w:pStyle w:val="BodyText"/>
        <w:numPr>
          <w:ilvl w:val="2"/>
          <w:numId w:val="7"/>
        </w:numPr>
        <w:tabs>
          <w:tab w:val="left" w:pos="2025"/>
        </w:tabs>
        <w:ind w:left="2024" w:right="125" w:hanging="993"/>
      </w:pPr>
      <w:r>
        <w:t>the</w:t>
      </w:r>
      <w:r>
        <w:rPr>
          <w:spacing w:val="24"/>
        </w:rPr>
        <w:t xml:space="preserve"> </w:t>
      </w:r>
      <w:r>
        <w:rPr>
          <w:spacing w:val="-1"/>
        </w:rPr>
        <w:t>breach</w:t>
      </w:r>
      <w:r>
        <w:rPr>
          <w:spacing w:val="25"/>
        </w:rPr>
        <w:t xml:space="preserve"> </w:t>
      </w:r>
      <w:r>
        <w:rPr>
          <w:spacing w:val="-1"/>
        </w:rPr>
        <w:t>or</w:t>
      </w:r>
      <w:r>
        <w:rPr>
          <w:spacing w:val="26"/>
        </w:rPr>
        <w:t xml:space="preserve"> </w:t>
      </w:r>
      <w:r>
        <w:rPr>
          <w:spacing w:val="-2"/>
        </w:rPr>
        <w:t>non-observance</w:t>
      </w:r>
      <w:r>
        <w:rPr>
          <w:spacing w:val="25"/>
        </w:rPr>
        <w:t xml:space="preserve"> </w:t>
      </w:r>
      <w:r>
        <w:rPr>
          <w:spacing w:val="1"/>
        </w:rPr>
        <w:t>by</w:t>
      </w:r>
      <w:r>
        <w:rPr>
          <w:spacing w:val="22"/>
        </w:rPr>
        <w:t xml:space="preserve"> </w:t>
      </w:r>
      <w:r>
        <w:t>the</w:t>
      </w:r>
      <w:r>
        <w:rPr>
          <w:spacing w:val="24"/>
        </w:rPr>
        <w:t xml:space="preserve"> </w:t>
      </w:r>
      <w:r>
        <w:rPr>
          <w:spacing w:val="-1"/>
        </w:rPr>
        <w:t>Supplier</w:t>
      </w:r>
      <w:r>
        <w:rPr>
          <w:spacing w:val="26"/>
        </w:rPr>
        <w:t xml:space="preserve"> </w:t>
      </w:r>
      <w:r>
        <w:rPr>
          <w:spacing w:val="-1"/>
        </w:rPr>
        <w:t>or</w:t>
      </w:r>
      <w:r>
        <w:rPr>
          <w:spacing w:val="26"/>
        </w:rPr>
        <w:t xml:space="preserve"> </w:t>
      </w:r>
      <w:r>
        <w:rPr>
          <w:spacing w:val="-1"/>
        </w:rPr>
        <w:t>any</w:t>
      </w:r>
      <w:r>
        <w:rPr>
          <w:spacing w:val="22"/>
        </w:rPr>
        <w:t xml:space="preserve"> </w:t>
      </w:r>
      <w:r>
        <w:rPr>
          <w:spacing w:val="-1"/>
        </w:rPr>
        <w:t>Sub-Contractor</w:t>
      </w:r>
      <w:r>
        <w:rPr>
          <w:spacing w:val="54"/>
        </w:rPr>
        <w:t xml:space="preserve"> </w:t>
      </w:r>
      <w:r>
        <w:rPr>
          <w:spacing w:val="-1"/>
        </w:rPr>
        <w:t>occurring</w:t>
      </w:r>
      <w:r>
        <w:t xml:space="preserve"> </w:t>
      </w:r>
      <w:r>
        <w:rPr>
          <w:spacing w:val="-1"/>
        </w:rPr>
        <w:t>on</w:t>
      </w:r>
      <w:r>
        <w:t xml:space="preserve"> </w:t>
      </w:r>
      <w:r>
        <w:rPr>
          <w:spacing w:val="-2"/>
        </w:rPr>
        <w:t>or</w:t>
      </w:r>
      <w:r>
        <w:rPr>
          <w:spacing w:val="2"/>
        </w:rPr>
        <w:t xml:space="preserve"> </w:t>
      </w:r>
      <w:r>
        <w:rPr>
          <w:spacing w:val="-1"/>
        </w:rPr>
        <w:t>before</w:t>
      </w:r>
      <w:r>
        <w:rPr>
          <w:spacing w:val="-2"/>
        </w:rPr>
        <w:t xml:space="preserve"> </w:t>
      </w:r>
      <w:r>
        <w:rPr>
          <w:spacing w:val="-1"/>
        </w:rPr>
        <w:t>the</w:t>
      </w:r>
      <w:r>
        <w:t xml:space="preserve"> </w:t>
      </w:r>
      <w:r>
        <w:rPr>
          <w:spacing w:val="-2"/>
        </w:rPr>
        <w:t>Service</w:t>
      </w:r>
      <w:r>
        <w:rPr>
          <w:spacing w:val="1"/>
        </w:rPr>
        <w:t xml:space="preserve"> </w:t>
      </w:r>
      <w:r>
        <w:rPr>
          <w:spacing w:val="-1"/>
        </w:rPr>
        <w:t>Transfer Date</w:t>
      </w:r>
      <w:r>
        <w:rPr>
          <w:spacing w:val="-2"/>
        </w:rPr>
        <w:t xml:space="preserve"> </w:t>
      </w:r>
      <w:r>
        <w:t>of:</w:t>
      </w:r>
    </w:p>
    <w:p w:rsidR="008918FA" w:rsidRDefault="008918FA" w:rsidP="008918FA">
      <w:pPr>
        <w:pStyle w:val="BodyText"/>
        <w:numPr>
          <w:ilvl w:val="3"/>
          <w:numId w:val="7"/>
        </w:numPr>
        <w:tabs>
          <w:tab w:val="left" w:pos="2733"/>
        </w:tabs>
        <w:ind w:right="125"/>
      </w:pPr>
      <w:r>
        <w:rPr>
          <w:spacing w:val="-1"/>
        </w:rPr>
        <w:t>any</w:t>
      </w:r>
      <w:r>
        <w:rPr>
          <w:spacing w:val="-2"/>
        </w:rPr>
        <w:t xml:space="preserve"> collective</w:t>
      </w:r>
      <w:r>
        <w:t xml:space="preserve"> </w:t>
      </w:r>
      <w:r>
        <w:rPr>
          <w:spacing w:val="-1"/>
        </w:rPr>
        <w:t>agreement</w:t>
      </w:r>
      <w:r>
        <w:t xml:space="preserve"> </w:t>
      </w:r>
      <w:r>
        <w:rPr>
          <w:spacing w:val="-1"/>
        </w:rPr>
        <w:t>applicable</w:t>
      </w:r>
      <w:r>
        <w:t xml:space="preserve"> to the</w:t>
      </w:r>
      <w:r>
        <w:rPr>
          <w:spacing w:val="-4"/>
        </w:rPr>
        <w:t xml:space="preserve"> </w:t>
      </w:r>
      <w:r>
        <w:rPr>
          <w:spacing w:val="-1"/>
        </w:rPr>
        <w:t>Transferring</w:t>
      </w:r>
      <w:r>
        <w:rPr>
          <w:spacing w:val="3"/>
        </w:rPr>
        <w:t xml:space="preserve"> </w:t>
      </w:r>
      <w:r>
        <w:rPr>
          <w:spacing w:val="-2"/>
        </w:rPr>
        <w:t>Supplier</w:t>
      </w:r>
      <w:r>
        <w:rPr>
          <w:spacing w:val="46"/>
        </w:rPr>
        <w:t xml:space="preserve"> </w:t>
      </w:r>
      <w:r>
        <w:rPr>
          <w:spacing w:val="-2"/>
        </w:rPr>
        <w:t>Employees;</w:t>
      </w:r>
      <w:r>
        <w:rPr>
          <w:spacing w:val="2"/>
        </w:rPr>
        <w:t xml:space="preserve"> </w:t>
      </w:r>
      <w:r>
        <w:rPr>
          <w:spacing w:val="-1"/>
        </w:rPr>
        <w:t>and/or</w:t>
      </w:r>
    </w:p>
    <w:p w:rsidR="008918FA" w:rsidRDefault="008918FA" w:rsidP="008918FA">
      <w:pPr>
        <w:pStyle w:val="BodyText"/>
        <w:numPr>
          <w:ilvl w:val="3"/>
          <w:numId w:val="7"/>
        </w:numPr>
        <w:tabs>
          <w:tab w:val="left" w:pos="2733"/>
        </w:tabs>
        <w:spacing w:before="121"/>
        <w:ind w:right="125"/>
      </w:pPr>
      <w:r>
        <w:rPr>
          <w:spacing w:val="-1"/>
        </w:rPr>
        <w:t>any</w:t>
      </w:r>
      <w:r>
        <w:t xml:space="preserve"> </w:t>
      </w:r>
      <w:r>
        <w:rPr>
          <w:spacing w:val="26"/>
        </w:rPr>
        <w:t xml:space="preserve"> </w:t>
      </w:r>
      <w:r>
        <w:rPr>
          <w:spacing w:val="-1"/>
        </w:rPr>
        <w:t>other</w:t>
      </w:r>
      <w:r>
        <w:t xml:space="preserve"> </w:t>
      </w:r>
      <w:r>
        <w:rPr>
          <w:spacing w:val="29"/>
        </w:rPr>
        <w:t xml:space="preserve"> </w:t>
      </w:r>
      <w:r>
        <w:rPr>
          <w:spacing w:val="-1"/>
        </w:rPr>
        <w:t>custom</w:t>
      </w:r>
      <w:r>
        <w:t xml:space="preserve"> </w:t>
      </w:r>
      <w:r>
        <w:rPr>
          <w:spacing w:val="29"/>
        </w:rPr>
        <w:t xml:space="preserve"> </w:t>
      </w:r>
      <w:r>
        <w:rPr>
          <w:spacing w:val="-1"/>
        </w:rPr>
        <w:t>or</w:t>
      </w:r>
      <w:r>
        <w:t xml:space="preserve"> </w:t>
      </w:r>
      <w:r>
        <w:rPr>
          <w:spacing w:val="27"/>
        </w:rPr>
        <w:t xml:space="preserve"> </w:t>
      </w:r>
      <w:r>
        <w:rPr>
          <w:spacing w:val="-1"/>
        </w:rPr>
        <w:t>practice</w:t>
      </w:r>
      <w:r>
        <w:t xml:space="preserve"> </w:t>
      </w:r>
      <w:r>
        <w:rPr>
          <w:spacing w:val="28"/>
        </w:rPr>
        <w:t xml:space="preserve"> </w:t>
      </w:r>
      <w:r>
        <w:rPr>
          <w:spacing w:val="-2"/>
        </w:rPr>
        <w:t>with</w:t>
      </w:r>
      <w:r>
        <w:t xml:space="preserve"> </w:t>
      </w:r>
      <w:r>
        <w:rPr>
          <w:spacing w:val="28"/>
        </w:rPr>
        <w:t xml:space="preserve"> </w:t>
      </w:r>
      <w:r>
        <w:t xml:space="preserve">a </w:t>
      </w:r>
      <w:r>
        <w:rPr>
          <w:spacing w:val="28"/>
        </w:rPr>
        <w:t xml:space="preserve"> </w:t>
      </w:r>
      <w:r>
        <w:rPr>
          <w:spacing w:val="-1"/>
        </w:rPr>
        <w:t>trade</w:t>
      </w:r>
      <w:r>
        <w:t xml:space="preserve"> </w:t>
      </w:r>
      <w:r>
        <w:rPr>
          <w:spacing w:val="28"/>
        </w:rPr>
        <w:t xml:space="preserve"> </w:t>
      </w:r>
      <w:r>
        <w:rPr>
          <w:spacing w:val="-1"/>
        </w:rPr>
        <w:t>union</w:t>
      </w:r>
      <w:r>
        <w:t xml:space="preserve"> </w:t>
      </w:r>
      <w:r>
        <w:rPr>
          <w:spacing w:val="28"/>
        </w:rPr>
        <w:t xml:space="preserve"> </w:t>
      </w:r>
      <w:r>
        <w:rPr>
          <w:spacing w:val="-1"/>
        </w:rPr>
        <w:t>or</w:t>
      </w:r>
      <w:r>
        <w:t xml:space="preserve"> </w:t>
      </w:r>
      <w:r>
        <w:rPr>
          <w:spacing w:val="29"/>
        </w:rPr>
        <w:t xml:space="preserve"> </w:t>
      </w:r>
      <w:r>
        <w:rPr>
          <w:spacing w:val="-1"/>
        </w:rPr>
        <w:t>staff</w:t>
      </w:r>
      <w:r>
        <w:rPr>
          <w:spacing w:val="47"/>
        </w:rPr>
        <w:t xml:space="preserve"> </w:t>
      </w:r>
      <w:r>
        <w:rPr>
          <w:spacing w:val="-1"/>
        </w:rPr>
        <w:t>association</w:t>
      </w:r>
      <w:r>
        <w:rPr>
          <w:spacing w:val="24"/>
        </w:rPr>
        <w:t xml:space="preserve"> </w:t>
      </w:r>
      <w:r>
        <w:rPr>
          <w:spacing w:val="-1"/>
        </w:rPr>
        <w:t>in</w:t>
      </w:r>
      <w:r>
        <w:rPr>
          <w:spacing w:val="24"/>
        </w:rPr>
        <w:t xml:space="preserve"> </w:t>
      </w:r>
      <w:r>
        <w:rPr>
          <w:spacing w:val="-1"/>
        </w:rPr>
        <w:t>respect</w:t>
      </w:r>
      <w:r>
        <w:rPr>
          <w:spacing w:val="26"/>
        </w:rPr>
        <w:t xml:space="preserve"> </w:t>
      </w:r>
      <w:r>
        <w:rPr>
          <w:spacing w:val="-2"/>
        </w:rPr>
        <w:t>of</w:t>
      </w:r>
      <w:r>
        <w:rPr>
          <w:spacing w:val="26"/>
        </w:rPr>
        <w:t xml:space="preserve"> </w:t>
      </w:r>
      <w:r>
        <w:rPr>
          <w:spacing w:val="-1"/>
        </w:rPr>
        <w:t>any</w:t>
      </w:r>
      <w:r>
        <w:rPr>
          <w:spacing w:val="22"/>
        </w:rPr>
        <w:t xml:space="preserve"> </w:t>
      </w:r>
      <w:r>
        <w:rPr>
          <w:spacing w:val="-1"/>
        </w:rPr>
        <w:t>Transferring</w:t>
      </w:r>
      <w:r>
        <w:rPr>
          <w:spacing w:val="27"/>
        </w:rPr>
        <w:t xml:space="preserve"> </w:t>
      </w:r>
      <w:r>
        <w:rPr>
          <w:spacing w:val="-2"/>
        </w:rPr>
        <w:t>Supplier</w:t>
      </w:r>
      <w:r>
        <w:rPr>
          <w:spacing w:val="26"/>
        </w:rPr>
        <w:t xml:space="preserve"> </w:t>
      </w:r>
      <w:r>
        <w:rPr>
          <w:spacing w:val="-2"/>
        </w:rPr>
        <w:t>Employees</w:t>
      </w:r>
    </w:p>
    <w:p w:rsidR="008918FA" w:rsidRDefault="008918FA" w:rsidP="008918FA">
      <w:pPr>
        <w:sectPr w:rsidR="008918FA">
          <w:pgSz w:w="11910" w:h="16840"/>
          <w:pgMar w:top="1480" w:right="1300" w:bottom="1180" w:left="1540" w:header="0" w:footer="987" w:gutter="0"/>
          <w:cols w:space="720"/>
        </w:sectPr>
      </w:pPr>
    </w:p>
    <w:p w:rsidR="008918FA" w:rsidRDefault="008918FA" w:rsidP="008918FA">
      <w:pPr>
        <w:pStyle w:val="BodyText"/>
        <w:spacing w:before="59"/>
        <w:ind w:left="2594" w:right="118" w:firstLine="0"/>
      </w:pPr>
      <w:r>
        <w:rPr>
          <w:spacing w:val="-1"/>
        </w:rPr>
        <w:t>which</w:t>
      </w:r>
      <w:r>
        <w:rPr>
          <w:spacing w:val="1"/>
        </w:rPr>
        <w:t xml:space="preserve"> </w:t>
      </w:r>
      <w:r>
        <w:t xml:space="preserve">the </w:t>
      </w:r>
      <w:r>
        <w:rPr>
          <w:spacing w:val="-2"/>
        </w:rPr>
        <w:t>Supplier</w:t>
      </w:r>
      <w:r>
        <w:rPr>
          <w:spacing w:val="2"/>
        </w:rPr>
        <w:t xml:space="preserve"> </w:t>
      </w:r>
      <w:r>
        <w:rPr>
          <w:spacing w:val="-1"/>
        </w:rPr>
        <w:t xml:space="preserve">or </w:t>
      </w:r>
      <w:r>
        <w:rPr>
          <w:spacing w:val="-2"/>
        </w:rPr>
        <w:t xml:space="preserve">any </w:t>
      </w:r>
      <w:r>
        <w:rPr>
          <w:spacing w:val="-1"/>
        </w:rPr>
        <w:t>Sub-Contractor</w:t>
      </w:r>
      <w:r>
        <w:rPr>
          <w:spacing w:val="2"/>
        </w:rPr>
        <w:t xml:space="preserve"> </w:t>
      </w:r>
      <w:r>
        <w:rPr>
          <w:spacing w:val="-1"/>
        </w:rPr>
        <w:t>is</w:t>
      </w:r>
      <w:r>
        <w:rPr>
          <w:spacing w:val="-2"/>
        </w:rPr>
        <w:t xml:space="preserve"> </w:t>
      </w:r>
      <w:r>
        <w:rPr>
          <w:spacing w:val="-1"/>
        </w:rPr>
        <w:t>contractually</w:t>
      </w:r>
      <w:r>
        <w:rPr>
          <w:spacing w:val="-2"/>
        </w:rPr>
        <w:t xml:space="preserve"> </w:t>
      </w:r>
      <w:r>
        <w:rPr>
          <w:spacing w:val="-1"/>
        </w:rPr>
        <w:t>bound</w:t>
      </w:r>
      <w:r>
        <w:rPr>
          <w:spacing w:val="30"/>
        </w:rPr>
        <w:t xml:space="preserve"> </w:t>
      </w:r>
      <w:r>
        <w:t xml:space="preserve">to </w:t>
      </w:r>
      <w:r>
        <w:rPr>
          <w:spacing w:val="-1"/>
        </w:rPr>
        <w:t>honour;</w:t>
      </w:r>
    </w:p>
    <w:p w:rsidR="008918FA" w:rsidRDefault="008918FA" w:rsidP="008918FA">
      <w:pPr>
        <w:pStyle w:val="BodyText"/>
        <w:numPr>
          <w:ilvl w:val="2"/>
          <w:numId w:val="7"/>
        </w:numPr>
        <w:tabs>
          <w:tab w:val="left" w:pos="1887"/>
        </w:tabs>
        <w:spacing w:before="121"/>
        <w:ind w:left="1886" w:right="111"/>
        <w:jc w:val="both"/>
      </w:pPr>
      <w:r>
        <w:rPr>
          <w:spacing w:val="-1"/>
        </w:rPr>
        <w:t>any</w:t>
      </w:r>
      <w:r>
        <w:rPr>
          <w:spacing w:val="3"/>
        </w:rPr>
        <w:t xml:space="preserve"> </w:t>
      </w:r>
      <w:r>
        <w:rPr>
          <w:spacing w:val="-1"/>
        </w:rPr>
        <w:t>claim</w:t>
      </w:r>
      <w:r>
        <w:rPr>
          <w:spacing w:val="6"/>
        </w:rPr>
        <w:t xml:space="preserve"> </w:t>
      </w:r>
      <w:r>
        <w:rPr>
          <w:spacing w:val="1"/>
        </w:rPr>
        <w:t>by</w:t>
      </w:r>
      <w:r>
        <w:rPr>
          <w:spacing w:val="4"/>
        </w:rPr>
        <w:t xml:space="preserve"> </w:t>
      </w:r>
      <w:r>
        <w:t>any</w:t>
      </w:r>
      <w:r>
        <w:rPr>
          <w:spacing w:val="3"/>
        </w:rPr>
        <w:t xml:space="preserve"> </w:t>
      </w:r>
      <w:r>
        <w:rPr>
          <w:spacing w:val="-1"/>
        </w:rPr>
        <w:t>trade</w:t>
      </w:r>
      <w:r>
        <w:rPr>
          <w:spacing w:val="5"/>
        </w:rPr>
        <w:t xml:space="preserve"> </w:t>
      </w:r>
      <w:r>
        <w:rPr>
          <w:spacing w:val="-1"/>
        </w:rPr>
        <w:t>union</w:t>
      </w:r>
      <w:r>
        <w:rPr>
          <w:spacing w:val="5"/>
        </w:rPr>
        <w:t xml:space="preserve"> </w:t>
      </w:r>
      <w:r>
        <w:rPr>
          <w:spacing w:val="-1"/>
        </w:rPr>
        <w:t>or</w:t>
      </w:r>
      <w:r>
        <w:rPr>
          <w:spacing w:val="6"/>
        </w:rPr>
        <w:t xml:space="preserve"> </w:t>
      </w:r>
      <w:r>
        <w:rPr>
          <w:spacing w:val="-1"/>
        </w:rPr>
        <w:t>other</w:t>
      </w:r>
      <w:r>
        <w:rPr>
          <w:spacing w:val="6"/>
        </w:rPr>
        <w:t xml:space="preserve"> </w:t>
      </w:r>
      <w:r>
        <w:rPr>
          <w:spacing w:val="-1"/>
        </w:rPr>
        <w:t>body</w:t>
      </w:r>
      <w:r>
        <w:rPr>
          <w:spacing w:val="3"/>
        </w:rPr>
        <w:t xml:space="preserve"> </w:t>
      </w:r>
      <w:r>
        <w:rPr>
          <w:spacing w:val="-1"/>
        </w:rPr>
        <w:t>or</w:t>
      </w:r>
      <w:r>
        <w:rPr>
          <w:spacing w:val="6"/>
        </w:rPr>
        <w:t xml:space="preserve"> </w:t>
      </w:r>
      <w:r>
        <w:rPr>
          <w:spacing w:val="-1"/>
        </w:rPr>
        <w:t>person</w:t>
      </w:r>
      <w:r>
        <w:rPr>
          <w:spacing w:val="5"/>
        </w:rPr>
        <w:t xml:space="preserve"> </w:t>
      </w:r>
      <w:r>
        <w:rPr>
          <w:spacing w:val="-1"/>
        </w:rPr>
        <w:t>representing</w:t>
      </w:r>
      <w:r>
        <w:rPr>
          <w:spacing w:val="7"/>
        </w:rPr>
        <w:t xml:space="preserve"> </w:t>
      </w:r>
      <w:r>
        <w:rPr>
          <w:spacing w:val="-1"/>
        </w:rPr>
        <w:t>any</w:t>
      </w:r>
      <w:r>
        <w:rPr>
          <w:spacing w:val="28"/>
        </w:rPr>
        <w:t xml:space="preserve"> </w:t>
      </w:r>
      <w:r>
        <w:rPr>
          <w:spacing w:val="-1"/>
        </w:rPr>
        <w:t>Transferring</w:t>
      </w:r>
      <w:r>
        <w:rPr>
          <w:spacing w:val="41"/>
        </w:rPr>
        <w:t xml:space="preserve"> </w:t>
      </w:r>
      <w:r>
        <w:rPr>
          <w:spacing w:val="-2"/>
        </w:rPr>
        <w:t>Supplier</w:t>
      </w:r>
      <w:r>
        <w:rPr>
          <w:spacing w:val="40"/>
        </w:rPr>
        <w:t xml:space="preserve"> </w:t>
      </w:r>
      <w:r>
        <w:rPr>
          <w:spacing w:val="-2"/>
        </w:rPr>
        <w:t>Employees</w:t>
      </w:r>
      <w:r>
        <w:rPr>
          <w:spacing w:val="37"/>
        </w:rPr>
        <w:t xml:space="preserve"> </w:t>
      </w:r>
      <w:r>
        <w:rPr>
          <w:spacing w:val="-1"/>
        </w:rPr>
        <w:t>arising</w:t>
      </w:r>
      <w:r>
        <w:rPr>
          <w:spacing w:val="39"/>
        </w:rPr>
        <w:t xml:space="preserve"> </w:t>
      </w:r>
      <w:r>
        <w:t>from</w:t>
      </w:r>
      <w:r>
        <w:rPr>
          <w:spacing w:val="38"/>
        </w:rPr>
        <w:t xml:space="preserve"> </w:t>
      </w:r>
      <w:r>
        <w:rPr>
          <w:spacing w:val="-2"/>
        </w:rPr>
        <w:t>or</w:t>
      </w:r>
      <w:r>
        <w:rPr>
          <w:spacing w:val="38"/>
        </w:rPr>
        <w:t xml:space="preserve"> </w:t>
      </w:r>
      <w:r>
        <w:rPr>
          <w:spacing w:val="-1"/>
        </w:rPr>
        <w:t>connected</w:t>
      </w:r>
      <w:r>
        <w:rPr>
          <w:spacing w:val="37"/>
        </w:rPr>
        <w:t xml:space="preserve"> </w:t>
      </w:r>
      <w:r>
        <w:rPr>
          <w:spacing w:val="-2"/>
        </w:rPr>
        <w:t>with</w:t>
      </w:r>
      <w:r>
        <w:rPr>
          <w:spacing w:val="36"/>
        </w:rPr>
        <w:t xml:space="preserve"> </w:t>
      </w:r>
      <w:r>
        <w:t>any</w:t>
      </w:r>
      <w:r>
        <w:rPr>
          <w:spacing w:val="49"/>
        </w:rPr>
        <w:t xml:space="preserve"> </w:t>
      </w:r>
      <w:r>
        <w:rPr>
          <w:spacing w:val="-1"/>
        </w:rPr>
        <w:t>failure</w:t>
      </w:r>
      <w:r>
        <w:rPr>
          <w:spacing w:val="36"/>
        </w:rPr>
        <w:t xml:space="preserve"> </w:t>
      </w:r>
      <w:r>
        <w:rPr>
          <w:spacing w:val="-1"/>
        </w:rPr>
        <w:t>by</w:t>
      </w:r>
      <w:r>
        <w:rPr>
          <w:spacing w:val="34"/>
        </w:rPr>
        <w:t xml:space="preserve"> </w:t>
      </w:r>
      <w:r>
        <w:t>the</w:t>
      </w:r>
      <w:r>
        <w:rPr>
          <w:spacing w:val="36"/>
        </w:rPr>
        <w:t xml:space="preserve"> </w:t>
      </w:r>
      <w:r>
        <w:rPr>
          <w:spacing w:val="-2"/>
        </w:rPr>
        <w:t>Supplier</w:t>
      </w:r>
      <w:r>
        <w:rPr>
          <w:spacing w:val="38"/>
        </w:rPr>
        <w:t xml:space="preserve"> </w:t>
      </w:r>
      <w:r>
        <w:rPr>
          <w:spacing w:val="-1"/>
        </w:rPr>
        <w:t>or</w:t>
      </w:r>
      <w:r>
        <w:rPr>
          <w:spacing w:val="38"/>
        </w:rPr>
        <w:t xml:space="preserve"> </w:t>
      </w:r>
      <w:r>
        <w:t>a</w:t>
      </w:r>
      <w:r>
        <w:rPr>
          <w:spacing w:val="36"/>
        </w:rPr>
        <w:t xml:space="preserve"> </w:t>
      </w:r>
      <w:r>
        <w:rPr>
          <w:spacing w:val="-1"/>
        </w:rPr>
        <w:t>Sub-Contractor</w:t>
      </w:r>
      <w:r>
        <w:rPr>
          <w:spacing w:val="36"/>
        </w:rPr>
        <w:t xml:space="preserve"> </w:t>
      </w:r>
      <w:r>
        <w:t>to</w:t>
      </w:r>
      <w:r>
        <w:rPr>
          <w:spacing w:val="34"/>
        </w:rPr>
        <w:t xml:space="preserve"> </w:t>
      </w:r>
      <w:r>
        <w:rPr>
          <w:spacing w:val="-1"/>
        </w:rPr>
        <w:t>comply</w:t>
      </w:r>
      <w:r>
        <w:rPr>
          <w:spacing w:val="34"/>
        </w:rPr>
        <w:t xml:space="preserve"> </w:t>
      </w:r>
      <w:r>
        <w:rPr>
          <w:spacing w:val="-1"/>
        </w:rPr>
        <w:t>with</w:t>
      </w:r>
      <w:r>
        <w:rPr>
          <w:spacing w:val="36"/>
        </w:rPr>
        <w:t xml:space="preserve"> </w:t>
      </w:r>
      <w:r>
        <w:rPr>
          <w:spacing w:val="-1"/>
        </w:rPr>
        <w:t>any</w:t>
      </w:r>
      <w:r>
        <w:rPr>
          <w:spacing w:val="34"/>
        </w:rPr>
        <w:t xml:space="preserve"> </w:t>
      </w:r>
      <w:r>
        <w:rPr>
          <w:spacing w:val="-1"/>
        </w:rPr>
        <w:t>legal</w:t>
      </w:r>
      <w:r>
        <w:rPr>
          <w:spacing w:val="42"/>
        </w:rPr>
        <w:t xml:space="preserve"> </w:t>
      </w:r>
      <w:r>
        <w:rPr>
          <w:spacing w:val="-1"/>
        </w:rPr>
        <w:t>obligation</w:t>
      </w:r>
      <w:r>
        <w:rPr>
          <w:spacing w:val="10"/>
        </w:rPr>
        <w:t xml:space="preserve"> </w:t>
      </w:r>
      <w:r>
        <w:t>to</w:t>
      </w:r>
      <w:r>
        <w:rPr>
          <w:spacing w:val="10"/>
        </w:rPr>
        <w:t xml:space="preserve"> </w:t>
      </w:r>
      <w:r>
        <w:rPr>
          <w:spacing w:val="-1"/>
        </w:rPr>
        <w:t>such</w:t>
      </w:r>
      <w:r>
        <w:rPr>
          <w:spacing w:val="10"/>
        </w:rPr>
        <w:t xml:space="preserve"> </w:t>
      </w:r>
      <w:r>
        <w:rPr>
          <w:spacing w:val="-1"/>
        </w:rPr>
        <w:t>trade</w:t>
      </w:r>
      <w:r>
        <w:rPr>
          <w:spacing w:val="7"/>
        </w:rPr>
        <w:t xml:space="preserve"> </w:t>
      </w:r>
      <w:r>
        <w:rPr>
          <w:spacing w:val="-1"/>
        </w:rPr>
        <w:t>union,</w:t>
      </w:r>
      <w:r>
        <w:rPr>
          <w:spacing w:val="11"/>
        </w:rPr>
        <w:t xml:space="preserve"> </w:t>
      </w:r>
      <w:r>
        <w:rPr>
          <w:spacing w:val="-1"/>
        </w:rPr>
        <w:t>body</w:t>
      </w:r>
      <w:r>
        <w:rPr>
          <w:spacing w:val="8"/>
        </w:rPr>
        <w:t xml:space="preserve"> </w:t>
      </w:r>
      <w:r>
        <w:rPr>
          <w:spacing w:val="-1"/>
        </w:rPr>
        <w:t>or</w:t>
      </w:r>
      <w:r>
        <w:rPr>
          <w:spacing w:val="11"/>
        </w:rPr>
        <w:t xml:space="preserve"> </w:t>
      </w:r>
      <w:r>
        <w:rPr>
          <w:spacing w:val="-1"/>
        </w:rPr>
        <w:t>person</w:t>
      </w:r>
      <w:r>
        <w:rPr>
          <w:spacing w:val="10"/>
        </w:rPr>
        <w:t xml:space="preserve"> </w:t>
      </w:r>
      <w:r>
        <w:rPr>
          <w:spacing w:val="-1"/>
        </w:rPr>
        <w:t>arising</w:t>
      </w:r>
      <w:r>
        <w:rPr>
          <w:spacing w:val="12"/>
        </w:rPr>
        <w:t xml:space="preserve"> </w:t>
      </w:r>
      <w:r>
        <w:rPr>
          <w:spacing w:val="-1"/>
        </w:rPr>
        <w:t>on</w:t>
      </w:r>
      <w:r>
        <w:rPr>
          <w:spacing w:val="10"/>
        </w:rPr>
        <w:t xml:space="preserve"> </w:t>
      </w:r>
      <w:r>
        <w:rPr>
          <w:spacing w:val="-1"/>
        </w:rPr>
        <w:t>or</w:t>
      </w:r>
      <w:r>
        <w:rPr>
          <w:spacing w:val="11"/>
        </w:rPr>
        <w:t xml:space="preserve"> </w:t>
      </w:r>
      <w:r>
        <w:rPr>
          <w:spacing w:val="-1"/>
        </w:rPr>
        <w:t>before</w:t>
      </w:r>
      <w:r>
        <w:rPr>
          <w:spacing w:val="10"/>
        </w:rPr>
        <w:t xml:space="preserve"> </w:t>
      </w:r>
      <w:r>
        <w:t>the</w:t>
      </w:r>
      <w:r>
        <w:rPr>
          <w:spacing w:val="41"/>
        </w:rPr>
        <w:t xml:space="preserve"> </w:t>
      </w:r>
      <w:r>
        <w:rPr>
          <w:spacing w:val="-2"/>
        </w:rPr>
        <w:t>Service</w:t>
      </w:r>
      <w:r>
        <w:rPr>
          <w:spacing w:val="1"/>
        </w:rPr>
        <w:t xml:space="preserve"> </w:t>
      </w:r>
      <w:r>
        <w:rPr>
          <w:spacing w:val="-1"/>
        </w:rPr>
        <w:t>Transfer</w:t>
      </w:r>
      <w:r>
        <w:rPr>
          <w:spacing w:val="2"/>
        </w:rPr>
        <w:t xml:space="preserve"> </w:t>
      </w:r>
      <w:r>
        <w:rPr>
          <w:spacing w:val="-1"/>
        </w:rPr>
        <w:t>Date;</w:t>
      </w:r>
    </w:p>
    <w:p w:rsidR="008918FA" w:rsidRDefault="008918FA" w:rsidP="008918FA">
      <w:pPr>
        <w:pStyle w:val="BodyText"/>
        <w:numPr>
          <w:ilvl w:val="2"/>
          <w:numId w:val="7"/>
        </w:numPr>
        <w:tabs>
          <w:tab w:val="left" w:pos="1887"/>
        </w:tabs>
        <w:spacing w:before="121"/>
        <w:ind w:left="1886" w:right="114"/>
        <w:jc w:val="both"/>
      </w:pPr>
      <w:r>
        <w:rPr>
          <w:spacing w:val="-1"/>
        </w:rPr>
        <w:t>any</w:t>
      </w:r>
      <w:r>
        <w:rPr>
          <w:spacing w:val="1"/>
        </w:rPr>
        <w:t xml:space="preserve"> </w:t>
      </w:r>
      <w:r>
        <w:rPr>
          <w:spacing w:val="-1"/>
        </w:rPr>
        <w:t>proceeding,</w:t>
      </w:r>
      <w:r>
        <w:rPr>
          <w:spacing w:val="4"/>
        </w:rPr>
        <w:t xml:space="preserve"> </w:t>
      </w:r>
      <w:r>
        <w:rPr>
          <w:spacing w:val="-1"/>
        </w:rPr>
        <w:t>claim</w:t>
      </w:r>
      <w:r>
        <w:rPr>
          <w:spacing w:val="4"/>
        </w:rPr>
        <w:t xml:space="preserve"> </w:t>
      </w:r>
      <w:r>
        <w:rPr>
          <w:spacing w:val="-2"/>
        </w:rPr>
        <w:t>or</w:t>
      </w:r>
      <w:r>
        <w:rPr>
          <w:spacing w:val="2"/>
        </w:rPr>
        <w:t xml:space="preserve"> </w:t>
      </w:r>
      <w:r>
        <w:rPr>
          <w:spacing w:val="-1"/>
        </w:rPr>
        <w:t>demand</w:t>
      </w:r>
      <w:r>
        <w:t xml:space="preserve"> </w:t>
      </w:r>
      <w:r>
        <w:rPr>
          <w:spacing w:val="-1"/>
        </w:rPr>
        <w:t>by</w:t>
      </w:r>
      <w:r>
        <w:rPr>
          <w:spacing w:val="1"/>
        </w:rPr>
        <w:t xml:space="preserve"> </w:t>
      </w:r>
      <w:r>
        <w:rPr>
          <w:spacing w:val="-2"/>
        </w:rPr>
        <w:t>HMRC</w:t>
      </w:r>
      <w:r>
        <w:rPr>
          <w:spacing w:val="2"/>
        </w:rPr>
        <w:t xml:space="preserve"> </w:t>
      </w:r>
      <w:r>
        <w:rPr>
          <w:spacing w:val="-1"/>
        </w:rPr>
        <w:t>or</w:t>
      </w:r>
      <w:r>
        <w:rPr>
          <w:spacing w:val="4"/>
        </w:rPr>
        <w:t xml:space="preserve"> </w:t>
      </w:r>
      <w:r>
        <w:rPr>
          <w:spacing w:val="-1"/>
        </w:rPr>
        <w:t>other</w:t>
      </w:r>
      <w:r>
        <w:rPr>
          <w:spacing w:val="4"/>
        </w:rPr>
        <w:t xml:space="preserve"> </w:t>
      </w:r>
      <w:r>
        <w:rPr>
          <w:spacing w:val="-1"/>
        </w:rPr>
        <w:t>statutory</w:t>
      </w:r>
      <w:r>
        <w:rPr>
          <w:spacing w:val="1"/>
        </w:rPr>
        <w:t xml:space="preserve"> </w:t>
      </w:r>
      <w:r>
        <w:rPr>
          <w:spacing w:val="-1"/>
        </w:rPr>
        <w:t>authority</w:t>
      </w:r>
      <w:r>
        <w:rPr>
          <w:spacing w:val="35"/>
        </w:rPr>
        <w:t xml:space="preserve"> </w:t>
      </w:r>
      <w:r>
        <w:rPr>
          <w:spacing w:val="-1"/>
        </w:rPr>
        <w:t>in</w:t>
      </w:r>
      <w:r>
        <w:rPr>
          <w:spacing w:val="5"/>
        </w:rPr>
        <w:t xml:space="preserve"> </w:t>
      </w:r>
      <w:r>
        <w:rPr>
          <w:spacing w:val="-1"/>
        </w:rPr>
        <w:t>respect</w:t>
      </w:r>
      <w:r>
        <w:rPr>
          <w:spacing w:val="7"/>
        </w:rPr>
        <w:t xml:space="preserve"> </w:t>
      </w:r>
      <w:r>
        <w:rPr>
          <w:spacing w:val="-2"/>
        </w:rPr>
        <w:t>of</w:t>
      </w:r>
      <w:r>
        <w:rPr>
          <w:spacing w:val="7"/>
        </w:rPr>
        <w:t xml:space="preserve"> </w:t>
      </w:r>
      <w:r>
        <w:rPr>
          <w:spacing w:val="-1"/>
        </w:rPr>
        <w:t>any</w:t>
      </w:r>
      <w:r>
        <w:rPr>
          <w:spacing w:val="1"/>
        </w:rPr>
        <w:t xml:space="preserve"> </w:t>
      </w:r>
      <w:r>
        <w:rPr>
          <w:spacing w:val="-1"/>
        </w:rPr>
        <w:t>financial</w:t>
      </w:r>
      <w:r>
        <w:rPr>
          <w:spacing w:val="4"/>
        </w:rPr>
        <w:t xml:space="preserve"> </w:t>
      </w:r>
      <w:r>
        <w:rPr>
          <w:spacing w:val="-1"/>
        </w:rPr>
        <w:t>obligation</w:t>
      </w:r>
      <w:r>
        <w:rPr>
          <w:spacing w:val="5"/>
        </w:rPr>
        <w:t xml:space="preserve"> </w:t>
      </w:r>
      <w:r>
        <w:rPr>
          <w:spacing w:val="-1"/>
        </w:rPr>
        <w:t>including,</w:t>
      </w:r>
      <w:r>
        <w:rPr>
          <w:spacing w:val="7"/>
        </w:rPr>
        <w:t xml:space="preserve"> </w:t>
      </w:r>
      <w:r>
        <w:rPr>
          <w:spacing w:val="-2"/>
        </w:rPr>
        <w:t>but</w:t>
      </w:r>
      <w:r>
        <w:rPr>
          <w:spacing w:val="7"/>
        </w:rPr>
        <w:t xml:space="preserve"> </w:t>
      </w:r>
      <w:r>
        <w:rPr>
          <w:spacing w:val="-1"/>
        </w:rPr>
        <w:t>not</w:t>
      </w:r>
      <w:r>
        <w:rPr>
          <w:spacing w:val="7"/>
        </w:rPr>
        <w:t xml:space="preserve"> </w:t>
      </w:r>
      <w:r>
        <w:rPr>
          <w:spacing w:val="-2"/>
        </w:rPr>
        <w:t>limited</w:t>
      </w:r>
      <w:r>
        <w:rPr>
          <w:spacing w:val="5"/>
        </w:rPr>
        <w:t xml:space="preserve"> </w:t>
      </w:r>
      <w:r>
        <w:rPr>
          <w:spacing w:val="-1"/>
        </w:rPr>
        <w:t>to,</w:t>
      </w:r>
      <w:r>
        <w:rPr>
          <w:spacing w:val="7"/>
        </w:rPr>
        <w:t xml:space="preserve"> </w:t>
      </w:r>
      <w:r>
        <w:rPr>
          <w:spacing w:val="-1"/>
        </w:rPr>
        <w:t>PAYE</w:t>
      </w:r>
      <w:r>
        <w:rPr>
          <w:spacing w:val="51"/>
        </w:rPr>
        <w:t xml:space="preserve"> </w:t>
      </w:r>
      <w:r>
        <w:rPr>
          <w:spacing w:val="-1"/>
        </w:rPr>
        <w:t>and</w:t>
      </w:r>
      <w:r>
        <w:t xml:space="preserve"> </w:t>
      </w:r>
      <w:r>
        <w:rPr>
          <w:spacing w:val="-1"/>
        </w:rPr>
        <w:t>primary</w:t>
      </w:r>
      <w:r>
        <w:rPr>
          <w:spacing w:val="-2"/>
        </w:rPr>
        <w:t xml:space="preserve"> </w:t>
      </w:r>
      <w:r>
        <w:rPr>
          <w:spacing w:val="-1"/>
        </w:rPr>
        <w:t>and</w:t>
      </w:r>
      <w:r>
        <w:t xml:space="preserve"> </w:t>
      </w:r>
      <w:r>
        <w:rPr>
          <w:spacing w:val="-1"/>
        </w:rPr>
        <w:t>secondary</w:t>
      </w:r>
      <w:r>
        <w:rPr>
          <w:spacing w:val="-2"/>
        </w:rPr>
        <w:t xml:space="preserve"> </w:t>
      </w:r>
      <w:r>
        <w:rPr>
          <w:spacing w:val="-1"/>
        </w:rPr>
        <w:t>national</w:t>
      </w:r>
      <w:r>
        <w:t xml:space="preserve"> </w:t>
      </w:r>
      <w:r>
        <w:rPr>
          <w:spacing w:val="-1"/>
        </w:rPr>
        <w:t>insurance</w:t>
      </w:r>
      <w:r>
        <w:rPr>
          <w:spacing w:val="-2"/>
        </w:rPr>
        <w:t xml:space="preserve"> </w:t>
      </w:r>
      <w:r>
        <w:rPr>
          <w:spacing w:val="-1"/>
        </w:rPr>
        <w:t>contributions:</w:t>
      </w:r>
    </w:p>
    <w:p w:rsidR="008918FA" w:rsidRDefault="008918FA" w:rsidP="008918FA">
      <w:pPr>
        <w:pStyle w:val="BodyText"/>
        <w:numPr>
          <w:ilvl w:val="3"/>
          <w:numId w:val="7"/>
        </w:numPr>
        <w:tabs>
          <w:tab w:val="left" w:pos="2595"/>
        </w:tabs>
        <w:ind w:left="2594" w:right="114"/>
        <w:jc w:val="both"/>
      </w:pPr>
      <w:r>
        <w:rPr>
          <w:spacing w:val="-1"/>
        </w:rPr>
        <w:t>in</w:t>
      </w:r>
      <w:r>
        <w:rPr>
          <w:spacing w:val="12"/>
        </w:rPr>
        <w:t xml:space="preserve"> </w:t>
      </w:r>
      <w:r>
        <w:rPr>
          <w:spacing w:val="-1"/>
        </w:rPr>
        <w:t>relation</w:t>
      </w:r>
      <w:r>
        <w:rPr>
          <w:spacing w:val="12"/>
        </w:rPr>
        <w:t xml:space="preserve"> </w:t>
      </w:r>
      <w:r>
        <w:t>to</w:t>
      </w:r>
      <w:r>
        <w:rPr>
          <w:spacing w:val="12"/>
        </w:rPr>
        <w:t xml:space="preserve"> </w:t>
      </w:r>
      <w:r>
        <w:rPr>
          <w:spacing w:val="-1"/>
        </w:rPr>
        <w:t>any</w:t>
      </w:r>
      <w:r>
        <w:rPr>
          <w:spacing w:val="8"/>
        </w:rPr>
        <w:t xml:space="preserve"> </w:t>
      </w:r>
      <w:r>
        <w:rPr>
          <w:spacing w:val="-1"/>
        </w:rPr>
        <w:t>Transferring</w:t>
      </w:r>
      <w:r>
        <w:rPr>
          <w:spacing w:val="15"/>
        </w:rPr>
        <w:t xml:space="preserve"> </w:t>
      </w:r>
      <w:r>
        <w:rPr>
          <w:spacing w:val="-2"/>
        </w:rPr>
        <w:t>Supplier</w:t>
      </w:r>
      <w:r>
        <w:rPr>
          <w:spacing w:val="14"/>
        </w:rPr>
        <w:t xml:space="preserve"> </w:t>
      </w:r>
      <w:r>
        <w:rPr>
          <w:spacing w:val="-2"/>
        </w:rPr>
        <w:t>Employee,</w:t>
      </w:r>
      <w:r>
        <w:rPr>
          <w:spacing w:val="14"/>
        </w:rPr>
        <w:t xml:space="preserve"> </w:t>
      </w:r>
      <w:r>
        <w:t>to</w:t>
      </w:r>
      <w:r>
        <w:rPr>
          <w:spacing w:val="10"/>
        </w:rPr>
        <w:t xml:space="preserve"> </w:t>
      </w:r>
      <w:r>
        <w:t>the</w:t>
      </w:r>
      <w:r>
        <w:rPr>
          <w:spacing w:val="10"/>
        </w:rPr>
        <w:t xml:space="preserve"> </w:t>
      </w:r>
      <w:r>
        <w:rPr>
          <w:spacing w:val="-1"/>
        </w:rPr>
        <w:t>extent</w:t>
      </w:r>
      <w:r>
        <w:rPr>
          <w:spacing w:val="44"/>
        </w:rPr>
        <w:t xml:space="preserve"> </w:t>
      </w:r>
      <w:r>
        <w:rPr>
          <w:spacing w:val="-1"/>
        </w:rPr>
        <w:t>that</w:t>
      </w:r>
      <w:r>
        <w:rPr>
          <w:spacing w:val="22"/>
        </w:rPr>
        <w:t xml:space="preserve"> </w:t>
      </w:r>
      <w:r>
        <w:t>the</w:t>
      </w:r>
      <w:r>
        <w:rPr>
          <w:spacing w:val="21"/>
        </w:rPr>
        <w:t xml:space="preserve"> </w:t>
      </w:r>
      <w:r>
        <w:rPr>
          <w:spacing w:val="-1"/>
        </w:rPr>
        <w:t>proceeding,</w:t>
      </w:r>
      <w:r>
        <w:rPr>
          <w:spacing w:val="22"/>
        </w:rPr>
        <w:t xml:space="preserve"> </w:t>
      </w:r>
      <w:r>
        <w:rPr>
          <w:spacing w:val="-2"/>
        </w:rPr>
        <w:t>claim</w:t>
      </w:r>
      <w:r>
        <w:rPr>
          <w:spacing w:val="22"/>
        </w:rPr>
        <w:t xml:space="preserve"> </w:t>
      </w:r>
      <w:r>
        <w:rPr>
          <w:spacing w:val="-1"/>
        </w:rPr>
        <w:t>or</w:t>
      </w:r>
      <w:r>
        <w:rPr>
          <w:spacing w:val="22"/>
        </w:rPr>
        <w:t xml:space="preserve"> </w:t>
      </w:r>
      <w:r>
        <w:rPr>
          <w:spacing w:val="-1"/>
        </w:rPr>
        <w:t>demand</w:t>
      </w:r>
      <w:r>
        <w:rPr>
          <w:spacing w:val="21"/>
        </w:rPr>
        <w:t xml:space="preserve"> </w:t>
      </w:r>
      <w:r>
        <w:rPr>
          <w:spacing w:val="-1"/>
        </w:rPr>
        <w:t>by</w:t>
      </w:r>
      <w:r>
        <w:rPr>
          <w:spacing w:val="19"/>
        </w:rPr>
        <w:t xml:space="preserve"> </w:t>
      </w:r>
      <w:r>
        <w:rPr>
          <w:spacing w:val="-2"/>
        </w:rPr>
        <w:t>HMRC</w:t>
      </w:r>
      <w:r>
        <w:rPr>
          <w:spacing w:val="20"/>
        </w:rPr>
        <w:t xml:space="preserve"> </w:t>
      </w:r>
      <w:r>
        <w:rPr>
          <w:spacing w:val="-1"/>
        </w:rPr>
        <w:t>or</w:t>
      </w:r>
      <w:r>
        <w:rPr>
          <w:spacing w:val="22"/>
        </w:rPr>
        <w:t xml:space="preserve"> </w:t>
      </w:r>
      <w:r>
        <w:rPr>
          <w:spacing w:val="-1"/>
        </w:rPr>
        <w:t>other</w:t>
      </w:r>
      <w:r>
        <w:rPr>
          <w:spacing w:val="30"/>
        </w:rPr>
        <w:t xml:space="preserve"> </w:t>
      </w:r>
      <w:r>
        <w:rPr>
          <w:spacing w:val="-1"/>
        </w:rPr>
        <w:t>statutory</w:t>
      </w:r>
      <w:r>
        <w:rPr>
          <w:spacing w:val="5"/>
        </w:rPr>
        <w:t xml:space="preserve"> </w:t>
      </w:r>
      <w:r>
        <w:rPr>
          <w:spacing w:val="-1"/>
        </w:rPr>
        <w:t>authority</w:t>
      </w:r>
      <w:r>
        <w:rPr>
          <w:spacing w:val="5"/>
        </w:rPr>
        <w:t xml:space="preserve"> </w:t>
      </w:r>
      <w:r>
        <w:rPr>
          <w:spacing w:val="-1"/>
        </w:rPr>
        <w:t>relates</w:t>
      </w:r>
      <w:r>
        <w:rPr>
          <w:spacing w:val="8"/>
        </w:rPr>
        <w:t xml:space="preserve"> </w:t>
      </w:r>
      <w:r>
        <w:t>to</w:t>
      </w:r>
      <w:r>
        <w:rPr>
          <w:spacing w:val="7"/>
        </w:rPr>
        <w:t xml:space="preserve"> </w:t>
      </w:r>
      <w:r>
        <w:rPr>
          <w:spacing w:val="-1"/>
        </w:rPr>
        <w:t>financial</w:t>
      </w:r>
      <w:r>
        <w:rPr>
          <w:spacing w:val="7"/>
        </w:rPr>
        <w:t xml:space="preserve"> </w:t>
      </w:r>
      <w:r>
        <w:rPr>
          <w:spacing w:val="-1"/>
        </w:rPr>
        <w:t>obligations</w:t>
      </w:r>
      <w:r>
        <w:rPr>
          <w:spacing w:val="8"/>
        </w:rPr>
        <w:t xml:space="preserve"> </w:t>
      </w:r>
      <w:r>
        <w:rPr>
          <w:spacing w:val="-1"/>
        </w:rPr>
        <w:t>arising</w:t>
      </w:r>
      <w:r>
        <w:rPr>
          <w:spacing w:val="10"/>
        </w:rPr>
        <w:t xml:space="preserve"> </w:t>
      </w:r>
      <w:r>
        <w:rPr>
          <w:spacing w:val="-1"/>
        </w:rPr>
        <w:t>on</w:t>
      </w:r>
      <w:r>
        <w:rPr>
          <w:spacing w:val="7"/>
        </w:rPr>
        <w:t xml:space="preserve"> </w:t>
      </w:r>
      <w:r>
        <w:rPr>
          <w:spacing w:val="-1"/>
        </w:rPr>
        <w:t>and</w:t>
      </w:r>
      <w:r>
        <w:rPr>
          <w:spacing w:val="44"/>
        </w:rPr>
        <w:t xml:space="preserve"> </w:t>
      </w:r>
      <w:r>
        <w:rPr>
          <w:spacing w:val="-1"/>
        </w:rPr>
        <w:t>before</w:t>
      </w:r>
      <w:r>
        <w:rPr>
          <w:spacing w:val="-2"/>
        </w:rPr>
        <w:t xml:space="preserve"> </w:t>
      </w:r>
      <w:r>
        <w:t>the</w:t>
      </w:r>
      <w:r>
        <w:rPr>
          <w:spacing w:val="-2"/>
        </w:rPr>
        <w:t xml:space="preserve"> Service </w:t>
      </w:r>
      <w:r>
        <w:rPr>
          <w:spacing w:val="-1"/>
        </w:rPr>
        <w:t>Transfer Date;</w:t>
      </w:r>
      <w:r>
        <w:t xml:space="preserve"> </w:t>
      </w:r>
      <w:r>
        <w:rPr>
          <w:spacing w:val="-1"/>
        </w:rPr>
        <w:t>and</w:t>
      </w:r>
    </w:p>
    <w:p w:rsidR="008918FA" w:rsidRDefault="008918FA" w:rsidP="008918FA">
      <w:pPr>
        <w:pStyle w:val="BodyText"/>
        <w:numPr>
          <w:ilvl w:val="3"/>
          <w:numId w:val="7"/>
        </w:numPr>
        <w:tabs>
          <w:tab w:val="left" w:pos="2595"/>
        </w:tabs>
        <w:spacing w:before="121"/>
        <w:ind w:left="2594" w:right="114"/>
        <w:jc w:val="both"/>
      </w:pPr>
      <w:r>
        <w:rPr>
          <w:spacing w:val="-1"/>
        </w:rPr>
        <w:t>in</w:t>
      </w:r>
      <w:r>
        <w:rPr>
          <w:spacing w:val="22"/>
        </w:rPr>
        <w:t xml:space="preserve"> </w:t>
      </w:r>
      <w:r>
        <w:rPr>
          <w:spacing w:val="-1"/>
        </w:rPr>
        <w:t>relation</w:t>
      </w:r>
      <w:r>
        <w:rPr>
          <w:spacing w:val="22"/>
        </w:rPr>
        <w:t xml:space="preserve"> </w:t>
      </w:r>
      <w:r>
        <w:t>to</w:t>
      </w:r>
      <w:r>
        <w:rPr>
          <w:spacing w:val="22"/>
        </w:rPr>
        <w:t xml:space="preserve"> </w:t>
      </w:r>
      <w:r>
        <w:rPr>
          <w:spacing w:val="-1"/>
        </w:rPr>
        <w:t>any</w:t>
      </w:r>
      <w:r>
        <w:rPr>
          <w:spacing w:val="20"/>
        </w:rPr>
        <w:t xml:space="preserve"> </w:t>
      </w:r>
      <w:r>
        <w:rPr>
          <w:spacing w:val="-1"/>
        </w:rPr>
        <w:t>employee</w:t>
      </w:r>
      <w:r>
        <w:rPr>
          <w:spacing w:val="24"/>
        </w:rPr>
        <w:t xml:space="preserve"> </w:t>
      </w:r>
      <w:r>
        <w:rPr>
          <w:spacing w:val="-2"/>
        </w:rPr>
        <w:t>who</w:t>
      </w:r>
      <w:r>
        <w:rPr>
          <w:spacing w:val="24"/>
        </w:rPr>
        <w:t xml:space="preserve"> </w:t>
      </w:r>
      <w:r>
        <w:rPr>
          <w:spacing w:val="-1"/>
        </w:rPr>
        <w:t>is</w:t>
      </w:r>
      <w:r>
        <w:rPr>
          <w:spacing w:val="22"/>
        </w:rPr>
        <w:t xml:space="preserve"> </w:t>
      </w:r>
      <w:r>
        <w:rPr>
          <w:spacing w:val="-1"/>
        </w:rPr>
        <w:t>not</w:t>
      </w:r>
      <w:r>
        <w:rPr>
          <w:spacing w:val="23"/>
        </w:rPr>
        <w:t xml:space="preserve"> </w:t>
      </w:r>
      <w:r>
        <w:t>a</w:t>
      </w:r>
      <w:r>
        <w:rPr>
          <w:spacing w:val="22"/>
        </w:rPr>
        <w:t xml:space="preserve"> </w:t>
      </w:r>
      <w:r>
        <w:rPr>
          <w:spacing w:val="-1"/>
        </w:rPr>
        <w:t>Transferring</w:t>
      </w:r>
      <w:r>
        <w:rPr>
          <w:spacing w:val="24"/>
        </w:rPr>
        <w:t xml:space="preserve"> </w:t>
      </w:r>
      <w:r>
        <w:rPr>
          <w:spacing w:val="-2"/>
        </w:rPr>
        <w:t>Supplier</w:t>
      </w:r>
      <w:r>
        <w:rPr>
          <w:spacing w:val="40"/>
        </w:rPr>
        <w:t xml:space="preserve"> </w:t>
      </w:r>
      <w:r>
        <w:rPr>
          <w:spacing w:val="-2"/>
        </w:rPr>
        <w:t>Employee,</w:t>
      </w:r>
      <w:r>
        <w:rPr>
          <w:spacing w:val="32"/>
        </w:rPr>
        <w:t xml:space="preserve"> </w:t>
      </w:r>
      <w:r>
        <w:rPr>
          <w:spacing w:val="-1"/>
        </w:rPr>
        <w:t>and</w:t>
      </w:r>
      <w:r>
        <w:rPr>
          <w:spacing w:val="30"/>
        </w:rPr>
        <w:t xml:space="preserve"> </w:t>
      </w:r>
      <w:r>
        <w:rPr>
          <w:spacing w:val="-1"/>
        </w:rPr>
        <w:t>in</w:t>
      </w:r>
      <w:r>
        <w:rPr>
          <w:spacing w:val="30"/>
        </w:rPr>
        <w:t xml:space="preserve"> </w:t>
      </w:r>
      <w:r>
        <w:rPr>
          <w:spacing w:val="-1"/>
        </w:rPr>
        <w:t>respect</w:t>
      </w:r>
      <w:r>
        <w:rPr>
          <w:spacing w:val="32"/>
        </w:rPr>
        <w:t xml:space="preserve"> </w:t>
      </w:r>
      <w:r>
        <w:rPr>
          <w:spacing w:val="-2"/>
        </w:rPr>
        <w:t>of</w:t>
      </w:r>
      <w:r>
        <w:rPr>
          <w:spacing w:val="34"/>
        </w:rPr>
        <w:t xml:space="preserve"> </w:t>
      </w:r>
      <w:r>
        <w:rPr>
          <w:spacing w:val="-2"/>
        </w:rPr>
        <w:t>whom</w:t>
      </w:r>
      <w:r>
        <w:rPr>
          <w:spacing w:val="32"/>
        </w:rPr>
        <w:t xml:space="preserve"> </w:t>
      </w:r>
      <w:r>
        <w:rPr>
          <w:spacing w:val="-1"/>
        </w:rPr>
        <w:t>it</w:t>
      </w:r>
      <w:r>
        <w:rPr>
          <w:spacing w:val="33"/>
        </w:rPr>
        <w:t xml:space="preserve"> </w:t>
      </w:r>
      <w:r>
        <w:rPr>
          <w:spacing w:val="-1"/>
        </w:rPr>
        <w:t>is</w:t>
      </w:r>
      <w:r>
        <w:rPr>
          <w:spacing w:val="31"/>
        </w:rPr>
        <w:t xml:space="preserve"> </w:t>
      </w:r>
      <w:r>
        <w:t>later</w:t>
      </w:r>
      <w:r>
        <w:rPr>
          <w:spacing w:val="32"/>
        </w:rPr>
        <w:t xml:space="preserve"> </w:t>
      </w:r>
      <w:r>
        <w:rPr>
          <w:spacing w:val="-1"/>
        </w:rPr>
        <w:t>alleged</w:t>
      </w:r>
      <w:r>
        <w:rPr>
          <w:spacing w:val="30"/>
        </w:rPr>
        <w:t xml:space="preserve"> </w:t>
      </w:r>
      <w:r>
        <w:rPr>
          <w:spacing w:val="-1"/>
        </w:rPr>
        <w:t>or</w:t>
      </w:r>
      <w:r>
        <w:rPr>
          <w:spacing w:val="38"/>
        </w:rPr>
        <w:t xml:space="preserve"> </w:t>
      </w:r>
      <w:r>
        <w:rPr>
          <w:spacing w:val="-1"/>
        </w:rPr>
        <w:t>determined</w:t>
      </w:r>
      <w:r>
        <w:rPr>
          <w:spacing w:val="24"/>
        </w:rPr>
        <w:t xml:space="preserve"> </w:t>
      </w:r>
      <w:r>
        <w:rPr>
          <w:spacing w:val="-1"/>
        </w:rPr>
        <w:t>that</w:t>
      </w:r>
      <w:r>
        <w:rPr>
          <w:spacing w:val="26"/>
        </w:rPr>
        <w:t xml:space="preserve"> </w:t>
      </w:r>
      <w:r>
        <w:t>the</w:t>
      </w:r>
      <w:r>
        <w:rPr>
          <w:spacing w:val="24"/>
        </w:rPr>
        <w:t xml:space="preserve"> </w:t>
      </w:r>
      <w:r>
        <w:rPr>
          <w:spacing w:val="-2"/>
        </w:rPr>
        <w:t>Employment</w:t>
      </w:r>
      <w:r>
        <w:rPr>
          <w:spacing w:val="26"/>
        </w:rPr>
        <w:t xml:space="preserve"> </w:t>
      </w:r>
      <w:r>
        <w:rPr>
          <w:spacing w:val="-1"/>
        </w:rPr>
        <w:t>Regulations</w:t>
      </w:r>
      <w:r>
        <w:rPr>
          <w:spacing w:val="25"/>
        </w:rPr>
        <w:t xml:space="preserve"> </w:t>
      </w:r>
      <w:r>
        <w:rPr>
          <w:spacing w:val="-2"/>
        </w:rPr>
        <w:t>applied</w:t>
      </w:r>
      <w:r>
        <w:rPr>
          <w:spacing w:val="24"/>
        </w:rPr>
        <w:t xml:space="preserve"> </w:t>
      </w:r>
      <w:r>
        <w:rPr>
          <w:spacing w:val="-1"/>
        </w:rPr>
        <w:t>so</w:t>
      </w:r>
      <w:r>
        <w:rPr>
          <w:spacing w:val="25"/>
        </w:rPr>
        <w:t xml:space="preserve"> </w:t>
      </w:r>
      <w:r>
        <w:rPr>
          <w:spacing w:val="-1"/>
        </w:rPr>
        <w:t>as</w:t>
      </w:r>
      <w:r>
        <w:rPr>
          <w:spacing w:val="27"/>
        </w:rPr>
        <w:t xml:space="preserve"> </w:t>
      </w:r>
      <w:r>
        <w:t>to</w:t>
      </w:r>
      <w:r>
        <w:rPr>
          <w:spacing w:val="51"/>
        </w:rPr>
        <w:t xml:space="preserve"> </w:t>
      </w:r>
      <w:r>
        <w:rPr>
          <w:spacing w:val="-1"/>
        </w:rPr>
        <w:t>transfer</w:t>
      </w:r>
      <w:r>
        <w:rPr>
          <w:spacing w:val="16"/>
        </w:rPr>
        <w:t xml:space="preserve"> </w:t>
      </w:r>
      <w:r>
        <w:rPr>
          <w:spacing w:val="-1"/>
        </w:rPr>
        <w:t>his/her</w:t>
      </w:r>
      <w:r>
        <w:rPr>
          <w:spacing w:val="16"/>
        </w:rPr>
        <w:t xml:space="preserve"> </w:t>
      </w:r>
      <w:r>
        <w:rPr>
          <w:spacing w:val="-2"/>
        </w:rPr>
        <w:t>employment</w:t>
      </w:r>
      <w:r>
        <w:rPr>
          <w:spacing w:val="14"/>
        </w:rPr>
        <w:t xml:space="preserve"> </w:t>
      </w:r>
      <w:r>
        <w:t>from</w:t>
      </w:r>
      <w:r>
        <w:rPr>
          <w:spacing w:val="14"/>
        </w:rPr>
        <w:t xml:space="preserve"> </w:t>
      </w:r>
      <w:r>
        <w:t>the</w:t>
      </w:r>
      <w:r>
        <w:rPr>
          <w:spacing w:val="15"/>
        </w:rPr>
        <w:t xml:space="preserve"> </w:t>
      </w:r>
      <w:r>
        <w:rPr>
          <w:spacing w:val="-2"/>
        </w:rPr>
        <w:t>Supplier</w:t>
      </w:r>
      <w:r>
        <w:rPr>
          <w:spacing w:val="16"/>
        </w:rPr>
        <w:t xml:space="preserve"> </w:t>
      </w:r>
      <w:r>
        <w:t>to</w:t>
      </w:r>
      <w:r>
        <w:rPr>
          <w:spacing w:val="12"/>
        </w:rPr>
        <w:t xml:space="preserve"> </w:t>
      </w:r>
      <w:r>
        <w:t>the</w:t>
      </w:r>
      <w:r>
        <w:rPr>
          <w:spacing w:val="15"/>
        </w:rPr>
        <w:t xml:space="preserve"> </w:t>
      </w:r>
      <w:r>
        <w:rPr>
          <w:spacing w:val="-1"/>
        </w:rPr>
        <w:t>Customer</w:t>
      </w:r>
      <w:r>
        <w:rPr>
          <w:spacing w:val="40"/>
        </w:rPr>
        <w:t xml:space="preserve"> </w:t>
      </w:r>
      <w:r>
        <w:rPr>
          <w:spacing w:val="-1"/>
        </w:rPr>
        <w:t>and/or</w:t>
      </w:r>
      <w:r>
        <w:rPr>
          <w:spacing w:val="3"/>
        </w:rPr>
        <w:t xml:space="preserve"> </w:t>
      </w:r>
      <w:r>
        <w:rPr>
          <w:spacing w:val="-2"/>
        </w:rPr>
        <w:t>Replacement</w:t>
      </w:r>
      <w:r>
        <w:rPr>
          <w:spacing w:val="3"/>
        </w:rPr>
        <w:t xml:space="preserve"> </w:t>
      </w:r>
      <w:r>
        <w:rPr>
          <w:spacing w:val="-2"/>
        </w:rPr>
        <w:t>Supplier</w:t>
      </w:r>
      <w:r>
        <w:rPr>
          <w:spacing w:val="3"/>
        </w:rPr>
        <w:t xml:space="preserve"> </w:t>
      </w:r>
      <w:r>
        <w:rPr>
          <w:spacing w:val="-1"/>
        </w:rPr>
        <w:t>and/or</w:t>
      </w:r>
      <w:r>
        <w:rPr>
          <w:spacing w:val="3"/>
        </w:rPr>
        <w:t xml:space="preserve"> </w:t>
      </w:r>
      <w:r>
        <w:rPr>
          <w:spacing w:val="-1"/>
        </w:rPr>
        <w:t>any</w:t>
      </w:r>
      <w:r>
        <w:rPr>
          <w:spacing w:val="61"/>
        </w:rPr>
        <w:t xml:space="preserve"> </w:t>
      </w:r>
      <w:r>
        <w:rPr>
          <w:spacing w:val="-1"/>
        </w:rPr>
        <w:t>Replacement</w:t>
      </w:r>
      <w:r>
        <w:rPr>
          <w:spacing w:val="3"/>
        </w:rPr>
        <w:t xml:space="preserve"> </w:t>
      </w:r>
      <w:r>
        <w:rPr>
          <w:spacing w:val="-1"/>
        </w:rPr>
        <w:t>Sub-</w:t>
      </w:r>
      <w:r>
        <w:rPr>
          <w:spacing w:val="49"/>
        </w:rPr>
        <w:t xml:space="preserve"> </w:t>
      </w:r>
      <w:r>
        <w:rPr>
          <w:spacing w:val="-1"/>
        </w:rPr>
        <w:t>Contractor,</w:t>
      </w:r>
      <w:r>
        <w:rPr>
          <w:spacing w:val="19"/>
        </w:rPr>
        <w:t xml:space="preserve"> </w:t>
      </w:r>
      <w:r>
        <w:t>to</w:t>
      </w:r>
      <w:r>
        <w:rPr>
          <w:spacing w:val="15"/>
        </w:rPr>
        <w:t xml:space="preserve"> </w:t>
      </w:r>
      <w:r>
        <w:t>the</w:t>
      </w:r>
      <w:r>
        <w:rPr>
          <w:spacing w:val="17"/>
        </w:rPr>
        <w:t xml:space="preserve"> </w:t>
      </w:r>
      <w:r>
        <w:rPr>
          <w:spacing w:val="-1"/>
        </w:rPr>
        <w:t>extent</w:t>
      </w:r>
      <w:r>
        <w:rPr>
          <w:spacing w:val="16"/>
        </w:rPr>
        <w:t xml:space="preserve"> </w:t>
      </w:r>
      <w:r>
        <w:rPr>
          <w:spacing w:val="-1"/>
        </w:rPr>
        <w:t>that</w:t>
      </w:r>
      <w:r>
        <w:rPr>
          <w:spacing w:val="16"/>
        </w:rPr>
        <w:t xml:space="preserve"> </w:t>
      </w:r>
      <w:r>
        <w:t>the</w:t>
      </w:r>
      <w:r>
        <w:rPr>
          <w:spacing w:val="17"/>
        </w:rPr>
        <w:t xml:space="preserve"> </w:t>
      </w:r>
      <w:r>
        <w:rPr>
          <w:spacing w:val="-1"/>
        </w:rPr>
        <w:t>proceeding,</w:t>
      </w:r>
      <w:r>
        <w:rPr>
          <w:spacing w:val="19"/>
        </w:rPr>
        <w:t xml:space="preserve"> </w:t>
      </w:r>
      <w:r>
        <w:rPr>
          <w:spacing w:val="-2"/>
        </w:rPr>
        <w:t>claim</w:t>
      </w:r>
      <w:r>
        <w:rPr>
          <w:spacing w:val="19"/>
        </w:rPr>
        <w:t xml:space="preserve"> </w:t>
      </w:r>
      <w:r>
        <w:rPr>
          <w:spacing w:val="-1"/>
        </w:rPr>
        <w:t>or</w:t>
      </w:r>
      <w:r>
        <w:rPr>
          <w:spacing w:val="19"/>
        </w:rPr>
        <w:t xml:space="preserve"> </w:t>
      </w:r>
      <w:r>
        <w:rPr>
          <w:spacing w:val="-2"/>
        </w:rPr>
        <w:t>demand</w:t>
      </w:r>
      <w:r>
        <w:rPr>
          <w:spacing w:val="32"/>
        </w:rPr>
        <w:t xml:space="preserve"> </w:t>
      </w:r>
      <w:r>
        <w:rPr>
          <w:spacing w:val="-1"/>
        </w:rPr>
        <w:t>by</w:t>
      </w:r>
      <w:r>
        <w:rPr>
          <w:spacing w:val="35"/>
        </w:rPr>
        <w:t xml:space="preserve"> </w:t>
      </w:r>
      <w:r>
        <w:rPr>
          <w:spacing w:val="-1"/>
        </w:rPr>
        <w:t>HMRC</w:t>
      </w:r>
      <w:r>
        <w:rPr>
          <w:spacing w:val="37"/>
        </w:rPr>
        <w:t xml:space="preserve"> </w:t>
      </w:r>
      <w:r>
        <w:rPr>
          <w:spacing w:val="-1"/>
        </w:rPr>
        <w:t>or</w:t>
      </w:r>
      <w:r>
        <w:rPr>
          <w:spacing w:val="39"/>
        </w:rPr>
        <w:t xml:space="preserve"> </w:t>
      </w:r>
      <w:r>
        <w:rPr>
          <w:spacing w:val="-1"/>
        </w:rPr>
        <w:t>other</w:t>
      </w:r>
      <w:r>
        <w:rPr>
          <w:spacing w:val="39"/>
        </w:rPr>
        <w:t xml:space="preserve"> </w:t>
      </w:r>
      <w:r>
        <w:rPr>
          <w:spacing w:val="-1"/>
        </w:rPr>
        <w:t>statutory</w:t>
      </w:r>
      <w:r>
        <w:rPr>
          <w:spacing w:val="35"/>
        </w:rPr>
        <w:t xml:space="preserve"> </w:t>
      </w:r>
      <w:r>
        <w:rPr>
          <w:spacing w:val="-1"/>
        </w:rPr>
        <w:t>authority</w:t>
      </w:r>
      <w:r>
        <w:rPr>
          <w:spacing w:val="35"/>
        </w:rPr>
        <w:t xml:space="preserve"> </w:t>
      </w:r>
      <w:r>
        <w:rPr>
          <w:spacing w:val="-1"/>
        </w:rPr>
        <w:t>relates</w:t>
      </w:r>
      <w:r>
        <w:rPr>
          <w:spacing w:val="39"/>
        </w:rPr>
        <w:t xml:space="preserve"> </w:t>
      </w:r>
      <w:r>
        <w:t>to</w:t>
      </w:r>
      <w:r>
        <w:rPr>
          <w:spacing w:val="35"/>
        </w:rPr>
        <w:t xml:space="preserve"> </w:t>
      </w:r>
      <w:r>
        <w:rPr>
          <w:spacing w:val="-1"/>
        </w:rPr>
        <w:t>financial</w:t>
      </w:r>
      <w:r>
        <w:rPr>
          <w:spacing w:val="40"/>
        </w:rPr>
        <w:t xml:space="preserve"> </w:t>
      </w:r>
      <w:r>
        <w:rPr>
          <w:spacing w:val="-1"/>
        </w:rPr>
        <w:t>obligations</w:t>
      </w:r>
      <w:r>
        <w:rPr>
          <w:spacing w:val="1"/>
        </w:rPr>
        <w:t xml:space="preserve"> </w:t>
      </w:r>
      <w:r>
        <w:rPr>
          <w:spacing w:val="-2"/>
        </w:rPr>
        <w:t>arising</w:t>
      </w:r>
      <w:r>
        <w:t xml:space="preserve"> </w:t>
      </w:r>
      <w:r>
        <w:rPr>
          <w:spacing w:val="-1"/>
        </w:rPr>
        <w:t>on</w:t>
      </w:r>
      <w:r>
        <w:t xml:space="preserve"> </w:t>
      </w:r>
      <w:r>
        <w:rPr>
          <w:spacing w:val="-2"/>
        </w:rPr>
        <w:t>or</w:t>
      </w:r>
      <w:r>
        <w:rPr>
          <w:spacing w:val="-1"/>
        </w:rPr>
        <w:t xml:space="preserve"> before</w:t>
      </w:r>
      <w:r>
        <w:rPr>
          <w:spacing w:val="-2"/>
        </w:rPr>
        <w:t xml:space="preserve"> </w:t>
      </w:r>
      <w:r>
        <w:t>the</w:t>
      </w:r>
      <w:r>
        <w:rPr>
          <w:spacing w:val="-2"/>
        </w:rPr>
        <w:t xml:space="preserve"> Service </w:t>
      </w:r>
      <w:r>
        <w:rPr>
          <w:spacing w:val="-1"/>
        </w:rPr>
        <w:t>Transfer Date;</w:t>
      </w:r>
    </w:p>
    <w:p w:rsidR="008918FA" w:rsidRDefault="008918FA" w:rsidP="008918FA">
      <w:pPr>
        <w:pStyle w:val="BodyText"/>
        <w:numPr>
          <w:ilvl w:val="2"/>
          <w:numId w:val="7"/>
        </w:numPr>
        <w:tabs>
          <w:tab w:val="left" w:pos="1887"/>
        </w:tabs>
        <w:ind w:left="1886" w:right="114"/>
        <w:jc w:val="both"/>
      </w:pPr>
      <w:r>
        <w:t>a</w:t>
      </w:r>
      <w:r>
        <w:rPr>
          <w:spacing w:val="7"/>
        </w:rPr>
        <w:t xml:space="preserve"> </w:t>
      </w:r>
      <w:r>
        <w:rPr>
          <w:spacing w:val="-1"/>
        </w:rPr>
        <w:t>failure</w:t>
      </w:r>
      <w:r>
        <w:rPr>
          <w:spacing w:val="10"/>
        </w:rPr>
        <w:t xml:space="preserve"> </w:t>
      </w:r>
      <w:r>
        <w:rPr>
          <w:spacing w:val="-2"/>
        </w:rPr>
        <w:t>of</w:t>
      </w:r>
      <w:r>
        <w:rPr>
          <w:spacing w:val="11"/>
        </w:rPr>
        <w:t xml:space="preserve"> </w:t>
      </w:r>
      <w:r>
        <w:t>the</w:t>
      </w:r>
      <w:r>
        <w:rPr>
          <w:spacing w:val="7"/>
        </w:rPr>
        <w:t xml:space="preserve"> </w:t>
      </w:r>
      <w:r>
        <w:rPr>
          <w:spacing w:val="-2"/>
        </w:rPr>
        <w:t>Supplier</w:t>
      </w:r>
      <w:r>
        <w:rPr>
          <w:spacing w:val="9"/>
        </w:rPr>
        <w:t xml:space="preserve"> </w:t>
      </w:r>
      <w:r>
        <w:rPr>
          <w:spacing w:val="-1"/>
        </w:rPr>
        <w:t>or</w:t>
      </w:r>
      <w:r>
        <w:rPr>
          <w:spacing w:val="11"/>
        </w:rPr>
        <w:t xml:space="preserve"> </w:t>
      </w:r>
      <w:r>
        <w:rPr>
          <w:spacing w:val="-1"/>
        </w:rPr>
        <w:t>any</w:t>
      </w:r>
      <w:r>
        <w:rPr>
          <w:spacing w:val="8"/>
        </w:rPr>
        <w:t xml:space="preserve"> </w:t>
      </w:r>
      <w:r>
        <w:rPr>
          <w:spacing w:val="-1"/>
        </w:rPr>
        <w:t>Sub-Contractor</w:t>
      </w:r>
      <w:r>
        <w:rPr>
          <w:spacing w:val="9"/>
        </w:rPr>
        <w:t xml:space="preserve"> </w:t>
      </w:r>
      <w:r>
        <w:t>to</w:t>
      </w:r>
      <w:r>
        <w:rPr>
          <w:spacing w:val="7"/>
        </w:rPr>
        <w:t xml:space="preserve"> </w:t>
      </w:r>
      <w:r>
        <w:rPr>
          <w:spacing w:val="-1"/>
        </w:rPr>
        <w:t>discharge</w:t>
      </w:r>
      <w:r>
        <w:rPr>
          <w:spacing w:val="10"/>
        </w:rPr>
        <w:t xml:space="preserve"> </w:t>
      </w:r>
      <w:r>
        <w:rPr>
          <w:spacing w:val="-2"/>
        </w:rPr>
        <w:t>or</w:t>
      </w:r>
      <w:r>
        <w:rPr>
          <w:spacing w:val="11"/>
        </w:rPr>
        <w:t xml:space="preserve"> </w:t>
      </w:r>
      <w:r>
        <w:rPr>
          <w:spacing w:val="-1"/>
        </w:rPr>
        <w:t>procure</w:t>
      </w:r>
      <w:r>
        <w:rPr>
          <w:spacing w:val="51"/>
        </w:rPr>
        <w:t xml:space="preserve"> </w:t>
      </w:r>
      <w:r>
        <w:t>the</w:t>
      </w:r>
      <w:r>
        <w:rPr>
          <w:spacing w:val="3"/>
        </w:rPr>
        <w:t xml:space="preserve"> </w:t>
      </w:r>
      <w:r>
        <w:rPr>
          <w:spacing w:val="-1"/>
        </w:rPr>
        <w:t>discharge</w:t>
      </w:r>
      <w:r>
        <w:rPr>
          <w:spacing w:val="1"/>
        </w:rPr>
        <w:t xml:space="preserve"> </w:t>
      </w:r>
      <w:r>
        <w:rPr>
          <w:spacing w:val="-2"/>
        </w:rPr>
        <w:t>of</w:t>
      </w:r>
      <w:r>
        <w:rPr>
          <w:spacing w:val="6"/>
        </w:rPr>
        <w:t xml:space="preserve"> </w:t>
      </w:r>
      <w:r>
        <w:rPr>
          <w:spacing w:val="-1"/>
        </w:rPr>
        <w:t>all</w:t>
      </w:r>
      <w:r>
        <w:rPr>
          <w:spacing w:val="2"/>
        </w:rPr>
        <w:t xml:space="preserve"> </w:t>
      </w:r>
      <w:r>
        <w:rPr>
          <w:spacing w:val="-2"/>
        </w:rPr>
        <w:t>wages,</w:t>
      </w:r>
      <w:r>
        <w:rPr>
          <w:spacing w:val="5"/>
        </w:rPr>
        <w:t xml:space="preserve"> </w:t>
      </w:r>
      <w:r>
        <w:rPr>
          <w:spacing w:val="-1"/>
        </w:rPr>
        <w:t>salaries</w:t>
      </w:r>
      <w:r>
        <w:rPr>
          <w:spacing w:val="3"/>
        </w:rPr>
        <w:t xml:space="preserve"> </w:t>
      </w:r>
      <w:r>
        <w:rPr>
          <w:spacing w:val="-1"/>
        </w:rPr>
        <w:t>and</w:t>
      </w:r>
      <w:r>
        <w:t xml:space="preserve"> </w:t>
      </w:r>
      <w:r>
        <w:rPr>
          <w:spacing w:val="-1"/>
        </w:rPr>
        <w:t>all</w:t>
      </w:r>
      <w:r>
        <w:rPr>
          <w:spacing w:val="2"/>
        </w:rPr>
        <w:t xml:space="preserve"> </w:t>
      </w:r>
      <w:r>
        <w:rPr>
          <w:spacing w:val="-1"/>
        </w:rPr>
        <w:t>other</w:t>
      </w:r>
      <w:r>
        <w:rPr>
          <w:spacing w:val="2"/>
        </w:rPr>
        <w:t xml:space="preserve"> </w:t>
      </w:r>
      <w:r>
        <w:rPr>
          <w:spacing w:val="-1"/>
        </w:rPr>
        <w:t>benefits</w:t>
      </w:r>
      <w:r>
        <w:rPr>
          <w:spacing w:val="3"/>
        </w:rPr>
        <w:t xml:space="preserve"> </w:t>
      </w:r>
      <w:r>
        <w:rPr>
          <w:spacing w:val="-1"/>
        </w:rPr>
        <w:t>and</w:t>
      </w:r>
      <w:r>
        <w:rPr>
          <w:spacing w:val="3"/>
        </w:rPr>
        <w:t xml:space="preserve"> </w:t>
      </w:r>
      <w:r>
        <w:rPr>
          <w:spacing w:val="-1"/>
        </w:rPr>
        <w:t>all</w:t>
      </w:r>
      <w:r>
        <w:rPr>
          <w:spacing w:val="2"/>
        </w:rPr>
        <w:t xml:space="preserve"> </w:t>
      </w:r>
      <w:r>
        <w:rPr>
          <w:spacing w:val="-1"/>
        </w:rPr>
        <w:t>PAYE</w:t>
      </w:r>
      <w:r>
        <w:rPr>
          <w:spacing w:val="41"/>
        </w:rPr>
        <w:t xml:space="preserve"> </w:t>
      </w:r>
      <w:r>
        <w:t>tax</w:t>
      </w:r>
      <w:r>
        <w:rPr>
          <w:spacing w:val="2"/>
        </w:rPr>
        <w:t xml:space="preserve"> </w:t>
      </w:r>
      <w:r>
        <w:rPr>
          <w:spacing w:val="-1"/>
        </w:rPr>
        <w:t>deductions</w:t>
      </w:r>
      <w:r>
        <w:rPr>
          <w:spacing w:val="4"/>
        </w:rPr>
        <w:t xml:space="preserve"> </w:t>
      </w:r>
      <w:r>
        <w:rPr>
          <w:spacing w:val="-1"/>
        </w:rPr>
        <w:t>and</w:t>
      </w:r>
      <w:r>
        <w:rPr>
          <w:spacing w:val="4"/>
        </w:rPr>
        <w:t xml:space="preserve"> </w:t>
      </w:r>
      <w:r>
        <w:rPr>
          <w:spacing w:val="-2"/>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relating</w:t>
      </w:r>
      <w:r>
        <w:rPr>
          <w:spacing w:val="6"/>
        </w:rPr>
        <w:t xml:space="preserve"> </w:t>
      </w:r>
      <w:r>
        <w:t>to</w:t>
      </w:r>
      <w:r>
        <w:rPr>
          <w:spacing w:val="2"/>
        </w:rPr>
        <w:t xml:space="preserve"> </w:t>
      </w:r>
      <w:r>
        <w:rPr>
          <w:spacing w:val="-1"/>
        </w:rPr>
        <w:t>the</w:t>
      </w:r>
      <w:r>
        <w:rPr>
          <w:spacing w:val="36"/>
        </w:rPr>
        <w:t xml:space="preserve"> </w:t>
      </w:r>
      <w:r>
        <w:rPr>
          <w:spacing w:val="-1"/>
        </w:rPr>
        <w:t>Transferring</w:t>
      </w:r>
      <w:r>
        <w:rPr>
          <w:spacing w:val="39"/>
        </w:rPr>
        <w:t xml:space="preserve"> </w:t>
      </w:r>
      <w:r>
        <w:rPr>
          <w:spacing w:val="-2"/>
        </w:rPr>
        <w:t>Supplier</w:t>
      </w:r>
      <w:r>
        <w:rPr>
          <w:spacing w:val="38"/>
        </w:rPr>
        <w:t xml:space="preserve"> </w:t>
      </w:r>
      <w:r>
        <w:rPr>
          <w:spacing w:val="-2"/>
        </w:rPr>
        <w:t>Employees</w:t>
      </w:r>
      <w:r>
        <w:rPr>
          <w:spacing w:val="37"/>
        </w:rPr>
        <w:t xml:space="preserve"> </w:t>
      </w:r>
      <w:r>
        <w:rPr>
          <w:spacing w:val="-1"/>
        </w:rPr>
        <w:t>in</w:t>
      </w:r>
      <w:r>
        <w:rPr>
          <w:spacing w:val="36"/>
        </w:rPr>
        <w:t xml:space="preserve"> </w:t>
      </w:r>
      <w:r>
        <w:rPr>
          <w:spacing w:val="-1"/>
        </w:rPr>
        <w:t>respect</w:t>
      </w:r>
      <w:r>
        <w:rPr>
          <w:spacing w:val="38"/>
        </w:rPr>
        <w:t xml:space="preserve"> </w:t>
      </w:r>
      <w:r>
        <w:rPr>
          <w:spacing w:val="-2"/>
        </w:rPr>
        <w:t>of</w:t>
      </w:r>
      <w:r>
        <w:rPr>
          <w:spacing w:val="35"/>
        </w:rPr>
        <w:t xml:space="preserve"> </w:t>
      </w:r>
      <w:r>
        <w:t>the</w:t>
      </w:r>
      <w:r>
        <w:rPr>
          <w:spacing w:val="37"/>
        </w:rPr>
        <w:t xml:space="preserve"> </w:t>
      </w:r>
      <w:r>
        <w:rPr>
          <w:spacing w:val="-1"/>
        </w:rPr>
        <w:t>period</w:t>
      </w:r>
      <w:r>
        <w:rPr>
          <w:spacing w:val="36"/>
        </w:rPr>
        <w:t xml:space="preserve"> </w:t>
      </w:r>
      <w:r>
        <w:rPr>
          <w:spacing w:val="-1"/>
        </w:rPr>
        <w:t>up</w:t>
      </w:r>
      <w:r>
        <w:rPr>
          <w:spacing w:val="34"/>
        </w:rPr>
        <w:t xml:space="preserve"> </w:t>
      </w:r>
      <w:r>
        <w:t>to</w:t>
      </w:r>
      <w:r>
        <w:rPr>
          <w:spacing w:val="34"/>
        </w:rPr>
        <w:t xml:space="preserve"> </w:t>
      </w:r>
      <w:r>
        <w:rPr>
          <w:spacing w:val="-1"/>
        </w:rPr>
        <w:t>(and</w:t>
      </w:r>
      <w:r>
        <w:rPr>
          <w:spacing w:val="44"/>
        </w:rPr>
        <w:t xml:space="preserve"> </w:t>
      </w:r>
      <w:r>
        <w:rPr>
          <w:spacing w:val="-1"/>
        </w:rPr>
        <w:t xml:space="preserve">including) </w:t>
      </w:r>
      <w:r>
        <w:t xml:space="preserve">the </w:t>
      </w:r>
      <w:r>
        <w:rPr>
          <w:spacing w:val="-2"/>
        </w:rPr>
        <w:t>Service</w:t>
      </w:r>
      <w:r>
        <w:rPr>
          <w:spacing w:val="1"/>
        </w:rPr>
        <w:t xml:space="preserve"> </w:t>
      </w:r>
      <w:r>
        <w:rPr>
          <w:spacing w:val="-1"/>
        </w:rPr>
        <w:t>Transfer Date);</w:t>
      </w:r>
    </w:p>
    <w:p w:rsidR="008918FA" w:rsidRDefault="008918FA" w:rsidP="008918FA">
      <w:pPr>
        <w:pStyle w:val="BodyText"/>
        <w:numPr>
          <w:ilvl w:val="2"/>
          <w:numId w:val="7"/>
        </w:numPr>
        <w:tabs>
          <w:tab w:val="left" w:pos="1887"/>
        </w:tabs>
        <w:ind w:left="1886" w:right="113"/>
        <w:jc w:val="both"/>
      </w:pPr>
      <w:r>
        <w:rPr>
          <w:spacing w:val="-1"/>
        </w:rPr>
        <w:t>any</w:t>
      </w:r>
      <w:r>
        <w:rPr>
          <w:spacing w:val="22"/>
        </w:rPr>
        <w:t xml:space="preserve"> </w:t>
      </w:r>
      <w:r>
        <w:rPr>
          <w:spacing w:val="-1"/>
        </w:rPr>
        <w:t>claim</w:t>
      </w:r>
      <w:r>
        <w:rPr>
          <w:spacing w:val="26"/>
        </w:rPr>
        <w:t xml:space="preserve"> </w:t>
      </w:r>
      <w:r>
        <w:rPr>
          <w:spacing w:val="-1"/>
        </w:rPr>
        <w:t>made</w:t>
      </w:r>
      <w:r>
        <w:rPr>
          <w:spacing w:val="24"/>
        </w:rPr>
        <w:t xml:space="preserve"> </w:t>
      </w:r>
      <w:r>
        <w:rPr>
          <w:spacing w:val="-1"/>
        </w:rPr>
        <w:t>by</w:t>
      </w:r>
      <w:r>
        <w:rPr>
          <w:spacing w:val="22"/>
        </w:rPr>
        <w:t xml:space="preserve"> </w:t>
      </w:r>
      <w:r>
        <w:rPr>
          <w:spacing w:val="-1"/>
        </w:rPr>
        <w:t>or</w:t>
      </w:r>
      <w:r>
        <w:rPr>
          <w:spacing w:val="26"/>
        </w:rPr>
        <w:t xml:space="preserve"> </w:t>
      </w:r>
      <w:r>
        <w:t>in</w:t>
      </w:r>
      <w:r>
        <w:rPr>
          <w:spacing w:val="22"/>
        </w:rPr>
        <w:t xml:space="preserve"> </w:t>
      </w:r>
      <w:r>
        <w:rPr>
          <w:spacing w:val="-1"/>
        </w:rPr>
        <w:t>respect</w:t>
      </w:r>
      <w:r>
        <w:rPr>
          <w:spacing w:val="26"/>
        </w:rPr>
        <w:t xml:space="preserve"> </w:t>
      </w:r>
      <w:r>
        <w:rPr>
          <w:spacing w:val="-2"/>
        </w:rPr>
        <w:t>of</w:t>
      </w:r>
      <w:r>
        <w:rPr>
          <w:spacing w:val="26"/>
        </w:rPr>
        <w:t xml:space="preserve"> </w:t>
      </w:r>
      <w:r>
        <w:rPr>
          <w:spacing w:val="-1"/>
        </w:rPr>
        <w:t>any</w:t>
      </w:r>
      <w:r>
        <w:rPr>
          <w:spacing w:val="22"/>
        </w:rPr>
        <w:t xml:space="preserve"> </w:t>
      </w:r>
      <w:r>
        <w:rPr>
          <w:spacing w:val="-1"/>
        </w:rPr>
        <w:t>person</w:t>
      </w:r>
      <w:r>
        <w:rPr>
          <w:spacing w:val="22"/>
        </w:rPr>
        <w:t xml:space="preserve"> </w:t>
      </w:r>
      <w:r>
        <w:rPr>
          <w:spacing w:val="-2"/>
        </w:rPr>
        <w:t>employed</w:t>
      </w:r>
      <w:r>
        <w:rPr>
          <w:spacing w:val="24"/>
        </w:rPr>
        <w:t xml:space="preserve"> </w:t>
      </w:r>
      <w:r>
        <w:rPr>
          <w:spacing w:val="-1"/>
        </w:rPr>
        <w:t>or</w:t>
      </w:r>
      <w:r>
        <w:rPr>
          <w:spacing w:val="23"/>
        </w:rPr>
        <w:t xml:space="preserve"> </w:t>
      </w:r>
      <w:r>
        <w:rPr>
          <w:spacing w:val="-1"/>
        </w:rPr>
        <w:t>formerly</w:t>
      </w:r>
      <w:r>
        <w:rPr>
          <w:spacing w:val="45"/>
        </w:rPr>
        <w:t xml:space="preserve"> </w:t>
      </w:r>
      <w:r>
        <w:rPr>
          <w:spacing w:val="-2"/>
        </w:rPr>
        <w:t>employed</w:t>
      </w:r>
      <w:r>
        <w:rPr>
          <w:spacing w:val="47"/>
        </w:rPr>
        <w:t xml:space="preserve"> </w:t>
      </w:r>
      <w:r>
        <w:rPr>
          <w:spacing w:val="-1"/>
        </w:rPr>
        <w:t>by</w:t>
      </w:r>
      <w:r>
        <w:rPr>
          <w:spacing w:val="45"/>
        </w:rPr>
        <w:t xml:space="preserve"> </w:t>
      </w:r>
      <w:r>
        <w:t>the</w:t>
      </w:r>
      <w:r>
        <w:rPr>
          <w:spacing w:val="47"/>
        </w:rPr>
        <w:t xml:space="preserve"> </w:t>
      </w:r>
      <w:r>
        <w:rPr>
          <w:spacing w:val="-2"/>
        </w:rPr>
        <w:t>Supplier</w:t>
      </w:r>
      <w:r>
        <w:rPr>
          <w:spacing w:val="48"/>
        </w:rPr>
        <w:t xml:space="preserve"> </w:t>
      </w:r>
      <w:r>
        <w:rPr>
          <w:spacing w:val="-1"/>
        </w:rPr>
        <w:t>or</w:t>
      </w:r>
      <w:r>
        <w:rPr>
          <w:spacing w:val="48"/>
        </w:rPr>
        <w:t xml:space="preserve"> </w:t>
      </w:r>
      <w:r>
        <w:rPr>
          <w:spacing w:val="-1"/>
        </w:rPr>
        <w:t>any</w:t>
      </w:r>
      <w:r>
        <w:rPr>
          <w:spacing w:val="45"/>
        </w:rPr>
        <w:t xml:space="preserve"> </w:t>
      </w:r>
      <w:r>
        <w:rPr>
          <w:spacing w:val="-1"/>
        </w:rPr>
        <w:t>Sub-Contractor</w:t>
      </w:r>
      <w:r>
        <w:rPr>
          <w:spacing w:val="49"/>
        </w:rPr>
        <w:t xml:space="preserve"> </w:t>
      </w:r>
      <w:r>
        <w:rPr>
          <w:spacing w:val="-1"/>
        </w:rPr>
        <w:t>other</w:t>
      </w:r>
      <w:r>
        <w:rPr>
          <w:spacing w:val="46"/>
        </w:rPr>
        <w:t xml:space="preserve"> </w:t>
      </w:r>
      <w:r>
        <w:rPr>
          <w:spacing w:val="-1"/>
        </w:rPr>
        <w:t>than</w:t>
      </w:r>
      <w:r>
        <w:rPr>
          <w:spacing w:val="47"/>
        </w:rPr>
        <w:t xml:space="preserve"> </w:t>
      </w:r>
      <w:r>
        <w:t>a</w:t>
      </w:r>
      <w:r>
        <w:rPr>
          <w:spacing w:val="49"/>
        </w:rPr>
        <w:t xml:space="preserve"> </w:t>
      </w:r>
      <w:r>
        <w:rPr>
          <w:spacing w:val="-1"/>
        </w:rPr>
        <w:t>Transferring</w:t>
      </w:r>
      <w:r>
        <w:rPr>
          <w:spacing w:val="36"/>
        </w:rPr>
        <w:t xml:space="preserve"> </w:t>
      </w:r>
      <w:r>
        <w:rPr>
          <w:spacing w:val="-2"/>
        </w:rPr>
        <w:t>Supplier</w:t>
      </w:r>
      <w:r>
        <w:rPr>
          <w:spacing w:val="35"/>
        </w:rPr>
        <w:t xml:space="preserve"> </w:t>
      </w:r>
      <w:r>
        <w:rPr>
          <w:spacing w:val="-2"/>
        </w:rPr>
        <w:t>Employee</w:t>
      </w:r>
      <w:r>
        <w:rPr>
          <w:spacing w:val="34"/>
        </w:rPr>
        <w:t xml:space="preserve"> </w:t>
      </w:r>
      <w:r>
        <w:t>for</w:t>
      </w:r>
      <w:r>
        <w:rPr>
          <w:spacing w:val="35"/>
        </w:rPr>
        <w:t xml:space="preserve"> </w:t>
      </w:r>
      <w:r>
        <w:rPr>
          <w:spacing w:val="-2"/>
        </w:rPr>
        <w:t>whom</w:t>
      </w:r>
      <w:r>
        <w:rPr>
          <w:spacing w:val="35"/>
        </w:rPr>
        <w:t xml:space="preserve"> </w:t>
      </w:r>
      <w:r>
        <w:rPr>
          <w:spacing w:val="-1"/>
        </w:rPr>
        <w:t>it</w:t>
      </w:r>
      <w:r>
        <w:rPr>
          <w:spacing w:val="35"/>
        </w:rPr>
        <w:t xml:space="preserve"> </w:t>
      </w:r>
      <w:r>
        <w:rPr>
          <w:spacing w:val="-1"/>
        </w:rPr>
        <w:t>is</w:t>
      </w:r>
      <w:r>
        <w:rPr>
          <w:spacing w:val="38"/>
        </w:rPr>
        <w:t xml:space="preserve"> </w:t>
      </w:r>
      <w:r>
        <w:rPr>
          <w:spacing w:val="-1"/>
        </w:rPr>
        <w:t>alleged</w:t>
      </w:r>
      <w:r>
        <w:rPr>
          <w:spacing w:val="34"/>
        </w:rPr>
        <w:t xml:space="preserve"> </w:t>
      </w:r>
      <w:r>
        <w:t>the</w:t>
      </w:r>
      <w:r>
        <w:rPr>
          <w:spacing w:val="34"/>
        </w:rPr>
        <w:t xml:space="preserve"> </w:t>
      </w:r>
      <w:r>
        <w:rPr>
          <w:spacing w:val="-1"/>
        </w:rPr>
        <w:t>Customer</w:t>
      </w:r>
      <w:r>
        <w:rPr>
          <w:spacing w:val="47"/>
        </w:rPr>
        <w:t xml:space="preserve"> </w:t>
      </w:r>
      <w:r>
        <w:rPr>
          <w:spacing w:val="-1"/>
        </w:rPr>
        <w:t>and/or</w:t>
      </w:r>
      <w:r>
        <w:rPr>
          <w:spacing w:val="41"/>
        </w:rPr>
        <w:t xml:space="preserve"> </w:t>
      </w:r>
      <w:r>
        <w:t>the</w:t>
      </w:r>
      <w:r>
        <w:rPr>
          <w:spacing w:val="40"/>
        </w:rPr>
        <w:t xml:space="preserve"> </w:t>
      </w:r>
      <w:r>
        <w:rPr>
          <w:spacing w:val="-2"/>
        </w:rPr>
        <w:t>Replacement</w:t>
      </w:r>
      <w:r>
        <w:rPr>
          <w:spacing w:val="41"/>
        </w:rPr>
        <w:t xml:space="preserve"> </w:t>
      </w:r>
      <w:r>
        <w:rPr>
          <w:spacing w:val="-2"/>
        </w:rPr>
        <w:t>Supplier</w:t>
      </w:r>
      <w:r>
        <w:rPr>
          <w:spacing w:val="41"/>
        </w:rPr>
        <w:t xml:space="preserve"> </w:t>
      </w:r>
      <w:r>
        <w:rPr>
          <w:spacing w:val="-1"/>
        </w:rPr>
        <w:t>and/or</w:t>
      </w:r>
      <w:r>
        <w:rPr>
          <w:spacing w:val="41"/>
        </w:rPr>
        <w:t xml:space="preserve"> </w:t>
      </w:r>
      <w:r>
        <w:rPr>
          <w:spacing w:val="-1"/>
        </w:rPr>
        <w:t>any</w:t>
      </w:r>
      <w:r>
        <w:rPr>
          <w:spacing w:val="40"/>
        </w:rPr>
        <w:t xml:space="preserve"> </w:t>
      </w:r>
      <w:r>
        <w:rPr>
          <w:spacing w:val="-1"/>
        </w:rPr>
        <w:t>Replacement</w:t>
      </w:r>
      <w:r>
        <w:rPr>
          <w:spacing w:val="42"/>
        </w:rPr>
        <w:t xml:space="preserve"> </w:t>
      </w:r>
      <w:r>
        <w:t>Sub-</w:t>
      </w:r>
      <w:r>
        <w:rPr>
          <w:spacing w:val="51"/>
        </w:rPr>
        <w:t xml:space="preserve"> </w:t>
      </w:r>
      <w:r>
        <w:rPr>
          <w:spacing w:val="-1"/>
        </w:rPr>
        <w:t>Contractor</w:t>
      </w:r>
      <w:r>
        <w:rPr>
          <w:spacing w:val="21"/>
        </w:rPr>
        <w:t xml:space="preserve"> </w:t>
      </w:r>
      <w:r>
        <w:rPr>
          <w:spacing w:val="-1"/>
        </w:rPr>
        <w:t>may</w:t>
      </w:r>
      <w:r>
        <w:rPr>
          <w:spacing w:val="17"/>
        </w:rPr>
        <w:t xml:space="preserve"> </w:t>
      </w:r>
      <w:r>
        <w:rPr>
          <w:spacing w:val="-1"/>
        </w:rPr>
        <w:t>be</w:t>
      </w:r>
      <w:r>
        <w:rPr>
          <w:spacing w:val="20"/>
        </w:rPr>
        <w:t xml:space="preserve"> </w:t>
      </w:r>
      <w:r>
        <w:rPr>
          <w:spacing w:val="-1"/>
        </w:rPr>
        <w:t>liable</w:t>
      </w:r>
      <w:r>
        <w:rPr>
          <w:spacing w:val="22"/>
        </w:rPr>
        <w:t xml:space="preserve"> </w:t>
      </w:r>
      <w:r>
        <w:rPr>
          <w:spacing w:val="-1"/>
        </w:rPr>
        <w:t>by</w:t>
      </w:r>
      <w:r>
        <w:rPr>
          <w:spacing w:val="22"/>
        </w:rPr>
        <w:t xml:space="preserve"> </w:t>
      </w:r>
      <w:r>
        <w:rPr>
          <w:spacing w:val="-1"/>
        </w:rPr>
        <w:t>virtue</w:t>
      </w:r>
      <w:r>
        <w:rPr>
          <w:spacing w:val="19"/>
        </w:rPr>
        <w:t xml:space="preserve"> </w:t>
      </w:r>
      <w:r>
        <w:rPr>
          <w:spacing w:val="-1"/>
        </w:rPr>
        <w:t>of</w:t>
      </w:r>
      <w:r>
        <w:rPr>
          <w:spacing w:val="23"/>
        </w:rPr>
        <w:t xml:space="preserve"> </w:t>
      </w:r>
      <w:r>
        <w:rPr>
          <w:spacing w:val="-1"/>
        </w:rPr>
        <w:t>this</w:t>
      </w:r>
      <w:r>
        <w:rPr>
          <w:spacing w:val="20"/>
        </w:rPr>
        <w:t xml:space="preserve"> </w:t>
      </w:r>
      <w:r>
        <w:rPr>
          <w:spacing w:val="-2"/>
        </w:rPr>
        <w:t>Call</w:t>
      </w:r>
      <w:r>
        <w:rPr>
          <w:spacing w:val="19"/>
        </w:rPr>
        <w:t xml:space="preserve"> </w:t>
      </w:r>
      <w:r>
        <w:t>Off</w:t>
      </w:r>
      <w:r>
        <w:rPr>
          <w:spacing w:val="23"/>
        </w:rPr>
        <w:t xml:space="preserve"> </w:t>
      </w:r>
      <w:r>
        <w:rPr>
          <w:spacing w:val="-2"/>
        </w:rPr>
        <w:t>Contract</w:t>
      </w:r>
      <w:r>
        <w:rPr>
          <w:spacing w:val="21"/>
        </w:rPr>
        <w:t xml:space="preserve"> </w:t>
      </w:r>
      <w:r>
        <w:rPr>
          <w:spacing w:val="-1"/>
        </w:rPr>
        <w:t>and/or</w:t>
      </w:r>
      <w:r>
        <w:rPr>
          <w:spacing w:val="21"/>
        </w:rPr>
        <w:t xml:space="preserve"> </w:t>
      </w:r>
      <w:r>
        <w:rPr>
          <w:spacing w:val="-1"/>
        </w:rPr>
        <w:t>the</w:t>
      </w:r>
      <w:r>
        <w:rPr>
          <w:spacing w:val="55"/>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 xml:space="preserve">the </w:t>
      </w:r>
      <w:r>
        <w:rPr>
          <w:spacing w:val="-1"/>
        </w:rPr>
        <w:t>Acquired</w:t>
      </w:r>
      <w:r>
        <w:rPr>
          <w:spacing w:val="-2"/>
        </w:rPr>
        <w:t xml:space="preserve"> </w:t>
      </w:r>
      <w:r>
        <w:rPr>
          <w:spacing w:val="-1"/>
        </w:rPr>
        <w:t>Rights</w:t>
      </w:r>
      <w:r>
        <w:rPr>
          <w:spacing w:val="1"/>
        </w:rPr>
        <w:t xml:space="preserve"> </w:t>
      </w:r>
      <w:r>
        <w:rPr>
          <w:spacing w:val="-2"/>
        </w:rPr>
        <w:t>Directive;</w:t>
      </w:r>
      <w:r>
        <w:rPr>
          <w:spacing w:val="2"/>
        </w:rPr>
        <w:t xml:space="preserve"> </w:t>
      </w:r>
      <w:r>
        <w:rPr>
          <w:spacing w:val="-1"/>
        </w:rPr>
        <w:t>and</w:t>
      </w:r>
    </w:p>
    <w:p w:rsidR="008918FA" w:rsidRDefault="008918FA" w:rsidP="008918FA">
      <w:pPr>
        <w:pStyle w:val="BodyText"/>
        <w:numPr>
          <w:ilvl w:val="2"/>
          <w:numId w:val="7"/>
        </w:numPr>
        <w:tabs>
          <w:tab w:val="left" w:pos="1887"/>
        </w:tabs>
        <w:ind w:left="1886" w:right="111"/>
        <w:jc w:val="both"/>
      </w:pPr>
      <w:r>
        <w:rPr>
          <w:spacing w:val="-1"/>
        </w:rPr>
        <w:t>any</w:t>
      </w:r>
      <w:r>
        <w:rPr>
          <w:spacing w:val="18"/>
        </w:rPr>
        <w:t xml:space="preserve"> </w:t>
      </w:r>
      <w:r>
        <w:rPr>
          <w:spacing w:val="-1"/>
        </w:rPr>
        <w:t>claim</w:t>
      </w:r>
      <w:r>
        <w:rPr>
          <w:spacing w:val="21"/>
        </w:rPr>
        <w:t xml:space="preserve"> </w:t>
      </w:r>
      <w:r>
        <w:rPr>
          <w:spacing w:val="-1"/>
        </w:rPr>
        <w:t>made</w:t>
      </w:r>
      <w:r>
        <w:rPr>
          <w:spacing w:val="20"/>
        </w:rPr>
        <w:t xml:space="preserve"> </w:t>
      </w:r>
      <w:r>
        <w:rPr>
          <w:spacing w:val="-1"/>
        </w:rPr>
        <w:t>by</w:t>
      </w:r>
      <w:r>
        <w:rPr>
          <w:spacing w:val="17"/>
        </w:rPr>
        <w:t xml:space="preserve"> </w:t>
      </w:r>
      <w:r>
        <w:rPr>
          <w:spacing w:val="-1"/>
        </w:rPr>
        <w:t>or</w:t>
      </w:r>
      <w:r>
        <w:rPr>
          <w:spacing w:val="21"/>
        </w:rPr>
        <w:t xml:space="preserve"> </w:t>
      </w:r>
      <w:r>
        <w:rPr>
          <w:spacing w:val="-1"/>
        </w:rPr>
        <w:t>in</w:t>
      </w:r>
      <w:r>
        <w:rPr>
          <w:spacing w:val="22"/>
        </w:rPr>
        <w:t xml:space="preserve"> </w:t>
      </w:r>
      <w:r>
        <w:rPr>
          <w:spacing w:val="-1"/>
        </w:rPr>
        <w:t>respect</w:t>
      </w:r>
      <w:r>
        <w:rPr>
          <w:spacing w:val="22"/>
        </w:rPr>
        <w:t xml:space="preserve"> </w:t>
      </w:r>
      <w:r>
        <w:rPr>
          <w:spacing w:val="-2"/>
        </w:rPr>
        <w:t>of</w:t>
      </w:r>
      <w:r>
        <w:rPr>
          <w:spacing w:val="23"/>
        </w:rPr>
        <w:t xml:space="preserve"> </w:t>
      </w:r>
      <w:r>
        <w:t>a</w:t>
      </w:r>
      <w:r>
        <w:rPr>
          <w:spacing w:val="17"/>
        </w:rPr>
        <w:t xml:space="preserve"> </w:t>
      </w:r>
      <w:r>
        <w:rPr>
          <w:spacing w:val="-1"/>
        </w:rPr>
        <w:t>Transferring</w:t>
      </w:r>
      <w:r>
        <w:rPr>
          <w:spacing w:val="22"/>
        </w:rPr>
        <w:t xml:space="preserve"> </w:t>
      </w:r>
      <w:r>
        <w:rPr>
          <w:spacing w:val="-2"/>
        </w:rPr>
        <w:t>Supplier</w:t>
      </w:r>
      <w:r>
        <w:rPr>
          <w:spacing w:val="21"/>
        </w:rPr>
        <w:t xml:space="preserve"> </w:t>
      </w:r>
      <w:r>
        <w:rPr>
          <w:spacing w:val="-2"/>
        </w:rPr>
        <w:t>Employee</w:t>
      </w:r>
      <w:r>
        <w:rPr>
          <w:spacing w:val="58"/>
        </w:rPr>
        <w:t xml:space="preserve"> </w:t>
      </w:r>
      <w:r>
        <w:rPr>
          <w:spacing w:val="-1"/>
        </w:rPr>
        <w:t>or</w:t>
      </w:r>
      <w:r>
        <w:rPr>
          <w:spacing w:val="53"/>
        </w:rPr>
        <w:t xml:space="preserve"> </w:t>
      </w:r>
      <w:r>
        <w:rPr>
          <w:spacing w:val="-1"/>
        </w:rPr>
        <w:t>any</w:t>
      </w:r>
      <w:r>
        <w:rPr>
          <w:spacing w:val="50"/>
        </w:rPr>
        <w:t xml:space="preserve"> </w:t>
      </w:r>
      <w:r>
        <w:rPr>
          <w:spacing w:val="-1"/>
        </w:rPr>
        <w:t>appropriate</w:t>
      </w:r>
      <w:r>
        <w:rPr>
          <w:spacing w:val="52"/>
        </w:rPr>
        <w:t xml:space="preserve"> </w:t>
      </w:r>
      <w:r>
        <w:rPr>
          <w:spacing w:val="-2"/>
        </w:rPr>
        <w:t>employee</w:t>
      </w:r>
      <w:r>
        <w:rPr>
          <w:spacing w:val="52"/>
        </w:rPr>
        <w:t xml:space="preserve"> </w:t>
      </w:r>
      <w:r>
        <w:rPr>
          <w:spacing w:val="-1"/>
        </w:rPr>
        <w:t>representative</w:t>
      </w:r>
      <w:r>
        <w:rPr>
          <w:spacing w:val="52"/>
        </w:rPr>
        <w:t xml:space="preserve"> </w:t>
      </w:r>
      <w:r>
        <w:rPr>
          <w:spacing w:val="-1"/>
        </w:rPr>
        <w:t>(as</w:t>
      </w:r>
      <w:r>
        <w:rPr>
          <w:spacing w:val="52"/>
        </w:rPr>
        <w:t xml:space="preserve"> </w:t>
      </w:r>
      <w:r>
        <w:rPr>
          <w:spacing w:val="-1"/>
        </w:rPr>
        <w:t>defined</w:t>
      </w:r>
      <w:r>
        <w:rPr>
          <w:spacing w:val="53"/>
        </w:rPr>
        <w:t xml:space="preserve"> </w:t>
      </w:r>
      <w:r>
        <w:rPr>
          <w:spacing w:val="-1"/>
        </w:rPr>
        <w:t>in</w:t>
      </w:r>
      <w:r>
        <w:rPr>
          <w:spacing w:val="52"/>
        </w:rPr>
        <w:t xml:space="preserve"> </w:t>
      </w:r>
      <w:r>
        <w:rPr>
          <w:spacing w:val="-1"/>
        </w:rPr>
        <w:t>the</w:t>
      </w:r>
      <w:r>
        <w:rPr>
          <w:spacing w:val="48"/>
        </w:rPr>
        <w:t xml:space="preserve"> </w:t>
      </w:r>
      <w:r>
        <w:rPr>
          <w:spacing w:val="-1"/>
        </w:rPr>
        <w:t>Employment</w:t>
      </w:r>
      <w:r>
        <w:rPr>
          <w:spacing w:val="36"/>
        </w:rPr>
        <w:t xml:space="preserve"> </w:t>
      </w:r>
      <w:r>
        <w:rPr>
          <w:spacing w:val="-1"/>
        </w:rPr>
        <w:t>Regulations)</w:t>
      </w:r>
      <w:r>
        <w:rPr>
          <w:spacing w:val="37"/>
        </w:rPr>
        <w:t xml:space="preserve"> </w:t>
      </w:r>
      <w:r>
        <w:rPr>
          <w:spacing w:val="-2"/>
        </w:rPr>
        <w:t>of</w:t>
      </w:r>
      <w:r>
        <w:rPr>
          <w:spacing w:val="39"/>
        </w:rPr>
        <w:t xml:space="preserve"> </w:t>
      </w:r>
      <w:r>
        <w:rPr>
          <w:spacing w:val="-1"/>
        </w:rPr>
        <w:t>any</w:t>
      </w:r>
      <w:r>
        <w:rPr>
          <w:spacing w:val="33"/>
        </w:rPr>
        <w:t xml:space="preserve"> </w:t>
      </w:r>
      <w:r>
        <w:rPr>
          <w:spacing w:val="-1"/>
        </w:rPr>
        <w:t>Transferring</w:t>
      </w:r>
      <w:r>
        <w:rPr>
          <w:spacing w:val="35"/>
        </w:rPr>
        <w:t xml:space="preserve"> </w:t>
      </w:r>
      <w:r>
        <w:rPr>
          <w:spacing w:val="-2"/>
        </w:rPr>
        <w:t>Supplier</w:t>
      </w:r>
      <w:r>
        <w:rPr>
          <w:spacing w:val="36"/>
        </w:rPr>
        <w:t xml:space="preserve"> </w:t>
      </w:r>
      <w:r>
        <w:rPr>
          <w:spacing w:val="-1"/>
        </w:rPr>
        <w:t>Employee</w:t>
      </w:r>
      <w:r>
        <w:rPr>
          <w:spacing w:val="30"/>
        </w:rPr>
        <w:t xml:space="preserve"> </w:t>
      </w:r>
      <w:r>
        <w:rPr>
          <w:spacing w:val="-1"/>
        </w:rPr>
        <w:t>relating</w:t>
      </w:r>
      <w:r>
        <w:rPr>
          <w:spacing w:val="5"/>
        </w:rPr>
        <w:t xml:space="preserve"> </w:t>
      </w:r>
      <w:r>
        <w:t>to</w:t>
      </w:r>
      <w:r>
        <w:rPr>
          <w:spacing w:val="3"/>
        </w:rPr>
        <w:t xml:space="preserve"> </w:t>
      </w:r>
      <w:r>
        <w:rPr>
          <w:spacing w:val="-1"/>
        </w:rPr>
        <w:t>any</w:t>
      </w:r>
      <w:r>
        <w:rPr>
          <w:spacing w:val="3"/>
        </w:rPr>
        <w:t xml:space="preserve"> </w:t>
      </w:r>
      <w:r>
        <w:rPr>
          <w:spacing w:val="-1"/>
        </w:rPr>
        <w:t>act</w:t>
      </w:r>
      <w:r>
        <w:rPr>
          <w:spacing w:val="7"/>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6"/>
        </w:rPr>
        <w:t xml:space="preserve"> </w:t>
      </w:r>
      <w:r>
        <w:t>the</w:t>
      </w:r>
      <w:r>
        <w:rPr>
          <w:spacing w:val="5"/>
        </w:rPr>
        <w:t xml:space="preserve"> </w:t>
      </w:r>
      <w:r>
        <w:rPr>
          <w:spacing w:val="-2"/>
        </w:rPr>
        <w:t>Supplier</w:t>
      </w:r>
      <w:r>
        <w:rPr>
          <w:spacing w:val="6"/>
        </w:rPr>
        <w:t xml:space="preserve"> </w:t>
      </w:r>
      <w:r>
        <w:rPr>
          <w:spacing w:val="-2"/>
        </w:rPr>
        <w:t>or</w:t>
      </w:r>
      <w:r>
        <w:rPr>
          <w:spacing w:val="4"/>
        </w:rPr>
        <w:t xml:space="preserve"> </w:t>
      </w:r>
      <w:r>
        <w:rPr>
          <w:spacing w:val="-1"/>
        </w:rPr>
        <w:t>any</w:t>
      </w:r>
      <w:r>
        <w:rPr>
          <w:spacing w:val="3"/>
        </w:rPr>
        <w:t xml:space="preserve"> </w:t>
      </w:r>
      <w:r>
        <w:rPr>
          <w:spacing w:val="-1"/>
        </w:rPr>
        <w:t>Sub-Contractor</w:t>
      </w:r>
      <w:r>
        <w:rPr>
          <w:spacing w:val="6"/>
        </w:rPr>
        <w:t xml:space="preserve"> </w:t>
      </w:r>
      <w:r>
        <w:rPr>
          <w:spacing w:val="-1"/>
        </w:rPr>
        <w:t>in</w:t>
      </w:r>
      <w:r>
        <w:rPr>
          <w:spacing w:val="61"/>
        </w:rPr>
        <w:t xml:space="preserve"> </w:t>
      </w:r>
      <w:r>
        <w:rPr>
          <w:spacing w:val="-1"/>
        </w:rPr>
        <w:t>relation</w:t>
      </w:r>
      <w:r>
        <w:rPr>
          <w:spacing w:val="26"/>
        </w:rPr>
        <w:t xml:space="preserve"> </w:t>
      </w:r>
      <w:r>
        <w:t>to</w:t>
      </w:r>
      <w:r>
        <w:rPr>
          <w:spacing w:val="26"/>
        </w:rPr>
        <w:t xml:space="preserve"> </w:t>
      </w:r>
      <w:r>
        <w:rPr>
          <w:spacing w:val="-1"/>
        </w:rPr>
        <w:t>its</w:t>
      </w:r>
      <w:r>
        <w:rPr>
          <w:spacing w:val="26"/>
        </w:rPr>
        <w:t xml:space="preserve"> </w:t>
      </w:r>
      <w:r>
        <w:rPr>
          <w:spacing w:val="-1"/>
        </w:rPr>
        <w:t>obligations</w:t>
      </w:r>
      <w:r>
        <w:rPr>
          <w:spacing w:val="26"/>
        </w:rPr>
        <w:t xml:space="preserve"> </w:t>
      </w:r>
      <w:r>
        <w:rPr>
          <w:spacing w:val="-1"/>
        </w:rPr>
        <w:t>under</w:t>
      </w:r>
      <w:r>
        <w:rPr>
          <w:spacing w:val="27"/>
        </w:rPr>
        <w:t xml:space="preserve"> </w:t>
      </w:r>
      <w:r>
        <w:rPr>
          <w:spacing w:val="-1"/>
        </w:rPr>
        <w:t>regulation</w:t>
      </w:r>
      <w:r>
        <w:t xml:space="preserve"> </w:t>
      </w:r>
      <w:r>
        <w:rPr>
          <w:spacing w:val="-1"/>
        </w:rPr>
        <w:t>13</w:t>
      </w:r>
      <w:r>
        <w:rPr>
          <w:spacing w:val="23"/>
        </w:rPr>
        <w:t xml:space="preserve"> </w:t>
      </w:r>
      <w:r>
        <w:rPr>
          <w:spacing w:val="-1"/>
        </w:rPr>
        <w:t>of</w:t>
      </w:r>
      <w:r>
        <w:rPr>
          <w:spacing w:val="29"/>
        </w:rPr>
        <w:t xml:space="preserve"> </w:t>
      </w:r>
      <w:r>
        <w:t>the</w:t>
      </w:r>
      <w:r>
        <w:rPr>
          <w:spacing w:val="26"/>
        </w:rPr>
        <w:t xml:space="preserve"> </w:t>
      </w:r>
      <w:r>
        <w:rPr>
          <w:spacing w:val="-2"/>
        </w:rPr>
        <w:t>Employment</w:t>
      </w:r>
      <w:r>
        <w:rPr>
          <w:spacing w:val="48"/>
        </w:rPr>
        <w:t xml:space="preserve"> </w:t>
      </w:r>
      <w:r>
        <w:rPr>
          <w:spacing w:val="-1"/>
        </w:rPr>
        <w:t>Regulations,</w:t>
      </w:r>
      <w:r>
        <w:rPr>
          <w:spacing w:val="2"/>
        </w:rPr>
        <w:t xml:space="preserve"> </w:t>
      </w:r>
      <w:r>
        <w:rPr>
          <w:spacing w:val="-1"/>
        </w:rPr>
        <w:t>except</w:t>
      </w:r>
      <w:r>
        <w:rPr>
          <w:spacing w:val="2"/>
        </w:rPr>
        <w:t xml:space="preserve"> </w:t>
      </w:r>
      <w:r>
        <w:t xml:space="preserve">to </w:t>
      </w:r>
      <w:r>
        <w:rPr>
          <w:spacing w:val="-1"/>
        </w:rPr>
        <w:t>the</w:t>
      </w:r>
      <w:r>
        <w:t xml:space="preserve"> </w:t>
      </w:r>
      <w:r>
        <w:rPr>
          <w:spacing w:val="-1"/>
        </w:rPr>
        <w:t>extent</w:t>
      </w:r>
      <w:r>
        <w:rPr>
          <w:spacing w:val="2"/>
        </w:rPr>
        <w:t xml:space="preserve"> </w:t>
      </w:r>
      <w:r>
        <w:rPr>
          <w:spacing w:val="-1"/>
        </w:rPr>
        <w:t>that</w:t>
      </w:r>
      <w:r>
        <w:rPr>
          <w:spacing w:val="2"/>
        </w:rPr>
        <w:t xml:space="preserve"> </w:t>
      </w:r>
      <w:r>
        <w:t xml:space="preserve">the </w:t>
      </w:r>
      <w:r>
        <w:rPr>
          <w:spacing w:val="-1"/>
        </w:rPr>
        <w:t>liability</w:t>
      </w:r>
      <w:r>
        <w:rPr>
          <w:spacing w:val="1"/>
        </w:rPr>
        <w:t xml:space="preserve"> </w:t>
      </w:r>
      <w:r>
        <w:rPr>
          <w:spacing w:val="-1"/>
        </w:rPr>
        <w:t>arises</w:t>
      </w:r>
      <w:r>
        <w:rPr>
          <w:spacing w:val="-2"/>
        </w:rPr>
        <w:t xml:space="preserve"> </w:t>
      </w:r>
      <w:r>
        <w:t>from</w:t>
      </w:r>
      <w:r>
        <w:rPr>
          <w:spacing w:val="2"/>
        </w:rPr>
        <w:t xml:space="preserve"> </w:t>
      </w:r>
      <w:r>
        <w:t>the</w:t>
      </w:r>
      <w:r>
        <w:rPr>
          <w:spacing w:val="-1"/>
        </w:rPr>
        <w:t xml:space="preserve"> failure</w:t>
      </w:r>
      <w:r>
        <w:rPr>
          <w:spacing w:val="33"/>
        </w:rPr>
        <w:t xml:space="preserve"> </w:t>
      </w:r>
      <w:r>
        <w:rPr>
          <w:spacing w:val="-1"/>
        </w:rPr>
        <w:t>by</w:t>
      </w:r>
      <w:r>
        <w:rPr>
          <w:spacing w:val="55"/>
        </w:rPr>
        <w:t xml:space="preserve"> </w:t>
      </w:r>
      <w:r>
        <w:t>the</w:t>
      </w:r>
      <w:r>
        <w:rPr>
          <w:spacing w:val="57"/>
        </w:rPr>
        <w:t xml:space="preserve"> </w:t>
      </w:r>
      <w:r>
        <w:rPr>
          <w:spacing w:val="-1"/>
        </w:rPr>
        <w:t>Customer</w:t>
      </w:r>
      <w:r>
        <w:rPr>
          <w:spacing w:val="55"/>
        </w:rPr>
        <w:t xml:space="preserve"> </w:t>
      </w:r>
      <w:r>
        <w:rPr>
          <w:spacing w:val="-1"/>
        </w:rPr>
        <w:t>and/or</w:t>
      </w:r>
      <w:r>
        <w:rPr>
          <w:spacing w:val="58"/>
        </w:rPr>
        <w:t xml:space="preserve"> </w:t>
      </w:r>
      <w:r>
        <w:rPr>
          <w:spacing w:val="-2"/>
        </w:rPr>
        <w:t>Replacement</w:t>
      </w:r>
      <w:r>
        <w:rPr>
          <w:spacing w:val="56"/>
        </w:rPr>
        <w:t xml:space="preserve"> </w:t>
      </w:r>
      <w:r>
        <w:rPr>
          <w:spacing w:val="-2"/>
        </w:rPr>
        <w:t>Supplier</w:t>
      </w:r>
      <w:r>
        <w:rPr>
          <w:spacing w:val="58"/>
        </w:rPr>
        <w:t xml:space="preserve"> </w:t>
      </w:r>
      <w:r>
        <w:t>to</w:t>
      </w:r>
      <w:r>
        <w:rPr>
          <w:spacing w:val="58"/>
        </w:rPr>
        <w:t xml:space="preserve"> </w:t>
      </w:r>
      <w:r>
        <w:rPr>
          <w:spacing w:val="-2"/>
        </w:rPr>
        <w:t>comply</w:t>
      </w:r>
      <w:r>
        <w:rPr>
          <w:spacing w:val="55"/>
        </w:rPr>
        <w:t xml:space="preserve"> </w:t>
      </w:r>
      <w:r>
        <w:rPr>
          <w:spacing w:val="-1"/>
        </w:rPr>
        <w:t>with</w:t>
      </w:r>
      <w:r>
        <w:rPr>
          <w:spacing w:val="49"/>
        </w:rPr>
        <w:t xml:space="preserve"> </w:t>
      </w:r>
      <w:r>
        <w:rPr>
          <w:spacing w:val="-1"/>
        </w:rPr>
        <w:t>regulation</w:t>
      </w:r>
      <w:r>
        <w:rPr>
          <w:spacing w:val="1"/>
        </w:rPr>
        <w:t xml:space="preserve"> </w:t>
      </w:r>
      <w:r>
        <w:rPr>
          <w:spacing w:val="-1"/>
        </w:rPr>
        <w:t>13(4)</w:t>
      </w:r>
      <w:r>
        <w:rPr>
          <w:spacing w:val="2"/>
        </w:rPr>
        <w:t xml:space="preserve"> </w:t>
      </w:r>
      <w:r>
        <w:rPr>
          <w:spacing w:val="-2"/>
        </w:rPr>
        <w:t>of</w:t>
      </w:r>
      <w:r>
        <w:t xml:space="preserve"> the</w:t>
      </w:r>
      <w:r>
        <w:rPr>
          <w:spacing w:val="-2"/>
        </w:rPr>
        <w:t xml:space="preserve"> </w:t>
      </w:r>
      <w:r>
        <w:rPr>
          <w:spacing w:val="-1"/>
        </w:rPr>
        <w:t>Employment</w:t>
      </w:r>
      <w:r>
        <w:rPr>
          <w:spacing w:val="2"/>
        </w:rPr>
        <w:t xml:space="preserve"> </w:t>
      </w:r>
      <w:r>
        <w:rPr>
          <w:spacing w:val="-2"/>
        </w:rPr>
        <w:t>Regulations.</w:t>
      </w:r>
    </w:p>
    <w:p w:rsidR="008918FA" w:rsidRDefault="008918FA" w:rsidP="008918FA">
      <w:pPr>
        <w:pStyle w:val="BodyText"/>
        <w:numPr>
          <w:ilvl w:val="1"/>
          <w:numId w:val="7"/>
        </w:numPr>
        <w:tabs>
          <w:tab w:val="left" w:pos="689"/>
        </w:tabs>
        <w:spacing w:before="121"/>
        <w:ind w:left="688" w:right="112" w:hanging="359"/>
        <w:jc w:val="both"/>
      </w:pPr>
      <w:r>
        <w:t>The</w:t>
      </w:r>
      <w:r>
        <w:rPr>
          <w:spacing w:val="31"/>
        </w:rPr>
        <w:t xml:space="preserve"> </w:t>
      </w:r>
      <w:r>
        <w:rPr>
          <w:spacing w:val="-1"/>
        </w:rPr>
        <w:t>indemnities</w:t>
      </w:r>
      <w:r>
        <w:rPr>
          <w:spacing w:val="32"/>
        </w:rPr>
        <w:t xml:space="preserve"> </w:t>
      </w:r>
      <w:r>
        <w:rPr>
          <w:spacing w:val="-1"/>
        </w:rPr>
        <w:t>in</w:t>
      </w:r>
      <w:r>
        <w:rPr>
          <w:spacing w:val="31"/>
        </w:rPr>
        <w:t xml:space="preserve"> </w:t>
      </w:r>
      <w:r>
        <w:rPr>
          <w:spacing w:val="-1"/>
        </w:rPr>
        <w:t>paragraphs</w:t>
      </w:r>
      <w:r>
        <w:rPr>
          <w:spacing w:val="33"/>
        </w:rPr>
        <w:t xml:space="preserve"> </w:t>
      </w:r>
      <w:hyperlink w:anchor="_bookmark397" w:history="1">
        <w:r>
          <w:t>2.3</w:t>
        </w:r>
      </w:hyperlink>
      <w:r>
        <w:rPr>
          <w:spacing w:val="31"/>
        </w:rPr>
        <w:t xml:space="preserve"> </w:t>
      </w:r>
      <w:r>
        <w:rPr>
          <w:spacing w:val="-2"/>
        </w:rPr>
        <w:t>of</w:t>
      </w:r>
      <w:r>
        <w:rPr>
          <w:spacing w:val="35"/>
        </w:rPr>
        <w:t xml:space="preserve"> </w:t>
      </w:r>
      <w:r>
        <w:rPr>
          <w:spacing w:val="-1"/>
        </w:rPr>
        <w:t>Part</w:t>
      </w:r>
      <w:r>
        <w:rPr>
          <w:spacing w:val="34"/>
        </w:rPr>
        <w:t xml:space="preserve"> </w:t>
      </w:r>
      <w:r>
        <w:t>D</w:t>
      </w:r>
      <w:r>
        <w:rPr>
          <w:spacing w:val="31"/>
        </w:rPr>
        <w:t xml:space="preserve"> </w:t>
      </w:r>
      <w:r>
        <w:rPr>
          <w:spacing w:val="-2"/>
        </w:rPr>
        <w:t>of</w:t>
      </w:r>
      <w:r>
        <w:rPr>
          <w:spacing w:val="33"/>
        </w:rPr>
        <w:t xml:space="preserve"> </w:t>
      </w:r>
      <w:r>
        <w:rPr>
          <w:spacing w:val="-1"/>
        </w:rPr>
        <w:t>this</w:t>
      </w:r>
      <w:r>
        <w:rPr>
          <w:spacing w:val="32"/>
        </w:rPr>
        <w:t xml:space="preserve"> </w:t>
      </w:r>
      <w:r>
        <w:rPr>
          <w:spacing w:val="-2"/>
        </w:rPr>
        <w:t>Call</w:t>
      </w:r>
      <w:r>
        <w:rPr>
          <w:spacing w:val="33"/>
        </w:rPr>
        <w:t xml:space="preserve"> </w:t>
      </w:r>
      <w:r>
        <w:t>Off</w:t>
      </w:r>
      <w:r>
        <w:rPr>
          <w:spacing w:val="35"/>
        </w:rPr>
        <w:t xml:space="preserve"> </w:t>
      </w:r>
      <w:r>
        <w:rPr>
          <w:spacing w:val="-1"/>
        </w:rPr>
        <w:t>Schedule</w:t>
      </w:r>
      <w:r>
        <w:t xml:space="preserve">  </w:t>
      </w:r>
      <w:r>
        <w:rPr>
          <w:spacing w:val="-1"/>
        </w:rPr>
        <w:t>shall</w:t>
      </w:r>
      <w:r>
        <w:rPr>
          <w:spacing w:val="32"/>
        </w:rPr>
        <w:t xml:space="preserve"> </w:t>
      </w:r>
      <w:r>
        <w:rPr>
          <w:spacing w:val="-1"/>
        </w:rPr>
        <w:t>not</w:t>
      </w:r>
      <w:r>
        <w:rPr>
          <w:spacing w:val="38"/>
        </w:rPr>
        <w:t xml:space="preserve"> </w:t>
      </w:r>
      <w:r>
        <w:rPr>
          <w:spacing w:val="-1"/>
        </w:rPr>
        <w:t>apply</w:t>
      </w:r>
      <w:r>
        <w:rPr>
          <w:spacing w:val="1"/>
        </w:rPr>
        <w:t xml:space="preserve"> </w:t>
      </w:r>
      <w:r>
        <w:t>to</w:t>
      </w:r>
      <w:r>
        <w:rPr>
          <w:spacing w:val="3"/>
        </w:rPr>
        <w:t xml:space="preserve"> </w:t>
      </w:r>
      <w:r>
        <w:t>the</w:t>
      </w:r>
      <w:r>
        <w:rPr>
          <w:spacing w:val="3"/>
        </w:rPr>
        <w:t xml:space="preserve"> </w:t>
      </w:r>
      <w:r>
        <w:rPr>
          <w:spacing w:val="-2"/>
        </w:rPr>
        <w:t>extent</w:t>
      </w:r>
      <w:r>
        <w:rPr>
          <w:spacing w:val="2"/>
        </w:rPr>
        <w:t xml:space="preserve"> </w:t>
      </w:r>
      <w:r>
        <w:rPr>
          <w:spacing w:val="-1"/>
        </w:rPr>
        <w:t>that</w:t>
      </w:r>
      <w:r>
        <w:rPr>
          <w:spacing w:val="2"/>
        </w:rPr>
        <w:t xml:space="preserve"> </w:t>
      </w:r>
      <w:r>
        <w:rPr>
          <w:spacing w:val="-1"/>
        </w:rPr>
        <w:t>the</w:t>
      </w:r>
      <w:r>
        <w:rPr>
          <w:spacing w:val="3"/>
        </w:rPr>
        <w:t xml:space="preserve"> </w:t>
      </w:r>
      <w:r>
        <w:rPr>
          <w:spacing w:val="-2"/>
        </w:rPr>
        <w:t>Employee</w:t>
      </w:r>
      <w:r>
        <w:rPr>
          <w:spacing w:val="3"/>
        </w:rPr>
        <w:t xml:space="preserve"> </w:t>
      </w:r>
      <w:r>
        <w:rPr>
          <w:spacing w:val="-2"/>
        </w:rPr>
        <w:t>Liabilities</w:t>
      </w:r>
      <w:r>
        <w:rPr>
          <w:spacing w:val="3"/>
        </w:rPr>
        <w:t xml:space="preserve"> </w:t>
      </w:r>
      <w:r>
        <w:rPr>
          <w:spacing w:val="-1"/>
        </w:rPr>
        <w:t>arise</w:t>
      </w:r>
      <w:r>
        <w:rPr>
          <w:spacing w:val="3"/>
        </w:rPr>
        <w:t xml:space="preserve"> </w:t>
      </w:r>
      <w:r>
        <w:rPr>
          <w:spacing w:val="-1"/>
        </w:rPr>
        <w:t>or</w:t>
      </w:r>
      <w:r>
        <w:rPr>
          <w:spacing w:val="2"/>
        </w:rPr>
        <w:t xml:space="preserve"> </w:t>
      </w:r>
      <w:r>
        <w:rPr>
          <w:spacing w:val="-1"/>
        </w:rPr>
        <w:t>are</w:t>
      </w:r>
      <w:r>
        <w:t xml:space="preserve"> </w:t>
      </w:r>
      <w:r>
        <w:rPr>
          <w:spacing w:val="-1"/>
        </w:rPr>
        <w:t>attributable</w:t>
      </w:r>
      <w:r>
        <w:t xml:space="preserve"> to </w:t>
      </w:r>
      <w:r>
        <w:rPr>
          <w:spacing w:val="-1"/>
        </w:rPr>
        <w:t>an</w:t>
      </w:r>
      <w:r>
        <w:rPr>
          <w:spacing w:val="3"/>
        </w:rPr>
        <w:t xml:space="preserve"> </w:t>
      </w:r>
      <w:r>
        <w:rPr>
          <w:spacing w:val="-2"/>
        </w:rPr>
        <w:t>act</w:t>
      </w:r>
      <w:r>
        <w:rPr>
          <w:spacing w:val="4"/>
        </w:rPr>
        <w:t xml:space="preserve"> </w:t>
      </w:r>
      <w:r>
        <w:rPr>
          <w:spacing w:val="-2"/>
        </w:rPr>
        <w:t>or</w:t>
      </w:r>
      <w:r>
        <w:rPr>
          <w:spacing w:val="75"/>
        </w:rPr>
        <w:t xml:space="preserve"> </w:t>
      </w:r>
      <w:r>
        <w:rPr>
          <w:spacing w:val="-1"/>
        </w:rPr>
        <w:t>omission</w:t>
      </w:r>
      <w:r>
        <w:rPr>
          <w:spacing w:val="51"/>
        </w:rPr>
        <w:t xml:space="preserve"> </w:t>
      </w:r>
      <w:r>
        <w:rPr>
          <w:spacing w:val="-2"/>
        </w:rPr>
        <w:t>of</w:t>
      </w:r>
      <w:r>
        <w:rPr>
          <w:spacing w:val="52"/>
        </w:rPr>
        <w:t xml:space="preserve"> </w:t>
      </w:r>
      <w:r>
        <w:t>the</w:t>
      </w:r>
      <w:r>
        <w:rPr>
          <w:spacing w:val="48"/>
        </w:rPr>
        <w:t xml:space="preserve"> </w:t>
      </w:r>
      <w:r>
        <w:rPr>
          <w:spacing w:val="-1"/>
        </w:rPr>
        <w:t>Replacement</w:t>
      </w:r>
      <w:r>
        <w:rPr>
          <w:spacing w:val="50"/>
        </w:rPr>
        <w:t xml:space="preserve"> </w:t>
      </w:r>
      <w:r>
        <w:rPr>
          <w:spacing w:val="-2"/>
        </w:rPr>
        <w:t>Supplier</w:t>
      </w:r>
      <w:r>
        <w:rPr>
          <w:spacing w:val="52"/>
        </w:rPr>
        <w:t xml:space="preserve"> </w:t>
      </w:r>
      <w:r>
        <w:rPr>
          <w:spacing w:val="-1"/>
        </w:rPr>
        <w:t>and/or</w:t>
      </w:r>
      <w:r>
        <w:rPr>
          <w:spacing w:val="49"/>
        </w:rPr>
        <w:t xml:space="preserve"> </w:t>
      </w:r>
      <w:r>
        <w:rPr>
          <w:spacing w:val="-1"/>
        </w:rPr>
        <w:t>any</w:t>
      </w:r>
      <w:r>
        <w:rPr>
          <w:spacing w:val="50"/>
        </w:rPr>
        <w:t xml:space="preserve"> </w:t>
      </w:r>
      <w:r>
        <w:rPr>
          <w:spacing w:val="-1"/>
        </w:rPr>
        <w:t>Replacement</w:t>
      </w:r>
      <w:r>
        <w:rPr>
          <w:spacing w:val="52"/>
        </w:rPr>
        <w:t xml:space="preserve"> </w:t>
      </w:r>
      <w:r>
        <w:rPr>
          <w:spacing w:val="-1"/>
        </w:rPr>
        <w:t>Sub-Contractor</w:t>
      </w:r>
      <w:r>
        <w:rPr>
          <w:spacing w:val="33"/>
        </w:rPr>
        <w:t xml:space="preserve"> </w:t>
      </w:r>
      <w:r>
        <w:rPr>
          <w:spacing w:val="-1"/>
        </w:rPr>
        <w:t>whether</w:t>
      </w:r>
      <w:r>
        <w:rPr>
          <w:spacing w:val="6"/>
        </w:rPr>
        <w:t xml:space="preserve"> </w:t>
      </w:r>
      <w:r>
        <w:rPr>
          <w:spacing w:val="-1"/>
        </w:rPr>
        <w:t>occurring</w:t>
      </w:r>
      <w:r>
        <w:rPr>
          <w:spacing w:val="7"/>
        </w:rPr>
        <w:t xml:space="preserve"> </w:t>
      </w:r>
      <w:r>
        <w:rPr>
          <w:spacing w:val="-1"/>
        </w:rPr>
        <w:t>or</w:t>
      </w:r>
      <w:r>
        <w:rPr>
          <w:spacing w:val="6"/>
        </w:rPr>
        <w:t xml:space="preserve"> </w:t>
      </w:r>
      <w:r>
        <w:rPr>
          <w:spacing w:val="-2"/>
        </w:rPr>
        <w:t>having</w:t>
      </w:r>
      <w:r>
        <w:rPr>
          <w:spacing w:val="7"/>
        </w:rPr>
        <w:t xml:space="preserve"> </w:t>
      </w:r>
      <w:r>
        <w:rPr>
          <w:spacing w:val="-1"/>
        </w:rPr>
        <w:t>its</w:t>
      </w:r>
      <w:r>
        <w:rPr>
          <w:spacing w:val="5"/>
        </w:rPr>
        <w:t xml:space="preserve"> </w:t>
      </w:r>
      <w:r>
        <w:rPr>
          <w:spacing w:val="-1"/>
        </w:rPr>
        <w:t>origin</w:t>
      </w:r>
      <w:r>
        <w:rPr>
          <w:spacing w:val="5"/>
        </w:rPr>
        <w:t xml:space="preserve"> </w:t>
      </w:r>
      <w:r>
        <w:rPr>
          <w:spacing w:val="-1"/>
        </w:rPr>
        <w:t>before,</w:t>
      </w:r>
      <w:r>
        <w:rPr>
          <w:spacing w:val="7"/>
        </w:rPr>
        <w:t xml:space="preserve"> </w:t>
      </w:r>
      <w:r>
        <w:rPr>
          <w:spacing w:val="-1"/>
        </w:rPr>
        <w:t>on</w:t>
      </w:r>
      <w:r>
        <w:rPr>
          <w:spacing w:val="5"/>
        </w:rPr>
        <w:t xml:space="preserve"> </w:t>
      </w:r>
      <w:r>
        <w:rPr>
          <w:spacing w:val="-2"/>
        </w:rPr>
        <w:t>or</w:t>
      </w:r>
      <w:r>
        <w:rPr>
          <w:spacing w:val="6"/>
        </w:rPr>
        <w:t xml:space="preserve"> </w:t>
      </w:r>
      <w:r>
        <w:rPr>
          <w:spacing w:val="-1"/>
        </w:rPr>
        <w:t>after</w:t>
      </w:r>
      <w:r>
        <w:rPr>
          <w:spacing w:val="6"/>
        </w:rPr>
        <w:t xml:space="preserve"> </w:t>
      </w:r>
      <w:r>
        <w:rPr>
          <w:spacing w:val="1"/>
        </w:rPr>
        <w:t>the</w:t>
      </w:r>
      <w:r>
        <w:rPr>
          <w:spacing w:val="5"/>
        </w:rPr>
        <w:t xml:space="preserve"> </w:t>
      </w:r>
      <w:r>
        <w:rPr>
          <w:spacing w:val="-2"/>
        </w:rPr>
        <w:t>Service</w:t>
      </w:r>
      <w:r>
        <w:rPr>
          <w:spacing w:val="5"/>
        </w:rPr>
        <w:t xml:space="preserve"> </w:t>
      </w:r>
      <w:r>
        <w:rPr>
          <w:spacing w:val="-1"/>
        </w:rPr>
        <w:t>Transfer</w:t>
      </w:r>
      <w:r>
        <w:rPr>
          <w:spacing w:val="6"/>
        </w:rPr>
        <w:t xml:space="preserve"> </w:t>
      </w:r>
      <w:r>
        <w:rPr>
          <w:spacing w:val="-1"/>
        </w:rPr>
        <w:t>Date,</w:t>
      </w:r>
      <w:r>
        <w:rPr>
          <w:spacing w:val="52"/>
        </w:rPr>
        <w:t xml:space="preserve"> </w:t>
      </w:r>
      <w:r>
        <w:rPr>
          <w:spacing w:val="-2"/>
        </w:rPr>
        <w:t>including</w:t>
      </w:r>
      <w:r>
        <w:rPr>
          <w:spacing w:val="3"/>
        </w:rPr>
        <w:t xml:space="preserve"> </w:t>
      </w:r>
      <w:r>
        <w:rPr>
          <w:spacing w:val="-1"/>
        </w:rPr>
        <w:t>any</w:t>
      </w:r>
      <w:r>
        <w:rPr>
          <w:spacing w:val="-2"/>
        </w:rPr>
        <w:t xml:space="preserve"> Employee</w:t>
      </w:r>
      <w:r>
        <w:t xml:space="preserve"> </w:t>
      </w:r>
      <w:r>
        <w:rPr>
          <w:spacing w:val="-2"/>
        </w:rPr>
        <w:t>Liabilities:</w:t>
      </w:r>
    </w:p>
    <w:p w:rsidR="008918FA" w:rsidRDefault="008918FA" w:rsidP="008918FA">
      <w:pPr>
        <w:pStyle w:val="BodyText"/>
        <w:numPr>
          <w:ilvl w:val="2"/>
          <w:numId w:val="7"/>
        </w:numPr>
        <w:tabs>
          <w:tab w:val="left" w:pos="1887"/>
        </w:tabs>
        <w:spacing w:before="121"/>
        <w:ind w:left="1886" w:right="116"/>
        <w:jc w:val="both"/>
      </w:pPr>
      <w:r>
        <w:rPr>
          <w:spacing w:val="-1"/>
        </w:rPr>
        <w:t>arising</w:t>
      </w:r>
      <w:r>
        <w:rPr>
          <w:spacing w:val="39"/>
        </w:rPr>
        <w:t xml:space="preserve"> </w:t>
      </w:r>
      <w:r>
        <w:rPr>
          <w:spacing w:val="-1"/>
        </w:rPr>
        <w:t>out</w:t>
      </w:r>
      <w:r>
        <w:rPr>
          <w:spacing w:val="38"/>
        </w:rPr>
        <w:t xml:space="preserve"> </w:t>
      </w:r>
      <w:r>
        <w:rPr>
          <w:spacing w:val="-2"/>
        </w:rPr>
        <w:t>of</w:t>
      </w:r>
      <w:r>
        <w:rPr>
          <w:spacing w:val="40"/>
        </w:rPr>
        <w:t xml:space="preserve"> </w:t>
      </w:r>
      <w:r>
        <w:t>the</w:t>
      </w:r>
      <w:r>
        <w:rPr>
          <w:spacing w:val="34"/>
        </w:rPr>
        <w:t xml:space="preserve"> </w:t>
      </w:r>
      <w:r>
        <w:rPr>
          <w:spacing w:val="-1"/>
        </w:rPr>
        <w:t>resignation</w:t>
      </w:r>
      <w:r>
        <w:rPr>
          <w:spacing w:val="36"/>
        </w:rPr>
        <w:t xml:space="preserve"> </w:t>
      </w:r>
      <w:r>
        <w:rPr>
          <w:spacing w:val="-1"/>
        </w:rPr>
        <w:t>of</w:t>
      </w:r>
      <w:r>
        <w:rPr>
          <w:spacing w:val="40"/>
        </w:rPr>
        <w:t xml:space="preserve"> </w:t>
      </w:r>
      <w:r>
        <w:rPr>
          <w:spacing w:val="-1"/>
        </w:rPr>
        <w:t>any</w:t>
      </w:r>
      <w:r>
        <w:rPr>
          <w:spacing w:val="35"/>
        </w:rPr>
        <w:t xml:space="preserve"> </w:t>
      </w:r>
      <w:r>
        <w:rPr>
          <w:spacing w:val="-1"/>
        </w:rPr>
        <w:t>Transferring</w:t>
      </w:r>
      <w:r>
        <w:rPr>
          <w:spacing w:val="39"/>
        </w:rPr>
        <w:t xml:space="preserve"> </w:t>
      </w:r>
      <w:r>
        <w:rPr>
          <w:spacing w:val="-2"/>
        </w:rPr>
        <w:t>Supplier</w:t>
      </w:r>
      <w:r>
        <w:rPr>
          <w:spacing w:val="38"/>
        </w:rPr>
        <w:t xml:space="preserve"> </w:t>
      </w:r>
      <w:r>
        <w:rPr>
          <w:spacing w:val="-2"/>
        </w:rPr>
        <w:t>Employee</w:t>
      </w:r>
      <w:r>
        <w:rPr>
          <w:spacing w:val="46"/>
        </w:rPr>
        <w:t xml:space="preserve"> </w:t>
      </w:r>
      <w:r>
        <w:rPr>
          <w:spacing w:val="-1"/>
        </w:rPr>
        <w:t>before</w:t>
      </w:r>
      <w:r>
        <w:rPr>
          <w:spacing w:val="7"/>
        </w:rPr>
        <w:t xml:space="preserve"> </w:t>
      </w:r>
      <w:r>
        <w:t>the</w:t>
      </w:r>
      <w:r>
        <w:rPr>
          <w:spacing w:val="7"/>
        </w:rPr>
        <w:t xml:space="preserve"> </w:t>
      </w:r>
      <w:r>
        <w:rPr>
          <w:spacing w:val="-2"/>
        </w:rPr>
        <w:t>Service</w:t>
      </w:r>
      <w:r>
        <w:rPr>
          <w:spacing w:val="10"/>
        </w:rPr>
        <w:t xml:space="preserve"> </w:t>
      </w:r>
      <w:r>
        <w:rPr>
          <w:spacing w:val="-1"/>
        </w:rPr>
        <w:t>Transfer</w:t>
      </w:r>
      <w:r>
        <w:rPr>
          <w:spacing w:val="9"/>
        </w:rPr>
        <w:t xml:space="preserve"> </w:t>
      </w:r>
      <w:r>
        <w:rPr>
          <w:spacing w:val="-1"/>
        </w:rPr>
        <w:t>Date</w:t>
      </w:r>
      <w:r>
        <w:rPr>
          <w:spacing w:val="10"/>
        </w:rPr>
        <w:t xml:space="preserve"> </w:t>
      </w:r>
      <w:r>
        <w:rPr>
          <w:spacing w:val="-1"/>
        </w:rPr>
        <w:t>on</w:t>
      </w:r>
      <w:r>
        <w:rPr>
          <w:spacing w:val="7"/>
        </w:rPr>
        <w:t xml:space="preserve"> </w:t>
      </w:r>
      <w:r>
        <w:rPr>
          <w:spacing w:val="-1"/>
        </w:rPr>
        <w:t>account</w:t>
      </w:r>
      <w:r>
        <w:rPr>
          <w:spacing w:val="11"/>
        </w:rPr>
        <w:t xml:space="preserve"> </w:t>
      </w:r>
      <w:r>
        <w:rPr>
          <w:spacing w:val="-2"/>
        </w:rPr>
        <w:t>of</w:t>
      </w:r>
      <w:r>
        <w:rPr>
          <w:spacing w:val="9"/>
        </w:rPr>
        <w:t xml:space="preserve"> </w:t>
      </w:r>
      <w:r>
        <w:rPr>
          <w:spacing w:val="-1"/>
        </w:rPr>
        <w:t>substantial</w:t>
      </w:r>
      <w:r>
        <w:rPr>
          <w:spacing w:val="9"/>
        </w:rPr>
        <w:t xml:space="preserve"> </w:t>
      </w:r>
      <w:r>
        <w:rPr>
          <w:spacing w:val="-1"/>
        </w:rPr>
        <w:t>detrimental</w:t>
      </w:r>
      <w:r>
        <w:rPr>
          <w:spacing w:val="38"/>
        </w:rPr>
        <w:t xml:space="preserve"> </w:t>
      </w:r>
      <w:r>
        <w:rPr>
          <w:spacing w:val="-1"/>
        </w:rPr>
        <w:t>changes</w:t>
      </w:r>
      <w:r>
        <w:rPr>
          <w:spacing w:val="30"/>
        </w:rPr>
        <w:t xml:space="preserve"> </w:t>
      </w:r>
      <w:r>
        <w:t>to</w:t>
      </w:r>
      <w:r>
        <w:rPr>
          <w:spacing w:val="31"/>
        </w:rPr>
        <w:t xml:space="preserve"> </w:t>
      </w:r>
      <w:r>
        <w:rPr>
          <w:spacing w:val="-1"/>
        </w:rPr>
        <w:t>his/her</w:t>
      </w:r>
      <w:r>
        <w:rPr>
          <w:spacing w:val="33"/>
        </w:rPr>
        <w:t xml:space="preserve"> </w:t>
      </w:r>
      <w:r>
        <w:rPr>
          <w:spacing w:val="-2"/>
        </w:rPr>
        <w:t>working</w:t>
      </w:r>
      <w:r>
        <w:rPr>
          <w:spacing w:val="34"/>
        </w:rPr>
        <w:t xml:space="preserve"> </w:t>
      </w:r>
      <w:r>
        <w:rPr>
          <w:spacing w:val="-1"/>
        </w:rPr>
        <w:t>conditions</w:t>
      </w:r>
      <w:r>
        <w:rPr>
          <w:spacing w:val="32"/>
        </w:rPr>
        <w:t xml:space="preserve"> </w:t>
      </w:r>
      <w:r>
        <w:rPr>
          <w:spacing w:val="-1"/>
        </w:rPr>
        <w:t>proposed</w:t>
      </w:r>
      <w:r>
        <w:rPr>
          <w:spacing w:val="29"/>
        </w:rPr>
        <w:t xml:space="preserve"> </w:t>
      </w:r>
      <w:r>
        <w:rPr>
          <w:spacing w:val="-1"/>
        </w:rPr>
        <w:t>by</w:t>
      </w:r>
      <w:r>
        <w:rPr>
          <w:spacing w:val="30"/>
        </w:rPr>
        <w:t xml:space="preserve"> </w:t>
      </w:r>
      <w:r>
        <w:t>the</w:t>
      </w:r>
      <w:r>
        <w:rPr>
          <w:spacing w:val="33"/>
        </w:rPr>
        <w:t xml:space="preserve"> </w:t>
      </w:r>
      <w:r>
        <w:rPr>
          <w:spacing w:val="-1"/>
        </w:rPr>
        <w:t>Replacement</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right="118" w:firstLine="0"/>
      </w:pPr>
      <w:r>
        <w:rPr>
          <w:spacing w:val="-2"/>
        </w:rPr>
        <w:t>Supplier</w:t>
      </w:r>
      <w:r>
        <w:t xml:space="preserve"> </w:t>
      </w:r>
      <w:r>
        <w:rPr>
          <w:spacing w:val="-1"/>
        </w:rPr>
        <w:t>and/or</w:t>
      </w:r>
      <w:r>
        <w:rPr>
          <w:spacing w:val="22"/>
        </w:rPr>
        <w:t xml:space="preserve"> </w:t>
      </w:r>
      <w:r>
        <w:rPr>
          <w:spacing w:val="-1"/>
        </w:rPr>
        <w:t>any</w:t>
      </w:r>
      <w:r>
        <w:t xml:space="preserve"> </w:t>
      </w:r>
      <w:r>
        <w:rPr>
          <w:spacing w:val="19"/>
        </w:rPr>
        <w:t xml:space="preserve"> </w:t>
      </w:r>
      <w:r>
        <w:rPr>
          <w:spacing w:val="-1"/>
        </w:rPr>
        <w:t>Replacement</w:t>
      </w:r>
      <w:r>
        <w:t xml:space="preserve"> </w:t>
      </w:r>
      <w:r>
        <w:rPr>
          <w:spacing w:val="22"/>
        </w:rPr>
        <w:t xml:space="preserve"> </w:t>
      </w:r>
      <w:r>
        <w:rPr>
          <w:spacing w:val="-1"/>
        </w:rPr>
        <w:t>Sub-Contractor</w:t>
      </w:r>
      <w:r>
        <w:t xml:space="preserve"> </w:t>
      </w:r>
      <w:r>
        <w:rPr>
          <w:spacing w:val="20"/>
        </w:rPr>
        <w:t xml:space="preserve"> </w:t>
      </w:r>
      <w:r>
        <w:t xml:space="preserve">to </w:t>
      </w:r>
      <w:r>
        <w:rPr>
          <w:spacing w:val="21"/>
        </w:rPr>
        <w:t xml:space="preserve"> </w:t>
      </w:r>
      <w:r>
        <w:rPr>
          <w:spacing w:val="-1"/>
        </w:rPr>
        <w:t>occur</w:t>
      </w:r>
      <w:r>
        <w:t xml:space="preserve"> </w:t>
      </w:r>
      <w:r>
        <w:rPr>
          <w:spacing w:val="22"/>
        </w:rPr>
        <w:t xml:space="preserve"> </w:t>
      </w:r>
      <w:r>
        <w:rPr>
          <w:spacing w:val="-1"/>
        </w:rPr>
        <w:t>in</w:t>
      </w:r>
      <w:r>
        <w:t xml:space="preserve"> </w:t>
      </w:r>
      <w:r>
        <w:rPr>
          <w:spacing w:val="21"/>
        </w:rPr>
        <w:t xml:space="preserve"> </w:t>
      </w:r>
      <w:r>
        <w:rPr>
          <w:spacing w:val="-1"/>
        </w:rPr>
        <w:t>the</w:t>
      </w:r>
      <w:r>
        <w:rPr>
          <w:spacing w:val="38"/>
        </w:rPr>
        <w:t xml:space="preserve"> </w:t>
      </w:r>
      <w:r>
        <w:rPr>
          <w:spacing w:val="-1"/>
        </w:rPr>
        <w:t>period</w:t>
      </w:r>
      <w:r>
        <w:t xml:space="preserve"> </w:t>
      </w:r>
      <w:r>
        <w:rPr>
          <w:spacing w:val="-1"/>
        </w:rPr>
        <w:t>on</w:t>
      </w:r>
      <w:r>
        <w:t xml:space="preserve"> </w:t>
      </w:r>
      <w:r>
        <w:rPr>
          <w:spacing w:val="-2"/>
        </w:rPr>
        <w:t>or</w:t>
      </w:r>
      <w:r>
        <w:rPr>
          <w:spacing w:val="2"/>
        </w:rPr>
        <w:t xml:space="preserve"> </w:t>
      </w:r>
      <w:r>
        <w:rPr>
          <w:spacing w:val="-1"/>
        </w:rPr>
        <w:t xml:space="preserve">after </w:t>
      </w:r>
      <w:r>
        <w:t xml:space="preserve">the </w:t>
      </w:r>
      <w:r>
        <w:rPr>
          <w:spacing w:val="-2"/>
        </w:rPr>
        <w:t>Service</w:t>
      </w:r>
      <w:r>
        <w:rPr>
          <w:spacing w:val="1"/>
        </w:rPr>
        <w:t xml:space="preserve"> </w:t>
      </w:r>
      <w:r>
        <w:rPr>
          <w:spacing w:val="-1"/>
        </w:rPr>
        <w:t>Transfer Date);</w:t>
      </w:r>
      <w:r>
        <w:t xml:space="preserve"> </w:t>
      </w:r>
      <w:r>
        <w:rPr>
          <w:spacing w:val="-1"/>
        </w:rPr>
        <w:t>or</w:t>
      </w:r>
    </w:p>
    <w:p w:rsidR="008918FA" w:rsidRDefault="008918FA" w:rsidP="008918FA">
      <w:pPr>
        <w:pStyle w:val="BodyText"/>
        <w:numPr>
          <w:ilvl w:val="2"/>
          <w:numId w:val="7"/>
        </w:numPr>
        <w:tabs>
          <w:tab w:val="left" w:pos="1887"/>
        </w:tabs>
        <w:spacing w:before="121"/>
        <w:ind w:left="1886" w:right="111"/>
        <w:jc w:val="both"/>
      </w:pPr>
      <w:r>
        <w:rPr>
          <w:spacing w:val="-1"/>
        </w:rPr>
        <w:t>arising</w:t>
      </w:r>
      <w:r>
        <w:rPr>
          <w:spacing w:val="36"/>
        </w:rPr>
        <w:t xml:space="preserve"> </w:t>
      </w:r>
      <w:r>
        <w:rPr>
          <w:spacing w:val="-1"/>
        </w:rPr>
        <w:t>from</w:t>
      </w:r>
      <w:r>
        <w:rPr>
          <w:spacing w:val="38"/>
        </w:rPr>
        <w:t xml:space="preserve"> </w:t>
      </w:r>
      <w:r>
        <w:t>the</w:t>
      </w:r>
      <w:r>
        <w:rPr>
          <w:spacing w:val="34"/>
        </w:rPr>
        <w:t xml:space="preserve"> </w:t>
      </w:r>
      <w:r>
        <w:rPr>
          <w:spacing w:val="-1"/>
        </w:rPr>
        <w:t>Replacement</w:t>
      </w:r>
      <w:r>
        <w:rPr>
          <w:spacing w:val="38"/>
        </w:rPr>
        <w:t xml:space="preserve"> </w:t>
      </w:r>
      <w:r>
        <w:rPr>
          <w:spacing w:val="-2"/>
        </w:rPr>
        <w:t>Supplier’s</w:t>
      </w:r>
      <w:r>
        <w:rPr>
          <w:spacing w:val="34"/>
        </w:rPr>
        <w:t xml:space="preserve"> </w:t>
      </w:r>
      <w:r>
        <w:rPr>
          <w:spacing w:val="-1"/>
        </w:rPr>
        <w:t>failure,</w:t>
      </w:r>
      <w:r>
        <w:rPr>
          <w:spacing w:val="35"/>
        </w:rPr>
        <w:t xml:space="preserve"> </w:t>
      </w:r>
      <w:r>
        <w:rPr>
          <w:spacing w:val="-1"/>
        </w:rPr>
        <w:t>and/or</w:t>
      </w:r>
      <w:r>
        <w:rPr>
          <w:spacing w:val="39"/>
        </w:rPr>
        <w:t xml:space="preserve"> </w:t>
      </w:r>
      <w:r>
        <w:rPr>
          <w:spacing w:val="-2"/>
        </w:rPr>
        <w:t>Replacement</w:t>
      </w:r>
      <w:r>
        <w:rPr>
          <w:spacing w:val="52"/>
        </w:rPr>
        <w:t xml:space="preserve"> </w:t>
      </w:r>
      <w:r>
        <w:rPr>
          <w:spacing w:val="-1"/>
        </w:rPr>
        <w:t>Sub-Contractor’s</w:t>
      </w:r>
      <w:r>
        <w:rPr>
          <w:spacing w:val="24"/>
        </w:rPr>
        <w:t xml:space="preserve"> </w:t>
      </w:r>
      <w:r>
        <w:rPr>
          <w:spacing w:val="-1"/>
        </w:rPr>
        <w:t>failure,</w:t>
      </w:r>
      <w:r>
        <w:rPr>
          <w:spacing w:val="27"/>
        </w:rPr>
        <w:t xml:space="preserve"> </w:t>
      </w:r>
      <w:r>
        <w:t>to</w:t>
      </w:r>
      <w:r>
        <w:rPr>
          <w:spacing w:val="28"/>
        </w:rPr>
        <w:t xml:space="preserve"> </w:t>
      </w:r>
      <w:r>
        <w:rPr>
          <w:spacing w:val="-2"/>
        </w:rPr>
        <w:t>comply</w:t>
      </w:r>
      <w:r>
        <w:rPr>
          <w:spacing w:val="26"/>
        </w:rPr>
        <w:t xml:space="preserve"> </w:t>
      </w:r>
      <w:r>
        <w:rPr>
          <w:spacing w:val="-2"/>
        </w:rPr>
        <w:t>with</w:t>
      </w:r>
      <w:r>
        <w:rPr>
          <w:spacing w:val="28"/>
        </w:rPr>
        <w:t xml:space="preserve"> </w:t>
      </w:r>
      <w:r>
        <w:rPr>
          <w:spacing w:val="-1"/>
        </w:rPr>
        <w:t>its</w:t>
      </w:r>
      <w:r>
        <w:rPr>
          <w:spacing w:val="28"/>
        </w:rPr>
        <w:t xml:space="preserve"> </w:t>
      </w:r>
      <w:r>
        <w:rPr>
          <w:spacing w:val="-1"/>
        </w:rPr>
        <w:t>obligations</w:t>
      </w:r>
      <w:r>
        <w:rPr>
          <w:spacing w:val="28"/>
        </w:rPr>
        <w:t xml:space="preserve"> </w:t>
      </w:r>
      <w:r>
        <w:rPr>
          <w:spacing w:val="-2"/>
        </w:rPr>
        <w:t>under</w:t>
      </w:r>
      <w:r>
        <w:rPr>
          <w:spacing w:val="29"/>
        </w:rPr>
        <w:t xml:space="preserve"> </w:t>
      </w:r>
      <w:r>
        <w:t>the</w:t>
      </w:r>
      <w:r>
        <w:rPr>
          <w:spacing w:val="49"/>
        </w:rPr>
        <w:t xml:space="preserve"> </w:t>
      </w:r>
      <w:r>
        <w:rPr>
          <w:spacing w:val="-1"/>
        </w:rPr>
        <w:t>Employment</w:t>
      </w:r>
      <w:r>
        <w:rPr>
          <w:spacing w:val="2"/>
        </w:rPr>
        <w:t xml:space="preserve"> </w:t>
      </w:r>
      <w:r>
        <w:rPr>
          <w:spacing w:val="-2"/>
        </w:rPr>
        <w:t>Regulations.</w:t>
      </w:r>
    </w:p>
    <w:p w:rsidR="008918FA" w:rsidRDefault="008918FA" w:rsidP="008918FA">
      <w:pPr>
        <w:pStyle w:val="BodyText"/>
        <w:numPr>
          <w:ilvl w:val="1"/>
          <w:numId w:val="7"/>
        </w:numPr>
        <w:tabs>
          <w:tab w:val="left" w:pos="689"/>
        </w:tabs>
        <w:ind w:left="688" w:right="111" w:hanging="359"/>
        <w:jc w:val="both"/>
      </w:pPr>
      <w:bookmarkStart w:id="480" w:name="_bookmark398"/>
      <w:bookmarkEnd w:id="480"/>
      <w:r>
        <w:rPr>
          <w:spacing w:val="-1"/>
        </w:rPr>
        <w:t>If</w:t>
      </w:r>
      <w:r>
        <w:rPr>
          <w:spacing w:val="24"/>
        </w:rPr>
        <w:t xml:space="preserve"> </w:t>
      </w:r>
      <w:r>
        <w:rPr>
          <w:spacing w:val="-1"/>
        </w:rPr>
        <w:t>any</w:t>
      </w:r>
      <w:r>
        <w:rPr>
          <w:spacing w:val="19"/>
        </w:rPr>
        <w:t xml:space="preserve"> </w:t>
      </w:r>
      <w:r>
        <w:rPr>
          <w:spacing w:val="-1"/>
        </w:rPr>
        <w:t>person</w:t>
      </w:r>
      <w:r>
        <w:rPr>
          <w:spacing w:val="21"/>
        </w:rPr>
        <w:t xml:space="preserve"> </w:t>
      </w:r>
      <w:r>
        <w:rPr>
          <w:spacing w:val="-2"/>
        </w:rPr>
        <w:t>who</w:t>
      </w:r>
      <w:r>
        <w:rPr>
          <w:spacing w:val="21"/>
        </w:rPr>
        <w:t xml:space="preserve"> </w:t>
      </w:r>
      <w:r>
        <w:rPr>
          <w:spacing w:val="-1"/>
        </w:rPr>
        <w:t>is</w:t>
      </w:r>
      <w:r>
        <w:rPr>
          <w:spacing w:val="21"/>
        </w:rPr>
        <w:t xml:space="preserve"> </w:t>
      </w:r>
      <w:r>
        <w:rPr>
          <w:spacing w:val="-1"/>
        </w:rPr>
        <w:t>not</w:t>
      </w:r>
      <w:r>
        <w:rPr>
          <w:spacing w:val="22"/>
        </w:rPr>
        <w:t xml:space="preserve"> </w:t>
      </w:r>
      <w:r>
        <w:t>a</w:t>
      </w:r>
      <w:r>
        <w:rPr>
          <w:spacing w:val="18"/>
        </w:rPr>
        <w:t xml:space="preserve"> </w:t>
      </w:r>
      <w:r>
        <w:rPr>
          <w:spacing w:val="-1"/>
        </w:rPr>
        <w:t>Transferring</w:t>
      </w:r>
      <w:r>
        <w:rPr>
          <w:spacing w:val="23"/>
        </w:rPr>
        <w:t xml:space="preserve"> </w:t>
      </w:r>
      <w:r>
        <w:rPr>
          <w:spacing w:val="-2"/>
        </w:rPr>
        <w:t>Supplier</w:t>
      </w:r>
      <w:r>
        <w:rPr>
          <w:spacing w:val="22"/>
        </w:rPr>
        <w:t xml:space="preserve"> </w:t>
      </w:r>
      <w:r>
        <w:rPr>
          <w:spacing w:val="-2"/>
        </w:rPr>
        <w:t>Employee</w:t>
      </w:r>
      <w:r>
        <w:rPr>
          <w:spacing w:val="21"/>
        </w:rPr>
        <w:t xml:space="preserve"> </w:t>
      </w:r>
      <w:r>
        <w:rPr>
          <w:spacing w:val="-1"/>
        </w:rPr>
        <w:t>claims,</w:t>
      </w:r>
      <w:r>
        <w:rPr>
          <w:spacing w:val="20"/>
        </w:rPr>
        <w:t xml:space="preserve"> </w:t>
      </w:r>
      <w:r>
        <w:rPr>
          <w:spacing w:val="-1"/>
        </w:rPr>
        <w:t>or</w:t>
      </w:r>
      <w:r>
        <w:rPr>
          <w:spacing w:val="22"/>
        </w:rPr>
        <w:t xml:space="preserve"> </w:t>
      </w:r>
      <w:r>
        <w:rPr>
          <w:spacing w:val="-1"/>
        </w:rPr>
        <w:t>it</w:t>
      </w:r>
      <w:r>
        <w:rPr>
          <w:spacing w:val="20"/>
        </w:rPr>
        <w:t xml:space="preserve"> </w:t>
      </w:r>
      <w:r>
        <w:rPr>
          <w:spacing w:val="-1"/>
        </w:rPr>
        <w:t>is</w:t>
      </w:r>
      <w:r>
        <w:rPr>
          <w:spacing w:val="39"/>
        </w:rPr>
        <w:t xml:space="preserve"> </w:t>
      </w:r>
      <w:r>
        <w:rPr>
          <w:spacing w:val="-1"/>
        </w:rPr>
        <w:t>determined</w:t>
      </w:r>
      <w:r>
        <w:rPr>
          <w:spacing w:val="12"/>
        </w:rPr>
        <w:t xml:space="preserve"> </w:t>
      </w:r>
      <w:r>
        <w:rPr>
          <w:spacing w:val="-1"/>
        </w:rPr>
        <w:t>in</w:t>
      </w:r>
      <w:r>
        <w:rPr>
          <w:spacing w:val="12"/>
        </w:rPr>
        <w:t xml:space="preserve"> </w:t>
      </w:r>
      <w:r>
        <w:rPr>
          <w:spacing w:val="-1"/>
        </w:rPr>
        <w:t>relation</w:t>
      </w:r>
      <w:r>
        <w:rPr>
          <w:spacing w:val="12"/>
        </w:rPr>
        <w:t xml:space="preserve"> </w:t>
      </w:r>
      <w:r>
        <w:t>to</w:t>
      </w:r>
      <w:r>
        <w:rPr>
          <w:spacing w:val="10"/>
        </w:rPr>
        <w:t xml:space="preserve"> </w:t>
      </w:r>
      <w:r>
        <w:rPr>
          <w:spacing w:val="-1"/>
        </w:rPr>
        <w:t>any</w:t>
      </w:r>
      <w:r>
        <w:rPr>
          <w:spacing w:val="10"/>
        </w:rPr>
        <w:t xml:space="preserve"> </w:t>
      </w:r>
      <w:r>
        <w:rPr>
          <w:spacing w:val="-1"/>
        </w:rPr>
        <w:t>person</w:t>
      </w:r>
      <w:r>
        <w:rPr>
          <w:spacing w:val="15"/>
        </w:rPr>
        <w:t xml:space="preserve"> </w:t>
      </w:r>
      <w:r>
        <w:rPr>
          <w:spacing w:val="-2"/>
        </w:rPr>
        <w:t>who</w:t>
      </w:r>
      <w:r>
        <w:rPr>
          <w:spacing w:val="12"/>
        </w:rPr>
        <w:t xml:space="preserve"> </w:t>
      </w:r>
      <w:r>
        <w:rPr>
          <w:spacing w:val="-1"/>
        </w:rPr>
        <w:t>is</w:t>
      </w:r>
      <w:r>
        <w:rPr>
          <w:spacing w:val="13"/>
        </w:rPr>
        <w:t xml:space="preserve"> </w:t>
      </w:r>
      <w:r>
        <w:rPr>
          <w:spacing w:val="-1"/>
        </w:rPr>
        <w:t>not</w:t>
      </w:r>
      <w:r>
        <w:rPr>
          <w:spacing w:val="14"/>
        </w:rPr>
        <w:t xml:space="preserve"> </w:t>
      </w:r>
      <w:r>
        <w:t>a</w:t>
      </w:r>
      <w:r>
        <w:rPr>
          <w:spacing w:val="12"/>
        </w:rPr>
        <w:t xml:space="preserve"> </w:t>
      </w:r>
      <w:r>
        <w:rPr>
          <w:spacing w:val="-1"/>
        </w:rPr>
        <w:t>Transferring</w:t>
      </w:r>
      <w:r>
        <w:rPr>
          <w:spacing w:val="15"/>
        </w:rPr>
        <w:t xml:space="preserve"> </w:t>
      </w:r>
      <w:r>
        <w:rPr>
          <w:spacing w:val="-2"/>
        </w:rPr>
        <w:t>Supplier</w:t>
      </w:r>
      <w:r>
        <w:rPr>
          <w:spacing w:val="14"/>
        </w:rPr>
        <w:t xml:space="preserve"> </w:t>
      </w:r>
      <w:r>
        <w:rPr>
          <w:spacing w:val="-2"/>
        </w:rPr>
        <w:t>Employee,</w:t>
      </w:r>
      <w:r>
        <w:rPr>
          <w:spacing w:val="52"/>
        </w:rPr>
        <w:t xml:space="preserve"> </w:t>
      </w:r>
      <w:r>
        <w:rPr>
          <w:spacing w:val="-1"/>
        </w:rPr>
        <w:t>that</w:t>
      </w:r>
      <w:r>
        <w:rPr>
          <w:spacing w:val="16"/>
        </w:rPr>
        <w:t xml:space="preserve"> </w:t>
      </w:r>
      <w:r>
        <w:rPr>
          <w:spacing w:val="-1"/>
        </w:rPr>
        <w:t>his/her</w:t>
      </w:r>
      <w:r>
        <w:rPr>
          <w:spacing w:val="16"/>
        </w:rPr>
        <w:t xml:space="preserve"> </w:t>
      </w:r>
      <w:r>
        <w:rPr>
          <w:spacing w:val="-1"/>
        </w:rPr>
        <w:t>contract</w:t>
      </w:r>
      <w:r>
        <w:rPr>
          <w:spacing w:val="16"/>
        </w:rPr>
        <w:t xml:space="preserve"> </w:t>
      </w:r>
      <w:r>
        <w:rPr>
          <w:spacing w:val="-2"/>
        </w:rPr>
        <w:t>of</w:t>
      </w:r>
      <w:r>
        <w:rPr>
          <w:spacing w:val="16"/>
        </w:rPr>
        <w:t xml:space="preserve"> </w:t>
      </w:r>
      <w:r>
        <w:rPr>
          <w:spacing w:val="-2"/>
        </w:rPr>
        <w:t>employment</w:t>
      </w:r>
      <w:r>
        <w:rPr>
          <w:spacing w:val="16"/>
        </w:rPr>
        <w:t xml:space="preserve"> </w:t>
      </w:r>
      <w:r>
        <w:rPr>
          <w:spacing w:val="-1"/>
        </w:rPr>
        <w:t>has</w:t>
      </w:r>
      <w:r>
        <w:rPr>
          <w:spacing w:val="15"/>
        </w:rPr>
        <w:t xml:space="preserve"> </w:t>
      </w:r>
      <w:r>
        <w:rPr>
          <w:spacing w:val="-1"/>
        </w:rPr>
        <w:t>been</w:t>
      </w:r>
      <w:r>
        <w:rPr>
          <w:spacing w:val="12"/>
        </w:rPr>
        <w:t xml:space="preserve"> </w:t>
      </w:r>
      <w:r>
        <w:rPr>
          <w:spacing w:val="-1"/>
        </w:rPr>
        <w:t>transferred</w:t>
      </w:r>
      <w:r>
        <w:rPr>
          <w:spacing w:val="12"/>
        </w:rPr>
        <w:t xml:space="preserve"> </w:t>
      </w:r>
      <w:r>
        <w:t>from</w:t>
      </w:r>
      <w:r>
        <w:rPr>
          <w:spacing w:val="14"/>
        </w:rPr>
        <w:t xml:space="preserve"> </w:t>
      </w:r>
      <w:r>
        <w:t>the</w:t>
      </w:r>
      <w:r>
        <w:rPr>
          <w:spacing w:val="15"/>
        </w:rPr>
        <w:t xml:space="preserve"> </w:t>
      </w:r>
      <w:r>
        <w:rPr>
          <w:spacing w:val="-2"/>
        </w:rPr>
        <w:t>Supplier</w:t>
      </w:r>
      <w:r>
        <w:rPr>
          <w:spacing w:val="16"/>
        </w:rPr>
        <w:t xml:space="preserve"> </w:t>
      </w:r>
      <w:r>
        <w:rPr>
          <w:spacing w:val="-1"/>
        </w:rPr>
        <w:t>or</w:t>
      </w:r>
      <w:r>
        <w:rPr>
          <w:spacing w:val="16"/>
        </w:rPr>
        <w:t xml:space="preserve"> </w:t>
      </w:r>
      <w:r>
        <w:rPr>
          <w:spacing w:val="-1"/>
        </w:rPr>
        <w:t>any</w:t>
      </w:r>
      <w:r>
        <w:rPr>
          <w:spacing w:val="54"/>
        </w:rPr>
        <w:t xml:space="preserve"> </w:t>
      </w:r>
      <w:r>
        <w:rPr>
          <w:spacing w:val="-1"/>
        </w:rPr>
        <w:t>Sub-Contractor</w:t>
      </w:r>
      <w:r>
        <w:rPr>
          <w:spacing w:val="26"/>
        </w:rPr>
        <w:t xml:space="preserve"> </w:t>
      </w:r>
      <w:r>
        <w:t>to</w:t>
      </w:r>
      <w:r>
        <w:rPr>
          <w:spacing w:val="27"/>
        </w:rPr>
        <w:t xml:space="preserve"> </w:t>
      </w:r>
      <w:r>
        <w:t>the</w:t>
      </w:r>
      <w:r>
        <w:rPr>
          <w:spacing w:val="27"/>
        </w:rPr>
        <w:t xml:space="preserve"> </w:t>
      </w:r>
      <w:r>
        <w:rPr>
          <w:spacing w:val="-2"/>
        </w:rPr>
        <w:t>Replacement</w:t>
      </w:r>
      <w:r>
        <w:rPr>
          <w:spacing w:val="28"/>
        </w:rPr>
        <w:t xml:space="preserve"> </w:t>
      </w:r>
      <w:r>
        <w:rPr>
          <w:spacing w:val="-2"/>
        </w:rPr>
        <w:t>Supplier</w:t>
      </w:r>
      <w:r>
        <w:rPr>
          <w:spacing w:val="28"/>
        </w:rPr>
        <w:t xml:space="preserve"> </w:t>
      </w:r>
      <w:r>
        <w:rPr>
          <w:spacing w:val="-1"/>
        </w:rPr>
        <w:t>and/or</w:t>
      </w:r>
      <w:r>
        <w:rPr>
          <w:spacing w:val="28"/>
        </w:rPr>
        <w:t xml:space="preserve"> </w:t>
      </w:r>
      <w:r>
        <w:rPr>
          <w:spacing w:val="-2"/>
        </w:rPr>
        <w:t>Replacement</w:t>
      </w:r>
      <w:r>
        <w:rPr>
          <w:spacing w:val="28"/>
        </w:rPr>
        <w:t xml:space="preserve"> </w:t>
      </w:r>
      <w:r>
        <w:rPr>
          <w:spacing w:val="-1"/>
        </w:rPr>
        <w:t>Sub-Contractor</w:t>
      </w:r>
      <w:r>
        <w:rPr>
          <w:spacing w:val="78"/>
        </w:rPr>
        <w:t xml:space="preserve"> </w:t>
      </w:r>
      <w:r>
        <w:rPr>
          <w:spacing w:val="-1"/>
        </w:rPr>
        <w:t>pursuant</w:t>
      </w:r>
      <w:r>
        <w:t xml:space="preserve"> to</w:t>
      </w:r>
      <w:r>
        <w:rPr>
          <w:spacing w:val="-2"/>
        </w:rPr>
        <w:t xml:space="preserve"> </w:t>
      </w:r>
      <w:r>
        <w:t>the</w:t>
      </w:r>
      <w:r>
        <w:rPr>
          <w:spacing w:val="-2"/>
        </w:rPr>
        <w:t xml:space="preserve"> Employment</w:t>
      </w:r>
      <w:r>
        <w:rPr>
          <w:spacing w:val="2"/>
        </w:rPr>
        <w:t xml:space="preserve"> </w:t>
      </w:r>
      <w:r>
        <w:rPr>
          <w:spacing w:val="-1"/>
        </w:rPr>
        <w:t>Regulations</w:t>
      </w:r>
      <w:r>
        <w:rPr>
          <w:spacing w:val="1"/>
        </w:rPr>
        <w:t xml:space="preserve"> </w:t>
      </w:r>
      <w:r>
        <w:rPr>
          <w:spacing w:val="-2"/>
        </w:rPr>
        <w:t>or</w:t>
      </w:r>
      <w:r>
        <w:rPr>
          <w:spacing w:val="-1"/>
        </w:rPr>
        <w:t xml:space="preserve"> </w:t>
      </w:r>
      <w:r>
        <w:t>the</w:t>
      </w:r>
      <w:r>
        <w:rPr>
          <w:spacing w:val="-2"/>
        </w:rPr>
        <w:t xml:space="preserve"> </w:t>
      </w:r>
      <w:r>
        <w:rPr>
          <w:spacing w:val="-1"/>
        </w:rPr>
        <w:t>Acquired</w:t>
      </w:r>
      <w:r>
        <w:rPr>
          <w:spacing w:val="-2"/>
        </w:rPr>
        <w:t xml:space="preserve"> </w:t>
      </w:r>
      <w:r>
        <w:rPr>
          <w:spacing w:val="-1"/>
        </w:rPr>
        <w:t>Rights</w:t>
      </w:r>
      <w:r>
        <w:rPr>
          <w:spacing w:val="-2"/>
        </w:rPr>
        <w:t xml:space="preserve"> Directive,</w:t>
      </w:r>
      <w:r>
        <w:t xml:space="preserve"> </w:t>
      </w:r>
      <w:r>
        <w:rPr>
          <w:spacing w:val="-1"/>
        </w:rPr>
        <w:t>then:</w:t>
      </w:r>
    </w:p>
    <w:p w:rsidR="008918FA" w:rsidRDefault="008918FA" w:rsidP="008918FA">
      <w:pPr>
        <w:pStyle w:val="BodyText"/>
        <w:numPr>
          <w:ilvl w:val="2"/>
          <w:numId w:val="7"/>
        </w:numPr>
        <w:tabs>
          <w:tab w:val="left" w:pos="1887"/>
        </w:tabs>
        <w:ind w:left="1886" w:right="115"/>
        <w:jc w:val="both"/>
      </w:pPr>
      <w:bookmarkStart w:id="481" w:name="_bookmark399"/>
      <w:bookmarkEnd w:id="481"/>
      <w:r>
        <w:t xml:space="preserve">the </w:t>
      </w:r>
      <w:r>
        <w:rPr>
          <w:spacing w:val="-1"/>
        </w:rPr>
        <w:t>Customer</w:t>
      </w:r>
      <w:r>
        <w:rPr>
          <w:spacing w:val="2"/>
        </w:rPr>
        <w:t xml:space="preserve"> </w:t>
      </w:r>
      <w:r>
        <w:rPr>
          <w:spacing w:val="-1"/>
        </w:rPr>
        <w:t>shall</w:t>
      </w:r>
      <w:r>
        <w:t xml:space="preserve"> </w:t>
      </w:r>
      <w:r>
        <w:rPr>
          <w:spacing w:val="-1"/>
        </w:rPr>
        <w:t>procure</w:t>
      </w:r>
      <w:r>
        <w:t xml:space="preserve"> </w:t>
      </w:r>
      <w:r>
        <w:rPr>
          <w:spacing w:val="-1"/>
        </w:rPr>
        <w:t>that</w:t>
      </w:r>
      <w:r>
        <w:rPr>
          <w:spacing w:val="2"/>
        </w:rPr>
        <w:t xml:space="preserve"> </w:t>
      </w:r>
      <w:r>
        <w:t xml:space="preserve">the </w:t>
      </w:r>
      <w:r>
        <w:rPr>
          <w:spacing w:val="-2"/>
        </w:rPr>
        <w:t>Replacement</w:t>
      </w:r>
      <w:r>
        <w:t xml:space="preserve"> </w:t>
      </w:r>
      <w:r>
        <w:rPr>
          <w:spacing w:val="-2"/>
        </w:rPr>
        <w:t>Supplier</w:t>
      </w:r>
      <w:r>
        <w:rPr>
          <w:spacing w:val="2"/>
        </w:rPr>
        <w:t xml:space="preserve"> </w:t>
      </w:r>
      <w:r>
        <w:rPr>
          <w:spacing w:val="-1"/>
        </w:rPr>
        <w:t>shall,</w:t>
      </w:r>
      <w:r>
        <w:rPr>
          <w:spacing w:val="2"/>
        </w:rPr>
        <w:t xml:space="preserve"> </w:t>
      </w:r>
      <w:r>
        <w:rPr>
          <w:spacing w:val="-1"/>
        </w:rPr>
        <w:t>or</w:t>
      </w:r>
      <w:r>
        <w:rPr>
          <w:spacing w:val="2"/>
        </w:rPr>
        <w:t xml:space="preserve"> </w:t>
      </w:r>
      <w:r>
        <w:rPr>
          <w:spacing w:val="-1"/>
        </w:rPr>
        <w:t>any</w:t>
      </w:r>
      <w:r>
        <w:rPr>
          <w:spacing w:val="44"/>
        </w:rPr>
        <w:t xml:space="preserve"> </w:t>
      </w:r>
      <w:r>
        <w:rPr>
          <w:spacing w:val="-1"/>
        </w:rPr>
        <w:t>Replacement</w:t>
      </w:r>
      <w:r>
        <w:rPr>
          <w:spacing w:val="6"/>
        </w:rPr>
        <w:t xml:space="preserve"> </w:t>
      </w:r>
      <w:r>
        <w:rPr>
          <w:spacing w:val="-1"/>
        </w:rPr>
        <w:t>Sub-Contractor</w:t>
      </w:r>
      <w:r>
        <w:rPr>
          <w:spacing w:val="5"/>
        </w:rPr>
        <w:t xml:space="preserve"> </w:t>
      </w:r>
      <w:r>
        <w:rPr>
          <w:spacing w:val="-1"/>
        </w:rPr>
        <w:t>shall,</w:t>
      </w:r>
      <w:r>
        <w:rPr>
          <w:spacing w:val="5"/>
        </w:rPr>
        <w:t xml:space="preserve"> </w:t>
      </w:r>
      <w:r>
        <w:rPr>
          <w:spacing w:val="-2"/>
        </w:rPr>
        <w:t>within</w:t>
      </w:r>
      <w:r>
        <w:rPr>
          <w:spacing w:val="5"/>
        </w:rPr>
        <w:t xml:space="preserve"> </w:t>
      </w:r>
      <w:r>
        <w:rPr>
          <w:spacing w:val="-1"/>
        </w:rPr>
        <w:t>five</w:t>
      </w:r>
      <w:r>
        <w:rPr>
          <w:spacing w:val="7"/>
        </w:rPr>
        <w:t xml:space="preserve"> </w:t>
      </w:r>
      <w:r>
        <w:rPr>
          <w:spacing w:val="-1"/>
        </w:rPr>
        <w:t>(5)</w:t>
      </w:r>
      <w:r>
        <w:rPr>
          <w:spacing w:val="-6"/>
        </w:rPr>
        <w:t xml:space="preserve"> </w:t>
      </w:r>
      <w:r>
        <w:rPr>
          <w:spacing w:val="-1"/>
        </w:rPr>
        <w:t>Working</w:t>
      </w:r>
      <w:r>
        <w:rPr>
          <w:spacing w:val="6"/>
        </w:rPr>
        <w:t xml:space="preserve"> </w:t>
      </w:r>
      <w:r>
        <w:rPr>
          <w:spacing w:val="-2"/>
        </w:rPr>
        <w:t>Days</w:t>
      </w:r>
      <w:r>
        <w:rPr>
          <w:spacing w:val="4"/>
        </w:rPr>
        <w:t xml:space="preserve"> </w:t>
      </w:r>
      <w:r>
        <w:rPr>
          <w:spacing w:val="-1"/>
        </w:rPr>
        <w:t>of</w:t>
      </w:r>
      <w:r>
        <w:rPr>
          <w:spacing w:val="39"/>
        </w:rPr>
        <w:t xml:space="preserve"> </w:t>
      </w:r>
      <w:r>
        <w:rPr>
          <w:spacing w:val="-1"/>
        </w:rPr>
        <w:t>becoming</w:t>
      </w:r>
      <w:r>
        <w:rPr>
          <w:spacing w:val="3"/>
        </w:rPr>
        <w:t xml:space="preserve"> </w:t>
      </w:r>
      <w:r>
        <w:rPr>
          <w:spacing w:val="-2"/>
        </w:rPr>
        <w:t>aware</w:t>
      </w:r>
      <w:r>
        <w:t xml:space="preserve"> </w:t>
      </w:r>
      <w:r>
        <w:rPr>
          <w:spacing w:val="-2"/>
        </w:rPr>
        <w:t>of</w:t>
      </w:r>
      <w:r>
        <w:rPr>
          <w:spacing w:val="2"/>
        </w:rPr>
        <w:t xml:space="preserve"> </w:t>
      </w:r>
      <w:r>
        <w:rPr>
          <w:spacing w:val="-1"/>
        </w:rPr>
        <w:t>that</w:t>
      </w:r>
      <w:r>
        <w:rPr>
          <w:spacing w:val="-3"/>
        </w:rPr>
        <w:t xml:space="preserve"> </w:t>
      </w:r>
      <w:r>
        <w:t>fact,</w:t>
      </w:r>
      <w:r>
        <w:rPr>
          <w:spacing w:val="-3"/>
        </w:rPr>
        <w:t xml:space="preserve"> </w:t>
      </w:r>
      <w:r>
        <w:rPr>
          <w:spacing w:val="-1"/>
        </w:rPr>
        <w:t>give</w:t>
      </w:r>
      <w:r>
        <w:t xml:space="preserve"> </w:t>
      </w:r>
      <w:r>
        <w:rPr>
          <w:spacing w:val="-1"/>
        </w:rPr>
        <w:t>notice</w:t>
      </w:r>
      <w:r>
        <w:rPr>
          <w:spacing w:val="1"/>
        </w:rPr>
        <w:t xml:space="preserve"> </w:t>
      </w:r>
      <w:r>
        <w:rPr>
          <w:spacing w:val="-1"/>
        </w:rPr>
        <w:t>in</w:t>
      </w:r>
      <w:r>
        <w:t xml:space="preserve"> </w:t>
      </w:r>
      <w:r>
        <w:rPr>
          <w:spacing w:val="-2"/>
        </w:rPr>
        <w:t>writing</w:t>
      </w:r>
      <w:r>
        <w:t xml:space="preserve"> to</w:t>
      </w:r>
      <w:r>
        <w:rPr>
          <w:spacing w:val="-2"/>
        </w:rPr>
        <w:t xml:space="preserve"> </w:t>
      </w:r>
      <w:r>
        <w:t>the</w:t>
      </w:r>
      <w:r>
        <w:rPr>
          <w:spacing w:val="-2"/>
        </w:rPr>
        <w:t xml:space="preserve"> </w:t>
      </w:r>
      <w:r>
        <w:rPr>
          <w:spacing w:val="-1"/>
        </w:rPr>
        <w:t>Supplier;</w:t>
      </w:r>
      <w:r>
        <w:rPr>
          <w:spacing w:val="2"/>
        </w:rPr>
        <w:t xml:space="preserve"> </w:t>
      </w:r>
      <w:r>
        <w:rPr>
          <w:spacing w:val="-1"/>
        </w:rPr>
        <w:t>and</w:t>
      </w:r>
    </w:p>
    <w:p w:rsidR="008918FA" w:rsidRDefault="008918FA" w:rsidP="008918FA">
      <w:pPr>
        <w:pStyle w:val="BodyText"/>
        <w:numPr>
          <w:ilvl w:val="2"/>
          <w:numId w:val="7"/>
        </w:numPr>
        <w:tabs>
          <w:tab w:val="left" w:pos="1887"/>
        </w:tabs>
        <w:ind w:left="1886" w:right="112"/>
        <w:jc w:val="both"/>
      </w:pPr>
      <w:bookmarkStart w:id="482" w:name="_bookmark400"/>
      <w:bookmarkEnd w:id="482"/>
      <w:r>
        <w:t>the</w:t>
      </w:r>
      <w:r>
        <w:rPr>
          <w:spacing w:val="51"/>
        </w:rPr>
        <w:t xml:space="preserve"> </w:t>
      </w:r>
      <w:r>
        <w:rPr>
          <w:spacing w:val="-2"/>
        </w:rPr>
        <w:t>Supplier</w:t>
      </w:r>
      <w:r>
        <w:rPr>
          <w:spacing w:val="52"/>
        </w:rPr>
        <w:t xml:space="preserve"> </w:t>
      </w:r>
      <w:r>
        <w:rPr>
          <w:spacing w:val="-1"/>
        </w:rPr>
        <w:t>may</w:t>
      </w:r>
      <w:r>
        <w:rPr>
          <w:spacing w:val="49"/>
        </w:rPr>
        <w:t xml:space="preserve"> </w:t>
      </w:r>
      <w:r>
        <w:rPr>
          <w:spacing w:val="-1"/>
        </w:rPr>
        <w:t>offer</w:t>
      </w:r>
      <w:r>
        <w:rPr>
          <w:spacing w:val="49"/>
        </w:rPr>
        <w:t xml:space="preserve"> </w:t>
      </w:r>
      <w:r>
        <w:rPr>
          <w:spacing w:val="-1"/>
        </w:rPr>
        <w:t>(or</w:t>
      </w:r>
      <w:r>
        <w:rPr>
          <w:spacing w:val="49"/>
        </w:rPr>
        <w:t xml:space="preserve"> </w:t>
      </w:r>
      <w:r>
        <w:rPr>
          <w:spacing w:val="-1"/>
        </w:rPr>
        <w:t>may</w:t>
      </w:r>
      <w:r>
        <w:rPr>
          <w:spacing w:val="49"/>
        </w:rPr>
        <w:t xml:space="preserve"> </w:t>
      </w:r>
      <w:r>
        <w:rPr>
          <w:spacing w:val="-1"/>
        </w:rPr>
        <w:t>procure</w:t>
      </w:r>
      <w:r>
        <w:rPr>
          <w:spacing w:val="49"/>
        </w:rPr>
        <w:t xml:space="preserve"> </w:t>
      </w:r>
      <w:r>
        <w:rPr>
          <w:spacing w:val="-1"/>
        </w:rPr>
        <w:t>that</w:t>
      </w:r>
      <w:r>
        <w:rPr>
          <w:spacing w:val="52"/>
        </w:rPr>
        <w:t xml:space="preserve"> </w:t>
      </w:r>
      <w:r>
        <w:t>a</w:t>
      </w:r>
      <w:r>
        <w:rPr>
          <w:spacing w:val="48"/>
        </w:rPr>
        <w:t xml:space="preserve"> </w:t>
      </w:r>
      <w:r>
        <w:rPr>
          <w:spacing w:val="-1"/>
        </w:rPr>
        <w:t>Sub-Contractor</w:t>
      </w:r>
      <w:r>
        <w:rPr>
          <w:spacing w:val="49"/>
        </w:rPr>
        <w:t xml:space="preserve"> </w:t>
      </w:r>
      <w:r>
        <w:rPr>
          <w:spacing w:val="-1"/>
        </w:rPr>
        <w:t>may</w:t>
      </w:r>
      <w:r>
        <w:rPr>
          <w:spacing w:val="60"/>
        </w:rPr>
        <w:t xml:space="preserve"> </w:t>
      </w:r>
      <w:r>
        <w:rPr>
          <w:spacing w:val="-1"/>
        </w:rPr>
        <w:t>offer)</w:t>
      </w:r>
      <w:r>
        <w:rPr>
          <w:spacing w:val="26"/>
        </w:rPr>
        <w:t xml:space="preserve"> </w:t>
      </w:r>
      <w:r>
        <w:rPr>
          <w:spacing w:val="-1"/>
        </w:rPr>
        <w:t>employment</w:t>
      </w:r>
      <w:r>
        <w:rPr>
          <w:spacing w:val="23"/>
        </w:rPr>
        <w:t xml:space="preserve"> </w:t>
      </w:r>
      <w:r>
        <w:t>to</w:t>
      </w:r>
      <w:r>
        <w:rPr>
          <w:spacing w:val="24"/>
        </w:rPr>
        <w:t xml:space="preserve"> </w:t>
      </w:r>
      <w:r>
        <w:rPr>
          <w:spacing w:val="-1"/>
        </w:rPr>
        <w:t>such</w:t>
      </w:r>
      <w:r>
        <w:rPr>
          <w:spacing w:val="25"/>
        </w:rPr>
        <w:t xml:space="preserve"> </w:t>
      </w:r>
      <w:r>
        <w:rPr>
          <w:spacing w:val="-1"/>
        </w:rPr>
        <w:t>person</w:t>
      </w:r>
      <w:r>
        <w:rPr>
          <w:spacing w:val="24"/>
        </w:rPr>
        <w:t xml:space="preserve"> </w:t>
      </w:r>
      <w:r>
        <w:rPr>
          <w:spacing w:val="-2"/>
        </w:rPr>
        <w:t>within</w:t>
      </w:r>
      <w:r>
        <w:rPr>
          <w:spacing w:val="26"/>
        </w:rPr>
        <w:t xml:space="preserve"> </w:t>
      </w:r>
      <w:r>
        <w:t>fifteen</w:t>
      </w:r>
      <w:r>
        <w:rPr>
          <w:spacing w:val="24"/>
        </w:rPr>
        <w:t xml:space="preserve"> </w:t>
      </w:r>
      <w:r>
        <w:rPr>
          <w:spacing w:val="-1"/>
        </w:rPr>
        <w:t>(15)</w:t>
      </w:r>
      <w:r>
        <w:rPr>
          <w:spacing w:val="-5"/>
        </w:rPr>
        <w:t xml:space="preserve"> </w:t>
      </w:r>
      <w:r>
        <w:rPr>
          <w:spacing w:val="-1"/>
        </w:rPr>
        <w:t>Working</w:t>
      </w:r>
      <w:r>
        <w:rPr>
          <w:spacing w:val="27"/>
        </w:rPr>
        <w:t xml:space="preserve"> </w:t>
      </w:r>
      <w:r>
        <w:rPr>
          <w:spacing w:val="-2"/>
        </w:rPr>
        <w:t>Days</w:t>
      </w:r>
      <w:r>
        <w:rPr>
          <w:spacing w:val="25"/>
        </w:rPr>
        <w:t xml:space="preserve"> </w:t>
      </w:r>
      <w:r>
        <w:rPr>
          <w:spacing w:val="-3"/>
        </w:rPr>
        <w:t>of</w:t>
      </w:r>
      <w:r>
        <w:rPr>
          <w:spacing w:val="50"/>
        </w:rPr>
        <w:t xml:space="preserve"> </w:t>
      </w:r>
      <w:r>
        <w:t>the</w:t>
      </w:r>
      <w:r>
        <w:rPr>
          <w:spacing w:val="42"/>
        </w:rPr>
        <w:t xml:space="preserve"> </w:t>
      </w:r>
      <w:r>
        <w:rPr>
          <w:spacing w:val="-1"/>
        </w:rPr>
        <w:t>notification</w:t>
      </w:r>
      <w:r>
        <w:rPr>
          <w:spacing w:val="42"/>
        </w:rPr>
        <w:t xml:space="preserve"> </w:t>
      </w:r>
      <w:r>
        <w:rPr>
          <w:spacing w:val="-1"/>
        </w:rPr>
        <w:t>by</w:t>
      </w:r>
      <w:r>
        <w:rPr>
          <w:spacing w:val="40"/>
        </w:rPr>
        <w:t xml:space="preserve"> </w:t>
      </w:r>
      <w:r>
        <w:t>the</w:t>
      </w:r>
      <w:r>
        <w:rPr>
          <w:spacing w:val="40"/>
        </w:rPr>
        <w:t xml:space="preserve"> </w:t>
      </w:r>
      <w:r>
        <w:rPr>
          <w:spacing w:val="-1"/>
        </w:rPr>
        <w:t>Replacement</w:t>
      </w:r>
      <w:r>
        <w:rPr>
          <w:spacing w:val="44"/>
        </w:rPr>
        <w:t xml:space="preserve"> </w:t>
      </w:r>
      <w:r>
        <w:rPr>
          <w:spacing w:val="-2"/>
        </w:rPr>
        <w:t>Supplier</w:t>
      </w:r>
      <w:r>
        <w:rPr>
          <w:spacing w:val="41"/>
        </w:rPr>
        <w:t xml:space="preserve"> </w:t>
      </w:r>
      <w:r>
        <w:rPr>
          <w:spacing w:val="-1"/>
        </w:rPr>
        <w:t>and/or</w:t>
      </w:r>
      <w:r>
        <w:rPr>
          <w:spacing w:val="45"/>
        </w:rPr>
        <w:t xml:space="preserve"> </w:t>
      </w:r>
      <w:r>
        <w:rPr>
          <w:spacing w:val="-1"/>
        </w:rPr>
        <w:t>any</w:t>
      </w:r>
      <w:r>
        <w:rPr>
          <w:spacing w:val="40"/>
        </w:rPr>
        <w:t xml:space="preserve"> </w:t>
      </w:r>
      <w:r>
        <w:rPr>
          <w:spacing w:val="-1"/>
        </w:rPr>
        <w:t>and/or</w:t>
      </w:r>
      <w:r>
        <w:rPr>
          <w:spacing w:val="33"/>
        </w:rPr>
        <w:t xml:space="preserve"> </w:t>
      </w:r>
      <w:r>
        <w:rPr>
          <w:spacing w:val="-1"/>
        </w:rPr>
        <w:t>Replacement</w:t>
      </w:r>
      <w:r>
        <w:rPr>
          <w:spacing w:val="7"/>
        </w:rPr>
        <w:t xml:space="preserve"> </w:t>
      </w:r>
      <w:r>
        <w:rPr>
          <w:spacing w:val="-1"/>
        </w:rPr>
        <w:t>Sub-Contractor</w:t>
      </w:r>
      <w:r>
        <w:rPr>
          <w:spacing w:val="6"/>
        </w:rPr>
        <w:t xml:space="preserve"> </w:t>
      </w:r>
      <w:r>
        <w:rPr>
          <w:spacing w:val="-2"/>
        </w:rPr>
        <w:t>or</w:t>
      </w:r>
      <w:r>
        <w:rPr>
          <w:spacing w:val="4"/>
        </w:rPr>
        <w:t xml:space="preserve"> </w:t>
      </w:r>
      <w:r>
        <w:t>take</w:t>
      </w:r>
      <w:r>
        <w:rPr>
          <w:spacing w:val="5"/>
        </w:rPr>
        <w:t xml:space="preserve"> </w:t>
      </w:r>
      <w:r>
        <w:rPr>
          <w:spacing w:val="-1"/>
        </w:rPr>
        <w:t>such</w:t>
      </w:r>
      <w:r>
        <w:rPr>
          <w:spacing w:val="3"/>
        </w:rPr>
        <w:t xml:space="preserve"> </w:t>
      </w:r>
      <w:r>
        <w:rPr>
          <w:spacing w:val="-1"/>
        </w:rPr>
        <w:t>other</w:t>
      </w:r>
      <w:r>
        <w:rPr>
          <w:spacing w:val="4"/>
        </w:rPr>
        <w:t xml:space="preserve"> </w:t>
      </w:r>
      <w:r>
        <w:rPr>
          <w:spacing w:val="-1"/>
        </w:rPr>
        <w:t>reasonable</w:t>
      </w:r>
      <w:r>
        <w:rPr>
          <w:spacing w:val="5"/>
        </w:rPr>
        <w:t xml:space="preserve"> </w:t>
      </w:r>
      <w:r>
        <w:rPr>
          <w:spacing w:val="-1"/>
        </w:rPr>
        <w:t>steps</w:t>
      </w:r>
      <w:r>
        <w:rPr>
          <w:spacing w:val="3"/>
        </w:rPr>
        <w:t xml:space="preserve"> </w:t>
      </w:r>
      <w:r>
        <w:rPr>
          <w:spacing w:val="-1"/>
        </w:rPr>
        <w:t>as</w:t>
      </w:r>
      <w:r>
        <w:rPr>
          <w:spacing w:val="5"/>
        </w:rPr>
        <w:t xml:space="preserve"> </w:t>
      </w:r>
      <w:r>
        <w:rPr>
          <w:spacing w:val="-1"/>
        </w:rPr>
        <w:t>it</w:t>
      </w:r>
      <w:r>
        <w:rPr>
          <w:spacing w:val="27"/>
        </w:rPr>
        <w:t xml:space="preserve"> </w:t>
      </w:r>
      <w:r>
        <w:rPr>
          <w:spacing w:val="-1"/>
        </w:rPr>
        <w:t>considers</w:t>
      </w:r>
      <w:r>
        <w:rPr>
          <w:spacing w:val="56"/>
        </w:rPr>
        <w:t xml:space="preserve"> </w:t>
      </w:r>
      <w:r>
        <w:rPr>
          <w:spacing w:val="-1"/>
        </w:rPr>
        <w:t>appropriate</w:t>
      </w:r>
      <w:r>
        <w:rPr>
          <w:spacing w:val="55"/>
        </w:rPr>
        <w:t xml:space="preserve"> </w:t>
      </w:r>
      <w:r>
        <w:rPr>
          <w:spacing w:val="-1"/>
        </w:rPr>
        <w:t>to</w:t>
      </w:r>
      <w:r>
        <w:rPr>
          <w:spacing w:val="55"/>
        </w:rPr>
        <w:t xml:space="preserve"> </w:t>
      </w:r>
      <w:r>
        <w:rPr>
          <w:spacing w:val="-1"/>
        </w:rPr>
        <w:t>deal</w:t>
      </w:r>
      <w:r>
        <w:rPr>
          <w:spacing w:val="57"/>
        </w:rPr>
        <w:t xml:space="preserve"> </w:t>
      </w:r>
      <w:r>
        <w:rPr>
          <w:spacing w:val="-1"/>
        </w:rPr>
        <w:t>with</w:t>
      </w:r>
      <w:r>
        <w:rPr>
          <w:spacing w:val="55"/>
        </w:rPr>
        <w:t xml:space="preserve"> </w:t>
      </w:r>
      <w:r>
        <w:t>the</w:t>
      </w:r>
      <w:r>
        <w:rPr>
          <w:spacing w:val="55"/>
        </w:rPr>
        <w:t xml:space="preserve"> </w:t>
      </w:r>
      <w:r>
        <w:rPr>
          <w:spacing w:val="-1"/>
        </w:rPr>
        <w:t>matter</w:t>
      </w:r>
      <w:r>
        <w:rPr>
          <w:spacing w:val="55"/>
        </w:rPr>
        <w:t xml:space="preserve"> </w:t>
      </w:r>
      <w:r>
        <w:rPr>
          <w:spacing w:val="-2"/>
        </w:rPr>
        <w:t>provided</w:t>
      </w:r>
      <w:r>
        <w:rPr>
          <w:spacing w:val="55"/>
        </w:rPr>
        <w:t xml:space="preserve"> </w:t>
      </w:r>
      <w:r>
        <w:rPr>
          <w:spacing w:val="-1"/>
        </w:rPr>
        <w:t>always</w:t>
      </w:r>
      <w:r>
        <w:rPr>
          <w:spacing w:val="58"/>
        </w:rPr>
        <w:t xml:space="preserve"> </w:t>
      </w:r>
      <w:r>
        <w:rPr>
          <w:spacing w:val="-1"/>
        </w:rPr>
        <w:t>that</w:t>
      </w:r>
      <w:r>
        <w:rPr>
          <w:spacing w:val="38"/>
        </w:rPr>
        <w:t xml:space="preserve"> </w:t>
      </w:r>
      <w:r>
        <w:rPr>
          <w:spacing w:val="-1"/>
        </w:rPr>
        <w:t>such</w:t>
      </w:r>
      <w:r>
        <w:rPr>
          <w:spacing w:val="1"/>
        </w:rPr>
        <w:t xml:space="preserve"> </w:t>
      </w:r>
      <w:r>
        <w:rPr>
          <w:spacing w:val="-1"/>
        </w:rPr>
        <w:t>steps</w:t>
      </w:r>
      <w:r>
        <w:rPr>
          <w:spacing w:val="1"/>
        </w:rPr>
        <w:t xml:space="preserve"> </w:t>
      </w:r>
      <w:r>
        <w:rPr>
          <w:spacing w:val="-1"/>
        </w:rPr>
        <w:t>are</w:t>
      </w:r>
      <w:r>
        <w:t xml:space="preserve"> </w:t>
      </w:r>
      <w:r>
        <w:rPr>
          <w:spacing w:val="-1"/>
        </w:rPr>
        <w:t>in</w:t>
      </w:r>
      <w:r>
        <w:rPr>
          <w:spacing w:val="-2"/>
        </w:rPr>
        <w:t xml:space="preserve"> compliance</w:t>
      </w:r>
      <w:r>
        <w:rPr>
          <w:spacing w:val="1"/>
        </w:rPr>
        <w:t xml:space="preserve"> </w:t>
      </w:r>
      <w:r>
        <w:rPr>
          <w:spacing w:val="-2"/>
        </w:rPr>
        <w:t>with</w:t>
      </w:r>
      <w:r>
        <w:t xml:space="preserve"> </w:t>
      </w:r>
      <w:r>
        <w:rPr>
          <w:spacing w:val="-2"/>
        </w:rPr>
        <w:t>Law.</w:t>
      </w:r>
    </w:p>
    <w:p w:rsidR="008918FA" w:rsidRDefault="008918FA" w:rsidP="008918FA">
      <w:pPr>
        <w:pStyle w:val="BodyText"/>
        <w:numPr>
          <w:ilvl w:val="1"/>
          <w:numId w:val="7"/>
        </w:numPr>
        <w:tabs>
          <w:tab w:val="left" w:pos="689"/>
        </w:tabs>
        <w:spacing w:before="121"/>
        <w:ind w:left="688" w:right="112" w:hanging="359"/>
        <w:jc w:val="both"/>
      </w:pPr>
      <w:bookmarkStart w:id="483" w:name="_bookmark401"/>
      <w:bookmarkEnd w:id="483"/>
      <w:r>
        <w:rPr>
          <w:spacing w:val="-1"/>
        </w:rPr>
        <w:t>If</w:t>
      </w:r>
      <w:r>
        <w:rPr>
          <w:spacing w:val="40"/>
        </w:rPr>
        <w:t xml:space="preserve"> </w:t>
      </w:r>
      <w:r>
        <w:t>such</w:t>
      </w:r>
      <w:r>
        <w:rPr>
          <w:spacing w:val="38"/>
        </w:rPr>
        <w:t xml:space="preserve"> </w:t>
      </w:r>
      <w:r>
        <w:rPr>
          <w:spacing w:val="-1"/>
        </w:rPr>
        <w:t>offer</w:t>
      </w:r>
      <w:r>
        <w:rPr>
          <w:spacing w:val="40"/>
        </w:rPr>
        <w:t xml:space="preserve"> </w:t>
      </w:r>
      <w:r>
        <w:rPr>
          <w:spacing w:val="-1"/>
        </w:rPr>
        <w:t>is</w:t>
      </w:r>
      <w:r>
        <w:rPr>
          <w:spacing w:val="36"/>
        </w:rPr>
        <w:t xml:space="preserve"> </w:t>
      </w:r>
      <w:r>
        <w:rPr>
          <w:spacing w:val="-1"/>
        </w:rPr>
        <w:t>accepted,</w:t>
      </w:r>
      <w:r>
        <w:rPr>
          <w:spacing w:val="40"/>
        </w:rPr>
        <w:t xml:space="preserve"> </w:t>
      </w:r>
      <w:r>
        <w:rPr>
          <w:spacing w:val="-1"/>
        </w:rPr>
        <w:t>or</w:t>
      </w:r>
      <w:r>
        <w:rPr>
          <w:spacing w:val="37"/>
        </w:rPr>
        <w:t xml:space="preserve"> </w:t>
      </w:r>
      <w:r>
        <w:rPr>
          <w:spacing w:val="-2"/>
        </w:rPr>
        <w:t>if</w:t>
      </w:r>
      <w:r>
        <w:rPr>
          <w:spacing w:val="41"/>
        </w:rPr>
        <w:t xml:space="preserve"> </w:t>
      </w:r>
      <w:r>
        <w:t>the</w:t>
      </w:r>
      <w:r>
        <w:rPr>
          <w:spacing w:val="36"/>
        </w:rPr>
        <w:t xml:space="preserve"> </w:t>
      </w:r>
      <w:r>
        <w:rPr>
          <w:spacing w:val="-1"/>
        </w:rPr>
        <w:t>situation</w:t>
      </w:r>
      <w:r>
        <w:rPr>
          <w:spacing w:val="36"/>
        </w:rPr>
        <w:t xml:space="preserve"> </w:t>
      </w:r>
      <w:r>
        <w:rPr>
          <w:spacing w:val="-2"/>
        </w:rPr>
        <w:t>has</w:t>
      </w:r>
      <w:r>
        <w:rPr>
          <w:spacing w:val="39"/>
        </w:rPr>
        <w:t xml:space="preserve"> </w:t>
      </w:r>
      <w:r>
        <w:rPr>
          <w:spacing w:val="-2"/>
        </w:rPr>
        <w:t>otherwise</w:t>
      </w:r>
      <w:r>
        <w:rPr>
          <w:spacing w:val="39"/>
        </w:rPr>
        <w:t xml:space="preserve"> </w:t>
      </w:r>
      <w:r>
        <w:rPr>
          <w:spacing w:val="-1"/>
        </w:rPr>
        <w:t>been</w:t>
      </w:r>
      <w:r>
        <w:rPr>
          <w:spacing w:val="38"/>
        </w:rPr>
        <w:t xml:space="preserve"> </w:t>
      </w:r>
      <w:r>
        <w:rPr>
          <w:spacing w:val="-1"/>
        </w:rPr>
        <w:t>resolved</w:t>
      </w:r>
      <w:r>
        <w:rPr>
          <w:spacing w:val="39"/>
        </w:rPr>
        <w:t xml:space="preserve"> </w:t>
      </w:r>
      <w:r>
        <w:rPr>
          <w:spacing w:val="-1"/>
        </w:rPr>
        <w:t>by</w:t>
      </w:r>
      <w:r>
        <w:rPr>
          <w:spacing w:val="36"/>
        </w:rPr>
        <w:t xml:space="preserve"> </w:t>
      </w:r>
      <w:r>
        <w:rPr>
          <w:spacing w:val="-1"/>
        </w:rPr>
        <w:t>the</w:t>
      </w:r>
      <w:r>
        <w:rPr>
          <w:spacing w:val="38"/>
        </w:rPr>
        <w:t xml:space="preserve"> </w:t>
      </w:r>
      <w:r>
        <w:rPr>
          <w:spacing w:val="-2"/>
        </w:rPr>
        <w:t>Supplier</w:t>
      </w:r>
      <w:r>
        <w:rPr>
          <w:spacing w:val="40"/>
        </w:rPr>
        <w:t xml:space="preserve"> </w:t>
      </w:r>
      <w:r>
        <w:rPr>
          <w:spacing w:val="-1"/>
        </w:rPr>
        <w:t>or</w:t>
      </w:r>
      <w:r>
        <w:rPr>
          <w:spacing w:val="40"/>
        </w:rPr>
        <w:t xml:space="preserve"> </w:t>
      </w:r>
      <w:r>
        <w:t>a</w:t>
      </w:r>
      <w:r>
        <w:rPr>
          <w:spacing w:val="38"/>
        </w:rPr>
        <w:t xml:space="preserve"> </w:t>
      </w:r>
      <w:r>
        <w:rPr>
          <w:spacing w:val="-1"/>
        </w:rPr>
        <w:t>Sub-Contractor,</w:t>
      </w:r>
      <w:r>
        <w:rPr>
          <w:spacing w:val="40"/>
        </w:rPr>
        <w:t xml:space="preserve"> </w:t>
      </w:r>
      <w:r>
        <w:t>the</w:t>
      </w:r>
      <w:r>
        <w:rPr>
          <w:spacing w:val="38"/>
        </w:rPr>
        <w:t xml:space="preserve"> </w:t>
      </w:r>
      <w:r>
        <w:rPr>
          <w:spacing w:val="-1"/>
        </w:rPr>
        <w:t>Customer</w:t>
      </w:r>
      <w:r>
        <w:rPr>
          <w:spacing w:val="40"/>
        </w:rPr>
        <w:t xml:space="preserve"> </w:t>
      </w:r>
      <w:r>
        <w:rPr>
          <w:spacing w:val="-2"/>
        </w:rPr>
        <w:t>shall</w:t>
      </w:r>
      <w:r>
        <w:rPr>
          <w:spacing w:val="39"/>
        </w:rPr>
        <w:t xml:space="preserve"> </w:t>
      </w:r>
      <w:r>
        <w:rPr>
          <w:spacing w:val="-1"/>
        </w:rPr>
        <w:t>procure</w:t>
      </w:r>
      <w:r>
        <w:rPr>
          <w:spacing w:val="38"/>
        </w:rPr>
        <w:t xml:space="preserve"> </w:t>
      </w:r>
      <w:r>
        <w:rPr>
          <w:spacing w:val="-1"/>
        </w:rPr>
        <w:t>that</w:t>
      </w:r>
      <w:r>
        <w:rPr>
          <w:spacing w:val="40"/>
        </w:rPr>
        <w:t xml:space="preserve"> </w:t>
      </w:r>
      <w:r>
        <w:t>the</w:t>
      </w:r>
      <w:r>
        <w:rPr>
          <w:spacing w:val="38"/>
        </w:rPr>
        <w:t xml:space="preserve"> </w:t>
      </w:r>
      <w:r>
        <w:rPr>
          <w:spacing w:val="-2"/>
        </w:rPr>
        <w:t>Replacement</w:t>
      </w:r>
      <w:r>
        <w:rPr>
          <w:spacing w:val="73"/>
        </w:rPr>
        <w:t xml:space="preserve"> </w:t>
      </w:r>
      <w:r>
        <w:rPr>
          <w:spacing w:val="-2"/>
        </w:rPr>
        <w:t>Supplier</w:t>
      </w:r>
      <w:r>
        <w:rPr>
          <w:spacing w:val="19"/>
        </w:rPr>
        <w:t xml:space="preserve"> </w:t>
      </w:r>
      <w:r>
        <w:rPr>
          <w:spacing w:val="-1"/>
        </w:rPr>
        <w:t>shall,</w:t>
      </w:r>
      <w:r>
        <w:rPr>
          <w:spacing w:val="19"/>
        </w:rPr>
        <w:t xml:space="preserve"> </w:t>
      </w:r>
      <w:r>
        <w:rPr>
          <w:spacing w:val="-1"/>
        </w:rPr>
        <w:t>or</w:t>
      </w:r>
      <w:r>
        <w:rPr>
          <w:spacing w:val="19"/>
        </w:rPr>
        <w:t xml:space="preserve"> </w:t>
      </w:r>
      <w:r>
        <w:rPr>
          <w:spacing w:val="-1"/>
        </w:rPr>
        <w:t>procure</w:t>
      </w:r>
      <w:r>
        <w:rPr>
          <w:spacing w:val="17"/>
        </w:rPr>
        <w:t xml:space="preserve"> </w:t>
      </w:r>
      <w:r>
        <w:rPr>
          <w:spacing w:val="-1"/>
        </w:rPr>
        <w:t>that</w:t>
      </w:r>
      <w:r>
        <w:rPr>
          <w:spacing w:val="16"/>
        </w:rPr>
        <w:t xml:space="preserve"> </w:t>
      </w:r>
      <w:r>
        <w:t>the</w:t>
      </w:r>
      <w:r>
        <w:rPr>
          <w:spacing w:val="17"/>
        </w:rPr>
        <w:t xml:space="preserve"> </w:t>
      </w:r>
      <w:r>
        <w:rPr>
          <w:spacing w:val="-2"/>
        </w:rPr>
        <w:t>Replacement</w:t>
      </w:r>
      <w:r>
        <w:rPr>
          <w:spacing w:val="18"/>
        </w:rPr>
        <w:t xml:space="preserve"> </w:t>
      </w:r>
      <w:r>
        <w:rPr>
          <w:spacing w:val="-1"/>
        </w:rPr>
        <w:t>Sub-Contractor</w:t>
      </w:r>
      <w:r>
        <w:rPr>
          <w:spacing w:val="16"/>
        </w:rPr>
        <w:t xml:space="preserve"> </w:t>
      </w:r>
      <w:r>
        <w:rPr>
          <w:spacing w:val="-1"/>
        </w:rPr>
        <w:t>shall,</w:t>
      </w:r>
      <w:r>
        <w:rPr>
          <w:spacing w:val="19"/>
        </w:rPr>
        <w:t xml:space="preserve"> </w:t>
      </w:r>
      <w:r>
        <w:rPr>
          <w:spacing w:val="-1"/>
        </w:rPr>
        <w:t>immediately</w:t>
      </w:r>
      <w:r>
        <w:rPr>
          <w:spacing w:val="55"/>
        </w:rPr>
        <w:t xml:space="preserve"> </w:t>
      </w:r>
      <w:r>
        <w:rPr>
          <w:spacing w:val="-1"/>
        </w:rPr>
        <w:t>release</w:t>
      </w:r>
      <w:r>
        <w:rPr>
          <w:spacing w:val="27"/>
        </w:rPr>
        <w:t xml:space="preserve"> </w:t>
      </w:r>
      <w:r>
        <w:rPr>
          <w:spacing w:val="-1"/>
        </w:rPr>
        <w:t>or</w:t>
      </w:r>
      <w:r>
        <w:rPr>
          <w:spacing w:val="28"/>
        </w:rPr>
        <w:t xml:space="preserve"> </w:t>
      </w:r>
      <w:r>
        <w:rPr>
          <w:spacing w:val="-1"/>
        </w:rPr>
        <w:t>procure</w:t>
      </w:r>
      <w:r>
        <w:rPr>
          <w:spacing w:val="27"/>
        </w:rPr>
        <w:t xml:space="preserve"> </w:t>
      </w:r>
      <w:r>
        <w:rPr>
          <w:spacing w:val="-1"/>
        </w:rPr>
        <w:t>the</w:t>
      </w:r>
      <w:r>
        <w:rPr>
          <w:spacing w:val="27"/>
        </w:rPr>
        <w:t xml:space="preserve"> </w:t>
      </w:r>
      <w:r>
        <w:rPr>
          <w:spacing w:val="-2"/>
        </w:rPr>
        <w:t>release</w:t>
      </w:r>
      <w:r>
        <w:rPr>
          <w:spacing w:val="27"/>
        </w:rPr>
        <w:t xml:space="preserve"> </w:t>
      </w:r>
      <w:r>
        <w:rPr>
          <w:spacing w:val="-1"/>
        </w:rPr>
        <w:t>of</w:t>
      </w:r>
      <w:r>
        <w:rPr>
          <w:spacing w:val="28"/>
        </w:rPr>
        <w:t xml:space="preserve"> </w:t>
      </w:r>
      <w:r>
        <w:t>the</w:t>
      </w:r>
      <w:r>
        <w:rPr>
          <w:spacing w:val="27"/>
        </w:rPr>
        <w:t xml:space="preserve"> </w:t>
      </w:r>
      <w:r>
        <w:rPr>
          <w:spacing w:val="-1"/>
        </w:rPr>
        <w:t>person</w:t>
      </w:r>
      <w:r>
        <w:rPr>
          <w:spacing w:val="24"/>
        </w:rPr>
        <w:t xml:space="preserve"> </w:t>
      </w:r>
      <w:r>
        <w:rPr>
          <w:spacing w:val="-1"/>
        </w:rPr>
        <w:t>from</w:t>
      </w:r>
      <w:r>
        <w:rPr>
          <w:spacing w:val="28"/>
        </w:rPr>
        <w:t xml:space="preserve"> </w:t>
      </w:r>
      <w:r>
        <w:rPr>
          <w:spacing w:val="-1"/>
        </w:rPr>
        <w:t>his/her</w:t>
      </w:r>
      <w:r>
        <w:rPr>
          <w:spacing w:val="28"/>
        </w:rPr>
        <w:t xml:space="preserve"> </w:t>
      </w:r>
      <w:r>
        <w:rPr>
          <w:spacing w:val="-2"/>
        </w:rPr>
        <w:t>employment</w:t>
      </w:r>
      <w:r>
        <w:rPr>
          <w:spacing w:val="28"/>
        </w:rPr>
        <w:t xml:space="preserve"> </w:t>
      </w:r>
      <w:r>
        <w:rPr>
          <w:spacing w:val="-2"/>
        </w:rPr>
        <w:t>or</w:t>
      </w:r>
      <w:r>
        <w:rPr>
          <w:spacing w:val="28"/>
        </w:rPr>
        <w:t xml:space="preserve"> </w:t>
      </w:r>
      <w:r>
        <w:rPr>
          <w:spacing w:val="-1"/>
        </w:rPr>
        <w:t>alleged</w:t>
      </w:r>
      <w:r>
        <w:rPr>
          <w:spacing w:val="52"/>
        </w:rPr>
        <w:t xml:space="preserve"> </w:t>
      </w:r>
      <w:r>
        <w:rPr>
          <w:spacing w:val="-1"/>
        </w:rPr>
        <w:t>employment.</w:t>
      </w:r>
    </w:p>
    <w:p w:rsidR="008918FA" w:rsidRDefault="008918FA" w:rsidP="008918FA">
      <w:pPr>
        <w:pStyle w:val="BodyText"/>
        <w:numPr>
          <w:ilvl w:val="1"/>
          <w:numId w:val="7"/>
        </w:numPr>
        <w:tabs>
          <w:tab w:val="left" w:pos="689"/>
        </w:tabs>
        <w:spacing w:before="121"/>
        <w:ind w:left="688" w:right="115" w:hanging="359"/>
        <w:jc w:val="both"/>
      </w:pPr>
      <w:bookmarkStart w:id="484" w:name="_bookmark402"/>
      <w:bookmarkEnd w:id="484"/>
      <w:r>
        <w:rPr>
          <w:spacing w:val="-1"/>
        </w:rPr>
        <w:t>If</w:t>
      </w:r>
      <w:r>
        <w:rPr>
          <w:spacing w:val="9"/>
        </w:rPr>
        <w:t xml:space="preserve"> </w:t>
      </w:r>
      <w:r>
        <w:rPr>
          <w:spacing w:val="-1"/>
        </w:rPr>
        <w:t>after</w:t>
      </w:r>
      <w:r>
        <w:rPr>
          <w:spacing w:val="4"/>
        </w:rPr>
        <w:t xml:space="preserve"> </w:t>
      </w:r>
      <w:r>
        <w:t>the</w:t>
      </w:r>
      <w:r>
        <w:rPr>
          <w:spacing w:val="3"/>
        </w:rPr>
        <w:t xml:space="preserve"> </w:t>
      </w:r>
      <w:r>
        <w:rPr>
          <w:spacing w:val="-1"/>
        </w:rPr>
        <w:t>fifteen</w:t>
      </w:r>
      <w:r>
        <w:rPr>
          <w:spacing w:val="3"/>
        </w:rPr>
        <w:t xml:space="preserve"> </w:t>
      </w:r>
      <w:r>
        <w:rPr>
          <w:spacing w:val="-1"/>
        </w:rPr>
        <w:t>(15)</w:t>
      </w:r>
      <w:r>
        <w:rPr>
          <w:spacing w:val="2"/>
        </w:rPr>
        <w:t xml:space="preserve"> </w:t>
      </w:r>
      <w:r>
        <w:rPr>
          <w:spacing w:val="-1"/>
        </w:rPr>
        <w:t>Working</w:t>
      </w:r>
      <w:r>
        <w:rPr>
          <w:spacing w:val="5"/>
        </w:rPr>
        <w:t xml:space="preserve"> </w:t>
      </w:r>
      <w:r>
        <w:rPr>
          <w:spacing w:val="-1"/>
        </w:rPr>
        <w:t>Day</w:t>
      </w:r>
      <w:r>
        <w:rPr>
          <w:spacing w:val="3"/>
        </w:rPr>
        <w:t xml:space="preserve"> </w:t>
      </w:r>
      <w:r>
        <w:rPr>
          <w:spacing w:val="-1"/>
        </w:rPr>
        <w:t>period</w:t>
      </w:r>
      <w:r>
        <w:rPr>
          <w:spacing w:val="5"/>
        </w:rPr>
        <w:t xml:space="preserve"> </w:t>
      </w:r>
      <w:r>
        <w:rPr>
          <w:spacing w:val="-1"/>
        </w:rPr>
        <w:t>specified</w:t>
      </w:r>
      <w:r>
        <w:rPr>
          <w:spacing w:val="5"/>
        </w:rPr>
        <w:t xml:space="preserve"> </w:t>
      </w:r>
      <w:r>
        <w:rPr>
          <w:spacing w:val="-1"/>
        </w:rPr>
        <w:t>in</w:t>
      </w:r>
      <w:r>
        <w:rPr>
          <w:spacing w:val="7"/>
        </w:rPr>
        <w:t xml:space="preserve"> </w:t>
      </w:r>
      <w:r>
        <w:rPr>
          <w:spacing w:val="-1"/>
        </w:rPr>
        <w:t>paragraph</w:t>
      </w:r>
      <w:r>
        <w:rPr>
          <w:spacing w:val="-2"/>
        </w:rPr>
        <w:t xml:space="preserve"> </w:t>
      </w:r>
      <w:hyperlink w:anchor="_bookmark400" w:history="1">
        <w:r>
          <w:rPr>
            <w:spacing w:val="-1"/>
          </w:rPr>
          <w:t>2.5.2</w:t>
        </w:r>
      </w:hyperlink>
      <w:r>
        <w:rPr>
          <w:spacing w:val="5"/>
        </w:rPr>
        <w:t xml:space="preserve"> </w:t>
      </w:r>
      <w:r>
        <w:rPr>
          <w:spacing w:val="-2"/>
        </w:rPr>
        <w:t>of</w:t>
      </w:r>
      <w:r>
        <w:rPr>
          <w:spacing w:val="4"/>
        </w:rPr>
        <w:t xml:space="preserve"> </w:t>
      </w:r>
      <w:r>
        <w:rPr>
          <w:spacing w:val="-1"/>
        </w:rPr>
        <w:t>Part</w:t>
      </w:r>
      <w:r>
        <w:rPr>
          <w:spacing w:val="7"/>
        </w:rPr>
        <w:t xml:space="preserve"> </w:t>
      </w:r>
      <w:r>
        <w:t xml:space="preserve">D </w:t>
      </w:r>
      <w:r>
        <w:rPr>
          <w:spacing w:val="-2"/>
        </w:rPr>
        <w:t>of</w:t>
      </w:r>
      <w:r>
        <w:rPr>
          <w:spacing w:val="55"/>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1"/>
        </w:rPr>
        <w:t xml:space="preserve"> </w:t>
      </w:r>
      <w:r>
        <w:rPr>
          <w:spacing w:val="-2"/>
        </w:rPr>
        <w:t>has</w:t>
      </w:r>
      <w:r>
        <w:rPr>
          <w:spacing w:val="1"/>
        </w:rPr>
        <w:t xml:space="preserve"> </w:t>
      </w:r>
      <w:r>
        <w:rPr>
          <w:spacing w:val="-1"/>
        </w:rPr>
        <w:t>elapsed:</w:t>
      </w:r>
    </w:p>
    <w:p w:rsidR="008918FA" w:rsidRDefault="008918FA" w:rsidP="008918FA">
      <w:pPr>
        <w:pStyle w:val="BodyText"/>
        <w:numPr>
          <w:ilvl w:val="2"/>
          <w:numId w:val="7"/>
        </w:numPr>
        <w:tabs>
          <w:tab w:val="left" w:pos="1887"/>
        </w:tabs>
        <w:spacing w:before="121"/>
        <w:ind w:left="1886"/>
        <w:jc w:val="both"/>
      </w:pPr>
      <w:r>
        <w:rPr>
          <w:spacing w:val="-1"/>
        </w:rPr>
        <w:t>no</w:t>
      </w:r>
      <w:r>
        <w:t xml:space="preserve"> </w:t>
      </w:r>
      <w:r>
        <w:rPr>
          <w:spacing w:val="-1"/>
        </w:rPr>
        <w:t>such</w:t>
      </w:r>
      <w:r>
        <w:rPr>
          <w:spacing w:val="1"/>
        </w:rPr>
        <w:t xml:space="preserve"> </w:t>
      </w:r>
      <w:r>
        <w:rPr>
          <w:spacing w:val="-1"/>
        </w:rPr>
        <w:t xml:space="preserve">offer </w:t>
      </w:r>
      <w:r>
        <w:rPr>
          <w:spacing w:val="-2"/>
        </w:rPr>
        <w:t>of</w:t>
      </w:r>
      <w:r>
        <w:rPr>
          <w:spacing w:val="2"/>
        </w:rPr>
        <w:t xml:space="preserve"> </w:t>
      </w:r>
      <w:r>
        <w:rPr>
          <w:spacing w:val="-1"/>
        </w:rPr>
        <w:t>employment</w:t>
      </w:r>
      <w:r>
        <w:t xml:space="preserve"> </w:t>
      </w:r>
      <w:r>
        <w:rPr>
          <w:spacing w:val="-1"/>
        </w:rPr>
        <w:t>has</w:t>
      </w:r>
      <w:r>
        <w:rPr>
          <w:spacing w:val="1"/>
        </w:rPr>
        <w:t xml:space="preserve"> </w:t>
      </w:r>
      <w:r>
        <w:rPr>
          <w:spacing w:val="-2"/>
        </w:rPr>
        <w:t xml:space="preserve">been </w:t>
      </w:r>
      <w:r>
        <w:rPr>
          <w:spacing w:val="-1"/>
        </w:rPr>
        <w:t>made;</w:t>
      </w:r>
    </w:p>
    <w:p w:rsidR="008918FA" w:rsidRDefault="008918FA" w:rsidP="008918FA">
      <w:pPr>
        <w:pStyle w:val="BodyText"/>
        <w:numPr>
          <w:ilvl w:val="2"/>
          <w:numId w:val="7"/>
        </w:numPr>
        <w:tabs>
          <w:tab w:val="left" w:pos="1887"/>
        </w:tabs>
        <w:ind w:left="1886"/>
        <w:jc w:val="both"/>
      </w:pPr>
      <w:r>
        <w:rPr>
          <w:spacing w:val="-1"/>
        </w:rPr>
        <w:t>such</w:t>
      </w:r>
      <w:r>
        <w:rPr>
          <w:spacing w:val="1"/>
        </w:rPr>
        <w:t xml:space="preserve"> </w:t>
      </w:r>
      <w:r>
        <w:rPr>
          <w:spacing w:val="-1"/>
        </w:rPr>
        <w:t>offer has</w:t>
      </w:r>
      <w:r>
        <w:rPr>
          <w:spacing w:val="-2"/>
        </w:rPr>
        <w:t xml:space="preserve"> </w:t>
      </w:r>
      <w:r>
        <w:rPr>
          <w:spacing w:val="-1"/>
        </w:rPr>
        <w:t>been</w:t>
      </w:r>
      <w:r>
        <w:rPr>
          <w:spacing w:val="-2"/>
        </w:rPr>
        <w:t xml:space="preserve"> </w:t>
      </w:r>
      <w:r>
        <w:rPr>
          <w:spacing w:val="-1"/>
        </w:rPr>
        <w:t>made</w:t>
      </w:r>
      <w:r>
        <w:t xml:space="preserve"> </w:t>
      </w:r>
      <w:r>
        <w:rPr>
          <w:spacing w:val="-1"/>
        </w:rPr>
        <w:t>but</w:t>
      </w:r>
      <w:r>
        <w:t xml:space="preserve"> </w:t>
      </w:r>
      <w:r>
        <w:rPr>
          <w:spacing w:val="-1"/>
        </w:rPr>
        <w:t>not</w:t>
      </w:r>
      <w:r>
        <w:t xml:space="preserve"> </w:t>
      </w:r>
      <w:r>
        <w:rPr>
          <w:spacing w:val="-1"/>
        </w:rPr>
        <w:t>accepted;</w:t>
      </w:r>
      <w:r>
        <w:t xml:space="preserve"> </w:t>
      </w:r>
      <w:r>
        <w:rPr>
          <w:spacing w:val="-1"/>
        </w:rPr>
        <w:t>or</w:t>
      </w:r>
    </w:p>
    <w:p w:rsidR="008918FA" w:rsidRDefault="008918FA" w:rsidP="008918FA">
      <w:pPr>
        <w:pStyle w:val="BodyText"/>
        <w:numPr>
          <w:ilvl w:val="2"/>
          <w:numId w:val="7"/>
        </w:numPr>
        <w:tabs>
          <w:tab w:val="left" w:pos="1887"/>
        </w:tabs>
        <w:ind w:left="1886"/>
        <w:jc w:val="both"/>
      </w:pPr>
      <w:r>
        <w:t xml:space="preserve">the </w:t>
      </w:r>
      <w:r>
        <w:rPr>
          <w:spacing w:val="-1"/>
        </w:rPr>
        <w:t>situation</w:t>
      </w:r>
      <w:r>
        <w:t xml:space="preserve"> </w:t>
      </w:r>
      <w:r>
        <w:rPr>
          <w:spacing w:val="-1"/>
        </w:rPr>
        <w:t>has</w:t>
      </w:r>
      <w:r>
        <w:rPr>
          <w:spacing w:val="-2"/>
        </w:rPr>
        <w:t xml:space="preserve"> </w:t>
      </w:r>
      <w:r>
        <w:rPr>
          <w:spacing w:val="-1"/>
        </w:rPr>
        <w:t>not</w:t>
      </w:r>
      <w:r>
        <w:t xml:space="preserve"> </w:t>
      </w:r>
      <w:r>
        <w:rPr>
          <w:spacing w:val="-2"/>
        </w:rPr>
        <w:t>otherwise</w:t>
      </w:r>
      <w:r>
        <w:rPr>
          <w:spacing w:val="1"/>
        </w:rPr>
        <w:t xml:space="preserve"> </w:t>
      </w:r>
      <w:r>
        <w:rPr>
          <w:spacing w:val="-1"/>
        </w:rPr>
        <w:t>been</w:t>
      </w:r>
      <w:r>
        <w:t xml:space="preserve"> </w:t>
      </w:r>
      <w:r>
        <w:rPr>
          <w:spacing w:val="-2"/>
        </w:rPr>
        <w:t>resolved</w:t>
      </w:r>
    </w:p>
    <w:p w:rsidR="008918FA" w:rsidRDefault="008918FA" w:rsidP="008918FA">
      <w:pPr>
        <w:pStyle w:val="BodyText"/>
        <w:spacing w:before="121"/>
        <w:ind w:left="892" w:right="112" w:firstLine="0"/>
        <w:jc w:val="both"/>
      </w:pPr>
      <w:r>
        <w:t>the</w:t>
      </w:r>
      <w:r>
        <w:rPr>
          <w:spacing w:val="24"/>
        </w:rPr>
        <w:t xml:space="preserve"> </w:t>
      </w:r>
      <w:r>
        <w:rPr>
          <w:spacing w:val="-1"/>
        </w:rPr>
        <w:t>Customer</w:t>
      </w:r>
      <w:r>
        <w:rPr>
          <w:spacing w:val="23"/>
        </w:rPr>
        <w:t xml:space="preserve"> </w:t>
      </w:r>
      <w:r>
        <w:rPr>
          <w:spacing w:val="-1"/>
        </w:rPr>
        <w:t>shall</w:t>
      </w:r>
      <w:r>
        <w:rPr>
          <w:spacing w:val="24"/>
        </w:rPr>
        <w:t xml:space="preserve"> </w:t>
      </w:r>
      <w:r>
        <w:rPr>
          <w:spacing w:val="-1"/>
        </w:rPr>
        <w:t>advise</w:t>
      </w:r>
      <w:r>
        <w:rPr>
          <w:spacing w:val="25"/>
        </w:rPr>
        <w:t xml:space="preserve"> </w:t>
      </w:r>
      <w:r>
        <w:t>the</w:t>
      </w:r>
      <w:r>
        <w:rPr>
          <w:spacing w:val="24"/>
        </w:rPr>
        <w:t xml:space="preserve"> </w:t>
      </w:r>
      <w:r>
        <w:rPr>
          <w:spacing w:val="-2"/>
        </w:rPr>
        <w:t>Replacement</w:t>
      </w:r>
      <w:r>
        <w:rPr>
          <w:spacing w:val="26"/>
        </w:rPr>
        <w:t xml:space="preserve"> </w:t>
      </w:r>
      <w:r>
        <w:rPr>
          <w:spacing w:val="-2"/>
        </w:rPr>
        <w:t>Supplier</w:t>
      </w:r>
      <w:r>
        <w:rPr>
          <w:spacing w:val="26"/>
        </w:rPr>
        <w:t xml:space="preserve"> </w:t>
      </w:r>
      <w:r>
        <w:rPr>
          <w:spacing w:val="-1"/>
        </w:rPr>
        <w:t>and/or</w:t>
      </w:r>
      <w:r>
        <w:rPr>
          <w:spacing w:val="26"/>
        </w:rPr>
        <w:t xml:space="preserve"> </w:t>
      </w:r>
      <w:r>
        <w:rPr>
          <w:spacing w:val="-2"/>
        </w:rPr>
        <w:t>Replacement</w:t>
      </w:r>
      <w:r>
        <w:rPr>
          <w:spacing w:val="29"/>
        </w:rPr>
        <w:t xml:space="preserve"> </w:t>
      </w:r>
      <w:r>
        <w:rPr>
          <w:spacing w:val="-1"/>
        </w:rPr>
        <w:t>Sub-</w:t>
      </w:r>
      <w:r>
        <w:rPr>
          <w:spacing w:val="65"/>
        </w:rPr>
        <w:t xml:space="preserve"> </w:t>
      </w:r>
      <w:r>
        <w:rPr>
          <w:spacing w:val="-1"/>
        </w:rPr>
        <w:t>Contractor,</w:t>
      </w:r>
      <w:r>
        <w:rPr>
          <w:spacing w:val="11"/>
        </w:rPr>
        <w:t xml:space="preserve"> </w:t>
      </w:r>
      <w:r>
        <w:rPr>
          <w:spacing w:val="-1"/>
        </w:rPr>
        <w:t>as</w:t>
      </w:r>
      <w:r>
        <w:rPr>
          <w:spacing w:val="10"/>
        </w:rPr>
        <w:t xml:space="preserve"> </w:t>
      </w:r>
      <w:r>
        <w:rPr>
          <w:spacing w:val="-1"/>
        </w:rPr>
        <w:t>appropriate</w:t>
      </w:r>
      <w:r>
        <w:rPr>
          <w:spacing w:val="10"/>
        </w:rPr>
        <w:t xml:space="preserve"> </w:t>
      </w:r>
      <w:r>
        <w:rPr>
          <w:spacing w:val="-1"/>
        </w:rPr>
        <w:t>that</w:t>
      </w:r>
      <w:r>
        <w:rPr>
          <w:spacing w:val="11"/>
        </w:rPr>
        <w:t xml:space="preserve"> </w:t>
      </w:r>
      <w:r>
        <w:rPr>
          <w:spacing w:val="-1"/>
        </w:rPr>
        <w:t>it</w:t>
      </w:r>
      <w:r>
        <w:rPr>
          <w:spacing w:val="9"/>
        </w:rPr>
        <w:t xml:space="preserve"> </w:t>
      </w:r>
      <w:r>
        <w:rPr>
          <w:spacing w:val="-1"/>
        </w:rPr>
        <w:t>may</w:t>
      </w:r>
      <w:r>
        <w:rPr>
          <w:spacing w:val="10"/>
        </w:rPr>
        <w:t xml:space="preserve"> </w:t>
      </w:r>
      <w:r>
        <w:rPr>
          <w:spacing w:val="-2"/>
        </w:rPr>
        <w:t>within</w:t>
      </w:r>
      <w:r>
        <w:rPr>
          <w:spacing w:val="10"/>
        </w:rPr>
        <w:t xml:space="preserve"> </w:t>
      </w:r>
      <w:r>
        <w:rPr>
          <w:spacing w:val="-1"/>
        </w:rPr>
        <w:t>five</w:t>
      </w:r>
      <w:r>
        <w:rPr>
          <w:spacing w:val="12"/>
        </w:rPr>
        <w:t xml:space="preserve"> </w:t>
      </w:r>
      <w:r>
        <w:t>(5)</w:t>
      </w:r>
      <w:r>
        <w:rPr>
          <w:spacing w:val="-6"/>
        </w:rPr>
        <w:t xml:space="preserve"> </w:t>
      </w:r>
      <w:r>
        <w:rPr>
          <w:spacing w:val="-1"/>
        </w:rPr>
        <w:t>Working</w:t>
      </w:r>
      <w:r>
        <w:rPr>
          <w:spacing w:val="12"/>
        </w:rPr>
        <w:t xml:space="preserve"> </w:t>
      </w:r>
      <w:r>
        <w:rPr>
          <w:spacing w:val="-2"/>
        </w:rPr>
        <w:t>Days</w:t>
      </w:r>
      <w:r>
        <w:rPr>
          <w:spacing w:val="10"/>
        </w:rPr>
        <w:t xml:space="preserve"> </w:t>
      </w:r>
      <w:r>
        <w:rPr>
          <w:spacing w:val="-1"/>
        </w:rPr>
        <w:t>give</w:t>
      </w:r>
      <w:r>
        <w:rPr>
          <w:spacing w:val="10"/>
        </w:rPr>
        <w:t xml:space="preserve"> </w:t>
      </w:r>
      <w:r>
        <w:rPr>
          <w:spacing w:val="-1"/>
        </w:rPr>
        <w:t>notice</w:t>
      </w:r>
      <w:r>
        <w:rPr>
          <w:spacing w:val="10"/>
        </w:rPr>
        <w:t xml:space="preserve"> </w:t>
      </w:r>
      <w:r>
        <w:t>to</w:t>
      </w:r>
      <w:r>
        <w:rPr>
          <w:spacing w:val="65"/>
        </w:rPr>
        <w:t xml:space="preserve"> </w:t>
      </w:r>
      <w:r>
        <w:rPr>
          <w:spacing w:val="-1"/>
        </w:rPr>
        <w:t>terminate</w:t>
      </w:r>
      <w:r>
        <w:rPr>
          <w:spacing w:val="-2"/>
        </w:rPr>
        <w:t xml:space="preserve"> </w:t>
      </w:r>
      <w:r>
        <w:t xml:space="preserve">the </w:t>
      </w:r>
      <w:r>
        <w:rPr>
          <w:spacing w:val="-2"/>
        </w:rPr>
        <w:t>employment</w:t>
      </w:r>
      <w:r>
        <w:rPr>
          <w:spacing w:val="2"/>
        </w:rPr>
        <w:t xml:space="preserve"> </w:t>
      </w:r>
      <w:r>
        <w:rPr>
          <w:spacing w:val="-2"/>
        </w:rPr>
        <w:t>or</w:t>
      </w:r>
      <w:r>
        <w:rPr>
          <w:spacing w:val="2"/>
        </w:rPr>
        <w:t xml:space="preserve"> </w:t>
      </w:r>
      <w:r>
        <w:rPr>
          <w:spacing w:val="-1"/>
        </w:rPr>
        <w:t>alleged</w:t>
      </w:r>
      <w:r>
        <w:rPr>
          <w:spacing w:val="-2"/>
        </w:rPr>
        <w:t xml:space="preserve"> employment</w:t>
      </w:r>
      <w:r>
        <w:rPr>
          <w:spacing w:val="2"/>
        </w:rPr>
        <w:t xml:space="preserve"> </w:t>
      </w:r>
      <w:r>
        <w:rPr>
          <w:spacing w:val="-2"/>
        </w:rPr>
        <w:t>of</w:t>
      </w:r>
      <w:r>
        <w:rPr>
          <w:spacing w:val="2"/>
        </w:rPr>
        <w:t xml:space="preserve"> </w:t>
      </w:r>
      <w:r>
        <w:rPr>
          <w:spacing w:val="-1"/>
        </w:rPr>
        <w:t>such</w:t>
      </w:r>
      <w:r>
        <w:rPr>
          <w:spacing w:val="-2"/>
        </w:rPr>
        <w:t xml:space="preserve"> </w:t>
      </w:r>
      <w:r>
        <w:rPr>
          <w:spacing w:val="-1"/>
        </w:rPr>
        <w:t>person.</w:t>
      </w:r>
    </w:p>
    <w:p w:rsidR="008918FA" w:rsidRDefault="008918FA" w:rsidP="008918FA">
      <w:pPr>
        <w:pStyle w:val="BodyText"/>
        <w:numPr>
          <w:ilvl w:val="1"/>
          <w:numId w:val="7"/>
        </w:numPr>
        <w:tabs>
          <w:tab w:val="left" w:pos="689"/>
        </w:tabs>
        <w:ind w:left="687" w:right="112" w:hanging="359"/>
        <w:jc w:val="both"/>
      </w:pPr>
      <w:bookmarkStart w:id="485" w:name="_bookmark403"/>
      <w:bookmarkEnd w:id="485"/>
      <w:r>
        <w:rPr>
          <w:spacing w:val="-1"/>
        </w:rPr>
        <w:t>Subject</w:t>
      </w:r>
      <w:r>
        <w:rPr>
          <w:spacing w:val="7"/>
        </w:rPr>
        <w:t xml:space="preserve"> </w:t>
      </w:r>
      <w:r>
        <w:t>to</w:t>
      </w:r>
      <w:r>
        <w:rPr>
          <w:spacing w:val="7"/>
        </w:rPr>
        <w:t xml:space="preserve"> </w:t>
      </w:r>
      <w:r>
        <w:t>the</w:t>
      </w:r>
      <w:r>
        <w:rPr>
          <w:spacing w:val="7"/>
        </w:rPr>
        <w:t xml:space="preserve"> </w:t>
      </w:r>
      <w:r>
        <w:rPr>
          <w:spacing w:val="-2"/>
        </w:rPr>
        <w:t>Replacement</w:t>
      </w:r>
      <w:r>
        <w:rPr>
          <w:spacing w:val="9"/>
        </w:rPr>
        <w:t xml:space="preserve"> </w:t>
      </w:r>
      <w:r>
        <w:rPr>
          <w:spacing w:val="-2"/>
        </w:rPr>
        <w:t>Supplier</w:t>
      </w:r>
      <w:r>
        <w:rPr>
          <w:spacing w:val="9"/>
        </w:rPr>
        <w:t xml:space="preserve"> </w:t>
      </w:r>
      <w:r>
        <w:rPr>
          <w:spacing w:val="-1"/>
        </w:rPr>
        <w:t>and/or</w:t>
      </w:r>
      <w:r>
        <w:rPr>
          <w:spacing w:val="9"/>
        </w:rPr>
        <w:t xml:space="preserve"> </w:t>
      </w:r>
      <w:r>
        <w:rPr>
          <w:spacing w:val="-2"/>
        </w:rPr>
        <w:t>Replacement</w:t>
      </w:r>
      <w:r>
        <w:rPr>
          <w:spacing w:val="9"/>
        </w:rPr>
        <w:t xml:space="preserve"> </w:t>
      </w:r>
      <w:r>
        <w:rPr>
          <w:spacing w:val="-1"/>
        </w:rPr>
        <w:t>Sub-Contractor</w:t>
      </w:r>
      <w:r>
        <w:rPr>
          <w:spacing w:val="6"/>
        </w:rPr>
        <w:t xml:space="preserve"> </w:t>
      </w:r>
      <w:r>
        <w:rPr>
          <w:spacing w:val="-1"/>
        </w:rPr>
        <w:t>acting</w:t>
      </w:r>
      <w:r>
        <w:rPr>
          <w:spacing w:val="10"/>
        </w:rPr>
        <w:t xml:space="preserve"> </w:t>
      </w:r>
      <w:r>
        <w:rPr>
          <w:spacing w:val="-1"/>
        </w:rPr>
        <w:t>in</w:t>
      </w:r>
      <w:r>
        <w:rPr>
          <w:spacing w:val="69"/>
        </w:rPr>
        <w:t xml:space="preserve"> </w:t>
      </w:r>
      <w:r>
        <w:rPr>
          <w:spacing w:val="-1"/>
        </w:rPr>
        <w:t>accordance</w:t>
      </w:r>
      <w:r>
        <w:rPr>
          <w:spacing w:val="25"/>
        </w:rPr>
        <w:t xml:space="preserve"> </w:t>
      </w:r>
      <w:r>
        <w:rPr>
          <w:spacing w:val="-2"/>
        </w:rPr>
        <w:t>with</w:t>
      </w:r>
      <w:r>
        <w:rPr>
          <w:spacing w:val="24"/>
        </w:rPr>
        <w:t xml:space="preserve"> </w:t>
      </w:r>
      <w:r>
        <w:t>the</w:t>
      </w:r>
      <w:r>
        <w:rPr>
          <w:spacing w:val="24"/>
        </w:rPr>
        <w:t xml:space="preserve"> </w:t>
      </w:r>
      <w:r>
        <w:rPr>
          <w:spacing w:val="-2"/>
        </w:rPr>
        <w:t>provisions</w:t>
      </w:r>
      <w:r>
        <w:rPr>
          <w:spacing w:val="25"/>
        </w:rPr>
        <w:t xml:space="preserve"> </w:t>
      </w:r>
      <w:r>
        <w:rPr>
          <w:spacing w:val="-1"/>
        </w:rPr>
        <w:t>of</w:t>
      </w:r>
      <w:r>
        <w:rPr>
          <w:spacing w:val="30"/>
        </w:rPr>
        <w:t xml:space="preserve"> </w:t>
      </w:r>
      <w:r>
        <w:rPr>
          <w:spacing w:val="-1"/>
        </w:rPr>
        <w:t xml:space="preserve">paragraphs </w:t>
      </w:r>
      <w:hyperlink w:anchor="_bookmark398" w:history="1">
        <w:r>
          <w:rPr>
            <w:spacing w:val="-1"/>
          </w:rPr>
          <w:t>2.5</w:t>
        </w:r>
      </w:hyperlink>
      <w:r>
        <w:rPr>
          <w:spacing w:val="24"/>
        </w:rPr>
        <w:t xml:space="preserve"> </w:t>
      </w:r>
      <w:r>
        <w:t>to</w:t>
      </w:r>
      <w:r>
        <w:rPr>
          <w:spacing w:val="24"/>
        </w:rPr>
        <w:t xml:space="preserve"> </w:t>
      </w:r>
      <w:r>
        <w:rPr>
          <w:spacing w:val="-1"/>
        </w:rPr>
        <w:t>2.7</w:t>
      </w:r>
      <w:r>
        <w:rPr>
          <w:spacing w:val="24"/>
        </w:rPr>
        <w:t xml:space="preserve"> </w:t>
      </w:r>
      <w:r>
        <w:rPr>
          <w:spacing w:val="-2"/>
        </w:rPr>
        <w:t>of</w:t>
      </w:r>
      <w:r>
        <w:rPr>
          <w:spacing w:val="26"/>
        </w:rPr>
        <w:t xml:space="preserve"> </w:t>
      </w:r>
      <w:r>
        <w:rPr>
          <w:spacing w:val="-1"/>
        </w:rPr>
        <w:t>Part</w:t>
      </w:r>
      <w:r>
        <w:rPr>
          <w:spacing w:val="26"/>
        </w:rPr>
        <w:t xml:space="preserve"> </w:t>
      </w:r>
      <w:r>
        <w:t>D</w:t>
      </w:r>
      <w:r>
        <w:rPr>
          <w:spacing w:val="24"/>
        </w:rPr>
        <w:t xml:space="preserve"> </w:t>
      </w:r>
      <w:r>
        <w:rPr>
          <w:spacing w:val="-2"/>
        </w:rPr>
        <w:t>of</w:t>
      </w:r>
      <w:r>
        <w:rPr>
          <w:spacing w:val="26"/>
        </w:rPr>
        <w:t xml:space="preserve"> </w:t>
      </w:r>
      <w:r>
        <w:rPr>
          <w:spacing w:val="-1"/>
        </w:rPr>
        <w:t>this</w:t>
      </w:r>
      <w:r>
        <w:rPr>
          <w:spacing w:val="25"/>
        </w:rPr>
        <w:t xml:space="preserve"> </w:t>
      </w:r>
      <w:r>
        <w:rPr>
          <w:spacing w:val="-2"/>
        </w:rPr>
        <w:t>Call</w:t>
      </w:r>
      <w:r>
        <w:rPr>
          <w:spacing w:val="21"/>
        </w:rPr>
        <w:t xml:space="preserve"> </w:t>
      </w:r>
      <w:r>
        <w:rPr>
          <w:spacing w:val="-1"/>
        </w:rPr>
        <w:t>Off</w:t>
      </w:r>
      <w:r>
        <w:rPr>
          <w:spacing w:val="47"/>
        </w:rPr>
        <w:t xml:space="preserve"> </w:t>
      </w:r>
      <w:r>
        <w:rPr>
          <w:spacing w:val="-1"/>
        </w:rPr>
        <w:t>Schedule</w:t>
      </w:r>
      <w:r>
        <w:rPr>
          <w:spacing w:val="8"/>
        </w:rPr>
        <w:t xml:space="preserve"> </w:t>
      </w:r>
      <w:r>
        <w:rPr>
          <w:spacing w:val="-1"/>
        </w:rPr>
        <w:t>and</w:t>
      </w:r>
      <w:r>
        <w:rPr>
          <w:spacing w:val="7"/>
        </w:rPr>
        <w:t xml:space="preserve"> </w:t>
      </w:r>
      <w:r>
        <w:rPr>
          <w:spacing w:val="-1"/>
        </w:rPr>
        <w:t>in</w:t>
      </w:r>
      <w:r>
        <w:rPr>
          <w:spacing w:val="7"/>
        </w:rPr>
        <w:t xml:space="preserve"> </w:t>
      </w:r>
      <w:r>
        <w:rPr>
          <w:spacing w:val="-1"/>
        </w:rPr>
        <w:t>accordance</w:t>
      </w:r>
      <w:r>
        <w:rPr>
          <w:spacing w:val="8"/>
        </w:rPr>
        <w:t xml:space="preserve"> </w:t>
      </w:r>
      <w:r>
        <w:rPr>
          <w:spacing w:val="-2"/>
        </w:rPr>
        <w:t>with</w:t>
      </w:r>
      <w:r>
        <w:rPr>
          <w:spacing w:val="7"/>
        </w:rPr>
        <w:t xml:space="preserve"> </w:t>
      </w:r>
      <w:r>
        <w:t>all</w:t>
      </w:r>
      <w:r>
        <w:rPr>
          <w:spacing w:val="7"/>
        </w:rPr>
        <w:t xml:space="preserve"> </w:t>
      </w:r>
      <w:r>
        <w:rPr>
          <w:spacing w:val="-1"/>
        </w:rPr>
        <w:t>applicable</w:t>
      </w:r>
      <w:r>
        <w:rPr>
          <w:spacing w:val="7"/>
        </w:rPr>
        <w:t xml:space="preserve"> </w:t>
      </w:r>
      <w:r>
        <w:rPr>
          <w:spacing w:val="-1"/>
        </w:rPr>
        <w:t>proper</w:t>
      </w:r>
      <w:r>
        <w:rPr>
          <w:spacing w:val="9"/>
        </w:rPr>
        <w:t xml:space="preserve"> </w:t>
      </w:r>
      <w:r>
        <w:rPr>
          <w:spacing w:val="-1"/>
        </w:rPr>
        <w:t>employment</w:t>
      </w:r>
      <w:r>
        <w:rPr>
          <w:spacing w:val="9"/>
        </w:rPr>
        <w:t xml:space="preserve"> </w:t>
      </w:r>
      <w:r>
        <w:rPr>
          <w:spacing w:val="-1"/>
        </w:rPr>
        <w:t>procedures</w:t>
      </w:r>
      <w:r>
        <w:rPr>
          <w:spacing w:val="8"/>
        </w:rPr>
        <w:t xml:space="preserve"> </w:t>
      </w:r>
      <w:r>
        <w:rPr>
          <w:spacing w:val="-1"/>
        </w:rPr>
        <w:t>set</w:t>
      </w:r>
      <w:r>
        <w:rPr>
          <w:spacing w:val="29"/>
        </w:rPr>
        <w:t xml:space="preserve"> </w:t>
      </w:r>
      <w:r>
        <w:rPr>
          <w:spacing w:val="-1"/>
        </w:rPr>
        <w:t>out</w:t>
      </w:r>
      <w:r>
        <w:rPr>
          <w:spacing w:val="5"/>
        </w:rPr>
        <w:t xml:space="preserve"> </w:t>
      </w:r>
      <w:r>
        <w:rPr>
          <w:spacing w:val="-1"/>
        </w:rPr>
        <w:t>in</w:t>
      </w:r>
      <w:r>
        <w:rPr>
          <w:spacing w:val="4"/>
        </w:rPr>
        <w:t xml:space="preserve"> </w:t>
      </w:r>
      <w:r>
        <w:rPr>
          <w:spacing w:val="-2"/>
        </w:rPr>
        <w:t>applicable</w:t>
      </w:r>
      <w:r>
        <w:rPr>
          <w:spacing w:val="4"/>
        </w:rPr>
        <w:t xml:space="preserve"> </w:t>
      </w:r>
      <w:r>
        <w:rPr>
          <w:spacing w:val="-1"/>
        </w:rPr>
        <w:t>Law,</w:t>
      </w:r>
      <w:r>
        <w:rPr>
          <w:spacing w:val="8"/>
        </w:rPr>
        <w:t xml:space="preserve"> </w:t>
      </w:r>
      <w:r>
        <w:t>the</w:t>
      </w:r>
      <w:r>
        <w:rPr>
          <w:spacing w:val="4"/>
        </w:rPr>
        <w:t xml:space="preserve"> </w:t>
      </w:r>
      <w:r>
        <w:rPr>
          <w:spacing w:val="-2"/>
        </w:rPr>
        <w:t>Supplier</w:t>
      </w:r>
      <w:r>
        <w:rPr>
          <w:spacing w:val="5"/>
        </w:rPr>
        <w:t xml:space="preserve"> </w:t>
      </w:r>
      <w:r>
        <w:rPr>
          <w:spacing w:val="-1"/>
        </w:rPr>
        <w:t>shall</w:t>
      </w:r>
      <w:r>
        <w:rPr>
          <w:spacing w:val="3"/>
        </w:rPr>
        <w:t xml:space="preserve"> </w:t>
      </w:r>
      <w:r>
        <w:rPr>
          <w:spacing w:val="-1"/>
        </w:rPr>
        <w:t>indemnify</w:t>
      </w:r>
      <w:r>
        <w:rPr>
          <w:spacing w:val="2"/>
        </w:rPr>
        <w:t xml:space="preserve"> </w:t>
      </w:r>
      <w:r>
        <w:t xml:space="preserve">the </w:t>
      </w:r>
      <w:r>
        <w:rPr>
          <w:spacing w:val="4"/>
        </w:rPr>
        <w:t xml:space="preserve"> </w:t>
      </w:r>
      <w:r>
        <w:rPr>
          <w:spacing w:val="-1"/>
        </w:rPr>
        <w:t>Replacement</w:t>
      </w:r>
      <w:r>
        <w:t xml:space="preserve"> </w:t>
      </w:r>
      <w:r>
        <w:rPr>
          <w:spacing w:val="3"/>
        </w:rPr>
        <w:t xml:space="preserve"> </w:t>
      </w:r>
      <w:r>
        <w:rPr>
          <w:spacing w:val="-2"/>
        </w:rPr>
        <w:t>Supplier</w:t>
      </w:r>
      <w:r>
        <w:rPr>
          <w:spacing w:val="62"/>
        </w:rPr>
        <w:t xml:space="preserve"> </w:t>
      </w:r>
      <w:r>
        <w:rPr>
          <w:spacing w:val="-1"/>
        </w:rPr>
        <w:t>and/or</w:t>
      </w:r>
      <w:r>
        <w:rPr>
          <w:spacing w:val="23"/>
        </w:rPr>
        <w:t xml:space="preserve"> </w:t>
      </w:r>
      <w:r>
        <w:rPr>
          <w:spacing w:val="-2"/>
        </w:rPr>
        <w:t>Replacement</w:t>
      </w:r>
      <w:r>
        <w:rPr>
          <w:spacing w:val="24"/>
        </w:rPr>
        <w:t xml:space="preserve"> </w:t>
      </w:r>
      <w:r>
        <w:rPr>
          <w:spacing w:val="-1"/>
        </w:rPr>
        <w:t>Sub-Contractor</w:t>
      </w:r>
      <w:r>
        <w:rPr>
          <w:spacing w:val="23"/>
        </w:rPr>
        <w:t xml:space="preserve"> </w:t>
      </w:r>
      <w:r>
        <w:rPr>
          <w:spacing w:val="-1"/>
        </w:rPr>
        <w:t>against</w:t>
      </w:r>
      <w:r>
        <w:rPr>
          <w:spacing w:val="23"/>
        </w:rPr>
        <w:t xml:space="preserve"> </w:t>
      </w:r>
      <w:r>
        <w:rPr>
          <w:spacing w:val="-1"/>
        </w:rPr>
        <w:t>all</w:t>
      </w:r>
      <w:r>
        <w:rPr>
          <w:spacing w:val="21"/>
        </w:rPr>
        <w:t xml:space="preserve"> </w:t>
      </w:r>
      <w:r>
        <w:rPr>
          <w:spacing w:val="-2"/>
        </w:rPr>
        <w:t>Employee</w:t>
      </w:r>
      <w:r>
        <w:rPr>
          <w:spacing w:val="22"/>
        </w:rPr>
        <w:t xml:space="preserve"> </w:t>
      </w:r>
      <w:r>
        <w:rPr>
          <w:spacing w:val="-1"/>
        </w:rPr>
        <w:t>Liabilities</w:t>
      </w:r>
      <w:r>
        <w:rPr>
          <w:spacing w:val="22"/>
        </w:rPr>
        <w:t xml:space="preserve"> </w:t>
      </w:r>
      <w:r>
        <w:rPr>
          <w:spacing w:val="-1"/>
        </w:rPr>
        <w:t>arising</w:t>
      </w:r>
      <w:r>
        <w:rPr>
          <w:spacing w:val="24"/>
        </w:rPr>
        <w:t xml:space="preserve"> </w:t>
      </w:r>
      <w:r>
        <w:rPr>
          <w:spacing w:val="-1"/>
        </w:rPr>
        <w:t>out</w:t>
      </w:r>
      <w:r>
        <w:rPr>
          <w:spacing w:val="21"/>
        </w:rPr>
        <w:t xml:space="preserve"> </w:t>
      </w:r>
      <w:r>
        <w:rPr>
          <w:spacing w:val="-2"/>
        </w:rPr>
        <w:t>of</w:t>
      </w:r>
      <w:r>
        <w:rPr>
          <w:spacing w:val="59"/>
        </w:rPr>
        <w:t xml:space="preserve"> </w:t>
      </w:r>
      <w:r>
        <w:t>the</w:t>
      </w:r>
      <w:r>
        <w:rPr>
          <w:spacing w:val="3"/>
        </w:rPr>
        <w:t xml:space="preserve"> </w:t>
      </w:r>
      <w:r>
        <w:rPr>
          <w:spacing w:val="-1"/>
        </w:rPr>
        <w:t>termination</w:t>
      </w:r>
      <w:r>
        <w:rPr>
          <w:spacing w:val="3"/>
        </w:rPr>
        <w:t xml:space="preserve"> </w:t>
      </w:r>
      <w:r>
        <w:rPr>
          <w:spacing w:val="-1"/>
        </w:rPr>
        <w:t>pursuant</w:t>
      </w:r>
      <w:r>
        <w:rPr>
          <w:spacing w:val="2"/>
        </w:rPr>
        <w:t xml:space="preserve"> </w:t>
      </w:r>
      <w:r>
        <w:t>to</w:t>
      </w:r>
      <w:r>
        <w:rPr>
          <w:spacing w:val="3"/>
        </w:rPr>
        <w:t xml:space="preserve"> </w:t>
      </w:r>
      <w:r>
        <w:t xml:space="preserve">the </w:t>
      </w:r>
      <w:r>
        <w:rPr>
          <w:spacing w:val="-2"/>
        </w:rPr>
        <w:t>provisions</w:t>
      </w:r>
      <w:r>
        <w:rPr>
          <w:spacing w:val="3"/>
        </w:rPr>
        <w:t xml:space="preserve"> </w:t>
      </w:r>
      <w:r>
        <w:rPr>
          <w:spacing w:val="-2"/>
        </w:rPr>
        <w:t>of</w:t>
      </w:r>
      <w:r>
        <w:rPr>
          <w:spacing w:val="8"/>
        </w:rPr>
        <w:t xml:space="preserve"> </w:t>
      </w:r>
      <w:r>
        <w:rPr>
          <w:spacing w:val="-1"/>
        </w:rPr>
        <w:t>paragraph</w:t>
      </w:r>
      <w:r>
        <w:rPr>
          <w:spacing w:val="1"/>
        </w:rPr>
        <w:t xml:space="preserve"> </w:t>
      </w:r>
      <w:hyperlink w:anchor="_bookmark402" w:history="1">
        <w:r>
          <w:rPr>
            <w:spacing w:val="-1"/>
          </w:rPr>
          <w:t>2.7</w:t>
        </w:r>
      </w:hyperlink>
      <w:r>
        <w:rPr>
          <w:spacing w:val="3"/>
        </w:rPr>
        <w:t xml:space="preserve"> </w:t>
      </w:r>
      <w:r>
        <w:rPr>
          <w:spacing w:val="-2"/>
        </w:rPr>
        <w:t>of</w:t>
      </w:r>
      <w:r>
        <w:rPr>
          <w:spacing w:val="4"/>
        </w:rPr>
        <w:t xml:space="preserve"> </w:t>
      </w:r>
      <w:r>
        <w:rPr>
          <w:spacing w:val="-1"/>
        </w:rPr>
        <w:t>Part</w:t>
      </w:r>
      <w:r>
        <w:rPr>
          <w:spacing w:val="4"/>
        </w:rPr>
        <w:t xml:space="preserve"> </w:t>
      </w:r>
      <w:r>
        <w:t>D</w:t>
      </w:r>
      <w:r>
        <w:rPr>
          <w:spacing w:val="2"/>
        </w:rPr>
        <w:t xml:space="preserve"> </w:t>
      </w:r>
      <w:r>
        <w:rPr>
          <w:spacing w:val="-2"/>
        </w:rPr>
        <w:t>of</w:t>
      </w:r>
      <w:r>
        <w:rPr>
          <w:spacing w:val="2"/>
        </w:rPr>
        <w:t xml:space="preserve"> </w:t>
      </w:r>
      <w:r>
        <w:rPr>
          <w:spacing w:val="-1"/>
        </w:rPr>
        <w:t>this</w:t>
      </w:r>
      <w:r>
        <w:rPr>
          <w:spacing w:val="3"/>
        </w:rPr>
        <w:t xml:space="preserve"> </w:t>
      </w:r>
      <w:r>
        <w:rPr>
          <w:spacing w:val="-2"/>
        </w:rPr>
        <w:t xml:space="preserve">Call </w:t>
      </w:r>
      <w:r>
        <w:t>Off</w:t>
      </w:r>
      <w:r>
        <w:rPr>
          <w:spacing w:val="42"/>
        </w:rPr>
        <w:t xml:space="preserve"> </w:t>
      </w:r>
      <w:r>
        <w:rPr>
          <w:spacing w:val="-1"/>
        </w:rPr>
        <w:t>Schedule</w:t>
      </w:r>
      <w:r>
        <w:rPr>
          <w:spacing w:val="22"/>
        </w:rPr>
        <w:t xml:space="preserve"> </w:t>
      </w:r>
      <w:r>
        <w:rPr>
          <w:spacing w:val="-2"/>
        </w:rPr>
        <w:t>provided</w:t>
      </w:r>
      <w:r>
        <w:rPr>
          <w:spacing w:val="22"/>
        </w:rPr>
        <w:t xml:space="preserve"> </w:t>
      </w:r>
      <w:r>
        <w:rPr>
          <w:spacing w:val="-1"/>
        </w:rPr>
        <w:t>that</w:t>
      </w:r>
      <w:r>
        <w:rPr>
          <w:spacing w:val="23"/>
        </w:rPr>
        <w:t xml:space="preserve"> </w:t>
      </w:r>
      <w:r>
        <w:t>the</w:t>
      </w:r>
      <w:r>
        <w:rPr>
          <w:spacing w:val="22"/>
        </w:rPr>
        <w:t xml:space="preserve"> </w:t>
      </w:r>
      <w:r>
        <w:rPr>
          <w:spacing w:val="-1"/>
        </w:rPr>
        <w:t>Replacement</w:t>
      </w:r>
      <w:r>
        <w:rPr>
          <w:spacing w:val="23"/>
        </w:rPr>
        <w:t xml:space="preserve"> </w:t>
      </w:r>
      <w:r>
        <w:rPr>
          <w:spacing w:val="-2"/>
        </w:rPr>
        <w:t>Supplier</w:t>
      </w:r>
      <w:r>
        <w:rPr>
          <w:spacing w:val="23"/>
        </w:rPr>
        <w:t xml:space="preserve"> </w:t>
      </w:r>
      <w:r>
        <w:rPr>
          <w:spacing w:val="-1"/>
        </w:rPr>
        <w:t>takes,</w:t>
      </w:r>
      <w:r>
        <w:rPr>
          <w:spacing w:val="23"/>
        </w:rPr>
        <w:t xml:space="preserve"> </w:t>
      </w:r>
      <w:r>
        <w:rPr>
          <w:spacing w:val="-1"/>
        </w:rPr>
        <w:t>or</w:t>
      </w:r>
      <w:r>
        <w:rPr>
          <w:spacing w:val="23"/>
        </w:rPr>
        <w:t xml:space="preserve"> </w:t>
      </w:r>
      <w:r>
        <w:rPr>
          <w:spacing w:val="-1"/>
        </w:rPr>
        <w:t>shall</w:t>
      </w:r>
      <w:r>
        <w:rPr>
          <w:spacing w:val="21"/>
        </w:rPr>
        <w:t xml:space="preserve"> </w:t>
      </w:r>
      <w:r>
        <w:rPr>
          <w:spacing w:val="-1"/>
        </w:rPr>
        <w:t>procure</w:t>
      </w:r>
      <w:r>
        <w:rPr>
          <w:spacing w:val="19"/>
        </w:rPr>
        <w:t xml:space="preserve"> </w:t>
      </w:r>
      <w:r>
        <w:rPr>
          <w:spacing w:val="-1"/>
        </w:rPr>
        <w:t>that</w:t>
      </w:r>
      <w:r>
        <w:rPr>
          <w:spacing w:val="23"/>
        </w:rPr>
        <w:t xml:space="preserve"> </w:t>
      </w:r>
      <w:r>
        <w:rPr>
          <w:spacing w:val="-1"/>
        </w:rPr>
        <w:t>the</w:t>
      </w:r>
      <w:r>
        <w:rPr>
          <w:spacing w:val="64"/>
        </w:rPr>
        <w:t xml:space="preserve"> </w:t>
      </w:r>
      <w:r>
        <w:rPr>
          <w:spacing w:val="-1"/>
        </w:rPr>
        <w:t>Replacement</w:t>
      </w:r>
      <w:r>
        <w:rPr>
          <w:spacing w:val="55"/>
        </w:rPr>
        <w:t xml:space="preserve"> </w:t>
      </w:r>
      <w:r>
        <w:rPr>
          <w:spacing w:val="-1"/>
        </w:rPr>
        <w:t>Sub-Contractor</w:t>
      </w:r>
      <w:r>
        <w:rPr>
          <w:spacing w:val="54"/>
        </w:rPr>
        <w:t xml:space="preserve"> </w:t>
      </w:r>
      <w:r>
        <w:rPr>
          <w:spacing w:val="-1"/>
        </w:rPr>
        <w:t>takes,</w:t>
      </w:r>
      <w:r>
        <w:rPr>
          <w:spacing w:val="55"/>
        </w:rPr>
        <w:t xml:space="preserve"> </w:t>
      </w:r>
      <w:r>
        <w:rPr>
          <w:spacing w:val="-1"/>
        </w:rPr>
        <w:t>all</w:t>
      </w:r>
      <w:r>
        <w:rPr>
          <w:spacing w:val="52"/>
        </w:rPr>
        <w:t xml:space="preserve"> </w:t>
      </w:r>
      <w:r>
        <w:rPr>
          <w:spacing w:val="-1"/>
        </w:rPr>
        <w:t>reasonable</w:t>
      </w:r>
      <w:r>
        <w:rPr>
          <w:spacing w:val="53"/>
        </w:rPr>
        <w:t xml:space="preserve"> </w:t>
      </w:r>
      <w:r>
        <w:rPr>
          <w:spacing w:val="-1"/>
        </w:rPr>
        <w:t>steps</w:t>
      </w:r>
      <w:r>
        <w:rPr>
          <w:spacing w:val="53"/>
        </w:rPr>
        <w:t xml:space="preserve"> </w:t>
      </w:r>
      <w:r>
        <w:t>to</w:t>
      </w:r>
      <w:r>
        <w:rPr>
          <w:spacing w:val="54"/>
        </w:rPr>
        <w:t xml:space="preserve"> </w:t>
      </w:r>
      <w:r>
        <w:rPr>
          <w:spacing w:val="-1"/>
        </w:rPr>
        <w:t>minimise</w:t>
      </w:r>
      <w:r>
        <w:rPr>
          <w:spacing w:val="53"/>
        </w:rPr>
        <w:t xml:space="preserve"> </w:t>
      </w:r>
      <w:r>
        <w:rPr>
          <w:spacing w:val="-2"/>
        </w:rPr>
        <w:t>any</w:t>
      </w:r>
      <w:r>
        <w:rPr>
          <w:spacing w:val="51"/>
        </w:rPr>
        <w:t xml:space="preserve"> </w:t>
      </w:r>
      <w:r>
        <w:rPr>
          <w:spacing w:val="-1"/>
        </w:rPr>
        <w:t>such</w:t>
      </w:r>
      <w:r>
        <w:rPr>
          <w:spacing w:val="20"/>
        </w:rPr>
        <w:t xml:space="preserve"> </w:t>
      </w:r>
      <w:r>
        <w:rPr>
          <w:spacing w:val="-2"/>
        </w:rPr>
        <w:t>Employee</w:t>
      </w:r>
      <w:r>
        <w:t xml:space="preserve"> </w:t>
      </w:r>
      <w:r>
        <w:rPr>
          <w:spacing w:val="-1"/>
        </w:rPr>
        <w:t>Liabilities.</w:t>
      </w:r>
    </w:p>
    <w:p w:rsidR="008918FA" w:rsidRDefault="008918FA" w:rsidP="008918FA">
      <w:pPr>
        <w:pStyle w:val="BodyText"/>
        <w:numPr>
          <w:ilvl w:val="1"/>
          <w:numId w:val="7"/>
        </w:numPr>
        <w:tabs>
          <w:tab w:val="left" w:pos="688"/>
        </w:tabs>
        <w:spacing w:before="121"/>
        <w:ind w:left="687"/>
        <w:jc w:val="left"/>
      </w:pPr>
      <w:r>
        <w:t>The</w:t>
      </w:r>
      <w:r>
        <w:rPr>
          <w:spacing w:val="-2"/>
        </w:rPr>
        <w:t xml:space="preserve"> </w:t>
      </w:r>
      <w:r>
        <w:rPr>
          <w:spacing w:val="-1"/>
        </w:rPr>
        <w:t>indemnity</w:t>
      </w:r>
      <w:r>
        <w:rPr>
          <w:spacing w:val="-2"/>
        </w:rPr>
        <w:t xml:space="preserve"> </w:t>
      </w:r>
      <w:r>
        <w:rPr>
          <w:spacing w:val="-1"/>
        </w:rPr>
        <w:t>in</w:t>
      </w:r>
      <w:r>
        <w:t xml:space="preserve"> </w:t>
      </w:r>
      <w:r>
        <w:rPr>
          <w:spacing w:val="-2"/>
        </w:rPr>
        <w:t>paragraph</w:t>
      </w:r>
      <w:r>
        <w:rPr>
          <w:spacing w:val="1"/>
        </w:rPr>
        <w:t xml:space="preserve"> </w:t>
      </w:r>
      <w:hyperlink w:anchor="_bookmark403" w:history="1">
        <w:r>
          <w:t>2.8</w:t>
        </w:r>
      </w:hyperlink>
      <w:r>
        <w:rPr>
          <w:spacing w:val="-2"/>
        </w:rPr>
        <w:t xml:space="preserve"> of</w:t>
      </w:r>
      <w:r>
        <w:rPr>
          <w:spacing w:val="2"/>
        </w:rPr>
        <w:t xml:space="preserve"> </w:t>
      </w:r>
      <w:r>
        <w:rPr>
          <w:spacing w:val="-1"/>
        </w:rPr>
        <w:t>Part</w:t>
      </w:r>
      <w:r>
        <w:rPr>
          <w:spacing w:val="2"/>
        </w:rPr>
        <w:t xml:space="preserve"> </w:t>
      </w:r>
      <w:r>
        <w:t xml:space="preserve">D </w:t>
      </w:r>
      <w:r>
        <w:rPr>
          <w:spacing w:val="-2"/>
        </w:rPr>
        <w:t>of</w:t>
      </w:r>
      <w:r>
        <w:t xml:space="preserve"> </w:t>
      </w:r>
      <w:r>
        <w:rPr>
          <w:spacing w:val="-1"/>
        </w:rPr>
        <w:t>this</w:t>
      </w:r>
      <w:r>
        <w:rPr>
          <w:spacing w:val="1"/>
        </w:rPr>
        <w:t xml:space="preserve"> </w:t>
      </w:r>
      <w:r>
        <w:rPr>
          <w:spacing w:val="-2"/>
        </w:rPr>
        <w:t>Call</w:t>
      </w:r>
      <w:r>
        <w:t xml:space="preserve"> </w:t>
      </w:r>
      <w:r>
        <w:rPr>
          <w:spacing w:val="-1"/>
        </w:rPr>
        <w:t>Off</w:t>
      </w:r>
      <w:r>
        <w:rPr>
          <w:spacing w:val="2"/>
        </w:rPr>
        <w:t xml:space="preserve"> </w:t>
      </w:r>
      <w:r>
        <w:rPr>
          <w:spacing w:val="-1"/>
        </w:rPr>
        <w:t>Schedule:</w:t>
      </w:r>
    </w:p>
    <w:p w:rsidR="008918FA" w:rsidRDefault="008918FA" w:rsidP="008918FA">
      <w:pPr>
        <w:pStyle w:val="BodyText"/>
        <w:numPr>
          <w:ilvl w:val="2"/>
          <w:numId w:val="7"/>
        </w:numPr>
        <w:tabs>
          <w:tab w:val="left" w:pos="1886"/>
        </w:tabs>
        <w:ind w:left="1886" w:hanging="995"/>
        <w:jc w:val="both"/>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rsidR="008918FA" w:rsidRDefault="008918FA" w:rsidP="008918FA">
      <w:pPr>
        <w:pStyle w:val="BodyText"/>
        <w:numPr>
          <w:ilvl w:val="3"/>
          <w:numId w:val="7"/>
        </w:numPr>
        <w:tabs>
          <w:tab w:val="left" w:pos="2594"/>
        </w:tabs>
        <w:spacing w:before="121"/>
        <w:ind w:left="2594" w:hanging="709"/>
      </w:pPr>
      <w:r>
        <w:rPr>
          <w:spacing w:val="-1"/>
        </w:rPr>
        <w:t>any</w:t>
      </w:r>
      <w:r>
        <w:rPr>
          <w:spacing w:val="-2"/>
        </w:rPr>
        <w:t xml:space="preserve"> </w:t>
      </w:r>
      <w:r>
        <w:rPr>
          <w:spacing w:val="-1"/>
        </w:rPr>
        <w:t xml:space="preserve">claim </w:t>
      </w:r>
      <w:r>
        <w:t>for:</w:t>
      </w:r>
    </w:p>
    <w:p w:rsidR="008918FA" w:rsidRDefault="008918FA" w:rsidP="008918FA">
      <w:pPr>
        <w:pStyle w:val="BodyText"/>
        <w:numPr>
          <w:ilvl w:val="4"/>
          <w:numId w:val="7"/>
        </w:numPr>
        <w:tabs>
          <w:tab w:val="left" w:pos="3163"/>
        </w:tabs>
        <w:ind w:right="118"/>
      </w:pPr>
      <w:r>
        <w:rPr>
          <w:spacing w:val="-1"/>
        </w:rPr>
        <w:t>discrimination,</w:t>
      </w:r>
      <w:r>
        <w:t xml:space="preserve"> </w:t>
      </w:r>
      <w:r>
        <w:rPr>
          <w:spacing w:val="15"/>
        </w:rPr>
        <w:t xml:space="preserve"> </w:t>
      </w:r>
      <w:r>
        <w:rPr>
          <w:spacing w:val="-2"/>
        </w:rPr>
        <w:t>including</w:t>
      </w:r>
      <w:r>
        <w:t xml:space="preserve"> </w:t>
      </w:r>
      <w:r>
        <w:rPr>
          <w:spacing w:val="14"/>
        </w:rPr>
        <w:t xml:space="preserve"> </w:t>
      </w:r>
      <w:r>
        <w:rPr>
          <w:spacing w:val="-1"/>
        </w:rPr>
        <w:t>on</w:t>
      </w:r>
      <w:r>
        <w:t xml:space="preserve"> </w:t>
      </w:r>
      <w:r>
        <w:rPr>
          <w:spacing w:val="14"/>
        </w:rPr>
        <w:t xml:space="preserve"> </w:t>
      </w:r>
      <w:r>
        <w:t xml:space="preserve">the </w:t>
      </w:r>
      <w:r>
        <w:rPr>
          <w:spacing w:val="9"/>
        </w:rPr>
        <w:t xml:space="preserve"> </w:t>
      </w:r>
      <w:r>
        <w:rPr>
          <w:spacing w:val="-1"/>
        </w:rPr>
        <w:t>grounds</w:t>
      </w:r>
      <w:r>
        <w:t xml:space="preserve"> </w:t>
      </w:r>
      <w:r>
        <w:rPr>
          <w:spacing w:val="11"/>
        </w:rPr>
        <w:t xml:space="preserve"> </w:t>
      </w:r>
      <w:r>
        <w:rPr>
          <w:spacing w:val="-2"/>
        </w:rPr>
        <w:t>of</w:t>
      </w:r>
      <w:r>
        <w:t xml:space="preserve"> </w:t>
      </w:r>
      <w:r>
        <w:rPr>
          <w:spacing w:val="15"/>
        </w:rPr>
        <w:t xml:space="preserve"> </w:t>
      </w:r>
      <w:r>
        <w:rPr>
          <w:spacing w:val="-2"/>
        </w:rPr>
        <w:t>sex,</w:t>
      </w:r>
      <w:r>
        <w:t xml:space="preserve"> </w:t>
      </w:r>
      <w:r>
        <w:rPr>
          <w:spacing w:val="15"/>
        </w:rPr>
        <w:t xml:space="preserve"> </w:t>
      </w:r>
      <w:r>
        <w:rPr>
          <w:spacing w:val="-1"/>
        </w:rPr>
        <w:t>race,</w:t>
      </w:r>
      <w:r>
        <w:rPr>
          <w:spacing w:val="39"/>
        </w:rPr>
        <w:t xml:space="preserve"> </w:t>
      </w:r>
      <w:r>
        <w:rPr>
          <w:spacing w:val="-1"/>
        </w:rPr>
        <w:t>disability,</w:t>
      </w:r>
      <w:r>
        <w:t xml:space="preserve"> </w:t>
      </w:r>
      <w:r>
        <w:rPr>
          <w:spacing w:val="15"/>
        </w:rPr>
        <w:t xml:space="preserve"> </w:t>
      </w:r>
      <w:r>
        <w:rPr>
          <w:spacing w:val="-1"/>
        </w:rPr>
        <w:t>age,</w:t>
      </w:r>
      <w:r>
        <w:t xml:space="preserve"> </w:t>
      </w:r>
      <w:r>
        <w:rPr>
          <w:spacing w:val="13"/>
        </w:rPr>
        <w:t xml:space="preserve"> </w:t>
      </w:r>
      <w:r>
        <w:rPr>
          <w:spacing w:val="-1"/>
        </w:rPr>
        <w:t>gender</w:t>
      </w:r>
      <w:r>
        <w:t xml:space="preserve"> </w:t>
      </w:r>
      <w:r>
        <w:rPr>
          <w:spacing w:val="10"/>
        </w:rPr>
        <w:t xml:space="preserve"> </w:t>
      </w:r>
      <w:r>
        <w:rPr>
          <w:spacing w:val="-1"/>
        </w:rPr>
        <w:t>reassignment,</w:t>
      </w:r>
      <w:r>
        <w:t xml:space="preserve"> </w:t>
      </w:r>
      <w:r>
        <w:rPr>
          <w:spacing w:val="13"/>
        </w:rPr>
        <w:t xml:space="preserve"> </w:t>
      </w:r>
      <w:r>
        <w:rPr>
          <w:spacing w:val="-1"/>
        </w:rPr>
        <w:t>marriage</w:t>
      </w:r>
      <w:r>
        <w:t xml:space="preserve"> </w:t>
      </w:r>
      <w:r>
        <w:rPr>
          <w:spacing w:val="11"/>
        </w:rPr>
        <w:t xml:space="preserve"> </w:t>
      </w:r>
      <w:r>
        <w:rPr>
          <w:spacing w:val="-1"/>
        </w:rPr>
        <w:t>or</w:t>
      </w:r>
      <w:r>
        <w:t xml:space="preserve"> </w:t>
      </w:r>
      <w:r>
        <w:rPr>
          <w:spacing w:val="15"/>
        </w:rPr>
        <w:t xml:space="preserve"> </w:t>
      </w:r>
      <w:r>
        <w:rPr>
          <w:spacing w:val="-2"/>
        </w:rPr>
        <w:t>civil</w:t>
      </w:r>
    </w:p>
    <w:p w:rsidR="008918FA" w:rsidRDefault="008918FA" w:rsidP="008918FA">
      <w:pPr>
        <w:sectPr w:rsidR="008918FA">
          <w:pgSz w:w="11910" w:h="16840"/>
          <w:pgMar w:top="1480" w:right="1300" w:bottom="1180" w:left="1680" w:header="0" w:footer="987" w:gutter="0"/>
          <w:cols w:space="720"/>
        </w:sectPr>
      </w:pPr>
    </w:p>
    <w:p w:rsidR="008918FA" w:rsidRDefault="008918FA" w:rsidP="008918FA">
      <w:pPr>
        <w:pStyle w:val="BodyText"/>
        <w:tabs>
          <w:tab w:val="left" w:pos="4597"/>
          <w:tab w:val="left" w:pos="5890"/>
          <w:tab w:val="left" w:pos="6528"/>
          <w:tab w:val="left" w:pos="7707"/>
          <w:tab w:val="left" w:pos="8172"/>
        </w:tabs>
        <w:spacing w:before="59"/>
        <w:ind w:left="3163" w:right="117" w:firstLine="0"/>
      </w:pPr>
      <w:r>
        <w:rPr>
          <w:spacing w:val="-1"/>
        </w:rPr>
        <w:t>partnership,</w:t>
      </w:r>
      <w:r>
        <w:rPr>
          <w:spacing w:val="-1"/>
        </w:rPr>
        <w:tab/>
      </w:r>
      <w:r>
        <w:rPr>
          <w:spacing w:val="-2"/>
          <w:w w:val="95"/>
        </w:rPr>
        <w:t>pregnancy</w:t>
      </w:r>
      <w:r>
        <w:rPr>
          <w:spacing w:val="-2"/>
          <w:w w:val="95"/>
        </w:rPr>
        <w:tab/>
      </w:r>
      <w:r>
        <w:rPr>
          <w:spacing w:val="-1"/>
        </w:rPr>
        <w:t>and</w:t>
      </w:r>
      <w:r>
        <w:rPr>
          <w:spacing w:val="-1"/>
        </w:rPr>
        <w:tab/>
        <w:t>maternity</w:t>
      </w:r>
      <w:r>
        <w:rPr>
          <w:spacing w:val="-1"/>
        </w:rPr>
        <w:tab/>
        <w:t>or</w:t>
      </w:r>
      <w:r>
        <w:rPr>
          <w:spacing w:val="-1"/>
        </w:rPr>
        <w:tab/>
      </w:r>
      <w:r>
        <w:rPr>
          <w:spacing w:val="-2"/>
        </w:rPr>
        <w:t>sexual</w:t>
      </w:r>
      <w:r>
        <w:rPr>
          <w:spacing w:val="48"/>
        </w:rPr>
        <w:t xml:space="preserve"> </w:t>
      </w:r>
      <w:r>
        <w:rPr>
          <w:spacing w:val="-1"/>
        </w:rPr>
        <w:t>orientation,</w:t>
      </w:r>
      <w:r>
        <w:t xml:space="preserve"> </w:t>
      </w:r>
      <w:r>
        <w:rPr>
          <w:spacing w:val="-1"/>
        </w:rPr>
        <w:t>religion</w:t>
      </w:r>
      <w:r>
        <w:t xml:space="preserve"> </w:t>
      </w:r>
      <w:r>
        <w:rPr>
          <w:spacing w:val="-1"/>
        </w:rPr>
        <w:t>or belief;</w:t>
      </w:r>
      <w:r>
        <w:t xml:space="preserve"> </w:t>
      </w:r>
      <w:r>
        <w:rPr>
          <w:spacing w:val="-1"/>
        </w:rPr>
        <w:t>or</w:t>
      </w:r>
    </w:p>
    <w:p w:rsidR="008918FA" w:rsidRDefault="008918FA" w:rsidP="008918FA">
      <w:pPr>
        <w:pStyle w:val="BodyText"/>
        <w:numPr>
          <w:ilvl w:val="4"/>
          <w:numId w:val="7"/>
        </w:numPr>
        <w:tabs>
          <w:tab w:val="left" w:pos="3164"/>
        </w:tabs>
        <w:spacing w:before="121"/>
        <w:ind w:left="3163" w:right="115"/>
      </w:pPr>
      <w:r>
        <w:rPr>
          <w:spacing w:val="-1"/>
        </w:rPr>
        <w:t>equal</w:t>
      </w:r>
      <w:r>
        <w:rPr>
          <w:spacing w:val="21"/>
        </w:rPr>
        <w:t xml:space="preserve"> </w:t>
      </w:r>
      <w:r>
        <w:rPr>
          <w:spacing w:val="-1"/>
        </w:rPr>
        <w:t>pay</w:t>
      </w:r>
      <w:r>
        <w:rPr>
          <w:spacing w:val="20"/>
        </w:rPr>
        <w:t xml:space="preserve"> </w:t>
      </w:r>
      <w:r>
        <w:rPr>
          <w:spacing w:val="-1"/>
        </w:rPr>
        <w:t>or</w:t>
      </w:r>
      <w:r>
        <w:rPr>
          <w:spacing w:val="23"/>
        </w:rPr>
        <w:t xml:space="preserve"> </w:t>
      </w:r>
      <w:r>
        <w:rPr>
          <w:spacing w:val="-2"/>
        </w:rPr>
        <w:t>compensation</w:t>
      </w:r>
      <w:r>
        <w:rPr>
          <w:spacing w:val="23"/>
        </w:rPr>
        <w:t xml:space="preserve"> </w:t>
      </w:r>
      <w:r>
        <w:t>for</w:t>
      </w:r>
      <w:r>
        <w:rPr>
          <w:spacing w:val="23"/>
        </w:rPr>
        <w:t xml:space="preserve"> </w:t>
      </w:r>
      <w:r>
        <w:rPr>
          <w:spacing w:val="-1"/>
        </w:rPr>
        <w:t>less</w:t>
      </w:r>
      <w:r>
        <w:rPr>
          <w:spacing w:val="20"/>
        </w:rPr>
        <w:t xml:space="preserve"> </w:t>
      </w:r>
      <w:r>
        <w:rPr>
          <w:spacing w:val="-1"/>
        </w:rPr>
        <w:t>favourable</w:t>
      </w:r>
      <w:r>
        <w:rPr>
          <w:spacing w:val="22"/>
        </w:rPr>
        <w:t xml:space="preserve"> </w:t>
      </w:r>
      <w:r>
        <w:rPr>
          <w:spacing w:val="-1"/>
        </w:rPr>
        <w:t>treatment</w:t>
      </w:r>
      <w:r>
        <w:rPr>
          <w:spacing w:val="39"/>
        </w:rPr>
        <w:t xml:space="preserve"> </w:t>
      </w:r>
      <w:r>
        <w:rPr>
          <w:spacing w:val="-2"/>
        </w:rPr>
        <w:t>of</w:t>
      </w:r>
      <w:r>
        <w:rPr>
          <w:spacing w:val="4"/>
        </w:rPr>
        <w:t xml:space="preserve"> </w:t>
      </w:r>
      <w:r>
        <w:rPr>
          <w:spacing w:val="-1"/>
        </w:rPr>
        <w:t>part-time</w:t>
      </w:r>
      <w:r>
        <w:rPr>
          <w:spacing w:val="-2"/>
        </w:rPr>
        <w:t xml:space="preserve"> </w:t>
      </w:r>
      <w:r>
        <w:rPr>
          <w:spacing w:val="-1"/>
        </w:rPr>
        <w:t>workers</w:t>
      </w:r>
      <w:r>
        <w:rPr>
          <w:spacing w:val="-2"/>
        </w:rPr>
        <w:t xml:space="preserve"> </w:t>
      </w:r>
      <w:r>
        <w:rPr>
          <w:spacing w:val="-1"/>
        </w:rPr>
        <w:t>or</w:t>
      </w:r>
      <w:r>
        <w:rPr>
          <w:spacing w:val="-3"/>
        </w:rPr>
        <w:t xml:space="preserve"> </w:t>
      </w:r>
      <w:r>
        <w:rPr>
          <w:spacing w:val="-1"/>
        </w:rPr>
        <w:t xml:space="preserve">fixed-term </w:t>
      </w:r>
      <w:r>
        <w:rPr>
          <w:spacing w:val="-2"/>
        </w:rPr>
        <w:t>employees,</w:t>
      </w:r>
    </w:p>
    <w:p w:rsidR="008918FA" w:rsidRDefault="008918FA" w:rsidP="008918FA">
      <w:pPr>
        <w:pStyle w:val="BodyText"/>
        <w:spacing w:before="121"/>
        <w:ind w:left="2736" w:right="111" w:firstLine="0"/>
        <w:jc w:val="both"/>
      </w:pPr>
      <w:r>
        <w:rPr>
          <w:spacing w:val="-1"/>
        </w:rPr>
        <w:t>in</w:t>
      </w:r>
      <w:r>
        <w:rPr>
          <w:spacing w:val="29"/>
        </w:rPr>
        <w:t xml:space="preserve"> </w:t>
      </w:r>
      <w:r>
        <w:rPr>
          <w:spacing w:val="-1"/>
        </w:rPr>
        <w:t>any</w:t>
      </w:r>
      <w:r>
        <w:rPr>
          <w:spacing w:val="27"/>
        </w:rPr>
        <w:t xml:space="preserve"> </w:t>
      </w:r>
      <w:r>
        <w:rPr>
          <w:spacing w:val="-1"/>
        </w:rPr>
        <w:t>case</w:t>
      </w:r>
      <w:r>
        <w:rPr>
          <w:spacing w:val="30"/>
        </w:rPr>
        <w:t xml:space="preserve"> </w:t>
      </w:r>
      <w:r>
        <w:rPr>
          <w:spacing w:val="-1"/>
        </w:rPr>
        <w:t>in</w:t>
      </w:r>
      <w:r>
        <w:rPr>
          <w:spacing w:val="29"/>
        </w:rPr>
        <w:t xml:space="preserve"> </w:t>
      </w:r>
      <w:r>
        <w:rPr>
          <w:spacing w:val="-1"/>
        </w:rPr>
        <w:t>relation</w:t>
      </w:r>
      <w:r>
        <w:rPr>
          <w:spacing w:val="29"/>
        </w:rPr>
        <w:t xml:space="preserve"> </w:t>
      </w:r>
      <w:r>
        <w:t>to</w:t>
      </w:r>
      <w:r>
        <w:rPr>
          <w:spacing w:val="29"/>
        </w:rPr>
        <w:t xml:space="preserve"> </w:t>
      </w:r>
      <w:r>
        <w:rPr>
          <w:spacing w:val="-1"/>
        </w:rPr>
        <w:t>any</w:t>
      </w:r>
      <w:r>
        <w:rPr>
          <w:spacing w:val="27"/>
        </w:rPr>
        <w:t xml:space="preserve"> </w:t>
      </w:r>
      <w:r>
        <w:rPr>
          <w:spacing w:val="-1"/>
        </w:rPr>
        <w:t>alleged</w:t>
      </w:r>
      <w:r>
        <w:rPr>
          <w:spacing w:val="29"/>
        </w:rPr>
        <w:t xml:space="preserve"> </w:t>
      </w:r>
      <w:r>
        <w:rPr>
          <w:spacing w:val="-1"/>
        </w:rPr>
        <w:t>act</w:t>
      </w:r>
      <w:r>
        <w:rPr>
          <w:spacing w:val="31"/>
        </w:rPr>
        <w:t xml:space="preserve"> </w:t>
      </w:r>
      <w:r>
        <w:rPr>
          <w:spacing w:val="-2"/>
        </w:rPr>
        <w:t>or</w:t>
      </w:r>
      <w:r>
        <w:rPr>
          <w:spacing w:val="30"/>
        </w:rPr>
        <w:t xml:space="preserve"> </w:t>
      </w:r>
      <w:r>
        <w:rPr>
          <w:spacing w:val="-2"/>
        </w:rPr>
        <w:t>omission</w:t>
      </w:r>
      <w:r>
        <w:rPr>
          <w:spacing w:val="29"/>
        </w:rPr>
        <w:t xml:space="preserve"> </w:t>
      </w:r>
      <w:r>
        <w:rPr>
          <w:spacing w:val="-1"/>
        </w:rPr>
        <w:t>of</w:t>
      </w:r>
      <w:r>
        <w:rPr>
          <w:spacing w:val="30"/>
        </w:rPr>
        <w:t xml:space="preserve"> </w:t>
      </w:r>
      <w:r>
        <w:rPr>
          <w:spacing w:val="-1"/>
        </w:rPr>
        <w:t>the</w:t>
      </w:r>
      <w:r>
        <w:rPr>
          <w:spacing w:val="48"/>
        </w:rPr>
        <w:t xml:space="preserve"> </w:t>
      </w:r>
      <w:r>
        <w:rPr>
          <w:spacing w:val="-1"/>
        </w:rPr>
        <w:t>Replacement</w:t>
      </w:r>
      <w:r>
        <w:rPr>
          <w:spacing w:val="3"/>
        </w:rPr>
        <w:t xml:space="preserve"> </w:t>
      </w:r>
      <w:r>
        <w:rPr>
          <w:spacing w:val="-2"/>
        </w:rPr>
        <w:t>Supplier</w:t>
      </w:r>
      <w:r>
        <w:t xml:space="preserve">  </w:t>
      </w:r>
      <w:r>
        <w:rPr>
          <w:spacing w:val="-1"/>
        </w:rPr>
        <w:t>and/or</w:t>
      </w:r>
      <w:r>
        <w:t xml:space="preserve"> </w:t>
      </w:r>
      <w:r>
        <w:rPr>
          <w:spacing w:val="3"/>
        </w:rPr>
        <w:t xml:space="preserve"> </w:t>
      </w:r>
      <w:r>
        <w:rPr>
          <w:spacing w:val="-2"/>
        </w:rPr>
        <w:t>Replacement</w:t>
      </w:r>
      <w:r>
        <w:t xml:space="preserve"> </w:t>
      </w:r>
      <w:r>
        <w:rPr>
          <w:spacing w:val="3"/>
        </w:rPr>
        <w:t xml:space="preserve"> </w:t>
      </w:r>
      <w:r>
        <w:rPr>
          <w:spacing w:val="-1"/>
        </w:rPr>
        <w:t>Sub-Contractor;</w:t>
      </w:r>
      <w:r>
        <w:rPr>
          <w:spacing w:val="47"/>
        </w:rPr>
        <w:t xml:space="preserve"> </w:t>
      </w:r>
      <w:r>
        <w:rPr>
          <w:spacing w:val="-1"/>
        </w:rPr>
        <w:t>or</w:t>
      </w:r>
    </w:p>
    <w:p w:rsidR="008918FA" w:rsidRDefault="008918FA" w:rsidP="008918FA">
      <w:pPr>
        <w:pStyle w:val="BodyText"/>
        <w:numPr>
          <w:ilvl w:val="3"/>
          <w:numId w:val="7"/>
        </w:numPr>
        <w:tabs>
          <w:tab w:val="left" w:pos="2595"/>
        </w:tabs>
        <w:spacing w:before="121"/>
        <w:ind w:left="2594" w:right="112"/>
        <w:jc w:val="both"/>
      </w:pPr>
      <w:r>
        <w:rPr>
          <w:spacing w:val="-1"/>
        </w:rPr>
        <w:t>any</w:t>
      </w:r>
      <w:r>
        <w:rPr>
          <w:spacing w:val="33"/>
        </w:rPr>
        <w:t xml:space="preserve"> </w:t>
      </w:r>
      <w:r>
        <w:rPr>
          <w:spacing w:val="-1"/>
        </w:rPr>
        <w:t>claim</w:t>
      </w:r>
      <w:r>
        <w:rPr>
          <w:spacing w:val="36"/>
        </w:rPr>
        <w:t xml:space="preserve"> </w:t>
      </w:r>
      <w:r>
        <w:rPr>
          <w:spacing w:val="-1"/>
        </w:rPr>
        <w:t>that</w:t>
      </w:r>
      <w:r>
        <w:rPr>
          <w:spacing w:val="34"/>
        </w:rPr>
        <w:t xml:space="preserve"> </w:t>
      </w:r>
      <w:r>
        <w:t>the</w:t>
      </w:r>
      <w:r>
        <w:rPr>
          <w:spacing w:val="35"/>
        </w:rPr>
        <w:t xml:space="preserve"> </w:t>
      </w:r>
      <w:r>
        <w:rPr>
          <w:spacing w:val="-1"/>
        </w:rPr>
        <w:t>termination</w:t>
      </w:r>
      <w:r>
        <w:rPr>
          <w:spacing w:val="35"/>
        </w:rPr>
        <w:t xml:space="preserve"> </w:t>
      </w:r>
      <w:r>
        <w:rPr>
          <w:spacing w:val="-2"/>
        </w:rPr>
        <w:t>of</w:t>
      </w:r>
      <w:r>
        <w:rPr>
          <w:spacing w:val="36"/>
        </w:rPr>
        <w:t xml:space="preserve"> </w:t>
      </w:r>
      <w:r>
        <w:rPr>
          <w:spacing w:val="-2"/>
        </w:rPr>
        <w:t>employment</w:t>
      </w:r>
      <w:r>
        <w:rPr>
          <w:spacing w:val="37"/>
        </w:rPr>
        <w:t xml:space="preserve"> </w:t>
      </w:r>
      <w:r>
        <w:rPr>
          <w:spacing w:val="-2"/>
        </w:rPr>
        <w:t>was</w:t>
      </w:r>
      <w:r>
        <w:rPr>
          <w:spacing w:val="35"/>
        </w:rPr>
        <w:t xml:space="preserve"> </w:t>
      </w:r>
      <w:r>
        <w:rPr>
          <w:spacing w:val="-1"/>
        </w:rPr>
        <w:t>unfair</w:t>
      </w:r>
      <w:r>
        <w:rPr>
          <w:spacing w:val="35"/>
        </w:rPr>
        <w:t xml:space="preserve"> </w:t>
      </w:r>
      <w:r>
        <w:rPr>
          <w:spacing w:val="-1"/>
        </w:rPr>
        <w:t>because</w:t>
      </w:r>
      <w:r>
        <w:rPr>
          <w:spacing w:val="37"/>
        </w:rPr>
        <w:t xml:space="preserve"> </w:t>
      </w:r>
      <w:r>
        <w:t>the</w:t>
      </w:r>
      <w:r>
        <w:rPr>
          <w:spacing w:val="36"/>
        </w:rPr>
        <w:t xml:space="preserve"> </w:t>
      </w:r>
      <w:r>
        <w:rPr>
          <w:spacing w:val="-2"/>
        </w:rPr>
        <w:t>Replacement</w:t>
      </w:r>
      <w:r>
        <w:rPr>
          <w:spacing w:val="38"/>
        </w:rPr>
        <w:t xml:space="preserve"> </w:t>
      </w:r>
      <w:r>
        <w:rPr>
          <w:spacing w:val="-2"/>
        </w:rPr>
        <w:t>Supplier</w:t>
      </w:r>
      <w:r>
        <w:rPr>
          <w:spacing w:val="38"/>
        </w:rPr>
        <w:t xml:space="preserve"> </w:t>
      </w:r>
      <w:r>
        <w:rPr>
          <w:spacing w:val="-1"/>
        </w:rPr>
        <w:t>and/or</w:t>
      </w:r>
      <w:r>
        <w:rPr>
          <w:spacing w:val="35"/>
        </w:rPr>
        <w:t xml:space="preserve"> </w:t>
      </w:r>
      <w:r>
        <w:rPr>
          <w:spacing w:val="-1"/>
        </w:rPr>
        <w:t>Replacement</w:t>
      </w:r>
      <w:r>
        <w:rPr>
          <w:spacing w:val="38"/>
        </w:rPr>
        <w:t xml:space="preserve"> </w:t>
      </w:r>
      <w:r>
        <w:rPr>
          <w:spacing w:val="-1"/>
        </w:rPr>
        <w:t>Sub-</w:t>
      </w:r>
      <w:r>
        <w:rPr>
          <w:spacing w:val="49"/>
        </w:rPr>
        <w:t xml:space="preserve"> </w:t>
      </w:r>
      <w:r>
        <w:rPr>
          <w:spacing w:val="-1"/>
        </w:rPr>
        <w:t>Contractor neglected</w:t>
      </w:r>
      <w:r>
        <w:rPr>
          <w:spacing w:val="-2"/>
        </w:rPr>
        <w:t xml:space="preserve"> </w:t>
      </w:r>
      <w:r>
        <w:t>to</w:t>
      </w:r>
      <w:r>
        <w:rPr>
          <w:spacing w:val="-4"/>
        </w:rPr>
        <w:t xml:space="preserve"> </w:t>
      </w:r>
      <w:r>
        <w:rPr>
          <w:spacing w:val="-1"/>
        </w:rPr>
        <w:t>follow</w:t>
      </w:r>
      <w:r>
        <w:rPr>
          <w:spacing w:val="-3"/>
        </w:rPr>
        <w:t xml:space="preserve"> </w:t>
      </w:r>
      <w:r>
        <w:t>a</w:t>
      </w:r>
      <w:r>
        <w:rPr>
          <w:spacing w:val="-2"/>
        </w:rPr>
        <w:t xml:space="preserve"> </w:t>
      </w:r>
      <w:r>
        <w:t>fair</w:t>
      </w:r>
      <w:r>
        <w:rPr>
          <w:spacing w:val="2"/>
        </w:rPr>
        <w:t xml:space="preserve"> </w:t>
      </w:r>
      <w:r>
        <w:rPr>
          <w:spacing w:val="-2"/>
        </w:rPr>
        <w:t>dismissal</w:t>
      </w:r>
      <w:r>
        <w:t xml:space="preserve"> </w:t>
      </w:r>
      <w:r>
        <w:rPr>
          <w:spacing w:val="-1"/>
        </w:rPr>
        <w:t>procedure;</w:t>
      </w:r>
      <w:r>
        <w:t xml:space="preserve"> </w:t>
      </w:r>
      <w:r>
        <w:rPr>
          <w:spacing w:val="-1"/>
        </w:rPr>
        <w:t>and</w:t>
      </w:r>
    </w:p>
    <w:p w:rsidR="008918FA" w:rsidRDefault="008918FA" w:rsidP="008918FA">
      <w:pPr>
        <w:pStyle w:val="BodyText"/>
        <w:numPr>
          <w:ilvl w:val="2"/>
          <w:numId w:val="7"/>
        </w:numPr>
        <w:tabs>
          <w:tab w:val="left" w:pos="1887"/>
        </w:tabs>
        <w:ind w:left="1886" w:right="114"/>
        <w:jc w:val="both"/>
      </w:pPr>
      <w:r>
        <w:rPr>
          <w:spacing w:val="-1"/>
        </w:rPr>
        <w:t>shall</w:t>
      </w:r>
      <w:r>
        <w:rPr>
          <w:spacing w:val="9"/>
        </w:rPr>
        <w:t xml:space="preserve"> </w:t>
      </w:r>
      <w:r>
        <w:rPr>
          <w:spacing w:val="-1"/>
        </w:rPr>
        <w:t>apply</w:t>
      </w:r>
      <w:r>
        <w:rPr>
          <w:spacing w:val="8"/>
        </w:rPr>
        <w:t xml:space="preserve"> </w:t>
      </w:r>
      <w:r>
        <w:rPr>
          <w:spacing w:val="-1"/>
        </w:rPr>
        <w:t>only</w:t>
      </w:r>
      <w:r>
        <w:rPr>
          <w:spacing w:val="10"/>
        </w:rPr>
        <w:t xml:space="preserve"> </w:t>
      </w:r>
      <w:r>
        <w:rPr>
          <w:spacing w:val="-2"/>
        </w:rPr>
        <w:t>where</w:t>
      </w:r>
      <w:r>
        <w:rPr>
          <w:spacing w:val="10"/>
        </w:rPr>
        <w:t xml:space="preserve"> </w:t>
      </w:r>
      <w:r>
        <w:t>the</w:t>
      </w:r>
      <w:r>
        <w:rPr>
          <w:spacing w:val="10"/>
        </w:rPr>
        <w:t xml:space="preserve"> </w:t>
      </w:r>
      <w:r>
        <w:rPr>
          <w:spacing w:val="-1"/>
        </w:rPr>
        <w:t>notification</w:t>
      </w:r>
      <w:r>
        <w:rPr>
          <w:spacing w:val="10"/>
        </w:rPr>
        <w:t xml:space="preserve"> </w:t>
      </w:r>
      <w:r>
        <w:rPr>
          <w:spacing w:val="-1"/>
        </w:rPr>
        <w:t>referred</w:t>
      </w:r>
      <w:r>
        <w:rPr>
          <w:spacing w:val="10"/>
        </w:rPr>
        <w:t xml:space="preserve"> </w:t>
      </w:r>
      <w:r>
        <w:t>to</w:t>
      </w:r>
      <w:r>
        <w:rPr>
          <w:spacing w:val="7"/>
        </w:rPr>
        <w:t xml:space="preserve"> </w:t>
      </w:r>
      <w:r>
        <w:rPr>
          <w:spacing w:val="-1"/>
        </w:rPr>
        <w:t>in</w:t>
      </w:r>
      <w:r>
        <w:rPr>
          <w:spacing w:val="10"/>
        </w:rPr>
        <w:t xml:space="preserve"> </w:t>
      </w:r>
      <w:r>
        <w:rPr>
          <w:spacing w:val="-1"/>
        </w:rPr>
        <w:t>paragraph</w:t>
      </w:r>
      <w:r>
        <w:rPr>
          <w:spacing w:val="3"/>
        </w:rPr>
        <w:t xml:space="preserve"> </w:t>
      </w:r>
      <w:hyperlink w:anchor="_bookmark399" w:history="1">
        <w:r>
          <w:rPr>
            <w:spacing w:val="-1"/>
          </w:rPr>
          <w:t>2.5.1</w:t>
        </w:r>
      </w:hyperlink>
      <w:r>
        <w:rPr>
          <w:spacing w:val="10"/>
        </w:rPr>
        <w:t xml:space="preserve"> </w:t>
      </w:r>
      <w:r>
        <w:rPr>
          <w:spacing w:val="-3"/>
        </w:rPr>
        <w:t>of</w:t>
      </w:r>
      <w:r>
        <w:rPr>
          <w:spacing w:val="48"/>
        </w:rPr>
        <w:t xml:space="preserve"> </w:t>
      </w:r>
      <w:r>
        <w:rPr>
          <w:spacing w:val="-1"/>
        </w:rPr>
        <w:t>Part</w:t>
      </w:r>
      <w:r>
        <w:rPr>
          <w:spacing w:val="14"/>
        </w:rPr>
        <w:t xml:space="preserve"> </w:t>
      </w:r>
      <w:r>
        <w:t>D</w:t>
      </w:r>
      <w:r>
        <w:rPr>
          <w:spacing w:val="12"/>
        </w:rPr>
        <w:t xml:space="preserve"> </w:t>
      </w:r>
      <w:r>
        <w:rPr>
          <w:spacing w:val="-2"/>
        </w:rPr>
        <w:t>of</w:t>
      </w:r>
      <w:r>
        <w:rPr>
          <w:spacing w:val="14"/>
        </w:rPr>
        <w:t xml:space="preserve"> </w:t>
      </w:r>
      <w:r>
        <w:rPr>
          <w:spacing w:val="-1"/>
        </w:rPr>
        <w:t>this</w:t>
      </w:r>
      <w:r>
        <w:rPr>
          <w:spacing w:val="13"/>
        </w:rPr>
        <w:t xml:space="preserve"> </w:t>
      </w:r>
      <w:r>
        <w:rPr>
          <w:spacing w:val="-2"/>
        </w:rPr>
        <w:t>Call</w:t>
      </w:r>
      <w:r>
        <w:rPr>
          <w:spacing w:val="12"/>
        </w:rPr>
        <w:t xml:space="preserve"> </w:t>
      </w:r>
      <w:r>
        <w:rPr>
          <w:spacing w:val="-1"/>
        </w:rPr>
        <w:t>Off</w:t>
      </w:r>
      <w:r>
        <w:rPr>
          <w:spacing w:val="16"/>
        </w:rPr>
        <w:t xml:space="preserve"> </w:t>
      </w:r>
      <w:r>
        <w:rPr>
          <w:spacing w:val="-2"/>
        </w:rPr>
        <w:t>Schedule</w:t>
      </w:r>
      <w:r>
        <w:rPr>
          <w:spacing w:val="12"/>
        </w:rPr>
        <w:t xml:space="preserve"> </w:t>
      </w:r>
      <w:r>
        <w:rPr>
          <w:spacing w:val="-1"/>
        </w:rPr>
        <w:t>is</w:t>
      </w:r>
      <w:r>
        <w:rPr>
          <w:spacing w:val="13"/>
        </w:rPr>
        <w:t xml:space="preserve"> </w:t>
      </w:r>
      <w:r>
        <w:rPr>
          <w:spacing w:val="-1"/>
        </w:rPr>
        <w:t>made</w:t>
      </w:r>
      <w:r>
        <w:rPr>
          <w:spacing w:val="12"/>
        </w:rPr>
        <w:t xml:space="preserve"> </w:t>
      </w:r>
      <w:r>
        <w:rPr>
          <w:spacing w:val="-1"/>
        </w:rPr>
        <w:t>by</w:t>
      </w:r>
      <w:r>
        <w:rPr>
          <w:spacing w:val="10"/>
        </w:rPr>
        <w:t xml:space="preserve"> </w:t>
      </w:r>
      <w:r>
        <w:t>the</w:t>
      </w:r>
      <w:r>
        <w:rPr>
          <w:spacing w:val="12"/>
        </w:rPr>
        <w:t xml:space="preserve"> </w:t>
      </w:r>
      <w:r>
        <w:rPr>
          <w:spacing w:val="-1"/>
        </w:rPr>
        <w:t>Replacement</w:t>
      </w:r>
      <w:r>
        <w:rPr>
          <w:spacing w:val="14"/>
        </w:rPr>
        <w:t xml:space="preserve"> </w:t>
      </w:r>
      <w:r>
        <w:rPr>
          <w:spacing w:val="-2"/>
        </w:rPr>
        <w:t>Supplier</w:t>
      </w:r>
      <w:r>
        <w:rPr>
          <w:spacing w:val="52"/>
        </w:rPr>
        <w:t xml:space="preserve"> </w:t>
      </w:r>
      <w:r>
        <w:rPr>
          <w:spacing w:val="-1"/>
        </w:rPr>
        <w:t>and/or</w:t>
      </w:r>
      <w:r>
        <w:t xml:space="preserve">  </w:t>
      </w:r>
      <w:r>
        <w:rPr>
          <w:spacing w:val="14"/>
        </w:rPr>
        <w:t xml:space="preserve"> </w:t>
      </w:r>
      <w:r>
        <w:rPr>
          <w:spacing w:val="-2"/>
        </w:rPr>
        <w:t>Replacement</w:t>
      </w:r>
      <w:r>
        <w:t xml:space="preserve">  </w:t>
      </w:r>
      <w:r>
        <w:rPr>
          <w:spacing w:val="15"/>
        </w:rPr>
        <w:t xml:space="preserve"> </w:t>
      </w:r>
      <w:r>
        <w:rPr>
          <w:spacing w:val="-1"/>
        </w:rPr>
        <w:t>Sub-Contractor</w:t>
      </w:r>
      <w:r>
        <w:t xml:space="preserve">  </w:t>
      </w:r>
      <w:r>
        <w:rPr>
          <w:spacing w:val="11"/>
        </w:rPr>
        <w:t xml:space="preserve"> </w:t>
      </w:r>
      <w:r>
        <w:t xml:space="preserve">to  </w:t>
      </w:r>
      <w:r>
        <w:rPr>
          <w:spacing w:val="12"/>
        </w:rPr>
        <w:t xml:space="preserve"> </w:t>
      </w:r>
      <w:r>
        <w:t xml:space="preserve">the  </w:t>
      </w:r>
      <w:r>
        <w:rPr>
          <w:spacing w:val="10"/>
        </w:rPr>
        <w:t xml:space="preserve"> </w:t>
      </w:r>
      <w:r>
        <w:rPr>
          <w:spacing w:val="-2"/>
        </w:rPr>
        <w:t>Supplier</w:t>
      </w:r>
      <w:r>
        <w:t xml:space="preserve">  </w:t>
      </w:r>
      <w:r>
        <w:rPr>
          <w:spacing w:val="16"/>
        </w:rPr>
        <w:t xml:space="preserve"> </w:t>
      </w:r>
      <w:r>
        <w:rPr>
          <w:spacing w:val="-1"/>
        </w:rPr>
        <w:t>within</w:t>
      </w:r>
      <w:r>
        <w:t xml:space="preserve">  </w:t>
      </w:r>
      <w:r>
        <w:rPr>
          <w:spacing w:val="14"/>
        </w:rPr>
        <w:t xml:space="preserve"> </w:t>
      </w:r>
      <w:r>
        <w:t>six</w:t>
      </w:r>
    </w:p>
    <w:p w:rsidR="008918FA" w:rsidRDefault="008918FA" w:rsidP="008918FA">
      <w:pPr>
        <w:pStyle w:val="BodyText"/>
        <w:spacing w:before="0" w:line="252" w:lineRule="exact"/>
        <w:ind w:firstLine="0"/>
      </w:pPr>
      <w:r>
        <w:rPr>
          <w:spacing w:val="-1"/>
        </w:rPr>
        <w:t>(6) months</w:t>
      </w:r>
      <w:r>
        <w:rPr>
          <w:spacing w:val="1"/>
        </w:rPr>
        <w:t xml:space="preserve"> </w:t>
      </w:r>
      <w:r>
        <w:rPr>
          <w:spacing w:val="-2"/>
        </w:rPr>
        <w:t>of</w:t>
      </w:r>
      <w:r>
        <w:t xml:space="preserve"> the</w:t>
      </w:r>
      <w:r>
        <w:rPr>
          <w:spacing w:val="-2"/>
        </w:rPr>
        <w:t xml:space="preserve"> Service </w:t>
      </w:r>
      <w:r>
        <w:rPr>
          <w:spacing w:val="-1"/>
        </w:rPr>
        <w:t>Transfer Date</w:t>
      </w:r>
      <w:r>
        <w:rPr>
          <w:spacing w:val="-2"/>
        </w:rPr>
        <w:t xml:space="preserve"> </w:t>
      </w:r>
      <w:r>
        <w:t>.</w:t>
      </w:r>
    </w:p>
    <w:p w:rsidR="008918FA" w:rsidRDefault="008918FA" w:rsidP="008918FA">
      <w:pPr>
        <w:pStyle w:val="BodyText"/>
        <w:numPr>
          <w:ilvl w:val="1"/>
          <w:numId w:val="7"/>
        </w:numPr>
        <w:tabs>
          <w:tab w:val="left" w:pos="893"/>
        </w:tabs>
        <w:spacing w:before="121"/>
        <w:ind w:left="688" w:right="113"/>
        <w:jc w:val="both"/>
      </w:pPr>
      <w:r>
        <w:rPr>
          <w:spacing w:val="-1"/>
        </w:rPr>
        <w:t>If</w:t>
      </w:r>
      <w:r>
        <w:rPr>
          <w:spacing w:val="40"/>
        </w:rPr>
        <w:t xml:space="preserve"> </w:t>
      </w:r>
      <w:r>
        <w:rPr>
          <w:spacing w:val="-1"/>
        </w:rPr>
        <w:t>any</w:t>
      </w:r>
      <w:r>
        <w:rPr>
          <w:spacing w:val="34"/>
        </w:rPr>
        <w:t xml:space="preserve"> </w:t>
      </w:r>
      <w:r>
        <w:rPr>
          <w:spacing w:val="-1"/>
        </w:rPr>
        <w:t>such</w:t>
      </w:r>
      <w:r>
        <w:rPr>
          <w:spacing w:val="37"/>
        </w:rPr>
        <w:t xml:space="preserve"> </w:t>
      </w:r>
      <w:r>
        <w:rPr>
          <w:spacing w:val="-1"/>
        </w:rPr>
        <w:t>person</w:t>
      </w:r>
      <w:r>
        <w:rPr>
          <w:spacing w:val="36"/>
        </w:rPr>
        <w:t xml:space="preserve"> </w:t>
      </w:r>
      <w:r>
        <w:rPr>
          <w:spacing w:val="-1"/>
        </w:rPr>
        <w:t>as</w:t>
      </w:r>
      <w:r>
        <w:rPr>
          <w:spacing w:val="37"/>
        </w:rPr>
        <w:t xml:space="preserve"> </w:t>
      </w:r>
      <w:r>
        <w:rPr>
          <w:spacing w:val="-2"/>
        </w:rPr>
        <w:t>is</w:t>
      </w:r>
      <w:r>
        <w:rPr>
          <w:spacing w:val="37"/>
        </w:rPr>
        <w:t xml:space="preserve"> </w:t>
      </w:r>
      <w:r>
        <w:rPr>
          <w:spacing w:val="-1"/>
        </w:rPr>
        <w:t>described</w:t>
      </w:r>
      <w:r>
        <w:rPr>
          <w:spacing w:val="37"/>
        </w:rPr>
        <w:t xml:space="preserve"> </w:t>
      </w:r>
      <w:r>
        <w:rPr>
          <w:spacing w:val="-1"/>
        </w:rPr>
        <w:t>in</w:t>
      </w:r>
      <w:r>
        <w:rPr>
          <w:spacing w:val="36"/>
        </w:rPr>
        <w:t xml:space="preserve"> </w:t>
      </w:r>
      <w:r>
        <w:rPr>
          <w:spacing w:val="-2"/>
        </w:rPr>
        <w:t>paragraph</w:t>
      </w:r>
      <w:r>
        <w:rPr>
          <w:spacing w:val="2"/>
        </w:rPr>
        <w:t xml:space="preserve"> </w:t>
      </w:r>
      <w:hyperlink w:anchor="_bookmark398" w:history="1">
        <w:r>
          <w:t>2.5</w:t>
        </w:r>
      </w:hyperlink>
      <w:r>
        <w:rPr>
          <w:spacing w:val="36"/>
        </w:rPr>
        <w:t xml:space="preserve"> </w:t>
      </w:r>
      <w:r>
        <w:rPr>
          <w:spacing w:val="-2"/>
        </w:rPr>
        <w:t>of</w:t>
      </w:r>
      <w:r>
        <w:rPr>
          <w:spacing w:val="38"/>
        </w:rPr>
        <w:t xml:space="preserve"> </w:t>
      </w:r>
      <w:r>
        <w:rPr>
          <w:spacing w:val="-1"/>
        </w:rPr>
        <w:t>Part</w:t>
      </w:r>
      <w:r>
        <w:rPr>
          <w:spacing w:val="38"/>
        </w:rPr>
        <w:t xml:space="preserve"> </w:t>
      </w:r>
      <w:r>
        <w:t>D</w:t>
      </w:r>
      <w:r>
        <w:rPr>
          <w:spacing w:val="36"/>
        </w:rPr>
        <w:t xml:space="preserve"> </w:t>
      </w:r>
      <w:r>
        <w:rPr>
          <w:spacing w:val="-2"/>
        </w:rPr>
        <w:t>of</w:t>
      </w:r>
      <w:r>
        <w:rPr>
          <w:spacing w:val="39"/>
        </w:rPr>
        <w:t xml:space="preserve"> </w:t>
      </w:r>
      <w:r>
        <w:rPr>
          <w:spacing w:val="-1"/>
        </w:rPr>
        <w:t>this</w:t>
      </w:r>
      <w:r>
        <w:rPr>
          <w:spacing w:val="34"/>
        </w:rPr>
        <w:t xml:space="preserve"> </w:t>
      </w:r>
      <w:r>
        <w:rPr>
          <w:spacing w:val="-2"/>
        </w:rPr>
        <w:t>Call</w:t>
      </w:r>
      <w:r>
        <w:rPr>
          <w:spacing w:val="36"/>
        </w:rPr>
        <w:t xml:space="preserve"> </w:t>
      </w:r>
      <w:r>
        <w:rPr>
          <w:spacing w:val="1"/>
        </w:rPr>
        <w:t>Off</w:t>
      </w:r>
      <w:r>
        <w:rPr>
          <w:spacing w:val="46"/>
        </w:rPr>
        <w:t xml:space="preserve"> </w:t>
      </w:r>
      <w:r>
        <w:rPr>
          <w:spacing w:val="-1"/>
        </w:rPr>
        <w:t>Schedule</w:t>
      </w:r>
      <w:r>
        <w:rPr>
          <w:spacing w:val="21"/>
        </w:rPr>
        <w:t xml:space="preserve"> </w:t>
      </w:r>
      <w:r>
        <w:rPr>
          <w:spacing w:val="-1"/>
        </w:rPr>
        <w:t>is</w:t>
      </w:r>
      <w:r>
        <w:rPr>
          <w:spacing w:val="21"/>
        </w:rPr>
        <w:t xml:space="preserve"> </w:t>
      </w:r>
      <w:r>
        <w:rPr>
          <w:spacing w:val="-1"/>
        </w:rPr>
        <w:t>neither</w:t>
      </w:r>
      <w:r>
        <w:rPr>
          <w:spacing w:val="22"/>
        </w:rPr>
        <w:t xml:space="preserve"> </w:t>
      </w:r>
      <w:r>
        <w:rPr>
          <w:spacing w:val="-2"/>
        </w:rPr>
        <w:t>re-employed</w:t>
      </w:r>
      <w:r>
        <w:rPr>
          <w:spacing w:val="21"/>
        </w:rPr>
        <w:t xml:space="preserve"> </w:t>
      </w:r>
      <w:r>
        <w:rPr>
          <w:spacing w:val="1"/>
        </w:rPr>
        <w:t>by</w:t>
      </w:r>
      <w:r>
        <w:rPr>
          <w:spacing w:val="19"/>
        </w:rPr>
        <w:t xml:space="preserve"> </w:t>
      </w:r>
      <w:r>
        <w:t>the</w:t>
      </w:r>
      <w:r>
        <w:rPr>
          <w:spacing w:val="21"/>
        </w:rPr>
        <w:t xml:space="preserve"> </w:t>
      </w:r>
      <w:r>
        <w:rPr>
          <w:spacing w:val="-2"/>
        </w:rPr>
        <w:t>Supplier</w:t>
      </w:r>
      <w:r>
        <w:rPr>
          <w:spacing w:val="22"/>
        </w:rPr>
        <w:t xml:space="preserve"> </w:t>
      </w:r>
      <w:r>
        <w:rPr>
          <w:spacing w:val="-1"/>
        </w:rPr>
        <w:t>or</w:t>
      </w:r>
      <w:r>
        <w:rPr>
          <w:spacing w:val="22"/>
        </w:rPr>
        <w:t xml:space="preserve"> </w:t>
      </w:r>
      <w:r>
        <w:rPr>
          <w:spacing w:val="-1"/>
        </w:rPr>
        <w:t>any</w:t>
      </w:r>
      <w:r>
        <w:rPr>
          <w:spacing w:val="19"/>
        </w:rPr>
        <w:t xml:space="preserve"> </w:t>
      </w:r>
      <w:r>
        <w:rPr>
          <w:spacing w:val="-1"/>
        </w:rPr>
        <w:t>Sub-Contractor</w:t>
      </w:r>
      <w:r>
        <w:rPr>
          <w:spacing w:val="22"/>
        </w:rPr>
        <w:t xml:space="preserve"> </w:t>
      </w:r>
      <w:r>
        <w:rPr>
          <w:spacing w:val="-1"/>
        </w:rPr>
        <w:t>nor</w:t>
      </w:r>
      <w:r>
        <w:rPr>
          <w:spacing w:val="60"/>
        </w:rPr>
        <w:t xml:space="preserve"> </w:t>
      </w:r>
      <w:r>
        <w:rPr>
          <w:spacing w:val="-1"/>
        </w:rPr>
        <w:t>dismissed</w:t>
      </w:r>
      <w:r>
        <w:rPr>
          <w:spacing w:val="5"/>
        </w:rPr>
        <w:t xml:space="preserve"> </w:t>
      </w:r>
      <w:r>
        <w:rPr>
          <w:spacing w:val="-1"/>
        </w:rPr>
        <w:t>by</w:t>
      </w:r>
      <w:r>
        <w:rPr>
          <w:spacing w:val="3"/>
        </w:rPr>
        <w:t xml:space="preserve"> </w:t>
      </w:r>
      <w:r>
        <w:t>the</w:t>
      </w:r>
      <w:r>
        <w:rPr>
          <w:spacing w:val="3"/>
        </w:rPr>
        <w:t xml:space="preserve"> </w:t>
      </w:r>
      <w:r>
        <w:rPr>
          <w:spacing w:val="-1"/>
        </w:rPr>
        <w:t>Replacement</w:t>
      </w:r>
      <w:r>
        <w:rPr>
          <w:spacing w:val="4"/>
        </w:rPr>
        <w:t xml:space="preserve"> </w:t>
      </w:r>
      <w:r>
        <w:rPr>
          <w:spacing w:val="-2"/>
        </w:rPr>
        <w:t>Supplier</w:t>
      </w:r>
      <w:r>
        <w:rPr>
          <w:spacing w:val="6"/>
        </w:rPr>
        <w:t xml:space="preserve"> </w:t>
      </w:r>
      <w:r>
        <w:rPr>
          <w:spacing w:val="-1"/>
        </w:rPr>
        <w:t>and/or</w:t>
      </w:r>
      <w:r>
        <w:rPr>
          <w:spacing w:val="6"/>
        </w:rPr>
        <w:t xml:space="preserve"> </w:t>
      </w:r>
      <w:r>
        <w:rPr>
          <w:spacing w:val="-2"/>
        </w:rPr>
        <w:t>Replacement</w:t>
      </w:r>
      <w:r>
        <w:rPr>
          <w:spacing w:val="7"/>
        </w:rPr>
        <w:t xml:space="preserve"> </w:t>
      </w:r>
      <w:r>
        <w:rPr>
          <w:spacing w:val="-1"/>
        </w:rPr>
        <w:t>Sub-Contractor</w:t>
      </w:r>
      <w:r>
        <w:rPr>
          <w:spacing w:val="4"/>
        </w:rPr>
        <w:t xml:space="preserve"> </w:t>
      </w:r>
      <w:r>
        <w:rPr>
          <w:spacing w:val="-2"/>
        </w:rPr>
        <w:t>within</w:t>
      </w:r>
      <w:r>
        <w:rPr>
          <w:spacing w:val="55"/>
        </w:rPr>
        <w:t xml:space="preserve"> </w:t>
      </w:r>
      <w:r w:rsidRPr="00424408">
        <w:t>the</w:t>
      </w:r>
      <w:r w:rsidRPr="00424408">
        <w:rPr>
          <w:spacing w:val="7"/>
        </w:rPr>
        <w:t xml:space="preserve"> </w:t>
      </w:r>
      <w:r w:rsidRPr="00424408">
        <w:rPr>
          <w:spacing w:val="-1"/>
        </w:rPr>
        <w:t>time</w:t>
      </w:r>
      <w:r w:rsidRPr="00424408">
        <w:rPr>
          <w:spacing w:val="7"/>
        </w:rPr>
        <w:t xml:space="preserve"> </w:t>
      </w:r>
      <w:r w:rsidRPr="00424408">
        <w:rPr>
          <w:spacing w:val="-2"/>
        </w:rPr>
        <w:t>scales</w:t>
      </w:r>
      <w:r w:rsidRPr="00424408">
        <w:rPr>
          <w:spacing w:val="8"/>
        </w:rPr>
        <w:t xml:space="preserve"> </w:t>
      </w:r>
      <w:r w:rsidRPr="00424408">
        <w:rPr>
          <w:spacing w:val="-1"/>
        </w:rPr>
        <w:t>set</w:t>
      </w:r>
      <w:r w:rsidRPr="00424408">
        <w:rPr>
          <w:spacing w:val="9"/>
        </w:rPr>
        <w:t xml:space="preserve"> </w:t>
      </w:r>
      <w:r w:rsidRPr="00424408">
        <w:rPr>
          <w:spacing w:val="-2"/>
        </w:rPr>
        <w:t>out</w:t>
      </w:r>
      <w:r w:rsidRPr="00424408">
        <w:rPr>
          <w:spacing w:val="9"/>
        </w:rPr>
        <w:t xml:space="preserve"> </w:t>
      </w:r>
      <w:r w:rsidRPr="00424408">
        <w:rPr>
          <w:spacing w:val="-1"/>
        </w:rPr>
        <w:t>in</w:t>
      </w:r>
      <w:r w:rsidRPr="00424408">
        <w:rPr>
          <w:spacing w:val="7"/>
        </w:rPr>
        <w:t xml:space="preserve"> </w:t>
      </w:r>
      <w:r w:rsidRPr="00424408">
        <w:rPr>
          <w:spacing w:val="-1"/>
        </w:rPr>
        <w:t>paragraphs</w:t>
      </w:r>
      <w:r w:rsidRPr="00424408">
        <w:t xml:space="preserve"> </w:t>
      </w:r>
      <w:hyperlink w:anchor="_bookmark398" w:history="1">
        <w:r w:rsidRPr="00424408">
          <w:t>2.5</w:t>
        </w:r>
      </w:hyperlink>
      <w:r w:rsidRPr="00424408">
        <w:rPr>
          <w:spacing w:val="5"/>
        </w:rPr>
        <w:t xml:space="preserve"> </w:t>
      </w:r>
      <w:r w:rsidRPr="00424408">
        <w:t>to</w:t>
      </w:r>
      <w:r w:rsidRPr="00424408">
        <w:rPr>
          <w:spacing w:val="7"/>
        </w:rPr>
        <w:t xml:space="preserve"> </w:t>
      </w:r>
      <w:hyperlink w:anchor="_bookmark402" w:history="1">
        <w:r w:rsidRPr="00424408">
          <w:t>2.7</w:t>
        </w:r>
      </w:hyperlink>
      <w:r w:rsidRPr="00424408">
        <w:rPr>
          <w:spacing w:val="5"/>
        </w:rPr>
        <w:t xml:space="preserve"> </w:t>
      </w:r>
      <w:r w:rsidRPr="00424408">
        <w:rPr>
          <w:spacing w:val="-2"/>
        </w:rPr>
        <w:t>of</w:t>
      </w:r>
      <w:r w:rsidRPr="00424408">
        <w:rPr>
          <w:spacing w:val="11"/>
        </w:rPr>
        <w:t xml:space="preserve"> </w:t>
      </w:r>
      <w:r w:rsidRPr="00424408">
        <w:rPr>
          <w:spacing w:val="-1"/>
        </w:rPr>
        <w:t>Part</w:t>
      </w:r>
      <w:r w:rsidRPr="00424408">
        <w:rPr>
          <w:spacing w:val="9"/>
        </w:rPr>
        <w:t xml:space="preserve"> </w:t>
      </w:r>
      <w:r w:rsidRPr="00424408">
        <w:t>D</w:t>
      </w:r>
      <w:r w:rsidRPr="00424408">
        <w:rPr>
          <w:spacing w:val="7"/>
        </w:rPr>
        <w:t xml:space="preserve"> </w:t>
      </w:r>
      <w:r w:rsidRPr="00424408">
        <w:rPr>
          <w:spacing w:val="-2"/>
        </w:rPr>
        <w:t>of</w:t>
      </w:r>
      <w:r w:rsidRPr="00424408">
        <w:rPr>
          <w:spacing w:val="9"/>
        </w:rPr>
        <w:t xml:space="preserve"> </w:t>
      </w:r>
      <w:r w:rsidRPr="00424408">
        <w:rPr>
          <w:spacing w:val="-1"/>
        </w:rPr>
        <w:t>this</w:t>
      </w:r>
      <w:r w:rsidRPr="00424408">
        <w:rPr>
          <w:spacing w:val="8"/>
        </w:rPr>
        <w:t xml:space="preserve"> </w:t>
      </w:r>
      <w:r w:rsidRPr="00424408">
        <w:rPr>
          <w:spacing w:val="-2"/>
        </w:rPr>
        <w:t>Call</w:t>
      </w:r>
      <w:r w:rsidRPr="00424408">
        <w:rPr>
          <w:spacing w:val="7"/>
        </w:rPr>
        <w:t xml:space="preserve"> </w:t>
      </w:r>
      <w:r w:rsidRPr="00424408">
        <w:rPr>
          <w:spacing w:val="-1"/>
        </w:rPr>
        <w:t>Off</w:t>
      </w:r>
      <w:r w:rsidRPr="00424408">
        <w:rPr>
          <w:spacing w:val="7"/>
        </w:rPr>
        <w:t xml:space="preserve"> </w:t>
      </w:r>
      <w:r w:rsidRPr="00424408">
        <w:rPr>
          <w:spacing w:val="-1"/>
        </w:rPr>
        <w:t>Schedule,</w:t>
      </w:r>
      <w:r>
        <w:rPr>
          <w:spacing w:val="59"/>
        </w:rPr>
        <w:t xml:space="preserve"> </w:t>
      </w:r>
      <w:r>
        <w:rPr>
          <w:spacing w:val="-1"/>
        </w:rPr>
        <w:t>such</w:t>
      </w:r>
      <w:r>
        <w:rPr>
          <w:spacing w:val="24"/>
        </w:rPr>
        <w:t xml:space="preserve"> </w:t>
      </w:r>
      <w:r>
        <w:rPr>
          <w:spacing w:val="-1"/>
        </w:rPr>
        <w:t>person</w:t>
      </w:r>
      <w:r>
        <w:rPr>
          <w:spacing w:val="21"/>
        </w:rPr>
        <w:t xml:space="preserve"> </w:t>
      </w:r>
      <w:r>
        <w:rPr>
          <w:spacing w:val="-1"/>
        </w:rPr>
        <w:t>shall</w:t>
      </w:r>
      <w:r>
        <w:rPr>
          <w:spacing w:val="22"/>
        </w:rPr>
        <w:t xml:space="preserve"> </w:t>
      </w:r>
      <w:r>
        <w:rPr>
          <w:spacing w:val="-1"/>
        </w:rPr>
        <w:t>be</w:t>
      </w:r>
      <w:r>
        <w:rPr>
          <w:spacing w:val="21"/>
        </w:rPr>
        <w:t xml:space="preserve"> </w:t>
      </w:r>
      <w:r>
        <w:rPr>
          <w:spacing w:val="-1"/>
        </w:rPr>
        <w:t>treated</w:t>
      </w:r>
      <w:r>
        <w:rPr>
          <w:spacing w:val="23"/>
        </w:rPr>
        <w:t xml:space="preserve"> </w:t>
      </w:r>
      <w:r>
        <w:rPr>
          <w:spacing w:val="-1"/>
        </w:rPr>
        <w:t>as</w:t>
      </w:r>
      <w:r>
        <w:rPr>
          <w:spacing w:val="24"/>
        </w:rPr>
        <w:t xml:space="preserve"> </w:t>
      </w:r>
      <w:r>
        <w:t>a</w:t>
      </w:r>
      <w:r>
        <w:rPr>
          <w:spacing w:val="18"/>
        </w:rPr>
        <w:t xml:space="preserve"> </w:t>
      </w:r>
      <w:r>
        <w:rPr>
          <w:spacing w:val="-1"/>
        </w:rPr>
        <w:t>Transferring</w:t>
      </w:r>
      <w:r>
        <w:rPr>
          <w:spacing w:val="26"/>
        </w:rPr>
        <w:t xml:space="preserve"> </w:t>
      </w:r>
      <w:r>
        <w:rPr>
          <w:spacing w:val="-2"/>
        </w:rPr>
        <w:t>Supplier</w:t>
      </w:r>
      <w:r>
        <w:rPr>
          <w:spacing w:val="24"/>
        </w:rPr>
        <w:t xml:space="preserve"> </w:t>
      </w:r>
      <w:r>
        <w:rPr>
          <w:spacing w:val="-2"/>
        </w:rPr>
        <w:t>Employee</w:t>
      </w:r>
      <w:r>
        <w:rPr>
          <w:spacing w:val="23"/>
        </w:rPr>
        <w:t xml:space="preserve"> </w:t>
      </w:r>
      <w:r>
        <w:rPr>
          <w:spacing w:val="-1"/>
        </w:rPr>
        <w:t>and</w:t>
      </w:r>
      <w:r>
        <w:rPr>
          <w:spacing w:val="23"/>
        </w:rPr>
        <w:t xml:space="preserve"> </w:t>
      </w:r>
      <w:r>
        <w:rPr>
          <w:spacing w:val="-1"/>
        </w:rPr>
        <w:t>the</w:t>
      </w:r>
      <w:r>
        <w:rPr>
          <w:spacing w:val="58"/>
        </w:rPr>
        <w:t xml:space="preserve"> </w:t>
      </w:r>
      <w:r>
        <w:rPr>
          <w:spacing w:val="-1"/>
        </w:rPr>
        <w:t>Replacement</w:t>
      </w:r>
      <w:r>
        <w:rPr>
          <w:spacing w:val="14"/>
        </w:rPr>
        <w:t xml:space="preserve"> </w:t>
      </w:r>
      <w:r>
        <w:rPr>
          <w:spacing w:val="-2"/>
        </w:rPr>
        <w:t>Supplier</w:t>
      </w:r>
      <w:r>
        <w:rPr>
          <w:spacing w:val="14"/>
        </w:rPr>
        <w:t xml:space="preserve"> </w:t>
      </w:r>
      <w:r>
        <w:rPr>
          <w:spacing w:val="-1"/>
        </w:rPr>
        <w:t>and/or</w:t>
      </w:r>
      <w:r>
        <w:rPr>
          <w:spacing w:val="14"/>
        </w:rPr>
        <w:t xml:space="preserve"> </w:t>
      </w:r>
      <w:r>
        <w:rPr>
          <w:spacing w:val="-2"/>
        </w:rPr>
        <w:t>Replacement</w:t>
      </w:r>
      <w:r>
        <w:rPr>
          <w:spacing w:val="14"/>
        </w:rPr>
        <w:t xml:space="preserve"> </w:t>
      </w:r>
      <w:r>
        <w:rPr>
          <w:spacing w:val="-1"/>
        </w:rPr>
        <w:t>Sub-Contractor</w:t>
      </w:r>
      <w:r>
        <w:rPr>
          <w:spacing w:val="14"/>
        </w:rPr>
        <w:t xml:space="preserve"> </w:t>
      </w:r>
      <w:r>
        <w:rPr>
          <w:spacing w:val="-1"/>
        </w:rPr>
        <w:t>shall</w:t>
      </w:r>
      <w:r>
        <w:rPr>
          <w:spacing w:val="12"/>
        </w:rPr>
        <w:t xml:space="preserve"> </w:t>
      </w:r>
      <w:r>
        <w:rPr>
          <w:spacing w:val="-1"/>
        </w:rPr>
        <w:t>comply</w:t>
      </w:r>
      <w:r>
        <w:rPr>
          <w:spacing w:val="13"/>
        </w:rPr>
        <w:t xml:space="preserve"> </w:t>
      </w:r>
      <w:r>
        <w:rPr>
          <w:spacing w:val="-1"/>
        </w:rPr>
        <w:t>with</w:t>
      </w:r>
      <w:r>
        <w:rPr>
          <w:spacing w:val="12"/>
        </w:rPr>
        <w:t xml:space="preserve"> </w:t>
      </w:r>
      <w:r>
        <w:rPr>
          <w:spacing w:val="-1"/>
        </w:rPr>
        <w:t>such</w:t>
      </w:r>
      <w:r>
        <w:rPr>
          <w:spacing w:val="60"/>
        </w:rPr>
        <w:t xml:space="preserve"> </w:t>
      </w:r>
      <w:r>
        <w:rPr>
          <w:spacing w:val="-1"/>
        </w:rPr>
        <w:t>obligations</w:t>
      </w:r>
      <w:r>
        <w:rPr>
          <w:spacing w:val="1"/>
        </w:rPr>
        <w:t xml:space="preserve"> </w:t>
      </w:r>
      <w:r>
        <w:rPr>
          <w:spacing w:val="-1"/>
        </w:rPr>
        <w:t>as</w:t>
      </w:r>
      <w:r>
        <w:rPr>
          <w:spacing w:val="-4"/>
        </w:rPr>
        <w:t xml:space="preserve"> </w:t>
      </w:r>
      <w:r>
        <w:rPr>
          <w:spacing w:val="-1"/>
        </w:rPr>
        <w:t>may</w:t>
      </w:r>
      <w:r>
        <w:rPr>
          <w:spacing w:val="-2"/>
        </w:rPr>
        <w:t xml:space="preserve"> </w:t>
      </w:r>
      <w:r>
        <w:rPr>
          <w:spacing w:val="-1"/>
        </w:rPr>
        <w:t>be</w:t>
      </w:r>
      <w:r>
        <w:t xml:space="preserve"> </w:t>
      </w:r>
      <w:r>
        <w:rPr>
          <w:spacing w:val="-1"/>
        </w:rPr>
        <w:t>imposed</w:t>
      </w:r>
      <w:r>
        <w:t xml:space="preserve"> </w:t>
      </w:r>
      <w:r>
        <w:rPr>
          <w:spacing w:val="-1"/>
        </w:rPr>
        <w:t>upon</w:t>
      </w:r>
      <w:r>
        <w:t xml:space="preserve"> </w:t>
      </w:r>
      <w:r>
        <w:rPr>
          <w:spacing w:val="-2"/>
        </w:rPr>
        <w:t>it</w:t>
      </w:r>
      <w:r>
        <w:rPr>
          <w:spacing w:val="2"/>
        </w:rPr>
        <w:t xml:space="preserve"> </w:t>
      </w:r>
      <w:r>
        <w:rPr>
          <w:spacing w:val="-2"/>
        </w:rPr>
        <w:t>under</w:t>
      </w:r>
      <w:r>
        <w:rPr>
          <w:spacing w:val="2"/>
        </w:rPr>
        <w:t xml:space="preserve"> </w:t>
      </w:r>
      <w:r>
        <w:rPr>
          <w:spacing w:val="-2"/>
        </w:rPr>
        <w:t>applicable</w:t>
      </w:r>
      <w:r>
        <w:t xml:space="preserve"> </w:t>
      </w:r>
      <w:r>
        <w:rPr>
          <w:spacing w:val="-2"/>
        </w:rPr>
        <w:t>Law.</w:t>
      </w:r>
    </w:p>
    <w:p w:rsidR="008918FA" w:rsidRDefault="008918FA" w:rsidP="008918FA">
      <w:pPr>
        <w:pStyle w:val="BodyText"/>
        <w:numPr>
          <w:ilvl w:val="1"/>
          <w:numId w:val="7"/>
        </w:numPr>
        <w:tabs>
          <w:tab w:val="left" w:pos="894"/>
        </w:tabs>
        <w:spacing w:before="121"/>
        <w:ind w:left="689" w:right="112"/>
        <w:jc w:val="both"/>
      </w:pPr>
      <w:r>
        <w:t>The</w:t>
      </w:r>
      <w:r>
        <w:rPr>
          <w:spacing w:val="55"/>
        </w:rPr>
        <w:t xml:space="preserve"> </w:t>
      </w:r>
      <w:r>
        <w:rPr>
          <w:spacing w:val="-2"/>
        </w:rPr>
        <w:t>Supplier</w:t>
      </w:r>
      <w:r>
        <w:rPr>
          <w:spacing w:val="54"/>
        </w:rPr>
        <w:t xml:space="preserve"> </w:t>
      </w:r>
      <w:r>
        <w:rPr>
          <w:spacing w:val="-1"/>
        </w:rPr>
        <w:t>shall</w:t>
      </w:r>
      <w:r>
        <w:rPr>
          <w:spacing w:val="55"/>
        </w:rPr>
        <w:t xml:space="preserve"> </w:t>
      </w:r>
      <w:r>
        <w:rPr>
          <w:spacing w:val="-2"/>
        </w:rPr>
        <w:t>comply,</w:t>
      </w:r>
      <w:r>
        <w:rPr>
          <w:spacing w:val="57"/>
        </w:rPr>
        <w:t xml:space="preserve"> </w:t>
      </w:r>
      <w:r>
        <w:rPr>
          <w:spacing w:val="-1"/>
        </w:rPr>
        <w:t>and</w:t>
      </w:r>
      <w:r>
        <w:rPr>
          <w:spacing w:val="55"/>
        </w:rPr>
        <w:t xml:space="preserve"> </w:t>
      </w:r>
      <w:r>
        <w:rPr>
          <w:spacing w:val="-1"/>
        </w:rPr>
        <w:t>shall</w:t>
      </w:r>
      <w:r>
        <w:rPr>
          <w:spacing w:val="55"/>
        </w:rPr>
        <w:t xml:space="preserve"> </w:t>
      </w:r>
      <w:r>
        <w:rPr>
          <w:spacing w:val="-1"/>
        </w:rPr>
        <w:t>procure</w:t>
      </w:r>
      <w:r>
        <w:rPr>
          <w:spacing w:val="54"/>
        </w:rPr>
        <w:t xml:space="preserve"> </w:t>
      </w:r>
      <w:r>
        <w:rPr>
          <w:spacing w:val="-1"/>
        </w:rPr>
        <w:t>that</w:t>
      </w:r>
      <w:r>
        <w:rPr>
          <w:spacing w:val="57"/>
        </w:rPr>
        <w:t xml:space="preserve"> </w:t>
      </w:r>
      <w:r>
        <w:rPr>
          <w:spacing w:val="-1"/>
        </w:rPr>
        <w:t>each</w:t>
      </w:r>
      <w:r>
        <w:rPr>
          <w:spacing w:val="53"/>
        </w:rPr>
        <w:t xml:space="preserve"> </w:t>
      </w:r>
      <w:r>
        <w:rPr>
          <w:spacing w:val="-1"/>
        </w:rPr>
        <w:t>Sub-Contractor</w:t>
      </w:r>
      <w:r>
        <w:rPr>
          <w:spacing w:val="57"/>
        </w:rPr>
        <w:t xml:space="preserve"> </w:t>
      </w:r>
      <w:r>
        <w:rPr>
          <w:spacing w:val="-1"/>
        </w:rPr>
        <w:t>shall</w:t>
      </w:r>
      <w:r>
        <w:rPr>
          <w:spacing w:val="47"/>
        </w:rPr>
        <w:t xml:space="preserve"> </w:t>
      </w:r>
      <w:r>
        <w:rPr>
          <w:spacing w:val="-1"/>
        </w:rPr>
        <w:t>comply,</w:t>
      </w:r>
      <w:r>
        <w:rPr>
          <w:spacing w:val="20"/>
        </w:rPr>
        <w:t xml:space="preserve"> </w:t>
      </w:r>
      <w:r>
        <w:rPr>
          <w:spacing w:val="-2"/>
        </w:rPr>
        <w:t>with</w:t>
      </w:r>
      <w:r>
        <w:rPr>
          <w:spacing w:val="18"/>
        </w:rPr>
        <w:t xml:space="preserve"> </w:t>
      </w:r>
      <w:r>
        <w:rPr>
          <w:spacing w:val="-1"/>
        </w:rPr>
        <w:t>all</w:t>
      </w:r>
      <w:r>
        <w:rPr>
          <w:spacing w:val="18"/>
        </w:rPr>
        <w:t xml:space="preserve"> </w:t>
      </w:r>
      <w:r>
        <w:rPr>
          <w:spacing w:val="-1"/>
        </w:rPr>
        <w:t>its</w:t>
      </w:r>
      <w:r>
        <w:rPr>
          <w:spacing w:val="19"/>
        </w:rPr>
        <w:t xml:space="preserve"> </w:t>
      </w:r>
      <w:r>
        <w:rPr>
          <w:spacing w:val="-1"/>
        </w:rPr>
        <w:t>obligations</w:t>
      </w:r>
      <w:r>
        <w:rPr>
          <w:spacing w:val="19"/>
        </w:rPr>
        <w:t xml:space="preserve"> </w:t>
      </w:r>
      <w:r>
        <w:rPr>
          <w:spacing w:val="-2"/>
        </w:rPr>
        <w:t>under</w:t>
      </w:r>
      <w:r>
        <w:rPr>
          <w:spacing w:val="17"/>
        </w:rPr>
        <w:t xml:space="preserve"> </w:t>
      </w:r>
      <w:r>
        <w:t>the</w:t>
      </w:r>
      <w:r>
        <w:rPr>
          <w:spacing w:val="18"/>
        </w:rPr>
        <w:t xml:space="preserve"> </w:t>
      </w:r>
      <w:r>
        <w:rPr>
          <w:spacing w:val="-2"/>
        </w:rPr>
        <w:t>Employment</w:t>
      </w:r>
      <w:r>
        <w:rPr>
          <w:spacing w:val="20"/>
        </w:rPr>
        <w:t xml:space="preserve"> </w:t>
      </w:r>
      <w:r>
        <w:rPr>
          <w:spacing w:val="-1"/>
        </w:rPr>
        <w:t>Regulations</w:t>
      </w:r>
      <w:r>
        <w:rPr>
          <w:spacing w:val="14"/>
        </w:rPr>
        <w:t xml:space="preserve"> </w:t>
      </w:r>
      <w:r>
        <w:rPr>
          <w:spacing w:val="-1"/>
        </w:rPr>
        <w:t>and</w:t>
      </w:r>
      <w:r>
        <w:rPr>
          <w:spacing w:val="18"/>
        </w:rPr>
        <w:t xml:space="preserve"> </w:t>
      </w:r>
      <w:r>
        <w:rPr>
          <w:spacing w:val="-1"/>
        </w:rPr>
        <w:t>shall</w:t>
      </w:r>
      <w:r>
        <w:rPr>
          <w:spacing w:val="45"/>
        </w:rPr>
        <w:t xml:space="preserve"> </w:t>
      </w:r>
      <w:r>
        <w:rPr>
          <w:spacing w:val="-1"/>
        </w:rPr>
        <w:t>perform</w:t>
      </w:r>
      <w:r>
        <w:rPr>
          <w:spacing w:val="26"/>
        </w:rPr>
        <w:t xml:space="preserve"> </w:t>
      </w:r>
      <w:r>
        <w:rPr>
          <w:spacing w:val="-1"/>
        </w:rPr>
        <w:t>and</w:t>
      </w:r>
      <w:r>
        <w:rPr>
          <w:spacing w:val="24"/>
        </w:rPr>
        <w:t xml:space="preserve"> </w:t>
      </w:r>
      <w:r>
        <w:rPr>
          <w:spacing w:val="-1"/>
        </w:rPr>
        <w:t>discharge,</w:t>
      </w:r>
      <w:r>
        <w:rPr>
          <w:spacing w:val="26"/>
        </w:rPr>
        <w:t xml:space="preserve"> </w:t>
      </w:r>
      <w:r>
        <w:rPr>
          <w:spacing w:val="-1"/>
        </w:rPr>
        <w:t>and</w:t>
      </w:r>
      <w:r>
        <w:rPr>
          <w:spacing w:val="24"/>
        </w:rPr>
        <w:t xml:space="preserve"> </w:t>
      </w:r>
      <w:r>
        <w:rPr>
          <w:spacing w:val="-1"/>
        </w:rPr>
        <w:t>shall</w:t>
      </w:r>
      <w:r>
        <w:rPr>
          <w:spacing w:val="24"/>
        </w:rPr>
        <w:t xml:space="preserve"> </w:t>
      </w:r>
      <w:r>
        <w:rPr>
          <w:spacing w:val="-1"/>
        </w:rPr>
        <w:t>procure</w:t>
      </w:r>
      <w:r>
        <w:rPr>
          <w:spacing w:val="24"/>
        </w:rPr>
        <w:t xml:space="preserve"> </w:t>
      </w:r>
      <w:r>
        <w:rPr>
          <w:spacing w:val="-1"/>
        </w:rPr>
        <w:t>that</w:t>
      </w:r>
      <w:r>
        <w:rPr>
          <w:spacing w:val="26"/>
        </w:rPr>
        <w:t xml:space="preserve"> </w:t>
      </w:r>
      <w:r>
        <w:rPr>
          <w:spacing w:val="-2"/>
        </w:rPr>
        <w:t>each</w:t>
      </w:r>
      <w:r>
        <w:rPr>
          <w:spacing w:val="25"/>
        </w:rPr>
        <w:t xml:space="preserve"> </w:t>
      </w:r>
      <w:r>
        <w:rPr>
          <w:spacing w:val="-1"/>
        </w:rPr>
        <w:t>Sub-Contractor</w:t>
      </w:r>
      <w:r>
        <w:rPr>
          <w:spacing w:val="26"/>
        </w:rPr>
        <w:t xml:space="preserve"> </w:t>
      </w:r>
      <w:r>
        <w:rPr>
          <w:spacing w:val="-2"/>
        </w:rPr>
        <w:t>shall</w:t>
      </w:r>
      <w:r>
        <w:rPr>
          <w:spacing w:val="24"/>
        </w:rPr>
        <w:t xml:space="preserve"> </w:t>
      </w:r>
      <w:r>
        <w:rPr>
          <w:spacing w:val="-1"/>
        </w:rPr>
        <w:t>perform</w:t>
      </w:r>
      <w:r>
        <w:rPr>
          <w:spacing w:val="63"/>
        </w:rPr>
        <w:t xml:space="preserve"> </w:t>
      </w:r>
      <w:r>
        <w:rPr>
          <w:spacing w:val="-1"/>
        </w:rPr>
        <w:t>and</w:t>
      </w:r>
      <w:r>
        <w:rPr>
          <w:spacing w:val="10"/>
        </w:rPr>
        <w:t xml:space="preserve"> </w:t>
      </w:r>
      <w:r>
        <w:rPr>
          <w:spacing w:val="-1"/>
        </w:rPr>
        <w:t>discharge,</w:t>
      </w:r>
      <w:r>
        <w:rPr>
          <w:spacing w:val="9"/>
        </w:rPr>
        <w:t xml:space="preserve"> </w:t>
      </w:r>
      <w:r>
        <w:rPr>
          <w:spacing w:val="-1"/>
        </w:rPr>
        <w:t>all</w:t>
      </w:r>
      <w:r>
        <w:rPr>
          <w:spacing w:val="9"/>
        </w:rPr>
        <w:t xml:space="preserve"> </w:t>
      </w:r>
      <w:r>
        <w:rPr>
          <w:spacing w:val="-1"/>
        </w:rPr>
        <w:t>its</w:t>
      </w:r>
      <w:r>
        <w:rPr>
          <w:spacing w:val="10"/>
        </w:rPr>
        <w:t xml:space="preserve"> </w:t>
      </w:r>
      <w:r>
        <w:rPr>
          <w:spacing w:val="-1"/>
        </w:rPr>
        <w:t>obligations</w:t>
      </w:r>
      <w:r>
        <w:rPr>
          <w:spacing w:val="10"/>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9"/>
        </w:rPr>
        <w:t xml:space="preserve"> </w:t>
      </w:r>
      <w:r>
        <w:t>the</w:t>
      </w:r>
      <w:r>
        <w:rPr>
          <w:spacing w:val="7"/>
        </w:rPr>
        <w:t xml:space="preserve"> </w:t>
      </w:r>
      <w:r>
        <w:rPr>
          <w:spacing w:val="-1"/>
        </w:rPr>
        <w:t>Transferring</w:t>
      </w:r>
      <w:r>
        <w:rPr>
          <w:spacing w:val="12"/>
        </w:rPr>
        <w:t xml:space="preserve"> </w:t>
      </w:r>
      <w:r>
        <w:rPr>
          <w:spacing w:val="-2"/>
        </w:rPr>
        <w:t>Supplier</w:t>
      </w:r>
      <w:r>
        <w:rPr>
          <w:spacing w:val="11"/>
        </w:rPr>
        <w:t xml:space="preserve"> </w:t>
      </w:r>
      <w:r>
        <w:rPr>
          <w:spacing w:val="-2"/>
        </w:rPr>
        <w:t>Employees</w:t>
      </w:r>
      <w:r>
        <w:rPr>
          <w:spacing w:val="44"/>
        </w:rPr>
        <w:t xml:space="preserve"> </w:t>
      </w:r>
      <w:r>
        <w:rPr>
          <w:spacing w:val="-1"/>
        </w:rPr>
        <w:t>before</w:t>
      </w:r>
      <w:r>
        <w:rPr>
          <w:spacing w:val="3"/>
        </w:rPr>
        <w:t xml:space="preserve"> </w:t>
      </w:r>
      <w:r>
        <w:rPr>
          <w:spacing w:val="-1"/>
        </w:rPr>
        <w:t>and</w:t>
      </w:r>
      <w:r>
        <w:rPr>
          <w:spacing w:val="3"/>
        </w:rPr>
        <w:t xml:space="preserve"> </w:t>
      </w:r>
      <w:r>
        <w:rPr>
          <w:spacing w:val="-1"/>
        </w:rPr>
        <w:t>on</w:t>
      </w:r>
      <w:r>
        <w:rPr>
          <w:spacing w:val="3"/>
        </w:rPr>
        <w:t xml:space="preserve"> </w:t>
      </w:r>
      <w:r>
        <w:rPr>
          <w:spacing w:val="-1"/>
        </w:rPr>
        <w:t>the</w:t>
      </w:r>
      <w:r>
        <w:rPr>
          <w:spacing w:val="3"/>
        </w:rPr>
        <w:t xml:space="preserve"> </w:t>
      </w:r>
      <w:r>
        <w:rPr>
          <w:spacing w:val="-2"/>
        </w:rPr>
        <w:t>Service</w:t>
      </w:r>
      <w:r>
        <w:rPr>
          <w:spacing w:val="3"/>
        </w:rPr>
        <w:t xml:space="preserve"> </w:t>
      </w:r>
      <w:r>
        <w:rPr>
          <w:spacing w:val="-1"/>
        </w:rPr>
        <w:t>Transfer</w:t>
      </w:r>
      <w:r>
        <w:rPr>
          <w:spacing w:val="4"/>
        </w:rPr>
        <w:t xml:space="preserve"> </w:t>
      </w:r>
      <w:r>
        <w:rPr>
          <w:spacing w:val="-1"/>
        </w:rPr>
        <w:t>Date</w:t>
      </w:r>
      <w:r>
        <w:rPr>
          <w:spacing w:val="3"/>
        </w:rPr>
        <w:t xml:space="preserve"> </w:t>
      </w:r>
      <w:r>
        <w:rPr>
          <w:spacing w:val="-1"/>
        </w:rPr>
        <w:t>(including</w:t>
      </w:r>
      <w:r>
        <w:rPr>
          <w:spacing w:val="5"/>
        </w:rPr>
        <w:t xml:space="preserve"> </w:t>
      </w:r>
      <w:r>
        <w:t>the</w:t>
      </w:r>
      <w:r>
        <w:rPr>
          <w:spacing w:val="3"/>
        </w:rPr>
        <w:t xml:space="preserve"> </w:t>
      </w:r>
      <w:r>
        <w:rPr>
          <w:spacing w:val="-1"/>
        </w:rPr>
        <w:t>payment</w:t>
      </w:r>
      <w:r>
        <w:t xml:space="preserve"> </w:t>
      </w:r>
      <w:r>
        <w:rPr>
          <w:spacing w:val="4"/>
        </w:rPr>
        <w:t xml:space="preserve"> </w:t>
      </w:r>
      <w:r>
        <w:rPr>
          <w:spacing w:val="-2"/>
        </w:rPr>
        <w:t>of</w:t>
      </w:r>
      <w:r>
        <w:t xml:space="preserve"> </w:t>
      </w:r>
      <w:r>
        <w:rPr>
          <w:spacing w:val="7"/>
        </w:rPr>
        <w:t xml:space="preserve"> </w:t>
      </w:r>
      <w:r>
        <w:rPr>
          <w:spacing w:val="-1"/>
        </w:rPr>
        <w:t>all</w:t>
      </w:r>
      <w:r>
        <w:rPr>
          <w:spacing w:val="45"/>
        </w:rPr>
        <w:t xml:space="preserve"> </w:t>
      </w:r>
      <w:r>
        <w:rPr>
          <w:spacing w:val="-1"/>
        </w:rPr>
        <w:t>remuneration,</w:t>
      </w:r>
      <w:r>
        <w:rPr>
          <w:spacing w:val="2"/>
        </w:rPr>
        <w:t xml:space="preserve"> </w:t>
      </w:r>
      <w:r>
        <w:rPr>
          <w:spacing w:val="-1"/>
        </w:rPr>
        <w:t>benefits,</w:t>
      </w:r>
      <w:r>
        <w:rPr>
          <w:spacing w:val="2"/>
        </w:rPr>
        <w:t xml:space="preserve"> </w:t>
      </w:r>
      <w:r>
        <w:rPr>
          <w:spacing w:val="-1"/>
        </w:rPr>
        <w:t>entitlements</w:t>
      </w:r>
      <w:r>
        <w:rPr>
          <w:spacing w:val="3"/>
        </w:rPr>
        <w:t xml:space="preserve"> </w:t>
      </w:r>
      <w:r>
        <w:rPr>
          <w:spacing w:val="-1"/>
        </w:rPr>
        <w:t>and</w:t>
      </w:r>
      <w:r>
        <w:rPr>
          <w:spacing w:val="3"/>
        </w:rPr>
        <w:t xml:space="preserve"> </w:t>
      </w:r>
      <w:r>
        <w:rPr>
          <w:spacing w:val="-2"/>
        </w:rPr>
        <w:t>outgoings,</w:t>
      </w:r>
      <w:r>
        <w:rPr>
          <w:spacing w:val="5"/>
        </w:rPr>
        <w:t xml:space="preserve"> </w:t>
      </w:r>
      <w:r>
        <w:rPr>
          <w:spacing w:val="-1"/>
        </w:rPr>
        <w:t>all</w:t>
      </w:r>
      <w:r>
        <w:rPr>
          <w:spacing w:val="2"/>
        </w:rPr>
        <w:t xml:space="preserve"> </w:t>
      </w:r>
      <w:r>
        <w:rPr>
          <w:spacing w:val="-1"/>
        </w:rPr>
        <w:t>wages,</w:t>
      </w:r>
      <w:r>
        <w:rPr>
          <w:spacing w:val="2"/>
        </w:rPr>
        <w:t xml:space="preserve"> </w:t>
      </w:r>
      <w:r>
        <w:rPr>
          <w:spacing w:val="-1"/>
        </w:rPr>
        <w:t>accrued</w:t>
      </w:r>
      <w:r>
        <w:t xml:space="preserve"> </w:t>
      </w:r>
      <w:r>
        <w:rPr>
          <w:spacing w:val="-1"/>
        </w:rPr>
        <w:t>but</w:t>
      </w:r>
      <w:r>
        <w:rPr>
          <w:spacing w:val="2"/>
        </w:rPr>
        <w:t xml:space="preserve"> </w:t>
      </w:r>
      <w:r>
        <w:rPr>
          <w:spacing w:val="-1"/>
        </w:rPr>
        <w:t>untaken</w:t>
      </w:r>
      <w:r>
        <w:rPr>
          <w:spacing w:val="46"/>
        </w:rPr>
        <w:t xml:space="preserve"> </w:t>
      </w:r>
      <w:r>
        <w:rPr>
          <w:spacing w:val="-1"/>
        </w:rPr>
        <w:t>holiday</w:t>
      </w:r>
      <w:r>
        <w:rPr>
          <w:spacing w:val="33"/>
        </w:rPr>
        <w:t xml:space="preserve"> </w:t>
      </w:r>
      <w:r>
        <w:rPr>
          <w:spacing w:val="-1"/>
        </w:rPr>
        <w:t>pay,</w:t>
      </w:r>
      <w:r>
        <w:rPr>
          <w:spacing w:val="36"/>
        </w:rPr>
        <w:t xml:space="preserve"> </w:t>
      </w:r>
      <w:r>
        <w:rPr>
          <w:spacing w:val="-1"/>
        </w:rPr>
        <w:t>bonuses,</w:t>
      </w:r>
      <w:r>
        <w:rPr>
          <w:spacing w:val="37"/>
        </w:rPr>
        <w:t xml:space="preserve"> </w:t>
      </w:r>
      <w:r>
        <w:rPr>
          <w:spacing w:val="-1"/>
        </w:rPr>
        <w:t>commissions,</w:t>
      </w:r>
      <w:r>
        <w:rPr>
          <w:spacing w:val="37"/>
        </w:rPr>
        <w:t xml:space="preserve"> </w:t>
      </w:r>
      <w:r>
        <w:rPr>
          <w:spacing w:val="-1"/>
        </w:rPr>
        <w:t>payments</w:t>
      </w:r>
      <w:r>
        <w:rPr>
          <w:spacing w:val="35"/>
        </w:rPr>
        <w:t xml:space="preserve"> </w:t>
      </w:r>
      <w:r>
        <w:rPr>
          <w:spacing w:val="-2"/>
        </w:rPr>
        <w:t>of</w:t>
      </w:r>
      <w:r>
        <w:rPr>
          <w:spacing w:val="39"/>
        </w:rPr>
        <w:t xml:space="preserve"> </w:t>
      </w:r>
      <w:r>
        <w:rPr>
          <w:spacing w:val="-1"/>
        </w:rPr>
        <w:t>PAYE,</w:t>
      </w:r>
      <w:r>
        <w:rPr>
          <w:spacing w:val="37"/>
        </w:rPr>
        <w:t xml:space="preserve"> </w:t>
      </w:r>
      <w:r>
        <w:rPr>
          <w:spacing w:val="-1"/>
        </w:rPr>
        <w:t>national</w:t>
      </w:r>
      <w:r>
        <w:rPr>
          <w:spacing w:val="34"/>
        </w:rPr>
        <w:t xml:space="preserve"> </w:t>
      </w:r>
      <w:r>
        <w:rPr>
          <w:spacing w:val="-1"/>
        </w:rPr>
        <w:t>insurance</w:t>
      </w:r>
      <w:r>
        <w:rPr>
          <w:spacing w:val="30"/>
        </w:rPr>
        <w:t xml:space="preserve"> </w:t>
      </w:r>
      <w:r>
        <w:rPr>
          <w:spacing w:val="-1"/>
        </w:rPr>
        <w:t>contributions</w:t>
      </w:r>
      <w:r>
        <w:rPr>
          <w:spacing w:val="8"/>
        </w:rPr>
        <w:t xml:space="preserve"> </w:t>
      </w:r>
      <w:r>
        <w:rPr>
          <w:spacing w:val="-1"/>
        </w:rPr>
        <w:t>and</w:t>
      </w:r>
      <w:r>
        <w:rPr>
          <w:spacing w:val="10"/>
        </w:rPr>
        <w:t xml:space="preserve"> </w:t>
      </w:r>
      <w:r>
        <w:rPr>
          <w:spacing w:val="-2"/>
        </w:rPr>
        <w:t>pension</w:t>
      </w:r>
      <w:r>
        <w:rPr>
          <w:spacing w:val="10"/>
        </w:rPr>
        <w:t xml:space="preserve"> </w:t>
      </w:r>
      <w:r>
        <w:rPr>
          <w:spacing w:val="-1"/>
        </w:rPr>
        <w:t>contributions</w:t>
      </w:r>
      <w:r>
        <w:rPr>
          <w:spacing w:val="10"/>
        </w:rPr>
        <w:t xml:space="preserve"> </w:t>
      </w:r>
      <w:r>
        <w:rPr>
          <w:spacing w:val="-2"/>
        </w:rPr>
        <w:t>which</w:t>
      </w:r>
      <w:r>
        <w:rPr>
          <w:spacing w:val="10"/>
        </w:rPr>
        <w:t xml:space="preserve"> </w:t>
      </w:r>
      <w:r>
        <w:rPr>
          <w:spacing w:val="-1"/>
        </w:rPr>
        <w:t>in</w:t>
      </w:r>
      <w:r>
        <w:rPr>
          <w:spacing w:val="10"/>
        </w:rPr>
        <w:t xml:space="preserve"> </w:t>
      </w:r>
      <w:r>
        <w:rPr>
          <w:spacing w:val="-1"/>
        </w:rPr>
        <w:t>any</w:t>
      </w:r>
      <w:r>
        <w:rPr>
          <w:spacing w:val="8"/>
        </w:rPr>
        <w:t xml:space="preserve"> </w:t>
      </w:r>
      <w:r>
        <w:rPr>
          <w:spacing w:val="-1"/>
        </w:rPr>
        <w:t>case</w:t>
      </w:r>
      <w:r>
        <w:rPr>
          <w:spacing w:val="10"/>
        </w:rPr>
        <w:t xml:space="preserve"> </w:t>
      </w:r>
      <w:r>
        <w:rPr>
          <w:spacing w:val="-1"/>
        </w:rPr>
        <w:t>are</w:t>
      </w:r>
      <w:r>
        <w:rPr>
          <w:spacing w:val="10"/>
        </w:rPr>
        <w:t xml:space="preserve"> </w:t>
      </w:r>
      <w:r>
        <w:rPr>
          <w:spacing w:val="-1"/>
        </w:rPr>
        <w:t>attributable</w:t>
      </w:r>
      <w:r>
        <w:rPr>
          <w:spacing w:val="10"/>
        </w:rPr>
        <w:t xml:space="preserve"> </w:t>
      </w:r>
      <w:r>
        <w:rPr>
          <w:spacing w:val="-1"/>
        </w:rPr>
        <w:t>in</w:t>
      </w:r>
      <w:r>
        <w:rPr>
          <w:spacing w:val="10"/>
        </w:rPr>
        <w:t xml:space="preserve"> </w:t>
      </w:r>
      <w:r>
        <w:rPr>
          <w:spacing w:val="-2"/>
        </w:rPr>
        <w:t>whole</w:t>
      </w:r>
      <w:r>
        <w:rPr>
          <w:spacing w:val="49"/>
        </w:rPr>
        <w:t xml:space="preserve"> </w:t>
      </w:r>
      <w:r>
        <w:rPr>
          <w:spacing w:val="-1"/>
        </w:rPr>
        <w:t>or</w:t>
      </w:r>
      <w:r>
        <w:rPr>
          <w:spacing w:val="19"/>
        </w:rPr>
        <w:t xml:space="preserve"> </w:t>
      </w:r>
      <w:r>
        <w:rPr>
          <w:spacing w:val="-1"/>
        </w:rPr>
        <w:t>in</w:t>
      </w:r>
      <w:r>
        <w:rPr>
          <w:spacing w:val="17"/>
        </w:rPr>
        <w:t xml:space="preserve"> </w:t>
      </w:r>
      <w:r>
        <w:rPr>
          <w:spacing w:val="-1"/>
        </w:rPr>
        <w:t>part</w:t>
      </w:r>
      <w:r>
        <w:rPr>
          <w:spacing w:val="19"/>
        </w:rPr>
        <w:t xml:space="preserve"> </w:t>
      </w:r>
      <w:r>
        <w:rPr>
          <w:spacing w:val="-1"/>
        </w:rPr>
        <w:t>in</w:t>
      </w:r>
      <w:r>
        <w:rPr>
          <w:spacing w:val="15"/>
        </w:rPr>
        <w:t xml:space="preserve"> </w:t>
      </w:r>
      <w:r>
        <w:rPr>
          <w:spacing w:val="-1"/>
        </w:rPr>
        <w:t>respect</w:t>
      </w:r>
      <w:r>
        <w:rPr>
          <w:spacing w:val="19"/>
        </w:rPr>
        <w:t xml:space="preserve"> </w:t>
      </w:r>
      <w:r>
        <w:rPr>
          <w:spacing w:val="-2"/>
        </w:rPr>
        <w:t>of</w:t>
      </w:r>
      <w:r>
        <w:rPr>
          <w:spacing w:val="19"/>
        </w:rPr>
        <w:t xml:space="preserve"> </w:t>
      </w:r>
      <w:r>
        <w:rPr>
          <w:spacing w:val="-1"/>
        </w:rPr>
        <w:t>the</w:t>
      </w:r>
      <w:r>
        <w:rPr>
          <w:spacing w:val="17"/>
        </w:rPr>
        <w:t xml:space="preserve"> </w:t>
      </w:r>
      <w:r>
        <w:rPr>
          <w:spacing w:val="-1"/>
        </w:rPr>
        <w:t>period</w:t>
      </w:r>
      <w:r>
        <w:rPr>
          <w:spacing w:val="17"/>
        </w:rPr>
        <w:t xml:space="preserve"> </w:t>
      </w:r>
      <w:r>
        <w:rPr>
          <w:spacing w:val="-1"/>
        </w:rPr>
        <w:t>up</w:t>
      </w:r>
      <w:r>
        <w:rPr>
          <w:spacing w:val="15"/>
        </w:rPr>
        <w:t xml:space="preserve"> </w:t>
      </w:r>
      <w:r>
        <w:t>to</w:t>
      </w:r>
      <w:r>
        <w:rPr>
          <w:spacing w:val="15"/>
        </w:rPr>
        <w:t xml:space="preserve"> </w:t>
      </w:r>
      <w:r>
        <w:rPr>
          <w:spacing w:val="-1"/>
        </w:rPr>
        <w:t>(and</w:t>
      </w:r>
      <w:r>
        <w:rPr>
          <w:spacing w:val="17"/>
        </w:rPr>
        <w:t xml:space="preserve"> </w:t>
      </w:r>
      <w:r>
        <w:rPr>
          <w:spacing w:val="-1"/>
        </w:rPr>
        <w:t>including)</w:t>
      </w:r>
      <w:r>
        <w:rPr>
          <w:spacing w:val="16"/>
        </w:rPr>
        <w:t xml:space="preserve"> </w:t>
      </w:r>
      <w:r>
        <w:t>the</w:t>
      </w:r>
      <w:r>
        <w:rPr>
          <w:spacing w:val="17"/>
        </w:rPr>
        <w:t xml:space="preserve"> </w:t>
      </w:r>
      <w:r>
        <w:rPr>
          <w:spacing w:val="-2"/>
        </w:rPr>
        <w:t>Service</w:t>
      </w:r>
      <w:r>
        <w:rPr>
          <w:spacing w:val="18"/>
        </w:rPr>
        <w:t xml:space="preserve"> </w:t>
      </w:r>
      <w:r>
        <w:rPr>
          <w:spacing w:val="-1"/>
        </w:rPr>
        <w:t>Transfer</w:t>
      </w:r>
      <w:r>
        <w:rPr>
          <w:spacing w:val="19"/>
        </w:rPr>
        <w:t xml:space="preserve"> </w:t>
      </w:r>
      <w:r>
        <w:rPr>
          <w:spacing w:val="-2"/>
        </w:rPr>
        <w:t>Date)</w:t>
      </w:r>
      <w:r>
        <w:rPr>
          <w:spacing w:val="39"/>
        </w:rPr>
        <w:t xml:space="preserve"> </w:t>
      </w:r>
      <w:r>
        <w:rPr>
          <w:spacing w:val="-1"/>
        </w:rPr>
        <w:t>and</w:t>
      </w:r>
      <w:r>
        <w:rPr>
          <w:spacing w:val="31"/>
        </w:rPr>
        <w:t xml:space="preserve"> </w:t>
      </w:r>
      <w:r>
        <w:rPr>
          <w:spacing w:val="-1"/>
        </w:rPr>
        <w:t>any</w:t>
      </w:r>
      <w:r>
        <w:rPr>
          <w:spacing w:val="30"/>
        </w:rPr>
        <w:t xml:space="preserve"> </w:t>
      </w:r>
      <w:r>
        <w:rPr>
          <w:spacing w:val="-1"/>
        </w:rPr>
        <w:t>necessary</w:t>
      </w:r>
      <w:r>
        <w:rPr>
          <w:spacing w:val="30"/>
        </w:rPr>
        <w:t xml:space="preserve"> </w:t>
      </w:r>
      <w:r>
        <w:rPr>
          <w:spacing w:val="-1"/>
        </w:rPr>
        <w:t>apportionments</w:t>
      </w:r>
      <w:r>
        <w:rPr>
          <w:spacing w:val="32"/>
        </w:rPr>
        <w:t xml:space="preserve"> </w:t>
      </w:r>
      <w:r>
        <w:rPr>
          <w:spacing w:val="-1"/>
        </w:rPr>
        <w:t>in</w:t>
      </w:r>
      <w:r>
        <w:rPr>
          <w:spacing w:val="31"/>
        </w:rPr>
        <w:t xml:space="preserve"> </w:t>
      </w:r>
      <w:r>
        <w:rPr>
          <w:spacing w:val="-1"/>
        </w:rPr>
        <w:t>respect</w:t>
      </w:r>
      <w:r>
        <w:rPr>
          <w:spacing w:val="33"/>
        </w:rPr>
        <w:t xml:space="preserve"> </w:t>
      </w:r>
      <w:r>
        <w:rPr>
          <w:spacing w:val="-2"/>
        </w:rPr>
        <w:t>of</w:t>
      </w:r>
      <w:r>
        <w:rPr>
          <w:spacing w:val="33"/>
        </w:rPr>
        <w:t xml:space="preserve"> </w:t>
      </w:r>
      <w:r>
        <w:rPr>
          <w:spacing w:val="-1"/>
        </w:rPr>
        <w:t>any</w:t>
      </w:r>
      <w:r>
        <w:rPr>
          <w:spacing w:val="30"/>
        </w:rPr>
        <w:t xml:space="preserve"> </w:t>
      </w:r>
      <w:r>
        <w:rPr>
          <w:spacing w:val="-1"/>
        </w:rPr>
        <w:t>periodic</w:t>
      </w:r>
      <w:r>
        <w:rPr>
          <w:spacing w:val="32"/>
        </w:rPr>
        <w:t xml:space="preserve"> </w:t>
      </w:r>
      <w:r>
        <w:rPr>
          <w:spacing w:val="-1"/>
        </w:rPr>
        <w:t>payments</w:t>
      </w:r>
      <w:r>
        <w:rPr>
          <w:spacing w:val="33"/>
        </w:rPr>
        <w:t xml:space="preserve"> </w:t>
      </w:r>
      <w:r>
        <w:rPr>
          <w:spacing w:val="-1"/>
        </w:rPr>
        <w:t>shall</w:t>
      </w:r>
      <w:r>
        <w:rPr>
          <w:spacing w:val="31"/>
        </w:rPr>
        <w:t xml:space="preserve"> </w:t>
      </w:r>
      <w:r>
        <w:rPr>
          <w:spacing w:val="-1"/>
        </w:rPr>
        <w:t>be</w:t>
      </w:r>
      <w:r>
        <w:rPr>
          <w:spacing w:val="32"/>
        </w:rPr>
        <w:t xml:space="preserve"> </w:t>
      </w:r>
      <w:r>
        <w:rPr>
          <w:spacing w:val="-1"/>
        </w:rPr>
        <w:t>made</w:t>
      </w:r>
      <w:r>
        <w:t xml:space="preserve"> </w:t>
      </w:r>
      <w:r>
        <w:rPr>
          <w:spacing w:val="-2"/>
        </w:rPr>
        <w:t>between:</w:t>
      </w:r>
    </w:p>
    <w:p w:rsidR="008918FA" w:rsidRDefault="008918FA" w:rsidP="008918FA">
      <w:pPr>
        <w:pStyle w:val="BodyText"/>
        <w:numPr>
          <w:ilvl w:val="2"/>
          <w:numId w:val="7"/>
        </w:numPr>
        <w:tabs>
          <w:tab w:val="left" w:pos="1887"/>
        </w:tabs>
        <w:ind w:left="1886" w:hanging="993"/>
      </w:pPr>
      <w:r>
        <w:t xml:space="preserve">the </w:t>
      </w:r>
      <w:r>
        <w:rPr>
          <w:spacing w:val="-2"/>
        </w:rPr>
        <w:t>Supplier</w:t>
      </w:r>
      <w:r>
        <w:rPr>
          <w:spacing w:val="2"/>
        </w:rPr>
        <w:t xml:space="preserve"> </w:t>
      </w:r>
      <w:r>
        <w:rPr>
          <w:spacing w:val="-1"/>
        </w:rPr>
        <w:t>and/or any</w:t>
      </w:r>
      <w:r>
        <w:rPr>
          <w:spacing w:val="-4"/>
        </w:rPr>
        <w:t xml:space="preserve"> </w:t>
      </w:r>
      <w:r>
        <w:rPr>
          <w:spacing w:val="-1"/>
        </w:rPr>
        <w:t>Sub-Contractor;</w:t>
      </w:r>
      <w:r>
        <w:rPr>
          <w:spacing w:val="2"/>
        </w:rPr>
        <w:t xml:space="preserve"> </w:t>
      </w:r>
      <w:r>
        <w:rPr>
          <w:spacing w:val="-1"/>
        </w:rPr>
        <w:t>and</w:t>
      </w:r>
    </w:p>
    <w:p w:rsidR="008918FA" w:rsidRDefault="008918FA" w:rsidP="008918FA">
      <w:pPr>
        <w:pStyle w:val="BodyText"/>
        <w:numPr>
          <w:ilvl w:val="2"/>
          <w:numId w:val="7"/>
        </w:numPr>
        <w:tabs>
          <w:tab w:val="left" w:pos="1888"/>
        </w:tabs>
        <w:ind w:left="1887"/>
      </w:pPr>
      <w:r>
        <w:t xml:space="preserve">the </w:t>
      </w:r>
      <w:r>
        <w:rPr>
          <w:spacing w:val="-2"/>
        </w:rPr>
        <w:t>Replacement</w:t>
      </w:r>
      <w:r>
        <w:rPr>
          <w:spacing w:val="2"/>
        </w:rPr>
        <w:t xml:space="preserve"> </w:t>
      </w:r>
      <w:r>
        <w:rPr>
          <w:spacing w:val="-2"/>
        </w:rPr>
        <w:t>Supplier</w:t>
      </w:r>
      <w:r>
        <w:rPr>
          <w:spacing w:val="2"/>
        </w:rPr>
        <w:t xml:space="preserve"> </w:t>
      </w:r>
      <w:r>
        <w:rPr>
          <w:spacing w:val="-1"/>
        </w:rPr>
        <w:t xml:space="preserve">and/or </w:t>
      </w:r>
      <w:r>
        <w:t>the</w:t>
      </w:r>
      <w:r>
        <w:rPr>
          <w:spacing w:val="-2"/>
        </w:rPr>
        <w:t xml:space="preserve"> Replacement</w:t>
      </w:r>
      <w:r>
        <w:rPr>
          <w:spacing w:val="2"/>
        </w:rPr>
        <w:t xml:space="preserve"> </w:t>
      </w:r>
      <w:r>
        <w:rPr>
          <w:spacing w:val="-1"/>
        </w:rPr>
        <w:t>Sub-Contractor.</w:t>
      </w:r>
    </w:p>
    <w:p w:rsidR="008918FA" w:rsidRDefault="008918FA" w:rsidP="008918FA">
      <w:pPr>
        <w:pStyle w:val="BodyText"/>
        <w:numPr>
          <w:ilvl w:val="1"/>
          <w:numId w:val="7"/>
        </w:numPr>
        <w:tabs>
          <w:tab w:val="left" w:pos="894"/>
        </w:tabs>
        <w:spacing w:before="121"/>
        <w:ind w:left="689" w:right="109"/>
        <w:jc w:val="both"/>
      </w:pPr>
      <w:r>
        <w:t>The</w:t>
      </w:r>
      <w:r>
        <w:rPr>
          <w:spacing w:val="34"/>
        </w:rPr>
        <w:t xml:space="preserve"> </w:t>
      </w:r>
      <w:r>
        <w:rPr>
          <w:spacing w:val="-2"/>
        </w:rPr>
        <w:t>Supplier</w:t>
      </w:r>
      <w:r>
        <w:rPr>
          <w:spacing w:val="35"/>
        </w:rPr>
        <w:t xml:space="preserve"> </w:t>
      </w:r>
      <w:r>
        <w:rPr>
          <w:spacing w:val="-1"/>
        </w:rPr>
        <w:t>shall,</w:t>
      </w:r>
      <w:r>
        <w:rPr>
          <w:spacing w:val="35"/>
        </w:rPr>
        <w:t xml:space="preserve"> </w:t>
      </w:r>
      <w:r>
        <w:rPr>
          <w:spacing w:val="-1"/>
        </w:rPr>
        <w:t>and</w:t>
      </w:r>
      <w:r>
        <w:rPr>
          <w:spacing w:val="31"/>
        </w:rPr>
        <w:t xml:space="preserve"> </w:t>
      </w:r>
      <w:r>
        <w:rPr>
          <w:spacing w:val="-1"/>
        </w:rPr>
        <w:t>shall</w:t>
      </w:r>
      <w:r>
        <w:rPr>
          <w:spacing w:val="33"/>
        </w:rPr>
        <w:t xml:space="preserve"> </w:t>
      </w:r>
      <w:r>
        <w:rPr>
          <w:spacing w:val="-1"/>
        </w:rPr>
        <w:t>procure</w:t>
      </w:r>
      <w:r>
        <w:rPr>
          <w:spacing w:val="34"/>
        </w:rPr>
        <w:t xml:space="preserve"> </w:t>
      </w:r>
      <w:r>
        <w:rPr>
          <w:spacing w:val="-1"/>
        </w:rPr>
        <w:t>that</w:t>
      </w:r>
      <w:r>
        <w:rPr>
          <w:spacing w:val="36"/>
        </w:rPr>
        <w:t xml:space="preserve"> </w:t>
      </w:r>
      <w:r>
        <w:rPr>
          <w:spacing w:val="-1"/>
        </w:rPr>
        <w:t>each</w:t>
      </w:r>
      <w:r>
        <w:rPr>
          <w:spacing w:val="32"/>
        </w:rPr>
        <w:t xml:space="preserve"> </w:t>
      </w:r>
      <w:r>
        <w:rPr>
          <w:spacing w:val="-1"/>
        </w:rPr>
        <w:t>Sub-Contractor</w:t>
      </w:r>
      <w:r>
        <w:rPr>
          <w:spacing w:val="33"/>
        </w:rPr>
        <w:t xml:space="preserve"> </w:t>
      </w:r>
      <w:r>
        <w:rPr>
          <w:spacing w:val="-1"/>
        </w:rPr>
        <w:t>shall,</w:t>
      </w:r>
      <w:r>
        <w:rPr>
          <w:spacing w:val="35"/>
        </w:rPr>
        <w:t xml:space="preserve"> </w:t>
      </w:r>
      <w:r>
        <w:rPr>
          <w:spacing w:val="-1"/>
        </w:rPr>
        <w:t>promptly</w:t>
      </w:r>
      <w:r>
        <w:rPr>
          <w:spacing w:val="49"/>
        </w:rPr>
        <w:t xml:space="preserve"> </w:t>
      </w:r>
      <w:r>
        <w:rPr>
          <w:spacing w:val="-2"/>
        </w:rPr>
        <w:t>provide</w:t>
      </w:r>
      <w:r>
        <w:rPr>
          <w:spacing w:val="12"/>
        </w:rPr>
        <w:t xml:space="preserve"> </w:t>
      </w:r>
      <w:r>
        <w:t>to</w:t>
      </w:r>
      <w:r>
        <w:rPr>
          <w:spacing w:val="12"/>
        </w:rPr>
        <w:t xml:space="preserve"> </w:t>
      </w:r>
      <w:r>
        <w:t>the</w:t>
      </w:r>
      <w:r>
        <w:rPr>
          <w:spacing w:val="12"/>
        </w:rPr>
        <w:t xml:space="preserve"> </w:t>
      </w:r>
      <w:r>
        <w:rPr>
          <w:spacing w:val="-1"/>
        </w:rPr>
        <w:t>Customer</w:t>
      </w:r>
      <w:r>
        <w:rPr>
          <w:spacing w:val="11"/>
        </w:rPr>
        <w:t xml:space="preserve"> </w:t>
      </w:r>
      <w:r>
        <w:rPr>
          <w:spacing w:val="-1"/>
        </w:rPr>
        <w:t>and</w:t>
      </w:r>
      <w:r>
        <w:rPr>
          <w:spacing w:val="12"/>
        </w:rPr>
        <w:t xml:space="preserve"> </w:t>
      </w:r>
      <w:r>
        <w:rPr>
          <w:spacing w:val="-1"/>
        </w:rPr>
        <w:t>any</w:t>
      </w:r>
      <w:r>
        <w:rPr>
          <w:spacing w:val="10"/>
        </w:rPr>
        <w:t xml:space="preserve"> </w:t>
      </w:r>
      <w:r>
        <w:rPr>
          <w:spacing w:val="-1"/>
        </w:rPr>
        <w:t>Replacement</w:t>
      </w:r>
      <w:r>
        <w:rPr>
          <w:spacing w:val="14"/>
        </w:rPr>
        <w:t xml:space="preserve"> </w:t>
      </w:r>
      <w:r>
        <w:rPr>
          <w:spacing w:val="-2"/>
        </w:rPr>
        <w:t>Supplier</w:t>
      </w:r>
      <w:r>
        <w:rPr>
          <w:spacing w:val="14"/>
        </w:rPr>
        <w:t xml:space="preserve"> </w:t>
      </w:r>
      <w:r>
        <w:rPr>
          <w:spacing w:val="-1"/>
        </w:rPr>
        <w:t>and/or</w:t>
      </w:r>
      <w:r>
        <w:rPr>
          <w:spacing w:val="14"/>
        </w:rPr>
        <w:t xml:space="preserve"> </w:t>
      </w:r>
      <w:r>
        <w:rPr>
          <w:spacing w:val="-1"/>
        </w:rPr>
        <w:t>Replacement</w:t>
      </w:r>
      <w:r>
        <w:rPr>
          <w:spacing w:val="14"/>
        </w:rPr>
        <w:t xml:space="preserve"> </w:t>
      </w:r>
      <w:r>
        <w:rPr>
          <w:spacing w:val="-1"/>
        </w:rPr>
        <w:t>Sub-</w:t>
      </w:r>
      <w:r>
        <w:rPr>
          <w:spacing w:val="61"/>
        </w:rPr>
        <w:t xml:space="preserve"> </w:t>
      </w:r>
      <w:r>
        <w:rPr>
          <w:spacing w:val="-1"/>
        </w:rPr>
        <w:t>Contractor,</w:t>
      </w:r>
      <w:r>
        <w:rPr>
          <w:spacing w:val="7"/>
        </w:rPr>
        <w:t xml:space="preserve"> </w:t>
      </w:r>
      <w:r>
        <w:rPr>
          <w:spacing w:val="-1"/>
        </w:rPr>
        <w:t>in</w:t>
      </w:r>
      <w:r>
        <w:rPr>
          <w:spacing w:val="5"/>
        </w:rPr>
        <w:t xml:space="preserve"> </w:t>
      </w:r>
      <w:r>
        <w:rPr>
          <w:spacing w:val="-2"/>
        </w:rPr>
        <w:t>writing</w:t>
      </w:r>
      <w:r>
        <w:rPr>
          <w:spacing w:val="7"/>
        </w:rPr>
        <w:t xml:space="preserve"> </w:t>
      </w:r>
      <w:r>
        <w:rPr>
          <w:spacing w:val="-1"/>
        </w:rPr>
        <w:t>such</w:t>
      </w:r>
      <w:r>
        <w:rPr>
          <w:spacing w:val="5"/>
        </w:rPr>
        <w:t xml:space="preserve"> </w:t>
      </w:r>
      <w:r>
        <w:rPr>
          <w:spacing w:val="-1"/>
        </w:rPr>
        <w:t>information</w:t>
      </w:r>
      <w:r>
        <w:rPr>
          <w:spacing w:val="5"/>
        </w:rPr>
        <w:t xml:space="preserve"> </w:t>
      </w:r>
      <w:r>
        <w:rPr>
          <w:spacing w:val="-1"/>
        </w:rPr>
        <w:t>as</w:t>
      </w:r>
      <w:r>
        <w:rPr>
          <w:spacing w:val="5"/>
        </w:rPr>
        <w:t xml:space="preserve"> </w:t>
      </w:r>
      <w:r>
        <w:rPr>
          <w:spacing w:val="-1"/>
        </w:rPr>
        <w:t>is</w:t>
      </w:r>
      <w:r>
        <w:rPr>
          <w:spacing w:val="5"/>
        </w:rPr>
        <w:t xml:space="preserve"> </w:t>
      </w:r>
      <w:r>
        <w:rPr>
          <w:spacing w:val="-1"/>
        </w:rPr>
        <w:t>necessary</w:t>
      </w:r>
      <w:r>
        <w:rPr>
          <w:spacing w:val="3"/>
        </w:rPr>
        <w:t xml:space="preserve"> </w:t>
      </w:r>
      <w:r>
        <w:t>to</w:t>
      </w:r>
      <w:r>
        <w:rPr>
          <w:spacing w:val="5"/>
        </w:rPr>
        <w:t xml:space="preserve"> </w:t>
      </w:r>
      <w:r>
        <w:rPr>
          <w:spacing w:val="-1"/>
        </w:rPr>
        <w:t>enable</w:t>
      </w:r>
      <w:r>
        <w:rPr>
          <w:spacing w:val="5"/>
        </w:rPr>
        <w:t xml:space="preserve"> </w:t>
      </w:r>
      <w:r>
        <w:t>the</w:t>
      </w:r>
      <w:r>
        <w:rPr>
          <w:spacing w:val="5"/>
        </w:rPr>
        <w:t xml:space="preserve"> </w:t>
      </w:r>
      <w:r>
        <w:rPr>
          <w:spacing w:val="-1"/>
        </w:rPr>
        <w:t>Customer,</w:t>
      </w:r>
      <w:r>
        <w:rPr>
          <w:spacing w:val="7"/>
        </w:rPr>
        <w:t xml:space="preserve"> </w:t>
      </w:r>
      <w:r>
        <w:rPr>
          <w:spacing w:val="-1"/>
        </w:rPr>
        <w:t>the</w:t>
      </w:r>
      <w:r>
        <w:rPr>
          <w:spacing w:val="41"/>
        </w:rPr>
        <w:t xml:space="preserve"> </w:t>
      </w:r>
      <w:r>
        <w:rPr>
          <w:spacing w:val="-1"/>
        </w:rPr>
        <w:t>Replacement</w:t>
      </w:r>
      <w:r>
        <w:rPr>
          <w:spacing w:val="30"/>
        </w:rPr>
        <w:t xml:space="preserve"> </w:t>
      </w:r>
      <w:r>
        <w:rPr>
          <w:spacing w:val="-2"/>
        </w:rPr>
        <w:t>Supplier</w:t>
      </w:r>
      <w:r>
        <w:rPr>
          <w:spacing w:val="27"/>
        </w:rPr>
        <w:t xml:space="preserve"> </w:t>
      </w:r>
      <w:r>
        <w:rPr>
          <w:spacing w:val="-1"/>
        </w:rPr>
        <w:t>and/or</w:t>
      </w:r>
      <w:r>
        <w:rPr>
          <w:spacing w:val="27"/>
        </w:rPr>
        <w:t xml:space="preserve"> </w:t>
      </w:r>
      <w:r>
        <w:rPr>
          <w:spacing w:val="-1"/>
        </w:rPr>
        <w:t>Replacement</w:t>
      </w:r>
      <w:r>
        <w:rPr>
          <w:spacing w:val="27"/>
        </w:rPr>
        <w:t xml:space="preserve"> </w:t>
      </w:r>
      <w:r>
        <w:rPr>
          <w:spacing w:val="-1"/>
        </w:rPr>
        <w:t>Sub-Contractor</w:t>
      </w:r>
      <w:r>
        <w:rPr>
          <w:spacing w:val="27"/>
        </w:rPr>
        <w:t xml:space="preserve"> </w:t>
      </w:r>
      <w:r>
        <w:t>to</w:t>
      </w:r>
      <w:r>
        <w:rPr>
          <w:spacing w:val="28"/>
        </w:rPr>
        <w:t xml:space="preserve"> </w:t>
      </w:r>
      <w:r>
        <w:rPr>
          <w:spacing w:val="-1"/>
        </w:rPr>
        <w:t>carry</w:t>
      </w:r>
      <w:r>
        <w:rPr>
          <w:spacing w:val="26"/>
        </w:rPr>
        <w:t xml:space="preserve"> </w:t>
      </w:r>
      <w:r>
        <w:rPr>
          <w:spacing w:val="-1"/>
        </w:rPr>
        <w:t>out</w:t>
      </w:r>
      <w:r>
        <w:rPr>
          <w:spacing w:val="27"/>
        </w:rPr>
        <w:t xml:space="preserve"> </w:t>
      </w:r>
      <w:r>
        <w:rPr>
          <w:spacing w:val="-1"/>
        </w:rPr>
        <w:t>their</w:t>
      </w:r>
      <w:r>
        <w:rPr>
          <w:spacing w:val="33"/>
        </w:rPr>
        <w:t xml:space="preserve"> </w:t>
      </w:r>
      <w:r>
        <w:rPr>
          <w:spacing w:val="-1"/>
        </w:rPr>
        <w:t>respective</w:t>
      </w:r>
      <w:r>
        <w:rPr>
          <w:spacing w:val="49"/>
        </w:rPr>
        <w:t xml:space="preserve"> </w:t>
      </w:r>
      <w:r>
        <w:rPr>
          <w:spacing w:val="-1"/>
        </w:rPr>
        <w:t>duties</w:t>
      </w:r>
      <w:r>
        <w:rPr>
          <w:spacing w:val="50"/>
        </w:rPr>
        <w:t xml:space="preserve"> </w:t>
      </w:r>
      <w:r>
        <w:rPr>
          <w:spacing w:val="-2"/>
        </w:rPr>
        <w:t>under</w:t>
      </w:r>
      <w:r>
        <w:rPr>
          <w:spacing w:val="51"/>
        </w:rPr>
        <w:t xml:space="preserve"> </w:t>
      </w:r>
      <w:r>
        <w:rPr>
          <w:spacing w:val="-1"/>
        </w:rPr>
        <w:t>regulation</w:t>
      </w:r>
      <w:r>
        <w:rPr>
          <w:spacing w:val="2"/>
        </w:rPr>
        <w:t xml:space="preserve"> </w:t>
      </w:r>
      <w:r>
        <w:rPr>
          <w:spacing w:val="-1"/>
        </w:rPr>
        <w:t>13</w:t>
      </w:r>
      <w:r>
        <w:rPr>
          <w:spacing w:val="49"/>
        </w:rPr>
        <w:t xml:space="preserve"> </w:t>
      </w:r>
      <w:r>
        <w:rPr>
          <w:spacing w:val="-2"/>
        </w:rPr>
        <w:t>of</w:t>
      </w:r>
      <w:r>
        <w:rPr>
          <w:spacing w:val="51"/>
        </w:rPr>
        <w:t xml:space="preserve"> </w:t>
      </w:r>
      <w:r>
        <w:t>the</w:t>
      </w:r>
      <w:r>
        <w:rPr>
          <w:spacing w:val="47"/>
        </w:rPr>
        <w:t xml:space="preserve"> </w:t>
      </w:r>
      <w:r>
        <w:rPr>
          <w:spacing w:val="-1"/>
        </w:rPr>
        <w:t>Employment</w:t>
      </w:r>
      <w:r>
        <w:rPr>
          <w:spacing w:val="52"/>
        </w:rPr>
        <w:t xml:space="preserve"> </w:t>
      </w:r>
      <w:r>
        <w:rPr>
          <w:spacing w:val="-1"/>
        </w:rPr>
        <w:t>Regulations.</w:t>
      </w:r>
      <w:r>
        <w:rPr>
          <w:spacing w:val="49"/>
        </w:rPr>
        <w:t xml:space="preserve"> </w:t>
      </w:r>
      <w:r>
        <w:t>The</w:t>
      </w:r>
      <w:r>
        <w:rPr>
          <w:spacing w:val="28"/>
        </w:rPr>
        <w:t xml:space="preserve"> </w:t>
      </w:r>
      <w:r>
        <w:rPr>
          <w:spacing w:val="-1"/>
        </w:rPr>
        <w:t>Customer</w:t>
      </w:r>
      <w:r>
        <w:rPr>
          <w:spacing w:val="28"/>
        </w:rPr>
        <w:t xml:space="preserve"> </w:t>
      </w:r>
      <w:r>
        <w:rPr>
          <w:spacing w:val="-1"/>
        </w:rPr>
        <w:t>shall</w:t>
      </w:r>
      <w:r>
        <w:rPr>
          <w:spacing w:val="26"/>
        </w:rPr>
        <w:t xml:space="preserve"> </w:t>
      </w:r>
      <w:r>
        <w:rPr>
          <w:spacing w:val="-1"/>
        </w:rPr>
        <w:t>procure</w:t>
      </w:r>
      <w:r>
        <w:rPr>
          <w:spacing w:val="27"/>
        </w:rPr>
        <w:t xml:space="preserve"> </w:t>
      </w:r>
      <w:r>
        <w:rPr>
          <w:spacing w:val="-1"/>
        </w:rPr>
        <w:t>that</w:t>
      </w:r>
      <w:r>
        <w:rPr>
          <w:spacing w:val="28"/>
        </w:rPr>
        <w:t xml:space="preserve"> </w:t>
      </w:r>
      <w:r>
        <w:t>the</w:t>
      </w:r>
      <w:r>
        <w:rPr>
          <w:spacing w:val="27"/>
        </w:rPr>
        <w:t xml:space="preserve"> </w:t>
      </w:r>
      <w:r>
        <w:rPr>
          <w:spacing w:val="-2"/>
        </w:rPr>
        <w:t>Replacement</w:t>
      </w:r>
      <w:r>
        <w:rPr>
          <w:spacing w:val="28"/>
        </w:rPr>
        <w:t xml:space="preserve"> </w:t>
      </w:r>
      <w:r>
        <w:rPr>
          <w:spacing w:val="-2"/>
        </w:rPr>
        <w:t>Supplier</w:t>
      </w:r>
      <w:r>
        <w:rPr>
          <w:spacing w:val="28"/>
        </w:rPr>
        <w:t xml:space="preserve"> </w:t>
      </w:r>
      <w:r>
        <w:rPr>
          <w:spacing w:val="-1"/>
        </w:rPr>
        <w:t>and/or</w:t>
      </w:r>
      <w:r>
        <w:rPr>
          <w:spacing w:val="28"/>
        </w:rPr>
        <w:t xml:space="preserve"> </w:t>
      </w:r>
      <w:r>
        <w:rPr>
          <w:spacing w:val="-1"/>
        </w:rPr>
        <w:t>Replacement</w:t>
      </w:r>
      <w:r>
        <w:rPr>
          <w:spacing w:val="28"/>
        </w:rPr>
        <w:t xml:space="preserve"> </w:t>
      </w:r>
      <w:r>
        <w:t>Sub-</w:t>
      </w:r>
      <w:r>
        <w:rPr>
          <w:spacing w:val="61"/>
        </w:rPr>
        <w:t xml:space="preserve"> </w:t>
      </w:r>
      <w:r>
        <w:rPr>
          <w:spacing w:val="-1"/>
        </w:rPr>
        <w:t>Contractor,</w:t>
      </w:r>
      <w:r>
        <w:rPr>
          <w:spacing w:val="1"/>
        </w:rPr>
        <w:t xml:space="preserve"> </w:t>
      </w:r>
      <w:r>
        <w:rPr>
          <w:spacing w:val="-1"/>
        </w:rPr>
        <w:t>shall</w:t>
      </w:r>
      <w:r>
        <w:rPr>
          <w:spacing w:val="59"/>
        </w:rPr>
        <w:t xml:space="preserve"> </w:t>
      </w:r>
      <w:r>
        <w:rPr>
          <w:spacing w:val="-1"/>
        </w:rPr>
        <w:t>pro</w:t>
      </w:r>
      <w:r w:rsidRPr="00424408">
        <w:rPr>
          <w:spacing w:val="-1"/>
          <w:u w:val="single"/>
        </w:rPr>
        <w:t>m</w:t>
      </w:r>
      <w:r>
        <w:rPr>
          <w:spacing w:val="-1"/>
        </w:rPr>
        <w:t>ptly</w:t>
      </w:r>
      <w:r>
        <w:rPr>
          <w:spacing w:val="58"/>
        </w:rPr>
        <w:t xml:space="preserve"> </w:t>
      </w:r>
      <w:r>
        <w:rPr>
          <w:spacing w:val="-2"/>
        </w:rPr>
        <w:t>provide</w:t>
      </w:r>
      <w:r>
        <w:rPr>
          <w:spacing w:val="60"/>
        </w:rPr>
        <w:t xml:space="preserve"> </w:t>
      </w:r>
      <w:r>
        <w:t>to</w:t>
      </w:r>
      <w:r>
        <w:rPr>
          <w:spacing w:val="60"/>
        </w:rPr>
        <w:t xml:space="preserve"> </w:t>
      </w:r>
      <w:r>
        <w:t>the</w:t>
      </w:r>
      <w:r>
        <w:rPr>
          <w:spacing w:val="58"/>
        </w:rPr>
        <w:t xml:space="preserve"> </w:t>
      </w:r>
      <w:r>
        <w:rPr>
          <w:spacing w:val="-2"/>
        </w:rPr>
        <w:t>Supplier</w:t>
      </w:r>
      <w:r w:rsidR="00514A63">
        <w:t xml:space="preserve"> </w:t>
      </w:r>
      <w:r>
        <w:rPr>
          <w:spacing w:val="-1"/>
        </w:rPr>
        <w:t>and</w:t>
      </w:r>
      <w:r>
        <w:rPr>
          <w:spacing w:val="60"/>
        </w:rPr>
        <w:t xml:space="preserve"> </w:t>
      </w:r>
      <w:r>
        <w:rPr>
          <w:spacing w:val="-1"/>
        </w:rPr>
        <w:t>each</w:t>
      </w:r>
      <w:r>
        <w:t xml:space="preserve">  </w:t>
      </w:r>
      <w:r>
        <w:rPr>
          <w:spacing w:val="-1"/>
        </w:rPr>
        <w:t>Sub-Contractor</w:t>
      </w:r>
      <w:r>
        <w:t xml:space="preserve">  </w:t>
      </w:r>
      <w:r>
        <w:rPr>
          <w:spacing w:val="-1"/>
        </w:rPr>
        <w:t>in</w:t>
      </w:r>
      <w:r>
        <w:rPr>
          <w:spacing w:val="39"/>
        </w:rPr>
        <w:t xml:space="preserve"> </w:t>
      </w:r>
      <w:r>
        <w:rPr>
          <w:spacing w:val="-2"/>
        </w:rPr>
        <w:t>writing</w:t>
      </w:r>
      <w:r>
        <w:rPr>
          <w:spacing w:val="46"/>
        </w:rPr>
        <w:t xml:space="preserve"> </w:t>
      </w:r>
      <w:r>
        <w:rPr>
          <w:spacing w:val="-1"/>
        </w:rPr>
        <w:t>such</w:t>
      </w:r>
      <w:r>
        <w:rPr>
          <w:spacing w:val="44"/>
        </w:rPr>
        <w:t xml:space="preserve"> </w:t>
      </w:r>
      <w:r>
        <w:rPr>
          <w:spacing w:val="-1"/>
        </w:rPr>
        <w:t>information</w:t>
      </w:r>
      <w:r>
        <w:rPr>
          <w:spacing w:val="41"/>
        </w:rPr>
        <w:t xml:space="preserve"> </w:t>
      </w:r>
      <w:r>
        <w:rPr>
          <w:spacing w:val="-1"/>
        </w:rPr>
        <w:t>as</w:t>
      </w:r>
      <w:r>
        <w:rPr>
          <w:spacing w:val="44"/>
        </w:rPr>
        <w:t xml:space="preserve"> </w:t>
      </w:r>
      <w:r>
        <w:rPr>
          <w:spacing w:val="-1"/>
        </w:rPr>
        <w:t>is</w:t>
      </w:r>
      <w:r>
        <w:rPr>
          <w:spacing w:val="44"/>
        </w:rPr>
        <w:t xml:space="preserve"> </w:t>
      </w:r>
      <w:r>
        <w:rPr>
          <w:spacing w:val="-1"/>
        </w:rPr>
        <w:t>necessary</w:t>
      </w:r>
      <w:r>
        <w:rPr>
          <w:spacing w:val="41"/>
        </w:rPr>
        <w:t xml:space="preserve"> </w:t>
      </w:r>
      <w:r>
        <w:t>to</w:t>
      </w:r>
      <w:r>
        <w:rPr>
          <w:spacing w:val="44"/>
        </w:rPr>
        <w:t xml:space="preserve"> </w:t>
      </w:r>
      <w:r>
        <w:rPr>
          <w:spacing w:val="-1"/>
        </w:rPr>
        <w:t>enable</w:t>
      </w:r>
      <w:r>
        <w:rPr>
          <w:spacing w:val="43"/>
        </w:rPr>
        <w:t xml:space="preserve"> </w:t>
      </w:r>
      <w:r>
        <w:t>the</w:t>
      </w:r>
      <w:r>
        <w:rPr>
          <w:spacing w:val="43"/>
        </w:rPr>
        <w:t xml:space="preserve"> </w:t>
      </w:r>
      <w:r>
        <w:rPr>
          <w:spacing w:val="-2"/>
        </w:rPr>
        <w:t>Supplier</w:t>
      </w:r>
      <w:r>
        <w:rPr>
          <w:spacing w:val="45"/>
        </w:rPr>
        <w:t xml:space="preserve"> </w:t>
      </w:r>
      <w:r>
        <w:rPr>
          <w:spacing w:val="-1"/>
        </w:rPr>
        <w:t>and</w:t>
      </w:r>
      <w:r>
        <w:rPr>
          <w:spacing w:val="43"/>
        </w:rPr>
        <w:t xml:space="preserve"> </w:t>
      </w:r>
      <w:r>
        <w:t>each</w:t>
      </w:r>
      <w:r>
        <w:rPr>
          <w:spacing w:val="44"/>
        </w:rPr>
        <w:t xml:space="preserve"> </w:t>
      </w:r>
      <w:r>
        <w:rPr>
          <w:spacing w:val="-1"/>
        </w:rPr>
        <w:t>Sub-</w:t>
      </w:r>
      <w:r>
        <w:rPr>
          <w:spacing w:val="53"/>
        </w:rPr>
        <w:t xml:space="preserve"> </w:t>
      </w:r>
      <w:r>
        <w:rPr>
          <w:spacing w:val="-1"/>
        </w:rPr>
        <w:t>Contractor</w:t>
      </w:r>
      <w:r>
        <w:rPr>
          <w:spacing w:val="53"/>
        </w:rPr>
        <w:t xml:space="preserve"> </w:t>
      </w:r>
      <w:r>
        <w:t>to</w:t>
      </w:r>
      <w:r>
        <w:rPr>
          <w:spacing w:val="54"/>
        </w:rPr>
        <w:t xml:space="preserve"> </w:t>
      </w:r>
      <w:r>
        <w:rPr>
          <w:spacing w:val="-1"/>
        </w:rPr>
        <w:t>carry</w:t>
      </w:r>
      <w:r>
        <w:rPr>
          <w:spacing w:val="52"/>
        </w:rPr>
        <w:t xml:space="preserve"> </w:t>
      </w:r>
      <w:r>
        <w:rPr>
          <w:spacing w:val="-1"/>
        </w:rPr>
        <w:t>out</w:t>
      </w:r>
      <w:r>
        <w:rPr>
          <w:spacing w:val="56"/>
        </w:rPr>
        <w:t xml:space="preserve"> </w:t>
      </w:r>
      <w:r>
        <w:rPr>
          <w:spacing w:val="-1"/>
        </w:rPr>
        <w:t>their</w:t>
      </w:r>
      <w:r>
        <w:rPr>
          <w:spacing w:val="53"/>
        </w:rPr>
        <w:t xml:space="preserve"> </w:t>
      </w:r>
      <w:r>
        <w:rPr>
          <w:spacing w:val="-1"/>
        </w:rPr>
        <w:t>respective</w:t>
      </w:r>
      <w:r>
        <w:rPr>
          <w:spacing w:val="54"/>
        </w:rPr>
        <w:t xml:space="preserve"> </w:t>
      </w:r>
      <w:r>
        <w:rPr>
          <w:spacing w:val="-1"/>
        </w:rPr>
        <w:t>duties</w:t>
      </w:r>
      <w:r>
        <w:rPr>
          <w:spacing w:val="56"/>
        </w:rPr>
        <w:t xml:space="preserve"> </w:t>
      </w:r>
      <w:r>
        <w:rPr>
          <w:spacing w:val="-1"/>
        </w:rPr>
        <w:t>under</w:t>
      </w:r>
      <w:r>
        <w:rPr>
          <w:spacing w:val="55"/>
        </w:rPr>
        <w:t xml:space="preserve"> </w:t>
      </w:r>
      <w:r>
        <w:rPr>
          <w:spacing w:val="-1"/>
        </w:rPr>
        <w:t>regulation</w:t>
      </w:r>
      <w:r>
        <w:rPr>
          <w:spacing w:val="3"/>
        </w:rPr>
        <w:t xml:space="preserve"> </w:t>
      </w:r>
      <w:r>
        <w:rPr>
          <w:spacing w:val="-2"/>
        </w:rPr>
        <w:t>13</w:t>
      </w:r>
      <w:r>
        <w:rPr>
          <w:spacing w:val="54"/>
        </w:rPr>
        <w:t xml:space="preserve"> </w:t>
      </w:r>
      <w:r>
        <w:rPr>
          <w:spacing w:val="-2"/>
        </w:rPr>
        <w:t>of</w:t>
      </w:r>
      <w:r>
        <w:rPr>
          <w:spacing w:val="58"/>
        </w:rPr>
        <w:t xml:space="preserve"> </w:t>
      </w:r>
      <w:r>
        <w:rPr>
          <w:spacing w:val="-2"/>
        </w:rPr>
        <w:t>the</w:t>
      </w:r>
      <w:r>
        <w:rPr>
          <w:spacing w:val="34"/>
        </w:rPr>
        <w:t xml:space="preserve"> </w:t>
      </w:r>
      <w:r>
        <w:rPr>
          <w:spacing w:val="-1"/>
        </w:rPr>
        <w:t>Employment</w:t>
      </w:r>
      <w:r>
        <w:rPr>
          <w:spacing w:val="2"/>
        </w:rPr>
        <w:t xml:space="preserve"> </w:t>
      </w:r>
      <w:r>
        <w:rPr>
          <w:spacing w:val="-2"/>
        </w:rPr>
        <w:t>Regulations.</w:t>
      </w:r>
    </w:p>
    <w:p w:rsidR="008918FA" w:rsidRDefault="008918FA" w:rsidP="008918FA">
      <w:pPr>
        <w:pStyle w:val="BodyText"/>
        <w:numPr>
          <w:ilvl w:val="1"/>
          <w:numId w:val="7"/>
        </w:numPr>
        <w:tabs>
          <w:tab w:val="left" w:pos="895"/>
        </w:tabs>
        <w:ind w:left="690" w:right="112" w:hanging="361"/>
        <w:jc w:val="both"/>
      </w:pPr>
      <w:bookmarkStart w:id="486" w:name="_bookmark404"/>
      <w:bookmarkEnd w:id="486"/>
      <w:r>
        <w:rPr>
          <w:spacing w:val="-1"/>
        </w:rPr>
        <w:t>Subject</w:t>
      </w:r>
      <w:r>
        <w:rPr>
          <w:spacing w:val="5"/>
        </w:rPr>
        <w:t xml:space="preserve"> </w:t>
      </w:r>
      <w:r>
        <w:t>to</w:t>
      </w:r>
      <w:r>
        <w:rPr>
          <w:spacing w:val="5"/>
        </w:rPr>
        <w:t xml:space="preserve"> </w:t>
      </w:r>
      <w:r>
        <w:rPr>
          <w:spacing w:val="-1"/>
        </w:rPr>
        <w:t>paragraph</w:t>
      </w:r>
      <w:r>
        <w:rPr>
          <w:spacing w:val="1"/>
        </w:rPr>
        <w:t xml:space="preserve"> </w:t>
      </w:r>
      <w:hyperlink w:anchor="_bookmark405" w:history="1">
        <w:r>
          <w:rPr>
            <w:spacing w:val="-2"/>
          </w:rPr>
          <w:t>2.14</w:t>
        </w:r>
      </w:hyperlink>
      <w:r>
        <w:rPr>
          <w:spacing w:val="5"/>
        </w:rPr>
        <w:t xml:space="preserve"> </w:t>
      </w:r>
      <w:r>
        <w:rPr>
          <w:spacing w:val="-2"/>
        </w:rPr>
        <w:t>of</w:t>
      </w:r>
      <w:r>
        <w:rPr>
          <w:spacing w:val="9"/>
        </w:rPr>
        <w:t xml:space="preserve"> </w:t>
      </w:r>
      <w:r>
        <w:rPr>
          <w:spacing w:val="-1"/>
        </w:rPr>
        <w:t>Part</w:t>
      </w:r>
      <w:r>
        <w:rPr>
          <w:spacing w:val="7"/>
        </w:rPr>
        <w:t xml:space="preserve"> </w:t>
      </w:r>
      <w:r>
        <w:t>D</w:t>
      </w:r>
      <w:r>
        <w:rPr>
          <w:spacing w:val="4"/>
        </w:rPr>
        <w:t xml:space="preserve"> </w:t>
      </w:r>
      <w:r>
        <w:rPr>
          <w:spacing w:val="-2"/>
        </w:rPr>
        <w:t>of</w:t>
      </w:r>
      <w:r>
        <w:rPr>
          <w:spacing w:val="6"/>
        </w:rPr>
        <w:t xml:space="preserve"> </w:t>
      </w:r>
      <w:r>
        <w:rPr>
          <w:spacing w:val="-1"/>
        </w:rPr>
        <w:t>this</w:t>
      </w:r>
      <w:r>
        <w:rPr>
          <w:spacing w:val="5"/>
        </w:rPr>
        <w:t xml:space="preserve"> </w:t>
      </w:r>
      <w:r>
        <w:rPr>
          <w:spacing w:val="-2"/>
        </w:rPr>
        <w:t>Call</w:t>
      </w:r>
      <w:r>
        <w:rPr>
          <w:spacing w:val="4"/>
        </w:rPr>
        <w:t xml:space="preserve"> </w:t>
      </w:r>
      <w:r>
        <w:t>Off</w:t>
      </w:r>
      <w:r>
        <w:rPr>
          <w:spacing w:val="7"/>
        </w:rPr>
        <w:t xml:space="preserve"> </w:t>
      </w:r>
      <w:r>
        <w:rPr>
          <w:spacing w:val="-1"/>
        </w:rPr>
        <w:t>Schedule,</w:t>
      </w:r>
      <w:r>
        <w:rPr>
          <w:spacing w:val="4"/>
        </w:rPr>
        <w:t xml:space="preserve"> </w:t>
      </w:r>
      <w:r>
        <w:t>the</w:t>
      </w:r>
      <w:r>
        <w:rPr>
          <w:spacing w:val="5"/>
        </w:rPr>
        <w:t xml:space="preserve"> </w:t>
      </w:r>
      <w:r>
        <w:rPr>
          <w:spacing w:val="-1"/>
        </w:rPr>
        <w:t>Customer</w:t>
      </w:r>
      <w:r>
        <w:rPr>
          <w:spacing w:val="6"/>
        </w:rPr>
        <w:t xml:space="preserve"> </w:t>
      </w:r>
      <w:r>
        <w:rPr>
          <w:spacing w:val="-1"/>
        </w:rPr>
        <w:t>shall</w:t>
      </w:r>
      <w:r>
        <w:rPr>
          <w:spacing w:val="41"/>
        </w:rPr>
        <w:t xml:space="preserve"> </w:t>
      </w:r>
      <w:r>
        <w:rPr>
          <w:spacing w:val="-1"/>
        </w:rPr>
        <w:t>procure</w:t>
      </w:r>
      <w:r>
        <w:rPr>
          <w:spacing w:val="20"/>
        </w:rPr>
        <w:t xml:space="preserve"> </w:t>
      </w:r>
      <w:r>
        <w:rPr>
          <w:spacing w:val="-1"/>
        </w:rPr>
        <w:t>that</w:t>
      </w:r>
      <w:r>
        <w:rPr>
          <w:spacing w:val="21"/>
        </w:rPr>
        <w:t xml:space="preserve"> </w:t>
      </w:r>
      <w:r>
        <w:t>the</w:t>
      </w:r>
      <w:r>
        <w:rPr>
          <w:spacing w:val="20"/>
        </w:rPr>
        <w:t xml:space="preserve"> </w:t>
      </w:r>
      <w:r>
        <w:rPr>
          <w:spacing w:val="-1"/>
        </w:rPr>
        <w:t>Replacement</w:t>
      </w:r>
      <w:r>
        <w:rPr>
          <w:spacing w:val="21"/>
        </w:rPr>
        <w:t xml:space="preserve"> </w:t>
      </w:r>
      <w:r>
        <w:rPr>
          <w:spacing w:val="-2"/>
        </w:rPr>
        <w:t>Supplier</w:t>
      </w:r>
      <w:r>
        <w:rPr>
          <w:spacing w:val="21"/>
        </w:rPr>
        <w:t xml:space="preserve"> </w:t>
      </w:r>
      <w:r>
        <w:rPr>
          <w:spacing w:val="-2"/>
        </w:rPr>
        <w:t>indemnifies</w:t>
      </w:r>
      <w:r>
        <w:rPr>
          <w:spacing w:val="20"/>
        </w:rPr>
        <w:t xml:space="preserve"> </w:t>
      </w:r>
      <w:r>
        <w:t>the</w:t>
      </w:r>
      <w:r>
        <w:rPr>
          <w:spacing w:val="19"/>
        </w:rPr>
        <w:t xml:space="preserve"> </w:t>
      </w:r>
      <w:r>
        <w:rPr>
          <w:spacing w:val="-2"/>
        </w:rPr>
        <w:t>Supplier</w:t>
      </w:r>
      <w:r>
        <w:rPr>
          <w:spacing w:val="21"/>
        </w:rPr>
        <w:t xml:space="preserve"> </w:t>
      </w:r>
      <w:r>
        <w:rPr>
          <w:spacing w:val="-1"/>
        </w:rPr>
        <w:t>on</w:t>
      </w:r>
      <w:r>
        <w:rPr>
          <w:spacing w:val="22"/>
        </w:rPr>
        <w:t xml:space="preserve"> </w:t>
      </w:r>
      <w:r>
        <w:rPr>
          <w:spacing w:val="-1"/>
        </w:rPr>
        <w:t>its</w:t>
      </w:r>
      <w:r>
        <w:rPr>
          <w:spacing w:val="20"/>
        </w:rPr>
        <w:t xml:space="preserve"> </w:t>
      </w:r>
      <w:r>
        <w:rPr>
          <w:spacing w:val="-2"/>
        </w:rPr>
        <w:t>own</w:t>
      </w:r>
      <w:r>
        <w:rPr>
          <w:spacing w:val="22"/>
        </w:rPr>
        <w:t xml:space="preserve"> </w:t>
      </w:r>
      <w:r>
        <w:rPr>
          <w:spacing w:val="-1"/>
        </w:rPr>
        <w:t>behalf</w:t>
      </w:r>
      <w:r>
        <w:rPr>
          <w:spacing w:val="69"/>
        </w:rPr>
        <w:t xml:space="preserve"> </w:t>
      </w:r>
      <w:r>
        <w:rPr>
          <w:spacing w:val="-1"/>
        </w:rPr>
        <w:t>and</w:t>
      </w:r>
      <w:r>
        <w:rPr>
          <w:spacing w:val="15"/>
        </w:rPr>
        <w:t xml:space="preserve"> </w:t>
      </w:r>
      <w:r>
        <w:rPr>
          <w:spacing w:val="-1"/>
        </w:rPr>
        <w:t>on</w:t>
      </w:r>
      <w:r>
        <w:rPr>
          <w:spacing w:val="15"/>
        </w:rPr>
        <w:t xml:space="preserve"> </w:t>
      </w:r>
      <w:r>
        <w:rPr>
          <w:spacing w:val="-1"/>
        </w:rPr>
        <w:t>behalf</w:t>
      </w:r>
      <w:r>
        <w:rPr>
          <w:spacing w:val="19"/>
        </w:rPr>
        <w:t xml:space="preserve"> </w:t>
      </w:r>
      <w:r>
        <w:rPr>
          <w:spacing w:val="-2"/>
        </w:rPr>
        <w:t>of</w:t>
      </w:r>
      <w:r>
        <w:rPr>
          <w:spacing w:val="19"/>
        </w:rPr>
        <w:t xml:space="preserve"> </w:t>
      </w:r>
      <w:r>
        <w:rPr>
          <w:spacing w:val="-1"/>
        </w:rPr>
        <w:t>any</w:t>
      </w:r>
      <w:r>
        <w:rPr>
          <w:spacing w:val="13"/>
        </w:rPr>
        <w:t xml:space="preserve"> </w:t>
      </w:r>
      <w:r>
        <w:rPr>
          <w:spacing w:val="-1"/>
        </w:rPr>
        <w:t>Replacement</w:t>
      </w:r>
      <w:r>
        <w:rPr>
          <w:spacing w:val="16"/>
        </w:rPr>
        <w:t xml:space="preserve"> </w:t>
      </w:r>
      <w:r>
        <w:rPr>
          <w:spacing w:val="-1"/>
        </w:rPr>
        <w:t>Sub-Contractor</w:t>
      </w:r>
      <w:r>
        <w:rPr>
          <w:spacing w:val="16"/>
        </w:rPr>
        <w:t xml:space="preserve"> </w:t>
      </w:r>
      <w:r>
        <w:rPr>
          <w:spacing w:val="-1"/>
        </w:rPr>
        <w:t>and</w:t>
      </w:r>
      <w:r>
        <w:rPr>
          <w:spacing w:val="15"/>
        </w:rPr>
        <w:t xml:space="preserve"> </w:t>
      </w:r>
      <w:r>
        <w:rPr>
          <w:spacing w:val="-1"/>
        </w:rPr>
        <w:t>its</w:t>
      </w:r>
      <w:r>
        <w:rPr>
          <w:spacing w:val="15"/>
        </w:rPr>
        <w:t xml:space="preserve"> </w:t>
      </w:r>
      <w:r>
        <w:rPr>
          <w:spacing w:val="-1"/>
        </w:rPr>
        <w:t>sub-contractors</w:t>
      </w:r>
      <w:r>
        <w:rPr>
          <w:spacing w:val="15"/>
        </w:rPr>
        <w:t xml:space="preserve"> </w:t>
      </w:r>
      <w:r>
        <w:rPr>
          <w:spacing w:val="-1"/>
        </w:rPr>
        <w:t>against</w:t>
      </w:r>
      <w:r>
        <w:rPr>
          <w:spacing w:val="31"/>
        </w:rPr>
        <w:t xml:space="preserve"> </w:t>
      </w:r>
      <w:r>
        <w:rPr>
          <w:spacing w:val="-1"/>
        </w:rPr>
        <w:t>any</w:t>
      </w:r>
      <w:r>
        <w:rPr>
          <w:spacing w:val="39"/>
        </w:rPr>
        <w:t xml:space="preserve"> </w:t>
      </w:r>
      <w:r>
        <w:rPr>
          <w:spacing w:val="-2"/>
        </w:rPr>
        <w:t>Employee</w:t>
      </w:r>
      <w:r>
        <w:rPr>
          <w:spacing w:val="41"/>
        </w:rPr>
        <w:t xml:space="preserve"> </w:t>
      </w:r>
      <w:r>
        <w:rPr>
          <w:spacing w:val="-1"/>
        </w:rPr>
        <w:t>Liabilities</w:t>
      </w:r>
      <w:r>
        <w:rPr>
          <w:spacing w:val="41"/>
        </w:rPr>
        <w:t xml:space="preserve"> </w:t>
      </w:r>
      <w:r>
        <w:rPr>
          <w:spacing w:val="-1"/>
        </w:rPr>
        <w:t>in</w:t>
      </w:r>
      <w:r>
        <w:rPr>
          <w:spacing w:val="41"/>
        </w:rPr>
        <w:t xml:space="preserve"> </w:t>
      </w:r>
      <w:r>
        <w:rPr>
          <w:spacing w:val="-1"/>
        </w:rPr>
        <w:t>respect</w:t>
      </w:r>
      <w:r>
        <w:rPr>
          <w:spacing w:val="43"/>
        </w:rPr>
        <w:t xml:space="preserve"> </w:t>
      </w:r>
      <w:r>
        <w:rPr>
          <w:spacing w:val="-2"/>
        </w:rPr>
        <w:t>of</w:t>
      </w:r>
      <w:r>
        <w:rPr>
          <w:spacing w:val="42"/>
        </w:rPr>
        <w:t xml:space="preserve"> </w:t>
      </w:r>
      <w:r>
        <w:rPr>
          <w:spacing w:val="-1"/>
        </w:rPr>
        <w:t>each</w:t>
      </w:r>
      <w:r>
        <w:rPr>
          <w:spacing w:val="40"/>
        </w:rPr>
        <w:t xml:space="preserve"> </w:t>
      </w:r>
      <w:r>
        <w:rPr>
          <w:spacing w:val="-1"/>
        </w:rPr>
        <w:t>Transferring</w:t>
      </w:r>
      <w:r>
        <w:rPr>
          <w:spacing w:val="43"/>
        </w:rPr>
        <w:t xml:space="preserve"> </w:t>
      </w:r>
      <w:r>
        <w:rPr>
          <w:spacing w:val="-2"/>
        </w:rPr>
        <w:t>Supplier</w:t>
      </w:r>
      <w:r>
        <w:rPr>
          <w:spacing w:val="42"/>
        </w:rPr>
        <w:t xml:space="preserve"> </w:t>
      </w:r>
      <w:r>
        <w:rPr>
          <w:spacing w:val="-2"/>
        </w:rPr>
        <w:t>Employee</w:t>
      </w:r>
      <w:r>
        <w:rPr>
          <w:spacing w:val="41"/>
        </w:rPr>
        <w:t xml:space="preserve"> </w:t>
      </w:r>
      <w:r>
        <w:rPr>
          <w:spacing w:val="-1"/>
        </w:rPr>
        <w:t>(or,</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left="688" w:right="115" w:firstLine="0"/>
      </w:pPr>
      <w:r>
        <w:rPr>
          <w:spacing w:val="-1"/>
        </w:rPr>
        <w:t>where</w:t>
      </w:r>
      <w:r>
        <w:rPr>
          <w:spacing w:val="60"/>
        </w:rPr>
        <w:t xml:space="preserve"> </w:t>
      </w:r>
      <w:r>
        <w:rPr>
          <w:spacing w:val="-1"/>
        </w:rPr>
        <w:t>applicable</w:t>
      </w:r>
      <w:r>
        <w:rPr>
          <w:spacing w:val="60"/>
        </w:rPr>
        <w:t xml:space="preserve"> </w:t>
      </w:r>
      <w:r>
        <w:rPr>
          <w:spacing w:val="-1"/>
        </w:rPr>
        <w:t>any</w:t>
      </w:r>
      <w:r>
        <w:rPr>
          <w:spacing w:val="58"/>
        </w:rPr>
        <w:t xml:space="preserve"> </w:t>
      </w:r>
      <w:r>
        <w:rPr>
          <w:spacing w:val="-1"/>
        </w:rPr>
        <w:t>employee</w:t>
      </w:r>
      <w:r>
        <w:rPr>
          <w:spacing w:val="60"/>
        </w:rPr>
        <w:t xml:space="preserve"> </w:t>
      </w:r>
      <w:r>
        <w:rPr>
          <w:spacing w:val="-1"/>
        </w:rPr>
        <w:t>representative</w:t>
      </w:r>
      <w:r>
        <w:rPr>
          <w:spacing w:val="60"/>
        </w:rPr>
        <w:t xml:space="preserve"> </w:t>
      </w:r>
      <w:r>
        <w:rPr>
          <w:spacing w:val="-1"/>
        </w:rPr>
        <w:t>(as</w:t>
      </w:r>
      <w:r>
        <w:t xml:space="preserve">  </w:t>
      </w:r>
      <w:r>
        <w:rPr>
          <w:spacing w:val="-1"/>
        </w:rPr>
        <w:t>defined</w:t>
      </w:r>
      <w:r>
        <w:rPr>
          <w:spacing w:val="60"/>
        </w:rPr>
        <w:t xml:space="preserve"> </w:t>
      </w:r>
      <w:r>
        <w:rPr>
          <w:spacing w:val="-1"/>
        </w:rPr>
        <w:t>in</w:t>
      </w:r>
      <w:r>
        <w:rPr>
          <w:spacing w:val="61"/>
        </w:rPr>
        <w:t xml:space="preserve"> </w:t>
      </w:r>
      <w:r>
        <w:t>the</w:t>
      </w:r>
      <w:r>
        <w:rPr>
          <w:spacing w:val="60"/>
        </w:rPr>
        <w:t xml:space="preserve"> </w:t>
      </w:r>
      <w:r>
        <w:rPr>
          <w:spacing w:val="-2"/>
        </w:rPr>
        <w:t>Employment</w:t>
      </w:r>
      <w:r>
        <w:rPr>
          <w:spacing w:val="38"/>
        </w:rPr>
        <w:t xml:space="preserve"> </w:t>
      </w:r>
      <w:r>
        <w:rPr>
          <w:spacing w:val="-1"/>
        </w:rPr>
        <w:t>Regulations)</w:t>
      </w:r>
      <w:r>
        <w:t xml:space="preserve"> </w:t>
      </w:r>
      <w:r>
        <w:rPr>
          <w:spacing w:val="-2"/>
        </w:rPr>
        <w:t>of</w:t>
      </w:r>
      <w:r>
        <w:rPr>
          <w:spacing w:val="2"/>
        </w:rPr>
        <w:t xml:space="preserve"> </w:t>
      </w:r>
      <w:r>
        <w:rPr>
          <w:spacing w:val="-1"/>
        </w:rPr>
        <w:t>any</w:t>
      </w:r>
      <w:r>
        <w:rPr>
          <w:spacing w:val="-4"/>
        </w:rPr>
        <w:t xml:space="preserve"> </w:t>
      </w:r>
      <w:r>
        <w:rPr>
          <w:spacing w:val="-1"/>
        </w:rPr>
        <w:t>Transferring</w:t>
      </w:r>
      <w:r>
        <w:t xml:space="preserve"> </w:t>
      </w:r>
      <w:r>
        <w:rPr>
          <w:spacing w:val="-2"/>
        </w:rPr>
        <w:t>Supplier</w:t>
      </w:r>
      <w:r>
        <w:rPr>
          <w:spacing w:val="2"/>
        </w:rPr>
        <w:t xml:space="preserve"> </w:t>
      </w:r>
      <w:r>
        <w:rPr>
          <w:spacing w:val="-2"/>
        </w:rPr>
        <w:t>Employee)</w:t>
      </w:r>
      <w:r>
        <w:rPr>
          <w:spacing w:val="2"/>
        </w:rPr>
        <w:t xml:space="preserve"> </w:t>
      </w:r>
      <w:r>
        <w:rPr>
          <w:spacing w:val="-2"/>
        </w:rPr>
        <w:t xml:space="preserve">arising </w:t>
      </w:r>
      <w:r>
        <w:t>from</w:t>
      </w:r>
      <w:r>
        <w:rPr>
          <w:spacing w:val="-1"/>
        </w:rPr>
        <w:t xml:space="preserve"> or as</w:t>
      </w:r>
      <w:r>
        <w:rPr>
          <w:spacing w:val="1"/>
        </w:rPr>
        <w:t xml:space="preserve"> </w:t>
      </w:r>
      <w:r>
        <w:t>a</w:t>
      </w:r>
      <w:r>
        <w:rPr>
          <w:spacing w:val="-2"/>
        </w:rPr>
        <w:t xml:space="preserve"> </w:t>
      </w:r>
      <w:r>
        <w:rPr>
          <w:spacing w:val="-1"/>
        </w:rPr>
        <w:t>result</w:t>
      </w:r>
      <w:r>
        <w:rPr>
          <w:spacing w:val="2"/>
        </w:rPr>
        <w:t xml:space="preserve"> </w:t>
      </w:r>
      <w:r>
        <w:rPr>
          <w:spacing w:val="-1"/>
        </w:rPr>
        <w:t>of:</w:t>
      </w:r>
    </w:p>
    <w:p w:rsidR="008918FA" w:rsidRDefault="008918FA" w:rsidP="008918FA">
      <w:pPr>
        <w:pStyle w:val="BodyText"/>
        <w:numPr>
          <w:ilvl w:val="2"/>
          <w:numId w:val="7"/>
        </w:numPr>
        <w:tabs>
          <w:tab w:val="left" w:pos="1887"/>
        </w:tabs>
        <w:spacing w:before="121"/>
        <w:ind w:left="1886" w:right="115"/>
        <w:jc w:val="both"/>
      </w:pPr>
      <w:r>
        <w:rPr>
          <w:spacing w:val="-1"/>
        </w:rPr>
        <w:t>any</w:t>
      </w:r>
      <w:r>
        <w:rPr>
          <w:spacing w:val="13"/>
        </w:rPr>
        <w:t xml:space="preserve"> </w:t>
      </w:r>
      <w:r>
        <w:rPr>
          <w:spacing w:val="-1"/>
        </w:rPr>
        <w:t>act</w:t>
      </w:r>
      <w:r>
        <w:rPr>
          <w:spacing w:val="17"/>
        </w:rPr>
        <w:t xml:space="preserve"> </w:t>
      </w:r>
      <w:r>
        <w:rPr>
          <w:spacing w:val="-1"/>
        </w:rPr>
        <w:t>or</w:t>
      </w:r>
      <w:r>
        <w:rPr>
          <w:spacing w:val="16"/>
        </w:rPr>
        <w:t xml:space="preserve"> </w:t>
      </w:r>
      <w:r>
        <w:rPr>
          <w:spacing w:val="-1"/>
        </w:rPr>
        <w:t>omission</w:t>
      </w:r>
      <w:r>
        <w:rPr>
          <w:spacing w:val="15"/>
        </w:rPr>
        <w:t xml:space="preserve"> </w:t>
      </w:r>
      <w:r>
        <w:rPr>
          <w:spacing w:val="-1"/>
        </w:rPr>
        <w:t>of</w:t>
      </w:r>
      <w:r>
        <w:rPr>
          <w:spacing w:val="19"/>
        </w:rPr>
        <w:t xml:space="preserve"> </w:t>
      </w:r>
      <w:r>
        <w:rPr>
          <w:spacing w:val="-1"/>
        </w:rPr>
        <w:t>the</w:t>
      </w:r>
      <w:r>
        <w:rPr>
          <w:spacing w:val="15"/>
        </w:rPr>
        <w:t xml:space="preserve"> </w:t>
      </w:r>
      <w:r>
        <w:rPr>
          <w:spacing w:val="-1"/>
        </w:rPr>
        <w:t>Replacement</w:t>
      </w:r>
      <w:r>
        <w:rPr>
          <w:spacing w:val="16"/>
        </w:rPr>
        <w:t xml:space="preserve"> </w:t>
      </w:r>
      <w:r>
        <w:rPr>
          <w:spacing w:val="-1"/>
        </w:rPr>
        <w:t>Supplier</w:t>
      </w:r>
      <w:r>
        <w:rPr>
          <w:spacing w:val="16"/>
        </w:rPr>
        <w:t xml:space="preserve"> </w:t>
      </w:r>
      <w:r>
        <w:rPr>
          <w:spacing w:val="-1"/>
        </w:rPr>
        <w:t>and/or</w:t>
      </w:r>
      <w:r>
        <w:rPr>
          <w:spacing w:val="16"/>
        </w:rPr>
        <w:t xml:space="preserve"> </w:t>
      </w:r>
      <w:r>
        <w:rPr>
          <w:spacing w:val="-2"/>
        </w:rPr>
        <w:t>Replacement</w:t>
      </w:r>
      <w:r>
        <w:rPr>
          <w:spacing w:val="43"/>
        </w:rPr>
        <w:t xml:space="preserve"> </w:t>
      </w:r>
      <w:r>
        <w:rPr>
          <w:spacing w:val="-1"/>
        </w:rPr>
        <w:t>Sub-Contractor;</w:t>
      </w:r>
    </w:p>
    <w:p w:rsidR="008918FA" w:rsidRDefault="008918FA" w:rsidP="008918FA">
      <w:pPr>
        <w:pStyle w:val="BodyText"/>
        <w:numPr>
          <w:ilvl w:val="2"/>
          <w:numId w:val="7"/>
        </w:numPr>
        <w:tabs>
          <w:tab w:val="left" w:pos="1887"/>
        </w:tabs>
        <w:spacing w:before="121"/>
        <w:ind w:left="1886" w:right="116"/>
        <w:jc w:val="both"/>
      </w:pPr>
      <w:r>
        <w:t>the</w:t>
      </w:r>
      <w:r>
        <w:rPr>
          <w:spacing w:val="51"/>
        </w:rPr>
        <w:t xml:space="preserve"> </w:t>
      </w:r>
      <w:r>
        <w:rPr>
          <w:spacing w:val="-1"/>
        </w:rPr>
        <w:t>breach</w:t>
      </w:r>
      <w:r>
        <w:rPr>
          <w:spacing w:val="51"/>
        </w:rPr>
        <w:t xml:space="preserve"> </w:t>
      </w:r>
      <w:r>
        <w:rPr>
          <w:spacing w:val="-1"/>
        </w:rPr>
        <w:t>or</w:t>
      </w:r>
      <w:r>
        <w:rPr>
          <w:spacing w:val="52"/>
        </w:rPr>
        <w:t xml:space="preserve"> </w:t>
      </w:r>
      <w:r>
        <w:rPr>
          <w:spacing w:val="-2"/>
        </w:rPr>
        <w:t>non-observance</w:t>
      </w:r>
      <w:r>
        <w:rPr>
          <w:spacing w:val="51"/>
        </w:rPr>
        <w:t xml:space="preserve"> </w:t>
      </w:r>
      <w:r>
        <w:rPr>
          <w:spacing w:val="-1"/>
        </w:rPr>
        <w:t>by</w:t>
      </w:r>
      <w:r>
        <w:rPr>
          <w:spacing w:val="49"/>
        </w:rPr>
        <w:t xml:space="preserve"> </w:t>
      </w:r>
      <w:r>
        <w:t>the</w:t>
      </w:r>
      <w:r>
        <w:rPr>
          <w:spacing w:val="51"/>
        </w:rPr>
        <w:t xml:space="preserve"> </w:t>
      </w:r>
      <w:r>
        <w:rPr>
          <w:spacing w:val="-1"/>
        </w:rPr>
        <w:t>Replacement</w:t>
      </w:r>
      <w:r>
        <w:rPr>
          <w:spacing w:val="53"/>
        </w:rPr>
        <w:t xml:space="preserve"> </w:t>
      </w:r>
      <w:r>
        <w:rPr>
          <w:spacing w:val="-2"/>
        </w:rPr>
        <w:t>Supplier</w:t>
      </w:r>
      <w:r>
        <w:rPr>
          <w:spacing w:val="52"/>
        </w:rPr>
        <w:t xml:space="preserve"> </w:t>
      </w:r>
      <w:r>
        <w:rPr>
          <w:spacing w:val="-1"/>
        </w:rPr>
        <w:t>and/or</w:t>
      </w:r>
      <w:r>
        <w:rPr>
          <w:spacing w:val="53"/>
        </w:rPr>
        <w:t xml:space="preserve"> </w:t>
      </w:r>
      <w:r>
        <w:rPr>
          <w:spacing w:val="-1"/>
        </w:rPr>
        <w:t>Replacement</w:t>
      </w:r>
      <w:r>
        <w:rPr>
          <w:spacing w:val="2"/>
        </w:rPr>
        <w:t xml:space="preserve"> </w:t>
      </w:r>
      <w:r>
        <w:rPr>
          <w:spacing w:val="-2"/>
        </w:rPr>
        <w:t>Sub-Contractor</w:t>
      </w:r>
      <w:r>
        <w:rPr>
          <w:spacing w:val="-1"/>
        </w:rPr>
        <w:t xml:space="preserve"> on</w:t>
      </w:r>
      <w:r>
        <w:t xml:space="preserve"> </w:t>
      </w:r>
      <w:r>
        <w:rPr>
          <w:spacing w:val="-2"/>
        </w:rPr>
        <w:t>or</w:t>
      </w:r>
      <w:r>
        <w:rPr>
          <w:spacing w:val="2"/>
        </w:rPr>
        <w:t xml:space="preserve"> </w:t>
      </w:r>
      <w:r>
        <w:rPr>
          <w:spacing w:val="-1"/>
        </w:rPr>
        <w:t xml:space="preserve">after </w:t>
      </w:r>
      <w:r>
        <w:t xml:space="preserve">the </w:t>
      </w:r>
      <w:r>
        <w:rPr>
          <w:spacing w:val="-2"/>
        </w:rPr>
        <w:t>Service</w:t>
      </w:r>
      <w:r>
        <w:rPr>
          <w:spacing w:val="1"/>
        </w:rPr>
        <w:t xml:space="preserve"> </w:t>
      </w:r>
      <w:r>
        <w:rPr>
          <w:spacing w:val="-1"/>
        </w:rPr>
        <w:t>Transfer Date</w:t>
      </w:r>
      <w:r>
        <w:t xml:space="preserve"> </w:t>
      </w:r>
      <w:r>
        <w:rPr>
          <w:spacing w:val="-1"/>
        </w:rPr>
        <w:t>of:</w:t>
      </w:r>
    </w:p>
    <w:p w:rsidR="008918FA" w:rsidRDefault="008918FA" w:rsidP="008918FA">
      <w:pPr>
        <w:pStyle w:val="BodyText"/>
        <w:numPr>
          <w:ilvl w:val="3"/>
          <w:numId w:val="7"/>
        </w:numPr>
        <w:tabs>
          <w:tab w:val="left" w:pos="2595"/>
        </w:tabs>
        <w:ind w:left="2594" w:right="117"/>
        <w:jc w:val="both"/>
      </w:pPr>
      <w:r>
        <w:rPr>
          <w:spacing w:val="-1"/>
        </w:rPr>
        <w:t>any</w:t>
      </w:r>
      <w:r>
        <w:rPr>
          <w:spacing w:val="-2"/>
        </w:rPr>
        <w:t xml:space="preserve"> collective</w:t>
      </w:r>
      <w:r>
        <w:t xml:space="preserve"> </w:t>
      </w:r>
      <w:r>
        <w:rPr>
          <w:spacing w:val="-1"/>
        </w:rPr>
        <w:t>agreement</w:t>
      </w:r>
      <w:r>
        <w:t xml:space="preserve"> </w:t>
      </w:r>
      <w:r>
        <w:rPr>
          <w:spacing w:val="-2"/>
        </w:rPr>
        <w:t>applicable</w:t>
      </w:r>
      <w:r>
        <w:t xml:space="preserve"> to the</w:t>
      </w:r>
      <w:r>
        <w:rPr>
          <w:spacing w:val="-4"/>
        </w:rPr>
        <w:t xml:space="preserve"> </w:t>
      </w:r>
      <w:r>
        <w:rPr>
          <w:spacing w:val="-1"/>
        </w:rPr>
        <w:t>Transferring</w:t>
      </w:r>
      <w:r>
        <w:rPr>
          <w:spacing w:val="3"/>
        </w:rPr>
        <w:t xml:space="preserve"> </w:t>
      </w:r>
      <w:r>
        <w:rPr>
          <w:spacing w:val="-2"/>
        </w:rPr>
        <w:t>Supplier</w:t>
      </w:r>
      <w:r>
        <w:rPr>
          <w:spacing w:val="62"/>
        </w:rPr>
        <w:t xml:space="preserve"> </w:t>
      </w:r>
      <w:r>
        <w:rPr>
          <w:spacing w:val="-2"/>
        </w:rPr>
        <w:t>Employees;</w:t>
      </w:r>
      <w:r>
        <w:rPr>
          <w:spacing w:val="2"/>
        </w:rPr>
        <w:t xml:space="preserve"> </w:t>
      </w:r>
      <w:r>
        <w:rPr>
          <w:spacing w:val="-1"/>
        </w:rPr>
        <w:t>and/or</w:t>
      </w:r>
    </w:p>
    <w:p w:rsidR="008918FA" w:rsidRDefault="008918FA" w:rsidP="008918FA">
      <w:pPr>
        <w:pStyle w:val="BodyText"/>
        <w:numPr>
          <w:ilvl w:val="3"/>
          <w:numId w:val="7"/>
        </w:numPr>
        <w:tabs>
          <w:tab w:val="left" w:pos="2595"/>
        </w:tabs>
        <w:ind w:left="2594" w:right="115"/>
        <w:jc w:val="both"/>
      </w:pPr>
      <w:r>
        <w:rPr>
          <w:spacing w:val="-1"/>
        </w:rPr>
        <w:t>any</w:t>
      </w:r>
      <w:r>
        <w:rPr>
          <w:spacing w:val="20"/>
        </w:rPr>
        <w:t xml:space="preserve"> </w:t>
      </w:r>
      <w:r>
        <w:rPr>
          <w:spacing w:val="-1"/>
        </w:rPr>
        <w:t>custom</w:t>
      </w:r>
      <w:r>
        <w:rPr>
          <w:spacing w:val="23"/>
        </w:rPr>
        <w:t xml:space="preserve"> </w:t>
      </w:r>
      <w:r>
        <w:rPr>
          <w:spacing w:val="-1"/>
        </w:rPr>
        <w:t>or</w:t>
      </w:r>
      <w:r>
        <w:rPr>
          <w:spacing w:val="23"/>
        </w:rPr>
        <w:t xml:space="preserve"> </w:t>
      </w:r>
      <w:r>
        <w:rPr>
          <w:spacing w:val="-1"/>
        </w:rPr>
        <w:t>practice</w:t>
      </w:r>
      <w:r>
        <w:rPr>
          <w:spacing w:val="22"/>
        </w:rPr>
        <w:t xml:space="preserve"> </w:t>
      </w:r>
      <w:r>
        <w:rPr>
          <w:spacing w:val="-1"/>
        </w:rPr>
        <w:t>in</w:t>
      </w:r>
      <w:r>
        <w:rPr>
          <w:spacing w:val="22"/>
        </w:rPr>
        <w:t xml:space="preserve"> </w:t>
      </w:r>
      <w:r>
        <w:rPr>
          <w:spacing w:val="-1"/>
        </w:rPr>
        <w:t>respect</w:t>
      </w:r>
      <w:r>
        <w:rPr>
          <w:spacing w:val="24"/>
        </w:rPr>
        <w:t xml:space="preserve"> </w:t>
      </w:r>
      <w:r>
        <w:rPr>
          <w:spacing w:val="-2"/>
        </w:rPr>
        <w:t>of</w:t>
      </w:r>
      <w:r>
        <w:rPr>
          <w:spacing w:val="26"/>
        </w:rPr>
        <w:t xml:space="preserve"> </w:t>
      </w:r>
      <w:r>
        <w:rPr>
          <w:spacing w:val="-1"/>
        </w:rPr>
        <w:t>any</w:t>
      </w:r>
      <w:r>
        <w:rPr>
          <w:spacing w:val="20"/>
        </w:rPr>
        <w:t xml:space="preserve"> </w:t>
      </w:r>
      <w:r>
        <w:rPr>
          <w:spacing w:val="-1"/>
        </w:rPr>
        <w:t>Transferring</w:t>
      </w:r>
      <w:r>
        <w:rPr>
          <w:spacing w:val="24"/>
        </w:rPr>
        <w:t xml:space="preserve"> </w:t>
      </w:r>
      <w:r>
        <w:rPr>
          <w:spacing w:val="-2"/>
        </w:rPr>
        <w:t>Supplier</w:t>
      </w:r>
      <w:r>
        <w:rPr>
          <w:spacing w:val="38"/>
        </w:rPr>
        <w:t xml:space="preserve"> </w:t>
      </w:r>
      <w:r>
        <w:rPr>
          <w:spacing w:val="-2"/>
        </w:rPr>
        <w:t>Employees</w:t>
      </w:r>
      <w:r>
        <w:rPr>
          <w:spacing w:val="1"/>
        </w:rPr>
        <w:t xml:space="preserve"> </w:t>
      </w:r>
      <w:r>
        <w:rPr>
          <w:spacing w:val="-1"/>
        </w:rPr>
        <w:t>which</w:t>
      </w:r>
      <w:r>
        <w:rPr>
          <w:spacing w:val="1"/>
        </w:rPr>
        <w:t xml:space="preserve"> </w:t>
      </w:r>
      <w:r>
        <w:t xml:space="preserve">the  </w:t>
      </w:r>
      <w:r>
        <w:rPr>
          <w:spacing w:val="-1"/>
        </w:rPr>
        <w:t>Replacement</w:t>
      </w:r>
      <w:r>
        <w:rPr>
          <w:spacing w:val="61"/>
        </w:rPr>
        <w:t xml:space="preserve"> </w:t>
      </w:r>
      <w:r>
        <w:rPr>
          <w:spacing w:val="-2"/>
        </w:rPr>
        <w:t>Supplier</w:t>
      </w:r>
      <w:r>
        <w:rPr>
          <w:spacing w:val="2"/>
        </w:rPr>
        <w:t xml:space="preserve"> </w:t>
      </w:r>
      <w:r>
        <w:rPr>
          <w:spacing w:val="-1"/>
        </w:rPr>
        <w:t>and/or</w:t>
      </w:r>
      <w:r>
        <w:rPr>
          <w:spacing w:val="32"/>
        </w:rPr>
        <w:t xml:space="preserve"> </w:t>
      </w:r>
      <w:r>
        <w:rPr>
          <w:spacing w:val="-1"/>
        </w:rPr>
        <w:t>Replacement</w:t>
      </w:r>
      <w:r>
        <w:rPr>
          <w:spacing w:val="2"/>
        </w:rPr>
        <w:t xml:space="preserve"> </w:t>
      </w:r>
      <w:r>
        <w:rPr>
          <w:spacing w:val="-2"/>
        </w:rPr>
        <w:t>Sub-Contractor</w:t>
      </w:r>
      <w:r>
        <w:rPr>
          <w:spacing w:val="-1"/>
        </w:rPr>
        <w:t xml:space="preserve"> is</w:t>
      </w:r>
      <w:r>
        <w:rPr>
          <w:spacing w:val="1"/>
        </w:rPr>
        <w:t xml:space="preserve"> </w:t>
      </w:r>
      <w:r>
        <w:rPr>
          <w:spacing w:val="-1"/>
        </w:rPr>
        <w:t>contractually</w:t>
      </w:r>
      <w:r>
        <w:rPr>
          <w:spacing w:val="-2"/>
        </w:rPr>
        <w:t xml:space="preserve"> </w:t>
      </w:r>
      <w:r>
        <w:rPr>
          <w:spacing w:val="-1"/>
        </w:rPr>
        <w:t>bound</w:t>
      </w:r>
      <w:r>
        <w:t xml:space="preserve"> to</w:t>
      </w:r>
      <w:r>
        <w:rPr>
          <w:spacing w:val="-2"/>
        </w:rPr>
        <w:t xml:space="preserve"> </w:t>
      </w:r>
      <w:r>
        <w:rPr>
          <w:spacing w:val="-1"/>
        </w:rPr>
        <w:t>honour;</w:t>
      </w:r>
    </w:p>
    <w:p w:rsidR="008918FA" w:rsidRDefault="008918FA" w:rsidP="008918FA">
      <w:pPr>
        <w:pStyle w:val="BodyText"/>
        <w:numPr>
          <w:ilvl w:val="2"/>
          <w:numId w:val="7"/>
        </w:numPr>
        <w:tabs>
          <w:tab w:val="left" w:pos="1887"/>
        </w:tabs>
        <w:ind w:left="1885" w:right="112" w:hanging="993"/>
        <w:jc w:val="both"/>
      </w:pPr>
      <w:r>
        <w:rPr>
          <w:spacing w:val="-1"/>
        </w:rPr>
        <w:t>any</w:t>
      </w:r>
      <w:r>
        <w:rPr>
          <w:spacing w:val="3"/>
        </w:rPr>
        <w:t xml:space="preserve"> </w:t>
      </w:r>
      <w:r>
        <w:rPr>
          <w:spacing w:val="-1"/>
        </w:rPr>
        <w:t>claim</w:t>
      </w:r>
      <w:r>
        <w:rPr>
          <w:spacing w:val="6"/>
        </w:rPr>
        <w:t xml:space="preserve"> </w:t>
      </w:r>
      <w:r>
        <w:rPr>
          <w:spacing w:val="1"/>
        </w:rPr>
        <w:t>by</w:t>
      </w:r>
      <w:r>
        <w:rPr>
          <w:spacing w:val="3"/>
        </w:rPr>
        <w:t xml:space="preserve"> </w:t>
      </w:r>
      <w:r>
        <w:t>any</w:t>
      </w:r>
      <w:r>
        <w:rPr>
          <w:spacing w:val="3"/>
        </w:rPr>
        <w:t xml:space="preserve"> </w:t>
      </w:r>
      <w:r>
        <w:rPr>
          <w:spacing w:val="-1"/>
        </w:rPr>
        <w:t>trade</w:t>
      </w:r>
      <w:r>
        <w:rPr>
          <w:spacing w:val="5"/>
        </w:rPr>
        <w:t xml:space="preserve"> </w:t>
      </w:r>
      <w:r>
        <w:rPr>
          <w:spacing w:val="-1"/>
        </w:rPr>
        <w:t>union</w:t>
      </w:r>
      <w:r>
        <w:rPr>
          <w:spacing w:val="5"/>
        </w:rPr>
        <w:t xml:space="preserve"> </w:t>
      </w:r>
      <w:r>
        <w:rPr>
          <w:spacing w:val="-1"/>
        </w:rPr>
        <w:t>or</w:t>
      </w:r>
      <w:r>
        <w:rPr>
          <w:spacing w:val="6"/>
        </w:rPr>
        <w:t xml:space="preserve"> </w:t>
      </w:r>
      <w:r>
        <w:rPr>
          <w:spacing w:val="-1"/>
        </w:rPr>
        <w:t>other</w:t>
      </w:r>
      <w:r>
        <w:rPr>
          <w:spacing w:val="6"/>
        </w:rPr>
        <w:t xml:space="preserve"> </w:t>
      </w:r>
      <w:r>
        <w:rPr>
          <w:spacing w:val="-1"/>
        </w:rPr>
        <w:t>body</w:t>
      </w:r>
      <w:r>
        <w:rPr>
          <w:spacing w:val="3"/>
        </w:rPr>
        <w:t xml:space="preserve"> </w:t>
      </w:r>
      <w:r>
        <w:rPr>
          <w:spacing w:val="-1"/>
        </w:rPr>
        <w:t>or</w:t>
      </w:r>
      <w:r>
        <w:rPr>
          <w:spacing w:val="6"/>
        </w:rPr>
        <w:t xml:space="preserve"> </w:t>
      </w:r>
      <w:r>
        <w:rPr>
          <w:spacing w:val="-1"/>
        </w:rPr>
        <w:t>person</w:t>
      </w:r>
      <w:r>
        <w:rPr>
          <w:spacing w:val="5"/>
        </w:rPr>
        <w:t xml:space="preserve"> </w:t>
      </w:r>
      <w:r>
        <w:rPr>
          <w:spacing w:val="-1"/>
        </w:rPr>
        <w:t>representing</w:t>
      </w:r>
      <w:r>
        <w:rPr>
          <w:spacing w:val="7"/>
        </w:rPr>
        <w:t xml:space="preserve"> </w:t>
      </w:r>
      <w:r>
        <w:rPr>
          <w:spacing w:val="-1"/>
        </w:rPr>
        <w:t>any</w:t>
      </w:r>
      <w:r>
        <w:rPr>
          <w:spacing w:val="28"/>
        </w:rPr>
        <w:t xml:space="preserve"> </w:t>
      </w:r>
      <w:r>
        <w:rPr>
          <w:spacing w:val="-1"/>
        </w:rPr>
        <w:t>Transferring</w:t>
      </w:r>
      <w:r>
        <w:rPr>
          <w:spacing w:val="41"/>
        </w:rPr>
        <w:t xml:space="preserve"> </w:t>
      </w:r>
      <w:r>
        <w:rPr>
          <w:spacing w:val="-2"/>
        </w:rPr>
        <w:t>Supplier</w:t>
      </w:r>
      <w:r>
        <w:rPr>
          <w:spacing w:val="40"/>
        </w:rPr>
        <w:t xml:space="preserve"> </w:t>
      </w:r>
      <w:r>
        <w:rPr>
          <w:spacing w:val="-2"/>
        </w:rPr>
        <w:t>Employees</w:t>
      </w:r>
      <w:r>
        <w:rPr>
          <w:spacing w:val="37"/>
        </w:rPr>
        <w:t xml:space="preserve"> </w:t>
      </w:r>
      <w:r>
        <w:rPr>
          <w:spacing w:val="-1"/>
        </w:rPr>
        <w:t>arising</w:t>
      </w:r>
      <w:r>
        <w:rPr>
          <w:spacing w:val="39"/>
        </w:rPr>
        <w:t xml:space="preserve"> </w:t>
      </w:r>
      <w:r>
        <w:t>from</w:t>
      </w:r>
      <w:r>
        <w:rPr>
          <w:spacing w:val="38"/>
        </w:rPr>
        <w:t xml:space="preserve"> </w:t>
      </w:r>
      <w:r>
        <w:rPr>
          <w:spacing w:val="-2"/>
        </w:rPr>
        <w:t>or</w:t>
      </w:r>
      <w:r>
        <w:rPr>
          <w:spacing w:val="38"/>
        </w:rPr>
        <w:t xml:space="preserve"> </w:t>
      </w:r>
      <w:r>
        <w:rPr>
          <w:spacing w:val="-1"/>
        </w:rPr>
        <w:t>connected</w:t>
      </w:r>
      <w:r>
        <w:rPr>
          <w:spacing w:val="37"/>
        </w:rPr>
        <w:t xml:space="preserve"> </w:t>
      </w:r>
      <w:r>
        <w:rPr>
          <w:spacing w:val="-2"/>
        </w:rPr>
        <w:t>with</w:t>
      </w:r>
      <w:r>
        <w:rPr>
          <w:spacing w:val="36"/>
        </w:rPr>
        <w:t xml:space="preserve"> </w:t>
      </w:r>
      <w:r>
        <w:t>any</w:t>
      </w:r>
      <w:r>
        <w:rPr>
          <w:spacing w:val="49"/>
        </w:rPr>
        <w:t xml:space="preserve"> </w:t>
      </w:r>
      <w:r>
        <w:rPr>
          <w:spacing w:val="-1"/>
        </w:rPr>
        <w:t>failure</w:t>
      </w:r>
      <w:r>
        <w:rPr>
          <w:spacing w:val="61"/>
        </w:rPr>
        <w:t xml:space="preserve"> </w:t>
      </w:r>
      <w:r>
        <w:rPr>
          <w:spacing w:val="-1"/>
        </w:rPr>
        <w:t>by</w:t>
      </w:r>
      <w:r>
        <w:rPr>
          <w:spacing w:val="59"/>
        </w:rPr>
        <w:t xml:space="preserve"> </w:t>
      </w:r>
      <w:r>
        <w:t xml:space="preserve">the </w:t>
      </w:r>
      <w:r>
        <w:rPr>
          <w:spacing w:val="-1"/>
        </w:rPr>
        <w:t>Replacement</w:t>
      </w:r>
      <w:r>
        <w:rPr>
          <w:spacing w:val="2"/>
        </w:rPr>
        <w:t xml:space="preserve"> </w:t>
      </w:r>
      <w:r>
        <w:rPr>
          <w:spacing w:val="-2"/>
        </w:rPr>
        <w:t>Supplier</w:t>
      </w:r>
      <w:r>
        <w:rPr>
          <w:spacing w:val="2"/>
        </w:rPr>
        <w:t xml:space="preserve"> </w:t>
      </w:r>
      <w:r>
        <w:rPr>
          <w:spacing w:val="-1"/>
        </w:rPr>
        <w:t>and/or</w:t>
      </w:r>
      <w:r>
        <w:rPr>
          <w:spacing w:val="60"/>
        </w:rPr>
        <w:t xml:space="preserve"> </w:t>
      </w:r>
      <w:r>
        <w:rPr>
          <w:spacing w:val="-1"/>
        </w:rPr>
        <w:t>Replacement</w:t>
      </w:r>
      <w:r>
        <w:rPr>
          <w:spacing w:val="2"/>
        </w:rPr>
        <w:t xml:space="preserve"> </w:t>
      </w:r>
      <w:r>
        <w:rPr>
          <w:spacing w:val="-1"/>
        </w:rPr>
        <w:t>Sub-</w:t>
      </w:r>
      <w:r>
        <w:rPr>
          <w:spacing w:val="41"/>
        </w:rPr>
        <w:t xml:space="preserve"> </w:t>
      </w:r>
      <w:r>
        <w:rPr>
          <w:spacing w:val="-1"/>
        </w:rPr>
        <w:t>Contractor</w:t>
      </w:r>
      <w:r>
        <w:rPr>
          <w:spacing w:val="49"/>
        </w:rPr>
        <w:t xml:space="preserve"> </w:t>
      </w:r>
      <w:r>
        <w:t>to</w:t>
      </w:r>
      <w:r>
        <w:rPr>
          <w:spacing w:val="48"/>
        </w:rPr>
        <w:t xml:space="preserve"> </w:t>
      </w:r>
      <w:r>
        <w:rPr>
          <w:spacing w:val="-2"/>
        </w:rPr>
        <w:t>comply</w:t>
      </w:r>
      <w:r>
        <w:rPr>
          <w:spacing w:val="49"/>
        </w:rPr>
        <w:t xml:space="preserve"> </w:t>
      </w:r>
      <w:r>
        <w:t>with</w:t>
      </w:r>
      <w:r>
        <w:rPr>
          <w:spacing w:val="48"/>
        </w:rPr>
        <w:t xml:space="preserve"> </w:t>
      </w:r>
      <w:r>
        <w:rPr>
          <w:spacing w:val="-1"/>
        </w:rPr>
        <w:t>any</w:t>
      </w:r>
      <w:r>
        <w:rPr>
          <w:spacing w:val="46"/>
        </w:rPr>
        <w:t xml:space="preserve"> </w:t>
      </w:r>
      <w:r>
        <w:rPr>
          <w:spacing w:val="-1"/>
        </w:rPr>
        <w:t>legal</w:t>
      </w:r>
      <w:r>
        <w:rPr>
          <w:spacing w:val="47"/>
        </w:rPr>
        <w:t xml:space="preserve"> </w:t>
      </w:r>
      <w:r>
        <w:rPr>
          <w:spacing w:val="-1"/>
        </w:rPr>
        <w:t>obligation</w:t>
      </w:r>
      <w:r>
        <w:rPr>
          <w:spacing w:val="49"/>
        </w:rPr>
        <w:t xml:space="preserve"> </w:t>
      </w:r>
      <w:r>
        <w:t>to</w:t>
      </w:r>
      <w:r>
        <w:rPr>
          <w:spacing w:val="48"/>
        </w:rPr>
        <w:t xml:space="preserve"> </w:t>
      </w:r>
      <w:r>
        <w:rPr>
          <w:spacing w:val="-1"/>
        </w:rPr>
        <w:t>such</w:t>
      </w:r>
      <w:r>
        <w:rPr>
          <w:spacing w:val="49"/>
        </w:rPr>
        <w:t xml:space="preserve"> </w:t>
      </w:r>
      <w:r>
        <w:rPr>
          <w:spacing w:val="-1"/>
        </w:rPr>
        <w:t>trade</w:t>
      </w:r>
      <w:r>
        <w:rPr>
          <w:spacing w:val="48"/>
        </w:rPr>
        <w:t xml:space="preserve"> </w:t>
      </w:r>
      <w:r>
        <w:rPr>
          <w:spacing w:val="-2"/>
        </w:rPr>
        <w:t>union,</w:t>
      </w:r>
      <w:r>
        <w:rPr>
          <w:spacing w:val="62"/>
        </w:rPr>
        <w:t xml:space="preserve"> </w:t>
      </w:r>
      <w:r>
        <w:rPr>
          <w:spacing w:val="-1"/>
        </w:rPr>
        <w:t>body</w:t>
      </w:r>
      <w:r>
        <w:rPr>
          <w:spacing w:val="-2"/>
        </w:rPr>
        <w:t xml:space="preserve"> </w:t>
      </w:r>
      <w:r>
        <w:rPr>
          <w:spacing w:val="-1"/>
        </w:rPr>
        <w:t>or</w:t>
      </w:r>
      <w:r>
        <w:rPr>
          <w:spacing w:val="2"/>
        </w:rPr>
        <w:t xml:space="preserve"> </w:t>
      </w:r>
      <w:r>
        <w:rPr>
          <w:spacing w:val="-1"/>
        </w:rPr>
        <w:t>person</w:t>
      </w:r>
      <w:r>
        <w:rPr>
          <w:spacing w:val="-2"/>
        </w:rPr>
        <w:t xml:space="preserve"> arising</w:t>
      </w:r>
      <w:r>
        <w:rPr>
          <w:spacing w:val="3"/>
        </w:rPr>
        <w:t xml:space="preserve"> </w:t>
      </w:r>
      <w:r>
        <w:rPr>
          <w:spacing w:val="-2"/>
        </w:rPr>
        <w:t>on</w:t>
      </w:r>
      <w:r>
        <w:t xml:space="preserve"> </w:t>
      </w:r>
      <w:r>
        <w:rPr>
          <w:spacing w:val="-1"/>
        </w:rPr>
        <w:t xml:space="preserve">or after </w:t>
      </w:r>
      <w:r>
        <w:t>the</w:t>
      </w:r>
      <w:r>
        <w:rPr>
          <w:spacing w:val="-2"/>
        </w:rPr>
        <w:t xml:space="preserve"> Relevant</w:t>
      </w:r>
      <w:r>
        <w:rPr>
          <w:spacing w:val="2"/>
        </w:rPr>
        <w:t xml:space="preserve"> </w:t>
      </w:r>
      <w:r>
        <w:rPr>
          <w:spacing w:val="-1"/>
        </w:rPr>
        <w:t>Transfer Date;</w:t>
      </w:r>
    </w:p>
    <w:p w:rsidR="008918FA" w:rsidRDefault="008918FA" w:rsidP="008918FA">
      <w:pPr>
        <w:pStyle w:val="BodyText"/>
        <w:numPr>
          <w:ilvl w:val="2"/>
          <w:numId w:val="7"/>
        </w:numPr>
        <w:tabs>
          <w:tab w:val="left" w:pos="1886"/>
        </w:tabs>
        <w:spacing w:before="121"/>
        <w:ind w:left="1885" w:right="114" w:hanging="993"/>
        <w:jc w:val="both"/>
      </w:pPr>
      <w:r>
        <w:rPr>
          <w:spacing w:val="-1"/>
        </w:rPr>
        <w:t>any</w:t>
      </w:r>
      <w:r>
        <w:rPr>
          <w:spacing w:val="22"/>
        </w:rPr>
        <w:t xml:space="preserve"> </w:t>
      </w:r>
      <w:r>
        <w:rPr>
          <w:spacing w:val="-1"/>
        </w:rPr>
        <w:t>proposal</w:t>
      </w:r>
      <w:r>
        <w:rPr>
          <w:spacing w:val="24"/>
        </w:rPr>
        <w:t xml:space="preserve"> </w:t>
      </w:r>
      <w:r>
        <w:rPr>
          <w:spacing w:val="1"/>
        </w:rPr>
        <w:t>by</w:t>
      </w:r>
      <w:r>
        <w:rPr>
          <w:spacing w:val="22"/>
        </w:rPr>
        <w:t xml:space="preserve"> </w:t>
      </w:r>
      <w:r>
        <w:t>the</w:t>
      </w:r>
      <w:r>
        <w:rPr>
          <w:spacing w:val="24"/>
        </w:rPr>
        <w:t xml:space="preserve"> </w:t>
      </w:r>
      <w:r>
        <w:rPr>
          <w:spacing w:val="-1"/>
        </w:rPr>
        <w:t>Replacement</w:t>
      </w:r>
      <w:r>
        <w:rPr>
          <w:spacing w:val="26"/>
        </w:rPr>
        <w:t xml:space="preserve"> </w:t>
      </w:r>
      <w:r>
        <w:rPr>
          <w:spacing w:val="-2"/>
        </w:rPr>
        <w:t>Supplier</w:t>
      </w:r>
      <w:r>
        <w:rPr>
          <w:spacing w:val="26"/>
        </w:rPr>
        <w:t xml:space="preserve"> </w:t>
      </w:r>
      <w:r>
        <w:rPr>
          <w:spacing w:val="-1"/>
        </w:rPr>
        <w:t>and/or</w:t>
      </w:r>
      <w:r>
        <w:rPr>
          <w:spacing w:val="26"/>
        </w:rPr>
        <w:t xml:space="preserve"> </w:t>
      </w:r>
      <w:r>
        <w:rPr>
          <w:spacing w:val="-1"/>
        </w:rPr>
        <w:t>Replacement</w:t>
      </w:r>
      <w:r>
        <w:rPr>
          <w:spacing w:val="29"/>
        </w:rPr>
        <w:t xml:space="preserve"> </w:t>
      </w:r>
      <w:r>
        <w:rPr>
          <w:spacing w:val="-1"/>
        </w:rPr>
        <w:t>Sub-</w:t>
      </w:r>
      <w:r>
        <w:rPr>
          <w:spacing w:val="35"/>
        </w:rPr>
        <w:t xml:space="preserve"> </w:t>
      </w:r>
      <w:r>
        <w:rPr>
          <w:spacing w:val="-1"/>
        </w:rPr>
        <w:t>Contractor</w:t>
      </w:r>
      <w:r>
        <w:rPr>
          <w:spacing w:val="10"/>
        </w:rPr>
        <w:t xml:space="preserve"> </w:t>
      </w:r>
      <w:r>
        <w:t>to</w:t>
      </w:r>
      <w:r>
        <w:rPr>
          <w:spacing w:val="9"/>
        </w:rPr>
        <w:t xml:space="preserve"> </w:t>
      </w:r>
      <w:r>
        <w:rPr>
          <w:spacing w:val="-1"/>
        </w:rPr>
        <w:t>change</w:t>
      </w:r>
      <w:r>
        <w:rPr>
          <w:spacing w:val="9"/>
        </w:rPr>
        <w:t xml:space="preserve"> </w:t>
      </w:r>
      <w:r>
        <w:rPr>
          <w:spacing w:val="-1"/>
        </w:rPr>
        <w:t>the</w:t>
      </w:r>
      <w:r>
        <w:rPr>
          <w:spacing w:val="11"/>
        </w:rPr>
        <w:t xml:space="preserve"> </w:t>
      </w:r>
      <w:r>
        <w:rPr>
          <w:spacing w:val="-1"/>
        </w:rPr>
        <w:t>terms</w:t>
      </w:r>
      <w:r>
        <w:rPr>
          <w:spacing w:val="9"/>
        </w:rPr>
        <w:t xml:space="preserve"> </w:t>
      </w:r>
      <w:r>
        <w:rPr>
          <w:spacing w:val="-1"/>
        </w:rPr>
        <w:t>and</w:t>
      </w:r>
      <w:r>
        <w:rPr>
          <w:spacing w:val="11"/>
        </w:rPr>
        <w:t xml:space="preserve"> </w:t>
      </w:r>
      <w:r>
        <w:rPr>
          <w:spacing w:val="-1"/>
        </w:rPr>
        <w:t>conditions</w:t>
      </w:r>
      <w:r>
        <w:rPr>
          <w:spacing w:val="12"/>
        </w:rPr>
        <w:t xml:space="preserve"> </w:t>
      </w:r>
      <w:r>
        <w:rPr>
          <w:spacing w:val="-2"/>
        </w:rPr>
        <w:t>of</w:t>
      </w:r>
      <w:r>
        <w:rPr>
          <w:spacing w:val="13"/>
        </w:rPr>
        <w:t xml:space="preserve"> </w:t>
      </w:r>
      <w:r>
        <w:rPr>
          <w:spacing w:val="-1"/>
        </w:rPr>
        <w:t>employment</w:t>
      </w:r>
      <w:r>
        <w:rPr>
          <w:spacing w:val="10"/>
        </w:rPr>
        <w:t xml:space="preserve"> </w:t>
      </w:r>
      <w:r>
        <w:rPr>
          <w:spacing w:val="-1"/>
        </w:rPr>
        <w:t>or</w:t>
      </w:r>
      <w:r>
        <w:rPr>
          <w:spacing w:val="24"/>
        </w:rPr>
        <w:t xml:space="preserve"> </w:t>
      </w:r>
      <w:r>
        <w:rPr>
          <w:spacing w:val="-1"/>
        </w:rPr>
        <w:t>working</w:t>
      </w:r>
      <w:r>
        <w:rPr>
          <w:spacing w:val="15"/>
        </w:rPr>
        <w:t xml:space="preserve"> </w:t>
      </w:r>
      <w:r>
        <w:rPr>
          <w:spacing w:val="-1"/>
        </w:rPr>
        <w:t>conditions</w:t>
      </w:r>
      <w:r>
        <w:rPr>
          <w:spacing w:val="13"/>
        </w:rPr>
        <w:t xml:space="preserve"> </w:t>
      </w:r>
      <w:r>
        <w:rPr>
          <w:spacing w:val="-2"/>
        </w:rPr>
        <w:t>of</w:t>
      </w:r>
      <w:r>
        <w:rPr>
          <w:spacing w:val="16"/>
        </w:rPr>
        <w:t xml:space="preserve"> </w:t>
      </w:r>
      <w:r>
        <w:rPr>
          <w:spacing w:val="-2"/>
        </w:rPr>
        <w:t>any</w:t>
      </w:r>
      <w:r>
        <w:rPr>
          <w:spacing w:val="10"/>
        </w:rPr>
        <w:t xml:space="preserve"> </w:t>
      </w:r>
      <w:r>
        <w:rPr>
          <w:spacing w:val="-1"/>
        </w:rPr>
        <w:t>Transferring</w:t>
      </w:r>
      <w:r>
        <w:rPr>
          <w:spacing w:val="15"/>
        </w:rPr>
        <w:t xml:space="preserve"> </w:t>
      </w:r>
      <w:r>
        <w:rPr>
          <w:spacing w:val="-2"/>
        </w:rPr>
        <w:t>Supplier</w:t>
      </w:r>
      <w:r>
        <w:rPr>
          <w:spacing w:val="14"/>
        </w:rPr>
        <w:t xml:space="preserve"> </w:t>
      </w:r>
      <w:r>
        <w:rPr>
          <w:spacing w:val="-2"/>
        </w:rPr>
        <w:t>Employees</w:t>
      </w:r>
      <w:r>
        <w:rPr>
          <w:spacing w:val="13"/>
        </w:rPr>
        <w:t xml:space="preserve"> </w:t>
      </w:r>
      <w:r>
        <w:rPr>
          <w:spacing w:val="-1"/>
        </w:rPr>
        <w:t>on</w:t>
      </w:r>
      <w:r>
        <w:rPr>
          <w:spacing w:val="12"/>
        </w:rPr>
        <w:t xml:space="preserve"> </w:t>
      </w:r>
      <w:r>
        <w:rPr>
          <w:spacing w:val="-1"/>
        </w:rPr>
        <w:t>or</w:t>
      </w:r>
      <w:r>
        <w:rPr>
          <w:spacing w:val="14"/>
        </w:rPr>
        <w:t xml:space="preserve"> </w:t>
      </w:r>
      <w:r>
        <w:t>after</w:t>
      </w:r>
      <w:r>
        <w:rPr>
          <w:spacing w:val="53"/>
        </w:rPr>
        <w:t xml:space="preserve"> </w:t>
      </w:r>
      <w:r>
        <w:rPr>
          <w:spacing w:val="-1"/>
        </w:rPr>
        <w:t>their</w:t>
      </w:r>
      <w:r>
        <w:rPr>
          <w:spacing w:val="27"/>
        </w:rPr>
        <w:t xml:space="preserve"> </w:t>
      </w:r>
      <w:r>
        <w:rPr>
          <w:spacing w:val="-1"/>
        </w:rPr>
        <w:t>transfer</w:t>
      </w:r>
      <w:r>
        <w:rPr>
          <w:spacing w:val="27"/>
        </w:rPr>
        <w:t xml:space="preserve"> </w:t>
      </w:r>
      <w:r>
        <w:t>to</w:t>
      </w:r>
      <w:r>
        <w:rPr>
          <w:spacing w:val="26"/>
        </w:rPr>
        <w:t xml:space="preserve"> </w:t>
      </w:r>
      <w:r>
        <w:t>the</w:t>
      </w:r>
      <w:r>
        <w:rPr>
          <w:spacing w:val="26"/>
        </w:rPr>
        <w:t xml:space="preserve"> </w:t>
      </w:r>
      <w:r>
        <w:rPr>
          <w:spacing w:val="-2"/>
        </w:rPr>
        <w:t>Replacement</w:t>
      </w:r>
      <w:r>
        <w:rPr>
          <w:spacing w:val="27"/>
        </w:rPr>
        <w:t xml:space="preserve"> </w:t>
      </w:r>
      <w:r>
        <w:rPr>
          <w:spacing w:val="-2"/>
        </w:rPr>
        <w:t>Supplier</w:t>
      </w:r>
      <w:r>
        <w:rPr>
          <w:spacing w:val="27"/>
        </w:rPr>
        <w:t xml:space="preserve"> </w:t>
      </w:r>
      <w:r>
        <w:rPr>
          <w:spacing w:val="-1"/>
        </w:rPr>
        <w:t>or</w:t>
      </w:r>
      <w:r>
        <w:rPr>
          <w:spacing w:val="27"/>
        </w:rPr>
        <w:t xml:space="preserve"> </w:t>
      </w:r>
      <w:r>
        <w:rPr>
          <w:spacing w:val="-1"/>
        </w:rPr>
        <w:t>Replacement</w:t>
      </w:r>
      <w:r>
        <w:rPr>
          <w:spacing w:val="27"/>
        </w:rPr>
        <w:t xml:space="preserve"> </w:t>
      </w:r>
      <w:r>
        <w:rPr>
          <w:spacing w:val="-1"/>
        </w:rPr>
        <w:t>Sub-</w:t>
      </w:r>
      <w:r>
        <w:rPr>
          <w:spacing w:val="59"/>
        </w:rPr>
        <w:t xml:space="preserve"> </w:t>
      </w:r>
      <w:r>
        <w:rPr>
          <w:spacing w:val="-1"/>
        </w:rPr>
        <w:t>Contractor</w:t>
      </w:r>
      <w:r>
        <w:rPr>
          <w:spacing w:val="16"/>
        </w:rPr>
        <w:t xml:space="preserve"> </w:t>
      </w:r>
      <w:r>
        <w:rPr>
          <w:spacing w:val="-1"/>
        </w:rPr>
        <w:t>(as</w:t>
      </w:r>
      <w:r>
        <w:rPr>
          <w:spacing w:val="15"/>
        </w:rPr>
        <w:t xml:space="preserve"> </w:t>
      </w:r>
      <w:r>
        <w:t>the</w:t>
      </w:r>
      <w:r>
        <w:rPr>
          <w:spacing w:val="17"/>
        </w:rPr>
        <w:t xml:space="preserve"> </w:t>
      </w:r>
      <w:r>
        <w:rPr>
          <w:spacing w:val="-1"/>
        </w:rPr>
        <w:t>case</w:t>
      </w:r>
      <w:r>
        <w:rPr>
          <w:spacing w:val="13"/>
        </w:rPr>
        <w:t xml:space="preserve"> </w:t>
      </w:r>
      <w:r>
        <w:rPr>
          <w:spacing w:val="-1"/>
        </w:rPr>
        <w:t>may</w:t>
      </w:r>
      <w:r>
        <w:rPr>
          <w:spacing w:val="15"/>
        </w:rPr>
        <w:t xml:space="preserve"> </w:t>
      </w:r>
      <w:r>
        <w:rPr>
          <w:spacing w:val="-1"/>
        </w:rPr>
        <w:t>be)</w:t>
      </w:r>
      <w:r>
        <w:rPr>
          <w:spacing w:val="19"/>
        </w:rPr>
        <w:t xml:space="preserve"> </w:t>
      </w:r>
      <w:r>
        <w:rPr>
          <w:spacing w:val="-1"/>
        </w:rPr>
        <w:t>on</w:t>
      </w:r>
      <w:r>
        <w:rPr>
          <w:spacing w:val="15"/>
        </w:rPr>
        <w:t xml:space="preserve"> </w:t>
      </w:r>
      <w:r>
        <w:t>the</w:t>
      </w:r>
      <w:r>
        <w:rPr>
          <w:spacing w:val="17"/>
        </w:rPr>
        <w:t xml:space="preserve"> </w:t>
      </w:r>
      <w:r>
        <w:rPr>
          <w:spacing w:val="-2"/>
        </w:rPr>
        <w:t>Relevant</w:t>
      </w:r>
      <w:r>
        <w:rPr>
          <w:spacing w:val="16"/>
        </w:rPr>
        <w:t xml:space="preserve"> </w:t>
      </w:r>
      <w:r>
        <w:rPr>
          <w:spacing w:val="-1"/>
        </w:rPr>
        <w:t>Transfer</w:t>
      </w:r>
      <w:r>
        <w:rPr>
          <w:spacing w:val="16"/>
        </w:rPr>
        <w:t xml:space="preserve"> </w:t>
      </w:r>
      <w:r>
        <w:rPr>
          <w:spacing w:val="-1"/>
        </w:rPr>
        <w:t>Date,</w:t>
      </w:r>
      <w:r>
        <w:rPr>
          <w:spacing w:val="19"/>
        </w:rPr>
        <w:t xml:space="preserve"> </w:t>
      </w:r>
      <w:r>
        <w:rPr>
          <w:spacing w:val="-1"/>
        </w:rPr>
        <w:t>or</w:t>
      </w:r>
      <w:r>
        <w:rPr>
          <w:spacing w:val="16"/>
        </w:rPr>
        <w:t xml:space="preserve"> </w:t>
      </w:r>
      <w:r>
        <w:t>to</w:t>
      </w:r>
      <w:r>
        <w:rPr>
          <w:spacing w:val="47"/>
        </w:rPr>
        <w:t xml:space="preserve"> </w:t>
      </w:r>
      <w:r>
        <w:rPr>
          <w:spacing w:val="-1"/>
        </w:rPr>
        <w:t>change</w:t>
      </w:r>
      <w:r>
        <w:rPr>
          <w:spacing w:val="10"/>
        </w:rPr>
        <w:t xml:space="preserve"> </w:t>
      </w:r>
      <w:r>
        <w:t>the</w:t>
      </w:r>
      <w:r>
        <w:rPr>
          <w:spacing w:val="10"/>
        </w:rPr>
        <w:t xml:space="preserve"> </w:t>
      </w:r>
      <w:r>
        <w:rPr>
          <w:spacing w:val="-1"/>
        </w:rPr>
        <w:t>terms</w:t>
      </w:r>
      <w:r>
        <w:rPr>
          <w:spacing w:val="10"/>
        </w:rPr>
        <w:t xml:space="preserve"> </w:t>
      </w:r>
      <w:r>
        <w:rPr>
          <w:spacing w:val="-1"/>
        </w:rPr>
        <w:t>and</w:t>
      </w:r>
      <w:r>
        <w:rPr>
          <w:spacing w:val="12"/>
        </w:rPr>
        <w:t xml:space="preserve"> </w:t>
      </w:r>
      <w:r>
        <w:rPr>
          <w:spacing w:val="-2"/>
        </w:rPr>
        <w:t>conditions</w:t>
      </w:r>
      <w:r>
        <w:rPr>
          <w:spacing w:val="13"/>
        </w:rPr>
        <w:t xml:space="preserve"> </w:t>
      </w:r>
      <w:r>
        <w:rPr>
          <w:spacing w:val="-2"/>
        </w:rPr>
        <w:t>of</w:t>
      </w:r>
      <w:r>
        <w:rPr>
          <w:spacing w:val="16"/>
        </w:rPr>
        <w:t xml:space="preserve"> </w:t>
      </w:r>
      <w:r>
        <w:rPr>
          <w:spacing w:val="-2"/>
        </w:rPr>
        <w:t>employment</w:t>
      </w:r>
      <w:r>
        <w:rPr>
          <w:spacing w:val="11"/>
        </w:rPr>
        <w:t xml:space="preserve"> </w:t>
      </w:r>
      <w:r>
        <w:rPr>
          <w:spacing w:val="-1"/>
        </w:rPr>
        <w:t>or</w:t>
      </w:r>
      <w:r>
        <w:rPr>
          <w:spacing w:val="14"/>
        </w:rPr>
        <w:t xml:space="preserve"> </w:t>
      </w:r>
      <w:r>
        <w:rPr>
          <w:spacing w:val="-2"/>
        </w:rPr>
        <w:t>working</w:t>
      </w:r>
      <w:r>
        <w:rPr>
          <w:spacing w:val="12"/>
        </w:rPr>
        <w:t xml:space="preserve"> </w:t>
      </w:r>
      <w:r>
        <w:rPr>
          <w:spacing w:val="-1"/>
        </w:rPr>
        <w:t>conditions</w:t>
      </w:r>
      <w:r>
        <w:rPr>
          <w:spacing w:val="70"/>
        </w:rPr>
        <w:t xml:space="preserve"> </w:t>
      </w:r>
      <w:r>
        <w:rPr>
          <w:spacing w:val="-2"/>
        </w:rPr>
        <w:t>of</w:t>
      </w:r>
      <w:r>
        <w:rPr>
          <w:spacing w:val="9"/>
        </w:rPr>
        <w:t xml:space="preserve"> </w:t>
      </w:r>
      <w:r>
        <w:rPr>
          <w:spacing w:val="-1"/>
        </w:rPr>
        <w:t>any</w:t>
      </w:r>
      <w:r>
        <w:rPr>
          <w:spacing w:val="3"/>
        </w:rPr>
        <w:t xml:space="preserve"> </w:t>
      </w:r>
      <w:r>
        <w:rPr>
          <w:spacing w:val="-1"/>
        </w:rPr>
        <w:t>person</w:t>
      </w:r>
      <w:r>
        <w:rPr>
          <w:spacing w:val="5"/>
        </w:rPr>
        <w:t xml:space="preserve"> </w:t>
      </w:r>
      <w:r>
        <w:rPr>
          <w:spacing w:val="-2"/>
        </w:rPr>
        <w:t>who</w:t>
      </w:r>
      <w:r>
        <w:rPr>
          <w:spacing w:val="7"/>
        </w:rPr>
        <w:t xml:space="preserve"> </w:t>
      </w:r>
      <w:r>
        <w:rPr>
          <w:spacing w:val="-1"/>
        </w:rPr>
        <w:t>would</w:t>
      </w:r>
      <w:r>
        <w:rPr>
          <w:spacing w:val="5"/>
        </w:rPr>
        <w:t xml:space="preserve"> </w:t>
      </w:r>
      <w:r>
        <w:rPr>
          <w:spacing w:val="-2"/>
        </w:rPr>
        <w:t>have</w:t>
      </w:r>
      <w:r>
        <w:rPr>
          <w:spacing w:val="5"/>
        </w:rPr>
        <w:t xml:space="preserve"> </w:t>
      </w:r>
      <w:r>
        <w:rPr>
          <w:spacing w:val="-1"/>
        </w:rPr>
        <w:t>been</w:t>
      </w:r>
      <w:r>
        <w:rPr>
          <w:spacing w:val="5"/>
        </w:rPr>
        <w:t xml:space="preserve"> </w:t>
      </w:r>
      <w:r>
        <w:t>a</w:t>
      </w:r>
      <w:r>
        <w:rPr>
          <w:spacing w:val="5"/>
        </w:rPr>
        <w:t xml:space="preserve"> </w:t>
      </w:r>
      <w:r>
        <w:rPr>
          <w:spacing w:val="-1"/>
        </w:rPr>
        <w:t>Transferring</w:t>
      </w:r>
      <w:r>
        <w:rPr>
          <w:spacing w:val="7"/>
        </w:rPr>
        <w:t xml:space="preserve"> </w:t>
      </w:r>
      <w:r>
        <w:rPr>
          <w:spacing w:val="-2"/>
        </w:rPr>
        <w:t>Supplier</w:t>
      </w:r>
      <w:r>
        <w:rPr>
          <w:spacing w:val="6"/>
        </w:rPr>
        <w:t xml:space="preserve"> </w:t>
      </w:r>
      <w:r>
        <w:rPr>
          <w:spacing w:val="-2"/>
        </w:rPr>
        <w:t>Employee</w:t>
      </w:r>
      <w:r>
        <w:rPr>
          <w:spacing w:val="60"/>
        </w:rPr>
        <w:t xml:space="preserve"> </w:t>
      </w:r>
      <w:r>
        <w:rPr>
          <w:spacing w:val="-1"/>
        </w:rPr>
        <w:t>but</w:t>
      </w:r>
      <w:r>
        <w:rPr>
          <w:spacing w:val="5"/>
        </w:rPr>
        <w:t xml:space="preserve"> </w:t>
      </w:r>
      <w:r>
        <w:t>for</w:t>
      </w:r>
      <w:r>
        <w:rPr>
          <w:spacing w:val="5"/>
        </w:rPr>
        <w:t xml:space="preserve"> </w:t>
      </w:r>
      <w:r>
        <w:rPr>
          <w:spacing w:val="-1"/>
        </w:rPr>
        <w:t>their</w:t>
      </w:r>
      <w:r>
        <w:rPr>
          <w:spacing w:val="8"/>
        </w:rPr>
        <w:t xml:space="preserve"> </w:t>
      </w:r>
      <w:r>
        <w:rPr>
          <w:spacing w:val="-1"/>
        </w:rPr>
        <w:t>resignation</w:t>
      </w:r>
      <w:r>
        <w:rPr>
          <w:spacing w:val="4"/>
        </w:rPr>
        <w:t xml:space="preserve"> </w:t>
      </w:r>
      <w:r>
        <w:rPr>
          <w:spacing w:val="-1"/>
        </w:rPr>
        <w:t>(or</w:t>
      </w:r>
      <w:r>
        <w:rPr>
          <w:spacing w:val="8"/>
        </w:rPr>
        <w:t xml:space="preserve"> </w:t>
      </w:r>
      <w:r>
        <w:rPr>
          <w:spacing w:val="-1"/>
        </w:rPr>
        <w:t>decision</w:t>
      </w:r>
      <w:r>
        <w:rPr>
          <w:spacing w:val="6"/>
        </w:rPr>
        <w:t xml:space="preserve"> </w:t>
      </w:r>
      <w:r>
        <w:t>to</w:t>
      </w:r>
      <w:r>
        <w:rPr>
          <w:spacing w:val="6"/>
        </w:rPr>
        <w:t xml:space="preserve"> </w:t>
      </w:r>
      <w:r>
        <w:rPr>
          <w:spacing w:val="-1"/>
        </w:rPr>
        <w:t>treat</w:t>
      </w:r>
      <w:r>
        <w:rPr>
          <w:spacing w:val="5"/>
        </w:rPr>
        <w:t xml:space="preserve"> </w:t>
      </w:r>
      <w:r>
        <w:rPr>
          <w:spacing w:val="-2"/>
        </w:rPr>
        <w:t>their</w:t>
      </w:r>
      <w:r>
        <w:rPr>
          <w:spacing w:val="8"/>
        </w:rPr>
        <w:t xml:space="preserve"> </w:t>
      </w:r>
      <w:r>
        <w:rPr>
          <w:spacing w:val="-1"/>
        </w:rPr>
        <w:t>employment</w:t>
      </w:r>
      <w:r>
        <w:rPr>
          <w:spacing w:val="8"/>
        </w:rPr>
        <w:t xml:space="preserve"> </w:t>
      </w:r>
      <w:r>
        <w:rPr>
          <w:spacing w:val="-1"/>
        </w:rPr>
        <w:t>as</w:t>
      </w:r>
      <w:r>
        <w:rPr>
          <w:spacing w:val="32"/>
        </w:rPr>
        <w:t xml:space="preserve"> </w:t>
      </w:r>
      <w:r>
        <w:rPr>
          <w:spacing w:val="-1"/>
        </w:rPr>
        <w:t>terminated</w:t>
      </w:r>
      <w:r>
        <w:rPr>
          <w:spacing w:val="21"/>
        </w:rPr>
        <w:t xml:space="preserve"> </w:t>
      </w:r>
      <w:r>
        <w:rPr>
          <w:spacing w:val="-1"/>
        </w:rPr>
        <w:t>under</w:t>
      </w:r>
      <w:r>
        <w:rPr>
          <w:spacing w:val="22"/>
        </w:rPr>
        <w:t xml:space="preserve"> </w:t>
      </w:r>
      <w:r>
        <w:rPr>
          <w:spacing w:val="-1"/>
        </w:rPr>
        <w:t>regulation</w:t>
      </w:r>
      <w:r>
        <w:rPr>
          <w:spacing w:val="21"/>
        </w:rPr>
        <w:t xml:space="preserve"> </w:t>
      </w:r>
      <w:r>
        <w:rPr>
          <w:spacing w:val="-1"/>
        </w:rPr>
        <w:t>4(9)</w:t>
      </w:r>
      <w:r>
        <w:rPr>
          <w:spacing w:val="22"/>
        </w:rPr>
        <w:t xml:space="preserve"> </w:t>
      </w:r>
      <w:r>
        <w:rPr>
          <w:spacing w:val="-2"/>
        </w:rPr>
        <w:t>of</w:t>
      </w:r>
      <w:r>
        <w:rPr>
          <w:spacing w:val="24"/>
        </w:rPr>
        <w:t xml:space="preserve"> </w:t>
      </w:r>
      <w:r>
        <w:t>the</w:t>
      </w:r>
      <w:r>
        <w:rPr>
          <w:spacing w:val="21"/>
        </w:rPr>
        <w:t xml:space="preserve"> </w:t>
      </w:r>
      <w:r>
        <w:rPr>
          <w:spacing w:val="-1"/>
        </w:rPr>
        <w:t>Employment</w:t>
      </w:r>
      <w:r>
        <w:rPr>
          <w:spacing w:val="24"/>
        </w:rPr>
        <w:t xml:space="preserve"> </w:t>
      </w:r>
      <w:r>
        <w:rPr>
          <w:spacing w:val="-1"/>
        </w:rPr>
        <w:t>Regulations)</w:t>
      </w:r>
      <w:r>
        <w:rPr>
          <w:spacing w:val="22"/>
        </w:rPr>
        <w:t xml:space="preserve"> </w:t>
      </w:r>
      <w:r>
        <w:rPr>
          <w:spacing w:val="-1"/>
        </w:rPr>
        <w:t>before</w:t>
      </w:r>
      <w:r>
        <w:rPr>
          <w:spacing w:val="2"/>
        </w:rPr>
        <w:t xml:space="preserve"> </w:t>
      </w:r>
      <w:r>
        <w:t>the</w:t>
      </w:r>
      <w:r>
        <w:rPr>
          <w:spacing w:val="4"/>
        </w:rPr>
        <w:t xml:space="preserve"> </w:t>
      </w:r>
      <w:r>
        <w:rPr>
          <w:spacing w:val="-2"/>
        </w:rPr>
        <w:t>Relevant</w:t>
      </w:r>
      <w:r>
        <w:rPr>
          <w:spacing w:val="3"/>
        </w:rPr>
        <w:t xml:space="preserve"> </w:t>
      </w:r>
      <w:r>
        <w:rPr>
          <w:spacing w:val="-1"/>
        </w:rPr>
        <w:t>Transfer</w:t>
      </w:r>
      <w:r>
        <w:rPr>
          <w:spacing w:val="3"/>
        </w:rPr>
        <w:t xml:space="preserve"> </w:t>
      </w:r>
      <w:r>
        <w:rPr>
          <w:spacing w:val="-1"/>
        </w:rPr>
        <w:t>Date</w:t>
      </w:r>
      <w:r>
        <w:rPr>
          <w:spacing w:val="4"/>
        </w:rPr>
        <w:t xml:space="preserve"> </w:t>
      </w:r>
      <w:r>
        <w:rPr>
          <w:spacing w:val="-1"/>
        </w:rPr>
        <w:t>as</w:t>
      </w:r>
      <w:r>
        <w:rPr>
          <w:spacing w:val="2"/>
        </w:rPr>
        <w:t xml:space="preserve"> </w:t>
      </w:r>
      <w:r>
        <w:t>a</w:t>
      </w:r>
      <w:r>
        <w:rPr>
          <w:spacing w:val="4"/>
        </w:rPr>
        <w:t xml:space="preserve"> </w:t>
      </w:r>
      <w:r>
        <w:rPr>
          <w:spacing w:val="-1"/>
        </w:rPr>
        <w:t>result</w:t>
      </w:r>
      <w:r>
        <w:rPr>
          <w:spacing w:val="5"/>
        </w:rPr>
        <w:t xml:space="preserve"> </w:t>
      </w:r>
      <w:r>
        <w:rPr>
          <w:spacing w:val="-2"/>
        </w:rPr>
        <w:t>of</w:t>
      </w:r>
      <w:r>
        <w:rPr>
          <w:spacing w:val="5"/>
        </w:rPr>
        <w:t xml:space="preserve"> </w:t>
      </w:r>
      <w:r>
        <w:rPr>
          <w:spacing w:val="-1"/>
        </w:rPr>
        <w:t>or</w:t>
      </w:r>
      <w:r>
        <w:rPr>
          <w:spacing w:val="3"/>
        </w:rPr>
        <w:t xml:space="preserve"> </w:t>
      </w:r>
      <w:r>
        <w:t>for</w:t>
      </w:r>
      <w:r>
        <w:rPr>
          <w:spacing w:val="3"/>
        </w:rPr>
        <w:t xml:space="preserve"> </w:t>
      </w:r>
      <w:r>
        <w:t>a</w:t>
      </w:r>
      <w:r>
        <w:rPr>
          <w:spacing w:val="2"/>
        </w:rPr>
        <w:t xml:space="preserve"> </w:t>
      </w:r>
      <w:r>
        <w:rPr>
          <w:spacing w:val="-1"/>
        </w:rPr>
        <w:t>reason</w:t>
      </w:r>
      <w:r>
        <w:rPr>
          <w:spacing w:val="43"/>
        </w:rPr>
        <w:t xml:space="preserve"> </w:t>
      </w:r>
      <w:r>
        <w:rPr>
          <w:spacing w:val="-1"/>
        </w:rPr>
        <w:t>connected</w:t>
      </w:r>
      <w:r>
        <w:rPr>
          <w:spacing w:val="-2"/>
        </w:rPr>
        <w:t xml:space="preserve"> </w:t>
      </w:r>
      <w:r>
        <w:t>to</w:t>
      </w:r>
      <w:r>
        <w:rPr>
          <w:spacing w:val="-2"/>
        </w:rPr>
        <w:t xml:space="preserve"> </w:t>
      </w:r>
      <w:r>
        <w:rPr>
          <w:spacing w:val="-1"/>
        </w:rPr>
        <w:t>such</w:t>
      </w:r>
      <w:r>
        <w:rPr>
          <w:spacing w:val="1"/>
        </w:rPr>
        <w:t xml:space="preserve"> </w:t>
      </w:r>
      <w:r>
        <w:rPr>
          <w:spacing w:val="-2"/>
        </w:rPr>
        <w:t>proposed</w:t>
      </w:r>
      <w:r>
        <w:t xml:space="preserve"> </w:t>
      </w:r>
      <w:r>
        <w:rPr>
          <w:spacing w:val="-1"/>
        </w:rPr>
        <w:t>changes;</w:t>
      </w:r>
    </w:p>
    <w:p w:rsidR="008918FA" w:rsidRDefault="008918FA" w:rsidP="008918FA">
      <w:pPr>
        <w:pStyle w:val="BodyText"/>
        <w:numPr>
          <w:ilvl w:val="2"/>
          <w:numId w:val="7"/>
        </w:numPr>
        <w:tabs>
          <w:tab w:val="left" w:pos="1886"/>
        </w:tabs>
        <w:ind w:left="1885" w:right="114" w:hanging="993"/>
        <w:jc w:val="both"/>
      </w:pPr>
      <w:r>
        <w:rPr>
          <w:spacing w:val="-1"/>
        </w:rPr>
        <w:t>any</w:t>
      </w:r>
      <w:r>
        <w:rPr>
          <w:spacing w:val="10"/>
        </w:rPr>
        <w:t xml:space="preserve"> </w:t>
      </w:r>
      <w:r>
        <w:rPr>
          <w:spacing w:val="-1"/>
        </w:rPr>
        <w:t>statement</w:t>
      </w:r>
      <w:r>
        <w:rPr>
          <w:spacing w:val="11"/>
        </w:rPr>
        <w:t xml:space="preserve"> </w:t>
      </w:r>
      <w:r>
        <w:rPr>
          <w:spacing w:val="-1"/>
        </w:rPr>
        <w:t>communicated</w:t>
      </w:r>
      <w:r>
        <w:rPr>
          <w:spacing w:val="12"/>
        </w:rPr>
        <w:t xml:space="preserve"> </w:t>
      </w:r>
      <w:r>
        <w:t>to</w:t>
      </w:r>
      <w:r>
        <w:rPr>
          <w:spacing w:val="10"/>
        </w:rPr>
        <w:t xml:space="preserve"> </w:t>
      </w:r>
      <w:r>
        <w:rPr>
          <w:spacing w:val="-1"/>
        </w:rPr>
        <w:t>or</w:t>
      </w:r>
      <w:r>
        <w:rPr>
          <w:spacing w:val="11"/>
        </w:rPr>
        <w:t xml:space="preserve"> </w:t>
      </w:r>
      <w:r>
        <w:rPr>
          <w:spacing w:val="-1"/>
        </w:rPr>
        <w:t>action</w:t>
      </w:r>
      <w:r>
        <w:rPr>
          <w:spacing w:val="10"/>
        </w:rPr>
        <w:t xml:space="preserve"> </w:t>
      </w:r>
      <w:r>
        <w:rPr>
          <w:spacing w:val="-1"/>
        </w:rPr>
        <w:t>undertaken</w:t>
      </w:r>
      <w:r>
        <w:rPr>
          <w:spacing w:val="12"/>
        </w:rPr>
        <w:t xml:space="preserve"> </w:t>
      </w:r>
      <w:r>
        <w:rPr>
          <w:spacing w:val="-1"/>
        </w:rPr>
        <w:t>by</w:t>
      </w:r>
      <w:r>
        <w:rPr>
          <w:spacing w:val="10"/>
        </w:rPr>
        <w:t xml:space="preserve"> </w:t>
      </w:r>
      <w:r>
        <w:rPr>
          <w:spacing w:val="-1"/>
        </w:rPr>
        <w:t>the</w:t>
      </w:r>
      <w:r>
        <w:rPr>
          <w:spacing w:val="34"/>
        </w:rPr>
        <w:t xml:space="preserve"> </w:t>
      </w:r>
      <w:r>
        <w:rPr>
          <w:spacing w:val="-1"/>
        </w:rPr>
        <w:t>Replacement</w:t>
      </w:r>
      <w:r>
        <w:rPr>
          <w:spacing w:val="2"/>
        </w:rPr>
        <w:t xml:space="preserve"> </w:t>
      </w:r>
      <w:r>
        <w:rPr>
          <w:spacing w:val="-2"/>
        </w:rPr>
        <w:t>Supplier</w:t>
      </w:r>
      <w:r>
        <w:rPr>
          <w:spacing w:val="2"/>
        </w:rPr>
        <w:t xml:space="preserve"> </w:t>
      </w:r>
      <w:r>
        <w:rPr>
          <w:spacing w:val="-1"/>
        </w:rPr>
        <w:t>or Replacement</w:t>
      </w:r>
      <w:r>
        <w:rPr>
          <w:spacing w:val="2"/>
        </w:rPr>
        <w:t xml:space="preserve"> </w:t>
      </w:r>
      <w:r>
        <w:rPr>
          <w:spacing w:val="-1"/>
        </w:rPr>
        <w:t xml:space="preserve">Sub-Contractor </w:t>
      </w:r>
      <w:r>
        <w:t>to,</w:t>
      </w:r>
      <w:r>
        <w:rPr>
          <w:spacing w:val="2"/>
        </w:rPr>
        <w:t xml:space="preserve"> </w:t>
      </w:r>
      <w:r>
        <w:rPr>
          <w:spacing w:val="-1"/>
        </w:rPr>
        <w:t>or</w:t>
      </w:r>
      <w:r>
        <w:rPr>
          <w:spacing w:val="2"/>
        </w:rPr>
        <w:t xml:space="preserve"> </w:t>
      </w:r>
      <w:r>
        <w:rPr>
          <w:spacing w:val="-1"/>
        </w:rPr>
        <w:t>in</w:t>
      </w:r>
      <w:r>
        <w:t xml:space="preserve"> </w:t>
      </w:r>
      <w:r>
        <w:rPr>
          <w:spacing w:val="-1"/>
        </w:rPr>
        <w:t>respect</w:t>
      </w:r>
      <w:r>
        <w:rPr>
          <w:spacing w:val="31"/>
        </w:rPr>
        <w:t xml:space="preserve"> </w:t>
      </w:r>
      <w:r>
        <w:t>of,</w:t>
      </w:r>
      <w:r>
        <w:rPr>
          <w:spacing w:val="1"/>
        </w:rPr>
        <w:t xml:space="preserve"> </w:t>
      </w:r>
      <w:r>
        <w:rPr>
          <w:spacing w:val="-1"/>
        </w:rPr>
        <w:t>any</w:t>
      </w:r>
      <w:r>
        <w:t xml:space="preserve"> </w:t>
      </w:r>
      <w:r>
        <w:rPr>
          <w:spacing w:val="-1"/>
        </w:rPr>
        <w:t>Transferring</w:t>
      </w:r>
      <w:r>
        <w:rPr>
          <w:spacing w:val="4"/>
        </w:rPr>
        <w:t xml:space="preserve"> </w:t>
      </w:r>
      <w:r>
        <w:rPr>
          <w:spacing w:val="-2"/>
        </w:rPr>
        <w:t>Supplier</w:t>
      </w:r>
      <w:r>
        <w:rPr>
          <w:spacing w:val="3"/>
        </w:rPr>
        <w:t xml:space="preserve"> </w:t>
      </w:r>
      <w:r>
        <w:rPr>
          <w:spacing w:val="-2"/>
        </w:rPr>
        <w:t>Employee</w:t>
      </w:r>
      <w:r>
        <w:rPr>
          <w:spacing w:val="2"/>
        </w:rPr>
        <w:t xml:space="preserve"> </w:t>
      </w:r>
      <w:r>
        <w:rPr>
          <w:spacing w:val="-1"/>
        </w:rPr>
        <w:t>on</w:t>
      </w:r>
      <w:r>
        <w:rPr>
          <w:spacing w:val="2"/>
        </w:rPr>
        <w:t xml:space="preserve"> </w:t>
      </w:r>
      <w:r>
        <w:rPr>
          <w:spacing w:val="-1"/>
        </w:rPr>
        <w:t>or</w:t>
      </w:r>
      <w:r>
        <w:rPr>
          <w:spacing w:val="61"/>
        </w:rPr>
        <w:t xml:space="preserve"> </w:t>
      </w:r>
      <w:r>
        <w:rPr>
          <w:spacing w:val="-1"/>
        </w:rPr>
        <w:t>before</w:t>
      </w:r>
      <w:r>
        <w:rPr>
          <w:spacing w:val="60"/>
        </w:rPr>
        <w:t xml:space="preserve"> </w:t>
      </w:r>
      <w:r>
        <w:t>the</w:t>
      </w:r>
      <w:r>
        <w:rPr>
          <w:spacing w:val="2"/>
        </w:rPr>
        <w:t xml:space="preserve"> </w:t>
      </w:r>
      <w:r>
        <w:rPr>
          <w:spacing w:val="-2"/>
        </w:rPr>
        <w:t>Relevant</w:t>
      </w:r>
      <w:r>
        <w:rPr>
          <w:spacing w:val="50"/>
        </w:rPr>
        <w:t xml:space="preserve"> </w:t>
      </w:r>
      <w:r>
        <w:rPr>
          <w:spacing w:val="-1"/>
        </w:rPr>
        <w:t>Transfer</w:t>
      </w:r>
      <w:r>
        <w:rPr>
          <w:spacing w:val="49"/>
        </w:rPr>
        <w:t xml:space="preserve"> </w:t>
      </w:r>
      <w:r>
        <w:rPr>
          <w:spacing w:val="-1"/>
        </w:rPr>
        <w:t>Date</w:t>
      </w:r>
      <w:r>
        <w:rPr>
          <w:spacing w:val="48"/>
        </w:rPr>
        <w:t xml:space="preserve"> </w:t>
      </w:r>
      <w:r>
        <w:rPr>
          <w:spacing w:val="-1"/>
        </w:rPr>
        <w:t>regarding</w:t>
      </w:r>
      <w:r>
        <w:rPr>
          <w:spacing w:val="48"/>
        </w:rPr>
        <w:t xml:space="preserve"> </w:t>
      </w:r>
      <w:r>
        <w:t>the</w:t>
      </w:r>
      <w:r>
        <w:rPr>
          <w:spacing w:val="48"/>
        </w:rPr>
        <w:t xml:space="preserve"> </w:t>
      </w:r>
      <w:r>
        <w:rPr>
          <w:spacing w:val="-1"/>
        </w:rPr>
        <w:t>Relevant</w:t>
      </w:r>
      <w:r>
        <w:rPr>
          <w:spacing w:val="50"/>
        </w:rPr>
        <w:t xml:space="preserve"> </w:t>
      </w:r>
      <w:r>
        <w:rPr>
          <w:spacing w:val="-1"/>
        </w:rPr>
        <w:t>Transfer</w:t>
      </w:r>
      <w:r>
        <w:rPr>
          <w:spacing w:val="49"/>
        </w:rPr>
        <w:t xml:space="preserve"> </w:t>
      </w:r>
      <w:r>
        <w:rPr>
          <w:spacing w:val="-1"/>
        </w:rPr>
        <w:t>which</w:t>
      </w:r>
      <w:r>
        <w:rPr>
          <w:spacing w:val="50"/>
        </w:rPr>
        <w:t xml:space="preserve"> </w:t>
      </w:r>
      <w:r>
        <w:rPr>
          <w:spacing w:val="-1"/>
        </w:rPr>
        <w:t>has</w:t>
      </w:r>
      <w:r>
        <w:rPr>
          <w:spacing w:val="49"/>
        </w:rPr>
        <w:t xml:space="preserve"> </w:t>
      </w:r>
      <w:r>
        <w:rPr>
          <w:spacing w:val="-1"/>
        </w:rPr>
        <w:t>not</w:t>
      </w:r>
      <w:r>
        <w:rPr>
          <w:spacing w:val="50"/>
        </w:rPr>
        <w:t xml:space="preserve"> </w:t>
      </w:r>
      <w:r>
        <w:rPr>
          <w:spacing w:val="-1"/>
        </w:rPr>
        <w:t>been</w:t>
      </w:r>
      <w:r>
        <w:rPr>
          <w:spacing w:val="24"/>
        </w:rPr>
        <w:t xml:space="preserve"> </w:t>
      </w:r>
      <w:r>
        <w:rPr>
          <w:spacing w:val="-1"/>
        </w:rPr>
        <w:t>agreed</w:t>
      </w:r>
      <w:r>
        <w:t xml:space="preserve"> </w:t>
      </w:r>
      <w:r>
        <w:rPr>
          <w:spacing w:val="-1"/>
        </w:rPr>
        <w:t>in</w:t>
      </w:r>
      <w:r>
        <w:t xml:space="preserve"> </w:t>
      </w:r>
      <w:r>
        <w:rPr>
          <w:spacing w:val="-2"/>
        </w:rPr>
        <w:t>advance</w:t>
      </w:r>
      <w:r>
        <w:rPr>
          <w:spacing w:val="1"/>
        </w:rPr>
        <w:t xml:space="preserve"> </w:t>
      </w:r>
      <w:r>
        <w:rPr>
          <w:spacing w:val="-2"/>
        </w:rPr>
        <w:t>with</w:t>
      </w:r>
      <w:r>
        <w:t xml:space="preserve"> </w:t>
      </w:r>
      <w:r>
        <w:rPr>
          <w:spacing w:val="-1"/>
        </w:rPr>
        <w:t>the</w:t>
      </w:r>
      <w:r>
        <w:t xml:space="preserve"> </w:t>
      </w:r>
      <w:r>
        <w:rPr>
          <w:spacing w:val="-2"/>
        </w:rPr>
        <w:t>Supplier</w:t>
      </w:r>
      <w:r>
        <w:rPr>
          <w:spacing w:val="2"/>
        </w:rPr>
        <w:t xml:space="preserve"> </w:t>
      </w:r>
      <w:r>
        <w:rPr>
          <w:spacing w:val="-1"/>
        </w:rPr>
        <w:t>in</w:t>
      </w:r>
      <w:r>
        <w:t xml:space="preserve"> </w:t>
      </w:r>
      <w:r>
        <w:rPr>
          <w:spacing w:val="-2"/>
        </w:rPr>
        <w:t>writing;</w:t>
      </w:r>
    </w:p>
    <w:p w:rsidR="008918FA" w:rsidRDefault="008918FA" w:rsidP="008918FA">
      <w:pPr>
        <w:pStyle w:val="BodyText"/>
        <w:numPr>
          <w:ilvl w:val="2"/>
          <w:numId w:val="7"/>
        </w:numPr>
        <w:tabs>
          <w:tab w:val="left" w:pos="1886"/>
        </w:tabs>
        <w:ind w:left="1885" w:right="114" w:hanging="993"/>
        <w:jc w:val="both"/>
      </w:pPr>
      <w:r>
        <w:rPr>
          <w:spacing w:val="-1"/>
        </w:rPr>
        <w:t>any</w:t>
      </w:r>
      <w:r>
        <w:rPr>
          <w:spacing w:val="1"/>
        </w:rPr>
        <w:t xml:space="preserve"> </w:t>
      </w:r>
      <w:r>
        <w:rPr>
          <w:spacing w:val="-1"/>
        </w:rPr>
        <w:t>proceeding,</w:t>
      </w:r>
      <w:r>
        <w:rPr>
          <w:spacing w:val="4"/>
        </w:rPr>
        <w:t xml:space="preserve"> </w:t>
      </w:r>
      <w:r>
        <w:rPr>
          <w:spacing w:val="-1"/>
        </w:rPr>
        <w:t>claim</w:t>
      </w:r>
      <w:r>
        <w:rPr>
          <w:spacing w:val="4"/>
        </w:rPr>
        <w:t xml:space="preserve"> </w:t>
      </w:r>
      <w:r>
        <w:rPr>
          <w:spacing w:val="-2"/>
        </w:rPr>
        <w:t>or</w:t>
      </w:r>
      <w:r>
        <w:rPr>
          <w:spacing w:val="2"/>
        </w:rPr>
        <w:t xml:space="preserve"> </w:t>
      </w:r>
      <w:r>
        <w:rPr>
          <w:spacing w:val="-1"/>
        </w:rPr>
        <w:t>demand</w:t>
      </w:r>
      <w:r>
        <w:t xml:space="preserve"> </w:t>
      </w:r>
      <w:r>
        <w:rPr>
          <w:spacing w:val="-1"/>
        </w:rPr>
        <w:t>by</w:t>
      </w:r>
      <w:r>
        <w:rPr>
          <w:spacing w:val="1"/>
        </w:rPr>
        <w:t xml:space="preserve"> </w:t>
      </w:r>
      <w:r>
        <w:rPr>
          <w:spacing w:val="-2"/>
        </w:rPr>
        <w:t>HMRC</w:t>
      </w:r>
      <w:r>
        <w:rPr>
          <w:spacing w:val="2"/>
        </w:rPr>
        <w:t xml:space="preserve"> </w:t>
      </w:r>
      <w:r>
        <w:rPr>
          <w:spacing w:val="-1"/>
        </w:rPr>
        <w:t>or</w:t>
      </w:r>
      <w:r>
        <w:rPr>
          <w:spacing w:val="4"/>
        </w:rPr>
        <w:t xml:space="preserve"> </w:t>
      </w:r>
      <w:r>
        <w:rPr>
          <w:spacing w:val="-1"/>
        </w:rPr>
        <w:t>other</w:t>
      </w:r>
      <w:r>
        <w:rPr>
          <w:spacing w:val="4"/>
        </w:rPr>
        <w:t xml:space="preserve"> </w:t>
      </w:r>
      <w:r>
        <w:rPr>
          <w:spacing w:val="-1"/>
        </w:rPr>
        <w:t>statutory</w:t>
      </w:r>
      <w:r>
        <w:rPr>
          <w:spacing w:val="1"/>
        </w:rPr>
        <w:t xml:space="preserve"> </w:t>
      </w:r>
      <w:r>
        <w:rPr>
          <w:spacing w:val="-1"/>
        </w:rPr>
        <w:t>authority</w:t>
      </w:r>
      <w:r>
        <w:rPr>
          <w:spacing w:val="35"/>
        </w:rPr>
        <w:t xml:space="preserve"> </w:t>
      </w:r>
      <w:r>
        <w:rPr>
          <w:spacing w:val="-1"/>
        </w:rPr>
        <w:t>in</w:t>
      </w:r>
      <w:r>
        <w:rPr>
          <w:spacing w:val="5"/>
        </w:rPr>
        <w:t xml:space="preserve"> </w:t>
      </w:r>
      <w:r>
        <w:rPr>
          <w:spacing w:val="-1"/>
        </w:rPr>
        <w:t>respect</w:t>
      </w:r>
      <w:r>
        <w:rPr>
          <w:spacing w:val="7"/>
        </w:rPr>
        <w:t xml:space="preserve"> </w:t>
      </w:r>
      <w:r>
        <w:rPr>
          <w:spacing w:val="-2"/>
        </w:rPr>
        <w:t>of</w:t>
      </w:r>
      <w:r>
        <w:rPr>
          <w:spacing w:val="7"/>
        </w:rPr>
        <w:t xml:space="preserve"> </w:t>
      </w:r>
      <w:r>
        <w:rPr>
          <w:spacing w:val="-1"/>
        </w:rPr>
        <w:t>any</w:t>
      </w:r>
      <w:r>
        <w:rPr>
          <w:spacing w:val="1"/>
        </w:rPr>
        <w:t xml:space="preserve"> </w:t>
      </w:r>
      <w:r>
        <w:rPr>
          <w:spacing w:val="-1"/>
        </w:rPr>
        <w:t>financial</w:t>
      </w:r>
      <w:r>
        <w:rPr>
          <w:spacing w:val="4"/>
        </w:rPr>
        <w:t xml:space="preserve"> </w:t>
      </w:r>
      <w:r>
        <w:rPr>
          <w:spacing w:val="-1"/>
        </w:rPr>
        <w:t>obligation</w:t>
      </w:r>
      <w:r>
        <w:rPr>
          <w:spacing w:val="5"/>
        </w:rPr>
        <w:t xml:space="preserve"> </w:t>
      </w:r>
      <w:r>
        <w:rPr>
          <w:spacing w:val="-1"/>
        </w:rPr>
        <w:t>including,</w:t>
      </w:r>
      <w:r>
        <w:rPr>
          <w:spacing w:val="7"/>
        </w:rPr>
        <w:t xml:space="preserve"> </w:t>
      </w:r>
      <w:r>
        <w:rPr>
          <w:spacing w:val="-2"/>
        </w:rPr>
        <w:t>but</w:t>
      </w:r>
      <w:r>
        <w:rPr>
          <w:spacing w:val="7"/>
        </w:rPr>
        <w:t xml:space="preserve"> </w:t>
      </w:r>
      <w:r>
        <w:rPr>
          <w:spacing w:val="-1"/>
        </w:rPr>
        <w:t>not</w:t>
      </w:r>
      <w:r>
        <w:rPr>
          <w:spacing w:val="7"/>
        </w:rPr>
        <w:t xml:space="preserve"> </w:t>
      </w:r>
      <w:r>
        <w:rPr>
          <w:spacing w:val="-2"/>
        </w:rPr>
        <w:t>limited</w:t>
      </w:r>
      <w:r>
        <w:rPr>
          <w:spacing w:val="5"/>
        </w:rPr>
        <w:t xml:space="preserve"> </w:t>
      </w:r>
      <w:r>
        <w:rPr>
          <w:spacing w:val="-1"/>
        </w:rPr>
        <w:t>to,</w:t>
      </w:r>
      <w:r>
        <w:rPr>
          <w:spacing w:val="7"/>
        </w:rPr>
        <w:t xml:space="preserve"> </w:t>
      </w:r>
      <w:r>
        <w:rPr>
          <w:spacing w:val="-1"/>
        </w:rPr>
        <w:t>PAYE</w:t>
      </w:r>
      <w:r>
        <w:rPr>
          <w:spacing w:val="51"/>
        </w:rPr>
        <w:t xml:space="preserve"> </w:t>
      </w:r>
      <w:r>
        <w:rPr>
          <w:spacing w:val="-1"/>
        </w:rPr>
        <w:t>and</w:t>
      </w:r>
      <w:r>
        <w:t xml:space="preserve"> </w:t>
      </w:r>
      <w:r>
        <w:rPr>
          <w:spacing w:val="-1"/>
        </w:rPr>
        <w:t>primary</w:t>
      </w:r>
      <w:r>
        <w:rPr>
          <w:spacing w:val="-2"/>
        </w:rPr>
        <w:t xml:space="preserve"> </w:t>
      </w:r>
      <w:r>
        <w:rPr>
          <w:spacing w:val="-1"/>
        </w:rPr>
        <w:t>and</w:t>
      </w:r>
      <w:r>
        <w:t xml:space="preserve"> </w:t>
      </w:r>
      <w:r>
        <w:rPr>
          <w:spacing w:val="-1"/>
        </w:rPr>
        <w:t>secondary</w:t>
      </w:r>
      <w:r>
        <w:rPr>
          <w:spacing w:val="-2"/>
        </w:rPr>
        <w:t xml:space="preserve"> </w:t>
      </w:r>
      <w:r>
        <w:rPr>
          <w:spacing w:val="-1"/>
        </w:rPr>
        <w:t>national</w:t>
      </w:r>
      <w:r>
        <w:t xml:space="preserve"> </w:t>
      </w:r>
      <w:r>
        <w:rPr>
          <w:spacing w:val="-1"/>
        </w:rPr>
        <w:t>insurance</w:t>
      </w:r>
      <w:r>
        <w:rPr>
          <w:spacing w:val="-2"/>
        </w:rPr>
        <w:t xml:space="preserve"> </w:t>
      </w:r>
      <w:r>
        <w:rPr>
          <w:spacing w:val="-1"/>
        </w:rPr>
        <w:t>contributions:</w:t>
      </w:r>
    </w:p>
    <w:p w:rsidR="008918FA" w:rsidRDefault="008918FA" w:rsidP="008918FA">
      <w:pPr>
        <w:pStyle w:val="BodyText"/>
        <w:numPr>
          <w:ilvl w:val="3"/>
          <w:numId w:val="7"/>
        </w:numPr>
        <w:tabs>
          <w:tab w:val="left" w:pos="2594"/>
        </w:tabs>
        <w:ind w:left="2593" w:right="115"/>
        <w:jc w:val="both"/>
      </w:pPr>
      <w:r>
        <w:rPr>
          <w:spacing w:val="-1"/>
        </w:rPr>
        <w:t>in</w:t>
      </w:r>
      <w:r>
        <w:rPr>
          <w:spacing w:val="12"/>
        </w:rPr>
        <w:t xml:space="preserve"> </w:t>
      </w:r>
      <w:r>
        <w:rPr>
          <w:spacing w:val="-1"/>
        </w:rPr>
        <w:t>relation</w:t>
      </w:r>
      <w:r>
        <w:rPr>
          <w:spacing w:val="12"/>
        </w:rPr>
        <w:t xml:space="preserve"> </w:t>
      </w:r>
      <w:r>
        <w:t>to</w:t>
      </w:r>
      <w:r>
        <w:rPr>
          <w:spacing w:val="12"/>
        </w:rPr>
        <w:t xml:space="preserve"> </w:t>
      </w:r>
      <w:r>
        <w:rPr>
          <w:spacing w:val="-1"/>
        </w:rPr>
        <w:t>any</w:t>
      </w:r>
      <w:r>
        <w:rPr>
          <w:spacing w:val="8"/>
        </w:rPr>
        <w:t xml:space="preserve"> </w:t>
      </w:r>
      <w:r>
        <w:rPr>
          <w:spacing w:val="-1"/>
        </w:rPr>
        <w:t>Transferring</w:t>
      </w:r>
      <w:r>
        <w:rPr>
          <w:spacing w:val="15"/>
        </w:rPr>
        <w:t xml:space="preserve"> </w:t>
      </w:r>
      <w:r>
        <w:rPr>
          <w:spacing w:val="-2"/>
        </w:rPr>
        <w:t>Supplier</w:t>
      </w:r>
      <w:r>
        <w:rPr>
          <w:spacing w:val="14"/>
        </w:rPr>
        <w:t xml:space="preserve"> </w:t>
      </w:r>
      <w:r>
        <w:rPr>
          <w:spacing w:val="-2"/>
        </w:rPr>
        <w:t>Employee,</w:t>
      </w:r>
      <w:r>
        <w:rPr>
          <w:spacing w:val="14"/>
        </w:rPr>
        <w:t xml:space="preserve"> </w:t>
      </w:r>
      <w:r>
        <w:t>to</w:t>
      </w:r>
      <w:r>
        <w:rPr>
          <w:spacing w:val="10"/>
        </w:rPr>
        <w:t xml:space="preserve"> </w:t>
      </w:r>
      <w:r>
        <w:t>the</w:t>
      </w:r>
      <w:r>
        <w:rPr>
          <w:spacing w:val="10"/>
        </w:rPr>
        <w:t xml:space="preserve"> </w:t>
      </w:r>
      <w:r>
        <w:rPr>
          <w:spacing w:val="-1"/>
        </w:rPr>
        <w:t>extent</w:t>
      </w:r>
      <w:r>
        <w:rPr>
          <w:spacing w:val="44"/>
        </w:rPr>
        <w:t xml:space="preserve"> </w:t>
      </w:r>
      <w:r>
        <w:rPr>
          <w:spacing w:val="-1"/>
        </w:rPr>
        <w:t>that</w:t>
      </w:r>
      <w:r>
        <w:rPr>
          <w:spacing w:val="22"/>
        </w:rPr>
        <w:t xml:space="preserve"> </w:t>
      </w:r>
      <w:r>
        <w:t>the</w:t>
      </w:r>
      <w:r>
        <w:rPr>
          <w:spacing w:val="21"/>
        </w:rPr>
        <w:t xml:space="preserve"> </w:t>
      </w:r>
      <w:r>
        <w:rPr>
          <w:spacing w:val="-1"/>
        </w:rPr>
        <w:t>proceeding,</w:t>
      </w:r>
      <w:r>
        <w:rPr>
          <w:spacing w:val="22"/>
        </w:rPr>
        <w:t xml:space="preserve"> </w:t>
      </w:r>
      <w:r>
        <w:rPr>
          <w:spacing w:val="-2"/>
        </w:rPr>
        <w:t>claim</w:t>
      </w:r>
      <w:r>
        <w:rPr>
          <w:spacing w:val="22"/>
        </w:rPr>
        <w:t xml:space="preserve"> </w:t>
      </w:r>
      <w:r>
        <w:rPr>
          <w:spacing w:val="-1"/>
        </w:rPr>
        <w:t>or</w:t>
      </w:r>
      <w:r>
        <w:rPr>
          <w:spacing w:val="22"/>
        </w:rPr>
        <w:t xml:space="preserve"> </w:t>
      </w:r>
      <w:r>
        <w:rPr>
          <w:spacing w:val="-1"/>
        </w:rPr>
        <w:t>demand</w:t>
      </w:r>
      <w:r>
        <w:rPr>
          <w:spacing w:val="21"/>
        </w:rPr>
        <w:t xml:space="preserve"> </w:t>
      </w:r>
      <w:r>
        <w:rPr>
          <w:spacing w:val="-1"/>
        </w:rPr>
        <w:t>by</w:t>
      </w:r>
      <w:r>
        <w:rPr>
          <w:spacing w:val="19"/>
        </w:rPr>
        <w:t xml:space="preserve"> </w:t>
      </w:r>
      <w:r>
        <w:rPr>
          <w:spacing w:val="-2"/>
        </w:rPr>
        <w:t>HMRC</w:t>
      </w:r>
      <w:r>
        <w:rPr>
          <w:spacing w:val="20"/>
        </w:rPr>
        <w:t xml:space="preserve"> </w:t>
      </w:r>
      <w:r>
        <w:rPr>
          <w:spacing w:val="-1"/>
        </w:rPr>
        <w:t>or</w:t>
      </w:r>
      <w:r>
        <w:rPr>
          <w:spacing w:val="22"/>
        </w:rPr>
        <w:t xml:space="preserve"> </w:t>
      </w:r>
      <w:r>
        <w:rPr>
          <w:spacing w:val="-1"/>
        </w:rPr>
        <w:t>other</w:t>
      </w:r>
      <w:r>
        <w:rPr>
          <w:spacing w:val="30"/>
        </w:rPr>
        <w:t xml:space="preserve"> </w:t>
      </w:r>
      <w:r>
        <w:rPr>
          <w:spacing w:val="-1"/>
        </w:rPr>
        <w:t>statutory</w:t>
      </w:r>
      <w:r>
        <w:rPr>
          <w:spacing w:val="41"/>
        </w:rPr>
        <w:t xml:space="preserve"> </w:t>
      </w:r>
      <w:r>
        <w:rPr>
          <w:spacing w:val="-1"/>
        </w:rPr>
        <w:t>authority</w:t>
      </w:r>
      <w:r>
        <w:rPr>
          <w:spacing w:val="41"/>
        </w:rPr>
        <w:t xml:space="preserve"> </w:t>
      </w:r>
      <w:r>
        <w:rPr>
          <w:spacing w:val="-1"/>
        </w:rPr>
        <w:t>relates</w:t>
      </w:r>
      <w:r>
        <w:rPr>
          <w:spacing w:val="44"/>
        </w:rPr>
        <w:t xml:space="preserve"> </w:t>
      </w:r>
      <w:r>
        <w:t>to</w:t>
      </w:r>
      <w:r>
        <w:rPr>
          <w:spacing w:val="41"/>
        </w:rPr>
        <w:t xml:space="preserve"> </w:t>
      </w:r>
      <w:r>
        <w:rPr>
          <w:spacing w:val="-1"/>
        </w:rPr>
        <w:t>financial</w:t>
      </w:r>
      <w:r>
        <w:rPr>
          <w:spacing w:val="43"/>
        </w:rPr>
        <w:t xml:space="preserve"> </w:t>
      </w:r>
      <w:r>
        <w:rPr>
          <w:spacing w:val="-1"/>
        </w:rPr>
        <w:t>obligations</w:t>
      </w:r>
      <w:r>
        <w:rPr>
          <w:spacing w:val="44"/>
        </w:rPr>
        <w:t xml:space="preserve"> </w:t>
      </w:r>
      <w:r>
        <w:rPr>
          <w:spacing w:val="-1"/>
        </w:rPr>
        <w:t>arising</w:t>
      </w:r>
      <w:r>
        <w:rPr>
          <w:spacing w:val="47"/>
        </w:rPr>
        <w:t xml:space="preserve"> </w:t>
      </w:r>
      <w:r>
        <w:rPr>
          <w:spacing w:val="-2"/>
        </w:rPr>
        <w:t>after</w:t>
      </w:r>
      <w:r>
        <w:rPr>
          <w:spacing w:val="42"/>
        </w:rPr>
        <w:t xml:space="preserve"> </w:t>
      </w:r>
      <w:r>
        <w:t xml:space="preserve">the </w:t>
      </w:r>
      <w:r>
        <w:rPr>
          <w:spacing w:val="-2"/>
        </w:rPr>
        <w:t xml:space="preserve">Service </w:t>
      </w:r>
      <w:r>
        <w:rPr>
          <w:spacing w:val="-1"/>
        </w:rPr>
        <w:t>Transfer</w:t>
      </w:r>
      <w:r>
        <w:rPr>
          <w:spacing w:val="2"/>
        </w:rPr>
        <w:t xml:space="preserve"> </w:t>
      </w:r>
      <w:r>
        <w:rPr>
          <w:spacing w:val="-2"/>
        </w:rPr>
        <w:t>Date;</w:t>
      </w:r>
      <w:r>
        <w:rPr>
          <w:spacing w:val="2"/>
        </w:rPr>
        <w:t xml:space="preserve"> </w:t>
      </w:r>
      <w:r>
        <w:rPr>
          <w:spacing w:val="-1"/>
        </w:rPr>
        <w:t>and</w:t>
      </w:r>
    </w:p>
    <w:p w:rsidR="008918FA" w:rsidRDefault="008918FA" w:rsidP="008918FA">
      <w:pPr>
        <w:pStyle w:val="BodyText"/>
        <w:numPr>
          <w:ilvl w:val="3"/>
          <w:numId w:val="7"/>
        </w:numPr>
        <w:tabs>
          <w:tab w:val="left" w:pos="2594"/>
        </w:tabs>
        <w:spacing w:before="121"/>
        <w:ind w:left="2593" w:right="113"/>
        <w:jc w:val="both"/>
      </w:pPr>
      <w:r>
        <w:rPr>
          <w:spacing w:val="-1"/>
        </w:rPr>
        <w:t>in</w:t>
      </w:r>
      <w:r>
        <w:rPr>
          <w:spacing w:val="22"/>
        </w:rPr>
        <w:t xml:space="preserve"> </w:t>
      </w:r>
      <w:r>
        <w:rPr>
          <w:spacing w:val="-1"/>
        </w:rPr>
        <w:t>relation</w:t>
      </w:r>
      <w:r>
        <w:rPr>
          <w:spacing w:val="22"/>
        </w:rPr>
        <w:t xml:space="preserve"> </w:t>
      </w:r>
      <w:r>
        <w:t>to</w:t>
      </w:r>
      <w:r>
        <w:rPr>
          <w:spacing w:val="22"/>
        </w:rPr>
        <w:t xml:space="preserve"> </w:t>
      </w:r>
      <w:r>
        <w:rPr>
          <w:spacing w:val="-1"/>
        </w:rPr>
        <w:t>any</w:t>
      </w:r>
      <w:r>
        <w:rPr>
          <w:spacing w:val="20"/>
        </w:rPr>
        <w:t xml:space="preserve"> </w:t>
      </w:r>
      <w:r>
        <w:rPr>
          <w:spacing w:val="-1"/>
        </w:rPr>
        <w:t>employee</w:t>
      </w:r>
      <w:r>
        <w:rPr>
          <w:spacing w:val="24"/>
        </w:rPr>
        <w:t xml:space="preserve"> </w:t>
      </w:r>
      <w:r>
        <w:rPr>
          <w:spacing w:val="-2"/>
        </w:rPr>
        <w:t>who</w:t>
      </w:r>
      <w:r>
        <w:rPr>
          <w:spacing w:val="24"/>
        </w:rPr>
        <w:t xml:space="preserve"> </w:t>
      </w:r>
      <w:r>
        <w:rPr>
          <w:spacing w:val="-1"/>
        </w:rPr>
        <w:t>is</w:t>
      </w:r>
      <w:r>
        <w:rPr>
          <w:spacing w:val="22"/>
        </w:rPr>
        <w:t xml:space="preserve"> </w:t>
      </w:r>
      <w:r>
        <w:rPr>
          <w:spacing w:val="-1"/>
        </w:rPr>
        <w:t>not</w:t>
      </w:r>
      <w:r>
        <w:rPr>
          <w:spacing w:val="23"/>
        </w:rPr>
        <w:t xml:space="preserve"> </w:t>
      </w:r>
      <w:r>
        <w:t>a</w:t>
      </w:r>
      <w:r>
        <w:rPr>
          <w:spacing w:val="22"/>
        </w:rPr>
        <w:t xml:space="preserve"> </w:t>
      </w:r>
      <w:r>
        <w:rPr>
          <w:spacing w:val="-1"/>
        </w:rPr>
        <w:t>Transferring</w:t>
      </w:r>
      <w:r>
        <w:rPr>
          <w:spacing w:val="24"/>
        </w:rPr>
        <w:t xml:space="preserve"> </w:t>
      </w:r>
      <w:r>
        <w:rPr>
          <w:spacing w:val="-2"/>
        </w:rPr>
        <w:t>Supplier</w:t>
      </w:r>
      <w:r>
        <w:rPr>
          <w:spacing w:val="34"/>
        </w:rPr>
        <w:t xml:space="preserve"> </w:t>
      </w:r>
      <w:r>
        <w:rPr>
          <w:spacing w:val="-2"/>
        </w:rPr>
        <w:t>Employee,</w:t>
      </w:r>
      <w:r>
        <w:rPr>
          <w:spacing w:val="32"/>
        </w:rPr>
        <w:t xml:space="preserve"> </w:t>
      </w:r>
      <w:r>
        <w:rPr>
          <w:spacing w:val="-1"/>
        </w:rPr>
        <w:t>and</w:t>
      </w:r>
      <w:r>
        <w:rPr>
          <w:spacing w:val="30"/>
        </w:rPr>
        <w:t xml:space="preserve"> </w:t>
      </w:r>
      <w:r>
        <w:rPr>
          <w:spacing w:val="-1"/>
        </w:rPr>
        <w:t>in</w:t>
      </w:r>
      <w:r>
        <w:rPr>
          <w:spacing w:val="30"/>
        </w:rPr>
        <w:t xml:space="preserve"> </w:t>
      </w:r>
      <w:r>
        <w:rPr>
          <w:spacing w:val="-1"/>
        </w:rPr>
        <w:t>respect</w:t>
      </w:r>
      <w:r>
        <w:rPr>
          <w:spacing w:val="32"/>
        </w:rPr>
        <w:t xml:space="preserve"> </w:t>
      </w:r>
      <w:r>
        <w:rPr>
          <w:spacing w:val="-2"/>
        </w:rPr>
        <w:t>of</w:t>
      </w:r>
      <w:r>
        <w:rPr>
          <w:spacing w:val="34"/>
        </w:rPr>
        <w:t xml:space="preserve"> </w:t>
      </w:r>
      <w:r>
        <w:rPr>
          <w:spacing w:val="-2"/>
        </w:rPr>
        <w:t>whom</w:t>
      </w:r>
      <w:r>
        <w:rPr>
          <w:spacing w:val="32"/>
        </w:rPr>
        <w:t xml:space="preserve"> </w:t>
      </w:r>
      <w:r>
        <w:rPr>
          <w:spacing w:val="-1"/>
        </w:rPr>
        <w:t>it</w:t>
      </w:r>
      <w:r>
        <w:rPr>
          <w:spacing w:val="33"/>
        </w:rPr>
        <w:t xml:space="preserve"> </w:t>
      </w:r>
      <w:r>
        <w:rPr>
          <w:spacing w:val="-1"/>
        </w:rPr>
        <w:t>is</w:t>
      </w:r>
      <w:r>
        <w:rPr>
          <w:spacing w:val="31"/>
        </w:rPr>
        <w:t xml:space="preserve"> </w:t>
      </w:r>
      <w:r>
        <w:t>later</w:t>
      </w:r>
      <w:r>
        <w:rPr>
          <w:spacing w:val="32"/>
        </w:rPr>
        <w:t xml:space="preserve"> </w:t>
      </w:r>
      <w:r>
        <w:rPr>
          <w:spacing w:val="-1"/>
        </w:rPr>
        <w:t>alleged</w:t>
      </w:r>
      <w:r>
        <w:rPr>
          <w:spacing w:val="30"/>
        </w:rPr>
        <w:t xml:space="preserve"> </w:t>
      </w:r>
      <w:r>
        <w:rPr>
          <w:spacing w:val="-1"/>
        </w:rPr>
        <w:t>or</w:t>
      </w:r>
      <w:r>
        <w:rPr>
          <w:spacing w:val="38"/>
        </w:rPr>
        <w:t xml:space="preserve"> </w:t>
      </w:r>
      <w:r>
        <w:rPr>
          <w:spacing w:val="-1"/>
        </w:rPr>
        <w:t>determined</w:t>
      </w:r>
      <w:r>
        <w:rPr>
          <w:spacing w:val="24"/>
        </w:rPr>
        <w:t xml:space="preserve"> </w:t>
      </w:r>
      <w:r>
        <w:rPr>
          <w:spacing w:val="-1"/>
        </w:rPr>
        <w:t>that</w:t>
      </w:r>
      <w:r>
        <w:rPr>
          <w:spacing w:val="26"/>
        </w:rPr>
        <w:t xml:space="preserve"> </w:t>
      </w:r>
      <w:r>
        <w:t>the</w:t>
      </w:r>
      <w:r>
        <w:rPr>
          <w:spacing w:val="24"/>
        </w:rPr>
        <w:t xml:space="preserve"> </w:t>
      </w:r>
      <w:r>
        <w:rPr>
          <w:spacing w:val="-2"/>
        </w:rPr>
        <w:t>Employment</w:t>
      </w:r>
      <w:r>
        <w:rPr>
          <w:spacing w:val="26"/>
        </w:rPr>
        <w:t xml:space="preserve"> </w:t>
      </w:r>
      <w:r>
        <w:rPr>
          <w:spacing w:val="-1"/>
        </w:rPr>
        <w:t>Regulations</w:t>
      </w:r>
      <w:r>
        <w:rPr>
          <w:spacing w:val="25"/>
        </w:rPr>
        <w:t xml:space="preserve"> </w:t>
      </w:r>
      <w:r>
        <w:rPr>
          <w:spacing w:val="-2"/>
        </w:rPr>
        <w:t>applied</w:t>
      </w:r>
      <w:r>
        <w:rPr>
          <w:spacing w:val="24"/>
        </w:rPr>
        <w:t xml:space="preserve"> </w:t>
      </w:r>
      <w:r>
        <w:rPr>
          <w:spacing w:val="-1"/>
        </w:rPr>
        <w:t>so</w:t>
      </w:r>
      <w:r>
        <w:rPr>
          <w:spacing w:val="25"/>
        </w:rPr>
        <w:t xml:space="preserve"> </w:t>
      </w:r>
      <w:r>
        <w:rPr>
          <w:spacing w:val="-1"/>
        </w:rPr>
        <w:t>as</w:t>
      </w:r>
      <w:r>
        <w:rPr>
          <w:spacing w:val="27"/>
        </w:rPr>
        <w:t xml:space="preserve"> </w:t>
      </w:r>
      <w:r>
        <w:t>to</w:t>
      </w:r>
      <w:r>
        <w:rPr>
          <w:spacing w:val="51"/>
        </w:rPr>
        <w:t xml:space="preserve"> </w:t>
      </w:r>
      <w:r>
        <w:rPr>
          <w:spacing w:val="-1"/>
        </w:rPr>
        <w:t>transfer</w:t>
      </w:r>
      <w:r>
        <w:rPr>
          <w:spacing w:val="16"/>
        </w:rPr>
        <w:t xml:space="preserve"> </w:t>
      </w:r>
      <w:r>
        <w:rPr>
          <w:spacing w:val="-1"/>
        </w:rPr>
        <w:t>his/her</w:t>
      </w:r>
      <w:r>
        <w:rPr>
          <w:spacing w:val="16"/>
        </w:rPr>
        <w:t xml:space="preserve"> </w:t>
      </w:r>
      <w:r>
        <w:rPr>
          <w:spacing w:val="-2"/>
        </w:rPr>
        <w:t>employment</w:t>
      </w:r>
      <w:r>
        <w:rPr>
          <w:spacing w:val="14"/>
        </w:rPr>
        <w:t xml:space="preserve"> </w:t>
      </w:r>
      <w:r>
        <w:t>from</w:t>
      </w:r>
      <w:r>
        <w:rPr>
          <w:spacing w:val="16"/>
        </w:rPr>
        <w:t xml:space="preserve"> </w:t>
      </w:r>
      <w:r>
        <w:t>the</w:t>
      </w:r>
      <w:r>
        <w:rPr>
          <w:spacing w:val="15"/>
        </w:rPr>
        <w:t xml:space="preserve"> </w:t>
      </w:r>
      <w:r>
        <w:rPr>
          <w:spacing w:val="-2"/>
        </w:rPr>
        <w:t>Supplier</w:t>
      </w:r>
      <w:r>
        <w:rPr>
          <w:spacing w:val="16"/>
        </w:rPr>
        <w:t xml:space="preserve"> </w:t>
      </w:r>
      <w:r>
        <w:rPr>
          <w:spacing w:val="-1"/>
        </w:rPr>
        <w:t>or</w:t>
      </w:r>
      <w:r>
        <w:rPr>
          <w:spacing w:val="16"/>
        </w:rPr>
        <w:t xml:space="preserve"> </w:t>
      </w:r>
      <w:r>
        <w:rPr>
          <w:spacing w:val="-1"/>
        </w:rPr>
        <w:t>Sub-</w:t>
      </w:r>
      <w:r>
        <w:rPr>
          <w:spacing w:val="39"/>
        </w:rPr>
        <w:t xml:space="preserve"> </w:t>
      </w:r>
      <w:r>
        <w:rPr>
          <w:spacing w:val="-1"/>
        </w:rPr>
        <w:t>Contractor,</w:t>
      </w:r>
      <w:r>
        <w:rPr>
          <w:spacing w:val="21"/>
        </w:rPr>
        <w:t xml:space="preserve"> </w:t>
      </w:r>
      <w:r>
        <w:t>to</w:t>
      </w:r>
      <w:r>
        <w:rPr>
          <w:spacing w:val="20"/>
        </w:rPr>
        <w:t xml:space="preserve"> </w:t>
      </w:r>
      <w:r>
        <w:t>the</w:t>
      </w:r>
      <w:r>
        <w:rPr>
          <w:spacing w:val="20"/>
        </w:rPr>
        <w:t xml:space="preserve"> </w:t>
      </w:r>
      <w:r>
        <w:rPr>
          <w:spacing w:val="-1"/>
        </w:rPr>
        <w:t>Replacement</w:t>
      </w:r>
      <w:r>
        <w:rPr>
          <w:spacing w:val="21"/>
        </w:rPr>
        <w:t xml:space="preserve"> </w:t>
      </w:r>
      <w:r>
        <w:rPr>
          <w:spacing w:val="-2"/>
        </w:rPr>
        <w:t>Supplier</w:t>
      </w:r>
      <w:r>
        <w:rPr>
          <w:spacing w:val="21"/>
        </w:rPr>
        <w:t xml:space="preserve"> </w:t>
      </w:r>
      <w:r>
        <w:rPr>
          <w:spacing w:val="-1"/>
        </w:rPr>
        <w:t>or</w:t>
      </w:r>
      <w:r>
        <w:rPr>
          <w:spacing w:val="21"/>
        </w:rPr>
        <w:t xml:space="preserve"> </w:t>
      </w:r>
      <w:r>
        <w:rPr>
          <w:spacing w:val="-1"/>
        </w:rPr>
        <w:t>Replacement</w:t>
      </w:r>
      <w:r>
        <w:rPr>
          <w:spacing w:val="23"/>
        </w:rPr>
        <w:t xml:space="preserve"> </w:t>
      </w:r>
      <w:r>
        <w:rPr>
          <w:spacing w:val="-1"/>
        </w:rPr>
        <w:t>Sub-</w:t>
      </w:r>
      <w:r>
        <w:rPr>
          <w:spacing w:val="29"/>
        </w:rPr>
        <w:t xml:space="preserve"> </w:t>
      </w:r>
      <w:r>
        <w:rPr>
          <w:spacing w:val="-1"/>
        </w:rPr>
        <w:t>Contractor</w:t>
      </w:r>
      <w:r>
        <w:rPr>
          <w:spacing w:val="23"/>
        </w:rPr>
        <w:t xml:space="preserve"> </w:t>
      </w:r>
      <w:r>
        <w:t>to</w:t>
      </w:r>
      <w:r>
        <w:rPr>
          <w:spacing w:val="22"/>
        </w:rPr>
        <w:t xml:space="preserve"> </w:t>
      </w:r>
      <w:r>
        <w:t>the</w:t>
      </w:r>
      <w:r>
        <w:rPr>
          <w:spacing w:val="24"/>
        </w:rPr>
        <w:t xml:space="preserve"> </w:t>
      </w:r>
      <w:r>
        <w:rPr>
          <w:spacing w:val="-1"/>
        </w:rPr>
        <w:t>extent</w:t>
      </w:r>
      <w:r>
        <w:rPr>
          <w:spacing w:val="23"/>
        </w:rPr>
        <w:t xml:space="preserve"> </w:t>
      </w:r>
      <w:r>
        <w:rPr>
          <w:spacing w:val="-1"/>
        </w:rPr>
        <w:t>that</w:t>
      </w:r>
      <w:r>
        <w:rPr>
          <w:spacing w:val="23"/>
        </w:rPr>
        <w:t xml:space="preserve"> </w:t>
      </w:r>
      <w:r>
        <w:t>the</w:t>
      </w:r>
      <w:r>
        <w:rPr>
          <w:spacing w:val="24"/>
        </w:rPr>
        <w:t xml:space="preserve"> </w:t>
      </w:r>
      <w:r>
        <w:rPr>
          <w:spacing w:val="-1"/>
        </w:rPr>
        <w:t>proceeding,</w:t>
      </w:r>
      <w:r>
        <w:rPr>
          <w:spacing w:val="23"/>
        </w:rPr>
        <w:t xml:space="preserve"> </w:t>
      </w:r>
      <w:r>
        <w:rPr>
          <w:spacing w:val="-1"/>
        </w:rPr>
        <w:t>claim</w:t>
      </w:r>
      <w:r>
        <w:rPr>
          <w:spacing w:val="26"/>
        </w:rPr>
        <w:t xml:space="preserve"> </w:t>
      </w:r>
      <w:r>
        <w:rPr>
          <w:spacing w:val="-1"/>
        </w:rPr>
        <w:t>or</w:t>
      </w:r>
      <w:r>
        <w:rPr>
          <w:spacing w:val="26"/>
        </w:rPr>
        <w:t xml:space="preserve"> </w:t>
      </w:r>
      <w:r>
        <w:rPr>
          <w:spacing w:val="-2"/>
        </w:rPr>
        <w:t>demand</w:t>
      </w:r>
      <w:r>
        <w:rPr>
          <w:spacing w:val="30"/>
        </w:rPr>
        <w:t xml:space="preserve"> </w:t>
      </w:r>
      <w:r>
        <w:rPr>
          <w:spacing w:val="-1"/>
        </w:rPr>
        <w:t>by</w:t>
      </w:r>
      <w:r>
        <w:rPr>
          <w:spacing w:val="35"/>
        </w:rPr>
        <w:t xml:space="preserve"> </w:t>
      </w:r>
      <w:r>
        <w:rPr>
          <w:spacing w:val="-1"/>
        </w:rPr>
        <w:t>HMRC</w:t>
      </w:r>
      <w:r>
        <w:rPr>
          <w:spacing w:val="37"/>
        </w:rPr>
        <w:t xml:space="preserve"> </w:t>
      </w:r>
      <w:r>
        <w:rPr>
          <w:spacing w:val="-1"/>
        </w:rPr>
        <w:t>or</w:t>
      </w:r>
      <w:r>
        <w:rPr>
          <w:spacing w:val="39"/>
        </w:rPr>
        <w:t xml:space="preserve"> </w:t>
      </w:r>
      <w:r>
        <w:rPr>
          <w:spacing w:val="-1"/>
        </w:rPr>
        <w:t>other</w:t>
      </w:r>
      <w:r>
        <w:rPr>
          <w:spacing w:val="39"/>
        </w:rPr>
        <w:t xml:space="preserve"> </w:t>
      </w:r>
      <w:r>
        <w:rPr>
          <w:spacing w:val="-1"/>
        </w:rPr>
        <w:t>statutory</w:t>
      </w:r>
      <w:r>
        <w:rPr>
          <w:spacing w:val="35"/>
        </w:rPr>
        <w:t xml:space="preserve"> </w:t>
      </w:r>
      <w:r>
        <w:rPr>
          <w:spacing w:val="-1"/>
        </w:rPr>
        <w:t>authority</w:t>
      </w:r>
      <w:r>
        <w:rPr>
          <w:spacing w:val="35"/>
        </w:rPr>
        <w:t xml:space="preserve"> </w:t>
      </w:r>
      <w:r>
        <w:rPr>
          <w:spacing w:val="-1"/>
        </w:rPr>
        <w:t>relates</w:t>
      </w:r>
      <w:r>
        <w:rPr>
          <w:spacing w:val="39"/>
        </w:rPr>
        <w:t xml:space="preserve"> </w:t>
      </w:r>
      <w:r>
        <w:t>to</w:t>
      </w:r>
      <w:r>
        <w:rPr>
          <w:spacing w:val="35"/>
        </w:rPr>
        <w:t xml:space="preserve"> </w:t>
      </w:r>
      <w:r>
        <w:rPr>
          <w:spacing w:val="-1"/>
        </w:rPr>
        <w:t>financial</w:t>
      </w:r>
      <w:r>
        <w:rPr>
          <w:spacing w:val="40"/>
        </w:rPr>
        <w:t xml:space="preserve"> </w:t>
      </w:r>
      <w:r>
        <w:rPr>
          <w:spacing w:val="-1"/>
        </w:rPr>
        <w:t>obligations</w:t>
      </w:r>
      <w:r>
        <w:rPr>
          <w:spacing w:val="1"/>
        </w:rPr>
        <w:t xml:space="preserve"> </w:t>
      </w:r>
      <w:r>
        <w:rPr>
          <w:spacing w:val="-2"/>
        </w:rPr>
        <w:t>arising</w:t>
      </w:r>
      <w:r>
        <w:t xml:space="preserve"> </w:t>
      </w:r>
      <w:r>
        <w:rPr>
          <w:spacing w:val="-1"/>
        </w:rPr>
        <w:t>after the</w:t>
      </w:r>
      <w:r>
        <w:t xml:space="preserve"> </w:t>
      </w:r>
      <w:r>
        <w:rPr>
          <w:spacing w:val="-2"/>
        </w:rPr>
        <w:t>Service</w:t>
      </w:r>
      <w:r>
        <w:rPr>
          <w:spacing w:val="1"/>
        </w:rPr>
        <w:t xml:space="preserve"> </w:t>
      </w:r>
      <w:r>
        <w:rPr>
          <w:spacing w:val="-1"/>
        </w:rPr>
        <w:t>Transfer Date;</w:t>
      </w:r>
    </w:p>
    <w:p w:rsidR="008918FA" w:rsidRDefault="008918FA" w:rsidP="008918FA">
      <w:pPr>
        <w:pStyle w:val="BodyText"/>
        <w:numPr>
          <w:ilvl w:val="2"/>
          <w:numId w:val="7"/>
        </w:numPr>
        <w:tabs>
          <w:tab w:val="left" w:pos="1886"/>
        </w:tabs>
        <w:ind w:left="1885" w:right="114"/>
        <w:jc w:val="both"/>
      </w:pPr>
      <w:r>
        <w:t>a</w:t>
      </w:r>
      <w:r>
        <w:rPr>
          <w:spacing w:val="15"/>
        </w:rPr>
        <w:t xml:space="preserve"> </w:t>
      </w:r>
      <w:r>
        <w:rPr>
          <w:spacing w:val="-1"/>
        </w:rPr>
        <w:t>failure</w:t>
      </w:r>
      <w:r>
        <w:rPr>
          <w:spacing w:val="17"/>
        </w:rPr>
        <w:t xml:space="preserve"> </w:t>
      </w:r>
      <w:r>
        <w:rPr>
          <w:spacing w:val="-2"/>
        </w:rPr>
        <w:t>of</w:t>
      </w:r>
      <w:r>
        <w:rPr>
          <w:spacing w:val="16"/>
        </w:rPr>
        <w:t xml:space="preserve"> </w:t>
      </w:r>
      <w:r>
        <w:t>the</w:t>
      </w:r>
      <w:r>
        <w:rPr>
          <w:spacing w:val="17"/>
        </w:rPr>
        <w:t xml:space="preserve"> </w:t>
      </w:r>
      <w:r>
        <w:rPr>
          <w:spacing w:val="-2"/>
        </w:rPr>
        <w:t>Replacement</w:t>
      </w:r>
      <w:r>
        <w:rPr>
          <w:spacing w:val="16"/>
        </w:rPr>
        <w:t xml:space="preserve"> </w:t>
      </w:r>
      <w:r>
        <w:rPr>
          <w:spacing w:val="-2"/>
        </w:rPr>
        <w:t>Supplier</w:t>
      </w:r>
      <w:r>
        <w:rPr>
          <w:spacing w:val="19"/>
        </w:rPr>
        <w:t xml:space="preserve"> </w:t>
      </w:r>
      <w:r>
        <w:rPr>
          <w:spacing w:val="-1"/>
        </w:rPr>
        <w:t>or</w:t>
      </w:r>
      <w:r>
        <w:rPr>
          <w:spacing w:val="16"/>
        </w:rPr>
        <w:t xml:space="preserve"> </w:t>
      </w:r>
      <w:r>
        <w:rPr>
          <w:spacing w:val="-1"/>
        </w:rPr>
        <w:t>Replacement</w:t>
      </w:r>
      <w:r>
        <w:rPr>
          <w:spacing w:val="16"/>
        </w:rPr>
        <w:t xml:space="preserve"> </w:t>
      </w:r>
      <w:r>
        <w:rPr>
          <w:spacing w:val="-1"/>
        </w:rPr>
        <w:t>Sub-Contractor</w:t>
      </w:r>
      <w:r>
        <w:rPr>
          <w:spacing w:val="50"/>
        </w:rPr>
        <w:t xml:space="preserve"> </w:t>
      </w:r>
      <w:r>
        <w:t>to</w:t>
      </w:r>
      <w:r>
        <w:rPr>
          <w:spacing w:val="41"/>
        </w:rPr>
        <w:t xml:space="preserve"> </w:t>
      </w:r>
      <w:r>
        <w:rPr>
          <w:spacing w:val="-1"/>
        </w:rPr>
        <w:t>discharge</w:t>
      </w:r>
      <w:r>
        <w:rPr>
          <w:spacing w:val="41"/>
        </w:rPr>
        <w:t xml:space="preserve"> </w:t>
      </w:r>
      <w:r>
        <w:rPr>
          <w:spacing w:val="-1"/>
        </w:rPr>
        <w:t>or</w:t>
      </w:r>
      <w:r>
        <w:rPr>
          <w:spacing w:val="42"/>
        </w:rPr>
        <w:t xml:space="preserve"> </w:t>
      </w:r>
      <w:r>
        <w:rPr>
          <w:spacing w:val="-1"/>
        </w:rPr>
        <w:t>procure</w:t>
      </w:r>
      <w:r>
        <w:rPr>
          <w:spacing w:val="38"/>
        </w:rPr>
        <w:t xml:space="preserve"> </w:t>
      </w:r>
      <w:r>
        <w:t>the</w:t>
      </w:r>
      <w:r>
        <w:rPr>
          <w:spacing w:val="41"/>
        </w:rPr>
        <w:t xml:space="preserve"> </w:t>
      </w:r>
      <w:r>
        <w:rPr>
          <w:spacing w:val="-1"/>
        </w:rPr>
        <w:t>discharge</w:t>
      </w:r>
      <w:r>
        <w:rPr>
          <w:spacing w:val="41"/>
        </w:rPr>
        <w:t xml:space="preserve"> </w:t>
      </w:r>
      <w:r>
        <w:rPr>
          <w:spacing w:val="-2"/>
        </w:rPr>
        <w:t>of</w:t>
      </w:r>
      <w:r>
        <w:rPr>
          <w:spacing w:val="46"/>
        </w:rPr>
        <w:t xml:space="preserve"> </w:t>
      </w:r>
      <w:r>
        <w:rPr>
          <w:spacing w:val="-1"/>
        </w:rPr>
        <w:t>all</w:t>
      </w:r>
      <w:r>
        <w:rPr>
          <w:spacing w:val="40"/>
        </w:rPr>
        <w:t xml:space="preserve"> </w:t>
      </w:r>
      <w:r>
        <w:rPr>
          <w:spacing w:val="-1"/>
        </w:rPr>
        <w:t>wages,</w:t>
      </w:r>
      <w:r>
        <w:rPr>
          <w:spacing w:val="42"/>
        </w:rPr>
        <w:t xml:space="preserve"> </w:t>
      </w:r>
      <w:r>
        <w:rPr>
          <w:spacing w:val="-1"/>
        </w:rPr>
        <w:t>salaries</w:t>
      </w:r>
      <w:r>
        <w:rPr>
          <w:spacing w:val="41"/>
        </w:rPr>
        <w:t xml:space="preserve"> </w:t>
      </w:r>
      <w:r>
        <w:rPr>
          <w:spacing w:val="-1"/>
        </w:rPr>
        <w:t>and</w:t>
      </w:r>
      <w:r>
        <w:rPr>
          <w:spacing w:val="41"/>
        </w:rPr>
        <w:t xml:space="preserve"> </w:t>
      </w:r>
      <w:r>
        <w:rPr>
          <w:spacing w:val="-1"/>
        </w:rPr>
        <w:t>all</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right="114" w:firstLine="0"/>
        <w:jc w:val="both"/>
      </w:pPr>
      <w:r>
        <w:rPr>
          <w:spacing w:val="-1"/>
        </w:rPr>
        <w:t>other</w:t>
      </w:r>
      <w:r>
        <w:rPr>
          <w:spacing w:val="54"/>
        </w:rPr>
        <w:t xml:space="preserve"> </w:t>
      </w:r>
      <w:r>
        <w:rPr>
          <w:spacing w:val="-1"/>
        </w:rPr>
        <w:t>benefits</w:t>
      </w:r>
      <w:r>
        <w:rPr>
          <w:spacing w:val="51"/>
        </w:rPr>
        <w:t xml:space="preserve"> </w:t>
      </w:r>
      <w:r>
        <w:rPr>
          <w:spacing w:val="-1"/>
        </w:rPr>
        <w:t>and</w:t>
      </w:r>
      <w:r>
        <w:rPr>
          <w:spacing w:val="53"/>
        </w:rPr>
        <w:t xml:space="preserve"> </w:t>
      </w:r>
      <w:r>
        <w:rPr>
          <w:spacing w:val="-1"/>
        </w:rPr>
        <w:t>all</w:t>
      </w:r>
      <w:r>
        <w:rPr>
          <w:spacing w:val="50"/>
        </w:rPr>
        <w:t xml:space="preserve"> </w:t>
      </w:r>
      <w:r>
        <w:rPr>
          <w:spacing w:val="-1"/>
        </w:rPr>
        <w:t>PAYE</w:t>
      </w:r>
      <w:r>
        <w:rPr>
          <w:spacing w:val="53"/>
        </w:rPr>
        <w:t xml:space="preserve"> </w:t>
      </w:r>
      <w:r>
        <w:t>tax</w:t>
      </w:r>
      <w:r>
        <w:rPr>
          <w:spacing w:val="51"/>
        </w:rPr>
        <w:t xml:space="preserve"> </w:t>
      </w:r>
      <w:r>
        <w:rPr>
          <w:spacing w:val="-1"/>
        </w:rPr>
        <w:t>deductions</w:t>
      </w:r>
      <w:r>
        <w:rPr>
          <w:spacing w:val="54"/>
        </w:rPr>
        <w:t xml:space="preserve"> </w:t>
      </w:r>
      <w:r>
        <w:rPr>
          <w:spacing w:val="-2"/>
        </w:rPr>
        <w:t>and</w:t>
      </w:r>
      <w:r>
        <w:rPr>
          <w:spacing w:val="53"/>
        </w:rPr>
        <w:t xml:space="preserve"> </w:t>
      </w:r>
      <w:r>
        <w:rPr>
          <w:spacing w:val="-1"/>
        </w:rPr>
        <w:t>national</w:t>
      </w:r>
      <w:r>
        <w:rPr>
          <w:spacing w:val="52"/>
        </w:rPr>
        <w:t xml:space="preserve"> </w:t>
      </w:r>
      <w:r>
        <w:rPr>
          <w:spacing w:val="-1"/>
        </w:rPr>
        <w:t>insurance</w:t>
      </w:r>
      <w:r>
        <w:rPr>
          <w:spacing w:val="28"/>
        </w:rPr>
        <w:t xml:space="preserve"> </w:t>
      </w:r>
      <w:r>
        <w:rPr>
          <w:spacing w:val="-1"/>
        </w:rPr>
        <w:t>contributions</w:t>
      </w:r>
      <w:r>
        <w:rPr>
          <w:spacing w:val="-2"/>
        </w:rPr>
        <w:t xml:space="preserve"> </w:t>
      </w:r>
      <w:r>
        <w:rPr>
          <w:spacing w:val="-1"/>
        </w:rPr>
        <w:t>relating</w:t>
      </w:r>
      <w:r>
        <w:t xml:space="preserve"> to</w:t>
      </w:r>
      <w:r>
        <w:rPr>
          <w:spacing w:val="-2"/>
        </w:rPr>
        <w:t xml:space="preserve"> </w:t>
      </w:r>
      <w:r>
        <w:rPr>
          <w:spacing w:val="-1"/>
        </w:rPr>
        <w:t>the</w:t>
      </w:r>
      <w:r>
        <w:t xml:space="preserve"> </w:t>
      </w:r>
      <w:r>
        <w:rPr>
          <w:spacing w:val="-1"/>
        </w:rPr>
        <w:t>Transferring</w:t>
      </w:r>
      <w:r>
        <w:t xml:space="preserve"> </w:t>
      </w:r>
      <w:r>
        <w:rPr>
          <w:spacing w:val="-2"/>
        </w:rPr>
        <w:t>Supplier</w:t>
      </w:r>
      <w:r>
        <w:rPr>
          <w:spacing w:val="-1"/>
        </w:rPr>
        <w:t xml:space="preserve"> </w:t>
      </w:r>
      <w:r>
        <w:rPr>
          <w:spacing w:val="-2"/>
        </w:rPr>
        <w:t>Employees</w:t>
      </w:r>
      <w:r>
        <w:rPr>
          <w:spacing w:val="1"/>
        </w:rPr>
        <w:t xml:space="preserve"> </w:t>
      </w:r>
      <w:r>
        <w:rPr>
          <w:spacing w:val="-1"/>
        </w:rPr>
        <w:t>in</w:t>
      </w:r>
      <w:r>
        <w:t xml:space="preserve"> </w:t>
      </w:r>
      <w:r>
        <w:rPr>
          <w:spacing w:val="-1"/>
        </w:rPr>
        <w:t>respect</w:t>
      </w:r>
      <w:r>
        <w:rPr>
          <w:spacing w:val="48"/>
        </w:rPr>
        <w:t xml:space="preserve"> </w:t>
      </w:r>
      <w:r>
        <w:rPr>
          <w:spacing w:val="-2"/>
        </w:rPr>
        <w:t>of</w:t>
      </w:r>
      <w:r>
        <w:rPr>
          <w:spacing w:val="2"/>
        </w:rPr>
        <w:t xml:space="preserve"> </w:t>
      </w:r>
      <w:r>
        <w:t xml:space="preserve">the </w:t>
      </w:r>
      <w:r>
        <w:rPr>
          <w:spacing w:val="-2"/>
        </w:rPr>
        <w:t xml:space="preserve">period </w:t>
      </w:r>
      <w:r>
        <w:rPr>
          <w:spacing w:val="-1"/>
        </w:rPr>
        <w:t>from (and</w:t>
      </w:r>
      <w:r>
        <w:t xml:space="preserve"> </w:t>
      </w:r>
      <w:r>
        <w:rPr>
          <w:spacing w:val="-1"/>
        </w:rPr>
        <w:t xml:space="preserve">including) </w:t>
      </w:r>
      <w:r>
        <w:t>the</w:t>
      </w:r>
      <w:r>
        <w:rPr>
          <w:spacing w:val="-2"/>
        </w:rPr>
        <w:t xml:space="preserve"> Service</w:t>
      </w:r>
      <w:r>
        <w:rPr>
          <w:spacing w:val="1"/>
        </w:rPr>
        <w:t xml:space="preserve"> </w:t>
      </w:r>
      <w:r>
        <w:rPr>
          <w:spacing w:val="-1"/>
        </w:rPr>
        <w:t>Transfer Date;</w:t>
      </w:r>
      <w:r>
        <w:rPr>
          <w:spacing w:val="2"/>
        </w:rPr>
        <w:t xml:space="preserve"> </w:t>
      </w:r>
      <w:r>
        <w:rPr>
          <w:spacing w:val="-1"/>
        </w:rPr>
        <w:t>and</w:t>
      </w:r>
    </w:p>
    <w:p w:rsidR="008918FA" w:rsidRDefault="008918FA" w:rsidP="008918FA">
      <w:pPr>
        <w:pStyle w:val="BodyText"/>
        <w:numPr>
          <w:ilvl w:val="2"/>
          <w:numId w:val="7"/>
        </w:numPr>
        <w:tabs>
          <w:tab w:val="left" w:pos="1887"/>
        </w:tabs>
        <w:ind w:left="1886" w:right="114"/>
        <w:jc w:val="both"/>
      </w:pPr>
      <w:r>
        <w:rPr>
          <w:spacing w:val="-1"/>
        </w:rPr>
        <w:t>any</w:t>
      </w:r>
      <w:r>
        <w:rPr>
          <w:spacing w:val="18"/>
        </w:rPr>
        <w:t xml:space="preserve"> </w:t>
      </w:r>
      <w:r>
        <w:rPr>
          <w:spacing w:val="-1"/>
        </w:rPr>
        <w:t>claim</w:t>
      </w:r>
      <w:r>
        <w:rPr>
          <w:spacing w:val="21"/>
        </w:rPr>
        <w:t xml:space="preserve"> </w:t>
      </w:r>
      <w:r>
        <w:rPr>
          <w:spacing w:val="-1"/>
        </w:rPr>
        <w:t>made</w:t>
      </w:r>
      <w:r>
        <w:rPr>
          <w:spacing w:val="20"/>
        </w:rPr>
        <w:t xml:space="preserve"> </w:t>
      </w:r>
      <w:r>
        <w:rPr>
          <w:spacing w:val="-1"/>
        </w:rPr>
        <w:t>by</w:t>
      </w:r>
      <w:r>
        <w:rPr>
          <w:spacing w:val="17"/>
        </w:rPr>
        <w:t xml:space="preserve"> </w:t>
      </w:r>
      <w:r>
        <w:rPr>
          <w:spacing w:val="-1"/>
        </w:rPr>
        <w:t>or</w:t>
      </w:r>
      <w:r>
        <w:rPr>
          <w:spacing w:val="21"/>
        </w:rPr>
        <w:t xml:space="preserve"> </w:t>
      </w:r>
      <w:r>
        <w:rPr>
          <w:spacing w:val="-1"/>
        </w:rPr>
        <w:t>in</w:t>
      </w:r>
      <w:r>
        <w:rPr>
          <w:spacing w:val="22"/>
        </w:rPr>
        <w:t xml:space="preserve"> </w:t>
      </w:r>
      <w:r>
        <w:rPr>
          <w:spacing w:val="-1"/>
        </w:rPr>
        <w:t>respect</w:t>
      </w:r>
      <w:r>
        <w:rPr>
          <w:spacing w:val="22"/>
        </w:rPr>
        <w:t xml:space="preserve"> </w:t>
      </w:r>
      <w:r>
        <w:rPr>
          <w:spacing w:val="-2"/>
        </w:rPr>
        <w:t>of</w:t>
      </w:r>
      <w:r>
        <w:rPr>
          <w:spacing w:val="23"/>
        </w:rPr>
        <w:t xml:space="preserve"> </w:t>
      </w:r>
      <w:r>
        <w:t>a</w:t>
      </w:r>
      <w:r>
        <w:rPr>
          <w:spacing w:val="17"/>
        </w:rPr>
        <w:t xml:space="preserve"> </w:t>
      </w:r>
      <w:r>
        <w:rPr>
          <w:spacing w:val="-1"/>
        </w:rPr>
        <w:t>Transferring</w:t>
      </w:r>
      <w:r>
        <w:rPr>
          <w:spacing w:val="22"/>
        </w:rPr>
        <w:t xml:space="preserve"> </w:t>
      </w:r>
      <w:r>
        <w:rPr>
          <w:spacing w:val="-2"/>
        </w:rPr>
        <w:t>Supplier</w:t>
      </w:r>
      <w:r>
        <w:rPr>
          <w:spacing w:val="21"/>
        </w:rPr>
        <w:t xml:space="preserve"> </w:t>
      </w:r>
      <w:r>
        <w:rPr>
          <w:spacing w:val="-2"/>
        </w:rPr>
        <w:t>Employee</w:t>
      </w:r>
      <w:r>
        <w:rPr>
          <w:spacing w:val="58"/>
        </w:rPr>
        <w:t xml:space="preserve"> </w:t>
      </w:r>
      <w:r>
        <w:rPr>
          <w:spacing w:val="-1"/>
        </w:rPr>
        <w:t>or</w:t>
      </w:r>
      <w:r>
        <w:rPr>
          <w:spacing w:val="53"/>
        </w:rPr>
        <w:t xml:space="preserve"> </w:t>
      </w:r>
      <w:r>
        <w:rPr>
          <w:spacing w:val="-1"/>
        </w:rPr>
        <w:t>any</w:t>
      </w:r>
      <w:r>
        <w:rPr>
          <w:spacing w:val="50"/>
        </w:rPr>
        <w:t xml:space="preserve"> </w:t>
      </w:r>
      <w:r>
        <w:rPr>
          <w:spacing w:val="-1"/>
        </w:rPr>
        <w:t>appropriate</w:t>
      </w:r>
      <w:r>
        <w:rPr>
          <w:spacing w:val="52"/>
        </w:rPr>
        <w:t xml:space="preserve"> </w:t>
      </w:r>
      <w:r>
        <w:rPr>
          <w:spacing w:val="-2"/>
        </w:rPr>
        <w:t>employee</w:t>
      </w:r>
      <w:r>
        <w:rPr>
          <w:spacing w:val="52"/>
        </w:rPr>
        <w:t xml:space="preserve"> </w:t>
      </w:r>
      <w:r>
        <w:rPr>
          <w:spacing w:val="-1"/>
        </w:rPr>
        <w:t>representative</w:t>
      </w:r>
      <w:r>
        <w:rPr>
          <w:spacing w:val="52"/>
        </w:rPr>
        <w:t xml:space="preserve"> </w:t>
      </w:r>
      <w:r>
        <w:rPr>
          <w:spacing w:val="-1"/>
        </w:rPr>
        <w:t>(as</w:t>
      </w:r>
      <w:r>
        <w:rPr>
          <w:spacing w:val="52"/>
        </w:rPr>
        <w:t xml:space="preserve"> </w:t>
      </w:r>
      <w:r>
        <w:rPr>
          <w:spacing w:val="-1"/>
        </w:rPr>
        <w:t>defined</w:t>
      </w:r>
      <w:r>
        <w:rPr>
          <w:spacing w:val="53"/>
        </w:rPr>
        <w:t xml:space="preserve"> </w:t>
      </w:r>
      <w:r>
        <w:rPr>
          <w:spacing w:val="-1"/>
        </w:rPr>
        <w:t>in</w:t>
      </w:r>
      <w:r>
        <w:rPr>
          <w:spacing w:val="52"/>
        </w:rPr>
        <w:t xml:space="preserve"> </w:t>
      </w:r>
      <w:r>
        <w:rPr>
          <w:spacing w:val="-1"/>
        </w:rPr>
        <w:t>the</w:t>
      </w:r>
      <w:r>
        <w:rPr>
          <w:spacing w:val="48"/>
        </w:rPr>
        <w:t xml:space="preserve"> </w:t>
      </w:r>
      <w:r>
        <w:rPr>
          <w:spacing w:val="-1"/>
        </w:rPr>
        <w:t>Employment</w:t>
      </w:r>
      <w:r>
        <w:rPr>
          <w:spacing w:val="36"/>
        </w:rPr>
        <w:t xml:space="preserve"> </w:t>
      </w:r>
      <w:r>
        <w:rPr>
          <w:spacing w:val="-1"/>
        </w:rPr>
        <w:t>Regulations)</w:t>
      </w:r>
      <w:r>
        <w:rPr>
          <w:spacing w:val="37"/>
        </w:rPr>
        <w:t xml:space="preserve"> </w:t>
      </w:r>
      <w:r>
        <w:rPr>
          <w:spacing w:val="-2"/>
        </w:rPr>
        <w:t>of</w:t>
      </w:r>
      <w:r>
        <w:rPr>
          <w:spacing w:val="39"/>
        </w:rPr>
        <w:t xml:space="preserve"> </w:t>
      </w:r>
      <w:r>
        <w:rPr>
          <w:spacing w:val="-1"/>
        </w:rPr>
        <w:t>any</w:t>
      </w:r>
      <w:r>
        <w:rPr>
          <w:spacing w:val="33"/>
        </w:rPr>
        <w:t xml:space="preserve"> </w:t>
      </w:r>
      <w:r>
        <w:rPr>
          <w:spacing w:val="-1"/>
        </w:rPr>
        <w:t>Transferring</w:t>
      </w:r>
      <w:r>
        <w:rPr>
          <w:spacing w:val="35"/>
        </w:rPr>
        <w:t xml:space="preserve"> </w:t>
      </w:r>
      <w:r>
        <w:rPr>
          <w:spacing w:val="-2"/>
        </w:rPr>
        <w:t>Supplier</w:t>
      </w:r>
      <w:r>
        <w:rPr>
          <w:spacing w:val="36"/>
        </w:rPr>
        <w:t xml:space="preserve"> </w:t>
      </w:r>
      <w:r>
        <w:rPr>
          <w:spacing w:val="-1"/>
        </w:rPr>
        <w:t>Employee</w:t>
      </w:r>
      <w:r>
        <w:rPr>
          <w:spacing w:val="30"/>
        </w:rPr>
        <w:t xml:space="preserve"> </w:t>
      </w:r>
      <w:r>
        <w:rPr>
          <w:spacing w:val="-1"/>
        </w:rPr>
        <w:t>relating</w:t>
      </w:r>
      <w:r>
        <w:rPr>
          <w:spacing w:val="28"/>
        </w:rPr>
        <w:t xml:space="preserve"> </w:t>
      </w:r>
      <w:r>
        <w:t>to</w:t>
      </w:r>
      <w:r>
        <w:rPr>
          <w:spacing w:val="28"/>
        </w:rPr>
        <w:t xml:space="preserve"> </w:t>
      </w:r>
      <w:r>
        <w:rPr>
          <w:spacing w:val="-1"/>
        </w:rPr>
        <w:t>any</w:t>
      </w:r>
      <w:r>
        <w:rPr>
          <w:spacing w:val="26"/>
        </w:rPr>
        <w:t xml:space="preserve"> </w:t>
      </w:r>
      <w:r>
        <w:rPr>
          <w:spacing w:val="-1"/>
        </w:rPr>
        <w:t>act</w:t>
      </w:r>
      <w:r>
        <w:rPr>
          <w:spacing w:val="30"/>
        </w:rPr>
        <w:t xml:space="preserve"> </w:t>
      </w:r>
      <w:r>
        <w:rPr>
          <w:spacing w:val="-1"/>
        </w:rPr>
        <w:t>or</w:t>
      </w:r>
      <w:r>
        <w:rPr>
          <w:spacing w:val="29"/>
        </w:rPr>
        <w:t xml:space="preserve"> </w:t>
      </w:r>
      <w:r>
        <w:rPr>
          <w:spacing w:val="-1"/>
        </w:rPr>
        <w:t>omission</w:t>
      </w:r>
      <w:r>
        <w:rPr>
          <w:spacing w:val="28"/>
        </w:rPr>
        <w:t xml:space="preserve"> </w:t>
      </w:r>
      <w:r>
        <w:rPr>
          <w:spacing w:val="-1"/>
        </w:rPr>
        <w:t>of</w:t>
      </w:r>
      <w:r>
        <w:rPr>
          <w:spacing w:val="29"/>
        </w:rPr>
        <w:t xml:space="preserve"> </w:t>
      </w:r>
      <w:r>
        <w:t>the</w:t>
      </w:r>
      <w:r>
        <w:rPr>
          <w:spacing w:val="28"/>
        </w:rPr>
        <w:t xml:space="preserve"> </w:t>
      </w:r>
      <w:r>
        <w:rPr>
          <w:spacing w:val="-1"/>
        </w:rPr>
        <w:t>Replacement</w:t>
      </w:r>
      <w:r>
        <w:rPr>
          <w:spacing w:val="30"/>
        </w:rPr>
        <w:t xml:space="preserve"> </w:t>
      </w:r>
      <w:r>
        <w:rPr>
          <w:spacing w:val="-2"/>
        </w:rPr>
        <w:t>Supplier</w:t>
      </w:r>
      <w:r>
        <w:rPr>
          <w:spacing w:val="29"/>
        </w:rPr>
        <w:t xml:space="preserve"> </w:t>
      </w:r>
      <w:r>
        <w:rPr>
          <w:spacing w:val="-1"/>
        </w:rPr>
        <w:t>or</w:t>
      </w:r>
      <w:r>
        <w:rPr>
          <w:spacing w:val="32"/>
        </w:rPr>
        <w:t xml:space="preserve"> </w:t>
      </w:r>
      <w:r>
        <w:rPr>
          <w:spacing w:val="-1"/>
        </w:rPr>
        <w:t>Replacement</w:t>
      </w:r>
      <w:r>
        <w:rPr>
          <w:spacing w:val="57"/>
        </w:rPr>
        <w:t xml:space="preserve"> </w:t>
      </w:r>
      <w:r>
        <w:rPr>
          <w:spacing w:val="-1"/>
        </w:rPr>
        <w:t>Sub-Contractor</w:t>
      </w:r>
      <w:r>
        <w:rPr>
          <w:spacing w:val="57"/>
        </w:rPr>
        <w:t xml:space="preserve"> </w:t>
      </w:r>
      <w:r>
        <w:rPr>
          <w:spacing w:val="-1"/>
        </w:rPr>
        <w:t>in</w:t>
      </w:r>
      <w:r>
        <w:rPr>
          <w:spacing w:val="55"/>
        </w:rPr>
        <w:t xml:space="preserve"> </w:t>
      </w:r>
      <w:r>
        <w:rPr>
          <w:spacing w:val="-1"/>
        </w:rPr>
        <w:t>relation</w:t>
      </w:r>
      <w:r>
        <w:rPr>
          <w:spacing w:val="55"/>
        </w:rPr>
        <w:t xml:space="preserve"> </w:t>
      </w:r>
      <w:r>
        <w:t>to</w:t>
      </w:r>
      <w:r>
        <w:rPr>
          <w:spacing w:val="53"/>
        </w:rPr>
        <w:t xml:space="preserve"> </w:t>
      </w:r>
      <w:r>
        <w:rPr>
          <w:spacing w:val="-1"/>
        </w:rPr>
        <w:t>obligations</w:t>
      </w:r>
      <w:r>
        <w:rPr>
          <w:spacing w:val="56"/>
        </w:rPr>
        <w:t xml:space="preserve"> </w:t>
      </w:r>
      <w:r>
        <w:rPr>
          <w:spacing w:val="-1"/>
        </w:rPr>
        <w:t>under</w:t>
      </w:r>
      <w:r>
        <w:rPr>
          <w:spacing w:val="29"/>
        </w:rPr>
        <w:t xml:space="preserve"> </w:t>
      </w:r>
      <w:r>
        <w:rPr>
          <w:spacing w:val="-1"/>
        </w:rPr>
        <w:t>regulation</w:t>
      </w:r>
      <w:r>
        <w:rPr>
          <w:spacing w:val="1"/>
        </w:rPr>
        <w:t xml:space="preserve"> </w:t>
      </w:r>
      <w:r>
        <w:rPr>
          <w:spacing w:val="-1"/>
        </w:rPr>
        <w:t>13</w:t>
      </w:r>
      <w:r>
        <w:t xml:space="preserve"> </w:t>
      </w:r>
      <w:r>
        <w:rPr>
          <w:spacing w:val="-2"/>
        </w:rPr>
        <w:t>of</w:t>
      </w:r>
      <w:r>
        <w:t xml:space="preserve"> the</w:t>
      </w:r>
      <w:r>
        <w:rPr>
          <w:spacing w:val="-2"/>
        </w:rPr>
        <w:t xml:space="preserve"> Employment</w:t>
      </w:r>
      <w:r>
        <w:rPr>
          <w:spacing w:val="2"/>
        </w:rPr>
        <w:t xml:space="preserve"> </w:t>
      </w:r>
      <w:r>
        <w:rPr>
          <w:spacing w:val="-1"/>
        </w:rPr>
        <w:t>Regulations.</w:t>
      </w:r>
    </w:p>
    <w:p w:rsidR="008918FA" w:rsidRDefault="008918FA" w:rsidP="008918FA">
      <w:pPr>
        <w:pStyle w:val="BodyText"/>
        <w:numPr>
          <w:ilvl w:val="1"/>
          <w:numId w:val="7"/>
        </w:numPr>
        <w:tabs>
          <w:tab w:val="left" w:pos="893"/>
        </w:tabs>
        <w:spacing w:before="121"/>
        <w:ind w:left="688" w:right="112"/>
        <w:jc w:val="both"/>
      </w:pPr>
      <w:bookmarkStart w:id="487" w:name="_bookmark405"/>
      <w:bookmarkEnd w:id="487"/>
      <w:r>
        <w:t>The</w:t>
      </w:r>
      <w:r>
        <w:rPr>
          <w:spacing w:val="27"/>
        </w:rPr>
        <w:t xml:space="preserve"> </w:t>
      </w:r>
      <w:r>
        <w:rPr>
          <w:spacing w:val="-2"/>
        </w:rPr>
        <w:t>indemnities</w:t>
      </w:r>
      <w:r>
        <w:rPr>
          <w:spacing w:val="27"/>
        </w:rPr>
        <w:t xml:space="preserve"> </w:t>
      </w:r>
      <w:r>
        <w:rPr>
          <w:spacing w:val="-1"/>
        </w:rPr>
        <w:t>in</w:t>
      </w:r>
      <w:r>
        <w:rPr>
          <w:spacing w:val="27"/>
        </w:rPr>
        <w:t xml:space="preserve"> </w:t>
      </w:r>
      <w:r>
        <w:rPr>
          <w:spacing w:val="-1"/>
        </w:rPr>
        <w:t>paragraph</w:t>
      </w:r>
      <w:r>
        <w:rPr>
          <w:spacing w:val="2"/>
        </w:rPr>
        <w:t xml:space="preserve"> </w:t>
      </w:r>
      <w:hyperlink w:anchor="_bookmark404" w:history="1">
        <w:r>
          <w:rPr>
            <w:spacing w:val="-1"/>
          </w:rPr>
          <w:t>2.13</w:t>
        </w:r>
      </w:hyperlink>
      <w:r>
        <w:rPr>
          <w:spacing w:val="27"/>
        </w:rPr>
        <w:t xml:space="preserve"> </w:t>
      </w:r>
      <w:r>
        <w:rPr>
          <w:spacing w:val="-2"/>
        </w:rPr>
        <w:t>of</w:t>
      </w:r>
      <w:r>
        <w:rPr>
          <w:spacing w:val="28"/>
        </w:rPr>
        <w:t xml:space="preserve"> </w:t>
      </w:r>
      <w:r>
        <w:rPr>
          <w:spacing w:val="-1"/>
        </w:rPr>
        <w:t>Part</w:t>
      </w:r>
      <w:r>
        <w:rPr>
          <w:spacing w:val="28"/>
        </w:rPr>
        <w:t xml:space="preserve"> </w:t>
      </w:r>
      <w:r>
        <w:t>D</w:t>
      </w:r>
      <w:r>
        <w:rPr>
          <w:spacing w:val="24"/>
        </w:rPr>
        <w:t xml:space="preserve"> </w:t>
      </w:r>
      <w:r>
        <w:rPr>
          <w:spacing w:val="-2"/>
        </w:rPr>
        <w:t>of</w:t>
      </w:r>
      <w:r>
        <w:rPr>
          <w:spacing w:val="26"/>
        </w:rPr>
        <w:t xml:space="preserve"> </w:t>
      </w:r>
      <w:r>
        <w:rPr>
          <w:spacing w:val="-1"/>
        </w:rPr>
        <w:t>this</w:t>
      </w:r>
      <w:r>
        <w:rPr>
          <w:spacing w:val="27"/>
        </w:rPr>
        <w:t xml:space="preserve"> </w:t>
      </w:r>
      <w:r>
        <w:rPr>
          <w:spacing w:val="-2"/>
        </w:rPr>
        <w:t>Call</w:t>
      </w:r>
      <w:r>
        <w:rPr>
          <w:spacing w:val="26"/>
        </w:rPr>
        <w:t xml:space="preserve"> </w:t>
      </w:r>
      <w:r>
        <w:rPr>
          <w:spacing w:val="-1"/>
        </w:rPr>
        <w:t>Off</w:t>
      </w:r>
      <w:r>
        <w:rPr>
          <w:spacing w:val="28"/>
        </w:rPr>
        <w:t xml:space="preserve"> </w:t>
      </w:r>
      <w:r>
        <w:rPr>
          <w:spacing w:val="-2"/>
        </w:rPr>
        <w:t>Schedule</w:t>
      </w:r>
      <w:r>
        <w:rPr>
          <w:spacing w:val="27"/>
        </w:rPr>
        <w:t xml:space="preserve"> </w:t>
      </w:r>
      <w:r>
        <w:rPr>
          <w:spacing w:val="-2"/>
        </w:rPr>
        <w:t>shall</w:t>
      </w:r>
      <w:r>
        <w:rPr>
          <w:spacing w:val="26"/>
        </w:rPr>
        <w:t xml:space="preserve"> </w:t>
      </w:r>
      <w:r>
        <w:rPr>
          <w:spacing w:val="-1"/>
        </w:rPr>
        <w:t>not</w:t>
      </w:r>
      <w:r>
        <w:rPr>
          <w:spacing w:val="60"/>
        </w:rPr>
        <w:t xml:space="preserve"> </w:t>
      </w:r>
      <w:r>
        <w:rPr>
          <w:spacing w:val="-1"/>
        </w:rPr>
        <w:t>apply</w:t>
      </w:r>
      <w:r>
        <w:rPr>
          <w:spacing w:val="1"/>
        </w:rPr>
        <w:t xml:space="preserve"> </w:t>
      </w:r>
      <w:r>
        <w:t>to</w:t>
      </w:r>
      <w:r>
        <w:rPr>
          <w:spacing w:val="3"/>
        </w:rPr>
        <w:t xml:space="preserve"> </w:t>
      </w:r>
      <w:r>
        <w:t>the</w:t>
      </w:r>
      <w:r>
        <w:rPr>
          <w:spacing w:val="3"/>
        </w:rPr>
        <w:t xml:space="preserve"> </w:t>
      </w:r>
      <w:r>
        <w:rPr>
          <w:spacing w:val="-2"/>
        </w:rPr>
        <w:t>extent</w:t>
      </w:r>
      <w:r>
        <w:rPr>
          <w:spacing w:val="2"/>
        </w:rPr>
        <w:t xml:space="preserve"> </w:t>
      </w:r>
      <w:r>
        <w:rPr>
          <w:spacing w:val="-1"/>
        </w:rPr>
        <w:t>that</w:t>
      </w:r>
      <w:r>
        <w:rPr>
          <w:spacing w:val="2"/>
        </w:rPr>
        <w:t xml:space="preserve"> </w:t>
      </w:r>
      <w:r>
        <w:rPr>
          <w:spacing w:val="-1"/>
        </w:rPr>
        <w:t>the</w:t>
      </w:r>
      <w:r>
        <w:rPr>
          <w:spacing w:val="3"/>
        </w:rPr>
        <w:t xml:space="preserve"> </w:t>
      </w:r>
      <w:r>
        <w:rPr>
          <w:spacing w:val="-2"/>
        </w:rPr>
        <w:t>Employee</w:t>
      </w:r>
      <w:r>
        <w:rPr>
          <w:spacing w:val="3"/>
        </w:rPr>
        <w:t xml:space="preserve"> </w:t>
      </w:r>
      <w:r>
        <w:rPr>
          <w:spacing w:val="-2"/>
        </w:rPr>
        <w:t>Liabilities</w:t>
      </w:r>
      <w:r>
        <w:rPr>
          <w:spacing w:val="3"/>
        </w:rPr>
        <w:t xml:space="preserve"> </w:t>
      </w:r>
      <w:r>
        <w:rPr>
          <w:spacing w:val="-1"/>
        </w:rPr>
        <w:t>arise</w:t>
      </w:r>
      <w:r>
        <w:rPr>
          <w:spacing w:val="3"/>
        </w:rPr>
        <w:t xml:space="preserve"> </w:t>
      </w:r>
      <w:r>
        <w:rPr>
          <w:spacing w:val="-1"/>
        </w:rPr>
        <w:t>or</w:t>
      </w:r>
      <w:r>
        <w:rPr>
          <w:spacing w:val="2"/>
        </w:rPr>
        <w:t xml:space="preserve"> </w:t>
      </w:r>
      <w:r>
        <w:rPr>
          <w:spacing w:val="-1"/>
        </w:rPr>
        <w:t>are</w:t>
      </w:r>
      <w:r>
        <w:t xml:space="preserve"> </w:t>
      </w:r>
      <w:r>
        <w:rPr>
          <w:spacing w:val="-1"/>
        </w:rPr>
        <w:t>attributable</w:t>
      </w:r>
      <w:r>
        <w:t xml:space="preserve"> to </w:t>
      </w:r>
      <w:r>
        <w:rPr>
          <w:spacing w:val="-1"/>
        </w:rPr>
        <w:t>an</w:t>
      </w:r>
      <w:r>
        <w:rPr>
          <w:spacing w:val="3"/>
        </w:rPr>
        <w:t xml:space="preserve"> </w:t>
      </w:r>
      <w:r>
        <w:rPr>
          <w:spacing w:val="-2"/>
        </w:rPr>
        <w:t>act</w:t>
      </w:r>
      <w:r>
        <w:rPr>
          <w:spacing w:val="4"/>
        </w:rPr>
        <w:t xml:space="preserve"> </w:t>
      </w:r>
      <w:r>
        <w:rPr>
          <w:spacing w:val="-2"/>
        </w:rPr>
        <w:t>or</w:t>
      </w:r>
      <w:r>
        <w:rPr>
          <w:spacing w:val="75"/>
        </w:rPr>
        <w:t xml:space="preserve"> </w:t>
      </w:r>
      <w:r>
        <w:rPr>
          <w:spacing w:val="-1"/>
        </w:rPr>
        <w:t>omission</w:t>
      </w:r>
      <w:r>
        <w:rPr>
          <w:spacing w:val="26"/>
        </w:rPr>
        <w:t xml:space="preserve"> </w:t>
      </w:r>
      <w:r>
        <w:rPr>
          <w:spacing w:val="-2"/>
        </w:rPr>
        <w:t>of</w:t>
      </w:r>
      <w:r>
        <w:rPr>
          <w:spacing w:val="27"/>
        </w:rPr>
        <w:t xml:space="preserve"> </w:t>
      </w:r>
      <w:r>
        <w:t>the</w:t>
      </w:r>
      <w:r>
        <w:rPr>
          <w:spacing w:val="26"/>
        </w:rPr>
        <w:t xml:space="preserve"> </w:t>
      </w:r>
      <w:r>
        <w:rPr>
          <w:spacing w:val="-2"/>
        </w:rPr>
        <w:t>Supplier</w:t>
      </w:r>
      <w:r>
        <w:rPr>
          <w:spacing w:val="28"/>
        </w:rPr>
        <w:t xml:space="preserve"> </w:t>
      </w:r>
      <w:r>
        <w:rPr>
          <w:spacing w:val="-1"/>
        </w:rPr>
        <w:t>and/or</w:t>
      </w:r>
      <w:r>
        <w:rPr>
          <w:spacing w:val="27"/>
        </w:rPr>
        <w:t xml:space="preserve"> </w:t>
      </w:r>
      <w:r>
        <w:rPr>
          <w:spacing w:val="-1"/>
        </w:rPr>
        <w:t>any</w:t>
      </w:r>
      <w:r>
        <w:rPr>
          <w:spacing w:val="24"/>
        </w:rPr>
        <w:t xml:space="preserve"> </w:t>
      </w:r>
      <w:r>
        <w:rPr>
          <w:spacing w:val="-1"/>
        </w:rPr>
        <w:t>Sub-Contractor</w:t>
      </w:r>
      <w:r>
        <w:rPr>
          <w:spacing w:val="24"/>
        </w:rPr>
        <w:t xml:space="preserve"> </w:t>
      </w:r>
      <w:r>
        <w:rPr>
          <w:spacing w:val="-1"/>
        </w:rPr>
        <w:t>(as</w:t>
      </w:r>
      <w:r>
        <w:rPr>
          <w:spacing w:val="26"/>
        </w:rPr>
        <w:t xml:space="preserve"> </w:t>
      </w:r>
      <w:r>
        <w:rPr>
          <w:spacing w:val="-2"/>
        </w:rPr>
        <w:t>applicable)</w:t>
      </w:r>
      <w:r>
        <w:rPr>
          <w:spacing w:val="24"/>
        </w:rPr>
        <w:t xml:space="preserve"> </w:t>
      </w:r>
      <w:r>
        <w:rPr>
          <w:spacing w:val="-2"/>
        </w:rPr>
        <w:t>whether</w:t>
      </w:r>
      <w:r>
        <w:rPr>
          <w:spacing w:val="68"/>
        </w:rPr>
        <w:t xml:space="preserve"> </w:t>
      </w:r>
      <w:r>
        <w:rPr>
          <w:spacing w:val="-1"/>
        </w:rPr>
        <w:t>occurring</w:t>
      </w:r>
      <w:r>
        <w:rPr>
          <w:spacing w:val="6"/>
        </w:rPr>
        <w:t xml:space="preserve"> </w:t>
      </w:r>
      <w:r>
        <w:rPr>
          <w:spacing w:val="-1"/>
        </w:rPr>
        <w:t>or</w:t>
      </w:r>
      <w:r>
        <w:rPr>
          <w:spacing w:val="5"/>
        </w:rPr>
        <w:t xml:space="preserve"> </w:t>
      </w:r>
      <w:r>
        <w:rPr>
          <w:spacing w:val="-2"/>
        </w:rPr>
        <w:t>having</w:t>
      </w:r>
      <w:r>
        <w:rPr>
          <w:spacing w:val="6"/>
        </w:rPr>
        <w:t xml:space="preserve"> </w:t>
      </w:r>
      <w:r>
        <w:rPr>
          <w:spacing w:val="-1"/>
        </w:rPr>
        <w:t>its</w:t>
      </w:r>
      <w:r>
        <w:rPr>
          <w:spacing w:val="2"/>
        </w:rPr>
        <w:t xml:space="preserve"> </w:t>
      </w:r>
      <w:r>
        <w:rPr>
          <w:spacing w:val="-1"/>
        </w:rPr>
        <w:t>origin</w:t>
      </w:r>
      <w:r>
        <w:rPr>
          <w:spacing w:val="4"/>
        </w:rPr>
        <w:t xml:space="preserve"> </w:t>
      </w:r>
      <w:r>
        <w:rPr>
          <w:spacing w:val="-1"/>
        </w:rPr>
        <w:t>before,</w:t>
      </w:r>
      <w:r>
        <w:rPr>
          <w:spacing w:val="5"/>
        </w:rPr>
        <w:t xml:space="preserve"> </w:t>
      </w:r>
      <w:r>
        <w:rPr>
          <w:spacing w:val="-1"/>
        </w:rPr>
        <w:t>on</w:t>
      </w:r>
      <w:r>
        <w:rPr>
          <w:spacing w:val="4"/>
        </w:rPr>
        <w:t xml:space="preserve"> </w:t>
      </w:r>
      <w:r>
        <w:rPr>
          <w:spacing w:val="-1"/>
        </w:rPr>
        <w:t>or</w:t>
      </w:r>
      <w:r>
        <w:rPr>
          <w:spacing w:val="5"/>
        </w:rPr>
        <w:t xml:space="preserve"> </w:t>
      </w:r>
      <w:r>
        <w:rPr>
          <w:spacing w:val="-1"/>
        </w:rPr>
        <w:t>after</w:t>
      </w:r>
      <w:r>
        <w:rPr>
          <w:spacing w:val="5"/>
        </w:rPr>
        <w:t xml:space="preserve"> </w:t>
      </w:r>
      <w:r>
        <w:t>the</w:t>
      </w:r>
      <w:r>
        <w:rPr>
          <w:spacing w:val="4"/>
        </w:rPr>
        <w:t xml:space="preserve"> </w:t>
      </w:r>
      <w:r>
        <w:rPr>
          <w:spacing w:val="-2"/>
        </w:rPr>
        <w:t>Relevant</w:t>
      </w:r>
      <w:r>
        <w:rPr>
          <w:spacing w:val="5"/>
        </w:rPr>
        <w:t xml:space="preserve"> </w:t>
      </w:r>
      <w:r>
        <w:rPr>
          <w:spacing w:val="-1"/>
        </w:rPr>
        <w:t>Transfer</w:t>
      </w:r>
      <w:r>
        <w:rPr>
          <w:spacing w:val="5"/>
        </w:rPr>
        <w:t xml:space="preserve"> </w:t>
      </w:r>
      <w:r>
        <w:rPr>
          <w:spacing w:val="-2"/>
        </w:rPr>
        <w:t>Date,</w:t>
      </w:r>
      <w:r>
        <w:rPr>
          <w:spacing w:val="55"/>
        </w:rPr>
        <w:t xml:space="preserve"> </w:t>
      </w:r>
      <w:r>
        <w:rPr>
          <w:spacing w:val="-2"/>
        </w:rPr>
        <w:t>including</w:t>
      </w:r>
      <w:r>
        <w:rPr>
          <w:spacing w:val="36"/>
        </w:rPr>
        <w:t xml:space="preserve"> </w:t>
      </w:r>
      <w:r>
        <w:rPr>
          <w:spacing w:val="-1"/>
        </w:rPr>
        <w:t>any</w:t>
      </w:r>
      <w:r>
        <w:rPr>
          <w:spacing w:val="32"/>
        </w:rPr>
        <w:t xml:space="preserve"> </w:t>
      </w:r>
      <w:r>
        <w:rPr>
          <w:spacing w:val="-2"/>
        </w:rPr>
        <w:t>Employee</w:t>
      </w:r>
      <w:r>
        <w:rPr>
          <w:spacing w:val="36"/>
        </w:rPr>
        <w:t xml:space="preserve"> </w:t>
      </w:r>
      <w:r>
        <w:rPr>
          <w:spacing w:val="-2"/>
        </w:rPr>
        <w:t>Liabilities</w:t>
      </w:r>
      <w:r>
        <w:rPr>
          <w:spacing w:val="34"/>
        </w:rPr>
        <w:t xml:space="preserve"> </w:t>
      </w:r>
      <w:r>
        <w:rPr>
          <w:spacing w:val="-1"/>
        </w:rPr>
        <w:t>arising</w:t>
      </w:r>
      <w:r>
        <w:rPr>
          <w:spacing w:val="34"/>
        </w:rPr>
        <w:t xml:space="preserve"> </w:t>
      </w:r>
      <w:r>
        <w:t>from</w:t>
      </w:r>
      <w:r>
        <w:rPr>
          <w:spacing w:val="35"/>
        </w:rPr>
        <w:t xml:space="preserve"> </w:t>
      </w:r>
      <w:r>
        <w:rPr>
          <w:spacing w:val="-1"/>
        </w:rPr>
        <w:t>the</w:t>
      </w:r>
      <w:r>
        <w:rPr>
          <w:spacing w:val="32"/>
        </w:rPr>
        <w:t xml:space="preserve"> </w:t>
      </w:r>
      <w:r>
        <w:rPr>
          <w:spacing w:val="-1"/>
        </w:rPr>
        <w:t>failure</w:t>
      </w:r>
      <w:r>
        <w:rPr>
          <w:spacing w:val="34"/>
        </w:rPr>
        <w:t xml:space="preserve"> </w:t>
      </w:r>
      <w:r>
        <w:rPr>
          <w:spacing w:val="-1"/>
        </w:rPr>
        <w:t>by</w:t>
      </w:r>
      <w:r>
        <w:rPr>
          <w:spacing w:val="32"/>
        </w:rPr>
        <w:t xml:space="preserve"> </w:t>
      </w:r>
      <w:r>
        <w:t>the</w:t>
      </w:r>
      <w:r>
        <w:rPr>
          <w:spacing w:val="34"/>
        </w:rPr>
        <w:t xml:space="preserve"> </w:t>
      </w:r>
      <w:r>
        <w:rPr>
          <w:spacing w:val="-2"/>
        </w:rPr>
        <w:t>Supplier</w:t>
      </w:r>
      <w:r>
        <w:rPr>
          <w:spacing w:val="35"/>
        </w:rPr>
        <w:t xml:space="preserve"> </w:t>
      </w:r>
      <w:r>
        <w:rPr>
          <w:spacing w:val="-1"/>
        </w:rPr>
        <w:t>and/or</w:t>
      </w:r>
      <w:r>
        <w:rPr>
          <w:spacing w:val="79"/>
        </w:rPr>
        <w:t xml:space="preserve"> </w:t>
      </w:r>
      <w:r>
        <w:rPr>
          <w:spacing w:val="-1"/>
        </w:rPr>
        <w:t>any</w:t>
      </w:r>
      <w:r>
        <w:rPr>
          <w:spacing w:val="24"/>
        </w:rPr>
        <w:t xml:space="preserve"> </w:t>
      </w:r>
      <w:r>
        <w:rPr>
          <w:spacing w:val="-1"/>
        </w:rPr>
        <w:t>Sub-Contractor</w:t>
      </w:r>
      <w:r>
        <w:rPr>
          <w:spacing w:val="24"/>
        </w:rPr>
        <w:t xml:space="preserve"> </w:t>
      </w:r>
      <w:r>
        <w:rPr>
          <w:spacing w:val="-1"/>
        </w:rPr>
        <w:t>(as</w:t>
      </w:r>
      <w:r>
        <w:rPr>
          <w:spacing w:val="24"/>
        </w:rPr>
        <w:t xml:space="preserve"> </w:t>
      </w:r>
      <w:r>
        <w:rPr>
          <w:spacing w:val="-2"/>
        </w:rPr>
        <w:t>applicable)</w:t>
      </w:r>
      <w:r>
        <w:rPr>
          <w:spacing w:val="27"/>
        </w:rPr>
        <w:t xml:space="preserve"> </w:t>
      </w:r>
      <w:r>
        <w:t>to</w:t>
      </w:r>
      <w:r>
        <w:rPr>
          <w:spacing w:val="26"/>
        </w:rPr>
        <w:t xml:space="preserve"> </w:t>
      </w:r>
      <w:r>
        <w:rPr>
          <w:spacing w:val="-1"/>
        </w:rPr>
        <w:t>comply</w:t>
      </w:r>
      <w:r>
        <w:rPr>
          <w:spacing w:val="26"/>
        </w:rPr>
        <w:t xml:space="preserve"> </w:t>
      </w:r>
      <w:r>
        <w:rPr>
          <w:spacing w:val="-1"/>
        </w:rPr>
        <w:t>with</w:t>
      </w:r>
      <w:r>
        <w:rPr>
          <w:spacing w:val="26"/>
        </w:rPr>
        <w:t xml:space="preserve"> </w:t>
      </w:r>
      <w:r>
        <w:rPr>
          <w:spacing w:val="-1"/>
        </w:rPr>
        <w:t>its</w:t>
      </w:r>
      <w:r>
        <w:rPr>
          <w:spacing w:val="26"/>
        </w:rPr>
        <w:t xml:space="preserve"> </w:t>
      </w:r>
      <w:r>
        <w:rPr>
          <w:spacing w:val="-1"/>
        </w:rPr>
        <w:t>obligations</w:t>
      </w:r>
      <w:r>
        <w:rPr>
          <w:spacing w:val="26"/>
        </w:rPr>
        <w:t xml:space="preserve"> </w:t>
      </w:r>
      <w:r>
        <w:rPr>
          <w:spacing w:val="-1"/>
        </w:rPr>
        <w:t>under</w:t>
      </w:r>
      <w:r>
        <w:rPr>
          <w:spacing w:val="27"/>
        </w:rPr>
        <w:t xml:space="preserve"> </w:t>
      </w:r>
      <w:r>
        <w:rPr>
          <w:spacing w:val="-1"/>
        </w:rPr>
        <w:t>the</w:t>
      </w:r>
      <w:r>
        <w:rPr>
          <w:spacing w:val="68"/>
        </w:rPr>
        <w:t xml:space="preserve"> </w:t>
      </w:r>
      <w:r>
        <w:rPr>
          <w:spacing w:val="-1"/>
        </w:rPr>
        <w:t>Employment</w:t>
      </w:r>
      <w:r>
        <w:rPr>
          <w:spacing w:val="2"/>
        </w:rPr>
        <w:t xml:space="preserve"> </w:t>
      </w:r>
      <w:r>
        <w:rPr>
          <w:spacing w:val="-2"/>
        </w:rPr>
        <w:t>Regulations.</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Heading1"/>
        <w:spacing w:before="57" w:line="466" w:lineRule="auto"/>
        <w:ind w:left="3172" w:right="3143" w:firstLine="0"/>
        <w:jc w:val="center"/>
        <w:rPr>
          <w:b w:val="0"/>
          <w:bCs w:val="0"/>
        </w:rPr>
      </w:pPr>
      <w:bookmarkStart w:id="488" w:name="ANNEX_1:_PENSIONS"/>
      <w:bookmarkStart w:id="489" w:name="_bookmark406"/>
      <w:bookmarkEnd w:id="488"/>
      <w:bookmarkEnd w:id="489"/>
      <w:r>
        <w:rPr>
          <w:spacing w:val="-1"/>
        </w:rPr>
        <w:t>ANNEX</w:t>
      </w:r>
      <w:r>
        <w:t xml:space="preserve"> </w:t>
      </w:r>
      <w:r>
        <w:rPr>
          <w:spacing w:val="-1"/>
        </w:rPr>
        <w:t>1:</w:t>
      </w:r>
      <w:r>
        <w:rPr>
          <w:spacing w:val="2"/>
        </w:rPr>
        <w:t xml:space="preserve"> </w:t>
      </w:r>
      <w:r>
        <w:rPr>
          <w:spacing w:val="-1"/>
        </w:rPr>
        <w:t>PENSIONS</w:t>
      </w:r>
      <w:r>
        <w:rPr>
          <w:spacing w:val="25"/>
        </w:rPr>
        <w:t xml:space="preserve"> </w:t>
      </w:r>
      <w:bookmarkStart w:id="490" w:name="not_used"/>
      <w:bookmarkEnd w:id="490"/>
      <w:r>
        <w:rPr>
          <w:spacing w:val="-1"/>
        </w:rPr>
        <w:t>NOT</w:t>
      </w:r>
      <w:r>
        <w:rPr>
          <w:spacing w:val="-2"/>
        </w:rPr>
        <w:t xml:space="preserve"> </w:t>
      </w:r>
      <w:r>
        <w:rPr>
          <w:spacing w:val="-1"/>
        </w:rPr>
        <w:t>USED</w:t>
      </w: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rPr>
          <w:rFonts w:ascii="Arial" w:eastAsia="Arial" w:hAnsi="Arial" w:cs="Arial"/>
          <w:b/>
          <w:bCs/>
          <w:sz w:val="20"/>
          <w:szCs w:val="20"/>
        </w:rPr>
      </w:pPr>
    </w:p>
    <w:p w:rsidR="008918FA" w:rsidRDefault="008918FA" w:rsidP="008918FA">
      <w:pPr>
        <w:spacing w:before="2"/>
        <w:rPr>
          <w:rFonts w:ascii="Arial" w:eastAsia="Arial" w:hAnsi="Arial" w:cs="Arial"/>
          <w:b/>
          <w:bCs/>
          <w:sz w:val="19"/>
          <w:szCs w:val="19"/>
        </w:rPr>
      </w:pPr>
    </w:p>
    <w:p w:rsidR="008918FA" w:rsidRDefault="008918FA" w:rsidP="008918FA">
      <w:pPr>
        <w:spacing w:line="200" w:lineRule="atLeast"/>
        <w:ind w:left="198"/>
        <w:rPr>
          <w:rFonts w:ascii="Arial" w:eastAsia="Arial" w:hAnsi="Arial" w:cs="Arial"/>
          <w:sz w:val="20"/>
          <w:szCs w:val="20"/>
        </w:rPr>
      </w:pPr>
    </w:p>
    <w:p w:rsidR="008918FA" w:rsidRDefault="008918FA" w:rsidP="008918FA">
      <w:pPr>
        <w:spacing w:line="200" w:lineRule="atLeast"/>
        <w:rPr>
          <w:rFonts w:ascii="Arial" w:eastAsia="Arial" w:hAnsi="Arial" w:cs="Arial"/>
          <w:sz w:val="20"/>
          <w:szCs w:val="20"/>
        </w:rPr>
        <w:sectPr w:rsidR="008918FA">
          <w:pgSz w:w="11910" w:h="16840"/>
          <w:pgMar w:top="1480" w:right="1680" w:bottom="1180" w:left="1680" w:header="0" w:footer="987" w:gutter="0"/>
          <w:cols w:space="720"/>
        </w:sectPr>
      </w:pPr>
    </w:p>
    <w:p w:rsidR="008918FA" w:rsidRDefault="008918FA" w:rsidP="008918FA">
      <w:pPr>
        <w:pStyle w:val="Heading1"/>
        <w:spacing w:before="57"/>
        <w:ind w:left="1620" w:firstLine="0"/>
        <w:rPr>
          <w:b w:val="0"/>
          <w:bCs w:val="0"/>
        </w:rPr>
      </w:pPr>
      <w:bookmarkStart w:id="491" w:name="ANNEX_2:_LIST_OF_NOTIFIED_SUB-CONTRACTOR"/>
      <w:bookmarkStart w:id="492" w:name="_bookmark407"/>
      <w:bookmarkEnd w:id="491"/>
      <w:bookmarkEnd w:id="492"/>
      <w:r>
        <w:rPr>
          <w:spacing w:val="-1"/>
        </w:rPr>
        <w:t>ANNEX</w:t>
      </w:r>
      <w:r>
        <w:t xml:space="preserve"> </w:t>
      </w:r>
      <w:r>
        <w:rPr>
          <w:spacing w:val="-1"/>
        </w:rPr>
        <w:t>2:</w:t>
      </w:r>
      <w:r>
        <w:rPr>
          <w:spacing w:val="2"/>
        </w:rPr>
        <w:t xml:space="preserve"> </w:t>
      </w:r>
      <w:r>
        <w:rPr>
          <w:spacing w:val="-1"/>
        </w:rPr>
        <w:t>LIST</w:t>
      </w:r>
      <w:r>
        <w:rPr>
          <w:spacing w:val="-2"/>
        </w:rPr>
        <w:t xml:space="preserve"> </w:t>
      </w:r>
      <w:r>
        <w:t>OF</w:t>
      </w:r>
      <w:r>
        <w:rPr>
          <w:spacing w:val="-2"/>
        </w:rPr>
        <w:t xml:space="preserve"> </w:t>
      </w:r>
      <w:r>
        <w:rPr>
          <w:spacing w:val="-1"/>
        </w:rPr>
        <w:t>NOTIFIED</w:t>
      </w:r>
      <w:r>
        <w:t xml:space="preserve"> </w:t>
      </w:r>
      <w:r>
        <w:rPr>
          <w:spacing w:val="-2"/>
        </w:rPr>
        <w:t>SUB-CONTRACTORS</w:t>
      </w:r>
    </w:p>
    <w:p w:rsidR="008918FA" w:rsidRDefault="008918FA" w:rsidP="008918FA">
      <w:pPr>
        <w:spacing w:before="7"/>
        <w:rPr>
          <w:rFonts w:ascii="Arial" w:eastAsia="Arial" w:hAnsi="Arial" w:cs="Arial"/>
          <w:b/>
          <w:bCs/>
          <w:sz w:val="14"/>
          <w:szCs w:val="14"/>
        </w:rPr>
      </w:pPr>
    </w:p>
    <w:p w:rsidR="008918FA" w:rsidRDefault="008918FA" w:rsidP="008918FA">
      <w:pPr>
        <w:pStyle w:val="BodyText"/>
        <w:tabs>
          <w:tab w:val="left" w:pos="2183"/>
        </w:tabs>
        <w:spacing w:before="72"/>
        <w:ind w:left="23" w:firstLine="0"/>
        <w:jc w:val="center"/>
        <w:rPr>
          <w:rFonts w:ascii="Times New Roman" w:eastAsia="Times New Roman" w:hAnsi="Times New Roman" w:cs="Times New Roman"/>
        </w:rPr>
      </w:pPr>
      <w:r>
        <w:rPr>
          <w:rFonts w:ascii="Times New Roman"/>
          <w:highlight w:val="yellow"/>
        </w:rPr>
        <w:t>[</w:t>
      </w:r>
      <w:r>
        <w:rPr>
          <w:rFonts w:ascii="Times New Roman"/>
          <w:highlight w:val="yellow"/>
        </w:rPr>
        <w:tab/>
        <w:t>]</w:t>
      </w: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rPr>
          <w:rFonts w:ascii="Times New Roman" w:eastAsia="Times New Roman" w:hAnsi="Times New Roman" w:cs="Times New Roman"/>
          <w:sz w:val="20"/>
          <w:szCs w:val="20"/>
        </w:rPr>
      </w:pPr>
    </w:p>
    <w:p w:rsidR="008918FA" w:rsidRDefault="008918FA" w:rsidP="008918FA">
      <w:pPr>
        <w:spacing w:before="4"/>
        <w:rPr>
          <w:rFonts w:ascii="Times New Roman" w:eastAsia="Times New Roman" w:hAnsi="Times New Roman" w:cs="Times New Roman"/>
          <w:sz w:val="19"/>
          <w:szCs w:val="19"/>
        </w:rPr>
      </w:pPr>
    </w:p>
    <w:p w:rsidR="008918FA" w:rsidRDefault="008918FA" w:rsidP="008918FA">
      <w:pPr>
        <w:spacing w:line="200" w:lineRule="atLeast"/>
        <w:ind w:left="198"/>
        <w:rPr>
          <w:rFonts w:ascii="Times New Roman" w:eastAsia="Times New Roman" w:hAnsi="Times New Roman" w:cs="Times New Roman"/>
          <w:sz w:val="20"/>
          <w:szCs w:val="20"/>
        </w:rPr>
      </w:pPr>
    </w:p>
    <w:p w:rsidR="008918FA" w:rsidRDefault="008918FA" w:rsidP="008918FA">
      <w:pPr>
        <w:spacing w:line="200" w:lineRule="atLeast"/>
        <w:rPr>
          <w:rFonts w:ascii="Times New Roman" w:eastAsia="Times New Roman" w:hAnsi="Times New Roman" w:cs="Times New Roman"/>
          <w:sz w:val="20"/>
          <w:szCs w:val="20"/>
        </w:rPr>
        <w:sectPr w:rsidR="008918FA">
          <w:pgSz w:w="11910" w:h="16840"/>
          <w:pgMar w:top="1480" w:right="1680" w:bottom="1180" w:left="1680" w:header="0" w:footer="987" w:gutter="0"/>
          <w:cols w:space="720"/>
        </w:sectPr>
      </w:pPr>
    </w:p>
    <w:p w:rsidR="008918FA" w:rsidRDefault="008918FA" w:rsidP="008918FA">
      <w:pPr>
        <w:pStyle w:val="BodyText"/>
        <w:spacing w:before="58"/>
        <w:ind w:left="1064" w:firstLine="0"/>
        <w:rPr>
          <w:rFonts w:ascii="Times New Roman" w:eastAsia="Times New Roman" w:hAnsi="Times New Roman" w:cs="Times New Roman"/>
        </w:rPr>
      </w:pPr>
      <w:bookmarkStart w:id="493" w:name="CALL_OFF_SCHEDULE_12:_DISPUTE_RESOLUTION"/>
      <w:bookmarkStart w:id="494" w:name="_bookmark408"/>
      <w:bookmarkEnd w:id="493"/>
      <w:bookmarkEnd w:id="494"/>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7"/>
        </w:rPr>
        <w:t>12:</w:t>
      </w:r>
      <w:r>
        <w:rPr>
          <w:rFonts w:ascii="Times New Roman"/>
          <w:spacing w:val="20"/>
        </w:rPr>
        <w:t xml:space="preserve"> </w:t>
      </w:r>
      <w:r>
        <w:rPr>
          <w:rFonts w:ascii="Times New Roman"/>
          <w:spacing w:val="-5"/>
        </w:rPr>
        <w:t>DIS</w:t>
      </w:r>
      <w:r>
        <w:rPr>
          <w:rFonts w:ascii="Times New Roman"/>
          <w:spacing w:val="-32"/>
        </w:rPr>
        <w:t xml:space="preserve"> </w:t>
      </w:r>
      <w:r>
        <w:rPr>
          <w:rFonts w:ascii="Times New Roman"/>
        </w:rPr>
        <w:t>P</w:t>
      </w:r>
      <w:r>
        <w:rPr>
          <w:rFonts w:ascii="Times New Roman"/>
          <w:spacing w:val="-32"/>
        </w:rPr>
        <w:t xml:space="preserve"> </w:t>
      </w:r>
      <w:r>
        <w:rPr>
          <w:rFonts w:ascii="Times New Roman"/>
          <w:spacing w:val="-2"/>
        </w:rPr>
        <w:t>UTE</w:t>
      </w:r>
      <w:r>
        <w:rPr>
          <w:rFonts w:ascii="Times New Roman"/>
          <w:spacing w:val="18"/>
        </w:rPr>
        <w:t xml:space="preserve"> </w:t>
      </w:r>
      <w:r>
        <w:rPr>
          <w:rFonts w:ascii="Times New Roman"/>
          <w:spacing w:val="5"/>
        </w:rPr>
        <w:t>RESOLUTION</w:t>
      </w:r>
      <w:r>
        <w:rPr>
          <w:rFonts w:ascii="Times New Roman"/>
          <w:spacing w:val="3"/>
        </w:rPr>
        <w:t xml:space="preserve"> </w:t>
      </w:r>
      <w:r>
        <w:rPr>
          <w:rFonts w:ascii="Times New Roman"/>
          <w:spacing w:val="9"/>
        </w:rPr>
        <w:t>PROCEDURE</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numPr>
          <w:ilvl w:val="0"/>
          <w:numId w:val="6"/>
        </w:numPr>
        <w:tabs>
          <w:tab w:val="left" w:pos="467"/>
        </w:tabs>
        <w:spacing w:before="0"/>
        <w:rPr>
          <w:rFonts w:ascii="Times New Roman" w:eastAsia="Times New Roman" w:hAnsi="Times New Roman" w:cs="Times New Roman"/>
        </w:rPr>
      </w:pPr>
      <w:r>
        <w:rPr>
          <w:rFonts w:ascii="Times New Roman"/>
          <w:spacing w:val="-1"/>
        </w:rPr>
        <w:t>DEFINITIONS</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
        </w:numPr>
        <w:tabs>
          <w:tab w:val="left" w:pos="829"/>
        </w:tabs>
        <w:spacing w:before="0"/>
      </w:pPr>
      <w:r>
        <w:t>In</w:t>
      </w:r>
      <w:r>
        <w:rPr>
          <w:spacing w:val="-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rPr>
          <w:spacing w:val="-2"/>
        </w:rPr>
        <w:t xml:space="preserve"> </w:t>
      </w:r>
      <w:r>
        <w:rPr>
          <w:spacing w:val="-1"/>
        </w:rPr>
        <w:t>12,</w:t>
      </w:r>
      <w:r>
        <w:t xml:space="preserve"> the</w:t>
      </w:r>
      <w:r>
        <w:rPr>
          <w:spacing w:val="-2"/>
        </w:rPr>
        <w:t xml:space="preserve"> following</w:t>
      </w:r>
      <w:r>
        <w:rPr>
          <w:spacing w:val="3"/>
        </w:rPr>
        <w:t xml:space="preserve"> </w:t>
      </w:r>
      <w:r>
        <w:rPr>
          <w:spacing w:val="-1"/>
        </w:rPr>
        <w:t>definitions</w:t>
      </w:r>
      <w:r>
        <w:rPr>
          <w:spacing w:val="1"/>
        </w:rPr>
        <w:t xml:space="preserve"> </w:t>
      </w:r>
      <w:r>
        <w:rPr>
          <w:spacing w:val="-1"/>
        </w:rPr>
        <w:t>shall</w:t>
      </w:r>
      <w:r>
        <w:t xml:space="preserve"> </w:t>
      </w:r>
      <w:r>
        <w:rPr>
          <w:spacing w:val="-2"/>
        </w:rPr>
        <w:t>apply:</w:t>
      </w:r>
    </w:p>
    <w:p w:rsidR="008918FA" w:rsidRDefault="008918FA" w:rsidP="008918FA">
      <w:pPr>
        <w:spacing w:before="4"/>
        <w:rPr>
          <w:rFonts w:ascii="Arial" w:eastAsia="Arial" w:hAnsi="Arial" w:cs="Arial"/>
          <w:sz w:val="7"/>
          <w:szCs w:val="7"/>
        </w:rPr>
      </w:pPr>
    </w:p>
    <w:tbl>
      <w:tblPr>
        <w:tblW w:w="0" w:type="auto"/>
        <w:tblInd w:w="1088" w:type="dxa"/>
        <w:tblLayout w:type="fixed"/>
        <w:tblCellMar>
          <w:left w:w="0" w:type="dxa"/>
          <w:right w:w="0" w:type="dxa"/>
        </w:tblCellMar>
        <w:tblLook w:val="01E0" w:firstRow="1" w:lastRow="1" w:firstColumn="1" w:lastColumn="1" w:noHBand="0" w:noVBand="0"/>
      </w:tblPr>
      <w:tblGrid>
        <w:gridCol w:w="2559"/>
        <w:gridCol w:w="4882"/>
      </w:tblGrid>
      <w:tr w:rsidR="008918FA" w:rsidTr="005D2B81">
        <w:trPr>
          <w:trHeight w:hRule="exact" w:val="864"/>
        </w:trPr>
        <w:tc>
          <w:tcPr>
            <w:tcW w:w="2559" w:type="dxa"/>
            <w:tcBorders>
              <w:top w:val="nil"/>
              <w:left w:val="nil"/>
              <w:bottom w:val="nil"/>
              <w:right w:val="nil"/>
            </w:tcBorders>
          </w:tcPr>
          <w:p w:rsidR="008918FA" w:rsidRDefault="008918FA" w:rsidP="005D2B81">
            <w:pPr>
              <w:pStyle w:val="TableParagraph"/>
              <w:spacing w:before="32"/>
              <w:ind w:left="230"/>
              <w:rPr>
                <w:rFonts w:ascii="Arial" w:eastAsia="Arial" w:hAnsi="Arial" w:cs="Arial"/>
              </w:rPr>
            </w:pPr>
            <w:r>
              <w:rPr>
                <w:rFonts w:ascii="Arial"/>
                <w:b/>
                <w:spacing w:val="-1"/>
              </w:rPr>
              <w:t>"CEDR"</w:t>
            </w:r>
          </w:p>
        </w:tc>
        <w:tc>
          <w:tcPr>
            <w:tcW w:w="4882" w:type="dxa"/>
            <w:tcBorders>
              <w:top w:val="nil"/>
              <w:left w:val="nil"/>
              <w:bottom w:val="nil"/>
              <w:right w:val="nil"/>
            </w:tcBorders>
          </w:tcPr>
          <w:p w:rsidR="008918FA" w:rsidRDefault="008918FA" w:rsidP="005D2B81">
            <w:pPr>
              <w:pStyle w:val="TableParagraph"/>
              <w:spacing w:before="35"/>
              <w:ind w:left="359" w:right="229"/>
              <w:jc w:val="both"/>
              <w:rPr>
                <w:rFonts w:ascii="Arial" w:eastAsia="Arial" w:hAnsi="Arial" w:cs="Arial"/>
              </w:rPr>
            </w:pPr>
            <w:r>
              <w:rPr>
                <w:rFonts w:ascii="Arial"/>
              </w:rPr>
              <w:t>the</w:t>
            </w:r>
            <w:r>
              <w:rPr>
                <w:rFonts w:ascii="Arial"/>
                <w:spacing w:val="27"/>
              </w:rPr>
              <w:t xml:space="preserve"> </w:t>
            </w:r>
            <w:r>
              <w:rPr>
                <w:rFonts w:ascii="Arial"/>
                <w:spacing w:val="-1"/>
              </w:rPr>
              <w:t>Centre</w:t>
            </w:r>
            <w:r>
              <w:rPr>
                <w:rFonts w:ascii="Arial"/>
                <w:spacing w:val="24"/>
              </w:rPr>
              <w:t xml:space="preserve"> </w:t>
            </w:r>
            <w:r>
              <w:rPr>
                <w:rFonts w:ascii="Arial"/>
              </w:rPr>
              <w:t>for</w:t>
            </w:r>
            <w:r>
              <w:rPr>
                <w:rFonts w:ascii="Arial"/>
                <w:spacing w:val="26"/>
              </w:rPr>
              <w:t xml:space="preserve"> </w:t>
            </w:r>
            <w:r>
              <w:rPr>
                <w:rFonts w:ascii="Arial"/>
                <w:spacing w:val="-1"/>
              </w:rPr>
              <w:t>Effective</w:t>
            </w:r>
            <w:r>
              <w:rPr>
                <w:rFonts w:ascii="Arial"/>
                <w:spacing w:val="24"/>
              </w:rPr>
              <w:t xml:space="preserve"> </w:t>
            </w:r>
            <w:r>
              <w:rPr>
                <w:rFonts w:ascii="Arial"/>
                <w:spacing w:val="-1"/>
              </w:rPr>
              <w:t>Dispute</w:t>
            </w:r>
            <w:r>
              <w:rPr>
                <w:rFonts w:ascii="Arial"/>
                <w:spacing w:val="27"/>
              </w:rPr>
              <w:t xml:space="preserve"> </w:t>
            </w:r>
            <w:r>
              <w:rPr>
                <w:rFonts w:ascii="Arial"/>
                <w:spacing w:val="-1"/>
              </w:rPr>
              <w:t>Resolution</w:t>
            </w:r>
            <w:r>
              <w:rPr>
                <w:rFonts w:ascii="Arial"/>
                <w:spacing w:val="23"/>
              </w:rPr>
              <w:t xml:space="preserve"> </w:t>
            </w:r>
            <w:r>
              <w:rPr>
                <w:rFonts w:ascii="Arial"/>
                <w:spacing w:val="-2"/>
              </w:rPr>
              <w:t>of</w:t>
            </w:r>
            <w:r>
              <w:rPr>
                <w:rFonts w:ascii="Arial"/>
                <w:spacing w:val="40"/>
              </w:rPr>
              <w:t xml:space="preserve"> </w:t>
            </w:r>
            <w:r>
              <w:rPr>
                <w:rFonts w:ascii="Arial"/>
                <w:spacing w:val="-1"/>
              </w:rPr>
              <w:t>International</w:t>
            </w:r>
            <w:r>
              <w:rPr>
                <w:rFonts w:ascii="Arial"/>
                <w:spacing w:val="36"/>
              </w:rPr>
              <w:t xml:space="preserve"> </w:t>
            </w:r>
            <w:r>
              <w:rPr>
                <w:rFonts w:ascii="Arial"/>
                <w:spacing w:val="-1"/>
              </w:rPr>
              <w:t>Dispute</w:t>
            </w:r>
            <w:r>
              <w:rPr>
                <w:rFonts w:ascii="Arial"/>
                <w:spacing w:val="34"/>
              </w:rPr>
              <w:t xml:space="preserve"> </w:t>
            </w:r>
            <w:r>
              <w:rPr>
                <w:rFonts w:ascii="Arial"/>
                <w:spacing w:val="-1"/>
              </w:rPr>
              <w:t>Resolution</w:t>
            </w:r>
            <w:r>
              <w:rPr>
                <w:rFonts w:ascii="Arial"/>
                <w:spacing w:val="36"/>
              </w:rPr>
              <w:t xml:space="preserve"> </w:t>
            </w:r>
            <w:r>
              <w:rPr>
                <w:rFonts w:ascii="Arial"/>
                <w:spacing w:val="-1"/>
              </w:rPr>
              <w:t>Centre,</w:t>
            </w:r>
            <w:r>
              <w:rPr>
                <w:rFonts w:ascii="Arial"/>
                <w:spacing w:val="29"/>
              </w:rPr>
              <w:t xml:space="preserve"> </w:t>
            </w:r>
            <w:r>
              <w:rPr>
                <w:rFonts w:ascii="Arial"/>
                <w:spacing w:val="-1"/>
              </w:rPr>
              <w:t>70</w:t>
            </w:r>
            <w:r>
              <w:rPr>
                <w:rFonts w:ascii="Arial"/>
              </w:rPr>
              <w:t xml:space="preserve"> </w:t>
            </w:r>
            <w:r>
              <w:rPr>
                <w:rFonts w:ascii="Arial"/>
                <w:spacing w:val="-1"/>
              </w:rPr>
              <w:t>Fleet</w:t>
            </w:r>
            <w:r>
              <w:rPr>
                <w:rFonts w:ascii="Arial"/>
                <w:spacing w:val="2"/>
              </w:rPr>
              <w:t xml:space="preserve"> </w:t>
            </w:r>
            <w:r>
              <w:rPr>
                <w:rFonts w:ascii="Arial"/>
                <w:spacing w:val="-1"/>
              </w:rPr>
              <w:t>Street,</w:t>
            </w:r>
            <w:r>
              <w:rPr>
                <w:rFonts w:ascii="Arial"/>
              </w:rPr>
              <w:t xml:space="preserve"> </w:t>
            </w:r>
            <w:r>
              <w:rPr>
                <w:rFonts w:ascii="Arial"/>
                <w:spacing w:val="-1"/>
              </w:rPr>
              <w:t>London,</w:t>
            </w:r>
            <w:r>
              <w:rPr>
                <w:rFonts w:ascii="Arial"/>
                <w:spacing w:val="-3"/>
              </w:rPr>
              <w:t xml:space="preserve"> </w:t>
            </w:r>
            <w:r>
              <w:rPr>
                <w:rFonts w:ascii="Arial"/>
                <w:spacing w:val="-1"/>
              </w:rPr>
              <w:t>EC4Y</w:t>
            </w:r>
            <w:r>
              <w:rPr>
                <w:rFonts w:ascii="Arial"/>
              </w:rPr>
              <w:t xml:space="preserve"> </w:t>
            </w:r>
            <w:r>
              <w:rPr>
                <w:rFonts w:ascii="Arial"/>
                <w:spacing w:val="-1"/>
              </w:rPr>
              <w:t>1EU;</w:t>
            </w:r>
          </w:p>
        </w:tc>
      </w:tr>
      <w:tr w:rsidR="008918FA" w:rsidTr="005D2B81">
        <w:trPr>
          <w:trHeight w:hRule="exact" w:val="626"/>
        </w:trPr>
        <w:tc>
          <w:tcPr>
            <w:tcW w:w="2559"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"Counter Notice"</w:t>
            </w:r>
          </w:p>
        </w:tc>
        <w:tc>
          <w:tcPr>
            <w:tcW w:w="4882" w:type="dxa"/>
            <w:tcBorders>
              <w:top w:val="nil"/>
              <w:left w:val="nil"/>
              <w:bottom w:val="nil"/>
              <w:right w:val="nil"/>
            </w:tcBorders>
          </w:tcPr>
          <w:p w:rsidR="008918FA" w:rsidRDefault="008918FA" w:rsidP="005D2B81">
            <w:pPr>
              <w:pStyle w:val="TableParagraph"/>
              <w:spacing w:before="49"/>
              <w:ind w:left="359"/>
              <w:rPr>
                <w:rFonts w:ascii="Arial" w:eastAsia="Arial" w:hAnsi="Arial" w:cs="Arial"/>
              </w:rPr>
            </w:pPr>
            <w:r>
              <w:rPr>
                <w:rFonts w:ascii="Arial"/>
                <w:spacing w:val="-1"/>
              </w:rPr>
              <w:t>has</w:t>
            </w:r>
            <w:r>
              <w:rPr>
                <w:rFonts w:ascii="Arial"/>
                <w:spacing w:val="51"/>
              </w:rPr>
              <w:t xml:space="preserve"> </w:t>
            </w:r>
            <w:r>
              <w:rPr>
                <w:rFonts w:ascii="Arial"/>
              </w:rPr>
              <w:t>the</w:t>
            </w:r>
            <w:r>
              <w:rPr>
                <w:rFonts w:ascii="Arial"/>
                <w:spacing w:val="51"/>
              </w:rPr>
              <w:t xml:space="preserve"> </w:t>
            </w:r>
            <w:r>
              <w:rPr>
                <w:rFonts w:ascii="Arial"/>
                <w:spacing w:val="-2"/>
              </w:rPr>
              <w:t>meaning</w:t>
            </w:r>
            <w:r>
              <w:rPr>
                <w:rFonts w:ascii="Arial"/>
                <w:spacing w:val="51"/>
              </w:rPr>
              <w:t xml:space="preserve"> </w:t>
            </w:r>
            <w:r>
              <w:rPr>
                <w:rFonts w:ascii="Arial"/>
                <w:spacing w:val="-1"/>
              </w:rPr>
              <w:t>given</w:t>
            </w:r>
            <w:r>
              <w:rPr>
                <w:rFonts w:ascii="Arial"/>
                <w:spacing w:val="53"/>
              </w:rPr>
              <w:t xml:space="preserve"> </w:t>
            </w:r>
            <w:r>
              <w:rPr>
                <w:rFonts w:ascii="Arial"/>
              </w:rPr>
              <w:t>to</w:t>
            </w:r>
            <w:r>
              <w:rPr>
                <w:rFonts w:ascii="Arial"/>
                <w:spacing w:val="51"/>
              </w:rPr>
              <w:t xml:space="preserve"> </w:t>
            </w:r>
            <w:r>
              <w:rPr>
                <w:rFonts w:ascii="Arial"/>
                <w:spacing w:val="-1"/>
              </w:rPr>
              <w:t>it</w:t>
            </w:r>
            <w:r>
              <w:rPr>
                <w:rFonts w:ascii="Arial"/>
                <w:spacing w:val="52"/>
              </w:rPr>
              <w:t xml:space="preserve"> </w:t>
            </w:r>
            <w:r>
              <w:rPr>
                <w:rFonts w:ascii="Arial"/>
                <w:spacing w:val="-1"/>
              </w:rPr>
              <w:t>in</w:t>
            </w:r>
            <w:r>
              <w:rPr>
                <w:rFonts w:ascii="Arial"/>
                <w:spacing w:val="52"/>
              </w:rPr>
              <w:t xml:space="preserve"> </w:t>
            </w:r>
            <w:r>
              <w:rPr>
                <w:rFonts w:ascii="Arial"/>
                <w:spacing w:val="-1"/>
              </w:rPr>
              <w:t>paragraph</w:t>
            </w:r>
          </w:p>
          <w:p w:rsidR="008918FA" w:rsidRDefault="00E32C6B" w:rsidP="005D2B81">
            <w:pPr>
              <w:pStyle w:val="TableParagraph"/>
              <w:spacing w:before="1"/>
              <w:ind w:left="359"/>
              <w:rPr>
                <w:rFonts w:ascii="Arial" w:eastAsia="Arial" w:hAnsi="Arial" w:cs="Arial"/>
              </w:rPr>
            </w:pPr>
            <w:hyperlink w:anchor="_bookmark421" w:history="1">
              <w:r w:rsidR="008918FA">
                <w:rPr>
                  <w:rFonts w:ascii="Arial"/>
                </w:rPr>
                <w:t>6.2</w:t>
              </w:r>
            </w:hyperlink>
            <w:r w:rsidR="008918FA">
              <w:rPr>
                <w:rFonts w:ascii="Arial"/>
              </w:rPr>
              <w:t xml:space="preserve"> </w:t>
            </w:r>
            <w:r w:rsidR="008918FA">
              <w:rPr>
                <w:rFonts w:ascii="Arial"/>
                <w:spacing w:val="-2"/>
              </w:rPr>
              <w:t>of</w:t>
            </w:r>
            <w:r w:rsidR="008918FA">
              <w:rPr>
                <w:rFonts w:ascii="Arial"/>
              </w:rPr>
              <w:t xml:space="preserve"> </w:t>
            </w:r>
            <w:r w:rsidR="008918FA">
              <w:rPr>
                <w:rFonts w:ascii="Arial"/>
                <w:spacing w:val="-1"/>
              </w:rPr>
              <w:t>this</w:t>
            </w:r>
            <w:r w:rsidR="008918FA">
              <w:rPr>
                <w:rFonts w:ascii="Arial"/>
                <w:spacing w:val="1"/>
              </w:rPr>
              <w:t xml:space="preserve"> </w:t>
            </w:r>
            <w:r w:rsidR="008918FA">
              <w:rPr>
                <w:rFonts w:ascii="Arial"/>
                <w:spacing w:val="-2"/>
              </w:rPr>
              <w:t>Call</w:t>
            </w:r>
            <w:r w:rsidR="008918FA">
              <w:rPr>
                <w:rFonts w:ascii="Arial"/>
              </w:rPr>
              <w:t xml:space="preserve"> </w:t>
            </w:r>
            <w:r w:rsidR="008918FA">
              <w:rPr>
                <w:rFonts w:ascii="Arial"/>
                <w:spacing w:val="-1"/>
              </w:rPr>
              <w:t>Off</w:t>
            </w:r>
            <w:r w:rsidR="008918FA">
              <w:rPr>
                <w:rFonts w:ascii="Arial"/>
              </w:rPr>
              <w:t xml:space="preserve"> </w:t>
            </w:r>
            <w:r w:rsidR="008918FA">
              <w:rPr>
                <w:rFonts w:ascii="Arial"/>
                <w:spacing w:val="-2"/>
              </w:rPr>
              <w:t>Schedule;</w:t>
            </w:r>
          </w:p>
        </w:tc>
      </w:tr>
      <w:tr w:rsidR="008918FA" w:rsidTr="005D2B81">
        <w:trPr>
          <w:trHeight w:hRule="exact" w:val="1133"/>
        </w:trPr>
        <w:tc>
          <w:tcPr>
            <w:tcW w:w="2559"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"Exception"</w:t>
            </w:r>
          </w:p>
        </w:tc>
        <w:tc>
          <w:tcPr>
            <w:tcW w:w="4882" w:type="dxa"/>
            <w:tcBorders>
              <w:top w:val="nil"/>
              <w:left w:val="nil"/>
              <w:bottom w:val="nil"/>
              <w:right w:val="nil"/>
            </w:tcBorders>
          </w:tcPr>
          <w:p w:rsidR="008918FA" w:rsidRDefault="008918FA" w:rsidP="005D2B81">
            <w:pPr>
              <w:pStyle w:val="TableParagraph"/>
              <w:spacing w:before="49"/>
              <w:ind w:left="359" w:right="229"/>
              <w:jc w:val="both"/>
              <w:rPr>
                <w:rFonts w:ascii="Arial" w:eastAsia="Arial" w:hAnsi="Arial" w:cs="Arial"/>
              </w:rPr>
            </w:pPr>
            <w:r>
              <w:rPr>
                <w:rFonts w:ascii="Arial"/>
              </w:rPr>
              <w:t>a</w:t>
            </w:r>
            <w:r>
              <w:rPr>
                <w:rFonts w:ascii="Arial"/>
                <w:spacing w:val="6"/>
              </w:rPr>
              <w:t xml:space="preserve"> </w:t>
            </w:r>
            <w:r>
              <w:rPr>
                <w:rFonts w:ascii="Arial"/>
                <w:spacing w:val="-2"/>
              </w:rPr>
              <w:t>deviation</w:t>
            </w:r>
            <w:r>
              <w:rPr>
                <w:rFonts w:ascii="Arial"/>
                <w:spacing w:val="6"/>
              </w:rPr>
              <w:t xml:space="preserve"> </w:t>
            </w:r>
            <w:r>
              <w:rPr>
                <w:rFonts w:ascii="Arial"/>
                <w:spacing w:val="-1"/>
              </w:rPr>
              <w:t>of</w:t>
            </w:r>
            <w:r>
              <w:rPr>
                <w:rFonts w:ascii="Arial"/>
                <w:spacing w:val="10"/>
              </w:rPr>
              <w:t xml:space="preserve"> </w:t>
            </w:r>
            <w:r>
              <w:rPr>
                <w:rFonts w:ascii="Arial"/>
                <w:spacing w:val="-1"/>
              </w:rPr>
              <w:t>project</w:t>
            </w:r>
            <w:r>
              <w:rPr>
                <w:rFonts w:ascii="Arial"/>
                <w:spacing w:val="8"/>
              </w:rPr>
              <w:t xml:space="preserve"> </w:t>
            </w:r>
            <w:r>
              <w:rPr>
                <w:rFonts w:ascii="Arial"/>
                <w:spacing w:val="-1"/>
              </w:rPr>
              <w:t>tolerances</w:t>
            </w:r>
            <w:r>
              <w:rPr>
                <w:rFonts w:ascii="Arial"/>
                <w:spacing w:val="7"/>
              </w:rPr>
              <w:t xml:space="preserve"> </w:t>
            </w:r>
            <w:r>
              <w:rPr>
                <w:rFonts w:ascii="Arial"/>
                <w:spacing w:val="-1"/>
              </w:rPr>
              <w:t>in</w:t>
            </w:r>
            <w:r>
              <w:rPr>
                <w:rFonts w:ascii="Arial"/>
                <w:spacing w:val="23"/>
              </w:rPr>
              <w:t xml:space="preserve"> </w:t>
            </w:r>
            <w:r>
              <w:rPr>
                <w:rFonts w:ascii="Arial"/>
                <w:spacing w:val="-1"/>
              </w:rPr>
              <w:t>accordance</w:t>
            </w:r>
            <w:r>
              <w:rPr>
                <w:rFonts w:ascii="Arial"/>
                <w:spacing w:val="32"/>
              </w:rPr>
              <w:t xml:space="preserve"> </w:t>
            </w:r>
            <w:r>
              <w:rPr>
                <w:rFonts w:ascii="Arial"/>
                <w:spacing w:val="-2"/>
              </w:rPr>
              <w:t>with</w:t>
            </w:r>
            <w:r>
              <w:rPr>
                <w:rFonts w:ascii="Arial"/>
                <w:spacing w:val="31"/>
              </w:rPr>
              <w:t xml:space="preserve"> </w:t>
            </w:r>
            <w:r>
              <w:rPr>
                <w:rFonts w:ascii="Arial"/>
                <w:spacing w:val="-1"/>
              </w:rPr>
              <w:t>PRINCE2</w:t>
            </w:r>
            <w:r>
              <w:rPr>
                <w:rFonts w:ascii="Arial"/>
                <w:spacing w:val="31"/>
              </w:rPr>
              <w:t xml:space="preserve"> </w:t>
            </w:r>
            <w:r>
              <w:rPr>
                <w:rFonts w:ascii="Arial"/>
                <w:spacing w:val="-1"/>
              </w:rPr>
              <w:t>methodology</w:t>
            </w:r>
            <w:r>
              <w:rPr>
                <w:rFonts w:ascii="Arial"/>
                <w:spacing w:val="30"/>
              </w:rPr>
              <w:t xml:space="preserve"> </w:t>
            </w:r>
            <w:r>
              <w:rPr>
                <w:rFonts w:ascii="Arial"/>
                <w:spacing w:val="-1"/>
              </w:rPr>
              <w:t>in</w:t>
            </w:r>
            <w:r>
              <w:rPr>
                <w:rFonts w:ascii="Arial"/>
                <w:spacing w:val="31"/>
              </w:rPr>
              <w:t xml:space="preserve"> </w:t>
            </w:r>
            <w:r>
              <w:rPr>
                <w:rFonts w:ascii="Arial"/>
                <w:spacing w:val="-1"/>
              </w:rPr>
              <w:t>respect</w:t>
            </w:r>
            <w:r>
              <w:rPr>
                <w:rFonts w:ascii="Arial"/>
                <w:spacing w:val="48"/>
              </w:rPr>
              <w:t xml:space="preserve"> </w:t>
            </w:r>
            <w:r>
              <w:rPr>
                <w:rFonts w:ascii="Arial"/>
                <w:spacing w:val="-2"/>
              </w:rPr>
              <w:t>of</w:t>
            </w:r>
            <w:r>
              <w:rPr>
                <w:rFonts w:ascii="Arial"/>
                <w:spacing w:val="47"/>
              </w:rPr>
              <w:t xml:space="preserve"> </w:t>
            </w:r>
            <w:r>
              <w:rPr>
                <w:rFonts w:ascii="Arial"/>
                <w:spacing w:val="-1"/>
              </w:rPr>
              <w:t>this</w:t>
            </w:r>
            <w:r>
              <w:rPr>
                <w:rFonts w:ascii="Arial"/>
                <w:spacing w:val="46"/>
              </w:rPr>
              <w:t xml:space="preserve"> </w:t>
            </w:r>
            <w:r>
              <w:rPr>
                <w:rFonts w:ascii="Arial"/>
                <w:spacing w:val="-2"/>
              </w:rPr>
              <w:t>Call</w:t>
            </w:r>
            <w:r>
              <w:rPr>
                <w:rFonts w:ascii="Arial"/>
                <w:spacing w:val="45"/>
              </w:rPr>
              <w:t xml:space="preserve"> </w:t>
            </w:r>
            <w:r>
              <w:rPr>
                <w:rFonts w:ascii="Arial"/>
                <w:spacing w:val="-1"/>
              </w:rPr>
              <w:t>Off</w:t>
            </w:r>
            <w:r>
              <w:rPr>
                <w:rFonts w:ascii="Arial"/>
                <w:spacing w:val="47"/>
              </w:rPr>
              <w:t xml:space="preserve"> </w:t>
            </w:r>
            <w:r>
              <w:rPr>
                <w:rFonts w:ascii="Arial"/>
                <w:spacing w:val="-1"/>
              </w:rPr>
              <w:t>Contract</w:t>
            </w:r>
            <w:r>
              <w:rPr>
                <w:rFonts w:ascii="Arial"/>
                <w:spacing w:val="48"/>
              </w:rPr>
              <w:t xml:space="preserve"> </w:t>
            </w:r>
            <w:r>
              <w:rPr>
                <w:rFonts w:ascii="Arial"/>
                <w:spacing w:val="-2"/>
              </w:rPr>
              <w:t>or</w:t>
            </w:r>
            <w:r>
              <w:rPr>
                <w:rFonts w:ascii="Arial"/>
                <w:spacing w:val="48"/>
              </w:rPr>
              <w:t xml:space="preserve"> </w:t>
            </w:r>
            <w:r>
              <w:rPr>
                <w:rFonts w:ascii="Arial"/>
                <w:spacing w:val="-1"/>
              </w:rPr>
              <w:t>in</w:t>
            </w:r>
            <w:r>
              <w:rPr>
                <w:rFonts w:ascii="Arial"/>
                <w:spacing w:val="46"/>
              </w:rPr>
              <w:t xml:space="preserve"> </w:t>
            </w:r>
            <w:r>
              <w:rPr>
                <w:rFonts w:ascii="Arial"/>
                <w:spacing w:val="-1"/>
              </w:rPr>
              <w:t>the</w:t>
            </w:r>
            <w:r>
              <w:rPr>
                <w:rFonts w:ascii="Arial"/>
                <w:spacing w:val="34"/>
              </w:rPr>
              <w:t xml:space="preserve"> </w:t>
            </w:r>
            <w:r>
              <w:rPr>
                <w:rFonts w:ascii="Arial"/>
                <w:spacing w:val="-1"/>
              </w:rPr>
              <w:t>supply</w:t>
            </w:r>
            <w:r>
              <w:rPr>
                <w:rFonts w:ascii="Arial"/>
                <w:spacing w:val="-2"/>
              </w:rPr>
              <w:t xml:space="preserve"> </w:t>
            </w:r>
            <w:r>
              <w:rPr>
                <w:rFonts w:ascii="Arial"/>
                <w:spacing w:val="-1"/>
              </w:rPr>
              <w:t>of</w:t>
            </w:r>
            <w:r>
              <w:rPr>
                <w:rFonts w:ascii="Arial"/>
                <w:spacing w:val="2"/>
              </w:rPr>
              <w:t xml:space="preserve"> </w:t>
            </w:r>
            <w:r>
              <w:rPr>
                <w:rFonts w:ascii="Arial"/>
              </w:rPr>
              <w:t>the</w:t>
            </w:r>
            <w:r>
              <w:rPr>
                <w:rFonts w:ascii="Arial"/>
                <w:spacing w:val="-2"/>
              </w:rPr>
              <w:t xml:space="preserve"> </w:t>
            </w:r>
            <w:r>
              <w:rPr>
                <w:rFonts w:ascii="Arial"/>
                <w:spacing w:val="-1"/>
              </w:rPr>
              <w:t>Goods</w:t>
            </w:r>
            <w:r>
              <w:rPr>
                <w:rFonts w:ascii="Arial"/>
                <w:spacing w:val="1"/>
              </w:rPr>
              <w:t xml:space="preserve"> </w:t>
            </w:r>
            <w:r>
              <w:rPr>
                <w:rFonts w:ascii="Arial"/>
                <w:spacing w:val="-2"/>
              </w:rPr>
              <w:t>and/or</w:t>
            </w:r>
            <w:r>
              <w:rPr>
                <w:rFonts w:ascii="Arial"/>
                <w:spacing w:val="2"/>
              </w:rPr>
              <w:t xml:space="preserve"> </w:t>
            </w:r>
            <w:r>
              <w:rPr>
                <w:rFonts w:ascii="Arial"/>
                <w:spacing w:val="-2"/>
              </w:rPr>
              <w:t>Services;</w:t>
            </w:r>
          </w:p>
        </w:tc>
      </w:tr>
      <w:tr w:rsidR="008918FA" w:rsidTr="005D2B81">
        <w:trPr>
          <w:trHeight w:hRule="exact" w:val="878"/>
        </w:trPr>
        <w:tc>
          <w:tcPr>
            <w:tcW w:w="2559"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"Expert"</w:t>
            </w:r>
          </w:p>
        </w:tc>
        <w:tc>
          <w:tcPr>
            <w:tcW w:w="4882" w:type="dxa"/>
            <w:tcBorders>
              <w:top w:val="nil"/>
              <w:left w:val="nil"/>
              <w:bottom w:val="nil"/>
              <w:right w:val="nil"/>
            </w:tcBorders>
          </w:tcPr>
          <w:p w:rsidR="008918FA" w:rsidRDefault="008918FA" w:rsidP="005D2B81">
            <w:pPr>
              <w:pStyle w:val="TableParagraph"/>
              <w:spacing w:before="49"/>
              <w:ind w:left="359" w:right="230"/>
              <w:jc w:val="both"/>
              <w:rPr>
                <w:rFonts w:ascii="Arial" w:eastAsia="Arial" w:hAnsi="Arial" w:cs="Arial"/>
              </w:rPr>
            </w:pPr>
            <w:r>
              <w:rPr>
                <w:rFonts w:ascii="Arial"/>
              </w:rPr>
              <w:t>the</w:t>
            </w:r>
            <w:r>
              <w:rPr>
                <w:rFonts w:ascii="Arial"/>
                <w:spacing w:val="35"/>
              </w:rPr>
              <w:t xml:space="preserve"> </w:t>
            </w:r>
            <w:r>
              <w:rPr>
                <w:rFonts w:ascii="Arial"/>
                <w:spacing w:val="-1"/>
              </w:rPr>
              <w:t>person</w:t>
            </w:r>
            <w:r>
              <w:rPr>
                <w:rFonts w:ascii="Arial"/>
                <w:spacing w:val="35"/>
              </w:rPr>
              <w:t xml:space="preserve"> </w:t>
            </w:r>
            <w:r>
              <w:rPr>
                <w:rFonts w:ascii="Arial"/>
                <w:spacing w:val="-1"/>
              </w:rPr>
              <w:t>appointed</w:t>
            </w:r>
            <w:r>
              <w:rPr>
                <w:rFonts w:ascii="Arial"/>
                <w:spacing w:val="32"/>
              </w:rPr>
              <w:t xml:space="preserve"> </w:t>
            </w:r>
            <w:r>
              <w:rPr>
                <w:rFonts w:ascii="Arial"/>
                <w:spacing w:val="-1"/>
              </w:rPr>
              <w:t>by</w:t>
            </w:r>
            <w:r>
              <w:rPr>
                <w:rFonts w:ascii="Arial"/>
                <w:spacing w:val="33"/>
              </w:rPr>
              <w:t xml:space="preserve"> </w:t>
            </w:r>
            <w:r>
              <w:rPr>
                <w:rFonts w:ascii="Arial"/>
              </w:rPr>
              <w:t>the</w:t>
            </w:r>
            <w:r>
              <w:rPr>
                <w:rFonts w:ascii="Arial"/>
                <w:spacing w:val="35"/>
              </w:rPr>
              <w:t xml:space="preserve"> </w:t>
            </w:r>
            <w:r>
              <w:rPr>
                <w:rFonts w:ascii="Arial"/>
                <w:spacing w:val="-1"/>
              </w:rPr>
              <w:t>Parties</w:t>
            </w:r>
            <w:r>
              <w:rPr>
                <w:rFonts w:ascii="Arial"/>
                <w:spacing w:val="35"/>
              </w:rPr>
              <w:t xml:space="preserve"> </w:t>
            </w:r>
            <w:r>
              <w:rPr>
                <w:rFonts w:ascii="Arial"/>
                <w:spacing w:val="-1"/>
              </w:rPr>
              <w:t>in</w:t>
            </w:r>
            <w:r>
              <w:rPr>
                <w:rFonts w:ascii="Arial"/>
                <w:spacing w:val="30"/>
              </w:rPr>
              <w:t xml:space="preserve"> </w:t>
            </w:r>
            <w:r>
              <w:rPr>
                <w:rFonts w:ascii="Arial"/>
                <w:spacing w:val="-1"/>
              </w:rPr>
              <w:t>accordance</w:t>
            </w:r>
            <w:r>
              <w:rPr>
                <w:rFonts w:ascii="Arial"/>
                <w:spacing w:val="30"/>
              </w:rPr>
              <w:t xml:space="preserve"> </w:t>
            </w:r>
            <w:r>
              <w:rPr>
                <w:rFonts w:ascii="Arial"/>
                <w:spacing w:val="-2"/>
              </w:rPr>
              <w:t>with</w:t>
            </w:r>
            <w:r>
              <w:rPr>
                <w:rFonts w:ascii="Arial"/>
                <w:spacing w:val="29"/>
              </w:rPr>
              <w:t xml:space="preserve"> </w:t>
            </w:r>
            <w:r>
              <w:rPr>
                <w:rFonts w:ascii="Arial"/>
                <w:spacing w:val="-1"/>
              </w:rPr>
              <w:t>paragraph</w:t>
            </w:r>
            <w:r>
              <w:rPr>
                <w:rFonts w:ascii="Arial"/>
                <w:spacing w:val="30"/>
              </w:rPr>
              <w:t xml:space="preserve"> </w:t>
            </w:r>
            <w:hyperlink w:anchor="_bookmark419" w:history="1">
              <w:r>
                <w:rPr>
                  <w:rFonts w:ascii="Arial"/>
                </w:rPr>
                <w:t>5.2</w:t>
              </w:r>
            </w:hyperlink>
            <w:r>
              <w:rPr>
                <w:rFonts w:ascii="Arial"/>
                <w:spacing w:val="29"/>
              </w:rPr>
              <w:t xml:space="preserve"> </w:t>
            </w:r>
            <w:r>
              <w:rPr>
                <w:rFonts w:ascii="Arial"/>
                <w:spacing w:val="-2"/>
              </w:rPr>
              <w:t>of</w:t>
            </w:r>
            <w:r>
              <w:rPr>
                <w:rFonts w:ascii="Arial"/>
                <w:spacing w:val="33"/>
              </w:rPr>
              <w:t xml:space="preserve"> </w:t>
            </w:r>
            <w:r>
              <w:rPr>
                <w:rFonts w:ascii="Arial"/>
                <w:spacing w:val="-1"/>
              </w:rPr>
              <w:t>this</w:t>
            </w:r>
            <w:r>
              <w:rPr>
                <w:rFonts w:ascii="Arial"/>
                <w:spacing w:val="30"/>
              </w:rPr>
              <w:t xml:space="preserve"> </w:t>
            </w:r>
            <w:r>
              <w:rPr>
                <w:rFonts w:ascii="Arial"/>
                <w:spacing w:val="-2"/>
              </w:rPr>
              <w:t>Call</w:t>
            </w:r>
            <w:r>
              <w:rPr>
                <w:rFonts w:ascii="Arial"/>
                <w:spacing w:val="21"/>
              </w:rPr>
              <w:t xml:space="preserve"> </w:t>
            </w:r>
            <w:r>
              <w:rPr>
                <w:rFonts w:ascii="Arial"/>
                <w:spacing w:val="-1"/>
              </w:rPr>
              <w:t>Off</w:t>
            </w:r>
            <w:r>
              <w:rPr>
                <w:rFonts w:ascii="Arial"/>
                <w:spacing w:val="2"/>
              </w:rPr>
              <w:t xml:space="preserve"> </w:t>
            </w:r>
            <w:r>
              <w:rPr>
                <w:rFonts w:ascii="Arial"/>
                <w:spacing w:val="-1"/>
              </w:rPr>
              <w:t>Schedule</w:t>
            </w:r>
            <w:r>
              <w:rPr>
                <w:rFonts w:ascii="Arial"/>
                <w:spacing w:val="-2"/>
              </w:rPr>
              <w:t xml:space="preserve"> </w:t>
            </w:r>
            <w:r>
              <w:rPr>
                <w:rFonts w:ascii="Arial"/>
                <w:spacing w:val="-1"/>
              </w:rPr>
              <w:t>12;</w:t>
            </w:r>
            <w:r>
              <w:rPr>
                <w:rFonts w:ascii="Arial"/>
              </w:rPr>
              <w:t xml:space="preserve"> </w:t>
            </w:r>
            <w:r>
              <w:rPr>
                <w:rFonts w:ascii="Arial"/>
                <w:spacing w:val="-1"/>
              </w:rPr>
              <w:t>and</w:t>
            </w:r>
          </w:p>
        </w:tc>
      </w:tr>
      <w:tr w:rsidR="008918FA" w:rsidTr="005D2B81">
        <w:trPr>
          <w:trHeight w:hRule="exact" w:val="626"/>
        </w:trPr>
        <w:tc>
          <w:tcPr>
            <w:tcW w:w="2559"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"Mediation</w:t>
            </w:r>
            <w:r>
              <w:rPr>
                <w:rFonts w:ascii="Arial"/>
                <w:b/>
              </w:rPr>
              <w:t xml:space="preserve"> </w:t>
            </w:r>
            <w:r>
              <w:rPr>
                <w:rFonts w:ascii="Arial"/>
                <w:b/>
                <w:spacing w:val="-2"/>
              </w:rPr>
              <w:t>Notice"</w:t>
            </w:r>
          </w:p>
        </w:tc>
        <w:tc>
          <w:tcPr>
            <w:tcW w:w="4882" w:type="dxa"/>
            <w:tcBorders>
              <w:top w:val="nil"/>
              <w:left w:val="nil"/>
              <w:bottom w:val="nil"/>
              <w:right w:val="nil"/>
            </w:tcBorders>
          </w:tcPr>
          <w:p w:rsidR="008918FA" w:rsidRDefault="008918FA" w:rsidP="005D2B81">
            <w:pPr>
              <w:pStyle w:val="TableParagraph"/>
              <w:spacing w:before="49"/>
              <w:ind w:left="359"/>
              <w:rPr>
                <w:rFonts w:ascii="Arial" w:eastAsia="Arial" w:hAnsi="Arial" w:cs="Arial"/>
              </w:rPr>
            </w:pPr>
            <w:r>
              <w:rPr>
                <w:rFonts w:ascii="Arial"/>
                <w:spacing w:val="-1"/>
              </w:rPr>
              <w:t>has</w:t>
            </w:r>
            <w:r>
              <w:rPr>
                <w:rFonts w:ascii="Arial"/>
                <w:spacing w:val="51"/>
              </w:rPr>
              <w:t xml:space="preserve"> </w:t>
            </w:r>
            <w:r>
              <w:rPr>
                <w:rFonts w:ascii="Arial"/>
              </w:rPr>
              <w:t>the</w:t>
            </w:r>
            <w:r>
              <w:rPr>
                <w:rFonts w:ascii="Arial"/>
                <w:spacing w:val="51"/>
              </w:rPr>
              <w:t xml:space="preserve"> </w:t>
            </w:r>
            <w:r>
              <w:rPr>
                <w:rFonts w:ascii="Arial"/>
                <w:spacing w:val="-2"/>
              </w:rPr>
              <w:t>meaning</w:t>
            </w:r>
            <w:r>
              <w:rPr>
                <w:rFonts w:ascii="Arial"/>
                <w:spacing w:val="51"/>
              </w:rPr>
              <w:t xml:space="preserve"> </w:t>
            </w:r>
            <w:r>
              <w:rPr>
                <w:rFonts w:ascii="Arial"/>
                <w:spacing w:val="-1"/>
              </w:rPr>
              <w:t>given</w:t>
            </w:r>
            <w:r>
              <w:rPr>
                <w:rFonts w:ascii="Arial"/>
                <w:spacing w:val="53"/>
              </w:rPr>
              <w:t xml:space="preserve"> </w:t>
            </w:r>
            <w:r>
              <w:rPr>
                <w:rFonts w:ascii="Arial"/>
              </w:rPr>
              <w:t>to</w:t>
            </w:r>
            <w:r>
              <w:rPr>
                <w:rFonts w:ascii="Arial"/>
                <w:spacing w:val="51"/>
              </w:rPr>
              <w:t xml:space="preserve"> </w:t>
            </w:r>
            <w:r>
              <w:rPr>
                <w:rFonts w:ascii="Arial"/>
                <w:spacing w:val="-1"/>
              </w:rPr>
              <w:t>it</w:t>
            </w:r>
            <w:r>
              <w:rPr>
                <w:rFonts w:ascii="Arial"/>
                <w:spacing w:val="52"/>
              </w:rPr>
              <w:t xml:space="preserve"> </w:t>
            </w:r>
            <w:r>
              <w:rPr>
                <w:rFonts w:ascii="Arial"/>
                <w:spacing w:val="-1"/>
              </w:rPr>
              <w:t>in</w:t>
            </w:r>
            <w:r>
              <w:rPr>
                <w:rFonts w:ascii="Arial"/>
                <w:spacing w:val="52"/>
              </w:rPr>
              <w:t xml:space="preserve"> </w:t>
            </w:r>
            <w:r>
              <w:rPr>
                <w:rFonts w:ascii="Arial"/>
                <w:spacing w:val="-1"/>
              </w:rPr>
              <w:t>paragraph</w:t>
            </w:r>
          </w:p>
          <w:p w:rsidR="008918FA" w:rsidRDefault="00E32C6B" w:rsidP="005D2B81">
            <w:pPr>
              <w:pStyle w:val="TableParagraph"/>
              <w:spacing w:before="1"/>
              <w:ind w:left="359"/>
              <w:rPr>
                <w:rFonts w:ascii="Arial" w:eastAsia="Arial" w:hAnsi="Arial" w:cs="Arial"/>
              </w:rPr>
            </w:pPr>
            <w:hyperlink w:anchor="_bookmark414" w:history="1">
              <w:r w:rsidR="008918FA">
                <w:rPr>
                  <w:rFonts w:ascii="Arial"/>
                </w:rPr>
                <w:t>3.2</w:t>
              </w:r>
            </w:hyperlink>
            <w:r w:rsidR="008918FA">
              <w:rPr>
                <w:rFonts w:ascii="Arial"/>
              </w:rPr>
              <w:t xml:space="preserve"> </w:t>
            </w:r>
            <w:r w:rsidR="008918FA">
              <w:rPr>
                <w:rFonts w:ascii="Arial"/>
                <w:spacing w:val="-2"/>
              </w:rPr>
              <w:t>of</w:t>
            </w:r>
            <w:r w:rsidR="008918FA">
              <w:rPr>
                <w:rFonts w:ascii="Arial"/>
              </w:rPr>
              <w:t xml:space="preserve"> </w:t>
            </w:r>
            <w:r w:rsidR="008918FA">
              <w:rPr>
                <w:rFonts w:ascii="Arial"/>
                <w:spacing w:val="-1"/>
              </w:rPr>
              <w:t>this</w:t>
            </w:r>
            <w:r w:rsidR="008918FA">
              <w:rPr>
                <w:rFonts w:ascii="Arial"/>
                <w:spacing w:val="1"/>
              </w:rPr>
              <w:t xml:space="preserve"> </w:t>
            </w:r>
            <w:r w:rsidR="008918FA">
              <w:rPr>
                <w:rFonts w:ascii="Arial"/>
                <w:spacing w:val="-2"/>
              </w:rPr>
              <w:t>Call</w:t>
            </w:r>
            <w:r w:rsidR="008918FA">
              <w:rPr>
                <w:rFonts w:ascii="Arial"/>
              </w:rPr>
              <w:t xml:space="preserve"> </w:t>
            </w:r>
            <w:r w:rsidR="008918FA">
              <w:rPr>
                <w:rFonts w:ascii="Arial"/>
                <w:spacing w:val="-1"/>
              </w:rPr>
              <w:t>Off</w:t>
            </w:r>
            <w:r w:rsidR="008918FA">
              <w:rPr>
                <w:rFonts w:ascii="Arial"/>
              </w:rPr>
              <w:t xml:space="preserve"> </w:t>
            </w:r>
            <w:r w:rsidR="008918FA">
              <w:rPr>
                <w:rFonts w:ascii="Arial"/>
                <w:spacing w:val="-2"/>
              </w:rPr>
              <w:t>Schedule;</w:t>
            </w:r>
          </w:p>
        </w:tc>
      </w:tr>
      <w:tr w:rsidR="008918FA" w:rsidTr="005D2B81">
        <w:trPr>
          <w:trHeight w:hRule="exact" w:val="864"/>
        </w:trPr>
        <w:tc>
          <w:tcPr>
            <w:tcW w:w="2559" w:type="dxa"/>
            <w:tcBorders>
              <w:top w:val="nil"/>
              <w:left w:val="nil"/>
              <w:bottom w:val="nil"/>
              <w:right w:val="nil"/>
            </w:tcBorders>
          </w:tcPr>
          <w:p w:rsidR="008918FA" w:rsidRDefault="008918FA" w:rsidP="005D2B81">
            <w:pPr>
              <w:pStyle w:val="TableParagraph"/>
              <w:spacing w:before="47"/>
              <w:ind w:left="230"/>
              <w:rPr>
                <w:rFonts w:ascii="Arial" w:eastAsia="Arial" w:hAnsi="Arial" w:cs="Arial"/>
              </w:rPr>
            </w:pPr>
            <w:r>
              <w:rPr>
                <w:rFonts w:ascii="Arial"/>
                <w:b/>
                <w:spacing w:val="-1"/>
              </w:rPr>
              <w:t>"Mediator"</w:t>
            </w:r>
          </w:p>
        </w:tc>
        <w:tc>
          <w:tcPr>
            <w:tcW w:w="4882" w:type="dxa"/>
            <w:tcBorders>
              <w:top w:val="nil"/>
              <w:left w:val="nil"/>
              <w:bottom w:val="nil"/>
              <w:right w:val="nil"/>
            </w:tcBorders>
          </w:tcPr>
          <w:p w:rsidR="008918FA" w:rsidRDefault="008918FA" w:rsidP="005D2B81">
            <w:pPr>
              <w:pStyle w:val="TableParagraph"/>
              <w:spacing w:before="49"/>
              <w:ind w:left="359" w:right="230"/>
              <w:jc w:val="both"/>
              <w:rPr>
                <w:rFonts w:ascii="Arial" w:eastAsia="Arial" w:hAnsi="Arial" w:cs="Arial"/>
              </w:rPr>
            </w:pPr>
            <w:r>
              <w:rPr>
                <w:rFonts w:ascii="Arial"/>
              </w:rPr>
              <w:t>the</w:t>
            </w:r>
            <w:r>
              <w:rPr>
                <w:rFonts w:ascii="Arial"/>
                <w:spacing w:val="21"/>
              </w:rPr>
              <w:t xml:space="preserve"> </w:t>
            </w:r>
            <w:r>
              <w:rPr>
                <w:rFonts w:ascii="Arial"/>
                <w:spacing w:val="-1"/>
              </w:rPr>
              <w:t>independent</w:t>
            </w:r>
            <w:r>
              <w:rPr>
                <w:rFonts w:ascii="Arial"/>
                <w:spacing w:val="20"/>
              </w:rPr>
              <w:t xml:space="preserve"> </w:t>
            </w:r>
            <w:r>
              <w:rPr>
                <w:rFonts w:ascii="Arial"/>
                <w:spacing w:val="-1"/>
              </w:rPr>
              <w:t>third</w:t>
            </w:r>
            <w:r>
              <w:rPr>
                <w:rFonts w:ascii="Arial"/>
                <w:spacing w:val="18"/>
              </w:rPr>
              <w:t xml:space="preserve"> </w:t>
            </w:r>
            <w:r>
              <w:rPr>
                <w:rFonts w:ascii="Arial"/>
                <w:spacing w:val="-1"/>
              </w:rPr>
              <w:t>party</w:t>
            </w:r>
            <w:r>
              <w:rPr>
                <w:rFonts w:ascii="Arial"/>
                <w:spacing w:val="19"/>
              </w:rPr>
              <w:t xml:space="preserve"> </w:t>
            </w:r>
            <w:r>
              <w:rPr>
                <w:rFonts w:ascii="Arial"/>
                <w:spacing w:val="-1"/>
              </w:rPr>
              <w:t>appointed</w:t>
            </w:r>
            <w:r>
              <w:rPr>
                <w:rFonts w:ascii="Arial"/>
                <w:spacing w:val="21"/>
              </w:rPr>
              <w:t xml:space="preserve"> </w:t>
            </w:r>
            <w:r>
              <w:rPr>
                <w:rFonts w:ascii="Arial"/>
                <w:spacing w:val="-1"/>
              </w:rPr>
              <w:t>in</w:t>
            </w:r>
            <w:r>
              <w:rPr>
                <w:rFonts w:ascii="Arial"/>
                <w:spacing w:val="30"/>
              </w:rPr>
              <w:t xml:space="preserve"> </w:t>
            </w:r>
            <w:r>
              <w:rPr>
                <w:rFonts w:ascii="Arial"/>
                <w:spacing w:val="-1"/>
              </w:rPr>
              <w:t>accordance</w:t>
            </w:r>
            <w:r>
              <w:rPr>
                <w:rFonts w:ascii="Arial"/>
                <w:spacing w:val="30"/>
              </w:rPr>
              <w:t xml:space="preserve"> </w:t>
            </w:r>
            <w:r>
              <w:rPr>
                <w:rFonts w:ascii="Arial"/>
                <w:spacing w:val="-2"/>
              </w:rPr>
              <w:t>with</w:t>
            </w:r>
            <w:r>
              <w:rPr>
                <w:rFonts w:ascii="Arial"/>
                <w:spacing w:val="29"/>
              </w:rPr>
              <w:t xml:space="preserve"> </w:t>
            </w:r>
            <w:r>
              <w:rPr>
                <w:rFonts w:ascii="Arial"/>
                <w:spacing w:val="-1"/>
              </w:rPr>
              <w:t>paragraph</w:t>
            </w:r>
            <w:r>
              <w:rPr>
                <w:rFonts w:ascii="Arial"/>
                <w:spacing w:val="30"/>
              </w:rPr>
              <w:t xml:space="preserve"> </w:t>
            </w:r>
            <w:hyperlink w:anchor="_bookmark417" w:history="1">
              <w:r>
                <w:rPr>
                  <w:rFonts w:ascii="Arial"/>
                </w:rPr>
                <w:t>4.2</w:t>
              </w:r>
            </w:hyperlink>
            <w:r>
              <w:rPr>
                <w:rFonts w:ascii="Arial"/>
                <w:spacing w:val="29"/>
              </w:rPr>
              <w:t xml:space="preserve"> </w:t>
            </w:r>
            <w:r>
              <w:rPr>
                <w:rFonts w:ascii="Arial"/>
                <w:spacing w:val="-2"/>
              </w:rPr>
              <w:t>of</w:t>
            </w:r>
            <w:r>
              <w:rPr>
                <w:rFonts w:ascii="Arial"/>
                <w:spacing w:val="33"/>
              </w:rPr>
              <w:t xml:space="preserve"> </w:t>
            </w:r>
            <w:r>
              <w:rPr>
                <w:rFonts w:ascii="Arial"/>
                <w:spacing w:val="-1"/>
              </w:rPr>
              <w:t>this</w:t>
            </w:r>
            <w:r>
              <w:rPr>
                <w:rFonts w:ascii="Arial"/>
                <w:spacing w:val="30"/>
              </w:rPr>
              <w:t xml:space="preserve"> </w:t>
            </w:r>
            <w:r>
              <w:rPr>
                <w:rFonts w:ascii="Arial"/>
                <w:spacing w:val="-2"/>
              </w:rPr>
              <w:t>Call</w:t>
            </w:r>
            <w:r>
              <w:rPr>
                <w:rFonts w:ascii="Arial"/>
                <w:spacing w:val="21"/>
              </w:rPr>
              <w:t xml:space="preserve"> </w:t>
            </w:r>
            <w:r>
              <w:rPr>
                <w:rFonts w:ascii="Arial"/>
                <w:spacing w:val="-1"/>
              </w:rPr>
              <w:t>Off</w:t>
            </w:r>
            <w:r>
              <w:rPr>
                <w:rFonts w:ascii="Arial"/>
                <w:spacing w:val="2"/>
              </w:rPr>
              <w:t xml:space="preserve"> </w:t>
            </w:r>
            <w:r>
              <w:rPr>
                <w:rFonts w:ascii="Arial"/>
                <w:spacing w:val="-1"/>
              </w:rPr>
              <w:t>Schedule</w:t>
            </w:r>
            <w:r>
              <w:rPr>
                <w:rFonts w:ascii="Arial"/>
                <w:spacing w:val="-2"/>
              </w:rPr>
              <w:t xml:space="preserve"> </w:t>
            </w:r>
            <w:r>
              <w:rPr>
                <w:rFonts w:ascii="Arial"/>
                <w:spacing w:val="-1"/>
              </w:rPr>
              <w:t>12.</w:t>
            </w:r>
          </w:p>
        </w:tc>
      </w:tr>
    </w:tbl>
    <w:p w:rsidR="008918FA" w:rsidRDefault="008918FA" w:rsidP="008918FA">
      <w:pPr>
        <w:spacing w:before="6"/>
        <w:rPr>
          <w:rFonts w:ascii="Arial" w:eastAsia="Arial" w:hAnsi="Arial" w:cs="Arial"/>
          <w:sz w:val="9"/>
          <w:szCs w:val="9"/>
        </w:rPr>
      </w:pPr>
    </w:p>
    <w:p w:rsidR="008918FA" w:rsidRDefault="008918FA" w:rsidP="008918FA">
      <w:pPr>
        <w:pStyle w:val="BodyText"/>
        <w:numPr>
          <w:ilvl w:val="0"/>
          <w:numId w:val="6"/>
        </w:numPr>
        <w:tabs>
          <w:tab w:val="left" w:pos="467"/>
        </w:tabs>
        <w:spacing w:before="72"/>
        <w:rPr>
          <w:rFonts w:ascii="Times New Roman" w:eastAsia="Times New Roman" w:hAnsi="Times New Roman" w:cs="Times New Roman"/>
        </w:rPr>
      </w:pPr>
      <w:r>
        <w:rPr>
          <w:rFonts w:ascii="Times New Roman"/>
          <w:spacing w:val="1"/>
        </w:rPr>
        <w:t>INTRODUCTION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
        </w:numPr>
        <w:tabs>
          <w:tab w:val="left" w:pos="829"/>
        </w:tabs>
        <w:spacing w:before="0"/>
      </w:pPr>
      <w:bookmarkStart w:id="495" w:name="_bookmark409"/>
      <w:bookmarkEnd w:id="495"/>
      <w:r>
        <w:rPr>
          <w:spacing w:val="-1"/>
        </w:rPr>
        <w:t>If</w:t>
      </w:r>
      <w:r>
        <w:rPr>
          <w:spacing w:val="2"/>
        </w:rPr>
        <w:t xml:space="preserve"> </w:t>
      </w:r>
      <w:r>
        <w:t xml:space="preserve">a </w:t>
      </w:r>
      <w:r>
        <w:rPr>
          <w:spacing w:val="-1"/>
        </w:rPr>
        <w:t>Dispute</w:t>
      </w:r>
      <w:r>
        <w:rPr>
          <w:spacing w:val="-2"/>
        </w:rPr>
        <w:t xml:space="preserve"> </w:t>
      </w:r>
      <w:r>
        <w:rPr>
          <w:spacing w:val="-1"/>
        </w:rPr>
        <w:t>arises</w:t>
      </w:r>
      <w:r>
        <w:rPr>
          <w:spacing w:val="-2"/>
        </w:rPr>
        <w:t xml:space="preserve"> </w:t>
      </w:r>
      <w:r>
        <w:rPr>
          <w:spacing w:val="-1"/>
        </w:rPr>
        <w:t>then:</w:t>
      </w:r>
    </w:p>
    <w:p w:rsidR="008918FA" w:rsidRDefault="008918FA" w:rsidP="008918FA">
      <w:pPr>
        <w:pStyle w:val="BodyText"/>
        <w:numPr>
          <w:ilvl w:val="2"/>
          <w:numId w:val="6"/>
        </w:numPr>
        <w:tabs>
          <w:tab w:val="left" w:pos="2027"/>
        </w:tabs>
        <w:ind w:right="119"/>
        <w:jc w:val="both"/>
      </w:pPr>
      <w:r>
        <w:t>the</w:t>
      </w:r>
      <w:r>
        <w:rPr>
          <w:spacing w:val="41"/>
        </w:rPr>
        <w:t xml:space="preserve"> </w:t>
      </w:r>
      <w:r>
        <w:rPr>
          <w:spacing w:val="-1"/>
        </w:rPr>
        <w:t>representative</w:t>
      </w:r>
      <w:r>
        <w:rPr>
          <w:spacing w:val="41"/>
        </w:rPr>
        <w:t xml:space="preserve"> </w:t>
      </w:r>
      <w:r>
        <w:rPr>
          <w:spacing w:val="-2"/>
        </w:rPr>
        <w:t>of</w:t>
      </w:r>
      <w:r>
        <w:rPr>
          <w:spacing w:val="42"/>
        </w:rPr>
        <w:t xml:space="preserve"> </w:t>
      </w:r>
      <w:r>
        <w:rPr>
          <w:spacing w:val="-1"/>
        </w:rPr>
        <w:t>the</w:t>
      </w:r>
      <w:r>
        <w:rPr>
          <w:spacing w:val="41"/>
        </w:rPr>
        <w:t xml:space="preserve"> </w:t>
      </w:r>
      <w:r>
        <w:rPr>
          <w:spacing w:val="-1"/>
        </w:rPr>
        <w:t>Customer</w:t>
      </w:r>
      <w:r>
        <w:rPr>
          <w:spacing w:val="42"/>
        </w:rPr>
        <w:t xml:space="preserve"> </w:t>
      </w:r>
      <w:r>
        <w:rPr>
          <w:spacing w:val="-1"/>
        </w:rPr>
        <w:t>and</w:t>
      </w:r>
      <w:r>
        <w:rPr>
          <w:spacing w:val="38"/>
        </w:rPr>
        <w:t xml:space="preserve"> </w:t>
      </w:r>
      <w:r>
        <w:t>the</w:t>
      </w:r>
      <w:r>
        <w:rPr>
          <w:spacing w:val="42"/>
        </w:rPr>
        <w:t xml:space="preserve"> </w:t>
      </w:r>
      <w:r>
        <w:rPr>
          <w:spacing w:val="-2"/>
        </w:rPr>
        <w:t>Supplier</w:t>
      </w:r>
      <w:r>
        <w:rPr>
          <w:spacing w:val="42"/>
        </w:rPr>
        <w:t xml:space="preserve"> </w:t>
      </w:r>
      <w:r>
        <w:rPr>
          <w:spacing w:val="-1"/>
        </w:rPr>
        <w:t>Representative</w:t>
      </w:r>
      <w:r>
        <w:rPr>
          <w:spacing w:val="23"/>
        </w:rPr>
        <w:t xml:space="preserve"> </w:t>
      </w:r>
      <w:r>
        <w:rPr>
          <w:spacing w:val="-1"/>
        </w:rPr>
        <w:t>shall</w:t>
      </w:r>
      <w:r>
        <w:t xml:space="preserve"> </w:t>
      </w:r>
      <w:r>
        <w:rPr>
          <w:spacing w:val="-1"/>
        </w:rPr>
        <w:t>attempt</w:t>
      </w:r>
      <w:r>
        <w:t xml:space="preserve"> </w:t>
      </w:r>
      <w:r>
        <w:rPr>
          <w:spacing w:val="-1"/>
        </w:rPr>
        <w:t>in</w:t>
      </w:r>
      <w:r>
        <w:rPr>
          <w:spacing w:val="-2"/>
        </w:rPr>
        <w:t xml:space="preserve"> </w:t>
      </w:r>
      <w:r>
        <w:t>good</w:t>
      </w:r>
      <w:r>
        <w:rPr>
          <w:spacing w:val="-4"/>
        </w:rPr>
        <w:t xml:space="preserve"> </w:t>
      </w:r>
      <w:r>
        <w:rPr>
          <w:spacing w:val="-1"/>
        </w:rPr>
        <w:t>faith</w:t>
      </w:r>
      <w:r>
        <w:rPr>
          <w:spacing w:val="1"/>
        </w:rPr>
        <w:t xml:space="preserve"> </w:t>
      </w:r>
      <w:r>
        <w:t>to</w:t>
      </w:r>
      <w:r>
        <w:rPr>
          <w:spacing w:val="-2"/>
        </w:rPr>
        <w:t xml:space="preserve"> </w:t>
      </w:r>
      <w:r>
        <w:rPr>
          <w:spacing w:val="-1"/>
        </w:rPr>
        <w:t>resolve</w:t>
      </w:r>
      <w:r>
        <w:t xml:space="preserve"> the</w:t>
      </w:r>
      <w:r>
        <w:rPr>
          <w:spacing w:val="-2"/>
        </w:rPr>
        <w:t xml:space="preserve"> </w:t>
      </w:r>
      <w:r>
        <w:rPr>
          <w:spacing w:val="-1"/>
        </w:rPr>
        <w:t>Dispute;</w:t>
      </w:r>
      <w:r>
        <w:rPr>
          <w:spacing w:val="-3"/>
        </w:rPr>
        <w:t xml:space="preserve"> </w:t>
      </w:r>
      <w:r>
        <w:rPr>
          <w:spacing w:val="-1"/>
        </w:rPr>
        <w:t>and</w:t>
      </w:r>
    </w:p>
    <w:p w:rsidR="008918FA" w:rsidRDefault="008918FA" w:rsidP="008918FA">
      <w:pPr>
        <w:pStyle w:val="BodyText"/>
        <w:numPr>
          <w:ilvl w:val="2"/>
          <w:numId w:val="6"/>
        </w:numPr>
        <w:tabs>
          <w:tab w:val="left" w:pos="2027"/>
        </w:tabs>
        <w:spacing w:before="121"/>
        <w:ind w:right="117"/>
        <w:jc w:val="both"/>
      </w:pPr>
      <w:r>
        <w:rPr>
          <w:spacing w:val="-1"/>
        </w:rPr>
        <w:t>if</w:t>
      </w:r>
      <w:r>
        <w:rPr>
          <w:spacing w:val="52"/>
        </w:rPr>
        <w:t xml:space="preserve"> </w:t>
      </w:r>
      <w:r>
        <w:rPr>
          <w:spacing w:val="-1"/>
        </w:rPr>
        <w:t>such</w:t>
      </w:r>
      <w:r>
        <w:rPr>
          <w:spacing w:val="49"/>
        </w:rPr>
        <w:t xml:space="preserve"> </w:t>
      </w:r>
      <w:r>
        <w:rPr>
          <w:spacing w:val="-1"/>
        </w:rPr>
        <w:t>attempts</w:t>
      </w:r>
      <w:r>
        <w:rPr>
          <w:spacing w:val="49"/>
        </w:rPr>
        <w:t xml:space="preserve"> </w:t>
      </w:r>
      <w:r>
        <w:rPr>
          <w:spacing w:val="-1"/>
        </w:rPr>
        <w:t>are</w:t>
      </w:r>
      <w:r>
        <w:rPr>
          <w:spacing w:val="48"/>
        </w:rPr>
        <w:t xml:space="preserve"> </w:t>
      </w:r>
      <w:r>
        <w:rPr>
          <w:spacing w:val="-2"/>
        </w:rPr>
        <w:t>not</w:t>
      </w:r>
      <w:r>
        <w:rPr>
          <w:spacing w:val="50"/>
        </w:rPr>
        <w:t xml:space="preserve"> </w:t>
      </w:r>
      <w:r>
        <w:rPr>
          <w:spacing w:val="-1"/>
        </w:rPr>
        <w:t>successful</w:t>
      </w:r>
      <w:r>
        <w:rPr>
          <w:spacing w:val="47"/>
        </w:rPr>
        <w:t xml:space="preserve"> </w:t>
      </w:r>
      <w:r>
        <w:rPr>
          <w:spacing w:val="-2"/>
        </w:rPr>
        <w:t>within</w:t>
      </w:r>
      <w:r>
        <w:rPr>
          <w:spacing w:val="49"/>
        </w:rPr>
        <w:t xml:space="preserve"> </w:t>
      </w:r>
      <w:r>
        <w:t>a</w:t>
      </w:r>
      <w:r>
        <w:rPr>
          <w:spacing w:val="51"/>
        </w:rPr>
        <w:t xml:space="preserve"> </w:t>
      </w:r>
      <w:r>
        <w:rPr>
          <w:spacing w:val="-1"/>
        </w:rPr>
        <w:t>reasonable</w:t>
      </w:r>
      <w:r>
        <w:rPr>
          <w:spacing w:val="48"/>
        </w:rPr>
        <w:t xml:space="preserve"> </w:t>
      </w:r>
      <w:r>
        <w:rPr>
          <w:spacing w:val="-1"/>
        </w:rPr>
        <w:t>time</w:t>
      </w:r>
      <w:r>
        <w:rPr>
          <w:spacing w:val="48"/>
        </w:rPr>
        <w:t xml:space="preserve"> </w:t>
      </w:r>
      <w:r>
        <w:rPr>
          <w:spacing w:val="-1"/>
        </w:rPr>
        <w:t>either</w:t>
      </w:r>
      <w:r>
        <w:rPr>
          <w:spacing w:val="50"/>
        </w:rPr>
        <w:t xml:space="preserve"> </w:t>
      </w:r>
      <w:r>
        <w:rPr>
          <w:spacing w:val="-1"/>
        </w:rPr>
        <w:t>Party</w:t>
      </w:r>
      <w:r>
        <w:rPr>
          <w:spacing w:val="-2"/>
        </w:rPr>
        <w:t xml:space="preserve"> </w:t>
      </w:r>
      <w:r>
        <w:rPr>
          <w:spacing w:val="-1"/>
        </w:rPr>
        <w:t>may</w:t>
      </w:r>
      <w:r>
        <w:rPr>
          <w:spacing w:val="-4"/>
        </w:rPr>
        <w:t xml:space="preserve"> </w:t>
      </w:r>
      <w:r>
        <w:rPr>
          <w:spacing w:val="-1"/>
        </w:rPr>
        <w:t>give</w:t>
      </w:r>
      <w:r>
        <w:t xml:space="preserve"> to</w:t>
      </w:r>
      <w:r>
        <w:rPr>
          <w:spacing w:val="-2"/>
        </w:rPr>
        <w:t xml:space="preserve"> </w:t>
      </w:r>
      <w:r>
        <w:t xml:space="preserve">the </w:t>
      </w:r>
      <w:r>
        <w:rPr>
          <w:spacing w:val="-2"/>
        </w:rPr>
        <w:t>other</w:t>
      </w:r>
      <w:r>
        <w:rPr>
          <w:spacing w:val="2"/>
        </w:rPr>
        <w:t xml:space="preserve"> </w:t>
      </w:r>
      <w:r>
        <w:t>a</w:t>
      </w:r>
      <w:r>
        <w:rPr>
          <w:spacing w:val="-2"/>
        </w:rPr>
        <w:t xml:space="preserve"> </w:t>
      </w:r>
      <w:r>
        <w:rPr>
          <w:spacing w:val="-1"/>
        </w:rPr>
        <w:t>Dispute</w:t>
      </w:r>
      <w:r>
        <w:t xml:space="preserve"> </w:t>
      </w:r>
      <w:r>
        <w:rPr>
          <w:spacing w:val="-1"/>
        </w:rPr>
        <w:t>Notice.</w:t>
      </w:r>
    </w:p>
    <w:p w:rsidR="008918FA" w:rsidRDefault="008918FA" w:rsidP="008918FA">
      <w:pPr>
        <w:pStyle w:val="BodyText"/>
        <w:numPr>
          <w:ilvl w:val="1"/>
          <w:numId w:val="6"/>
        </w:numPr>
        <w:tabs>
          <w:tab w:val="left" w:pos="829"/>
        </w:tabs>
        <w:spacing w:before="121"/>
      </w:pPr>
      <w:r>
        <w:t>The</w:t>
      </w:r>
      <w:r>
        <w:rPr>
          <w:spacing w:val="-2"/>
        </w:rPr>
        <w:t xml:space="preserve"> </w:t>
      </w:r>
      <w:r>
        <w:rPr>
          <w:spacing w:val="-1"/>
        </w:rPr>
        <w:t>Dispute</w:t>
      </w:r>
      <w:r>
        <w:t xml:space="preserve"> </w:t>
      </w:r>
      <w:r>
        <w:rPr>
          <w:spacing w:val="-2"/>
        </w:rPr>
        <w:t>Notice</w:t>
      </w:r>
      <w:r>
        <w:rPr>
          <w:spacing w:val="1"/>
        </w:rPr>
        <w:t xml:space="preserve"> </w:t>
      </w:r>
      <w:r>
        <w:rPr>
          <w:spacing w:val="-1"/>
        </w:rPr>
        <w:t>shall</w:t>
      </w:r>
      <w:r>
        <w:rPr>
          <w:spacing w:val="-3"/>
        </w:rPr>
        <w:t xml:space="preserve"> </w:t>
      </w:r>
      <w:r>
        <w:rPr>
          <w:spacing w:val="-1"/>
        </w:rPr>
        <w:t>set</w:t>
      </w:r>
      <w:r>
        <w:rPr>
          <w:spacing w:val="2"/>
        </w:rPr>
        <w:t xml:space="preserve"> </w:t>
      </w:r>
      <w:r>
        <w:rPr>
          <w:spacing w:val="-1"/>
        </w:rPr>
        <w:t>out:</w:t>
      </w:r>
    </w:p>
    <w:p w:rsidR="008918FA" w:rsidRDefault="008918FA" w:rsidP="008918FA">
      <w:pPr>
        <w:pStyle w:val="BodyText"/>
        <w:numPr>
          <w:ilvl w:val="2"/>
          <w:numId w:val="6"/>
        </w:numPr>
        <w:tabs>
          <w:tab w:val="left" w:pos="2027"/>
        </w:tabs>
      </w:pPr>
      <w:r>
        <w:t>the</w:t>
      </w:r>
      <w:r>
        <w:rPr>
          <w:spacing w:val="-2"/>
        </w:rPr>
        <w:t xml:space="preserve"> </w:t>
      </w:r>
      <w:r>
        <w:rPr>
          <w:spacing w:val="-1"/>
        </w:rPr>
        <w:t>material</w:t>
      </w:r>
      <w:r>
        <w:t xml:space="preserve"> </w:t>
      </w:r>
      <w:r>
        <w:rPr>
          <w:spacing w:val="-1"/>
        </w:rPr>
        <w:t>particulars</w:t>
      </w:r>
      <w:r>
        <w:rPr>
          <w:spacing w:val="1"/>
        </w:rPr>
        <w:t xml:space="preserve"> </w:t>
      </w:r>
      <w:r>
        <w:rPr>
          <w:spacing w:val="-2"/>
        </w:rPr>
        <w:t>of</w:t>
      </w:r>
      <w:r>
        <w:t xml:space="preserve"> the </w:t>
      </w:r>
      <w:r>
        <w:rPr>
          <w:spacing w:val="-1"/>
        </w:rPr>
        <w:t>Dispute;</w:t>
      </w:r>
    </w:p>
    <w:p w:rsidR="008918FA" w:rsidRDefault="008918FA" w:rsidP="008918FA">
      <w:pPr>
        <w:pStyle w:val="BodyText"/>
        <w:numPr>
          <w:ilvl w:val="2"/>
          <w:numId w:val="6"/>
        </w:numPr>
        <w:tabs>
          <w:tab w:val="left" w:pos="2027"/>
        </w:tabs>
        <w:ind w:right="113"/>
        <w:jc w:val="both"/>
      </w:pPr>
      <w:r>
        <w:t>the</w:t>
      </w:r>
      <w:r>
        <w:rPr>
          <w:spacing w:val="7"/>
        </w:rPr>
        <w:t xml:space="preserve"> </w:t>
      </w:r>
      <w:r>
        <w:rPr>
          <w:spacing w:val="-1"/>
        </w:rPr>
        <w:t>reasons</w:t>
      </w:r>
      <w:r>
        <w:rPr>
          <w:spacing w:val="8"/>
        </w:rPr>
        <w:t xml:space="preserve"> </w:t>
      </w:r>
      <w:r>
        <w:rPr>
          <w:spacing w:val="-2"/>
        </w:rPr>
        <w:t>why</w:t>
      </w:r>
      <w:r>
        <w:rPr>
          <w:spacing w:val="5"/>
        </w:rPr>
        <w:t xml:space="preserve"> </w:t>
      </w:r>
      <w:r>
        <w:t>the</w:t>
      </w:r>
      <w:r>
        <w:rPr>
          <w:spacing w:val="7"/>
        </w:rPr>
        <w:t xml:space="preserve"> </w:t>
      </w:r>
      <w:r>
        <w:rPr>
          <w:spacing w:val="-1"/>
        </w:rPr>
        <w:t>Party</w:t>
      </w:r>
      <w:r>
        <w:rPr>
          <w:spacing w:val="5"/>
        </w:rPr>
        <w:t xml:space="preserve"> </w:t>
      </w:r>
      <w:r>
        <w:rPr>
          <w:spacing w:val="-1"/>
        </w:rPr>
        <w:t>serving</w:t>
      </w:r>
      <w:r>
        <w:rPr>
          <w:spacing w:val="10"/>
        </w:rPr>
        <w:t xml:space="preserve"> </w:t>
      </w:r>
      <w:r>
        <w:t>the</w:t>
      </w:r>
      <w:r>
        <w:rPr>
          <w:spacing w:val="7"/>
        </w:rPr>
        <w:t xml:space="preserve"> </w:t>
      </w:r>
      <w:r>
        <w:rPr>
          <w:spacing w:val="-1"/>
        </w:rPr>
        <w:t>Dispute</w:t>
      </w:r>
      <w:r>
        <w:rPr>
          <w:spacing w:val="7"/>
        </w:rPr>
        <w:t xml:space="preserve"> </w:t>
      </w:r>
      <w:r>
        <w:rPr>
          <w:spacing w:val="-2"/>
        </w:rPr>
        <w:t>Notice</w:t>
      </w:r>
      <w:r>
        <w:rPr>
          <w:spacing w:val="8"/>
        </w:rPr>
        <w:t xml:space="preserve"> </w:t>
      </w:r>
      <w:r>
        <w:rPr>
          <w:spacing w:val="-2"/>
        </w:rPr>
        <w:t>believes</w:t>
      </w:r>
      <w:r>
        <w:rPr>
          <w:spacing w:val="8"/>
        </w:rPr>
        <w:t xml:space="preserve"> </w:t>
      </w:r>
      <w:r>
        <w:rPr>
          <w:spacing w:val="-1"/>
        </w:rPr>
        <w:t>that</w:t>
      </w:r>
      <w:r>
        <w:rPr>
          <w:spacing w:val="9"/>
        </w:rPr>
        <w:t xml:space="preserve"> </w:t>
      </w:r>
      <w:r>
        <w:rPr>
          <w:spacing w:val="-1"/>
        </w:rPr>
        <w:t>the</w:t>
      </w:r>
      <w:r>
        <w:rPr>
          <w:spacing w:val="46"/>
        </w:rPr>
        <w:t xml:space="preserve"> </w:t>
      </w:r>
      <w:r>
        <w:rPr>
          <w:spacing w:val="-1"/>
        </w:rPr>
        <w:t>Dispute</w:t>
      </w:r>
      <w:r>
        <w:t xml:space="preserve"> </w:t>
      </w:r>
      <w:r>
        <w:rPr>
          <w:spacing w:val="-1"/>
        </w:rPr>
        <w:t>has</w:t>
      </w:r>
      <w:r>
        <w:rPr>
          <w:spacing w:val="1"/>
        </w:rPr>
        <w:t xml:space="preserve"> </w:t>
      </w:r>
      <w:r>
        <w:rPr>
          <w:spacing w:val="-1"/>
        </w:rPr>
        <w:t>arisen;</w:t>
      </w:r>
      <w:r>
        <w:t xml:space="preserve"> </w:t>
      </w:r>
      <w:r>
        <w:rPr>
          <w:spacing w:val="-1"/>
        </w:rPr>
        <w:t>and</w:t>
      </w:r>
    </w:p>
    <w:p w:rsidR="008918FA" w:rsidRDefault="008918FA" w:rsidP="008918FA">
      <w:pPr>
        <w:pStyle w:val="BodyText"/>
        <w:numPr>
          <w:ilvl w:val="2"/>
          <w:numId w:val="6"/>
        </w:numPr>
        <w:tabs>
          <w:tab w:val="left" w:pos="2027"/>
        </w:tabs>
        <w:ind w:right="115"/>
        <w:jc w:val="both"/>
      </w:pPr>
      <w:r>
        <w:rPr>
          <w:spacing w:val="-1"/>
        </w:rPr>
        <w:t>if</w:t>
      </w:r>
      <w:r>
        <w:rPr>
          <w:spacing w:val="6"/>
        </w:rPr>
        <w:t xml:space="preserve"> </w:t>
      </w:r>
      <w:r>
        <w:t>the</w:t>
      </w:r>
      <w:r>
        <w:rPr>
          <w:spacing w:val="5"/>
        </w:rPr>
        <w:t xml:space="preserve"> </w:t>
      </w:r>
      <w:r>
        <w:rPr>
          <w:spacing w:val="-1"/>
        </w:rPr>
        <w:t>Party</w:t>
      </w:r>
      <w:r>
        <w:rPr>
          <w:spacing w:val="3"/>
        </w:rPr>
        <w:t xml:space="preserve"> </w:t>
      </w:r>
      <w:r>
        <w:rPr>
          <w:spacing w:val="-1"/>
        </w:rPr>
        <w:t>serving</w:t>
      </w:r>
      <w:r>
        <w:rPr>
          <w:spacing w:val="7"/>
        </w:rPr>
        <w:t xml:space="preserve"> </w:t>
      </w:r>
      <w:r>
        <w:t>the</w:t>
      </w:r>
      <w:r>
        <w:rPr>
          <w:spacing w:val="3"/>
        </w:rPr>
        <w:t xml:space="preserve"> </w:t>
      </w:r>
      <w:r>
        <w:rPr>
          <w:spacing w:val="-1"/>
        </w:rPr>
        <w:t>Dispute</w:t>
      </w:r>
      <w:r>
        <w:rPr>
          <w:spacing w:val="5"/>
        </w:rPr>
        <w:t xml:space="preserve"> </w:t>
      </w:r>
      <w:r>
        <w:rPr>
          <w:spacing w:val="-1"/>
        </w:rPr>
        <w:t>Notice</w:t>
      </w:r>
      <w:r>
        <w:rPr>
          <w:spacing w:val="5"/>
        </w:rPr>
        <w:t xml:space="preserve"> </w:t>
      </w:r>
      <w:r>
        <w:rPr>
          <w:spacing w:val="-2"/>
        </w:rPr>
        <w:t>believes</w:t>
      </w:r>
      <w:r>
        <w:rPr>
          <w:spacing w:val="5"/>
        </w:rPr>
        <w:t xml:space="preserve"> </w:t>
      </w:r>
      <w:r>
        <w:rPr>
          <w:spacing w:val="-1"/>
        </w:rPr>
        <w:t>that</w:t>
      </w:r>
      <w:r>
        <w:rPr>
          <w:spacing w:val="7"/>
        </w:rPr>
        <w:t xml:space="preserve"> </w:t>
      </w:r>
      <w:r>
        <w:t>the</w:t>
      </w:r>
      <w:r>
        <w:rPr>
          <w:spacing w:val="5"/>
        </w:rPr>
        <w:t xml:space="preserve"> </w:t>
      </w:r>
      <w:r>
        <w:rPr>
          <w:spacing w:val="-1"/>
        </w:rPr>
        <w:t>Dispute</w:t>
      </w:r>
      <w:r>
        <w:rPr>
          <w:spacing w:val="5"/>
        </w:rPr>
        <w:t xml:space="preserve"> </w:t>
      </w:r>
      <w:r>
        <w:rPr>
          <w:spacing w:val="-1"/>
        </w:rPr>
        <w:t>should</w:t>
      </w:r>
      <w:r>
        <w:rPr>
          <w:spacing w:val="27"/>
        </w:rPr>
        <w:t xml:space="preserve"> </w:t>
      </w:r>
      <w:r>
        <w:rPr>
          <w:spacing w:val="-1"/>
        </w:rPr>
        <w:t>be</w:t>
      </w:r>
      <w:r>
        <w:rPr>
          <w:spacing w:val="51"/>
        </w:rPr>
        <w:t xml:space="preserve"> </w:t>
      </w:r>
      <w:r>
        <w:rPr>
          <w:spacing w:val="-1"/>
        </w:rPr>
        <w:t>dealt</w:t>
      </w:r>
      <w:r>
        <w:rPr>
          <w:spacing w:val="55"/>
        </w:rPr>
        <w:t xml:space="preserve"> </w:t>
      </w:r>
      <w:r>
        <w:rPr>
          <w:spacing w:val="-2"/>
        </w:rPr>
        <w:t>with</w:t>
      </w:r>
      <w:r>
        <w:rPr>
          <w:spacing w:val="51"/>
        </w:rPr>
        <w:t xml:space="preserve"> </w:t>
      </w:r>
      <w:r>
        <w:rPr>
          <w:spacing w:val="-1"/>
        </w:rPr>
        <w:t>under</w:t>
      </w:r>
      <w:r>
        <w:rPr>
          <w:spacing w:val="52"/>
        </w:rPr>
        <w:t xml:space="preserve"> </w:t>
      </w:r>
      <w:r>
        <w:t>the</w:t>
      </w:r>
      <w:r>
        <w:rPr>
          <w:spacing w:val="51"/>
        </w:rPr>
        <w:t xml:space="preserve"> </w:t>
      </w:r>
      <w:r>
        <w:rPr>
          <w:spacing w:val="-1"/>
        </w:rPr>
        <w:t>Expedited</w:t>
      </w:r>
      <w:r>
        <w:rPr>
          <w:spacing w:val="51"/>
        </w:rPr>
        <w:t xml:space="preserve"> </w:t>
      </w:r>
      <w:r>
        <w:rPr>
          <w:spacing w:val="-1"/>
        </w:rPr>
        <w:t>Dispute</w:t>
      </w:r>
      <w:r>
        <w:rPr>
          <w:spacing w:val="52"/>
        </w:rPr>
        <w:t xml:space="preserve"> </w:t>
      </w:r>
      <w:r>
        <w:rPr>
          <w:spacing w:val="-1"/>
        </w:rPr>
        <w:t>Timetable</w:t>
      </w:r>
      <w:r>
        <w:rPr>
          <w:spacing w:val="51"/>
        </w:rPr>
        <w:t xml:space="preserve"> </w:t>
      </w:r>
      <w:r>
        <w:rPr>
          <w:spacing w:val="-1"/>
        </w:rPr>
        <w:t>as</w:t>
      </w:r>
      <w:r>
        <w:rPr>
          <w:spacing w:val="51"/>
        </w:rPr>
        <w:t xml:space="preserve"> </w:t>
      </w:r>
      <w:r>
        <w:rPr>
          <w:spacing w:val="-1"/>
        </w:rPr>
        <w:t>set</w:t>
      </w:r>
      <w:r>
        <w:rPr>
          <w:spacing w:val="52"/>
        </w:rPr>
        <w:t xml:space="preserve"> </w:t>
      </w:r>
      <w:r>
        <w:rPr>
          <w:spacing w:val="-1"/>
        </w:rPr>
        <w:t>out</w:t>
      </w:r>
      <w:r>
        <w:rPr>
          <w:spacing w:val="52"/>
        </w:rPr>
        <w:t xml:space="preserve"> </w:t>
      </w:r>
      <w:r>
        <w:rPr>
          <w:spacing w:val="-1"/>
        </w:rPr>
        <w:t>in</w:t>
      </w:r>
      <w:r>
        <w:rPr>
          <w:spacing w:val="35"/>
        </w:rPr>
        <w:t xml:space="preserve"> </w:t>
      </w:r>
      <w:r>
        <w:rPr>
          <w:spacing w:val="-1"/>
        </w:rPr>
        <w:t>paragraph</w:t>
      </w:r>
      <w:r>
        <w:rPr>
          <w:spacing w:val="-2"/>
        </w:rPr>
        <w:t xml:space="preserve"> </w:t>
      </w:r>
      <w:hyperlink w:anchor="_bookmark411" w:history="1">
        <w:r>
          <w:t>2.6</w:t>
        </w:r>
      </w:hyperlink>
      <w:r>
        <w:rPr>
          <w:spacing w:val="-2"/>
        </w:rPr>
        <w:t xml:space="preserve"> of</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2"/>
        </w:rPr>
        <w:t>Schedule,</w:t>
      </w:r>
      <w:r>
        <w:t xml:space="preserve"> </w:t>
      </w:r>
      <w:r>
        <w:rPr>
          <w:spacing w:val="-1"/>
        </w:rPr>
        <w:t>the</w:t>
      </w:r>
      <w:r>
        <w:rPr>
          <w:spacing w:val="-2"/>
        </w:rPr>
        <w:t xml:space="preserve"> </w:t>
      </w:r>
      <w:r>
        <w:rPr>
          <w:spacing w:val="-1"/>
        </w:rPr>
        <w:t>reason</w:t>
      </w:r>
      <w:r>
        <w:t xml:space="preserve"> </w:t>
      </w:r>
      <w:r>
        <w:rPr>
          <w:spacing w:val="-2"/>
        </w:rPr>
        <w:t>why.</w:t>
      </w:r>
    </w:p>
    <w:p w:rsidR="008918FA" w:rsidRDefault="008918FA" w:rsidP="008918FA">
      <w:pPr>
        <w:pStyle w:val="BodyText"/>
        <w:numPr>
          <w:ilvl w:val="1"/>
          <w:numId w:val="6"/>
        </w:numPr>
        <w:tabs>
          <w:tab w:val="left" w:pos="829"/>
        </w:tabs>
        <w:ind w:right="115"/>
        <w:jc w:val="both"/>
      </w:pPr>
      <w:r>
        <w:rPr>
          <w:spacing w:val="-2"/>
        </w:rPr>
        <w:t>Unless</w:t>
      </w:r>
      <w:r>
        <w:rPr>
          <w:spacing w:val="20"/>
        </w:rPr>
        <w:t xml:space="preserve"> </w:t>
      </w:r>
      <w:r>
        <w:rPr>
          <w:spacing w:val="-1"/>
        </w:rPr>
        <w:t>agreed</w:t>
      </w:r>
      <w:r>
        <w:rPr>
          <w:spacing w:val="20"/>
        </w:rPr>
        <w:t xml:space="preserve"> </w:t>
      </w:r>
      <w:r>
        <w:rPr>
          <w:spacing w:val="-2"/>
        </w:rPr>
        <w:t>otherwise</w:t>
      </w:r>
      <w:r>
        <w:rPr>
          <w:spacing w:val="20"/>
        </w:rPr>
        <w:t xml:space="preserve"> </w:t>
      </w:r>
      <w:r>
        <w:rPr>
          <w:spacing w:val="-1"/>
        </w:rPr>
        <w:t>in</w:t>
      </w:r>
      <w:r>
        <w:rPr>
          <w:spacing w:val="22"/>
        </w:rPr>
        <w:t xml:space="preserve"> </w:t>
      </w:r>
      <w:r>
        <w:rPr>
          <w:spacing w:val="-1"/>
        </w:rPr>
        <w:t>writing,</w:t>
      </w:r>
      <w:r>
        <w:rPr>
          <w:spacing w:val="19"/>
        </w:rPr>
        <w:t xml:space="preserve"> </w:t>
      </w:r>
      <w:r>
        <w:t>the</w:t>
      </w:r>
      <w:r>
        <w:rPr>
          <w:spacing w:val="19"/>
        </w:rPr>
        <w:t xml:space="preserve"> </w:t>
      </w:r>
      <w:r>
        <w:rPr>
          <w:spacing w:val="-1"/>
        </w:rPr>
        <w:t>Parties</w:t>
      </w:r>
      <w:r>
        <w:rPr>
          <w:spacing w:val="20"/>
        </w:rPr>
        <w:t xml:space="preserve"> </w:t>
      </w:r>
      <w:r>
        <w:rPr>
          <w:spacing w:val="-1"/>
        </w:rPr>
        <w:t>shall</w:t>
      </w:r>
      <w:r>
        <w:rPr>
          <w:spacing w:val="19"/>
        </w:rPr>
        <w:t xml:space="preserve"> </w:t>
      </w:r>
      <w:r>
        <w:rPr>
          <w:spacing w:val="-1"/>
        </w:rPr>
        <w:t>continue</w:t>
      </w:r>
      <w:r>
        <w:rPr>
          <w:spacing w:val="20"/>
        </w:rPr>
        <w:t xml:space="preserve"> </w:t>
      </w:r>
      <w:r>
        <w:t>to</w:t>
      </w:r>
      <w:r>
        <w:rPr>
          <w:spacing w:val="20"/>
        </w:rPr>
        <w:t xml:space="preserve"> </w:t>
      </w:r>
      <w:r>
        <w:rPr>
          <w:spacing w:val="-1"/>
        </w:rPr>
        <w:t>comply</w:t>
      </w:r>
      <w:r>
        <w:rPr>
          <w:spacing w:val="18"/>
        </w:rPr>
        <w:t xml:space="preserve"> </w:t>
      </w:r>
      <w:r>
        <w:rPr>
          <w:spacing w:val="-1"/>
        </w:rPr>
        <w:t>with</w:t>
      </w:r>
      <w:r>
        <w:rPr>
          <w:spacing w:val="19"/>
        </w:rPr>
        <w:t xml:space="preserve"> </w:t>
      </w:r>
      <w:r>
        <w:rPr>
          <w:spacing w:val="-1"/>
        </w:rPr>
        <w:t>their</w:t>
      </w:r>
      <w:r>
        <w:rPr>
          <w:spacing w:val="57"/>
        </w:rPr>
        <w:t xml:space="preserve"> </w:t>
      </w:r>
      <w:r>
        <w:rPr>
          <w:spacing w:val="-1"/>
        </w:rPr>
        <w:t>respective</w:t>
      </w:r>
      <w:r>
        <w:rPr>
          <w:spacing w:val="24"/>
        </w:rPr>
        <w:t xml:space="preserve"> </w:t>
      </w:r>
      <w:r>
        <w:rPr>
          <w:spacing w:val="-1"/>
        </w:rPr>
        <w:t>obligations</w:t>
      </w:r>
      <w:r>
        <w:rPr>
          <w:spacing w:val="25"/>
        </w:rPr>
        <w:t xml:space="preserve"> </w:t>
      </w:r>
      <w:r>
        <w:rPr>
          <w:spacing w:val="-2"/>
        </w:rPr>
        <w:t>under</w:t>
      </w:r>
      <w:r>
        <w:rPr>
          <w:spacing w:val="26"/>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23"/>
        </w:rPr>
        <w:t xml:space="preserve"> </w:t>
      </w:r>
      <w:r>
        <w:rPr>
          <w:spacing w:val="-2"/>
        </w:rPr>
        <w:t>Contract</w:t>
      </w:r>
      <w:r>
        <w:rPr>
          <w:spacing w:val="26"/>
        </w:rPr>
        <w:t xml:space="preserve"> </w:t>
      </w:r>
      <w:r>
        <w:rPr>
          <w:spacing w:val="-1"/>
        </w:rPr>
        <w:t>regardless</w:t>
      </w:r>
      <w:r>
        <w:rPr>
          <w:spacing w:val="25"/>
        </w:rPr>
        <w:t xml:space="preserve"> </w:t>
      </w:r>
      <w:r>
        <w:rPr>
          <w:spacing w:val="-2"/>
        </w:rPr>
        <w:t>of</w:t>
      </w:r>
      <w:r>
        <w:rPr>
          <w:spacing w:val="23"/>
        </w:rPr>
        <w:t xml:space="preserve"> </w:t>
      </w:r>
      <w:r>
        <w:t>the</w:t>
      </w:r>
      <w:r>
        <w:rPr>
          <w:spacing w:val="24"/>
        </w:rPr>
        <w:t xml:space="preserve"> </w:t>
      </w:r>
      <w:r>
        <w:rPr>
          <w:spacing w:val="-1"/>
        </w:rPr>
        <w:t>nature</w:t>
      </w:r>
      <w:r>
        <w:rPr>
          <w:spacing w:val="24"/>
        </w:rPr>
        <w:t xml:space="preserve"> </w:t>
      </w:r>
      <w:r>
        <w:rPr>
          <w:spacing w:val="-2"/>
        </w:rPr>
        <w:t>of</w:t>
      </w:r>
      <w:r>
        <w:rPr>
          <w:spacing w:val="23"/>
        </w:rPr>
        <w:t xml:space="preserve"> </w:t>
      </w:r>
      <w:r>
        <w:rPr>
          <w:spacing w:val="-1"/>
        </w:rPr>
        <w:t>the</w:t>
      </w:r>
      <w:r>
        <w:rPr>
          <w:spacing w:val="58"/>
        </w:rPr>
        <w:t xml:space="preserve"> </w:t>
      </w:r>
      <w:r>
        <w:rPr>
          <w:spacing w:val="-1"/>
        </w:rPr>
        <w:t>Dispute</w:t>
      </w:r>
      <w:r>
        <w:rPr>
          <w:spacing w:val="27"/>
        </w:rPr>
        <w:t xml:space="preserve"> </w:t>
      </w:r>
      <w:r>
        <w:rPr>
          <w:spacing w:val="-1"/>
        </w:rPr>
        <w:t>and</w:t>
      </w:r>
      <w:r>
        <w:rPr>
          <w:spacing w:val="27"/>
        </w:rPr>
        <w:t xml:space="preserve"> </w:t>
      </w:r>
      <w:r>
        <w:rPr>
          <w:spacing w:val="-1"/>
        </w:rPr>
        <w:t>notwithstanding</w:t>
      </w:r>
      <w:r>
        <w:rPr>
          <w:spacing w:val="27"/>
        </w:rPr>
        <w:t xml:space="preserve"> </w:t>
      </w:r>
      <w:r>
        <w:t>the</w:t>
      </w:r>
      <w:r>
        <w:rPr>
          <w:spacing w:val="27"/>
        </w:rPr>
        <w:t xml:space="preserve"> </w:t>
      </w:r>
      <w:r>
        <w:rPr>
          <w:spacing w:val="-1"/>
        </w:rPr>
        <w:t>referral</w:t>
      </w:r>
      <w:r>
        <w:rPr>
          <w:spacing w:val="26"/>
        </w:rPr>
        <w:t xml:space="preserve"> </w:t>
      </w:r>
      <w:r>
        <w:rPr>
          <w:spacing w:val="-2"/>
        </w:rPr>
        <w:t>of</w:t>
      </w:r>
      <w:r>
        <w:rPr>
          <w:spacing w:val="28"/>
        </w:rPr>
        <w:t xml:space="preserve"> </w:t>
      </w:r>
      <w:r>
        <w:t>the</w:t>
      </w:r>
      <w:r>
        <w:rPr>
          <w:spacing w:val="22"/>
        </w:rPr>
        <w:t xml:space="preserve"> </w:t>
      </w:r>
      <w:r>
        <w:rPr>
          <w:spacing w:val="-1"/>
        </w:rPr>
        <w:t>Dispute</w:t>
      </w:r>
      <w:r>
        <w:rPr>
          <w:spacing w:val="27"/>
        </w:rPr>
        <w:t xml:space="preserve"> </w:t>
      </w:r>
      <w:r>
        <w:t>to</w:t>
      </w:r>
      <w:r>
        <w:rPr>
          <w:spacing w:val="24"/>
        </w:rPr>
        <w:t xml:space="preserve"> </w:t>
      </w:r>
      <w:r>
        <w:t>the</w:t>
      </w:r>
      <w:r>
        <w:rPr>
          <w:spacing w:val="27"/>
        </w:rPr>
        <w:t xml:space="preserve"> </w:t>
      </w:r>
      <w:r>
        <w:rPr>
          <w:spacing w:val="-1"/>
        </w:rPr>
        <w:t>Dispute</w:t>
      </w:r>
      <w:r>
        <w:rPr>
          <w:spacing w:val="22"/>
        </w:rPr>
        <w:t xml:space="preserve"> </w:t>
      </w:r>
      <w:r>
        <w:rPr>
          <w:spacing w:val="-1"/>
        </w:rPr>
        <w:t>Resolution</w:t>
      </w:r>
      <w:r>
        <w:rPr>
          <w:spacing w:val="22"/>
        </w:rPr>
        <w:t xml:space="preserve"> </w:t>
      </w:r>
      <w:r>
        <w:rPr>
          <w:spacing w:val="-1"/>
        </w:rPr>
        <w:t>Procedure.</w:t>
      </w:r>
    </w:p>
    <w:p w:rsidR="008918FA" w:rsidRDefault="008918FA" w:rsidP="008918FA">
      <w:pPr>
        <w:pStyle w:val="BodyText"/>
        <w:numPr>
          <w:ilvl w:val="1"/>
          <w:numId w:val="6"/>
        </w:numPr>
        <w:tabs>
          <w:tab w:val="left" w:pos="829"/>
        </w:tabs>
        <w:ind w:right="116"/>
        <w:jc w:val="both"/>
      </w:pPr>
      <w:r>
        <w:rPr>
          <w:spacing w:val="-1"/>
        </w:rPr>
        <w:t>Subject</w:t>
      </w:r>
      <w:r>
        <w:rPr>
          <w:spacing w:val="5"/>
        </w:rPr>
        <w:t xml:space="preserve"> </w:t>
      </w:r>
      <w:r>
        <w:t>to</w:t>
      </w:r>
      <w:r>
        <w:rPr>
          <w:spacing w:val="3"/>
        </w:rPr>
        <w:t xml:space="preserve"> </w:t>
      </w:r>
      <w:r>
        <w:rPr>
          <w:spacing w:val="-1"/>
        </w:rPr>
        <w:t>paragraph</w:t>
      </w:r>
      <w:r>
        <w:rPr>
          <w:spacing w:val="1"/>
        </w:rPr>
        <w:t xml:space="preserve"> </w:t>
      </w:r>
      <w:hyperlink w:anchor="_bookmark414" w:history="1">
        <w:r>
          <w:rPr>
            <w:spacing w:val="-1"/>
          </w:rPr>
          <w:t>3.2</w:t>
        </w:r>
      </w:hyperlink>
      <w:r>
        <w:t xml:space="preserve"> </w:t>
      </w:r>
      <w:r>
        <w:rPr>
          <w:spacing w:val="-1"/>
        </w:rPr>
        <w:t>of</w:t>
      </w:r>
      <w:r>
        <w:rPr>
          <w:spacing w:val="6"/>
        </w:rPr>
        <w:t xml:space="preserve"> </w:t>
      </w:r>
      <w:r>
        <w:rPr>
          <w:spacing w:val="-1"/>
        </w:rPr>
        <w:t>this</w:t>
      </w:r>
      <w:r>
        <w:rPr>
          <w:spacing w:val="3"/>
        </w:rPr>
        <w:t xml:space="preserve"> </w:t>
      </w:r>
      <w:r>
        <w:rPr>
          <w:spacing w:val="-2"/>
        </w:rPr>
        <w:t>Call</w:t>
      </w:r>
      <w:r>
        <w:rPr>
          <w:spacing w:val="2"/>
        </w:rPr>
        <w:t xml:space="preserve"> </w:t>
      </w:r>
      <w:r>
        <w:t>Off</w:t>
      </w:r>
      <w:r>
        <w:rPr>
          <w:spacing w:val="6"/>
        </w:rPr>
        <w:t xml:space="preserve"> </w:t>
      </w:r>
      <w:r>
        <w:rPr>
          <w:spacing w:val="-1"/>
        </w:rPr>
        <w:t>Schedule,</w:t>
      </w:r>
      <w:r>
        <w:rPr>
          <w:spacing w:val="4"/>
        </w:rPr>
        <w:t xml:space="preserve"> </w:t>
      </w:r>
      <w:r>
        <w:t>the</w:t>
      </w:r>
      <w:r>
        <w:rPr>
          <w:spacing w:val="3"/>
        </w:rPr>
        <w:t xml:space="preserve"> </w:t>
      </w:r>
      <w:r>
        <w:rPr>
          <w:spacing w:val="-1"/>
        </w:rPr>
        <w:t>Parties</w:t>
      </w:r>
      <w:r>
        <w:rPr>
          <w:spacing w:val="3"/>
        </w:rPr>
        <w:t xml:space="preserve"> </w:t>
      </w:r>
      <w:r>
        <w:rPr>
          <w:spacing w:val="-1"/>
        </w:rPr>
        <w:t>shall</w:t>
      </w:r>
      <w:r>
        <w:rPr>
          <w:spacing w:val="3"/>
        </w:rPr>
        <w:t xml:space="preserve"> </w:t>
      </w:r>
      <w:r>
        <w:rPr>
          <w:spacing w:val="-1"/>
        </w:rPr>
        <w:t>seek</w:t>
      </w:r>
      <w:r>
        <w:rPr>
          <w:spacing w:val="5"/>
        </w:rPr>
        <w:t xml:space="preserve"> </w:t>
      </w:r>
      <w:r>
        <w:rPr>
          <w:spacing w:val="-1"/>
        </w:rPr>
        <w:t>to</w:t>
      </w:r>
      <w:r>
        <w:rPr>
          <w:spacing w:val="3"/>
        </w:rPr>
        <w:t xml:space="preserve"> </w:t>
      </w:r>
      <w:r>
        <w:rPr>
          <w:spacing w:val="-1"/>
        </w:rPr>
        <w:t>resolve</w:t>
      </w:r>
      <w:r>
        <w:rPr>
          <w:spacing w:val="41"/>
        </w:rPr>
        <w:t xml:space="preserve"> </w:t>
      </w:r>
      <w:r>
        <w:rPr>
          <w:spacing w:val="-1"/>
        </w:rPr>
        <w:t>Disputes:</w:t>
      </w:r>
    </w:p>
    <w:p w:rsidR="008918FA" w:rsidRDefault="008918FA" w:rsidP="008918FA">
      <w:pPr>
        <w:pStyle w:val="BodyText"/>
        <w:numPr>
          <w:ilvl w:val="2"/>
          <w:numId w:val="6"/>
        </w:numPr>
        <w:tabs>
          <w:tab w:val="left" w:pos="2027"/>
        </w:tabs>
        <w:ind w:left="2025" w:right="112" w:hanging="993"/>
        <w:jc w:val="both"/>
      </w:pPr>
      <w:r>
        <w:rPr>
          <w:spacing w:val="-1"/>
        </w:rPr>
        <w:t>first</w:t>
      </w:r>
      <w:r>
        <w:rPr>
          <w:spacing w:val="40"/>
        </w:rPr>
        <w:t xml:space="preserve"> </w:t>
      </w:r>
      <w:r>
        <w:rPr>
          <w:spacing w:val="-1"/>
        </w:rPr>
        <w:t>by</w:t>
      </w:r>
      <w:r>
        <w:rPr>
          <w:spacing w:val="39"/>
        </w:rPr>
        <w:t xml:space="preserve"> </w:t>
      </w:r>
      <w:r>
        <w:rPr>
          <w:spacing w:val="-1"/>
        </w:rPr>
        <w:t>commercial</w:t>
      </w:r>
      <w:r>
        <w:rPr>
          <w:spacing w:val="40"/>
        </w:rPr>
        <w:t xml:space="preserve"> </w:t>
      </w:r>
      <w:r>
        <w:rPr>
          <w:spacing w:val="-1"/>
        </w:rPr>
        <w:t>negotiation</w:t>
      </w:r>
      <w:r>
        <w:rPr>
          <w:spacing w:val="41"/>
        </w:rPr>
        <w:t xml:space="preserve"> </w:t>
      </w:r>
      <w:r>
        <w:rPr>
          <w:spacing w:val="-1"/>
        </w:rPr>
        <w:t>(as</w:t>
      </w:r>
      <w:r>
        <w:rPr>
          <w:spacing w:val="39"/>
        </w:rPr>
        <w:t xml:space="preserve"> </w:t>
      </w:r>
      <w:r>
        <w:rPr>
          <w:spacing w:val="-1"/>
        </w:rPr>
        <w:t>prescribed</w:t>
      </w:r>
      <w:r>
        <w:rPr>
          <w:spacing w:val="41"/>
        </w:rPr>
        <w:t xml:space="preserve"> </w:t>
      </w:r>
      <w:r>
        <w:rPr>
          <w:spacing w:val="-2"/>
        </w:rPr>
        <w:t>in</w:t>
      </w:r>
      <w:r>
        <w:rPr>
          <w:spacing w:val="42"/>
        </w:rPr>
        <w:t xml:space="preserve"> </w:t>
      </w:r>
      <w:r>
        <w:rPr>
          <w:spacing w:val="-1"/>
        </w:rPr>
        <w:t>paragraph</w:t>
      </w:r>
      <w:r>
        <w:rPr>
          <w:spacing w:val="3"/>
        </w:rPr>
        <w:t xml:space="preserve"> </w:t>
      </w:r>
      <w:hyperlink w:anchor="_bookmark412" w:history="1">
        <w:r>
          <w:t>3</w:t>
        </w:r>
      </w:hyperlink>
      <w:r>
        <w:rPr>
          <w:spacing w:val="38"/>
        </w:rPr>
        <w:t xml:space="preserve"> </w:t>
      </w:r>
      <w:r>
        <w:rPr>
          <w:spacing w:val="-2"/>
        </w:rPr>
        <w:t>of</w:t>
      </w:r>
      <w:r>
        <w:rPr>
          <w:spacing w:val="42"/>
        </w:rPr>
        <w:t xml:space="preserve"> </w:t>
      </w:r>
      <w:r>
        <w:rPr>
          <w:spacing w:val="-1"/>
        </w:rPr>
        <w:t>this</w:t>
      </w:r>
      <w:r>
        <w:rPr>
          <w:spacing w:val="33"/>
        </w:rPr>
        <w:t xml:space="preserve"> </w:t>
      </w:r>
      <w:r>
        <w:rPr>
          <w:spacing w:val="-2"/>
        </w:rPr>
        <w:t>Call</w:t>
      </w:r>
      <w:r>
        <w:t xml:space="preserve"> </w:t>
      </w:r>
      <w:r>
        <w:rPr>
          <w:spacing w:val="-1"/>
        </w:rPr>
        <w:t>Off</w:t>
      </w:r>
      <w:r>
        <w:rPr>
          <w:spacing w:val="2"/>
        </w:rPr>
        <w:t xml:space="preserve"> </w:t>
      </w:r>
      <w:r>
        <w:rPr>
          <w:spacing w:val="-2"/>
        </w:rPr>
        <w:t>Schedule);</w:t>
      </w:r>
    </w:p>
    <w:p w:rsidR="008918FA" w:rsidRDefault="008918FA" w:rsidP="008918FA">
      <w:pPr>
        <w:pStyle w:val="BodyText"/>
        <w:numPr>
          <w:ilvl w:val="2"/>
          <w:numId w:val="6"/>
        </w:numPr>
        <w:tabs>
          <w:tab w:val="left" w:pos="2026"/>
        </w:tabs>
        <w:spacing w:before="121"/>
        <w:ind w:left="2025" w:right="116" w:hanging="993"/>
        <w:jc w:val="both"/>
      </w:pPr>
      <w:r>
        <w:rPr>
          <w:spacing w:val="-1"/>
        </w:rPr>
        <w:t>then</w:t>
      </w:r>
      <w:r>
        <w:rPr>
          <w:spacing w:val="18"/>
        </w:rPr>
        <w:t xml:space="preserve"> </w:t>
      </w:r>
      <w:r>
        <w:rPr>
          <w:spacing w:val="-1"/>
        </w:rPr>
        <w:t>by</w:t>
      </w:r>
      <w:r>
        <w:rPr>
          <w:spacing w:val="16"/>
        </w:rPr>
        <w:t xml:space="preserve"> </w:t>
      </w:r>
      <w:r>
        <w:rPr>
          <w:spacing w:val="-1"/>
        </w:rPr>
        <w:t>mediation</w:t>
      </w:r>
      <w:r>
        <w:rPr>
          <w:spacing w:val="18"/>
        </w:rPr>
        <w:t xml:space="preserve"> </w:t>
      </w:r>
      <w:r>
        <w:rPr>
          <w:spacing w:val="-1"/>
        </w:rPr>
        <w:t>(as</w:t>
      </w:r>
      <w:r>
        <w:rPr>
          <w:spacing w:val="19"/>
        </w:rPr>
        <w:t xml:space="preserve"> </w:t>
      </w:r>
      <w:r>
        <w:rPr>
          <w:spacing w:val="-1"/>
        </w:rPr>
        <w:t>prescribed</w:t>
      </w:r>
      <w:r>
        <w:rPr>
          <w:spacing w:val="18"/>
        </w:rPr>
        <w:t xml:space="preserve"> </w:t>
      </w:r>
      <w:r>
        <w:rPr>
          <w:spacing w:val="-1"/>
        </w:rPr>
        <w:t>in</w:t>
      </w:r>
      <w:r>
        <w:rPr>
          <w:spacing w:val="18"/>
        </w:rPr>
        <w:t xml:space="preserve"> </w:t>
      </w:r>
      <w:r>
        <w:rPr>
          <w:spacing w:val="-1"/>
        </w:rPr>
        <w:t>paragraph</w:t>
      </w:r>
      <w:r>
        <w:rPr>
          <w:spacing w:val="3"/>
        </w:rPr>
        <w:t xml:space="preserve"> </w:t>
      </w:r>
      <w:hyperlink w:anchor="_bookmark416" w:history="1">
        <w:r>
          <w:t>4</w:t>
        </w:r>
      </w:hyperlink>
      <w:r>
        <w:rPr>
          <w:spacing w:val="18"/>
        </w:rPr>
        <w:t xml:space="preserve"> </w:t>
      </w:r>
      <w:r>
        <w:rPr>
          <w:spacing w:val="-2"/>
        </w:rPr>
        <w:t>of</w:t>
      </w:r>
      <w:r>
        <w:rPr>
          <w:spacing w:val="22"/>
        </w:rPr>
        <w:t xml:space="preserve"> </w:t>
      </w:r>
      <w:r>
        <w:rPr>
          <w:spacing w:val="-1"/>
        </w:rPr>
        <w:t>this</w:t>
      </w:r>
      <w:r>
        <w:rPr>
          <w:spacing w:val="19"/>
        </w:rPr>
        <w:t xml:space="preserve"> </w:t>
      </w:r>
      <w:r>
        <w:rPr>
          <w:spacing w:val="-2"/>
        </w:rPr>
        <w:t>Call</w:t>
      </w:r>
      <w:r>
        <w:rPr>
          <w:spacing w:val="15"/>
        </w:rPr>
        <w:t xml:space="preserve"> </w:t>
      </w:r>
      <w:r>
        <w:rPr>
          <w:spacing w:val="-1"/>
        </w:rPr>
        <w:t>Off</w:t>
      </w:r>
      <w:r>
        <w:rPr>
          <w:spacing w:val="43"/>
        </w:rPr>
        <w:t xml:space="preserve"> </w:t>
      </w:r>
      <w:r>
        <w:rPr>
          <w:spacing w:val="-1"/>
        </w:rPr>
        <w:t>Schedule);</w:t>
      </w:r>
      <w:r>
        <w:rPr>
          <w:spacing w:val="2"/>
        </w:rPr>
        <w:t xml:space="preserve"> </w:t>
      </w:r>
      <w:r>
        <w:rPr>
          <w:spacing w:val="-1"/>
        </w:rPr>
        <w:t>and</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numPr>
          <w:ilvl w:val="2"/>
          <w:numId w:val="6"/>
        </w:numPr>
        <w:tabs>
          <w:tab w:val="left" w:pos="2027"/>
        </w:tabs>
        <w:spacing w:before="59"/>
        <w:ind w:right="111"/>
        <w:jc w:val="both"/>
      </w:pPr>
      <w:r>
        <w:rPr>
          <w:spacing w:val="-1"/>
        </w:rPr>
        <w:t>lastly</w:t>
      </w:r>
      <w:r>
        <w:rPr>
          <w:spacing w:val="32"/>
        </w:rPr>
        <w:t xml:space="preserve"> </w:t>
      </w:r>
      <w:r>
        <w:rPr>
          <w:spacing w:val="-1"/>
        </w:rPr>
        <w:t>by</w:t>
      </w:r>
      <w:r>
        <w:rPr>
          <w:spacing w:val="32"/>
        </w:rPr>
        <w:t xml:space="preserve"> </w:t>
      </w:r>
      <w:r>
        <w:rPr>
          <w:spacing w:val="-1"/>
        </w:rPr>
        <w:t>recourse</w:t>
      </w:r>
      <w:r>
        <w:rPr>
          <w:spacing w:val="34"/>
        </w:rPr>
        <w:t xml:space="preserve"> </w:t>
      </w:r>
      <w:r>
        <w:t>to</w:t>
      </w:r>
      <w:r>
        <w:rPr>
          <w:spacing w:val="34"/>
        </w:rPr>
        <w:t xml:space="preserve"> </w:t>
      </w:r>
      <w:r>
        <w:rPr>
          <w:spacing w:val="-1"/>
        </w:rPr>
        <w:t>arbitration</w:t>
      </w:r>
      <w:r>
        <w:rPr>
          <w:spacing w:val="31"/>
        </w:rPr>
        <w:t xml:space="preserve"> </w:t>
      </w:r>
      <w:r>
        <w:rPr>
          <w:spacing w:val="-1"/>
        </w:rPr>
        <w:t>(as</w:t>
      </w:r>
      <w:r>
        <w:rPr>
          <w:spacing w:val="34"/>
        </w:rPr>
        <w:t xml:space="preserve"> </w:t>
      </w:r>
      <w:r>
        <w:rPr>
          <w:spacing w:val="-1"/>
        </w:rPr>
        <w:t>prescribed</w:t>
      </w:r>
      <w:r>
        <w:rPr>
          <w:spacing w:val="35"/>
        </w:rPr>
        <w:t xml:space="preserve"> </w:t>
      </w:r>
      <w:r>
        <w:rPr>
          <w:spacing w:val="-2"/>
        </w:rPr>
        <w:t>in</w:t>
      </w:r>
      <w:r>
        <w:rPr>
          <w:spacing w:val="34"/>
        </w:rPr>
        <w:t xml:space="preserve"> </w:t>
      </w:r>
      <w:r>
        <w:rPr>
          <w:spacing w:val="-1"/>
        </w:rPr>
        <w:t>paragraph</w:t>
      </w:r>
      <w:r>
        <w:t xml:space="preserve"> 6</w:t>
      </w:r>
      <w:r>
        <w:rPr>
          <w:spacing w:val="34"/>
        </w:rPr>
        <w:t xml:space="preserve"> </w:t>
      </w:r>
      <w:r>
        <w:rPr>
          <w:spacing w:val="-2"/>
        </w:rPr>
        <w:t>of</w:t>
      </w:r>
      <w:r>
        <w:rPr>
          <w:spacing w:val="35"/>
        </w:rPr>
        <w:t xml:space="preserve"> </w:t>
      </w:r>
      <w:r>
        <w:rPr>
          <w:spacing w:val="-1"/>
        </w:rPr>
        <w:t>this</w:t>
      </w:r>
      <w:r>
        <w:rPr>
          <w:spacing w:val="41"/>
        </w:rPr>
        <w:t xml:space="preserve"> </w:t>
      </w:r>
      <w:r>
        <w:rPr>
          <w:spacing w:val="-2"/>
        </w:rPr>
        <w:t>Call</w:t>
      </w:r>
      <w:r>
        <w:rPr>
          <w:spacing w:val="38"/>
        </w:rPr>
        <w:t xml:space="preserve"> </w:t>
      </w:r>
      <w:r>
        <w:t>Off</w:t>
      </w:r>
      <w:r>
        <w:rPr>
          <w:spacing w:val="40"/>
        </w:rPr>
        <w:t xml:space="preserve"> </w:t>
      </w:r>
      <w:r>
        <w:rPr>
          <w:spacing w:val="-1"/>
        </w:rPr>
        <w:t>Schedule)</w:t>
      </w:r>
      <w:r>
        <w:rPr>
          <w:spacing w:val="40"/>
        </w:rPr>
        <w:t xml:space="preserve"> </w:t>
      </w:r>
      <w:r>
        <w:rPr>
          <w:spacing w:val="-2"/>
        </w:rPr>
        <w:t>or</w:t>
      </w:r>
      <w:r>
        <w:rPr>
          <w:spacing w:val="40"/>
        </w:rPr>
        <w:t xml:space="preserve"> </w:t>
      </w:r>
      <w:r>
        <w:rPr>
          <w:spacing w:val="-1"/>
        </w:rPr>
        <w:t>litigation</w:t>
      </w:r>
      <w:r>
        <w:rPr>
          <w:spacing w:val="38"/>
        </w:rPr>
        <w:t xml:space="preserve"> </w:t>
      </w:r>
      <w:r>
        <w:rPr>
          <w:spacing w:val="-1"/>
        </w:rPr>
        <w:t>(in</w:t>
      </w:r>
      <w:r>
        <w:rPr>
          <w:spacing w:val="38"/>
        </w:rPr>
        <w:t xml:space="preserve"> </w:t>
      </w:r>
      <w:r>
        <w:rPr>
          <w:spacing w:val="-1"/>
        </w:rPr>
        <w:t>accordance</w:t>
      </w:r>
      <w:r>
        <w:rPr>
          <w:spacing w:val="38"/>
        </w:rPr>
        <w:t xml:space="preserve"> </w:t>
      </w:r>
      <w:r>
        <w:rPr>
          <w:spacing w:val="-1"/>
        </w:rPr>
        <w:t>with</w:t>
      </w:r>
      <w:r>
        <w:rPr>
          <w:spacing w:val="38"/>
        </w:rPr>
        <w:t xml:space="preserve"> </w:t>
      </w:r>
      <w:r>
        <w:rPr>
          <w:spacing w:val="-1"/>
        </w:rPr>
        <w:t>Clause</w:t>
      </w:r>
      <w:r>
        <w:t xml:space="preserve"> </w:t>
      </w:r>
      <w:hyperlink w:anchor="_bookmark280" w:history="1">
        <w:r>
          <w:rPr>
            <w:spacing w:val="-1"/>
          </w:rPr>
          <w:t>57</w:t>
        </w:r>
      </w:hyperlink>
      <w:r>
        <w:t xml:space="preserve"> </w:t>
      </w:r>
      <w:r>
        <w:rPr>
          <w:spacing w:val="-2"/>
        </w:rPr>
        <w:t>of</w:t>
      </w:r>
      <w:r>
        <w:rPr>
          <w:spacing w:val="40"/>
        </w:rPr>
        <w:t xml:space="preserve"> </w:t>
      </w:r>
      <w:r>
        <w:rPr>
          <w:spacing w:val="-1"/>
        </w:rPr>
        <w:t>this</w:t>
      </w:r>
      <w:r>
        <w:rPr>
          <w:spacing w:val="41"/>
        </w:rPr>
        <w:t xml:space="preserve"> </w:t>
      </w:r>
      <w:r>
        <w:rPr>
          <w:spacing w:val="-2"/>
        </w:rPr>
        <w:t>Call</w:t>
      </w:r>
      <w:r>
        <w:t xml:space="preserve"> </w:t>
      </w:r>
      <w:r>
        <w:rPr>
          <w:spacing w:val="-1"/>
        </w:rPr>
        <w:t>Off</w:t>
      </w:r>
      <w:r>
        <w:rPr>
          <w:spacing w:val="2"/>
        </w:rPr>
        <w:t xml:space="preserve"> </w:t>
      </w:r>
      <w:r>
        <w:rPr>
          <w:spacing w:val="-2"/>
        </w:rPr>
        <w:t>Contract</w:t>
      </w:r>
      <w:r>
        <w:rPr>
          <w:spacing w:val="1"/>
        </w:rPr>
        <w:t xml:space="preserve"> </w:t>
      </w:r>
      <w:r>
        <w:rPr>
          <w:spacing w:val="-2"/>
        </w:rPr>
        <w:t>(Governing</w:t>
      </w:r>
      <w:r>
        <w:rPr>
          <w:spacing w:val="3"/>
        </w:rPr>
        <w:t xml:space="preserve"> </w:t>
      </w:r>
      <w:r>
        <w:rPr>
          <w:spacing w:val="-1"/>
        </w:rPr>
        <w:t>Law</w:t>
      </w:r>
      <w:r>
        <w:rPr>
          <w:spacing w:val="-3"/>
        </w:rPr>
        <w:t xml:space="preserve"> </w:t>
      </w:r>
      <w:r>
        <w:rPr>
          <w:spacing w:val="-1"/>
        </w:rPr>
        <w:t>and</w:t>
      </w:r>
      <w:r>
        <w:t xml:space="preserve"> </w:t>
      </w:r>
      <w:r>
        <w:rPr>
          <w:spacing w:val="-1"/>
        </w:rPr>
        <w:t>Jurisdiction)).</w:t>
      </w:r>
    </w:p>
    <w:p w:rsidR="008918FA" w:rsidRDefault="008918FA" w:rsidP="008918FA">
      <w:pPr>
        <w:pStyle w:val="BodyText"/>
        <w:numPr>
          <w:ilvl w:val="1"/>
          <w:numId w:val="6"/>
        </w:numPr>
        <w:tabs>
          <w:tab w:val="left" w:pos="829"/>
        </w:tabs>
        <w:ind w:right="114"/>
        <w:jc w:val="both"/>
      </w:pPr>
      <w:bookmarkStart w:id="496" w:name="_bookmark410"/>
      <w:bookmarkEnd w:id="496"/>
      <w:r>
        <w:rPr>
          <w:spacing w:val="-1"/>
        </w:rPr>
        <w:t>Specific</w:t>
      </w:r>
      <w:r>
        <w:rPr>
          <w:spacing w:val="33"/>
        </w:rPr>
        <w:t xml:space="preserve"> </w:t>
      </w:r>
      <w:r>
        <w:rPr>
          <w:spacing w:val="-1"/>
        </w:rPr>
        <w:t>issues</w:t>
      </w:r>
      <w:r>
        <w:rPr>
          <w:spacing w:val="33"/>
        </w:rPr>
        <w:t xml:space="preserve"> </w:t>
      </w:r>
      <w:r>
        <w:rPr>
          <w:spacing w:val="-1"/>
        </w:rPr>
        <w:t>shall</w:t>
      </w:r>
      <w:r>
        <w:rPr>
          <w:spacing w:val="32"/>
        </w:rPr>
        <w:t xml:space="preserve"> </w:t>
      </w:r>
      <w:r>
        <w:rPr>
          <w:spacing w:val="-1"/>
        </w:rPr>
        <w:t>be</w:t>
      </w:r>
      <w:r>
        <w:rPr>
          <w:spacing w:val="32"/>
        </w:rPr>
        <w:t xml:space="preserve"> </w:t>
      </w:r>
      <w:r>
        <w:rPr>
          <w:spacing w:val="-1"/>
        </w:rPr>
        <w:t>referred</w:t>
      </w:r>
      <w:r>
        <w:rPr>
          <w:spacing w:val="32"/>
        </w:rPr>
        <w:t xml:space="preserve"> </w:t>
      </w:r>
      <w:r>
        <w:t>to</w:t>
      </w:r>
      <w:r>
        <w:rPr>
          <w:spacing w:val="32"/>
        </w:rPr>
        <w:t xml:space="preserve"> </w:t>
      </w:r>
      <w:r>
        <w:rPr>
          <w:spacing w:val="-1"/>
        </w:rPr>
        <w:t>Expert</w:t>
      </w:r>
      <w:r>
        <w:rPr>
          <w:spacing w:val="35"/>
        </w:rPr>
        <w:t xml:space="preserve"> </w:t>
      </w:r>
      <w:r>
        <w:rPr>
          <w:spacing w:val="-1"/>
        </w:rPr>
        <w:t>Determination</w:t>
      </w:r>
      <w:r>
        <w:rPr>
          <w:spacing w:val="32"/>
        </w:rPr>
        <w:t xml:space="preserve"> </w:t>
      </w:r>
      <w:r>
        <w:rPr>
          <w:spacing w:val="-1"/>
        </w:rPr>
        <w:t>(as</w:t>
      </w:r>
      <w:r>
        <w:rPr>
          <w:spacing w:val="33"/>
        </w:rPr>
        <w:t xml:space="preserve"> </w:t>
      </w:r>
      <w:r>
        <w:rPr>
          <w:spacing w:val="-1"/>
        </w:rPr>
        <w:t>prescribed</w:t>
      </w:r>
      <w:r>
        <w:rPr>
          <w:spacing w:val="32"/>
        </w:rPr>
        <w:t xml:space="preserve"> </w:t>
      </w:r>
      <w:r>
        <w:rPr>
          <w:spacing w:val="-1"/>
        </w:rPr>
        <w:t>in</w:t>
      </w:r>
      <w:r>
        <w:rPr>
          <w:spacing w:val="35"/>
        </w:rPr>
        <w:t xml:space="preserve"> </w:t>
      </w:r>
      <w:r>
        <w:rPr>
          <w:spacing w:val="-1"/>
        </w:rPr>
        <w:t>paragraph</w:t>
      </w:r>
      <w:r>
        <w:rPr>
          <w:spacing w:val="-2"/>
        </w:rPr>
        <w:t xml:space="preserve"> </w:t>
      </w:r>
      <w:hyperlink w:anchor="_bookmark418" w:history="1">
        <w:r>
          <w:t>5</w:t>
        </w:r>
      </w:hyperlink>
      <w:r>
        <w:rPr>
          <w:spacing w:val="12"/>
        </w:rPr>
        <w:t xml:space="preserve"> </w:t>
      </w:r>
      <w:r>
        <w:rPr>
          <w:spacing w:val="-2"/>
        </w:rPr>
        <w:t>of</w:t>
      </w:r>
      <w:r>
        <w:rPr>
          <w:spacing w:val="14"/>
        </w:rPr>
        <w:t xml:space="preserve"> </w:t>
      </w:r>
      <w:r>
        <w:rPr>
          <w:spacing w:val="-1"/>
        </w:rPr>
        <w:t>this</w:t>
      </w:r>
      <w:r>
        <w:rPr>
          <w:spacing w:val="13"/>
        </w:rPr>
        <w:t xml:space="preserve"> </w:t>
      </w:r>
      <w:r>
        <w:rPr>
          <w:spacing w:val="-2"/>
        </w:rPr>
        <w:t>Call</w:t>
      </w:r>
      <w:r>
        <w:rPr>
          <w:spacing w:val="14"/>
        </w:rPr>
        <w:t xml:space="preserve"> </w:t>
      </w:r>
      <w:r>
        <w:rPr>
          <w:spacing w:val="-1"/>
        </w:rPr>
        <w:t>Off</w:t>
      </w:r>
      <w:r>
        <w:rPr>
          <w:spacing w:val="14"/>
        </w:rPr>
        <w:t xml:space="preserve"> </w:t>
      </w:r>
      <w:r>
        <w:rPr>
          <w:spacing w:val="-1"/>
        </w:rPr>
        <w:t>Schedule)</w:t>
      </w:r>
      <w:r>
        <w:rPr>
          <w:spacing w:val="14"/>
        </w:rPr>
        <w:t xml:space="preserve"> </w:t>
      </w:r>
      <w:r>
        <w:rPr>
          <w:spacing w:val="-2"/>
        </w:rPr>
        <w:t>where</w:t>
      </w:r>
      <w:r>
        <w:rPr>
          <w:spacing w:val="12"/>
        </w:rPr>
        <w:t xml:space="preserve"> </w:t>
      </w:r>
      <w:r>
        <w:rPr>
          <w:spacing w:val="-1"/>
        </w:rPr>
        <w:t>specified</w:t>
      </w:r>
      <w:r>
        <w:rPr>
          <w:spacing w:val="12"/>
        </w:rPr>
        <w:t xml:space="preserve"> </w:t>
      </w:r>
      <w:r>
        <w:rPr>
          <w:spacing w:val="-1"/>
        </w:rPr>
        <w:t>under</w:t>
      </w:r>
      <w:r>
        <w:rPr>
          <w:spacing w:val="11"/>
        </w:rPr>
        <w:t xml:space="preserve"> </w:t>
      </w:r>
      <w:r>
        <w:t>the</w:t>
      </w:r>
      <w:r>
        <w:rPr>
          <w:spacing w:val="12"/>
        </w:rPr>
        <w:t xml:space="preserve"> </w:t>
      </w:r>
      <w:r>
        <w:rPr>
          <w:spacing w:val="-2"/>
        </w:rPr>
        <w:t>provisions</w:t>
      </w:r>
      <w:r>
        <w:rPr>
          <w:spacing w:val="13"/>
        </w:rPr>
        <w:t xml:space="preserve"> </w:t>
      </w:r>
      <w:r>
        <w:rPr>
          <w:spacing w:val="-2"/>
        </w:rPr>
        <w:t>of</w:t>
      </w:r>
      <w:r>
        <w:rPr>
          <w:spacing w:val="16"/>
        </w:rPr>
        <w:t xml:space="preserve"> </w:t>
      </w:r>
      <w:r>
        <w:rPr>
          <w:spacing w:val="-1"/>
        </w:rPr>
        <w:t>this</w:t>
      </w:r>
      <w:r>
        <w:rPr>
          <w:spacing w:val="67"/>
        </w:rPr>
        <w:t xml:space="preserve"> </w:t>
      </w:r>
      <w:r>
        <w:rPr>
          <w:spacing w:val="-2"/>
        </w:rPr>
        <w:t>Call</w:t>
      </w:r>
      <w:r>
        <w:rPr>
          <w:spacing w:val="25"/>
        </w:rPr>
        <w:t xml:space="preserve"> </w:t>
      </w:r>
      <w:r>
        <w:rPr>
          <w:spacing w:val="-1"/>
        </w:rPr>
        <w:t>Off</w:t>
      </w:r>
      <w:r>
        <w:rPr>
          <w:spacing w:val="29"/>
        </w:rPr>
        <w:t xml:space="preserve"> </w:t>
      </w:r>
      <w:r>
        <w:rPr>
          <w:spacing w:val="-2"/>
        </w:rPr>
        <w:t>Contract</w:t>
      </w:r>
      <w:r>
        <w:rPr>
          <w:spacing w:val="27"/>
        </w:rPr>
        <w:t xml:space="preserve"> </w:t>
      </w:r>
      <w:r>
        <w:rPr>
          <w:spacing w:val="-1"/>
        </w:rPr>
        <w:t>and</w:t>
      </w:r>
      <w:r>
        <w:rPr>
          <w:spacing w:val="23"/>
        </w:rPr>
        <w:t xml:space="preserve"> </w:t>
      </w:r>
      <w:r>
        <w:rPr>
          <w:spacing w:val="-1"/>
        </w:rPr>
        <w:t>may</w:t>
      </w:r>
      <w:r>
        <w:rPr>
          <w:spacing w:val="24"/>
        </w:rPr>
        <w:t xml:space="preserve"> </w:t>
      </w:r>
      <w:r>
        <w:rPr>
          <w:spacing w:val="-1"/>
        </w:rPr>
        <w:t>also</w:t>
      </w:r>
      <w:r>
        <w:rPr>
          <w:spacing w:val="26"/>
        </w:rPr>
        <w:t xml:space="preserve"> </w:t>
      </w:r>
      <w:r>
        <w:rPr>
          <w:spacing w:val="-1"/>
        </w:rPr>
        <w:t>be</w:t>
      </w:r>
      <w:r>
        <w:rPr>
          <w:spacing w:val="26"/>
        </w:rPr>
        <w:t xml:space="preserve"> </w:t>
      </w:r>
      <w:r>
        <w:rPr>
          <w:spacing w:val="-1"/>
        </w:rPr>
        <w:t>referred</w:t>
      </w:r>
      <w:r>
        <w:rPr>
          <w:spacing w:val="23"/>
        </w:rPr>
        <w:t xml:space="preserve"> </w:t>
      </w:r>
      <w:r>
        <w:t>to</w:t>
      </w:r>
      <w:r>
        <w:rPr>
          <w:spacing w:val="26"/>
        </w:rPr>
        <w:t xml:space="preserve"> </w:t>
      </w:r>
      <w:r>
        <w:rPr>
          <w:spacing w:val="-1"/>
        </w:rPr>
        <w:t>Expert</w:t>
      </w:r>
      <w:r>
        <w:rPr>
          <w:spacing w:val="27"/>
        </w:rPr>
        <w:t xml:space="preserve"> </w:t>
      </w:r>
      <w:r>
        <w:rPr>
          <w:spacing w:val="-2"/>
        </w:rPr>
        <w:t>Determination</w:t>
      </w:r>
      <w:r>
        <w:rPr>
          <w:spacing w:val="26"/>
        </w:rPr>
        <w:t xml:space="preserve"> </w:t>
      </w:r>
      <w:r>
        <w:rPr>
          <w:spacing w:val="-2"/>
        </w:rPr>
        <w:t>where</w:t>
      </w:r>
      <w:r>
        <w:rPr>
          <w:spacing w:val="69"/>
        </w:rPr>
        <w:t xml:space="preserve"> </w:t>
      </w:r>
      <w:r>
        <w:rPr>
          <w:spacing w:val="-1"/>
        </w:rPr>
        <w:t>otherwise</w:t>
      </w:r>
      <w:r>
        <w:rPr>
          <w:spacing w:val="1"/>
        </w:rPr>
        <w:t xml:space="preserve"> </w:t>
      </w:r>
      <w:r>
        <w:rPr>
          <w:spacing w:val="-1"/>
        </w:rPr>
        <w:t>appropriate</w:t>
      </w:r>
      <w:r>
        <w:rPr>
          <w:spacing w:val="-2"/>
        </w:rPr>
        <w:t xml:space="preserve"> </w:t>
      </w:r>
      <w:r>
        <w:rPr>
          <w:spacing w:val="-1"/>
        </w:rPr>
        <w:t>as</w:t>
      </w:r>
      <w:r>
        <w:rPr>
          <w:spacing w:val="-2"/>
        </w:rPr>
        <w:t xml:space="preserve"> </w:t>
      </w:r>
      <w:r>
        <w:rPr>
          <w:spacing w:val="-1"/>
        </w:rPr>
        <w:t>specified</w:t>
      </w:r>
      <w:r>
        <w:t xml:space="preserve"> </w:t>
      </w:r>
      <w:r>
        <w:rPr>
          <w:spacing w:val="-1"/>
        </w:rPr>
        <w:t>in</w:t>
      </w:r>
      <w:r>
        <w:t xml:space="preserve"> </w:t>
      </w:r>
      <w:r>
        <w:rPr>
          <w:spacing w:val="-1"/>
        </w:rPr>
        <w:t>paragraph</w:t>
      </w:r>
      <w:r>
        <w:t xml:space="preserve"> </w:t>
      </w:r>
      <w:hyperlink w:anchor="_bookmark418" w:history="1">
        <w:r>
          <w:t>5</w:t>
        </w:r>
      </w:hyperlink>
      <w:r>
        <w:rPr>
          <w:spacing w:val="-2"/>
        </w:rPr>
        <w:t xml:space="preserve"> of</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2"/>
        </w:rPr>
        <w:t>Schedule.</w:t>
      </w:r>
    </w:p>
    <w:p w:rsidR="008918FA" w:rsidRDefault="008918FA" w:rsidP="008918FA">
      <w:pPr>
        <w:pStyle w:val="BodyText"/>
        <w:numPr>
          <w:ilvl w:val="1"/>
          <w:numId w:val="6"/>
        </w:numPr>
        <w:tabs>
          <w:tab w:val="left" w:pos="829"/>
        </w:tabs>
        <w:spacing w:before="121"/>
        <w:ind w:right="111"/>
        <w:jc w:val="both"/>
      </w:pPr>
      <w:bookmarkStart w:id="497" w:name="_bookmark411"/>
      <w:bookmarkEnd w:id="497"/>
      <w:r>
        <w:t>In</w:t>
      </w:r>
      <w:r>
        <w:rPr>
          <w:spacing w:val="17"/>
        </w:rPr>
        <w:t xml:space="preserve"> </w:t>
      </w:r>
      <w:r>
        <w:rPr>
          <w:spacing w:val="-1"/>
        </w:rPr>
        <w:t>exceptional</w:t>
      </w:r>
      <w:r>
        <w:rPr>
          <w:spacing w:val="17"/>
        </w:rPr>
        <w:t xml:space="preserve"> </w:t>
      </w:r>
      <w:r>
        <w:rPr>
          <w:spacing w:val="-1"/>
        </w:rPr>
        <w:t>circumstances</w:t>
      </w:r>
      <w:r>
        <w:rPr>
          <w:spacing w:val="18"/>
        </w:rPr>
        <w:t xml:space="preserve"> </w:t>
      </w:r>
      <w:r>
        <w:rPr>
          <w:spacing w:val="-2"/>
        </w:rPr>
        <w:t>where</w:t>
      </w:r>
      <w:r>
        <w:rPr>
          <w:spacing w:val="17"/>
        </w:rPr>
        <w:t xml:space="preserve"> </w:t>
      </w:r>
      <w:r>
        <w:t>the</w:t>
      </w:r>
      <w:r>
        <w:rPr>
          <w:spacing w:val="17"/>
        </w:rPr>
        <w:t xml:space="preserve"> </w:t>
      </w:r>
      <w:r>
        <w:rPr>
          <w:spacing w:val="-1"/>
        </w:rPr>
        <w:t>use</w:t>
      </w:r>
      <w:r>
        <w:rPr>
          <w:spacing w:val="18"/>
        </w:rPr>
        <w:t xml:space="preserve"> </w:t>
      </w:r>
      <w:r>
        <w:rPr>
          <w:spacing w:val="-1"/>
        </w:rPr>
        <w:t>of</w:t>
      </w:r>
      <w:r>
        <w:rPr>
          <w:spacing w:val="21"/>
        </w:rPr>
        <w:t xml:space="preserve"> </w:t>
      </w:r>
      <w:r>
        <w:rPr>
          <w:spacing w:val="-1"/>
        </w:rPr>
        <w:t>the</w:t>
      </w:r>
      <w:r>
        <w:rPr>
          <w:spacing w:val="17"/>
        </w:rPr>
        <w:t xml:space="preserve"> </w:t>
      </w:r>
      <w:r>
        <w:rPr>
          <w:spacing w:val="-1"/>
        </w:rPr>
        <w:t>times</w:t>
      </w:r>
      <w:r>
        <w:rPr>
          <w:spacing w:val="18"/>
        </w:rPr>
        <w:t xml:space="preserve"> </w:t>
      </w:r>
      <w:r>
        <w:rPr>
          <w:spacing w:val="-1"/>
        </w:rPr>
        <w:t>in</w:t>
      </w:r>
      <w:r>
        <w:rPr>
          <w:spacing w:val="17"/>
        </w:rPr>
        <w:t xml:space="preserve"> </w:t>
      </w:r>
      <w:r>
        <w:rPr>
          <w:spacing w:val="-1"/>
        </w:rPr>
        <w:t>this</w:t>
      </w:r>
      <w:r>
        <w:rPr>
          <w:spacing w:val="18"/>
        </w:rPr>
        <w:t xml:space="preserve"> </w:t>
      </w:r>
      <w:r>
        <w:rPr>
          <w:spacing w:val="-2"/>
        </w:rPr>
        <w:t>Call</w:t>
      </w:r>
      <w:r>
        <w:rPr>
          <w:spacing w:val="19"/>
        </w:rPr>
        <w:t xml:space="preserve"> </w:t>
      </w:r>
      <w:r>
        <w:t>Off</w:t>
      </w:r>
      <w:r>
        <w:rPr>
          <w:spacing w:val="16"/>
        </w:rPr>
        <w:t xml:space="preserve"> </w:t>
      </w:r>
      <w:r>
        <w:rPr>
          <w:spacing w:val="-1"/>
        </w:rPr>
        <w:t>Schedule</w:t>
      </w:r>
      <w:r>
        <w:rPr>
          <w:spacing w:val="49"/>
        </w:rPr>
        <w:t xml:space="preserve"> </w:t>
      </w:r>
      <w:r>
        <w:rPr>
          <w:spacing w:val="-1"/>
        </w:rPr>
        <w:t>would</w:t>
      </w:r>
      <w:r>
        <w:rPr>
          <w:spacing w:val="17"/>
        </w:rPr>
        <w:t xml:space="preserve"> </w:t>
      </w:r>
      <w:r>
        <w:rPr>
          <w:spacing w:val="-1"/>
        </w:rPr>
        <w:t>be</w:t>
      </w:r>
      <w:r>
        <w:rPr>
          <w:spacing w:val="17"/>
        </w:rPr>
        <w:t xml:space="preserve"> </w:t>
      </w:r>
      <w:r>
        <w:rPr>
          <w:spacing w:val="-1"/>
        </w:rPr>
        <w:t>unreasonable,</w:t>
      </w:r>
      <w:r>
        <w:rPr>
          <w:spacing w:val="19"/>
        </w:rPr>
        <w:t xml:space="preserve"> </w:t>
      </w:r>
      <w:r>
        <w:rPr>
          <w:spacing w:val="-2"/>
        </w:rPr>
        <w:t>including</w:t>
      </w:r>
      <w:r>
        <w:rPr>
          <w:spacing w:val="20"/>
        </w:rPr>
        <w:t xml:space="preserve"> </w:t>
      </w:r>
      <w:r>
        <w:rPr>
          <w:spacing w:val="-1"/>
        </w:rPr>
        <w:t>(by</w:t>
      </w:r>
      <w:r>
        <w:rPr>
          <w:spacing w:val="17"/>
        </w:rPr>
        <w:t xml:space="preserve"> </w:t>
      </w:r>
      <w:r>
        <w:rPr>
          <w:spacing w:val="-1"/>
        </w:rPr>
        <w:t>way</w:t>
      </w:r>
      <w:r>
        <w:rPr>
          <w:spacing w:val="15"/>
        </w:rPr>
        <w:t xml:space="preserve"> </w:t>
      </w:r>
      <w:r>
        <w:rPr>
          <w:spacing w:val="-1"/>
        </w:rPr>
        <w:t>of</w:t>
      </w:r>
      <w:r>
        <w:rPr>
          <w:spacing w:val="21"/>
        </w:rPr>
        <w:t xml:space="preserve"> </w:t>
      </w:r>
      <w:r>
        <w:rPr>
          <w:spacing w:val="-2"/>
        </w:rPr>
        <w:t>example)</w:t>
      </w:r>
      <w:r>
        <w:rPr>
          <w:spacing w:val="19"/>
        </w:rPr>
        <w:t xml:space="preserve"> </w:t>
      </w:r>
      <w:r>
        <w:rPr>
          <w:spacing w:val="-2"/>
        </w:rPr>
        <w:t>where</w:t>
      </w:r>
      <w:r>
        <w:rPr>
          <w:spacing w:val="17"/>
        </w:rPr>
        <w:t xml:space="preserve"> </w:t>
      </w:r>
      <w:r>
        <w:rPr>
          <w:spacing w:val="-1"/>
        </w:rPr>
        <w:t>one</w:t>
      </w:r>
      <w:r>
        <w:rPr>
          <w:spacing w:val="17"/>
        </w:rPr>
        <w:t xml:space="preserve"> </w:t>
      </w:r>
      <w:r>
        <w:rPr>
          <w:spacing w:val="-1"/>
        </w:rPr>
        <w:t>Party</w:t>
      </w:r>
      <w:r>
        <w:rPr>
          <w:spacing w:val="18"/>
        </w:rPr>
        <w:t xml:space="preserve"> </w:t>
      </w:r>
      <w:r>
        <w:rPr>
          <w:spacing w:val="-1"/>
        </w:rPr>
        <w:t>would</w:t>
      </w:r>
      <w:r>
        <w:rPr>
          <w:spacing w:val="17"/>
        </w:rPr>
        <w:t xml:space="preserve"> </w:t>
      </w:r>
      <w:r>
        <w:rPr>
          <w:spacing w:val="-1"/>
        </w:rPr>
        <w:t>be</w:t>
      </w:r>
      <w:r>
        <w:rPr>
          <w:spacing w:val="66"/>
        </w:rPr>
        <w:t xml:space="preserve"> </w:t>
      </w:r>
      <w:r>
        <w:rPr>
          <w:spacing w:val="-1"/>
        </w:rPr>
        <w:t>materially</w:t>
      </w:r>
      <w:r>
        <w:rPr>
          <w:spacing w:val="-2"/>
        </w:rPr>
        <w:t xml:space="preserve"> </w:t>
      </w:r>
      <w:r>
        <w:rPr>
          <w:spacing w:val="-1"/>
        </w:rPr>
        <w:t>disadvantaged</w:t>
      </w:r>
      <w:r>
        <w:rPr>
          <w:spacing w:val="-2"/>
        </w:rPr>
        <w:t xml:space="preserve"> </w:t>
      </w:r>
      <w:r>
        <w:rPr>
          <w:spacing w:val="-1"/>
        </w:rPr>
        <w:t>by</w:t>
      </w:r>
      <w:r>
        <w:rPr>
          <w:spacing w:val="-2"/>
        </w:rPr>
        <w:t xml:space="preserve"> </w:t>
      </w:r>
      <w:r>
        <w:t xml:space="preserve">a </w:t>
      </w:r>
      <w:r>
        <w:rPr>
          <w:spacing w:val="-1"/>
        </w:rPr>
        <w:t>delay</w:t>
      </w:r>
      <w:r>
        <w:rPr>
          <w:spacing w:val="-2"/>
        </w:rPr>
        <w:t xml:space="preserve"> </w:t>
      </w:r>
      <w:r>
        <w:rPr>
          <w:spacing w:val="-1"/>
        </w:rPr>
        <w:t>in</w:t>
      </w:r>
      <w:r>
        <w:t xml:space="preserve"> </w:t>
      </w:r>
      <w:r>
        <w:rPr>
          <w:spacing w:val="-2"/>
        </w:rPr>
        <w:t>resolving</w:t>
      </w:r>
      <w:r>
        <w:rPr>
          <w:spacing w:val="3"/>
        </w:rPr>
        <w:t xml:space="preserve"> </w:t>
      </w:r>
      <w:r>
        <w:rPr>
          <w:spacing w:val="-1"/>
        </w:rPr>
        <w:t>the</w:t>
      </w:r>
      <w:r>
        <w:t xml:space="preserve"> </w:t>
      </w:r>
      <w:r>
        <w:rPr>
          <w:spacing w:val="-1"/>
        </w:rPr>
        <w:t>Dispute,</w:t>
      </w:r>
      <w:r>
        <w:t xml:space="preserve"> the</w:t>
      </w:r>
      <w:r>
        <w:rPr>
          <w:spacing w:val="-2"/>
        </w:rPr>
        <w:t xml:space="preserve"> </w:t>
      </w:r>
      <w:r>
        <w:rPr>
          <w:spacing w:val="-1"/>
        </w:rPr>
        <w:t>Parties</w:t>
      </w:r>
      <w:r>
        <w:rPr>
          <w:spacing w:val="-2"/>
        </w:rPr>
        <w:t xml:space="preserve"> </w:t>
      </w:r>
      <w:r>
        <w:rPr>
          <w:spacing w:val="-1"/>
        </w:rPr>
        <w:t>may</w:t>
      </w:r>
      <w:r>
        <w:rPr>
          <w:spacing w:val="-2"/>
        </w:rPr>
        <w:t xml:space="preserve"> </w:t>
      </w:r>
      <w:r>
        <w:rPr>
          <w:spacing w:val="-1"/>
        </w:rPr>
        <w:t>agree</w:t>
      </w:r>
      <w:r>
        <w:rPr>
          <w:spacing w:val="44"/>
        </w:rPr>
        <w:t xml:space="preserve"> </w:t>
      </w:r>
      <w:r>
        <w:t>to</w:t>
      </w:r>
      <w:r>
        <w:rPr>
          <w:spacing w:val="18"/>
        </w:rPr>
        <w:t xml:space="preserve"> </w:t>
      </w:r>
      <w:r>
        <w:rPr>
          <w:spacing w:val="-1"/>
        </w:rPr>
        <w:t>use</w:t>
      </w:r>
      <w:r>
        <w:rPr>
          <w:spacing w:val="19"/>
        </w:rPr>
        <w:t xml:space="preserve"> </w:t>
      </w:r>
      <w:r>
        <w:t>the</w:t>
      </w:r>
      <w:r>
        <w:rPr>
          <w:spacing w:val="18"/>
        </w:rPr>
        <w:t xml:space="preserve"> </w:t>
      </w:r>
      <w:r>
        <w:rPr>
          <w:spacing w:val="-1"/>
        </w:rPr>
        <w:t>Expedited</w:t>
      </w:r>
      <w:r>
        <w:rPr>
          <w:spacing w:val="18"/>
        </w:rPr>
        <w:t xml:space="preserve"> </w:t>
      </w:r>
      <w:r>
        <w:rPr>
          <w:spacing w:val="-1"/>
        </w:rPr>
        <w:t>Dispute</w:t>
      </w:r>
      <w:r>
        <w:rPr>
          <w:spacing w:val="18"/>
        </w:rPr>
        <w:t xml:space="preserve"> </w:t>
      </w:r>
      <w:r>
        <w:rPr>
          <w:spacing w:val="-1"/>
        </w:rPr>
        <w:t>Timetable.</w:t>
      </w:r>
      <w:r>
        <w:rPr>
          <w:spacing w:val="17"/>
        </w:rPr>
        <w:t xml:space="preserve"> </w:t>
      </w:r>
      <w:r>
        <w:rPr>
          <w:spacing w:val="-1"/>
        </w:rPr>
        <w:t>If</w:t>
      </w:r>
      <w:r>
        <w:rPr>
          <w:spacing w:val="20"/>
        </w:rPr>
        <w:t xml:space="preserve"> </w:t>
      </w:r>
      <w:r>
        <w:rPr>
          <w:spacing w:val="-1"/>
        </w:rPr>
        <w:t>the</w:t>
      </w:r>
      <w:r>
        <w:rPr>
          <w:spacing w:val="18"/>
        </w:rPr>
        <w:t xml:space="preserve"> </w:t>
      </w:r>
      <w:r>
        <w:rPr>
          <w:spacing w:val="-1"/>
        </w:rPr>
        <w:t>Parties</w:t>
      </w:r>
      <w:r>
        <w:rPr>
          <w:spacing w:val="19"/>
        </w:rPr>
        <w:t xml:space="preserve"> </w:t>
      </w:r>
      <w:r>
        <w:rPr>
          <w:spacing w:val="-1"/>
        </w:rPr>
        <w:t>are</w:t>
      </w:r>
      <w:r>
        <w:rPr>
          <w:spacing w:val="18"/>
        </w:rPr>
        <w:t xml:space="preserve"> </w:t>
      </w:r>
      <w:r>
        <w:rPr>
          <w:spacing w:val="-1"/>
        </w:rPr>
        <w:t>unable</w:t>
      </w:r>
      <w:r>
        <w:rPr>
          <w:spacing w:val="16"/>
        </w:rPr>
        <w:t xml:space="preserve"> </w:t>
      </w:r>
      <w:r>
        <w:t>to</w:t>
      </w:r>
      <w:r>
        <w:rPr>
          <w:spacing w:val="18"/>
        </w:rPr>
        <w:t xml:space="preserve"> </w:t>
      </w:r>
      <w:r>
        <w:rPr>
          <w:spacing w:val="-1"/>
        </w:rPr>
        <w:t>reach</w:t>
      </w:r>
      <w:r>
        <w:rPr>
          <w:spacing w:val="28"/>
        </w:rPr>
        <w:t xml:space="preserve"> </w:t>
      </w:r>
      <w:r>
        <w:rPr>
          <w:spacing w:val="-1"/>
        </w:rPr>
        <w:t>agreement</w:t>
      </w:r>
      <w:r>
        <w:t xml:space="preserve"> </w:t>
      </w:r>
      <w:r>
        <w:rPr>
          <w:spacing w:val="8"/>
        </w:rPr>
        <w:t xml:space="preserve"> </w:t>
      </w:r>
      <w:r>
        <w:rPr>
          <w:spacing w:val="-1"/>
        </w:rPr>
        <w:t>on</w:t>
      </w:r>
      <w:r>
        <w:t xml:space="preserve"> </w:t>
      </w:r>
      <w:r>
        <w:rPr>
          <w:spacing w:val="6"/>
        </w:rPr>
        <w:t xml:space="preserve"> </w:t>
      </w:r>
      <w:r>
        <w:rPr>
          <w:spacing w:val="-1"/>
        </w:rPr>
        <w:t>whether</w:t>
      </w:r>
      <w:r>
        <w:t xml:space="preserve"> </w:t>
      </w:r>
      <w:r>
        <w:rPr>
          <w:spacing w:val="5"/>
        </w:rPr>
        <w:t xml:space="preserve"> </w:t>
      </w:r>
      <w:r>
        <w:t xml:space="preserve">to </w:t>
      </w:r>
      <w:r>
        <w:rPr>
          <w:spacing w:val="6"/>
        </w:rPr>
        <w:t xml:space="preserve"> </w:t>
      </w:r>
      <w:r>
        <w:rPr>
          <w:spacing w:val="-1"/>
        </w:rPr>
        <w:t>use</w:t>
      </w:r>
      <w:r>
        <w:t xml:space="preserve"> </w:t>
      </w:r>
      <w:r>
        <w:rPr>
          <w:spacing w:val="7"/>
        </w:rPr>
        <w:t xml:space="preserve"> </w:t>
      </w:r>
      <w:r>
        <w:rPr>
          <w:spacing w:val="-2"/>
        </w:rPr>
        <w:t>of</w:t>
      </w:r>
      <w:r>
        <w:t xml:space="preserve"> </w:t>
      </w:r>
      <w:r>
        <w:rPr>
          <w:spacing w:val="5"/>
        </w:rPr>
        <w:t xml:space="preserve"> </w:t>
      </w:r>
      <w:r>
        <w:t xml:space="preserve">the </w:t>
      </w:r>
      <w:r>
        <w:rPr>
          <w:spacing w:val="6"/>
        </w:rPr>
        <w:t xml:space="preserve"> </w:t>
      </w:r>
      <w:r>
        <w:rPr>
          <w:spacing w:val="-1"/>
        </w:rPr>
        <w:t>Expedited</w:t>
      </w:r>
      <w:r>
        <w:t xml:space="preserve"> </w:t>
      </w:r>
      <w:r>
        <w:rPr>
          <w:spacing w:val="6"/>
        </w:rPr>
        <w:t xml:space="preserve"> </w:t>
      </w:r>
      <w:r>
        <w:rPr>
          <w:spacing w:val="-1"/>
        </w:rPr>
        <w:t>Dispute</w:t>
      </w:r>
      <w:r>
        <w:t xml:space="preserve"> </w:t>
      </w:r>
      <w:r>
        <w:rPr>
          <w:spacing w:val="4"/>
        </w:rPr>
        <w:t xml:space="preserve"> </w:t>
      </w:r>
      <w:r>
        <w:rPr>
          <w:spacing w:val="-1"/>
        </w:rPr>
        <w:t>Timetable</w:t>
      </w:r>
      <w:r>
        <w:t xml:space="preserve"> </w:t>
      </w:r>
      <w:r>
        <w:rPr>
          <w:spacing w:val="4"/>
        </w:rPr>
        <w:t xml:space="preserve"> </w:t>
      </w:r>
      <w:r>
        <w:rPr>
          <w:spacing w:val="-1"/>
        </w:rPr>
        <w:t>within</w:t>
      </w:r>
      <w:r>
        <w:t xml:space="preserve"> </w:t>
      </w:r>
      <w:r>
        <w:rPr>
          <w:spacing w:val="9"/>
        </w:rPr>
        <w:t xml:space="preserve"> </w:t>
      </w:r>
      <w:r>
        <w:rPr>
          <w:spacing w:val="-1"/>
        </w:rPr>
        <w:t>five</w:t>
      </w:r>
    </w:p>
    <w:p w:rsidR="008918FA" w:rsidRDefault="008918FA" w:rsidP="008918FA">
      <w:pPr>
        <w:pStyle w:val="BodyText"/>
        <w:spacing w:before="1"/>
        <w:ind w:left="828" w:right="125" w:firstLine="0"/>
      </w:pPr>
      <w:r>
        <w:rPr>
          <w:spacing w:val="-1"/>
        </w:rPr>
        <w:t>(5)</w:t>
      </w:r>
      <w:r>
        <w:rPr>
          <w:spacing w:val="-6"/>
        </w:rPr>
        <w:t xml:space="preserve"> </w:t>
      </w:r>
      <w:r>
        <w:rPr>
          <w:spacing w:val="-1"/>
        </w:rPr>
        <w:t>Working</w:t>
      </w:r>
      <w:r>
        <w:rPr>
          <w:spacing w:val="51"/>
        </w:rPr>
        <w:t xml:space="preserve"> </w:t>
      </w:r>
      <w:r>
        <w:rPr>
          <w:spacing w:val="-2"/>
        </w:rPr>
        <w:t>Days</w:t>
      </w:r>
      <w:r>
        <w:rPr>
          <w:spacing w:val="49"/>
        </w:rPr>
        <w:t xml:space="preserve"> </w:t>
      </w:r>
      <w:r>
        <w:rPr>
          <w:spacing w:val="-2"/>
        </w:rPr>
        <w:t>of</w:t>
      </w:r>
      <w:r>
        <w:rPr>
          <w:spacing w:val="49"/>
        </w:rPr>
        <w:t xml:space="preserve"> </w:t>
      </w:r>
      <w:r>
        <w:rPr>
          <w:spacing w:val="-1"/>
        </w:rPr>
        <w:t>the</w:t>
      </w:r>
      <w:r>
        <w:rPr>
          <w:spacing w:val="48"/>
        </w:rPr>
        <w:t xml:space="preserve"> </w:t>
      </w:r>
      <w:r>
        <w:rPr>
          <w:spacing w:val="-1"/>
        </w:rPr>
        <w:t>issue</w:t>
      </w:r>
      <w:r>
        <w:rPr>
          <w:spacing w:val="48"/>
        </w:rPr>
        <w:t xml:space="preserve"> </w:t>
      </w:r>
      <w:r>
        <w:rPr>
          <w:spacing w:val="-2"/>
        </w:rPr>
        <w:t>of</w:t>
      </w:r>
      <w:r>
        <w:rPr>
          <w:spacing w:val="52"/>
        </w:rPr>
        <w:t xml:space="preserve"> </w:t>
      </w:r>
      <w:r>
        <w:t>the</w:t>
      </w:r>
      <w:r>
        <w:rPr>
          <w:spacing w:val="49"/>
        </w:rPr>
        <w:t xml:space="preserve"> </w:t>
      </w:r>
      <w:r>
        <w:rPr>
          <w:spacing w:val="-1"/>
        </w:rPr>
        <w:t>Dispute</w:t>
      </w:r>
      <w:r>
        <w:rPr>
          <w:spacing w:val="46"/>
        </w:rPr>
        <w:t xml:space="preserve"> </w:t>
      </w:r>
      <w:r>
        <w:rPr>
          <w:spacing w:val="-1"/>
        </w:rPr>
        <w:t>Notice,</w:t>
      </w:r>
      <w:r>
        <w:rPr>
          <w:spacing w:val="50"/>
        </w:rPr>
        <w:t xml:space="preserve"> </w:t>
      </w:r>
      <w:r>
        <w:t>the</w:t>
      </w:r>
      <w:r>
        <w:rPr>
          <w:spacing w:val="48"/>
        </w:rPr>
        <w:t xml:space="preserve"> </w:t>
      </w:r>
      <w:r>
        <w:rPr>
          <w:spacing w:val="-2"/>
        </w:rPr>
        <w:t>use</w:t>
      </w:r>
      <w:r>
        <w:rPr>
          <w:spacing w:val="49"/>
        </w:rPr>
        <w:t xml:space="preserve"> </w:t>
      </w:r>
      <w:r>
        <w:rPr>
          <w:spacing w:val="-2"/>
        </w:rPr>
        <w:t>of</w:t>
      </w:r>
      <w:r>
        <w:rPr>
          <w:spacing w:val="49"/>
        </w:rPr>
        <w:t xml:space="preserve"> </w:t>
      </w:r>
      <w:r>
        <w:t>the</w:t>
      </w:r>
      <w:r>
        <w:rPr>
          <w:spacing w:val="47"/>
        </w:rPr>
        <w:t xml:space="preserve"> </w:t>
      </w:r>
      <w:r>
        <w:rPr>
          <w:spacing w:val="-2"/>
        </w:rPr>
        <w:t>Expedited</w:t>
      </w:r>
      <w:r>
        <w:rPr>
          <w:spacing w:val="54"/>
        </w:rPr>
        <w:t xml:space="preserve"> </w:t>
      </w:r>
      <w:r>
        <w:rPr>
          <w:spacing w:val="-1"/>
        </w:rPr>
        <w:t>Dispute</w:t>
      </w:r>
      <w:r>
        <w:rPr>
          <w:spacing w:val="-2"/>
        </w:rPr>
        <w:t xml:space="preserve"> </w:t>
      </w:r>
      <w:r>
        <w:rPr>
          <w:spacing w:val="-1"/>
        </w:rPr>
        <w:t>Timetable</w:t>
      </w:r>
      <w:r>
        <w:t xml:space="preserve"> </w:t>
      </w:r>
      <w:r>
        <w:rPr>
          <w:spacing w:val="-1"/>
        </w:rPr>
        <w:t>shall</w:t>
      </w:r>
      <w:r>
        <w:rPr>
          <w:spacing w:val="-3"/>
        </w:rPr>
        <w:t xml:space="preserve"> </w:t>
      </w:r>
      <w:r>
        <w:rPr>
          <w:spacing w:val="-1"/>
        </w:rPr>
        <w:t>be</w:t>
      </w:r>
      <w:r>
        <w:t xml:space="preserve"> </w:t>
      </w:r>
      <w:r>
        <w:rPr>
          <w:spacing w:val="-1"/>
        </w:rPr>
        <w:t>at</w:t>
      </w:r>
      <w:r>
        <w:t xml:space="preserve"> the</w:t>
      </w:r>
      <w:r>
        <w:rPr>
          <w:spacing w:val="-2"/>
        </w:rPr>
        <w:t xml:space="preserve"> </w:t>
      </w:r>
      <w:r>
        <w:rPr>
          <w:spacing w:val="-1"/>
        </w:rPr>
        <w:t>sole</w:t>
      </w:r>
      <w:r>
        <w:t xml:space="preserve"> </w:t>
      </w:r>
      <w:r>
        <w:rPr>
          <w:spacing w:val="-1"/>
        </w:rPr>
        <w:t>discretion</w:t>
      </w:r>
      <w:r>
        <w:rPr>
          <w:spacing w:val="-2"/>
        </w:rPr>
        <w:t xml:space="preserve"> of</w:t>
      </w:r>
      <w:r>
        <w:rPr>
          <w:spacing w:val="2"/>
        </w:rPr>
        <w:t xml:space="preserve"> </w:t>
      </w:r>
      <w:r>
        <w:t xml:space="preserve">the </w:t>
      </w:r>
      <w:r>
        <w:rPr>
          <w:spacing w:val="-1"/>
        </w:rPr>
        <w:t>Customer.</w:t>
      </w:r>
    </w:p>
    <w:p w:rsidR="008918FA" w:rsidRDefault="008918FA" w:rsidP="008918FA">
      <w:pPr>
        <w:pStyle w:val="BodyText"/>
        <w:numPr>
          <w:ilvl w:val="1"/>
          <w:numId w:val="6"/>
        </w:numPr>
        <w:tabs>
          <w:tab w:val="left" w:pos="829"/>
        </w:tabs>
        <w:spacing w:before="121"/>
        <w:ind w:right="112"/>
        <w:jc w:val="both"/>
      </w:pPr>
      <w:r>
        <w:rPr>
          <w:spacing w:val="-1"/>
        </w:rPr>
        <w:t>If</w:t>
      </w:r>
      <w:r>
        <w:rPr>
          <w:spacing w:val="40"/>
        </w:rPr>
        <w:t xml:space="preserve"> </w:t>
      </w:r>
      <w:r>
        <w:t>the</w:t>
      </w:r>
      <w:r>
        <w:rPr>
          <w:spacing w:val="38"/>
        </w:rPr>
        <w:t xml:space="preserve"> </w:t>
      </w:r>
      <w:r>
        <w:rPr>
          <w:spacing w:val="-1"/>
        </w:rPr>
        <w:t>use</w:t>
      </w:r>
      <w:r>
        <w:rPr>
          <w:spacing w:val="36"/>
        </w:rPr>
        <w:t xml:space="preserve"> </w:t>
      </w:r>
      <w:r>
        <w:rPr>
          <w:spacing w:val="-2"/>
        </w:rPr>
        <w:t>of</w:t>
      </w:r>
      <w:r>
        <w:rPr>
          <w:spacing w:val="40"/>
        </w:rPr>
        <w:t xml:space="preserve"> </w:t>
      </w:r>
      <w:r>
        <w:rPr>
          <w:spacing w:val="-1"/>
        </w:rPr>
        <w:t>the</w:t>
      </w:r>
      <w:r>
        <w:rPr>
          <w:spacing w:val="36"/>
        </w:rPr>
        <w:t xml:space="preserve"> </w:t>
      </w:r>
      <w:r>
        <w:rPr>
          <w:spacing w:val="-1"/>
        </w:rPr>
        <w:t>Expedited</w:t>
      </w:r>
      <w:r>
        <w:rPr>
          <w:spacing w:val="38"/>
        </w:rPr>
        <w:t xml:space="preserve"> </w:t>
      </w:r>
      <w:r>
        <w:rPr>
          <w:spacing w:val="-1"/>
        </w:rPr>
        <w:t>Dispute</w:t>
      </w:r>
      <w:r>
        <w:rPr>
          <w:spacing w:val="37"/>
        </w:rPr>
        <w:t xml:space="preserve"> </w:t>
      </w:r>
      <w:r>
        <w:rPr>
          <w:spacing w:val="-1"/>
        </w:rPr>
        <w:t>Timetable</w:t>
      </w:r>
      <w:r>
        <w:rPr>
          <w:spacing w:val="40"/>
        </w:rPr>
        <w:t xml:space="preserve"> </w:t>
      </w:r>
      <w:r>
        <w:rPr>
          <w:spacing w:val="-2"/>
        </w:rPr>
        <w:t>is</w:t>
      </w:r>
      <w:r>
        <w:rPr>
          <w:spacing w:val="39"/>
        </w:rPr>
        <w:t xml:space="preserve"> </w:t>
      </w:r>
      <w:r>
        <w:rPr>
          <w:spacing w:val="-1"/>
        </w:rPr>
        <w:t>determined</w:t>
      </w:r>
      <w:r>
        <w:rPr>
          <w:spacing w:val="38"/>
        </w:rPr>
        <w:t xml:space="preserve"> </w:t>
      </w:r>
      <w:r>
        <w:rPr>
          <w:spacing w:val="-1"/>
        </w:rPr>
        <w:t>in</w:t>
      </w:r>
      <w:r>
        <w:rPr>
          <w:spacing w:val="38"/>
        </w:rPr>
        <w:t xml:space="preserve"> </w:t>
      </w:r>
      <w:r>
        <w:rPr>
          <w:spacing w:val="-2"/>
        </w:rPr>
        <w:t>accordance</w:t>
      </w:r>
      <w:r>
        <w:rPr>
          <w:spacing w:val="39"/>
        </w:rPr>
        <w:t xml:space="preserve"> </w:t>
      </w:r>
      <w:r>
        <w:rPr>
          <w:spacing w:val="-1"/>
        </w:rPr>
        <w:t>with</w:t>
      </w:r>
      <w:r>
        <w:rPr>
          <w:spacing w:val="47"/>
        </w:rPr>
        <w:t xml:space="preserve"> </w:t>
      </w:r>
      <w:r>
        <w:rPr>
          <w:spacing w:val="-1"/>
        </w:rPr>
        <w:t>paragraph</w:t>
      </w:r>
      <w:r>
        <w:rPr>
          <w:spacing w:val="-2"/>
        </w:rPr>
        <w:t xml:space="preserve"> </w:t>
      </w:r>
      <w:hyperlink w:anchor="_bookmark410" w:history="1">
        <w:r>
          <w:t>2.5</w:t>
        </w:r>
      </w:hyperlink>
      <w:r>
        <w:rPr>
          <w:spacing w:val="16"/>
        </w:rPr>
        <w:t xml:space="preserve"> </w:t>
      </w:r>
      <w:r>
        <w:rPr>
          <w:spacing w:val="-2"/>
        </w:rPr>
        <w:t>or</w:t>
      </w:r>
      <w:r>
        <w:rPr>
          <w:spacing w:val="17"/>
        </w:rPr>
        <w:t xml:space="preserve"> </w:t>
      </w:r>
      <w:r>
        <w:rPr>
          <w:spacing w:val="-1"/>
        </w:rPr>
        <w:t>is</w:t>
      </w:r>
      <w:r>
        <w:rPr>
          <w:spacing w:val="16"/>
        </w:rPr>
        <w:t xml:space="preserve"> </w:t>
      </w:r>
      <w:r>
        <w:rPr>
          <w:spacing w:val="-2"/>
        </w:rPr>
        <w:t>otherwise</w:t>
      </w:r>
      <w:r>
        <w:rPr>
          <w:spacing w:val="16"/>
        </w:rPr>
        <w:t xml:space="preserve"> </w:t>
      </w:r>
      <w:r>
        <w:rPr>
          <w:spacing w:val="-1"/>
        </w:rPr>
        <w:t>specified</w:t>
      </w:r>
      <w:r>
        <w:rPr>
          <w:spacing w:val="16"/>
        </w:rPr>
        <w:t xml:space="preserve"> </w:t>
      </w:r>
      <w:r>
        <w:rPr>
          <w:spacing w:val="-1"/>
        </w:rPr>
        <w:t>under</w:t>
      </w:r>
      <w:r>
        <w:rPr>
          <w:spacing w:val="15"/>
        </w:rPr>
        <w:t xml:space="preserve"> </w:t>
      </w:r>
      <w:r>
        <w:t>the</w:t>
      </w:r>
      <w:r>
        <w:rPr>
          <w:spacing w:val="16"/>
        </w:rPr>
        <w:t xml:space="preserve"> </w:t>
      </w:r>
      <w:r>
        <w:rPr>
          <w:spacing w:val="-2"/>
        </w:rPr>
        <w:t>provisions</w:t>
      </w:r>
      <w:r>
        <w:rPr>
          <w:spacing w:val="16"/>
        </w:rPr>
        <w:t xml:space="preserve"> </w:t>
      </w:r>
      <w:r>
        <w:rPr>
          <w:spacing w:val="-1"/>
        </w:rPr>
        <w:t>of</w:t>
      </w:r>
      <w:r>
        <w:rPr>
          <w:spacing w:val="17"/>
        </w:rPr>
        <w:t xml:space="preserve"> </w:t>
      </w:r>
      <w:r>
        <w:rPr>
          <w:spacing w:val="-1"/>
        </w:rPr>
        <w:t>this</w:t>
      </w:r>
      <w:r>
        <w:rPr>
          <w:spacing w:val="14"/>
        </w:rPr>
        <w:t xml:space="preserve"> </w:t>
      </w:r>
      <w:r>
        <w:rPr>
          <w:spacing w:val="-2"/>
        </w:rPr>
        <w:t>Call</w:t>
      </w:r>
      <w:r>
        <w:rPr>
          <w:spacing w:val="15"/>
        </w:rPr>
        <w:t xml:space="preserve"> </w:t>
      </w:r>
      <w:r>
        <w:rPr>
          <w:spacing w:val="-1"/>
        </w:rPr>
        <w:t>Off</w:t>
      </w:r>
      <w:r>
        <w:rPr>
          <w:spacing w:val="71"/>
        </w:rPr>
        <w:t xml:space="preserve"> </w:t>
      </w:r>
      <w:r>
        <w:rPr>
          <w:spacing w:val="-1"/>
        </w:rPr>
        <w:t>Contract,</w:t>
      </w:r>
      <w:r>
        <w:rPr>
          <w:spacing w:val="23"/>
        </w:rPr>
        <w:t xml:space="preserve"> </w:t>
      </w:r>
      <w:r>
        <w:rPr>
          <w:spacing w:val="-1"/>
        </w:rPr>
        <w:t>then</w:t>
      </w:r>
      <w:r>
        <w:rPr>
          <w:spacing w:val="22"/>
        </w:rPr>
        <w:t xml:space="preserve"> </w:t>
      </w:r>
      <w:r>
        <w:t>the</w:t>
      </w:r>
      <w:r>
        <w:rPr>
          <w:spacing w:val="22"/>
        </w:rPr>
        <w:t xml:space="preserve"> </w:t>
      </w:r>
      <w:r>
        <w:rPr>
          <w:spacing w:val="-2"/>
        </w:rPr>
        <w:t>following</w:t>
      </w:r>
      <w:r>
        <w:rPr>
          <w:spacing w:val="27"/>
        </w:rPr>
        <w:t xml:space="preserve"> </w:t>
      </w:r>
      <w:r>
        <w:rPr>
          <w:spacing w:val="-1"/>
        </w:rPr>
        <w:t>periods</w:t>
      </w:r>
      <w:r>
        <w:rPr>
          <w:spacing w:val="22"/>
        </w:rPr>
        <w:t xml:space="preserve"> </w:t>
      </w:r>
      <w:r>
        <w:rPr>
          <w:spacing w:val="-2"/>
        </w:rPr>
        <w:t>of</w:t>
      </w:r>
      <w:r>
        <w:rPr>
          <w:spacing w:val="26"/>
        </w:rPr>
        <w:t xml:space="preserve"> </w:t>
      </w:r>
      <w:r>
        <w:rPr>
          <w:spacing w:val="-1"/>
        </w:rPr>
        <w:t>time</w:t>
      </w:r>
      <w:r>
        <w:rPr>
          <w:spacing w:val="22"/>
        </w:rPr>
        <w:t xml:space="preserve"> </w:t>
      </w:r>
      <w:r>
        <w:rPr>
          <w:spacing w:val="-1"/>
        </w:rPr>
        <w:t>shall</w:t>
      </w:r>
      <w:r>
        <w:rPr>
          <w:spacing w:val="24"/>
        </w:rPr>
        <w:t xml:space="preserve"> </w:t>
      </w:r>
      <w:r>
        <w:rPr>
          <w:spacing w:val="-1"/>
        </w:rPr>
        <w:t>apply</w:t>
      </w:r>
      <w:r>
        <w:rPr>
          <w:spacing w:val="22"/>
        </w:rPr>
        <w:t xml:space="preserve"> </w:t>
      </w:r>
      <w:r>
        <w:rPr>
          <w:spacing w:val="-1"/>
        </w:rPr>
        <w:t>in</w:t>
      </w:r>
      <w:r>
        <w:rPr>
          <w:spacing w:val="24"/>
        </w:rPr>
        <w:t xml:space="preserve"> </w:t>
      </w:r>
      <w:r>
        <w:rPr>
          <w:spacing w:val="-2"/>
        </w:rPr>
        <w:t>lieu</w:t>
      </w:r>
      <w:r>
        <w:rPr>
          <w:spacing w:val="24"/>
        </w:rPr>
        <w:t xml:space="preserve"> </w:t>
      </w:r>
      <w:r>
        <w:rPr>
          <w:spacing w:val="-1"/>
        </w:rPr>
        <w:t>of</w:t>
      </w:r>
      <w:r>
        <w:rPr>
          <w:spacing w:val="28"/>
        </w:rPr>
        <w:t xml:space="preserve"> </w:t>
      </w:r>
      <w:r>
        <w:t>the</w:t>
      </w:r>
      <w:r>
        <w:rPr>
          <w:spacing w:val="22"/>
        </w:rPr>
        <w:t xml:space="preserve"> </w:t>
      </w:r>
      <w:r>
        <w:rPr>
          <w:spacing w:val="-1"/>
        </w:rPr>
        <w:t>time</w:t>
      </w:r>
      <w:r>
        <w:rPr>
          <w:spacing w:val="24"/>
        </w:rPr>
        <w:t xml:space="preserve"> </w:t>
      </w:r>
      <w:r>
        <w:rPr>
          <w:spacing w:val="-1"/>
        </w:rPr>
        <w:t>periods</w:t>
      </w:r>
      <w:r>
        <w:rPr>
          <w:spacing w:val="60"/>
        </w:rPr>
        <w:t xml:space="preserve"> </w:t>
      </w:r>
      <w:r>
        <w:rPr>
          <w:spacing w:val="-1"/>
        </w:rPr>
        <w:t>specified</w:t>
      </w:r>
      <w:r>
        <w:t xml:space="preserve"> </w:t>
      </w:r>
      <w:r>
        <w:rPr>
          <w:spacing w:val="-1"/>
        </w:rPr>
        <w:t>in</w:t>
      </w:r>
      <w:r>
        <w:t xml:space="preserve"> the</w:t>
      </w:r>
      <w:r>
        <w:rPr>
          <w:spacing w:val="-2"/>
        </w:rPr>
        <w:t xml:space="preserve"> applicable</w:t>
      </w:r>
      <w:r>
        <w:t xml:space="preserve"> </w:t>
      </w:r>
      <w:r>
        <w:rPr>
          <w:spacing w:val="-1"/>
        </w:rPr>
        <w:t>paragraphs:</w:t>
      </w:r>
    </w:p>
    <w:p w:rsidR="008918FA" w:rsidRDefault="008918FA" w:rsidP="008918FA">
      <w:pPr>
        <w:pStyle w:val="BodyText"/>
        <w:numPr>
          <w:ilvl w:val="2"/>
          <w:numId w:val="6"/>
        </w:numPr>
        <w:tabs>
          <w:tab w:val="left" w:pos="2026"/>
        </w:tabs>
        <w:ind w:left="2025" w:hanging="993"/>
      </w:pPr>
      <w:r>
        <w:rPr>
          <w:spacing w:val="-1"/>
        </w:rPr>
        <w:t>in</w:t>
      </w:r>
      <w:r>
        <w:t xml:space="preserve"> </w:t>
      </w:r>
      <w:r>
        <w:rPr>
          <w:spacing w:val="-1"/>
        </w:rPr>
        <w:t xml:space="preserve">paragraph </w:t>
      </w:r>
      <w:hyperlink w:anchor="_bookmark415" w:history="1">
        <w:r>
          <w:rPr>
            <w:spacing w:val="-1"/>
          </w:rPr>
          <w:t>3.2.3</w:t>
        </w:r>
      </w:hyperlink>
      <w:r>
        <w:rPr>
          <w:spacing w:val="-1"/>
        </w:rPr>
        <w:t xml:space="preserve">, </w:t>
      </w:r>
      <w:r>
        <w:t>ten</w:t>
      </w:r>
      <w:r>
        <w:rPr>
          <w:spacing w:val="-2"/>
        </w:rPr>
        <w:t xml:space="preserve"> </w:t>
      </w:r>
      <w:r>
        <w:rPr>
          <w:spacing w:val="-1"/>
        </w:rPr>
        <w:t>(10)</w:t>
      </w:r>
      <w:r>
        <w:rPr>
          <w:spacing w:val="-5"/>
        </w:rPr>
        <w:t xml:space="preserve"> </w:t>
      </w:r>
      <w:r>
        <w:rPr>
          <w:spacing w:val="-1"/>
        </w:rPr>
        <w:t>Working</w:t>
      </w:r>
      <w:r>
        <w:rPr>
          <w:spacing w:val="3"/>
        </w:rPr>
        <w:t xml:space="preserve"> </w:t>
      </w:r>
      <w:r>
        <w:rPr>
          <w:spacing w:val="-3"/>
        </w:rPr>
        <w:t>Days;</w:t>
      </w:r>
    </w:p>
    <w:p w:rsidR="008918FA" w:rsidRDefault="008918FA" w:rsidP="008918FA">
      <w:pPr>
        <w:pStyle w:val="BodyText"/>
        <w:numPr>
          <w:ilvl w:val="2"/>
          <w:numId w:val="6"/>
        </w:numPr>
        <w:tabs>
          <w:tab w:val="left" w:pos="2026"/>
        </w:tabs>
        <w:spacing w:before="121"/>
        <w:ind w:left="2025" w:hanging="993"/>
      </w:pPr>
      <w:r>
        <w:rPr>
          <w:spacing w:val="-1"/>
        </w:rPr>
        <w:t>in</w:t>
      </w:r>
      <w:r>
        <w:t xml:space="preserve"> </w:t>
      </w:r>
      <w:r>
        <w:rPr>
          <w:spacing w:val="-1"/>
        </w:rPr>
        <w:t xml:space="preserve">paragraph </w:t>
      </w:r>
      <w:hyperlink w:anchor="_bookmark417" w:history="1">
        <w:r>
          <w:rPr>
            <w:spacing w:val="-1"/>
          </w:rPr>
          <w:t>4.2</w:t>
        </w:r>
      </w:hyperlink>
      <w:r>
        <w:rPr>
          <w:spacing w:val="-1"/>
        </w:rPr>
        <w:t xml:space="preserve">, </w:t>
      </w:r>
      <w:r>
        <w:t>ten</w:t>
      </w:r>
      <w:r>
        <w:rPr>
          <w:spacing w:val="-2"/>
        </w:rPr>
        <w:t xml:space="preserve"> </w:t>
      </w:r>
      <w:r>
        <w:rPr>
          <w:spacing w:val="-1"/>
        </w:rPr>
        <w:t>(10)</w:t>
      </w:r>
      <w:r>
        <w:rPr>
          <w:spacing w:val="-3"/>
        </w:rPr>
        <w:t xml:space="preserve"> </w:t>
      </w:r>
      <w:r>
        <w:rPr>
          <w:spacing w:val="-1"/>
        </w:rPr>
        <w:t>Working</w:t>
      </w:r>
      <w:r>
        <w:rPr>
          <w:spacing w:val="3"/>
        </w:rPr>
        <w:t xml:space="preserve"> </w:t>
      </w:r>
      <w:r>
        <w:rPr>
          <w:spacing w:val="-3"/>
        </w:rPr>
        <w:t>Days;</w:t>
      </w:r>
    </w:p>
    <w:p w:rsidR="008918FA" w:rsidRDefault="008918FA" w:rsidP="008918FA">
      <w:pPr>
        <w:pStyle w:val="BodyText"/>
        <w:numPr>
          <w:ilvl w:val="2"/>
          <w:numId w:val="6"/>
        </w:numPr>
        <w:tabs>
          <w:tab w:val="left" w:pos="2026"/>
        </w:tabs>
        <w:ind w:left="2025" w:hanging="993"/>
      </w:pPr>
      <w:r>
        <w:rPr>
          <w:spacing w:val="-1"/>
        </w:rPr>
        <w:t>in</w:t>
      </w:r>
      <w:r>
        <w:t xml:space="preserve"> </w:t>
      </w:r>
      <w:r>
        <w:rPr>
          <w:spacing w:val="-1"/>
        </w:rPr>
        <w:t xml:space="preserve">paragraph </w:t>
      </w:r>
      <w:hyperlink w:anchor="_bookmark419" w:history="1">
        <w:r>
          <w:rPr>
            <w:spacing w:val="-1"/>
          </w:rPr>
          <w:t>5.2</w:t>
        </w:r>
      </w:hyperlink>
      <w:r>
        <w:rPr>
          <w:spacing w:val="-1"/>
        </w:rPr>
        <w:t>, five</w:t>
      </w:r>
      <w:r>
        <w:t xml:space="preserve"> </w:t>
      </w:r>
      <w:r>
        <w:rPr>
          <w:spacing w:val="-1"/>
        </w:rPr>
        <w:t>(5)</w:t>
      </w:r>
      <w:r>
        <w:rPr>
          <w:spacing w:val="-6"/>
        </w:rPr>
        <w:t xml:space="preserve"> </w:t>
      </w:r>
      <w:r>
        <w:rPr>
          <w:spacing w:val="-1"/>
        </w:rPr>
        <w:t>Working</w:t>
      </w:r>
      <w:r>
        <w:t xml:space="preserve"> </w:t>
      </w:r>
      <w:r>
        <w:rPr>
          <w:spacing w:val="-2"/>
        </w:rPr>
        <w:t>Days;</w:t>
      </w:r>
      <w:r>
        <w:rPr>
          <w:spacing w:val="2"/>
        </w:rPr>
        <w:t xml:space="preserve"> </w:t>
      </w:r>
      <w:r>
        <w:rPr>
          <w:spacing w:val="-1"/>
        </w:rPr>
        <w:t>and</w:t>
      </w:r>
    </w:p>
    <w:p w:rsidR="008918FA" w:rsidRDefault="008918FA" w:rsidP="008918FA">
      <w:pPr>
        <w:pStyle w:val="BodyText"/>
        <w:numPr>
          <w:ilvl w:val="2"/>
          <w:numId w:val="6"/>
        </w:numPr>
        <w:tabs>
          <w:tab w:val="left" w:pos="2026"/>
        </w:tabs>
        <w:spacing w:before="121"/>
        <w:ind w:left="2025" w:hanging="993"/>
      </w:pPr>
      <w:r>
        <w:rPr>
          <w:spacing w:val="-1"/>
        </w:rPr>
        <w:t>in</w:t>
      </w:r>
      <w:r>
        <w:t xml:space="preserve"> </w:t>
      </w:r>
      <w:r>
        <w:rPr>
          <w:spacing w:val="-1"/>
        </w:rPr>
        <w:t xml:space="preserve">paragraph </w:t>
      </w:r>
      <w:hyperlink w:anchor="_bookmark421" w:history="1">
        <w:r>
          <w:rPr>
            <w:spacing w:val="-1"/>
          </w:rPr>
          <w:t>6.2</w:t>
        </w:r>
      </w:hyperlink>
      <w:r>
        <w:rPr>
          <w:spacing w:val="-1"/>
        </w:rPr>
        <w:t xml:space="preserve">, </w:t>
      </w:r>
      <w:r>
        <w:t>ten</w:t>
      </w:r>
      <w:r>
        <w:rPr>
          <w:spacing w:val="-2"/>
        </w:rPr>
        <w:t xml:space="preserve"> </w:t>
      </w:r>
      <w:r>
        <w:rPr>
          <w:spacing w:val="-1"/>
        </w:rPr>
        <w:t>(10)</w:t>
      </w:r>
      <w:r>
        <w:rPr>
          <w:spacing w:val="-3"/>
        </w:rPr>
        <w:t xml:space="preserve"> </w:t>
      </w:r>
      <w:r>
        <w:rPr>
          <w:spacing w:val="-1"/>
        </w:rPr>
        <w:t>Working</w:t>
      </w:r>
      <w:r>
        <w:rPr>
          <w:spacing w:val="3"/>
        </w:rPr>
        <w:t xml:space="preserve"> </w:t>
      </w:r>
      <w:r>
        <w:rPr>
          <w:spacing w:val="-3"/>
        </w:rPr>
        <w:t>Days.</w:t>
      </w:r>
    </w:p>
    <w:p w:rsidR="008918FA" w:rsidRDefault="008918FA" w:rsidP="008918FA">
      <w:pPr>
        <w:pStyle w:val="BodyText"/>
        <w:numPr>
          <w:ilvl w:val="1"/>
          <w:numId w:val="6"/>
        </w:numPr>
        <w:tabs>
          <w:tab w:val="left" w:pos="829"/>
        </w:tabs>
        <w:ind w:right="112"/>
        <w:jc w:val="both"/>
      </w:pPr>
      <w:r>
        <w:rPr>
          <w:spacing w:val="-1"/>
        </w:rPr>
        <w:t>If</w:t>
      </w:r>
      <w:r>
        <w:rPr>
          <w:spacing w:val="26"/>
        </w:rPr>
        <w:t xml:space="preserve"> </w:t>
      </w:r>
      <w:r>
        <w:rPr>
          <w:spacing w:val="-2"/>
        </w:rPr>
        <w:t>at</w:t>
      </w:r>
      <w:r>
        <w:rPr>
          <w:spacing w:val="23"/>
        </w:rPr>
        <w:t xml:space="preserve"> </w:t>
      </w:r>
      <w:r>
        <w:rPr>
          <w:spacing w:val="-1"/>
        </w:rPr>
        <w:t>any</w:t>
      </w:r>
      <w:r>
        <w:rPr>
          <w:spacing w:val="20"/>
        </w:rPr>
        <w:t xml:space="preserve"> </w:t>
      </w:r>
      <w:r>
        <w:rPr>
          <w:spacing w:val="-1"/>
        </w:rPr>
        <w:t>point</w:t>
      </w:r>
      <w:r>
        <w:rPr>
          <w:spacing w:val="23"/>
        </w:rPr>
        <w:t xml:space="preserve"> </w:t>
      </w:r>
      <w:r>
        <w:rPr>
          <w:spacing w:val="-1"/>
        </w:rPr>
        <w:t>it</w:t>
      </w:r>
      <w:r>
        <w:rPr>
          <w:spacing w:val="21"/>
        </w:rPr>
        <w:t xml:space="preserve"> </w:t>
      </w:r>
      <w:r>
        <w:rPr>
          <w:spacing w:val="-2"/>
        </w:rPr>
        <w:t>becomes</w:t>
      </w:r>
      <w:r>
        <w:rPr>
          <w:spacing w:val="22"/>
        </w:rPr>
        <w:t xml:space="preserve"> </w:t>
      </w:r>
      <w:r>
        <w:rPr>
          <w:spacing w:val="-1"/>
        </w:rPr>
        <w:t>clear</w:t>
      </w:r>
      <w:r>
        <w:rPr>
          <w:spacing w:val="21"/>
        </w:rPr>
        <w:t xml:space="preserve"> </w:t>
      </w:r>
      <w:r>
        <w:rPr>
          <w:spacing w:val="-1"/>
        </w:rPr>
        <w:t>that</w:t>
      </w:r>
      <w:r>
        <w:rPr>
          <w:spacing w:val="21"/>
        </w:rPr>
        <w:t xml:space="preserve"> </w:t>
      </w:r>
      <w:r>
        <w:rPr>
          <w:spacing w:val="-1"/>
        </w:rPr>
        <w:t>an</w:t>
      </w:r>
      <w:r>
        <w:rPr>
          <w:spacing w:val="22"/>
        </w:rPr>
        <w:t xml:space="preserve"> </w:t>
      </w:r>
      <w:r>
        <w:rPr>
          <w:spacing w:val="-2"/>
        </w:rPr>
        <w:t>applicable</w:t>
      </w:r>
      <w:r>
        <w:rPr>
          <w:spacing w:val="22"/>
        </w:rPr>
        <w:t xml:space="preserve"> </w:t>
      </w:r>
      <w:r>
        <w:rPr>
          <w:spacing w:val="-2"/>
        </w:rPr>
        <w:t>deadline</w:t>
      </w:r>
      <w:r>
        <w:rPr>
          <w:spacing w:val="22"/>
        </w:rPr>
        <w:t xml:space="preserve"> </w:t>
      </w:r>
      <w:r>
        <w:rPr>
          <w:spacing w:val="-1"/>
        </w:rPr>
        <w:t>cannot</w:t>
      </w:r>
      <w:r>
        <w:rPr>
          <w:spacing w:val="23"/>
        </w:rPr>
        <w:t xml:space="preserve"> </w:t>
      </w:r>
      <w:r>
        <w:rPr>
          <w:spacing w:val="-1"/>
        </w:rPr>
        <w:t>be</w:t>
      </w:r>
      <w:r>
        <w:rPr>
          <w:spacing w:val="19"/>
        </w:rPr>
        <w:t xml:space="preserve"> </w:t>
      </w:r>
      <w:r>
        <w:rPr>
          <w:spacing w:val="-1"/>
        </w:rPr>
        <w:t>met</w:t>
      </w:r>
      <w:r>
        <w:rPr>
          <w:spacing w:val="23"/>
        </w:rPr>
        <w:t xml:space="preserve"> </w:t>
      </w:r>
      <w:r>
        <w:rPr>
          <w:spacing w:val="-1"/>
        </w:rPr>
        <w:t>or</w:t>
      </w:r>
      <w:r>
        <w:rPr>
          <w:spacing w:val="21"/>
        </w:rPr>
        <w:t xml:space="preserve"> </w:t>
      </w:r>
      <w:r>
        <w:rPr>
          <w:spacing w:val="-1"/>
        </w:rPr>
        <w:t>has</w:t>
      </w:r>
      <w:r>
        <w:rPr>
          <w:spacing w:val="64"/>
        </w:rPr>
        <w:t xml:space="preserve"> </w:t>
      </w:r>
      <w:r>
        <w:rPr>
          <w:spacing w:val="-1"/>
        </w:rPr>
        <w:t>passed,</w:t>
      </w:r>
      <w:r>
        <w:rPr>
          <w:spacing w:val="33"/>
        </w:rPr>
        <w:t xml:space="preserve"> </w:t>
      </w:r>
      <w:r>
        <w:t>the</w:t>
      </w:r>
      <w:r>
        <w:rPr>
          <w:spacing w:val="31"/>
        </w:rPr>
        <w:t xml:space="preserve"> </w:t>
      </w:r>
      <w:r>
        <w:rPr>
          <w:spacing w:val="-1"/>
        </w:rPr>
        <w:t>Parties</w:t>
      </w:r>
      <w:r>
        <w:rPr>
          <w:spacing w:val="30"/>
        </w:rPr>
        <w:t xml:space="preserve"> </w:t>
      </w:r>
      <w:r>
        <w:rPr>
          <w:spacing w:val="-1"/>
        </w:rPr>
        <w:t>may</w:t>
      </w:r>
      <w:r>
        <w:rPr>
          <w:spacing w:val="30"/>
        </w:rPr>
        <w:t xml:space="preserve"> </w:t>
      </w:r>
      <w:r>
        <w:rPr>
          <w:spacing w:val="-1"/>
        </w:rPr>
        <w:t>(but</w:t>
      </w:r>
      <w:r>
        <w:rPr>
          <w:spacing w:val="33"/>
        </w:rPr>
        <w:t xml:space="preserve"> </w:t>
      </w:r>
      <w:r>
        <w:rPr>
          <w:spacing w:val="-1"/>
        </w:rPr>
        <w:t>shall</w:t>
      </w:r>
      <w:r>
        <w:rPr>
          <w:spacing w:val="31"/>
        </w:rPr>
        <w:t xml:space="preserve"> </w:t>
      </w:r>
      <w:r>
        <w:rPr>
          <w:spacing w:val="-1"/>
        </w:rPr>
        <w:t>be</w:t>
      </w:r>
      <w:r>
        <w:rPr>
          <w:spacing w:val="31"/>
        </w:rPr>
        <w:t xml:space="preserve"> </w:t>
      </w:r>
      <w:r>
        <w:rPr>
          <w:spacing w:val="-1"/>
        </w:rPr>
        <w:t>under</w:t>
      </w:r>
      <w:r>
        <w:rPr>
          <w:spacing w:val="33"/>
        </w:rPr>
        <w:t xml:space="preserve"> </w:t>
      </w:r>
      <w:r>
        <w:rPr>
          <w:spacing w:val="-1"/>
        </w:rPr>
        <w:t>no</w:t>
      </w:r>
      <w:r>
        <w:rPr>
          <w:spacing w:val="32"/>
        </w:rPr>
        <w:t xml:space="preserve"> </w:t>
      </w:r>
      <w:r>
        <w:rPr>
          <w:spacing w:val="-1"/>
        </w:rPr>
        <w:t>obligation</w:t>
      </w:r>
      <w:r>
        <w:rPr>
          <w:spacing w:val="31"/>
        </w:rPr>
        <w:t xml:space="preserve"> </w:t>
      </w:r>
      <w:r>
        <w:rPr>
          <w:spacing w:val="-1"/>
        </w:rPr>
        <w:t>to)</w:t>
      </w:r>
      <w:r>
        <w:rPr>
          <w:spacing w:val="33"/>
        </w:rPr>
        <w:t xml:space="preserve"> </w:t>
      </w:r>
      <w:r>
        <w:rPr>
          <w:spacing w:val="-1"/>
        </w:rPr>
        <w:t>agree</w:t>
      </w:r>
      <w:r>
        <w:rPr>
          <w:spacing w:val="31"/>
        </w:rPr>
        <w:t xml:space="preserve"> </w:t>
      </w:r>
      <w:r>
        <w:t>in</w:t>
      </w:r>
      <w:r>
        <w:rPr>
          <w:spacing w:val="29"/>
        </w:rPr>
        <w:t xml:space="preserve"> </w:t>
      </w:r>
      <w:r>
        <w:rPr>
          <w:spacing w:val="-2"/>
        </w:rPr>
        <w:t>writing</w:t>
      </w:r>
      <w:r>
        <w:rPr>
          <w:spacing w:val="34"/>
        </w:rPr>
        <w:t xml:space="preserve"> </w:t>
      </w:r>
      <w:r>
        <w:t>to</w:t>
      </w:r>
      <w:r>
        <w:rPr>
          <w:spacing w:val="49"/>
        </w:rPr>
        <w:t xml:space="preserve"> </w:t>
      </w:r>
      <w:r>
        <w:rPr>
          <w:spacing w:val="-1"/>
        </w:rPr>
        <w:t>extend</w:t>
      </w:r>
      <w:r>
        <w:rPr>
          <w:spacing w:val="36"/>
        </w:rPr>
        <w:t xml:space="preserve"> </w:t>
      </w:r>
      <w:r>
        <w:t>the</w:t>
      </w:r>
      <w:r>
        <w:rPr>
          <w:spacing w:val="36"/>
        </w:rPr>
        <w:t xml:space="preserve"> </w:t>
      </w:r>
      <w:r>
        <w:rPr>
          <w:spacing w:val="-2"/>
        </w:rPr>
        <w:t>deadline.</w:t>
      </w:r>
      <w:r>
        <w:rPr>
          <w:spacing w:val="38"/>
        </w:rPr>
        <w:t xml:space="preserve"> </w:t>
      </w:r>
      <w:r>
        <w:rPr>
          <w:spacing w:val="-2"/>
        </w:rPr>
        <w:t>Any</w:t>
      </w:r>
      <w:r>
        <w:rPr>
          <w:spacing w:val="34"/>
        </w:rPr>
        <w:t xml:space="preserve"> </w:t>
      </w:r>
      <w:r>
        <w:rPr>
          <w:spacing w:val="-1"/>
        </w:rPr>
        <w:t>agreed</w:t>
      </w:r>
      <w:r>
        <w:rPr>
          <w:spacing w:val="36"/>
        </w:rPr>
        <w:t xml:space="preserve"> </w:t>
      </w:r>
      <w:r>
        <w:rPr>
          <w:spacing w:val="-1"/>
        </w:rPr>
        <w:t>extension</w:t>
      </w:r>
      <w:r>
        <w:rPr>
          <w:spacing w:val="36"/>
        </w:rPr>
        <w:t xml:space="preserve"> </w:t>
      </w:r>
      <w:r>
        <w:rPr>
          <w:spacing w:val="-2"/>
        </w:rPr>
        <w:t>shall</w:t>
      </w:r>
      <w:r>
        <w:rPr>
          <w:spacing w:val="37"/>
        </w:rPr>
        <w:t xml:space="preserve"> </w:t>
      </w:r>
      <w:r>
        <w:rPr>
          <w:spacing w:val="-2"/>
        </w:rPr>
        <w:t>have</w:t>
      </w:r>
      <w:r>
        <w:rPr>
          <w:spacing w:val="36"/>
        </w:rPr>
        <w:t xml:space="preserve"> </w:t>
      </w:r>
      <w:r>
        <w:t>the</w:t>
      </w:r>
      <w:r>
        <w:rPr>
          <w:spacing w:val="36"/>
        </w:rPr>
        <w:t xml:space="preserve"> </w:t>
      </w:r>
      <w:r>
        <w:rPr>
          <w:spacing w:val="-1"/>
        </w:rPr>
        <w:t>effect</w:t>
      </w:r>
      <w:r>
        <w:rPr>
          <w:spacing w:val="38"/>
        </w:rPr>
        <w:t xml:space="preserve"> </w:t>
      </w:r>
      <w:r>
        <w:rPr>
          <w:spacing w:val="-2"/>
        </w:rPr>
        <w:t>of</w:t>
      </w:r>
      <w:r>
        <w:rPr>
          <w:spacing w:val="38"/>
        </w:rPr>
        <w:t xml:space="preserve"> </w:t>
      </w:r>
      <w:r>
        <w:rPr>
          <w:spacing w:val="-2"/>
        </w:rPr>
        <w:t>delaying</w:t>
      </w:r>
      <w:r>
        <w:rPr>
          <w:spacing w:val="39"/>
        </w:rPr>
        <w:t xml:space="preserve"> </w:t>
      </w:r>
      <w:r>
        <w:rPr>
          <w:spacing w:val="-1"/>
        </w:rPr>
        <w:t>the</w:t>
      </w:r>
      <w:r>
        <w:rPr>
          <w:spacing w:val="70"/>
        </w:rPr>
        <w:t xml:space="preserve"> </w:t>
      </w:r>
      <w:r>
        <w:rPr>
          <w:spacing w:val="-1"/>
        </w:rPr>
        <w:t>start</w:t>
      </w:r>
      <w:r>
        <w:rPr>
          <w:spacing w:val="2"/>
        </w:rPr>
        <w:t xml:space="preserve"> </w:t>
      </w:r>
      <w:r>
        <w:rPr>
          <w:spacing w:val="-2"/>
        </w:rPr>
        <w:t>of</w:t>
      </w:r>
      <w:r>
        <w:t xml:space="preserve"> the</w:t>
      </w:r>
      <w:r>
        <w:rPr>
          <w:spacing w:val="-2"/>
        </w:rPr>
        <w:t xml:space="preserve"> </w:t>
      </w:r>
      <w:r>
        <w:rPr>
          <w:spacing w:val="-1"/>
        </w:rPr>
        <w:t>subsequent</w:t>
      </w:r>
      <w:r>
        <w:t xml:space="preserve"> </w:t>
      </w:r>
      <w:r>
        <w:rPr>
          <w:spacing w:val="-1"/>
        </w:rPr>
        <w:t>stages</w:t>
      </w:r>
      <w:r>
        <w:rPr>
          <w:spacing w:val="1"/>
        </w:rPr>
        <w:t xml:space="preserve"> </w:t>
      </w:r>
      <w:r>
        <w:rPr>
          <w:spacing w:val="-1"/>
        </w:rPr>
        <w:t>by</w:t>
      </w:r>
      <w:r>
        <w:rPr>
          <w:spacing w:val="-4"/>
        </w:rPr>
        <w:t xml:space="preserve"> </w:t>
      </w:r>
      <w:r>
        <w:t xml:space="preserve">the </w:t>
      </w:r>
      <w:r>
        <w:rPr>
          <w:spacing w:val="-2"/>
        </w:rPr>
        <w:t>period</w:t>
      </w:r>
      <w:r>
        <w:t xml:space="preserve"> </w:t>
      </w:r>
      <w:r>
        <w:rPr>
          <w:spacing w:val="-1"/>
        </w:rPr>
        <w:t>agreed</w:t>
      </w:r>
      <w:r>
        <w:t xml:space="preserve"> </w:t>
      </w:r>
      <w:r>
        <w:rPr>
          <w:spacing w:val="-1"/>
        </w:rPr>
        <w:t>in</w:t>
      </w:r>
      <w:r>
        <w:t xml:space="preserve"> the</w:t>
      </w:r>
      <w:r>
        <w:rPr>
          <w:spacing w:val="-2"/>
        </w:rPr>
        <w:t xml:space="preserve"> </w:t>
      </w:r>
      <w:r>
        <w:rPr>
          <w:spacing w:val="-1"/>
        </w:rPr>
        <w:t>extension.</w:t>
      </w:r>
    </w:p>
    <w:p w:rsidR="008918FA" w:rsidRDefault="008918FA" w:rsidP="008918FA">
      <w:pPr>
        <w:pStyle w:val="BodyText"/>
        <w:numPr>
          <w:ilvl w:val="0"/>
          <w:numId w:val="6"/>
        </w:numPr>
        <w:tabs>
          <w:tab w:val="left" w:pos="466"/>
        </w:tabs>
        <w:spacing w:before="120"/>
        <w:ind w:left="465"/>
        <w:rPr>
          <w:rFonts w:ascii="Times New Roman" w:eastAsia="Times New Roman" w:hAnsi="Times New Roman" w:cs="Times New Roman"/>
        </w:rPr>
      </w:pPr>
      <w:bookmarkStart w:id="498" w:name="_bookmark412"/>
      <w:bookmarkEnd w:id="498"/>
      <w:r>
        <w:rPr>
          <w:rFonts w:ascii="Times New Roman"/>
          <w:spacing w:val="1"/>
        </w:rPr>
        <w:t>COMMERCIAL</w:t>
      </w:r>
      <w:r>
        <w:rPr>
          <w:rFonts w:ascii="Times New Roman"/>
          <w:spacing w:val="7"/>
        </w:rPr>
        <w:t xml:space="preserve"> </w:t>
      </w:r>
      <w:r>
        <w:rPr>
          <w:rFonts w:ascii="Times New Roman"/>
          <w:spacing w:val="1"/>
        </w:rPr>
        <w:t>NEGOTIATIONS</w:t>
      </w:r>
    </w:p>
    <w:p w:rsidR="008918FA" w:rsidRDefault="008918FA" w:rsidP="008918FA">
      <w:pPr>
        <w:spacing w:before="11"/>
        <w:rPr>
          <w:rFonts w:ascii="Times New Roman" w:eastAsia="Times New Roman" w:hAnsi="Times New Roman" w:cs="Times New Roman"/>
          <w:sz w:val="20"/>
          <w:szCs w:val="20"/>
        </w:rPr>
      </w:pPr>
    </w:p>
    <w:p w:rsidR="008918FA" w:rsidRDefault="008918FA" w:rsidP="008918FA">
      <w:pPr>
        <w:pStyle w:val="BodyText"/>
        <w:numPr>
          <w:ilvl w:val="1"/>
          <w:numId w:val="6"/>
        </w:numPr>
        <w:tabs>
          <w:tab w:val="left" w:pos="829"/>
        </w:tabs>
        <w:spacing w:before="0"/>
        <w:ind w:right="114"/>
        <w:jc w:val="both"/>
      </w:pPr>
      <w:bookmarkStart w:id="499" w:name="_bookmark413"/>
      <w:bookmarkEnd w:id="499"/>
      <w:r>
        <w:rPr>
          <w:spacing w:val="-2"/>
        </w:rPr>
        <w:t>Following</w:t>
      </w:r>
      <w:r>
        <w:rPr>
          <w:spacing w:val="10"/>
        </w:rPr>
        <w:t xml:space="preserve"> </w:t>
      </w:r>
      <w:r>
        <w:t>the</w:t>
      </w:r>
      <w:r>
        <w:rPr>
          <w:spacing w:val="7"/>
        </w:rPr>
        <w:t xml:space="preserve"> </w:t>
      </w:r>
      <w:r>
        <w:rPr>
          <w:spacing w:val="-1"/>
        </w:rPr>
        <w:t>service</w:t>
      </w:r>
      <w:r>
        <w:rPr>
          <w:spacing w:val="8"/>
        </w:rPr>
        <w:t xml:space="preserve"> </w:t>
      </w:r>
      <w:r>
        <w:rPr>
          <w:spacing w:val="-1"/>
        </w:rPr>
        <w:t>of</w:t>
      </w:r>
      <w:r>
        <w:rPr>
          <w:spacing w:val="9"/>
        </w:rPr>
        <w:t xml:space="preserve"> </w:t>
      </w:r>
      <w:r>
        <w:t>a</w:t>
      </w:r>
      <w:r>
        <w:rPr>
          <w:spacing w:val="7"/>
        </w:rPr>
        <w:t xml:space="preserve"> </w:t>
      </w:r>
      <w:r>
        <w:rPr>
          <w:spacing w:val="-1"/>
        </w:rPr>
        <w:t>Dispute</w:t>
      </w:r>
      <w:r>
        <w:rPr>
          <w:spacing w:val="7"/>
        </w:rPr>
        <w:t xml:space="preserve"> </w:t>
      </w:r>
      <w:r>
        <w:rPr>
          <w:spacing w:val="-1"/>
        </w:rPr>
        <w:t>Notice,</w:t>
      </w:r>
      <w:r>
        <w:rPr>
          <w:spacing w:val="9"/>
        </w:rPr>
        <w:t xml:space="preserve"> </w:t>
      </w:r>
      <w:r>
        <w:t>the</w:t>
      </w:r>
      <w:r>
        <w:rPr>
          <w:spacing w:val="7"/>
        </w:rPr>
        <w:t xml:space="preserve"> </w:t>
      </w:r>
      <w:r>
        <w:rPr>
          <w:spacing w:val="-2"/>
        </w:rPr>
        <w:t>Customer</w:t>
      </w:r>
      <w:r>
        <w:rPr>
          <w:spacing w:val="9"/>
        </w:rPr>
        <w:t xml:space="preserve"> </w:t>
      </w:r>
      <w:r>
        <w:rPr>
          <w:spacing w:val="-1"/>
        </w:rPr>
        <w:t>and</w:t>
      </w:r>
      <w:r>
        <w:rPr>
          <w:spacing w:val="7"/>
        </w:rPr>
        <w:t xml:space="preserve"> </w:t>
      </w:r>
      <w:r>
        <w:t>the</w:t>
      </w:r>
      <w:r>
        <w:rPr>
          <w:spacing w:val="7"/>
        </w:rPr>
        <w:t xml:space="preserve"> </w:t>
      </w:r>
      <w:r>
        <w:rPr>
          <w:spacing w:val="-1"/>
        </w:rPr>
        <w:t>Supplier</w:t>
      </w:r>
      <w:r>
        <w:rPr>
          <w:spacing w:val="6"/>
        </w:rPr>
        <w:t xml:space="preserve"> </w:t>
      </w:r>
      <w:r>
        <w:rPr>
          <w:spacing w:val="-1"/>
        </w:rPr>
        <w:t>shall</w:t>
      </w:r>
      <w:r>
        <w:rPr>
          <w:spacing w:val="7"/>
        </w:rPr>
        <w:t xml:space="preserve"> </w:t>
      </w:r>
      <w:r>
        <w:rPr>
          <w:spacing w:val="-1"/>
        </w:rPr>
        <w:t>use</w:t>
      </w:r>
      <w:r>
        <w:rPr>
          <w:spacing w:val="48"/>
        </w:rPr>
        <w:t xml:space="preserve"> </w:t>
      </w:r>
      <w:r>
        <w:rPr>
          <w:spacing w:val="-1"/>
        </w:rPr>
        <w:t>reasonable</w:t>
      </w:r>
      <w:r>
        <w:rPr>
          <w:spacing w:val="17"/>
        </w:rPr>
        <w:t xml:space="preserve"> </w:t>
      </w:r>
      <w:r>
        <w:rPr>
          <w:spacing w:val="-1"/>
        </w:rPr>
        <w:t>endeavours</w:t>
      </w:r>
      <w:r>
        <w:rPr>
          <w:spacing w:val="18"/>
        </w:rPr>
        <w:t xml:space="preserve"> </w:t>
      </w:r>
      <w:r>
        <w:t>to</w:t>
      </w:r>
      <w:r>
        <w:rPr>
          <w:spacing w:val="17"/>
        </w:rPr>
        <w:t xml:space="preserve"> </w:t>
      </w:r>
      <w:r>
        <w:rPr>
          <w:spacing w:val="-1"/>
        </w:rPr>
        <w:t>resolve</w:t>
      </w:r>
      <w:r>
        <w:rPr>
          <w:spacing w:val="17"/>
        </w:rPr>
        <w:t xml:space="preserve"> </w:t>
      </w:r>
      <w:r>
        <w:t>the</w:t>
      </w:r>
      <w:r>
        <w:rPr>
          <w:spacing w:val="17"/>
        </w:rPr>
        <w:t xml:space="preserve"> </w:t>
      </w:r>
      <w:r>
        <w:rPr>
          <w:spacing w:val="-1"/>
        </w:rPr>
        <w:t>Dispute</w:t>
      </w:r>
      <w:r>
        <w:rPr>
          <w:spacing w:val="17"/>
        </w:rPr>
        <w:t xml:space="preserve"> </w:t>
      </w:r>
      <w:r>
        <w:rPr>
          <w:spacing w:val="-2"/>
        </w:rPr>
        <w:t>as</w:t>
      </w:r>
      <w:r>
        <w:rPr>
          <w:spacing w:val="18"/>
        </w:rPr>
        <w:t xml:space="preserve"> </w:t>
      </w:r>
      <w:r>
        <w:rPr>
          <w:spacing w:val="-1"/>
        </w:rPr>
        <w:t>soon</w:t>
      </w:r>
      <w:r>
        <w:rPr>
          <w:spacing w:val="17"/>
        </w:rPr>
        <w:t xml:space="preserve"> </w:t>
      </w:r>
      <w:r>
        <w:rPr>
          <w:spacing w:val="-1"/>
        </w:rPr>
        <w:t>as</w:t>
      </w:r>
      <w:r>
        <w:rPr>
          <w:spacing w:val="18"/>
        </w:rPr>
        <w:t xml:space="preserve"> </w:t>
      </w:r>
      <w:r>
        <w:rPr>
          <w:spacing w:val="-1"/>
        </w:rPr>
        <w:t>possible,</w:t>
      </w:r>
      <w:r>
        <w:rPr>
          <w:spacing w:val="19"/>
        </w:rPr>
        <w:t xml:space="preserve"> </w:t>
      </w:r>
      <w:r>
        <w:rPr>
          <w:spacing w:val="-1"/>
        </w:rPr>
        <w:t>by</w:t>
      </w:r>
      <w:r>
        <w:rPr>
          <w:spacing w:val="15"/>
        </w:rPr>
        <w:t xml:space="preserve"> </w:t>
      </w:r>
      <w:r>
        <w:rPr>
          <w:spacing w:val="-1"/>
        </w:rPr>
        <w:t>discussion</w:t>
      </w:r>
      <w:r>
        <w:rPr>
          <w:spacing w:val="20"/>
        </w:rPr>
        <w:t xml:space="preserve"> </w:t>
      </w:r>
      <w:r>
        <w:rPr>
          <w:spacing w:val="-1"/>
        </w:rPr>
        <w:t>between</w:t>
      </w:r>
      <w:r>
        <w:t xml:space="preserve"> the </w:t>
      </w:r>
      <w:r>
        <w:rPr>
          <w:spacing w:val="-2"/>
        </w:rPr>
        <w:t xml:space="preserve">Customer’s </w:t>
      </w:r>
      <w:r>
        <w:rPr>
          <w:spacing w:val="-1"/>
        </w:rPr>
        <w:t>[</w:t>
      </w:r>
      <w:r>
        <w:rPr>
          <w:rFonts w:cs="Arial"/>
          <w:b/>
          <w:bCs/>
          <w:i/>
          <w:spacing w:val="-1"/>
          <w:highlight w:val="yellow"/>
        </w:rPr>
        <w:t>insert role</w:t>
      </w:r>
      <w:r>
        <w:rPr>
          <w:spacing w:val="-1"/>
        </w:rPr>
        <w:t>]</w:t>
      </w:r>
      <w:r>
        <w:rPr>
          <w:spacing w:val="2"/>
        </w:rPr>
        <w:t xml:space="preserve"> </w:t>
      </w:r>
      <w:r>
        <w:rPr>
          <w:spacing w:val="-1"/>
        </w:rPr>
        <w:t>and</w:t>
      </w:r>
      <w:r>
        <w:rPr>
          <w:spacing w:val="-2"/>
        </w:rPr>
        <w:t xml:space="preserve"> </w:t>
      </w:r>
      <w:r>
        <w:t>the</w:t>
      </w:r>
      <w:r>
        <w:rPr>
          <w:spacing w:val="-2"/>
        </w:rPr>
        <w:t xml:space="preserve"> Supplier’s</w:t>
      </w:r>
      <w:r>
        <w:rPr>
          <w:spacing w:val="1"/>
        </w:rPr>
        <w:t xml:space="preserve"> </w:t>
      </w:r>
      <w:r>
        <w:rPr>
          <w:spacing w:val="-1"/>
          <w:highlight w:val="yellow"/>
        </w:rPr>
        <w:t>[</w:t>
      </w:r>
      <w:r>
        <w:rPr>
          <w:rFonts w:cs="Arial"/>
          <w:b/>
          <w:bCs/>
          <w:i/>
          <w:spacing w:val="-1"/>
          <w:highlight w:val="yellow"/>
        </w:rPr>
        <w:t>insert role</w:t>
      </w:r>
      <w:r>
        <w:rPr>
          <w:spacing w:val="-1"/>
        </w:rPr>
        <w:t>].</w:t>
      </w:r>
    </w:p>
    <w:p w:rsidR="008918FA" w:rsidRDefault="008918FA" w:rsidP="008918FA">
      <w:pPr>
        <w:pStyle w:val="BodyText"/>
        <w:numPr>
          <w:ilvl w:val="1"/>
          <w:numId w:val="6"/>
        </w:numPr>
        <w:tabs>
          <w:tab w:val="left" w:pos="829"/>
        </w:tabs>
      </w:pPr>
      <w:bookmarkStart w:id="500" w:name="_bookmark414"/>
      <w:bookmarkEnd w:id="500"/>
      <w:r>
        <w:t>If:</w:t>
      </w:r>
    </w:p>
    <w:p w:rsidR="008918FA" w:rsidRDefault="008918FA" w:rsidP="008918FA">
      <w:pPr>
        <w:pStyle w:val="BodyText"/>
        <w:numPr>
          <w:ilvl w:val="2"/>
          <w:numId w:val="6"/>
        </w:numPr>
        <w:tabs>
          <w:tab w:val="left" w:pos="2027"/>
        </w:tabs>
        <w:spacing w:before="121"/>
        <w:ind w:right="112"/>
        <w:jc w:val="both"/>
      </w:pPr>
      <w:r>
        <w:rPr>
          <w:spacing w:val="-1"/>
        </w:rPr>
        <w:t>either</w:t>
      </w:r>
      <w:r>
        <w:rPr>
          <w:spacing w:val="2"/>
        </w:rPr>
        <w:t xml:space="preserve"> </w:t>
      </w:r>
      <w:r>
        <w:rPr>
          <w:spacing w:val="-1"/>
        </w:rPr>
        <w:t>Party</w:t>
      </w:r>
      <w:r>
        <w:rPr>
          <w:spacing w:val="-2"/>
        </w:rPr>
        <w:t xml:space="preserve"> </w:t>
      </w:r>
      <w:r>
        <w:rPr>
          <w:spacing w:val="-1"/>
        </w:rPr>
        <w:t>is</w:t>
      </w:r>
      <w:r>
        <w:rPr>
          <w:spacing w:val="1"/>
        </w:rPr>
        <w:t xml:space="preserve"> </w:t>
      </w:r>
      <w:r>
        <w:rPr>
          <w:spacing w:val="-2"/>
        </w:rPr>
        <w:t>of</w:t>
      </w:r>
      <w:r>
        <w:t xml:space="preserve"> the</w:t>
      </w:r>
      <w:r>
        <w:rPr>
          <w:spacing w:val="-2"/>
        </w:rPr>
        <w:t xml:space="preserve"> reasonable</w:t>
      </w:r>
      <w:r>
        <w:t xml:space="preserve"> </w:t>
      </w:r>
      <w:r>
        <w:rPr>
          <w:spacing w:val="-2"/>
        </w:rPr>
        <w:t>opinion</w:t>
      </w:r>
      <w:r>
        <w:t xml:space="preserve"> </w:t>
      </w:r>
      <w:r>
        <w:rPr>
          <w:spacing w:val="-1"/>
        </w:rPr>
        <w:t>that</w:t>
      </w:r>
      <w:r>
        <w:t xml:space="preserve"> the</w:t>
      </w:r>
      <w:r>
        <w:rPr>
          <w:spacing w:val="-2"/>
        </w:rPr>
        <w:t xml:space="preserve"> </w:t>
      </w:r>
      <w:r>
        <w:rPr>
          <w:spacing w:val="-1"/>
        </w:rPr>
        <w:t>resolution</w:t>
      </w:r>
      <w:r>
        <w:t xml:space="preserve"> </w:t>
      </w:r>
      <w:r>
        <w:rPr>
          <w:spacing w:val="-2"/>
        </w:rPr>
        <w:t>of</w:t>
      </w:r>
      <w:r>
        <w:rPr>
          <w:spacing w:val="2"/>
        </w:rPr>
        <w:t xml:space="preserve"> </w:t>
      </w:r>
      <w:r>
        <w:t xml:space="preserve">a </w:t>
      </w:r>
      <w:r>
        <w:rPr>
          <w:spacing w:val="-1"/>
        </w:rPr>
        <w:t>Dispute</w:t>
      </w:r>
      <w:r>
        <w:rPr>
          <w:spacing w:val="55"/>
        </w:rPr>
        <w:t xml:space="preserve"> </w:t>
      </w:r>
      <w:r>
        <w:rPr>
          <w:spacing w:val="-1"/>
        </w:rPr>
        <w:t>by</w:t>
      </w:r>
      <w:r>
        <w:rPr>
          <w:spacing w:val="18"/>
        </w:rPr>
        <w:t xml:space="preserve"> </w:t>
      </w:r>
      <w:r>
        <w:rPr>
          <w:spacing w:val="-1"/>
        </w:rPr>
        <w:t>commercial</w:t>
      </w:r>
      <w:r>
        <w:rPr>
          <w:spacing w:val="19"/>
        </w:rPr>
        <w:t xml:space="preserve"> </w:t>
      </w:r>
      <w:r>
        <w:rPr>
          <w:spacing w:val="-1"/>
        </w:rPr>
        <w:t>negotiation,</w:t>
      </w:r>
      <w:r>
        <w:rPr>
          <w:spacing w:val="21"/>
        </w:rPr>
        <w:t xml:space="preserve"> </w:t>
      </w:r>
      <w:r>
        <w:rPr>
          <w:spacing w:val="-1"/>
        </w:rPr>
        <w:t>or</w:t>
      </w:r>
      <w:r>
        <w:rPr>
          <w:spacing w:val="21"/>
        </w:rPr>
        <w:t xml:space="preserve"> </w:t>
      </w:r>
      <w:r>
        <w:t>the</w:t>
      </w:r>
      <w:r>
        <w:rPr>
          <w:spacing w:val="20"/>
        </w:rPr>
        <w:t xml:space="preserve"> </w:t>
      </w:r>
      <w:r>
        <w:rPr>
          <w:spacing w:val="-1"/>
        </w:rPr>
        <w:t>continuance</w:t>
      </w:r>
      <w:r>
        <w:rPr>
          <w:spacing w:val="20"/>
        </w:rPr>
        <w:t xml:space="preserve"> </w:t>
      </w:r>
      <w:r>
        <w:rPr>
          <w:spacing w:val="-1"/>
        </w:rPr>
        <w:t>of</w:t>
      </w:r>
      <w:r>
        <w:rPr>
          <w:spacing w:val="23"/>
        </w:rPr>
        <w:t xml:space="preserve"> </w:t>
      </w:r>
      <w:r>
        <w:rPr>
          <w:spacing w:val="-2"/>
        </w:rPr>
        <w:t>commercial</w:t>
      </w:r>
      <w:r>
        <w:rPr>
          <w:spacing w:val="44"/>
        </w:rPr>
        <w:t xml:space="preserve"> </w:t>
      </w:r>
      <w:r>
        <w:rPr>
          <w:spacing w:val="-1"/>
        </w:rPr>
        <w:t>negotiations,</w:t>
      </w:r>
      <w:r>
        <w:t xml:space="preserve"> </w:t>
      </w:r>
      <w:r>
        <w:rPr>
          <w:spacing w:val="-2"/>
        </w:rPr>
        <w:t>will</w:t>
      </w:r>
      <w:r>
        <w:t xml:space="preserve"> </w:t>
      </w:r>
      <w:r>
        <w:rPr>
          <w:spacing w:val="-1"/>
        </w:rPr>
        <w:t>not</w:t>
      </w:r>
      <w:r>
        <w:rPr>
          <w:spacing w:val="2"/>
        </w:rPr>
        <w:t xml:space="preserve"> </w:t>
      </w:r>
      <w:r>
        <w:rPr>
          <w:spacing w:val="-2"/>
        </w:rPr>
        <w:t>result</w:t>
      </w:r>
      <w:r>
        <w:rPr>
          <w:spacing w:val="2"/>
        </w:rPr>
        <w:t xml:space="preserve"> </w:t>
      </w:r>
      <w:r>
        <w:rPr>
          <w:spacing w:val="-1"/>
        </w:rPr>
        <w:t>in</w:t>
      </w:r>
      <w:r>
        <w:t xml:space="preserve"> </w:t>
      </w:r>
      <w:r>
        <w:rPr>
          <w:spacing w:val="-1"/>
        </w:rPr>
        <w:t>an</w:t>
      </w:r>
      <w:r>
        <w:t xml:space="preserve"> </w:t>
      </w:r>
      <w:r>
        <w:rPr>
          <w:spacing w:val="-1"/>
        </w:rPr>
        <w:t>appropriate</w:t>
      </w:r>
      <w:r>
        <w:t xml:space="preserve"> </w:t>
      </w:r>
      <w:r>
        <w:rPr>
          <w:spacing w:val="-2"/>
        </w:rPr>
        <w:t>solution;</w:t>
      </w:r>
    </w:p>
    <w:p w:rsidR="008918FA" w:rsidRDefault="008918FA" w:rsidP="008918FA">
      <w:pPr>
        <w:pStyle w:val="BodyText"/>
        <w:numPr>
          <w:ilvl w:val="2"/>
          <w:numId w:val="6"/>
        </w:numPr>
        <w:tabs>
          <w:tab w:val="left" w:pos="2027"/>
        </w:tabs>
        <w:spacing w:before="121"/>
        <w:ind w:right="113"/>
        <w:jc w:val="both"/>
      </w:pPr>
      <w:r>
        <w:t>the</w:t>
      </w:r>
      <w:r>
        <w:rPr>
          <w:spacing w:val="36"/>
        </w:rPr>
        <w:t xml:space="preserve"> </w:t>
      </w:r>
      <w:r>
        <w:rPr>
          <w:spacing w:val="-1"/>
        </w:rPr>
        <w:t>Parties</w:t>
      </w:r>
      <w:r>
        <w:rPr>
          <w:spacing w:val="37"/>
        </w:rPr>
        <w:t xml:space="preserve"> </w:t>
      </w:r>
      <w:r>
        <w:rPr>
          <w:spacing w:val="-2"/>
        </w:rPr>
        <w:t>have</w:t>
      </w:r>
      <w:r>
        <w:rPr>
          <w:spacing w:val="36"/>
        </w:rPr>
        <w:t xml:space="preserve"> </w:t>
      </w:r>
      <w:r>
        <w:rPr>
          <w:spacing w:val="-1"/>
        </w:rPr>
        <w:t>already</w:t>
      </w:r>
      <w:r>
        <w:rPr>
          <w:spacing w:val="34"/>
        </w:rPr>
        <w:t xml:space="preserve"> </w:t>
      </w:r>
      <w:r>
        <w:rPr>
          <w:spacing w:val="-1"/>
        </w:rPr>
        <w:t>held</w:t>
      </w:r>
      <w:r>
        <w:rPr>
          <w:spacing w:val="36"/>
        </w:rPr>
        <w:t xml:space="preserve"> </w:t>
      </w:r>
      <w:r>
        <w:rPr>
          <w:spacing w:val="-1"/>
        </w:rPr>
        <w:t>discussions</w:t>
      </w:r>
      <w:r>
        <w:rPr>
          <w:spacing w:val="37"/>
        </w:rPr>
        <w:t xml:space="preserve"> </w:t>
      </w:r>
      <w:r>
        <w:rPr>
          <w:spacing w:val="-1"/>
        </w:rPr>
        <w:t>of</w:t>
      </w:r>
      <w:r>
        <w:rPr>
          <w:spacing w:val="41"/>
        </w:rPr>
        <w:t xml:space="preserve"> </w:t>
      </w:r>
      <w:r>
        <w:t>a</w:t>
      </w:r>
      <w:r>
        <w:rPr>
          <w:spacing w:val="34"/>
        </w:rPr>
        <w:t xml:space="preserve"> </w:t>
      </w:r>
      <w:r>
        <w:rPr>
          <w:spacing w:val="-1"/>
        </w:rPr>
        <w:t>nature</w:t>
      </w:r>
      <w:r>
        <w:rPr>
          <w:spacing w:val="36"/>
        </w:rPr>
        <w:t xml:space="preserve"> </w:t>
      </w:r>
      <w:r>
        <w:rPr>
          <w:spacing w:val="-2"/>
        </w:rPr>
        <w:t>and</w:t>
      </w:r>
      <w:r>
        <w:rPr>
          <w:spacing w:val="36"/>
        </w:rPr>
        <w:t xml:space="preserve"> </w:t>
      </w:r>
      <w:r>
        <w:rPr>
          <w:spacing w:val="-1"/>
        </w:rPr>
        <w:t>intent</w:t>
      </w:r>
      <w:r>
        <w:rPr>
          <w:spacing w:val="35"/>
        </w:rPr>
        <w:t xml:space="preserve"> </w:t>
      </w:r>
      <w:r>
        <w:rPr>
          <w:spacing w:val="-1"/>
        </w:rPr>
        <w:t>(or</w:t>
      </w:r>
      <w:r>
        <w:rPr>
          <w:spacing w:val="31"/>
        </w:rPr>
        <w:t xml:space="preserve"> </w:t>
      </w:r>
      <w:r>
        <w:rPr>
          <w:spacing w:val="-1"/>
        </w:rPr>
        <w:t>otherwise</w:t>
      </w:r>
      <w:r>
        <w:rPr>
          <w:spacing w:val="16"/>
        </w:rPr>
        <w:t xml:space="preserve"> </w:t>
      </w:r>
      <w:r>
        <w:rPr>
          <w:spacing w:val="-2"/>
        </w:rPr>
        <w:t>were</w:t>
      </w:r>
      <w:r>
        <w:rPr>
          <w:spacing w:val="14"/>
        </w:rPr>
        <w:t xml:space="preserve"> </w:t>
      </w:r>
      <w:r>
        <w:rPr>
          <w:spacing w:val="-1"/>
        </w:rPr>
        <w:t>conducted</w:t>
      </w:r>
      <w:r>
        <w:rPr>
          <w:spacing w:val="14"/>
        </w:rPr>
        <w:t xml:space="preserve"> </w:t>
      </w:r>
      <w:r>
        <w:rPr>
          <w:spacing w:val="-1"/>
        </w:rPr>
        <w:t>in</w:t>
      </w:r>
      <w:r>
        <w:rPr>
          <w:spacing w:val="14"/>
        </w:rPr>
        <w:t xml:space="preserve"> </w:t>
      </w:r>
      <w:r>
        <w:t>the</w:t>
      </w:r>
      <w:r>
        <w:rPr>
          <w:spacing w:val="14"/>
        </w:rPr>
        <w:t xml:space="preserve"> </w:t>
      </w:r>
      <w:r>
        <w:rPr>
          <w:spacing w:val="-1"/>
        </w:rPr>
        <w:t>spirit)</w:t>
      </w:r>
      <w:r>
        <w:rPr>
          <w:spacing w:val="13"/>
        </w:rPr>
        <w:t xml:space="preserve"> </w:t>
      </w:r>
      <w:r>
        <w:rPr>
          <w:spacing w:val="-1"/>
        </w:rPr>
        <w:t>that</w:t>
      </w:r>
      <w:r>
        <w:rPr>
          <w:spacing w:val="13"/>
        </w:rPr>
        <w:t xml:space="preserve"> </w:t>
      </w:r>
      <w:r>
        <w:rPr>
          <w:spacing w:val="-1"/>
        </w:rPr>
        <w:t>would</w:t>
      </w:r>
      <w:r>
        <w:rPr>
          <w:spacing w:val="13"/>
        </w:rPr>
        <w:t xml:space="preserve"> </w:t>
      </w:r>
      <w:r>
        <w:t>equate</w:t>
      </w:r>
      <w:r>
        <w:rPr>
          <w:spacing w:val="14"/>
        </w:rPr>
        <w:t xml:space="preserve"> </w:t>
      </w:r>
      <w:r>
        <w:t>to</w:t>
      </w:r>
      <w:r>
        <w:rPr>
          <w:spacing w:val="11"/>
        </w:rPr>
        <w:t xml:space="preserve"> </w:t>
      </w:r>
      <w:r>
        <w:rPr>
          <w:spacing w:val="-1"/>
        </w:rPr>
        <w:t>the</w:t>
      </w:r>
      <w:r>
        <w:rPr>
          <w:spacing w:val="32"/>
        </w:rPr>
        <w:t xml:space="preserve"> </w:t>
      </w:r>
      <w:r>
        <w:rPr>
          <w:spacing w:val="-1"/>
        </w:rPr>
        <w:t>conduct</w:t>
      </w:r>
      <w:r>
        <w:rPr>
          <w:spacing w:val="48"/>
        </w:rPr>
        <w:t xml:space="preserve"> </w:t>
      </w:r>
      <w:r>
        <w:rPr>
          <w:spacing w:val="-2"/>
        </w:rPr>
        <w:t>of</w:t>
      </w:r>
      <w:r>
        <w:rPr>
          <w:spacing w:val="49"/>
        </w:rPr>
        <w:t xml:space="preserve"> </w:t>
      </w:r>
      <w:r>
        <w:rPr>
          <w:spacing w:val="-2"/>
        </w:rPr>
        <w:t>commercial</w:t>
      </w:r>
      <w:r>
        <w:rPr>
          <w:spacing w:val="45"/>
        </w:rPr>
        <w:t xml:space="preserve"> </w:t>
      </w:r>
      <w:r>
        <w:rPr>
          <w:spacing w:val="-1"/>
        </w:rPr>
        <w:t>negotiations</w:t>
      </w:r>
      <w:r>
        <w:rPr>
          <w:spacing w:val="46"/>
        </w:rPr>
        <w:t xml:space="preserve"> </w:t>
      </w:r>
      <w:r>
        <w:rPr>
          <w:spacing w:val="-1"/>
        </w:rPr>
        <w:t>in</w:t>
      </w:r>
      <w:r>
        <w:rPr>
          <w:spacing w:val="46"/>
        </w:rPr>
        <w:t xml:space="preserve"> </w:t>
      </w:r>
      <w:r>
        <w:rPr>
          <w:spacing w:val="-1"/>
        </w:rPr>
        <w:t>accordance</w:t>
      </w:r>
      <w:r>
        <w:rPr>
          <w:spacing w:val="46"/>
        </w:rPr>
        <w:t xml:space="preserve"> </w:t>
      </w:r>
      <w:r>
        <w:rPr>
          <w:spacing w:val="-2"/>
        </w:rPr>
        <w:t>with</w:t>
      </w:r>
      <w:r>
        <w:rPr>
          <w:spacing w:val="47"/>
        </w:rPr>
        <w:t xml:space="preserve"> </w:t>
      </w:r>
      <w:r>
        <w:rPr>
          <w:spacing w:val="-1"/>
        </w:rPr>
        <w:t>this</w:t>
      </w:r>
      <w:r>
        <w:rPr>
          <w:spacing w:val="49"/>
        </w:rPr>
        <w:t xml:space="preserve"> </w:t>
      </w:r>
      <w:r>
        <w:rPr>
          <w:spacing w:val="-1"/>
        </w:rPr>
        <w:t>paragraph</w:t>
      </w:r>
      <w:r>
        <w:rPr>
          <w:spacing w:val="-2"/>
        </w:rPr>
        <w:t xml:space="preserve"> </w:t>
      </w:r>
      <w:hyperlink w:anchor="_bookmark412" w:history="1">
        <w:r>
          <w:t>3</w:t>
        </w:r>
      </w:hyperlink>
      <w:r>
        <w:t xml:space="preserve"> </w:t>
      </w:r>
      <w:r>
        <w:rPr>
          <w:spacing w:val="-2"/>
        </w:rPr>
        <w:t>of</w:t>
      </w:r>
      <w: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2"/>
        </w:rPr>
        <w:t>Schedule;</w:t>
      </w:r>
      <w:r>
        <w:rPr>
          <w:spacing w:val="2"/>
        </w:rPr>
        <w:t xml:space="preserve"> </w:t>
      </w:r>
      <w:r>
        <w:rPr>
          <w:spacing w:val="-3"/>
        </w:rPr>
        <w:t>or</w:t>
      </w:r>
    </w:p>
    <w:p w:rsidR="008918FA" w:rsidRDefault="008918FA" w:rsidP="008918FA">
      <w:pPr>
        <w:pStyle w:val="BodyText"/>
        <w:numPr>
          <w:ilvl w:val="2"/>
          <w:numId w:val="6"/>
        </w:numPr>
        <w:tabs>
          <w:tab w:val="left" w:pos="2027"/>
        </w:tabs>
        <w:spacing w:before="121"/>
        <w:ind w:right="114"/>
        <w:jc w:val="both"/>
      </w:pPr>
      <w:bookmarkStart w:id="501" w:name="_bookmark415"/>
      <w:bookmarkEnd w:id="501"/>
      <w:r>
        <w:t>the</w:t>
      </w:r>
      <w:r>
        <w:rPr>
          <w:spacing w:val="10"/>
        </w:rPr>
        <w:t xml:space="preserve"> </w:t>
      </w:r>
      <w:r>
        <w:rPr>
          <w:spacing w:val="-1"/>
        </w:rPr>
        <w:t>Parties</w:t>
      </w:r>
      <w:r>
        <w:rPr>
          <w:spacing w:val="10"/>
        </w:rPr>
        <w:t xml:space="preserve"> </w:t>
      </w:r>
      <w:r>
        <w:rPr>
          <w:spacing w:val="-2"/>
        </w:rPr>
        <w:t>have</w:t>
      </w:r>
      <w:r>
        <w:rPr>
          <w:spacing w:val="10"/>
        </w:rPr>
        <w:t xml:space="preserve"> </w:t>
      </w:r>
      <w:r>
        <w:rPr>
          <w:spacing w:val="-1"/>
        </w:rPr>
        <w:t>not</w:t>
      </w:r>
      <w:r>
        <w:rPr>
          <w:spacing w:val="9"/>
        </w:rPr>
        <w:t xml:space="preserve"> </w:t>
      </w:r>
      <w:r>
        <w:rPr>
          <w:spacing w:val="-1"/>
        </w:rPr>
        <w:t>settled</w:t>
      </w:r>
      <w:r>
        <w:rPr>
          <w:spacing w:val="10"/>
        </w:rPr>
        <w:t xml:space="preserve"> </w:t>
      </w:r>
      <w:r>
        <w:t>the</w:t>
      </w:r>
      <w:r>
        <w:rPr>
          <w:spacing w:val="10"/>
        </w:rPr>
        <w:t xml:space="preserve"> </w:t>
      </w:r>
      <w:r>
        <w:rPr>
          <w:spacing w:val="-1"/>
        </w:rPr>
        <w:t>Dispute</w:t>
      </w:r>
      <w:r>
        <w:t xml:space="preserve"> </w:t>
      </w:r>
      <w:r>
        <w:rPr>
          <w:spacing w:val="7"/>
        </w:rPr>
        <w:t xml:space="preserve"> </w:t>
      </w:r>
      <w:r>
        <w:rPr>
          <w:spacing w:val="-1"/>
        </w:rPr>
        <w:t>in</w:t>
      </w:r>
      <w:r>
        <w:t xml:space="preserve"> </w:t>
      </w:r>
      <w:r>
        <w:rPr>
          <w:spacing w:val="10"/>
        </w:rPr>
        <w:t xml:space="preserve"> </w:t>
      </w:r>
      <w:r>
        <w:rPr>
          <w:spacing w:val="-1"/>
        </w:rPr>
        <w:t>accordance</w:t>
      </w:r>
      <w:r>
        <w:t xml:space="preserve"> </w:t>
      </w:r>
      <w:r>
        <w:rPr>
          <w:spacing w:val="10"/>
        </w:rPr>
        <w:t xml:space="preserve"> </w:t>
      </w:r>
      <w:r>
        <w:rPr>
          <w:spacing w:val="-2"/>
        </w:rPr>
        <w:t>with</w:t>
      </w:r>
      <w:r>
        <w:rPr>
          <w:spacing w:val="37"/>
        </w:rPr>
        <w:t xml:space="preserve"> </w:t>
      </w:r>
      <w:r>
        <w:rPr>
          <w:spacing w:val="-1"/>
        </w:rPr>
        <w:t>paragraph</w:t>
      </w:r>
      <w:r>
        <w:rPr>
          <w:spacing w:val="-2"/>
        </w:rPr>
        <w:t xml:space="preserve"> </w:t>
      </w:r>
      <w:hyperlink w:anchor="_bookmark413" w:history="1">
        <w:r>
          <w:t>3.1</w:t>
        </w:r>
      </w:hyperlink>
      <w:r>
        <w:rPr>
          <w:spacing w:val="7"/>
        </w:rPr>
        <w:t xml:space="preserve"> </w:t>
      </w:r>
      <w:r>
        <w:rPr>
          <w:spacing w:val="-2"/>
        </w:rPr>
        <w:t>of</w:t>
      </w:r>
      <w:r>
        <w:rPr>
          <w:spacing w:val="11"/>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1"/>
        </w:rPr>
        <w:t xml:space="preserve"> </w:t>
      </w:r>
      <w:r>
        <w:rPr>
          <w:spacing w:val="-1"/>
        </w:rPr>
        <w:t>Schedule</w:t>
      </w:r>
      <w:r>
        <w:rPr>
          <w:spacing w:val="7"/>
        </w:rPr>
        <w:t xml:space="preserve"> </w:t>
      </w:r>
      <w:r>
        <w:rPr>
          <w:spacing w:val="-2"/>
        </w:rPr>
        <w:t>within</w:t>
      </w:r>
      <w:r>
        <w:rPr>
          <w:spacing w:val="11"/>
        </w:rPr>
        <w:t xml:space="preserve"> </w:t>
      </w:r>
      <w:r>
        <w:rPr>
          <w:spacing w:val="-1"/>
        </w:rPr>
        <w:t>thirty</w:t>
      </w:r>
      <w:r>
        <w:rPr>
          <w:spacing w:val="8"/>
        </w:rPr>
        <w:t xml:space="preserve"> </w:t>
      </w:r>
      <w:r>
        <w:rPr>
          <w:spacing w:val="-1"/>
        </w:rPr>
        <w:t>(30)</w:t>
      </w:r>
      <w:r>
        <w:rPr>
          <w:spacing w:val="-5"/>
        </w:rPr>
        <w:t xml:space="preserve"> </w:t>
      </w:r>
      <w:r>
        <w:rPr>
          <w:spacing w:val="-1"/>
        </w:rPr>
        <w:t>Working</w:t>
      </w:r>
      <w:r>
        <w:rPr>
          <w:spacing w:val="10"/>
        </w:rPr>
        <w:t xml:space="preserve"> </w:t>
      </w:r>
      <w:r>
        <w:rPr>
          <w:spacing w:val="-2"/>
        </w:rPr>
        <w:t>Days</w:t>
      </w:r>
      <w:r>
        <w:rPr>
          <w:spacing w:val="61"/>
        </w:rPr>
        <w:t xml:space="preserve"> </w:t>
      </w:r>
      <w:r>
        <w:rPr>
          <w:spacing w:val="-2"/>
        </w:rPr>
        <w:t>of</w:t>
      </w:r>
      <w:r>
        <w:rPr>
          <w:spacing w:val="4"/>
        </w:rPr>
        <w:t xml:space="preserve"> </w:t>
      </w:r>
      <w:r>
        <w:rPr>
          <w:spacing w:val="-2"/>
        </w:rPr>
        <w:t>service</w:t>
      </w:r>
      <w:r>
        <w:rPr>
          <w:spacing w:val="1"/>
        </w:rPr>
        <w:t xml:space="preserve"> </w:t>
      </w:r>
      <w:r>
        <w:rPr>
          <w:spacing w:val="-2"/>
        </w:rPr>
        <w:t>of</w:t>
      </w:r>
      <w:r>
        <w:rPr>
          <w:spacing w:val="2"/>
        </w:rPr>
        <w:t xml:space="preserve"> </w:t>
      </w:r>
      <w:r>
        <w:t xml:space="preserve">the </w:t>
      </w:r>
      <w:r>
        <w:rPr>
          <w:spacing w:val="-1"/>
        </w:rPr>
        <w:t>Dispute</w:t>
      </w:r>
      <w:r>
        <w:rPr>
          <w:spacing w:val="-2"/>
        </w:rPr>
        <w:t xml:space="preserve"> </w:t>
      </w:r>
      <w:r>
        <w:rPr>
          <w:spacing w:val="-1"/>
        </w:rPr>
        <w:t>Notice,</w:t>
      </w:r>
    </w:p>
    <w:p w:rsidR="008918FA" w:rsidRDefault="008918FA" w:rsidP="008918FA">
      <w:pPr>
        <w:pStyle w:val="BodyText"/>
        <w:ind w:left="1032" w:right="120" w:firstLine="0"/>
      </w:pPr>
      <w:r>
        <w:rPr>
          <w:spacing w:val="-1"/>
        </w:rPr>
        <w:t>either</w:t>
      </w:r>
      <w:r>
        <w:rPr>
          <w:spacing w:val="33"/>
        </w:rPr>
        <w:t xml:space="preserve"> </w:t>
      </w:r>
      <w:r>
        <w:rPr>
          <w:spacing w:val="-1"/>
        </w:rPr>
        <w:t>Party</w:t>
      </w:r>
      <w:r>
        <w:rPr>
          <w:spacing w:val="30"/>
        </w:rPr>
        <w:t xml:space="preserve"> </w:t>
      </w:r>
      <w:r>
        <w:rPr>
          <w:spacing w:val="-1"/>
        </w:rPr>
        <w:t>may</w:t>
      </w:r>
      <w:r>
        <w:rPr>
          <w:spacing w:val="30"/>
        </w:rPr>
        <w:t xml:space="preserve"> </w:t>
      </w:r>
      <w:r>
        <w:rPr>
          <w:spacing w:val="-1"/>
        </w:rPr>
        <w:t>serve</w:t>
      </w:r>
      <w:r>
        <w:rPr>
          <w:spacing w:val="34"/>
        </w:rPr>
        <w:t xml:space="preserve"> </w:t>
      </w:r>
      <w:r>
        <w:t>a</w:t>
      </w:r>
      <w:r>
        <w:rPr>
          <w:spacing w:val="31"/>
        </w:rPr>
        <w:t xml:space="preserve"> </w:t>
      </w:r>
      <w:r>
        <w:rPr>
          <w:spacing w:val="-1"/>
        </w:rPr>
        <w:t>written</w:t>
      </w:r>
      <w:r>
        <w:rPr>
          <w:spacing w:val="31"/>
        </w:rPr>
        <w:t xml:space="preserve"> </w:t>
      </w:r>
      <w:r>
        <w:rPr>
          <w:spacing w:val="-1"/>
        </w:rPr>
        <w:t>notice</w:t>
      </w:r>
      <w:r>
        <w:rPr>
          <w:spacing w:val="32"/>
        </w:rPr>
        <w:t xml:space="preserve"> </w:t>
      </w:r>
      <w:r>
        <w:t>to</w:t>
      </w:r>
      <w:r>
        <w:rPr>
          <w:spacing w:val="31"/>
        </w:rPr>
        <w:t xml:space="preserve"> </w:t>
      </w:r>
      <w:r>
        <w:rPr>
          <w:spacing w:val="-1"/>
        </w:rPr>
        <w:t>proceed</w:t>
      </w:r>
      <w:r>
        <w:rPr>
          <w:spacing w:val="32"/>
        </w:rPr>
        <w:t xml:space="preserve"> </w:t>
      </w:r>
      <w:r>
        <w:t>to</w:t>
      </w:r>
      <w:r>
        <w:rPr>
          <w:spacing w:val="31"/>
        </w:rPr>
        <w:t xml:space="preserve"> </w:t>
      </w:r>
      <w:r>
        <w:rPr>
          <w:spacing w:val="-1"/>
        </w:rPr>
        <w:t>mediation</w:t>
      </w:r>
      <w:r>
        <w:rPr>
          <w:spacing w:val="31"/>
        </w:rPr>
        <w:t xml:space="preserve"> </w:t>
      </w:r>
      <w:r>
        <w:t>(a</w:t>
      </w:r>
      <w:r>
        <w:rPr>
          <w:spacing w:val="32"/>
        </w:rPr>
        <w:t xml:space="preserve"> </w:t>
      </w:r>
      <w:r>
        <w:rPr>
          <w:spacing w:val="-1"/>
        </w:rPr>
        <w:t>“</w:t>
      </w:r>
      <w:r>
        <w:rPr>
          <w:rFonts w:cs="Arial"/>
          <w:b/>
          <w:bCs/>
          <w:spacing w:val="-1"/>
        </w:rPr>
        <w:t>Mediation</w:t>
      </w:r>
      <w:r>
        <w:rPr>
          <w:rFonts w:cs="Arial"/>
          <w:b/>
          <w:bCs/>
          <w:spacing w:val="38"/>
        </w:rPr>
        <w:t xml:space="preserve"> </w:t>
      </w:r>
      <w:r>
        <w:rPr>
          <w:rFonts w:cs="Arial"/>
          <w:b/>
          <w:bCs/>
          <w:spacing w:val="-1"/>
        </w:rPr>
        <w:t>Notice”</w:t>
      </w:r>
      <w:r>
        <w:rPr>
          <w:spacing w:val="-1"/>
        </w:rPr>
        <w:t>) in</w:t>
      </w:r>
      <w:r>
        <w:t xml:space="preserve"> </w:t>
      </w:r>
      <w:r>
        <w:rPr>
          <w:spacing w:val="-1"/>
        </w:rPr>
        <w:t>accordance</w:t>
      </w:r>
      <w:r>
        <w:rPr>
          <w:spacing w:val="-4"/>
        </w:rPr>
        <w:t xml:space="preserve"> </w:t>
      </w:r>
      <w:r>
        <w:rPr>
          <w:spacing w:val="-1"/>
        </w:rPr>
        <w:t>with</w:t>
      </w:r>
      <w:r>
        <w:t xml:space="preserve"> </w:t>
      </w:r>
      <w:r>
        <w:rPr>
          <w:spacing w:val="-1"/>
        </w:rPr>
        <w:t>paragraph</w:t>
      </w:r>
      <w:r>
        <w:rPr>
          <w:spacing w:val="2"/>
        </w:rPr>
        <w:t xml:space="preserve"> </w:t>
      </w:r>
      <w:hyperlink w:anchor="_bookmark416" w:history="1">
        <w:r>
          <w:t>4</w:t>
        </w:r>
      </w:hyperlink>
      <w:r>
        <w:rPr>
          <w:spacing w:val="-2"/>
        </w:rPr>
        <w:t xml:space="preserve"> of</w:t>
      </w:r>
      <w:r>
        <w:rPr>
          <w:spacing w:val="2"/>
        </w:rPr>
        <w:t xml:space="preserve"> </w:t>
      </w:r>
      <w:r>
        <w:rPr>
          <w:spacing w:val="-1"/>
        </w:rPr>
        <w:t>this</w:t>
      </w:r>
      <w:r>
        <w:rPr>
          <w:spacing w:val="-4"/>
        </w:rPr>
        <w:t xml:space="preserve"> </w:t>
      </w:r>
      <w:r>
        <w:rPr>
          <w:spacing w:val="-2"/>
        </w:rPr>
        <w:t>Call</w:t>
      </w:r>
      <w:r>
        <w:t xml:space="preserve"> </w:t>
      </w:r>
      <w:r>
        <w:rPr>
          <w:spacing w:val="-1"/>
        </w:rPr>
        <w:t>Off</w:t>
      </w:r>
      <w:r>
        <w:rPr>
          <w:spacing w:val="2"/>
        </w:rPr>
        <w:t xml:space="preserve"> </w:t>
      </w:r>
      <w:r>
        <w:rPr>
          <w:spacing w:val="-1"/>
        </w:rPr>
        <w:t>Schedule.</w:t>
      </w:r>
    </w:p>
    <w:p w:rsidR="008918FA" w:rsidRDefault="008918FA" w:rsidP="008918FA">
      <w:pPr>
        <w:pStyle w:val="BodyText"/>
        <w:numPr>
          <w:ilvl w:val="0"/>
          <w:numId w:val="6"/>
        </w:numPr>
        <w:tabs>
          <w:tab w:val="left" w:pos="467"/>
        </w:tabs>
        <w:spacing w:before="122"/>
        <w:rPr>
          <w:rFonts w:ascii="Times New Roman" w:eastAsia="Times New Roman" w:hAnsi="Times New Roman" w:cs="Times New Roman"/>
        </w:rPr>
      </w:pPr>
      <w:bookmarkStart w:id="502" w:name="_bookmark416"/>
      <w:bookmarkEnd w:id="502"/>
      <w:r>
        <w:rPr>
          <w:rFonts w:ascii="Times New Roman"/>
          <w:spacing w:val="-3"/>
        </w:rPr>
        <w:t>MEDIATION</w:t>
      </w:r>
    </w:p>
    <w:p w:rsidR="008918FA" w:rsidRDefault="008918FA" w:rsidP="008918FA">
      <w:pPr>
        <w:rPr>
          <w:rFonts w:ascii="Times New Roman" w:eastAsia="Times New Roman" w:hAnsi="Times New Roman" w:cs="Times New Roman"/>
        </w:rPr>
        <w:sectPr w:rsidR="008918FA">
          <w:pgSz w:w="11910" w:h="16840"/>
          <w:pgMar w:top="1480" w:right="1300" w:bottom="1180" w:left="1540" w:header="0" w:footer="987" w:gutter="0"/>
          <w:cols w:space="720"/>
        </w:sectPr>
      </w:pPr>
    </w:p>
    <w:p w:rsidR="008918FA" w:rsidRDefault="008918FA" w:rsidP="008918FA">
      <w:pPr>
        <w:pStyle w:val="BodyText"/>
        <w:numPr>
          <w:ilvl w:val="1"/>
          <w:numId w:val="6"/>
        </w:numPr>
        <w:tabs>
          <w:tab w:val="left" w:pos="829"/>
        </w:tabs>
        <w:spacing w:before="59"/>
        <w:ind w:right="111"/>
        <w:jc w:val="both"/>
      </w:pPr>
      <w:r>
        <w:rPr>
          <w:spacing w:val="-1"/>
        </w:rPr>
        <w:t>If</w:t>
      </w:r>
      <w:r>
        <w:rPr>
          <w:spacing w:val="26"/>
        </w:rPr>
        <w:t xml:space="preserve"> </w:t>
      </w:r>
      <w:r>
        <w:t>a</w:t>
      </w:r>
      <w:r>
        <w:rPr>
          <w:spacing w:val="19"/>
        </w:rPr>
        <w:t xml:space="preserve"> </w:t>
      </w:r>
      <w:r>
        <w:rPr>
          <w:spacing w:val="-2"/>
        </w:rPr>
        <w:t>Mediation</w:t>
      </w:r>
      <w:r>
        <w:rPr>
          <w:spacing w:val="22"/>
        </w:rPr>
        <w:t xml:space="preserve"> </w:t>
      </w:r>
      <w:r>
        <w:rPr>
          <w:spacing w:val="-1"/>
        </w:rPr>
        <w:t>Notice</w:t>
      </w:r>
      <w:r>
        <w:rPr>
          <w:spacing w:val="22"/>
        </w:rPr>
        <w:t xml:space="preserve"> </w:t>
      </w:r>
      <w:r>
        <w:rPr>
          <w:spacing w:val="-1"/>
        </w:rPr>
        <w:t>is</w:t>
      </w:r>
      <w:r>
        <w:rPr>
          <w:spacing w:val="22"/>
        </w:rPr>
        <w:t xml:space="preserve"> </w:t>
      </w:r>
      <w:r>
        <w:rPr>
          <w:spacing w:val="-1"/>
        </w:rPr>
        <w:t>served,</w:t>
      </w:r>
      <w:r>
        <w:rPr>
          <w:spacing w:val="23"/>
        </w:rPr>
        <w:t xml:space="preserve"> </w:t>
      </w:r>
      <w:r>
        <w:t>the</w:t>
      </w:r>
      <w:r>
        <w:rPr>
          <w:spacing w:val="19"/>
        </w:rPr>
        <w:t xml:space="preserve"> </w:t>
      </w:r>
      <w:r>
        <w:rPr>
          <w:spacing w:val="-1"/>
        </w:rPr>
        <w:t>Parties</w:t>
      </w:r>
      <w:r>
        <w:rPr>
          <w:spacing w:val="22"/>
        </w:rPr>
        <w:t xml:space="preserve"> </w:t>
      </w:r>
      <w:r>
        <w:rPr>
          <w:spacing w:val="-1"/>
        </w:rPr>
        <w:t>shall</w:t>
      </w:r>
      <w:r>
        <w:rPr>
          <w:spacing w:val="21"/>
        </w:rPr>
        <w:t xml:space="preserve"> </w:t>
      </w:r>
      <w:r>
        <w:rPr>
          <w:spacing w:val="-1"/>
        </w:rPr>
        <w:t>attempt</w:t>
      </w:r>
      <w:r>
        <w:rPr>
          <w:spacing w:val="21"/>
        </w:rPr>
        <w:t xml:space="preserve"> </w:t>
      </w:r>
      <w:r>
        <w:t>to</w:t>
      </w:r>
      <w:r>
        <w:rPr>
          <w:spacing w:val="22"/>
        </w:rPr>
        <w:t xml:space="preserve"> </w:t>
      </w:r>
      <w:r>
        <w:rPr>
          <w:spacing w:val="-2"/>
        </w:rPr>
        <w:t>resolve</w:t>
      </w:r>
      <w:r>
        <w:rPr>
          <w:spacing w:val="22"/>
        </w:rPr>
        <w:t xml:space="preserve"> </w:t>
      </w:r>
      <w:r>
        <w:t>the</w:t>
      </w:r>
      <w:r>
        <w:rPr>
          <w:spacing w:val="23"/>
        </w:rPr>
        <w:t xml:space="preserve"> </w:t>
      </w:r>
      <w:r>
        <w:rPr>
          <w:spacing w:val="-1"/>
        </w:rPr>
        <w:t>dispute</w:t>
      </w:r>
      <w:r>
        <w:rPr>
          <w:spacing w:val="22"/>
        </w:rPr>
        <w:t xml:space="preserve"> </w:t>
      </w:r>
      <w:r>
        <w:rPr>
          <w:spacing w:val="-1"/>
        </w:rPr>
        <w:t>in</w:t>
      </w:r>
      <w:r>
        <w:rPr>
          <w:spacing w:val="45"/>
        </w:rPr>
        <w:t xml:space="preserve"> </w:t>
      </w:r>
      <w:r>
        <w:rPr>
          <w:spacing w:val="-1"/>
        </w:rPr>
        <w:t>accordance</w:t>
      </w:r>
      <w:r>
        <w:rPr>
          <w:spacing w:val="3"/>
        </w:rPr>
        <w:t xml:space="preserve"> </w:t>
      </w:r>
      <w:r>
        <w:rPr>
          <w:spacing w:val="-2"/>
        </w:rPr>
        <w:t>with</w:t>
      </w:r>
      <w:r>
        <w:rPr>
          <w:spacing w:val="3"/>
        </w:rPr>
        <w:t xml:space="preserve"> </w:t>
      </w:r>
      <w:r>
        <w:rPr>
          <w:spacing w:val="-1"/>
        </w:rPr>
        <w:t>CEDR's</w:t>
      </w:r>
      <w:r>
        <w:rPr>
          <w:spacing w:val="3"/>
        </w:rPr>
        <w:t xml:space="preserve"> </w:t>
      </w:r>
      <w:r>
        <w:rPr>
          <w:spacing w:val="-2"/>
        </w:rPr>
        <w:t>Model</w:t>
      </w:r>
      <w:r>
        <w:rPr>
          <w:spacing w:val="4"/>
        </w:rPr>
        <w:t xml:space="preserve"> </w:t>
      </w:r>
      <w:r>
        <w:rPr>
          <w:spacing w:val="-1"/>
        </w:rPr>
        <w:t>Mediation</w:t>
      </w:r>
      <w:r>
        <w:rPr>
          <w:spacing w:val="3"/>
        </w:rPr>
        <w:t xml:space="preserve"> </w:t>
      </w:r>
      <w:r>
        <w:rPr>
          <w:spacing w:val="-1"/>
        </w:rPr>
        <w:t>Agreement</w:t>
      </w:r>
      <w:r>
        <w:rPr>
          <w:spacing w:val="4"/>
        </w:rPr>
        <w:t xml:space="preserve"> </w:t>
      </w:r>
      <w:r>
        <w:rPr>
          <w:spacing w:val="-2"/>
        </w:rPr>
        <w:t>which</w:t>
      </w:r>
      <w:r>
        <w:rPr>
          <w:spacing w:val="3"/>
        </w:rPr>
        <w:t xml:space="preserve"> </w:t>
      </w:r>
      <w:r>
        <w:rPr>
          <w:spacing w:val="-1"/>
        </w:rPr>
        <w:t>shall</w:t>
      </w:r>
      <w:r>
        <w:rPr>
          <w:spacing w:val="2"/>
        </w:rPr>
        <w:t xml:space="preserve"> </w:t>
      </w:r>
      <w:r>
        <w:rPr>
          <w:spacing w:val="-1"/>
        </w:rPr>
        <w:t>be</w:t>
      </w:r>
      <w:r>
        <w:rPr>
          <w:spacing w:val="3"/>
        </w:rPr>
        <w:t xml:space="preserve"> </w:t>
      </w:r>
      <w:r>
        <w:rPr>
          <w:spacing w:val="-1"/>
        </w:rPr>
        <w:t>deemed</w:t>
      </w:r>
      <w:r>
        <w:rPr>
          <w:spacing w:val="3"/>
        </w:rPr>
        <w:t xml:space="preserve"> </w:t>
      </w:r>
      <w:r>
        <w:t xml:space="preserve">to </w:t>
      </w:r>
      <w:r>
        <w:rPr>
          <w:spacing w:val="-2"/>
        </w:rPr>
        <w:t>be</w:t>
      </w:r>
      <w:r>
        <w:rPr>
          <w:spacing w:val="43"/>
        </w:rPr>
        <w:t xml:space="preserve"> </w:t>
      </w:r>
      <w:r>
        <w:rPr>
          <w:spacing w:val="-1"/>
        </w:rPr>
        <w:t>incorporated</w:t>
      </w:r>
      <w:r>
        <w:rPr>
          <w:spacing w:val="-2"/>
        </w:rPr>
        <w:t xml:space="preserve"> </w:t>
      </w:r>
      <w:r>
        <w:rPr>
          <w:spacing w:val="-1"/>
        </w:rPr>
        <w:t>by</w:t>
      </w:r>
      <w:r>
        <w:rPr>
          <w:spacing w:val="-2"/>
        </w:rPr>
        <w:t xml:space="preserve"> </w:t>
      </w:r>
      <w:r>
        <w:rPr>
          <w:spacing w:val="-1"/>
        </w:rPr>
        <w:t>reference</w:t>
      </w:r>
      <w:r>
        <w:t xml:space="preserve"> </w:t>
      </w:r>
      <w:r>
        <w:rPr>
          <w:spacing w:val="-1"/>
        </w:rPr>
        <w:t>into</w:t>
      </w:r>
      <w:r>
        <w:rPr>
          <w:spacing w:val="-2"/>
        </w:rPr>
        <w:t xml:space="preserve"> </w:t>
      </w:r>
      <w:r>
        <w:rPr>
          <w:spacing w:val="-1"/>
        </w:rPr>
        <w:t>this</w:t>
      </w:r>
      <w:r>
        <w:rPr>
          <w:spacing w:val="1"/>
        </w:rPr>
        <w:t xml:space="preserve"> </w:t>
      </w:r>
      <w:r>
        <w:rPr>
          <w:spacing w:val="-2"/>
        </w:rPr>
        <w:t>Call</w:t>
      </w:r>
      <w:r>
        <w:t xml:space="preserve"> </w:t>
      </w:r>
      <w:r>
        <w:rPr>
          <w:spacing w:val="-2"/>
        </w:rPr>
        <w:t>Off</w:t>
      </w:r>
      <w:r>
        <w:rPr>
          <w:spacing w:val="2"/>
        </w:rPr>
        <w:t xml:space="preserve"> </w:t>
      </w:r>
      <w:r>
        <w:rPr>
          <w:spacing w:val="-1"/>
        </w:rPr>
        <w:t>Contract.</w:t>
      </w:r>
    </w:p>
    <w:p w:rsidR="008918FA" w:rsidRDefault="008918FA" w:rsidP="008918FA">
      <w:pPr>
        <w:pStyle w:val="BodyText"/>
        <w:numPr>
          <w:ilvl w:val="1"/>
          <w:numId w:val="6"/>
        </w:numPr>
        <w:tabs>
          <w:tab w:val="left" w:pos="829"/>
        </w:tabs>
      </w:pPr>
      <w:bookmarkStart w:id="503" w:name="_bookmark417"/>
      <w:bookmarkEnd w:id="503"/>
      <w:r>
        <w:rPr>
          <w:spacing w:val="-1"/>
        </w:rPr>
        <w:t>If</w:t>
      </w:r>
      <w:r>
        <w:rPr>
          <w:spacing w:val="2"/>
        </w:rPr>
        <w:t xml:space="preserve"> </w:t>
      </w:r>
      <w:r>
        <w:t>the</w:t>
      </w:r>
      <w:r>
        <w:rPr>
          <w:spacing w:val="-2"/>
        </w:rPr>
        <w:t xml:space="preserve"> </w:t>
      </w:r>
      <w:r>
        <w:rPr>
          <w:spacing w:val="-1"/>
        </w:rPr>
        <w:t>Parties</w:t>
      </w:r>
      <w:r>
        <w:rPr>
          <w:spacing w:val="-2"/>
        </w:rPr>
        <w:t xml:space="preserve"> </w:t>
      </w:r>
      <w:r>
        <w:rPr>
          <w:spacing w:val="-1"/>
        </w:rPr>
        <w:t>are</w:t>
      </w:r>
      <w:r>
        <w:rPr>
          <w:spacing w:val="-2"/>
        </w:rPr>
        <w:t xml:space="preserve"> </w:t>
      </w:r>
      <w:r>
        <w:rPr>
          <w:spacing w:val="-1"/>
        </w:rPr>
        <w:t>unable</w:t>
      </w:r>
      <w:r>
        <w:rPr>
          <w:spacing w:val="-2"/>
        </w:rPr>
        <w:t xml:space="preserve"> </w:t>
      </w:r>
      <w:r>
        <w:t xml:space="preserve">to </w:t>
      </w:r>
      <w:r>
        <w:rPr>
          <w:spacing w:val="-1"/>
        </w:rPr>
        <w:t>agree</w:t>
      </w:r>
      <w:r>
        <w:t xml:space="preserve"> </w:t>
      </w:r>
      <w:r>
        <w:rPr>
          <w:spacing w:val="-1"/>
        </w:rPr>
        <w:t>on</w:t>
      </w:r>
      <w:r>
        <w:rPr>
          <w:spacing w:val="-2"/>
        </w:rPr>
        <w:t xml:space="preserve"> </w:t>
      </w:r>
      <w:r>
        <w:t>the</w:t>
      </w:r>
      <w:r>
        <w:rPr>
          <w:spacing w:val="-2"/>
        </w:rPr>
        <w:t xml:space="preserve"> </w:t>
      </w:r>
      <w:r>
        <w:rPr>
          <w:spacing w:val="-1"/>
        </w:rPr>
        <w:t>joint</w:t>
      </w:r>
      <w:r>
        <w:t xml:space="preserve"> </w:t>
      </w:r>
      <w:r>
        <w:rPr>
          <w:spacing w:val="-1"/>
        </w:rPr>
        <w:t>appointment</w:t>
      </w:r>
      <w:r>
        <w:t xml:space="preserve"> </w:t>
      </w:r>
      <w:r>
        <w:rPr>
          <w:spacing w:val="-2"/>
        </w:rPr>
        <w:t>of</w:t>
      </w:r>
      <w:r>
        <w:rPr>
          <w:spacing w:val="2"/>
        </w:rPr>
        <w:t xml:space="preserve"> </w:t>
      </w:r>
      <w:r>
        <w:t xml:space="preserve">a </w:t>
      </w:r>
      <w:r>
        <w:rPr>
          <w:spacing w:val="-2"/>
        </w:rPr>
        <w:t>Mediator</w:t>
      </w:r>
      <w:r>
        <w:rPr>
          <w:spacing w:val="2"/>
        </w:rPr>
        <w:t xml:space="preserve"> </w:t>
      </w:r>
      <w:r>
        <w:rPr>
          <w:spacing w:val="-2"/>
        </w:rPr>
        <w:t>within</w:t>
      </w:r>
      <w:r>
        <w:t xml:space="preserve"> thirty</w:t>
      </w:r>
    </w:p>
    <w:p w:rsidR="008918FA" w:rsidRDefault="008918FA" w:rsidP="008918FA">
      <w:pPr>
        <w:pStyle w:val="BodyText"/>
        <w:spacing w:before="1"/>
        <w:ind w:left="828" w:right="113" w:hanging="1"/>
      </w:pPr>
      <w:r>
        <w:rPr>
          <w:spacing w:val="-1"/>
        </w:rPr>
        <w:t>(30)</w:t>
      </w:r>
      <w:r>
        <w:rPr>
          <w:spacing w:val="-5"/>
        </w:rPr>
        <w:t xml:space="preserve"> </w:t>
      </w:r>
      <w:r>
        <w:rPr>
          <w:spacing w:val="-1"/>
        </w:rPr>
        <w:t>Working</w:t>
      </w:r>
      <w:r>
        <w:rPr>
          <w:spacing w:val="53"/>
        </w:rPr>
        <w:t xml:space="preserve"> </w:t>
      </w:r>
      <w:r>
        <w:rPr>
          <w:spacing w:val="-2"/>
        </w:rPr>
        <w:t>Days</w:t>
      </w:r>
      <w:r>
        <w:rPr>
          <w:spacing w:val="51"/>
        </w:rPr>
        <w:t xml:space="preserve"> </w:t>
      </w:r>
      <w:r>
        <w:t>from</w:t>
      </w:r>
      <w:r>
        <w:rPr>
          <w:spacing w:val="49"/>
        </w:rPr>
        <w:t xml:space="preserve"> </w:t>
      </w:r>
      <w:r>
        <w:rPr>
          <w:spacing w:val="-1"/>
        </w:rPr>
        <w:t>service</w:t>
      </w:r>
      <w:r>
        <w:rPr>
          <w:spacing w:val="51"/>
        </w:rPr>
        <w:t xml:space="preserve"> </w:t>
      </w:r>
      <w:r>
        <w:rPr>
          <w:spacing w:val="-1"/>
        </w:rPr>
        <w:t>of</w:t>
      </w:r>
      <w:r>
        <w:rPr>
          <w:spacing w:val="54"/>
        </w:rPr>
        <w:t xml:space="preserve"> </w:t>
      </w:r>
      <w:r>
        <w:t>the</w:t>
      </w:r>
      <w:r>
        <w:rPr>
          <w:spacing w:val="51"/>
        </w:rPr>
        <w:t xml:space="preserve"> </w:t>
      </w:r>
      <w:r>
        <w:rPr>
          <w:spacing w:val="-1"/>
        </w:rPr>
        <w:t>Mediation</w:t>
      </w:r>
      <w:r>
        <w:rPr>
          <w:spacing w:val="52"/>
        </w:rPr>
        <w:t xml:space="preserve"> </w:t>
      </w:r>
      <w:r>
        <w:rPr>
          <w:spacing w:val="-1"/>
        </w:rPr>
        <w:t>Notice</w:t>
      </w:r>
      <w:r>
        <w:rPr>
          <w:spacing w:val="51"/>
        </w:rPr>
        <w:t xml:space="preserve"> </w:t>
      </w:r>
      <w:r>
        <w:rPr>
          <w:spacing w:val="-1"/>
        </w:rPr>
        <w:t>then</w:t>
      </w:r>
      <w:r>
        <w:rPr>
          <w:spacing w:val="51"/>
        </w:rPr>
        <w:t xml:space="preserve"> </w:t>
      </w:r>
      <w:r>
        <w:rPr>
          <w:spacing w:val="-1"/>
        </w:rPr>
        <w:t>either</w:t>
      </w:r>
      <w:r>
        <w:rPr>
          <w:spacing w:val="52"/>
        </w:rPr>
        <w:t xml:space="preserve"> </w:t>
      </w:r>
      <w:r>
        <w:rPr>
          <w:spacing w:val="-1"/>
        </w:rPr>
        <w:t>Party</w:t>
      </w:r>
      <w:r>
        <w:rPr>
          <w:spacing w:val="49"/>
        </w:rPr>
        <w:t xml:space="preserve"> </w:t>
      </w:r>
      <w:r>
        <w:rPr>
          <w:spacing w:val="-1"/>
        </w:rPr>
        <w:t>may</w:t>
      </w:r>
      <w:r>
        <w:rPr>
          <w:spacing w:val="48"/>
        </w:rPr>
        <w:t xml:space="preserve"> </w:t>
      </w:r>
      <w:r>
        <w:rPr>
          <w:spacing w:val="-1"/>
        </w:rPr>
        <w:t>apply</w:t>
      </w:r>
      <w:r>
        <w:rPr>
          <w:spacing w:val="-2"/>
        </w:rPr>
        <w:t xml:space="preserve"> </w:t>
      </w:r>
      <w:r>
        <w:t xml:space="preserve">to </w:t>
      </w:r>
      <w:r>
        <w:rPr>
          <w:spacing w:val="-2"/>
        </w:rPr>
        <w:t>CEDR</w:t>
      </w:r>
      <w:r>
        <w:t xml:space="preserve"> to </w:t>
      </w:r>
      <w:r>
        <w:rPr>
          <w:spacing w:val="-2"/>
        </w:rPr>
        <w:t xml:space="preserve">nominate </w:t>
      </w:r>
      <w:r>
        <w:t xml:space="preserve">the </w:t>
      </w:r>
      <w:r>
        <w:rPr>
          <w:spacing w:val="-1"/>
        </w:rPr>
        <w:t>Mediator.</w:t>
      </w:r>
    </w:p>
    <w:p w:rsidR="008918FA" w:rsidRDefault="008918FA" w:rsidP="008918FA">
      <w:pPr>
        <w:pStyle w:val="BodyText"/>
        <w:numPr>
          <w:ilvl w:val="1"/>
          <w:numId w:val="6"/>
        </w:numPr>
        <w:tabs>
          <w:tab w:val="left" w:pos="829"/>
        </w:tabs>
        <w:ind w:right="112"/>
        <w:jc w:val="both"/>
      </w:pPr>
      <w:r>
        <w:rPr>
          <w:spacing w:val="-1"/>
        </w:rPr>
        <w:t>If</w:t>
      </w:r>
      <w:r>
        <w:rPr>
          <w:spacing w:val="11"/>
        </w:rPr>
        <w:t xml:space="preserve"> </w:t>
      </w:r>
      <w:r>
        <w:t>the</w:t>
      </w:r>
      <w:r>
        <w:rPr>
          <w:spacing w:val="7"/>
        </w:rPr>
        <w:t xml:space="preserve"> </w:t>
      </w:r>
      <w:r>
        <w:rPr>
          <w:spacing w:val="-1"/>
        </w:rPr>
        <w:t>Parties</w:t>
      </w:r>
      <w:r>
        <w:rPr>
          <w:spacing w:val="8"/>
        </w:rPr>
        <w:t xml:space="preserve"> </w:t>
      </w:r>
      <w:r>
        <w:rPr>
          <w:spacing w:val="-1"/>
        </w:rPr>
        <w:t>are</w:t>
      </w:r>
      <w:r>
        <w:rPr>
          <w:spacing w:val="7"/>
        </w:rPr>
        <w:t xml:space="preserve"> </w:t>
      </w:r>
      <w:r>
        <w:rPr>
          <w:spacing w:val="-1"/>
        </w:rPr>
        <w:t>unable</w:t>
      </w:r>
      <w:r>
        <w:rPr>
          <w:spacing w:val="7"/>
        </w:rPr>
        <w:t xml:space="preserve"> </w:t>
      </w:r>
      <w:r>
        <w:t>to</w:t>
      </w:r>
      <w:r>
        <w:rPr>
          <w:spacing w:val="7"/>
        </w:rPr>
        <w:t xml:space="preserve"> </w:t>
      </w:r>
      <w:r>
        <w:rPr>
          <w:spacing w:val="-1"/>
        </w:rPr>
        <w:t>reach</w:t>
      </w:r>
      <w:r>
        <w:rPr>
          <w:spacing w:val="10"/>
        </w:rPr>
        <w:t xml:space="preserve"> </w:t>
      </w:r>
      <w:r>
        <w:t>a</w:t>
      </w:r>
      <w:r>
        <w:rPr>
          <w:spacing w:val="7"/>
        </w:rPr>
        <w:t xml:space="preserve"> </w:t>
      </w:r>
      <w:r>
        <w:rPr>
          <w:spacing w:val="-1"/>
        </w:rPr>
        <w:t>settlement</w:t>
      </w:r>
      <w:r>
        <w:rPr>
          <w:spacing w:val="11"/>
        </w:rPr>
        <w:t xml:space="preserve"> </w:t>
      </w:r>
      <w:r>
        <w:rPr>
          <w:spacing w:val="-1"/>
        </w:rPr>
        <w:t>in</w:t>
      </w:r>
      <w:r>
        <w:rPr>
          <w:spacing w:val="7"/>
        </w:rPr>
        <w:t xml:space="preserve"> </w:t>
      </w:r>
      <w:r>
        <w:t>the</w:t>
      </w:r>
      <w:r>
        <w:rPr>
          <w:spacing w:val="10"/>
        </w:rPr>
        <w:t xml:space="preserve"> </w:t>
      </w:r>
      <w:r>
        <w:rPr>
          <w:spacing w:val="-1"/>
        </w:rPr>
        <w:t>negotiations</w:t>
      </w:r>
      <w:r>
        <w:rPr>
          <w:spacing w:val="10"/>
        </w:rPr>
        <w:t xml:space="preserve"> </w:t>
      </w:r>
      <w:r>
        <w:rPr>
          <w:spacing w:val="-2"/>
        </w:rPr>
        <w:t>at</w:t>
      </w:r>
      <w:r>
        <w:rPr>
          <w:spacing w:val="9"/>
        </w:rPr>
        <w:t xml:space="preserve"> </w:t>
      </w:r>
      <w:r>
        <w:t>the</w:t>
      </w:r>
      <w:r>
        <w:rPr>
          <w:spacing w:val="7"/>
        </w:rPr>
        <w:t xml:space="preserve"> </w:t>
      </w:r>
      <w:r>
        <w:rPr>
          <w:spacing w:val="-2"/>
        </w:rPr>
        <w:t>mediation,</w:t>
      </w:r>
      <w:r>
        <w:rPr>
          <w:spacing w:val="42"/>
        </w:rPr>
        <w:t xml:space="preserve"> </w:t>
      </w:r>
      <w:r>
        <w:rPr>
          <w:spacing w:val="-1"/>
        </w:rPr>
        <w:t>and</w:t>
      </w:r>
      <w:r>
        <w:rPr>
          <w:spacing w:val="46"/>
        </w:rPr>
        <w:t xml:space="preserve"> </w:t>
      </w:r>
      <w:r>
        <w:rPr>
          <w:spacing w:val="-1"/>
        </w:rPr>
        <w:t>only</w:t>
      </w:r>
      <w:r>
        <w:rPr>
          <w:spacing w:val="46"/>
        </w:rPr>
        <w:t xml:space="preserve"> </w:t>
      </w:r>
      <w:r>
        <w:rPr>
          <w:spacing w:val="-1"/>
        </w:rPr>
        <w:t>if</w:t>
      </w:r>
      <w:r>
        <w:rPr>
          <w:spacing w:val="49"/>
        </w:rPr>
        <w:t xml:space="preserve"> </w:t>
      </w:r>
      <w:r>
        <w:t>the</w:t>
      </w:r>
      <w:r>
        <w:rPr>
          <w:spacing w:val="46"/>
        </w:rPr>
        <w:t xml:space="preserve"> </w:t>
      </w:r>
      <w:r>
        <w:rPr>
          <w:spacing w:val="-1"/>
        </w:rPr>
        <w:t>Parties</w:t>
      </w:r>
      <w:r>
        <w:rPr>
          <w:spacing w:val="44"/>
        </w:rPr>
        <w:t xml:space="preserve"> </w:t>
      </w:r>
      <w:r>
        <w:rPr>
          <w:spacing w:val="-1"/>
        </w:rPr>
        <w:t>so</w:t>
      </w:r>
      <w:r>
        <w:rPr>
          <w:spacing w:val="46"/>
        </w:rPr>
        <w:t xml:space="preserve"> </w:t>
      </w:r>
      <w:r>
        <w:rPr>
          <w:spacing w:val="-1"/>
        </w:rPr>
        <w:t>request</w:t>
      </w:r>
      <w:r>
        <w:rPr>
          <w:spacing w:val="49"/>
        </w:rPr>
        <w:t xml:space="preserve"> </w:t>
      </w:r>
      <w:r>
        <w:rPr>
          <w:spacing w:val="-1"/>
        </w:rPr>
        <w:t>and</w:t>
      </w:r>
      <w:r>
        <w:rPr>
          <w:spacing w:val="43"/>
        </w:rPr>
        <w:t xml:space="preserve"> </w:t>
      </w:r>
      <w:r>
        <w:t>the</w:t>
      </w:r>
      <w:r>
        <w:rPr>
          <w:spacing w:val="46"/>
        </w:rPr>
        <w:t xml:space="preserve"> </w:t>
      </w:r>
      <w:r>
        <w:rPr>
          <w:spacing w:val="-1"/>
        </w:rPr>
        <w:t>Mediator</w:t>
      </w:r>
      <w:r>
        <w:rPr>
          <w:spacing w:val="47"/>
        </w:rPr>
        <w:t xml:space="preserve"> </w:t>
      </w:r>
      <w:r>
        <w:rPr>
          <w:spacing w:val="-1"/>
        </w:rPr>
        <w:t>agrees,</w:t>
      </w:r>
      <w:r>
        <w:rPr>
          <w:spacing w:val="47"/>
        </w:rPr>
        <w:t xml:space="preserve"> </w:t>
      </w:r>
      <w:r>
        <w:t>the</w:t>
      </w:r>
      <w:r>
        <w:rPr>
          <w:spacing w:val="46"/>
        </w:rPr>
        <w:t xml:space="preserve"> </w:t>
      </w:r>
      <w:r>
        <w:rPr>
          <w:spacing w:val="-1"/>
        </w:rPr>
        <w:t>Mediator</w:t>
      </w:r>
      <w:r>
        <w:rPr>
          <w:spacing w:val="48"/>
        </w:rPr>
        <w:t xml:space="preserve"> </w:t>
      </w:r>
      <w:r>
        <w:rPr>
          <w:spacing w:val="-1"/>
        </w:rPr>
        <w:t>shall</w:t>
      </w:r>
      <w:r>
        <w:rPr>
          <w:spacing w:val="27"/>
        </w:rPr>
        <w:t xml:space="preserve"> </w:t>
      </w:r>
      <w:r>
        <w:rPr>
          <w:spacing w:val="-1"/>
        </w:rPr>
        <w:t>produce</w:t>
      </w:r>
      <w:r>
        <w:rPr>
          <w:spacing w:val="-2"/>
        </w:rPr>
        <w:t xml:space="preserve"> </w:t>
      </w:r>
      <w:r>
        <w:t>for</w:t>
      </w:r>
      <w:r>
        <w:rPr>
          <w:spacing w:val="2"/>
        </w:rPr>
        <w:t xml:space="preserve"> </w:t>
      </w:r>
      <w:r>
        <w:t xml:space="preserve">the </w:t>
      </w:r>
      <w:r>
        <w:rPr>
          <w:spacing w:val="-1"/>
        </w:rPr>
        <w:t>Parties</w:t>
      </w:r>
      <w:r>
        <w:rPr>
          <w:spacing w:val="1"/>
        </w:rPr>
        <w:t xml:space="preserve"> </w:t>
      </w:r>
      <w:r>
        <w:t xml:space="preserve">a </w:t>
      </w:r>
      <w:r>
        <w:rPr>
          <w:spacing w:val="-1"/>
        </w:rPr>
        <w:t>non-binding</w:t>
      </w:r>
      <w:r>
        <w:rPr>
          <w:spacing w:val="3"/>
        </w:rPr>
        <w:t xml:space="preserve"> </w:t>
      </w:r>
      <w:r>
        <w:rPr>
          <w:spacing w:val="-1"/>
        </w:rPr>
        <w:t>recommendation</w:t>
      </w:r>
      <w:r>
        <w:t xml:space="preserve"> </w:t>
      </w:r>
      <w:r>
        <w:rPr>
          <w:spacing w:val="-1"/>
        </w:rPr>
        <w:t>on</w:t>
      </w:r>
      <w:r>
        <w:t xml:space="preserve"> terms</w:t>
      </w:r>
      <w:r>
        <w:rPr>
          <w:spacing w:val="1"/>
        </w:rPr>
        <w:t xml:space="preserve"> </w:t>
      </w:r>
      <w:r>
        <w:rPr>
          <w:spacing w:val="-2"/>
        </w:rPr>
        <w:t>of</w:t>
      </w:r>
      <w:r>
        <w:rPr>
          <w:spacing w:val="4"/>
        </w:rPr>
        <w:t xml:space="preserve"> </w:t>
      </w:r>
      <w:r>
        <w:rPr>
          <w:spacing w:val="-1"/>
        </w:rPr>
        <w:t>settlement.</w:t>
      </w:r>
      <w:r>
        <w:t xml:space="preserve"> </w:t>
      </w:r>
      <w:r>
        <w:rPr>
          <w:spacing w:val="-1"/>
        </w:rPr>
        <w:t>This</w:t>
      </w:r>
      <w:r>
        <w:rPr>
          <w:spacing w:val="33"/>
        </w:rPr>
        <w:t xml:space="preserve"> </w:t>
      </w:r>
      <w:r>
        <w:rPr>
          <w:spacing w:val="-1"/>
        </w:rPr>
        <w:t>shall</w:t>
      </w:r>
      <w:r>
        <w:rPr>
          <w:spacing w:val="21"/>
        </w:rPr>
        <w:t xml:space="preserve"> </w:t>
      </w:r>
      <w:r>
        <w:rPr>
          <w:spacing w:val="-1"/>
        </w:rPr>
        <w:t>not</w:t>
      </w:r>
      <w:r>
        <w:rPr>
          <w:spacing w:val="23"/>
        </w:rPr>
        <w:t xml:space="preserve"> </w:t>
      </w:r>
      <w:r>
        <w:rPr>
          <w:spacing w:val="-1"/>
        </w:rPr>
        <w:t>attempt</w:t>
      </w:r>
      <w:r>
        <w:rPr>
          <w:spacing w:val="21"/>
        </w:rPr>
        <w:t xml:space="preserve"> </w:t>
      </w:r>
      <w:r>
        <w:t>to</w:t>
      </w:r>
      <w:r>
        <w:rPr>
          <w:spacing w:val="22"/>
        </w:rPr>
        <w:t xml:space="preserve"> </w:t>
      </w:r>
      <w:r>
        <w:rPr>
          <w:spacing w:val="-1"/>
        </w:rPr>
        <w:t>anticipate</w:t>
      </w:r>
      <w:r>
        <w:rPr>
          <w:spacing w:val="22"/>
        </w:rPr>
        <w:t xml:space="preserve"> </w:t>
      </w:r>
      <w:r>
        <w:rPr>
          <w:spacing w:val="-2"/>
        </w:rPr>
        <w:t>what</w:t>
      </w:r>
      <w:r>
        <w:rPr>
          <w:spacing w:val="23"/>
        </w:rPr>
        <w:t xml:space="preserve"> </w:t>
      </w:r>
      <w:r>
        <w:t>a</w:t>
      </w:r>
      <w:r>
        <w:rPr>
          <w:spacing w:val="22"/>
        </w:rPr>
        <w:t xml:space="preserve"> </w:t>
      </w:r>
      <w:r>
        <w:rPr>
          <w:spacing w:val="-1"/>
        </w:rPr>
        <w:t>court</w:t>
      </w:r>
      <w:r>
        <w:rPr>
          <w:spacing w:val="21"/>
        </w:rPr>
        <w:t xml:space="preserve"> </w:t>
      </w:r>
      <w:r>
        <w:rPr>
          <w:spacing w:val="-1"/>
        </w:rPr>
        <w:t>might</w:t>
      </w:r>
      <w:r>
        <w:rPr>
          <w:spacing w:val="23"/>
        </w:rPr>
        <w:t xml:space="preserve"> </w:t>
      </w:r>
      <w:r>
        <w:rPr>
          <w:spacing w:val="-1"/>
        </w:rPr>
        <w:t>order</w:t>
      </w:r>
      <w:r>
        <w:rPr>
          <w:spacing w:val="23"/>
        </w:rPr>
        <w:t xml:space="preserve"> </w:t>
      </w:r>
      <w:r>
        <w:rPr>
          <w:spacing w:val="-2"/>
        </w:rPr>
        <w:t>but</w:t>
      </w:r>
      <w:r>
        <w:rPr>
          <w:spacing w:val="23"/>
        </w:rPr>
        <w:t xml:space="preserve"> </w:t>
      </w:r>
      <w:r>
        <w:rPr>
          <w:spacing w:val="-1"/>
        </w:rPr>
        <w:t>shall</w:t>
      </w:r>
      <w:r>
        <w:rPr>
          <w:spacing w:val="21"/>
        </w:rPr>
        <w:t xml:space="preserve"> </w:t>
      </w:r>
      <w:r>
        <w:rPr>
          <w:spacing w:val="-1"/>
        </w:rPr>
        <w:t>set</w:t>
      </w:r>
      <w:r>
        <w:rPr>
          <w:spacing w:val="21"/>
        </w:rPr>
        <w:t xml:space="preserve"> </w:t>
      </w:r>
      <w:r>
        <w:rPr>
          <w:spacing w:val="-2"/>
        </w:rPr>
        <w:t>out</w:t>
      </w:r>
      <w:r>
        <w:rPr>
          <w:spacing w:val="23"/>
        </w:rPr>
        <w:t xml:space="preserve"> </w:t>
      </w:r>
      <w:r>
        <w:rPr>
          <w:spacing w:val="-2"/>
        </w:rPr>
        <w:t>what</w:t>
      </w:r>
      <w:r>
        <w:rPr>
          <w:spacing w:val="23"/>
        </w:rPr>
        <w:t xml:space="preserve"> </w:t>
      </w:r>
      <w:r>
        <w:rPr>
          <w:spacing w:val="-1"/>
        </w:rPr>
        <w:t>the</w:t>
      </w:r>
      <w:r>
        <w:rPr>
          <w:spacing w:val="39"/>
        </w:rPr>
        <w:t xml:space="preserve"> </w:t>
      </w:r>
      <w:r>
        <w:rPr>
          <w:spacing w:val="-1"/>
        </w:rPr>
        <w:t>Mediator</w:t>
      </w:r>
      <w:r>
        <w:rPr>
          <w:spacing w:val="2"/>
        </w:rPr>
        <w:t xml:space="preserve"> </w:t>
      </w:r>
      <w:r>
        <w:rPr>
          <w:spacing w:val="-1"/>
        </w:rPr>
        <w:t>suggests</w:t>
      </w:r>
      <w:r>
        <w:rPr>
          <w:spacing w:val="1"/>
        </w:rPr>
        <w:t xml:space="preserve"> </w:t>
      </w:r>
      <w:r>
        <w:rPr>
          <w:spacing w:val="-1"/>
        </w:rPr>
        <w:t>are</w:t>
      </w:r>
      <w:r>
        <w:rPr>
          <w:spacing w:val="-2"/>
        </w:rPr>
        <w:t xml:space="preserve"> </w:t>
      </w:r>
      <w:r>
        <w:rPr>
          <w:spacing w:val="-1"/>
        </w:rPr>
        <w:t>appropriate</w:t>
      </w:r>
      <w:r>
        <w:rPr>
          <w:spacing w:val="-2"/>
        </w:rPr>
        <w:t xml:space="preserve"> </w:t>
      </w:r>
      <w:r>
        <w:rPr>
          <w:spacing w:val="-1"/>
        </w:rPr>
        <w:t>settlement</w:t>
      </w:r>
      <w:r>
        <w:t xml:space="preserve"> </w:t>
      </w:r>
      <w:r>
        <w:rPr>
          <w:spacing w:val="-1"/>
        </w:rPr>
        <w:t>terms</w:t>
      </w:r>
      <w:r>
        <w:rPr>
          <w:spacing w:val="1"/>
        </w:rPr>
        <w:t xml:space="preserve"> </w:t>
      </w:r>
      <w:r>
        <w:rPr>
          <w:spacing w:val="-1"/>
        </w:rPr>
        <w:t>in</w:t>
      </w:r>
      <w:r>
        <w:rPr>
          <w:spacing w:val="-2"/>
        </w:rPr>
        <w:t xml:space="preserve"> </w:t>
      </w:r>
      <w:r>
        <w:rPr>
          <w:spacing w:val="-1"/>
        </w:rPr>
        <w:t>all</w:t>
      </w:r>
      <w:r>
        <w:t xml:space="preserve"> </w:t>
      </w:r>
      <w:r>
        <w:rPr>
          <w:spacing w:val="-2"/>
        </w:rPr>
        <w:t>of</w:t>
      </w:r>
      <w:r>
        <w:rPr>
          <w:spacing w:val="2"/>
        </w:rPr>
        <w:t xml:space="preserve"> </w:t>
      </w:r>
      <w:r>
        <w:t>the</w:t>
      </w:r>
      <w:r>
        <w:rPr>
          <w:spacing w:val="-2"/>
        </w:rPr>
        <w:t xml:space="preserve"> </w:t>
      </w:r>
      <w:r>
        <w:rPr>
          <w:spacing w:val="-1"/>
        </w:rPr>
        <w:t>circumstances.</w:t>
      </w:r>
    </w:p>
    <w:p w:rsidR="008918FA" w:rsidRDefault="008918FA" w:rsidP="008918FA">
      <w:pPr>
        <w:pStyle w:val="BodyText"/>
        <w:numPr>
          <w:ilvl w:val="1"/>
          <w:numId w:val="6"/>
        </w:numPr>
        <w:tabs>
          <w:tab w:val="left" w:pos="829"/>
        </w:tabs>
        <w:ind w:right="114"/>
        <w:jc w:val="both"/>
      </w:pPr>
      <w:r>
        <w:rPr>
          <w:spacing w:val="-1"/>
        </w:rPr>
        <w:t>Any</w:t>
      </w:r>
      <w:r>
        <w:rPr>
          <w:spacing w:val="37"/>
        </w:rPr>
        <w:t xml:space="preserve"> </w:t>
      </w:r>
      <w:r>
        <w:rPr>
          <w:spacing w:val="-1"/>
        </w:rPr>
        <w:t>settlement</w:t>
      </w:r>
      <w:r>
        <w:rPr>
          <w:spacing w:val="40"/>
        </w:rPr>
        <w:t xml:space="preserve"> </w:t>
      </w:r>
      <w:r>
        <w:rPr>
          <w:spacing w:val="-1"/>
        </w:rPr>
        <w:t>reached</w:t>
      </w:r>
      <w:r>
        <w:rPr>
          <w:spacing w:val="36"/>
        </w:rPr>
        <w:t xml:space="preserve"> </w:t>
      </w:r>
      <w:r>
        <w:rPr>
          <w:spacing w:val="-1"/>
        </w:rPr>
        <w:t>in</w:t>
      </w:r>
      <w:r>
        <w:rPr>
          <w:spacing w:val="38"/>
        </w:rPr>
        <w:t xml:space="preserve"> </w:t>
      </w:r>
      <w:r>
        <w:t>the</w:t>
      </w:r>
      <w:r>
        <w:rPr>
          <w:spacing w:val="36"/>
        </w:rPr>
        <w:t xml:space="preserve"> </w:t>
      </w:r>
      <w:r>
        <w:rPr>
          <w:spacing w:val="-1"/>
        </w:rPr>
        <w:t>mediation</w:t>
      </w:r>
      <w:r>
        <w:rPr>
          <w:spacing w:val="36"/>
        </w:rPr>
        <w:t xml:space="preserve"> </w:t>
      </w:r>
      <w:r>
        <w:rPr>
          <w:spacing w:val="-1"/>
        </w:rPr>
        <w:t>shall</w:t>
      </w:r>
      <w:r>
        <w:rPr>
          <w:spacing w:val="39"/>
        </w:rPr>
        <w:t xml:space="preserve"> </w:t>
      </w:r>
      <w:r>
        <w:rPr>
          <w:spacing w:val="-1"/>
        </w:rPr>
        <w:t>not</w:t>
      </w:r>
      <w:r>
        <w:rPr>
          <w:spacing w:val="40"/>
        </w:rPr>
        <w:t xml:space="preserve"> </w:t>
      </w:r>
      <w:r>
        <w:rPr>
          <w:spacing w:val="-1"/>
        </w:rPr>
        <w:t>be</w:t>
      </w:r>
      <w:r>
        <w:rPr>
          <w:spacing w:val="38"/>
        </w:rPr>
        <w:t xml:space="preserve"> </w:t>
      </w:r>
      <w:r>
        <w:rPr>
          <w:spacing w:val="-2"/>
        </w:rPr>
        <w:t>legally</w:t>
      </w:r>
      <w:r>
        <w:rPr>
          <w:spacing w:val="36"/>
        </w:rPr>
        <w:t xml:space="preserve"> </w:t>
      </w:r>
      <w:r>
        <w:rPr>
          <w:spacing w:val="-2"/>
        </w:rPr>
        <w:t>binding</w:t>
      </w:r>
      <w:r>
        <w:rPr>
          <w:spacing w:val="41"/>
        </w:rPr>
        <w:t xml:space="preserve"> </w:t>
      </w:r>
      <w:r>
        <w:rPr>
          <w:spacing w:val="-1"/>
        </w:rPr>
        <w:t>until</w:t>
      </w:r>
      <w:r>
        <w:rPr>
          <w:spacing w:val="38"/>
        </w:rPr>
        <w:t xml:space="preserve"> </w:t>
      </w:r>
      <w:r>
        <w:rPr>
          <w:spacing w:val="-1"/>
        </w:rPr>
        <w:t>it</w:t>
      </w:r>
      <w:r>
        <w:rPr>
          <w:spacing w:val="41"/>
        </w:rPr>
        <w:t xml:space="preserve"> </w:t>
      </w:r>
      <w:r>
        <w:rPr>
          <w:spacing w:val="-1"/>
        </w:rPr>
        <w:t>has</w:t>
      </w:r>
      <w:r>
        <w:rPr>
          <w:spacing w:val="46"/>
        </w:rPr>
        <w:t xml:space="preserve"> </w:t>
      </w:r>
      <w:r>
        <w:rPr>
          <w:spacing w:val="-1"/>
        </w:rPr>
        <w:t>been</w:t>
      </w:r>
      <w:r>
        <w:rPr>
          <w:spacing w:val="12"/>
        </w:rPr>
        <w:t xml:space="preserve"> </w:t>
      </w:r>
      <w:r>
        <w:rPr>
          <w:spacing w:val="-1"/>
        </w:rPr>
        <w:t>reduced</w:t>
      </w:r>
      <w:r>
        <w:rPr>
          <w:spacing w:val="12"/>
        </w:rPr>
        <w:t xml:space="preserve"> </w:t>
      </w:r>
      <w:r>
        <w:t>to</w:t>
      </w:r>
      <w:r>
        <w:rPr>
          <w:spacing w:val="12"/>
        </w:rPr>
        <w:t xml:space="preserve"> </w:t>
      </w:r>
      <w:r>
        <w:rPr>
          <w:spacing w:val="-2"/>
        </w:rPr>
        <w:t>writing</w:t>
      </w:r>
      <w:r>
        <w:rPr>
          <w:spacing w:val="15"/>
        </w:rPr>
        <w:t xml:space="preserve"> </w:t>
      </w:r>
      <w:r>
        <w:rPr>
          <w:spacing w:val="-1"/>
        </w:rPr>
        <w:t>and</w:t>
      </w:r>
      <w:r>
        <w:rPr>
          <w:spacing w:val="12"/>
        </w:rPr>
        <w:t xml:space="preserve"> </w:t>
      </w:r>
      <w:r>
        <w:rPr>
          <w:spacing w:val="-1"/>
        </w:rPr>
        <w:t>signed</w:t>
      </w:r>
      <w:r>
        <w:rPr>
          <w:spacing w:val="12"/>
        </w:rPr>
        <w:t xml:space="preserve"> </w:t>
      </w:r>
      <w:r>
        <w:rPr>
          <w:spacing w:val="-2"/>
        </w:rPr>
        <w:t>by,</w:t>
      </w:r>
      <w:r>
        <w:rPr>
          <w:spacing w:val="14"/>
        </w:rPr>
        <w:t xml:space="preserve"> </w:t>
      </w:r>
      <w:r>
        <w:rPr>
          <w:spacing w:val="-1"/>
        </w:rPr>
        <w:t>or</w:t>
      </w:r>
      <w:r>
        <w:rPr>
          <w:spacing w:val="14"/>
        </w:rPr>
        <w:t xml:space="preserve"> </w:t>
      </w:r>
      <w:r>
        <w:rPr>
          <w:spacing w:val="-1"/>
        </w:rPr>
        <w:t>on</w:t>
      </w:r>
      <w:r>
        <w:rPr>
          <w:spacing w:val="12"/>
        </w:rPr>
        <w:t xml:space="preserve"> </w:t>
      </w:r>
      <w:r>
        <w:rPr>
          <w:spacing w:val="-1"/>
        </w:rPr>
        <w:t>behalf</w:t>
      </w:r>
      <w:r>
        <w:rPr>
          <w:spacing w:val="16"/>
        </w:rPr>
        <w:t xml:space="preserve"> </w:t>
      </w:r>
      <w:r>
        <w:rPr>
          <w:spacing w:val="-1"/>
        </w:rPr>
        <w:t>of,</w:t>
      </w:r>
      <w:r>
        <w:rPr>
          <w:spacing w:val="14"/>
        </w:rPr>
        <w:t xml:space="preserve"> </w:t>
      </w:r>
      <w:r>
        <w:t>the</w:t>
      </w:r>
      <w:r>
        <w:rPr>
          <w:spacing w:val="12"/>
        </w:rPr>
        <w:t xml:space="preserve"> </w:t>
      </w:r>
      <w:r>
        <w:rPr>
          <w:spacing w:val="-1"/>
        </w:rPr>
        <w:t>Parties</w:t>
      </w:r>
      <w:r>
        <w:rPr>
          <w:spacing w:val="13"/>
        </w:rPr>
        <w:t xml:space="preserve"> </w:t>
      </w:r>
      <w:r>
        <w:rPr>
          <w:spacing w:val="-1"/>
        </w:rPr>
        <w:t>(in</w:t>
      </w:r>
      <w:r>
        <w:rPr>
          <w:spacing w:val="12"/>
        </w:rPr>
        <w:t xml:space="preserve"> </w:t>
      </w:r>
      <w:r>
        <w:rPr>
          <w:spacing w:val="-1"/>
        </w:rPr>
        <w:t>accordance</w:t>
      </w:r>
      <w:r>
        <w:rPr>
          <w:spacing w:val="55"/>
        </w:rPr>
        <w:t xml:space="preserve"> </w:t>
      </w:r>
      <w:r>
        <w:rPr>
          <w:spacing w:val="-1"/>
        </w:rPr>
        <w:t>with</w:t>
      </w:r>
      <w:r>
        <w:rPr>
          <w:spacing w:val="51"/>
        </w:rPr>
        <w:t xml:space="preserve"> </w:t>
      </w:r>
      <w:r>
        <w:t>the</w:t>
      </w:r>
      <w:r>
        <w:rPr>
          <w:spacing w:val="51"/>
        </w:rPr>
        <w:t xml:space="preserve"> </w:t>
      </w:r>
      <w:r>
        <w:rPr>
          <w:spacing w:val="-1"/>
        </w:rPr>
        <w:t>Variation</w:t>
      </w:r>
      <w:r>
        <w:rPr>
          <w:spacing w:val="51"/>
        </w:rPr>
        <w:t xml:space="preserve"> </w:t>
      </w:r>
      <w:r>
        <w:rPr>
          <w:spacing w:val="-1"/>
        </w:rPr>
        <w:t>Procedure</w:t>
      </w:r>
      <w:r>
        <w:rPr>
          <w:spacing w:val="51"/>
        </w:rPr>
        <w:t xml:space="preserve"> </w:t>
      </w:r>
      <w:r>
        <w:rPr>
          <w:spacing w:val="-2"/>
        </w:rPr>
        <w:t>where</w:t>
      </w:r>
      <w:r>
        <w:rPr>
          <w:spacing w:val="51"/>
        </w:rPr>
        <w:t xml:space="preserve"> </w:t>
      </w:r>
      <w:r>
        <w:rPr>
          <w:spacing w:val="-1"/>
        </w:rPr>
        <w:t>appropriate).</w:t>
      </w:r>
      <w:r>
        <w:rPr>
          <w:spacing w:val="50"/>
        </w:rPr>
        <w:t xml:space="preserve"> </w:t>
      </w:r>
      <w:r>
        <w:t>The</w:t>
      </w:r>
      <w:r>
        <w:rPr>
          <w:spacing w:val="52"/>
        </w:rPr>
        <w:t xml:space="preserve"> </w:t>
      </w:r>
      <w:r>
        <w:rPr>
          <w:spacing w:val="-1"/>
        </w:rPr>
        <w:t>Mediator</w:t>
      </w:r>
      <w:r>
        <w:rPr>
          <w:spacing w:val="52"/>
        </w:rPr>
        <w:t xml:space="preserve"> </w:t>
      </w:r>
      <w:r>
        <w:rPr>
          <w:spacing w:val="-1"/>
        </w:rPr>
        <w:t>shall</w:t>
      </w:r>
      <w:r>
        <w:rPr>
          <w:spacing w:val="52"/>
        </w:rPr>
        <w:t xml:space="preserve"> </w:t>
      </w:r>
      <w:r>
        <w:rPr>
          <w:spacing w:val="-1"/>
        </w:rPr>
        <w:t>assist</w:t>
      </w:r>
      <w:r>
        <w:rPr>
          <w:spacing w:val="53"/>
        </w:rPr>
        <w:t xml:space="preserve"> </w:t>
      </w:r>
      <w:r>
        <w:rPr>
          <w:spacing w:val="-1"/>
        </w:rPr>
        <w:t>the</w:t>
      </w:r>
      <w:r>
        <w:rPr>
          <w:spacing w:val="44"/>
        </w:rPr>
        <w:t xml:space="preserve"> </w:t>
      </w:r>
      <w:r>
        <w:rPr>
          <w:spacing w:val="-1"/>
        </w:rPr>
        <w:t>Parties</w:t>
      </w:r>
      <w:r>
        <w:rPr>
          <w:spacing w:val="1"/>
        </w:rPr>
        <w:t xml:space="preserve"> </w:t>
      </w:r>
      <w:r>
        <w:rPr>
          <w:spacing w:val="-1"/>
        </w:rPr>
        <w:t>in</w:t>
      </w:r>
      <w:r>
        <w:rPr>
          <w:spacing w:val="-2"/>
        </w:rPr>
        <w:t xml:space="preserve"> </w:t>
      </w:r>
      <w:r>
        <w:rPr>
          <w:spacing w:val="-1"/>
        </w:rPr>
        <w:t>recording</w:t>
      </w:r>
      <w:r>
        <w:rPr>
          <w:spacing w:val="1"/>
        </w:rPr>
        <w:t xml:space="preserve"> </w:t>
      </w:r>
      <w:r>
        <w:t>the</w:t>
      </w:r>
      <w:r>
        <w:rPr>
          <w:spacing w:val="-2"/>
        </w:rPr>
        <w:t xml:space="preserve"> </w:t>
      </w:r>
      <w:r>
        <w:rPr>
          <w:spacing w:val="-1"/>
        </w:rPr>
        <w:t>outcome</w:t>
      </w:r>
      <w:r>
        <w:rPr>
          <w:spacing w:val="-2"/>
        </w:rPr>
        <w:t xml:space="preserve"> of</w:t>
      </w:r>
      <w:r>
        <w:t xml:space="preserve"> the</w:t>
      </w:r>
      <w:r>
        <w:rPr>
          <w:spacing w:val="-2"/>
        </w:rPr>
        <w:t xml:space="preserve"> </w:t>
      </w:r>
      <w:r>
        <w:rPr>
          <w:spacing w:val="-1"/>
        </w:rPr>
        <w:t>mediation.</w:t>
      </w:r>
    </w:p>
    <w:p w:rsidR="008918FA" w:rsidRDefault="008918FA" w:rsidP="008918FA">
      <w:pPr>
        <w:pStyle w:val="BodyText"/>
        <w:numPr>
          <w:ilvl w:val="0"/>
          <w:numId w:val="6"/>
        </w:numPr>
        <w:tabs>
          <w:tab w:val="left" w:pos="467"/>
        </w:tabs>
        <w:spacing w:before="117"/>
        <w:rPr>
          <w:rFonts w:ascii="Times New Roman" w:eastAsia="Times New Roman" w:hAnsi="Times New Roman" w:cs="Times New Roman"/>
        </w:rPr>
      </w:pPr>
      <w:bookmarkStart w:id="504" w:name="_bookmark418"/>
      <w:bookmarkEnd w:id="504"/>
      <w:r>
        <w:rPr>
          <w:rFonts w:ascii="Times New Roman"/>
          <w:spacing w:val="-1"/>
        </w:rPr>
        <w:t>EXP</w:t>
      </w:r>
      <w:r>
        <w:rPr>
          <w:rFonts w:ascii="Times New Roman"/>
          <w:spacing w:val="-32"/>
        </w:rPr>
        <w:t xml:space="preserve"> </w:t>
      </w:r>
      <w:r>
        <w:rPr>
          <w:rFonts w:ascii="Times New Roman"/>
          <w:spacing w:val="8"/>
        </w:rPr>
        <w:t>ERT</w:t>
      </w:r>
      <w:r>
        <w:rPr>
          <w:rFonts w:ascii="Times New Roman"/>
          <w:spacing w:val="4"/>
        </w:rPr>
        <w:t xml:space="preserve"> </w:t>
      </w:r>
      <w:r>
        <w:rPr>
          <w:rFonts w:ascii="Times New Roman"/>
        </w:rPr>
        <w:t>DETERMINATION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
        </w:numPr>
        <w:tabs>
          <w:tab w:val="left" w:pos="829"/>
        </w:tabs>
        <w:spacing w:before="0"/>
        <w:ind w:right="112"/>
        <w:jc w:val="both"/>
      </w:pPr>
      <w:r>
        <w:rPr>
          <w:spacing w:val="-1"/>
        </w:rPr>
        <w:t>If</w:t>
      </w:r>
      <w:r>
        <w:rPr>
          <w:spacing w:val="16"/>
        </w:rPr>
        <w:t xml:space="preserve"> </w:t>
      </w:r>
      <w:r>
        <w:t>a</w:t>
      </w:r>
      <w:r>
        <w:rPr>
          <w:spacing w:val="12"/>
        </w:rPr>
        <w:t xml:space="preserve"> </w:t>
      </w:r>
      <w:r>
        <w:rPr>
          <w:spacing w:val="-1"/>
        </w:rPr>
        <w:t>Dispute</w:t>
      </w:r>
      <w:r>
        <w:rPr>
          <w:spacing w:val="10"/>
        </w:rPr>
        <w:t xml:space="preserve"> </w:t>
      </w:r>
      <w:r>
        <w:rPr>
          <w:spacing w:val="-1"/>
        </w:rPr>
        <w:t>relates</w:t>
      </w:r>
      <w:r>
        <w:rPr>
          <w:spacing w:val="10"/>
        </w:rPr>
        <w:t xml:space="preserve"> </w:t>
      </w:r>
      <w:r>
        <w:t>to</w:t>
      </w:r>
      <w:r>
        <w:rPr>
          <w:spacing w:val="12"/>
        </w:rPr>
        <w:t xml:space="preserve"> </w:t>
      </w:r>
      <w:r>
        <w:rPr>
          <w:spacing w:val="-2"/>
        </w:rPr>
        <w:t>any</w:t>
      </w:r>
      <w:r>
        <w:rPr>
          <w:spacing w:val="10"/>
        </w:rPr>
        <w:t xml:space="preserve"> </w:t>
      </w:r>
      <w:r>
        <w:rPr>
          <w:spacing w:val="-1"/>
        </w:rPr>
        <w:t>aspect</w:t>
      </w:r>
      <w:r>
        <w:rPr>
          <w:spacing w:val="14"/>
        </w:rPr>
        <w:t xml:space="preserve"> </w:t>
      </w:r>
      <w:r>
        <w:rPr>
          <w:spacing w:val="-2"/>
        </w:rPr>
        <w:t>of</w:t>
      </w:r>
      <w:r>
        <w:rPr>
          <w:spacing w:val="16"/>
        </w:rPr>
        <w:t xml:space="preserve"> </w:t>
      </w:r>
      <w:r>
        <w:t>the</w:t>
      </w:r>
      <w:r>
        <w:rPr>
          <w:spacing w:val="10"/>
        </w:rPr>
        <w:t xml:space="preserve"> </w:t>
      </w:r>
      <w:r>
        <w:rPr>
          <w:spacing w:val="-1"/>
        </w:rPr>
        <w:t>technology</w:t>
      </w:r>
      <w:r>
        <w:rPr>
          <w:spacing w:val="10"/>
        </w:rPr>
        <w:t xml:space="preserve"> </w:t>
      </w:r>
      <w:r>
        <w:rPr>
          <w:spacing w:val="-2"/>
        </w:rPr>
        <w:t>underlying</w:t>
      </w:r>
      <w:r>
        <w:rPr>
          <w:spacing w:val="15"/>
        </w:rPr>
        <w:t xml:space="preserve"> </w:t>
      </w:r>
      <w:r>
        <w:t>the</w:t>
      </w:r>
      <w:r>
        <w:rPr>
          <w:spacing w:val="12"/>
        </w:rPr>
        <w:t xml:space="preserve"> </w:t>
      </w:r>
      <w:r>
        <w:rPr>
          <w:spacing w:val="-2"/>
        </w:rPr>
        <w:t>provision</w:t>
      </w:r>
      <w:r>
        <w:rPr>
          <w:spacing w:val="12"/>
        </w:rPr>
        <w:t xml:space="preserve"> </w:t>
      </w:r>
      <w:r>
        <w:rPr>
          <w:spacing w:val="-2"/>
        </w:rPr>
        <w:t>of</w:t>
      </w:r>
      <w:r>
        <w:rPr>
          <w:spacing w:val="16"/>
        </w:rPr>
        <w:t xml:space="preserve"> </w:t>
      </w:r>
      <w:r>
        <w:rPr>
          <w:spacing w:val="-1"/>
        </w:rPr>
        <w:t>the</w:t>
      </w:r>
      <w:r>
        <w:rPr>
          <w:spacing w:val="68"/>
        </w:rPr>
        <w:t xml:space="preserve"> </w:t>
      </w:r>
      <w:r>
        <w:rPr>
          <w:spacing w:val="-1"/>
        </w:rPr>
        <w:t>Goods</w:t>
      </w:r>
      <w:r>
        <w:rPr>
          <w:spacing w:val="13"/>
        </w:rPr>
        <w:t xml:space="preserve"> </w:t>
      </w:r>
      <w:r>
        <w:rPr>
          <w:spacing w:val="-1"/>
        </w:rPr>
        <w:t>and/or</w:t>
      </w:r>
      <w:r>
        <w:rPr>
          <w:spacing w:val="11"/>
        </w:rPr>
        <w:t xml:space="preserve"> </w:t>
      </w:r>
      <w:r>
        <w:rPr>
          <w:spacing w:val="-1"/>
        </w:rPr>
        <w:t>Services</w:t>
      </w:r>
      <w:r>
        <w:rPr>
          <w:spacing w:val="10"/>
        </w:rPr>
        <w:t xml:space="preserve"> </w:t>
      </w:r>
      <w:r>
        <w:rPr>
          <w:spacing w:val="-1"/>
        </w:rPr>
        <w:t>or</w:t>
      </w:r>
      <w:r>
        <w:rPr>
          <w:spacing w:val="14"/>
        </w:rPr>
        <w:t xml:space="preserve"> </w:t>
      </w:r>
      <w:r>
        <w:rPr>
          <w:spacing w:val="-2"/>
        </w:rPr>
        <w:t>otherwise</w:t>
      </w:r>
      <w:r>
        <w:rPr>
          <w:spacing w:val="13"/>
        </w:rPr>
        <w:t xml:space="preserve"> </w:t>
      </w:r>
      <w:r>
        <w:rPr>
          <w:spacing w:val="-1"/>
        </w:rPr>
        <w:t>relates</w:t>
      </w:r>
      <w:r>
        <w:rPr>
          <w:spacing w:val="10"/>
        </w:rPr>
        <w:t xml:space="preserve"> </w:t>
      </w:r>
      <w:r>
        <w:t>to</w:t>
      </w:r>
      <w:r>
        <w:rPr>
          <w:spacing w:val="12"/>
        </w:rPr>
        <w:t xml:space="preserve"> </w:t>
      </w:r>
      <w:r>
        <w:t>a</w:t>
      </w:r>
      <w:r>
        <w:rPr>
          <w:spacing w:val="7"/>
        </w:rPr>
        <w:t xml:space="preserve"> </w:t>
      </w:r>
      <w:r>
        <w:rPr>
          <w:spacing w:val="-1"/>
        </w:rPr>
        <w:t>financial</w:t>
      </w:r>
      <w:r>
        <w:rPr>
          <w:spacing w:val="12"/>
        </w:rPr>
        <w:t xml:space="preserve"> </w:t>
      </w:r>
      <w:r>
        <w:rPr>
          <w:spacing w:val="-1"/>
        </w:rPr>
        <w:t>technical</w:t>
      </w:r>
      <w:r>
        <w:rPr>
          <w:spacing w:val="12"/>
        </w:rPr>
        <w:t xml:space="preserve"> </w:t>
      </w:r>
      <w:r>
        <w:rPr>
          <w:spacing w:val="-1"/>
        </w:rPr>
        <w:t>or</w:t>
      </w:r>
      <w:r>
        <w:rPr>
          <w:spacing w:val="11"/>
        </w:rPr>
        <w:t xml:space="preserve"> </w:t>
      </w:r>
      <w:r>
        <w:rPr>
          <w:spacing w:val="-1"/>
        </w:rPr>
        <w:t>other</w:t>
      </w:r>
      <w:r>
        <w:rPr>
          <w:spacing w:val="14"/>
        </w:rPr>
        <w:t xml:space="preserve"> </w:t>
      </w:r>
      <w:r>
        <w:rPr>
          <w:spacing w:val="-1"/>
        </w:rPr>
        <w:t>aspect</w:t>
      </w:r>
      <w:r>
        <w:rPr>
          <w:spacing w:val="51"/>
        </w:rPr>
        <w:t xml:space="preserve"> </w:t>
      </w:r>
      <w:r>
        <w:rPr>
          <w:spacing w:val="-2"/>
        </w:rPr>
        <w:t>of</w:t>
      </w:r>
      <w:r>
        <w:rPr>
          <w:spacing w:val="42"/>
        </w:rPr>
        <w:t xml:space="preserve"> </w:t>
      </w:r>
      <w:r>
        <w:t>a</w:t>
      </w:r>
      <w:r>
        <w:rPr>
          <w:spacing w:val="38"/>
        </w:rPr>
        <w:t xml:space="preserve"> </w:t>
      </w:r>
      <w:r>
        <w:rPr>
          <w:spacing w:val="-1"/>
        </w:rPr>
        <w:t>technical</w:t>
      </w:r>
      <w:r>
        <w:rPr>
          <w:spacing w:val="38"/>
        </w:rPr>
        <w:t xml:space="preserve"> </w:t>
      </w:r>
      <w:r>
        <w:rPr>
          <w:spacing w:val="-1"/>
        </w:rPr>
        <w:t>nature</w:t>
      </w:r>
      <w:r>
        <w:rPr>
          <w:spacing w:val="36"/>
        </w:rPr>
        <w:t xml:space="preserve"> </w:t>
      </w:r>
      <w:r>
        <w:rPr>
          <w:spacing w:val="-1"/>
        </w:rPr>
        <w:t>(as</w:t>
      </w:r>
      <w:r>
        <w:rPr>
          <w:spacing w:val="39"/>
        </w:rPr>
        <w:t xml:space="preserve"> </w:t>
      </w:r>
      <w:r>
        <w:t>the</w:t>
      </w:r>
      <w:r>
        <w:rPr>
          <w:spacing w:val="39"/>
        </w:rPr>
        <w:t xml:space="preserve"> </w:t>
      </w:r>
      <w:r>
        <w:rPr>
          <w:spacing w:val="-1"/>
        </w:rPr>
        <w:t>Parties</w:t>
      </w:r>
      <w:r>
        <w:rPr>
          <w:spacing w:val="40"/>
        </w:rPr>
        <w:t xml:space="preserve"> </w:t>
      </w:r>
      <w:r>
        <w:rPr>
          <w:spacing w:val="-1"/>
        </w:rPr>
        <w:t>may</w:t>
      </w:r>
      <w:r>
        <w:rPr>
          <w:spacing w:val="36"/>
        </w:rPr>
        <w:t xml:space="preserve"> </w:t>
      </w:r>
      <w:r>
        <w:rPr>
          <w:spacing w:val="-1"/>
        </w:rPr>
        <w:t>agree)</w:t>
      </w:r>
      <w:r>
        <w:rPr>
          <w:spacing w:val="40"/>
        </w:rPr>
        <w:t xml:space="preserve"> </w:t>
      </w:r>
      <w:r>
        <w:rPr>
          <w:spacing w:val="-1"/>
        </w:rPr>
        <w:t>and</w:t>
      </w:r>
      <w:r>
        <w:rPr>
          <w:spacing w:val="38"/>
        </w:rPr>
        <w:t xml:space="preserve"> </w:t>
      </w:r>
      <w:r>
        <w:t>the</w:t>
      </w:r>
      <w:r>
        <w:rPr>
          <w:spacing w:val="38"/>
        </w:rPr>
        <w:t xml:space="preserve"> </w:t>
      </w:r>
      <w:r>
        <w:rPr>
          <w:spacing w:val="-1"/>
        </w:rPr>
        <w:t>Dispute</w:t>
      </w:r>
      <w:r>
        <w:rPr>
          <w:spacing w:val="39"/>
        </w:rPr>
        <w:t xml:space="preserve"> </w:t>
      </w:r>
      <w:r>
        <w:rPr>
          <w:spacing w:val="-1"/>
        </w:rPr>
        <w:t>has</w:t>
      </w:r>
      <w:r>
        <w:rPr>
          <w:spacing w:val="37"/>
        </w:rPr>
        <w:t xml:space="preserve"> </w:t>
      </w:r>
      <w:r>
        <w:rPr>
          <w:spacing w:val="-1"/>
        </w:rPr>
        <w:t>not</w:t>
      </w:r>
      <w:r>
        <w:rPr>
          <w:spacing w:val="40"/>
        </w:rPr>
        <w:t xml:space="preserve"> </w:t>
      </w:r>
      <w:r>
        <w:rPr>
          <w:spacing w:val="-1"/>
        </w:rPr>
        <w:t>been</w:t>
      </w:r>
      <w:r>
        <w:rPr>
          <w:spacing w:val="26"/>
        </w:rPr>
        <w:t xml:space="preserve"> </w:t>
      </w:r>
      <w:r>
        <w:rPr>
          <w:spacing w:val="-1"/>
        </w:rPr>
        <w:t>resolved</w:t>
      </w:r>
      <w:r>
        <w:rPr>
          <w:spacing w:val="12"/>
        </w:rPr>
        <w:t xml:space="preserve"> </w:t>
      </w:r>
      <w:r>
        <w:rPr>
          <w:spacing w:val="-1"/>
        </w:rPr>
        <w:t>by</w:t>
      </w:r>
      <w:r>
        <w:rPr>
          <w:spacing w:val="10"/>
        </w:rPr>
        <w:t xml:space="preserve"> </w:t>
      </w:r>
      <w:r>
        <w:rPr>
          <w:spacing w:val="-1"/>
        </w:rPr>
        <w:t>discussion</w:t>
      </w:r>
      <w:r>
        <w:rPr>
          <w:spacing w:val="12"/>
        </w:rPr>
        <w:t xml:space="preserve"> </w:t>
      </w:r>
      <w:r>
        <w:rPr>
          <w:spacing w:val="-1"/>
        </w:rPr>
        <w:t>or</w:t>
      </w:r>
      <w:r>
        <w:rPr>
          <w:spacing w:val="14"/>
        </w:rPr>
        <w:t xml:space="preserve"> </w:t>
      </w:r>
      <w:r>
        <w:rPr>
          <w:spacing w:val="-1"/>
        </w:rPr>
        <w:t>mediation,</w:t>
      </w:r>
      <w:r>
        <w:rPr>
          <w:spacing w:val="11"/>
        </w:rPr>
        <w:t xml:space="preserve"> </w:t>
      </w:r>
      <w:r>
        <w:rPr>
          <w:spacing w:val="-1"/>
        </w:rPr>
        <w:t>then</w:t>
      </w:r>
      <w:r>
        <w:rPr>
          <w:spacing w:val="12"/>
        </w:rPr>
        <w:t xml:space="preserve"> </w:t>
      </w:r>
      <w:r>
        <w:rPr>
          <w:spacing w:val="-1"/>
        </w:rPr>
        <w:t>either</w:t>
      </w:r>
      <w:r>
        <w:rPr>
          <w:spacing w:val="11"/>
        </w:rPr>
        <w:t xml:space="preserve"> </w:t>
      </w:r>
      <w:r>
        <w:rPr>
          <w:spacing w:val="-1"/>
        </w:rPr>
        <w:t>Party</w:t>
      </w:r>
      <w:r>
        <w:rPr>
          <w:spacing w:val="10"/>
        </w:rPr>
        <w:t xml:space="preserve"> </w:t>
      </w:r>
      <w:r>
        <w:rPr>
          <w:spacing w:val="-1"/>
        </w:rPr>
        <w:t>may</w:t>
      </w:r>
      <w:r>
        <w:rPr>
          <w:spacing w:val="10"/>
        </w:rPr>
        <w:t xml:space="preserve"> </w:t>
      </w:r>
      <w:r>
        <w:rPr>
          <w:spacing w:val="-1"/>
        </w:rPr>
        <w:t>request</w:t>
      </w:r>
      <w:r>
        <w:rPr>
          <w:spacing w:val="11"/>
        </w:rPr>
        <w:t xml:space="preserve"> </w:t>
      </w:r>
      <w:r>
        <w:rPr>
          <w:spacing w:val="-1"/>
        </w:rPr>
        <w:t>(which</w:t>
      </w:r>
      <w:r>
        <w:rPr>
          <w:spacing w:val="12"/>
        </w:rPr>
        <w:t xml:space="preserve"> </w:t>
      </w:r>
      <w:r>
        <w:rPr>
          <w:spacing w:val="-1"/>
        </w:rPr>
        <w:t>request</w:t>
      </w:r>
      <w:r>
        <w:rPr>
          <w:spacing w:val="31"/>
        </w:rPr>
        <w:t xml:space="preserve"> </w:t>
      </w:r>
      <w:r>
        <w:rPr>
          <w:spacing w:val="-2"/>
        </w:rPr>
        <w:t>will</w:t>
      </w:r>
      <w:r>
        <w:rPr>
          <w:spacing w:val="7"/>
        </w:rPr>
        <w:t xml:space="preserve"> </w:t>
      </w:r>
      <w:r>
        <w:rPr>
          <w:spacing w:val="-1"/>
        </w:rPr>
        <w:t>not</w:t>
      </w:r>
      <w:r>
        <w:rPr>
          <w:spacing w:val="9"/>
        </w:rPr>
        <w:t xml:space="preserve"> </w:t>
      </w:r>
      <w:r>
        <w:rPr>
          <w:spacing w:val="-1"/>
        </w:rPr>
        <w:t>be</w:t>
      </w:r>
      <w:r>
        <w:rPr>
          <w:spacing w:val="7"/>
        </w:rPr>
        <w:t xml:space="preserve"> </w:t>
      </w:r>
      <w:r>
        <w:rPr>
          <w:spacing w:val="-1"/>
        </w:rPr>
        <w:t>unreasonably</w:t>
      </w:r>
      <w:r>
        <w:rPr>
          <w:spacing w:val="5"/>
        </w:rPr>
        <w:t xml:space="preserve"> </w:t>
      </w:r>
      <w:r>
        <w:rPr>
          <w:spacing w:val="-1"/>
        </w:rPr>
        <w:t>withheld</w:t>
      </w:r>
      <w:r>
        <w:rPr>
          <w:spacing w:val="7"/>
        </w:rPr>
        <w:t xml:space="preserve"> </w:t>
      </w:r>
      <w:r>
        <w:rPr>
          <w:spacing w:val="-1"/>
        </w:rPr>
        <w:t>or</w:t>
      </w:r>
      <w:r>
        <w:rPr>
          <w:spacing w:val="9"/>
        </w:rPr>
        <w:t xml:space="preserve"> </w:t>
      </w:r>
      <w:r>
        <w:rPr>
          <w:spacing w:val="-2"/>
        </w:rPr>
        <w:t>delayed)</w:t>
      </w:r>
      <w:r>
        <w:rPr>
          <w:spacing w:val="9"/>
        </w:rPr>
        <w:t xml:space="preserve"> </w:t>
      </w:r>
      <w:r>
        <w:rPr>
          <w:spacing w:val="-1"/>
        </w:rPr>
        <w:t>by</w:t>
      </w:r>
      <w:r>
        <w:rPr>
          <w:spacing w:val="11"/>
        </w:rPr>
        <w:t xml:space="preserve"> </w:t>
      </w:r>
      <w:r>
        <w:rPr>
          <w:spacing w:val="-1"/>
        </w:rPr>
        <w:t>written</w:t>
      </w:r>
      <w:r>
        <w:rPr>
          <w:spacing w:val="7"/>
        </w:rPr>
        <w:t xml:space="preserve"> </w:t>
      </w:r>
      <w:r>
        <w:rPr>
          <w:spacing w:val="-1"/>
        </w:rPr>
        <w:t>notice</w:t>
      </w:r>
      <w:r>
        <w:rPr>
          <w:spacing w:val="8"/>
        </w:rPr>
        <w:t xml:space="preserve"> </w:t>
      </w:r>
      <w:r>
        <w:t>to</w:t>
      </w:r>
      <w:r>
        <w:rPr>
          <w:spacing w:val="5"/>
        </w:rPr>
        <w:t xml:space="preserve"> </w:t>
      </w:r>
      <w:r>
        <w:rPr>
          <w:spacing w:val="-1"/>
        </w:rPr>
        <w:t>the</w:t>
      </w:r>
      <w:r>
        <w:rPr>
          <w:spacing w:val="7"/>
        </w:rPr>
        <w:t xml:space="preserve"> </w:t>
      </w:r>
      <w:r>
        <w:rPr>
          <w:spacing w:val="-2"/>
        </w:rPr>
        <w:t>other</w:t>
      </w:r>
      <w:r>
        <w:rPr>
          <w:spacing w:val="9"/>
        </w:rPr>
        <w:t xml:space="preserve"> </w:t>
      </w:r>
      <w:r>
        <w:rPr>
          <w:spacing w:val="-1"/>
        </w:rPr>
        <w:t>that</w:t>
      </w:r>
      <w:r>
        <w:rPr>
          <w:spacing w:val="7"/>
        </w:rPr>
        <w:t xml:space="preserve"> </w:t>
      </w:r>
      <w:r>
        <w:rPr>
          <w:spacing w:val="-1"/>
        </w:rPr>
        <w:t>the</w:t>
      </w:r>
      <w:r>
        <w:rPr>
          <w:spacing w:val="56"/>
        </w:rPr>
        <w:t xml:space="preserve"> </w:t>
      </w:r>
      <w:r>
        <w:rPr>
          <w:spacing w:val="-1"/>
        </w:rPr>
        <w:t>Dispute</w:t>
      </w:r>
      <w:r>
        <w:t xml:space="preserve"> </w:t>
      </w:r>
      <w:r>
        <w:rPr>
          <w:spacing w:val="-1"/>
        </w:rPr>
        <w:t>is</w:t>
      </w:r>
      <w:r>
        <w:rPr>
          <w:spacing w:val="1"/>
        </w:rPr>
        <w:t xml:space="preserve"> </w:t>
      </w:r>
      <w:r>
        <w:rPr>
          <w:spacing w:val="-1"/>
        </w:rPr>
        <w:t>referred</w:t>
      </w:r>
      <w:r>
        <w:rPr>
          <w:spacing w:val="-2"/>
        </w:rPr>
        <w:t xml:space="preserve"> </w:t>
      </w:r>
      <w:r>
        <w:t>to</w:t>
      </w:r>
      <w:r>
        <w:rPr>
          <w:spacing w:val="-2"/>
        </w:rPr>
        <w:t xml:space="preserve"> </w:t>
      </w:r>
      <w:r>
        <w:rPr>
          <w:spacing w:val="-1"/>
        </w:rPr>
        <w:t>an</w:t>
      </w:r>
      <w:r>
        <w:rPr>
          <w:spacing w:val="-2"/>
        </w:rPr>
        <w:t xml:space="preserve"> </w:t>
      </w:r>
      <w:r>
        <w:rPr>
          <w:spacing w:val="-1"/>
        </w:rPr>
        <w:t>Expert</w:t>
      </w:r>
      <w:r>
        <w:t xml:space="preserve"> for</w:t>
      </w:r>
      <w:r>
        <w:rPr>
          <w:spacing w:val="2"/>
        </w:rPr>
        <w:t xml:space="preserve"> </w:t>
      </w:r>
      <w:r>
        <w:rPr>
          <w:spacing w:val="-1"/>
        </w:rPr>
        <w:t>determination.</w:t>
      </w:r>
    </w:p>
    <w:p w:rsidR="008918FA" w:rsidRDefault="008918FA" w:rsidP="008918FA">
      <w:pPr>
        <w:pStyle w:val="BodyText"/>
        <w:numPr>
          <w:ilvl w:val="1"/>
          <w:numId w:val="6"/>
        </w:numPr>
        <w:tabs>
          <w:tab w:val="left" w:pos="829"/>
        </w:tabs>
        <w:ind w:right="112"/>
        <w:jc w:val="both"/>
      </w:pPr>
      <w:bookmarkStart w:id="505" w:name="_bookmark419"/>
      <w:bookmarkEnd w:id="505"/>
      <w:r>
        <w:t>The</w:t>
      </w:r>
      <w:r>
        <w:rPr>
          <w:spacing w:val="15"/>
        </w:rPr>
        <w:t xml:space="preserve"> </w:t>
      </w:r>
      <w:r>
        <w:rPr>
          <w:spacing w:val="-1"/>
        </w:rPr>
        <w:t>Expert</w:t>
      </w:r>
      <w:r>
        <w:rPr>
          <w:spacing w:val="14"/>
        </w:rPr>
        <w:t xml:space="preserve"> </w:t>
      </w:r>
      <w:r>
        <w:rPr>
          <w:spacing w:val="-1"/>
        </w:rPr>
        <w:t>shall</w:t>
      </w:r>
      <w:r>
        <w:rPr>
          <w:spacing w:val="14"/>
        </w:rPr>
        <w:t xml:space="preserve"> </w:t>
      </w:r>
      <w:r>
        <w:rPr>
          <w:spacing w:val="-1"/>
        </w:rPr>
        <w:t>be</w:t>
      </w:r>
      <w:r>
        <w:rPr>
          <w:spacing w:val="15"/>
        </w:rPr>
        <w:t xml:space="preserve"> </w:t>
      </w:r>
      <w:r>
        <w:rPr>
          <w:spacing w:val="-1"/>
        </w:rPr>
        <w:t>appointed</w:t>
      </w:r>
      <w:r>
        <w:rPr>
          <w:spacing w:val="15"/>
        </w:rPr>
        <w:t xml:space="preserve"> </w:t>
      </w:r>
      <w:r>
        <w:rPr>
          <w:spacing w:val="-1"/>
        </w:rPr>
        <w:t>by</w:t>
      </w:r>
      <w:r>
        <w:rPr>
          <w:spacing w:val="13"/>
        </w:rPr>
        <w:t xml:space="preserve"> </w:t>
      </w:r>
      <w:r>
        <w:rPr>
          <w:spacing w:val="-1"/>
        </w:rPr>
        <w:t>agreement</w:t>
      </w:r>
      <w:r>
        <w:rPr>
          <w:spacing w:val="16"/>
        </w:rPr>
        <w:t xml:space="preserve"> </w:t>
      </w:r>
      <w:r>
        <w:rPr>
          <w:spacing w:val="-1"/>
        </w:rPr>
        <w:t>in</w:t>
      </w:r>
      <w:r>
        <w:rPr>
          <w:spacing w:val="12"/>
        </w:rPr>
        <w:t xml:space="preserve"> </w:t>
      </w:r>
      <w:r>
        <w:rPr>
          <w:spacing w:val="-2"/>
        </w:rPr>
        <w:t>writing</w:t>
      </w:r>
      <w:r>
        <w:rPr>
          <w:spacing w:val="17"/>
        </w:rPr>
        <w:t xml:space="preserve"> </w:t>
      </w:r>
      <w:r>
        <w:rPr>
          <w:spacing w:val="-1"/>
        </w:rPr>
        <w:t>between</w:t>
      </w:r>
      <w:r>
        <w:rPr>
          <w:spacing w:val="15"/>
        </w:rPr>
        <w:t xml:space="preserve"> </w:t>
      </w:r>
      <w:r>
        <w:t>the</w:t>
      </w:r>
      <w:r>
        <w:rPr>
          <w:spacing w:val="15"/>
        </w:rPr>
        <w:t xml:space="preserve"> </w:t>
      </w:r>
      <w:r>
        <w:rPr>
          <w:spacing w:val="-1"/>
        </w:rPr>
        <w:t>Parties,</w:t>
      </w:r>
      <w:r>
        <w:rPr>
          <w:spacing w:val="17"/>
        </w:rPr>
        <w:t xml:space="preserve"> </w:t>
      </w:r>
      <w:r>
        <w:rPr>
          <w:spacing w:val="-1"/>
        </w:rPr>
        <w:t>but</w:t>
      </w:r>
      <w:r>
        <w:rPr>
          <w:spacing w:val="14"/>
        </w:rPr>
        <w:t xml:space="preserve"> </w:t>
      </w:r>
      <w:r>
        <w:rPr>
          <w:spacing w:val="-1"/>
        </w:rPr>
        <w:t>in</w:t>
      </w:r>
      <w:r>
        <w:rPr>
          <w:spacing w:val="33"/>
        </w:rPr>
        <w:t xml:space="preserve"> </w:t>
      </w:r>
      <w:r>
        <w:t>the</w:t>
      </w:r>
      <w:r>
        <w:rPr>
          <w:spacing w:val="55"/>
        </w:rPr>
        <w:t xml:space="preserve"> </w:t>
      </w:r>
      <w:r>
        <w:rPr>
          <w:spacing w:val="-2"/>
        </w:rPr>
        <w:t>event</w:t>
      </w:r>
      <w:r>
        <w:rPr>
          <w:spacing w:val="57"/>
        </w:rPr>
        <w:t xml:space="preserve"> </w:t>
      </w:r>
      <w:r>
        <w:rPr>
          <w:spacing w:val="-1"/>
        </w:rPr>
        <w:t>of</w:t>
      </w:r>
      <w:r>
        <w:rPr>
          <w:spacing w:val="59"/>
        </w:rPr>
        <w:t xml:space="preserve"> </w:t>
      </w:r>
      <w:r>
        <w:t>a</w:t>
      </w:r>
      <w:r>
        <w:rPr>
          <w:spacing w:val="53"/>
        </w:rPr>
        <w:t xml:space="preserve"> </w:t>
      </w:r>
      <w:r>
        <w:rPr>
          <w:spacing w:val="-1"/>
        </w:rPr>
        <w:t>failure</w:t>
      </w:r>
      <w:r>
        <w:rPr>
          <w:spacing w:val="55"/>
        </w:rPr>
        <w:t xml:space="preserve"> </w:t>
      </w:r>
      <w:r>
        <w:rPr>
          <w:spacing w:val="-1"/>
        </w:rPr>
        <w:t>to</w:t>
      </w:r>
      <w:r>
        <w:rPr>
          <w:spacing w:val="55"/>
        </w:rPr>
        <w:t xml:space="preserve"> </w:t>
      </w:r>
      <w:r>
        <w:t>agree</w:t>
      </w:r>
      <w:r>
        <w:rPr>
          <w:spacing w:val="56"/>
        </w:rPr>
        <w:t xml:space="preserve"> </w:t>
      </w:r>
      <w:r>
        <w:rPr>
          <w:spacing w:val="-2"/>
        </w:rPr>
        <w:t>within</w:t>
      </w:r>
      <w:r>
        <w:rPr>
          <w:spacing w:val="55"/>
        </w:rPr>
        <w:t xml:space="preserve"> </w:t>
      </w:r>
      <w:r>
        <w:t>ten</w:t>
      </w:r>
      <w:r>
        <w:rPr>
          <w:spacing w:val="55"/>
        </w:rPr>
        <w:t xml:space="preserve"> </w:t>
      </w:r>
      <w:r>
        <w:rPr>
          <w:spacing w:val="-1"/>
        </w:rPr>
        <w:t>(10)</w:t>
      </w:r>
      <w:r>
        <w:rPr>
          <w:spacing w:val="-5"/>
        </w:rPr>
        <w:t xml:space="preserve"> </w:t>
      </w:r>
      <w:r>
        <w:rPr>
          <w:spacing w:val="-1"/>
        </w:rPr>
        <w:t>Working</w:t>
      </w:r>
      <w:r>
        <w:rPr>
          <w:spacing w:val="58"/>
        </w:rPr>
        <w:t xml:space="preserve"> </w:t>
      </w:r>
      <w:r>
        <w:rPr>
          <w:spacing w:val="-2"/>
        </w:rPr>
        <w:t>Days,</w:t>
      </w:r>
      <w:r>
        <w:rPr>
          <w:spacing w:val="57"/>
        </w:rPr>
        <w:t xml:space="preserve"> </w:t>
      </w:r>
      <w:r>
        <w:rPr>
          <w:spacing w:val="-1"/>
        </w:rPr>
        <w:t>or</w:t>
      </w:r>
      <w:r>
        <w:rPr>
          <w:spacing w:val="57"/>
        </w:rPr>
        <w:t xml:space="preserve"> </w:t>
      </w:r>
      <w:r>
        <w:rPr>
          <w:spacing w:val="-2"/>
        </w:rPr>
        <w:t>if</w:t>
      </w:r>
      <w:r>
        <w:rPr>
          <w:spacing w:val="60"/>
        </w:rPr>
        <w:t xml:space="preserve"> </w:t>
      </w:r>
      <w:r>
        <w:rPr>
          <w:spacing w:val="-1"/>
        </w:rPr>
        <w:t>the</w:t>
      </w:r>
      <w:r>
        <w:rPr>
          <w:spacing w:val="55"/>
        </w:rPr>
        <w:t xml:space="preserve"> </w:t>
      </w:r>
      <w:r>
        <w:rPr>
          <w:spacing w:val="-1"/>
        </w:rPr>
        <w:t>person</w:t>
      </w:r>
      <w:r>
        <w:rPr>
          <w:spacing w:val="57"/>
        </w:rPr>
        <w:t xml:space="preserve"> </w:t>
      </w:r>
      <w:r>
        <w:rPr>
          <w:spacing w:val="-1"/>
        </w:rPr>
        <w:t>appointed</w:t>
      </w:r>
      <w:r>
        <w:rPr>
          <w:spacing w:val="60"/>
        </w:rPr>
        <w:t xml:space="preserve"> </w:t>
      </w:r>
      <w:r>
        <w:rPr>
          <w:spacing w:val="-1"/>
        </w:rPr>
        <w:t>is</w:t>
      </w:r>
      <w:r>
        <w:t xml:space="preserve"> </w:t>
      </w:r>
      <w:r>
        <w:rPr>
          <w:spacing w:val="-1"/>
        </w:rPr>
        <w:t>unable</w:t>
      </w:r>
      <w:r>
        <w:rPr>
          <w:spacing w:val="60"/>
        </w:rPr>
        <w:t xml:space="preserve"> </w:t>
      </w:r>
      <w:r>
        <w:rPr>
          <w:spacing w:val="-1"/>
        </w:rPr>
        <w:t>or</w:t>
      </w:r>
      <w:r>
        <w:rPr>
          <w:spacing w:val="3"/>
        </w:rPr>
        <w:t xml:space="preserve"> </w:t>
      </w:r>
      <w:r>
        <w:rPr>
          <w:spacing w:val="-1"/>
        </w:rPr>
        <w:t>unwilling</w:t>
      </w:r>
      <w:r>
        <w:rPr>
          <w:spacing w:val="2"/>
        </w:rPr>
        <w:t xml:space="preserve"> </w:t>
      </w:r>
      <w:r>
        <w:t>to</w:t>
      </w:r>
      <w:r>
        <w:rPr>
          <w:spacing w:val="60"/>
        </w:rPr>
        <w:t xml:space="preserve"> </w:t>
      </w:r>
      <w:r>
        <w:rPr>
          <w:spacing w:val="-1"/>
        </w:rPr>
        <w:t>act,</w:t>
      </w:r>
      <w:r>
        <w:rPr>
          <w:spacing w:val="1"/>
        </w:rPr>
        <w:t xml:space="preserve"> </w:t>
      </w:r>
      <w:r>
        <w:t>the</w:t>
      </w:r>
      <w:r>
        <w:rPr>
          <w:spacing w:val="60"/>
        </w:rPr>
        <w:t xml:space="preserve"> </w:t>
      </w:r>
      <w:r>
        <w:rPr>
          <w:spacing w:val="-2"/>
        </w:rPr>
        <w:t>Expert</w:t>
      </w:r>
      <w:r>
        <w:rPr>
          <w:spacing w:val="1"/>
        </w:rPr>
        <w:t xml:space="preserve"> </w:t>
      </w:r>
      <w:r>
        <w:rPr>
          <w:spacing w:val="-1"/>
        </w:rPr>
        <w:t>shall</w:t>
      </w:r>
      <w:r>
        <w:rPr>
          <w:spacing w:val="59"/>
        </w:rPr>
        <w:t xml:space="preserve"> </w:t>
      </w:r>
      <w:r>
        <w:rPr>
          <w:spacing w:val="-1"/>
        </w:rPr>
        <w:t>be</w:t>
      </w:r>
      <w:r>
        <w:rPr>
          <w:spacing w:val="60"/>
        </w:rPr>
        <w:t xml:space="preserve"> </w:t>
      </w:r>
      <w:r>
        <w:rPr>
          <w:spacing w:val="-1"/>
        </w:rPr>
        <w:t>appointed</w:t>
      </w:r>
      <w:r>
        <w:rPr>
          <w:spacing w:val="61"/>
        </w:rPr>
        <w:t xml:space="preserve"> </w:t>
      </w:r>
      <w:r>
        <w:rPr>
          <w:spacing w:val="-1"/>
        </w:rPr>
        <w:t>on</w:t>
      </w:r>
      <w:r>
        <w:rPr>
          <w:spacing w:val="60"/>
        </w:rPr>
        <w:t xml:space="preserve"> </w:t>
      </w:r>
      <w:r>
        <w:rPr>
          <w:spacing w:val="-1"/>
        </w:rPr>
        <w:t>the</w:t>
      </w:r>
      <w:r>
        <w:rPr>
          <w:spacing w:val="40"/>
        </w:rPr>
        <w:t xml:space="preserve"> </w:t>
      </w:r>
      <w:r>
        <w:rPr>
          <w:spacing w:val="-1"/>
        </w:rPr>
        <w:t>instructions</w:t>
      </w:r>
      <w:r>
        <w:rPr>
          <w:spacing w:val="1"/>
        </w:rPr>
        <w:t xml:space="preserve"> </w:t>
      </w:r>
      <w:r>
        <w:rPr>
          <w:spacing w:val="-2"/>
        </w:rPr>
        <w:t>of</w:t>
      </w:r>
      <w:r>
        <w:rPr>
          <w:spacing w:val="2"/>
        </w:rPr>
        <w:t xml:space="preserve"> </w:t>
      </w:r>
      <w:r>
        <w:rPr>
          <w:spacing w:val="-1"/>
        </w:rPr>
        <w:t>the</w:t>
      </w:r>
      <w:r>
        <w:rPr>
          <w:spacing w:val="-2"/>
        </w:rPr>
        <w:t xml:space="preserve"> </w:t>
      </w:r>
      <w:r>
        <w:rPr>
          <w:spacing w:val="-1"/>
        </w:rPr>
        <w:t>relevant</w:t>
      </w:r>
      <w:r>
        <w:rPr>
          <w:spacing w:val="2"/>
        </w:rPr>
        <w:t xml:space="preserve"> </w:t>
      </w:r>
      <w:r>
        <w:rPr>
          <w:spacing w:val="-1"/>
        </w:rPr>
        <w:t>professional</w:t>
      </w:r>
      <w:r>
        <w:t xml:space="preserve"> </w:t>
      </w:r>
      <w:r>
        <w:rPr>
          <w:spacing w:val="-1"/>
        </w:rPr>
        <w:t>body.</w:t>
      </w:r>
    </w:p>
    <w:p w:rsidR="008918FA" w:rsidRDefault="008918FA" w:rsidP="008918FA">
      <w:pPr>
        <w:pStyle w:val="BodyText"/>
        <w:numPr>
          <w:ilvl w:val="1"/>
          <w:numId w:val="6"/>
        </w:numPr>
        <w:tabs>
          <w:tab w:val="left" w:pos="829"/>
        </w:tabs>
        <w:spacing w:before="121"/>
      </w:pPr>
      <w:r>
        <w:t>The</w:t>
      </w:r>
      <w:r>
        <w:rPr>
          <w:spacing w:val="-2"/>
        </w:rPr>
        <w:t xml:space="preserve"> </w:t>
      </w:r>
      <w:r>
        <w:rPr>
          <w:spacing w:val="-1"/>
        </w:rPr>
        <w:t>Expert</w:t>
      </w:r>
      <w:r>
        <w:rPr>
          <w:spacing w:val="2"/>
        </w:rPr>
        <w:t xml:space="preserve"> </w:t>
      </w:r>
      <w:r>
        <w:rPr>
          <w:spacing w:val="-1"/>
        </w:rPr>
        <w:t>shall</w:t>
      </w:r>
      <w:r>
        <w:t xml:space="preserve"> </w:t>
      </w:r>
      <w:r>
        <w:rPr>
          <w:spacing w:val="-2"/>
        </w:rPr>
        <w:t>act</w:t>
      </w:r>
      <w:r>
        <w:rPr>
          <w:spacing w:val="2"/>
        </w:rPr>
        <w:t xml:space="preserve"> </w:t>
      </w:r>
      <w:r>
        <w:rPr>
          <w:spacing w:val="-1"/>
        </w:rPr>
        <w:t>on</w:t>
      </w:r>
      <w:r>
        <w:rPr>
          <w:spacing w:val="-2"/>
        </w:rPr>
        <w:t xml:space="preserve"> </w:t>
      </w:r>
      <w:r>
        <w:rPr>
          <w:spacing w:val="-1"/>
        </w:rPr>
        <w:t>the</w:t>
      </w:r>
      <w:r>
        <w:rPr>
          <w:spacing w:val="-2"/>
        </w:rPr>
        <w:t xml:space="preserve"> following</w:t>
      </w:r>
      <w:r>
        <w:rPr>
          <w:spacing w:val="3"/>
        </w:rPr>
        <w:t xml:space="preserve"> </w:t>
      </w:r>
      <w:r>
        <w:rPr>
          <w:spacing w:val="-1"/>
        </w:rPr>
        <w:t>basis:</w:t>
      </w:r>
    </w:p>
    <w:p w:rsidR="008918FA" w:rsidRDefault="008918FA" w:rsidP="008918FA">
      <w:pPr>
        <w:pStyle w:val="BodyText"/>
        <w:numPr>
          <w:ilvl w:val="2"/>
          <w:numId w:val="6"/>
        </w:numPr>
        <w:tabs>
          <w:tab w:val="left" w:pos="2026"/>
        </w:tabs>
        <w:ind w:left="2025" w:right="117" w:hanging="993"/>
        <w:jc w:val="both"/>
      </w:pPr>
      <w:r>
        <w:rPr>
          <w:spacing w:val="-1"/>
        </w:rPr>
        <w:t>he/she</w:t>
      </w:r>
      <w:r>
        <w:rPr>
          <w:spacing w:val="36"/>
        </w:rPr>
        <w:t xml:space="preserve"> </w:t>
      </w:r>
      <w:r>
        <w:rPr>
          <w:spacing w:val="-1"/>
        </w:rPr>
        <w:t>shall</w:t>
      </w:r>
      <w:r>
        <w:rPr>
          <w:spacing w:val="36"/>
        </w:rPr>
        <w:t xml:space="preserve"> </w:t>
      </w:r>
      <w:r>
        <w:rPr>
          <w:spacing w:val="-1"/>
        </w:rPr>
        <w:t>act</w:t>
      </w:r>
      <w:r>
        <w:rPr>
          <w:spacing w:val="38"/>
        </w:rPr>
        <w:t xml:space="preserve"> </w:t>
      </w:r>
      <w:r>
        <w:rPr>
          <w:spacing w:val="-1"/>
        </w:rPr>
        <w:t>as</w:t>
      </w:r>
      <w:r>
        <w:rPr>
          <w:spacing w:val="37"/>
        </w:rPr>
        <w:t xml:space="preserve"> </w:t>
      </w:r>
      <w:r>
        <w:rPr>
          <w:spacing w:val="-1"/>
        </w:rPr>
        <w:t>an</w:t>
      </w:r>
      <w:r>
        <w:rPr>
          <w:spacing w:val="36"/>
        </w:rPr>
        <w:t xml:space="preserve"> </w:t>
      </w:r>
      <w:r>
        <w:rPr>
          <w:spacing w:val="-1"/>
        </w:rPr>
        <w:t>expert</w:t>
      </w:r>
      <w:r>
        <w:rPr>
          <w:spacing w:val="38"/>
        </w:rPr>
        <w:t xml:space="preserve"> </w:t>
      </w:r>
      <w:r>
        <w:rPr>
          <w:spacing w:val="-1"/>
        </w:rPr>
        <w:t>and</w:t>
      </w:r>
      <w:r>
        <w:rPr>
          <w:spacing w:val="37"/>
        </w:rPr>
        <w:t xml:space="preserve"> </w:t>
      </w:r>
      <w:r>
        <w:rPr>
          <w:spacing w:val="-1"/>
        </w:rPr>
        <w:t>not</w:t>
      </w:r>
      <w:r>
        <w:rPr>
          <w:spacing w:val="38"/>
        </w:rPr>
        <w:t xml:space="preserve"> </w:t>
      </w:r>
      <w:r>
        <w:rPr>
          <w:spacing w:val="-1"/>
        </w:rPr>
        <w:t>as</w:t>
      </w:r>
      <w:r>
        <w:rPr>
          <w:spacing w:val="37"/>
        </w:rPr>
        <w:t xml:space="preserve"> </w:t>
      </w:r>
      <w:r>
        <w:rPr>
          <w:spacing w:val="-1"/>
        </w:rPr>
        <w:t>an</w:t>
      </w:r>
      <w:r>
        <w:rPr>
          <w:spacing w:val="36"/>
        </w:rPr>
        <w:t xml:space="preserve"> </w:t>
      </w:r>
      <w:r>
        <w:rPr>
          <w:spacing w:val="-1"/>
        </w:rPr>
        <w:t>arbitrator</w:t>
      </w:r>
      <w:r>
        <w:rPr>
          <w:spacing w:val="38"/>
        </w:rPr>
        <w:t xml:space="preserve"> </w:t>
      </w:r>
      <w:r>
        <w:rPr>
          <w:spacing w:val="-1"/>
        </w:rPr>
        <w:t>and</w:t>
      </w:r>
      <w:r>
        <w:rPr>
          <w:spacing w:val="36"/>
        </w:rPr>
        <w:t xml:space="preserve"> </w:t>
      </w:r>
      <w:r>
        <w:rPr>
          <w:spacing w:val="-1"/>
        </w:rPr>
        <w:t>shall</w:t>
      </w:r>
      <w:r>
        <w:rPr>
          <w:spacing w:val="37"/>
        </w:rPr>
        <w:t xml:space="preserve"> </w:t>
      </w:r>
      <w:r>
        <w:rPr>
          <w:spacing w:val="-1"/>
        </w:rPr>
        <w:t>act</w:t>
      </w:r>
      <w:r>
        <w:rPr>
          <w:spacing w:val="32"/>
        </w:rPr>
        <w:t xml:space="preserve"> </w:t>
      </w:r>
      <w:r>
        <w:rPr>
          <w:spacing w:val="-1"/>
        </w:rPr>
        <w:t>fairly</w:t>
      </w:r>
      <w:r>
        <w:rPr>
          <w:spacing w:val="-2"/>
        </w:rPr>
        <w:t xml:space="preserve"> </w:t>
      </w:r>
      <w:r>
        <w:rPr>
          <w:spacing w:val="-1"/>
        </w:rPr>
        <w:t>and</w:t>
      </w:r>
      <w:r>
        <w:t xml:space="preserve"> </w:t>
      </w:r>
      <w:r>
        <w:rPr>
          <w:spacing w:val="-2"/>
        </w:rPr>
        <w:t>impartially;</w:t>
      </w:r>
    </w:p>
    <w:p w:rsidR="008918FA" w:rsidRDefault="008918FA" w:rsidP="008918FA">
      <w:pPr>
        <w:pStyle w:val="BodyText"/>
        <w:numPr>
          <w:ilvl w:val="2"/>
          <w:numId w:val="6"/>
        </w:numPr>
        <w:tabs>
          <w:tab w:val="left" w:pos="2026"/>
        </w:tabs>
        <w:spacing w:before="121"/>
        <w:ind w:left="2025" w:right="116" w:hanging="993"/>
        <w:jc w:val="both"/>
      </w:pPr>
      <w:r>
        <w:t>the</w:t>
      </w:r>
      <w:r>
        <w:rPr>
          <w:spacing w:val="10"/>
        </w:rPr>
        <w:t xml:space="preserve"> </w:t>
      </w:r>
      <w:r>
        <w:rPr>
          <w:spacing w:val="-1"/>
        </w:rPr>
        <w:t>Expert's</w:t>
      </w:r>
      <w:r>
        <w:rPr>
          <w:spacing w:val="10"/>
        </w:rPr>
        <w:t xml:space="preserve"> </w:t>
      </w:r>
      <w:r>
        <w:rPr>
          <w:spacing w:val="-2"/>
        </w:rPr>
        <w:t>determination</w:t>
      </w:r>
      <w:r>
        <w:rPr>
          <w:spacing w:val="10"/>
        </w:rPr>
        <w:t xml:space="preserve"> </w:t>
      </w:r>
      <w:r>
        <w:rPr>
          <w:spacing w:val="-1"/>
        </w:rPr>
        <w:t>shall</w:t>
      </w:r>
      <w:r>
        <w:rPr>
          <w:spacing w:val="9"/>
        </w:rPr>
        <w:t xml:space="preserve"> </w:t>
      </w:r>
      <w:r>
        <w:rPr>
          <w:spacing w:val="-1"/>
        </w:rPr>
        <w:t>(in</w:t>
      </w:r>
      <w:r>
        <w:rPr>
          <w:spacing w:val="10"/>
        </w:rPr>
        <w:t xml:space="preserve"> </w:t>
      </w:r>
      <w:r>
        <w:t>the</w:t>
      </w:r>
      <w:r>
        <w:rPr>
          <w:spacing w:val="10"/>
        </w:rPr>
        <w:t xml:space="preserve"> </w:t>
      </w:r>
      <w:r>
        <w:rPr>
          <w:spacing w:val="-1"/>
        </w:rPr>
        <w:t>absence</w:t>
      </w:r>
      <w:r>
        <w:rPr>
          <w:spacing w:val="10"/>
        </w:rPr>
        <w:t xml:space="preserve"> </w:t>
      </w:r>
      <w:r>
        <w:rPr>
          <w:spacing w:val="-2"/>
        </w:rPr>
        <w:t>of</w:t>
      </w:r>
      <w:r>
        <w:rPr>
          <w:spacing w:val="11"/>
        </w:rPr>
        <w:t xml:space="preserve"> </w:t>
      </w:r>
      <w:r>
        <w:t>a</w:t>
      </w:r>
      <w:r>
        <w:rPr>
          <w:spacing w:val="10"/>
        </w:rPr>
        <w:t xml:space="preserve"> </w:t>
      </w:r>
      <w:r>
        <w:rPr>
          <w:spacing w:val="-1"/>
        </w:rPr>
        <w:t>material</w:t>
      </w:r>
      <w:r>
        <w:rPr>
          <w:spacing w:val="7"/>
        </w:rPr>
        <w:t xml:space="preserve"> </w:t>
      </w:r>
      <w:r>
        <w:rPr>
          <w:spacing w:val="-1"/>
        </w:rPr>
        <w:t>failure</w:t>
      </w:r>
      <w:r>
        <w:rPr>
          <w:spacing w:val="7"/>
        </w:rPr>
        <w:t xml:space="preserve"> </w:t>
      </w:r>
      <w:r>
        <w:t>to</w:t>
      </w:r>
      <w:r>
        <w:rPr>
          <w:spacing w:val="57"/>
        </w:rPr>
        <w:t xml:space="preserve"> </w:t>
      </w:r>
      <w:r>
        <w:rPr>
          <w:spacing w:val="-1"/>
        </w:rPr>
        <w:t>follow</w:t>
      </w:r>
      <w:r>
        <w:rPr>
          <w:spacing w:val="-2"/>
        </w:rPr>
        <w:t xml:space="preserve"> </w:t>
      </w:r>
      <w:r>
        <w:t xml:space="preserve">the </w:t>
      </w:r>
      <w:r>
        <w:rPr>
          <w:spacing w:val="-1"/>
        </w:rPr>
        <w:t>agreed</w:t>
      </w:r>
      <w:r>
        <w:t xml:space="preserve"> </w:t>
      </w:r>
      <w:r>
        <w:rPr>
          <w:spacing w:val="-1"/>
        </w:rPr>
        <w:t>procedures)</w:t>
      </w:r>
      <w:r>
        <w:t xml:space="preserve"> </w:t>
      </w:r>
      <w:r>
        <w:rPr>
          <w:spacing w:val="-1"/>
        </w:rPr>
        <w:t>be</w:t>
      </w:r>
      <w:r>
        <w:rPr>
          <w:spacing w:val="-2"/>
        </w:rPr>
        <w:t xml:space="preserve"> </w:t>
      </w:r>
      <w:r>
        <w:rPr>
          <w:spacing w:val="-1"/>
        </w:rPr>
        <w:t>final</w:t>
      </w:r>
      <w:r>
        <w:rPr>
          <w:spacing w:val="-2"/>
        </w:rPr>
        <w:t xml:space="preserve"> </w:t>
      </w:r>
      <w:r>
        <w:rPr>
          <w:spacing w:val="-1"/>
        </w:rPr>
        <w:t>and</w:t>
      </w:r>
      <w:r>
        <w:t xml:space="preserve"> </w:t>
      </w:r>
      <w:r>
        <w:rPr>
          <w:spacing w:val="-2"/>
        </w:rPr>
        <w:t>binding</w:t>
      </w:r>
      <w:r>
        <w:t xml:space="preserve"> </w:t>
      </w:r>
      <w:r>
        <w:rPr>
          <w:spacing w:val="-1"/>
        </w:rPr>
        <w:t>on</w:t>
      </w:r>
      <w:r>
        <w:rPr>
          <w:spacing w:val="-2"/>
        </w:rPr>
        <w:t xml:space="preserve"> </w:t>
      </w:r>
      <w:r>
        <w:t xml:space="preserve">the </w:t>
      </w:r>
      <w:r>
        <w:rPr>
          <w:spacing w:val="-1"/>
        </w:rPr>
        <w:t>Parties;</w:t>
      </w:r>
    </w:p>
    <w:p w:rsidR="008918FA" w:rsidRDefault="008918FA" w:rsidP="008918FA">
      <w:pPr>
        <w:pStyle w:val="BodyText"/>
        <w:numPr>
          <w:ilvl w:val="2"/>
          <w:numId w:val="6"/>
        </w:numPr>
        <w:tabs>
          <w:tab w:val="left" w:pos="2026"/>
        </w:tabs>
        <w:spacing w:before="121"/>
        <w:ind w:left="2025" w:right="114" w:hanging="993"/>
        <w:jc w:val="both"/>
      </w:pPr>
      <w:r>
        <w:t>the</w:t>
      </w:r>
      <w:r>
        <w:rPr>
          <w:spacing w:val="3"/>
        </w:rPr>
        <w:t xml:space="preserve"> </w:t>
      </w:r>
      <w:r>
        <w:rPr>
          <w:spacing w:val="-1"/>
        </w:rPr>
        <w:t>Expert</w:t>
      </w:r>
      <w:r>
        <w:rPr>
          <w:spacing w:val="4"/>
        </w:rPr>
        <w:t xml:space="preserve"> </w:t>
      </w:r>
      <w:r>
        <w:rPr>
          <w:spacing w:val="-1"/>
        </w:rPr>
        <w:t>shall</w:t>
      </w:r>
      <w:r>
        <w:rPr>
          <w:spacing w:val="2"/>
        </w:rPr>
        <w:t xml:space="preserve"> </w:t>
      </w:r>
      <w:r>
        <w:rPr>
          <w:spacing w:val="-1"/>
        </w:rPr>
        <w:t>decide</w:t>
      </w:r>
      <w:r>
        <w:rPr>
          <w:spacing w:val="3"/>
        </w:rPr>
        <w:t xml:space="preserve"> </w:t>
      </w:r>
      <w:r>
        <w:t>the</w:t>
      </w:r>
      <w:r>
        <w:rPr>
          <w:spacing w:val="3"/>
        </w:rPr>
        <w:t xml:space="preserve"> </w:t>
      </w:r>
      <w:r>
        <w:rPr>
          <w:spacing w:val="-1"/>
        </w:rPr>
        <w:t>procedure</w:t>
      </w:r>
      <w:r>
        <w:rPr>
          <w:spacing w:val="3"/>
        </w:rPr>
        <w:t xml:space="preserve"> </w:t>
      </w:r>
      <w:r>
        <w:t>to</w:t>
      </w:r>
      <w:r>
        <w:rPr>
          <w:spacing w:val="61"/>
        </w:rPr>
        <w:t xml:space="preserve"> </w:t>
      </w:r>
      <w:r>
        <w:rPr>
          <w:spacing w:val="-1"/>
        </w:rPr>
        <w:t>be</w:t>
      </w:r>
      <w:r>
        <w:t xml:space="preserve">  </w:t>
      </w:r>
      <w:r>
        <w:rPr>
          <w:spacing w:val="-1"/>
        </w:rPr>
        <w:t>followed</w:t>
      </w:r>
      <w:r>
        <w:rPr>
          <w:spacing w:val="5"/>
        </w:rPr>
        <w:t xml:space="preserve"> </w:t>
      </w:r>
      <w:r>
        <w:rPr>
          <w:spacing w:val="-1"/>
        </w:rPr>
        <w:t>in</w:t>
      </w:r>
      <w:r>
        <w:rPr>
          <w:spacing w:val="3"/>
        </w:rPr>
        <w:t xml:space="preserve"> </w:t>
      </w:r>
      <w:r>
        <w:rPr>
          <w:spacing w:val="-1"/>
        </w:rPr>
        <w:t>the</w:t>
      </w:r>
      <w:r>
        <w:rPr>
          <w:spacing w:val="28"/>
        </w:rPr>
        <w:t xml:space="preserve"> </w:t>
      </w:r>
      <w:r>
        <w:rPr>
          <w:spacing w:val="-1"/>
        </w:rPr>
        <w:t>determination</w:t>
      </w:r>
      <w:r>
        <w:rPr>
          <w:spacing w:val="41"/>
        </w:rPr>
        <w:t xml:space="preserve"> </w:t>
      </w:r>
      <w:r>
        <w:rPr>
          <w:spacing w:val="-1"/>
        </w:rPr>
        <w:t>and</w:t>
      </w:r>
      <w:r>
        <w:rPr>
          <w:spacing w:val="41"/>
        </w:rPr>
        <w:t xml:space="preserve"> </w:t>
      </w:r>
      <w:r>
        <w:rPr>
          <w:spacing w:val="-1"/>
        </w:rPr>
        <w:t>shall</w:t>
      </w:r>
      <w:r>
        <w:rPr>
          <w:spacing w:val="43"/>
        </w:rPr>
        <w:t xml:space="preserve"> </w:t>
      </w:r>
      <w:r>
        <w:rPr>
          <w:spacing w:val="-1"/>
        </w:rPr>
        <w:t>be</w:t>
      </w:r>
      <w:r>
        <w:rPr>
          <w:spacing w:val="41"/>
        </w:rPr>
        <w:t xml:space="preserve"> </w:t>
      </w:r>
      <w:r>
        <w:rPr>
          <w:spacing w:val="-1"/>
        </w:rPr>
        <w:t>requested</w:t>
      </w:r>
      <w:r>
        <w:rPr>
          <w:spacing w:val="41"/>
        </w:rPr>
        <w:t xml:space="preserve"> </w:t>
      </w:r>
      <w:r>
        <w:t>to</w:t>
      </w:r>
      <w:r>
        <w:rPr>
          <w:spacing w:val="41"/>
        </w:rPr>
        <w:t xml:space="preserve"> </w:t>
      </w:r>
      <w:r>
        <w:rPr>
          <w:spacing w:val="-1"/>
        </w:rPr>
        <w:t>make</w:t>
      </w:r>
      <w:r>
        <w:rPr>
          <w:spacing w:val="39"/>
        </w:rPr>
        <w:t xml:space="preserve"> </w:t>
      </w:r>
      <w:r>
        <w:rPr>
          <w:spacing w:val="-1"/>
        </w:rPr>
        <w:t>his/her</w:t>
      </w:r>
      <w:r>
        <w:rPr>
          <w:spacing w:val="42"/>
        </w:rPr>
        <w:t xml:space="preserve"> </w:t>
      </w:r>
      <w:r>
        <w:rPr>
          <w:spacing w:val="-1"/>
        </w:rPr>
        <w:t>determination</w:t>
      </w:r>
      <w:r>
        <w:rPr>
          <w:spacing w:val="38"/>
        </w:rPr>
        <w:t xml:space="preserve"> </w:t>
      </w:r>
      <w:r>
        <w:rPr>
          <w:spacing w:val="-1"/>
        </w:rPr>
        <w:t>within</w:t>
      </w:r>
      <w:r>
        <w:rPr>
          <w:spacing w:val="9"/>
        </w:rPr>
        <w:t xml:space="preserve"> </w:t>
      </w:r>
      <w:r>
        <w:rPr>
          <w:spacing w:val="-1"/>
        </w:rPr>
        <w:t>thirty</w:t>
      </w:r>
      <w:r>
        <w:rPr>
          <w:spacing w:val="7"/>
        </w:rPr>
        <w:t xml:space="preserve"> </w:t>
      </w:r>
      <w:r>
        <w:rPr>
          <w:spacing w:val="-1"/>
        </w:rPr>
        <w:t>(30)</w:t>
      </w:r>
      <w:r>
        <w:rPr>
          <w:spacing w:val="-6"/>
        </w:rPr>
        <w:t xml:space="preserve"> </w:t>
      </w:r>
      <w:r>
        <w:rPr>
          <w:spacing w:val="-1"/>
        </w:rPr>
        <w:t>Working</w:t>
      </w:r>
      <w:r>
        <w:rPr>
          <w:spacing w:val="11"/>
        </w:rPr>
        <w:t xml:space="preserve"> </w:t>
      </w:r>
      <w:r>
        <w:rPr>
          <w:spacing w:val="-2"/>
        </w:rPr>
        <w:t>Days</w:t>
      </w:r>
      <w:r>
        <w:rPr>
          <w:spacing w:val="9"/>
        </w:rPr>
        <w:t xml:space="preserve"> </w:t>
      </w:r>
      <w:r>
        <w:rPr>
          <w:spacing w:val="-2"/>
        </w:rPr>
        <w:t>of</w:t>
      </w:r>
      <w:r>
        <w:rPr>
          <w:spacing w:val="10"/>
        </w:rPr>
        <w:t xml:space="preserve"> </w:t>
      </w:r>
      <w:r>
        <w:rPr>
          <w:spacing w:val="-1"/>
        </w:rPr>
        <w:t>his</w:t>
      </w:r>
      <w:r>
        <w:rPr>
          <w:spacing w:val="9"/>
        </w:rPr>
        <w:t xml:space="preserve"> </w:t>
      </w:r>
      <w:r>
        <w:rPr>
          <w:spacing w:val="-1"/>
        </w:rPr>
        <w:t>appointment</w:t>
      </w:r>
      <w:r>
        <w:rPr>
          <w:spacing w:val="8"/>
        </w:rPr>
        <w:t xml:space="preserve"> </w:t>
      </w:r>
      <w:r>
        <w:rPr>
          <w:spacing w:val="-1"/>
        </w:rPr>
        <w:t>or</w:t>
      </w:r>
      <w:r>
        <w:rPr>
          <w:spacing w:val="10"/>
        </w:rPr>
        <w:t xml:space="preserve"> </w:t>
      </w:r>
      <w:r>
        <w:rPr>
          <w:spacing w:val="-2"/>
        </w:rPr>
        <w:t>as</w:t>
      </w:r>
      <w:r>
        <w:rPr>
          <w:spacing w:val="9"/>
        </w:rPr>
        <w:t xml:space="preserve"> </w:t>
      </w:r>
      <w:r>
        <w:rPr>
          <w:spacing w:val="-1"/>
        </w:rPr>
        <w:t>soon</w:t>
      </w:r>
      <w:r>
        <w:rPr>
          <w:spacing w:val="6"/>
        </w:rPr>
        <w:t xml:space="preserve"> </w:t>
      </w:r>
      <w:r>
        <w:rPr>
          <w:spacing w:val="-1"/>
        </w:rPr>
        <w:t>as</w:t>
      </w:r>
      <w:r>
        <w:rPr>
          <w:spacing w:val="36"/>
        </w:rPr>
        <w:t xml:space="preserve"> </w:t>
      </w:r>
      <w:r>
        <w:rPr>
          <w:spacing w:val="-1"/>
        </w:rPr>
        <w:t>reasonably</w:t>
      </w:r>
      <w:r>
        <w:rPr>
          <w:spacing w:val="12"/>
        </w:rPr>
        <w:t xml:space="preserve"> </w:t>
      </w:r>
      <w:r>
        <w:rPr>
          <w:spacing w:val="-1"/>
        </w:rPr>
        <w:t>practicable</w:t>
      </w:r>
      <w:r>
        <w:rPr>
          <w:spacing w:val="16"/>
        </w:rPr>
        <w:t xml:space="preserve"> </w:t>
      </w:r>
      <w:r>
        <w:rPr>
          <w:spacing w:val="-1"/>
        </w:rPr>
        <w:t>thereafter</w:t>
      </w:r>
      <w:r>
        <w:rPr>
          <w:spacing w:val="15"/>
        </w:rPr>
        <w:t xml:space="preserve"> </w:t>
      </w:r>
      <w:r>
        <w:rPr>
          <w:spacing w:val="-1"/>
        </w:rPr>
        <w:t>and</w:t>
      </w:r>
      <w:r>
        <w:rPr>
          <w:spacing w:val="14"/>
        </w:rPr>
        <w:t xml:space="preserve"> </w:t>
      </w:r>
      <w:r>
        <w:t>the</w:t>
      </w:r>
      <w:r>
        <w:rPr>
          <w:spacing w:val="14"/>
        </w:rPr>
        <w:t xml:space="preserve"> </w:t>
      </w:r>
      <w:r>
        <w:rPr>
          <w:spacing w:val="-1"/>
        </w:rPr>
        <w:t>Parties</w:t>
      </w:r>
      <w:r>
        <w:rPr>
          <w:spacing w:val="14"/>
        </w:rPr>
        <w:t xml:space="preserve"> </w:t>
      </w:r>
      <w:r>
        <w:rPr>
          <w:spacing w:val="-1"/>
        </w:rPr>
        <w:t>shall</w:t>
      </w:r>
      <w:r>
        <w:rPr>
          <w:spacing w:val="13"/>
        </w:rPr>
        <w:t xml:space="preserve"> </w:t>
      </w:r>
      <w:r>
        <w:rPr>
          <w:spacing w:val="-1"/>
        </w:rPr>
        <w:t>assist</w:t>
      </w:r>
      <w:r>
        <w:rPr>
          <w:spacing w:val="16"/>
        </w:rPr>
        <w:t xml:space="preserve"> </w:t>
      </w:r>
      <w:r>
        <w:rPr>
          <w:spacing w:val="-1"/>
        </w:rPr>
        <w:t>and</w:t>
      </w:r>
      <w:r>
        <w:rPr>
          <w:spacing w:val="28"/>
        </w:rPr>
        <w:t xml:space="preserve"> </w:t>
      </w:r>
      <w:r>
        <w:rPr>
          <w:spacing w:val="-2"/>
        </w:rPr>
        <w:t>provide</w:t>
      </w:r>
      <w:r>
        <w:rPr>
          <w:spacing w:val="19"/>
        </w:rPr>
        <w:t xml:space="preserve"> </w:t>
      </w:r>
      <w:r>
        <w:t>the</w:t>
      </w:r>
      <w:r>
        <w:rPr>
          <w:spacing w:val="20"/>
        </w:rPr>
        <w:t xml:space="preserve"> </w:t>
      </w:r>
      <w:r>
        <w:rPr>
          <w:spacing w:val="-1"/>
        </w:rPr>
        <w:t>documentation</w:t>
      </w:r>
      <w:r>
        <w:rPr>
          <w:spacing w:val="20"/>
        </w:rPr>
        <w:t xml:space="preserve"> </w:t>
      </w:r>
      <w:r>
        <w:rPr>
          <w:spacing w:val="-1"/>
        </w:rPr>
        <w:t>that</w:t>
      </w:r>
      <w:r>
        <w:rPr>
          <w:spacing w:val="19"/>
        </w:rPr>
        <w:t xml:space="preserve"> </w:t>
      </w:r>
      <w:r>
        <w:t>the</w:t>
      </w:r>
      <w:r>
        <w:rPr>
          <w:spacing w:val="17"/>
        </w:rPr>
        <w:t xml:space="preserve"> </w:t>
      </w:r>
      <w:r>
        <w:rPr>
          <w:spacing w:val="-1"/>
        </w:rPr>
        <w:t>Expert</w:t>
      </w:r>
      <w:r>
        <w:rPr>
          <w:spacing w:val="19"/>
        </w:rPr>
        <w:t xml:space="preserve"> </w:t>
      </w:r>
      <w:r>
        <w:rPr>
          <w:spacing w:val="-1"/>
        </w:rPr>
        <w:t>requires</w:t>
      </w:r>
      <w:r>
        <w:rPr>
          <w:spacing w:val="18"/>
        </w:rPr>
        <w:t xml:space="preserve"> </w:t>
      </w:r>
      <w:r>
        <w:t>for</w:t>
      </w:r>
      <w:r>
        <w:rPr>
          <w:spacing w:val="21"/>
        </w:rPr>
        <w:t xml:space="preserve"> </w:t>
      </w:r>
      <w:r>
        <w:t>the</w:t>
      </w:r>
      <w:r>
        <w:rPr>
          <w:spacing w:val="17"/>
        </w:rPr>
        <w:t xml:space="preserve"> </w:t>
      </w:r>
      <w:r>
        <w:rPr>
          <w:spacing w:val="-1"/>
        </w:rPr>
        <w:t>purpose</w:t>
      </w:r>
      <w:r>
        <w:rPr>
          <w:spacing w:val="18"/>
        </w:rPr>
        <w:t xml:space="preserve"> </w:t>
      </w:r>
      <w:r>
        <w:rPr>
          <w:spacing w:val="-2"/>
        </w:rPr>
        <w:t>of</w:t>
      </w:r>
      <w:r>
        <w:rPr>
          <w:spacing w:val="31"/>
        </w:rPr>
        <w:t xml:space="preserve"> </w:t>
      </w:r>
      <w:r>
        <w:t xml:space="preserve">the </w:t>
      </w:r>
      <w:r>
        <w:rPr>
          <w:spacing w:val="-1"/>
        </w:rPr>
        <w:t>determination;</w:t>
      </w:r>
    </w:p>
    <w:p w:rsidR="008918FA" w:rsidRDefault="008918FA" w:rsidP="008918FA">
      <w:pPr>
        <w:pStyle w:val="BodyText"/>
        <w:numPr>
          <w:ilvl w:val="2"/>
          <w:numId w:val="6"/>
        </w:numPr>
        <w:tabs>
          <w:tab w:val="left" w:pos="2026"/>
        </w:tabs>
        <w:ind w:left="2025" w:right="115" w:hanging="993"/>
        <w:jc w:val="both"/>
      </w:pPr>
      <w:r>
        <w:rPr>
          <w:spacing w:val="-1"/>
        </w:rPr>
        <w:t>any</w:t>
      </w:r>
      <w:r>
        <w:rPr>
          <w:spacing w:val="1"/>
        </w:rPr>
        <w:t xml:space="preserve"> </w:t>
      </w:r>
      <w:r>
        <w:rPr>
          <w:spacing w:val="-1"/>
        </w:rPr>
        <w:t>amount</w:t>
      </w:r>
      <w:r>
        <w:rPr>
          <w:spacing w:val="4"/>
        </w:rPr>
        <w:t xml:space="preserve"> </w:t>
      </w:r>
      <w:r>
        <w:rPr>
          <w:spacing w:val="-2"/>
        </w:rPr>
        <w:t>payable</w:t>
      </w:r>
      <w:r>
        <w:rPr>
          <w:spacing w:val="5"/>
        </w:rPr>
        <w:t xml:space="preserve"> </w:t>
      </w:r>
      <w:r>
        <w:rPr>
          <w:spacing w:val="-1"/>
        </w:rPr>
        <w:t>by</w:t>
      </w:r>
      <w:r>
        <w:rPr>
          <w:spacing w:val="5"/>
        </w:rPr>
        <w:t xml:space="preserve"> </w:t>
      </w:r>
      <w:r>
        <w:rPr>
          <w:spacing w:val="-1"/>
        </w:rPr>
        <w:t>one</w:t>
      </w:r>
      <w:r>
        <w:rPr>
          <w:spacing w:val="3"/>
        </w:rPr>
        <w:t xml:space="preserve"> </w:t>
      </w:r>
      <w:r>
        <w:rPr>
          <w:spacing w:val="-1"/>
        </w:rPr>
        <w:t>Party</w:t>
      </w:r>
      <w:r>
        <w:rPr>
          <w:spacing w:val="1"/>
        </w:rPr>
        <w:t xml:space="preserve"> </w:t>
      </w:r>
      <w:r>
        <w:t>to</w:t>
      </w:r>
      <w:r>
        <w:rPr>
          <w:spacing w:val="3"/>
        </w:rPr>
        <w:t xml:space="preserve"> </w:t>
      </w:r>
      <w:r>
        <w:rPr>
          <w:spacing w:val="-1"/>
        </w:rPr>
        <w:t>another</w:t>
      </w:r>
      <w:r>
        <w:rPr>
          <w:spacing w:val="4"/>
        </w:rPr>
        <w:t xml:space="preserve"> </w:t>
      </w:r>
      <w:r>
        <w:rPr>
          <w:spacing w:val="-1"/>
        </w:rPr>
        <w:t>as</w:t>
      </w:r>
      <w:r>
        <w:rPr>
          <w:spacing w:val="3"/>
        </w:rPr>
        <w:t xml:space="preserve"> </w:t>
      </w:r>
      <w:r>
        <w:t>a</w:t>
      </w:r>
      <w:r>
        <w:rPr>
          <w:spacing w:val="3"/>
        </w:rPr>
        <w:t xml:space="preserve"> </w:t>
      </w:r>
      <w:r>
        <w:rPr>
          <w:spacing w:val="-1"/>
        </w:rPr>
        <w:t>result</w:t>
      </w:r>
      <w:r>
        <w:rPr>
          <w:spacing w:val="4"/>
        </w:rPr>
        <w:t xml:space="preserve"> </w:t>
      </w:r>
      <w:r>
        <w:rPr>
          <w:spacing w:val="-2"/>
        </w:rPr>
        <w:t>of</w:t>
      </w:r>
      <w:r>
        <w:rPr>
          <w:spacing w:val="6"/>
        </w:rPr>
        <w:t xml:space="preserve"> </w:t>
      </w:r>
      <w:r>
        <w:t>the</w:t>
      </w:r>
      <w:r>
        <w:rPr>
          <w:spacing w:val="3"/>
        </w:rPr>
        <w:t xml:space="preserve"> </w:t>
      </w:r>
      <w:r>
        <w:rPr>
          <w:spacing w:val="-1"/>
        </w:rPr>
        <w:t>Expert's</w:t>
      </w:r>
      <w:r>
        <w:rPr>
          <w:spacing w:val="47"/>
        </w:rPr>
        <w:t xml:space="preserve"> </w:t>
      </w:r>
      <w:r>
        <w:rPr>
          <w:spacing w:val="-1"/>
        </w:rPr>
        <w:t>determination</w:t>
      </w:r>
      <w:r>
        <w:rPr>
          <w:spacing w:val="53"/>
        </w:rPr>
        <w:t xml:space="preserve"> </w:t>
      </w:r>
      <w:r>
        <w:rPr>
          <w:spacing w:val="-1"/>
        </w:rPr>
        <w:t>shall</w:t>
      </w:r>
      <w:r>
        <w:rPr>
          <w:spacing w:val="52"/>
        </w:rPr>
        <w:t xml:space="preserve"> </w:t>
      </w:r>
      <w:r>
        <w:rPr>
          <w:spacing w:val="-1"/>
        </w:rPr>
        <w:t>be</w:t>
      </w:r>
      <w:r>
        <w:rPr>
          <w:spacing w:val="55"/>
        </w:rPr>
        <w:t xml:space="preserve"> </w:t>
      </w:r>
      <w:r>
        <w:rPr>
          <w:spacing w:val="-1"/>
        </w:rPr>
        <w:t>due</w:t>
      </w:r>
      <w:r>
        <w:rPr>
          <w:spacing w:val="53"/>
        </w:rPr>
        <w:t xml:space="preserve"> </w:t>
      </w:r>
      <w:r>
        <w:rPr>
          <w:spacing w:val="-1"/>
        </w:rPr>
        <w:t>and</w:t>
      </w:r>
      <w:r>
        <w:rPr>
          <w:spacing w:val="53"/>
        </w:rPr>
        <w:t xml:space="preserve"> </w:t>
      </w:r>
      <w:r>
        <w:rPr>
          <w:spacing w:val="-1"/>
        </w:rPr>
        <w:t>payable</w:t>
      </w:r>
      <w:r>
        <w:rPr>
          <w:spacing w:val="55"/>
        </w:rPr>
        <w:t xml:space="preserve"> </w:t>
      </w:r>
      <w:r>
        <w:rPr>
          <w:spacing w:val="-1"/>
        </w:rPr>
        <w:t>within</w:t>
      </w:r>
      <w:r>
        <w:rPr>
          <w:spacing w:val="57"/>
        </w:rPr>
        <w:t xml:space="preserve"> </w:t>
      </w:r>
      <w:r>
        <w:rPr>
          <w:spacing w:val="-1"/>
        </w:rPr>
        <w:t>twenty</w:t>
      </w:r>
      <w:r>
        <w:rPr>
          <w:spacing w:val="53"/>
        </w:rPr>
        <w:t xml:space="preserve"> </w:t>
      </w:r>
      <w:r>
        <w:rPr>
          <w:spacing w:val="-1"/>
        </w:rPr>
        <w:t>(20)</w:t>
      </w:r>
      <w:r>
        <w:rPr>
          <w:spacing w:val="-3"/>
        </w:rPr>
        <w:t xml:space="preserve"> </w:t>
      </w:r>
      <w:r>
        <w:rPr>
          <w:spacing w:val="-1"/>
        </w:rPr>
        <w:t>Working</w:t>
      </w:r>
      <w:r>
        <w:rPr>
          <w:spacing w:val="30"/>
        </w:rPr>
        <w:t xml:space="preserve"> </w:t>
      </w:r>
      <w:r>
        <w:rPr>
          <w:spacing w:val="-2"/>
        </w:rPr>
        <w:t>Days</w:t>
      </w:r>
      <w:r>
        <w:rPr>
          <w:spacing w:val="1"/>
        </w:rPr>
        <w:t xml:space="preserve"> </w:t>
      </w:r>
      <w:r>
        <w:rPr>
          <w:spacing w:val="-1"/>
        </w:rPr>
        <w:t>of</w:t>
      </w:r>
      <w:r>
        <w:rPr>
          <w:spacing w:val="2"/>
        </w:rPr>
        <w:t xml:space="preserve"> </w:t>
      </w:r>
      <w:r>
        <w:t>the</w:t>
      </w:r>
      <w:r>
        <w:rPr>
          <w:spacing w:val="-2"/>
        </w:rPr>
        <w:t xml:space="preserve"> </w:t>
      </w:r>
      <w:r>
        <w:rPr>
          <w:spacing w:val="-1"/>
        </w:rPr>
        <w:t>Expert's</w:t>
      </w:r>
      <w:r>
        <w:rPr>
          <w:spacing w:val="1"/>
        </w:rPr>
        <w:t xml:space="preserve"> </w:t>
      </w:r>
      <w:r>
        <w:rPr>
          <w:spacing w:val="-1"/>
        </w:rPr>
        <w:t>determination</w:t>
      </w:r>
      <w:r>
        <w:rPr>
          <w:spacing w:val="-2"/>
        </w:rPr>
        <w:t xml:space="preserve"> </w:t>
      </w:r>
      <w:r>
        <w:rPr>
          <w:spacing w:val="-1"/>
        </w:rPr>
        <w:t>being</w:t>
      </w:r>
      <w:r>
        <w:t xml:space="preserve"> </w:t>
      </w:r>
      <w:r>
        <w:rPr>
          <w:spacing w:val="-1"/>
        </w:rPr>
        <w:t>notified</w:t>
      </w:r>
      <w:r>
        <w:rPr>
          <w:spacing w:val="-2"/>
        </w:rPr>
        <w:t xml:space="preserve"> </w:t>
      </w:r>
      <w:r>
        <w:rPr>
          <w:spacing w:val="-1"/>
        </w:rPr>
        <w:t>to</w:t>
      </w:r>
      <w:r>
        <w:t xml:space="preserve"> the</w:t>
      </w:r>
      <w:r>
        <w:rPr>
          <w:spacing w:val="-2"/>
        </w:rPr>
        <w:t xml:space="preserve"> </w:t>
      </w:r>
      <w:r>
        <w:rPr>
          <w:spacing w:val="-1"/>
        </w:rPr>
        <w:t>Parties;</w:t>
      </w:r>
    </w:p>
    <w:p w:rsidR="008918FA" w:rsidRDefault="008918FA" w:rsidP="008918FA">
      <w:pPr>
        <w:pStyle w:val="BodyText"/>
        <w:numPr>
          <w:ilvl w:val="2"/>
          <w:numId w:val="6"/>
        </w:numPr>
        <w:tabs>
          <w:tab w:val="left" w:pos="2026"/>
        </w:tabs>
        <w:ind w:left="2025" w:hanging="993"/>
      </w:pPr>
      <w:r>
        <w:t xml:space="preserve">the </w:t>
      </w:r>
      <w:r>
        <w:rPr>
          <w:spacing w:val="-1"/>
        </w:rPr>
        <w:t>process shall</w:t>
      </w:r>
      <w:r>
        <w:t xml:space="preserve"> </w:t>
      </w:r>
      <w:r>
        <w:rPr>
          <w:spacing w:val="-1"/>
        </w:rPr>
        <w:t>be</w:t>
      </w:r>
      <w:r>
        <w:t xml:space="preserve"> </w:t>
      </w:r>
      <w:r>
        <w:rPr>
          <w:spacing w:val="-1"/>
        </w:rPr>
        <w:t>conducted</w:t>
      </w:r>
      <w:r>
        <w:t xml:space="preserve"> </w:t>
      </w:r>
      <w:r>
        <w:rPr>
          <w:spacing w:val="-1"/>
        </w:rPr>
        <w:t>in</w:t>
      </w:r>
      <w:r>
        <w:t xml:space="preserve"> </w:t>
      </w:r>
      <w:r>
        <w:rPr>
          <w:spacing w:val="-2"/>
        </w:rPr>
        <w:t>private</w:t>
      </w:r>
      <w:r>
        <w:t xml:space="preserve"> </w:t>
      </w:r>
      <w:r>
        <w:rPr>
          <w:spacing w:val="-1"/>
        </w:rPr>
        <w:t>and</w:t>
      </w:r>
      <w:r>
        <w:rPr>
          <w:spacing w:val="-2"/>
        </w:rPr>
        <w:t xml:space="preserve"> shall</w:t>
      </w:r>
      <w:r>
        <w:t xml:space="preserve"> </w:t>
      </w:r>
      <w:r>
        <w:rPr>
          <w:spacing w:val="-1"/>
        </w:rPr>
        <w:t>be</w:t>
      </w:r>
      <w:r>
        <w:t xml:space="preserve"> </w:t>
      </w:r>
      <w:r>
        <w:rPr>
          <w:spacing w:val="-1"/>
        </w:rPr>
        <w:t>confidential; and</w:t>
      </w:r>
    </w:p>
    <w:p w:rsidR="008918FA" w:rsidRDefault="008918FA" w:rsidP="008918FA">
      <w:pPr>
        <w:pStyle w:val="BodyText"/>
        <w:numPr>
          <w:ilvl w:val="2"/>
          <w:numId w:val="6"/>
        </w:numPr>
        <w:tabs>
          <w:tab w:val="left" w:pos="2026"/>
        </w:tabs>
        <w:spacing w:before="121"/>
        <w:ind w:left="2025" w:right="113" w:hanging="993"/>
        <w:jc w:val="both"/>
      </w:pPr>
      <w:r>
        <w:t>the</w:t>
      </w:r>
      <w:r>
        <w:rPr>
          <w:spacing w:val="28"/>
        </w:rPr>
        <w:t xml:space="preserve"> </w:t>
      </w:r>
      <w:r>
        <w:rPr>
          <w:spacing w:val="-1"/>
        </w:rPr>
        <w:t>Expert</w:t>
      </w:r>
      <w:r>
        <w:rPr>
          <w:spacing w:val="27"/>
        </w:rPr>
        <w:t xml:space="preserve"> </w:t>
      </w:r>
      <w:r>
        <w:rPr>
          <w:spacing w:val="-1"/>
        </w:rPr>
        <w:t>shall</w:t>
      </w:r>
      <w:r>
        <w:rPr>
          <w:spacing w:val="27"/>
        </w:rPr>
        <w:t xml:space="preserve"> </w:t>
      </w:r>
      <w:r>
        <w:rPr>
          <w:spacing w:val="-1"/>
        </w:rPr>
        <w:t>determine</w:t>
      </w:r>
      <w:r>
        <w:rPr>
          <w:spacing w:val="28"/>
        </w:rPr>
        <w:t xml:space="preserve"> </w:t>
      </w:r>
      <w:r>
        <w:rPr>
          <w:spacing w:val="-1"/>
        </w:rPr>
        <w:t>how</w:t>
      </w:r>
      <w:r>
        <w:rPr>
          <w:spacing w:val="25"/>
        </w:rPr>
        <w:t xml:space="preserve"> </w:t>
      </w:r>
      <w:r>
        <w:rPr>
          <w:spacing w:val="-1"/>
        </w:rPr>
        <w:t>and</w:t>
      </w:r>
      <w:r>
        <w:rPr>
          <w:spacing w:val="28"/>
        </w:rPr>
        <w:t xml:space="preserve"> </w:t>
      </w:r>
      <w:r>
        <w:rPr>
          <w:spacing w:val="-1"/>
        </w:rPr>
        <w:t>by</w:t>
      </w:r>
      <w:r>
        <w:rPr>
          <w:spacing w:val="26"/>
        </w:rPr>
        <w:t xml:space="preserve"> </w:t>
      </w:r>
      <w:r>
        <w:rPr>
          <w:spacing w:val="-1"/>
        </w:rPr>
        <w:t>whom</w:t>
      </w:r>
      <w:r>
        <w:rPr>
          <w:spacing w:val="27"/>
        </w:rPr>
        <w:t xml:space="preserve"> </w:t>
      </w:r>
      <w:r>
        <w:t>the</w:t>
      </w:r>
      <w:r>
        <w:rPr>
          <w:spacing w:val="28"/>
        </w:rPr>
        <w:t xml:space="preserve"> </w:t>
      </w:r>
      <w:r>
        <w:rPr>
          <w:spacing w:val="-1"/>
        </w:rPr>
        <w:t>costs</w:t>
      </w:r>
      <w:r>
        <w:rPr>
          <w:spacing w:val="26"/>
        </w:rPr>
        <w:t xml:space="preserve"> </w:t>
      </w:r>
      <w:r>
        <w:rPr>
          <w:spacing w:val="-2"/>
        </w:rPr>
        <w:t>of</w:t>
      </w:r>
      <w:r>
        <w:rPr>
          <w:spacing w:val="29"/>
        </w:rPr>
        <w:t xml:space="preserve"> </w:t>
      </w:r>
      <w:r>
        <w:rPr>
          <w:spacing w:val="-1"/>
        </w:rPr>
        <w:t>the</w:t>
      </w:r>
      <w:r>
        <w:rPr>
          <w:spacing w:val="24"/>
        </w:rPr>
        <w:t xml:space="preserve"> </w:t>
      </w:r>
      <w:r>
        <w:rPr>
          <w:spacing w:val="-1"/>
        </w:rPr>
        <w:t>determination,</w:t>
      </w:r>
      <w:r>
        <w:t xml:space="preserve"> </w:t>
      </w:r>
      <w:r>
        <w:rPr>
          <w:spacing w:val="-2"/>
        </w:rPr>
        <w:t>including</w:t>
      </w:r>
      <w:r>
        <w:rPr>
          <w:spacing w:val="2"/>
        </w:rPr>
        <w:t xml:space="preserve"> </w:t>
      </w:r>
      <w:r>
        <w:rPr>
          <w:spacing w:val="-1"/>
        </w:rPr>
        <w:t>his/her fees</w:t>
      </w:r>
      <w:r>
        <w:rPr>
          <w:spacing w:val="-2"/>
        </w:rPr>
        <w:t xml:space="preserve"> </w:t>
      </w:r>
      <w:r>
        <w:rPr>
          <w:spacing w:val="-1"/>
        </w:rPr>
        <w:t>and</w:t>
      </w:r>
      <w:r>
        <w:t xml:space="preserve"> </w:t>
      </w:r>
      <w:r>
        <w:rPr>
          <w:spacing w:val="-2"/>
        </w:rPr>
        <w:t>expenses,</w:t>
      </w:r>
      <w:r>
        <w:rPr>
          <w:spacing w:val="2"/>
        </w:rPr>
        <w:t xml:space="preserve"> </w:t>
      </w:r>
      <w:r>
        <w:rPr>
          <w:spacing w:val="-1"/>
        </w:rPr>
        <w:t>are</w:t>
      </w:r>
      <w:r>
        <w:rPr>
          <w:spacing w:val="-2"/>
        </w:rPr>
        <w:t xml:space="preserve"> </w:t>
      </w:r>
      <w:r>
        <w:t xml:space="preserve">to </w:t>
      </w:r>
      <w:r>
        <w:rPr>
          <w:spacing w:val="-1"/>
        </w:rPr>
        <w:t>be</w:t>
      </w:r>
      <w:r>
        <w:rPr>
          <w:spacing w:val="-2"/>
        </w:rPr>
        <w:t xml:space="preserve"> paid.</w:t>
      </w:r>
    </w:p>
    <w:p w:rsidR="008918FA" w:rsidRDefault="008918FA" w:rsidP="008918FA">
      <w:pPr>
        <w:pStyle w:val="BodyText"/>
        <w:numPr>
          <w:ilvl w:val="0"/>
          <w:numId w:val="6"/>
        </w:numPr>
        <w:tabs>
          <w:tab w:val="left" w:pos="466"/>
        </w:tabs>
        <w:spacing w:before="120"/>
        <w:ind w:left="465" w:hanging="359"/>
        <w:rPr>
          <w:rFonts w:ascii="Times New Roman" w:eastAsia="Times New Roman" w:hAnsi="Times New Roman" w:cs="Times New Roman"/>
        </w:rPr>
      </w:pPr>
      <w:r>
        <w:rPr>
          <w:rFonts w:ascii="Times New Roman"/>
          <w:spacing w:val="1"/>
        </w:rPr>
        <w:t>ARBITRATION</w:t>
      </w:r>
    </w:p>
    <w:p w:rsidR="008918FA" w:rsidRDefault="008918FA" w:rsidP="008918FA">
      <w:pPr>
        <w:rPr>
          <w:rFonts w:ascii="Times New Roman" w:eastAsia="Times New Roman" w:hAnsi="Times New Roman" w:cs="Times New Roman"/>
        </w:rPr>
        <w:sectPr w:rsidR="008918FA">
          <w:pgSz w:w="11910" w:h="16840"/>
          <w:pgMar w:top="1480" w:right="1300" w:bottom="1180" w:left="1540" w:header="0" w:footer="987" w:gutter="0"/>
          <w:cols w:space="720"/>
        </w:sectPr>
      </w:pPr>
    </w:p>
    <w:p w:rsidR="008918FA" w:rsidRDefault="008918FA" w:rsidP="008918FA">
      <w:pPr>
        <w:pStyle w:val="BodyText"/>
        <w:numPr>
          <w:ilvl w:val="1"/>
          <w:numId w:val="6"/>
        </w:numPr>
        <w:tabs>
          <w:tab w:val="left" w:pos="689"/>
        </w:tabs>
        <w:spacing w:before="59"/>
        <w:ind w:left="688" w:right="114"/>
        <w:jc w:val="both"/>
      </w:pPr>
      <w:bookmarkStart w:id="506" w:name="_bookmark420"/>
      <w:bookmarkEnd w:id="506"/>
      <w:r>
        <w:t>The</w:t>
      </w:r>
      <w:r>
        <w:rPr>
          <w:spacing w:val="7"/>
        </w:rPr>
        <w:t xml:space="preserve"> </w:t>
      </w:r>
      <w:r>
        <w:rPr>
          <w:spacing w:val="-2"/>
        </w:rPr>
        <w:t>Customer</w:t>
      </w:r>
      <w:r>
        <w:rPr>
          <w:spacing w:val="9"/>
        </w:rPr>
        <w:t xml:space="preserve"> </w:t>
      </w:r>
      <w:r>
        <w:rPr>
          <w:spacing w:val="-1"/>
        </w:rPr>
        <w:t>may</w:t>
      </w:r>
      <w:r>
        <w:rPr>
          <w:spacing w:val="5"/>
        </w:rPr>
        <w:t xml:space="preserve"> </w:t>
      </w:r>
      <w:r>
        <w:rPr>
          <w:spacing w:val="-1"/>
        </w:rPr>
        <w:t>at</w:t>
      </w:r>
      <w:r>
        <w:rPr>
          <w:spacing w:val="9"/>
        </w:rPr>
        <w:t xml:space="preserve"> </w:t>
      </w:r>
      <w:r>
        <w:rPr>
          <w:spacing w:val="-2"/>
        </w:rPr>
        <w:t>any</w:t>
      </w:r>
      <w:r>
        <w:rPr>
          <w:spacing w:val="5"/>
        </w:rPr>
        <w:t xml:space="preserve"> </w:t>
      </w:r>
      <w:r>
        <w:rPr>
          <w:spacing w:val="-1"/>
        </w:rPr>
        <w:t>time</w:t>
      </w:r>
      <w:r>
        <w:rPr>
          <w:spacing w:val="7"/>
        </w:rPr>
        <w:t xml:space="preserve"> </w:t>
      </w:r>
      <w:r>
        <w:rPr>
          <w:spacing w:val="-1"/>
        </w:rPr>
        <w:t>before</w:t>
      </w:r>
      <w:r>
        <w:rPr>
          <w:spacing w:val="7"/>
        </w:rPr>
        <w:t xml:space="preserve"> </w:t>
      </w:r>
      <w:r>
        <w:rPr>
          <w:spacing w:val="-1"/>
        </w:rPr>
        <w:t>court</w:t>
      </w:r>
      <w:r>
        <w:rPr>
          <w:spacing w:val="9"/>
        </w:rPr>
        <w:t xml:space="preserve"> </w:t>
      </w:r>
      <w:r>
        <w:rPr>
          <w:spacing w:val="-1"/>
        </w:rPr>
        <w:t>proceedings</w:t>
      </w:r>
      <w:r>
        <w:rPr>
          <w:spacing w:val="8"/>
        </w:rPr>
        <w:t xml:space="preserve"> </w:t>
      </w:r>
      <w:r>
        <w:rPr>
          <w:spacing w:val="-1"/>
        </w:rPr>
        <w:t>are</w:t>
      </w:r>
      <w:r>
        <w:rPr>
          <w:spacing w:val="5"/>
        </w:rPr>
        <w:t xml:space="preserve"> </w:t>
      </w:r>
      <w:r>
        <w:rPr>
          <w:spacing w:val="-1"/>
        </w:rPr>
        <w:t>commenced</w:t>
      </w:r>
      <w:r>
        <w:rPr>
          <w:spacing w:val="5"/>
        </w:rPr>
        <w:t xml:space="preserve"> </w:t>
      </w:r>
      <w:r>
        <w:rPr>
          <w:spacing w:val="-1"/>
        </w:rPr>
        <w:t>refer</w:t>
      </w:r>
      <w:r>
        <w:rPr>
          <w:spacing w:val="9"/>
        </w:rPr>
        <w:t xml:space="preserve"> </w:t>
      </w:r>
      <w:r>
        <w:rPr>
          <w:spacing w:val="-1"/>
        </w:rPr>
        <w:t>the</w:t>
      </w:r>
      <w:r>
        <w:rPr>
          <w:spacing w:val="59"/>
        </w:rPr>
        <w:t xml:space="preserve"> </w:t>
      </w:r>
      <w:r>
        <w:rPr>
          <w:spacing w:val="-1"/>
        </w:rPr>
        <w:t>Dispute</w:t>
      </w:r>
      <w:r>
        <w:t xml:space="preserve"> to </w:t>
      </w:r>
      <w:r>
        <w:rPr>
          <w:spacing w:val="-1"/>
        </w:rPr>
        <w:t>arbitration</w:t>
      </w:r>
      <w:r>
        <w:t xml:space="preserve"> </w:t>
      </w:r>
      <w:r>
        <w:rPr>
          <w:spacing w:val="-1"/>
        </w:rPr>
        <w:t>in</w:t>
      </w:r>
      <w:r>
        <w:t xml:space="preserve"> </w:t>
      </w:r>
      <w:r>
        <w:rPr>
          <w:spacing w:val="-1"/>
        </w:rPr>
        <w:t>accordance</w:t>
      </w:r>
      <w:r>
        <w:rPr>
          <w:spacing w:val="1"/>
        </w:rPr>
        <w:t xml:space="preserve"> </w:t>
      </w:r>
      <w:r>
        <w:rPr>
          <w:spacing w:val="-2"/>
        </w:rPr>
        <w:t>with</w:t>
      </w:r>
      <w:r>
        <w:t xml:space="preserve"> the </w:t>
      </w:r>
      <w:r>
        <w:rPr>
          <w:spacing w:val="-1"/>
        </w:rPr>
        <w:t>provisions</w:t>
      </w:r>
      <w:r>
        <w:rPr>
          <w:spacing w:val="1"/>
        </w:rPr>
        <w:t xml:space="preserve"> </w:t>
      </w:r>
      <w:r>
        <w:rPr>
          <w:spacing w:val="-1"/>
        </w:rPr>
        <w:t>of</w:t>
      </w:r>
      <w:r>
        <w:rPr>
          <w:spacing w:val="4"/>
        </w:rPr>
        <w:t xml:space="preserve"> </w:t>
      </w:r>
      <w:r>
        <w:rPr>
          <w:spacing w:val="-1"/>
        </w:rPr>
        <w:t>paragraph</w:t>
      </w:r>
      <w:r>
        <w:rPr>
          <w:spacing w:val="2"/>
        </w:rPr>
        <w:t xml:space="preserve"> </w:t>
      </w:r>
      <w:hyperlink w:anchor="_bookmark423" w:history="1">
        <w:r>
          <w:rPr>
            <w:spacing w:val="-1"/>
          </w:rPr>
          <w:t>6.4</w:t>
        </w:r>
      </w:hyperlink>
      <w:r>
        <w:t xml:space="preserve"> </w:t>
      </w:r>
      <w:r>
        <w:rPr>
          <w:spacing w:val="-2"/>
        </w:rPr>
        <w:t>of</w:t>
      </w:r>
      <w:r>
        <w:rPr>
          <w:spacing w:val="2"/>
        </w:rPr>
        <w:t xml:space="preserve"> </w:t>
      </w:r>
      <w:r>
        <w:rPr>
          <w:spacing w:val="-1"/>
        </w:rPr>
        <w:t>this</w:t>
      </w:r>
      <w:r>
        <w:rPr>
          <w:spacing w:val="1"/>
        </w:rPr>
        <w:t xml:space="preserve"> </w:t>
      </w:r>
      <w:r>
        <w:rPr>
          <w:spacing w:val="-2"/>
        </w:rPr>
        <w:t>Call</w:t>
      </w:r>
      <w:r>
        <w:rPr>
          <w:spacing w:val="47"/>
        </w:rPr>
        <w:t xml:space="preserve"> </w:t>
      </w:r>
      <w:r>
        <w:rPr>
          <w:spacing w:val="-1"/>
        </w:rPr>
        <w:t>Off</w:t>
      </w:r>
      <w:r>
        <w:rPr>
          <w:spacing w:val="2"/>
        </w:rPr>
        <w:t xml:space="preserve"> </w:t>
      </w:r>
      <w:r>
        <w:rPr>
          <w:spacing w:val="-2"/>
        </w:rPr>
        <w:t>Schedule.</w:t>
      </w:r>
    </w:p>
    <w:p w:rsidR="008918FA" w:rsidRDefault="008918FA" w:rsidP="008918FA">
      <w:pPr>
        <w:pStyle w:val="BodyText"/>
        <w:numPr>
          <w:ilvl w:val="1"/>
          <w:numId w:val="6"/>
        </w:numPr>
        <w:tabs>
          <w:tab w:val="left" w:pos="689"/>
        </w:tabs>
        <w:ind w:left="688" w:right="112"/>
        <w:jc w:val="both"/>
      </w:pPr>
      <w:bookmarkStart w:id="507" w:name="_bookmark421"/>
      <w:bookmarkEnd w:id="507"/>
      <w:r>
        <w:rPr>
          <w:spacing w:val="-1"/>
        </w:rPr>
        <w:t>Before</w:t>
      </w:r>
      <w:r>
        <w:rPr>
          <w:spacing w:val="53"/>
        </w:rPr>
        <w:t xml:space="preserve"> </w:t>
      </w:r>
      <w:r>
        <w:t>the</w:t>
      </w:r>
      <w:r>
        <w:rPr>
          <w:spacing w:val="53"/>
        </w:rPr>
        <w:t xml:space="preserve"> </w:t>
      </w:r>
      <w:r>
        <w:rPr>
          <w:spacing w:val="-2"/>
        </w:rPr>
        <w:t>Supplier</w:t>
      </w:r>
      <w:r>
        <w:rPr>
          <w:spacing w:val="54"/>
        </w:rPr>
        <w:t xml:space="preserve"> </w:t>
      </w:r>
      <w:r>
        <w:rPr>
          <w:spacing w:val="-2"/>
        </w:rPr>
        <w:t>commences</w:t>
      </w:r>
      <w:r>
        <w:rPr>
          <w:spacing w:val="53"/>
        </w:rPr>
        <w:t xml:space="preserve"> </w:t>
      </w:r>
      <w:r>
        <w:rPr>
          <w:spacing w:val="-1"/>
        </w:rPr>
        <w:t>court</w:t>
      </w:r>
      <w:r>
        <w:rPr>
          <w:spacing w:val="55"/>
        </w:rPr>
        <w:t xml:space="preserve"> </w:t>
      </w:r>
      <w:r>
        <w:rPr>
          <w:spacing w:val="-1"/>
        </w:rPr>
        <w:t>proceedings</w:t>
      </w:r>
      <w:r>
        <w:rPr>
          <w:spacing w:val="53"/>
        </w:rPr>
        <w:t xml:space="preserve"> </w:t>
      </w:r>
      <w:r>
        <w:rPr>
          <w:spacing w:val="-1"/>
        </w:rPr>
        <w:t>or</w:t>
      </w:r>
      <w:r>
        <w:rPr>
          <w:spacing w:val="55"/>
        </w:rPr>
        <w:t xml:space="preserve"> </w:t>
      </w:r>
      <w:r>
        <w:rPr>
          <w:spacing w:val="-1"/>
        </w:rPr>
        <w:t>arbitration,</w:t>
      </w:r>
      <w:r>
        <w:rPr>
          <w:spacing w:val="55"/>
        </w:rPr>
        <w:t xml:space="preserve"> </w:t>
      </w:r>
      <w:r>
        <w:rPr>
          <w:spacing w:val="-1"/>
        </w:rPr>
        <w:t>it</w:t>
      </w:r>
      <w:r>
        <w:rPr>
          <w:spacing w:val="52"/>
        </w:rPr>
        <w:t xml:space="preserve"> </w:t>
      </w:r>
      <w:r>
        <w:rPr>
          <w:spacing w:val="-2"/>
        </w:rPr>
        <w:t>shall</w:t>
      </w:r>
      <w:r>
        <w:rPr>
          <w:spacing w:val="52"/>
        </w:rPr>
        <w:t xml:space="preserve"> </w:t>
      </w:r>
      <w:r>
        <w:rPr>
          <w:spacing w:val="-1"/>
        </w:rPr>
        <w:t>serve</w:t>
      </w:r>
      <w:r>
        <w:rPr>
          <w:spacing w:val="55"/>
        </w:rPr>
        <w:t xml:space="preserve"> </w:t>
      </w:r>
      <w:r>
        <w:rPr>
          <w:spacing w:val="-1"/>
        </w:rPr>
        <w:t>written</w:t>
      </w:r>
      <w:r>
        <w:rPr>
          <w:spacing w:val="5"/>
        </w:rPr>
        <w:t xml:space="preserve"> </w:t>
      </w:r>
      <w:r>
        <w:rPr>
          <w:spacing w:val="-1"/>
        </w:rPr>
        <w:t>notice</w:t>
      </w:r>
      <w:r>
        <w:rPr>
          <w:spacing w:val="5"/>
        </w:rPr>
        <w:t xml:space="preserve"> </w:t>
      </w:r>
      <w:r>
        <w:rPr>
          <w:spacing w:val="-1"/>
        </w:rPr>
        <w:t>on</w:t>
      </w:r>
      <w:r>
        <w:rPr>
          <w:spacing w:val="5"/>
        </w:rPr>
        <w:t xml:space="preserve"> </w:t>
      </w:r>
      <w:r>
        <w:t>the</w:t>
      </w:r>
      <w:r>
        <w:rPr>
          <w:spacing w:val="5"/>
        </w:rPr>
        <w:t xml:space="preserve"> </w:t>
      </w:r>
      <w:r>
        <w:rPr>
          <w:spacing w:val="-1"/>
        </w:rPr>
        <w:t>Customer</w:t>
      </w:r>
      <w:r>
        <w:rPr>
          <w:spacing w:val="6"/>
        </w:rPr>
        <w:t xml:space="preserve"> </w:t>
      </w:r>
      <w:r>
        <w:rPr>
          <w:spacing w:val="-2"/>
        </w:rPr>
        <w:t>of</w:t>
      </w:r>
      <w:r>
        <w:rPr>
          <w:spacing w:val="9"/>
        </w:rPr>
        <w:t xml:space="preserve"> </w:t>
      </w:r>
      <w:r>
        <w:rPr>
          <w:spacing w:val="-1"/>
        </w:rPr>
        <w:t>its</w:t>
      </w:r>
      <w:r>
        <w:rPr>
          <w:spacing w:val="5"/>
        </w:rPr>
        <w:t xml:space="preserve"> </w:t>
      </w:r>
      <w:r>
        <w:rPr>
          <w:spacing w:val="-1"/>
        </w:rPr>
        <w:t>intentions</w:t>
      </w:r>
      <w:r>
        <w:rPr>
          <w:spacing w:val="5"/>
        </w:rPr>
        <w:t xml:space="preserve"> </w:t>
      </w:r>
      <w:r>
        <w:rPr>
          <w:spacing w:val="-2"/>
        </w:rPr>
        <w:t>and</w:t>
      </w:r>
      <w:r>
        <w:rPr>
          <w:spacing w:val="5"/>
        </w:rPr>
        <w:t xml:space="preserve"> </w:t>
      </w:r>
      <w:r>
        <w:t>the</w:t>
      </w:r>
      <w:r>
        <w:rPr>
          <w:spacing w:val="5"/>
        </w:rPr>
        <w:t xml:space="preserve"> </w:t>
      </w:r>
      <w:r>
        <w:rPr>
          <w:spacing w:val="-1"/>
        </w:rPr>
        <w:t>Customer</w:t>
      </w:r>
      <w:r>
        <w:rPr>
          <w:spacing w:val="6"/>
        </w:rPr>
        <w:t xml:space="preserve"> </w:t>
      </w:r>
      <w:r>
        <w:rPr>
          <w:spacing w:val="-1"/>
        </w:rPr>
        <w:t>shall</w:t>
      </w:r>
      <w:r>
        <w:rPr>
          <w:spacing w:val="4"/>
        </w:rPr>
        <w:t xml:space="preserve"> </w:t>
      </w:r>
      <w:r>
        <w:rPr>
          <w:spacing w:val="-2"/>
        </w:rPr>
        <w:t>have</w:t>
      </w:r>
      <w:r>
        <w:rPr>
          <w:spacing w:val="8"/>
        </w:rPr>
        <w:t xml:space="preserve"> </w:t>
      </w:r>
      <w:r>
        <w:t>fifteen</w:t>
      </w:r>
    </w:p>
    <w:p w:rsidR="008918FA" w:rsidRDefault="008918FA" w:rsidP="008918FA">
      <w:pPr>
        <w:pStyle w:val="BodyText"/>
        <w:spacing w:before="0"/>
        <w:ind w:left="688" w:right="112" w:firstLine="0"/>
        <w:jc w:val="both"/>
      </w:pPr>
      <w:r>
        <w:rPr>
          <w:spacing w:val="-1"/>
        </w:rPr>
        <w:t>(15)</w:t>
      </w:r>
      <w:r>
        <w:rPr>
          <w:spacing w:val="28"/>
        </w:rPr>
        <w:t xml:space="preserve"> </w:t>
      </w:r>
      <w:r>
        <w:rPr>
          <w:spacing w:val="-1"/>
        </w:rPr>
        <w:t>Working</w:t>
      </w:r>
      <w:r>
        <w:rPr>
          <w:spacing w:val="36"/>
        </w:rPr>
        <w:t xml:space="preserve"> </w:t>
      </w:r>
      <w:r>
        <w:rPr>
          <w:spacing w:val="-2"/>
        </w:rPr>
        <w:t>Days</w:t>
      </w:r>
      <w:r>
        <w:rPr>
          <w:spacing w:val="32"/>
        </w:rPr>
        <w:t xml:space="preserve"> </w:t>
      </w:r>
      <w:r>
        <w:rPr>
          <w:spacing w:val="-1"/>
        </w:rPr>
        <w:t>following</w:t>
      </w:r>
      <w:r>
        <w:rPr>
          <w:spacing w:val="36"/>
        </w:rPr>
        <w:t xml:space="preserve"> </w:t>
      </w:r>
      <w:r>
        <w:rPr>
          <w:spacing w:val="-1"/>
        </w:rPr>
        <w:t>receipt</w:t>
      </w:r>
      <w:r>
        <w:rPr>
          <w:spacing w:val="35"/>
        </w:rPr>
        <w:t xml:space="preserve"> </w:t>
      </w:r>
      <w:r>
        <w:rPr>
          <w:spacing w:val="-2"/>
        </w:rPr>
        <w:t>of</w:t>
      </w:r>
      <w:r>
        <w:rPr>
          <w:spacing w:val="35"/>
        </w:rPr>
        <w:t xml:space="preserve"> </w:t>
      </w:r>
      <w:r>
        <w:rPr>
          <w:spacing w:val="-1"/>
        </w:rPr>
        <w:t>such</w:t>
      </w:r>
      <w:r>
        <w:rPr>
          <w:spacing w:val="34"/>
        </w:rPr>
        <w:t xml:space="preserve"> </w:t>
      </w:r>
      <w:r>
        <w:rPr>
          <w:spacing w:val="-2"/>
        </w:rPr>
        <w:t>notice</w:t>
      </w:r>
      <w:r>
        <w:rPr>
          <w:spacing w:val="35"/>
        </w:rPr>
        <w:t xml:space="preserve"> </w:t>
      </w:r>
      <w:r>
        <w:t>to</w:t>
      </w:r>
      <w:r>
        <w:rPr>
          <w:spacing w:val="34"/>
        </w:rPr>
        <w:t xml:space="preserve"> </w:t>
      </w:r>
      <w:r>
        <w:rPr>
          <w:spacing w:val="-2"/>
        </w:rPr>
        <w:t>serve</w:t>
      </w:r>
      <w:r>
        <w:rPr>
          <w:spacing w:val="34"/>
        </w:rPr>
        <w:t xml:space="preserve"> </w:t>
      </w:r>
      <w:r>
        <w:t>a</w:t>
      </w:r>
      <w:r>
        <w:rPr>
          <w:spacing w:val="34"/>
        </w:rPr>
        <w:t xml:space="preserve"> </w:t>
      </w:r>
      <w:r>
        <w:rPr>
          <w:spacing w:val="-1"/>
        </w:rPr>
        <w:t>reply</w:t>
      </w:r>
      <w:r>
        <w:rPr>
          <w:spacing w:val="32"/>
        </w:rPr>
        <w:t xml:space="preserve"> </w:t>
      </w:r>
      <w:r>
        <w:t>(a</w:t>
      </w:r>
      <w:r>
        <w:rPr>
          <w:spacing w:val="34"/>
        </w:rPr>
        <w:t xml:space="preserve"> </w:t>
      </w:r>
      <w:r>
        <w:rPr>
          <w:spacing w:val="-1"/>
        </w:rPr>
        <w:t>“</w:t>
      </w:r>
      <w:r>
        <w:rPr>
          <w:rFonts w:cs="Arial"/>
          <w:b/>
          <w:bCs/>
          <w:spacing w:val="-1"/>
        </w:rPr>
        <w:t>Counter</w:t>
      </w:r>
      <w:r>
        <w:rPr>
          <w:rFonts w:cs="Arial"/>
          <w:b/>
          <w:bCs/>
          <w:spacing w:val="42"/>
        </w:rPr>
        <w:t xml:space="preserve"> </w:t>
      </w:r>
      <w:r>
        <w:rPr>
          <w:rFonts w:cs="Arial"/>
          <w:b/>
          <w:bCs/>
          <w:spacing w:val="-1"/>
        </w:rPr>
        <w:t>Notice</w:t>
      </w:r>
      <w:r>
        <w:rPr>
          <w:spacing w:val="-1"/>
        </w:rPr>
        <w:t>”)</w:t>
      </w:r>
      <w:r>
        <w:rPr>
          <w:spacing w:val="33"/>
        </w:rPr>
        <w:t xml:space="preserve"> </w:t>
      </w:r>
      <w:r>
        <w:rPr>
          <w:spacing w:val="-1"/>
        </w:rPr>
        <w:t>on</w:t>
      </w:r>
      <w:r>
        <w:rPr>
          <w:spacing w:val="31"/>
        </w:rPr>
        <w:t xml:space="preserve"> </w:t>
      </w:r>
      <w:r>
        <w:t>the</w:t>
      </w:r>
      <w:r>
        <w:rPr>
          <w:spacing w:val="31"/>
        </w:rPr>
        <w:t xml:space="preserve"> </w:t>
      </w:r>
      <w:r>
        <w:rPr>
          <w:spacing w:val="-2"/>
        </w:rPr>
        <w:t>Supplier</w:t>
      </w:r>
      <w:r>
        <w:rPr>
          <w:spacing w:val="33"/>
        </w:rPr>
        <w:t xml:space="preserve"> </w:t>
      </w:r>
      <w:r>
        <w:rPr>
          <w:spacing w:val="-1"/>
        </w:rPr>
        <w:t>requiring</w:t>
      </w:r>
      <w:r>
        <w:rPr>
          <w:spacing w:val="34"/>
        </w:rPr>
        <w:t xml:space="preserve"> </w:t>
      </w:r>
      <w:r>
        <w:t>the</w:t>
      </w:r>
      <w:r>
        <w:rPr>
          <w:spacing w:val="31"/>
        </w:rPr>
        <w:t xml:space="preserve"> </w:t>
      </w:r>
      <w:r>
        <w:rPr>
          <w:spacing w:val="-1"/>
        </w:rPr>
        <w:t>Dispute</w:t>
      </w:r>
      <w:r>
        <w:rPr>
          <w:spacing w:val="32"/>
        </w:rPr>
        <w:t xml:space="preserve"> </w:t>
      </w:r>
      <w:r>
        <w:rPr>
          <w:spacing w:val="-1"/>
        </w:rPr>
        <w:t>to</w:t>
      </w:r>
      <w:r>
        <w:rPr>
          <w:spacing w:val="31"/>
        </w:rPr>
        <w:t xml:space="preserve"> </w:t>
      </w:r>
      <w:r>
        <w:rPr>
          <w:spacing w:val="-1"/>
        </w:rPr>
        <w:t>be</w:t>
      </w:r>
      <w:r>
        <w:rPr>
          <w:spacing w:val="31"/>
        </w:rPr>
        <w:t xml:space="preserve"> </w:t>
      </w:r>
      <w:r>
        <w:rPr>
          <w:spacing w:val="-1"/>
        </w:rPr>
        <w:t>referred</w:t>
      </w:r>
      <w:r>
        <w:rPr>
          <w:spacing w:val="31"/>
        </w:rPr>
        <w:t xml:space="preserve"> </w:t>
      </w:r>
      <w:r>
        <w:t>to</w:t>
      </w:r>
      <w:r>
        <w:rPr>
          <w:spacing w:val="31"/>
        </w:rPr>
        <w:t xml:space="preserve"> </w:t>
      </w:r>
      <w:r>
        <w:rPr>
          <w:spacing w:val="-1"/>
        </w:rPr>
        <w:t>and</w:t>
      </w:r>
      <w:r>
        <w:rPr>
          <w:spacing w:val="31"/>
        </w:rPr>
        <w:t xml:space="preserve"> </w:t>
      </w:r>
      <w:r>
        <w:rPr>
          <w:spacing w:val="-2"/>
        </w:rPr>
        <w:t>resolved</w:t>
      </w:r>
      <w:r>
        <w:rPr>
          <w:spacing w:val="32"/>
        </w:rPr>
        <w:t xml:space="preserve"> </w:t>
      </w:r>
      <w:r>
        <w:rPr>
          <w:spacing w:val="1"/>
        </w:rPr>
        <w:t>by</w:t>
      </w:r>
      <w:r>
        <w:rPr>
          <w:spacing w:val="51"/>
        </w:rPr>
        <w:t xml:space="preserve"> </w:t>
      </w:r>
      <w:r>
        <w:rPr>
          <w:spacing w:val="-1"/>
        </w:rPr>
        <w:t>arbitration</w:t>
      </w:r>
      <w:r>
        <w:rPr>
          <w:spacing w:val="7"/>
        </w:rPr>
        <w:t xml:space="preserve"> </w:t>
      </w:r>
      <w:r>
        <w:rPr>
          <w:spacing w:val="-1"/>
        </w:rPr>
        <w:t>in</w:t>
      </w:r>
      <w:r>
        <w:rPr>
          <w:spacing w:val="7"/>
        </w:rPr>
        <w:t xml:space="preserve"> </w:t>
      </w:r>
      <w:r>
        <w:rPr>
          <w:spacing w:val="-1"/>
        </w:rPr>
        <w:t>accordance</w:t>
      </w:r>
      <w:r>
        <w:rPr>
          <w:spacing w:val="5"/>
        </w:rPr>
        <w:t xml:space="preserve"> </w:t>
      </w:r>
      <w:r>
        <w:rPr>
          <w:spacing w:val="-2"/>
        </w:rPr>
        <w:t>with</w:t>
      </w:r>
      <w:r>
        <w:rPr>
          <w:spacing w:val="7"/>
        </w:rPr>
        <w:t xml:space="preserve"> </w:t>
      </w:r>
      <w:r>
        <w:rPr>
          <w:spacing w:val="-1"/>
        </w:rPr>
        <w:t>paragraph</w:t>
      </w:r>
      <w:r>
        <w:t xml:space="preserve"> </w:t>
      </w:r>
      <w:hyperlink w:anchor="_bookmark423" w:history="1">
        <w:r>
          <w:t>6.4</w:t>
        </w:r>
      </w:hyperlink>
      <w:r>
        <w:rPr>
          <w:spacing w:val="5"/>
        </w:rPr>
        <w:t xml:space="preserve"> </w:t>
      </w:r>
      <w:r>
        <w:rPr>
          <w:spacing w:val="-2"/>
        </w:rPr>
        <w:t>of</w:t>
      </w:r>
      <w:r>
        <w:rPr>
          <w:spacing w:val="9"/>
        </w:rPr>
        <w:t xml:space="preserve"> </w:t>
      </w:r>
      <w:r>
        <w:rPr>
          <w:spacing w:val="-1"/>
        </w:rPr>
        <w:t>this</w:t>
      </w:r>
      <w:r>
        <w:rPr>
          <w:spacing w:val="8"/>
        </w:rPr>
        <w:t xml:space="preserve"> </w:t>
      </w:r>
      <w:r>
        <w:rPr>
          <w:spacing w:val="-2"/>
        </w:rPr>
        <w:t>Call</w:t>
      </w:r>
      <w:r>
        <w:rPr>
          <w:spacing w:val="7"/>
        </w:rPr>
        <w:t xml:space="preserve"> </w:t>
      </w:r>
      <w:r>
        <w:rPr>
          <w:spacing w:val="-1"/>
        </w:rPr>
        <w:t>Off</w:t>
      </w:r>
      <w:r>
        <w:rPr>
          <w:spacing w:val="9"/>
        </w:rPr>
        <w:t xml:space="preserve"> </w:t>
      </w:r>
      <w:r>
        <w:rPr>
          <w:spacing w:val="-2"/>
        </w:rPr>
        <w:t>Schedule</w:t>
      </w:r>
      <w:r>
        <w:rPr>
          <w:spacing w:val="7"/>
        </w:rPr>
        <w:t xml:space="preserve"> </w:t>
      </w:r>
      <w:r>
        <w:rPr>
          <w:spacing w:val="-1"/>
        </w:rPr>
        <w:t>or</w:t>
      </w:r>
      <w:r>
        <w:rPr>
          <w:spacing w:val="6"/>
        </w:rPr>
        <w:t xml:space="preserve"> </w:t>
      </w:r>
      <w:r>
        <w:rPr>
          <w:spacing w:val="-2"/>
        </w:rPr>
        <w:t>be</w:t>
      </w:r>
      <w:r>
        <w:rPr>
          <w:spacing w:val="7"/>
        </w:rPr>
        <w:t xml:space="preserve"> </w:t>
      </w:r>
      <w:r>
        <w:rPr>
          <w:spacing w:val="-1"/>
        </w:rPr>
        <w:t>subject</w:t>
      </w:r>
      <w:r>
        <w:rPr>
          <w:spacing w:val="50"/>
        </w:rPr>
        <w:t xml:space="preserve"> </w:t>
      </w:r>
      <w:r>
        <w:t>to</w:t>
      </w:r>
      <w:r>
        <w:rPr>
          <w:spacing w:val="58"/>
        </w:rPr>
        <w:t xml:space="preserve"> </w:t>
      </w:r>
      <w:r>
        <w:t>the</w:t>
      </w:r>
      <w:r>
        <w:rPr>
          <w:spacing w:val="55"/>
        </w:rPr>
        <w:t xml:space="preserve"> </w:t>
      </w:r>
      <w:r>
        <w:rPr>
          <w:spacing w:val="-1"/>
        </w:rPr>
        <w:t>jurisdiction</w:t>
      </w:r>
      <w:r>
        <w:rPr>
          <w:spacing w:val="58"/>
        </w:rPr>
        <w:t xml:space="preserve"> </w:t>
      </w:r>
      <w:r>
        <w:rPr>
          <w:spacing w:val="-2"/>
        </w:rPr>
        <w:t>of</w:t>
      </w:r>
      <w:r>
        <w:t xml:space="preserve"> </w:t>
      </w:r>
      <w:r>
        <w:rPr>
          <w:spacing w:val="-1"/>
        </w:rPr>
        <w:t>the</w:t>
      </w:r>
      <w:r>
        <w:rPr>
          <w:spacing w:val="58"/>
        </w:rPr>
        <w:t xml:space="preserve"> </w:t>
      </w:r>
      <w:r>
        <w:rPr>
          <w:spacing w:val="-1"/>
        </w:rPr>
        <w:t>courts</w:t>
      </w:r>
      <w:r>
        <w:rPr>
          <w:spacing w:val="56"/>
        </w:rPr>
        <w:t xml:space="preserve"> </w:t>
      </w:r>
      <w:r>
        <w:rPr>
          <w:spacing w:val="-1"/>
        </w:rPr>
        <w:t>in</w:t>
      </w:r>
      <w:r>
        <w:rPr>
          <w:spacing w:val="58"/>
        </w:rPr>
        <w:t xml:space="preserve"> </w:t>
      </w:r>
      <w:r>
        <w:rPr>
          <w:spacing w:val="-1"/>
        </w:rPr>
        <w:t>accordance</w:t>
      </w:r>
      <w:r>
        <w:rPr>
          <w:spacing w:val="57"/>
        </w:rPr>
        <w:t xml:space="preserve"> </w:t>
      </w:r>
      <w:r>
        <w:rPr>
          <w:spacing w:val="-2"/>
        </w:rPr>
        <w:t>with</w:t>
      </w:r>
      <w:r>
        <w:rPr>
          <w:spacing w:val="58"/>
        </w:rPr>
        <w:t xml:space="preserve"> </w:t>
      </w:r>
      <w:r>
        <w:rPr>
          <w:spacing w:val="-2"/>
        </w:rPr>
        <w:t>Clause</w:t>
      </w:r>
      <w:r>
        <w:t xml:space="preserve"> </w:t>
      </w:r>
      <w:hyperlink w:anchor="_bookmark280" w:history="1">
        <w:r>
          <w:rPr>
            <w:spacing w:val="-1"/>
          </w:rPr>
          <w:t>57</w:t>
        </w:r>
      </w:hyperlink>
      <w:r>
        <w:rPr>
          <w:spacing w:val="58"/>
        </w:rPr>
        <w:t xml:space="preserve"> </w:t>
      </w:r>
      <w:r>
        <w:rPr>
          <w:spacing w:val="-1"/>
        </w:rPr>
        <w:t>of</w:t>
      </w:r>
      <w:r>
        <w:t xml:space="preserve">  </w:t>
      </w:r>
      <w:r>
        <w:rPr>
          <w:spacing w:val="-1"/>
        </w:rPr>
        <w:t>this</w:t>
      </w:r>
      <w:r>
        <w:rPr>
          <w:spacing w:val="56"/>
        </w:rPr>
        <w:t xml:space="preserve"> </w:t>
      </w:r>
      <w:r>
        <w:rPr>
          <w:spacing w:val="-2"/>
        </w:rPr>
        <w:t>Call</w:t>
      </w:r>
      <w:r>
        <w:rPr>
          <w:spacing w:val="55"/>
        </w:rPr>
        <w:t xml:space="preserve"> </w:t>
      </w:r>
      <w:r>
        <w:rPr>
          <w:spacing w:val="-1"/>
        </w:rPr>
        <w:t>Off</w:t>
      </w:r>
      <w:r>
        <w:rPr>
          <w:spacing w:val="61"/>
        </w:rPr>
        <w:t xml:space="preserve"> </w:t>
      </w:r>
      <w:r>
        <w:rPr>
          <w:spacing w:val="-1"/>
        </w:rPr>
        <w:t>Contract</w:t>
      </w:r>
      <w:r>
        <w:rPr>
          <w:spacing w:val="21"/>
        </w:rPr>
        <w:t xml:space="preserve"> </w:t>
      </w:r>
      <w:r>
        <w:rPr>
          <w:spacing w:val="-1"/>
        </w:rPr>
        <w:t>(Governing</w:t>
      </w:r>
      <w:r>
        <w:rPr>
          <w:spacing w:val="22"/>
        </w:rPr>
        <w:t xml:space="preserve"> </w:t>
      </w:r>
      <w:r>
        <w:rPr>
          <w:spacing w:val="-2"/>
        </w:rPr>
        <w:t>Law</w:t>
      </w:r>
      <w:r>
        <w:rPr>
          <w:spacing w:val="17"/>
        </w:rPr>
        <w:t xml:space="preserve"> </w:t>
      </w:r>
      <w:r>
        <w:rPr>
          <w:spacing w:val="-1"/>
        </w:rPr>
        <w:t>and</w:t>
      </w:r>
      <w:r>
        <w:rPr>
          <w:spacing w:val="22"/>
        </w:rPr>
        <w:t xml:space="preserve"> </w:t>
      </w:r>
      <w:r>
        <w:rPr>
          <w:spacing w:val="-1"/>
        </w:rPr>
        <w:t>Jurisdiction).</w:t>
      </w:r>
      <w:r>
        <w:rPr>
          <w:spacing w:val="19"/>
        </w:rPr>
        <w:t xml:space="preserve"> </w:t>
      </w:r>
      <w:r>
        <w:t>The</w:t>
      </w:r>
      <w:r>
        <w:rPr>
          <w:spacing w:val="17"/>
        </w:rPr>
        <w:t xml:space="preserve"> </w:t>
      </w:r>
      <w:r>
        <w:rPr>
          <w:spacing w:val="-2"/>
        </w:rPr>
        <w:t>Supplier</w:t>
      </w:r>
      <w:r>
        <w:rPr>
          <w:spacing w:val="21"/>
        </w:rPr>
        <w:t xml:space="preserve"> </w:t>
      </w:r>
      <w:r>
        <w:rPr>
          <w:spacing w:val="-1"/>
        </w:rPr>
        <w:t>shall</w:t>
      </w:r>
      <w:r>
        <w:rPr>
          <w:spacing w:val="21"/>
        </w:rPr>
        <w:t xml:space="preserve"> </w:t>
      </w:r>
      <w:r>
        <w:rPr>
          <w:spacing w:val="-1"/>
        </w:rPr>
        <w:t>not</w:t>
      </w:r>
      <w:r>
        <w:rPr>
          <w:spacing w:val="21"/>
        </w:rPr>
        <w:t xml:space="preserve"> </w:t>
      </w:r>
      <w:r>
        <w:rPr>
          <w:spacing w:val="-1"/>
        </w:rPr>
        <w:t>commence</w:t>
      </w:r>
      <w:r>
        <w:rPr>
          <w:spacing w:val="20"/>
        </w:rPr>
        <w:t xml:space="preserve"> </w:t>
      </w:r>
      <w:r>
        <w:rPr>
          <w:spacing w:val="-1"/>
        </w:rPr>
        <w:t>any</w:t>
      </w:r>
      <w:r>
        <w:rPr>
          <w:spacing w:val="40"/>
        </w:rPr>
        <w:t xml:space="preserve"> </w:t>
      </w:r>
      <w:r>
        <w:rPr>
          <w:spacing w:val="-1"/>
        </w:rPr>
        <w:t>court</w:t>
      </w:r>
      <w:r>
        <w:rPr>
          <w:spacing w:val="35"/>
        </w:rPr>
        <w:t xml:space="preserve"> </w:t>
      </w:r>
      <w:r>
        <w:rPr>
          <w:spacing w:val="-1"/>
        </w:rPr>
        <w:t>proceedings</w:t>
      </w:r>
      <w:r>
        <w:rPr>
          <w:spacing w:val="34"/>
        </w:rPr>
        <w:t xml:space="preserve"> </w:t>
      </w:r>
      <w:r>
        <w:rPr>
          <w:spacing w:val="-1"/>
        </w:rPr>
        <w:t>or</w:t>
      </w:r>
      <w:r>
        <w:rPr>
          <w:spacing w:val="35"/>
        </w:rPr>
        <w:t xml:space="preserve"> </w:t>
      </w:r>
      <w:r>
        <w:rPr>
          <w:spacing w:val="-1"/>
        </w:rPr>
        <w:t>arbitration</w:t>
      </w:r>
      <w:r>
        <w:rPr>
          <w:spacing w:val="34"/>
        </w:rPr>
        <w:t xml:space="preserve"> </w:t>
      </w:r>
      <w:r>
        <w:rPr>
          <w:spacing w:val="-1"/>
        </w:rPr>
        <w:t>until</w:t>
      </w:r>
      <w:r>
        <w:rPr>
          <w:spacing w:val="33"/>
        </w:rPr>
        <w:t xml:space="preserve"> </w:t>
      </w:r>
      <w:r>
        <w:t>the</w:t>
      </w:r>
      <w:r>
        <w:rPr>
          <w:spacing w:val="34"/>
        </w:rPr>
        <w:t xml:space="preserve"> </w:t>
      </w:r>
      <w:r>
        <w:rPr>
          <w:spacing w:val="-2"/>
        </w:rPr>
        <w:t>expiry</w:t>
      </w:r>
      <w:r>
        <w:rPr>
          <w:spacing w:val="35"/>
        </w:rPr>
        <w:t xml:space="preserve"> </w:t>
      </w:r>
      <w:r>
        <w:rPr>
          <w:spacing w:val="-1"/>
        </w:rPr>
        <w:t>of</w:t>
      </w:r>
      <w:r>
        <w:rPr>
          <w:spacing w:val="38"/>
        </w:rPr>
        <w:t xml:space="preserve"> </w:t>
      </w:r>
      <w:r>
        <w:rPr>
          <w:spacing w:val="-1"/>
        </w:rPr>
        <w:t>such</w:t>
      </w:r>
      <w:r>
        <w:rPr>
          <w:spacing w:val="34"/>
        </w:rPr>
        <w:t xml:space="preserve"> </w:t>
      </w:r>
      <w:r>
        <w:rPr>
          <w:spacing w:val="-1"/>
        </w:rPr>
        <w:t>fifteen</w:t>
      </w:r>
      <w:r>
        <w:rPr>
          <w:spacing w:val="34"/>
        </w:rPr>
        <w:t xml:space="preserve"> </w:t>
      </w:r>
      <w:r>
        <w:rPr>
          <w:spacing w:val="-1"/>
        </w:rPr>
        <w:t>(15)</w:t>
      </w:r>
      <w:r>
        <w:rPr>
          <w:spacing w:val="-6"/>
        </w:rPr>
        <w:t xml:space="preserve"> </w:t>
      </w:r>
      <w:r>
        <w:rPr>
          <w:spacing w:val="-1"/>
        </w:rPr>
        <w:t>Working</w:t>
      </w:r>
      <w:r>
        <w:rPr>
          <w:spacing w:val="36"/>
        </w:rPr>
        <w:t xml:space="preserve"> </w:t>
      </w:r>
      <w:r>
        <w:rPr>
          <w:spacing w:val="-1"/>
        </w:rPr>
        <w:t>Day</w:t>
      </w:r>
      <w:r>
        <w:rPr>
          <w:spacing w:val="59"/>
        </w:rPr>
        <w:t xml:space="preserve"> </w:t>
      </w:r>
      <w:r>
        <w:rPr>
          <w:spacing w:val="-1"/>
        </w:rPr>
        <w:t>period.</w:t>
      </w:r>
    </w:p>
    <w:p w:rsidR="008918FA" w:rsidRDefault="008918FA" w:rsidP="008918FA">
      <w:pPr>
        <w:pStyle w:val="BodyText"/>
        <w:numPr>
          <w:ilvl w:val="1"/>
          <w:numId w:val="6"/>
        </w:numPr>
        <w:tabs>
          <w:tab w:val="left" w:pos="689"/>
        </w:tabs>
        <w:spacing w:before="121"/>
        <w:ind w:left="688"/>
      </w:pPr>
      <w:bookmarkStart w:id="508" w:name="_bookmark422"/>
      <w:bookmarkEnd w:id="508"/>
      <w:r>
        <w:rPr>
          <w:spacing w:val="-1"/>
        </w:rPr>
        <w:t>If:</w:t>
      </w:r>
    </w:p>
    <w:p w:rsidR="008918FA" w:rsidRDefault="008918FA" w:rsidP="008918FA">
      <w:pPr>
        <w:pStyle w:val="BodyText"/>
        <w:numPr>
          <w:ilvl w:val="2"/>
          <w:numId w:val="6"/>
        </w:numPr>
        <w:tabs>
          <w:tab w:val="left" w:pos="1887"/>
        </w:tabs>
        <w:ind w:left="1886" w:right="115"/>
        <w:jc w:val="both"/>
      </w:pPr>
      <w:r>
        <w:t>the</w:t>
      </w:r>
      <w:r>
        <w:rPr>
          <w:spacing w:val="31"/>
        </w:rPr>
        <w:t xml:space="preserve"> </w:t>
      </w:r>
      <w:r>
        <w:rPr>
          <w:spacing w:val="-1"/>
        </w:rPr>
        <w:t>Counter</w:t>
      </w:r>
      <w:r>
        <w:rPr>
          <w:spacing w:val="33"/>
        </w:rPr>
        <w:t xml:space="preserve"> </w:t>
      </w:r>
      <w:r>
        <w:rPr>
          <w:spacing w:val="-1"/>
        </w:rPr>
        <w:t>Notice</w:t>
      </w:r>
      <w:r>
        <w:rPr>
          <w:spacing w:val="32"/>
        </w:rPr>
        <w:t xml:space="preserve"> </w:t>
      </w:r>
      <w:r>
        <w:rPr>
          <w:spacing w:val="-1"/>
        </w:rPr>
        <w:t>requires</w:t>
      </w:r>
      <w:r>
        <w:rPr>
          <w:spacing w:val="32"/>
        </w:rPr>
        <w:t xml:space="preserve"> </w:t>
      </w:r>
      <w:r>
        <w:t>the</w:t>
      </w:r>
      <w:r>
        <w:rPr>
          <w:spacing w:val="31"/>
        </w:rPr>
        <w:t xml:space="preserve"> </w:t>
      </w:r>
      <w:r>
        <w:rPr>
          <w:spacing w:val="-1"/>
        </w:rPr>
        <w:t>Dispute</w:t>
      </w:r>
      <w:r>
        <w:rPr>
          <w:spacing w:val="31"/>
        </w:rPr>
        <w:t xml:space="preserve"> </w:t>
      </w:r>
      <w:r>
        <w:t>to</w:t>
      </w:r>
      <w:r>
        <w:rPr>
          <w:spacing w:val="32"/>
        </w:rPr>
        <w:t xml:space="preserve"> </w:t>
      </w:r>
      <w:r>
        <w:rPr>
          <w:spacing w:val="-1"/>
        </w:rPr>
        <w:t>be</w:t>
      </w:r>
      <w:r>
        <w:rPr>
          <w:spacing w:val="31"/>
        </w:rPr>
        <w:t xml:space="preserve"> </w:t>
      </w:r>
      <w:r>
        <w:rPr>
          <w:spacing w:val="-1"/>
        </w:rPr>
        <w:t>referred</w:t>
      </w:r>
      <w:r>
        <w:rPr>
          <w:spacing w:val="31"/>
        </w:rPr>
        <w:t xml:space="preserve"> </w:t>
      </w:r>
      <w:r>
        <w:t>to</w:t>
      </w:r>
      <w:r>
        <w:rPr>
          <w:spacing w:val="31"/>
        </w:rPr>
        <w:t xml:space="preserve"> </w:t>
      </w:r>
      <w:r>
        <w:rPr>
          <w:spacing w:val="-1"/>
        </w:rPr>
        <w:t>arbitration,</w:t>
      </w:r>
      <w:r>
        <w:rPr>
          <w:spacing w:val="24"/>
        </w:rPr>
        <w:t xml:space="preserve"> </w:t>
      </w:r>
      <w:r>
        <w:t xml:space="preserve">the </w:t>
      </w:r>
      <w:r>
        <w:rPr>
          <w:spacing w:val="-2"/>
        </w:rPr>
        <w:t>provisions</w:t>
      </w:r>
      <w:r>
        <w:rPr>
          <w:spacing w:val="1"/>
        </w:rPr>
        <w:t xml:space="preserve"> </w:t>
      </w:r>
      <w:r>
        <w:rPr>
          <w:spacing w:val="-1"/>
        </w:rPr>
        <w:t>of</w:t>
      </w:r>
      <w:r>
        <w:rPr>
          <w:spacing w:val="2"/>
        </w:rPr>
        <w:t xml:space="preserve"> </w:t>
      </w:r>
      <w:r>
        <w:rPr>
          <w:spacing w:val="-1"/>
        </w:rPr>
        <w:t>paragraph</w:t>
      </w:r>
      <w:r>
        <w:rPr>
          <w:spacing w:val="1"/>
        </w:rPr>
        <w:t xml:space="preserve"> </w:t>
      </w:r>
      <w:hyperlink w:anchor="_bookmark423" w:history="1">
        <w:r>
          <w:t>6.4</w:t>
        </w:r>
      </w:hyperlink>
      <w:r>
        <w:rPr>
          <w:spacing w:val="-2"/>
        </w:rPr>
        <w:t xml:space="preserve"> of</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2"/>
        </w:rPr>
        <w:t>Schedule</w:t>
      </w:r>
      <w:r>
        <w:rPr>
          <w:spacing w:val="1"/>
        </w:rPr>
        <w:t xml:space="preserve"> </w:t>
      </w:r>
      <w:r>
        <w:rPr>
          <w:spacing w:val="-1"/>
        </w:rPr>
        <w:t>shall</w:t>
      </w:r>
      <w:r>
        <w:t xml:space="preserve"> </w:t>
      </w:r>
      <w:r>
        <w:rPr>
          <w:spacing w:val="-2"/>
        </w:rPr>
        <w:t>apply;</w:t>
      </w:r>
    </w:p>
    <w:p w:rsidR="008918FA" w:rsidRDefault="008918FA" w:rsidP="008918FA">
      <w:pPr>
        <w:pStyle w:val="BodyText"/>
        <w:numPr>
          <w:ilvl w:val="2"/>
          <w:numId w:val="6"/>
        </w:numPr>
        <w:tabs>
          <w:tab w:val="left" w:pos="1887"/>
        </w:tabs>
        <w:ind w:left="1886" w:right="114"/>
        <w:jc w:val="both"/>
      </w:pPr>
      <w:r>
        <w:t>the</w:t>
      </w:r>
      <w:r>
        <w:rPr>
          <w:spacing w:val="15"/>
        </w:rPr>
        <w:t xml:space="preserve"> </w:t>
      </w:r>
      <w:r>
        <w:rPr>
          <w:spacing w:val="-1"/>
        </w:rPr>
        <w:t>Counter</w:t>
      </w:r>
      <w:r>
        <w:rPr>
          <w:spacing w:val="16"/>
        </w:rPr>
        <w:t xml:space="preserve"> </w:t>
      </w:r>
      <w:r>
        <w:rPr>
          <w:spacing w:val="-2"/>
        </w:rPr>
        <w:t>Notice</w:t>
      </w:r>
      <w:r>
        <w:rPr>
          <w:spacing w:val="15"/>
        </w:rPr>
        <w:t xml:space="preserve"> </w:t>
      </w:r>
      <w:r>
        <w:rPr>
          <w:spacing w:val="-1"/>
        </w:rPr>
        <w:t>requires</w:t>
      </w:r>
      <w:r>
        <w:rPr>
          <w:spacing w:val="15"/>
        </w:rPr>
        <w:t xml:space="preserve"> </w:t>
      </w:r>
      <w:r>
        <w:t>the</w:t>
      </w:r>
      <w:r>
        <w:rPr>
          <w:spacing w:val="15"/>
        </w:rPr>
        <w:t xml:space="preserve"> </w:t>
      </w:r>
      <w:r>
        <w:rPr>
          <w:spacing w:val="-1"/>
        </w:rPr>
        <w:t>Dispute</w:t>
      </w:r>
      <w:r>
        <w:rPr>
          <w:spacing w:val="12"/>
        </w:rPr>
        <w:t xml:space="preserve"> </w:t>
      </w:r>
      <w:r>
        <w:t>to</w:t>
      </w:r>
      <w:r>
        <w:rPr>
          <w:spacing w:val="15"/>
        </w:rPr>
        <w:t xml:space="preserve"> </w:t>
      </w:r>
      <w:r>
        <w:rPr>
          <w:spacing w:val="-1"/>
        </w:rPr>
        <w:t>be</w:t>
      </w:r>
      <w:r>
        <w:rPr>
          <w:spacing w:val="15"/>
        </w:rPr>
        <w:t xml:space="preserve"> </w:t>
      </w:r>
      <w:r>
        <w:rPr>
          <w:spacing w:val="-1"/>
        </w:rPr>
        <w:t>subject</w:t>
      </w:r>
      <w:r>
        <w:rPr>
          <w:spacing w:val="14"/>
        </w:rPr>
        <w:t xml:space="preserve"> </w:t>
      </w:r>
      <w:r>
        <w:t>to</w:t>
      </w:r>
      <w:r>
        <w:rPr>
          <w:spacing w:val="15"/>
        </w:rPr>
        <w:t xml:space="preserve"> </w:t>
      </w:r>
      <w:r>
        <w:t>the</w:t>
      </w:r>
      <w:r>
        <w:rPr>
          <w:spacing w:val="15"/>
        </w:rPr>
        <w:t xml:space="preserve"> </w:t>
      </w:r>
      <w:r>
        <w:rPr>
          <w:spacing w:val="-2"/>
        </w:rPr>
        <w:t>exclusive</w:t>
      </w:r>
      <w:r>
        <w:rPr>
          <w:spacing w:val="41"/>
        </w:rPr>
        <w:t xml:space="preserve"> </w:t>
      </w:r>
      <w:r>
        <w:rPr>
          <w:spacing w:val="-1"/>
        </w:rPr>
        <w:t>jurisdiction</w:t>
      </w:r>
      <w:r>
        <w:rPr>
          <w:spacing w:val="20"/>
        </w:rPr>
        <w:t xml:space="preserve"> </w:t>
      </w:r>
      <w:r>
        <w:rPr>
          <w:spacing w:val="-2"/>
        </w:rPr>
        <w:t>of</w:t>
      </w:r>
      <w:r>
        <w:rPr>
          <w:spacing w:val="19"/>
        </w:rPr>
        <w:t xml:space="preserve"> </w:t>
      </w:r>
      <w:r>
        <w:t>the</w:t>
      </w:r>
      <w:r>
        <w:rPr>
          <w:spacing w:val="20"/>
        </w:rPr>
        <w:t xml:space="preserve"> </w:t>
      </w:r>
      <w:r>
        <w:rPr>
          <w:spacing w:val="-1"/>
        </w:rPr>
        <w:t>courts</w:t>
      </w:r>
      <w:r>
        <w:rPr>
          <w:spacing w:val="18"/>
        </w:rPr>
        <w:t xml:space="preserve"> </w:t>
      </w:r>
      <w:r>
        <w:rPr>
          <w:spacing w:val="-1"/>
        </w:rPr>
        <w:t>in</w:t>
      </w:r>
      <w:r>
        <w:rPr>
          <w:spacing w:val="19"/>
        </w:rPr>
        <w:t xml:space="preserve"> </w:t>
      </w:r>
      <w:r>
        <w:rPr>
          <w:spacing w:val="-1"/>
        </w:rPr>
        <w:t>accordance</w:t>
      </w:r>
      <w:r>
        <w:rPr>
          <w:spacing w:val="20"/>
        </w:rPr>
        <w:t xml:space="preserve"> </w:t>
      </w:r>
      <w:r>
        <w:rPr>
          <w:spacing w:val="-2"/>
        </w:rPr>
        <w:t>with</w:t>
      </w:r>
      <w:r>
        <w:rPr>
          <w:spacing w:val="20"/>
        </w:rPr>
        <w:t xml:space="preserve"> </w:t>
      </w:r>
      <w:r>
        <w:rPr>
          <w:spacing w:val="-2"/>
        </w:rPr>
        <w:t>Clause</w:t>
      </w:r>
      <w:r>
        <w:rPr>
          <w:spacing w:val="20"/>
        </w:rPr>
        <w:t xml:space="preserve"> </w:t>
      </w:r>
      <w:r>
        <w:rPr>
          <w:spacing w:val="-1"/>
        </w:rPr>
        <w:t>61</w:t>
      </w:r>
      <w:r>
        <w:rPr>
          <w:spacing w:val="21"/>
        </w:rPr>
        <w:t xml:space="preserve"> </w:t>
      </w:r>
      <w:r>
        <w:rPr>
          <w:spacing w:val="-2"/>
        </w:rPr>
        <w:t>of</w:t>
      </w:r>
      <w:r>
        <w:rPr>
          <w:spacing w:val="21"/>
        </w:rPr>
        <w:t xml:space="preserve"> </w:t>
      </w:r>
      <w:r>
        <w:rPr>
          <w:spacing w:val="-1"/>
        </w:rPr>
        <w:t>this</w:t>
      </w:r>
      <w:r>
        <w:rPr>
          <w:spacing w:val="17"/>
        </w:rPr>
        <w:t xml:space="preserve"> </w:t>
      </w:r>
      <w:r>
        <w:rPr>
          <w:spacing w:val="-2"/>
        </w:rPr>
        <w:t>Call</w:t>
      </w:r>
      <w:r>
        <w:rPr>
          <w:spacing w:val="17"/>
        </w:rPr>
        <w:t xml:space="preserve"> </w:t>
      </w:r>
      <w:r>
        <w:rPr>
          <w:spacing w:val="-1"/>
        </w:rPr>
        <w:t>Off</w:t>
      </w:r>
      <w:r>
        <w:rPr>
          <w:spacing w:val="51"/>
        </w:rPr>
        <w:t xml:space="preserve"> </w:t>
      </w:r>
      <w:r>
        <w:rPr>
          <w:spacing w:val="-1"/>
        </w:rPr>
        <w:t>Contract</w:t>
      </w:r>
      <w:r>
        <w:rPr>
          <w:spacing w:val="52"/>
        </w:rPr>
        <w:t xml:space="preserve"> </w:t>
      </w:r>
      <w:r>
        <w:rPr>
          <w:spacing w:val="-1"/>
        </w:rPr>
        <w:t>(Governing</w:t>
      </w:r>
      <w:r>
        <w:rPr>
          <w:spacing w:val="53"/>
        </w:rPr>
        <w:t xml:space="preserve"> </w:t>
      </w:r>
      <w:r>
        <w:rPr>
          <w:spacing w:val="-2"/>
        </w:rPr>
        <w:t>Law</w:t>
      </w:r>
      <w:r>
        <w:rPr>
          <w:spacing w:val="47"/>
        </w:rPr>
        <w:t xml:space="preserve"> </w:t>
      </w:r>
      <w:r>
        <w:rPr>
          <w:spacing w:val="-1"/>
        </w:rPr>
        <w:t>and</w:t>
      </w:r>
      <w:r>
        <w:rPr>
          <w:spacing w:val="51"/>
        </w:rPr>
        <w:t xml:space="preserve"> </w:t>
      </w:r>
      <w:r>
        <w:rPr>
          <w:spacing w:val="-1"/>
        </w:rPr>
        <w:t>Jurisdiction),</w:t>
      </w:r>
      <w:r>
        <w:rPr>
          <w:spacing w:val="52"/>
        </w:rPr>
        <w:t xml:space="preserve"> </w:t>
      </w:r>
      <w:r>
        <w:t>the</w:t>
      </w:r>
      <w:r>
        <w:rPr>
          <w:spacing w:val="48"/>
        </w:rPr>
        <w:t xml:space="preserve"> </w:t>
      </w:r>
      <w:r>
        <w:rPr>
          <w:spacing w:val="-1"/>
        </w:rPr>
        <w:t>Dispute</w:t>
      </w:r>
      <w:r>
        <w:rPr>
          <w:spacing w:val="52"/>
        </w:rPr>
        <w:t xml:space="preserve"> </w:t>
      </w:r>
      <w:r>
        <w:rPr>
          <w:spacing w:val="-1"/>
        </w:rPr>
        <w:t>shall</w:t>
      </w:r>
      <w:r>
        <w:rPr>
          <w:spacing w:val="50"/>
        </w:rPr>
        <w:t xml:space="preserve"> </w:t>
      </w:r>
      <w:r>
        <w:rPr>
          <w:spacing w:val="-1"/>
        </w:rPr>
        <w:t>be</w:t>
      </w:r>
      <w:r>
        <w:rPr>
          <w:spacing w:val="51"/>
        </w:rPr>
        <w:t xml:space="preserve"> </w:t>
      </w:r>
      <w:r>
        <w:rPr>
          <w:spacing w:val="-1"/>
        </w:rPr>
        <w:t>so</w:t>
      </w:r>
      <w:r>
        <w:rPr>
          <w:spacing w:val="24"/>
        </w:rPr>
        <w:t xml:space="preserve"> </w:t>
      </w:r>
      <w:r>
        <w:rPr>
          <w:spacing w:val="-1"/>
        </w:rPr>
        <w:t>referred</w:t>
      </w:r>
      <w:r>
        <w:rPr>
          <w:spacing w:val="15"/>
        </w:rPr>
        <w:t xml:space="preserve"> </w:t>
      </w:r>
      <w:r>
        <w:t>to</w:t>
      </w:r>
      <w:r>
        <w:rPr>
          <w:spacing w:val="12"/>
        </w:rPr>
        <w:t xml:space="preserve"> </w:t>
      </w:r>
      <w:r>
        <w:t>the</w:t>
      </w:r>
      <w:r>
        <w:rPr>
          <w:spacing w:val="15"/>
        </w:rPr>
        <w:t xml:space="preserve"> </w:t>
      </w:r>
      <w:r>
        <w:rPr>
          <w:spacing w:val="-1"/>
        </w:rPr>
        <w:t>courts</w:t>
      </w:r>
      <w:r>
        <w:rPr>
          <w:spacing w:val="15"/>
        </w:rPr>
        <w:t xml:space="preserve"> </w:t>
      </w:r>
      <w:r>
        <w:rPr>
          <w:spacing w:val="-2"/>
        </w:rPr>
        <w:t>and</w:t>
      </w:r>
      <w:r>
        <w:rPr>
          <w:spacing w:val="15"/>
        </w:rPr>
        <w:t xml:space="preserve"> </w:t>
      </w:r>
      <w:r>
        <w:t>the</w:t>
      </w:r>
      <w:r>
        <w:rPr>
          <w:spacing w:val="15"/>
        </w:rPr>
        <w:t xml:space="preserve"> </w:t>
      </w:r>
      <w:r>
        <w:rPr>
          <w:spacing w:val="-2"/>
        </w:rPr>
        <w:t>Supplier</w:t>
      </w:r>
      <w:r>
        <w:rPr>
          <w:spacing w:val="16"/>
        </w:rPr>
        <w:t xml:space="preserve"> </w:t>
      </w:r>
      <w:r>
        <w:rPr>
          <w:spacing w:val="-1"/>
        </w:rPr>
        <w:t>shall</w:t>
      </w:r>
      <w:r>
        <w:rPr>
          <w:spacing w:val="14"/>
        </w:rPr>
        <w:t xml:space="preserve"> </w:t>
      </w:r>
      <w:r>
        <w:rPr>
          <w:spacing w:val="-1"/>
        </w:rPr>
        <w:t>not</w:t>
      </w:r>
      <w:r>
        <w:rPr>
          <w:spacing w:val="19"/>
        </w:rPr>
        <w:t xml:space="preserve"> </w:t>
      </w:r>
      <w:r>
        <w:rPr>
          <w:spacing w:val="-1"/>
        </w:rPr>
        <w:t>commence</w:t>
      </w:r>
      <w:r>
        <w:rPr>
          <w:spacing w:val="15"/>
        </w:rPr>
        <w:t xml:space="preserve"> </w:t>
      </w:r>
      <w:r>
        <w:rPr>
          <w:spacing w:val="-1"/>
        </w:rPr>
        <w:t>arbitration</w:t>
      </w:r>
      <w:r>
        <w:rPr>
          <w:spacing w:val="42"/>
        </w:rPr>
        <w:t xml:space="preserve"> </w:t>
      </w:r>
      <w:r>
        <w:rPr>
          <w:spacing w:val="-1"/>
        </w:rPr>
        <w:t>proceedings;</w:t>
      </w:r>
    </w:p>
    <w:p w:rsidR="008918FA" w:rsidRDefault="008918FA" w:rsidP="008918FA">
      <w:pPr>
        <w:pStyle w:val="BodyText"/>
        <w:numPr>
          <w:ilvl w:val="2"/>
          <w:numId w:val="6"/>
        </w:numPr>
        <w:tabs>
          <w:tab w:val="left" w:pos="1887"/>
        </w:tabs>
        <w:ind w:left="1886"/>
      </w:pPr>
      <w:r>
        <w:t xml:space="preserve">the </w:t>
      </w:r>
      <w:r>
        <w:rPr>
          <w:spacing w:val="11"/>
        </w:rPr>
        <w:t xml:space="preserve"> </w:t>
      </w:r>
      <w:r>
        <w:rPr>
          <w:spacing w:val="-1"/>
        </w:rPr>
        <w:t>Customer</w:t>
      </w:r>
      <w:r>
        <w:t xml:space="preserve"> </w:t>
      </w:r>
      <w:r>
        <w:rPr>
          <w:spacing w:val="13"/>
        </w:rPr>
        <w:t xml:space="preserve"> </w:t>
      </w:r>
      <w:r>
        <w:rPr>
          <w:spacing w:val="-1"/>
        </w:rPr>
        <w:t>does</w:t>
      </w:r>
      <w:r>
        <w:t xml:space="preserve"> </w:t>
      </w:r>
      <w:r>
        <w:rPr>
          <w:spacing w:val="12"/>
        </w:rPr>
        <w:t xml:space="preserve"> </w:t>
      </w:r>
      <w:r>
        <w:rPr>
          <w:spacing w:val="-2"/>
        </w:rPr>
        <w:t>not</w:t>
      </w:r>
      <w:r>
        <w:t xml:space="preserve"> </w:t>
      </w:r>
      <w:r>
        <w:rPr>
          <w:spacing w:val="10"/>
        </w:rPr>
        <w:t xml:space="preserve"> </w:t>
      </w:r>
      <w:r>
        <w:rPr>
          <w:spacing w:val="-1"/>
        </w:rPr>
        <w:t>serve</w:t>
      </w:r>
      <w:r>
        <w:t xml:space="preserve"> </w:t>
      </w:r>
      <w:r>
        <w:rPr>
          <w:spacing w:val="11"/>
        </w:rPr>
        <w:t xml:space="preserve"> </w:t>
      </w:r>
      <w:r>
        <w:t xml:space="preserve">a </w:t>
      </w:r>
      <w:r>
        <w:rPr>
          <w:spacing w:val="11"/>
        </w:rPr>
        <w:t xml:space="preserve"> </w:t>
      </w:r>
      <w:r>
        <w:rPr>
          <w:spacing w:val="-1"/>
        </w:rPr>
        <w:t>Counter</w:t>
      </w:r>
      <w:r>
        <w:t xml:space="preserve"> </w:t>
      </w:r>
      <w:r>
        <w:rPr>
          <w:spacing w:val="13"/>
        </w:rPr>
        <w:t xml:space="preserve"> </w:t>
      </w:r>
      <w:r>
        <w:rPr>
          <w:spacing w:val="-1"/>
        </w:rPr>
        <w:t>Notice</w:t>
      </w:r>
      <w:r>
        <w:t xml:space="preserve"> </w:t>
      </w:r>
      <w:r>
        <w:rPr>
          <w:spacing w:val="12"/>
        </w:rPr>
        <w:t xml:space="preserve"> </w:t>
      </w:r>
      <w:r>
        <w:rPr>
          <w:spacing w:val="-1"/>
        </w:rPr>
        <w:t>within</w:t>
      </w:r>
      <w:r>
        <w:t xml:space="preserve"> </w:t>
      </w:r>
      <w:r>
        <w:rPr>
          <w:spacing w:val="11"/>
        </w:rPr>
        <w:t xml:space="preserve"> </w:t>
      </w:r>
      <w:r>
        <w:t xml:space="preserve">the </w:t>
      </w:r>
      <w:r>
        <w:rPr>
          <w:spacing w:val="10"/>
        </w:rPr>
        <w:t xml:space="preserve"> </w:t>
      </w:r>
      <w:r>
        <w:t>fifteen</w:t>
      </w:r>
    </w:p>
    <w:p w:rsidR="008918FA" w:rsidRDefault="008918FA" w:rsidP="008918FA">
      <w:pPr>
        <w:pStyle w:val="BodyText"/>
        <w:spacing w:before="1"/>
        <w:ind w:right="114" w:firstLine="0"/>
        <w:jc w:val="both"/>
      </w:pPr>
      <w:r>
        <w:rPr>
          <w:spacing w:val="-1"/>
        </w:rPr>
        <w:t>(15)</w:t>
      </w:r>
      <w:r>
        <w:rPr>
          <w:spacing w:val="-5"/>
        </w:rPr>
        <w:t xml:space="preserve"> </w:t>
      </w:r>
      <w:r>
        <w:rPr>
          <w:spacing w:val="-1"/>
        </w:rPr>
        <w:t>Working</w:t>
      </w:r>
      <w:r>
        <w:rPr>
          <w:spacing w:val="24"/>
        </w:rPr>
        <w:t xml:space="preserve"> </w:t>
      </w:r>
      <w:r>
        <w:rPr>
          <w:spacing w:val="-2"/>
        </w:rPr>
        <w:t>Days</w:t>
      </w:r>
      <w:r>
        <w:rPr>
          <w:spacing w:val="25"/>
        </w:rPr>
        <w:t xml:space="preserve"> </w:t>
      </w:r>
      <w:r>
        <w:rPr>
          <w:spacing w:val="-1"/>
        </w:rPr>
        <w:t>period</w:t>
      </w:r>
      <w:r>
        <w:rPr>
          <w:spacing w:val="24"/>
        </w:rPr>
        <w:t xml:space="preserve"> </w:t>
      </w:r>
      <w:r>
        <w:rPr>
          <w:spacing w:val="-1"/>
        </w:rPr>
        <w:t>referred</w:t>
      </w:r>
      <w:r>
        <w:rPr>
          <w:spacing w:val="22"/>
        </w:rPr>
        <w:t xml:space="preserve"> </w:t>
      </w:r>
      <w:r>
        <w:t>to</w:t>
      </w:r>
      <w:r>
        <w:rPr>
          <w:spacing w:val="24"/>
        </w:rPr>
        <w:t xml:space="preserve"> </w:t>
      </w:r>
      <w:r>
        <w:rPr>
          <w:spacing w:val="-1"/>
        </w:rPr>
        <w:t>in</w:t>
      </w:r>
      <w:r>
        <w:rPr>
          <w:spacing w:val="24"/>
        </w:rPr>
        <w:t xml:space="preserve"> </w:t>
      </w:r>
      <w:r>
        <w:rPr>
          <w:spacing w:val="-1"/>
        </w:rPr>
        <w:t>paragraph</w:t>
      </w:r>
      <w:r>
        <w:rPr>
          <w:spacing w:val="2"/>
        </w:rPr>
        <w:t xml:space="preserve"> </w:t>
      </w:r>
      <w:hyperlink w:anchor="_bookmark421" w:history="1">
        <w:r>
          <w:t>6.2</w:t>
        </w:r>
      </w:hyperlink>
      <w:r>
        <w:rPr>
          <w:spacing w:val="24"/>
        </w:rPr>
        <w:t xml:space="preserve"> </w:t>
      </w:r>
      <w:r>
        <w:rPr>
          <w:spacing w:val="-2"/>
        </w:rPr>
        <w:t>of</w:t>
      </w:r>
      <w:r>
        <w:rPr>
          <w:spacing w:val="23"/>
        </w:rPr>
        <w:t xml:space="preserve"> </w:t>
      </w:r>
      <w:r>
        <w:rPr>
          <w:spacing w:val="-1"/>
        </w:rPr>
        <w:t>this</w:t>
      </w:r>
      <w:r>
        <w:rPr>
          <w:spacing w:val="25"/>
        </w:rPr>
        <w:t xml:space="preserve"> </w:t>
      </w:r>
      <w:r>
        <w:rPr>
          <w:spacing w:val="-2"/>
        </w:rPr>
        <w:t>Call</w:t>
      </w:r>
      <w:r>
        <w:rPr>
          <w:spacing w:val="21"/>
        </w:rPr>
        <w:t xml:space="preserve"> </w:t>
      </w:r>
      <w:r>
        <w:rPr>
          <w:spacing w:val="-1"/>
        </w:rPr>
        <w:t>Off</w:t>
      </w:r>
      <w:r>
        <w:rPr>
          <w:spacing w:val="49"/>
        </w:rPr>
        <w:t xml:space="preserve"> </w:t>
      </w:r>
      <w:r>
        <w:rPr>
          <w:spacing w:val="-1"/>
        </w:rPr>
        <w:t>Schedule,</w:t>
      </w:r>
      <w:r>
        <w:rPr>
          <w:spacing w:val="26"/>
        </w:rPr>
        <w:t xml:space="preserve"> </w:t>
      </w:r>
      <w:r>
        <w:t>the</w:t>
      </w:r>
      <w:r>
        <w:rPr>
          <w:spacing w:val="24"/>
        </w:rPr>
        <w:t xml:space="preserve"> </w:t>
      </w:r>
      <w:r>
        <w:rPr>
          <w:spacing w:val="-2"/>
        </w:rPr>
        <w:t>Supplier</w:t>
      </w:r>
      <w:r>
        <w:rPr>
          <w:spacing w:val="28"/>
        </w:rPr>
        <w:t xml:space="preserve"> </w:t>
      </w:r>
      <w:r>
        <w:rPr>
          <w:spacing w:val="-1"/>
        </w:rPr>
        <w:t>may</w:t>
      </w:r>
      <w:r>
        <w:rPr>
          <w:spacing w:val="22"/>
        </w:rPr>
        <w:t xml:space="preserve"> </w:t>
      </w:r>
      <w:r>
        <w:rPr>
          <w:spacing w:val="-1"/>
        </w:rPr>
        <w:t>either</w:t>
      </w:r>
      <w:r>
        <w:rPr>
          <w:spacing w:val="26"/>
        </w:rPr>
        <w:t xml:space="preserve"> </w:t>
      </w:r>
      <w:r>
        <w:rPr>
          <w:spacing w:val="-1"/>
        </w:rPr>
        <w:t>commence</w:t>
      </w:r>
      <w:r>
        <w:rPr>
          <w:spacing w:val="25"/>
        </w:rPr>
        <w:t xml:space="preserve"> </w:t>
      </w:r>
      <w:r>
        <w:rPr>
          <w:spacing w:val="-1"/>
        </w:rPr>
        <w:t>arbitration</w:t>
      </w:r>
      <w:r>
        <w:rPr>
          <w:spacing w:val="24"/>
        </w:rPr>
        <w:t xml:space="preserve"> </w:t>
      </w:r>
      <w:r>
        <w:rPr>
          <w:spacing w:val="-1"/>
        </w:rPr>
        <w:t>proceedings</w:t>
      </w:r>
      <w:r>
        <w:rPr>
          <w:spacing w:val="45"/>
        </w:rPr>
        <w:t xml:space="preserve"> </w:t>
      </w:r>
      <w:r>
        <w:rPr>
          <w:spacing w:val="-1"/>
        </w:rPr>
        <w:t>in</w:t>
      </w:r>
      <w:r>
        <w:rPr>
          <w:spacing w:val="47"/>
        </w:rPr>
        <w:t xml:space="preserve"> </w:t>
      </w:r>
      <w:r>
        <w:rPr>
          <w:spacing w:val="-1"/>
        </w:rPr>
        <w:t>accordance</w:t>
      </w:r>
      <w:r>
        <w:rPr>
          <w:spacing w:val="47"/>
        </w:rPr>
        <w:t xml:space="preserve"> </w:t>
      </w:r>
      <w:r>
        <w:rPr>
          <w:spacing w:val="-1"/>
        </w:rPr>
        <w:t>with</w:t>
      </w:r>
      <w:r>
        <w:rPr>
          <w:spacing w:val="47"/>
        </w:rPr>
        <w:t xml:space="preserve"> </w:t>
      </w:r>
      <w:r>
        <w:rPr>
          <w:spacing w:val="-1"/>
        </w:rPr>
        <w:t xml:space="preserve">paragraph </w:t>
      </w:r>
      <w:hyperlink w:anchor="_bookmark423" w:history="1">
        <w:r>
          <w:t>6.4</w:t>
        </w:r>
      </w:hyperlink>
      <w:r>
        <w:rPr>
          <w:spacing w:val="47"/>
        </w:rPr>
        <w:t xml:space="preserve"> </w:t>
      </w:r>
      <w:r>
        <w:rPr>
          <w:spacing w:val="-2"/>
        </w:rPr>
        <w:t>of</w:t>
      </w:r>
      <w:r>
        <w:rPr>
          <w:spacing w:val="51"/>
        </w:rPr>
        <w:t xml:space="preserve"> </w:t>
      </w:r>
      <w:r>
        <w:rPr>
          <w:spacing w:val="-1"/>
        </w:rPr>
        <w:t>this</w:t>
      </w:r>
      <w:r>
        <w:rPr>
          <w:spacing w:val="47"/>
        </w:rPr>
        <w:t xml:space="preserve"> </w:t>
      </w:r>
      <w:r>
        <w:rPr>
          <w:spacing w:val="-2"/>
        </w:rPr>
        <w:t>Call</w:t>
      </w:r>
      <w:r>
        <w:rPr>
          <w:spacing w:val="47"/>
        </w:rPr>
        <w:t xml:space="preserve"> </w:t>
      </w:r>
      <w:r>
        <w:t>Off</w:t>
      </w:r>
      <w:r>
        <w:rPr>
          <w:spacing w:val="51"/>
        </w:rPr>
        <w:t xml:space="preserve"> </w:t>
      </w:r>
      <w:r>
        <w:rPr>
          <w:spacing w:val="-1"/>
        </w:rPr>
        <w:t>Schedule</w:t>
      </w:r>
      <w:r>
        <w:rPr>
          <w:spacing w:val="48"/>
        </w:rPr>
        <w:t xml:space="preserve"> </w:t>
      </w:r>
      <w:r>
        <w:rPr>
          <w:spacing w:val="-1"/>
        </w:rPr>
        <w:t>or</w:t>
      </w:r>
      <w:r>
        <w:rPr>
          <w:spacing w:val="30"/>
        </w:rPr>
        <w:t xml:space="preserve"> </w:t>
      </w:r>
      <w:r>
        <w:rPr>
          <w:spacing w:val="-1"/>
        </w:rPr>
        <w:t>commence</w:t>
      </w:r>
      <w:r>
        <w:rPr>
          <w:spacing w:val="15"/>
        </w:rPr>
        <w:t xml:space="preserve"> </w:t>
      </w:r>
      <w:r>
        <w:rPr>
          <w:spacing w:val="-1"/>
        </w:rPr>
        <w:t>court</w:t>
      </w:r>
      <w:r>
        <w:rPr>
          <w:spacing w:val="16"/>
        </w:rPr>
        <w:t xml:space="preserve"> </w:t>
      </w:r>
      <w:r>
        <w:rPr>
          <w:spacing w:val="-1"/>
        </w:rPr>
        <w:t>proceedings</w:t>
      </w:r>
      <w:r>
        <w:rPr>
          <w:spacing w:val="15"/>
        </w:rPr>
        <w:t xml:space="preserve"> </w:t>
      </w:r>
      <w:r>
        <w:rPr>
          <w:spacing w:val="-1"/>
        </w:rPr>
        <w:t>in</w:t>
      </w:r>
      <w:r>
        <w:rPr>
          <w:spacing w:val="15"/>
        </w:rPr>
        <w:t xml:space="preserve"> </w:t>
      </w:r>
      <w:r>
        <w:t>the</w:t>
      </w:r>
      <w:r>
        <w:rPr>
          <w:spacing w:val="15"/>
        </w:rPr>
        <w:t xml:space="preserve"> </w:t>
      </w:r>
      <w:r>
        <w:rPr>
          <w:spacing w:val="-1"/>
        </w:rPr>
        <w:t>courts</w:t>
      </w:r>
      <w:r>
        <w:rPr>
          <w:spacing w:val="15"/>
        </w:rPr>
        <w:t xml:space="preserve"> </w:t>
      </w:r>
      <w:r>
        <w:rPr>
          <w:spacing w:val="-1"/>
        </w:rPr>
        <w:t>in</w:t>
      </w:r>
      <w:r>
        <w:rPr>
          <w:spacing w:val="15"/>
        </w:rPr>
        <w:t xml:space="preserve"> </w:t>
      </w:r>
      <w:r>
        <w:rPr>
          <w:spacing w:val="-1"/>
        </w:rPr>
        <w:t>accordance</w:t>
      </w:r>
      <w:r>
        <w:rPr>
          <w:spacing w:val="15"/>
        </w:rPr>
        <w:t xml:space="preserve"> </w:t>
      </w:r>
      <w:r>
        <w:rPr>
          <w:spacing w:val="-2"/>
        </w:rPr>
        <w:t>with</w:t>
      </w:r>
      <w:r>
        <w:rPr>
          <w:spacing w:val="15"/>
        </w:rPr>
        <w:t xml:space="preserve"> </w:t>
      </w:r>
      <w:r>
        <w:rPr>
          <w:spacing w:val="-1"/>
        </w:rPr>
        <w:t>Clause</w:t>
      </w:r>
      <w:r>
        <w:rPr>
          <w:spacing w:val="35"/>
        </w:rPr>
        <w:t xml:space="preserve"> </w:t>
      </w:r>
      <w:hyperlink w:anchor="_bookmark280" w:history="1">
        <w:r>
          <w:rPr>
            <w:spacing w:val="-1"/>
          </w:rPr>
          <w:t>57</w:t>
        </w:r>
      </w:hyperlink>
      <w:r>
        <w:rPr>
          <w:spacing w:val="44"/>
        </w:rPr>
        <w:t xml:space="preserve"> </w:t>
      </w:r>
      <w:r>
        <w:rPr>
          <w:spacing w:val="-2"/>
        </w:rPr>
        <w:t>of</w:t>
      </w:r>
      <w:r>
        <w:rPr>
          <w:spacing w:val="47"/>
        </w:rPr>
        <w:t xml:space="preserve"> </w:t>
      </w:r>
      <w:r>
        <w:rPr>
          <w:spacing w:val="-1"/>
        </w:rPr>
        <w:t>this</w:t>
      </w:r>
      <w:r>
        <w:rPr>
          <w:spacing w:val="44"/>
        </w:rPr>
        <w:t xml:space="preserve"> </w:t>
      </w:r>
      <w:r>
        <w:rPr>
          <w:spacing w:val="-2"/>
        </w:rPr>
        <w:t>Call</w:t>
      </w:r>
      <w:r>
        <w:rPr>
          <w:spacing w:val="43"/>
        </w:rPr>
        <w:t xml:space="preserve"> </w:t>
      </w:r>
      <w:r>
        <w:rPr>
          <w:spacing w:val="-1"/>
        </w:rPr>
        <w:t>Off</w:t>
      </w:r>
      <w:r>
        <w:rPr>
          <w:spacing w:val="45"/>
        </w:rPr>
        <w:t xml:space="preserve"> </w:t>
      </w:r>
      <w:r>
        <w:rPr>
          <w:spacing w:val="-2"/>
        </w:rPr>
        <w:t>Contract</w:t>
      </w:r>
      <w:r>
        <w:rPr>
          <w:spacing w:val="43"/>
        </w:rPr>
        <w:t xml:space="preserve"> </w:t>
      </w:r>
      <w:r>
        <w:rPr>
          <w:spacing w:val="-1"/>
        </w:rPr>
        <w:t>(Governing</w:t>
      </w:r>
      <w:r>
        <w:rPr>
          <w:spacing w:val="47"/>
        </w:rPr>
        <w:t xml:space="preserve"> </w:t>
      </w:r>
      <w:r>
        <w:rPr>
          <w:spacing w:val="-1"/>
        </w:rPr>
        <w:t>Law</w:t>
      </w:r>
      <w:r>
        <w:rPr>
          <w:spacing w:val="40"/>
        </w:rPr>
        <w:t xml:space="preserve"> </w:t>
      </w:r>
      <w:r>
        <w:rPr>
          <w:spacing w:val="-1"/>
        </w:rPr>
        <w:t>and</w:t>
      </w:r>
      <w:r>
        <w:rPr>
          <w:spacing w:val="43"/>
        </w:rPr>
        <w:t xml:space="preserve"> </w:t>
      </w:r>
      <w:r>
        <w:rPr>
          <w:spacing w:val="-1"/>
        </w:rPr>
        <w:t>Jurisdiction)</w:t>
      </w:r>
      <w:r>
        <w:rPr>
          <w:spacing w:val="45"/>
        </w:rPr>
        <w:t xml:space="preserve"> </w:t>
      </w:r>
      <w:r>
        <w:rPr>
          <w:spacing w:val="-3"/>
        </w:rPr>
        <w:t>which</w:t>
      </w:r>
      <w:r>
        <w:rPr>
          <w:spacing w:val="37"/>
        </w:rPr>
        <w:t xml:space="preserve"> </w:t>
      </w:r>
      <w:r>
        <w:rPr>
          <w:spacing w:val="-1"/>
        </w:rPr>
        <w:t>shall</w:t>
      </w:r>
      <w:r>
        <w:t xml:space="preserve"> </w:t>
      </w:r>
      <w:r>
        <w:rPr>
          <w:spacing w:val="-1"/>
        </w:rPr>
        <w:t>(in</w:t>
      </w:r>
      <w:r>
        <w:t xml:space="preserve"> </w:t>
      </w:r>
      <w:r>
        <w:rPr>
          <w:spacing w:val="-1"/>
        </w:rPr>
        <w:t>those</w:t>
      </w:r>
      <w:r>
        <w:rPr>
          <w:spacing w:val="-2"/>
        </w:rPr>
        <w:t xml:space="preserve"> </w:t>
      </w:r>
      <w:r>
        <w:rPr>
          <w:spacing w:val="-1"/>
        </w:rPr>
        <w:t>circumstances)</w:t>
      </w:r>
      <w:r>
        <w:rPr>
          <w:spacing w:val="2"/>
        </w:rPr>
        <w:t xml:space="preserve"> </w:t>
      </w:r>
      <w:r>
        <w:rPr>
          <w:spacing w:val="-2"/>
        </w:rPr>
        <w:t>have</w:t>
      </w:r>
      <w:r>
        <w:t xml:space="preserve"> </w:t>
      </w:r>
      <w:r>
        <w:rPr>
          <w:spacing w:val="-2"/>
        </w:rPr>
        <w:t>exclusive</w:t>
      </w:r>
      <w:r>
        <w:t xml:space="preserve"> </w:t>
      </w:r>
      <w:r>
        <w:rPr>
          <w:spacing w:val="-1"/>
        </w:rPr>
        <w:t>jurisdiction.</w:t>
      </w:r>
    </w:p>
    <w:p w:rsidR="008918FA" w:rsidRDefault="008918FA" w:rsidP="008918FA">
      <w:pPr>
        <w:pStyle w:val="BodyText"/>
        <w:numPr>
          <w:ilvl w:val="1"/>
          <w:numId w:val="6"/>
        </w:numPr>
        <w:tabs>
          <w:tab w:val="left" w:pos="689"/>
        </w:tabs>
        <w:ind w:left="688" w:right="115" w:hanging="359"/>
      </w:pPr>
      <w:bookmarkStart w:id="509" w:name="_bookmark423"/>
      <w:bookmarkEnd w:id="509"/>
      <w:r>
        <w:t xml:space="preserve">In </w:t>
      </w:r>
      <w:r>
        <w:rPr>
          <w:spacing w:val="40"/>
        </w:rPr>
        <w:t xml:space="preserve"> </w:t>
      </w:r>
      <w:r>
        <w:t xml:space="preserve">the </w:t>
      </w:r>
      <w:r>
        <w:rPr>
          <w:spacing w:val="40"/>
        </w:rPr>
        <w:t xml:space="preserve"> </w:t>
      </w:r>
      <w:r>
        <w:rPr>
          <w:spacing w:val="-2"/>
        </w:rPr>
        <w:t>event</w:t>
      </w:r>
      <w:r>
        <w:t xml:space="preserve"> </w:t>
      </w:r>
      <w:r>
        <w:rPr>
          <w:spacing w:val="41"/>
        </w:rPr>
        <w:t xml:space="preserve"> </w:t>
      </w:r>
      <w:r>
        <w:rPr>
          <w:spacing w:val="-1"/>
        </w:rPr>
        <w:t>that</w:t>
      </w:r>
      <w:r>
        <w:t xml:space="preserve"> </w:t>
      </w:r>
      <w:r>
        <w:rPr>
          <w:spacing w:val="41"/>
        </w:rPr>
        <w:t xml:space="preserve"> </w:t>
      </w:r>
      <w:r>
        <w:rPr>
          <w:spacing w:val="-1"/>
        </w:rPr>
        <w:t>any</w:t>
      </w:r>
      <w:r>
        <w:t xml:space="preserve"> </w:t>
      </w:r>
      <w:r>
        <w:rPr>
          <w:spacing w:val="38"/>
        </w:rPr>
        <w:t xml:space="preserve"> </w:t>
      </w:r>
      <w:r>
        <w:rPr>
          <w:spacing w:val="-1"/>
        </w:rPr>
        <w:t>arbitration</w:t>
      </w:r>
      <w:r>
        <w:t xml:space="preserve"> </w:t>
      </w:r>
      <w:r>
        <w:rPr>
          <w:spacing w:val="40"/>
        </w:rPr>
        <w:t xml:space="preserve"> </w:t>
      </w:r>
      <w:r>
        <w:rPr>
          <w:spacing w:val="-1"/>
        </w:rPr>
        <w:t>proceedings</w:t>
      </w:r>
      <w:r>
        <w:t xml:space="preserve"> </w:t>
      </w:r>
      <w:r>
        <w:rPr>
          <w:spacing w:val="41"/>
        </w:rPr>
        <w:t xml:space="preserve"> </w:t>
      </w:r>
      <w:r>
        <w:rPr>
          <w:spacing w:val="-1"/>
        </w:rPr>
        <w:t>are</w:t>
      </w:r>
      <w:r>
        <w:t xml:space="preserve"> </w:t>
      </w:r>
      <w:r>
        <w:rPr>
          <w:spacing w:val="40"/>
        </w:rPr>
        <w:t xml:space="preserve"> </w:t>
      </w:r>
      <w:r>
        <w:rPr>
          <w:spacing w:val="-1"/>
        </w:rPr>
        <w:t>commenced</w:t>
      </w:r>
      <w:r>
        <w:t xml:space="preserve"> </w:t>
      </w:r>
      <w:r>
        <w:rPr>
          <w:spacing w:val="40"/>
        </w:rPr>
        <w:t xml:space="preserve"> </w:t>
      </w:r>
      <w:r>
        <w:rPr>
          <w:spacing w:val="-1"/>
        </w:rPr>
        <w:t>pursuant</w:t>
      </w:r>
      <w:r>
        <w:t xml:space="preserve"> </w:t>
      </w:r>
      <w:r>
        <w:rPr>
          <w:spacing w:val="41"/>
        </w:rPr>
        <w:t xml:space="preserve"> </w:t>
      </w:r>
      <w:r>
        <w:t>to</w:t>
      </w:r>
      <w:r>
        <w:rPr>
          <w:spacing w:val="43"/>
        </w:rPr>
        <w:t xml:space="preserve"> </w:t>
      </w:r>
      <w:r>
        <w:rPr>
          <w:spacing w:val="-1"/>
        </w:rPr>
        <w:t xml:space="preserve">paragraphs </w:t>
      </w:r>
      <w:hyperlink w:anchor="_bookmark420" w:history="1">
        <w:r>
          <w:t>6.1</w:t>
        </w:r>
      </w:hyperlink>
      <w:r>
        <w:rPr>
          <w:spacing w:val="-2"/>
        </w:rPr>
        <w:t xml:space="preserve"> </w:t>
      </w:r>
      <w:r>
        <w:t>to</w:t>
      </w:r>
      <w:r>
        <w:rPr>
          <w:spacing w:val="-2"/>
        </w:rPr>
        <w:t xml:space="preserve"> </w:t>
      </w:r>
      <w:hyperlink w:anchor="_bookmark422" w:history="1">
        <w:r>
          <w:t>6.3</w:t>
        </w:r>
      </w:hyperlink>
      <w:r>
        <w:rPr>
          <w:spacing w:val="-2"/>
        </w:rPr>
        <w:t xml:space="preserve"> of</w:t>
      </w:r>
      <w: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1"/>
        </w:rPr>
        <w:t>Schedule,</w:t>
      </w:r>
      <w:r>
        <w:t xml:space="preserve"> </w:t>
      </w:r>
      <w:r>
        <w:rPr>
          <w:spacing w:val="-1"/>
        </w:rPr>
        <w:t>the</w:t>
      </w:r>
      <w:r>
        <w:t xml:space="preserve"> </w:t>
      </w:r>
      <w:r>
        <w:rPr>
          <w:spacing w:val="-1"/>
        </w:rPr>
        <w:t>Parties</w:t>
      </w:r>
      <w:r>
        <w:rPr>
          <w:spacing w:val="-2"/>
        </w:rPr>
        <w:t xml:space="preserve"> </w:t>
      </w:r>
      <w:r>
        <w:rPr>
          <w:spacing w:val="-1"/>
        </w:rPr>
        <w:t>hereby</w:t>
      </w:r>
      <w:r>
        <w:rPr>
          <w:spacing w:val="-2"/>
        </w:rPr>
        <w:t xml:space="preserve"> </w:t>
      </w:r>
      <w:r>
        <w:rPr>
          <w:spacing w:val="-1"/>
        </w:rPr>
        <w:t>confirm</w:t>
      </w:r>
      <w:r>
        <w:rPr>
          <w:spacing w:val="-3"/>
        </w:rPr>
        <w:t xml:space="preserve"> </w:t>
      </w:r>
      <w:r>
        <w:rPr>
          <w:spacing w:val="-1"/>
        </w:rPr>
        <w:t>that:</w:t>
      </w:r>
    </w:p>
    <w:p w:rsidR="008918FA" w:rsidRDefault="008918FA" w:rsidP="008918FA">
      <w:pPr>
        <w:pStyle w:val="BodyText"/>
        <w:numPr>
          <w:ilvl w:val="2"/>
          <w:numId w:val="6"/>
        </w:numPr>
        <w:tabs>
          <w:tab w:val="left" w:pos="1887"/>
        </w:tabs>
        <w:spacing w:before="122" w:line="239" w:lineRule="auto"/>
        <w:ind w:left="1886" w:right="113"/>
        <w:jc w:val="both"/>
      </w:pPr>
      <w:r>
        <w:rPr>
          <w:spacing w:val="-1"/>
        </w:rPr>
        <w:t>all</w:t>
      </w:r>
      <w:r>
        <w:rPr>
          <w:spacing w:val="26"/>
        </w:rPr>
        <w:t xml:space="preserve"> </w:t>
      </w:r>
      <w:r>
        <w:rPr>
          <w:spacing w:val="-1"/>
        </w:rPr>
        <w:t>disputes,</w:t>
      </w:r>
      <w:r>
        <w:rPr>
          <w:spacing w:val="29"/>
        </w:rPr>
        <w:t xml:space="preserve"> </w:t>
      </w:r>
      <w:r>
        <w:rPr>
          <w:spacing w:val="-1"/>
        </w:rPr>
        <w:t>issues</w:t>
      </w:r>
      <w:r>
        <w:rPr>
          <w:spacing w:val="27"/>
        </w:rPr>
        <w:t xml:space="preserve"> </w:t>
      </w:r>
      <w:r>
        <w:rPr>
          <w:spacing w:val="-1"/>
        </w:rPr>
        <w:t>or</w:t>
      </w:r>
      <w:r>
        <w:rPr>
          <w:spacing w:val="28"/>
        </w:rPr>
        <w:t xml:space="preserve"> </w:t>
      </w:r>
      <w:r>
        <w:rPr>
          <w:spacing w:val="-1"/>
        </w:rPr>
        <w:t>claims</w:t>
      </w:r>
      <w:r>
        <w:rPr>
          <w:spacing w:val="27"/>
        </w:rPr>
        <w:t xml:space="preserve"> </w:t>
      </w:r>
      <w:r>
        <w:rPr>
          <w:spacing w:val="-1"/>
        </w:rPr>
        <w:t>arising</w:t>
      </w:r>
      <w:r>
        <w:rPr>
          <w:spacing w:val="29"/>
        </w:rPr>
        <w:t xml:space="preserve"> </w:t>
      </w:r>
      <w:r>
        <w:rPr>
          <w:spacing w:val="-1"/>
        </w:rPr>
        <w:t>out</w:t>
      </w:r>
      <w:r>
        <w:rPr>
          <w:spacing w:val="28"/>
        </w:rPr>
        <w:t xml:space="preserve"> </w:t>
      </w:r>
      <w:r>
        <w:rPr>
          <w:spacing w:val="-2"/>
        </w:rPr>
        <w:t>of</w:t>
      </w:r>
      <w:r>
        <w:rPr>
          <w:spacing w:val="30"/>
        </w:rPr>
        <w:t xml:space="preserve"> </w:t>
      </w:r>
      <w:r>
        <w:rPr>
          <w:spacing w:val="-1"/>
        </w:rPr>
        <w:t>or</w:t>
      </w:r>
      <w:r>
        <w:rPr>
          <w:spacing w:val="28"/>
        </w:rPr>
        <w:t xml:space="preserve"> </w:t>
      </w:r>
      <w:r>
        <w:rPr>
          <w:spacing w:val="-1"/>
        </w:rPr>
        <w:t>in</w:t>
      </w:r>
      <w:r>
        <w:rPr>
          <w:spacing w:val="27"/>
        </w:rPr>
        <w:t xml:space="preserve"> </w:t>
      </w:r>
      <w:r>
        <w:rPr>
          <w:spacing w:val="-1"/>
        </w:rPr>
        <w:t>connection</w:t>
      </w:r>
      <w:r>
        <w:rPr>
          <w:spacing w:val="27"/>
        </w:rPr>
        <w:t xml:space="preserve"> </w:t>
      </w:r>
      <w:r>
        <w:rPr>
          <w:spacing w:val="-1"/>
        </w:rPr>
        <w:t>with</w:t>
      </w:r>
      <w:r>
        <w:rPr>
          <w:spacing w:val="27"/>
        </w:rPr>
        <w:t xml:space="preserve"> </w:t>
      </w:r>
      <w:r>
        <w:rPr>
          <w:spacing w:val="-1"/>
        </w:rPr>
        <w:t>this</w:t>
      </w:r>
      <w:r>
        <w:rPr>
          <w:spacing w:val="41"/>
        </w:rPr>
        <w:t xml:space="preserve"> </w:t>
      </w:r>
      <w:r>
        <w:rPr>
          <w:spacing w:val="-2"/>
        </w:rPr>
        <w:t>Call</w:t>
      </w:r>
      <w:r>
        <w:rPr>
          <w:spacing w:val="4"/>
        </w:rPr>
        <w:t xml:space="preserve"> </w:t>
      </w:r>
      <w:r>
        <w:t>Off</w:t>
      </w:r>
      <w:r>
        <w:rPr>
          <w:spacing w:val="7"/>
        </w:rPr>
        <w:t xml:space="preserve"> </w:t>
      </w:r>
      <w:r>
        <w:rPr>
          <w:spacing w:val="-1"/>
        </w:rPr>
        <w:t>Contract</w:t>
      </w:r>
      <w:r>
        <w:rPr>
          <w:spacing w:val="7"/>
        </w:rPr>
        <w:t xml:space="preserve"> </w:t>
      </w:r>
      <w:r>
        <w:rPr>
          <w:spacing w:val="-2"/>
        </w:rPr>
        <w:t>(including</w:t>
      </w:r>
      <w:r>
        <w:rPr>
          <w:spacing w:val="7"/>
        </w:rPr>
        <w:t xml:space="preserve"> </w:t>
      </w:r>
      <w:r>
        <w:rPr>
          <w:spacing w:val="-1"/>
        </w:rPr>
        <w:t>as</w:t>
      </w:r>
      <w:r>
        <w:rPr>
          <w:spacing w:val="3"/>
        </w:rPr>
        <w:t xml:space="preserve"> </w:t>
      </w:r>
      <w:r>
        <w:t>to</w:t>
      </w:r>
      <w:r>
        <w:rPr>
          <w:spacing w:val="5"/>
        </w:rPr>
        <w:t xml:space="preserve"> </w:t>
      </w:r>
      <w:r>
        <w:rPr>
          <w:spacing w:val="-1"/>
        </w:rPr>
        <w:t>its</w:t>
      </w:r>
      <w:r>
        <w:rPr>
          <w:spacing w:val="5"/>
        </w:rPr>
        <w:t xml:space="preserve"> </w:t>
      </w:r>
      <w:r>
        <w:rPr>
          <w:spacing w:val="-1"/>
        </w:rPr>
        <w:t>existence,</w:t>
      </w:r>
      <w:r>
        <w:rPr>
          <w:spacing w:val="7"/>
        </w:rPr>
        <w:t xml:space="preserve"> </w:t>
      </w:r>
      <w:r>
        <w:rPr>
          <w:spacing w:val="-2"/>
        </w:rPr>
        <w:t>validity</w:t>
      </w:r>
      <w:r>
        <w:rPr>
          <w:spacing w:val="5"/>
        </w:rPr>
        <w:t xml:space="preserve"> </w:t>
      </w:r>
      <w:r>
        <w:rPr>
          <w:spacing w:val="-1"/>
        </w:rPr>
        <w:t>or</w:t>
      </w:r>
      <w:r>
        <w:rPr>
          <w:spacing w:val="6"/>
        </w:rPr>
        <w:t xml:space="preserve"> </w:t>
      </w:r>
      <w:r>
        <w:rPr>
          <w:spacing w:val="-1"/>
        </w:rPr>
        <w:t>performance)</w:t>
      </w:r>
      <w:r>
        <w:rPr>
          <w:spacing w:val="57"/>
        </w:rPr>
        <w:t xml:space="preserve"> </w:t>
      </w:r>
      <w:r>
        <w:rPr>
          <w:spacing w:val="-1"/>
        </w:rPr>
        <w:t>shall</w:t>
      </w:r>
      <w:r>
        <w:rPr>
          <w:spacing w:val="17"/>
        </w:rPr>
        <w:t xml:space="preserve"> </w:t>
      </w:r>
      <w:r>
        <w:rPr>
          <w:spacing w:val="-1"/>
        </w:rPr>
        <w:t>be</w:t>
      </w:r>
      <w:r>
        <w:rPr>
          <w:spacing w:val="17"/>
        </w:rPr>
        <w:t xml:space="preserve"> </w:t>
      </w:r>
      <w:r>
        <w:rPr>
          <w:spacing w:val="-1"/>
        </w:rPr>
        <w:t>referred</w:t>
      </w:r>
      <w:r>
        <w:rPr>
          <w:spacing w:val="17"/>
        </w:rPr>
        <w:t xml:space="preserve"> </w:t>
      </w:r>
      <w:r>
        <w:t>to</w:t>
      </w:r>
      <w:r>
        <w:rPr>
          <w:spacing w:val="17"/>
        </w:rPr>
        <w:t xml:space="preserve"> </w:t>
      </w:r>
      <w:r>
        <w:rPr>
          <w:spacing w:val="-1"/>
        </w:rPr>
        <w:t>and</w:t>
      </w:r>
      <w:r>
        <w:rPr>
          <w:spacing w:val="15"/>
        </w:rPr>
        <w:t xml:space="preserve"> </w:t>
      </w:r>
      <w:r>
        <w:rPr>
          <w:spacing w:val="-1"/>
        </w:rPr>
        <w:t>finally</w:t>
      </w:r>
      <w:r>
        <w:rPr>
          <w:spacing w:val="15"/>
        </w:rPr>
        <w:t xml:space="preserve"> </w:t>
      </w:r>
      <w:r>
        <w:rPr>
          <w:spacing w:val="-1"/>
        </w:rPr>
        <w:t>resolved</w:t>
      </w:r>
      <w:r>
        <w:rPr>
          <w:spacing w:val="17"/>
        </w:rPr>
        <w:t xml:space="preserve"> </w:t>
      </w:r>
      <w:r>
        <w:rPr>
          <w:spacing w:val="1"/>
        </w:rPr>
        <w:t>by</w:t>
      </w:r>
      <w:r>
        <w:rPr>
          <w:spacing w:val="15"/>
        </w:rPr>
        <w:t xml:space="preserve"> </w:t>
      </w:r>
      <w:r>
        <w:rPr>
          <w:spacing w:val="-1"/>
        </w:rPr>
        <w:t>arbitration</w:t>
      </w:r>
      <w:r>
        <w:rPr>
          <w:spacing w:val="17"/>
        </w:rPr>
        <w:t xml:space="preserve"> </w:t>
      </w:r>
      <w:r>
        <w:rPr>
          <w:spacing w:val="-1"/>
        </w:rPr>
        <w:t>under</w:t>
      </w:r>
      <w:r>
        <w:rPr>
          <w:spacing w:val="19"/>
        </w:rPr>
        <w:t xml:space="preserve"> </w:t>
      </w:r>
      <w:r>
        <w:t>the</w:t>
      </w:r>
      <w:r>
        <w:rPr>
          <w:spacing w:val="15"/>
        </w:rPr>
        <w:t xml:space="preserve"> </w:t>
      </w:r>
      <w:r>
        <w:rPr>
          <w:spacing w:val="-2"/>
        </w:rPr>
        <w:t>Rules</w:t>
      </w:r>
      <w:r>
        <w:rPr>
          <w:spacing w:val="34"/>
        </w:rPr>
        <w:t xml:space="preserve"> </w:t>
      </w:r>
      <w:r>
        <w:rPr>
          <w:spacing w:val="-2"/>
        </w:rPr>
        <w:t>of</w:t>
      </w:r>
      <w:r>
        <w:rPr>
          <w:spacing w:val="52"/>
        </w:rPr>
        <w:t xml:space="preserve"> </w:t>
      </w:r>
      <w:r>
        <w:t>the</w:t>
      </w:r>
      <w:r>
        <w:rPr>
          <w:spacing w:val="51"/>
        </w:rPr>
        <w:t xml:space="preserve"> </w:t>
      </w:r>
      <w:r>
        <w:rPr>
          <w:spacing w:val="-1"/>
        </w:rPr>
        <w:t>London</w:t>
      </w:r>
      <w:r>
        <w:rPr>
          <w:spacing w:val="48"/>
        </w:rPr>
        <w:t xml:space="preserve"> </w:t>
      </w:r>
      <w:r>
        <w:rPr>
          <w:spacing w:val="-2"/>
        </w:rPr>
        <w:t>Court</w:t>
      </w:r>
      <w:r>
        <w:rPr>
          <w:spacing w:val="52"/>
        </w:rPr>
        <w:t xml:space="preserve"> </w:t>
      </w:r>
      <w:r>
        <w:rPr>
          <w:spacing w:val="-2"/>
        </w:rPr>
        <w:t>of</w:t>
      </w:r>
      <w:r>
        <w:rPr>
          <w:spacing w:val="50"/>
        </w:rPr>
        <w:t xml:space="preserve"> </w:t>
      </w:r>
      <w:r>
        <w:rPr>
          <w:spacing w:val="-1"/>
        </w:rPr>
        <w:t>International</w:t>
      </w:r>
      <w:r>
        <w:rPr>
          <w:spacing w:val="50"/>
        </w:rPr>
        <w:t xml:space="preserve"> </w:t>
      </w:r>
      <w:r>
        <w:rPr>
          <w:spacing w:val="-1"/>
        </w:rPr>
        <w:t>Arbitration</w:t>
      </w:r>
      <w:r>
        <w:rPr>
          <w:spacing w:val="49"/>
        </w:rPr>
        <w:t xml:space="preserve"> </w:t>
      </w:r>
      <w:r>
        <w:rPr>
          <w:spacing w:val="-2"/>
        </w:rPr>
        <w:t>(“</w:t>
      </w:r>
      <w:r>
        <w:rPr>
          <w:rFonts w:cs="Arial"/>
          <w:b/>
          <w:bCs/>
          <w:spacing w:val="-2"/>
        </w:rPr>
        <w:t>LCIA</w:t>
      </w:r>
      <w:r>
        <w:rPr>
          <w:spacing w:val="-2"/>
        </w:rPr>
        <w:t>”)</w:t>
      </w:r>
      <w:r>
        <w:rPr>
          <w:spacing w:val="52"/>
        </w:rPr>
        <w:t xml:space="preserve"> </w:t>
      </w:r>
      <w:r>
        <w:rPr>
          <w:spacing w:val="-1"/>
        </w:rPr>
        <w:t>(subject</w:t>
      </w:r>
      <w:r>
        <w:rPr>
          <w:spacing w:val="50"/>
        </w:rPr>
        <w:t xml:space="preserve"> </w:t>
      </w:r>
      <w:r>
        <w:t>to</w:t>
      </w:r>
      <w:r>
        <w:rPr>
          <w:spacing w:val="47"/>
        </w:rPr>
        <w:t xml:space="preserve"> </w:t>
      </w:r>
      <w:r>
        <w:rPr>
          <w:spacing w:val="-1"/>
        </w:rPr>
        <w:t xml:space="preserve">paragraphs </w:t>
      </w:r>
      <w:hyperlink w:anchor="_bookmark424" w:history="1">
        <w:r>
          <w:rPr>
            <w:spacing w:val="-1"/>
          </w:rPr>
          <w:t>6.4.5</w:t>
        </w:r>
      </w:hyperlink>
      <w:r>
        <w:rPr>
          <w:spacing w:val="-2"/>
        </w:rPr>
        <w:t xml:space="preserve"> </w:t>
      </w:r>
      <w:r>
        <w:t>to</w:t>
      </w:r>
      <w:r>
        <w:rPr>
          <w:spacing w:val="60"/>
        </w:rPr>
        <w:t xml:space="preserve"> </w:t>
      </w:r>
      <w:hyperlink w:anchor="_bookmark425" w:history="1">
        <w:r>
          <w:rPr>
            <w:spacing w:val="-1"/>
          </w:rPr>
          <w:t>6.4.7</w:t>
        </w:r>
      </w:hyperlink>
      <w:r>
        <w:rPr>
          <w:spacing w:val="1"/>
        </w:rPr>
        <w:t xml:space="preserve"> </w:t>
      </w:r>
      <w:r>
        <w:rPr>
          <w:spacing w:val="-2"/>
        </w:rPr>
        <w:t>of</w:t>
      </w:r>
      <w:r>
        <w:rPr>
          <w:spacing w:val="2"/>
        </w:rPr>
        <w:t xml:space="preserve"> </w:t>
      </w:r>
      <w:r>
        <w:rPr>
          <w:spacing w:val="-1"/>
        </w:rPr>
        <w:t>this</w:t>
      </w:r>
      <w:r>
        <w:rPr>
          <w:spacing w:val="1"/>
        </w:rPr>
        <w:t xml:space="preserve"> </w:t>
      </w:r>
      <w:r>
        <w:rPr>
          <w:spacing w:val="-2"/>
        </w:rPr>
        <w:t>Call</w:t>
      </w:r>
      <w:r>
        <w:rPr>
          <w:spacing w:val="-3"/>
        </w:rPr>
        <w:t xml:space="preserve"> </w:t>
      </w:r>
      <w:r>
        <w:rPr>
          <w:spacing w:val="-1"/>
        </w:rPr>
        <w:t>Off</w:t>
      </w:r>
      <w:r>
        <w:rPr>
          <w:spacing w:val="2"/>
        </w:rPr>
        <w:t xml:space="preserve"> </w:t>
      </w:r>
      <w:r>
        <w:rPr>
          <w:spacing w:val="-1"/>
        </w:rPr>
        <w:t>Schedule);</w:t>
      </w:r>
    </w:p>
    <w:p w:rsidR="008918FA" w:rsidRDefault="008918FA" w:rsidP="008918FA">
      <w:pPr>
        <w:pStyle w:val="BodyText"/>
        <w:numPr>
          <w:ilvl w:val="2"/>
          <w:numId w:val="6"/>
        </w:numPr>
        <w:tabs>
          <w:tab w:val="left" w:pos="1887"/>
        </w:tabs>
        <w:spacing w:before="121"/>
        <w:ind w:left="1886"/>
      </w:pPr>
      <w:r>
        <w:t xml:space="preserve">the </w:t>
      </w:r>
      <w:r>
        <w:rPr>
          <w:spacing w:val="-1"/>
        </w:rPr>
        <w:t>arbitration</w:t>
      </w:r>
      <w:r>
        <w:t xml:space="preserve"> </w:t>
      </w:r>
      <w:r>
        <w:rPr>
          <w:spacing w:val="-1"/>
        </w:rPr>
        <w:t>shall</w:t>
      </w:r>
      <w:r>
        <w:t xml:space="preserve"> </w:t>
      </w:r>
      <w:r>
        <w:rPr>
          <w:spacing w:val="-1"/>
        </w:rPr>
        <w:t>be</w:t>
      </w:r>
      <w:r>
        <w:rPr>
          <w:spacing w:val="-2"/>
        </w:rPr>
        <w:t xml:space="preserve"> </w:t>
      </w:r>
      <w:r>
        <w:rPr>
          <w:spacing w:val="-1"/>
        </w:rPr>
        <w:t>administered</w:t>
      </w:r>
      <w:r>
        <w:rPr>
          <w:spacing w:val="-2"/>
        </w:rPr>
        <w:t xml:space="preserve"> </w:t>
      </w:r>
      <w:r>
        <w:rPr>
          <w:spacing w:val="-1"/>
        </w:rPr>
        <w:t>by</w:t>
      </w:r>
      <w:r>
        <w:rPr>
          <w:spacing w:val="-2"/>
        </w:rPr>
        <w:t xml:space="preserve"> </w:t>
      </w:r>
      <w:r>
        <w:t xml:space="preserve">the </w:t>
      </w:r>
      <w:r>
        <w:rPr>
          <w:spacing w:val="-1"/>
        </w:rPr>
        <w:t>LCIA;</w:t>
      </w:r>
    </w:p>
    <w:p w:rsidR="008918FA" w:rsidRDefault="008918FA" w:rsidP="008918FA">
      <w:pPr>
        <w:pStyle w:val="BodyText"/>
        <w:numPr>
          <w:ilvl w:val="2"/>
          <w:numId w:val="6"/>
        </w:numPr>
        <w:tabs>
          <w:tab w:val="left" w:pos="1887"/>
        </w:tabs>
        <w:ind w:left="1886" w:right="113" w:hanging="993"/>
        <w:jc w:val="both"/>
      </w:pPr>
      <w:r>
        <w:t>the</w:t>
      </w:r>
      <w:r>
        <w:rPr>
          <w:spacing w:val="41"/>
        </w:rPr>
        <w:t xml:space="preserve"> </w:t>
      </w:r>
      <w:r>
        <w:rPr>
          <w:spacing w:val="-1"/>
        </w:rPr>
        <w:t>LCIA</w:t>
      </w:r>
      <w:r>
        <w:rPr>
          <w:spacing w:val="38"/>
        </w:rPr>
        <w:t xml:space="preserve"> </w:t>
      </w:r>
      <w:r>
        <w:rPr>
          <w:spacing w:val="-1"/>
        </w:rPr>
        <w:t>procedural</w:t>
      </w:r>
      <w:r>
        <w:rPr>
          <w:spacing w:val="38"/>
        </w:rPr>
        <w:t xml:space="preserve"> </w:t>
      </w:r>
      <w:r>
        <w:rPr>
          <w:spacing w:val="-1"/>
        </w:rPr>
        <w:t>rules</w:t>
      </w:r>
      <w:r>
        <w:rPr>
          <w:spacing w:val="41"/>
        </w:rPr>
        <w:t xml:space="preserve"> </w:t>
      </w:r>
      <w:r>
        <w:rPr>
          <w:spacing w:val="-1"/>
        </w:rPr>
        <w:t>in</w:t>
      </w:r>
      <w:r>
        <w:rPr>
          <w:spacing w:val="38"/>
        </w:rPr>
        <w:t xml:space="preserve"> </w:t>
      </w:r>
      <w:r>
        <w:rPr>
          <w:spacing w:val="-1"/>
        </w:rPr>
        <w:t>force</w:t>
      </w:r>
      <w:r>
        <w:rPr>
          <w:spacing w:val="39"/>
        </w:rPr>
        <w:t xml:space="preserve"> </w:t>
      </w:r>
      <w:r>
        <w:rPr>
          <w:spacing w:val="-1"/>
        </w:rPr>
        <w:t>at</w:t>
      </w:r>
      <w:r>
        <w:rPr>
          <w:spacing w:val="41"/>
        </w:rPr>
        <w:t xml:space="preserve"> </w:t>
      </w:r>
      <w:r>
        <w:t>the</w:t>
      </w:r>
      <w:r>
        <w:rPr>
          <w:spacing w:val="38"/>
        </w:rPr>
        <w:t xml:space="preserve"> </w:t>
      </w:r>
      <w:r>
        <w:rPr>
          <w:spacing w:val="-1"/>
        </w:rPr>
        <w:t>date</w:t>
      </w:r>
      <w:r>
        <w:rPr>
          <w:spacing w:val="36"/>
        </w:rPr>
        <w:t xml:space="preserve"> </w:t>
      </w:r>
      <w:r>
        <w:rPr>
          <w:spacing w:val="-1"/>
        </w:rPr>
        <w:t>that</w:t>
      </w:r>
      <w:r>
        <w:rPr>
          <w:spacing w:val="40"/>
        </w:rPr>
        <w:t xml:space="preserve"> </w:t>
      </w:r>
      <w:r>
        <w:t>the</w:t>
      </w:r>
      <w:r>
        <w:rPr>
          <w:spacing w:val="38"/>
        </w:rPr>
        <w:t xml:space="preserve"> </w:t>
      </w:r>
      <w:r>
        <w:rPr>
          <w:spacing w:val="-1"/>
        </w:rPr>
        <w:t>Dispute</w:t>
      </w:r>
      <w:r>
        <w:rPr>
          <w:spacing w:val="41"/>
        </w:rPr>
        <w:t xml:space="preserve"> </w:t>
      </w:r>
      <w:r>
        <w:rPr>
          <w:spacing w:val="-2"/>
        </w:rPr>
        <w:t>was</w:t>
      </w:r>
      <w:r>
        <w:rPr>
          <w:spacing w:val="36"/>
        </w:rPr>
        <w:t xml:space="preserve"> </w:t>
      </w:r>
      <w:r>
        <w:rPr>
          <w:spacing w:val="-1"/>
        </w:rPr>
        <w:t>referred</w:t>
      </w:r>
      <w:r>
        <w:rPr>
          <w:spacing w:val="42"/>
        </w:rPr>
        <w:t xml:space="preserve"> </w:t>
      </w:r>
      <w:r>
        <w:t>to</w:t>
      </w:r>
      <w:r>
        <w:rPr>
          <w:spacing w:val="45"/>
        </w:rPr>
        <w:t xml:space="preserve"> </w:t>
      </w:r>
      <w:r>
        <w:rPr>
          <w:spacing w:val="-1"/>
        </w:rPr>
        <w:t>arbitration</w:t>
      </w:r>
      <w:r>
        <w:rPr>
          <w:spacing w:val="45"/>
        </w:rPr>
        <w:t xml:space="preserve"> </w:t>
      </w:r>
      <w:r>
        <w:rPr>
          <w:spacing w:val="-1"/>
        </w:rPr>
        <w:t>shall</w:t>
      </w:r>
      <w:r>
        <w:rPr>
          <w:spacing w:val="44"/>
        </w:rPr>
        <w:t xml:space="preserve"> </w:t>
      </w:r>
      <w:r>
        <w:rPr>
          <w:spacing w:val="-1"/>
        </w:rPr>
        <w:t>be</w:t>
      </w:r>
      <w:r>
        <w:rPr>
          <w:spacing w:val="45"/>
        </w:rPr>
        <w:t xml:space="preserve"> </w:t>
      </w:r>
      <w:r>
        <w:rPr>
          <w:spacing w:val="-2"/>
        </w:rPr>
        <w:t>applied</w:t>
      </w:r>
      <w:r>
        <w:rPr>
          <w:spacing w:val="45"/>
        </w:rPr>
        <w:t xml:space="preserve"> </w:t>
      </w:r>
      <w:r>
        <w:rPr>
          <w:spacing w:val="-1"/>
        </w:rPr>
        <w:t>and</w:t>
      </w:r>
      <w:r>
        <w:rPr>
          <w:spacing w:val="46"/>
        </w:rPr>
        <w:t xml:space="preserve"> </w:t>
      </w:r>
      <w:r>
        <w:rPr>
          <w:spacing w:val="-1"/>
        </w:rPr>
        <w:t>are</w:t>
      </w:r>
      <w:r>
        <w:rPr>
          <w:spacing w:val="45"/>
        </w:rPr>
        <w:t xml:space="preserve"> </w:t>
      </w:r>
      <w:r>
        <w:rPr>
          <w:spacing w:val="-1"/>
        </w:rPr>
        <w:t>deemed</w:t>
      </w:r>
      <w:r>
        <w:rPr>
          <w:spacing w:val="42"/>
        </w:rPr>
        <w:t xml:space="preserve"> </w:t>
      </w:r>
      <w:r>
        <w:t>to</w:t>
      </w:r>
      <w:r>
        <w:rPr>
          <w:spacing w:val="45"/>
        </w:rPr>
        <w:t xml:space="preserve"> </w:t>
      </w:r>
      <w:r>
        <w:rPr>
          <w:spacing w:val="-1"/>
        </w:rPr>
        <w:t>be</w:t>
      </w:r>
      <w:r>
        <w:rPr>
          <w:spacing w:val="40"/>
        </w:rPr>
        <w:t xml:space="preserve"> </w:t>
      </w:r>
      <w:r>
        <w:rPr>
          <w:spacing w:val="-1"/>
        </w:rPr>
        <w:t>incorporated</w:t>
      </w:r>
      <w:r>
        <w:rPr>
          <w:spacing w:val="-2"/>
        </w:rPr>
        <w:t xml:space="preserve"> </w:t>
      </w:r>
      <w:r>
        <w:rPr>
          <w:spacing w:val="-1"/>
        </w:rPr>
        <w:t>by</w:t>
      </w:r>
      <w:r>
        <w:rPr>
          <w:spacing w:val="-2"/>
        </w:rPr>
        <w:t xml:space="preserve"> </w:t>
      </w:r>
      <w:r>
        <w:rPr>
          <w:spacing w:val="-1"/>
        </w:rPr>
        <w:t>reference</w:t>
      </w:r>
      <w:r>
        <w:t xml:space="preserve"> </w:t>
      </w:r>
      <w:r>
        <w:rPr>
          <w:spacing w:val="-1"/>
        </w:rPr>
        <w:t>into</w:t>
      </w:r>
      <w:r>
        <w:rPr>
          <w:spacing w:val="-2"/>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2"/>
        </w:rPr>
        <w:t>Contract</w:t>
      </w:r>
      <w:r>
        <w:rPr>
          <w:spacing w:val="2"/>
        </w:rPr>
        <w:t xml:space="preserve"> </w:t>
      </w:r>
      <w:r>
        <w:rPr>
          <w:spacing w:val="-1"/>
        </w:rPr>
        <w:t>and</w:t>
      </w:r>
      <w:r>
        <w:rPr>
          <w:spacing w:val="-2"/>
        </w:rPr>
        <w:t xml:space="preserve"> </w:t>
      </w:r>
      <w:r>
        <w:t>the</w:t>
      </w:r>
      <w:r>
        <w:rPr>
          <w:spacing w:val="-2"/>
        </w:rPr>
        <w:t xml:space="preserve"> </w:t>
      </w:r>
      <w:r>
        <w:rPr>
          <w:spacing w:val="-1"/>
        </w:rPr>
        <w:t>decision</w:t>
      </w:r>
      <w:r>
        <w:t xml:space="preserve"> </w:t>
      </w:r>
      <w:r>
        <w:rPr>
          <w:spacing w:val="-2"/>
        </w:rPr>
        <w:t>of</w:t>
      </w:r>
      <w:r>
        <w:rPr>
          <w:spacing w:val="51"/>
        </w:rPr>
        <w:t xml:space="preserve"> </w:t>
      </w:r>
      <w:r>
        <w:t>the</w:t>
      </w:r>
      <w:r>
        <w:rPr>
          <w:spacing w:val="41"/>
        </w:rPr>
        <w:t xml:space="preserve"> </w:t>
      </w:r>
      <w:r>
        <w:rPr>
          <w:spacing w:val="-1"/>
        </w:rPr>
        <w:t>arbitrator</w:t>
      </w:r>
      <w:r>
        <w:rPr>
          <w:spacing w:val="42"/>
        </w:rPr>
        <w:t xml:space="preserve"> </w:t>
      </w:r>
      <w:r>
        <w:rPr>
          <w:spacing w:val="-1"/>
        </w:rPr>
        <w:t>shall</w:t>
      </w:r>
      <w:r>
        <w:rPr>
          <w:spacing w:val="40"/>
        </w:rPr>
        <w:t xml:space="preserve"> </w:t>
      </w:r>
      <w:r>
        <w:rPr>
          <w:spacing w:val="-1"/>
        </w:rPr>
        <w:t>be</w:t>
      </w:r>
      <w:r>
        <w:rPr>
          <w:spacing w:val="41"/>
        </w:rPr>
        <w:t xml:space="preserve"> </w:t>
      </w:r>
      <w:r>
        <w:rPr>
          <w:spacing w:val="-2"/>
        </w:rPr>
        <w:t>binding</w:t>
      </w:r>
      <w:r>
        <w:rPr>
          <w:spacing w:val="43"/>
        </w:rPr>
        <w:t xml:space="preserve"> </w:t>
      </w:r>
      <w:r>
        <w:rPr>
          <w:spacing w:val="-1"/>
        </w:rPr>
        <w:t>on</w:t>
      </w:r>
      <w:r>
        <w:rPr>
          <w:spacing w:val="41"/>
        </w:rPr>
        <w:t xml:space="preserve"> </w:t>
      </w:r>
      <w:r>
        <w:t>the</w:t>
      </w:r>
      <w:r>
        <w:rPr>
          <w:spacing w:val="42"/>
        </w:rPr>
        <w:t xml:space="preserve"> </w:t>
      </w:r>
      <w:r>
        <w:rPr>
          <w:spacing w:val="-1"/>
        </w:rPr>
        <w:t>Parties</w:t>
      </w:r>
      <w:r>
        <w:rPr>
          <w:spacing w:val="41"/>
        </w:rPr>
        <w:t xml:space="preserve"> </w:t>
      </w:r>
      <w:r>
        <w:rPr>
          <w:spacing w:val="-1"/>
        </w:rPr>
        <w:t>in</w:t>
      </w:r>
      <w:r>
        <w:rPr>
          <w:spacing w:val="41"/>
        </w:rPr>
        <w:t xml:space="preserve"> </w:t>
      </w:r>
      <w:r>
        <w:t>the</w:t>
      </w:r>
      <w:r>
        <w:rPr>
          <w:spacing w:val="41"/>
        </w:rPr>
        <w:t xml:space="preserve"> </w:t>
      </w:r>
      <w:r>
        <w:rPr>
          <w:spacing w:val="-1"/>
        </w:rPr>
        <w:t>absence</w:t>
      </w:r>
      <w:r>
        <w:rPr>
          <w:spacing w:val="41"/>
        </w:rPr>
        <w:t xml:space="preserve"> </w:t>
      </w:r>
      <w:r>
        <w:rPr>
          <w:spacing w:val="-2"/>
        </w:rPr>
        <w:t>of</w:t>
      </w:r>
      <w:r>
        <w:rPr>
          <w:spacing w:val="45"/>
        </w:rPr>
        <w:t xml:space="preserve"> </w:t>
      </w:r>
      <w:r>
        <w:rPr>
          <w:spacing w:val="-1"/>
        </w:rPr>
        <w:t>any</w:t>
      </w:r>
      <w:r>
        <w:rPr>
          <w:spacing w:val="38"/>
        </w:rPr>
        <w:t xml:space="preserve"> </w:t>
      </w:r>
      <w:r>
        <w:rPr>
          <w:spacing w:val="-1"/>
        </w:rPr>
        <w:t>material</w:t>
      </w:r>
      <w:r>
        <w:rPr>
          <w:spacing w:val="-3"/>
        </w:rPr>
        <w:t xml:space="preserve"> </w:t>
      </w:r>
      <w:r>
        <w:rPr>
          <w:spacing w:val="-1"/>
        </w:rPr>
        <w:t>failure</w:t>
      </w:r>
      <w:r>
        <w:rPr>
          <w:spacing w:val="-2"/>
        </w:rPr>
        <w:t xml:space="preserve"> </w:t>
      </w:r>
      <w:r>
        <w:t>to</w:t>
      </w:r>
      <w:r>
        <w:rPr>
          <w:spacing w:val="-2"/>
        </w:rPr>
        <w:t xml:space="preserve"> </w:t>
      </w:r>
      <w:r>
        <w:rPr>
          <w:spacing w:val="-1"/>
        </w:rPr>
        <w:t>comply</w:t>
      </w:r>
      <w:r>
        <w:rPr>
          <w:spacing w:val="-2"/>
        </w:rPr>
        <w:t xml:space="preserve"> with</w:t>
      </w:r>
      <w:r>
        <w:t xml:space="preserve"> </w:t>
      </w:r>
      <w:r>
        <w:rPr>
          <w:spacing w:val="-1"/>
        </w:rPr>
        <w:t>such</w:t>
      </w:r>
      <w:r>
        <w:rPr>
          <w:spacing w:val="1"/>
        </w:rPr>
        <w:t xml:space="preserve"> </w:t>
      </w:r>
      <w:r>
        <w:rPr>
          <w:spacing w:val="-2"/>
        </w:rPr>
        <w:t>rules;</w:t>
      </w:r>
    </w:p>
    <w:p w:rsidR="008918FA" w:rsidRDefault="008918FA" w:rsidP="008918FA">
      <w:pPr>
        <w:pStyle w:val="BodyText"/>
        <w:numPr>
          <w:ilvl w:val="2"/>
          <w:numId w:val="6"/>
        </w:numPr>
        <w:tabs>
          <w:tab w:val="left" w:pos="1887"/>
        </w:tabs>
        <w:ind w:left="1886" w:hanging="993"/>
      </w:pPr>
      <w:r>
        <w:rPr>
          <w:spacing w:val="-1"/>
        </w:rPr>
        <w:t>if</w:t>
      </w:r>
      <w:r>
        <w:rPr>
          <w:spacing w:val="26"/>
        </w:rPr>
        <w:t xml:space="preserve"> </w:t>
      </w:r>
      <w:r>
        <w:t>the</w:t>
      </w:r>
      <w:r>
        <w:rPr>
          <w:spacing w:val="24"/>
        </w:rPr>
        <w:t xml:space="preserve"> </w:t>
      </w:r>
      <w:r>
        <w:rPr>
          <w:spacing w:val="-1"/>
        </w:rPr>
        <w:t>Parties</w:t>
      </w:r>
      <w:r>
        <w:rPr>
          <w:spacing w:val="22"/>
        </w:rPr>
        <w:t xml:space="preserve"> </w:t>
      </w:r>
      <w:r>
        <w:rPr>
          <w:spacing w:val="-1"/>
        </w:rPr>
        <w:t>fail</w:t>
      </w:r>
      <w:r>
        <w:rPr>
          <w:spacing w:val="24"/>
        </w:rPr>
        <w:t xml:space="preserve"> </w:t>
      </w:r>
      <w:r>
        <w:t>to</w:t>
      </w:r>
      <w:r>
        <w:rPr>
          <w:spacing w:val="24"/>
        </w:rPr>
        <w:t xml:space="preserve"> </w:t>
      </w:r>
      <w:r>
        <w:rPr>
          <w:spacing w:val="-1"/>
        </w:rPr>
        <w:t>agree</w:t>
      </w:r>
      <w:r>
        <w:rPr>
          <w:spacing w:val="24"/>
        </w:rPr>
        <w:t xml:space="preserve"> </w:t>
      </w:r>
      <w:r>
        <w:t>the</w:t>
      </w:r>
      <w:r>
        <w:rPr>
          <w:spacing w:val="24"/>
        </w:rPr>
        <w:t xml:space="preserve"> </w:t>
      </w:r>
      <w:r>
        <w:rPr>
          <w:spacing w:val="-1"/>
        </w:rPr>
        <w:t>appointment</w:t>
      </w:r>
      <w:r>
        <w:rPr>
          <w:spacing w:val="26"/>
        </w:rPr>
        <w:t xml:space="preserve"> </w:t>
      </w:r>
      <w:r>
        <w:rPr>
          <w:spacing w:val="-2"/>
        </w:rPr>
        <w:t>of</w:t>
      </w:r>
      <w:r>
        <w:rPr>
          <w:spacing w:val="26"/>
        </w:rPr>
        <w:t xml:space="preserve"> </w:t>
      </w:r>
      <w:r>
        <w:rPr>
          <w:spacing w:val="-1"/>
        </w:rPr>
        <w:t>the</w:t>
      </w:r>
      <w:r>
        <w:rPr>
          <w:spacing w:val="24"/>
        </w:rPr>
        <w:t xml:space="preserve"> </w:t>
      </w:r>
      <w:r>
        <w:rPr>
          <w:spacing w:val="-1"/>
        </w:rPr>
        <w:t>arbitrator</w:t>
      </w:r>
      <w:r>
        <w:rPr>
          <w:spacing w:val="26"/>
        </w:rPr>
        <w:t xml:space="preserve"> </w:t>
      </w:r>
      <w:r>
        <w:rPr>
          <w:spacing w:val="-2"/>
        </w:rPr>
        <w:t>within</w:t>
      </w:r>
      <w:r>
        <w:rPr>
          <w:spacing w:val="28"/>
        </w:rPr>
        <w:t xml:space="preserve"> </w:t>
      </w:r>
      <w:r>
        <w:rPr>
          <w:spacing w:val="-1"/>
        </w:rPr>
        <w:t>ten</w:t>
      </w:r>
    </w:p>
    <w:p w:rsidR="008918FA" w:rsidRDefault="008918FA" w:rsidP="008918FA">
      <w:pPr>
        <w:pStyle w:val="BodyText"/>
        <w:spacing w:before="1"/>
        <w:ind w:right="114" w:firstLine="0"/>
        <w:jc w:val="both"/>
      </w:pPr>
      <w:r>
        <w:rPr>
          <w:spacing w:val="-1"/>
        </w:rPr>
        <w:t>(10)</w:t>
      </w:r>
      <w:r>
        <w:rPr>
          <w:spacing w:val="56"/>
        </w:rPr>
        <w:t xml:space="preserve"> </w:t>
      </w:r>
      <w:r>
        <w:rPr>
          <w:spacing w:val="-2"/>
        </w:rPr>
        <w:t>days</w:t>
      </w:r>
      <w:r>
        <w:rPr>
          <w:spacing w:val="52"/>
        </w:rPr>
        <w:t xml:space="preserve"> </w:t>
      </w:r>
      <w:r>
        <w:rPr>
          <w:spacing w:val="-1"/>
        </w:rPr>
        <w:t>from</w:t>
      </w:r>
      <w:r>
        <w:rPr>
          <w:spacing w:val="53"/>
        </w:rPr>
        <w:t xml:space="preserve"> </w:t>
      </w:r>
      <w:r>
        <w:t>the</w:t>
      </w:r>
      <w:r>
        <w:rPr>
          <w:spacing w:val="54"/>
        </w:rPr>
        <w:t xml:space="preserve"> </w:t>
      </w:r>
      <w:r>
        <w:rPr>
          <w:spacing w:val="-1"/>
        </w:rPr>
        <w:t>date</w:t>
      </w:r>
      <w:r>
        <w:rPr>
          <w:spacing w:val="54"/>
        </w:rPr>
        <w:t xml:space="preserve"> </w:t>
      </w:r>
      <w:r>
        <w:rPr>
          <w:spacing w:val="-1"/>
        </w:rPr>
        <w:t>on</w:t>
      </w:r>
      <w:r>
        <w:rPr>
          <w:spacing w:val="54"/>
        </w:rPr>
        <w:t xml:space="preserve"> </w:t>
      </w:r>
      <w:r>
        <w:rPr>
          <w:spacing w:val="-2"/>
        </w:rPr>
        <w:t>which</w:t>
      </w:r>
      <w:r>
        <w:rPr>
          <w:spacing w:val="56"/>
        </w:rPr>
        <w:t xml:space="preserve"> </w:t>
      </w:r>
      <w:r>
        <w:rPr>
          <w:spacing w:val="-1"/>
        </w:rPr>
        <w:t>arbitration</w:t>
      </w:r>
      <w:r>
        <w:rPr>
          <w:spacing w:val="54"/>
        </w:rPr>
        <w:t xml:space="preserve"> </w:t>
      </w:r>
      <w:r>
        <w:rPr>
          <w:spacing w:val="-1"/>
        </w:rPr>
        <w:t>proceedings</w:t>
      </w:r>
      <w:r>
        <w:rPr>
          <w:spacing w:val="55"/>
        </w:rPr>
        <w:t xml:space="preserve"> </w:t>
      </w:r>
      <w:r>
        <w:rPr>
          <w:spacing w:val="-1"/>
        </w:rPr>
        <w:t>are</w:t>
      </w:r>
      <w:r>
        <w:rPr>
          <w:spacing w:val="31"/>
        </w:rPr>
        <w:t xml:space="preserve"> </w:t>
      </w:r>
      <w:r>
        <w:rPr>
          <w:spacing w:val="-1"/>
        </w:rPr>
        <w:t>commenced</w:t>
      </w:r>
      <w:r>
        <w:rPr>
          <w:spacing w:val="3"/>
        </w:rPr>
        <w:t xml:space="preserve"> </w:t>
      </w:r>
      <w:r>
        <w:rPr>
          <w:spacing w:val="-1"/>
        </w:rPr>
        <w:t>or</w:t>
      </w:r>
      <w:r>
        <w:rPr>
          <w:spacing w:val="2"/>
        </w:rPr>
        <w:t xml:space="preserve"> </w:t>
      </w:r>
      <w:r>
        <w:rPr>
          <w:spacing w:val="-2"/>
        </w:rPr>
        <w:t>if</w:t>
      </w:r>
      <w:r>
        <w:rPr>
          <w:spacing w:val="4"/>
        </w:rPr>
        <w:t xml:space="preserve"> </w:t>
      </w:r>
      <w:r>
        <w:t>the</w:t>
      </w:r>
      <w:r>
        <w:rPr>
          <w:spacing w:val="3"/>
        </w:rPr>
        <w:t xml:space="preserve"> </w:t>
      </w:r>
      <w:r>
        <w:rPr>
          <w:spacing w:val="-1"/>
        </w:rPr>
        <w:t>person</w:t>
      </w:r>
      <w:r>
        <w:rPr>
          <w:spacing w:val="3"/>
        </w:rPr>
        <w:t xml:space="preserve"> </w:t>
      </w:r>
      <w:r>
        <w:rPr>
          <w:spacing w:val="-1"/>
        </w:rPr>
        <w:t>appointed</w:t>
      </w:r>
      <w:r>
        <w:rPr>
          <w:spacing w:val="3"/>
        </w:rPr>
        <w:t xml:space="preserve"> </w:t>
      </w:r>
      <w:r>
        <w:rPr>
          <w:spacing w:val="-1"/>
        </w:rPr>
        <w:t>is</w:t>
      </w:r>
      <w:r>
        <w:rPr>
          <w:spacing w:val="3"/>
        </w:rPr>
        <w:t xml:space="preserve"> </w:t>
      </w:r>
      <w:r>
        <w:rPr>
          <w:spacing w:val="-1"/>
        </w:rPr>
        <w:t>unable</w:t>
      </w:r>
      <w:r>
        <w:t xml:space="preserve"> </w:t>
      </w:r>
      <w:r>
        <w:rPr>
          <w:spacing w:val="-1"/>
        </w:rPr>
        <w:t>or</w:t>
      </w:r>
      <w:r>
        <w:rPr>
          <w:spacing w:val="4"/>
        </w:rPr>
        <w:t xml:space="preserve"> </w:t>
      </w:r>
      <w:r>
        <w:rPr>
          <w:spacing w:val="-2"/>
        </w:rPr>
        <w:t>unwilling</w:t>
      </w:r>
      <w:r>
        <w:rPr>
          <w:spacing w:val="5"/>
        </w:rPr>
        <w:t xml:space="preserve"> </w:t>
      </w:r>
      <w:r>
        <w:t>to</w:t>
      </w:r>
      <w:r>
        <w:rPr>
          <w:spacing w:val="3"/>
        </w:rPr>
        <w:t xml:space="preserve"> </w:t>
      </w:r>
      <w:r>
        <w:rPr>
          <w:spacing w:val="-1"/>
        </w:rPr>
        <w:t>act,</w:t>
      </w:r>
      <w:r>
        <w:rPr>
          <w:spacing w:val="2"/>
        </w:rPr>
        <w:t xml:space="preserve"> </w:t>
      </w:r>
      <w:r>
        <w:rPr>
          <w:spacing w:val="-1"/>
        </w:rPr>
        <w:t>the</w:t>
      </w:r>
      <w:r>
        <w:rPr>
          <w:spacing w:val="36"/>
        </w:rPr>
        <w:t xml:space="preserve"> </w:t>
      </w:r>
      <w:r>
        <w:rPr>
          <w:spacing w:val="-1"/>
        </w:rPr>
        <w:t>arbitrator shall</w:t>
      </w:r>
      <w:r>
        <w:t xml:space="preserve"> </w:t>
      </w:r>
      <w:r>
        <w:rPr>
          <w:spacing w:val="-1"/>
        </w:rPr>
        <w:t>be</w:t>
      </w:r>
      <w:r>
        <w:t xml:space="preserve"> </w:t>
      </w:r>
      <w:r>
        <w:rPr>
          <w:spacing w:val="-1"/>
        </w:rPr>
        <w:t>appointed</w:t>
      </w:r>
      <w:r>
        <w:t xml:space="preserve"> </w:t>
      </w:r>
      <w:r>
        <w:rPr>
          <w:spacing w:val="-1"/>
        </w:rPr>
        <w:t>by</w:t>
      </w:r>
      <w:r>
        <w:rPr>
          <w:spacing w:val="-2"/>
        </w:rPr>
        <w:t xml:space="preserve"> </w:t>
      </w:r>
      <w:r>
        <w:t>the</w:t>
      </w:r>
      <w:r>
        <w:rPr>
          <w:spacing w:val="-2"/>
        </w:rPr>
        <w:t xml:space="preserve"> LCIA;</w:t>
      </w:r>
    </w:p>
    <w:p w:rsidR="008918FA" w:rsidRDefault="008918FA" w:rsidP="008918FA">
      <w:pPr>
        <w:pStyle w:val="BodyText"/>
        <w:numPr>
          <w:ilvl w:val="2"/>
          <w:numId w:val="6"/>
        </w:numPr>
        <w:tabs>
          <w:tab w:val="left" w:pos="1887"/>
        </w:tabs>
        <w:ind w:left="1886" w:hanging="993"/>
      </w:pPr>
      <w:bookmarkStart w:id="510" w:name="_bookmark424"/>
      <w:bookmarkEnd w:id="510"/>
      <w:r>
        <w:t xml:space="preserve">the </w:t>
      </w:r>
      <w:r>
        <w:rPr>
          <w:spacing w:val="-1"/>
        </w:rPr>
        <w:t xml:space="preserve">chair </w:t>
      </w:r>
      <w:r>
        <w:rPr>
          <w:spacing w:val="-2"/>
        </w:rPr>
        <w:t>of</w:t>
      </w:r>
      <w:r>
        <w:t xml:space="preserve"> the </w:t>
      </w:r>
      <w:r>
        <w:rPr>
          <w:spacing w:val="-1"/>
        </w:rPr>
        <w:t>arbitral</w:t>
      </w:r>
      <w:r>
        <w:rPr>
          <w:spacing w:val="-3"/>
        </w:rPr>
        <w:t xml:space="preserve"> </w:t>
      </w:r>
      <w:r>
        <w:rPr>
          <w:spacing w:val="-1"/>
        </w:rPr>
        <w:t>tribunal</w:t>
      </w:r>
      <w:r>
        <w:t xml:space="preserve"> </w:t>
      </w:r>
      <w:r>
        <w:rPr>
          <w:spacing w:val="-1"/>
        </w:rPr>
        <w:t>shall</w:t>
      </w:r>
      <w:r>
        <w:t xml:space="preserve"> </w:t>
      </w:r>
      <w:r>
        <w:rPr>
          <w:spacing w:val="-1"/>
        </w:rPr>
        <w:t>be</w:t>
      </w:r>
      <w:r>
        <w:t xml:space="preserve"> </w:t>
      </w:r>
      <w:r>
        <w:rPr>
          <w:spacing w:val="-1"/>
        </w:rPr>
        <w:t>British;</w:t>
      </w:r>
    </w:p>
    <w:p w:rsidR="008918FA" w:rsidRDefault="008918FA" w:rsidP="008918FA">
      <w:pPr>
        <w:pStyle w:val="BodyText"/>
        <w:numPr>
          <w:ilvl w:val="2"/>
          <w:numId w:val="6"/>
        </w:numPr>
        <w:tabs>
          <w:tab w:val="left" w:pos="1887"/>
        </w:tabs>
        <w:spacing w:before="120"/>
        <w:ind w:left="1886" w:right="112"/>
        <w:jc w:val="both"/>
      </w:pPr>
      <w:r>
        <w:t>the</w:t>
      </w:r>
      <w:r>
        <w:rPr>
          <w:spacing w:val="55"/>
        </w:rPr>
        <w:t xml:space="preserve"> </w:t>
      </w:r>
      <w:r>
        <w:rPr>
          <w:spacing w:val="-1"/>
        </w:rPr>
        <w:t>arbitration</w:t>
      </w:r>
      <w:r>
        <w:rPr>
          <w:spacing w:val="55"/>
        </w:rPr>
        <w:t xml:space="preserve"> </w:t>
      </w:r>
      <w:r>
        <w:rPr>
          <w:spacing w:val="-1"/>
        </w:rPr>
        <w:t>proceedings</w:t>
      </w:r>
      <w:r>
        <w:rPr>
          <w:spacing w:val="56"/>
        </w:rPr>
        <w:t xml:space="preserve"> </w:t>
      </w:r>
      <w:r>
        <w:rPr>
          <w:spacing w:val="-1"/>
        </w:rPr>
        <w:t>shall</w:t>
      </w:r>
      <w:r>
        <w:rPr>
          <w:spacing w:val="55"/>
        </w:rPr>
        <w:t xml:space="preserve"> </w:t>
      </w:r>
      <w:r>
        <w:rPr>
          <w:spacing w:val="-1"/>
        </w:rPr>
        <w:t>take</w:t>
      </w:r>
      <w:r>
        <w:rPr>
          <w:spacing w:val="56"/>
        </w:rPr>
        <w:t xml:space="preserve"> </w:t>
      </w:r>
      <w:r>
        <w:rPr>
          <w:spacing w:val="-1"/>
        </w:rPr>
        <w:t>place</w:t>
      </w:r>
      <w:r>
        <w:rPr>
          <w:spacing w:val="56"/>
        </w:rPr>
        <w:t xml:space="preserve"> </w:t>
      </w:r>
      <w:r>
        <w:rPr>
          <w:spacing w:val="-1"/>
        </w:rPr>
        <w:t>in</w:t>
      </w:r>
      <w:r>
        <w:rPr>
          <w:spacing w:val="56"/>
        </w:rPr>
        <w:t xml:space="preserve"> </w:t>
      </w:r>
      <w:r>
        <w:rPr>
          <w:spacing w:val="-1"/>
        </w:rPr>
        <w:t>[</w:t>
      </w:r>
      <w:r>
        <w:rPr>
          <w:spacing w:val="-1"/>
          <w:highlight w:val="yellow"/>
        </w:rPr>
        <w:t>London</w:t>
      </w:r>
      <w:r>
        <w:rPr>
          <w:spacing w:val="-1"/>
        </w:rPr>
        <w:t>]</w:t>
      </w:r>
      <w:r>
        <w:rPr>
          <w:spacing w:val="57"/>
        </w:rPr>
        <w:t xml:space="preserve"> </w:t>
      </w:r>
      <w:r>
        <w:rPr>
          <w:spacing w:val="-1"/>
        </w:rPr>
        <w:t>and</w:t>
      </w:r>
      <w:r>
        <w:rPr>
          <w:spacing w:val="55"/>
        </w:rPr>
        <w:t xml:space="preserve"> </w:t>
      </w:r>
      <w:r>
        <w:rPr>
          <w:spacing w:val="-1"/>
        </w:rPr>
        <w:t>in</w:t>
      </w:r>
      <w:r>
        <w:rPr>
          <w:spacing w:val="53"/>
        </w:rPr>
        <w:t xml:space="preserve"> </w:t>
      </w:r>
      <w:r>
        <w:rPr>
          <w:spacing w:val="-1"/>
        </w:rPr>
        <w:t>the</w:t>
      </w:r>
      <w:r>
        <w:rPr>
          <w:spacing w:val="26"/>
        </w:rPr>
        <w:t xml:space="preserve"> </w:t>
      </w:r>
      <w:r>
        <w:rPr>
          <w:spacing w:val="-1"/>
        </w:rPr>
        <w:t>English</w:t>
      </w:r>
      <w:r>
        <w:rPr>
          <w:spacing w:val="1"/>
        </w:rPr>
        <w:t xml:space="preserve"> </w:t>
      </w:r>
      <w:r>
        <w:rPr>
          <w:spacing w:val="-1"/>
        </w:rPr>
        <w:t>language;</w:t>
      </w:r>
      <w:r>
        <w:t xml:space="preserve"> </w:t>
      </w:r>
      <w:r>
        <w:rPr>
          <w:spacing w:val="-1"/>
        </w:rPr>
        <w:t>and</w:t>
      </w:r>
    </w:p>
    <w:p w:rsidR="008918FA" w:rsidRDefault="008918FA" w:rsidP="008918FA">
      <w:pPr>
        <w:pStyle w:val="BodyText"/>
        <w:numPr>
          <w:ilvl w:val="2"/>
          <w:numId w:val="6"/>
        </w:numPr>
        <w:tabs>
          <w:tab w:val="left" w:pos="1887"/>
        </w:tabs>
        <w:ind w:left="1886"/>
      </w:pPr>
      <w:bookmarkStart w:id="511" w:name="_bookmark425"/>
      <w:bookmarkEnd w:id="511"/>
      <w:r>
        <w:t xml:space="preserve">the </w:t>
      </w:r>
      <w:r>
        <w:rPr>
          <w:spacing w:val="-1"/>
        </w:rPr>
        <w:t>seat</w:t>
      </w:r>
      <w:r>
        <w:rPr>
          <w:spacing w:val="2"/>
        </w:rPr>
        <w:t xml:space="preserve"> </w:t>
      </w:r>
      <w:r>
        <w:rPr>
          <w:spacing w:val="-2"/>
        </w:rPr>
        <w:t>of</w:t>
      </w:r>
      <w:r>
        <w:t xml:space="preserve"> the</w:t>
      </w:r>
      <w:r>
        <w:rPr>
          <w:spacing w:val="-2"/>
        </w:rPr>
        <w:t xml:space="preserve"> </w:t>
      </w:r>
      <w:r>
        <w:rPr>
          <w:spacing w:val="-1"/>
        </w:rPr>
        <w:t>arbitration</w:t>
      </w:r>
      <w:r>
        <w:rPr>
          <w:spacing w:val="-2"/>
        </w:rPr>
        <w:t xml:space="preserve"> </w:t>
      </w:r>
      <w:r>
        <w:rPr>
          <w:spacing w:val="-1"/>
        </w:rPr>
        <w:t>shall</w:t>
      </w:r>
      <w:r>
        <w:t xml:space="preserve"> </w:t>
      </w:r>
      <w:r>
        <w:rPr>
          <w:spacing w:val="-1"/>
        </w:rPr>
        <w:t>be</w:t>
      </w:r>
      <w:r>
        <w:t xml:space="preserve"> </w:t>
      </w:r>
      <w:r>
        <w:rPr>
          <w:spacing w:val="-2"/>
        </w:rPr>
        <w:t>London.</w:t>
      </w:r>
    </w:p>
    <w:p w:rsidR="008918FA" w:rsidRDefault="008918FA" w:rsidP="008918FA">
      <w:pPr>
        <w:sectPr w:rsidR="008918FA">
          <w:pgSz w:w="11910" w:h="16840"/>
          <w:pgMar w:top="1480" w:right="1300" w:bottom="1180" w:left="1680" w:header="0" w:footer="987" w:gutter="0"/>
          <w:cols w:space="720"/>
        </w:sectPr>
      </w:pPr>
    </w:p>
    <w:p w:rsidR="008918FA" w:rsidRDefault="008918FA" w:rsidP="008918FA">
      <w:pPr>
        <w:spacing w:before="1"/>
        <w:rPr>
          <w:rFonts w:ascii="Arial" w:eastAsia="Arial" w:hAnsi="Arial" w:cs="Arial"/>
          <w:sz w:val="7"/>
          <w:szCs w:val="7"/>
        </w:rPr>
      </w:pPr>
    </w:p>
    <w:p w:rsidR="008918FA" w:rsidRDefault="008918FA" w:rsidP="008918FA">
      <w:pPr>
        <w:spacing w:line="200" w:lineRule="atLeast"/>
        <w:ind w:left="466"/>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27C0A896" wp14:editId="25104089">
                <wp:extent cx="5387975" cy="321945"/>
                <wp:effectExtent l="0" t="0" r="3175" b="1905"/>
                <wp:docPr id="642"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321945"/>
                          <a:chOff x="0" y="0"/>
                          <a:chExt cx="8485" cy="507"/>
                        </a:xfrm>
                      </wpg:grpSpPr>
                      <wpg:grpSp>
                        <wpg:cNvPr id="643" name="Group 638"/>
                        <wpg:cNvGrpSpPr>
                          <a:grpSpLocks/>
                        </wpg:cNvGrpSpPr>
                        <wpg:grpSpPr bwMode="auto">
                          <a:xfrm>
                            <a:off x="0" y="0"/>
                            <a:ext cx="8484" cy="252"/>
                            <a:chOff x="0" y="0"/>
                            <a:chExt cx="8484" cy="252"/>
                          </a:xfrm>
                        </wpg:grpSpPr>
                        <wps:wsp>
                          <wps:cNvPr id="644" name="Freeform 639"/>
                          <wps:cNvSpPr>
                            <a:spLocks/>
                          </wps:cNvSpPr>
                          <wps:spPr bwMode="auto">
                            <a:xfrm>
                              <a:off x="0" y="0"/>
                              <a:ext cx="8484" cy="252"/>
                            </a:xfrm>
                            <a:custGeom>
                              <a:avLst/>
                              <a:gdLst>
                                <a:gd name="T0" fmla="*/ 0 w 8484"/>
                                <a:gd name="T1" fmla="*/ 252 h 252"/>
                                <a:gd name="T2" fmla="*/ 8484 w 8484"/>
                                <a:gd name="T3" fmla="*/ 252 h 252"/>
                                <a:gd name="T4" fmla="*/ 8484 w 8484"/>
                                <a:gd name="T5" fmla="*/ 0 h 252"/>
                                <a:gd name="T6" fmla="*/ 0 w 8484"/>
                                <a:gd name="T7" fmla="*/ 0 h 252"/>
                                <a:gd name="T8" fmla="*/ 0 w 8484"/>
                                <a:gd name="T9" fmla="*/ 252 h 252"/>
                              </a:gdLst>
                              <a:ahLst/>
                              <a:cxnLst>
                                <a:cxn ang="0">
                                  <a:pos x="T0" y="T1"/>
                                </a:cxn>
                                <a:cxn ang="0">
                                  <a:pos x="T2" y="T3"/>
                                </a:cxn>
                                <a:cxn ang="0">
                                  <a:pos x="T4" y="T5"/>
                                </a:cxn>
                                <a:cxn ang="0">
                                  <a:pos x="T6" y="T7"/>
                                </a:cxn>
                                <a:cxn ang="0">
                                  <a:pos x="T8" y="T9"/>
                                </a:cxn>
                              </a:cxnLst>
                              <a:rect l="0" t="0" r="r" b="b"/>
                              <a:pathLst>
                                <a:path w="8484" h="252">
                                  <a:moveTo>
                                    <a:pt x="0" y="252"/>
                                  </a:moveTo>
                                  <a:lnTo>
                                    <a:pt x="8484" y="252"/>
                                  </a:lnTo>
                                  <a:lnTo>
                                    <a:pt x="8484"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635"/>
                        <wpg:cNvGrpSpPr>
                          <a:grpSpLocks/>
                        </wpg:cNvGrpSpPr>
                        <wpg:grpSpPr bwMode="auto">
                          <a:xfrm>
                            <a:off x="0" y="252"/>
                            <a:ext cx="4181" cy="255"/>
                            <a:chOff x="0" y="252"/>
                            <a:chExt cx="4181" cy="255"/>
                          </a:xfrm>
                        </wpg:grpSpPr>
                        <wps:wsp>
                          <wps:cNvPr id="646" name="Freeform 637"/>
                          <wps:cNvSpPr>
                            <a:spLocks/>
                          </wps:cNvSpPr>
                          <wps:spPr bwMode="auto">
                            <a:xfrm>
                              <a:off x="0" y="252"/>
                              <a:ext cx="4181" cy="255"/>
                            </a:xfrm>
                            <a:custGeom>
                              <a:avLst/>
                              <a:gdLst>
                                <a:gd name="T0" fmla="*/ 0 w 4181"/>
                                <a:gd name="T1" fmla="+- 0 506 252"/>
                                <a:gd name="T2" fmla="*/ 506 h 255"/>
                                <a:gd name="T3" fmla="*/ 4181 w 4181"/>
                                <a:gd name="T4" fmla="+- 0 506 252"/>
                                <a:gd name="T5" fmla="*/ 506 h 255"/>
                                <a:gd name="T6" fmla="*/ 4181 w 4181"/>
                                <a:gd name="T7" fmla="+- 0 252 252"/>
                                <a:gd name="T8" fmla="*/ 252 h 255"/>
                                <a:gd name="T9" fmla="*/ 0 w 4181"/>
                                <a:gd name="T10" fmla="+- 0 252 252"/>
                                <a:gd name="T11" fmla="*/ 252 h 255"/>
                                <a:gd name="T12" fmla="*/ 0 w 4181"/>
                                <a:gd name="T13" fmla="+- 0 506 252"/>
                                <a:gd name="T14" fmla="*/ 506 h 255"/>
                              </a:gdLst>
                              <a:ahLst/>
                              <a:cxnLst>
                                <a:cxn ang="0">
                                  <a:pos x="T0" y="T2"/>
                                </a:cxn>
                                <a:cxn ang="0">
                                  <a:pos x="T3" y="T5"/>
                                </a:cxn>
                                <a:cxn ang="0">
                                  <a:pos x="T6" y="T8"/>
                                </a:cxn>
                                <a:cxn ang="0">
                                  <a:pos x="T9" y="T11"/>
                                </a:cxn>
                                <a:cxn ang="0">
                                  <a:pos x="T12" y="T14"/>
                                </a:cxn>
                              </a:cxnLst>
                              <a:rect l="0" t="0" r="r" b="b"/>
                              <a:pathLst>
                                <a:path w="4181" h="255">
                                  <a:moveTo>
                                    <a:pt x="0" y="254"/>
                                  </a:moveTo>
                                  <a:lnTo>
                                    <a:pt x="4181" y="254"/>
                                  </a:lnTo>
                                  <a:lnTo>
                                    <a:pt x="4181" y="0"/>
                                  </a:lnTo>
                                  <a:lnTo>
                                    <a:pt x="0" y="0"/>
                                  </a:lnTo>
                                  <a:lnTo>
                                    <a:pt x="0" y="25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Text Box 636"/>
                          <wps:cNvSpPr txBox="1">
                            <a:spLocks noChangeArrowheads="1"/>
                          </wps:cNvSpPr>
                          <wps:spPr bwMode="auto">
                            <a:xfrm>
                              <a:off x="0" y="0"/>
                              <a:ext cx="848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line="252" w:lineRule="exact"/>
                                  <w:ind w:firstLine="153"/>
                                  <w:rPr>
                                    <w:rFonts w:ascii="Arial" w:eastAsia="Arial" w:hAnsi="Arial" w:cs="Arial"/>
                                  </w:rPr>
                                </w:pPr>
                                <w:r>
                                  <w:rPr>
                                    <w:rFonts w:ascii="Arial"/>
                                    <w:b/>
                                    <w:i/>
                                    <w:spacing w:val="-1"/>
                                  </w:rPr>
                                  <w:t>[Guidance</w:t>
                                </w:r>
                                <w:r>
                                  <w:rPr>
                                    <w:rFonts w:ascii="Arial"/>
                                    <w:b/>
                                    <w:i/>
                                  </w:rPr>
                                  <w:t xml:space="preserve"> </w:t>
                                </w:r>
                                <w:r>
                                  <w:rPr>
                                    <w:rFonts w:ascii="Arial"/>
                                    <w:b/>
                                    <w:i/>
                                    <w:spacing w:val="14"/>
                                  </w:rPr>
                                  <w:t xml:space="preserve"> </w:t>
                                </w:r>
                                <w:r>
                                  <w:rPr>
                                    <w:rFonts w:ascii="Arial"/>
                                    <w:b/>
                                    <w:i/>
                                    <w:spacing w:val="-1"/>
                                  </w:rPr>
                                  <w:t>Note:</w:t>
                                </w:r>
                                <w:r>
                                  <w:rPr>
                                    <w:rFonts w:ascii="Arial"/>
                                    <w:b/>
                                    <w:i/>
                                  </w:rPr>
                                  <w:t xml:space="preserve"> </w:t>
                                </w:r>
                                <w:r>
                                  <w:rPr>
                                    <w:rFonts w:ascii="Arial"/>
                                    <w:b/>
                                    <w:i/>
                                    <w:spacing w:val="15"/>
                                  </w:rPr>
                                  <w:t xml:space="preserve"> </w:t>
                                </w:r>
                                <w:r>
                                  <w:rPr>
                                    <w:rFonts w:ascii="Arial"/>
                                    <w:b/>
                                    <w:i/>
                                    <w:spacing w:val="-1"/>
                                  </w:rPr>
                                  <w:t>Customer</w:t>
                                </w:r>
                                <w:r>
                                  <w:rPr>
                                    <w:rFonts w:ascii="Arial"/>
                                    <w:b/>
                                    <w:i/>
                                  </w:rPr>
                                  <w:t xml:space="preserve"> </w:t>
                                </w:r>
                                <w:r>
                                  <w:rPr>
                                    <w:rFonts w:ascii="Arial"/>
                                    <w:b/>
                                    <w:i/>
                                    <w:spacing w:val="15"/>
                                  </w:rPr>
                                  <w:t xml:space="preserve"> </w:t>
                                </w:r>
                                <w:r>
                                  <w:rPr>
                                    <w:rFonts w:ascii="Arial"/>
                                    <w:b/>
                                    <w:i/>
                                  </w:rPr>
                                  <w:t xml:space="preserve">to </w:t>
                                </w:r>
                                <w:r>
                                  <w:rPr>
                                    <w:rFonts w:ascii="Arial"/>
                                    <w:b/>
                                    <w:i/>
                                    <w:spacing w:val="13"/>
                                  </w:rPr>
                                  <w:t xml:space="preserve"> </w:t>
                                </w:r>
                                <w:r>
                                  <w:rPr>
                                    <w:rFonts w:ascii="Arial"/>
                                    <w:b/>
                                    <w:i/>
                                    <w:spacing w:val="-1"/>
                                  </w:rPr>
                                  <w:t>consider</w:t>
                                </w:r>
                                <w:r>
                                  <w:rPr>
                                    <w:rFonts w:ascii="Arial"/>
                                    <w:b/>
                                    <w:i/>
                                  </w:rPr>
                                  <w:t xml:space="preserve"> </w:t>
                                </w:r>
                                <w:r>
                                  <w:rPr>
                                    <w:rFonts w:ascii="Arial"/>
                                    <w:b/>
                                    <w:i/>
                                    <w:spacing w:val="12"/>
                                  </w:rPr>
                                  <w:t xml:space="preserve"> </w:t>
                                </w:r>
                                <w:r>
                                  <w:rPr>
                                    <w:rFonts w:ascii="Arial"/>
                                    <w:b/>
                                    <w:i/>
                                    <w:spacing w:val="-1"/>
                                  </w:rPr>
                                  <w:t>whether</w:t>
                                </w:r>
                                <w:r>
                                  <w:rPr>
                                    <w:rFonts w:ascii="Arial"/>
                                    <w:b/>
                                    <w:i/>
                                  </w:rPr>
                                  <w:t xml:space="preserve"> </w:t>
                                </w:r>
                                <w:r>
                                  <w:rPr>
                                    <w:rFonts w:ascii="Arial"/>
                                    <w:b/>
                                    <w:i/>
                                    <w:spacing w:val="15"/>
                                  </w:rPr>
                                  <w:t xml:space="preserve"> </w:t>
                                </w:r>
                                <w:r>
                                  <w:rPr>
                                    <w:rFonts w:ascii="Arial"/>
                                    <w:b/>
                                    <w:i/>
                                    <w:spacing w:val="-1"/>
                                  </w:rPr>
                                  <w:t>London</w:t>
                                </w:r>
                                <w:r>
                                  <w:rPr>
                                    <w:rFonts w:ascii="Arial"/>
                                    <w:b/>
                                    <w:i/>
                                  </w:rPr>
                                  <w:t xml:space="preserve"> </w:t>
                                </w:r>
                                <w:r>
                                  <w:rPr>
                                    <w:rFonts w:ascii="Arial"/>
                                    <w:b/>
                                    <w:i/>
                                    <w:spacing w:val="14"/>
                                  </w:rPr>
                                  <w:t xml:space="preserve"> </w:t>
                                </w:r>
                                <w:r>
                                  <w:rPr>
                                    <w:rFonts w:ascii="Arial"/>
                                    <w:b/>
                                    <w:i/>
                                  </w:rPr>
                                  <w:t xml:space="preserve">is </w:t>
                                </w:r>
                                <w:r>
                                  <w:rPr>
                                    <w:rFonts w:ascii="Arial"/>
                                    <w:b/>
                                    <w:i/>
                                    <w:spacing w:val="14"/>
                                  </w:rPr>
                                  <w:t xml:space="preserve"> </w:t>
                                </w:r>
                                <w:r>
                                  <w:rPr>
                                    <w:rFonts w:ascii="Arial"/>
                                    <w:b/>
                                    <w:i/>
                                    <w:spacing w:val="-1"/>
                                  </w:rPr>
                                  <w:t>an</w:t>
                                </w:r>
                                <w:r>
                                  <w:rPr>
                                    <w:rFonts w:ascii="Arial"/>
                                    <w:b/>
                                    <w:i/>
                                  </w:rPr>
                                  <w:t xml:space="preserve"> </w:t>
                                </w:r>
                                <w:r>
                                  <w:rPr>
                                    <w:rFonts w:ascii="Arial"/>
                                    <w:b/>
                                    <w:i/>
                                    <w:spacing w:val="13"/>
                                  </w:rPr>
                                  <w:t xml:space="preserve"> </w:t>
                                </w:r>
                                <w:r>
                                  <w:rPr>
                                    <w:rFonts w:ascii="Arial"/>
                                    <w:b/>
                                    <w:i/>
                                    <w:spacing w:val="-1"/>
                                  </w:rPr>
                                  <w:t>appropriate</w:t>
                                </w:r>
                                <w:r>
                                  <w:rPr>
                                    <w:rFonts w:ascii="Arial"/>
                                    <w:b/>
                                    <w:i/>
                                    <w:spacing w:val="37"/>
                                  </w:rPr>
                                  <w:t xml:space="preserve"> </w:t>
                                </w:r>
                                <w:r>
                                  <w:rPr>
                                    <w:rFonts w:ascii="Arial"/>
                                    <w:b/>
                                    <w:i/>
                                    <w:spacing w:val="-1"/>
                                  </w:rPr>
                                  <w:t>location</w:t>
                                </w:r>
                                <w:r>
                                  <w:rPr>
                                    <w:rFonts w:ascii="Arial"/>
                                    <w:b/>
                                    <w:i/>
                                    <w:spacing w:val="-2"/>
                                  </w:rPr>
                                  <w:t xml:space="preserve"> </w:t>
                                </w:r>
                                <w:r>
                                  <w:rPr>
                                    <w:rFonts w:ascii="Arial"/>
                                    <w:b/>
                                    <w:i/>
                                    <w:spacing w:val="-1"/>
                                  </w:rPr>
                                  <w:t>for the</w:t>
                                </w:r>
                                <w:r>
                                  <w:rPr>
                                    <w:rFonts w:ascii="Arial"/>
                                    <w:b/>
                                    <w:i/>
                                  </w:rPr>
                                  <w:t xml:space="preserve"> </w:t>
                                </w:r>
                                <w:r>
                                  <w:rPr>
                                    <w:rFonts w:ascii="Arial"/>
                                    <w:b/>
                                    <w:i/>
                                    <w:spacing w:val="-1"/>
                                  </w:rPr>
                                  <w:t>arbitration</w:t>
                                </w:r>
                                <w:r>
                                  <w:rPr>
                                    <w:rFonts w:ascii="Arial"/>
                                    <w:b/>
                                    <w:i/>
                                  </w:rPr>
                                  <w:t xml:space="preserve"> </w:t>
                                </w:r>
                                <w:r>
                                  <w:rPr>
                                    <w:rFonts w:ascii="Arial"/>
                                    <w:b/>
                                    <w:i/>
                                    <w:spacing w:val="-2"/>
                                  </w:rPr>
                                  <w:t>proceedings]</w:t>
                                </w:r>
                              </w:p>
                            </w:txbxContent>
                          </wps:txbx>
                          <wps:bodyPr rot="0" vert="horz" wrap="square" lIns="0" tIns="0" rIns="0" bIns="0" anchor="t" anchorCtr="0" upright="1">
                            <a:noAutofit/>
                          </wps:bodyPr>
                        </wps:wsp>
                      </wpg:grpSp>
                    </wpg:wgp>
                  </a:graphicData>
                </a:graphic>
              </wp:inline>
            </w:drawing>
          </mc:Choice>
          <mc:Fallback>
            <w:pict>
              <v:group w14:anchorId="27C0A896" id="Group 634" o:spid="_x0000_s1364" style="width:424.25pt;height:25.35pt;mso-position-horizontal-relative:char;mso-position-vertical-relative:line" coordsize="848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">
                <v:group id="Group 638" o:spid="_x0000_s1365" style="position:absolute;width:8484;height:252" coordsize="84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9" o:spid="_x0000_s1366" style="position:absolute;width:8484;height:252;visibility:visible;mso-wrap-style:square;v-text-anchor:top" coordsize="848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JHcUA&#10;AADcAAAADwAAAGRycy9kb3ducmV2LnhtbESPQWvCQBSE74X+h+UVequbqqikriKioF6sUfD6zL4m&#10;sdm3IbtN4r93BaHHYWa+YabzzpSiodoVlhV89iIQxKnVBWcKTsf1xwSE88gaS8uk4EYO5rPXlynG&#10;2rZ8oCbxmQgQdjEqyL2vYildmpNB17MVcfB+bG3QB1lnUtfYBrgpZT+KRtJgwWEhx4qWOaW/yZ9R&#10;sBocqvPust6vtvraXMftd2OTTKn3t27xBcJT5//Dz/ZGKxgNh/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UkdxQAAANwAAAAPAAAAAAAAAAAAAAAAAJgCAABkcnMv&#10;ZG93bnJldi54bWxQSwUGAAAAAAQABAD1AAAAigMAAAAA&#10;" path="m,252r8484,l8484,,,,,252xe" fillcolor="lime" stroked="f">
                    <v:path arrowok="t" o:connecttype="custom" o:connectlocs="0,252;8484,252;8484,0;0,0;0,252" o:connectangles="0,0,0,0,0"/>
                  </v:shape>
                </v:group>
                <v:group id="Group 635" o:spid="_x0000_s1367" style="position:absolute;top:252;width:4181;height:255" coordorigin=",252" coordsize="418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37" o:spid="_x0000_s1368" style="position:absolute;top:252;width:4181;height:255;visibility:visible;mso-wrap-style:square;v-text-anchor:top" coordsize="418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HMYA&#10;AADcAAAADwAAAGRycy9kb3ducmV2LnhtbESPQWsCMRSE7wX/Q3iCl1KzVVnK1ihLoVTEi9Yeensk&#10;r7tLNy9LEnX11xtB8DjMzDfMfNnbVhzJh8axgtdxBoJYO9NwpWD//fnyBiJEZIOtY1JwpgDLxeBp&#10;joVxJ97ScRcrkSAcClRQx9gVUgZdk8Uwdh1x8v6ctxiT9JU0Hk8Jbls5ybJcWmw4LdTY0UdN+n93&#10;sAo2/braTJ8P/mtblj9hf9G/k0wrNRr25TuISH18hO/tlVGQz3K4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BHMYAAADcAAAADwAAAAAAAAAAAAAAAACYAgAAZHJz&#10;L2Rvd25yZXYueG1sUEsFBgAAAAAEAAQA9QAAAIsDAAAAAA==&#10;" path="m,254r4181,l4181,,,,,254xe" fillcolor="lime" stroked="f">
                    <v:path arrowok="t" o:connecttype="custom" o:connectlocs="0,506;4181,506;4181,252;0,252;0,506" o:connectangles="0,0,0,0,0"/>
                  </v:shape>
                  <v:shape id="Text Box 636" o:spid="_x0000_s1369" type="#_x0000_t202" style="position:absolute;width:848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5D2B81" w:rsidRDefault="005D2B81" w:rsidP="008918FA">
                          <w:pPr>
                            <w:spacing w:before="2" w:line="252" w:lineRule="exact"/>
                            <w:ind w:firstLine="153"/>
                            <w:rPr>
                              <w:rFonts w:ascii="Arial" w:eastAsia="Arial" w:hAnsi="Arial" w:cs="Arial"/>
                            </w:rPr>
                          </w:pPr>
                          <w:r>
                            <w:rPr>
                              <w:rFonts w:ascii="Arial"/>
                              <w:b/>
                              <w:i/>
                              <w:spacing w:val="-1"/>
                            </w:rPr>
                            <w:t>[Guidance</w:t>
                          </w:r>
                          <w:r>
                            <w:rPr>
                              <w:rFonts w:ascii="Arial"/>
                              <w:b/>
                              <w:i/>
                            </w:rPr>
                            <w:t xml:space="preserve"> </w:t>
                          </w:r>
                          <w:r>
                            <w:rPr>
                              <w:rFonts w:ascii="Arial"/>
                              <w:b/>
                              <w:i/>
                              <w:spacing w:val="14"/>
                            </w:rPr>
                            <w:t xml:space="preserve"> </w:t>
                          </w:r>
                          <w:r>
                            <w:rPr>
                              <w:rFonts w:ascii="Arial"/>
                              <w:b/>
                              <w:i/>
                              <w:spacing w:val="-1"/>
                            </w:rPr>
                            <w:t>Note:</w:t>
                          </w:r>
                          <w:r>
                            <w:rPr>
                              <w:rFonts w:ascii="Arial"/>
                              <w:b/>
                              <w:i/>
                            </w:rPr>
                            <w:t xml:space="preserve"> </w:t>
                          </w:r>
                          <w:r>
                            <w:rPr>
                              <w:rFonts w:ascii="Arial"/>
                              <w:b/>
                              <w:i/>
                              <w:spacing w:val="15"/>
                            </w:rPr>
                            <w:t xml:space="preserve"> </w:t>
                          </w:r>
                          <w:r>
                            <w:rPr>
                              <w:rFonts w:ascii="Arial"/>
                              <w:b/>
                              <w:i/>
                              <w:spacing w:val="-1"/>
                            </w:rPr>
                            <w:t>Customer</w:t>
                          </w:r>
                          <w:r>
                            <w:rPr>
                              <w:rFonts w:ascii="Arial"/>
                              <w:b/>
                              <w:i/>
                            </w:rPr>
                            <w:t xml:space="preserve"> </w:t>
                          </w:r>
                          <w:r>
                            <w:rPr>
                              <w:rFonts w:ascii="Arial"/>
                              <w:b/>
                              <w:i/>
                              <w:spacing w:val="15"/>
                            </w:rPr>
                            <w:t xml:space="preserve"> </w:t>
                          </w:r>
                          <w:r>
                            <w:rPr>
                              <w:rFonts w:ascii="Arial"/>
                              <w:b/>
                              <w:i/>
                            </w:rPr>
                            <w:t xml:space="preserve">to </w:t>
                          </w:r>
                          <w:r>
                            <w:rPr>
                              <w:rFonts w:ascii="Arial"/>
                              <w:b/>
                              <w:i/>
                              <w:spacing w:val="13"/>
                            </w:rPr>
                            <w:t xml:space="preserve"> </w:t>
                          </w:r>
                          <w:r>
                            <w:rPr>
                              <w:rFonts w:ascii="Arial"/>
                              <w:b/>
                              <w:i/>
                              <w:spacing w:val="-1"/>
                            </w:rPr>
                            <w:t>consider</w:t>
                          </w:r>
                          <w:r>
                            <w:rPr>
                              <w:rFonts w:ascii="Arial"/>
                              <w:b/>
                              <w:i/>
                            </w:rPr>
                            <w:t xml:space="preserve"> </w:t>
                          </w:r>
                          <w:r>
                            <w:rPr>
                              <w:rFonts w:ascii="Arial"/>
                              <w:b/>
                              <w:i/>
                              <w:spacing w:val="12"/>
                            </w:rPr>
                            <w:t xml:space="preserve"> </w:t>
                          </w:r>
                          <w:r>
                            <w:rPr>
                              <w:rFonts w:ascii="Arial"/>
                              <w:b/>
                              <w:i/>
                              <w:spacing w:val="-1"/>
                            </w:rPr>
                            <w:t>whether</w:t>
                          </w:r>
                          <w:r>
                            <w:rPr>
                              <w:rFonts w:ascii="Arial"/>
                              <w:b/>
                              <w:i/>
                            </w:rPr>
                            <w:t xml:space="preserve"> </w:t>
                          </w:r>
                          <w:r>
                            <w:rPr>
                              <w:rFonts w:ascii="Arial"/>
                              <w:b/>
                              <w:i/>
                              <w:spacing w:val="15"/>
                            </w:rPr>
                            <w:t xml:space="preserve"> </w:t>
                          </w:r>
                          <w:r>
                            <w:rPr>
                              <w:rFonts w:ascii="Arial"/>
                              <w:b/>
                              <w:i/>
                              <w:spacing w:val="-1"/>
                            </w:rPr>
                            <w:t>London</w:t>
                          </w:r>
                          <w:r>
                            <w:rPr>
                              <w:rFonts w:ascii="Arial"/>
                              <w:b/>
                              <w:i/>
                            </w:rPr>
                            <w:t xml:space="preserve"> </w:t>
                          </w:r>
                          <w:r>
                            <w:rPr>
                              <w:rFonts w:ascii="Arial"/>
                              <w:b/>
                              <w:i/>
                              <w:spacing w:val="14"/>
                            </w:rPr>
                            <w:t xml:space="preserve"> </w:t>
                          </w:r>
                          <w:r>
                            <w:rPr>
                              <w:rFonts w:ascii="Arial"/>
                              <w:b/>
                              <w:i/>
                            </w:rPr>
                            <w:t xml:space="preserve">is </w:t>
                          </w:r>
                          <w:r>
                            <w:rPr>
                              <w:rFonts w:ascii="Arial"/>
                              <w:b/>
                              <w:i/>
                              <w:spacing w:val="14"/>
                            </w:rPr>
                            <w:t xml:space="preserve"> </w:t>
                          </w:r>
                          <w:r>
                            <w:rPr>
                              <w:rFonts w:ascii="Arial"/>
                              <w:b/>
                              <w:i/>
                              <w:spacing w:val="-1"/>
                            </w:rPr>
                            <w:t>an</w:t>
                          </w:r>
                          <w:r>
                            <w:rPr>
                              <w:rFonts w:ascii="Arial"/>
                              <w:b/>
                              <w:i/>
                            </w:rPr>
                            <w:t xml:space="preserve"> </w:t>
                          </w:r>
                          <w:r>
                            <w:rPr>
                              <w:rFonts w:ascii="Arial"/>
                              <w:b/>
                              <w:i/>
                              <w:spacing w:val="13"/>
                            </w:rPr>
                            <w:t xml:space="preserve"> </w:t>
                          </w:r>
                          <w:r>
                            <w:rPr>
                              <w:rFonts w:ascii="Arial"/>
                              <w:b/>
                              <w:i/>
                              <w:spacing w:val="-1"/>
                            </w:rPr>
                            <w:t>appropriate</w:t>
                          </w:r>
                          <w:r>
                            <w:rPr>
                              <w:rFonts w:ascii="Arial"/>
                              <w:b/>
                              <w:i/>
                              <w:spacing w:val="37"/>
                            </w:rPr>
                            <w:t xml:space="preserve"> </w:t>
                          </w:r>
                          <w:r>
                            <w:rPr>
                              <w:rFonts w:ascii="Arial"/>
                              <w:b/>
                              <w:i/>
                              <w:spacing w:val="-1"/>
                            </w:rPr>
                            <w:t>location</w:t>
                          </w:r>
                          <w:r>
                            <w:rPr>
                              <w:rFonts w:ascii="Arial"/>
                              <w:b/>
                              <w:i/>
                              <w:spacing w:val="-2"/>
                            </w:rPr>
                            <w:t xml:space="preserve"> </w:t>
                          </w:r>
                          <w:r>
                            <w:rPr>
                              <w:rFonts w:ascii="Arial"/>
                              <w:b/>
                              <w:i/>
                              <w:spacing w:val="-1"/>
                            </w:rPr>
                            <w:t>for the</w:t>
                          </w:r>
                          <w:r>
                            <w:rPr>
                              <w:rFonts w:ascii="Arial"/>
                              <w:b/>
                              <w:i/>
                            </w:rPr>
                            <w:t xml:space="preserve"> </w:t>
                          </w:r>
                          <w:r>
                            <w:rPr>
                              <w:rFonts w:ascii="Arial"/>
                              <w:b/>
                              <w:i/>
                              <w:spacing w:val="-1"/>
                            </w:rPr>
                            <w:t>arbitration</w:t>
                          </w:r>
                          <w:r>
                            <w:rPr>
                              <w:rFonts w:ascii="Arial"/>
                              <w:b/>
                              <w:i/>
                            </w:rPr>
                            <w:t xml:space="preserve"> </w:t>
                          </w:r>
                          <w:r>
                            <w:rPr>
                              <w:rFonts w:ascii="Arial"/>
                              <w:b/>
                              <w:i/>
                              <w:spacing w:val="-2"/>
                            </w:rPr>
                            <w:t>proceedings]</w:t>
                          </w:r>
                        </w:p>
                      </w:txbxContent>
                    </v:textbox>
                  </v:shape>
                </v:group>
                <w10:anchorlock/>
              </v:group>
            </w:pict>
          </mc:Fallback>
        </mc:AlternateContent>
      </w:r>
    </w:p>
    <w:p w:rsidR="008918FA" w:rsidRDefault="008918FA" w:rsidP="008918FA">
      <w:pPr>
        <w:rPr>
          <w:rFonts w:ascii="Arial" w:eastAsia="Arial" w:hAnsi="Arial" w:cs="Arial"/>
          <w:sz w:val="20"/>
          <w:szCs w:val="20"/>
        </w:rPr>
      </w:pPr>
    </w:p>
    <w:p w:rsidR="008918FA" w:rsidRDefault="008918FA" w:rsidP="008918FA">
      <w:pPr>
        <w:spacing w:before="2"/>
        <w:rPr>
          <w:rFonts w:ascii="Arial" w:eastAsia="Arial" w:hAnsi="Arial" w:cs="Arial"/>
          <w:sz w:val="16"/>
          <w:szCs w:val="16"/>
        </w:rPr>
      </w:pPr>
    </w:p>
    <w:p w:rsidR="008918FA" w:rsidRDefault="008918FA" w:rsidP="008918FA">
      <w:pPr>
        <w:pStyle w:val="BodyText"/>
        <w:numPr>
          <w:ilvl w:val="0"/>
          <w:numId w:val="6"/>
        </w:numPr>
        <w:tabs>
          <w:tab w:val="left" w:pos="296"/>
        </w:tabs>
        <w:spacing w:before="72"/>
        <w:ind w:left="295" w:hanging="189"/>
        <w:rPr>
          <w:rFonts w:ascii="Times New Roman" w:eastAsia="Times New Roman" w:hAnsi="Times New Roman" w:cs="Times New Roman"/>
        </w:rPr>
      </w:pPr>
      <w:r>
        <w:rPr>
          <w:rFonts w:ascii="Times New Roman"/>
          <w:spacing w:val="-1"/>
          <w:highlight w:val="yellow"/>
        </w:rPr>
        <w:t>UR</w:t>
      </w:r>
      <w:r>
        <w:rPr>
          <w:rFonts w:ascii="Times New Roman"/>
          <w:spacing w:val="-45"/>
          <w:highlight w:val="yellow"/>
        </w:rPr>
        <w:t xml:space="preserve"> </w:t>
      </w:r>
      <w:r>
        <w:rPr>
          <w:rFonts w:ascii="Times New Roman"/>
          <w:highlight w:val="yellow"/>
        </w:rPr>
        <w:t>G</w:t>
      </w:r>
      <w:r>
        <w:rPr>
          <w:rFonts w:ascii="Times New Roman"/>
          <w:spacing w:val="-42"/>
          <w:highlight w:val="yellow"/>
        </w:rPr>
        <w:t xml:space="preserve"> </w:t>
      </w:r>
      <w:r>
        <w:rPr>
          <w:rFonts w:ascii="Times New Roman"/>
          <w:spacing w:val="3"/>
          <w:highlight w:val="yellow"/>
        </w:rPr>
        <w:t>ENT</w:t>
      </w:r>
      <w:r>
        <w:rPr>
          <w:rFonts w:ascii="Times New Roman"/>
          <w:spacing w:val="4"/>
          <w:highlight w:val="yellow"/>
        </w:rPr>
        <w:t xml:space="preserve"> </w:t>
      </w:r>
      <w:r>
        <w:rPr>
          <w:rFonts w:ascii="Times New Roman"/>
          <w:highlight w:val="yellow"/>
        </w:rPr>
        <w:t>R</w:t>
      </w:r>
      <w:r>
        <w:rPr>
          <w:rFonts w:ascii="Times New Roman"/>
          <w:spacing w:val="-45"/>
          <w:highlight w:val="yellow"/>
        </w:rPr>
        <w:t xml:space="preserve"> </w:t>
      </w:r>
      <w:r>
        <w:rPr>
          <w:rFonts w:ascii="Times New Roman"/>
          <w:spacing w:val="4"/>
          <w:highlight w:val="yellow"/>
        </w:rPr>
        <w:t>ELIEF</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6"/>
        </w:numPr>
        <w:tabs>
          <w:tab w:val="left" w:pos="829"/>
        </w:tabs>
        <w:spacing w:before="0"/>
        <w:ind w:right="125"/>
      </w:pPr>
      <w:r>
        <w:rPr>
          <w:spacing w:val="-1"/>
        </w:rPr>
        <w:t>Either</w:t>
      </w:r>
      <w:r>
        <w:rPr>
          <w:spacing w:val="19"/>
        </w:rPr>
        <w:t xml:space="preserve"> </w:t>
      </w:r>
      <w:r>
        <w:rPr>
          <w:spacing w:val="-1"/>
        </w:rPr>
        <w:t>Party</w:t>
      </w:r>
      <w:r>
        <w:rPr>
          <w:spacing w:val="15"/>
        </w:rPr>
        <w:t xml:space="preserve"> </w:t>
      </w:r>
      <w:r>
        <w:rPr>
          <w:spacing w:val="-1"/>
        </w:rPr>
        <w:t>may</w:t>
      </w:r>
      <w:r>
        <w:rPr>
          <w:spacing w:val="15"/>
        </w:rPr>
        <w:t xml:space="preserve"> </w:t>
      </w:r>
      <w:r>
        <w:rPr>
          <w:spacing w:val="-1"/>
        </w:rPr>
        <w:t>at</w:t>
      </w:r>
      <w:r>
        <w:rPr>
          <w:spacing w:val="16"/>
        </w:rPr>
        <w:t xml:space="preserve"> </w:t>
      </w:r>
      <w:r>
        <w:rPr>
          <w:spacing w:val="-1"/>
        </w:rPr>
        <w:t>any</w:t>
      </w:r>
      <w:r>
        <w:rPr>
          <w:spacing w:val="15"/>
        </w:rPr>
        <w:t xml:space="preserve"> </w:t>
      </w:r>
      <w:r>
        <w:rPr>
          <w:spacing w:val="-1"/>
        </w:rPr>
        <w:t>time</w:t>
      </w:r>
      <w:r>
        <w:rPr>
          <w:spacing w:val="15"/>
        </w:rPr>
        <w:t xml:space="preserve"> </w:t>
      </w:r>
      <w:r>
        <w:t>take</w:t>
      </w:r>
      <w:r>
        <w:rPr>
          <w:spacing w:val="17"/>
        </w:rPr>
        <w:t xml:space="preserve"> </w:t>
      </w:r>
      <w:r>
        <w:rPr>
          <w:spacing w:val="-1"/>
        </w:rPr>
        <w:t>proceedings</w:t>
      </w:r>
      <w:r>
        <w:rPr>
          <w:spacing w:val="18"/>
        </w:rPr>
        <w:t xml:space="preserve"> </w:t>
      </w:r>
      <w:r>
        <w:rPr>
          <w:spacing w:val="-2"/>
        </w:rPr>
        <w:t>or</w:t>
      </w:r>
      <w:r>
        <w:rPr>
          <w:spacing w:val="19"/>
        </w:rPr>
        <w:t xml:space="preserve"> </w:t>
      </w:r>
      <w:r>
        <w:rPr>
          <w:spacing w:val="-1"/>
        </w:rPr>
        <w:t>seek</w:t>
      </w:r>
      <w:r>
        <w:rPr>
          <w:spacing w:val="18"/>
        </w:rPr>
        <w:t xml:space="preserve"> </w:t>
      </w:r>
      <w:r>
        <w:rPr>
          <w:spacing w:val="-1"/>
        </w:rPr>
        <w:t>remedies</w:t>
      </w:r>
      <w:r>
        <w:rPr>
          <w:spacing w:val="19"/>
        </w:rPr>
        <w:t xml:space="preserve"> </w:t>
      </w:r>
      <w:r>
        <w:rPr>
          <w:spacing w:val="-1"/>
        </w:rPr>
        <w:t>before</w:t>
      </w:r>
      <w:r>
        <w:rPr>
          <w:spacing w:val="15"/>
        </w:rPr>
        <w:t xml:space="preserve"> </w:t>
      </w:r>
      <w:r>
        <w:rPr>
          <w:spacing w:val="-1"/>
        </w:rPr>
        <w:t>any</w:t>
      </w:r>
      <w:r>
        <w:rPr>
          <w:spacing w:val="16"/>
        </w:rPr>
        <w:t xml:space="preserve"> </w:t>
      </w:r>
      <w:r>
        <w:rPr>
          <w:spacing w:val="-1"/>
        </w:rPr>
        <w:t>court</w:t>
      </w:r>
      <w:r>
        <w:rPr>
          <w:spacing w:val="35"/>
        </w:rPr>
        <w:t xml:space="preserve"> </w:t>
      </w:r>
      <w:r>
        <w:rPr>
          <w:spacing w:val="-1"/>
        </w:rPr>
        <w:t>or tribunal</w:t>
      </w:r>
      <w:r>
        <w:t xml:space="preserve"> </w:t>
      </w:r>
      <w:r>
        <w:rPr>
          <w:spacing w:val="-2"/>
        </w:rPr>
        <w:t>of</w:t>
      </w:r>
      <w:r>
        <w:rPr>
          <w:spacing w:val="2"/>
        </w:rPr>
        <w:t xml:space="preserve"> </w:t>
      </w:r>
      <w:r>
        <w:rPr>
          <w:spacing w:val="-1"/>
        </w:rPr>
        <w:t>competent</w:t>
      </w:r>
      <w:r>
        <w:t xml:space="preserve"> </w:t>
      </w:r>
      <w:r>
        <w:rPr>
          <w:spacing w:val="-1"/>
        </w:rPr>
        <w:t>jurisdiction:</w:t>
      </w:r>
    </w:p>
    <w:p w:rsidR="008918FA" w:rsidRDefault="008918FA" w:rsidP="008918FA">
      <w:pPr>
        <w:pStyle w:val="BodyText"/>
        <w:numPr>
          <w:ilvl w:val="2"/>
          <w:numId w:val="6"/>
        </w:numPr>
        <w:tabs>
          <w:tab w:val="left" w:pos="2027"/>
        </w:tabs>
        <w:ind w:right="114" w:hanging="993"/>
        <w:jc w:val="both"/>
      </w:pPr>
      <w:r>
        <w:t>for</w:t>
      </w:r>
      <w:r>
        <w:rPr>
          <w:spacing w:val="11"/>
        </w:rPr>
        <w:t xml:space="preserve"> </w:t>
      </w:r>
      <w:r>
        <w:rPr>
          <w:spacing w:val="-1"/>
        </w:rPr>
        <w:t>interim</w:t>
      </w:r>
      <w:r>
        <w:rPr>
          <w:spacing w:val="11"/>
        </w:rPr>
        <w:t xml:space="preserve"> </w:t>
      </w:r>
      <w:r>
        <w:rPr>
          <w:spacing w:val="-2"/>
        </w:rPr>
        <w:t>or</w:t>
      </w:r>
      <w:r>
        <w:rPr>
          <w:spacing w:val="11"/>
        </w:rPr>
        <w:t xml:space="preserve"> </w:t>
      </w:r>
      <w:r>
        <w:rPr>
          <w:spacing w:val="-1"/>
        </w:rPr>
        <w:t>interlocutory</w:t>
      </w:r>
      <w:r>
        <w:rPr>
          <w:spacing w:val="8"/>
        </w:rPr>
        <w:t xml:space="preserve"> </w:t>
      </w:r>
      <w:r>
        <w:rPr>
          <w:spacing w:val="-1"/>
        </w:rPr>
        <w:t>remedies</w:t>
      </w:r>
      <w:r>
        <w:rPr>
          <w:spacing w:val="10"/>
        </w:rPr>
        <w:t xml:space="preserve"> </w:t>
      </w:r>
      <w:r>
        <w:rPr>
          <w:spacing w:val="-1"/>
        </w:rPr>
        <w:t>in</w:t>
      </w:r>
      <w:r>
        <w:rPr>
          <w:spacing w:val="10"/>
        </w:rPr>
        <w:t xml:space="preserve"> </w:t>
      </w:r>
      <w:r>
        <w:rPr>
          <w:spacing w:val="-1"/>
        </w:rPr>
        <w:t>relation</w:t>
      </w:r>
      <w:r>
        <w:rPr>
          <w:spacing w:val="7"/>
        </w:rPr>
        <w:t xml:space="preserve"> </w:t>
      </w:r>
      <w:r>
        <w:t>to</w:t>
      </w:r>
      <w:r>
        <w:rPr>
          <w:spacing w:val="7"/>
        </w:rPr>
        <w:t xml:space="preserve"> </w:t>
      </w:r>
      <w:r>
        <w:rPr>
          <w:spacing w:val="-1"/>
        </w:rPr>
        <w:t>this</w:t>
      </w:r>
      <w:r>
        <w:rPr>
          <w:spacing w:val="10"/>
        </w:rPr>
        <w:t xml:space="preserve"> </w:t>
      </w:r>
      <w:r>
        <w:rPr>
          <w:spacing w:val="-2"/>
        </w:rPr>
        <w:t>Call</w:t>
      </w:r>
      <w:r>
        <w:rPr>
          <w:spacing w:val="9"/>
        </w:rPr>
        <w:t xml:space="preserve"> </w:t>
      </w:r>
      <w:r>
        <w:rPr>
          <w:spacing w:val="-1"/>
        </w:rPr>
        <w:t>Off</w:t>
      </w:r>
      <w:r>
        <w:rPr>
          <w:spacing w:val="11"/>
        </w:rPr>
        <w:t xml:space="preserve"> </w:t>
      </w:r>
      <w:r>
        <w:rPr>
          <w:spacing w:val="-2"/>
        </w:rPr>
        <w:t>Contract</w:t>
      </w:r>
      <w:r>
        <w:rPr>
          <w:spacing w:val="40"/>
        </w:rPr>
        <w:t xml:space="preserve"> </w:t>
      </w:r>
      <w:r>
        <w:rPr>
          <w:spacing w:val="-1"/>
        </w:rPr>
        <w:t>or</w:t>
      </w:r>
      <w:r>
        <w:rPr>
          <w:spacing w:val="26"/>
        </w:rPr>
        <w:t xml:space="preserve"> </w:t>
      </w:r>
      <w:r>
        <w:rPr>
          <w:spacing w:val="-1"/>
        </w:rPr>
        <w:t>infringement</w:t>
      </w:r>
      <w:r>
        <w:rPr>
          <w:spacing w:val="23"/>
        </w:rPr>
        <w:t xml:space="preserve"> </w:t>
      </w:r>
      <w:r>
        <w:rPr>
          <w:spacing w:val="-1"/>
        </w:rPr>
        <w:t>by</w:t>
      </w:r>
      <w:r>
        <w:rPr>
          <w:spacing w:val="22"/>
        </w:rPr>
        <w:t xml:space="preserve"> </w:t>
      </w:r>
      <w:r>
        <w:t>the</w:t>
      </w:r>
      <w:r>
        <w:rPr>
          <w:spacing w:val="24"/>
        </w:rPr>
        <w:t xml:space="preserve"> </w:t>
      </w:r>
      <w:r>
        <w:rPr>
          <w:spacing w:val="-1"/>
        </w:rPr>
        <w:t>other</w:t>
      </w:r>
      <w:r>
        <w:rPr>
          <w:spacing w:val="26"/>
        </w:rPr>
        <w:t xml:space="preserve"> </w:t>
      </w:r>
      <w:r>
        <w:rPr>
          <w:spacing w:val="-1"/>
        </w:rPr>
        <w:t>Party</w:t>
      </w:r>
      <w:r>
        <w:rPr>
          <w:spacing w:val="22"/>
        </w:rPr>
        <w:t xml:space="preserve"> </w:t>
      </w:r>
      <w:r>
        <w:rPr>
          <w:spacing w:val="-2"/>
        </w:rPr>
        <w:t>of</w:t>
      </w:r>
      <w:r>
        <w:rPr>
          <w:spacing w:val="26"/>
        </w:rPr>
        <w:t xml:space="preserve"> </w:t>
      </w:r>
      <w:r>
        <w:rPr>
          <w:spacing w:val="-1"/>
        </w:rPr>
        <w:t>that</w:t>
      </w:r>
      <w:r>
        <w:rPr>
          <w:spacing w:val="23"/>
        </w:rPr>
        <w:t xml:space="preserve"> </w:t>
      </w:r>
      <w:r>
        <w:rPr>
          <w:spacing w:val="-1"/>
        </w:rPr>
        <w:t>Party’s</w:t>
      </w:r>
      <w:r>
        <w:rPr>
          <w:spacing w:val="25"/>
        </w:rPr>
        <w:t xml:space="preserve"> </w:t>
      </w:r>
      <w:r>
        <w:rPr>
          <w:spacing w:val="-1"/>
        </w:rPr>
        <w:t>Intellectual</w:t>
      </w:r>
      <w:r>
        <w:rPr>
          <w:spacing w:val="24"/>
        </w:rPr>
        <w:t xml:space="preserve"> </w:t>
      </w:r>
      <w:r>
        <w:rPr>
          <w:spacing w:val="-1"/>
        </w:rPr>
        <w:t>Property</w:t>
      </w:r>
      <w:r>
        <w:rPr>
          <w:spacing w:val="39"/>
        </w:rPr>
        <w:t xml:space="preserve"> </w:t>
      </w:r>
      <w:r>
        <w:rPr>
          <w:spacing w:val="-1"/>
        </w:rPr>
        <w:t>Rights;</w:t>
      </w:r>
      <w:r>
        <w:rPr>
          <w:spacing w:val="2"/>
        </w:rPr>
        <w:t xml:space="preserve"> </w:t>
      </w:r>
      <w:r>
        <w:rPr>
          <w:spacing w:val="-1"/>
        </w:rPr>
        <w:t>and/or</w:t>
      </w:r>
    </w:p>
    <w:p w:rsidR="008918FA" w:rsidRDefault="008918FA" w:rsidP="008918FA">
      <w:pPr>
        <w:pStyle w:val="BodyText"/>
        <w:numPr>
          <w:ilvl w:val="2"/>
          <w:numId w:val="6"/>
        </w:numPr>
        <w:tabs>
          <w:tab w:val="left" w:pos="2027"/>
        </w:tabs>
        <w:spacing w:before="121"/>
        <w:ind w:right="112" w:hanging="993"/>
        <w:jc w:val="both"/>
      </w:pPr>
      <w:r>
        <w:rPr>
          <w:spacing w:val="-2"/>
        </w:rPr>
        <w:t>where</w:t>
      </w:r>
      <w:r>
        <w:rPr>
          <w:spacing w:val="15"/>
        </w:rPr>
        <w:t xml:space="preserve"> </w:t>
      </w:r>
      <w:r>
        <w:rPr>
          <w:spacing w:val="-1"/>
        </w:rPr>
        <w:t>compliance</w:t>
      </w:r>
      <w:r>
        <w:rPr>
          <w:spacing w:val="18"/>
        </w:rPr>
        <w:t xml:space="preserve"> </w:t>
      </w:r>
      <w:r>
        <w:rPr>
          <w:spacing w:val="-2"/>
        </w:rPr>
        <w:t>with</w:t>
      </w:r>
      <w:r>
        <w:rPr>
          <w:spacing w:val="17"/>
        </w:rPr>
        <w:t xml:space="preserve"> </w:t>
      </w:r>
      <w:r>
        <w:rPr>
          <w:spacing w:val="-1"/>
        </w:rPr>
        <w:t>paragraph</w:t>
      </w:r>
      <w:r>
        <w:rPr>
          <w:spacing w:val="16"/>
        </w:rPr>
        <w:t xml:space="preserve"> </w:t>
      </w:r>
      <w:hyperlink w:anchor="_bookmark409" w:history="1">
        <w:r>
          <w:t>2.1</w:t>
        </w:r>
      </w:hyperlink>
      <w:r>
        <w:rPr>
          <w:spacing w:val="15"/>
        </w:rPr>
        <w:t xml:space="preserve"> </w:t>
      </w:r>
      <w:r>
        <w:rPr>
          <w:spacing w:val="-2"/>
        </w:rPr>
        <w:t>of</w:t>
      </w:r>
      <w:r>
        <w:rPr>
          <w:spacing w:val="16"/>
        </w:rPr>
        <w:t xml:space="preserve"> </w:t>
      </w:r>
      <w:r>
        <w:rPr>
          <w:spacing w:val="-1"/>
        </w:rPr>
        <w:t>this</w:t>
      </w:r>
      <w:r>
        <w:rPr>
          <w:spacing w:val="15"/>
        </w:rPr>
        <w:t xml:space="preserve"> </w:t>
      </w:r>
      <w:r>
        <w:rPr>
          <w:spacing w:val="-2"/>
        </w:rPr>
        <w:t>Call</w:t>
      </w:r>
      <w:r>
        <w:rPr>
          <w:spacing w:val="14"/>
        </w:rPr>
        <w:t xml:space="preserve"> </w:t>
      </w:r>
      <w:r>
        <w:t>Off</w:t>
      </w:r>
      <w:r>
        <w:rPr>
          <w:spacing w:val="16"/>
        </w:rPr>
        <w:t xml:space="preserve"> </w:t>
      </w:r>
      <w:r>
        <w:rPr>
          <w:spacing w:val="-1"/>
        </w:rPr>
        <w:t>Schedule</w:t>
      </w:r>
      <w:r>
        <w:rPr>
          <w:spacing w:val="15"/>
        </w:rPr>
        <w:t xml:space="preserve"> </w:t>
      </w:r>
      <w:r>
        <w:rPr>
          <w:spacing w:val="-1"/>
        </w:rPr>
        <w:t>and/or</w:t>
      </w:r>
      <w:r>
        <w:rPr>
          <w:spacing w:val="40"/>
        </w:rPr>
        <w:t xml:space="preserve"> </w:t>
      </w:r>
      <w:r>
        <w:rPr>
          <w:spacing w:val="-1"/>
        </w:rPr>
        <w:t>referring</w:t>
      </w:r>
      <w:r>
        <w:rPr>
          <w:spacing w:val="29"/>
        </w:rPr>
        <w:t xml:space="preserve"> </w:t>
      </w:r>
      <w:r>
        <w:t>the</w:t>
      </w:r>
      <w:r>
        <w:rPr>
          <w:spacing w:val="27"/>
        </w:rPr>
        <w:t xml:space="preserve"> </w:t>
      </w:r>
      <w:r>
        <w:rPr>
          <w:spacing w:val="-1"/>
        </w:rPr>
        <w:t>Dispute</w:t>
      </w:r>
      <w:r>
        <w:rPr>
          <w:spacing w:val="27"/>
        </w:rPr>
        <w:t xml:space="preserve"> </w:t>
      </w:r>
      <w:r>
        <w:t>to</w:t>
      </w:r>
      <w:r>
        <w:rPr>
          <w:spacing w:val="24"/>
        </w:rPr>
        <w:t xml:space="preserve"> </w:t>
      </w:r>
      <w:r>
        <w:rPr>
          <w:spacing w:val="-1"/>
        </w:rPr>
        <w:t>mediation</w:t>
      </w:r>
      <w:r>
        <w:rPr>
          <w:spacing w:val="27"/>
        </w:rPr>
        <w:t xml:space="preserve"> </w:t>
      </w:r>
      <w:r>
        <w:rPr>
          <w:spacing w:val="-1"/>
        </w:rPr>
        <w:t>may</w:t>
      </w:r>
      <w:r>
        <w:rPr>
          <w:spacing w:val="25"/>
        </w:rPr>
        <w:t xml:space="preserve"> </w:t>
      </w:r>
      <w:r>
        <w:rPr>
          <w:spacing w:val="-2"/>
        </w:rPr>
        <w:t>leave</w:t>
      </w:r>
      <w:r>
        <w:rPr>
          <w:spacing w:val="29"/>
        </w:rPr>
        <w:t xml:space="preserve"> </w:t>
      </w:r>
      <w:r>
        <w:rPr>
          <w:spacing w:val="-1"/>
        </w:rPr>
        <w:t>insufficient</w:t>
      </w:r>
      <w:r>
        <w:rPr>
          <w:spacing w:val="28"/>
        </w:rPr>
        <w:t xml:space="preserve"> </w:t>
      </w:r>
      <w:r>
        <w:rPr>
          <w:spacing w:val="-1"/>
        </w:rPr>
        <w:t>time</w:t>
      </w:r>
      <w:r>
        <w:rPr>
          <w:spacing w:val="24"/>
        </w:rPr>
        <w:t xml:space="preserve"> </w:t>
      </w:r>
      <w:r>
        <w:t>for</w:t>
      </w:r>
      <w:r>
        <w:rPr>
          <w:spacing w:val="26"/>
        </w:rPr>
        <w:t xml:space="preserve"> </w:t>
      </w:r>
      <w:r>
        <w:rPr>
          <w:spacing w:val="-1"/>
        </w:rPr>
        <w:t>that</w:t>
      </w:r>
      <w:r>
        <w:rPr>
          <w:spacing w:val="44"/>
        </w:rPr>
        <w:t xml:space="preserve"> </w:t>
      </w:r>
      <w:r>
        <w:rPr>
          <w:spacing w:val="-1"/>
        </w:rPr>
        <w:t>Party</w:t>
      </w:r>
      <w:r>
        <w:rPr>
          <w:spacing w:val="56"/>
        </w:rPr>
        <w:t xml:space="preserve"> </w:t>
      </w:r>
      <w:r>
        <w:t>to</w:t>
      </w:r>
      <w:r>
        <w:rPr>
          <w:spacing w:val="58"/>
        </w:rPr>
        <w:t xml:space="preserve"> </w:t>
      </w:r>
      <w:r>
        <w:rPr>
          <w:spacing w:val="-1"/>
        </w:rPr>
        <w:t>commence</w:t>
      </w:r>
      <w:r>
        <w:rPr>
          <w:spacing w:val="56"/>
        </w:rPr>
        <w:t xml:space="preserve"> </w:t>
      </w:r>
      <w:r>
        <w:rPr>
          <w:spacing w:val="-1"/>
        </w:rPr>
        <w:t>proceedings</w:t>
      </w:r>
      <w:r>
        <w:rPr>
          <w:spacing w:val="59"/>
        </w:rPr>
        <w:t xml:space="preserve"> </w:t>
      </w:r>
      <w:r>
        <w:rPr>
          <w:spacing w:val="-1"/>
        </w:rPr>
        <w:t>before</w:t>
      </w:r>
      <w:r>
        <w:rPr>
          <w:spacing w:val="55"/>
        </w:rPr>
        <w:t xml:space="preserve"> </w:t>
      </w:r>
      <w:r>
        <w:t>the</w:t>
      </w:r>
      <w:r>
        <w:rPr>
          <w:spacing w:val="58"/>
        </w:rPr>
        <w:t xml:space="preserve"> </w:t>
      </w:r>
      <w:r>
        <w:rPr>
          <w:spacing w:val="-2"/>
        </w:rPr>
        <w:t>expiry</w:t>
      </w:r>
      <w:r>
        <w:rPr>
          <w:spacing w:val="57"/>
        </w:rPr>
        <w:t xml:space="preserve"> </w:t>
      </w:r>
      <w:r>
        <w:rPr>
          <w:spacing w:val="-1"/>
        </w:rPr>
        <w:t>of</w:t>
      </w:r>
      <w:r>
        <w:rPr>
          <w:spacing w:val="59"/>
        </w:rPr>
        <w:t xml:space="preserve"> </w:t>
      </w:r>
      <w:r>
        <w:t>the</w:t>
      </w:r>
      <w:r>
        <w:rPr>
          <w:spacing w:val="58"/>
        </w:rPr>
        <w:t xml:space="preserve"> </w:t>
      </w:r>
      <w:r>
        <w:rPr>
          <w:spacing w:val="-1"/>
        </w:rPr>
        <w:t>limitation</w:t>
      </w:r>
      <w:r>
        <w:rPr>
          <w:spacing w:val="36"/>
        </w:rPr>
        <w:t xml:space="preserve"> </w:t>
      </w:r>
      <w:r>
        <w:rPr>
          <w:spacing w:val="-1"/>
        </w:rPr>
        <w:t>period.</w:t>
      </w:r>
    </w:p>
    <w:p w:rsidR="008918FA" w:rsidRDefault="008918FA" w:rsidP="008918FA">
      <w:pPr>
        <w:jc w:val="both"/>
        <w:sectPr w:rsidR="008918FA">
          <w:pgSz w:w="11910" w:h="16840"/>
          <w:pgMar w:top="1460" w:right="1300" w:bottom="1180" w:left="1540" w:header="0" w:footer="987" w:gutter="0"/>
          <w:cols w:space="720"/>
        </w:sectPr>
      </w:pPr>
    </w:p>
    <w:p w:rsidR="008918FA" w:rsidRDefault="008918FA" w:rsidP="008918FA">
      <w:pPr>
        <w:pStyle w:val="BodyText"/>
        <w:spacing w:before="58"/>
        <w:ind w:left="2404" w:firstLine="0"/>
        <w:rPr>
          <w:rFonts w:ascii="Times New Roman" w:eastAsia="Times New Roman" w:hAnsi="Times New Roman" w:cs="Times New Roman"/>
        </w:rPr>
      </w:pPr>
      <w:bookmarkStart w:id="512" w:name="CALL_OFF_SCHEDULE_13:_VARIATION_FORM"/>
      <w:bookmarkStart w:id="513" w:name="_bookmark426"/>
      <w:bookmarkEnd w:id="512"/>
      <w:bookmarkEnd w:id="513"/>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7"/>
        </w:rPr>
        <w:t>13:</w:t>
      </w:r>
      <w:r>
        <w:rPr>
          <w:rFonts w:ascii="Times New Roman"/>
          <w:spacing w:val="20"/>
        </w:rPr>
        <w:t xml:space="preserve"> </w:t>
      </w:r>
      <w:r>
        <w:rPr>
          <w:rFonts w:ascii="Times New Roman"/>
          <w:spacing w:val="-3"/>
        </w:rPr>
        <w:t>VARIATION</w:t>
      </w:r>
      <w:r>
        <w:rPr>
          <w:rFonts w:ascii="Times New Roman"/>
          <w:spacing w:val="6"/>
        </w:rPr>
        <w:t xml:space="preserve"> </w:t>
      </w:r>
      <w:r>
        <w:rPr>
          <w:rFonts w:ascii="Times New Roman"/>
          <w:spacing w:val="11"/>
        </w:rPr>
        <w:t>FORM</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spacing w:before="0"/>
        <w:ind w:left="1658" w:firstLine="0"/>
      </w:pPr>
      <w:r>
        <w:rPr>
          <w:spacing w:val="-1"/>
        </w:rPr>
        <w:t>No</w:t>
      </w:r>
      <w:r>
        <w:t xml:space="preserve"> </w:t>
      </w:r>
      <w:r>
        <w:rPr>
          <w:spacing w:val="-2"/>
        </w:rPr>
        <w:t>of</w:t>
      </w:r>
      <w:r>
        <w:rPr>
          <w:spacing w:val="2"/>
        </w:rPr>
        <w:t xml:space="preserve"> </w:t>
      </w:r>
      <w:r>
        <w:rPr>
          <w:spacing w:val="-1"/>
        </w:rPr>
        <w:t>Order Form</w:t>
      </w:r>
      <w:r>
        <w:rPr>
          <w:spacing w:val="2"/>
        </w:rPr>
        <w:t xml:space="preserve"> </w:t>
      </w:r>
      <w:r>
        <w:rPr>
          <w:spacing w:val="-2"/>
        </w:rPr>
        <w:t>being</w:t>
      </w:r>
      <w:r>
        <w:t xml:space="preserve"> </w:t>
      </w:r>
      <w:r>
        <w:rPr>
          <w:spacing w:val="-2"/>
        </w:rPr>
        <w:t>varied:</w:t>
      </w:r>
    </w:p>
    <w:p w:rsidR="008918FA" w:rsidRDefault="008918FA" w:rsidP="008918FA">
      <w:pPr>
        <w:spacing w:before="11"/>
        <w:rPr>
          <w:rFonts w:ascii="Arial" w:eastAsia="Arial" w:hAnsi="Arial" w:cs="Arial"/>
          <w:sz w:val="20"/>
          <w:szCs w:val="20"/>
        </w:rPr>
      </w:pPr>
    </w:p>
    <w:p w:rsidR="008918FA" w:rsidRDefault="008918FA" w:rsidP="008918FA">
      <w:pPr>
        <w:pStyle w:val="BodyText"/>
        <w:spacing w:before="0" w:line="466" w:lineRule="auto"/>
        <w:ind w:left="1658" w:right="1212" w:firstLine="0"/>
      </w:pPr>
      <w:r>
        <w:rPr>
          <w:spacing w:val="-1"/>
        </w:rPr>
        <w:t>……………………………………………………………………</w:t>
      </w:r>
      <w:r>
        <w:rPr>
          <w:spacing w:val="23"/>
        </w:rPr>
        <w:t xml:space="preserve"> </w:t>
      </w:r>
      <w:r>
        <w:rPr>
          <w:spacing w:val="-1"/>
        </w:rPr>
        <w:t>Variation</w:t>
      </w:r>
      <w:r>
        <w:t xml:space="preserve"> </w:t>
      </w:r>
      <w:r>
        <w:rPr>
          <w:spacing w:val="-1"/>
        </w:rPr>
        <w:t>Form</w:t>
      </w:r>
      <w:r>
        <w:rPr>
          <w:spacing w:val="2"/>
        </w:rPr>
        <w:t xml:space="preserve"> </w:t>
      </w:r>
      <w:r>
        <w:rPr>
          <w:spacing w:val="-2"/>
        </w:rPr>
        <w:t>No:</w:t>
      </w:r>
    </w:p>
    <w:p w:rsidR="008918FA" w:rsidRDefault="008918FA" w:rsidP="008918FA">
      <w:pPr>
        <w:pStyle w:val="BodyText"/>
        <w:spacing w:before="9" w:line="466" w:lineRule="auto"/>
        <w:ind w:left="1658" w:right="118" w:firstLine="0"/>
      </w:pPr>
      <w:r>
        <w:rPr>
          <w:spacing w:val="-1"/>
        </w:rPr>
        <w:t>……………………………………………………………………………………</w:t>
      </w:r>
      <w:r>
        <w:rPr>
          <w:spacing w:val="23"/>
        </w:rPr>
        <w:t xml:space="preserve"> </w:t>
      </w:r>
      <w:r>
        <w:rPr>
          <w:spacing w:val="-1"/>
        </w:rPr>
        <w:t>BETWEEN:</w:t>
      </w:r>
    </w:p>
    <w:p w:rsidR="008918FA" w:rsidRDefault="008918FA" w:rsidP="008918FA">
      <w:pPr>
        <w:spacing w:before="4" w:line="471" w:lineRule="auto"/>
        <w:ind w:left="1658" w:right="3089"/>
        <w:rPr>
          <w:rFonts w:ascii="Arial" w:eastAsia="Arial" w:hAnsi="Arial" w:cs="Arial"/>
        </w:rPr>
      </w:pPr>
      <w:r>
        <w:rPr>
          <w:rFonts w:ascii="Arial"/>
          <w:b/>
          <w:spacing w:val="-1"/>
          <w:highlight w:val="yellow"/>
        </w:rPr>
        <w:t>[</w:t>
      </w:r>
      <w:r>
        <w:rPr>
          <w:rFonts w:ascii="Arial"/>
          <w:spacing w:val="-1"/>
          <w:highlight w:val="yellow"/>
        </w:rPr>
        <w:t>insert name</w:t>
      </w:r>
      <w:r>
        <w:rPr>
          <w:rFonts w:ascii="Arial"/>
          <w:highlight w:val="yellow"/>
        </w:rPr>
        <w:t xml:space="preserve"> </w:t>
      </w:r>
      <w:r>
        <w:rPr>
          <w:rFonts w:ascii="Arial"/>
          <w:spacing w:val="-2"/>
          <w:highlight w:val="yellow"/>
        </w:rPr>
        <w:t>of</w:t>
      </w:r>
      <w:r>
        <w:rPr>
          <w:rFonts w:ascii="Arial"/>
          <w:spacing w:val="2"/>
          <w:highlight w:val="yellow"/>
        </w:rPr>
        <w:t xml:space="preserve"> </w:t>
      </w:r>
      <w:r>
        <w:rPr>
          <w:rFonts w:ascii="Arial"/>
          <w:spacing w:val="-1"/>
          <w:highlight w:val="yellow"/>
        </w:rPr>
        <w:t>Customer</w:t>
      </w:r>
      <w:r>
        <w:rPr>
          <w:rFonts w:ascii="Arial"/>
          <w:b/>
          <w:spacing w:val="-1"/>
          <w:highlight w:val="yellow"/>
        </w:rPr>
        <w:t xml:space="preserve">] </w:t>
      </w:r>
      <w:r>
        <w:rPr>
          <w:rFonts w:ascii="Arial"/>
          <w:spacing w:val="-1"/>
        </w:rPr>
        <w:t>("</w:t>
      </w:r>
      <w:r>
        <w:rPr>
          <w:rFonts w:ascii="Arial"/>
          <w:b/>
          <w:spacing w:val="-1"/>
        </w:rPr>
        <w:t>the</w:t>
      </w:r>
      <w:r>
        <w:rPr>
          <w:rFonts w:ascii="Arial"/>
          <w:b/>
        </w:rPr>
        <w:t xml:space="preserve"> </w:t>
      </w:r>
      <w:r>
        <w:rPr>
          <w:rFonts w:ascii="Arial"/>
          <w:b/>
          <w:spacing w:val="-2"/>
        </w:rPr>
        <w:t>Customer"</w:t>
      </w:r>
      <w:r>
        <w:rPr>
          <w:rFonts w:ascii="Arial"/>
          <w:spacing w:val="-2"/>
        </w:rPr>
        <w:t>)</w:t>
      </w:r>
      <w:r>
        <w:rPr>
          <w:rFonts w:ascii="Arial"/>
          <w:spacing w:val="31"/>
        </w:rPr>
        <w:t xml:space="preserve"> </w:t>
      </w:r>
      <w:r>
        <w:rPr>
          <w:rFonts w:ascii="Arial"/>
          <w:spacing w:val="-1"/>
        </w:rPr>
        <w:t>and</w:t>
      </w:r>
    </w:p>
    <w:p w:rsidR="008918FA" w:rsidRDefault="008918FA" w:rsidP="008918FA">
      <w:pPr>
        <w:spacing w:line="253" w:lineRule="exact"/>
        <w:ind w:left="1658"/>
        <w:rPr>
          <w:rFonts w:ascii="Arial" w:eastAsia="Arial" w:hAnsi="Arial" w:cs="Arial"/>
        </w:rPr>
      </w:pPr>
      <w:r>
        <w:rPr>
          <w:rFonts w:ascii="Arial"/>
          <w:b/>
          <w:spacing w:val="-1"/>
          <w:highlight w:val="yellow"/>
        </w:rPr>
        <w:t>[</w:t>
      </w:r>
      <w:r>
        <w:rPr>
          <w:rFonts w:ascii="Arial"/>
          <w:spacing w:val="-1"/>
          <w:highlight w:val="yellow"/>
        </w:rPr>
        <w:t>insert name</w:t>
      </w:r>
      <w:r>
        <w:rPr>
          <w:rFonts w:ascii="Arial"/>
          <w:highlight w:val="yellow"/>
        </w:rPr>
        <w:t xml:space="preserve"> </w:t>
      </w:r>
      <w:r>
        <w:rPr>
          <w:rFonts w:ascii="Arial"/>
          <w:spacing w:val="-2"/>
          <w:highlight w:val="yellow"/>
        </w:rPr>
        <w:t>of</w:t>
      </w:r>
      <w:r>
        <w:rPr>
          <w:rFonts w:ascii="Arial"/>
          <w:spacing w:val="2"/>
          <w:highlight w:val="yellow"/>
        </w:rPr>
        <w:t xml:space="preserve"> </w:t>
      </w:r>
      <w:r>
        <w:rPr>
          <w:rFonts w:ascii="Arial"/>
          <w:spacing w:val="-1"/>
          <w:highlight w:val="yellow"/>
        </w:rPr>
        <w:t>Supplier</w:t>
      </w:r>
      <w:r>
        <w:rPr>
          <w:rFonts w:ascii="Arial"/>
          <w:b/>
          <w:spacing w:val="-1"/>
          <w:highlight w:val="yellow"/>
        </w:rPr>
        <w:t xml:space="preserve">] </w:t>
      </w:r>
      <w:r>
        <w:rPr>
          <w:rFonts w:ascii="Arial"/>
          <w:spacing w:val="-1"/>
        </w:rPr>
        <w:t>(</w:t>
      </w:r>
      <w:r>
        <w:rPr>
          <w:rFonts w:ascii="Arial"/>
          <w:b/>
          <w:spacing w:val="-1"/>
        </w:rPr>
        <w:t>"the</w:t>
      </w:r>
      <w:r>
        <w:rPr>
          <w:rFonts w:ascii="Arial"/>
          <w:b/>
          <w:spacing w:val="-2"/>
        </w:rPr>
        <w:t xml:space="preserve"> </w:t>
      </w:r>
      <w:r>
        <w:rPr>
          <w:rFonts w:ascii="Arial"/>
          <w:b/>
          <w:spacing w:val="-1"/>
        </w:rPr>
        <w:t>Supplier"</w:t>
      </w:r>
      <w:r>
        <w:rPr>
          <w:rFonts w:ascii="Arial"/>
          <w:spacing w:val="-1"/>
        </w:rPr>
        <w:t>)</w:t>
      </w:r>
    </w:p>
    <w:p w:rsidR="008918FA" w:rsidRDefault="008918FA" w:rsidP="008918FA">
      <w:pPr>
        <w:rPr>
          <w:rFonts w:ascii="Arial" w:eastAsia="Arial" w:hAnsi="Arial" w:cs="Arial"/>
        </w:rPr>
      </w:pPr>
    </w:p>
    <w:p w:rsidR="008918FA" w:rsidRDefault="008918FA" w:rsidP="008918FA">
      <w:pPr>
        <w:spacing w:before="1"/>
        <w:rPr>
          <w:rFonts w:ascii="Arial" w:eastAsia="Arial" w:hAnsi="Arial" w:cs="Arial"/>
          <w:sz w:val="20"/>
          <w:szCs w:val="20"/>
        </w:rPr>
      </w:pPr>
    </w:p>
    <w:p w:rsidR="008918FA" w:rsidRDefault="008918FA" w:rsidP="008918FA">
      <w:pPr>
        <w:pStyle w:val="BodyText"/>
        <w:numPr>
          <w:ilvl w:val="0"/>
          <w:numId w:val="5"/>
        </w:numPr>
        <w:tabs>
          <w:tab w:val="left" w:pos="807"/>
        </w:tabs>
        <w:spacing w:before="0"/>
        <w:ind w:right="118"/>
      </w:pPr>
      <w:r>
        <w:rPr>
          <w:spacing w:val="-1"/>
        </w:rPr>
        <w:t>This</w:t>
      </w:r>
      <w:r>
        <w:rPr>
          <w:spacing w:val="13"/>
        </w:rPr>
        <w:t xml:space="preserve"> </w:t>
      </w:r>
      <w:r>
        <w:rPr>
          <w:spacing w:val="-2"/>
        </w:rPr>
        <w:t>Call</w:t>
      </w:r>
      <w:r>
        <w:rPr>
          <w:spacing w:val="12"/>
        </w:rPr>
        <w:t xml:space="preserve"> </w:t>
      </w:r>
      <w:r>
        <w:rPr>
          <w:spacing w:val="-1"/>
        </w:rPr>
        <w:t>Off</w:t>
      </w:r>
      <w:r>
        <w:rPr>
          <w:spacing w:val="16"/>
        </w:rPr>
        <w:t xml:space="preserve"> </w:t>
      </w:r>
      <w:r>
        <w:rPr>
          <w:spacing w:val="-2"/>
        </w:rPr>
        <w:t>Contract</w:t>
      </w:r>
      <w:r>
        <w:t xml:space="preserve"> </w:t>
      </w:r>
      <w:r>
        <w:rPr>
          <w:spacing w:val="28"/>
        </w:rPr>
        <w:t xml:space="preserve"> </w:t>
      </w:r>
      <w:r>
        <w:rPr>
          <w:spacing w:val="-1"/>
        </w:rPr>
        <w:t>is</w:t>
      </w:r>
      <w:r>
        <w:rPr>
          <w:spacing w:val="10"/>
        </w:rPr>
        <w:t xml:space="preserve"> </w:t>
      </w:r>
      <w:r>
        <w:rPr>
          <w:spacing w:val="-2"/>
        </w:rPr>
        <w:t>varied</w:t>
      </w:r>
      <w:r>
        <w:rPr>
          <w:spacing w:val="12"/>
        </w:rPr>
        <w:t xml:space="preserve"> </w:t>
      </w:r>
      <w:r>
        <w:rPr>
          <w:spacing w:val="-1"/>
        </w:rPr>
        <w:t>as</w:t>
      </w:r>
      <w:r>
        <w:rPr>
          <w:spacing w:val="13"/>
        </w:rPr>
        <w:t xml:space="preserve"> </w:t>
      </w:r>
      <w:r>
        <w:rPr>
          <w:spacing w:val="-1"/>
        </w:rPr>
        <w:t>follows</w:t>
      </w:r>
      <w:r>
        <w:rPr>
          <w:spacing w:val="13"/>
        </w:rPr>
        <w:t xml:space="preserve"> </w:t>
      </w:r>
      <w:r>
        <w:rPr>
          <w:spacing w:val="-1"/>
        </w:rPr>
        <w:t>and</w:t>
      </w:r>
      <w:r>
        <w:rPr>
          <w:spacing w:val="12"/>
        </w:rPr>
        <w:t xml:space="preserve"> </w:t>
      </w:r>
      <w:r>
        <w:rPr>
          <w:spacing w:val="-1"/>
        </w:rPr>
        <w:t>shall</w:t>
      </w:r>
      <w:r>
        <w:rPr>
          <w:spacing w:val="12"/>
        </w:rPr>
        <w:t xml:space="preserve"> </w:t>
      </w:r>
      <w:r>
        <w:t>take</w:t>
      </w:r>
      <w:r>
        <w:rPr>
          <w:spacing w:val="12"/>
        </w:rPr>
        <w:t xml:space="preserve"> </w:t>
      </w:r>
      <w:r>
        <w:rPr>
          <w:spacing w:val="-1"/>
        </w:rPr>
        <w:t>effect</w:t>
      </w:r>
      <w:r>
        <w:rPr>
          <w:spacing w:val="14"/>
        </w:rPr>
        <w:t xml:space="preserve"> </w:t>
      </w:r>
      <w:r>
        <w:rPr>
          <w:spacing w:val="-1"/>
        </w:rPr>
        <w:t>on</w:t>
      </w:r>
      <w:r>
        <w:rPr>
          <w:spacing w:val="12"/>
        </w:rPr>
        <w:t xml:space="preserve"> </w:t>
      </w:r>
      <w:r>
        <w:t>the</w:t>
      </w:r>
      <w:r>
        <w:rPr>
          <w:spacing w:val="12"/>
        </w:rPr>
        <w:t xml:space="preserve"> </w:t>
      </w:r>
      <w:r>
        <w:rPr>
          <w:spacing w:val="-1"/>
        </w:rPr>
        <w:t>date</w:t>
      </w:r>
      <w:r>
        <w:rPr>
          <w:spacing w:val="12"/>
        </w:rPr>
        <w:t xml:space="preserve"> </w:t>
      </w:r>
      <w:r>
        <w:rPr>
          <w:spacing w:val="-1"/>
        </w:rPr>
        <w:t>signed</w:t>
      </w:r>
      <w:r>
        <w:rPr>
          <w:spacing w:val="12"/>
        </w:rPr>
        <w:t xml:space="preserve"> </w:t>
      </w:r>
      <w:r>
        <w:rPr>
          <w:spacing w:val="-1"/>
        </w:rPr>
        <w:t>by</w:t>
      </w:r>
      <w:r>
        <w:rPr>
          <w:spacing w:val="68"/>
        </w:rPr>
        <w:t xml:space="preserve"> </w:t>
      </w:r>
      <w:r>
        <w:rPr>
          <w:spacing w:val="-1"/>
        </w:rPr>
        <w:t>both</w:t>
      </w:r>
      <w:r>
        <w:t xml:space="preserve"> </w:t>
      </w:r>
      <w:r>
        <w:rPr>
          <w:spacing w:val="-1"/>
        </w:rPr>
        <w:t>Parties:</w:t>
      </w:r>
    </w:p>
    <w:p w:rsidR="008918FA" w:rsidRDefault="008918FA" w:rsidP="008918FA">
      <w:pPr>
        <w:spacing w:before="11"/>
        <w:rPr>
          <w:rFonts w:ascii="Arial" w:eastAsia="Arial" w:hAnsi="Arial" w:cs="Arial"/>
          <w:sz w:val="20"/>
          <w:szCs w:val="20"/>
        </w:rPr>
      </w:pPr>
    </w:p>
    <w:p w:rsidR="008918FA" w:rsidRDefault="008918FA" w:rsidP="008918FA">
      <w:pPr>
        <w:spacing w:line="200" w:lineRule="atLeast"/>
        <w:ind w:left="80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786FB92F" wp14:editId="712043A5">
                <wp:extent cx="3124200" cy="161925"/>
                <wp:effectExtent l="0" t="0" r="0" b="0"/>
                <wp:docPr id="55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6192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rPr>
                                <w:rFonts w:ascii="Arial" w:eastAsia="Arial" w:hAnsi="Arial" w:cs="Arial"/>
                              </w:rPr>
                            </w:pPr>
                            <w:r>
                              <w:rPr>
                                <w:rFonts w:ascii="Arial"/>
                                <w:b/>
                                <w:i/>
                                <w:spacing w:val="-1"/>
                              </w:rPr>
                              <w:t>[Guidance</w:t>
                            </w:r>
                            <w:r>
                              <w:rPr>
                                <w:rFonts w:ascii="Arial"/>
                                <w:b/>
                                <w:i/>
                              </w:rPr>
                              <w:t xml:space="preserve"> </w:t>
                            </w:r>
                            <w:r>
                              <w:rPr>
                                <w:rFonts w:ascii="Arial"/>
                                <w:b/>
                                <w:i/>
                                <w:spacing w:val="-2"/>
                              </w:rPr>
                              <w:t>Note:</w:t>
                            </w:r>
                            <w:r>
                              <w:rPr>
                                <w:rFonts w:ascii="Arial"/>
                                <w:b/>
                                <w:i/>
                                <w:spacing w:val="59"/>
                              </w:rPr>
                              <w:t xml:space="preserve"> </w:t>
                            </w:r>
                            <w:r>
                              <w:rPr>
                                <w:rFonts w:ascii="Arial"/>
                                <w:b/>
                                <w:i/>
                                <w:spacing w:val="-1"/>
                              </w:rPr>
                              <w:t>Insert details</w:t>
                            </w:r>
                            <w:r>
                              <w:rPr>
                                <w:rFonts w:ascii="Arial"/>
                                <w:b/>
                                <w:i/>
                                <w:spacing w:val="-2"/>
                              </w:rPr>
                              <w:t xml:space="preserve"> </w:t>
                            </w:r>
                            <w:r>
                              <w:rPr>
                                <w:rFonts w:ascii="Arial"/>
                                <w:b/>
                                <w:i/>
                                <w:spacing w:val="-1"/>
                              </w:rPr>
                              <w:t>of the</w:t>
                            </w:r>
                            <w:r>
                              <w:rPr>
                                <w:rFonts w:ascii="Arial"/>
                                <w:b/>
                                <w:i/>
                                <w:spacing w:val="-2"/>
                              </w:rPr>
                              <w:t xml:space="preserve"> </w:t>
                            </w:r>
                            <w:r>
                              <w:rPr>
                                <w:rFonts w:ascii="Arial"/>
                                <w:b/>
                                <w:i/>
                                <w:spacing w:val="-1"/>
                              </w:rPr>
                              <w:t>Variation]</w:t>
                            </w:r>
                          </w:p>
                        </w:txbxContent>
                      </wps:txbx>
                      <wps:bodyPr rot="0" vert="horz" wrap="square" lIns="0" tIns="0" rIns="0" bIns="0" anchor="t" anchorCtr="0" upright="1">
                        <a:noAutofit/>
                      </wps:bodyPr>
                    </wps:wsp>
                  </a:graphicData>
                </a:graphic>
              </wp:inline>
            </w:drawing>
          </mc:Choice>
          <mc:Fallback>
            <w:pict>
              <v:shape w14:anchorId="786FB92F" id="Text Box 551" o:spid="_x0000_s1370" type="#_x0000_t202" style="width:246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" fillcolor="lime" stroked="f">
                <v:textbox inset="0,0,0,0">
                  <w:txbxContent>
                    <w:p w:rsidR="005D2B81" w:rsidRDefault="005D2B81" w:rsidP="008918FA">
                      <w:pPr>
                        <w:spacing w:line="251" w:lineRule="exact"/>
                        <w:rPr>
                          <w:rFonts w:ascii="Arial" w:eastAsia="Arial" w:hAnsi="Arial" w:cs="Arial"/>
                        </w:rPr>
                      </w:pPr>
                      <w:r>
                        <w:rPr>
                          <w:rFonts w:ascii="Arial"/>
                          <w:b/>
                          <w:i/>
                          <w:spacing w:val="-1"/>
                        </w:rPr>
                        <w:t>[Guidance</w:t>
                      </w:r>
                      <w:r>
                        <w:rPr>
                          <w:rFonts w:ascii="Arial"/>
                          <w:b/>
                          <w:i/>
                        </w:rPr>
                        <w:t xml:space="preserve"> </w:t>
                      </w:r>
                      <w:r>
                        <w:rPr>
                          <w:rFonts w:ascii="Arial"/>
                          <w:b/>
                          <w:i/>
                          <w:spacing w:val="-2"/>
                        </w:rPr>
                        <w:t>Note:</w:t>
                      </w:r>
                      <w:r>
                        <w:rPr>
                          <w:rFonts w:ascii="Arial"/>
                          <w:b/>
                          <w:i/>
                          <w:spacing w:val="59"/>
                        </w:rPr>
                        <w:t xml:space="preserve"> </w:t>
                      </w:r>
                      <w:r>
                        <w:rPr>
                          <w:rFonts w:ascii="Arial"/>
                          <w:b/>
                          <w:i/>
                          <w:spacing w:val="-1"/>
                        </w:rPr>
                        <w:t>Insert details</w:t>
                      </w:r>
                      <w:r>
                        <w:rPr>
                          <w:rFonts w:ascii="Arial"/>
                          <w:b/>
                          <w:i/>
                          <w:spacing w:val="-2"/>
                        </w:rPr>
                        <w:t xml:space="preserve"> </w:t>
                      </w:r>
                      <w:r>
                        <w:rPr>
                          <w:rFonts w:ascii="Arial"/>
                          <w:b/>
                          <w:i/>
                          <w:spacing w:val="-1"/>
                        </w:rPr>
                        <w:t>of the</w:t>
                      </w:r>
                      <w:r>
                        <w:rPr>
                          <w:rFonts w:ascii="Arial"/>
                          <w:b/>
                          <w:i/>
                          <w:spacing w:val="-2"/>
                        </w:rPr>
                        <w:t xml:space="preserve"> </w:t>
                      </w:r>
                      <w:r>
                        <w:rPr>
                          <w:rFonts w:ascii="Arial"/>
                          <w:b/>
                          <w:i/>
                          <w:spacing w:val="-1"/>
                        </w:rPr>
                        <w:t>Variation]</w:t>
                      </w:r>
                    </w:p>
                  </w:txbxContent>
                </v:textbox>
                <w10:anchorlock/>
              </v:shape>
            </w:pict>
          </mc:Fallback>
        </mc:AlternateContent>
      </w:r>
    </w:p>
    <w:p w:rsidR="008918FA" w:rsidRDefault="008918FA" w:rsidP="008918FA">
      <w:pPr>
        <w:spacing w:before="4"/>
        <w:rPr>
          <w:rFonts w:ascii="Arial" w:eastAsia="Arial" w:hAnsi="Arial" w:cs="Arial"/>
          <w:sz w:val="14"/>
          <w:szCs w:val="14"/>
        </w:rPr>
      </w:pPr>
    </w:p>
    <w:p w:rsidR="008918FA" w:rsidRDefault="008918FA" w:rsidP="008918FA">
      <w:pPr>
        <w:pStyle w:val="BodyText"/>
        <w:numPr>
          <w:ilvl w:val="0"/>
          <w:numId w:val="5"/>
        </w:numPr>
        <w:tabs>
          <w:tab w:val="left" w:pos="807"/>
        </w:tabs>
        <w:spacing w:before="72"/>
        <w:ind w:right="118"/>
      </w:pPr>
      <w:r>
        <w:rPr>
          <w:spacing w:val="-1"/>
        </w:rPr>
        <w:t>Words</w:t>
      </w:r>
      <w:r>
        <w:rPr>
          <w:spacing w:val="10"/>
        </w:rPr>
        <w:t xml:space="preserve"> </w:t>
      </w:r>
      <w:r>
        <w:rPr>
          <w:spacing w:val="-1"/>
        </w:rPr>
        <w:t>and</w:t>
      </w:r>
      <w:r>
        <w:rPr>
          <w:spacing w:val="10"/>
        </w:rPr>
        <w:t xml:space="preserve"> </w:t>
      </w:r>
      <w:r>
        <w:rPr>
          <w:spacing w:val="-1"/>
        </w:rPr>
        <w:t>expressions</w:t>
      </w:r>
      <w:r>
        <w:rPr>
          <w:spacing w:val="10"/>
        </w:rPr>
        <w:t xml:space="preserve"> </w:t>
      </w:r>
      <w:r>
        <w:t>in</w:t>
      </w:r>
      <w:r>
        <w:rPr>
          <w:spacing w:val="10"/>
        </w:rPr>
        <w:t xml:space="preserve"> </w:t>
      </w:r>
      <w:r>
        <w:rPr>
          <w:spacing w:val="-1"/>
        </w:rPr>
        <w:t>this</w:t>
      </w:r>
      <w:r>
        <w:rPr>
          <w:spacing w:val="10"/>
        </w:rPr>
        <w:t xml:space="preserve"> </w:t>
      </w:r>
      <w:r>
        <w:rPr>
          <w:spacing w:val="-1"/>
        </w:rPr>
        <w:t>Variation</w:t>
      </w:r>
      <w:r>
        <w:rPr>
          <w:spacing w:val="10"/>
        </w:rPr>
        <w:t xml:space="preserve"> </w:t>
      </w:r>
      <w:r>
        <w:rPr>
          <w:spacing w:val="-1"/>
        </w:rPr>
        <w:t>shall</w:t>
      </w:r>
      <w:r>
        <w:rPr>
          <w:spacing w:val="12"/>
        </w:rPr>
        <w:t xml:space="preserve"> </w:t>
      </w:r>
      <w:r>
        <w:t>have</w:t>
      </w:r>
      <w:r>
        <w:rPr>
          <w:spacing w:val="10"/>
        </w:rPr>
        <w:t xml:space="preserve"> </w:t>
      </w:r>
      <w:r>
        <w:t>the</w:t>
      </w:r>
      <w:r>
        <w:rPr>
          <w:spacing w:val="10"/>
        </w:rPr>
        <w:t xml:space="preserve"> </w:t>
      </w:r>
      <w:r>
        <w:rPr>
          <w:spacing w:val="-1"/>
        </w:rPr>
        <w:t>meanings</w:t>
      </w:r>
      <w:r>
        <w:rPr>
          <w:spacing w:val="8"/>
        </w:rPr>
        <w:t xml:space="preserve"> </w:t>
      </w:r>
      <w:r>
        <w:rPr>
          <w:spacing w:val="-1"/>
        </w:rPr>
        <w:t>given</w:t>
      </w:r>
      <w:r>
        <w:rPr>
          <w:spacing w:val="10"/>
        </w:rPr>
        <w:t xml:space="preserve"> </w:t>
      </w:r>
      <w:r>
        <w:t>to</w:t>
      </w:r>
      <w:r>
        <w:rPr>
          <w:spacing w:val="10"/>
        </w:rPr>
        <w:t xml:space="preserve"> </w:t>
      </w:r>
      <w:r>
        <w:rPr>
          <w:spacing w:val="-1"/>
        </w:rPr>
        <w:t>them</w:t>
      </w:r>
      <w:r>
        <w:rPr>
          <w:spacing w:val="11"/>
        </w:rPr>
        <w:t xml:space="preserve"> </w:t>
      </w:r>
      <w:r>
        <w:rPr>
          <w:spacing w:val="-1"/>
        </w:rPr>
        <w:t>in</w:t>
      </w:r>
      <w:r>
        <w:rPr>
          <w:spacing w:val="10"/>
        </w:rPr>
        <w:t xml:space="preserve"> </w:t>
      </w:r>
      <w:r>
        <w:rPr>
          <w:spacing w:val="-1"/>
        </w:rPr>
        <w:t>this</w:t>
      </w:r>
      <w:r>
        <w:rPr>
          <w:spacing w:val="39"/>
        </w:rPr>
        <w:t xml:space="preserve"> </w:t>
      </w:r>
      <w:r>
        <w:rPr>
          <w:spacing w:val="-2"/>
        </w:rPr>
        <w:t>Call</w:t>
      </w:r>
      <w:r>
        <w:t xml:space="preserve"> </w:t>
      </w:r>
      <w:r>
        <w:rPr>
          <w:spacing w:val="-1"/>
        </w:rPr>
        <w:t>Off</w:t>
      </w:r>
      <w:r>
        <w:rPr>
          <w:spacing w:val="2"/>
        </w:rPr>
        <w:t xml:space="preserve"> </w:t>
      </w:r>
      <w:r>
        <w:rPr>
          <w:spacing w:val="-1"/>
        </w:rPr>
        <w:t>Contract.</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0"/>
          <w:numId w:val="5"/>
        </w:numPr>
        <w:tabs>
          <w:tab w:val="left" w:pos="807"/>
        </w:tabs>
        <w:spacing w:before="0"/>
        <w:ind w:right="118"/>
      </w:pPr>
      <w:r>
        <w:rPr>
          <w:spacing w:val="-1"/>
        </w:rPr>
        <w:t>This</w:t>
      </w:r>
      <w:r>
        <w:rPr>
          <w:spacing w:val="39"/>
        </w:rPr>
        <w:t xml:space="preserve"> </w:t>
      </w:r>
      <w:r>
        <w:rPr>
          <w:spacing w:val="-2"/>
        </w:rPr>
        <w:t>Call</w:t>
      </w:r>
      <w:r>
        <w:rPr>
          <w:spacing w:val="38"/>
        </w:rPr>
        <w:t xml:space="preserve"> </w:t>
      </w:r>
      <w:r>
        <w:rPr>
          <w:spacing w:val="-2"/>
        </w:rPr>
        <w:t>Off</w:t>
      </w:r>
      <w:r>
        <w:rPr>
          <w:spacing w:val="40"/>
        </w:rPr>
        <w:t xml:space="preserve"> </w:t>
      </w:r>
      <w:r>
        <w:rPr>
          <w:spacing w:val="-1"/>
        </w:rPr>
        <w:t>Contract,</w:t>
      </w:r>
      <w:r>
        <w:rPr>
          <w:spacing w:val="40"/>
        </w:rPr>
        <w:t xml:space="preserve"> </w:t>
      </w:r>
      <w:r>
        <w:rPr>
          <w:spacing w:val="-2"/>
        </w:rPr>
        <w:t>including</w:t>
      </w:r>
      <w:r>
        <w:rPr>
          <w:spacing w:val="41"/>
        </w:rPr>
        <w:t xml:space="preserve"> </w:t>
      </w:r>
      <w:r>
        <w:rPr>
          <w:spacing w:val="-1"/>
        </w:rPr>
        <w:t>any</w:t>
      </w:r>
      <w:r>
        <w:rPr>
          <w:spacing w:val="36"/>
        </w:rPr>
        <w:t xml:space="preserve"> </w:t>
      </w:r>
      <w:r>
        <w:rPr>
          <w:spacing w:val="-2"/>
        </w:rPr>
        <w:t>previous</w:t>
      </w:r>
      <w:r>
        <w:rPr>
          <w:spacing w:val="40"/>
        </w:rPr>
        <w:t xml:space="preserve"> </w:t>
      </w:r>
      <w:r>
        <w:rPr>
          <w:spacing w:val="-1"/>
        </w:rPr>
        <w:t>Variations,</w:t>
      </w:r>
      <w:r>
        <w:rPr>
          <w:spacing w:val="38"/>
        </w:rPr>
        <w:t xml:space="preserve"> </w:t>
      </w:r>
      <w:r>
        <w:rPr>
          <w:spacing w:val="-1"/>
        </w:rPr>
        <w:t>shall</w:t>
      </w:r>
      <w:r>
        <w:rPr>
          <w:spacing w:val="38"/>
        </w:rPr>
        <w:t xml:space="preserve"> </w:t>
      </w:r>
      <w:r>
        <w:rPr>
          <w:spacing w:val="-1"/>
        </w:rPr>
        <w:t>remain</w:t>
      </w:r>
      <w:r>
        <w:rPr>
          <w:spacing w:val="38"/>
        </w:rPr>
        <w:t xml:space="preserve"> </w:t>
      </w:r>
      <w:r>
        <w:rPr>
          <w:spacing w:val="-1"/>
        </w:rPr>
        <w:t>effective</w:t>
      </w:r>
      <w:r>
        <w:rPr>
          <w:spacing w:val="38"/>
        </w:rPr>
        <w:t xml:space="preserve"> </w:t>
      </w:r>
      <w:r>
        <w:rPr>
          <w:spacing w:val="-1"/>
        </w:rPr>
        <w:t>and</w:t>
      </w:r>
      <w:r>
        <w:rPr>
          <w:spacing w:val="50"/>
        </w:rPr>
        <w:t xml:space="preserve"> </w:t>
      </w:r>
      <w:r>
        <w:rPr>
          <w:spacing w:val="-1"/>
        </w:rPr>
        <w:t>unaltered</w:t>
      </w:r>
      <w:r>
        <w:t xml:space="preserve"> </w:t>
      </w:r>
      <w:r>
        <w:rPr>
          <w:spacing w:val="-1"/>
        </w:rPr>
        <w:t>except</w:t>
      </w:r>
      <w:r>
        <w:t xml:space="preserve"> </w:t>
      </w:r>
      <w:r>
        <w:rPr>
          <w:spacing w:val="-1"/>
        </w:rPr>
        <w:t>as</w:t>
      </w:r>
      <w:r>
        <w:rPr>
          <w:spacing w:val="1"/>
        </w:rPr>
        <w:t xml:space="preserve"> </w:t>
      </w:r>
      <w:r>
        <w:rPr>
          <w:spacing w:val="-2"/>
        </w:rPr>
        <w:t>amended</w:t>
      </w:r>
      <w:r>
        <w:t xml:space="preserve"> </w:t>
      </w:r>
      <w:r>
        <w:rPr>
          <w:spacing w:val="-1"/>
        </w:rPr>
        <w:t>by</w:t>
      </w:r>
      <w:r>
        <w:rPr>
          <w:spacing w:val="-2"/>
        </w:rPr>
        <w:t xml:space="preserve"> </w:t>
      </w:r>
      <w:r>
        <w:rPr>
          <w:spacing w:val="-1"/>
        </w:rPr>
        <w:t>this</w:t>
      </w:r>
      <w:r>
        <w:rPr>
          <w:spacing w:val="1"/>
        </w:rPr>
        <w:t xml:space="preserve"> </w:t>
      </w:r>
      <w:r>
        <w:rPr>
          <w:spacing w:val="-2"/>
        </w:rPr>
        <w:t>Variation.</w:t>
      </w:r>
    </w:p>
    <w:p w:rsidR="008918FA" w:rsidRDefault="008918FA" w:rsidP="008918FA">
      <w:pPr>
        <w:spacing w:before="5"/>
        <w:rPr>
          <w:rFonts w:ascii="Arial" w:eastAsia="Arial" w:hAnsi="Arial" w:cs="Arial"/>
          <w:sz w:val="26"/>
          <w:szCs w:val="26"/>
        </w:rPr>
      </w:pPr>
    </w:p>
    <w:p w:rsidR="008918FA" w:rsidRDefault="008918FA" w:rsidP="008918FA">
      <w:pPr>
        <w:pStyle w:val="BodyText"/>
        <w:spacing w:before="0" w:line="468" w:lineRule="auto"/>
        <w:ind w:left="1658" w:right="242" w:firstLine="0"/>
      </w:pPr>
      <w:r>
        <w:rPr>
          <w:spacing w:val="-1"/>
        </w:rPr>
        <w:t>Signed</w:t>
      </w:r>
      <w:r>
        <w:t xml:space="preserve"> </w:t>
      </w:r>
      <w:r>
        <w:rPr>
          <w:spacing w:val="-1"/>
        </w:rPr>
        <w:t>by</w:t>
      </w:r>
      <w:r>
        <w:rPr>
          <w:spacing w:val="-2"/>
        </w:rPr>
        <w:t xml:space="preserve"> </w:t>
      </w:r>
      <w:r>
        <w:rPr>
          <w:spacing w:val="-1"/>
        </w:rPr>
        <w:t>an</w:t>
      </w:r>
      <w:r>
        <w:t xml:space="preserve"> </w:t>
      </w:r>
      <w:r>
        <w:rPr>
          <w:spacing w:val="-1"/>
        </w:rPr>
        <w:t>authorised</w:t>
      </w:r>
      <w:r>
        <w:rPr>
          <w:spacing w:val="-4"/>
        </w:rPr>
        <w:t xml:space="preserve"> </w:t>
      </w:r>
      <w:r>
        <w:rPr>
          <w:spacing w:val="-1"/>
        </w:rPr>
        <w:t>signatory</w:t>
      </w:r>
      <w:r>
        <w:rPr>
          <w:spacing w:val="-4"/>
        </w:rPr>
        <w:t xml:space="preserve"> </w:t>
      </w:r>
      <w:r>
        <w:t>for</w:t>
      </w:r>
      <w:r>
        <w:rPr>
          <w:spacing w:val="2"/>
        </w:rPr>
        <w:t xml:space="preserve"> </w:t>
      </w:r>
      <w:r>
        <w:rPr>
          <w:spacing w:val="-1"/>
        </w:rPr>
        <w:t>and</w:t>
      </w:r>
      <w:r>
        <w:rPr>
          <w:spacing w:val="-2"/>
        </w:rPr>
        <w:t xml:space="preserve"> </w:t>
      </w:r>
      <w:r>
        <w:rPr>
          <w:spacing w:val="-1"/>
        </w:rPr>
        <w:t>on</w:t>
      </w:r>
      <w:r>
        <w:t xml:space="preserve"> </w:t>
      </w:r>
      <w:r>
        <w:rPr>
          <w:spacing w:val="-2"/>
        </w:rPr>
        <w:t>behalf</w:t>
      </w:r>
      <w:r>
        <w:rPr>
          <w:spacing w:val="2"/>
        </w:rPr>
        <w:t xml:space="preserve"> </w:t>
      </w:r>
      <w:r>
        <w:rPr>
          <w:spacing w:val="-2"/>
        </w:rPr>
        <w:t>of</w:t>
      </w:r>
      <w:r>
        <w:rPr>
          <w:spacing w:val="2"/>
        </w:rPr>
        <w:t xml:space="preserve"> </w:t>
      </w:r>
      <w:r>
        <w:t>the</w:t>
      </w:r>
      <w:r>
        <w:rPr>
          <w:spacing w:val="-2"/>
        </w:rPr>
        <w:t xml:space="preserve"> Customer</w:t>
      </w:r>
      <w:r>
        <w:rPr>
          <w:spacing w:val="53"/>
        </w:rPr>
        <w:t xml:space="preserve"> </w:t>
      </w:r>
      <w:r>
        <w:rPr>
          <w:spacing w:val="-1"/>
        </w:rPr>
        <w:t>Signature</w:t>
      </w:r>
    </w:p>
    <w:p w:rsidR="008918FA" w:rsidRDefault="008918FA" w:rsidP="008918FA">
      <w:pPr>
        <w:pStyle w:val="BodyText"/>
        <w:spacing w:before="14"/>
        <w:ind w:left="1658" w:firstLine="0"/>
      </w:pPr>
      <w:r>
        <w:rPr>
          <w:spacing w:val="-1"/>
        </w:rPr>
        <w:t>Date</w:t>
      </w:r>
    </w:p>
    <w:p w:rsidR="008918FA" w:rsidRDefault="008918FA" w:rsidP="008918FA">
      <w:pPr>
        <w:spacing w:before="6"/>
        <w:rPr>
          <w:rFonts w:ascii="Arial" w:eastAsia="Arial" w:hAnsi="Arial" w:cs="Arial"/>
          <w:sz w:val="15"/>
          <w:szCs w:val="15"/>
        </w:rPr>
      </w:pPr>
    </w:p>
    <w:p w:rsidR="008918FA" w:rsidRDefault="008918FA" w:rsidP="008918FA">
      <w:pPr>
        <w:pStyle w:val="BodyText"/>
        <w:spacing w:before="72"/>
        <w:ind w:left="1658" w:right="5985" w:firstLine="0"/>
      </w:pPr>
      <w:r>
        <w:rPr>
          <w:spacing w:val="-1"/>
        </w:rPr>
        <w:t>Name</w:t>
      </w:r>
      <w:r>
        <w:rPr>
          <w:spacing w:val="48"/>
        </w:rPr>
        <w:t xml:space="preserve"> </w:t>
      </w:r>
      <w:r>
        <w:rPr>
          <w:spacing w:val="-2"/>
        </w:rPr>
        <w:t>(in</w:t>
      </w:r>
      <w:r>
        <w:rPr>
          <w:spacing w:val="22"/>
        </w:rPr>
        <w:t xml:space="preserve"> </w:t>
      </w:r>
      <w:r>
        <w:rPr>
          <w:spacing w:val="-2"/>
        </w:rPr>
        <w:t>Capitals)</w:t>
      </w:r>
    </w:p>
    <w:p w:rsidR="008918FA" w:rsidRDefault="008918FA" w:rsidP="008918FA">
      <w:pPr>
        <w:spacing w:before="6"/>
        <w:rPr>
          <w:rFonts w:ascii="Arial" w:eastAsia="Arial" w:hAnsi="Arial" w:cs="Arial"/>
          <w:sz w:val="15"/>
          <w:szCs w:val="15"/>
        </w:rPr>
      </w:pPr>
    </w:p>
    <w:p w:rsidR="008918FA" w:rsidRDefault="008918FA" w:rsidP="008918FA">
      <w:pPr>
        <w:pStyle w:val="BodyText"/>
        <w:spacing w:before="72"/>
        <w:ind w:left="1658" w:firstLine="0"/>
      </w:pPr>
      <w:r>
        <w:rPr>
          <w:spacing w:val="-1"/>
        </w:rPr>
        <w:t>Address</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2"/>
        <w:rPr>
          <w:rFonts w:ascii="Arial" w:eastAsia="Arial" w:hAnsi="Arial" w:cs="Arial"/>
          <w:sz w:val="19"/>
          <w:szCs w:val="19"/>
        </w:rPr>
      </w:pPr>
    </w:p>
    <w:p w:rsidR="008918FA" w:rsidRDefault="008918FA" w:rsidP="008918FA">
      <w:pPr>
        <w:pStyle w:val="BodyText"/>
        <w:spacing w:before="72" w:line="466" w:lineRule="auto"/>
        <w:ind w:left="1658" w:firstLine="0"/>
      </w:pPr>
      <w:r>
        <w:rPr>
          <w:spacing w:val="-1"/>
        </w:rPr>
        <w:t>Signed</w:t>
      </w:r>
      <w:r>
        <w:t xml:space="preserve"> </w:t>
      </w:r>
      <w:r>
        <w:rPr>
          <w:spacing w:val="-1"/>
        </w:rPr>
        <w:t>by</w:t>
      </w:r>
      <w:r>
        <w:rPr>
          <w:spacing w:val="-2"/>
        </w:rPr>
        <w:t xml:space="preserve"> </w:t>
      </w:r>
      <w:r>
        <w:rPr>
          <w:spacing w:val="-1"/>
        </w:rPr>
        <w:t>an</w:t>
      </w:r>
      <w:r>
        <w:t xml:space="preserve"> </w:t>
      </w:r>
      <w:r>
        <w:rPr>
          <w:spacing w:val="-1"/>
        </w:rPr>
        <w:t>authorised</w:t>
      </w:r>
      <w:r>
        <w:rPr>
          <w:spacing w:val="-4"/>
        </w:rPr>
        <w:t xml:space="preserve"> </w:t>
      </w:r>
      <w:r>
        <w:rPr>
          <w:spacing w:val="-1"/>
        </w:rPr>
        <w:t>signatory</w:t>
      </w:r>
      <w:r>
        <w:rPr>
          <w:spacing w:val="-2"/>
        </w:rPr>
        <w:t xml:space="preserve"> </w:t>
      </w:r>
      <w:r>
        <w:t>to</w:t>
      </w:r>
      <w:r>
        <w:rPr>
          <w:spacing w:val="-2"/>
        </w:rPr>
        <w:t xml:space="preserve"> </w:t>
      </w:r>
      <w:r>
        <w:t>sign</w:t>
      </w:r>
      <w:r>
        <w:rPr>
          <w:spacing w:val="-4"/>
        </w:rPr>
        <w:t xml:space="preserve"> </w:t>
      </w:r>
      <w:r>
        <w:t>for</w:t>
      </w:r>
      <w:r>
        <w:rPr>
          <w:spacing w:val="-1"/>
        </w:rPr>
        <w:t xml:space="preserve"> and</w:t>
      </w:r>
      <w:r>
        <w:rPr>
          <w:spacing w:val="-2"/>
        </w:rPr>
        <w:t xml:space="preserve"> </w:t>
      </w:r>
      <w:r>
        <w:rPr>
          <w:spacing w:val="-1"/>
        </w:rPr>
        <w:t>on</w:t>
      </w:r>
      <w:r>
        <w:t xml:space="preserve"> </w:t>
      </w:r>
      <w:r>
        <w:rPr>
          <w:spacing w:val="-2"/>
        </w:rPr>
        <w:t>behalf</w:t>
      </w:r>
      <w:r>
        <w:rPr>
          <w:spacing w:val="4"/>
        </w:rPr>
        <w:t xml:space="preserve"> </w:t>
      </w:r>
      <w:r>
        <w:rPr>
          <w:spacing w:val="-2"/>
        </w:rPr>
        <w:t>of</w:t>
      </w:r>
      <w:r>
        <w:t xml:space="preserve"> the </w:t>
      </w:r>
      <w:r>
        <w:rPr>
          <w:spacing w:val="-2"/>
        </w:rPr>
        <w:t>Supplier</w:t>
      </w:r>
      <w:r>
        <w:rPr>
          <w:spacing w:val="52"/>
        </w:rPr>
        <w:t xml:space="preserve"> </w:t>
      </w:r>
      <w:r>
        <w:rPr>
          <w:spacing w:val="-1"/>
        </w:rPr>
        <w:t>Signature</w:t>
      </w:r>
    </w:p>
    <w:p w:rsidR="008918FA" w:rsidRDefault="008918FA" w:rsidP="008918FA">
      <w:pPr>
        <w:spacing w:line="20" w:lineRule="atLeast"/>
        <w:ind w:left="2707"/>
        <w:rPr>
          <w:rFonts w:ascii="Arial" w:eastAsia="Arial" w:hAnsi="Arial" w:cs="Arial"/>
          <w:sz w:val="2"/>
          <w:szCs w:val="2"/>
        </w:rPr>
      </w:pPr>
      <w:r>
        <w:rPr>
          <w:rFonts w:ascii="Arial" w:eastAsia="Arial" w:hAnsi="Arial" w:cs="Arial"/>
          <w:noProof/>
          <w:sz w:val="2"/>
          <w:szCs w:val="2"/>
          <w:lang w:eastAsia="en-GB"/>
        </w:rPr>
        <mc:AlternateContent>
          <mc:Choice Requires="wpg">
            <w:drawing>
              <wp:inline distT="0" distB="0" distL="0" distR="0" wp14:anchorId="7DD00FA4" wp14:editId="31F50CC7">
                <wp:extent cx="3801110" cy="6350"/>
                <wp:effectExtent l="0" t="9525" r="8890" b="3175"/>
                <wp:docPr id="555"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6350"/>
                          <a:chOff x="0" y="0"/>
                          <a:chExt cx="5986" cy="10"/>
                        </a:xfrm>
                      </wpg:grpSpPr>
                      <pic:pic xmlns:pic="http://schemas.openxmlformats.org/drawingml/2006/picture">
                        <pic:nvPicPr>
                          <pic:cNvPr id="556" name="Picture 5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57" name="Group 548"/>
                        <wpg:cNvGrpSpPr>
                          <a:grpSpLocks/>
                        </wpg:cNvGrpSpPr>
                        <wpg:grpSpPr bwMode="auto">
                          <a:xfrm>
                            <a:off x="5971" y="5"/>
                            <a:ext cx="10" cy="2"/>
                            <a:chOff x="5971" y="5"/>
                            <a:chExt cx="10" cy="2"/>
                          </a:xfrm>
                        </wpg:grpSpPr>
                        <wps:wsp>
                          <wps:cNvPr id="558" name="Freeform 549"/>
                          <wps:cNvSpPr>
                            <a:spLocks/>
                          </wps:cNvSpPr>
                          <wps:spPr bwMode="auto">
                            <a:xfrm>
                              <a:off x="5971" y="5"/>
                              <a:ext cx="10" cy="2"/>
                            </a:xfrm>
                            <a:custGeom>
                              <a:avLst/>
                              <a:gdLst>
                                <a:gd name="T0" fmla="+- 0 5971 5971"/>
                                <a:gd name="T1" fmla="*/ T0 w 10"/>
                                <a:gd name="T2" fmla="+- 0 5981 5971"/>
                                <a:gd name="T3" fmla="*/ T2 w 10"/>
                              </a:gdLst>
                              <a:ahLst/>
                              <a:cxnLst>
                                <a:cxn ang="0">
                                  <a:pos x="T1" y="0"/>
                                </a:cxn>
                                <a:cxn ang="0">
                                  <a:pos x="T3" y="0"/>
                                </a:cxn>
                              </a:cxnLst>
                              <a:rect l="0" t="0" r="r" b="b"/>
                              <a:pathLst>
                                <a:path w="10">
                                  <a:moveTo>
                                    <a:pt x="0" y="0"/>
                                  </a:moveTo>
                                  <a:lnTo>
                                    <a:pt x="10" y="0"/>
                                  </a:lnTo>
                                </a:path>
                              </a:pathLst>
                            </a:custGeom>
                            <a:noFill/>
                            <a:ln w="609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21F234" id="Group 547" o:spid="_x0000_s1026" style="width:299.3pt;height:.5pt;mso-position-horizontal-relative:char;mso-position-vertical-relative:line" coordsize="59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">
                <v:shape id="Picture 550" o:spid="_x0000_s1027" type="#_x0000_t75" style="position:absolute;width:597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JvfGAAAA3AAAAA8AAABkcnMvZG93bnJldi54bWxEj0tvwjAQhO9I/Q/WVuIGTnmkVYpBiLfU&#10;U6GHHlfxkqTE6yg2JPDrMRJSj6OZ+UYzmbWmFBeqXWFZwVs/AkGcWl1wpuDnsO59gHAeWWNpmRRc&#10;ycFs+tKZYKJtw9902ftMBAi7BBXk3leJlC7NyaDr24o4eEdbG/RB1pnUNTYBbko5iKJYGiw4LORY&#10;0SKn9LQ/GwUrnG/jv+XmdxitGh7dDl/Hweldqe5rO/8E4an1/+Fne6cVjMcxPM6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Im98YAAADcAAAADwAAAAAAAAAAAAAA&#10;AACfAgAAZHJzL2Rvd25yZXYueG1sUEsFBgAAAAAEAAQA9wAAAJIDAAAAAA==&#10;">
                  <v:imagedata r:id="rId33" o:title=""/>
                </v:shape>
                <v:group id="Group 548" o:spid="_x0000_s1028" style="position:absolute;left:5971;top:5;width:10;height:2" coordorigin="597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49" o:spid="_x0000_s1029" style="position:absolute;left:5971;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uisIA&#10;AADcAAAADwAAAGRycy9kb3ducmV2LnhtbERPz2vCMBS+D/wfwhO8DE0ndGg1iogDB7tMRa+P5tkW&#10;m5eaRNP998thsOPH93u57k0rnuR8Y1nB2yQDQVxa3XCl4HT8GM9A+ICssbVMCn7Iw3o1eFlioW3k&#10;b3oeQiVSCPsCFdQhdIWUvqzJoJ/YjjhxV+sMhgRdJbXDmMJNK6dZ9i4NNpwaauxoW1N5OzyMgvv8&#10;HJtXmu828bJzj/i1/8xLq9Ro2G8WIAL14V/8595rB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O6KwgAAANwAAAAPAAAAAAAAAAAAAAAAAJgCAABkcnMvZG93&#10;bnJldi54bWxQSwUGAAAAAAQABAD1AAAAhwMAAAAA&#10;" path="m,l10,e" filled="f" strokecolor="#bebebe" strokeweight=".48pt">
                    <v:path arrowok="t" o:connecttype="custom" o:connectlocs="0,0;10,0" o:connectangles="0,0"/>
                  </v:shape>
                </v:group>
                <w10:anchorlock/>
              </v:group>
            </w:pict>
          </mc:Fallback>
        </mc:AlternateContent>
      </w:r>
    </w:p>
    <w:p w:rsidR="008918FA" w:rsidRDefault="008918FA" w:rsidP="008918FA">
      <w:pPr>
        <w:pStyle w:val="BodyText"/>
        <w:spacing w:before="0"/>
        <w:ind w:left="1658" w:firstLine="0"/>
      </w:pPr>
      <w:r>
        <w:rPr>
          <w:spacing w:val="-1"/>
        </w:rPr>
        <w:t>Date</w:t>
      </w:r>
    </w:p>
    <w:p w:rsidR="008918FA" w:rsidRDefault="008918FA" w:rsidP="008918FA">
      <w:pPr>
        <w:spacing w:before="11"/>
        <w:rPr>
          <w:rFonts w:ascii="Arial" w:eastAsia="Arial" w:hAnsi="Arial" w:cs="Arial"/>
          <w:sz w:val="20"/>
          <w:szCs w:val="20"/>
        </w:rPr>
      </w:pPr>
    </w:p>
    <w:p w:rsidR="008918FA" w:rsidRDefault="008918FA" w:rsidP="008918FA">
      <w:pPr>
        <w:spacing w:line="20" w:lineRule="atLeast"/>
        <w:ind w:left="2707"/>
        <w:rPr>
          <w:rFonts w:ascii="Arial" w:eastAsia="Arial" w:hAnsi="Arial" w:cs="Arial"/>
          <w:sz w:val="2"/>
          <w:szCs w:val="2"/>
        </w:rPr>
      </w:pPr>
      <w:r>
        <w:rPr>
          <w:rFonts w:ascii="Arial" w:eastAsia="Arial" w:hAnsi="Arial" w:cs="Arial"/>
          <w:noProof/>
          <w:sz w:val="2"/>
          <w:szCs w:val="2"/>
          <w:lang w:eastAsia="en-GB"/>
        </w:rPr>
        <mc:AlternateContent>
          <mc:Choice Requires="wpg">
            <w:drawing>
              <wp:inline distT="0" distB="0" distL="0" distR="0" wp14:anchorId="20F7EE0F" wp14:editId="62747F07">
                <wp:extent cx="3801110" cy="6350"/>
                <wp:effectExtent l="0" t="9525" r="8890" b="3175"/>
                <wp:docPr id="551"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6350"/>
                          <a:chOff x="0" y="0"/>
                          <a:chExt cx="5986" cy="10"/>
                        </a:xfrm>
                      </wpg:grpSpPr>
                      <pic:pic xmlns:pic="http://schemas.openxmlformats.org/drawingml/2006/picture">
                        <pic:nvPicPr>
                          <pic:cNvPr id="552" name="Picture 5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53" name="Group 544"/>
                        <wpg:cNvGrpSpPr>
                          <a:grpSpLocks/>
                        </wpg:cNvGrpSpPr>
                        <wpg:grpSpPr bwMode="auto">
                          <a:xfrm>
                            <a:off x="5971" y="5"/>
                            <a:ext cx="10" cy="2"/>
                            <a:chOff x="5971" y="5"/>
                            <a:chExt cx="10" cy="2"/>
                          </a:xfrm>
                        </wpg:grpSpPr>
                        <wps:wsp>
                          <wps:cNvPr id="554" name="Freeform 545"/>
                          <wps:cNvSpPr>
                            <a:spLocks/>
                          </wps:cNvSpPr>
                          <wps:spPr bwMode="auto">
                            <a:xfrm>
                              <a:off x="5971" y="5"/>
                              <a:ext cx="10" cy="2"/>
                            </a:xfrm>
                            <a:custGeom>
                              <a:avLst/>
                              <a:gdLst>
                                <a:gd name="T0" fmla="+- 0 5971 5971"/>
                                <a:gd name="T1" fmla="*/ T0 w 10"/>
                                <a:gd name="T2" fmla="+- 0 5981 5971"/>
                                <a:gd name="T3" fmla="*/ T2 w 10"/>
                              </a:gdLst>
                              <a:ahLst/>
                              <a:cxnLst>
                                <a:cxn ang="0">
                                  <a:pos x="T1" y="0"/>
                                </a:cxn>
                                <a:cxn ang="0">
                                  <a:pos x="T3" y="0"/>
                                </a:cxn>
                              </a:cxnLst>
                              <a:rect l="0" t="0" r="r" b="b"/>
                              <a:pathLst>
                                <a:path w="10">
                                  <a:moveTo>
                                    <a:pt x="0" y="0"/>
                                  </a:moveTo>
                                  <a:lnTo>
                                    <a:pt x="10" y="0"/>
                                  </a:lnTo>
                                </a:path>
                              </a:pathLst>
                            </a:custGeom>
                            <a:noFill/>
                            <a:ln w="609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76CBE2" id="Group 543" o:spid="_x0000_s1026" style="width:299.3pt;height:.5pt;mso-position-horizontal-relative:char;mso-position-vertical-relative:line" coordsize="59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">
                <v:shape id="Picture 546" o:spid="_x0000_s1027" type="#_x0000_t75" style="position:absolute;width:597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IPTGAAAA3AAAAA8AAABkcnMvZG93bnJldi54bWxEj0tvwjAQhO9I/Q/WVuIGTsOjVYpBiEdB&#10;4lToocdVvCQp8TqKDQn99RgJieNoZr7RTGatKcWFaldYVvDWj0AQp1YXnCn4Oax7HyCcR9ZYWiYF&#10;V3Iwm750Jpho2/A3XfY+EwHCLkEFufdVIqVLczLo+rYiDt7R1gZ9kHUmdY1NgJtSxlE0lgYLDgs5&#10;VrTIKT3tz0bBCueb8d/y63cQrRoe/h92x/j0rlT3tZ1/gvDU+mf40d5qBaNRDPcz4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kg9MYAAADcAAAADwAAAAAAAAAAAAAA&#10;AACfAgAAZHJzL2Rvd25yZXYueG1sUEsFBgAAAAAEAAQA9wAAAJIDAAAAAA==&#10;">
                  <v:imagedata r:id="rId33" o:title=""/>
                </v:shape>
                <v:group id="Group 544" o:spid="_x0000_s1028" style="position:absolute;left:5971;top:5;width:10;height:2" coordorigin="597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45" o:spid="_x0000_s1029" style="position:absolute;left:5971;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kj8UA&#10;AADcAAAADwAAAGRycy9kb3ducmV2LnhtbESPQWsCMRSE7wX/Q3hCL6VmFVfq1igiFhR6UUt7fWxe&#10;d5duXtYkmvXfm0Khx2FmvmEWq9604krON5YVjEcZCOLS6oYrBR+nt+cXED4ga2wtk4IbeVgtBw8L&#10;LLSNfKDrMVQiQdgXqKAOoSuk9GVNBv3IdsTJ+7bOYEjSVVI7jAluWjnJspk02HBaqLGjTU3lz/Fi&#10;FJznn7F5ovl2Hb+27hLfd/u8tEo9Dvv1K4hAffgP/7V3WkGeT+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eSPxQAAANwAAAAPAAAAAAAAAAAAAAAAAJgCAABkcnMv&#10;ZG93bnJldi54bWxQSwUGAAAAAAQABAD1AAAAigMAAAAA&#10;" path="m,l10,e" filled="f" strokecolor="#bebebe" strokeweight=".48pt">
                    <v:path arrowok="t" o:connecttype="custom" o:connectlocs="0,0;10,0" o:connectangles="0,0"/>
                  </v:shape>
                </v:group>
                <w10:anchorlock/>
              </v:group>
            </w:pict>
          </mc:Fallback>
        </mc:AlternateContent>
      </w:r>
    </w:p>
    <w:p w:rsidR="008918FA" w:rsidRDefault="008918FA" w:rsidP="008918FA">
      <w:pPr>
        <w:pStyle w:val="BodyText"/>
        <w:spacing w:before="0" w:line="231" w:lineRule="exact"/>
        <w:ind w:left="1658" w:firstLine="0"/>
      </w:pPr>
      <w:r>
        <w:rPr>
          <w:spacing w:val="-1"/>
        </w:rPr>
        <w:t>Name</w:t>
      </w:r>
      <w:r>
        <w:rPr>
          <w:spacing w:val="48"/>
        </w:rPr>
        <w:t xml:space="preserve"> </w:t>
      </w:r>
      <w:r>
        <w:rPr>
          <w:spacing w:val="-2"/>
        </w:rPr>
        <w:t>(in</w:t>
      </w:r>
    </w:p>
    <w:p w:rsidR="008918FA" w:rsidRDefault="008918FA" w:rsidP="008918FA">
      <w:pPr>
        <w:pStyle w:val="BodyText"/>
        <w:spacing w:before="1"/>
        <w:ind w:left="1658" w:firstLine="0"/>
      </w:pPr>
      <w:r>
        <w:rPr>
          <w:spacing w:val="-2"/>
        </w:rPr>
        <w:t>Capitals)</w:t>
      </w:r>
    </w:p>
    <w:p w:rsidR="008918FA" w:rsidRDefault="008918FA" w:rsidP="008918FA">
      <w:pPr>
        <w:spacing w:before="11"/>
        <w:rPr>
          <w:rFonts w:ascii="Arial" w:eastAsia="Arial" w:hAnsi="Arial" w:cs="Arial"/>
          <w:sz w:val="20"/>
          <w:szCs w:val="20"/>
        </w:rPr>
      </w:pPr>
    </w:p>
    <w:p w:rsidR="008918FA" w:rsidRDefault="008918FA" w:rsidP="008918FA">
      <w:pPr>
        <w:spacing w:line="20" w:lineRule="atLeast"/>
        <w:ind w:left="2707"/>
        <w:rPr>
          <w:rFonts w:ascii="Arial" w:eastAsia="Arial" w:hAnsi="Arial" w:cs="Arial"/>
          <w:sz w:val="2"/>
          <w:szCs w:val="2"/>
        </w:rPr>
      </w:pPr>
      <w:r>
        <w:rPr>
          <w:rFonts w:ascii="Arial" w:eastAsia="Arial" w:hAnsi="Arial" w:cs="Arial"/>
          <w:noProof/>
          <w:sz w:val="2"/>
          <w:szCs w:val="2"/>
          <w:lang w:eastAsia="en-GB"/>
        </w:rPr>
        <mc:AlternateContent>
          <mc:Choice Requires="wpg">
            <w:drawing>
              <wp:inline distT="0" distB="0" distL="0" distR="0" wp14:anchorId="2A3A179F" wp14:editId="11A8EDB4">
                <wp:extent cx="3801110" cy="6350"/>
                <wp:effectExtent l="0" t="9525" r="8890" b="3175"/>
                <wp:docPr id="54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6350"/>
                          <a:chOff x="0" y="0"/>
                          <a:chExt cx="5986" cy="10"/>
                        </a:xfrm>
                      </wpg:grpSpPr>
                      <pic:pic xmlns:pic="http://schemas.openxmlformats.org/drawingml/2006/picture">
                        <pic:nvPicPr>
                          <pic:cNvPr id="548" name="Picture 5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9" name="Group 540"/>
                        <wpg:cNvGrpSpPr>
                          <a:grpSpLocks/>
                        </wpg:cNvGrpSpPr>
                        <wpg:grpSpPr bwMode="auto">
                          <a:xfrm>
                            <a:off x="5971" y="5"/>
                            <a:ext cx="10" cy="2"/>
                            <a:chOff x="5971" y="5"/>
                            <a:chExt cx="10" cy="2"/>
                          </a:xfrm>
                        </wpg:grpSpPr>
                        <wps:wsp>
                          <wps:cNvPr id="550" name="Freeform 541"/>
                          <wps:cNvSpPr>
                            <a:spLocks/>
                          </wps:cNvSpPr>
                          <wps:spPr bwMode="auto">
                            <a:xfrm>
                              <a:off x="5971" y="5"/>
                              <a:ext cx="10" cy="2"/>
                            </a:xfrm>
                            <a:custGeom>
                              <a:avLst/>
                              <a:gdLst>
                                <a:gd name="T0" fmla="+- 0 5971 5971"/>
                                <a:gd name="T1" fmla="*/ T0 w 10"/>
                                <a:gd name="T2" fmla="+- 0 5981 5971"/>
                                <a:gd name="T3" fmla="*/ T2 w 10"/>
                              </a:gdLst>
                              <a:ahLst/>
                              <a:cxnLst>
                                <a:cxn ang="0">
                                  <a:pos x="T1" y="0"/>
                                </a:cxn>
                                <a:cxn ang="0">
                                  <a:pos x="T3" y="0"/>
                                </a:cxn>
                              </a:cxnLst>
                              <a:rect l="0" t="0" r="r" b="b"/>
                              <a:pathLst>
                                <a:path w="10">
                                  <a:moveTo>
                                    <a:pt x="0" y="0"/>
                                  </a:moveTo>
                                  <a:lnTo>
                                    <a:pt x="10" y="0"/>
                                  </a:lnTo>
                                </a:path>
                              </a:pathLst>
                            </a:custGeom>
                            <a:noFill/>
                            <a:ln w="609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22EDE0" id="Group 539" o:spid="_x0000_s1026" style="width:299.3pt;height:.5pt;mso-position-horizontal-relative:char;mso-position-vertical-relative:line" coordsize="59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">
                <v:shape id="Picture 542" o:spid="_x0000_s1027" type="#_x0000_t75" style="position:absolute;width:597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YgcPCAAAA3AAAAA8AAABkcnMvZG93bnJldi54bWxET7tuwjAU3ZH4B+tWYgOnvJViEAIKSJ0K&#10;DIxX8SVJia+j2JCUr8cDEuPRec8WjSnEnSqXW1bw2YtAECdW55wqOB2/u1MQziNrLCyTgn9ysJi3&#10;WzOMta35l+4Hn4oQwi5GBZn3ZSylSzIy6Hq2JA7cxVYGfYBVKnWFdQg3hexH0VgazDk0ZFjSKqPk&#10;ergZBRtc7sZ/6+15EG1qHj6OP5f+daJU56NZfoHw1Pi3+OXeawWjYVgbzoQj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mIHDwgAAANwAAAAPAAAAAAAAAAAAAAAAAJ8C&#10;AABkcnMvZG93bnJldi54bWxQSwUGAAAAAAQABAD3AAAAjgMAAAAA&#10;">
                  <v:imagedata r:id="rId33" o:title=""/>
                </v:shape>
                <v:group id="Group 540" o:spid="_x0000_s1028" style="position:absolute;left:5971;top:5;width:10;height:2" coordorigin="597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41" o:spid="_x0000_s1029" style="position:absolute;left:5971;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ijMIA&#10;AADcAAAADwAAAGRycy9kb3ducmV2LnhtbERPz2vCMBS+D/wfwhO8DE0ndGg1iogDB7tMRa+P5tkW&#10;m5eaRNP998thsOPH93u57k0rnuR8Y1nB2yQDQVxa3XCl4HT8GM9A+ICssbVMCn7Iw3o1eFlioW3k&#10;b3oeQiVSCPsCFdQhdIWUvqzJoJ/YjjhxV+sMhgRdJbXDmMJNK6dZ9i4NNpwaauxoW1N5OzyMgvv8&#10;HJtXmu828bJzj/i1/8xLq9Ro2G8WIAL14V/8595rB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uKMwgAAANwAAAAPAAAAAAAAAAAAAAAAAJgCAABkcnMvZG93&#10;bnJldi54bWxQSwUGAAAAAAQABAD1AAAAhwMAAAAA&#10;" path="m,l10,e" filled="f" strokecolor="#bebebe" strokeweight=".48pt">
                    <v:path arrowok="t" o:connecttype="custom" o:connectlocs="0,0;10,0" o:connectangles="0,0"/>
                  </v:shape>
                </v:group>
                <w10:anchorlock/>
              </v:group>
            </w:pict>
          </mc:Fallback>
        </mc:AlternateContent>
      </w:r>
    </w:p>
    <w:p w:rsidR="008918FA" w:rsidRDefault="008918FA" w:rsidP="008918FA">
      <w:pPr>
        <w:pStyle w:val="BodyText"/>
        <w:spacing w:before="0" w:line="231" w:lineRule="exact"/>
        <w:ind w:left="1658" w:firstLine="0"/>
      </w:pPr>
      <w:r>
        <w:rPr>
          <w:spacing w:val="-1"/>
        </w:rPr>
        <w:t>Address</w:t>
      </w:r>
    </w:p>
    <w:p w:rsidR="008918FA" w:rsidRDefault="008918FA" w:rsidP="008918FA">
      <w:pPr>
        <w:spacing w:before="2"/>
        <w:rPr>
          <w:rFonts w:ascii="Arial" w:eastAsia="Arial" w:hAnsi="Arial" w:cs="Arial"/>
          <w:sz w:val="21"/>
          <w:szCs w:val="21"/>
        </w:rPr>
      </w:pPr>
    </w:p>
    <w:p w:rsidR="008918FA" w:rsidRDefault="008918FA" w:rsidP="008918FA">
      <w:pPr>
        <w:spacing w:line="20" w:lineRule="atLeast"/>
        <w:ind w:left="2692"/>
        <w:rPr>
          <w:rFonts w:ascii="Arial" w:eastAsia="Arial" w:hAnsi="Arial" w:cs="Arial"/>
          <w:sz w:val="2"/>
          <w:szCs w:val="2"/>
        </w:rPr>
      </w:pPr>
      <w:r>
        <w:rPr>
          <w:rFonts w:ascii="Arial" w:eastAsia="Arial" w:hAnsi="Arial" w:cs="Arial"/>
          <w:noProof/>
          <w:sz w:val="2"/>
          <w:szCs w:val="2"/>
          <w:lang w:eastAsia="en-GB"/>
        </w:rPr>
        <mc:AlternateContent>
          <mc:Choice Requires="wpg">
            <w:drawing>
              <wp:inline distT="0" distB="0" distL="0" distR="0" wp14:anchorId="18B3DC0C" wp14:editId="470D810A">
                <wp:extent cx="3810000" cy="6350"/>
                <wp:effectExtent l="0" t="9525" r="9525" b="3175"/>
                <wp:docPr id="543"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6350"/>
                          <a:chOff x="0" y="0"/>
                          <a:chExt cx="6000" cy="10"/>
                        </a:xfrm>
                      </wpg:grpSpPr>
                      <pic:pic xmlns:pic="http://schemas.openxmlformats.org/drawingml/2006/picture">
                        <pic:nvPicPr>
                          <pic:cNvPr id="544" name="Picture 5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5" name="Group 536"/>
                        <wpg:cNvGrpSpPr>
                          <a:grpSpLocks/>
                        </wpg:cNvGrpSpPr>
                        <wpg:grpSpPr bwMode="auto">
                          <a:xfrm>
                            <a:off x="5990" y="5"/>
                            <a:ext cx="5" cy="2"/>
                            <a:chOff x="5990" y="5"/>
                            <a:chExt cx="5" cy="2"/>
                          </a:xfrm>
                        </wpg:grpSpPr>
                        <wps:wsp>
                          <wps:cNvPr id="546" name="Freeform 537"/>
                          <wps:cNvSpPr>
                            <a:spLocks/>
                          </wps:cNvSpPr>
                          <wps:spPr bwMode="auto">
                            <a:xfrm>
                              <a:off x="5990" y="5"/>
                              <a:ext cx="5" cy="2"/>
                            </a:xfrm>
                            <a:custGeom>
                              <a:avLst/>
                              <a:gdLst>
                                <a:gd name="T0" fmla="+- 0 5990 5990"/>
                                <a:gd name="T1" fmla="*/ T0 w 5"/>
                                <a:gd name="T2" fmla="+- 0 5995 5990"/>
                                <a:gd name="T3" fmla="*/ T2 w 5"/>
                              </a:gdLst>
                              <a:ahLst/>
                              <a:cxnLst>
                                <a:cxn ang="0">
                                  <a:pos x="T1" y="0"/>
                                </a:cxn>
                                <a:cxn ang="0">
                                  <a:pos x="T3" y="0"/>
                                </a:cxn>
                              </a:cxnLst>
                              <a:rect l="0" t="0" r="r" b="b"/>
                              <a:pathLst>
                                <a:path w="5">
                                  <a:moveTo>
                                    <a:pt x="0" y="0"/>
                                  </a:moveTo>
                                  <a:lnTo>
                                    <a:pt x="5" y="0"/>
                                  </a:lnTo>
                                </a:path>
                              </a:pathLst>
                            </a:custGeom>
                            <a:noFill/>
                            <a:ln w="6096">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B432E2" id="Group 535" o:spid="_x0000_s1026" style="width:300pt;height:.5pt;mso-position-horizontal-relative:char;mso-position-vertical-relative:line" coordsize="60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">
                <v:shape id="Picture 538" o:spid="_x0000_s1027" type="#_x0000_t75" style="position:absolute;width:599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sUHFAAAA3AAAAA8AAABkcnMvZG93bnJldi54bWxEj19rwkAQxN8L/Q7HFvpS9FJr/RM9pZQq&#10;vlYF8W3NrUlobi/ktjF+e08o9HGYmd8w82XnKtVSE0rPBl77CSjizNuScwP73ao3ARUE2WLlmQxc&#10;KcBy8fgwx9T6C39Tu5VcRQiHFA0UInWqdcgKchj6viaO3tk3DiXKJte2wUuEu0oPkmSkHZYcFwqs&#10;6bOg7Gf76yLlbZSfv/AYXk6yPtjxYHptxRrz/NR9zEAJdfIf/mtvrIH34RDuZ+IR0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l7FBxQAAANwAAAAPAAAAAAAAAAAAAAAA&#10;AJ8CAABkcnMvZG93bnJldi54bWxQSwUGAAAAAAQABAD3AAAAkQMAAAAA&#10;">
                  <v:imagedata r:id="rId35" o:title=""/>
                </v:shape>
                <v:group id="Group 536" o:spid="_x0000_s1028" style="position:absolute;left:5990;top:5;width:5;height:2" coordorigin="5990,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37" o:spid="_x0000_s1029" style="position:absolute;left:5990;top: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f18UA&#10;AADcAAAADwAAAGRycy9kb3ducmV2LnhtbESP3WrCQBSE74W+w3IK3ulGiRKiq1hB0SL4i/TykD1N&#10;QrNnQ3bV9O27BcHLYWa+Yabz1lTiTo0rLSsY9CMQxJnVJecKLudVLwHhPLLGyjIp+CUH89lbZ4qp&#10;tg8+0v3kcxEg7FJUUHhfp1K6rCCDrm9r4uB928agD7LJpW7wEeCmksMoGkuDJYeFAmtaFpT9nG5G&#10;wS67Xev14TMxexwmh/gcjz62X0p139vFBISn1r/Cz/ZGKxjFY/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R/XxQAAANwAAAAPAAAAAAAAAAAAAAAAAJgCAABkcnMv&#10;ZG93bnJldi54bWxQSwUGAAAAAAQABAD1AAAAigMAAAAA&#10;" path="m,l5,e" filled="f" strokecolor="#fefefe" strokeweight=".48pt">
                    <v:path arrowok="t" o:connecttype="custom" o:connectlocs="0,0;5,0" o:connectangles="0,0"/>
                  </v:shape>
                </v:group>
                <w10:anchorlock/>
              </v:group>
            </w:pict>
          </mc:Fallback>
        </mc:AlternateContent>
      </w:r>
    </w:p>
    <w:p w:rsidR="008918FA" w:rsidRDefault="008918FA" w:rsidP="008918FA">
      <w:pPr>
        <w:spacing w:line="20" w:lineRule="atLeast"/>
        <w:rPr>
          <w:rFonts w:ascii="Arial" w:eastAsia="Arial" w:hAnsi="Arial" w:cs="Arial"/>
          <w:sz w:val="2"/>
          <w:szCs w:val="2"/>
        </w:rPr>
        <w:sectPr w:rsidR="008918FA">
          <w:pgSz w:w="11910" w:h="16840"/>
          <w:pgMar w:top="1480" w:right="1300" w:bottom="1180" w:left="1200" w:header="0" w:footer="987" w:gutter="0"/>
          <w:cols w:space="720"/>
        </w:sectPr>
      </w:pPr>
    </w:p>
    <w:p w:rsidR="008918FA" w:rsidRDefault="008918FA" w:rsidP="008918FA">
      <w:pPr>
        <w:pStyle w:val="BodyText"/>
        <w:spacing w:before="58"/>
        <w:ind w:left="100" w:firstLine="0"/>
        <w:rPr>
          <w:rFonts w:ascii="Times New Roman" w:eastAsia="Times New Roman" w:hAnsi="Times New Roman" w:cs="Times New Roman"/>
        </w:rPr>
      </w:pPr>
      <w:bookmarkStart w:id="514" w:name="CALL_OFF_SCHEDULE_14:_ALTERNATIVE_AND/OR"/>
      <w:bookmarkStart w:id="515" w:name="_bookmark427"/>
      <w:bookmarkEnd w:id="514"/>
      <w:bookmarkEnd w:id="515"/>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spacing w:val="7"/>
        </w:rPr>
        <w:t>14:</w:t>
      </w:r>
      <w:r>
        <w:rPr>
          <w:rFonts w:ascii="Times New Roman"/>
          <w:spacing w:val="22"/>
        </w:rPr>
        <w:t xml:space="preserve"> </w:t>
      </w:r>
      <w:r>
        <w:rPr>
          <w:rFonts w:ascii="Times New Roman"/>
          <w:spacing w:val="-2"/>
        </w:rPr>
        <w:t>ALTERNATIVE</w:t>
      </w:r>
      <w:r>
        <w:rPr>
          <w:rFonts w:ascii="Times New Roman"/>
          <w:spacing w:val="21"/>
        </w:rPr>
        <w:t xml:space="preserve"> </w:t>
      </w:r>
      <w:r>
        <w:rPr>
          <w:rFonts w:ascii="Times New Roman"/>
          <w:spacing w:val="1"/>
        </w:rPr>
        <w:t>AND/OR</w:t>
      </w:r>
      <w:r>
        <w:rPr>
          <w:rFonts w:ascii="Times New Roman"/>
          <w:spacing w:val="20"/>
        </w:rPr>
        <w:t xml:space="preserve"> </w:t>
      </w:r>
      <w:r>
        <w:rPr>
          <w:rFonts w:ascii="Times New Roman"/>
          <w:spacing w:val="-3"/>
        </w:rPr>
        <w:t>ADDITIONAL</w:t>
      </w:r>
      <w:r>
        <w:rPr>
          <w:rFonts w:ascii="Times New Roman"/>
          <w:spacing w:val="7"/>
        </w:rPr>
        <w:t xml:space="preserve"> </w:t>
      </w:r>
      <w:r>
        <w:rPr>
          <w:rFonts w:ascii="Times New Roman"/>
          <w:spacing w:val="1"/>
        </w:rPr>
        <w:t>CLAUS</w:t>
      </w:r>
      <w:r>
        <w:rPr>
          <w:rFonts w:ascii="Times New Roman"/>
          <w:spacing w:val="-29"/>
        </w:rPr>
        <w:t xml:space="preserve"> </w:t>
      </w:r>
      <w:r>
        <w:rPr>
          <w:rFonts w:ascii="Times New Roman"/>
          <w:spacing w:val="5"/>
        </w:rPr>
        <w:t>ES</w:t>
      </w:r>
    </w:p>
    <w:p w:rsidR="008918FA" w:rsidRDefault="008918FA" w:rsidP="008918FA">
      <w:pPr>
        <w:spacing w:before="9"/>
        <w:rPr>
          <w:rFonts w:ascii="Times New Roman" w:eastAsia="Times New Roman" w:hAnsi="Times New Roman" w:cs="Times New Roman"/>
          <w:sz w:val="20"/>
          <w:szCs w:val="20"/>
        </w:rPr>
      </w:pPr>
    </w:p>
    <w:p w:rsidR="008918FA" w:rsidRDefault="008918FA" w:rsidP="008918FA">
      <w:pPr>
        <w:pStyle w:val="BodyText"/>
        <w:numPr>
          <w:ilvl w:val="0"/>
          <w:numId w:val="4"/>
        </w:numPr>
        <w:tabs>
          <w:tab w:val="left" w:pos="667"/>
        </w:tabs>
        <w:spacing w:before="0"/>
        <w:jc w:val="left"/>
        <w:rPr>
          <w:rFonts w:ascii="Times New Roman" w:eastAsia="Times New Roman" w:hAnsi="Times New Roman" w:cs="Times New Roman"/>
        </w:rPr>
      </w:pPr>
      <w:r>
        <w:rPr>
          <w:rFonts w:ascii="Times New Roman"/>
          <w:spacing w:val="1"/>
        </w:rPr>
        <w:t>INTRODUCTION</w:t>
      </w:r>
    </w:p>
    <w:p w:rsidR="008918FA" w:rsidRDefault="008918FA" w:rsidP="008918FA">
      <w:pPr>
        <w:spacing w:before="1"/>
        <w:rPr>
          <w:rFonts w:ascii="Times New Roman" w:eastAsia="Times New Roman" w:hAnsi="Times New Roman" w:cs="Times New Roman"/>
          <w:sz w:val="21"/>
          <w:szCs w:val="21"/>
        </w:rPr>
      </w:pPr>
    </w:p>
    <w:p w:rsidR="008918FA" w:rsidRDefault="008918FA" w:rsidP="008918FA">
      <w:pPr>
        <w:pStyle w:val="BodyText"/>
        <w:numPr>
          <w:ilvl w:val="1"/>
          <w:numId w:val="4"/>
        </w:numPr>
        <w:tabs>
          <w:tab w:val="left" w:pos="1029"/>
        </w:tabs>
        <w:spacing w:before="0"/>
        <w:ind w:right="113"/>
        <w:jc w:val="both"/>
      </w:pPr>
      <w:r>
        <w:rPr>
          <w:spacing w:val="-1"/>
        </w:rPr>
        <w:t>This</w:t>
      </w:r>
      <w:r>
        <w:rPr>
          <w:spacing w:val="5"/>
        </w:rPr>
        <w:t xml:space="preserve"> </w:t>
      </w:r>
      <w:r>
        <w:rPr>
          <w:spacing w:val="-2"/>
        </w:rPr>
        <w:t>Call</w:t>
      </w:r>
      <w:r>
        <w:rPr>
          <w:spacing w:val="4"/>
        </w:rPr>
        <w:t xml:space="preserve"> </w:t>
      </w:r>
      <w:r>
        <w:rPr>
          <w:spacing w:val="-1"/>
        </w:rPr>
        <w:t>Off</w:t>
      </w:r>
      <w:r>
        <w:rPr>
          <w:spacing w:val="4"/>
        </w:rPr>
        <w:t xml:space="preserve"> </w:t>
      </w:r>
      <w:r>
        <w:rPr>
          <w:spacing w:val="-1"/>
        </w:rPr>
        <w:t>Schedule</w:t>
      </w:r>
      <w:r>
        <w:rPr>
          <w:spacing w:val="5"/>
        </w:rPr>
        <w:t xml:space="preserve"> </w:t>
      </w:r>
      <w:r>
        <w:rPr>
          <w:spacing w:val="-1"/>
        </w:rPr>
        <w:t>14</w:t>
      </w:r>
      <w:r>
        <w:rPr>
          <w:spacing w:val="5"/>
        </w:rPr>
        <w:t xml:space="preserve"> </w:t>
      </w:r>
      <w:r>
        <w:rPr>
          <w:spacing w:val="-1"/>
        </w:rPr>
        <w:t>specifies</w:t>
      </w:r>
      <w:r>
        <w:rPr>
          <w:spacing w:val="3"/>
        </w:rPr>
        <w:t xml:space="preserve"> </w:t>
      </w:r>
      <w:r>
        <w:t>the</w:t>
      </w:r>
      <w:r>
        <w:rPr>
          <w:spacing w:val="5"/>
        </w:rPr>
        <w:t xml:space="preserve"> </w:t>
      </w:r>
      <w:r>
        <w:rPr>
          <w:spacing w:val="-1"/>
        </w:rPr>
        <w:t>range</w:t>
      </w:r>
      <w:r>
        <w:rPr>
          <w:spacing w:val="3"/>
        </w:rPr>
        <w:t xml:space="preserve"> </w:t>
      </w:r>
      <w:r>
        <w:rPr>
          <w:spacing w:val="-2"/>
        </w:rPr>
        <w:t>of</w:t>
      </w:r>
      <w:r>
        <w:rPr>
          <w:spacing w:val="4"/>
        </w:rPr>
        <w:t xml:space="preserve"> </w:t>
      </w:r>
      <w:r>
        <w:rPr>
          <w:spacing w:val="-1"/>
        </w:rPr>
        <w:t>Alternative</w:t>
      </w:r>
      <w:r>
        <w:rPr>
          <w:spacing w:val="5"/>
        </w:rPr>
        <w:t xml:space="preserve"> </w:t>
      </w:r>
      <w:r>
        <w:rPr>
          <w:spacing w:val="-1"/>
        </w:rPr>
        <w:t>Clauses</w:t>
      </w:r>
      <w:r>
        <w:rPr>
          <w:spacing w:val="5"/>
        </w:rPr>
        <w:t xml:space="preserve"> </w:t>
      </w:r>
      <w:r>
        <w:rPr>
          <w:spacing w:val="-1"/>
        </w:rPr>
        <w:t>and</w:t>
      </w:r>
      <w:r>
        <w:rPr>
          <w:spacing w:val="3"/>
        </w:rPr>
        <w:t xml:space="preserve"> </w:t>
      </w:r>
      <w:r>
        <w:rPr>
          <w:spacing w:val="-1"/>
        </w:rPr>
        <w:t>Additional</w:t>
      </w:r>
      <w:r>
        <w:rPr>
          <w:spacing w:val="36"/>
        </w:rPr>
        <w:t xml:space="preserve"> </w:t>
      </w:r>
      <w:r>
        <w:rPr>
          <w:spacing w:val="-1"/>
        </w:rPr>
        <w:t>Clauses</w:t>
      </w:r>
      <w:r>
        <w:rPr>
          <w:spacing w:val="25"/>
        </w:rPr>
        <w:t xml:space="preserve"> </w:t>
      </w:r>
      <w:r>
        <w:rPr>
          <w:spacing w:val="-1"/>
        </w:rPr>
        <w:t>that</w:t>
      </w:r>
      <w:r>
        <w:rPr>
          <w:spacing w:val="26"/>
        </w:rPr>
        <w:t xml:space="preserve"> </w:t>
      </w:r>
      <w:r>
        <w:rPr>
          <w:spacing w:val="-1"/>
        </w:rPr>
        <w:t>may</w:t>
      </w:r>
      <w:r>
        <w:rPr>
          <w:spacing w:val="22"/>
        </w:rPr>
        <w:t xml:space="preserve"> </w:t>
      </w:r>
      <w:r>
        <w:rPr>
          <w:spacing w:val="-1"/>
        </w:rPr>
        <w:t>be</w:t>
      </w:r>
      <w:r>
        <w:rPr>
          <w:spacing w:val="24"/>
        </w:rPr>
        <w:t xml:space="preserve"> </w:t>
      </w:r>
      <w:r>
        <w:rPr>
          <w:spacing w:val="-1"/>
        </w:rPr>
        <w:t>requested</w:t>
      </w:r>
      <w:r>
        <w:rPr>
          <w:spacing w:val="26"/>
        </w:rPr>
        <w:t xml:space="preserve"> </w:t>
      </w:r>
      <w:r>
        <w:rPr>
          <w:spacing w:val="-1"/>
        </w:rPr>
        <w:t>in</w:t>
      </w:r>
      <w:r>
        <w:rPr>
          <w:spacing w:val="24"/>
        </w:rPr>
        <w:t xml:space="preserve"> </w:t>
      </w:r>
      <w:r>
        <w:t>the</w:t>
      </w:r>
      <w:r>
        <w:rPr>
          <w:spacing w:val="24"/>
        </w:rPr>
        <w:t xml:space="preserve"> </w:t>
      </w:r>
      <w:r>
        <w:rPr>
          <w:spacing w:val="-1"/>
        </w:rPr>
        <w:t>Order</w:t>
      </w:r>
      <w:r>
        <w:rPr>
          <w:spacing w:val="26"/>
        </w:rPr>
        <w:t xml:space="preserve"> </w:t>
      </w:r>
      <w:r>
        <w:rPr>
          <w:spacing w:val="-1"/>
        </w:rPr>
        <w:t>Form</w:t>
      </w:r>
      <w:r>
        <w:rPr>
          <w:spacing w:val="26"/>
        </w:rPr>
        <w:t xml:space="preserve"> </w:t>
      </w:r>
      <w:r>
        <w:rPr>
          <w:spacing w:val="-2"/>
        </w:rPr>
        <w:t>and,</w:t>
      </w:r>
      <w:r>
        <w:rPr>
          <w:spacing w:val="26"/>
        </w:rPr>
        <w:t xml:space="preserve"> </w:t>
      </w:r>
      <w:r>
        <w:rPr>
          <w:spacing w:val="-2"/>
        </w:rPr>
        <w:t>if</w:t>
      </w:r>
      <w:r>
        <w:rPr>
          <w:spacing w:val="28"/>
        </w:rPr>
        <w:t xml:space="preserve"> </w:t>
      </w:r>
      <w:r>
        <w:rPr>
          <w:spacing w:val="-1"/>
        </w:rPr>
        <w:t>requested</w:t>
      </w:r>
      <w:r>
        <w:rPr>
          <w:spacing w:val="25"/>
        </w:rPr>
        <w:t xml:space="preserve"> </w:t>
      </w:r>
      <w:r>
        <w:rPr>
          <w:spacing w:val="-1"/>
        </w:rPr>
        <w:t>in</w:t>
      </w:r>
      <w:r>
        <w:rPr>
          <w:spacing w:val="24"/>
        </w:rPr>
        <w:t xml:space="preserve"> </w:t>
      </w:r>
      <w:r>
        <w:rPr>
          <w:spacing w:val="-1"/>
        </w:rPr>
        <w:t>the</w:t>
      </w:r>
      <w:r>
        <w:rPr>
          <w:spacing w:val="24"/>
        </w:rPr>
        <w:t xml:space="preserve"> </w:t>
      </w:r>
      <w:r>
        <w:rPr>
          <w:spacing w:val="-1"/>
        </w:rPr>
        <w:t>Order</w:t>
      </w:r>
      <w:r>
        <w:rPr>
          <w:spacing w:val="37"/>
        </w:rPr>
        <w:t xml:space="preserve"> </w:t>
      </w:r>
      <w:r>
        <w:rPr>
          <w:spacing w:val="-1"/>
        </w:rPr>
        <w:t>Form,</w:t>
      </w:r>
      <w:r>
        <w:rPr>
          <w:spacing w:val="2"/>
        </w:rPr>
        <w:t xml:space="preserve"> </w:t>
      </w:r>
      <w:r>
        <w:rPr>
          <w:spacing w:val="-1"/>
        </w:rPr>
        <w:t>shall</w:t>
      </w:r>
      <w:r>
        <w:t xml:space="preserve"> </w:t>
      </w:r>
      <w:r>
        <w:rPr>
          <w:spacing w:val="-1"/>
        </w:rPr>
        <w:t>apply</w:t>
      </w:r>
      <w:r>
        <w:rPr>
          <w:spacing w:val="-2"/>
        </w:rPr>
        <w:t xml:space="preserve"> </w:t>
      </w:r>
      <w:r>
        <w:t>to</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p>
    <w:p w:rsidR="008918FA" w:rsidRDefault="008918FA" w:rsidP="008918FA">
      <w:pPr>
        <w:pStyle w:val="BodyText"/>
        <w:numPr>
          <w:ilvl w:val="0"/>
          <w:numId w:val="4"/>
        </w:numPr>
        <w:tabs>
          <w:tab w:val="left" w:pos="666"/>
        </w:tabs>
        <w:spacing w:before="117"/>
        <w:ind w:left="665" w:hanging="359"/>
        <w:jc w:val="left"/>
        <w:rPr>
          <w:rFonts w:ascii="Times New Roman" w:eastAsia="Times New Roman" w:hAnsi="Times New Roman" w:cs="Times New Roman"/>
        </w:rPr>
      </w:pPr>
      <w:r>
        <w:rPr>
          <w:rFonts w:ascii="Times New Roman"/>
          <w:spacing w:val="6"/>
        </w:rPr>
        <w:t>CLAUSES</w:t>
      </w:r>
      <w:r>
        <w:rPr>
          <w:rFonts w:ascii="Times New Roman"/>
          <w:spacing w:val="31"/>
        </w:rPr>
        <w:t xml:space="preserve"> </w:t>
      </w:r>
      <w:r>
        <w:rPr>
          <w:rFonts w:ascii="Times New Roman"/>
          <w:spacing w:val="9"/>
        </w:rPr>
        <w:t>SELECTED</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4"/>
        </w:numPr>
        <w:tabs>
          <w:tab w:val="left" w:pos="1029"/>
        </w:tabs>
        <w:spacing w:before="0"/>
      </w:pPr>
      <w:bookmarkStart w:id="516" w:name="_bookmark428"/>
      <w:bookmarkEnd w:id="516"/>
      <w:r>
        <w:t>The</w:t>
      </w:r>
      <w:r>
        <w:rPr>
          <w:spacing w:val="-2"/>
        </w:rPr>
        <w:t xml:space="preserve"> </w:t>
      </w:r>
      <w:r>
        <w:rPr>
          <w:spacing w:val="-1"/>
        </w:rPr>
        <w:t>Customer may,</w:t>
      </w:r>
      <w:r>
        <w:t xml:space="preserve"> </w:t>
      </w:r>
      <w:r>
        <w:rPr>
          <w:spacing w:val="-1"/>
        </w:rPr>
        <w:t>in</w:t>
      </w:r>
      <w:r>
        <w:t xml:space="preserve"> </w:t>
      </w:r>
      <w:r>
        <w:rPr>
          <w:spacing w:val="-1"/>
        </w:rPr>
        <w:t>the</w:t>
      </w:r>
      <w:r>
        <w:t xml:space="preserve"> </w:t>
      </w:r>
      <w:r>
        <w:rPr>
          <w:spacing w:val="-1"/>
        </w:rPr>
        <w:t>Order Form,</w:t>
      </w:r>
      <w:r>
        <w:t xml:space="preserve"> </w:t>
      </w:r>
      <w:r>
        <w:rPr>
          <w:spacing w:val="-1"/>
        </w:rPr>
        <w:t>request</w:t>
      </w:r>
      <w:r>
        <w:t xml:space="preserve"> </w:t>
      </w:r>
      <w:r>
        <w:rPr>
          <w:spacing w:val="-1"/>
        </w:rPr>
        <w:t>the</w:t>
      </w:r>
      <w:r>
        <w:rPr>
          <w:spacing w:val="-2"/>
        </w:rPr>
        <w:t xml:space="preserve"> following</w:t>
      </w:r>
      <w:r>
        <w:rPr>
          <w:spacing w:val="3"/>
        </w:rPr>
        <w:t xml:space="preserve"> </w:t>
      </w:r>
      <w:r>
        <w:rPr>
          <w:spacing w:val="-1"/>
        </w:rPr>
        <w:t>Alternative</w:t>
      </w:r>
      <w:r>
        <w:t xml:space="preserve"> </w:t>
      </w:r>
      <w:r>
        <w:rPr>
          <w:spacing w:val="-2"/>
        </w:rPr>
        <w:t>Clauses:</w:t>
      </w:r>
    </w:p>
    <w:p w:rsidR="008918FA" w:rsidRDefault="008918FA" w:rsidP="008918FA">
      <w:pPr>
        <w:pStyle w:val="BodyText"/>
        <w:numPr>
          <w:ilvl w:val="2"/>
          <w:numId w:val="4"/>
        </w:numPr>
        <w:tabs>
          <w:tab w:val="left" w:pos="2226"/>
        </w:tabs>
        <w:spacing w:before="121"/>
        <w:ind w:hanging="993"/>
      </w:pPr>
      <w:r>
        <w:rPr>
          <w:spacing w:val="-1"/>
        </w:rPr>
        <w:t>Scots</w:t>
      </w:r>
      <w:r>
        <w:rPr>
          <w:spacing w:val="1"/>
        </w:rPr>
        <w:t xml:space="preserve"> </w:t>
      </w:r>
      <w:r>
        <w:rPr>
          <w:spacing w:val="-1"/>
        </w:rPr>
        <w:t>Law</w:t>
      </w:r>
      <w:r>
        <w:rPr>
          <w:spacing w:val="-3"/>
        </w:rPr>
        <w:t xml:space="preserve"> </w:t>
      </w:r>
      <w:r>
        <w:rPr>
          <w:spacing w:val="-1"/>
        </w:rPr>
        <w:t>(see</w:t>
      </w:r>
      <w:r>
        <w:rPr>
          <w:spacing w:val="-2"/>
        </w:rPr>
        <w:t xml:space="preserve"> paragraph</w:t>
      </w:r>
      <w:r>
        <w:t xml:space="preserve"> </w:t>
      </w:r>
      <w:hyperlink w:anchor="_bookmark431" w:history="1">
        <w:r>
          <w:t>4.1</w:t>
        </w:r>
      </w:hyperlink>
      <w:r>
        <w:rPr>
          <w:spacing w:val="-1"/>
        </w:rPr>
        <w:t xml:space="preserve"> </w:t>
      </w:r>
      <w:r>
        <w:rPr>
          <w:spacing w:val="-2"/>
        </w:rPr>
        <w:t>of</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2"/>
        </w:rPr>
        <w:t>Schedule);</w:t>
      </w:r>
    </w:p>
    <w:p w:rsidR="008918FA" w:rsidRDefault="008918FA" w:rsidP="008918FA">
      <w:pPr>
        <w:numPr>
          <w:ilvl w:val="2"/>
          <w:numId w:val="4"/>
        </w:numPr>
        <w:tabs>
          <w:tab w:val="left" w:pos="2226"/>
        </w:tabs>
        <w:spacing w:before="116"/>
        <w:ind w:hanging="993"/>
        <w:rPr>
          <w:rFonts w:ascii="Arial" w:eastAsia="Arial" w:hAnsi="Arial" w:cs="Arial"/>
        </w:rPr>
      </w:pPr>
      <w:r>
        <w:rPr>
          <w:rFonts w:ascii="Arial"/>
          <w:spacing w:val="-1"/>
        </w:rPr>
        <w:t>Northern</w:t>
      </w:r>
      <w:r>
        <w:rPr>
          <w:rFonts w:ascii="Arial"/>
          <w:spacing w:val="-2"/>
        </w:rPr>
        <w:t xml:space="preserve"> </w:t>
      </w:r>
      <w:r>
        <w:rPr>
          <w:rFonts w:ascii="Arial"/>
          <w:spacing w:val="-1"/>
        </w:rPr>
        <w:t>Ireland</w:t>
      </w:r>
      <w:r>
        <w:rPr>
          <w:rFonts w:ascii="Arial"/>
        </w:rPr>
        <w:t xml:space="preserve"> </w:t>
      </w:r>
      <w:r>
        <w:rPr>
          <w:rFonts w:ascii="Arial"/>
          <w:spacing w:val="-1"/>
        </w:rPr>
        <w:t>Law</w:t>
      </w:r>
      <w:r>
        <w:rPr>
          <w:rFonts w:ascii="Arial"/>
          <w:spacing w:val="-3"/>
        </w:rPr>
        <w:t xml:space="preserve"> </w:t>
      </w:r>
      <w:r>
        <w:rPr>
          <w:rFonts w:ascii="Arial"/>
          <w:spacing w:val="-1"/>
        </w:rPr>
        <w:t>(see</w:t>
      </w:r>
      <w:r>
        <w:rPr>
          <w:rFonts w:ascii="Arial"/>
        </w:rPr>
        <w:t xml:space="preserve"> </w:t>
      </w:r>
      <w:r>
        <w:rPr>
          <w:rFonts w:ascii="Arial"/>
          <w:b/>
          <w:spacing w:val="-1"/>
        </w:rPr>
        <w:t xml:space="preserve">paragraph </w:t>
      </w:r>
      <w:hyperlink w:anchor="_bookmark433" w:history="1">
        <w:r>
          <w:rPr>
            <w:rFonts w:ascii="Arial"/>
            <w:b/>
          </w:rPr>
          <w:t>4.2</w:t>
        </w:r>
      </w:hyperlink>
      <w:r>
        <w:rPr>
          <w:rFonts w:ascii="Arial"/>
          <w:b/>
          <w:spacing w:val="-2"/>
        </w:rPr>
        <w:t xml:space="preserve"> </w:t>
      </w:r>
      <w:r>
        <w:rPr>
          <w:rFonts w:ascii="Arial"/>
          <w:spacing w:val="-2"/>
        </w:rPr>
        <w:t>of</w:t>
      </w:r>
      <w:r>
        <w:rPr>
          <w:rFonts w:ascii="Arial"/>
          <w:spacing w:val="2"/>
        </w:rPr>
        <w:t xml:space="preserve"> </w:t>
      </w:r>
      <w:r>
        <w:rPr>
          <w:rFonts w:ascii="Arial"/>
          <w:spacing w:val="-1"/>
        </w:rPr>
        <w:t>this</w:t>
      </w:r>
      <w:r>
        <w:rPr>
          <w:rFonts w:ascii="Arial"/>
          <w:spacing w:val="-4"/>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Schedule);</w:t>
      </w:r>
    </w:p>
    <w:p w:rsidR="008918FA" w:rsidRDefault="008918FA" w:rsidP="008918FA">
      <w:pPr>
        <w:pStyle w:val="BodyText"/>
        <w:numPr>
          <w:ilvl w:val="2"/>
          <w:numId w:val="4"/>
        </w:numPr>
        <w:tabs>
          <w:tab w:val="left" w:pos="2227"/>
        </w:tabs>
        <w:spacing w:before="124"/>
        <w:ind w:left="2226"/>
      </w:pPr>
      <w:r>
        <w:rPr>
          <w:spacing w:val="-2"/>
        </w:rPr>
        <w:t>Non-Crown</w:t>
      </w:r>
      <w:r>
        <w:t xml:space="preserve"> </w:t>
      </w:r>
      <w:r>
        <w:rPr>
          <w:spacing w:val="-1"/>
        </w:rPr>
        <w:t>Bodies</w:t>
      </w:r>
      <w:r>
        <w:rPr>
          <w:spacing w:val="1"/>
        </w:rPr>
        <w:t xml:space="preserve"> </w:t>
      </w:r>
      <w:r>
        <w:rPr>
          <w:spacing w:val="-1"/>
        </w:rPr>
        <w:t>(see paragraph</w:t>
      </w:r>
      <w:r>
        <w:rPr>
          <w:spacing w:val="-2"/>
        </w:rPr>
        <w:t xml:space="preserve"> </w:t>
      </w:r>
      <w:hyperlink w:anchor="_bookmark434" w:history="1">
        <w:r>
          <w:t>4.3</w:t>
        </w:r>
      </w:hyperlink>
      <w:r>
        <w:rPr>
          <w:spacing w:val="-2"/>
        </w:rPr>
        <w:t xml:space="preserve"> of</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Schedule);</w:t>
      </w:r>
    </w:p>
    <w:p w:rsidR="008918FA" w:rsidRDefault="008918FA" w:rsidP="008918FA">
      <w:pPr>
        <w:numPr>
          <w:ilvl w:val="2"/>
          <w:numId w:val="4"/>
        </w:numPr>
        <w:tabs>
          <w:tab w:val="left" w:pos="2227"/>
        </w:tabs>
        <w:spacing w:before="116" w:line="243" w:lineRule="auto"/>
        <w:ind w:right="118" w:hanging="993"/>
        <w:rPr>
          <w:rFonts w:ascii="Arial" w:eastAsia="Arial" w:hAnsi="Arial" w:cs="Arial"/>
        </w:rPr>
      </w:pPr>
      <w:r>
        <w:rPr>
          <w:rFonts w:ascii="Arial"/>
          <w:spacing w:val="-1"/>
        </w:rPr>
        <w:t>Non-FOIA</w:t>
      </w:r>
      <w:r>
        <w:rPr>
          <w:rFonts w:ascii="Arial"/>
        </w:rPr>
        <w:t xml:space="preserve"> </w:t>
      </w:r>
      <w:r>
        <w:rPr>
          <w:rFonts w:ascii="Arial"/>
          <w:spacing w:val="61"/>
        </w:rPr>
        <w:t xml:space="preserve"> </w:t>
      </w:r>
      <w:r>
        <w:rPr>
          <w:rFonts w:ascii="Arial"/>
          <w:spacing w:val="-2"/>
        </w:rPr>
        <w:t>Public</w:t>
      </w:r>
      <w:r>
        <w:rPr>
          <w:rFonts w:ascii="Arial"/>
        </w:rPr>
        <w:t xml:space="preserve">  </w:t>
      </w:r>
      <w:r>
        <w:rPr>
          <w:rFonts w:ascii="Arial"/>
          <w:spacing w:val="1"/>
        </w:rPr>
        <w:t xml:space="preserve"> </w:t>
      </w:r>
      <w:r>
        <w:rPr>
          <w:rFonts w:ascii="Arial"/>
          <w:spacing w:val="-1"/>
        </w:rPr>
        <w:t>Bodies</w:t>
      </w:r>
      <w:r>
        <w:rPr>
          <w:rFonts w:ascii="Arial"/>
        </w:rPr>
        <w:t xml:space="preserve">  </w:t>
      </w:r>
      <w:r>
        <w:rPr>
          <w:rFonts w:ascii="Arial"/>
          <w:spacing w:val="1"/>
        </w:rPr>
        <w:t xml:space="preserve"> </w:t>
      </w:r>
      <w:r>
        <w:rPr>
          <w:rFonts w:ascii="Arial"/>
          <w:spacing w:val="-1"/>
        </w:rPr>
        <w:t>(see</w:t>
      </w:r>
      <w:r>
        <w:rPr>
          <w:rFonts w:ascii="Arial"/>
        </w:rPr>
        <w:t xml:space="preserve"> </w:t>
      </w:r>
      <w:r>
        <w:rPr>
          <w:rFonts w:ascii="Arial"/>
          <w:spacing w:val="59"/>
        </w:rPr>
        <w:t xml:space="preserve"> </w:t>
      </w:r>
      <w:r>
        <w:rPr>
          <w:rFonts w:ascii="Arial"/>
          <w:b/>
          <w:spacing w:val="-1"/>
        </w:rPr>
        <w:t>paragraph</w:t>
      </w:r>
      <w:r>
        <w:rPr>
          <w:rFonts w:ascii="Arial"/>
          <w:b/>
        </w:rPr>
        <w:t xml:space="preserve"> </w:t>
      </w:r>
      <w:r>
        <w:rPr>
          <w:rFonts w:ascii="Arial"/>
          <w:b/>
          <w:spacing w:val="60"/>
        </w:rPr>
        <w:t xml:space="preserve"> </w:t>
      </w:r>
      <w:hyperlink w:anchor="_bookmark435" w:history="1">
        <w:r>
          <w:rPr>
            <w:rFonts w:ascii="Arial"/>
            <w:b/>
            <w:spacing w:val="-1"/>
          </w:rPr>
          <w:t>4.4</w:t>
        </w:r>
      </w:hyperlink>
      <w:r>
        <w:rPr>
          <w:rFonts w:ascii="Arial"/>
          <w:b/>
        </w:rPr>
        <w:t xml:space="preserve">   </w:t>
      </w:r>
      <w:r>
        <w:rPr>
          <w:rFonts w:ascii="Arial"/>
          <w:spacing w:val="-2"/>
        </w:rPr>
        <w:t>of</w:t>
      </w:r>
      <w:r>
        <w:rPr>
          <w:rFonts w:ascii="Arial"/>
        </w:rPr>
        <w:t xml:space="preserve">   </w:t>
      </w:r>
      <w:r>
        <w:rPr>
          <w:rFonts w:ascii="Arial"/>
          <w:spacing w:val="-1"/>
        </w:rPr>
        <w:t>this</w:t>
      </w:r>
      <w:r>
        <w:rPr>
          <w:rFonts w:ascii="Arial"/>
        </w:rPr>
        <w:t xml:space="preserve">  </w:t>
      </w:r>
      <w:r>
        <w:rPr>
          <w:rFonts w:ascii="Arial"/>
          <w:spacing w:val="1"/>
        </w:rPr>
        <w:t xml:space="preserve"> </w:t>
      </w:r>
      <w:r>
        <w:rPr>
          <w:rFonts w:ascii="Arial"/>
          <w:spacing w:val="-2"/>
        </w:rPr>
        <w:t>Call</w:t>
      </w:r>
      <w:r>
        <w:rPr>
          <w:rFonts w:ascii="Arial"/>
        </w:rPr>
        <w:t xml:space="preserve"> </w:t>
      </w:r>
      <w:r>
        <w:rPr>
          <w:rFonts w:ascii="Arial"/>
          <w:spacing w:val="58"/>
        </w:rPr>
        <w:t xml:space="preserve"> </w:t>
      </w:r>
      <w:r>
        <w:rPr>
          <w:rFonts w:ascii="Arial"/>
          <w:spacing w:val="-1"/>
        </w:rPr>
        <w:t>Off</w:t>
      </w:r>
      <w:r>
        <w:rPr>
          <w:rFonts w:ascii="Arial"/>
          <w:spacing w:val="45"/>
        </w:rPr>
        <w:t xml:space="preserve"> </w:t>
      </w:r>
      <w:r>
        <w:rPr>
          <w:rFonts w:ascii="Arial"/>
          <w:spacing w:val="-1"/>
        </w:rPr>
        <w:t>Schedule);</w:t>
      </w:r>
    </w:p>
    <w:p w:rsidR="008918FA" w:rsidRDefault="008918FA" w:rsidP="008918FA">
      <w:pPr>
        <w:numPr>
          <w:ilvl w:val="2"/>
          <w:numId w:val="4"/>
        </w:numPr>
        <w:tabs>
          <w:tab w:val="left" w:pos="2226"/>
        </w:tabs>
        <w:spacing w:before="113"/>
        <w:ind w:hanging="993"/>
        <w:rPr>
          <w:rFonts w:ascii="Arial" w:eastAsia="Arial" w:hAnsi="Arial" w:cs="Arial"/>
        </w:rPr>
      </w:pPr>
      <w:r>
        <w:rPr>
          <w:rFonts w:ascii="Arial"/>
          <w:spacing w:val="-1"/>
        </w:rPr>
        <w:t>Financial</w:t>
      </w:r>
      <w:r>
        <w:rPr>
          <w:rFonts w:ascii="Arial"/>
        </w:rPr>
        <w:t xml:space="preserve"> </w:t>
      </w:r>
      <w:r>
        <w:rPr>
          <w:rFonts w:ascii="Arial"/>
          <w:spacing w:val="-1"/>
        </w:rPr>
        <w:t>Limits</w:t>
      </w:r>
      <w:r>
        <w:rPr>
          <w:rFonts w:ascii="Arial"/>
          <w:spacing w:val="1"/>
        </w:rPr>
        <w:t xml:space="preserve"> </w:t>
      </w:r>
      <w:r>
        <w:rPr>
          <w:rFonts w:ascii="Arial"/>
          <w:spacing w:val="-1"/>
        </w:rPr>
        <w:t>(see</w:t>
      </w:r>
      <w:r>
        <w:rPr>
          <w:rFonts w:ascii="Arial"/>
          <w:spacing w:val="-2"/>
        </w:rPr>
        <w:t xml:space="preserve"> </w:t>
      </w:r>
      <w:r>
        <w:rPr>
          <w:rFonts w:ascii="Arial"/>
          <w:b/>
          <w:spacing w:val="-1"/>
        </w:rPr>
        <w:t>paragraph</w:t>
      </w:r>
      <w:r>
        <w:rPr>
          <w:rFonts w:ascii="Arial"/>
          <w:b/>
          <w:spacing w:val="1"/>
        </w:rPr>
        <w:t xml:space="preserve"> </w:t>
      </w:r>
      <w:hyperlink w:anchor="_bookmark436" w:history="1">
        <w:r>
          <w:rPr>
            <w:rFonts w:ascii="Arial"/>
            <w:b/>
          </w:rPr>
          <w:t>4.5</w:t>
        </w:r>
      </w:hyperlink>
      <w:r>
        <w:rPr>
          <w:rFonts w:ascii="Arial"/>
          <w:b/>
          <w:spacing w:val="-2"/>
        </w:rPr>
        <w:t xml:space="preserve"> </w:t>
      </w:r>
      <w:r>
        <w:rPr>
          <w:rFonts w:ascii="Arial"/>
          <w:spacing w:val="-2"/>
        </w:rPr>
        <w:t>of</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2"/>
        </w:rPr>
        <w:t>Schedule).</w:t>
      </w:r>
    </w:p>
    <w:p w:rsidR="008918FA" w:rsidRDefault="008918FA" w:rsidP="008918FA">
      <w:pPr>
        <w:pStyle w:val="BodyText"/>
        <w:numPr>
          <w:ilvl w:val="1"/>
          <w:numId w:val="4"/>
        </w:numPr>
        <w:tabs>
          <w:tab w:val="left" w:pos="1029"/>
        </w:tabs>
        <w:spacing w:before="121"/>
        <w:ind w:right="116"/>
        <w:jc w:val="both"/>
      </w:pPr>
      <w:bookmarkStart w:id="517" w:name="_bookmark429"/>
      <w:bookmarkEnd w:id="517"/>
      <w:r>
        <w:t>The</w:t>
      </w:r>
      <w:r>
        <w:rPr>
          <w:spacing w:val="31"/>
        </w:rPr>
        <w:t xml:space="preserve"> </w:t>
      </w:r>
      <w:r>
        <w:rPr>
          <w:spacing w:val="-1"/>
        </w:rPr>
        <w:t>Customer</w:t>
      </w:r>
      <w:r>
        <w:rPr>
          <w:spacing w:val="33"/>
        </w:rPr>
        <w:t xml:space="preserve"> </w:t>
      </w:r>
      <w:r>
        <w:rPr>
          <w:spacing w:val="-1"/>
        </w:rPr>
        <w:t>may,</w:t>
      </w:r>
      <w:r>
        <w:rPr>
          <w:spacing w:val="33"/>
        </w:rPr>
        <w:t xml:space="preserve"> </w:t>
      </w:r>
      <w:r>
        <w:rPr>
          <w:spacing w:val="-1"/>
        </w:rPr>
        <w:t>in</w:t>
      </w:r>
      <w:r>
        <w:rPr>
          <w:spacing w:val="31"/>
        </w:rPr>
        <w:t xml:space="preserve"> </w:t>
      </w:r>
      <w:r>
        <w:t>the</w:t>
      </w:r>
      <w:r>
        <w:rPr>
          <w:spacing w:val="31"/>
        </w:rPr>
        <w:t xml:space="preserve"> </w:t>
      </w:r>
      <w:r>
        <w:rPr>
          <w:spacing w:val="-1"/>
        </w:rPr>
        <w:t>Order</w:t>
      </w:r>
      <w:r>
        <w:rPr>
          <w:spacing w:val="33"/>
        </w:rPr>
        <w:t xml:space="preserve"> </w:t>
      </w:r>
      <w:r>
        <w:rPr>
          <w:spacing w:val="-1"/>
        </w:rPr>
        <w:t>Form,</w:t>
      </w:r>
      <w:r>
        <w:rPr>
          <w:spacing w:val="34"/>
        </w:rPr>
        <w:t xml:space="preserve"> </w:t>
      </w:r>
      <w:r>
        <w:rPr>
          <w:spacing w:val="-1"/>
        </w:rPr>
        <w:t>request</w:t>
      </w:r>
      <w:r>
        <w:rPr>
          <w:spacing w:val="31"/>
        </w:rPr>
        <w:t xml:space="preserve"> </w:t>
      </w:r>
      <w:r>
        <w:t>the</w:t>
      </w:r>
      <w:r>
        <w:rPr>
          <w:spacing w:val="31"/>
        </w:rPr>
        <w:t xml:space="preserve"> </w:t>
      </w:r>
      <w:r>
        <w:rPr>
          <w:spacing w:val="-2"/>
        </w:rPr>
        <w:t>following</w:t>
      </w:r>
      <w:r>
        <w:rPr>
          <w:spacing w:val="34"/>
        </w:rPr>
        <w:t xml:space="preserve"> </w:t>
      </w:r>
      <w:r>
        <w:rPr>
          <w:spacing w:val="-1"/>
        </w:rPr>
        <w:t>Additional</w:t>
      </w:r>
      <w:r>
        <w:rPr>
          <w:spacing w:val="33"/>
        </w:rPr>
        <w:t xml:space="preserve"> </w:t>
      </w:r>
      <w:r>
        <w:rPr>
          <w:spacing w:val="-1"/>
        </w:rPr>
        <w:t>Clauses</w:t>
      </w:r>
      <w:r>
        <w:rPr>
          <w:spacing w:val="35"/>
        </w:rPr>
        <w:t xml:space="preserve"> </w:t>
      </w:r>
      <w:r>
        <w:rPr>
          <w:spacing w:val="-1"/>
        </w:rPr>
        <w:t>should</w:t>
      </w:r>
      <w:r>
        <w:t xml:space="preserve"> </w:t>
      </w:r>
      <w:r>
        <w:rPr>
          <w:spacing w:val="-2"/>
        </w:rPr>
        <w:t>apply:</w:t>
      </w:r>
    </w:p>
    <w:p w:rsidR="008918FA" w:rsidRDefault="008918FA" w:rsidP="008918FA">
      <w:pPr>
        <w:numPr>
          <w:ilvl w:val="2"/>
          <w:numId w:val="4"/>
        </w:numPr>
        <w:tabs>
          <w:tab w:val="left" w:pos="2226"/>
        </w:tabs>
        <w:spacing w:before="116"/>
        <w:ind w:hanging="993"/>
        <w:rPr>
          <w:rFonts w:ascii="Arial" w:eastAsia="Arial" w:hAnsi="Arial" w:cs="Arial"/>
        </w:rPr>
      </w:pPr>
      <w:r>
        <w:rPr>
          <w:rFonts w:ascii="Arial"/>
          <w:spacing w:val="-1"/>
        </w:rPr>
        <w:t>Security</w:t>
      </w:r>
      <w:r>
        <w:rPr>
          <w:rFonts w:ascii="Arial"/>
          <w:spacing w:val="-2"/>
        </w:rPr>
        <w:t xml:space="preserve"> </w:t>
      </w:r>
      <w:r>
        <w:rPr>
          <w:rFonts w:ascii="Arial"/>
          <w:spacing w:val="-1"/>
        </w:rPr>
        <w:t>Measures</w:t>
      </w:r>
      <w:r>
        <w:rPr>
          <w:rFonts w:ascii="Arial"/>
          <w:spacing w:val="1"/>
        </w:rPr>
        <w:t xml:space="preserve"> </w:t>
      </w:r>
      <w:r>
        <w:rPr>
          <w:rFonts w:ascii="Arial"/>
          <w:spacing w:val="-1"/>
        </w:rPr>
        <w:t>(see</w:t>
      </w:r>
      <w:r>
        <w:rPr>
          <w:rFonts w:ascii="Arial"/>
          <w:spacing w:val="-4"/>
        </w:rPr>
        <w:t xml:space="preserve"> </w:t>
      </w:r>
      <w:r>
        <w:rPr>
          <w:rFonts w:ascii="Arial"/>
          <w:b/>
          <w:spacing w:val="-1"/>
        </w:rPr>
        <w:t>paragraph</w:t>
      </w:r>
      <w:r>
        <w:rPr>
          <w:rFonts w:ascii="Arial"/>
          <w:b/>
        </w:rPr>
        <w:t xml:space="preserve"> </w:t>
      </w:r>
      <w:hyperlink w:anchor="_bookmark437" w:history="1">
        <w:r>
          <w:rPr>
            <w:rFonts w:ascii="Arial"/>
            <w:b/>
            <w:spacing w:val="-1"/>
          </w:rPr>
          <w:t>5.1</w:t>
        </w:r>
      </w:hyperlink>
      <w:r>
        <w:rPr>
          <w:rFonts w:ascii="Arial"/>
          <w:b/>
        </w:rPr>
        <w:t xml:space="preserve"> </w:t>
      </w:r>
      <w:r>
        <w:rPr>
          <w:rFonts w:ascii="Arial"/>
          <w:spacing w:val="-2"/>
        </w:rPr>
        <w:t>of</w:t>
      </w:r>
      <w:r>
        <w:rPr>
          <w:rFonts w:ascii="Arial"/>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2"/>
        </w:rPr>
        <w:t>Schedule</w:t>
      </w:r>
      <w:bookmarkStart w:id="518" w:name="_bookmark430"/>
      <w:bookmarkEnd w:id="518"/>
      <w:r>
        <w:rPr>
          <w:rFonts w:ascii="Arial"/>
          <w:spacing w:val="-2"/>
        </w:rPr>
        <w:t>);</w:t>
      </w:r>
    </w:p>
    <w:p w:rsidR="008918FA" w:rsidRDefault="008918FA" w:rsidP="008918FA">
      <w:pPr>
        <w:numPr>
          <w:ilvl w:val="2"/>
          <w:numId w:val="4"/>
        </w:numPr>
        <w:tabs>
          <w:tab w:val="left" w:pos="2226"/>
        </w:tabs>
        <w:spacing w:before="121"/>
        <w:ind w:hanging="993"/>
        <w:rPr>
          <w:rFonts w:ascii="Arial" w:eastAsia="Arial" w:hAnsi="Arial" w:cs="Arial"/>
        </w:rPr>
      </w:pPr>
      <w:r>
        <w:rPr>
          <w:rFonts w:ascii="Arial"/>
          <w:spacing w:val="-2"/>
        </w:rPr>
        <w:t>NHS</w:t>
      </w:r>
      <w:r>
        <w:rPr>
          <w:rFonts w:ascii="Arial"/>
        </w:rPr>
        <w:t xml:space="preserve"> </w:t>
      </w:r>
      <w:r>
        <w:rPr>
          <w:rFonts w:ascii="Arial"/>
          <w:spacing w:val="-1"/>
        </w:rPr>
        <w:t>Additional</w:t>
      </w:r>
      <w:r>
        <w:rPr>
          <w:rFonts w:ascii="Arial"/>
        </w:rPr>
        <w:t xml:space="preserve"> </w:t>
      </w:r>
      <w:r>
        <w:rPr>
          <w:rFonts w:ascii="Arial"/>
          <w:spacing w:val="-1"/>
        </w:rPr>
        <w:t>Clauses</w:t>
      </w:r>
      <w:r>
        <w:rPr>
          <w:rFonts w:ascii="Arial"/>
          <w:spacing w:val="1"/>
        </w:rPr>
        <w:t xml:space="preserve"> </w:t>
      </w:r>
      <w:r>
        <w:rPr>
          <w:rFonts w:ascii="Arial"/>
          <w:spacing w:val="-1"/>
        </w:rPr>
        <w:t>(see</w:t>
      </w:r>
      <w:r>
        <w:rPr>
          <w:rFonts w:ascii="Arial"/>
        </w:rPr>
        <w:t xml:space="preserve"> </w:t>
      </w:r>
      <w:r>
        <w:rPr>
          <w:rFonts w:ascii="Arial"/>
          <w:b/>
          <w:spacing w:val="-1"/>
        </w:rPr>
        <w:t>paragraph</w:t>
      </w:r>
      <w:r>
        <w:rPr>
          <w:rFonts w:ascii="Arial"/>
          <w:b/>
          <w:spacing w:val="1"/>
        </w:rPr>
        <w:t xml:space="preserve"> </w:t>
      </w:r>
      <w:hyperlink w:anchor="_bookmark448" w:history="1">
        <w:r>
          <w:rPr>
            <w:rFonts w:ascii="Arial"/>
            <w:b/>
            <w:spacing w:val="-1"/>
          </w:rPr>
          <w:t>6.1</w:t>
        </w:r>
      </w:hyperlink>
      <w:r>
        <w:rPr>
          <w:rFonts w:ascii="Arial"/>
          <w:b/>
          <w:spacing w:val="-2"/>
        </w:rPr>
        <w:t xml:space="preserve"> </w:t>
      </w:r>
      <w:r>
        <w:rPr>
          <w:rFonts w:ascii="Arial"/>
          <w:spacing w:val="-2"/>
        </w:rPr>
        <w:t>of</w:t>
      </w:r>
      <w:r>
        <w:rPr>
          <w:rFonts w:ascii="Arial"/>
          <w:spacing w:val="2"/>
        </w:rPr>
        <w:t xml:space="preserve"> </w:t>
      </w:r>
      <w:r>
        <w:rPr>
          <w:rFonts w:ascii="Arial"/>
          <w:spacing w:val="-1"/>
        </w:rPr>
        <w:t>this</w:t>
      </w:r>
      <w:r>
        <w:rPr>
          <w:rFonts w:ascii="Arial"/>
          <w:spacing w:val="1"/>
        </w:rPr>
        <w:t xml:space="preserve"> </w:t>
      </w:r>
      <w:r>
        <w:rPr>
          <w:rFonts w:ascii="Arial"/>
          <w:spacing w:val="-2"/>
        </w:rPr>
        <w:t>Call</w:t>
      </w:r>
      <w:r>
        <w:rPr>
          <w:rFonts w:ascii="Arial"/>
        </w:rPr>
        <w:t xml:space="preserve"> </w:t>
      </w:r>
      <w:r>
        <w:rPr>
          <w:rFonts w:ascii="Arial"/>
          <w:spacing w:val="-1"/>
        </w:rPr>
        <w:t>Off</w:t>
      </w:r>
      <w:r>
        <w:rPr>
          <w:rFonts w:ascii="Arial"/>
          <w:spacing w:val="2"/>
        </w:rPr>
        <w:t xml:space="preserve"> </w:t>
      </w:r>
      <w:r>
        <w:rPr>
          <w:rFonts w:ascii="Arial"/>
          <w:spacing w:val="-1"/>
        </w:rPr>
        <w:t>Schedule)</w:t>
      </w:r>
    </w:p>
    <w:p w:rsidR="008918FA" w:rsidRDefault="008918FA" w:rsidP="008918FA">
      <w:pPr>
        <w:numPr>
          <w:ilvl w:val="2"/>
          <w:numId w:val="4"/>
        </w:numPr>
        <w:tabs>
          <w:tab w:val="left" w:pos="2226"/>
        </w:tabs>
        <w:spacing w:before="119" w:line="252" w:lineRule="exact"/>
        <w:ind w:hanging="993"/>
        <w:rPr>
          <w:rFonts w:ascii="Arial" w:eastAsia="Arial" w:hAnsi="Arial" w:cs="Arial"/>
        </w:rPr>
      </w:pPr>
      <w:r>
        <w:rPr>
          <w:rFonts w:ascii="Arial" w:eastAsia="Arial" w:hAnsi="Arial" w:cs="Arial"/>
          <w:spacing w:val="-1"/>
        </w:rPr>
        <w:t>MOD</w:t>
      </w:r>
      <w:r>
        <w:rPr>
          <w:rFonts w:ascii="Arial" w:eastAsia="Arial" w:hAnsi="Arial" w:cs="Arial"/>
          <w:spacing w:val="31"/>
        </w:rPr>
        <w:t xml:space="preserve"> </w:t>
      </w:r>
      <w:r>
        <w:rPr>
          <w:rFonts w:ascii="Arial" w:eastAsia="Arial" w:hAnsi="Arial" w:cs="Arial"/>
          <w:spacing w:val="-1"/>
        </w:rPr>
        <w:t>(</w:t>
      </w:r>
      <w:r>
        <w:rPr>
          <w:rFonts w:ascii="Arial" w:eastAsia="Arial" w:hAnsi="Arial" w:cs="Arial"/>
          <w:b/>
          <w:bCs/>
          <w:spacing w:val="-1"/>
        </w:rPr>
        <w:t>“Ministry</w:t>
      </w:r>
      <w:r>
        <w:rPr>
          <w:rFonts w:ascii="Arial" w:eastAsia="Arial" w:hAnsi="Arial" w:cs="Arial"/>
          <w:b/>
          <w:bCs/>
          <w:spacing w:val="27"/>
        </w:rPr>
        <w:t xml:space="preserve"> </w:t>
      </w:r>
      <w:r>
        <w:rPr>
          <w:rFonts w:ascii="Arial" w:eastAsia="Arial" w:hAnsi="Arial" w:cs="Arial"/>
          <w:b/>
          <w:bCs/>
          <w:spacing w:val="-1"/>
        </w:rPr>
        <w:t>of</w:t>
      </w:r>
      <w:r>
        <w:rPr>
          <w:rFonts w:ascii="Arial" w:eastAsia="Arial" w:hAnsi="Arial" w:cs="Arial"/>
          <w:b/>
          <w:bCs/>
          <w:spacing w:val="33"/>
        </w:rPr>
        <w:t xml:space="preserve"> </w:t>
      </w:r>
      <w:r>
        <w:rPr>
          <w:rFonts w:ascii="Arial" w:eastAsia="Arial" w:hAnsi="Arial" w:cs="Arial"/>
          <w:b/>
          <w:bCs/>
          <w:spacing w:val="-1"/>
        </w:rPr>
        <w:t>Defence</w:t>
      </w:r>
      <w:r>
        <w:rPr>
          <w:rFonts w:ascii="Arial" w:eastAsia="Arial" w:hAnsi="Arial" w:cs="Arial"/>
          <w:spacing w:val="-1"/>
        </w:rPr>
        <w:t>”)</w:t>
      </w:r>
      <w:r>
        <w:rPr>
          <w:rFonts w:ascii="Arial" w:eastAsia="Arial" w:hAnsi="Arial" w:cs="Arial"/>
          <w:spacing w:val="33"/>
        </w:rPr>
        <w:t xml:space="preserve"> </w:t>
      </w:r>
      <w:r>
        <w:rPr>
          <w:rFonts w:ascii="Arial" w:eastAsia="Arial" w:hAnsi="Arial" w:cs="Arial"/>
          <w:spacing w:val="-1"/>
        </w:rPr>
        <w:t>Additional</w:t>
      </w:r>
      <w:r>
        <w:rPr>
          <w:rFonts w:ascii="Arial" w:eastAsia="Arial" w:hAnsi="Arial" w:cs="Arial"/>
          <w:spacing w:val="31"/>
        </w:rPr>
        <w:t xml:space="preserve"> </w:t>
      </w:r>
      <w:r>
        <w:rPr>
          <w:rFonts w:ascii="Arial" w:eastAsia="Arial" w:hAnsi="Arial" w:cs="Arial"/>
          <w:spacing w:val="-1"/>
        </w:rPr>
        <w:t>or</w:t>
      </w:r>
      <w:r>
        <w:rPr>
          <w:rFonts w:ascii="Arial" w:eastAsia="Arial" w:hAnsi="Arial" w:cs="Arial"/>
          <w:spacing w:val="33"/>
        </w:rPr>
        <w:t xml:space="preserve"> </w:t>
      </w:r>
      <w:r>
        <w:rPr>
          <w:rFonts w:ascii="Arial" w:eastAsia="Arial" w:hAnsi="Arial" w:cs="Arial"/>
          <w:spacing w:val="-2"/>
        </w:rPr>
        <w:t>Alternative</w:t>
      </w:r>
      <w:r>
        <w:rPr>
          <w:rFonts w:ascii="Arial" w:eastAsia="Arial" w:hAnsi="Arial" w:cs="Arial"/>
          <w:spacing w:val="31"/>
        </w:rPr>
        <w:t xml:space="preserve"> </w:t>
      </w:r>
      <w:r>
        <w:rPr>
          <w:rFonts w:ascii="Arial" w:eastAsia="Arial" w:hAnsi="Arial" w:cs="Arial"/>
          <w:spacing w:val="-1"/>
        </w:rPr>
        <w:t>Clauses</w:t>
      </w:r>
      <w:r>
        <w:rPr>
          <w:rFonts w:ascii="Arial" w:eastAsia="Arial" w:hAnsi="Arial" w:cs="Arial"/>
          <w:spacing w:val="34"/>
        </w:rPr>
        <w:t xml:space="preserve"> </w:t>
      </w:r>
      <w:r>
        <w:rPr>
          <w:rFonts w:ascii="Arial" w:eastAsia="Arial" w:hAnsi="Arial" w:cs="Arial"/>
          <w:spacing w:val="-1"/>
        </w:rPr>
        <w:t>(see</w:t>
      </w:r>
    </w:p>
    <w:p w:rsidR="008918FA" w:rsidRDefault="008918FA" w:rsidP="008918FA">
      <w:pPr>
        <w:spacing w:line="252" w:lineRule="exact"/>
        <w:ind w:left="2225"/>
        <w:rPr>
          <w:rFonts w:ascii="Arial" w:eastAsia="Arial" w:hAnsi="Arial" w:cs="Arial"/>
        </w:rPr>
      </w:pPr>
      <w:r>
        <w:rPr>
          <w:rFonts w:ascii="Arial"/>
          <w:b/>
          <w:spacing w:val="-1"/>
        </w:rPr>
        <w:t>paragrap</w:t>
      </w:r>
      <w:hyperlink w:anchor="_bookmark451" w:history="1">
        <w:r>
          <w:rPr>
            <w:rFonts w:ascii="Arial"/>
            <w:b/>
            <w:spacing w:val="-1"/>
          </w:rPr>
          <w:t>h</w:t>
        </w:r>
        <w:r>
          <w:rPr>
            <w:rFonts w:ascii="Arial"/>
            <w:b/>
          </w:rPr>
          <w:t xml:space="preserve"> 7</w:t>
        </w:r>
      </w:hyperlink>
      <w:r>
        <w:rPr>
          <w:rFonts w:ascii="Arial"/>
          <w:b/>
          <w:spacing w:val="-2"/>
        </w:rPr>
        <w:t xml:space="preserve"> </w:t>
      </w:r>
      <w:r>
        <w:rPr>
          <w:rFonts w:ascii="Arial"/>
          <w:spacing w:val="-2"/>
        </w:rPr>
        <w:t>of</w:t>
      </w:r>
      <w:r>
        <w:rPr>
          <w:rFonts w:ascii="Arial"/>
          <w:spacing w:val="2"/>
        </w:rPr>
        <w:t xml:space="preserve"> </w:t>
      </w:r>
      <w:r>
        <w:rPr>
          <w:rFonts w:ascii="Arial"/>
          <w:spacing w:val="-1"/>
        </w:rPr>
        <w:t>this</w:t>
      </w:r>
      <w:r>
        <w:rPr>
          <w:rFonts w:ascii="Arial"/>
          <w:spacing w:val="-2"/>
        </w:rPr>
        <w:t xml:space="preserve"> Call</w:t>
      </w:r>
      <w:r>
        <w:rPr>
          <w:rFonts w:ascii="Arial"/>
        </w:rPr>
        <w:t xml:space="preserve"> </w:t>
      </w:r>
      <w:r>
        <w:rPr>
          <w:rFonts w:ascii="Arial"/>
          <w:spacing w:val="-1"/>
        </w:rPr>
        <w:t>Off</w:t>
      </w:r>
      <w:r>
        <w:rPr>
          <w:rFonts w:ascii="Arial"/>
          <w:spacing w:val="2"/>
        </w:rPr>
        <w:t xml:space="preserve"> </w:t>
      </w:r>
      <w:r>
        <w:rPr>
          <w:rFonts w:ascii="Arial"/>
          <w:spacing w:val="-1"/>
        </w:rPr>
        <w:t>Schedule)</w:t>
      </w:r>
    </w:p>
    <w:p w:rsidR="008918FA" w:rsidRDefault="008918FA" w:rsidP="008918FA">
      <w:pPr>
        <w:pStyle w:val="BodyText"/>
        <w:numPr>
          <w:ilvl w:val="0"/>
          <w:numId w:val="4"/>
        </w:numPr>
        <w:tabs>
          <w:tab w:val="left" w:pos="666"/>
        </w:tabs>
        <w:spacing w:before="122"/>
        <w:ind w:left="665"/>
        <w:jc w:val="left"/>
        <w:rPr>
          <w:rFonts w:ascii="Times New Roman" w:eastAsia="Times New Roman" w:hAnsi="Times New Roman" w:cs="Times New Roman"/>
        </w:rPr>
      </w:pPr>
      <w:r>
        <w:rPr>
          <w:rFonts w:ascii="Times New Roman"/>
          <w:spacing w:val="-8"/>
        </w:rPr>
        <w:t>IMP</w:t>
      </w:r>
      <w:r>
        <w:rPr>
          <w:rFonts w:ascii="Times New Roman"/>
          <w:spacing w:val="-32"/>
        </w:rPr>
        <w:t xml:space="preserve"> </w:t>
      </w:r>
      <w:r>
        <w:rPr>
          <w:rFonts w:ascii="Times New Roman"/>
        </w:rPr>
        <w:t>LEMENTATION</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4"/>
        </w:numPr>
        <w:tabs>
          <w:tab w:val="left" w:pos="1028"/>
        </w:tabs>
        <w:spacing w:before="0"/>
        <w:ind w:left="1027" w:right="115"/>
        <w:jc w:val="both"/>
      </w:pPr>
      <w:r>
        <w:t>The</w:t>
      </w:r>
      <w:r>
        <w:rPr>
          <w:spacing w:val="27"/>
        </w:rPr>
        <w:t xml:space="preserve"> </w:t>
      </w:r>
      <w:r>
        <w:rPr>
          <w:spacing w:val="-1"/>
        </w:rPr>
        <w:t>appropriate</w:t>
      </w:r>
      <w:r>
        <w:rPr>
          <w:spacing w:val="27"/>
        </w:rPr>
        <w:t xml:space="preserve"> </w:t>
      </w:r>
      <w:r>
        <w:rPr>
          <w:spacing w:val="-1"/>
        </w:rPr>
        <w:t>changes</w:t>
      </w:r>
      <w:r>
        <w:rPr>
          <w:spacing w:val="27"/>
        </w:rPr>
        <w:t xml:space="preserve"> </w:t>
      </w:r>
      <w:r>
        <w:rPr>
          <w:spacing w:val="-2"/>
        </w:rPr>
        <w:t>have</w:t>
      </w:r>
      <w:r>
        <w:rPr>
          <w:spacing w:val="27"/>
        </w:rPr>
        <w:t xml:space="preserve"> </w:t>
      </w:r>
      <w:r>
        <w:rPr>
          <w:spacing w:val="-1"/>
        </w:rPr>
        <w:t>been</w:t>
      </w:r>
      <w:r>
        <w:rPr>
          <w:spacing w:val="27"/>
        </w:rPr>
        <w:t xml:space="preserve"> </w:t>
      </w:r>
      <w:r>
        <w:rPr>
          <w:spacing w:val="-1"/>
        </w:rPr>
        <w:t>made</w:t>
      </w:r>
      <w:r>
        <w:rPr>
          <w:spacing w:val="27"/>
        </w:rPr>
        <w:t xml:space="preserve"> </w:t>
      </w:r>
      <w:r>
        <w:rPr>
          <w:spacing w:val="-1"/>
        </w:rPr>
        <w:t>in</w:t>
      </w:r>
      <w:r>
        <w:rPr>
          <w:spacing w:val="27"/>
        </w:rPr>
        <w:t xml:space="preserve"> </w:t>
      </w:r>
      <w:r>
        <w:rPr>
          <w:spacing w:val="-1"/>
        </w:rPr>
        <w:t>this</w:t>
      </w:r>
      <w:r>
        <w:rPr>
          <w:spacing w:val="27"/>
        </w:rPr>
        <w:t xml:space="preserve"> </w:t>
      </w:r>
      <w:r>
        <w:rPr>
          <w:spacing w:val="-2"/>
        </w:rPr>
        <w:t>Call</w:t>
      </w:r>
      <w:r>
        <w:rPr>
          <w:spacing w:val="26"/>
        </w:rPr>
        <w:t xml:space="preserve"> </w:t>
      </w:r>
      <w:r>
        <w:t>Off</w:t>
      </w:r>
      <w:r>
        <w:rPr>
          <w:spacing w:val="28"/>
        </w:rPr>
        <w:t xml:space="preserve"> </w:t>
      </w:r>
      <w:r>
        <w:rPr>
          <w:spacing w:val="-1"/>
        </w:rPr>
        <w:t>Contract</w:t>
      </w:r>
      <w:r>
        <w:rPr>
          <w:spacing w:val="26"/>
        </w:rPr>
        <w:t xml:space="preserve"> </w:t>
      </w:r>
      <w:r>
        <w:t>to</w:t>
      </w:r>
      <w:r>
        <w:rPr>
          <w:spacing w:val="27"/>
        </w:rPr>
        <w:t xml:space="preserve"> </w:t>
      </w:r>
      <w:r>
        <w:rPr>
          <w:spacing w:val="-2"/>
        </w:rPr>
        <w:t>implement</w:t>
      </w:r>
      <w:r>
        <w:rPr>
          <w:spacing w:val="51"/>
        </w:rPr>
        <w:t xml:space="preserve"> </w:t>
      </w:r>
      <w:r>
        <w:t>the</w:t>
      </w:r>
      <w:r>
        <w:rPr>
          <w:spacing w:val="8"/>
        </w:rPr>
        <w:t xml:space="preserve"> </w:t>
      </w:r>
      <w:r>
        <w:rPr>
          <w:spacing w:val="-1"/>
        </w:rPr>
        <w:t>Alternative</w:t>
      </w:r>
      <w:r>
        <w:rPr>
          <w:spacing w:val="7"/>
        </w:rPr>
        <w:t xml:space="preserve"> </w:t>
      </w:r>
      <w:r>
        <w:rPr>
          <w:spacing w:val="-1"/>
        </w:rPr>
        <w:t>and/or</w:t>
      </w:r>
      <w:r>
        <w:rPr>
          <w:spacing w:val="9"/>
        </w:rPr>
        <w:t xml:space="preserve"> </w:t>
      </w:r>
      <w:r>
        <w:rPr>
          <w:spacing w:val="-1"/>
        </w:rPr>
        <w:t>Additional</w:t>
      </w:r>
      <w:r>
        <w:rPr>
          <w:spacing w:val="7"/>
        </w:rPr>
        <w:t xml:space="preserve"> </w:t>
      </w:r>
      <w:r>
        <w:rPr>
          <w:spacing w:val="-1"/>
        </w:rPr>
        <w:t>Clauses</w:t>
      </w:r>
      <w:r>
        <w:rPr>
          <w:spacing w:val="9"/>
        </w:rPr>
        <w:t xml:space="preserve"> </w:t>
      </w:r>
      <w:r>
        <w:rPr>
          <w:spacing w:val="-1"/>
        </w:rPr>
        <w:t>specified</w:t>
      </w:r>
      <w:r>
        <w:rPr>
          <w:spacing w:val="7"/>
        </w:rPr>
        <w:t xml:space="preserve"> </w:t>
      </w:r>
      <w:r>
        <w:rPr>
          <w:spacing w:val="-1"/>
        </w:rPr>
        <w:t>in</w:t>
      </w:r>
      <w:r>
        <w:rPr>
          <w:spacing w:val="7"/>
        </w:rPr>
        <w:t xml:space="preserve"> </w:t>
      </w:r>
      <w:r>
        <w:rPr>
          <w:spacing w:val="-1"/>
        </w:rPr>
        <w:t>paragraph</w:t>
      </w:r>
      <w:r>
        <w:rPr>
          <w:spacing w:val="7"/>
        </w:rPr>
        <w:t xml:space="preserve"> </w:t>
      </w:r>
      <w:hyperlink w:anchor="_bookmark428" w:history="1">
        <w:r>
          <w:t>2.1</w:t>
        </w:r>
      </w:hyperlink>
      <w:r>
        <w:rPr>
          <w:spacing w:val="9"/>
        </w:rPr>
        <w:t xml:space="preserve"> </w:t>
      </w:r>
      <w:r>
        <w:rPr>
          <w:spacing w:val="-2"/>
        </w:rPr>
        <w:t>of</w:t>
      </w:r>
      <w:r>
        <w:rPr>
          <w:spacing w:val="9"/>
        </w:rPr>
        <w:t xml:space="preserve"> </w:t>
      </w:r>
      <w:r>
        <w:rPr>
          <w:spacing w:val="-1"/>
        </w:rPr>
        <w:t>this</w:t>
      </w:r>
      <w:r>
        <w:rPr>
          <w:spacing w:val="8"/>
        </w:rPr>
        <w:t xml:space="preserve"> </w:t>
      </w:r>
      <w:r>
        <w:rPr>
          <w:spacing w:val="-2"/>
        </w:rPr>
        <w:t>Call</w:t>
      </w:r>
      <w:r>
        <w:rPr>
          <w:spacing w:val="7"/>
        </w:rPr>
        <w:t xml:space="preserve"> </w:t>
      </w:r>
      <w:r>
        <w:rPr>
          <w:spacing w:val="-1"/>
        </w:rPr>
        <w:t>Off</w:t>
      </w:r>
      <w:r>
        <w:rPr>
          <w:spacing w:val="53"/>
        </w:rPr>
        <w:t xml:space="preserve"> </w:t>
      </w:r>
      <w:r>
        <w:rPr>
          <w:spacing w:val="-1"/>
        </w:rPr>
        <w:t>Schedule</w:t>
      </w:r>
      <w:r>
        <w:rPr>
          <w:spacing w:val="1"/>
        </w:rPr>
        <w:t xml:space="preserve"> </w:t>
      </w:r>
      <w:r>
        <w:rPr>
          <w:spacing w:val="-1"/>
        </w:rPr>
        <w:t>and</w:t>
      </w:r>
      <w:r>
        <w:rPr>
          <w:spacing w:val="17"/>
        </w:rPr>
        <w:t xml:space="preserve"> </w:t>
      </w:r>
      <w:r>
        <w:t>the</w:t>
      </w:r>
      <w:r>
        <w:rPr>
          <w:spacing w:val="17"/>
        </w:rPr>
        <w:t xml:space="preserve"> </w:t>
      </w:r>
      <w:r>
        <w:rPr>
          <w:spacing w:val="-2"/>
        </w:rPr>
        <w:t>Additional</w:t>
      </w:r>
      <w:r>
        <w:rPr>
          <w:spacing w:val="17"/>
        </w:rPr>
        <w:t xml:space="preserve"> </w:t>
      </w:r>
      <w:r>
        <w:rPr>
          <w:spacing w:val="-1"/>
        </w:rPr>
        <w:t>Clauses</w:t>
      </w:r>
      <w:r>
        <w:rPr>
          <w:spacing w:val="18"/>
        </w:rPr>
        <w:t xml:space="preserve"> </w:t>
      </w:r>
      <w:r>
        <w:rPr>
          <w:spacing w:val="-1"/>
        </w:rPr>
        <w:t>specified</w:t>
      </w:r>
      <w:r>
        <w:rPr>
          <w:spacing w:val="17"/>
        </w:rPr>
        <w:t xml:space="preserve"> </w:t>
      </w:r>
      <w:r>
        <w:rPr>
          <w:spacing w:val="-2"/>
        </w:rPr>
        <w:t>in</w:t>
      </w:r>
      <w:r>
        <w:rPr>
          <w:spacing w:val="17"/>
        </w:rPr>
        <w:t xml:space="preserve"> </w:t>
      </w:r>
      <w:r>
        <w:rPr>
          <w:spacing w:val="-1"/>
        </w:rPr>
        <w:t>paragraphs</w:t>
      </w:r>
      <w:r>
        <w:rPr>
          <w:spacing w:val="20"/>
        </w:rPr>
        <w:t xml:space="preserve"> </w:t>
      </w:r>
      <w:hyperlink w:anchor="_bookmark429" w:history="1">
        <w:r>
          <w:rPr>
            <w:spacing w:val="-1"/>
          </w:rPr>
          <w:t>2.2</w:t>
        </w:r>
      </w:hyperlink>
      <w:r>
        <w:rPr>
          <w:spacing w:val="17"/>
        </w:rPr>
        <w:t xml:space="preserve"> </w:t>
      </w:r>
      <w:r>
        <w:rPr>
          <w:spacing w:val="-1"/>
        </w:rPr>
        <w:t>and</w:t>
      </w:r>
      <w:r>
        <w:rPr>
          <w:spacing w:val="17"/>
        </w:rPr>
        <w:t xml:space="preserve"> </w:t>
      </w:r>
      <w:hyperlink w:anchor="_bookmark430" w:history="1">
        <w:r>
          <w:rPr>
            <w:spacing w:val="-1"/>
          </w:rPr>
          <w:t>2.2.1</w:t>
        </w:r>
      </w:hyperlink>
      <w:r>
        <w:rPr>
          <w:spacing w:val="17"/>
        </w:rPr>
        <w:t xml:space="preserve"> </w:t>
      </w:r>
      <w:r>
        <w:rPr>
          <w:spacing w:val="-2"/>
        </w:rPr>
        <w:t>of</w:t>
      </w:r>
      <w:r>
        <w:rPr>
          <w:spacing w:val="19"/>
        </w:rPr>
        <w:t xml:space="preserve"> </w:t>
      </w:r>
      <w:r>
        <w:rPr>
          <w:spacing w:val="-1"/>
        </w:rPr>
        <w:t>this</w:t>
      </w:r>
      <w:r>
        <w:rPr>
          <w:spacing w:val="51"/>
        </w:rPr>
        <w:t xml:space="preserve"> </w:t>
      </w:r>
      <w:r>
        <w:rPr>
          <w:spacing w:val="-2"/>
        </w:rPr>
        <w:t>Call</w:t>
      </w:r>
      <w:r>
        <w:t xml:space="preserve"> </w:t>
      </w:r>
      <w:r>
        <w:rPr>
          <w:spacing w:val="-1"/>
        </w:rPr>
        <w:t>Off</w:t>
      </w:r>
      <w:r>
        <w:rPr>
          <w:spacing w:val="2"/>
        </w:rPr>
        <w:t xml:space="preserve"> </w:t>
      </w:r>
      <w:r>
        <w:rPr>
          <w:spacing w:val="-1"/>
        </w:rPr>
        <w:t>Schedule</w:t>
      </w:r>
      <w:r>
        <w:t xml:space="preserve"> </w:t>
      </w:r>
      <w:r>
        <w:rPr>
          <w:spacing w:val="-1"/>
        </w:rPr>
        <w:t>shall</w:t>
      </w:r>
      <w:r>
        <w:t xml:space="preserve"> </w:t>
      </w:r>
      <w:r>
        <w:rPr>
          <w:spacing w:val="-2"/>
        </w:rPr>
        <w:t>be</w:t>
      </w:r>
      <w:r>
        <w:t xml:space="preserve"> </w:t>
      </w:r>
      <w:r>
        <w:rPr>
          <w:spacing w:val="-1"/>
        </w:rPr>
        <w:t>deemed</w:t>
      </w:r>
      <w:r>
        <w:rPr>
          <w:spacing w:val="-2"/>
        </w:rPr>
        <w:t xml:space="preserve"> </w:t>
      </w:r>
      <w:r>
        <w:t>to</w:t>
      </w:r>
      <w:r>
        <w:rPr>
          <w:spacing w:val="-2"/>
        </w:rPr>
        <w:t xml:space="preserve"> </w:t>
      </w:r>
      <w:r>
        <w:rPr>
          <w:spacing w:val="-1"/>
        </w:rPr>
        <w:t>be</w:t>
      </w:r>
      <w:r>
        <w:t xml:space="preserve"> </w:t>
      </w:r>
      <w:r>
        <w:rPr>
          <w:spacing w:val="-1"/>
        </w:rPr>
        <w:t>incorporated</w:t>
      </w:r>
      <w:r>
        <w:t xml:space="preserve"> </w:t>
      </w:r>
      <w:r>
        <w:rPr>
          <w:spacing w:val="-1"/>
        </w:rPr>
        <w:t>into</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p>
    <w:p w:rsidR="008918FA" w:rsidRDefault="008918FA" w:rsidP="008918FA">
      <w:pPr>
        <w:pStyle w:val="BodyText"/>
        <w:numPr>
          <w:ilvl w:val="0"/>
          <w:numId w:val="4"/>
        </w:numPr>
        <w:tabs>
          <w:tab w:val="left" w:pos="666"/>
        </w:tabs>
        <w:spacing w:before="120"/>
        <w:ind w:left="665"/>
        <w:jc w:val="left"/>
        <w:rPr>
          <w:rFonts w:ascii="Times New Roman" w:eastAsia="Times New Roman" w:hAnsi="Times New Roman" w:cs="Times New Roman"/>
        </w:rPr>
      </w:pPr>
      <w:r>
        <w:rPr>
          <w:rFonts w:ascii="Times New Roman"/>
          <w:spacing w:val="-1"/>
        </w:rPr>
        <w:t>ALTERNATIVE</w:t>
      </w:r>
      <w:r>
        <w:rPr>
          <w:rFonts w:ascii="Times New Roman"/>
          <w:spacing w:val="18"/>
        </w:rPr>
        <w:t xml:space="preserve"> </w:t>
      </w:r>
      <w:r>
        <w:rPr>
          <w:rFonts w:ascii="Times New Roman"/>
          <w:spacing w:val="1"/>
        </w:rPr>
        <w:t>CLAUS</w:t>
      </w:r>
      <w:r>
        <w:rPr>
          <w:rFonts w:ascii="Times New Roman"/>
          <w:spacing w:val="-29"/>
        </w:rPr>
        <w:t xml:space="preserve"> </w:t>
      </w:r>
      <w:r>
        <w:rPr>
          <w:rFonts w:ascii="Times New Roman"/>
          <w:spacing w:val="5"/>
        </w:rPr>
        <w:t>ES</w:t>
      </w:r>
    </w:p>
    <w:p w:rsidR="008918FA" w:rsidRDefault="008918FA" w:rsidP="008918FA">
      <w:pPr>
        <w:spacing w:before="8"/>
        <w:rPr>
          <w:rFonts w:ascii="Times New Roman" w:eastAsia="Times New Roman" w:hAnsi="Times New Roman" w:cs="Times New Roman"/>
          <w:sz w:val="20"/>
          <w:szCs w:val="20"/>
        </w:rPr>
      </w:pPr>
    </w:p>
    <w:p w:rsidR="008918FA" w:rsidRDefault="008918FA" w:rsidP="008918FA">
      <w:pPr>
        <w:pStyle w:val="Heading1"/>
        <w:numPr>
          <w:ilvl w:val="1"/>
          <w:numId w:val="4"/>
        </w:numPr>
        <w:tabs>
          <w:tab w:val="left" w:pos="1028"/>
        </w:tabs>
        <w:spacing w:before="0"/>
        <w:ind w:left="1027"/>
        <w:rPr>
          <w:b w:val="0"/>
          <w:bCs w:val="0"/>
        </w:rPr>
      </w:pPr>
      <w:bookmarkStart w:id="519" w:name="_bookmark431"/>
      <w:bookmarkEnd w:id="519"/>
      <w:r>
        <w:rPr>
          <w:spacing w:val="-1"/>
        </w:rPr>
        <w:t>SCOTS</w:t>
      </w:r>
      <w:r>
        <w:t xml:space="preserve"> </w:t>
      </w:r>
      <w:r>
        <w:rPr>
          <w:spacing w:val="-2"/>
        </w:rPr>
        <w:t>LAW</w:t>
      </w:r>
    </w:p>
    <w:p w:rsidR="008918FA" w:rsidRDefault="008918FA" w:rsidP="008918FA">
      <w:pPr>
        <w:pStyle w:val="BodyText"/>
        <w:numPr>
          <w:ilvl w:val="2"/>
          <w:numId w:val="4"/>
        </w:numPr>
        <w:tabs>
          <w:tab w:val="left" w:pos="2226"/>
        </w:tabs>
        <w:spacing w:before="124"/>
      </w:pPr>
      <w:r>
        <w:rPr>
          <w:spacing w:val="-1"/>
        </w:rPr>
        <w:t>Law</w:t>
      </w:r>
      <w:r>
        <w:rPr>
          <w:spacing w:val="-3"/>
        </w:rPr>
        <w:t xml:space="preserve"> </w:t>
      </w:r>
      <w:r>
        <w:rPr>
          <w:spacing w:val="-1"/>
        </w:rPr>
        <w:t>and</w:t>
      </w:r>
      <w:r>
        <w:t xml:space="preserve"> </w:t>
      </w:r>
      <w:r>
        <w:rPr>
          <w:spacing w:val="-1"/>
        </w:rPr>
        <w:t>Jurisdiction</w:t>
      </w:r>
      <w:r>
        <w:t xml:space="preserve"> </w:t>
      </w:r>
      <w:r>
        <w:rPr>
          <w:spacing w:val="-2"/>
        </w:rPr>
        <w:t>(Clause</w:t>
      </w:r>
      <w:r>
        <w:rPr>
          <w:spacing w:val="2"/>
        </w:rPr>
        <w:t xml:space="preserve"> </w:t>
      </w:r>
      <w:hyperlink w:anchor="_bookmark280" w:history="1">
        <w:r>
          <w:rPr>
            <w:spacing w:val="-1"/>
          </w:rPr>
          <w:t>57</w:t>
        </w:r>
      </w:hyperlink>
      <w:r>
        <w:rPr>
          <w:spacing w:val="-1"/>
        </w:rPr>
        <w:t>)</w:t>
      </w:r>
    </w:p>
    <w:p w:rsidR="008918FA" w:rsidRDefault="008918FA" w:rsidP="008918FA">
      <w:pPr>
        <w:pStyle w:val="BodyText"/>
        <w:numPr>
          <w:ilvl w:val="3"/>
          <w:numId w:val="4"/>
        </w:numPr>
        <w:tabs>
          <w:tab w:val="left" w:pos="2934"/>
        </w:tabs>
        <w:ind w:right="114"/>
        <w:jc w:val="both"/>
      </w:pPr>
      <w:bookmarkStart w:id="520" w:name="_bookmark432"/>
      <w:bookmarkEnd w:id="520"/>
      <w:r>
        <w:rPr>
          <w:spacing w:val="-1"/>
        </w:rPr>
        <w:t>References</w:t>
      </w:r>
      <w:r>
        <w:rPr>
          <w:spacing w:val="3"/>
        </w:rPr>
        <w:t xml:space="preserve"> </w:t>
      </w:r>
      <w:r>
        <w:t>to</w:t>
      </w:r>
      <w:r>
        <w:rPr>
          <w:spacing w:val="5"/>
        </w:rPr>
        <w:t xml:space="preserve"> </w:t>
      </w:r>
      <w:r>
        <w:rPr>
          <w:spacing w:val="-1"/>
        </w:rPr>
        <w:t>“England</w:t>
      </w:r>
      <w:r>
        <w:rPr>
          <w:spacing w:val="5"/>
        </w:rPr>
        <w:t xml:space="preserve"> </w:t>
      </w:r>
      <w:r>
        <w:rPr>
          <w:spacing w:val="-1"/>
        </w:rPr>
        <w:t>and</w:t>
      </w:r>
      <w:r>
        <w:t xml:space="preserve"> Wales”</w:t>
      </w:r>
      <w:r>
        <w:rPr>
          <w:spacing w:val="6"/>
        </w:rPr>
        <w:t xml:space="preserve"> </w:t>
      </w:r>
      <w:r>
        <w:rPr>
          <w:spacing w:val="-1"/>
        </w:rPr>
        <w:t>in</w:t>
      </w:r>
      <w:r>
        <w:rPr>
          <w:spacing w:val="5"/>
        </w:rPr>
        <w:t xml:space="preserve"> </w:t>
      </w:r>
      <w:r>
        <w:t>the</w:t>
      </w:r>
      <w:r>
        <w:rPr>
          <w:spacing w:val="5"/>
        </w:rPr>
        <w:t xml:space="preserve"> </w:t>
      </w:r>
      <w:r>
        <w:rPr>
          <w:spacing w:val="-1"/>
        </w:rPr>
        <w:t>original</w:t>
      </w:r>
      <w:r>
        <w:rPr>
          <w:spacing w:val="4"/>
        </w:rPr>
        <w:t xml:space="preserve"> </w:t>
      </w:r>
      <w:r>
        <w:rPr>
          <w:spacing w:val="-2"/>
        </w:rPr>
        <w:t>Clause</w:t>
      </w:r>
      <w:r>
        <w:rPr>
          <w:spacing w:val="7"/>
        </w:rPr>
        <w:t xml:space="preserve"> </w:t>
      </w:r>
      <w:hyperlink w:anchor="_bookmark280" w:history="1">
        <w:r>
          <w:rPr>
            <w:spacing w:val="-1"/>
          </w:rPr>
          <w:t>57</w:t>
        </w:r>
      </w:hyperlink>
      <w:r>
        <w:rPr>
          <w:spacing w:val="5"/>
        </w:rPr>
        <w:t xml:space="preserve"> </w:t>
      </w:r>
      <w:r>
        <w:rPr>
          <w:spacing w:val="-1"/>
        </w:rPr>
        <w:t>of</w:t>
      </w:r>
      <w:r>
        <w:rPr>
          <w:spacing w:val="34"/>
        </w:rPr>
        <w:t xml:space="preserve"> </w:t>
      </w:r>
      <w:r>
        <w:rPr>
          <w:spacing w:val="-1"/>
        </w:rPr>
        <w:t>this</w:t>
      </w:r>
      <w:r>
        <w:rPr>
          <w:spacing w:val="30"/>
        </w:rPr>
        <w:t xml:space="preserve"> </w:t>
      </w:r>
      <w:r>
        <w:rPr>
          <w:spacing w:val="-2"/>
        </w:rPr>
        <w:t>Call</w:t>
      </w:r>
      <w:r>
        <w:rPr>
          <w:spacing w:val="28"/>
        </w:rPr>
        <w:t xml:space="preserve"> </w:t>
      </w:r>
      <w:r>
        <w:rPr>
          <w:spacing w:val="-1"/>
        </w:rPr>
        <w:t>Off</w:t>
      </w:r>
      <w:r>
        <w:rPr>
          <w:spacing w:val="30"/>
        </w:rPr>
        <w:t xml:space="preserve"> </w:t>
      </w:r>
      <w:r>
        <w:rPr>
          <w:spacing w:val="-2"/>
        </w:rPr>
        <w:t>Contract</w:t>
      </w:r>
      <w:r>
        <w:rPr>
          <w:spacing w:val="29"/>
        </w:rPr>
        <w:t xml:space="preserve"> </w:t>
      </w:r>
      <w:r>
        <w:rPr>
          <w:spacing w:val="-1"/>
        </w:rPr>
        <w:t>(Law</w:t>
      </w:r>
      <w:r>
        <w:rPr>
          <w:spacing w:val="26"/>
        </w:rPr>
        <w:t xml:space="preserve"> </w:t>
      </w:r>
      <w:r>
        <w:rPr>
          <w:spacing w:val="-1"/>
        </w:rPr>
        <w:t>and</w:t>
      </w:r>
      <w:r>
        <w:rPr>
          <w:spacing w:val="29"/>
        </w:rPr>
        <w:t xml:space="preserve"> </w:t>
      </w:r>
      <w:r>
        <w:rPr>
          <w:spacing w:val="-1"/>
        </w:rPr>
        <w:t>Jurisdiction)</w:t>
      </w:r>
      <w:r>
        <w:rPr>
          <w:spacing w:val="30"/>
        </w:rPr>
        <w:t xml:space="preserve"> </w:t>
      </w:r>
      <w:r>
        <w:rPr>
          <w:spacing w:val="-2"/>
        </w:rPr>
        <w:t>shall</w:t>
      </w:r>
      <w:r>
        <w:rPr>
          <w:spacing w:val="28"/>
        </w:rPr>
        <w:t xml:space="preserve"> </w:t>
      </w:r>
      <w:r>
        <w:rPr>
          <w:spacing w:val="-1"/>
        </w:rPr>
        <w:t>be</w:t>
      </w:r>
      <w:r>
        <w:rPr>
          <w:spacing w:val="29"/>
        </w:rPr>
        <w:t xml:space="preserve"> </w:t>
      </w:r>
      <w:r>
        <w:rPr>
          <w:spacing w:val="-1"/>
        </w:rPr>
        <w:t>replaced</w:t>
      </w:r>
      <w:r>
        <w:rPr>
          <w:spacing w:val="51"/>
        </w:rPr>
        <w:t xml:space="preserve"> </w:t>
      </w:r>
      <w:r>
        <w:rPr>
          <w:spacing w:val="-1"/>
        </w:rPr>
        <w:t>with</w:t>
      </w:r>
      <w:r>
        <w:rPr>
          <w:spacing w:val="1"/>
        </w:rPr>
        <w:t xml:space="preserve"> </w:t>
      </w:r>
      <w:r>
        <w:rPr>
          <w:spacing w:val="-1"/>
        </w:rPr>
        <w:t>“Scotland”.</w:t>
      </w:r>
    </w:p>
    <w:p w:rsidR="008918FA" w:rsidRDefault="008918FA" w:rsidP="008918FA">
      <w:pPr>
        <w:pStyle w:val="BodyText"/>
        <w:numPr>
          <w:ilvl w:val="3"/>
          <w:numId w:val="4"/>
        </w:numPr>
        <w:tabs>
          <w:tab w:val="left" w:pos="2934"/>
        </w:tabs>
        <w:ind w:left="2932" w:right="116" w:hanging="707"/>
        <w:jc w:val="both"/>
      </w:pPr>
      <w:r>
        <w:rPr>
          <w:spacing w:val="-1"/>
        </w:rPr>
        <w:t>Where</w:t>
      </w:r>
      <w:r>
        <w:rPr>
          <w:spacing w:val="37"/>
        </w:rPr>
        <w:t xml:space="preserve"> </w:t>
      </w:r>
      <w:r>
        <w:rPr>
          <w:spacing w:val="-1"/>
        </w:rPr>
        <w:t>legislation</w:t>
      </w:r>
      <w:r>
        <w:rPr>
          <w:spacing w:val="37"/>
        </w:rPr>
        <w:t xml:space="preserve"> </w:t>
      </w:r>
      <w:r>
        <w:rPr>
          <w:spacing w:val="-1"/>
        </w:rPr>
        <w:t>is</w:t>
      </w:r>
      <w:r>
        <w:rPr>
          <w:spacing w:val="38"/>
        </w:rPr>
        <w:t xml:space="preserve"> </w:t>
      </w:r>
      <w:r>
        <w:rPr>
          <w:spacing w:val="-1"/>
        </w:rPr>
        <w:t>expressly</w:t>
      </w:r>
      <w:r>
        <w:rPr>
          <w:spacing w:val="35"/>
        </w:rPr>
        <w:t xml:space="preserve"> </w:t>
      </w:r>
      <w:r>
        <w:rPr>
          <w:spacing w:val="-1"/>
        </w:rPr>
        <w:t>mentioned</w:t>
      </w:r>
      <w:r>
        <w:rPr>
          <w:spacing w:val="37"/>
        </w:rPr>
        <w:t xml:space="preserve"> </w:t>
      </w:r>
      <w:r>
        <w:rPr>
          <w:spacing w:val="-1"/>
        </w:rPr>
        <w:t>in</w:t>
      </w:r>
      <w:r>
        <w:rPr>
          <w:spacing w:val="40"/>
        </w:rPr>
        <w:t xml:space="preserve"> </w:t>
      </w:r>
      <w:r>
        <w:rPr>
          <w:spacing w:val="-1"/>
        </w:rPr>
        <w:t>this</w:t>
      </w:r>
      <w:r>
        <w:rPr>
          <w:spacing w:val="39"/>
        </w:rPr>
        <w:t xml:space="preserve"> </w:t>
      </w:r>
      <w:r>
        <w:rPr>
          <w:spacing w:val="-2"/>
        </w:rPr>
        <w:t>Call</w:t>
      </w:r>
      <w:r>
        <w:rPr>
          <w:spacing w:val="37"/>
        </w:rPr>
        <w:t xml:space="preserve"> </w:t>
      </w:r>
      <w:r>
        <w:rPr>
          <w:spacing w:val="-1"/>
        </w:rPr>
        <w:t>Off</w:t>
      </w:r>
      <w:r>
        <w:rPr>
          <w:spacing w:val="31"/>
        </w:rPr>
        <w:t xml:space="preserve"> </w:t>
      </w:r>
      <w:r>
        <w:rPr>
          <w:spacing w:val="-1"/>
        </w:rPr>
        <w:t>Contract</w:t>
      </w:r>
      <w:r>
        <w:rPr>
          <w:spacing w:val="23"/>
        </w:rPr>
        <w:t xml:space="preserve"> </w:t>
      </w:r>
      <w:r>
        <w:t>the</w:t>
      </w:r>
      <w:r>
        <w:rPr>
          <w:spacing w:val="19"/>
        </w:rPr>
        <w:t xml:space="preserve"> </w:t>
      </w:r>
      <w:r>
        <w:rPr>
          <w:spacing w:val="-1"/>
        </w:rPr>
        <w:t>adoption</w:t>
      </w:r>
      <w:r>
        <w:rPr>
          <w:spacing w:val="22"/>
        </w:rPr>
        <w:t xml:space="preserve"> </w:t>
      </w:r>
      <w:r>
        <w:rPr>
          <w:spacing w:val="-2"/>
        </w:rPr>
        <w:t>of</w:t>
      </w:r>
      <w:r>
        <w:rPr>
          <w:spacing w:val="22"/>
        </w:rPr>
        <w:t xml:space="preserve"> </w:t>
      </w:r>
      <w:r>
        <w:rPr>
          <w:spacing w:val="-2"/>
        </w:rPr>
        <w:t>Clause</w:t>
      </w:r>
      <w:r>
        <w:rPr>
          <w:spacing w:val="22"/>
        </w:rPr>
        <w:t xml:space="preserve"> </w:t>
      </w:r>
      <w:r>
        <w:t>4.1.1</w:t>
      </w:r>
      <w:r>
        <w:rPr>
          <w:spacing w:val="19"/>
        </w:rPr>
        <w:t xml:space="preserve"> </w:t>
      </w:r>
      <w:r>
        <w:rPr>
          <w:spacing w:val="-1"/>
        </w:rPr>
        <w:t>(a)</w:t>
      </w:r>
      <w:r>
        <w:rPr>
          <w:spacing w:val="21"/>
        </w:rPr>
        <w:t xml:space="preserve"> </w:t>
      </w:r>
      <w:r>
        <w:rPr>
          <w:spacing w:val="-1"/>
        </w:rPr>
        <w:t>shall</w:t>
      </w:r>
      <w:r>
        <w:rPr>
          <w:spacing w:val="21"/>
        </w:rPr>
        <w:t xml:space="preserve"> </w:t>
      </w:r>
      <w:r>
        <w:rPr>
          <w:spacing w:val="-2"/>
        </w:rPr>
        <w:t>have</w:t>
      </w:r>
      <w:r>
        <w:rPr>
          <w:spacing w:val="22"/>
        </w:rPr>
        <w:t xml:space="preserve"> </w:t>
      </w:r>
      <w:r>
        <w:t>the</w:t>
      </w:r>
      <w:r>
        <w:rPr>
          <w:spacing w:val="22"/>
        </w:rPr>
        <w:t xml:space="preserve"> </w:t>
      </w:r>
      <w:r>
        <w:rPr>
          <w:spacing w:val="-1"/>
        </w:rPr>
        <w:t>effect</w:t>
      </w:r>
      <w:r>
        <w:rPr>
          <w:spacing w:val="34"/>
        </w:rPr>
        <w:t xml:space="preserve"> </w:t>
      </w:r>
      <w:r>
        <w:rPr>
          <w:spacing w:val="-2"/>
        </w:rPr>
        <w:t>of</w:t>
      </w:r>
      <w:r>
        <w:rPr>
          <w:spacing w:val="4"/>
        </w:rPr>
        <w:t xml:space="preserve"> </w:t>
      </w:r>
      <w:r>
        <w:rPr>
          <w:spacing w:val="-1"/>
        </w:rPr>
        <w:t>substituting</w:t>
      </w:r>
      <w:r>
        <w:t xml:space="preserve"> the</w:t>
      </w:r>
      <w:r>
        <w:rPr>
          <w:spacing w:val="-2"/>
        </w:rPr>
        <w:t xml:space="preserve"> equivalent</w:t>
      </w:r>
      <w:r>
        <w:rPr>
          <w:spacing w:val="2"/>
        </w:rPr>
        <w:t xml:space="preserve"> </w:t>
      </w:r>
      <w:r>
        <w:rPr>
          <w:spacing w:val="-1"/>
        </w:rPr>
        <w:t>Scots</w:t>
      </w:r>
      <w:r>
        <w:rPr>
          <w:spacing w:val="-2"/>
        </w:rPr>
        <w:t xml:space="preserve"> </w:t>
      </w:r>
      <w:r>
        <w:rPr>
          <w:spacing w:val="-1"/>
        </w:rPr>
        <w:t>legislation.</w:t>
      </w:r>
    </w:p>
    <w:p w:rsidR="008918FA" w:rsidRDefault="008918FA" w:rsidP="008918FA">
      <w:pPr>
        <w:pStyle w:val="Heading1"/>
        <w:numPr>
          <w:ilvl w:val="1"/>
          <w:numId w:val="4"/>
        </w:numPr>
        <w:tabs>
          <w:tab w:val="left" w:pos="1028"/>
        </w:tabs>
        <w:spacing w:before="119"/>
        <w:ind w:left="1027"/>
        <w:rPr>
          <w:b w:val="0"/>
          <w:bCs w:val="0"/>
        </w:rPr>
      </w:pPr>
      <w:bookmarkStart w:id="521" w:name="_bookmark433"/>
      <w:bookmarkEnd w:id="521"/>
      <w:r>
        <w:rPr>
          <w:spacing w:val="-2"/>
        </w:rPr>
        <w:t>NORTHERN</w:t>
      </w:r>
      <w:r>
        <w:t xml:space="preserve"> </w:t>
      </w:r>
      <w:r>
        <w:rPr>
          <w:spacing w:val="-1"/>
        </w:rPr>
        <w:t>IRELAND</w:t>
      </w:r>
      <w:r>
        <w:rPr>
          <w:spacing w:val="2"/>
        </w:rPr>
        <w:t xml:space="preserve"> </w:t>
      </w:r>
      <w:r>
        <w:rPr>
          <w:spacing w:val="-2"/>
        </w:rPr>
        <w:t>LAW</w:t>
      </w:r>
    </w:p>
    <w:p w:rsidR="008918FA" w:rsidRDefault="008918FA" w:rsidP="008918FA">
      <w:pPr>
        <w:pStyle w:val="BodyText"/>
        <w:numPr>
          <w:ilvl w:val="2"/>
          <w:numId w:val="4"/>
        </w:numPr>
        <w:tabs>
          <w:tab w:val="left" w:pos="2225"/>
        </w:tabs>
        <w:spacing w:before="121"/>
        <w:ind w:left="2224" w:hanging="993"/>
      </w:pPr>
      <w:r>
        <w:rPr>
          <w:spacing w:val="-1"/>
        </w:rPr>
        <w:t>Law</w:t>
      </w:r>
      <w:r>
        <w:rPr>
          <w:spacing w:val="-3"/>
        </w:rPr>
        <w:t xml:space="preserve"> </w:t>
      </w:r>
      <w:r>
        <w:rPr>
          <w:spacing w:val="-1"/>
        </w:rPr>
        <w:t>and</w:t>
      </w:r>
      <w:r>
        <w:t xml:space="preserve"> </w:t>
      </w:r>
      <w:r>
        <w:rPr>
          <w:spacing w:val="-1"/>
        </w:rPr>
        <w:t>Jurisdiction</w:t>
      </w:r>
      <w:r>
        <w:t xml:space="preserve"> </w:t>
      </w:r>
      <w:r>
        <w:rPr>
          <w:spacing w:val="-2"/>
        </w:rPr>
        <w:t>(Clause</w:t>
      </w:r>
      <w:r>
        <w:rPr>
          <w:spacing w:val="1"/>
        </w:rPr>
        <w:t xml:space="preserve"> </w:t>
      </w:r>
      <w:hyperlink w:anchor="_bookmark280" w:history="1">
        <w:r>
          <w:rPr>
            <w:spacing w:val="-1"/>
          </w:rPr>
          <w:t>57</w:t>
        </w:r>
      </w:hyperlink>
      <w:r>
        <w:rPr>
          <w:spacing w:val="-1"/>
        </w:rPr>
        <w:t>)</w:t>
      </w:r>
    </w:p>
    <w:p w:rsidR="008918FA" w:rsidRDefault="008918FA" w:rsidP="008918FA">
      <w:pPr>
        <w:pStyle w:val="BodyText"/>
        <w:numPr>
          <w:ilvl w:val="3"/>
          <w:numId w:val="4"/>
        </w:numPr>
        <w:tabs>
          <w:tab w:val="left" w:pos="2933"/>
        </w:tabs>
        <w:ind w:left="2932" w:right="115"/>
        <w:jc w:val="both"/>
      </w:pPr>
      <w:r>
        <w:rPr>
          <w:spacing w:val="-1"/>
        </w:rPr>
        <w:t>References</w:t>
      </w:r>
      <w:r>
        <w:rPr>
          <w:spacing w:val="3"/>
        </w:rPr>
        <w:t xml:space="preserve"> </w:t>
      </w:r>
      <w:r>
        <w:t>to</w:t>
      </w:r>
      <w:r>
        <w:rPr>
          <w:spacing w:val="5"/>
        </w:rPr>
        <w:t xml:space="preserve"> </w:t>
      </w:r>
      <w:r>
        <w:rPr>
          <w:spacing w:val="-1"/>
        </w:rPr>
        <w:t>“England</w:t>
      </w:r>
      <w:r>
        <w:rPr>
          <w:spacing w:val="5"/>
        </w:rPr>
        <w:t xml:space="preserve"> </w:t>
      </w:r>
      <w:r>
        <w:rPr>
          <w:spacing w:val="-1"/>
        </w:rPr>
        <w:t>and</w:t>
      </w:r>
      <w:r>
        <w:t xml:space="preserve"> Wales”</w:t>
      </w:r>
      <w:r>
        <w:rPr>
          <w:spacing w:val="6"/>
        </w:rPr>
        <w:t xml:space="preserve"> </w:t>
      </w:r>
      <w:r>
        <w:rPr>
          <w:spacing w:val="-1"/>
        </w:rPr>
        <w:t>in</w:t>
      </w:r>
      <w:r>
        <w:rPr>
          <w:spacing w:val="5"/>
        </w:rPr>
        <w:t xml:space="preserve"> </w:t>
      </w:r>
      <w:r>
        <w:t>the</w:t>
      </w:r>
      <w:r>
        <w:rPr>
          <w:spacing w:val="5"/>
        </w:rPr>
        <w:t xml:space="preserve"> </w:t>
      </w:r>
      <w:r>
        <w:rPr>
          <w:spacing w:val="-1"/>
        </w:rPr>
        <w:t>original</w:t>
      </w:r>
      <w:r>
        <w:rPr>
          <w:spacing w:val="4"/>
        </w:rPr>
        <w:t xml:space="preserve"> </w:t>
      </w:r>
      <w:r>
        <w:rPr>
          <w:spacing w:val="-2"/>
        </w:rPr>
        <w:t>Clause</w:t>
      </w:r>
      <w:r>
        <w:rPr>
          <w:spacing w:val="9"/>
        </w:rPr>
        <w:t xml:space="preserve"> </w:t>
      </w:r>
      <w:hyperlink w:anchor="_bookmark280" w:history="1">
        <w:r>
          <w:rPr>
            <w:spacing w:val="-1"/>
          </w:rPr>
          <w:t>57</w:t>
        </w:r>
      </w:hyperlink>
      <w:r>
        <w:rPr>
          <w:spacing w:val="5"/>
        </w:rPr>
        <w:t xml:space="preserve"> </w:t>
      </w:r>
      <w:r>
        <w:rPr>
          <w:spacing w:val="-1"/>
        </w:rPr>
        <w:t>of</w:t>
      </w:r>
      <w:r>
        <w:rPr>
          <w:spacing w:val="30"/>
        </w:rPr>
        <w:t xml:space="preserve"> </w:t>
      </w:r>
      <w:r>
        <w:rPr>
          <w:spacing w:val="-1"/>
        </w:rPr>
        <w:t>this</w:t>
      </w:r>
      <w:r>
        <w:rPr>
          <w:spacing w:val="30"/>
        </w:rPr>
        <w:t xml:space="preserve"> </w:t>
      </w:r>
      <w:r>
        <w:rPr>
          <w:spacing w:val="-2"/>
        </w:rPr>
        <w:t>Call</w:t>
      </w:r>
      <w:r>
        <w:rPr>
          <w:spacing w:val="28"/>
        </w:rPr>
        <w:t xml:space="preserve"> </w:t>
      </w:r>
      <w:r>
        <w:rPr>
          <w:spacing w:val="-1"/>
        </w:rPr>
        <w:t>Off</w:t>
      </w:r>
      <w:r>
        <w:rPr>
          <w:spacing w:val="30"/>
        </w:rPr>
        <w:t xml:space="preserve"> </w:t>
      </w:r>
      <w:r>
        <w:rPr>
          <w:spacing w:val="-2"/>
        </w:rPr>
        <w:t>Contract</w:t>
      </w:r>
      <w:r>
        <w:rPr>
          <w:spacing w:val="29"/>
        </w:rPr>
        <w:t xml:space="preserve"> </w:t>
      </w:r>
      <w:r>
        <w:rPr>
          <w:spacing w:val="-1"/>
        </w:rPr>
        <w:t>(Law</w:t>
      </w:r>
      <w:r>
        <w:rPr>
          <w:spacing w:val="26"/>
        </w:rPr>
        <w:t xml:space="preserve"> </w:t>
      </w:r>
      <w:r>
        <w:rPr>
          <w:spacing w:val="-1"/>
        </w:rPr>
        <w:t>and</w:t>
      </w:r>
      <w:r>
        <w:rPr>
          <w:spacing w:val="29"/>
        </w:rPr>
        <w:t xml:space="preserve"> </w:t>
      </w:r>
      <w:r>
        <w:rPr>
          <w:spacing w:val="-1"/>
        </w:rPr>
        <w:t>Jurisdiction)</w:t>
      </w:r>
      <w:r>
        <w:rPr>
          <w:spacing w:val="30"/>
        </w:rPr>
        <w:t xml:space="preserve"> </w:t>
      </w:r>
      <w:r>
        <w:rPr>
          <w:spacing w:val="-2"/>
        </w:rPr>
        <w:t>shall</w:t>
      </w:r>
      <w:r>
        <w:rPr>
          <w:spacing w:val="28"/>
        </w:rPr>
        <w:t xml:space="preserve"> </w:t>
      </w:r>
      <w:r>
        <w:rPr>
          <w:spacing w:val="-1"/>
        </w:rPr>
        <w:t>be</w:t>
      </w:r>
      <w:r>
        <w:rPr>
          <w:spacing w:val="29"/>
        </w:rPr>
        <w:t xml:space="preserve"> </w:t>
      </w:r>
      <w:r>
        <w:rPr>
          <w:spacing w:val="-1"/>
        </w:rPr>
        <w:t>replaced</w:t>
      </w:r>
      <w:r>
        <w:rPr>
          <w:spacing w:val="51"/>
        </w:rPr>
        <w:t xml:space="preserve"> </w:t>
      </w:r>
      <w:r>
        <w:rPr>
          <w:spacing w:val="-1"/>
        </w:rPr>
        <w:t>with</w:t>
      </w:r>
      <w:r>
        <w:t xml:space="preserve"> </w:t>
      </w:r>
      <w:r>
        <w:rPr>
          <w:spacing w:val="-1"/>
        </w:rPr>
        <w:t>“Northern</w:t>
      </w:r>
      <w:r>
        <w:rPr>
          <w:spacing w:val="-2"/>
        </w:rPr>
        <w:t xml:space="preserve"> Ireland”.</w:t>
      </w:r>
    </w:p>
    <w:p w:rsidR="008918FA" w:rsidRDefault="008918FA" w:rsidP="008918FA">
      <w:pPr>
        <w:jc w:val="both"/>
        <w:sectPr w:rsidR="008918FA">
          <w:pgSz w:w="11910" w:h="16840"/>
          <w:pgMar w:top="1480" w:right="1300" w:bottom="1180" w:left="1340" w:header="0" w:footer="987" w:gutter="0"/>
          <w:cols w:space="720"/>
        </w:sectPr>
      </w:pPr>
    </w:p>
    <w:p w:rsidR="008918FA" w:rsidRDefault="008918FA" w:rsidP="008918FA">
      <w:pPr>
        <w:pStyle w:val="BodyText"/>
        <w:numPr>
          <w:ilvl w:val="3"/>
          <w:numId w:val="4"/>
        </w:numPr>
        <w:tabs>
          <w:tab w:val="left" w:pos="2735"/>
        </w:tabs>
        <w:spacing w:before="59"/>
        <w:ind w:left="2734" w:right="116"/>
        <w:jc w:val="both"/>
      </w:pPr>
      <w:r>
        <w:rPr>
          <w:spacing w:val="-1"/>
        </w:rPr>
        <w:t>Where</w:t>
      </w:r>
      <w:r>
        <w:rPr>
          <w:spacing w:val="37"/>
        </w:rPr>
        <w:t xml:space="preserve"> </w:t>
      </w:r>
      <w:r>
        <w:rPr>
          <w:spacing w:val="-1"/>
        </w:rPr>
        <w:t>legislation</w:t>
      </w:r>
      <w:r>
        <w:rPr>
          <w:spacing w:val="37"/>
        </w:rPr>
        <w:t xml:space="preserve"> </w:t>
      </w:r>
      <w:r>
        <w:rPr>
          <w:spacing w:val="-1"/>
        </w:rPr>
        <w:t>is</w:t>
      </w:r>
      <w:r>
        <w:rPr>
          <w:spacing w:val="38"/>
        </w:rPr>
        <w:t xml:space="preserve"> </w:t>
      </w:r>
      <w:r>
        <w:rPr>
          <w:spacing w:val="-1"/>
        </w:rPr>
        <w:t>expressly</w:t>
      </w:r>
      <w:r>
        <w:rPr>
          <w:spacing w:val="35"/>
        </w:rPr>
        <w:t xml:space="preserve"> </w:t>
      </w:r>
      <w:r>
        <w:rPr>
          <w:spacing w:val="-1"/>
        </w:rPr>
        <w:t>mentioned</w:t>
      </w:r>
      <w:r>
        <w:rPr>
          <w:spacing w:val="37"/>
        </w:rPr>
        <w:t xml:space="preserve"> </w:t>
      </w:r>
      <w:r>
        <w:rPr>
          <w:spacing w:val="-1"/>
        </w:rPr>
        <w:t>in</w:t>
      </w:r>
      <w:r>
        <w:rPr>
          <w:spacing w:val="40"/>
        </w:rPr>
        <w:t xml:space="preserve"> </w:t>
      </w:r>
      <w:r>
        <w:rPr>
          <w:spacing w:val="-1"/>
        </w:rPr>
        <w:t>this</w:t>
      </w:r>
      <w:r>
        <w:rPr>
          <w:spacing w:val="39"/>
        </w:rPr>
        <w:t xml:space="preserve"> </w:t>
      </w:r>
      <w:r>
        <w:rPr>
          <w:spacing w:val="-2"/>
        </w:rPr>
        <w:t>Call</w:t>
      </w:r>
      <w:r>
        <w:rPr>
          <w:spacing w:val="37"/>
        </w:rPr>
        <w:t xml:space="preserve"> </w:t>
      </w:r>
      <w:r>
        <w:rPr>
          <w:spacing w:val="-1"/>
        </w:rPr>
        <w:t>Off</w:t>
      </w:r>
      <w:r>
        <w:rPr>
          <w:spacing w:val="31"/>
        </w:rPr>
        <w:t xml:space="preserve"> </w:t>
      </w:r>
      <w:r>
        <w:rPr>
          <w:spacing w:val="-1"/>
        </w:rPr>
        <w:t>Contract</w:t>
      </w:r>
      <w:r>
        <w:rPr>
          <w:spacing w:val="4"/>
        </w:rPr>
        <w:t xml:space="preserve"> </w:t>
      </w:r>
      <w:r>
        <w:t>the</w:t>
      </w:r>
      <w:r>
        <w:rPr>
          <w:spacing w:val="3"/>
        </w:rPr>
        <w:t xml:space="preserve"> </w:t>
      </w:r>
      <w:r>
        <w:rPr>
          <w:spacing w:val="-1"/>
        </w:rPr>
        <w:t>adoption</w:t>
      </w:r>
      <w:r>
        <w:rPr>
          <w:spacing w:val="3"/>
        </w:rPr>
        <w:t xml:space="preserve"> </w:t>
      </w:r>
      <w:r>
        <w:rPr>
          <w:spacing w:val="-2"/>
        </w:rPr>
        <w:t>of</w:t>
      </w:r>
      <w:r>
        <w:rPr>
          <w:spacing w:val="2"/>
        </w:rPr>
        <w:t xml:space="preserve"> </w:t>
      </w:r>
      <w:r>
        <w:rPr>
          <w:spacing w:val="-2"/>
        </w:rPr>
        <w:t>Clause</w:t>
      </w:r>
      <w:r>
        <w:rPr>
          <w:spacing w:val="5"/>
        </w:rPr>
        <w:t xml:space="preserve"> </w:t>
      </w:r>
      <w:hyperlink w:anchor="_bookmark432" w:history="1">
        <w:r>
          <w:rPr>
            <w:spacing w:val="-1"/>
          </w:rPr>
          <w:t>4.1.1(a)</w:t>
        </w:r>
      </w:hyperlink>
      <w:r>
        <w:rPr>
          <w:spacing w:val="4"/>
        </w:rPr>
        <w:t xml:space="preserve"> </w:t>
      </w:r>
      <w:r>
        <w:rPr>
          <w:spacing w:val="-1"/>
        </w:rPr>
        <w:t>shall</w:t>
      </w:r>
      <w:r>
        <w:rPr>
          <w:spacing w:val="2"/>
        </w:rPr>
        <w:t xml:space="preserve"> </w:t>
      </w:r>
      <w:r>
        <w:rPr>
          <w:spacing w:val="-1"/>
        </w:rPr>
        <w:t>have</w:t>
      </w:r>
      <w:r>
        <w:rPr>
          <w:spacing w:val="3"/>
        </w:rPr>
        <w:t xml:space="preserve"> </w:t>
      </w:r>
      <w:r>
        <w:t>the</w:t>
      </w:r>
      <w:r>
        <w:rPr>
          <w:spacing w:val="3"/>
        </w:rPr>
        <w:t xml:space="preserve"> </w:t>
      </w:r>
      <w:r>
        <w:rPr>
          <w:spacing w:val="-1"/>
        </w:rPr>
        <w:t>effect</w:t>
      </w:r>
      <w:r>
        <w:rPr>
          <w:spacing w:val="5"/>
        </w:rPr>
        <w:t xml:space="preserve"> </w:t>
      </w:r>
      <w:r>
        <w:rPr>
          <w:spacing w:val="-2"/>
        </w:rPr>
        <w:t>of</w:t>
      </w:r>
      <w:r>
        <w:rPr>
          <w:spacing w:val="39"/>
        </w:rPr>
        <w:t xml:space="preserve"> </w:t>
      </w:r>
      <w:r>
        <w:rPr>
          <w:spacing w:val="-1"/>
        </w:rPr>
        <w:t>substituting</w:t>
      </w:r>
      <w:r>
        <w:t xml:space="preserve"> the</w:t>
      </w:r>
      <w:r>
        <w:rPr>
          <w:spacing w:val="-2"/>
        </w:rPr>
        <w:t xml:space="preserve"> </w:t>
      </w:r>
      <w:r>
        <w:rPr>
          <w:spacing w:val="-1"/>
        </w:rPr>
        <w:t>equivalent</w:t>
      </w:r>
      <w:r>
        <w:rPr>
          <w:spacing w:val="2"/>
        </w:rPr>
        <w:t xml:space="preserve"> </w:t>
      </w:r>
      <w:r>
        <w:rPr>
          <w:spacing w:val="-1"/>
        </w:rPr>
        <w:t>Northern</w:t>
      </w:r>
      <w:r>
        <w:rPr>
          <w:spacing w:val="-2"/>
        </w:rPr>
        <w:t xml:space="preserve"> </w:t>
      </w:r>
      <w:r>
        <w:rPr>
          <w:spacing w:val="-1"/>
        </w:rPr>
        <w:t>Ireland</w:t>
      </w:r>
      <w:r>
        <w:t xml:space="preserve"> </w:t>
      </w:r>
      <w:r>
        <w:rPr>
          <w:spacing w:val="-1"/>
        </w:rPr>
        <w:t>legislation.</w:t>
      </w:r>
    </w:p>
    <w:p w:rsidR="008918FA" w:rsidRDefault="008918FA" w:rsidP="008918FA">
      <w:pPr>
        <w:pStyle w:val="BodyText"/>
        <w:numPr>
          <w:ilvl w:val="2"/>
          <w:numId w:val="4"/>
        </w:numPr>
        <w:tabs>
          <w:tab w:val="left" w:pos="2027"/>
        </w:tabs>
        <w:ind w:left="2026"/>
        <w:jc w:val="both"/>
      </w:pPr>
      <w:r>
        <w:rPr>
          <w:spacing w:val="-1"/>
        </w:rPr>
        <w:t>Insolvency Event</w:t>
      </w:r>
    </w:p>
    <w:p w:rsidR="008918FA" w:rsidRDefault="008918FA" w:rsidP="008918FA">
      <w:pPr>
        <w:pStyle w:val="BodyText"/>
        <w:spacing w:before="121"/>
        <w:ind w:left="1032" w:right="115" w:firstLine="0"/>
        <w:jc w:val="both"/>
      </w:pPr>
      <w:r>
        <w:t>In</w:t>
      </w:r>
      <w:r>
        <w:rPr>
          <w:spacing w:val="22"/>
        </w:rPr>
        <w:t xml:space="preserve"> </w:t>
      </w:r>
      <w:r>
        <w:rPr>
          <w:spacing w:val="-2"/>
        </w:rPr>
        <w:t>Call</w:t>
      </w:r>
      <w:r>
        <w:rPr>
          <w:spacing w:val="21"/>
        </w:rPr>
        <w:t xml:space="preserve"> </w:t>
      </w:r>
      <w:r>
        <w:rPr>
          <w:spacing w:val="-1"/>
        </w:rPr>
        <w:t>Off</w:t>
      </w:r>
      <w:r>
        <w:rPr>
          <w:spacing w:val="23"/>
        </w:rPr>
        <w:t xml:space="preserve"> </w:t>
      </w:r>
      <w:r>
        <w:rPr>
          <w:spacing w:val="-1"/>
        </w:rPr>
        <w:t>Schedule</w:t>
      </w:r>
      <w:r>
        <w:rPr>
          <w:spacing w:val="22"/>
        </w:rPr>
        <w:t xml:space="preserve"> </w:t>
      </w:r>
      <w:r>
        <w:t>1</w:t>
      </w:r>
      <w:r>
        <w:rPr>
          <w:spacing w:val="22"/>
        </w:rPr>
        <w:t xml:space="preserve"> </w:t>
      </w:r>
      <w:r>
        <w:rPr>
          <w:spacing w:val="-1"/>
        </w:rPr>
        <w:t>(Definitions),</w:t>
      </w:r>
      <w:r>
        <w:rPr>
          <w:spacing w:val="23"/>
        </w:rPr>
        <w:t xml:space="preserve"> </w:t>
      </w:r>
      <w:r>
        <w:rPr>
          <w:spacing w:val="-2"/>
        </w:rPr>
        <w:t>reference</w:t>
      </w:r>
      <w:r>
        <w:rPr>
          <w:spacing w:val="25"/>
        </w:rPr>
        <w:t xml:space="preserve"> </w:t>
      </w:r>
      <w:r>
        <w:t>to</w:t>
      </w:r>
      <w:r>
        <w:rPr>
          <w:spacing w:val="19"/>
        </w:rPr>
        <w:t xml:space="preserve"> </w:t>
      </w:r>
      <w:r>
        <w:rPr>
          <w:spacing w:val="-1"/>
        </w:rPr>
        <w:t>“section</w:t>
      </w:r>
      <w:r>
        <w:rPr>
          <w:spacing w:val="22"/>
        </w:rPr>
        <w:t xml:space="preserve"> </w:t>
      </w:r>
      <w:r>
        <w:rPr>
          <w:spacing w:val="-1"/>
        </w:rPr>
        <w:t>123</w:t>
      </w:r>
      <w:r>
        <w:rPr>
          <w:spacing w:val="22"/>
        </w:rPr>
        <w:t xml:space="preserve"> </w:t>
      </w:r>
      <w:r>
        <w:rPr>
          <w:spacing w:val="-2"/>
        </w:rPr>
        <w:t>of</w:t>
      </w:r>
      <w:r>
        <w:rPr>
          <w:spacing w:val="23"/>
        </w:rPr>
        <w:t xml:space="preserve"> </w:t>
      </w:r>
      <w:r>
        <w:t>the</w:t>
      </w:r>
      <w:r>
        <w:rPr>
          <w:spacing w:val="20"/>
        </w:rPr>
        <w:t xml:space="preserve"> </w:t>
      </w:r>
      <w:r>
        <w:rPr>
          <w:spacing w:val="-1"/>
        </w:rPr>
        <w:t>Insolvency</w:t>
      </w:r>
      <w:r>
        <w:rPr>
          <w:spacing w:val="53"/>
        </w:rPr>
        <w:t xml:space="preserve"> </w:t>
      </w:r>
      <w:r>
        <w:rPr>
          <w:spacing w:val="-1"/>
        </w:rPr>
        <w:t>Act</w:t>
      </w:r>
      <w:r>
        <w:rPr>
          <w:spacing w:val="29"/>
        </w:rPr>
        <w:t xml:space="preserve"> </w:t>
      </w:r>
      <w:r>
        <w:rPr>
          <w:spacing w:val="-1"/>
        </w:rPr>
        <w:t>1986"</w:t>
      </w:r>
      <w:r>
        <w:rPr>
          <w:spacing w:val="26"/>
        </w:rPr>
        <w:t xml:space="preserve"> </w:t>
      </w:r>
      <w:r>
        <w:rPr>
          <w:spacing w:val="-1"/>
        </w:rPr>
        <w:t>in</w:t>
      </w:r>
      <w:r>
        <w:rPr>
          <w:spacing w:val="27"/>
        </w:rPr>
        <w:t xml:space="preserve"> </w:t>
      </w:r>
      <w:r>
        <w:rPr>
          <w:spacing w:val="-1"/>
        </w:rPr>
        <w:t>limb</w:t>
      </w:r>
      <w:r>
        <w:rPr>
          <w:spacing w:val="24"/>
        </w:rPr>
        <w:t xml:space="preserve"> </w:t>
      </w:r>
      <w:r>
        <w:t>f)</w:t>
      </w:r>
      <w:r>
        <w:rPr>
          <w:spacing w:val="28"/>
        </w:rPr>
        <w:t xml:space="preserve"> </w:t>
      </w:r>
      <w:r>
        <w:rPr>
          <w:spacing w:val="-2"/>
        </w:rPr>
        <w:t>of</w:t>
      </w:r>
      <w:r>
        <w:rPr>
          <w:spacing w:val="28"/>
        </w:rPr>
        <w:t xml:space="preserve"> </w:t>
      </w:r>
      <w:r>
        <w:rPr>
          <w:spacing w:val="-1"/>
        </w:rPr>
        <w:t>the</w:t>
      </w:r>
      <w:r>
        <w:rPr>
          <w:spacing w:val="27"/>
        </w:rPr>
        <w:t xml:space="preserve"> </w:t>
      </w:r>
      <w:r>
        <w:rPr>
          <w:spacing w:val="-1"/>
        </w:rPr>
        <w:t>definition</w:t>
      </w:r>
      <w:r>
        <w:rPr>
          <w:spacing w:val="27"/>
        </w:rPr>
        <w:t xml:space="preserve"> </w:t>
      </w:r>
      <w:r>
        <w:rPr>
          <w:spacing w:val="-2"/>
        </w:rPr>
        <w:t>of</w:t>
      </w:r>
      <w:r>
        <w:rPr>
          <w:spacing w:val="28"/>
        </w:rPr>
        <w:t xml:space="preserve"> </w:t>
      </w:r>
      <w:r>
        <w:rPr>
          <w:spacing w:val="-1"/>
        </w:rPr>
        <w:t>Insolvency</w:t>
      </w:r>
      <w:r>
        <w:rPr>
          <w:spacing w:val="25"/>
        </w:rPr>
        <w:t xml:space="preserve"> </w:t>
      </w:r>
      <w:r>
        <w:rPr>
          <w:spacing w:val="-2"/>
        </w:rPr>
        <w:t>Event</w:t>
      </w:r>
      <w:r>
        <w:rPr>
          <w:spacing w:val="28"/>
        </w:rPr>
        <w:t xml:space="preserve"> </w:t>
      </w:r>
      <w:r>
        <w:rPr>
          <w:spacing w:val="-1"/>
        </w:rPr>
        <w:t>shall</w:t>
      </w:r>
      <w:r>
        <w:rPr>
          <w:spacing w:val="26"/>
        </w:rPr>
        <w:t xml:space="preserve"> </w:t>
      </w:r>
      <w:r>
        <w:rPr>
          <w:spacing w:val="-1"/>
        </w:rPr>
        <w:t>be</w:t>
      </w:r>
      <w:r>
        <w:rPr>
          <w:spacing w:val="27"/>
        </w:rPr>
        <w:t xml:space="preserve"> </w:t>
      </w:r>
      <w:r>
        <w:rPr>
          <w:spacing w:val="-1"/>
        </w:rPr>
        <w:t>replaced</w:t>
      </w:r>
      <w:r>
        <w:rPr>
          <w:spacing w:val="27"/>
        </w:rPr>
        <w:t xml:space="preserve"> </w:t>
      </w:r>
      <w:r>
        <w:rPr>
          <w:spacing w:val="-2"/>
        </w:rPr>
        <w:t>with</w:t>
      </w:r>
      <w:r>
        <w:rPr>
          <w:spacing w:val="39"/>
        </w:rPr>
        <w:t xml:space="preserve"> </w:t>
      </w:r>
      <w:r>
        <w:rPr>
          <w:spacing w:val="-1"/>
        </w:rPr>
        <w:t>“Article</w:t>
      </w:r>
      <w:r>
        <w:t xml:space="preserve"> </w:t>
      </w:r>
      <w:r>
        <w:rPr>
          <w:spacing w:val="-1"/>
        </w:rPr>
        <w:t>103</w:t>
      </w:r>
      <w:r>
        <w:rPr>
          <w:spacing w:val="-2"/>
        </w:rPr>
        <w:t xml:space="preserve"> of</w:t>
      </w:r>
      <w:r>
        <w:rPr>
          <w:spacing w:val="2"/>
        </w:rPr>
        <w:t xml:space="preserve"> </w:t>
      </w:r>
      <w:r>
        <w:rPr>
          <w:spacing w:val="-1"/>
        </w:rPr>
        <w:t>the</w:t>
      </w:r>
      <w:r>
        <w:rPr>
          <w:spacing w:val="-2"/>
        </w:rPr>
        <w:t xml:space="preserve"> </w:t>
      </w:r>
      <w:r>
        <w:rPr>
          <w:spacing w:val="-1"/>
        </w:rPr>
        <w:t>Insolvency (NI) Order 1989”.</w:t>
      </w:r>
    </w:p>
    <w:p w:rsidR="008918FA" w:rsidRDefault="008918FA" w:rsidP="008918FA">
      <w:pPr>
        <w:pStyle w:val="Heading1"/>
        <w:numPr>
          <w:ilvl w:val="1"/>
          <w:numId w:val="4"/>
        </w:numPr>
        <w:tabs>
          <w:tab w:val="left" w:pos="829"/>
        </w:tabs>
        <w:spacing w:before="119"/>
        <w:ind w:left="828"/>
        <w:rPr>
          <w:b w:val="0"/>
          <w:bCs w:val="0"/>
        </w:rPr>
      </w:pPr>
      <w:bookmarkStart w:id="522" w:name="_bookmark434"/>
      <w:bookmarkEnd w:id="522"/>
      <w:r>
        <w:rPr>
          <w:spacing w:val="-1"/>
        </w:rPr>
        <w:t>NON-CROWN</w:t>
      </w:r>
      <w:r>
        <w:t xml:space="preserve"> </w:t>
      </w:r>
      <w:r>
        <w:rPr>
          <w:spacing w:val="-1"/>
        </w:rPr>
        <w:t>BODIES</w:t>
      </w:r>
    </w:p>
    <w:p w:rsidR="008918FA" w:rsidRDefault="008918FA" w:rsidP="008918FA">
      <w:pPr>
        <w:pStyle w:val="Heading2"/>
        <w:spacing w:before="121"/>
        <w:jc w:val="both"/>
        <w:rPr>
          <w:b w:val="0"/>
          <w:bCs w:val="0"/>
          <w:i w:val="0"/>
        </w:rPr>
      </w:pPr>
      <w:r>
        <w:rPr>
          <w:spacing w:val="-1"/>
          <w:highlight w:val="green"/>
        </w:rPr>
        <w:t>[Guidance</w:t>
      </w:r>
      <w:r>
        <w:rPr>
          <w:spacing w:val="1"/>
          <w:highlight w:val="green"/>
        </w:rPr>
        <w:t xml:space="preserve"> </w:t>
      </w:r>
      <w:r>
        <w:rPr>
          <w:spacing w:val="-2"/>
          <w:highlight w:val="green"/>
        </w:rPr>
        <w:t>Note:</w:t>
      </w:r>
      <w:r>
        <w:rPr>
          <w:highlight w:val="green"/>
        </w:rPr>
        <w:t xml:space="preserve"> </w:t>
      </w:r>
      <w:r>
        <w:rPr>
          <w:spacing w:val="-1"/>
          <w:highlight w:val="green"/>
        </w:rPr>
        <w:t>only</w:t>
      </w:r>
      <w:r>
        <w:rPr>
          <w:spacing w:val="-2"/>
          <w:highlight w:val="green"/>
        </w:rPr>
        <w:t xml:space="preserve"> </w:t>
      </w:r>
      <w:r>
        <w:rPr>
          <w:spacing w:val="-1"/>
          <w:highlight w:val="green"/>
        </w:rPr>
        <w:t>where</w:t>
      </w:r>
      <w:r>
        <w:rPr>
          <w:highlight w:val="green"/>
        </w:rPr>
        <w:t xml:space="preserve"> </w:t>
      </w:r>
      <w:r>
        <w:rPr>
          <w:spacing w:val="-1"/>
          <w:highlight w:val="green"/>
        </w:rPr>
        <w:t>the</w:t>
      </w:r>
      <w:r>
        <w:rPr>
          <w:spacing w:val="-2"/>
          <w:highlight w:val="green"/>
        </w:rPr>
        <w:t xml:space="preserve"> Customer</w:t>
      </w:r>
      <w:r>
        <w:rPr>
          <w:spacing w:val="-1"/>
          <w:highlight w:val="green"/>
        </w:rPr>
        <w:t xml:space="preserve"> </w:t>
      </w:r>
      <w:r>
        <w:rPr>
          <w:highlight w:val="green"/>
        </w:rPr>
        <w:t>is</w:t>
      </w:r>
      <w:r>
        <w:rPr>
          <w:spacing w:val="-2"/>
          <w:highlight w:val="green"/>
        </w:rPr>
        <w:t xml:space="preserve"> not</w:t>
      </w:r>
      <w:r>
        <w:rPr>
          <w:spacing w:val="2"/>
          <w:highlight w:val="green"/>
        </w:rPr>
        <w:t xml:space="preserve"> </w:t>
      </w:r>
      <w:r>
        <w:rPr>
          <w:highlight w:val="green"/>
        </w:rPr>
        <w:t>a</w:t>
      </w:r>
      <w:r>
        <w:rPr>
          <w:spacing w:val="-2"/>
          <w:highlight w:val="green"/>
        </w:rPr>
        <w:t xml:space="preserve"> </w:t>
      </w:r>
      <w:r>
        <w:rPr>
          <w:spacing w:val="-1"/>
          <w:highlight w:val="green"/>
        </w:rPr>
        <w:t>Crown</w:t>
      </w:r>
      <w:r>
        <w:rPr>
          <w:spacing w:val="-2"/>
          <w:highlight w:val="green"/>
        </w:rPr>
        <w:t xml:space="preserve"> Body]</w:t>
      </w:r>
    </w:p>
    <w:p w:rsidR="008918FA" w:rsidRDefault="008918FA" w:rsidP="008918FA">
      <w:pPr>
        <w:pStyle w:val="BodyText"/>
        <w:spacing w:before="121"/>
        <w:ind w:left="1033" w:right="113" w:hanging="1"/>
        <w:jc w:val="both"/>
      </w:pPr>
      <w:r>
        <w:rPr>
          <w:spacing w:val="-2"/>
        </w:rPr>
        <w:t>Clause</w:t>
      </w:r>
      <w:r>
        <w:rPr>
          <w:spacing w:val="21"/>
        </w:rPr>
        <w:t xml:space="preserve"> </w:t>
      </w:r>
      <w:hyperlink w:anchor="_bookmark255" w:history="1">
        <w:r>
          <w:rPr>
            <w:spacing w:val="-1"/>
          </w:rPr>
          <w:t>46.3.1(a)</w:t>
        </w:r>
      </w:hyperlink>
      <w:r>
        <w:rPr>
          <w:spacing w:val="21"/>
        </w:rPr>
        <w:t xml:space="preserve"> </w:t>
      </w:r>
      <w:r>
        <w:rPr>
          <w:spacing w:val="-2"/>
        </w:rPr>
        <w:t>of</w:t>
      </w:r>
      <w:r>
        <w:rPr>
          <w:spacing w:val="19"/>
        </w:rPr>
        <w:t xml:space="preserve"> </w:t>
      </w:r>
      <w:r>
        <w:rPr>
          <w:spacing w:val="-1"/>
        </w:rPr>
        <w:t>this</w:t>
      </w:r>
      <w:r>
        <w:rPr>
          <w:spacing w:val="18"/>
        </w:rPr>
        <w:t xml:space="preserve"> </w:t>
      </w:r>
      <w:r>
        <w:rPr>
          <w:spacing w:val="-2"/>
        </w:rPr>
        <w:t>Call</w:t>
      </w:r>
      <w:r>
        <w:rPr>
          <w:spacing w:val="19"/>
        </w:rPr>
        <w:t xml:space="preserve"> </w:t>
      </w:r>
      <w:r>
        <w:rPr>
          <w:spacing w:val="-1"/>
        </w:rPr>
        <w:t>Off</w:t>
      </w:r>
      <w:r>
        <w:rPr>
          <w:spacing w:val="23"/>
        </w:rPr>
        <w:t xml:space="preserve"> </w:t>
      </w:r>
      <w:r>
        <w:rPr>
          <w:spacing w:val="-2"/>
        </w:rPr>
        <w:t>Contract</w:t>
      </w:r>
      <w:r>
        <w:rPr>
          <w:spacing w:val="19"/>
        </w:rPr>
        <w:t xml:space="preserve"> </w:t>
      </w:r>
      <w:r>
        <w:rPr>
          <w:spacing w:val="-1"/>
        </w:rPr>
        <w:t>(Official</w:t>
      </w:r>
      <w:r>
        <w:rPr>
          <w:spacing w:val="19"/>
        </w:rPr>
        <w:t xml:space="preserve"> </w:t>
      </w:r>
      <w:r>
        <w:rPr>
          <w:spacing w:val="-1"/>
        </w:rPr>
        <w:t>Secrets</w:t>
      </w:r>
      <w:r>
        <w:rPr>
          <w:spacing w:val="20"/>
        </w:rPr>
        <w:t xml:space="preserve"> </w:t>
      </w:r>
      <w:r>
        <w:rPr>
          <w:spacing w:val="-2"/>
        </w:rPr>
        <w:t>Act</w:t>
      </w:r>
      <w:r>
        <w:rPr>
          <w:spacing w:val="21"/>
        </w:rPr>
        <w:t xml:space="preserve"> </w:t>
      </w:r>
      <w:r>
        <w:rPr>
          <w:spacing w:val="-1"/>
        </w:rPr>
        <w:t>and</w:t>
      </w:r>
      <w:r>
        <w:rPr>
          <w:spacing w:val="17"/>
        </w:rPr>
        <w:t xml:space="preserve"> </w:t>
      </w:r>
      <w:r>
        <w:rPr>
          <w:spacing w:val="-1"/>
        </w:rPr>
        <w:t>Finance</w:t>
      </w:r>
      <w:r>
        <w:rPr>
          <w:spacing w:val="20"/>
        </w:rPr>
        <w:t xml:space="preserve"> </w:t>
      </w:r>
      <w:r>
        <w:rPr>
          <w:spacing w:val="-1"/>
        </w:rPr>
        <w:t>Act)</w:t>
      </w:r>
      <w:r>
        <w:rPr>
          <w:spacing w:val="73"/>
        </w:rPr>
        <w:t xml:space="preserve"> </w:t>
      </w:r>
      <w:r>
        <w:rPr>
          <w:spacing w:val="-1"/>
        </w:rPr>
        <w:t>shall</w:t>
      </w:r>
      <w:r>
        <w:t xml:space="preserve"> </w:t>
      </w:r>
      <w:r>
        <w:rPr>
          <w:spacing w:val="-1"/>
        </w:rPr>
        <w:t>be</w:t>
      </w:r>
      <w:r>
        <w:t xml:space="preserve"> </w:t>
      </w:r>
      <w:r>
        <w:rPr>
          <w:spacing w:val="-1"/>
        </w:rPr>
        <w:t>deleted.</w:t>
      </w:r>
    </w:p>
    <w:p w:rsidR="008918FA" w:rsidRDefault="008918FA" w:rsidP="008918FA">
      <w:pPr>
        <w:pStyle w:val="Heading1"/>
        <w:numPr>
          <w:ilvl w:val="1"/>
          <w:numId w:val="4"/>
        </w:numPr>
        <w:tabs>
          <w:tab w:val="left" w:pos="829"/>
        </w:tabs>
        <w:ind w:left="829"/>
        <w:rPr>
          <w:b w:val="0"/>
          <w:bCs w:val="0"/>
        </w:rPr>
      </w:pPr>
      <w:bookmarkStart w:id="523" w:name="_bookmark435"/>
      <w:bookmarkEnd w:id="523"/>
      <w:r>
        <w:rPr>
          <w:spacing w:val="-1"/>
        </w:rPr>
        <w:t>NON-FOIA</w:t>
      </w:r>
      <w:r>
        <w:rPr>
          <w:spacing w:val="-7"/>
        </w:rPr>
        <w:t xml:space="preserve"> </w:t>
      </w:r>
      <w:r>
        <w:rPr>
          <w:spacing w:val="-1"/>
        </w:rPr>
        <w:t>PUBLIC</w:t>
      </w:r>
      <w:r>
        <w:t xml:space="preserve"> </w:t>
      </w:r>
      <w:r>
        <w:rPr>
          <w:spacing w:val="-1"/>
        </w:rPr>
        <w:t>BODIES</w:t>
      </w:r>
    </w:p>
    <w:p w:rsidR="008918FA" w:rsidRDefault="008918FA" w:rsidP="008918FA">
      <w:pPr>
        <w:pStyle w:val="Heading2"/>
        <w:spacing w:before="124"/>
        <w:ind w:right="112"/>
        <w:jc w:val="both"/>
        <w:rPr>
          <w:b w:val="0"/>
          <w:bCs w:val="0"/>
          <w:i w:val="0"/>
        </w:rPr>
      </w:pPr>
      <w:r w:rsidRPr="00CE5AA1">
        <w:rPr>
          <w:spacing w:val="-1"/>
          <w:highlight w:val="green"/>
        </w:rPr>
        <w:t>[Guidance</w:t>
      </w:r>
      <w:r w:rsidRPr="00CE5AA1">
        <w:rPr>
          <w:spacing w:val="53"/>
          <w:highlight w:val="green"/>
        </w:rPr>
        <w:t xml:space="preserve"> </w:t>
      </w:r>
      <w:r w:rsidRPr="00CE5AA1">
        <w:rPr>
          <w:spacing w:val="-1"/>
          <w:highlight w:val="green"/>
        </w:rPr>
        <w:t>Note:</w:t>
      </w:r>
      <w:r w:rsidRPr="00CE5AA1">
        <w:rPr>
          <w:spacing w:val="54"/>
          <w:highlight w:val="green"/>
        </w:rPr>
        <w:t xml:space="preserve"> </w:t>
      </w:r>
      <w:r w:rsidRPr="00CE5AA1">
        <w:rPr>
          <w:spacing w:val="-1"/>
          <w:highlight w:val="green"/>
        </w:rPr>
        <w:t>only</w:t>
      </w:r>
      <w:r w:rsidRPr="00CE5AA1">
        <w:rPr>
          <w:spacing w:val="53"/>
          <w:highlight w:val="green"/>
        </w:rPr>
        <w:t xml:space="preserve"> </w:t>
      </w:r>
      <w:r w:rsidRPr="00CE5AA1">
        <w:rPr>
          <w:spacing w:val="-1"/>
          <w:highlight w:val="green"/>
        </w:rPr>
        <w:t>where</w:t>
      </w:r>
      <w:r w:rsidRPr="00CE5AA1">
        <w:rPr>
          <w:spacing w:val="53"/>
          <w:highlight w:val="green"/>
        </w:rPr>
        <w:t xml:space="preserve"> </w:t>
      </w:r>
      <w:r w:rsidRPr="00CE5AA1">
        <w:rPr>
          <w:spacing w:val="-1"/>
          <w:highlight w:val="green"/>
        </w:rPr>
        <w:t>the</w:t>
      </w:r>
      <w:r w:rsidRPr="00CE5AA1">
        <w:rPr>
          <w:spacing w:val="53"/>
          <w:highlight w:val="green"/>
        </w:rPr>
        <w:t xml:space="preserve"> </w:t>
      </w:r>
      <w:r w:rsidRPr="00CE5AA1">
        <w:rPr>
          <w:spacing w:val="-1"/>
          <w:highlight w:val="green"/>
        </w:rPr>
        <w:t>Customer</w:t>
      </w:r>
      <w:r w:rsidRPr="00CE5AA1">
        <w:rPr>
          <w:spacing w:val="51"/>
          <w:highlight w:val="green"/>
        </w:rPr>
        <w:t xml:space="preserve"> </w:t>
      </w:r>
      <w:r w:rsidRPr="00CE5AA1">
        <w:rPr>
          <w:spacing w:val="-1"/>
          <w:highlight w:val="green"/>
        </w:rPr>
        <w:t>is</w:t>
      </w:r>
      <w:r w:rsidRPr="00CE5AA1">
        <w:rPr>
          <w:spacing w:val="54"/>
          <w:highlight w:val="green"/>
        </w:rPr>
        <w:t xml:space="preserve"> </w:t>
      </w:r>
      <w:r w:rsidRPr="00CE5AA1">
        <w:rPr>
          <w:spacing w:val="-1"/>
          <w:highlight w:val="green"/>
        </w:rPr>
        <w:t>not</w:t>
      </w:r>
      <w:r w:rsidRPr="00CE5AA1">
        <w:rPr>
          <w:spacing w:val="54"/>
          <w:highlight w:val="green"/>
        </w:rPr>
        <w:t xml:space="preserve"> </w:t>
      </w:r>
      <w:r w:rsidRPr="00CE5AA1">
        <w:rPr>
          <w:highlight w:val="green"/>
        </w:rPr>
        <w:t>a</w:t>
      </w:r>
      <w:r w:rsidRPr="00CE5AA1">
        <w:rPr>
          <w:spacing w:val="53"/>
          <w:highlight w:val="green"/>
        </w:rPr>
        <w:t xml:space="preserve"> </w:t>
      </w:r>
      <w:r w:rsidRPr="00CE5AA1">
        <w:rPr>
          <w:spacing w:val="-1"/>
          <w:highlight w:val="green"/>
        </w:rPr>
        <w:t>public</w:t>
      </w:r>
      <w:r w:rsidRPr="00CE5AA1">
        <w:rPr>
          <w:spacing w:val="53"/>
          <w:highlight w:val="green"/>
        </w:rPr>
        <w:t xml:space="preserve"> </w:t>
      </w:r>
      <w:r w:rsidRPr="00CE5AA1">
        <w:rPr>
          <w:spacing w:val="-1"/>
          <w:highlight w:val="green"/>
        </w:rPr>
        <w:t>body</w:t>
      </w:r>
      <w:r w:rsidRPr="00CE5AA1">
        <w:rPr>
          <w:spacing w:val="53"/>
          <w:highlight w:val="green"/>
        </w:rPr>
        <w:t xml:space="preserve"> </w:t>
      </w:r>
      <w:r w:rsidRPr="00CE5AA1">
        <w:rPr>
          <w:spacing w:val="-1"/>
          <w:highlight w:val="green"/>
        </w:rPr>
        <w:t>for</w:t>
      </w:r>
      <w:r w:rsidRPr="00CE5AA1">
        <w:rPr>
          <w:spacing w:val="54"/>
          <w:highlight w:val="green"/>
        </w:rPr>
        <w:t xml:space="preserve"> </w:t>
      </w:r>
      <w:r w:rsidRPr="00CE5AA1">
        <w:rPr>
          <w:spacing w:val="-1"/>
          <w:highlight w:val="green"/>
        </w:rPr>
        <w:t>the</w:t>
      </w:r>
      <w:r w:rsidRPr="00CE5AA1">
        <w:rPr>
          <w:spacing w:val="43"/>
          <w:highlight w:val="green"/>
        </w:rPr>
        <w:t xml:space="preserve"> </w:t>
      </w:r>
      <w:r w:rsidRPr="00CE5AA1">
        <w:rPr>
          <w:spacing w:val="-1"/>
          <w:highlight w:val="green"/>
        </w:rPr>
        <w:t>purposes</w:t>
      </w:r>
      <w:r w:rsidRPr="00CE5AA1">
        <w:rPr>
          <w:highlight w:val="green"/>
        </w:rPr>
        <w:t xml:space="preserve"> </w:t>
      </w:r>
      <w:r w:rsidRPr="00CE5AA1">
        <w:rPr>
          <w:spacing w:val="-1"/>
          <w:highlight w:val="green"/>
        </w:rPr>
        <w:t>of FOIA]</w:t>
      </w:r>
    </w:p>
    <w:p w:rsidR="008918FA" w:rsidRDefault="008918FA" w:rsidP="008918FA">
      <w:pPr>
        <w:pStyle w:val="BodyText"/>
        <w:spacing w:before="121"/>
        <w:ind w:left="1032" w:right="111" w:firstLine="0"/>
        <w:jc w:val="both"/>
      </w:pPr>
      <w:r>
        <w:rPr>
          <w:spacing w:val="-2"/>
        </w:rPr>
        <w:t>Replace</w:t>
      </w:r>
      <w:r>
        <w:rPr>
          <w:spacing w:val="5"/>
        </w:rPr>
        <w:t xml:space="preserve"> </w:t>
      </w:r>
      <w:r>
        <w:rPr>
          <w:spacing w:val="-2"/>
        </w:rPr>
        <w:t>Clause</w:t>
      </w:r>
      <w:r>
        <w:rPr>
          <w:spacing w:val="7"/>
        </w:rPr>
        <w:t xml:space="preserve"> </w:t>
      </w:r>
      <w:hyperlink w:anchor="_bookmark191" w:history="1">
        <w:r>
          <w:rPr>
            <w:spacing w:val="-1"/>
          </w:rPr>
          <w:t>34.5</w:t>
        </w:r>
      </w:hyperlink>
      <w:r>
        <w:rPr>
          <w:spacing w:val="5"/>
        </w:rPr>
        <w:t xml:space="preserve"> </w:t>
      </w:r>
      <w:r>
        <w:rPr>
          <w:spacing w:val="-1"/>
        </w:rPr>
        <w:t>of</w:t>
      </w:r>
      <w:r>
        <w:rPr>
          <w:spacing w:val="9"/>
        </w:rPr>
        <w:t xml:space="preserve"> </w:t>
      </w:r>
      <w:r>
        <w:rPr>
          <w:spacing w:val="-2"/>
        </w:rPr>
        <w:t>this</w:t>
      </w:r>
      <w:r>
        <w:rPr>
          <w:spacing w:val="5"/>
        </w:rPr>
        <w:t xml:space="preserve"> </w:t>
      </w:r>
      <w:r>
        <w:rPr>
          <w:spacing w:val="-2"/>
        </w:rPr>
        <w:t>Call</w:t>
      </w:r>
      <w:r>
        <w:rPr>
          <w:spacing w:val="4"/>
        </w:rPr>
        <w:t xml:space="preserve"> </w:t>
      </w:r>
      <w:r>
        <w:t>Off</w:t>
      </w:r>
      <w:r>
        <w:rPr>
          <w:spacing w:val="9"/>
        </w:rPr>
        <w:t xml:space="preserve"> </w:t>
      </w:r>
      <w:r>
        <w:rPr>
          <w:spacing w:val="-2"/>
        </w:rPr>
        <w:t>Contract</w:t>
      </w:r>
      <w:r>
        <w:rPr>
          <w:spacing w:val="7"/>
        </w:rPr>
        <w:t xml:space="preserve"> </w:t>
      </w:r>
      <w:r>
        <w:rPr>
          <w:spacing w:val="-1"/>
        </w:rPr>
        <w:t>(Freedom</w:t>
      </w:r>
      <w:r>
        <w:rPr>
          <w:spacing w:val="6"/>
        </w:rPr>
        <w:t xml:space="preserve"> </w:t>
      </w:r>
      <w:r>
        <w:rPr>
          <w:spacing w:val="-2"/>
        </w:rPr>
        <w:t>of</w:t>
      </w:r>
      <w:r>
        <w:rPr>
          <w:spacing w:val="9"/>
        </w:rPr>
        <w:t xml:space="preserve"> </w:t>
      </w:r>
      <w:r>
        <w:rPr>
          <w:spacing w:val="-1"/>
        </w:rPr>
        <w:t>Information)</w:t>
      </w:r>
      <w:r>
        <w:rPr>
          <w:spacing w:val="6"/>
        </w:rPr>
        <w:t xml:space="preserve"> </w:t>
      </w:r>
      <w:r>
        <w:rPr>
          <w:spacing w:val="-1"/>
        </w:rPr>
        <w:t>with</w:t>
      </w:r>
      <w:r>
        <w:rPr>
          <w:spacing w:val="5"/>
        </w:rPr>
        <w:t xml:space="preserve"> </w:t>
      </w:r>
      <w:r>
        <w:t>“The</w:t>
      </w:r>
      <w:r>
        <w:rPr>
          <w:spacing w:val="71"/>
        </w:rPr>
        <w:t xml:space="preserve"> </w:t>
      </w:r>
      <w:r>
        <w:rPr>
          <w:spacing w:val="-1"/>
        </w:rPr>
        <w:t>Customer</w:t>
      </w:r>
      <w:r>
        <w:rPr>
          <w:spacing w:val="17"/>
        </w:rPr>
        <w:t xml:space="preserve"> </w:t>
      </w:r>
      <w:r>
        <w:rPr>
          <w:spacing w:val="-1"/>
        </w:rPr>
        <w:t>has</w:t>
      </w:r>
      <w:r>
        <w:rPr>
          <w:spacing w:val="16"/>
        </w:rPr>
        <w:t xml:space="preserve"> </w:t>
      </w:r>
      <w:r>
        <w:rPr>
          <w:spacing w:val="-1"/>
        </w:rPr>
        <w:t>notified</w:t>
      </w:r>
      <w:r>
        <w:rPr>
          <w:spacing w:val="14"/>
        </w:rPr>
        <w:t xml:space="preserve"> </w:t>
      </w:r>
      <w:r>
        <w:t>the</w:t>
      </w:r>
      <w:r>
        <w:rPr>
          <w:spacing w:val="16"/>
        </w:rPr>
        <w:t xml:space="preserve"> </w:t>
      </w:r>
      <w:r>
        <w:rPr>
          <w:spacing w:val="-2"/>
        </w:rPr>
        <w:t>Supplier</w:t>
      </w:r>
      <w:r>
        <w:rPr>
          <w:spacing w:val="17"/>
        </w:rPr>
        <w:t xml:space="preserve"> </w:t>
      </w:r>
      <w:r>
        <w:rPr>
          <w:spacing w:val="-1"/>
        </w:rPr>
        <w:t>that</w:t>
      </w:r>
      <w:r>
        <w:rPr>
          <w:spacing w:val="15"/>
        </w:rPr>
        <w:t xml:space="preserve"> </w:t>
      </w:r>
      <w:r>
        <w:t>the</w:t>
      </w:r>
      <w:r>
        <w:rPr>
          <w:spacing w:val="14"/>
        </w:rPr>
        <w:t xml:space="preserve"> </w:t>
      </w:r>
      <w:r>
        <w:rPr>
          <w:spacing w:val="-1"/>
        </w:rPr>
        <w:t>Customer</w:t>
      </w:r>
      <w:r>
        <w:rPr>
          <w:spacing w:val="17"/>
        </w:rPr>
        <w:t xml:space="preserve"> </w:t>
      </w:r>
      <w:r>
        <w:rPr>
          <w:spacing w:val="-1"/>
        </w:rPr>
        <w:t>is</w:t>
      </w:r>
      <w:r>
        <w:rPr>
          <w:spacing w:val="16"/>
        </w:rPr>
        <w:t xml:space="preserve"> </w:t>
      </w:r>
      <w:r>
        <w:rPr>
          <w:spacing w:val="-1"/>
        </w:rPr>
        <w:t>exempt</w:t>
      </w:r>
      <w:r>
        <w:rPr>
          <w:spacing w:val="17"/>
        </w:rPr>
        <w:t xml:space="preserve"> </w:t>
      </w:r>
      <w:r>
        <w:rPr>
          <w:spacing w:val="-1"/>
        </w:rPr>
        <w:t>from</w:t>
      </w:r>
      <w:r>
        <w:rPr>
          <w:spacing w:val="17"/>
        </w:rPr>
        <w:t xml:space="preserve"> </w:t>
      </w:r>
      <w:r>
        <w:rPr>
          <w:spacing w:val="-1"/>
        </w:rPr>
        <w:t>the</w:t>
      </w:r>
      <w:r>
        <w:rPr>
          <w:spacing w:val="40"/>
        </w:rPr>
        <w:t xml:space="preserve"> </w:t>
      </w:r>
      <w:r>
        <w:rPr>
          <w:spacing w:val="-2"/>
        </w:rPr>
        <w:t>provisions</w:t>
      </w:r>
      <w:r>
        <w:rPr>
          <w:spacing w:val="1"/>
        </w:rPr>
        <w:t xml:space="preserve"> </w:t>
      </w:r>
      <w:r>
        <w:rPr>
          <w:spacing w:val="-1"/>
        </w:rPr>
        <w:t>of</w:t>
      </w:r>
      <w:r>
        <w:rPr>
          <w:spacing w:val="2"/>
        </w:rPr>
        <w:t xml:space="preserve"> </w:t>
      </w:r>
      <w:r>
        <w:rPr>
          <w:spacing w:val="-1"/>
        </w:rPr>
        <w:t>FOIA</w:t>
      </w:r>
      <w:r>
        <w:rPr>
          <w:spacing w:val="-2"/>
        </w:rPr>
        <w:t xml:space="preserve"> </w:t>
      </w:r>
      <w:r>
        <w:rPr>
          <w:spacing w:val="-1"/>
        </w:rPr>
        <w:t>and</w:t>
      </w:r>
      <w:r>
        <w:t xml:space="preserve"> </w:t>
      </w:r>
      <w:r>
        <w:rPr>
          <w:spacing w:val="-1"/>
        </w:rPr>
        <w:t>EIR."</w:t>
      </w:r>
    </w:p>
    <w:p w:rsidR="008918FA" w:rsidRDefault="008918FA" w:rsidP="008918FA">
      <w:pPr>
        <w:pStyle w:val="Heading1"/>
        <w:numPr>
          <w:ilvl w:val="1"/>
          <w:numId w:val="4"/>
        </w:numPr>
        <w:tabs>
          <w:tab w:val="left" w:pos="829"/>
        </w:tabs>
        <w:ind w:left="828"/>
        <w:rPr>
          <w:b w:val="0"/>
          <w:bCs w:val="0"/>
        </w:rPr>
      </w:pPr>
      <w:bookmarkStart w:id="524" w:name="_bookmark436"/>
      <w:bookmarkEnd w:id="524"/>
      <w:r>
        <w:rPr>
          <w:spacing w:val="-2"/>
        </w:rPr>
        <w:t>FINANCIAL</w:t>
      </w:r>
      <w:r>
        <w:t xml:space="preserve"> </w:t>
      </w:r>
      <w:r>
        <w:rPr>
          <w:spacing w:val="-1"/>
        </w:rPr>
        <w:t>LIMITS</w:t>
      </w:r>
    </w:p>
    <w:p w:rsidR="008918FA" w:rsidRDefault="008918FA" w:rsidP="008918FA">
      <w:pPr>
        <w:pStyle w:val="BodyText"/>
        <w:spacing w:before="121"/>
        <w:ind w:left="1032" w:right="113" w:firstLine="0"/>
        <w:jc w:val="both"/>
      </w:pPr>
      <w:r>
        <w:t>In</w:t>
      </w:r>
      <w:r>
        <w:rPr>
          <w:spacing w:val="29"/>
        </w:rPr>
        <w:t xml:space="preserve"> </w:t>
      </w:r>
      <w:r>
        <w:rPr>
          <w:spacing w:val="-2"/>
        </w:rPr>
        <w:t>Clause</w:t>
      </w:r>
      <w:r>
        <w:rPr>
          <w:spacing w:val="30"/>
        </w:rPr>
        <w:t xml:space="preserve"> </w:t>
      </w:r>
      <w:hyperlink w:anchor="_bookmark205" w:history="1">
        <w:r>
          <w:rPr>
            <w:spacing w:val="-1"/>
          </w:rPr>
          <w:t>36.2.1(b)(i)</w:t>
        </w:r>
      </w:hyperlink>
      <w:r>
        <w:rPr>
          <w:spacing w:val="29"/>
        </w:rPr>
        <w:t xml:space="preserve"> </w:t>
      </w:r>
      <w:r>
        <w:rPr>
          <w:spacing w:val="-2"/>
        </w:rPr>
        <w:t>remove</w:t>
      </w:r>
      <w:r>
        <w:rPr>
          <w:spacing w:val="29"/>
        </w:rPr>
        <w:t xml:space="preserve"> </w:t>
      </w:r>
      <w:r>
        <w:t>the</w:t>
      </w:r>
      <w:r>
        <w:rPr>
          <w:spacing w:val="29"/>
        </w:rPr>
        <w:t xml:space="preserve"> </w:t>
      </w:r>
      <w:r>
        <w:rPr>
          <w:spacing w:val="-1"/>
        </w:rPr>
        <w:t>monetary</w:t>
      </w:r>
      <w:r>
        <w:rPr>
          <w:spacing w:val="27"/>
        </w:rPr>
        <w:t xml:space="preserve"> </w:t>
      </w:r>
      <w:r>
        <w:rPr>
          <w:spacing w:val="-1"/>
        </w:rPr>
        <w:t>amount</w:t>
      </w:r>
      <w:r>
        <w:rPr>
          <w:spacing w:val="30"/>
        </w:rPr>
        <w:t xml:space="preserve"> </w:t>
      </w:r>
      <w:r>
        <w:rPr>
          <w:spacing w:val="-1"/>
        </w:rPr>
        <w:t>and</w:t>
      </w:r>
      <w:r>
        <w:rPr>
          <w:spacing w:val="29"/>
        </w:rPr>
        <w:t xml:space="preserve"> </w:t>
      </w:r>
      <w:r>
        <w:t>the</w:t>
      </w:r>
      <w:r>
        <w:rPr>
          <w:spacing w:val="27"/>
        </w:rPr>
        <w:t xml:space="preserve"> </w:t>
      </w:r>
      <w:r>
        <w:rPr>
          <w:spacing w:val="-1"/>
        </w:rPr>
        <w:t>percentage</w:t>
      </w:r>
      <w:r>
        <w:rPr>
          <w:spacing w:val="29"/>
        </w:rPr>
        <w:t xml:space="preserve"> </w:t>
      </w:r>
      <w:r>
        <w:rPr>
          <w:spacing w:val="-1"/>
        </w:rPr>
        <w:t>stated</w:t>
      </w:r>
      <w:r>
        <w:rPr>
          <w:spacing w:val="46"/>
        </w:rPr>
        <w:t xml:space="preserve"> </w:t>
      </w:r>
      <w:r>
        <w:rPr>
          <w:spacing w:val="-1"/>
        </w:rPr>
        <w:t>therein</w:t>
      </w:r>
      <w:r>
        <w:t xml:space="preserve"> </w:t>
      </w:r>
      <w:r>
        <w:rPr>
          <w:spacing w:val="-1"/>
        </w:rPr>
        <w:t>and</w:t>
      </w:r>
      <w:r>
        <w:rPr>
          <w:spacing w:val="-2"/>
        </w:rPr>
        <w:t xml:space="preserve"> </w:t>
      </w:r>
      <w:r>
        <w:rPr>
          <w:spacing w:val="-1"/>
        </w:rPr>
        <w:t>replace</w:t>
      </w:r>
      <w:r>
        <w:rPr>
          <w:spacing w:val="-2"/>
        </w:rPr>
        <w:t xml:space="preserve"> </w:t>
      </w:r>
      <w:r>
        <w:rPr>
          <w:spacing w:val="-1"/>
        </w:rPr>
        <w:t>respectively</w:t>
      </w:r>
      <w:r>
        <w:t xml:space="preserve"> </w:t>
      </w:r>
      <w:r>
        <w:rPr>
          <w:spacing w:val="-1"/>
        </w:rPr>
        <w:t>with:</w:t>
      </w:r>
    </w:p>
    <w:p w:rsidR="008918FA" w:rsidRDefault="008918FA" w:rsidP="008918FA">
      <w:pPr>
        <w:spacing w:before="6"/>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2A79E8A5" wp14:editId="21DEDBDC">
                <wp:extent cx="2406650" cy="161925"/>
                <wp:effectExtent l="0" t="0" r="3175" b="0"/>
                <wp:docPr id="47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2"/>
                              <w:rPr>
                                <w:rFonts w:ascii="Arial" w:eastAsia="Arial" w:hAnsi="Arial" w:cs="Arial"/>
                              </w:rPr>
                            </w:pPr>
                            <w:r>
                              <w:rPr>
                                <w:rFonts w:ascii="Arial" w:hAnsi="Arial"/>
                                <w:spacing w:val="-1"/>
                              </w:rPr>
                              <w:t>[enter monetary amount</w:t>
                            </w:r>
                            <w:r>
                              <w:rPr>
                                <w:rFonts w:ascii="Arial" w:hAnsi="Arial"/>
                                <w:spacing w:val="2"/>
                              </w:rPr>
                              <w:t xml:space="preserve"> </w:t>
                            </w:r>
                            <w:r>
                              <w:rPr>
                                <w:rFonts w:ascii="Arial" w:hAnsi="Arial"/>
                                <w:spacing w:val="-2"/>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wps:txbx>
                      <wps:bodyPr rot="0" vert="horz" wrap="square" lIns="0" tIns="0" rIns="0" bIns="0" anchor="t" anchorCtr="0" upright="1">
                        <a:noAutofit/>
                      </wps:bodyPr>
                    </wps:wsp>
                  </a:graphicData>
                </a:graphic>
              </wp:inline>
            </w:drawing>
          </mc:Choice>
          <mc:Fallback>
            <w:pict>
              <v:shape w14:anchorId="2A79E8A5" id="Text Box 464" o:spid="_x0000_s1371" type="#_x0000_t202" style="width:189.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" fillcolor="yellow" stroked="f">
                <v:textbox inset="0,0,0,0">
                  <w:txbxContent>
                    <w:p w:rsidR="005D2B81" w:rsidRDefault="005D2B81" w:rsidP="008918FA">
                      <w:pPr>
                        <w:spacing w:line="251" w:lineRule="exact"/>
                        <w:ind w:right="-2"/>
                        <w:rPr>
                          <w:rFonts w:ascii="Arial" w:eastAsia="Arial" w:hAnsi="Arial" w:cs="Arial"/>
                        </w:rPr>
                      </w:pPr>
                      <w:r>
                        <w:rPr>
                          <w:rFonts w:ascii="Arial" w:hAnsi="Arial"/>
                          <w:spacing w:val="-1"/>
                        </w:rPr>
                        <w:t>[enter monetary amount</w:t>
                      </w:r>
                      <w:r>
                        <w:rPr>
                          <w:rFonts w:ascii="Arial" w:hAnsi="Arial"/>
                          <w:spacing w:val="2"/>
                        </w:rPr>
                        <w:t xml:space="preserve"> </w:t>
                      </w:r>
                      <w:r>
                        <w:rPr>
                          <w:rFonts w:ascii="Arial" w:hAnsi="Arial"/>
                          <w:spacing w:val="-2"/>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v:textbox>
                <w10:anchorlock/>
              </v:shape>
            </w:pict>
          </mc:Fallback>
        </mc:AlternateContent>
      </w:r>
    </w:p>
    <w:p w:rsidR="008918FA" w:rsidRDefault="008918FA" w:rsidP="008918FA">
      <w:pPr>
        <w:spacing w:before="5"/>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7DA53932" wp14:editId="46902ECC">
                <wp:extent cx="2019300" cy="160020"/>
                <wp:effectExtent l="0" t="0" r="0" b="1905"/>
                <wp:docPr id="47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2"/>
                              <w:rPr>
                                <w:rFonts w:ascii="Arial" w:eastAsia="Arial" w:hAnsi="Arial" w:cs="Arial"/>
                              </w:rPr>
                            </w:pPr>
                            <w:r>
                              <w:rPr>
                                <w:rFonts w:ascii="Arial" w:hAnsi="Arial"/>
                                <w:spacing w:val="-1"/>
                              </w:rPr>
                              <w:t>[enter</w:t>
                            </w:r>
                            <w:r>
                              <w:rPr>
                                <w:rFonts w:ascii="Arial" w:hAnsi="Arial"/>
                                <w:spacing w:val="2"/>
                              </w:rPr>
                              <w:t xml:space="preserve"> </w:t>
                            </w:r>
                            <w:r>
                              <w:rPr>
                                <w:rFonts w:ascii="Arial" w:hAnsi="Arial"/>
                                <w:spacing w:val="-1"/>
                              </w:rPr>
                              <w:t>percentage</w:t>
                            </w:r>
                            <w:r>
                              <w:rPr>
                                <w:rFonts w:ascii="Arial" w:hAnsi="Arial"/>
                                <w:spacing w:val="-2"/>
                              </w:rPr>
                              <w:t xml:space="preserve"> </w:t>
                            </w:r>
                            <w:r>
                              <w:rPr>
                                <w:rFonts w:ascii="Arial" w:hAnsi="Arial"/>
                                <w:spacing w:val="-1"/>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wps:txbx>
                      <wps:bodyPr rot="0" vert="horz" wrap="square" lIns="0" tIns="0" rIns="0" bIns="0" anchor="t" anchorCtr="0" upright="1">
                        <a:noAutofit/>
                      </wps:bodyPr>
                    </wps:wsp>
                  </a:graphicData>
                </a:graphic>
              </wp:inline>
            </w:drawing>
          </mc:Choice>
          <mc:Fallback>
            <w:pict>
              <v:shape w14:anchorId="7DA53932" id="Text Box 463" o:spid="_x0000_s1372" type="#_x0000_t202" style="width:159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" fillcolor="yellow" stroked="f">
                <v:textbox inset="0,0,0,0">
                  <w:txbxContent>
                    <w:p w:rsidR="005D2B81" w:rsidRDefault="005D2B81" w:rsidP="008918FA">
                      <w:pPr>
                        <w:spacing w:line="251" w:lineRule="exact"/>
                        <w:ind w:right="-2"/>
                        <w:rPr>
                          <w:rFonts w:ascii="Arial" w:eastAsia="Arial" w:hAnsi="Arial" w:cs="Arial"/>
                        </w:rPr>
                      </w:pPr>
                      <w:r>
                        <w:rPr>
                          <w:rFonts w:ascii="Arial" w:hAnsi="Arial"/>
                          <w:spacing w:val="-1"/>
                        </w:rPr>
                        <w:t>[enter</w:t>
                      </w:r>
                      <w:r>
                        <w:rPr>
                          <w:rFonts w:ascii="Arial" w:hAnsi="Arial"/>
                          <w:spacing w:val="2"/>
                        </w:rPr>
                        <w:t xml:space="preserve"> </w:t>
                      </w:r>
                      <w:r>
                        <w:rPr>
                          <w:rFonts w:ascii="Arial" w:hAnsi="Arial"/>
                          <w:spacing w:val="-1"/>
                        </w:rPr>
                        <w:t>percentage</w:t>
                      </w:r>
                      <w:r>
                        <w:rPr>
                          <w:rFonts w:ascii="Arial" w:hAnsi="Arial"/>
                          <w:spacing w:val="-2"/>
                        </w:rPr>
                        <w:t xml:space="preserve"> </w:t>
                      </w:r>
                      <w:r>
                        <w:rPr>
                          <w:rFonts w:ascii="Arial" w:hAnsi="Arial"/>
                          <w:spacing w:val="-1"/>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v:textbox>
                <w10:anchorlock/>
              </v:shape>
            </w:pict>
          </mc:Fallback>
        </mc:AlternateContent>
      </w:r>
    </w:p>
    <w:p w:rsidR="008918FA" w:rsidRDefault="008918FA" w:rsidP="008918FA">
      <w:pPr>
        <w:pStyle w:val="BodyText"/>
        <w:spacing w:before="117"/>
        <w:ind w:left="1032" w:right="125" w:firstLine="0"/>
      </w:pPr>
      <w:r>
        <w:t>In</w:t>
      </w:r>
      <w:r>
        <w:rPr>
          <w:spacing w:val="24"/>
        </w:rPr>
        <w:t xml:space="preserve"> </w:t>
      </w:r>
      <w:r>
        <w:rPr>
          <w:spacing w:val="-2"/>
        </w:rPr>
        <w:t>Clause</w:t>
      </w:r>
      <w:r>
        <w:rPr>
          <w:spacing w:val="25"/>
        </w:rPr>
        <w:t xml:space="preserve"> </w:t>
      </w:r>
      <w:hyperlink w:anchor="_bookmark206" w:history="1">
        <w:r>
          <w:rPr>
            <w:spacing w:val="-1"/>
          </w:rPr>
          <w:t>36.2.1(b)(ii)</w:t>
        </w:r>
      </w:hyperlink>
      <w:r>
        <w:rPr>
          <w:spacing w:val="26"/>
        </w:rPr>
        <w:t xml:space="preserve"> </w:t>
      </w:r>
      <w:r>
        <w:rPr>
          <w:spacing w:val="-2"/>
        </w:rPr>
        <w:t>remove</w:t>
      </w:r>
      <w:r>
        <w:rPr>
          <w:spacing w:val="24"/>
        </w:rPr>
        <w:t xml:space="preserve"> </w:t>
      </w:r>
      <w:r>
        <w:t>the</w:t>
      </w:r>
      <w:r>
        <w:rPr>
          <w:spacing w:val="24"/>
        </w:rPr>
        <w:t xml:space="preserve"> </w:t>
      </w:r>
      <w:r>
        <w:rPr>
          <w:spacing w:val="-1"/>
        </w:rPr>
        <w:t>monetary</w:t>
      </w:r>
      <w:r>
        <w:rPr>
          <w:spacing w:val="22"/>
        </w:rPr>
        <w:t xml:space="preserve"> </w:t>
      </w:r>
      <w:r>
        <w:rPr>
          <w:spacing w:val="-1"/>
        </w:rPr>
        <w:t>amount</w:t>
      </w:r>
      <w:r>
        <w:rPr>
          <w:spacing w:val="26"/>
        </w:rPr>
        <w:t xml:space="preserve"> </w:t>
      </w:r>
      <w:r>
        <w:rPr>
          <w:spacing w:val="-1"/>
        </w:rPr>
        <w:t>and</w:t>
      </w:r>
      <w:r>
        <w:rPr>
          <w:spacing w:val="22"/>
        </w:rPr>
        <w:t xml:space="preserve"> </w:t>
      </w:r>
      <w:r>
        <w:rPr>
          <w:spacing w:val="-1"/>
        </w:rPr>
        <w:t>the</w:t>
      </w:r>
      <w:r>
        <w:rPr>
          <w:spacing w:val="24"/>
        </w:rPr>
        <w:t xml:space="preserve"> </w:t>
      </w:r>
      <w:r>
        <w:rPr>
          <w:spacing w:val="-1"/>
        </w:rPr>
        <w:t>percentage</w:t>
      </w:r>
      <w:r>
        <w:rPr>
          <w:spacing w:val="22"/>
        </w:rPr>
        <w:t xml:space="preserve"> </w:t>
      </w:r>
      <w:r>
        <w:rPr>
          <w:spacing w:val="-1"/>
        </w:rPr>
        <w:t>stated</w:t>
      </w:r>
      <w:r>
        <w:rPr>
          <w:spacing w:val="50"/>
        </w:rPr>
        <w:t xml:space="preserve"> </w:t>
      </w:r>
      <w:r>
        <w:rPr>
          <w:spacing w:val="-1"/>
        </w:rPr>
        <w:t>therein</w:t>
      </w:r>
      <w:r>
        <w:t xml:space="preserve"> </w:t>
      </w:r>
      <w:r>
        <w:rPr>
          <w:spacing w:val="-1"/>
        </w:rPr>
        <w:t>and</w:t>
      </w:r>
      <w:r>
        <w:rPr>
          <w:spacing w:val="-2"/>
        </w:rPr>
        <w:t xml:space="preserve"> </w:t>
      </w:r>
      <w:r>
        <w:rPr>
          <w:spacing w:val="-1"/>
        </w:rPr>
        <w:t>replace</w:t>
      </w:r>
      <w:r>
        <w:rPr>
          <w:spacing w:val="-2"/>
        </w:rPr>
        <w:t xml:space="preserve"> </w:t>
      </w:r>
      <w:r>
        <w:rPr>
          <w:spacing w:val="-1"/>
        </w:rPr>
        <w:t>respectively</w:t>
      </w:r>
      <w:r>
        <w:rPr>
          <w:spacing w:val="-2"/>
        </w:rPr>
        <w:t xml:space="preserve"> </w:t>
      </w:r>
      <w:r>
        <w:rPr>
          <w:spacing w:val="-1"/>
        </w:rPr>
        <w:t>with:</w:t>
      </w:r>
    </w:p>
    <w:p w:rsidR="008918FA" w:rsidRDefault="008918FA" w:rsidP="008918FA">
      <w:pPr>
        <w:spacing w:before="9"/>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246016DC" wp14:editId="1559CC18">
                <wp:extent cx="2406650" cy="160020"/>
                <wp:effectExtent l="0" t="0" r="3175" b="1905"/>
                <wp:docPr id="47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2"/>
                              <w:rPr>
                                <w:rFonts w:ascii="Arial" w:eastAsia="Arial" w:hAnsi="Arial" w:cs="Arial"/>
                              </w:rPr>
                            </w:pPr>
                            <w:r>
                              <w:rPr>
                                <w:rFonts w:ascii="Arial" w:hAnsi="Arial"/>
                                <w:spacing w:val="-1"/>
                              </w:rPr>
                              <w:t>[enter monetary amount</w:t>
                            </w:r>
                            <w:r>
                              <w:rPr>
                                <w:rFonts w:ascii="Arial" w:hAnsi="Arial"/>
                                <w:spacing w:val="2"/>
                              </w:rPr>
                              <w:t xml:space="preserve"> </w:t>
                            </w:r>
                            <w:r>
                              <w:rPr>
                                <w:rFonts w:ascii="Arial" w:hAnsi="Arial"/>
                                <w:spacing w:val="-2"/>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wps:txbx>
                      <wps:bodyPr rot="0" vert="horz" wrap="square" lIns="0" tIns="0" rIns="0" bIns="0" anchor="t" anchorCtr="0" upright="1">
                        <a:noAutofit/>
                      </wps:bodyPr>
                    </wps:wsp>
                  </a:graphicData>
                </a:graphic>
              </wp:inline>
            </w:drawing>
          </mc:Choice>
          <mc:Fallback>
            <w:pict>
              <v:shape w14:anchorId="246016DC" id="Text Box 462" o:spid="_x0000_s1373" type="#_x0000_t202" style="width:189.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" fillcolor="yellow" stroked="f">
                <v:textbox inset="0,0,0,0">
                  <w:txbxContent>
                    <w:p w:rsidR="005D2B81" w:rsidRDefault="005D2B81" w:rsidP="008918FA">
                      <w:pPr>
                        <w:spacing w:line="251" w:lineRule="exact"/>
                        <w:ind w:right="-2"/>
                        <w:rPr>
                          <w:rFonts w:ascii="Arial" w:eastAsia="Arial" w:hAnsi="Arial" w:cs="Arial"/>
                        </w:rPr>
                      </w:pPr>
                      <w:r>
                        <w:rPr>
                          <w:rFonts w:ascii="Arial" w:hAnsi="Arial"/>
                          <w:spacing w:val="-1"/>
                        </w:rPr>
                        <w:t>[enter monetary amount</w:t>
                      </w:r>
                      <w:r>
                        <w:rPr>
                          <w:rFonts w:ascii="Arial" w:hAnsi="Arial"/>
                          <w:spacing w:val="2"/>
                        </w:rPr>
                        <w:t xml:space="preserve"> </w:t>
                      </w:r>
                      <w:r>
                        <w:rPr>
                          <w:rFonts w:ascii="Arial" w:hAnsi="Arial"/>
                          <w:spacing w:val="-2"/>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v:textbox>
                <w10:anchorlock/>
              </v:shape>
            </w:pict>
          </mc:Fallback>
        </mc:AlternateContent>
      </w:r>
    </w:p>
    <w:p w:rsidR="008918FA" w:rsidRDefault="008918FA" w:rsidP="008918FA">
      <w:pPr>
        <w:spacing w:before="5"/>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30F763DA" wp14:editId="1DBE5F57">
                <wp:extent cx="2019300" cy="161925"/>
                <wp:effectExtent l="0" t="0" r="0" b="0"/>
                <wp:docPr id="46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2"/>
                              <w:rPr>
                                <w:rFonts w:ascii="Arial" w:eastAsia="Arial" w:hAnsi="Arial" w:cs="Arial"/>
                              </w:rPr>
                            </w:pPr>
                            <w:r>
                              <w:rPr>
                                <w:rFonts w:ascii="Arial" w:hAnsi="Arial"/>
                                <w:spacing w:val="-1"/>
                              </w:rPr>
                              <w:t>[enter</w:t>
                            </w:r>
                            <w:r>
                              <w:rPr>
                                <w:rFonts w:ascii="Arial" w:hAnsi="Arial"/>
                                <w:spacing w:val="2"/>
                              </w:rPr>
                              <w:t xml:space="preserve"> </w:t>
                            </w:r>
                            <w:r>
                              <w:rPr>
                                <w:rFonts w:ascii="Arial" w:hAnsi="Arial"/>
                                <w:spacing w:val="-1"/>
                              </w:rPr>
                              <w:t>percentage</w:t>
                            </w:r>
                            <w:r>
                              <w:rPr>
                                <w:rFonts w:ascii="Arial" w:hAnsi="Arial"/>
                                <w:spacing w:val="-2"/>
                              </w:rPr>
                              <w:t xml:space="preserve"> </w:t>
                            </w:r>
                            <w:r>
                              <w:rPr>
                                <w:rFonts w:ascii="Arial" w:hAnsi="Arial"/>
                                <w:spacing w:val="-1"/>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wps:txbx>
                      <wps:bodyPr rot="0" vert="horz" wrap="square" lIns="0" tIns="0" rIns="0" bIns="0" anchor="t" anchorCtr="0" upright="1">
                        <a:noAutofit/>
                      </wps:bodyPr>
                    </wps:wsp>
                  </a:graphicData>
                </a:graphic>
              </wp:inline>
            </w:drawing>
          </mc:Choice>
          <mc:Fallback>
            <w:pict>
              <v:shape w14:anchorId="30F763DA" id="Text Box 461" o:spid="_x0000_s1374" type="#_x0000_t202" style="width:15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" fillcolor="yellow" stroked="f">
                <v:textbox inset="0,0,0,0">
                  <w:txbxContent>
                    <w:p w:rsidR="005D2B81" w:rsidRDefault="005D2B81" w:rsidP="008918FA">
                      <w:pPr>
                        <w:spacing w:line="251" w:lineRule="exact"/>
                        <w:ind w:right="-2"/>
                        <w:rPr>
                          <w:rFonts w:ascii="Arial" w:eastAsia="Arial" w:hAnsi="Arial" w:cs="Arial"/>
                        </w:rPr>
                      </w:pPr>
                      <w:r>
                        <w:rPr>
                          <w:rFonts w:ascii="Arial" w:hAnsi="Arial"/>
                          <w:spacing w:val="-1"/>
                        </w:rPr>
                        <w:t>[enter</w:t>
                      </w:r>
                      <w:r>
                        <w:rPr>
                          <w:rFonts w:ascii="Arial" w:hAnsi="Arial"/>
                          <w:spacing w:val="2"/>
                        </w:rPr>
                        <w:t xml:space="preserve"> </w:t>
                      </w:r>
                      <w:r>
                        <w:rPr>
                          <w:rFonts w:ascii="Arial" w:hAnsi="Arial"/>
                          <w:spacing w:val="-1"/>
                        </w:rPr>
                        <w:t>percentage</w:t>
                      </w:r>
                      <w:r>
                        <w:rPr>
                          <w:rFonts w:ascii="Arial" w:hAnsi="Arial"/>
                          <w:spacing w:val="-2"/>
                        </w:rPr>
                        <w:t xml:space="preserve"> </w:t>
                      </w:r>
                      <w:r>
                        <w:rPr>
                          <w:rFonts w:ascii="Arial" w:hAnsi="Arial"/>
                          <w:spacing w:val="-1"/>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v:textbox>
                <w10:anchorlock/>
              </v:shape>
            </w:pict>
          </mc:Fallback>
        </mc:AlternateContent>
      </w:r>
    </w:p>
    <w:p w:rsidR="008918FA" w:rsidRDefault="008918FA" w:rsidP="008918FA">
      <w:pPr>
        <w:pStyle w:val="BodyText"/>
        <w:spacing w:before="117"/>
        <w:ind w:left="1033" w:right="125" w:hanging="1"/>
      </w:pPr>
      <w:r>
        <w:t>In</w:t>
      </w:r>
      <w:r>
        <w:rPr>
          <w:spacing w:val="19"/>
        </w:rPr>
        <w:t xml:space="preserve"> </w:t>
      </w:r>
      <w:r>
        <w:rPr>
          <w:spacing w:val="-2"/>
        </w:rPr>
        <w:t>Clause</w:t>
      </w:r>
      <w:r>
        <w:rPr>
          <w:spacing w:val="20"/>
        </w:rPr>
        <w:t xml:space="preserve"> </w:t>
      </w:r>
      <w:hyperlink w:anchor="_bookmark207" w:history="1">
        <w:r>
          <w:rPr>
            <w:spacing w:val="-1"/>
          </w:rPr>
          <w:t>36.2.1(b)(iii)</w:t>
        </w:r>
      </w:hyperlink>
      <w:r>
        <w:rPr>
          <w:spacing w:val="21"/>
        </w:rPr>
        <w:t xml:space="preserve"> </w:t>
      </w:r>
      <w:r>
        <w:rPr>
          <w:spacing w:val="-2"/>
        </w:rPr>
        <w:t>remove</w:t>
      </w:r>
      <w:r>
        <w:rPr>
          <w:spacing w:val="20"/>
        </w:rPr>
        <w:t xml:space="preserve"> </w:t>
      </w:r>
      <w:r>
        <w:t>the</w:t>
      </w:r>
      <w:r>
        <w:rPr>
          <w:spacing w:val="20"/>
        </w:rPr>
        <w:t xml:space="preserve"> </w:t>
      </w:r>
      <w:r>
        <w:rPr>
          <w:spacing w:val="-1"/>
        </w:rPr>
        <w:t>monetary</w:t>
      </w:r>
      <w:r>
        <w:rPr>
          <w:spacing w:val="17"/>
        </w:rPr>
        <w:t xml:space="preserve"> </w:t>
      </w:r>
      <w:r>
        <w:rPr>
          <w:spacing w:val="-1"/>
        </w:rPr>
        <w:t>amount</w:t>
      </w:r>
      <w:r>
        <w:rPr>
          <w:spacing w:val="21"/>
        </w:rPr>
        <w:t xml:space="preserve"> </w:t>
      </w:r>
      <w:r>
        <w:rPr>
          <w:spacing w:val="-1"/>
        </w:rPr>
        <w:t>and</w:t>
      </w:r>
      <w:r>
        <w:rPr>
          <w:spacing w:val="17"/>
        </w:rPr>
        <w:t xml:space="preserve"> </w:t>
      </w:r>
      <w:r>
        <w:t>the</w:t>
      </w:r>
      <w:r>
        <w:rPr>
          <w:spacing w:val="20"/>
        </w:rPr>
        <w:t xml:space="preserve"> </w:t>
      </w:r>
      <w:r>
        <w:rPr>
          <w:spacing w:val="-1"/>
        </w:rPr>
        <w:t>percentage</w:t>
      </w:r>
      <w:r>
        <w:rPr>
          <w:spacing w:val="17"/>
        </w:rPr>
        <w:t xml:space="preserve"> </w:t>
      </w:r>
      <w:r>
        <w:rPr>
          <w:spacing w:val="-1"/>
        </w:rPr>
        <w:t>stated</w:t>
      </w:r>
      <w:r>
        <w:rPr>
          <w:spacing w:val="44"/>
        </w:rPr>
        <w:t xml:space="preserve"> </w:t>
      </w:r>
      <w:r>
        <w:rPr>
          <w:spacing w:val="-1"/>
        </w:rPr>
        <w:t>therein</w:t>
      </w:r>
      <w:r>
        <w:t xml:space="preserve"> </w:t>
      </w:r>
      <w:r>
        <w:rPr>
          <w:spacing w:val="-1"/>
        </w:rPr>
        <w:t>and</w:t>
      </w:r>
      <w:r>
        <w:rPr>
          <w:spacing w:val="-2"/>
        </w:rPr>
        <w:t xml:space="preserve"> </w:t>
      </w:r>
      <w:r>
        <w:rPr>
          <w:spacing w:val="-1"/>
        </w:rPr>
        <w:t>replace</w:t>
      </w:r>
      <w:r>
        <w:rPr>
          <w:spacing w:val="-2"/>
        </w:rPr>
        <w:t xml:space="preserve"> </w:t>
      </w:r>
      <w:r>
        <w:rPr>
          <w:spacing w:val="-1"/>
        </w:rPr>
        <w:t>respectively</w:t>
      </w:r>
      <w:r>
        <w:rPr>
          <w:spacing w:val="-2"/>
        </w:rPr>
        <w:t xml:space="preserve"> </w:t>
      </w:r>
      <w:r>
        <w:rPr>
          <w:spacing w:val="-1"/>
        </w:rPr>
        <w:t>with:</w:t>
      </w:r>
    </w:p>
    <w:p w:rsidR="008918FA" w:rsidRDefault="008918FA" w:rsidP="008918FA">
      <w:pPr>
        <w:spacing w:before="6"/>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2B5C487A" wp14:editId="0E5528D2">
                <wp:extent cx="2406650" cy="161925"/>
                <wp:effectExtent l="0" t="0" r="3175" b="0"/>
                <wp:docPr id="46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2"/>
                              <w:rPr>
                                <w:rFonts w:ascii="Arial" w:eastAsia="Arial" w:hAnsi="Arial" w:cs="Arial"/>
                              </w:rPr>
                            </w:pPr>
                            <w:r>
                              <w:rPr>
                                <w:rFonts w:ascii="Arial" w:hAnsi="Arial"/>
                                <w:spacing w:val="-1"/>
                              </w:rPr>
                              <w:t>[enter monetary amount</w:t>
                            </w:r>
                            <w:r>
                              <w:rPr>
                                <w:rFonts w:ascii="Arial" w:hAnsi="Arial"/>
                                <w:spacing w:val="2"/>
                              </w:rPr>
                              <w:t xml:space="preserve"> </w:t>
                            </w:r>
                            <w:r>
                              <w:rPr>
                                <w:rFonts w:ascii="Arial" w:hAnsi="Arial"/>
                                <w:spacing w:val="-2"/>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wps:txbx>
                      <wps:bodyPr rot="0" vert="horz" wrap="square" lIns="0" tIns="0" rIns="0" bIns="0" anchor="t" anchorCtr="0" upright="1">
                        <a:noAutofit/>
                      </wps:bodyPr>
                    </wps:wsp>
                  </a:graphicData>
                </a:graphic>
              </wp:inline>
            </w:drawing>
          </mc:Choice>
          <mc:Fallback>
            <w:pict>
              <v:shape w14:anchorId="2B5C487A" id="Text Box 460" o:spid="_x0000_s1375" type="#_x0000_t202" style="width:189.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" fillcolor="yellow" stroked="f">
                <v:textbox inset="0,0,0,0">
                  <w:txbxContent>
                    <w:p w:rsidR="005D2B81" w:rsidRDefault="005D2B81" w:rsidP="008918FA">
                      <w:pPr>
                        <w:spacing w:line="251" w:lineRule="exact"/>
                        <w:ind w:right="-2"/>
                        <w:rPr>
                          <w:rFonts w:ascii="Arial" w:eastAsia="Arial" w:hAnsi="Arial" w:cs="Arial"/>
                        </w:rPr>
                      </w:pPr>
                      <w:r>
                        <w:rPr>
                          <w:rFonts w:ascii="Arial" w:hAnsi="Arial"/>
                          <w:spacing w:val="-1"/>
                        </w:rPr>
                        <w:t>[enter monetary amount</w:t>
                      </w:r>
                      <w:r>
                        <w:rPr>
                          <w:rFonts w:ascii="Arial" w:hAnsi="Arial"/>
                          <w:spacing w:val="2"/>
                        </w:rPr>
                        <w:t xml:space="preserve"> </w:t>
                      </w:r>
                      <w:r>
                        <w:rPr>
                          <w:rFonts w:ascii="Arial" w:hAnsi="Arial"/>
                          <w:spacing w:val="-2"/>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v:textbox>
                <w10:anchorlock/>
              </v:shape>
            </w:pict>
          </mc:Fallback>
        </mc:AlternateContent>
      </w:r>
    </w:p>
    <w:p w:rsidR="008918FA" w:rsidRDefault="008918FA" w:rsidP="008918FA">
      <w:pPr>
        <w:spacing w:before="5"/>
        <w:rPr>
          <w:rFonts w:ascii="Arial" w:eastAsia="Arial" w:hAnsi="Arial" w:cs="Arial"/>
          <w:sz w:val="10"/>
          <w:szCs w:val="10"/>
        </w:rPr>
      </w:pPr>
    </w:p>
    <w:p w:rsidR="008918FA" w:rsidRDefault="008918FA" w:rsidP="008918FA">
      <w:pPr>
        <w:spacing w:line="200" w:lineRule="atLeast"/>
        <w:ind w:left="2026"/>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740BB21D" wp14:editId="7FBCFAB7">
                <wp:extent cx="2019300" cy="160020"/>
                <wp:effectExtent l="0" t="0" r="0" b="1905"/>
                <wp:docPr id="46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line="251" w:lineRule="exact"/>
                              <w:ind w:right="-2"/>
                              <w:rPr>
                                <w:rFonts w:ascii="Arial" w:eastAsia="Arial" w:hAnsi="Arial" w:cs="Arial"/>
                              </w:rPr>
                            </w:pPr>
                            <w:r>
                              <w:rPr>
                                <w:rFonts w:ascii="Arial" w:hAnsi="Arial"/>
                                <w:spacing w:val="-1"/>
                              </w:rPr>
                              <w:t>[enter</w:t>
                            </w:r>
                            <w:r>
                              <w:rPr>
                                <w:rFonts w:ascii="Arial" w:hAnsi="Arial"/>
                                <w:spacing w:val="2"/>
                              </w:rPr>
                              <w:t xml:space="preserve"> </w:t>
                            </w:r>
                            <w:r>
                              <w:rPr>
                                <w:rFonts w:ascii="Arial" w:hAnsi="Arial"/>
                                <w:spacing w:val="-1"/>
                              </w:rPr>
                              <w:t>percentage</w:t>
                            </w:r>
                            <w:r>
                              <w:rPr>
                                <w:rFonts w:ascii="Arial" w:hAnsi="Arial"/>
                                <w:spacing w:val="-2"/>
                              </w:rPr>
                              <w:t xml:space="preserve"> </w:t>
                            </w:r>
                            <w:r>
                              <w:rPr>
                                <w:rFonts w:ascii="Arial" w:hAnsi="Arial"/>
                                <w:spacing w:val="-1"/>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wps:txbx>
                      <wps:bodyPr rot="0" vert="horz" wrap="square" lIns="0" tIns="0" rIns="0" bIns="0" anchor="t" anchorCtr="0" upright="1">
                        <a:noAutofit/>
                      </wps:bodyPr>
                    </wps:wsp>
                  </a:graphicData>
                </a:graphic>
              </wp:inline>
            </w:drawing>
          </mc:Choice>
          <mc:Fallback>
            <w:pict>
              <v:shape w14:anchorId="740BB21D" id="Text Box 459" o:spid="_x0000_s1376" type="#_x0000_t202" style="width:159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" fillcolor="yellow" stroked="f">
                <v:textbox inset="0,0,0,0">
                  <w:txbxContent>
                    <w:p w:rsidR="005D2B81" w:rsidRDefault="005D2B81" w:rsidP="008918FA">
                      <w:pPr>
                        <w:spacing w:line="251" w:lineRule="exact"/>
                        <w:ind w:right="-2"/>
                        <w:rPr>
                          <w:rFonts w:ascii="Arial" w:eastAsia="Arial" w:hAnsi="Arial" w:cs="Arial"/>
                        </w:rPr>
                      </w:pPr>
                      <w:r>
                        <w:rPr>
                          <w:rFonts w:ascii="Arial" w:hAnsi="Arial"/>
                          <w:spacing w:val="-1"/>
                        </w:rPr>
                        <w:t>[enter</w:t>
                      </w:r>
                      <w:r>
                        <w:rPr>
                          <w:rFonts w:ascii="Arial" w:hAnsi="Arial"/>
                          <w:spacing w:val="2"/>
                        </w:rPr>
                        <w:t xml:space="preserve"> </w:t>
                      </w:r>
                      <w:r>
                        <w:rPr>
                          <w:rFonts w:ascii="Arial" w:hAnsi="Arial"/>
                          <w:spacing w:val="-1"/>
                        </w:rPr>
                        <w:t>percentage</w:t>
                      </w:r>
                      <w:r>
                        <w:rPr>
                          <w:rFonts w:ascii="Arial" w:hAnsi="Arial"/>
                          <w:spacing w:val="-2"/>
                        </w:rPr>
                        <w:t xml:space="preserve"> </w:t>
                      </w:r>
                      <w:r>
                        <w:rPr>
                          <w:rFonts w:ascii="Arial" w:hAnsi="Arial"/>
                          <w:spacing w:val="-1"/>
                        </w:rPr>
                        <w:t>in</w:t>
                      </w:r>
                      <w:r>
                        <w:rPr>
                          <w:rFonts w:ascii="Arial" w:hAnsi="Arial"/>
                        </w:rPr>
                        <w:t xml:space="preserve"> </w:t>
                      </w:r>
                      <w:r>
                        <w:rPr>
                          <w:rFonts w:ascii="Arial" w:hAnsi="Arial"/>
                          <w:spacing w:val="-2"/>
                        </w:rPr>
                        <w:t>words]</w:t>
                      </w:r>
                      <w:r>
                        <w:rPr>
                          <w:rFonts w:ascii="Arial" w:hAnsi="Arial"/>
                        </w:rPr>
                        <w:t xml:space="preserve"> [£</w:t>
                      </w:r>
                      <w:r>
                        <w:rPr>
                          <w:rFonts w:ascii="Arial" w:hAnsi="Arial"/>
                          <w:spacing w:val="-2"/>
                        </w:rPr>
                        <w:t xml:space="preserve"> </w:t>
                      </w:r>
                      <w:r>
                        <w:rPr>
                          <w:rFonts w:ascii="Arial" w:hAnsi="Arial"/>
                          <w:spacing w:val="-1"/>
                        </w:rPr>
                        <w:t>X]</w:t>
                      </w:r>
                    </w:p>
                  </w:txbxContent>
                </v:textbox>
                <w10:anchorlock/>
              </v:shape>
            </w:pict>
          </mc:Fallback>
        </mc:AlternateContent>
      </w:r>
    </w:p>
    <w:p w:rsidR="008918FA" w:rsidRDefault="008918FA" w:rsidP="008918FA">
      <w:pPr>
        <w:rPr>
          <w:rFonts w:ascii="Arial" w:eastAsia="Arial" w:hAnsi="Arial" w:cs="Arial"/>
          <w:sz w:val="20"/>
          <w:szCs w:val="20"/>
        </w:rPr>
      </w:pPr>
    </w:p>
    <w:p w:rsidR="008918FA" w:rsidRDefault="008918FA" w:rsidP="008918FA">
      <w:pPr>
        <w:spacing w:before="4"/>
        <w:rPr>
          <w:rFonts w:ascii="Arial" w:eastAsia="Arial" w:hAnsi="Arial" w:cs="Arial"/>
          <w:sz w:val="16"/>
          <w:szCs w:val="16"/>
        </w:rPr>
      </w:pPr>
    </w:p>
    <w:p w:rsidR="008918FA" w:rsidRDefault="008918FA" w:rsidP="008918FA">
      <w:pPr>
        <w:pStyle w:val="BodyText"/>
        <w:numPr>
          <w:ilvl w:val="0"/>
          <w:numId w:val="4"/>
        </w:numPr>
        <w:tabs>
          <w:tab w:val="left" w:pos="467"/>
        </w:tabs>
        <w:spacing w:before="72"/>
        <w:ind w:left="466"/>
        <w:jc w:val="left"/>
        <w:rPr>
          <w:rFonts w:ascii="Times New Roman" w:eastAsia="Times New Roman" w:hAnsi="Times New Roman" w:cs="Times New Roman"/>
        </w:rPr>
      </w:pPr>
      <w:r>
        <w:rPr>
          <w:rFonts w:ascii="Times New Roman"/>
          <w:spacing w:val="-3"/>
        </w:rPr>
        <w:t>ADDITIONAL</w:t>
      </w:r>
      <w:r>
        <w:rPr>
          <w:rFonts w:ascii="Times New Roman"/>
          <w:spacing w:val="7"/>
        </w:rPr>
        <w:t xml:space="preserve"> </w:t>
      </w:r>
      <w:r>
        <w:rPr>
          <w:rFonts w:ascii="Times New Roman"/>
          <w:spacing w:val="1"/>
        </w:rPr>
        <w:t>CLAUS</w:t>
      </w:r>
      <w:r>
        <w:rPr>
          <w:rFonts w:ascii="Times New Roman"/>
          <w:spacing w:val="-29"/>
        </w:rPr>
        <w:t xml:space="preserve"> </w:t>
      </w:r>
      <w:r>
        <w:rPr>
          <w:rFonts w:ascii="Times New Roman"/>
          <w:spacing w:val="12"/>
        </w:rPr>
        <w:t>ES:</w:t>
      </w:r>
      <w:r>
        <w:rPr>
          <w:rFonts w:ascii="Times New Roman"/>
          <w:spacing w:val="17"/>
        </w:rPr>
        <w:t xml:space="preserve"> </w:t>
      </w:r>
      <w:r>
        <w:rPr>
          <w:rFonts w:ascii="Times New Roman"/>
          <w:spacing w:val="5"/>
        </w:rPr>
        <w:t>GENERAL</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4"/>
        </w:numPr>
        <w:tabs>
          <w:tab w:val="left" w:pos="829"/>
        </w:tabs>
        <w:spacing w:before="0"/>
        <w:ind w:left="828"/>
      </w:pPr>
      <w:bookmarkStart w:id="525" w:name="_bookmark437"/>
      <w:bookmarkEnd w:id="525"/>
      <w:r>
        <w:rPr>
          <w:spacing w:val="-1"/>
        </w:rPr>
        <w:t>SECURITY</w:t>
      </w:r>
      <w:r>
        <w:t xml:space="preserve"> </w:t>
      </w:r>
      <w:r>
        <w:rPr>
          <w:spacing w:val="-2"/>
        </w:rPr>
        <w:t>MEASURES</w:t>
      </w:r>
    </w:p>
    <w:p w:rsidR="008918FA" w:rsidRDefault="008918FA" w:rsidP="008918FA">
      <w:pPr>
        <w:pStyle w:val="BodyText"/>
        <w:numPr>
          <w:ilvl w:val="2"/>
          <w:numId w:val="4"/>
        </w:numPr>
        <w:tabs>
          <w:tab w:val="left" w:pos="2027"/>
        </w:tabs>
        <w:ind w:left="2026" w:right="125"/>
      </w:pPr>
      <w:r>
        <w:t xml:space="preserve">The </w:t>
      </w:r>
      <w:r>
        <w:rPr>
          <w:spacing w:val="49"/>
        </w:rPr>
        <w:t xml:space="preserve"> </w:t>
      </w:r>
      <w:r>
        <w:rPr>
          <w:spacing w:val="-2"/>
        </w:rPr>
        <w:t>following</w:t>
      </w:r>
      <w:r>
        <w:t xml:space="preserve"> </w:t>
      </w:r>
      <w:r>
        <w:rPr>
          <w:spacing w:val="54"/>
        </w:rPr>
        <w:t xml:space="preserve"> </w:t>
      </w:r>
      <w:r>
        <w:rPr>
          <w:spacing w:val="-1"/>
        </w:rPr>
        <w:t>definitions</w:t>
      </w:r>
      <w:r>
        <w:t xml:space="preserve"> </w:t>
      </w:r>
      <w:r>
        <w:rPr>
          <w:spacing w:val="52"/>
        </w:rPr>
        <w:t xml:space="preserve"> </w:t>
      </w:r>
      <w:r>
        <w:t xml:space="preserve">to </w:t>
      </w:r>
      <w:r>
        <w:rPr>
          <w:spacing w:val="52"/>
        </w:rPr>
        <w:t xml:space="preserve"> </w:t>
      </w:r>
      <w:r>
        <w:rPr>
          <w:spacing w:val="-1"/>
        </w:rPr>
        <w:t>be</w:t>
      </w:r>
      <w:r>
        <w:t xml:space="preserve"> </w:t>
      </w:r>
      <w:r>
        <w:rPr>
          <w:spacing w:val="52"/>
        </w:rPr>
        <w:t xml:space="preserve"> </w:t>
      </w:r>
      <w:r>
        <w:rPr>
          <w:spacing w:val="-1"/>
        </w:rPr>
        <w:t>added</w:t>
      </w:r>
      <w:r>
        <w:t xml:space="preserve"> </w:t>
      </w:r>
      <w:r>
        <w:rPr>
          <w:spacing w:val="52"/>
        </w:rPr>
        <w:t xml:space="preserve"> </w:t>
      </w:r>
      <w:r>
        <w:t xml:space="preserve">to </w:t>
      </w:r>
      <w:r>
        <w:rPr>
          <w:spacing w:val="58"/>
        </w:rPr>
        <w:t xml:space="preserve"> </w:t>
      </w:r>
      <w:r>
        <w:rPr>
          <w:spacing w:val="-2"/>
        </w:rPr>
        <w:t>Call</w:t>
      </w:r>
      <w:r>
        <w:t xml:space="preserve"> </w:t>
      </w:r>
      <w:r>
        <w:rPr>
          <w:spacing w:val="51"/>
        </w:rPr>
        <w:t xml:space="preserve"> </w:t>
      </w:r>
      <w:r>
        <w:t xml:space="preserve">Off </w:t>
      </w:r>
      <w:r>
        <w:rPr>
          <w:spacing w:val="55"/>
        </w:rPr>
        <w:t xml:space="preserve"> </w:t>
      </w:r>
      <w:r>
        <w:rPr>
          <w:spacing w:val="-1"/>
        </w:rPr>
        <w:t>Schedule</w:t>
      </w:r>
      <w:r>
        <w:t xml:space="preserve"> </w:t>
      </w:r>
      <w:r>
        <w:rPr>
          <w:spacing w:val="52"/>
        </w:rPr>
        <w:t xml:space="preserve"> </w:t>
      </w:r>
      <w:r>
        <w:t>1</w:t>
      </w:r>
      <w:r>
        <w:rPr>
          <w:spacing w:val="43"/>
        </w:rPr>
        <w:t xml:space="preserve"> </w:t>
      </w:r>
      <w:r>
        <w:rPr>
          <w:spacing w:val="-1"/>
        </w:rPr>
        <w:t xml:space="preserve">(Definitions) </w:t>
      </w:r>
      <w:r>
        <w:t>to</w:t>
      </w:r>
      <w:r>
        <w:rPr>
          <w:spacing w:val="-2"/>
        </w:rPr>
        <w:t xml:space="preserve"> </w:t>
      </w:r>
      <w:r>
        <w:t>the</w:t>
      </w:r>
      <w:r>
        <w:rPr>
          <w:spacing w:val="-2"/>
        </w:rPr>
        <w:t xml:space="preserve"> Call</w:t>
      </w:r>
      <w:r>
        <w:t xml:space="preserve"> </w:t>
      </w:r>
      <w:r>
        <w:rPr>
          <w:spacing w:val="-1"/>
        </w:rPr>
        <w:t>Off</w:t>
      </w:r>
      <w:r>
        <w:rPr>
          <w:spacing w:val="2"/>
        </w:rPr>
        <w:t xml:space="preserve"> </w:t>
      </w:r>
      <w:r>
        <w:rPr>
          <w:spacing w:val="-1"/>
        </w:rPr>
        <w:t>Form and</w:t>
      </w:r>
      <w:r>
        <w:rPr>
          <w:spacing w:val="-2"/>
        </w:rPr>
        <w:t xml:space="preserve"> </w:t>
      </w:r>
      <w:r>
        <w:t>the</w:t>
      </w:r>
      <w:r>
        <w:rPr>
          <w:spacing w:val="-2"/>
        </w:rPr>
        <w:t xml:space="preserve"> Call</w:t>
      </w:r>
      <w:r>
        <w:t xml:space="preserve"> </w:t>
      </w:r>
      <w:r>
        <w:rPr>
          <w:spacing w:val="-1"/>
        </w:rPr>
        <w:t>Off</w:t>
      </w:r>
      <w:r>
        <w:t xml:space="preserve"> </w:t>
      </w:r>
      <w:r>
        <w:rPr>
          <w:spacing w:val="-1"/>
        </w:rPr>
        <w:t>Terms:</w:t>
      </w:r>
    </w:p>
    <w:p w:rsidR="008918FA" w:rsidRDefault="008918FA" w:rsidP="008918FA">
      <w:pPr>
        <w:pStyle w:val="BodyText"/>
        <w:spacing w:before="116" w:line="243" w:lineRule="auto"/>
        <w:ind w:left="2026" w:right="113" w:firstLine="0"/>
        <w:jc w:val="both"/>
      </w:pPr>
      <w:r>
        <w:rPr>
          <w:spacing w:val="-1"/>
        </w:rPr>
        <w:t>"</w:t>
      </w:r>
      <w:r>
        <w:rPr>
          <w:b/>
          <w:spacing w:val="-1"/>
        </w:rPr>
        <w:t>Document</w:t>
      </w:r>
      <w:r>
        <w:rPr>
          <w:spacing w:val="-1"/>
        </w:rPr>
        <w:t>"</w:t>
      </w:r>
      <w:r>
        <w:rPr>
          <w:spacing w:val="4"/>
        </w:rPr>
        <w:t xml:space="preserve"> </w:t>
      </w:r>
      <w:r>
        <w:rPr>
          <w:spacing w:val="-1"/>
        </w:rPr>
        <w:t>includes</w:t>
      </w:r>
      <w:r>
        <w:rPr>
          <w:spacing w:val="3"/>
        </w:rPr>
        <w:t xml:space="preserve"> </w:t>
      </w:r>
      <w:r>
        <w:rPr>
          <w:spacing w:val="-1"/>
        </w:rPr>
        <w:t>specifications,</w:t>
      </w:r>
      <w:r>
        <w:rPr>
          <w:spacing w:val="5"/>
        </w:rPr>
        <w:t xml:space="preserve"> </w:t>
      </w:r>
      <w:r>
        <w:rPr>
          <w:spacing w:val="-2"/>
        </w:rPr>
        <w:t>plans,</w:t>
      </w:r>
      <w:r>
        <w:rPr>
          <w:spacing w:val="6"/>
        </w:rPr>
        <w:t xml:space="preserve"> </w:t>
      </w:r>
      <w:r>
        <w:rPr>
          <w:spacing w:val="-1"/>
        </w:rPr>
        <w:t>drawings,</w:t>
      </w:r>
      <w:r>
        <w:rPr>
          <w:spacing w:val="4"/>
        </w:rPr>
        <w:t xml:space="preserve"> </w:t>
      </w:r>
      <w:r>
        <w:rPr>
          <w:spacing w:val="-1"/>
        </w:rPr>
        <w:t>photographs</w:t>
      </w:r>
      <w:r>
        <w:rPr>
          <w:spacing w:val="1"/>
        </w:rPr>
        <w:t xml:space="preserve"> </w:t>
      </w:r>
      <w:r>
        <w:rPr>
          <w:spacing w:val="-1"/>
        </w:rPr>
        <w:t>and</w:t>
      </w:r>
      <w:r>
        <w:rPr>
          <w:spacing w:val="29"/>
        </w:rPr>
        <w:t xml:space="preserve"> </w:t>
      </w:r>
      <w:r>
        <w:rPr>
          <w:spacing w:val="-1"/>
        </w:rPr>
        <w:t>books;</w:t>
      </w:r>
    </w:p>
    <w:p w:rsidR="008918FA" w:rsidRDefault="008918FA" w:rsidP="008918FA">
      <w:pPr>
        <w:pStyle w:val="BodyText"/>
        <w:spacing w:before="113"/>
        <w:ind w:left="2026" w:right="114" w:firstLine="0"/>
        <w:jc w:val="both"/>
      </w:pPr>
      <w:r>
        <w:rPr>
          <w:spacing w:val="-1"/>
        </w:rPr>
        <w:t>"</w:t>
      </w:r>
      <w:r>
        <w:rPr>
          <w:b/>
          <w:spacing w:val="-1"/>
        </w:rPr>
        <w:t>Secret</w:t>
      </w:r>
      <w:r>
        <w:rPr>
          <w:b/>
          <w:spacing w:val="6"/>
        </w:rPr>
        <w:t xml:space="preserve"> </w:t>
      </w:r>
      <w:r>
        <w:rPr>
          <w:b/>
          <w:spacing w:val="-1"/>
        </w:rPr>
        <w:t>Matter</w:t>
      </w:r>
      <w:r>
        <w:rPr>
          <w:spacing w:val="-1"/>
        </w:rPr>
        <w:t>"</w:t>
      </w:r>
      <w:r>
        <w:rPr>
          <w:spacing w:val="6"/>
        </w:rPr>
        <w:t xml:space="preserve"> </w:t>
      </w:r>
      <w:r>
        <w:rPr>
          <w:spacing w:val="-1"/>
        </w:rPr>
        <w:t>means</w:t>
      </w:r>
      <w:r>
        <w:rPr>
          <w:spacing w:val="5"/>
        </w:rPr>
        <w:t xml:space="preserve"> </w:t>
      </w:r>
      <w:r>
        <w:rPr>
          <w:spacing w:val="-1"/>
        </w:rPr>
        <w:t>any</w:t>
      </w:r>
      <w:r>
        <w:rPr>
          <w:spacing w:val="3"/>
        </w:rPr>
        <w:t xml:space="preserve"> </w:t>
      </w:r>
      <w:r>
        <w:t>matter</w:t>
      </w:r>
      <w:r>
        <w:rPr>
          <w:spacing w:val="6"/>
        </w:rPr>
        <w:t xml:space="preserve"> </w:t>
      </w:r>
      <w:r>
        <w:rPr>
          <w:spacing w:val="-1"/>
        </w:rPr>
        <w:t>connected</w:t>
      </w:r>
      <w:r>
        <w:rPr>
          <w:spacing w:val="5"/>
        </w:rPr>
        <w:t xml:space="preserve"> </w:t>
      </w:r>
      <w:r>
        <w:rPr>
          <w:spacing w:val="-2"/>
        </w:rPr>
        <w:t>with</w:t>
      </w:r>
      <w:r>
        <w:rPr>
          <w:spacing w:val="5"/>
        </w:rPr>
        <w:t xml:space="preserve"> </w:t>
      </w:r>
      <w:r>
        <w:rPr>
          <w:spacing w:val="-1"/>
        </w:rPr>
        <w:t>or</w:t>
      </w:r>
      <w:r>
        <w:rPr>
          <w:spacing w:val="6"/>
        </w:rPr>
        <w:t xml:space="preserve"> </w:t>
      </w:r>
      <w:r>
        <w:rPr>
          <w:spacing w:val="-1"/>
        </w:rPr>
        <w:t>arising</w:t>
      </w:r>
      <w:r>
        <w:rPr>
          <w:spacing w:val="7"/>
        </w:rPr>
        <w:t xml:space="preserve"> </w:t>
      </w:r>
      <w:r>
        <w:rPr>
          <w:spacing w:val="-1"/>
        </w:rPr>
        <w:t>out</w:t>
      </w:r>
      <w:r>
        <w:rPr>
          <w:spacing w:val="7"/>
        </w:rPr>
        <w:t xml:space="preserve"> </w:t>
      </w:r>
      <w:r>
        <w:rPr>
          <w:spacing w:val="-2"/>
        </w:rPr>
        <w:t>of</w:t>
      </w:r>
      <w:r>
        <w:rPr>
          <w:spacing w:val="6"/>
        </w:rPr>
        <w:t xml:space="preserve"> </w:t>
      </w:r>
      <w:r>
        <w:rPr>
          <w:spacing w:val="-1"/>
        </w:rPr>
        <w:t>the</w:t>
      </w:r>
      <w:r>
        <w:rPr>
          <w:spacing w:val="38"/>
        </w:rPr>
        <w:t xml:space="preserve"> </w:t>
      </w:r>
      <w:r>
        <w:rPr>
          <w:spacing w:val="-1"/>
        </w:rPr>
        <w:t>performance</w:t>
      </w:r>
      <w:r>
        <w:rPr>
          <w:spacing w:val="1"/>
        </w:rPr>
        <w:t xml:space="preserve"> </w:t>
      </w:r>
      <w:r>
        <w:rPr>
          <w:spacing w:val="-2"/>
        </w:rPr>
        <w:t>of</w:t>
      </w:r>
      <w:r>
        <w:rPr>
          <w:spacing w:val="4"/>
        </w:rPr>
        <w:t xml:space="preserve"> </w:t>
      </w:r>
      <w:r>
        <w:rPr>
          <w:spacing w:val="-2"/>
        </w:rPr>
        <w:t>this</w:t>
      </w:r>
      <w:r>
        <w:rPr>
          <w:spacing w:val="1"/>
        </w:rPr>
        <w:t xml:space="preserve"> </w:t>
      </w:r>
      <w:r>
        <w:rPr>
          <w:spacing w:val="-2"/>
        </w:rPr>
        <w:t>Call</w:t>
      </w:r>
      <w:r>
        <w:rPr>
          <w:spacing w:val="4"/>
        </w:rPr>
        <w:t xml:space="preserve"> </w:t>
      </w:r>
      <w:r>
        <w:rPr>
          <w:spacing w:val="-1"/>
        </w:rPr>
        <w:t>Off</w:t>
      </w:r>
      <w:r>
        <w:rPr>
          <w:spacing w:val="4"/>
        </w:rPr>
        <w:t xml:space="preserve"> </w:t>
      </w:r>
      <w:r>
        <w:rPr>
          <w:spacing w:val="-2"/>
        </w:rPr>
        <w:t>Contract</w:t>
      </w:r>
      <w:r>
        <w:rPr>
          <w:spacing w:val="2"/>
        </w:rPr>
        <w:t xml:space="preserve"> </w:t>
      </w:r>
      <w:r>
        <w:rPr>
          <w:spacing w:val="-2"/>
        </w:rPr>
        <w:t>which</w:t>
      </w:r>
      <w:r>
        <w:rPr>
          <w:spacing w:val="3"/>
        </w:rPr>
        <w:t xml:space="preserve"> </w:t>
      </w:r>
      <w:r>
        <w:rPr>
          <w:spacing w:val="-1"/>
        </w:rPr>
        <w:t>has</w:t>
      </w:r>
      <w:r>
        <w:rPr>
          <w:spacing w:val="1"/>
        </w:rPr>
        <w:t xml:space="preserve"> </w:t>
      </w:r>
      <w:r>
        <w:rPr>
          <w:spacing w:val="-1"/>
        </w:rPr>
        <w:t>been,</w:t>
      </w:r>
      <w:r>
        <w:rPr>
          <w:spacing w:val="2"/>
        </w:rPr>
        <w:t xml:space="preserve"> </w:t>
      </w:r>
      <w:r>
        <w:rPr>
          <w:spacing w:val="-1"/>
        </w:rPr>
        <w:t>or</w:t>
      </w:r>
      <w:r>
        <w:rPr>
          <w:spacing w:val="2"/>
        </w:rPr>
        <w:t xml:space="preserve"> </w:t>
      </w:r>
      <w:r>
        <w:rPr>
          <w:spacing w:val="-1"/>
        </w:rPr>
        <w:t>may</w:t>
      </w:r>
      <w:r>
        <w:rPr>
          <w:spacing w:val="-2"/>
        </w:rPr>
        <w:t xml:space="preserve"> </w:t>
      </w:r>
      <w:r>
        <w:rPr>
          <w:spacing w:val="-1"/>
        </w:rPr>
        <w:t>hereafter</w:t>
      </w:r>
      <w:r>
        <w:rPr>
          <w:spacing w:val="69"/>
        </w:rPr>
        <w:t xml:space="preserve"> </w:t>
      </w:r>
      <w:r>
        <w:rPr>
          <w:spacing w:val="-1"/>
        </w:rPr>
        <w:t>be,</w:t>
      </w:r>
      <w:r>
        <w:rPr>
          <w:spacing w:val="40"/>
        </w:rPr>
        <w:t xml:space="preserve"> </w:t>
      </w:r>
      <w:r>
        <w:rPr>
          <w:spacing w:val="-1"/>
        </w:rPr>
        <w:t>by</w:t>
      </w:r>
      <w:r>
        <w:rPr>
          <w:spacing w:val="36"/>
        </w:rPr>
        <w:t xml:space="preserve"> </w:t>
      </w:r>
      <w:r>
        <w:t>a</w:t>
      </w:r>
      <w:r>
        <w:rPr>
          <w:spacing w:val="38"/>
        </w:rPr>
        <w:t xml:space="preserve"> </w:t>
      </w:r>
      <w:r>
        <w:rPr>
          <w:spacing w:val="-1"/>
        </w:rPr>
        <w:t>notice</w:t>
      </w:r>
      <w:r>
        <w:rPr>
          <w:spacing w:val="39"/>
        </w:rPr>
        <w:t xml:space="preserve"> </w:t>
      </w:r>
      <w:r>
        <w:rPr>
          <w:spacing w:val="-1"/>
        </w:rPr>
        <w:t>in</w:t>
      </w:r>
      <w:r>
        <w:rPr>
          <w:spacing w:val="38"/>
        </w:rPr>
        <w:t xml:space="preserve"> </w:t>
      </w:r>
      <w:r>
        <w:rPr>
          <w:spacing w:val="-1"/>
        </w:rPr>
        <w:t>writing</w:t>
      </w:r>
      <w:r>
        <w:rPr>
          <w:spacing w:val="39"/>
        </w:rPr>
        <w:t xml:space="preserve"> </w:t>
      </w:r>
      <w:r>
        <w:rPr>
          <w:spacing w:val="-1"/>
        </w:rPr>
        <w:t>given</w:t>
      </w:r>
      <w:r>
        <w:rPr>
          <w:spacing w:val="39"/>
        </w:rPr>
        <w:t xml:space="preserve"> </w:t>
      </w:r>
      <w:r>
        <w:rPr>
          <w:spacing w:val="-1"/>
        </w:rPr>
        <w:t>by</w:t>
      </w:r>
      <w:r>
        <w:rPr>
          <w:spacing w:val="36"/>
        </w:rPr>
        <w:t xml:space="preserve"> </w:t>
      </w:r>
      <w:r>
        <w:t>the</w:t>
      </w:r>
      <w:r>
        <w:rPr>
          <w:spacing w:val="38"/>
        </w:rPr>
        <w:t xml:space="preserve"> </w:t>
      </w:r>
      <w:r>
        <w:rPr>
          <w:spacing w:val="-1"/>
        </w:rPr>
        <w:t>Customer</w:t>
      </w:r>
      <w:r>
        <w:rPr>
          <w:spacing w:val="40"/>
        </w:rPr>
        <w:t xml:space="preserve"> </w:t>
      </w:r>
      <w:r>
        <w:t>to</w:t>
      </w:r>
      <w:r>
        <w:rPr>
          <w:spacing w:val="36"/>
        </w:rPr>
        <w:t xml:space="preserve"> </w:t>
      </w:r>
      <w:r>
        <w:t>the</w:t>
      </w:r>
      <w:r>
        <w:rPr>
          <w:spacing w:val="39"/>
        </w:rPr>
        <w:t xml:space="preserve"> </w:t>
      </w:r>
      <w:r>
        <w:rPr>
          <w:spacing w:val="-2"/>
        </w:rPr>
        <w:t>Supplier</w:t>
      </w:r>
      <w:r>
        <w:rPr>
          <w:spacing w:val="41"/>
        </w:rPr>
        <w:t xml:space="preserve"> </w:t>
      </w:r>
      <w:r>
        <w:rPr>
          <w:spacing w:val="-1"/>
        </w:rPr>
        <w:t>be</w:t>
      </w:r>
      <w:r>
        <w:rPr>
          <w:spacing w:val="34"/>
        </w:rPr>
        <w:t xml:space="preserve"> </w:t>
      </w:r>
      <w:r>
        <w:rPr>
          <w:spacing w:val="-1"/>
        </w:rPr>
        <w:t>designated</w:t>
      </w:r>
      <w:r>
        <w:rPr>
          <w:spacing w:val="-2"/>
        </w:rPr>
        <w:t xml:space="preserve"> </w:t>
      </w:r>
      <w:r>
        <w:rPr>
          <w:spacing w:val="-1"/>
        </w:rPr>
        <w:t>'top</w:t>
      </w:r>
      <w:r>
        <w:rPr>
          <w:spacing w:val="-2"/>
        </w:rPr>
        <w:t xml:space="preserve"> </w:t>
      </w:r>
      <w:r>
        <w:rPr>
          <w:spacing w:val="-1"/>
        </w:rPr>
        <w:t>secret',</w:t>
      </w:r>
      <w:r>
        <w:t xml:space="preserve"> </w:t>
      </w:r>
      <w:r>
        <w:rPr>
          <w:spacing w:val="-1"/>
        </w:rPr>
        <w:t>'secret',</w:t>
      </w:r>
      <w:r>
        <w:t xml:space="preserve"> </w:t>
      </w:r>
      <w:r>
        <w:rPr>
          <w:spacing w:val="-1"/>
        </w:rPr>
        <w:t>or 'confidential';</w:t>
      </w:r>
    </w:p>
    <w:p w:rsidR="008918FA" w:rsidRDefault="008918FA" w:rsidP="008918FA">
      <w:pPr>
        <w:jc w:val="both"/>
        <w:sectPr w:rsidR="008918FA">
          <w:pgSz w:w="11910" w:h="16840"/>
          <w:pgMar w:top="1480" w:right="1300" w:bottom="1180" w:left="1540" w:header="0" w:footer="987" w:gutter="0"/>
          <w:cols w:space="720"/>
        </w:sectPr>
      </w:pPr>
    </w:p>
    <w:p w:rsidR="008918FA" w:rsidRDefault="008918FA" w:rsidP="008918FA">
      <w:pPr>
        <w:pStyle w:val="BodyText"/>
        <w:spacing w:before="57"/>
        <w:ind w:right="115" w:firstLine="0"/>
        <w:jc w:val="both"/>
      </w:pPr>
      <w:r>
        <w:rPr>
          <w:spacing w:val="-1"/>
        </w:rPr>
        <w:t>"</w:t>
      </w:r>
      <w:r>
        <w:rPr>
          <w:b/>
          <w:spacing w:val="-1"/>
        </w:rPr>
        <w:t>Servant</w:t>
      </w:r>
      <w:r>
        <w:rPr>
          <w:spacing w:val="-1"/>
        </w:rPr>
        <w:t>"</w:t>
      </w:r>
      <w:r>
        <w:rPr>
          <w:spacing w:val="8"/>
        </w:rPr>
        <w:t xml:space="preserve"> </w:t>
      </w:r>
      <w:r>
        <w:rPr>
          <w:spacing w:val="-2"/>
        </w:rPr>
        <w:t>where</w:t>
      </w:r>
      <w:r>
        <w:rPr>
          <w:spacing w:val="6"/>
        </w:rPr>
        <w:t xml:space="preserve"> </w:t>
      </w:r>
      <w:r>
        <w:t>the</w:t>
      </w:r>
      <w:r>
        <w:rPr>
          <w:spacing w:val="6"/>
        </w:rPr>
        <w:t xml:space="preserve"> </w:t>
      </w:r>
      <w:r>
        <w:rPr>
          <w:spacing w:val="-2"/>
        </w:rPr>
        <w:t>Supplier</w:t>
      </w:r>
      <w:r>
        <w:rPr>
          <w:spacing w:val="8"/>
        </w:rPr>
        <w:t xml:space="preserve"> </w:t>
      </w:r>
      <w:r>
        <w:rPr>
          <w:spacing w:val="-1"/>
        </w:rPr>
        <w:t>is</w:t>
      </w:r>
      <w:r>
        <w:rPr>
          <w:spacing w:val="7"/>
        </w:rPr>
        <w:t xml:space="preserve"> </w:t>
      </w:r>
      <w:r>
        <w:t>a</w:t>
      </w:r>
      <w:r>
        <w:rPr>
          <w:spacing w:val="6"/>
        </w:rPr>
        <w:t xml:space="preserve"> </w:t>
      </w:r>
      <w:r>
        <w:rPr>
          <w:spacing w:val="-1"/>
        </w:rPr>
        <w:t>body</w:t>
      </w:r>
      <w:r>
        <w:rPr>
          <w:spacing w:val="4"/>
        </w:rPr>
        <w:t xml:space="preserve"> </w:t>
      </w:r>
      <w:r>
        <w:rPr>
          <w:spacing w:val="-1"/>
        </w:rPr>
        <w:t>corporate</w:t>
      </w:r>
      <w:r>
        <w:rPr>
          <w:spacing w:val="4"/>
        </w:rPr>
        <w:t xml:space="preserve"> </w:t>
      </w:r>
      <w:r>
        <w:rPr>
          <w:spacing w:val="-1"/>
        </w:rPr>
        <w:t>shall</w:t>
      </w:r>
      <w:r>
        <w:rPr>
          <w:spacing w:val="6"/>
        </w:rPr>
        <w:t xml:space="preserve"> </w:t>
      </w:r>
      <w:r>
        <w:rPr>
          <w:spacing w:val="-1"/>
        </w:rPr>
        <w:t>include</w:t>
      </w:r>
      <w:r>
        <w:rPr>
          <w:spacing w:val="6"/>
        </w:rPr>
        <w:t xml:space="preserve"> </w:t>
      </w:r>
      <w:r>
        <w:t>a</w:t>
      </w:r>
      <w:r>
        <w:rPr>
          <w:spacing w:val="35"/>
        </w:rPr>
        <w:t xml:space="preserve"> </w:t>
      </w:r>
      <w:r>
        <w:rPr>
          <w:spacing w:val="-1"/>
        </w:rPr>
        <w:t>director</w:t>
      </w:r>
      <w:r>
        <w:rPr>
          <w:spacing w:val="9"/>
        </w:rPr>
        <w:t xml:space="preserve"> </w:t>
      </w:r>
      <w:r>
        <w:rPr>
          <w:spacing w:val="-2"/>
        </w:rPr>
        <w:t>of</w:t>
      </w:r>
      <w:r>
        <w:rPr>
          <w:spacing w:val="11"/>
        </w:rPr>
        <w:t xml:space="preserve"> </w:t>
      </w:r>
      <w:r>
        <w:rPr>
          <w:spacing w:val="-1"/>
        </w:rPr>
        <w:t>that</w:t>
      </w:r>
      <w:r>
        <w:rPr>
          <w:spacing w:val="9"/>
        </w:rPr>
        <w:t xml:space="preserve"> </w:t>
      </w:r>
      <w:r>
        <w:rPr>
          <w:spacing w:val="-1"/>
        </w:rPr>
        <w:t>body</w:t>
      </w:r>
      <w:r>
        <w:rPr>
          <w:spacing w:val="8"/>
        </w:rPr>
        <w:t xml:space="preserve"> </w:t>
      </w:r>
      <w:r>
        <w:rPr>
          <w:spacing w:val="-1"/>
        </w:rPr>
        <w:t>and</w:t>
      </w:r>
      <w:r>
        <w:rPr>
          <w:spacing w:val="10"/>
        </w:rPr>
        <w:t xml:space="preserve"> </w:t>
      </w:r>
      <w:r>
        <w:rPr>
          <w:spacing w:val="-1"/>
        </w:rPr>
        <w:t>any</w:t>
      </w:r>
      <w:r>
        <w:rPr>
          <w:spacing w:val="8"/>
        </w:rPr>
        <w:t xml:space="preserve"> </w:t>
      </w:r>
      <w:r>
        <w:rPr>
          <w:spacing w:val="-1"/>
        </w:rPr>
        <w:t>person</w:t>
      </w:r>
      <w:r>
        <w:rPr>
          <w:spacing w:val="10"/>
        </w:rPr>
        <w:t xml:space="preserve"> </w:t>
      </w:r>
      <w:r>
        <w:rPr>
          <w:spacing w:val="-2"/>
        </w:rPr>
        <w:t>occupying</w:t>
      </w:r>
      <w:r>
        <w:rPr>
          <w:spacing w:val="12"/>
        </w:rPr>
        <w:t xml:space="preserve"> </w:t>
      </w:r>
      <w:r>
        <w:rPr>
          <w:spacing w:val="-2"/>
        </w:rPr>
        <w:t>in</w:t>
      </w:r>
      <w:r>
        <w:rPr>
          <w:spacing w:val="10"/>
        </w:rPr>
        <w:t xml:space="preserve"> </w:t>
      </w:r>
      <w:r>
        <w:rPr>
          <w:spacing w:val="-1"/>
        </w:rPr>
        <w:t>relation</w:t>
      </w:r>
      <w:r>
        <w:rPr>
          <w:spacing w:val="10"/>
        </w:rPr>
        <w:t xml:space="preserve"> </w:t>
      </w:r>
      <w:r>
        <w:t>to</w:t>
      </w:r>
      <w:r>
        <w:rPr>
          <w:spacing w:val="7"/>
        </w:rPr>
        <w:t xml:space="preserve"> </w:t>
      </w:r>
      <w:r>
        <w:rPr>
          <w:spacing w:val="-1"/>
        </w:rPr>
        <w:t>that</w:t>
      </w:r>
      <w:r>
        <w:rPr>
          <w:spacing w:val="11"/>
        </w:rPr>
        <w:t xml:space="preserve"> </w:t>
      </w:r>
      <w:r>
        <w:rPr>
          <w:spacing w:val="-1"/>
        </w:rPr>
        <w:t>body</w:t>
      </w:r>
      <w:r>
        <w:rPr>
          <w:spacing w:val="50"/>
        </w:rPr>
        <w:t xml:space="preserve"> </w:t>
      </w:r>
      <w:r>
        <w:t xml:space="preserve">the </w:t>
      </w:r>
      <w:r>
        <w:rPr>
          <w:spacing w:val="-1"/>
        </w:rPr>
        <w:t>position</w:t>
      </w:r>
      <w:r>
        <w:rPr>
          <w:spacing w:val="-2"/>
        </w:rPr>
        <w:t xml:space="preserve"> of</w:t>
      </w:r>
      <w:r>
        <w:rPr>
          <w:spacing w:val="2"/>
        </w:rPr>
        <w:t xml:space="preserve"> </w:t>
      </w:r>
      <w:r>
        <w:rPr>
          <w:spacing w:val="-1"/>
        </w:rPr>
        <w:t xml:space="preserve">director </w:t>
      </w:r>
      <w:r>
        <w:rPr>
          <w:spacing w:val="-2"/>
        </w:rPr>
        <w:t>by</w:t>
      </w:r>
      <w:r>
        <w:rPr>
          <w:spacing w:val="1"/>
        </w:rPr>
        <w:t xml:space="preserve"> </w:t>
      </w:r>
      <w:r>
        <w:rPr>
          <w:spacing w:val="-2"/>
        </w:rPr>
        <w:t>whatever</w:t>
      </w:r>
      <w:r>
        <w:rPr>
          <w:spacing w:val="2"/>
        </w:rPr>
        <w:t xml:space="preserve"> </w:t>
      </w:r>
      <w:r>
        <w:rPr>
          <w:spacing w:val="-1"/>
        </w:rPr>
        <w:t>name</w:t>
      </w:r>
      <w:r>
        <w:rPr>
          <w:spacing w:val="-2"/>
        </w:rPr>
        <w:t xml:space="preserve"> called.</w:t>
      </w:r>
    </w:p>
    <w:p w:rsidR="008918FA" w:rsidRDefault="008918FA" w:rsidP="008918FA">
      <w:pPr>
        <w:pStyle w:val="BodyText"/>
        <w:numPr>
          <w:ilvl w:val="2"/>
          <w:numId w:val="4"/>
        </w:numPr>
        <w:tabs>
          <w:tab w:val="left" w:pos="1887"/>
        </w:tabs>
        <w:ind w:left="1886"/>
      </w:pPr>
      <w:r>
        <w:t>The</w:t>
      </w:r>
      <w:r>
        <w:rPr>
          <w:spacing w:val="-4"/>
        </w:rPr>
        <w:t xml:space="preserve"> </w:t>
      </w:r>
      <w:r>
        <w:rPr>
          <w:spacing w:val="-2"/>
        </w:rPr>
        <w:t>following</w:t>
      </w:r>
      <w:r>
        <w:rPr>
          <w:spacing w:val="3"/>
        </w:rPr>
        <w:t xml:space="preserve"> </w:t>
      </w:r>
      <w:r>
        <w:rPr>
          <w:spacing w:val="-1"/>
        </w:rPr>
        <w:t>new</w:t>
      </w:r>
      <w:r>
        <w:rPr>
          <w:spacing w:val="-2"/>
        </w:rPr>
        <w:t xml:space="preserve"> </w:t>
      </w:r>
      <w:r>
        <w:rPr>
          <w:spacing w:val="-1"/>
        </w:rPr>
        <w:t>Clause</w:t>
      </w:r>
      <w:r>
        <w:t xml:space="preserve"> </w:t>
      </w:r>
      <w:r>
        <w:rPr>
          <w:spacing w:val="-1"/>
        </w:rPr>
        <w:t>[56]</w:t>
      </w:r>
      <w:r>
        <w:rPr>
          <w:spacing w:val="2"/>
        </w:rPr>
        <w:t xml:space="preserve"> </w:t>
      </w:r>
      <w:r>
        <w:rPr>
          <w:spacing w:val="-1"/>
        </w:rPr>
        <w:t>shall</w:t>
      </w:r>
      <w:r>
        <w:t xml:space="preserve"> </w:t>
      </w:r>
      <w:r>
        <w:rPr>
          <w:spacing w:val="-2"/>
        </w:rPr>
        <w:t>apply:</w:t>
      </w:r>
    </w:p>
    <w:p w:rsidR="008918FA" w:rsidRDefault="008918FA" w:rsidP="008918FA">
      <w:pPr>
        <w:spacing w:before="9"/>
        <w:rPr>
          <w:rFonts w:ascii="Arial" w:eastAsia="Arial" w:hAnsi="Arial" w:cs="Arial"/>
          <w:sz w:val="10"/>
          <w:szCs w:val="10"/>
        </w:rPr>
      </w:pPr>
    </w:p>
    <w:p w:rsidR="008918FA" w:rsidRDefault="008918FA" w:rsidP="008918FA">
      <w:pPr>
        <w:spacing w:line="200" w:lineRule="atLeast"/>
        <w:ind w:left="892"/>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0FEB4C2C" wp14:editId="50D5FA0B">
                <wp:extent cx="5028565" cy="320040"/>
                <wp:effectExtent l="0" t="0" r="635" b="3810"/>
                <wp:docPr id="46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320040"/>
                          <a:chOff x="0" y="0"/>
                          <a:chExt cx="7919" cy="504"/>
                        </a:xfrm>
                      </wpg:grpSpPr>
                      <wpg:grpSp>
                        <wpg:cNvPr id="462" name="Group 457"/>
                        <wpg:cNvGrpSpPr>
                          <a:grpSpLocks/>
                        </wpg:cNvGrpSpPr>
                        <wpg:grpSpPr bwMode="auto">
                          <a:xfrm>
                            <a:off x="0" y="0"/>
                            <a:ext cx="7918" cy="252"/>
                            <a:chOff x="0" y="0"/>
                            <a:chExt cx="7918" cy="252"/>
                          </a:xfrm>
                        </wpg:grpSpPr>
                        <wps:wsp>
                          <wps:cNvPr id="463" name="Freeform 458"/>
                          <wps:cNvSpPr>
                            <a:spLocks/>
                          </wps:cNvSpPr>
                          <wps:spPr bwMode="auto">
                            <a:xfrm>
                              <a:off x="0" y="0"/>
                              <a:ext cx="7918" cy="252"/>
                            </a:xfrm>
                            <a:custGeom>
                              <a:avLst/>
                              <a:gdLst>
                                <a:gd name="T0" fmla="*/ 0 w 7918"/>
                                <a:gd name="T1" fmla="*/ 252 h 252"/>
                                <a:gd name="T2" fmla="*/ 7918 w 7918"/>
                                <a:gd name="T3" fmla="*/ 252 h 252"/>
                                <a:gd name="T4" fmla="*/ 7918 w 7918"/>
                                <a:gd name="T5" fmla="*/ 0 h 252"/>
                                <a:gd name="T6" fmla="*/ 0 w 7918"/>
                                <a:gd name="T7" fmla="*/ 0 h 252"/>
                                <a:gd name="T8" fmla="*/ 0 w 7918"/>
                                <a:gd name="T9" fmla="*/ 252 h 252"/>
                              </a:gdLst>
                              <a:ahLst/>
                              <a:cxnLst>
                                <a:cxn ang="0">
                                  <a:pos x="T0" y="T1"/>
                                </a:cxn>
                                <a:cxn ang="0">
                                  <a:pos x="T2" y="T3"/>
                                </a:cxn>
                                <a:cxn ang="0">
                                  <a:pos x="T4" y="T5"/>
                                </a:cxn>
                                <a:cxn ang="0">
                                  <a:pos x="T6" y="T7"/>
                                </a:cxn>
                                <a:cxn ang="0">
                                  <a:pos x="T8" y="T9"/>
                                </a:cxn>
                              </a:cxnLst>
                              <a:rect l="0" t="0" r="r" b="b"/>
                              <a:pathLst>
                                <a:path w="7918" h="252">
                                  <a:moveTo>
                                    <a:pt x="0" y="252"/>
                                  </a:moveTo>
                                  <a:lnTo>
                                    <a:pt x="7918" y="252"/>
                                  </a:lnTo>
                                  <a:lnTo>
                                    <a:pt x="7918"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54"/>
                        <wpg:cNvGrpSpPr>
                          <a:grpSpLocks/>
                        </wpg:cNvGrpSpPr>
                        <wpg:grpSpPr bwMode="auto">
                          <a:xfrm>
                            <a:off x="0" y="252"/>
                            <a:ext cx="1296" cy="252"/>
                            <a:chOff x="0" y="252"/>
                            <a:chExt cx="1296" cy="252"/>
                          </a:xfrm>
                        </wpg:grpSpPr>
                        <wps:wsp>
                          <wps:cNvPr id="465" name="Freeform 456"/>
                          <wps:cNvSpPr>
                            <a:spLocks/>
                          </wps:cNvSpPr>
                          <wps:spPr bwMode="auto">
                            <a:xfrm>
                              <a:off x="0" y="252"/>
                              <a:ext cx="1296" cy="252"/>
                            </a:xfrm>
                            <a:custGeom>
                              <a:avLst/>
                              <a:gdLst>
                                <a:gd name="T0" fmla="*/ 0 w 1296"/>
                                <a:gd name="T1" fmla="+- 0 504 252"/>
                                <a:gd name="T2" fmla="*/ 504 h 252"/>
                                <a:gd name="T3" fmla="*/ 1296 w 1296"/>
                                <a:gd name="T4" fmla="+- 0 504 252"/>
                                <a:gd name="T5" fmla="*/ 504 h 252"/>
                                <a:gd name="T6" fmla="*/ 1296 w 1296"/>
                                <a:gd name="T7" fmla="+- 0 252 252"/>
                                <a:gd name="T8" fmla="*/ 252 h 252"/>
                                <a:gd name="T9" fmla="*/ 0 w 1296"/>
                                <a:gd name="T10" fmla="+- 0 252 252"/>
                                <a:gd name="T11" fmla="*/ 252 h 252"/>
                                <a:gd name="T12" fmla="*/ 0 w 1296"/>
                                <a:gd name="T13" fmla="+- 0 504 252"/>
                                <a:gd name="T14" fmla="*/ 504 h 252"/>
                              </a:gdLst>
                              <a:ahLst/>
                              <a:cxnLst>
                                <a:cxn ang="0">
                                  <a:pos x="T0" y="T2"/>
                                </a:cxn>
                                <a:cxn ang="0">
                                  <a:pos x="T3" y="T5"/>
                                </a:cxn>
                                <a:cxn ang="0">
                                  <a:pos x="T6" y="T8"/>
                                </a:cxn>
                                <a:cxn ang="0">
                                  <a:pos x="T9" y="T11"/>
                                </a:cxn>
                                <a:cxn ang="0">
                                  <a:pos x="T12" y="T14"/>
                                </a:cxn>
                              </a:cxnLst>
                              <a:rect l="0" t="0" r="r" b="b"/>
                              <a:pathLst>
                                <a:path w="1296" h="252">
                                  <a:moveTo>
                                    <a:pt x="0" y="252"/>
                                  </a:moveTo>
                                  <a:lnTo>
                                    <a:pt x="1296" y="252"/>
                                  </a:lnTo>
                                  <a:lnTo>
                                    <a:pt x="1296" y="0"/>
                                  </a:lnTo>
                                  <a:lnTo>
                                    <a:pt x="0" y="0"/>
                                  </a:lnTo>
                                  <a:lnTo>
                                    <a:pt x="0" y="2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Text Box 455"/>
                          <wps:cNvSpPr txBox="1">
                            <a:spLocks noChangeArrowheads="1"/>
                          </wps:cNvSpPr>
                          <wps:spPr bwMode="auto">
                            <a:xfrm>
                              <a:off x="0" y="0"/>
                              <a:ext cx="791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spacing w:before="2" w:line="252" w:lineRule="exact"/>
                                  <w:rPr>
                                    <w:rFonts w:ascii="Arial" w:eastAsia="Arial" w:hAnsi="Arial" w:cs="Arial"/>
                                  </w:rPr>
                                </w:pPr>
                                <w:r>
                                  <w:rPr>
                                    <w:rFonts w:ascii="Arial"/>
                                    <w:b/>
                                    <w:i/>
                                    <w:spacing w:val="-1"/>
                                  </w:rPr>
                                  <w:t>[Guidance</w:t>
                                </w:r>
                                <w:r>
                                  <w:rPr>
                                    <w:rFonts w:ascii="Arial"/>
                                    <w:b/>
                                    <w:i/>
                                  </w:rPr>
                                  <w:t xml:space="preserve"> </w:t>
                                </w:r>
                                <w:r>
                                  <w:rPr>
                                    <w:rFonts w:ascii="Arial"/>
                                    <w:b/>
                                    <w:i/>
                                    <w:spacing w:val="-1"/>
                                  </w:rPr>
                                  <w:t>Note: the</w:t>
                                </w:r>
                                <w:r>
                                  <w:rPr>
                                    <w:rFonts w:ascii="Arial"/>
                                    <w:b/>
                                    <w:i/>
                                  </w:rPr>
                                  <w:t xml:space="preserve"> </w:t>
                                </w:r>
                                <w:r>
                                  <w:rPr>
                                    <w:rFonts w:ascii="Arial"/>
                                    <w:b/>
                                    <w:i/>
                                    <w:spacing w:val="-1"/>
                                  </w:rPr>
                                  <w:t>intention</w:t>
                                </w:r>
                                <w:r>
                                  <w:rPr>
                                    <w:rFonts w:ascii="Arial"/>
                                    <w:b/>
                                    <w:i/>
                                  </w:rPr>
                                  <w:t xml:space="preserve"> is</w:t>
                                </w:r>
                                <w:r>
                                  <w:rPr>
                                    <w:rFonts w:ascii="Arial"/>
                                    <w:b/>
                                    <w:i/>
                                    <w:spacing w:val="-2"/>
                                  </w:rPr>
                                  <w:t xml:space="preserve"> </w:t>
                                </w:r>
                                <w:r>
                                  <w:rPr>
                                    <w:rFonts w:ascii="Arial"/>
                                    <w:b/>
                                    <w:i/>
                                    <w:spacing w:val="-1"/>
                                  </w:rPr>
                                  <w:t>for the</w:t>
                                </w:r>
                                <w:r>
                                  <w:rPr>
                                    <w:rFonts w:ascii="Arial"/>
                                    <w:b/>
                                    <w:i/>
                                  </w:rPr>
                                  <w:t xml:space="preserve"> </w:t>
                                </w:r>
                                <w:r>
                                  <w:rPr>
                                    <w:rFonts w:ascii="Arial"/>
                                    <w:b/>
                                    <w:i/>
                                    <w:spacing w:val="-1"/>
                                  </w:rPr>
                                  <w:t>clause</w:t>
                                </w:r>
                                <w:r>
                                  <w:rPr>
                                    <w:rFonts w:ascii="Arial"/>
                                    <w:b/>
                                    <w:i/>
                                    <w:spacing w:val="-2"/>
                                  </w:rPr>
                                  <w:t xml:space="preserve"> </w:t>
                                </w:r>
                                <w:r>
                                  <w:rPr>
                                    <w:rFonts w:ascii="Arial"/>
                                    <w:b/>
                                    <w:i/>
                                  </w:rPr>
                                  <w:t xml:space="preserve">to </w:t>
                                </w:r>
                                <w:r>
                                  <w:rPr>
                                    <w:rFonts w:ascii="Arial"/>
                                    <w:b/>
                                    <w:i/>
                                    <w:spacing w:val="-1"/>
                                  </w:rPr>
                                  <w:t>follow</w:t>
                                </w:r>
                                <w:r>
                                  <w:rPr>
                                    <w:rFonts w:ascii="Arial"/>
                                    <w:b/>
                                    <w:i/>
                                    <w:spacing w:val="2"/>
                                  </w:rPr>
                                  <w:t xml:space="preserve"> </w:t>
                                </w:r>
                                <w:r>
                                  <w:rPr>
                                    <w:rFonts w:ascii="Arial"/>
                                    <w:b/>
                                    <w:i/>
                                    <w:spacing w:val="-1"/>
                                  </w:rPr>
                                  <w:t>after</w:t>
                                </w:r>
                                <w:r>
                                  <w:rPr>
                                    <w:rFonts w:ascii="Arial"/>
                                    <w:b/>
                                    <w:i/>
                                    <w:spacing w:val="1"/>
                                  </w:rPr>
                                  <w:t xml:space="preserve"> </w:t>
                                </w:r>
                                <w:r>
                                  <w:rPr>
                                    <w:rFonts w:ascii="Arial"/>
                                    <w:b/>
                                    <w:i/>
                                    <w:spacing w:val="-1"/>
                                  </w:rPr>
                                  <w:t>the</w:t>
                                </w:r>
                                <w:r>
                                  <w:rPr>
                                    <w:rFonts w:ascii="Arial"/>
                                    <w:b/>
                                    <w:i/>
                                    <w:spacing w:val="-2"/>
                                  </w:rPr>
                                  <w:t xml:space="preserve"> </w:t>
                                </w:r>
                                <w:r>
                                  <w:rPr>
                                    <w:rFonts w:ascii="Arial"/>
                                    <w:b/>
                                    <w:i/>
                                    <w:spacing w:val="-1"/>
                                  </w:rPr>
                                  <w:t>last clause</w:t>
                                </w:r>
                                <w:r>
                                  <w:rPr>
                                    <w:rFonts w:ascii="Arial"/>
                                    <w:b/>
                                    <w:i/>
                                    <w:spacing w:val="54"/>
                                  </w:rPr>
                                  <w:t xml:space="preserve"> </w:t>
                                </w:r>
                                <w:r>
                                  <w:rPr>
                                    <w:rFonts w:ascii="Arial"/>
                                    <w:b/>
                                    <w:i/>
                                  </w:rPr>
                                  <w:t>in</w:t>
                                </w:r>
                                <w:r>
                                  <w:rPr>
                                    <w:rFonts w:ascii="Arial"/>
                                    <w:b/>
                                    <w:i/>
                                    <w:spacing w:val="-2"/>
                                  </w:rPr>
                                  <w:t xml:space="preserve"> </w:t>
                                </w:r>
                                <w:r>
                                  <w:rPr>
                                    <w:rFonts w:ascii="Arial"/>
                                    <w:b/>
                                    <w:i/>
                                    <w:spacing w:val="-1"/>
                                  </w:rPr>
                                  <w:t>the</w:t>
                                </w:r>
                                <w:r>
                                  <w:rPr>
                                    <w:rFonts w:ascii="Arial"/>
                                    <w:b/>
                                    <w:i/>
                                  </w:rPr>
                                  <w:t xml:space="preserve"> </w:t>
                                </w:r>
                                <w:r>
                                  <w:rPr>
                                    <w:rFonts w:ascii="Arial"/>
                                    <w:b/>
                                    <w:i/>
                                    <w:spacing w:val="-2"/>
                                  </w:rPr>
                                  <w:t>T&amp;Cs]</w:t>
                                </w:r>
                              </w:p>
                            </w:txbxContent>
                          </wps:txbx>
                          <wps:bodyPr rot="0" vert="horz" wrap="square" lIns="0" tIns="0" rIns="0" bIns="0" anchor="t" anchorCtr="0" upright="1">
                            <a:noAutofit/>
                          </wps:bodyPr>
                        </wps:wsp>
                      </wpg:grpSp>
                    </wpg:wgp>
                  </a:graphicData>
                </a:graphic>
              </wp:inline>
            </w:drawing>
          </mc:Choice>
          <mc:Fallback>
            <w:pict>
              <v:group w14:anchorId="0FEB4C2C" id="Group 453" o:spid="_x0000_s1377" style="width:395.95pt;height:25.2pt;mso-position-horizontal-relative:char;mso-position-vertical-relative:line" coordsize="791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">
                <v:group id="Group 457" o:spid="_x0000_s1378" style="position:absolute;width:7918;height:252" coordsize="79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58" o:spid="_x0000_s1379" style="position:absolute;width:7918;height:252;visibility:visible;mso-wrap-style:square;v-text-anchor:top" coordsize="79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tcMQA&#10;AADcAAAADwAAAGRycy9kb3ducmV2LnhtbESPzWsCMRTE7wX/h/AK3mq2WkS2RlGx4K1+9dDbY/P2&#10;g25ewiZdo3+9KRQ8DjPzG2a+jKYVPXW+sazgdZSBIC6sbrhScD59vMxA+ICssbVMCq7kYbkYPM0x&#10;1/bCB+qPoRIJwj5HBXUILpfSFzUZ9CPriJNX2s5gSLKrpO7wkuCmleMsm0qDDaeFGh1taip+jr9G&#10;wer7sDNxH9c391l+lb3bronOSg2f4+odRKAYHuH/9k4reJtO4O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17XDEAAAA3AAAAA8AAAAAAAAAAAAAAAAAmAIAAGRycy9k&#10;b3ducmV2LnhtbFBLBQYAAAAABAAEAPUAAACJAwAAAAA=&#10;" path="m,252r7918,l7918,,,,,252xe" fillcolor="lime" stroked="f">
                    <v:path arrowok="t" o:connecttype="custom" o:connectlocs="0,252;7918,252;7918,0;0,0;0,252" o:connectangles="0,0,0,0,0"/>
                  </v:shape>
                </v:group>
                <v:group id="Group 454" o:spid="_x0000_s1380" style="position:absolute;top:252;width:1296;height:252" coordorigin=",252" coordsize="129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56" o:spid="_x0000_s1381" style="position:absolute;top:252;width:1296;height:252;visibility:visible;mso-wrap-style:square;v-text-anchor:top" coordsize="129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QGMYA&#10;AADcAAAADwAAAGRycy9kb3ducmV2LnhtbESPzWrDMBCE74W8g9hAb42cpA7BiRJCoLQ9tJCfQ46L&#10;tbZMrJWxVMt9+6pQ6HGYmW+Y7X60rRio941jBfNZBoK4dLrhWsH18vK0BuEDssbWMSn4Jg/73eRh&#10;i4V2kU80nEMtEoR9gQpMCF0hpS8NWfQz1xEnr3K9xZBkX0vdY0xw28pFlq2kxYbTgsGOjobK+/nL&#10;Kshvi/n7ZXiNBxOXp2u+rD4/YqXU43Q8bEAEGsN/+K/9phU8r3L4PZ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hQGMYAAADcAAAADwAAAAAAAAAAAAAAAACYAgAAZHJz&#10;L2Rvd25yZXYueG1sUEsFBgAAAAAEAAQA9QAAAIsDAAAAAA==&#10;" path="m,252r1296,l1296,,,,,252xe" fillcolor="lime" stroked="f">
                    <v:path arrowok="t" o:connecttype="custom" o:connectlocs="0,504;1296,504;1296,252;0,252;0,504" o:connectangles="0,0,0,0,0"/>
                  </v:shape>
                  <v:shape id="Text Box 455" o:spid="_x0000_s1382" type="#_x0000_t202" style="position:absolute;width:791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5D2B81" w:rsidRDefault="005D2B81" w:rsidP="008918FA">
                          <w:pPr>
                            <w:spacing w:before="2" w:line="252" w:lineRule="exact"/>
                            <w:rPr>
                              <w:rFonts w:ascii="Arial" w:eastAsia="Arial" w:hAnsi="Arial" w:cs="Arial"/>
                            </w:rPr>
                          </w:pPr>
                          <w:r>
                            <w:rPr>
                              <w:rFonts w:ascii="Arial"/>
                              <w:b/>
                              <w:i/>
                              <w:spacing w:val="-1"/>
                            </w:rPr>
                            <w:t>[Guidance</w:t>
                          </w:r>
                          <w:r>
                            <w:rPr>
                              <w:rFonts w:ascii="Arial"/>
                              <w:b/>
                              <w:i/>
                            </w:rPr>
                            <w:t xml:space="preserve"> </w:t>
                          </w:r>
                          <w:r>
                            <w:rPr>
                              <w:rFonts w:ascii="Arial"/>
                              <w:b/>
                              <w:i/>
                              <w:spacing w:val="-1"/>
                            </w:rPr>
                            <w:t>Note: the</w:t>
                          </w:r>
                          <w:r>
                            <w:rPr>
                              <w:rFonts w:ascii="Arial"/>
                              <w:b/>
                              <w:i/>
                            </w:rPr>
                            <w:t xml:space="preserve"> </w:t>
                          </w:r>
                          <w:r>
                            <w:rPr>
                              <w:rFonts w:ascii="Arial"/>
                              <w:b/>
                              <w:i/>
                              <w:spacing w:val="-1"/>
                            </w:rPr>
                            <w:t>intention</w:t>
                          </w:r>
                          <w:r>
                            <w:rPr>
                              <w:rFonts w:ascii="Arial"/>
                              <w:b/>
                              <w:i/>
                            </w:rPr>
                            <w:t xml:space="preserve"> is</w:t>
                          </w:r>
                          <w:r>
                            <w:rPr>
                              <w:rFonts w:ascii="Arial"/>
                              <w:b/>
                              <w:i/>
                              <w:spacing w:val="-2"/>
                            </w:rPr>
                            <w:t xml:space="preserve"> </w:t>
                          </w:r>
                          <w:r>
                            <w:rPr>
                              <w:rFonts w:ascii="Arial"/>
                              <w:b/>
                              <w:i/>
                              <w:spacing w:val="-1"/>
                            </w:rPr>
                            <w:t>for the</w:t>
                          </w:r>
                          <w:r>
                            <w:rPr>
                              <w:rFonts w:ascii="Arial"/>
                              <w:b/>
                              <w:i/>
                            </w:rPr>
                            <w:t xml:space="preserve"> </w:t>
                          </w:r>
                          <w:r>
                            <w:rPr>
                              <w:rFonts w:ascii="Arial"/>
                              <w:b/>
                              <w:i/>
                              <w:spacing w:val="-1"/>
                            </w:rPr>
                            <w:t>clause</w:t>
                          </w:r>
                          <w:r>
                            <w:rPr>
                              <w:rFonts w:ascii="Arial"/>
                              <w:b/>
                              <w:i/>
                              <w:spacing w:val="-2"/>
                            </w:rPr>
                            <w:t xml:space="preserve"> </w:t>
                          </w:r>
                          <w:r>
                            <w:rPr>
                              <w:rFonts w:ascii="Arial"/>
                              <w:b/>
                              <w:i/>
                            </w:rPr>
                            <w:t xml:space="preserve">to </w:t>
                          </w:r>
                          <w:r>
                            <w:rPr>
                              <w:rFonts w:ascii="Arial"/>
                              <w:b/>
                              <w:i/>
                              <w:spacing w:val="-1"/>
                            </w:rPr>
                            <w:t>follow</w:t>
                          </w:r>
                          <w:r>
                            <w:rPr>
                              <w:rFonts w:ascii="Arial"/>
                              <w:b/>
                              <w:i/>
                              <w:spacing w:val="2"/>
                            </w:rPr>
                            <w:t xml:space="preserve"> </w:t>
                          </w:r>
                          <w:r>
                            <w:rPr>
                              <w:rFonts w:ascii="Arial"/>
                              <w:b/>
                              <w:i/>
                              <w:spacing w:val="-1"/>
                            </w:rPr>
                            <w:t>after</w:t>
                          </w:r>
                          <w:r>
                            <w:rPr>
                              <w:rFonts w:ascii="Arial"/>
                              <w:b/>
                              <w:i/>
                              <w:spacing w:val="1"/>
                            </w:rPr>
                            <w:t xml:space="preserve"> </w:t>
                          </w:r>
                          <w:r>
                            <w:rPr>
                              <w:rFonts w:ascii="Arial"/>
                              <w:b/>
                              <w:i/>
                              <w:spacing w:val="-1"/>
                            </w:rPr>
                            <w:t>the</w:t>
                          </w:r>
                          <w:r>
                            <w:rPr>
                              <w:rFonts w:ascii="Arial"/>
                              <w:b/>
                              <w:i/>
                              <w:spacing w:val="-2"/>
                            </w:rPr>
                            <w:t xml:space="preserve"> </w:t>
                          </w:r>
                          <w:r>
                            <w:rPr>
                              <w:rFonts w:ascii="Arial"/>
                              <w:b/>
                              <w:i/>
                              <w:spacing w:val="-1"/>
                            </w:rPr>
                            <w:t>last clause</w:t>
                          </w:r>
                          <w:r>
                            <w:rPr>
                              <w:rFonts w:ascii="Arial"/>
                              <w:b/>
                              <w:i/>
                              <w:spacing w:val="54"/>
                            </w:rPr>
                            <w:t xml:space="preserve"> </w:t>
                          </w:r>
                          <w:r>
                            <w:rPr>
                              <w:rFonts w:ascii="Arial"/>
                              <w:b/>
                              <w:i/>
                            </w:rPr>
                            <w:t>in</w:t>
                          </w:r>
                          <w:r>
                            <w:rPr>
                              <w:rFonts w:ascii="Arial"/>
                              <w:b/>
                              <w:i/>
                              <w:spacing w:val="-2"/>
                            </w:rPr>
                            <w:t xml:space="preserve"> </w:t>
                          </w:r>
                          <w:r>
                            <w:rPr>
                              <w:rFonts w:ascii="Arial"/>
                              <w:b/>
                              <w:i/>
                              <w:spacing w:val="-1"/>
                            </w:rPr>
                            <w:t>the</w:t>
                          </w:r>
                          <w:r>
                            <w:rPr>
                              <w:rFonts w:ascii="Arial"/>
                              <w:b/>
                              <w:i/>
                            </w:rPr>
                            <w:t xml:space="preserve"> </w:t>
                          </w:r>
                          <w:r>
                            <w:rPr>
                              <w:rFonts w:ascii="Arial"/>
                              <w:b/>
                              <w:i/>
                              <w:spacing w:val="-2"/>
                            </w:rPr>
                            <w:t>T&amp;Cs]</w:t>
                          </w:r>
                        </w:p>
                      </w:txbxContent>
                    </v:textbox>
                  </v:shape>
                </v:group>
                <w10:anchorlock/>
              </v:group>
            </w:pict>
          </mc:Fallback>
        </mc:AlternateContent>
      </w:r>
    </w:p>
    <w:p w:rsidR="008918FA" w:rsidRDefault="008918FA" w:rsidP="008918FA">
      <w:pPr>
        <w:pStyle w:val="Heading1"/>
        <w:numPr>
          <w:ilvl w:val="0"/>
          <w:numId w:val="3"/>
        </w:numPr>
        <w:tabs>
          <w:tab w:val="left" w:pos="1745"/>
        </w:tabs>
        <w:spacing w:before="115"/>
        <w:rPr>
          <w:b w:val="0"/>
          <w:bCs w:val="0"/>
        </w:rPr>
      </w:pPr>
      <w:r>
        <w:rPr>
          <w:spacing w:val="-2"/>
          <w:highlight w:val="yellow"/>
        </w:rPr>
        <w:t>[SECURITY</w:t>
      </w:r>
      <w:r>
        <w:rPr>
          <w:highlight w:val="yellow"/>
        </w:rPr>
        <w:t xml:space="preserve"> </w:t>
      </w:r>
      <w:r>
        <w:rPr>
          <w:spacing w:val="-1"/>
          <w:highlight w:val="yellow"/>
        </w:rPr>
        <w:t>MEASURES</w:t>
      </w:r>
      <w:r>
        <w:rPr>
          <w:spacing w:val="-1"/>
        </w:rPr>
        <w:t>]</w:t>
      </w:r>
    </w:p>
    <w:p w:rsidR="008918FA" w:rsidRDefault="008918FA" w:rsidP="008918FA">
      <w:pPr>
        <w:spacing w:before="2"/>
        <w:rPr>
          <w:rFonts w:ascii="Arial" w:eastAsia="Arial" w:hAnsi="Arial" w:cs="Arial"/>
          <w:b/>
          <w:bCs/>
          <w:sz w:val="21"/>
          <w:szCs w:val="21"/>
        </w:rPr>
      </w:pPr>
    </w:p>
    <w:p w:rsidR="008918FA" w:rsidRDefault="008918FA" w:rsidP="008918FA">
      <w:pPr>
        <w:pStyle w:val="BodyText"/>
        <w:numPr>
          <w:ilvl w:val="1"/>
          <w:numId w:val="3"/>
        </w:numPr>
        <w:tabs>
          <w:tab w:val="left" w:pos="2424"/>
        </w:tabs>
        <w:spacing w:before="0"/>
        <w:ind w:right="113"/>
        <w:jc w:val="both"/>
      </w:pPr>
      <w:bookmarkStart w:id="526" w:name="_bookmark438"/>
      <w:bookmarkEnd w:id="526"/>
      <w:r>
        <w:t>The</w:t>
      </w:r>
      <w:r>
        <w:rPr>
          <w:spacing w:val="38"/>
        </w:rPr>
        <w:t xml:space="preserve"> </w:t>
      </w:r>
      <w:r>
        <w:rPr>
          <w:spacing w:val="-2"/>
        </w:rPr>
        <w:t>Supplier</w:t>
      </w:r>
      <w:r>
        <w:rPr>
          <w:spacing w:val="40"/>
        </w:rPr>
        <w:t xml:space="preserve"> </w:t>
      </w:r>
      <w:r>
        <w:rPr>
          <w:spacing w:val="-1"/>
        </w:rPr>
        <w:t>shall</w:t>
      </w:r>
      <w:r>
        <w:rPr>
          <w:spacing w:val="38"/>
        </w:rPr>
        <w:t xml:space="preserve"> </w:t>
      </w:r>
      <w:r>
        <w:rPr>
          <w:spacing w:val="-1"/>
        </w:rPr>
        <w:t>not,</w:t>
      </w:r>
      <w:r>
        <w:rPr>
          <w:spacing w:val="38"/>
        </w:rPr>
        <w:t xml:space="preserve"> </w:t>
      </w:r>
      <w:r>
        <w:rPr>
          <w:spacing w:val="-1"/>
        </w:rPr>
        <w:t>either</w:t>
      </w:r>
      <w:r>
        <w:rPr>
          <w:spacing w:val="40"/>
        </w:rPr>
        <w:t xml:space="preserve"> </w:t>
      </w:r>
      <w:r>
        <w:rPr>
          <w:spacing w:val="-1"/>
        </w:rPr>
        <w:t>before</w:t>
      </w:r>
      <w:r>
        <w:rPr>
          <w:spacing w:val="38"/>
        </w:rPr>
        <w:t xml:space="preserve"> </w:t>
      </w:r>
      <w:r>
        <w:rPr>
          <w:spacing w:val="-2"/>
        </w:rPr>
        <w:t>or</w:t>
      </w:r>
      <w:r>
        <w:rPr>
          <w:spacing w:val="41"/>
        </w:rPr>
        <w:t xml:space="preserve"> </w:t>
      </w:r>
      <w:r>
        <w:rPr>
          <w:spacing w:val="-1"/>
        </w:rPr>
        <w:t>after</w:t>
      </w:r>
      <w:r>
        <w:rPr>
          <w:spacing w:val="38"/>
        </w:rPr>
        <w:t xml:space="preserve"> </w:t>
      </w:r>
      <w:r>
        <w:rPr>
          <w:spacing w:val="-1"/>
        </w:rPr>
        <w:t>the</w:t>
      </w:r>
      <w:r>
        <w:rPr>
          <w:spacing w:val="38"/>
        </w:rPr>
        <w:t xml:space="preserve"> </w:t>
      </w:r>
      <w:r>
        <w:rPr>
          <w:spacing w:val="-1"/>
        </w:rPr>
        <w:t>completion</w:t>
      </w:r>
      <w:r>
        <w:rPr>
          <w:spacing w:val="38"/>
        </w:rPr>
        <w:t xml:space="preserve"> </w:t>
      </w:r>
      <w:r>
        <w:rPr>
          <w:spacing w:val="-2"/>
        </w:rPr>
        <w:t>or</w:t>
      </w:r>
      <w:r>
        <w:rPr>
          <w:spacing w:val="45"/>
        </w:rPr>
        <w:t xml:space="preserve"> </w:t>
      </w:r>
      <w:r>
        <w:rPr>
          <w:spacing w:val="-1"/>
        </w:rPr>
        <w:t>termination</w:t>
      </w:r>
      <w:r>
        <w:rPr>
          <w:spacing w:val="51"/>
        </w:rPr>
        <w:t xml:space="preserve"> </w:t>
      </w:r>
      <w:r>
        <w:rPr>
          <w:spacing w:val="-2"/>
        </w:rPr>
        <w:t>of</w:t>
      </w:r>
      <w:r>
        <w:rPr>
          <w:spacing w:val="52"/>
        </w:rPr>
        <w:t xml:space="preserve"> </w:t>
      </w:r>
      <w:r>
        <w:rPr>
          <w:spacing w:val="-1"/>
        </w:rPr>
        <w:t>this</w:t>
      </w:r>
      <w:r>
        <w:rPr>
          <w:spacing w:val="51"/>
        </w:rPr>
        <w:t xml:space="preserve"> </w:t>
      </w:r>
      <w:r>
        <w:rPr>
          <w:spacing w:val="-2"/>
        </w:rPr>
        <w:t>Call</w:t>
      </w:r>
      <w:r>
        <w:rPr>
          <w:spacing w:val="50"/>
        </w:rPr>
        <w:t xml:space="preserve"> </w:t>
      </w:r>
      <w:r>
        <w:rPr>
          <w:spacing w:val="-1"/>
        </w:rPr>
        <w:t>Off</w:t>
      </w:r>
      <w:r>
        <w:rPr>
          <w:spacing w:val="52"/>
        </w:rPr>
        <w:t xml:space="preserve"> </w:t>
      </w:r>
      <w:r>
        <w:rPr>
          <w:spacing w:val="-1"/>
        </w:rPr>
        <w:t>Contract,</w:t>
      </w:r>
      <w:r>
        <w:rPr>
          <w:spacing w:val="52"/>
        </w:rPr>
        <w:t xml:space="preserve"> </w:t>
      </w:r>
      <w:r>
        <w:rPr>
          <w:spacing w:val="-1"/>
        </w:rPr>
        <w:t>do</w:t>
      </w:r>
      <w:r>
        <w:rPr>
          <w:spacing w:val="52"/>
        </w:rPr>
        <w:t xml:space="preserve"> </w:t>
      </w:r>
      <w:r>
        <w:rPr>
          <w:spacing w:val="-2"/>
        </w:rPr>
        <w:t>or</w:t>
      </w:r>
      <w:r>
        <w:rPr>
          <w:spacing w:val="52"/>
        </w:rPr>
        <w:t xml:space="preserve"> </w:t>
      </w:r>
      <w:r>
        <w:rPr>
          <w:spacing w:val="-1"/>
        </w:rPr>
        <w:t>permit</w:t>
      </w:r>
      <w:r>
        <w:rPr>
          <w:spacing w:val="52"/>
        </w:rPr>
        <w:t xml:space="preserve"> </w:t>
      </w:r>
      <w:r>
        <w:t>to</w:t>
      </w:r>
      <w:r>
        <w:rPr>
          <w:spacing w:val="48"/>
        </w:rPr>
        <w:t xml:space="preserve"> </w:t>
      </w:r>
      <w:r>
        <w:rPr>
          <w:spacing w:val="-1"/>
        </w:rPr>
        <w:t>be</w:t>
      </w:r>
      <w:r>
        <w:rPr>
          <w:spacing w:val="51"/>
        </w:rPr>
        <w:t xml:space="preserve"> </w:t>
      </w:r>
      <w:r>
        <w:rPr>
          <w:spacing w:val="-1"/>
        </w:rPr>
        <w:t>done</w:t>
      </w:r>
      <w:r>
        <w:rPr>
          <w:spacing w:val="30"/>
        </w:rPr>
        <w:t xml:space="preserve"> </w:t>
      </w:r>
      <w:r>
        <w:rPr>
          <w:spacing w:val="-1"/>
        </w:rPr>
        <w:t>anything</w:t>
      </w:r>
      <w:r>
        <w:rPr>
          <w:spacing w:val="20"/>
        </w:rPr>
        <w:t xml:space="preserve"> </w:t>
      </w:r>
      <w:r>
        <w:rPr>
          <w:spacing w:val="-2"/>
        </w:rPr>
        <w:t>which</w:t>
      </w:r>
      <w:r>
        <w:rPr>
          <w:spacing w:val="18"/>
        </w:rPr>
        <w:t xml:space="preserve"> </w:t>
      </w:r>
      <w:r>
        <w:rPr>
          <w:spacing w:val="-1"/>
        </w:rPr>
        <w:t>it</w:t>
      </w:r>
      <w:r>
        <w:rPr>
          <w:spacing w:val="19"/>
        </w:rPr>
        <w:t xml:space="preserve"> </w:t>
      </w:r>
      <w:r>
        <w:rPr>
          <w:spacing w:val="-1"/>
        </w:rPr>
        <w:t>knows</w:t>
      </w:r>
      <w:r>
        <w:rPr>
          <w:spacing w:val="15"/>
        </w:rPr>
        <w:t xml:space="preserve"> </w:t>
      </w:r>
      <w:r>
        <w:rPr>
          <w:spacing w:val="-1"/>
        </w:rPr>
        <w:t>or</w:t>
      </w:r>
      <w:r>
        <w:rPr>
          <w:spacing w:val="19"/>
        </w:rPr>
        <w:t xml:space="preserve"> </w:t>
      </w:r>
      <w:r>
        <w:rPr>
          <w:spacing w:val="-1"/>
        </w:rPr>
        <w:t>ought</w:t>
      </w:r>
      <w:r>
        <w:rPr>
          <w:spacing w:val="16"/>
        </w:rPr>
        <w:t xml:space="preserve"> </w:t>
      </w:r>
      <w:r>
        <w:rPr>
          <w:spacing w:val="-1"/>
        </w:rPr>
        <w:t>reasonably</w:t>
      </w:r>
      <w:r>
        <w:rPr>
          <w:spacing w:val="15"/>
        </w:rPr>
        <w:t xml:space="preserve"> </w:t>
      </w:r>
      <w:r>
        <w:t>to</w:t>
      </w:r>
      <w:r>
        <w:rPr>
          <w:spacing w:val="15"/>
        </w:rPr>
        <w:t xml:space="preserve"> </w:t>
      </w:r>
      <w:r>
        <w:rPr>
          <w:spacing w:val="-2"/>
        </w:rPr>
        <w:t>know</w:t>
      </w:r>
      <w:r>
        <w:rPr>
          <w:spacing w:val="14"/>
        </w:rPr>
        <w:t xml:space="preserve"> </w:t>
      </w:r>
      <w:r>
        <w:rPr>
          <w:spacing w:val="-1"/>
        </w:rPr>
        <w:t>may</w:t>
      </w:r>
      <w:r>
        <w:rPr>
          <w:spacing w:val="15"/>
        </w:rPr>
        <w:t xml:space="preserve"> </w:t>
      </w:r>
      <w:r>
        <w:rPr>
          <w:spacing w:val="-1"/>
        </w:rPr>
        <w:t>result</w:t>
      </w:r>
      <w:r>
        <w:rPr>
          <w:spacing w:val="33"/>
        </w:rPr>
        <w:t xml:space="preserve"> </w:t>
      </w:r>
      <w:r>
        <w:rPr>
          <w:spacing w:val="-1"/>
        </w:rPr>
        <w:t>in</w:t>
      </w:r>
      <w:r>
        <w:t xml:space="preserve"> </w:t>
      </w:r>
      <w:r>
        <w:rPr>
          <w:spacing w:val="-1"/>
        </w:rPr>
        <w:t>information</w:t>
      </w:r>
      <w:r>
        <w:t xml:space="preserve"> </w:t>
      </w:r>
      <w:r>
        <w:rPr>
          <w:spacing w:val="-2"/>
        </w:rPr>
        <w:t>about</w:t>
      </w:r>
      <w:r>
        <w:rPr>
          <w:spacing w:val="2"/>
        </w:rPr>
        <w:t xml:space="preserve"> </w:t>
      </w:r>
      <w:r>
        <w:t>a</w:t>
      </w:r>
      <w:r>
        <w:rPr>
          <w:spacing w:val="-2"/>
        </w:rPr>
        <w:t xml:space="preserve"> </w:t>
      </w:r>
      <w:r>
        <w:rPr>
          <w:spacing w:val="-1"/>
        </w:rPr>
        <w:t>secret</w:t>
      </w:r>
      <w:r>
        <w:t xml:space="preserve"> </w:t>
      </w:r>
      <w:r>
        <w:rPr>
          <w:spacing w:val="-1"/>
        </w:rPr>
        <w:t>matter</w:t>
      </w:r>
      <w:r>
        <w:rPr>
          <w:spacing w:val="2"/>
        </w:rPr>
        <w:t xml:space="preserve"> </w:t>
      </w:r>
      <w:r>
        <w:rPr>
          <w:spacing w:val="-2"/>
        </w:rPr>
        <w:t>bein</w:t>
      </w:r>
      <w:bookmarkStart w:id="527" w:name="_bookmark439"/>
      <w:bookmarkEnd w:id="527"/>
      <w:r>
        <w:rPr>
          <w:spacing w:val="-2"/>
        </w:rPr>
        <w:t>g:</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5"/>
        <w:jc w:val="both"/>
      </w:pPr>
      <w:r>
        <w:rPr>
          <w:spacing w:val="-1"/>
        </w:rPr>
        <w:t>without</w:t>
      </w:r>
      <w:r>
        <w:rPr>
          <w:spacing w:val="17"/>
        </w:rPr>
        <w:t xml:space="preserve"> </w:t>
      </w:r>
      <w:r>
        <w:t>the</w:t>
      </w:r>
      <w:r>
        <w:rPr>
          <w:spacing w:val="18"/>
        </w:rPr>
        <w:t xml:space="preserve"> </w:t>
      </w:r>
      <w:r>
        <w:rPr>
          <w:spacing w:val="-2"/>
        </w:rPr>
        <w:t>prior</w:t>
      </w:r>
      <w:r>
        <w:rPr>
          <w:spacing w:val="20"/>
        </w:rPr>
        <w:t xml:space="preserve"> </w:t>
      </w:r>
      <w:r>
        <w:rPr>
          <w:spacing w:val="-2"/>
        </w:rPr>
        <w:t>consent</w:t>
      </w:r>
      <w:r>
        <w:rPr>
          <w:spacing w:val="20"/>
        </w:rPr>
        <w:t xml:space="preserve"> </w:t>
      </w:r>
      <w:r>
        <w:rPr>
          <w:spacing w:val="-1"/>
        </w:rPr>
        <w:t>in</w:t>
      </w:r>
      <w:r>
        <w:rPr>
          <w:spacing w:val="18"/>
        </w:rPr>
        <w:t xml:space="preserve"> </w:t>
      </w:r>
      <w:r>
        <w:rPr>
          <w:spacing w:val="-2"/>
        </w:rPr>
        <w:t>writing</w:t>
      </w:r>
      <w:r>
        <w:rPr>
          <w:spacing w:val="18"/>
        </w:rPr>
        <w:t xml:space="preserve"> </w:t>
      </w:r>
      <w:r>
        <w:rPr>
          <w:spacing w:val="-2"/>
        </w:rPr>
        <w:t>of</w:t>
      </w:r>
      <w:r>
        <w:rPr>
          <w:spacing w:val="20"/>
        </w:rPr>
        <w:t xml:space="preserve"> </w:t>
      </w:r>
      <w:r>
        <w:t>the</w:t>
      </w:r>
      <w:r>
        <w:rPr>
          <w:spacing w:val="16"/>
        </w:rPr>
        <w:t xml:space="preserve"> </w:t>
      </w:r>
      <w:r>
        <w:rPr>
          <w:spacing w:val="-1"/>
        </w:rPr>
        <w:t>Customer,</w:t>
      </w:r>
      <w:r>
        <w:rPr>
          <w:spacing w:val="35"/>
        </w:rPr>
        <w:t xml:space="preserve"> </w:t>
      </w:r>
      <w:r>
        <w:rPr>
          <w:spacing w:val="-1"/>
        </w:rPr>
        <w:t>disclosed</w:t>
      </w:r>
      <w:r>
        <w:rPr>
          <w:spacing w:val="29"/>
        </w:rPr>
        <w:t xml:space="preserve"> </w:t>
      </w:r>
      <w:r>
        <w:t>to</w:t>
      </w:r>
      <w:r>
        <w:rPr>
          <w:spacing w:val="29"/>
        </w:rPr>
        <w:t xml:space="preserve"> </w:t>
      </w:r>
      <w:r>
        <w:rPr>
          <w:spacing w:val="-1"/>
        </w:rPr>
        <w:t>or</w:t>
      </w:r>
      <w:r>
        <w:rPr>
          <w:spacing w:val="30"/>
        </w:rPr>
        <w:t xml:space="preserve"> </w:t>
      </w:r>
      <w:r>
        <w:rPr>
          <w:spacing w:val="-1"/>
        </w:rPr>
        <w:t>acquired</w:t>
      </w:r>
      <w:r>
        <w:rPr>
          <w:spacing w:val="27"/>
        </w:rPr>
        <w:t xml:space="preserve"> </w:t>
      </w:r>
      <w:r>
        <w:rPr>
          <w:spacing w:val="-1"/>
        </w:rPr>
        <w:t>by</w:t>
      </w:r>
      <w:r>
        <w:rPr>
          <w:spacing w:val="30"/>
        </w:rPr>
        <w:t xml:space="preserve"> </w:t>
      </w:r>
      <w:r>
        <w:t>a</w:t>
      </w:r>
      <w:r>
        <w:rPr>
          <w:spacing w:val="29"/>
        </w:rPr>
        <w:t xml:space="preserve"> </w:t>
      </w:r>
      <w:r>
        <w:rPr>
          <w:spacing w:val="-1"/>
        </w:rPr>
        <w:t>person</w:t>
      </w:r>
      <w:r>
        <w:rPr>
          <w:spacing w:val="31"/>
        </w:rPr>
        <w:t xml:space="preserve"> </w:t>
      </w:r>
      <w:r>
        <w:rPr>
          <w:spacing w:val="-2"/>
        </w:rPr>
        <w:t>who</w:t>
      </w:r>
      <w:r>
        <w:rPr>
          <w:spacing w:val="29"/>
        </w:rPr>
        <w:t xml:space="preserve"> </w:t>
      </w:r>
      <w:r>
        <w:rPr>
          <w:spacing w:val="-1"/>
        </w:rPr>
        <w:t>is</w:t>
      </w:r>
      <w:r>
        <w:rPr>
          <w:spacing w:val="32"/>
        </w:rPr>
        <w:t xml:space="preserve"> </w:t>
      </w:r>
      <w:r>
        <w:rPr>
          <w:spacing w:val="-1"/>
        </w:rPr>
        <w:t>an</w:t>
      </w:r>
      <w:r>
        <w:rPr>
          <w:spacing w:val="31"/>
        </w:rPr>
        <w:t xml:space="preserve"> </w:t>
      </w:r>
      <w:r>
        <w:rPr>
          <w:spacing w:val="-2"/>
        </w:rPr>
        <w:t>alien</w:t>
      </w:r>
      <w:r>
        <w:rPr>
          <w:spacing w:val="29"/>
        </w:rPr>
        <w:t xml:space="preserve"> </w:t>
      </w:r>
      <w:r>
        <w:rPr>
          <w:spacing w:val="-1"/>
        </w:rPr>
        <w:t>or</w:t>
      </w:r>
      <w:r>
        <w:rPr>
          <w:spacing w:val="34"/>
        </w:rPr>
        <w:t xml:space="preserve"> </w:t>
      </w:r>
      <w:r>
        <w:rPr>
          <w:spacing w:val="-2"/>
        </w:rPr>
        <w:t>who</w:t>
      </w:r>
      <w:r>
        <w:rPr>
          <w:spacing w:val="34"/>
        </w:rPr>
        <w:t xml:space="preserve"> </w:t>
      </w:r>
      <w:r>
        <w:rPr>
          <w:spacing w:val="-1"/>
        </w:rPr>
        <w:t>is</w:t>
      </w:r>
      <w:r>
        <w:rPr>
          <w:spacing w:val="34"/>
        </w:rPr>
        <w:t xml:space="preserve"> </w:t>
      </w:r>
      <w:r>
        <w:t>a</w:t>
      </w:r>
      <w:r>
        <w:rPr>
          <w:spacing w:val="34"/>
        </w:rPr>
        <w:t xml:space="preserve"> </w:t>
      </w:r>
      <w:r>
        <w:rPr>
          <w:spacing w:val="-1"/>
        </w:rPr>
        <w:t>British</w:t>
      </w:r>
      <w:r>
        <w:rPr>
          <w:spacing w:val="34"/>
        </w:rPr>
        <w:t xml:space="preserve"> </w:t>
      </w:r>
      <w:r>
        <w:rPr>
          <w:spacing w:val="-1"/>
        </w:rPr>
        <w:t>subject</w:t>
      </w:r>
      <w:r>
        <w:rPr>
          <w:spacing w:val="33"/>
        </w:rPr>
        <w:t xml:space="preserve"> </w:t>
      </w:r>
      <w:r>
        <w:rPr>
          <w:spacing w:val="-1"/>
        </w:rPr>
        <w:t>by</w:t>
      </w:r>
      <w:r>
        <w:rPr>
          <w:spacing w:val="32"/>
        </w:rPr>
        <w:t xml:space="preserve"> </w:t>
      </w:r>
      <w:r>
        <w:rPr>
          <w:spacing w:val="-1"/>
        </w:rPr>
        <w:t>virtue</w:t>
      </w:r>
      <w:r>
        <w:rPr>
          <w:spacing w:val="35"/>
        </w:rPr>
        <w:t xml:space="preserve"> </w:t>
      </w:r>
      <w:r>
        <w:rPr>
          <w:spacing w:val="-1"/>
        </w:rPr>
        <w:t>only</w:t>
      </w:r>
      <w:r>
        <w:rPr>
          <w:spacing w:val="32"/>
        </w:rPr>
        <w:t xml:space="preserve"> </w:t>
      </w:r>
      <w:r>
        <w:rPr>
          <w:spacing w:val="-1"/>
        </w:rPr>
        <w:t>of</w:t>
      </w:r>
      <w:r>
        <w:rPr>
          <w:spacing w:val="38"/>
        </w:rPr>
        <w:t xml:space="preserve"> </w:t>
      </w:r>
      <w:r>
        <w:t>a</w:t>
      </w:r>
      <w:r>
        <w:rPr>
          <w:spacing w:val="31"/>
        </w:rPr>
        <w:t xml:space="preserve"> </w:t>
      </w:r>
      <w:r>
        <w:rPr>
          <w:spacing w:val="-1"/>
        </w:rPr>
        <w:t>certificate</w:t>
      </w:r>
      <w:r>
        <w:rPr>
          <w:spacing w:val="31"/>
        </w:rPr>
        <w:t xml:space="preserve"> </w:t>
      </w:r>
      <w:r>
        <w:rPr>
          <w:spacing w:val="-3"/>
        </w:rPr>
        <w:t>of</w:t>
      </w:r>
      <w:r>
        <w:rPr>
          <w:spacing w:val="32"/>
        </w:rPr>
        <w:t xml:space="preserve"> </w:t>
      </w:r>
      <w:r>
        <w:rPr>
          <w:spacing w:val="-1"/>
        </w:rPr>
        <w:t>naturalisation</w:t>
      </w:r>
      <w:r>
        <w:t xml:space="preserve"> </w:t>
      </w:r>
      <w:r>
        <w:rPr>
          <w:spacing w:val="-1"/>
        </w:rPr>
        <w:t>in</w:t>
      </w:r>
      <w:r>
        <w:t xml:space="preserve"> </w:t>
      </w:r>
      <w:r>
        <w:rPr>
          <w:spacing w:val="-2"/>
        </w:rPr>
        <w:t>which</w:t>
      </w:r>
      <w:r>
        <w:rPr>
          <w:spacing w:val="1"/>
        </w:rPr>
        <w:t xml:space="preserve"> </w:t>
      </w:r>
      <w:r>
        <w:rPr>
          <w:spacing w:val="-1"/>
        </w:rPr>
        <w:t>his</w:t>
      </w:r>
      <w:r>
        <w:rPr>
          <w:spacing w:val="1"/>
        </w:rPr>
        <w:t xml:space="preserve"> </w:t>
      </w:r>
      <w:r>
        <w:rPr>
          <w:spacing w:val="-1"/>
        </w:rPr>
        <w:t>name</w:t>
      </w:r>
      <w:r>
        <w:rPr>
          <w:spacing w:val="-2"/>
        </w:rPr>
        <w:t xml:space="preserve"> was</w:t>
      </w:r>
      <w:r>
        <w:rPr>
          <w:spacing w:val="1"/>
        </w:rPr>
        <w:t xml:space="preserve"> </w:t>
      </w:r>
      <w:r>
        <w:rPr>
          <w:spacing w:val="-2"/>
        </w:rPr>
        <w:t>incl</w:t>
      </w:r>
      <w:bookmarkStart w:id="528" w:name="_bookmark440"/>
      <w:bookmarkEnd w:id="528"/>
      <w:r>
        <w:rPr>
          <w:spacing w:val="-2"/>
        </w:rPr>
        <w:t>uded;</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3"/>
        <w:jc w:val="both"/>
      </w:pPr>
      <w:r>
        <w:rPr>
          <w:spacing w:val="-1"/>
        </w:rPr>
        <w:t>disclosed</w:t>
      </w:r>
      <w:r>
        <w:rPr>
          <w:spacing w:val="29"/>
        </w:rPr>
        <w:t xml:space="preserve"> </w:t>
      </w:r>
      <w:r>
        <w:t>to</w:t>
      </w:r>
      <w:r>
        <w:rPr>
          <w:spacing w:val="29"/>
        </w:rPr>
        <w:t xml:space="preserve"> </w:t>
      </w:r>
      <w:r>
        <w:rPr>
          <w:spacing w:val="-1"/>
        </w:rPr>
        <w:t>or</w:t>
      </w:r>
      <w:r>
        <w:rPr>
          <w:spacing w:val="30"/>
        </w:rPr>
        <w:t xml:space="preserve"> </w:t>
      </w:r>
      <w:r>
        <w:rPr>
          <w:spacing w:val="-1"/>
        </w:rPr>
        <w:t>acquired</w:t>
      </w:r>
      <w:r>
        <w:rPr>
          <w:spacing w:val="27"/>
        </w:rPr>
        <w:t xml:space="preserve"> </w:t>
      </w:r>
      <w:r>
        <w:rPr>
          <w:spacing w:val="-1"/>
        </w:rPr>
        <w:t>by</w:t>
      </w:r>
      <w:r>
        <w:rPr>
          <w:spacing w:val="30"/>
        </w:rPr>
        <w:t xml:space="preserve"> </w:t>
      </w:r>
      <w:r>
        <w:t>a</w:t>
      </w:r>
      <w:r>
        <w:rPr>
          <w:spacing w:val="29"/>
        </w:rPr>
        <w:t xml:space="preserve"> </w:t>
      </w:r>
      <w:r>
        <w:rPr>
          <w:spacing w:val="-1"/>
        </w:rPr>
        <w:t>person</w:t>
      </w:r>
      <w:r>
        <w:rPr>
          <w:spacing w:val="29"/>
        </w:rPr>
        <w:t xml:space="preserve"> </w:t>
      </w:r>
      <w:r>
        <w:rPr>
          <w:spacing w:val="-1"/>
        </w:rPr>
        <w:t>as</w:t>
      </w:r>
      <w:r>
        <w:rPr>
          <w:spacing w:val="30"/>
        </w:rPr>
        <w:t xml:space="preserve"> </w:t>
      </w:r>
      <w:r>
        <w:rPr>
          <w:spacing w:val="-1"/>
        </w:rPr>
        <w:t>respects</w:t>
      </w:r>
      <w:r>
        <w:rPr>
          <w:spacing w:val="30"/>
        </w:rPr>
        <w:t xml:space="preserve"> </w:t>
      </w:r>
      <w:r>
        <w:rPr>
          <w:spacing w:val="-2"/>
        </w:rPr>
        <w:t>whom</w:t>
      </w:r>
      <w:r>
        <w:rPr>
          <w:spacing w:val="36"/>
        </w:rPr>
        <w:t xml:space="preserve"> </w:t>
      </w:r>
      <w:r>
        <w:t>the</w:t>
      </w:r>
      <w:r>
        <w:rPr>
          <w:spacing w:val="7"/>
        </w:rPr>
        <w:t xml:space="preserve"> </w:t>
      </w:r>
      <w:r>
        <w:rPr>
          <w:spacing w:val="-1"/>
        </w:rPr>
        <w:t>Customer</w:t>
      </w:r>
      <w:r>
        <w:rPr>
          <w:spacing w:val="9"/>
        </w:rPr>
        <w:t xml:space="preserve"> </w:t>
      </w:r>
      <w:r>
        <w:rPr>
          <w:spacing w:val="-1"/>
        </w:rPr>
        <w:t>has</w:t>
      </w:r>
      <w:r>
        <w:rPr>
          <w:spacing w:val="3"/>
        </w:rPr>
        <w:t xml:space="preserve"> </w:t>
      </w:r>
      <w:r>
        <w:rPr>
          <w:spacing w:val="-1"/>
        </w:rPr>
        <w:t>given</w:t>
      </w:r>
      <w:r>
        <w:rPr>
          <w:spacing w:val="10"/>
        </w:rPr>
        <w:t xml:space="preserve"> </w:t>
      </w:r>
      <w:r>
        <w:t>to</w:t>
      </w:r>
      <w:r>
        <w:rPr>
          <w:spacing w:val="7"/>
        </w:rPr>
        <w:t xml:space="preserve"> </w:t>
      </w:r>
      <w:r>
        <w:t>the</w:t>
      </w:r>
      <w:r>
        <w:rPr>
          <w:spacing w:val="7"/>
        </w:rPr>
        <w:t xml:space="preserve"> </w:t>
      </w:r>
      <w:r>
        <w:rPr>
          <w:spacing w:val="-2"/>
        </w:rPr>
        <w:t>Supplier</w:t>
      </w:r>
      <w:r>
        <w:rPr>
          <w:spacing w:val="9"/>
        </w:rPr>
        <w:t xml:space="preserve"> </w:t>
      </w:r>
      <w:r>
        <w:t>a</w:t>
      </w:r>
      <w:r>
        <w:rPr>
          <w:spacing w:val="7"/>
        </w:rPr>
        <w:t xml:space="preserve"> </w:t>
      </w:r>
      <w:r>
        <w:rPr>
          <w:spacing w:val="-1"/>
        </w:rPr>
        <w:t>notice</w:t>
      </w:r>
      <w:r>
        <w:rPr>
          <w:spacing w:val="8"/>
        </w:rPr>
        <w:t xml:space="preserve"> </w:t>
      </w:r>
      <w:r>
        <w:rPr>
          <w:spacing w:val="-2"/>
        </w:rPr>
        <w:t>in</w:t>
      </w:r>
      <w:r>
        <w:rPr>
          <w:spacing w:val="7"/>
        </w:rPr>
        <w:t xml:space="preserve"> </w:t>
      </w:r>
      <w:r>
        <w:rPr>
          <w:spacing w:val="-2"/>
        </w:rPr>
        <w:t>writing</w:t>
      </w:r>
      <w:r>
        <w:rPr>
          <w:spacing w:val="36"/>
        </w:rPr>
        <w:t xml:space="preserve"> </w:t>
      </w:r>
      <w:r>
        <w:rPr>
          <w:spacing w:val="-1"/>
        </w:rPr>
        <w:t>which</w:t>
      </w:r>
      <w:r>
        <w:rPr>
          <w:spacing w:val="30"/>
        </w:rPr>
        <w:t xml:space="preserve"> </w:t>
      </w:r>
      <w:r>
        <w:rPr>
          <w:spacing w:val="-1"/>
        </w:rPr>
        <w:t>has</w:t>
      </w:r>
      <w:r>
        <w:rPr>
          <w:spacing w:val="30"/>
        </w:rPr>
        <w:t xml:space="preserve"> </w:t>
      </w:r>
      <w:r>
        <w:rPr>
          <w:spacing w:val="-1"/>
        </w:rPr>
        <w:t>not</w:t>
      </w:r>
      <w:r>
        <w:rPr>
          <w:spacing w:val="30"/>
        </w:rPr>
        <w:t xml:space="preserve"> </w:t>
      </w:r>
      <w:r>
        <w:rPr>
          <w:spacing w:val="-1"/>
        </w:rPr>
        <w:t>been</w:t>
      </w:r>
      <w:r>
        <w:rPr>
          <w:spacing w:val="29"/>
        </w:rPr>
        <w:t xml:space="preserve"> </w:t>
      </w:r>
      <w:r>
        <w:rPr>
          <w:spacing w:val="-1"/>
        </w:rPr>
        <w:t>cancelled</w:t>
      </w:r>
      <w:r>
        <w:rPr>
          <w:spacing w:val="29"/>
        </w:rPr>
        <w:t xml:space="preserve"> </w:t>
      </w:r>
      <w:r>
        <w:rPr>
          <w:spacing w:val="-1"/>
        </w:rPr>
        <w:t>stating</w:t>
      </w:r>
      <w:r>
        <w:rPr>
          <w:spacing w:val="29"/>
        </w:rPr>
        <w:t xml:space="preserve"> </w:t>
      </w:r>
      <w:r>
        <w:rPr>
          <w:spacing w:val="-1"/>
        </w:rPr>
        <w:t>that</w:t>
      </w:r>
      <w:r>
        <w:rPr>
          <w:spacing w:val="28"/>
        </w:rPr>
        <w:t xml:space="preserve"> </w:t>
      </w:r>
      <w:r>
        <w:t>the</w:t>
      </w:r>
      <w:r>
        <w:rPr>
          <w:spacing w:val="29"/>
        </w:rPr>
        <w:t xml:space="preserve"> </w:t>
      </w:r>
      <w:r>
        <w:rPr>
          <w:spacing w:val="-2"/>
        </w:rPr>
        <w:t>Customer</w:t>
      </w:r>
      <w:r>
        <w:rPr>
          <w:spacing w:val="37"/>
        </w:rPr>
        <w:t xml:space="preserve"> </w:t>
      </w:r>
      <w:r>
        <w:rPr>
          <w:spacing w:val="-1"/>
        </w:rPr>
        <w:t>requires</w:t>
      </w:r>
      <w:r>
        <w:rPr>
          <w:spacing w:val="13"/>
        </w:rPr>
        <w:t xml:space="preserve"> </w:t>
      </w:r>
      <w:r>
        <w:rPr>
          <w:spacing w:val="-1"/>
        </w:rPr>
        <w:t>that</w:t>
      </w:r>
      <w:r>
        <w:rPr>
          <w:spacing w:val="14"/>
        </w:rPr>
        <w:t xml:space="preserve"> </w:t>
      </w:r>
      <w:r>
        <w:rPr>
          <w:spacing w:val="-1"/>
        </w:rPr>
        <w:t>secret</w:t>
      </w:r>
      <w:r>
        <w:rPr>
          <w:spacing w:val="14"/>
        </w:rPr>
        <w:t xml:space="preserve"> </w:t>
      </w:r>
      <w:r>
        <w:rPr>
          <w:spacing w:val="-1"/>
        </w:rPr>
        <w:t>matters</w:t>
      </w:r>
      <w:r>
        <w:rPr>
          <w:spacing w:val="15"/>
        </w:rPr>
        <w:t xml:space="preserve"> </w:t>
      </w:r>
      <w:r>
        <w:rPr>
          <w:spacing w:val="-1"/>
        </w:rPr>
        <w:t>shall</w:t>
      </w:r>
      <w:r>
        <w:rPr>
          <w:spacing w:val="14"/>
        </w:rPr>
        <w:t xml:space="preserve"> </w:t>
      </w:r>
      <w:r>
        <w:rPr>
          <w:spacing w:val="-1"/>
        </w:rPr>
        <w:t>not</w:t>
      </w:r>
      <w:r>
        <w:rPr>
          <w:spacing w:val="14"/>
        </w:rPr>
        <w:t xml:space="preserve"> </w:t>
      </w:r>
      <w:r>
        <w:rPr>
          <w:spacing w:val="-1"/>
        </w:rPr>
        <w:t>be</w:t>
      </w:r>
      <w:r>
        <w:rPr>
          <w:spacing w:val="15"/>
        </w:rPr>
        <w:t xml:space="preserve"> </w:t>
      </w:r>
      <w:r>
        <w:rPr>
          <w:spacing w:val="-2"/>
        </w:rPr>
        <w:t>disclosed</w:t>
      </w:r>
      <w:r>
        <w:rPr>
          <w:spacing w:val="15"/>
        </w:rPr>
        <w:t xml:space="preserve"> </w:t>
      </w:r>
      <w:r>
        <w:t>to</w:t>
      </w:r>
      <w:r>
        <w:rPr>
          <w:spacing w:val="12"/>
        </w:rPr>
        <w:t xml:space="preserve"> </w:t>
      </w:r>
      <w:r>
        <w:rPr>
          <w:spacing w:val="-1"/>
        </w:rPr>
        <w:t>that</w:t>
      </w:r>
      <w:r>
        <w:rPr>
          <w:spacing w:val="45"/>
        </w:rPr>
        <w:t xml:space="preserve"> </w:t>
      </w:r>
      <w:r>
        <w:rPr>
          <w:spacing w:val="-1"/>
        </w:rPr>
        <w:t>perso</w:t>
      </w:r>
      <w:bookmarkStart w:id="529" w:name="_bookmark441"/>
      <w:bookmarkEnd w:id="529"/>
      <w:r>
        <w:rPr>
          <w:spacing w:val="-1"/>
        </w:rPr>
        <w:t>n;</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5"/>
        <w:jc w:val="both"/>
      </w:pPr>
      <w:r>
        <w:rPr>
          <w:spacing w:val="-1"/>
        </w:rPr>
        <w:t>without</w:t>
      </w:r>
      <w:r>
        <w:rPr>
          <w:spacing w:val="17"/>
        </w:rPr>
        <w:t xml:space="preserve"> </w:t>
      </w:r>
      <w:r>
        <w:t>the</w:t>
      </w:r>
      <w:r>
        <w:rPr>
          <w:spacing w:val="18"/>
        </w:rPr>
        <w:t xml:space="preserve"> </w:t>
      </w:r>
      <w:r>
        <w:rPr>
          <w:spacing w:val="-2"/>
        </w:rPr>
        <w:t>prior</w:t>
      </w:r>
      <w:r>
        <w:rPr>
          <w:spacing w:val="20"/>
        </w:rPr>
        <w:t xml:space="preserve"> </w:t>
      </w:r>
      <w:r>
        <w:rPr>
          <w:spacing w:val="-2"/>
        </w:rPr>
        <w:t>consent</w:t>
      </w:r>
      <w:r>
        <w:rPr>
          <w:spacing w:val="20"/>
        </w:rPr>
        <w:t xml:space="preserve"> </w:t>
      </w:r>
      <w:r>
        <w:rPr>
          <w:spacing w:val="-1"/>
        </w:rPr>
        <w:t>in</w:t>
      </w:r>
      <w:r>
        <w:rPr>
          <w:spacing w:val="18"/>
        </w:rPr>
        <w:t xml:space="preserve"> </w:t>
      </w:r>
      <w:r>
        <w:rPr>
          <w:spacing w:val="-2"/>
        </w:rPr>
        <w:t>writing</w:t>
      </w:r>
      <w:r>
        <w:rPr>
          <w:spacing w:val="18"/>
        </w:rPr>
        <w:t xml:space="preserve"> </w:t>
      </w:r>
      <w:r>
        <w:rPr>
          <w:spacing w:val="-2"/>
        </w:rPr>
        <w:t>of</w:t>
      </w:r>
      <w:r>
        <w:rPr>
          <w:spacing w:val="20"/>
        </w:rPr>
        <w:t xml:space="preserve"> </w:t>
      </w:r>
      <w:r>
        <w:t>the</w:t>
      </w:r>
      <w:r>
        <w:rPr>
          <w:spacing w:val="16"/>
        </w:rPr>
        <w:t xml:space="preserve"> </w:t>
      </w:r>
      <w:r>
        <w:rPr>
          <w:spacing w:val="-1"/>
        </w:rPr>
        <w:t>Customer,</w:t>
      </w:r>
      <w:r>
        <w:rPr>
          <w:spacing w:val="35"/>
        </w:rPr>
        <w:t xml:space="preserve"> </w:t>
      </w:r>
      <w:r>
        <w:rPr>
          <w:spacing w:val="-1"/>
        </w:rPr>
        <w:t>disclosed</w:t>
      </w:r>
      <w:r>
        <w:rPr>
          <w:spacing w:val="2"/>
        </w:rPr>
        <w:t xml:space="preserve"> </w:t>
      </w:r>
      <w:r>
        <w:t>to</w:t>
      </w:r>
      <w:r>
        <w:rPr>
          <w:spacing w:val="2"/>
        </w:rPr>
        <w:t xml:space="preserve"> </w:t>
      </w:r>
      <w:r>
        <w:rPr>
          <w:spacing w:val="-1"/>
        </w:rPr>
        <w:t>or</w:t>
      </w:r>
      <w:r>
        <w:rPr>
          <w:spacing w:val="3"/>
        </w:rPr>
        <w:t xml:space="preserve"> </w:t>
      </w:r>
      <w:r>
        <w:rPr>
          <w:spacing w:val="-1"/>
        </w:rPr>
        <w:t>acquired</w:t>
      </w:r>
      <w:r>
        <w:rPr>
          <w:spacing w:val="2"/>
        </w:rPr>
        <w:t xml:space="preserve"> </w:t>
      </w:r>
      <w:r>
        <w:rPr>
          <w:spacing w:val="-1"/>
        </w:rPr>
        <w:t>by</w:t>
      </w:r>
      <w:r>
        <w:rPr>
          <w:spacing w:val="2"/>
        </w:rPr>
        <w:t xml:space="preserve"> </w:t>
      </w:r>
      <w:r>
        <w:rPr>
          <w:spacing w:val="-1"/>
        </w:rPr>
        <w:t>any</w:t>
      </w:r>
      <w:r>
        <w:rPr>
          <w:spacing w:val="2"/>
        </w:rPr>
        <w:t xml:space="preserve"> </w:t>
      </w:r>
      <w:r>
        <w:rPr>
          <w:spacing w:val="-1"/>
        </w:rPr>
        <w:t>person</w:t>
      </w:r>
      <w:r>
        <w:rPr>
          <w:spacing w:val="4"/>
        </w:rPr>
        <w:t xml:space="preserve"> </w:t>
      </w:r>
      <w:r>
        <w:rPr>
          <w:spacing w:val="-2"/>
        </w:rPr>
        <w:t>who</w:t>
      </w:r>
      <w:r>
        <w:rPr>
          <w:spacing w:val="4"/>
        </w:rPr>
        <w:t xml:space="preserve"> </w:t>
      </w:r>
      <w:r>
        <w:rPr>
          <w:spacing w:val="-1"/>
        </w:rPr>
        <w:t>is</w:t>
      </w:r>
      <w:r>
        <w:rPr>
          <w:spacing w:val="2"/>
        </w:rPr>
        <w:t xml:space="preserve"> </w:t>
      </w:r>
      <w:r>
        <w:rPr>
          <w:spacing w:val="-1"/>
        </w:rPr>
        <w:t>not</w:t>
      </w:r>
      <w:r>
        <w:rPr>
          <w:spacing w:val="3"/>
        </w:rPr>
        <w:t xml:space="preserve"> </w:t>
      </w:r>
      <w:r>
        <w:t>a</w:t>
      </w:r>
      <w:r>
        <w:rPr>
          <w:spacing w:val="25"/>
        </w:rPr>
        <w:t xml:space="preserve"> </w:t>
      </w:r>
      <w:r>
        <w:rPr>
          <w:spacing w:val="-1"/>
        </w:rPr>
        <w:t>servant</w:t>
      </w:r>
      <w:r>
        <w:rPr>
          <w:spacing w:val="2"/>
        </w:rPr>
        <w:t xml:space="preserve"> </w:t>
      </w:r>
      <w:r>
        <w:rPr>
          <w:spacing w:val="-2"/>
        </w:rPr>
        <w:t>of</w:t>
      </w:r>
      <w:r>
        <w:t xml:space="preserve"> the </w:t>
      </w:r>
      <w:r>
        <w:rPr>
          <w:spacing w:val="-1"/>
        </w:rPr>
        <w:t>Supplier;</w:t>
      </w:r>
      <w:r>
        <w:t xml:space="preserve"> </w:t>
      </w:r>
      <w:r>
        <w:rPr>
          <w:spacing w:val="-2"/>
        </w:rPr>
        <w:t>or</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5"/>
        <w:jc w:val="both"/>
      </w:pPr>
      <w:r>
        <w:rPr>
          <w:spacing w:val="-1"/>
        </w:rPr>
        <w:t>disclosed</w:t>
      </w:r>
      <w:r>
        <w:rPr>
          <w:spacing w:val="10"/>
        </w:rPr>
        <w:t xml:space="preserve"> </w:t>
      </w:r>
      <w:r>
        <w:t>to</w:t>
      </w:r>
      <w:r>
        <w:rPr>
          <w:spacing w:val="10"/>
        </w:rPr>
        <w:t xml:space="preserve"> </w:t>
      </w:r>
      <w:r>
        <w:rPr>
          <w:spacing w:val="-1"/>
        </w:rPr>
        <w:t>or</w:t>
      </w:r>
      <w:r>
        <w:rPr>
          <w:spacing w:val="11"/>
        </w:rPr>
        <w:t xml:space="preserve"> </w:t>
      </w:r>
      <w:r>
        <w:rPr>
          <w:spacing w:val="-1"/>
        </w:rPr>
        <w:t>acquired</w:t>
      </w:r>
      <w:r>
        <w:rPr>
          <w:spacing w:val="7"/>
        </w:rPr>
        <w:t xml:space="preserve"> </w:t>
      </w:r>
      <w:r>
        <w:rPr>
          <w:spacing w:val="-1"/>
        </w:rPr>
        <w:t>by</w:t>
      </w:r>
      <w:r>
        <w:rPr>
          <w:spacing w:val="8"/>
        </w:rPr>
        <w:t xml:space="preserve"> </w:t>
      </w:r>
      <w:r>
        <w:t>a</w:t>
      </w:r>
      <w:r>
        <w:rPr>
          <w:spacing w:val="10"/>
        </w:rPr>
        <w:t xml:space="preserve"> </w:t>
      </w:r>
      <w:r>
        <w:rPr>
          <w:spacing w:val="-1"/>
        </w:rPr>
        <w:t>person</w:t>
      </w:r>
      <w:r>
        <w:rPr>
          <w:spacing w:val="10"/>
        </w:rPr>
        <w:t xml:space="preserve"> </w:t>
      </w:r>
      <w:r>
        <w:rPr>
          <w:spacing w:val="-2"/>
        </w:rPr>
        <w:t>who</w:t>
      </w:r>
      <w:r>
        <w:rPr>
          <w:spacing w:val="12"/>
        </w:rPr>
        <w:t xml:space="preserve"> </w:t>
      </w:r>
      <w:r>
        <w:rPr>
          <w:spacing w:val="-1"/>
        </w:rPr>
        <w:t>is</w:t>
      </w:r>
      <w:r>
        <w:rPr>
          <w:spacing w:val="10"/>
        </w:rPr>
        <w:t xml:space="preserve"> </w:t>
      </w:r>
      <w:r>
        <w:rPr>
          <w:spacing w:val="-1"/>
        </w:rPr>
        <w:t>an</w:t>
      </w:r>
      <w:r>
        <w:rPr>
          <w:spacing w:val="10"/>
        </w:rPr>
        <w:t xml:space="preserve"> </w:t>
      </w:r>
      <w:r>
        <w:rPr>
          <w:spacing w:val="-2"/>
        </w:rPr>
        <w:t>employee</w:t>
      </w:r>
      <w:r>
        <w:rPr>
          <w:spacing w:val="34"/>
        </w:rPr>
        <w:t xml:space="preserve"> </w:t>
      </w:r>
      <w:r>
        <w:rPr>
          <w:spacing w:val="-2"/>
        </w:rPr>
        <w:t>of</w:t>
      </w:r>
      <w:r>
        <w:rPr>
          <w:spacing w:val="16"/>
        </w:rPr>
        <w:t xml:space="preserve"> </w:t>
      </w:r>
      <w:r>
        <w:t>the</w:t>
      </w:r>
      <w:r>
        <w:rPr>
          <w:spacing w:val="12"/>
        </w:rPr>
        <w:t xml:space="preserve"> </w:t>
      </w:r>
      <w:r>
        <w:rPr>
          <w:spacing w:val="-2"/>
        </w:rPr>
        <w:t>Supplier</w:t>
      </w:r>
      <w:r>
        <w:rPr>
          <w:spacing w:val="14"/>
        </w:rPr>
        <w:t xml:space="preserve"> </w:t>
      </w:r>
      <w:r>
        <w:rPr>
          <w:spacing w:val="-1"/>
        </w:rPr>
        <w:t>except</w:t>
      </w:r>
      <w:r>
        <w:rPr>
          <w:spacing w:val="14"/>
        </w:rPr>
        <w:t xml:space="preserve"> </w:t>
      </w:r>
      <w:r>
        <w:rPr>
          <w:spacing w:val="-1"/>
        </w:rPr>
        <w:t>in</w:t>
      </w:r>
      <w:r>
        <w:rPr>
          <w:spacing w:val="12"/>
        </w:rPr>
        <w:t xml:space="preserve"> </w:t>
      </w:r>
      <w:r>
        <w:t>a</w:t>
      </w:r>
      <w:r>
        <w:rPr>
          <w:spacing w:val="12"/>
        </w:rPr>
        <w:t xml:space="preserve"> </w:t>
      </w:r>
      <w:r>
        <w:rPr>
          <w:spacing w:val="-1"/>
        </w:rPr>
        <w:t>case</w:t>
      </w:r>
      <w:r>
        <w:rPr>
          <w:spacing w:val="13"/>
        </w:rPr>
        <w:t xml:space="preserve"> </w:t>
      </w:r>
      <w:r>
        <w:rPr>
          <w:spacing w:val="-2"/>
        </w:rPr>
        <w:t>where</w:t>
      </w:r>
      <w:r>
        <w:rPr>
          <w:spacing w:val="12"/>
        </w:rPr>
        <w:t xml:space="preserve"> </w:t>
      </w:r>
      <w:r>
        <w:rPr>
          <w:spacing w:val="-1"/>
        </w:rPr>
        <w:t>it</w:t>
      </w:r>
      <w:r>
        <w:rPr>
          <w:spacing w:val="14"/>
        </w:rPr>
        <w:t xml:space="preserve"> </w:t>
      </w:r>
      <w:r>
        <w:rPr>
          <w:spacing w:val="-1"/>
        </w:rPr>
        <w:t>is</w:t>
      </w:r>
      <w:r>
        <w:rPr>
          <w:spacing w:val="13"/>
        </w:rPr>
        <w:t xml:space="preserve"> </w:t>
      </w:r>
      <w:r>
        <w:rPr>
          <w:spacing w:val="-1"/>
        </w:rPr>
        <w:t>necessary</w:t>
      </w:r>
      <w:r>
        <w:rPr>
          <w:spacing w:val="8"/>
        </w:rPr>
        <w:t xml:space="preserve"> </w:t>
      </w:r>
      <w:r>
        <w:t>for</w:t>
      </w:r>
      <w:r>
        <w:rPr>
          <w:spacing w:val="37"/>
        </w:rPr>
        <w:t xml:space="preserve"> </w:t>
      </w:r>
      <w:r>
        <w:t>the</w:t>
      </w:r>
      <w:r>
        <w:rPr>
          <w:spacing w:val="5"/>
        </w:rPr>
        <w:t xml:space="preserve"> </w:t>
      </w:r>
      <w:r>
        <w:rPr>
          <w:spacing w:val="-1"/>
        </w:rPr>
        <w:t>proper</w:t>
      </w:r>
      <w:r>
        <w:rPr>
          <w:spacing w:val="6"/>
        </w:rPr>
        <w:t xml:space="preserve"> </w:t>
      </w:r>
      <w:r>
        <w:rPr>
          <w:spacing w:val="-1"/>
        </w:rPr>
        <w:t>performance</w:t>
      </w:r>
      <w:r>
        <w:rPr>
          <w:spacing w:val="3"/>
        </w:rPr>
        <w:t xml:space="preserve"> </w:t>
      </w:r>
      <w:r>
        <w:rPr>
          <w:spacing w:val="-2"/>
        </w:rPr>
        <w:t>of</w:t>
      </w:r>
      <w:r>
        <w:rPr>
          <w:spacing w:val="9"/>
        </w:rPr>
        <w:t xml:space="preserve"> </w:t>
      </w:r>
      <w:r>
        <w:rPr>
          <w:spacing w:val="-1"/>
        </w:rPr>
        <w:t>this</w:t>
      </w:r>
      <w:r>
        <w:rPr>
          <w:spacing w:val="5"/>
        </w:rPr>
        <w:t xml:space="preserve"> </w:t>
      </w:r>
      <w:r>
        <w:rPr>
          <w:spacing w:val="-2"/>
        </w:rPr>
        <w:t>Call</w:t>
      </w:r>
      <w:r>
        <w:rPr>
          <w:spacing w:val="4"/>
        </w:rPr>
        <w:t xml:space="preserve"> </w:t>
      </w:r>
      <w:r>
        <w:t>Off</w:t>
      </w:r>
      <w:r>
        <w:rPr>
          <w:spacing w:val="7"/>
        </w:rPr>
        <w:t xml:space="preserve"> </w:t>
      </w:r>
      <w:r>
        <w:rPr>
          <w:spacing w:val="-1"/>
        </w:rPr>
        <w:t>Contract</w:t>
      </w:r>
      <w:r>
        <w:rPr>
          <w:spacing w:val="5"/>
        </w:rPr>
        <w:t xml:space="preserve"> </w:t>
      </w:r>
      <w:r>
        <w:rPr>
          <w:spacing w:val="-1"/>
        </w:rPr>
        <w:t>that</w:t>
      </w:r>
      <w:r>
        <w:rPr>
          <w:spacing w:val="7"/>
        </w:rPr>
        <w:t xml:space="preserve"> </w:t>
      </w:r>
      <w:r>
        <w:rPr>
          <w:spacing w:val="-1"/>
        </w:rPr>
        <w:t>such</w:t>
      </w:r>
      <w:r>
        <w:rPr>
          <w:spacing w:val="26"/>
        </w:rPr>
        <w:t xml:space="preserve"> </w:t>
      </w:r>
      <w:r>
        <w:rPr>
          <w:spacing w:val="-1"/>
        </w:rPr>
        <w:t>person</w:t>
      </w:r>
      <w:r>
        <w:t xml:space="preserve"> </w:t>
      </w:r>
      <w:r>
        <w:rPr>
          <w:spacing w:val="-1"/>
        </w:rPr>
        <w:t>shall</w:t>
      </w:r>
      <w:r>
        <w:t xml:space="preserve"> </w:t>
      </w:r>
      <w:r>
        <w:rPr>
          <w:spacing w:val="-2"/>
        </w:rPr>
        <w:t>have</w:t>
      </w:r>
      <w:r>
        <w:t xml:space="preserve"> </w:t>
      </w:r>
      <w:r>
        <w:rPr>
          <w:spacing w:val="-1"/>
        </w:rPr>
        <w:t>the</w:t>
      </w:r>
      <w:r>
        <w:t xml:space="preserve"> </w:t>
      </w:r>
      <w:r>
        <w:rPr>
          <w:spacing w:val="-1"/>
        </w:rPr>
        <w:t>information.</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4"/>
        <w:jc w:val="both"/>
      </w:pPr>
      <w:bookmarkStart w:id="530" w:name="_bookmark442"/>
      <w:bookmarkEnd w:id="530"/>
      <w:r>
        <w:rPr>
          <w:spacing w:val="-1"/>
        </w:rPr>
        <w:t>Without</w:t>
      </w:r>
      <w:r>
        <w:rPr>
          <w:spacing w:val="28"/>
        </w:rPr>
        <w:t xml:space="preserve"> </w:t>
      </w:r>
      <w:r>
        <w:rPr>
          <w:spacing w:val="-2"/>
        </w:rPr>
        <w:t>prejudice</w:t>
      </w:r>
      <w:r>
        <w:rPr>
          <w:spacing w:val="27"/>
        </w:rPr>
        <w:t xml:space="preserve"> </w:t>
      </w:r>
      <w:r>
        <w:t>to</w:t>
      </w:r>
      <w:r>
        <w:rPr>
          <w:spacing w:val="24"/>
        </w:rPr>
        <w:t xml:space="preserve"> </w:t>
      </w:r>
      <w:r>
        <w:t>the</w:t>
      </w:r>
      <w:r>
        <w:rPr>
          <w:spacing w:val="24"/>
        </w:rPr>
        <w:t xml:space="preserve"> </w:t>
      </w:r>
      <w:r>
        <w:rPr>
          <w:spacing w:val="-2"/>
        </w:rPr>
        <w:t>provisions</w:t>
      </w:r>
      <w:r>
        <w:rPr>
          <w:spacing w:val="27"/>
        </w:rPr>
        <w:t xml:space="preserve"> </w:t>
      </w:r>
      <w:r>
        <w:rPr>
          <w:spacing w:val="-1"/>
        </w:rPr>
        <w:t>of</w:t>
      </w:r>
      <w:r>
        <w:rPr>
          <w:spacing w:val="30"/>
        </w:rPr>
        <w:t xml:space="preserve"> </w:t>
      </w:r>
      <w:r>
        <w:rPr>
          <w:spacing w:val="-2"/>
        </w:rPr>
        <w:t>Clause</w:t>
      </w:r>
      <w:r>
        <w:rPr>
          <w:spacing w:val="27"/>
        </w:rPr>
        <w:t xml:space="preserve"> </w:t>
      </w:r>
      <w:hyperlink w:anchor="_bookmark438" w:history="1">
        <w:r>
          <w:rPr>
            <w:spacing w:val="-1"/>
          </w:rPr>
          <w:t>56.1</w:t>
        </w:r>
      </w:hyperlink>
      <w:r>
        <w:rPr>
          <w:spacing w:val="-1"/>
        </w:rPr>
        <w:t>,</w:t>
      </w:r>
      <w:r>
        <w:rPr>
          <w:spacing w:val="26"/>
        </w:rPr>
        <w:t xml:space="preserve"> </w:t>
      </w:r>
      <w:r>
        <w:t>the</w:t>
      </w:r>
      <w:r>
        <w:rPr>
          <w:spacing w:val="27"/>
        </w:rPr>
        <w:t xml:space="preserve"> </w:t>
      </w:r>
      <w:r>
        <w:rPr>
          <w:spacing w:val="-2"/>
        </w:rPr>
        <w:t>Supplier</w:t>
      </w:r>
      <w:r>
        <w:rPr>
          <w:spacing w:val="72"/>
        </w:rPr>
        <w:t xml:space="preserve"> </w:t>
      </w:r>
      <w:r>
        <w:rPr>
          <w:spacing w:val="-1"/>
        </w:rPr>
        <w:t>shall,</w:t>
      </w:r>
      <w:r>
        <w:rPr>
          <w:spacing w:val="23"/>
        </w:rPr>
        <w:t xml:space="preserve"> </w:t>
      </w:r>
      <w:r>
        <w:rPr>
          <w:spacing w:val="-1"/>
        </w:rPr>
        <w:t>both</w:t>
      </w:r>
      <w:r>
        <w:rPr>
          <w:spacing w:val="22"/>
        </w:rPr>
        <w:t xml:space="preserve"> </w:t>
      </w:r>
      <w:r>
        <w:rPr>
          <w:spacing w:val="-1"/>
        </w:rPr>
        <w:t>before</w:t>
      </w:r>
      <w:r>
        <w:rPr>
          <w:spacing w:val="19"/>
        </w:rPr>
        <w:t xml:space="preserve"> </w:t>
      </w:r>
      <w:r>
        <w:rPr>
          <w:spacing w:val="-1"/>
        </w:rPr>
        <w:t>and</w:t>
      </w:r>
      <w:r>
        <w:rPr>
          <w:spacing w:val="22"/>
        </w:rPr>
        <w:t xml:space="preserve"> </w:t>
      </w:r>
      <w:r>
        <w:rPr>
          <w:spacing w:val="-1"/>
        </w:rPr>
        <w:t>after</w:t>
      </w:r>
      <w:r>
        <w:rPr>
          <w:spacing w:val="21"/>
        </w:rPr>
        <w:t xml:space="preserve"> </w:t>
      </w:r>
      <w:r>
        <w:t>the</w:t>
      </w:r>
      <w:r>
        <w:rPr>
          <w:spacing w:val="22"/>
        </w:rPr>
        <w:t xml:space="preserve"> </w:t>
      </w:r>
      <w:r>
        <w:rPr>
          <w:spacing w:val="-1"/>
        </w:rPr>
        <w:t>completion</w:t>
      </w:r>
      <w:r>
        <w:rPr>
          <w:spacing w:val="22"/>
        </w:rPr>
        <w:t xml:space="preserve"> </w:t>
      </w:r>
      <w:r>
        <w:rPr>
          <w:spacing w:val="-2"/>
        </w:rPr>
        <w:t>or</w:t>
      </w:r>
      <w:r>
        <w:rPr>
          <w:spacing w:val="23"/>
        </w:rPr>
        <w:t xml:space="preserve"> </w:t>
      </w:r>
      <w:r>
        <w:rPr>
          <w:spacing w:val="-1"/>
        </w:rPr>
        <w:t>termination</w:t>
      </w:r>
      <w:r>
        <w:rPr>
          <w:spacing w:val="22"/>
        </w:rPr>
        <w:t xml:space="preserve"> </w:t>
      </w:r>
      <w:r>
        <w:rPr>
          <w:spacing w:val="-2"/>
        </w:rPr>
        <w:t>of</w:t>
      </w:r>
      <w:r>
        <w:rPr>
          <w:spacing w:val="23"/>
        </w:rPr>
        <w:t xml:space="preserve"> </w:t>
      </w:r>
      <w:r>
        <w:rPr>
          <w:spacing w:val="-1"/>
        </w:rPr>
        <w:t>this</w:t>
      </w:r>
      <w:r>
        <w:rPr>
          <w:spacing w:val="29"/>
        </w:rPr>
        <w:t xml:space="preserve"> </w:t>
      </w:r>
      <w:r>
        <w:rPr>
          <w:spacing w:val="-2"/>
        </w:rPr>
        <w:t>Call</w:t>
      </w:r>
      <w:r>
        <w:t xml:space="preserve"> </w:t>
      </w:r>
      <w:r>
        <w:rPr>
          <w:spacing w:val="-1"/>
        </w:rPr>
        <w:t>Off</w:t>
      </w:r>
      <w:r>
        <w:rPr>
          <w:spacing w:val="2"/>
        </w:rPr>
        <w:t xml:space="preserve"> </w:t>
      </w:r>
      <w:r>
        <w:rPr>
          <w:spacing w:val="-1"/>
        </w:rPr>
        <w:t>Contract,</w:t>
      </w:r>
      <w:r>
        <w:t xml:space="preserve"> take</w:t>
      </w:r>
      <w:r>
        <w:rPr>
          <w:spacing w:val="-2"/>
        </w:rPr>
        <w:t xml:space="preserve"> </w:t>
      </w:r>
      <w:r>
        <w:rPr>
          <w:spacing w:val="-1"/>
        </w:rPr>
        <w:t>all</w:t>
      </w:r>
      <w:r>
        <w:t xml:space="preserve"> </w:t>
      </w:r>
      <w:r>
        <w:rPr>
          <w:spacing w:val="-1"/>
        </w:rPr>
        <w:t>reasonable</w:t>
      </w:r>
      <w:r>
        <w:rPr>
          <w:spacing w:val="-2"/>
        </w:rPr>
        <w:t xml:space="preserve"> </w:t>
      </w:r>
      <w:r>
        <w:rPr>
          <w:spacing w:val="-1"/>
        </w:rPr>
        <w:t>steps</w:t>
      </w:r>
      <w:r>
        <w:rPr>
          <w:spacing w:val="-2"/>
        </w:rPr>
        <w:t xml:space="preserve"> </w:t>
      </w:r>
      <w:r>
        <w:t>to</w:t>
      </w:r>
      <w:r>
        <w:rPr>
          <w:spacing w:val="-2"/>
        </w:rPr>
        <w:t xml:space="preserve"> ensure:</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1"/>
        <w:jc w:val="both"/>
      </w:pPr>
      <w:r>
        <w:rPr>
          <w:spacing w:val="-1"/>
        </w:rPr>
        <w:t>no</w:t>
      </w:r>
      <w:r>
        <w:rPr>
          <w:spacing w:val="24"/>
        </w:rPr>
        <w:t xml:space="preserve"> </w:t>
      </w:r>
      <w:r>
        <w:rPr>
          <w:spacing w:val="-1"/>
        </w:rPr>
        <w:t>such</w:t>
      </w:r>
      <w:r>
        <w:rPr>
          <w:spacing w:val="25"/>
        </w:rPr>
        <w:t xml:space="preserve"> </w:t>
      </w:r>
      <w:r>
        <w:rPr>
          <w:spacing w:val="-1"/>
        </w:rPr>
        <w:t>person</w:t>
      </w:r>
      <w:r>
        <w:rPr>
          <w:spacing w:val="24"/>
        </w:rPr>
        <w:t xml:space="preserve"> </w:t>
      </w:r>
      <w:r>
        <w:rPr>
          <w:spacing w:val="-1"/>
        </w:rPr>
        <w:t>as</w:t>
      </w:r>
      <w:r>
        <w:rPr>
          <w:spacing w:val="25"/>
        </w:rPr>
        <w:t xml:space="preserve"> </w:t>
      </w:r>
      <w:r>
        <w:rPr>
          <w:spacing w:val="-1"/>
        </w:rPr>
        <w:t>is</w:t>
      </w:r>
      <w:r>
        <w:rPr>
          <w:spacing w:val="25"/>
        </w:rPr>
        <w:t xml:space="preserve"> </w:t>
      </w:r>
      <w:r>
        <w:rPr>
          <w:spacing w:val="-1"/>
        </w:rPr>
        <w:t>mentioned</w:t>
      </w:r>
      <w:r>
        <w:rPr>
          <w:spacing w:val="24"/>
        </w:rPr>
        <w:t xml:space="preserve"> </w:t>
      </w:r>
      <w:r>
        <w:rPr>
          <w:spacing w:val="-1"/>
        </w:rPr>
        <w:t>in</w:t>
      </w:r>
      <w:r>
        <w:rPr>
          <w:spacing w:val="24"/>
        </w:rPr>
        <w:t xml:space="preserve"> </w:t>
      </w:r>
      <w:r>
        <w:rPr>
          <w:spacing w:val="-1"/>
        </w:rPr>
        <w:t>Clauses</w:t>
      </w:r>
      <w:r>
        <w:rPr>
          <w:spacing w:val="27"/>
        </w:rPr>
        <w:t xml:space="preserve"> </w:t>
      </w:r>
      <w:hyperlink w:anchor="_bookmark439" w:history="1">
        <w:r>
          <w:rPr>
            <w:spacing w:val="-1"/>
          </w:rPr>
          <w:t>56.1</w:t>
        </w:r>
      </w:hyperlink>
      <w:r>
        <w:rPr>
          <w:spacing w:val="-1"/>
        </w:rPr>
        <w:t>,</w:t>
      </w:r>
      <w:r>
        <w:rPr>
          <w:spacing w:val="26"/>
        </w:rPr>
        <w:t xml:space="preserve"> </w:t>
      </w:r>
      <w:hyperlink w:anchor="_bookmark440" w:history="1">
        <w:r>
          <w:rPr>
            <w:spacing w:val="-1"/>
          </w:rPr>
          <w:t>56.1.1</w:t>
        </w:r>
      </w:hyperlink>
      <w:r>
        <w:rPr>
          <w:spacing w:val="29"/>
        </w:rPr>
        <w:t xml:space="preserve"> </w:t>
      </w:r>
      <w:r>
        <w:rPr>
          <w:spacing w:val="-1"/>
        </w:rPr>
        <w:t>or</w:t>
      </w:r>
      <w:r>
        <w:rPr>
          <w:spacing w:val="39"/>
        </w:rPr>
        <w:t xml:space="preserve"> </w:t>
      </w:r>
      <w:hyperlink w:anchor="_bookmark441" w:history="1">
        <w:r>
          <w:rPr>
            <w:spacing w:val="-1"/>
          </w:rPr>
          <w:t>56.1.2</w:t>
        </w:r>
      </w:hyperlink>
      <w:r>
        <w:rPr>
          <w:spacing w:val="38"/>
        </w:rPr>
        <w:t xml:space="preserve"> </w:t>
      </w:r>
      <w:r>
        <w:rPr>
          <w:spacing w:val="-2"/>
        </w:rPr>
        <w:t>hereof</w:t>
      </w:r>
      <w:r>
        <w:rPr>
          <w:spacing w:val="41"/>
        </w:rPr>
        <w:t xml:space="preserve"> </w:t>
      </w:r>
      <w:r>
        <w:rPr>
          <w:spacing w:val="-1"/>
        </w:rPr>
        <w:t>shall</w:t>
      </w:r>
      <w:r>
        <w:rPr>
          <w:spacing w:val="37"/>
        </w:rPr>
        <w:t xml:space="preserve"> </w:t>
      </w:r>
      <w:r>
        <w:rPr>
          <w:spacing w:val="-2"/>
        </w:rPr>
        <w:t>have</w:t>
      </w:r>
      <w:r>
        <w:rPr>
          <w:spacing w:val="37"/>
        </w:rPr>
        <w:t xml:space="preserve"> </w:t>
      </w:r>
      <w:r>
        <w:rPr>
          <w:spacing w:val="-1"/>
        </w:rPr>
        <w:t>access</w:t>
      </w:r>
      <w:r>
        <w:rPr>
          <w:spacing w:val="38"/>
        </w:rPr>
        <w:t xml:space="preserve"> </w:t>
      </w:r>
      <w:r>
        <w:t>to</w:t>
      </w:r>
      <w:r>
        <w:rPr>
          <w:spacing w:val="38"/>
        </w:rPr>
        <w:t xml:space="preserve"> </w:t>
      </w:r>
      <w:r>
        <w:t>any</w:t>
      </w:r>
      <w:r>
        <w:rPr>
          <w:spacing w:val="38"/>
        </w:rPr>
        <w:t xml:space="preserve"> </w:t>
      </w:r>
      <w:r>
        <w:rPr>
          <w:spacing w:val="-1"/>
        </w:rPr>
        <w:t>item</w:t>
      </w:r>
      <w:r>
        <w:rPr>
          <w:spacing w:val="39"/>
        </w:rPr>
        <w:t xml:space="preserve"> </w:t>
      </w:r>
      <w:r>
        <w:rPr>
          <w:spacing w:val="-2"/>
        </w:rPr>
        <w:t>or</w:t>
      </w:r>
      <w:r>
        <w:rPr>
          <w:spacing w:val="43"/>
        </w:rPr>
        <w:t xml:space="preserve"> </w:t>
      </w:r>
      <w:r>
        <w:rPr>
          <w:spacing w:val="-1"/>
        </w:rPr>
        <w:t>document</w:t>
      </w:r>
      <w:r>
        <w:rPr>
          <w:spacing w:val="59"/>
        </w:rPr>
        <w:t xml:space="preserve"> </w:t>
      </w:r>
      <w:r>
        <w:rPr>
          <w:spacing w:val="-1"/>
        </w:rPr>
        <w:t>under</w:t>
      </w:r>
      <w:r>
        <w:rPr>
          <w:spacing w:val="59"/>
        </w:rPr>
        <w:t xml:space="preserve"> </w:t>
      </w:r>
      <w:r>
        <w:t>the</w:t>
      </w:r>
      <w:r>
        <w:rPr>
          <w:spacing w:val="60"/>
        </w:rPr>
        <w:t xml:space="preserve"> </w:t>
      </w:r>
      <w:r>
        <w:rPr>
          <w:spacing w:val="-1"/>
        </w:rPr>
        <w:t>control</w:t>
      </w:r>
      <w:r>
        <w:rPr>
          <w:spacing w:val="59"/>
        </w:rPr>
        <w:t xml:space="preserve"> </w:t>
      </w:r>
      <w:r>
        <w:rPr>
          <w:spacing w:val="-2"/>
        </w:rPr>
        <w:t>of</w:t>
      </w:r>
      <w:r>
        <w:rPr>
          <w:spacing w:val="1"/>
        </w:rPr>
        <w:t xml:space="preserve"> </w:t>
      </w:r>
      <w:r>
        <w:t>the</w:t>
      </w:r>
      <w:r>
        <w:rPr>
          <w:spacing w:val="1"/>
        </w:rPr>
        <w:t xml:space="preserve"> </w:t>
      </w:r>
      <w:r>
        <w:rPr>
          <w:spacing w:val="-2"/>
        </w:rPr>
        <w:t>Supplier</w:t>
      </w:r>
      <w:r>
        <w:t xml:space="preserve">  </w:t>
      </w:r>
      <w:r>
        <w:rPr>
          <w:spacing w:val="-2"/>
        </w:rPr>
        <w:t>containing</w:t>
      </w:r>
      <w:r>
        <w:rPr>
          <w:spacing w:val="43"/>
        </w:rPr>
        <w:t xml:space="preserve"> </w:t>
      </w:r>
      <w:r>
        <w:rPr>
          <w:spacing w:val="-1"/>
        </w:rPr>
        <w:t>information</w:t>
      </w:r>
      <w:r>
        <w:rPr>
          <w:spacing w:val="48"/>
        </w:rPr>
        <w:t xml:space="preserve"> </w:t>
      </w:r>
      <w:r>
        <w:rPr>
          <w:spacing w:val="-1"/>
        </w:rPr>
        <w:t>about</w:t>
      </w:r>
      <w:r>
        <w:rPr>
          <w:spacing w:val="47"/>
        </w:rPr>
        <w:t xml:space="preserve"> </w:t>
      </w:r>
      <w:r>
        <w:t>a</w:t>
      </w:r>
      <w:r>
        <w:rPr>
          <w:spacing w:val="48"/>
        </w:rPr>
        <w:t xml:space="preserve"> </w:t>
      </w:r>
      <w:r>
        <w:rPr>
          <w:spacing w:val="-1"/>
        </w:rPr>
        <w:t>secret</w:t>
      </w:r>
      <w:r>
        <w:rPr>
          <w:spacing w:val="47"/>
        </w:rPr>
        <w:t xml:space="preserve"> </w:t>
      </w:r>
      <w:r>
        <w:rPr>
          <w:spacing w:val="-1"/>
        </w:rPr>
        <w:t>matter</w:t>
      </w:r>
      <w:r>
        <w:rPr>
          <w:spacing w:val="47"/>
        </w:rPr>
        <w:t xml:space="preserve"> </w:t>
      </w:r>
      <w:r>
        <w:rPr>
          <w:spacing w:val="-1"/>
        </w:rPr>
        <w:t>except</w:t>
      </w:r>
      <w:r>
        <w:rPr>
          <w:spacing w:val="50"/>
        </w:rPr>
        <w:t xml:space="preserve"> </w:t>
      </w:r>
      <w:r>
        <w:rPr>
          <w:spacing w:val="-2"/>
        </w:rPr>
        <w:t>with</w:t>
      </w:r>
      <w:r>
        <w:rPr>
          <w:spacing w:val="49"/>
        </w:rPr>
        <w:t xml:space="preserve"> </w:t>
      </w:r>
      <w:r>
        <w:rPr>
          <w:spacing w:val="-1"/>
        </w:rPr>
        <w:t>the</w:t>
      </w:r>
      <w:r>
        <w:rPr>
          <w:spacing w:val="48"/>
        </w:rPr>
        <w:t xml:space="preserve"> </w:t>
      </w:r>
      <w:r>
        <w:rPr>
          <w:spacing w:val="-1"/>
        </w:rPr>
        <w:t>prior</w:t>
      </w:r>
      <w:r>
        <w:rPr>
          <w:spacing w:val="22"/>
        </w:rPr>
        <w:t xml:space="preserve"> </w:t>
      </w:r>
      <w:r>
        <w:rPr>
          <w:spacing w:val="-1"/>
        </w:rPr>
        <w:t>consent</w:t>
      </w:r>
      <w:r>
        <w:rPr>
          <w:spacing w:val="2"/>
        </w:rPr>
        <w:t xml:space="preserve"> </w:t>
      </w:r>
      <w:r>
        <w:rPr>
          <w:spacing w:val="-1"/>
        </w:rPr>
        <w:t>in</w:t>
      </w:r>
      <w:r>
        <w:rPr>
          <w:spacing w:val="-2"/>
        </w:rPr>
        <w:t xml:space="preserve"> writing</w:t>
      </w:r>
      <w:r>
        <w:rPr>
          <w:spacing w:val="3"/>
        </w:rPr>
        <w:t xml:space="preserve"> </w:t>
      </w:r>
      <w:r>
        <w:rPr>
          <w:spacing w:val="-2"/>
        </w:rPr>
        <w:t>of</w:t>
      </w:r>
      <w:r>
        <w:t xml:space="preserve"> the</w:t>
      </w:r>
      <w:r>
        <w:rPr>
          <w:spacing w:val="-2"/>
        </w:rPr>
        <w:t xml:space="preserve"> </w:t>
      </w:r>
      <w:r>
        <w:rPr>
          <w:spacing w:val="-1"/>
        </w:rPr>
        <w:t>Customer;</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6"/>
        <w:jc w:val="both"/>
      </w:pPr>
      <w:r>
        <w:rPr>
          <w:spacing w:val="-1"/>
        </w:rPr>
        <w:t>that</w:t>
      </w:r>
      <w:r>
        <w:rPr>
          <w:spacing w:val="19"/>
        </w:rPr>
        <w:t xml:space="preserve"> </w:t>
      </w:r>
      <w:r>
        <w:rPr>
          <w:spacing w:val="-1"/>
        </w:rPr>
        <w:t>no</w:t>
      </w:r>
      <w:r>
        <w:rPr>
          <w:spacing w:val="17"/>
        </w:rPr>
        <w:t xml:space="preserve"> </w:t>
      </w:r>
      <w:r>
        <w:rPr>
          <w:spacing w:val="-1"/>
        </w:rPr>
        <w:t>visitor</w:t>
      </w:r>
      <w:r>
        <w:rPr>
          <w:spacing w:val="16"/>
        </w:rPr>
        <w:t xml:space="preserve"> </w:t>
      </w:r>
      <w:r>
        <w:t>to</w:t>
      </w:r>
      <w:r>
        <w:rPr>
          <w:spacing w:val="17"/>
        </w:rPr>
        <w:t xml:space="preserve"> </w:t>
      </w:r>
      <w:r>
        <w:rPr>
          <w:spacing w:val="-1"/>
        </w:rPr>
        <w:t>any</w:t>
      </w:r>
      <w:r>
        <w:rPr>
          <w:spacing w:val="15"/>
        </w:rPr>
        <w:t xml:space="preserve"> </w:t>
      </w:r>
      <w:r>
        <w:rPr>
          <w:spacing w:val="-1"/>
        </w:rPr>
        <w:t>premises</w:t>
      </w:r>
      <w:r>
        <w:rPr>
          <w:spacing w:val="18"/>
        </w:rPr>
        <w:t xml:space="preserve"> </w:t>
      </w:r>
      <w:r>
        <w:rPr>
          <w:spacing w:val="-1"/>
        </w:rPr>
        <w:t>in</w:t>
      </w:r>
      <w:r>
        <w:rPr>
          <w:spacing w:val="17"/>
        </w:rPr>
        <w:t xml:space="preserve"> </w:t>
      </w:r>
      <w:r>
        <w:rPr>
          <w:spacing w:val="-2"/>
        </w:rPr>
        <w:t>which</w:t>
      </w:r>
      <w:r>
        <w:rPr>
          <w:spacing w:val="18"/>
        </w:rPr>
        <w:t xml:space="preserve"> </w:t>
      </w:r>
      <w:r>
        <w:rPr>
          <w:spacing w:val="-1"/>
        </w:rPr>
        <w:t>there</w:t>
      </w:r>
      <w:r>
        <w:rPr>
          <w:spacing w:val="17"/>
        </w:rPr>
        <w:t xml:space="preserve"> </w:t>
      </w:r>
      <w:r>
        <w:rPr>
          <w:spacing w:val="-1"/>
        </w:rPr>
        <w:t>is</w:t>
      </w:r>
      <w:r>
        <w:rPr>
          <w:spacing w:val="15"/>
        </w:rPr>
        <w:t xml:space="preserve"> </w:t>
      </w:r>
      <w:r>
        <w:rPr>
          <w:spacing w:val="-1"/>
        </w:rPr>
        <w:t>any</w:t>
      </w:r>
      <w:r>
        <w:rPr>
          <w:spacing w:val="15"/>
        </w:rPr>
        <w:t xml:space="preserve"> </w:t>
      </w:r>
      <w:r>
        <w:rPr>
          <w:spacing w:val="-1"/>
        </w:rPr>
        <w:t>item</w:t>
      </w:r>
      <w:r>
        <w:rPr>
          <w:spacing w:val="30"/>
        </w:rPr>
        <w:t xml:space="preserve"> </w:t>
      </w:r>
      <w:r>
        <w:t>to</w:t>
      </w:r>
      <w:r>
        <w:rPr>
          <w:spacing w:val="9"/>
        </w:rPr>
        <w:t xml:space="preserve"> </w:t>
      </w:r>
      <w:r>
        <w:rPr>
          <w:spacing w:val="-1"/>
        </w:rPr>
        <w:t>be</w:t>
      </w:r>
      <w:r>
        <w:rPr>
          <w:spacing w:val="9"/>
        </w:rPr>
        <w:t xml:space="preserve"> </w:t>
      </w:r>
      <w:r>
        <w:rPr>
          <w:spacing w:val="-1"/>
        </w:rPr>
        <w:t>supplied</w:t>
      </w:r>
      <w:r>
        <w:rPr>
          <w:spacing w:val="9"/>
        </w:rPr>
        <w:t xml:space="preserve"> </w:t>
      </w:r>
      <w:r>
        <w:rPr>
          <w:spacing w:val="-1"/>
        </w:rPr>
        <w:t>under</w:t>
      </w:r>
      <w:r>
        <w:rPr>
          <w:spacing w:val="10"/>
        </w:rPr>
        <w:t xml:space="preserve"> </w:t>
      </w:r>
      <w:r>
        <w:rPr>
          <w:spacing w:val="-1"/>
        </w:rPr>
        <w:t>this</w:t>
      </w:r>
      <w:r>
        <w:rPr>
          <w:spacing w:val="9"/>
        </w:rPr>
        <w:t xml:space="preserve"> </w:t>
      </w:r>
      <w:r>
        <w:rPr>
          <w:spacing w:val="-1"/>
        </w:rPr>
        <w:t>Call</w:t>
      </w:r>
      <w:r>
        <w:rPr>
          <w:spacing w:val="8"/>
        </w:rPr>
        <w:t xml:space="preserve"> </w:t>
      </w:r>
      <w:r>
        <w:t>Off</w:t>
      </w:r>
      <w:r>
        <w:rPr>
          <w:spacing w:val="13"/>
        </w:rPr>
        <w:t xml:space="preserve"> </w:t>
      </w:r>
      <w:r>
        <w:rPr>
          <w:spacing w:val="-2"/>
        </w:rPr>
        <w:t>Contract</w:t>
      </w:r>
      <w:r>
        <w:rPr>
          <w:spacing w:val="10"/>
        </w:rPr>
        <w:t xml:space="preserve"> </w:t>
      </w:r>
      <w:r>
        <w:rPr>
          <w:spacing w:val="-2"/>
        </w:rPr>
        <w:t>or</w:t>
      </w:r>
      <w:r>
        <w:rPr>
          <w:spacing w:val="10"/>
        </w:rPr>
        <w:t xml:space="preserve"> </w:t>
      </w:r>
      <w:r>
        <w:rPr>
          <w:spacing w:val="-2"/>
        </w:rPr>
        <w:t>where</w:t>
      </w:r>
      <w:r>
        <w:rPr>
          <w:spacing w:val="43"/>
        </w:rPr>
        <w:t xml:space="preserve"> </w:t>
      </w:r>
      <w:r>
        <w:rPr>
          <w:spacing w:val="-1"/>
        </w:rPr>
        <w:t>Goods</w:t>
      </w:r>
      <w:r>
        <w:rPr>
          <w:spacing w:val="44"/>
        </w:rPr>
        <w:t xml:space="preserve"> </w:t>
      </w:r>
      <w:r>
        <w:rPr>
          <w:spacing w:val="-1"/>
        </w:rPr>
        <w:t>and/or</w:t>
      </w:r>
      <w:r>
        <w:rPr>
          <w:spacing w:val="45"/>
        </w:rPr>
        <w:t xml:space="preserve"> </w:t>
      </w:r>
      <w:r>
        <w:rPr>
          <w:spacing w:val="-1"/>
        </w:rPr>
        <w:t>Services</w:t>
      </w:r>
      <w:r>
        <w:rPr>
          <w:spacing w:val="44"/>
        </w:rPr>
        <w:t xml:space="preserve"> </w:t>
      </w:r>
      <w:r>
        <w:rPr>
          <w:spacing w:val="-1"/>
        </w:rPr>
        <w:t>are</w:t>
      </w:r>
      <w:r>
        <w:rPr>
          <w:spacing w:val="43"/>
        </w:rPr>
        <w:t xml:space="preserve"> </w:t>
      </w:r>
      <w:r>
        <w:rPr>
          <w:spacing w:val="-1"/>
        </w:rPr>
        <w:t>being</w:t>
      </w:r>
      <w:r>
        <w:rPr>
          <w:spacing w:val="47"/>
        </w:rPr>
        <w:t xml:space="preserve"> </w:t>
      </w:r>
      <w:r>
        <w:rPr>
          <w:spacing w:val="-1"/>
        </w:rPr>
        <w:t>supplied</w:t>
      </w:r>
      <w:r>
        <w:rPr>
          <w:spacing w:val="43"/>
        </w:rPr>
        <w:t xml:space="preserve"> </w:t>
      </w:r>
      <w:r>
        <w:rPr>
          <w:spacing w:val="-1"/>
        </w:rPr>
        <w:t>shall</w:t>
      </w:r>
      <w:r>
        <w:rPr>
          <w:spacing w:val="46"/>
        </w:rPr>
        <w:t xml:space="preserve"> </w:t>
      </w:r>
      <w:r>
        <w:rPr>
          <w:spacing w:val="-1"/>
        </w:rPr>
        <w:t>see</w:t>
      </w:r>
      <w:r>
        <w:rPr>
          <w:spacing w:val="43"/>
        </w:rPr>
        <w:t xml:space="preserve"> </w:t>
      </w:r>
      <w:r>
        <w:rPr>
          <w:spacing w:val="-1"/>
        </w:rPr>
        <w:t>or</w:t>
      </w:r>
      <w:r>
        <w:rPr>
          <w:spacing w:val="22"/>
        </w:rPr>
        <w:t xml:space="preserve"> </w:t>
      </w:r>
      <w:r>
        <w:rPr>
          <w:spacing w:val="-1"/>
        </w:rPr>
        <w:t>discuss</w:t>
      </w:r>
      <w:r>
        <w:rPr>
          <w:spacing w:val="11"/>
        </w:rPr>
        <w:t xml:space="preserve"> </w:t>
      </w:r>
      <w:r>
        <w:rPr>
          <w:spacing w:val="-2"/>
        </w:rPr>
        <w:t>with</w:t>
      </w:r>
      <w:r>
        <w:rPr>
          <w:spacing w:val="10"/>
        </w:rPr>
        <w:t xml:space="preserve"> </w:t>
      </w:r>
      <w:r>
        <w:t>the</w:t>
      </w:r>
      <w:r>
        <w:rPr>
          <w:spacing w:val="10"/>
        </w:rPr>
        <w:t xml:space="preserve"> </w:t>
      </w:r>
      <w:r>
        <w:rPr>
          <w:spacing w:val="-2"/>
        </w:rPr>
        <w:t>Supplier</w:t>
      </w:r>
      <w:r>
        <w:rPr>
          <w:spacing w:val="11"/>
        </w:rPr>
        <w:t xml:space="preserve"> </w:t>
      </w:r>
      <w:r>
        <w:rPr>
          <w:spacing w:val="-1"/>
        </w:rPr>
        <w:t>or</w:t>
      </w:r>
      <w:r>
        <w:rPr>
          <w:spacing w:val="11"/>
        </w:rPr>
        <w:t xml:space="preserve"> </w:t>
      </w:r>
      <w:r>
        <w:rPr>
          <w:spacing w:val="-1"/>
        </w:rPr>
        <w:t>any</w:t>
      </w:r>
      <w:r>
        <w:rPr>
          <w:spacing w:val="8"/>
        </w:rPr>
        <w:t xml:space="preserve"> </w:t>
      </w:r>
      <w:r>
        <w:rPr>
          <w:spacing w:val="-1"/>
        </w:rPr>
        <w:t>person</w:t>
      </w:r>
      <w:r>
        <w:rPr>
          <w:spacing w:val="10"/>
        </w:rPr>
        <w:t xml:space="preserve"> </w:t>
      </w:r>
      <w:r>
        <w:rPr>
          <w:spacing w:val="-2"/>
        </w:rPr>
        <w:t>employed</w:t>
      </w:r>
      <w:r>
        <w:rPr>
          <w:spacing w:val="10"/>
        </w:rPr>
        <w:t xml:space="preserve"> </w:t>
      </w:r>
      <w:r>
        <w:rPr>
          <w:spacing w:val="-1"/>
        </w:rPr>
        <w:t>by</w:t>
      </w:r>
      <w:r>
        <w:rPr>
          <w:spacing w:val="8"/>
        </w:rPr>
        <w:t xml:space="preserve"> </w:t>
      </w:r>
      <w:r>
        <w:rPr>
          <w:spacing w:val="-1"/>
        </w:rPr>
        <w:t>him</w:t>
      </w:r>
      <w:r>
        <w:rPr>
          <w:spacing w:val="49"/>
        </w:rPr>
        <w:t xml:space="preserve"> </w:t>
      </w:r>
      <w:r>
        <w:rPr>
          <w:spacing w:val="-1"/>
        </w:rPr>
        <w:t>any</w:t>
      </w:r>
      <w:r>
        <w:rPr>
          <w:spacing w:val="-2"/>
        </w:rPr>
        <w:t xml:space="preserve"> </w:t>
      </w:r>
      <w:r>
        <w:rPr>
          <w:spacing w:val="-1"/>
        </w:rPr>
        <w:t>secret</w:t>
      </w:r>
      <w:r>
        <w:rPr>
          <w:spacing w:val="2"/>
        </w:rPr>
        <w:t xml:space="preserve"> </w:t>
      </w:r>
      <w:r>
        <w:rPr>
          <w:spacing w:val="-1"/>
        </w:rPr>
        <w:t>matter</w:t>
      </w:r>
      <w:r>
        <w:rPr>
          <w:spacing w:val="2"/>
        </w:rPr>
        <w:t xml:space="preserve"> </w:t>
      </w:r>
      <w:r>
        <w:rPr>
          <w:spacing w:val="-1"/>
        </w:rPr>
        <w:t xml:space="preserve">unless </w:t>
      </w:r>
      <w:r>
        <w:t xml:space="preserve">the </w:t>
      </w:r>
      <w:r>
        <w:rPr>
          <w:spacing w:val="-1"/>
        </w:rPr>
        <w:t>visitor</w:t>
      </w:r>
      <w:r>
        <w:rPr>
          <w:spacing w:val="2"/>
        </w:rPr>
        <w:t xml:space="preserve"> </w:t>
      </w:r>
      <w:r>
        <w:rPr>
          <w:spacing w:val="-1"/>
        </w:rPr>
        <w:t>is</w:t>
      </w:r>
      <w:r>
        <w:rPr>
          <w:spacing w:val="1"/>
        </w:rPr>
        <w:t xml:space="preserve"> </w:t>
      </w:r>
      <w:r>
        <w:rPr>
          <w:spacing w:val="-1"/>
        </w:rPr>
        <w:t>authorised</w:t>
      </w:r>
      <w:r>
        <w:t xml:space="preserve"> </w:t>
      </w:r>
      <w:r>
        <w:rPr>
          <w:spacing w:val="-2"/>
        </w:rPr>
        <w:t>in</w:t>
      </w:r>
      <w:r>
        <w:t xml:space="preserve"> </w:t>
      </w:r>
      <w:r>
        <w:rPr>
          <w:spacing w:val="-2"/>
        </w:rPr>
        <w:t>writing</w:t>
      </w:r>
      <w:r>
        <w:rPr>
          <w:spacing w:val="32"/>
        </w:rPr>
        <w:t xml:space="preserve"> </w:t>
      </w:r>
      <w:r>
        <w:rPr>
          <w:spacing w:val="-1"/>
        </w:rPr>
        <w:t>by</w:t>
      </w:r>
      <w:r>
        <w:rPr>
          <w:spacing w:val="-2"/>
        </w:rPr>
        <w:t xml:space="preserve"> </w:t>
      </w:r>
      <w:r>
        <w:t xml:space="preserve">the </w:t>
      </w:r>
      <w:r>
        <w:rPr>
          <w:spacing w:val="-1"/>
        </w:rPr>
        <w:t>Customer so</w:t>
      </w:r>
      <w:r>
        <w:rPr>
          <w:spacing w:val="-2"/>
        </w:rPr>
        <w:t xml:space="preserve"> </w:t>
      </w:r>
      <w:r>
        <w:t>to</w:t>
      </w:r>
      <w:r>
        <w:rPr>
          <w:spacing w:val="-2"/>
        </w:rPr>
        <w:t xml:space="preserve"> do;</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3"/>
        <w:jc w:val="both"/>
      </w:pPr>
      <w:r>
        <w:rPr>
          <w:spacing w:val="-1"/>
        </w:rPr>
        <w:t>that</w:t>
      </w:r>
      <w:r>
        <w:rPr>
          <w:spacing w:val="21"/>
        </w:rPr>
        <w:t xml:space="preserve"> </w:t>
      </w:r>
      <w:r>
        <w:rPr>
          <w:spacing w:val="-1"/>
        </w:rPr>
        <w:t>no</w:t>
      </w:r>
      <w:r>
        <w:rPr>
          <w:spacing w:val="19"/>
        </w:rPr>
        <w:t xml:space="preserve"> </w:t>
      </w:r>
      <w:r>
        <w:rPr>
          <w:spacing w:val="-1"/>
        </w:rPr>
        <w:t>photograph</w:t>
      </w:r>
      <w:r>
        <w:rPr>
          <w:spacing w:val="20"/>
        </w:rPr>
        <w:t xml:space="preserve"> </w:t>
      </w:r>
      <w:r>
        <w:rPr>
          <w:spacing w:val="-2"/>
        </w:rPr>
        <w:t>of</w:t>
      </w:r>
      <w:r>
        <w:rPr>
          <w:spacing w:val="21"/>
        </w:rPr>
        <w:t xml:space="preserve"> </w:t>
      </w:r>
      <w:r>
        <w:rPr>
          <w:spacing w:val="-2"/>
        </w:rPr>
        <w:t>any</w:t>
      </w:r>
      <w:r>
        <w:rPr>
          <w:spacing w:val="18"/>
        </w:rPr>
        <w:t xml:space="preserve"> </w:t>
      </w:r>
      <w:r>
        <w:rPr>
          <w:spacing w:val="-1"/>
        </w:rPr>
        <w:t>item</w:t>
      </w:r>
      <w:r>
        <w:rPr>
          <w:spacing w:val="21"/>
        </w:rPr>
        <w:t xml:space="preserve"> </w:t>
      </w:r>
      <w:r>
        <w:t>to</w:t>
      </w:r>
      <w:r>
        <w:rPr>
          <w:spacing w:val="19"/>
        </w:rPr>
        <w:t xml:space="preserve"> </w:t>
      </w:r>
      <w:r>
        <w:rPr>
          <w:spacing w:val="-1"/>
        </w:rPr>
        <w:t>be</w:t>
      </w:r>
      <w:r>
        <w:rPr>
          <w:spacing w:val="20"/>
        </w:rPr>
        <w:t xml:space="preserve"> </w:t>
      </w:r>
      <w:r>
        <w:rPr>
          <w:spacing w:val="-1"/>
        </w:rPr>
        <w:t>supplied</w:t>
      </w:r>
      <w:r>
        <w:rPr>
          <w:spacing w:val="20"/>
        </w:rPr>
        <w:t xml:space="preserve"> </w:t>
      </w:r>
      <w:r>
        <w:rPr>
          <w:spacing w:val="-1"/>
        </w:rPr>
        <w:t>under</w:t>
      </w:r>
      <w:r>
        <w:rPr>
          <w:spacing w:val="21"/>
        </w:rPr>
        <w:t xml:space="preserve"> </w:t>
      </w:r>
      <w:r>
        <w:rPr>
          <w:spacing w:val="-1"/>
        </w:rPr>
        <w:t>this</w:t>
      </w:r>
      <w:r>
        <w:rPr>
          <w:spacing w:val="35"/>
        </w:rPr>
        <w:t xml:space="preserve"> </w:t>
      </w:r>
      <w:r>
        <w:rPr>
          <w:spacing w:val="-2"/>
        </w:rPr>
        <w:t>Call</w:t>
      </w:r>
      <w:r>
        <w:rPr>
          <w:spacing w:val="55"/>
        </w:rPr>
        <w:t xml:space="preserve"> </w:t>
      </w:r>
      <w:r>
        <w:rPr>
          <w:spacing w:val="-1"/>
        </w:rPr>
        <w:t>Off</w:t>
      </w:r>
      <w:r>
        <w:rPr>
          <w:spacing w:val="57"/>
        </w:rPr>
        <w:t xml:space="preserve"> </w:t>
      </w:r>
      <w:r>
        <w:rPr>
          <w:spacing w:val="-1"/>
        </w:rPr>
        <w:t>Contract</w:t>
      </w:r>
      <w:r>
        <w:rPr>
          <w:spacing w:val="55"/>
        </w:rPr>
        <w:t xml:space="preserve"> </w:t>
      </w:r>
      <w:r>
        <w:rPr>
          <w:spacing w:val="-1"/>
        </w:rPr>
        <w:t>or</w:t>
      </w:r>
      <w:r>
        <w:rPr>
          <w:spacing w:val="57"/>
        </w:rPr>
        <w:t xml:space="preserve"> </w:t>
      </w:r>
      <w:r>
        <w:rPr>
          <w:spacing w:val="-2"/>
        </w:rPr>
        <w:t>any</w:t>
      </w:r>
      <w:r>
        <w:rPr>
          <w:spacing w:val="53"/>
        </w:rPr>
        <w:t xml:space="preserve"> </w:t>
      </w:r>
      <w:r>
        <w:rPr>
          <w:spacing w:val="-1"/>
        </w:rPr>
        <w:t>portions</w:t>
      </w:r>
      <w:r>
        <w:rPr>
          <w:spacing w:val="56"/>
        </w:rPr>
        <w:t xml:space="preserve"> </w:t>
      </w:r>
      <w:r>
        <w:rPr>
          <w:spacing w:val="-2"/>
        </w:rPr>
        <w:t>of</w:t>
      </w:r>
      <w:r>
        <w:rPr>
          <w:spacing w:val="58"/>
        </w:rPr>
        <w:t xml:space="preserve"> </w:t>
      </w:r>
      <w:r>
        <w:t>the</w:t>
      </w:r>
      <w:r>
        <w:rPr>
          <w:spacing w:val="53"/>
        </w:rPr>
        <w:t xml:space="preserve"> </w:t>
      </w:r>
      <w:r>
        <w:rPr>
          <w:spacing w:val="-1"/>
        </w:rPr>
        <w:t>Goods</w:t>
      </w:r>
      <w:r>
        <w:rPr>
          <w:spacing w:val="56"/>
        </w:rPr>
        <w:t xml:space="preserve"> </w:t>
      </w:r>
      <w:r>
        <w:rPr>
          <w:spacing w:val="-2"/>
        </w:rPr>
        <w:t>and/or</w:t>
      </w:r>
      <w:r>
        <w:rPr>
          <w:spacing w:val="37"/>
        </w:rPr>
        <w:t xml:space="preserve"> </w:t>
      </w:r>
      <w:r>
        <w:rPr>
          <w:spacing w:val="-1"/>
        </w:rPr>
        <w:t>Services</w:t>
      </w:r>
      <w:r>
        <w:t xml:space="preserve"> </w:t>
      </w:r>
      <w:r>
        <w:rPr>
          <w:spacing w:val="48"/>
        </w:rPr>
        <w:t xml:space="preserve"> </w:t>
      </w:r>
      <w:r>
        <w:rPr>
          <w:spacing w:val="-1"/>
        </w:rPr>
        <w:t>shall</w:t>
      </w:r>
      <w:r>
        <w:t xml:space="preserve"> </w:t>
      </w:r>
      <w:r>
        <w:rPr>
          <w:spacing w:val="49"/>
        </w:rPr>
        <w:t xml:space="preserve"> </w:t>
      </w:r>
      <w:r>
        <w:rPr>
          <w:spacing w:val="-1"/>
        </w:rPr>
        <w:t>be</w:t>
      </w:r>
      <w:r>
        <w:t xml:space="preserve"> </w:t>
      </w:r>
      <w:r>
        <w:rPr>
          <w:spacing w:val="47"/>
        </w:rPr>
        <w:t xml:space="preserve"> </w:t>
      </w:r>
      <w:r>
        <w:rPr>
          <w:spacing w:val="-1"/>
        </w:rPr>
        <w:t>taken</w:t>
      </w:r>
      <w:r>
        <w:t xml:space="preserve"> </w:t>
      </w:r>
      <w:r>
        <w:rPr>
          <w:spacing w:val="47"/>
        </w:rPr>
        <w:t xml:space="preserve"> </w:t>
      </w:r>
      <w:r>
        <w:rPr>
          <w:spacing w:val="-1"/>
        </w:rPr>
        <w:t>except</w:t>
      </w:r>
      <w:r>
        <w:t xml:space="preserve"> </w:t>
      </w:r>
      <w:r>
        <w:rPr>
          <w:spacing w:val="49"/>
        </w:rPr>
        <w:t xml:space="preserve"> </w:t>
      </w:r>
      <w:r>
        <w:rPr>
          <w:spacing w:val="-1"/>
        </w:rPr>
        <w:t>insofar</w:t>
      </w:r>
      <w:r>
        <w:t xml:space="preserve"> </w:t>
      </w:r>
      <w:r>
        <w:rPr>
          <w:spacing w:val="48"/>
        </w:rPr>
        <w:t xml:space="preserve"> </w:t>
      </w:r>
      <w:r>
        <w:rPr>
          <w:spacing w:val="-1"/>
        </w:rPr>
        <w:t>as</w:t>
      </w:r>
      <w:r>
        <w:t xml:space="preserve"> </w:t>
      </w:r>
      <w:r>
        <w:rPr>
          <w:spacing w:val="46"/>
        </w:rPr>
        <w:t xml:space="preserve"> </w:t>
      </w:r>
      <w:r>
        <w:rPr>
          <w:spacing w:val="-1"/>
        </w:rPr>
        <w:t>may</w:t>
      </w:r>
      <w:r>
        <w:t xml:space="preserve"> </w:t>
      </w:r>
      <w:r>
        <w:rPr>
          <w:spacing w:val="45"/>
        </w:rPr>
        <w:t xml:space="preserve"> </w:t>
      </w:r>
      <w:r>
        <w:rPr>
          <w:spacing w:val="-1"/>
        </w:rPr>
        <w:t>be</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left="3163" w:right="113" w:firstLine="0"/>
        <w:jc w:val="both"/>
      </w:pPr>
      <w:r>
        <w:rPr>
          <w:spacing w:val="-1"/>
        </w:rPr>
        <w:t>necessary</w:t>
      </w:r>
      <w:r>
        <w:rPr>
          <w:spacing w:val="61"/>
        </w:rPr>
        <w:t xml:space="preserve"> </w:t>
      </w:r>
      <w:r>
        <w:t>for</w:t>
      </w:r>
      <w:r>
        <w:rPr>
          <w:spacing w:val="3"/>
        </w:rPr>
        <w:t xml:space="preserve"> </w:t>
      </w:r>
      <w:r>
        <w:t>the</w:t>
      </w:r>
      <w:r>
        <w:rPr>
          <w:spacing w:val="4"/>
        </w:rPr>
        <w:t xml:space="preserve"> </w:t>
      </w:r>
      <w:r>
        <w:rPr>
          <w:spacing w:val="-2"/>
        </w:rPr>
        <w:t>proper</w:t>
      </w:r>
      <w:r>
        <w:rPr>
          <w:spacing w:val="5"/>
        </w:rPr>
        <w:t xml:space="preserve"> </w:t>
      </w:r>
      <w:r>
        <w:rPr>
          <w:spacing w:val="-1"/>
        </w:rPr>
        <w:t>performance</w:t>
      </w:r>
      <w:r>
        <w:rPr>
          <w:spacing w:val="4"/>
        </w:rPr>
        <w:t xml:space="preserve"> </w:t>
      </w:r>
      <w:r>
        <w:rPr>
          <w:spacing w:val="-2"/>
        </w:rPr>
        <w:t>of</w:t>
      </w:r>
      <w:r>
        <w:rPr>
          <w:spacing w:val="3"/>
        </w:rPr>
        <w:t xml:space="preserve"> </w:t>
      </w:r>
      <w:r>
        <w:rPr>
          <w:spacing w:val="-1"/>
        </w:rPr>
        <w:t>this</w:t>
      </w:r>
      <w:r>
        <w:rPr>
          <w:spacing w:val="4"/>
        </w:rPr>
        <w:t xml:space="preserve"> </w:t>
      </w:r>
      <w:r>
        <w:rPr>
          <w:spacing w:val="-2"/>
        </w:rPr>
        <w:t>Call</w:t>
      </w:r>
      <w:r>
        <w:rPr>
          <w:spacing w:val="1"/>
        </w:rPr>
        <w:t xml:space="preserve"> </w:t>
      </w:r>
      <w:r>
        <w:rPr>
          <w:spacing w:val="-1"/>
        </w:rPr>
        <w:t>Off</w:t>
      </w:r>
      <w:r>
        <w:rPr>
          <w:spacing w:val="41"/>
        </w:rPr>
        <w:t xml:space="preserve"> </w:t>
      </w:r>
      <w:r>
        <w:rPr>
          <w:spacing w:val="-1"/>
        </w:rPr>
        <w:t>Contract</w:t>
      </w:r>
      <w:r>
        <w:rPr>
          <w:spacing w:val="36"/>
        </w:rPr>
        <w:t xml:space="preserve"> </w:t>
      </w:r>
      <w:r>
        <w:rPr>
          <w:spacing w:val="-1"/>
        </w:rPr>
        <w:t>or</w:t>
      </w:r>
      <w:r>
        <w:rPr>
          <w:spacing w:val="34"/>
        </w:rPr>
        <w:t xml:space="preserve"> </w:t>
      </w:r>
      <w:r>
        <w:rPr>
          <w:spacing w:val="-2"/>
        </w:rPr>
        <w:t>with</w:t>
      </w:r>
      <w:r>
        <w:rPr>
          <w:spacing w:val="35"/>
        </w:rPr>
        <w:t xml:space="preserve"> </w:t>
      </w:r>
      <w:r>
        <w:t>the</w:t>
      </w:r>
      <w:r>
        <w:rPr>
          <w:spacing w:val="32"/>
        </w:rPr>
        <w:t xml:space="preserve"> </w:t>
      </w:r>
      <w:r>
        <w:rPr>
          <w:spacing w:val="-1"/>
        </w:rPr>
        <w:t>prior</w:t>
      </w:r>
      <w:r>
        <w:rPr>
          <w:spacing w:val="36"/>
        </w:rPr>
        <w:t xml:space="preserve"> </w:t>
      </w:r>
      <w:r>
        <w:rPr>
          <w:spacing w:val="-1"/>
        </w:rPr>
        <w:t>consent</w:t>
      </w:r>
      <w:r>
        <w:rPr>
          <w:spacing w:val="36"/>
        </w:rPr>
        <w:t xml:space="preserve"> </w:t>
      </w:r>
      <w:r>
        <w:rPr>
          <w:spacing w:val="-1"/>
        </w:rPr>
        <w:t>in</w:t>
      </w:r>
      <w:r>
        <w:rPr>
          <w:spacing w:val="36"/>
        </w:rPr>
        <w:t xml:space="preserve"> </w:t>
      </w:r>
      <w:r>
        <w:rPr>
          <w:spacing w:val="-2"/>
        </w:rPr>
        <w:t>writing</w:t>
      </w:r>
      <w:r>
        <w:rPr>
          <w:spacing w:val="37"/>
        </w:rPr>
        <w:t xml:space="preserve"> </w:t>
      </w:r>
      <w:r>
        <w:rPr>
          <w:spacing w:val="-2"/>
        </w:rPr>
        <w:t>of</w:t>
      </w:r>
      <w:r>
        <w:rPr>
          <w:spacing w:val="34"/>
        </w:rPr>
        <w:t xml:space="preserve"> </w:t>
      </w:r>
      <w:r>
        <w:rPr>
          <w:spacing w:val="-1"/>
        </w:rPr>
        <w:t>the</w:t>
      </w:r>
      <w:r>
        <w:rPr>
          <w:spacing w:val="31"/>
        </w:rPr>
        <w:t xml:space="preserve"> </w:t>
      </w:r>
      <w:r>
        <w:rPr>
          <w:spacing w:val="-1"/>
        </w:rPr>
        <w:t>Customer,</w:t>
      </w:r>
      <w:r>
        <w:rPr>
          <w:spacing w:val="1"/>
        </w:rPr>
        <w:t xml:space="preserve"> </w:t>
      </w:r>
      <w:r>
        <w:rPr>
          <w:spacing w:val="-1"/>
        </w:rPr>
        <w:t>and</w:t>
      </w:r>
      <w:r>
        <w:rPr>
          <w:spacing w:val="60"/>
        </w:rPr>
        <w:t xml:space="preserve"> </w:t>
      </w:r>
      <w:r>
        <w:rPr>
          <w:spacing w:val="-1"/>
        </w:rPr>
        <w:t>that</w:t>
      </w:r>
      <w:r>
        <w:rPr>
          <w:spacing w:val="1"/>
        </w:rPr>
        <w:t xml:space="preserve"> </w:t>
      </w:r>
      <w:r>
        <w:rPr>
          <w:spacing w:val="-1"/>
        </w:rPr>
        <w:t>no</w:t>
      </w:r>
      <w:r>
        <w:rPr>
          <w:spacing w:val="60"/>
        </w:rPr>
        <w:t xml:space="preserve"> </w:t>
      </w:r>
      <w:r>
        <w:rPr>
          <w:spacing w:val="-1"/>
        </w:rPr>
        <w:t>such</w:t>
      </w:r>
      <w:r>
        <w:rPr>
          <w:spacing w:val="2"/>
        </w:rPr>
        <w:t xml:space="preserve"> </w:t>
      </w:r>
      <w:r>
        <w:rPr>
          <w:spacing w:val="-1"/>
        </w:rPr>
        <w:t>photograph</w:t>
      </w:r>
      <w:r>
        <w:rPr>
          <w:spacing w:val="60"/>
        </w:rPr>
        <w:t xml:space="preserve"> </w:t>
      </w:r>
      <w:r>
        <w:rPr>
          <w:spacing w:val="-1"/>
        </w:rPr>
        <w:t>shall,</w:t>
      </w:r>
      <w:r>
        <w:rPr>
          <w:spacing w:val="3"/>
        </w:rPr>
        <w:t xml:space="preserve"> </w:t>
      </w:r>
      <w:r>
        <w:rPr>
          <w:spacing w:val="-2"/>
        </w:rPr>
        <w:t>without</w:t>
      </w:r>
      <w:r>
        <w:rPr>
          <w:spacing w:val="34"/>
        </w:rPr>
        <w:t xml:space="preserve"> </w:t>
      </w:r>
      <w:r>
        <w:rPr>
          <w:spacing w:val="-1"/>
        </w:rPr>
        <w:t>such</w:t>
      </w:r>
      <w:r>
        <w:rPr>
          <w:spacing w:val="1"/>
        </w:rPr>
        <w:t xml:space="preserve"> </w:t>
      </w:r>
      <w:r>
        <w:rPr>
          <w:spacing w:val="-1"/>
        </w:rPr>
        <w:t>consent,</w:t>
      </w:r>
      <w:r>
        <w:t xml:space="preserve"> </w:t>
      </w:r>
      <w:r>
        <w:rPr>
          <w:spacing w:val="-1"/>
        </w:rPr>
        <w:t>be</w:t>
      </w:r>
      <w:r>
        <w:t xml:space="preserve"> </w:t>
      </w:r>
      <w:bookmarkStart w:id="531" w:name="_bookmark443"/>
      <w:bookmarkEnd w:id="531"/>
      <w:r>
        <w:rPr>
          <w:spacing w:val="-2"/>
        </w:rPr>
        <w:t>published</w:t>
      </w:r>
      <w:r>
        <w:t xml:space="preserve"> </w:t>
      </w:r>
      <w:r>
        <w:rPr>
          <w:spacing w:val="-1"/>
        </w:rPr>
        <w:t xml:space="preserve">or </w:t>
      </w:r>
      <w:r>
        <w:rPr>
          <w:spacing w:val="-2"/>
        </w:rPr>
        <w:t>otherwise</w:t>
      </w:r>
      <w:r>
        <w:rPr>
          <w:spacing w:val="1"/>
        </w:rPr>
        <w:t xml:space="preserve"> </w:t>
      </w:r>
      <w:r>
        <w:rPr>
          <w:spacing w:val="-1"/>
        </w:rPr>
        <w:t>circulated;</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1" w:hanging="851"/>
        <w:jc w:val="both"/>
      </w:pPr>
      <w:r>
        <w:rPr>
          <w:spacing w:val="-1"/>
        </w:rPr>
        <w:t>that</w:t>
      </w:r>
      <w:r>
        <w:rPr>
          <w:spacing w:val="57"/>
        </w:rPr>
        <w:t xml:space="preserve"> </w:t>
      </w:r>
      <w:r>
        <w:rPr>
          <w:spacing w:val="-1"/>
        </w:rPr>
        <w:t>all</w:t>
      </w:r>
      <w:r>
        <w:rPr>
          <w:spacing w:val="55"/>
        </w:rPr>
        <w:t xml:space="preserve"> </w:t>
      </w:r>
      <w:r>
        <w:rPr>
          <w:spacing w:val="-1"/>
        </w:rPr>
        <w:t>information</w:t>
      </w:r>
      <w:r>
        <w:rPr>
          <w:spacing w:val="55"/>
        </w:rPr>
        <w:t xml:space="preserve"> </w:t>
      </w:r>
      <w:r>
        <w:rPr>
          <w:spacing w:val="-2"/>
        </w:rPr>
        <w:t>about</w:t>
      </w:r>
      <w:r>
        <w:rPr>
          <w:spacing w:val="57"/>
        </w:rPr>
        <w:t xml:space="preserve"> </w:t>
      </w:r>
      <w:r>
        <w:rPr>
          <w:spacing w:val="-1"/>
        </w:rPr>
        <w:t>any</w:t>
      </w:r>
      <w:r>
        <w:rPr>
          <w:spacing w:val="53"/>
        </w:rPr>
        <w:t xml:space="preserve"> </w:t>
      </w:r>
      <w:r>
        <w:rPr>
          <w:spacing w:val="-1"/>
        </w:rPr>
        <w:t>secret</w:t>
      </w:r>
      <w:r>
        <w:rPr>
          <w:spacing w:val="55"/>
        </w:rPr>
        <w:t xml:space="preserve"> </w:t>
      </w:r>
      <w:r>
        <w:rPr>
          <w:spacing w:val="-1"/>
        </w:rPr>
        <w:t>matter</w:t>
      </w:r>
      <w:r>
        <w:rPr>
          <w:spacing w:val="55"/>
        </w:rPr>
        <w:t xml:space="preserve"> </w:t>
      </w:r>
      <w:r>
        <w:rPr>
          <w:spacing w:val="-2"/>
        </w:rPr>
        <w:t>and</w:t>
      </w:r>
      <w:r>
        <w:rPr>
          <w:spacing w:val="55"/>
        </w:rPr>
        <w:t xml:space="preserve"> </w:t>
      </w:r>
      <w:r>
        <w:rPr>
          <w:spacing w:val="-1"/>
        </w:rPr>
        <w:t>every</w:t>
      </w:r>
      <w:r>
        <w:rPr>
          <w:spacing w:val="41"/>
        </w:rPr>
        <w:t xml:space="preserve"> </w:t>
      </w:r>
      <w:r>
        <w:rPr>
          <w:spacing w:val="-1"/>
        </w:rPr>
        <w:t>document</w:t>
      </w:r>
      <w:r>
        <w:rPr>
          <w:spacing w:val="59"/>
        </w:rPr>
        <w:t xml:space="preserve"> </w:t>
      </w:r>
      <w:r>
        <w:rPr>
          <w:spacing w:val="-1"/>
        </w:rPr>
        <w:t>model</w:t>
      </w:r>
      <w:r>
        <w:rPr>
          <w:spacing w:val="59"/>
        </w:rPr>
        <w:t xml:space="preserve"> </w:t>
      </w:r>
      <w:r>
        <w:rPr>
          <w:spacing w:val="-1"/>
        </w:rPr>
        <w:t>or</w:t>
      </w:r>
      <w:r>
        <w:rPr>
          <w:spacing w:val="59"/>
        </w:rPr>
        <w:t xml:space="preserve"> </w:t>
      </w:r>
      <w:r>
        <w:rPr>
          <w:spacing w:val="-1"/>
        </w:rPr>
        <w:t>other</w:t>
      </w:r>
      <w:r>
        <w:t xml:space="preserve">  </w:t>
      </w:r>
      <w:r>
        <w:rPr>
          <w:spacing w:val="-1"/>
        </w:rPr>
        <w:t>item</w:t>
      </w:r>
      <w:r>
        <w:rPr>
          <w:spacing w:val="59"/>
        </w:rPr>
        <w:t xml:space="preserve"> </w:t>
      </w:r>
      <w:r>
        <w:rPr>
          <w:spacing w:val="-2"/>
        </w:rPr>
        <w:t>which</w:t>
      </w:r>
      <w:r>
        <w:t xml:space="preserve">  </w:t>
      </w:r>
      <w:r>
        <w:rPr>
          <w:spacing w:val="-1"/>
        </w:rPr>
        <w:t>contains</w:t>
      </w:r>
      <w:r>
        <w:t xml:space="preserve">  </w:t>
      </w:r>
      <w:r>
        <w:rPr>
          <w:spacing w:val="-1"/>
        </w:rPr>
        <w:t>or</w:t>
      </w:r>
      <w:r>
        <w:t xml:space="preserve">  </w:t>
      </w:r>
      <w:r>
        <w:rPr>
          <w:spacing w:val="-1"/>
        </w:rPr>
        <w:t>may</w:t>
      </w:r>
      <w:r>
        <w:rPr>
          <w:spacing w:val="32"/>
        </w:rPr>
        <w:t xml:space="preserve"> </w:t>
      </w:r>
      <w:r>
        <w:rPr>
          <w:spacing w:val="-1"/>
        </w:rPr>
        <w:t>reveal</w:t>
      </w:r>
      <w:r>
        <w:rPr>
          <w:spacing w:val="53"/>
        </w:rPr>
        <w:t xml:space="preserve"> </w:t>
      </w:r>
      <w:r>
        <w:t>any</w:t>
      </w:r>
      <w:r>
        <w:rPr>
          <w:spacing w:val="52"/>
        </w:rPr>
        <w:t xml:space="preserve"> </w:t>
      </w:r>
      <w:r>
        <w:rPr>
          <w:spacing w:val="-1"/>
        </w:rPr>
        <w:t>such</w:t>
      </w:r>
      <w:r>
        <w:rPr>
          <w:spacing w:val="57"/>
        </w:rPr>
        <w:t xml:space="preserve"> </w:t>
      </w:r>
      <w:r>
        <w:rPr>
          <w:spacing w:val="-1"/>
        </w:rPr>
        <w:t>information</w:t>
      </w:r>
      <w:r>
        <w:rPr>
          <w:spacing w:val="54"/>
        </w:rPr>
        <w:t xml:space="preserve"> </w:t>
      </w:r>
      <w:r>
        <w:rPr>
          <w:spacing w:val="-1"/>
        </w:rPr>
        <w:t>is</w:t>
      </w:r>
      <w:r>
        <w:rPr>
          <w:spacing w:val="55"/>
        </w:rPr>
        <w:t xml:space="preserve"> </w:t>
      </w:r>
      <w:r>
        <w:rPr>
          <w:spacing w:val="-1"/>
        </w:rPr>
        <w:t>at</w:t>
      </w:r>
      <w:r>
        <w:rPr>
          <w:spacing w:val="56"/>
        </w:rPr>
        <w:t xml:space="preserve"> </w:t>
      </w:r>
      <w:r>
        <w:rPr>
          <w:spacing w:val="-1"/>
        </w:rPr>
        <w:t>all</w:t>
      </w:r>
      <w:r>
        <w:rPr>
          <w:spacing w:val="54"/>
        </w:rPr>
        <w:t xml:space="preserve"> </w:t>
      </w:r>
      <w:r>
        <w:t>times</w:t>
      </w:r>
      <w:r>
        <w:rPr>
          <w:spacing w:val="55"/>
        </w:rPr>
        <w:t xml:space="preserve"> </w:t>
      </w:r>
      <w:r>
        <w:rPr>
          <w:spacing w:val="-1"/>
        </w:rPr>
        <w:t>strictly</w:t>
      </w:r>
      <w:r>
        <w:rPr>
          <w:spacing w:val="29"/>
        </w:rPr>
        <w:t xml:space="preserve"> </w:t>
      </w:r>
      <w:r>
        <w:rPr>
          <w:spacing w:val="-1"/>
        </w:rPr>
        <w:t>safeguarded,</w:t>
      </w:r>
      <w:r>
        <w:rPr>
          <w:spacing w:val="11"/>
        </w:rPr>
        <w:t xml:space="preserve"> </w:t>
      </w:r>
      <w:r>
        <w:rPr>
          <w:spacing w:val="-1"/>
        </w:rPr>
        <w:t>and</w:t>
      </w:r>
      <w:r>
        <w:rPr>
          <w:spacing w:val="10"/>
        </w:rPr>
        <w:t xml:space="preserve"> </w:t>
      </w:r>
      <w:r>
        <w:rPr>
          <w:spacing w:val="-1"/>
        </w:rPr>
        <w:t>that,</w:t>
      </w:r>
      <w:r>
        <w:rPr>
          <w:spacing w:val="11"/>
        </w:rPr>
        <w:t xml:space="preserve"> </w:t>
      </w:r>
      <w:r>
        <w:rPr>
          <w:spacing w:val="-1"/>
        </w:rPr>
        <w:t>except</w:t>
      </w:r>
      <w:r>
        <w:rPr>
          <w:spacing w:val="11"/>
        </w:rPr>
        <w:t xml:space="preserve"> </w:t>
      </w:r>
      <w:r>
        <w:rPr>
          <w:spacing w:val="-1"/>
        </w:rPr>
        <w:t>insofar</w:t>
      </w:r>
      <w:r>
        <w:rPr>
          <w:spacing w:val="11"/>
        </w:rPr>
        <w:t xml:space="preserve"> </w:t>
      </w:r>
      <w:r>
        <w:rPr>
          <w:spacing w:val="-1"/>
        </w:rPr>
        <w:t>as</w:t>
      </w:r>
      <w:r>
        <w:rPr>
          <w:spacing w:val="8"/>
        </w:rPr>
        <w:t xml:space="preserve"> </w:t>
      </w:r>
      <w:r>
        <w:rPr>
          <w:spacing w:val="-1"/>
        </w:rPr>
        <w:t>may</w:t>
      </w:r>
      <w:r>
        <w:rPr>
          <w:spacing w:val="8"/>
        </w:rPr>
        <w:t xml:space="preserve"> </w:t>
      </w:r>
      <w:r>
        <w:rPr>
          <w:spacing w:val="-1"/>
        </w:rPr>
        <w:t>be</w:t>
      </w:r>
      <w:r>
        <w:rPr>
          <w:spacing w:val="28"/>
        </w:rPr>
        <w:t xml:space="preserve"> </w:t>
      </w:r>
      <w:r>
        <w:rPr>
          <w:spacing w:val="-1"/>
        </w:rPr>
        <w:t>necessary</w:t>
      </w:r>
      <w:r>
        <w:rPr>
          <w:spacing w:val="61"/>
        </w:rPr>
        <w:t xml:space="preserve"> </w:t>
      </w:r>
      <w:r>
        <w:t>for</w:t>
      </w:r>
      <w:r>
        <w:rPr>
          <w:spacing w:val="3"/>
        </w:rPr>
        <w:t xml:space="preserve"> </w:t>
      </w:r>
      <w:r>
        <w:t>the</w:t>
      </w:r>
      <w:r>
        <w:rPr>
          <w:spacing w:val="4"/>
        </w:rPr>
        <w:t xml:space="preserve"> </w:t>
      </w:r>
      <w:r>
        <w:rPr>
          <w:spacing w:val="-2"/>
        </w:rPr>
        <w:t>proper</w:t>
      </w:r>
      <w:r>
        <w:rPr>
          <w:spacing w:val="5"/>
        </w:rPr>
        <w:t xml:space="preserve"> </w:t>
      </w:r>
      <w:r>
        <w:rPr>
          <w:spacing w:val="-1"/>
        </w:rPr>
        <w:t>performance</w:t>
      </w:r>
      <w:r>
        <w:rPr>
          <w:spacing w:val="4"/>
        </w:rPr>
        <w:t xml:space="preserve"> </w:t>
      </w:r>
      <w:r>
        <w:rPr>
          <w:spacing w:val="-2"/>
        </w:rPr>
        <w:t>of</w:t>
      </w:r>
      <w:r>
        <w:rPr>
          <w:spacing w:val="3"/>
        </w:rPr>
        <w:t xml:space="preserve"> </w:t>
      </w:r>
      <w:r>
        <w:rPr>
          <w:spacing w:val="-1"/>
        </w:rPr>
        <w:t>this</w:t>
      </w:r>
      <w:r>
        <w:rPr>
          <w:spacing w:val="4"/>
        </w:rPr>
        <w:t xml:space="preserve"> </w:t>
      </w:r>
      <w:r>
        <w:rPr>
          <w:spacing w:val="-2"/>
        </w:rPr>
        <w:t>Call</w:t>
      </w:r>
      <w:r>
        <w:rPr>
          <w:spacing w:val="1"/>
        </w:rPr>
        <w:t xml:space="preserve"> </w:t>
      </w:r>
      <w:r>
        <w:rPr>
          <w:spacing w:val="-1"/>
        </w:rPr>
        <w:t>Off</w:t>
      </w:r>
      <w:r>
        <w:rPr>
          <w:spacing w:val="43"/>
        </w:rPr>
        <w:t xml:space="preserve"> </w:t>
      </w:r>
      <w:r>
        <w:rPr>
          <w:spacing w:val="-1"/>
        </w:rPr>
        <w:t>Contract</w:t>
      </w:r>
      <w:r>
        <w:rPr>
          <w:spacing w:val="36"/>
        </w:rPr>
        <w:t xml:space="preserve"> </w:t>
      </w:r>
      <w:r>
        <w:rPr>
          <w:spacing w:val="-1"/>
        </w:rPr>
        <w:t>or</w:t>
      </w:r>
      <w:r>
        <w:rPr>
          <w:spacing w:val="34"/>
        </w:rPr>
        <w:t xml:space="preserve"> </w:t>
      </w:r>
      <w:r>
        <w:rPr>
          <w:spacing w:val="-2"/>
        </w:rPr>
        <w:t>with</w:t>
      </w:r>
      <w:r>
        <w:rPr>
          <w:spacing w:val="35"/>
        </w:rPr>
        <w:t xml:space="preserve"> </w:t>
      </w:r>
      <w:r>
        <w:t>the</w:t>
      </w:r>
      <w:r>
        <w:rPr>
          <w:spacing w:val="32"/>
        </w:rPr>
        <w:t xml:space="preserve"> </w:t>
      </w:r>
      <w:r>
        <w:rPr>
          <w:spacing w:val="-1"/>
        </w:rPr>
        <w:t>prior</w:t>
      </w:r>
      <w:r>
        <w:rPr>
          <w:spacing w:val="36"/>
        </w:rPr>
        <w:t xml:space="preserve"> </w:t>
      </w:r>
      <w:r>
        <w:rPr>
          <w:spacing w:val="-1"/>
        </w:rPr>
        <w:t>consent</w:t>
      </w:r>
      <w:r>
        <w:rPr>
          <w:spacing w:val="36"/>
        </w:rPr>
        <w:t xml:space="preserve"> </w:t>
      </w:r>
      <w:r>
        <w:rPr>
          <w:spacing w:val="-1"/>
        </w:rPr>
        <w:t>in</w:t>
      </w:r>
      <w:r>
        <w:rPr>
          <w:spacing w:val="36"/>
        </w:rPr>
        <w:t xml:space="preserve"> </w:t>
      </w:r>
      <w:r>
        <w:rPr>
          <w:spacing w:val="-2"/>
        </w:rPr>
        <w:t>writing</w:t>
      </w:r>
      <w:r>
        <w:rPr>
          <w:spacing w:val="37"/>
        </w:rPr>
        <w:t xml:space="preserve"> </w:t>
      </w:r>
      <w:r>
        <w:rPr>
          <w:spacing w:val="-2"/>
        </w:rPr>
        <w:t>of</w:t>
      </w:r>
      <w:r>
        <w:rPr>
          <w:spacing w:val="34"/>
        </w:rPr>
        <w:t xml:space="preserve"> </w:t>
      </w:r>
      <w:r>
        <w:rPr>
          <w:spacing w:val="-1"/>
        </w:rPr>
        <w:t>the</w:t>
      </w:r>
      <w:r>
        <w:rPr>
          <w:spacing w:val="31"/>
        </w:rPr>
        <w:t xml:space="preserve"> </w:t>
      </w:r>
      <w:r>
        <w:rPr>
          <w:spacing w:val="-1"/>
        </w:rPr>
        <w:t>Customer,</w:t>
      </w:r>
      <w:r>
        <w:rPr>
          <w:spacing w:val="46"/>
        </w:rPr>
        <w:t xml:space="preserve"> </w:t>
      </w:r>
      <w:r>
        <w:rPr>
          <w:spacing w:val="-1"/>
        </w:rPr>
        <w:t>no</w:t>
      </w:r>
      <w:r>
        <w:rPr>
          <w:spacing w:val="45"/>
        </w:rPr>
        <w:t xml:space="preserve"> </w:t>
      </w:r>
      <w:r>
        <w:rPr>
          <w:spacing w:val="-1"/>
        </w:rPr>
        <w:t>copies</w:t>
      </w:r>
      <w:r>
        <w:rPr>
          <w:spacing w:val="43"/>
        </w:rPr>
        <w:t xml:space="preserve"> </w:t>
      </w:r>
      <w:r>
        <w:rPr>
          <w:spacing w:val="-2"/>
        </w:rPr>
        <w:t>of</w:t>
      </w:r>
      <w:r>
        <w:rPr>
          <w:spacing w:val="48"/>
        </w:rPr>
        <w:t xml:space="preserve"> </w:t>
      </w:r>
      <w:r>
        <w:rPr>
          <w:spacing w:val="-1"/>
        </w:rPr>
        <w:t>or</w:t>
      </w:r>
      <w:r>
        <w:rPr>
          <w:spacing w:val="46"/>
        </w:rPr>
        <w:t xml:space="preserve"> </w:t>
      </w:r>
      <w:r>
        <w:rPr>
          <w:spacing w:val="-1"/>
        </w:rPr>
        <w:t>extracts</w:t>
      </w:r>
      <w:r>
        <w:rPr>
          <w:spacing w:val="43"/>
        </w:rPr>
        <w:t xml:space="preserve"> </w:t>
      </w:r>
      <w:r>
        <w:rPr>
          <w:spacing w:val="-1"/>
        </w:rPr>
        <w:t>from</w:t>
      </w:r>
      <w:r>
        <w:rPr>
          <w:spacing w:val="47"/>
        </w:rPr>
        <w:t xml:space="preserve"> </w:t>
      </w:r>
      <w:r>
        <w:rPr>
          <w:spacing w:val="-2"/>
        </w:rPr>
        <w:t>any</w:t>
      </w:r>
      <w:r>
        <w:rPr>
          <w:spacing w:val="43"/>
        </w:rPr>
        <w:t xml:space="preserve"> </w:t>
      </w:r>
      <w:r>
        <w:rPr>
          <w:spacing w:val="-1"/>
        </w:rPr>
        <w:t>such</w:t>
      </w:r>
      <w:r>
        <w:rPr>
          <w:spacing w:val="26"/>
        </w:rPr>
        <w:t xml:space="preserve"> </w:t>
      </w:r>
      <w:r>
        <w:rPr>
          <w:spacing w:val="-1"/>
        </w:rPr>
        <w:t>document,</w:t>
      </w:r>
      <w:r>
        <w:rPr>
          <w:spacing w:val="26"/>
        </w:rPr>
        <w:t xml:space="preserve"> </w:t>
      </w:r>
      <w:r>
        <w:rPr>
          <w:spacing w:val="-1"/>
        </w:rPr>
        <w:t>model</w:t>
      </w:r>
      <w:r>
        <w:rPr>
          <w:spacing w:val="26"/>
        </w:rPr>
        <w:t xml:space="preserve"> </w:t>
      </w:r>
      <w:r>
        <w:rPr>
          <w:spacing w:val="-2"/>
        </w:rPr>
        <w:t>or</w:t>
      </w:r>
      <w:r>
        <w:rPr>
          <w:spacing w:val="28"/>
        </w:rPr>
        <w:t xml:space="preserve"> </w:t>
      </w:r>
      <w:r>
        <w:rPr>
          <w:spacing w:val="-1"/>
        </w:rPr>
        <w:t>item</w:t>
      </w:r>
      <w:r>
        <w:rPr>
          <w:spacing w:val="28"/>
        </w:rPr>
        <w:t xml:space="preserve"> </w:t>
      </w:r>
      <w:r>
        <w:rPr>
          <w:spacing w:val="-1"/>
        </w:rPr>
        <w:t>shall</w:t>
      </w:r>
      <w:r>
        <w:rPr>
          <w:spacing w:val="26"/>
        </w:rPr>
        <w:t xml:space="preserve"> </w:t>
      </w:r>
      <w:r>
        <w:rPr>
          <w:spacing w:val="-1"/>
        </w:rPr>
        <w:t>be</w:t>
      </w:r>
      <w:r>
        <w:rPr>
          <w:spacing w:val="24"/>
        </w:rPr>
        <w:t xml:space="preserve"> </w:t>
      </w:r>
      <w:r>
        <w:rPr>
          <w:spacing w:val="-1"/>
        </w:rPr>
        <w:t>made</w:t>
      </w:r>
      <w:r>
        <w:rPr>
          <w:spacing w:val="27"/>
        </w:rPr>
        <w:t xml:space="preserve"> </w:t>
      </w:r>
      <w:r>
        <w:rPr>
          <w:spacing w:val="-2"/>
        </w:rPr>
        <w:t>or</w:t>
      </w:r>
      <w:r>
        <w:rPr>
          <w:spacing w:val="28"/>
        </w:rPr>
        <w:t xml:space="preserve"> </w:t>
      </w:r>
      <w:r>
        <w:rPr>
          <w:spacing w:val="-2"/>
        </w:rPr>
        <w:t>used</w:t>
      </w:r>
      <w:r>
        <w:rPr>
          <w:spacing w:val="27"/>
        </w:rPr>
        <w:t xml:space="preserve"> </w:t>
      </w:r>
      <w:r>
        <w:rPr>
          <w:spacing w:val="-1"/>
        </w:rPr>
        <w:t>and</w:t>
      </w:r>
      <w:r>
        <w:rPr>
          <w:spacing w:val="27"/>
        </w:rPr>
        <w:t xml:space="preserve"> </w:t>
      </w:r>
      <w:r>
        <w:rPr>
          <w:spacing w:val="-2"/>
        </w:rPr>
        <w:t>no</w:t>
      </w:r>
      <w:r>
        <w:rPr>
          <w:spacing w:val="31"/>
        </w:rPr>
        <w:t xml:space="preserve"> </w:t>
      </w:r>
      <w:r>
        <w:rPr>
          <w:spacing w:val="-1"/>
        </w:rPr>
        <w:t>designation</w:t>
      </w:r>
      <w:r>
        <w:rPr>
          <w:spacing w:val="38"/>
        </w:rPr>
        <w:t xml:space="preserve"> </w:t>
      </w:r>
      <w:r>
        <w:rPr>
          <w:spacing w:val="-2"/>
        </w:rPr>
        <w:t>of</w:t>
      </w:r>
      <w:r>
        <w:rPr>
          <w:spacing w:val="42"/>
        </w:rPr>
        <w:t xml:space="preserve"> </w:t>
      </w:r>
      <w:r>
        <w:rPr>
          <w:spacing w:val="-2"/>
        </w:rPr>
        <w:t>description</w:t>
      </w:r>
      <w:r>
        <w:rPr>
          <w:spacing w:val="41"/>
        </w:rPr>
        <w:t xml:space="preserve"> </w:t>
      </w:r>
      <w:r>
        <w:rPr>
          <w:spacing w:val="-2"/>
        </w:rPr>
        <w:t>which</w:t>
      </w:r>
      <w:r>
        <w:rPr>
          <w:spacing w:val="39"/>
        </w:rPr>
        <w:t xml:space="preserve"> </w:t>
      </w:r>
      <w:r>
        <w:rPr>
          <w:spacing w:val="-1"/>
        </w:rPr>
        <w:t>may</w:t>
      </w:r>
      <w:r>
        <w:rPr>
          <w:spacing w:val="39"/>
        </w:rPr>
        <w:t xml:space="preserve"> </w:t>
      </w:r>
      <w:r>
        <w:rPr>
          <w:spacing w:val="-1"/>
        </w:rPr>
        <w:t>reveal</w:t>
      </w:r>
      <w:r>
        <w:rPr>
          <w:spacing w:val="40"/>
        </w:rPr>
        <w:t xml:space="preserve"> </w:t>
      </w:r>
      <w:r>
        <w:rPr>
          <w:spacing w:val="-1"/>
        </w:rPr>
        <w:t>information</w:t>
      </w:r>
      <w:r>
        <w:rPr>
          <w:spacing w:val="44"/>
        </w:rPr>
        <w:t xml:space="preserve"> </w:t>
      </w:r>
      <w:r>
        <w:rPr>
          <w:spacing w:val="-1"/>
        </w:rPr>
        <w:t>about</w:t>
      </w:r>
      <w:r>
        <w:rPr>
          <w:spacing w:val="17"/>
        </w:rPr>
        <w:t xml:space="preserve"> </w:t>
      </w:r>
      <w:r>
        <w:t>the</w:t>
      </w:r>
      <w:r>
        <w:rPr>
          <w:spacing w:val="16"/>
        </w:rPr>
        <w:t xml:space="preserve"> </w:t>
      </w:r>
      <w:r>
        <w:rPr>
          <w:spacing w:val="-1"/>
        </w:rPr>
        <w:t>nature</w:t>
      </w:r>
      <w:r>
        <w:rPr>
          <w:spacing w:val="16"/>
        </w:rPr>
        <w:t xml:space="preserve"> </w:t>
      </w:r>
      <w:r>
        <w:rPr>
          <w:spacing w:val="-1"/>
        </w:rPr>
        <w:t>or</w:t>
      </w:r>
      <w:r>
        <w:rPr>
          <w:spacing w:val="15"/>
        </w:rPr>
        <w:t xml:space="preserve"> </w:t>
      </w:r>
      <w:r>
        <w:rPr>
          <w:spacing w:val="-1"/>
        </w:rPr>
        <w:t>contents</w:t>
      </w:r>
      <w:r>
        <w:rPr>
          <w:spacing w:val="16"/>
        </w:rPr>
        <w:t xml:space="preserve"> </w:t>
      </w:r>
      <w:r>
        <w:rPr>
          <w:spacing w:val="-2"/>
        </w:rPr>
        <w:t>of</w:t>
      </w:r>
      <w:r>
        <w:rPr>
          <w:spacing w:val="17"/>
        </w:rPr>
        <w:t xml:space="preserve"> </w:t>
      </w:r>
      <w:r>
        <w:rPr>
          <w:spacing w:val="-1"/>
        </w:rPr>
        <w:t>any</w:t>
      </w:r>
      <w:r>
        <w:rPr>
          <w:spacing w:val="14"/>
        </w:rPr>
        <w:t xml:space="preserve"> </w:t>
      </w:r>
      <w:r>
        <w:rPr>
          <w:spacing w:val="-1"/>
        </w:rPr>
        <w:t>such</w:t>
      </w:r>
      <w:r>
        <w:rPr>
          <w:spacing w:val="16"/>
        </w:rPr>
        <w:t xml:space="preserve"> </w:t>
      </w:r>
      <w:r>
        <w:rPr>
          <w:spacing w:val="-1"/>
        </w:rPr>
        <w:t>document,</w:t>
      </w:r>
      <w:r>
        <w:rPr>
          <w:spacing w:val="30"/>
        </w:rPr>
        <w:t xml:space="preserve"> </w:t>
      </w:r>
      <w:r>
        <w:rPr>
          <w:spacing w:val="-1"/>
        </w:rPr>
        <w:t>model</w:t>
      </w:r>
      <w:r>
        <w:t xml:space="preserve"> </w:t>
      </w:r>
      <w:r>
        <w:rPr>
          <w:spacing w:val="-1"/>
        </w:rPr>
        <w:t>or item</w:t>
      </w:r>
      <w:r>
        <w:rPr>
          <w:spacing w:val="2"/>
        </w:rPr>
        <w:t xml:space="preserve"> </w:t>
      </w:r>
      <w:r>
        <w:rPr>
          <w:spacing w:val="-1"/>
        </w:rPr>
        <w:t>shall</w:t>
      </w:r>
      <w:r>
        <w:t xml:space="preserve"> </w:t>
      </w:r>
      <w:r>
        <w:rPr>
          <w:spacing w:val="-1"/>
        </w:rPr>
        <w:t>be</w:t>
      </w:r>
      <w:r>
        <w:rPr>
          <w:spacing w:val="-2"/>
        </w:rPr>
        <w:t xml:space="preserve"> </w:t>
      </w:r>
      <w:r>
        <w:rPr>
          <w:spacing w:val="-1"/>
        </w:rPr>
        <w:t>placed</w:t>
      </w:r>
      <w:r>
        <w:t xml:space="preserve"> </w:t>
      </w:r>
      <w:r>
        <w:rPr>
          <w:spacing w:val="-1"/>
        </w:rPr>
        <w:t>thereon;</w:t>
      </w:r>
      <w:r>
        <w:t xml:space="preserve"> </w:t>
      </w:r>
      <w:r>
        <w:rPr>
          <w:spacing w:val="-1"/>
        </w:rPr>
        <w:t>and</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1"/>
        <w:jc w:val="both"/>
      </w:pPr>
      <w:r>
        <w:rPr>
          <w:spacing w:val="-1"/>
        </w:rPr>
        <w:t>that</w:t>
      </w:r>
      <w:r>
        <w:rPr>
          <w:spacing w:val="9"/>
        </w:rPr>
        <w:t xml:space="preserve"> </w:t>
      </w:r>
      <w:r>
        <w:rPr>
          <w:spacing w:val="-2"/>
        </w:rPr>
        <w:t>if</w:t>
      </w:r>
      <w:r>
        <w:rPr>
          <w:spacing w:val="11"/>
        </w:rPr>
        <w:t xml:space="preserve"> </w:t>
      </w:r>
      <w:r>
        <w:t>the</w:t>
      </w:r>
      <w:r>
        <w:rPr>
          <w:spacing w:val="7"/>
        </w:rPr>
        <w:t xml:space="preserve"> </w:t>
      </w:r>
      <w:r>
        <w:rPr>
          <w:spacing w:val="-1"/>
        </w:rPr>
        <w:t>Customer</w:t>
      </w:r>
      <w:r>
        <w:rPr>
          <w:spacing w:val="6"/>
        </w:rPr>
        <w:t xml:space="preserve"> </w:t>
      </w:r>
      <w:r>
        <w:rPr>
          <w:spacing w:val="-1"/>
        </w:rPr>
        <w:t>gives</w:t>
      </w:r>
      <w:r>
        <w:rPr>
          <w:spacing w:val="8"/>
        </w:rPr>
        <w:t xml:space="preserve"> </w:t>
      </w:r>
      <w:r>
        <w:rPr>
          <w:spacing w:val="-1"/>
        </w:rPr>
        <w:t>notice</w:t>
      </w:r>
      <w:r>
        <w:rPr>
          <w:spacing w:val="8"/>
        </w:rPr>
        <w:t xml:space="preserve"> </w:t>
      </w:r>
      <w:r>
        <w:rPr>
          <w:spacing w:val="-1"/>
        </w:rPr>
        <w:t>in</w:t>
      </w:r>
      <w:r>
        <w:rPr>
          <w:spacing w:val="10"/>
        </w:rPr>
        <w:t xml:space="preserve"> </w:t>
      </w:r>
      <w:r>
        <w:rPr>
          <w:spacing w:val="-2"/>
        </w:rPr>
        <w:t>writing</w:t>
      </w:r>
      <w:r>
        <w:rPr>
          <w:spacing w:val="10"/>
        </w:rPr>
        <w:t xml:space="preserve"> </w:t>
      </w:r>
      <w:r>
        <w:t>to</w:t>
      </w:r>
      <w:r>
        <w:rPr>
          <w:spacing w:val="7"/>
        </w:rPr>
        <w:t xml:space="preserve"> </w:t>
      </w:r>
      <w:r>
        <w:t>the</w:t>
      </w:r>
      <w:r>
        <w:rPr>
          <w:spacing w:val="10"/>
        </w:rPr>
        <w:t xml:space="preserve"> </w:t>
      </w:r>
      <w:r>
        <w:rPr>
          <w:spacing w:val="-2"/>
        </w:rPr>
        <w:t>Supplier</w:t>
      </w:r>
      <w:r>
        <w:rPr>
          <w:spacing w:val="46"/>
        </w:rPr>
        <w:t xml:space="preserve"> </w:t>
      </w:r>
      <w:r>
        <w:rPr>
          <w:spacing w:val="-1"/>
        </w:rPr>
        <w:t>at</w:t>
      </w:r>
      <w:r>
        <w:rPr>
          <w:spacing w:val="19"/>
        </w:rPr>
        <w:t xml:space="preserve"> </w:t>
      </w:r>
      <w:r>
        <w:rPr>
          <w:spacing w:val="-1"/>
        </w:rPr>
        <w:t>any</w:t>
      </w:r>
      <w:r>
        <w:rPr>
          <w:spacing w:val="15"/>
        </w:rPr>
        <w:t xml:space="preserve"> </w:t>
      </w:r>
      <w:r>
        <w:rPr>
          <w:spacing w:val="-1"/>
        </w:rPr>
        <w:t>time</w:t>
      </w:r>
      <w:r>
        <w:rPr>
          <w:spacing w:val="17"/>
        </w:rPr>
        <w:t xml:space="preserve"> </w:t>
      </w:r>
      <w:r>
        <w:rPr>
          <w:spacing w:val="-1"/>
        </w:rPr>
        <w:t>requiring</w:t>
      </w:r>
      <w:r>
        <w:rPr>
          <w:spacing w:val="20"/>
        </w:rPr>
        <w:t xml:space="preserve"> </w:t>
      </w:r>
      <w:r>
        <w:t>the</w:t>
      </w:r>
      <w:r>
        <w:rPr>
          <w:spacing w:val="15"/>
        </w:rPr>
        <w:t xml:space="preserve"> </w:t>
      </w:r>
      <w:r>
        <w:rPr>
          <w:spacing w:val="-1"/>
        </w:rPr>
        <w:t>delivery</w:t>
      </w:r>
      <w:r>
        <w:rPr>
          <w:spacing w:val="15"/>
        </w:rPr>
        <w:t xml:space="preserve"> </w:t>
      </w:r>
      <w:r>
        <w:t>to</w:t>
      </w:r>
      <w:r>
        <w:rPr>
          <w:spacing w:val="17"/>
        </w:rPr>
        <w:t xml:space="preserve"> </w:t>
      </w:r>
      <w:r>
        <w:t>the</w:t>
      </w:r>
      <w:r>
        <w:rPr>
          <w:spacing w:val="17"/>
        </w:rPr>
        <w:t xml:space="preserve"> </w:t>
      </w:r>
      <w:r>
        <w:rPr>
          <w:spacing w:val="-1"/>
        </w:rPr>
        <w:t>Customer</w:t>
      </w:r>
      <w:r>
        <w:rPr>
          <w:spacing w:val="19"/>
        </w:rPr>
        <w:t xml:space="preserve"> </w:t>
      </w:r>
      <w:r>
        <w:rPr>
          <w:spacing w:val="-2"/>
        </w:rPr>
        <w:t>of</w:t>
      </w:r>
      <w:r>
        <w:rPr>
          <w:spacing w:val="21"/>
        </w:rPr>
        <w:t xml:space="preserve"> </w:t>
      </w:r>
      <w:r>
        <w:rPr>
          <w:spacing w:val="-1"/>
        </w:rPr>
        <w:t>any</w:t>
      </w:r>
      <w:r>
        <w:rPr>
          <w:spacing w:val="29"/>
        </w:rPr>
        <w:t xml:space="preserve"> </w:t>
      </w:r>
      <w:r>
        <w:rPr>
          <w:spacing w:val="-1"/>
        </w:rPr>
        <w:t>such</w:t>
      </w:r>
      <w:r>
        <w:rPr>
          <w:spacing w:val="13"/>
        </w:rPr>
        <w:t xml:space="preserve"> </w:t>
      </w:r>
      <w:r>
        <w:rPr>
          <w:spacing w:val="-1"/>
        </w:rPr>
        <w:t>document,</w:t>
      </w:r>
      <w:r>
        <w:rPr>
          <w:spacing w:val="11"/>
        </w:rPr>
        <w:t xml:space="preserve"> </w:t>
      </w:r>
      <w:r>
        <w:rPr>
          <w:spacing w:val="-1"/>
        </w:rPr>
        <w:t>model</w:t>
      </w:r>
      <w:r>
        <w:rPr>
          <w:spacing w:val="12"/>
        </w:rPr>
        <w:t xml:space="preserve"> </w:t>
      </w:r>
      <w:r>
        <w:rPr>
          <w:spacing w:val="-1"/>
        </w:rPr>
        <w:t>or</w:t>
      </w:r>
      <w:r>
        <w:rPr>
          <w:spacing w:val="14"/>
        </w:rPr>
        <w:t xml:space="preserve"> </w:t>
      </w:r>
      <w:r>
        <w:rPr>
          <w:spacing w:val="-1"/>
        </w:rPr>
        <w:t>item</w:t>
      </w:r>
      <w:r>
        <w:rPr>
          <w:spacing w:val="14"/>
        </w:rPr>
        <w:t xml:space="preserve"> </w:t>
      </w:r>
      <w:r>
        <w:rPr>
          <w:spacing w:val="-1"/>
        </w:rPr>
        <w:t>as</w:t>
      </w:r>
      <w:r>
        <w:rPr>
          <w:spacing w:val="13"/>
        </w:rPr>
        <w:t xml:space="preserve"> </w:t>
      </w:r>
      <w:r>
        <w:rPr>
          <w:spacing w:val="-1"/>
        </w:rPr>
        <w:t>is</w:t>
      </w:r>
      <w:r>
        <w:rPr>
          <w:spacing w:val="10"/>
        </w:rPr>
        <w:t xml:space="preserve"> </w:t>
      </w:r>
      <w:r>
        <w:rPr>
          <w:spacing w:val="-1"/>
        </w:rPr>
        <w:t>mentioned</w:t>
      </w:r>
      <w:r>
        <w:rPr>
          <w:spacing w:val="12"/>
        </w:rPr>
        <w:t xml:space="preserve"> </w:t>
      </w:r>
      <w:r>
        <w:rPr>
          <w:spacing w:val="-1"/>
        </w:rPr>
        <w:t>in</w:t>
      </w:r>
      <w:r>
        <w:rPr>
          <w:spacing w:val="12"/>
        </w:rPr>
        <w:t xml:space="preserve"> </w:t>
      </w:r>
      <w:r>
        <w:rPr>
          <w:spacing w:val="-2"/>
        </w:rPr>
        <w:t>Clause</w:t>
      </w:r>
      <w:hyperlink w:anchor="_bookmark443" w:history="1">
        <w:r>
          <w:rPr>
            <w:spacing w:val="36"/>
          </w:rPr>
          <w:t xml:space="preserve"> </w:t>
        </w:r>
        <w:r>
          <w:rPr>
            <w:spacing w:val="-1"/>
          </w:rPr>
          <w:t>56.2.3</w:t>
        </w:r>
      </w:hyperlink>
      <w:r>
        <w:rPr>
          <w:spacing w:val="-1"/>
        </w:rPr>
        <w:t>,</w:t>
      </w:r>
      <w:r>
        <w:rPr>
          <w:spacing w:val="11"/>
        </w:rPr>
        <w:t xml:space="preserve"> </w:t>
      </w:r>
      <w:r>
        <w:rPr>
          <w:spacing w:val="-1"/>
        </w:rPr>
        <w:t>that</w:t>
      </w:r>
      <w:r>
        <w:rPr>
          <w:spacing w:val="11"/>
        </w:rPr>
        <w:t xml:space="preserve"> </w:t>
      </w:r>
      <w:r>
        <w:rPr>
          <w:spacing w:val="-2"/>
        </w:rPr>
        <w:t>document,</w:t>
      </w:r>
      <w:r>
        <w:rPr>
          <w:spacing w:val="9"/>
        </w:rPr>
        <w:t xml:space="preserve"> </w:t>
      </w:r>
      <w:r>
        <w:rPr>
          <w:spacing w:val="-1"/>
        </w:rPr>
        <w:t>model</w:t>
      </w:r>
      <w:r>
        <w:rPr>
          <w:spacing w:val="9"/>
        </w:rPr>
        <w:t xml:space="preserve"> </w:t>
      </w:r>
      <w:r>
        <w:rPr>
          <w:spacing w:val="-1"/>
        </w:rPr>
        <w:t>or</w:t>
      </w:r>
      <w:r>
        <w:rPr>
          <w:spacing w:val="11"/>
        </w:rPr>
        <w:t xml:space="preserve"> </w:t>
      </w:r>
      <w:r>
        <w:rPr>
          <w:spacing w:val="-1"/>
        </w:rPr>
        <w:t>item</w:t>
      </w:r>
      <w:r>
        <w:rPr>
          <w:spacing w:val="9"/>
        </w:rPr>
        <w:t xml:space="preserve"> </w:t>
      </w:r>
      <w:r>
        <w:rPr>
          <w:spacing w:val="-1"/>
        </w:rPr>
        <w:t>(including</w:t>
      </w:r>
      <w:r>
        <w:rPr>
          <w:spacing w:val="10"/>
        </w:rPr>
        <w:t xml:space="preserve"> </w:t>
      </w:r>
      <w:r>
        <w:rPr>
          <w:spacing w:val="-1"/>
        </w:rPr>
        <w:t>all</w:t>
      </w:r>
      <w:r>
        <w:rPr>
          <w:spacing w:val="9"/>
        </w:rPr>
        <w:t xml:space="preserve"> </w:t>
      </w:r>
      <w:r>
        <w:rPr>
          <w:spacing w:val="-1"/>
        </w:rPr>
        <w:t>copies</w:t>
      </w:r>
      <w:r>
        <w:rPr>
          <w:spacing w:val="30"/>
        </w:rPr>
        <w:t xml:space="preserve"> </w:t>
      </w:r>
      <w:r>
        <w:rPr>
          <w:spacing w:val="-2"/>
        </w:rPr>
        <w:t>of</w:t>
      </w:r>
      <w:r>
        <w:rPr>
          <w:spacing w:val="6"/>
        </w:rPr>
        <w:t xml:space="preserve"> </w:t>
      </w:r>
      <w:r>
        <w:rPr>
          <w:spacing w:val="-1"/>
        </w:rPr>
        <w:t>or</w:t>
      </w:r>
      <w:r>
        <w:rPr>
          <w:spacing w:val="2"/>
        </w:rPr>
        <w:t xml:space="preserve"> </w:t>
      </w:r>
      <w:r>
        <w:rPr>
          <w:spacing w:val="-1"/>
        </w:rPr>
        <w:t>extracts</w:t>
      </w:r>
      <w:r>
        <w:rPr>
          <w:spacing w:val="1"/>
        </w:rPr>
        <w:t xml:space="preserve"> </w:t>
      </w:r>
      <w:r>
        <w:rPr>
          <w:spacing w:val="-1"/>
        </w:rPr>
        <w:t>therefrom)</w:t>
      </w:r>
      <w:r>
        <w:rPr>
          <w:spacing w:val="2"/>
        </w:rPr>
        <w:t xml:space="preserve"> </w:t>
      </w:r>
      <w:r>
        <w:rPr>
          <w:spacing w:val="-1"/>
        </w:rPr>
        <w:t>shall</w:t>
      </w:r>
      <w:r>
        <w:rPr>
          <w:spacing w:val="2"/>
        </w:rPr>
        <w:t xml:space="preserve"> </w:t>
      </w:r>
      <w:r>
        <w:rPr>
          <w:spacing w:val="-1"/>
        </w:rPr>
        <w:t>forthwith</w:t>
      </w:r>
      <w:r>
        <w:rPr>
          <w:spacing w:val="3"/>
        </w:rPr>
        <w:t xml:space="preserve"> </w:t>
      </w:r>
      <w:r>
        <w:rPr>
          <w:spacing w:val="-1"/>
        </w:rPr>
        <w:t>be</w:t>
      </w:r>
      <w:r>
        <w:rPr>
          <w:spacing w:val="3"/>
        </w:rPr>
        <w:t xml:space="preserve"> </w:t>
      </w:r>
      <w:r>
        <w:rPr>
          <w:spacing w:val="-2"/>
        </w:rPr>
        <w:t>delivered</w:t>
      </w:r>
      <w:r>
        <w:rPr>
          <w:spacing w:val="3"/>
        </w:rPr>
        <w:t xml:space="preserve"> </w:t>
      </w:r>
      <w:r>
        <w:t xml:space="preserve">to </w:t>
      </w:r>
      <w:r>
        <w:rPr>
          <w:spacing w:val="-1"/>
        </w:rPr>
        <w:t>the</w:t>
      </w:r>
      <w:r>
        <w:rPr>
          <w:spacing w:val="43"/>
        </w:rPr>
        <w:t xml:space="preserve"> </w:t>
      </w:r>
      <w:r>
        <w:rPr>
          <w:spacing w:val="-1"/>
        </w:rPr>
        <w:t>Customer</w:t>
      </w:r>
      <w:r>
        <w:rPr>
          <w:spacing w:val="26"/>
        </w:rPr>
        <w:t xml:space="preserve"> </w:t>
      </w:r>
      <w:r>
        <w:rPr>
          <w:spacing w:val="-2"/>
        </w:rPr>
        <w:t>who</w:t>
      </w:r>
      <w:r>
        <w:rPr>
          <w:spacing w:val="24"/>
        </w:rPr>
        <w:t xml:space="preserve"> </w:t>
      </w:r>
      <w:r>
        <w:rPr>
          <w:spacing w:val="-1"/>
        </w:rPr>
        <w:t>shall</w:t>
      </w:r>
      <w:r>
        <w:rPr>
          <w:spacing w:val="24"/>
        </w:rPr>
        <w:t xml:space="preserve"> </w:t>
      </w:r>
      <w:r>
        <w:rPr>
          <w:spacing w:val="-1"/>
        </w:rPr>
        <w:t>be</w:t>
      </w:r>
      <w:r>
        <w:rPr>
          <w:spacing w:val="29"/>
        </w:rPr>
        <w:t xml:space="preserve"> </w:t>
      </w:r>
      <w:r>
        <w:rPr>
          <w:spacing w:val="-1"/>
        </w:rPr>
        <w:t>deemed</w:t>
      </w:r>
      <w:r>
        <w:rPr>
          <w:spacing w:val="24"/>
        </w:rPr>
        <w:t xml:space="preserve"> </w:t>
      </w:r>
      <w:r>
        <w:t>to</w:t>
      </w:r>
      <w:r>
        <w:rPr>
          <w:spacing w:val="24"/>
        </w:rPr>
        <w:t xml:space="preserve"> </w:t>
      </w:r>
      <w:r>
        <w:rPr>
          <w:spacing w:val="-1"/>
        </w:rPr>
        <w:t>be</w:t>
      </w:r>
      <w:r>
        <w:rPr>
          <w:spacing w:val="24"/>
        </w:rPr>
        <w:t xml:space="preserve"> </w:t>
      </w:r>
      <w:r>
        <w:t>the</w:t>
      </w:r>
      <w:r>
        <w:rPr>
          <w:spacing w:val="24"/>
        </w:rPr>
        <w:t xml:space="preserve"> </w:t>
      </w:r>
      <w:r>
        <w:rPr>
          <w:spacing w:val="-2"/>
        </w:rPr>
        <w:t>owner</w:t>
      </w:r>
      <w:r>
        <w:rPr>
          <w:spacing w:val="26"/>
        </w:rPr>
        <w:t xml:space="preserve"> </w:t>
      </w:r>
      <w:r>
        <w:rPr>
          <w:spacing w:val="-2"/>
        </w:rPr>
        <w:t>thereof</w:t>
      </w:r>
      <w:r>
        <w:rPr>
          <w:spacing w:val="33"/>
        </w:rPr>
        <w:t xml:space="preserve"> </w:t>
      </w:r>
      <w:r>
        <w:rPr>
          <w:spacing w:val="-1"/>
        </w:rPr>
        <w:t>and</w:t>
      </w:r>
      <w:r>
        <w:t xml:space="preserve"> </w:t>
      </w:r>
      <w:r>
        <w:rPr>
          <w:spacing w:val="-1"/>
        </w:rPr>
        <w:t>accordingly</w:t>
      </w:r>
      <w:r>
        <w:rPr>
          <w:spacing w:val="-2"/>
        </w:rPr>
        <w:t xml:space="preserve"> </w:t>
      </w:r>
      <w:r>
        <w:rPr>
          <w:spacing w:val="-1"/>
        </w:rPr>
        <w:t>entitled</w:t>
      </w:r>
      <w:r>
        <w:rPr>
          <w:spacing w:val="-2"/>
        </w:rPr>
        <w:t xml:space="preserve"> </w:t>
      </w:r>
      <w:r>
        <w:rPr>
          <w:spacing w:val="-1"/>
        </w:rPr>
        <w:t>to</w:t>
      </w:r>
      <w:r>
        <w:t xml:space="preserve"> </w:t>
      </w:r>
      <w:r>
        <w:rPr>
          <w:spacing w:val="-1"/>
        </w:rPr>
        <w:t>retain</w:t>
      </w:r>
      <w:r>
        <w:t xml:space="preserve"> the</w:t>
      </w:r>
      <w:r>
        <w:rPr>
          <w:spacing w:val="-2"/>
        </w:rPr>
        <w:t xml:space="preserve"> same.</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7"/>
        <w:jc w:val="both"/>
      </w:pPr>
      <w:r>
        <w:t>The</w:t>
      </w:r>
      <w:r>
        <w:rPr>
          <w:spacing w:val="18"/>
        </w:rPr>
        <w:t xml:space="preserve"> </w:t>
      </w:r>
      <w:r>
        <w:rPr>
          <w:spacing w:val="-1"/>
        </w:rPr>
        <w:t>decision</w:t>
      </w:r>
      <w:r>
        <w:rPr>
          <w:spacing w:val="18"/>
        </w:rPr>
        <w:t xml:space="preserve"> </w:t>
      </w:r>
      <w:r>
        <w:rPr>
          <w:spacing w:val="-1"/>
        </w:rPr>
        <w:t>of</w:t>
      </w:r>
      <w:r>
        <w:rPr>
          <w:spacing w:val="22"/>
        </w:rPr>
        <w:t xml:space="preserve"> </w:t>
      </w:r>
      <w:r>
        <w:t>the</w:t>
      </w:r>
      <w:r>
        <w:rPr>
          <w:spacing w:val="18"/>
        </w:rPr>
        <w:t xml:space="preserve"> </w:t>
      </w:r>
      <w:r>
        <w:rPr>
          <w:spacing w:val="-2"/>
        </w:rPr>
        <w:t>Customer</w:t>
      </w:r>
      <w:r>
        <w:rPr>
          <w:spacing w:val="20"/>
        </w:rPr>
        <w:t xml:space="preserve"> </w:t>
      </w:r>
      <w:r>
        <w:rPr>
          <w:spacing w:val="-1"/>
        </w:rPr>
        <w:t>on</w:t>
      </w:r>
      <w:r>
        <w:rPr>
          <w:spacing w:val="18"/>
        </w:rPr>
        <w:t xml:space="preserve"> </w:t>
      </w:r>
      <w:r>
        <w:t>the</w:t>
      </w:r>
      <w:r>
        <w:rPr>
          <w:spacing w:val="18"/>
        </w:rPr>
        <w:t xml:space="preserve"> </w:t>
      </w:r>
      <w:r>
        <w:rPr>
          <w:spacing w:val="-1"/>
        </w:rPr>
        <w:t>question</w:t>
      </w:r>
      <w:r>
        <w:rPr>
          <w:spacing w:val="21"/>
        </w:rPr>
        <w:t xml:space="preserve"> </w:t>
      </w:r>
      <w:r>
        <w:rPr>
          <w:spacing w:val="-1"/>
        </w:rPr>
        <w:t>whether</w:t>
      </w:r>
      <w:r>
        <w:rPr>
          <w:spacing w:val="20"/>
        </w:rPr>
        <w:t xml:space="preserve"> </w:t>
      </w:r>
      <w:r>
        <w:rPr>
          <w:spacing w:val="-1"/>
        </w:rPr>
        <w:t>the</w:t>
      </w:r>
      <w:r>
        <w:rPr>
          <w:spacing w:val="32"/>
        </w:rPr>
        <w:t xml:space="preserve"> </w:t>
      </w:r>
      <w:r>
        <w:rPr>
          <w:spacing w:val="-2"/>
        </w:rPr>
        <w:t>Supplier</w:t>
      </w:r>
      <w:r>
        <w:rPr>
          <w:spacing w:val="26"/>
        </w:rPr>
        <w:t xml:space="preserve"> </w:t>
      </w:r>
      <w:r>
        <w:rPr>
          <w:spacing w:val="-1"/>
        </w:rPr>
        <w:t>has</w:t>
      </w:r>
      <w:r>
        <w:rPr>
          <w:spacing w:val="25"/>
        </w:rPr>
        <w:t xml:space="preserve"> </w:t>
      </w:r>
      <w:r>
        <w:t>taken</w:t>
      </w:r>
      <w:r>
        <w:rPr>
          <w:spacing w:val="24"/>
        </w:rPr>
        <w:t xml:space="preserve"> </w:t>
      </w:r>
      <w:r>
        <w:rPr>
          <w:spacing w:val="-1"/>
        </w:rPr>
        <w:t>or</w:t>
      </w:r>
      <w:r>
        <w:rPr>
          <w:spacing w:val="26"/>
        </w:rPr>
        <w:t xml:space="preserve"> </w:t>
      </w:r>
      <w:r>
        <w:rPr>
          <w:spacing w:val="-1"/>
        </w:rPr>
        <w:t>is</w:t>
      </w:r>
      <w:r>
        <w:rPr>
          <w:spacing w:val="22"/>
        </w:rPr>
        <w:t xml:space="preserve"> </w:t>
      </w:r>
      <w:r>
        <w:rPr>
          <w:spacing w:val="-1"/>
        </w:rPr>
        <w:t>taking</w:t>
      </w:r>
      <w:r>
        <w:rPr>
          <w:spacing w:val="27"/>
        </w:rPr>
        <w:t xml:space="preserve"> </w:t>
      </w:r>
      <w:r>
        <w:rPr>
          <w:spacing w:val="-1"/>
        </w:rPr>
        <w:t>all</w:t>
      </w:r>
      <w:r>
        <w:rPr>
          <w:spacing w:val="24"/>
        </w:rPr>
        <w:t xml:space="preserve"> </w:t>
      </w:r>
      <w:r>
        <w:rPr>
          <w:spacing w:val="-1"/>
        </w:rPr>
        <w:t>reasonable</w:t>
      </w:r>
      <w:r>
        <w:rPr>
          <w:spacing w:val="24"/>
        </w:rPr>
        <w:t xml:space="preserve"> </w:t>
      </w:r>
      <w:r>
        <w:rPr>
          <w:spacing w:val="-1"/>
        </w:rPr>
        <w:t>steps</w:t>
      </w:r>
      <w:r>
        <w:rPr>
          <w:spacing w:val="25"/>
        </w:rPr>
        <w:t xml:space="preserve"> </w:t>
      </w:r>
      <w:r>
        <w:rPr>
          <w:spacing w:val="-1"/>
        </w:rPr>
        <w:t>as</w:t>
      </w:r>
      <w:r>
        <w:rPr>
          <w:spacing w:val="25"/>
        </w:rPr>
        <w:t xml:space="preserve"> </w:t>
      </w:r>
      <w:r>
        <w:rPr>
          <w:spacing w:val="-1"/>
        </w:rPr>
        <w:t>required</w:t>
      </w:r>
      <w:r>
        <w:rPr>
          <w:spacing w:val="38"/>
        </w:rPr>
        <w:t xml:space="preserve"> </w:t>
      </w:r>
      <w:r>
        <w:rPr>
          <w:spacing w:val="-1"/>
        </w:rPr>
        <w:t>by</w:t>
      </w:r>
      <w:r>
        <w:rPr>
          <w:spacing w:val="27"/>
        </w:rPr>
        <w:t xml:space="preserve"> </w:t>
      </w:r>
      <w:r>
        <w:t>the</w:t>
      </w:r>
      <w:r>
        <w:rPr>
          <w:spacing w:val="29"/>
        </w:rPr>
        <w:t xml:space="preserve"> </w:t>
      </w:r>
      <w:r>
        <w:rPr>
          <w:spacing w:val="-1"/>
        </w:rPr>
        <w:t>foregoing</w:t>
      </w:r>
      <w:r>
        <w:rPr>
          <w:spacing w:val="31"/>
        </w:rPr>
        <w:t xml:space="preserve"> </w:t>
      </w:r>
      <w:r>
        <w:rPr>
          <w:spacing w:val="-1"/>
        </w:rPr>
        <w:t>provisions</w:t>
      </w:r>
      <w:r>
        <w:rPr>
          <w:spacing w:val="30"/>
        </w:rPr>
        <w:t xml:space="preserve"> </w:t>
      </w:r>
      <w:r>
        <w:rPr>
          <w:spacing w:val="-1"/>
        </w:rPr>
        <w:t>of</w:t>
      </w:r>
      <w:r>
        <w:rPr>
          <w:spacing w:val="33"/>
        </w:rPr>
        <w:t xml:space="preserve"> </w:t>
      </w:r>
      <w:r>
        <w:rPr>
          <w:spacing w:val="-1"/>
        </w:rPr>
        <w:t>this</w:t>
      </w:r>
      <w:r>
        <w:rPr>
          <w:spacing w:val="30"/>
        </w:rPr>
        <w:t xml:space="preserve"> </w:t>
      </w:r>
      <w:r>
        <w:rPr>
          <w:spacing w:val="-2"/>
        </w:rPr>
        <w:t>Clause</w:t>
      </w:r>
      <w:r>
        <w:rPr>
          <w:spacing w:val="30"/>
        </w:rPr>
        <w:t xml:space="preserve"> </w:t>
      </w:r>
      <w:r>
        <w:rPr>
          <w:spacing w:val="-1"/>
        </w:rPr>
        <w:t>57</w:t>
      </w:r>
      <w:r>
        <w:rPr>
          <w:spacing w:val="29"/>
        </w:rPr>
        <w:t xml:space="preserve"> </w:t>
      </w:r>
      <w:r>
        <w:rPr>
          <w:spacing w:val="-1"/>
        </w:rPr>
        <w:t>shall</w:t>
      </w:r>
      <w:r>
        <w:rPr>
          <w:spacing w:val="28"/>
        </w:rPr>
        <w:t xml:space="preserve"> </w:t>
      </w:r>
      <w:r>
        <w:rPr>
          <w:spacing w:val="-1"/>
        </w:rPr>
        <w:t>be</w:t>
      </w:r>
      <w:r>
        <w:rPr>
          <w:spacing w:val="31"/>
        </w:rPr>
        <w:t xml:space="preserve"> </w:t>
      </w:r>
      <w:r>
        <w:rPr>
          <w:spacing w:val="-1"/>
        </w:rPr>
        <w:t>final</w:t>
      </w:r>
      <w:r>
        <w:rPr>
          <w:spacing w:val="28"/>
        </w:rPr>
        <w:t xml:space="preserve"> </w:t>
      </w:r>
      <w:r>
        <w:rPr>
          <w:spacing w:val="-1"/>
        </w:rPr>
        <w:t>and</w:t>
      </w:r>
      <w:r>
        <w:rPr>
          <w:spacing w:val="45"/>
        </w:rPr>
        <w:t xml:space="preserve"> </w:t>
      </w:r>
      <w:r>
        <w:rPr>
          <w:spacing w:val="-2"/>
        </w:rPr>
        <w:t>conclusive.</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7"/>
        <w:jc w:val="both"/>
      </w:pPr>
      <w:r>
        <w:rPr>
          <w:spacing w:val="-1"/>
        </w:rPr>
        <w:t>If</w:t>
      </w:r>
      <w:r>
        <w:rPr>
          <w:spacing w:val="23"/>
        </w:rPr>
        <w:t xml:space="preserve"> </w:t>
      </w:r>
      <w:r>
        <w:rPr>
          <w:spacing w:val="-1"/>
        </w:rPr>
        <w:t>and</w:t>
      </w:r>
      <w:r>
        <w:rPr>
          <w:spacing w:val="17"/>
        </w:rPr>
        <w:t xml:space="preserve"> </w:t>
      </w:r>
      <w:r>
        <w:rPr>
          <w:spacing w:val="-2"/>
        </w:rPr>
        <w:t>when</w:t>
      </w:r>
      <w:r>
        <w:rPr>
          <w:spacing w:val="20"/>
        </w:rPr>
        <w:t xml:space="preserve"> </w:t>
      </w:r>
      <w:r>
        <w:rPr>
          <w:spacing w:val="-1"/>
        </w:rPr>
        <w:t>directed</w:t>
      </w:r>
      <w:r>
        <w:rPr>
          <w:spacing w:val="20"/>
        </w:rPr>
        <w:t xml:space="preserve"> </w:t>
      </w:r>
      <w:r>
        <w:rPr>
          <w:spacing w:val="-1"/>
        </w:rPr>
        <w:t>by</w:t>
      </w:r>
      <w:r>
        <w:rPr>
          <w:spacing w:val="15"/>
        </w:rPr>
        <w:t xml:space="preserve"> </w:t>
      </w:r>
      <w:r>
        <w:t>the</w:t>
      </w:r>
      <w:r>
        <w:rPr>
          <w:spacing w:val="19"/>
        </w:rPr>
        <w:t xml:space="preserve"> </w:t>
      </w:r>
      <w:r>
        <w:rPr>
          <w:spacing w:val="-1"/>
        </w:rPr>
        <w:t>Customer,</w:t>
      </w:r>
      <w:r>
        <w:rPr>
          <w:spacing w:val="19"/>
        </w:rPr>
        <w:t xml:space="preserve"> </w:t>
      </w:r>
      <w:r>
        <w:t>the</w:t>
      </w:r>
      <w:r>
        <w:rPr>
          <w:spacing w:val="19"/>
        </w:rPr>
        <w:t xml:space="preserve"> </w:t>
      </w:r>
      <w:r>
        <w:rPr>
          <w:spacing w:val="-2"/>
        </w:rPr>
        <w:t>Supplier</w:t>
      </w:r>
      <w:r>
        <w:rPr>
          <w:spacing w:val="21"/>
        </w:rPr>
        <w:t xml:space="preserve"> </w:t>
      </w:r>
      <w:r>
        <w:rPr>
          <w:spacing w:val="-1"/>
        </w:rPr>
        <w:t>shall</w:t>
      </w:r>
      <w:r>
        <w:rPr>
          <w:spacing w:val="17"/>
        </w:rPr>
        <w:t xml:space="preserve"> </w:t>
      </w:r>
      <w:r>
        <w:rPr>
          <w:spacing w:val="-1"/>
        </w:rPr>
        <w:t>furnish</w:t>
      </w:r>
      <w:r>
        <w:rPr>
          <w:spacing w:val="34"/>
        </w:rPr>
        <w:t xml:space="preserve"> </w:t>
      </w:r>
      <w:r>
        <w:rPr>
          <w:spacing w:val="-1"/>
        </w:rPr>
        <w:t>full</w:t>
      </w:r>
      <w:r>
        <w:rPr>
          <w:spacing w:val="21"/>
        </w:rPr>
        <w:t xml:space="preserve"> </w:t>
      </w:r>
      <w:r>
        <w:rPr>
          <w:spacing w:val="-1"/>
        </w:rPr>
        <w:t>particulars</w:t>
      </w:r>
      <w:r>
        <w:rPr>
          <w:spacing w:val="22"/>
        </w:rPr>
        <w:t xml:space="preserve"> </w:t>
      </w:r>
      <w:r>
        <w:rPr>
          <w:spacing w:val="-2"/>
        </w:rPr>
        <w:t>of</w:t>
      </w:r>
      <w:r>
        <w:rPr>
          <w:spacing w:val="26"/>
        </w:rPr>
        <w:t xml:space="preserve"> </w:t>
      </w:r>
      <w:r>
        <w:rPr>
          <w:spacing w:val="-1"/>
        </w:rPr>
        <w:t>all</w:t>
      </w:r>
      <w:r>
        <w:rPr>
          <w:spacing w:val="21"/>
        </w:rPr>
        <w:t xml:space="preserve"> </w:t>
      </w:r>
      <w:r>
        <w:rPr>
          <w:spacing w:val="-1"/>
        </w:rPr>
        <w:t>people</w:t>
      </w:r>
      <w:r>
        <w:rPr>
          <w:spacing w:val="24"/>
        </w:rPr>
        <w:t xml:space="preserve"> </w:t>
      </w:r>
      <w:r>
        <w:rPr>
          <w:spacing w:val="-2"/>
        </w:rPr>
        <w:t>who</w:t>
      </w:r>
      <w:r>
        <w:rPr>
          <w:spacing w:val="22"/>
        </w:rPr>
        <w:t xml:space="preserve"> </w:t>
      </w:r>
      <w:r>
        <w:rPr>
          <w:spacing w:val="-1"/>
        </w:rPr>
        <w:t>are</w:t>
      </w:r>
      <w:r>
        <w:rPr>
          <w:spacing w:val="22"/>
        </w:rPr>
        <w:t xml:space="preserve"> </w:t>
      </w:r>
      <w:r>
        <w:rPr>
          <w:spacing w:val="-1"/>
        </w:rPr>
        <w:t>at</w:t>
      </w:r>
      <w:r>
        <w:rPr>
          <w:spacing w:val="23"/>
        </w:rPr>
        <w:t xml:space="preserve"> </w:t>
      </w:r>
      <w:r>
        <w:rPr>
          <w:spacing w:val="-1"/>
        </w:rPr>
        <w:t>any</w:t>
      </w:r>
      <w:r>
        <w:rPr>
          <w:spacing w:val="22"/>
        </w:rPr>
        <w:t xml:space="preserve"> </w:t>
      </w:r>
      <w:r>
        <w:rPr>
          <w:spacing w:val="-1"/>
        </w:rPr>
        <w:t>time</w:t>
      </w:r>
      <w:r>
        <w:rPr>
          <w:spacing w:val="22"/>
        </w:rPr>
        <w:t xml:space="preserve"> </w:t>
      </w:r>
      <w:r>
        <w:rPr>
          <w:spacing w:val="-1"/>
        </w:rPr>
        <w:t>concerned</w:t>
      </w:r>
      <w:r>
        <w:rPr>
          <w:spacing w:val="22"/>
        </w:rPr>
        <w:t xml:space="preserve"> </w:t>
      </w:r>
      <w:r>
        <w:rPr>
          <w:spacing w:val="-2"/>
        </w:rPr>
        <w:t>with</w:t>
      </w:r>
      <w:r>
        <w:rPr>
          <w:spacing w:val="45"/>
        </w:rPr>
        <w:t xml:space="preserve"> </w:t>
      </w:r>
      <w:r>
        <w:rPr>
          <w:spacing w:val="-1"/>
        </w:rPr>
        <w:t>any</w:t>
      </w:r>
      <w:r>
        <w:rPr>
          <w:spacing w:val="-2"/>
        </w:rPr>
        <w:t xml:space="preserve"> </w:t>
      </w:r>
      <w:r>
        <w:rPr>
          <w:spacing w:val="-1"/>
        </w:rPr>
        <w:t>secret</w:t>
      </w:r>
      <w:r>
        <w:t xml:space="preserve"> </w:t>
      </w:r>
      <w:r>
        <w:rPr>
          <w:spacing w:val="-1"/>
        </w:rPr>
        <w:t>matter.</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5"/>
        <w:jc w:val="both"/>
      </w:pPr>
      <w:r>
        <w:rPr>
          <w:spacing w:val="-1"/>
        </w:rPr>
        <w:t>If</w:t>
      </w:r>
      <w:r>
        <w:rPr>
          <w:spacing w:val="23"/>
        </w:rPr>
        <w:t xml:space="preserve"> </w:t>
      </w:r>
      <w:r>
        <w:rPr>
          <w:spacing w:val="-1"/>
        </w:rPr>
        <w:t>and</w:t>
      </w:r>
      <w:r>
        <w:rPr>
          <w:spacing w:val="17"/>
        </w:rPr>
        <w:t xml:space="preserve"> </w:t>
      </w:r>
      <w:r>
        <w:rPr>
          <w:spacing w:val="-2"/>
        </w:rPr>
        <w:t>when</w:t>
      </w:r>
      <w:r>
        <w:rPr>
          <w:spacing w:val="20"/>
        </w:rPr>
        <w:t xml:space="preserve"> </w:t>
      </w:r>
      <w:r>
        <w:rPr>
          <w:spacing w:val="-1"/>
        </w:rPr>
        <w:t>directed</w:t>
      </w:r>
      <w:r>
        <w:rPr>
          <w:spacing w:val="20"/>
        </w:rPr>
        <w:t xml:space="preserve"> </w:t>
      </w:r>
      <w:r>
        <w:rPr>
          <w:spacing w:val="-1"/>
        </w:rPr>
        <w:t>by</w:t>
      </w:r>
      <w:r>
        <w:rPr>
          <w:spacing w:val="15"/>
        </w:rPr>
        <w:t xml:space="preserve"> </w:t>
      </w:r>
      <w:r>
        <w:t>the</w:t>
      </w:r>
      <w:r>
        <w:rPr>
          <w:spacing w:val="19"/>
        </w:rPr>
        <w:t xml:space="preserve"> </w:t>
      </w:r>
      <w:r>
        <w:rPr>
          <w:spacing w:val="-1"/>
        </w:rPr>
        <w:t>Customer,</w:t>
      </w:r>
      <w:r>
        <w:rPr>
          <w:spacing w:val="19"/>
        </w:rPr>
        <w:t xml:space="preserve"> </w:t>
      </w:r>
      <w:r>
        <w:t>the</w:t>
      </w:r>
      <w:r>
        <w:rPr>
          <w:spacing w:val="19"/>
        </w:rPr>
        <w:t xml:space="preserve"> </w:t>
      </w:r>
      <w:r>
        <w:rPr>
          <w:spacing w:val="-2"/>
        </w:rPr>
        <w:t>Supplier</w:t>
      </w:r>
      <w:r>
        <w:rPr>
          <w:spacing w:val="21"/>
        </w:rPr>
        <w:t xml:space="preserve"> </w:t>
      </w:r>
      <w:r>
        <w:rPr>
          <w:spacing w:val="-1"/>
        </w:rPr>
        <w:t>shall</w:t>
      </w:r>
      <w:r>
        <w:rPr>
          <w:spacing w:val="19"/>
        </w:rPr>
        <w:t xml:space="preserve"> </w:t>
      </w:r>
      <w:r>
        <w:rPr>
          <w:spacing w:val="-1"/>
        </w:rPr>
        <w:t>secure</w:t>
      </w:r>
      <w:r>
        <w:rPr>
          <w:spacing w:val="35"/>
        </w:rPr>
        <w:t xml:space="preserve"> </w:t>
      </w:r>
      <w:r>
        <w:rPr>
          <w:spacing w:val="-1"/>
        </w:rPr>
        <w:t>that</w:t>
      </w:r>
      <w:r>
        <w:rPr>
          <w:spacing w:val="21"/>
        </w:rPr>
        <w:t xml:space="preserve"> </w:t>
      </w:r>
      <w:r>
        <w:rPr>
          <w:spacing w:val="-1"/>
        </w:rPr>
        <w:t>any</w:t>
      </w:r>
      <w:r>
        <w:rPr>
          <w:spacing w:val="18"/>
        </w:rPr>
        <w:t xml:space="preserve"> </w:t>
      </w:r>
      <w:r>
        <w:rPr>
          <w:spacing w:val="-1"/>
        </w:rPr>
        <w:t>person</w:t>
      </w:r>
      <w:r>
        <w:rPr>
          <w:spacing w:val="20"/>
        </w:rPr>
        <w:t xml:space="preserve"> </w:t>
      </w:r>
      <w:r>
        <w:rPr>
          <w:spacing w:val="-2"/>
        </w:rPr>
        <w:t>employed</w:t>
      </w:r>
      <w:r>
        <w:rPr>
          <w:spacing w:val="20"/>
        </w:rPr>
        <w:t xml:space="preserve"> </w:t>
      </w:r>
      <w:r>
        <w:rPr>
          <w:spacing w:val="-1"/>
        </w:rPr>
        <w:t>by</w:t>
      </w:r>
      <w:r>
        <w:rPr>
          <w:spacing w:val="18"/>
        </w:rPr>
        <w:t xml:space="preserve"> </w:t>
      </w:r>
      <w:r>
        <w:rPr>
          <w:spacing w:val="-1"/>
        </w:rPr>
        <w:t>it</w:t>
      </w:r>
      <w:r>
        <w:rPr>
          <w:spacing w:val="21"/>
        </w:rPr>
        <w:t xml:space="preserve"> </w:t>
      </w:r>
      <w:r>
        <w:rPr>
          <w:spacing w:val="-2"/>
        </w:rPr>
        <w:t>who</w:t>
      </w:r>
      <w:r>
        <w:rPr>
          <w:spacing w:val="22"/>
        </w:rPr>
        <w:t xml:space="preserve"> </w:t>
      </w:r>
      <w:r>
        <w:rPr>
          <w:spacing w:val="-1"/>
        </w:rPr>
        <w:t>is</w:t>
      </w:r>
      <w:r>
        <w:rPr>
          <w:spacing w:val="20"/>
        </w:rPr>
        <w:t xml:space="preserve"> </w:t>
      </w:r>
      <w:r>
        <w:rPr>
          <w:spacing w:val="-1"/>
        </w:rPr>
        <w:t>specified</w:t>
      </w:r>
      <w:r>
        <w:rPr>
          <w:spacing w:val="17"/>
        </w:rPr>
        <w:t xml:space="preserve"> </w:t>
      </w:r>
      <w:r>
        <w:rPr>
          <w:spacing w:val="-1"/>
        </w:rPr>
        <w:t>in</w:t>
      </w:r>
      <w:r>
        <w:rPr>
          <w:spacing w:val="20"/>
        </w:rPr>
        <w:t xml:space="preserve"> </w:t>
      </w:r>
      <w:r>
        <w:t>the</w:t>
      </w:r>
      <w:r>
        <w:rPr>
          <w:spacing w:val="19"/>
        </w:rPr>
        <w:t xml:space="preserve"> </w:t>
      </w:r>
      <w:r>
        <w:rPr>
          <w:spacing w:val="-1"/>
        </w:rPr>
        <w:t>direction,</w:t>
      </w:r>
      <w:r>
        <w:rPr>
          <w:spacing w:val="39"/>
        </w:rPr>
        <w:t xml:space="preserve"> </w:t>
      </w:r>
      <w:r>
        <w:rPr>
          <w:spacing w:val="-1"/>
        </w:rPr>
        <w:t>or</w:t>
      </w:r>
      <w:r>
        <w:rPr>
          <w:spacing w:val="6"/>
        </w:rPr>
        <w:t xml:space="preserve"> </w:t>
      </w:r>
      <w:r>
        <w:rPr>
          <w:spacing w:val="-1"/>
        </w:rPr>
        <w:t>is</w:t>
      </w:r>
      <w:r>
        <w:rPr>
          <w:spacing w:val="5"/>
        </w:rPr>
        <w:t xml:space="preserve"> </w:t>
      </w:r>
      <w:r>
        <w:rPr>
          <w:spacing w:val="-1"/>
        </w:rPr>
        <w:t>one</w:t>
      </w:r>
      <w:r>
        <w:rPr>
          <w:spacing w:val="5"/>
        </w:rPr>
        <w:t xml:space="preserve"> </w:t>
      </w:r>
      <w:r>
        <w:rPr>
          <w:spacing w:val="-2"/>
        </w:rPr>
        <w:t>of</w:t>
      </w:r>
      <w:r>
        <w:rPr>
          <w:spacing w:val="7"/>
        </w:rPr>
        <w:t xml:space="preserve"> </w:t>
      </w:r>
      <w:r>
        <w:t>a</w:t>
      </w:r>
      <w:r>
        <w:rPr>
          <w:spacing w:val="3"/>
        </w:rPr>
        <w:t xml:space="preserve"> </w:t>
      </w:r>
      <w:r>
        <w:rPr>
          <w:spacing w:val="-1"/>
        </w:rPr>
        <w:t>class</w:t>
      </w:r>
      <w:r>
        <w:rPr>
          <w:spacing w:val="6"/>
        </w:rPr>
        <w:t xml:space="preserve"> </w:t>
      </w:r>
      <w:r>
        <w:rPr>
          <w:spacing w:val="-2"/>
        </w:rPr>
        <w:t>of</w:t>
      </w:r>
      <w:r>
        <w:rPr>
          <w:spacing w:val="7"/>
        </w:rPr>
        <w:t xml:space="preserve"> </w:t>
      </w:r>
      <w:r>
        <w:rPr>
          <w:spacing w:val="-2"/>
        </w:rPr>
        <w:t>people</w:t>
      </w:r>
      <w:r>
        <w:rPr>
          <w:spacing w:val="5"/>
        </w:rPr>
        <w:t xml:space="preserve"> </w:t>
      </w:r>
      <w:r>
        <w:rPr>
          <w:spacing w:val="-2"/>
        </w:rPr>
        <w:t>who</w:t>
      </w:r>
      <w:r>
        <w:rPr>
          <w:spacing w:val="5"/>
        </w:rPr>
        <w:t xml:space="preserve"> </w:t>
      </w:r>
      <w:r>
        <w:rPr>
          <w:spacing w:val="-1"/>
        </w:rPr>
        <w:t>may</w:t>
      </w:r>
      <w:r>
        <w:rPr>
          <w:spacing w:val="3"/>
        </w:rPr>
        <w:t xml:space="preserve"> </w:t>
      </w:r>
      <w:r>
        <w:rPr>
          <w:spacing w:val="-1"/>
        </w:rPr>
        <w:t>be</w:t>
      </w:r>
      <w:r>
        <w:rPr>
          <w:spacing w:val="5"/>
        </w:rPr>
        <w:t xml:space="preserve"> </w:t>
      </w:r>
      <w:r>
        <w:rPr>
          <w:spacing w:val="-1"/>
        </w:rPr>
        <w:t>so</w:t>
      </w:r>
      <w:r>
        <w:rPr>
          <w:spacing w:val="5"/>
        </w:rPr>
        <w:t xml:space="preserve"> </w:t>
      </w:r>
      <w:r>
        <w:rPr>
          <w:spacing w:val="-1"/>
        </w:rPr>
        <w:t>specified,</w:t>
      </w:r>
      <w:r>
        <w:rPr>
          <w:spacing w:val="7"/>
        </w:rPr>
        <w:t xml:space="preserve"> </w:t>
      </w:r>
      <w:r>
        <w:rPr>
          <w:spacing w:val="-1"/>
        </w:rPr>
        <w:t>shall</w:t>
      </w:r>
      <w:r>
        <w:rPr>
          <w:spacing w:val="4"/>
        </w:rPr>
        <w:t xml:space="preserve"> </w:t>
      </w:r>
      <w:r>
        <w:t>sign</w:t>
      </w:r>
      <w:r>
        <w:rPr>
          <w:spacing w:val="37"/>
        </w:rPr>
        <w:t xml:space="preserve"> </w:t>
      </w:r>
      <w:r>
        <w:t>a</w:t>
      </w:r>
      <w:r>
        <w:rPr>
          <w:spacing w:val="48"/>
        </w:rPr>
        <w:t xml:space="preserve"> </w:t>
      </w:r>
      <w:r>
        <w:rPr>
          <w:spacing w:val="-1"/>
        </w:rPr>
        <w:t>statement</w:t>
      </w:r>
      <w:r>
        <w:rPr>
          <w:spacing w:val="50"/>
        </w:rPr>
        <w:t xml:space="preserve"> </w:t>
      </w:r>
      <w:r>
        <w:rPr>
          <w:spacing w:val="-1"/>
        </w:rPr>
        <w:t>that</w:t>
      </w:r>
      <w:r>
        <w:rPr>
          <w:spacing w:val="50"/>
        </w:rPr>
        <w:t xml:space="preserve"> </w:t>
      </w:r>
      <w:r>
        <w:rPr>
          <w:spacing w:val="-1"/>
        </w:rPr>
        <w:t>he</w:t>
      </w:r>
      <w:r>
        <w:rPr>
          <w:spacing w:val="48"/>
        </w:rPr>
        <w:t xml:space="preserve"> </w:t>
      </w:r>
      <w:r>
        <w:rPr>
          <w:spacing w:val="-1"/>
        </w:rPr>
        <w:t>understands</w:t>
      </w:r>
      <w:r>
        <w:rPr>
          <w:spacing w:val="49"/>
        </w:rPr>
        <w:t xml:space="preserve"> </w:t>
      </w:r>
      <w:r>
        <w:rPr>
          <w:spacing w:val="-1"/>
        </w:rPr>
        <w:t>that</w:t>
      </w:r>
      <w:r>
        <w:rPr>
          <w:spacing w:val="50"/>
        </w:rPr>
        <w:t xml:space="preserve"> </w:t>
      </w:r>
      <w:r>
        <w:t>the</w:t>
      </w:r>
      <w:r>
        <w:rPr>
          <w:spacing w:val="49"/>
        </w:rPr>
        <w:t xml:space="preserve"> </w:t>
      </w:r>
      <w:r>
        <w:rPr>
          <w:spacing w:val="-1"/>
        </w:rPr>
        <w:t>Official</w:t>
      </w:r>
      <w:r>
        <w:rPr>
          <w:spacing w:val="47"/>
        </w:rPr>
        <w:t xml:space="preserve"> </w:t>
      </w:r>
      <w:r>
        <w:rPr>
          <w:spacing w:val="-1"/>
        </w:rPr>
        <w:t>Secrets</w:t>
      </w:r>
      <w:r>
        <w:rPr>
          <w:spacing w:val="49"/>
        </w:rPr>
        <w:t xml:space="preserve"> </w:t>
      </w:r>
      <w:r>
        <w:rPr>
          <w:spacing w:val="-1"/>
        </w:rPr>
        <w:t>Act,</w:t>
      </w:r>
      <w:r>
        <w:rPr>
          <w:spacing w:val="39"/>
        </w:rPr>
        <w:t xml:space="preserve"> </w:t>
      </w:r>
      <w:r>
        <w:rPr>
          <w:spacing w:val="-1"/>
        </w:rPr>
        <w:t>1911</w:t>
      </w:r>
      <w:r>
        <w:rPr>
          <w:spacing w:val="4"/>
        </w:rPr>
        <w:t xml:space="preserve"> </w:t>
      </w:r>
      <w:r>
        <w:t>to</w:t>
      </w:r>
      <w:r>
        <w:rPr>
          <w:spacing w:val="4"/>
        </w:rPr>
        <w:t xml:space="preserve"> </w:t>
      </w:r>
      <w:r>
        <w:rPr>
          <w:spacing w:val="-1"/>
        </w:rPr>
        <w:t>1989</w:t>
      </w:r>
      <w:r>
        <w:rPr>
          <w:spacing w:val="4"/>
        </w:rPr>
        <w:t xml:space="preserve"> </w:t>
      </w:r>
      <w:r>
        <w:rPr>
          <w:spacing w:val="-1"/>
        </w:rPr>
        <w:t>and,</w:t>
      </w:r>
      <w:r>
        <w:rPr>
          <w:spacing w:val="5"/>
        </w:rPr>
        <w:t xml:space="preserve"> </w:t>
      </w:r>
      <w:r>
        <w:rPr>
          <w:spacing w:val="-1"/>
        </w:rPr>
        <w:t>where</w:t>
      </w:r>
      <w:r>
        <w:rPr>
          <w:spacing w:val="4"/>
        </w:rPr>
        <w:t xml:space="preserve"> </w:t>
      </w:r>
      <w:r>
        <w:rPr>
          <w:spacing w:val="-2"/>
        </w:rPr>
        <w:t>applicable,</w:t>
      </w:r>
      <w:r>
        <w:rPr>
          <w:spacing w:val="5"/>
        </w:rPr>
        <w:t xml:space="preserve"> </w:t>
      </w:r>
      <w:r>
        <w:t>the</w:t>
      </w:r>
      <w:r>
        <w:rPr>
          <w:spacing w:val="4"/>
        </w:rPr>
        <w:t xml:space="preserve"> </w:t>
      </w:r>
      <w:r>
        <w:rPr>
          <w:spacing w:val="-1"/>
        </w:rPr>
        <w:t>Atomic</w:t>
      </w:r>
      <w:r>
        <w:t xml:space="preserve"> </w:t>
      </w:r>
      <w:r>
        <w:rPr>
          <w:spacing w:val="4"/>
        </w:rPr>
        <w:t xml:space="preserve"> </w:t>
      </w:r>
      <w:r>
        <w:rPr>
          <w:spacing w:val="-1"/>
        </w:rPr>
        <w:t>Energy</w:t>
      </w:r>
      <w:r>
        <w:t xml:space="preserve"> </w:t>
      </w:r>
      <w:r>
        <w:rPr>
          <w:spacing w:val="2"/>
        </w:rPr>
        <w:t xml:space="preserve"> </w:t>
      </w:r>
      <w:r>
        <w:rPr>
          <w:spacing w:val="-1"/>
        </w:rPr>
        <w:t>Act</w:t>
      </w:r>
      <w:r>
        <w:rPr>
          <w:spacing w:val="44"/>
        </w:rPr>
        <w:t xml:space="preserve"> </w:t>
      </w:r>
      <w:r>
        <w:rPr>
          <w:spacing w:val="-1"/>
        </w:rPr>
        <w:t>1946,</w:t>
      </w:r>
      <w:r>
        <w:rPr>
          <w:spacing w:val="23"/>
        </w:rPr>
        <w:t xml:space="preserve"> </w:t>
      </w:r>
      <w:r>
        <w:rPr>
          <w:spacing w:val="-1"/>
        </w:rPr>
        <w:t>apply</w:t>
      </w:r>
      <w:r>
        <w:rPr>
          <w:spacing w:val="20"/>
        </w:rPr>
        <w:t xml:space="preserve"> </w:t>
      </w:r>
      <w:r>
        <w:t>to</w:t>
      </w:r>
      <w:r>
        <w:rPr>
          <w:spacing w:val="20"/>
        </w:rPr>
        <w:t xml:space="preserve"> </w:t>
      </w:r>
      <w:r>
        <w:t>the</w:t>
      </w:r>
      <w:r>
        <w:rPr>
          <w:spacing w:val="22"/>
        </w:rPr>
        <w:t xml:space="preserve"> </w:t>
      </w:r>
      <w:r>
        <w:rPr>
          <w:spacing w:val="-2"/>
        </w:rPr>
        <w:t>person</w:t>
      </w:r>
      <w:r>
        <w:rPr>
          <w:spacing w:val="22"/>
        </w:rPr>
        <w:t xml:space="preserve"> </w:t>
      </w:r>
      <w:r>
        <w:rPr>
          <w:spacing w:val="-1"/>
        </w:rPr>
        <w:t>signing</w:t>
      </w:r>
      <w:r>
        <w:rPr>
          <w:spacing w:val="22"/>
        </w:rPr>
        <w:t xml:space="preserve"> </w:t>
      </w:r>
      <w:r>
        <w:t>the</w:t>
      </w:r>
      <w:r>
        <w:rPr>
          <w:spacing w:val="22"/>
        </w:rPr>
        <w:t xml:space="preserve"> </w:t>
      </w:r>
      <w:r>
        <w:rPr>
          <w:spacing w:val="-1"/>
        </w:rPr>
        <w:t>statement</w:t>
      </w:r>
      <w:r>
        <w:rPr>
          <w:spacing w:val="21"/>
        </w:rPr>
        <w:t xml:space="preserve"> </w:t>
      </w:r>
      <w:r>
        <w:rPr>
          <w:spacing w:val="-1"/>
        </w:rPr>
        <w:t>both</w:t>
      </w:r>
      <w:r>
        <w:rPr>
          <w:spacing w:val="22"/>
        </w:rPr>
        <w:t xml:space="preserve"> </w:t>
      </w:r>
      <w:r>
        <w:rPr>
          <w:spacing w:val="-2"/>
        </w:rPr>
        <w:t>during</w:t>
      </w:r>
      <w:r>
        <w:rPr>
          <w:spacing w:val="22"/>
        </w:rPr>
        <w:t xml:space="preserve"> </w:t>
      </w:r>
      <w:r>
        <w:rPr>
          <w:spacing w:val="-1"/>
        </w:rPr>
        <w:t>the</w:t>
      </w:r>
      <w:r>
        <w:rPr>
          <w:spacing w:val="34"/>
        </w:rPr>
        <w:t xml:space="preserve"> </w:t>
      </w:r>
      <w:r>
        <w:rPr>
          <w:spacing w:val="-1"/>
        </w:rPr>
        <w:t>carrying</w:t>
      </w:r>
      <w:r>
        <w:rPr>
          <w:spacing w:val="3"/>
        </w:rPr>
        <w:t xml:space="preserve"> </w:t>
      </w:r>
      <w:r>
        <w:rPr>
          <w:spacing w:val="-2"/>
        </w:rPr>
        <w:t>out</w:t>
      </w:r>
      <w:r>
        <w:t xml:space="preserve"> </w:t>
      </w:r>
      <w:r>
        <w:rPr>
          <w:spacing w:val="-1"/>
        </w:rPr>
        <w:t>and</w:t>
      </w:r>
      <w:r>
        <w:t xml:space="preserve"> </w:t>
      </w:r>
      <w:r>
        <w:rPr>
          <w:spacing w:val="-1"/>
        </w:rPr>
        <w:t>after</w:t>
      </w:r>
      <w:r>
        <w:rPr>
          <w:spacing w:val="2"/>
        </w:rPr>
        <w:t xml:space="preserve"> </w:t>
      </w:r>
      <w:r>
        <w:rPr>
          <w:spacing w:val="-2"/>
        </w:rPr>
        <w:t xml:space="preserve">expiry </w:t>
      </w:r>
      <w:r>
        <w:rPr>
          <w:spacing w:val="-1"/>
        </w:rPr>
        <w:t>or</w:t>
      </w:r>
      <w:r>
        <w:rPr>
          <w:spacing w:val="2"/>
        </w:rPr>
        <w:t xml:space="preserve"> </w:t>
      </w:r>
      <w:r>
        <w:rPr>
          <w:spacing w:val="-1"/>
        </w:rPr>
        <w:t>termination</w:t>
      </w:r>
      <w:r>
        <w:t xml:space="preserve"> </w:t>
      </w:r>
      <w:r>
        <w:rPr>
          <w:spacing w:val="-2"/>
        </w:rPr>
        <w:t>of</w:t>
      </w:r>
      <w:r>
        <w:rPr>
          <w:spacing w:val="2"/>
        </w:rPr>
        <w:t xml:space="preserve"> </w:t>
      </w:r>
      <w:r>
        <w:t xml:space="preserve">a </w:t>
      </w:r>
      <w:r>
        <w:rPr>
          <w:spacing w:val="-2"/>
        </w:rPr>
        <w:t>Call</w:t>
      </w:r>
      <w:r>
        <w:t xml:space="preserve"> </w:t>
      </w:r>
      <w:r>
        <w:rPr>
          <w:spacing w:val="-1"/>
        </w:rPr>
        <w:t>Off</w:t>
      </w:r>
      <w:r>
        <w:rPr>
          <w:spacing w:val="2"/>
        </w:rPr>
        <w:t xml:space="preserve"> </w:t>
      </w:r>
      <w:r>
        <w:rPr>
          <w:spacing w:val="-1"/>
        </w:rPr>
        <w:t>Contract.</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3"/>
        <w:jc w:val="both"/>
      </w:pPr>
      <w:r>
        <w:rPr>
          <w:spacing w:val="-1"/>
        </w:rPr>
        <w:t>If,</w:t>
      </w:r>
      <w:r>
        <w:rPr>
          <w:spacing w:val="28"/>
        </w:rPr>
        <w:t xml:space="preserve"> </w:t>
      </w:r>
      <w:r>
        <w:rPr>
          <w:spacing w:val="-1"/>
        </w:rPr>
        <w:t>at</w:t>
      </w:r>
      <w:r>
        <w:rPr>
          <w:spacing w:val="28"/>
        </w:rPr>
        <w:t xml:space="preserve"> </w:t>
      </w:r>
      <w:r>
        <w:rPr>
          <w:spacing w:val="-1"/>
        </w:rPr>
        <w:t>any</w:t>
      </w:r>
      <w:r>
        <w:rPr>
          <w:spacing w:val="25"/>
        </w:rPr>
        <w:t xml:space="preserve"> </w:t>
      </w:r>
      <w:r>
        <w:rPr>
          <w:spacing w:val="-1"/>
        </w:rPr>
        <w:t>time</w:t>
      </w:r>
      <w:r>
        <w:rPr>
          <w:spacing w:val="27"/>
        </w:rPr>
        <w:t xml:space="preserve"> </w:t>
      </w:r>
      <w:r>
        <w:rPr>
          <w:spacing w:val="-1"/>
        </w:rPr>
        <w:t>either</w:t>
      </w:r>
      <w:r>
        <w:rPr>
          <w:spacing w:val="28"/>
        </w:rPr>
        <w:t xml:space="preserve"> </w:t>
      </w:r>
      <w:r>
        <w:rPr>
          <w:spacing w:val="-1"/>
        </w:rPr>
        <w:t>before</w:t>
      </w:r>
      <w:r>
        <w:rPr>
          <w:spacing w:val="27"/>
        </w:rPr>
        <w:t xml:space="preserve"> </w:t>
      </w:r>
      <w:r>
        <w:rPr>
          <w:spacing w:val="-1"/>
        </w:rPr>
        <w:t>or</w:t>
      </w:r>
      <w:r>
        <w:rPr>
          <w:spacing w:val="28"/>
        </w:rPr>
        <w:t xml:space="preserve"> </w:t>
      </w:r>
      <w:r>
        <w:rPr>
          <w:spacing w:val="-1"/>
        </w:rPr>
        <w:t>after</w:t>
      </w:r>
      <w:r>
        <w:rPr>
          <w:spacing w:val="28"/>
        </w:rPr>
        <w:t xml:space="preserve"> </w:t>
      </w:r>
      <w:r>
        <w:t>the</w:t>
      </w:r>
      <w:r>
        <w:rPr>
          <w:spacing w:val="27"/>
        </w:rPr>
        <w:t xml:space="preserve"> </w:t>
      </w:r>
      <w:r>
        <w:rPr>
          <w:spacing w:val="-2"/>
        </w:rPr>
        <w:t>expiry</w:t>
      </w:r>
      <w:r>
        <w:rPr>
          <w:spacing w:val="27"/>
        </w:rPr>
        <w:t xml:space="preserve"> </w:t>
      </w:r>
      <w:r>
        <w:rPr>
          <w:spacing w:val="1"/>
        </w:rPr>
        <w:t>or</w:t>
      </w:r>
      <w:r>
        <w:rPr>
          <w:spacing w:val="28"/>
        </w:rPr>
        <w:t xml:space="preserve"> </w:t>
      </w:r>
      <w:r>
        <w:rPr>
          <w:spacing w:val="-1"/>
        </w:rPr>
        <w:t>termination</w:t>
      </w:r>
      <w:r>
        <w:rPr>
          <w:spacing w:val="27"/>
        </w:rPr>
        <w:t xml:space="preserve"> </w:t>
      </w:r>
      <w:r>
        <w:rPr>
          <w:spacing w:val="-2"/>
        </w:rPr>
        <w:t>of</w:t>
      </w:r>
      <w:r>
        <w:rPr>
          <w:spacing w:val="53"/>
        </w:rPr>
        <w:t xml:space="preserve"> </w:t>
      </w:r>
      <w:r>
        <w:rPr>
          <w:spacing w:val="-1"/>
        </w:rPr>
        <w:t>this</w:t>
      </w:r>
      <w:r>
        <w:rPr>
          <w:spacing w:val="20"/>
        </w:rPr>
        <w:t xml:space="preserve"> </w:t>
      </w:r>
      <w:r>
        <w:rPr>
          <w:spacing w:val="-2"/>
        </w:rPr>
        <w:t>Call</w:t>
      </w:r>
      <w:r>
        <w:rPr>
          <w:spacing w:val="19"/>
        </w:rPr>
        <w:t xml:space="preserve"> </w:t>
      </w:r>
      <w:r>
        <w:rPr>
          <w:spacing w:val="-1"/>
        </w:rPr>
        <w:t>Off</w:t>
      </w:r>
      <w:r>
        <w:rPr>
          <w:spacing w:val="23"/>
        </w:rPr>
        <w:t xml:space="preserve"> </w:t>
      </w:r>
      <w:r>
        <w:rPr>
          <w:spacing w:val="-1"/>
        </w:rPr>
        <w:t>Contract,</w:t>
      </w:r>
      <w:r>
        <w:rPr>
          <w:spacing w:val="21"/>
        </w:rPr>
        <w:t xml:space="preserve"> </w:t>
      </w:r>
      <w:r>
        <w:rPr>
          <w:spacing w:val="-1"/>
        </w:rPr>
        <w:t>it</w:t>
      </w:r>
      <w:r>
        <w:rPr>
          <w:spacing w:val="19"/>
        </w:rPr>
        <w:t xml:space="preserve"> </w:t>
      </w:r>
      <w:r>
        <w:rPr>
          <w:spacing w:val="-1"/>
        </w:rPr>
        <w:t>comes</w:t>
      </w:r>
      <w:r>
        <w:rPr>
          <w:spacing w:val="20"/>
        </w:rPr>
        <w:t xml:space="preserve"> </w:t>
      </w:r>
      <w:r>
        <w:rPr>
          <w:spacing w:val="-1"/>
        </w:rPr>
        <w:t>to</w:t>
      </w:r>
      <w:r>
        <w:rPr>
          <w:spacing w:val="20"/>
        </w:rPr>
        <w:t xml:space="preserve"> </w:t>
      </w:r>
      <w:r>
        <w:t>the</w:t>
      </w:r>
      <w:r>
        <w:rPr>
          <w:spacing w:val="20"/>
        </w:rPr>
        <w:t xml:space="preserve"> </w:t>
      </w:r>
      <w:r>
        <w:rPr>
          <w:spacing w:val="-1"/>
        </w:rPr>
        <w:t>notice</w:t>
      </w:r>
      <w:r>
        <w:rPr>
          <w:spacing w:val="20"/>
        </w:rPr>
        <w:t xml:space="preserve"> </w:t>
      </w:r>
      <w:r>
        <w:rPr>
          <w:spacing w:val="-2"/>
        </w:rPr>
        <w:t>of</w:t>
      </w:r>
      <w:r>
        <w:rPr>
          <w:spacing w:val="23"/>
        </w:rPr>
        <w:t xml:space="preserve"> </w:t>
      </w:r>
      <w:r>
        <w:rPr>
          <w:spacing w:val="-1"/>
        </w:rPr>
        <w:t>the</w:t>
      </w:r>
      <w:r>
        <w:rPr>
          <w:spacing w:val="20"/>
        </w:rPr>
        <w:t xml:space="preserve"> </w:t>
      </w:r>
      <w:r>
        <w:rPr>
          <w:spacing w:val="-2"/>
        </w:rPr>
        <w:t>Supplier</w:t>
      </w:r>
      <w:r>
        <w:rPr>
          <w:spacing w:val="21"/>
        </w:rPr>
        <w:t xml:space="preserve"> </w:t>
      </w:r>
      <w:r>
        <w:rPr>
          <w:spacing w:val="-1"/>
        </w:rPr>
        <w:t>that</w:t>
      </w:r>
      <w:r>
        <w:rPr>
          <w:spacing w:val="40"/>
        </w:rPr>
        <w:t xml:space="preserve"> </w:t>
      </w:r>
      <w:r>
        <w:rPr>
          <w:spacing w:val="-1"/>
        </w:rPr>
        <w:t>any</w:t>
      </w:r>
      <w:r>
        <w:rPr>
          <w:spacing w:val="9"/>
        </w:rPr>
        <w:t xml:space="preserve"> </w:t>
      </w:r>
      <w:r>
        <w:rPr>
          <w:spacing w:val="-1"/>
        </w:rPr>
        <w:t>person</w:t>
      </w:r>
      <w:r>
        <w:rPr>
          <w:spacing w:val="11"/>
        </w:rPr>
        <w:t xml:space="preserve"> </w:t>
      </w:r>
      <w:r>
        <w:rPr>
          <w:spacing w:val="-1"/>
        </w:rPr>
        <w:t>acting</w:t>
      </w:r>
      <w:r>
        <w:rPr>
          <w:spacing w:val="12"/>
        </w:rPr>
        <w:t xml:space="preserve"> </w:t>
      </w:r>
      <w:r>
        <w:rPr>
          <w:spacing w:val="-2"/>
        </w:rPr>
        <w:t>without</w:t>
      </w:r>
      <w:r>
        <w:rPr>
          <w:spacing w:val="13"/>
        </w:rPr>
        <w:t xml:space="preserve"> </w:t>
      </w:r>
      <w:r>
        <w:rPr>
          <w:spacing w:val="-1"/>
        </w:rPr>
        <w:t>lawful</w:t>
      </w:r>
      <w:r>
        <w:rPr>
          <w:spacing w:val="11"/>
        </w:rPr>
        <w:t xml:space="preserve"> </w:t>
      </w:r>
      <w:r>
        <w:rPr>
          <w:spacing w:val="-1"/>
        </w:rPr>
        <w:t>authority</w:t>
      </w:r>
      <w:r>
        <w:rPr>
          <w:spacing w:val="9"/>
        </w:rPr>
        <w:t xml:space="preserve"> </w:t>
      </w:r>
      <w:r>
        <w:rPr>
          <w:spacing w:val="-1"/>
        </w:rPr>
        <w:t>is</w:t>
      </w:r>
      <w:r>
        <w:rPr>
          <w:spacing w:val="9"/>
        </w:rPr>
        <w:t xml:space="preserve"> </w:t>
      </w:r>
      <w:r>
        <w:rPr>
          <w:spacing w:val="-1"/>
        </w:rPr>
        <w:t>seeking</w:t>
      </w:r>
      <w:r>
        <w:rPr>
          <w:spacing w:val="14"/>
        </w:rPr>
        <w:t xml:space="preserve"> </w:t>
      </w:r>
      <w:r>
        <w:rPr>
          <w:spacing w:val="-2"/>
        </w:rPr>
        <w:t>or</w:t>
      </w:r>
      <w:r>
        <w:rPr>
          <w:spacing w:val="13"/>
        </w:rPr>
        <w:t xml:space="preserve"> </w:t>
      </w:r>
      <w:r>
        <w:rPr>
          <w:spacing w:val="-2"/>
        </w:rPr>
        <w:t>has</w:t>
      </w:r>
      <w:r>
        <w:rPr>
          <w:spacing w:val="39"/>
        </w:rPr>
        <w:t xml:space="preserve"> </w:t>
      </w:r>
      <w:r>
        <w:rPr>
          <w:spacing w:val="-1"/>
        </w:rPr>
        <w:t>sought</w:t>
      </w:r>
      <w:r>
        <w:rPr>
          <w:spacing w:val="21"/>
        </w:rPr>
        <w:t xml:space="preserve"> </w:t>
      </w:r>
      <w:r>
        <w:t>to</w:t>
      </w:r>
      <w:r>
        <w:rPr>
          <w:spacing w:val="20"/>
        </w:rPr>
        <w:t xml:space="preserve"> </w:t>
      </w:r>
      <w:r>
        <w:rPr>
          <w:spacing w:val="-1"/>
        </w:rPr>
        <w:t>obtain</w:t>
      </w:r>
      <w:r>
        <w:rPr>
          <w:spacing w:val="20"/>
        </w:rPr>
        <w:t xml:space="preserve"> </w:t>
      </w:r>
      <w:r>
        <w:rPr>
          <w:spacing w:val="-1"/>
        </w:rPr>
        <w:t>information</w:t>
      </w:r>
      <w:r>
        <w:rPr>
          <w:spacing w:val="20"/>
        </w:rPr>
        <w:t xml:space="preserve"> </w:t>
      </w:r>
      <w:r>
        <w:rPr>
          <w:spacing w:val="-1"/>
        </w:rPr>
        <w:t>concerning</w:t>
      </w:r>
      <w:r>
        <w:rPr>
          <w:spacing w:val="22"/>
        </w:rPr>
        <w:t xml:space="preserve"> </w:t>
      </w:r>
      <w:r>
        <w:rPr>
          <w:spacing w:val="-1"/>
        </w:rPr>
        <w:t>this</w:t>
      </w:r>
      <w:r>
        <w:rPr>
          <w:spacing w:val="20"/>
        </w:rPr>
        <w:t xml:space="preserve"> </w:t>
      </w:r>
      <w:r>
        <w:rPr>
          <w:spacing w:val="-2"/>
        </w:rPr>
        <w:t>Call</w:t>
      </w:r>
      <w:r>
        <w:rPr>
          <w:spacing w:val="19"/>
        </w:rPr>
        <w:t xml:space="preserve"> </w:t>
      </w:r>
      <w:r>
        <w:rPr>
          <w:spacing w:val="-1"/>
        </w:rPr>
        <w:t>Off</w:t>
      </w:r>
      <w:r>
        <w:rPr>
          <w:spacing w:val="21"/>
        </w:rPr>
        <w:t xml:space="preserve"> </w:t>
      </w:r>
      <w:r>
        <w:rPr>
          <w:spacing w:val="-1"/>
        </w:rPr>
        <w:t>Contract</w:t>
      </w:r>
      <w:r>
        <w:rPr>
          <w:spacing w:val="22"/>
        </w:rPr>
        <w:t xml:space="preserve"> </w:t>
      </w:r>
      <w:r>
        <w:rPr>
          <w:spacing w:val="-2"/>
        </w:rPr>
        <w:t>or</w:t>
      </w:r>
      <w:r>
        <w:rPr>
          <w:spacing w:val="31"/>
        </w:rPr>
        <w:t xml:space="preserve"> </w:t>
      </w:r>
      <w:r>
        <w:rPr>
          <w:spacing w:val="-1"/>
        </w:rPr>
        <w:t>anything</w:t>
      </w:r>
      <w:r>
        <w:rPr>
          <w:spacing w:val="48"/>
        </w:rPr>
        <w:t xml:space="preserve"> </w:t>
      </w:r>
      <w:r>
        <w:rPr>
          <w:spacing w:val="-1"/>
        </w:rPr>
        <w:t>done</w:t>
      </w:r>
      <w:r>
        <w:rPr>
          <w:spacing w:val="46"/>
        </w:rPr>
        <w:t xml:space="preserve"> </w:t>
      </w:r>
      <w:r>
        <w:rPr>
          <w:spacing w:val="-1"/>
        </w:rPr>
        <w:t>or</w:t>
      </w:r>
      <w:r>
        <w:rPr>
          <w:spacing w:val="45"/>
        </w:rPr>
        <w:t xml:space="preserve"> </w:t>
      </w:r>
      <w:r>
        <w:t>to</w:t>
      </w:r>
      <w:r>
        <w:rPr>
          <w:spacing w:val="46"/>
        </w:rPr>
        <w:t xml:space="preserve"> </w:t>
      </w:r>
      <w:r>
        <w:rPr>
          <w:spacing w:val="-1"/>
        </w:rPr>
        <w:t>be</w:t>
      </w:r>
      <w:r>
        <w:rPr>
          <w:spacing w:val="43"/>
        </w:rPr>
        <w:t xml:space="preserve"> </w:t>
      </w:r>
      <w:r>
        <w:rPr>
          <w:spacing w:val="-1"/>
        </w:rPr>
        <w:t>done</w:t>
      </w:r>
      <w:r>
        <w:rPr>
          <w:spacing w:val="46"/>
        </w:rPr>
        <w:t xml:space="preserve"> </w:t>
      </w:r>
      <w:r>
        <w:rPr>
          <w:spacing w:val="-1"/>
        </w:rPr>
        <w:t>in</w:t>
      </w:r>
      <w:r>
        <w:rPr>
          <w:spacing w:val="47"/>
        </w:rPr>
        <w:t xml:space="preserve"> </w:t>
      </w:r>
      <w:r>
        <w:rPr>
          <w:spacing w:val="-1"/>
        </w:rPr>
        <w:t>pursuance</w:t>
      </w:r>
      <w:r>
        <w:rPr>
          <w:spacing w:val="44"/>
        </w:rPr>
        <w:t xml:space="preserve"> </w:t>
      </w:r>
      <w:r>
        <w:rPr>
          <w:spacing w:val="-1"/>
        </w:rPr>
        <w:t>thereof,</w:t>
      </w:r>
      <w:r>
        <w:rPr>
          <w:spacing w:val="47"/>
        </w:rPr>
        <w:t xml:space="preserve"> </w:t>
      </w:r>
      <w:r>
        <w:t>the</w:t>
      </w:r>
      <w:r>
        <w:rPr>
          <w:spacing w:val="43"/>
        </w:rPr>
        <w:t xml:space="preserve"> </w:t>
      </w:r>
      <w:r>
        <w:rPr>
          <w:spacing w:val="-1"/>
        </w:rPr>
        <w:t>matter</w:t>
      </w:r>
      <w:r>
        <w:rPr>
          <w:spacing w:val="25"/>
        </w:rPr>
        <w:t xml:space="preserve"> </w:t>
      </w:r>
      <w:r>
        <w:rPr>
          <w:spacing w:val="-1"/>
        </w:rPr>
        <w:t>shall</w:t>
      </w:r>
      <w:r>
        <w:rPr>
          <w:spacing w:val="26"/>
        </w:rPr>
        <w:t xml:space="preserve"> </w:t>
      </w:r>
      <w:r>
        <w:rPr>
          <w:spacing w:val="-1"/>
        </w:rPr>
        <w:t>be</w:t>
      </w:r>
      <w:r>
        <w:rPr>
          <w:spacing w:val="24"/>
        </w:rPr>
        <w:t xml:space="preserve"> </w:t>
      </w:r>
      <w:r>
        <w:rPr>
          <w:spacing w:val="-1"/>
        </w:rPr>
        <w:t>forthwith</w:t>
      </w:r>
      <w:r>
        <w:rPr>
          <w:spacing w:val="27"/>
        </w:rPr>
        <w:t xml:space="preserve"> </w:t>
      </w:r>
      <w:r>
        <w:rPr>
          <w:spacing w:val="-1"/>
        </w:rPr>
        <w:t>reported</w:t>
      </w:r>
      <w:r>
        <w:rPr>
          <w:spacing w:val="27"/>
        </w:rPr>
        <w:t xml:space="preserve"> </w:t>
      </w:r>
      <w:r>
        <w:rPr>
          <w:spacing w:val="-1"/>
        </w:rPr>
        <w:t>by</w:t>
      </w:r>
      <w:r>
        <w:rPr>
          <w:spacing w:val="25"/>
        </w:rPr>
        <w:t xml:space="preserve"> </w:t>
      </w:r>
      <w:r>
        <w:t>the</w:t>
      </w:r>
      <w:r>
        <w:rPr>
          <w:spacing w:val="27"/>
        </w:rPr>
        <w:t xml:space="preserve"> </w:t>
      </w:r>
      <w:r>
        <w:rPr>
          <w:spacing w:val="-2"/>
        </w:rPr>
        <w:t>Supplier</w:t>
      </w:r>
      <w:r>
        <w:rPr>
          <w:spacing w:val="28"/>
        </w:rPr>
        <w:t xml:space="preserve"> </w:t>
      </w:r>
      <w:r>
        <w:t>to</w:t>
      </w:r>
      <w:r>
        <w:rPr>
          <w:spacing w:val="24"/>
        </w:rPr>
        <w:t xml:space="preserve"> </w:t>
      </w:r>
      <w:r>
        <w:rPr>
          <w:spacing w:val="-1"/>
        </w:rPr>
        <w:t>the</w:t>
      </w:r>
      <w:r>
        <w:rPr>
          <w:spacing w:val="27"/>
        </w:rPr>
        <w:t xml:space="preserve"> </w:t>
      </w:r>
      <w:r>
        <w:rPr>
          <w:spacing w:val="-1"/>
        </w:rPr>
        <w:t>Customer</w:t>
      </w:r>
      <w:r>
        <w:rPr>
          <w:spacing w:val="28"/>
        </w:rPr>
        <w:t xml:space="preserve"> </w:t>
      </w:r>
      <w:r>
        <w:rPr>
          <w:spacing w:val="-1"/>
        </w:rPr>
        <w:t>and</w:t>
      </w:r>
      <w:r>
        <w:rPr>
          <w:spacing w:val="38"/>
        </w:rPr>
        <w:t xml:space="preserve"> </w:t>
      </w:r>
      <w:r>
        <w:t>the</w:t>
      </w:r>
      <w:r>
        <w:rPr>
          <w:spacing w:val="7"/>
        </w:rPr>
        <w:t xml:space="preserve"> </w:t>
      </w:r>
      <w:r>
        <w:rPr>
          <w:spacing w:val="-1"/>
        </w:rPr>
        <w:t>report</w:t>
      </w:r>
      <w:r>
        <w:rPr>
          <w:spacing w:val="7"/>
        </w:rPr>
        <w:t xml:space="preserve"> </w:t>
      </w:r>
      <w:r>
        <w:rPr>
          <w:spacing w:val="-1"/>
        </w:rPr>
        <w:t>shall,</w:t>
      </w:r>
      <w:r>
        <w:rPr>
          <w:spacing w:val="9"/>
        </w:rPr>
        <w:t xml:space="preserve"> </w:t>
      </w:r>
      <w:r>
        <w:rPr>
          <w:spacing w:val="-1"/>
        </w:rPr>
        <w:t>in</w:t>
      </w:r>
      <w:r>
        <w:rPr>
          <w:spacing w:val="7"/>
        </w:rPr>
        <w:t xml:space="preserve"> </w:t>
      </w:r>
      <w:r>
        <w:rPr>
          <w:spacing w:val="-1"/>
        </w:rPr>
        <w:t>each</w:t>
      </w:r>
      <w:r>
        <w:rPr>
          <w:spacing w:val="5"/>
        </w:rPr>
        <w:t xml:space="preserve"> </w:t>
      </w:r>
      <w:r>
        <w:rPr>
          <w:spacing w:val="-1"/>
        </w:rPr>
        <w:t>case,</w:t>
      </w:r>
      <w:r>
        <w:rPr>
          <w:spacing w:val="9"/>
        </w:rPr>
        <w:t xml:space="preserve"> </w:t>
      </w:r>
      <w:r>
        <w:rPr>
          <w:spacing w:val="-1"/>
        </w:rPr>
        <w:t>be</w:t>
      </w:r>
      <w:r>
        <w:rPr>
          <w:spacing w:val="7"/>
        </w:rPr>
        <w:t xml:space="preserve"> </w:t>
      </w:r>
      <w:r>
        <w:rPr>
          <w:spacing w:val="-1"/>
        </w:rPr>
        <w:t>accompanied</w:t>
      </w:r>
      <w:r>
        <w:rPr>
          <w:spacing w:val="7"/>
        </w:rPr>
        <w:t xml:space="preserve"> </w:t>
      </w:r>
      <w:r>
        <w:rPr>
          <w:spacing w:val="-2"/>
        </w:rPr>
        <w:t>by</w:t>
      </w:r>
      <w:r>
        <w:rPr>
          <w:spacing w:val="5"/>
        </w:rPr>
        <w:t xml:space="preserve"> </w:t>
      </w:r>
      <w:r>
        <w:t>a</w:t>
      </w:r>
      <w:r>
        <w:rPr>
          <w:spacing w:val="7"/>
        </w:rPr>
        <w:t xml:space="preserve"> </w:t>
      </w:r>
      <w:r>
        <w:rPr>
          <w:spacing w:val="-1"/>
        </w:rPr>
        <w:t>statement</w:t>
      </w:r>
      <w:r>
        <w:rPr>
          <w:spacing w:val="7"/>
        </w:rPr>
        <w:t xml:space="preserve"> </w:t>
      </w:r>
      <w:r>
        <w:rPr>
          <w:spacing w:val="-2"/>
        </w:rPr>
        <w:t>of</w:t>
      </w:r>
      <w:r>
        <w:rPr>
          <w:spacing w:val="25"/>
        </w:rPr>
        <w:t xml:space="preserve"> </w:t>
      </w:r>
      <w:r>
        <w:t>the</w:t>
      </w:r>
      <w:r>
        <w:rPr>
          <w:spacing w:val="10"/>
        </w:rPr>
        <w:t xml:space="preserve"> </w:t>
      </w:r>
      <w:r>
        <w:rPr>
          <w:spacing w:val="-1"/>
        </w:rPr>
        <w:t>facts,</w:t>
      </w:r>
      <w:r>
        <w:rPr>
          <w:spacing w:val="14"/>
        </w:rPr>
        <w:t xml:space="preserve"> </w:t>
      </w:r>
      <w:r>
        <w:rPr>
          <w:spacing w:val="-2"/>
        </w:rPr>
        <w:t>including,</w:t>
      </w:r>
      <w:r>
        <w:rPr>
          <w:spacing w:val="14"/>
        </w:rPr>
        <w:t xml:space="preserve"> </w:t>
      </w:r>
      <w:r>
        <w:rPr>
          <w:spacing w:val="-1"/>
        </w:rPr>
        <w:t>if</w:t>
      </w:r>
      <w:r>
        <w:rPr>
          <w:spacing w:val="16"/>
        </w:rPr>
        <w:t xml:space="preserve"> </w:t>
      </w:r>
      <w:r>
        <w:rPr>
          <w:spacing w:val="-2"/>
        </w:rPr>
        <w:t>possible,</w:t>
      </w:r>
      <w:r>
        <w:rPr>
          <w:spacing w:val="14"/>
        </w:rPr>
        <w:t xml:space="preserve"> </w:t>
      </w:r>
      <w:r>
        <w:t>the</w:t>
      </w:r>
      <w:r>
        <w:rPr>
          <w:spacing w:val="12"/>
        </w:rPr>
        <w:t xml:space="preserve"> </w:t>
      </w:r>
      <w:r>
        <w:rPr>
          <w:spacing w:val="-1"/>
        </w:rPr>
        <w:t>name,</w:t>
      </w:r>
      <w:r>
        <w:rPr>
          <w:spacing w:val="11"/>
        </w:rPr>
        <w:t xml:space="preserve"> </w:t>
      </w:r>
      <w:r>
        <w:rPr>
          <w:spacing w:val="-1"/>
        </w:rPr>
        <w:t>address</w:t>
      </w:r>
      <w:r>
        <w:rPr>
          <w:spacing w:val="13"/>
        </w:rPr>
        <w:t xml:space="preserve"> </w:t>
      </w:r>
      <w:r>
        <w:rPr>
          <w:spacing w:val="-1"/>
        </w:rPr>
        <w:t>and</w:t>
      </w:r>
      <w:r>
        <w:rPr>
          <w:spacing w:val="46"/>
        </w:rPr>
        <w:t xml:space="preserve"> </w:t>
      </w:r>
      <w:r>
        <w:rPr>
          <w:spacing w:val="-1"/>
        </w:rPr>
        <w:t>occupation</w:t>
      </w:r>
      <w:r>
        <w:rPr>
          <w:spacing w:val="20"/>
        </w:rPr>
        <w:t xml:space="preserve"> </w:t>
      </w:r>
      <w:r>
        <w:rPr>
          <w:spacing w:val="-2"/>
        </w:rPr>
        <w:t>of</w:t>
      </w:r>
      <w:r>
        <w:rPr>
          <w:spacing w:val="21"/>
        </w:rPr>
        <w:t xml:space="preserve"> </w:t>
      </w:r>
      <w:r>
        <w:rPr>
          <w:spacing w:val="-1"/>
        </w:rPr>
        <w:t>that</w:t>
      </w:r>
      <w:r>
        <w:rPr>
          <w:spacing w:val="21"/>
        </w:rPr>
        <w:t xml:space="preserve"> </w:t>
      </w:r>
      <w:r>
        <w:rPr>
          <w:spacing w:val="-2"/>
        </w:rPr>
        <w:t>person,</w:t>
      </w:r>
      <w:r>
        <w:rPr>
          <w:spacing w:val="21"/>
        </w:rPr>
        <w:t xml:space="preserve"> </w:t>
      </w:r>
      <w:r>
        <w:rPr>
          <w:spacing w:val="-1"/>
        </w:rPr>
        <w:t>and</w:t>
      </w:r>
      <w:r>
        <w:rPr>
          <w:spacing w:val="20"/>
        </w:rPr>
        <w:t xml:space="preserve"> </w:t>
      </w:r>
      <w:r>
        <w:t>the</w:t>
      </w:r>
      <w:r>
        <w:rPr>
          <w:spacing w:val="20"/>
        </w:rPr>
        <w:t xml:space="preserve"> </w:t>
      </w:r>
      <w:r>
        <w:rPr>
          <w:spacing w:val="-2"/>
        </w:rPr>
        <w:t>Supplier</w:t>
      </w:r>
      <w:r>
        <w:rPr>
          <w:spacing w:val="21"/>
        </w:rPr>
        <w:t xml:space="preserve"> </w:t>
      </w:r>
      <w:r>
        <w:rPr>
          <w:spacing w:val="-1"/>
        </w:rPr>
        <w:t>shall</w:t>
      </w:r>
      <w:r>
        <w:rPr>
          <w:spacing w:val="19"/>
        </w:rPr>
        <w:t xml:space="preserve"> </w:t>
      </w:r>
      <w:r>
        <w:rPr>
          <w:spacing w:val="-1"/>
        </w:rPr>
        <w:t>be</w:t>
      </w:r>
      <w:r>
        <w:rPr>
          <w:spacing w:val="20"/>
        </w:rPr>
        <w:t xml:space="preserve"> </w:t>
      </w:r>
      <w:r>
        <w:rPr>
          <w:spacing w:val="-1"/>
        </w:rPr>
        <w:t>responsible</w:t>
      </w:r>
      <w:r>
        <w:rPr>
          <w:spacing w:val="49"/>
        </w:rPr>
        <w:t xml:space="preserve"> </w:t>
      </w:r>
      <w:r>
        <w:t>for</w:t>
      </w:r>
      <w:r>
        <w:rPr>
          <w:spacing w:val="14"/>
        </w:rPr>
        <w:t xml:space="preserve"> </w:t>
      </w:r>
      <w:r>
        <w:rPr>
          <w:spacing w:val="-1"/>
        </w:rPr>
        <w:t>making</w:t>
      </w:r>
      <w:r>
        <w:rPr>
          <w:spacing w:val="15"/>
        </w:rPr>
        <w:t xml:space="preserve"> </w:t>
      </w:r>
      <w:r>
        <w:rPr>
          <w:spacing w:val="-1"/>
        </w:rPr>
        <w:t>all</w:t>
      </w:r>
      <w:r>
        <w:rPr>
          <w:spacing w:val="12"/>
        </w:rPr>
        <w:t xml:space="preserve"> </w:t>
      </w:r>
      <w:r>
        <w:rPr>
          <w:spacing w:val="-1"/>
        </w:rPr>
        <w:t>such</w:t>
      </w:r>
      <w:r>
        <w:rPr>
          <w:spacing w:val="13"/>
        </w:rPr>
        <w:t xml:space="preserve"> </w:t>
      </w:r>
      <w:r>
        <w:rPr>
          <w:spacing w:val="-1"/>
        </w:rPr>
        <w:t>arrangements</w:t>
      </w:r>
      <w:r>
        <w:rPr>
          <w:spacing w:val="13"/>
        </w:rPr>
        <w:t xml:space="preserve"> </w:t>
      </w:r>
      <w:r>
        <w:rPr>
          <w:spacing w:val="-1"/>
        </w:rPr>
        <w:t>as</w:t>
      </w:r>
      <w:r>
        <w:rPr>
          <w:spacing w:val="13"/>
        </w:rPr>
        <w:t xml:space="preserve"> </w:t>
      </w:r>
      <w:r>
        <w:rPr>
          <w:spacing w:val="-1"/>
        </w:rPr>
        <w:t>it</w:t>
      </w:r>
      <w:r>
        <w:rPr>
          <w:spacing w:val="11"/>
        </w:rPr>
        <w:t xml:space="preserve"> </w:t>
      </w:r>
      <w:r>
        <w:rPr>
          <w:spacing w:val="-1"/>
        </w:rPr>
        <w:t>may</w:t>
      </w:r>
      <w:r>
        <w:rPr>
          <w:spacing w:val="10"/>
        </w:rPr>
        <w:t xml:space="preserve"> </w:t>
      </w:r>
      <w:r>
        <w:rPr>
          <w:spacing w:val="-1"/>
        </w:rPr>
        <w:t>consider</w:t>
      </w:r>
      <w:r>
        <w:rPr>
          <w:spacing w:val="14"/>
        </w:rPr>
        <w:t xml:space="preserve"> </w:t>
      </w:r>
      <w:r>
        <w:rPr>
          <w:spacing w:val="-1"/>
        </w:rPr>
        <w:t>appropriate</w:t>
      </w:r>
      <w:r>
        <w:rPr>
          <w:spacing w:val="33"/>
        </w:rPr>
        <w:t xml:space="preserve"> </w:t>
      </w:r>
      <w:r>
        <w:t>to</w:t>
      </w:r>
      <w:r>
        <w:rPr>
          <w:spacing w:val="7"/>
        </w:rPr>
        <w:t xml:space="preserve"> </w:t>
      </w:r>
      <w:r>
        <w:rPr>
          <w:spacing w:val="-1"/>
        </w:rPr>
        <w:t>ensure</w:t>
      </w:r>
      <w:r>
        <w:rPr>
          <w:spacing w:val="7"/>
        </w:rPr>
        <w:t xml:space="preserve"> </w:t>
      </w:r>
      <w:r>
        <w:rPr>
          <w:spacing w:val="-1"/>
        </w:rPr>
        <w:t>that</w:t>
      </w:r>
      <w:r>
        <w:rPr>
          <w:spacing w:val="9"/>
        </w:rPr>
        <w:t xml:space="preserve"> </w:t>
      </w:r>
      <w:r>
        <w:rPr>
          <w:spacing w:val="-2"/>
        </w:rPr>
        <w:t>if</w:t>
      </w:r>
      <w:r>
        <w:rPr>
          <w:spacing w:val="11"/>
        </w:rPr>
        <w:t xml:space="preserve"> </w:t>
      </w:r>
      <w:r>
        <w:rPr>
          <w:spacing w:val="-1"/>
        </w:rPr>
        <w:t>any</w:t>
      </w:r>
      <w:r>
        <w:rPr>
          <w:spacing w:val="5"/>
        </w:rPr>
        <w:t xml:space="preserve"> </w:t>
      </w:r>
      <w:r>
        <w:rPr>
          <w:spacing w:val="-1"/>
        </w:rPr>
        <w:t>such</w:t>
      </w:r>
      <w:r>
        <w:rPr>
          <w:spacing w:val="9"/>
        </w:rPr>
        <w:t xml:space="preserve"> </w:t>
      </w:r>
      <w:r>
        <w:rPr>
          <w:spacing w:val="-1"/>
        </w:rPr>
        <w:t>occurrence</w:t>
      </w:r>
      <w:r>
        <w:rPr>
          <w:spacing w:val="8"/>
        </w:rPr>
        <w:t xml:space="preserve"> </w:t>
      </w:r>
      <w:r>
        <w:rPr>
          <w:spacing w:val="-1"/>
        </w:rPr>
        <w:t>comes</w:t>
      </w:r>
      <w:r>
        <w:rPr>
          <w:spacing w:val="8"/>
        </w:rPr>
        <w:t xml:space="preserve"> </w:t>
      </w:r>
      <w:r>
        <w:t>to</w:t>
      </w:r>
      <w:r>
        <w:rPr>
          <w:spacing w:val="5"/>
        </w:rPr>
        <w:t xml:space="preserve"> </w:t>
      </w:r>
      <w:r>
        <w:rPr>
          <w:spacing w:val="-1"/>
        </w:rPr>
        <w:t>the</w:t>
      </w:r>
      <w:r>
        <w:rPr>
          <w:spacing w:val="7"/>
        </w:rPr>
        <w:t xml:space="preserve"> </w:t>
      </w:r>
      <w:r>
        <w:rPr>
          <w:spacing w:val="-1"/>
        </w:rPr>
        <w:t>knowledge</w:t>
      </w:r>
      <w:r>
        <w:rPr>
          <w:spacing w:val="7"/>
        </w:rPr>
        <w:t xml:space="preserve"> </w:t>
      </w:r>
      <w:r>
        <w:rPr>
          <w:spacing w:val="-2"/>
        </w:rPr>
        <w:t>of</w:t>
      </w:r>
      <w:r>
        <w:rPr>
          <w:spacing w:val="35"/>
        </w:rPr>
        <w:t xml:space="preserve"> </w:t>
      </w:r>
      <w:r>
        <w:rPr>
          <w:spacing w:val="-1"/>
        </w:rPr>
        <w:t>any</w:t>
      </w:r>
      <w:r>
        <w:rPr>
          <w:spacing w:val="15"/>
        </w:rPr>
        <w:t xml:space="preserve"> </w:t>
      </w:r>
      <w:r>
        <w:rPr>
          <w:spacing w:val="-1"/>
        </w:rPr>
        <w:t>person</w:t>
      </w:r>
      <w:r>
        <w:rPr>
          <w:spacing w:val="17"/>
        </w:rPr>
        <w:t xml:space="preserve"> </w:t>
      </w:r>
      <w:r>
        <w:rPr>
          <w:spacing w:val="-2"/>
        </w:rPr>
        <w:t>employed</w:t>
      </w:r>
      <w:r>
        <w:rPr>
          <w:spacing w:val="17"/>
        </w:rPr>
        <w:t xml:space="preserve"> </w:t>
      </w:r>
      <w:r>
        <w:rPr>
          <w:spacing w:val="1"/>
        </w:rPr>
        <w:t>by</w:t>
      </w:r>
      <w:r>
        <w:rPr>
          <w:spacing w:val="18"/>
        </w:rPr>
        <w:t xml:space="preserve"> </w:t>
      </w:r>
      <w:r>
        <w:rPr>
          <w:spacing w:val="-1"/>
        </w:rPr>
        <w:t>it,</w:t>
      </w:r>
      <w:r>
        <w:rPr>
          <w:spacing w:val="19"/>
        </w:rPr>
        <w:t xml:space="preserve"> </w:t>
      </w:r>
      <w:r>
        <w:rPr>
          <w:spacing w:val="-1"/>
        </w:rPr>
        <w:t>that</w:t>
      </w:r>
      <w:r>
        <w:rPr>
          <w:spacing w:val="19"/>
        </w:rPr>
        <w:t xml:space="preserve"> </w:t>
      </w:r>
      <w:r>
        <w:rPr>
          <w:spacing w:val="-1"/>
        </w:rPr>
        <w:t>person</w:t>
      </w:r>
      <w:r>
        <w:rPr>
          <w:spacing w:val="17"/>
        </w:rPr>
        <w:t xml:space="preserve"> </w:t>
      </w:r>
      <w:r>
        <w:rPr>
          <w:spacing w:val="-1"/>
        </w:rPr>
        <w:t>shall</w:t>
      </w:r>
      <w:r>
        <w:rPr>
          <w:spacing w:val="14"/>
        </w:rPr>
        <w:t xml:space="preserve"> </w:t>
      </w:r>
      <w:r>
        <w:rPr>
          <w:spacing w:val="-1"/>
        </w:rPr>
        <w:t>forthwith</w:t>
      </w:r>
      <w:r>
        <w:rPr>
          <w:spacing w:val="17"/>
        </w:rPr>
        <w:t xml:space="preserve"> </w:t>
      </w:r>
      <w:r>
        <w:rPr>
          <w:spacing w:val="-1"/>
        </w:rPr>
        <w:t>report</w:t>
      </w:r>
      <w:r>
        <w:rPr>
          <w:spacing w:val="16"/>
        </w:rPr>
        <w:t xml:space="preserve"> </w:t>
      </w:r>
      <w:r>
        <w:rPr>
          <w:spacing w:val="-1"/>
        </w:rPr>
        <w:t>the</w:t>
      </w:r>
      <w:r>
        <w:rPr>
          <w:spacing w:val="52"/>
        </w:rPr>
        <w:t xml:space="preserve"> </w:t>
      </w:r>
      <w:r>
        <w:rPr>
          <w:spacing w:val="-1"/>
        </w:rPr>
        <w:t xml:space="preserve">matter </w:t>
      </w:r>
      <w:r>
        <w:t>to</w:t>
      </w:r>
      <w:r>
        <w:rPr>
          <w:spacing w:val="-2"/>
        </w:rPr>
        <w:t xml:space="preserve"> </w:t>
      </w:r>
      <w:r>
        <w:t>the</w:t>
      </w:r>
      <w:r>
        <w:rPr>
          <w:spacing w:val="-2"/>
        </w:rPr>
        <w:t xml:space="preserve"> Supplier</w:t>
      </w:r>
      <w:r>
        <w:rPr>
          <w:spacing w:val="2"/>
        </w:rPr>
        <w:t xml:space="preserve"> </w:t>
      </w:r>
      <w:r>
        <w:rPr>
          <w:spacing w:val="-2"/>
        </w:rPr>
        <w:t>with</w:t>
      </w:r>
      <w:r>
        <w:t xml:space="preserve"> a </w:t>
      </w:r>
      <w:r>
        <w:rPr>
          <w:spacing w:val="-1"/>
        </w:rPr>
        <w:t>statement</w:t>
      </w:r>
      <w:r>
        <w:rPr>
          <w:spacing w:val="2"/>
        </w:rPr>
        <w:t xml:space="preserve"> </w:t>
      </w:r>
      <w:r>
        <w:rPr>
          <w:spacing w:val="-2"/>
        </w:rPr>
        <w:t>of</w:t>
      </w:r>
      <w:r>
        <w:t xml:space="preserve"> the</w:t>
      </w:r>
      <w:r>
        <w:rPr>
          <w:spacing w:val="-2"/>
        </w:rPr>
        <w:t xml:space="preserve"> </w:t>
      </w:r>
      <w:r>
        <w:rPr>
          <w:spacing w:val="-1"/>
        </w:rPr>
        <w:t>facts</w:t>
      </w:r>
      <w:r>
        <w:rPr>
          <w:spacing w:val="1"/>
        </w:rPr>
        <w:t xml:space="preserve"> </w:t>
      </w:r>
      <w:r>
        <w:rPr>
          <w:spacing w:val="-1"/>
        </w:rPr>
        <w:t>as</w:t>
      </w:r>
      <w:r>
        <w:rPr>
          <w:spacing w:val="1"/>
        </w:rPr>
        <w:t xml:space="preserve"> </w:t>
      </w:r>
      <w:r>
        <w:rPr>
          <w:spacing w:val="-2"/>
        </w:rPr>
        <w:t>aforesaid.</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numPr>
          <w:ilvl w:val="1"/>
          <w:numId w:val="3"/>
        </w:numPr>
        <w:tabs>
          <w:tab w:val="left" w:pos="2424"/>
        </w:tabs>
        <w:spacing w:before="59"/>
        <w:ind w:left="2423" w:right="116" w:hanging="736"/>
        <w:jc w:val="both"/>
      </w:pPr>
      <w:r>
        <w:t>The</w:t>
      </w:r>
      <w:r>
        <w:rPr>
          <w:spacing w:val="10"/>
        </w:rPr>
        <w:t xml:space="preserve"> </w:t>
      </w:r>
      <w:r>
        <w:rPr>
          <w:spacing w:val="-2"/>
        </w:rPr>
        <w:t>Supplier</w:t>
      </w:r>
      <w:r>
        <w:rPr>
          <w:spacing w:val="11"/>
        </w:rPr>
        <w:t xml:space="preserve"> </w:t>
      </w:r>
      <w:r>
        <w:rPr>
          <w:spacing w:val="-1"/>
        </w:rPr>
        <w:t>shall</w:t>
      </w:r>
      <w:r>
        <w:rPr>
          <w:spacing w:val="9"/>
        </w:rPr>
        <w:t xml:space="preserve"> </w:t>
      </w:r>
      <w:r>
        <w:rPr>
          <w:spacing w:val="-1"/>
        </w:rPr>
        <w:t>place</w:t>
      </w:r>
      <w:r>
        <w:rPr>
          <w:spacing w:val="10"/>
        </w:rPr>
        <w:t xml:space="preserve"> </w:t>
      </w:r>
      <w:r>
        <w:rPr>
          <w:spacing w:val="-1"/>
        </w:rPr>
        <w:t>every</w:t>
      </w:r>
      <w:r>
        <w:rPr>
          <w:spacing w:val="8"/>
        </w:rPr>
        <w:t xml:space="preserve"> </w:t>
      </w:r>
      <w:r>
        <w:rPr>
          <w:spacing w:val="-1"/>
        </w:rPr>
        <w:t>person</w:t>
      </w:r>
      <w:r>
        <w:rPr>
          <w:spacing w:val="10"/>
        </w:rPr>
        <w:t xml:space="preserve"> </w:t>
      </w:r>
      <w:r>
        <w:rPr>
          <w:spacing w:val="-2"/>
        </w:rPr>
        <w:t>employed</w:t>
      </w:r>
      <w:r>
        <w:rPr>
          <w:spacing w:val="12"/>
        </w:rPr>
        <w:t xml:space="preserve"> </w:t>
      </w:r>
      <w:r>
        <w:rPr>
          <w:spacing w:val="-1"/>
        </w:rPr>
        <w:t>by</w:t>
      </w:r>
      <w:r>
        <w:rPr>
          <w:spacing w:val="8"/>
        </w:rPr>
        <w:t xml:space="preserve"> </w:t>
      </w:r>
      <w:r>
        <w:rPr>
          <w:spacing w:val="-1"/>
        </w:rPr>
        <w:t>it,</w:t>
      </w:r>
      <w:r>
        <w:rPr>
          <w:spacing w:val="11"/>
        </w:rPr>
        <w:t xml:space="preserve"> </w:t>
      </w:r>
      <w:r>
        <w:rPr>
          <w:spacing w:val="-1"/>
        </w:rPr>
        <w:t>other</w:t>
      </w:r>
      <w:r>
        <w:rPr>
          <w:spacing w:val="11"/>
        </w:rPr>
        <w:t xml:space="preserve"> </w:t>
      </w:r>
      <w:r>
        <w:rPr>
          <w:spacing w:val="-1"/>
        </w:rPr>
        <w:t>than</w:t>
      </w:r>
      <w:r>
        <w:rPr>
          <w:spacing w:val="54"/>
        </w:rPr>
        <w:t xml:space="preserve"> </w:t>
      </w:r>
      <w:r>
        <w:t>a</w:t>
      </w:r>
      <w:r>
        <w:rPr>
          <w:spacing w:val="18"/>
        </w:rPr>
        <w:t xml:space="preserve"> </w:t>
      </w:r>
      <w:r>
        <w:rPr>
          <w:spacing w:val="-1"/>
        </w:rPr>
        <w:t>Sub-Contractor,</w:t>
      </w:r>
      <w:r>
        <w:rPr>
          <w:spacing w:val="17"/>
        </w:rPr>
        <w:t xml:space="preserve"> </w:t>
      </w:r>
      <w:r>
        <w:rPr>
          <w:spacing w:val="-2"/>
        </w:rPr>
        <w:t>who</w:t>
      </w:r>
      <w:r>
        <w:rPr>
          <w:spacing w:val="21"/>
        </w:rPr>
        <w:t xml:space="preserve"> </w:t>
      </w:r>
      <w:r>
        <w:rPr>
          <w:spacing w:val="-1"/>
        </w:rPr>
        <w:t>in</w:t>
      </w:r>
      <w:r>
        <w:rPr>
          <w:spacing w:val="18"/>
        </w:rPr>
        <w:t xml:space="preserve"> </w:t>
      </w:r>
      <w:r>
        <w:rPr>
          <w:spacing w:val="-1"/>
        </w:rPr>
        <w:t>its</w:t>
      </w:r>
      <w:r>
        <w:rPr>
          <w:spacing w:val="19"/>
        </w:rPr>
        <w:t xml:space="preserve"> </w:t>
      </w:r>
      <w:r>
        <w:rPr>
          <w:spacing w:val="-2"/>
        </w:rPr>
        <w:t>opinion</w:t>
      </w:r>
      <w:r>
        <w:rPr>
          <w:spacing w:val="18"/>
        </w:rPr>
        <w:t xml:space="preserve"> </w:t>
      </w:r>
      <w:r>
        <w:rPr>
          <w:spacing w:val="-1"/>
        </w:rPr>
        <w:t>has</w:t>
      </w:r>
      <w:r>
        <w:rPr>
          <w:spacing w:val="19"/>
        </w:rPr>
        <w:t xml:space="preserve"> </w:t>
      </w:r>
      <w:r>
        <w:rPr>
          <w:spacing w:val="-2"/>
        </w:rPr>
        <w:t>or</w:t>
      </w:r>
      <w:r>
        <w:rPr>
          <w:spacing w:val="17"/>
        </w:rPr>
        <w:t xml:space="preserve"> </w:t>
      </w:r>
      <w:r>
        <w:rPr>
          <w:spacing w:val="-2"/>
        </w:rPr>
        <w:t>will</w:t>
      </w:r>
      <w:r>
        <w:rPr>
          <w:spacing w:val="18"/>
        </w:rPr>
        <w:t xml:space="preserve"> </w:t>
      </w:r>
      <w:r>
        <w:rPr>
          <w:spacing w:val="-2"/>
        </w:rPr>
        <w:t>have</w:t>
      </w:r>
      <w:r>
        <w:rPr>
          <w:spacing w:val="18"/>
        </w:rPr>
        <w:t xml:space="preserve"> </w:t>
      </w:r>
      <w:r>
        <w:rPr>
          <w:spacing w:val="-1"/>
        </w:rPr>
        <w:t>such</w:t>
      </w:r>
      <w:r>
        <w:rPr>
          <w:spacing w:val="42"/>
        </w:rPr>
        <w:t xml:space="preserve"> </w:t>
      </w:r>
      <w:r>
        <w:rPr>
          <w:spacing w:val="-1"/>
        </w:rPr>
        <w:t>knowledge</w:t>
      </w:r>
      <w:r>
        <w:rPr>
          <w:spacing w:val="15"/>
        </w:rPr>
        <w:t xml:space="preserve"> </w:t>
      </w:r>
      <w:r>
        <w:rPr>
          <w:spacing w:val="-2"/>
        </w:rPr>
        <w:t>of</w:t>
      </w:r>
      <w:r>
        <w:rPr>
          <w:spacing w:val="19"/>
        </w:rPr>
        <w:t xml:space="preserve"> </w:t>
      </w:r>
      <w:r>
        <w:rPr>
          <w:spacing w:val="-1"/>
        </w:rPr>
        <w:t>any</w:t>
      </w:r>
      <w:r>
        <w:rPr>
          <w:spacing w:val="13"/>
        </w:rPr>
        <w:t xml:space="preserve"> </w:t>
      </w:r>
      <w:r>
        <w:rPr>
          <w:spacing w:val="-1"/>
        </w:rPr>
        <w:t>secret</w:t>
      </w:r>
      <w:r>
        <w:rPr>
          <w:spacing w:val="14"/>
        </w:rPr>
        <w:t xml:space="preserve"> </w:t>
      </w:r>
      <w:r>
        <w:rPr>
          <w:spacing w:val="-1"/>
        </w:rPr>
        <w:t>matter</w:t>
      </w:r>
      <w:r>
        <w:rPr>
          <w:spacing w:val="16"/>
        </w:rPr>
        <w:t xml:space="preserve"> </w:t>
      </w:r>
      <w:r>
        <w:rPr>
          <w:spacing w:val="-1"/>
        </w:rPr>
        <w:t>as</w:t>
      </w:r>
      <w:r>
        <w:rPr>
          <w:spacing w:val="15"/>
        </w:rPr>
        <w:t xml:space="preserve"> </w:t>
      </w:r>
      <w:r>
        <w:t>to</w:t>
      </w:r>
      <w:r>
        <w:rPr>
          <w:spacing w:val="15"/>
        </w:rPr>
        <w:t xml:space="preserve"> </w:t>
      </w:r>
      <w:r>
        <w:rPr>
          <w:spacing w:val="-1"/>
        </w:rPr>
        <w:t>appreciate</w:t>
      </w:r>
      <w:r>
        <w:rPr>
          <w:spacing w:val="12"/>
        </w:rPr>
        <w:t xml:space="preserve"> </w:t>
      </w:r>
      <w:r>
        <w:rPr>
          <w:spacing w:val="-1"/>
        </w:rPr>
        <w:t>its</w:t>
      </w:r>
      <w:r>
        <w:rPr>
          <w:spacing w:val="15"/>
        </w:rPr>
        <w:t xml:space="preserve"> </w:t>
      </w:r>
      <w:r>
        <w:rPr>
          <w:spacing w:val="-1"/>
        </w:rPr>
        <w:t>significance,</w:t>
      </w:r>
      <w:r>
        <w:rPr>
          <w:spacing w:val="49"/>
        </w:rPr>
        <w:t xml:space="preserve"> </w:t>
      </w:r>
      <w:r>
        <w:rPr>
          <w:spacing w:val="-1"/>
        </w:rPr>
        <w:t>under</w:t>
      </w:r>
      <w:r>
        <w:rPr>
          <w:spacing w:val="26"/>
        </w:rPr>
        <w:t xml:space="preserve"> </w:t>
      </w:r>
      <w:r>
        <w:t>a</w:t>
      </w:r>
      <w:r>
        <w:rPr>
          <w:spacing w:val="24"/>
        </w:rPr>
        <w:t xml:space="preserve"> </w:t>
      </w:r>
      <w:r>
        <w:rPr>
          <w:spacing w:val="-1"/>
        </w:rPr>
        <w:t>duty</w:t>
      </w:r>
      <w:r>
        <w:rPr>
          <w:spacing w:val="22"/>
        </w:rPr>
        <w:t xml:space="preserve"> </w:t>
      </w:r>
      <w:r>
        <w:t>to</w:t>
      </w:r>
      <w:r>
        <w:rPr>
          <w:spacing w:val="24"/>
        </w:rPr>
        <w:t xml:space="preserve"> </w:t>
      </w:r>
      <w:r>
        <w:t>the</w:t>
      </w:r>
      <w:r>
        <w:rPr>
          <w:spacing w:val="24"/>
        </w:rPr>
        <w:t xml:space="preserve"> </w:t>
      </w:r>
      <w:r>
        <w:rPr>
          <w:spacing w:val="-2"/>
        </w:rPr>
        <w:t>Supplier</w:t>
      </w:r>
      <w:r>
        <w:rPr>
          <w:spacing w:val="26"/>
        </w:rPr>
        <w:t xml:space="preserve"> </w:t>
      </w:r>
      <w:r>
        <w:t>to</w:t>
      </w:r>
      <w:r>
        <w:rPr>
          <w:spacing w:val="24"/>
        </w:rPr>
        <w:t xml:space="preserve"> </w:t>
      </w:r>
      <w:r>
        <w:rPr>
          <w:spacing w:val="-1"/>
        </w:rPr>
        <w:t>observe</w:t>
      </w:r>
      <w:r>
        <w:rPr>
          <w:spacing w:val="24"/>
        </w:rPr>
        <w:t xml:space="preserve"> </w:t>
      </w:r>
      <w:r>
        <w:t>the</w:t>
      </w:r>
      <w:r>
        <w:rPr>
          <w:spacing w:val="24"/>
        </w:rPr>
        <w:t xml:space="preserve"> </w:t>
      </w:r>
      <w:r>
        <w:rPr>
          <w:spacing w:val="-1"/>
        </w:rPr>
        <w:t>same</w:t>
      </w:r>
      <w:r>
        <w:rPr>
          <w:spacing w:val="24"/>
        </w:rPr>
        <w:t xml:space="preserve"> </w:t>
      </w:r>
      <w:r>
        <w:rPr>
          <w:spacing w:val="-1"/>
        </w:rPr>
        <w:t>obligations</w:t>
      </w:r>
      <w:r>
        <w:rPr>
          <w:spacing w:val="25"/>
        </w:rPr>
        <w:t xml:space="preserve"> </w:t>
      </w:r>
      <w:r>
        <w:rPr>
          <w:spacing w:val="-1"/>
        </w:rPr>
        <w:t>in</w:t>
      </w:r>
      <w:r>
        <w:rPr>
          <w:spacing w:val="37"/>
        </w:rPr>
        <w:t xml:space="preserve"> </w:t>
      </w:r>
      <w:r>
        <w:rPr>
          <w:spacing w:val="-1"/>
        </w:rPr>
        <w:t>relation</w:t>
      </w:r>
      <w:r>
        <w:rPr>
          <w:spacing w:val="3"/>
        </w:rPr>
        <w:t xml:space="preserve"> </w:t>
      </w:r>
      <w:r>
        <w:t>to</w:t>
      </w:r>
      <w:r>
        <w:rPr>
          <w:spacing w:val="3"/>
        </w:rPr>
        <w:t xml:space="preserve"> </w:t>
      </w:r>
      <w:r>
        <w:rPr>
          <w:spacing w:val="-1"/>
        </w:rPr>
        <w:t>that</w:t>
      </w:r>
      <w:r>
        <w:rPr>
          <w:spacing w:val="4"/>
        </w:rPr>
        <w:t xml:space="preserve"> </w:t>
      </w:r>
      <w:r>
        <w:rPr>
          <w:spacing w:val="-1"/>
        </w:rPr>
        <w:t>matter</w:t>
      </w:r>
      <w:r>
        <w:rPr>
          <w:spacing w:val="4"/>
        </w:rPr>
        <w:t xml:space="preserve"> </w:t>
      </w:r>
      <w:r>
        <w:rPr>
          <w:spacing w:val="-1"/>
        </w:rPr>
        <w:t>as</w:t>
      </w:r>
      <w:r>
        <w:rPr>
          <w:spacing w:val="1"/>
        </w:rPr>
        <w:t xml:space="preserve"> </w:t>
      </w:r>
      <w:r>
        <w:rPr>
          <w:spacing w:val="-1"/>
        </w:rPr>
        <w:t>are</w:t>
      </w:r>
      <w:r>
        <w:rPr>
          <w:spacing w:val="3"/>
        </w:rPr>
        <w:t xml:space="preserve"> </w:t>
      </w:r>
      <w:r>
        <w:rPr>
          <w:spacing w:val="-1"/>
        </w:rPr>
        <w:t>imposed</w:t>
      </w:r>
      <w:r>
        <w:rPr>
          <w:spacing w:val="3"/>
        </w:rPr>
        <w:t xml:space="preserve"> </w:t>
      </w:r>
      <w:r>
        <w:rPr>
          <w:spacing w:val="-1"/>
        </w:rPr>
        <w:t>on</w:t>
      </w:r>
      <w:r>
        <w:rPr>
          <w:spacing w:val="3"/>
        </w:rPr>
        <w:t xml:space="preserve"> </w:t>
      </w:r>
      <w:r>
        <w:t>the</w:t>
      </w:r>
      <w:r>
        <w:rPr>
          <w:spacing w:val="3"/>
        </w:rPr>
        <w:t xml:space="preserve"> </w:t>
      </w:r>
      <w:r>
        <w:rPr>
          <w:spacing w:val="-2"/>
        </w:rPr>
        <w:t>Supplier</w:t>
      </w:r>
      <w:r>
        <w:rPr>
          <w:spacing w:val="4"/>
        </w:rPr>
        <w:t xml:space="preserve"> </w:t>
      </w:r>
      <w:r>
        <w:rPr>
          <w:spacing w:val="-1"/>
        </w:rPr>
        <w:t>by</w:t>
      </w:r>
      <w:r>
        <w:rPr>
          <w:spacing w:val="3"/>
        </w:rPr>
        <w:t xml:space="preserve"> </w:t>
      </w:r>
      <w:r>
        <w:rPr>
          <w:spacing w:val="-1"/>
        </w:rPr>
        <w:t>Clauses</w:t>
      </w:r>
    </w:p>
    <w:p w:rsidR="008918FA" w:rsidRDefault="00E32C6B" w:rsidP="008918FA">
      <w:pPr>
        <w:pStyle w:val="BodyText"/>
        <w:spacing w:before="0"/>
        <w:ind w:left="2423" w:right="114" w:firstLine="0"/>
        <w:jc w:val="both"/>
      </w:pPr>
      <w:hyperlink w:anchor="_bookmark438" w:history="1">
        <w:r w:rsidR="008918FA">
          <w:rPr>
            <w:spacing w:val="-1"/>
          </w:rPr>
          <w:t>56.1</w:t>
        </w:r>
      </w:hyperlink>
      <w:r w:rsidR="008918FA">
        <w:rPr>
          <w:spacing w:val="8"/>
        </w:rPr>
        <w:t xml:space="preserve"> </w:t>
      </w:r>
      <w:r w:rsidR="008918FA">
        <w:rPr>
          <w:spacing w:val="-1"/>
        </w:rPr>
        <w:t>and</w:t>
      </w:r>
      <w:r w:rsidR="008918FA">
        <w:rPr>
          <w:spacing w:val="8"/>
        </w:rPr>
        <w:t xml:space="preserve"> </w:t>
      </w:r>
      <w:hyperlink w:anchor="_bookmark442" w:history="1">
        <w:r w:rsidR="008918FA">
          <w:rPr>
            <w:spacing w:val="-1"/>
          </w:rPr>
          <w:t>56.2</w:t>
        </w:r>
      </w:hyperlink>
      <w:r w:rsidR="008918FA">
        <w:rPr>
          <w:spacing w:val="8"/>
        </w:rPr>
        <w:t xml:space="preserve"> </w:t>
      </w:r>
      <w:r w:rsidR="008918FA">
        <w:rPr>
          <w:spacing w:val="-1"/>
        </w:rPr>
        <w:t>and</w:t>
      </w:r>
      <w:r w:rsidR="008918FA">
        <w:rPr>
          <w:spacing w:val="7"/>
        </w:rPr>
        <w:t xml:space="preserve"> </w:t>
      </w:r>
      <w:r w:rsidR="008918FA">
        <w:rPr>
          <w:spacing w:val="-1"/>
        </w:rPr>
        <w:t>shall,</w:t>
      </w:r>
      <w:r w:rsidR="008918FA">
        <w:rPr>
          <w:spacing w:val="9"/>
        </w:rPr>
        <w:t xml:space="preserve"> </w:t>
      </w:r>
      <w:r w:rsidR="008918FA">
        <w:rPr>
          <w:spacing w:val="-1"/>
        </w:rPr>
        <w:t>if</w:t>
      </w:r>
      <w:r w:rsidR="008918FA">
        <w:rPr>
          <w:spacing w:val="11"/>
        </w:rPr>
        <w:t xml:space="preserve"> </w:t>
      </w:r>
      <w:r w:rsidR="008918FA">
        <w:rPr>
          <w:spacing w:val="-1"/>
        </w:rPr>
        <w:t>directed</w:t>
      </w:r>
      <w:r w:rsidR="008918FA">
        <w:rPr>
          <w:spacing w:val="7"/>
        </w:rPr>
        <w:t xml:space="preserve"> </w:t>
      </w:r>
      <w:r w:rsidR="008918FA">
        <w:rPr>
          <w:spacing w:val="-1"/>
        </w:rPr>
        <w:t>by</w:t>
      </w:r>
      <w:r w:rsidR="008918FA">
        <w:rPr>
          <w:spacing w:val="5"/>
        </w:rPr>
        <w:t xml:space="preserve"> </w:t>
      </w:r>
      <w:r w:rsidR="008918FA">
        <w:t>the</w:t>
      </w:r>
      <w:r w:rsidR="008918FA">
        <w:rPr>
          <w:spacing w:val="7"/>
        </w:rPr>
        <w:t xml:space="preserve"> </w:t>
      </w:r>
      <w:r w:rsidR="008918FA">
        <w:rPr>
          <w:spacing w:val="-1"/>
        </w:rPr>
        <w:t>Customer,</w:t>
      </w:r>
      <w:r w:rsidR="008918FA">
        <w:rPr>
          <w:spacing w:val="9"/>
        </w:rPr>
        <w:t xml:space="preserve"> </w:t>
      </w:r>
      <w:r w:rsidR="008918FA">
        <w:rPr>
          <w:spacing w:val="-1"/>
        </w:rPr>
        <w:t>place</w:t>
      </w:r>
      <w:r w:rsidR="008918FA">
        <w:rPr>
          <w:spacing w:val="10"/>
        </w:rPr>
        <w:t xml:space="preserve"> </w:t>
      </w:r>
      <w:r w:rsidR="008918FA">
        <w:rPr>
          <w:spacing w:val="-1"/>
        </w:rPr>
        <w:t>every</w:t>
      </w:r>
      <w:r w:rsidR="008918FA">
        <w:rPr>
          <w:spacing w:val="25"/>
        </w:rPr>
        <w:t xml:space="preserve"> </w:t>
      </w:r>
      <w:r w:rsidR="008918FA">
        <w:rPr>
          <w:spacing w:val="-1"/>
        </w:rPr>
        <w:t>person</w:t>
      </w:r>
      <w:r w:rsidR="008918FA">
        <w:rPr>
          <w:spacing w:val="34"/>
        </w:rPr>
        <w:t xml:space="preserve"> </w:t>
      </w:r>
      <w:r w:rsidR="008918FA">
        <w:rPr>
          <w:spacing w:val="-2"/>
        </w:rPr>
        <w:t>who</w:t>
      </w:r>
      <w:r w:rsidR="008918FA">
        <w:rPr>
          <w:spacing w:val="36"/>
        </w:rPr>
        <w:t xml:space="preserve"> </w:t>
      </w:r>
      <w:r w:rsidR="008918FA">
        <w:rPr>
          <w:spacing w:val="-1"/>
        </w:rPr>
        <w:t>is</w:t>
      </w:r>
      <w:r w:rsidR="008918FA">
        <w:rPr>
          <w:spacing w:val="34"/>
        </w:rPr>
        <w:t xml:space="preserve"> </w:t>
      </w:r>
      <w:r w:rsidR="008918FA">
        <w:rPr>
          <w:spacing w:val="-1"/>
        </w:rPr>
        <w:t>specified</w:t>
      </w:r>
      <w:r w:rsidR="008918FA">
        <w:rPr>
          <w:spacing w:val="34"/>
        </w:rPr>
        <w:t xml:space="preserve"> </w:t>
      </w:r>
      <w:r w:rsidR="008918FA">
        <w:rPr>
          <w:spacing w:val="-1"/>
        </w:rPr>
        <w:t>in</w:t>
      </w:r>
      <w:r w:rsidR="008918FA">
        <w:rPr>
          <w:spacing w:val="34"/>
        </w:rPr>
        <w:t xml:space="preserve"> </w:t>
      </w:r>
      <w:r w:rsidR="008918FA">
        <w:t>the</w:t>
      </w:r>
      <w:r w:rsidR="008918FA">
        <w:rPr>
          <w:spacing w:val="34"/>
        </w:rPr>
        <w:t xml:space="preserve"> </w:t>
      </w:r>
      <w:r w:rsidR="008918FA">
        <w:rPr>
          <w:spacing w:val="-1"/>
        </w:rPr>
        <w:t>direction</w:t>
      </w:r>
      <w:r w:rsidR="008918FA">
        <w:rPr>
          <w:spacing w:val="35"/>
        </w:rPr>
        <w:t xml:space="preserve"> </w:t>
      </w:r>
      <w:r w:rsidR="008918FA">
        <w:rPr>
          <w:spacing w:val="-1"/>
        </w:rPr>
        <w:t>or</w:t>
      </w:r>
      <w:r w:rsidR="008918FA">
        <w:rPr>
          <w:spacing w:val="35"/>
        </w:rPr>
        <w:t xml:space="preserve"> </w:t>
      </w:r>
      <w:r w:rsidR="008918FA">
        <w:rPr>
          <w:spacing w:val="-1"/>
        </w:rPr>
        <w:t>is</w:t>
      </w:r>
      <w:r w:rsidR="008918FA">
        <w:rPr>
          <w:spacing w:val="37"/>
        </w:rPr>
        <w:t xml:space="preserve"> </w:t>
      </w:r>
      <w:r w:rsidR="008918FA">
        <w:rPr>
          <w:spacing w:val="-1"/>
        </w:rPr>
        <w:t>one</w:t>
      </w:r>
      <w:r w:rsidR="008918FA">
        <w:rPr>
          <w:spacing w:val="34"/>
        </w:rPr>
        <w:t xml:space="preserve"> </w:t>
      </w:r>
      <w:r w:rsidR="008918FA">
        <w:rPr>
          <w:spacing w:val="-1"/>
        </w:rPr>
        <w:t>of</w:t>
      </w:r>
      <w:r w:rsidR="008918FA">
        <w:rPr>
          <w:spacing w:val="38"/>
        </w:rPr>
        <w:t xml:space="preserve"> </w:t>
      </w:r>
      <w:r w:rsidR="008918FA">
        <w:t>a</w:t>
      </w:r>
      <w:r w:rsidR="008918FA">
        <w:rPr>
          <w:spacing w:val="34"/>
        </w:rPr>
        <w:t xml:space="preserve"> </w:t>
      </w:r>
      <w:r w:rsidR="008918FA">
        <w:rPr>
          <w:spacing w:val="-1"/>
        </w:rPr>
        <w:t>class</w:t>
      </w:r>
      <w:r w:rsidR="008918FA">
        <w:rPr>
          <w:spacing w:val="36"/>
        </w:rPr>
        <w:t xml:space="preserve"> </w:t>
      </w:r>
      <w:r w:rsidR="008918FA">
        <w:rPr>
          <w:spacing w:val="-2"/>
        </w:rPr>
        <w:t>of</w:t>
      </w:r>
      <w:r w:rsidR="008918FA">
        <w:rPr>
          <w:spacing w:val="33"/>
        </w:rPr>
        <w:t xml:space="preserve"> </w:t>
      </w:r>
      <w:r w:rsidR="008918FA">
        <w:rPr>
          <w:spacing w:val="-1"/>
        </w:rPr>
        <w:t>people</w:t>
      </w:r>
      <w:r w:rsidR="008918FA">
        <w:rPr>
          <w:spacing w:val="22"/>
        </w:rPr>
        <w:t xml:space="preserve"> </w:t>
      </w:r>
      <w:r w:rsidR="008918FA">
        <w:rPr>
          <w:spacing w:val="-1"/>
        </w:rPr>
        <w:t>so</w:t>
      </w:r>
      <w:r w:rsidR="008918FA">
        <w:rPr>
          <w:spacing w:val="22"/>
        </w:rPr>
        <w:t xml:space="preserve"> </w:t>
      </w:r>
      <w:r w:rsidR="008918FA">
        <w:rPr>
          <w:spacing w:val="-1"/>
        </w:rPr>
        <w:t>specified,</w:t>
      </w:r>
      <w:r w:rsidR="008918FA">
        <w:rPr>
          <w:spacing w:val="23"/>
        </w:rPr>
        <w:t xml:space="preserve"> </w:t>
      </w:r>
      <w:r w:rsidR="008918FA">
        <w:rPr>
          <w:spacing w:val="-2"/>
        </w:rPr>
        <w:t>under</w:t>
      </w:r>
      <w:r w:rsidR="008918FA">
        <w:rPr>
          <w:spacing w:val="23"/>
        </w:rPr>
        <w:t xml:space="preserve"> </w:t>
      </w:r>
      <w:r w:rsidR="008918FA">
        <w:t>the</w:t>
      </w:r>
      <w:r w:rsidR="008918FA">
        <w:rPr>
          <w:spacing w:val="22"/>
        </w:rPr>
        <w:t xml:space="preserve"> </w:t>
      </w:r>
      <w:r w:rsidR="008918FA">
        <w:rPr>
          <w:spacing w:val="-1"/>
        </w:rPr>
        <w:t>like</w:t>
      </w:r>
      <w:r w:rsidR="008918FA">
        <w:rPr>
          <w:spacing w:val="22"/>
        </w:rPr>
        <w:t xml:space="preserve"> </w:t>
      </w:r>
      <w:r w:rsidR="008918FA">
        <w:rPr>
          <w:spacing w:val="-1"/>
        </w:rPr>
        <w:t>duty</w:t>
      </w:r>
      <w:r w:rsidR="008918FA">
        <w:rPr>
          <w:spacing w:val="20"/>
        </w:rPr>
        <w:t xml:space="preserve"> </w:t>
      </w:r>
      <w:r w:rsidR="008918FA">
        <w:rPr>
          <w:spacing w:val="-1"/>
        </w:rPr>
        <w:t>in</w:t>
      </w:r>
      <w:r w:rsidR="008918FA">
        <w:rPr>
          <w:spacing w:val="22"/>
        </w:rPr>
        <w:t xml:space="preserve"> </w:t>
      </w:r>
      <w:r w:rsidR="008918FA">
        <w:rPr>
          <w:spacing w:val="-1"/>
        </w:rPr>
        <w:t>relation</w:t>
      </w:r>
      <w:r w:rsidR="008918FA">
        <w:rPr>
          <w:spacing w:val="22"/>
        </w:rPr>
        <w:t xml:space="preserve"> </w:t>
      </w:r>
      <w:r w:rsidR="008918FA">
        <w:t>to</w:t>
      </w:r>
      <w:r w:rsidR="008918FA">
        <w:rPr>
          <w:spacing w:val="22"/>
        </w:rPr>
        <w:t xml:space="preserve"> </w:t>
      </w:r>
      <w:r w:rsidR="008918FA">
        <w:rPr>
          <w:spacing w:val="-1"/>
        </w:rPr>
        <w:t>any</w:t>
      </w:r>
      <w:r w:rsidR="008918FA">
        <w:rPr>
          <w:spacing w:val="20"/>
        </w:rPr>
        <w:t xml:space="preserve"> </w:t>
      </w:r>
      <w:r w:rsidR="008918FA">
        <w:rPr>
          <w:spacing w:val="-1"/>
        </w:rPr>
        <w:t>secret</w:t>
      </w:r>
      <w:r w:rsidR="008918FA">
        <w:rPr>
          <w:spacing w:val="31"/>
        </w:rPr>
        <w:t xml:space="preserve"> </w:t>
      </w:r>
      <w:r w:rsidR="008918FA">
        <w:rPr>
          <w:spacing w:val="-1"/>
        </w:rPr>
        <w:t>matter</w:t>
      </w:r>
      <w:r w:rsidR="008918FA">
        <w:rPr>
          <w:spacing w:val="38"/>
        </w:rPr>
        <w:t xml:space="preserve"> </w:t>
      </w:r>
      <w:r w:rsidR="008918FA">
        <w:rPr>
          <w:spacing w:val="-2"/>
        </w:rPr>
        <w:t>which</w:t>
      </w:r>
      <w:r w:rsidR="008918FA">
        <w:rPr>
          <w:spacing w:val="37"/>
        </w:rPr>
        <w:t xml:space="preserve"> </w:t>
      </w:r>
      <w:r w:rsidR="008918FA">
        <w:rPr>
          <w:spacing w:val="-1"/>
        </w:rPr>
        <w:t>may</w:t>
      </w:r>
      <w:r w:rsidR="008918FA">
        <w:rPr>
          <w:spacing w:val="34"/>
        </w:rPr>
        <w:t xml:space="preserve"> </w:t>
      </w:r>
      <w:r w:rsidR="008918FA">
        <w:rPr>
          <w:spacing w:val="-1"/>
        </w:rPr>
        <w:t>be</w:t>
      </w:r>
      <w:r w:rsidR="008918FA">
        <w:rPr>
          <w:spacing w:val="36"/>
        </w:rPr>
        <w:t xml:space="preserve"> </w:t>
      </w:r>
      <w:r w:rsidR="008918FA">
        <w:rPr>
          <w:spacing w:val="-1"/>
        </w:rPr>
        <w:t>specified</w:t>
      </w:r>
      <w:r w:rsidR="008918FA">
        <w:rPr>
          <w:spacing w:val="36"/>
        </w:rPr>
        <w:t xml:space="preserve"> </w:t>
      </w:r>
      <w:r w:rsidR="008918FA">
        <w:rPr>
          <w:spacing w:val="-1"/>
        </w:rPr>
        <w:t>in</w:t>
      </w:r>
      <w:r w:rsidR="008918FA">
        <w:rPr>
          <w:spacing w:val="34"/>
        </w:rPr>
        <w:t xml:space="preserve"> </w:t>
      </w:r>
      <w:r w:rsidR="008918FA">
        <w:t>the</w:t>
      </w:r>
      <w:r w:rsidR="008918FA">
        <w:rPr>
          <w:spacing w:val="37"/>
        </w:rPr>
        <w:t xml:space="preserve"> </w:t>
      </w:r>
      <w:r w:rsidR="008918FA">
        <w:rPr>
          <w:spacing w:val="-1"/>
        </w:rPr>
        <w:t>direction,</w:t>
      </w:r>
      <w:r w:rsidR="008918FA">
        <w:rPr>
          <w:spacing w:val="35"/>
        </w:rPr>
        <w:t xml:space="preserve"> </w:t>
      </w:r>
      <w:r w:rsidR="008918FA">
        <w:rPr>
          <w:spacing w:val="-1"/>
        </w:rPr>
        <w:t>and</w:t>
      </w:r>
      <w:r w:rsidR="008918FA">
        <w:rPr>
          <w:spacing w:val="36"/>
        </w:rPr>
        <w:t xml:space="preserve"> </w:t>
      </w:r>
      <w:r w:rsidR="008918FA">
        <w:rPr>
          <w:spacing w:val="-1"/>
        </w:rPr>
        <w:t>shall</w:t>
      </w:r>
      <w:r w:rsidR="008918FA">
        <w:rPr>
          <w:spacing w:val="36"/>
        </w:rPr>
        <w:t xml:space="preserve"> </w:t>
      </w:r>
      <w:r w:rsidR="008918FA">
        <w:rPr>
          <w:spacing w:val="-1"/>
        </w:rPr>
        <w:t>at</w:t>
      </w:r>
      <w:r w:rsidR="008918FA">
        <w:rPr>
          <w:spacing w:val="38"/>
        </w:rPr>
        <w:t xml:space="preserve"> </w:t>
      </w:r>
      <w:r w:rsidR="008918FA">
        <w:rPr>
          <w:spacing w:val="-1"/>
        </w:rPr>
        <w:t>all</w:t>
      </w:r>
      <w:r w:rsidR="008918FA">
        <w:rPr>
          <w:spacing w:val="27"/>
        </w:rPr>
        <w:t xml:space="preserve"> </w:t>
      </w:r>
      <w:r w:rsidR="008918FA">
        <w:rPr>
          <w:spacing w:val="-1"/>
        </w:rPr>
        <w:t>times</w:t>
      </w:r>
      <w:r w:rsidR="008918FA">
        <w:rPr>
          <w:spacing w:val="18"/>
        </w:rPr>
        <w:t xml:space="preserve"> </w:t>
      </w:r>
      <w:r w:rsidR="008918FA">
        <w:rPr>
          <w:spacing w:val="-1"/>
        </w:rPr>
        <w:t>use</w:t>
      </w:r>
      <w:r w:rsidR="008918FA">
        <w:rPr>
          <w:spacing w:val="18"/>
        </w:rPr>
        <w:t xml:space="preserve"> </w:t>
      </w:r>
      <w:r w:rsidR="008918FA">
        <w:rPr>
          <w:spacing w:val="-1"/>
        </w:rPr>
        <w:t>its</w:t>
      </w:r>
      <w:r w:rsidR="008918FA">
        <w:rPr>
          <w:spacing w:val="18"/>
        </w:rPr>
        <w:t xml:space="preserve"> </w:t>
      </w:r>
      <w:r w:rsidR="008918FA">
        <w:rPr>
          <w:spacing w:val="-2"/>
        </w:rPr>
        <w:t>best</w:t>
      </w:r>
      <w:r w:rsidR="008918FA">
        <w:rPr>
          <w:spacing w:val="19"/>
        </w:rPr>
        <w:t xml:space="preserve"> </w:t>
      </w:r>
      <w:r w:rsidR="008918FA">
        <w:rPr>
          <w:spacing w:val="-2"/>
        </w:rPr>
        <w:t>endeavours</w:t>
      </w:r>
      <w:r w:rsidR="008918FA">
        <w:rPr>
          <w:spacing w:val="18"/>
        </w:rPr>
        <w:t xml:space="preserve"> </w:t>
      </w:r>
      <w:r w:rsidR="008918FA">
        <w:t>to</w:t>
      </w:r>
      <w:r w:rsidR="008918FA">
        <w:rPr>
          <w:spacing w:val="17"/>
        </w:rPr>
        <w:t xml:space="preserve"> </w:t>
      </w:r>
      <w:r w:rsidR="008918FA">
        <w:rPr>
          <w:spacing w:val="-1"/>
        </w:rPr>
        <w:t>ensure</w:t>
      </w:r>
      <w:r w:rsidR="008918FA">
        <w:rPr>
          <w:spacing w:val="17"/>
        </w:rPr>
        <w:t xml:space="preserve"> </w:t>
      </w:r>
      <w:r w:rsidR="008918FA">
        <w:rPr>
          <w:spacing w:val="-1"/>
        </w:rPr>
        <w:t>that</w:t>
      </w:r>
      <w:r w:rsidR="008918FA">
        <w:rPr>
          <w:spacing w:val="19"/>
        </w:rPr>
        <w:t xml:space="preserve"> </w:t>
      </w:r>
      <w:r w:rsidR="008918FA">
        <w:rPr>
          <w:spacing w:val="-1"/>
        </w:rPr>
        <w:t>every</w:t>
      </w:r>
      <w:r w:rsidR="008918FA">
        <w:rPr>
          <w:spacing w:val="15"/>
        </w:rPr>
        <w:t xml:space="preserve"> </w:t>
      </w:r>
      <w:r w:rsidR="008918FA">
        <w:rPr>
          <w:spacing w:val="-1"/>
        </w:rPr>
        <w:t>person</w:t>
      </w:r>
      <w:r w:rsidR="008918FA">
        <w:rPr>
          <w:spacing w:val="17"/>
        </w:rPr>
        <w:t xml:space="preserve"> </w:t>
      </w:r>
      <w:r w:rsidR="008918FA">
        <w:rPr>
          <w:spacing w:val="-1"/>
        </w:rPr>
        <w:t>upon</w:t>
      </w:r>
      <w:r w:rsidR="008918FA">
        <w:rPr>
          <w:spacing w:val="50"/>
        </w:rPr>
        <w:t xml:space="preserve"> </w:t>
      </w:r>
      <w:r w:rsidR="008918FA">
        <w:rPr>
          <w:spacing w:val="-2"/>
        </w:rPr>
        <w:t>whom</w:t>
      </w:r>
      <w:r w:rsidR="008918FA">
        <w:rPr>
          <w:spacing w:val="29"/>
        </w:rPr>
        <w:t xml:space="preserve"> </w:t>
      </w:r>
      <w:r w:rsidR="008918FA">
        <w:rPr>
          <w:spacing w:val="-1"/>
        </w:rPr>
        <w:t>obligations</w:t>
      </w:r>
      <w:r w:rsidR="008918FA">
        <w:rPr>
          <w:spacing w:val="28"/>
        </w:rPr>
        <w:t xml:space="preserve"> </w:t>
      </w:r>
      <w:r w:rsidR="008918FA">
        <w:rPr>
          <w:spacing w:val="-1"/>
        </w:rPr>
        <w:t>are</w:t>
      </w:r>
      <w:r w:rsidR="008918FA">
        <w:rPr>
          <w:spacing w:val="28"/>
        </w:rPr>
        <w:t xml:space="preserve"> </w:t>
      </w:r>
      <w:r w:rsidR="008918FA">
        <w:rPr>
          <w:spacing w:val="-1"/>
        </w:rPr>
        <w:t>imposed</w:t>
      </w:r>
      <w:r w:rsidR="008918FA">
        <w:rPr>
          <w:spacing w:val="28"/>
        </w:rPr>
        <w:t xml:space="preserve"> </w:t>
      </w:r>
      <w:r w:rsidR="008918FA">
        <w:rPr>
          <w:spacing w:val="-1"/>
        </w:rPr>
        <w:t>by</w:t>
      </w:r>
      <w:r w:rsidR="008918FA">
        <w:rPr>
          <w:spacing w:val="28"/>
        </w:rPr>
        <w:t xml:space="preserve"> </w:t>
      </w:r>
      <w:r w:rsidR="008918FA">
        <w:rPr>
          <w:spacing w:val="-1"/>
        </w:rPr>
        <w:t>virtue</w:t>
      </w:r>
      <w:r w:rsidR="008918FA">
        <w:rPr>
          <w:spacing w:val="28"/>
        </w:rPr>
        <w:t xml:space="preserve"> </w:t>
      </w:r>
      <w:r w:rsidR="008918FA">
        <w:rPr>
          <w:spacing w:val="-1"/>
        </w:rPr>
        <w:t>of</w:t>
      </w:r>
      <w:r w:rsidR="008918FA">
        <w:rPr>
          <w:spacing w:val="32"/>
        </w:rPr>
        <w:t xml:space="preserve"> </w:t>
      </w:r>
      <w:r w:rsidR="008918FA">
        <w:rPr>
          <w:spacing w:val="-2"/>
        </w:rPr>
        <w:t>this</w:t>
      </w:r>
      <w:r w:rsidR="008918FA">
        <w:rPr>
          <w:spacing w:val="28"/>
        </w:rPr>
        <w:t xml:space="preserve"> </w:t>
      </w:r>
      <w:r w:rsidR="008918FA">
        <w:rPr>
          <w:spacing w:val="-2"/>
        </w:rPr>
        <w:t>Clause</w:t>
      </w:r>
      <w:r w:rsidR="008918FA">
        <w:rPr>
          <w:spacing w:val="31"/>
        </w:rPr>
        <w:t xml:space="preserve"> </w:t>
      </w:r>
      <w:r w:rsidR="008918FA">
        <w:rPr>
          <w:spacing w:val="-1"/>
        </w:rPr>
        <w:t>57</w:t>
      </w:r>
      <w:r w:rsidR="008918FA">
        <w:rPr>
          <w:spacing w:val="46"/>
        </w:rPr>
        <w:t xml:space="preserve"> </w:t>
      </w:r>
      <w:r w:rsidR="008918FA">
        <w:rPr>
          <w:spacing w:val="-1"/>
        </w:rPr>
        <w:t>observes</w:t>
      </w:r>
      <w:r w:rsidR="008918FA">
        <w:rPr>
          <w:spacing w:val="34"/>
        </w:rPr>
        <w:t xml:space="preserve"> </w:t>
      </w:r>
      <w:r w:rsidR="008918FA">
        <w:t>the</w:t>
      </w:r>
      <w:r w:rsidR="008918FA">
        <w:rPr>
          <w:spacing w:val="34"/>
        </w:rPr>
        <w:t xml:space="preserve"> </w:t>
      </w:r>
      <w:r w:rsidR="008918FA">
        <w:rPr>
          <w:spacing w:val="-1"/>
        </w:rPr>
        <w:t>said</w:t>
      </w:r>
      <w:r w:rsidR="008918FA">
        <w:rPr>
          <w:spacing w:val="34"/>
        </w:rPr>
        <w:t xml:space="preserve"> </w:t>
      </w:r>
      <w:r w:rsidR="008918FA">
        <w:rPr>
          <w:spacing w:val="-1"/>
        </w:rPr>
        <w:t>obligations,</w:t>
      </w:r>
      <w:r w:rsidR="008918FA">
        <w:rPr>
          <w:spacing w:val="36"/>
        </w:rPr>
        <w:t xml:space="preserve"> </w:t>
      </w:r>
      <w:r w:rsidR="008918FA">
        <w:rPr>
          <w:spacing w:val="-1"/>
        </w:rPr>
        <w:t>and</w:t>
      </w:r>
      <w:r w:rsidR="008918FA">
        <w:rPr>
          <w:spacing w:val="34"/>
        </w:rPr>
        <w:t xml:space="preserve"> </w:t>
      </w:r>
      <w:r w:rsidR="008918FA">
        <w:t>the</w:t>
      </w:r>
      <w:r w:rsidR="008918FA">
        <w:rPr>
          <w:spacing w:val="34"/>
        </w:rPr>
        <w:t xml:space="preserve"> </w:t>
      </w:r>
      <w:r w:rsidR="008918FA">
        <w:rPr>
          <w:spacing w:val="-2"/>
        </w:rPr>
        <w:t>Supplier</w:t>
      </w:r>
      <w:r w:rsidR="008918FA">
        <w:rPr>
          <w:spacing w:val="36"/>
        </w:rPr>
        <w:t xml:space="preserve"> </w:t>
      </w:r>
      <w:r w:rsidR="008918FA">
        <w:rPr>
          <w:spacing w:val="-1"/>
        </w:rPr>
        <w:t>shall</w:t>
      </w:r>
      <w:r w:rsidR="008918FA">
        <w:rPr>
          <w:spacing w:val="33"/>
        </w:rPr>
        <w:t xml:space="preserve"> </w:t>
      </w:r>
      <w:r w:rsidR="008918FA">
        <w:rPr>
          <w:spacing w:val="-1"/>
        </w:rPr>
        <w:t>give</w:t>
      </w:r>
      <w:r w:rsidR="008918FA">
        <w:rPr>
          <w:spacing w:val="34"/>
        </w:rPr>
        <w:t xml:space="preserve"> </w:t>
      </w:r>
      <w:r w:rsidR="008918FA">
        <w:rPr>
          <w:spacing w:val="-1"/>
        </w:rPr>
        <w:t>such</w:t>
      </w:r>
      <w:r w:rsidR="008918FA">
        <w:rPr>
          <w:spacing w:val="32"/>
        </w:rPr>
        <w:t xml:space="preserve"> </w:t>
      </w:r>
      <w:r w:rsidR="008918FA">
        <w:rPr>
          <w:spacing w:val="-1"/>
        </w:rPr>
        <w:t>instructions</w:t>
      </w:r>
      <w:r w:rsidR="008918FA">
        <w:rPr>
          <w:spacing w:val="56"/>
        </w:rPr>
        <w:t xml:space="preserve"> </w:t>
      </w:r>
      <w:r w:rsidR="008918FA">
        <w:rPr>
          <w:spacing w:val="-1"/>
        </w:rPr>
        <w:t>and</w:t>
      </w:r>
      <w:r w:rsidR="008918FA">
        <w:rPr>
          <w:spacing w:val="55"/>
        </w:rPr>
        <w:t xml:space="preserve"> </w:t>
      </w:r>
      <w:r w:rsidR="008918FA">
        <w:rPr>
          <w:spacing w:val="-1"/>
        </w:rPr>
        <w:t>information</w:t>
      </w:r>
      <w:r w:rsidR="008918FA">
        <w:rPr>
          <w:spacing w:val="55"/>
        </w:rPr>
        <w:t xml:space="preserve"> </w:t>
      </w:r>
      <w:r w:rsidR="008918FA">
        <w:t>to</w:t>
      </w:r>
      <w:r w:rsidR="008918FA">
        <w:rPr>
          <w:spacing w:val="55"/>
        </w:rPr>
        <w:t xml:space="preserve"> </w:t>
      </w:r>
      <w:r w:rsidR="008918FA">
        <w:rPr>
          <w:spacing w:val="-1"/>
        </w:rPr>
        <w:t>every</w:t>
      </w:r>
      <w:r w:rsidR="008918FA">
        <w:rPr>
          <w:spacing w:val="53"/>
        </w:rPr>
        <w:t xml:space="preserve"> </w:t>
      </w:r>
      <w:r w:rsidR="008918FA">
        <w:rPr>
          <w:spacing w:val="-1"/>
        </w:rPr>
        <w:t>such</w:t>
      </w:r>
      <w:r w:rsidR="008918FA">
        <w:rPr>
          <w:spacing w:val="56"/>
        </w:rPr>
        <w:t xml:space="preserve"> </w:t>
      </w:r>
      <w:r w:rsidR="008918FA">
        <w:rPr>
          <w:spacing w:val="-1"/>
        </w:rPr>
        <w:t>person</w:t>
      </w:r>
      <w:r w:rsidR="008918FA">
        <w:rPr>
          <w:spacing w:val="56"/>
        </w:rPr>
        <w:t xml:space="preserve"> </w:t>
      </w:r>
      <w:r w:rsidR="008918FA">
        <w:rPr>
          <w:spacing w:val="-1"/>
        </w:rPr>
        <w:t>as</w:t>
      </w:r>
      <w:r w:rsidR="008918FA">
        <w:rPr>
          <w:spacing w:val="56"/>
        </w:rPr>
        <w:t xml:space="preserve"> </w:t>
      </w:r>
      <w:r w:rsidR="008918FA">
        <w:rPr>
          <w:spacing w:val="-1"/>
        </w:rPr>
        <w:t>may</w:t>
      </w:r>
      <w:r w:rsidR="008918FA">
        <w:rPr>
          <w:spacing w:val="53"/>
        </w:rPr>
        <w:t xml:space="preserve"> </w:t>
      </w:r>
      <w:r w:rsidR="008918FA">
        <w:rPr>
          <w:spacing w:val="-1"/>
        </w:rPr>
        <w:t>be</w:t>
      </w:r>
      <w:r w:rsidR="008918FA">
        <w:rPr>
          <w:spacing w:val="34"/>
        </w:rPr>
        <w:t xml:space="preserve"> </w:t>
      </w:r>
      <w:r w:rsidR="008918FA">
        <w:rPr>
          <w:spacing w:val="-1"/>
        </w:rPr>
        <w:t>necessary</w:t>
      </w:r>
      <w:r w:rsidR="008918FA">
        <w:rPr>
          <w:spacing w:val="5"/>
        </w:rPr>
        <w:t xml:space="preserve"> </w:t>
      </w:r>
      <w:r w:rsidR="008918FA">
        <w:t>for</w:t>
      </w:r>
      <w:r w:rsidR="008918FA">
        <w:rPr>
          <w:spacing w:val="9"/>
        </w:rPr>
        <w:t xml:space="preserve"> </w:t>
      </w:r>
      <w:r w:rsidR="008918FA">
        <w:rPr>
          <w:spacing w:val="-1"/>
        </w:rPr>
        <w:t>that</w:t>
      </w:r>
      <w:r w:rsidR="008918FA">
        <w:rPr>
          <w:spacing w:val="11"/>
        </w:rPr>
        <w:t xml:space="preserve"> </w:t>
      </w:r>
      <w:r w:rsidR="008918FA">
        <w:rPr>
          <w:spacing w:val="-1"/>
        </w:rPr>
        <w:t>purpose,</w:t>
      </w:r>
      <w:r w:rsidR="008918FA">
        <w:rPr>
          <w:spacing w:val="11"/>
        </w:rPr>
        <w:t xml:space="preserve"> </w:t>
      </w:r>
      <w:r w:rsidR="008918FA">
        <w:rPr>
          <w:spacing w:val="-1"/>
        </w:rPr>
        <w:t>and</w:t>
      </w:r>
      <w:r w:rsidR="008918FA">
        <w:rPr>
          <w:spacing w:val="8"/>
        </w:rPr>
        <w:t xml:space="preserve"> </w:t>
      </w:r>
      <w:r w:rsidR="008918FA">
        <w:rPr>
          <w:spacing w:val="-1"/>
        </w:rPr>
        <w:t>shall,</w:t>
      </w:r>
      <w:r w:rsidR="008918FA">
        <w:rPr>
          <w:spacing w:val="11"/>
        </w:rPr>
        <w:t xml:space="preserve"> </w:t>
      </w:r>
      <w:r w:rsidR="008918FA">
        <w:rPr>
          <w:spacing w:val="-1"/>
        </w:rPr>
        <w:t>immediately</w:t>
      </w:r>
      <w:r w:rsidR="008918FA">
        <w:rPr>
          <w:spacing w:val="8"/>
        </w:rPr>
        <w:t xml:space="preserve"> </w:t>
      </w:r>
      <w:r w:rsidR="008918FA">
        <w:rPr>
          <w:spacing w:val="-1"/>
        </w:rPr>
        <w:t>upon</w:t>
      </w:r>
      <w:r w:rsidR="008918FA">
        <w:rPr>
          <w:spacing w:val="29"/>
        </w:rPr>
        <w:t xml:space="preserve"> </w:t>
      </w:r>
      <w:r w:rsidR="008918FA">
        <w:rPr>
          <w:spacing w:val="-1"/>
        </w:rPr>
        <w:t>becoming</w:t>
      </w:r>
      <w:r w:rsidR="008918FA">
        <w:rPr>
          <w:spacing w:val="30"/>
        </w:rPr>
        <w:t xml:space="preserve"> </w:t>
      </w:r>
      <w:r w:rsidR="008918FA">
        <w:rPr>
          <w:spacing w:val="-2"/>
        </w:rPr>
        <w:t>aware</w:t>
      </w:r>
      <w:r w:rsidR="008918FA">
        <w:rPr>
          <w:spacing w:val="27"/>
        </w:rPr>
        <w:t xml:space="preserve"> </w:t>
      </w:r>
      <w:r w:rsidR="008918FA">
        <w:rPr>
          <w:spacing w:val="-1"/>
        </w:rPr>
        <w:t>of</w:t>
      </w:r>
      <w:r w:rsidR="008918FA">
        <w:rPr>
          <w:spacing w:val="30"/>
        </w:rPr>
        <w:t xml:space="preserve"> </w:t>
      </w:r>
      <w:r w:rsidR="008918FA">
        <w:rPr>
          <w:spacing w:val="-1"/>
        </w:rPr>
        <w:t>any</w:t>
      </w:r>
      <w:r w:rsidR="008918FA">
        <w:rPr>
          <w:spacing w:val="27"/>
        </w:rPr>
        <w:t xml:space="preserve"> </w:t>
      </w:r>
      <w:r w:rsidR="008918FA">
        <w:rPr>
          <w:spacing w:val="-1"/>
        </w:rPr>
        <w:t>act</w:t>
      </w:r>
      <w:r w:rsidR="008918FA">
        <w:rPr>
          <w:spacing w:val="29"/>
        </w:rPr>
        <w:t xml:space="preserve"> </w:t>
      </w:r>
      <w:r w:rsidR="008918FA">
        <w:rPr>
          <w:spacing w:val="-1"/>
        </w:rPr>
        <w:t>or</w:t>
      </w:r>
      <w:r w:rsidR="008918FA">
        <w:rPr>
          <w:spacing w:val="28"/>
        </w:rPr>
        <w:t xml:space="preserve"> </w:t>
      </w:r>
      <w:r w:rsidR="008918FA">
        <w:rPr>
          <w:spacing w:val="-1"/>
        </w:rPr>
        <w:t>omission</w:t>
      </w:r>
      <w:r w:rsidR="008918FA">
        <w:rPr>
          <w:spacing w:val="27"/>
        </w:rPr>
        <w:t xml:space="preserve"> </w:t>
      </w:r>
      <w:r w:rsidR="008918FA">
        <w:rPr>
          <w:spacing w:val="-2"/>
        </w:rPr>
        <w:t>which</w:t>
      </w:r>
      <w:r w:rsidR="008918FA">
        <w:rPr>
          <w:spacing w:val="30"/>
        </w:rPr>
        <w:t xml:space="preserve"> </w:t>
      </w:r>
      <w:r w:rsidR="008918FA">
        <w:rPr>
          <w:spacing w:val="-1"/>
        </w:rPr>
        <w:t>is</w:t>
      </w:r>
      <w:r w:rsidR="008918FA">
        <w:rPr>
          <w:spacing w:val="30"/>
        </w:rPr>
        <w:t xml:space="preserve"> </w:t>
      </w:r>
      <w:r w:rsidR="008918FA">
        <w:rPr>
          <w:spacing w:val="-1"/>
        </w:rPr>
        <w:t>or</w:t>
      </w:r>
      <w:r w:rsidR="008918FA">
        <w:rPr>
          <w:spacing w:val="30"/>
        </w:rPr>
        <w:t xml:space="preserve"> </w:t>
      </w:r>
      <w:r w:rsidR="008918FA">
        <w:rPr>
          <w:spacing w:val="-2"/>
        </w:rPr>
        <w:t>would</w:t>
      </w:r>
      <w:r w:rsidR="008918FA">
        <w:rPr>
          <w:spacing w:val="27"/>
        </w:rPr>
        <w:t xml:space="preserve"> </w:t>
      </w:r>
      <w:r w:rsidR="008918FA">
        <w:rPr>
          <w:spacing w:val="-1"/>
        </w:rPr>
        <w:t>be</w:t>
      </w:r>
      <w:r w:rsidR="008918FA">
        <w:rPr>
          <w:spacing w:val="29"/>
        </w:rPr>
        <w:t xml:space="preserve"> </w:t>
      </w:r>
      <w:r w:rsidR="008918FA">
        <w:t>a</w:t>
      </w:r>
      <w:r w:rsidR="008918FA">
        <w:rPr>
          <w:spacing w:val="31"/>
        </w:rPr>
        <w:t xml:space="preserve"> </w:t>
      </w:r>
      <w:r w:rsidR="008918FA">
        <w:rPr>
          <w:spacing w:val="-1"/>
        </w:rPr>
        <w:t>breach</w:t>
      </w:r>
      <w:r w:rsidR="008918FA">
        <w:rPr>
          <w:spacing w:val="1"/>
        </w:rPr>
        <w:t xml:space="preserve"> </w:t>
      </w:r>
      <w:r w:rsidR="008918FA">
        <w:rPr>
          <w:spacing w:val="-2"/>
        </w:rPr>
        <w:t>of</w:t>
      </w:r>
      <w:r w:rsidR="008918FA">
        <w:t xml:space="preserve"> the </w:t>
      </w:r>
      <w:r w:rsidR="008918FA">
        <w:rPr>
          <w:spacing w:val="-1"/>
        </w:rPr>
        <w:t>said</w:t>
      </w:r>
      <w:r w:rsidR="008918FA">
        <w:rPr>
          <w:spacing w:val="-2"/>
        </w:rPr>
        <w:t xml:space="preserve"> </w:t>
      </w:r>
      <w:r w:rsidR="008918FA">
        <w:rPr>
          <w:spacing w:val="-1"/>
        </w:rPr>
        <w:t>obligations,</w:t>
      </w:r>
      <w:r w:rsidR="008918FA">
        <w:t xml:space="preserve"> </w:t>
      </w:r>
      <w:r w:rsidR="008918FA">
        <w:rPr>
          <w:spacing w:val="-1"/>
        </w:rPr>
        <w:t>report</w:t>
      </w:r>
      <w:r w:rsidR="008918FA">
        <w:t xml:space="preserve"> the</w:t>
      </w:r>
      <w:r w:rsidR="008918FA">
        <w:rPr>
          <w:spacing w:val="-2"/>
        </w:rPr>
        <w:t xml:space="preserve"> </w:t>
      </w:r>
      <w:r w:rsidR="008918FA">
        <w:rPr>
          <w:spacing w:val="-1"/>
        </w:rPr>
        <w:t>facts</w:t>
      </w:r>
      <w:r w:rsidR="008918FA">
        <w:rPr>
          <w:spacing w:val="-2"/>
        </w:rPr>
        <w:t xml:space="preserve"> </w:t>
      </w:r>
      <w:r w:rsidR="008918FA">
        <w:t>to</w:t>
      </w:r>
      <w:r w:rsidR="008918FA">
        <w:rPr>
          <w:spacing w:val="-2"/>
        </w:rPr>
        <w:t xml:space="preserve"> </w:t>
      </w:r>
      <w:r w:rsidR="008918FA">
        <w:rPr>
          <w:spacing w:val="-1"/>
        </w:rPr>
        <w:t>the</w:t>
      </w:r>
      <w:r w:rsidR="008918FA">
        <w:t xml:space="preserve"> </w:t>
      </w:r>
      <w:r w:rsidR="008918FA">
        <w:rPr>
          <w:spacing w:val="-2"/>
        </w:rPr>
        <w:t>Supplier</w:t>
      </w:r>
      <w:r w:rsidR="008918FA">
        <w:rPr>
          <w:spacing w:val="2"/>
        </w:rPr>
        <w:t xml:space="preserve"> </w:t>
      </w:r>
      <w:r w:rsidR="008918FA">
        <w:rPr>
          <w:spacing w:val="-2"/>
        </w:rPr>
        <w:t>with</w:t>
      </w:r>
      <w:r w:rsidR="008918FA">
        <w:rPr>
          <w:spacing w:val="41"/>
        </w:rPr>
        <w:t xml:space="preserve"> </w:t>
      </w:r>
      <w:r w:rsidR="008918FA">
        <w:rPr>
          <w:spacing w:val="-1"/>
        </w:rPr>
        <w:t>all</w:t>
      </w:r>
      <w:r w:rsidR="008918FA">
        <w:t xml:space="preserve"> </w:t>
      </w:r>
      <w:r w:rsidR="008918FA">
        <w:rPr>
          <w:spacing w:val="-1"/>
        </w:rPr>
        <w:t>necessary</w:t>
      </w:r>
      <w:r w:rsidR="008918FA">
        <w:rPr>
          <w:spacing w:val="-2"/>
        </w:rPr>
        <w:t xml:space="preserve"> </w:t>
      </w:r>
      <w:r w:rsidR="008918FA">
        <w:rPr>
          <w:spacing w:val="-1"/>
        </w:rPr>
        <w:t>particulars.</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5"/>
        <w:jc w:val="both"/>
      </w:pPr>
      <w:r>
        <w:t>The</w:t>
      </w:r>
      <w:r>
        <w:rPr>
          <w:spacing w:val="43"/>
        </w:rPr>
        <w:t xml:space="preserve"> </w:t>
      </w:r>
      <w:r>
        <w:rPr>
          <w:spacing w:val="-2"/>
        </w:rPr>
        <w:t>Supplier</w:t>
      </w:r>
      <w:r>
        <w:rPr>
          <w:spacing w:val="45"/>
        </w:rPr>
        <w:t xml:space="preserve"> </w:t>
      </w:r>
      <w:r>
        <w:rPr>
          <w:spacing w:val="-1"/>
        </w:rPr>
        <w:t>shall,</w:t>
      </w:r>
      <w:r>
        <w:rPr>
          <w:spacing w:val="45"/>
        </w:rPr>
        <w:t xml:space="preserve"> </w:t>
      </w:r>
      <w:r>
        <w:rPr>
          <w:spacing w:val="-1"/>
        </w:rPr>
        <w:t>if</w:t>
      </w:r>
      <w:r>
        <w:rPr>
          <w:spacing w:val="47"/>
        </w:rPr>
        <w:t xml:space="preserve"> </w:t>
      </w:r>
      <w:r>
        <w:rPr>
          <w:spacing w:val="-1"/>
        </w:rPr>
        <w:t>directed</w:t>
      </w:r>
      <w:r>
        <w:rPr>
          <w:spacing w:val="43"/>
        </w:rPr>
        <w:t xml:space="preserve"> </w:t>
      </w:r>
      <w:r>
        <w:rPr>
          <w:spacing w:val="-1"/>
        </w:rPr>
        <w:t>by</w:t>
      </w:r>
      <w:r>
        <w:rPr>
          <w:spacing w:val="41"/>
        </w:rPr>
        <w:t xml:space="preserve"> </w:t>
      </w:r>
      <w:r>
        <w:t>the</w:t>
      </w:r>
      <w:r>
        <w:rPr>
          <w:spacing w:val="44"/>
        </w:rPr>
        <w:t xml:space="preserve"> </w:t>
      </w:r>
      <w:r>
        <w:rPr>
          <w:spacing w:val="-1"/>
        </w:rPr>
        <w:t>Customer,</w:t>
      </w:r>
      <w:r>
        <w:rPr>
          <w:spacing w:val="45"/>
        </w:rPr>
        <w:t xml:space="preserve"> </w:t>
      </w:r>
      <w:r>
        <w:rPr>
          <w:spacing w:val="-1"/>
        </w:rPr>
        <w:t>include</w:t>
      </w:r>
      <w:r>
        <w:rPr>
          <w:spacing w:val="43"/>
        </w:rPr>
        <w:t xml:space="preserve"> </w:t>
      </w:r>
      <w:r>
        <w:rPr>
          <w:spacing w:val="-1"/>
        </w:rPr>
        <w:t>in</w:t>
      </w:r>
      <w:r>
        <w:rPr>
          <w:spacing w:val="46"/>
        </w:rPr>
        <w:t xml:space="preserve"> </w:t>
      </w:r>
      <w:r>
        <w:rPr>
          <w:spacing w:val="-1"/>
        </w:rPr>
        <w:t>the</w:t>
      </w:r>
      <w:r>
        <w:rPr>
          <w:spacing w:val="32"/>
        </w:rPr>
        <w:t xml:space="preserve"> </w:t>
      </w:r>
      <w:r>
        <w:rPr>
          <w:spacing w:val="-1"/>
        </w:rPr>
        <w:t>Sub-Contract</w:t>
      </w:r>
      <w:r>
        <w:rPr>
          <w:spacing w:val="3"/>
        </w:rPr>
        <w:t xml:space="preserve"> </w:t>
      </w:r>
      <w:r>
        <w:rPr>
          <w:spacing w:val="-2"/>
        </w:rPr>
        <w:t>provisions</w:t>
      </w:r>
      <w:r>
        <w:rPr>
          <w:spacing w:val="2"/>
        </w:rPr>
        <w:t xml:space="preserve"> </w:t>
      </w:r>
      <w:r>
        <w:rPr>
          <w:spacing w:val="-1"/>
        </w:rPr>
        <w:t>in</w:t>
      </w:r>
      <w:r>
        <w:rPr>
          <w:spacing w:val="2"/>
        </w:rPr>
        <w:t xml:space="preserve"> </w:t>
      </w:r>
      <w:r>
        <w:rPr>
          <w:spacing w:val="-1"/>
        </w:rPr>
        <w:t>such</w:t>
      </w:r>
      <w:r>
        <w:rPr>
          <w:spacing w:val="2"/>
        </w:rPr>
        <w:t xml:space="preserve"> </w:t>
      </w:r>
      <w:r>
        <w:t>terms</w:t>
      </w:r>
      <w:r>
        <w:rPr>
          <w:spacing w:val="2"/>
        </w:rPr>
        <w:t xml:space="preserve"> </w:t>
      </w:r>
      <w:r>
        <w:rPr>
          <w:spacing w:val="-1"/>
        </w:rPr>
        <w:t>as</w:t>
      </w:r>
      <w:r>
        <w:rPr>
          <w:spacing w:val="2"/>
        </w:rPr>
        <w:t xml:space="preserve"> </w:t>
      </w:r>
      <w:r>
        <w:t>the</w:t>
      </w:r>
      <w:r>
        <w:rPr>
          <w:spacing w:val="60"/>
        </w:rPr>
        <w:t xml:space="preserve"> </w:t>
      </w:r>
      <w:r>
        <w:rPr>
          <w:spacing w:val="-1"/>
        </w:rPr>
        <w:t>Customer</w:t>
      </w:r>
      <w:r>
        <w:t xml:space="preserve">  </w:t>
      </w:r>
      <w:r>
        <w:rPr>
          <w:spacing w:val="-1"/>
        </w:rPr>
        <w:t>may</w:t>
      </w:r>
      <w:r>
        <w:rPr>
          <w:spacing w:val="38"/>
        </w:rPr>
        <w:t xml:space="preserve"> </w:t>
      </w:r>
      <w:r>
        <w:rPr>
          <w:spacing w:val="-1"/>
        </w:rPr>
        <w:t>consider</w:t>
      </w:r>
      <w:r>
        <w:rPr>
          <w:spacing w:val="4"/>
        </w:rPr>
        <w:t xml:space="preserve"> </w:t>
      </w:r>
      <w:r>
        <w:rPr>
          <w:spacing w:val="-1"/>
        </w:rPr>
        <w:t>appropriate</w:t>
      </w:r>
      <w:r>
        <w:t xml:space="preserve"> </w:t>
      </w:r>
      <w:r>
        <w:rPr>
          <w:spacing w:val="-1"/>
        </w:rPr>
        <w:t>for</w:t>
      </w:r>
      <w:r>
        <w:rPr>
          <w:spacing w:val="4"/>
        </w:rPr>
        <w:t xml:space="preserve"> </w:t>
      </w:r>
      <w:r>
        <w:rPr>
          <w:spacing w:val="-1"/>
        </w:rPr>
        <w:t>placing</w:t>
      </w:r>
      <w:r>
        <w:rPr>
          <w:spacing w:val="5"/>
        </w:rPr>
        <w:t xml:space="preserve"> </w:t>
      </w:r>
      <w:r>
        <w:t>the</w:t>
      </w:r>
      <w:r>
        <w:rPr>
          <w:spacing w:val="3"/>
        </w:rPr>
        <w:t xml:space="preserve"> </w:t>
      </w:r>
      <w:r>
        <w:rPr>
          <w:spacing w:val="-1"/>
        </w:rPr>
        <w:t>Sub-Contractor</w:t>
      </w:r>
      <w:r>
        <w:rPr>
          <w:spacing w:val="4"/>
        </w:rPr>
        <w:t xml:space="preserve"> </w:t>
      </w:r>
      <w:r>
        <w:rPr>
          <w:spacing w:val="-2"/>
        </w:rPr>
        <w:t>under</w:t>
      </w:r>
      <w:r>
        <w:rPr>
          <w:spacing w:val="29"/>
        </w:rPr>
        <w:t xml:space="preserve"> </w:t>
      </w:r>
      <w:r>
        <w:rPr>
          <w:spacing w:val="-1"/>
        </w:rPr>
        <w:t>obligations</w:t>
      </w:r>
      <w:r>
        <w:rPr>
          <w:spacing w:val="37"/>
        </w:rPr>
        <w:t xml:space="preserve"> </w:t>
      </w:r>
      <w:r>
        <w:rPr>
          <w:spacing w:val="-1"/>
        </w:rPr>
        <w:t>in</w:t>
      </w:r>
      <w:r>
        <w:rPr>
          <w:spacing w:val="36"/>
        </w:rPr>
        <w:t xml:space="preserve"> </w:t>
      </w:r>
      <w:r>
        <w:rPr>
          <w:spacing w:val="-1"/>
        </w:rPr>
        <w:t>relation</w:t>
      </w:r>
      <w:r>
        <w:rPr>
          <w:spacing w:val="36"/>
        </w:rPr>
        <w:t xml:space="preserve"> </w:t>
      </w:r>
      <w:r>
        <w:t>to</w:t>
      </w:r>
      <w:r>
        <w:rPr>
          <w:spacing w:val="36"/>
        </w:rPr>
        <w:t xml:space="preserve"> </w:t>
      </w:r>
      <w:r>
        <w:rPr>
          <w:spacing w:val="-1"/>
        </w:rPr>
        <w:t>secrecy</w:t>
      </w:r>
      <w:r>
        <w:rPr>
          <w:spacing w:val="35"/>
        </w:rPr>
        <w:t xml:space="preserve"> </w:t>
      </w:r>
      <w:r>
        <w:rPr>
          <w:spacing w:val="-1"/>
        </w:rPr>
        <w:t>and</w:t>
      </w:r>
      <w:r>
        <w:rPr>
          <w:spacing w:val="36"/>
        </w:rPr>
        <w:t xml:space="preserve"> </w:t>
      </w:r>
      <w:r>
        <w:rPr>
          <w:spacing w:val="-1"/>
        </w:rPr>
        <w:t>security</w:t>
      </w:r>
      <w:r>
        <w:rPr>
          <w:spacing w:val="38"/>
        </w:rPr>
        <w:t xml:space="preserve"> </w:t>
      </w:r>
      <w:r>
        <w:rPr>
          <w:spacing w:val="-1"/>
        </w:rPr>
        <w:t>corresponding</w:t>
      </w:r>
      <w:r>
        <w:rPr>
          <w:spacing w:val="39"/>
        </w:rPr>
        <w:t xml:space="preserve"> </w:t>
      </w:r>
      <w:r>
        <w:t>to</w:t>
      </w:r>
      <w:r>
        <w:rPr>
          <w:spacing w:val="39"/>
        </w:rPr>
        <w:t xml:space="preserve"> </w:t>
      </w:r>
      <w:r>
        <w:rPr>
          <w:spacing w:val="-1"/>
        </w:rPr>
        <w:t>those</w:t>
      </w:r>
      <w:r>
        <w:rPr>
          <w:spacing w:val="39"/>
        </w:rPr>
        <w:t xml:space="preserve"> </w:t>
      </w:r>
      <w:r>
        <w:rPr>
          <w:spacing w:val="-1"/>
        </w:rPr>
        <w:t>placed</w:t>
      </w:r>
      <w:r>
        <w:rPr>
          <w:spacing w:val="38"/>
        </w:rPr>
        <w:t xml:space="preserve"> </w:t>
      </w:r>
      <w:r>
        <w:rPr>
          <w:spacing w:val="-1"/>
        </w:rPr>
        <w:t>on</w:t>
      </w:r>
      <w:r>
        <w:rPr>
          <w:spacing w:val="38"/>
        </w:rPr>
        <w:t xml:space="preserve"> </w:t>
      </w:r>
      <w:r>
        <w:t>the</w:t>
      </w:r>
      <w:r>
        <w:rPr>
          <w:spacing w:val="38"/>
        </w:rPr>
        <w:t xml:space="preserve"> </w:t>
      </w:r>
      <w:r>
        <w:rPr>
          <w:spacing w:val="-2"/>
        </w:rPr>
        <w:t>Supplier</w:t>
      </w:r>
      <w:r>
        <w:rPr>
          <w:spacing w:val="40"/>
        </w:rPr>
        <w:t xml:space="preserve"> </w:t>
      </w:r>
      <w:r>
        <w:rPr>
          <w:spacing w:val="-1"/>
        </w:rPr>
        <w:t>by</w:t>
      </w:r>
      <w:r>
        <w:rPr>
          <w:spacing w:val="36"/>
        </w:rPr>
        <w:t xml:space="preserve"> </w:t>
      </w:r>
      <w:r>
        <w:rPr>
          <w:spacing w:val="-1"/>
        </w:rPr>
        <w:t>this</w:t>
      </w:r>
      <w:r>
        <w:rPr>
          <w:spacing w:val="40"/>
        </w:rPr>
        <w:t xml:space="preserve"> </w:t>
      </w:r>
      <w:r>
        <w:rPr>
          <w:spacing w:val="-1"/>
        </w:rPr>
        <w:t>Clause</w:t>
      </w:r>
      <w:r>
        <w:rPr>
          <w:spacing w:val="39"/>
        </w:rPr>
        <w:t xml:space="preserve"> </w:t>
      </w:r>
      <w:r>
        <w:t>57,</w:t>
      </w:r>
      <w:r>
        <w:rPr>
          <w:spacing w:val="40"/>
        </w:rPr>
        <w:t xml:space="preserve"> </w:t>
      </w:r>
      <w:r>
        <w:rPr>
          <w:spacing w:val="-1"/>
        </w:rPr>
        <w:t>but</w:t>
      </w:r>
      <w:r>
        <w:rPr>
          <w:spacing w:val="40"/>
        </w:rPr>
        <w:t xml:space="preserve"> </w:t>
      </w:r>
      <w:r>
        <w:rPr>
          <w:spacing w:val="-2"/>
        </w:rPr>
        <w:t>with</w:t>
      </w:r>
      <w:r>
        <w:rPr>
          <w:spacing w:val="39"/>
        </w:rPr>
        <w:t xml:space="preserve"> </w:t>
      </w:r>
      <w:r>
        <w:rPr>
          <w:spacing w:val="-1"/>
        </w:rPr>
        <w:t>such</w:t>
      </w:r>
      <w:r>
        <w:rPr>
          <w:spacing w:val="46"/>
        </w:rPr>
        <w:t xml:space="preserve"> </w:t>
      </w:r>
      <w:r>
        <w:rPr>
          <w:spacing w:val="-1"/>
        </w:rPr>
        <w:t>variations</w:t>
      </w:r>
      <w:r>
        <w:rPr>
          <w:spacing w:val="7"/>
        </w:rPr>
        <w:t xml:space="preserve"> </w:t>
      </w:r>
      <w:r>
        <w:rPr>
          <w:spacing w:val="-2"/>
        </w:rPr>
        <w:t>(if</w:t>
      </w:r>
      <w:r>
        <w:rPr>
          <w:spacing w:val="10"/>
        </w:rPr>
        <w:t xml:space="preserve"> </w:t>
      </w:r>
      <w:r>
        <w:rPr>
          <w:spacing w:val="-2"/>
        </w:rPr>
        <w:t>any)</w:t>
      </w:r>
      <w:r>
        <w:rPr>
          <w:spacing w:val="8"/>
        </w:rPr>
        <w:t xml:space="preserve"> </w:t>
      </w:r>
      <w:r>
        <w:rPr>
          <w:spacing w:val="-1"/>
        </w:rPr>
        <w:t>as</w:t>
      </w:r>
      <w:r>
        <w:rPr>
          <w:spacing w:val="4"/>
        </w:rPr>
        <w:t xml:space="preserve"> </w:t>
      </w:r>
      <w:r>
        <w:rPr>
          <w:spacing w:val="-1"/>
        </w:rPr>
        <w:t>the</w:t>
      </w:r>
      <w:r>
        <w:rPr>
          <w:spacing w:val="6"/>
        </w:rPr>
        <w:t xml:space="preserve"> </w:t>
      </w:r>
      <w:r>
        <w:rPr>
          <w:spacing w:val="-1"/>
        </w:rPr>
        <w:t>Customer</w:t>
      </w:r>
      <w:r>
        <w:rPr>
          <w:spacing w:val="5"/>
        </w:rPr>
        <w:t xml:space="preserve"> </w:t>
      </w:r>
      <w:r>
        <w:rPr>
          <w:spacing w:val="-1"/>
        </w:rPr>
        <w:t>may</w:t>
      </w:r>
      <w:r>
        <w:rPr>
          <w:spacing w:val="4"/>
        </w:rPr>
        <w:t xml:space="preserve"> </w:t>
      </w:r>
      <w:r>
        <w:rPr>
          <w:spacing w:val="-1"/>
        </w:rPr>
        <w:t>consider</w:t>
      </w:r>
      <w:r>
        <w:rPr>
          <w:spacing w:val="8"/>
        </w:rPr>
        <w:t xml:space="preserve"> </w:t>
      </w:r>
      <w:r>
        <w:rPr>
          <w:spacing w:val="-1"/>
        </w:rPr>
        <w:t>necessary.</w:t>
      </w:r>
      <w:r>
        <w:rPr>
          <w:spacing w:val="23"/>
        </w:rPr>
        <w:t xml:space="preserve"> </w:t>
      </w:r>
      <w:r>
        <w:rPr>
          <w:spacing w:val="-1"/>
        </w:rPr>
        <w:t xml:space="preserve">Further </w:t>
      </w:r>
      <w:r>
        <w:t xml:space="preserve">the </w:t>
      </w:r>
      <w:r>
        <w:rPr>
          <w:spacing w:val="-2"/>
        </w:rPr>
        <w:t>Supplier</w:t>
      </w:r>
      <w:r>
        <w:rPr>
          <w:spacing w:val="2"/>
        </w:rPr>
        <w:t xml:space="preserve"> </w:t>
      </w:r>
      <w:r>
        <w:rPr>
          <w:spacing w:val="-2"/>
        </w:rPr>
        <w:t>shall:</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2" w:hanging="851"/>
        <w:jc w:val="both"/>
      </w:pPr>
      <w:r>
        <w:rPr>
          <w:spacing w:val="-1"/>
        </w:rPr>
        <w:t>give</w:t>
      </w:r>
      <w:r>
        <w:rPr>
          <w:spacing w:val="12"/>
        </w:rPr>
        <w:t xml:space="preserve"> </w:t>
      </w:r>
      <w:r>
        <w:rPr>
          <w:spacing w:val="-1"/>
        </w:rPr>
        <w:t>such</w:t>
      </w:r>
      <w:r>
        <w:rPr>
          <w:spacing w:val="13"/>
        </w:rPr>
        <w:t xml:space="preserve"> </w:t>
      </w:r>
      <w:r>
        <w:rPr>
          <w:spacing w:val="-1"/>
        </w:rPr>
        <w:t>notices,</w:t>
      </w:r>
      <w:r>
        <w:rPr>
          <w:spacing w:val="14"/>
        </w:rPr>
        <w:t xml:space="preserve"> </w:t>
      </w:r>
      <w:r>
        <w:rPr>
          <w:spacing w:val="-1"/>
        </w:rPr>
        <w:t>directions,</w:t>
      </w:r>
      <w:r>
        <w:rPr>
          <w:spacing w:val="14"/>
        </w:rPr>
        <w:t xml:space="preserve"> </w:t>
      </w:r>
      <w:r>
        <w:rPr>
          <w:spacing w:val="-1"/>
        </w:rPr>
        <w:t>requirements</w:t>
      </w:r>
      <w:r>
        <w:rPr>
          <w:spacing w:val="13"/>
        </w:rPr>
        <w:t xml:space="preserve"> </w:t>
      </w:r>
      <w:r>
        <w:rPr>
          <w:spacing w:val="-1"/>
        </w:rPr>
        <w:t>and</w:t>
      </w:r>
      <w:r>
        <w:rPr>
          <w:spacing w:val="12"/>
        </w:rPr>
        <w:t xml:space="preserve"> </w:t>
      </w:r>
      <w:r>
        <w:rPr>
          <w:spacing w:val="-2"/>
        </w:rPr>
        <w:t>decisions</w:t>
      </w:r>
      <w:r>
        <w:rPr>
          <w:spacing w:val="36"/>
        </w:rPr>
        <w:t xml:space="preserve"> </w:t>
      </w:r>
      <w:r>
        <w:t>to</w:t>
      </w:r>
      <w:r>
        <w:rPr>
          <w:spacing w:val="24"/>
        </w:rPr>
        <w:t xml:space="preserve"> </w:t>
      </w:r>
      <w:r>
        <w:rPr>
          <w:spacing w:val="-1"/>
        </w:rPr>
        <w:t>its</w:t>
      </w:r>
      <w:r>
        <w:rPr>
          <w:spacing w:val="22"/>
        </w:rPr>
        <w:t xml:space="preserve"> </w:t>
      </w:r>
      <w:r>
        <w:rPr>
          <w:spacing w:val="-1"/>
        </w:rPr>
        <w:t>Sub-Contractors</w:t>
      </w:r>
      <w:r>
        <w:rPr>
          <w:spacing w:val="22"/>
        </w:rPr>
        <w:t xml:space="preserve"> </w:t>
      </w:r>
      <w:r>
        <w:rPr>
          <w:spacing w:val="-2"/>
        </w:rPr>
        <w:t>as</w:t>
      </w:r>
      <w:r>
        <w:rPr>
          <w:spacing w:val="25"/>
        </w:rPr>
        <w:t xml:space="preserve"> </w:t>
      </w:r>
      <w:r>
        <w:rPr>
          <w:spacing w:val="-1"/>
        </w:rPr>
        <w:t>may</w:t>
      </w:r>
      <w:r>
        <w:rPr>
          <w:spacing w:val="22"/>
        </w:rPr>
        <w:t xml:space="preserve"> </w:t>
      </w:r>
      <w:r>
        <w:rPr>
          <w:spacing w:val="-1"/>
        </w:rPr>
        <w:t>be</w:t>
      </w:r>
      <w:r>
        <w:rPr>
          <w:spacing w:val="24"/>
        </w:rPr>
        <w:t xml:space="preserve"> </w:t>
      </w:r>
      <w:r>
        <w:rPr>
          <w:spacing w:val="-1"/>
        </w:rPr>
        <w:t>necessary</w:t>
      </w:r>
      <w:r>
        <w:rPr>
          <w:spacing w:val="22"/>
        </w:rPr>
        <w:t xml:space="preserve"> </w:t>
      </w:r>
      <w:r>
        <w:t>to</w:t>
      </w:r>
      <w:r>
        <w:rPr>
          <w:spacing w:val="19"/>
        </w:rPr>
        <w:t xml:space="preserve"> </w:t>
      </w:r>
      <w:r>
        <w:rPr>
          <w:spacing w:val="-1"/>
        </w:rPr>
        <w:t>bring</w:t>
      </w:r>
      <w:r>
        <w:rPr>
          <w:spacing w:val="24"/>
        </w:rPr>
        <w:t xml:space="preserve"> </w:t>
      </w:r>
      <w:r>
        <w:rPr>
          <w:spacing w:val="-1"/>
        </w:rPr>
        <w:t>the</w:t>
      </w:r>
      <w:r>
        <w:rPr>
          <w:spacing w:val="30"/>
        </w:rPr>
        <w:t xml:space="preserve"> </w:t>
      </w:r>
      <w:r>
        <w:rPr>
          <w:spacing w:val="-2"/>
        </w:rPr>
        <w:t>provisions</w:t>
      </w:r>
      <w:r>
        <w:rPr>
          <w:spacing w:val="19"/>
        </w:rPr>
        <w:t xml:space="preserve"> </w:t>
      </w:r>
      <w:r>
        <w:rPr>
          <w:spacing w:val="-1"/>
        </w:rPr>
        <w:t>relating</w:t>
      </w:r>
      <w:r>
        <w:rPr>
          <w:spacing w:val="21"/>
        </w:rPr>
        <w:t xml:space="preserve"> </w:t>
      </w:r>
      <w:r>
        <w:t>to</w:t>
      </w:r>
      <w:r>
        <w:rPr>
          <w:spacing w:val="16"/>
        </w:rPr>
        <w:t xml:space="preserve"> </w:t>
      </w:r>
      <w:r>
        <w:rPr>
          <w:spacing w:val="-1"/>
        </w:rPr>
        <w:t>secrecy</w:t>
      </w:r>
      <w:r>
        <w:rPr>
          <w:spacing w:val="17"/>
        </w:rPr>
        <w:t xml:space="preserve"> </w:t>
      </w:r>
      <w:r>
        <w:rPr>
          <w:spacing w:val="-1"/>
        </w:rPr>
        <w:t>and</w:t>
      </w:r>
      <w:r>
        <w:rPr>
          <w:spacing w:val="18"/>
        </w:rPr>
        <w:t xml:space="preserve"> </w:t>
      </w:r>
      <w:r>
        <w:rPr>
          <w:spacing w:val="-1"/>
        </w:rPr>
        <w:t>security</w:t>
      </w:r>
      <w:r>
        <w:rPr>
          <w:spacing w:val="16"/>
        </w:rPr>
        <w:t xml:space="preserve"> </w:t>
      </w:r>
      <w:r>
        <w:rPr>
          <w:spacing w:val="-2"/>
        </w:rPr>
        <w:t>which</w:t>
      </w:r>
      <w:r>
        <w:rPr>
          <w:spacing w:val="19"/>
        </w:rPr>
        <w:t xml:space="preserve"> </w:t>
      </w:r>
      <w:r>
        <w:rPr>
          <w:spacing w:val="-1"/>
        </w:rPr>
        <w:t>are</w:t>
      </w:r>
      <w:r>
        <w:rPr>
          <w:spacing w:val="51"/>
        </w:rPr>
        <w:t xml:space="preserve"> </w:t>
      </w:r>
      <w:r>
        <w:rPr>
          <w:spacing w:val="-1"/>
        </w:rPr>
        <w:t>included</w:t>
      </w:r>
      <w:r>
        <w:rPr>
          <w:spacing w:val="28"/>
        </w:rPr>
        <w:t xml:space="preserve"> </w:t>
      </w:r>
      <w:r>
        <w:rPr>
          <w:spacing w:val="-1"/>
        </w:rPr>
        <w:t>in</w:t>
      </w:r>
      <w:r>
        <w:rPr>
          <w:spacing w:val="28"/>
        </w:rPr>
        <w:t xml:space="preserve"> </w:t>
      </w:r>
      <w:r>
        <w:rPr>
          <w:spacing w:val="-1"/>
        </w:rPr>
        <w:t>Sub-Contracts</w:t>
      </w:r>
      <w:r>
        <w:rPr>
          <w:spacing w:val="28"/>
        </w:rPr>
        <w:t xml:space="preserve"> </w:t>
      </w:r>
      <w:r>
        <w:rPr>
          <w:spacing w:val="-1"/>
        </w:rPr>
        <w:t>under</w:t>
      </w:r>
      <w:r>
        <w:rPr>
          <w:spacing w:val="27"/>
        </w:rPr>
        <w:t xml:space="preserve"> </w:t>
      </w:r>
      <w:r>
        <w:rPr>
          <w:spacing w:val="-1"/>
        </w:rPr>
        <w:t>this</w:t>
      </w:r>
      <w:r>
        <w:rPr>
          <w:spacing w:val="28"/>
        </w:rPr>
        <w:t xml:space="preserve"> </w:t>
      </w:r>
      <w:r>
        <w:rPr>
          <w:spacing w:val="-2"/>
        </w:rPr>
        <w:t>Clause</w:t>
      </w:r>
      <w:r>
        <w:rPr>
          <w:spacing w:val="28"/>
        </w:rPr>
        <w:t xml:space="preserve"> </w:t>
      </w:r>
      <w:r>
        <w:rPr>
          <w:spacing w:val="-1"/>
        </w:rPr>
        <w:t>57</w:t>
      </w:r>
      <w:r>
        <w:rPr>
          <w:spacing w:val="28"/>
        </w:rPr>
        <w:t xml:space="preserve"> </w:t>
      </w:r>
      <w:r>
        <w:rPr>
          <w:spacing w:val="-1"/>
        </w:rPr>
        <w:t>into</w:t>
      </w:r>
      <w:r>
        <w:rPr>
          <w:spacing w:val="37"/>
        </w:rPr>
        <w:t xml:space="preserve"> </w:t>
      </w:r>
      <w:r>
        <w:rPr>
          <w:spacing w:val="-1"/>
        </w:rPr>
        <w:t>operation</w:t>
      </w:r>
      <w:r>
        <w:rPr>
          <w:spacing w:val="28"/>
        </w:rPr>
        <w:t xml:space="preserve"> </w:t>
      </w:r>
      <w:r>
        <w:rPr>
          <w:spacing w:val="-1"/>
        </w:rPr>
        <w:t>in</w:t>
      </w:r>
      <w:r>
        <w:rPr>
          <w:spacing w:val="28"/>
        </w:rPr>
        <w:t xml:space="preserve"> </w:t>
      </w:r>
      <w:r>
        <w:rPr>
          <w:spacing w:val="-1"/>
        </w:rPr>
        <w:t>such</w:t>
      </w:r>
      <w:r>
        <w:rPr>
          <w:spacing w:val="28"/>
        </w:rPr>
        <w:t xml:space="preserve"> </w:t>
      </w:r>
      <w:r>
        <w:rPr>
          <w:spacing w:val="-1"/>
        </w:rPr>
        <w:t>cases</w:t>
      </w:r>
      <w:r>
        <w:rPr>
          <w:spacing w:val="28"/>
        </w:rPr>
        <w:t xml:space="preserve"> </w:t>
      </w:r>
      <w:r>
        <w:rPr>
          <w:spacing w:val="-1"/>
        </w:rPr>
        <w:t>and</w:t>
      </w:r>
      <w:r>
        <w:rPr>
          <w:spacing w:val="28"/>
        </w:rPr>
        <w:t xml:space="preserve"> </w:t>
      </w:r>
      <w:r>
        <w:t>to</w:t>
      </w:r>
      <w:r>
        <w:rPr>
          <w:spacing w:val="28"/>
        </w:rPr>
        <w:t xml:space="preserve"> </w:t>
      </w:r>
      <w:r>
        <w:rPr>
          <w:spacing w:val="-1"/>
        </w:rPr>
        <w:t>such</w:t>
      </w:r>
      <w:r>
        <w:rPr>
          <w:spacing w:val="28"/>
        </w:rPr>
        <w:t xml:space="preserve"> </w:t>
      </w:r>
      <w:r>
        <w:rPr>
          <w:spacing w:val="-1"/>
        </w:rPr>
        <w:t>extent</w:t>
      </w:r>
      <w:r>
        <w:rPr>
          <w:spacing w:val="30"/>
        </w:rPr>
        <w:t xml:space="preserve"> </w:t>
      </w:r>
      <w:r>
        <w:rPr>
          <w:spacing w:val="-1"/>
        </w:rPr>
        <w:t>as</w:t>
      </w:r>
      <w:r>
        <w:rPr>
          <w:spacing w:val="28"/>
        </w:rPr>
        <w:t xml:space="preserve"> </w:t>
      </w:r>
      <w:r>
        <w:rPr>
          <w:spacing w:val="-1"/>
        </w:rPr>
        <w:t>the</w:t>
      </w:r>
      <w:r>
        <w:rPr>
          <w:spacing w:val="32"/>
        </w:rPr>
        <w:t xml:space="preserve"> </w:t>
      </w:r>
      <w:r>
        <w:rPr>
          <w:spacing w:val="-1"/>
        </w:rPr>
        <w:t>Customer may</w:t>
      </w:r>
      <w:r>
        <w:rPr>
          <w:spacing w:val="-2"/>
        </w:rPr>
        <w:t xml:space="preserve"> </w:t>
      </w:r>
      <w:r>
        <w:rPr>
          <w:spacing w:val="-1"/>
        </w:rPr>
        <w:t>direct;</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1"/>
        <w:jc w:val="both"/>
      </w:pPr>
      <w:r>
        <w:rPr>
          <w:spacing w:val="-1"/>
        </w:rPr>
        <w:t>if</w:t>
      </w:r>
      <w:r>
        <w:rPr>
          <w:spacing w:val="15"/>
        </w:rPr>
        <w:t xml:space="preserve"> </w:t>
      </w:r>
      <w:r>
        <w:rPr>
          <w:spacing w:val="-1"/>
        </w:rPr>
        <w:t>there</w:t>
      </w:r>
      <w:r>
        <w:rPr>
          <w:spacing w:val="13"/>
        </w:rPr>
        <w:t xml:space="preserve"> </w:t>
      </w:r>
      <w:r>
        <w:rPr>
          <w:spacing w:val="-1"/>
        </w:rPr>
        <w:t>comes</w:t>
      </w:r>
      <w:r>
        <w:rPr>
          <w:spacing w:val="12"/>
        </w:rPr>
        <w:t xml:space="preserve"> </w:t>
      </w:r>
      <w:r>
        <w:t>to</w:t>
      </w:r>
      <w:r>
        <w:rPr>
          <w:spacing w:val="14"/>
        </w:rPr>
        <w:t xml:space="preserve"> </w:t>
      </w:r>
      <w:r>
        <w:rPr>
          <w:spacing w:val="-1"/>
        </w:rPr>
        <w:t>its</w:t>
      </w:r>
      <w:r>
        <w:rPr>
          <w:spacing w:val="12"/>
        </w:rPr>
        <w:t xml:space="preserve"> </w:t>
      </w:r>
      <w:r>
        <w:rPr>
          <w:spacing w:val="-1"/>
        </w:rPr>
        <w:t>notice</w:t>
      </w:r>
      <w:r>
        <w:rPr>
          <w:spacing w:val="14"/>
        </w:rPr>
        <w:t xml:space="preserve"> </w:t>
      </w:r>
      <w:r>
        <w:rPr>
          <w:spacing w:val="-1"/>
        </w:rPr>
        <w:t>any</w:t>
      </w:r>
      <w:r>
        <w:rPr>
          <w:spacing w:val="11"/>
        </w:rPr>
        <w:t xml:space="preserve"> </w:t>
      </w:r>
      <w:r>
        <w:rPr>
          <w:spacing w:val="-1"/>
        </w:rPr>
        <w:t>breach</w:t>
      </w:r>
      <w:r>
        <w:rPr>
          <w:spacing w:val="14"/>
        </w:rPr>
        <w:t xml:space="preserve"> </w:t>
      </w:r>
      <w:r>
        <w:rPr>
          <w:spacing w:val="-1"/>
        </w:rPr>
        <w:t>by</w:t>
      </w:r>
      <w:r>
        <w:rPr>
          <w:spacing w:val="12"/>
        </w:rPr>
        <w:t xml:space="preserve"> </w:t>
      </w:r>
      <w:r>
        <w:t>the</w:t>
      </w:r>
      <w:r>
        <w:rPr>
          <w:spacing w:val="14"/>
        </w:rPr>
        <w:t xml:space="preserve"> </w:t>
      </w:r>
      <w:r>
        <w:rPr>
          <w:spacing w:val="-1"/>
        </w:rPr>
        <w:t>Sub-</w:t>
      </w:r>
      <w:r>
        <w:rPr>
          <w:spacing w:val="29"/>
        </w:rPr>
        <w:t xml:space="preserve"> </w:t>
      </w:r>
      <w:r>
        <w:rPr>
          <w:spacing w:val="-1"/>
        </w:rPr>
        <w:t>Contractor</w:t>
      </w:r>
      <w:r>
        <w:rPr>
          <w:spacing w:val="22"/>
        </w:rPr>
        <w:t xml:space="preserve"> </w:t>
      </w:r>
      <w:r>
        <w:rPr>
          <w:spacing w:val="-2"/>
        </w:rPr>
        <w:t>of</w:t>
      </w:r>
      <w:r>
        <w:rPr>
          <w:spacing w:val="24"/>
        </w:rPr>
        <w:t xml:space="preserve"> </w:t>
      </w:r>
      <w:r>
        <w:t>the</w:t>
      </w:r>
      <w:r>
        <w:rPr>
          <w:spacing w:val="21"/>
        </w:rPr>
        <w:t xml:space="preserve"> </w:t>
      </w:r>
      <w:r>
        <w:rPr>
          <w:spacing w:val="-1"/>
        </w:rPr>
        <w:t>obligations</w:t>
      </w:r>
      <w:r>
        <w:rPr>
          <w:spacing w:val="21"/>
        </w:rPr>
        <w:t xml:space="preserve"> </w:t>
      </w:r>
      <w:r>
        <w:rPr>
          <w:spacing w:val="-2"/>
        </w:rPr>
        <w:t>of</w:t>
      </w:r>
      <w:r>
        <w:rPr>
          <w:spacing w:val="24"/>
        </w:rPr>
        <w:t xml:space="preserve"> </w:t>
      </w:r>
      <w:r>
        <w:rPr>
          <w:spacing w:val="-1"/>
        </w:rPr>
        <w:t>secrecy</w:t>
      </w:r>
      <w:r>
        <w:rPr>
          <w:spacing w:val="19"/>
        </w:rPr>
        <w:t xml:space="preserve"> </w:t>
      </w:r>
      <w:r>
        <w:rPr>
          <w:spacing w:val="-1"/>
        </w:rPr>
        <w:t>and</w:t>
      </w:r>
      <w:r>
        <w:rPr>
          <w:spacing w:val="21"/>
        </w:rPr>
        <w:t xml:space="preserve"> </w:t>
      </w:r>
      <w:r>
        <w:rPr>
          <w:spacing w:val="-1"/>
        </w:rPr>
        <w:t>security</w:t>
      </w:r>
      <w:r>
        <w:rPr>
          <w:spacing w:val="31"/>
        </w:rPr>
        <w:t xml:space="preserve"> </w:t>
      </w:r>
      <w:r>
        <w:rPr>
          <w:spacing w:val="-1"/>
        </w:rPr>
        <w:t>included</w:t>
      </w:r>
      <w:r>
        <w:rPr>
          <w:spacing w:val="32"/>
        </w:rPr>
        <w:t xml:space="preserve"> </w:t>
      </w:r>
      <w:r>
        <w:rPr>
          <w:spacing w:val="-1"/>
        </w:rPr>
        <w:t>in</w:t>
      </w:r>
      <w:r>
        <w:rPr>
          <w:spacing w:val="35"/>
        </w:rPr>
        <w:t xml:space="preserve"> </w:t>
      </w:r>
      <w:r>
        <w:rPr>
          <w:spacing w:val="-1"/>
        </w:rPr>
        <w:t>their</w:t>
      </w:r>
      <w:r>
        <w:rPr>
          <w:spacing w:val="34"/>
        </w:rPr>
        <w:t xml:space="preserve"> </w:t>
      </w:r>
      <w:r>
        <w:rPr>
          <w:spacing w:val="-1"/>
        </w:rPr>
        <w:t>Sub-Contracts</w:t>
      </w:r>
      <w:r>
        <w:rPr>
          <w:spacing w:val="33"/>
        </w:rPr>
        <w:t xml:space="preserve"> </w:t>
      </w:r>
      <w:r>
        <w:rPr>
          <w:spacing w:val="-1"/>
        </w:rPr>
        <w:t>in</w:t>
      </w:r>
      <w:r>
        <w:rPr>
          <w:spacing w:val="32"/>
        </w:rPr>
        <w:t xml:space="preserve"> </w:t>
      </w:r>
      <w:r>
        <w:rPr>
          <w:spacing w:val="-1"/>
        </w:rPr>
        <w:t>pursuance</w:t>
      </w:r>
      <w:r>
        <w:rPr>
          <w:spacing w:val="33"/>
        </w:rPr>
        <w:t xml:space="preserve"> </w:t>
      </w:r>
      <w:r>
        <w:rPr>
          <w:spacing w:val="-1"/>
        </w:rPr>
        <w:t>of</w:t>
      </w:r>
      <w:r>
        <w:rPr>
          <w:spacing w:val="37"/>
        </w:rPr>
        <w:t xml:space="preserve"> </w:t>
      </w:r>
      <w:r>
        <w:rPr>
          <w:spacing w:val="-1"/>
        </w:rPr>
        <w:t>this</w:t>
      </w:r>
      <w:r>
        <w:rPr>
          <w:spacing w:val="25"/>
        </w:rPr>
        <w:t xml:space="preserve"> </w:t>
      </w:r>
      <w:r>
        <w:rPr>
          <w:spacing w:val="-2"/>
        </w:rPr>
        <w:t>Clause</w:t>
      </w:r>
      <w:r>
        <w:rPr>
          <w:spacing w:val="20"/>
        </w:rPr>
        <w:t xml:space="preserve"> </w:t>
      </w:r>
      <w:r>
        <w:rPr>
          <w:spacing w:val="-1"/>
        </w:rPr>
        <w:t>57,</w:t>
      </w:r>
      <w:r>
        <w:rPr>
          <w:spacing w:val="21"/>
        </w:rPr>
        <w:t xml:space="preserve"> </w:t>
      </w:r>
      <w:r>
        <w:t>notify</w:t>
      </w:r>
      <w:r>
        <w:rPr>
          <w:spacing w:val="17"/>
        </w:rPr>
        <w:t xml:space="preserve"> </w:t>
      </w:r>
      <w:r>
        <w:rPr>
          <w:spacing w:val="-1"/>
        </w:rPr>
        <w:t>such</w:t>
      </w:r>
      <w:r>
        <w:rPr>
          <w:spacing w:val="20"/>
        </w:rPr>
        <w:t xml:space="preserve"> </w:t>
      </w:r>
      <w:r>
        <w:rPr>
          <w:spacing w:val="-1"/>
        </w:rPr>
        <w:t>breach</w:t>
      </w:r>
      <w:r>
        <w:rPr>
          <w:spacing w:val="19"/>
        </w:rPr>
        <w:t xml:space="preserve"> </w:t>
      </w:r>
      <w:r>
        <w:rPr>
          <w:spacing w:val="-1"/>
        </w:rPr>
        <w:t>forthwith</w:t>
      </w:r>
      <w:r>
        <w:rPr>
          <w:spacing w:val="20"/>
        </w:rPr>
        <w:t xml:space="preserve"> </w:t>
      </w:r>
      <w:r>
        <w:t>to</w:t>
      </w:r>
      <w:r>
        <w:rPr>
          <w:spacing w:val="19"/>
        </w:rPr>
        <w:t xml:space="preserve"> </w:t>
      </w:r>
      <w:r>
        <w:t>the</w:t>
      </w:r>
      <w:r>
        <w:rPr>
          <w:spacing w:val="20"/>
        </w:rPr>
        <w:t xml:space="preserve"> </w:t>
      </w:r>
      <w:r>
        <w:rPr>
          <w:spacing w:val="-1"/>
        </w:rPr>
        <w:t>Customer;</w:t>
      </w:r>
      <w:r>
        <w:rPr>
          <w:spacing w:val="31"/>
        </w:rPr>
        <w:t xml:space="preserve"> </w:t>
      </w:r>
      <w:r>
        <w:rPr>
          <w:spacing w:val="-1"/>
        </w:rPr>
        <w:t>and</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3"/>
        <w:jc w:val="both"/>
      </w:pPr>
      <w:r>
        <w:rPr>
          <w:spacing w:val="-1"/>
        </w:rPr>
        <w:t>if</w:t>
      </w:r>
      <w:r>
        <w:rPr>
          <w:spacing w:val="54"/>
        </w:rPr>
        <w:t xml:space="preserve"> </w:t>
      </w:r>
      <w:r>
        <w:rPr>
          <w:spacing w:val="-1"/>
        </w:rPr>
        <w:t>and</w:t>
      </w:r>
      <w:r>
        <w:rPr>
          <w:spacing w:val="51"/>
        </w:rPr>
        <w:t xml:space="preserve"> </w:t>
      </w:r>
      <w:r>
        <w:rPr>
          <w:spacing w:val="-2"/>
        </w:rPr>
        <w:t>when</w:t>
      </w:r>
      <w:r>
        <w:rPr>
          <w:spacing w:val="51"/>
        </w:rPr>
        <w:t xml:space="preserve"> </w:t>
      </w:r>
      <w:r>
        <w:rPr>
          <w:spacing w:val="-1"/>
        </w:rPr>
        <w:t>so</w:t>
      </w:r>
      <w:r>
        <w:rPr>
          <w:spacing w:val="51"/>
        </w:rPr>
        <w:t xml:space="preserve"> </w:t>
      </w:r>
      <w:r>
        <w:rPr>
          <w:spacing w:val="-1"/>
        </w:rPr>
        <w:t>required</w:t>
      </w:r>
      <w:r>
        <w:rPr>
          <w:spacing w:val="51"/>
        </w:rPr>
        <w:t xml:space="preserve"> </w:t>
      </w:r>
      <w:r>
        <w:rPr>
          <w:spacing w:val="-1"/>
        </w:rPr>
        <w:t>by</w:t>
      </w:r>
      <w:r>
        <w:rPr>
          <w:spacing w:val="49"/>
        </w:rPr>
        <w:t xml:space="preserve"> </w:t>
      </w:r>
      <w:r>
        <w:t>the</w:t>
      </w:r>
      <w:r>
        <w:rPr>
          <w:spacing w:val="52"/>
        </w:rPr>
        <w:t xml:space="preserve"> </w:t>
      </w:r>
      <w:r>
        <w:rPr>
          <w:spacing w:val="-1"/>
        </w:rPr>
        <w:t>Customer,</w:t>
      </w:r>
      <w:r>
        <w:rPr>
          <w:spacing w:val="52"/>
        </w:rPr>
        <w:t xml:space="preserve"> </w:t>
      </w:r>
      <w:r>
        <w:rPr>
          <w:spacing w:val="-1"/>
        </w:rPr>
        <w:t>exercise</w:t>
      </w:r>
      <w:r>
        <w:rPr>
          <w:spacing w:val="51"/>
        </w:rPr>
        <w:t xml:space="preserve"> </w:t>
      </w:r>
      <w:r>
        <w:rPr>
          <w:spacing w:val="-2"/>
        </w:rPr>
        <w:t>its</w:t>
      </w:r>
      <w:r>
        <w:rPr>
          <w:spacing w:val="21"/>
        </w:rPr>
        <w:t xml:space="preserve"> </w:t>
      </w:r>
      <w:r>
        <w:rPr>
          <w:spacing w:val="-2"/>
        </w:rPr>
        <w:t>power</w:t>
      </w:r>
      <w:r>
        <w:rPr>
          <w:spacing w:val="16"/>
        </w:rPr>
        <w:t xml:space="preserve"> </w:t>
      </w:r>
      <w:r>
        <w:t>to</w:t>
      </w:r>
      <w:r>
        <w:rPr>
          <w:spacing w:val="15"/>
        </w:rPr>
        <w:t xml:space="preserve"> </w:t>
      </w:r>
      <w:r>
        <w:rPr>
          <w:spacing w:val="-1"/>
        </w:rPr>
        <w:t>determine</w:t>
      </w:r>
      <w:r>
        <w:rPr>
          <w:spacing w:val="15"/>
        </w:rPr>
        <w:t xml:space="preserve"> </w:t>
      </w:r>
      <w:r>
        <w:t>the</w:t>
      </w:r>
      <w:r>
        <w:rPr>
          <w:spacing w:val="12"/>
        </w:rPr>
        <w:t xml:space="preserve"> </w:t>
      </w:r>
      <w:r>
        <w:rPr>
          <w:spacing w:val="-1"/>
        </w:rPr>
        <w:t>Sub-Contract</w:t>
      </w:r>
      <w:r>
        <w:rPr>
          <w:spacing w:val="16"/>
        </w:rPr>
        <w:t xml:space="preserve"> </w:t>
      </w:r>
      <w:r>
        <w:rPr>
          <w:spacing w:val="-2"/>
        </w:rPr>
        <w:t>under</w:t>
      </w:r>
      <w:r>
        <w:rPr>
          <w:spacing w:val="16"/>
        </w:rPr>
        <w:t xml:space="preserve"> </w:t>
      </w:r>
      <w:r>
        <w:t>the</w:t>
      </w:r>
      <w:r>
        <w:rPr>
          <w:spacing w:val="12"/>
        </w:rPr>
        <w:t xml:space="preserve"> </w:t>
      </w:r>
      <w:r>
        <w:rPr>
          <w:spacing w:val="-2"/>
        </w:rPr>
        <w:t>provision</w:t>
      </w:r>
      <w:r>
        <w:rPr>
          <w:spacing w:val="40"/>
        </w:rPr>
        <w:t xml:space="preserve"> </w:t>
      </w:r>
      <w:r>
        <w:rPr>
          <w:spacing w:val="-1"/>
        </w:rPr>
        <w:t>in</w:t>
      </w:r>
      <w:r>
        <w:t xml:space="preserve"> </w:t>
      </w:r>
      <w:r>
        <w:rPr>
          <w:spacing w:val="-1"/>
        </w:rPr>
        <w:t>that</w:t>
      </w:r>
      <w:r>
        <w:t xml:space="preserve"> </w:t>
      </w:r>
      <w:r>
        <w:rPr>
          <w:spacing w:val="-1"/>
        </w:rPr>
        <w:t>Sub-Contract</w:t>
      </w:r>
      <w:r>
        <w:rPr>
          <w:spacing w:val="2"/>
        </w:rPr>
        <w:t xml:space="preserve"> </w:t>
      </w:r>
      <w:r>
        <w:rPr>
          <w:spacing w:val="-2"/>
        </w:rPr>
        <w:t>which</w:t>
      </w:r>
      <w:r>
        <w:rPr>
          <w:spacing w:val="1"/>
        </w:rPr>
        <w:t xml:space="preserve"> </w:t>
      </w:r>
      <w:r>
        <w:rPr>
          <w:spacing w:val="-1"/>
        </w:rPr>
        <w:t>corresponds</w:t>
      </w:r>
      <w:r>
        <w:rPr>
          <w:spacing w:val="-2"/>
        </w:rPr>
        <w:t xml:space="preserve"> </w:t>
      </w:r>
      <w:r>
        <w:t>to</w:t>
      </w:r>
      <w:r>
        <w:rPr>
          <w:spacing w:val="-2"/>
        </w:rPr>
        <w:t xml:space="preserve"> Clause</w:t>
      </w:r>
      <w:r>
        <w:rPr>
          <w:spacing w:val="1"/>
        </w:rPr>
        <w:t xml:space="preserve"> </w:t>
      </w:r>
      <w:hyperlink w:anchor="_bookmark444" w:history="1">
        <w:r>
          <w:rPr>
            <w:spacing w:val="-1"/>
          </w:rPr>
          <w:t>56.11</w:t>
        </w:r>
      </w:hyperlink>
      <w:r>
        <w:rPr>
          <w:spacing w:val="-1"/>
        </w:rPr>
        <w:t>.</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4"/>
        <w:jc w:val="both"/>
      </w:pPr>
      <w:r>
        <w:t>The</w:t>
      </w:r>
      <w:r>
        <w:rPr>
          <w:spacing w:val="23"/>
        </w:rPr>
        <w:t xml:space="preserve"> </w:t>
      </w:r>
      <w:r>
        <w:rPr>
          <w:spacing w:val="-2"/>
        </w:rPr>
        <w:t>Supplier</w:t>
      </w:r>
      <w:r>
        <w:rPr>
          <w:spacing w:val="22"/>
        </w:rPr>
        <w:t xml:space="preserve"> </w:t>
      </w:r>
      <w:r>
        <w:rPr>
          <w:spacing w:val="-1"/>
        </w:rPr>
        <w:t>shall</w:t>
      </w:r>
      <w:r>
        <w:rPr>
          <w:spacing w:val="22"/>
        </w:rPr>
        <w:t xml:space="preserve"> </w:t>
      </w:r>
      <w:r>
        <w:rPr>
          <w:spacing w:val="-1"/>
        </w:rPr>
        <w:t>give</w:t>
      </w:r>
      <w:r>
        <w:rPr>
          <w:spacing w:val="23"/>
        </w:rPr>
        <w:t xml:space="preserve"> </w:t>
      </w:r>
      <w:r>
        <w:t>the</w:t>
      </w:r>
      <w:r>
        <w:rPr>
          <w:spacing w:val="23"/>
        </w:rPr>
        <w:t xml:space="preserve"> </w:t>
      </w:r>
      <w:r>
        <w:rPr>
          <w:spacing w:val="-2"/>
        </w:rPr>
        <w:t>Customer</w:t>
      </w:r>
      <w:r>
        <w:rPr>
          <w:spacing w:val="22"/>
        </w:rPr>
        <w:t xml:space="preserve"> </w:t>
      </w:r>
      <w:r>
        <w:rPr>
          <w:spacing w:val="-1"/>
        </w:rPr>
        <w:t>such</w:t>
      </w:r>
      <w:r>
        <w:rPr>
          <w:spacing w:val="21"/>
        </w:rPr>
        <w:t xml:space="preserve"> </w:t>
      </w:r>
      <w:r>
        <w:rPr>
          <w:spacing w:val="-1"/>
        </w:rPr>
        <w:t>information</w:t>
      </w:r>
      <w:r>
        <w:rPr>
          <w:spacing w:val="23"/>
        </w:rPr>
        <w:t xml:space="preserve"> </w:t>
      </w:r>
      <w:r>
        <w:rPr>
          <w:spacing w:val="-1"/>
        </w:rPr>
        <w:t>and</w:t>
      </w:r>
      <w:r>
        <w:rPr>
          <w:spacing w:val="44"/>
        </w:rPr>
        <w:t xml:space="preserve"> </w:t>
      </w:r>
      <w:r>
        <w:rPr>
          <w:spacing w:val="-1"/>
        </w:rPr>
        <w:t>particulars</w:t>
      </w:r>
      <w:r>
        <w:rPr>
          <w:spacing w:val="8"/>
        </w:rPr>
        <w:t xml:space="preserve"> </w:t>
      </w:r>
      <w:r>
        <w:rPr>
          <w:spacing w:val="-1"/>
        </w:rPr>
        <w:t>as</w:t>
      </w:r>
      <w:r>
        <w:rPr>
          <w:spacing w:val="5"/>
        </w:rPr>
        <w:t xml:space="preserve"> </w:t>
      </w:r>
      <w:r>
        <w:t>the</w:t>
      </w:r>
      <w:r>
        <w:rPr>
          <w:spacing w:val="7"/>
        </w:rPr>
        <w:t xml:space="preserve"> </w:t>
      </w:r>
      <w:r>
        <w:rPr>
          <w:spacing w:val="-2"/>
        </w:rPr>
        <w:t>Customer</w:t>
      </w:r>
      <w:r>
        <w:rPr>
          <w:spacing w:val="6"/>
        </w:rPr>
        <w:t xml:space="preserve"> </w:t>
      </w:r>
      <w:r>
        <w:rPr>
          <w:spacing w:val="-1"/>
        </w:rPr>
        <w:t>may</w:t>
      </w:r>
      <w:r>
        <w:rPr>
          <w:spacing w:val="3"/>
        </w:rPr>
        <w:t xml:space="preserve"> </w:t>
      </w:r>
      <w:r>
        <w:t>from</w:t>
      </w:r>
      <w:r>
        <w:rPr>
          <w:spacing w:val="6"/>
        </w:rPr>
        <w:t xml:space="preserve"> </w:t>
      </w:r>
      <w:r>
        <w:rPr>
          <w:spacing w:val="-1"/>
        </w:rPr>
        <w:t>time</w:t>
      </w:r>
      <w:r>
        <w:rPr>
          <w:spacing w:val="5"/>
        </w:rPr>
        <w:t xml:space="preserve"> </w:t>
      </w:r>
      <w:r>
        <w:t>to</w:t>
      </w:r>
      <w:r>
        <w:rPr>
          <w:spacing w:val="7"/>
        </w:rPr>
        <w:t xml:space="preserve"> </w:t>
      </w:r>
      <w:r>
        <w:rPr>
          <w:spacing w:val="-1"/>
        </w:rPr>
        <w:t>time</w:t>
      </w:r>
      <w:r>
        <w:rPr>
          <w:spacing w:val="7"/>
        </w:rPr>
        <w:t xml:space="preserve"> </w:t>
      </w:r>
      <w:r>
        <w:rPr>
          <w:spacing w:val="-1"/>
        </w:rPr>
        <w:t>require</w:t>
      </w:r>
      <w:r>
        <w:rPr>
          <w:spacing w:val="3"/>
        </w:rPr>
        <w:t xml:space="preserve"> </w:t>
      </w:r>
      <w:r>
        <w:t>for</w:t>
      </w:r>
      <w:r>
        <w:rPr>
          <w:spacing w:val="9"/>
        </w:rPr>
        <w:t xml:space="preserve"> </w:t>
      </w:r>
      <w:r>
        <w:rPr>
          <w:spacing w:val="-1"/>
        </w:rPr>
        <w:t>the</w:t>
      </w:r>
      <w:r>
        <w:rPr>
          <w:spacing w:val="48"/>
        </w:rPr>
        <w:t xml:space="preserve"> </w:t>
      </w:r>
      <w:r>
        <w:rPr>
          <w:spacing w:val="-1"/>
        </w:rPr>
        <w:t>purposes</w:t>
      </w:r>
      <w:r>
        <w:rPr>
          <w:spacing w:val="8"/>
        </w:rPr>
        <w:t xml:space="preserve"> </w:t>
      </w:r>
      <w:r>
        <w:rPr>
          <w:spacing w:val="-2"/>
        </w:rPr>
        <w:t>of</w:t>
      </w:r>
      <w:r>
        <w:rPr>
          <w:spacing w:val="11"/>
        </w:rPr>
        <w:t xml:space="preserve"> </w:t>
      </w:r>
      <w:r>
        <w:rPr>
          <w:spacing w:val="-1"/>
        </w:rPr>
        <w:t>satisfying</w:t>
      </w:r>
      <w:r>
        <w:rPr>
          <w:spacing w:val="10"/>
        </w:rPr>
        <w:t xml:space="preserve"> </w:t>
      </w:r>
      <w:r>
        <w:rPr>
          <w:spacing w:val="-1"/>
        </w:rPr>
        <w:t>the</w:t>
      </w:r>
      <w:r>
        <w:rPr>
          <w:spacing w:val="7"/>
        </w:rPr>
        <w:t xml:space="preserve"> </w:t>
      </w:r>
      <w:r>
        <w:rPr>
          <w:spacing w:val="-1"/>
        </w:rPr>
        <w:t>Customer</w:t>
      </w:r>
      <w:r>
        <w:rPr>
          <w:spacing w:val="9"/>
        </w:rPr>
        <w:t xml:space="preserve"> </w:t>
      </w:r>
      <w:r>
        <w:rPr>
          <w:spacing w:val="-1"/>
        </w:rPr>
        <w:t>that</w:t>
      </w:r>
      <w:r>
        <w:rPr>
          <w:spacing w:val="9"/>
        </w:rPr>
        <w:t xml:space="preserve"> </w:t>
      </w:r>
      <w:r>
        <w:t>the</w:t>
      </w:r>
      <w:r>
        <w:rPr>
          <w:spacing w:val="7"/>
        </w:rPr>
        <w:t xml:space="preserve"> </w:t>
      </w:r>
      <w:r>
        <w:rPr>
          <w:spacing w:val="-1"/>
        </w:rPr>
        <w:t>obligations</w:t>
      </w:r>
      <w:r>
        <w:rPr>
          <w:spacing w:val="8"/>
        </w:rPr>
        <w:t xml:space="preserve"> </w:t>
      </w:r>
      <w:r>
        <w:rPr>
          <w:spacing w:val="-1"/>
        </w:rPr>
        <w:t>imposed</w:t>
      </w:r>
      <w:r>
        <w:rPr>
          <w:spacing w:val="25"/>
        </w:rPr>
        <w:t xml:space="preserve"> </w:t>
      </w:r>
      <w:r>
        <w:rPr>
          <w:spacing w:val="-1"/>
        </w:rPr>
        <w:t>by</w:t>
      </w:r>
      <w:r>
        <w:rPr>
          <w:spacing w:val="5"/>
        </w:rPr>
        <w:t xml:space="preserve"> </w:t>
      </w:r>
      <w:r>
        <w:rPr>
          <w:spacing w:val="-1"/>
        </w:rPr>
        <w:t>or</w:t>
      </w:r>
      <w:r>
        <w:rPr>
          <w:spacing w:val="9"/>
        </w:rPr>
        <w:t xml:space="preserve"> </w:t>
      </w:r>
      <w:r>
        <w:rPr>
          <w:spacing w:val="-1"/>
        </w:rPr>
        <w:t>under</w:t>
      </w:r>
      <w:r>
        <w:rPr>
          <w:spacing w:val="9"/>
        </w:rPr>
        <w:t xml:space="preserve"> </w:t>
      </w:r>
      <w:r>
        <w:rPr>
          <w:spacing w:val="-1"/>
        </w:rPr>
        <w:t>the</w:t>
      </w:r>
      <w:r>
        <w:rPr>
          <w:spacing w:val="5"/>
        </w:rPr>
        <w:t xml:space="preserve"> </w:t>
      </w:r>
      <w:r>
        <w:rPr>
          <w:spacing w:val="-1"/>
        </w:rPr>
        <w:t>foregoing</w:t>
      </w:r>
      <w:r>
        <w:rPr>
          <w:spacing w:val="10"/>
        </w:rPr>
        <w:t xml:space="preserve"> </w:t>
      </w:r>
      <w:r>
        <w:rPr>
          <w:spacing w:val="-2"/>
        </w:rPr>
        <w:t>provisions</w:t>
      </w:r>
      <w:r>
        <w:rPr>
          <w:spacing w:val="8"/>
        </w:rPr>
        <w:t xml:space="preserve"> </w:t>
      </w:r>
      <w:r>
        <w:rPr>
          <w:spacing w:val="-1"/>
        </w:rPr>
        <w:t>of</w:t>
      </w:r>
      <w:r>
        <w:rPr>
          <w:spacing w:val="9"/>
        </w:rPr>
        <w:t xml:space="preserve"> </w:t>
      </w:r>
      <w:r>
        <w:rPr>
          <w:spacing w:val="-1"/>
        </w:rPr>
        <w:t>this</w:t>
      </w:r>
      <w:r>
        <w:rPr>
          <w:spacing w:val="8"/>
        </w:rPr>
        <w:t xml:space="preserve"> </w:t>
      </w:r>
      <w:r>
        <w:rPr>
          <w:spacing w:val="-2"/>
        </w:rPr>
        <w:t>Clause</w:t>
      </w:r>
      <w:r>
        <w:rPr>
          <w:spacing w:val="8"/>
        </w:rPr>
        <w:t xml:space="preserve"> </w:t>
      </w:r>
      <w:r>
        <w:rPr>
          <w:spacing w:val="-1"/>
        </w:rPr>
        <w:t>57</w:t>
      </w:r>
      <w:r>
        <w:rPr>
          <w:spacing w:val="7"/>
        </w:rPr>
        <w:t xml:space="preserve"> </w:t>
      </w:r>
      <w:r>
        <w:rPr>
          <w:spacing w:val="-2"/>
        </w:rPr>
        <w:t>have</w:t>
      </w:r>
      <w:r>
        <w:rPr>
          <w:spacing w:val="7"/>
        </w:rPr>
        <w:t xml:space="preserve"> </w:t>
      </w:r>
      <w:r>
        <w:rPr>
          <w:spacing w:val="-1"/>
        </w:rPr>
        <w:t>been</w:t>
      </w:r>
      <w:r>
        <w:rPr>
          <w:spacing w:val="52"/>
        </w:rPr>
        <w:t xml:space="preserve"> </w:t>
      </w:r>
      <w:r>
        <w:rPr>
          <w:spacing w:val="-1"/>
        </w:rPr>
        <w:t>and</w:t>
      </w:r>
      <w:r>
        <w:rPr>
          <w:spacing w:val="10"/>
        </w:rPr>
        <w:t xml:space="preserve"> </w:t>
      </w:r>
      <w:r>
        <w:rPr>
          <w:spacing w:val="-1"/>
        </w:rPr>
        <w:t>are</w:t>
      </w:r>
      <w:r>
        <w:rPr>
          <w:spacing w:val="10"/>
        </w:rPr>
        <w:t xml:space="preserve"> </w:t>
      </w:r>
      <w:r>
        <w:rPr>
          <w:spacing w:val="-2"/>
        </w:rPr>
        <w:t>being</w:t>
      </w:r>
      <w:r>
        <w:rPr>
          <w:spacing w:val="12"/>
        </w:rPr>
        <w:t xml:space="preserve"> </w:t>
      </w:r>
      <w:r>
        <w:rPr>
          <w:spacing w:val="-2"/>
        </w:rPr>
        <w:t>observed</w:t>
      </w:r>
      <w:r>
        <w:rPr>
          <w:spacing w:val="10"/>
        </w:rPr>
        <w:t xml:space="preserve"> </w:t>
      </w:r>
      <w:r>
        <w:rPr>
          <w:spacing w:val="-1"/>
        </w:rPr>
        <w:t>and</w:t>
      </w:r>
      <w:r>
        <w:rPr>
          <w:spacing w:val="10"/>
        </w:rPr>
        <w:t xml:space="preserve"> </w:t>
      </w:r>
      <w:r>
        <w:rPr>
          <w:spacing w:val="-1"/>
        </w:rPr>
        <w:t>as</w:t>
      </w:r>
      <w:r>
        <w:rPr>
          <w:spacing w:val="10"/>
        </w:rPr>
        <w:t xml:space="preserve"> </w:t>
      </w:r>
      <w:r>
        <w:t>to</w:t>
      </w:r>
      <w:r>
        <w:rPr>
          <w:spacing w:val="7"/>
        </w:rPr>
        <w:t xml:space="preserve"> </w:t>
      </w:r>
      <w:r>
        <w:rPr>
          <w:spacing w:val="-2"/>
        </w:rPr>
        <w:t>what</w:t>
      </w:r>
      <w:r>
        <w:rPr>
          <w:spacing w:val="11"/>
        </w:rPr>
        <w:t xml:space="preserve"> </w:t>
      </w:r>
      <w:r>
        <w:t>the</w:t>
      </w:r>
      <w:r>
        <w:rPr>
          <w:spacing w:val="10"/>
        </w:rPr>
        <w:t xml:space="preserve"> </w:t>
      </w:r>
      <w:r>
        <w:rPr>
          <w:spacing w:val="-2"/>
        </w:rPr>
        <w:t>Supplier</w:t>
      </w:r>
      <w:r>
        <w:rPr>
          <w:spacing w:val="11"/>
        </w:rPr>
        <w:t xml:space="preserve"> </w:t>
      </w:r>
      <w:r>
        <w:rPr>
          <w:spacing w:val="-1"/>
        </w:rPr>
        <w:t>has</w:t>
      </w:r>
      <w:r>
        <w:rPr>
          <w:spacing w:val="10"/>
        </w:rPr>
        <w:t xml:space="preserve"> </w:t>
      </w:r>
      <w:r>
        <w:rPr>
          <w:spacing w:val="-1"/>
        </w:rPr>
        <w:t>done</w:t>
      </w:r>
      <w:r>
        <w:rPr>
          <w:spacing w:val="10"/>
        </w:rPr>
        <w:t xml:space="preserve"> </w:t>
      </w:r>
      <w:r>
        <w:rPr>
          <w:spacing w:val="-1"/>
        </w:rPr>
        <w:t>or</w:t>
      </w:r>
      <w:r>
        <w:rPr>
          <w:spacing w:val="48"/>
        </w:rPr>
        <w:t xml:space="preserve"> </w:t>
      </w:r>
      <w:r>
        <w:rPr>
          <w:spacing w:val="-1"/>
        </w:rPr>
        <w:t>is</w:t>
      </w:r>
      <w:r>
        <w:rPr>
          <w:spacing w:val="44"/>
        </w:rPr>
        <w:t xml:space="preserve"> </w:t>
      </w:r>
      <w:r>
        <w:rPr>
          <w:spacing w:val="-1"/>
        </w:rPr>
        <w:t>doing</w:t>
      </w:r>
      <w:r>
        <w:rPr>
          <w:spacing w:val="46"/>
        </w:rPr>
        <w:t xml:space="preserve"> </w:t>
      </w:r>
      <w:r>
        <w:rPr>
          <w:spacing w:val="-2"/>
        </w:rPr>
        <w:t>or</w:t>
      </w:r>
      <w:r>
        <w:rPr>
          <w:spacing w:val="45"/>
        </w:rPr>
        <w:t xml:space="preserve"> </w:t>
      </w:r>
      <w:r>
        <w:rPr>
          <w:spacing w:val="-1"/>
        </w:rPr>
        <w:t>proposes</w:t>
      </w:r>
      <w:r>
        <w:rPr>
          <w:spacing w:val="41"/>
        </w:rPr>
        <w:t xml:space="preserve"> </w:t>
      </w:r>
      <w:r>
        <w:t>to</w:t>
      </w:r>
      <w:r>
        <w:rPr>
          <w:spacing w:val="41"/>
        </w:rPr>
        <w:t xml:space="preserve"> </w:t>
      </w:r>
      <w:r>
        <w:rPr>
          <w:spacing w:val="-1"/>
        </w:rPr>
        <w:t>do</w:t>
      </w:r>
      <w:r>
        <w:rPr>
          <w:spacing w:val="43"/>
        </w:rPr>
        <w:t xml:space="preserve"> </w:t>
      </w:r>
      <w:r>
        <w:t>to</w:t>
      </w:r>
      <w:r>
        <w:rPr>
          <w:spacing w:val="42"/>
        </w:rPr>
        <w:t xml:space="preserve"> </w:t>
      </w:r>
      <w:r>
        <w:rPr>
          <w:spacing w:val="-1"/>
        </w:rPr>
        <w:t>secure</w:t>
      </w:r>
      <w:r>
        <w:rPr>
          <w:spacing w:val="41"/>
        </w:rPr>
        <w:t xml:space="preserve"> </w:t>
      </w:r>
      <w:r>
        <w:t>the</w:t>
      </w:r>
      <w:r>
        <w:rPr>
          <w:spacing w:val="43"/>
        </w:rPr>
        <w:t xml:space="preserve"> </w:t>
      </w:r>
      <w:r>
        <w:rPr>
          <w:spacing w:val="-2"/>
        </w:rPr>
        <w:t>observance</w:t>
      </w:r>
      <w:r>
        <w:rPr>
          <w:spacing w:val="44"/>
        </w:rPr>
        <w:t xml:space="preserve"> </w:t>
      </w:r>
      <w:r>
        <w:rPr>
          <w:spacing w:val="-2"/>
        </w:rPr>
        <w:t>of</w:t>
      </w:r>
      <w:r>
        <w:rPr>
          <w:spacing w:val="45"/>
        </w:rPr>
        <w:t xml:space="preserve"> </w:t>
      </w:r>
      <w:r>
        <w:rPr>
          <w:spacing w:val="-1"/>
        </w:rPr>
        <w:t>those</w:t>
      </w:r>
      <w:r>
        <w:rPr>
          <w:spacing w:val="34"/>
        </w:rPr>
        <w:t xml:space="preserve"> </w:t>
      </w:r>
      <w:r>
        <w:rPr>
          <w:spacing w:val="-1"/>
        </w:rPr>
        <w:t>obligations</w:t>
      </w:r>
      <w:r>
        <w:rPr>
          <w:spacing w:val="27"/>
        </w:rPr>
        <w:t xml:space="preserve"> </w:t>
      </w:r>
      <w:r>
        <w:rPr>
          <w:spacing w:val="-1"/>
        </w:rPr>
        <w:t>and</w:t>
      </w:r>
      <w:r>
        <w:rPr>
          <w:spacing w:val="24"/>
        </w:rPr>
        <w:t xml:space="preserve"> </w:t>
      </w:r>
      <w:r>
        <w:t>to</w:t>
      </w:r>
      <w:r>
        <w:rPr>
          <w:spacing w:val="27"/>
        </w:rPr>
        <w:t xml:space="preserve"> </w:t>
      </w:r>
      <w:r>
        <w:rPr>
          <w:spacing w:val="-1"/>
        </w:rPr>
        <w:t>prevent</w:t>
      </w:r>
      <w:r>
        <w:rPr>
          <w:spacing w:val="28"/>
        </w:rPr>
        <w:t xml:space="preserve"> </w:t>
      </w:r>
      <w:r>
        <w:rPr>
          <w:spacing w:val="-1"/>
        </w:rPr>
        <w:t>any</w:t>
      </w:r>
      <w:r>
        <w:rPr>
          <w:spacing w:val="25"/>
        </w:rPr>
        <w:t xml:space="preserve"> </w:t>
      </w:r>
      <w:r>
        <w:rPr>
          <w:spacing w:val="-1"/>
        </w:rPr>
        <w:t>breach</w:t>
      </w:r>
      <w:r>
        <w:rPr>
          <w:spacing w:val="27"/>
        </w:rPr>
        <w:t xml:space="preserve"> </w:t>
      </w:r>
      <w:r>
        <w:rPr>
          <w:spacing w:val="-1"/>
        </w:rPr>
        <w:t>thereof,</w:t>
      </w:r>
      <w:r>
        <w:rPr>
          <w:spacing w:val="28"/>
        </w:rPr>
        <w:t xml:space="preserve"> </w:t>
      </w:r>
      <w:r>
        <w:rPr>
          <w:spacing w:val="-2"/>
        </w:rPr>
        <w:t>and</w:t>
      </w:r>
      <w:r>
        <w:rPr>
          <w:spacing w:val="27"/>
        </w:rPr>
        <w:t xml:space="preserve"> </w:t>
      </w:r>
      <w:r>
        <w:t>the</w:t>
      </w:r>
      <w:r>
        <w:rPr>
          <w:spacing w:val="27"/>
        </w:rPr>
        <w:t xml:space="preserve"> </w:t>
      </w:r>
      <w:r>
        <w:rPr>
          <w:spacing w:val="-2"/>
        </w:rPr>
        <w:t>Supplier</w:t>
      </w:r>
      <w:r>
        <w:rPr>
          <w:spacing w:val="34"/>
        </w:rPr>
        <w:t xml:space="preserve"> </w:t>
      </w:r>
      <w:r>
        <w:rPr>
          <w:spacing w:val="-1"/>
        </w:rPr>
        <w:t>shall</w:t>
      </w:r>
      <w:r>
        <w:rPr>
          <w:spacing w:val="7"/>
        </w:rPr>
        <w:t xml:space="preserve"> </w:t>
      </w:r>
      <w:r>
        <w:rPr>
          <w:spacing w:val="-1"/>
        </w:rPr>
        <w:t>secure</w:t>
      </w:r>
      <w:r>
        <w:rPr>
          <w:spacing w:val="8"/>
        </w:rPr>
        <w:t xml:space="preserve"> </w:t>
      </w:r>
      <w:r>
        <w:rPr>
          <w:spacing w:val="-1"/>
        </w:rPr>
        <w:t>that</w:t>
      </w:r>
      <w:r>
        <w:rPr>
          <w:spacing w:val="9"/>
        </w:rPr>
        <w:t xml:space="preserve"> </w:t>
      </w:r>
      <w:r>
        <w:t>a</w:t>
      </w:r>
      <w:r>
        <w:rPr>
          <w:spacing w:val="8"/>
        </w:rPr>
        <w:t xml:space="preserve"> </w:t>
      </w:r>
      <w:r>
        <w:rPr>
          <w:spacing w:val="-1"/>
        </w:rPr>
        <w:t>representative</w:t>
      </w:r>
      <w:r>
        <w:rPr>
          <w:spacing w:val="8"/>
        </w:rPr>
        <w:t xml:space="preserve"> </w:t>
      </w:r>
      <w:r>
        <w:rPr>
          <w:spacing w:val="-1"/>
        </w:rPr>
        <w:t>of</w:t>
      </w:r>
      <w:r>
        <w:rPr>
          <w:spacing w:val="11"/>
        </w:rPr>
        <w:t xml:space="preserve"> </w:t>
      </w:r>
      <w:r>
        <w:t>the</w:t>
      </w:r>
      <w:r>
        <w:rPr>
          <w:spacing w:val="5"/>
        </w:rPr>
        <w:t xml:space="preserve"> </w:t>
      </w:r>
      <w:r>
        <w:rPr>
          <w:spacing w:val="-1"/>
        </w:rPr>
        <w:t>Customer</w:t>
      </w:r>
      <w:r>
        <w:t xml:space="preserve"> </w:t>
      </w:r>
      <w:r>
        <w:rPr>
          <w:spacing w:val="9"/>
        </w:rPr>
        <w:t xml:space="preserve"> </w:t>
      </w:r>
      <w:r>
        <w:rPr>
          <w:spacing w:val="-1"/>
        </w:rPr>
        <w:t>duly</w:t>
      </w:r>
      <w:r>
        <w:rPr>
          <w:spacing w:val="29"/>
        </w:rPr>
        <w:t xml:space="preserve"> </w:t>
      </w:r>
      <w:r>
        <w:rPr>
          <w:spacing w:val="-1"/>
        </w:rPr>
        <w:t>authorised</w:t>
      </w:r>
      <w:r>
        <w:rPr>
          <w:spacing w:val="5"/>
        </w:rPr>
        <w:t xml:space="preserve"> </w:t>
      </w:r>
      <w:r>
        <w:rPr>
          <w:spacing w:val="-1"/>
        </w:rPr>
        <w:t>in</w:t>
      </w:r>
      <w:r>
        <w:rPr>
          <w:spacing w:val="5"/>
        </w:rPr>
        <w:t xml:space="preserve"> </w:t>
      </w:r>
      <w:r>
        <w:rPr>
          <w:spacing w:val="-2"/>
        </w:rPr>
        <w:t>writing</w:t>
      </w:r>
      <w:r>
        <w:rPr>
          <w:spacing w:val="7"/>
        </w:rPr>
        <w:t xml:space="preserve"> </w:t>
      </w:r>
      <w:r>
        <w:rPr>
          <w:spacing w:val="-2"/>
        </w:rPr>
        <w:t>shall</w:t>
      </w:r>
      <w:r>
        <w:rPr>
          <w:spacing w:val="4"/>
        </w:rPr>
        <w:t xml:space="preserve"> </w:t>
      </w:r>
      <w:r>
        <w:rPr>
          <w:spacing w:val="-1"/>
        </w:rPr>
        <w:t>be</w:t>
      </w:r>
      <w:r>
        <w:rPr>
          <w:spacing w:val="5"/>
        </w:rPr>
        <w:t xml:space="preserve"> </w:t>
      </w:r>
      <w:r>
        <w:rPr>
          <w:spacing w:val="-1"/>
        </w:rPr>
        <w:t>entitled</w:t>
      </w:r>
      <w:r>
        <w:rPr>
          <w:spacing w:val="5"/>
        </w:rPr>
        <w:t xml:space="preserve"> </w:t>
      </w:r>
      <w:r>
        <w:rPr>
          <w:spacing w:val="-2"/>
        </w:rPr>
        <w:t>at</w:t>
      </w:r>
      <w:r>
        <w:rPr>
          <w:spacing w:val="4"/>
        </w:rPr>
        <w:t xml:space="preserve"> </w:t>
      </w:r>
      <w:r>
        <w:rPr>
          <w:spacing w:val="-1"/>
        </w:rPr>
        <w:t>reasonable</w:t>
      </w:r>
      <w:r>
        <w:rPr>
          <w:spacing w:val="5"/>
        </w:rPr>
        <w:t xml:space="preserve"> </w:t>
      </w:r>
      <w:r>
        <w:rPr>
          <w:spacing w:val="-1"/>
        </w:rPr>
        <w:t>times</w:t>
      </w:r>
      <w:r>
        <w:rPr>
          <w:spacing w:val="3"/>
        </w:rPr>
        <w:t xml:space="preserve"> </w:t>
      </w:r>
      <w:r>
        <w:t>to</w:t>
      </w:r>
      <w:r>
        <w:rPr>
          <w:spacing w:val="3"/>
        </w:rPr>
        <w:t xml:space="preserve"> </w:t>
      </w:r>
      <w:r>
        <w:rPr>
          <w:spacing w:val="-1"/>
        </w:rPr>
        <w:t>enter</w:t>
      </w:r>
      <w:r>
        <w:rPr>
          <w:spacing w:val="45"/>
        </w:rPr>
        <w:t xml:space="preserve"> </w:t>
      </w:r>
      <w:r>
        <w:rPr>
          <w:spacing w:val="-1"/>
        </w:rPr>
        <w:t>and</w:t>
      </w:r>
      <w:r>
        <w:rPr>
          <w:spacing w:val="3"/>
        </w:rPr>
        <w:t xml:space="preserve"> </w:t>
      </w:r>
      <w:r>
        <w:rPr>
          <w:spacing w:val="-1"/>
        </w:rPr>
        <w:t>inspect</w:t>
      </w:r>
      <w:r>
        <w:rPr>
          <w:spacing w:val="5"/>
        </w:rPr>
        <w:t xml:space="preserve"> </w:t>
      </w:r>
      <w:r>
        <w:rPr>
          <w:spacing w:val="-1"/>
        </w:rPr>
        <w:t>any</w:t>
      </w:r>
      <w:r>
        <w:rPr>
          <w:spacing w:val="1"/>
        </w:rPr>
        <w:t xml:space="preserve"> </w:t>
      </w:r>
      <w:r>
        <w:rPr>
          <w:spacing w:val="-1"/>
        </w:rPr>
        <w:t>premises</w:t>
      </w:r>
      <w:r>
        <w:rPr>
          <w:spacing w:val="3"/>
        </w:rPr>
        <w:t xml:space="preserve"> </w:t>
      </w:r>
      <w:r>
        <w:rPr>
          <w:spacing w:val="-1"/>
        </w:rPr>
        <w:t>in</w:t>
      </w:r>
      <w:r>
        <w:rPr>
          <w:spacing w:val="5"/>
        </w:rPr>
        <w:t xml:space="preserve"> </w:t>
      </w:r>
      <w:r>
        <w:rPr>
          <w:spacing w:val="-2"/>
        </w:rPr>
        <w:t>which</w:t>
      </w:r>
      <w:r>
        <w:rPr>
          <w:spacing w:val="3"/>
        </w:rPr>
        <w:t xml:space="preserve"> </w:t>
      </w:r>
      <w:r>
        <w:rPr>
          <w:spacing w:val="-1"/>
        </w:rPr>
        <w:t>anything</w:t>
      </w:r>
      <w:r>
        <w:rPr>
          <w:spacing w:val="5"/>
        </w:rPr>
        <w:t xml:space="preserve"> </w:t>
      </w:r>
      <w:r>
        <w:rPr>
          <w:spacing w:val="-1"/>
        </w:rPr>
        <w:t>is</w:t>
      </w:r>
      <w:r>
        <w:rPr>
          <w:spacing w:val="3"/>
        </w:rPr>
        <w:t xml:space="preserve"> </w:t>
      </w:r>
      <w:r>
        <w:rPr>
          <w:spacing w:val="-1"/>
        </w:rPr>
        <w:t>being</w:t>
      </w:r>
      <w:r>
        <w:rPr>
          <w:spacing w:val="5"/>
        </w:rPr>
        <w:t xml:space="preserve"> </w:t>
      </w:r>
      <w:r>
        <w:rPr>
          <w:spacing w:val="-1"/>
        </w:rPr>
        <w:t>done</w:t>
      </w:r>
      <w:r>
        <w:rPr>
          <w:spacing w:val="3"/>
        </w:rPr>
        <w:t xml:space="preserve"> </w:t>
      </w:r>
      <w:r>
        <w:rPr>
          <w:spacing w:val="-1"/>
        </w:rPr>
        <w:t>or</w:t>
      </w:r>
      <w:r>
        <w:rPr>
          <w:spacing w:val="4"/>
        </w:rPr>
        <w:t xml:space="preserve"> </w:t>
      </w:r>
      <w:r>
        <w:rPr>
          <w:spacing w:val="-1"/>
        </w:rPr>
        <w:t>is</w:t>
      </w:r>
      <w:r>
        <w:rPr>
          <w:spacing w:val="3"/>
        </w:rPr>
        <w:t xml:space="preserve"> </w:t>
      </w:r>
      <w:r>
        <w:t>to</w:t>
      </w:r>
      <w:r>
        <w:rPr>
          <w:spacing w:val="35"/>
        </w:rPr>
        <w:t xml:space="preserve"> </w:t>
      </w:r>
      <w:r>
        <w:rPr>
          <w:spacing w:val="-1"/>
        </w:rPr>
        <w:t>be</w:t>
      </w:r>
      <w:r>
        <w:rPr>
          <w:spacing w:val="3"/>
        </w:rPr>
        <w:t xml:space="preserve"> </w:t>
      </w:r>
      <w:r>
        <w:rPr>
          <w:spacing w:val="-1"/>
        </w:rPr>
        <w:t>done</w:t>
      </w:r>
      <w:r>
        <w:rPr>
          <w:spacing w:val="3"/>
        </w:rPr>
        <w:t xml:space="preserve"> </w:t>
      </w:r>
      <w:r>
        <w:rPr>
          <w:spacing w:val="-1"/>
        </w:rPr>
        <w:t>under</w:t>
      </w:r>
      <w:r>
        <w:rPr>
          <w:spacing w:val="4"/>
        </w:rPr>
        <w:t xml:space="preserve"> </w:t>
      </w:r>
      <w:r>
        <w:rPr>
          <w:spacing w:val="-1"/>
        </w:rPr>
        <w:t>this</w:t>
      </w:r>
      <w:r>
        <w:rPr>
          <w:spacing w:val="3"/>
        </w:rPr>
        <w:t xml:space="preserve"> </w:t>
      </w:r>
      <w:r>
        <w:rPr>
          <w:spacing w:val="-2"/>
        </w:rPr>
        <w:t>Call</w:t>
      </w:r>
      <w:r>
        <w:rPr>
          <w:spacing w:val="2"/>
        </w:rPr>
        <w:t xml:space="preserve"> </w:t>
      </w:r>
      <w:r>
        <w:rPr>
          <w:spacing w:val="-1"/>
        </w:rPr>
        <w:t>Off</w:t>
      </w:r>
      <w:r>
        <w:rPr>
          <w:spacing w:val="4"/>
        </w:rPr>
        <w:t xml:space="preserve"> </w:t>
      </w:r>
      <w:r>
        <w:rPr>
          <w:spacing w:val="-1"/>
        </w:rPr>
        <w:t>Contract</w:t>
      </w:r>
      <w:r>
        <w:rPr>
          <w:spacing w:val="5"/>
        </w:rPr>
        <w:t xml:space="preserve"> </w:t>
      </w:r>
      <w:r>
        <w:rPr>
          <w:spacing w:val="-2"/>
        </w:rPr>
        <w:t>or</w:t>
      </w:r>
      <w:r>
        <w:rPr>
          <w:spacing w:val="4"/>
        </w:rPr>
        <w:t xml:space="preserve"> </w:t>
      </w:r>
      <w:r>
        <w:rPr>
          <w:spacing w:val="-1"/>
        </w:rPr>
        <w:t>in</w:t>
      </w:r>
      <w:r>
        <w:rPr>
          <w:spacing w:val="3"/>
        </w:rPr>
        <w:t xml:space="preserve"> </w:t>
      </w:r>
      <w:r>
        <w:rPr>
          <w:spacing w:val="-2"/>
        </w:rPr>
        <w:t>which</w:t>
      </w:r>
      <w:r>
        <w:rPr>
          <w:spacing w:val="3"/>
        </w:rPr>
        <w:t xml:space="preserve"> </w:t>
      </w:r>
      <w:r>
        <w:rPr>
          <w:spacing w:val="-1"/>
        </w:rPr>
        <w:t>there</w:t>
      </w:r>
      <w:r>
        <w:rPr>
          <w:spacing w:val="3"/>
        </w:rPr>
        <w:t xml:space="preserve"> </w:t>
      </w:r>
      <w:r>
        <w:rPr>
          <w:spacing w:val="-1"/>
        </w:rPr>
        <w:t>is</w:t>
      </w:r>
      <w:r>
        <w:rPr>
          <w:spacing w:val="3"/>
        </w:rPr>
        <w:t xml:space="preserve"> </w:t>
      </w:r>
      <w:r>
        <w:rPr>
          <w:spacing w:val="-1"/>
        </w:rPr>
        <w:t>or</w:t>
      </w:r>
      <w:r>
        <w:rPr>
          <w:spacing w:val="4"/>
        </w:rPr>
        <w:t xml:space="preserve"> </w:t>
      </w:r>
      <w:r>
        <w:rPr>
          <w:spacing w:val="-2"/>
        </w:rPr>
        <w:t>will</w:t>
      </w:r>
      <w:r>
        <w:rPr>
          <w:spacing w:val="2"/>
        </w:rPr>
        <w:t xml:space="preserve"> </w:t>
      </w:r>
      <w:r>
        <w:rPr>
          <w:spacing w:val="1"/>
        </w:rPr>
        <w:t>be</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left="2423" w:right="112" w:firstLine="0"/>
        <w:jc w:val="both"/>
      </w:pPr>
      <w:r>
        <w:rPr>
          <w:spacing w:val="-1"/>
        </w:rPr>
        <w:t>any</w:t>
      </w:r>
      <w:r>
        <w:rPr>
          <w:spacing w:val="15"/>
        </w:rPr>
        <w:t xml:space="preserve"> </w:t>
      </w:r>
      <w:r>
        <w:rPr>
          <w:spacing w:val="-1"/>
        </w:rPr>
        <w:t>item</w:t>
      </w:r>
      <w:r>
        <w:rPr>
          <w:spacing w:val="19"/>
        </w:rPr>
        <w:t xml:space="preserve"> </w:t>
      </w:r>
      <w:r>
        <w:t>to</w:t>
      </w:r>
      <w:r>
        <w:rPr>
          <w:spacing w:val="17"/>
        </w:rPr>
        <w:t xml:space="preserve"> </w:t>
      </w:r>
      <w:r>
        <w:rPr>
          <w:spacing w:val="-1"/>
        </w:rPr>
        <w:t>be</w:t>
      </w:r>
      <w:r>
        <w:rPr>
          <w:spacing w:val="15"/>
        </w:rPr>
        <w:t xml:space="preserve"> </w:t>
      </w:r>
      <w:r>
        <w:rPr>
          <w:spacing w:val="-1"/>
        </w:rPr>
        <w:t>supplied</w:t>
      </w:r>
      <w:r>
        <w:rPr>
          <w:spacing w:val="17"/>
        </w:rPr>
        <w:t xml:space="preserve"> </w:t>
      </w:r>
      <w:r>
        <w:rPr>
          <w:spacing w:val="-1"/>
        </w:rPr>
        <w:t>under</w:t>
      </w:r>
      <w:r>
        <w:rPr>
          <w:spacing w:val="19"/>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16"/>
        </w:rPr>
        <w:t xml:space="preserve"> </w:t>
      </w:r>
      <w:r>
        <w:rPr>
          <w:spacing w:val="-1"/>
        </w:rPr>
        <w:t>Contract,</w:t>
      </w:r>
      <w:r>
        <w:rPr>
          <w:spacing w:val="16"/>
        </w:rPr>
        <w:t xml:space="preserve"> </w:t>
      </w:r>
      <w:r>
        <w:rPr>
          <w:spacing w:val="-1"/>
        </w:rPr>
        <w:t>and</w:t>
      </w:r>
      <w:r>
        <w:rPr>
          <w:spacing w:val="17"/>
        </w:rPr>
        <w:t xml:space="preserve"> </w:t>
      </w:r>
      <w:r>
        <w:rPr>
          <w:spacing w:val="-1"/>
        </w:rPr>
        <w:t>also</w:t>
      </w:r>
      <w:r>
        <w:rPr>
          <w:spacing w:val="18"/>
        </w:rPr>
        <w:t xml:space="preserve"> </w:t>
      </w:r>
      <w:r>
        <w:t>to</w:t>
      </w:r>
      <w:r>
        <w:rPr>
          <w:spacing w:val="31"/>
        </w:rPr>
        <w:t xml:space="preserve"> </w:t>
      </w:r>
      <w:r>
        <w:rPr>
          <w:spacing w:val="-1"/>
        </w:rPr>
        <w:t>inspect</w:t>
      </w:r>
      <w:r>
        <w:rPr>
          <w:spacing w:val="26"/>
        </w:rPr>
        <w:t xml:space="preserve"> </w:t>
      </w:r>
      <w:r>
        <w:rPr>
          <w:spacing w:val="-1"/>
        </w:rPr>
        <w:t>any</w:t>
      </w:r>
      <w:r>
        <w:rPr>
          <w:spacing w:val="22"/>
        </w:rPr>
        <w:t xml:space="preserve"> </w:t>
      </w:r>
      <w:r>
        <w:rPr>
          <w:spacing w:val="-1"/>
        </w:rPr>
        <w:t>document</w:t>
      </w:r>
      <w:r>
        <w:rPr>
          <w:spacing w:val="26"/>
        </w:rPr>
        <w:t xml:space="preserve"> </w:t>
      </w:r>
      <w:r>
        <w:rPr>
          <w:spacing w:val="-2"/>
        </w:rPr>
        <w:t>or</w:t>
      </w:r>
      <w:r>
        <w:rPr>
          <w:spacing w:val="26"/>
        </w:rPr>
        <w:t xml:space="preserve"> </w:t>
      </w:r>
      <w:r>
        <w:rPr>
          <w:spacing w:val="-1"/>
        </w:rPr>
        <w:t>item</w:t>
      </w:r>
      <w:r>
        <w:rPr>
          <w:spacing w:val="26"/>
        </w:rPr>
        <w:t xml:space="preserve"> </w:t>
      </w:r>
      <w:r>
        <w:rPr>
          <w:spacing w:val="-1"/>
        </w:rPr>
        <w:t>in</w:t>
      </w:r>
      <w:r>
        <w:rPr>
          <w:spacing w:val="24"/>
        </w:rPr>
        <w:t xml:space="preserve"> </w:t>
      </w:r>
      <w:r>
        <w:rPr>
          <w:spacing w:val="-1"/>
        </w:rPr>
        <w:t>any</w:t>
      </w:r>
      <w:r>
        <w:rPr>
          <w:spacing w:val="22"/>
        </w:rPr>
        <w:t xml:space="preserve"> </w:t>
      </w:r>
      <w:r>
        <w:rPr>
          <w:spacing w:val="-1"/>
        </w:rPr>
        <w:t>such</w:t>
      </w:r>
      <w:r>
        <w:rPr>
          <w:spacing w:val="25"/>
        </w:rPr>
        <w:t xml:space="preserve"> </w:t>
      </w:r>
      <w:r>
        <w:rPr>
          <w:spacing w:val="-1"/>
        </w:rPr>
        <w:t>premises</w:t>
      </w:r>
      <w:r>
        <w:rPr>
          <w:spacing w:val="25"/>
        </w:rPr>
        <w:t xml:space="preserve"> </w:t>
      </w:r>
      <w:r>
        <w:rPr>
          <w:spacing w:val="-1"/>
        </w:rPr>
        <w:t>or</w:t>
      </w:r>
      <w:r>
        <w:rPr>
          <w:spacing w:val="26"/>
        </w:rPr>
        <w:t xml:space="preserve"> </w:t>
      </w:r>
      <w:r>
        <w:rPr>
          <w:spacing w:val="-1"/>
        </w:rPr>
        <w:t>which</w:t>
      </w:r>
      <w:r>
        <w:rPr>
          <w:spacing w:val="25"/>
        </w:rPr>
        <w:t xml:space="preserve"> </w:t>
      </w:r>
      <w:r>
        <w:t>is</w:t>
      </w:r>
      <w:r>
        <w:rPr>
          <w:spacing w:val="29"/>
        </w:rPr>
        <w:t xml:space="preserve"> </w:t>
      </w:r>
      <w:r>
        <w:rPr>
          <w:spacing w:val="-1"/>
        </w:rPr>
        <w:t>being</w:t>
      </w:r>
      <w:r>
        <w:rPr>
          <w:spacing w:val="3"/>
        </w:rPr>
        <w:t xml:space="preserve"> </w:t>
      </w:r>
      <w:r>
        <w:rPr>
          <w:spacing w:val="-1"/>
        </w:rPr>
        <w:t>made</w:t>
      </w:r>
      <w:r>
        <w:t xml:space="preserve"> </w:t>
      </w:r>
      <w:r>
        <w:rPr>
          <w:spacing w:val="-1"/>
        </w:rPr>
        <w:t>or</w:t>
      </w:r>
      <w:r>
        <w:rPr>
          <w:spacing w:val="2"/>
        </w:rPr>
        <w:t xml:space="preserve"> </w:t>
      </w:r>
      <w:r>
        <w:rPr>
          <w:spacing w:val="-1"/>
        </w:rPr>
        <w:t>used</w:t>
      </w:r>
      <w:r>
        <w:rPr>
          <w:spacing w:val="-2"/>
        </w:rPr>
        <w:t xml:space="preserve"> </w:t>
      </w:r>
      <w:r>
        <w:t>for</w:t>
      </w:r>
      <w:r>
        <w:rPr>
          <w:spacing w:val="2"/>
        </w:rPr>
        <w:t xml:space="preserve"> </w:t>
      </w:r>
      <w:r>
        <w:rPr>
          <w:spacing w:val="-1"/>
        </w:rPr>
        <w:t>the</w:t>
      </w:r>
      <w:r>
        <w:t xml:space="preserve"> </w:t>
      </w:r>
      <w:r>
        <w:rPr>
          <w:spacing w:val="-1"/>
        </w:rPr>
        <w:t>purposes</w:t>
      </w:r>
      <w:r>
        <w:rPr>
          <w:spacing w:val="1"/>
        </w:rPr>
        <w:t xml:space="preserve"> </w:t>
      </w:r>
      <w:r>
        <w:rPr>
          <w:spacing w:val="-2"/>
        </w:rPr>
        <w:t>of</w:t>
      </w:r>
      <w:r>
        <w:rPr>
          <w:spacing w:val="4"/>
        </w:rPr>
        <w:t xml:space="preserve"> </w:t>
      </w:r>
      <w:r>
        <w:rPr>
          <w:spacing w:val="-1"/>
        </w:rPr>
        <w:t>this</w:t>
      </w:r>
      <w:r>
        <w:rPr>
          <w:spacing w:val="1"/>
        </w:rPr>
        <w:t xml:space="preserve"> </w:t>
      </w:r>
      <w:r>
        <w:rPr>
          <w:spacing w:val="-2"/>
        </w:rPr>
        <w:t>Call</w:t>
      </w:r>
      <w:r>
        <w:rPr>
          <w:spacing w:val="2"/>
        </w:rPr>
        <w:t xml:space="preserve"> </w:t>
      </w:r>
      <w:r>
        <w:rPr>
          <w:spacing w:val="-1"/>
        </w:rPr>
        <w:t>Off</w:t>
      </w:r>
      <w:r>
        <w:rPr>
          <w:spacing w:val="4"/>
        </w:rPr>
        <w:t xml:space="preserve"> </w:t>
      </w:r>
      <w:r>
        <w:rPr>
          <w:spacing w:val="-2"/>
        </w:rPr>
        <w:t>Contract</w:t>
      </w:r>
      <w:r>
        <w:rPr>
          <w:spacing w:val="2"/>
        </w:rPr>
        <w:t xml:space="preserve"> </w:t>
      </w:r>
      <w:r>
        <w:rPr>
          <w:spacing w:val="-1"/>
        </w:rPr>
        <w:t>and</w:t>
      </w:r>
      <w:r>
        <w:rPr>
          <w:spacing w:val="46"/>
        </w:rPr>
        <w:t xml:space="preserve"> </w:t>
      </w:r>
      <w:r>
        <w:rPr>
          <w:spacing w:val="-1"/>
        </w:rPr>
        <w:t>that</w:t>
      </w:r>
      <w:r>
        <w:rPr>
          <w:spacing w:val="28"/>
        </w:rPr>
        <w:t xml:space="preserve"> </w:t>
      </w:r>
      <w:r>
        <w:rPr>
          <w:spacing w:val="-1"/>
        </w:rPr>
        <w:t>any</w:t>
      </w:r>
      <w:r>
        <w:rPr>
          <w:spacing w:val="25"/>
        </w:rPr>
        <w:t xml:space="preserve"> </w:t>
      </w:r>
      <w:r>
        <w:rPr>
          <w:spacing w:val="-1"/>
        </w:rPr>
        <w:t>such</w:t>
      </w:r>
      <w:r>
        <w:rPr>
          <w:spacing w:val="27"/>
        </w:rPr>
        <w:t xml:space="preserve"> </w:t>
      </w:r>
      <w:r>
        <w:rPr>
          <w:spacing w:val="-1"/>
        </w:rPr>
        <w:t>representative</w:t>
      </w:r>
      <w:r>
        <w:rPr>
          <w:spacing w:val="27"/>
        </w:rPr>
        <w:t xml:space="preserve"> </w:t>
      </w:r>
      <w:r>
        <w:rPr>
          <w:spacing w:val="-1"/>
        </w:rPr>
        <w:t>shall</w:t>
      </w:r>
      <w:r>
        <w:rPr>
          <w:spacing w:val="26"/>
        </w:rPr>
        <w:t xml:space="preserve"> </w:t>
      </w:r>
      <w:r>
        <w:rPr>
          <w:spacing w:val="-1"/>
        </w:rPr>
        <w:t>be</w:t>
      </w:r>
      <w:r>
        <w:rPr>
          <w:spacing w:val="27"/>
        </w:rPr>
        <w:t xml:space="preserve"> </w:t>
      </w:r>
      <w:r>
        <w:rPr>
          <w:spacing w:val="-1"/>
        </w:rPr>
        <w:t>given</w:t>
      </w:r>
      <w:r>
        <w:rPr>
          <w:spacing w:val="27"/>
        </w:rPr>
        <w:t xml:space="preserve"> </w:t>
      </w:r>
      <w:r>
        <w:t>all</w:t>
      </w:r>
      <w:r>
        <w:rPr>
          <w:spacing w:val="28"/>
        </w:rPr>
        <w:t xml:space="preserve"> </w:t>
      </w:r>
      <w:r>
        <w:rPr>
          <w:spacing w:val="-1"/>
        </w:rPr>
        <w:t>such</w:t>
      </w:r>
      <w:r>
        <w:rPr>
          <w:spacing w:val="27"/>
        </w:rPr>
        <w:t xml:space="preserve"> </w:t>
      </w:r>
      <w:r>
        <w:rPr>
          <w:spacing w:val="-1"/>
        </w:rPr>
        <w:t>information</w:t>
      </w:r>
      <w:r>
        <w:rPr>
          <w:spacing w:val="42"/>
        </w:rPr>
        <w:t xml:space="preserve"> </w:t>
      </w:r>
      <w:r>
        <w:rPr>
          <w:spacing w:val="-1"/>
        </w:rPr>
        <w:t>as</w:t>
      </w:r>
      <w:r>
        <w:rPr>
          <w:spacing w:val="10"/>
        </w:rPr>
        <w:t xml:space="preserve"> </w:t>
      </w:r>
      <w:r>
        <w:rPr>
          <w:spacing w:val="-1"/>
        </w:rPr>
        <w:t>he</w:t>
      </w:r>
      <w:r>
        <w:rPr>
          <w:spacing w:val="10"/>
        </w:rPr>
        <w:t xml:space="preserve"> </w:t>
      </w:r>
      <w:r>
        <w:rPr>
          <w:spacing w:val="-1"/>
        </w:rPr>
        <w:t>may</w:t>
      </w:r>
      <w:r>
        <w:rPr>
          <w:spacing w:val="8"/>
        </w:rPr>
        <w:t xml:space="preserve"> </w:t>
      </w:r>
      <w:r>
        <w:rPr>
          <w:spacing w:val="-1"/>
        </w:rPr>
        <w:t>require</w:t>
      </w:r>
      <w:r>
        <w:rPr>
          <w:spacing w:val="10"/>
        </w:rPr>
        <w:t xml:space="preserve"> </w:t>
      </w:r>
      <w:r>
        <w:rPr>
          <w:spacing w:val="-1"/>
        </w:rPr>
        <w:t>on</w:t>
      </w:r>
      <w:r>
        <w:rPr>
          <w:spacing w:val="7"/>
        </w:rPr>
        <w:t xml:space="preserve"> </w:t>
      </w:r>
      <w:r>
        <w:rPr>
          <w:spacing w:val="-1"/>
        </w:rPr>
        <w:t>the</w:t>
      </w:r>
      <w:r>
        <w:rPr>
          <w:spacing w:val="10"/>
        </w:rPr>
        <w:t xml:space="preserve"> </w:t>
      </w:r>
      <w:r>
        <w:rPr>
          <w:spacing w:val="-1"/>
        </w:rPr>
        <w:t>occasion</w:t>
      </w:r>
      <w:r>
        <w:rPr>
          <w:spacing w:val="10"/>
        </w:rPr>
        <w:t xml:space="preserve"> </w:t>
      </w:r>
      <w:r>
        <w:rPr>
          <w:spacing w:val="-1"/>
        </w:rPr>
        <w:t>of,</w:t>
      </w:r>
      <w:r>
        <w:rPr>
          <w:spacing w:val="11"/>
        </w:rPr>
        <w:t xml:space="preserve"> </w:t>
      </w:r>
      <w:r>
        <w:rPr>
          <w:spacing w:val="-1"/>
        </w:rPr>
        <w:t>or</w:t>
      </w:r>
      <w:r>
        <w:rPr>
          <w:spacing w:val="11"/>
        </w:rPr>
        <w:t xml:space="preserve"> </w:t>
      </w:r>
      <w:r>
        <w:rPr>
          <w:spacing w:val="-2"/>
        </w:rPr>
        <w:t>arising</w:t>
      </w:r>
      <w:r>
        <w:rPr>
          <w:spacing w:val="7"/>
        </w:rPr>
        <w:t xml:space="preserve"> </w:t>
      </w:r>
      <w:r>
        <w:rPr>
          <w:spacing w:val="-1"/>
        </w:rPr>
        <w:t>out</w:t>
      </w:r>
      <w:r>
        <w:rPr>
          <w:spacing w:val="11"/>
        </w:rPr>
        <w:t xml:space="preserve"> </w:t>
      </w:r>
      <w:r>
        <w:rPr>
          <w:spacing w:val="-1"/>
        </w:rPr>
        <w:t>of,</w:t>
      </w:r>
      <w:r>
        <w:rPr>
          <w:spacing w:val="11"/>
        </w:rPr>
        <w:t xml:space="preserve"> </w:t>
      </w:r>
      <w:r>
        <w:rPr>
          <w:spacing w:val="-1"/>
        </w:rPr>
        <w:t>any</w:t>
      </w:r>
      <w:r>
        <w:rPr>
          <w:spacing w:val="8"/>
        </w:rPr>
        <w:t xml:space="preserve"> </w:t>
      </w:r>
      <w:r>
        <w:rPr>
          <w:spacing w:val="-1"/>
        </w:rPr>
        <w:t>such</w:t>
      </w:r>
      <w:r>
        <w:rPr>
          <w:spacing w:val="46"/>
        </w:rPr>
        <w:t xml:space="preserve"> </w:t>
      </w:r>
      <w:r>
        <w:rPr>
          <w:spacing w:val="-1"/>
        </w:rPr>
        <w:t>inspection.</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5" w:hanging="736"/>
        <w:jc w:val="both"/>
      </w:pPr>
      <w:r>
        <w:rPr>
          <w:spacing w:val="-1"/>
        </w:rPr>
        <w:t>Nothing</w:t>
      </w:r>
      <w:r>
        <w:rPr>
          <w:spacing w:val="36"/>
        </w:rPr>
        <w:t xml:space="preserve"> </w:t>
      </w:r>
      <w:r>
        <w:rPr>
          <w:spacing w:val="-1"/>
        </w:rPr>
        <w:t>in</w:t>
      </w:r>
      <w:r>
        <w:rPr>
          <w:spacing w:val="31"/>
        </w:rPr>
        <w:t xml:space="preserve"> </w:t>
      </w:r>
      <w:r>
        <w:rPr>
          <w:spacing w:val="-1"/>
        </w:rPr>
        <w:t>this</w:t>
      </w:r>
      <w:r>
        <w:rPr>
          <w:spacing w:val="34"/>
        </w:rPr>
        <w:t xml:space="preserve"> </w:t>
      </w:r>
      <w:r>
        <w:rPr>
          <w:spacing w:val="-2"/>
        </w:rPr>
        <w:t>Clause</w:t>
      </w:r>
      <w:r>
        <w:rPr>
          <w:spacing w:val="34"/>
        </w:rPr>
        <w:t xml:space="preserve"> </w:t>
      </w:r>
      <w:r>
        <w:rPr>
          <w:spacing w:val="-1"/>
        </w:rPr>
        <w:t>57</w:t>
      </w:r>
      <w:r>
        <w:rPr>
          <w:spacing w:val="34"/>
        </w:rPr>
        <w:t xml:space="preserve"> </w:t>
      </w:r>
      <w:r>
        <w:rPr>
          <w:spacing w:val="-1"/>
        </w:rPr>
        <w:t>shall</w:t>
      </w:r>
      <w:r>
        <w:rPr>
          <w:spacing w:val="33"/>
        </w:rPr>
        <w:t xml:space="preserve"> </w:t>
      </w:r>
      <w:r>
        <w:rPr>
          <w:spacing w:val="-1"/>
        </w:rPr>
        <w:t>prevent</w:t>
      </w:r>
      <w:r>
        <w:rPr>
          <w:spacing w:val="36"/>
        </w:rPr>
        <w:t xml:space="preserve"> </w:t>
      </w:r>
      <w:r>
        <w:rPr>
          <w:spacing w:val="-1"/>
        </w:rPr>
        <w:t>any</w:t>
      </w:r>
      <w:r>
        <w:rPr>
          <w:spacing w:val="32"/>
        </w:rPr>
        <w:t xml:space="preserve"> </w:t>
      </w:r>
      <w:r>
        <w:rPr>
          <w:spacing w:val="-1"/>
        </w:rPr>
        <w:t>person</w:t>
      </w:r>
      <w:r>
        <w:rPr>
          <w:spacing w:val="31"/>
        </w:rPr>
        <w:t xml:space="preserve"> </w:t>
      </w:r>
      <w:r>
        <w:rPr>
          <w:spacing w:val="-1"/>
        </w:rPr>
        <w:t>from</w:t>
      </w:r>
      <w:r>
        <w:rPr>
          <w:spacing w:val="33"/>
        </w:rPr>
        <w:t xml:space="preserve"> </w:t>
      </w:r>
      <w:r>
        <w:rPr>
          <w:spacing w:val="-2"/>
        </w:rPr>
        <w:t>giving</w:t>
      </w:r>
      <w:r>
        <w:rPr>
          <w:spacing w:val="42"/>
        </w:rPr>
        <w:t xml:space="preserve"> </w:t>
      </w:r>
      <w:r>
        <w:rPr>
          <w:spacing w:val="-1"/>
        </w:rPr>
        <w:t>any</w:t>
      </w:r>
      <w:r>
        <w:rPr>
          <w:spacing w:val="10"/>
        </w:rPr>
        <w:t xml:space="preserve"> </w:t>
      </w:r>
      <w:r>
        <w:rPr>
          <w:spacing w:val="-1"/>
        </w:rPr>
        <w:t>information</w:t>
      </w:r>
      <w:r>
        <w:rPr>
          <w:spacing w:val="12"/>
        </w:rPr>
        <w:t xml:space="preserve"> </w:t>
      </w:r>
      <w:r>
        <w:rPr>
          <w:spacing w:val="-1"/>
        </w:rPr>
        <w:t>or</w:t>
      </w:r>
      <w:r>
        <w:rPr>
          <w:spacing w:val="14"/>
        </w:rPr>
        <w:t xml:space="preserve"> </w:t>
      </w:r>
      <w:r>
        <w:rPr>
          <w:spacing w:val="-2"/>
        </w:rPr>
        <w:t>doing</w:t>
      </w:r>
      <w:r>
        <w:rPr>
          <w:spacing w:val="12"/>
        </w:rPr>
        <w:t xml:space="preserve"> </w:t>
      </w:r>
      <w:r>
        <w:rPr>
          <w:spacing w:val="-1"/>
        </w:rPr>
        <w:t>anything</w:t>
      </w:r>
      <w:r>
        <w:rPr>
          <w:spacing w:val="15"/>
        </w:rPr>
        <w:t xml:space="preserve"> </w:t>
      </w:r>
      <w:r>
        <w:rPr>
          <w:spacing w:val="-1"/>
        </w:rPr>
        <w:t>on</w:t>
      </w:r>
      <w:r>
        <w:rPr>
          <w:spacing w:val="12"/>
        </w:rPr>
        <w:t xml:space="preserve"> </w:t>
      </w:r>
      <w:r>
        <w:rPr>
          <w:spacing w:val="-1"/>
        </w:rPr>
        <w:t>any</w:t>
      </w:r>
      <w:r>
        <w:rPr>
          <w:spacing w:val="10"/>
        </w:rPr>
        <w:t xml:space="preserve"> </w:t>
      </w:r>
      <w:r>
        <w:rPr>
          <w:spacing w:val="-1"/>
        </w:rPr>
        <w:t>occasion</w:t>
      </w:r>
      <w:r>
        <w:rPr>
          <w:spacing w:val="12"/>
        </w:rPr>
        <w:t xml:space="preserve"> </w:t>
      </w:r>
      <w:r>
        <w:rPr>
          <w:spacing w:val="-2"/>
        </w:rPr>
        <w:t>when</w:t>
      </w:r>
      <w:r>
        <w:rPr>
          <w:spacing w:val="15"/>
        </w:rPr>
        <w:t xml:space="preserve"> </w:t>
      </w:r>
      <w:r>
        <w:rPr>
          <w:spacing w:val="-1"/>
        </w:rPr>
        <w:t>it</w:t>
      </w:r>
      <w:r>
        <w:rPr>
          <w:spacing w:val="14"/>
        </w:rPr>
        <w:t xml:space="preserve"> </w:t>
      </w:r>
      <w:r>
        <w:rPr>
          <w:spacing w:val="-1"/>
        </w:rPr>
        <w:t>is,</w:t>
      </w:r>
      <w:r>
        <w:rPr>
          <w:spacing w:val="14"/>
        </w:rPr>
        <w:t xml:space="preserve"> </w:t>
      </w:r>
      <w:r>
        <w:rPr>
          <w:spacing w:val="-1"/>
        </w:rPr>
        <w:t>by</w:t>
      </w:r>
      <w:r>
        <w:rPr>
          <w:spacing w:val="36"/>
        </w:rPr>
        <w:t xml:space="preserve"> </w:t>
      </w:r>
      <w:r>
        <w:rPr>
          <w:spacing w:val="-1"/>
        </w:rPr>
        <w:t>virtue</w:t>
      </w:r>
      <w:r>
        <w:rPr>
          <w:spacing w:val="58"/>
        </w:rPr>
        <w:t xml:space="preserve"> </w:t>
      </w:r>
      <w:r>
        <w:rPr>
          <w:spacing w:val="-1"/>
        </w:rPr>
        <w:t>of</w:t>
      </w:r>
      <w:r w:rsidR="001C1527">
        <w:t xml:space="preserve"> </w:t>
      </w:r>
      <w:r>
        <w:rPr>
          <w:spacing w:val="-1"/>
        </w:rPr>
        <w:t>any</w:t>
      </w:r>
      <w:r>
        <w:rPr>
          <w:spacing w:val="56"/>
        </w:rPr>
        <w:t xml:space="preserve"> </w:t>
      </w:r>
      <w:r>
        <w:rPr>
          <w:spacing w:val="-1"/>
        </w:rPr>
        <w:t>enactment,</w:t>
      </w:r>
      <w:r>
        <w:rPr>
          <w:spacing w:val="57"/>
        </w:rPr>
        <w:t xml:space="preserve"> </w:t>
      </w:r>
      <w:r>
        <w:t>the</w:t>
      </w:r>
      <w:r>
        <w:rPr>
          <w:spacing w:val="58"/>
        </w:rPr>
        <w:t xml:space="preserve"> </w:t>
      </w:r>
      <w:r>
        <w:rPr>
          <w:spacing w:val="-1"/>
        </w:rPr>
        <w:t>duty</w:t>
      </w:r>
      <w:r>
        <w:rPr>
          <w:spacing w:val="56"/>
        </w:rPr>
        <w:t xml:space="preserve"> </w:t>
      </w:r>
      <w:r>
        <w:rPr>
          <w:spacing w:val="-2"/>
        </w:rPr>
        <w:t>of</w:t>
      </w:r>
      <w:r>
        <w:t xml:space="preserve"> </w:t>
      </w:r>
      <w:r>
        <w:rPr>
          <w:spacing w:val="-1"/>
        </w:rPr>
        <w:t>that</w:t>
      </w:r>
      <w:r>
        <w:rPr>
          <w:spacing w:val="59"/>
        </w:rPr>
        <w:t xml:space="preserve"> </w:t>
      </w:r>
      <w:r>
        <w:rPr>
          <w:spacing w:val="-1"/>
        </w:rPr>
        <w:t>person</w:t>
      </w:r>
      <w:r>
        <w:rPr>
          <w:spacing w:val="59"/>
        </w:rPr>
        <w:t xml:space="preserve"> </w:t>
      </w:r>
      <w:r>
        <w:t>to</w:t>
      </w:r>
      <w:r>
        <w:rPr>
          <w:spacing w:val="58"/>
        </w:rPr>
        <w:t xml:space="preserve"> </w:t>
      </w:r>
      <w:r>
        <w:rPr>
          <w:spacing w:val="-1"/>
        </w:rPr>
        <w:t>give</w:t>
      </w:r>
      <w:r>
        <w:rPr>
          <w:spacing w:val="58"/>
        </w:rPr>
        <w:t xml:space="preserve"> </w:t>
      </w:r>
      <w:r>
        <w:rPr>
          <w:spacing w:val="-1"/>
        </w:rPr>
        <w:t>that</w:t>
      </w:r>
      <w:r>
        <w:rPr>
          <w:spacing w:val="28"/>
        </w:rPr>
        <w:t xml:space="preserve"> </w:t>
      </w:r>
      <w:r>
        <w:rPr>
          <w:spacing w:val="-1"/>
        </w:rPr>
        <w:t>information</w:t>
      </w:r>
      <w:r>
        <w:t xml:space="preserve"> </w:t>
      </w:r>
      <w:r>
        <w:rPr>
          <w:spacing w:val="-2"/>
        </w:rPr>
        <w:t>or</w:t>
      </w:r>
      <w:r>
        <w:rPr>
          <w:spacing w:val="2"/>
        </w:rPr>
        <w:t xml:space="preserve"> </w:t>
      </w:r>
      <w:r>
        <w:rPr>
          <w:spacing w:val="-1"/>
        </w:rPr>
        <w:t>do</w:t>
      </w:r>
      <w:r>
        <w:rPr>
          <w:spacing w:val="-2"/>
        </w:rPr>
        <w:t xml:space="preserve"> </w:t>
      </w:r>
      <w:r>
        <w:rPr>
          <w:spacing w:val="-1"/>
        </w:rPr>
        <w:t>that</w:t>
      </w:r>
      <w:r>
        <w:t xml:space="preserve"> </w:t>
      </w:r>
      <w:r>
        <w:rPr>
          <w:spacing w:val="-1"/>
        </w:rPr>
        <w:t>thing.</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9" w:hanging="736"/>
        <w:jc w:val="both"/>
      </w:pPr>
      <w:bookmarkStart w:id="532" w:name="_bookmark444"/>
      <w:bookmarkEnd w:id="532"/>
      <w:r>
        <w:rPr>
          <w:spacing w:val="-1"/>
        </w:rPr>
        <w:t>If</w:t>
      </w:r>
      <w:r>
        <w:rPr>
          <w:spacing w:val="40"/>
        </w:rPr>
        <w:t xml:space="preserve"> </w:t>
      </w:r>
      <w:r>
        <w:t>the</w:t>
      </w:r>
      <w:r>
        <w:rPr>
          <w:spacing w:val="38"/>
        </w:rPr>
        <w:t xml:space="preserve"> </w:t>
      </w:r>
      <w:r>
        <w:rPr>
          <w:spacing w:val="-2"/>
        </w:rPr>
        <w:t>Customer</w:t>
      </w:r>
      <w:r>
        <w:rPr>
          <w:spacing w:val="40"/>
        </w:rPr>
        <w:t xml:space="preserve"> </w:t>
      </w:r>
      <w:r>
        <w:rPr>
          <w:spacing w:val="-1"/>
        </w:rPr>
        <w:t>shall</w:t>
      </w:r>
      <w:r>
        <w:rPr>
          <w:spacing w:val="38"/>
        </w:rPr>
        <w:t xml:space="preserve"> </w:t>
      </w:r>
      <w:r>
        <w:rPr>
          <w:spacing w:val="-2"/>
        </w:rPr>
        <w:t>consider</w:t>
      </w:r>
      <w:r>
        <w:rPr>
          <w:spacing w:val="40"/>
        </w:rPr>
        <w:t xml:space="preserve"> </w:t>
      </w:r>
      <w:r>
        <w:rPr>
          <w:spacing w:val="-1"/>
        </w:rPr>
        <w:t>that</w:t>
      </w:r>
      <w:r>
        <w:rPr>
          <w:spacing w:val="40"/>
        </w:rPr>
        <w:t xml:space="preserve"> </w:t>
      </w:r>
      <w:r>
        <w:rPr>
          <w:spacing w:val="-1"/>
        </w:rPr>
        <w:t>any</w:t>
      </w:r>
      <w:r>
        <w:rPr>
          <w:spacing w:val="37"/>
        </w:rPr>
        <w:t xml:space="preserve"> </w:t>
      </w:r>
      <w:r>
        <w:rPr>
          <w:spacing w:val="-2"/>
        </w:rPr>
        <w:t>of</w:t>
      </w:r>
      <w:r>
        <w:rPr>
          <w:spacing w:val="42"/>
        </w:rPr>
        <w:t xml:space="preserve"> </w:t>
      </w:r>
      <w:r>
        <w:t>the</w:t>
      </w:r>
      <w:r>
        <w:rPr>
          <w:spacing w:val="34"/>
        </w:rPr>
        <w:t xml:space="preserve"> </w:t>
      </w:r>
      <w:r>
        <w:rPr>
          <w:spacing w:val="-2"/>
        </w:rPr>
        <w:t>following</w:t>
      </w:r>
      <w:r>
        <w:rPr>
          <w:spacing w:val="41"/>
        </w:rPr>
        <w:t xml:space="preserve"> </w:t>
      </w:r>
      <w:r>
        <w:rPr>
          <w:spacing w:val="-1"/>
        </w:rPr>
        <w:t>events</w:t>
      </w:r>
      <w:r>
        <w:rPr>
          <w:spacing w:val="55"/>
        </w:rPr>
        <w:t xml:space="preserve"> </w:t>
      </w:r>
      <w:r>
        <w:rPr>
          <w:spacing w:val="-1"/>
        </w:rPr>
        <w:t>has</w:t>
      </w:r>
      <w:r>
        <w:rPr>
          <w:spacing w:val="1"/>
        </w:rPr>
        <w:t xml:space="preserve"> </w:t>
      </w:r>
      <w:r>
        <w:rPr>
          <w:spacing w:val="-1"/>
        </w:rPr>
        <w:t>occurred</w:t>
      </w:r>
      <w:bookmarkStart w:id="533" w:name="_bookmark445"/>
      <w:bookmarkEnd w:id="533"/>
      <w:r>
        <w:rPr>
          <w:spacing w:val="-1"/>
        </w:rPr>
        <w:t>:</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2"/>
        <w:jc w:val="both"/>
      </w:pPr>
      <w:r>
        <w:rPr>
          <w:spacing w:val="-1"/>
        </w:rPr>
        <w:t>that</w:t>
      </w:r>
      <w:r>
        <w:rPr>
          <w:spacing w:val="23"/>
        </w:rPr>
        <w:t xml:space="preserve"> </w:t>
      </w:r>
      <w:r>
        <w:t>the</w:t>
      </w:r>
      <w:r>
        <w:rPr>
          <w:spacing w:val="24"/>
        </w:rPr>
        <w:t xml:space="preserve"> </w:t>
      </w:r>
      <w:r>
        <w:rPr>
          <w:spacing w:val="-2"/>
        </w:rPr>
        <w:t>Supplier</w:t>
      </w:r>
      <w:r>
        <w:rPr>
          <w:spacing w:val="23"/>
        </w:rPr>
        <w:t xml:space="preserve"> </w:t>
      </w:r>
      <w:r>
        <w:rPr>
          <w:spacing w:val="-1"/>
        </w:rPr>
        <w:t>has</w:t>
      </w:r>
      <w:r>
        <w:rPr>
          <w:spacing w:val="26"/>
        </w:rPr>
        <w:t xml:space="preserve"> </w:t>
      </w:r>
      <w:r>
        <w:rPr>
          <w:spacing w:val="-1"/>
        </w:rPr>
        <w:t>committed</w:t>
      </w:r>
      <w:r>
        <w:rPr>
          <w:spacing w:val="24"/>
        </w:rPr>
        <w:t xml:space="preserve"> </w:t>
      </w:r>
      <w:r>
        <w:t>a</w:t>
      </w:r>
      <w:r>
        <w:rPr>
          <w:spacing w:val="22"/>
        </w:rPr>
        <w:t xml:space="preserve"> </w:t>
      </w:r>
      <w:r>
        <w:rPr>
          <w:spacing w:val="-1"/>
        </w:rPr>
        <w:t>breach</w:t>
      </w:r>
      <w:r>
        <w:rPr>
          <w:spacing w:val="25"/>
        </w:rPr>
        <w:t xml:space="preserve"> </w:t>
      </w:r>
      <w:r>
        <w:rPr>
          <w:spacing w:val="-1"/>
        </w:rPr>
        <w:t>of,</w:t>
      </w:r>
      <w:r>
        <w:rPr>
          <w:spacing w:val="26"/>
        </w:rPr>
        <w:t xml:space="preserve"> </w:t>
      </w:r>
      <w:r>
        <w:rPr>
          <w:spacing w:val="-2"/>
        </w:rPr>
        <w:t>or</w:t>
      </w:r>
      <w:r>
        <w:rPr>
          <w:spacing w:val="23"/>
        </w:rPr>
        <w:t xml:space="preserve"> </w:t>
      </w:r>
      <w:r>
        <w:rPr>
          <w:spacing w:val="-1"/>
        </w:rPr>
        <w:t>failed</w:t>
      </w:r>
      <w:r>
        <w:rPr>
          <w:spacing w:val="24"/>
        </w:rPr>
        <w:t xml:space="preserve"> </w:t>
      </w:r>
      <w:r>
        <w:rPr>
          <w:spacing w:val="-1"/>
        </w:rPr>
        <w:t>to</w:t>
      </w:r>
      <w:r>
        <w:rPr>
          <w:spacing w:val="33"/>
        </w:rPr>
        <w:t xml:space="preserve"> </w:t>
      </w:r>
      <w:r>
        <w:rPr>
          <w:spacing w:val="-1"/>
        </w:rPr>
        <w:t>comply</w:t>
      </w:r>
      <w:r>
        <w:rPr>
          <w:spacing w:val="28"/>
        </w:rPr>
        <w:t xml:space="preserve"> </w:t>
      </w:r>
      <w:r>
        <w:rPr>
          <w:spacing w:val="-1"/>
        </w:rPr>
        <w:t>with</w:t>
      </w:r>
      <w:r>
        <w:rPr>
          <w:spacing w:val="30"/>
        </w:rPr>
        <w:t xml:space="preserve"> </w:t>
      </w:r>
      <w:r>
        <w:rPr>
          <w:spacing w:val="-1"/>
        </w:rPr>
        <w:t>any</w:t>
      </w:r>
      <w:r>
        <w:rPr>
          <w:spacing w:val="28"/>
        </w:rPr>
        <w:t xml:space="preserve"> </w:t>
      </w:r>
      <w:r>
        <w:t>of,</w:t>
      </w:r>
      <w:r>
        <w:rPr>
          <w:spacing w:val="30"/>
        </w:rPr>
        <w:t xml:space="preserve"> </w:t>
      </w:r>
      <w:r>
        <w:rPr>
          <w:spacing w:val="-1"/>
        </w:rPr>
        <w:t>the</w:t>
      </w:r>
      <w:r>
        <w:rPr>
          <w:spacing w:val="28"/>
        </w:rPr>
        <w:t xml:space="preserve"> </w:t>
      </w:r>
      <w:r>
        <w:rPr>
          <w:spacing w:val="-1"/>
        </w:rPr>
        <w:t>foregoing</w:t>
      </w:r>
      <w:r>
        <w:rPr>
          <w:spacing w:val="30"/>
        </w:rPr>
        <w:t xml:space="preserve"> </w:t>
      </w:r>
      <w:r>
        <w:rPr>
          <w:spacing w:val="-2"/>
        </w:rPr>
        <w:t>provisions</w:t>
      </w:r>
      <w:r>
        <w:rPr>
          <w:spacing w:val="31"/>
        </w:rPr>
        <w:t xml:space="preserve"> </w:t>
      </w:r>
      <w:r>
        <w:rPr>
          <w:spacing w:val="-2"/>
        </w:rPr>
        <w:t>of</w:t>
      </w:r>
      <w:r>
        <w:rPr>
          <w:spacing w:val="32"/>
        </w:rPr>
        <w:t xml:space="preserve"> </w:t>
      </w:r>
      <w:r>
        <w:rPr>
          <w:spacing w:val="-1"/>
        </w:rPr>
        <w:t>this</w:t>
      </w:r>
      <w:r>
        <w:rPr>
          <w:spacing w:val="41"/>
        </w:rPr>
        <w:t xml:space="preserve"> </w:t>
      </w:r>
      <w:r>
        <w:rPr>
          <w:spacing w:val="-2"/>
        </w:rPr>
        <w:t>Clause</w:t>
      </w:r>
      <w:r>
        <w:rPr>
          <w:spacing w:val="1"/>
        </w:rPr>
        <w:t xml:space="preserve"> </w:t>
      </w:r>
      <w:r>
        <w:rPr>
          <w:spacing w:val="-1"/>
        </w:rPr>
        <w:t>57;</w:t>
      </w:r>
      <w:r>
        <w:rPr>
          <w:spacing w:val="2"/>
        </w:rPr>
        <w:t xml:space="preserve"> </w:t>
      </w:r>
      <w:r>
        <w:rPr>
          <w:spacing w:val="-2"/>
        </w:rPr>
        <w:t>o</w:t>
      </w:r>
      <w:bookmarkStart w:id="534" w:name="_bookmark446"/>
      <w:bookmarkEnd w:id="534"/>
      <w:r>
        <w:rPr>
          <w:spacing w:val="-2"/>
        </w:rPr>
        <w:t>r</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2"/>
        <w:jc w:val="both"/>
      </w:pPr>
      <w:r>
        <w:rPr>
          <w:spacing w:val="-1"/>
        </w:rPr>
        <w:t>that</w:t>
      </w:r>
      <w:r>
        <w:rPr>
          <w:spacing w:val="61"/>
        </w:rPr>
        <w:t xml:space="preserve"> </w:t>
      </w:r>
      <w:r>
        <w:t>the</w:t>
      </w:r>
      <w:r>
        <w:rPr>
          <w:spacing w:val="59"/>
        </w:rPr>
        <w:t xml:space="preserve"> </w:t>
      </w:r>
      <w:r>
        <w:rPr>
          <w:spacing w:val="-2"/>
        </w:rPr>
        <w:t>Supplier</w:t>
      </w:r>
      <w:r>
        <w:rPr>
          <w:spacing w:val="60"/>
        </w:rPr>
        <w:t xml:space="preserve"> </w:t>
      </w:r>
      <w:r>
        <w:rPr>
          <w:spacing w:val="-1"/>
        </w:rPr>
        <w:t>has</w:t>
      </w:r>
      <w:r>
        <w:rPr>
          <w:spacing w:val="57"/>
        </w:rPr>
        <w:t xml:space="preserve"> </w:t>
      </w:r>
      <w:r>
        <w:rPr>
          <w:spacing w:val="-1"/>
        </w:rPr>
        <w:t>committed</w:t>
      </w:r>
      <w:r>
        <w:rPr>
          <w:spacing w:val="59"/>
        </w:rPr>
        <w:t xml:space="preserve"> </w:t>
      </w:r>
      <w:r>
        <w:t>a</w:t>
      </w:r>
      <w:r>
        <w:rPr>
          <w:spacing w:val="59"/>
        </w:rPr>
        <w:t xml:space="preserve"> </w:t>
      </w:r>
      <w:r>
        <w:rPr>
          <w:spacing w:val="-1"/>
        </w:rPr>
        <w:t>breach</w:t>
      </w:r>
      <w:r>
        <w:rPr>
          <w:spacing w:val="58"/>
        </w:rPr>
        <w:t xml:space="preserve"> </w:t>
      </w:r>
      <w:r>
        <w:rPr>
          <w:spacing w:val="-1"/>
        </w:rPr>
        <w:t>of</w:t>
      </w:r>
      <w:r>
        <w:rPr>
          <w:spacing w:val="2"/>
        </w:rPr>
        <w:t xml:space="preserve"> </w:t>
      </w:r>
      <w:r>
        <w:rPr>
          <w:spacing w:val="-1"/>
        </w:rPr>
        <w:t>any</w:t>
      </w:r>
      <w:r>
        <w:rPr>
          <w:spacing w:val="38"/>
        </w:rPr>
        <w:t xml:space="preserve"> </w:t>
      </w:r>
      <w:r>
        <w:rPr>
          <w:spacing w:val="-1"/>
        </w:rPr>
        <w:t>obligations</w:t>
      </w:r>
      <w:r>
        <w:rPr>
          <w:spacing w:val="16"/>
        </w:rPr>
        <w:t xml:space="preserve"> </w:t>
      </w:r>
      <w:r>
        <w:rPr>
          <w:spacing w:val="-1"/>
        </w:rPr>
        <w:t>in</w:t>
      </w:r>
      <w:r>
        <w:rPr>
          <w:spacing w:val="16"/>
        </w:rPr>
        <w:t xml:space="preserve"> </w:t>
      </w:r>
      <w:r>
        <w:rPr>
          <w:spacing w:val="-1"/>
        </w:rPr>
        <w:t>relation</w:t>
      </w:r>
      <w:r>
        <w:rPr>
          <w:spacing w:val="16"/>
        </w:rPr>
        <w:t xml:space="preserve"> </w:t>
      </w:r>
      <w:r>
        <w:rPr>
          <w:spacing w:val="-1"/>
        </w:rPr>
        <w:t>to</w:t>
      </w:r>
      <w:r>
        <w:rPr>
          <w:spacing w:val="16"/>
        </w:rPr>
        <w:t xml:space="preserve"> </w:t>
      </w:r>
      <w:r>
        <w:rPr>
          <w:spacing w:val="-1"/>
        </w:rPr>
        <w:t>secrecy</w:t>
      </w:r>
      <w:r>
        <w:rPr>
          <w:spacing w:val="14"/>
        </w:rPr>
        <w:t xml:space="preserve"> </w:t>
      </w:r>
      <w:r>
        <w:rPr>
          <w:spacing w:val="-1"/>
        </w:rPr>
        <w:t>or</w:t>
      </w:r>
      <w:r>
        <w:rPr>
          <w:spacing w:val="17"/>
        </w:rPr>
        <w:t xml:space="preserve"> </w:t>
      </w:r>
      <w:r>
        <w:rPr>
          <w:spacing w:val="-1"/>
        </w:rPr>
        <w:t>security</w:t>
      </w:r>
      <w:r>
        <w:t xml:space="preserve"> </w:t>
      </w:r>
      <w:r>
        <w:rPr>
          <w:spacing w:val="14"/>
        </w:rPr>
        <w:t xml:space="preserve"> </w:t>
      </w:r>
      <w:r>
        <w:rPr>
          <w:spacing w:val="-1"/>
        </w:rPr>
        <w:t>imposed</w:t>
      </w:r>
      <w:r>
        <w:rPr>
          <w:spacing w:val="35"/>
        </w:rPr>
        <w:t xml:space="preserve"> </w:t>
      </w:r>
      <w:r>
        <w:rPr>
          <w:spacing w:val="-1"/>
        </w:rPr>
        <w:t>upon</w:t>
      </w:r>
      <w:r>
        <w:rPr>
          <w:spacing w:val="27"/>
        </w:rPr>
        <w:t xml:space="preserve"> </w:t>
      </w:r>
      <w:r>
        <w:rPr>
          <w:spacing w:val="-1"/>
        </w:rPr>
        <w:t>it</w:t>
      </w:r>
      <w:r>
        <w:rPr>
          <w:spacing w:val="28"/>
        </w:rPr>
        <w:t xml:space="preserve"> </w:t>
      </w:r>
      <w:r>
        <w:rPr>
          <w:spacing w:val="-1"/>
        </w:rPr>
        <w:t>by</w:t>
      </w:r>
      <w:r>
        <w:rPr>
          <w:spacing w:val="25"/>
        </w:rPr>
        <w:t xml:space="preserve"> </w:t>
      </w:r>
      <w:r>
        <w:rPr>
          <w:spacing w:val="-1"/>
        </w:rPr>
        <w:t>any</w:t>
      </w:r>
      <w:r>
        <w:rPr>
          <w:spacing w:val="25"/>
        </w:rPr>
        <w:t xml:space="preserve"> </w:t>
      </w:r>
      <w:r>
        <w:rPr>
          <w:spacing w:val="-1"/>
        </w:rPr>
        <w:t>other</w:t>
      </w:r>
      <w:r>
        <w:rPr>
          <w:spacing w:val="26"/>
        </w:rPr>
        <w:t xml:space="preserve"> </w:t>
      </w:r>
      <w:r>
        <w:rPr>
          <w:spacing w:val="-1"/>
        </w:rPr>
        <w:t>contract</w:t>
      </w:r>
      <w:r>
        <w:rPr>
          <w:spacing w:val="28"/>
        </w:rPr>
        <w:t xml:space="preserve"> </w:t>
      </w:r>
      <w:r>
        <w:rPr>
          <w:spacing w:val="-2"/>
        </w:rPr>
        <w:t>with</w:t>
      </w:r>
      <w:r>
        <w:rPr>
          <w:spacing w:val="27"/>
        </w:rPr>
        <w:t xml:space="preserve"> </w:t>
      </w:r>
      <w:r>
        <w:t>the</w:t>
      </w:r>
      <w:r>
        <w:rPr>
          <w:spacing w:val="27"/>
        </w:rPr>
        <w:t xml:space="preserve"> </w:t>
      </w:r>
      <w:r>
        <w:rPr>
          <w:spacing w:val="-2"/>
        </w:rPr>
        <w:t>Customer,</w:t>
      </w:r>
      <w:r>
        <w:rPr>
          <w:spacing w:val="28"/>
        </w:rPr>
        <w:t xml:space="preserve"> </w:t>
      </w:r>
      <w:r>
        <w:rPr>
          <w:spacing w:val="-2"/>
        </w:rPr>
        <w:t>or</w:t>
      </w:r>
      <w:r>
        <w:rPr>
          <w:spacing w:val="28"/>
        </w:rPr>
        <w:t xml:space="preserve"> </w:t>
      </w:r>
      <w:r>
        <w:rPr>
          <w:spacing w:val="-2"/>
        </w:rPr>
        <w:t>with</w:t>
      </w:r>
      <w:r>
        <w:rPr>
          <w:spacing w:val="41"/>
        </w:rPr>
        <w:t xml:space="preserve"> </w:t>
      </w:r>
      <w:r>
        <w:rPr>
          <w:spacing w:val="-1"/>
        </w:rPr>
        <w:t>any</w:t>
      </w:r>
      <w:r>
        <w:rPr>
          <w:spacing w:val="13"/>
        </w:rPr>
        <w:t xml:space="preserve"> </w:t>
      </w:r>
      <w:r>
        <w:rPr>
          <w:spacing w:val="-1"/>
        </w:rPr>
        <w:t>department</w:t>
      </w:r>
      <w:r>
        <w:rPr>
          <w:spacing w:val="16"/>
        </w:rPr>
        <w:t xml:space="preserve"> </w:t>
      </w:r>
      <w:r>
        <w:rPr>
          <w:spacing w:val="-2"/>
        </w:rPr>
        <w:t>or</w:t>
      </w:r>
      <w:r>
        <w:rPr>
          <w:spacing w:val="16"/>
        </w:rPr>
        <w:t xml:space="preserve"> </w:t>
      </w:r>
      <w:r>
        <w:rPr>
          <w:spacing w:val="-1"/>
        </w:rPr>
        <w:t>person</w:t>
      </w:r>
      <w:r>
        <w:rPr>
          <w:spacing w:val="15"/>
        </w:rPr>
        <w:t xml:space="preserve"> </w:t>
      </w:r>
      <w:r>
        <w:rPr>
          <w:spacing w:val="-1"/>
        </w:rPr>
        <w:t>acting</w:t>
      </w:r>
      <w:r>
        <w:rPr>
          <w:spacing w:val="17"/>
        </w:rPr>
        <w:t xml:space="preserve"> </w:t>
      </w:r>
      <w:r>
        <w:rPr>
          <w:spacing w:val="-1"/>
        </w:rPr>
        <w:t>on</w:t>
      </w:r>
      <w:r>
        <w:rPr>
          <w:spacing w:val="15"/>
        </w:rPr>
        <w:t xml:space="preserve"> </w:t>
      </w:r>
      <w:r>
        <w:rPr>
          <w:spacing w:val="-2"/>
        </w:rPr>
        <w:t>behalf</w:t>
      </w:r>
      <w:r>
        <w:rPr>
          <w:spacing w:val="19"/>
        </w:rPr>
        <w:t xml:space="preserve"> </w:t>
      </w:r>
      <w:r>
        <w:rPr>
          <w:spacing w:val="-2"/>
        </w:rPr>
        <w:t>of</w:t>
      </w:r>
      <w:r>
        <w:rPr>
          <w:spacing w:val="16"/>
        </w:rPr>
        <w:t xml:space="preserve"> </w:t>
      </w:r>
      <w:r>
        <w:t>the</w:t>
      </w:r>
      <w:r>
        <w:rPr>
          <w:spacing w:val="12"/>
        </w:rPr>
        <w:t xml:space="preserve"> </w:t>
      </w:r>
      <w:r>
        <w:rPr>
          <w:spacing w:val="-2"/>
        </w:rPr>
        <w:t>Crown;</w:t>
      </w:r>
      <w:r>
        <w:rPr>
          <w:spacing w:val="36"/>
        </w:rPr>
        <w:t xml:space="preserve"> </w:t>
      </w:r>
      <w:bookmarkStart w:id="535" w:name="_bookmark447"/>
      <w:bookmarkEnd w:id="535"/>
      <w:r>
        <w:rPr>
          <w:spacing w:val="-1"/>
        </w:rPr>
        <w:t>or</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1"/>
        <w:jc w:val="both"/>
      </w:pPr>
      <w:r>
        <w:rPr>
          <w:spacing w:val="-1"/>
        </w:rPr>
        <w:t>that</w:t>
      </w:r>
      <w:r>
        <w:rPr>
          <w:spacing w:val="38"/>
        </w:rPr>
        <w:t xml:space="preserve"> </w:t>
      </w:r>
      <w:r>
        <w:rPr>
          <w:spacing w:val="-1"/>
        </w:rPr>
        <w:t>by</w:t>
      </w:r>
      <w:r>
        <w:rPr>
          <w:spacing w:val="34"/>
        </w:rPr>
        <w:t xml:space="preserve"> </w:t>
      </w:r>
      <w:r>
        <w:rPr>
          <w:spacing w:val="-1"/>
        </w:rPr>
        <w:t>reason</w:t>
      </w:r>
      <w:r>
        <w:rPr>
          <w:spacing w:val="36"/>
        </w:rPr>
        <w:t xml:space="preserve"> </w:t>
      </w:r>
      <w:r>
        <w:rPr>
          <w:spacing w:val="-2"/>
        </w:rPr>
        <w:t>of</w:t>
      </w:r>
      <w:r>
        <w:rPr>
          <w:spacing w:val="38"/>
        </w:rPr>
        <w:t xml:space="preserve"> </w:t>
      </w:r>
      <w:r>
        <w:rPr>
          <w:spacing w:val="-1"/>
        </w:rPr>
        <w:t>an</w:t>
      </w:r>
      <w:r>
        <w:rPr>
          <w:spacing w:val="36"/>
        </w:rPr>
        <w:t xml:space="preserve"> </w:t>
      </w:r>
      <w:r>
        <w:rPr>
          <w:spacing w:val="-2"/>
        </w:rPr>
        <w:t>act</w:t>
      </w:r>
      <w:r>
        <w:rPr>
          <w:spacing w:val="38"/>
        </w:rPr>
        <w:t xml:space="preserve"> </w:t>
      </w:r>
      <w:r>
        <w:rPr>
          <w:spacing w:val="-1"/>
        </w:rPr>
        <w:t>or</w:t>
      </w:r>
      <w:r>
        <w:rPr>
          <w:spacing w:val="36"/>
        </w:rPr>
        <w:t xml:space="preserve"> </w:t>
      </w:r>
      <w:r>
        <w:rPr>
          <w:spacing w:val="-1"/>
        </w:rPr>
        <w:t>omission</w:t>
      </w:r>
      <w:r>
        <w:rPr>
          <w:spacing w:val="36"/>
        </w:rPr>
        <w:t xml:space="preserve"> </w:t>
      </w:r>
      <w:r>
        <w:rPr>
          <w:spacing w:val="-1"/>
        </w:rPr>
        <w:t>on</w:t>
      </w:r>
      <w:r>
        <w:rPr>
          <w:spacing w:val="34"/>
        </w:rPr>
        <w:t xml:space="preserve"> </w:t>
      </w:r>
      <w:r>
        <w:t>the</w:t>
      </w:r>
      <w:r>
        <w:rPr>
          <w:spacing w:val="36"/>
        </w:rPr>
        <w:t xml:space="preserve"> </w:t>
      </w:r>
      <w:r>
        <w:rPr>
          <w:spacing w:val="-1"/>
        </w:rPr>
        <w:t>part</w:t>
      </w:r>
      <w:r>
        <w:rPr>
          <w:spacing w:val="38"/>
        </w:rPr>
        <w:t xml:space="preserve"> </w:t>
      </w:r>
      <w:r>
        <w:rPr>
          <w:spacing w:val="-2"/>
        </w:rPr>
        <w:t>of</w:t>
      </w:r>
      <w:r>
        <w:rPr>
          <w:spacing w:val="35"/>
        </w:rPr>
        <w:t xml:space="preserve"> </w:t>
      </w:r>
      <w:r>
        <w:rPr>
          <w:spacing w:val="-1"/>
        </w:rPr>
        <w:t>the</w:t>
      </w:r>
      <w:r>
        <w:rPr>
          <w:spacing w:val="29"/>
        </w:rPr>
        <w:t xml:space="preserve"> </w:t>
      </w:r>
      <w:r>
        <w:rPr>
          <w:spacing w:val="-1"/>
        </w:rPr>
        <w:t>Supplier,</w:t>
      </w:r>
      <w:r>
        <w:rPr>
          <w:spacing w:val="16"/>
        </w:rPr>
        <w:t xml:space="preserve"> </w:t>
      </w:r>
      <w:r>
        <w:rPr>
          <w:spacing w:val="-1"/>
        </w:rPr>
        <w:t>or</w:t>
      </w:r>
      <w:r>
        <w:rPr>
          <w:spacing w:val="16"/>
        </w:rPr>
        <w:t xml:space="preserve"> </w:t>
      </w:r>
      <w:r>
        <w:rPr>
          <w:spacing w:val="-2"/>
        </w:rPr>
        <w:t>of</w:t>
      </w:r>
      <w:r>
        <w:rPr>
          <w:spacing w:val="16"/>
        </w:rPr>
        <w:t xml:space="preserve"> </w:t>
      </w:r>
      <w:r>
        <w:t>a</w:t>
      </w:r>
      <w:r>
        <w:rPr>
          <w:spacing w:val="12"/>
        </w:rPr>
        <w:t xml:space="preserve"> </w:t>
      </w:r>
      <w:r>
        <w:rPr>
          <w:spacing w:val="-1"/>
        </w:rPr>
        <w:t>person</w:t>
      </w:r>
      <w:r>
        <w:rPr>
          <w:spacing w:val="10"/>
        </w:rPr>
        <w:t xml:space="preserve"> </w:t>
      </w:r>
      <w:r>
        <w:rPr>
          <w:spacing w:val="-2"/>
        </w:rPr>
        <w:t>employed</w:t>
      </w:r>
      <w:r>
        <w:rPr>
          <w:spacing w:val="15"/>
        </w:rPr>
        <w:t xml:space="preserve"> </w:t>
      </w:r>
      <w:r>
        <w:rPr>
          <w:spacing w:val="-1"/>
        </w:rPr>
        <w:t>by</w:t>
      </w:r>
      <w:r>
        <w:rPr>
          <w:spacing w:val="13"/>
        </w:rPr>
        <w:t xml:space="preserve"> </w:t>
      </w:r>
      <w:r>
        <w:t>the</w:t>
      </w:r>
      <w:r>
        <w:rPr>
          <w:spacing w:val="15"/>
        </w:rPr>
        <w:t xml:space="preserve"> </w:t>
      </w:r>
      <w:r>
        <w:rPr>
          <w:spacing w:val="-1"/>
        </w:rPr>
        <w:t>Supplier,</w:t>
      </w:r>
      <w:r>
        <w:rPr>
          <w:spacing w:val="16"/>
        </w:rPr>
        <w:t xml:space="preserve"> </w:t>
      </w:r>
      <w:r>
        <w:rPr>
          <w:spacing w:val="-2"/>
        </w:rPr>
        <w:t>which</w:t>
      </w:r>
      <w:r>
        <w:rPr>
          <w:spacing w:val="30"/>
        </w:rPr>
        <w:t xml:space="preserve"> </w:t>
      </w:r>
      <w:r>
        <w:rPr>
          <w:spacing w:val="-1"/>
        </w:rPr>
        <w:t>does</w:t>
      </w:r>
      <w:r>
        <w:rPr>
          <w:spacing w:val="40"/>
        </w:rPr>
        <w:t xml:space="preserve"> </w:t>
      </w:r>
      <w:r>
        <w:rPr>
          <w:spacing w:val="-1"/>
        </w:rPr>
        <w:t>not</w:t>
      </w:r>
      <w:r>
        <w:rPr>
          <w:spacing w:val="41"/>
        </w:rPr>
        <w:t xml:space="preserve"> </w:t>
      </w:r>
      <w:r>
        <w:rPr>
          <w:spacing w:val="-1"/>
        </w:rPr>
        <w:t>constitute</w:t>
      </w:r>
      <w:r>
        <w:rPr>
          <w:spacing w:val="40"/>
        </w:rPr>
        <w:t xml:space="preserve"> </w:t>
      </w:r>
      <w:r>
        <w:rPr>
          <w:spacing w:val="-1"/>
        </w:rPr>
        <w:t>such</w:t>
      </w:r>
      <w:r>
        <w:rPr>
          <w:spacing w:val="40"/>
        </w:rPr>
        <w:t xml:space="preserve"> </w:t>
      </w:r>
      <w:r>
        <w:t>a</w:t>
      </w:r>
      <w:r>
        <w:rPr>
          <w:spacing w:val="40"/>
        </w:rPr>
        <w:t xml:space="preserve"> </w:t>
      </w:r>
      <w:r>
        <w:rPr>
          <w:spacing w:val="-1"/>
        </w:rPr>
        <w:t>breach</w:t>
      </w:r>
      <w:r>
        <w:rPr>
          <w:spacing w:val="40"/>
        </w:rPr>
        <w:t xml:space="preserve"> </w:t>
      </w:r>
      <w:r>
        <w:rPr>
          <w:spacing w:val="-1"/>
        </w:rPr>
        <w:t>or</w:t>
      </w:r>
      <w:r>
        <w:rPr>
          <w:spacing w:val="42"/>
        </w:rPr>
        <w:t xml:space="preserve"> </w:t>
      </w:r>
      <w:r>
        <w:rPr>
          <w:spacing w:val="-1"/>
        </w:rPr>
        <w:t>failure</w:t>
      </w:r>
      <w:r>
        <w:rPr>
          <w:spacing w:val="40"/>
        </w:rPr>
        <w:t xml:space="preserve"> </w:t>
      </w:r>
      <w:r>
        <w:rPr>
          <w:spacing w:val="-1"/>
        </w:rPr>
        <w:t>as</w:t>
      </w:r>
      <w:r>
        <w:rPr>
          <w:spacing w:val="40"/>
        </w:rPr>
        <w:t xml:space="preserve"> </w:t>
      </w:r>
      <w:r>
        <w:rPr>
          <w:spacing w:val="-1"/>
        </w:rPr>
        <w:t>is</w:t>
      </w:r>
      <w:r>
        <w:rPr>
          <w:spacing w:val="31"/>
        </w:rPr>
        <w:t xml:space="preserve"> </w:t>
      </w:r>
      <w:r>
        <w:rPr>
          <w:spacing w:val="-1"/>
        </w:rPr>
        <w:t>mentioned</w:t>
      </w:r>
      <w:r>
        <w:rPr>
          <w:spacing w:val="34"/>
        </w:rPr>
        <w:t xml:space="preserve"> </w:t>
      </w:r>
      <w:r>
        <w:rPr>
          <w:spacing w:val="-1"/>
        </w:rPr>
        <w:t>in</w:t>
      </w:r>
      <w:r>
        <w:rPr>
          <w:spacing w:val="34"/>
        </w:rPr>
        <w:t xml:space="preserve"> </w:t>
      </w:r>
      <w:hyperlink w:anchor="_bookmark447" w:history="1">
        <w:r>
          <w:rPr>
            <w:spacing w:val="-1"/>
          </w:rPr>
          <w:t>56.11.2</w:t>
        </w:r>
      </w:hyperlink>
      <w:r>
        <w:rPr>
          <w:spacing w:val="-1"/>
        </w:rPr>
        <w:t>,</w:t>
      </w:r>
      <w:r>
        <w:rPr>
          <w:spacing w:val="35"/>
        </w:rPr>
        <w:t xml:space="preserve"> </w:t>
      </w:r>
      <w:r>
        <w:rPr>
          <w:spacing w:val="-1"/>
        </w:rPr>
        <w:t>information</w:t>
      </w:r>
      <w:r>
        <w:rPr>
          <w:spacing w:val="34"/>
        </w:rPr>
        <w:t xml:space="preserve"> </w:t>
      </w:r>
      <w:r>
        <w:rPr>
          <w:spacing w:val="-2"/>
        </w:rPr>
        <w:t>about</w:t>
      </w:r>
      <w:r>
        <w:rPr>
          <w:spacing w:val="35"/>
        </w:rPr>
        <w:t xml:space="preserve"> </w:t>
      </w:r>
      <w:r>
        <w:t>a</w:t>
      </w:r>
      <w:r>
        <w:rPr>
          <w:spacing w:val="34"/>
        </w:rPr>
        <w:t xml:space="preserve"> </w:t>
      </w:r>
      <w:r>
        <w:rPr>
          <w:spacing w:val="-2"/>
        </w:rPr>
        <w:t>secret</w:t>
      </w:r>
      <w:r>
        <w:rPr>
          <w:spacing w:val="36"/>
        </w:rPr>
        <w:t xml:space="preserve"> </w:t>
      </w:r>
      <w:r>
        <w:rPr>
          <w:spacing w:val="-1"/>
        </w:rPr>
        <w:t>matter</w:t>
      </w:r>
      <w:r>
        <w:rPr>
          <w:spacing w:val="37"/>
        </w:rPr>
        <w:t xml:space="preserve"> </w:t>
      </w:r>
      <w:r>
        <w:rPr>
          <w:spacing w:val="-1"/>
        </w:rPr>
        <w:t>has</w:t>
      </w:r>
      <w:r>
        <w:rPr>
          <w:spacing w:val="25"/>
        </w:rPr>
        <w:t xml:space="preserve"> </w:t>
      </w:r>
      <w:r>
        <w:rPr>
          <w:spacing w:val="-1"/>
        </w:rPr>
        <w:t>been</w:t>
      </w:r>
      <w:r>
        <w:rPr>
          <w:spacing w:val="24"/>
        </w:rPr>
        <w:t xml:space="preserve"> </w:t>
      </w:r>
      <w:r>
        <w:rPr>
          <w:spacing w:val="-2"/>
        </w:rPr>
        <w:t>or</w:t>
      </w:r>
      <w:r>
        <w:rPr>
          <w:spacing w:val="26"/>
        </w:rPr>
        <w:t xml:space="preserve"> </w:t>
      </w:r>
      <w:r>
        <w:rPr>
          <w:spacing w:val="-1"/>
        </w:rPr>
        <w:t>is</w:t>
      </w:r>
      <w:r>
        <w:rPr>
          <w:spacing w:val="25"/>
        </w:rPr>
        <w:t xml:space="preserve"> </w:t>
      </w:r>
      <w:r>
        <w:rPr>
          <w:spacing w:val="-2"/>
        </w:rPr>
        <w:t>likely</w:t>
      </w:r>
      <w:r>
        <w:rPr>
          <w:spacing w:val="22"/>
        </w:rPr>
        <w:t xml:space="preserve"> </w:t>
      </w:r>
      <w:r>
        <w:t>to</w:t>
      </w:r>
      <w:r>
        <w:rPr>
          <w:spacing w:val="22"/>
        </w:rPr>
        <w:t xml:space="preserve"> </w:t>
      </w:r>
      <w:r>
        <w:rPr>
          <w:spacing w:val="-1"/>
        </w:rPr>
        <w:t>be</w:t>
      </w:r>
      <w:r>
        <w:rPr>
          <w:spacing w:val="24"/>
        </w:rPr>
        <w:t xml:space="preserve"> </w:t>
      </w:r>
      <w:r>
        <w:rPr>
          <w:spacing w:val="-1"/>
        </w:rPr>
        <w:t>acquired</w:t>
      </w:r>
      <w:r>
        <w:rPr>
          <w:spacing w:val="24"/>
        </w:rPr>
        <w:t xml:space="preserve"> </w:t>
      </w:r>
      <w:r>
        <w:rPr>
          <w:spacing w:val="-1"/>
        </w:rPr>
        <w:t>by</w:t>
      </w:r>
      <w:r>
        <w:rPr>
          <w:spacing w:val="22"/>
        </w:rPr>
        <w:t xml:space="preserve"> </w:t>
      </w:r>
      <w:r>
        <w:t>a</w:t>
      </w:r>
      <w:r>
        <w:rPr>
          <w:spacing w:val="24"/>
        </w:rPr>
        <w:t xml:space="preserve"> </w:t>
      </w:r>
      <w:r>
        <w:rPr>
          <w:spacing w:val="-2"/>
        </w:rPr>
        <w:t>person</w:t>
      </w:r>
      <w:r>
        <w:rPr>
          <w:spacing w:val="24"/>
        </w:rPr>
        <w:t xml:space="preserve"> </w:t>
      </w:r>
      <w:r>
        <w:rPr>
          <w:spacing w:val="-2"/>
        </w:rPr>
        <w:t>who,</w:t>
      </w:r>
      <w:r>
        <w:rPr>
          <w:spacing w:val="26"/>
        </w:rPr>
        <w:t xml:space="preserve"> </w:t>
      </w:r>
      <w:r>
        <w:rPr>
          <w:spacing w:val="-1"/>
        </w:rPr>
        <w:t>in</w:t>
      </w:r>
      <w:r>
        <w:rPr>
          <w:spacing w:val="39"/>
        </w:rPr>
        <w:t xml:space="preserve"> </w:t>
      </w:r>
      <w:r>
        <w:t>the</w:t>
      </w:r>
      <w:r>
        <w:rPr>
          <w:spacing w:val="4"/>
        </w:rPr>
        <w:t xml:space="preserve"> </w:t>
      </w:r>
      <w:r>
        <w:rPr>
          <w:spacing w:val="-2"/>
        </w:rPr>
        <w:t>opinion</w:t>
      </w:r>
      <w:r>
        <w:rPr>
          <w:spacing w:val="4"/>
        </w:rPr>
        <w:t xml:space="preserve"> </w:t>
      </w:r>
      <w:r>
        <w:rPr>
          <w:spacing w:val="-1"/>
        </w:rPr>
        <w:t>of</w:t>
      </w:r>
      <w:r>
        <w:rPr>
          <w:spacing w:val="5"/>
        </w:rPr>
        <w:t xml:space="preserve"> </w:t>
      </w:r>
      <w:r>
        <w:t>the</w:t>
      </w:r>
      <w:r>
        <w:rPr>
          <w:spacing w:val="4"/>
        </w:rPr>
        <w:t xml:space="preserve"> </w:t>
      </w:r>
      <w:r>
        <w:rPr>
          <w:spacing w:val="-1"/>
        </w:rPr>
        <w:t>Customer,</w:t>
      </w:r>
      <w:r>
        <w:rPr>
          <w:spacing w:val="5"/>
        </w:rPr>
        <w:t xml:space="preserve"> </w:t>
      </w:r>
      <w:r>
        <w:rPr>
          <w:spacing w:val="-1"/>
        </w:rPr>
        <w:t>ought</w:t>
      </w:r>
      <w:r>
        <w:rPr>
          <w:spacing w:val="5"/>
        </w:rPr>
        <w:t xml:space="preserve"> </w:t>
      </w:r>
      <w:r>
        <w:rPr>
          <w:spacing w:val="-1"/>
        </w:rPr>
        <w:t>not</w:t>
      </w:r>
      <w:r>
        <w:rPr>
          <w:spacing w:val="3"/>
        </w:rPr>
        <w:t xml:space="preserve"> </w:t>
      </w:r>
      <w:r>
        <w:t>to</w:t>
      </w:r>
      <w:r>
        <w:rPr>
          <w:spacing w:val="4"/>
        </w:rPr>
        <w:t xml:space="preserve"> </w:t>
      </w:r>
      <w:r>
        <w:rPr>
          <w:spacing w:val="-2"/>
        </w:rPr>
        <w:t>have</w:t>
      </w:r>
      <w:r>
        <w:rPr>
          <w:spacing w:val="4"/>
        </w:rPr>
        <w:t xml:space="preserve"> </w:t>
      </w:r>
      <w:r>
        <w:rPr>
          <w:spacing w:val="-1"/>
        </w:rPr>
        <w:t>such</w:t>
      </w:r>
      <w:r>
        <w:rPr>
          <w:spacing w:val="26"/>
        </w:rPr>
        <w:t xml:space="preserve"> </w:t>
      </w:r>
      <w:r>
        <w:rPr>
          <w:spacing w:val="-1"/>
        </w:rPr>
        <w:t>information;</w:t>
      </w:r>
    </w:p>
    <w:p w:rsidR="008918FA" w:rsidRDefault="008918FA" w:rsidP="008918FA">
      <w:pPr>
        <w:spacing w:before="9"/>
        <w:rPr>
          <w:rFonts w:ascii="Arial" w:eastAsia="Arial" w:hAnsi="Arial" w:cs="Arial"/>
          <w:sz w:val="20"/>
          <w:szCs w:val="20"/>
        </w:rPr>
      </w:pPr>
    </w:p>
    <w:p w:rsidR="008918FA" w:rsidRDefault="008918FA" w:rsidP="008918FA">
      <w:pPr>
        <w:pStyle w:val="BodyText"/>
        <w:spacing w:before="0"/>
        <w:ind w:left="2452" w:right="114" w:firstLine="0"/>
        <w:jc w:val="both"/>
      </w:pPr>
      <w:r>
        <w:rPr>
          <w:spacing w:val="-1"/>
        </w:rPr>
        <w:t>and</w:t>
      </w:r>
      <w:r>
        <w:rPr>
          <w:spacing w:val="27"/>
        </w:rPr>
        <w:t xml:space="preserve"> </w:t>
      </w:r>
      <w:r>
        <w:rPr>
          <w:spacing w:val="-1"/>
        </w:rPr>
        <w:t>shall</w:t>
      </w:r>
      <w:r>
        <w:rPr>
          <w:spacing w:val="26"/>
        </w:rPr>
        <w:t xml:space="preserve"> </w:t>
      </w:r>
      <w:r>
        <w:rPr>
          <w:spacing w:val="-1"/>
        </w:rPr>
        <w:t>also</w:t>
      </w:r>
      <w:r>
        <w:rPr>
          <w:spacing w:val="27"/>
        </w:rPr>
        <w:t xml:space="preserve"> </w:t>
      </w:r>
      <w:r>
        <w:rPr>
          <w:spacing w:val="-1"/>
        </w:rPr>
        <w:t>decide</w:t>
      </w:r>
      <w:r>
        <w:rPr>
          <w:spacing w:val="27"/>
        </w:rPr>
        <w:t xml:space="preserve"> </w:t>
      </w:r>
      <w:r>
        <w:t>that</w:t>
      </w:r>
      <w:r>
        <w:rPr>
          <w:spacing w:val="28"/>
        </w:rPr>
        <w:t xml:space="preserve"> </w:t>
      </w:r>
      <w:r>
        <w:t>the</w:t>
      </w:r>
      <w:r>
        <w:rPr>
          <w:spacing w:val="27"/>
        </w:rPr>
        <w:t xml:space="preserve"> </w:t>
      </w:r>
      <w:r>
        <w:rPr>
          <w:spacing w:val="-1"/>
        </w:rPr>
        <w:t>interests</w:t>
      </w:r>
      <w:r>
        <w:rPr>
          <w:spacing w:val="27"/>
        </w:rPr>
        <w:t xml:space="preserve"> </w:t>
      </w:r>
      <w:r>
        <w:rPr>
          <w:spacing w:val="-2"/>
        </w:rPr>
        <w:t>of</w:t>
      </w:r>
      <w:r>
        <w:rPr>
          <w:spacing w:val="30"/>
        </w:rPr>
        <w:t xml:space="preserve"> </w:t>
      </w:r>
      <w:r>
        <w:t>the</w:t>
      </w:r>
      <w:r>
        <w:rPr>
          <w:spacing w:val="27"/>
        </w:rPr>
        <w:t xml:space="preserve"> </w:t>
      </w:r>
      <w:r>
        <w:rPr>
          <w:spacing w:val="-1"/>
        </w:rPr>
        <w:t>State</w:t>
      </w:r>
      <w:r>
        <w:rPr>
          <w:spacing w:val="27"/>
        </w:rPr>
        <w:t xml:space="preserve"> </w:t>
      </w:r>
      <w:r>
        <w:rPr>
          <w:spacing w:val="-1"/>
        </w:rPr>
        <w:t>require</w:t>
      </w:r>
      <w:r>
        <w:rPr>
          <w:spacing w:val="24"/>
        </w:rPr>
        <w:t xml:space="preserve"> </w:t>
      </w:r>
      <w:r>
        <w:rPr>
          <w:spacing w:val="-1"/>
        </w:rPr>
        <w:t>the</w:t>
      </w:r>
      <w:r>
        <w:rPr>
          <w:spacing w:val="40"/>
        </w:rPr>
        <w:t xml:space="preserve"> </w:t>
      </w:r>
      <w:r>
        <w:rPr>
          <w:spacing w:val="-1"/>
        </w:rPr>
        <w:t>termination</w:t>
      </w:r>
      <w:r>
        <w:rPr>
          <w:spacing w:val="5"/>
        </w:rPr>
        <w:t xml:space="preserve"> </w:t>
      </w:r>
      <w:r>
        <w:rPr>
          <w:spacing w:val="-2"/>
        </w:rPr>
        <w:t>of</w:t>
      </w:r>
      <w:r>
        <w:rPr>
          <w:spacing w:val="9"/>
        </w:rPr>
        <w:t xml:space="preserve"> </w:t>
      </w:r>
      <w:r>
        <w:rPr>
          <w:spacing w:val="-1"/>
        </w:rPr>
        <w:t>this</w:t>
      </w:r>
      <w:r>
        <w:rPr>
          <w:spacing w:val="5"/>
        </w:rPr>
        <w:t xml:space="preserve"> </w:t>
      </w:r>
      <w:r>
        <w:rPr>
          <w:spacing w:val="-2"/>
        </w:rPr>
        <w:t>Call</w:t>
      </w:r>
      <w:r>
        <w:rPr>
          <w:spacing w:val="4"/>
        </w:rPr>
        <w:t xml:space="preserve"> </w:t>
      </w:r>
      <w:r>
        <w:rPr>
          <w:spacing w:val="1"/>
        </w:rPr>
        <w:t>Off</w:t>
      </w:r>
      <w:r>
        <w:rPr>
          <w:spacing w:val="7"/>
        </w:rPr>
        <w:t xml:space="preserve"> </w:t>
      </w:r>
      <w:r>
        <w:rPr>
          <w:spacing w:val="-1"/>
        </w:rPr>
        <w:t>Contract,</w:t>
      </w:r>
      <w:r>
        <w:rPr>
          <w:spacing w:val="7"/>
        </w:rPr>
        <w:t xml:space="preserve"> </w:t>
      </w:r>
      <w:r>
        <w:t>the</w:t>
      </w:r>
      <w:r>
        <w:rPr>
          <w:spacing w:val="5"/>
        </w:rPr>
        <w:t xml:space="preserve"> </w:t>
      </w:r>
      <w:r>
        <w:rPr>
          <w:spacing w:val="-2"/>
        </w:rPr>
        <w:t>Customer</w:t>
      </w:r>
      <w:r>
        <w:rPr>
          <w:spacing w:val="6"/>
        </w:rPr>
        <w:t xml:space="preserve"> </w:t>
      </w:r>
      <w:r>
        <w:rPr>
          <w:spacing w:val="-1"/>
        </w:rPr>
        <w:t>may</w:t>
      </w:r>
      <w:r>
        <w:rPr>
          <w:spacing w:val="3"/>
        </w:rPr>
        <w:t xml:space="preserve"> </w:t>
      </w:r>
      <w:r>
        <w:rPr>
          <w:spacing w:val="-1"/>
        </w:rPr>
        <w:t>by</w:t>
      </w:r>
      <w:r>
        <w:rPr>
          <w:spacing w:val="5"/>
        </w:rPr>
        <w:t xml:space="preserve"> </w:t>
      </w:r>
      <w:r>
        <w:rPr>
          <w:spacing w:val="-1"/>
        </w:rPr>
        <w:t>notice</w:t>
      </w:r>
      <w:r>
        <w:rPr>
          <w:spacing w:val="44"/>
        </w:rPr>
        <w:t xml:space="preserve"> </w:t>
      </w:r>
      <w:r>
        <w:rPr>
          <w:spacing w:val="-1"/>
        </w:rPr>
        <w:t>in</w:t>
      </w:r>
      <w:r>
        <w:t xml:space="preserve"> </w:t>
      </w:r>
      <w:r>
        <w:rPr>
          <w:spacing w:val="-2"/>
        </w:rPr>
        <w:t>writing</w:t>
      </w:r>
      <w:r>
        <w:rPr>
          <w:spacing w:val="3"/>
        </w:rPr>
        <w:t xml:space="preserve"> </w:t>
      </w:r>
      <w:r>
        <w:rPr>
          <w:spacing w:val="-1"/>
        </w:rPr>
        <w:t>terminate</w:t>
      </w:r>
      <w:r>
        <w:rPr>
          <w:spacing w:val="-2"/>
        </w:rPr>
        <w:t xml:space="preserve"> </w:t>
      </w:r>
      <w:r>
        <w:rPr>
          <w:spacing w:val="-1"/>
        </w:rPr>
        <w:t>this</w:t>
      </w:r>
      <w:r>
        <w:rPr>
          <w:spacing w:val="-2"/>
        </w:rPr>
        <w:t xml:space="preserve"> Call</w:t>
      </w:r>
      <w:r>
        <w:t xml:space="preserve"> </w:t>
      </w:r>
      <w:r>
        <w:rPr>
          <w:spacing w:val="-1"/>
        </w:rPr>
        <w:t>Off</w:t>
      </w:r>
      <w:r>
        <w:rPr>
          <w:spacing w:val="2"/>
        </w:rPr>
        <w:t xml:space="preserve"> </w:t>
      </w:r>
      <w:r>
        <w:rPr>
          <w:spacing w:val="-1"/>
        </w:rPr>
        <w:t>Contract</w:t>
      </w:r>
      <w:r>
        <w:rPr>
          <w:spacing w:val="-2"/>
        </w:rPr>
        <w:t xml:space="preserve"> </w:t>
      </w:r>
      <w:r>
        <w:rPr>
          <w:spacing w:val="-1"/>
        </w:rPr>
        <w:t>forthwith.</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right="114" w:hanging="736"/>
        <w:jc w:val="both"/>
      </w:pPr>
      <w:r>
        <w:t>A</w:t>
      </w:r>
      <w:r>
        <w:rPr>
          <w:spacing w:val="17"/>
        </w:rPr>
        <w:t xml:space="preserve"> </w:t>
      </w:r>
      <w:r>
        <w:rPr>
          <w:spacing w:val="-1"/>
        </w:rPr>
        <w:t>decision</w:t>
      </w:r>
      <w:r>
        <w:rPr>
          <w:spacing w:val="17"/>
        </w:rPr>
        <w:t xml:space="preserve"> </w:t>
      </w:r>
      <w:r>
        <w:rPr>
          <w:spacing w:val="-1"/>
        </w:rPr>
        <w:t>of</w:t>
      </w:r>
      <w:r>
        <w:rPr>
          <w:spacing w:val="19"/>
        </w:rPr>
        <w:t xml:space="preserve"> </w:t>
      </w:r>
      <w:r>
        <w:t>the</w:t>
      </w:r>
      <w:r>
        <w:rPr>
          <w:spacing w:val="17"/>
        </w:rPr>
        <w:t xml:space="preserve"> </w:t>
      </w:r>
      <w:r>
        <w:rPr>
          <w:spacing w:val="-1"/>
        </w:rPr>
        <w:t>Customer</w:t>
      </w:r>
      <w:r>
        <w:rPr>
          <w:spacing w:val="16"/>
        </w:rPr>
        <w:t xml:space="preserve"> </w:t>
      </w:r>
      <w:r>
        <w:t>to</w:t>
      </w:r>
      <w:r>
        <w:rPr>
          <w:spacing w:val="17"/>
        </w:rPr>
        <w:t xml:space="preserve"> </w:t>
      </w:r>
      <w:r>
        <w:rPr>
          <w:spacing w:val="-1"/>
        </w:rPr>
        <w:t>terminate</w:t>
      </w:r>
      <w:r>
        <w:rPr>
          <w:spacing w:val="17"/>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21"/>
        </w:rPr>
        <w:t xml:space="preserve"> </w:t>
      </w:r>
      <w:r>
        <w:rPr>
          <w:spacing w:val="-2"/>
        </w:rPr>
        <w:t>Contract</w:t>
      </w:r>
      <w:r>
        <w:rPr>
          <w:spacing w:val="19"/>
        </w:rPr>
        <w:t xml:space="preserve"> </w:t>
      </w:r>
      <w:r>
        <w:rPr>
          <w:spacing w:val="-1"/>
        </w:rPr>
        <w:t>in</w:t>
      </w:r>
      <w:r>
        <w:rPr>
          <w:spacing w:val="35"/>
        </w:rPr>
        <w:t xml:space="preserve"> </w:t>
      </w:r>
      <w:r>
        <w:rPr>
          <w:spacing w:val="-1"/>
        </w:rPr>
        <w:t>accordance</w:t>
      </w:r>
      <w:r>
        <w:rPr>
          <w:spacing w:val="5"/>
        </w:rPr>
        <w:t xml:space="preserve"> </w:t>
      </w:r>
      <w:r>
        <w:rPr>
          <w:spacing w:val="-2"/>
        </w:rPr>
        <w:t>with</w:t>
      </w:r>
      <w:r>
        <w:rPr>
          <w:spacing w:val="5"/>
        </w:rPr>
        <w:t xml:space="preserve"> </w:t>
      </w:r>
      <w:r>
        <w:t>the</w:t>
      </w:r>
      <w:r>
        <w:rPr>
          <w:spacing w:val="5"/>
        </w:rPr>
        <w:t xml:space="preserve"> </w:t>
      </w:r>
      <w:r>
        <w:rPr>
          <w:spacing w:val="-2"/>
        </w:rPr>
        <w:t>provisions</w:t>
      </w:r>
      <w:r>
        <w:rPr>
          <w:spacing w:val="5"/>
        </w:rPr>
        <w:t xml:space="preserve"> </w:t>
      </w:r>
      <w:r>
        <w:rPr>
          <w:spacing w:val="-1"/>
        </w:rPr>
        <w:t>of</w:t>
      </w:r>
      <w:r>
        <w:rPr>
          <w:spacing w:val="9"/>
        </w:rPr>
        <w:t xml:space="preserve"> </w:t>
      </w:r>
      <w:r>
        <w:rPr>
          <w:spacing w:val="-2"/>
        </w:rPr>
        <w:t>Clause</w:t>
      </w:r>
      <w:r>
        <w:rPr>
          <w:spacing w:val="8"/>
        </w:rPr>
        <w:t xml:space="preserve"> </w:t>
      </w:r>
      <w:hyperlink w:anchor="_bookmark444" w:history="1">
        <w:r>
          <w:rPr>
            <w:spacing w:val="-1"/>
          </w:rPr>
          <w:t>56.11</w:t>
        </w:r>
      </w:hyperlink>
      <w:r>
        <w:rPr>
          <w:spacing w:val="5"/>
        </w:rPr>
        <w:t xml:space="preserve"> </w:t>
      </w:r>
      <w:r>
        <w:rPr>
          <w:spacing w:val="-1"/>
        </w:rPr>
        <w:t>shall</w:t>
      </w:r>
      <w:r>
        <w:rPr>
          <w:spacing w:val="4"/>
        </w:rPr>
        <w:t xml:space="preserve"> </w:t>
      </w:r>
      <w:r>
        <w:rPr>
          <w:spacing w:val="-1"/>
        </w:rPr>
        <w:t>be</w:t>
      </w:r>
      <w:r>
        <w:rPr>
          <w:spacing w:val="5"/>
        </w:rPr>
        <w:t xml:space="preserve"> </w:t>
      </w:r>
      <w:r>
        <w:rPr>
          <w:spacing w:val="-1"/>
        </w:rPr>
        <w:t>final</w:t>
      </w:r>
      <w:r>
        <w:rPr>
          <w:spacing w:val="4"/>
        </w:rPr>
        <w:t xml:space="preserve"> </w:t>
      </w:r>
      <w:r>
        <w:rPr>
          <w:spacing w:val="-1"/>
        </w:rPr>
        <w:t>and</w:t>
      </w:r>
      <w:r>
        <w:rPr>
          <w:spacing w:val="56"/>
        </w:rPr>
        <w:t xml:space="preserve"> </w:t>
      </w:r>
      <w:r>
        <w:rPr>
          <w:spacing w:val="-1"/>
        </w:rPr>
        <w:t>conclusive</w:t>
      </w:r>
      <w:r>
        <w:rPr>
          <w:spacing w:val="31"/>
        </w:rPr>
        <w:t xml:space="preserve"> </w:t>
      </w:r>
      <w:r>
        <w:rPr>
          <w:spacing w:val="-1"/>
        </w:rPr>
        <w:t>and</w:t>
      </w:r>
      <w:r>
        <w:rPr>
          <w:spacing w:val="31"/>
        </w:rPr>
        <w:t xml:space="preserve"> </w:t>
      </w:r>
      <w:r>
        <w:rPr>
          <w:spacing w:val="-1"/>
        </w:rPr>
        <w:t>it</w:t>
      </w:r>
      <w:r>
        <w:rPr>
          <w:spacing w:val="33"/>
        </w:rPr>
        <w:t xml:space="preserve"> </w:t>
      </w:r>
      <w:r>
        <w:rPr>
          <w:spacing w:val="-1"/>
        </w:rPr>
        <w:t>shall</w:t>
      </w:r>
      <w:r>
        <w:rPr>
          <w:spacing w:val="31"/>
        </w:rPr>
        <w:t xml:space="preserve"> </w:t>
      </w:r>
      <w:r>
        <w:t>not</w:t>
      </w:r>
      <w:r>
        <w:rPr>
          <w:spacing w:val="33"/>
        </w:rPr>
        <w:t xml:space="preserve"> </w:t>
      </w:r>
      <w:r>
        <w:rPr>
          <w:spacing w:val="-1"/>
        </w:rPr>
        <w:t>be</w:t>
      </w:r>
      <w:r>
        <w:rPr>
          <w:spacing w:val="31"/>
        </w:rPr>
        <w:t xml:space="preserve"> </w:t>
      </w:r>
      <w:r>
        <w:rPr>
          <w:spacing w:val="-1"/>
        </w:rPr>
        <w:t>necessary</w:t>
      </w:r>
      <w:r>
        <w:rPr>
          <w:spacing w:val="30"/>
        </w:rPr>
        <w:t xml:space="preserve"> </w:t>
      </w:r>
      <w:r>
        <w:t>for</w:t>
      </w:r>
      <w:r>
        <w:rPr>
          <w:spacing w:val="34"/>
        </w:rPr>
        <w:t xml:space="preserve"> </w:t>
      </w:r>
      <w:r>
        <w:rPr>
          <w:spacing w:val="-1"/>
        </w:rPr>
        <w:t>any</w:t>
      </w:r>
      <w:r>
        <w:rPr>
          <w:spacing w:val="30"/>
        </w:rPr>
        <w:t xml:space="preserve"> </w:t>
      </w:r>
      <w:r>
        <w:rPr>
          <w:spacing w:val="-1"/>
        </w:rPr>
        <w:t>notice</w:t>
      </w:r>
      <w:r>
        <w:rPr>
          <w:spacing w:val="32"/>
        </w:rPr>
        <w:t xml:space="preserve"> </w:t>
      </w:r>
      <w:r>
        <w:rPr>
          <w:spacing w:val="-2"/>
        </w:rPr>
        <w:t>of</w:t>
      </w:r>
      <w:r>
        <w:rPr>
          <w:spacing w:val="35"/>
        </w:rPr>
        <w:t xml:space="preserve"> </w:t>
      </w:r>
      <w:r>
        <w:rPr>
          <w:spacing w:val="-1"/>
        </w:rPr>
        <w:t>such</w:t>
      </w:r>
      <w:r>
        <w:rPr>
          <w:spacing w:val="22"/>
        </w:rPr>
        <w:t xml:space="preserve"> </w:t>
      </w:r>
      <w:r>
        <w:rPr>
          <w:spacing w:val="-1"/>
        </w:rPr>
        <w:t>termination</w:t>
      </w:r>
      <w:r>
        <w:rPr>
          <w:spacing w:val="26"/>
        </w:rPr>
        <w:t xml:space="preserve"> </w:t>
      </w:r>
      <w:r>
        <w:t>to</w:t>
      </w:r>
      <w:r>
        <w:rPr>
          <w:spacing w:val="26"/>
        </w:rPr>
        <w:t xml:space="preserve"> </w:t>
      </w:r>
      <w:r>
        <w:rPr>
          <w:spacing w:val="-1"/>
        </w:rPr>
        <w:t>specify</w:t>
      </w:r>
      <w:r>
        <w:rPr>
          <w:spacing w:val="24"/>
        </w:rPr>
        <w:t xml:space="preserve"> </w:t>
      </w:r>
      <w:r>
        <w:rPr>
          <w:spacing w:val="-1"/>
        </w:rPr>
        <w:t>or</w:t>
      </w:r>
      <w:r>
        <w:rPr>
          <w:spacing w:val="27"/>
        </w:rPr>
        <w:t xml:space="preserve"> </w:t>
      </w:r>
      <w:r>
        <w:rPr>
          <w:spacing w:val="-1"/>
        </w:rPr>
        <w:t>refer</w:t>
      </w:r>
      <w:r>
        <w:rPr>
          <w:spacing w:val="27"/>
        </w:rPr>
        <w:t xml:space="preserve"> </w:t>
      </w:r>
      <w:r>
        <w:rPr>
          <w:spacing w:val="-1"/>
        </w:rPr>
        <w:t>in</w:t>
      </w:r>
      <w:r>
        <w:rPr>
          <w:spacing w:val="26"/>
        </w:rPr>
        <w:t xml:space="preserve"> </w:t>
      </w:r>
      <w:r>
        <w:rPr>
          <w:spacing w:val="-1"/>
        </w:rPr>
        <w:t>any</w:t>
      </w:r>
      <w:r>
        <w:rPr>
          <w:spacing w:val="26"/>
        </w:rPr>
        <w:t xml:space="preserve"> </w:t>
      </w:r>
      <w:r>
        <w:rPr>
          <w:spacing w:val="-1"/>
        </w:rPr>
        <w:t>way</w:t>
      </w:r>
      <w:r>
        <w:rPr>
          <w:spacing w:val="24"/>
        </w:rPr>
        <w:t xml:space="preserve"> </w:t>
      </w:r>
      <w:r>
        <w:t>to</w:t>
      </w:r>
      <w:r>
        <w:rPr>
          <w:spacing w:val="26"/>
        </w:rPr>
        <w:t xml:space="preserve"> </w:t>
      </w:r>
      <w:r>
        <w:t>the</w:t>
      </w:r>
      <w:r>
        <w:rPr>
          <w:spacing w:val="26"/>
        </w:rPr>
        <w:t xml:space="preserve"> </w:t>
      </w:r>
      <w:r>
        <w:rPr>
          <w:spacing w:val="-2"/>
        </w:rPr>
        <w:t>event</w:t>
      </w:r>
      <w:r>
        <w:rPr>
          <w:spacing w:val="27"/>
        </w:rPr>
        <w:t xml:space="preserve"> </w:t>
      </w:r>
      <w:r>
        <w:rPr>
          <w:spacing w:val="-1"/>
        </w:rPr>
        <w:t>or</w:t>
      </w:r>
      <w:r>
        <w:rPr>
          <w:spacing w:val="34"/>
        </w:rPr>
        <w:t xml:space="preserve"> </w:t>
      </w:r>
      <w:r>
        <w:rPr>
          <w:spacing w:val="-1"/>
        </w:rPr>
        <w:t>considerations</w:t>
      </w:r>
      <w:r>
        <w:rPr>
          <w:spacing w:val="1"/>
        </w:rPr>
        <w:t xml:space="preserve"> </w:t>
      </w:r>
      <w:r>
        <w:rPr>
          <w:spacing w:val="-1"/>
        </w:rPr>
        <w:t>upon</w:t>
      </w:r>
      <w:r>
        <w:rPr>
          <w:spacing w:val="-2"/>
        </w:rPr>
        <w:t xml:space="preserve"> </w:t>
      </w:r>
      <w:r>
        <w:rPr>
          <w:spacing w:val="-1"/>
        </w:rPr>
        <w:t>which</w:t>
      </w:r>
      <w:r>
        <w:rPr>
          <w:spacing w:val="1"/>
        </w:rPr>
        <w:t xml:space="preserve"> </w:t>
      </w:r>
      <w:r>
        <w:t>the</w:t>
      </w:r>
      <w:r>
        <w:rPr>
          <w:spacing w:val="-2"/>
        </w:rPr>
        <w:t xml:space="preserve"> </w:t>
      </w:r>
      <w:r>
        <w:rPr>
          <w:spacing w:val="-1"/>
        </w:rPr>
        <w:t>Customer's</w:t>
      </w:r>
      <w:r>
        <w:rPr>
          <w:spacing w:val="-2"/>
        </w:rPr>
        <w:t xml:space="preserve"> </w:t>
      </w:r>
      <w:r>
        <w:rPr>
          <w:spacing w:val="-1"/>
        </w:rPr>
        <w:t>decision</w:t>
      </w:r>
      <w:r>
        <w:t xml:space="preserve"> </w:t>
      </w:r>
      <w:r>
        <w:rPr>
          <w:spacing w:val="-1"/>
        </w:rPr>
        <w:t>is</w:t>
      </w:r>
      <w:r>
        <w:rPr>
          <w:spacing w:val="1"/>
        </w:rPr>
        <w:t xml:space="preserve"> </w:t>
      </w:r>
      <w:r>
        <w:rPr>
          <w:spacing w:val="-1"/>
        </w:rPr>
        <w:t>based.</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pPr>
      <w:r>
        <w:rPr>
          <w:spacing w:val="-2"/>
        </w:rPr>
        <w:t>Supplier’s</w:t>
      </w:r>
      <w:r>
        <w:rPr>
          <w:spacing w:val="1"/>
        </w:rPr>
        <w:t xml:space="preserve"> </w:t>
      </w:r>
      <w:r>
        <w:rPr>
          <w:spacing w:val="-1"/>
        </w:rPr>
        <w:t>notice</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163"/>
        </w:tabs>
        <w:spacing w:before="0"/>
        <w:ind w:left="3162" w:right="112"/>
        <w:jc w:val="both"/>
      </w:pPr>
      <w:r>
        <w:t>The</w:t>
      </w:r>
      <w:r>
        <w:rPr>
          <w:spacing w:val="58"/>
        </w:rPr>
        <w:t xml:space="preserve"> </w:t>
      </w:r>
      <w:r>
        <w:rPr>
          <w:spacing w:val="-2"/>
        </w:rPr>
        <w:t>Supplier</w:t>
      </w:r>
      <w:r>
        <w:rPr>
          <w:spacing w:val="57"/>
        </w:rPr>
        <w:t xml:space="preserve"> </w:t>
      </w:r>
      <w:r>
        <w:rPr>
          <w:spacing w:val="-1"/>
        </w:rPr>
        <w:t>may</w:t>
      </w:r>
      <w:r>
        <w:rPr>
          <w:spacing w:val="56"/>
        </w:rPr>
        <w:t xml:space="preserve"> </w:t>
      </w:r>
      <w:r>
        <w:rPr>
          <w:spacing w:val="-1"/>
        </w:rPr>
        <w:t>within</w:t>
      </w:r>
      <w:r>
        <w:rPr>
          <w:spacing w:val="55"/>
        </w:rPr>
        <w:t xml:space="preserve"> </w:t>
      </w:r>
      <w:r>
        <w:rPr>
          <w:spacing w:val="-1"/>
        </w:rPr>
        <w:t>five</w:t>
      </w:r>
      <w:r>
        <w:rPr>
          <w:spacing w:val="58"/>
        </w:rPr>
        <w:t xml:space="preserve"> </w:t>
      </w:r>
      <w:r>
        <w:rPr>
          <w:spacing w:val="-1"/>
        </w:rPr>
        <w:t>(5)</w:t>
      </w:r>
      <w:r>
        <w:rPr>
          <w:spacing w:val="54"/>
        </w:rPr>
        <w:t xml:space="preserve"> </w:t>
      </w:r>
      <w:r>
        <w:rPr>
          <w:spacing w:val="-1"/>
        </w:rPr>
        <w:t>Working</w:t>
      </w:r>
      <w:r>
        <w:rPr>
          <w:spacing w:val="61"/>
        </w:rPr>
        <w:t xml:space="preserve"> </w:t>
      </w:r>
      <w:r>
        <w:rPr>
          <w:spacing w:val="-2"/>
        </w:rPr>
        <w:t>Days</w:t>
      </w:r>
      <w:r>
        <w:rPr>
          <w:spacing w:val="58"/>
        </w:rPr>
        <w:t xml:space="preserve"> </w:t>
      </w:r>
      <w:r>
        <w:rPr>
          <w:spacing w:val="-2"/>
        </w:rPr>
        <w:t>of</w:t>
      </w:r>
      <w:r>
        <w:rPr>
          <w:spacing w:val="59"/>
        </w:rPr>
        <w:t xml:space="preserve"> </w:t>
      </w:r>
      <w:r>
        <w:rPr>
          <w:spacing w:val="-1"/>
        </w:rPr>
        <w:t>the</w:t>
      </w:r>
      <w:r>
        <w:rPr>
          <w:spacing w:val="48"/>
        </w:rPr>
        <w:t xml:space="preserve"> </w:t>
      </w:r>
      <w:r>
        <w:rPr>
          <w:spacing w:val="-1"/>
        </w:rPr>
        <w:t>termination</w:t>
      </w:r>
      <w:r>
        <w:rPr>
          <w:spacing w:val="41"/>
        </w:rPr>
        <w:t xml:space="preserve"> </w:t>
      </w:r>
      <w:r>
        <w:rPr>
          <w:spacing w:val="-2"/>
        </w:rPr>
        <w:t>of</w:t>
      </w:r>
      <w:r>
        <w:rPr>
          <w:spacing w:val="45"/>
        </w:rPr>
        <w:t xml:space="preserve"> </w:t>
      </w:r>
      <w:r>
        <w:rPr>
          <w:spacing w:val="-1"/>
        </w:rPr>
        <w:t>this</w:t>
      </w:r>
      <w:r>
        <w:rPr>
          <w:spacing w:val="41"/>
        </w:rPr>
        <w:t xml:space="preserve"> </w:t>
      </w:r>
      <w:r>
        <w:rPr>
          <w:spacing w:val="-2"/>
        </w:rPr>
        <w:t>Call</w:t>
      </w:r>
      <w:r>
        <w:rPr>
          <w:spacing w:val="43"/>
        </w:rPr>
        <w:t xml:space="preserve"> </w:t>
      </w:r>
      <w:r>
        <w:rPr>
          <w:spacing w:val="-1"/>
        </w:rPr>
        <w:t>Off</w:t>
      </w:r>
      <w:r>
        <w:rPr>
          <w:spacing w:val="42"/>
        </w:rPr>
        <w:t xml:space="preserve"> </w:t>
      </w:r>
      <w:r>
        <w:rPr>
          <w:spacing w:val="-1"/>
        </w:rPr>
        <w:t>Contract</w:t>
      </w:r>
      <w:r>
        <w:rPr>
          <w:spacing w:val="43"/>
        </w:rPr>
        <w:t xml:space="preserve"> </w:t>
      </w:r>
      <w:r>
        <w:rPr>
          <w:spacing w:val="-1"/>
        </w:rPr>
        <w:t>in</w:t>
      </w:r>
      <w:r>
        <w:rPr>
          <w:spacing w:val="42"/>
        </w:rPr>
        <w:t xml:space="preserve"> </w:t>
      </w:r>
      <w:r>
        <w:rPr>
          <w:spacing w:val="-1"/>
        </w:rPr>
        <w:t>accordance</w:t>
      </w:r>
      <w:r>
        <w:rPr>
          <w:spacing w:val="41"/>
        </w:rPr>
        <w:t xml:space="preserve"> </w:t>
      </w:r>
      <w:r>
        <w:rPr>
          <w:spacing w:val="-1"/>
        </w:rPr>
        <w:t>with</w:t>
      </w:r>
      <w:r>
        <w:rPr>
          <w:spacing w:val="29"/>
        </w:rPr>
        <w:t xml:space="preserve"> </w:t>
      </w:r>
      <w:r>
        <w:t>the</w:t>
      </w:r>
      <w:r>
        <w:rPr>
          <w:spacing w:val="15"/>
        </w:rPr>
        <w:t xml:space="preserve"> </w:t>
      </w:r>
      <w:r>
        <w:rPr>
          <w:spacing w:val="-2"/>
        </w:rPr>
        <w:t>provisions</w:t>
      </w:r>
      <w:r>
        <w:rPr>
          <w:spacing w:val="15"/>
        </w:rPr>
        <w:t xml:space="preserve"> </w:t>
      </w:r>
      <w:r>
        <w:rPr>
          <w:spacing w:val="-1"/>
        </w:rPr>
        <w:t>of</w:t>
      </w:r>
      <w:r>
        <w:rPr>
          <w:spacing w:val="19"/>
        </w:rPr>
        <w:t xml:space="preserve"> </w:t>
      </w:r>
      <w:r>
        <w:rPr>
          <w:spacing w:val="-2"/>
        </w:rPr>
        <w:t>Clause</w:t>
      </w:r>
      <w:r>
        <w:rPr>
          <w:spacing w:val="15"/>
        </w:rPr>
        <w:t xml:space="preserve"> </w:t>
      </w:r>
      <w:hyperlink w:anchor="_bookmark444" w:history="1">
        <w:r>
          <w:rPr>
            <w:spacing w:val="-1"/>
          </w:rPr>
          <w:t>56.11</w:t>
        </w:r>
      </w:hyperlink>
      <w:r>
        <w:rPr>
          <w:spacing w:val="-1"/>
        </w:rPr>
        <w:t>,</w:t>
      </w:r>
      <w:r>
        <w:rPr>
          <w:spacing w:val="16"/>
        </w:rPr>
        <w:t xml:space="preserve"> </w:t>
      </w:r>
      <w:r>
        <w:rPr>
          <w:spacing w:val="-1"/>
        </w:rPr>
        <w:t>give</w:t>
      </w:r>
      <w:r>
        <w:rPr>
          <w:spacing w:val="15"/>
        </w:rPr>
        <w:t xml:space="preserve"> </w:t>
      </w:r>
      <w:r>
        <w:t>the</w:t>
      </w:r>
      <w:r>
        <w:rPr>
          <w:spacing w:val="15"/>
        </w:rPr>
        <w:t xml:space="preserve"> </w:t>
      </w:r>
      <w:r>
        <w:rPr>
          <w:spacing w:val="-1"/>
        </w:rPr>
        <w:t>Customer</w:t>
      </w:r>
      <w:r>
        <w:rPr>
          <w:spacing w:val="16"/>
        </w:rPr>
        <w:t xml:space="preserve"> </w:t>
      </w:r>
      <w:r>
        <w:rPr>
          <w:spacing w:val="-1"/>
        </w:rPr>
        <w:t>notice</w:t>
      </w:r>
      <w:r>
        <w:rPr>
          <w:spacing w:val="42"/>
        </w:rPr>
        <w:t xml:space="preserve"> </w:t>
      </w:r>
      <w:r>
        <w:rPr>
          <w:spacing w:val="-1"/>
        </w:rPr>
        <w:t>in</w:t>
      </w:r>
      <w:r>
        <w:rPr>
          <w:spacing w:val="41"/>
        </w:rPr>
        <w:t xml:space="preserve"> </w:t>
      </w:r>
      <w:r>
        <w:rPr>
          <w:spacing w:val="-2"/>
        </w:rPr>
        <w:t>writing</w:t>
      </w:r>
      <w:r>
        <w:rPr>
          <w:spacing w:val="41"/>
        </w:rPr>
        <w:t xml:space="preserve"> </w:t>
      </w:r>
      <w:r>
        <w:rPr>
          <w:spacing w:val="-1"/>
        </w:rPr>
        <w:t>requesting</w:t>
      </w:r>
      <w:r>
        <w:rPr>
          <w:spacing w:val="41"/>
        </w:rPr>
        <w:t xml:space="preserve"> </w:t>
      </w:r>
      <w:r>
        <w:t>the</w:t>
      </w:r>
      <w:r>
        <w:rPr>
          <w:spacing w:val="36"/>
        </w:rPr>
        <w:t xml:space="preserve"> </w:t>
      </w:r>
      <w:r>
        <w:rPr>
          <w:spacing w:val="-1"/>
        </w:rPr>
        <w:t>Customer</w:t>
      </w:r>
      <w:r>
        <w:rPr>
          <w:spacing w:val="40"/>
        </w:rPr>
        <w:t xml:space="preserve"> </w:t>
      </w:r>
      <w:r>
        <w:t>to</w:t>
      </w:r>
      <w:r>
        <w:rPr>
          <w:spacing w:val="36"/>
        </w:rPr>
        <w:t xml:space="preserve"> </w:t>
      </w:r>
      <w:r>
        <w:rPr>
          <w:spacing w:val="-1"/>
        </w:rPr>
        <w:t>state</w:t>
      </w:r>
      <w:r>
        <w:rPr>
          <w:spacing w:val="39"/>
        </w:rPr>
        <w:t xml:space="preserve"> </w:t>
      </w:r>
      <w:r>
        <w:rPr>
          <w:spacing w:val="-1"/>
        </w:rPr>
        <w:t>whether</w:t>
      </w:r>
      <w:r>
        <w:rPr>
          <w:spacing w:val="38"/>
        </w:rPr>
        <w:t xml:space="preserve"> </w:t>
      </w:r>
      <w:r>
        <w:rPr>
          <w:spacing w:val="-1"/>
        </w:rPr>
        <w:t>the</w:t>
      </w:r>
      <w:r>
        <w:rPr>
          <w:spacing w:val="31"/>
        </w:rPr>
        <w:t xml:space="preserve"> </w:t>
      </w:r>
      <w:r>
        <w:rPr>
          <w:spacing w:val="-2"/>
        </w:rPr>
        <w:t>event</w:t>
      </w:r>
      <w:r>
        <w:rPr>
          <w:spacing w:val="45"/>
        </w:rPr>
        <w:t xml:space="preserve"> </w:t>
      </w:r>
      <w:r>
        <w:rPr>
          <w:spacing w:val="-1"/>
        </w:rPr>
        <w:t>upon</w:t>
      </w:r>
      <w:r>
        <w:rPr>
          <w:spacing w:val="43"/>
        </w:rPr>
        <w:t xml:space="preserve"> </w:t>
      </w:r>
      <w:r>
        <w:rPr>
          <w:spacing w:val="-1"/>
        </w:rPr>
        <w:t>which</w:t>
      </w:r>
      <w:r>
        <w:rPr>
          <w:spacing w:val="44"/>
        </w:rPr>
        <w:t xml:space="preserve"> </w:t>
      </w:r>
      <w:r>
        <w:t>the</w:t>
      </w:r>
      <w:r>
        <w:rPr>
          <w:spacing w:val="43"/>
        </w:rPr>
        <w:t xml:space="preserve"> </w:t>
      </w:r>
      <w:r>
        <w:rPr>
          <w:spacing w:val="-1"/>
        </w:rPr>
        <w:t>Customer's</w:t>
      </w:r>
      <w:r>
        <w:rPr>
          <w:spacing w:val="44"/>
        </w:rPr>
        <w:t xml:space="preserve"> </w:t>
      </w:r>
      <w:r>
        <w:rPr>
          <w:spacing w:val="-2"/>
        </w:rPr>
        <w:t>decision</w:t>
      </w:r>
      <w:r>
        <w:rPr>
          <w:spacing w:val="43"/>
        </w:rPr>
        <w:t xml:space="preserve"> </w:t>
      </w:r>
      <w:r>
        <w:t>to</w:t>
      </w:r>
      <w:r>
        <w:rPr>
          <w:spacing w:val="42"/>
        </w:rPr>
        <w:t xml:space="preserve"> </w:t>
      </w:r>
      <w:r>
        <w:rPr>
          <w:spacing w:val="-1"/>
        </w:rPr>
        <w:t>terminate</w:t>
      </w:r>
      <w:r>
        <w:rPr>
          <w:spacing w:val="43"/>
        </w:rPr>
        <w:t xml:space="preserve"> </w:t>
      </w:r>
      <w:r>
        <w:rPr>
          <w:spacing w:val="-2"/>
        </w:rPr>
        <w:t>was</w:t>
      </w:r>
      <w:r>
        <w:t xml:space="preserve"> </w:t>
      </w:r>
      <w:r>
        <w:rPr>
          <w:spacing w:val="16"/>
        </w:rPr>
        <w:t xml:space="preserve"> </w:t>
      </w:r>
      <w:r>
        <w:rPr>
          <w:spacing w:val="-1"/>
        </w:rPr>
        <w:t>based</w:t>
      </w:r>
      <w:r>
        <w:t xml:space="preserve"> </w:t>
      </w:r>
      <w:r>
        <w:rPr>
          <w:spacing w:val="16"/>
        </w:rPr>
        <w:t xml:space="preserve"> </w:t>
      </w:r>
      <w:r>
        <w:rPr>
          <w:spacing w:val="-1"/>
        </w:rPr>
        <w:t>is</w:t>
      </w:r>
      <w:r>
        <w:t xml:space="preserve"> </w:t>
      </w:r>
      <w:r>
        <w:rPr>
          <w:spacing w:val="16"/>
        </w:rPr>
        <w:t xml:space="preserve"> </w:t>
      </w:r>
      <w:r>
        <w:rPr>
          <w:spacing w:val="-1"/>
        </w:rPr>
        <w:t>an</w:t>
      </w:r>
      <w:r>
        <w:t xml:space="preserve"> </w:t>
      </w:r>
      <w:r>
        <w:rPr>
          <w:spacing w:val="16"/>
        </w:rPr>
        <w:t xml:space="preserve"> </w:t>
      </w:r>
      <w:r>
        <w:rPr>
          <w:spacing w:val="-1"/>
        </w:rPr>
        <w:t>event</w:t>
      </w:r>
      <w:r>
        <w:t xml:space="preserve"> </w:t>
      </w:r>
      <w:r>
        <w:rPr>
          <w:spacing w:val="17"/>
        </w:rPr>
        <w:t xml:space="preserve"> </w:t>
      </w:r>
      <w:r>
        <w:rPr>
          <w:spacing w:val="-1"/>
        </w:rPr>
        <w:t>mentioned</w:t>
      </w:r>
      <w:r>
        <w:t xml:space="preserve"> </w:t>
      </w:r>
      <w:r>
        <w:rPr>
          <w:spacing w:val="16"/>
        </w:rPr>
        <w:t xml:space="preserve"> </w:t>
      </w:r>
      <w:r>
        <w:rPr>
          <w:spacing w:val="-1"/>
        </w:rPr>
        <w:t>in</w:t>
      </w:r>
      <w:r>
        <w:t xml:space="preserve"> </w:t>
      </w:r>
      <w:r>
        <w:rPr>
          <w:spacing w:val="16"/>
        </w:rPr>
        <w:t xml:space="preserve"> </w:t>
      </w:r>
      <w:r>
        <w:rPr>
          <w:spacing w:val="-1"/>
        </w:rPr>
        <w:t>Clauses</w:t>
      </w:r>
      <w:r>
        <w:t xml:space="preserve"> </w:t>
      </w:r>
      <w:r>
        <w:rPr>
          <w:spacing w:val="19"/>
        </w:rPr>
        <w:t xml:space="preserve"> </w:t>
      </w:r>
      <w:hyperlink w:anchor="_bookmark445" w:history="1">
        <w:r>
          <w:rPr>
            <w:spacing w:val="-1"/>
          </w:rPr>
          <w:t>56.11</w:t>
        </w:r>
      </w:hyperlink>
      <w:r>
        <w:rPr>
          <w:spacing w:val="-1"/>
        </w:rPr>
        <w:t>,</w:t>
      </w:r>
    </w:p>
    <w:p w:rsidR="008918FA" w:rsidRDefault="00E32C6B" w:rsidP="008918FA">
      <w:pPr>
        <w:pStyle w:val="BodyText"/>
        <w:spacing w:before="0"/>
        <w:ind w:left="3162" w:right="115" w:firstLine="0"/>
      </w:pPr>
      <w:hyperlink w:anchor="_bookmark446" w:history="1">
        <w:r w:rsidR="008918FA">
          <w:rPr>
            <w:spacing w:val="-1"/>
          </w:rPr>
          <w:t>56.11.1</w:t>
        </w:r>
      </w:hyperlink>
      <w:r w:rsidR="008918FA">
        <w:rPr>
          <w:spacing w:val="34"/>
        </w:rPr>
        <w:t xml:space="preserve"> </w:t>
      </w:r>
      <w:r w:rsidR="008918FA">
        <w:rPr>
          <w:spacing w:val="-2"/>
        </w:rPr>
        <w:t>or</w:t>
      </w:r>
      <w:r w:rsidR="008918FA">
        <w:rPr>
          <w:spacing w:val="35"/>
        </w:rPr>
        <w:t xml:space="preserve"> </w:t>
      </w:r>
      <w:hyperlink w:anchor="_bookmark447" w:history="1">
        <w:r w:rsidR="008918FA">
          <w:rPr>
            <w:spacing w:val="-1"/>
          </w:rPr>
          <w:t>56.11.2</w:t>
        </w:r>
      </w:hyperlink>
      <w:r w:rsidR="008918FA">
        <w:rPr>
          <w:spacing w:val="34"/>
        </w:rPr>
        <w:t xml:space="preserve"> </w:t>
      </w:r>
      <w:r w:rsidR="008918FA">
        <w:rPr>
          <w:spacing w:val="-1"/>
        </w:rPr>
        <w:t>and</w:t>
      </w:r>
      <w:r w:rsidR="008918FA">
        <w:rPr>
          <w:spacing w:val="34"/>
        </w:rPr>
        <w:t xml:space="preserve"> </w:t>
      </w:r>
      <w:r w:rsidR="008918FA">
        <w:t>to</w:t>
      </w:r>
      <w:r w:rsidR="008918FA">
        <w:rPr>
          <w:spacing w:val="34"/>
        </w:rPr>
        <w:t xml:space="preserve"> </w:t>
      </w:r>
      <w:r w:rsidR="008918FA">
        <w:rPr>
          <w:spacing w:val="-1"/>
        </w:rPr>
        <w:t>give</w:t>
      </w:r>
      <w:r w:rsidR="008918FA">
        <w:rPr>
          <w:spacing w:val="34"/>
        </w:rPr>
        <w:t xml:space="preserve"> </w:t>
      </w:r>
      <w:r w:rsidR="008918FA">
        <w:rPr>
          <w:spacing w:val="-1"/>
        </w:rPr>
        <w:t>particulars</w:t>
      </w:r>
      <w:r w:rsidR="008918FA">
        <w:rPr>
          <w:spacing w:val="35"/>
        </w:rPr>
        <w:t xml:space="preserve"> </w:t>
      </w:r>
      <w:r w:rsidR="008918FA">
        <w:rPr>
          <w:spacing w:val="-2"/>
        </w:rPr>
        <w:t>of</w:t>
      </w:r>
      <w:r w:rsidR="008918FA">
        <w:rPr>
          <w:spacing w:val="35"/>
        </w:rPr>
        <w:t xml:space="preserve"> </w:t>
      </w:r>
      <w:r w:rsidR="008918FA">
        <w:rPr>
          <w:spacing w:val="-1"/>
        </w:rPr>
        <w:t>that</w:t>
      </w:r>
      <w:r w:rsidR="008918FA">
        <w:rPr>
          <w:spacing w:val="35"/>
        </w:rPr>
        <w:t xml:space="preserve"> </w:t>
      </w:r>
      <w:r w:rsidR="008918FA">
        <w:rPr>
          <w:spacing w:val="-2"/>
        </w:rPr>
        <w:t>event;</w:t>
      </w:r>
      <w:r w:rsidR="008918FA">
        <w:rPr>
          <w:spacing w:val="45"/>
        </w:rPr>
        <w:t xml:space="preserve"> </w:t>
      </w:r>
      <w:r w:rsidR="008918FA">
        <w:rPr>
          <w:spacing w:val="-1"/>
        </w:rPr>
        <w:t>and</w:t>
      </w:r>
    </w:p>
    <w:p w:rsidR="008918FA" w:rsidRDefault="008918FA" w:rsidP="008918FA">
      <w:pPr>
        <w:sectPr w:rsidR="008918FA">
          <w:pgSz w:w="11910" w:h="16840"/>
          <w:pgMar w:top="1480" w:right="1300" w:bottom="1180" w:left="1680" w:header="0" w:footer="987" w:gutter="0"/>
          <w:cols w:space="720"/>
        </w:sectPr>
      </w:pPr>
    </w:p>
    <w:p w:rsidR="008918FA" w:rsidRDefault="008918FA" w:rsidP="008918FA">
      <w:pPr>
        <w:pStyle w:val="BodyText"/>
        <w:numPr>
          <w:ilvl w:val="2"/>
          <w:numId w:val="3"/>
        </w:numPr>
        <w:tabs>
          <w:tab w:val="left" w:pos="3164"/>
        </w:tabs>
        <w:spacing w:before="59"/>
        <w:ind w:right="112"/>
        <w:jc w:val="both"/>
      </w:pPr>
      <w:r>
        <w:t>the</w:t>
      </w:r>
      <w:r>
        <w:rPr>
          <w:spacing w:val="36"/>
        </w:rPr>
        <w:t xml:space="preserve"> </w:t>
      </w:r>
      <w:r>
        <w:rPr>
          <w:spacing w:val="-1"/>
        </w:rPr>
        <w:t>Customer</w:t>
      </w:r>
      <w:r>
        <w:rPr>
          <w:spacing w:val="35"/>
        </w:rPr>
        <w:t xml:space="preserve"> </w:t>
      </w:r>
      <w:r>
        <w:rPr>
          <w:spacing w:val="-1"/>
        </w:rPr>
        <w:t>shall</w:t>
      </w:r>
      <w:r>
        <w:rPr>
          <w:spacing w:val="36"/>
        </w:rPr>
        <w:t xml:space="preserve"> </w:t>
      </w:r>
      <w:r>
        <w:rPr>
          <w:spacing w:val="-1"/>
        </w:rPr>
        <w:t>within</w:t>
      </w:r>
      <w:r>
        <w:rPr>
          <w:spacing w:val="36"/>
        </w:rPr>
        <w:t xml:space="preserve"> </w:t>
      </w:r>
      <w:r>
        <w:t>ten</w:t>
      </w:r>
      <w:r>
        <w:rPr>
          <w:spacing w:val="34"/>
        </w:rPr>
        <w:t xml:space="preserve"> </w:t>
      </w:r>
      <w:r>
        <w:rPr>
          <w:spacing w:val="-1"/>
        </w:rPr>
        <w:t>(10)</w:t>
      </w:r>
      <w:r>
        <w:rPr>
          <w:spacing w:val="30"/>
        </w:rPr>
        <w:t xml:space="preserve"> </w:t>
      </w:r>
      <w:r>
        <w:rPr>
          <w:spacing w:val="-1"/>
        </w:rPr>
        <w:t>Working</w:t>
      </w:r>
      <w:r>
        <w:rPr>
          <w:spacing w:val="37"/>
        </w:rPr>
        <w:t xml:space="preserve"> </w:t>
      </w:r>
      <w:r>
        <w:rPr>
          <w:spacing w:val="-1"/>
        </w:rPr>
        <w:t>Days</w:t>
      </w:r>
      <w:r>
        <w:rPr>
          <w:spacing w:val="37"/>
        </w:rPr>
        <w:t xml:space="preserve"> </w:t>
      </w:r>
      <w:r>
        <w:rPr>
          <w:spacing w:val="-2"/>
        </w:rPr>
        <w:t>of</w:t>
      </w:r>
      <w:r>
        <w:rPr>
          <w:spacing w:val="38"/>
        </w:rPr>
        <w:t xml:space="preserve"> </w:t>
      </w:r>
      <w:r>
        <w:rPr>
          <w:spacing w:val="-1"/>
        </w:rPr>
        <w:t>the</w:t>
      </w:r>
      <w:r>
        <w:rPr>
          <w:spacing w:val="27"/>
        </w:rPr>
        <w:t xml:space="preserve"> </w:t>
      </w:r>
      <w:r>
        <w:rPr>
          <w:spacing w:val="-1"/>
        </w:rPr>
        <w:t>receipt</w:t>
      </w:r>
      <w:r>
        <w:rPr>
          <w:spacing w:val="59"/>
        </w:rPr>
        <w:t xml:space="preserve"> </w:t>
      </w:r>
      <w:r>
        <w:rPr>
          <w:spacing w:val="-2"/>
        </w:rPr>
        <w:t>of</w:t>
      </w:r>
      <w:r>
        <w:rPr>
          <w:spacing w:val="59"/>
        </w:rPr>
        <w:t xml:space="preserve"> </w:t>
      </w:r>
      <w:r>
        <w:rPr>
          <w:spacing w:val="-1"/>
        </w:rPr>
        <w:t>such</w:t>
      </w:r>
      <w:r>
        <w:rPr>
          <w:spacing w:val="58"/>
        </w:rPr>
        <w:t xml:space="preserve"> </w:t>
      </w:r>
      <w:r>
        <w:t>a</w:t>
      </w:r>
      <w:r>
        <w:rPr>
          <w:spacing w:val="55"/>
        </w:rPr>
        <w:t xml:space="preserve"> </w:t>
      </w:r>
      <w:r>
        <w:rPr>
          <w:spacing w:val="-1"/>
        </w:rPr>
        <w:t>request</w:t>
      </w:r>
      <w:r>
        <w:rPr>
          <w:spacing w:val="57"/>
        </w:rPr>
        <w:t xml:space="preserve"> </w:t>
      </w:r>
      <w:r>
        <w:rPr>
          <w:spacing w:val="-1"/>
        </w:rPr>
        <w:t>give</w:t>
      </w:r>
      <w:r>
        <w:rPr>
          <w:spacing w:val="58"/>
        </w:rPr>
        <w:t xml:space="preserve"> </w:t>
      </w:r>
      <w:r>
        <w:rPr>
          <w:spacing w:val="-1"/>
        </w:rPr>
        <w:t>notice</w:t>
      </w:r>
      <w:r>
        <w:rPr>
          <w:spacing w:val="59"/>
        </w:rPr>
        <w:t xml:space="preserve"> </w:t>
      </w:r>
      <w:r>
        <w:rPr>
          <w:spacing w:val="-1"/>
        </w:rPr>
        <w:t>in</w:t>
      </w:r>
      <w:r>
        <w:rPr>
          <w:spacing w:val="58"/>
        </w:rPr>
        <w:t xml:space="preserve"> </w:t>
      </w:r>
      <w:r>
        <w:rPr>
          <w:spacing w:val="-1"/>
        </w:rPr>
        <w:t>writing</w:t>
      </w:r>
      <w:r>
        <w:rPr>
          <w:spacing w:val="58"/>
        </w:rPr>
        <w:t xml:space="preserve"> </w:t>
      </w:r>
      <w:r>
        <w:t>to</w:t>
      </w:r>
      <w:r>
        <w:rPr>
          <w:spacing w:val="58"/>
        </w:rPr>
        <w:t xml:space="preserve"> </w:t>
      </w:r>
      <w:r>
        <w:rPr>
          <w:spacing w:val="-1"/>
        </w:rPr>
        <w:t>the</w:t>
      </w:r>
      <w:r>
        <w:rPr>
          <w:spacing w:val="31"/>
        </w:rPr>
        <w:t xml:space="preserve"> </w:t>
      </w:r>
      <w:r>
        <w:rPr>
          <w:spacing w:val="-2"/>
        </w:rPr>
        <w:t>Supplier</w:t>
      </w:r>
      <w:r>
        <w:rPr>
          <w:spacing w:val="35"/>
        </w:rPr>
        <w:t xml:space="preserve"> </w:t>
      </w:r>
      <w:r>
        <w:rPr>
          <w:spacing w:val="-1"/>
        </w:rPr>
        <w:t>containing</w:t>
      </w:r>
      <w:r>
        <w:rPr>
          <w:spacing w:val="36"/>
        </w:rPr>
        <w:t xml:space="preserve"> </w:t>
      </w:r>
      <w:r>
        <w:rPr>
          <w:spacing w:val="-1"/>
        </w:rPr>
        <w:t>such</w:t>
      </w:r>
      <w:r>
        <w:rPr>
          <w:spacing w:val="34"/>
        </w:rPr>
        <w:t xml:space="preserve"> </w:t>
      </w:r>
      <w:r>
        <w:t>a</w:t>
      </w:r>
      <w:r>
        <w:rPr>
          <w:spacing w:val="34"/>
        </w:rPr>
        <w:t xml:space="preserve"> </w:t>
      </w:r>
      <w:r>
        <w:rPr>
          <w:spacing w:val="-1"/>
        </w:rPr>
        <w:t>statement</w:t>
      </w:r>
      <w:r>
        <w:rPr>
          <w:spacing w:val="35"/>
        </w:rPr>
        <w:t xml:space="preserve"> </w:t>
      </w:r>
      <w:r>
        <w:rPr>
          <w:spacing w:val="-1"/>
        </w:rPr>
        <w:t>and</w:t>
      </w:r>
      <w:r>
        <w:rPr>
          <w:spacing w:val="34"/>
        </w:rPr>
        <w:t xml:space="preserve"> </w:t>
      </w:r>
      <w:r>
        <w:rPr>
          <w:spacing w:val="-1"/>
        </w:rPr>
        <w:t>particulars</w:t>
      </w:r>
      <w:r>
        <w:rPr>
          <w:spacing w:val="35"/>
        </w:rPr>
        <w:t xml:space="preserve"> </w:t>
      </w:r>
      <w:r>
        <w:rPr>
          <w:spacing w:val="-1"/>
        </w:rPr>
        <w:t>as</w:t>
      </w:r>
      <w:r>
        <w:rPr>
          <w:spacing w:val="22"/>
        </w:rPr>
        <w:t xml:space="preserve"> </w:t>
      </w:r>
      <w:r>
        <w:rPr>
          <w:spacing w:val="-1"/>
        </w:rPr>
        <w:t>are</w:t>
      </w:r>
      <w:r>
        <w:rPr>
          <w:spacing w:val="-2"/>
        </w:rPr>
        <w:t xml:space="preserve"> </w:t>
      </w:r>
      <w:r>
        <w:rPr>
          <w:spacing w:val="-1"/>
        </w:rPr>
        <w:t>required</w:t>
      </w:r>
      <w:r>
        <w:t xml:space="preserve"> </w:t>
      </w:r>
      <w:r>
        <w:rPr>
          <w:spacing w:val="-1"/>
        </w:rPr>
        <w:t>by</w:t>
      </w:r>
      <w:r>
        <w:rPr>
          <w:spacing w:val="-2"/>
        </w:rPr>
        <w:t xml:space="preserve"> </w:t>
      </w:r>
      <w:r>
        <w:t>the</w:t>
      </w:r>
      <w:r>
        <w:rPr>
          <w:spacing w:val="-2"/>
        </w:rPr>
        <w:t xml:space="preserve"> </w:t>
      </w:r>
      <w:r>
        <w:rPr>
          <w:spacing w:val="-1"/>
        </w:rPr>
        <w:t>request.</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1"/>
          <w:numId w:val="3"/>
        </w:numPr>
        <w:tabs>
          <w:tab w:val="left" w:pos="2424"/>
        </w:tabs>
        <w:spacing w:before="0"/>
        <w:ind w:left="2423" w:hanging="736"/>
      </w:pPr>
      <w:r>
        <w:rPr>
          <w:spacing w:val="-1"/>
        </w:rPr>
        <w:t>Matters</w:t>
      </w:r>
      <w:r>
        <w:rPr>
          <w:spacing w:val="1"/>
        </w:rPr>
        <w:t xml:space="preserve"> </w:t>
      </w:r>
      <w:r>
        <w:rPr>
          <w:spacing w:val="-1"/>
        </w:rPr>
        <w:t>pursuant</w:t>
      </w:r>
      <w:r>
        <w:t xml:space="preserve"> to</w:t>
      </w:r>
      <w:r>
        <w:rPr>
          <w:spacing w:val="-2"/>
        </w:rPr>
        <w:t xml:space="preserve"> </w:t>
      </w:r>
      <w:r>
        <w:rPr>
          <w:spacing w:val="-1"/>
        </w:rPr>
        <w:t>termination</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3"/>
        <w:jc w:val="both"/>
      </w:pPr>
      <w:r>
        <w:t>The</w:t>
      </w:r>
      <w:r>
        <w:rPr>
          <w:spacing w:val="13"/>
        </w:rPr>
        <w:t xml:space="preserve"> </w:t>
      </w:r>
      <w:r>
        <w:rPr>
          <w:spacing w:val="-1"/>
        </w:rPr>
        <w:t>termination</w:t>
      </w:r>
      <w:r>
        <w:rPr>
          <w:spacing w:val="16"/>
        </w:rPr>
        <w:t xml:space="preserve"> </w:t>
      </w:r>
      <w:r>
        <w:rPr>
          <w:spacing w:val="-2"/>
        </w:rPr>
        <w:t>of</w:t>
      </w:r>
      <w:r>
        <w:rPr>
          <w:spacing w:val="17"/>
        </w:rPr>
        <w:t xml:space="preserve"> </w:t>
      </w:r>
      <w:r>
        <w:rPr>
          <w:spacing w:val="-1"/>
        </w:rPr>
        <w:t>this</w:t>
      </w:r>
      <w:r>
        <w:rPr>
          <w:spacing w:val="14"/>
        </w:rPr>
        <w:t xml:space="preserve"> </w:t>
      </w:r>
      <w:r>
        <w:rPr>
          <w:spacing w:val="-2"/>
        </w:rPr>
        <w:t>Call</w:t>
      </w:r>
      <w:r>
        <w:rPr>
          <w:spacing w:val="15"/>
        </w:rPr>
        <w:t xml:space="preserve"> </w:t>
      </w:r>
      <w:r>
        <w:rPr>
          <w:spacing w:val="-1"/>
        </w:rPr>
        <w:t>Off</w:t>
      </w:r>
      <w:r>
        <w:rPr>
          <w:spacing w:val="20"/>
        </w:rPr>
        <w:t xml:space="preserve"> </w:t>
      </w:r>
      <w:r>
        <w:rPr>
          <w:spacing w:val="-2"/>
        </w:rPr>
        <w:t>Contract</w:t>
      </w:r>
      <w:r>
        <w:rPr>
          <w:spacing w:val="17"/>
        </w:rPr>
        <w:t xml:space="preserve"> </w:t>
      </w:r>
      <w:r>
        <w:rPr>
          <w:spacing w:val="-1"/>
        </w:rPr>
        <w:t>pursuant</w:t>
      </w:r>
      <w:r>
        <w:rPr>
          <w:spacing w:val="17"/>
        </w:rPr>
        <w:t xml:space="preserve"> </w:t>
      </w:r>
      <w:r>
        <w:rPr>
          <w:spacing w:val="-1"/>
        </w:rPr>
        <w:t>to</w:t>
      </w:r>
      <w:r>
        <w:rPr>
          <w:spacing w:val="41"/>
        </w:rPr>
        <w:t xml:space="preserve"> </w:t>
      </w:r>
      <w:r>
        <w:rPr>
          <w:spacing w:val="-2"/>
        </w:rPr>
        <w:t>Clause</w:t>
      </w:r>
      <w:r>
        <w:rPr>
          <w:spacing w:val="35"/>
        </w:rPr>
        <w:t xml:space="preserve"> </w:t>
      </w:r>
      <w:hyperlink w:anchor="_bookmark444" w:history="1">
        <w:r>
          <w:rPr>
            <w:spacing w:val="-1"/>
          </w:rPr>
          <w:t>56.11</w:t>
        </w:r>
      </w:hyperlink>
      <w:r>
        <w:rPr>
          <w:spacing w:val="34"/>
        </w:rPr>
        <w:t xml:space="preserve"> </w:t>
      </w:r>
      <w:r>
        <w:rPr>
          <w:spacing w:val="-1"/>
        </w:rPr>
        <w:t>shall</w:t>
      </w:r>
      <w:r>
        <w:rPr>
          <w:spacing w:val="33"/>
        </w:rPr>
        <w:t xml:space="preserve"> </w:t>
      </w:r>
      <w:r>
        <w:rPr>
          <w:spacing w:val="-1"/>
        </w:rPr>
        <w:t>be</w:t>
      </w:r>
      <w:r>
        <w:rPr>
          <w:spacing w:val="36"/>
        </w:rPr>
        <w:t xml:space="preserve"> </w:t>
      </w:r>
      <w:r>
        <w:rPr>
          <w:spacing w:val="-1"/>
        </w:rPr>
        <w:t>without</w:t>
      </w:r>
      <w:r>
        <w:rPr>
          <w:spacing w:val="35"/>
        </w:rPr>
        <w:t xml:space="preserve"> </w:t>
      </w:r>
      <w:r>
        <w:rPr>
          <w:spacing w:val="-1"/>
        </w:rPr>
        <w:t>prejudice</w:t>
      </w:r>
      <w:r>
        <w:rPr>
          <w:spacing w:val="34"/>
        </w:rPr>
        <w:t xml:space="preserve"> </w:t>
      </w:r>
      <w:r>
        <w:t>to</w:t>
      </w:r>
      <w:r>
        <w:rPr>
          <w:spacing w:val="35"/>
        </w:rPr>
        <w:t xml:space="preserve"> </w:t>
      </w:r>
      <w:r>
        <w:rPr>
          <w:spacing w:val="-1"/>
        </w:rPr>
        <w:t>any</w:t>
      </w:r>
      <w:r>
        <w:rPr>
          <w:spacing w:val="32"/>
        </w:rPr>
        <w:t xml:space="preserve"> </w:t>
      </w:r>
      <w:r>
        <w:rPr>
          <w:spacing w:val="-1"/>
        </w:rPr>
        <w:t>rights</w:t>
      </w:r>
      <w:r>
        <w:rPr>
          <w:spacing w:val="32"/>
        </w:rPr>
        <w:t xml:space="preserve"> </w:t>
      </w:r>
      <w:r>
        <w:rPr>
          <w:spacing w:val="-2"/>
        </w:rPr>
        <w:t>of</w:t>
      </w:r>
      <w:r>
        <w:rPr>
          <w:spacing w:val="39"/>
        </w:rPr>
        <w:t xml:space="preserve"> </w:t>
      </w:r>
      <w:r>
        <w:rPr>
          <w:spacing w:val="-1"/>
        </w:rPr>
        <w:t>either</w:t>
      </w:r>
      <w:r>
        <w:rPr>
          <w:spacing w:val="28"/>
        </w:rPr>
        <w:t xml:space="preserve"> </w:t>
      </w:r>
      <w:r>
        <w:rPr>
          <w:spacing w:val="-1"/>
        </w:rPr>
        <w:t>party</w:t>
      </w:r>
      <w:r>
        <w:rPr>
          <w:spacing w:val="25"/>
        </w:rPr>
        <w:t xml:space="preserve"> </w:t>
      </w:r>
      <w:r>
        <w:rPr>
          <w:spacing w:val="-2"/>
        </w:rPr>
        <w:t>which</w:t>
      </w:r>
      <w:r>
        <w:rPr>
          <w:spacing w:val="27"/>
        </w:rPr>
        <w:t xml:space="preserve"> </w:t>
      </w:r>
      <w:r>
        <w:rPr>
          <w:spacing w:val="-1"/>
        </w:rPr>
        <w:t>shall</w:t>
      </w:r>
      <w:r>
        <w:rPr>
          <w:spacing w:val="28"/>
        </w:rPr>
        <w:t xml:space="preserve"> </w:t>
      </w:r>
      <w:r>
        <w:rPr>
          <w:spacing w:val="-2"/>
        </w:rPr>
        <w:t>have</w:t>
      </w:r>
      <w:r>
        <w:rPr>
          <w:spacing w:val="27"/>
        </w:rPr>
        <w:t xml:space="preserve"> </w:t>
      </w:r>
      <w:r>
        <w:rPr>
          <w:spacing w:val="-1"/>
        </w:rPr>
        <w:t>accrued</w:t>
      </w:r>
      <w:r>
        <w:rPr>
          <w:spacing w:val="27"/>
        </w:rPr>
        <w:t xml:space="preserve"> </w:t>
      </w:r>
      <w:r>
        <w:rPr>
          <w:spacing w:val="-1"/>
        </w:rPr>
        <w:t>before</w:t>
      </w:r>
      <w:r>
        <w:rPr>
          <w:spacing w:val="24"/>
        </w:rPr>
        <w:t xml:space="preserve"> </w:t>
      </w:r>
      <w:r>
        <w:t>the</w:t>
      </w:r>
      <w:r>
        <w:rPr>
          <w:spacing w:val="24"/>
        </w:rPr>
        <w:t xml:space="preserve"> </w:t>
      </w:r>
      <w:r>
        <w:rPr>
          <w:spacing w:val="-1"/>
        </w:rPr>
        <w:t>date</w:t>
      </w:r>
      <w:r>
        <w:rPr>
          <w:spacing w:val="24"/>
        </w:rPr>
        <w:t xml:space="preserve"> </w:t>
      </w:r>
      <w:r>
        <w:rPr>
          <w:spacing w:val="-2"/>
        </w:rPr>
        <w:t>of</w:t>
      </w:r>
      <w:r>
        <w:rPr>
          <w:spacing w:val="39"/>
        </w:rPr>
        <w:t xml:space="preserve"> </w:t>
      </w:r>
      <w:r>
        <w:rPr>
          <w:spacing w:val="-1"/>
        </w:rPr>
        <w:t>such</w:t>
      </w:r>
      <w:r>
        <w:rPr>
          <w:spacing w:val="1"/>
        </w:rPr>
        <w:t xml:space="preserve"> </w:t>
      </w:r>
      <w:r>
        <w:rPr>
          <w:spacing w:val="-1"/>
        </w:rPr>
        <w:t>termination;</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3"/>
        <w:jc w:val="both"/>
      </w:pPr>
      <w:r>
        <w:t>The</w:t>
      </w:r>
      <w:r>
        <w:rPr>
          <w:spacing w:val="24"/>
        </w:rPr>
        <w:t xml:space="preserve"> </w:t>
      </w:r>
      <w:r>
        <w:rPr>
          <w:spacing w:val="-2"/>
        </w:rPr>
        <w:t>Supplier</w:t>
      </w:r>
      <w:r>
        <w:rPr>
          <w:spacing w:val="23"/>
        </w:rPr>
        <w:t xml:space="preserve"> </w:t>
      </w:r>
      <w:r>
        <w:rPr>
          <w:spacing w:val="-1"/>
        </w:rPr>
        <w:t>shall</w:t>
      </w:r>
      <w:r>
        <w:rPr>
          <w:spacing w:val="24"/>
        </w:rPr>
        <w:t xml:space="preserve"> </w:t>
      </w:r>
      <w:r>
        <w:rPr>
          <w:spacing w:val="-1"/>
        </w:rPr>
        <w:t>be</w:t>
      </w:r>
      <w:r>
        <w:rPr>
          <w:spacing w:val="24"/>
        </w:rPr>
        <w:t xml:space="preserve"> </w:t>
      </w:r>
      <w:r>
        <w:rPr>
          <w:spacing w:val="-1"/>
        </w:rPr>
        <w:t>entitled</w:t>
      </w:r>
      <w:r>
        <w:rPr>
          <w:spacing w:val="24"/>
        </w:rPr>
        <w:t xml:space="preserve"> </w:t>
      </w:r>
      <w:r>
        <w:t>to</w:t>
      </w:r>
      <w:r>
        <w:rPr>
          <w:spacing w:val="22"/>
        </w:rPr>
        <w:t xml:space="preserve"> </w:t>
      </w:r>
      <w:r>
        <w:rPr>
          <w:spacing w:val="-1"/>
        </w:rPr>
        <w:t>be</w:t>
      </w:r>
      <w:r>
        <w:rPr>
          <w:spacing w:val="24"/>
        </w:rPr>
        <w:t xml:space="preserve"> </w:t>
      </w:r>
      <w:r>
        <w:rPr>
          <w:spacing w:val="-1"/>
        </w:rPr>
        <w:t>paid</w:t>
      </w:r>
      <w:r>
        <w:rPr>
          <w:spacing w:val="22"/>
        </w:rPr>
        <w:t xml:space="preserve"> </w:t>
      </w:r>
      <w:r>
        <w:t>for</w:t>
      </w:r>
      <w:r>
        <w:rPr>
          <w:spacing w:val="23"/>
        </w:rPr>
        <w:t xml:space="preserve"> </w:t>
      </w:r>
      <w:r>
        <w:rPr>
          <w:spacing w:val="-2"/>
        </w:rPr>
        <w:t>any</w:t>
      </w:r>
      <w:r>
        <w:rPr>
          <w:spacing w:val="25"/>
        </w:rPr>
        <w:t xml:space="preserve"> </w:t>
      </w:r>
      <w:r>
        <w:rPr>
          <w:spacing w:val="-2"/>
        </w:rPr>
        <w:t>work</w:t>
      </w:r>
      <w:r>
        <w:rPr>
          <w:spacing w:val="27"/>
        </w:rPr>
        <w:t xml:space="preserve"> </w:t>
      </w:r>
      <w:r>
        <w:rPr>
          <w:spacing w:val="-2"/>
        </w:rPr>
        <w:t>or</w:t>
      </w:r>
      <w:r>
        <w:rPr>
          <w:spacing w:val="39"/>
        </w:rPr>
        <w:t xml:space="preserve"> </w:t>
      </w:r>
      <w:r>
        <w:rPr>
          <w:spacing w:val="-1"/>
        </w:rPr>
        <w:t>thing</w:t>
      </w:r>
      <w:r>
        <w:rPr>
          <w:spacing w:val="20"/>
        </w:rPr>
        <w:t xml:space="preserve"> </w:t>
      </w:r>
      <w:r>
        <w:rPr>
          <w:spacing w:val="-2"/>
        </w:rPr>
        <w:t>done</w:t>
      </w:r>
      <w:r>
        <w:rPr>
          <w:spacing w:val="17"/>
        </w:rPr>
        <w:t xml:space="preserve"> </w:t>
      </w:r>
      <w:r>
        <w:rPr>
          <w:spacing w:val="-1"/>
        </w:rPr>
        <w:t>under</w:t>
      </w:r>
      <w:r>
        <w:rPr>
          <w:spacing w:val="16"/>
        </w:rPr>
        <w:t xml:space="preserve"> </w:t>
      </w:r>
      <w:r>
        <w:rPr>
          <w:spacing w:val="-1"/>
        </w:rPr>
        <w:t>this</w:t>
      </w:r>
      <w:r>
        <w:rPr>
          <w:spacing w:val="18"/>
        </w:rPr>
        <w:t xml:space="preserve"> </w:t>
      </w:r>
      <w:r>
        <w:rPr>
          <w:spacing w:val="-2"/>
        </w:rPr>
        <w:t>Call</w:t>
      </w:r>
      <w:r>
        <w:rPr>
          <w:spacing w:val="17"/>
        </w:rPr>
        <w:t xml:space="preserve"> </w:t>
      </w:r>
      <w:r>
        <w:rPr>
          <w:spacing w:val="-1"/>
        </w:rPr>
        <w:t>Off</w:t>
      </w:r>
      <w:r>
        <w:rPr>
          <w:spacing w:val="19"/>
        </w:rPr>
        <w:t xml:space="preserve"> </w:t>
      </w:r>
      <w:r>
        <w:rPr>
          <w:spacing w:val="-1"/>
        </w:rPr>
        <w:t>Contract</w:t>
      </w:r>
      <w:r>
        <w:rPr>
          <w:spacing w:val="19"/>
        </w:rPr>
        <w:t xml:space="preserve"> </w:t>
      </w:r>
      <w:r>
        <w:rPr>
          <w:spacing w:val="-1"/>
        </w:rPr>
        <w:t>and</w:t>
      </w:r>
      <w:r>
        <w:rPr>
          <w:spacing w:val="15"/>
        </w:rPr>
        <w:t xml:space="preserve"> </w:t>
      </w:r>
      <w:r>
        <w:rPr>
          <w:spacing w:val="-1"/>
        </w:rPr>
        <w:t>accepted</w:t>
      </w:r>
      <w:r>
        <w:rPr>
          <w:spacing w:val="17"/>
        </w:rPr>
        <w:t xml:space="preserve"> </w:t>
      </w:r>
      <w:r>
        <w:rPr>
          <w:spacing w:val="-2"/>
        </w:rPr>
        <w:t>but</w:t>
      </w:r>
      <w:r>
        <w:rPr>
          <w:spacing w:val="33"/>
        </w:rPr>
        <w:t xml:space="preserve"> </w:t>
      </w:r>
      <w:r>
        <w:rPr>
          <w:spacing w:val="-1"/>
        </w:rPr>
        <w:t>not</w:t>
      </w:r>
      <w:r>
        <w:rPr>
          <w:spacing w:val="39"/>
        </w:rPr>
        <w:t xml:space="preserve"> </w:t>
      </w:r>
      <w:r>
        <w:rPr>
          <w:spacing w:val="-1"/>
        </w:rPr>
        <w:t>paid</w:t>
      </w:r>
      <w:r>
        <w:rPr>
          <w:spacing w:val="37"/>
        </w:rPr>
        <w:t xml:space="preserve"> </w:t>
      </w:r>
      <w:r>
        <w:t>for</w:t>
      </w:r>
      <w:r>
        <w:rPr>
          <w:spacing w:val="39"/>
        </w:rPr>
        <w:t xml:space="preserve"> </w:t>
      </w:r>
      <w:r>
        <w:rPr>
          <w:spacing w:val="-1"/>
        </w:rPr>
        <w:t>by</w:t>
      </w:r>
      <w:r>
        <w:rPr>
          <w:spacing w:val="35"/>
        </w:rPr>
        <w:t xml:space="preserve"> </w:t>
      </w:r>
      <w:r>
        <w:t>the</w:t>
      </w:r>
      <w:r>
        <w:rPr>
          <w:spacing w:val="37"/>
        </w:rPr>
        <w:t xml:space="preserve"> </w:t>
      </w:r>
      <w:r>
        <w:rPr>
          <w:spacing w:val="-1"/>
        </w:rPr>
        <w:t>Customer</w:t>
      </w:r>
      <w:r>
        <w:rPr>
          <w:spacing w:val="39"/>
        </w:rPr>
        <w:t xml:space="preserve"> </w:t>
      </w:r>
      <w:r>
        <w:rPr>
          <w:spacing w:val="-1"/>
        </w:rPr>
        <w:t>at</w:t>
      </w:r>
      <w:r>
        <w:rPr>
          <w:spacing w:val="40"/>
        </w:rPr>
        <w:t xml:space="preserve"> </w:t>
      </w:r>
      <w:r>
        <w:t>the</w:t>
      </w:r>
      <w:r>
        <w:rPr>
          <w:spacing w:val="37"/>
        </w:rPr>
        <w:t xml:space="preserve"> </w:t>
      </w:r>
      <w:r>
        <w:rPr>
          <w:spacing w:val="-1"/>
        </w:rPr>
        <w:t>date</w:t>
      </w:r>
      <w:r>
        <w:rPr>
          <w:spacing w:val="35"/>
        </w:rPr>
        <w:t xml:space="preserve"> </w:t>
      </w:r>
      <w:r>
        <w:rPr>
          <w:spacing w:val="-1"/>
        </w:rPr>
        <w:t>of</w:t>
      </w:r>
      <w:r>
        <w:rPr>
          <w:spacing w:val="41"/>
        </w:rPr>
        <w:t xml:space="preserve"> </w:t>
      </w:r>
      <w:r>
        <w:rPr>
          <w:spacing w:val="-2"/>
        </w:rPr>
        <w:t>such</w:t>
      </w:r>
      <w:r>
        <w:rPr>
          <w:spacing w:val="28"/>
        </w:rPr>
        <w:t xml:space="preserve"> </w:t>
      </w:r>
      <w:r>
        <w:rPr>
          <w:spacing w:val="-1"/>
        </w:rPr>
        <w:t>termination</w:t>
      </w:r>
      <w:r>
        <w:rPr>
          <w:spacing w:val="55"/>
        </w:rPr>
        <w:t xml:space="preserve"> </w:t>
      </w:r>
      <w:r>
        <w:rPr>
          <w:spacing w:val="-1"/>
        </w:rPr>
        <w:t>either</w:t>
      </w:r>
      <w:r>
        <w:rPr>
          <w:spacing w:val="57"/>
        </w:rPr>
        <w:t xml:space="preserve"> </w:t>
      </w:r>
      <w:r>
        <w:rPr>
          <w:spacing w:val="-2"/>
        </w:rPr>
        <w:t>at</w:t>
      </w:r>
      <w:r>
        <w:rPr>
          <w:spacing w:val="57"/>
        </w:rPr>
        <w:t xml:space="preserve"> </w:t>
      </w:r>
      <w:r>
        <w:rPr>
          <w:spacing w:val="-1"/>
        </w:rPr>
        <w:t>the</w:t>
      </w:r>
      <w:r>
        <w:rPr>
          <w:spacing w:val="55"/>
        </w:rPr>
        <w:t xml:space="preserve"> </w:t>
      </w:r>
      <w:r>
        <w:rPr>
          <w:spacing w:val="-1"/>
        </w:rPr>
        <w:t>price</w:t>
      </w:r>
      <w:r>
        <w:rPr>
          <w:spacing w:val="56"/>
        </w:rPr>
        <w:t xml:space="preserve"> </w:t>
      </w:r>
      <w:r>
        <w:rPr>
          <w:spacing w:val="-2"/>
        </w:rPr>
        <w:t>which</w:t>
      </w:r>
      <w:r>
        <w:rPr>
          <w:spacing w:val="58"/>
        </w:rPr>
        <w:t xml:space="preserve"> </w:t>
      </w:r>
      <w:r>
        <w:rPr>
          <w:spacing w:val="-2"/>
        </w:rPr>
        <w:t>would</w:t>
      </w:r>
      <w:r>
        <w:rPr>
          <w:spacing w:val="56"/>
        </w:rPr>
        <w:t xml:space="preserve"> </w:t>
      </w:r>
      <w:r>
        <w:rPr>
          <w:spacing w:val="-1"/>
        </w:rPr>
        <w:t>have</w:t>
      </w:r>
      <w:r>
        <w:rPr>
          <w:spacing w:val="55"/>
        </w:rPr>
        <w:t xml:space="preserve"> </w:t>
      </w:r>
      <w:r>
        <w:rPr>
          <w:spacing w:val="-1"/>
        </w:rPr>
        <w:t>been</w:t>
      </w:r>
      <w:r>
        <w:rPr>
          <w:spacing w:val="28"/>
        </w:rPr>
        <w:t xml:space="preserve"> </w:t>
      </w:r>
      <w:r>
        <w:rPr>
          <w:spacing w:val="-2"/>
        </w:rPr>
        <w:t>payable</w:t>
      </w:r>
      <w:r>
        <w:rPr>
          <w:spacing w:val="26"/>
        </w:rPr>
        <w:t xml:space="preserve"> </w:t>
      </w:r>
      <w:r>
        <w:rPr>
          <w:spacing w:val="-1"/>
        </w:rPr>
        <w:t>under</w:t>
      </w:r>
      <w:r>
        <w:rPr>
          <w:spacing w:val="27"/>
        </w:rPr>
        <w:t xml:space="preserve"> </w:t>
      </w:r>
      <w:r>
        <w:rPr>
          <w:spacing w:val="-1"/>
        </w:rPr>
        <w:t>this</w:t>
      </w:r>
      <w:r>
        <w:rPr>
          <w:spacing w:val="26"/>
        </w:rPr>
        <w:t xml:space="preserve"> </w:t>
      </w:r>
      <w:r>
        <w:rPr>
          <w:spacing w:val="-1"/>
        </w:rPr>
        <w:t>Call</w:t>
      </w:r>
      <w:r>
        <w:rPr>
          <w:spacing w:val="25"/>
        </w:rPr>
        <w:t xml:space="preserve"> </w:t>
      </w:r>
      <w:r>
        <w:rPr>
          <w:spacing w:val="-1"/>
        </w:rPr>
        <w:t>Off</w:t>
      </w:r>
      <w:r>
        <w:rPr>
          <w:spacing w:val="29"/>
        </w:rPr>
        <w:t xml:space="preserve"> </w:t>
      </w:r>
      <w:r>
        <w:rPr>
          <w:spacing w:val="-1"/>
        </w:rPr>
        <w:t>Contract</w:t>
      </w:r>
      <w:r>
        <w:rPr>
          <w:spacing w:val="28"/>
        </w:rPr>
        <w:t xml:space="preserve"> </w:t>
      </w:r>
      <w:r>
        <w:rPr>
          <w:spacing w:val="-2"/>
        </w:rPr>
        <w:t>if</w:t>
      </w:r>
      <w:r>
        <w:rPr>
          <w:spacing w:val="28"/>
        </w:rPr>
        <w:t xml:space="preserve"> </w:t>
      </w:r>
      <w:r>
        <w:rPr>
          <w:spacing w:val="-1"/>
        </w:rPr>
        <w:t>this</w:t>
      </w:r>
      <w:r>
        <w:rPr>
          <w:spacing w:val="26"/>
        </w:rPr>
        <w:t xml:space="preserve"> </w:t>
      </w:r>
      <w:r>
        <w:rPr>
          <w:spacing w:val="-2"/>
        </w:rPr>
        <w:t>Call</w:t>
      </w:r>
      <w:r>
        <w:rPr>
          <w:spacing w:val="25"/>
        </w:rPr>
        <w:t xml:space="preserve"> </w:t>
      </w:r>
      <w:r>
        <w:rPr>
          <w:spacing w:val="-1"/>
        </w:rPr>
        <w:t>Off</w:t>
      </w:r>
      <w:r>
        <w:rPr>
          <w:spacing w:val="39"/>
        </w:rPr>
        <w:t xml:space="preserve"> </w:t>
      </w:r>
      <w:r>
        <w:rPr>
          <w:spacing w:val="-1"/>
        </w:rPr>
        <w:t>Contract</w:t>
      </w:r>
      <w:r>
        <w:rPr>
          <w:spacing w:val="59"/>
        </w:rPr>
        <w:t xml:space="preserve"> </w:t>
      </w:r>
      <w:r>
        <w:rPr>
          <w:spacing w:val="-1"/>
        </w:rPr>
        <w:t>had</w:t>
      </w:r>
      <w:r>
        <w:rPr>
          <w:spacing w:val="58"/>
        </w:rPr>
        <w:t xml:space="preserve"> </w:t>
      </w:r>
      <w:r>
        <w:rPr>
          <w:spacing w:val="-1"/>
        </w:rPr>
        <w:t>not</w:t>
      </w:r>
      <w:r>
        <w:rPr>
          <w:spacing w:val="59"/>
        </w:rPr>
        <w:t xml:space="preserve"> </w:t>
      </w:r>
      <w:r>
        <w:rPr>
          <w:spacing w:val="-1"/>
        </w:rPr>
        <w:t>been</w:t>
      </w:r>
      <w:r>
        <w:rPr>
          <w:spacing w:val="55"/>
        </w:rPr>
        <w:t xml:space="preserve"> </w:t>
      </w:r>
      <w:r>
        <w:rPr>
          <w:spacing w:val="-1"/>
        </w:rPr>
        <w:t>terminated,</w:t>
      </w:r>
      <w:r>
        <w:rPr>
          <w:spacing w:val="59"/>
        </w:rPr>
        <w:t xml:space="preserve"> </w:t>
      </w:r>
      <w:r>
        <w:rPr>
          <w:spacing w:val="-2"/>
        </w:rPr>
        <w:t>or</w:t>
      </w:r>
      <w:r>
        <w:rPr>
          <w:spacing w:val="59"/>
        </w:rPr>
        <w:t xml:space="preserve"> </w:t>
      </w:r>
      <w:r>
        <w:rPr>
          <w:spacing w:val="-1"/>
        </w:rPr>
        <w:t>at</w:t>
      </w:r>
      <w:r>
        <w:rPr>
          <w:spacing w:val="60"/>
        </w:rPr>
        <w:t xml:space="preserve"> </w:t>
      </w:r>
      <w:r>
        <w:t>a</w:t>
      </w:r>
      <w:r>
        <w:rPr>
          <w:spacing w:val="58"/>
        </w:rPr>
        <w:t xml:space="preserve"> </w:t>
      </w:r>
      <w:r>
        <w:rPr>
          <w:spacing w:val="-1"/>
        </w:rPr>
        <w:t>reasonable</w:t>
      </w:r>
      <w:r>
        <w:rPr>
          <w:spacing w:val="27"/>
        </w:rPr>
        <w:t xml:space="preserve"> </w:t>
      </w:r>
      <w:r>
        <w:rPr>
          <w:spacing w:val="-1"/>
        </w:rPr>
        <w:t>price;</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2"/>
        <w:jc w:val="both"/>
      </w:pPr>
      <w:r>
        <w:t>The</w:t>
      </w:r>
      <w:r>
        <w:rPr>
          <w:spacing w:val="27"/>
        </w:rPr>
        <w:t xml:space="preserve"> </w:t>
      </w:r>
      <w:r>
        <w:rPr>
          <w:spacing w:val="-2"/>
        </w:rPr>
        <w:t>Customer</w:t>
      </w:r>
      <w:r>
        <w:rPr>
          <w:spacing w:val="26"/>
        </w:rPr>
        <w:t xml:space="preserve"> </w:t>
      </w:r>
      <w:r>
        <w:rPr>
          <w:spacing w:val="-1"/>
        </w:rPr>
        <w:t>may</w:t>
      </w:r>
      <w:r>
        <w:rPr>
          <w:spacing w:val="25"/>
        </w:rPr>
        <w:t xml:space="preserve"> </w:t>
      </w:r>
      <w:r>
        <w:t>take</w:t>
      </w:r>
      <w:r>
        <w:rPr>
          <w:spacing w:val="24"/>
        </w:rPr>
        <w:t xml:space="preserve"> </w:t>
      </w:r>
      <w:r>
        <w:rPr>
          <w:spacing w:val="-2"/>
        </w:rPr>
        <w:t>over</w:t>
      </w:r>
      <w:r>
        <w:rPr>
          <w:spacing w:val="28"/>
        </w:rPr>
        <w:t xml:space="preserve"> </w:t>
      </w:r>
      <w:r>
        <w:rPr>
          <w:spacing w:val="-1"/>
        </w:rPr>
        <w:t>any</w:t>
      </w:r>
      <w:r>
        <w:rPr>
          <w:spacing w:val="25"/>
        </w:rPr>
        <w:t xml:space="preserve"> </w:t>
      </w:r>
      <w:r>
        <w:rPr>
          <w:spacing w:val="-2"/>
        </w:rPr>
        <w:t>work</w:t>
      </w:r>
      <w:r>
        <w:rPr>
          <w:spacing w:val="30"/>
        </w:rPr>
        <w:t xml:space="preserve"> </w:t>
      </w:r>
      <w:r>
        <w:rPr>
          <w:spacing w:val="-1"/>
        </w:rPr>
        <w:t>or</w:t>
      </w:r>
      <w:r>
        <w:rPr>
          <w:spacing w:val="26"/>
        </w:rPr>
        <w:t xml:space="preserve"> </w:t>
      </w:r>
      <w:r>
        <w:rPr>
          <w:spacing w:val="-1"/>
        </w:rPr>
        <w:t>thing</w:t>
      </w:r>
      <w:r>
        <w:rPr>
          <w:spacing w:val="27"/>
        </w:rPr>
        <w:t xml:space="preserve"> </w:t>
      </w:r>
      <w:r>
        <w:rPr>
          <w:spacing w:val="-1"/>
        </w:rPr>
        <w:t>done</w:t>
      </w:r>
      <w:r>
        <w:rPr>
          <w:spacing w:val="27"/>
        </w:rPr>
        <w:t xml:space="preserve"> </w:t>
      </w:r>
      <w:r>
        <w:rPr>
          <w:spacing w:val="-2"/>
        </w:rPr>
        <w:t>or</w:t>
      </w:r>
      <w:r>
        <w:rPr>
          <w:spacing w:val="41"/>
        </w:rPr>
        <w:t xml:space="preserve"> </w:t>
      </w:r>
      <w:r>
        <w:rPr>
          <w:spacing w:val="-1"/>
        </w:rPr>
        <w:t>made</w:t>
      </w:r>
      <w:r>
        <w:rPr>
          <w:spacing w:val="15"/>
        </w:rPr>
        <w:t xml:space="preserve"> </w:t>
      </w:r>
      <w:r>
        <w:rPr>
          <w:spacing w:val="-1"/>
        </w:rPr>
        <w:t>under</w:t>
      </w:r>
      <w:r>
        <w:rPr>
          <w:spacing w:val="16"/>
        </w:rPr>
        <w:t xml:space="preserve"> </w:t>
      </w:r>
      <w:r>
        <w:rPr>
          <w:spacing w:val="-1"/>
        </w:rPr>
        <w:t>this</w:t>
      </w:r>
      <w:r>
        <w:rPr>
          <w:spacing w:val="15"/>
        </w:rPr>
        <w:t xml:space="preserve"> </w:t>
      </w:r>
      <w:r>
        <w:rPr>
          <w:spacing w:val="-2"/>
        </w:rPr>
        <w:t>Call</w:t>
      </w:r>
      <w:r>
        <w:rPr>
          <w:spacing w:val="14"/>
        </w:rPr>
        <w:t xml:space="preserve"> </w:t>
      </w:r>
      <w:r>
        <w:t>Off</w:t>
      </w:r>
      <w:r>
        <w:rPr>
          <w:spacing w:val="14"/>
        </w:rPr>
        <w:t xml:space="preserve"> </w:t>
      </w:r>
      <w:r>
        <w:rPr>
          <w:spacing w:val="-1"/>
        </w:rPr>
        <w:t>Contract</w:t>
      </w:r>
      <w:r>
        <w:rPr>
          <w:spacing w:val="17"/>
        </w:rPr>
        <w:t xml:space="preserve"> </w:t>
      </w:r>
      <w:r>
        <w:rPr>
          <w:spacing w:val="-1"/>
        </w:rPr>
        <w:t>(whether</w:t>
      </w:r>
      <w:r>
        <w:rPr>
          <w:spacing w:val="16"/>
        </w:rPr>
        <w:t xml:space="preserve"> </w:t>
      </w:r>
      <w:r>
        <w:rPr>
          <w:spacing w:val="-1"/>
        </w:rPr>
        <w:t>completed</w:t>
      </w:r>
      <w:r>
        <w:rPr>
          <w:spacing w:val="15"/>
        </w:rPr>
        <w:t xml:space="preserve"> </w:t>
      </w:r>
      <w:r>
        <w:rPr>
          <w:spacing w:val="-1"/>
        </w:rPr>
        <w:t>or</w:t>
      </w:r>
      <w:r>
        <w:rPr>
          <w:spacing w:val="32"/>
        </w:rPr>
        <w:t xml:space="preserve"> </w:t>
      </w:r>
      <w:r>
        <w:rPr>
          <w:spacing w:val="-1"/>
        </w:rPr>
        <w:t>not)</w:t>
      </w:r>
      <w:r>
        <w:rPr>
          <w:spacing w:val="57"/>
        </w:rPr>
        <w:t xml:space="preserve"> </w:t>
      </w:r>
      <w:r>
        <w:rPr>
          <w:spacing w:val="-2"/>
        </w:rPr>
        <w:t>and</w:t>
      </w:r>
      <w:r>
        <w:rPr>
          <w:spacing w:val="55"/>
        </w:rPr>
        <w:t xml:space="preserve"> </w:t>
      </w:r>
      <w:r>
        <w:rPr>
          <w:spacing w:val="-1"/>
        </w:rPr>
        <w:t>not</w:t>
      </w:r>
      <w:r>
        <w:rPr>
          <w:spacing w:val="55"/>
        </w:rPr>
        <w:t xml:space="preserve"> </w:t>
      </w:r>
      <w:r>
        <w:rPr>
          <w:spacing w:val="-1"/>
        </w:rPr>
        <w:t>accepted</w:t>
      </w:r>
      <w:r>
        <w:rPr>
          <w:spacing w:val="53"/>
        </w:rPr>
        <w:t xml:space="preserve"> </w:t>
      </w:r>
      <w:r>
        <w:rPr>
          <w:spacing w:val="-1"/>
        </w:rPr>
        <w:t>at</w:t>
      </w:r>
      <w:r>
        <w:rPr>
          <w:spacing w:val="57"/>
        </w:rPr>
        <w:t xml:space="preserve"> </w:t>
      </w:r>
      <w:r>
        <w:rPr>
          <w:spacing w:val="-1"/>
        </w:rPr>
        <w:t>the</w:t>
      </w:r>
      <w:r>
        <w:rPr>
          <w:spacing w:val="55"/>
        </w:rPr>
        <w:t xml:space="preserve"> </w:t>
      </w:r>
      <w:r>
        <w:rPr>
          <w:spacing w:val="-1"/>
        </w:rPr>
        <w:t>date</w:t>
      </w:r>
      <w:r>
        <w:rPr>
          <w:spacing w:val="56"/>
        </w:rPr>
        <w:t xml:space="preserve"> </w:t>
      </w:r>
      <w:r>
        <w:rPr>
          <w:spacing w:val="-2"/>
        </w:rPr>
        <w:t>of</w:t>
      </w:r>
      <w:r>
        <w:rPr>
          <w:spacing w:val="57"/>
        </w:rPr>
        <w:t xml:space="preserve"> </w:t>
      </w:r>
      <w:r>
        <w:rPr>
          <w:spacing w:val="-1"/>
        </w:rPr>
        <w:t>such</w:t>
      </w:r>
      <w:r>
        <w:rPr>
          <w:spacing w:val="53"/>
        </w:rPr>
        <w:t xml:space="preserve"> </w:t>
      </w:r>
      <w:r>
        <w:rPr>
          <w:spacing w:val="-1"/>
        </w:rPr>
        <w:t>termination</w:t>
      </w:r>
      <w:r>
        <w:rPr>
          <w:spacing w:val="26"/>
        </w:rPr>
        <w:t xml:space="preserve"> </w:t>
      </w:r>
      <w:r>
        <w:rPr>
          <w:spacing w:val="-1"/>
        </w:rPr>
        <w:t>which</w:t>
      </w:r>
      <w:r>
        <w:rPr>
          <w:spacing w:val="21"/>
        </w:rPr>
        <w:t xml:space="preserve"> </w:t>
      </w:r>
      <w:r>
        <w:t>the</w:t>
      </w:r>
      <w:r>
        <w:rPr>
          <w:spacing w:val="21"/>
        </w:rPr>
        <w:t xml:space="preserve"> </w:t>
      </w:r>
      <w:r>
        <w:rPr>
          <w:spacing w:val="-1"/>
        </w:rPr>
        <w:t>Customer</w:t>
      </w:r>
      <w:r>
        <w:rPr>
          <w:spacing w:val="20"/>
        </w:rPr>
        <w:t xml:space="preserve"> </w:t>
      </w:r>
      <w:r>
        <w:rPr>
          <w:spacing w:val="-1"/>
        </w:rPr>
        <w:t>may</w:t>
      </w:r>
      <w:r>
        <w:rPr>
          <w:spacing w:val="19"/>
        </w:rPr>
        <w:t xml:space="preserve"> </w:t>
      </w:r>
      <w:r>
        <w:rPr>
          <w:spacing w:val="1"/>
        </w:rPr>
        <w:t>by</w:t>
      </w:r>
      <w:r>
        <w:rPr>
          <w:spacing w:val="19"/>
        </w:rPr>
        <w:t xml:space="preserve"> </w:t>
      </w:r>
      <w:r>
        <w:rPr>
          <w:spacing w:val="-1"/>
        </w:rPr>
        <w:t>notice</w:t>
      </w:r>
      <w:r>
        <w:rPr>
          <w:spacing w:val="21"/>
        </w:rPr>
        <w:t xml:space="preserve"> </w:t>
      </w:r>
      <w:r>
        <w:rPr>
          <w:spacing w:val="-1"/>
        </w:rPr>
        <w:t>in</w:t>
      </w:r>
      <w:r>
        <w:rPr>
          <w:spacing w:val="23"/>
        </w:rPr>
        <w:t xml:space="preserve"> </w:t>
      </w:r>
      <w:r>
        <w:rPr>
          <w:spacing w:val="-2"/>
        </w:rPr>
        <w:t>writing</w:t>
      </w:r>
      <w:r>
        <w:rPr>
          <w:spacing w:val="21"/>
        </w:rPr>
        <w:t xml:space="preserve"> </w:t>
      </w:r>
      <w:r>
        <w:t>to</w:t>
      </w:r>
      <w:r>
        <w:rPr>
          <w:spacing w:val="21"/>
        </w:rPr>
        <w:t xml:space="preserve"> </w:t>
      </w:r>
      <w:r>
        <w:rPr>
          <w:spacing w:val="-1"/>
        </w:rPr>
        <w:t>the</w:t>
      </w:r>
      <w:r>
        <w:rPr>
          <w:spacing w:val="24"/>
        </w:rPr>
        <w:t xml:space="preserve"> </w:t>
      </w:r>
      <w:r>
        <w:rPr>
          <w:spacing w:val="-2"/>
        </w:rPr>
        <w:t>Supplier</w:t>
      </w:r>
      <w:r>
        <w:rPr>
          <w:spacing w:val="42"/>
        </w:rPr>
        <w:t xml:space="preserve"> </w:t>
      </w:r>
      <w:r>
        <w:rPr>
          <w:spacing w:val="-1"/>
        </w:rPr>
        <w:t>given</w:t>
      </w:r>
      <w:r>
        <w:rPr>
          <w:spacing w:val="43"/>
        </w:rPr>
        <w:t xml:space="preserve"> </w:t>
      </w:r>
      <w:r>
        <w:rPr>
          <w:spacing w:val="-1"/>
        </w:rPr>
        <w:t>within</w:t>
      </w:r>
      <w:r>
        <w:rPr>
          <w:spacing w:val="41"/>
        </w:rPr>
        <w:t xml:space="preserve"> </w:t>
      </w:r>
      <w:r>
        <w:rPr>
          <w:spacing w:val="-1"/>
        </w:rPr>
        <w:t>thirty</w:t>
      </w:r>
      <w:r>
        <w:rPr>
          <w:spacing w:val="39"/>
        </w:rPr>
        <w:t xml:space="preserve"> </w:t>
      </w:r>
      <w:r>
        <w:rPr>
          <w:spacing w:val="-1"/>
        </w:rPr>
        <w:t>(30)</w:t>
      </w:r>
      <w:r>
        <w:rPr>
          <w:spacing w:val="38"/>
        </w:rPr>
        <w:t xml:space="preserve"> </w:t>
      </w:r>
      <w:r>
        <w:rPr>
          <w:spacing w:val="-1"/>
        </w:rPr>
        <w:t>Working</w:t>
      </w:r>
      <w:r>
        <w:rPr>
          <w:spacing w:val="43"/>
        </w:rPr>
        <w:t xml:space="preserve"> </w:t>
      </w:r>
      <w:r>
        <w:rPr>
          <w:spacing w:val="-2"/>
        </w:rPr>
        <w:t>Days</w:t>
      </w:r>
      <w:r>
        <w:rPr>
          <w:spacing w:val="40"/>
        </w:rPr>
        <w:t xml:space="preserve"> </w:t>
      </w:r>
      <w:r>
        <w:t>from</w:t>
      </w:r>
      <w:r>
        <w:rPr>
          <w:spacing w:val="42"/>
        </w:rPr>
        <w:t xml:space="preserve"> </w:t>
      </w:r>
      <w:r>
        <w:t>the</w:t>
      </w:r>
      <w:r>
        <w:rPr>
          <w:spacing w:val="47"/>
        </w:rPr>
        <w:t xml:space="preserve"> </w:t>
      </w:r>
      <w:r>
        <w:rPr>
          <w:spacing w:val="-1"/>
        </w:rPr>
        <w:t>time</w:t>
      </w:r>
      <w:r>
        <w:rPr>
          <w:spacing w:val="51"/>
        </w:rPr>
        <w:t xml:space="preserve"> </w:t>
      </w:r>
      <w:r>
        <w:rPr>
          <w:spacing w:val="-2"/>
        </w:rPr>
        <w:t>when</w:t>
      </w:r>
      <w:r>
        <w:rPr>
          <w:spacing w:val="51"/>
        </w:rPr>
        <w:t xml:space="preserve"> </w:t>
      </w:r>
      <w:r>
        <w:t>the</w:t>
      </w:r>
      <w:r>
        <w:rPr>
          <w:spacing w:val="51"/>
        </w:rPr>
        <w:t xml:space="preserve"> </w:t>
      </w:r>
      <w:r>
        <w:rPr>
          <w:spacing w:val="-1"/>
        </w:rPr>
        <w:t>provisions</w:t>
      </w:r>
      <w:r>
        <w:rPr>
          <w:spacing w:val="51"/>
        </w:rPr>
        <w:t xml:space="preserve"> </w:t>
      </w:r>
      <w:r>
        <w:rPr>
          <w:spacing w:val="-1"/>
        </w:rPr>
        <w:t>of</w:t>
      </w:r>
      <w:r>
        <w:rPr>
          <w:spacing w:val="54"/>
        </w:rPr>
        <w:t xml:space="preserve"> </w:t>
      </w:r>
      <w:r>
        <w:rPr>
          <w:spacing w:val="-1"/>
        </w:rPr>
        <w:t>this</w:t>
      </w:r>
      <w:r>
        <w:rPr>
          <w:spacing w:val="51"/>
        </w:rPr>
        <w:t xml:space="preserve"> </w:t>
      </w:r>
      <w:r>
        <w:rPr>
          <w:spacing w:val="-2"/>
        </w:rPr>
        <w:t>Clause</w:t>
      </w:r>
      <w:r>
        <w:rPr>
          <w:spacing w:val="52"/>
        </w:rPr>
        <w:t xml:space="preserve"> </w:t>
      </w:r>
      <w:r>
        <w:rPr>
          <w:spacing w:val="-1"/>
        </w:rPr>
        <w:t>57</w:t>
      </w:r>
      <w:r>
        <w:rPr>
          <w:spacing w:val="51"/>
        </w:rPr>
        <w:t xml:space="preserve"> </w:t>
      </w:r>
      <w:r>
        <w:rPr>
          <w:spacing w:val="-1"/>
        </w:rPr>
        <w:t>shall</w:t>
      </w:r>
      <w:r>
        <w:rPr>
          <w:spacing w:val="50"/>
        </w:rPr>
        <w:t xml:space="preserve"> </w:t>
      </w:r>
      <w:r>
        <w:rPr>
          <w:spacing w:val="-1"/>
        </w:rPr>
        <w:t>have</w:t>
      </w:r>
      <w:r>
        <w:rPr>
          <w:spacing w:val="45"/>
        </w:rPr>
        <w:t xml:space="preserve"> </w:t>
      </w:r>
      <w:r>
        <w:rPr>
          <w:spacing w:val="-1"/>
        </w:rPr>
        <w:t>effect,</w:t>
      </w:r>
      <w:r>
        <w:rPr>
          <w:spacing w:val="25"/>
        </w:rPr>
        <w:t xml:space="preserve"> </w:t>
      </w:r>
      <w:r>
        <w:rPr>
          <w:spacing w:val="-2"/>
        </w:rPr>
        <w:t>elect</w:t>
      </w:r>
      <w:r>
        <w:rPr>
          <w:spacing w:val="25"/>
        </w:rPr>
        <w:t xml:space="preserve"> </w:t>
      </w:r>
      <w:r>
        <w:t>to</w:t>
      </w:r>
      <w:r>
        <w:rPr>
          <w:spacing w:val="21"/>
        </w:rPr>
        <w:t xml:space="preserve"> </w:t>
      </w:r>
      <w:r>
        <w:t>take</w:t>
      </w:r>
      <w:r>
        <w:rPr>
          <w:spacing w:val="23"/>
        </w:rPr>
        <w:t xml:space="preserve"> </w:t>
      </w:r>
      <w:r>
        <w:rPr>
          <w:spacing w:val="-2"/>
        </w:rPr>
        <w:t>over,</w:t>
      </w:r>
      <w:r>
        <w:rPr>
          <w:spacing w:val="25"/>
        </w:rPr>
        <w:t xml:space="preserve"> </w:t>
      </w:r>
      <w:r>
        <w:rPr>
          <w:spacing w:val="-1"/>
        </w:rPr>
        <w:t>and</w:t>
      </w:r>
      <w:r>
        <w:rPr>
          <w:spacing w:val="23"/>
        </w:rPr>
        <w:t xml:space="preserve"> </w:t>
      </w:r>
      <w:r>
        <w:t>the</w:t>
      </w:r>
      <w:r>
        <w:rPr>
          <w:spacing w:val="23"/>
        </w:rPr>
        <w:t xml:space="preserve"> </w:t>
      </w:r>
      <w:r>
        <w:rPr>
          <w:spacing w:val="-2"/>
        </w:rPr>
        <w:t>Supplier</w:t>
      </w:r>
      <w:r>
        <w:rPr>
          <w:spacing w:val="24"/>
        </w:rPr>
        <w:t xml:space="preserve"> </w:t>
      </w:r>
      <w:r>
        <w:rPr>
          <w:spacing w:val="-1"/>
        </w:rPr>
        <w:t>shall</w:t>
      </w:r>
      <w:r>
        <w:rPr>
          <w:spacing w:val="22"/>
        </w:rPr>
        <w:t xml:space="preserve"> </w:t>
      </w:r>
      <w:r>
        <w:rPr>
          <w:spacing w:val="-1"/>
        </w:rPr>
        <w:t>be</w:t>
      </w:r>
      <w:r>
        <w:rPr>
          <w:spacing w:val="42"/>
        </w:rPr>
        <w:t xml:space="preserve"> </w:t>
      </w:r>
      <w:r>
        <w:rPr>
          <w:spacing w:val="-1"/>
        </w:rPr>
        <w:t>entitled</w:t>
      </w:r>
      <w:r>
        <w:rPr>
          <w:spacing w:val="24"/>
        </w:rPr>
        <w:t xml:space="preserve"> </w:t>
      </w:r>
      <w:r>
        <w:t>to</w:t>
      </w:r>
      <w:r>
        <w:rPr>
          <w:spacing w:val="22"/>
        </w:rPr>
        <w:t xml:space="preserve"> </w:t>
      </w:r>
      <w:r>
        <w:rPr>
          <w:spacing w:val="-1"/>
        </w:rPr>
        <w:t>be</w:t>
      </w:r>
      <w:r>
        <w:rPr>
          <w:spacing w:val="24"/>
        </w:rPr>
        <w:t xml:space="preserve"> </w:t>
      </w:r>
      <w:r>
        <w:rPr>
          <w:spacing w:val="-1"/>
        </w:rPr>
        <w:t>paid</w:t>
      </w:r>
      <w:r>
        <w:rPr>
          <w:spacing w:val="22"/>
        </w:rPr>
        <w:t xml:space="preserve"> </w:t>
      </w:r>
      <w:r>
        <w:t>for</w:t>
      </w:r>
      <w:r>
        <w:rPr>
          <w:spacing w:val="23"/>
        </w:rPr>
        <w:t xml:space="preserve"> </w:t>
      </w:r>
      <w:r>
        <w:rPr>
          <w:spacing w:val="-2"/>
        </w:rPr>
        <w:t>any</w:t>
      </w:r>
      <w:r>
        <w:rPr>
          <w:spacing w:val="25"/>
        </w:rPr>
        <w:t xml:space="preserve"> </w:t>
      </w:r>
      <w:r>
        <w:rPr>
          <w:spacing w:val="-2"/>
        </w:rPr>
        <w:t>work</w:t>
      </w:r>
      <w:r>
        <w:rPr>
          <w:spacing w:val="27"/>
        </w:rPr>
        <w:t xml:space="preserve"> </w:t>
      </w:r>
      <w:r>
        <w:rPr>
          <w:spacing w:val="-2"/>
        </w:rPr>
        <w:t>or</w:t>
      </w:r>
      <w:r>
        <w:rPr>
          <w:spacing w:val="23"/>
        </w:rPr>
        <w:t xml:space="preserve"> </w:t>
      </w:r>
      <w:r>
        <w:rPr>
          <w:spacing w:val="-1"/>
        </w:rPr>
        <w:t>thing</w:t>
      </w:r>
      <w:r>
        <w:rPr>
          <w:spacing w:val="27"/>
        </w:rPr>
        <w:t xml:space="preserve"> </w:t>
      </w:r>
      <w:r>
        <w:rPr>
          <w:spacing w:val="-1"/>
        </w:rPr>
        <w:t>so</w:t>
      </w:r>
      <w:r>
        <w:rPr>
          <w:spacing w:val="22"/>
        </w:rPr>
        <w:t xml:space="preserve"> </w:t>
      </w:r>
      <w:r>
        <w:rPr>
          <w:spacing w:val="-1"/>
        </w:rPr>
        <w:t>taken</w:t>
      </w:r>
      <w:r>
        <w:rPr>
          <w:spacing w:val="24"/>
        </w:rPr>
        <w:t xml:space="preserve"> </w:t>
      </w:r>
      <w:r>
        <w:rPr>
          <w:spacing w:val="-2"/>
        </w:rPr>
        <w:t>over</w:t>
      </w:r>
      <w:r>
        <w:rPr>
          <w:spacing w:val="26"/>
        </w:rPr>
        <w:t xml:space="preserve"> </w:t>
      </w:r>
      <w:r>
        <w:t>a</w:t>
      </w:r>
      <w:r>
        <w:rPr>
          <w:spacing w:val="35"/>
        </w:rPr>
        <w:t xml:space="preserve"> </w:t>
      </w:r>
      <w:r>
        <w:rPr>
          <w:spacing w:val="-1"/>
        </w:rPr>
        <w:t>price</w:t>
      </w:r>
      <w:r>
        <w:rPr>
          <w:spacing w:val="3"/>
        </w:rPr>
        <w:t xml:space="preserve"> </w:t>
      </w:r>
      <w:r>
        <w:rPr>
          <w:spacing w:val="-2"/>
        </w:rPr>
        <w:t>which,</w:t>
      </w:r>
      <w:r>
        <w:rPr>
          <w:spacing w:val="4"/>
        </w:rPr>
        <w:t xml:space="preserve"> </w:t>
      </w:r>
      <w:r>
        <w:rPr>
          <w:spacing w:val="-1"/>
        </w:rPr>
        <w:t>having</w:t>
      </w:r>
      <w:r>
        <w:rPr>
          <w:spacing w:val="5"/>
        </w:rPr>
        <w:t xml:space="preserve"> </w:t>
      </w:r>
      <w:r>
        <w:rPr>
          <w:spacing w:val="-1"/>
        </w:rPr>
        <w:t>regard</w:t>
      </w:r>
      <w:r>
        <w:rPr>
          <w:spacing w:val="3"/>
        </w:rPr>
        <w:t xml:space="preserve"> </w:t>
      </w:r>
      <w:r>
        <w:t>to</w:t>
      </w:r>
      <w:r>
        <w:rPr>
          <w:spacing w:val="3"/>
        </w:rPr>
        <w:t xml:space="preserve"> </w:t>
      </w:r>
      <w:r>
        <w:t>the</w:t>
      </w:r>
      <w:r>
        <w:rPr>
          <w:spacing w:val="3"/>
        </w:rPr>
        <w:t xml:space="preserve"> </w:t>
      </w:r>
      <w:r>
        <w:rPr>
          <w:spacing w:val="-1"/>
        </w:rPr>
        <w:t>stage</w:t>
      </w:r>
      <w:r>
        <w:rPr>
          <w:spacing w:val="3"/>
        </w:rPr>
        <w:t xml:space="preserve"> </w:t>
      </w:r>
      <w:r>
        <w:rPr>
          <w:spacing w:val="-2"/>
        </w:rPr>
        <w:t>which</w:t>
      </w:r>
      <w:r>
        <w:rPr>
          <w:spacing w:val="3"/>
        </w:rPr>
        <w:t xml:space="preserve"> </w:t>
      </w:r>
      <w:r>
        <w:rPr>
          <w:spacing w:val="-1"/>
        </w:rPr>
        <w:t>that</w:t>
      </w:r>
      <w:r>
        <w:rPr>
          <w:spacing w:val="2"/>
        </w:rPr>
        <w:t xml:space="preserve"> </w:t>
      </w:r>
      <w:r>
        <w:rPr>
          <w:spacing w:val="-2"/>
        </w:rPr>
        <w:t>work</w:t>
      </w:r>
      <w:r>
        <w:rPr>
          <w:spacing w:val="5"/>
        </w:rPr>
        <w:t xml:space="preserve"> </w:t>
      </w:r>
      <w:r>
        <w:rPr>
          <w:spacing w:val="-1"/>
        </w:rPr>
        <w:t>or</w:t>
      </w:r>
      <w:r>
        <w:rPr>
          <w:spacing w:val="34"/>
        </w:rPr>
        <w:t xml:space="preserve"> </w:t>
      </w:r>
      <w:r>
        <w:rPr>
          <w:spacing w:val="-1"/>
        </w:rPr>
        <w:t>thing</w:t>
      </w:r>
      <w:r>
        <w:rPr>
          <w:spacing w:val="17"/>
        </w:rPr>
        <w:t xml:space="preserve"> </w:t>
      </w:r>
      <w:r>
        <w:rPr>
          <w:spacing w:val="-2"/>
        </w:rPr>
        <w:t>has</w:t>
      </w:r>
      <w:r>
        <w:rPr>
          <w:spacing w:val="15"/>
        </w:rPr>
        <w:t xml:space="preserve"> </w:t>
      </w:r>
      <w:r>
        <w:rPr>
          <w:spacing w:val="-1"/>
        </w:rPr>
        <w:t>reached</w:t>
      </w:r>
      <w:r>
        <w:rPr>
          <w:spacing w:val="15"/>
        </w:rPr>
        <w:t xml:space="preserve"> </w:t>
      </w:r>
      <w:r>
        <w:rPr>
          <w:spacing w:val="-2"/>
        </w:rPr>
        <w:t>and</w:t>
      </w:r>
      <w:r>
        <w:rPr>
          <w:spacing w:val="15"/>
        </w:rPr>
        <w:t xml:space="preserve"> </w:t>
      </w:r>
      <w:r>
        <w:rPr>
          <w:spacing w:val="-2"/>
        </w:rPr>
        <w:t>its</w:t>
      </w:r>
      <w:r>
        <w:rPr>
          <w:spacing w:val="15"/>
        </w:rPr>
        <w:t xml:space="preserve"> </w:t>
      </w:r>
      <w:r>
        <w:rPr>
          <w:spacing w:val="-1"/>
        </w:rPr>
        <w:t>condition</w:t>
      </w:r>
      <w:r>
        <w:rPr>
          <w:spacing w:val="15"/>
        </w:rPr>
        <w:t xml:space="preserve"> </w:t>
      </w:r>
      <w:r>
        <w:rPr>
          <w:spacing w:val="-1"/>
        </w:rPr>
        <w:t>at</w:t>
      </w:r>
      <w:r>
        <w:rPr>
          <w:spacing w:val="14"/>
        </w:rPr>
        <w:t xml:space="preserve"> </w:t>
      </w:r>
      <w:r>
        <w:t>the</w:t>
      </w:r>
      <w:r>
        <w:rPr>
          <w:spacing w:val="15"/>
        </w:rPr>
        <w:t xml:space="preserve"> </w:t>
      </w:r>
      <w:r>
        <w:rPr>
          <w:spacing w:val="-1"/>
        </w:rPr>
        <w:t>time</w:t>
      </w:r>
      <w:r>
        <w:rPr>
          <w:spacing w:val="15"/>
        </w:rPr>
        <w:t xml:space="preserve"> </w:t>
      </w:r>
      <w:r>
        <w:rPr>
          <w:spacing w:val="-1"/>
        </w:rPr>
        <w:t>it</w:t>
      </w:r>
      <w:r>
        <w:rPr>
          <w:spacing w:val="14"/>
        </w:rPr>
        <w:t xml:space="preserve"> </w:t>
      </w:r>
      <w:r>
        <w:rPr>
          <w:spacing w:val="-1"/>
        </w:rPr>
        <w:t>is</w:t>
      </w:r>
      <w:r>
        <w:rPr>
          <w:spacing w:val="15"/>
        </w:rPr>
        <w:t xml:space="preserve"> </w:t>
      </w:r>
      <w:r>
        <w:rPr>
          <w:spacing w:val="-1"/>
        </w:rPr>
        <w:t>taken</w:t>
      </w:r>
      <w:r>
        <w:rPr>
          <w:spacing w:val="36"/>
        </w:rPr>
        <w:t xml:space="preserve"> </w:t>
      </w:r>
      <w:r>
        <w:rPr>
          <w:spacing w:val="-1"/>
        </w:rPr>
        <w:t>over,</w:t>
      </w:r>
      <w:r>
        <w:rPr>
          <w:spacing w:val="52"/>
        </w:rPr>
        <w:t xml:space="preserve"> </w:t>
      </w:r>
      <w:r>
        <w:rPr>
          <w:spacing w:val="-1"/>
        </w:rPr>
        <w:t>is</w:t>
      </w:r>
      <w:r>
        <w:rPr>
          <w:spacing w:val="51"/>
        </w:rPr>
        <w:t xml:space="preserve"> </w:t>
      </w:r>
      <w:r>
        <w:rPr>
          <w:spacing w:val="-1"/>
        </w:rPr>
        <w:t>reasonable.</w:t>
      </w:r>
      <w:r>
        <w:rPr>
          <w:spacing w:val="40"/>
        </w:rPr>
        <w:t xml:space="preserve"> </w:t>
      </w:r>
      <w:r>
        <w:rPr>
          <w:spacing w:val="-1"/>
        </w:rPr>
        <w:t>The</w:t>
      </w:r>
      <w:r>
        <w:rPr>
          <w:spacing w:val="51"/>
        </w:rPr>
        <w:t xml:space="preserve"> </w:t>
      </w:r>
      <w:r>
        <w:rPr>
          <w:spacing w:val="-2"/>
        </w:rPr>
        <w:t>Supplier</w:t>
      </w:r>
      <w:r>
        <w:rPr>
          <w:spacing w:val="52"/>
        </w:rPr>
        <w:t xml:space="preserve"> </w:t>
      </w:r>
      <w:r>
        <w:rPr>
          <w:spacing w:val="-1"/>
        </w:rPr>
        <w:t>shall</w:t>
      </w:r>
      <w:r>
        <w:rPr>
          <w:spacing w:val="50"/>
        </w:rPr>
        <w:t xml:space="preserve"> </w:t>
      </w:r>
      <w:r>
        <w:rPr>
          <w:spacing w:val="-1"/>
        </w:rPr>
        <w:t>in</w:t>
      </w:r>
      <w:r>
        <w:rPr>
          <w:spacing w:val="52"/>
        </w:rPr>
        <w:t xml:space="preserve"> </w:t>
      </w:r>
      <w:r>
        <w:rPr>
          <w:spacing w:val="-1"/>
        </w:rPr>
        <w:t>accordance</w:t>
      </w:r>
      <w:r>
        <w:rPr>
          <w:spacing w:val="32"/>
        </w:rPr>
        <w:t xml:space="preserve"> </w:t>
      </w:r>
      <w:r>
        <w:rPr>
          <w:spacing w:val="-1"/>
        </w:rPr>
        <w:t>with</w:t>
      </w:r>
      <w:r>
        <w:rPr>
          <w:spacing w:val="3"/>
        </w:rPr>
        <w:t xml:space="preserve"> </w:t>
      </w:r>
      <w:r>
        <w:rPr>
          <w:spacing w:val="-1"/>
        </w:rPr>
        <w:t>directions</w:t>
      </w:r>
      <w:r>
        <w:rPr>
          <w:spacing w:val="-2"/>
        </w:rPr>
        <w:t xml:space="preserve"> </w:t>
      </w:r>
      <w:r>
        <w:rPr>
          <w:spacing w:val="-1"/>
        </w:rPr>
        <w:t>given</w:t>
      </w:r>
      <w:r>
        <w:rPr>
          <w:spacing w:val="3"/>
        </w:rPr>
        <w:t xml:space="preserve"> </w:t>
      </w:r>
      <w:r>
        <w:rPr>
          <w:spacing w:val="-1"/>
        </w:rPr>
        <w:t>by</w:t>
      </w:r>
      <w:r>
        <w:rPr>
          <w:spacing w:val="1"/>
        </w:rPr>
        <w:t xml:space="preserve"> </w:t>
      </w:r>
      <w:r>
        <w:t>the</w:t>
      </w:r>
      <w:r>
        <w:rPr>
          <w:spacing w:val="3"/>
        </w:rPr>
        <w:t xml:space="preserve"> </w:t>
      </w:r>
      <w:r>
        <w:rPr>
          <w:spacing w:val="-1"/>
        </w:rPr>
        <w:t>Customer,</w:t>
      </w:r>
      <w:r>
        <w:rPr>
          <w:spacing w:val="4"/>
        </w:rPr>
        <w:t xml:space="preserve"> </w:t>
      </w:r>
      <w:r>
        <w:rPr>
          <w:spacing w:val="-2"/>
        </w:rPr>
        <w:t>deliver</w:t>
      </w:r>
      <w:r>
        <w:rPr>
          <w:spacing w:val="4"/>
        </w:rPr>
        <w:t xml:space="preserve"> </w:t>
      </w:r>
      <w:r>
        <w:rPr>
          <w:spacing w:val="-1"/>
        </w:rPr>
        <w:t>any</w:t>
      </w:r>
      <w:r>
        <w:rPr>
          <w:spacing w:val="1"/>
        </w:rPr>
        <w:t xml:space="preserve"> </w:t>
      </w:r>
      <w:r>
        <w:rPr>
          <w:spacing w:val="-2"/>
        </w:rPr>
        <w:t>work</w:t>
      </w:r>
      <w:r>
        <w:rPr>
          <w:spacing w:val="5"/>
        </w:rPr>
        <w:t xml:space="preserve"> </w:t>
      </w:r>
      <w:r>
        <w:rPr>
          <w:spacing w:val="-2"/>
        </w:rPr>
        <w:t>or</w:t>
      </w:r>
      <w:r>
        <w:rPr>
          <w:spacing w:val="29"/>
        </w:rPr>
        <w:t xml:space="preserve"> </w:t>
      </w:r>
      <w:r>
        <w:rPr>
          <w:spacing w:val="-1"/>
        </w:rPr>
        <w:t>thing</w:t>
      </w:r>
      <w:r>
        <w:rPr>
          <w:spacing w:val="60"/>
        </w:rPr>
        <w:t xml:space="preserve"> </w:t>
      </w:r>
      <w:r>
        <w:rPr>
          <w:spacing w:val="-1"/>
        </w:rPr>
        <w:t>taken</w:t>
      </w:r>
      <w:r>
        <w:rPr>
          <w:spacing w:val="58"/>
        </w:rPr>
        <w:t xml:space="preserve"> </w:t>
      </w:r>
      <w:r>
        <w:rPr>
          <w:spacing w:val="-2"/>
        </w:rPr>
        <w:t>over</w:t>
      </w:r>
      <w:r>
        <w:rPr>
          <w:spacing w:val="59"/>
        </w:rPr>
        <w:t xml:space="preserve"> </w:t>
      </w:r>
      <w:r>
        <w:rPr>
          <w:spacing w:val="-1"/>
        </w:rPr>
        <w:t>under</w:t>
      </w:r>
      <w:r>
        <w:rPr>
          <w:spacing w:val="59"/>
        </w:rPr>
        <w:t xml:space="preserve"> </w:t>
      </w:r>
      <w:r>
        <w:rPr>
          <w:spacing w:val="-1"/>
        </w:rPr>
        <w:t>this</w:t>
      </w:r>
      <w:r>
        <w:rPr>
          <w:spacing w:val="58"/>
        </w:rPr>
        <w:t xml:space="preserve"> </w:t>
      </w:r>
      <w:r>
        <w:rPr>
          <w:spacing w:val="-1"/>
        </w:rPr>
        <w:t>Clause,</w:t>
      </w:r>
      <w:r>
        <w:rPr>
          <w:spacing w:val="59"/>
        </w:rPr>
        <w:t xml:space="preserve"> </w:t>
      </w:r>
      <w:r>
        <w:rPr>
          <w:spacing w:val="-1"/>
        </w:rPr>
        <w:t>and</w:t>
      </w:r>
      <w:r>
        <w:rPr>
          <w:spacing w:val="59"/>
        </w:rPr>
        <w:t xml:space="preserve"> </w:t>
      </w:r>
      <w:r>
        <w:t>take</w:t>
      </w:r>
      <w:r>
        <w:rPr>
          <w:spacing w:val="55"/>
        </w:rPr>
        <w:t xml:space="preserve"> </w:t>
      </w:r>
      <w:r>
        <w:rPr>
          <w:spacing w:val="-1"/>
        </w:rPr>
        <w:t>all</w:t>
      </w:r>
      <w:r>
        <w:rPr>
          <w:spacing w:val="57"/>
        </w:rPr>
        <w:t xml:space="preserve"> </w:t>
      </w:r>
      <w:r>
        <w:rPr>
          <w:spacing w:val="-1"/>
        </w:rPr>
        <w:t>such</w:t>
      </w:r>
      <w:r>
        <w:rPr>
          <w:spacing w:val="28"/>
        </w:rPr>
        <w:t xml:space="preserve"> </w:t>
      </w:r>
      <w:r>
        <w:rPr>
          <w:spacing w:val="-1"/>
        </w:rPr>
        <w:t>other</w:t>
      </w:r>
      <w:r>
        <w:rPr>
          <w:spacing w:val="40"/>
        </w:rPr>
        <w:t xml:space="preserve"> </w:t>
      </w:r>
      <w:r>
        <w:rPr>
          <w:spacing w:val="-1"/>
        </w:rPr>
        <w:t>steps</w:t>
      </w:r>
      <w:r>
        <w:rPr>
          <w:spacing w:val="39"/>
        </w:rPr>
        <w:t xml:space="preserve"> </w:t>
      </w:r>
      <w:r>
        <w:rPr>
          <w:spacing w:val="-1"/>
        </w:rPr>
        <w:t>as</w:t>
      </w:r>
      <w:r>
        <w:rPr>
          <w:spacing w:val="37"/>
        </w:rPr>
        <w:t xml:space="preserve"> </w:t>
      </w:r>
      <w:r>
        <w:rPr>
          <w:spacing w:val="-1"/>
        </w:rPr>
        <w:t>may</w:t>
      </w:r>
      <w:r>
        <w:rPr>
          <w:spacing w:val="36"/>
        </w:rPr>
        <w:t xml:space="preserve"> </w:t>
      </w:r>
      <w:r>
        <w:rPr>
          <w:spacing w:val="-1"/>
        </w:rPr>
        <w:t>be</w:t>
      </w:r>
      <w:r>
        <w:rPr>
          <w:spacing w:val="39"/>
        </w:rPr>
        <w:t xml:space="preserve"> </w:t>
      </w:r>
      <w:r>
        <w:rPr>
          <w:spacing w:val="-1"/>
        </w:rPr>
        <w:t>reasonably</w:t>
      </w:r>
      <w:r>
        <w:rPr>
          <w:spacing w:val="36"/>
        </w:rPr>
        <w:t xml:space="preserve"> </w:t>
      </w:r>
      <w:r>
        <w:rPr>
          <w:spacing w:val="-1"/>
        </w:rPr>
        <w:t>necessary</w:t>
      </w:r>
      <w:r>
        <w:rPr>
          <w:spacing w:val="37"/>
        </w:rPr>
        <w:t xml:space="preserve"> </w:t>
      </w:r>
      <w:r>
        <w:t>to</w:t>
      </w:r>
      <w:r>
        <w:rPr>
          <w:spacing w:val="38"/>
        </w:rPr>
        <w:t xml:space="preserve"> </w:t>
      </w:r>
      <w:r>
        <w:rPr>
          <w:spacing w:val="-1"/>
        </w:rPr>
        <w:t>enable</w:t>
      </w:r>
      <w:r>
        <w:rPr>
          <w:spacing w:val="31"/>
        </w:rPr>
        <w:t xml:space="preserve"> </w:t>
      </w:r>
      <w:r>
        <w:t>the</w:t>
      </w:r>
      <w:r>
        <w:rPr>
          <w:spacing w:val="10"/>
        </w:rPr>
        <w:t xml:space="preserve"> </w:t>
      </w:r>
      <w:r>
        <w:rPr>
          <w:spacing w:val="-1"/>
        </w:rPr>
        <w:t>Customer</w:t>
      </w:r>
      <w:r>
        <w:rPr>
          <w:spacing w:val="11"/>
        </w:rPr>
        <w:t xml:space="preserve"> </w:t>
      </w:r>
      <w:r>
        <w:t>to</w:t>
      </w:r>
      <w:r>
        <w:rPr>
          <w:spacing w:val="10"/>
        </w:rPr>
        <w:t xml:space="preserve"> </w:t>
      </w:r>
      <w:r>
        <w:rPr>
          <w:spacing w:val="-2"/>
        </w:rPr>
        <w:t>have</w:t>
      </w:r>
      <w:r>
        <w:rPr>
          <w:spacing w:val="10"/>
        </w:rPr>
        <w:t xml:space="preserve"> </w:t>
      </w:r>
      <w:r>
        <w:t>the</w:t>
      </w:r>
      <w:r>
        <w:rPr>
          <w:spacing w:val="10"/>
        </w:rPr>
        <w:t xml:space="preserve"> </w:t>
      </w:r>
      <w:r>
        <w:t>full</w:t>
      </w:r>
      <w:r>
        <w:rPr>
          <w:spacing w:val="9"/>
        </w:rPr>
        <w:t xml:space="preserve"> </w:t>
      </w:r>
      <w:r>
        <w:rPr>
          <w:spacing w:val="-1"/>
        </w:rPr>
        <w:t>benefit</w:t>
      </w:r>
      <w:r>
        <w:rPr>
          <w:spacing w:val="11"/>
        </w:rPr>
        <w:t xml:space="preserve"> </w:t>
      </w:r>
      <w:r>
        <w:rPr>
          <w:spacing w:val="-2"/>
        </w:rPr>
        <w:t>of</w:t>
      </w:r>
      <w:r>
        <w:rPr>
          <w:spacing w:val="14"/>
        </w:rPr>
        <w:t xml:space="preserve"> </w:t>
      </w:r>
      <w:r>
        <w:rPr>
          <w:spacing w:val="-1"/>
        </w:rPr>
        <w:t>any</w:t>
      </w:r>
      <w:r>
        <w:rPr>
          <w:spacing w:val="10"/>
        </w:rPr>
        <w:t xml:space="preserve"> </w:t>
      </w:r>
      <w:r>
        <w:rPr>
          <w:spacing w:val="-2"/>
        </w:rPr>
        <w:t>work</w:t>
      </w:r>
      <w:r>
        <w:rPr>
          <w:spacing w:val="13"/>
        </w:rPr>
        <w:t xml:space="preserve"> </w:t>
      </w:r>
      <w:r>
        <w:rPr>
          <w:spacing w:val="-1"/>
        </w:rPr>
        <w:t>or</w:t>
      </w:r>
      <w:r>
        <w:rPr>
          <w:spacing w:val="11"/>
        </w:rPr>
        <w:t xml:space="preserve"> </w:t>
      </w:r>
      <w:r>
        <w:rPr>
          <w:spacing w:val="-1"/>
        </w:rPr>
        <w:t>thing</w:t>
      </w:r>
      <w:r>
        <w:rPr>
          <w:spacing w:val="28"/>
        </w:rPr>
        <w:t xml:space="preserve"> </w:t>
      </w:r>
      <w:r>
        <w:rPr>
          <w:spacing w:val="-1"/>
        </w:rPr>
        <w:t>taken</w:t>
      </w:r>
      <w:r>
        <w:t xml:space="preserve"> </w:t>
      </w:r>
      <w:r>
        <w:rPr>
          <w:spacing w:val="-2"/>
        </w:rPr>
        <w:t>over</w:t>
      </w:r>
      <w:r>
        <w:rPr>
          <w:spacing w:val="2"/>
        </w:rPr>
        <w:t xml:space="preserve"> </w:t>
      </w:r>
      <w:r>
        <w:rPr>
          <w:spacing w:val="-2"/>
        </w:rPr>
        <w:t>under</w:t>
      </w:r>
      <w:r>
        <w:rPr>
          <w:spacing w:val="-1"/>
        </w:rPr>
        <w:t xml:space="preserve"> this</w:t>
      </w:r>
      <w:r>
        <w:rPr>
          <w:spacing w:val="1"/>
        </w:rPr>
        <w:t xml:space="preserve"> </w:t>
      </w:r>
      <w:r>
        <w:rPr>
          <w:spacing w:val="-2"/>
        </w:rPr>
        <w:t>Clause;</w:t>
      </w:r>
      <w:r>
        <w:rPr>
          <w:spacing w:val="2"/>
        </w:rPr>
        <w:t xml:space="preserve"> </w:t>
      </w:r>
      <w:r>
        <w:rPr>
          <w:spacing w:val="-1"/>
        </w:rPr>
        <w:t>and</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3"/>
        <w:jc w:val="both"/>
      </w:pPr>
      <w:r>
        <w:rPr>
          <w:spacing w:val="-2"/>
        </w:rPr>
        <w:t>Save</w:t>
      </w:r>
      <w:r>
        <w:rPr>
          <w:spacing w:val="41"/>
        </w:rPr>
        <w:t xml:space="preserve"> </w:t>
      </w:r>
      <w:r>
        <w:rPr>
          <w:spacing w:val="-1"/>
        </w:rPr>
        <w:t>as</w:t>
      </w:r>
      <w:r>
        <w:rPr>
          <w:spacing w:val="44"/>
        </w:rPr>
        <w:t xml:space="preserve"> </w:t>
      </w:r>
      <w:r>
        <w:rPr>
          <w:spacing w:val="-1"/>
        </w:rPr>
        <w:t>aforesaid,</w:t>
      </w:r>
      <w:r>
        <w:rPr>
          <w:spacing w:val="42"/>
        </w:rPr>
        <w:t xml:space="preserve"> </w:t>
      </w:r>
      <w:r>
        <w:t>the</w:t>
      </w:r>
      <w:r>
        <w:rPr>
          <w:spacing w:val="41"/>
        </w:rPr>
        <w:t xml:space="preserve"> </w:t>
      </w:r>
      <w:r>
        <w:rPr>
          <w:spacing w:val="-2"/>
        </w:rPr>
        <w:t>Supplier</w:t>
      </w:r>
      <w:r>
        <w:rPr>
          <w:spacing w:val="42"/>
        </w:rPr>
        <w:t xml:space="preserve"> </w:t>
      </w:r>
      <w:r>
        <w:rPr>
          <w:spacing w:val="-1"/>
        </w:rPr>
        <w:t>shall</w:t>
      </w:r>
      <w:r>
        <w:rPr>
          <w:spacing w:val="43"/>
        </w:rPr>
        <w:t xml:space="preserve"> </w:t>
      </w:r>
      <w:r>
        <w:rPr>
          <w:spacing w:val="-1"/>
        </w:rPr>
        <w:t>not</w:t>
      </w:r>
      <w:r>
        <w:rPr>
          <w:spacing w:val="43"/>
        </w:rPr>
        <w:t xml:space="preserve"> </w:t>
      </w:r>
      <w:r>
        <w:rPr>
          <w:spacing w:val="-1"/>
        </w:rPr>
        <w:t>be</w:t>
      </w:r>
      <w:r>
        <w:rPr>
          <w:spacing w:val="41"/>
        </w:rPr>
        <w:t xml:space="preserve"> </w:t>
      </w:r>
      <w:r>
        <w:rPr>
          <w:spacing w:val="-1"/>
        </w:rPr>
        <w:t>entitled</w:t>
      </w:r>
      <w:r>
        <w:rPr>
          <w:spacing w:val="41"/>
        </w:rPr>
        <w:t xml:space="preserve"> </w:t>
      </w:r>
      <w:r>
        <w:t>to</w:t>
      </w:r>
      <w:r>
        <w:rPr>
          <w:spacing w:val="51"/>
        </w:rPr>
        <w:t xml:space="preserve"> </w:t>
      </w:r>
      <w:r>
        <w:rPr>
          <w:spacing w:val="-1"/>
        </w:rPr>
        <w:t>any</w:t>
      </w:r>
      <w:r>
        <w:rPr>
          <w:spacing w:val="27"/>
        </w:rPr>
        <w:t xml:space="preserve"> </w:t>
      </w:r>
      <w:r>
        <w:rPr>
          <w:spacing w:val="-1"/>
        </w:rPr>
        <w:t>payment</w:t>
      </w:r>
      <w:r>
        <w:rPr>
          <w:spacing w:val="28"/>
        </w:rPr>
        <w:t xml:space="preserve"> </w:t>
      </w:r>
      <w:r>
        <w:t>from</w:t>
      </w:r>
      <w:r>
        <w:rPr>
          <w:spacing w:val="30"/>
        </w:rPr>
        <w:t xml:space="preserve"> </w:t>
      </w:r>
      <w:r>
        <w:t>the</w:t>
      </w:r>
      <w:r>
        <w:rPr>
          <w:spacing w:val="27"/>
        </w:rPr>
        <w:t xml:space="preserve"> </w:t>
      </w:r>
      <w:r>
        <w:rPr>
          <w:spacing w:val="-1"/>
        </w:rPr>
        <w:t>Customer</w:t>
      </w:r>
      <w:r>
        <w:rPr>
          <w:spacing w:val="30"/>
        </w:rPr>
        <w:t xml:space="preserve"> </w:t>
      </w:r>
      <w:r>
        <w:rPr>
          <w:spacing w:val="-1"/>
        </w:rPr>
        <w:t>after</w:t>
      </w:r>
      <w:r>
        <w:rPr>
          <w:spacing w:val="30"/>
        </w:rPr>
        <w:t xml:space="preserve"> </w:t>
      </w:r>
      <w:r>
        <w:t>the</w:t>
      </w:r>
      <w:r>
        <w:rPr>
          <w:spacing w:val="27"/>
        </w:rPr>
        <w:t xml:space="preserve"> </w:t>
      </w:r>
      <w:r>
        <w:rPr>
          <w:spacing w:val="-1"/>
        </w:rPr>
        <w:t>termination</w:t>
      </w:r>
      <w:r>
        <w:rPr>
          <w:spacing w:val="29"/>
        </w:rPr>
        <w:t xml:space="preserve"> </w:t>
      </w:r>
      <w:r>
        <w:rPr>
          <w:spacing w:val="-2"/>
        </w:rPr>
        <w:t>of</w:t>
      </w:r>
      <w:r>
        <w:rPr>
          <w:spacing w:val="21"/>
        </w:rPr>
        <w:t xml:space="preserve"> </w:t>
      </w:r>
      <w:r>
        <w:rPr>
          <w:spacing w:val="-1"/>
        </w:rPr>
        <w:t>this</w:t>
      </w:r>
      <w:r>
        <w:rPr>
          <w:spacing w:val="1"/>
        </w:rPr>
        <w:t xml:space="preserve"> </w:t>
      </w:r>
      <w:r>
        <w:rPr>
          <w:spacing w:val="-2"/>
        </w:rPr>
        <w:t>Call</w:t>
      </w:r>
      <w:r>
        <w:t xml:space="preserve"> </w:t>
      </w:r>
      <w:r>
        <w:rPr>
          <w:spacing w:val="-1"/>
        </w:rPr>
        <w:t>Off</w:t>
      </w:r>
      <w:r>
        <w:t xml:space="preserve"> </w:t>
      </w:r>
      <w:r>
        <w:rPr>
          <w:spacing w:val="-2"/>
        </w:rPr>
        <w:t>Contract</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3"/>
        </w:numPr>
        <w:tabs>
          <w:tab w:val="left" w:pos="2425"/>
        </w:tabs>
        <w:spacing w:before="0"/>
        <w:ind w:right="115"/>
      </w:pPr>
      <w:r>
        <w:rPr>
          <w:spacing w:val="-1"/>
        </w:rPr>
        <w:t>If,</w:t>
      </w:r>
      <w:r>
        <w:rPr>
          <w:spacing w:val="16"/>
        </w:rPr>
        <w:t xml:space="preserve"> </w:t>
      </w:r>
      <w:r>
        <w:rPr>
          <w:spacing w:val="-1"/>
        </w:rPr>
        <w:t>after</w:t>
      </w:r>
      <w:r>
        <w:rPr>
          <w:spacing w:val="16"/>
        </w:rPr>
        <w:t xml:space="preserve"> </w:t>
      </w:r>
      <w:r>
        <w:rPr>
          <w:spacing w:val="-1"/>
        </w:rPr>
        <w:t>notice</w:t>
      </w:r>
      <w:r>
        <w:rPr>
          <w:spacing w:val="15"/>
        </w:rPr>
        <w:t xml:space="preserve"> </w:t>
      </w:r>
      <w:r>
        <w:rPr>
          <w:spacing w:val="-2"/>
        </w:rPr>
        <w:t>of</w:t>
      </w:r>
      <w:r>
        <w:rPr>
          <w:spacing w:val="16"/>
        </w:rPr>
        <w:t xml:space="preserve"> </w:t>
      </w:r>
      <w:r>
        <w:rPr>
          <w:spacing w:val="-1"/>
        </w:rPr>
        <w:t>termination</w:t>
      </w:r>
      <w:r>
        <w:rPr>
          <w:spacing w:val="15"/>
        </w:rPr>
        <w:t xml:space="preserve"> </w:t>
      </w:r>
      <w:r>
        <w:rPr>
          <w:spacing w:val="-2"/>
        </w:rPr>
        <w:t>of</w:t>
      </w:r>
      <w:r>
        <w:rPr>
          <w:spacing w:val="16"/>
        </w:rPr>
        <w:t xml:space="preserve"> </w:t>
      </w:r>
      <w:r>
        <w:rPr>
          <w:spacing w:val="-1"/>
        </w:rPr>
        <w:t>this</w:t>
      </w:r>
      <w:r>
        <w:rPr>
          <w:spacing w:val="15"/>
        </w:rPr>
        <w:t xml:space="preserve"> </w:t>
      </w:r>
      <w:r>
        <w:rPr>
          <w:spacing w:val="-2"/>
        </w:rPr>
        <w:t>Call</w:t>
      </w:r>
      <w:r>
        <w:rPr>
          <w:spacing w:val="12"/>
        </w:rPr>
        <w:t xml:space="preserve"> </w:t>
      </w:r>
      <w:r>
        <w:rPr>
          <w:spacing w:val="-1"/>
        </w:rPr>
        <w:t>Off</w:t>
      </w:r>
      <w:r>
        <w:rPr>
          <w:spacing w:val="16"/>
        </w:rPr>
        <w:t xml:space="preserve"> </w:t>
      </w:r>
      <w:r>
        <w:rPr>
          <w:spacing w:val="-1"/>
        </w:rPr>
        <w:t>Contract</w:t>
      </w:r>
      <w:r>
        <w:rPr>
          <w:spacing w:val="14"/>
        </w:rPr>
        <w:t xml:space="preserve"> </w:t>
      </w:r>
      <w:r>
        <w:rPr>
          <w:spacing w:val="-1"/>
        </w:rPr>
        <w:t>pursuant</w:t>
      </w:r>
      <w:r>
        <w:rPr>
          <w:spacing w:val="14"/>
        </w:rPr>
        <w:t xml:space="preserve"> </w:t>
      </w:r>
      <w:r>
        <w:t>to</w:t>
      </w:r>
      <w:r>
        <w:rPr>
          <w:spacing w:val="31"/>
        </w:rPr>
        <w:t xml:space="preserve"> </w:t>
      </w:r>
      <w:r>
        <w:t xml:space="preserve">the </w:t>
      </w:r>
      <w:r>
        <w:rPr>
          <w:spacing w:val="-2"/>
        </w:rPr>
        <w:t>provisions</w:t>
      </w:r>
      <w:r>
        <w:rPr>
          <w:spacing w:val="1"/>
        </w:rPr>
        <w:t xml:space="preserve"> </w:t>
      </w:r>
      <w:r>
        <w:rPr>
          <w:spacing w:val="-1"/>
        </w:rPr>
        <w:t>of</w:t>
      </w:r>
      <w:r>
        <w:rPr>
          <w:spacing w:val="2"/>
        </w:rPr>
        <w:t xml:space="preserve"> </w:t>
      </w:r>
      <w:hyperlink w:anchor="_bookmark444" w:history="1">
        <w:r>
          <w:rPr>
            <w:spacing w:val="-1"/>
          </w:rPr>
          <w:t>56.11</w:t>
        </w:r>
      </w:hyperlink>
      <w:r>
        <w:rPr>
          <w:spacing w:val="-1"/>
        </w:rPr>
        <w:t>:</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1"/>
        <w:jc w:val="both"/>
      </w:pPr>
      <w:r>
        <w:t>the</w:t>
      </w:r>
      <w:r>
        <w:rPr>
          <w:spacing w:val="36"/>
        </w:rPr>
        <w:t xml:space="preserve"> </w:t>
      </w:r>
      <w:r>
        <w:rPr>
          <w:spacing w:val="-1"/>
        </w:rPr>
        <w:t>Customer</w:t>
      </w:r>
      <w:r>
        <w:rPr>
          <w:spacing w:val="35"/>
        </w:rPr>
        <w:t xml:space="preserve"> </w:t>
      </w:r>
      <w:r>
        <w:rPr>
          <w:spacing w:val="-1"/>
        </w:rPr>
        <w:t>shall</w:t>
      </w:r>
      <w:r>
        <w:rPr>
          <w:spacing w:val="36"/>
        </w:rPr>
        <w:t xml:space="preserve"> </w:t>
      </w:r>
      <w:r>
        <w:rPr>
          <w:spacing w:val="-1"/>
        </w:rPr>
        <w:t>not</w:t>
      </w:r>
      <w:r>
        <w:rPr>
          <w:spacing w:val="35"/>
        </w:rPr>
        <w:t xml:space="preserve"> </w:t>
      </w:r>
      <w:r>
        <w:rPr>
          <w:spacing w:val="-1"/>
        </w:rPr>
        <w:t>within</w:t>
      </w:r>
      <w:r>
        <w:rPr>
          <w:spacing w:val="36"/>
        </w:rPr>
        <w:t xml:space="preserve"> </w:t>
      </w:r>
      <w:r>
        <w:t>ten</w:t>
      </w:r>
      <w:r>
        <w:rPr>
          <w:spacing w:val="36"/>
        </w:rPr>
        <w:t xml:space="preserve"> </w:t>
      </w:r>
      <w:r>
        <w:rPr>
          <w:spacing w:val="-1"/>
        </w:rPr>
        <w:t>(10)</w:t>
      </w:r>
      <w:r>
        <w:rPr>
          <w:spacing w:val="31"/>
        </w:rPr>
        <w:t xml:space="preserve"> </w:t>
      </w:r>
      <w:r>
        <w:rPr>
          <w:spacing w:val="-1"/>
        </w:rPr>
        <w:t>Working</w:t>
      </w:r>
      <w:r>
        <w:rPr>
          <w:spacing w:val="36"/>
        </w:rPr>
        <w:t xml:space="preserve"> </w:t>
      </w:r>
      <w:r>
        <w:rPr>
          <w:spacing w:val="-2"/>
        </w:rPr>
        <w:t>Days</w:t>
      </w:r>
      <w:r>
        <w:rPr>
          <w:spacing w:val="37"/>
        </w:rPr>
        <w:t xml:space="preserve"> </w:t>
      </w:r>
      <w:r>
        <w:rPr>
          <w:spacing w:val="-2"/>
        </w:rPr>
        <w:t>of</w:t>
      </w:r>
      <w:r>
        <w:rPr>
          <w:spacing w:val="25"/>
        </w:rPr>
        <w:t xml:space="preserve"> </w:t>
      </w:r>
      <w:r>
        <w:t>the</w:t>
      </w:r>
      <w:r>
        <w:rPr>
          <w:spacing w:val="15"/>
        </w:rPr>
        <w:t xml:space="preserve"> </w:t>
      </w:r>
      <w:r>
        <w:rPr>
          <w:spacing w:val="-1"/>
        </w:rPr>
        <w:t>receipt</w:t>
      </w:r>
      <w:r>
        <w:rPr>
          <w:spacing w:val="19"/>
        </w:rPr>
        <w:t xml:space="preserve"> </w:t>
      </w:r>
      <w:r>
        <w:rPr>
          <w:spacing w:val="-2"/>
        </w:rPr>
        <w:t>of</w:t>
      </w:r>
      <w:r>
        <w:rPr>
          <w:spacing w:val="19"/>
        </w:rPr>
        <w:t xml:space="preserve"> </w:t>
      </w:r>
      <w:r>
        <w:t>a</w:t>
      </w:r>
      <w:r>
        <w:rPr>
          <w:spacing w:val="15"/>
        </w:rPr>
        <w:t xml:space="preserve"> </w:t>
      </w:r>
      <w:r>
        <w:rPr>
          <w:spacing w:val="-1"/>
        </w:rPr>
        <w:t>request</w:t>
      </w:r>
      <w:r>
        <w:rPr>
          <w:spacing w:val="14"/>
        </w:rPr>
        <w:t xml:space="preserve"> </w:t>
      </w:r>
      <w:r>
        <w:rPr>
          <w:spacing w:val="-1"/>
        </w:rPr>
        <w:t>from</w:t>
      </w:r>
      <w:r>
        <w:rPr>
          <w:spacing w:val="16"/>
        </w:rPr>
        <w:t xml:space="preserve"> </w:t>
      </w:r>
      <w:r>
        <w:t>the</w:t>
      </w:r>
      <w:r>
        <w:rPr>
          <w:spacing w:val="17"/>
        </w:rPr>
        <w:t xml:space="preserve"> </w:t>
      </w:r>
      <w:r>
        <w:rPr>
          <w:spacing w:val="-1"/>
        </w:rPr>
        <w:t>Supplier,</w:t>
      </w:r>
      <w:r>
        <w:rPr>
          <w:spacing w:val="14"/>
        </w:rPr>
        <w:t xml:space="preserve"> </w:t>
      </w:r>
      <w:r>
        <w:rPr>
          <w:spacing w:val="-1"/>
        </w:rPr>
        <w:t>furnish</w:t>
      </w:r>
      <w:r>
        <w:rPr>
          <w:spacing w:val="17"/>
        </w:rPr>
        <w:t xml:space="preserve"> </w:t>
      </w:r>
      <w:r>
        <w:rPr>
          <w:spacing w:val="-1"/>
        </w:rPr>
        <w:t>such</w:t>
      </w:r>
      <w:r>
        <w:rPr>
          <w:spacing w:val="18"/>
        </w:rPr>
        <w:t xml:space="preserve"> </w:t>
      </w:r>
      <w:r>
        <w:t>a</w:t>
      </w:r>
      <w:r>
        <w:rPr>
          <w:spacing w:val="30"/>
        </w:rPr>
        <w:t xml:space="preserve"> </w:t>
      </w:r>
      <w:r>
        <w:rPr>
          <w:spacing w:val="-1"/>
        </w:rPr>
        <w:t>statement</w:t>
      </w:r>
      <w:r>
        <w:rPr>
          <w:spacing w:val="36"/>
        </w:rPr>
        <w:t xml:space="preserve"> </w:t>
      </w:r>
      <w:r>
        <w:rPr>
          <w:spacing w:val="-1"/>
        </w:rPr>
        <w:t>and</w:t>
      </w:r>
      <w:r>
        <w:rPr>
          <w:spacing w:val="37"/>
        </w:rPr>
        <w:t xml:space="preserve"> </w:t>
      </w:r>
      <w:r>
        <w:rPr>
          <w:spacing w:val="-1"/>
        </w:rPr>
        <w:t>particulars</w:t>
      </w:r>
      <w:r>
        <w:rPr>
          <w:spacing w:val="38"/>
        </w:rPr>
        <w:t xml:space="preserve"> </w:t>
      </w:r>
      <w:r>
        <w:rPr>
          <w:spacing w:val="-1"/>
        </w:rPr>
        <w:t>as</w:t>
      </w:r>
      <w:r>
        <w:rPr>
          <w:spacing w:val="38"/>
        </w:rPr>
        <w:t xml:space="preserve"> </w:t>
      </w:r>
      <w:r>
        <w:rPr>
          <w:spacing w:val="-1"/>
        </w:rPr>
        <w:t>are</w:t>
      </w:r>
      <w:r>
        <w:rPr>
          <w:spacing w:val="37"/>
        </w:rPr>
        <w:t xml:space="preserve"> </w:t>
      </w:r>
      <w:r>
        <w:rPr>
          <w:spacing w:val="-1"/>
        </w:rPr>
        <w:t>detailed</w:t>
      </w:r>
      <w:r>
        <w:rPr>
          <w:spacing w:val="37"/>
        </w:rPr>
        <w:t xml:space="preserve"> </w:t>
      </w:r>
      <w:r>
        <w:rPr>
          <w:spacing w:val="-1"/>
        </w:rPr>
        <w:t>in</w:t>
      </w:r>
      <w:r>
        <w:rPr>
          <w:spacing w:val="38"/>
        </w:rPr>
        <w:t xml:space="preserve"> </w:t>
      </w:r>
      <w:r>
        <w:rPr>
          <w:spacing w:val="-2"/>
        </w:rPr>
        <w:t>Clause</w:t>
      </w:r>
      <w:r>
        <w:rPr>
          <w:spacing w:val="26"/>
        </w:rPr>
        <w:t xml:space="preserve"> </w:t>
      </w:r>
      <w:r>
        <w:rPr>
          <w:spacing w:val="-1"/>
        </w:rPr>
        <w:t>58.13.1;</w:t>
      </w:r>
      <w:r>
        <w:rPr>
          <w:spacing w:val="2"/>
        </w:rPr>
        <w:t xml:space="preserve"> </w:t>
      </w:r>
      <w:r>
        <w:rPr>
          <w:spacing w:val="-2"/>
        </w:rPr>
        <w:t>or</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164"/>
        </w:tabs>
        <w:spacing w:before="0"/>
        <w:ind w:right="112"/>
        <w:jc w:val="both"/>
      </w:pPr>
      <w:r>
        <w:t>the</w:t>
      </w:r>
      <w:r>
        <w:rPr>
          <w:spacing w:val="17"/>
        </w:rPr>
        <w:t xml:space="preserve"> </w:t>
      </w:r>
      <w:r>
        <w:rPr>
          <w:spacing w:val="-1"/>
        </w:rPr>
        <w:t>Customer</w:t>
      </w:r>
      <w:r>
        <w:rPr>
          <w:spacing w:val="19"/>
        </w:rPr>
        <w:t xml:space="preserve"> </w:t>
      </w:r>
      <w:r>
        <w:rPr>
          <w:spacing w:val="-1"/>
        </w:rPr>
        <w:t>shall</w:t>
      </w:r>
      <w:r>
        <w:rPr>
          <w:spacing w:val="17"/>
        </w:rPr>
        <w:t xml:space="preserve"> </w:t>
      </w:r>
      <w:r>
        <w:rPr>
          <w:spacing w:val="-1"/>
        </w:rPr>
        <w:t>state</w:t>
      </w:r>
      <w:r>
        <w:rPr>
          <w:spacing w:val="15"/>
        </w:rPr>
        <w:t xml:space="preserve"> </w:t>
      </w:r>
      <w:r>
        <w:rPr>
          <w:spacing w:val="-1"/>
        </w:rPr>
        <w:t>in</w:t>
      </w:r>
      <w:r>
        <w:rPr>
          <w:spacing w:val="17"/>
        </w:rPr>
        <w:t xml:space="preserve"> </w:t>
      </w:r>
      <w:r>
        <w:t>the</w:t>
      </w:r>
      <w:r>
        <w:rPr>
          <w:spacing w:val="17"/>
        </w:rPr>
        <w:t xml:space="preserve"> </w:t>
      </w:r>
      <w:r>
        <w:rPr>
          <w:spacing w:val="-1"/>
        </w:rPr>
        <w:t>statement</w:t>
      </w:r>
      <w:r>
        <w:rPr>
          <w:spacing w:val="19"/>
        </w:rPr>
        <w:t xml:space="preserve"> </w:t>
      </w:r>
      <w:r>
        <w:rPr>
          <w:spacing w:val="-1"/>
        </w:rPr>
        <w:t>and</w:t>
      </w:r>
      <w:r>
        <w:rPr>
          <w:spacing w:val="17"/>
        </w:rPr>
        <w:t xml:space="preserve"> </w:t>
      </w:r>
      <w:r>
        <w:rPr>
          <w:spacing w:val="-1"/>
        </w:rPr>
        <w:t>particulars</w:t>
      </w:r>
      <w:r>
        <w:rPr>
          <w:spacing w:val="21"/>
        </w:rPr>
        <w:t xml:space="preserve"> </w:t>
      </w:r>
      <w:r>
        <w:rPr>
          <w:spacing w:val="-1"/>
        </w:rPr>
        <w:t>detailed</w:t>
      </w:r>
      <w:r>
        <w:rPr>
          <w:spacing w:val="10"/>
        </w:rPr>
        <w:t xml:space="preserve"> </w:t>
      </w:r>
      <w:r>
        <w:rPr>
          <w:spacing w:val="-1"/>
        </w:rPr>
        <w:t>in</w:t>
      </w:r>
      <w:r>
        <w:rPr>
          <w:spacing w:val="12"/>
        </w:rPr>
        <w:t xml:space="preserve"> </w:t>
      </w:r>
      <w:r>
        <w:rPr>
          <w:spacing w:val="-2"/>
        </w:rPr>
        <w:t>Clause</w:t>
      </w:r>
      <w:r>
        <w:rPr>
          <w:spacing w:val="10"/>
        </w:rPr>
        <w:t xml:space="preserve"> </w:t>
      </w:r>
      <w:r>
        <w:t>58.13.2.</w:t>
      </w:r>
      <w:r>
        <w:rPr>
          <w:spacing w:val="11"/>
        </w:rPr>
        <w:t xml:space="preserve"> </w:t>
      </w:r>
      <w:r>
        <w:rPr>
          <w:spacing w:val="-1"/>
        </w:rPr>
        <w:t>that</w:t>
      </w:r>
      <w:r>
        <w:rPr>
          <w:spacing w:val="11"/>
        </w:rPr>
        <w:t xml:space="preserve"> </w:t>
      </w:r>
      <w:r>
        <w:t>the</w:t>
      </w:r>
      <w:r>
        <w:rPr>
          <w:spacing w:val="10"/>
        </w:rPr>
        <w:t xml:space="preserve"> </w:t>
      </w:r>
      <w:r>
        <w:rPr>
          <w:spacing w:val="-2"/>
        </w:rPr>
        <w:t>event</w:t>
      </w:r>
      <w:r>
        <w:rPr>
          <w:spacing w:val="11"/>
        </w:rPr>
        <w:t xml:space="preserve"> </w:t>
      </w:r>
      <w:r>
        <w:rPr>
          <w:spacing w:val="-1"/>
        </w:rPr>
        <w:t>upon</w:t>
      </w:r>
      <w:r>
        <w:rPr>
          <w:spacing w:val="12"/>
        </w:rPr>
        <w:t xml:space="preserve"> </w:t>
      </w:r>
      <w:r>
        <w:rPr>
          <w:spacing w:val="-1"/>
        </w:rPr>
        <w:t>which</w:t>
      </w:r>
      <w:r>
        <w:rPr>
          <w:spacing w:val="10"/>
        </w:rPr>
        <w:t xml:space="preserve"> </w:t>
      </w:r>
      <w:r>
        <w:rPr>
          <w:spacing w:val="-1"/>
        </w:rPr>
        <w:t>the</w:t>
      </w:r>
      <w:r>
        <w:rPr>
          <w:spacing w:val="30"/>
        </w:rPr>
        <w:t xml:space="preserve"> </w:t>
      </w:r>
      <w:r>
        <w:rPr>
          <w:spacing w:val="-1"/>
        </w:rPr>
        <w:t>Customer's</w:t>
      </w:r>
      <w:r>
        <w:rPr>
          <w:spacing w:val="51"/>
        </w:rPr>
        <w:t xml:space="preserve"> </w:t>
      </w:r>
      <w:r>
        <w:rPr>
          <w:spacing w:val="-2"/>
        </w:rPr>
        <w:t>decision</w:t>
      </w:r>
      <w:r>
        <w:rPr>
          <w:spacing w:val="51"/>
        </w:rPr>
        <w:t xml:space="preserve"> </w:t>
      </w:r>
      <w:r>
        <w:t>to</w:t>
      </w:r>
      <w:r>
        <w:rPr>
          <w:spacing w:val="49"/>
        </w:rPr>
        <w:t xml:space="preserve"> </w:t>
      </w:r>
      <w:r>
        <w:rPr>
          <w:spacing w:val="-1"/>
        </w:rPr>
        <w:t>terminate</w:t>
      </w:r>
      <w:r>
        <w:rPr>
          <w:spacing w:val="51"/>
        </w:rPr>
        <w:t xml:space="preserve"> </w:t>
      </w:r>
      <w:r>
        <w:rPr>
          <w:spacing w:val="-1"/>
        </w:rPr>
        <w:t>this</w:t>
      </w:r>
      <w:r>
        <w:rPr>
          <w:spacing w:val="51"/>
        </w:rPr>
        <w:t xml:space="preserve"> </w:t>
      </w:r>
      <w:r>
        <w:rPr>
          <w:spacing w:val="-2"/>
        </w:rPr>
        <w:t>Call</w:t>
      </w:r>
      <w:r>
        <w:rPr>
          <w:spacing w:val="50"/>
        </w:rPr>
        <w:t xml:space="preserve"> </w:t>
      </w:r>
      <w:r>
        <w:rPr>
          <w:spacing w:val="-1"/>
        </w:rPr>
        <w:t>Off</w:t>
      </w:r>
      <w:r>
        <w:rPr>
          <w:spacing w:val="51"/>
        </w:rPr>
        <w:t xml:space="preserve"> </w:t>
      </w:r>
      <w:r>
        <w:rPr>
          <w:spacing w:val="-1"/>
        </w:rPr>
        <w:t>Contract</w:t>
      </w:r>
      <w:r>
        <w:rPr>
          <w:spacing w:val="49"/>
        </w:rPr>
        <w:t xml:space="preserve"> </w:t>
      </w:r>
      <w:r>
        <w:rPr>
          <w:spacing w:val="-2"/>
        </w:rPr>
        <w:t>was</w:t>
      </w:r>
      <w:r>
        <w:rPr>
          <w:spacing w:val="1"/>
        </w:rPr>
        <w:t xml:space="preserve"> </w:t>
      </w:r>
      <w:r>
        <w:rPr>
          <w:spacing w:val="-1"/>
        </w:rPr>
        <w:t>based</w:t>
      </w:r>
      <w:r>
        <w:t xml:space="preserve"> </w:t>
      </w:r>
      <w:r>
        <w:rPr>
          <w:spacing w:val="-1"/>
        </w:rPr>
        <w:t>is</w:t>
      </w:r>
      <w:r>
        <w:rPr>
          <w:spacing w:val="1"/>
        </w:rPr>
        <w:t xml:space="preserve"> </w:t>
      </w:r>
      <w:r>
        <w:rPr>
          <w:spacing w:val="-1"/>
        </w:rPr>
        <w:t>an</w:t>
      </w:r>
      <w:r>
        <w:t xml:space="preserve"> </w:t>
      </w:r>
      <w:r>
        <w:rPr>
          <w:spacing w:val="-2"/>
        </w:rPr>
        <w:t>event</w:t>
      </w:r>
      <w:r>
        <w:t xml:space="preserve"> </w:t>
      </w:r>
      <w:r>
        <w:rPr>
          <w:spacing w:val="-1"/>
        </w:rPr>
        <w:t>mentioned</w:t>
      </w:r>
      <w:r>
        <w:t xml:space="preserve"> </w:t>
      </w:r>
      <w:r>
        <w:rPr>
          <w:spacing w:val="-1"/>
        </w:rPr>
        <w:t>in</w:t>
      </w:r>
      <w:r>
        <w:t xml:space="preserve"> </w:t>
      </w:r>
      <w:r>
        <w:rPr>
          <w:spacing w:val="-2"/>
        </w:rPr>
        <w:t>Clause</w:t>
      </w:r>
      <w:r>
        <w:rPr>
          <w:spacing w:val="1"/>
        </w:rPr>
        <w:t xml:space="preserve"> </w:t>
      </w:r>
      <w:r>
        <w:rPr>
          <w:spacing w:val="-1"/>
        </w:rPr>
        <w:t>58.11.3,</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left="2592" w:right="116" w:firstLine="0"/>
        <w:jc w:val="both"/>
      </w:pPr>
      <w:r>
        <w:t>the</w:t>
      </w:r>
      <w:r>
        <w:rPr>
          <w:spacing w:val="2"/>
        </w:rPr>
        <w:t xml:space="preserve"> </w:t>
      </w:r>
      <w:r>
        <w:rPr>
          <w:spacing w:val="-1"/>
        </w:rPr>
        <w:t>respective</w:t>
      </w:r>
      <w:r>
        <w:rPr>
          <w:spacing w:val="2"/>
        </w:rPr>
        <w:t xml:space="preserve"> </w:t>
      </w:r>
      <w:r>
        <w:rPr>
          <w:spacing w:val="-1"/>
        </w:rPr>
        <w:t>rights</w:t>
      </w:r>
      <w:r>
        <w:rPr>
          <w:spacing w:val="2"/>
        </w:rPr>
        <w:t xml:space="preserve"> </w:t>
      </w:r>
      <w:r>
        <w:rPr>
          <w:spacing w:val="-2"/>
        </w:rPr>
        <w:t>and</w:t>
      </w:r>
      <w:r>
        <w:rPr>
          <w:spacing w:val="2"/>
        </w:rPr>
        <w:t xml:space="preserve"> </w:t>
      </w:r>
      <w:r>
        <w:rPr>
          <w:spacing w:val="-1"/>
        </w:rPr>
        <w:t>obligations</w:t>
      </w:r>
      <w:r>
        <w:rPr>
          <w:spacing w:val="2"/>
        </w:rPr>
        <w:t xml:space="preserve"> </w:t>
      </w:r>
      <w:r>
        <w:rPr>
          <w:spacing w:val="-2"/>
        </w:rPr>
        <w:t>of</w:t>
      </w:r>
      <w:r>
        <w:rPr>
          <w:spacing w:val="3"/>
        </w:rPr>
        <w:t xml:space="preserve"> </w:t>
      </w:r>
      <w:r>
        <w:t>the</w:t>
      </w:r>
      <w:r>
        <w:rPr>
          <w:spacing w:val="2"/>
        </w:rPr>
        <w:t xml:space="preserve"> </w:t>
      </w:r>
      <w:r>
        <w:rPr>
          <w:spacing w:val="-2"/>
        </w:rPr>
        <w:t>Supplier</w:t>
      </w:r>
      <w:r>
        <w:rPr>
          <w:spacing w:val="3"/>
        </w:rPr>
        <w:t xml:space="preserve"> </w:t>
      </w:r>
      <w:r>
        <w:rPr>
          <w:spacing w:val="-1"/>
        </w:rPr>
        <w:t>and</w:t>
      </w:r>
      <w:r>
        <w:rPr>
          <w:spacing w:val="2"/>
        </w:rPr>
        <w:t xml:space="preserve"> </w:t>
      </w:r>
      <w:r>
        <w:rPr>
          <w:spacing w:val="-1"/>
        </w:rPr>
        <w:t>the</w:t>
      </w:r>
      <w:r>
        <w:rPr>
          <w:spacing w:val="34"/>
        </w:rPr>
        <w:t xml:space="preserve"> </w:t>
      </w:r>
      <w:r>
        <w:rPr>
          <w:spacing w:val="-1"/>
        </w:rPr>
        <w:t>Customer</w:t>
      </w:r>
      <w:r>
        <w:rPr>
          <w:spacing w:val="40"/>
        </w:rPr>
        <w:t xml:space="preserve"> </w:t>
      </w:r>
      <w:r>
        <w:rPr>
          <w:spacing w:val="-1"/>
        </w:rPr>
        <w:t>shall</w:t>
      </w:r>
      <w:r>
        <w:rPr>
          <w:spacing w:val="38"/>
        </w:rPr>
        <w:t xml:space="preserve"> </w:t>
      </w:r>
      <w:r>
        <w:rPr>
          <w:spacing w:val="-1"/>
        </w:rPr>
        <w:t>be</w:t>
      </w:r>
      <w:r>
        <w:rPr>
          <w:spacing w:val="38"/>
        </w:rPr>
        <w:t xml:space="preserve"> </w:t>
      </w:r>
      <w:r>
        <w:rPr>
          <w:spacing w:val="-1"/>
        </w:rPr>
        <w:t>terminated</w:t>
      </w:r>
      <w:r>
        <w:rPr>
          <w:spacing w:val="39"/>
        </w:rPr>
        <w:t xml:space="preserve"> </w:t>
      </w:r>
      <w:r>
        <w:rPr>
          <w:spacing w:val="-1"/>
        </w:rPr>
        <w:t>in</w:t>
      </w:r>
      <w:r>
        <w:rPr>
          <w:spacing w:val="38"/>
        </w:rPr>
        <w:t xml:space="preserve"> </w:t>
      </w:r>
      <w:r>
        <w:rPr>
          <w:spacing w:val="-1"/>
        </w:rPr>
        <w:t>accordance</w:t>
      </w:r>
      <w:r>
        <w:rPr>
          <w:spacing w:val="39"/>
        </w:rPr>
        <w:t xml:space="preserve"> </w:t>
      </w:r>
      <w:r>
        <w:rPr>
          <w:spacing w:val="-2"/>
        </w:rPr>
        <w:t>with</w:t>
      </w:r>
      <w:r>
        <w:rPr>
          <w:spacing w:val="39"/>
        </w:rPr>
        <w:t xml:space="preserve"> </w:t>
      </w:r>
      <w:r>
        <w:t>the</w:t>
      </w:r>
      <w:r>
        <w:rPr>
          <w:spacing w:val="36"/>
        </w:rPr>
        <w:t xml:space="preserve"> </w:t>
      </w:r>
      <w:r>
        <w:rPr>
          <w:spacing w:val="-2"/>
        </w:rPr>
        <w:t>following</w:t>
      </w:r>
      <w:r>
        <w:rPr>
          <w:spacing w:val="32"/>
        </w:rPr>
        <w:t xml:space="preserve"> </w:t>
      </w:r>
      <w:r>
        <w:rPr>
          <w:spacing w:val="-2"/>
        </w:rPr>
        <w:t>provisions:</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304"/>
        </w:tabs>
        <w:spacing w:before="0"/>
        <w:ind w:left="3303" w:right="111"/>
        <w:jc w:val="both"/>
      </w:pPr>
      <w:r>
        <w:t>the</w:t>
      </w:r>
      <w:r>
        <w:rPr>
          <w:spacing w:val="31"/>
        </w:rPr>
        <w:t xml:space="preserve"> </w:t>
      </w:r>
      <w:r>
        <w:rPr>
          <w:spacing w:val="-2"/>
        </w:rPr>
        <w:t>Customer</w:t>
      </w:r>
      <w:r>
        <w:rPr>
          <w:spacing w:val="33"/>
        </w:rPr>
        <w:t xml:space="preserve"> </w:t>
      </w:r>
      <w:r>
        <w:rPr>
          <w:spacing w:val="-1"/>
        </w:rPr>
        <w:t>shall</w:t>
      </w:r>
      <w:r>
        <w:rPr>
          <w:spacing w:val="31"/>
        </w:rPr>
        <w:t xml:space="preserve"> </w:t>
      </w:r>
      <w:r>
        <w:t>take</w:t>
      </w:r>
      <w:r>
        <w:rPr>
          <w:spacing w:val="29"/>
        </w:rPr>
        <w:t xml:space="preserve"> </w:t>
      </w:r>
      <w:r>
        <w:rPr>
          <w:spacing w:val="-2"/>
        </w:rPr>
        <w:t>over</w:t>
      </w:r>
      <w:r>
        <w:rPr>
          <w:spacing w:val="30"/>
        </w:rPr>
        <w:t xml:space="preserve"> </w:t>
      </w:r>
      <w:r>
        <w:t>from</w:t>
      </w:r>
      <w:r>
        <w:rPr>
          <w:spacing w:val="30"/>
        </w:rPr>
        <w:t xml:space="preserve"> </w:t>
      </w:r>
      <w:r>
        <w:t>the</w:t>
      </w:r>
      <w:r>
        <w:rPr>
          <w:spacing w:val="31"/>
        </w:rPr>
        <w:t xml:space="preserve"> </w:t>
      </w:r>
      <w:r>
        <w:rPr>
          <w:spacing w:val="-2"/>
        </w:rPr>
        <w:t>Supplier</w:t>
      </w:r>
      <w:r>
        <w:rPr>
          <w:spacing w:val="31"/>
        </w:rPr>
        <w:t xml:space="preserve"> </w:t>
      </w:r>
      <w:r>
        <w:rPr>
          <w:spacing w:val="-1"/>
        </w:rPr>
        <w:t>at</w:t>
      </w:r>
      <w:r>
        <w:rPr>
          <w:spacing w:val="33"/>
        </w:rPr>
        <w:t xml:space="preserve"> </w:t>
      </w:r>
      <w:r>
        <w:t>a</w:t>
      </w:r>
      <w:r>
        <w:rPr>
          <w:spacing w:val="29"/>
        </w:rPr>
        <w:t xml:space="preserve"> </w:t>
      </w:r>
      <w:r>
        <w:rPr>
          <w:spacing w:val="-1"/>
        </w:rPr>
        <w:t>fair</w:t>
      </w:r>
      <w:r>
        <w:rPr>
          <w:spacing w:val="39"/>
        </w:rPr>
        <w:t xml:space="preserve"> </w:t>
      </w:r>
      <w:r>
        <w:rPr>
          <w:spacing w:val="-1"/>
        </w:rPr>
        <w:t>and</w:t>
      </w:r>
      <w:r>
        <w:rPr>
          <w:spacing w:val="22"/>
        </w:rPr>
        <w:t xml:space="preserve"> </w:t>
      </w:r>
      <w:r>
        <w:rPr>
          <w:spacing w:val="-1"/>
        </w:rPr>
        <w:t>reasonable</w:t>
      </w:r>
      <w:r>
        <w:rPr>
          <w:spacing w:val="22"/>
        </w:rPr>
        <w:t xml:space="preserve"> </w:t>
      </w:r>
      <w:r>
        <w:rPr>
          <w:spacing w:val="-1"/>
        </w:rPr>
        <w:t>price</w:t>
      </w:r>
      <w:r>
        <w:rPr>
          <w:spacing w:val="22"/>
        </w:rPr>
        <w:t xml:space="preserve"> </w:t>
      </w:r>
      <w:r>
        <w:rPr>
          <w:spacing w:val="-1"/>
        </w:rPr>
        <w:t>all</w:t>
      </w:r>
      <w:r>
        <w:rPr>
          <w:spacing w:val="24"/>
        </w:rPr>
        <w:t xml:space="preserve"> </w:t>
      </w:r>
      <w:r>
        <w:rPr>
          <w:spacing w:val="-1"/>
        </w:rPr>
        <w:t>unused</w:t>
      </w:r>
      <w:r>
        <w:rPr>
          <w:spacing w:val="22"/>
        </w:rPr>
        <w:t xml:space="preserve"> </w:t>
      </w:r>
      <w:r>
        <w:rPr>
          <w:spacing w:val="-1"/>
        </w:rPr>
        <w:t>and</w:t>
      </w:r>
      <w:r>
        <w:rPr>
          <w:spacing w:val="22"/>
        </w:rPr>
        <w:t xml:space="preserve"> </w:t>
      </w:r>
      <w:r>
        <w:rPr>
          <w:spacing w:val="-1"/>
        </w:rPr>
        <w:t>undamaged</w:t>
      </w:r>
      <w:r>
        <w:rPr>
          <w:spacing w:val="24"/>
        </w:rPr>
        <w:t xml:space="preserve"> </w:t>
      </w:r>
      <w:r>
        <w:rPr>
          <w:spacing w:val="-1"/>
        </w:rPr>
        <w:t>materials,</w:t>
      </w:r>
      <w:r>
        <w:rPr>
          <w:spacing w:val="26"/>
        </w:rPr>
        <w:t xml:space="preserve"> </w:t>
      </w:r>
      <w:r>
        <w:rPr>
          <w:spacing w:val="-1"/>
        </w:rPr>
        <w:t>bought-out</w:t>
      </w:r>
      <w:r>
        <w:rPr>
          <w:spacing w:val="26"/>
        </w:rPr>
        <w:t xml:space="preserve"> </w:t>
      </w:r>
      <w:r>
        <w:rPr>
          <w:spacing w:val="-1"/>
        </w:rPr>
        <w:t>parts</w:t>
      </w:r>
      <w:r>
        <w:rPr>
          <w:spacing w:val="25"/>
        </w:rPr>
        <w:t xml:space="preserve"> </w:t>
      </w:r>
      <w:r>
        <w:rPr>
          <w:spacing w:val="-1"/>
        </w:rPr>
        <w:t>and</w:t>
      </w:r>
      <w:r>
        <w:rPr>
          <w:spacing w:val="24"/>
        </w:rPr>
        <w:t xml:space="preserve"> </w:t>
      </w:r>
      <w:r>
        <w:rPr>
          <w:spacing w:val="-1"/>
        </w:rPr>
        <w:t>components</w:t>
      </w:r>
      <w:r>
        <w:rPr>
          <w:spacing w:val="25"/>
        </w:rPr>
        <w:t xml:space="preserve"> </w:t>
      </w:r>
      <w:r>
        <w:rPr>
          <w:spacing w:val="-1"/>
        </w:rPr>
        <w:t>and</w:t>
      </w:r>
      <w:r>
        <w:rPr>
          <w:spacing w:val="22"/>
        </w:rPr>
        <w:t xml:space="preserve"> </w:t>
      </w:r>
      <w:r>
        <w:rPr>
          <w:spacing w:val="-1"/>
        </w:rPr>
        <w:t>articles</w:t>
      </w:r>
      <w:r>
        <w:rPr>
          <w:spacing w:val="24"/>
        </w:rPr>
        <w:t xml:space="preserve"> </w:t>
      </w:r>
      <w:r>
        <w:rPr>
          <w:spacing w:val="-1"/>
        </w:rPr>
        <w:t>in</w:t>
      </w:r>
      <w:r>
        <w:rPr>
          <w:spacing w:val="45"/>
        </w:rPr>
        <w:t xml:space="preserve"> </w:t>
      </w:r>
      <w:r>
        <w:rPr>
          <w:spacing w:val="-1"/>
        </w:rPr>
        <w:t>course</w:t>
      </w:r>
      <w:r>
        <w:rPr>
          <w:spacing w:val="45"/>
        </w:rPr>
        <w:t xml:space="preserve"> </w:t>
      </w:r>
      <w:r>
        <w:rPr>
          <w:spacing w:val="-2"/>
        </w:rPr>
        <w:t>of</w:t>
      </w:r>
      <w:r>
        <w:rPr>
          <w:spacing w:val="46"/>
        </w:rPr>
        <w:t xml:space="preserve"> </w:t>
      </w:r>
      <w:r>
        <w:rPr>
          <w:spacing w:val="-1"/>
        </w:rPr>
        <w:t>manufacture</w:t>
      </w:r>
      <w:r>
        <w:rPr>
          <w:spacing w:val="45"/>
        </w:rPr>
        <w:t xml:space="preserve"> </w:t>
      </w:r>
      <w:r>
        <w:rPr>
          <w:spacing w:val="-1"/>
        </w:rPr>
        <w:t>in</w:t>
      </w:r>
      <w:r>
        <w:rPr>
          <w:spacing w:val="45"/>
        </w:rPr>
        <w:t xml:space="preserve"> </w:t>
      </w:r>
      <w:r>
        <w:t>the</w:t>
      </w:r>
      <w:r>
        <w:rPr>
          <w:spacing w:val="45"/>
        </w:rPr>
        <w:t xml:space="preserve"> </w:t>
      </w:r>
      <w:r>
        <w:rPr>
          <w:spacing w:val="-1"/>
        </w:rPr>
        <w:t>possession</w:t>
      </w:r>
      <w:r>
        <w:rPr>
          <w:spacing w:val="46"/>
        </w:rPr>
        <w:t xml:space="preserve"> </w:t>
      </w:r>
      <w:r>
        <w:rPr>
          <w:spacing w:val="-2"/>
        </w:rPr>
        <w:t>of</w:t>
      </w:r>
      <w:r>
        <w:rPr>
          <w:spacing w:val="48"/>
        </w:rPr>
        <w:t xml:space="preserve"> </w:t>
      </w:r>
      <w:r>
        <w:rPr>
          <w:spacing w:val="-1"/>
        </w:rPr>
        <w:t>the</w:t>
      </w:r>
      <w:r>
        <w:rPr>
          <w:spacing w:val="30"/>
        </w:rPr>
        <w:t xml:space="preserve"> </w:t>
      </w:r>
      <w:r>
        <w:rPr>
          <w:spacing w:val="-2"/>
        </w:rPr>
        <w:t>Supplier</w:t>
      </w:r>
      <w:r>
        <w:rPr>
          <w:spacing w:val="54"/>
        </w:rPr>
        <w:t xml:space="preserve"> </w:t>
      </w:r>
      <w:r>
        <w:rPr>
          <w:spacing w:val="-1"/>
        </w:rPr>
        <w:t>upon</w:t>
      </w:r>
      <w:r>
        <w:rPr>
          <w:spacing w:val="53"/>
        </w:rPr>
        <w:t xml:space="preserve"> </w:t>
      </w:r>
      <w:r>
        <w:t>the</w:t>
      </w:r>
      <w:r>
        <w:rPr>
          <w:spacing w:val="53"/>
        </w:rPr>
        <w:t xml:space="preserve"> </w:t>
      </w:r>
      <w:r>
        <w:rPr>
          <w:spacing w:val="-1"/>
        </w:rPr>
        <w:t>termination</w:t>
      </w:r>
      <w:r>
        <w:rPr>
          <w:spacing w:val="53"/>
        </w:rPr>
        <w:t xml:space="preserve"> </w:t>
      </w:r>
      <w:r>
        <w:rPr>
          <w:spacing w:val="-1"/>
        </w:rPr>
        <w:t>of</w:t>
      </w:r>
      <w:r>
        <w:rPr>
          <w:spacing w:val="54"/>
        </w:rPr>
        <w:t xml:space="preserve"> </w:t>
      </w:r>
      <w:r>
        <w:rPr>
          <w:spacing w:val="-1"/>
        </w:rPr>
        <w:t>this</w:t>
      </w:r>
      <w:r>
        <w:rPr>
          <w:spacing w:val="53"/>
        </w:rPr>
        <w:t xml:space="preserve"> </w:t>
      </w:r>
      <w:r>
        <w:rPr>
          <w:spacing w:val="-2"/>
        </w:rPr>
        <w:t>Call</w:t>
      </w:r>
      <w:r>
        <w:rPr>
          <w:spacing w:val="53"/>
        </w:rPr>
        <w:t xml:space="preserve"> </w:t>
      </w:r>
      <w:r>
        <w:t>Off</w:t>
      </w:r>
      <w:r>
        <w:rPr>
          <w:spacing w:val="54"/>
        </w:rPr>
        <w:t xml:space="preserve"> </w:t>
      </w:r>
      <w:r>
        <w:rPr>
          <w:spacing w:val="-1"/>
        </w:rPr>
        <w:t>Contract</w:t>
      </w:r>
      <w:r>
        <w:rPr>
          <w:spacing w:val="41"/>
        </w:rPr>
        <w:t xml:space="preserve"> </w:t>
      </w:r>
      <w:r>
        <w:rPr>
          <w:spacing w:val="-1"/>
        </w:rPr>
        <w:t>under</w:t>
      </w:r>
      <w:r>
        <w:rPr>
          <w:spacing w:val="51"/>
        </w:rPr>
        <w:t xml:space="preserve"> </w:t>
      </w:r>
      <w:r>
        <w:t>the</w:t>
      </w:r>
      <w:r>
        <w:rPr>
          <w:spacing w:val="49"/>
        </w:rPr>
        <w:t xml:space="preserve"> </w:t>
      </w:r>
      <w:r>
        <w:rPr>
          <w:spacing w:val="-2"/>
        </w:rPr>
        <w:t>provisions</w:t>
      </w:r>
      <w:r>
        <w:rPr>
          <w:spacing w:val="50"/>
        </w:rPr>
        <w:t xml:space="preserve"> </w:t>
      </w:r>
      <w:r>
        <w:rPr>
          <w:spacing w:val="-2"/>
        </w:rPr>
        <w:t>of</w:t>
      </w:r>
      <w:r>
        <w:rPr>
          <w:spacing w:val="53"/>
        </w:rPr>
        <w:t xml:space="preserve"> </w:t>
      </w:r>
      <w:r>
        <w:rPr>
          <w:spacing w:val="-2"/>
        </w:rPr>
        <w:t>Clause</w:t>
      </w:r>
      <w:r>
        <w:rPr>
          <w:spacing w:val="50"/>
        </w:rPr>
        <w:t xml:space="preserve"> </w:t>
      </w:r>
      <w:r>
        <w:rPr>
          <w:spacing w:val="-1"/>
        </w:rPr>
        <w:t>58.11</w:t>
      </w:r>
      <w:r>
        <w:rPr>
          <w:spacing w:val="49"/>
        </w:rPr>
        <w:t xml:space="preserve"> </w:t>
      </w:r>
      <w:r>
        <w:rPr>
          <w:spacing w:val="-1"/>
        </w:rPr>
        <w:t>and</w:t>
      </w:r>
      <w:r>
        <w:rPr>
          <w:spacing w:val="48"/>
        </w:rPr>
        <w:t xml:space="preserve"> </w:t>
      </w:r>
      <w:r>
        <w:rPr>
          <w:spacing w:val="-1"/>
        </w:rPr>
        <w:t>properly</w:t>
      </w:r>
      <w:r>
        <w:rPr>
          <w:spacing w:val="43"/>
        </w:rPr>
        <w:t xml:space="preserve"> </w:t>
      </w:r>
      <w:r>
        <w:rPr>
          <w:spacing w:val="-2"/>
        </w:rPr>
        <w:t>provided</w:t>
      </w:r>
      <w:r>
        <w:rPr>
          <w:spacing w:val="27"/>
        </w:rPr>
        <w:t xml:space="preserve"> </w:t>
      </w:r>
      <w:r>
        <w:rPr>
          <w:spacing w:val="1"/>
        </w:rPr>
        <w:t>by</w:t>
      </w:r>
      <w:r>
        <w:rPr>
          <w:spacing w:val="25"/>
        </w:rPr>
        <w:t xml:space="preserve"> </w:t>
      </w:r>
      <w:r>
        <w:rPr>
          <w:spacing w:val="-1"/>
        </w:rPr>
        <w:t>or</w:t>
      </w:r>
      <w:r>
        <w:rPr>
          <w:spacing w:val="28"/>
        </w:rPr>
        <w:t xml:space="preserve"> </w:t>
      </w:r>
      <w:r>
        <w:rPr>
          <w:spacing w:val="-1"/>
        </w:rPr>
        <w:t>supplied</w:t>
      </w:r>
      <w:r>
        <w:rPr>
          <w:spacing w:val="27"/>
        </w:rPr>
        <w:t xml:space="preserve"> </w:t>
      </w:r>
      <w:r>
        <w:t>to</w:t>
      </w:r>
      <w:r>
        <w:rPr>
          <w:spacing w:val="27"/>
        </w:rPr>
        <w:t xml:space="preserve"> </w:t>
      </w:r>
      <w:r>
        <w:t>the</w:t>
      </w:r>
      <w:r>
        <w:rPr>
          <w:spacing w:val="27"/>
        </w:rPr>
        <w:t xml:space="preserve"> </w:t>
      </w:r>
      <w:r>
        <w:rPr>
          <w:spacing w:val="-2"/>
        </w:rPr>
        <w:t>Supplier</w:t>
      </w:r>
      <w:r>
        <w:rPr>
          <w:spacing w:val="30"/>
        </w:rPr>
        <w:t xml:space="preserve"> </w:t>
      </w:r>
      <w:r>
        <w:t>for</w:t>
      </w:r>
      <w:r>
        <w:rPr>
          <w:spacing w:val="28"/>
        </w:rPr>
        <w:t xml:space="preserve"> </w:t>
      </w:r>
      <w:r>
        <w:rPr>
          <w:spacing w:val="-1"/>
        </w:rPr>
        <w:t>the</w:t>
      </w:r>
      <w:r>
        <w:rPr>
          <w:spacing w:val="42"/>
        </w:rPr>
        <w:t xml:space="preserve"> </w:t>
      </w:r>
      <w:r>
        <w:rPr>
          <w:spacing w:val="-1"/>
        </w:rPr>
        <w:t>performance</w:t>
      </w:r>
      <w:r>
        <w:rPr>
          <w:spacing w:val="50"/>
        </w:rPr>
        <w:t xml:space="preserve"> </w:t>
      </w:r>
      <w:r>
        <w:rPr>
          <w:spacing w:val="-2"/>
        </w:rPr>
        <w:t>of</w:t>
      </w:r>
      <w:r>
        <w:rPr>
          <w:spacing w:val="51"/>
        </w:rPr>
        <w:t xml:space="preserve"> </w:t>
      </w:r>
      <w:r>
        <w:rPr>
          <w:spacing w:val="-1"/>
        </w:rPr>
        <w:t>this</w:t>
      </w:r>
      <w:r>
        <w:rPr>
          <w:spacing w:val="50"/>
        </w:rPr>
        <w:t xml:space="preserve"> </w:t>
      </w:r>
      <w:r>
        <w:rPr>
          <w:spacing w:val="-2"/>
        </w:rPr>
        <w:t>Call</w:t>
      </w:r>
      <w:r>
        <w:rPr>
          <w:spacing w:val="49"/>
        </w:rPr>
        <w:t xml:space="preserve"> </w:t>
      </w:r>
      <w:r>
        <w:rPr>
          <w:spacing w:val="-1"/>
        </w:rPr>
        <w:t>Off</w:t>
      </w:r>
      <w:r>
        <w:rPr>
          <w:spacing w:val="53"/>
        </w:rPr>
        <w:t xml:space="preserve"> </w:t>
      </w:r>
      <w:r>
        <w:rPr>
          <w:spacing w:val="-1"/>
        </w:rPr>
        <w:t>Contract,</w:t>
      </w:r>
      <w:r>
        <w:rPr>
          <w:spacing w:val="51"/>
        </w:rPr>
        <w:t xml:space="preserve"> </w:t>
      </w:r>
      <w:r>
        <w:rPr>
          <w:spacing w:val="-1"/>
        </w:rPr>
        <w:t>except</w:t>
      </w:r>
      <w:r>
        <w:rPr>
          <w:spacing w:val="52"/>
        </w:rPr>
        <w:t xml:space="preserve"> </w:t>
      </w:r>
      <w:r>
        <w:rPr>
          <w:spacing w:val="-1"/>
        </w:rPr>
        <w:t>such</w:t>
      </w:r>
      <w:r>
        <w:rPr>
          <w:spacing w:val="21"/>
        </w:rPr>
        <w:t xml:space="preserve"> </w:t>
      </w:r>
      <w:r>
        <w:rPr>
          <w:spacing w:val="-1"/>
        </w:rPr>
        <w:t>materials,</w:t>
      </w:r>
      <w:r>
        <w:rPr>
          <w:spacing w:val="26"/>
        </w:rPr>
        <w:t xml:space="preserve"> </w:t>
      </w:r>
      <w:r>
        <w:rPr>
          <w:spacing w:val="-1"/>
        </w:rPr>
        <w:t>bought-out</w:t>
      </w:r>
      <w:r>
        <w:rPr>
          <w:spacing w:val="26"/>
        </w:rPr>
        <w:t xml:space="preserve"> </w:t>
      </w:r>
      <w:r>
        <w:rPr>
          <w:spacing w:val="-1"/>
        </w:rPr>
        <w:t>parts</w:t>
      </w:r>
      <w:r>
        <w:rPr>
          <w:spacing w:val="25"/>
        </w:rPr>
        <w:t xml:space="preserve"> </w:t>
      </w:r>
      <w:r>
        <w:rPr>
          <w:spacing w:val="-1"/>
        </w:rPr>
        <w:t>and</w:t>
      </w:r>
      <w:r>
        <w:rPr>
          <w:spacing w:val="24"/>
        </w:rPr>
        <w:t xml:space="preserve"> </w:t>
      </w:r>
      <w:r>
        <w:rPr>
          <w:spacing w:val="-1"/>
        </w:rPr>
        <w:t>components</w:t>
      </w:r>
      <w:r>
        <w:rPr>
          <w:spacing w:val="25"/>
        </w:rPr>
        <w:t xml:space="preserve"> </w:t>
      </w:r>
      <w:r>
        <w:rPr>
          <w:spacing w:val="-1"/>
        </w:rPr>
        <w:t>and</w:t>
      </w:r>
      <w:r>
        <w:rPr>
          <w:spacing w:val="22"/>
        </w:rPr>
        <w:t xml:space="preserve"> </w:t>
      </w:r>
      <w:r>
        <w:rPr>
          <w:spacing w:val="-1"/>
        </w:rPr>
        <w:t>articles</w:t>
      </w:r>
      <w:r>
        <w:rPr>
          <w:spacing w:val="24"/>
        </w:rPr>
        <w:t xml:space="preserve"> </w:t>
      </w:r>
      <w:r>
        <w:rPr>
          <w:spacing w:val="-1"/>
        </w:rPr>
        <w:t>in</w:t>
      </w:r>
      <w:r>
        <w:rPr>
          <w:spacing w:val="34"/>
        </w:rPr>
        <w:t xml:space="preserve"> </w:t>
      </w:r>
      <w:r>
        <w:rPr>
          <w:spacing w:val="-1"/>
        </w:rPr>
        <w:t>course</w:t>
      </w:r>
      <w:r>
        <w:rPr>
          <w:spacing w:val="34"/>
        </w:rPr>
        <w:t xml:space="preserve"> </w:t>
      </w:r>
      <w:r>
        <w:rPr>
          <w:spacing w:val="-2"/>
        </w:rPr>
        <w:t>of</w:t>
      </w:r>
      <w:r>
        <w:rPr>
          <w:spacing w:val="33"/>
        </w:rPr>
        <w:t xml:space="preserve"> </w:t>
      </w:r>
      <w:r>
        <w:rPr>
          <w:spacing w:val="-1"/>
        </w:rPr>
        <w:t>manufacture</w:t>
      </w:r>
      <w:r>
        <w:rPr>
          <w:spacing w:val="34"/>
        </w:rPr>
        <w:t xml:space="preserve"> </w:t>
      </w:r>
      <w:r>
        <w:rPr>
          <w:spacing w:val="-1"/>
        </w:rPr>
        <w:t>as</w:t>
      </w:r>
      <w:r>
        <w:rPr>
          <w:spacing w:val="32"/>
        </w:rPr>
        <w:t xml:space="preserve"> </w:t>
      </w:r>
      <w:r>
        <w:t>the</w:t>
      </w:r>
      <w:r>
        <w:rPr>
          <w:spacing w:val="34"/>
        </w:rPr>
        <w:t xml:space="preserve"> </w:t>
      </w:r>
      <w:r>
        <w:rPr>
          <w:spacing w:val="-2"/>
        </w:rPr>
        <w:t>Supplier</w:t>
      </w:r>
      <w:r>
        <w:rPr>
          <w:spacing w:val="36"/>
        </w:rPr>
        <w:t xml:space="preserve"> </w:t>
      </w:r>
      <w:r>
        <w:rPr>
          <w:spacing w:val="-1"/>
        </w:rPr>
        <w:t>shall,</w:t>
      </w:r>
      <w:r>
        <w:rPr>
          <w:spacing w:val="30"/>
        </w:rPr>
        <w:t xml:space="preserve"> </w:t>
      </w:r>
      <w:r>
        <w:rPr>
          <w:spacing w:val="-1"/>
        </w:rPr>
        <w:t>with</w:t>
      </w:r>
      <w:r>
        <w:rPr>
          <w:spacing w:val="34"/>
        </w:rPr>
        <w:t xml:space="preserve"> </w:t>
      </w:r>
      <w:r>
        <w:rPr>
          <w:spacing w:val="-1"/>
        </w:rPr>
        <w:t>the</w:t>
      </w:r>
      <w:r>
        <w:rPr>
          <w:spacing w:val="32"/>
        </w:rPr>
        <w:t xml:space="preserve"> </w:t>
      </w:r>
      <w:r>
        <w:rPr>
          <w:spacing w:val="-1"/>
        </w:rPr>
        <w:t>concurrence</w:t>
      </w:r>
      <w:r>
        <w:rPr>
          <w:spacing w:val="1"/>
        </w:rPr>
        <w:t xml:space="preserve"> </w:t>
      </w:r>
      <w:r>
        <w:rPr>
          <w:spacing w:val="-2"/>
        </w:rPr>
        <w:t>of</w:t>
      </w:r>
      <w:r>
        <w:t xml:space="preserve"> the </w:t>
      </w:r>
      <w:r>
        <w:rPr>
          <w:spacing w:val="-2"/>
        </w:rPr>
        <w:t>Customer,</w:t>
      </w:r>
      <w:r>
        <w:rPr>
          <w:spacing w:val="2"/>
        </w:rPr>
        <w:t xml:space="preserve"> </w:t>
      </w:r>
      <w:r>
        <w:rPr>
          <w:spacing w:val="-2"/>
        </w:rPr>
        <w:t>elect</w:t>
      </w:r>
      <w:r>
        <w:t xml:space="preserve"> to</w:t>
      </w:r>
      <w:r>
        <w:rPr>
          <w:spacing w:val="-2"/>
        </w:rPr>
        <w:t xml:space="preserve"> </w:t>
      </w:r>
      <w:r>
        <w:rPr>
          <w:spacing w:val="-1"/>
        </w:rPr>
        <w:t>retain;</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3"/>
        </w:numPr>
        <w:tabs>
          <w:tab w:val="left" w:pos="3304"/>
        </w:tabs>
        <w:spacing w:before="0"/>
        <w:ind w:left="3303" w:right="111"/>
        <w:jc w:val="both"/>
      </w:pPr>
      <w:r>
        <w:t>the</w:t>
      </w:r>
      <w:r>
        <w:rPr>
          <w:spacing w:val="46"/>
        </w:rPr>
        <w:t xml:space="preserve"> </w:t>
      </w:r>
      <w:r>
        <w:rPr>
          <w:spacing w:val="-2"/>
        </w:rPr>
        <w:t>Supplier</w:t>
      </w:r>
      <w:r>
        <w:rPr>
          <w:spacing w:val="47"/>
        </w:rPr>
        <w:t xml:space="preserve"> </w:t>
      </w:r>
      <w:r>
        <w:rPr>
          <w:spacing w:val="-1"/>
        </w:rPr>
        <w:t>shall</w:t>
      </w:r>
      <w:r>
        <w:rPr>
          <w:spacing w:val="45"/>
        </w:rPr>
        <w:t xml:space="preserve"> </w:t>
      </w:r>
      <w:r>
        <w:rPr>
          <w:spacing w:val="-1"/>
        </w:rPr>
        <w:t>prepare</w:t>
      </w:r>
      <w:r>
        <w:rPr>
          <w:spacing w:val="46"/>
        </w:rPr>
        <w:t xml:space="preserve"> </w:t>
      </w:r>
      <w:r>
        <w:rPr>
          <w:spacing w:val="-1"/>
        </w:rPr>
        <w:t>and</w:t>
      </w:r>
      <w:r>
        <w:rPr>
          <w:spacing w:val="46"/>
        </w:rPr>
        <w:t xml:space="preserve"> </w:t>
      </w:r>
      <w:r>
        <w:rPr>
          <w:spacing w:val="-2"/>
        </w:rPr>
        <w:t>deliver</w:t>
      </w:r>
      <w:r>
        <w:rPr>
          <w:spacing w:val="47"/>
        </w:rPr>
        <w:t xml:space="preserve"> </w:t>
      </w:r>
      <w:r>
        <w:t>to</w:t>
      </w:r>
      <w:r>
        <w:rPr>
          <w:spacing w:val="47"/>
        </w:rPr>
        <w:t xml:space="preserve"> </w:t>
      </w:r>
      <w:r>
        <w:t>the</w:t>
      </w:r>
      <w:r>
        <w:rPr>
          <w:spacing w:val="46"/>
        </w:rPr>
        <w:t xml:space="preserve"> </w:t>
      </w:r>
      <w:r>
        <w:rPr>
          <w:spacing w:val="-1"/>
        </w:rPr>
        <w:t>Customer</w:t>
      </w:r>
      <w:r>
        <w:rPr>
          <w:spacing w:val="37"/>
        </w:rPr>
        <w:t xml:space="preserve"> </w:t>
      </w:r>
      <w:r>
        <w:rPr>
          <w:spacing w:val="-1"/>
        </w:rPr>
        <w:t>within</w:t>
      </w:r>
      <w:r>
        <w:rPr>
          <w:spacing w:val="17"/>
        </w:rPr>
        <w:t xml:space="preserve"> </w:t>
      </w:r>
      <w:r>
        <w:rPr>
          <w:spacing w:val="-1"/>
        </w:rPr>
        <w:t>an</w:t>
      </w:r>
      <w:r>
        <w:rPr>
          <w:spacing w:val="17"/>
        </w:rPr>
        <w:t xml:space="preserve"> </w:t>
      </w:r>
      <w:r>
        <w:rPr>
          <w:spacing w:val="-1"/>
        </w:rPr>
        <w:t>agreed</w:t>
      </w:r>
      <w:r>
        <w:rPr>
          <w:spacing w:val="17"/>
        </w:rPr>
        <w:t xml:space="preserve"> </w:t>
      </w:r>
      <w:r>
        <w:rPr>
          <w:spacing w:val="-1"/>
        </w:rPr>
        <w:t>period</w:t>
      </w:r>
      <w:r>
        <w:rPr>
          <w:spacing w:val="17"/>
        </w:rPr>
        <w:t xml:space="preserve"> </w:t>
      </w:r>
      <w:r>
        <w:rPr>
          <w:spacing w:val="-1"/>
        </w:rPr>
        <w:t>or</w:t>
      </w:r>
      <w:r>
        <w:rPr>
          <w:spacing w:val="19"/>
        </w:rPr>
        <w:t xml:space="preserve"> </w:t>
      </w:r>
      <w:r>
        <w:rPr>
          <w:spacing w:val="-1"/>
        </w:rPr>
        <w:t>in</w:t>
      </w:r>
      <w:r>
        <w:rPr>
          <w:spacing w:val="17"/>
        </w:rPr>
        <w:t xml:space="preserve"> </w:t>
      </w:r>
      <w:r>
        <w:rPr>
          <w:spacing w:val="-1"/>
        </w:rPr>
        <w:t>default</w:t>
      </w:r>
      <w:r>
        <w:rPr>
          <w:spacing w:val="19"/>
        </w:rPr>
        <w:t xml:space="preserve"> </w:t>
      </w:r>
      <w:r>
        <w:rPr>
          <w:spacing w:val="-2"/>
        </w:rPr>
        <w:t>of</w:t>
      </w:r>
      <w:r>
        <w:rPr>
          <w:spacing w:val="21"/>
        </w:rPr>
        <w:t xml:space="preserve"> </w:t>
      </w:r>
      <w:r>
        <w:rPr>
          <w:spacing w:val="-2"/>
        </w:rPr>
        <w:t>agreement</w:t>
      </w:r>
      <w:r>
        <w:rPr>
          <w:spacing w:val="19"/>
        </w:rPr>
        <w:t xml:space="preserve"> </w:t>
      </w:r>
      <w:r>
        <w:rPr>
          <w:spacing w:val="-2"/>
        </w:rPr>
        <w:t>within</w:t>
      </w:r>
      <w:r>
        <w:rPr>
          <w:spacing w:val="51"/>
        </w:rPr>
        <w:t xml:space="preserve"> </w:t>
      </w:r>
      <w:r>
        <w:rPr>
          <w:spacing w:val="-1"/>
        </w:rPr>
        <w:t>such</w:t>
      </w:r>
      <w:r>
        <w:rPr>
          <w:spacing w:val="51"/>
        </w:rPr>
        <w:t xml:space="preserve"> </w:t>
      </w:r>
      <w:r>
        <w:rPr>
          <w:spacing w:val="-1"/>
        </w:rPr>
        <w:t>period</w:t>
      </w:r>
      <w:r>
        <w:rPr>
          <w:spacing w:val="51"/>
        </w:rPr>
        <w:t xml:space="preserve"> </w:t>
      </w:r>
      <w:r>
        <w:rPr>
          <w:spacing w:val="-1"/>
        </w:rPr>
        <w:t>as</w:t>
      </w:r>
      <w:r>
        <w:rPr>
          <w:spacing w:val="49"/>
        </w:rPr>
        <w:t xml:space="preserve"> </w:t>
      </w:r>
      <w:r>
        <w:t>the</w:t>
      </w:r>
      <w:r>
        <w:rPr>
          <w:spacing w:val="51"/>
        </w:rPr>
        <w:t xml:space="preserve"> </w:t>
      </w:r>
      <w:r>
        <w:rPr>
          <w:spacing w:val="-2"/>
        </w:rPr>
        <w:t>Customer</w:t>
      </w:r>
      <w:r>
        <w:rPr>
          <w:spacing w:val="52"/>
        </w:rPr>
        <w:t xml:space="preserve"> </w:t>
      </w:r>
      <w:r>
        <w:rPr>
          <w:spacing w:val="-1"/>
        </w:rPr>
        <w:t>may</w:t>
      </w:r>
      <w:r>
        <w:rPr>
          <w:spacing w:val="49"/>
        </w:rPr>
        <w:t xml:space="preserve"> </w:t>
      </w:r>
      <w:r>
        <w:rPr>
          <w:spacing w:val="-1"/>
        </w:rPr>
        <w:t>specify,</w:t>
      </w:r>
      <w:r>
        <w:rPr>
          <w:spacing w:val="53"/>
        </w:rPr>
        <w:t xml:space="preserve"> </w:t>
      </w:r>
      <w:r>
        <w:t>a</w:t>
      </w:r>
      <w:r>
        <w:rPr>
          <w:spacing w:val="51"/>
        </w:rPr>
        <w:t xml:space="preserve"> </w:t>
      </w:r>
      <w:r>
        <w:rPr>
          <w:spacing w:val="-2"/>
        </w:rPr>
        <w:t>list</w:t>
      </w:r>
      <w:r>
        <w:rPr>
          <w:spacing w:val="53"/>
        </w:rPr>
        <w:t xml:space="preserve"> </w:t>
      </w:r>
      <w:r>
        <w:rPr>
          <w:spacing w:val="-2"/>
        </w:rPr>
        <w:t>of</w:t>
      </w:r>
      <w:r>
        <w:rPr>
          <w:spacing w:val="52"/>
        </w:rPr>
        <w:t xml:space="preserve"> </w:t>
      </w:r>
      <w:r>
        <w:rPr>
          <w:spacing w:val="-1"/>
        </w:rPr>
        <w:t>all</w:t>
      </w:r>
      <w:r>
        <w:rPr>
          <w:spacing w:val="33"/>
        </w:rPr>
        <w:t xml:space="preserve"> </w:t>
      </w:r>
      <w:r>
        <w:rPr>
          <w:spacing w:val="-1"/>
        </w:rPr>
        <w:t>such</w:t>
      </w:r>
      <w:r>
        <w:rPr>
          <w:spacing w:val="10"/>
        </w:rPr>
        <w:t xml:space="preserve"> </w:t>
      </w:r>
      <w:r>
        <w:rPr>
          <w:spacing w:val="-1"/>
        </w:rPr>
        <w:t>unused</w:t>
      </w:r>
      <w:r>
        <w:rPr>
          <w:spacing w:val="10"/>
        </w:rPr>
        <w:t xml:space="preserve"> </w:t>
      </w:r>
      <w:r>
        <w:rPr>
          <w:spacing w:val="-1"/>
        </w:rPr>
        <w:t>and</w:t>
      </w:r>
      <w:r>
        <w:rPr>
          <w:spacing w:val="10"/>
        </w:rPr>
        <w:t xml:space="preserve"> </w:t>
      </w:r>
      <w:r>
        <w:rPr>
          <w:spacing w:val="-1"/>
        </w:rPr>
        <w:t>undamaged</w:t>
      </w:r>
      <w:r>
        <w:rPr>
          <w:spacing w:val="10"/>
        </w:rPr>
        <w:t xml:space="preserve"> </w:t>
      </w:r>
      <w:r>
        <w:rPr>
          <w:spacing w:val="-1"/>
        </w:rPr>
        <w:t>materials,</w:t>
      </w:r>
      <w:r>
        <w:rPr>
          <w:spacing w:val="12"/>
        </w:rPr>
        <w:t xml:space="preserve"> </w:t>
      </w:r>
      <w:r>
        <w:rPr>
          <w:spacing w:val="-1"/>
        </w:rPr>
        <w:t>bought-out</w:t>
      </w:r>
      <w:r>
        <w:rPr>
          <w:spacing w:val="11"/>
        </w:rPr>
        <w:t xml:space="preserve"> </w:t>
      </w:r>
      <w:r>
        <w:rPr>
          <w:spacing w:val="-1"/>
        </w:rPr>
        <w:t>parts</w:t>
      </w:r>
      <w:r>
        <w:rPr>
          <w:spacing w:val="31"/>
        </w:rPr>
        <w:t xml:space="preserve"> </w:t>
      </w:r>
      <w:r>
        <w:rPr>
          <w:spacing w:val="-1"/>
        </w:rPr>
        <w:t>and</w:t>
      </w:r>
      <w:r>
        <w:rPr>
          <w:spacing w:val="48"/>
        </w:rPr>
        <w:t xml:space="preserve"> </w:t>
      </w:r>
      <w:r>
        <w:rPr>
          <w:spacing w:val="-1"/>
        </w:rPr>
        <w:t>components</w:t>
      </w:r>
      <w:r>
        <w:rPr>
          <w:spacing w:val="49"/>
        </w:rPr>
        <w:t xml:space="preserve"> </w:t>
      </w:r>
      <w:r>
        <w:rPr>
          <w:spacing w:val="-1"/>
        </w:rPr>
        <w:t>and</w:t>
      </w:r>
      <w:r>
        <w:rPr>
          <w:spacing w:val="48"/>
        </w:rPr>
        <w:t xml:space="preserve"> </w:t>
      </w:r>
      <w:r>
        <w:rPr>
          <w:spacing w:val="-1"/>
        </w:rPr>
        <w:t>articles</w:t>
      </w:r>
      <w:r>
        <w:rPr>
          <w:spacing w:val="49"/>
        </w:rPr>
        <w:t xml:space="preserve"> </w:t>
      </w:r>
      <w:r>
        <w:rPr>
          <w:spacing w:val="-1"/>
        </w:rPr>
        <w:t>in</w:t>
      </w:r>
      <w:r>
        <w:rPr>
          <w:spacing w:val="48"/>
        </w:rPr>
        <w:t xml:space="preserve"> </w:t>
      </w:r>
      <w:r>
        <w:rPr>
          <w:spacing w:val="-1"/>
        </w:rPr>
        <w:t>course</w:t>
      </w:r>
      <w:r>
        <w:rPr>
          <w:spacing w:val="49"/>
        </w:rPr>
        <w:t xml:space="preserve"> </w:t>
      </w:r>
      <w:r>
        <w:rPr>
          <w:spacing w:val="-1"/>
        </w:rPr>
        <w:t>of</w:t>
      </w:r>
      <w:r>
        <w:rPr>
          <w:spacing w:val="53"/>
        </w:rPr>
        <w:t xml:space="preserve"> </w:t>
      </w:r>
      <w:r>
        <w:rPr>
          <w:spacing w:val="-1"/>
        </w:rPr>
        <w:t>manufacture</w:t>
      </w:r>
      <w:r>
        <w:rPr>
          <w:spacing w:val="31"/>
        </w:rPr>
        <w:t xml:space="preserve"> </w:t>
      </w:r>
      <w:r>
        <w:rPr>
          <w:spacing w:val="-2"/>
        </w:rPr>
        <w:t>liable</w:t>
      </w:r>
      <w:r>
        <w:rPr>
          <w:spacing w:val="27"/>
        </w:rPr>
        <w:t xml:space="preserve"> </w:t>
      </w:r>
      <w:r>
        <w:t>to</w:t>
      </w:r>
      <w:r>
        <w:rPr>
          <w:spacing w:val="27"/>
        </w:rPr>
        <w:t xml:space="preserve"> </w:t>
      </w:r>
      <w:r>
        <w:rPr>
          <w:spacing w:val="-1"/>
        </w:rPr>
        <w:t>be</w:t>
      </w:r>
      <w:r>
        <w:rPr>
          <w:spacing w:val="27"/>
        </w:rPr>
        <w:t xml:space="preserve"> </w:t>
      </w:r>
      <w:r>
        <w:rPr>
          <w:spacing w:val="-1"/>
        </w:rPr>
        <w:t>taken</w:t>
      </w:r>
      <w:r>
        <w:rPr>
          <w:spacing w:val="24"/>
        </w:rPr>
        <w:t xml:space="preserve"> </w:t>
      </w:r>
      <w:r>
        <w:rPr>
          <w:spacing w:val="-2"/>
        </w:rPr>
        <w:t>over</w:t>
      </w:r>
      <w:r>
        <w:rPr>
          <w:spacing w:val="26"/>
        </w:rPr>
        <w:t xml:space="preserve"> </w:t>
      </w:r>
      <w:r>
        <w:rPr>
          <w:spacing w:val="-1"/>
        </w:rPr>
        <w:t>by</w:t>
      </w:r>
      <w:r>
        <w:rPr>
          <w:spacing w:val="25"/>
        </w:rPr>
        <w:t xml:space="preserve"> </w:t>
      </w:r>
      <w:r>
        <w:rPr>
          <w:spacing w:val="-1"/>
        </w:rPr>
        <w:t>or</w:t>
      </w:r>
      <w:r>
        <w:rPr>
          <w:spacing w:val="28"/>
        </w:rPr>
        <w:t xml:space="preserve"> </w:t>
      </w:r>
      <w:r>
        <w:rPr>
          <w:spacing w:val="-2"/>
        </w:rPr>
        <w:t>previously</w:t>
      </w:r>
      <w:r>
        <w:rPr>
          <w:spacing w:val="25"/>
        </w:rPr>
        <w:t xml:space="preserve"> </w:t>
      </w:r>
      <w:r>
        <w:rPr>
          <w:spacing w:val="-1"/>
        </w:rPr>
        <w:t>belonging</w:t>
      </w:r>
      <w:r>
        <w:rPr>
          <w:spacing w:val="27"/>
        </w:rPr>
        <w:t xml:space="preserve"> </w:t>
      </w:r>
      <w:r>
        <w:t>to</w:t>
      </w:r>
      <w:r>
        <w:rPr>
          <w:spacing w:val="24"/>
        </w:rPr>
        <w:t xml:space="preserve"> </w:t>
      </w:r>
      <w:r>
        <w:rPr>
          <w:spacing w:val="-1"/>
        </w:rPr>
        <w:t>the</w:t>
      </w:r>
      <w:r>
        <w:rPr>
          <w:spacing w:val="58"/>
        </w:rPr>
        <w:t xml:space="preserve"> </w:t>
      </w:r>
      <w:r>
        <w:rPr>
          <w:spacing w:val="-1"/>
        </w:rPr>
        <w:t>Customer</w:t>
      </w:r>
      <w:r>
        <w:rPr>
          <w:spacing w:val="40"/>
        </w:rPr>
        <w:t xml:space="preserve"> </w:t>
      </w:r>
      <w:r>
        <w:rPr>
          <w:spacing w:val="-1"/>
        </w:rPr>
        <w:t>and</w:t>
      </w:r>
      <w:r>
        <w:rPr>
          <w:spacing w:val="38"/>
        </w:rPr>
        <w:t xml:space="preserve"> </w:t>
      </w:r>
      <w:r>
        <w:rPr>
          <w:spacing w:val="-1"/>
        </w:rPr>
        <w:t>shall</w:t>
      </w:r>
      <w:r>
        <w:rPr>
          <w:spacing w:val="38"/>
        </w:rPr>
        <w:t xml:space="preserve"> </w:t>
      </w:r>
      <w:r>
        <w:rPr>
          <w:spacing w:val="-2"/>
        </w:rPr>
        <w:t>deliver</w:t>
      </w:r>
      <w:r>
        <w:rPr>
          <w:spacing w:val="40"/>
        </w:rPr>
        <w:t xml:space="preserve"> </w:t>
      </w:r>
      <w:r>
        <w:rPr>
          <w:spacing w:val="-1"/>
        </w:rPr>
        <w:t>such</w:t>
      </w:r>
      <w:r>
        <w:rPr>
          <w:spacing w:val="39"/>
        </w:rPr>
        <w:t xml:space="preserve"> </w:t>
      </w:r>
      <w:r>
        <w:rPr>
          <w:spacing w:val="-1"/>
        </w:rPr>
        <w:t>materials</w:t>
      </w:r>
      <w:r>
        <w:rPr>
          <w:spacing w:val="39"/>
        </w:rPr>
        <w:t xml:space="preserve"> </w:t>
      </w:r>
      <w:r>
        <w:rPr>
          <w:spacing w:val="-1"/>
        </w:rPr>
        <w:t>and</w:t>
      </w:r>
      <w:r>
        <w:rPr>
          <w:spacing w:val="40"/>
        </w:rPr>
        <w:t xml:space="preserve"> </w:t>
      </w:r>
      <w:r>
        <w:rPr>
          <w:spacing w:val="-1"/>
        </w:rPr>
        <w:t>items</w:t>
      </w:r>
      <w:r>
        <w:rPr>
          <w:spacing w:val="39"/>
        </w:rPr>
        <w:t xml:space="preserve"> </w:t>
      </w:r>
      <w:r>
        <w:rPr>
          <w:spacing w:val="-1"/>
        </w:rPr>
        <w:t>in</w:t>
      </w:r>
      <w:r>
        <w:rPr>
          <w:spacing w:val="29"/>
        </w:rPr>
        <w:t xml:space="preserve"> </w:t>
      </w:r>
      <w:r>
        <w:rPr>
          <w:spacing w:val="-1"/>
        </w:rPr>
        <w:t>accordance</w:t>
      </w:r>
      <w:r>
        <w:rPr>
          <w:spacing w:val="10"/>
        </w:rPr>
        <w:t xml:space="preserve"> </w:t>
      </w:r>
      <w:r>
        <w:rPr>
          <w:spacing w:val="-2"/>
        </w:rPr>
        <w:t>with</w:t>
      </w:r>
      <w:r>
        <w:rPr>
          <w:spacing w:val="10"/>
        </w:rPr>
        <w:t xml:space="preserve"> </w:t>
      </w:r>
      <w:r>
        <w:t>the</w:t>
      </w:r>
      <w:r>
        <w:rPr>
          <w:spacing w:val="10"/>
        </w:rPr>
        <w:t xml:space="preserve"> </w:t>
      </w:r>
      <w:r>
        <w:rPr>
          <w:spacing w:val="-1"/>
        </w:rPr>
        <w:t>directions</w:t>
      </w:r>
      <w:r>
        <w:rPr>
          <w:spacing w:val="10"/>
        </w:rPr>
        <w:t xml:space="preserve"> </w:t>
      </w:r>
      <w:r>
        <w:rPr>
          <w:spacing w:val="-2"/>
        </w:rPr>
        <w:t>of</w:t>
      </w:r>
      <w:r>
        <w:rPr>
          <w:spacing w:val="11"/>
        </w:rPr>
        <w:t xml:space="preserve"> </w:t>
      </w:r>
      <w:r>
        <w:t>the</w:t>
      </w:r>
      <w:r>
        <w:rPr>
          <w:spacing w:val="10"/>
        </w:rPr>
        <w:t xml:space="preserve"> </w:t>
      </w:r>
      <w:r>
        <w:rPr>
          <w:spacing w:val="-2"/>
        </w:rPr>
        <w:t>Customer</w:t>
      </w:r>
      <w:r>
        <w:rPr>
          <w:spacing w:val="9"/>
        </w:rPr>
        <w:t xml:space="preserve"> </w:t>
      </w:r>
      <w:r>
        <w:rPr>
          <w:spacing w:val="-2"/>
        </w:rPr>
        <w:t>who</w:t>
      </w:r>
      <w:r>
        <w:rPr>
          <w:spacing w:val="10"/>
        </w:rPr>
        <w:t xml:space="preserve"> </w:t>
      </w:r>
      <w:r>
        <w:rPr>
          <w:spacing w:val="-1"/>
        </w:rPr>
        <w:t>shall</w:t>
      </w:r>
      <w:r>
        <w:rPr>
          <w:spacing w:val="39"/>
        </w:rPr>
        <w:t xml:space="preserve"> </w:t>
      </w:r>
      <w:r>
        <w:rPr>
          <w:spacing w:val="-1"/>
        </w:rPr>
        <w:t>pay</w:t>
      </w:r>
      <w:r>
        <w:rPr>
          <w:spacing w:val="4"/>
        </w:rPr>
        <w:t xml:space="preserve"> </w:t>
      </w:r>
      <w:r>
        <w:t>to</w:t>
      </w:r>
      <w:r>
        <w:rPr>
          <w:spacing w:val="6"/>
        </w:rPr>
        <w:t xml:space="preserve"> </w:t>
      </w:r>
      <w:r>
        <w:t>the</w:t>
      </w:r>
      <w:r>
        <w:rPr>
          <w:spacing w:val="6"/>
        </w:rPr>
        <w:t xml:space="preserve"> </w:t>
      </w:r>
      <w:r>
        <w:rPr>
          <w:spacing w:val="-2"/>
        </w:rPr>
        <w:t>Supplier</w:t>
      </w:r>
      <w:r>
        <w:rPr>
          <w:spacing w:val="5"/>
        </w:rPr>
        <w:t xml:space="preserve"> </w:t>
      </w:r>
      <w:r>
        <w:t>fair</w:t>
      </w:r>
      <w:r>
        <w:rPr>
          <w:spacing w:val="8"/>
        </w:rPr>
        <w:t xml:space="preserve"> </w:t>
      </w:r>
      <w:r>
        <w:rPr>
          <w:spacing w:val="-1"/>
        </w:rPr>
        <w:t>and</w:t>
      </w:r>
      <w:r>
        <w:rPr>
          <w:spacing w:val="6"/>
        </w:rPr>
        <w:t xml:space="preserve"> </w:t>
      </w:r>
      <w:r>
        <w:rPr>
          <w:spacing w:val="-1"/>
        </w:rPr>
        <w:t>reasonable</w:t>
      </w:r>
      <w:r>
        <w:rPr>
          <w:spacing w:val="6"/>
        </w:rPr>
        <w:t xml:space="preserve"> </w:t>
      </w:r>
      <w:r>
        <w:rPr>
          <w:spacing w:val="-2"/>
        </w:rPr>
        <w:t>handling</w:t>
      </w:r>
      <w:r>
        <w:rPr>
          <w:spacing w:val="9"/>
        </w:rPr>
        <w:t xml:space="preserve"> </w:t>
      </w:r>
      <w:r>
        <w:rPr>
          <w:spacing w:val="-1"/>
        </w:rPr>
        <w:t>and</w:t>
      </w:r>
      <w:r>
        <w:rPr>
          <w:spacing w:val="34"/>
        </w:rPr>
        <w:t xml:space="preserve"> </w:t>
      </w:r>
      <w:r>
        <w:rPr>
          <w:spacing w:val="-1"/>
        </w:rPr>
        <w:t>delivery</w:t>
      </w:r>
      <w:r>
        <w:rPr>
          <w:spacing w:val="30"/>
        </w:rPr>
        <w:t xml:space="preserve"> </w:t>
      </w:r>
      <w:r>
        <w:rPr>
          <w:spacing w:val="-1"/>
        </w:rPr>
        <w:t>charges</w:t>
      </w:r>
      <w:r>
        <w:rPr>
          <w:spacing w:val="32"/>
        </w:rPr>
        <w:t xml:space="preserve"> </w:t>
      </w:r>
      <w:r>
        <w:rPr>
          <w:spacing w:val="-1"/>
        </w:rPr>
        <w:t>incurred</w:t>
      </w:r>
      <w:r>
        <w:rPr>
          <w:spacing w:val="31"/>
        </w:rPr>
        <w:t xml:space="preserve"> </w:t>
      </w:r>
      <w:r>
        <w:rPr>
          <w:spacing w:val="-1"/>
        </w:rPr>
        <w:t>in</w:t>
      </w:r>
      <w:r>
        <w:rPr>
          <w:spacing w:val="31"/>
        </w:rPr>
        <w:t xml:space="preserve"> </w:t>
      </w:r>
      <w:r>
        <w:rPr>
          <w:spacing w:val="-2"/>
        </w:rPr>
        <w:t>complying</w:t>
      </w:r>
      <w:r>
        <w:rPr>
          <w:spacing w:val="34"/>
        </w:rPr>
        <w:t xml:space="preserve"> </w:t>
      </w:r>
      <w:r>
        <w:rPr>
          <w:spacing w:val="-2"/>
        </w:rPr>
        <w:t>with</w:t>
      </w:r>
      <w:r>
        <w:rPr>
          <w:spacing w:val="31"/>
        </w:rPr>
        <w:t xml:space="preserve"> </w:t>
      </w:r>
      <w:r>
        <w:rPr>
          <w:spacing w:val="-1"/>
        </w:rPr>
        <w:t>such</w:t>
      </w:r>
      <w:r>
        <w:rPr>
          <w:spacing w:val="40"/>
        </w:rPr>
        <w:t xml:space="preserve"> </w:t>
      </w:r>
      <w:r>
        <w:rPr>
          <w:spacing w:val="-1"/>
        </w:rPr>
        <w:t>directions;</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304"/>
        </w:tabs>
        <w:spacing w:before="0"/>
        <w:ind w:left="3303" w:right="111"/>
        <w:jc w:val="both"/>
      </w:pPr>
      <w:r>
        <w:t>the</w:t>
      </w:r>
      <w:r>
        <w:rPr>
          <w:spacing w:val="55"/>
        </w:rPr>
        <w:t xml:space="preserve"> </w:t>
      </w:r>
      <w:r>
        <w:rPr>
          <w:spacing w:val="-2"/>
        </w:rPr>
        <w:t>Customer</w:t>
      </w:r>
      <w:r>
        <w:rPr>
          <w:spacing w:val="57"/>
        </w:rPr>
        <w:t xml:space="preserve"> </w:t>
      </w:r>
      <w:r>
        <w:rPr>
          <w:spacing w:val="-1"/>
        </w:rPr>
        <w:t>shall</w:t>
      </w:r>
      <w:r>
        <w:rPr>
          <w:spacing w:val="55"/>
        </w:rPr>
        <w:t xml:space="preserve"> </w:t>
      </w:r>
      <w:r>
        <w:rPr>
          <w:spacing w:val="-1"/>
        </w:rPr>
        <w:t>indemnify</w:t>
      </w:r>
      <w:r>
        <w:rPr>
          <w:spacing w:val="53"/>
        </w:rPr>
        <w:t xml:space="preserve"> </w:t>
      </w:r>
      <w:r>
        <w:t>the</w:t>
      </w:r>
      <w:r>
        <w:rPr>
          <w:spacing w:val="55"/>
        </w:rPr>
        <w:t xml:space="preserve"> </w:t>
      </w:r>
      <w:r>
        <w:rPr>
          <w:spacing w:val="-2"/>
        </w:rPr>
        <w:t>Supplier</w:t>
      </w:r>
      <w:r>
        <w:rPr>
          <w:spacing w:val="57"/>
        </w:rPr>
        <w:t xml:space="preserve"> </w:t>
      </w:r>
      <w:r>
        <w:rPr>
          <w:spacing w:val="-2"/>
        </w:rPr>
        <w:t>against</w:t>
      </w:r>
      <w:r>
        <w:rPr>
          <w:spacing w:val="58"/>
        </w:rPr>
        <w:t xml:space="preserve"> </w:t>
      </w:r>
      <w:r>
        <w:rPr>
          <w:spacing w:val="-1"/>
        </w:rPr>
        <w:t>any</w:t>
      </w:r>
      <w:r>
        <w:rPr>
          <w:spacing w:val="44"/>
        </w:rPr>
        <w:t xml:space="preserve"> </w:t>
      </w:r>
      <w:r>
        <w:rPr>
          <w:spacing w:val="-1"/>
        </w:rPr>
        <w:t>commitments,</w:t>
      </w:r>
      <w:r>
        <w:rPr>
          <w:spacing w:val="1"/>
        </w:rPr>
        <w:t xml:space="preserve"> </w:t>
      </w:r>
      <w:r>
        <w:rPr>
          <w:spacing w:val="-2"/>
        </w:rPr>
        <w:t>liabilities</w:t>
      </w:r>
      <w:r>
        <w:rPr>
          <w:spacing w:val="2"/>
        </w:rPr>
        <w:t xml:space="preserve"> </w:t>
      </w:r>
      <w:r>
        <w:rPr>
          <w:spacing w:val="-1"/>
        </w:rPr>
        <w:t>or</w:t>
      </w:r>
      <w:r>
        <w:rPr>
          <w:spacing w:val="1"/>
        </w:rPr>
        <w:t xml:space="preserve"> </w:t>
      </w:r>
      <w:r>
        <w:rPr>
          <w:spacing w:val="-1"/>
        </w:rPr>
        <w:t>expenditure</w:t>
      </w:r>
      <w:r>
        <w:rPr>
          <w:spacing w:val="60"/>
        </w:rPr>
        <w:t xml:space="preserve"> </w:t>
      </w:r>
      <w:r>
        <w:rPr>
          <w:spacing w:val="-1"/>
        </w:rPr>
        <w:t>which</w:t>
      </w:r>
      <w:r>
        <w:t xml:space="preserve">  </w:t>
      </w:r>
      <w:r>
        <w:rPr>
          <w:spacing w:val="-1"/>
        </w:rPr>
        <w:t>are</w:t>
      </w:r>
      <w:r>
        <w:rPr>
          <w:spacing w:val="25"/>
        </w:rPr>
        <w:t xml:space="preserve"> </w:t>
      </w:r>
      <w:r>
        <w:rPr>
          <w:spacing w:val="-1"/>
        </w:rPr>
        <w:t>reasonably</w:t>
      </w:r>
      <w:r>
        <w:rPr>
          <w:spacing w:val="51"/>
        </w:rPr>
        <w:t xml:space="preserve"> </w:t>
      </w:r>
      <w:r>
        <w:rPr>
          <w:spacing w:val="-1"/>
        </w:rPr>
        <w:t>and</w:t>
      </w:r>
      <w:r>
        <w:rPr>
          <w:spacing w:val="53"/>
        </w:rPr>
        <w:t xml:space="preserve"> </w:t>
      </w:r>
      <w:r>
        <w:rPr>
          <w:spacing w:val="-1"/>
        </w:rPr>
        <w:t>properly</w:t>
      </w:r>
      <w:r>
        <w:rPr>
          <w:spacing w:val="51"/>
        </w:rPr>
        <w:t xml:space="preserve"> </w:t>
      </w:r>
      <w:r>
        <w:rPr>
          <w:spacing w:val="-1"/>
        </w:rPr>
        <w:t>chargeable</w:t>
      </w:r>
      <w:r>
        <w:rPr>
          <w:spacing w:val="53"/>
        </w:rPr>
        <w:t xml:space="preserve"> </w:t>
      </w:r>
      <w:r>
        <w:rPr>
          <w:spacing w:val="-1"/>
        </w:rPr>
        <w:t>by</w:t>
      </w:r>
      <w:r>
        <w:rPr>
          <w:spacing w:val="51"/>
        </w:rPr>
        <w:t xml:space="preserve"> </w:t>
      </w:r>
      <w:r>
        <w:t>the</w:t>
      </w:r>
      <w:r>
        <w:rPr>
          <w:spacing w:val="53"/>
        </w:rPr>
        <w:t xml:space="preserve"> </w:t>
      </w:r>
      <w:r>
        <w:rPr>
          <w:spacing w:val="-2"/>
        </w:rPr>
        <w:t>Supplier</w:t>
      </w:r>
      <w:r>
        <w:rPr>
          <w:spacing w:val="55"/>
        </w:rPr>
        <w:t xml:space="preserve"> </w:t>
      </w:r>
      <w:r>
        <w:rPr>
          <w:spacing w:val="-1"/>
        </w:rPr>
        <w:t>in</w:t>
      </w:r>
      <w:r>
        <w:rPr>
          <w:spacing w:val="31"/>
        </w:rPr>
        <w:t xml:space="preserve"> </w:t>
      </w:r>
      <w:r>
        <w:rPr>
          <w:spacing w:val="-1"/>
        </w:rPr>
        <w:t>connection</w:t>
      </w:r>
      <w:r>
        <w:rPr>
          <w:spacing w:val="58"/>
        </w:rPr>
        <w:t xml:space="preserve"> </w:t>
      </w:r>
      <w:r>
        <w:rPr>
          <w:spacing w:val="-2"/>
        </w:rPr>
        <w:t>with</w:t>
      </w:r>
      <w:r>
        <w:rPr>
          <w:spacing w:val="58"/>
        </w:rPr>
        <w:t xml:space="preserve"> </w:t>
      </w:r>
      <w:r>
        <w:rPr>
          <w:spacing w:val="-1"/>
        </w:rPr>
        <w:t>this</w:t>
      </w:r>
      <w:r>
        <w:rPr>
          <w:spacing w:val="58"/>
        </w:rPr>
        <w:t xml:space="preserve"> </w:t>
      </w:r>
      <w:r>
        <w:rPr>
          <w:spacing w:val="-2"/>
        </w:rPr>
        <w:t>Call</w:t>
      </w:r>
      <w:r>
        <w:rPr>
          <w:spacing w:val="59"/>
        </w:rPr>
        <w:t xml:space="preserve"> </w:t>
      </w:r>
      <w:r>
        <w:rPr>
          <w:spacing w:val="-1"/>
        </w:rPr>
        <w:t>Off</w:t>
      </w:r>
      <w:r>
        <w:rPr>
          <w:spacing w:val="59"/>
        </w:rPr>
        <w:t xml:space="preserve"> </w:t>
      </w:r>
      <w:r>
        <w:rPr>
          <w:spacing w:val="-1"/>
        </w:rPr>
        <w:t>Contract</w:t>
      </w:r>
      <w:r>
        <w:rPr>
          <w:spacing w:val="56"/>
        </w:rPr>
        <w:t xml:space="preserve"> </w:t>
      </w:r>
      <w:r>
        <w:t>to</w:t>
      </w:r>
      <w:r>
        <w:rPr>
          <w:spacing w:val="56"/>
        </w:rPr>
        <w:t xml:space="preserve"> </w:t>
      </w:r>
      <w:r>
        <w:t>the</w:t>
      </w:r>
      <w:r>
        <w:rPr>
          <w:spacing w:val="58"/>
        </w:rPr>
        <w:t xml:space="preserve"> </w:t>
      </w:r>
      <w:r>
        <w:rPr>
          <w:spacing w:val="-2"/>
        </w:rPr>
        <w:t>extent</w:t>
      </w:r>
      <w:r>
        <w:rPr>
          <w:spacing w:val="59"/>
        </w:rPr>
        <w:t xml:space="preserve"> </w:t>
      </w:r>
      <w:r>
        <w:rPr>
          <w:spacing w:val="-1"/>
        </w:rPr>
        <w:t>to</w:t>
      </w:r>
      <w:r>
        <w:rPr>
          <w:spacing w:val="45"/>
        </w:rPr>
        <w:t xml:space="preserve"> </w:t>
      </w:r>
      <w:r>
        <w:rPr>
          <w:spacing w:val="-1"/>
        </w:rPr>
        <w:t>which</w:t>
      </w:r>
      <w:r>
        <w:rPr>
          <w:spacing w:val="16"/>
        </w:rPr>
        <w:t xml:space="preserve"> </w:t>
      </w:r>
      <w:r>
        <w:t>the</w:t>
      </w:r>
      <w:r>
        <w:rPr>
          <w:spacing w:val="16"/>
        </w:rPr>
        <w:t xml:space="preserve"> </w:t>
      </w:r>
      <w:r>
        <w:rPr>
          <w:spacing w:val="-1"/>
        </w:rPr>
        <w:t>said</w:t>
      </w:r>
      <w:r>
        <w:rPr>
          <w:spacing w:val="16"/>
        </w:rPr>
        <w:t xml:space="preserve"> </w:t>
      </w:r>
      <w:r>
        <w:rPr>
          <w:spacing w:val="-2"/>
        </w:rPr>
        <w:t>commitments,</w:t>
      </w:r>
      <w:r>
        <w:rPr>
          <w:spacing w:val="17"/>
        </w:rPr>
        <w:t xml:space="preserve"> </w:t>
      </w:r>
      <w:r>
        <w:rPr>
          <w:spacing w:val="-2"/>
        </w:rPr>
        <w:t>liabilities</w:t>
      </w:r>
      <w:r>
        <w:rPr>
          <w:spacing w:val="16"/>
        </w:rPr>
        <w:t xml:space="preserve"> </w:t>
      </w:r>
      <w:r>
        <w:rPr>
          <w:spacing w:val="-1"/>
        </w:rPr>
        <w:t>or</w:t>
      </w:r>
      <w:r>
        <w:rPr>
          <w:spacing w:val="17"/>
        </w:rPr>
        <w:t xml:space="preserve"> </w:t>
      </w:r>
      <w:r>
        <w:rPr>
          <w:spacing w:val="-1"/>
        </w:rPr>
        <w:t>expenditure</w:t>
      </w:r>
      <w:r>
        <w:rPr>
          <w:spacing w:val="43"/>
        </w:rPr>
        <w:t xml:space="preserve"> </w:t>
      </w:r>
      <w:r>
        <w:rPr>
          <w:spacing w:val="-1"/>
        </w:rPr>
        <w:t>would</w:t>
      </w:r>
      <w:r>
        <w:rPr>
          <w:spacing w:val="58"/>
        </w:rPr>
        <w:t xml:space="preserve"> </w:t>
      </w:r>
      <w:r>
        <w:rPr>
          <w:spacing w:val="-1"/>
        </w:rPr>
        <w:t>otherwise</w:t>
      </w:r>
      <w:r>
        <w:rPr>
          <w:spacing w:val="58"/>
        </w:rPr>
        <w:t xml:space="preserve"> </w:t>
      </w:r>
      <w:r>
        <w:rPr>
          <w:spacing w:val="-1"/>
        </w:rPr>
        <w:t>represent</w:t>
      </w:r>
      <w:r>
        <w:rPr>
          <w:spacing w:val="59"/>
        </w:rPr>
        <w:t xml:space="preserve"> </w:t>
      </w:r>
      <w:r>
        <w:rPr>
          <w:spacing w:val="-1"/>
        </w:rPr>
        <w:t>an</w:t>
      </w:r>
      <w:r>
        <w:rPr>
          <w:spacing w:val="58"/>
        </w:rPr>
        <w:t xml:space="preserve"> </w:t>
      </w:r>
      <w:r>
        <w:rPr>
          <w:spacing w:val="-2"/>
        </w:rPr>
        <w:t>unavoidable</w:t>
      </w:r>
      <w:r>
        <w:rPr>
          <w:spacing w:val="60"/>
        </w:rPr>
        <w:t xml:space="preserve"> </w:t>
      </w:r>
      <w:r>
        <w:rPr>
          <w:spacing w:val="-1"/>
        </w:rPr>
        <w:t>loss</w:t>
      </w:r>
      <w:r>
        <w:rPr>
          <w:spacing w:val="59"/>
        </w:rPr>
        <w:t xml:space="preserve"> </w:t>
      </w:r>
      <w:r>
        <w:rPr>
          <w:spacing w:val="-1"/>
        </w:rPr>
        <w:t>by</w:t>
      </w:r>
      <w:r>
        <w:rPr>
          <w:spacing w:val="57"/>
        </w:rPr>
        <w:t xml:space="preserve"> </w:t>
      </w:r>
      <w:r>
        <w:rPr>
          <w:spacing w:val="-1"/>
        </w:rPr>
        <w:t>the</w:t>
      </w:r>
      <w:r>
        <w:rPr>
          <w:spacing w:val="32"/>
        </w:rPr>
        <w:t xml:space="preserve"> </w:t>
      </w:r>
      <w:r>
        <w:rPr>
          <w:spacing w:val="-2"/>
        </w:rPr>
        <w:t>Supplier</w:t>
      </w:r>
      <w:r>
        <w:rPr>
          <w:spacing w:val="8"/>
        </w:rPr>
        <w:t xml:space="preserve"> </w:t>
      </w:r>
      <w:r>
        <w:rPr>
          <w:spacing w:val="-1"/>
        </w:rPr>
        <w:t>by</w:t>
      </w:r>
      <w:r>
        <w:rPr>
          <w:spacing w:val="4"/>
        </w:rPr>
        <w:t xml:space="preserve"> </w:t>
      </w:r>
      <w:r>
        <w:rPr>
          <w:spacing w:val="-1"/>
        </w:rPr>
        <w:t>reason</w:t>
      </w:r>
      <w:r>
        <w:rPr>
          <w:spacing w:val="6"/>
        </w:rPr>
        <w:t xml:space="preserve"> </w:t>
      </w:r>
      <w:r>
        <w:rPr>
          <w:spacing w:val="-2"/>
        </w:rPr>
        <w:t>of</w:t>
      </w:r>
      <w:r>
        <w:rPr>
          <w:spacing w:val="8"/>
        </w:rPr>
        <w:t xml:space="preserve"> </w:t>
      </w:r>
      <w:r>
        <w:t>the</w:t>
      </w:r>
      <w:r>
        <w:rPr>
          <w:spacing w:val="6"/>
        </w:rPr>
        <w:t xml:space="preserve"> </w:t>
      </w:r>
      <w:r>
        <w:rPr>
          <w:spacing w:val="-1"/>
        </w:rPr>
        <w:t>termination</w:t>
      </w:r>
      <w:r>
        <w:rPr>
          <w:spacing w:val="6"/>
        </w:rPr>
        <w:t xml:space="preserve"> </w:t>
      </w:r>
      <w:r>
        <w:rPr>
          <w:spacing w:val="-2"/>
        </w:rPr>
        <w:t>of</w:t>
      </w:r>
      <w:r>
        <w:rPr>
          <w:spacing w:val="8"/>
        </w:rPr>
        <w:t xml:space="preserve"> </w:t>
      </w:r>
      <w:r>
        <w:rPr>
          <w:spacing w:val="-1"/>
        </w:rPr>
        <w:t>this</w:t>
      </w:r>
      <w:r>
        <w:rPr>
          <w:spacing w:val="4"/>
        </w:rPr>
        <w:t xml:space="preserve"> </w:t>
      </w:r>
      <w:r>
        <w:rPr>
          <w:spacing w:val="-2"/>
        </w:rPr>
        <w:t>Call</w:t>
      </w:r>
      <w:r>
        <w:rPr>
          <w:spacing w:val="3"/>
        </w:rPr>
        <w:t xml:space="preserve"> </w:t>
      </w:r>
      <w:r>
        <w:rPr>
          <w:spacing w:val="-1"/>
        </w:rPr>
        <w:t>Off</w:t>
      </w:r>
      <w:r>
        <w:rPr>
          <w:spacing w:val="43"/>
        </w:rPr>
        <w:t xml:space="preserve"> </w:t>
      </w:r>
      <w:r>
        <w:rPr>
          <w:spacing w:val="-1"/>
        </w:rPr>
        <w:t>Contract;</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3"/>
        </w:numPr>
        <w:tabs>
          <w:tab w:val="left" w:pos="3304"/>
        </w:tabs>
        <w:spacing w:before="0"/>
        <w:ind w:left="3303" w:right="112"/>
        <w:jc w:val="both"/>
      </w:pPr>
      <w:r>
        <w:rPr>
          <w:spacing w:val="-1"/>
        </w:rPr>
        <w:t>if</w:t>
      </w:r>
      <w:r>
        <w:rPr>
          <w:spacing w:val="9"/>
        </w:rPr>
        <w:t xml:space="preserve"> </w:t>
      </w:r>
      <w:r>
        <w:rPr>
          <w:spacing w:val="-1"/>
        </w:rPr>
        <w:t>hardship</w:t>
      </w:r>
      <w:r>
        <w:rPr>
          <w:spacing w:val="5"/>
        </w:rPr>
        <w:t xml:space="preserve"> </w:t>
      </w:r>
      <w:r>
        <w:t>to</w:t>
      </w:r>
      <w:r>
        <w:rPr>
          <w:spacing w:val="5"/>
        </w:rPr>
        <w:t xml:space="preserve"> </w:t>
      </w:r>
      <w:r>
        <w:t>the</w:t>
      </w:r>
      <w:r>
        <w:rPr>
          <w:spacing w:val="5"/>
        </w:rPr>
        <w:t xml:space="preserve"> </w:t>
      </w:r>
      <w:r>
        <w:rPr>
          <w:spacing w:val="-2"/>
        </w:rPr>
        <w:t>Supplier</w:t>
      </w:r>
      <w:r>
        <w:rPr>
          <w:spacing w:val="6"/>
        </w:rPr>
        <w:t xml:space="preserve"> </w:t>
      </w:r>
      <w:r>
        <w:rPr>
          <w:spacing w:val="-1"/>
        </w:rPr>
        <w:t>should</w:t>
      </w:r>
      <w:r>
        <w:rPr>
          <w:spacing w:val="5"/>
        </w:rPr>
        <w:t xml:space="preserve"> </w:t>
      </w:r>
      <w:r>
        <w:rPr>
          <w:spacing w:val="-1"/>
        </w:rPr>
        <w:t>arise</w:t>
      </w:r>
      <w:r>
        <w:rPr>
          <w:spacing w:val="3"/>
        </w:rPr>
        <w:t xml:space="preserve"> </w:t>
      </w:r>
      <w:r>
        <w:t>from</w:t>
      </w:r>
      <w:r>
        <w:rPr>
          <w:spacing w:val="6"/>
        </w:rPr>
        <w:t xml:space="preserve"> </w:t>
      </w:r>
      <w:r>
        <w:t>the</w:t>
      </w:r>
      <w:r>
        <w:rPr>
          <w:spacing w:val="5"/>
        </w:rPr>
        <w:t xml:space="preserve"> </w:t>
      </w:r>
      <w:r>
        <w:rPr>
          <w:spacing w:val="-1"/>
        </w:rPr>
        <w:t>operation</w:t>
      </w:r>
      <w:r>
        <w:rPr>
          <w:spacing w:val="20"/>
        </w:rPr>
        <w:t xml:space="preserve"> </w:t>
      </w:r>
      <w:r>
        <w:rPr>
          <w:spacing w:val="-2"/>
        </w:rPr>
        <w:t>of</w:t>
      </w:r>
      <w:r>
        <w:rPr>
          <w:spacing w:val="42"/>
        </w:rPr>
        <w:t xml:space="preserve"> </w:t>
      </w:r>
      <w:r>
        <w:rPr>
          <w:spacing w:val="-1"/>
        </w:rPr>
        <w:t>this</w:t>
      </w:r>
      <w:r>
        <w:rPr>
          <w:spacing w:val="39"/>
        </w:rPr>
        <w:t xml:space="preserve"> </w:t>
      </w:r>
      <w:r>
        <w:rPr>
          <w:spacing w:val="-2"/>
        </w:rPr>
        <w:t>Clause</w:t>
      </w:r>
      <w:r>
        <w:rPr>
          <w:spacing w:val="39"/>
        </w:rPr>
        <w:t xml:space="preserve"> </w:t>
      </w:r>
      <w:r>
        <w:rPr>
          <w:spacing w:val="-1"/>
        </w:rPr>
        <w:t>58.15</w:t>
      </w:r>
      <w:r>
        <w:rPr>
          <w:spacing w:val="38"/>
        </w:rPr>
        <w:t xml:space="preserve"> </w:t>
      </w:r>
      <w:r>
        <w:rPr>
          <w:spacing w:val="-1"/>
        </w:rPr>
        <w:t>it</w:t>
      </w:r>
      <w:r>
        <w:rPr>
          <w:spacing w:val="38"/>
        </w:rPr>
        <w:t xml:space="preserve"> </w:t>
      </w:r>
      <w:r>
        <w:rPr>
          <w:spacing w:val="-1"/>
        </w:rPr>
        <w:t>shall</w:t>
      </w:r>
      <w:r>
        <w:rPr>
          <w:spacing w:val="38"/>
        </w:rPr>
        <w:t xml:space="preserve"> </w:t>
      </w:r>
      <w:r>
        <w:rPr>
          <w:spacing w:val="-1"/>
        </w:rPr>
        <w:t>be</w:t>
      </w:r>
      <w:r>
        <w:rPr>
          <w:spacing w:val="39"/>
        </w:rPr>
        <w:t xml:space="preserve"> </w:t>
      </w:r>
      <w:r>
        <w:rPr>
          <w:spacing w:val="-1"/>
        </w:rPr>
        <w:t>open</w:t>
      </w:r>
      <w:r>
        <w:rPr>
          <w:spacing w:val="38"/>
        </w:rPr>
        <w:t xml:space="preserve"> </w:t>
      </w:r>
      <w:r>
        <w:t>to</w:t>
      </w:r>
      <w:r>
        <w:rPr>
          <w:spacing w:val="39"/>
        </w:rPr>
        <w:t xml:space="preserve"> </w:t>
      </w:r>
      <w:r>
        <w:t>the</w:t>
      </w:r>
      <w:r>
        <w:rPr>
          <w:spacing w:val="38"/>
        </w:rPr>
        <w:t xml:space="preserve"> </w:t>
      </w:r>
      <w:r>
        <w:rPr>
          <w:spacing w:val="-2"/>
        </w:rPr>
        <w:t>Supplier</w:t>
      </w:r>
      <w:r>
        <w:rPr>
          <w:spacing w:val="40"/>
        </w:rPr>
        <w:t xml:space="preserve"> </w:t>
      </w:r>
      <w:r>
        <w:t>to</w:t>
      </w:r>
      <w:r>
        <w:rPr>
          <w:spacing w:val="49"/>
        </w:rPr>
        <w:t xml:space="preserve"> </w:t>
      </w:r>
      <w:r>
        <w:rPr>
          <w:spacing w:val="-1"/>
        </w:rPr>
        <w:t>refer</w:t>
      </w:r>
      <w:r>
        <w:rPr>
          <w:spacing w:val="38"/>
        </w:rPr>
        <w:t xml:space="preserve"> </w:t>
      </w:r>
      <w:r>
        <w:t>the</w:t>
      </w:r>
      <w:r>
        <w:rPr>
          <w:spacing w:val="36"/>
        </w:rPr>
        <w:t xml:space="preserve"> </w:t>
      </w:r>
      <w:r>
        <w:rPr>
          <w:spacing w:val="-1"/>
        </w:rPr>
        <w:t>circumstances</w:t>
      </w:r>
      <w:r>
        <w:rPr>
          <w:spacing w:val="34"/>
        </w:rPr>
        <w:t xml:space="preserve"> </w:t>
      </w:r>
      <w:r>
        <w:t>to</w:t>
      </w:r>
      <w:r>
        <w:rPr>
          <w:spacing w:val="36"/>
        </w:rPr>
        <w:t xml:space="preserve"> </w:t>
      </w:r>
      <w:r>
        <w:t>the</w:t>
      </w:r>
      <w:r>
        <w:rPr>
          <w:spacing w:val="36"/>
        </w:rPr>
        <w:t xml:space="preserve"> </w:t>
      </w:r>
      <w:r>
        <w:rPr>
          <w:spacing w:val="-1"/>
        </w:rPr>
        <w:t>Customer</w:t>
      </w:r>
      <w:r>
        <w:rPr>
          <w:spacing w:val="38"/>
        </w:rPr>
        <w:t xml:space="preserve"> </w:t>
      </w:r>
      <w:r>
        <w:rPr>
          <w:spacing w:val="-2"/>
        </w:rPr>
        <w:t>who,</w:t>
      </w:r>
      <w:r>
        <w:rPr>
          <w:spacing w:val="39"/>
        </w:rPr>
        <w:t xml:space="preserve"> </w:t>
      </w:r>
      <w:r>
        <w:rPr>
          <w:spacing w:val="-1"/>
        </w:rPr>
        <w:t>on</w:t>
      </w:r>
      <w:r>
        <w:rPr>
          <w:spacing w:val="36"/>
        </w:rPr>
        <w:t xml:space="preserve"> </w:t>
      </w:r>
      <w:r>
        <w:rPr>
          <w:spacing w:val="-2"/>
        </w:rPr>
        <w:t>being</w:t>
      </w:r>
      <w:r>
        <w:rPr>
          <w:spacing w:val="24"/>
        </w:rPr>
        <w:t xml:space="preserve"> </w:t>
      </w:r>
      <w:r>
        <w:rPr>
          <w:spacing w:val="-1"/>
        </w:rPr>
        <w:t>satisfied</w:t>
      </w:r>
      <w:r>
        <w:rPr>
          <w:spacing w:val="40"/>
        </w:rPr>
        <w:t xml:space="preserve"> </w:t>
      </w:r>
      <w:r>
        <w:rPr>
          <w:spacing w:val="-1"/>
        </w:rPr>
        <w:t>that</w:t>
      </w:r>
      <w:r>
        <w:rPr>
          <w:spacing w:val="41"/>
        </w:rPr>
        <w:t xml:space="preserve"> </w:t>
      </w:r>
      <w:r>
        <w:rPr>
          <w:spacing w:val="-1"/>
        </w:rPr>
        <w:t>such</w:t>
      </w:r>
      <w:r>
        <w:rPr>
          <w:spacing w:val="40"/>
        </w:rPr>
        <w:t xml:space="preserve"> </w:t>
      </w:r>
      <w:r>
        <w:rPr>
          <w:spacing w:val="-2"/>
        </w:rPr>
        <w:t>hardship</w:t>
      </w:r>
      <w:r>
        <w:rPr>
          <w:spacing w:val="40"/>
        </w:rPr>
        <w:t xml:space="preserve"> </w:t>
      </w:r>
      <w:r>
        <w:rPr>
          <w:spacing w:val="-1"/>
        </w:rPr>
        <w:t>exists</w:t>
      </w:r>
      <w:r>
        <w:rPr>
          <w:spacing w:val="40"/>
        </w:rPr>
        <w:t xml:space="preserve"> </w:t>
      </w:r>
      <w:r>
        <w:rPr>
          <w:spacing w:val="-1"/>
        </w:rPr>
        <w:t>shall</w:t>
      </w:r>
      <w:r>
        <w:rPr>
          <w:spacing w:val="39"/>
        </w:rPr>
        <w:t xml:space="preserve"> </w:t>
      </w:r>
      <w:r>
        <w:rPr>
          <w:spacing w:val="-1"/>
        </w:rPr>
        <w:t>make</w:t>
      </w:r>
      <w:r>
        <w:rPr>
          <w:spacing w:val="41"/>
        </w:rPr>
        <w:t xml:space="preserve"> </w:t>
      </w:r>
      <w:r>
        <w:rPr>
          <w:spacing w:val="-1"/>
        </w:rPr>
        <w:t>such</w:t>
      </w:r>
      <w:r>
        <w:rPr>
          <w:spacing w:val="44"/>
        </w:rPr>
        <w:t xml:space="preserve"> </w:t>
      </w:r>
      <w:r>
        <w:rPr>
          <w:spacing w:val="-1"/>
        </w:rPr>
        <w:t>allowance,</w:t>
      </w:r>
      <w:r>
        <w:rPr>
          <w:spacing w:val="23"/>
        </w:rPr>
        <w:t xml:space="preserve"> </w:t>
      </w:r>
      <w:r>
        <w:rPr>
          <w:spacing w:val="-1"/>
        </w:rPr>
        <w:t>if</w:t>
      </w:r>
      <w:r>
        <w:rPr>
          <w:spacing w:val="23"/>
        </w:rPr>
        <w:t xml:space="preserve"> </w:t>
      </w:r>
      <w:r>
        <w:rPr>
          <w:spacing w:val="-2"/>
        </w:rPr>
        <w:t>any,</w:t>
      </w:r>
      <w:r>
        <w:rPr>
          <w:spacing w:val="23"/>
        </w:rPr>
        <w:t xml:space="preserve"> </w:t>
      </w:r>
      <w:r>
        <w:rPr>
          <w:spacing w:val="-1"/>
        </w:rPr>
        <w:t>as</w:t>
      </w:r>
      <w:r>
        <w:rPr>
          <w:spacing w:val="20"/>
        </w:rPr>
        <w:t xml:space="preserve"> </w:t>
      </w:r>
      <w:r>
        <w:rPr>
          <w:spacing w:val="-1"/>
        </w:rPr>
        <w:t>in</w:t>
      </w:r>
      <w:r>
        <w:rPr>
          <w:spacing w:val="22"/>
        </w:rPr>
        <w:t xml:space="preserve"> </w:t>
      </w:r>
      <w:r>
        <w:rPr>
          <w:spacing w:val="-1"/>
        </w:rPr>
        <w:t>its</w:t>
      </w:r>
      <w:r>
        <w:rPr>
          <w:spacing w:val="22"/>
        </w:rPr>
        <w:t xml:space="preserve"> </w:t>
      </w:r>
      <w:r>
        <w:rPr>
          <w:spacing w:val="-2"/>
        </w:rPr>
        <w:t>opinion</w:t>
      </w:r>
      <w:r>
        <w:rPr>
          <w:spacing w:val="22"/>
        </w:rPr>
        <w:t xml:space="preserve"> </w:t>
      </w:r>
      <w:r>
        <w:rPr>
          <w:spacing w:val="-1"/>
        </w:rPr>
        <w:t>is</w:t>
      </w:r>
      <w:r>
        <w:rPr>
          <w:spacing w:val="20"/>
        </w:rPr>
        <w:t xml:space="preserve"> </w:t>
      </w:r>
      <w:r>
        <w:rPr>
          <w:spacing w:val="-1"/>
        </w:rPr>
        <w:t>reasonable</w:t>
      </w:r>
      <w:r>
        <w:rPr>
          <w:spacing w:val="19"/>
        </w:rPr>
        <w:t xml:space="preserve"> </w:t>
      </w:r>
      <w:r>
        <w:rPr>
          <w:spacing w:val="-1"/>
        </w:rPr>
        <w:t>and</w:t>
      </w:r>
      <w:r>
        <w:rPr>
          <w:spacing w:val="22"/>
        </w:rPr>
        <w:t xml:space="preserve"> </w:t>
      </w:r>
      <w:r>
        <w:rPr>
          <w:spacing w:val="-1"/>
        </w:rPr>
        <w:t>the</w:t>
      </w:r>
      <w:r>
        <w:rPr>
          <w:spacing w:val="33"/>
        </w:rPr>
        <w:t xml:space="preserve"> </w:t>
      </w:r>
      <w:r>
        <w:rPr>
          <w:spacing w:val="-1"/>
        </w:rPr>
        <w:t>decision</w:t>
      </w:r>
      <w:r>
        <w:rPr>
          <w:spacing w:val="7"/>
        </w:rPr>
        <w:t xml:space="preserve"> </w:t>
      </w:r>
      <w:r>
        <w:rPr>
          <w:spacing w:val="-1"/>
        </w:rPr>
        <w:t>of</w:t>
      </w:r>
      <w:r>
        <w:rPr>
          <w:spacing w:val="9"/>
        </w:rPr>
        <w:t xml:space="preserve"> </w:t>
      </w:r>
      <w:r>
        <w:t>the</w:t>
      </w:r>
      <w:r>
        <w:rPr>
          <w:spacing w:val="7"/>
        </w:rPr>
        <w:t xml:space="preserve"> </w:t>
      </w:r>
      <w:r>
        <w:rPr>
          <w:spacing w:val="-2"/>
        </w:rPr>
        <w:t>Customer</w:t>
      </w:r>
      <w:r>
        <w:rPr>
          <w:spacing w:val="9"/>
        </w:rPr>
        <w:t xml:space="preserve"> </w:t>
      </w:r>
      <w:r>
        <w:rPr>
          <w:spacing w:val="-1"/>
        </w:rPr>
        <w:t>on</w:t>
      </w:r>
      <w:r>
        <w:rPr>
          <w:spacing w:val="9"/>
        </w:rPr>
        <w:t xml:space="preserve"> </w:t>
      </w:r>
      <w:r>
        <w:rPr>
          <w:spacing w:val="-1"/>
        </w:rPr>
        <w:t>any</w:t>
      </w:r>
      <w:r>
        <w:rPr>
          <w:spacing w:val="5"/>
        </w:rPr>
        <w:t xml:space="preserve"> </w:t>
      </w:r>
      <w:r>
        <w:rPr>
          <w:spacing w:val="-1"/>
        </w:rPr>
        <w:t>matter</w:t>
      </w:r>
      <w:r>
        <w:rPr>
          <w:spacing w:val="9"/>
        </w:rPr>
        <w:t xml:space="preserve"> </w:t>
      </w:r>
      <w:r>
        <w:rPr>
          <w:spacing w:val="-2"/>
        </w:rPr>
        <w:t>arising</w:t>
      </w:r>
      <w:r>
        <w:rPr>
          <w:spacing w:val="10"/>
        </w:rPr>
        <w:t xml:space="preserve"> </w:t>
      </w:r>
      <w:r>
        <w:rPr>
          <w:spacing w:val="-2"/>
        </w:rPr>
        <w:t>out</w:t>
      </w:r>
      <w:r>
        <w:rPr>
          <w:spacing w:val="9"/>
        </w:rPr>
        <w:t xml:space="preserve"> </w:t>
      </w:r>
      <w:r>
        <w:rPr>
          <w:spacing w:val="-2"/>
        </w:rPr>
        <w:t>of</w:t>
      </w:r>
      <w:r>
        <w:rPr>
          <w:spacing w:val="9"/>
        </w:rPr>
        <w:t xml:space="preserve"> </w:t>
      </w:r>
      <w:r>
        <w:rPr>
          <w:spacing w:val="-1"/>
        </w:rPr>
        <w:t>this</w:t>
      </w:r>
      <w:r>
        <w:rPr>
          <w:spacing w:val="51"/>
        </w:rPr>
        <w:t xml:space="preserve"> </w:t>
      </w:r>
      <w:r>
        <w:rPr>
          <w:spacing w:val="-2"/>
        </w:rPr>
        <w:t>Clause</w:t>
      </w:r>
      <w:r>
        <w:rPr>
          <w:spacing w:val="1"/>
        </w:rPr>
        <w:t xml:space="preserve"> </w:t>
      </w:r>
      <w:r>
        <w:rPr>
          <w:spacing w:val="-1"/>
        </w:rPr>
        <w:t>shall</w:t>
      </w:r>
      <w:r>
        <w:t xml:space="preserve"> </w:t>
      </w:r>
      <w:r>
        <w:rPr>
          <w:spacing w:val="-1"/>
        </w:rPr>
        <w:t>be</w:t>
      </w:r>
      <w:r>
        <w:rPr>
          <w:spacing w:val="-2"/>
        </w:rPr>
        <w:t xml:space="preserve"> </w:t>
      </w:r>
      <w:r>
        <w:rPr>
          <w:spacing w:val="-1"/>
        </w:rPr>
        <w:t>final</w:t>
      </w:r>
      <w:r>
        <w:t xml:space="preserve"> </w:t>
      </w:r>
      <w:r>
        <w:rPr>
          <w:spacing w:val="-1"/>
        </w:rPr>
        <w:t>and</w:t>
      </w:r>
      <w:r>
        <w:rPr>
          <w:spacing w:val="-2"/>
        </w:rPr>
        <w:t xml:space="preserve"> </w:t>
      </w:r>
      <w:r>
        <w:rPr>
          <w:spacing w:val="-1"/>
        </w:rPr>
        <w:t>conclusive;</w:t>
      </w:r>
      <w:r>
        <w:rPr>
          <w:spacing w:val="2"/>
        </w:rPr>
        <w:t xml:space="preserve"> </w:t>
      </w:r>
      <w:r>
        <w:rPr>
          <w:spacing w:val="-1"/>
        </w:rPr>
        <w:t>and</w:t>
      </w:r>
    </w:p>
    <w:p w:rsidR="008918FA" w:rsidRDefault="008918FA" w:rsidP="008918FA">
      <w:pPr>
        <w:spacing w:before="9"/>
        <w:rPr>
          <w:rFonts w:ascii="Arial" w:eastAsia="Arial" w:hAnsi="Arial" w:cs="Arial"/>
          <w:sz w:val="20"/>
          <w:szCs w:val="20"/>
        </w:rPr>
      </w:pPr>
    </w:p>
    <w:p w:rsidR="008918FA" w:rsidRDefault="008918FA" w:rsidP="008918FA">
      <w:pPr>
        <w:pStyle w:val="BodyText"/>
        <w:spacing w:before="0"/>
        <w:ind w:left="3303" w:firstLine="0"/>
        <w:jc w:val="both"/>
      </w:pPr>
      <w:r>
        <w:rPr>
          <w:spacing w:val="-1"/>
        </w:rPr>
        <w:t>subject</w:t>
      </w:r>
      <w:r>
        <w:rPr>
          <w:spacing w:val="17"/>
        </w:rPr>
        <w:t xml:space="preserve"> </w:t>
      </w:r>
      <w:r>
        <w:t xml:space="preserve">to </w:t>
      </w:r>
      <w:r>
        <w:rPr>
          <w:spacing w:val="16"/>
        </w:rPr>
        <w:t xml:space="preserve"> </w:t>
      </w:r>
      <w:r>
        <w:t xml:space="preserve">the </w:t>
      </w:r>
      <w:r>
        <w:rPr>
          <w:spacing w:val="16"/>
        </w:rPr>
        <w:t xml:space="preserve"> </w:t>
      </w:r>
      <w:r>
        <w:rPr>
          <w:spacing w:val="-2"/>
        </w:rPr>
        <w:t>operation</w:t>
      </w:r>
      <w:r>
        <w:t xml:space="preserve"> </w:t>
      </w:r>
      <w:r>
        <w:rPr>
          <w:spacing w:val="16"/>
        </w:rPr>
        <w:t xml:space="preserve"> </w:t>
      </w:r>
      <w:r>
        <w:rPr>
          <w:spacing w:val="-1"/>
        </w:rPr>
        <w:t>of</w:t>
      </w:r>
      <w:r>
        <w:t xml:space="preserve"> </w:t>
      </w:r>
      <w:r>
        <w:rPr>
          <w:spacing w:val="20"/>
        </w:rPr>
        <w:t xml:space="preserve"> </w:t>
      </w:r>
      <w:r>
        <w:rPr>
          <w:spacing w:val="-1"/>
        </w:rPr>
        <w:t>Clauses</w:t>
      </w:r>
      <w:r>
        <w:t xml:space="preserve"> </w:t>
      </w:r>
      <w:r>
        <w:rPr>
          <w:spacing w:val="16"/>
        </w:rPr>
        <w:t xml:space="preserve"> </w:t>
      </w:r>
      <w:r>
        <w:rPr>
          <w:spacing w:val="-1"/>
        </w:rPr>
        <w:t>58.15.3,</w:t>
      </w:r>
      <w:r>
        <w:t xml:space="preserve"> </w:t>
      </w:r>
      <w:r>
        <w:rPr>
          <w:spacing w:val="15"/>
        </w:rPr>
        <w:t xml:space="preserve"> </w:t>
      </w:r>
      <w:r>
        <w:rPr>
          <w:spacing w:val="-1"/>
        </w:rPr>
        <w:t>58.15.4,</w:t>
      </w:r>
    </w:p>
    <w:p w:rsidR="008918FA" w:rsidRDefault="008918FA" w:rsidP="008918FA">
      <w:pPr>
        <w:pStyle w:val="BodyText"/>
        <w:spacing w:before="1"/>
        <w:ind w:left="3303" w:right="114" w:firstLine="0"/>
        <w:jc w:val="both"/>
      </w:pPr>
      <w:r>
        <w:rPr>
          <w:spacing w:val="-1"/>
        </w:rPr>
        <w:t>58.15.5</w:t>
      </w:r>
      <w:r>
        <w:rPr>
          <w:spacing w:val="24"/>
        </w:rPr>
        <w:t xml:space="preserve"> </w:t>
      </w:r>
      <w:r>
        <w:rPr>
          <w:spacing w:val="-1"/>
        </w:rPr>
        <w:t>and</w:t>
      </w:r>
      <w:r>
        <w:rPr>
          <w:spacing w:val="24"/>
        </w:rPr>
        <w:t xml:space="preserve"> </w:t>
      </w:r>
      <w:r>
        <w:rPr>
          <w:spacing w:val="-1"/>
        </w:rPr>
        <w:t>58.15.6</w:t>
      </w:r>
      <w:r>
        <w:rPr>
          <w:spacing w:val="24"/>
        </w:rPr>
        <w:t xml:space="preserve"> </w:t>
      </w:r>
      <w:r>
        <w:rPr>
          <w:spacing w:val="-1"/>
        </w:rPr>
        <w:t>termination</w:t>
      </w:r>
      <w:r>
        <w:rPr>
          <w:spacing w:val="24"/>
        </w:rPr>
        <w:t xml:space="preserve"> </w:t>
      </w:r>
      <w:r>
        <w:rPr>
          <w:spacing w:val="-2"/>
        </w:rPr>
        <w:t>of</w:t>
      </w:r>
      <w:r>
        <w:rPr>
          <w:spacing w:val="28"/>
        </w:rPr>
        <w:t xml:space="preserve"> </w:t>
      </w:r>
      <w:r>
        <w:rPr>
          <w:spacing w:val="-1"/>
        </w:rPr>
        <w:t>this</w:t>
      </w:r>
      <w:r>
        <w:rPr>
          <w:spacing w:val="25"/>
        </w:rPr>
        <w:t xml:space="preserve"> </w:t>
      </w:r>
      <w:r>
        <w:rPr>
          <w:spacing w:val="-2"/>
        </w:rPr>
        <w:t>Call</w:t>
      </w:r>
      <w:r>
        <w:rPr>
          <w:spacing w:val="24"/>
        </w:rPr>
        <w:t xml:space="preserve"> </w:t>
      </w:r>
      <w:r>
        <w:rPr>
          <w:spacing w:val="-1"/>
        </w:rPr>
        <w:t>Off</w:t>
      </w:r>
      <w:r>
        <w:rPr>
          <w:spacing w:val="26"/>
        </w:rPr>
        <w:t xml:space="preserve"> </w:t>
      </w:r>
      <w:r>
        <w:rPr>
          <w:spacing w:val="-1"/>
        </w:rPr>
        <w:t>Contract</w:t>
      </w:r>
      <w:r>
        <w:rPr>
          <w:spacing w:val="41"/>
        </w:rPr>
        <w:t xml:space="preserve"> </w:t>
      </w:r>
      <w:r>
        <w:rPr>
          <w:spacing w:val="-1"/>
        </w:rPr>
        <w:t>shall</w:t>
      </w:r>
      <w:r>
        <w:rPr>
          <w:spacing w:val="7"/>
        </w:rPr>
        <w:t xml:space="preserve"> </w:t>
      </w:r>
      <w:r>
        <w:rPr>
          <w:spacing w:val="-1"/>
        </w:rPr>
        <w:t>be</w:t>
      </w:r>
      <w:r>
        <w:rPr>
          <w:spacing w:val="10"/>
        </w:rPr>
        <w:t xml:space="preserve"> </w:t>
      </w:r>
      <w:r>
        <w:rPr>
          <w:spacing w:val="-2"/>
        </w:rPr>
        <w:t>without</w:t>
      </w:r>
      <w:r>
        <w:rPr>
          <w:spacing w:val="9"/>
        </w:rPr>
        <w:t xml:space="preserve"> </w:t>
      </w:r>
      <w:r>
        <w:rPr>
          <w:spacing w:val="-1"/>
        </w:rPr>
        <w:t>prejudice</w:t>
      </w:r>
      <w:r>
        <w:rPr>
          <w:spacing w:val="7"/>
        </w:rPr>
        <w:t xml:space="preserve"> </w:t>
      </w:r>
      <w:r>
        <w:t>to</w:t>
      </w:r>
      <w:r>
        <w:rPr>
          <w:spacing w:val="7"/>
        </w:rPr>
        <w:t xml:space="preserve"> </w:t>
      </w:r>
      <w:r>
        <w:rPr>
          <w:spacing w:val="-1"/>
        </w:rPr>
        <w:t>any</w:t>
      </w:r>
      <w:r>
        <w:rPr>
          <w:spacing w:val="5"/>
        </w:rPr>
        <w:t xml:space="preserve"> </w:t>
      </w:r>
      <w:r>
        <w:rPr>
          <w:spacing w:val="-1"/>
        </w:rPr>
        <w:t>rights</w:t>
      </w:r>
      <w:r>
        <w:rPr>
          <w:spacing w:val="8"/>
        </w:rPr>
        <w:t xml:space="preserve"> </w:t>
      </w:r>
      <w:r>
        <w:rPr>
          <w:spacing w:val="-2"/>
        </w:rPr>
        <w:t>of</w:t>
      </w:r>
      <w:r>
        <w:rPr>
          <w:spacing w:val="11"/>
        </w:rPr>
        <w:t xml:space="preserve"> </w:t>
      </w:r>
      <w:r>
        <w:rPr>
          <w:spacing w:val="-1"/>
        </w:rPr>
        <w:t>either</w:t>
      </w:r>
      <w:r>
        <w:rPr>
          <w:spacing w:val="6"/>
        </w:rPr>
        <w:t xml:space="preserve"> </w:t>
      </w:r>
      <w:r>
        <w:rPr>
          <w:spacing w:val="-1"/>
        </w:rPr>
        <w:t>party</w:t>
      </w:r>
      <w:r>
        <w:rPr>
          <w:spacing w:val="5"/>
        </w:rPr>
        <w:t xml:space="preserve"> </w:t>
      </w:r>
      <w:r>
        <w:rPr>
          <w:spacing w:val="-1"/>
        </w:rPr>
        <w:t>that</w:t>
      </w:r>
      <w:r>
        <w:rPr>
          <w:spacing w:val="43"/>
        </w:rPr>
        <w:t xml:space="preserve"> </w:t>
      </w:r>
      <w:r>
        <w:rPr>
          <w:spacing w:val="-1"/>
        </w:rPr>
        <w:t>may</w:t>
      </w:r>
      <w:r>
        <w:rPr>
          <w:spacing w:val="-2"/>
        </w:rPr>
        <w:t xml:space="preserve"> have</w:t>
      </w:r>
      <w:r>
        <w:rPr>
          <w:spacing w:val="1"/>
        </w:rPr>
        <w:t xml:space="preserve"> </w:t>
      </w:r>
      <w:r>
        <w:rPr>
          <w:spacing w:val="-1"/>
        </w:rPr>
        <w:t>accrued</w:t>
      </w:r>
      <w:r>
        <w:t xml:space="preserve"> </w:t>
      </w:r>
      <w:r>
        <w:rPr>
          <w:spacing w:val="-2"/>
        </w:rPr>
        <w:t>before</w:t>
      </w:r>
      <w:r>
        <w:t xml:space="preserve"> the</w:t>
      </w:r>
      <w:r>
        <w:rPr>
          <w:spacing w:val="-2"/>
        </w:rPr>
        <w:t xml:space="preserve"> </w:t>
      </w:r>
      <w:r>
        <w:rPr>
          <w:spacing w:val="-1"/>
        </w:rPr>
        <w:t>date</w:t>
      </w:r>
      <w:r>
        <w:rPr>
          <w:spacing w:val="-2"/>
        </w:rPr>
        <w:t xml:space="preserve"> of</w:t>
      </w:r>
      <w:r>
        <w:rPr>
          <w:spacing w:val="2"/>
        </w:rPr>
        <w:t xml:space="preserve"> </w:t>
      </w:r>
      <w:r>
        <w:rPr>
          <w:spacing w:val="-1"/>
        </w:rPr>
        <w:t>such</w:t>
      </w:r>
      <w:r>
        <w:rPr>
          <w:spacing w:val="-2"/>
        </w:rPr>
        <w:t xml:space="preserve"> </w:t>
      </w:r>
      <w:r>
        <w:rPr>
          <w:spacing w:val="-1"/>
        </w:rPr>
        <w:t>termination.</w:t>
      </w:r>
    </w:p>
    <w:p w:rsidR="008918FA" w:rsidRDefault="008918FA" w:rsidP="008918FA">
      <w:pPr>
        <w:spacing w:before="8"/>
        <w:rPr>
          <w:rFonts w:ascii="Arial" w:eastAsia="Arial" w:hAnsi="Arial" w:cs="Arial"/>
          <w:sz w:val="20"/>
          <w:szCs w:val="20"/>
        </w:rPr>
      </w:pPr>
    </w:p>
    <w:p w:rsidR="008918FA" w:rsidRDefault="008918FA" w:rsidP="008918FA">
      <w:pPr>
        <w:pStyle w:val="BodyText"/>
        <w:numPr>
          <w:ilvl w:val="0"/>
          <w:numId w:val="4"/>
        </w:numPr>
        <w:tabs>
          <w:tab w:val="left" w:pos="467"/>
        </w:tabs>
        <w:spacing w:before="0"/>
        <w:ind w:left="466"/>
        <w:jc w:val="left"/>
        <w:rPr>
          <w:rFonts w:ascii="Times New Roman" w:eastAsia="Times New Roman" w:hAnsi="Times New Roman" w:cs="Times New Roman"/>
        </w:rPr>
      </w:pPr>
      <w:r>
        <w:rPr>
          <w:rFonts w:ascii="Times New Roman"/>
          <w:spacing w:val="-2"/>
        </w:rPr>
        <w:t>NHS</w:t>
      </w:r>
      <w:r>
        <w:rPr>
          <w:rFonts w:ascii="Times New Roman"/>
          <w:spacing w:val="33"/>
        </w:rPr>
        <w:t xml:space="preserve"> </w:t>
      </w:r>
      <w:r>
        <w:rPr>
          <w:rFonts w:ascii="Times New Roman"/>
          <w:spacing w:val="-3"/>
        </w:rPr>
        <w:t>ADDITIONAL</w:t>
      </w:r>
      <w:r>
        <w:rPr>
          <w:rFonts w:ascii="Times New Roman"/>
          <w:spacing w:val="7"/>
        </w:rPr>
        <w:t xml:space="preserve"> </w:t>
      </w:r>
      <w:r>
        <w:rPr>
          <w:rFonts w:ascii="Times New Roman"/>
          <w:spacing w:val="6"/>
        </w:rPr>
        <w:t>CLAUSES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numPr>
          <w:ilvl w:val="1"/>
          <w:numId w:val="4"/>
        </w:numPr>
        <w:tabs>
          <w:tab w:val="left" w:pos="829"/>
        </w:tabs>
        <w:spacing w:before="0"/>
        <w:ind w:left="828" w:hanging="359"/>
      </w:pPr>
      <w:bookmarkStart w:id="536" w:name="_bookmark448"/>
      <w:bookmarkEnd w:id="536"/>
      <w:r>
        <w:t>The</w:t>
      </w:r>
      <w:r>
        <w:rPr>
          <w:spacing w:val="-4"/>
        </w:rPr>
        <w:t xml:space="preserve"> </w:t>
      </w:r>
      <w:r>
        <w:rPr>
          <w:spacing w:val="-2"/>
        </w:rPr>
        <w:t>following</w:t>
      </w:r>
      <w:r>
        <w:rPr>
          <w:spacing w:val="3"/>
        </w:rPr>
        <w:t xml:space="preserve"> </w:t>
      </w:r>
      <w:r>
        <w:rPr>
          <w:spacing w:val="-1"/>
        </w:rPr>
        <w:t>new</w:t>
      </w:r>
      <w:r>
        <w:rPr>
          <w:spacing w:val="-3"/>
        </w:rPr>
        <w:t xml:space="preserve"> </w:t>
      </w:r>
      <w:r>
        <w:rPr>
          <w:spacing w:val="-1"/>
        </w:rPr>
        <w:t>Clause</w:t>
      </w:r>
      <w:r>
        <w:t xml:space="preserve"> </w:t>
      </w:r>
      <w:r>
        <w:rPr>
          <w:spacing w:val="-1"/>
        </w:rPr>
        <w:t>[57]</w:t>
      </w:r>
      <w:r>
        <w:rPr>
          <w:spacing w:val="2"/>
        </w:rPr>
        <w:t xml:space="preserve"> </w:t>
      </w:r>
      <w:r>
        <w:rPr>
          <w:spacing w:val="-1"/>
        </w:rPr>
        <w:t>shall</w:t>
      </w:r>
      <w:r>
        <w:t xml:space="preserve"> </w:t>
      </w:r>
      <w:r>
        <w:rPr>
          <w:spacing w:val="-2"/>
        </w:rPr>
        <w:t>apply:</w:t>
      </w:r>
    </w:p>
    <w:p w:rsidR="008918FA" w:rsidRDefault="008918FA" w:rsidP="008918FA">
      <w:pPr>
        <w:sectPr w:rsidR="008918FA">
          <w:pgSz w:w="11910" w:h="16840"/>
          <w:pgMar w:top="1480" w:right="1300" w:bottom="1180" w:left="1540" w:header="0" w:footer="987" w:gutter="0"/>
          <w:cols w:space="720"/>
        </w:sectPr>
      </w:pPr>
    </w:p>
    <w:p w:rsidR="008918FA" w:rsidRDefault="008918FA" w:rsidP="008918FA">
      <w:pPr>
        <w:pStyle w:val="Heading1"/>
        <w:numPr>
          <w:ilvl w:val="0"/>
          <w:numId w:val="2"/>
        </w:numPr>
        <w:tabs>
          <w:tab w:val="left" w:pos="1680"/>
        </w:tabs>
        <w:spacing w:before="57"/>
        <w:rPr>
          <w:b w:val="0"/>
          <w:bCs w:val="0"/>
        </w:rPr>
      </w:pPr>
      <w:r>
        <w:rPr>
          <w:spacing w:val="-1"/>
          <w:highlight w:val="yellow"/>
        </w:rPr>
        <w:t>[CODING</w:t>
      </w:r>
      <w:r>
        <w:rPr>
          <w:spacing w:val="2"/>
          <w:highlight w:val="yellow"/>
        </w:rPr>
        <w:t xml:space="preserve"> </w:t>
      </w:r>
      <w:r>
        <w:rPr>
          <w:spacing w:val="-2"/>
          <w:highlight w:val="yellow"/>
        </w:rPr>
        <w:t>REQUIREMENTS]</w:t>
      </w:r>
    </w:p>
    <w:p w:rsidR="008918FA" w:rsidRDefault="008918FA" w:rsidP="008918FA">
      <w:pPr>
        <w:spacing w:before="11"/>
        <w:rPr>
          <w:rFonts w:ascii="Arial" w:eastAsia="Arial" w:hAnsi="Arial" w:cs="Arial"/>
          <w:b/>
          <w:bCs/>
          <w:sz w:val="20"/>
          <w:szCs w:val="20"/>
        </w:rPr>
      </w:pPr>
    </w:p>
    <w:p w:rsidR="008918FA" w:rsidRDefault="008918FA" w:rsidP="008918FA">
      <w:pPr>
        <w:pStyle w:val="BodyText"/>
        <w:numPr>
          <w:ilvl w:val="1"/>
          <w:numId w:val="2"/>
        </w:numPr>
        <w:tabs>
          <w:tab w:val="left" w:pos="2564"/>
        </w:tabs>
        <w:spacing w:before="0"/>
        <w:ind w:right="113"/>
        <w:jc w:val="both"/>
      </w:pPr>
      <w:bookmarkStart w:id="537" w:name="_bookmark449"/>
      <w:bookmarkEnd w:id="537"/>
      <w:r>
        <w:rPr>
          <w:spacing w:val="-2"/>
        </w:rPr>
        <w:t>Unless</w:t>
      </w:r>
      <w:r>
        <w:rPr>
          <w:spacing w:val="42"/>
        </w:rPr>
        <w:t xml:space="preserve"> </w:t>
      </w:r>
      <w:r>
        <w:rPr>
          <w:spacing w:val="-1"/>
        </w:rPr>
        <w:t>otherwise</w:t>
      </w:r>
      <w:r>
        <w:rPr>
          <w:spacing w:val="41"/>
        </w:rPr>
        <w:t xml:space="preserve"> </w:t>
      </w:r>
      <w:r>
        <w:rPr>
          <w:spacing w:val="-1"/>
        </w:rPr>
        <w:t>confirmed</w:t>
      </w:r>
      <w:r>
        <w:rPr>
          <w:spacing w:val="41"/>
        </w:rPr>
        <w:t xml:space="preserve"> </w:t>
      </w:r>
      <w:r>
        <w:rPr>
          <w:spacing w:val="-1"/>
        </w:rPr>
        <w:t>and/or</w:t>
      </w:r>
      <w:r>
        <w:rPr>
          <w:spacing w:val="42"/>
        </w:rPr>
        <w:t xml:space="preserve"> </w:t>
      </w:r>
      <w:r>
        <w:rPr>
          <w:spacing w:val="-1"/>
        </w:rPr>
        <w:t>agreed</w:t>
      </w:r>
      <w:r>
        <w:rPr>
          <w:spacing w:val="41"/>
        </w:rPr>
        <w:t xml:space="preserve"> </w:t>
      </w:r>
      <w:r>
        <w:rPr>
          <w:spacing w:val="-1"/>
        </w:rPr>
        <w:t>by</w:t>
      </w:r>
      <w:r>
        <w:rPr>
          <w:spacing w:val="39"/>
        </w:rPr>
        <w:t xml:space="preserve"> </w:t>
      </w:r>
      <w:r>
        <w:t>the</w:t>
      </w:r>
      <w:r>
        <w:rPr>
          <w:spacing w:val="42"/>
        </w:rPr>
        <w:t xml:space="preserve"> </w:t>
      </w:r>
      <w:r>
        <w:rPr>
          <w:spacing w:val="-1"/>
        </w:rPr>
        <w:t>Customer</w:t>
      </w:r>
      <w:r>
        <w:rPr>
          <w:spacing w:val="42"/>
        </w:rPr>
        <w:t xml:space="preserve"> </w:t>
      </w:r>
      <w:r>
        <w:rPr>
          <w:spacing w:val="-1"/>
        </w:rPr>
        <w:t>in</w:t>
      </w:r>
      <w:r>
        <w:rPr>
          <w:spacing w:val="45"/>
        </w:rPr>
        <w:t xml:space="preserve"> </w:t>
      </w:r>
      <w:r>
        <w:rPr>
          <w:spacing w:val="-2"/>
        </w:rPr>
        <w:t>writing</w:t>
      </w:r>
      <w:r>
        <w:rPr>
          <w:spacing w:val="60"/>
        </w:rPr>
        <w:t xml:space="preserve"> </w:t>
      </w:r>
      <w:r>
        <w:rPr>
          <w:spacing w:val="-1"/>
        </w:rPr>
        <w:t>and</w:t>
      </w:r>
      <w:r>
        <w:rPr>
          <w:spacing w:val="58"/>
        </w:rPr>
        <w:t xml:space="preserve"> </w:t>
      </w:r>
      <w:r>
        <w:rPr>
          <w:spacing w:val="-1"/>
        </w:rPr>
        <w:t>subject</w:t>
      </w:r>
      <w:r>
        <w:rPr>
          <w:spacing w:val="60"/>
        </w:rPr>
        <w:t xml:space="preserve"> </w:t>
      </w:r>
      <w:r>
        <w:t>to</w:t>
      </w:r>
      <w:r>
        <w:rPr>
          <w:spacing w:val="58"/>
        </w:rPr>
        <w:t xml:space="preserve"> </w:t>
      </w:r>
      <w:r>
        <w:rPr>
          <w:spacing w:val="-2"/>
        </w:rPr>
        <w:t>Clause</w:t>
      </w:r>
      <w:r>
        <w:rPr>
          <w:spacing w:val="60"/>
        </w:rPr>
        <w:t xml:space="preserve"> </w:t>
      </w:r>
      <w:hyperlink w:anchor="_bookmark450" w:history="1">
        <w:r>
          <w:rPr>
            <w:spacing w:val="-1"/>
          </w:rPr>
          <w:t>57.2</w:t>
        </w:r>
      </w:hyperlink>
      <w:r>
        <w:rPr>
          <w:spacing w:val="-1"/>
        </w:rPr>
        <w:t>,</w:t>
      </w:r>
      <w:r>
        <w:rPr>
          <w:spacing w:val="59"/>
        </w:rPr>
        <w:t xml:space="preserve"> </w:t>
      </w:r>
      <w:r>
        <w:t>the</w:t>
      </w:r>
      <w:r>
        <w:rPr>
          <w:spacing w:val="59"/>
        </w:rPr>
        <w:t xml:space="preserve"> </w:t>
      </w:r>
      <w:r>
        <w:rPr>
          <w:spacing w:val="-1"/>
        </w:rPr>
        <w:t>Supplier</w:t>
      </w:r>
      <w:r>
        <w:rPr>
          <w:spacing w:val="59"/>
        </w:rPr>
        <w:t xml:space="preserve"> </w:t>
      </w:r>
      <w:r>
        <w:rPr>
          <w:spacing w:val="-1"/>
        </w:rPr>
        <w:t>shall</w:t>
      </w:r>
      <w:r>
        <w:rPr>
          <w:spacing w:val="57"/>
        </w:rPr>
        <w:t xml:space="preserve"> </w:t>
      </w:r>
      <w:r>
        <w:rPr>
          <w:spacing w:val="-1"/>
        </w:rPr>
        <w:t>ensure</w:t>
      </w:r>
      <w:r>
        <w:rPr>
          <w:spacing w:val="53"/>
        </w:rPr>
        <w:t xml:space="preserve"> </w:t>
      </w:r>
      <w:r>
        <w:rPr>
          <w:spacing w:val="-1"/>
        </w:rPr>
        <w:t>comprehensive</w:t>
      </w:r>
      <w:r>
        <w:rPr>
          <w:spacing w:val="31"/>
        </w:rPr>
        <w:t xml:space="preserve"> </w:t>
      </w:r>
      <w:r>
        <w:rPr>
          <w:spacing w:val="-1"/>
        </w:rPr>
        <w:t>product</w:t>
      </w:r>
      <w:r>
        <w:rPr>
          <w:spacing w:val="33"/>
        </w:rPr>
        <w:t xml:space="preserve"> </w:t>
      </w:r>
      <w:r>
        <w:rPr>
          <w:spacing w:val="-1"/>
        </w:rPr>
        <w:t>information</w:t>
      </w:r>
      <w:r>
        <w:rPr>
          <w:spacing w:val="31"/>
        </w:rPr>
        <w:t xml:space="preserve"> </w:t>
      </w:r>
      <w:r>
        <w:rPr>
          <w:spacing w:val="-1"/>
        </w:rPr>
        <w:t>relating</w:t>
      </w:r>
      <w:r>
        <w:rPr>
          <w:spacing w:val="31"/>
        </w:rPr>
        <w:t xml:space="preserve"> </w:t>
      </w:r>
      <w:r>
        <w:t>to</w:t>
      </w:r>
      <w:r>
        <w:rPr>
          <w:spacing w:val="31"/>
        </w:rPr>
        <w:t xml:space="preserve"> </w:t>
      </w:r>
      <w:r>
        <w:rPr>
          <w:spacing w:val="-1"/>
        </w:rPr>
        <w:t>each</w:t>
      </w:r>
      <w:r>
        <w:rPr>
          <w:spacing w:val="32"/>
        </w:rPr>
        <w:t xml:space="preserve"> </w:t>
      </w:r>
      <w:r>
        <w:rPr>
          <w:spacing w:val="-1"/>
        </w:rPr>
        <w:t>category</w:t>
      </w:r>
      <w:r>
        <w:rPr>
          <w:spacing w:val="30"/>
        </w:rPr>
        <w:t xml:space="preserve"> </w:t>
      </w:r>
      <w:r>
        <w:rPr>
          <w:spacing w:val="-1"/>
        </w:rPr>
        <w:t>of</w:t>
      </w:r>
      <w:r>
        <w:rPr>
          <w:spacing w:val="30"/>
        </w:rPr>
        <w:t xml:space="preserve"> </w:t>
      </w:r>
      <w:r>
        <w:t>the</w:t>
      </w:r>
      <w:r>
        <w:rPr>
          <w:spacing w:val="34"/>
        </w:rPr>
        <w:t xml:space="preserve"> </w:t>
      </w:r>
      <w:r>
        <w:rPr>
          <w:spacing w:val="-1"/>
        </w:rPr>
        <w:t>Goods</w:t>
      </w:r>
      <w:r>
        <w:rPr>
          <w:spacing w:val="34"/>
        </w:rPr>
        <w:t xml:space="preserve"> </w:t>
      </w:r>
      <w:r>
        <w:rPr>
          <w:spacing w:val="-1"/>
        </w:rPr>
        <w:t>shall</w:t>
      </w:r>
      <w:r>
        <w:rPr>
          <w:spacing w:val="33"/>
        </w:rPr>
        <w:t xml:space="preserve"> </w:t>
      </w:r>
      <w:r>
        <w:rPr>
          <w:spacing w:val="-1"/>
        </w:rPr>
        <w:t>be</w:t>
      </w:r>
      <w:r>
        <w:rPr>
          <w:spacing w:val="34"/>
        </w:rPr>
        <w:t xml:space="preserve"> </w:t>
      </w:r>
      <w:r>
        <w:rPr>
          <w:spacing w:val="-1"/>
        </w:rPr>
        <w:t>placed</w:t>
      </w:r>
      <w:r>
        <w:rPr>
          <w:spacing w:val="34"/>
        </w:rPr>
        <w:t xml:space="preserve"> </w:t>
      </w:r>
      <w:r>
        <w:rPr>
          <w:spacing w:val="-1"/>
        </w:rPr>
        <w:t>by</w:t>
      </w:r>
      <w:r>
        <w:rPr>
          <w:spacing w:val="32"/>
        </w:rPr>
        <w:t xml:space="preserve"> </w:t>
      </w:r>
      <w:r>
        <w:t>the</w:t>
      </w:r>
      <w:r>
        <w:rPr>
          <w:spacing w:val="35"/>
        </w:rPr>
        <w:t xml:space="preserve"> </w:t>
      </w:r>
      <w:r>
        <w:rPr>
          <w:spacing w:val="-2"/>
        </w:rPr>
        <w:t>Supplier</w:t>
      </w:r>
      <w:r>
        <w:rPr>
          <w:spacing w:val="35"/>
        </w:rPr>
        <w:t xml:space="preserve"> </w:t>
      </w:r>
      <w:r>
        <w:rPr>
          <w:spacing w:val="-1"/>
        </w:rPr>
        <w:t>into</w:t>
      </w:r>
      <w:r>
        <w:rPr>
          <w:spacing w:val="34"/>
        </w:rPr>
        <w:t xml:space="preserve"> </w:t>
      </w:r>
      <w:r>
        <w:t>a</w:t>
      </w:r>
      <w:r>
        <w:rPr>
          <w:spacing w:val="34"/>
        </w:rPr>
        <w:t xml:space="preserve"> </w:t>
      </w:r>
      <w:r>
        <w:t>GS1</w:t>
      </w:r>
      <w:r>
        <w:rPr>
          <w:spacing w:val="34"/>
        </w:rPr>
        <w:t xml:space="preserve"> </w:t>
      </w:r>
      <w:r>
        <w:rPr>
          <w:spacing w:val="-1"/>
        </w:rPr>
        <w:t>certified</w:t>
      </w:r>
      <w:r>
        <w:rPr>
          <w:spacing w:val="32"/>
        </w:rPr>
        <w:t xml:space="preserve"> </w:t>
      </w:r>
      <w:r>
        <w:rPr>
          <w:spacing w:val="-1"/>
        </w:rPr>
        <w:t>data</w:t>
      </w:r>
      <w:r>
        <w:t xml:space="preserve"> </w:t>
      </w:r>
      <w:r>
        <w:rPr>
          <w:spacing w:val="-1"/>
        </w:rPr>
        <w:t>pool</w:t>
      </w:r>
      <w:r>
        <w:t xml:space="preserve"> </w:t>
      </w:r>
      <w:r>
        <w:rPr>
          <w:spacing w:val="-2"/>
        </w:rPr>
        <w:t>within</w:t>
      </w:r>
      <w:r>
        <w:t xml:space="preserve"> the</w:t>
      </w:r>
      <w:r>
        <w:rPr>
          <w:spacing w:val="-4"/>
        </w:rPr>
        <w:t xml:space="preserve"> </w:t>
      </w:r>
      <w:r>
        <w:rPr>
          <w:spacing w:val="-1"/>
        </w:rPr>
        <w:t>following</w:t>
      </w:r>
      <w:r>
        <w:t xml:space="preserve"> </w:t>
      </w:r>
      <w:r>
        <w:rPr>
          <w:spacing w:val="-1"/>
        </w:rPr>
        <w:t>timescales:</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2"/>
        </w:numPr>
        <w:tabs>
          <w:tab w:val="left" w:pos="3304"/>
        </w:tabs>
        <w:spacing w:before="0"/>
        <w:ind w:right="114"/>
        <w:jc w:val="both"/>
      </w:pPr>
      <w:r>
        <w:rPr>
          <w:spacing w:val="-1"/>
        </w:rPr>
        <w:t>Prior</w:t>
      </w:r>
      <w:r>
        <w:rPr>
          <w:spacing w:val="21"/>
        </w:rPr>
        <w:t xml:space="preserve"> </w:t>
      </w:r>
      <w:r>
        <w:t>to</w:t>
      </w:r>
      <w:r>
        <w:rPr>
          <w:spacing w:val="20"/>
        </w:rPr>
        <w:t xml:space="preserve"> </w:t>
      </w:r>
      <w:r>
        <w:rPr>
          <w:spacing w:val="-1"/>
        </w:rPr>
        <w:t>or</w:t>
      </w:r>
      <w:r>
        <w:rPr>
          <w:spacing w:val="21"/>
        </w:rPr>
        <w:t xml:space="preserve"> </w:t>
      </w:r>
      <w:r>
        <w:rPr>
          <w:spacing w:val="-1"/>
        </w:rPr>
        <w:t>on</w:t>
      </w:r>
      <w:r>
        <w:rPr>
          <w:spacing w:val="17"/>
        </w:rPr>
        <w:t xml:space="preserve"> </w:t>
      </w:r>
      <w:r>
        <w:t>the</w:t>
      </w:r>
      <w:r>
        <w:rPr>
          <w:spacing w:val="19"/>
        </w:rPr>
        <w:t xml:space="preserve"> </w:t>
      </w:r>
      <w:r>
        <w:rPr>
          <w:spacing w:val="-1"/>
        </w:rPr>
        <w:t>Commencement</w:t>
      </w:r>
      <w:r>
        <w:rPr>
          <w:spacing w:val="21"/>
        </w:rPr>
        <w:t xml:space="preserve"> </w:t>
      </w:r>
      <w:r>
        <w:rPr>
          <w:spacing w:val="-1"/>
        </w:rPr>
        <w:t>Date,</w:t>
      </w:r>
      <w:r>
        <w:rPr>
          <w:spacing w:val="21"/>
        </w:rPr>
        <w:t xml:space="preserve"> </w:t>
      </w:r>
      <w:r>
        <w:rPr>
          <w:spacing w:val="-1"/>
        </w:rPr>
        <w:t>in</w:t>
      </w:r>
      <w:r>
        <w:rPr>
          <w:spacing w:val="20"/>
        </w:rPr>
        <w:t xml:space="preserve"> </w:t>
      </w:r>
      <w:r>
        <w:rPr>
          <w:spacing w:val="-1"/>
        </w:rPr>
        <w:t>relation</w:t>
      </w:r>
      <w:r>
        <w:rPr>
          <w:spacing w:val="19"/>
        </w:rPr>
        <w:t xml:space="preserve"> </w:t>
      </w:r>
      <w:r>
        <w:t>to</w:t>
      </w:r>
      <w:r>
        <w:rPr>
          <w:spacing w:val="20"/>
        </w:rPr>
        <w:t xml:space="preserve"> </w:t>
      </w:r>
      <w:r>
        <w:rPr>
          <w:spacing w:val="-1"/>
        </w:rPr>
        <w:t>all</w:t>
      </w:r>
      <w:r>
        <w:rPr>
          <w:spacing w:val="26"/>
        </w:rPr>
        <w:t xml:space="preserve"> </w:t>
      </w:r>
      <w:r>
        <w:rPr>
          <w:spacing w:val="-1"/>
        </w:rPr>
        <w:t>categories</w:t>
      </w:r>
      <w:r>
        <w:rPr>
          <w:spacing w:val="8"/>
        </w:rPr>
        <w:t xml:space="preserve"> </w:t>
      </w:r>
      <w:r>
        <w:rPr>
          <w:spacing w:val="-2"/>
        </w:rPr>
        <w:t>of</w:t>
      </w:r>
      <w:r>
        <w:rPr>
          <w:spacing w:val="7"/>
        </w:rPr>
        <w:t xml:space="preserve"> </w:t>
      </w:r>
      <w:r>
        <w:rPr>
          <w:spacing w:val="-1"/>
        </w:rPr>
        <w:t>Goods</w:t>
      </w:r>
      <w:r>
        <w:rPr>
          <w:spacing w:val="5"/>
        </w:rPr>
        <w:t xml:space="preserve"> </w:t>
      </w:r>
      <w:r>
        <w:t>to</w:t>
      </w:r>
      <w:r>
        <w:rPr>
          <w:spacing w:val="7"/>
        </w:rPr>
        <w:t xml:space="preserve"> </w:t>
      </w:r>
      <w:r>
        <w:rPr>
          <w:spacing w:val="-2"/>
        </w:rPr>
        <w:t>be</w:t>
      </w:r>
      <w:r>
        <w:rPr>
          <w:spacing w:val="7"/>
        </w:rPr>
        <w:t xml:space="preserve"> </w:t>
      </w:r>
      <w:r>
        <w:rPr>
          <w:spacing w:val="-2"/>
        </w:rPr>
        <w:t>provided</w:t>
      </w:r>
      <w:r>
        <w:rPr>
          <w:spacing w:val="7"/>
        </w:rPr>
        <w:t xml:space="preserve"> </w:t>
      </w:r>
      <w:r>
        <w:rPr>
          <w:spacing w:val="-1"/>
        </w:rPr>
        <w:t>as</w:t>
      </w:r>
      <w:r>
        <w:rPr>
          <w:spacing w:val="8"/>
        </w:rPr>
        <w:t xml:space="preserve"> </w:t>
      </w:r>
      <w:r>
        <w:rPr>
          <w:spacing w:val="-1"/>
        </w:rPr>
        <w:t>part</w:t>
      </w:r>
      <w:r>
        <w:rPr>
          <w:spacing w:val="9"/>
        </w:rPr>
        <w:t xml:space="preserve"> </w:t>
      </w:r>
      <w:r>
        <w:rPr>
          <w:spacing w:val="-2"/>
        </w:rPr>
        <w:t>of</w:t>
      </w:r>
      <w:r>
        <w:rPr>
          <w:spacing w:val="9"/>
        </w:rPr>
        <w:t xml:space="preserve"> </w:t>
      </w:r>
      <w:r>
        <w:t>the</w:t>
      </w:r>
      <w:r>
        <w:rPr>
          <w:spacing w:val="5"/>
        </w:rPr>
        <w:t xml:space="preserve"> </w:t>
      </w:r>
      <w:r>
        <w:rPr>
          <w:spacing w:val="-2"/>
        </w:rPr>
        <w:t>Call</w:t>
      </w:r>
      <w:r>
        <w:rPr>
          <w:spacing w:val="2"/>
        </w:rPr>
        <w:t xml:space="preserve"> </w:t>
      </w:r>
      <w:r>
        <w:rPr>
          <w:spacing w:val="-1"/>
        </w:rPr>
        <w:t>Off</w:t>
      </w:r>
      <w:r>
        <w:rPr>
          <w:spacing w:val="51"/>
        </w:rPr>
        <w:t xml:space="preserve"> </w:t>
      </w:r>
      <w:r>
        <w:rPr>
          <w:spacing w:val="-1"/>
        </w:rPr>
        <w:t>Contract</w:t>
      </w:r>
      <w:r>
        <w:rPr>
          <w:spacing w:val="2"/>
        </w:rPr>
        <w:t xml:space="preserve"> </w:t>
      </w:r>
      <w:r>
        <w:rPr>
          <w:spacing w:val="-1"/>
        </w:rPr>
        <w:t>as</w:t>
      </w:r>
      <w:r>
        <w:rPr>
          <w:spacing w:val="-2"/>
        </w:rPr>
        <w:t xml:space="preserve"> </w:t>
      </w:r>
      <w:r>
        <w:rPr>
          <w:spacing w:val="-1"/>
        </w:rPr>
        <w:t>at</w:t>
      </w:r>
      <w:r>
        <w:t xml:space="preserve"> the</w:t>
      </w:r>
      <w:r>
        <w:rPr>
          <w:spacing w:val="-2"/>
        </w:rPr>
        <w:t xml:space="preserve"> </w:t>
      </w:r>
      <w:r>
        <w:rPr>
          <w:spacing w:val="-1"/>
        </w:rPr>
        <w:t>Commencement</w:t>
      </w:r>
      <w:r>
        <w:t xml:space="preserve"> </w:t>
      </w:r>
      <w:r>
        <w:rPr>
          <w:spacing w:val="-1"/>
        </w:rPr>
        <w:t>Date;</w:t>
      </w:r>
      <w:r>
        <w:rPr>
          <w:spacing w:val="2"/>
        </w:rPr>
        <w:t xml:space="preserve"> </w:t>
      </w:r>
      <w:r>
        <w:rPr>
          <w:spacing w:val="-2"/>
        </w:rPr>
        <w:t>or</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2"/>
        </w:numPr>
        <w:tabs>
          <w:tab w:val="left" w:pos="3304"/>
        </w:tabs>
        <w:spacing w:before="0"/>
        <w:ind w:right="116"/>
        <w:jc w:val="both"/>
      </w:pPr>
      <w:r>
        <w:rPr>
          <w:spacing w:val="-1"/>
        </w:rPr>
        <w:t>Where</w:t>
      </w:r>
      <w:r>
        <w:rPr>
          <w:spacing w:val="22"/>
        </w:rPr>
        <w:t xml:space="preserve"> </w:t>
      </w:r>
      <w:r>
        <w:rPr>
          <w:spacing w:val="-1"/>
        </w:rPr>
        <w:t>further</w:t>
      </w:r>
      <w:r>
        <w:rPr>
          <w:spacing w:val="26"/>
        </w:rPr>
        <w:t xml:space="preserve"> </w:t>
      </w:r>
      <w:r>
        <w:rPr>
          <w:spacing w:val="-1"/>
        </w:rPr>
        <w:t>categories</w:t>
      </w:r>
      <w:r>
        <w:rPr>
          <w:spacing w:val="25"/>
        </w:rPr>
        <w:t xml:space="preserve"> </w:t>
      </w:r>
      <w:r>
        <w:rPr>
          <w:spacing w:val="-2"/>
        </w:rPr>
        <w:t>of</w:t>
      </w:r>
      <w:r>
        <w:rPr>
          <w:spacing w:val="28"/>
        </w:rPr>
        <w:t xml:space="preserve"> </w:t>
      </w:r>
      <w:r>
        <w:rPr>
          <w:spacing w:val="-1"/>
        </w:rPr>
        <w:t>Goods</w:t>
      </w:r>
      <w:r>
        <w:rPr>
          <w:spacing w:val="25"/>
        </w:rPr>
        <w:t xml:space="preserve"> </w:t>
      </w:r>
      <w:r>
        <w:rPr>
          <w:spacing w:val="-1"/>
        </w:rPr>
        <w:t>are</w:t>
      </w:r>
      <w:r>
        <w:rPr>
          <w:spacing w:val="24"/>
        </w:rPr>
        <w:t xml:space="preserve"> </w:t>
      </w:r>
      <w:r>
        <w:t>to</w:t>
      </w:r>
      <w:r>
        <w:rPr>
          <w:spacing w:val="24"/>
        </w:rPr>
        <w:t xml:space="preserve"> </w:t>
      </w:r>
      <w:r>
        <w:rPr>
          <w:spacing w:val="-1"/>
        </w:rPr>
        <w:t>be</w:t>
      </w:r>
      <w:r>
        <w:rPr>
          <w:spacing w:val="24"/>
        </w:rPr>
        <w:t xml:space="preserve"> </w:t>
      </w:r>
      <w:r>
        <w:rPr>
          <w:spacing w:val="-2"/>
        </w:rPr>
        <w:t>supplied</w:t>
      </w:r>
      <w:r>
        <w:rPr>
          <w:spacing w:val="24"/>
        </w:rPr>
        <w:t xml:space="preserve"> </w:t>
      </w:r>
      <w:r>
        <w:rPr>
          <w:spacing w:val="-1"/>
        </w:rPr>
        <w:t>in</w:t>
      </w:r>
      <w:r>
        <w:rPr>
          <w:spacing w:val="39"/>
        </w:rPr>
        <w:t xml:space="preserve"> </w:t>
      </w:r>
      <w:r>
        <w:rPr>
          <w:spacing w:val="-1"/>
        </w:rPr>
        <w:t>accordance</w:t>
      </w:r>
      <w:r>
        <w:rPr>
          <w:spacing w:val="25"/>
        </w:rPr>
        <w:t xml:space="preserve"> </w:t>
      </w:r>
      <w:r>
        <w:rPr>
          <w:spacing w:val="-2"/>
        </w:rPr>
        <w:t>with</w:t>
      </w:r>
      <w:r>
        <w:rPr>
          <w:spacing w:val="24"/>
        </w:rPr>
        <w:t xml:space="preserve"> </w:t>
      </w:r>
      <w:r>
        <w:rPr>
          <w:spacing w:val="-1"/>
        </w:rPr>
        <w:t>any</w:t>
      </w:r>
      <w:r>
        <w:rPr>
          <w:spacing w:val="22"/>
        </w:rPr>
        <w:t xml:space="preserve"> </w:t>
      </w:r>
      <w:r>
        <w:rPr>
          <w:spacing w:val="-1"/>
        </w:rPr>
        <w:t>Variation,</w:t>
      </w:r>
      <w:r>
        <w:rPr>
          <w:spacing w:val="26"/>
        </w:rPr>
        <w:t xml:space="preserve"> </w:t>
      </w:r>
      <w:r>
        <w:rPr>
          <w:spacing w:val="-1"/>
        </w:rPr>
        <w:t>prior</w:t>
      </w:r>
      <w:r>
        <w:rPr>
          <w:spacing w:val="23"/>
        </w:rPr>
        <w:t xml:space="preserve"> </w:t>
      </w:r>
      <w:r>
        <w:t>to</w:t>
      </w:r>
      <w:r>
        <w:rPr>
          <w:spacing w:val="24"/>
        </w:rPr>
        <w:t xml:space="preserve"> </w:t>
      </w:r>
      <w:r>
        <w:rPr>
          <w:spacing w:val="-2"/>
        </w:rPr>
        <w:t>or</w:t>
      </w:r>
      <w:r>
        <w:rPr>
          <w:spacing w:val="26"/>
        </w:rPr>
        <w:t xml:space="preserve"> </w:t>
      </w:r>
      <w:r>
        <w:rPr>
          <w:spacing w:val="-1"/>
        </w:rPr>
        <w:t>on</w:t>
      </w:r>
      <w:r>
        <w:rPr>
          <w:spacing w:val="22"/>
        </w:rPr>
        <w:t xml:space="preserve"> </w:t>
      </w:r>
      <w:r>
        <w:rPr>
          <w:spacing w:val="-1"/>
        </w:rPr>
        <w:t>the</w:t>
      </w:r>
      <w:r>
        <w:rPr>
          <w:spacing w:val="24"/>
        </w:rPr>
        <w:t xml:space="preserve"> </w:t>
      </w:r>
      <w:r>
        <w:rPr>
          <w:spacing w:val="-1"/>
        </w:rPr>
        <w:t>date</w:t>
      </w:r>
      <w:r>
        <w:rPr>
          <w:spacing w:val="19"/>
        </w:rPr>
        <w:t xml:space="preserve"> </w:t>
      </w:r>
      <w:r>
        <w:rPr>
          <w:spacing w:val="-2"/>
        </w:rPr>
        <w:t>of</w:t>
      </w:r>
      <w:r>
        <w:rPr>
          <w:spacing w:val="37"/>
        </w:rPr>
        <w:t xml:space="preserve"> </w:t>
      </w:r>
      <w:r>
        <w:rPr>
          <w:spacing w:val="-1"/>
        </w:rPr>
        <w:t>implementation</w:t>
      </w:r>
      <w:r>
        <w:t xml:space="preserve"> </w:t>
      </w:r>
      <w:r>
        <w:rPr>
          <w:spacing w:val="-2"/>
        </w:rPr>
        <w:t>of</w:t>
      </w:r>
      <w:r>
        <w:rPr>
          <w:spacing w:val="2"/>
        </w:rPr>
        <w:t xml:space="preserve"> </w:t>
      </w:r>
      <w:r>
        <w:rPr>
          <w:spacing w:val="-1"/>
        </w:rPr>
        <w:t>such</w:t>
      </w:r>
      <w:r>
        <w:rPr>
          <w:spacing w:val="-4"/>
        </w:rPr>
        <w:t xml:space="preserve"> </w:t>
      </w:r>
      <w:r>
        <w:rPr>
          <w:spacing w:val="-1"/>
        </w:rPr>
        <w:t>Variation.</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1"/>
          <w:numId w:val="2"/>
        </w:numPr>
        <w:tabs>
          <w:tab w:val="left" w:pos="2564"/>
        </w:tabs>
        <w:spacing w:before="0"/>
        <w:ind w:left="2563" w:right="113"/>
        <w:jc w:val="both"/>
      </w:pPr>
      <w:bookmarkStart w:id="538" w:name="_bookmark450"/>
      <w:bookmarkEnd w:id="538"/>
      <w:r>
        <w:rPr>
          <w:spacing w:val="-1"/>
        </w:rPr>
        <w:t>Where</w:t>
      </w:r>
      <w:r>
        <w:rPr>
          <w:spacing w:val="27"/>
        </w:rPr>
        <w:t xml:space="preserve"> </w:t>
      </w:r>
      <w:r>
        <w:rPr>
          <w:spacing w:val="-1"/>
        </w:rPr>
        <w:t>it</w:t>
      </w:r>
      <w:r>
        <w:rPr>
          <w:spacing w:val="26"/>
        </w:rPr>
        <w:t xml:space="preserve"> </w:t>
      </w:r>
      <w:r>
        <w:rPr>
          <w:spacing w:val="-1"/>
        </w:rPr>
        <w:t>is</w:t>
      </w:r>
      <w:r>
        <w:rPr>
          <w:spacing w:val="27"/>
        </w:rPr>
        <w:t xml:space="preserve"> </w:t>
      </w:r>
      <w:r>
        <w:rPr>
          <w:spacing w:val="-2"/>
        </w:rPr>
        <w:t>not</w:t>
      </w:r>
      <w:r>
        <w:rPr>
          <w:spacing w:val="28"/>
        </w:rPr>
        <w:t xml:space="preserve"> </w:t>
      </w:r>
      <w:r>
        <w:rPr>
          <w:spacing w:val="-1"/>
        </w:rPr>
        <w:t>practical</w:t>
      </w:r>
      <w:r>
        <w:rPr>
          <w:spacing w:val="24"/>
        </w:rPr>
        <w:t xml:space="preserve"> </w:t>
      </w:r>
      <w:r>
        <w:t>for</w:t>
      </w:r>
      <w:r>
        <w:rPr>
          <w:spacing w:val="26"/>
        </w:rPr>
        <w:t xml:space="preserve"> </w:t>
      </w:r>
      <w:r>
        <w:rPr>
          <w:spacing w:val="-2"/>
        </w:rPr>
        <w:t>whatever</w:t>
      </w:r>
      <w:r>
        <w:rPr>
          <w:spacing w:val="28"/>
        </w:rPr>
        <w:t xml:space="preserve"> </w:t>
      </w:r>
      <w:r>
        <w:rPr>
          <w:spacing w:val="-1"/>
        </w:rPr>
        <w:t>reason</w:t>
      </w:r>
      <w:r>
        <w:rPr>
          <w:spacing w:val="24"/>
        </w:rPr>
        <w:t xml:space="preserve"> </w:t>
      </w:r>
      <w:r>
        <w:t>for</w:t>
      </w:r>
      <w:r>
        <w:rPr>
          <w:spacing w:val="26"/>
        </w:rPr>
        <w:t xml:space="preserve"> </w:t>
      </w:r>
      <w:r>
        <w:t>the</w:t>
      </w:r>
      <w:r>
        <w:rPr>
          <w:spacing w:val="27"/>
        </w:rPr>
        <w:t xml:space="preserve"> </w:t>
      </w:r>
      <w:r>
        <w:rPr>
          <w:spacing w:val="-2"/>
        </w:rPr>
        <w:t>Supplier</w:t>
      </w:r>
      <w:r>
        <w:rPr>
          <w:spacing w:val="26"/>
        </w:rPr>
        <w:t xml:space="preserve"> </w:t>
      </w:r>
      <w:r>
        <w:t>to</w:t>
      </w:r>
      <w:r>
        <w:rPr>
          <w:spacing w:val="55"/>
        </w:rPr>
        <w:t xml:space="preserve"> </w:t>
      </w:r>
      <w:r>
        <w:rPr>
          <w:spacing w:val="-1"/>
        </w:rPr>
        <w:t>comply</w:t>
      </w:r>
      <w:r>
        <w:rPr>
          <w:spacing w:val="1"/>
        </w:rPr>
        <w:t xml:space="preserve"> </w:t>
      </w:r>
      <w:r>
        <w:rPr>
          <w:spacing w:val="-2"/>
        </w:rPr>
        <w:t>with</w:t>
      </w:r>
      <w:r>
        <w:t xml:space="preserve"> </w:t>
      </w:r>
      <w:r>
        <w:rPr>
          <w:spacing w:val="-1"/>
        </w:rPr>
        <w:t>its</w:t>
      </w:r>
      <w:r>
        <w:rPr>
          <w:spacing w:val="1"/>
        </w:rPr>
        <w:t xml:space="preserve"> </w:t>
      </w:r>
      <w:r>
        <w:rPr>
          <w:spacing w:val="-1"/>
        </w:rPr>
        <w:t>obligations</w:t>
      </w:r>
      <w:r>
        <w:rPr>
          <w:spacing w:val="1"/>
        </w:rPr>
        <w:t xml:space="preserve"> </w:t>
      </w:r>
      <w:r>
        <w:rPr>
          <w:spacing w:val="-1"/>
        </w:rPr>
        <w:t>under</w:t>
      </w:r>
      <w:r>
        <w:rPr>
          <w:spacing w:val="2"/>
        </w:rPr>
        <w:t xml:space="preserve"> </w:t>
      </w:r>
      <w:r>
        <w:rPr>
          <w:spacing w:val="-2"/>
        </w:rPr>
        <w:t>Clause</w:t>
      </w:r>
      <w:r>
        <w:rPr>
          <w:spacing w:val="1"/>
        </w:rPr>
        <w:t xml:space="preserve"> </w:t>
      </w:r>
      <w:hyperlink w:anchor="_bookmark449" w:history="1">
        <w:r>
          <w:rPr>
            <w:spacing w:val="-1"/>
          </w:rPr>
          <w:t>57.1</w:t>
        </w:r>
      </w:hyperlink>
      <w:r>
        <w:rPr>
          <w:spacing w:val="2"/>
        </w:rPr>
        <w:t xml:space="preserve"> </w:t>
      </w:r>
      <w:r>
        <w:rPr>
          <w:spacing w:val="-2"/>
        </w:rPr>
        <w:t>within</w:t>
      </w:r>
      <w:r>
        <w:rPr>
          <w:spacing w:val="61"/>
        </w:rPr>
        <w:t xml:space="preserve"> </w:t>
      </w:r>
      <w:r>
        <w:rPr>
          <w:spacing w:val="-1"/>
        </w:rPr>
        <w:t>the</w:t>
      </w:r>
      <w:r>
        <w:rPr>
          <w:spacing w:val="50"/>
        </w:rPr>
        <w:t xml:space="preserve"> </w:t>
      </w:r>
      <w:r>
        <w:rPr>
          <w:spacing w:val="-1"/>
        </w:rPr>
        <w:t>timescales</w:t>
      </w:r>
      <w:r>
        <w:rPr>
          <w:spacing w:val="32"/>
        </w:rPr>
        <w:t xml:space="preserve"> </w:t>
      </w:r>
      <w:r>
        <w:rPr>
          <w:spacing w:val="-1"/>
        </w:rPr>
        <w:t>stated,</w:t>
      </w:r>
      <w:r>
        <w:rPr>
          <w:spacing w:val="30"/>
        </w:rPr>
        <w:t xml:space="preserve"> </w:t>
      </w:r>
      <w:r>
        <w:t>the</w:t>
      </w:r>
      <w:r>
        <w:rPr>
          <w:spacing w:val="31"/>
        </w:rPr>
        <w:t xml:space="preserve"> </w:t>
      </w:r>
      <w:r>
        <w:rPr>
          <w:spacing w:val="-2"/>
        </w:rPr>
        <w:t>Supplier</w:t>
      </w:r>
      <w:r>
        <w:rPr>
          <w:spacing w:val="33"/>
        </w:rPr>
        <w:t xml:space="preserve"> </w:t>
      </w:r>
      <w:r>
        <w:rPr>
          <w:spacing w:val="-1"/>
        </w:rPr>
        <w:t>shall</w:t>
      </w:r>
      <w:r>
        <w:rPr>
          <w:spacing w:val="33"/>
        </w:rPr>
        <w:t xml:space="preserve"> </w:t>
      </w:r>
      <w:r>
        <w:rPr>
          <w:spacing w:val="-2"/>
        </w:rPr>
        <w:t>provide</w:t>
      </w:r>
      <w:r>
        <w:rPr>
          <w:spacing w:val="34"/>
        </w:rPr>
        <w:t xml:space="preserve"> </w:t>
      </w:r>
      <w:r>
        <w:rPr>
          <w:spacing w:val="-1"/>
        </w:rPr>
        <w:t>an</w:t>
      </w:r>
      <w:r>
        <w:rPr>
          <w:spacing w:val="35"/>
        </w:rPr>
        <w:t xml:space="preserve"> </w:t>
      </w:r>
      <w:r>
        <w:rPr>
          <w:spacing w:val="-1"/>
        </w:rPr>
        <w:t>implementation</w:t>
      </w:r>
      <w:r>
        <w:rPr>
          <w:spacing w:val="48"/>
        </w:rPr>
        <w:t xml:space="preserve"> </w:t>
      </w:r>
      <w:r>
        <w:rPr>
          <w:spacing w:val="-1"/>
        </w:rPr>
        <w:t>plan</w:t>
      </w:r>
      <w:r>
        <w:rPr>
          <w:spacing w:val="2"/>
        </w:rPr>
        <w:t xml:space="preserve"> </w:t>
      </w:r>
      <w:r>
        <w:rPr>
          <w:spacing w:val="-1"/>
        </w:rPr>
        <w:t>and</w:t>
      </w:r>
      <w:r>
        <w:rPr>
          <w:spacing w:val="2"/>
        </w:rPr>
        <w:t xml:space="preserve"> </w:t>
      </w:r>
      <w:r>
        <w:rPr>
          <w:spacing w:val="-1"/>
        </w:rPr>
        <w:t>suggested</w:t>
      </w:r>
      <w:r>
        <w:rPr>
          <w:spacing w:val="2"/>
        </w:rPr>
        <w:t xml:space="preserve"> </w:t>
      </w:r>
      <w:r>
        <w:rPr>
          <w:spacing w:val="-1"/>
        </w:rPr>
        <w:t>timetable</w:t>
      </w:r>
      <w:r>
        <w:rPr>
          <w:spacing w:val="2"/>
        </w:rPr>
        <w:t xml:space="preserve"> </w:t>
      </w:r>
      <w:r>
        <w:rPr>
          <w:spacing w:val="-2"/>
        </w:rPr>
        <w:t>within</w:t>
      </w:r>
      <w:r>
        <w:rPr>
          <w:spacing w:val="4"/>
        </w:rPr>
        <w:t xml:space="preserve"> </w:t>
      </w:r>
      <w:r>
        <w:rPr>
          <w:spacing w:val="-1"/>
        </w:rPr>
        <w:t>which</w:t>
      </w:r>
      <w:r>
        <w:rPr>
          <w:spacing w:val="2"/>
        </w:rPr>
        <w:t xml:space="preserve"> </w:t>
      </w:r>
      <w:r>
        <w:t>the</w:t>
      </w:r>
      <w:r>
        <w:rPr>
          <w:spacing w:val="2"/>
        </w:rPr>
        <w:t xml:space="preserve"> </w:t>
      </w:r>
      <w:r>
        <w:rPr>
          <w:spacing w:val="-2"/>
        </w:rPr>
        <w:t>Supplier</w:t>
      </w:r>
      <w:r>
        <w:rPr>
          <w:spacing w:val="3"/>
        </w:rPr>
        <w:t xml:space="preserve"> </w:t>
      </w:r>
      <w:r>
        <w:rPr>
          <w:spacing w:val="-1"/>
        </w:rPr>
        <w:t>shall</w:t>
      </w:r>
      <w:r>
        <w:rPr>
          <w:spacing w:val="53"/>
        </w:rPr>
        <w:t xml:space="preserve"> </w:t>
      </w:r>
      <w:r>
        <w:rPr>
          <w:spacing w:val="-2"/>
        </w:rPr>
        <w:t>achieve</w:t>
      </w:r>
      <w:r>
        <w:rPr>
          <w:spacing w:val="39"/>
        </w:rPr>
        <w:t xml:space="preserve"> </w:t>
      </w:r>
      <w:r>
        <w:rPr>
          <w:spacing w:val="-1"/>
        </w:rPr>
        <w:t>such</w:t>
      </w:r>
      <w:r>
        <w:rPr>
          <w:spacing w:val="39"/>
        </w:rPr>
        <w:t xml:space="preserve"> </w:t>
      </w:r>
      <w:r>
        <w:rPr>
          <w:spacing w:val="-1"/>
        </w:rPr>
        <w:t>compliance.</w:t>
      </w:r>
      <w:r>
        <w:rPr>
          <w:spacing w:val="38"/>
        </w:rPr>
        <w:t xml:space="preserve"> </w:t>
      </w:r>
      <w:r>
        <w:t>The</w:t>
      </w:r>
      <w:r>
        <w:rPr>
          <w:spacing w:val="39"/>
        </w:rPr>
        <w:t xml:space="preserve"> </w:t>
      </w:r>
      <w:r>
        <w:rPr>
          <w:spacing w:val="-2"/>
        </w:rPr>
        <w:t>implementation</w:t>
      </w:r>
      <w:r>
        <w:rPr>
          <w:spacing w:val="39"/>
        </w:rPr>
        <w:t xml:space="preserve"> </w:t>
      </w:r>
      <w:r>
        <w:rPr>
          <w:spacing w:val="-1"/>
        </w:rPr>
        <w:t>plan</w:t>
      </w:r>
      <w:r>
        <w:rPr>
          <w:spacing w:val="39"/>
        </w:rPr>
        <w:t xml:space="preserve"> </w:t>
      </w:r>
      <w:r>
        <w:rPr>
          <w:spacing w:val="-1"/>
        </w:rPr>
        <w:t>and</w:t>
      </w:r>
      <w:r>
        <w:rPr>
          <w:spacing w:val="44"/>
        </w:rPr>
        <w:t xml:space="preserve"> </w:t>
      </w:r>
      <w:r>
        <w:rPr>
          <w:spacing w:val="-1"/>
        </w:rPr>
        <w:t>suggested</w:t>
      </w:r>
      <w:r>
        <w:rPr>
          <w:spacing w:val="26"/>
        </w:rPr>
        <w:t xml:space="preserve"> </w:t>
      </w:r>
      <w:r>
        <w:rPr>
          <w:spacing w:val="-1"/>
        </w:rPr>
        <w:t>timetable</w:t>
      </w:r>
      <w:r>
        <w:rPr>
          <w:spacing w:val="26"/>
        </w:rPr>
        <w:t xml:space="preserve"> </w:t>
      </w:r>
      <w:r>
        <w:rPr>
          <w:spacing w:val="-1"/>
        </w:rPr>
        <w:t>must</w:t>
      </w:r>
      <w:r>
        <w:rPr>
          <w:spacing w:val="28"/>
        </w:rPr>
        <w:t xml:space="preserve"> </w:t>
      </w:r>
      <w:r>
        <w:rPr>
          <w:spacing w:val="-1"/>
        </w:rPr>
        <w:t>be</w:t>
      </w:r>
      <w:r>
        <w:rPr>
          <w:spacing w:val="26"/>
        </w:rPr>
        <w:t xml:space="preserve"> </w:t>
      </w:r>
      <w:r>
        <w:rPr>
          <w:spacing w:val="-1"/>
        </w:rPr>
        <w:t>submitted</w:t>
      </w:r>
      <w:r>
        <w:rPr>
          <w:spacing w:val="26"/>
        </w:rPr>
        <w:t xml:space="preserve"> </w:t>
      </w:r>
      <w:r>
        <w:rPr>
          <w:spacing w:val="-1"/>
        </w:rPr>
        <w:t>by</w:t>
      </w:r>
      <w:r>
        <w:rPr>
          <w:spacing w:val="24"/>
        </w:rPr>
        <w:t xml:space="preserve"> </w:t>
      </w:r>
      <w:r>
        <w:t>the</w:t>
      </w:r>
      <w:r>
        <w:rPr>
          <w:spacing w:val="26"/>
        </w:rPr>
        <w:t xml:space="preserve"> </w:t>
      </w:r>
      <w:r>
        <w:rPr>
          <w:spacing w:val="-2"/>
        </w:rPr>
        <w:t>Supplier</w:t>
      </w:r>
      <w:r>
        <w:rPr>
          <w:spacing w:val="27"/>
        </w:rPr>
        <w:t xml:space="preserve"> </w:t>
      </w:r>
      <w:r>
        <w:t>for</w:t>
      </w:r>
      <w:r>
        <w:rPr>
          <w:spacing w:val="46"/>
        </w:rPr>
        <w:t xml:space="preserve"> </w:t>
      </w:r>
      <w:r>
        <w:rPr>
          <w:spacing w:val="-1"/>
        </w:rPr>
        <w:t>agreement</w:t>
      </w:r>
      <w:r>
        <w:rPr>
          <w:spacing w:val="23"/>
        </w:rPr>
        <w:t xml:space="preserve"> </w:t>
      </w:r>
      <w:r>
        <w:rPr>
          <w:spacing w:val="-1"/>
        </w:rPr>
        <w:t>by</w:t>
      </w:r>
      <w:r>
        <w:rPr>
          <w:spacing w:val="20"/>
        </w:rPr>
        <w:t xml:space="preserve"> </w:t>
      </w:r>
      <w:r>
        <w:t>the</w:t>
      </w:r>
      <w:r>
        <w:rPr>
          <w:spacing w:val="22"/>
        </w:rPr>
        <w:t xml:space="preserve"> </w:t>
      </w:r>
      <w:r>
        <w:rPr>
          <w:spacing w:val="-2"/>
        </w:rPr>
        <w:t>Customer</w:t>
      </w:r>
      <w:r>
        <w:rPr>
          <w:spacing w:val="23"/>
        </w:rPr>
        <w:t xml:space="preserve"> </w:t>
      </w:r>
      <w:r>
        <w:rPr>
          <w:spacing w:val="-2"/>
        </w:rPr>
        <w:t>prior</w:t>
      </w:r>
      <w:r>
        <w:rPr>
          <w:spacing w:val="21"/>
        </w:rPr>
        <w:t xml:space="preserve"> </w:t>
      </w:r>
      <w:r>
        <w:t>to</w:t>
      </w:r>
      <w:r>
        <w:rPr>
          <w:spacing w:val="20"/>
        </w:rPr>
        <w:t xml:space="preserve"> </w:t>
      </w:r>
      <w:r>
        <w:t>the</w:t>
      </w:r>
      <w:r>
        <w:rPr>
          <w:spacing w:val="20"/>
        </w:rPr>
        <w:t xml:space="preserve"> </w:t>
      </w:r>
      <w:r>
        <w:rPr>
          <w:spacing w:val="-1"/>
        </w:rPr>
        <w:t>first</w:t>
      </w:r>
      <w:r>
        <w:rPr>
          <w:spacing w:val="21"/>
        </w:rPr>
        <w:t xml:space="preserve"> </w:t>
      </w:r>
      <w:r>
        <w:rPr>
          <w:spacing w:val="-2"/>
        </w:rPr>
        <w:t>delivery</w:t>
      </w:r>
      <w:r>
        <w:rPr>
          <w:spacing w:val="20"/>
        </w:rPr>
        <w:t xml:space="preserve"> </w:t>
      </w:r>
      <w:r>
        <w:rPr>
          <w:spacing w:val="-1"/>
        </w:rPr>
        <w:t>of</w:t>
      </w:r>
      <w:r>
        <w:rPr>
          <w:spacing w:val="26"/>
        </w:rPr>
        <w:t xml:space="preserve"> </w:t>
      </w:r>
      <w:r>
        <w:rPr>
          <w:spacing w:val="-2"/>
        </w:rPr>
        <w:t>relevant</w:t>
      </w:r>
      <w:r>
        <w:rPr>
          <w:spacing w:val="60"/>
        </w:rPr>
        <w:t xml:space="preserve"> </w:t>
      </w:r>
      <w:r>
        <w:rPr>
          <w:spacing w:val="-1"/>
        </w:rPr>
        <w:t>Goods</w:t>
      </w:r>
      <w:r>
        <w:rPr>
          <w:spacing w:val="41"/>
        </w:rPr>
        <w:t xml:space="preserve"> </w:t>
      </w:r>
      <w:r>
        <w:rPr>
          <w:spacing w:val="-1"/>
        </w:rPr>
        <w:t>under</w:t>
      </w:r>
      <w:r>
        <w:rPr>
          <w:spacing w:val="42"/>
        </w:rPr>
        <w:t xml:space="preserve"> </w:t>
      </w:r>
      <w:r>
        <w:t>the</w:t>
      </w:r>
      <w:r>
        <w:rPr>
          <w:spacing w:val="41"/>
        </w:rPr>
        <w:t xml:space="preserve"> </w:t>
      </w:r>
      <w:r>
        <w:rPr>
          <w:spacing w:val="-2"/>
        </w:rPr>
        <w:t>Call</w:t>
      </w:r>
      <w:r>
        <w:rPr>
          <w:spacing w:val="40"/>
        </w:rPr>
        <w:t xml:space="preserve"> </w:t>
      </w:r>
      <w:r>
        <w:rPr>
          <w:spacing w:val="-1"/>
        </w:rPr>
        <w:t>Off</w:t>
      </w:r>
      <w:r>
        <w:rPr>
          <w:spacing w:val="45"/>
        </w:rPr>
        <w:t xml:space="preserve"> </w:t>
      </w:r>
      <w:r>
        <w:rPr>
          <w:spacing w:val="-2"/>
        </w:rPr>
        <w:t>Contract</w:t>
      </w:r>
      <w:r>
        <w:rPr>
          <w:spacing w:val="42"/>
        </w:rPr>
        <w:t xml:space="preserve"> </w:t>
      </w:r>
      <w:r>
        <w:rPr>
          <w:spacing w:val="-1"/>
        </w:rPr>
        <w:t>(such</w:t>
      </w:r>
      <w:r>
        <w:rPr>
          <w:spacing w:val="42"/>
        </w:rPr>
        <w:t xml:space="preserve"> </w:t>
      </w:r>
      <w:r>
        <w:rPr>
          <w:spacing w:val="-2"/>
        </w:rPr>
        <w:t>agreement</w:t>
      </w:r>
      <w:r>
        <w:rPr>
          <w:spacing w:val="42"/>
        </w:rPr>
        <w:t xml:space="preserve"> </w:t>
      </w:r>
      <w:r>
        <w:rPr>
          <w:spacing w:val="-1"/>
        </w:rPr>
        <w:t>not</w:t>
      </w:r>
      <w:r>
        <w:rPr>
          <w:spacing w:val="40"/>
        </w:rPr>
        <w:t xml:space="preserve"> </w:t>
      </w:r>
      <w:r>
        <w:t>to</w:t>
      </w:r>
      <w:r>
        <w:rPr>
          <w:spacing w:val="41"/>
        </w:rPr>
        <w:t xml:space="preserve"> </w:t>
      </w:r>
      <w:r>
        <w:rPr>
          <w:spacing w:val="-1"/>
        </w:rPr>
        <w:t>be</w:t>
      </w:r>
      <w:r>
        <w:rPr>
          <w:spacing w:val="58"/>
        </w:rPr>
        <w:t xml:space="preserve"> </w:t>
      </w:r>
      <w:r>
        <w:rPr>
          <w:spacing w:val="-1"/>
        </w:rPr>
        <w:t>unreasonably</w:t>
      </w:r>
      <w:r>
        <w:rPr>
          <w:spacing w:val="22"/>
        </w:rPr>
        <w:t xml:space="preserve"> </w:t>
      </w:r>
      <w:r>
        <w:rPr>
          <w:spacing w:val="-1"/>
        </w:rPr>
        <w:t>withheld</w:t>
      </w:r>
      <w:r>
        <w:rPr>
          <w:spacing w:val="24"/>
        </w:rPr>
        <w:t xml:space="preserve"> </w:t>
      </w:r>
      <w:r>
        <w:rPr>
          <w:spacing w:val="-1"/>
        </w:rPr>
        <w:t>or</w:t>
      </w:r>
      <w:r>
        <w:rPr>
          <w:spacing w:val="26"/>
        </w:rPr>
        <w:t xml:space="preserve"> </w:t>
      </w:r>
      <w:r>
        <w:rPr>
          <w:spacing w:val="-2"/>
        </w:rPr>
        <w:t>delayed).</w:t>
      </w:r>
      <w:r>
        <w:rPr>
          <w:spacing w:val="26"/>
        </w:rPr>
        <w:t xml:space="preserve"> </w:t>
      </w:r>
      <w:r>
        <w:rPr>
          <w:spacing w:val="-1"/>
        </w:rPr>
        <w:t>Any</w:t>
      </w:r>
      <w:r>
        <w:rPr>
          <w:spacing w:val="20"/>
        </w:rPr>
        <w:t xml:space="preserve"> </w:t>
      </w:r>
      <w:r>
        <w:rPr>
          <w:spacing w:val="-1"/>
        </w:rPr>
        <w:t>failure</w:t>
      </w:r>
      <w:r>
        <w:rPr>
          <w:spacing w:val="24"/>
        </w:rPr>
        <w:t xml:space="preserve"> </w:t>
      </w:r>
      <w:r>
        <w:rPr>
          <w:spacing w:val="-2"/>
        </w:rPr>
        <w:t>by</w:t>
      </w:r>
      <w:r>
        <w:rPr>
          <w:spacing w:val="22"/>
        </w:rPr>
        <w:t xml:space="preserve"> </w:t>
      </w:r>
      <w:r>
        <w:t>the</w:t>
      </w:r>
      <w:r>
        <w:rPr>
          <w:spacing w:val="24"/>
        </w:rPr>
        <w:t xml:space="preserve"> </w:t>
      </w:r>
      <w:r>
        <w:rPr>
          <w:spacing w:val="-1"/>
        </w:rPr>
        <w:t>Parties</w:t>
      </w:r>
      <w:r>
        <w:rPr>
          <w:spacing w:val="22"/>
        </w:rPr>
        <w:t xml:space="preserve"> </w:t>
      </w:r>
      <w:r>
        <w:t>to</w:t>
      </w:r>
      <w:r>
        <w:rPr>
          <w:spacing w:val="43"/>
        </w:rPr>
        <w:t xml:space="preserve"> </w:t>
      </w:r>
      <w:r>
        <w:rPr>
          <w:spacing w:val="-1"/>
        </w:rPr>
        <w:t>agree</w:t>
      </w:r>
      <w:r>
        <w:rPr>
          <w:spacing w:val="5"/>
        </w:rPr>
        <w:t xml:space="preserve"> </w:t>
      </w:r>
      <w:r>
        <w:rPr>
          <w:spacing w:val="-1"/>
        </w:rPr>
        <w:t>such</w:t>
      </w:r>
      <w:r>
        <w:rPr>
          <w:spacing w:val="5"/>
        </w:rPr>
        <w:t xml:space="preserve"> </w:t>
      </w:r>
      <w:r>
        <w:t>a</w:t>
      </w:r>
      <w:r>
        <w:rPr>
          <w:spacing w:val="3"/>
        </w:rPr>
        <w:t xml:space="preserve"> </w:t>
      </w:r>
      <w:r>
        <w:rPr>
          <w:spacing w:val="-1"/>
        </w:rPr>
        <w:t>timetable</w:t>
      </w:r>
      <w:r>
        <w:rPr>
          <w:spacing w:val="5"/>
        </w:rPr>
        <w:t xml:space="preserve"> </w:t>
      </w:r>
      <w:r>
        <w:rPr>
          <w:spacing w:val="-2"/>
        </w:rPr>
        <w:t>and</w:t>
      </w:r>
      <w:r>
        <w:rPr>
          <w:spacing w:val="5"/>
        </w:rPr>
        <w:t xml:space="preserve"> </w:t>
      </w:r>
      <w:r>
        <w:rPr>
          <w:spacing w:val="-1"/>
        </w:rPr>
        <w:t>implementation</w:t>
      </w:r>
      <w:r>
        <w:rPr>
          <w:spacing w:val="5"/>
        </w:rPr>
        <w:t xml:space="preserve"> </w:t>
      </w:r>
      <w:r>
        <w:rPr>
          <w:spacing w:val="-1"/>
        </w:rPr>
        <w:t>plan</w:t>
      </w:r>
      <w:r>
        <w:rPr>
          <w:spacing w:val="3"/>
        </w:rPr>
        <w:t xml:space="preserve"> </w:t>
      </w:r>
      <w:r>
        <w:rPr>
          <w:spacing w:val="-1"/>
        </w:rPr>
        <w:t>shall</w:t>
      </w:r>
      <w:r>
        <w:rPr>
          <w:spacing w:val="4"/>
        </w:rPr>
        <w:t xml:space="preserve"> </w:t>
      </w:r>
      <w:r>
        <w:rPr>
          <w:spacing w:val="-1"/>
        </w:rPr>
        <w:t>be</w:t>
      </w:r>
      <w:r>
        <w:rPr>
          <w:spacing w:val="5"/>
        </w:rPr>
        <w:t xml:space="preserve"> </w:t>
      </w:r>
      <w:r>
        <w:rPr>
          <w:spacing w:val="-1"/>
        </w:rPr>
        <w:t>referred</w:t>
      </w:r>
      <w:r>
        <w:rPr>
          <w:spacing w:val="32"/>
        </w:rPr>
        <w:t xml:space="preserve"> </w:t>
      </w:r>
      <w:r>
        <w:t>to</w:t>
      </w:r>
      <w:r>
        <w:rPr>
          <w:spacing w:val="5"/>
        </w:rPr>
        <w:t xml:space="preserve"> </w:t>
      </w:r>
      <w:r>
        <w:rPr>
          <w:spacing w:val="-1"/>
        </w:rPr>
        <w:t>and</w:t>
      </w:r>
      <w:r>
        <w:rPr>
          <w:spacing w:val="3"/>
        </w:rPr>
        <w:t xml:space="preserve"> </w:t>
      </w:r>
      <w:r>
        <w:rPr>
          <w:spacing w:val="-1"/>
        </w:rPr>
        <w:t>resolved</w:t>
      </w:r>
      <w:r>
        <w:rPr>
          <w:spacing w:val="5"/>
        </w:rP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2"/>
        </w:rPr>
        <w:t>Call</w:t>
      </w:r>
      <w:r>
        <w:rPr>
          <w:spacing w:val="4"/>
        </w:rPr>
        <w:t xml:space="preserve"> </w:t>
      </w:r>
      <w:r>
        <w:rPr>
          <w:spacing w:val="-1"/>
        </w:rPr>
        <w:t>Off</w:t>
      </w:r>
      <w:r>
        <w:rPr>
          <w:spacing w:val="7"/>
        </w:rPr>
        <w:t xml:space="preserve"> </w:t>
      </w:r>
      <w:r>
        <w:rPr>
          <w:spacing w:val="-2"/>
        </w:rPr>
        <w:t>Schedule</w:t>
      </w:r>
      <w:r>
        <w:rPr>
          <w:spacing w:val="5"/>
        </w:rPr>
        <w:t xml:space="preserve"> </w:t>
      </w:r>
      <w:r>
        <w:rPr>
          <w:spacing w:val="-1"/>
        </w:rPr>
        <w:t>12:</w:t>
      </w:r>
      <w:r>
        <w:rPr>
          <w:spacing w:val="7"/>
        </w:rPr>
        <w:t xml:space="preserve"> </w:t>
      </w:r>
      <w:r>
        <w:rPr>
          <w:spacing w:val="-1"/>
        </w:rPr>
        <w:t>Dispute</w:t>
      </w:r>
      <w:r>
        <w:rPr>
          <w:spacing w:val="43"/>
        </w:rPr>
        <w:t xml:space="preserve"> </w:t>
      </w:r>
      <w:r>
        <w:rPr>
          <w:spacing w:val="-1"/>
        </w:rPr>
        <w:t>Resolution</w:t>
      </w:r>
      <w:r>
        <w:rPr>
          <w:spacing w:val="3"/>
        </w:rPr>
        <w:t xml:space="preserve"> </w:t>
      </w:r>
      <w:r>
        <w:rPr>
          <w:spacing w:val="-1"/>
        </w:rPr>
        <w:t>Procedure.</w:t>
      </w:r>
      <w:r>
        <w:rPr>
          <w:spacing w:val="2"/>
        </w:rPr>
        <w:t xml:space="preserve"> </w:t>
      </w:r>
      <w:r>
        <w:rPr>
          <w:spacing w:val="-1"/>
        </w:rPr>
        <w:t>Once</w:t>
      </w:r>
      <w:r>
        <w:rPr>
          <w:spacing w:val="3"/>
        </w:rPr>
        <w:t xml:space="preserve"> </w:t>
      </w:r>
      <w:r>
        <w:t>a</w:t>
      </w:r>
      <w:r>
        <w:rPr>
          <w:spacing w:val="3"/>
        </w:rPr>
        <w:t xml:space="preserve"> </w:t>
      </w:r>
      <w:r>
        <w:rPr>
          <w:spacing w:val="-1"/>
        </w:rPr>
        <w:t>timetable</w:t>
      </w:r>
      <w:r>
        <w:rPr>
          <w:spacing w:val="3"/>
        </w:rPr>
        <w:t xml:space="preserve"> </w:t>
      </w:r>
      <w:r>
        <w:rPr>
          <w:spacing w:val="-1"/>
        </w:rPr>
        <w:t>and</w:t>
      </w:r>
      <w:r>
        <w:rPr>
          <w:spacing w:val="3"/>
        </w:rPr>
        <w:t xml:space="preserve"> </w:t>
      </w:r>
      <w:r>
        <w:rPr>
          <w:spacing w:val="-1"/>
        </w:rPr>
        <w:t>implementation</w:t>
      </w:r>
      <w:r>
        <w:rPr>
          <w:spacing w:val="3"/>
        </w:rPr>
        <w:t xml:space="preserve"> </w:t>
      </w:r>
      <w:r>
        <w:rPr>
          <w:spacing w:val="-2"/>
        </w:rPr>
        <w:t>plan</w:t>
      </w:r>
      <w:r>
        <w:rPr>
          <w:spacing w:val="26"/>
        </w:rPr>
        <w:t xml:space="preserve"> </w:t>
      </w:r>
      <w:r>
        <w:rPr>
          <w:spacing w:val="-2"/>
        </w:rPr>
        <w:t>have</w:t>
      </w:r>
      <w:r>
        <w:rPr>
          <w:spacing w:val="41"/>
        </w:rPr>
        <w:t xml:space="preserve"> </w:t>
      </w:r>
      <w:r>
        <w:rPr>
          <w:spacing w:val="-1"/>
        </w:rPr>
        <w:t>been</w:t>
      </w:r>
      <w:r>
        <w:rPr>
          <w:spacing w:val="41"/>
        </w:rPr>
        <w:t xml:space="preserve"> </w:t>
      </w:r>
      <w:r>
        <w:rPr>
          <w:spacing w:val="-1"/>
        </w:rPr>
        <w:t>agreed</w:t>
      </w:r>
      <w:r>
        <w:rPr>
          <w:spacing w:val="41"/>
        </w:rPr>
        <w:t xml:space="preserve"> </w:t>
      </w:r>
      <w:r>
        <w:rPr>
          <w:spacing w:val="-1"/>
        </w:rPr>
        <w:t>by</w:t>
      </w:r>
      <w:r>
        <w:rPr>
          <w:spacing w:val="39"/>
        </w:rPr>
        <w:t xml:space="preserve"> </w:t>
      </w:r>
      <w:r>
        <w:rPr>
          <w:spacing w:val="-1"/>
        </w:rPr>
        <w:t>the</w:t>
      </w:r>
      <w:r>
        <w:rPr>
          <w:spacing w:val="41"/>
        </w:rPr>
        <w:t xml:space="preserve"> </w:t>
      </w:r>
      <w:r>
        <w:rPr>
          <w:spacing w:val="-1"/>
        </w:rPr>
        <w:t>Customer,</w:t>
      </w:r>
      <w:r>
        <w:rPr>
          <w:spacing w:val="40"/>
        </w:rPr>
        <w:t xml:space="preserve"> </w:t>
      </w:r>
      <w:r>
        <w:t>the</w:t>
      </w:r>
      <w:r>
        <w:rPr>
          <w:spacing w:val="42"/>
        </w:rPr>
        <w:t xml:space="preserve"> </w:t>
      </w:r>
      <w:r>
        <w:rPr>
          <w:spacing w:val="-2"/>
        </w:rPr>
        <w:t>Supplier</w:t>
      </w:r>
      <w:r>
        <w:rPr>
          <w:spacing w:val="42"/>
        </w:rPr>
        <w:t xml:space="preserve"> </w:t>
      </w:r>
      <w:r>
        <w:rPr>
          <w:spacing w:val="-1"/>
        </w:rPr>
        <w:t>shall</w:t>
      </w:r>
      <w:r>
        <w:rPr>
          <w:spacing w:val="40"/>
        </w:rPr>
        <w:t xml:space="preserve"> </w:t>
      </w:r>
      <w:r>
        <w:rPr>
          <w:spacing w:val="-1"/>
        </w:rPr>
        <w:t>comply</w:t>
      </w:r>
      <w:r>
        <w:rPr>
          <w:spacing w:val="31"/>
        </w:rPr>
        <w:t xml:space="preserve"> </w:t>
      </w:r>
      <w:r>
        <w:rPr>
          <w:spacing w:val="-1"/>
        </w:rPr>
        <w:t>with</w:t>
      </w:r>
      <w:r>
        <w:rPr>
          <w:spacing w:val="6"/>
        </w:rPr>
        <w:t xml:space="preserve"> </w:t>
      </w:r>
      <w:r>
        <w:rPr>
          <w:spacing w:val="-1"/>
        </w:rPr>
        <w:t>such</w:t>
      </w:r>
      <w:r>
        <w:rPr>
          <w:spacing w:val="7"/>
        </w:rPr>
        <w:t xml:space="preserve"> </w:t>
      </w:r>
      <w:r>
        <w:rPr>
          <w:spacing w:val="-1"/>
        </w:rPr>
        <w:t>timetable</w:t>
      </w:r>
      <w:r>
        <w:rPr>
          <w:spacing w:val="6"/>
        </w:rPr>
        <w:t xml:space="preserve"> </w:t>
      </w:r>
      <w:r>
        <w:rPr>
          <w:spacing w:val="-2"/>
        </w:rPr>
        <w:t>and</w:t>
      </w:r>
      <w:r>
        <w:rPr>
          <w:spacing w:val="6"/>
        </w:rPr>
        <w:t xml:space="preserve"> </w:t>
      </w:r>
      <w:r>
        <w:rPr>
          <w:spacing w:val="-1"/>
        </w:rPr>
        <w:t>plan</w:t>
      </w:r>
      <w:r>
        <w:rPr>
          <w:spacing w:val="6"/>
        </w:rPr>
        <w:t xml:space="preserve"> </w:t>
      </w:r>
      <w:r>
        <w:rPr>
          <w:spacing w:val="-1"/>
        </w:rPr>
        <w:t>as</w:t>
      </w:r>
      <w:r>
        <w:rPr>
          <w:spacing w:val="7"/>
        </w:rPr>
        <w:t xml:space="preserve"> </w:t>
      </w:r>
      <w:r>
        <w:t>a</w:t>
      </w:r>
      <w:r>
        <w:rPr>
          <w:spacing w:val="6"/>
        </w:rPr>
        <w:t xml:space="preserve"> </w:t>
      </w:r>
      <w:r>
        <w:rPr>
          <w:spacing w:val="-1"/>
        </w:rPr>
        <w:t>condition</w:t>
      </w:r>
      <w:r>
        <w:rPr>
          <w:spacing w:val="4"/>
        </w:rPr>
        <w:t xml:space="preserve"> </w:t>
      </w:r>
      <w:r>
        <w:rPr>
          <w:spacing w:val="-2"/>
        </w:rPr>
        <w:t>of</w:t>
      </w:r>
      <w:r>
        <w:rPr>
          <w:spacing w:val="10"/>
        </w:rPr>
        <w:t xml:space="preserve"> </w:t>
      </w:r>
      <w:r>
        <w:rPr>
          <w:spacing w:val="-1"/>
        </w:rPr>
        <w:t>this</w:t>
      </w:r>
      <w:r>
        <w:rPr>
          <w:spacing w:val="7"/>
        </w:rPr>
        <w:t xml:space="preserve"> </w:t>
      </w:r>
      <w:r>
        <w:rPr>
          <w:spacing w:val="-2"/>
        </w:rPr>
        <w:t>Call</w:t>
      </w:r>
      <w:r>
        <w:rPr>
          <w:spacing w:val="3"/>
        </w:rPr>
        <w:t xml:space="preserve"> </w:t>
      </w:r>
      <w:r>
        <w:rPr>
          <w:spacing w:val="-1"/>
        </w:rPr>
        <w:t>Off</w:t>
      </w:r>
      <w:r>
        <w:rPr>
          <w:spacing w:val="37"/>
        </w:rPr>
        <w:t xml:space="preserve"> </w:t>
      </w:r>
      <w:r>
        <w:rPr>
          <w:spacing w:val="-1"/>
        </w:rPr>
        <w:t>Contract.</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1"/>
          <w:numId w:val="2"/>
        </w:numPr>
        <w:tabs>
          <w:tab w:val="left" w:pos="2564"/>
        </w:tabs>
        <w:spacing w:before="0"/>
        <w:ind w:left="2563" w:right="115"/>
        <w:jc w:val="both"/>
      </w:pPr>
      <w:r>
        <w:rPr>
          <w:spacing w:val="-1"/>
        </w:rPr>
        <w:t>Once</w:t>
      </w:r>
      <w:r>
        <w:rPr>
          <w:spacing w:val="22"/>
        </w:rPr>
        <w:t xml:space="preserve"> </w:t>
      </w:r>
      <w:r>
        <w:rPr>
          <w:spacing w:val="-1"/>
        </w:rPr>
        <w:t>product</w:t>
      </w:r>
      <w:r>
        <w:rPr>
          <w:spacing w:val="21"/>
        </w:rPr>
        <w:t xml:space="preserve"> </w:t>
      </w:r>
      <w:r>
        <w:rPr>
          <w:spacing w:val="-1"/>
        </w:rPr>
        <w:t>information</w:t>
      </w:r>
      <w:r>
        <w:rPr>
          <w:spacing w:val="22"/>
        </w:rPr>
        <w:t xml:space="preserve"> </w:t>
      </w:r>
      <w:r>
        <w:rPr>
          <w:spacing w:val="-1"/>
        </w:rPr>
        <w:t>relating</w:t>
      </w:r>
      <w:r>
        <w:rPr>
          <w:spacing w:val="24"/>
        </w:rPr>
        <w:t xml:space="preserve"> </w:t>
      </w:r>
      <w:r>
        <w:t>to</w:t>
      </w:r>
      <w:r>
        <w:rPr>
          <w:spacing w:val="19"/>
        </w:rPr>
        <w:t xml:space="preserve"> </w:t>
      </w:r>
      <w:r>
        <w:t>the</w:t>
      </w:r>
      <w:r>
        <w:rPr>
          <w:spacing w:val="19"/>
        </w:rPr>
        <w:t xml:space="preserve"> </w:t>
      </w:r>
      <w:r>
        <w:rPr>
          <w:spacing w:val="-1"/>
        </w:rPr>
        <w:t>Goods</w:t>
      </w:r>
      <w:r>
        <w:rPr>
          <w:spacing w:val="22"/>
        </w:rPr>
        <w:t xml:space="preserve"> </w:t>
      </w:r>
      <w:r>
        <w:rPr>
          <w:spacing w:val="-1"/>
        </w:rPr>
        <w:t>is</w:t>
      </w:r>
      <w:r>
        <w:rPr>
          <w:spacing w:val="22"/>
        </w:rPr>
        <w:t xml:space="preserve"> </w:t>
      </w:r>
      <w:r>
        <w:rPr>
          <w:spacing w:val="-1"/>
        </w:rPr>
        <w:t>placed</w:t>
      </w:r>
      <w:r>
        <w:rPr>
          <w:spacing w:val="22"/>
        </w:rPr>
        <w:t xml:space="preserve"> </w:t>
      </w:r>
      <w:r>
        <w:rPr>
          <w:spacing w:val="-1"/>
        </w:rPr>
        <w:t>by</w:t>
      </w:r>
      <w:r>
        <w:rPr>
          <w:spacing w:val="20"/>
        </w:rPr>
        <w:t xml:space="preserve"> </w:t>
      </w:r>
      <w:r>
        <w:rPr>
          <w:spacing w:val="-1"/>
        </w:rPr>
        <w:t>the</w:t>
      </w:r>
      <w:r>
        <w:rPr>
          <w:spacing w:val="20"/>
        </w:rPr>
        <w:t xml:space="preserve"> </w:t>
      </w:r>
      <w:r>
        <w:rPr>
          <w:spacing w:val="-2"/>
        </w:rPr>
        <w:t>Supplier</w:t>
      </w:r>
      <w:r>
        <w:rPr>
          <w:spacing w:val="14"/>
        </w:rPr>
        <w:t xml:space="preserve"> </w:t>
      </w:r>
      <w:r>
        <w:rPr>
          <w:spacing w:val="-1"/>
        </w:rPr>
        <w:t>into</w:t>
      </w:r>
      <w:r>
        <w:rPr>
          <w:spacing w:val="12"/>
        </w:rPr>
        <w:t xml:space="preserve"> </w:t>
      </w:r>
      <w:r>
        <w:t>a</w:t>
      </w:r>
      <w:r>
        <w:rPr>
          <w:spacing w:val="12"/>
        </w:rPr>
        <w:t xml:space="preserve"> </w:t>
      </w:r>
      <w:r>
        <w:t>GS1</w:t>
      </w:r>
      <w:r>
        <w:rPr>
          <w:spacing w:val="12"/>
        </w:rPr>
        <w:t xml:space="preserve"> </w:t>
      </w:r>
      <w:r>
        <w:rPr>
          <w:spacing w:val="-1"/>
        </w:rPr>
        <w:t>certified</w:t>
      </w:r>
      <w:r>
        <w:rPr>
          <w:spacing w:val="12"/>
        </w:rPr>
        <w:t xml:space="preserve"> </w:t>
      </w:r>
      <w:r>
        <w:rPr>
          <w:spacing w:val="-1"/>
        </w:rPr>
        <w:t>data</w:t>
      </w:r>
      <w:r>
        <w:rPr>
          <w:spacing w:val="12"/>
        </w:rPr>
        <w:t xml:space="preserve"> </w:t>
      </w:r>
      <w:r>
        <w:rPr>
          <w:spacing w:val="-1"/>
        </w:rPr>
        <w:t>pool,</w:t>
      </w:r>
      <w:r>
        <w:rPr>
          <w:spacing w:val="14"/>
        </w:rPr>
        <w:t xml:space="preserve"> </w:t>
      </w:r>
      <w:r>
        <w:t>the</w:t>
      </w:r>
      <w:r>
        <w:rPr>
          <w:spacing w:val="12"/>
        </w:rPr>
        <w:t xml:space="preserve"> </w:t>
      </w:r>
      <w:r>
        <w:rPr>
          <w:spacing w:val="-2"/>
        </w:rPr>
        <w:t>Supplier</w:t>
      </w:r>
      <w:r>
        <w:rPr>
          <w:spacing w:val="14"/>
        </w:rPr>
        <w:t xml:space="preserve"> </w:t>
      </w:r>
      <w:r>
        <w:rPr>
          <w:spacing w:val="-1"/>
        </w:rPr>
        <w:t>shall,</w:t>
      </w:r>
      <w:r>
        <w:rPr>
          <w:spacing w:val="14"/>
        </w:rPr>
        <w:t xml:space="preserve"> </w:t>
      </w:r>
      <w:r>
        <w:rPr>
          <w:spacing w:val="-1"/>
        </w:rPr>
        <w:t>during</w:t>
      </w:r>
      <w:r>
        <w:rPr>
          <w:spacing w:val="40"/>
        </w:rPr>
        <w:t xml:space="preserve"> </w:t>
      </w:r>
      <w:r>
        <w:t>the</w:t>
      </w:r>
      <w:r>
        <w:rPr>
          <w:spacing w:val="12"/>
        </w:rPr>
        <w:t xml:space="preserve"> </w:t>
      </w:r>
      <w:r>
        <w:rPr>
          <w:spacing w:val="-2"/>
        </w:rPr>
        <w:t>Call</w:t>
      </w:r>
      <w:r>
        <w:rPr>
          <w:spacing w:val="12"/>
        </w:rPr>
        <w:t xml:space="preserve"> </w:t>
      </w:r>
      <w:r>
        <w:rPr>
          <w:spacing w:val="-1"/>
        </w:rPr>
        <w:t>Off</w:t>
      </w:r>
      <w:r>
        <w:rPr>
          <w:spacing w:val="14"/>
        </w:rPr>
        <w:t xml:space="preserve"> </w:t>
      </w:r>
      <w:r>
        <w:rPr>
          <w:spacing w:val="-2"/>
        </w:rPr>
        <w:t>Contract</w:t>
      </w:r>
      <w:r>
        <w:rPr>
          <w:spacing w:val="14"/>
        </w:rPr>
        <w:t xml:space="preserve"> </w:t>
      </w:r>
      <w:r>
        <w:rPr>
          <w:spacing w:val="-2"/>
        </w:rPr>
        <w:t>Period,</w:t>
      </w:r>
      <w:r>
        <w:rPr>
          <w:spacing w:val="11"/>
        </w:rPr>
        <w:t xml:space="preserve"> </w:t>
      </w:r>
      <w:r>
        <w:t>keep</w:t>
      </w:r>
      <w:r>
        <w:rPr>
          <w:spacing w:val="12"/>
        </w:rPr>
        <w:t xml:space="preserve"> </w:t>
      </w:r>
      <w:r>
        <w:rPr>
          <w:spacing w:val="-1"/>
        </w:rPr>
        <w:t>such</w:t>
      </w:r>
      <w:r>
        <w:rPr>
          <w:spacing w:val="10"/>
        </w:rPr>
        <w:t xml:space="preserve"> </w:t>
      </w:r>
      <w:r>
        <w:rPr>
          <w:spacing w:val="-1"/>
        </w:rPr>
        <w:t>information</w:t>
      </w:r>
      <w:r>
        <w:rPr>
          <w:spacing w:val="12"/>
        </w:rPr>
        <w:t xml:space="preserve"> </w:t>
      </w:r>
      <w:r>
        <w:rPr>
          <w:spacing w:val="-1"/>
        </w:rPr>
        <w:t>updated</w:t>
      </w:r>
      <w:r>
        <w:rPr>
          <w:spacing w:val="12"/>
        </w:rPr>
        <w:t xml:space="preserve"> </w:t>
      </w:r>
      <w:r>
        <w:rPr>
          <w:spacing w:val="-2"/>
        </w:rPr>
        <w:t>with</w:t>
      </w:r>
      <w:r>
        <w:rPr>
          <w:spacing w:val="53"/>
        </w:rPr>
        <w:t xml:space="preserve"> </w:t>
      </w:r>
      <w:r>
        <w:rPr>
          <w:spacing w:val="-1"/>
        </w:rPr>
        <w:t>any</w:t>
      </w:r>
      <w:r>
        <w:rPr>
          <w:spacing w:val="-2"/>
        </w:rPr>
        <w:t xml:space="preserve"> </w:t>
      </w:r>
      <w:r>
        <w:rPr>
          <w:spacing w:val="-1"/>
        </w:rPr>
        <w:t>changes</w:t>
      </w:r>
      <w:r>
        <w:rPr>
          <w:spacing w:val="-2"/>
        </w:rPr>
        <w:t xml:space="preserve"> </w:t>
      </w:r>
      <w:r>
        <w:t>to</w:t>
      </w:r>
      <w:r>
        <w:rPr>
          <w:spacing w:val="-2"/>
        </w:rPr>
        <w:t xml:space="preserve"> </w:t>
      </w:r>
      <w:r>
        <w:t>the</w:t>
      </w:r>
      <w:r>
        <w:rPr>
          <w:spacing w:val="-2"/>
        </w:rPr>
        <w:t xml:space="preserve"> </w:t>
      </w:r>
      <w:r>
        <w:rPr>
          <w:spacing w:val="-1"/>
        </w:rPr>
        <w:t>product</w:t>
      </w:r>
      <w:r>
        <w:rPr>
          <w:spacing w:val="2"/>
        </w:rPr>
        <w:t xml:space="preserve"> </w:t>
      </w:r>
      <w:r>
        <w:rPr>
          <w:spacing w:val="-1"/>
        </w:rPr>
        <w:t>data</w:t>
      </w:r>
      <w:r>
        <w:rPr>
          <w:spacing w:val="-2"/>
        </w:rPr>
        <w:t xml:space="preserve"> </w:t>
      </w:r>
      <w:r>
        <w:rPr>
          <w:spacing w:val="-1"/>
        </w:rPr>
        <w:t>relating</w:t>
      </w:r>
      <w:r>
        <w:t xml:space="preserve"> to</w:t>
      </w:r>
      <w:r>
        <w:rPr>
          <w:spacing w:val="-2"/>
        </w:rPr>
        <w:t xml:space="preserve"> </w:t>
      </w:r>
      <w:r>
        <w:t>the</w:t>
      </w:r>
      <w:r>
        <w:rPr>
          <w:spacing w:val="-2"/>
        </w:rPr>
        <w:t xml:space="preserve"> Goods.</w:t>
      </w:r>
    </w:p>
    <w:p w:rsidR="008918FA" w:rsidRDefault="008918FA" w:rsidP="008918FA">
      <w:pPr>
        <w:spacing w:before="10"/>
        <w:rPr>
          <w:rFonts w:ascii="Arial" w:eastAsia="Arial" w:hAnsi="Arial" w:cs="Arial"/>
          <w:sz w:val="20"/>
          <w:szCs w:val="20"/>
        </w:rPr>
      </w:pPr>
    </w:p>
    <w:p w:rsidR="008918FA" w:rsidRDefault="008918FA" w:rsidP="008918FA">
      <w:pPr>
        <w:pStyle w:val="BodyText"/>
        <w:numPr>
          <w:ilvl w:val="0"/>
          <w:numId w:val="4"/>
        </w:numPr>
        <w:tabs>
          <w:tab w:val="left" w:pos="466"/>
        </w:tabs>
        <w:spacing w:before="0"/>
        <w:ind w:left="465" w:hanging="359"/>
        <w:jc w:val="left"/>
        <w:rPr>
          <w:rFonts w:ascii="Times New Roman" w:eastAsia="Times New Roman" w:hAnsi="Times New Roman" w:cs="Times New Roman"/>
        </w:rPr>
      </w:pPr>
      <w:bookmarkStart w:id="539" w:name="_bookmark451"/>
      <w:bookmarkEnd w:id="539"/>
      <w:r>
        <w:rPr>
          <w:rFonts w:ascii="Times New Roman"/>
        </w:rPr>
        <w:t>MOD</w:t>
      </w:r>
      <w:r>
        <w:rPr>
          <w:rFonts w:ascii="Times New Roman"/>
          <w:spacing w:val="6"/>
        </w:rPr>
        <w:t xml:space="preserve"> </w:t>
      </w:r>
      <w:r>
        <w:rPr>
          <w:rFonts w:ascii="Times New Roman"/>
          <w:spacing w:val="-3"/>
        </w:rPr>
        <w:t>ADDITIONAL</w:t>
      </w:r>
      <w:r>
        <w:rPr>
          <w:rFonts w:ascii="Times New Roman"/>
          <w:spacing w:val="7"/>
        </w:rPr>
        <w:t xml:space="preserve"> </w:t>
      </w:r>
      <w:r>
        <w:rPr>
          <w:rFonts w:ascii="Times New Roman"/>
          <w:spacing w:val="1"/>
        </w:rPr>
        <w:t>CLAUS</w:t>
      </w:r>
      <w:r>
        <w:rPr>
          <w:rFonts w:ascii="Times New Roman"/>
          <w:spacing w:val="-32"/>
        </w:rPr>
        <w:t xml:space="preserve"> </w:t>
      </w:r>
      <w:r>
        <w:rPr>
          <w:rFonts w:ascii="Times New Roman"/>
          <w:spacing w:val="11"/>
        </w:rPr>
        <w:t>ES</w:t>
      </w:r>
    </w:p>
    <w:p w:rsidR="008918FA" w:rsidRDefault="008918FA" w:rsidP="008918FA">
      <w:pPr>
        <w:spacing w:before="9"/>
        <w:rPr>
          <w:rFonts w:ascii="Times New Roman" w:eastAsia="Times New Roman" w:hAnsi="Times New Roman" w:cs="Times New Roman"/>
          <w:sz w:val="14"/>
          <w:szCs w:val="14"/>
        </w:rPr>
      </w:pPr>
    </w:p>
    <w:p w:rsidR="008918FA" w:rsidRDefault="008918FA" w:rsidP="008918FA">
      <w:pPr>
        <w:pStyle w:val="Heading2"/>
        <w:ind w:left="466" w:right="125"/>
        <w:rPr>
          <w:b w:val="0"/>
          <w:bCs w:val="0"/>
          <w:i w:val="0"/>
        </w:rPr>
      </w:pPr>
      <w:r w:rsidRPr="00CE5AA1">
        <w:rPr>
          <w:spacing w:val="-1"/>
          <w:highlight w:val="green"/>
        </w:rPr>
        <w:t>[Guidance</w:t>
      </w:r>
      <w:r w:rsidRPr="00CE5AA1">
        <w:rPr>
          <w:spacing w:val="17"/>
          <w:highlight w:val="green"/>
        </w:rPr>
        <w:t xml:space="preserve"> </w:t>
      </w:r>
      <w:r w:rsidRPr="00CE5AA1">
        <w:rPr>
          <w:spacing w:val="-2"/>
          <w:highlight w:val="green"/>
        </w:rPr>
        <w:t>Note:</w:t>
      </w:r>
      <w:r w:rsidRPr="00CE5AA1">
        <w:rPr>
          <w:spacing w:val="19"/>
          <w:highlight w:val="green"/>
        </w:rPr>
        <w:t xml:space="preserve"> </w:t>
      </w:r>
      <w:r w:rsidRPr="00CE5AA1">
        <w:rPr>
          <w:spacing w:val="-1"/>
          <w:highlight w:val="green"/>
        </w:rPr>
        <w:t>The</w:t>
      </w:r>
      <w:r w:rsidRPr="00CE5AA1">
        <w:rPr>
          <w:spacing w:val="15"/>
          <w:highlight w:val="green"/>
        </w:rPr>
        <w:t xml:space="preserve"> </w:t>
      </w:r>
      <w:r w:rsidRPr="00CE5AA1">
        <w:rPr>
          <w:spacing w:val="-1"/>
          <w:highlight w:val="green"/>
        </w:rPr>
        <w:t>Ministry</w:t>
      </w:r>
      <w:r w:rsidRPr="00CE5AA1">
        <w:rPr>
          <w:spacing w:val="17"/>
          <w:highlight w:val="green"/>
        </w:rPr>
        <w:t xml:space="preserve"> </w:t>
      </w:r>
      <w:r w:rsidRPr="00CE5AA1">
        <w:rPr>
          <w:spacing w:val="-2"/>
          <w:highlight w:val="green"/>
        </w:rPr>
        <w:t>of</w:t>
      </w:r>
      <w:r w:rsidRPr="00CE5AA1">
        <w:rPr>
          <w:spacing w:val="19"/>
          <w:highlight w:val="green"/>
        </w:rPr>
        <w:t xml:space="preserve"> </w:t>
      </w:r>
      <w:r w:rsidRPr="00CE5AA1">
        <w:rPr>
          <w:spacing w:val="-1"/>
          <w:highlight w:val="green"/>
        </w:rPr>
        <w:t>Defence</w:t>
      </w:r>
      <w:r w:rsidRPr="00CE5AA1">
        <w:rPr>
          <w:spacing w:val="15"/>
          <w:highlight w:val="green"/>
        </w:rPr>
        <w:t xml:space="preserve"> </w:t>
      </w:r>
      <w:r w:rsidRPr="00CE5AA1">
        <w:rPr>
          <w:highlight w:val="green"/>
        </w:rPr>
        <w:t>to</w:t>
      </w:r>
      <w:r w:rsidRPr="00CE5AA1">
        <w:rPr>
          <w:spacing w:val="17"/>
          <w:highlight w:val="green"/>
        </w:rPr>
        <w:t xml:space="preserve"> </w:t>
      </w:r>
      <w:r w:rsidRPr="00CE5AA1">
        <w:rPr>
          <w:spacing w:val="-1"/>
          <w:highlight w:val="green"/>
        </w:rPr>
        <w:t>select</w:t>
      </w:r>
      <w:r w:rsidRPr="00CE5AA1">
        <w:rPr>
          <w:spacing w:val="19"/>
          <w:highlight w:val="green"/>
        </w:rPr>
        <w:t xml:space="preserve"> </w:t>
      </w:r>
      <w:r w:rsidRPr="00CE5AA1">
        <w:rPr>
          <w:spacing w:val="-1"/>
          <w:highlight w:val="green"/>
        </w:rPr>
        <w:t>and</w:t>
      </w:r>
      <w:r w:rsidRPr="00CE5AA1">
        <w:rPr>
          <w:spacing w:val="15"/>
          <w:highlight w:val="green"/>
        </w:rPr>
        <w:t xml:space="preserve"> </w:t>
      </w:r>
      <w:r w:rsidRPr="00CE5AA1">
        <w:rPr>
          <w:spacing w:val="-1"/>
          <w:highlight w:val="green"/>
        </w:rPr>
        <w:t>refine</w:t>
      </w:r>
      <w:r w:rsidRPr="00CE5AA1">
        <w:rPr>
          <w:spacing w:val="17"/>
          <w:highlight w:val="green"/>
        </w:rPr>
        <w:t xml:space="preserve"> </w:t>
      </w:r>
      <w:r w:rsidRPr="00CE5AA1">
        <w:rPr>
          <w:spacing w:val="-1"/>
          <w:highlight w:val="green"/>
        </w:rPr>
        <w:t>during</w:t>
      </w:r>
      <w:r w:rsidRPr="00CE5AA1">
        <w:rPr>
          <w:spacing w:val="15"/>
          <w:highlight w:val="green"/>
        </w:rPr>
        <w:t xml:space="preserve"> </w:t>
      </w:r>
      <w:r w:rsidRPr="00CE5AA1">
        <w:rPr>
          <w:spacing w:val="-1"/>
          <w:highlight w:val="green"/>
        </w:rPr>
        <w:t>the</w:t>
      </w:r>
      <w:r w:rsidRPr="00CE5AA1">
        <w:rPr>
          <w:spacing w:val="17"/>
          <w:highlight w:val="green"/>
        </w:rPr>
        <w:t xml:space="preserve"> </w:t>
      </w:r>
      <w:r w:rsidRPr="00CE5AA1">
        <w:rPr>
          <w:spacing w:val="-2"/>
          <w:highlight w:val="green"/>
        </w:rPr>
        <w:t>Further</w:t>
      </w:r>
      <w:r w:rsidRPr="00CE5AA1">
        <w:rPr>
          <w:spacing w:val="61"/>
          <w:highlight w:val="green"/>
        </w:rPr>
        <w:t xml:space="preserve"> </w:t>
      </w:r>
      <w:r w:rsidRPr="00CE5AA1">
        <w:rPr>
          <w:spacing w:val="-1"/>
          <w:highlight w:val="green"/>
        </w:rPr>
        <w:t>Competition</w:t>
      </w:r>
      <w:r w:rsidRPr="00CE5AA1">
        <w:rPr>
          <w:spacing w:val="-2"/>
          <w:highlight w:val="green"/>
        </w:rPr>
        <w:t xml:space="preserve"> </w:t>
      </w:r>
      <w:r w:rsidRPr="00CE5AA1">
        <w:rPr>
          <w:spacing w:val="-1"/>
          <w:highlight w:val="green"/>
        </w:rPr>
        <w:t>Procedure]</w:t>
      </w:r>
    </w:p>
    <w:p w:rsidR="008918FA" w:rsidRDefault="008918FA" w:rsidP="008918FA">
      <w:pPr>
        <w:pStyle w:val="BodyText"/>
        <w:numPr>
          <w:ilvl w:val="1"/>
          <w:numId w:val="4"/>
        </w:numPr>
        <w:tabs>
          <w:tab w:val="left" w:pos="829"/>
        </w:tabs>
        <w:spacing w:before="121"/>
        <w:ind w:left="828" w:right="114"/>
        <w:jc w:val="both"/>
      </w:pPr>
      <w:r>
        <w:t>The</w:t>
      </w:r>
      <w:r>
        <w:rPr>
          <w:spacing w:val="3"/>
        </w:rPr>
        <w:t xml:space="preserve"> </w:t>
      </w:r>
      <w:r>
        <w:rPr>
          <w:spacing w:val="-1"/>
        </w:rPr>
        <w:t>definition</w:t>
      </w:r>
      <w:r>
        <w:rPr>
          <w:spacing w:val="3"/>
        </w:rPr>
        <w:t xml:space="preserve"> </w:t>
      </w:r>
      <w:r>
        <w:rPr>
          <w:spacing w:val="-2"/>
        </w:rPr>
        <w:t>of</w:t>
      </w:r>
      <w:r>
        <w:rPr>
          <w:spacing w:val="4"/>
        </w:rPr>
        <w:t xml:space="preserve"> </w:t>
      </w:r>
      <w:r>
        <w:rPr>
          <w:spacing w:val="-2"/>
        </w:rPr>
        <w:t>Call</w:t>
      </w:r>
      <w:r>
        <w:rPr>
          <w:spacing w:val="2"/>
        </w:rPr>
        <w:t xml:space="preserve"> </w:t>
      </w:r>
      <w:r>
        <w:rPr>
          <w:spacing w:val="-1"/>
        </w:rPr>
        <w:t>Off</w:t>
      </w:r>
      <w:r>
        <w:t xml:space="preserve"> </w:t>
      </w:r>
      <w:r>
        <w:rPr>
          <w:spacing w:val="-1"/>
        </w:rPr>
        <w:t>Contract</w:t>
      </w:r>
      <w:r>
        <w:rPr>
          <w:spacing w:val="4"/>
        </w:rPr>
        <w:t xml:space="preserve"> </w:t>
      </w:r>
      <w:r>
        <w:t>in</w:t>
      </w:r>
      <w:r>
        <w:rPr>
          <w:spacing w:val="3"/>
        </w:rPr>
        <w:t xml:space="preserve"> </w:t>
      </w:r>
      <w:r>
        <w:rPr>
          <w:spacing w:val="-2"/>
        </w:rPr>
        <w:t>Call</w:t>
      </w:r>
      <w:r>
        <w:rPr>
          <w:spacing w:val="2"/>
        </w:rPr>
        <w:t xml:space="preserve"> </w:t>
      </w:r>
      <w:r>
        <w:rPr>
          <w:spacing w:val="-1"/>
        </w:rPr>
        <w:t>Off</w:t>
      </w:r>
      <w:r>
        <w:rPr>
          <w:spacing w:val="2"/>
        </w:rPr>
        <w:t xml:space="preserve"> </w:t>
      </w:r>
      <w:r>
        <w:rPr>
          <w:spacing w:val="-2"/>
        </w:rPr>
        <w:t>Schedule</w:t>
      </w:r>
      <w:r>
        <w:rPr>
          <w:spacing w:val="3"/>
        </w:rPr>
        <w:t xml:space="preserve"> </w:t>
      </w:r>
      <w:r>
        <w:t>1</w:t>
      </w:r>
      <w:r>
        <w:rPr>
          <w:spacing w:val="3"/>
        </w:rPr>
        <w:t xml:space="preserve"> </w:t>
      </w:r>
      <w:r>
        <w:rPr>
          <w:spacing w:val="-1"/>
        </w:rPr>
        <w:t>(Definitions)</w:t>
      </w:r>
      <w:r>
        <w:rPr>
          <w:spacing w:val="2"/>
        </w:rPr>
        <w:t xml:space="preserve"> </w:t>
      </w:r>
      <w:r>
        <w:t xml:space="preserve">to </w:t>
      </w:r>
      <w:r>
        <w:rPr>
          <w:spacing w:val="-1"/>
        </w:rPr>
        <w:t>the</w:t>
      </w:r>
      <w:r>
        <w:rPr>
          <w:spacing w:val="3"/>
        </w:rPr>
        <w:t xml:space="preserve"> </w:t>
      </w:r>
      <w:r>
        <w:rPr>
          <w:spacing w:val="-2"/>
        </w:rPr>
        <w:t>Call</w:t>
      </w:r>
      <w:r>
        <w:t xml:space="preserve"> Off</w:t>
      </w:r>
      <w:r>
        <w:rPr>
          <w:spacing w:val="62"/>
        </w:rPr>
        <w:t xml:space="preserve"> </w:t>
      </w:r>
      <w:r>
        <w:rPr>
          <w:spacing w:val="-1"/>
        </w:rPr>
        <w:t>Terms</w:t>
      </w:r>
      <w:r>
        <w:rPr>
          <w:spacing w:val="-2"/>
        </w:rPr>
        <w:t xml:space="preserve"> </w:t>
      </w:r>
      <w:r>
        <w:rPr>
          <w:spacing w:val="-1"/>
        </w:rPr>
        <w:t>shall</w:t>
      </w:r>
      <w:r>
        <w:t xml:space="preserve"> </w:t>
      </w:r>
      <w:r>
        <w:rPr>
          <w:spacing w:val="-1"/>
        </w:rPr>
        <w:t>be</w:t>
      </w:r>
      <w:r>
        <w:rPr>
          <w:spacing w:val="-2"/>
        </w:rPr>
        <w:t xml:space="preserve"> </w:t>
      </w:r>
      <w:r>
        <w:rPr>
          <w:spacing w:val="-1"/>
        </w:rPr>
        <w:t>replaced</w:t>
      </w:r>
      <w:r>
        <w:rPr>
          <w:spacing w:val="-2"/>
        </w:rPr>
        <w:t xml:space="preserve"> </w:t>
      </w:r>
      <w:r>
        <w:rPr>
          <w:spacing w:val="-1"/>
        </w:rPr>
        <w:t>with</w:t>
      </w:r>
      <w:r>
        <w:t xml:space="preserve"> the</w:t>
      </w:r>
      <w:r>
        <w:rPr>
          <w:spacing w:val="-4"/>
        </w:rPr>
        <w:t xml:space="preserve"> </w:t>
      </w:r>
      <w:r>
        <w:rPr>
          <w:spacing w:val="-1"/>
        </w:rPr>
        <w:t>following:</w:t>
      </w:r>
    </w:p>
    <w:p w:rsidR="008918FA" w:rsidRDefault="008918FA" w:rsidP="008918FA">
      <w:pPr>
        <w:pStyle w:val="BodyText"/>
        <w:numPr>
          <w:ilvl w:val="2"/>
          <w:numId w:val="4"/>
        </w:numPr>
        <w:tabs>
          <w:tab w:val="left" w:pos="2027"/>
        </w:tabs>
        <w:ind w:left="2025" w:right="116" w:hanging="993"/>
        <w:jc w:val="both"/>
      </w:pPr>
      <w:r>
        <w:rPr>
          <w:b/>
          <w:spacing w:val="-1"/>
        </w:rPr>
        <w:t>"Call</w:t>
      </w:r>
      <w:r>
        <w:rPr>
          <w:b/>
          <w:spacing w:val="32"/>
        </w:rPr>
        <w:t xml:space="preserve"> </w:t>
      </w:r>
      <w:r>
        <w:rPr>
          <w:b/>
          <w:spacing w:val="-1"/>
        </w:rPr>
        <w:t>Off</w:t>
      </w:r>
      <w:r>
        <w:rPr>
          <w:b/>
          <w:spacing w:val="34"/>
        </w:rPr>
        <w:t xml:space="preserve"> </w:t>
      </w:r>
      <w:r>
        <w:rPr>
          <w:b/>
          <w:spacing w:val="-2"/>
        </w:rPr>
        <w:t>Contract"</w:t>
      </w:r>
      <w:r>
        <w:rPr>
          <w:b/>
          <w:spacing w:val="32"/>
        </w:rPr>
        <w:t xml:space="preserve"> </w:t>
      </w:r>
      <w:r>
        <w:rPr>
          <w:spacing w:val="-1"/>
        </w:rPr>
        <w:t>means</w:t>
      </w:r>
      <w:r>
        <w:rPr>
          <w:spacing w:val="33"/>
        </w:rPr>
        <w:t xml:space="preserve"> </w:t>
      </w:r>
      <w:r>
        <w:rPr>
          <w:spacing w:val="-1"/>
        </w:rPr>
        <w:t>this</w:t>
      </w:r>
      <w:r>
        <w:rPr>
          <w:spacing w:val="34"/>
        </w:rPr>
        <w:t xml:space="preserve"> </w:t>
      </w:r>
      <w:r>
        <w:rPr>
          <w:spacing w:val="-1"/>
        </w:rPr>
        <w:t>written</w:t>
      </w:r>
      <w:r>
        <w:rPr>
          <w:spacing w:val="33"/>
        </w:rPr>
        <w:t xml:space="preserve"> </w:t>
      </w:r>
      <w:r>
        <w:rPr>
          <w:spacing w:val="-2"/>
        </w:rPr>
        <w:t>agreement</w:t>
      </w:r>
      <w:r>
        <w:rPr>
          <w:spacing w:val="35"/>
        </w:rPr>
        <w:t xml:space="preserve"> </w:t>
      </w:r>
      <w:r>
        <w:rPr>
          <w:spacing w:val="-2"/>
        </w:rPr>
        <w:t>between</w:t>
      </w:r>
      <w:r>
        <w:rPr>
          <w:spacing w:val="32"/>
        </w:rPr>
        <w:t xml:space="preserve"> </w:t>
      </w:r>
      <w:r>
        <w:rPr>
          <w:spacing w:val="-1"/>
        </w:rPr>
        <w:t>the</w:t>
      </w:r>
      <w:r>
        <w:rPr>
          <w:spacing w:val="66"/>
        </w:rPr>
        <w:t xml:space="preserve"> </w:t>
      </w:r>
      <w:r>
        <w:rPr>
          <w:spacing w:val="-1"/>
        </w:rPr>
        <w:t>Customer</w:t>
      </w:r>
      <w:r>
        <w:rPr>
          <w:spacing w:val="21"/>
        </w:rPr>
        <w:t xml:space="preserve"> </w:t>
      </w:r>
      <w:r>
        <w:rPr>
          <w:spacing w:val="-1"/>
        </w:rPr>
        <w:t>and</w:t>
      </w:r>
      <w:r>
        <w:rPr>
          <w:spacing w:val="20"/>
        </w:rPr>
        <w:t xml:space="preserve"> </w:t>
      </w:r>
      <w:r>
        <w:t>the</w:t>
      </w:r>
      <w:r>
        <w:rPr>
          <w:spacing w:val="17"/>
        </w:rPr>
        <w:t xml:space="preserve"> </w:t>
      </w:r>
      <w:r>
        <w:rPr>
          <w:spacing w:val="-2"/>
        </w:rPr>
        <w:t>Supplier</w:t>
      </w:r>
      <w:r>
        <w:rPr>
          <w:spacing w:val="21"/>
        </w:rPr>
        <w:t xml:space="preserve"> </w:t>
      </w:r>
      <w:r>
        <w:rPr>
          <w:spacing w:val="-1"/>
        </w:rPr>
        <w:t>consisting</w:t>
      </w:r>
      <w:r>
        <w:rPr>
          <w:spacing w:val="22"/>
        </w:rPr>
        <w:t xml:space="preserve"> </w:t>
      </w:r>
      <w:r>
        <w:rPr>
          <w:spacing w:val="-2"/>
        </w:rPr>
        <w:t>of</w:t>
      </w:r>
      <w:r>
        <w:rPr>
          <w:spacing w:val="21"/>
        </w:rPr>
        <w:t xml:space="preserve"> </w:t>
      </w:r>
      <w:r>
        <w:t>the</w:t>
      </w:r>
      <w:r>
        <w:rPr>
          <w:spacing w:val="17"/>
        </w:rPr>
        <w:t xml:space="preserve"> </w:t>
      </w:r>
      <w:r>
        <w:rPr>
          <w:spacing w:val="-1"/>
        </w:rPr>
        <w:t>Order</w:t>
      </w:r>
      <w:r>
        <w:rPr>
          <w:spacing w:val="21"/>
        </w:rPr>
        <w:t xml:space="preserve"> </w:t>
      </w:r>
      <w:r>
        <w:rPr>
          <w:spacing w:val="-1"/>
        </w:rPr>
        <w:t>Form</w:t>
      </w:r>
      <w:r>
        <w:rPr>
          <w:spacing w:val="21"/>
        </w:rPr>
        <w:t xml:space="preserve"> </w:t>
      </w:r>
      <w:r>
        <w:rPr>
          <w:spacing w:val="-1"/>
        </w:rPr>
        <w:t>and</w:t>
      </w:r>
      <w:r>
        <w:rPr>
          <w:spacing w:val="17"/>
        </w:rPr>
        <w:t xml:space="preserve"> </w:t>
      </w:r>
      <w:r>
        <w:t>the</w:t>
      </w:r>
      <w:r>
        <w:rPr>
          <w:spacing w:val="20"/>
        </w:rPr>
        <w:t xml:space="preserve"> </w:t>
      </w:r>
      <w:r>
        <w:rPr>
          <w:spacing w:val="-2"/>
        </w:rPr>
        <w:t>Call</w:t>
      </w:r>
      <w:r>
        <w:rPr>
          <w:spacing w:val="29"/>
        </w:rPr>
        <w:t xml:space="preserve"> </w:t>
      </w:r>
      <w:r>
        <w:rPr>
          <w:spacing w:val="-1"/>
        </w:rPr>
        <w:t>Off Terms</w:t>
      </w:r>
      <w:r>
        <w:rPr>
          <w:spacing w:val="1"/>
        </w:rPr>
        <w:t xml:space="preserve"> </w:t>
      </w:r>
      <w:r>
        <w:rPr>
          <w:spacing w:val="-1"/>
        </w:rPr>
        <w:t>and</w:t>
      </w:r>
      <w:r>
        <w:rPr>
          <w:spacing w:val="-2"/>
        </w:rPr>
        <w:t xml:space="preserve"> </w:t>
      </w:r>
      <w:r>
        <w:t>the</w:t>
      </w:r>
      <w:r>
        <w:rPr>
          <w:spacing w:val="-2"/>
        </w:rPr>
        <w:t xml:space="preserve"> MoD</w:t>
      </w:r>
      <w:r>
        <w:t xml:space="preserve"> </w:t>
      </w:r>
      <w:r>
        <w:rPr>
          <w:spacing w:val="-1"/>
        </w:rPr>
        <w:t>Terms</w:t>
      </w:r>
      <w:r>
        <w:rPr>
          <w:spacing w:val="-2"/>
        </w:rPr>
        <w:t xml:space="preserve"> </w:t>
      </w:r>
      <w:r>
        <w:rPr>
          <w:spacing w:val="-1"/>
        </w:rPr>
        <w:t>and</w:t>
      </w:r>
      <w:r>
        <w:t xml:space="preserve"> </w:t>
      </w:r>
      <w:r>
        <w:rPr>
          <w:spacing w:val="-2"/>
        </w:rPr>
        <w:t>Conditions.</w:t>
      </w:r>
    </w:p>
    <w:p w:rsidR="008918FA" w:rsidRDefault="008918FA" w:rsidP="008918FA">
      <w:pPr>
        <w:pStyle w:val="BodyText"/>
        <w:numPr>
          <w:ilvl w:val="1"/>
          <w:numId w:val="4"/>
        </w:numPr>
        <w:tabs>
          <w:tab w:val="left" w:pos="829"/>
        </w:tabs>
        <w:ind w:left="828" w:right="114"/>
        <w:jc w:val="both"/>
      </w:pPr>
      <w:r>
        <w:t>The</w:t>
      </w:r>
      <w:r>
        <w:rPr>
          <w:spacing w:val="-2"/>
        </w:rPr>
        <w:t xml:space="preserve"> following</w:t>
      </w:r>
      <w:r>
        <w:rPr>
          <w:spacing w:val="3"/>
        </w:rPr>
        <w:t xml:space="preserve"> </w:t>
      </w:r>
      <w:r>
        <w:rPr>
          <w:spacing w:val="-1"/>
        </w:rPr>
        <w:t>definitions</w:t>
      </w:r>
      <w:r>
        <w:rPr>
          <w:spacing w:val="-2"/>
        </w:rPr>
        <w:t xml:space="preserve"> </w:t>
      </w:r>
      <w:r>
        <w:rPr>
          <w:spacing w:val="-1"/>
        </w:rPr>
        <w:t>shall</w:t>
      </w:r>
      <w:r>
        <w:t xml:space="preserve"> </w:t>
      </w:r>
      <w:r>
        <w:rPr>
          <w:spacing w:val="-1"/>
        </w:rPr>
        <w:t>be</w:t>
      </w:r>
      <w:r>
        <w:rPr>
          <w:spacing w:val="3"/>
        </w:rPr>
        <w:t xml:space="preserve"> </w:t>
      </w:r>
      <w:r>
        <w:rPr>
          <w:spacing w:val="-1"/>
        </w:rPr>
        <w:t>inserted</w:t>
      </w:r>
      <w:r>
        <w:t xml:space="preserve"> </w:t>
      </w:r>
      <w:r>
        <w:rPr>
          <w:spacing w:val="-1"/>
        </w:rPr>
        <w:t>into</w:t>
      </w:r>
      <w:r>
        <w:t xml:space="preserve"> </w:t>
      </w:r>
      <w:r>
        <w:rPr>
          <w:spacing w:val="-1"/>
        </w:rPr>
        <w:t>in</w:t>
      </w:r>
      <w:r>
        <w:t xml:space="preserve"> </w:t>
      </w:r>
      <w:r>
        <w:rPr>
          <w:spacing w:val="-2"/>
        </w:rPr>
        <w:t>Call</w:t>
      </w:r>
      <w:r>
        <w:t xml:space="preserve"> Off</w:t>
      </w:r>
      <w:r>
        <w:rPr>
          <w:spacing w:val="4"/>
        </w:rPr>
        <w:t xml:space="preserve"> </w:t>
      </w:r>
      <w:r>
        <w:rPr>
          <w:spacing w:val="-1"/>
        </w:rPr>
        <w:t>Schedule</w:t>
      </w:r>
      <w:r>
        <w:t xml:space="preserve"> 1 </w:t>
      </w:r>
      <w:r>
        <w:rPr>
          <w:spacing w:val="-1"/>
        </w:rPr>
        <w:t>(Definitions)</w:t>
      </w:r>
      <w:r>
        <w:rPr>
          <w:spacing w:val="2"/>
        </w:rPr>
        <w:t xml:space="preserve"> </w:t>
      </w:r>
      <w:r>
        <w:t>to</w:t>
      </w:r>
      <w:r>
        <w:rPr>
          <w:spacing w:val="65"/>
        </w:rPr>
        <w:t xml:space="preserve"> </w:t>
      </w:r>
      <w:r>
        <w:t xml:space="preserve">the </w:t>
      </w:r>
      <w:r>
        <w:rPr>
          <w:spacing w:val="-2"/>
        </w:rPr>
        <w:t>Call</w:t>
      </w:r>
      <w:r>
        <w:t xml:space="preserve"> </w:t>
      </w:r>
      <w:r>
        <w:rPr>
          <w:spacing w:val="-1"/>
        </w:rPr>
        <w:t>Off</w:t>
      </w:r>
      <w:r>
        <w:t xml:space="preserve"> </w:t>
      </w:r>
      <w:r>
        <w:rPr>
          <w:spacing w:val="-2"/>
        </w:rPr>
        <w:t>Terms:</w:t>
      </w:r>
    </w:p>
    <w:p w:rsidR="008918FA" w:rsidRDefault="008918FA" w:rsidP="008918FA">
      <w:pPr>
        <w:numPr>
          <w:ilvl w:val="1"/>
          <w:numId w:val="4"/>
        </w:numPr>
        <w:tabs>
          <w:tab w:val="left" w:pos="829"/>
        </w:tabs>
        <w:spacing w:before="119"/>
        <w:ind w:left="828" w:right="111"/>
        <w:jc w:val="both"/>
        <w:rPr>
          <w:rFonts w:ascii="Arial" w:eastAsia="Arial" w:hAnsi="Arial" w:cs="Arial"/>
        </w:rPr>
      </w:pPr>
      <w:r>
        <w:rPr>
          <w:rFonts w:ascii="Arial" w:eastAsia="Arial" w:hAnsi="Arial" w:cs="Arial"/>
          <w:b/>
          <w:bCs/>
          <w:spacing w:val="-1"/>
        </w:rPr>
        <w:t>“MoD</w:t>
      </w:r>
      <w:r>
        <w:rPr>
          <w:rFonts w:ascii="Arial" w:eastAsia="Arial" w:hAnsi="Arial" w:cs="Arial"/>
          <w:b/>
          <w:bCs/>
          <w:spacing w:val="14"/>
        </w:rPr>
        <w:t xml:space="preserve"> </w:t>
      </w:r>
      <w:r>
        <w:rPr>
          <w:rFonts w:ascii="Arial" w:eastAsia="Arial" w:hAnsi="Arial" w:cs="Arial"/>
          <w:b/>
          <w:bCs/>
          <w:spacing w:val="-1"/>
        </w:rPr>
        <w:t>Terms</w:t>
      </w:r>
      <w:r>
        <w:rPr>
          <w:rFonts w:ascii="Arial" w:eastAsia="Arial" w:hAnsi="Arial" w:cs="Arial"/>
          <w:b/>
          <w:bCs/>
          <w:spacing w:val="15"/>
        </w:rPr>
        <w:t xml:space="preserve"> </w:t>
      </w:r>
      <w:r>
        <w:rPr>
          <w:rFonts w:ascii="Arial" w:eastAsia="Arial" w:hAnsi="Arial" w:cs="Arial"/>
          <w:b/>
          <w:bCs/>
          <w:spacing w:val="-1"/>
        </w:rPr>
        <w:t>and</w:t>
      </w:r>
      <w:r>
        <w:rPr>
          <w:rFonts w:ascii="Arial" w:eastAsia="Arial" w:hAnsi="Arial" w:cs="Arial"/>
          <w:b/>
          <w:bCs/>
          <w:spacing w:val="15"/>
        </w:rPr>
        <w:t xml:space="preserve"> </w:t>
      </w:r>
      <w:r>
        <w:rPr>
          <w:rFonts w:ascii="Arial" w:eastAsia="Arial" w:hAnsi="Arial" w:cs="Arial"/>
          <w:b/>
          <w:bCs/>
          <w:spacing w:val="-1"/>
        </w:rPr>
        <w:t>Conditions”</w:t>
      </w:r>
      <w:r>
        <w:rPr>
          <w:rFonts w:ascii="Arial" w:eastAsia="Arial" w:hAnsi="Arial" w:cs="Arial"/>
          <w:b/>
          <w:bCs/>
          <w:spacing w:val="13"/>
        </w:rPr>
        <w:t xml:space="preserve"> </w:t>
      </w:r>
      <w:r>
        <w:rPr>
          <w:rFonts w:ascii="Arial" w:eastAsia="Arial" w:hAnsi="Arial" w:cs="Arial"/>
          <w:spacing w:val="-1"/>
        </w:rPr>
        <w:t>means</w:t>
      </w:r>
      <w:r>
        <w:rPr>
          <w:rFonts w:ascii="Arial" w:eastAsia="Arial" w:hAnsi="Arial" w:cs="Arial"/>
          <w:spacing w:val="13"/>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spacing w:val="-1"/>
        </w:rPr>
        <w:t>contractual</w:t>
      </w:r>
      <w:r>
        <w:rPr>
          <w:rFonts w:ascii="Arial" w:eastAsia="Arial" w:hAnsi="Arial" w:cs="Arial"/>
          <w:spacing w:val="14"/>
        </w:rPr>
        <w:t xml:space="preserve"> </w:t>
      </w:r>
      <w:r>
        <w:rPr>
          <w:rFonts w:ascii="Arial" w:eastAsia="Arial" w:hAnsi="Arial" w:cs="Arial"/>
          <w:spacing w:val="-1"/>
        </w:rPr>
        <w:t>terms</w:t>
      </w:r>
      <w:r>
        <w:rPr>
          <w:rFonts w:ascii="Arial" w:eastAsia="Arial" w:hAnsi="Arial" w:cs="Arial"/>
          <w:spacing w:val="13"/>
        </w:rPr>
        <w:t xml:space="preserve"> </w:t>
      </w:r>
      <w:r>
        <w:rPr>
          <w:rFonts w:ascii="Arial" w:eastAsia="Arial" w:hAnsi="Arial" w:cs="Arial"/>
          <w:spacing w:val="-1"/>
        </w:rPr>
        <w:t>and</w:t>
      </w:r>
      <w:r>
        <w:rPr>
          <w:rFonts w:ascii="Arial" w:eastAsia="Arial" w:hAnsi="Arial" w:cs="Arial"/>
          <w:spacing w:val="15"/>
        </w:rPr>
        <w:t xml:space="preserve"> </w:t>
      </w:r>
      <w:r>
        <w:rPr>
          <w:rFonts w:ascii="Arial" w:eastAsia="Arial" w:hAnsi="Arial" w:cs="Arial"/>
          <w:spacing w:val="-1"/>
        </w:rPr>
        <w:t>conditions</w:t>
      </w:r>
      <w:r>
        <w:rPr>
          <w:rFonts w:ascii="Arial" w:eastAsia="Arial" w:hAnsi="Arial" w:cs="Arial"/>
          <w:spacing w:val="15"/>
        </w:rPr>
        <w:t xml:space="preserve"> </w:t>
      </w:r>
      <w:r>
        <w:rPr>
          <w:rFonts w:ascii="Arial" w:eastAsia="Arial" w:hAnsi="Arial" w:cs="Arial"/>
          <w:spacing w:val="-1"/>
        </w:rPr>
        <w:t>listed</w:t>
      </w:r>
      <w:r>
        <w:rPr>
          <w:rFonts w:ascii="Arial" w:eastAsia="Arial" w:hAnsi="Arial" w:cs="Arial"/>
          <w:spacing w:val="30"/>
        </w:rPr>
        <w:t xml:space="preserve"> </w:t>
      </w:r>
      <w:r>
        <w:rPr>
          <w:rFonts w:ascii="Arial" w:eastAsia="Arial" w:hAnsi="Arial" w:cs="Arial"/>
          <w:spacing w:val="-1"/>
        </w:rPr>
        <w:t>in</w:t>
      </w:r>
      <w:r>
        <w:rPr>
          <w:rFonts w:ascii="Arial" w:eastAsia="Arial" w:hAnsi="Arial" w:cs="Arial"/>
          <w:spacing w:val="7"/>
        </w:rPr>
        <w:t xml:space="preserve"> </w:t>
      </w:r>
      <w:r>
        <w:rPr>
          <w:rFonts w:ascii="Arial" w:eastAsia="Arial" w:hAnsi="Arial" w:cs="Arial"/>
          <w:spacing w:val="-1"/>
        </w:rPr>
        <w:t>Schedule</w:t>
      </w:r>
      <w:r>
        <w:rPr>
          <w:rFonts w:ascii="Arial" w:eastAsia="Arial" w:hAnsi="Arial" w:cs="Arial"/>
          <w:spacing w:val="7"/>
        </w:rPr>
        <w:t xml:space="preserve"> </w:t>
      </w:r>
      <w:r>
        <w:rPr>
          <w:rFonts w:ascii="Arial" w:eastAsia="Arial" w:hAnsi="Arial" w:cs="Arial"/>
        </w:rPr>
        <w:t>[…]</w:t>
      </w:r>
      <w:r>
        <w:rPr>
          <w:rFonts w:ascii="Arial" w:eastAsia="Arial" w:hAnsi="Arial" w:cs="Arial"/>
          <w:spacing w:val="9"/>
        </w:rPr>
        <w:t xml:space="preserve"> </w:t>
      </w:r>
      <w:r>
        <w:rPr>
          <w:rFonts w:ascii="Arial" w:eastAsia="Arial" w:hAnsi="Arial" w:cs="Arial"/>
          <w:spacing w:val="-1"/>
        </w:rPr>
        <w:t>which</w:t>
      </w:r>
      <w:r>
        <w:rPr>
          <w:rFonts w:ascii="Arial" w:eastAsia="Arial" w:hAnsi="Arial" w:cs="Arial"/>
          <w:spacing w:val="8"/>
        </w:rPr>
        <w:t xml:space="preserve"> </w:t>
      </w:r>
      <w:r>
        <w:rPr>
          <w:rFonts w:ascii="Arial" w:eastAsia="Arial" w:hAnsi="Arial" w:cs="Arial"/>
        </w:rPr>
        <w:t>form</w:t>
      </w:r>
      <w:r>
        <w:rPr>
          <w:rFonts w:ascii="Arial" w:eastAsia="Arial" w:hAnsi="Arial" w:cs="Arial"/>
          <w:spacing w:val="9"/>
        </w:rPr>
        <w:t xml:space="preserve"> </w:t>
      </w:r>
      <w:r>
        <w:rPr>
          <w:rFonts w:ascii="Arial" w:eastAsia="Arial" w:hAnsi="Arial" w:cs="Arial"/>
          <w:spacing w:val="-1"/>
        </w:rPr>
        <w:t>part</w:t>
      </w:r>
      <w:r>
        <w:rPr>
          <w:rFonts w:ascii="Arial" w:eastAsia="Arial" w:hAnsi="Arial" w:cs="Arial"/>
          <w:spacing w:val="9"/>
        </w:rPr>
        <w:t xml:space="preserve"> </w:t>
      </w:r>
      <w:r>
        <w:rPr>
          <w:rFonts w:ascii="Arial" w:eastAsia="Arial" w:hAnsi="Arial" w:cs="Arial"/>
          <w:spacing w:val="-2"/>
        </w:rPr>
        <w:t>of</w:t>
      </w:r>
      <w:r>
        <w:rPr>
          <w:rFonts w:ascii="Arial" w:eastAsia="Arial" w:hAnsi="Arial" w:cs="Arial"/>
          <w:spacing w:val="9"/>
        </w:rPr>
        <w:t xml:space="preserve"> </w:t>
      </w:r>
      <w:r>
        <w:rPr>
          <w:rFonts w:ascii="Arial" w:eastAsia="Arial" w:hAnsi="Arial" w:cs="Arial"/>
        </w:rPr>
        <w:t>the</w:t>
      </w:r>
      <w:r>
        <w:rPr>
          <w:rFonts w:ascii="Arial" w:eastAsia="Arial" w:hAnsi="Arial" w:cs="Arial"/>
          <w:spacing w:val="7"/>
        </w:rPr>
        <w:t xml:space="preserve"> </w:t>
      </w:r>
      <w:r>
        <w:rPr>
          <w:rFonts w:ascii="Arial" w:eastAsia="Arial" w:hAnsi="Arial" w:cs="Arial"/>
          <w:spacing w:val="-2"/>
        </w:rPr>
        <w:t>Call</w:t>
      </w:r>
      <w:r>
        <w:rPr>
          <w:rFonts w:ascii="Arial" w:eastAsia="Arial" w:hAnsi="Arial" w:cs="Arial"/>
          <w:spacing w:val="7"/>
        </w:rPr>
        <w:t xml:space="preserve"> </w:t>
      </w:r>
      <w:r>
        <w:rPr>
          <w:rFonts w:ascii="Arial" w:eastAsia="Arial" w:hAnsi="Arial" w:cs="Arial"/>
        </w:rPr>
        <w:t>Off</w:t>
      </w:r>
      <w:r>
        <w:rPr>
          <w:rFonts w:ascii="Arial" w:eastAsia="Arial" w:hAnsi="Arial" w:cs="Arial"/>
          <w:spacing w:val="7"/>
        </w:rPr>
        <w:t xml:space="preserve"> </w:t>
      </w:r>
      <w:r>
        <w:rPr>
          <w:rFonts w:ascii="Arial" w:eastAsia="Arial" w:hAnsi="Arial" w:cs="Arial"/>
          <w:spacing w:val="-1"/>
        </w:rPr>
        <w:t>Terms</w:t>
      </w:r>
      <w:r>
        <w:rPr>
          <w:rFonts w:ascii="Arial" w:eastAsia="Arial" w:hAnsi="Arial" w:cs="Arial"/>
          <w:spacing w:val="7"/>
        </w:rPr>
        <w:t xml:space="preserve"> </w:t>
      </w:r>
      <w:r>
        <w:rPr>
          <w:rFonts w:ascii="Arial" w:eastAsia="Arial" w:hAnsi="Arial" w:cs="Arial"/>
          <w:b/>
          <w:bCs/>
          <w:i/>
          <w:spacing w:val="-1"/>
          <w:highlight w:val="green"/>
        </w:rPr>
        <w:t>[Guidance</w:t>
      </w:r>
      <w:r>
        <w:rPr>
          <w:rFonts w:ascii="Arial" w:eastAsia="Arial" w:hAnsi="Arial" w:cs="Arial"/>
          <w:b/>
          <w:bCs/>
          <w:i/>
          <w:spacing w:val="8"/>
          <w:highlight w:val="green"/>
        </w:rPr>
        <w:t xml:space="preserve"> </w:t>
      </w:r>
      <w:r>
        <w:rPr>
          <w:rFonts w:ascii="Arial" w:eastAsia="Arial" w:hAnsi="Arial" w:cs="Arial"/>
          <w:b/>
          <w:bCs/>
          <w:i/>
          <w:spacing w:val="-1"/>
          <w:highlight w:val="green"/>
        </w:rPr>
        <w:t>Note:</w:t>
      </w:r>
      <w:r>
        <w:rPr>
          <w:rFonts w:ascii="Arial" w:eastAsia="Arial" w:hAnsi="Arial" w:cs="Arial"/>
          <w:b/>
          <w:bCs/>
          <w:i/>
          <w:spacing w:val="7"/>
          <w:highlight w:val="green"/>
        </w:rPr>
        <w:t xml:space="preserve"> </w:t>
      </w:r>
      <w:r>
        <w:rPr>
          <w:rFonts w:ascii="Arial" w:eastAsia="Arial" w:hAnsi="Arial" w:cs="Arial"/>
          <w:b/>
          <w:bCs/>
          <w:i/>
          <w:spacing w:val="-1"/>
          <w:highlight w:val="green"/>
        </w:rPr>
        <w:t>read</w:t>
      </w:r>
      <w:r>
        <w:rPr>
          <w:rFonts w:ascii="Arial" w:eastAsia="Arial" w:hAnsi="Arial" w:cs="Arial"/>
          <w:b/>
          <w:bCs/>
          <w:i/>
          <w:spacing w:val="8"/>
          <w:highlight w:val="green"/>
        </w:rPr>
        <w:t xml:space="preserve"> </w:t>
      </w:r>
      <w:r>
        <w:rPr>
          <w:rFonts w:ascii="Arial" w:eastAsia="Arial" w:hAnsi="Arial" w:cs="Arial"/>
          <w:b/>
          <w:bCs/>
          <w:i/>
          <w:spacing w:val="-1"/>
          <w:highlight w:val="green"/>
        </w:rPr>
        <w:t>with</w:t>
      </w:r>
      <w:r>
        <w:rPr>
          <w:rFonts w:ascii="Arial" w:eastAsia="Arial" w:hAnsi="Arial" w:cs="Arial"/>
          <w:b/>
          <w:bCs/>
          <w:i/>
          <w:spacing w:val="37"/>
        </w:rPr>
        <w:t xml:space="preserve"> </w:t>
      </w:r>
      <w:r>
        <w:rPr>
          <w:rFonts w:ascii="Arial" w:eastAsia="Arial" w:hAnsi="Arial" w:cs="Arial"/>
          <w:b/>
          <w:bCs/>
          <w:i/>
          <w:spacing w:val="-1"/>
          <w:highlight w:val="green"/>
        </w:rPr>
        <w:t>the</w:t>
      </w:r>
      <w:r>
        <w:rPr>
          <w:rFonts w:ascii="Arial" w:eastAsia="Arial" w:hAnsi="Arial" w:cs="Arial"/>
          <w:b/>
          <w:bCs/>
          <w:i/>
          <w:spacing w:val="-2"/>
          <w:highlight w:val="green"/>
        </w:rPr>
        <w:t xml:space="preserve"> </w:t>
      </w:r>
      <w:r>
        <w:rPr>
          <w:rFonts w:ascii="Arial" w:eastAsia="Arial" w:hAnsi="Arial" w:cs="Arial"/>
          <w:b/>
          <w:bCs/>
          <w:i/>
          <w:spacing w:val="-1"/>
          <w:highlight w:val="green"/>
        </w:rPr>
        <w:t>Guidance</w:t>
      </w:r>
      <w:r>
        <w:rPr>
          <w:rFonts w:ascii="Arial" w:eastAsia="Arial" w:hAnsi="Arial" w:cs="Arial"/>
          <w:b/>
          <w:bCs/>
          <w:i/>
          <w:spacing w:val="-2"/>
          <w:highlight w:val="green"/>
        </w:rPr>
        <w:t xml:space="preserve"> </w:t>
      </w:r>
      <w:r>
        <w:rPr>
          <w:rFonts w:ascii="Arial" w:eastAsia="Arial" w:hAnsi="Arial" w:cs="Arial"/>
          <w:b/>
          <w:bCs/>
          <w:i/>
          <w:spacing w:val="-1"/>
          <w:highlight w:val="green"/>
        </w:rPr>
        <w:t>Note</w:t>
      </w:r>
      <w:r>
        <w:rPr>
          <w:rFonts w:ascii="Arial" w:eastAsia="Arial" w:hAnsi="Arial" w:cs="Arial"/>
          <w:b/>
          <w:bCs/>
          <w:i/>
          <w:spacing w:val="-2"/>
          <w:highlight w:val="green"/>
        </w:rPr>
        <w:t xml:space="preserve"> below]</w:t>
      </w:r>
    </w:p>
    <w:p w:rsidR="008918FA" w:rsidRDefault="008918FA" w:rsidP="008918FA">
      <w:pPr>
        <w:jc w:val="both"/>
        <w:rPr>
          <w:rFonts w:ascii="Arial" w:eastAsia="Arial" w:hAnsi="Arial" w:cs="Arial"/>
        </w:rPr>
        <w:sectPr w:rsidR="008918FA">
          <w:pgSz w:w="11910" w:h="16840"/>
          <w:pgMar w:top="1480" w:right="1300" w:bottom="1180" w:left="1540" w:header="0" w:footer="987" w:gutter="0"/>
          <w:cols w:space="720"/>
        </w:sectPr>
      </w:pPr>
    </w:p>
    <w:p w:rsidR="008918FA" w:rsidRDefault="008918FA" w:rsidP="008918FA">
      <w:pPr>
        <w:pStyle w:val="BodyText"/>
        <w:numPr>
          <w:ilvl w:val="2"/>
          <w:numId w:val="4"/>
        </w:numPr>
        <w:tabs>
          <w:tab w:val="left" w:pos="1887"/>
        </w:tabs>
        <w:spacing w:before="57"/>
        <w:ind w:left="1886" w:right="120"/>
        <w:jc w:val="both"/>
      </w:pPr>
      <w:r>
        <w:rPr>
          <w:b/>
          <w:spacing w:val="-1"/>
        </w:rPr>
        <w:t>"Site"</w:t>
      </w:r>
      <w:r>
        <w:rPr>
          <w:b/>
          <w:spacing w:val="7"/>
        </w:rPr>
        <w:t xml:space="preserve"> </w:t>
      </w:r>
      <w:r>
        <w:rPr>
          <w:spacing w:val="-1"/>
        </w:rPr>
        <w:t>shall</w:t>
      </w:r>
      <w:r>
        <w:rPr>
          <w:spacing w:val="4"/>
        </w:rPr>
        <w:t xml:space="preserve"> </w:t>
      </w:r>
      <w:r>
        <w:rPr>
          <w:spacing w:val="-1"/>
        </w:rPr>
        <w:t>include</w:t>
      </w:r>
      <w:r>
        <w:rPr>
          <w:spacing w:val="5"/>
        </w:rPr>
        <w:t xml:space="preserve"> </w:t>
      </w:r>
      <w:r>
        <w:rPr>
          <w:spacing w:val="-1"/>
        </w:rPr>
        <w:t>any</w:t>
      </w:r>
      <w:r>
        <w:rPr>
          <w:spacing w:val="5"/>
        </w:rPr>
        <w:t xml:space="preserve"> </w:t>
      </w:r>
      <w:r>
        <w:rPr>
          <w:spacing w:val="-2"/>
        </w:rPr>
        <w:t>of</w:t>
      </w:r>
      <w:r>
        <w:rPr>
          <w:spacing w:val="9"/>
        </w:rPr>
        <w:t xml:space="preserve"> </w:t>
      </w:r>
      <w:r>
        <w:rPr>
          <w:spacing w:val="-1"/>
        </w:rPr>
        <w:t>Her</w:t>
      </w:r>
      <w:r>
        <w:rPr>
          <w:spacing w:val="6"/>
        </w:rPr>
        <w:t xml:space="preserve"> </w:t>
      </w:r>
      <w:r>
        <w:rPr>
          <w:spacing w:val="-1"/>
        </w:rPr>
        <w:t>Majesty's</w:t>
      </w:r>
      <w:r>
        <w:rPr>
          <w:spacing w:val="5"/>
        </w:rPr>
        <w:t xml:space="preserve"> </w:t>
      </w:r>
      <w:r>
        <w:rPr>
          <w:spacing w:val="-1"/>
        </w:rPr>
        <w:t>Ships</w:t>
      </w:r>
      <w:r>
        <w:rPr>
          <w:spacing w:val="5"/>
        </w:rPr>
        <w:t xml:space="preserve"> </w:t>
      </w:r>
      <w:r>
        <w:rPr>
          <w:spacing w:val="-1"/>
        </w:rPr>
        <w:t>or</w:t>
      </w:r>
      <w:r>
        <w:rPr>
          <w:spacing w:val="6"/>
        </w:rPr>
        <w:t xml:space="preserve"> </w:t>
      </w:r>
      <w:r>
        <w:rPr>
          <w:spacing w:val="-1"/>
        </w:rPr>
        <w:t>Vessels</w:t>
      </w:r>
      <w:r>
        <w:rPr>
          <w:spacing w:val="5"/>
        </w:rPr>
        <w:t xml:space="preserve"> </w:t>
      </w:r>
      <w:r>
        <w:rPr>
          <w:spacing w:val="-1"/>
        </w:rPr>
        <w:t>and</w:t>
      </w:r>
      <w:r>
        <w:rPr>
          <w:spacing w:val="5"/>
        </w:rPr>
        <w:t xml:space="preserve"> </w:t>
      </w:r>
      <w:r>
        <w:rPr>
          <w:spacing w:val="-2"/>
        </w:rPr>
        <w:t>Service</w:t>
      </w:r>
      <w:r>
        <w:rPr>
          <w:spacing w:val="32"/>
        </w:rPr>
        <w:t xml:space="preserve"> </w:t>
      </w:r>
      <w:r>
        <w:rPr>
          <w:spacing w:val="-1"/>
        </w:rPr>
        <w:t>Stations.</w:t>
      </w:r>
    </w:p>
    <w:p w:rsidR="008918FA" w:rsidRDefault="008918FA" w:rsidP="008918FA">
      <w:pPr>
        <w:pStyle w:val="BodyText"/>
        <w:numPr>
          <w:ilvl w:val="2"/>
          <w:numId w:val="4"/>
        </w:numPr>
        <w:tabs>
          <w:tab w:val="left" w:pos="1887"/>
        </w:tabs>
        <w:ind w:left="1886" w:right="112"/>
        <w:jc w:val="both"/>
      </w:pPr>
      <w:r>
        <w:rPr>
          <w:b/>
          <w:spacing w:val="-1"/>
        </w:rPr>
        <w:t>"Officer</w:t>
      </w:r>
      <w:r>
        <w:rPr>
          <w:b/>
          <w:spacing w:val="38"/>
        </w:rPr>
        <w:t xml:space="preserve"> </w:t>
      </w:r>
      <w:r>
        <w:rPr>
          <w:b/>
        </w:rPr>
        <w:t>in</w:t>
      </w:r>
      <w:r>
        <w:rPr>
          <w:b/>
          <w:spacing w:val="40"/>
        </w:rPr>
        <w:t xml:space="preserve"> </w:t>
      </w:r>
      <w:r>
        <w:rPr>
          <w:b/>
          <w:spacing w:val="-1"/>
        </w:rPr>
        <w:t>charge"</w:t>
      </w:r>
      <w:r>
        <w:rPr>
          <w:b/>
          <w:spacing w:val="41"/>
        </w:rPr>
        <w:t xml:space="preserve"> </w:t>
      </w:r>
      <w:r>
        <w:rPr>
          <w:spacing w:val="-2"/>
        </w:rPr>
        <w:t>shall</w:t>
      </w:r>
      <w:r>
        <w:rPr>
          <w:spacing w:val="39"/>
        </w:rPr>
        <w:t xml:space="preserve"> </w:t>
      </w:r>
      <w:r>
        <w:rPr>
          <w:spacing w:val="-1"/>
        </w:rPr>
        <w:t>include</w:t>
      </w:r>
      <w:r>
        <w:rPr>
          <w:spacing w:val="40"/>
        </w:rPr>
        <w:t xml:space="preserve"> </w:t>
      </w:r>
      <w:r>
        <w:t>Officers</w:t>
      </w:r>
      <w:r>
        <w:rPr>
          <w:spacing w:val="38"/>
        </w:rPr>
        <w:t xml:space="preserve"> </w:t>
      </w:r>
      <w:r>
        <w:rPr>
          <w:spacing w:val="-2"/>
        </w:rPr>
        <w:t>Commanding</w:t>
      </w:r>
      <w:r>
        <w:rPr>
          <w:spacing w:val="43"/>
        </w:rPr>
        <w:t xml:space="preserve"> </w:t>
      </w:r>
      <w:r>
        <w:rPr>
          <w:spacing w:val="-2"/>
        </w:rPr>
        <w:t>Service</w:t>
      </w:r>
      <w:r>
        <w:rPr>
          <w:spacing w:val="38"/>
        </w:rPr>
        <w:t xml:space="preserve"> </w:t>
      </w:r>
      <w:r>
        <w:rPr>
          <w:spacing w:val="-1"/>
        </w:rPr>
        <w:t>Stations,</w:t>
      </w:r>
      <w:r>
        <w:rPr>
          <w:spacing w:val="30"/>
        </w:rPr>
        <w:t xml:space="preserve"> </w:t>
      </w:r>
      <w:r>
        <w:rPr>
          <w:spacing w:val="-1"/>
        </w:rPr>
        <w:t>Ships'</w:t>
      </w:r>
      <w:r>
        <w:rPr>
          <w:spacing w:val="30"/>
        </w:rPr>
        <w:t xml:space="preserve"> </w:t>
      </w:r>
      <w:r>
        <w:rPr>
          <w:spacing w:val="-1"/>
        </w:rPr>
        <w:t>Masters</w:t>
      </w:r>
      <w:r>
        <w:rPr>
          <w:spacing w:val="28"/>
        </w:rPr>
        <w:t xml:space="preserve"> </w:t>
      </w:r>
      <w:r>
        <w:rPr>
          <w:spacing w:val="-2"/>
        </w:rPr>
        <w:t>or</w:t>
      </w:r>
      <w:r>
        <w:rPr>
          <w:spacing w:val="29"/>
        </w:rPr>
        <w:t xml:space="preserve"> </w:t>
      </w:r>
      <w:r>
        <w:rPr>
          <w:spacing w:val="-1"/>
        </w:rPr>
        <w:t>Senior</w:t>
      </w:r>
      <w:r>
        <w:rPr>
          <w:spacing w:val="29"/>
        </w:rPr>
        <w:t xml:space="preserve"> </w:t>
      </w:r>
      <w:r>
        <w:rPr>
          <w:spacing w:val="-1"/>
        </w:rPr>
        <w:t>Officers,</w:t>
      </w:r>
      <w:r>
        <w:rPr>
          <w:spacing w:val="30"/>
        </w:rPr>
        <w:t xml:space="preserve"> </w:t>
      </w:r>
      <w:r>
        <w:rPr>
          <w:spacing w:val="-1"/>
        </w:rPr>
        <w:t>and</w:t>
      </w:r>
      <w:r>
        <w:rPr>
          <w:spacing w:val="26"/>
        </w:rPr>
        <w:t xml:space="preserve"> </w:t>
      </w:r>
      <w:r>
        <w:rPr>
          <w:spacing w:val="-1"/>
        </w:rPr>
        <w:t>Officers</w:t>
      </w:r>
      <w:r>
        <w:rPr>
          <w:spacing w:val="31"/>
        </w:rPr>
        <w:t xml:space="preserve"> </w:t>
      </w:r>
      <w:r>
        <w:rPr>
          <w:spacing w:val="-1"/>
        </w:rPr>
        <w:t>superintending</w:t>
      </w:r>
      <w:r>
        <w:t xml:space="preserve"> </w:t>
      </w:r>
      <w:r>
        <w:rPr>
          <w:spacing w:val="-1"/>
        </w:rPr>
        <w:t>Government</w:t>
      </w:r>
      <w:r>
        <w:rPr>
          <w:spacing w:val="2"/>
        </w:rPr>
        <w:t xml:space="preserve"> </w:t>
      </w:r>
      <w:r>
        <w:rPr>
          <w:spacing w:val="-1"/>
        </w:rPr>
        <w:t>Establishments.</w:t>
      </w:r>
    </w:p>
    <w:p w:rsidR="008918FA" w:rsidRDefault="008918FA" w:rsidP="008918FA">
      <w:pPr>
        <w:pStyle w:val="BodyText"/>
        <w:numPr>
          <w:ilvl w:val="1"/>
          <w:numId w:val="4"/>
        </w:numPr>
        <w:tabs>
          <w:tab w:val="left" w:pos="689"/>
        </w:tabs>
        <w:ind w:left="688" w:right="111"/>
        <w:jc w:val="both"/>
      </w:pPr>
      <w:r>
        <w:t>The</w:t>
      </w:r>
      <w:r>
        <w:rPr>
          <w:spacing w:val="7"/>
        </w:rPr>
        <w:t xml:space="preserve"> </w:t>
      </w:r>
      <w:r>
        <w:rPr>
          <w:spacing w:val="-2"/>
        </w:rPr>
        <w:t>following</w:t>
      </w:r>
      <w:r>
        <w:rPr>
          <w:spacing w:val="12"/>
        </w:rPr>
        <w:t xml:space="preserve"> </w:t>
      </w:r>
      <w:r>
        <w:rPr>
          <w:spacing w:val="-1"/>
        </w:rPr>
        <w:t>clauses</w:t>
      </w:r>
      <w:r>
        <w:rPr>
          <w:spacing w:val="10"/>
        </w:rPr>
        <w:t xml:space="preserve"> </w:t>
      </w:r>
      <w:r>
        <w:rPr>
          <w:spacing w:val="-2"/>
        </w:rPr>
        <w:t>shall</w:t>
      </w:r>
      <w:r>
        <w:rPr>
          <w:spacing w:val="9"/>
        </w:rPr>
        <w:t xml:space="preserve"> </w:t>
      </w:r>
      <w:r>
        <w:rPr>
          <w:spacing w:val="-1"/>
        </w:rPr>
        <w:t>be</w:t>
      </w:r>
      <w:r>
        <w:rPr>
          <w:spacing w:val="10"/>
        </w:rPr>
        <w:t xml:space="preserve"> </w:t>
      </w:r>
      <w:r>
        <w:rPr>
          <w:spacing w:val="-1"/>
        </w:rPr>
        <w:t>inserted</w:t>
      </w:r>
      <w:r>
        <w:rPr>
          <w:spacing w:val="7"/>
        </w:rPr>
        <w:t xml:space="preserve"> </w:t>
      </w:r>
      <w:r>
        <w:rPr>
          <w:spacing w:val="-1"/>
        </w:rPr>
        <w:t>into</w:t>
      </w:r>
      <w:r>
        <w:rPr>
          <w:spacing w:val="10"/>
        </w:rPr>
        <w:t xml:space="preserve"> </w:t>
      </w:r>
      <w:r>
        <w:rPr>
          <w:spacing w:val="-2"/>
        </w:rPr>
        <w:t>Clause</w:t>
      </w:r>
      <w:r>
        <w:rPr>
          <w:spacing w:val="10"/>
        </w:rPr>
        <w:t xml:space="preserve"> </w:t>
      </w:r>
      <w:hyperlink w:anchor="_bookmark47" w:history="1">
        <w:r>
          <w:t>2</w:t>
        </w:r>
      </w:hyperlink>
      <w:r>
        <w:rPr>
          <w:spacing w:val="13"/>
        </w:rPr>
        <w:t xml:space="preserve"> </w:t>
      </w:r>
      <w:r>
        <w:rPr>
          <w:spacing w:val="-2"/>
        </w:rPr>
        <w:t>of</w:t>
      </w:r>
      <w:r>
        <w:rPr>
          <w:spacing w:val="11"/>
        </w:rPr>
        <w:t xml:space="preserve"> </w:t>
      </w:r>
      <w:r>
        <w:rPr>
          <w:spacing w:val="-1"/>
        </w:rPr>
        <w:t>this</w:t>
      </w:r>
      <w:r>
        <w:rPr>
          <w:spacing w:val="8"/>
        </w:rPr>
        <w:t xml:space="preserve"> </w:t>
      </w:r>
      <w:r>
        <w:rPr>
          <w:spacing w:val="-2"/>
        </w:rPr>
        <w:t>Call</w:t>
      </w:r>
      <w:r>
        <w:rPr>
          <w:spacing w:val="9"/>
        </w:rPr>
        <w:t xml:space="preserve"> </w:t>
      </w:r>
      <w:r>
        <w:rPr>
          <w:spacing w:val="-1"/>
        </w:rPr>
        <w:t>Off</w:t>
      </w:r>
      <w:r>
        <w:rPr>
          <w:spacing w:val="11"/>
        </w:rPr>
        <w:t xml:space="preserve"> </w:t>
      </w:r>
      <w:r>
        <w:rPr>
          <w:spacing w:val="-2"/>
        </w:rPr>
        <w:t>Contract</w:t>
      </w:r>
      <w:r>
        <w:rPr>
          <w:spacing w:val="11"/>
        </w:rPr>
        <w:t xml:space="preserve"> </w:t>
      </w:r>
      <w:r>
        <w:rPr>
          <w:spacing w:val="-1"/>
        </w:rPr>
        <w:t>(Due</w:t>
      </w:r>
      <w:r>
        <w:rPr>
          <w:spacing w:val="75"/>
        </w:rPr>
        <w:t xml:space="preserve"> </w:t>
      </w:r>
      <w:r>
        <w:rPr>
          <w:spacing w:val="-1"/>
        </w:rPr>
        <w:t>Diligence):</w:t>
      </w:r>
    </w:p>
    <w:p w:rsidR="008918FA" w:rsidRDefault="008918FA" w:rsidP="008918FA">
      <w:pPr>
        <w:pStyle w:val="BodyText"/>
        <w:numPr>
          <w:ilvl w:val="1"/>
          <w:numId w:val="4"/>
        </w:numPr>
        <w:tabs>
          <w:tab w:val="left" w:pos="689"/>
        </w:tabs>
        <w:spacing w:before="121"/>
        <w:ind w:left="688" w:right="114"/>
        <w:jc w:val="both"/>
      </w:pPr>
      <w:r>
        <w:t>The</w:t>
      </w:r>
      <w:r>
        <w:rPr>
          <w:spacing w:val="5"/>
        </w:rPr>
        <w:t xml:space="preserve"> </w:t>
      </w:r>
      <w:r>
        <w:rPr>
          <w:spacing w:val="-2"/>
        </w:rPr>
        <w:t>Supplier</w:t>
      </w:r>
      <w:r>
        <w:rPr>
          <w:spacing w:val="6"/>
        </w:rPr>
        <w:t xml:space="preserve"> </w:t>
      </w:r>
      <w:r>
        <w:rPr>
          <w:spacing w:val="-1"/>
        </w:rPr>
        <w:t>confirms</w:t>
      </w:r>
      <w:r>
        <w:rPr>
          <w:spacing w:val="3"/>
        </w:rPr>
        <w:t xml:space="preserve"> </w:t>
      </w:r>
      <w:r>
        <w:rPr>
          <w:spacing w:val="-1"/>
        </w:rPr>
        <w:t>that</w:t>
      </w:r>
      <w:r>
        <w:rPr>
          <w:spacing w:val="7"/>
        </w:rPr>
        <w:t xml:space="preserve"> </w:t>
      </w:r>
      <w:r>
        <w:rPr>
          <w:spacing w:val="-1"/>
        </w:rPr>
        <w:t>it</w:t>
      </w:r>
      <w:r>
        <w:rPr>
          <w:spacing w:val="8"/>
        </w:rPr>
        <w:t xml:space="preserve"> </w:t>
      </w:r>
      <w:r>
        <w:rPr>
          <w:spacing w:val="-1"/>
        </w:rPr>
        <w:t>has</w:t>
      </w:r>
      <w:r>
        <w:rPr>
          <w:spacing w:val="3"/>
        </w:rPr>
        <w:t xml:space="preserve"> </w:t>
      </w:r>
      <w:r>
        <w:rPr>
          <w:spacing w:val="-1"/>
        </w:rPr>
        <w:t>had</w:t>
      </w:r>
      <w:r>
        <w:rPr>
          <w:spacing w:val="3"/>
        </w:rPr>
        <w:t xml:space="preserve"> </w:t>
      </w:r>
      <w:r>
        <w:t>the</w:t>
      </w:r>
      <w:r>
        <w:rPr>
          <w:spacing w:val="5"/>
        </w:rPr>
        <w:t xml:space="preserve"> </w:t>
      </w:r>
      <w:r>
        <w:rPr>
          <w:spacing w:val="-1"/>
        </w:rPr>
        <w:t>opportunity</w:t>
      </w:r>
      <w:r>
        <w:rPr>
          <w:spacing w:val="3"/>
        </w:rPr>
        <w:t xml:space="preserve"> </w:t>
      </w:r>
      <w:r>
        <w:t>to</w:t>
      </w:r>
      <w:r>
        <w:rPr>
          <w:spacing w:val="5"/>
        </w:rPr>
        <w:t xml:space="preserve"> </w:t>
      </w:r>
      <w:r>
        <w:rPr>
          <w:spacing w:val="-2"/>
        </w:rPr>
        <w:t>review</w:t>
      </w:r>
      <w:r>
        <w:rPr>
          <w:spacing w:val="2"/>
        </w:rPr>
        <w:t xml:space="preserve"> </w:t>
      </w:r>
      <w:r>
        <w:t>the</w:t>
      </w:r>
      <w:r>
        <w:rPr>
          <w:spacing w:val="7"/>
        </w:rPr>
        <w:t xml:space="preserve"> </w:t>
      </w:r>
      <w:r>
        <w:rPr>
          <w:spacing w:val="-2"/>
        </w:rPr>
        <w:t>MoD</w:t>
      </w:r>
      <w:r>
        <w:rPr>
          <w:spacing w:val="4"/>
        </w:rPr>
        <w:t xml:space="preserve"> </w:t>
      </w:r>
      <w:r>
        <w:t>Terms</w:t>
      </w:r>
      <w:r>
        <w:rPr>
          <w:spacing w:val="3"/>
        </w:rPr>
        <w:t xml:space="preserve"> </w:t>
      </w:r>
      <w:r>
        <w:rPr>
          <w:spacing w:val="-1"/>
        </w:rPr>
        <w:t>and</w:t>
      </w:r>
      <w:r>
        <w:rPr>
          <w:spacing w:val="42"/>
        </w:rPr>
        <w:t xml:space="preserve"> </w:t>
      </w:r>
      <w:r>
        <w:rPr>
          <w:spacing w:val="-1"/>
        </w:rPr>
        <w:t>Conditions</w:t>
      </w:r>
      <w:r>
        <w:rPr>
          <w:spacing w:val="35"/>
        </w:rPr>
        <w:t xml:space="preserve"> </w:t>
      </w:r>
      <w:r>
        <w:rPr>
          <w:spacing w:val="-1"/>
        </w:rPr>
        <w:t>and</w:t>
      </w:r>
      <w:r>
        <w:rPr>
          <w:spacing w:val="35"/>
        </w:rPr>
        <w:t xml:space="preserve"> </w:t>
      </w:r>
      <w:r>
        <w:rPr>
          <w:spacing w:val="-1"/>
        </w:rPr>
        <w:t>has</w:t>
      </w:r>
      <w:r>
        <w:rPr>
          <w:spacing w:val="35"/>
        </w:rPr>
        <w:t xml:space="preserve"> </w:t>
      </w:r>
      <w:r>
        <w:rPr>
          <w:spacing w:val="-1"/>
        </w:rPr>
        <w:t>raised</w:t>
      </w:r>
      <w:r>
        <w:rPr>
          <w:spacing w:val="35"/>
        </w:rPr>
        <w:t xml:space="preserve"> </w:t>
      </w:r>
      <w:r>
        <w:rPr>
          <w:spacing w:val="-1"/>
        </w:rPr>
        <w:t>all</w:t>
      </w:r>
      <w:r>
        <w:rPr>
          <w:spacing w:val="34"/>
        </w:rPr>
        <w:t xml:space="preserve"> </w:t>
      </w:r>
      <w:r>
        <w:rPr>
          <w:spacing w:val="-1"/>
        </w:rPr>
        <w:t>due</w:t>
      </w:r>
      <w:r>
        <w:rPr>
          <w:spacing w:val="37"/>
        </w:rPr>
        <w:t xml:space="preserve"> </w:t>
      </w:r>
      <w:r>
        <w:rPr>
          <w:spacing w:val="-1"/>
        </w:rPr>
        <w:t>diligence</w:t>
      </w:r>
      <w:r>
        <w:rPr>
          <w:spacing w:val="36"/>
        </w:rPr>
        <w:t xml:space="preserve"> </w:t>
      </w:r>
      <w:r>
        <w:rPr>
          <w:spacing w:val="-1"/>
        </w:rPr>
        <w:t>questions</w:t>
      </w:r>
      <w:r>
        <w:rPr>
          <w:spacing w:val="35"/>
        </w:rPr>
        <w:t xml:space="preserve"> </w:t>
      </w:r>
      <w:r>
        <w:rPr>
          <w:spacing w:val="-1"/>
        </w:rPr>
        <w:t>in</w:t>
      </w:r>
      <w:r>
        <w:rPr>
          <w:spacing w:val="35"/>
        </w:rPr>
        <w:t xml:space="preserve"> </w:t>
      </w:r>
      <w:r>
        <w:rPr>
          <w:spacing w:val="-1"/>
        </w:rPr>
        <w:t>relation</w:t>
      </w:r>
      <w:r>
        <w:rPr>
          <w:spacing w:val="32"/>
        </w:rPr>
        <w:t xml:space="preserve"> </w:t>
      </w:r>
      <w:r>
        <w:t>to</w:t>
      </w:r>
      <w:r>
        <w:rPr>
          <w:spacing w:val="35"/>
        </w:rPr>
        <w:t xml:space="preserve"> </w:t>
      </w:r>
      <w:r>
        <w:rPr>
          <w:spacing w:val="-1"/>
        </w:rPr>
        <w:t>those</w:t>
      </w:r>
      <w:r>
        <w:rPr>
          <w:spacing w:val="38"/>
        </w:rPr>
        <w:t xml:space="preserve"> </w:t>
      </w:r>
      <w:r>
        <w:rPr>
          <w:spacing w:val="-1"/>
        </w:rPr>
        <w:t>documents</w:t>
      </w:r>
      <w:r>
        <w:rPr>
          <w:spacing w:val="1"/>
        </w:rPr>
        <w:t xml:space="preserve"> </w:t>
      </w:r>
      <w:r>
        <w:rPr>
          <w:spacing w:val="-2"/>
        </w:rPr>
        <w:t>with</w:t>
      </w:r>
      <w:r>
        <w:t xml:space="preserve"> the</w:t>
      </w:r>
      <w:r>
        <w:rPr>
          <w:spacing w:val="-2"/>
        </w:rPr>
        <w:t xml:space="preserve"> </w:t>
      </w:r>
      <w:r>
        <w:rPr>
          <w:spacing w:val="-1"/>
        </w:rPr>
        <w:t xml:space="preserve">Customer prior </w:t>
      </w:r>
      <w:r>
        <w:t>to</w:t>
      </w:r>
      <w:r>
        <w:rPr>
          <w:spacing w:val="-2"/>
        </w:rPr>
        <w:t xml:space="preserve"> </w:t>
      </w:r>
      <w:r>
        <w:t>the</w:t>
      </w:r>
      <w:r>
        <w:rPr>
          <w:spacing w:val="-2"/>
        </w:rPr>
        <w:t xml:space="preserve"> </w:t>
      </w:r>
      <w:r>
        <w:rPr>
          <w:spacing w:val="-1"/>
        </w:rPr>
        <w:t>Commencement</w:t>
      </w:r>
      <w:r>
        <w:t xml:space="preserve"> </w:t>
      </w:r>
      <w:r>
        <w:rPr>
          <w:spacing w:val="-1"/>
        </w:rPr>
        <w:t>Date.</w:t>
      </w:r>
    </w:p>
    <w:p w:rsidR="008918FA" w:rsidRDefault="008918FA" w:rsidP="008918FA">
      <w:pPr>
        <w:pStyle w:val="BodyText"/>
        <w:numPr>
          <w:ilvl w:val="2"/>
          <w:numId w:val="4"/>
        </w:numPr>
        <w:tabs>
          <w:tab w:val="left" w:pos="1887"/>
        </w:tabs>
        <w:ind w:left="1886" w:right="113"/>
        <w:jc w:val="both"/>
      </w:pPr>
      <w:r>
        <w:rPr>
          <w:spacing w:val="-1"/>
        </w:rPr>
        <w:t>Where</w:t>
      </w:r>
      <w:r>
        <w:rPr>
          <w:spacing w:val="15"/>
        </w:rPr>
        <w:t xml:space="preserve"> </w:t>
      </w:r>
      <w:r>
        <w:rPr>
          <w:spacing w:val="-1"/>
        </w:rPr>
        <w:t>required</w:t>
      </w:r>
      <w:r>
        <w:rPr>
          <w:spacing w:val="15"/>
        </w:rPr>
        <w:t xml:space="preserve"> </w:t>
      </w:r>
      <w:r>
        <w:rPr>
          <w:spacing w:val="-1"/>
        </w:rPr>
        <w:t>by</w:t>
      </w:r>
      <w:r>
        <w:rPr>
          <w:spacing w:val="13"/>
        </w:rPr>
        <w:t xml:space="preserve"> </w:t>
      </w:r>
      <w:r>
        <w:t>the</w:t>
      </w:r>
      <w:r>
        <w:rPr>
          <w:spacing w:val="12"/>
        </w:rPr>
        <w:t xml:space="preserve"> </w:t>
      </w:r>
      <w:r>
        <w:rPr>
          <w:spacing w:val="-1"/>
        </w:rPr>
        <w:t>Customer,</w:t>
      </w:r>
      <w:r>
        <w:rPr>
          <w:spacing w:val="14"/>
        </w:rPr>
        <w:t xml:space="preserve"> </w:t>
      </w:r>
      <w:r>
        <w:t>the</w:t>
      </w:r>
      <w:r>
        <w:rPr>
          <w:spacing w:val="15"/>
        </w:rPr>
        <w:t xml:space="preserve"> </w:t>
      </w:r>
      <w:r>
        <w:rPr>
          <w:spacing w:val="-2"/>
        </w:rPr>
        <w:t>Supplier</w:t>
      </w:r>
      <w:r>
        <w:rPr>
          <w:spacing w:val="16"/>
        </w:rPr>
        <w:t xml:space="preserve"> </w:t>
      </w:r>
      <w:r>
        <w:rPr>
          <w:spacing w:val="-1"/>
        </w:rPr>
        <w:t>shall</w:t>
      </w:r>
      <w:r>
        <w:rPr>
          <w:spacing w:val="14"/>
        </w:rPr>
        <w:t xml:space="preserve"> </w:t>
      </w:r>
      <w:r>
        <w:t>take</w:t>
      </w:r>
      <w:r>
        <w:rPr>
          <w:spacing w:val="15"/>
        </w:rPr>
        <w:t xml:space="preserve"> </w:t>
      </w:r>
      <w:r>
        <w:rPr>
          <w:spacing w:val="-1"/>
        </w:rPr>
        <w:t>such</w:t>
      </w:r>
      <w:r>
        <w:rPr>
          <w:spacing w:val="15"/>
        </w:rPr>
        <w:t xml:space="preserve"> </w:t>
      </w:r>
      <w:r>
        <w:rPr>
          <w:spacing w:val="-2"/>
        </w:rPr>
        <w:t>actions</w:t>
      </w:r>
      <w:r>
        <w:rPr>
          <w:spacing w:val="56"/>
        </w:rPr>
        <w:t xml:space="preserve"> </w:t>
      </w:r>
      <w:r>
        <w:rPr>
          <w:spacing w:val="-1"/>
        </w:rPr>
        <w:t>as</w:t>
      </w:r>
      <w:r>
        <w:rPr>
          <w:spacing w:val="12"/>
        </w:rPr>
        <w:t xml:space="preserve"> </w:t>
      </w:r>
      <w:r>
        <w:rPr>
          <w:spacing w:val="-1"/>
        </w:rPr>
        <w:t>are</w:t>
      </w:r>
      <w:r>
        <w:rPr>
          <w:spacing w:val="11"/>
        </w:rPr>
        <w:t xml:space="preserve"> </w:t>
      </w:r>
      <w:r>
        <w:rPr>
          <w:spacing w:val="-1"/>
        </w:rPr>
        <w:t>necessary</w:t>
      </w:r>
      <w:r>
        <w:rPr>
          <w:spacing w:val="9"/>
        </w:rPr>
        <w:t xml:space="preserve"> </w:t>
      </w:r>
      <w:r>
        <w:t>to</w:t>
      </w:r>
      <w:r>
        <w:rPr>
          <w:spacing w:val="11"/>
        </w:rPr>
        <w:t xml:space="preserve"> </w:t>
      </w:r>
      <w:r>
        <w:rPr>
          <w:spacing w:val="-1"/>
        </w:rPr>
        <w:t>ensure</w:t>
      </w:r>
      <w:r>
        <w:rPr>
          <w:spacing w:val="11"/>
        </w:rPr>
        <w:t xml:space="preserve"> </w:t>
      </w:r>
      <w:r>
        <w:rPr>
          <w:spacing w:val="-1"/>
        </w:rPr>
        <w:t>that</w:t>
      </w:r>
      <w:r>
        <w:rPr>
          <w:spacing w:val="13"/>
        </w:rPr>
        <w:t xml:space="preserve"> </w:t>
      </w:r>
      <w:r>
        <w:t>the</w:t>
      </w:r>
      <w:r>
        <w:rPr>
          <w:spacing w:val="11"/>
        </w:rPr>
        <w:t xml:space="preserve"> </w:t>
      </w:r>
      <w:r>
        <w:rPr>
          <w:spacing w:val="-2"/>
        </w:rPr>
        <w:t>MoD</w:t>
      </w:r>
      <w:r>
        <w:rPr>
          <w:spacing w:val="11"/>
        </w:rPr>
        <w:t xml:space="preserve"> </w:t>
      </w:r>
      <w:r>
        <w:t>Terms</w:t>
      </w:r>
      <w:r>
        <w:rPr>
          <w:spacing w:val="12"/>
        </w:rPr>
        <w:t xml:space="preserve"> </w:t>
      </w:r>
      <w:r>
        <w:rPr>
          <w:spacing w:val="-1"/>
        </w:rPr>
        <w:t>and</w:t>
      </w:r>
      <w:r>
        <w:rPr>
          <w:spacing w:val="11"/>
        </w:rPr>
        <w:t xml:space="preserve"> </w:t>
      </w:r>
      <w:r>
        <w:rPr>
          <w:spacing w:val="-2"/>
        </w:rPr>
        <w:t>Conditions</w:t>
      </w:r>
      <w:r>
        <w:rPr>
          <w:spacing w:val="44"/>
        </w:rPr>
        <w:t xml:space="preserve"> </w:t>
      </w:r>
      <w:r>
        <w:rPr>
          <w:spacing w:val="-1"/>
        </w:rPr>
        <w:t>constitute</w:t>
      </w:r>
      <w:r>
        <w:rPr>
          <w:spacing w:val="16"/>
        </w:rPr>
        <w:t xml:space="preserve"> </w:t>
      </w:r>
      <w:r>
        <w:rPr>
          <w:spacing w:val="-1"/>
        </w:rPr>
        <w:t>legal,</w:t>
      </w:r>
      <w:r>
        <w:rPr>
          <w:spacing w:val="17"/>
        </w:rPr>
        <w:t xml:space="preserve"> </w:t>
      </w:r>
      <w:r>
        <w:rPr>
          <w:spacing w:val="-2"/>
        </w:rPr>
        <w:t>valid,</w:t>
      </w:r>
      <w:r>
        <w:rPr>
          <w:spacing w:val="15"/>
        </w:rPr>
        <w:t xml:space="preserve"> </w:t>
      </w:r>
      <w:r>
        <w:rPr>
          <w:spacing w:val="-2"/>
        </w:rPr>
        <w:t>binding</w:t>
      </w:r>
      <w:r>
        <w:rPr>
          <w:spacing w:val="18"/>
        </w:rPr>
        <w:t xml:space="preserve"> </w:t>
      </w:r>
      <w:r>
        <w:rPr>
          <w:spacing w:val="-1"/>
        </w:rPr>
        <w:t>and</w:t>
      </w:r>
      <w:r>
        <w:rPr>
          <w:spacing w:val="16"/>
        </w:rPr>
        <w:t xml:space="preserve"> </w:t>
      </w:r>
      <w:r>
        <w:rPr>
          <w:spacing w:val="-1"/>
        </w:rPr>
        <w:t>enforceable</w:t>
      </w:r>
      <w:r>
        <w:rPr>
          <w:spacing w:val="16"/>
        </w:rPr>
        <w:t xml:space="preserve"> </w:t>
      </w:r>
      <w:r>
        <w:rPr>
          <w:spacing w:val="-1"/>
        </w:rPr>
        <w:t>obligations</w:t>
      </w:r>
      <w:r>
        <w:rPr>
          <w:spacing w:val="16"/>
        </w:rPr>
        <w:t xml:space="preserve"> </w:t>
      </w:r>
      <w:r>
        <w:rPr>
          <w:spacing w:val="-1"/>
        </w:rPr>
        <w:t>on</w:t>
      </w:r>
      <w:r>
        <w:rPr>
          <w:spacing w:val="16"/>
        </w:rPr>
        <w:t xml:space="preserve"> </w:t>
      </w:r>
      <w:r>
        <w:rPr>
          <w:spacing w:val="-1"/>
        </w:rPr>
        <w:t>the</w:t>
      </w:r>
      <w:r>
        <w:rPr>
          <w:spacing w:val="50"/>
        </w:rPr>
        <w:t xml:space="preserve"> </w:t>
      </w:r>
      <w:r>
        <w:rPr>
          <w:spacing w:val="-1"/>
        </w:rPr>
        <w:t>Supplier.</w:t>
      </w:r>
    </w:p>
    <w:p w:rsidR="008918FA" w:rsidRDefault="008918FA" w:rsidP="008918FA">
      <w:pPr>
        <w:pStyle w:val="BodyText"/>
        <w:numPr>
          <w:ilvl w:val="1"/>
          <w:numId w:val="4"/>
        </w:numPr>
        <w:tabs>
          <w:tab w:val="left" w:pos="689"/>
        </w:tabs>
        <w:spacing w:before="121"/>
        <w:ind w:left="688"/>
      </w:pPr>
      <w:r>
        <w:t>The</w:t>
      </w:r>
      <w:r>
        <w:rPr>
          <w:spacing w:val="-4"/>
        </w:rPr>
        <w:t xml:space="preserve"> </w:t>
      </w:r>
      <w:r>
        <w:rPr>
          <w:spacing w:val="-2"/>
        </w:rPr>
        <w:t>following</w:t>
      </w:r>
      <w:r>
        <w:rPr>
          <w:spacing w:val="3"/>
        </w:rPr>
        <w:t xml:space="preserve"> </w:t>
      </w:r>
      <w:r>
        <w:rPr>
          <w:spacing w:val="-1"/>
        </w:rPr>
        <w:t>new</w:t>
      </w:r>
      <w:r>
        <w:rPr>
          <w:spacing w:val="-2"/>
        </w:rPr>
        <w:t xml:space="preserve"> </w:t>
      </w:r>
      <w:r>
        <w:rPr>
          <w:spacing w:val="-1"/>
        </w:rPr>
        <w:t>Clause</w:t>
      </w:r>
      <w:r>
        <w:t xml:space="preserve"> </w:t>
      </w:r>
      <w:r>
        <w:rPr>
          <w:spacing w:val="-1"/>
          <w:highlight w:val="yellow"/>
        </w:rPr>
        <w:t>[58]</w:t>
      </w:r>
      <w:r>
        <w:rPr>
          <w:spacing w:val="2"/>
          <w:highlight w:val="yellow"/>
        </w:rPr>
        <w:t xml:space="preserve"> </w:t>
      </w:r>
      <w:r>
        <w:rPr>
          <w:spacing w:val="-1"/>
        </w:rPr>
        <w:t>shall</w:t>
      </w:r>
      <w:r>
        <w:t xml:space="preserve"> </w:t>
      </w:r>
      <w:r>
        <w:rPr>
          <w:spacing w:val="-2"/>
        </w:rPr>
        <w:t>apply:</w:t>
      </w:r>
    </w:p>
    <w:p w:rsidR="008918FA" w:rsidRDefault="008918FA" w:rsidP="008918FA">
      <w:pPr>
        <w:pStyle w:val="Heading2"/>
        <w:spacing w:before="119"/>
        <w:ind w:left="892" w:right="115"/>
        <w:rPr>
          <w:b w:val="0"/>
          <w:bCs w:val="0"/>
          <w:i w:val="0"/>
        </w:rPr>
      </w:pPr>
      <w:r w:rsidRPr="00CE5AA1">
        <w:rPr>
          <w:spacing w:val="-1"/>
          <w:highlight w:val="green"/>
        </w:rPr>
        <w:t>[Guidance</w:t>
      </w:r>
      <w:r w:rsidRPr="00CE5AA1">
        <w:rPr>
          <w:highlight w:val="green"/>
        </w:rPr>
        <w:t xml:space="preserve"> </w:t>
      </w:r>
      <w:r w:rsidRPr="00CE5AA1">
        <w:rPr>
          <w:spacing w:val="-1"/>
          <w:highlight w:val="green"/>
        </w:rPr>
        <w:t>Note: the</w:t>
      </w:r>
      <w:r w:rsidRPr="00CE5AA1">
        <w:rPr>
          <w:highlight w:val="green"/>
        </w:rPr>
        <w:t xml:space="preserve"> </w:t>
      </w:r>
      <w:r w:rsidRPr="00CE5AA1">
        <w:rPr>
          <w:spacing w:val="-1"/>
          <w:highlight w:val="green"/>
        </w:rPr>
        <w:t>intention</w:t>
      </w:r>
      <w:r w:rsidRPr="00CE5AA1">
        <w:rPr>
          <w:highlight w:val="green"/>
        </w:rPr>
        <w:t xml:space="preserve"> is</w:t>
      </w:r>
      <w:r w:rsidRPr="00CE5AA1">
        <w:rPr>
          <w:spacing w:val="-2"/>
          <w:highlight w:val="green"/>
        </w:rPr>
        <w:t xml:space="preserve"> </w:t>
      </w:r>
      <w:r w:rsidRPr="00CE5AA1">
        <w:rPr>
          <w:spacing w:val="-1"/>
          <w:highlight w:val="green"/>
        </w:rPr>
        <w:t>for the</w:t>
      </w:r>
      <w:r w:rsidRPr="00CE5AA1">
        <w:rPr>
          <w:highlight w:val="green"/>
        </w:rPr>
        <w:t xml:space="preserve"> </w:t>
      </w:r>
      <w:r w:rsidRPr="00CE5AA1">
        <w:rPr>
          <w:spacing w:val="-1"/>
          <w:highlight w:val="green"/>
        </w:rPr>
        <w:t>clause</w:t>
      </w:r>
      <w:r w:rsidRPr="00CE5AA1">
        <w:rPr>
          <w:spacing w:val="-2"/>
          <w:highlight w:val="green"/>
        </w:rPr>
        <w:t xml:space="preserve"> </w:t>
      </w:r>
      <w:r w:rsidRPr="00CE5AA1">
        <w:rPr>
          <w:highlight w:val="green"/>
        </w:rPr>
        <w:t xml:space="preserve">to </w:t>
      </w:r>
      <w:r w:rsidRPr="00CE5AA1">
        <w:rPr>
          <w:spacing w:val="-1"/>
          <w:highlight w:val="green"/>
        </w:rPr>
        <w:t>follow</w:t>
      </w:r>
      <w:r w:rsidRPr="00CE5AA1">
        <w:rPr>
          <w:spacing w:val="2"/>
          <w:highlight w:val="green"/>
        </w:rPr>
        <w:t xml:space="preserve"> </w:t>
      </w:r>
      <w:r w:rsidRPr="00CE5AA1">
        <w:rPr>
          <w:spacing w:val="-1"/>
          <w:highlight w:val="green"/>
        </w:rPr>
        <w:t>after</w:t>
      </w:r>
      <w:r w:rsidRPr="00CE5AA1">
        <w:rPr>
          <w:spacing w:val="1"/>
          <w:highlight w:val="green"/>
        </w:rPr>
        <w:t xml:space="preserve"> </w:t>
      </w:r>
      <w:r w:rsidRPr="00CE5AA1">
        <w:rPr>
          <w:spacing w:val="-1"/>
          <w:highlight w:val="green"/>
        </w:rPr>
        <w:t>the</w:t>
      </w:r>
      <w:r w:rsidRPr="00CE5AA1">
        <w:rPr>
          <w:spacing w:val="-2"/>
          <w:highlight w:val="green"/>
        </w:rPr>
        <w:t xml:space="preserve"> </w:t>
      </w:r>
      <w:r w:rsidRPr="00CE5AA1">
        <w:rPr>
          <w:spacing w:val="-1"/>
          <w:highlight w:val="green"/>
        </w:rPr>
        <w:t>last clause</w:t>
      </w:r>
      <w:r w:rsidRPr="00CE5AA1">
        <w:rPr>
          <w:spacing w:val="54"/>
          <w:highlight w:val="green"/>
        </w:rPr>
        <w:t xml:space="preserve"> </w:t>
      </w:r>
      <w:r w:rsidRPr="00CE5AA1">
        <w:rPr>
          <w:highlight w:val="green"/>
        </w:rPr>
        <w:t>in</w:t>
      </w:r>
      <w:r w:rsidRPr="00CE5AA1">
        <w:rPr>
          <w:spacing w:val="-2"/>
          <w:highlight w:val="green"/>
        </w:rPr>
        <w:t xml:space="preserve"> </w:t>
      </w:r>
      <w:r w:rsidRPr="00CE5AA1">
        <w:rPr>
          <w:spacing w:val="-1"/>
          <w:highlight w:val="green"/>
        </w:rPr>
        <w:t>the</w:t>
      </w:r>
      <w:r w:rsidRPr="00CE5AA1">
        <w:rPr>
          <w:highlight w:val="green"/>
        </w:rPr>
        <w:t xml:space="preserve"> </w:t>
      </w:r>
      <w:r w:rsidRPr="00CE5AA1">
        <w:rPr>
          <w:spacing w:val="-2"/>
          <w:highlight w:val="green"/>
        </w:rPr>
        <w:t>T&amp;Cs</w:t>
      </w:r>
      <w:r w:rsidRPr="00CE5AA1">
        <w:rPr>
          <w:highlight w:val="green"/>
        </w:rPr>
        <w:t xml:space="preserve"> </w:t>
      </w:r>
      <w:r w:rsidRPr="00CE5AA1">
        <w:rPr>
          <w:spacing w:val="-1"/>
          <w:highlight w:val="green"/>
        </w:rPr>
        <w:t>and/or the</w:t>
      </w:r>
      <w:r w:rsidRPr="00CE5AA1">
        <w:rPr>
          <w:spacing w:val="-4"/>
          <w:highlight w:val="green"/>
        </w:rPr>
        <w:t xml:space="preserve"> </w:t>
      </w:r>
      <w:r w:rsidRPr="00CE5AA1">
        <w:rPr>
          <w:spacing w:val="-1"/>
          <w:highlight w:val="green"/>
        </w:rPr>
        <w:t>Additional</w:t>
      </w:r>
      <w:r w:rsidRPr="00CE5AA1">
        <w:rPr>
          <w:spacing w:val="2"/>
          <w:highlight w:val="green"/>
        </w:rPr>
        <w:t xml:space="preserve"> </w:t>
      </w:r>
      <w:r w:rsidRPr="00CE5AA1">
        <w:rPr>
          <w:spacing w:val="-1"/>
          <w:highlight w:val="green"/>
        </w:rPr>
        <w:t>Clause</w:t>
      </w:r>
      <w:r w:rsidRPr="00CE5AA1">
        <w:rPr>
          <w:highlight w:val="green"/>
        </w:rPr>
        <w:t xml:space="preserve"> </w:t>
      </w:r>
      <w:r w:rsidRPr="00CE5AA1">
        <w:rPr>
          <w:spacing w:val="-1"/>
          <w:highlight w:val="green"/>
        </w:rPr>
        <w:t>“Security</w:t>
      </w:r>
      <w:r w:rsidRPr="00CE5AA1">
        <w:rPr>
          <w:spacing w:val="-4"/>
          <w:highlight w:val="green"/>
        </w:rPr>
        <w:t xml:space="preserve"> </w:t>
      </w:r>
      <w:r w:rsidRPr="00CE5AA1">
        <w:rPr>
          <w:spacing w:val="-2"/>
          <w:highlight w:val="green"/>
        </w:rPr>
        <w:t>Measures”]</w:t>
      </w:r>
    </w:p>
    <w:p w:rsidR="008918FA" w:rsidRDefault="008918FA" w:rsidP="008918FA">
      <w:pPr>
        <w:rPr>
          <w:rFonts w:ascii="Arial" w:eastAsia="Arial" w:hAnsi="Arial" w:cs="Arial"/>
          <w:b/>
          <w:bCs/>
          <w:i/>
          <w:sz w:val="20"/>
          <w:szCs w:val="20"/>
        </w:rPr>
      </w:pPr>
    </w:p>
    <w:p w:rsidR="008918FA" w:rsidRDefault="008918FA" w:rsidP="008918FA">
      <w:pPr>
        <w:rPr>
          <w:rFonts w:ascii="Arial" w:eastAsia="Arial" w:hAnsi="Arial" w:cs="Arial"/>
          <w:b/>
          <w:bCs/>
          <w:i/>
          <w:sz w:val="20"/>
          <w:szCs w:val="20"/>
        </w:rPr>
      </w:pPr>
    </w:p>
    <w:p w:rsidR="008918FA" w:rsidRDefault="008918FA" w:rsidP="008918FA">
      <w:pPr>
        <w:spacing w:before="4"/>
        <w:rPr>
          <w:rFonts w:ascii="Arial" w:eastAsia="Arial" w:hAnsi="Arial" w:cs="Arial"/>
          <w:b/>
          <w:bCs/>
          <w:i/>
          <w:sz w:val="13"/>
          <w:szCs w:val="13"/>
        </w:rPr>
      </w:pPr>
    </w:p>
    <w:p w:rsidR="008918FA" w:rsidRDefault="008918FA" w:rsidP="008918FA">
      <w:pPr>
        <w:spacing w:line="200" w:lineRule="atLeast"/>
        <w:ind w:left="1233"/>
        <w:rPr>
          <w:rFonts w:ascii="Arial" w:eastAsia="Arial" w:hAnsi="Arial" w:cs="Arial"/>
          <w:sz w:val="20"/>
          <w:szCs w:val="20"/>
        </w:rPr>
      </w:pPr>
      <w:r>
        <w:rPr>
          <w:rFonts w:ascii="Arial" w:eastAsia="Arial" w:hAnsi="Arial" w:cs="Arial"/>
          <w:noProof/>
          <w:sz w:val="20"/>
          <w:szCs w:val="20"/>
          <w:lang w:eastAsia="en-GB"/>
        </w:rPr>
        <mc:AlternateContent>
          <mc:Choice Requires="wps">
            <w:drawing>
              <wp:inline distT="0" distB="0" distL="0" distR="0" wp14:anchorId="03B04AE0" wp14:editId="1D352235">
                <wp:extent cx="2040890" cy="161925"/>
                <wp:effectExtent l="0" t="0" r="0" b="0"/>
                <wp:docPr id="18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619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rsidP="008918FA">
                            <w:pPr>
                              <w:tabs>
                                <w:tab w:val="left" w:pos="511"/>
                              </w:tabs>
                              <w:spacing w:line="248" w:lineRule="exact"/>
                              <w:rPr>
                                <w:rFonts w:ascii="Arial" w:eastAsia="Arial" w:hAnsi="Arial" w:cs="Arial"/>
                              </w:rPr>
                            </w:pPr>
                            <w:r>
                              <w:rPr>
                                <w:rFonts w:ascii="Arial"/>
                                <w:b/>
                                <w:spacing w:val="-1"/>
                              </w:rPr>
                              <w:t>58.</w:t>
                            </w:r>
                            <w:r>
                              <w:rPr>
                                <w:rFonts w:ascii="Arial"/>
                                <w:b/>
                                <w:spacing w:val="-1"/>
                              </w:rPr>
                              <w:tab/>
                              <w:t>[ACCESS</w:t>
                            </w:r>
                            <w:r>
                              <w:rPr>
                                <w:rFonts w:ascii="Arial"/>
                                <w:b/>
                              </w:rPr>
                              <w:t xml:space="preserve"> </w:t>
                            </w:r>
                            <w:r>
                              <w:rPr>
                                <w:rFonts w:ascii="Arial"/>
                                <w:b/>
                                <w:spacing w:val="-2"/>
                              </w:rPr>
                              <w:t>TO</w:t>
                            </w:r>
                            <w:r>
                              <w:rPr>
                                <w:rFonts w:ascii="Arial"/>
                                <w:b/>
                                <w:spacing w:val="2"/>
                              </w:rPr>
                              <w:t xml:space="preserve"> </w:t>
                            </w:r>
                            <w:r>
                              <w:rPr>
                                <w:rFonts w:ascii="Arial"/>
                                <w:b/>
                                <w:spacing w:val="-1"/>
                              </w:rPr>
                              <w:t>MOD</w:t>
                            </w:r>
                            <w:r>
                              <w:rPr>
                                <w:rFonts w:ascii="Arial"/>
                                <w:b/>
                              </w:rPr>
                              <w:t xml:space="preserve"> </w:t>
                            </w:r>
                            <w:r>
                              <w:rPr>
                                <w:rFonts w:ascii="Arial"/>
                                <w:b/>
                                <w:spacing w:val="-1"/>
                              </w:rPr>
                              <w:t>SITES]</w:t>
                            </w:r>
                          </w:p>
                        </w:txbxContent>
                      </wps:txbx>
                      <wps:bodyPr rot="0" vert="horz" wrap="square" lIns="0" tIns="0" rIns="0" bIns="0" anchor="t" anchorCtr="0" upright="1">
                        <a:noAutofit/>
                      </wps:bodyPr>
                    </wps:wsp>
                  </a:graphicData>
                </a:graphic>
              </wp:inline>
            </w:drawing>
          </mc:Choice>
          <mc:Fallback>
            <w:pict>
              <v:shape w14:anchorId="03B04AE0" id="Text Box 180" o:spid="_x0000_s1383" type="#_x0000_t202" style="width:160.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" fillcolor="yellow" stroked="f">
                <v:textbox inset="0,0,0,0">
                  <w:txbxContent>
                    <w:p w:rsidR="005D2B81" w:rsidRDefault="005D2B81" w:rsidP="008918FA">
                      <w:pPr>
                        <w:tabs>
                          <w:tab w:val="left" w:pos="511"/>
                        </w:tabs>
                        <w:spacing w:line="248" w:lineRule="exact"/>
                        <w:rPr>
                          <w:rFonts w:ascii="Arial" w:eastAsia="Arial" w:hAnsi="Arial" w:cs="Arial"/>
                        </w:rPr>
                      </w:pPr>
                      <w:r>
                        <w:rPr>
                          <w:rFonts w:ascii="Arial"/>
                          <w:b/>
                          <w:spacing w:val="-1"/>
                        </w:rPr>
                        <w:t>58.</w:t>
                      </w:r>
                      <w:r>
                        <w:rPr>
                          <w:rFonts w:ascii="Arial"/>
                          <w:b/>
                          <w:spacing w:val="-1"/>
                        </w:rPr>
                        <w:tab/>
                        <w:t>[ACCESS</w:t>
                      </w:r>
                      <w:r>
                        <w:rPr>
                          <w:rFonts w:ascii="Arial"/>
                          <w:b/>
                        </w:rPr>
                        <w:t xml:space="preserve"> </w:t>
                      </w:r>
                      <w:r>
                        <w:rPr>
                          <w:rFonts w:ascii="Arial"/>
                          <w:b/>
                          <w:spacing w:val="-2"/>
                        </w:rPr>
                        <w:t>TO</w:t>
                      </w:r>
                      <w:r>
                        <w:rPr>
                          <w:rFonts w:ascii="Arial"/>
                          <w:b/>
                          <w:spacing w:val="2"/>
                        </w:rPr>
                        <w:t xml:space="preserve"> </w:t>
                      </w:r>
                      <w:r>
                        <w:rPr>
                          <w:rFonts w:ascii="Arial"/>
                          <w:b/>
                          <w:spacing w:val="-1"/>
                        </w:rPr>
                        <w:t>MOD</w:t>
                      </w:r>
                      <w:r>
                        <w:rPr>
                          <w:rFonts w:ascii="Arial"/>
                          <w:b/>
                        </w:rPr>
                        <w:t xml:space="preserve"> </w:t>
                      </w:r>
                      <w:r>
                        <w:rPr>
                          <w:rFonts w:ascii="Arial"/>
                          <w:b/>
                          <w:spacing w:val="-1"/>
                        </w:rPr>
                        <w:t>SITES]</w:t>
                      </w:r>
                    </w:p>
                  </w:txbxContent>
                </v:textbox>
                <w10:anchorlock/>
              </v:shape>
            </w:pict>
          </mc:Fallback>
        </mc:AlternateContent>
      </w:r>
    </w:p>
    <w:p w:rsidR="008918FA" w:rsidRDefault="008918FA" w:rsidP="008918FA">
      <w:pPr>
        <w:spacing w:before="4"/>
        <w:rPr>
          <w:rFonts w:ascii="Arial" w:eastAsia="Arial" w:hAnsi="Arial" w:cs="Arial"/>
          <w:b/>
          <w:bCs/>
          <w:i/>
          <w:sz w:val="14"/>
          <w:szCs w:val="14"/>
        </w:rPr>
      </w:pPr>
    </w:p>
    <w:p w:rsidR="008918FA" w:rsidRDefault="008918FA" w:rsidP="008918FA">
      <w:pPr>
        <w:pStyle w:val="BodyText"/>
        <w:numPr>
          <w:ilvl w:val="1"/>
          <w:numId w:val="1"/>
        </w:numPr>
        <w:tabs>
          <w:tab w:val="left" w:pos="2424"/>
        </w:tabs>
        <w:spacing w:before="72"/>
      </w:pPr>
      <w:r>
        <w:t>In</w:t>
      </w:r>
      <w:r>
        <w:rPr>
          <w:spacing w:val="-2"/>
        </w:rPr>
        <w:t xml:space="preserve"> </w:t>
      </w:r>
      <w:r>
        <w:rPr>
          <w:spacing w:val="-1"/>
        </w:rPr>
        <w:t>this</w:t>
      </w:r>
      <w:r>
        <w:rPr>
          <w:spacing w:val="1"/>
        </w:rPr>
        <w:t xml:space="preserve"> </w:t>
      </w:r>
      <w:r>
        <w:rPr>
          <w:spacing w:val="-2"/>
        </w:rPr>
        <w:t>Clause</w:t>
      </w:r>
      <w:r>
        <w:rPr>
          <w:spacing w:val="1"/>
        </w:rPr>
        <w:t xml:space="preserve"> </w:t>
      </w:r>
      <w:r>
        <w:rPr>
          <w:spacing w:val="-2"/>
        </w:rPr>
        <w:t>57:</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1"/>
        </w:numPr>
        <w:tabs>
          <w:tab w:val="left" w:pos="3164"/>
        </w:tabs>
        <w:spacing w:before="0"/>
        <w:ind w:right="112"/>
        <w:jc w:val="both"/>
      </w:pPr>
      <w:r>
        <w:t>The</w:t>
      </w:r>
      <w:r>
        <w:rPr>
          <w:spacing w:val="3"/>
        </w:rPr>
        <w:t xml:space="preserve"> </w:t>
      </w:r>
      <w:r>
        <w:rPr>
          <w:spacing w:val="-2"/>
        </w:rPr>
        <w:t>Customer</w:t>
      </w:r>
      <w:r>
        <w:rPr>
          <w:spacing w:val="4"/>
        </w:rPr>
        <w:t xml:space="preserve"> </w:t>
      </w:r>
      <w:r>
        <w:rPr>
          <w:spacing w:val="-1"/>
        </w:rPr>
        <w:t>shall</w:t>
      </w:r>
      <w:r>
        <w:rPr>
          <w:spacing w:val="2"/>
        </w:rPr>
        <w:t xml:space="preserve"> </w:t>
      </w:r>
      <w:r>
        <w:rPr>
          <w:spacing w:val="-1"/>
        </w:rPr>
        <w:t>issue</w:t>
      </w:r>
      <w:r>
        <w:rPr>
          <w:spacing w:val="3"/>
        </w:rPr>
        <w:t xml:space="preserve"> </w:t>
      </w:r>
      <w:r>
        <w:rPr>
          <w:spacing w:val="-1"/>
        </w:rPr>
        <w:t>passes</w:t>
      </w:r>
      <w:r>
        <w:rPr>
          <w:spacing w:val="1"/>
        </w:rPr>
        <w:t xml:space="preserve"> </w:t>
      </w:r>
      <w:r>
        <w:t xml:space="preserve">for </w:t>
      </w:r>
      <w:r>
        <w:rPr>
          <w:spacing w:val="2"/>
        </w:rPr>
        <w:t xml:space="preserve"> </w:t>
      </w:r>
      <w:r>
        <w:rPr>
          <w:spacing w:val="-1"/>
        </w:rPr>
        <w:t>those</w:t>
      </w:r>
      <w:r>
        <w:rPr>
          <w:spacing w:val="28"/>
        </w:rPr>
        <w:t xml:space="preserve"> </w:t>
      </w:r>
      <w:r>
        <w:rPr>
          <w:spacing w:val="-1"/>
        </w:rPr>
        <w:t>representatives</w:t>
      </w:r>
      <w:r>
        <w:rPr>
          <w:spacing w:val="14"/>
        </w:rPr>
        <w:t xml:space="preserve"> </w:t>
      </w:r>
      <w:r>
        <w:rPr>
          <w:spacing w:val="-2"/>
        </w:rPr>
        <w:t>of</w:t>
      </w:r>
      <w:r>
        <w:rPr>
          <w:spacing w:val="15"/>
        </w:rPr>
        <w:t xml:space="preserve"> </w:t>
      </w:r>
      <w:r>
        <w:t>the</w:t>
      </w:r>
      <w:r>
        <w:rPr>
          <w:spacing w:val="11"/>
        </w:rPr>
        <w:t xml:space="preserve"> </w:t>
      </w:r>
      <w:r>
        <w:rPr>
          <w:spacing w:val="-2"/>
        </w:rPr>
        <w:t>Supplier</w:t>
      </w:r>
      <w:r>
        <w:rPr>
          <w:spacing w:val="15"/>
        </w:rPr>
        <w:t xml:space="preserve"> </w:t>
      </w:r>
      <w:r>
        <w:rPr>
          <w:spacing w:val="-2"/>
        </w:rPr>
        <w:t>who</w:t>
      </w:r>
      <w:r>
        <w:rPr>
          <w:spacing w:val="14"/>
        </w:rPr>
        <w:t xml:space="preserve"> </w:t>
      </w:r>
      <w:r>
        <w:rPr>
          <w:spacing w:val="-1"/>
        </w:rPr>
        <w:t>are</w:t>
      </w:r>
      <w:r>
        <w:rPr>
          <w:spacing w:val="14"/>
        </w:rPr>
        <w:t xml:space="preserve"> </w:t>
      </w:r>
      <w:r>
        <w:rPr>
          <w:spacing w:val="-2"/>
        </w:rPr>
        <w:t>approved</w:t>
      </w:r>
      <w:r>
        <w:rPr>
          <w:spacing w:val="13"/>
        </w:rPr>
        <w:t xml:space="preserve"> </w:t>
      </w:r>
      <w:r>
        <w:t>for</w:t>
      </w:r>
      <w:r>
        <w:rPr>
          <w:spacing w:val="41"/>
        </w:rPr>
        <w:t xml:space="preserve"> </w:t>
      </w:r>
      <w:r>
        <w:rPr>
          <w:spacing w:val="-1"/>
        </w:rPr>
        <w:t>admission</w:t>
      </w:r>
      <w:r>
        <w:rPr>
          <w:spacing w:val="38"/>
        </w:rPr>
        <w:t xml:space="preserve"> </w:t>
      </w:r>
      <w:r>
        <w:t>to</w:t>
      </w:r>
      <w:r>
        <w:rPr>
          <w:spacing w:val="36"/>
        </w:rPr>
        <w:t xml:space="preserve"> </w:t>
      </w:r>
      <w:r>
        <w:t>the</w:t>
      </w:r>
      <w:r>
        <w:rPr>
          <w:spacing w:val="38"/>
        </w:rPr>
        <w:t xml:space="preserve"> </w:t>
      </w:r>
      <w:r>
        <w:rPr>
          <w:spacing w:val="-1"/>
        </w:rPr>
        <w:t>Site</w:t>
      </w:r>
      <w:r>
        <w:rPr>
          <w:spacing w:val="38"/>
        </w:rPr>
        <w:t xml:space="preserve"> </w:t>
      </w:r>
      <w:r>
        <w:rPr>
          <w:spacing w:val="-2"/>
        </w:rPr>
        <w:t>and</w:t>
      </w:r>
      <w:r>
        <w:rPr>
          <w:spacing w:val="39"/>
        </w:rPr>
        <w:t xml:space="preserve"> </w:t>
      </w:r>
      <w:r>
        <w:t>a</w:t>
      </w:r>
      <w:r>
        <w:rPr>
          <w:spacing w:val="38"/>
        </w:rPr>
        <w:t xml:space="preserve"> </w:t>
      </w:r>
      <w:r>
        <w:rPr>
          <w:spacing w:val="-1"/>
        </w:rPr>
        <w:t>representative</w:t>
      </w:r>
      <w:r>
        <w:rPr>
          <w:spacing w:val="39"/>
        </w:rPr>
        <w:t xml:space="preserve"> </w:t>
      </w:r>
      <w:r>
        <w:rPr>
          <w:spacing w:val="-1"/>
        </w:rPr>
        <w:t>shall</w:t>
      </w:r>
      <w:r>
        <w:rPr>
          <w:spacing w:val="38"/>
        </w:rPr>
        <w:t xml:space="preserve"> </w:t>
      </w:r>
      <w:r>
        <w:rPr>
          <w:spacing w:val="-1"/>
        </w:rPr>
        <w:t>not</w:t>
      </w:r>
      <w:r>
        <w:rPr>
          <w:spacing w:val="40"/>
        </w:rPr>
        <w:t xml:space="preserve"> </w:t>
      </w:r>
      <w:r>
        <w:rPr>
          <w:spacing w:val="-1"/>
        </w:rPr>
        <w:t>be</w:t>
      </w:r>
      <w:r>
        <w:rPr>
          <w:spacing w:val="21"/>
        </w:rPr>
        <w:t xml:space="preserve"> </w:t>
      </w:r>
      <w:r>
        <w:rPr>
          <w:spacing w:val="-1"/>
        </w:rPr>
        <w:t>admitted</w:t>
      </w:r>
      <w:r>
        <w:rPr>
          <w:spacing w:val="34"/>
        </w:rPr>
        <w:t xml:space="preserve"> </w:t>
      </w:r>
      <w:r>
        <w:rPr>
          <w:spacing w:val="-1"/>
        </w:rPr>
        <w:t>unless</w:t>
      </w:r>
      <w:r>
        <w:rPr>
          <w:spacing w:val="37"/>
        </w:rPr>
        <w:t xml:space="preserve"> </w:t>
      </w:r>
      <w:r>
        <w:rPr>
          <w:spacing w:val="-1"/>
        </w:rPr>
        <w:t>in</w:t>
      </w:r>
      <w:r>
        <w:rPr>
          <w:spacing w:val="36"/>
        </w:rPr>
        <w:t xml:space="preserve"> </w:t>
      </w:r>
      <w:r>
        <w:rPr>
          <w:spacing w:val="-1"/>
        </w:rPr>
        <w:t>possession</w:t>
      </w:r>
      <w:r>
        <w:rPr>
          <w:spacing w:val="36"/>
        </w:rPr>
        <w:t xml:space="preserve"> </w:t>
      </w:r>
      <w:r>
        <w:rPr>
          <w:spacing w:val="-2"/>
        </w:rPr>
        <w:t>of</w:t>
      </w:r>
      <w:r>
        <w:rPr>
          <w:spacing w:val="40"/>
        </w:rPr>
        <w:t xml:space="preserve"> </w:t>
      </w:r>
      <w:r>
        <w:rPr>
          <w:spacing w:val="-2"/>
        </w:rPr>
        <w:t>such</w:t>
      </w:r>
      <w:r>
        <w:rPr>
          <w:spacing w:val="37"/>
        </w:rPr>
        <w:t xml:space="preserve"> </w:t>
      </w:r>
      <w:r>
        <w:t>a</w:t>
      </w:r>
      <w:r>
        <w:rPr>
          <w:spacing w:val="37"/>
        </w:rPr>
        <w:t xml:space="preserve"> </w:t>
      </w:r>
      <w:r>
        <w:rPr>
          <w:spacing w:val="-2"/>
        </w:rPr>
        <w:t>pass.</w:t>
      </w:r>
      <w:r>
        <w:rPr>
          <w:spacing w:val="12"/>
        </w:rPr>
        <w:t xml:space="preserve"> </w:t>
      </w:r>
      <w:r>
        <w:rPr>
          <w:spacing w:val="-1"/>
        </w:rPr>
        <w:t>Passes</w:t>
      </w:r>
      <w:r>
        <w:rPr>
          <w:spacing w:val="29"/>
        </w:rPr>
        <w:t xml:space="preserve"> </w:t>
      </w:r>
      <w:r>
        <w:rPr>
          <w:spacing w:val="-1"/>
        </w:rPr>
        <w:t>shall</w:t>
      </w:r>
      <w:r>
        <w:rPr>
          <w:spacing w:val="38"/>
        </w:rPr>
        <w:t xml:space="preserve"> </w:t>
      </w:r>
      <w:r>
        <w:rPr>
          <w:spacing w:val="-1"/>
        </w:rPr>
        <w:t>remain</w:t>
      </w:r>
      <w:r>
        <w:rPr>
          <w:spacing w:val="39"/>
        </w:rPr>
        <w:t xml:space="preserve"> </w:t>
      </w:r>
      <w:r>
        <w:t>the</w:t>
      </w:r>
      <w:r>
        <w:rPr>
          <w:spacing w:val="38"/>
        </w:rPr>
        <w:t xml:space="preserve"> </w:t>
      </w:r>
      <w:r>
        <w:rPr>
          <w:spacing w:val="-2"/>
        </w:rPr>
        <w:t>property</w:t>
      </w:r>
      <w:r>
        <w:rPr>
          <w:spacing w:val="36"/>
        </w:rPr>
        <w:t xml:space="preserve"> </w:t>
      </w:r>
      <w:r>
        <w:rPr>
          <w:spacing w:val="-1"/>
        </w:rPr>
        <w:t>of</w:t>
      </w:r>
      <w:r>
        <w:rPr>
          <w:spacing w:val="40"/>
        </w:rPr>
        <w:t xml:space="preserve"> </w:t>
      </w:r>
      <w:r>
        <w:t>the</w:t>
      </w:r>
      <w:r>
        <w:rPr>
          <w:spacing w:val="38"/>
        </w:rPr>
        <w:t xml:space="preserve"> </w:t>
      </w:r>
      <w:r>
        <w:rPr>
          <w:spacing w:val="-1"/>
        </w:rPr>
        <w:t>Customer</w:t>
      </w:r>
      <w:r>
        <w:rPr>
          <w:spacing w:val="39"/>
        </w:rPr>
        <w:t xml:space="preserve"> </w:t>
      </w:r>
      <w:r>
        <w:rPr>
          <w:spacing w:val="-1"/>
        </w:rPr>
        <w:t>and</w:t>
      </w:r>
      <w:r>
        <w:rPr>
          <w:spacing w:val="36"/>
        </w:rPr>
        <w:t xml:space="preserve"> </w:t>
      </w:r>
      <w:r>
        <w:rPr>
          <w:spacing w:val="-1"/>
        </w:rPr>
        <w:t>shall</w:t>
      </w:r>
      <w:r>
        <w:rPr>
          <w:spacing w:val="38"/>
        </w:rPr>
        <w:t xml:space="preserve"> </w:t>
      </w:r>
      <w:r>
        <w:rPr>
          <w:spacing w:val="-1"/>
        </w:rPr>
        <w:t>be</w:t>
      </w:r>
      <w:r>
        <w:rPr>
          <w:spacing w:val="26"/>
        </w:rPr>
        <w:t xml:space="preserve"> </w:t>
      </w:r>
      <w:r>
        <w:rPr>
          <w:spacing w:val="-1"/>
        </w:rPr>
        <w:t>surrendered</w:t>
      </w:r>
      <w:r>
        <w:rPr>
          <w:spacing w:val="5"/>
        </w:rPr>
        <w:t xml:space="preserve"> </w:t>
      </w:r>
      <w:r>
        <w:rPr>
          <w:spacing w:val="-1"/>
        </w:rPr>
        <w:t>on</w:t>
      </w:r>
      <w:r>
        <w:rPr>
          <w:spacing w:val="5"/>
        </w:rPr>
        <w:t xml:space="preserve"> </w:t>
      </w:r>
      <w:r>
        <w:rPr>
          <w:spacing w:val="-1"/>
        </w:rPr>
        <w:t>demand</w:t>
      </w:r>
      <w:r>
        <w:rPr>
          <w:spacing w:val="3"/>
        </w:rPr>
        <w:t xml:space="preserve"> </w:t>
      </w:r>
      <w:r>
        <w:rPr>
          <w:spacing w:val="-1"/>
        </w:rPr>
        <w:t>or</w:t>
      </w:r>
      <w:r>
        <w:rPr>
          <w:spacing w:val="6"/>
        </w:rPr>
        <w:t xml:space="preserve"> </w:t>
      </w:r>
      <w:r>
        <w:rPr>
          <w:spacing w:val="-1"/>
        </w:rPr>
        <w:t>on</w:t>
      </w:r>
      <w:r>
        <w:rPr>
          <w:spacing w:val="5"/>
        </w:rPr>
        <w:t xml:space="preserve"> </w:t>
      </w:r>
      <w:r>
        <w:rPr>
          <w:spacing w:val="-1"/>
        </w:rPr>
        <w:t>completion</w:t>
      </w:r>
      <w:r>
        <w:rPr>
          <w:spacing w:val="5"/>
        </w:rPr>
        <w:t xml:space="preserve"> </w:t>
      </w:r>
      <w:r>
        <w:rPr>
          <w:spacing w:val="-2"/>
        </w:rPr>
        <w:t>of</w:t>
      </w:r>
      <w:r>
        <w:rPr>
          <w:spacing w:val="9"/>
        </w:rPr>
        <w:t xml:space="preserve"> </w:t>
      </w:r>
      <w:r>
        <w:rPr>
          <w:spacing w:val="-1"/>
        </w:rPr>
        <w:t>the</w:t>
      </w:r>
      <w:r>
        <w:rPr>
          <w:spacing w:val="5"/>
        </w:rPr>
        <w:t xml:space="preserve"> </w:t>
      </w:r>
      <w:r>
        <w:rPr>
          <w:spacing w:val="-1"/>
        </w:rPr>
        <w:t>supply</w:t>
      </w:r>
      <w:r>
        <w:rPr>
          <w:spacing w:val="3"/>
        </w:rPr>
        <w:t xml:space="preserve"> </w:t>
      </w:r>
      <w:r>
        <w:rPr>
          <w:spacing w:val="-1"/>
        </w:rPr>
        <w:t>of</w:t>
      </w:r>
      <w:r>
        <w:rPr>
          <w:spacing w:val="28"/>
        </w:rPr>
        <w:t xml:space="preserve"> </w:t>
      </w:r>
      <w:r>
        <w:t>the</w:t>
      </w:r>
      <w:r>
        <w:rPr>
          <w:spacing w:val="-2"/>
        </w:rPr>
        <w:t xml:space="preserve"> </w:t>
      </w:r>
      <w:r>
        <w:rPr>
          <w:spacing w:val="-1"/>
        </w:rPr>
        <w:t>Goods</w:t>
      </w:r>
      <w:r>
        <w:rPr>
          <w:spacing w:val="-2"/>
        </w:rPr>
        <w:t xml:space="preserve"> </w:t>
      </w:r>
      <w:r>
        <w:rPr>
          <w:spacing w:val="-1"/>
        </w:rPr>
        <w:t>and/or</w:t>
      </w:r>
      <w:r>
        <w:rPr>
          <w:spacing w:val="2"/>
        </w:rPr>
        <w:t xml:space="preserve"> </w:t>
      </w:r>
      <w:r>
        <w:rPr>
          <w:spacing w:val="-2"/>
        </w:rPr>
        <w:t>Services.</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1"/>
        </w:numPr>
        <w:tabs>
          <w:tab w:val="left" w:pos="3163"/>
        </w:tabs>
        <w:spacing w:before="0"/>
        <w:ind w:left="3162" w:right="112"/>
        <w:jc w:val="both"/>
      </w:pPr>
      <w:r>
        <w:t>The</w:t>
      </w:r>
      <w:r>
        <w:rPr>
          <w:spacing w:val="15"/>
        </w:rPr>
        <w:t xml:space="preserve"> </w:t>
      </w:r>
      <w:r>
        <w:rPr>
          <w:spacing w:val="-2"/>
        </w:rPr>
        <w:t>Supplier's</w:t>
      </w:r>
      <w:r>
        <w:rPr>
          <w:spacing w:val="15"/>
        </w:rPr>
        <w:t xml:space="preserve"> </w:t>
      </w:r>
      <w:r>
        <w:rPr>
          <w:spacing w:val="-2"/>
        </w:rPr>
        <w:t>representatives</w:t>
      </w:r>
      <w:r>
        <w:rPr>
          <w:spacing w:val="15"/>
        </w:rPr>
        <w:t xml:space="preserve"> </w:t>
      </w:r>
      <w:r>
        <w:rPr>
          <w:spacing w:val="-2"/>
        </w:rPr>
        <w:t>when</w:t>
      </w:r>
      <w:r>
        <w:rPr>
          <w:spacing w:val="15"/>
        </w:rPr>
        <w:t xml:space="preserve"> </w:t>
      </w:r>
      <w:r>
        <w:rPr>
          <w:spacing w:val="-1"/>
        </w:rPr>
        <w:t>employed</w:t>
      </w:r>
      <w:r>
        <w:rPr>
          <w:spacing w:val="17"/>
        </w:rPr>
        <w:t xml:space="preserve"> </w:t>
      </w:r>
      <w:r>
        <w:rPr>
          <w:spacing w:val="-1"/>
        </w:rPr>
        <w:t>within</w:t>
      </w:r>
      <w:r>
        <w:rPr>
          <w:spacing w:val="15"/>
        </w:rPr>
        <w:t xml:space="preserve"> </w:t>
      </w:r>
      <w:r>
        <w:rPr>
          <w:spacing w:val="-1"/>
        </w:rPr>
        <w:t>the</w:t>
      </w:r>
      <w:r>
        <w:rPr>
          <w:spacing w:val="58"/>
        </w:rPr>
        <w:t xml:space="preserve"> </w:t>
      </w:r>
      <w:r>
        <w:rPr>
          <w:spacing w:val="-1"/>
        </w:rPr>
        <w:t>boundaries</w:t>
      </w:r>
      <w:r>
        <w:rPr>
          <w:spacing w:val="35"/>
        </w:rPr>
        <w:t xml:space="preserve"> </w:t>
      </w:r>
      <w:r>
        <w:rPr>
          <w:spacing w:val="-2"/>
        </w:rPr>
        <w:t>of</w:t>
      </w:r>
      <w:r>
        <w:rPr>
          <w:spacing w:val="39"/>
        </w:rPr>
        <w:t xml:space="preserve"> </w:t>
      </w:r>
      <w:r>
        <w:t>a</w:t>
      </w:r>
      <w:r>
        <w:rPr>
          <w:spacing w:val="35"/>
        </w:rPr>
        <w:t xml:space="preserve"> </w:t>
      </w:r>
      <w:r>
        <w:rPr>
          <w:spacing w:val="-1"/>
        </w:rPr>
        <w:t>Site,</w:t>
      </w:r>
      <w:r>
        <w:rPr>
          <w:spacing w:val="34"/>
        </w:rPr>
        <w:t xml:space="preserve"> </w:t>
      </w:r>
      <w:r>
        <w:rPr>
          <w:spacing w:val="-1"/>
        </w:rPr>
        <w:t>shall</w:t>
      </w:r>
      <w:r>
        <w:rPr>
          <w:spacing w:val="34"/>
        </w:rPr>
        <w:t xml:space="preserve"> </w:t>
      </w:r>
      <w:r>
        <w:rPr>
          <w:spacing w:val="-1"/>
        </w:rPr>
        <w:t>comply</w:t>
      </w:r>
      <w:r>
        <w:rPr>
          <w:spacing w:val="35"/>
        </w:rPr>
        <w:t xml:space="preserve"> </w:t>
      </w:r>
      <w:r>
        <w:rPr>
          <w:spacing w:val="-1"/>
        </w:rPr>
        <w:t>with</w:t>
      </w:r>
      <w:r>
        <w:rPr>
          <w:spacing w:val="36"/>
        </w:rPr>
        <w:t xml:space="preserve"> </w:t>
      </w:r>
      <w:r>
        <w:rPr>
          <w:spacing w:val="-1"/>
        </w:rPr>
        <w:t>such</w:t>
      </w:r>
      <w:r>
        <w:rPr>
          <w:spacing w:val="35"/>
        </w:rPr>
        <w:t xml:space="preserve"> </w:t>
      </w:r>
      <w:r>
        <w:rPr>
          <w:spacing w:val="-1"/>
        </w:rPr>
        <w:t>rules,</w:t>
      </w:r>
      <w:r>
        <w:rPr>
          <w:spacing w:val="20"/>
        </w:rPr>
        <w:t xml:space="preserve"> </w:t>
      </w:r>
      <w:r>
        <w:rPr>
          <w:spacing w:val="-1"/>
        </w:rPr>
        <w:t>regulations</w:t>
      </w:r>
      <w:r>
        <w:rPr>
          <w:spacing w:val="27"/>
        </w:rPr>
        <w:t xml:space="preserve"> </w:t>
      </w:r>
      <w:r>
        <w:rPr>
          <w:spacing w:val="-1"/>
        </w:rPr>
        <w:t>and</w:t>
      </w:r>
      <w:r>
        <w:rPr>
          <w:spacing w:val="27"/>
        </w:rPr>
        <w:t xml:space="preserve"> </w:t>
      </w:r>
      <w:r>
        <w:rPr>
          <w:spacing w:val="-1"/>
        </w:rPr>
        <w:t>requirements</w:t>
      </w:r>
      <w:r>
        <w:rPr>
          <w:spacing w:val="25"/>
        </w:rPr>
        <w:t xml:space="preserve"> </w:t>
      </w:r>
      <w:r>
        <w:rPr>
          <w:spacing w:val="-1"/>
        </w:rPr>
        <w:t>(including</w:t>
      </w:r>
      <w:r>
        <w:rPr>
          <w:spacing w:val="29"/>
        </w:rPr>
        <w:t xml:space="preserve"> </w:t>
      </w:r>
      <w:r>
        <w:rPr>
          <w:spacing w:val="-1"/>
        </w:rPr>
        <w:t>those</w:t>
      </w:r>
      <w:r>
        <w:rPr>
          <w:spacing w:val="25"/>
        </w:rPr>
        <w:t xml:space="preserve"> </w:t>
      </w:r>
      <w:r>
        <w:rPr>
          <w:spacing w:val="-1"/>
        </w:rPr>
        <w:t>relating</w:t>
      </w:r>
      <w:r>
        <w:rPr>
          <w:spacing w:val="29"/>
        </w:rPr>
        <w:t xml:space="preserve"> </w:t>
      </w:r>
      <w:r>
        <w:t>to</w:t>
      </w:r>
      <w:r>
        <w:rPr>
          <w:spacing w:val="25"/>
        </w:rPr>
        <w:t xml:space="preserve"> </w:t>
      </w:r>
      <w:r>
        <w:rPr>
          <w:spacing w:val="-1"/>
        </w:rPr>
        <w:t>security</w:t>
      </w:r>
      <w:r>
        <w:rPr>
          <w:spacing w:val="39"/>
        </w:rPr>
        <w:t xml:space="preserve"> </w:t>
      </w:r>
      <w:r>
        <w:rPr>
          <w:spacing w:val="-1"/>
        </w:rPr>
        <w:t>arrangements)</w:t>
      </w:r>
      <w:r>
        <w:rPr>
          <w:spacing w:val="40"/>
        </w:rPr>
        <w:t xml:space="preserve"> </w:t>
      </w:r>
      <w:r>
        <w:rPr>
          <w:spacing w:val="-1"/>
        </w:rPr>
        <w:t>as</w:t>
      </w:r>
      <w:r>
        <w:rPr>
          <w:spacing w:val="41"/>
        </w:rPr>
        <w:t xml:space="preserve"> </w:t>
      </w:r>
      <w:r>
        <w:rPr>
          <w:spacing w:val="-1"/>
        </w:rPr>
        <w:t>may</w:t>
      </w:r>
      <w:r>
        <w:rPr>
          <w:spacing w:val="39"/>
        </w:rPr>
        <w:t xml:space="preserve"> </w:t>
      </w:r>
      <w:r>
        <w:rPr>
          <w:spacing w:val="-1"/>
        </w:rPr>
        <w:t>be</w:t>
      </w:r>
      <w:r>
        <w:rPr>
          <w:spacing w:val="41"/>
        </w:rPr>
        <w:t xml:space="preserve"> </w:t>
      </w:r>
      <w:r>
        <w:rPr>
          <w:spacing w:val="-1"/>
        </w:rPr>
        <w:t>in</w:t>
      </w:r>
      <w:r>
        <w:rPr>
          <w:spacing w:val="41"/>
        </w:rPr>
        <w:t xml:space="preserve"> </w:t>
      </w:r>
      <w:r>
        <w:rPr>
          <w:spacing w:val="-1"/>
        </w:rPr>
        <w:t>force</w:t>
      </w:r>
      <w:r>
        <w:rPr>
          <w:spacing w:val="40"/>
        </w:rPr>
        <w:t xml:space="preserve"> </w:t>
      </w:r>
      <w:r>
        <w:t>for</w:t>
      </w:r>
      <w:r>
        <w:rPr>
          <w:spacing w:val="40"/>
        </w:rPr>
        <w:t xml:space="preserve"> </w:t>
      </w:r>
      <w:r>
        <w:t>the</w:t>
      </w:r>
      <w:r>
        <w:rPr>
          <w:spacing w:val="41"/>
        </w:rPr>
        <w:t xml:space="preserve"> </w:t>
      </w:r>
      <w:r>
        <w:rPr>
          <w:spacing w:val="-1"/>
        </w:rPr>
        <w:t>time</w:t>
      </w:r>
      <w:r>
        <w:rPr>
          <w:spacing w:val="33"/>
        </w:rPr>
        <w:t xml:space="preserve"> </w:t>
      </w:r>
      <w:r>
        <w:rPr>
          <w:spacing w:val="-1"/>
        </w:rPr>
        <w:t>being</w:t>
      </w:r>
      <w:r>
        <w:rPr>
          <w:spacing w:val="12"/>
        </w:rPr>
        <w:t xml:space="preserve"> </w:t>
      </w:r>
      <w:r>
        <w:t>for</w:t>
      </w:r>
      <w:r>
        <w:rPr>
          <w:spacing w:val="14"/>
        </w:rPr>
        <w:t xml:space="preserve"> </w:t>
      </w:r>
      <w:r>
        <w:t>the</w:t>
      </w:r>
      <w:r>
        <w:rPr>
          <w:spacing w:val="10"/>
        </w:rPr>
        <w:t xml:space="preserve"> </w:t>
      </w:r>
      <w:r>
        <w:rPr>
          <w:spacing w:val="-1"/>
        </w:rPr>
        <w:t>conduct</w:t>
      </w:r>
      <w:r>
        <w:rPr>
          <w:spacing w:val="14"/>
        </w:rPr>
        <w:t xml:space="preserve"> </w:t>
      </w:r>
      <w:r>
        <w:rPr>
          <w:spacing w:val="-2"/>
        </w:rPr>
        <w:t>of</w:t>
      </w:r>
      <w:r>
        <w:rPr>
          <w:spacing w:val="11"/>
        </w:rPr>
        <w:t xml:space="preserve"> </w:t>
      </w:r>
      <w:r>
        <w:rPr>
          <w:spacing w:val="-1"/>
        </w:rPr>
        <w:t>personnel</w:t>
      </w:r>
      <w:r>
        <w:rPr>
          <w:spacing w:val="12"/>
        </w:rPr>
        <w:t xml:space="preserve"> </w:t>
      </w:r>
      <w:r>
        <w:rPr>
          <w:spacing w:val="-1"/>
        </w:rPr>
        <w:t>at</w:t>
      </w:r>
      <w:r>
        <w:rPr>
          <w:spacing w:val="11"/>
        </w:rPr>
        <w:t xml:space="preserve"> </w:t>
      </w:r>
      <w:r>
        <w:rPr>
          <w:spacing w:val="-1"/>
        </w:rPr>
        <w:t>that</w:t>
      </w:r>
      <w:r>
        <w:rPr>
          <w:spacing w:val="14"/>
        </w:rPr>
        <w:t xml:space="preserve"> </w:t>
      </w:r>
      <w:r>
        <w:rPr>
          <w:spacing w:val="-1"/>
        </w:rPr>
        <w:t>Site.</w:t>
      </w:r>
      <w:r>
        <w:rPr>
          <w:spacing w:val="25"/>
        </w:rPr>
        <w:t xml:space="preserve"> </w:t>
      </w:r>
      <w:r>
        <w:rPr>
          <w:spacing w:val="-1"/>
        </w:rPr>
        <w:t>When</w:t>
      </w:r>
      <w:r>
        <w:rPr>
          <w:spacing w:val="12"/>
        </w:rPr>
        <w:t xml:space="preserve"> </w:t>
      </w:r>
      <w:r>
        <w:rPr>
          <w:spacing w:val="-1"/>
        </w:rPr>
        <w:t>on</w:t>
      </w:r>
      <w:r>
        <w:rPr>
          <w:spacing w:val="26"/>
        </w:rPr>
        <w:t xml:space="preserve"> </w:t>
      </w:r>
      <w:r>
        <w:rPr>
          <w:spacing w:val="-1"/>
        </w:rPr>
        <w:t>board</w:t>
      </w:r>
      <w:r>
        <w:rPr>
          <w:spacing w:val="34"/>
        </w:rPr>
        <w:t xml:space="preserve"> </w:t>
      </w:r>
      <w:r>
        <w:rPr>
          <w:spacing w:val="-1"/>
        </w:rPr>
        <w:t>ship,</w:t>
      </w:r>
      <w:r>
        <w:rPr>
          <w:spacing w:val="33"/>
        </w:rPr>
        <w:t xml:space="preserve"> </w:t>
      </w:r>
      <w:r>
        <w:rPr>
          <w:spacing w:val="-2"/>
        </w:rPr>
        <w:t>compliance</w:t>
      </w:r>
      <w:r>
        <w:rPr>
          <w:spacing w:val="34"/>
        </w:rPr>
        <w:t xml:space="preserve"> </w:t>
      </w:r>
      <w:r>
        <w:rPr>
          <w:spacing w:val="-1"/>
        </w:rPr>
        <w:t>shall</w:t>
      </w:r>
      <w:r>
        <w:rPr>
          <w:spacing w:val="33"/>
        </w:rPr>
        <w:t xml:space="preserve"> </w:t>
      </w:r>
      <w:r>
        <w:rPr>
          <w:spacing w:val="-1"/>
        </w:rPr>
        <w:t>be</w:t>
      </w:r>
      <w:r>
        <w:rPr>
          <w:spacing w:val="34"/>
        </w:rPr>
        <w:t xml:space="preserve"> </w:t>
      </w:r>
      <w:r>
        <w:rPr>
          <w:spacing w:val="-2"/>
        </w:rPr>
        <w:t>with</w:t>
      </w:r>
      <w:r>
        <w:rPr>
          <w:spacing w:val="36"/>
        </w:rPr>
        <w:t xml:space="preserve"> </w:t>
      </w:r>
      <w:r>
        <w:t>the</w:t>
      </w:r>
      <w:r>
        <w:rPr>
          <w:spacing w:val="32"/>
        </w:rPr>
        <w:t xml:space="preserve"> </w:t>
      </w:r>
      <w:r>
        <w:rPr>
          <w:spacing w:val="-1"/>
        </w:rPr>
        <w:t>Ship's</w:t>
      </w:r>
      <w:r>
        <w:rPr>
          <w:spacing w:val="37"/>
        </w:rPr>
        <w:t xml:space="preserve"> </w:t>
      </w:r>
      <w:r>
        <w:rPr>
          <w:spacing w:val="-1"/>
        </w:rPr>
        <w:t>Regulations</w:t>
      </w:r>
      <w:r>
        <w:rPr>
          <w:spacing w:val="35"/>
        </w:rPr>
        <w:t xml:space="preserve"> </w:t>
      </w:r>
      <w:r>
        <w:rPr>
          <w:spacing w:val="-1"/>
        </w:rPr>
        <w:t>as</w:t>
      </w:r>
      <w:r>
        <w:rPr>
          <w:spacing w:val="35"/>
        </w:rPr>
        <w:t xml:space="preserve"> </w:t>
      </w:r>
      <w:r>
        <w:rPr>
          <w:spacing w:val="-1"/>
        </w:rPr>
        <w:t>interpreted</w:t>
      </w:r>
      <w:r>
        <w:rPr>
          <w:spacing w:val="35"/>
        </w:rPr>
        <w:t xml:space="preserve"> </w:t>
      </w:r>
      <w:r>
        <w:rPr>
          <w:spacing w:val="-1"/>
        </w:rPr>
        <w:t>by</w:t>
      </w:r>
      <w:r>
        <w:rPr>
          <w:spacing w:val="33"/>
        </w:rPr>
        <w:t xml:space="preserve"> </w:t>
      </w:r>
      <w:r>
        <w:t>the</w:t>
      </w:r>
      <w:r>
        <w:rPr>
          <w:spacing w:val="35"/>
        </w:rPr>
        <w:t xml:space="preserve"> </w:t>
      </w:r>
      <w:r>
        <w:rPr>
          <w:spacing w:val="-1"/>
        </w:rPr>
        <w:t>Officer</w:t>
      </w:r>
      <w:r>
        <w:rPr>
          <w:spacing w:val="36"/>
        </w:rPr>
        <w:t xml:space="preserve"> </w:t>
      </w:r>
      <w:r>
        <w:rPr>
          <w:spacing w:val="-1"/>
        </w:rPr>
        <w:t>in</w:t>
      </w:r>
      <w:r>
        <w:rPr>
          <w:spacing w:val="36"/>
        </w:rPr>
        <w:t xml:space="preserve"> </w:t>
      </w:r>
      <w:r>
        <w:rPr>
          <w:spacing w:val="-1"/>
        </w:rPr>
        <w:t>charge.</w:t>
      </w:r>
      <w:r>
        <w:rPr>
          <w:spacing w:val="25"/>
        </w:rPr>
        <w:t xml:space="preserve"> </w:t>
      </w:r>
      <w:r>
        <w:rPr>
          <w:spacing w:val="-1"/>
        </w:rPr>
        <w:t>Details</w:t>
      </w:r>
      <w:r>
        <w:rPr>
          <w:spacing w:val="25"/>
        </w:rPr>
        <w:t xml:space="preserve"> </w:t>
      </w:r>
      <w:r>
        <w:rPr>
          <w:spacing w:val="-1"/>
        </w:rPr>
        <w:t>of</w:t>
      </w:r>
      <w:r>
        <w:rPr>
          <w:spacing w:val="28"/>
        </w:rPr>
        <w:t xml:space="preserve"> </w:t>
      </w:r>
      <w:r>
        <w:rPr>
          <w:spacing w:val="-1"/>
        </w:rPr>
        <w:t>such</w:t>
      </w:r>
      <w:r>
        <w:rPr>
          <w:spacing w:val="25"/>
        </w:rPr>
        <w:t xml:space="preserve"> </w:t>
      </w:r>
      <w:r>
        <w:rPr>
          <w:spacing w:val="-2"/>
        </w:rPr>
        <w:t>rules,</w:t>
      </w:r>
      <w:r>
        <w:rPr>
          <w:spacing w:val="26"/>
        </w:rPr>
        <w:t xml:space="preserve"> </w:t>
      </w:r>
      <w:r>
        <w:rPr>
          <w:spacing w:val="-1"/>
        </w:rPr>
        <w:t>regulations</w:t>
      </w:r>
      <w:r>
        <w:rPr>
          <w:spacing w:val="25"/>
        </w:rPr>
        <w:t xml:space="preserve"> </w:t>
      </w:r>
      <w:r>
        <w:rPr>
          <w:spacing w:val="-1"/>
        </w:rPr>
        <w:t>and</w:t>
      </w:r>
      <w:r>
        <w:rPr>
          <w:spacing w:val="24"/>
        </w:rPr>
        <w:t xml:space="preserve"> </w:t>
      </w:r>
      <w:r>
        <w:rPr>
          <w:spacing w:val="-1"/>
        </w:rPr>
        <w:t>requirements</w:t>
      </w:r>
      <w:r>
        <w:rPr>
          <w:spacing w:val="25"/>
        </w:rPr>
        <w:t xml:space="preserve"> </w:t>
      </w:r>
      <w:r>
        <w:rPr>
          <w:spacing w:val="-1"/>
        </w:rPr>
        <w:t>shall</w:t>
      </w:r>
      <w:r>
        <w:rPr>
          <w:spacing w:val="31"/>
        </w:rPr>
        <w:t xml:space="preserve"> </w:t>
      </w:r>
      <w:r>
        <w:rPr>
          <w:spacing w:val="-1"/>
        </w:rPr>
        <w:t>be</w:t>
      </w:r>
      <w:r>
        <w:t xml:space="preserve"> </w:t>
      </w:r>
      <w:r>
        <w:rPr>
          <w:spacing w:val="-2"/>
        </w:rPr>
        <w:t>provided,</w:t>
      </w:r>
      <w:r>
        <w:rPr>
          <w:spacing w:val="2"/>
        </w:rPr>
        <w:t xml:space="preserve"> </w:t>
      </w:r>
      <w:r>
        <w:rPr>
          <w:spacing w:val="-1"/>
        </w:rPr>
        <w:t>on</w:t>
      </w:r>
      <w:r>
        <w:rPr>
          <w:spacing w:val="-2"/>
        </w:rPr>
        <w:t xml:space="preserve"> </w:t>
      </w:r>
      <w:r>
        <w:rPr>
          <w:spacing w:val="-1"/>
        </w:rPr>
        <w:t>request,</w:t>
      </w:r>
      <w:r>
        <w:rPr>
          <w:spacing w:val="-3"/>
        </w:rPr>
        <w:t xml:space="preserve"> </w:t>
      </w:r>
      <w:r>
        <w:rPr>
          <w:spacing w:val="-1"/>
        </w:rPr>
        <w:t>by</w:t>
      </w:r>
      <w:r>
        <w:rPr>
          <w:spacing w:val="-2"/>
        </w:rPr>
        <w:t xml:space="preserve"> </w:t>
      </w:r>
      <w:r>
        <w:t xml:space="preserve">the </w:t>
      </w:r>
      <w:r>
        <w:rPr>
          <w:spacing w:val="-1"/>
        </w:rPr>
        <w:t>Officer</w:t>
      </w:r>
      <w:r>
        <w:rPr>
          <w:spacing w:val="2"/>
        </w:rPr>
        <w:t xml:space="preserve"> </w:t>
      </w:r>
      <w:r>
        <w:rPr>
          <w:spacing w:val="-1"/>
        </w:rPr>
        <w:t>in</w:t>
      </w:r>
      <w:r>
        <w:rPr>
          <w:spacing w:val="-2"/>
        </w:rPr>
        <w:t xml:space="preserve"> </w:t>
      </w:r>
      <w:r>
        <w:rPr>
          <w:spacing w:val="-1"/>
        </w:rPr>
        <w:t>charge.</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1"/>
        </w:numPr>
        <w:tabs>
          <w:tab w:val="left" w:pos="3163"/>
        </w:tabs>
        <w:spacing w:before="0"/>
        <w:ind w:left="3162" w:right="113"/>
        <w:jc w:val="both"/>
      </w:pPr>
      <w:r>
        <w:t>The</w:t>
      </w:r>
      <w:r>
        <w:rPr>
          <w:spacing w:val="41"/>
        </w:rPr>
        <w:t xml:space="preserve"> </w:t>
      </w:r>
      <w:r>
        <w:rPr>
          <w:spacing w:val="-2"/>
        </w:rPr>
        <w:t>Supplier</w:t>
      </w:r>
      <w:r>
        <w:rPr>
          <w:spacing w:val="42"/>
        </w:rPr>
        <w:t xml:space="preserve"> </w:t>
      </w:r>
      <w:r>
        <w:rPr>
          <w:spacing w:val="-1"/>
        </w:rPr>
        <w:t>shall</w:t>
      </w:r>
      <w:r>
        <w:rPr>
          <w:spacing w:val="40"/>
        </w:rPr>
        <w:t xml:space="preserve"> </w:t>
      </w:r>
      <w:r>
        <w:rPr>
          <w:spacing w:val="-2"/>
        </w:rPr>
        <w:t>be</w:t>
      </w:r>
      <w:r>
        <w:rPr>
          <w:spacing w:val="41"/>
        </w:rPr>
        <w:t xml:space="preserve"> </w:t>
      </w:r>
      <w:r>
        <w:rPr>
          <w:spacing w:val="-1"/>
        </w:rPr>
        <w:t>responsible</w:t>
      </w:r>
      <w:r>
        <w:rPr>
          <w:spacing w:val="39"/>
        </w:rPr>
        <w:t xml:space="preserve"> </w:t>
      </w:r>
      <w:r>
        <w:t>for</w:t>
      </w:r>
      <w:r>
        <w:rPr>
          <w:spacing w:val="42"/>
        </w:rPr>
        <w:t xml:space="preserve"> </w:t>
      </w:r>
      <w:r>
        <w:rPr>
          <w:spacing w:val="-1"/>
        </w:rPr>
        <w:t>the</w:t>
      </w:r>
      <w:r>
        <w:rPr>
          <w:spacing w:val="42"/>
        </w:rPr>
        <w:t xml:space="preserve"> </w:t>
      </w:r>
      <w:r>
        <w:rPr>
          <w:spacing w:val="-2"/>
        </w:rPr>
        <w:t>living</w:t>
      </w:r>
      <w:r>
        <w:rPr>
          <w:spacing w:val="34"/>
        </w:rPr>
        <w:t xml:space="preserve"> </w:t>
      </w:r>
      <w:r>
        <w:rPr>
          <w:spacing w:val="-1"/>
        </w:rPr>
        <w:t>accommodation</w:t>
      </w:r>
      <w:r>
        <w:rPr>
          <w:spacing w:val="51"/>
        </w:rPr>
        <w:t xml:space="preserve"> </w:t>
      </w:r>
      <w:r>
        <w:rPr>
          <w:spacing w:val="-1"/>
        </w:rPr>
        <w:t>and</w:t>
      </w:r>
      <w:r>
        <w:rPr>
          <w:spacing w:val="48"/>
        </w:rPr>
        <w:t xml:space="preserve"> </w:t>
      </w:r>
      <w:r>
        <w:rPr>
          <w:spacing w:val="-1"/>
        </w:rPr>
        <w:t>maintenance</w:t>
      </w:r>
      <w:r>
        <w:rPr>
          <w:spacing w:val="51"/>
        </w:rPr>
        <w:t xml:space="preserve"> </w:t>
      </w:r>
      <w:r>
        <w:rPr>
          <w:spacing w:val="-2"/>
        </w:rPr>
        <w:t>of</w:t>
      </w:r>
      <w:r>
        <w:rPr>
          <w:spacing w:val="53"/>
        </w:rPr>
        <w:t xml:space="preserve"> </w:t>
      </w:r>
      <w:r>
        <w:rPr>
          <w:spacing w:val="-1"/>
        </w:rPr>
        <w:t>its</w:t>
      </w:r>
      <w:r>
        <w:rPr>
          <w:spacing w:val="49"/>
        </w:rPr>
        <w:t xml:space="preserve"> </w:t>
      </w:r>
      <w:r>
        <w:rPr>
          <w:spacing w:val="-1"/>
        </w:rPr>
        <w:t>representatives</w:t>
      </w:r>
      <w:r>
        <w:rPr>
          <w:spacing w:val="29"/>
        </w:rPr>
        <w:t xml:space="preserve"> </w:t>
      </w:r>
      <w:r>
        <w:rPr>
          <w:spacing w:val="-2"/>
        </w:rPr>
        <w:t>while</w:t>
      </w:r>
      <w:r>
        <w:rPr>
          <w:spacing w:val="48"/>
        </w:rPr>
        <w:t xml:space="preserve"> </w:t>
      </w:r>
      <w:r>
        <w:rPr>
          <w:spacing w:val="-1"/>
        </w:rPr>
        <w:t>they</w:t>
      </w:r>
      <w:r>
        <w:rPr>
          <w:spacing w:val="46"/>
        </w:rPr>
        <w:t xml:space="preserve"> </w:t>
      </w:r>
      <w:r>
        <w:rPr>
          <w:spacing w:val="-1"/>
        </w:rPr>
        <w:t>are</w:t>
      </w:r>
      <w:r>
        <w:rPr>
          <w:spacing w:val="48"/>
        </w:rPr>
        <w:t xml:space="preserve"> </w:t>
      </w:r>
      <w:r>
        <w:rPr>
          <w:spacing w:val="-2"/>
        </w:rPr>
        <w:t>employed</w:t>
      </w:r>
      <w:r>
        <w:rPr>
          <w:spacing w:val="48"/>
        </w:rPr>
        <w:t xml:space="preserve"> </w:t>
      </w:r>
      <w:r>
        <w:rPr>
          <w:spacing w:val="-1"/>
        </w:rPr>
        <w:t>at</w:t>
      </w:r>
      <w:r>
        <w:rPr>
          <w:spacing w:val="50"/>
        </w:rPr>
        <w:t xml:space="preserve"> </w:t>
      </w:r>
      <w:r>
        <w:t>a</w:t>
      </w:r>
      <w:r>
        <w:rPr>
          <w:spacing w:val="48"/>
        </w:rPr>
        <w:t xml:space="preserve"> </w:t>
      </w:r>
      <w:r>
        <w:rPr>
          <w:spacing w:val="-1"/>
        </w:rPr>
        <w:t>Site.</w:t>
      </w:r>
      <w:r>
        <w:rPr>
          <w:spacing w:val="34"/>
        </w:rPr>
        <w:t xml:space="preserve"> </w:t>
      </w:r>
      <w:r>
        <w:rPr>
          <w:spacing w:val="-2"/>
        </w:rPr>
        <w:t>Sleeping</w:t>
      </w:r>
      <w:r>
        <w:rPr>
          <w:spacing w:val="50"/>
        </w:rPr>
        <w:t xml:space="preserve"> </w:t>
      </w:r>
      <w:r>
        <w:rPr>
          <w:spacing w:val="-1"/>
        </w:rPr>
        <w:t>accommodation</w:t>
      </w:r>
      <w:r>
        <w:rPr>
          <w:spacing w:val="51"/>
        </w:rPr>
        <w:t xml:space="preserve"> </w:t>
      </w:r>
      <w:r>
        <w:rPr>
          <w:spacing w:val="-1"/>
        </w:rPr>
        <w:t>and</w:t>
      </w:r>
      <w:r>
        <w:rPr>
          <w:spacing w:val="48"/>
        </w:rPr>
        <w:t xml:space="preserve"> </w:t>
      </w:r>
      <w:r>
        <w:rPr>
          <w:spacing w:val="-1"/>
        </w:rPr>
        <w:t>messing</w:t>
      </w:r>
      <w:r>
        <w:rPr>
          <w:spacing w:val="51"/>
        </w:rPr>
        <w:t xml:space="preserve"> </w:t>
      </w:r>
      <w:r>
        <w:rPr>
          <w:spacing w:val="-1"/>
        </w:rPr>
        <w:t>facilities,</w:t>
      </w:r>
      <w:r>
        <w:rPr>
          <w:spacing w:val="53"/>
        </w:rPr>
        <w:t xml:space="preserve"> </w:t>
      </w:r>
      <w:r>
        <w:rPr>
          <w:spacing w:val="-2"/>
        </w:rPr>
        <w:t>if</w:t>
      </w:r>
      <w:r>
        <w:rPr>
          <w:spacing w:val="52"/>
        </w:rPr>
        <w:t xml:space="preserve"> </w:t>
      </w:r>
      <w:r>
        <w:rPr>
          <w:spacing w:val="-1"/>
        </w:rPr>
        <w:t>required,</w:t>
      </w:r>
      <w:r>
        <w:rPr>
          <w:spacing w:val="50"/>
        </w:rPr>
        <w:t xml:space="preserve"> </w:t>
      </w:r>
      <w:r>
        <w:rPr>
          <w:spacing w:val="-1"/>
        </w:rPr>
        <w:t>may</w:t>
      </w:r>
      <w:r>
        <w:rPr>
          <w:spacing w:val="28"/>
        </w:rPr>
        <w:t xml:space="preserve"> </w:t>
      </w:r>
      <w:r>
        <w:rPr>
          <w:spacing w:val="-1"/>
        </w:rPr>
        <w:t>be</w:t>
      </w:r>
      <w:r>
        <w:rPr>
          <w:spacing w:val="38"/>
        </w:rPr>
        <w:t xml:space="preserve"> </w:t>
      </w:r>
      <w:r>
        <w:rPr>
          <w:spacing w:val="-2"/>
        </w:rPr>
        <w:t>provided</w:t>
      </w:r>
      <w:r>
        <w:rPr>
          <w:spacing w:val="38"/>
        </w:rPr>
        <w:t xml:space="preserve"> </w:t>
      </w:r>
      <w:r>
        <w:rPr>
          <w:spacing w:val="-1"/>
        </w:rPr>
        <w:t>by</w:t>
      </w:r>
      <w:r>
        <w:rPr>
          <w:spacing w:val="36"/>
        </w:rPr>
        <w:t xml:space="preserve"> </w:t>
      </w:r>
      <w:r>
        <w:t>the</w:t>
      </w:r>
      <w:r>
        <w:rPr>
          <w:spacing w:val="39"/>
        </w:rPr>
        <w:t xml:space="preserve"> </w:t>
      </w:r>
      <w:r>
        <w:rPr>
          <w:spacing w:val="-1"/>
        </w:rPr>
        <w:t>Customer</w:t>
      </w:r>
      <w:r>
        <w:rPr>
          <w:spacing w:val="40"/>
        </w:rPr>
        <w:t xml:space="preserve"> </w:t>
      </w:r>
      <w:r>
        <w:rPr>
          <w:spacing w:val="-2"/>
        </w:rPr>
        <w:t>wherever</w:t>
      </w:r>
      <w:r>
        <w:rPr>
          <w:spacing w:val="40"/>
        </w:rPr>
        <w:t xml:space="preserve"> </w:t>
      </w:r>
      <w:r>
        <w:rPr>
          <w:spacing w:val="-1"/>
        </w:rPr>
        <w:t>possible,</w:t>
      </w:r>
      <w:r>
        <w:rPr>
          <w:spacing w:val="41"/>
        </w:rPr>
        <w:t xml:space="preserve"> </w:t>
      </w:r>
      <w:r>
        <w:rPr>
          <w:spacing w:val="-1"/>
        </w:rPr>
        <w:t>at</w:t>
      </w:r>
      <w:r>
        <w:rPr>
          <w:spacing w:val="38"/>
        </w:rPr>
        <w:t xml:space="preserve"> </w:t>
      </w:r>
      <w:r>
        <w:rPr>
          <w:spacing w:val="-1"/>
        </w:rPr>
        <w:t>the</w:t>
      </w:r>
      <w:r>
        <w:rPr>
          <w:spacing w:val="47"/>
        </w:rPr>
        <w:t xml:space="preserve"> </w:t>
      </w:r>
      <w:r>
        <w:rPr>
          <w:spacing w:val="-1"/>
        </w:rPr>
        <w:t>discretion</w:t>
      </w:r>
      <w:r>
        <w:rPr>
          <w:spacing w:val="9"/>
        </w:rPr>
        <w:t xml:space="preserve"> </w:t>
      </w:r>
      <w:r>
        <w:rPr>
          <w:spacing w:val="-2"/>
        </w:rPr>
        <w:t>of</w:t>
      </w:r>
      <w:r>
        <w:rPr>
          <w:spacing w:val="10"/>
        </w:rPr>
        <w:t xml:space="preserve"> </w:t>
      </w:r>
      <w:r>
        <w:t>the</w:t>
      </w:r>
      <w:r>
        <w:rPr>
          <w:spacing w:val="6"/>
        </w:rPr>
        <w:t xml:space="preserve"> </w:t>
      </w:r>
      <w:r>
        <w:rPr>
          <w:spacing w:val="-1"/>
        </w:rPr>
        <w:t>Officer</w:t>
      </w:r>
      <w:r>
        <w:rPr>
          <w:spacing w:val="10"/>
        </w:rPr>
        <w:t xml:space="preserve"> </w:t>
      </w:r>
      <w:r>
        <w:rPr>
          <w:spacing w:val="-1"/>
        </w:rPr>
        <w:t>in</w:t>
      </w:r>
      <w:r>
        <w:rPr>
          <w:spacing w:val="9"/>
        </w:rPr>
        <w:t xml:space="preserve"> </w:t>
      </w:r>
      <w:r>
        <w:rPr>
          <w:spacing w:val="-1"/>
        </w:rPr>
        <w:t>charge,</w:t>
      </w:r>
      <w:r>
        <w:rPr>
          <w:spacing w:val="10"/>
        </w:rPr>
        <w:t xml:space="preserve"> </w:t>
      </w:r>
      <w:r>
        <w:rPr>
          <w:spacing w:val="-2"/>
        </w:rPr>
        <w:t>at</w:t>
      </w:r>
      <w:r>
        <w:rPr>
          <w:spacing w:val="10"/>
        </w:rPr>
        <w:t xml:space="preserve"> </w:t>
      </w:r>
      <w:r>
        <w:t>a</w:t>
      </w:r>
      <w:r>
        <w:rPr>
          <w:spacing w:val="9"/>
        </w:rPr>
        <w:t xml:space="preserve"> </w:t>
      </w:r>
      <w:r>
        <w:rPr>
          <w:spacing w:val="-1"/>
        </w:rPr>
        <w:t>cost</w:t>
      </w:r>
      <w:r>
        <w:rPr>
          <w:spacing w:val="5"/>
        </w:rPr>
        <w:t xml:space="preserve"> </w:t>
      </w:r>
      <w:r>
        <w:rPr>
          <w:spacing w:val="-1"/>
        </w:rPr>
        <w:t>fixed</w:t>
      </w:r>
      <w:r>
        <w:rPr>
          <w:spacing w:val="9"/>
        </w:rPr>
        <w:t xml:space="preserve"> </w:t>
      </w:r>
      <w:r>
        <w:rPr>
          <w:spacing w:val="-1"/>
        </w:rPr>
        <w:t>in</w:t>
      </w:r>
      <w:r>
        <w:rPr>
          <w:spacing w:val="29"/>
        </w:rPr>
        <w:t xml:space="preserve"> </w:t>
      </w:r>
      <w:r>
        <w:rPr>
          <w:spacing w:val="-1"/>
        </w:rPr>
        <w:t>accordance</w:t>
      </w:r>
      <w:r>
        <w:rPr>
          <w:spacing w:val="27"/>
        </w:rPr>
        <w:t xml:space="preserve"> </w:t>
      </w:r>
      <w:r>
        <w:rPr>
          <w:spacing w:val="-2"/>
        </w:rPr>
        <w:t>with</w:t>
      </w:r>
      <w:r>
        <w:rPr>
          <w:spacing w:val="27"/>
        </w:rPr>
        <w:t xml:space="preserve"> </w:t>
      </w:r>
      <w:r>
        <w:rPr>
          <w:spacing w:val="-1"/>
        </w:rPr>
        <w:t>current</w:t>
      </w:r>
      <w:r>
        <w:rPr>
          <w:spacing w:val="28"/>
        </w:rPr>
        <w:t xml:space="preserve"> </w:t>
      </w:r>
      <w:r>
        <w:rPr>
          <w:spacing w:val="-2"/>
        </w:rPr>
        <w:t>Ministry</w:t>
      </w:r>
      <w:r>
        <w:rPr>
          <w:spacing w:val="25"/>
        </w:rPr>
        <w:t xml:space="preserve"> </w:t>
      </w:r>
      <w:r>
        <w:rPr>
          <w:spacing w:val="-1"/>
        </w:rPr>
        <w:t>of</w:t>
      </w:r>
      <w:r>
        <w:rPr>
          <w:spacing w:val="30"/>
        </w:rPr>
        <w:t xml:space="preserve"> </w:t>
      </w:r>
      <w:r>
        <w:rPr>
          <w:spacing w:val="-1"/>
        </w:rPr>
        <w:t>Defence</w:t>
      </w:r>
      <w:r>
        <w:rPr>
          <w:spacing w:val="27"/>
        </w:rPr>
        <w:t xml:space="preserve"> </w:t>
      </w:r>
      <w:r>
        <w:rPr>
          <w:spacing w:val="-2"/>
        </w:rPr>
        <w:t>regulations.</w:t>
      </w:r>
      <w:r>
        <w:rPr>
          <w:spacing w:val="62"/>
        </w:rPr>
        <w:t xml:space="preserve"> </w:t>
      </w:r>
      <w:r>
        <w:rPr>
          <w:spacing w:val="-1"/>
        </w:rPr>
        <w:t>At</w:t>
      </w:r>
      <w:r>
        <w:rPr>
          <w:spacing w:val="9"/>
        </w:rPr>
        <w:t xml:space="preserve"> </w:t>
      </w:r>
      <w:r>
        <w:rPr>
          <w:spacing w:val="-1"/>
        </w:rPr>
        <w:t>Sites</w:t>
      </w:r>
      <w:r>
        <w:rPr>
          <w:spacing w:val="8"/>
        </w:rPr>
        <w:t xml:space="preserve"> </w:t>
      </w:r>
      <w:r>
        <w:rPr>
          <w:spacing w:val="-2"/>
        </w:rPr>
        <w:t>overseas,</w:t>
      </w:r>
      <w:r>
        <w:rPr>
          <w:spacing w:val="9"/>
        </w:rPr>
        <w:t xml:space="preserve"> </w:t>
      </w:r>
      <w:r>
        <w:rPr>
          <w:spacing w:val="-1"/>
        </w:rPr>
        <w:t>accommodation</w:t>
      </w:r>
      <w:r>
        <w:rPr>
          <w:spacing w:val="7"/>
        </w:rPr>
        <w:t xml:space="preserve"> </w:t>
      </w:r>
      <w:r>
        <w:rPr>
          <w:spacing w:val="-1"/>
        </w:rPr>
        <w:t>and</w:t>
      </w:r>
      <w:r>
        <w:rPr>
          <w:spacing w:val="5"/>
        </w:rPr>
        <w:t xml:space="preserve"> </w:t>
      </w:r>
      <w:r>
        <w:rPr>
          <w:spacing w:val="-1"/>
        </w:rPr>
        <w:t>messing</w:t>
      </w:r>
      <w:r>
        <w:rPr>
          <w:spacing w:val="5"/>
        </w:rPr>
        <w:t xml:space="preserve"> </w:t>
      </w:r>
      <w:r>
        <w:rPr>
          <w:spacing w:val="-1"/>
        </w:rPr>
        <w:t>facilities,</w:t>
      </w:r>
      <w:r>
        <w:rPr>
          <w:spacing w:val="32"/>
        </w:rPr>
        <w:t xml:space="preserve"> </w:t>
      </w:r>
      <w:r>
        <w:rPr>
          <w:spacing w:val="-1"/>
        </w:rPr>
        <w:t>if</w:t>
      </w:r>
      <w:r>
        <w:t xml:space="preserve"> </w:t>
      </w:r>
      <w:r>
        <w:rPr>
          <w:spacing w:val="-1"/>
        </w:rPr>
        <w:t>required,</w:t>
      </w:r>
      <w:r>
        <w:rPr>
          <w:spacing w:val="59"/>
        </w:rPr>
        <w:t xml:space="preserve"> </w:t>
      </w:r>
      <w:r>
        <w:rPr>
          <w:spacing w:val="-1"/>
        </w:rPr>
        <w:t>shall</w:t>
      </w:r>
      <w:r>
        <w:rPr>
          <w:spacing w:val="59"/>
        </w:rPr>
        <w:t xml:space="preserve"> </w:t>
      </w:r>
      <w:r>
        <w:rPr>
          <w:spacing w:val="-1"/>
        </w:rPr>
        <w:t>be</w:t>
      </w:r>
      <w:r>
        <w:rPr>
          <w:spacing w:val="60"/>
        </w:rPr>
        <w:t xml:space="preserve"> </w:t>
      </w:r>
      <w:r>
        <w:rPr>
          <w:spacing w:val="-2"/>
        </w:rPr>
        <w:t>provided</w:t>
      </w:r>
      <w:r>
        <w:rPr>
          <w:spacing w:val="2"/>
        </w:rPr>
        <w:t xml:space="preserve"> </w:t>
      </w:r>
      <w:r>
        <w:rPr>
          <w:spacing w:val="-1"/>
        </w:rPr>
        <w:t>wherever</w:t>
      </w:r>
      <w:r>
        <w:t xml:space="preserve"> </w:t>
      </w:r>
      <w:r>
        <w:rPr>
          <w:spacing w:val="-1"/>
        </w:rPr>
        <w:t>possible.</w:t>
      </w:r>
      <w:r>
        <w:rPr>
          <w:spacing w:val="1"/>
        </w:rPr>
        <w:t xml:space="preserve"> </w:t>
      </w:r>
      <w:r>
        <w:rPr>
          <w:spacing w:val="-1"/>
        </w:rPr>
        <w:t>The</w:t>
      </w:r>
      <w:r>
        <w:rPr>
          <w:spacing w:val="23"/>
        </w:rPr>
        <w:t xml:space="preserve"> </w:t>
      </w:r>
      <w:r>
        <w:rPr>
          <w:spacing w:val="-1"/>
        </w:rPr>
        <w:t>status</w:t>
      </w:r>
      <w:r>
        <w:t xml:space="preserve"> </w:t>
      </w:r>
      <w:r>
        <w:rPr>
          <w:spacing w:val="7"/>
        </w:rPr>
        <w:t xml:space="preserve"> </w:t>
      </w:r>
      <w:r>
        <w:t xml:space="preserve">to </w:t>
      </w:r>
      <w:r>
        <w:rPr>
          <w:spacing w:val="9"/>
        </w:rPr>
        <w:t xml:space="preserve"> </w:t>
      </w:r>
      <w:r>
        <w:rPr>
          <w:spacing w:val="-1"/>
        </w:rPr>
        <w:t>be</w:t>
      </w:r>
      <w:r>
        <w:t xml:space="preserve"> </w:t>
      </w:r>
      <w:r>
        <w:rPr>
          <w:spacing w:val="9"/>
        </w:rPr>
        <w:t xml:space="preserve"> </w:t>
      </w:r>
      <w:r>
        <w:rPr>
          <w:spacing w:val="-1"/>
        </w:rPr>
        <w:t>accorded</w:t>
      </w:r>
      <w:r>
        <w:t xml:space="preserve"> </w:t>
      </w:r>
      <w:r>
        <w:rPr>
          <w:spacing w:val="6"/>
        </w:rPr>
        <w:t xml:space="preserve"> </w:t>
      </w:r>
      <w:r>
        <w:t xml:space="preserve">to </w:t>
      </w:r>
      <w:r>
        <w:rPr>
          <w:spacing w:val="9"/>
        </w:rPr>
        <w:t xml:space="preserve"> </w:t>
      </w:r>
      <w:r>
        <w:t xml:space="preserve">the </w:t>
      </w:r>
      <w:r>
        <w:rPr>
          <w:spacing w:val="9"/>
        </w:rPr>
        <w:t xml:space="preserve"> </w:t>
      </w:r>
      <w:r>
        <w:rPr>
          <w:spacing w:val="-1"/>
        </w:rPr>
        <w:t>Supplier's</w:t>
      </w:r>
      <w:r>
        <w:t xml:space="preserve"> </w:t>
      </w:r>
      <w:r>
        <w:rPr>
          <w:spacing w:val="9"/>
        </w:rPr>
        <w:t xml:space="preserve"> </w:t>
      </w:r>
      <w:r>
        <w:rPr>
          <w:spacing w:val="-2"/>
        </w:rPr>
        <w:t>personnel</w:t>
      </w:r>
      <w:r>
        <w:t xml:space="preserve"> </w:t>
      </w:r>
      <w:r>
        <w:rPr>
          <w:spacing w:val="8"/>
        </w:rPr>
        <w:t xml:space="preserve"> </w:t>
      </w:r>
      <w:r>
        <w:t>for</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spacing w:before="59"/>
        <w:ind w:left="3163" w:right="112" w:firstLine="0"/>
        <w:jc w:val="both"/>
      </w:pPr>
      <w:r>
        <w:rPr>
          <w:spacing w:val="-1"/>
        </w:rPr>
        <w:t>messing</w:t>
      </w:r>
      <w:r>
        <w:rPr>
          <w:spacing w:val="12"/>
        </w:rPr>
        <w:t xml:space="preserve"> </w:t>
      </w:r>
      <w:r>
        <w:rPr>
          <w:spacing w:val="-1"/>
        </w:rPr>
        <w:t>purposes</w:t>
      </w:r>
      <w:r>
        <w:rPr>
          <w:spacing w:val="10"/>
        </w:rPr>
        <w:t xml:space="preserve"> </w:t>
      </w:r>
      <w:r>
        <w:rPr>
          <w:spacing w:val="-1"/>
        </w:rPr>
        <w:t>shall</w:t>
      </w:r>
      <w:r>
        <w:rPr>
          <w:spacing w:val="12"/>
        </w:rPr>
        <w:t xml:space="preserve"> </w:t>
      </w:r>
      <w:r>
        <w:rPr>
          <w:spacing w:val="-1"/>
        </w:rPr>
        <w:t>be</w:t>
      </w:r>
      <w:r>
        <w:rPr>
          <w:spacing w:val="10"/>
        </w:rPr>
        <w:t xml:space="preserve"> </w:t>
      </w:r>
      <w:r>
        <w:rPr>
          <w:spacing w:val="-1"/>
        </w:rPr>
        <w:t>at</w:t>
      </w:r>
      <w:r>
        <w:rPr>
          <w:spacing w:val="11"/>
        </w:rPr>
        <w:t xml:space="preserve"> </w:t>
      </w:r>
      <w:r>
        <w:t>the</w:t>
      </w:r>
      <w:r>
        <w:rPr>
          <w:spacing w:val="10"/>
        </w:rPr>
        <w:t xml:space="preserve"> </w:t>
      </w:r>
      <w:r>
        <w:rPr>
          <w:spacing w:val="-1"/>
        </w:rPr>
        <w:t>discretion</w:t>
      </w:r>
      <w:r>
        <w:rPr>
          <w:spacing w:val="10"/>
        </w:rPr>
        <w:t xml:space="preserve"> </w:t>
      </w:r>
      <w:r>
        <w:rPr>
          <w:spacing w:val="-1"/>
        </w:rPr>
        <w:t>of</w:t>
      </w:r>
      <w:r>
        <w:rPr>
          <w:spacing w:val="14"/>
        </w:rPr>
        <w:t xml:space="preserve"> </w:t>
      </w:r>
      <w:r>
        <w:rPr>
          <w:spacing w:val="-1"/>
        </w:rPr>
        <w:t>the</w:t>
      </w:r>
      <w:r>
        <w:rPr>
          <w:spacing w:val="10"/>
        </w:rPr>
        <w:t xml:space="preserve"> </w:t>
      </w:r>
      <w:r>
        <w:rPr>
          <w:spacing w:val="-1"/>
        </w:rPr>
        <w:t>Officer</w:t>
      </w:r>
      <w:r>
        <w:rPr>
          <w:spacing w:val="29"/>
        </w:rPr>
        <w:t xml:space="preserve"> </w:t>
      </w:r>
      <w:r>
        <w:rPr>
          <w:spacing w:val="-1"/>
        </w:rPr>
        <w:t>in</w:t>
      </w:r>
      <w:r>
        <w:rPr>
          <w:spacing w:val="24"/>
        </w:rPr>
        <w:t xml:space="preserve"> </w:t>
      </w:r>
      <w:r>
        <w:rPr>
          <w:spacing w:val="-1"/>
        </w:rPr>
        <w:t>charge</w:t>
      </w:r>
      <w:r>
        <w:rPr>
          <w:spacing w:val="24"/>
        </w:rPr>
        <w:t xml:space="preserve"> </w:t>
      </w:r>
      <w:r>
        <w:rPr>
          <w:spacing w:val="-2"/>
        </w:rPr>
        <w:t>who</w:t>
      </w:r>
      <w:r>
        <w:rPr>
          <w:spacing w:val="24"/>
        </w:rPr>
        <w:t xml:space="preserve"> </w:t>
      </w:r>
      <w:r>
        <w:rPr>
          <w:spacing w:val="-1"/>
        </w:rPr>
        <w:t>shall,</w:t>
      </w:r>
      <w:r>
        <w:rPr>
          <w:spacing w:val="26"/>
        </w:rPr>
        <w:t xml:space="preserve"> </w:t>
      </w:r>
      <w:r>
        <w:rPr>
          <w:spacing w:val="-2"/>
        </w:rPr>
        <w:t>wherever</w:t>
      </w:r>
      <w:r>
        <w:rPr>
          <w:spacing w:val="26"/>
        </w:rPr>
        <w:t xml:space="preserve"> </w:t>
      </w:r>
      <w:r>
        <w:rPr>
          <w:spacing w:val="-1"/>
        </w:rPr>
        <w:t>possible</w:t>
      </w:r>
      <w:r>
        <w:rPr>
          <w:spacing w:val="22"/>
        </w:rPr>
        <w:t xml:space="preserve"> </w:t>
      </w:r>
      <w:r>
        <w:rPr>
          <w:spacing w:val="-1"/>
        </w:rPr>
        <w:t>give</w:t>
      </w:r>
      <w:r>
        <w:rPr>
          <w:spacing w:val="24"/>
        </w:rPr>
        <w:t xml:space="preserve"> </w:t>
      </w:r>
      <w:r>
        <w:rPr>
          <w:spacing w:val="-1"/>
        </w:rPr>
        <w:t>his</w:t>
      </w:r>
      <w:r>
        <w:rPr>
          <w:spacing w:val="25"/>
        </w:rPr>
        <w:t xml:space="preserve"> </w:t>
      </w:r>
      <w:r>
        <w:rPr>
          <w:spacing w:val="-1"/>
        </w:rPr>
        <w:t>decision</w:t>
      </w:r>
      <w:r>
        <w:rPr>
          <w:spacing w:val="22"/>
        </w:rPr>
        <w:t xml:space="preserve"> </w:t>
      </w:r>
      <w:r>
        <w:rPr>
          <w:spacing w:val="-1"/>
        </w:rPr>
        <w:t>before</w:t>
      </w:r>
      <w:r>
        <w:rPr>
          <w:spacing w:val="3"/>
        </w:rPr>
        <w:t xml:space="preserve"> </w:t>
      </w:r>
      <w:r>
        <w:t>the</w:t>
      </w:r>
      <w:r>
        <w:rPr>
          <w:spacing w:val="3"/>
        </w:rPr>
        <w:t xml:space="preserve"> </w:t>
      </w:r>
      <w:r>
        <w:rPr>
          <w:spacing w:val="-2"/>
        </w:rPr>
        <w:t>commencement</w:t>
      </w:r>
      <w:r>
        <w:rPr>
          <w:spacing w:val="4"/>
        </w:rPr>
        <w:t xml:space="preserve"> </w:t>
      </w:r>
      <w:r>
        <w:rPr>
          <w:spacing w:val="-2"/>
        </w:rPr>
        <w:t>of</w:t>
      </w:r>
      <w:r>
        <w:rPr>
          <w:spacing w:val="6"/>
        </w:rPr>
        <w:t xml:space="preserve"> </w:t>
      </w:r>
      <w:r>
        <w:rPr>
          <w:spacing w:val="-1"/>
        </w:rPr>
        <w:t>this</w:t>
      </w:r>
      <w:r>
        <w:rPr>
          <w:spacing w:val="3"/>
        </w:rPr>
        <w:t xml:space="preserve"> </w:t>
      </w:r>
      <w:r>
        <w:rPr>
          <w:spacing w:val="-2"/>
        </w:rPr>
        <w:t>Call</w:t>
      </w:r>
      <w:r>
        <w:rPr>
          <w:spacing w:val="2"/>
        </w:rPr>
        <w:t xml:space="preserve"> </w:t>
      </w:r>
      <w:r>
        <w:t>Off</w:t>
      </w:r>
      <w:r>
        <w:rPr>
          <w:spacing w:val="4"/>
        </w:rPr>
        <w:t xml:space="preserve"> </w:t>
      </w:r>
      <w:r>
        <w:rPr>
          <w:spacing w:val="-2"/>
        </w:rPr>
        <w:t>Contract</w:t>
      </w:r>
      <w:r>
        <w:rPr>
          <w:spacing w:val="5"/>
        </w:rPr>
        <w:t xml:space="preserve"> </w:t>
      </w:r>
      <w:r>
        <w:rPr>
          <w:spacing w:val="-2"/>
        </w:rPr>
        <w:t>where</w:t>
      </w:r>
      <w:r>
        <w:rPr>
          <w:spacing w:val="69"/>
        </w:rPr>
        <w:t xml:space="preserve"> </w:t>
      </w:r>
      <w:r>
        <w:rPr>
          <w:spacing w:val="-1"/>
        </w:rPr>
        <w:t>so</w:t>
      </w:r>
      <w:r>
        <w:rPr>
          <w:spacing w:val="45"/>
        </w:rPr>
        <w:t xml:space="preserve"> </w:t>
      </w:r>
      <w:r>
        <w:rPr>
          <w:spacing w:val="-1"/>
        </w:rPr>
        <w:t>asked</w:t>
      </w:r>
      <w:r>
        <w:rPr>
          <w:spacing w:val="45"/>
        </w:rPr>
        <w:t xml:space="preserve"> </w:t>
      </w:r>
      <w:r>
        <w:rPr>
          <w:spacing w:val="-1"/>
        </w:rPr>
        <w:t>by</w:t>
      </w:r>
      <w:r>
        <w:rPr>
          <w:spacing w:val="43"/>
        </w:rPr>
        <w:t xml:space="preserve"> </w:t>
      </w:r>
      <w:r>
        <w:t>the</w:t>
      </w:r>
      <w:r>
        <w:rPr>
          <w:spacing w:val="42"/>
        </w:rPr>
        <w:t xml:space="preserve"> </w:t>
      </w:r>
      <w:r>
        <w:rPr>
          <w:spacing w:val="-1"/>
        </w:rPr>
        <w:t>Supplier.</w:t>
      </w:r>
      <w:r>
        <w:rPr>
          <w:spacing w:val="24"/>
        </w:rPr>
        <w:t xml:space="preserve"> </w:t>
      </w:r>
      <w:r>
        <w:t>When</w:t>
      </w:r>
      <w:r>
        <w:rPr>
          <w:spacing w:val="42"/>
        </w:rPr>
        <w:t xml:space="preserve"> </w:t>
      </w:r>
      <w:r>
        <w:rPr>
          <w:spacing w:val="-2"/>
        </w:rPr>
        <w:t>sleeping</w:t>
      </w:r>
      <w:r>
        <w:rPr>
          <w:spacing w:val="28"/>
        </w:rPr>
        <w:t xml:space="preserve"> </w:t>
      </w:r>
      <w:r>
        <w:rPr>
          <w:spacing w:val="-1"/>
        </w:rPr>
        <w:t>accommodation</w:t>
      </w:r>
      <w:r>
        <w:rPr>
          <w:spacing w:val="3"/>
        </w:rPr>
        <w:t xml:space="preserve"> </w:t>
      </w:r>
      <w:r>
        <w:rPr>
          <w:spacing w:val="-1"/>
        </w:rPr>
        <w:t>and</w:t>
      </w:r>
      <w:r>
        <w:t xml:space="preserve"> </w:t>
      </w:r>
      <w:r>
        <w:rPr>
          <w:spacing w:val="-1"/>
        </w:rPr>
        <w:t>messing</w:t>
      </w:r>
      <w:r>
        <w:rPr>
          <w:spacing w:val="3"/>
        </w:rPr>
        <w:t xml:space="preserve"> </w:t>
      </w:r>
      <w:r>
        <w:rPr>
          <w:spacing w:val="-1"/>
        </w:rPr>
        <w:t>facilities</w:t>
      </w:r>
      <w:r>
        <w:rPr>
          <w:spacing w:val="3"/>
        </w:rPr>
        <w:t xml:space="preserve"> </w:t>
      </w:r>
      <w:r>
        <w:rPr>
          <w:spacing w:val="-1"/>
        </w:rPr>
        <w:t>are</w:t>
      </w:r>
      <w:r>
        <w:rPr>
          <w:spacing w:val="3"/>
        </w:rPr>
        <w:t xml:space="preserve"> </w:t>
      </w:r>
      <w:r>
        <w:rPr>
          <w:spacing w:val="-2"/>
        </w:rPr>
        <w:t>not</w:t>
      </w:r>
      <w:r>
        <w:rPr>
          <w:spacing w:val="4"/>
        </w:rPr>
        <w:t xml:space="preserve"> </w:t>
      </w:r>
      <w:r>
        <w:rPr>
          <w:spacing w:val="-2"/>
        </w:rPr>
        <w:t>available,</w:t>
      </w:r>
      <w:r>
        <w:rPr>
          <w:spacing w:val="4"/>
        </w:rPr>
        <w:t xml:space="preserve"> </w:t>
      </w:r>
      <w:r>
        <w:t>a</w:t>
      </w:r>
      <w:r>
        <w:rPr>
          <w:spacing w:val="33"/>
        </w:rPr>
        <w:t xml:space="preserve"> </w:t>
      </w:r>
      <w:r>
        <w:rPr>
          <w:spacing w:val="-1"/>
        </w:rPr>
        <w:t>certificate</w:t>
      </w:r>
      <w:r>
        <w:rPr>
          <w:spacing w:val="12"/>
        </w:rPr>
        <w:t xml:space="preserve"> </w:t>
      </w:r>
      <w:r>
        <w:t>to</w:t>
      </w:r>
      <w:r>
        <w:rPr>
          <w:spacing w:val="15"/>
        </w:rPr>
        <w:t xml:space="preserve"> </w:t>
      </w:r>
      <w:r>
        <w:rPr>
          <w:spacing w:val="-2"/>
        </w:rPr>
        <w:t>this</w:t>
      </w:r>
      <w:r>
        <w:rPr>
          <w:spacing w:val="15"/>
        </w:rPr>
        <w:t xml:space="preserve"> </w:t>
      </w:r>
      <w:r>
        <w:rPr>
          <w:spacing w:val="-1"/>
        </w:rPr>
        <w:t>effect</w:t>
      </w:r>
      <w:r>
        <w:rPr>
          <w:spacing w:val="12"/>
        </w:rPr>
        <w:t xml:space="preserve"> </w:t>
      </w:r>
      <w:r>
        <w:rPr>
          <w:spacing w:val="-1"/>
        </w:rPr>
        <w:t>may</w:t>
      </w:r>
      <w:r>
        <w:rPr>
          <w:spacing w:val="13"/>
        </w:rPr>
        <w:t xml:space="preserve"> </w:t>
      </w:r>
      <w:r>
        <w:rPr>
          <w:spacing w:val="-1"/>
        </w:rPr>
        <w:t>be</w:t>
      </w:r>
      <w:r>
        <w:rPr>
          <w:spacing w:val="15"/>
        </w:rPr>
        <w:t xml:space="preserve"> </w:t>
      </w:r>
      <w:r>
        <w:rPr>
          <w:spacing w:val="-1"/>
        </w:rPr>
        <w:t>required</w:t>
      </w:r>
      <w:r>
        <w:rPr>
          <w:spacing w:val="13"/>
        </w:rPr>
        <w:t xml:space="preserve"> </w:t>
      </w:r>
      <w:r>
        <w:rPr>
          <w:spacing w:val="-1"/>
        </w:rPr>
        <w:t>by</w:t>
      </w:r>
      <w:r>
        <w:rPr>
          <w:spacing w:val="13"/>
        </w:rPr>
        <w:t xml:space="preserve"> </w:t>
      </w:r>
      <w:r>
        <w:t>the</w:t>
      </w:r>
      <w:r>
        <w:rPr>
          <w:spacing w:val="12"/>
        </w:rPr>
        <w:t xml:space="preserve"> </w:t>
      </w:r>
      <w:r>
        <w:rPr>
          <w:spacing w:val="-1"/>
        </w:rPr>
        <w:t>Customer</w:t>
      </w:r>
      <w:r>
        <w:rPr>
          <w:spacing w:val="41"/>
        </w:rPr>
        <w:t xml:space="preserve"> </w:t>
      </w:r>
      <w:r>
        <w:rPr>
          <w:spacing w:val="-1"/>
        </w:rPr>
        <w:t>and</w:t>
      </w:r>
      <w:r>
        <w:rPr>
          <w:spacing w:val="22"/>
        </w:rPr>
        <w:t xml:space="preserve"> </w:t>
      </w:r>
      <w:r>
        <w:rPr>
          <w:spacing w:val="-1"/>
        </w:rPr>
        <w:t>shall</w:t>
      </w:r>
      <w:r>
        <w:rPr>
          <w:spacing w:val="21"/>
        </w:rPr>
        <w:t xml:space="preserve"> </w:t>
      </w:r>
      <w:r>
        <w:rPr>
          <w:spacing w:val="-1"/>
        </w:rPr>
        <w:t>be</w:t>
      </w:r>
      <w:r>
        <w:rPr>
          <w:spacing w:val="22"/>
        </w:rPr>
        <w:t xml:space="preserve"> </w:t>
      </w:r>
      <w:r>
        <w:rPr>
          <w:spacing w:val="-1"/>
        </w:rPr>
        <w:t>obtained</w:t>
      </w:r>
      <w:r>
        <w:rPr>
          <w:spacing w:val="19"/>
        </w:rPr>
        <w:t xml:space="preserve"> </w:t>
      </w:r>
      <w:r>
        <w:rPr>
          <w:spacing w:val="-2"/>
        </w:rPr>
        <w:t>by</w:t>
      </w:r>
      <w:r>
        <w:rPr>
          <w:spacing w:val="20"/>
        </w:rPr>
        <w:t xml:space="preserve"> </w:t>
      </w:r>
      <w:r>
        <w:t>the</w:t>
      </w:r>
      <w:r>
        <w:rPr>
          <w:spacing w:val="22"/>
        </w:rPr>
        <w:t xml:space="preserve"> </w:t>
      </w:r>
      <w:r>
        <w:rPr>
          <w:spacing w:val="-2"/>
        </w:rPr>
        <w:t>Supplier</w:t>
      </w:r>
      <w:r>
        <w:rPr>
          <w:spacing w:val="21"/>
        </w:rPr>
        <w:t xml:space="preserve"> </w:t>
      </w:r>
      <w:r>
        <w:t>from</w:t>
      </w:r>
      <w:r>
        <w:rPr>
          <w:spacing w:val="21"/>
        </w:rPr>
        <w:t xml:space="preserve"> </w:t>
      </w:r>
      <w:r>
        <w:t>the</w:t>
      </w:r>
      <w:r>
        <w:rPr>
          <w:spacing w:val="17"/>
        </w:rPr>
        <w:t xml:space="preserve"> </w:t>
      </w:r>
      <w:r>
        <w:rPr>
          <w:spacing w:val="-1"/>
        </w:rPr>
        <w:t>Officer</w:t>
      </w:r>
      <w:r>
        <w:rPr>
          <w:spacing w:val="23"/>
        </w:rPr>
        <w:t xml:space="preserve"> </w:t>
      </w:r>
      <w:r>
        <w:rPr>
          <w:spacing w:val="-1"/>
        </w:rPr>
        <w:t>in</w:t>
      </w:r>
      <w:r>
        <w:rPr>
          <w:spacing w:val="35"/>
        </w:rPr>
        <w:t xml:space="preserve"> </w:t>
      </w:r>
      <w:r>
        <w:rPr>
          <w:spacing w:val="-1"/>
        </w:rPr>
        <w:t>charge.</w:t>
      </w:r>
      <w:r>
        <w:rPr>
          <w:spacing w:val="21"/>
        </w:rPr>
        <w:t xml:space="preserve"> </w:t>
      </w:r>
      <w:r>
        <w:rPr>
          <w:spacing w:val="-1"/>
        </w:rPr>
        <w:t>Such</w:t>
      </w:r>
      <w:r>
        <w:rPr>
          <w:spacing w:val="40"/>
        </w:rPr>
        <w:t xml:space="preserve"> </w:t>
      </w:r>
      <w:r>
        <w:rPr>
          <w:spacing w:val="-1"/>
        </w:rPr>
        <w:t>certificate</w:t>
      </w:r>
      <w:r>
        <w:rPr>
          <w:spacing w:val="40"/>
        </w:rPr>
        <w:t xml:space="preserve"> </w:t>
      </w:r>
      <w:r>
        <w:rPr>
          <w:spacing w:val="-1"/>
        </w:rPr>
        <w:t>shall</w:t>
      </w:r>
      <w:r>
        <w:rPr>
          <w:spacing w:val="39"/>
        </w:rPr>
        <w:t xml:space="preserve"> </w:t>
      </w:r>
      <w:r>
        <w:rPr>
          <w:spacing w:val="-1"/>
        </w:rPr>
        <w:t>be</w:t>
      </w:r>
      <w:r>
        <w:rPr>
          <w:spacing w:val="40"/>
        </w:rPr>
        <w:t xml:space="preserve"> </w:t>
      </w:r>
      <w:r>
        <w:rPr>
          <w:spacing w:val="-1"/>
        </w:rPr>
        <w:t>presented</w:t>
      </w:r>
      <w:r>
        <w:rPr>
          <w:spacing w:val="40"/>
        </w:rPr>
        <w:t xml:space="preserve"> </w:t>
      </w:r>
      <w:r>
        <w:t>to</w:t>
      </w:r>
      <w:r>
        <w:rPr>
          <w:spacing w:val="40"/>
        </w:rPr>
        <w:t xml:space="preserve"> </w:t>
      </w:r>
      <w:r>
        <w:rPr>
          <w:spacing w:val="-1"/>
        </w:rPr>
        <w:t>the</w:t>
      </w:r>
      <w:r>
        <w:rPr>
          <w:spacing w:val="29"/>
        </w:rPr>
        <w:t xml:space="preserve"> </w:t>
      </w:r>
      <w:r>
        <w:rPr>
          <w:spacing w:val="-1"/>
        </w:rPr>
        <w:t>Customer</w:t>
      </w:r>
      <w:r>
        <w:rPr>
          <w:spacing w:val="14"/>
        </w:rPr>
        <w:t xml:space="preserve"> </w:t>
      </w:r>
      <w:r>
        <w:rPr>
          <w:spacing w:val="-2"/>
        </w:rPr>
        <w:t>with</w:t>
      </w:r>
      <w:r>
        <w:rPr>
          <w:spacing w:val="12"/>
        </w:rPr>
        <w:t xml:space="preserve"> </w:t>
      </w:r>
      <w:r>
        <w:rPr>
          <w:spacing w:val="-1"/>
        </w:rPr>
        <w:t>other</w:t>
      </w:r>
      <w:r>
        <w:rPr>
          <w:spacing w:val="14"/>
        </w:rPr>
        <w:t xml:space="preserve"> </w:t>
      </w:r>
      <w:r>
        <w:rPr>
          <w:spacing w:val="-1"/>
        </w:rPr>
        <w:t>evidence</w:t>
      </w:r>
      <w:r>
        <w:rPr>
          <w:spacing w:val="13"/>
        </w:rPr>
        <w:t xml:space="preserve"> </w:t>
      </w:r>
      <w:r>
        <w:rPr>
          <w:spacing w:val="-1"/>
        </w:rPr>
        <w:t>relating</w:t>
      </w:r>
      <w:r>
        <w:rPr>
          <w:spacing w:val="12"/>
        </w:rPr>
        <w:t xml:space="preserve"> </w:t>
      </w:r>
      <w:r>
        <w:t>to</w:t>
      </w:r>
      <w:r>
        <w:rPr>
          <w:spacing w:val="12"/>
        </w:rPr>
        <w:t xml:space="preserve"> </w:t>
      </w:r>
      <w:r>
        <w:t>the</w:t>
      </w:r>
      <w:r>
        <w:rPr>
          <w:spacing w:val="10"/>
        </w:rPr>
        <w:t xml:space="preserve"> </w:t>
      </w:r>
      <w:r>
        <w:rPr>
          <w:spacing w:val="-1"/>
        </w:rPr>
        <w:t>costs</w:t>
      </w:r>
      <w:r>
        <w:rPr>
          <w:spacing w:val="13"/>
        </w:rPr>
        <w:t xml:space="preserve"> </w:t>
      </w:r>
      <w:r>
        <w:rPr>
          <w:spacing w:val="-2"/>
        </w:rPr>
        <w:t>of</w:t>
      </w:r>
      <w:r>
        <w:rPr>
          <w:spacing w:val="14"/>
        </w:rPr>
        <w:t xml:space="preserve"> </w:t>
      </w:r>
      <w:r>
        <w:rPr>
          <w:spacing w:val="-1"/>
        </w:rPr>
        <w:t>this</w:t>
      </w:r>
      <w:r>
        <w:rPr>
          <w:spacing w:val="33"/>
        </w:rPr>
        <w:t xml:space="preserve"> </w:t>
      </w:r>
      <w:r>
        <w:rPr>
          <w:spacing w:val="-2"/>
        </w:rPr>
        <w:t>Call</w:t>
      </w:r>
      <w:r>
        <w:t xml:space="preserve"> </w:t>
      </w:r>
      <w:r>
        <w:rPr>
          <w:spacing w:val="-1"/>
        </w:rPr>
        <w:t>Off</w:t>
      </w:r>
      <w:r>
        <w:rPr>
          <w:spacing w:val="2"/>
        </w:rPr>
        <w:t xml:space="preserve"> </w:t>
      </w:r>
      <w:r>
        <w:rPr>
          <w:spacing w:val="-2"/>
        </w:rPr>
        <w:t>Contract.</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1"/>
        </w:numPr>
        <w:tabs>
          <w:tab w:val="left" w:pos="3163"/>
        </w:tabs>
        <w:spacing w:before="0"/>
        <w:ind w:left="3162" w:right="111" w:hanging="851"/>
        <w:jc w:val="both"/>
      </w:pPr>
      <w:r>
        <w:rPr>
          <w:spacing w:val="-1"/>
        </w:rPr>
        <w:t>Where</w:t>
      </w:r>
      <w:r>
        <w:rPr>
          <w:spacing w:val="12"/>
        </w:rPr>
        <w:t xml:space="preserve"> </w:t>
      </w:r>
      <w:r>
        <w:t>the</w:t>
      </w:r>
      <w:r>
        <w:rPr>
          <w:spacing w:val="15"/>
        </w:rPr>
        <w:t xml:space="preserve"> </w:t>
      </w:r>
      <w:r>
        <w:rPr>
          <w:spacing w:val="-2"/>
        </w:rPr>
        <w:t>Supplier's</w:t>
      </w:r>
      <w:r>
        <w:rPr>
          <w:spacing w:val="15"/>
        </w:rPr>
        <w:t xml:space="preserve"> </w:t>
      </w:r>
      <w:r>
        <w:rPr>
          <w:spacing w:val="-2"/>
        </w:rPr>
        <w:t>representatives</w:t>
      </w:r>
      <w:r>
        <w:rPr>
          <w:spacing w:val="15"/>
        </w:rPr>
        <w:t xml:space="preserve"> </w:t>
      </w:r>
      <w:r>
        <w:rPr>
          <w:spacing w:val="-1"/>
        </w:rPr>
        <w:t>are</w:t>
      </w:r>
      <w:r>
        <w:rPr>
          <w:spacing w:val="15"/>
        </w:rPr>
        <w:t xml:space="preserve"> </w:t>
      </w:r>
      <w:r>
        <w:rPr>
          <w:spacing w:val="-2"/>
        </w:rPr>
        <w:t>required</w:t>
      </w:r>
      <w:r>
        <w:rPr>
          <w:spacing w:val="15"/>
        </w:rPr>
        <w:t xml:space="preserve"> </w:t>
      </w:r>
      <w:r>
        <w:rPr>
          <w:spacing w:val="-1"/>
        </w:rPr>
        <w:t>by</w:t>
      </w:r>
      <w:r>
        <w:rPr>
          <w:spacing w:val="13"/>
        </w:rPr>
        <w:t xml:space="preserve"> </w:t>
      </w:r>
      <w:r>
        <w:rPr>
          <w:spacing w:val="-1"/>
        </w:rPr>
        <w:t>this</w:t>
      </w:r>
      <w:r>
        <w:rPr>
          <w:spacing w:val="79"/>
        </w:rPr>
        <w:t xml:space="preserve"> </w:t>
      </w:r>
      <w:r>
        <w:rPr>
          <w:spacing w:val="-2"/>
        </w:rPr>
        <w:t>Call</w:t>
      </w:r>
      <w:r>
        <w:rPr>
          <w:spacing w:val="9"/>
        </w:rPr>
        <w:t xml:space="preserve"> </w:t>
      </w:r>
      <w:r>
        <w:t>Off</w:t>
      </w:r>
      <w:r>
        <w:rPr>
          <w:spacing w:val="11"/>
        </w:rPr>
        <w:t xml:space="preserve"> </w:t>
      </w:r>
      <w:r>
        <w:rPr>
          <w:spacing w:val="-1"/>
        </w:rPr>
        <w:t>Contract</w:t>
      </w:r>
      <w:r>
        <w:rPr>
          <w:spacing w:val="9"/>
        </w:rPr>
        <w:t xml:space="preserve"> </w:t>
      </w:r>
      <w:r>
        <w:t>to</w:t>
      </w:r>
      <w:r>
        <w:rPr>
          <w:spacing w:val="10"/>
        </w:rPr>
        <w:t xml:space="preserve"> </w:t>
      </w:r>
      <w:r>
        <w:rPr>
          <w:spacing w:val="-1"/>
        </w:rPr>
        <w:t>join</w:t>
      </w:r>
      <w:r>
        <w:rPr>
          <w:spacing w:val="7"/>
        </w:rPr>
        <w:t xml:space="preserve"> </w:t>
      </w:r>
      <w:r>
        <w:rPr>
          <w:spacing w:val="-1"/>
        </w:rPr>
        <w:t>or</w:t>
      </w:r>
      <w:r>
        <w:rPr>
          <w:spacing w:val="11"/>
        </w:rPr>
        <w:t xml:space="preserve"> </w:t>
      </w:r>
      <w:r>
        <w:rPr>
          <w:spacing w:val="-2"/>
        </w:rPr>
        <w:t>visit</w:t>
      </w:r>
      <w:r>
        <w:rPr>
          <w:spacing w:val="11"/>
        </w:rPr>
        <w:t xml:space="preserve"> </w:t>
      </w:r>
      <w:r>
        <w:t>a</w:t>
      </w:r>
      <w:r>
        <w:rPr>
          <w:spacing w:val="10"/>
        </w:rPr>
        <w:t xml:space="preserve"> </w:t>
      </w:r>
      <w:r>
        <w:rPr>
          <w:spacing w:val="-1"/>
        </w:rPr>
        <w:t>Site</w:t>
      </w:r>
      <w:r>
        <w:rPr>
          <w:spacing w:val="10"/>
        </w:rPr>
        <w:t xml:space="preserve"> </w:t>
      </w:r>
      <w:r>
        <w:rPr>
          <w:spacing w:val="-1"/>
        </w:rPr>
        <w:t>overseas,</w:t>
      </w:r>
      <w:r>
        <w:rPr>
          <w:spacing w:val="12"/>
        </w:rPr>
        <w:t xml:space="preserve"> </w:t>
      </w:r>
      <w:r>
        <w:rPr>
          <w:spacing w:val="-1"/>
        </w:rPr>
        <w:t>transport</w:t>
      </w:r>
      <w:r>
        <w:rPr>
          <w:spacing w:val="33"/>
        </w:rPr>
        <w:t xml:space="preserve"> </w:t>
      </w:r>
      <w:r>
        <w:rPr>
          <w:spacing w:val="-1"/>
        </w:rPr>
        <w:t>between</w:t>
      </w:r>
      <w:r>
        <w:rPr>
          <w:spacing w:val="29"/>
        </w:rPr>
        <w:t xml:space="preserve"> </w:t>
      </w:r>
      <w:r>
        <w:t>the</w:t>
      </w:r>
      <w:r>
        <w:rPr>
          <w:spacing w:val="29"/>
        </w:rPr>
        <w:t xml:space="preserve"> </w:t>
      </w:r>
      <w:r>
        <w:rPr>
          <w:spacing w:val="-1"/>
        </w:rPr>
        <w:t>United</w:t>
      </w:r>
      <w:r>
        <w:rPr>
          <w:spacing w:val="29"/>
        </w:rPr>
        <w:t xml:space="preserve"> </w:t>
      </w:r>
      <w:r>
        <w:rPr>
          <w:spacing w:val="-1"/>
        </w:rPr>
        <w:t>Kingdom</w:t>
      </w:r>
      <w:r>
        <w:rPr>
          <w:spacing w:val="30"/>
        </w:rPr>
        <w:t xml:space="preserve"> </w:t>
      </w:r>
      <w:r>
        <w:rPr>
          <w:spacing w:val="-1"/>
        </w:rPr>
        <w:t>and</w:t>
      </w:r>
      <w:r>
        <w:rPr>
          <w:spacing w:val="29"/>
        </w:rPr>
        <w:t xml:space="preserve"> </w:t>
      </w:r>
      <w:r>
        <w:t>the</w:t>
      </w:r>
      <w:r>
        <w:rPr>
          <w:spacing w:val="29"/>
        </w:rPr>
        <w:t xml:space="preserve"> </w:t>
      </w:r>
      <w:r>
        <w:rPr>
          <w:spacing w:val="-1"/>
        </w:rPr>
        <w:t>place</w:t>
      </w:r>
      <w:r>
        <w:rPr>
          <w:spacing w:val="30"/>
        </w:rPr>
        <w:t xml:space="preserve"> </w:t>
      </w:r>
      <w:r>
        <w:rPr>
          <w:spacing w:val="-1"/>
        </w:rPr>
        <w:t>of</w:t>
      </w:r>
      <w:r>
        <w:rPr>
          <w:spacing w:val="30"/>
        </w:rPr>
        <w:t xml:space="preserve"> </w:t>
      </w:r>
      <w:r>
        <w:rPr>
          <w:spacing w:val="-1"/>
        </w:rPr>
        <w:t>duty</w:t>
      </w:r>
      <w:r>
        <w:rPr>
          <w:spacing w:val="27"/>
        </w:rPr>
        <w:t xml:space="preserve"> </w:t>
      </w:r>
      <w:r>
        <w:rPr>
          <w:spacing w:val="-1"/>
        </w:rPr>
        <w:t>(but</w:t>
      </w:r>
      <w:r>
        <w:rPr>
          <w:spacing w:val="26"/>
        </w:rPr>
        <w:t xml:space="preserve"> </w:t>
      </w:r>
      <w:r>
        <w:rPr>
          <w:spacing w:val="-2"/>
        </w:rPr>
        <w:t>excluding</w:t>
      </w:r>
      <w:r>
        <w:rPr>
          <w:spacing w:val="41"/>
        </w:rPr>
        <w:t xml:space="preserve"> </w:t>
      </w:r>
      <w:r>
        <w:rPr>
          <w:spacing w:val="-1"/>
        </w:rPr>
        <w:t>transport</w:t>
      </w:r>
      <w:r>
        <w:rPr>
          <w:spacing w:val="40"/>
        </w:rPr>
        <w:t xml:space="preserve"> </w:t>
      </w:r>
      <w:r>
        <w:rPr>
          <w:spacing w:val="-1"/>
        </w:rPr>
        <w:t>within</w:t>
      </w:r>
      <w:r>
        <w:rPr>
          <w:spacing w:val="38"/>
        </w:rPr>
        <w:t xml:space="preserve"> </w:t>
      </w:r>
      <w:r>
        <w:t>the</w:t>
      </w:r>
      <w:r>
        <w:rPr>
          <w:spacing w:val="38"/>
        </w:rPr>
        <w:t xml:space="preserve"> </w:t>
      </w:r>
      <w:r>
        <w:rPr>
          <w:spacing w:val="-1"/>
        </w:rPr>
        <w:t>United</w:t>
      </w:r>
      <w:r>
        <w:rPr>
          <w:spacing w:val="39"/>
        </w:rPr>
        <w:t xml:space="preserve"> </w:t>
      </w:r>
      <w:r>
        <w:rPr>
          <w:spacing w:val="-1"/>
        </w:rPr>
        <w:t>Kingdom)</w:t>
      </w:r>
      <w:r>
        <w:rPr>
          <w:spacing w:val="38"/>
        </w:rPr>
        <w:t xml:space="preserve"> </w:t>
      </w:r>
      <w:r>
        <w:rPr>
          <w:spacing w:val="-1"/>
        </w:rPr>
        <w:t>shall</w:t>
      </w:r>
      <w:r>
        <w:rPr>
          <w:spacing w:val="39"/>
        </w:rPr>
        <w:t xml:space="preserve"> </w:t>
      </w:r>
      <w:r>
        <w:rPr>
          <w:spacing w:val="-1"/>
        </w:rPr>
        <w:t>be</w:t>
      </w:r>
      <w:r>
        <w:rPr>
          <w:spacing w:val="32"/>
        </w:rPr>
        <w:t xml:space="preserve"> </w:t>
      </w:r>
      <w:r>
        <w:rPr>
          <w:spacing w:val="-2"/>
        </w:rPr>
        <w:t>provided</w:t>
      </w:r>
      <w:r>
        <w:rPr>
          <w:spacing w:val="26"/>
        </w:rPr>
        <w:t xml:space="preserve"> </w:t>
      </w:r>
      <w:r>
        <w:t>for</w:t>
      </w:r>
      <w:r>
        <w:rPr>
          <w:spacing w:val="27"/>
        </w:rPr>
        <w:t xml:space="preserve"> </w:t>
      </w:r>
      <w:r>
        <w:rPr>
          <w:spacing w:val="-1"/>
        </w:rPr>
        <w:t>them</w:t>
      </w:r>
      <w:r>
        <w:rPr>
          <w:spacing w:val="24"/>
        </w:rPr>
        <w:t xml:space="preserve"> </w:t>
      </w:r>
      <w:r>
        <w:t>free</w:t>
      </w:r>
      <w:r>
        <w:rPr>
          <w:spacing w:val="23"/>
        </w:rPr>
        <w:t xml:space="preserve"> </w:t>
      </w:r>
      <w:r>
        <w:rPr>
          <w:spacing w:val="-1"/>
        </w:rPr>
        <w:t>of</w:t>
      </w:r>
      <w:r>
        <w:rPr>
          <w:spacing w:val="29"/>
        </w:rPr>
        <w:t xml:space="preserve"> </w:t>
      </w:r>
      <w:r>
        <w:rPr>
          <w:spacing w:val="-1"/>
        </w:rPr>
        <w:t>charge</w:t>
      </w:r>
      <w:r>
        <w:rPr>
          <w:spacing w:val="26"/>
        </w:rPr>
        <w:t xml:space="preserve"> </w:t>
      </w:r>
      <w:r>
        <w:rPr>
          <w:spacing w:val="-1"/>
        </w:rPr>
        <w:t>by</w:t>
      </w:r>
      <w:r>
        <w:rPr>
          <w:spacing w:val="24"/>
        </w:rPr>
        <w:t xml:space="preserve"> </w:t>
      </w:r>
      <w:r>
        <w:t>the</w:t>
      </w:r>
      <w:r>
        <w:rPr>
          <w:spacing w:val="26"/>
        </w:rPr>
        <w:t xml:space="preserve"> </w:t>
      </w:r>
      <w:r>
        <w:rPr>
          <w:spacing w:val="-1"/>
        </w:rPr>
        <w:t>Ministry</w:t>
      </w:r>
      <w:r>
        <w:rPr>
          <w:spacing w:val="24"/>
        </w:rPr>
        <w:t xml:space="preserve"> </w:t>
      </w:r>
      <w:r>
        <w:rPr>
          <w:spacing w:val="-2"/>
        </w:rPr>
        <w:t>of</w:t>
      </w:r>
      <w:r>
        <w:rPr>
          <w:spacing w:val="39"/>
        </w:rPr>
        <w:t xml:space="preserve"> </w:t>
      </w:r>
      <w:r>
        <w:rPr>
          <w:spacing w:val="-1"/>
        </w:rPr>
        <w:t>Defence</w:t>
      </w:r>
      <w:r>
        <w:rPr>
          <w:spacing w:val="18"/>
        </w:rPr>
        <w:t xml:space="preserve"> </w:t>
      </w:r>
      <w:r>
        <w:rPr>
          <w:spacing w:val="-2"/>
        </w:rPr>
        <w:t>whenever</w:t>
      </w:r>
      <w:r>
        <w:rPr>
          <w:spacing w:val="19"/>
        </w:rPr>
        <w:t xml:space="preserve"> </w:t>
      </w:r>
      <w:r>
        <w:rPr>
          <w:spacing w:val="-1"/>
        </w:rPr>
        <w:t>possible,</w:t>
      </w:r>
      <w:r>
        <w:rPr>
          <w:spacing w:val="19"/>
        </w:rPr>
        <w:t xml:space="preserve"> </w:t>
      </w:r>
      <w:r>
        <w:rPr>
          <w:spacing w:val="-2"/>
        </w:rPr>
        <w:t>normally</w:t>
      </w:r>
      <w:r>
        <w:rPr>
          <w:spacing w:val="15"/>
        </w:rPr>
        <w:t xml:space="preserve"> </w:t>
      </w:r>
      <w:r>
        <w:rPr>
          <w:spacing w:val="-1"/>
        </w:rPr>
        <w:t>by</w:t>
      </w:r>
      <w:r>
        <w:rPr>
          <w:spacing w:val="15"/>
        </w:rPr>
        <w:t xml:space="preserve"> </w:t>
      </w:r>
      <w:r>
        <w:rPr>
          <w:spacing w:val="-1"/>
        </w:rPr>
        <w:t>Royal</w:t>
      </w:r>
      <w:r>
        <w:rPr>
          <w:spacing w:val="17"/>
        </w:rPr>
        <w:t xml:space="preserve"> </w:t>
      </w:r>
      <w:r>
        <w:rPr>
          <w:spacing w:val="-1"/>
        </w:rPr>
        <w:t>Air</w:t>
      </w:r>
      <w:r>
        <w:rPr>
          <w:spacing w:val="19"/>
        </w:rPr>
        <w:t xml:space="preserve"> </w:t>
      </w:r>
      <w:r>
        <w:rPr>
          <w:spacing w:val="-1"/>
        </w:rPr>
        <w:t>Force</w:t>
      </w:r>
      <w:r>
        <w:rPr>
          <w:spacing w:val="36"/>
        </w:rPr>
        <w:t xml:space="preserve"> </w:t>
      </w:r>
      <w:r>
        <w:rPr>
          <w:spacing w:val="-1"/>
        </w:rPr>
        <w:t>or</w:t>
      </w:r>
      <w:r>
        <w:rPr>
          <w:spacing w:val="35"/>
        </w:rPr>
        <w:t xml:space="preserve"> </w:t>
      </w:r>
      <w:r>
        <w:rPr>
          <w:spacing w:val="-1"/>
        </w:rPr>
        <w:t>by</w:t>
      </w:r>
      <w:r>
        <w:rPr>
          <w:spacing w:val="34"/>
        </w:rPr>
        <w:t xml:space="preserve"> </w:t>
      </w:r>
      <w:r>
        <w:rPr>
          <w:spacing w:val="-1"/>
        </w:rPr>
        <w:t>MOD</w:t>
      </w:r>
      <w:r>
        <w:rPr>
          <w:spacing w:val="33"/>
        </w:rPr>
        <w:t xml:space="preserve"> </w:t>
      </w:r>
      <w:r>
        <w:rPr>
          <w:spacing w:val="-1"/>
        </w:rPr>
        <w:t>chartered</w:t>
      </w:r>
      <w:r>
        <w:rPr>
          <w:spacing w:val="34"/>
        </w:rPr>
        <w:t xml:space="preserve"> </w:t>
      </w:r>
      <w:r>
        <w:rPr>
          <w:spacing w:val="-1"/>
        </w:rPr>
        <w:t>aircraft.</w:t>
      </w:r>
      <w:r>
        <w:rPr>
          <w:spacing w:val="9"/>
        </w:rPr>
        <w:t xml:space="preserve"> </w:t>
      </w:r>
      <w:r>
        <w:t>The</w:t>
      </w:r>
      <w:r>
        <w:rPr>
          <w:spacing w:val="34"/>
        </w:rPr>
        <w:t xml:space="preserve"> </w:t>
      </w:r>
      <w:r>
        <w:rPr>
          <w:spacing w:val="-2"/>
        </w:rPr>
        <w:t>Supplier</w:t>
      </w:r>
      <w:r>
        <w:rPr>
          <w:spacing w:val="35"/>
        </w:rPr>
        <w:t xml:space="preserve"> </w:t>
      </w:r>
      <w:r>
        <w:rPr>
          <w:spacing w:val="-2"/>
        </w:rPr>
        <w:t>shall</w:t>
      </w:r>
      <w:r>
        <w:rPr>
          <w:spacing w:val="34"/>
        </w:rPr>
        <w:t xml:space="preserve"> </w:t>
      </w:r>
      <w:r>
        <w:t>make</w:t>
      </w:r>
      <w:r>
        <w:rPr>
          <w:spacing w:val="41"/>
        </w:rPr>
        <w:t xml:space="preserve"> </w:t>
      </w:r>
      <w:r>
        <w:rPr>
          <w:spacing w:val="-1"/>
        </w:rPr>
        <w:t>such</w:t>
      </w:r>
      <w:r>
        <w:rPr>
          <w:spacing w:val="15"/>
        </w:rPr>
        <w:t xml:space="preserve"> </w:t>
      </w:r>
      <w:r>
        <w:rPr>
          <w:spacing w:val="-1"/>
        </w:rPr>
        <w:t>arrangements</w:t>
      </w:r>
      <w:r>
        <w:rPr>
          <w:spacing w:val="15"/>
        </w:rPr>
        <w:t xml:space="preserve"> </w:t>
      </w:r>
      <w:r>
        <w:rPr>
          <w:spacing w:val="-1"/>
        </w:rPr>
        <w:t>through</w:t>
      </w:r>
      <w:r>
        <w:rPr>
          <w:spacing w:val="15"/>
        </w:rPr>
        <w:t xml:space="preserve"> </w:t>
      </w:r>
      <w:r>
        <w:t>the</w:t>
      </w:r>
      <w:r>
        <w:rPr>
          <w:spacing w:val="12"/>
        </w:rPr>
        <w:t xml:space="preserve"> </w:t>
      </w:r>
      <w:r>
        <w:rPr>
          <w:spacing w:val="-1"/>
        </w:rPr>
        <w:t>Technical</w:t>
      </w:r>
      <w:r>
        <w:rPr>
          <w:spacing w:val="14"/>
        </w:rPr>
        <w:t xml:space="preserve"> </w:t>
      </w:r>
      <w:r>
        <w:rPr>
          <w:spacing w:val="-1"/>
        </w:rPr>
        <w:t>Branch</w:t>
      </w:r>
      <w:r>
        <w:rPr>
          <w:spacing w:val="15"/>
        </w:rPr>
        <w:t xml:space="preserve"> </w:t>
      </w:r>
      <w:r>
        <w:rPr>
          <w:spacing w:val="-1"/>
        </w:rPr>
        <w:t>named</w:t>
      </w:r>
      <w:r>
        <w:rPr>
          <w:spacing w:val="26"/>
        </w:rPr>
        <w:t xml:space="preserve"> </w:t>
      </w:r>
      <w:r>
        <w:t>for</w:t>
      </w:r>
      <w:r>
        <w:rPr>
          <w:spacing w:val="52"/>
        </w:rPr>
        <w:t xml:space="preserve"> </w:t>
      </w:r>
      <w:r>
        <w:rPr>
          <w:spacing w:val="-1"/>
        </w:rPr>
        <w:t>this</w:t>
      </w:r>
      <w:r>
        <w:rPr>
          <w:spacing w:val="51"/>
        </w:rPr>
        <w:t xml:space="preserve"> </w:t>
      </w:r>
      <w:r>
        <w:rPr>
          <w:spacing w:val="-1"/>
        </w:rPr>
        <w:t>purpose</w:t>
      </w:r>
      <w:r>
        <w:rPr>
          <w:spacing w:val="51"/>
        </w:rPr>
        <w:t xml:space="preserve"> </w:t>
      </w:r>
      <w:r>
        <w:rPr>
          <w:spacing w:val="-1"/>
        </w:rPr>
        <w:t>in</w:t>
      </w:r>
      <w:r>
        <w:rPr>
          <w:spacing w:val="51"/>
        </w:rPr>
        <w:t xml:space="preserve"> </w:t>
      </w:r>
      <w:r>
        <w:rPr>
          <w:spacing w:val="-1"/>
        </w:rPr>
        <w:t>this</w:t>
      </w:r>
      <w:r>
        <w:rPr>
          <w:spacing w:val="49"/>
        </w:rPr>
        <w:t xml:space="preserve"> </w:t>
      </w:r>
      <w:r>
        <w:rPr>
          <w:spacing w:val="-2"/>
        </w:rPr>
        <w:t>Call</w:t>
      </w:r>
      <w:r>
        <w:rPr>
          <w:spacing w:val="52"/>
        </w:rPr>
        <w:t xml:space="preserve"> </w:t>
      </w:r>
      <w:r>
        <w:rPr>
          <w:spacing w:val="-1"/>
        </w:rPr>
        <w:t>Off</w:t>
      </w:r>
      <w:r>
        <w:rPr>
          <w:spacing w:val="55"/>
        </w:rPr>
        <w:t xml:space="preserve"> </w:t>
      </w:r>
      <w:r>
        <w:rPr>
          <w:spacing w:val="-1"/>
        </w:rPr>
        <w:t>Contract.</w:t>
      </w:r>
      <w:r>
        <w:rPr>
          <w:spacing w:val="38"/>
        </w:rPr>
        <w:t xml:space="preserve"> </w:t>
      </w:r>
      <w:r>
        <w:t>When</w:t>
      </w:r>
      <w:r>
        <w:rPr>
          <w:spacing w:val="51"/>
        </w:rPr>
        <w:t xml:space="preserve"> </w:t>
      </w:r>
      <w:r>
        <w:rPr>
          <w:spacing w:val="-1"/>
        </w:rPr>
        <w:t>such</w:t>
      </w:r>
      <w:r>
        <w:rPr>
          <w:spacing w:val="24"/>
        </w:rPr>
        <w:t xml:space="preserve"> </w:t>
      </w:r>
      <w:r>
        <w:rPr>
          <w:spacing w:val="-1"/>
        </w:rPr>
        <w:t>transport</w:t>
      </w:r>
      <w:r>
        <w:rPr>
          <w:spacing w:val="30"/>
        </w:rPr>
        <w:t xml:space="preserve"> </w:t>
      </w:r>
      <w:r>
        <w:rPr>
          <w:spacing w:val="-1"/>
        </w:rPr>
        <w:t>is</w:t>
      </w:r>
      <w:r>
        <w:rPr>
          <w:spacing w:val="30"/>
        </w:rPr>
        <w:t xml:space="preserve"> </w:t>
      </w:r>
      <w:r>
        <w:rPr>
          <w:spacing w:val="-1"/>
        </w:rPr>
        <w:t>not</w:t>
      </w:r>
      <w:r>
        <w:rPr>
          <w:spacing w:val="30"/>
        </w:rPr>
        <w:t xml:space="preserve"> </w:t>
      </w:r>
      <w:r>
        <w:rPr>
          <w:spacing w:val="-1"/>
        </w:rPr>
        <w:t>available</w:t>
      </w:r>
      <w:r>
        <w:rPr>
          <w:spacing w:val="31"/>
        </w:rPr>
        <w:t xml:space="preserve"> </w:t>
      </w:r>
      <w:r>
        <w:rPr>
          <w:spacing w:val="-2"/>
        </w:rPr>
        <w:t>within</w:t>
      </w:r>
      <w:r>
        <w:rPr>
          <w:spacing w:val="29"/>
        </w:rPr>
        <w:t xml:space="preserve"> </w:t>
      </w:r>
      <w:r>
        <w:t>a</w:t>
      </w:r>
      <w:r>
        <w:rPr>
          <w:spacing w:val="31"/>
        </w:rPr>
        <w:t xml:space="preserve"> </w:t>
      </w:r>
      <w:r>
        <w:rPr>
          <w:spacing w:val="-1"/>
        </w:rPr>
        <w:t>reasonable</w:t>
      </w:r>
      <w:r>
        <w:rPr>
          <w:spacing w:val="29"/>
        </w:rPr>
        <w:t xml:space="preserve"> </w:t>
      </w:r>
      <w:r>
        <w:rPr>
          <w:spacing w:val="-1"/>
        </w:rPr>
        <w:t>time,</w:t>
      </w:r>
      <w:r>
        <w:rPr>
          <w:spacing w:val="30"/>
        </w:rPr>
        <w:t xml:space="preserve"> </w:t>
      </w:r>
      <w:r>
        <w:rPr>
          <w:spacing w:val="-1"/>
        </w:rPr>
        <w:t>or</w:t>
      </w:r>
      <w:r>
        <w:rPr>
          <w:spacing w:val="30"/>
        </w:rPr>
        <w:t xml:space="preserve"> </w:t>
      </w:r>
      <w:r>
        <w:rPr>
          <w:spacing w:val="-1"/>
        </w:rPr>
        <w:t>in</w:t>
      </w:r>
      <w:r>
        <w:rPr>
          <w:spacing w:val="35"/>
        </w:rPr>
        <w:t xml:space="preserve"> </w:t>
      </w:r>
      <w:r>
        <w:rPr>
          <w:spacing w:val="-1"/>
        </w:rPr>
        <w:t>circumstances</w:t>
      </w:r>
      <w:r>
        <w:rPr>
          <w:spacing w:val="20"/>
        </w:rPr>
        <w:t xml:space="preserve"> </w:t>
      </w:r>
      <w:r>
        <w:rPr>
          <w:spacing w:val="-2"/>
        </w:rPr>
        <w:t>where</w:t>
      </w:r>
      <w:r>
        <w:rPr>
          <w:spacing w:val="20"/>
        </w:rPr>
        <w:t xml:space="preserve"> </w:t>
      </w:r>
      <w:r>
        <w:t>the</w:t>
      </w:r>
      <w:r>
        <w:rPr>
          <w:spacing w:val="20"/>
        </w:rPr>
        <w:t xml:space="preserve"> </w:t>
      </w:r>
      <w:r>
        <w:rPr>
          <w:spacing w:val="-2"/>
        </w:rPr>
        <w:t>Supplier</w:t>
      </w:r>
      <w:r>
        <w:rPr>
          <w:spacing w:val="23"/>
        </w:rPr>
        <w:t xml:space="preserve"> </w:t>
      </w:r>
      <w:r>
        <w:rPr>
          <w:spacing w:val="-1"/>
        </w:rPr>
        <w:t>wishes</w:t>
      </w:r>
      <w:r>
        <w:rPr>
          <w:spacing w:val="20"/>
        </w:rPr>
        <w:t xml:space="preserve"> </w:t>
      </w:r>
      <w:r>
        <w:rPr>
          <w:spacing w:val="-1"/>
        </w:rPr>
        <w:t>its</w:t>
      </w:r>
      <w:r>
        <w:rPr>
          <w:spacing w:val="41"/>
        </w:rPr>
        <w:t xml:space="preserve"> </w:t>
      </w:r>
      <w:r>
        <w:rPr>
          <w:spacing w:val="-1"/>
        </w:rPr>
        <w:t>representatives</w:t>
      </w:r>
      <w:r>
        <w:rPr>
          <w:spacing w:val="28"/>
        </w:rPr>
        <w:t xml:space="preserve"> </w:t>
      </w:r>
      <w:r>
        <w:t>to</w:t>
      </w:r>
      <w:r>
        <w:rPr>
          <w:spacing w:val="28"/>
        </w:rPr>
        <w:t xml:space="preserve"> </w:t>
      </w:r>
      <w:r>
        <w:rPr>
          <w:spacing w:val="-1"/>
        </w:rPr>
        <w:t>accompany</w:t>
      </w:r>
      <w:r>
        <w:rPr>
          <w:spacing w:val="26"/>
        </w:rPr>
        <w:t xml:space="preserve"> </w:t>
      </w:r>
      <w:r>
        <w:rPr>
          <w:spacing w:val="-1"/>
        </w:rPr>
        <w:t>material</w:t>
      </w:r>
      <w:r>
        <w:rPr>
          <w:spacing w:val="25"/>
        </w:rPr>
        <w:t xml:space="preserve"> </w:t>
      </w:r>
      <w:r>
        <w:t>for</w:t>
      </w:r>
      <w:r>
        <w:rPr>
          <w:spacing w:val="29"/>
        </w:rPr>
        <w:t xml:space="preserve"> </w:t>
      </w:r>
      <w:r>
        <w:rPr>
          <w:spacing w:val="-1"/>
        </w:rPr>
        <w:t>installation</w:t>
      </w:r>
      <w:r>
        <w:rPr>
          <w:spacing w:val="29"/>
        </w:rPr>
        <w:t xml:space="preserve"> </w:t>
      </w:r>
      <w:r>
        <w:rPr>
          <w:spacing w:val="-1"/>
        </w:rPr>
        <w:t>which</w:t>
      </w:r>
      <w:r>
        <w:rPr>
          <w:spacing w:val="32"/>
        </w:rPr>
        <w:t xml:space="preserve"> </w:t>
      </w:r>
      <w:r>
        <w:rPr>
          <w:spacing w:val="-1"/>
        </w:rPr>
        <w:t>it</w:t>
      </w:r>
      <w:r>
        <w:rPr>
          <w:spacing w:val="33"/>
        </w:rPr>
        <w:t xml:space="preserve"> </w:t>
      </w:r>
      <w:r>
        <w:rPr>
          <w:spacing w:val="-1"/>
        </w:rPr>
        <w:t>is</w:t>
      </w:r>
      <w:r>
        <w:rPr>
          <w:spacing w:val="32"/>
        </w:rPr>
        <w:t xml:space="preserve"> </w:t>
      </w:r>
      <w:r>
        <w:t>to</w:t>
      </w:r>
      <w:r>
        <w:rPr>
          <w:spacing w:val="29"/>
        </w:rPr>
        <w:t xml:space="preserve"> </w:t>
      </w:r>
      <w:r>
        <w:rPr>
          <w:spacing w:val="-1"/>
        </w:rPr>
        <w:t>arrange</w:t>
      </w:r>
      <w:r>
        <w:rPr>
          <w:spacing w:val="31"/>
        </w:rPr>
        <w:t xml:space="preserve"> </w:t>
      </w:r>
      <w:r>
        <w:t>to</w:t>
      </w:r>
      <w:r>
        <w:rPr>
          <w:spacing w:val="29"/>
        </w:rPr>
        <w:t xml:space="preserve"> </w:t>
      </w:r>
      <w:r>
        <w:rPr>
          <w:spacing w:val="-1"/>
        </w:rPr>
        <w:t>be</w:t>
      </w:r>
      <w:r>
        <w:rPr>
          <w:spacing w:val="31"/>
        </w:rPr>
        <w:t xml:space="preserve"> </w:t>
      </w:r>
      <w:r>
        <w:rPr>
          <w:spacing w:val="-2"/>
        </w:rPr>
        <w:t>delivered,</w:t>
      </w:r>
      <w:r>
        <w:rPr>
          <w:spacing w:val="33"/>
        </w:rPr>
        <w:t xml:space="preserve"> </w:t>
      </w:r>
      <w:r>
        <w:t>the</w:t>
      </w:r>
      <w:r>
        <w:rPr>
          <w:spacing w:val="29"/>
        </w:rPr>
        <w:t xml:space="preserve"> </w:t>
      </w:r>
      <w:r>
        <w:rPr>
          <w:spacing w:val="-2"/>
        </w:rPr>
        <w:t>Supplier</w:t>
      </w:r>
      <w:r>
        <w:rPr>
          <w:spacing w:val="34"/>
        </w:rPr>
        <w:t xml:space="preserve"> </w:t>
      </w:r>
      <w:r>
        <w:rPr>
          <w:spacing w:val="-1"/>
        </w:rPr>
        <w:t>shall</w:t>
      </w:r>
      <w:r>
        <w:rPr>
          <w:spacing w:val="43"/>
        </w:rPr>
        <w:t xml:space="preserve"> </w:t>
      </w:r>
      <w:r>
        <w:rPr>
          <w:spacing w:val="-1"/>
        </w:rPr>
        <w:t>make</w:t>
      </w:r>
      <w:r>
        <w:rPr>
          <w:spacing w:val="2"/>
        </w:rPr>
        <w:t xml:space="preserve"> </w:t>
      </w:r>
      <w:r>
        <w:rPr>
          <w:spacing w:val="-2"/>
        </w:rPr>
        <w:t>its</w:t>
      </w:r>
      <w:r>
        <w:rPr>
          <w:spacing w:val="2"/>
        </w:rPr>
        <w:t xml:space="preserve"> </w:t>
      </w:r>
      <w:r>
        <w:rPr>
          <w:spacing w:val="-2"/>
        </w:rPr>
        <w:t>own</w:t>
      </w:r>
      <w:r>
        <w:rPr>
          <w:spacing w:val="2"/>
        </w:rPr>
        <w:t xml:space="preserve"> </w:t>
      </w:r>
      <w:r>
        <w:rPr>
          <w:spacing w:val="-1"/>
        </w:rPr>
        <w:t>transport</w:t>
      </w:r>
      <w:r>
        <w:rPr>
          <w:spacing w:val="1"/>
        </w:rPr>
        <w:t xml:space="preserve"> </w:t>
      </w:r>
      <w:r>
        <w:rPr>
          <w:spacing w:val="-1"/>
        </w:rPr>
        <w:t>arrangements.</w:t>
      </w:r>
      <w:r>
        <w:t xml:space="preserve"> </w:t>
      </w:r>
      <w:r>
        <w:rPr>
          <w:spacing w:val="1"/>
        </w:rPr>
        <w:t xml:space="preserve"> </w:t>
      </w:r>
      <w:r>
        <w:t xml:space="preserve">The </w:t>
      </w:r>
      <w:r>
        <w:rPr>
          <w:spacing w:val="-2"/>
        </w:rPr>
        <w:t>Customer</w:t>
      </w:r>
      <w:r>
        <w:rPr>
          <w:spacing w:val="39"/>
        </w:rPr>
        <w:t xml:space="preserve"> </w:t>
      </w:r>
      <w:r>
        <w:rPr>
          <w:spacing w:val="-1"/>
        </w:rPr>
        <w:t>shall</w:t>
      </w:r>
      <w:r>
        <w:rPr>
          <w:spacing w:val="26"/>
        </w:rPr>
        <w:t xml:space="preserve"> </w:t>
      </w:r>
      <w:r>
        <w:rPr>
          <w:spacing w:val="-1"/>
        </w:rPr>
        <w:t>reimburse</w:t>
      </w:r>
      <w:r>
        <w:rPr>
          <w:spacing w:val="27"/>
        </w:rPr>
        <w:t xml:space="preserve"> </w:t>
      </w:r>
      <w:r>
        <w:t>the</w:t>
      </w:r>
      <w:r>
        <w:rPr>
          <w:spacing w:val="27"/>
        </w:rPr>
        <w:t xml:space="preserve"> </w:t>
      </w:r>
      <w:r>
        <w:rPr>
          <w:spacing w:val="-1"/>
        </w:rPr>
        <w:t>Supplier's</w:t>
      </w:r>
      <w:r>
        <w:rPr>
          <w:spacing w:val="27"/>
        </w:rPr>
        <w:t xml:space="preserve"> </w:t>
      </w:r>
      <w:r>
        <w:rPr>
          <w:spacing w:val="-1"/>
        </w:rPr>
        <w:t>reasonable</w:t>
      </w:r>
      <w:r>
        <w:rPr>
          <w:spacing w:val="27"/>
        </w:rPr>
        <w:t xml:space="preserve"> </w:t>
      </w:r>
      <w:r>
        <w:rPr>
          <w:spacing w:val="-1"/>
        </w:rPr>
        <w:t>costs</w:t>
      </w:r>
      <w:r>
        <w:rPr>
          <w:spacing w:val="25"/>
        </w:rPr>
        <w:t xml:space="preserve"> </w:t>
      </w:r>
      <w:r>
        <w:t>for</w:t>
      </w:r>
      <w:r>
        <w:rPr>
          <w:spacing w:val="30"/>
        </w:rPr>
        <w:t xml:space="preserve"> </w:t>
      </w:r>
      <w:r>
        <w:rPr>
          <w:spacing w:val="-1"/>
        </w:rPr>
        <w:t>such</w:t>
      </w:r>
      <w:r>
        <w:rPr>
          <w:spacing w:val="31"/>
        </w:rPr>
        <w:t xml:space="preserve"> </w:t>
      </w:r>
      <w:r>
        <w:rPr>
          <w:spacing w:val="-1"/>
        </w:rPr>
        <w:t>transport</w:t>
      </w:r>
      <w:r>
        <w:rPr>
          <w:spacing w:val="21"/>
        </w:rPr>
        <w:t xml:space="preserve"> </w:t>
      </w:r>
      <w:r>
        <w:rPr>
          <w:spacing w:val="-2"/>
        </w:rPr>
        <w:t>of</w:t>
      </w:r>
      <w:r>
        <w:rPr>
          <w:spacing w:val="26"/>
        </w:rPr>
        <w:t xml:space="preserve"> </w:t>
      </w:r>
      <w:r>
        <w:rPr>
          <w:spacing w:val="-1"/>
        </w:rPr>
        <w:t>its</w:t>
      </w:r>
      <w:r>
        <w:rPr>
          <w:spacing w:val="20"/>
        </w:rPr>
        <w:t xml:space="preserve"> </w:t>
      </w:r>
      <w:r>
        <w:rPr>
          <w:spacing w:val="-1"/>
        </w:rPr>
        <w:t>representatives</w:t>
      </w:r>
      <w:r>
        <w:rPr>
          <w:spacing w:val="22"/>
        </w:rPr>
        <w:t xml:space="preserve"> </w:t>
      </w:r>
      <w:r>
        <w:rPr>
          <w:spacing w:val="-1"/>
        </w:rPr>
        <w:t>on</w:t>
      </w:r>
      <w:r>
        <w:rPr>
          <w:spacing w:val="22"/>
        </w:rPr>
        <w:t xml:space="preserve"> </w:t>
      </w:r>
      <w:r>
        <w:rPr>
          <w:spacing w:val="-1"/>
        </w:rPr>
        <w:t>presentation</w:t>
      </w:r>
      <w:r>
        <w:rPr>
          <w:spacing w:val="20"/>
        </w:rPr>
        <w:t xml:space="preserve"> </w:t>
      </w:r>
      <w:r>
        <w:rPr>
          <w:spacing w:val="-2"/>
        </w:rPr>
        <w:t>of</w:t>
      </w:r>
      <w:r>
        <w:rPr>
          <w:spacing w:val="23"/>
        </w:rPr>
        <w:t xml:space="preserve"> </w:t>
      </w:r>
      <w:r>
        <w:rPr>
          <w:spacing w:val="-2"/>
        </w:rPr>
        <w:t>evidence</w:t>
      </w:r>
      <w:r>
        <w:rPr>
          <w:spacing w:val="30"/>
        </w:rPr>
        <w:t xml:space="preserve"> </w:t>
      </w:r>
      <w:r>
        <w:rPr>
          <w:spacing w:val="-1"/>
        </w:rPr>
        <w:t>supporting</w:t>
      </w:r>
      <w:r>
        <w:rPr>
          <w:spacing w:val="31"/>
        </w:rPr>
        <w:t xml:space="preserve"> </w:t>
      </w:r>
      <w:r>
        <w:t>the</w:t>
      </w:r>
      <w:r>
        <w:rPr>
          <w:spacing w:val="27"/>
        </w:rPr>
        <w:t xml:space="preserve"> </w:t>
      </w:r>
      <w:r>
        <w:rPr>
          <w:spacing w:val="-1"/>
        </w:rPr>
        <w:t>use</w:t>
      </w:r>
      <w:r>
        <w:rPr>
          <w:spacing w:val="30"/>
        </w:rPr>
        <w:t xml:space="preserve"> </w:t>
      </w:r>
      <w:r>
        <w:rPr>
          <w:spacing w:val="-1"/>
        </w:rPr>
        <w:t>of</w:t>
      </w:r>
      <w:r>
        <w:rPr>
          <w:spacing w:val="33"/>
        </w:rPr>
        <w:t xml:space="preserve"> </w:t>
      </w:r>
      <w:r>
        <w:rPr>
          <w:spacing w:val="-1"/>
        </w:rPr>
        <w:t>alternative</w:t>
      </w:r>
      <w:r>
        <w:rPr>
          <w:spacing w:val="29"/>
        </w:rPr>
        <w:t xml:space="preserve"> </w:t>
      </w:r>
      <w:r>
        <w:rPr>
          <w:spacing w:val="-1"/>
        </w:rPr>
        <w:t>transport</w:t>
      </w:r>
      <w:r>
        <w:rPr>
          <w:spacing w:val="30"/>
        </w:rPr>
        <w:t xml:space="preserve"> </w:t>
      </w:r>
      <w:r>
        <w:rPr>
          <w:spacing w:val="-1"/>
        </w:rPr>
        <w:t>and</w:t>
      </w:r>
      <w:r>
        <w:rPr>
          <w:spacing w:val="36"/>
        </w:rPr>
        <w:t xml:space="preserve"> </w:t>
      </w:r>
      <w:r>
        <w:rPr>
          <w:spacing w:val="-2"/>
        </w:rPr>
        <w:t>of</w:t>
      </w:r>
      <w:r>
        <w:rPr>
          <w:spacing w:val="53"/>
        </w:rPr>
        <w:t xml:space="preserve"> </w:t>
      </w:r>
      <w:r>
        <w:t>the</w:t>
      </w:r>
      <w:r>
        <w:rPr>
          <w:spacing w:val="49"/>
        </w:rPr>
        <w:t xml:space="preserve"> </w:t>
      </w:r>
      <w:r>
        <w:rPr>
          <w:spacing w:val="-1"/>
        </w:rPr>
        <w:t>costs</w:t>
      </w:r>
      <w:r>
        <w:rPr>
          <w:spacing w:val="50"/>
        </w:rPr>
        <w:t xml:space="preserve"> </w:t>
      </w:r>
      <w:r>
        <w:rPr>
          <w:spacing w:val="-2"/>
        </w:rPr>
        <w:t>involved.</w:t>
      </w:r>
      <w:r>
        <w:rPr>
          <w:spacing w:val="40"/>
        </w:rPr>
        <w:t xml:space="preserve"> </w:t>
      </w:r>
      <w:r>
        <w:rPr>
          <w:spacing w:val="-1"/>
        </w:rPr>
        <w:t>Transport</w:t>
      </w:r>
      <w:r>
        <w:rPr>
          <w:spacing w:val="51"/>
        </w:rPr>
        <w:t xml:space="preserve"> </w:t>
      </w:r>
      <w:r>
        <w:rPr>
          <w:spacing w:val="-2"/>
        </w:rPr>
        <w:t>of</w:t>
      </w:r>
      <w:r>
        <w:rPr>
          <w:spacing w:val="51"/>
        </w:rPr>
        <w:t xml:space="preserve"> </w:t>
      </w:r>
      <w:r>
        <w:t>the</w:t>
      </w:r>
      <w:r>
        <w:rPr>
          <w:spacing w:val="50"/>
        </w:rPr>
        <w:t xml:space="preserve"> </w:t>
      </w:r>
      <w:r>
        <w:rPr>
          <w:spacing w:val="-1"/>
        </w:rPr>
        <w:t>Supplier's</w:t>
      </w:r>
      <w:r>
        <w:rPr>
          <w:spacing w:val="35"/>
        </w:rPr>
        <w:t xml:space="preserve"> </w:t>
      </w:r>
      <w:r>
        <w:rPr>
          <w:spacing w:val="-1"/>
        </w:rPr>
        <w:t>representatives</w:t>
      </w:r>
      <w:r>
        <w:rPr>
          <w:spacing w:val="49"/>
        </w:rPr>
        <w:t xml:space="preserve"> </w:t>
      </w:r>
      <w:r>
        <w:rPr>
          <w:spacing w:val="-2"/>
        </w:rPr>
        <w:t>locally</w:t>
      </w:r>
      <w:r>
        <w:rPr>
          <w:spacing w:val="49"/>
        </w:rPr>
        <w:t xml:space="preserve"> </w:t>
      </w:r>
      <w:r>
        <w:rPr>
          <w:spacing w:val="-1"/>
        </w:rPr>
        <w:t>overseas</w:t>
      </w:r>
      <w:r>
        <w:rPr>
          <w:spacing w:val="49"/>
        </w:rPr>
        <w:t xml:space="preserve"> </w:t>
      </w:r>
      <w:r>
        <w:rPr>
          <w:spacing w:val="-2"/>
        </w:rPr>
        <w:t>which</w:t>
      </w:r>
      <w:r>
        <w:rPr>
          <w:spacing w:val="49"/>
        </w:rPr>
        <w:t xml:space="preserve"> </w:t>
      </w:r>
      <w:r>
        <w:rPr>
          <w:spacing w:val="-1"/>
        </w:rPr>
        <w:t>is</w:t>
      </w:r>
      <w:r>
        <w:rPr>
          <w:spacing w:val="49"/>
        </w:rPr>
        <w:t xml:space="preserve"> </w:t>
      </w:r>
      <w:r>
        <w:rPr>
          <w:spacing w:val="-1"/>
        </w:rPr>
        <w:t>necessary</w:t>
      </w:r>
      <w:r>
        <w:rPr>
          <w:spacing w:val="44"/>
        </w:rPr>
        <w:t xml:space="preserve"> </w:t>
      </w:r>
      <w:r>
        <w:t>for</w:t>
      </w:r>
      <w:r>
        <w:rPr>
          <w:spacing w:val="37"/>
        </w:rPr>
        <w:t xml:space="preserve"> </w:t>
      </w:r>
      <w:r>
        <w:t>the</w:t>
      </w:r>
      <w:r>
        <w:rPr>
          <w:spacing w:val="46"/>
        </w:rPr>
        <w:t xml:space="preserve"> </w:t>
      </w:r>
      <w:r>
        <w:rPr>
          <w:spacing w:val="-1"/>
        </w:rPr>
        <w:t>purpose</w:t>
      </w:r>
      <w:r>
        <w:rPr>
          <w:spacing w:val="46"/>
        </w:rPr>
        <w:t xml:space="preserve"> </w:t>
      </w:r>
      <w:r>
        <w:rPr>
          <w:spacing w:val="-2"/>
        </w:rPr>
        <w:t>of</w:t>
      </w:r>
      <w:r>
        <w:rPr>
          <w:spacing w:val="47"/>
        </w:rPr>
        <w:t xml:space="preserve"> </w:t>
      </w:r>
      <w:r>
        <w:rPr>
          <w:spacing w:val="-1"/>
        </w:rPr>
        <w:t>this</w:t>
      </w:r>
      <w:r>
        <w:rPr>
          <w:spacing w:val="46"/>
        </w:rPr>
        <w:t xml:space="preserve"> </w:t>
      </w:r>
      <w:r>
        <w:rPr>
          <w:spacing w:val="-2"/>
        </w:rPr>
        <w:t>Call</w:t>
      </w:r>
      <w:r>
        <w:rPr>
          <w:spacing w:val="47"/>
        </w:rPr>
        <w:t xml:space="preserve"> </w:t>
      </w:r>
      <w:r>
        <w:rPr>
          <w:spacing w:val="-1"/>
        </w:rPr>
        <w:t>Off</w:t>
      </w:r>
      <w:r>
        <w:rPr>
          <w:spacing w:val="49"/>
        </w:rPr>
        <w:t xml:space="preserve"> </w:t>
      </w:r>
      <w:r>
        <w:rPr>
          <w:spacing w:val="-1"/>
        </w:rPr>
        <w:t>Contract</w:t>
      </w:r>
      <w:r>
        <w:rPr>
          <w:spacing w:val="48"/>
        </w:rPr>
        <w:t xml:space="preserve"> </w:t>
      </w:r>
      <w:r>
        <w:rPr>
          <w:spacing w:val="-1"/>
        </w:rPr>
        <w:t>shall</w:t>
      </w:r>
      <w:r>
        <w:rPr>
          <w:spacing w:val="45"/>
        </w:rPr>
        <w:t xml:space="preserve"> </w:t>
      </w:r>
      <w:r>
        <w:rPr>
          <w:spacing w:val="-1"/>
        </w:rPr>
        <w:t>be</w:t>
      </w:r>
      <w:r>
        <w:rPr>
          <w:spacing w:val="46"/>
        </w:rPr>
        <w:t xml:space="preserve"> </w:t>
      </w:r>
      <w:r>
        <w:rPr>
          <w:spacing w:val="-2"/>
        </w:rPr>
        <w:t>provided</w:t>
      </w:r>
      <w:r>
        <w:rPr>
          <w:spacing w:val="36"/>
        </w:rPr>
        <w:t xml:space="preserve"> </w:t>
      </w:r>
      <w:r>
        <w:rPr>
          <w:spacing w:val="-1"/>
        </w:rPr>
        <w:t>wherever</w:t>
      </w:r>
      <w:r>
        <w:rPr>
          <w:spacing w:val="33"/>
        </w:rPr>
        <w:t xml:space="preserve"> </w:t>
      </w:r>
      <w:r>
        <w:rPr>
          <w:spacing w:val="-1"/>
        </w:rPr>
        <w:t>possible</w:t>
      </w:r>
      <w:r>
        <w:rPr>
          <w:spacing w:val="31"/>
        </w:rPr>
        <w:t xml:space="preserve"> </w:t>
      </w:r>
      <w:r>
        <w:rPr>
          <w:spacing w:val="-1"/>
        </w:rPr>
        <w:t>by</w:t>
      </w:r>
      <w:r>
        <w:rPr>
          <w:spacing w:val="30"/>
        </w:rPr>
        <w:t xml:space="preserve"> </w:t>
      </w:r>
      <w:r>
        <w:rPr>
          <w:spacing w:val="1"/>
        </w:rPr>
        <w:t>the</w:t>
      </w:r>
      <w:r>
        <w:rPr>
          <w:spacing w:val="31"/>
        </w:rPr>
        <w:t xml:space="preserve"> </w:t>
      </w:r>
      <w:r>
        <w:rPr>
          <w:spacing w:val="-1"/>
        </w:rPr>
        <w:t>Ministry</w:t>
      </w:r>
      <w:r>
        <w:rPr>
          <w:spacing w:val="30"/>
        </w:rPr>
        <w:t xml:space="preserve"> </w:t>
      </w:r>
      <w:r>
        <w:rPr>
          <w:spacing w:val="-1"/>
        </w:rPr>
        <w:t>of</w:t>
      </w:r>
      <w:r>
        <w:rPr>
          <w:spacing w:val="35"/>
        </w:rPr>
        <w:t xml:space="preserve"> </w:t>
      </w:r>
      <w:r>
        <w:rPr>
          <w:spacing w:val="-1"/>
        </w:rPr>
        <w:t>Defence,</w:t>
      </w:r>
      <w:r>
        <w:rPr>
          <w:spacing w:val="33"/>
        </w:rPr>
        <w:t xml:space="preserve"> </w:t>
      </w:r>
      <w:r>
        <w:rPr>
          <w:spacing w:val="-2"/>
        </w:rPr>
        <w:t>or</w:t>
      </w:r>
      <w:r>
        <w:rPr>
          <w:spacing w:val="33"/>
        </w:rPr>
        <w:t xml:space="preserve"> </w:t>
      </w:r>
      <w:r>
        <w:rPr>
          <w:spacing w:val="-1"/>
        </w:rPr>
        <w:t>by</w:t>
      </w:r>
      <w:r>
        <w:rPr>
          <w:spacing w:val="30"/>
        </w:rPr>
        <w:t xml:space="preserve"> </w:t>
      </w:r>
      <w:r>
        <w:rPr>
          <w:spacing w:val="-1"/>
        </w:rPr>
        <w:t>the</w:t>
      </w:r>
      <w:r>
        <w:rPr>
          <w:spacing w:val="27"/>
        </w:rPr>
        <w:t xml:space="preserve"> </w:t>
      </w:r>
      <w:r>
        <w:rPr>
          <w:spacing w:val="-1"/>
        </w:rPr>
        <w:t>Officer</w:t>
      </w:r>
      <w:r>
        <w:rPr>
          <w:spacing w:val="11"/>
        </w:rPr>
        <w:t xml:space="preserve"> </w:t>
      </w:r>
      <w:r>
        <w:rPr>
          <w:spacing w:val="-1"/>
        </w:rPr>
        <w:t>in</w:t>
      </w:r>
      <w:r>
        <w:rPr>
          <w:spacing w:val="10"/>
        </w:rPr>
        <w:t xml:space="preserve"> </w:t>
      </w:r>
      <w:r>
        <w:t>charge</w:t>
      </w:r>
      <w:r>
        <w:rPr>
          <w:spacing w:val="10"/>
        </w:rPr>
        <w:t xml:space="preserve"> </w:t>
      </w:r>
      <w:r>
        <w:rPr>
          <w:spacing w:val="-1"/>
        </w:rPr>
        <w:t>and,</w:t>
      </w:r>
      <w:r>
        <w:rPr>
          <w:spacing w:val="11"/>
        </w:rPr>
        <w:t xml:space="preserve"> </w:t>
      </w:r>
      <w:r>
        <w:rPr>
          <w:spacing w:val="-2"/>
        </w:rPr>
        <w:t>where</w:t>
      </w:r>
      <w:r>
        <w:rPr>
          <w:spacing w:val="10"/>
        </w:rPr>
        <w:t xml:space="preserve"> </w:t>
      </w:r>
      <w:r>
        <w:rPr>
          <w:spacing w:val="-1"/>
        </w:rPr>
        <w:t>so</w:t>
      </w:r>
      <w:r>
        <w:rPr>
          <w:spacing w:val="10"/>
        </w:rPr>
        <w:t xml:space="preserve"> </w:t>
      </w:r>
      <w:r>
        <w:rPr>
          <w:spacing w:val="-2"/>
        </w:rPr>
        <w:t>provided,</w:t>
      </w:r>
      <w:r>
        <w:rPr>
          <w:spacing w:val="11"/>
        </w:rPr>
        <w:t xml:space="preserve"> </w:t>
      </w:r>
      <w:r>
        <w:rPr>
          <w:spacing w:val="-1"/>
        </w:rPr>
        <w:t>shall</w:t>
      </w:r>
      <w:r>
        <w:rPr>
          <w:spacing w:val="12"/>
        </w:rPr>
        <w:t xml:space="preserve"> </w:t>
      </w:r>
      <w:r>
        <w:rPr>
          <w:spacing w:val="1"/>
        </w:rPr>
        <w:t>be</w:t>
      </w:r>
      <w:r>
        <w:rPr>
          <w:spacing w:val="10"/>
        </w:rPr>
        <w:t xml:space="preserve"> </w:t>
      </w:r>
      <w:r>
        <w:t>free</w:t>
      </w:r>
      <w:r>
        <w:rPr>
          <w:spacing w:val="10"/>
        </w:rPr>
        <w:t xml:space="preserve"> </w:t>
      </w:r>
      <w:r>
        <w:rPr>
          <w:spacing w:val="-2"/>
        </w:rPr>
        <w:t>of</w:t>
      </w:r>
      <w:r>
        <w:rPr>
          <w:spacing w:val="41"/>
        </w:rPr>
        <w:t xml:space="preserve"> </w:t>
      </w:r>
      <w:r>
        <w:rPr>
          <w:spacing w:val="-1"/>
        </w:rPr>
        <w:t>charge.</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1"/>
        </w:numPr>
        <w:tabs>
          <w:tab w:val="left" w:pos="3163"/>
        </w:tabs>
        <w:spacing w:before="0"/>
        <w:ind w:left="3162" w:right="112"/>
        <w:jc w:val="both"/>
      </w:pPr>
      <w:r>
        <w:rPr>
          <w:spacing w:val="-1"/>
        </w:rPr>
        <w:t>Out-patient</w:t>
      </w:r>
      <w:r>
        <w:rPr>
          <w:spacing w:val="25"/>
        </w:rPr>
        <w:t xml:space="preserve"> </w:t>
      </w:r>
      <w:r>
        <w:rPr>
          <w:spacing w:val="-1"/>
        </w:rPr>
        <w:t>medical</w:t>
      </w:r>
      <w:r>
        <w:rPr>
          <w:spacing w:val="25"/>
        </w:rPr>
        <w:t xml:space="preserve"> </w:t>
      </w:r>
      <w:r>
        <w:rPr>
          <w:spacing w:val="-1"/>
        </w:rPr>
        <w:t>treatment</w:t>
      </w:r>
      <w:r>
        <w:rPr>
          <w:spacing w:val="27"/>
        </w:rPr>
        <w:t xml:space="preserve"> </w:t>
      </w:r>
      <w:r>
        <w:rPr>
          <w:spacing w:val="-1"/>
        </w:rPr>
        <w:t>given</w:t>
      </w:r>
      <w:r>
        <w:rPr>
          <w:spacing w:val="26"/>
        </w:rPr>
        <w:t xml:space="preserve"> </w:t>
      </w:r>
      <w:r>
        <w:t>to</w:t>
      </w:r>
      <w:r>
        <w:rPr>
          <w:spacing w:val="26"/>
        </w:rPr>
        <w:t xml:space="preserve"> </w:t>
      </w:r>
      <w:r>
        <w:t>the</w:t>
      </w:r>
      <w:r>
        <w:rPr>
          <w:spacing w:val="26"/>
        </w:rPr>
        <w:t xml:space="preserve"> </w:t>
      </w:r>
      <w:r>
        <w:rPr>
          <w:spacing w:val="-1"/>
        </w:rPr>
        <w:t>Supplier's</w:t>
      </w:r>
      <w:r>
        <w:rPr>
          <w:spacing w:val="27"/>
        </w:rPr>
        <w:t xml:space="preserve"> </w:t>
      </w:r>
      <w:r>
        <w:rPr>
          <w:spacing w:val="-1"/>
        </w:rPr>
        <w:t>representatives</w:t>
      </w:r>
      <w:r>
        <w:rPr>
          <w:spacing w:val="14"/>
        </w:rPr>
        <w:t xml:space="preserve"> </w:t>
      </w:r>
      <w:r>
        <w:rPr>
          <w:spacing w:val="-1"/>
        </w:rPr>
        <w:t>by</w:t>
      </w:r>
      <w:r>
        <w:rPr>
          <w:spacing w:val="11"/>
        </w:rPr>
        <w:t xml:space="preserve"> </w:t>
      </w:r>
      <w:r>
        <w:t>a</w:t>
      </w:r>
      <w:r>
        <w:rPr>
          <w:spacing w:val="13"/>
        </w:rPr>
        <w:t xml:space="preserve"> </w:t>
      </w:r>
      <w:r>
        <w:rPr>
          <w:spacing w:val="-2"/>
        </w:rPr>
        <w:t>Service</w:t>
      </w:r>
      <w:r>
        <w:rPr>
          <w:spacing w:val="16"/>
        </w:rPr>
        <w:t xml:space="preserve"> </w:t>
      </w:r>
      <w:r>
        <w:rPr>
          <w:spacing w:val="-2"/>
        </w:rPr>
        <w:t>Medical</w:t>
      </w:r>
      <w:r>
        <w:rPr>
          <w:spacing w:val="13"/>
        </w:rPr>
        <w:t xml:space="preserve"> </w:t>
      </w:r>
      <w:r>
        <w:t>Officer</w:t>
      </w:r>
      <w:r>
        <w:rPr>
          <w:spacing w:val="13"/>
        </w:rPr>
        <w:t xml:space="preserve"> </w:t>
      </w:r>
      <w:r>
        <w:rPr>
          <w:spacing w:val="-1"/>
        </w:rPr>
        <w:t>or</w:t>
      </w:r>
      <w:r>
        <w:rPr>
          <w:spacing w:val="15"/>
        </w:rPr>
        <w:t xml:space="preserve"> </w:t>
      </w:r>
      <w:r>
        <w:rPr>
          <w:spacing w:val="-2"/>
        </w:rPr>
        <w:t>other</w:t>
      </w:r>
      <w:r>
        <w:rPr>
          <w:spacing w:val="41"/>
        </w:rPr>
        <w:t xml:space="preserve"> </w:t>
      </w:r>
      <w:r>
        <w:rPr>
          <w:spacing w:val="-1"/>
        </w:rPr>
        <w:t>Government</w:t>
      </w:r>
      <w:r>
        <w:rPr>
          <w:spacing w:val="33"/>
        </w:rPr>
        <w:t xml:space="preserve"> </w:t>
      </w:r>
      <w:r>
        <w:rPr>
          <w:spacing w:val="-1"/>
        </w:rPr>
        <w:t>Medical</w:t>
      </w:r>
      <w:r>
        <w:rPr>
          <w:spacing w:val="31"/>
        </w:rPr>
        <w:t xml:space="preserve"> </w:t>
      </w:r>
      <w:r>
        <w:rPr>
          <w:spacing w:val="-1"/>
        </w:rPr>
        <w:t>Officer</w:t>
      </w:r>
      <w:r>
        <w:rPr>
          <w:spacing w:val="33"/>
        </w:rPr>
        <w:t xml:space="preserve"> </w:t>
      </w:r>
      <w:r>
        <w:rPr>
          <w:spacing w:val="-1"/>
        </w:rPr>
        <w:t>at</w:t>
      </w:r>
      <w:r>
        <w:rPr>
          <w:spacing w:val="33"/>
        </w:rPr>
        <w:t xml:space="preserve"> </w:t>
      </w:r>
      <w:r>
        <w:t>a</w:t>
      </w:r>
      <w:r>
        <w:rPr>
          <w:spacing w:val="31"/>
        </w:rPr>
        <w:t xml:space="preserve"> </w:t>
      </w:r>
      <w:r>
        <w:rPr>
          <w:spacing w:val="-1"/>
        </w:rPr>
        <w:t>Site</w:t>
      </w:r>
      <w:r>
        <w:rPr>
          <w:spacing w:val="31"/>
        </w:rPr>
        <w:t xml:space="preserve"> </w:t>
      </w:r>
      <w:r>
        <w:rPr>
          <w:spacing w:val="-1"/>
        </w:rPr>
        <w:t>overseas</w:t>
      </w:r>
      <w:r>
        <w:rPr>
          <w:spacing w:val="33"/>
        </w:rPr>
        <w:t xml:space="preserve"> </w:t>
      </w:r>
      <w:r>
        <w:rPr>
          <w:spacing w:val="-1"/>
        </w:rPr>
        <w:t>shall</w:t>
      </w:r>
      <w:r>
        <w:rPr>
          <w:spacing w:val="31"/>
        </w:rPr>
        <w:t xml:space="preserve"> </w:t>
      </w:r>
      <w:r>
        <w:rPr>
          <w:spacing w:val="-1"/>
        </w:rPr>
        <w:t>be</w:t>
      </w:r>
      <w:r>
        <w:rPr>
          <w:spacing w:val="28"/>
        </w:rPr>
        <w:t xml:space="preserve"> </w:t>
      </w:r>
      <w:r>
        <w:t>free</w:t>
      </w:r>
      <w:r>
        <w:rPr>
          <w:spacing w:val="28"/>
        </w:rPr>
        <w:t xml:space="preserve"> </w:t>
      </w:r>
      <w:r>
        <w:rPr>
          <w:spacing w:val="-2"/>
        </w:rPr>
        <w:t>of</w:t>
      </w:r>
      <w:r>
        <w:rPr>
          <w:spacing w:val="32"/>
        </w:rPr>
        <w:t xml:space="preserve"> </w:t>
      </w:r>
      <w:r>
        <w:rPr>
          <w:spacing w:val="-1"/>
        </w:rPr>
        <w:t>charge.</w:t>
      </w:r>
      <w:r>
        <w:rPr>
          <w:spacing w:val="58"/>
        </w:rPr>
        <w:t xml:space="preserve"> </w:t>
      </w:r>
      <w:r>
        <w:rPr>
          <w:spacing w:val="-1"/>
        </w:rPr>
        <w:t>Treatment</w:t>
      </w:r>
      <w:r>
        <w:rPr>
          <w:spacing w:val="30"/>
        </w:rPr>
        <w:t xml:space="preserve"> </w:t>
      </w:r>
      <w:r>
        <w:rPr>
          <w:spacing w:val="-1"/>
        </w:rPr>
        <w:t>in</w:t>
      </w:r>
      <w:r>
        <w:rPr>
          <w:spacing w:val="28"/>
        </w:rPr>
        <w:t xml:space="preserve"> </w:t>
      </w:r>
      <w:r>
        <w:t>a</w:t>
      </w:r>
      <w:r>
        <w:rPr>
          <w:spacing w:val="28"/>
        </w:rPr>
        <w:t xml:space="preserve"> </w:t>
      </w:r>
      <w:r>
        <w:rPr>
          <w:spacing w:val="-2"/>
        </w:rPr>
        <w:t>Service</w:t>
      </w:r>
      <w:r>
        <w:rPr>
          <w:spacing w:val="28"/>
        </w:rPr>
        <w:t xml:space="preserve"> </w:t>
      </w:r>
      <w:r>
        <w:rPr>
          <w:spacing w:val="-1"/>
        </w:rPr>
        <w:t>hospital</w:t>
      </w:r>
      <w:r>
        <w:rPr>
          <w:spacing w:val="27"/>
        </w:rPr>
        <w:t xml:space="preserve"> </w:t>
      </w:r>
      <w:r>
        <w:rPr>
          <w:spacing w:val="-1"/>
        </w:rPr>
        <w:t>or</w:t>
      </w:r>
      <w:r>
        <w:rPr>
          <w:spacing w:val="34"/>
        </w:rPr>
        <w:t xml:space="preserve"> </w:t>
      </w:r>
      <w:r>
        <w:rPr>
          <w:spacing w:val="-1"/>
        </w:rPr>
        <w:t>medical</w:t>
      </w:r>
      <w:r>
        <w:rPr>
          <w:spacing w:val="24"/>
        </w:rPr>
        <w:t xml:space="preserve"> </w:t>
      </w:r>
      <w:r>
        <w:rPr>
          <w:spacing w:val="-1"/>
        </w:rPr>
        <w:t>centre,</w:t>
      </w:r>
      <w:r>
        <w:rPr>
          <w:spacing w:val="26"/>
        </w:rPr>
        <w:t xml:space="preserve"> </w:t>
      </w:r>
      <w:r>
        <w:rPr>
          <w:spacing w:val="-1"/>
        </w:rPr>
        <w:t>dental</w:t>
      </w:r>
      <w:r>
        <w:rPr>
          <w:spacing w:val="24"/>
        </w:rPr>
        <w:t xml:space="preserve"> </w:t>
      </w:r>
      <w:r>
        <w:rPr>
          <w:spacing w:val="-1"/>
        </w:rPr>
        <w:t>treatment,</w:t>
      </w:r>
      <w:r>
        <w:rPr>
          <w:spacing w:val="26"/>
        </w:rPr>
        <w:t xml:space="preserve"> </w:t>
      </w:r>
      <w:r>
        <w:t>the</w:t>
      </w:r>
      <w:r>
        <w:rPr>
          <w:spacing w:val="24"/>
        </w:rPr>
        <w:t xml:space="preserve"> </w:t>
      </w:r>
      <w:r>
        <w:rPr>
          <w:spacing w:val="-2"/>
        </w:rPr>
        <w:t>provision</w:t>
      </w:r>
      <w:r>
        <w:rPr>
          <w:spacing w:val="24"/>
        </w:rPr>
        <w:t xml:space="preserve"> </w:t>
      </w:r>
      <w:r>
        <w:rPr>
          <w:spacing w:val="-2"/>
        </w:rPr>
        <w:t>of</w:t>
      </w:r>
      <w:r>
        <w:rPr>
          <w:spacing w:val="41"/>
        </w:rPr>
        <w:t xml:space="preserve"> </w:t>
      </w:r>
      <w:r>
        <w:rPr>
          <w:spacing w:val="-1"/>
        </w:rPr>
        <w:t>dentures</w:t>
      </w:r>
      <w:r>
        <w:rPr>
          <w:spacing w:val="50"/>
        </w:rPr>
        <w:t xml:space="preserve"> </w:t>
      </w:r>
      <w:r>
        <w:rPr>
          <w:spacing w:val="-2"/>
        </w:rPr>
        <w:t>or</w:t>
      </w:r>
      <w:r>
        <w:rPr>
          <w:spacing w:val="51"/>
        </w:rPr>
        <w:t xml:space="preserve"> </w:t>
      </w:r>
      <w:r>
        <w:rPr>
          <w:spacing w:val="-1"/>
        </w:rPr>
        <w:t>spectacles,</w:t>
      </w:r>
      <w:r>
        <w:rPr>
          <w:spacing w:val="51"/>
        </w:rPr>
        <w:t xml:space="preserve"> </w:t>
      </w:r>
      <w:r>
        <w:rPr>
          <w:spacing w:val="-2"/>
        </w:rPr>
        <w:t>conveyance</w:t>
      </w:r>
      <w:r>
        <w:rPr>
          <w:spacing w:val="50"/>
        </w:rPr>
        <w:t xml:space="preserve"> </w:t>
      </w:r>
      <w:r>
        <w:t>to</w:t>
      </w:r>
      <w:r>
        <w:rPr>
          <w:spacing w:val="49"/>
        </w:rPr>
        <w:t xml:space="preserve"> </w:t>
      </w:r>
      <w:r>
        <w:rPr>
          <w:spacing w:val="-1"/>
        </w:rPr>
        <w:t>and</w:t>
      </w:r>
      <w:r>
        <w:rPr>
          <w:spacing w:val="47"/>
        </w:rPr>
        <w:t xml:space="preserve"> </w:t>
      </w:r>
      <w:r>
        <w:t>from</w:t>
      </w:r>
      <w:r>
        <w:rPr>
          <w:spacing w:val="52"/>
        </w:rPr>
        <w:t xml:space="preserve"> </w:t>
      </w:r>
      <w:r>
        <w:t>a</w:t>
      </w:r>
      <w:r>
        <w:rPr>
          <w:spacing w:val="31"/>
        </w:rPr>
        <w:t xml:space="preserve"> </w:t>
      </w:r>
      <w:r>
        <w:rPr>
          <w:spacing w:val="-1"/>
        </w:rPr>
        <w:t>hospital,</w:t>
      </w:r>
      <w:r>
        <w:rPr>
          <w:spacing w:val="7"/>
        </w:rPr>
        <w:t xml:space="preserve"> </w:t>
      </w:r>
      <w:r>
        <w:rPr>
          <w:spacing w:val="-1"/>
        </w:rPr>
        <w:t>medical</w:t>
      </w:r>
      <w:r>
        <w:rPr>
          <w:spacing w:val="4"/>
        </w:rPr>
        <w:t xml:space="preserve"> </w:t>
      </w:r>
      <w:r>
        <w:rPr>
          <w:spacing w:val="-1"/>
        </w:rPr>
        <w:t>centre</w:t>
      </w:r>
      <w:r>
        <w:rPr>
          <w:spacing w:val="3"/>
        </w:rPr>
        <w:t xml:space="preserve"> </w:t>
      </w:r>
      <w:r>
        <w:rPr>
          <w:spacing w:val="-1"/>
        </w:rPr>
        <w:t>or</w:t>
      </w:r>
      <w:r>
        <w:rPr>
          <w:spacing w:val="6"/>
        </w:rPr>
        <w:t xml:space="preserve"> </w:t>
      </w:r>
      <w:r>
        <w:rPr>
          <w:spacing w:val="-1"/>
        </w:rPr>
        <w:t>surgery</w:t>
      </w:r>
      <w:r>
        <w:rPr>
          <w:spacing w:val="3"/>
        </w:rPr>
        <w:t xml:space="preserve"> </w:t>
      </w:r>
      <w:r>
        <w:rPr>
          <w:spacing w:val="-1"/>
        </w:rPr>
        <w:t>not</w:t>
      </w:r>
      <w:r>
        <w:rPr>
          <w:spacing w:val="7"/>
        </w:rPr>
        <w:t xml:space="preserve"> </w:t>
      </w:r>
      <w:r>
        <w:rPr>
          <w:spacing w:val="-2"/>
        </w:rPr>
        <w:t>within</w:t>
      </w:r>
      <w:r>
        <w:rPr>
          <w:spacing w:val="5"/>
        </w:rPr>
        <w:t xml:space="preserve"> </w:t>
      </w:r>
      <w:r>
        <w:t>the</w:t>
      </w:r>
      <w:r>
        <w:rPr>
          <w:spacing w:val="7"/>
        </w:rPr>
        <w:t xml:space="preserve"> </w:t>
      </w:r>
      <w:r>
        <w:rPr>
          <w:spacing w:val="-1"/>
        </w:rPr>
        <w:t>Site</w:t>
      </w:r>
      <w:r>
        <w:rPr>
          <w:spacing w:val="5"/>
        </w:rPr>
        <w:t xml:space="preserve"> </w:t>
      </w:r>
      <w:r>
        <w:rPr>
          <w:spacing w:val="-1"/>
        </w:rPr>
        <w:t>and</w:t>
      </w:r>
      <w:r>
        <w:rPr>
          <w:spacing w:val="44"/>
        </w:rPr>
        <w:t xml:space="preserve"> </w:t>
      </w:r>
      <w:r>
        <w:rPr>
          <w:spacing w:val="-1"/>
        </w:rPr>
        <w:t>transportation</w:t>
      </w:r>
      <w:r>
        <w:rPr>
          <w:spacing w:val="55"/>
        </w:rPr>
        <w:t xml:space="preserve"> </w:t>
      </w:r>
      <w:r>
        <w:rPr>
          <w:spacing w:val="-2"/>
        </w:rPr>
        <w:t>of</w:t>
      </w:r>
      <w:r>
        <w:rPr>
          <w:spacing w:val="57"/>
        </w:rPr>
        <w:t xml:space="preserve"> </w:t>
      </w:r>
      <w:r>
        <w:t>the</w:t>
      </w:r>
      <w:r>
        <w:rPr>
          <w:spacing w:val="55"/>
        </w:rPr>
        <w:t xml:space="preserve"> </w:t>
      </w:r>
      <w:r>
        <w:rPr>
          <w:spacing w:val="-1"/>
        </w:rPr>
        <w:t>Supplier's</w:t>
      </w:r>
      <w:r>
        <w:rPr>
          <w:spacing w:val="56"/>
        </w:rPr>
        <w:t xml:space="preserve"> </w:t>
      </w:r>
      <w:r>
        <w:rPr>
          <w:spacing w:val="-1"/>
        </w:rPr>
        <w:t>representatives</w:t>
      </w:r>
      <w:r>
        <w:rPr>
          <w:spacing w:val="56"/>
        </w:rPr>
        <w:t xml:space="preserve"> </w:t>
      </w:r>
      <w:r>
        <w:rPr>
          <w:spacing w:val="-1"/>
        </w:rPr>
        <w:t>back</w:t>
      </w:r>
      <w:r>
        <w:rPr>
          <w:spacing w:val="56"/>
        </w:rPr>
        <w:t xml:space="preserve"> </w:t>
      </w:r>
      <w:r>
        <w:rPr>
          <w:spacing w:val="-1"/>
        </w:rPr>
        <w:t>to</w:t>
      </w:r>
      <w:r>
        <w:rPr>
          <w:spacing w:val="29"/>
        </w:rPr>
        <w:t xml:space="preserve"> </w:t>
      </w:r>
      <w:r>
        <w:t>the</w:t>
      </w:r>
      <w:r>
        <w:rPr>
          <w:spacing w:val="31"/>
        </w:rPr>
        <w:t xml:space="preserve"> </w:t>
      </w:r>
      <w:r>
        <w:rPr>
          <w:spacing w:val="-1"/>
        </w:rPr>
        <w:t>United</w:t>
      </w:r>
      <w:r>
        <w:rPr>
          <w:spacing w:val="31"/>
        </w:rPr>
        <w:t xml:space="preserve"> </w:t>
      </w:r>
      <w:r>
        <w:rPr>
          <w:spacing w:val="-1"/>
        </w:rPr>
        <w:t>Kingdom,</w:t>
      </w:r>
      <w:r>
        <w:rPr>
          <w:spacing w:val="33"/>
        </w:rPr>
        <w:t xml:space="preserve"> </w:t>
      </w:r>
      <w:r>
        <w:rPr>
          <w:spacing w:val="-1"/>
        </w:rPr>
        <w:t>or</w:t>
      </w:r>
      <w:r>
        <w:rPr>
          <w:spacing w:val="30"/>
        </w:rPr>
        <w:t xml:space="preserve"> </w:t>
      </w:r>
      <w:r>
        <w:rPr>
          <w:spacing w:val="-2"/>
        </w:rPr>
        <w:t>elsewhere,</w:t>
      </w:r>
      <w:r>
        <w:rPr>
          <w:spacing w:val="33"/>
        </w:rPr>
        <w:t xml:space="preserve"> </w:t>
      </w:r>
      <w:r>
        <w:t>for</w:t>
      </w:r>
      <w:r>
        <w:rPr>
          <w:spacing w:val="30"/>
        </w:rPr>
        <w:t xml:space="preserve"> </w:t>
      </w:r>
      <w:r>
        <w:rPr>
          <w:spacing w:val="-1"/>
        </w:rPr>
        <w:t>medical</w:t>
      </w:r>
      <w:r>
        <w:rPr>
          <w:spacing w:val="32"/>
        </w:rPr>
        <w:t xml:space="preserve"> </w:t>
      </w:r>
      <w:r>
        <w:rPr>
          <w:spacing w:val="-1"/>
        </w:rPr>
        <w:t>reasons,</w:t>
      </w:r>
      <w:r>
        <w:rPr>
          <w:spacing w:val="34"/>
        </w:rPr>
        <w:t xml:space="preserve"> </w:t>
      </w:r>
      <w:r>
        <w:rPr>
          <w:spacing w:val="-1"/>
        </w:rPr>
        <w:t>shall</w:t>
      </w:r>
      <w:r>
        <w:rPr>
          <w:spacing w:val="49"/>
        </w:rPr>
        <w:t xml:space="preserve"> </w:t>
      </w:r>
      <w:r>
        <w:rPr>
          <w:spacing w:val="-1"/>
        </w:rPr>
        <w:t>be</w:t>
      </w:r>
      <w:r>
        <w:rPr>
          <w:spacing w:val="49"/>
        </w:rPr>
        <w:t xml:space="preserve"> </w:t>
      </w:r>
      <w:r>
        <w:rPr>
          <w:spacing w:val="-1"/>
        </w:rPr>
        <w:t>charged</w:t>
      </w:r>
      <w:r>
        <w:rPr>
          <w:spacing w:val="49"/>
        </w:rPr>
        <w:t xml:space="preserve"> </w:t>
      </w:r>
      <w:r>
        <w:t>to</w:t>
      </w:r>
      <w:r>
        <w:rPr>
          <w:spacing w:val="47"/>
        </w:rPr>
        <w:t xml:space="preserve"> </w:t>
      </w:r>
      <w:r>
        <w:rPr>
          <w:spacing w:val="-1"/>
        </w:rPr>
        <w:t>the</w:t>
      </w:r>
      <w:r>
        <w:rPr>
          <w:spacing w:val="49"/>
        </w:rPr>
        <w:t xml:space="preserve"> </w:t>
      </w:r>
      <w:r>
        <w:rPr>
          <w:spacing w:val="-2"/>
        </w:rPr>
        <w:t>Supplier</w:t>
      </w:r>
      <w:r>
        <w:rPr>
          <w:spacing w:val="51"/>
        </w:rPr>
        <w:t xml:space="preserve"> </w:t>
      </w:r>
      <w:r>
        <w:rPr>
          <w:spacing w:val="-1"/>
        </w:rPr>
        <w:t>at</w:t>
      </w:r>
      <w:r>
        <w:rPr>
          <w:spacing w:val="52"/>
        </w:rPr>
        <w:t xml:space="preserve"> </w:t>
      </w:r>
      <w:r>
        <w:rPr>
          <w:spacing w:val="-1"/>
        </w:rPr>
        <w:t>rates</w:t>
      </w:r>
      <w:r>
        <w:rPr>
          <w:spacing w:val="47"/>
        </w:rPr>
        <w:t xml:space="preserve"> </w:t>
      </w:r>
      <w:r>
        <w:rPr>
          <w:spacing w:val="-1"/>
        </w:rPr>
        <w:t>fixed</w:t>
      </w:r>
      <w:r>
        <w:rPr>
          <w:spacing w:val="49"/>
        </w:rPr>
        <w:t xml:space="preserve"> </w:t>
      </w:r>
      <w:r>
        <w:rPr>
          <w:spacing w:val="-1"/>
        </w:rPr>
        <w:t>in</w:t>
      </w:r>
      <w:r>
        <w:rPr>
          <w:spacing w:val="39"/>
        </w:rPr>
        <w:t xml:space="preserve"> </w:t>
      </w:r>
      <w:r>
        <w:rPr>
          <w:spacing w:val="-1"/>
        </w:rPr>
        <w:t>accordance</w:t>
      </w:r>
      <w:r>
        <w:rPr>
          <w:spacing w:val="-2"/>
        </w:rPr>
        <w:t xml:space="preserve"> with</w:t>
      </w:r>
      <w:r>
        <w:t xml:space="preserve"> </w:t>
      </w:r>
      <w:r>
        <w:rPr>
          <w:spacing w:val="-1"/>
        </w:rPr>
        <w:t>current</w:t>
      </w:r>
      <w:r>
        <w:t xml:space="preserve"> </w:t>
      </w:r>
      <w:r>
        <w:rPr>
          <w:spacing w:val="-1"/>
        </w:rPr>
        <w:t>Ministry</w:t>
      </w:r>
      <w:r>
        <w:rPr>
          <w:spacing w:val="-2"/>
        </w:rPr>
        <w:t xml:space="preserve"> </w:t>
      </w:r>
      <w:r>
        <w:rPr>
          <w:spacing w:val="-1"/>
        </w:rPr>
        <w:t>of</w:t>
      </w:r>
      <w:r>
        <w:rPr>
          <w:spacing w:val="2"/>
        </w:rPr>
        <w:t xml:space="preserve"> </w:t>
      </w:r>
      <w:r>
        <w:rPr>
          <w:spacing w:val="-1"/>
        </w:rPr>
        <w:t>Defence</w:t>
      </w:r>
      <w:r>
        <w:rPr>
          <w:spacing w:val="-2"/>
        </w:rPr>
        <w:t xml:space="preserve"> </w:t>
      </w:r>
      <w:r>
        <w:rPr>
          <w:spacing w:val="-1"/>
        </w:rPr>
        <w:t>regulations.</w:t>
      </w:r>
    </w:p>
    <w:p w:rsidR="008918FA" w:rsidRDefault="008918FA" w:rsidP="008918FA">
      <w:pPr>
        <w:spacing w:before="9"/>
        <w:rPr>
          <w:rFonts w:ascii="Arial" w:eastAsia="Arial" w:hAnsi="Arial" w:cs="Arial"/>
          <w:sz w:val="20"/>
          <w:szCs w:val="20"/>
        </w:rPr>
      </w:pPr>
    </w:p>
    <w:p w:rsidR="008918FA" w:rsidRDefault="008918FA" w:rsidP="008918FA">
      <w:pPr>
        <w:pStyle w:val="BodyText"/>
        <w:numPr>
          <w:ilvl w:val="2"/>
          <w:numId w:val="1"/>
        </w:numPr>
        <w:tabs>
          <w:tab w:val="left" w:pos="3163"/>
        </w:tabs>
        <w:spacing w:before="0"/>
        <w:ind w:left="3162" w:right="113"/>
        <w:jc w:val="both"/>
      </w:pPr>
      <w:r>
        <w:rPr>
          <w:spacing w:val="-1"/>
        </w:rPr>
        <w:t>Accidents</w:t>
      </w:r>
      <w:r>
        <w:rPr>
          <w:spacing w:val="51"/>
        </w:rPr>
        <w:t xml:space="preserve"> </w:t>
      </w:r>
      <w:r>
        <w:t>to</w:t>
      </w:r>
      <w:r>
        <w:rPr>
          <w:spacing w:val="51"/>
        </w:rPr>
        <w:t xml:space="preserve"> </w:t>
      </w:r>
      <w:r>
        <w:t>the</w:t>
      </w:r>
      <w:r>
        <w:rPr>
          <w:spacing w:val="51"/>
        </w:rPr>
        <w:t xml:space="preserve"> </w:t>
      </w:r>
      <w:r>
        <w:rPr>
          <w:spacing w:val="-1"/>
        </w:rPr>
        <w:t>Supplier's</w:t>
      </w:r>
      <w:r>
        <w:rPr>
          <w:spacing w:val="51"/>
        </w:rPr>
        <w:t xml:space="preserve"> </w:t>
      </w:r>
      <w:r>
        <w:rPr>
          <w:spacing w:val="-1"/>
        </w:rPr>
        <w:t>representatives</w:t>
      </w:r>
      <w:r>
        <w:rPr>
          <w:spacing w:val="51"/>
        </w:rPr>
        <w:t xml:space="preserve"> </w:t>
      </w:r>
      <w:r>
        <w:rPr>
          <w:spacing w:val="-2"/>
        </w:rPr>
        <w:t>which</w:t>
      </w:r>
      <w:r>
        <w:rPr>
          <w:spacing w:val="24"/>
        </w:rPr>
        <w:t xml:space="preserve"> </w:t>
      </w:r>
      <w:r>
        <w:rPr>
          <w:spacing w:val="-1"/>
        </w:rPr>
        <w:t>ordinarily</w:t>
      </w:r>
      <w:r>
        <w:rPr>
          <w:spacing w:val="35"/>
        </w:rPr>
        <w:t xml:space="preserve"> </w:t>
      </w:r>
      <w:r>
        <w:rPr>
          <w:spacing w:val="-1"/>
        </w:rPr>
        <w:t>require</w:t>
      </w:r>
      <w:r>
        <w:rPr>
          <w:spacing w:val="35"/>
        </w:rPr>
        <w:t xml:space="preserve"> </w:t>
      </w:r>
      <w:r>
        <w:t>to</w:t>
      </w:r>
      <w:r>
        <w:rPr>
          <w:spacing w:val="37"/>
        </w:rPr>
        <w:t xml:space="preserve"> </w:t>
      </w:r>
      <w:r>
        <w:rPr>
          <w:spacing w:val="-2"/>
        </w:rPr>
        <w:t>be</w:t>
      </w:r>
      <w:r>
        <w:rPr>
          <w:spacing w:val="37"/>
        </w:rPr>
        <w:t xml:space="preserve"> </w:t>
      </w:r>
      <w:r>
        <w:rPr>
          <w:spacing w:val="-1"/>
        </w:rPr>
        <w:t>reported</w:t>
      </w:r>
      <w:r>
        <w:rPr>
          <w:spacing w:val="37"/>
        </w:rPr>
        <w:t xml:space="preserve"> </w:t>
      </w:r>
      <w:r>
        <w:rPr>
          <w:spacing w:val="-1"/>
        </w:rPr>
        <w:t>in</w:t>
      </w:r>
      <w:r>
        <w:rPr>
          <w:spacing w:val="37"/>
        </w:rPr>
        <w:t xml:space="preserve"> </w:t>
      </w:r>
      <w:r>
        <w:rPr>
          <w:spacing w:val="-1"/>
        </w:rPr>
        <w:t>accordance</w:t>
      </w:r>
      <w:r>
        <w:rPr>
          <w:spacing w:val="39"/>
        </w:rPr>
        <w:t xml:space="preserve"> </w:t>
      </w:r>
      <w:r>
        <w:rPr>
          <w:spacing w:val="-2"/>
        </w:rPr>
        <w:t>with</w:t>
      </w:r>
      <w:r>
        <w:rPr>
          <w:spacing w:val="29"/>
        </w:rPr>
        <w:t xml:space="preserve"> </w:t>
      </w:r>
      <w:r>
        <w:rPr>
          <w:spacing w:val="-1"/>
        </w:rPr>
        <w:t>Health</w:t>
      </w:r>
      <w:r>
        <w:rPr>
          <w:spacing w:val="3"/>
        </w:rPr>
        <w:t xml:space="preserve"> </w:t>
      </w:r>
      <w:r>
        <w:rPr>
          <w:spacing w:val="-1"/>
        </w:rPr>
        <w:t>and</w:t>
      </w:r>
      <w:r>
        <w:rPr>
          <w:spacing w:val="3"/>
        </w:rPr>
        <w:t xml:space="preserve"> </w:t>
      </w:r>
      <w:r>
        <w:rPr>
          <w:spacing w:val="-1"/>
        </w:rPr>
        <w:t>Safety</w:t>
      </w:r>
      <w:r>
        <w:rPr>
          <w:spacing w:val="1"/>
        </w:rPr>
        <w:t xml:space="preserve"> </w:t>
      </w:r>
      <w:r>
        <w:rPr>
          <w:spacing w:val="-1"/>
        </w:rPr>
        <w:t>at</w:t>
      </w:r>
      <w:r>
        <w:t xml:space="preserve"> </w:t>
      </w:r>
      <w:r>
        <w:rPr>
          <w:spacing w:val="-1"/>
        </w:rPr>
        <w:t>Work</w:t>
      </w:r>
      <w:r>
        <w:rPr>
          <w:spacing w:val="5"/>
        </w:rPr>
        <w:t xml:space="preserve"> </w:t>
      </w:r>
      <w:r>
        <w:t>etc</w:t>
      </w:r>
      <w:r>
        <w:rPr>
          <w:spacing w:val="3"/>
        </w:rPr>
        <w:t xml:space="preserve"> </w:t>
      </w:r>
      <w:r>
        <w:rPr>
          <w:spacing w:val="-2"/>
        </w:rPr>
        <w:t>Act</w:t>
      </w:r>
      <w:r>
        <w:rPr>
          <w:spacing w:val="5"/>
        </w:rPr>
        <w:t xml:space="preserve"> </w:t>
      </w:r>
      <w:r>
        <w:rPr>
          <w:spacing w:val="-2"/>
        </w:rPr>
        <w:t>1974,</w:t>
      </w:r>
      <w:r>
        <w:rPr>
          <w:spacing w:val="4"/>
        </w:rPr>
        <w:t xml:space="preserve"> </w:t>
      </w:r>
      <w:r>
        <w:rPr>
          <w:spacing w:val="-1"/>
        </w:rPr>
        <w:t>shall</w:t>
      </w:r>
      <w:r>
        <w:rPr>
          <w:spacing w:val="2"/>
        </w:rPr>
        <w:t xml:space="preserve"> </w:t>
      </w:r>
      <w:r>
        <w:rPr>
          <w:spacing w:val="-1"/>
        </w:rPr>
        <w:t>be</w:t>
      </w:r>
      <w:r>
        <w:rPr>
          <w:spacing w:val="3"/>
        </w:rPr>
        <w:t xml:space="preserve"> </w:t>
      </w:r>
      <w:r>
        <w:rPr>
          <w:spacing w:val="-1"/>
        </w:rPr>
        <w:t>reported</w:t>
      </w:r>
      <w:r>
        <w:rPr>
          <w:spacing w:val="39"/>
        </w:rPr>
        <w:t xml:space="preserve"> </w:t>
      </w:r>
      <w:r>
        <w:t>to</w:t>
      </w:r>
      <w:r>
        <w:rPr>
          <w:spacing w:val="15"/>
        </w:rPr>
        <w:t xml:space="preserve"> </w:t>
      </w:r>
      <w:r>
        <w:t>the</w:t>
      </w:r>
      <w:r>
        <w:rPr>
          <w:spacing w:val="12"/>
        </w:rPr>
        <w:t xml:space="preserve"> </w:t>
      </w:r>
      <w:r>
        <w:rPr>
          <w:spacing w:val="-1"/>
        </w:rPr>
        <w:t>Officer</w:t>
      </w:r>
      <w:r>
        <w:rPr>
          <w:spacing w:val="16"/>
        </w:rPr>
        <w:t xml:space="preserve"> </w:t>
      </w:r>
      <w:r>
        <w:rPr>
          <w:spacing w:val="-1"/>
        </w:rPr>
        <w:t>in</w:t>
      </w:r>
      <w:r>
        <w:rPr>
          <w:spacing w:val="15"/>
        </w:rPr>
        <w:t xml:space="preserve"> </w:t>
      </w:r>
      <w:r>
        <w:rPr>
          <w:spacing w:val="-1"/>
        </w:rPr>
        <w:t>charge</w:t>
      </w:r>
      <w:r>
        <w:rPr>
          <w:spacing w:val="12"/>
        </w:rPr>
        <w:t xml:space="preserve"> </w:t>
      </w:r>
      <w:r>
        <w:rPr>
          <w:spacing w:val="-1"/>
        </w:rPr>
        <w:t>so</w:t>
      </w:r>
      <w:r>
        <w:rPr>
          <w:spacing w:val="15"/>
        </w:rPr>
        <w:t xml:space="preserve"> </w:t>
      </w:r>
      <w:r>
        <w:rPr>
          <w:spacing w:val="-1"/>
        </w:rPr>
        <w:t>that</w:t>
      </w:r>
      <w:r>
        <w:rPr>
          <w:spacing w:val="14"/>
        </w:rPr>
        <w:t xml:space="preserve"> </w:t>
      </w:r>
      <w:r>
        <w:t>the</w:t>
      </w:r>
      <w:r>
        <w:rPr>
          <w:spacing w:val="15"/>
        </w:rPr>
        <w:t xml:space="preserve"> </w:t>
      </w:r>
      <w:r>
        <w:rPr>
          <w:spacing w:val="-1"/>
        </w:rPr>
        <w:t>Inspector</w:t>
      </w:r>
      <w:r>
        <w:rPr>
          <w:spacing w:val="16"/>
        </w:rPr>
        <w:t xml:space="preserve"> </w:t>
      </w:r>
      <w:r>
        <w:rPr>
          <w:spacing w:val="-2"/>
        </w:rPr>
        <w:t>of</w:t>
      </w:r>
      <w:r>
        <w:rPr>
          <w:spacing w:val="16"/>
        </w:rPr>
        <w:t xml:space="preserve"> </w:t>
      </w:r>
      <w:r>
        <w:rPr>
          <w:spacing w:val="-1"/>
        </w:rPr>
        <w:t>Factories</w:t>
      </w:r>
      <w:r>
        <w:rPr>
          <w:spacing w:val="35"/>
        </w:rPr>
        <w:t xml:space="preserve"> </w:t>
      </w:r>
      <w:r>
        <w:rPr>
          <w:spacing w:val="-1"/>
        </w:rPr>
        <w:t>may</w:t>
      </w:r>
      <w:r>
        <w:rPr>
          <w:spacing w:val="-2"/>
        </w:rPr>
        <w:t xml:space="preserve"> </w:t>
      </w:r>
      <w:r>
        <w:rPr>
          <w:spacing w:val="-1"/>
        </w:rPr>
        <w:t>be</w:t>
      </w:r>
      <w:r>
        <w:t xml:space="preserve"> </w:t>
      </w:r>
      <w:r>
        <w:rPr>
          <w:spacing w:val="-1"/>
        </w:rPr>
        <w:t>informed.</w:t>
      </w:r>
    </w:p>
    <w:p w:rsidR="008918FA" w:rsidRDefault="008918FA" w:rsidP="008918FA">
      <w:pPr>
        <w:jc w:val="both"/>
        <w:sectPr w:rsidR="008918FA">
          <w:pgSz w:w="11910" w:h="16840"/>
          <w:pgMar w:top="1480" w:right="1300" w:bottom="1180" w:left="1680" w:header="0" w:footer="987" w:gutter="0"/>
          <w:cols w:space="720"/>
        </w:sectPr>
      </w:pPr>
    </w:p>
    <w:p w:rsidR="008918FA" w:rsidRDefault="008918FA" w:rsidP="008918FA">
      <w:pPr>
        <w:pStyle w:val="BodyText"/>
        <w:numPr>
          <w:ilvl w:val="2"/>
          <w:numId w:val="1"/>
        </w:numPr>
        <w:tabs>
          <w:tab w:val="left" w:pos="3703"/>
        </w:tabs>
        <w:spacing w:before="59"/>
        <w:ind w:left="3702" w:right="113" w:hanging="851"/>
        <w:jc w:val="both"/>
      </w:pPr>
      <w:r>
        <w:rPr>
          <w:spacing w:val="-1"/>
        </w:rPr>
        <w:t>No</w:t>
      </w:r>
      <w:r>
        <w:rPr>
          <w:spacing w:val="59"/>
        </w:rPr>
        <w:t xml:space="preserve"> </w:t>
      </w:r>
      <w:r>
        <w:rPr>
          <w:spacing w:val="-1"/>
        </w:rPr>
        <w:t>assistance</w:t>
      </w:r>
      <w:r>
        <w:rPr>
          <w:spacing w:val="57"/>
        </w:rPr>
        <w:t xml:space="preserve"> </w:t>
      </w:r>
      <w:r>
        <w:t>from</w:t>
      </w:r>
      <w:r>
        <w:rPr>
          <w:spacing w:val="60"/>
        </w:rPr>
        <w:t xml:space="preserve"> </w:t>
      </w:r>
      <w:r>
        <w:rPr>
          <w:spacing w:val="-2"/>
        </w:rPr>
        <w:t>public</w:t>
      </w:r>
      <w:r>
        <w:rPr>
          <w:spacing w:val="59"/>
        </w:rPr>
        <w:t xml:space="preserve"> </w:t>
      </w:r>
      <w:r>
        <w:rPr>
          <w:spacing w:val="-1"/>
        </w:rPr>
        <w:t>funds,</w:t>
      </w:r>
      <w:r w:rsidR="00DE3937">
        <w:t xml:space="preserve"> </w:t>
      </w:r>
      <w:r>
        <w:rPr>
          <w:spacing w:val="-1"/>
        </w:rPr>
        <w:t>and</w:t>
      </w:r>
      <w:r>
        <w:rPr>
          <w:spacing w:val="59"/>
        </w:rPr>
        <w:t xml:space="preserve"> </w:t>
      </w:r>
      <w:r>
        <w:rPr>
          <w:spacing w:val="-1"/>
        </w:rPr>
        <w:t>no</w:t>
      </w:r>
      <w:r>
        <w:rPr>
          <w:spacing w:val="59"/>
        </w:rPr>
        <w:t xml:space="preserve"> </w:t>
      </w:r>
      <w:r>
        <w:rPr>
          <w:spacing w:val="-1"/>
        </w:rPr>
        <w:t>messing</w:t>
      </w:r>
      <w:r>
        <w:rPr>
          <w:spacing w:val="33"/>
        </w:rPr>
        <w:t xml:space="preserve"> </w:t>
      </w:r>
      <w:r>
        <w:rPr>
          <w:spacing w:val="-1"/>
        </w:rPr>
        <w:t>facilities,</w:t>
      </w:r>
      <w:r>
        <w:rPr>
          <w:spacing w:val="40"/>
        </w:rPr>
        <w:t xml:space="preserve"> </w:t>
      </w:r>
      <w:r>
        <w:rPr>
          <w:spacing w:val="-2"/>
        </w:rPr>
        <w:t>accommodation</w:t>
      </w:r>
      <w:r>
        <w:rPr>
          <w:spacing w:val="39"/>
        </w:rPr>
        <w:t xml:space="preserve"> </w:t>
      </w:r>
      <w:r>
        <w:rPr>
          <w:spacing w:val="-1"/>
        </w:rPr>
        <w:t>or</w:t>
      </w:r>
      <w:r>
        <w:rPr>
          <w:spacing w:val="38"/>
        </w:rPr>
        <w:t xml:space="preserve"> </w:t>
      </w:r>
      <w:r>
        <w:rPr>
          <w:spacing w:val="-1"/>
        </w:rPr>
        <w:t>transport</w:t>
      </w:r>
      <w:r>
        <w:rPr>
          <w:spacing w:val="40"/>
        </w:rPr>
        <w:t xml:space="preserve"> </w:t>
      </w:r>
      <w:r>
        <w:rPr>
          <w:spacing w:val="-1"/>
        </w:rPr>
        <w:t>overseas</w:t>
      </w:r>
      <w:r>
        <w:rPr>
          <w:spacing w:val="36"/>
        </w:rPr>
        <w:t xml:space="preserve"> </w:t>
      </w:r>
      <w:r>
        <w:rPr>
          <w:spacing w:val="-1"/>
        </w:rPr>
        <w:t>shall</w:t>
      </w:r>
      <w:r>
        <w:rPr>
          <w:spacing w:val="38"/>
        </w:rPr>
        <w:t xml:space="preserve"> </w:t>
      </w:r>
      <w:r>
        <w:rPr>
          <w:spacing w:val="-1"/>
        </w:rPr>
        <w:t>be</w:t>
      </w:r>
      <w:r>
        <w:rPr>
          <w:spacing w:val="38"/>
        </w:rPr>
        <w:t xml:space="preserve"> </w:t>
      </w:r>
      <w:r>
        <w:rPr>
          <w:spacing w:val="-2"/>
        </w:rPr>
        <w:t>provided</w:t>
      </w:r>
      <w:r>
        <w:t xml:space="preserve"> for</w:t>
      </w:r>
      <w:r>
        <w:rPr>
          <w:spacing w:val="2"/>
        </w:rPr>
        <w:t xml:space="preserve"> </w:t>
      </w:r>
      <w:r>
        <w:rPr>
          <w:spacing w:val="-1"/>
        </w:rPr>
        <w:t>dependants</w:t>
      </w:r>
      <w:r>
        <w:rPr>
          <w:spacing w:val="-2"/>
        </w:rPr>
        <w:t xml:space="preserve"> </w:t>
      </w:r>
      <w:r>
        <w:rPr>
          <w:spacing w:val="-1"/>
        </w:rPr>
        <w:t>or</w:t>
      </w:r>
      <w:r>
        <w:rPr>
          <w:spacing w:val="2"/>
        </w:rPr>
        <w:t xml:space="preserve"> </w:t>
      </w:r>
      <w:r>
        <w:rPr>
          <w:spacing w:val="-1"/>
        </w:rPr>
        <w:t>members</w:t>
      </w:r>
      <w:r>
        <w:rPr>
          <w:spacing w:val="-2"/>
        </w:rPr>
        <w:t xml:space="preserve"> of</w:t>
      </w:r>
      <w:r>
        <w:rPr>
          <w:spacing w:val="2"/>
        </w:rPr>
        <w:t xml:space="preserve"> </w:t>
      </w:r>
      <w:r>
        <w:t>the</w:t>
      </w:r>
      <w:r>
        <w:rPr>
          <w:spacing w:val="-2"/>
        </w:rPr>
        <w:t xml:space="preserve"> </w:t>
      </w:r>
      <w:r>
        <w:rPr>
          <w:spacing w:val="-1"/>
        </w:rPr>
        <w:t>families</w:t>
      </w:r>
      <w:r>
        <w:rPr>
          <w:spacing w:val="1"/>
        </w:rPr>
        <w:t xml:space="preserve"> </w:t>
      </w:r>
      <w:r>
        <w:rPr>
          <w:spacing w:val="-2"/>
        </w:rPr>
        <w:t>of</w:t>
      </w:r>
      <w:r>
        <w:rPr>
          <w:spacing w:val="4"/>
        </w:rPr>
        <w:t xml:space="preserve"> </w:t>
      </w:r>
      <w:r>
        <w:rPr>
          <w:spacing w:val="-1"/>
        </w:rPr>
        <w:t>the</w:t>
      </w:r>
      <w:r>
        <w:rPr>
          <w:spacing w:val="35"/>
        </w:rPr>
        <w:t xml:space="preserve"> </w:t>
      </w:r>
      <w:r>
        <w:rPr>
          <w:spacing w:val="-1"/>
        </w:rPr>
        <w:t>Supplier's</w:t>
      </w:r>
      <w:r>
        <w:rPr>
          <w:spacing w:val="32"/>
        </w:rPr>
        <w:t xml:space="preserve"> </w:t>
      </w:r>
      <w:r>
        <w:rPr>
          <w:spacing w:val="-1"/>
        </w:rPr>
        <w:t>representatives.</w:t>
      </w:r>
      <w:r>
        <w:rPr>
          <w:spacing w:val="7"/>
        </w:rPr>
        <w:t xml:space="preserve"> </w:t>
      </w:r>
      <w:r>
        <w:rPr>
          <w:spacing w:val="-2"/>
        </w:rPr>
        <w:t>Medical</w:t>
      </w:r>
      <w:r>
        <w:rPr>
          <w:spacing w:val="31"/>
        </w:rPr>
        <w:t xml:space="preserve"> </w:t>
      </w:r>
      <w:r>
        <w:rPr>
          <w:spacing w:val="-1"/>
        </w:rPr>
        <w:t>or</w:t>
      </w:r>
      <w:r>
        <w:rPr>
          <w:spacing w:val="33"/>
        </w:rPr>
        <w:t xml:space="preserve"> </w:t>
      </w:r>
      <w:r>
        <w:rPr>
          <w:spacing w:val="-1"/>
        </w:rPr>
        <w:t>necessary</w:t>
      </w:r>
      <w:r>
        <w:rPr>
          <w:spacing w:val="30"/>
        </w:rPr>
        <w:t xml:space="preserve"> </w:t>
      </w:r>
      <w:r>
        <w:rPr>
          <w:spacing w:val="-1"/>
        </w:rPr>
        <w:t>dental</w:t>
      </w:r>
      <w:r>
        <w:rPr>
          <w:spacing w:val="34"/>
        </w:rPr>
        <w:t xml:space="preserve"> </w:t>
      </w:r>
      <w:r>
        <w:rPr>
          <w:spacing w:val="-1"/>
        </w:rPr>
        <w:t>treatment</w:t>
      </w:r>
      <w:r>
        <w:rPr>
          <w:spacing w:val="33"/>
        </w:rPr>
        <w:t xml:space="preserve"> </w:t>
      </w:r>
      <w:r>
        <w:rPr>
          <w:spacing w:val="-1"/>
        </w:rPr>
        <w:t>may,</w:t>
      </w:r>
      <w:r>
        <w:rPr>
          <w:spacing w:val="33"/>
        </w:rPr>
        <w:t xml:space="preserve"> </w:t>
      </w:r>
      <w:r>
        <w:rPr>
          <w:spacing w:val="-1"/>
        </w:rPr>
        <w:t>however,</w:t>
      </w:r>
      <w:r>
        <w:rPr>
          <w:spacing w:val="33"/>
        </w:rPr>
        <w:t xml:space="preserve"> </w:t>
      </w:r>
      <w:r>
        <w:rPr>
          <w:spacing w:val="-1"/>
        </w:rPr>
        <w:t>be</w:t>
      </w:r>
      <w:r>
        <w:rPr>
          <w:spacing w:val="31"/>
        </w:rPr>
        <w:t xml:space="preserve"> </w:t>
      </w:r>
      <w:r>
        <w:rPr>
          <w:spacing w:val="-2"/>
        </w:rPr>
        <w:t>provided</w:t>
      </w:r>
      <w:r>
        <w:rPr>
          <w:spacing w:val="31"/>
        </w:rPr>
        <w:t xml:space="preserve"> </w:t>
      </w:r>
      <w:r>
        <w:t>for</w:t>
      </w:r>
      <w:r>
        <w:rPr>
          <w:spacing w:val="33"/>
        </w:rPr>
        <w:t xml:space="preserve"> </w:t>
      </w:r>
      <w:r>
        <w:rPr>
          <w:spacing w:val="-1"/>
        </w:rPr>
        <w:t>dependants</w:t>
      </w:r>
      <w:r>
        <w:rPr>
          <w:spacing w:val="33"/>
        </w:rPr>
        <w:t xml:space="preserve"> </w:t>
      </w:r>
      <w:r>
        <w:rPr>
          <w:spacing w:val="-2"/>
        </w:rPr>
        <w:t>or</w:t>
      </w:r>
      <w:r>
        <w:rPr>
          <w:spacing w:val="31"/>
        </w:rPr>
        <w:t xml:space="preserve"> </w:t>
      </w:r>
      <w:r>
        <w:rPr>
          <w:spacing w:val="-1"/>
        </w:rPr>
        <w:t>members</w:t>
      </w:r>
      <w:r>
        <w:rPr>
          <w:spacing w:val="27"/>
        </w:rPr>
        <w:t xml:space="preserve"> </w:t>
      </w:r>
      <w:r>
        <w:rPr>
          <w:spacing w:val="-2"/>
        </w:rPr>
        <w:t>of</w:t>
      </w:r>
      <w:r>
        <w:rPr>
          <w:spacing w:val="26"/>
        </w:rPr>
        <w:t xml:space="preserve"> </w:t>
      </w:r>
      <w:r>
        <w:rPr>
          <w:spacing w:val="-1"/>
        </w:rPr>
        <w:t>families</w:t>
      </w:r>
      <w:r>
        <w:rPr>
          <w:spacing w:val="27"/>
        </w:rPr>
        <w:t xml:space="preserve"> </w:t>
      </w:r>
      <w:r>
        <w:rPr>
          <w:spacing w:val="-1"/>
        </w:rPr>
        <w:t>on</w:t>
      </w:r>
      <w:r>
        <w:rPr>
          <w:spacing w:val="27"/>
        </w:rPr>
        <w:t xml:space="preserve"> </w:t>
      </w:r>
      <w:r>
        <w:rPr>
          <w:spacing w:val="-1"/>
        </w:rPr>
        <w:t>repayment</w:t>
      </w:r>
      <w:r>
        <w:rPr>
          <w:spacing w:val="28"/>
        </w:rPr>
        <w:t xml:space="preserve"> </w:t>
      </w:r>
      <w:r>
        <w:rPr>
          <w:spacing w:val="-2"/>
        </w:rPr>
        <w:t>at</w:t>
      </w:r>
      <w:r>
        <w:rPr>
          <w:spacing w:val="28"/>
        </w:rPr>
        <w:t xml:space="preserve"> </w:t>
      </w:r>
      <w:r>
        <w:rPr>
          <w:spacing w:val="-1"/>
        </w:rPr>
        <w:t>current</w:t>
      </w:r>
      <w:r>
        <w:rPr>
          <w:spacing w:val="28"/>
        </w:rPr>
        <w:t xml:space="preserve"> </w:t>
      </w:r>
      <w:r>
        <w:rPr>
          <w:spacing w:val="-2"/>
        </w:rPr>
        <w:t>Ministry</w:t>
      </w:r>
      <w:r>
        <w:rPr>
          <w:spacing w:val="25"/>
        </w:rPr>
        <w:t xml:space="preserve"> </w:t>
      </w:r>
      <w:r>
        <w:rPr>
          <w:spacing w:val="-2"/>
        </w:rPr>
        <w:t>of</w:t>
      </w:r>
      <w:r>
        <w:rPr>
          <w:spacing w:val="35"/>
        </w:rPr>
        <w:t xml:space="preserve"> </w:t>
      </w:r>
      <w:r>
        <w:rPr>
          <w:spacing w:val="-1"/>
        </w:rPr>
        <w:t>Defence</w:t>
      </w:r>
      <w:r>
        <w:rPr>
          <w:spacing w:val="-2"/>
        </w:rPr>
        <w:t xml:space="preserve"> </w:t>
      </w:r>
      <w:r>
        <w:rPr>
          <w:spacing w:val="-1"/>
        </w:rPr>
        <w:t>rates.</w:t>
      </w:r>
    </w:p>
    <w:p w:rsidR="008918FA" w:rsidRDefault="008918FA" w:rsidP="008918FA">
      <w:pPr>
        <w:spacing w:before="11"/>
        <w:rPr>
          <w:rFonts w:ascii="Arial" w:eastAsia="Arial" w:hAnsi="Arial" w:cs="Arial"/>
          <w:sz w:val="20"/>
          <w:szCs w:val="20"/>
        </w:rPr>
      </w:pPr>
    </w:p>
    <w:p w:rsidR="008918FA" w:rsidRDefault="008918FA" w:rsidP="008918FA">
      <w:pPr>
        <w:pStyle w:val="BodyText"/>
        <w:numPr>
          <w:ilvl w:val="2"/>
          <w:numId w:val="1"/>
        </w:numPr>
        <w:tabs>
          <w:tab w:val="left" w:pos="3703"/>
        </w:tabs>
        <w:spacing w:before="0"/>
        <w:ind w:left="3702" w:right="112"/>
        <w:jc w:val="both"/>
      </w:pPr>
      <w:r>
        <w:t>The</w:t>
      </w:r>
      <w:r>
        <w:rPr>
          <w:spacing w:val="27"/>
        </w:rPr>
        <w:t xml:space="preserve"> </w:t>
      </w:r>
      <w:r>
        <w:rPr>
          <w:spacing w:val="-2"/>
        </w:rPr>
        <w:t>Supplier</w:t>
      </w:r>
      <w:r>
        <w:rPr>
          <w:spacing w:val="28"/>
        </w:rPr>
        <w:t xml:space="preserve"> </w:t>
      </w:r>
      <w:r>
        <w:rPr>
          <w:spacing w:val="-1"/>
        </w:rPr>
        <w:t>shall,</w:t>
      </w:r>
      <w:r>
        <w:rPr>
          <w:spacing w:val="28"/>
        </w:rPr>
        <w:t xml:space="preserve"> </w:t>
      </w:r>
      <w:r>
        <w:rPr>
          <w:spacing w:val="-2"/>
        </w:rPr>
        <w:t>wherever</w:t>
      </w:r>
      <w:r>
        <w:rPr>
          <w:spacing w:val="28"/>
        </w:rPr>
        <w:t xml:space="preserve"> </w:t>
      </w:r>
      <w:r>
        <w:rPr>
          <w:spacing w:val="-1"/>
        </w:rPr>
        <w:t>possible,</w:t>
      </w:r>
      <w:r>
        <w:rPr>
          <w:spacing w:val="28"/>
        </w:rPr>
        <w:t xml:space="preserve"> </w:t>
      </w:r>
      <w:r>
        <w:rPr>
          <w:spacing w:val="-1"/>
        </w:rPr>
        <w:t>arrange</w:t>
      </w:r>
      <w:r>
        <w:rPr>
          <w:spacing w:val="24"/>
        </w:rPr>
        <w:t xml:space="preserve"> </w:t>
      </w:r>
      <w:r>
        <w:t>for</w:t>
      </w:r>
      <w:r>
        <w:rPr>
          <w:spacing w:val="26"/>
        </w:rPr>
        <w:t xml:space="preserve"> </w:t>
      </w:r>
      <w:r>
        <w:rPr>
          <w:spacing w:val="-1"/>
        </w:rPr>
        <w:t>funds</w:t>
      </w:r>
      <w:r>
        <w:rPr>
          <w:spacing w:val="41"/>
        </w:rPr>
        <w:t xml:space="preserve"> </w:t>
      </w:r>
      <w:r>
        <w:t>to</w:t>
      </w:r>
      <w:r>
        <w:rPr>
          <w:spacing w:val="55"/>
        </w:rPr>
        <w:t xml:space="preserve"> </w:t>
      </w:r>
      <w:r>
        <w:rPr>
          <w:spacing w:val="-1"/>
        </w:rPr>
        <w:t>be</w:t>
      </w:r>
      <w:r>
        <w:rPr>
          <w:spacing w:val="55"/>
        </w:rPr>
        <w:t xml:space="preserve"> </w:t>
      </w:r>
      <w:r>
        <w:rPr>
          <w:spacing w:val="-2"/>
        </w:rPr>
        <w:t>provided</w:t>
      </w:r>
      <w:r>
        <w:rPr>
          <w:spacing w:val="55"/>
        </w:rPr>
        <w:t xml:space="preserve"> </w:t>
      </w:r>
      <w:r>
        <w:t>to</w:t>
      </w:r>
      <w:r>
        <w:rPr>
          <w:spacing w:val="55"/>
        </w:rPr>
        <w:t xml:space="preserve"> </w:t>
      </w:r>
      <w:r>
        <w:rPr>
          <w:spacing w:val="-1"/>
        </w:rPr>
        <w:t>its</w:t>
      </w:r>
      <w:r>
        <w:rPr>
          <w:spacing w:val="56"/>
        </w:rPr>
        <w:t xml:space="preserve"> </w:t>
      </w:r>
      <w:r>
        <w:rPr>
          <w:spacing w:val="-1"/>
        </w:rPr>
        <w:t>representatives</w:t>
      </w:r>
      <w:r>
        <w:rPr>
          <w:spacing w:val="56"/>
        </w:rPr>
        <w:t xml:space="preserve"> </w:t>
      </w:r>
      <w:r>
        <w:rPr>
          <w:spacing w:val="-1"/>
        </w:rPr>
        <w:t>overseas</w:t>
      </w:r>
      <w:r>
        <w:rPr>
          <w:spacing w:val="59"/>
        </w:rPr>
        <w:t xml:space="preserve"> </w:t>
      </w:r>
      <w:r>
        <w:rPr>
          <w:spacing w:val="-1"/>
        </w:rPr>
        <w:t>through</w:t>
      </w:r>
      <w:r>
        <w:rPr>
          <w:spacing w:val="40"/>
        </w:rPr>
        <w:t xml:space="preserve"> </w:t>
      </w:r>
      <w:r>
        <w:rPr>
          <w:spacing w:val="-1"/>
        </w:rPr>
        <w:t>normal</w:t>
      </w:r>
      <w:r>
        <w:rPr>
          <w:spacing w:val="17"/>
        </w:rPr>
        <w:t xml:space="preserve"> </w:t>
      </w:r>
      <w:r>
        <w:rPr>
          <w:spacing w:val="-2"/>
        </w:rPr>
        <w:t>banking</w:t>
      </w:r>
      <w:r>
        <w:rPr>
          <w:spacing w:val="20"/>
        </w:rPr>
        <w:t xml:space="preserve"> </w:t>
      </w:r>
      <w:r>
        <w:rPr>
          <w:spacing w:val="-2"/>
        </w:rPr>
        <w:t>channels</w:t>
      </w:r>
      <w:r>
        <w:rPr>
          <w:spacing w:val="18"/>
        </w:rPr>
        <w:t xml:space="preserve"> </w:t>
      </w:r>
      <w:r>
        <w:rPr>
          <w:spacing w:val="-1"/>
        </w:rPr>
        <w:t>(e.g.</w:t>
      </w:r>
      <w:r>
        <w:rPr>
          <w:spacing w:val="19"/>
        </w:rPr>
        <w:t xml:space="preserve"> </w:t>
      </w:r>
      <w:r>
        <w:rPr>
          <w:spacing w:val="-1"/>
        </w:rPr>
        <w:t>by</w:t>
      </w:r>
      <w:r>
        <w:rPr>
          <w:spacing w:val="15"/>
        </w:rPr>
        <w:t xml:space="preserve"> </w:t>
      </w:r>
      <w:r>
        <w:rPr>
          <w:spacing w:val="-2"/>
        </w:rPr>
        <w:t>travellers'</w:t>
      </w:r>
      <w:r>
        <w:rPr>
          <w:spacing w:val="19"/>
        </w:rPr>
        <w:t xml:space="preserve"> </w:t>
      </w:r>
      <w:r>
        <w:rPr>
          <w:spacing w:val="-1"/>
        </w:rPr>
        <w:t>cheques).</w:t>
      </w:r>
      <w:r>
        <w:rPr>
          <w:spacing w:val="32"/>
        </w:rPr>
        <w:t xml:space="preserve"> </w:t>
      </w:r>
      <w:r>
        <w:rPr>
          <w:spacing w:val="-1"/>
        </w:rPr>
        <w:t>If</w:t>
      </w:r>
      <w:r>
        <w:rPr>
          <w:spacing w:val="59"/>
        </w:rPr>
        <w:t xml:space="preserve"> </w:t>
      </w:r>
      <w:r>
        <w:rPr>
          <w:spacing w:val="-1"/>
        </w:rPr>
        <w:t>banking</w:t>
      </w:r>
      <w:r>
        <w:rPr>
          <w:spacing w:val="39"/>
        </w:rPr>
        <w:t xml:space="preserve"> </w:t>
      </w:r>
      <w:r>
        <w:rPr>
          <w:spacing w:val="-2"/>
        </w:rPr>
        <w:t>or</w:t>
      </w:r>
      <w:r>
        <w:rPr>
          <w:spacing w:val="38"/>
        </w:rPr>
        <w:t xml:space="preserve"> </w:t>
      </w:r>
      <w:r>
        <w:rPr>
          <w:spacing w:val="-1"/>
        </w:rPr>
        <w:t>other</w:t>
      </w:r>
      <w:r>
        <w:rPr>
          <w:spacing w:val="35"/>
        </w:rPr>
        <w:t xml:space="preserve"> </w:t>
      </w:r>
      <w:r>
        <w:rPr>
          <w:spacing w:val="-1"/>
        </w:rPr>
        <w:t>suitable</w:t>
      </w:r>
      <w:r>
        <w:rPr>
          <w:spacing w:val="34"/>
        </w:rPr>
        <w:t xml:space="preserve"> </w:t>
      </w:r>
      <w:r>
        <w:rPr>
          <w:spacing w:val="-1"/>
        </w:rPr>
        <w:t>facilities</w:t>
      </w:r>
      <w:r>
        <w:rPr>
          <w:spacing w:val="37"/>
        </w:rPr>
        <w:t xml:space="preserve"> </w:t>
      </w:r>
      <w:r>
        <w:t>are</w:t>
      </w:r>
      <w:r>
        <w:rPr>
          <w:spacing w:val="34"/>
        </w:rPr>
        <w:t xml:space="preserve"> </w:t>
      </w:r>
      <w:r>
        <w:rPr>
          <w:spacing w:val="-1"/>
        </w:rPr>
        <w:t>not</w:t>
      </w:r>
      <w:r>
        <w:rPr>
          <w:spacing w:val="39"/>
        </w:rPr>
        <w:t xml:space="preserve"> </w:t>
      </w:r>
      <w:r>
        <w:rPr>
          <w:spacing w:val="-2"/>
        </w:rPr>
        <w:t>available,</w:t>
      </w:r>
      <w:r>
        <w:rPr>
          <w:spacing w:val="38"/>
        </w:rPr>
        <w:t xml:space="preserve"> </w:t>
      </w:r>
      <w:r>
        <w:rPr>
          <w:spacing w:val="-1"/>
        </w:rPr>
        <w:t>the</w:t>
      </w:r>
      <w:r>
        <w:rPr>
          <w:spacing w:val="37"/>
        </w:rPr>
        <w:t xml:space="preserve"> </w:t>
      </w:r>
      <w:r>
        <w:rPr>
          <w:spacing w:val="-1"/>
        </w:rPr>
        <w:t>Customer</w:t>
      </w:r>
      <w:r>
        <w:rPr>
          <w:spacing w:val="9"/>
        </w:rPr>
        <w:t xml:space="preserve"> </w:t>
      </w:r>
      <w:r>
        <w:rPr>
          <w:spacing w:val="-1"/>
        </w:rPr>
        <w:t>shall,</w:t>
      </w:r>
      <w:r>
        <w:rPr>
          <w:spacing w:val="7"/>
        </w:rPr>
        <w:t xml:space="preserve"> </w:t>
      </w:r>
      <w:r>
        <w:rPr>
          <w:spacing w:val="-1"/>
        </w:rPr>
        <w:t>upon</w:t>
      </w:r>
      <w:r>
        <w:rPr>
          <w:spacing w:val="5"/>
        </w:rPr>
        <w:t xml:space="preserve"> </w:t>
      </w:r>
      <w:r>
        <w:rPr>
          <w:spacing w:val="-1"/>
        </w:rPr>
        <w:t>request</w:t>
      </w:r>
      <w:r>
        <w:rPr>
          <w:spacing w:val="9"/>
        </w:rPr>
        <w:t xml:space="preserve"> </w:t>
      </w:r>
      <w:r>
        <w:rPr>
          <w:spacing w:val="-1"/>
        </w:rPr>
        <w:t>by</w:t>
      </w:r>
      <w:r>
        <w:rPr>
          <w:spacing w:val="5"/>
        </w:rPr>
        <w:t xml:space="preserve"> </w:t>
      </w:r>
      <w:r>
        <w:t>the</w:t>
      </w:r>
      <w:r>
        <w:rPr>
          <w:spacing w:val="5"/>
        </w:rPr>
        <w:t xml:space="preserve"> </w:t>
      </w:r>
      <w:r>
        <w:rPr>
          <w:spacing w:val="-2"/>
        </w:rPr>
        <w:t>Supplier</w:t>
      </w:r>
      <w:r>
        <w:rPr>
          <w:spacing w:val="9"/>
        </w:rPr>
        <w:t xml:space="preserve"> </w:t>
      </w:r>
      <w:r>
        <w:rPr>
          <w:spacing w:val="-2"/>
        </w:rPr>
        <w:t>and</w:t>
      </w:r>
      <w:r>
        <w:rPr>
          <w:spacing w:val="7"/>
        </w:rPr>
        <w:t xml:space="preserve"> </w:t>
      </w:r>
      <w:r>
        <w:rPr>
          <w:spacing w:val="-1"/>
        </w:rPr>
        <w:t>subject</w:t>
      </w:r>
      <w:r>
        <w:rPr>
          <w:spacing w:val="31"/>
        </w:rPr>
        <w:t xml:space="preserve"> </w:t>
      </w:r>
      <w:r>
        <w:t>to</w:t>
      </w:r>
      <w:r>
        <w:rPr>
          <w:spacing w:val="29"/>
        </w:rPr>
        <w:t xml:space="preserve"> </w:t>
      </w:r>
      <w:r>
        <w:rPr>
          <w:spacing w:val="-1"/>
        </w:rPr>
        <w:t>any</w:t>
      </w:r>
      <w:r>
        <w:rPr>
          <w:spacing w:val="27"/>
        </w:rPr>
        <w:t xml:space="preserve"> </w:t>
      </w:r>
      <w:r>
        <w:rPr>
          <w:spacing w:val="-1"/>
        </w:rPr>
        <w:t>limitation</w:t>
      </w:r>
      <w:r>
        <w:rPr>
          <w:spacing w:val="29"/>
        </w:rPr>
        <w:t xml:space="preserve"> </w:t>
      </w:r>
      <w:r>
        <w:rPr>
          <w:spacing w:val="-1"/>
        </w:rPr>
        <w:t>required</w:t>
      </w:r>
      <w:r>
        <w:rPr>
          <w:spacing w:val="29"/>
        </w:rPr>
        <w:t xml:space="preserve"> </w:t>
      </w:r>
      <w:r>
        <w:rPr>
          <w:spacing w:val="-1"/>
        </w:rPr>
        <w:t>by</w:t>
      </w:r>
      <w:r>
        <w:rPr>
          <w:spacing w:val="27"/>
        </w:rPr>
        <w:t xml:space="preserve"> </w:t>
      </w:r>
      <w:r>
        <w:t>the</w:t>
      </w:r>
      <w:r>
        <w:rPr>
          <w:spacing w:val="29"/>
        </w:rPr>
        <w:t xml:space="preserve"> </w:t>
      </w:r>
      <w:r>
        <w:rPr>
          <w:spacing w:val="-1"/>
        </w:rPr>
        <w:t>Supplier,</w:t>
      </w:r>
      <w:r>
        <w:rPr>
          <w:spacing w:val="28"/>
        </w:rPr>
        <w:t xml:space="preserve"> </w:t>
      </w:r>
      <w:r>
        <w:rPr>
          <w:spacing w:val="-2"/>
        </w:rPr>
        <w:t>make</w:t>
      </w:r>
      <w:r>
        <w:rPr>
          <w:spacing w:val="28"/>
        </w:rPr>
        <w:t xml:space="preserve"> </w:t>
      </w:r>
      <w:r>
        <w:rPr>
          <w:spacing w:val="-1"/>
        </w:rPr>
        <w:t>arrangements</w:t>
      </w:r>
      <w:r>
        <w:rPr>
          <w:spacing w:val="39"/>
        </w:rPr>
        <w:t xml:space="preserve"> </w:t>
      </w:r>
      <w:r>
        <w:t>for</w:t>
      </w:r>
      <w:r>
        <w:rPr>
          <w:spacing w:val="42"/>
        </w:rPr>
        <w:t xml:space="preserve"> </w:t>
      </w:r>
      <w:r>
        <w:rPr>
          <w:spacing w:val="-1"/>
        </w:rPr>
        <w:t>payments,</w:t>
      </w:r>
      <w:r>
        <w:rPr>
          <w:spacing w:val="43"/>
        </w:rPr>
        <w:t xml:space="preserve"> </w:t>
      </w:r>
      <w:r>
        <w:rPr>
          <w:spacing w:val="-1"/>
        </w:rPr>
        <w:t>converted</w:t>
      </w:r>
      <w:r>
        <w:rPr>
          <w:spacing w:val="41"/>
        </w:rPr>
        <w:t xml:space="preserve"> </w:t>
      </w:r>
      <w:r>
        <w:rPr>
          <w:spacing w:val="-2"/>
        </w:rPr>
        <w:t>at</w:t>
      </w:r>
      <w:r>
        <w:rPr>
          <w:spacing w:val="42"/>
        </w:rPr>
        <w:t xml:space="preserve"> </w:t>
      </w:r>
      <w:r>
        <w:t>the</w:t>
      </w:r>
      <w:r>
        <w:rPr>
          <w:spacing w:val="38"/>
        </w:rPr>
        <w:t xml:space="preserve"> </w:t>
      </w:r>
      <w:r>
        <w:rPr>
          <w:spacing w:val="-2"/>
        </w:rPr>
        <w:t>prevailing</w:t>
      </w:r>
      <w:r>
        <w:rPr>
          <w:spacing w:val="30"/>
        </w:rPr>
        <w:t xml:space="preserve"> </w:t>
      </w:r>
      <w:r>
        <w:t>rate</w:t>
      </w:r>
      <w:r>
        <w:rPr>
          <w:spacing w:val="34"/>
        </w:rPr>
        <w:t xml:space="preserve"> </w:t>
      </w:r>
      <w:r>
        <w:rPr>
          <w:spacing w:val="-2"/>
        </w:rPr>
        <w:t>of</w:t>
      </w:r>
      <w:r>
        <w:rPr>
          <w:spacing w:val="38"/>
        </w:rPr>
        <w:t xml:space="preserve"> </w:t>
      </w:r>
      <w:r>
        <w:rPr>
          <w:spacing w:val="-1"/>
        </w:rPr>
        <w:t>exchange</w:t>
      </w:r>
      <w:r>
        <w:rPr>
          <w:spacing w:val="34"/>
        </w:rPr>
        <w:t xml:space="preserve"> </w:t>
      </w:r>
      <w:r>
        <w:rPr>
          <w:spacing w:val="-1"/>
        </w:rPr>
        <w:t>(where</w:t>
      </w:r>
      <w:r>
        <w:rPr>
          <w:spacing w:val="34"/>
        </w:rPr>
        <w:t xml:space="preserve"> </w:t>
      </w:r>
      <w:r>
        <w:rPr>
          <w:spacing w:val="-1"/>
        </w:rPr>
        <w:t>applicable),</w:t>
      </w:r>
      <w:r>
        <w:rPr>
          <w:spacing w:val="35"/>
        </w:rPr>
        <w:t xml:space="preserve"> </w:t>
      </w:r>
      <w:r>
        <w:t>to</w:t>
      </w:r>
      <w:r>
        <w:rPr>
          <w:spacing w:val="34"/>
        </w:rPr>
        <w:t xml:space="preserve"> </w:t>
      </w:r>
      <w:r>
        <w:rPr>
          <w:spacing w:val="-1"/>
        </w:rPr>
        <w:t>be</w:t>
      </w:r>
      <w:r>
        <w:rPr>
          <w:spacing w:val="35"/>
        </w:rPr>
        <w:t xml:space="preserve"> </w:t>
      </w:r>
      <w:r>
        <w:rPr>
          <w:spacing w:val="-1"/>
        </w:rPr>
        <w:t>made</w:t>
      </w:r>
      <w:r>
        <w:rPr>
          <w:spacing w:val="34"/>
        </w:rPr>
        <w:t xml:space="preserve"> </w:t>
      </w:r>
      <w:r>
        <w:rPr>
          <w:spacing w:val="-1"/>
        </w:rPr>
        <w:t>at</w:t>
      </w:r>
      <w:r>
        <w:rPr>
          <w:spacing w:val="35"/>
        </w:rPr>
        <w:t xml:space="preserve"> </w:t>
      </w:r>
      <w:r>
        <w:rPr>
          <w:spacing w:val="-1"/>
        </w:rPr>
        <w:t>the</w:t>
      </w:r>
      <w:r>
        <w:rPr>
          <w:spacing w:val="27"/>
        </w:rPr>
        <w:t xml:space="preserve"> </w:t>
      </w:r>
      <w:r>
        <w:rPr>
          <w:spacing w:val="-1"/>
        </w:rPr>
        <w:t>Site</w:t>
      </w:r>
      <w:r>
        <w:rPr>
          <w:spacing w:val="15"/>
        </w:rPr>
        <w:t xml:space="preserve"> </w:t>
      </w:r>
      <w:r>
        <w:t>to</w:t>
      </w:r>
      <w:r>
        <w:rPr>
          <w:spacing w:val="15"/>
        </w:rPr>
        <w:t xml:space="preserve"> </w:t>
      </w:r>
      <w:r>
        <w:rPr>
          <w:spacing w:val="-2"/>
        </w:rPr>
        <w:t>which</w:t>
      </w:r>
      <w:r>
        <w:rPr>
          <w:spacing w:val="15"/>
        </w:rPr>
        <w:t xml:space="preserve"> </w:t>
      </w:r>
      <w:r>
        <w:t>the</w:t>
      </w:r>
      <w:r>
        <w:rPr>
          <w:spacing w:val="15"/>
        </w:rPr>
        <w:t xml:space="preserve"> </w:t>
      </w:r>
      <w:r>
        <w:rPr>
          <w:spacing w:val="-1"/>
        </w:rPr>
        <w:t>Supplier's</w:t>
      </w:r>
      <w:r>
        <w:rPr>
          <w:spacing w:val="13"/>
        </w:rPr>
        <w:t xml:space="preserve"> </w:t>
      </w:r>
      <w:r>
        <w:rPr>
          <w:spacing w:val="-1"/>
        </w:rPr>
        <w:t>representatives</w:t>
      </w:r>
      <w:r>
        <w:rPr>
          <w:spacing w:val="15"/>
        </w:rPr>
        <w:t xml:space="preserve"> </w:t>
      </w:r>
      <w:r>
        <w:rPr>
          <w:spacing w:val="-1"/>
        </w:rPr>
        <w:t>are</w:t>
      </w:r>
      <w:r>
        <w:rPr>
          <w:spacing w:val="12"/>
        </w:rPr>
        <w:t xml:space="preserve"> </w:t>
      </w:r>
      <w:r>
        <w:rPr>
          <w:spacing w:val="-1"/>
        </w:rPr>
        <w:t>attached.</w:t>
      </w:r>
      <w:r>
        <w:rPr>
          <w:spacing w:val="25"/>
        </w:rPr>
        <w:t xml:space="preserve"> </w:t>
      </w:r>
      <w:r>
        <w:rPr>
          <w:spacing w:val="-1"/>
        </w:rPr>
        <w:t>All</w:t>
      </w:r>
      <w:r>
        <w:rPr>
          <w:spacing w:val="34"/>
        </w:rPr>
        <w:t xml:space="preserve"> </w:t>
      </w:r>
      <w:r>
        <w:rPr>
          <w:spacing w:val="-1"/>
        </w:rPr>
        <w:t>such</w:t>
      </w:r>
      <w:r>
        <w:rPr>
          <w:spacing w:val="35"/>
        </w:rPr>
        <w:t xml:space="preserve"> </w:t>
      </w:r>
      <w:r>
        <w:rPr>
          <w:spacing w:val="-1"/>
        </w:rPr>
        <w:t>advances</w:t>
      </w:r>
      <w:r>
        <w:rPr>
          <w:spacing w:val="35"/>
        </w:rPr>
        <w:t xml:space="preserve"> </w:t>
      </w:r>
      <w:r>
        <w:rPr>
          <w:spacing w:val="-1"/>
        </w:rPr>
        <w:t>made</w:t>
      </w:r>
      <w:r>
        <w:rPr>
          <w:spacing w:val="35"/>
        </w:rPr>
        <w:t xml:space="preserve"> </w:t>
      </w:r>
      <w:r>
        <w:rPr>
          <w:spacing w:val="-1"/>
        </w:rPr>
        <w:t>by</w:t>
      </w:r>
      <w:r>
        <w:rPr>
          <w:spacing w:val="33"/>
        </w:rPr>
        <w:t xml:space="preserve"> </w:t>
      </w:r>
      <w:r>
        <w:t>the</w:t>
      </w:r>
      <w:r>
        <w:rPr>
          <w:spacing w:val="35"/>
        </w:rPr>
        <w:t xml:space="preserve"> </w:t>
      </w:r>
      <w:r>
        <w:rPr>
          <w:spacing w:val="-2"/>
        </w:rPr>
        <w:t>Customer</w:t>
      </w:r>
      <w:r>
        <w:rPr>
          <w:spacing w:val="35"/>
        </w:rPr>
        <w:t xml:space="preserve"> </w:t>
      </w:r>
      <w:r>
        <w:rPr>
          <w:spacing w:val="-1"/>
        </w:rPr>
        <w:t>shall</w:t>
      </w:r>
      <w:r>
        <w:rPr>
          <w:spacing w:val="34"/>
        </w:rPr>
        <w:t xml:space="preserve"> </w:t>
      </w:r>
      <w:r>
        <w:rPr>
          <w:spacing w:val="-1"/>
        </w:rPr>
        <w:t>be</w:t>
      </w:r>
      <w:r>
        <w:rPr>
          <w:spacing w:val="22"/>
        </w:rPr>
        <w:t xml:space="preserve"> </w:t>
      </w:r>
      <w:r>
        <w:rPr>
          <w:spacing w:val="-1"/>
        </w:rPr>
        <w:t>recovered</w:t>
      </w:r>
      <w:r>
        <w:rPr>
          <w:spacing w:val="-2"/>
        </w:rPr>
        <w:t xml:space="preserve"> </w:t>
      </w:r>
      <w:r>
        <w:rPr>
          <w:spacing w:val="-1"/>
        </w:rPr>
        <w:t>from the</w:t>
      </w:r>
      <w:r>
        <w:t xml:space="preserve"> </w:t>
      </w:r>
      <w:r>
        <w:rPr>
          <w:spacing w:val="-2"/>
        </w:rPr>
        <w:t>Supplier.</w:t>
      </w:r>
    </w:p>
    <w:p w:rsidR="008918FA" w:rsidRDefault="008918FA" w:rsidP="008918FA">
      <w:pPr>
        <w:spacing w:before="6"/>
        <w:rPr>
          <w:rFonts w:ascii="Arial" w:eastAsia="Arial" w:hAnsi="Arial" w:cs="Arial"/>
          <w:sz w:val="14"/>
          <w:szCs w:val="14"/>
        </w:rPr>
      </w:pPr>
    </w:p>
    <w:p w:rsidR="008918FA" w:rsidRDefault="008918FA" w:rsidP="008918FA">
      <w:pPr>
        <w:pStyle w:val="BodyText"/>
        <w:numPr>
          <w:ilvl w:val="1"/>
          <w:numId w:val="4"/>
        </w:numPr>
        <w:tabs>
          <w:tab w:val="left" w:pos="1229"/>
        </w:tabs>
        <w:spacing w:before="72"/>
        <w:ind w:left="1228"/>
      </w:pPr>
      <w:r>
        <w:rPr>
          <w:noProof/>
          <w:lang w:eastAsia="en-GB"/>
        </w:rPr>
        <mc:AlternateContent>
          <mc:Choice Requires="wpg">
            <w:drawing>
              <wp:anchor distT="0" distB="0" distL="114300" distR="114300" simplePos="0" relativeHeight="251661312" behindDoc="0" locked="0" layoutInCell="1" allowOverlap="1" wp14:anchorId="2980D0A1" wp14:editId="4DD069F5">
                <wp:simplePos x="0" y="0"/>
                <wp:positionH relativeFrom="page">
                  <wp:posOffset>804545</wp:posOffset>
                </wp:positionH>
                <wp:positionV relativeFrom="paragraph">
                  <wp:posOffset>285115</wp:posOffset>
                </wp:positionV>
                <wp:extent cx="1270" cy="474345"/>
                <wp:effectExtent l="13970" t="8890" r="13335" b="12065"/>
                <wp:wrapNone/>
                <wp:docPr id="12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4345"/>
                          <a:chOff x="1267" y="449"/>
                          <a:chExt cx="2" cy="747"/>
                        </a:xfrm>
                      </wpg:grpSpPr>
                      <wps:wsp>
                        <wps:cNvPr id="121" name="Freeform 113"/>
                        <wps:cNvSpPr>
                          <a:spLocks/>
                        </wps:cNvSpPr>
                        <wps:spPr bwMode="auto">
                          <a:xfrm>
                            <a:off x="1267" y="449"/>
                            <a:ext cx="2" cy="747"/>
                          </a:xfrm>
                          <a:custGeom>
                            <a:avLst/>
                            <a:gdLst>
                              <a:gd name="T0" fmla="+- 0 449 449"/>
                              <a:gd name="T1" fmla="*/ 449 h 747"/>
                              <a:gd name="T2" fmla="+- 0 1195 449"/>
                              <a:gd name="T3" fmla="*/ 1195 h 747"/>
                            </a:gdLst>
                            <a:ahLst/>
                            <a:cxnLst>
                              <a:cxn ang="0">
                                <a:pos x="0" y="T1"/>
                              </a:cxn>
                              <a:cxn ang="0">
                                <a:pos x="0" y="T3"/>
                              </a:cxn>
                            </a:cxnLst>
                            <a:rect l="0" t="0" r="r" b="b"/>
                            <a:pathLst>
                              <a:path h="747">
                                <a:moveTo>
                                  <a:pt x="0" y="0"/>
                                </a:moveTo>
                                <a:lnTo>
                                  <a:pt x="0" y="7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EF46C" id="Group 112" o:spid="_x0000_s1026" style="position:absolute;margin-left:63.35pt;margin-top:22.45pt;width:.1pt;height:37.35pt;z-index:251661312;mso-position-horizontal-relative:page" coordorigin="1267,449" coordsize="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">
                <v:shape id="Freeform 113" o:spid="_x0000_s1027" style="position:absolute;left:1267;top:449;width:2;height:7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hasIA&#10;AADcAAAADwAAAGRycy9kb3ducmV2LnhtbERPzWqDQBC+F/oOyxRyKc2qgSZYVymFhCQ3TR9g6k5U&#10;6s6KuzXm7bOBQG/z8f1OVsymFxONrrOsIF5GIIhrqztuFHyftm8bEM4ja+wtk4IrOSjy56cMU20v&#10;XNJU+UaEEHYpKmi9H1IpXd2SQbe0A3HgznY06AMcG6lHvIRw08skit6lwY5DQ4sDfbVU/1Z/RsEr&#10;N8k1Ppay6txuczjXP+XKrZVavMyfHyA8zf5f/HDvdZifxHB/Jlw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uFqwgAAANwAAAAPAAAAAAAAAAAAAAAAAJgCAABkcnMvZG93&#10;bnJldi54bWxQSwUGAAAAAAQABAD1AAAAhwMAAAAA&#10;" path="m,l,746e" filled="f" strokeweight=".82pt">
                  <v:path arrowok="t" o:connecttype="custom" o:connectlocs="0,449;0,1195" o:connectangles="0,0"/>
                </v:shape>
                <w10:wrap anchorx="page"/>
              </v:group>
            </w:pict>
          </mc:Fallback>
        </mc:AlternateContent>
      </w:r>
      <w:r>
        <w:t>The</w:t>
      </w:r>
      <w:r>
        <w:rPr>
          <w:spacing w:val="-4"/>
        </w:rPr>
        <w:t xml:space="preserve"> </w:t>
      </w:r>
      <w:r>
        <w:rPr>
          <w:spacing w:val="-2"/>
        </w:rPr>
        <w:t>following</w:t>
      </w:r>
      <w:r>
        <w:rPr>
          <w:spacing w:val="3"/>
        </w:rPr>
        <w:t xml:space="preserve"> </w:t>
      </w:r>
      <w:r>
        <w:rPr>
          <w:spacing w:val="-1"/>
        </w:rPr>
        <w:t>new</w:t>
      </w:r>
      <w:r>
        <w:rPr>
          <w:spacing w:val="-2"/>
        </w:rPr>
        <w:t xml:space="preserve"> Call</w:t>
      </w:r>
      <w:r>
        <w:t xml:space="preserve"> Off</w:t>
      </w:r>
      <w:r>
        <w:rPr>
          <w:spacing w:val="2"/>
        </w:rPr>
        <w:t xml:space="preserve"> </w:t>
      </w:r>
      <w:r>
        <w:rPr>
          <w:spacing w:val="-2"/>
        </w:rPr>
        <w:t>Schedule</w:t>
      </w:r>
      <w:r>
        <w:t xml:space="preserve"> </w:t>
      </w:r>
      <w:r>
        <w:rPr>
          <w:spacing w:val="-1"/>
          <w:highlight w:val="yellow"/>
        </w:rPr>
        <w:t>[15]</w:t>
      </w:r>
      <w:r>
        <w:rPr>
          <w:highlight w:val="yellow"/>
        </w:rPr>
        <w:t xml:space="preserve"> </w:t>
      </w:r>
      <w:r>
        <w:rPr>
          <w:spacing w:val="-1"/>
        </w:rPr>
        <w:t>shall</w:t>
      </w:r>
      <w:r>
        <w:t xml:space="preserve"> </w:t>
      </w:r>
      <w:r>
        <w:rPr>
          <w:spacing w:val="-2"/>
        </w:rPr>
        <w:t>apply:</w:t>
      </w:r>
    </w:p>
    <w:p w:rsidR="008918FA" w:rsidRDefault="008918FA" w:rsidP="008918FA">
      <w:pPr>
        <w:sectPr w:rsidR="008918FA">
          <w:pgSz w:w="11910" w:h="16840"/>
          <w:pgMar w:top="1480" w:right="1300" w:bottom="1180" w:left="1140" w:header="0" w:footer="987" w:gutter="0"/>
          <w:cols w:space="720"/>
        </w:sectPr>
      </w:pPr>
    </w:p>
    <w:p w:rsidR="008918FA" w:rsidRDefault="008918FA" w:rsidP="008918FA">
      <w:pPr>
        <w:pStyle w:val="BodyText"/>
        <w:spacing w:before="58"/>
        <w:ind w:left="1170" w:firstLine="0"/>
        <w:rPr>
          <w:rFonts w:ascii="Times New Roman" w:eastAsia="Times New Roman" w:hAnsi="Times New Roman" w:cs="Times New Roman"/>
        </w:rPr>
      </w:pPr>
      <w:r>
        <w:rPr>
          <w:rFonts w:ascii="Times New Roman"/>
          <w:spacing w:val="1"/>
        </w:rPr>
        <w:t>CALL</w:t>
      </w:r>
      <w:r>
        <w:rPr>
          <w:rFonts w:ascii="Times New Roman"/>
          <w:spacing w:val="7"/>
        </w:rPr>
        <w:t xml:space="preserve"> </w:t>
      </w:r>
      <w:r>
        <w:rPr>
          <w:rFonts w:ascii="Times New Roman"/>
          <w:spacing w:val="8"/>
        </w:rPr>
        <w:t>OFF</w:t>
      </w:r>
      <w:r>
        <w:rPr>
          <w:rFonts w:ascii="Times New Roman"/>
          <w:spacing w:val="19"/>
        </w:rPr>
        <w:t xml:space="preserve"> </w:t>
      </w:r>
      <w:r>
        <w:rPr>
          <w:rFonts w:ascii="Times New Roman"/>
          <w:spacing w:val="4"/>
        </w:rPr>
        <w:t>SCHEDULE</w:t>
      </w:r>
      <w:r>
        <w:rPr>
          <w:rFonts w:ascii="Times New Roman"/>
          <w:spacing w:val="18"/>
        </w:rPr>
        <w:t xml:space="preserve"> </w:t>
      </w:r>
      <w:r>
        <w:rPr>
          <w:rFonts w:ascii="Times New Roman"/>
          <w:highlight w:val="yellow"/>
        </w:rPr>
        <w:t>[1</w:t>
      </w:r>
      <w:r>
        <w:rPr>
          <w:rFonts w:ascii="Times New Roman"/>
          <w:spacing w:val="-44"/>
          <w:highlight w:val="yellow"/>
        </w:rPr>
        <w:t xml:space="preserve"> </w:t>
      </w:r>
      <w:r>
        <w:rPr>
          <w:rFonts w:ascii="Times New Roman"/>
          <w:highlight w:val="yellow"/>
        </w:rPr>
        <w:t>5]</w:t>
      </w:r>
      <w:r>
        <w:rPr>
          <w:rFonts w:ascii="Times New Roman"/>
        </w:rPr>
        <w:t>:</w:t>
      </w:r>
      <w:r>
        <w:rPr>
          <w:rFonts w:ascii="Times New Roman"/>
          <w:spacing w:val="15"/>
        </w:rPr>
        <w:t xml:space="preserve"> </w:t>
      </w:r>
      <w:r>
        <w:rPr>
          <w:rFonts w:ascii="Times New Roman"/>
        </w:rPr>
        <w:t>MOD</w:t>
      </w:r>
      <w:r>
        <w:rPr>
          <w:rFonts w:ascii="Times New Roman"/>
          <w:spacing w:val="3"/>
        </w:rPr>
        <w:t xml:space="preserve"> </w:t>
      </w:r>
      <w:r>
        <w:rPr>
          <w:rFonts w:ascii="Times New Roman"/>
          <w:spacing w:val="6"/>
        </w:rPr>
        <w:t>DEFCONS</w:t>
      </w:r>
      <w:r>
        <w:rPr>
          <w:rFonts w:ascii="Times New Roman"/>
          <w:spacing w:val="33"/>
        </w:rPr>
        <w:t xml:space="preserve"> </w:t>
      </w:r>
      <w:r>
        <w:rPr>
          <w:rFonts w:ascii="Times New Roman"/>
          <w:spacing w:val="-3"/>
        </w:rPr>
        <w:t>AND</w:t>
      </w:r>
      <w:r>
        <w:rPr>
          <w:rFonts w:ascii="Times New Roman"/>
          <w:spacing w:val="6"/>
        </w:rPr>
        <w:t xml:space="preserve"> </w:t>
      </w:r>
      <w:r>
        <w:rPr>
          <w:rFonts w:ascii="Times New Roman"/>
          <w:spacing w:val="5"/>
        </w:rPr>
        <w:t>DEFFORMS</w:t>
      </w:r>
    </w:p>
    <w:p w:rsidR="008918FA" w:rsidRDefault="008918FA" w:rsidP="008918FA">
      <w:pPr>
        <w:spacing w:before="10"/>
        <w:rPr>
          <w:rFonts w:ascii="Times New Roman" w:eastAsia="Times New Roman" w:hAnsi="Times New Roman" w:cs="Times New Roman"/>
          <w:sz w:val="20"/>
          <w:szCs w:val="20"/>
        </w:rPr>
      </w:pPr>
    </w:p>
    <w:p w:rsidR="008918FA" w:rsidRDefault="008918FA" w:rsidP="008918FA">
      <w:pPr>
        <w:pStyle w:val="BodyText"/>
        <w:spacing w:before="0"/>
        <w:ind w:left="567" w:right="113" w:firstLine="0"/>
      </w:pPr>
      <w:r>
        <w:rPr>
          <w:spacing w:val="-1"/>
        </w:rPr>
        <w:t>MOD</w:t>
      </w:r>
      <w:r>
        <w:rPr>
          <w:spacing w:val="28"/>
        </w:rPr>
        <w:t xml:space="preserve"> </w:t>
      </w:r>
      <w:r>
        <w:rPr>
          <w:spacing w:val="-1"/>
        </w:rPr>
        <w:t>DEFCONs</w:t>
      </w:r>
      <w:r>
        <w:rPr>
          <w:spacing w:val="30"/>
        </w:rPr>
        <w:t xml:space="preserve"> </w:t>
      </w:r>
      <w:r>
        <w:rPr>
          <w:spacing w:val="-1"/>
        </w:rPr>
        <w:t>and</w:t>
      </w:r>
      <w:r>
        <w:rPr>
          <w:spacing w:val="29"/>
        </w:rPr>
        <w:t xml:space="preserve"> </w:t>
      </w:r>
      <w:r>
        <w:rPr>
          <w:spacing w:val="-1"/>
        </w:rPr>
        <w:t>DEFFORMs</w:t>
      </w:r>
      <w:r>
        <w:rPr>
          <w:spacing w:val="30"/>
        </w:rPr>
        <w:t xml:space="preserve"> </w:t>
      </w:r>
      <w:r>
        <w:rPr>
          <w:spacing w:val="-1"/>
        </w:rPr>
        <w:t>may</w:t>
      </w:r>
      <w:r>
        <w:rPr>
          <w:spacing w:val="27"/>
        </w:rPr>
        <w:t xml:space="preserve"> </w:t>
      </w:r>
      <w:r>
        <w:t>form</w:t>
      </w:r>
      <w:r>
        <w:rPr>
          <w:spacing w:val="30"/>
        </w:rPr>
        <w:t xml:space="preserve"> </w:t>
      </w:r>
      <w:r>
        <w:rPr>
          <w:spacing w:val="-1"/>
        </w:rPr>
        <w:t>part</w:t>
      </w:r>
      <w:r>
        <w:rPr>
          <w:spacing w:val="30"/>
        </w:rPr>
        <w:t xml:space="preserve"> </w:t>
      </w:r>
      <w:r>
        <w:rPr>
          <w:spacing w:val="-2"/>
        </w:rPr>
        <w:t>of</w:t>
      </w:r>
      <w:r>
        <w:rPr>
          <w:spacing w:val="30"/>
        </w:rPr>
        <w:t xml:space="preserve"> </w:t>
      </w:r>
      <w:r>
        <w:rPr>
          <w:spacing w:val="-1"/>
        </w:rPr>
        <w:t>this</w:t>
      </w:r>
      <w:r>
        <w:rPr>
          <w:spacing w:val="30"/>
        </w:rPr>
        <w:t xml:space="preserve"> </w:t>
      </w:r>
      <w:r>
        <w:rPr>
          <w:spacing w:val="-2"/>
        </w:rPr>
        <w:t>Call</w:t>
      </w:r>
      <w:r>
        <w:rPr>
          <w:spacing w:val="28"/>
        </w:rPr>
        <w:t xml:space="preserve"> </w:t>
      </w:r>
      <w:r>
        <w:rPr>
          <w:spacing w:val="-1"/>
        </w:rPr>
        <w:t>Off</w:t>
      </w:r>
      <w:r>
        <w:rPr>
          <w:spacing w:val="30"/>
        </w:rPr>
        <w:t xml:space="preserve"> </w:t>
      </w:r>
      <w:r>
        <w:rPr>
          <w:spacing w:val="-1"/>
        </w:rPr>
        <w:t>Contract</w:t>
      </w:r>
      <w:r>
        <w:rPr>
          <w:spacing w:val="30"/>
        </w:rPr>
        <w:t xml:space="preserve"> </w:t>
      </w:r>
      <w:r>
        <w:rPr>
          <w:spacing w:val="-2"/>
        </w:rPr>
        <w:t>including</w:t>
      </w:r>
      <w:r>
        <w:rPr>
          <w:spacing w:val="40"/>
        </w:rPr>
        <w:t xml:space="preserve"> </w:t>
      </w:r>
      <w:r>
        <w:rPr>
          <w:spacing w:val="-1"/>
        </w:rPr>
        <w:t>but</w:t>
      </w:r>
      <w:r>
        <w:rPr>
          <w:spacing w:val="2"/>
        </w:rPr>
        <w:t xml:space="preserve"> </w:t>
      </w:r>
      <w:r>
        <w:rPr>
          <w:spacing w:val="-2"/>
        </w:rPr>
        <w:t>not</w:t>
      </w:r>
      <w:r>
        <w:rPr>
          <w:spacing w:val="2"/>
        </w:rPr>
        <w:t xml:space="preserve"> </w:t>
      </w:r>
      <w:r>
        <w:rPr>
          <w:spacing w:val="-1"/>
        </w:rPr>
        <w:t>limited</w:t>
      </w:r>
      <w:r>
        <w:rPr>
          <w:spacing w:val="-2"/>
        </w:rPr>
        <w:t xml:space="preserve"> </w:t>
      </w:r>
      <w:r>
        <w:t>to</w:t>
      </w:r>
      <w:r>
        <w:rPr>
          <w:spacing w:val="-2"/>
        </w:rPr>
        <w:t xml:space="preserve"> </w:t>
      </w:r>
      <w:r>
        <w:t>the</w:t>
      </w:r>
      <w:r>
        <w:rPr>
          <w:spacing w:val="-4"/>
        </w:rPr>
        <w:t xml:space="preserve"> </w:t>
      </w:r>
      <w:r>
        <w:rPr>
          <w:spacing w:val="-1"/>
        </w:rPr>
        <w:t>following:</w:t>
      </w:r>
    </w:p>
    <w:p w:rsidR="008918FA" w:rsidRDefault="008918FA" w:rsidP="008918FA">
      <w:pPr>
        <w:spacing w:before="9"/>
        <w:rPr>
          <w:rFonts w:ascii="Arial" w:eastAsia="Arial" w:hAnsi="Arial" w:cs="Arial"/>
          <w:sz w:val="20"/>
          <w:szCs w:val="20"/>
        </w:rPr>
      </w:pPr>
    </w:p>
    <w:p w:rsidR="008918FA" w:rsidRDefault="008918FA" w:rsidP="008918FA">
      <w:pPr>
        <w:pStyle w:val="BodyText"/>
        <w:spacing w:before="0"/>
        <w:ind w:left="711" w:firstLine="0"/>
      </w:pPr>
      <w:r>
        <w:rPr>
          <w:spacing w:val="-2"/>
        </w:rPr>
        <w:t>DEFCONs</w:t>
      </w:r>
    </w:p>
    <w:p w:rsidR="008918FA" w:rsidRDefault="008918FA" w:rsidP="008918FA">
      <w:pPr>
        <w:spacing w:before="7"/>
        <w:rPr>
          <w:rFonts w:ascii="Arial" w:eastAsia="Arial" w:hAnsi="Arial" w:cs="Arial"/>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2962"/>
        <w:gridCol w:w="2950"/>
        <w:gridCol w:w="2974"/>
      </w:tblGrid>
      <w:tr w:rsidR="008918FA" w:rsidTr="005D2B81">
        <w:trPr>
          <w:trHeight w:hRule="exact" w:val="1482"/>
        </w:trPr>
        <w:tc>
          <w:tcPr>
            <w:tcW w:w="2962"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rPr>
                <w:rFonts w:ascii="Arial" w:eastAsia="Arial" w:hAnsi="Arial" w:cs="Arial"/>
              </w:rPr>
            </w:pPr>
          </w:p>
          <w:p w:rsidR="008918FA" w:rsidRDefault="008918FA" w:rsidP="005D2B81">
            <w:pPr>
              <w:pStyle w:val="TableParagraph"/>
              <w:spacing w:before="6"/>
              <w:rPr>
                <w:rFonts w:ascii="Arial" w:eastAsia="Arial" w:hAnsi="Arial" w:cs="Arial"/>
                <w:sz w:val="20"/>
                <w:szCs w:val="20"/>
              </w:rPr>
            </w:pPr>
          </w:p>
          <w:p w:rsidR="008918FA" w:rsidRDefault="008918FA" w:rsidP="005D2B81">
            <w:pPr>
              <w:pStyle w:val="TableParagraph"/>
              <w:ind w:left="822"/>
              <w:rPr>
                <w:rFonts w:ascii="Arial" w:eastAsia="Arial" w:hAnsi="Arial" w:cs="Arial"/>
              </w:rPr>
            </w:pPr>
            <w:r>
              <w:rPr>
                <w:rFonts w:ascii="Arial"/>
                <w:spacing w:val="-1"/>
              </w:rPr>
              <w:t>DEFCON</w:t>
            </w:r>
            <w:r>
              <w:rPr>
                <w:rFonts w:ascii="Arial"/>
              </w:rPr>
              <w:t xml:space="preserve"> </w:t>
            </w:r>
            <w:r>
              <w:rPr>
                <w:rFonts w:ascii="Arial"/>
                <w:spacing w:val="-2"/>
              </w:rPr>
              <w:t>No</w:t>
            </w:r>
          </w:p>
        </w:tc>
        <w:tc>
          <w:tcPr>
            <w:tcW w:w="2950"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rPr>
                <w:rFonts w:ascii="Arial" w:eastAsia="Arial" w:hAnsi="Arial" w:cs="Arial"/>
              </w:rPr>
            </w:pPr>
          </w:p>
          <w:p w:rsidR="008918FA" w:rsidRDefault="008918FA" w:rsidP="005D2B81">
            <w:pPr>
              <w:pStyle w:val="TableParagraph"/>
              <w:spacing w:before="6"/>
              <w:rPr>
                <w:rFonts w:ascii="Arial" w:eastAsia="Arial" w:hAnsi="Arial" w:cs="Arial"/>
                <w:sz w:val="20"/>
                <w:szCs w:val="20"/>
              </w:rPr>
            </w:pPr>
          </w:p>
          <w:p w:rsidR="008918FA" w:rsidRDefault="008918FA" w:rsidP="005D2B81">
            <w:pPr>
              <w:pStyle w:val="TableParagraph"/>
              <w:ind w:left="822"/>
              <w:rPr>
                <w:rFonts w:ascii="Arial" w:eastAsia="Arial" w:hAnsi="Arial" w:cs="Arial"/>
              </w:rPr>
            </w:pPr>
            <w:r>
              <w:rPr>
                <w:rFonts w:ascii="Arial"/>
                <w:spacing w:val="-1"/>
              </w:rPr>
              <w:t>Version</w:t>
            </w:r>
          </w:p>
        </w:tc>
        <w:tc>
          <w:tcPr>
            <w:tcW w:w="2974"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rPr>
                <w:rFonts w:ascii="Arial" w:eastAsia="Arial" w:hAnsi="Arial" w:cs="Arial"/>
              </w:rPr>
            </w:pPr>
          </w:p>
          <w:p w:rsidR="008918FA" w:rsidRDefault="008918FA" w:rsidP="005D2B81">
            <w:pPr>
              <w:pStyle w:val="TableParagraph"/>
              <w:spacing w:before="6"/>
              <w:rPr>
                <w:rFonts w:ascii="Arial" w:eastAsia="Arial" w:hAnsi="Arial" w:cs="Arial"/>
                <w:sz w:val="20"/>
                <w:szCs w:val="20"/>
              </w:rPr>
            </w:pPr>
          </w:p>
          <w:p w:rsidR="008918FA" w:rsidRDefault="008918FA" w:rsidP="005D2B81">
            <w:pPr>
              <w:pStyle w:val="TableParagraph"/>
              <w:ind w:left="822"/>
              <w:rPr>
                <w:rFonts w:ascii="Arial" w:eastAsia="Arial" w:hAnsi="Arial" w:cs="Arial"/>
              </w:rPr>
            </w:pPr>
            <w:r>
              <w:rPr>
                <w:rFonts w:ascii="Arial"/>
                <w:spacing w:val="-1"/>
              </w:rPr>
              <w:t>Description</w:t>
            </w:r>
          </w:p>
        </w:tc>
      </w:tr>
      <w:tr w:rsidR="008918FA" w:rsidTr="005D2B81">
        <w:trPr>
          <w:trHeight w:hRule="exact" w:val="762"/>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w:t>
            </w:r>
            <w:r>
              <w:rPr>
                <w:rFonts w:ascii="Arial"/>
              </w:rPr>
              <w:t xml:space="preserve"> </w:t>
            </w:r>
            <w:r>
              <w:rPr>
                <w:rFonts w:ascii="Arial"/>
                <w:spacing w:val="-1"/>
              </w:rPr>
              <w:t>693</w:t>
            </w:r>
          </w:p>
        </w:tc>
        <w:tc>
          <w:tcPr>
            <w:tcW w:w="295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41" w:lineRule="auto"/>
              <w:ind w:left="822" w:right="119"/>
              <w:rPr>
                <w:rFonts w:ascii="Arial" w:eastAsia="Arial" w:hAnsi="Arial" w:cs="Arial"/>
              </w:rPr>
            </w:pPr>
            <w:r>
              <w:rPr>
                <w:rFonts w:ascii="Arial"/>
                <w:spacing w:val="-1"/>
              </w:rPr>
              <w:t>Edition</w:t>
            </w:r>
            <w:r>
              <w:rPr>
                <w:rFonts w:ascii="Arial"/>
              </w:rPr>
              <w:t xml:space="preserve"> </w:t>
            </w:r>
            <w:r>
              <w:rPr>
                <w:rFonts w:ascii="Arial"/>
                <w:spacing w:val="-1"/>
              </w:rPr>
              <w:t>04/06</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41" w:lineRule="auto"/>
              <w:ind w:left="822" w:right="337"/>
              <w:rPr>
                <w:rFonts w:ascii="Arial" w:eastAsia="Arial" w:hAnsi="Arial" w:cs="Arial"/>
              </w:rPr>
            </w:pPr>
            <w:r>
              <w:rPr>
                <w:rFonts w:ascii="Arial"/>
                <w:spacing w:val="-1"/>
              </w:rPr>
              <w:t>Government</w:t>
            </w:r>
            <w:r>
              <w:rPr>
                <w:rFonts w:ascii="Arial"/>
                <w:spacing w:val="22"/>
              </w:rPr>
              <w:t xml:space="preserve"> </w:t>
            </w:r>
            <w:r>
              <w:rPr>
                <w:rFonts w:ascii="Arial"/>
                <w:spacing w:val="-1"/>
              </w:rPr>
              <w:t>Procurement</w:t>
            </w:r>
            <w:r>
              <w:rPr>
                <w:rFonts w:ascii="Arial"/>
              </w:rPr>
              <w:t xml:space="preserve"> </w:t>
            </w:r>
            <w:r>
              <w:rPr>
                <w:rFonts w:ascii="Arial"/>
                <w:spacing w:val="-1"/>
              </w:rPr>
              <w:t>Card</w:t>
            </w:r>
          </w:p>
        </w:tc>
      </w:tr>
      <w:tr w:rsidR="008918FA" w:rsidTr="005D2B81">
        <w:trPr>
          <w:trHeight w:hRule="exact" w:val="756"/>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w:t>
            </w:r>
            <w:r>
              <w:rPr>
                <w:rFonts w:ascii="Arial"/>
              </w:rPr>
              <w:t xml:space="preserve"> 5</w:t>
            </w:r>
          </w:p>
        </w:tc>
        <w:tc>
          <w:tcPr>
            <w:tcW w:w="295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41" w:lineRule="auto"/>
              <w:ind w:left="822" w:right="119"/>
              <w:rPr>
                <w:rFonts w:ascii="Arial" w:eastAsia="Arial" w:hAnsi="Arial" w:cs="Arial"/>
              </w:rPr>
            </w:pPr>
            <w:r>
              <w:rPr>
                <w:rFonts w:ascii="Arial"/>
                <w:spacing w:val="-1"/>
              </w:rPr>
              <w:t>Edition</w:t>
            </w:r>
            <w:r>
              <w:rPr>
                <w:rFonts w:ascii="Arial"/>
              </w:rPr>
              <w:t xml:space="preserve"> </w:t>
            </w:r>
            <w:r>
              <w:rPr>
                <w:rFonts w:ascii="Arial"/>
                <w:spacing w:val="-1"/>
              </w:rPr>
              <w:t>07/99</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41" w:lineRule="auto"/>
              <w:ind w:left="822" w:right="497"/>
              <w:rPr>
                <w:rFonts w:ascii="Arial" w:eastAsia="Arial" w:hAnsi="Arial" w:cs="Arial"/>
              </w:rPr>
            </w:pPr>
            <w:r>
              <w:rPr>
                <w:rFonts w:ascii="Arial"/>
                <w:spacing w:val="-2"/>
              </w:rPr>
              <w:t>Advice</w:t>
            </w:r>
            <w:r>
              <w:rPr>
                <w:rFonts w:ascii="Arial"/>
                <w:spacing w:val="1"/>
              </w:rPr>
              <w:t xml:space="preserve"> </w:t>
            </w:r>
            <w:r>
              <w:rPr>
                <w:rFonts w:ascii="Arial"/>
                <w:spacing w:val="-1"/>
              </w:rPr>
              <w:t>and</w:t>
            </w:r>
            <w:r>
              <w:rPr>
                <w:rFonts w:ascii="Arial"/>
                <w:spacing w:val="24"/>
              </w:rPr>
              <w:t xml:space="preserve"> </w:t>
            </w:r>
            <w:r>
              <w:rPr>
                <w:rFonts w:ascii="Arial"/>
                <w:spacing w:val="-1"/>
              </w:rPr>
              <w:t>Inspection</w:t>
            </w:r>
            <w:r>
              <w:rPr>
                <w:rFonts w:ascii="Arial"/>
                <w:spacing w:val="-2"/>
              </w:rPr>
              <w:t xml:space="preserve"> </w:t>
            </w:r>
            <w:r>
              <w:rPr>
                <w:rFonts w:ascii="Arial"/>
                <w:spacing w:val="-1"/>
              </w:rPr>
              <w:t>Notes</w:t>
            </w:r>
          </w:p>
        </w:tc>
      </w:tr>
      <w:tr w:rsidR="008918FA" w:rsidTr="005D2B81">
        <w:trPr>
          <w:trHeight w:hRule="exact" w:val="756"/>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w:t>
            </w:r>
            <w:r>
              <w:rPr>
                <w:rFonts w:ascii="Arial"/>
              </w:rPr>
              <w:t xml:space="preserve"> </w:t>
            </w:r>
            <w:r>
              <w:rPr>
                <w:rFonts w:ascii="Arial"/>
                <w:spacing w:val="-1"/>
              </w:rPr>
              <w:t>5J</w:t>
            </w:r>
          </w:p>
        </w:tc>
        <w:tc>
          <w:tcPr>
            <w:tcW w:w="295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41" w:lineRule="auto"/>
              <w:ind w:left="822" w:right="119"/>
              <w:rPr>
                <w:rFonts w:ascii="Arial" w:eastAsia="Arial" w:hAnsi="Arial" w:cs="Arial"/>
              </w:rPr>
            </w:pPr>
            <w:r>
              <w:rPr>
                <w:rFonts w:ascii="Arial"/>
                <w:spacing w:val="-1"/>
              </w:rPr>
              <w:t>Edition</w:t>
            </w:r>
            <w:r>
              <w:rPr>
                <w:rFonts w:ascii="Arial"/>
              </w:rPr>
              <w:t xml:space="preserve"> </w:t>
            </w:r>
            <w:r>
              <w:rPr>
                <w:rFonts w:ascii="Arial"/>
                <w:spacing w:val="-1"/>
              </w:rPr>
              <w:t>07/08</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Unique</w:t>
            </w:r>
            <w:r>
              <w:rPr>
                <w:rFonts w:ascii="Arial"/>
                <w:spacing w:val="-2"/>
              </w:rPr>
              <w:t xml:space="preserve"> </w:t>
            </w:r>
            <w:r>
              <w:rPr>
                <w:rFonts w:ascii="Arial"/>
                <w:spacing w:val="-1"/>
              </w:rPr>
              <w:t>Identifiers</w:t>
            </w:r>
          </w:p>
        </w:tc>
      </w:tr>
      <w:tr w:rsidR="008918FA" w:rsidTr="001C1527">
        <w:trPr>
          <w:trHeight w:hRule="exact" w:val="1262"/>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w:t>
            </w:r>
            <w:r>
              <w:rPr>
                <w:rFonts w:ascii="Arial"/>
              </w:rPr>
              <w:t xml:space="preserve"> </w:t>
            </w:r>
            <w:r>
              <w:rPr>
                <w:rFonts w:ascii="Arial"/>
                <w:spacing w:val="-1"/>
              </w:rPr>
              <w:t>76</w:t>
            </w:r>
          </w:p>
        </w:tc>
        <w:tc>
          <w:tcPr>
            <w:tcW w:w="2950" w:type="dxa"/>
            <w:tcBorders>
              <w:top w:val="single" w:sz="5" w:space="0" w:color="000000"/>
              <w:left w:val="single" w:sz="5" w:space="0" w:color="000000"/>
              <w:bottom w:val="single" w:sz="5" w:space="0" w:color="000000"/>
              <w:right w:val="single" w:sz="5" w:space="0" w:color="000000"/>
            </w:tcBorders>
            <w:shd w:val="clear" w:color="auto" w:fill="auto"/>
          </w:tcPr>
          <w:p w:rsidR="008918FA" w:rsidRDefault="008918FA" w:rsidP="005D2B81">
            <w:pPr>
              <w:pStyle w:val="TableParagraph"/>
              <w:spacing w:line="241" w:lineRule="auto"/>
              <w:ind w:left="822" w:right="119"/>
              <w:rPr>
                <w:rFonts w:ascii="Arial" w:eastAsia="Arial" w:hAnsi="Arial" w:cs="Arial"/>
              </w:rPr>
            </w:pPr>
            <w:r>
              <w:rPr>
                <w:rFonts w:ascii="Arial"/>
                <w:spacing w:val="-1"/>
              </w:rPr>
              <w:t>Edition</w:t>
            </w:r>
            <w:r>
              <w:rPr>
                <w:rFonts w:ascii="Arial"/>
              </w:rPr>
              <w:t xml:space="preserve"> </w:t>
            </w:r>
            <w:r>
              <w:rPr>
                <w:rFonts w:ascii="Arial"/>
                <w:spacing w:val="-1"/>
              </w:rPr>
              <w:t>12/06</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39" w:lineRule="auto"/>
              <w:ind w:left="822" w:right="644"/>
              <w:rPr>
                <w:rFonts w:ascii="Arial" w:eastAsia="Arial" w:hAnsi="Arial" w:cs="Arial"/>
              </w:rPr>
            </w:pPr>
            <w:r>
              <w:rPr>
                <w:rFonts w:ascii="Arial" w:eastAsia="Arial" w:hAnsi="Arial" w:cs="Arial"/>
                <w:spacing w:val="-1"/>
              </w:rPr>
              <w:t>Contractor’s</w:t>
            </w:r>
            <w:r>
              <w:rPr>
                <w:rFonts w:ascii="Arial" w:eastAsia="Arial" w:hAnsi="Arial" w:cs="Arial"/>
                <w:spacing w:val="24"/>
              </w:rPr>
              <w:t xml:space="preserve"> </w:t>
            </w:r>
            <w:r>
              <w:rPr>
                <w:rFonts w:ascii="Arial" w:eastAsia="Arial" w:hAnsi="Arial" w:cs="Arial"/>
                <w:spacing w:val="-1"/>
              </w:rPr>
              <w:t>Personnel</w:t>
            </w:r>
            <w:r>
              <w:rPr>
                <w:rFonts w:ascii="Arial" w:eastAsia="Arial" w:hAnsi="Arial" w:cs="Arial"/>
              </w:rPr>
              <w:t xml:space="preserve"> </w:t>
            </w:r>
            <w:r>
              <w:rPr>
                <w:rFonts w:ascii="Arial" w:eastAsia="Arial" w:hAnsi="Arial" w:cs="Arial"/>
                <w:spacing w:val="-1"/>
              </w:rPr>
              <w:t>At</w:t>
            </w:r>
            <w:r>
              <w:rPr>
                <w:rFonts w:ascii="Arial" w:eastAsia="Arial" w:hAnsi="Arial" w:cs="Arial"/>
                <w:spacing w:val="25"/>
              </w:rPr>
              <w:t xml:space="preserve"> </w:t>
            </w:r>
            <w:r>
              <w:rPr>
                <w:rFonts w:ascii="Arial" w:eastAsia="Arial" w:hAnsi="Arial" w:cs="Arial"/>
                <w:spacing w:val="-1"/>
              </w:rPr>
              <w:t>Government</w:t>
            </w:r>
            <w:r>
              <w:rPr>
                <w:rFonts w:ascii="Arial" w:eastAsia="Arial" w:hAnsi="Arial" w:cs="Arial"/>
                <w:spacing w:val="22"/>
              </w:rPr>
              <w:t xml:space="preserve"> </w:t>
            </w:r>
            <w:r>
              <w:rPr>
                <w:rFonts w:ascii="Arial" w:eastAsia="Arial" w:hAnsi="Arial" w:cs="Arial"/>
                <w:spacing w:val="-1"/>
              </w:rPr>
              <w:t>Establishments</w:t>
            </w:r>
          </w:p>
        </w:tc>
      </w:tr>
      <w:tr w:rsidR="008918FA" w:rsidTr="001C1527">
        <w:trPr>
          <w:trHeight w:hRule="exact" w:val="756"/>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w:t>
            </w:r>
            <w:r>
              <w:rPr>
                <w:rFonts w:ascii="Arial"/>
              </w:rPr>
              <w:t xml:space="preserve"> </w:t>
            </w:r>
            <w:r>
              <w:rPr>
                <w:rFonts w:ascii="Arial"/>
                <w:spacing w:val="-1"/>
              </w:rPr>
              <w:t>113</w:t>
            </w:r>
          </w:p>
        </w:tc>
        <w:tc>
          <w:tcPr>
            <w:tcW w:w="2950" w:type="dxa"/>
            <w:tcBorders>
              <w:top w:val="single" w:sz="5" w:space="0" w:color="000000"/>
              <w:left w:val="single" w:sz="5" w:space="0" w:color="000000"/>
              <w:bottom w:val="single" w:sz="5" w:space="0" w:color="000000"/>
              <w:right w:val="single" w:sz="5" w:space="0" w:color="000000"/>
            </w:tcBorders>
            <w:shd w:val="clear" w:color="auto" w:fill="auto"/>
          </w:tcPr>
          <w:p w:rsidR="008918FA" w:rsidRDefault="008918FA" w:rsidP="005D2B81">
            <w:pPr>
              <w:pStyle w:val="TableParagraph"/>
              <w:spacing w:before="1" w:line="252" w:lineRule="exact"/>
              <w:ind w:left="822" w:right="119"/>
              <w:rPr>
                <w:rFonts w:ascii="Arial" w:eastAsia="Arial" w:hAnsi="Arial" w:cs="Arial"/>
              </w:rPr>
            </w:pPr>
            <w:r>
              <w:rPr>
                <w:rFonts w:ascii="Arial"/>
                <w:spacing w:val="-1"/>
              </w:rPr>
              <w:t>Edition</w:t>
            </w:r>
            <w:r>
              <w:rPr>
                <w:rFonts w:ascii="Arial"/>
              </w:rPr>
              <w:t xml:space="preserve"> </w:t>
            </w:r>
            <w:r>
              <w:rPr>
                <w:rFonts w:ascii="Arial"/>
                <w:spacing w:val="-1"/>
              </w:rPr>
              <w:t>10/04</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2"/>
              </w:rPr>
              <w:t>Diversion</w:t>
            </w:r>
            <w:r>
              <w:rPr>
                <w:rFonts w:ascii="Arial"/>
              </w:rPr>
              <w:t xml:space="preserve"> </w:t>
            </w:r>
            <w:r>
              <w:rPr>
                <w:rFonts w:ascii="Arial"/>
                <w:spacing w:val="-1"/>
              </w:rPr>
              <w:t>Orders</w:t>
            </w:r>
          </w:p>
        </w:tc>
      </w:tr>
      <w:tr w:rsidR="008918FA" w:rsidTr="005D2B81">
        <w:trPr>
          <w:trHeight w:hRule="exact" w:val="1008"/>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w:t>
            </w:r>
            <w:r>
              <w:rPr>
                <w:rFonts w:ascii="Arial"/>
              </w:rPr>
              <w:t xml:space="preserve"> </w:t>
            </w:r>
            <w:r>
              <w:rPr>
                <w:rFonts w:ascii="Arial"/>
                <w:spacing w:val="-1"/>
              </w:rPr>
              <w:t>129</w:t>
            </w:r>
          </w:p>
        </w:tc>
        <w:tc>
          <w:tcPr>
            <w:tcW w:w="295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1" w:line="252" w:lineRule="exact"/>
              <w:ind w:left="822" w:right="119"/>
              <w:rPr>
                <w:rFonts w:ascii="Arial" w:eastAsia="Arial" w:hAnsi="Arial" w:cs="Arial"/>
              </w:rPr>
            </w:pPr>
            <w:r>
              <w:rPr>
                <w:rFonts w:ascii="Arial"/>
                <w:spacing w:val="-1"/>
              </w:rPr>
              <w:t>Edition</w:t>
            </w:r>
            <w:r>
              <w:rPr>
                <w:rFonts w:ascii="Arial"/>
              </w:rPr>
              <w:t xml:space="preserve"> </w:t>
            </w:r>
            <w:r>
              <w:rPr>
                <w:rFonts w:ascii="Arial"/>
                <w:spacing w:val="-1"/>
              </w:rPr>
              <w:t>10/13</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ind w:left="822" w:right="362"/>
              <w:rPr>
                <w:rFonts w:ascii="Arial" w:eastAsia="Arial" w:hAnsi="Arial" w:cs="Arial"/>
              </w:rPr>
            </w:pPr>
            <w:r>
              <w:rPr>
                <w:rFonts w:ascii="Arial"/>
                <w:spacing w:val="-1"/>
              </w:rPr>
              <w:t>Packaging</w:t>
            </w:r>
            <w:r>
              <w:rPr>
                <w:rFonts w:ascii="Arial"/>
              </w:rPr>
              <w:t xml:space="preserve"> </w:t>
            </w:r>
            <w:r>
              <w:rPr>
                <w:rFonts w:ascii="Arial"/>
                <w:spacing w:val="-1"/>
              </w:rPr>
              <w:t>(For</w:t>
            </w:r>
            <w:r>
              <w:rPr>
                <w:rFonts w:ascii="Arial"/>
                <w:spacing w:val="23"/>
              </w:rPr>
              <w:t xml:space="preserve"> </w:t>
            </w:r>
            <w:r>
              <w:rPr>
                <w:rFonts w:ascii="Arial"/>
                <w:spacing w:val="-1"/>
              </w:rPr>
              <w:t>Articles</w:t>
            </w:r>
            <w:r>
              <w:rPr>
                <w:rFonts w:ascii="Arial"/>
                <w:spacing w:val="1"/>
              </w:rPr>
              <w:t xml:space="preserve"> </w:t>
            </w:r>
            <w:r>
              <w:rPr>
                <w:rFonts w:ascii="Arial"/>
                <w:spacing w:val="-1"/>
              </w:rPr>
              <w:t>other than</w:t>
            </w:r>
            <w:r>
              <w:rPr>
                <w:rFonts w:ascii="Arial"/>
                <w:spacing w:val="26"/>
              </w:rPr>
              <w:t xml:space="preserve"> </w:t>
            </w:r>
            <w:r>
              <w:rPr>
                <w:rFonts w:ascii="Arial"/>
                <w:spacing w:val="-1"/>
              </w:rPr>
              <w:t>Munitions)</w:t>
            </w:r>
          </w:p>
        </w:tc>
      </w:tr>
      <w:tr w:rsidR="008918FA" w:rsidTr="005D2B81">
        <w:trPr>
          <w:trHeight w:hRule="exact" w:val="1010"/>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w:t>
            </w:r>
            <w:r>
              <w:rPr>
                <w:rFonts w:ascii="Arial"/>
              </w:rPr>
              <w:t xml:space="preserve"> </w:t>
            </w:r>
            <w:r>
              <w:rPr>
                <w:rFonts w:ascii="Arial"/>
                <w:spacing w:val="-1"/>
              </w:rPr>
              <w:t>129J</w:t>
            </w:r>
          </w:p>
        </w:tc>
        <w:tc>
          <w:tcPr>
            <w:tcW w:w="295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41" w:lineRule="auto"/>
              <w:ind w:left="822" w:right="119"/>
              <w:rPr>
                <w:rFonts w:ascii="Arial" w:eastAsia="Arial" w:hAnsi="Arial" w:cs="Arial"/>
              </w:rPr>
            </w:pPr>
            <w:r>
              <w:rPr>
                <w:rFonts w:ascii="Arial"/>
                <w:spacing w:val="-1"/>
              </w:rPr>
              <w:t>Edition</w:t>
            </w:r>
            <w:r>
              <w:rPr>
                <w:rFonts w:ascii="Arial"/>
              </w:rPr>
              <w:t xml:space="preserve"> </w:t>
            </w:r>
            <w:r>
              <w:rPr>
                <w:rFonts w:ascii="Arial"/>
                <w:spacing w:val="-1"/>
              </w:rPr>
              <w:t>07/08</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ind w:left="822" w:right="216"/>
              <w:rPr>
                <w:rFonts w:ascii="Arial" w:eastAsia="Arial" w:hAnsi="Arial" w:cs="Arial"/>
              </w:rPr>
            </w:pPr>
            <w:r>
              <w:rPr>
                <w:rFonts w:ascii="Arial"/>
              </w:rPr>
              <w:t>The</w:t>
            </w:r>
            <w:r>
              <w:rPr>
                <w:rFonts w:ascii="Arial"/>
                <w:spacing w:val="-2"/>
              </w:rPr>
              <w:t xml:space="preserve"> </w:t>
            </w:r>
            <w:r>
              <w:rPr>
                <w:rFonts w:ascii="Arial"/>
                <w:spacing w:val="-1"/>
              </w:rPr>
              <w:t>Use</w:t>
            </w:r>
            <w:r>
              <w:rPr>
                <w:rFonts w:ascii="Arial"/>
                <w:spacing w:val="-2"/>
              </w:rPr>
              <w:t xml:space="preserve"> </w:t>
            </w:r>
            <w:r>
              <w:rPr>
                <w:rFonts w:ascii="Arial"/>
                <w:spacing w:val="-1"/>
              </w:rPr>
              <w:t>Of</w:t>
            </w:r>
            <w:r>
              <w:rPr>
                <w:rFonts w:ascii="Arial"/>
              </w:rPr>
              <w:t xml:space="preserve"> </w:t>
            </w:r>
            <w:r>
              <w:rPr>
                <w:rFonts w:ascii="Arial"/>
                <w:spacing w:val="-1"/>
              </w:rPr>
              <w:t>The</w:t>
            </w:r>
            <w:r>
              <w:rPr>
                <w:rFonts w:ascii="Arial"/>
                <w:spacing w:val="23"/>
              </w:rPr>
              <w:t xml:space="preserve"> </w:t>
            </w:r>
            <w:r>
              <w:rPr>
                <w:rFonts w:ascii="Arial"/>
                <w:spacing w:val="-1"/>
              </w:rPr>
              <w:t>Electronic</w:t>
            </w:r>
            <w:r>
              <w:rPr>
                <w:rFonts w:ascii="Arial"/>
                <w:spacing w:val="1"/>
              </w:rPr>
              <w:t xml:space="preserve"> </w:t>
            </w:r>
            <w:r>
              <w:rPr>
                <w:rFonts w:ascii="Arial"/>
                <w:spacing w:val="-1"/>
              </w:rPr>
              <w:t>Business</w:t>
            </w:r>
            <w:r>
              <w:rPr>
                <w:rFonts w:ascii="Arial"/>
                <w:spacing w:val="22"/>
              </w:rPr>
              <w:t xml:space="preserve"> </w:t>
            </w:r>
            <w:r>
              <w:rPr>
                <w:rFonts w:ascii="Arial"/>
                <w:spacing w:val="-1"/>
              </w:rPr>
              <w:t>Delivery</w:t>
            </w:r>
            <w:r>
              <w:rPr>
                <w:rFonts w:ascii="Arial"/>
                <w:spacing w:val="-2"/>
              </w:rPr>
              <w:t xml:space="preserve"> </w:t>
            </w:r>
            <w:r>
              <w:rPr>
                <w:rFonts w:ascii="Arial"/>
                <w:spacing w:val="-1"/>
              </w:rPr>
              <w:t>Form</w:t>
            </w:r>
          </w:p>
        </w:tc>
      </w:tr>
      <w:tr w:rsidR="008918FA" w:rsidTr="005D2B81">
        <w:trPr>
          <w:trHeight w:hRule="exact" w:val="756"/>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w:t>
            </w:r>
            <w:r>
              <w:rPr>
                <w:rFonts w:ascii="Arial"/>
              </w:rPr>
              <w:t xml:space="preserve"> </w:t>
            </w:r>
            <w:r>
              <w:rPr>
                <w:rFonts w:ascii="Arial"/>
                <w:spacing w:val="-1"/>
              </w:rPr>
              <w:t>502</w:t>
            </w:r>
          </w:p>
        </w:tc>
        <w:tc>
          <w:tcPr>
            <w:tcW w:w="295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1" w:line="252" w:lineRule="exact"/>
              <w:ind w:left="822" w:right="119"/>
              <w:rPr>
                <w:rFonts w:ascii="Arial" w:eastAsia="Arial" w:hAnsi="Arial" w:cs="Arial"/>
              </w:rPr>
            </w:pPr>
            <w:r>
              <w:rPr>
                <w:rFonts w:ascii="Arial"/>
                <w:spacing w:val="-1"/>
              </w:rPr>
              <w:t>Edition</w:t>
            </w:r>
            <w:r>
              <w:rPr>
                <w:rFonts w:ascii="Arial"/>
              </w:rPr>
              <w:t xml:space="preserve"> </w:t>
            </w:r>
            <w:r>
              <w:rPr>
                <w:rFonts w:ascii="Arial"/>
                <w:spacing w:val="-1"/>
              </w:rPr>
              <w:t>06/08</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Specifications</w:t>
            </w:r>
          </w:p>
        </w:tc>
      </w:tr>
      <w:tr w:rsidR="008918FA" w:rsidTr="005D2B81">
        <w:trPr>
          <w:trHeight w:hRule="exact" w:val="756"/>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DEFCONS</w:t>
            </w:r>
            <w:r>
              <w:rPr>
                <w:rFonts w:ascii="Arial"/>
              </w:rPr>
              <w:t xml:space="preserve"> </w:t>
            </w:r>
            <w:r>
              <w:rPr>
                <w:rFonts w:ascii="Arial"/>
                <w:spacing w:val="-1"/>
              </w:rPr>
              <w:t>522J</w:t>
            </w:r>
          </w:p>
        </w:tc>
        <w:tc>
          <w:tcPr>
            <w:tcW w:w="295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1" w:line="252" w:lineRule="exact"/>
              <w:ind w:left="822" w:right="119"/>
              <w:rPr>
                <w:rFonts w:ascii="Arial" w:eastAsia="Arial" w:hAnsi="Arial" w:cs="Arial"/>
              </w:rPr>
            </w:pPr>
            <w:r>
              <w:rPr>
                <w:rFonts w:ascii="Arial"/>
                <w:spacing w:val="-1"/>
              </w:rPr>
              <w:t>Edition</w:t>
            </w:r>
            <w:r>
              <w:rPr>
                <w:rFonts w:ascii="Arial"/>
              </w:rPr>
              <w:t xml:space="preserve"> </w:t>
            </w:r>
            <w:r>
              <w:rPr>
                <w:rFonts w:ascii="Arial"/>
                <w:spacing w:val="-1"/>
              </w:rPr>
              <w:t>05/03</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Payment</w:t>
            </w:r>
            <w:r>
              <w:rPr>
                <w:rFonts w:ascii="Arial"/>
                <w:spacing w:val="2"/>
              </w:rPr>
              <w:t xml:space="preserve"> </w:t>
            </w:r>
            <w:r>
              <w:rPr>
                <w:rFonts w:ascii="Arial"/>
                <w:spacing w:val="-1"/>
              </w:rPr>
              <w:t>Under P2P</w:t>
            </w:r>
          </w:p>
        </w:tc>
      </w:tr>
      <w:tr w:rsidR="008918FA" w:rsidTr="005D2B81">
        <w:trPr>
          <w:trHeight w:hRule="exact" w:val="756"/>
        </w:trPr>
        <w:tc>
          <w:tcPr>
            <w:tcW w:w="2962"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DEFCONS</w:t>
            </w:r>
            <w:r>
              <w:rPr>
                <w:rFonts w:ascii="Arial"/>
              </w:rPr>
              <w:t xml:space="preserve"> </w:t>
            </w:r>
            <w:r>
              <w:rPr>
                <w:rFonts w:ascii="Arial"/>
                <w:spacing w:val="-1"/>
              </w:rPr>
              <w:t>644</w:t>
            </w:r>
          </w:p>
        </w:tc>
        <w:tc>
          <w:tcPr>
            <w:tcW w:w="2950"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before="1" w:line="252" w:lineRule="exact"/>
              <w:ind w:left="822" w:right="119"/>
              <w:rPr>
                <w:rFonts w:ascii="Arial" w:eastAsia="Arial" w:hAnsi="Arial" w:cs="Arial"/>
              </w:rPr>
            </w:pPr>
            <w:r>
              <w:rPr>
                <w:rFonts w:ascii="Arial"/>
                <w:spacing w:val="-1"/>
              </w:rPr>
              <w:t>Edition</w:t>
            </w:r>
            <w:r>
              <w:rPr>
                <w:rFonts w:ascii="Arial"/>
              </w:rPr>
              <w:t xml:space="preserve"> </w:t>
            </w:r>
            <w:r>
              <w:rPr>
                <w:rFonts w:ascii="Arial"/>
                <w:spacing w:val="-1"/>
              </w:rPr>
              <w:t>06/13</w:t>
            </w:r>
            <w:r>
              <w:rPr>
                <w:rFonts w:ascii="Arial"/>
              </w:rPr>
              <w:t xml:space="preserve"> </w:t>
            </w:r>
            <w:r>
              <w:rPr>
                <w:rFonts w:ascii="Arial"/>
                <w:spacing w:val="-1"/>
              </w:rPr>
              <w:t>and</w:t>
            </w:r>
            <w:r>
              <w:rPr>
                <w:rFonts w:ascii="Arial"/>
                <w:spacing w:val="-2"/>
              </w:rPr>
              <w:t xml:space="preserve"> </w:t>
            </w:r>
            <w:r>
              <w:rPr>
                <w:rFonts w:ascii="Arial"/>
                <w:spacing w:val="-1"/>
              </w:rPr>
              <w:t>all</w:t>
            </w:r>
            <w:r>
              <w:rPr>
                <w:rFonts w:ascii="Arial"/>
                <w:spacing w:val="26"/>
              </w:rPr>
              <w:t xml:space="preserve"> </w:t>
            </w:r>
            <w:r>
              <w:rPr>
                <w:rFonts w:ascii="Arial"/>
                <w:spacing w:val="-1"/>
              </w:rPr>
              <w:t>further amendments</w:t>
            </w:r>
          </w:p>
        </w:tc>
        <w:tc>
          <w:tcPr>
            <w:tcW w:w="2974" w:type="dxa"/>
            <w:tcBorders>
              <w:top w:val="single" w:sz="5" w:space="0" w:color="000000"/>
              <w:left w:val="single" w:sz="5" w:space="0" w:color="000000"/>
              <w:bottom w:val="single" w:sz="5" w:space="0" w:color="000000"/>
              <w:right w:val="single" w:sz="5" w:space="0" w:color="000000"/>
            </w:tcBorders>
          </w:tcPr>
          <w:p w:rsidR="008918FA" w:rsidRDefault="008918FA" w:rsidP="005D2B81">
            <w:pPr>
              <w:pStyle w:val="TableParagraph"/>
              <w:spacing w:line="250" w:lineRule="exact"/>
              <w:ind w:left="822"/>
              <w:rPr>
                <w:rFonts w:ascii="Arial" w:eastAsia="Arial" w:hAnsi="Arial" w:cs="Arial"/>
              </w:rPr>
            </w:pPr>
            <w:r>
              <w:rPr>
                <w:rFonts w:ascii="Arial"/>
                <w:spacing w:val="-1"/>
              </w:rPr>
              <w:t>Marking</w:t>
            </w:r>
            <w:r>
              <w:rPr>
                <w:rFonts w:ascii="Arial"/>
                <w:spacing w:val="3"/>
              </w:rPr>
              <w:t xml:space="preserve"> </w:t>
            </w:r>
            <w:r>
              <w:rPr>
                <w:rFonts w:ascii="Arial"/>
                <w:spacing w:val="-2"/>
              </w:rPr>
              <w:t>of</w:t>
            </w:r>
            <w:r>
              <w:rPr>
                <w:rFonts w:ascii="Arial"/>
                <w:spacing w:val="2"/>
              </w:rPr>
              <w:t xml:space="preserve"> </w:t>
            </w:r>
            <w:r>
              <w:rPr>
                <w:rFonts w:ascii="Arial"/>
                <w:spacing w:val="-1"/>
              </w:rPr>
              <w:t>Articles</w:t>
            </w:r>
          </w:p>
        </w:tc>
      </w:tr>
    </w:tbl>
    <w:p w:rsidR="008918FA" w:rsidRDefault="008918FA" w:rsidP="008918FA">
      <w:pPr>
        <w:rPr>
          <w:rFonts w:ascii="Arial" w:eastAsia="Arial" w:hAnsi="Arial" w:cs="Arial"/>
          <w:sz w:val="20"/>
          <w:szCs w:val="20"/>
        </w:rPr>
      </w:pPr>
    </w:p>
    <w:p w:rsidR="008918FA" w:rsidRDefault="008918FA" w:rsidP="008918FA">
      <w:pPr>
        <w:spacing w:before="8"/>
        <w:rPr>
          <w:rFonts w:ascii="Arial" w:eastAsia="Arial" w:hAnsi="Arial" w:cs="Arial"/>
          <w:sz w:val="15"/>
          <w:szCs w:val="15"/>
        </w:rPr>
      </w:pPr>
    </w:p>
    <w:p w:rsidR="008918FA" w:rsidRDefault="008918FA" w:rsidP="008918FA">
      <w:pPr>
        <w:pStyle w:val="BodyText"/>
        <w:spacing w:before="72"/>
        <w:ind w:left="580" w:firstLine="0"/>
      </w:pPr>
      <w:r>
        <w:rPr>
          <w:spacing w:val="-2"/>
        </w:rPr>
        <w:t>DEFFORMs</w:t>
      </w:r>
      <w:r>
        <w:rPr>
          <w:spacing w:val="1"/>
        </w:rPr>
        <w:t xml:space="preserve"> </w:t>
      </w:r>
      <w:r>
        <w:rPr>
          <w:spacing w:val="-1"/>
        </w:rPr>
        <w:t>(Ministry</w:t>
      </w:r>
      <w:r>
        <w:rPr>
          <w:spacing w:val="-2"/>
        </w:rPr>
        <w:t xml:space="preserve"> </w:t>
      </w:r>
      <w:r>
        <w:rPr>
          <w:spacing w:val="-1"/>
        </w:rPr>
        <w:t>of</w:t>
      </w:r>
      <w:r>
        <w:t xml:space="preserve"> </w:t>
      </w:r>
      <w:r>
        <w:rPr>
          <w:spacing w:val="-1"/>
        </w:rPr>
        <w:t>Defence</w:t>
      </w:r>
      <w:r>
        <w:rPr>
          <w:spacing w:val="1"/>
        </w:rPr>
        <w:t xml:space="preserve"> </w:t>
      </w:r>
      <w:r>
        <w:rPr>
          <w:spacing w:val="-2"/>
        </w:rPr>
        <w:t>Forms)</w:t>
      </w:r>
    </w:p>
    <w:p w:rsidR="008918FA" w:rsidRDefault="008918FA" w:rsidP="008918FA">
      <w:pPr>
        <w:rPr>
          <w:rFonts w:ascii="Arial" w:eastAsia="Arial" w:hAnsi="Arial" w:cs="Arial"/>
          <w:sz w:val="20"/>
          <w:szCs w:val="20"/>
        </w:rPr>
      </w:pPr>
    </w:p>
    <w:p w:rsidR="008918FA" w:rsidRDefault="008918FA" w:rsidP="008918FA">
      <w:pPr>
        <w:rPr>
          <w:rFonts w:ascii="Arial" w:eastAsia="Arial" w:hAnsi="Arial" w:cs="Arial"/>
          <w:sz w:val="20"/>
          <w:szCs w:val="20"/>
        </w:rPr>
      </w:pPr>
    </w:p>
    <w:p w:rsidR="008918FA" w:rsidRDefault="008918FA" w:rsidP="008918FA">
      <w:pPr>
        <w:spacing w:before="10"/>
        <w:rPr>
          <w:rFonts w:ascii="Arial" w:eastAsia="Arial" w:hAnsi="Arial" w:cs="Arial"/>
          <w:sz w:val="23"/>
          <w:szCs w:val="23"/>
        </w:rPr>
      </w:pPr>
    </w:p>
    <w:p w:rsidR="008918FA" w:rsidRDefault="008918FA" w:rsidP="008918FA">
      <w:pPr>
        <w:spacing w:line="200" w:lineRule="atLeast"/>
        <w:ind w:left="132"/>
        <w:rPr>
          <w:rFonts w:ascii="Arial" w:eastAsia="Arial" w:hAnsi="Arial" w:cs="Arial"/>
          <w:sz w:val="20"/>
          <w:szCs w:val="20"/>
        </w:rPr>
      </w:pPr>
      <w:r>
        <w:rPr>
          <w:rFonts w:ascii="Arial" w:eastAsia="Arial" w:hAnsi="Arial" w:cs="Arial"/>
          <w:noProof/>
          <w:sz w:val="20"/>
          <w:szCs w:val="20"/>
          <w:lang w:eastAsia="en-GB"/>
        </w:rPr>
        <mc:AlternateContent>
          <mc:Choice Requires="wpg">
            <w:drawing>
              <wp:inline distT="0" distB="0" distL="0" distR="0" wp14:anchorId="29C637A6" wp14:editId="345199DF">
                <wp:extent cx="5635625" cy="327660"/>
                <wp:effectExtent l="9525" t="9525" r="3175" b="5715"/>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327660"/>
                          <a:chOff x="0" y="0"/>
                          <a:chExt cx="8875" cy="516"/>
                        </a:xfrm>
                      </wpg:grpSpPr>
                      <wpg:grpSp>
                        <wpg:cNvPr id="57" name="Group 77"/>
                        <wpg:cNvGrpSpPr>
                          <a:grpSpLocks/>
                        </wpg:cNvGrpSpPr>
                        <wpg:grpSpPr bwMode="auto">
                          <a:xfrm>
                            <a:off x="15" y="11"/>
                            <a:ext cx="104" cy="492"/>
                            <a:chOff x="15" y="11"/>
                            <a:chExt cx="104" cy="492"/>
                          </a:xfrm>
                        </wpg:grpSpPr>
                        <wps:wsp>
                          <wps:cNvPr id="58" name="Freeform 78"/>
                          <wps:cNvSpPr>
                            <a:spLocks/>
                          </wps:cNvSpPr>
                          <wps:spPr bwMode="auto">
                            <a:xfrm>
                              <a:off x="15" y="11"/>
                              <a:ext cx="104" cy="492"/>
                            </a:xfrm>
                            <a:custGeom>
                              <a:avLst/>
                              <a:gdLst>
                                <a:gd name="T0" fmla="+- 0 15 15"/>
                                <a:gd name="T1" fmla="*/ T0 w 104"/>
                                <a:gd name="T2" fmla="+- 0 503 11"/>
                                <a:gd name="T3" fmla="*/ 503 h 492"/>
                                <a:gd name="T4" fmla="+- 0 119 15"/>
                                <a:gd name="T5" fmla="*/ T4 w 104"/>
                                <a:gd name="T6" fmla="+- 0 503 11"/>
                                <a:gd name="T7" fmla="*/ 503 h 492"/>
                                <a:gd name="T8" fmla="+- 0 119 15"/>
                                <a:gd name="T9" fmla="*/ T8 w 104"/>
                                <a:gd name="T10" fmla="+- 0 11 11"/>
                                <a:gd name="T11" fmla="*/ 11 h 492"/>
                                <a:gd name="T12" fmla="+- 0 15 15"/>
                                <a:gd name="T13" fmla="*/ T12 w 104"/>
                                <a:gd name="T14" fmla="+- 0 11 11"/>
                                <a:gd name="T15" fmla="*/ 11 h 492"/>
                                <a:gd name="T16" fmla="+- 0 15 15"/>
                                <a:gd name="T17" fmla="*/ T16 w 104"/>
                                <a:gd name="T18" fmla="+- 0 503 11"/>
                                <a:gd name="T19" fmla="*/ 503 h 492"/>
                              </a:gdLst>
                              <a:ahLst/>
                              <a:cxnLst>
                                <a:cxn ang="0">
                                  <a:pos x="T1" y="T3"/>
                                </a:cxn>
                                <a:cxn ang="0">
                                  <a:pos x="T5" y="T7"/>
                                </a:cxn>
                                <a:cxn ang="0">
                                  <a:pos x="T9" y="T11"/>
                                </a:cxn>
                                <a:cxn ang="0">
                                  <a:pos x="T13" y="T15"/>
                                </a:cxn>
                                <a:cxn ang="0">
                                  <a:pos x="T17" y="T19"/>
                                </a:cxn>
                              </a:cxnLst>
                              <a:rect l="0" t="0" r="r" b="b"/>
                              <a:pathLst>
                                <a:path w="104" h="492">
                                  <a:moveTo>
                                    <a:pt x="0" y="492"/>
                                  </a:moveTo>
                                  <a:lnTo>
                                    <a:pt x="104" y="492"/>
                                  </a:lnTo>
                                  <a:lnTo>
                                    <a:pt x="104"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75"/>
                        <wpg:cNvGrpSpPr>
                          <a:grpSpLocks/>
                        </wpg:cNvGrpSpPr>
                        <wpg:grpSpPr bwMode="auto">
                          <a:xfrm>
                            <a:off x="2881" y="11"/>
                            <a:ext cx="104" cy="492"/>
                            <a:chOff x="2881" y="11"/>
                            <a:chExt cx="104" cy="492"/>
                          </a:xfrm>
                        </wpg:grpSpPr>
                        <wps:wsp>
                          <wps:cNvPr id="60" name="Freeform 76"/>
                          <wps:cNvSpPr>
                            <a:spLocks/>
                          </wps:cNvSpPr>
                          <wps:spPr bwMode="auto">
                            <a:xfrm>
                              <a:off x="2881" y="11"/>
                              <a:ext cx="104" cy="492"/>
                            </a:xfrm>
                            <a:custGeom>
                              <a:avLst/>
                              <a:gdLst>
                                <a:gd name="T0" fmla="+- 0 2881 2881"/>
                                <a:gd name="T1" fmla="*/ T0 w 104"/>
                                <a:gd name="T2" fmla="+- 0 503 11"/>
                                <a:gd name="T3" fmla="*/ 503 h 492"/>
                                <a:gd name="T4" fmla="+- 0 2984 2881"/>
                                <a:gd name="T5" fmla="*/ T4 w 104"/>
                                <a:gd name="T6" fmla="+- 0 503 11"/>
                                <a:gd name="T7" fmla="*/ 503 h 492"/>
                                <a:gd name="T8" fmla="+- 0 2984 2881"/>
                                <a:gd name="T9" fmla="*/ T8 w 104"/>
                                <a:gd name="T10" fmla="+- 0 11 11"/>
                                <a:gd name="T11" fmla="*/ 11 h 492"/>
                                <a:gd name="T12" fmla="+- 0 2881 2881"/>
                                <a:gd name="T13" fmla="*/ T12 w 104"/>
                                <a:gd name="T14" fmla="+- 0 11 11"/>
                                <a:gd name="T15" fmla="*/ 11 h 492"/>
                                <a:gd name="T16" fmla="+- 0 2881 2881"/>
                                <a:gd name="T17" fmla="*/ T16 w 104"/>
                                <a:gd name="T18" fmla="+- 0 503 11"/>
                                <a:gd name="T19" fmla="*/ 503 h 492"/>
                              </a:gdLst>
                              <a:ahLst/>
                              <a:cxnLst>
                                <a:cxn ang="0">
                                  <a:pos x="T1" y="T3"/>
                                </a:cxn>
                                <a:cxn ang="0">
                                  <a:pos x="T5" y="T7"/>
                                </a:cxn>
                                <a:cxn ang="0">
                                  <a:pos x="T9" y="T11"/>
                                </a:cxn>
                                <a:cxn ang="0">
                                  <a:pos x="T13" y="T15"/>
                                </a:cxn>
                                <a:cxn ang="0">
                                  <a:pos x="T17" y="T19"/>
                                </a:cxn>
                              </a:cxnLst>
                              <a:rect l="0" t="0" r="r" b="b"/>
                              <a:pathLst>
                                <a:path w="104" h="492">
                                  <a:moveTo>
                                    <a:pt x="0" y="492"/>
                                  </a:moveTo>
                                  <a:lnTo>
                                    <a:pt x="103" y="492"/>
                                  </a:lnTo>
                                  <a:lnTo>
                                    <a:pt x="103"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73"/>
                        <wpg:cNvGrpSpPr>
                          <a:grpSpLocks/>
                        </wpg:cNvGrpSpPr>
                        <wpg:grpSpPr bwMode="auto">
                          <a:xfrm>
                            <a:off x="119" y="11"/>
                            <a:ext cx="2763" cy="492"/>
                            <a:chOff x="119" y="11"/>
                            <a:chExt cx="2763" cy="492"/>
                          </a:xfrm>
                        </wpg:grpSpPr>
                        <wps:wsp>
                          <wps:cNvPr id="62" name="Freeform 74"/>
                          <wps:cNvSpPr>
                            <a:spLocks/>
                          </wps:cNvSpPr>
                          <wps:spPr bwMode="auto">
                            <a:xfrm>
                              <a:off x="119" y="11"/>
                              <a:ext cx="2763" cy="492"/>
                            </a:xfrm>
                            <a:custGeom>
                              <a:avLst/>
                              <a:gdLst>
                                <a:gd name="T0" fmla="+- 0 119 119"/>
                                <a:gd name="T1" fmla="*/ T0 w 2763"/>
                                <a:gd name="T2" fmla="+- 0 503 11"/>
                                <a:gd name="T3" fmla="*/ 503 h 492"/>
                                <a:gd name="T4" fmla="+- 0 2881 119"/>
                                <a:gd name="T5" fmla="*/ T4 w 2763"/>
                                <a:gd name="T6" fmla="+- 0 503 11"/>
                                <a:gd name="T7" fmla="*/ 503 h 492"/>
                                <a:gd name="T8" fmla="+- 0 2881 119"/>
                                <a:gd name="T9" fmla="*/ T8 w 2763"/>
                                <a:gd name="T10" fmla="+- 0 11 11"/>
                                <a:gd name="T11" fmla="*/ 11 h 492"/>
                                <a:gd name="T12" fmla="+- 0 119 119"/>
                                <a:gd name="T13" fmla="*/ T12 w 2763"/>
                                <a:gd name="T14" fmla="+- 0 11 11"/>
                                <a:gd name="T15" fmla="*/ 11 h 492"/>
                                <a:gd name="T16" fmla="+- 0 119 119"/>
                                <a:gd name="T17" fmla="*/ T16 w 2763"/>
                                <a:gd name="T18" fmla="+- 0 503 11"/>
                                <a:gd name="T19" fmla="*/ 503 h 492"/>
                              </a:gdLst>
                              <a:ahLst/>
                              <a:cxnLst>
                                <a:cxn ang="0">
                                  <a:pos x="T1" y="T3"/>
                                </a:cxn>
                                <a:cxn ang="0">
                                  <a:pos x="T5" y="T7"/>
                                </a:cxn>
                                <a:cxn ang="0">
                                  <a:pos x="T9" y="T11"/>
                                </a:cxn>
                                <a:cxn ang="0">
                                  <a:pos x="T13" y="T15"/>
                                </a:cxn>
                                <a:cxn ang="0">
                                  <a:pos x="T17" y="T19"/>
                                </a:cxn>
                              </a:cxnLst>
                              <a:rect l="0" t="0" r="r" b="b"/>
                              <a:pathLst>
                                <a:path w="2763" h="492">
                                  <a:moveTo>
                                    <a:pt x="0" y="492"/>
                                  </a:moveTo>
                                  <a:lnTo>
                                    <a:pt x="2762" y="492"/>
                                  </a:lnTo>
                                  <a:lnTo>
                                    <a:pt x="2762"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71"/>
                        <wpg:cNvGrpSpPr>
                          <a:grpSpLocks/>
                        </wpg:cNvGrpSpPr>
                        <wpg:grpSpPr bwMode="auto">
                          <a:xfrm>
                            <a:off x="2994" y="11"/>
                            <a:ext cx="104" cy="492"/>
                            <a:chOff x="2994" y="11"/>
                            <a:chExt cx="104" cy="492"/>
                          </a:xfrm>
                        </wpg:grpSpPr>
                        <wps:wsp>
                          <wps:cNvPr id="64" name="Freeform 72"/>
                          <wps:cNvSpPr>
                            <a:spLocks/>
                          </wps:cNvSpPr>
                          <wps:spPr bwMode="auto">
                            <a:xfrm>
                              <a:off x="2994" y="11"/>
                              <a:ext cx="104" cy="492"/>
                            </a:xfrm>
                            <a:custGeom>
                              <a:avLst/>
                              <a:gdLst>
                                <a:gd name="T0" fmla="+- 0 2994 2994"/>
                                <a:gd name="T1" fmla="*/ T0 w 104"/>
                                <a:gd name="T2" fmla="+- 0 503 11"/>
                                <a:gd name="T3" fmla="*/ 503 h 492"/>
                                <a:gd name="T4" fmla="+- 0 3097 2994"/>
                                <a:gd name="T5" fmla="*/ T4 w 104"/>
                                <a:gd name="T6" fmla="+- 0 503 11"/>
                                <a:gd name="T7" fmla="*/ 503 h 492"/>
                                <a:gd name="T8" fmla="+- 0 3097 2994"/>
                                <a:gd name="T9" fmla="*/ T8 w 104"/>
                                <a:gd name="T10" fmla="+- 0 11 11"/>
                                <a:gd name="T11" fmla="*/ 11 h 492"/>
                                <a:gd name="T12" fmla="+- 0 2994 2994"/>
                                <a:gd name="T13" fmla="*/ T12 w 104"/>
                                <a:gd name="T14" fmla="+- 0 11 11"/>
                                <a:gd name="T15" fmla="*/ 11 h 492"/>
                                <a:gd name="T16" fmla="+- 0 2994 2994"/>
                                <a:gd name="T17" fmla="*/ T16 w 104"/>
                                <a:gd name="T18" fmla="+- 0 503 11"/>
                                <a:gd name="T19" fmla="*/ 503 h 492"/>
                              </a:gdLst>
                              <a:ahLst/>
                              <a:cxnLst>
                                <a:cxn ang="0">
                                  <a:pos x="T1" y="T3"/>
                                </a:cxn>
                                <a:cxn ang="0">
                                  <a:pos x="T5" y="T7"/>
                                </a:cxn>
                                <a:cxn ang="0">
                                  <a:pos x="T9" y="T11"/>
                                </a:cxn>
                                <a:cxn ang="0">
                                  <a:pos x="T13" y="T15"/>
                                </a:cxn>
                                <a:cxn ang="0">
                                  <a:pos x="T17" y="T19"/>
                                </a:cxn>
                              </a:cxnLst>
                              <a:rect l="0" t="0" r="r" b="b"/>
                              <a:pathLst>
                                <a:path w="104" h="492">
                                  <a:moveTo>
                                    <a:pt x="0" y="492"/>
                                  </a:moveTo>
                                  <a:lnTo>
                                    <a:pt x="103" y="492"/>
                                  </a:lnTo>
                                  <a:lnTo>
                                    <a:pt x="103"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69"/>
                        <wpg:cNvGrpSpPr>
                          <a:grpSpLocks/>
                        </wpg:cNvGrpSpPr>
                        <wpg:grpSpPr bwMode="auto">
                          <a:xfrm>
                            <a:off x="5857" y="11"/>
                            <a:ext cx="104" cy="492"/>
                            <a:chOff x="5857" y="11"/>
                            <a:chExt cx="104" cy="492"/>
                          </a:xfrm>
                        </wpg:grpSpPr>
                        <wps:wsp>
                          <wps:cNvPr id="66" name="Freeform 70"/>
                          <wps:cNvSpPr>
                            <a:spLocks/>
                          </wps:cNvSpPr>
                          <wps:spPr bwMode="auto">
                            <a:xfrm>
                              <a:off x="5857" y="11"/>
                              <a:ext cx="104" cy="492"/>
                            </a:xfrm>
                            <a:custGeom>
                              <a:avLst/>
                              <a:gdLst>
                                <a:gd name="T0" fmla="+- 0 5857 5857"/>
                                <a:gd name="T1" fmla="*/ T0 w 104"/>
                                <a:gd name="T2" fmla="+- 0 503 11"/>
                                <a:gd name="T3" fmla="*/ 503 h 492"/>
                                <a:gd name="T4" fmla="+- 0 5960 5857"/>
                                <a:gd name="T5" fmla="*/ T4 w 104"/>
                                <a:gd name="T6" fmla="+- 0 503 11"/>
                                <a:gd name="T7" fmla="*/ 503 h 492"/>
                                <a:gd name="T8" fmla="+- 0 5960 5857"/>
                                <a:gd name="T9" fmla="*/ T8 w 104"/>
                                <a:gd name="T10" fmla="+- 0 11 11"/>
                                <a:gd name="T11" fmla="*/ 11 h 492"/>
                                <a:gd name="T12" fmla="+- 0 5857 5857"/>
                                <a:gd name="T13" fmla="*/ T12 w 104"/>
                                <a:gd name="T14" fmla="+- 0 11 11"/>
                                <a:gd name="T15" fmla="*/ 11 h 492"/>
                                <a:gd name="T16" fmla="+- 0 5857 5857"/>
                                <a:gd name="T17" fmla="*/ T16 w 104"/>
                                <a:gd name="T18" fmla="+- 0 503 11"/>
                                <a:gd name="T19" fmla="*/ 503 h 492"/>
                              </a:gdLst>
                              <a:ahLst/>
                              <a:cxnLst>
                                <a:cxn ang="0">
                                  <a:pos x="T1" y="T3"/>
                                </a:cxn>
                                <a:cxn ang="0">
                                  <a:pos x="T5" y="T7"/>
                                </a:cxn>
                                <a:cxn ang="0">
                                  <a:pos x="T9" y="T11"/>
                                </a:cxn>
                                <a:cxn ang="0">
                                  <a:pos x="T13" y="T15"/>
                                </a:cxn>
                                <a:cxn ang="0">
                                  <a:pos x="T17" y="T19"/>
                                </a:cxn>
                              </a:cxnLst>
                              <a:rect l="0" t="0" r="r" b="b"/>
                              <a:pathLst>
                                <a:path w="104" h="492">
                                  <a:moveTo>
                                    <a:pt x="0" y="492"/>
                                  </a:moveTo>
                                  <a:lnTo>
                                    <a:pt x="103" y="492"/>
                                  </a:lnTo>
                                  <a:lnTo>
                                    <a:pt x="103"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67"/>
                        <wpg:cNvGrpSpPr>
                          <a:grpSpLocks/>
                        </wpg:cNvGrpSpPr>
                        <wpg:grpSpPr bwMode="auto">
                          <a:xfrm>
                            <a:off x="3097" y="11"/>
                            <a:ext cx="2760" cy="492"/>
                            <a:chOff x="3097" y="11"/>
                            <a:chExt cx="2760" cy="492"/>
                          </a:xfrm>
                        </wpg:grpSpPr>
                        <wps:wsp>
                          <wps:cNvPr id="68" name="Freeform 68"/>
                          <wps:cNvSpPr>
                            <a:spLocks/>
                          </wps:cNvSpPr>
                          <wps:spPr bwMode="auto">
                            <a:xfrm>
                              <a:off x="3097" y="11"/>
                              <a:ext cx="2760" cy="492"/>
                            </a:xfrm>
                            <a:custGeom>
                              <a:avLst/>
                              <a:gdLst>
                                <a:gd name="T0" fmla="+- 0 3097 3097"/>
                                <a:gd name="T1" fmla="*/ T0 w 2760"/>
                                <a:gd name="T2" fmla="+- 0 503 11"/>
                                <a:gd name="T3" fmla="*/ 503 h 492"/>
                                <a:gd name="T4" fmla="+- 0 5857 3097"/>
                                <a:gd name="T5" fmla="*/ T4 w 2760"/>
                                <a:gd name="T6" fmla="+- 0 503 11"/>
                                <a:gd name="T7" fmla="*/ 503 h 492"/>
                                <a:gd name="T8" fmla="+- 0 5857 3097"/>
                                <a:gd name="T9" fmla="*/ T8 w 2760"/>
                                <a:gd name="T10" fmla="+- 0 11 11"/>
                                <a:gd name="T11" fmla="*/ 11 h 492"/>
                                <a:gd name="T12" fmla="+- 0 3097 3097"/>
                                <a:gd name="T13" fmla="*/ T12 w 2760"/>
                                <a:gd name="T14" fmla="+- 0 11 11"/>
                                <a:gd name="T15" fmla="*/ 11 h 492"/>
                                <a:gd name="T16" fmla="+- 0 3097 3097"/>
                                <a:gd name="T17" fmla="*/ T16 w 2760"/>
                                <a:gd name="T18" fmla="+- 0 503 11"/>
                                <a:gd name="T19" fmla="*/ 503 h 492"/>
                              </a:gdLst>
                              <a:ahLst/>
                              <a:cxnLst>
                                <a:cxn ang="0">
                                  <a:pos x="T1" y="T3"/>
                                </a:cxn>
                                <a:cxn ang="0">
                                  <a:pos x="T5" y="T7"/>
                                </a:cxn>
                                <a:cxn ang="0">
                                  <a:pos x="T9" y="T11"/>
                                </a:cxn>
                                <a:cxn ang="0">
                                  <a:pos x="T13" y="T15"/>
                                </a:cxn>
                                <a:cxn ang="0">
                                  <a:pos x="T17" y="T19"/>
                                </a:cxn>
                              </a:cxnLst>
                              <a:rect l="0" t="0" r="r" b="b"/>
                              <a:pathLst>
                                <a:path w="2760" h="492">
                                  <a:moveTo>
                                    <a:pt x="0" y="492"/>
                                  </a:moveTo>
                                  <a:lnTo>
                                    <a:pt x="2760" y="492"/>
                                  </a:lnTo>
                                  <a:lnTo>
                                    <a:pt x="2760"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5"/>
                        <wpg:cNvGrpSpPr>
                          <a:grpSpLocks/>
                        </wpg:cNvGrpSpPr>
                        <wpg:grpSpPr bwMode="auto">
                          <a:xfrm>
                            <a:off x="5970" y="11"/>
                            <a:ext cx="104" cy="492"/>
                            <a:chOff x="5970" y="11"/>
                            <a:chExt cx="104" cy="492"/>
                          </a:xfrm>
                        </wpg:grpSpPr>
                        <wps:wsp>
                          <wps:cNvPr id="70" name="Freeform 66"/>
                          <wps:cNvSpPr>
                            <a:spLocks/>
                          </wps:cNvSpPr>
                          <wps:spPr bwMode="auto">
                            <a:xfrm>
                              <a:off x="5970" y="11"/>
                              <a:ext cx="104" cy="492"/>
                            </a:xfrm>
                            <a:custGeom>
                              <a:avLst/>
                              <a:gdLst>
                                <a:gd name="T0" fmla="+- 0 5970 5970"/>
                                <a:gd name="T1" fmla="*/ T0 w 104"/>
                                <a:gd name="T2" fmla="+- 0 503 11"/>
                                <a:gd name="T3" fmla="*/ 503 h 492"/>
                                <a:gd name="T4" fmla="+- 0 6073 5970"/>
                                <a:gd name="T5" fmla="*/ T4 w 104"/>
                                <a:gd name="T6" fmla="+- 0 503 11"/>
                                <a:gd name="T7" fmla="*/ 503 h 492"/>
                                <a:gd name="T8" fmla="+- 0 6073 5970"/>
                                <a:gd name="T9" fmla="*/ T8 w 104"/>
                                <a:gd name="T10" fmla="+- 0 11 11"/>
                                <a:gd name="T11" fmla="*/ 11 h 492"/>
                                <a:gd name="T12" fmla="+- 0 5970 5970"/>
                                <a:gd name="T13" fmla="*/ T12 w 104"/>
                                <a:gd name="T14" fmla="+- 0 11 11"/>
                                <a:gd name="T15" fmla="*/ 11 h 492"/>
                                <a:gd name="T16" fmla="+- 0 5970 5970"/>
                                <a:gd name="T17" fmla="*/ T16 w 104"/>
                                <a:gd name="T18" fmla="+- 0 503 11"/>
                                <a:gd name="T19" fmla="*/ 503 h 492"/>
                              </a:gdLst>
                              <a:ahLst/>
                              <a:cxnLst>
                                <a:cxn ang="0">
                                  <a:pos x="T1" y="T3"/>
                                </a:cxn>
                                <a:cxn ang="0">
                                  <a:pos x="T5" y="T7"/>
                                </a:cxn>
                                <a:cxn ang="0">
                                  <a:pos x="T9" y="T11"/>
                                </a:cxn>
                                <a:cxn ang="0">
                                  <a:pos x="T13" y="T15"/>
                                </a:cxn>
                                <a:cxn ang="0">
                                  <a:pos x="T17" y="T19"/>
                                </a:cxn>
                              </a:cxnLst>
                              <a:rect l="0" t="0" r="r" b="b"/>
                              <a:pathLst>
                                <a:path w="104" h="492">
                                  <a:moveTo>
                                    <a:pt x="0" y="492"/>
                                  </a:moveTo>
                                  <a:lnTo>
                                    <a:pt x="103" y="492"/>
                                  </a:lnTo>
                                  <a:lnTo>
                                    <a:pt x="103"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63"/>
                        <wpg:cNvGrpSpPr>
                          <a:grpSpLocks/>
                        </wpg:cNvGrpSpPr>
                        <wpg:grpSpPr bwMode="auto">
                          <a:xfrm>
                            <a:off x="8756" y="11"/>
                            <a:ext cx="104" cy="492"/>
                            <a:chOff x="8756" y="11"/>
                            <a:chExt cx="104" cy="492"/>
                          </a:xfrm>
                        </wpg:grpSpPr>
                        <wps:wsp>
                          <wps:cNvPr id="72" name="Freeform 64"/>
                          <wps:cNvSpPr>
                            <a:spLocks/>
                          </wps:cNvSpPr>
                          <wps:spPr bwMode="auto">
                            <a:xfrm>
                              <a:off x="8756" y="11"/>
                              <a:ext cx="104" cy="492"/>
                            </a:xfrm>
                            <a:custGeom>
                              <a:avLst/>
                              <a:gdLst>
                                <a:gd name="T0" fmla="+- 0 8756 8756"/>
                                <a:gd name="T1" fmla="*/ T0 w 104"/>
                                <a:gd name="T2" fmla="+- 0 503 11"/>
                                <a:gd name="T3" fmla="*/ 503 h 492"/>
                                <a:gd name="T4" fmla="+- 0 8859 8756"/>
                                <a:gd name="T5" fmla="*/ T4 w 104"/>
                                <a:gd name="T6" fmla="+- 0 503 11"/>
                                <a:gd name="T7" fmla="*/ 503 h 492"/>
                                <a:gd name="T8" fmla="+- 0 8859 8756"/>
                                <a:gd name="T9" fmla="*/ T8 w 104"/>
                                <a:gd name="T10" fmla="+- 0 11 11"/>
                                <a:gd name="T11" fmla="*/ 11 h 492"/>
                                <a:gd name="T12" fmla="+- 0 8756 8756"/>
                                <a:gd name="T13" fmla="*/ T12 w 104"/>
                                <a:gd name="T14" fmla="+- 0 11 11"/>
                                <a:gd name="T15" fmla="*/ 11 h 492"/>
                                <a:gd name="T16" fmla="+- 0 8756 8756"/>
                                <a:gd name="T17" fmla="*/ T16 w 104"/>
                                <a:gd name="T18" fmla="+- 0 503 11"/>
                                <a:gd name="T19" fmla="*/ 503 h 492"/>
                              </a:gdLst>
                              <a:ahLst/>
                              <a:cxnLst>
                                <a:cxn ang="0">
                                  <a:pos x="T1" y="T3"/>
                                </a:cxn>
                                <a:cxn ang="0">
                                  <a:pos x="T5" y="T7"/>
                                </a:cxn>
                                <a:cxn ang="0">
                                  <a:pos x="T9" y="T11"/>
                                </a:cxn>
                                <a:cxn ang="0">
                                  <a:pos x="T13" y="T15"/>
                                </a:cxn>
                                <a:cxn ang="0">
                                  <a:pos x="T17" y="T19"/>
                                </a:cxn>
                              </a:cxnLst>
                              <a:rect l="0" t="0" r="r" b="b"/>
                              <a:pathLst>
                                <a:path w="104" h="492">
                                  <a:moveTo>
                                    <a:pt x="0" y="492"/>
                                  </a:moveTo>
                                  <a:lnTo>
                                    <a:pt x="103" y="492"/>
                                  </a:lnTo>
                                  <a:lnTo>
                                    <a:pt x="103"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61"/>
                        <wpg:cNvGrpSpPr>
                          <a:grpSpLocks/>
                        </wpg:cNvGrpSpPr>
                        <wpg:grpSpPr bwMode="auto">
                          <a:xfrm>
                            <a:off x="6073" y="11"/>
                            <a:ext cx="2684" cy="492"/>
                            <a:chOff x="6073" y="11"/>
                            <a:chExt cx="2684" cy="492"/>
                          </a:xfrm>
                        </wpg:grpSpPr>
                        <wps:wsp>
                          <wps:cNvPr id="74" name="Freeform 62"/>
                          <wps:cNvSpPr>
                            <a:spLocks/>
                          </wps:cNvSpPr>
                          <wps:spPr bwMode="auto">
                            <a:xfrm>
                              <a:off x="6073" y="11"/>
                              <a:ext cx="2684" cy="492"/>
                            </a:xfrm>
                            <a:custGeom>
                              <a:avLst/>
                              <a:gdLst>
                                <a:gd name="T0" fmla="+- 0 6073 6073"/>
                                <a:gd name="T1" fmla="*/ T0 w 2684"/>
                                <a:gd name="T2" fmla="+- 0 503 11"/>
                                <a:gd name="T3" fmla="*/ 503 h 492"/>
                                <a:gd name="T4" fmla="+- 0 8756 6073"/>
                                <a:gd name="T5" fmla="*/ T4 w 2684"/>
                                <a:gd name="T6" fmla="+- 0 503 11"/>
                                <a:gd name="T7" fmla="*/ 503 h 492"/>
                                <a:gd name="T8" fmla="+- 0 8756 6073"/>
                                <a:gd name="T9" fmla="*/ T8 w 2684"/>
                                <a:gd name="T10" fmla="+- 0 11 11"/>
                                <a:gd name="T11" fmla="*/ 11 h 492"/>
                                <a:gd name="T12" fmla="+- 0 6073 6073"/>
                                <a:gd name="T13" fmla="*/ T12 w 2684"/>
                                <a:gd name="T14" fmla="+- 0 11 11"/>
                                <a:gd name="T15" fmla="*/ 11 h 492"/>
                                <a:gd name="T16" fmla="+- 0 6073 6073"/>
                                <a:gd name="T17" fmla="*/ T16 w 2684"/>
                                <a:gd name="T18" fmla="+- 0 503 11"/>
                                <a:gd name="T19" fmla="*/ 503 h 492"/>
                              </a:gdLst>
                              <a:ahLst/>
                              <a:cxnLst>
                                <a:cxn ang="0">
                                  <a:pos x="T1" y="T3"/>
                                </a:cxn>
                                <a:cxn ang="0">
                                  <a:pos x="T5" y="T7"/>
                                </a:cxn>
                                <a:cxn ang="0">
                                  <a:pos x="T9" y="T11"/>
                                </a:cxn>
                                <a:cxn ang="0">
                                  <a:pos x="T13" y="T15"/>
                                </a:cxn>
                                <a:cxn ang="0">
                                  <a:pos x="T17" y="T19"/>
                                </a:cxn>
                              </a:cxnLst>
                              <a:rect l="0" t="0" r="r" b="b"/>
                              <a:pathLst>
                                <a:path w="2684" h="492">
                                  <a:moveTo>
                                    <a:pt x="0" y="492"/>
                                  </a:moveTo>
                                  <a:lnTo>
                                    <a:pt x="2683" y="492"/>
                                  </a:lnTo>
                                  <a:lnTo>
                                    <a:pt x="2683" y="0"/>
                                  </a:lnTo>
                                  <a:lnTo>
                                    <a:pt x="0" y="0"/>
                                  </a:lnTo>
                                  <a:lnTo>
                                    <a:pt x="0" y="492"/>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59"/>
                        <wpg:cNvGrpSpPr>
                          <a:grpSpLocks/>
                        </wpg:cNvGrpSpPr>
                        <wpg:grpSpPr bwMode="auto">
                          <a:xfrm>
                            <a:off x="6" y="6"/>
                            <a:ext cx="8864" cy="2"/>
                            <a:chOff x="6" y="6"/>
                            <a:chExt cx="8864" cy="2"/>
                          </a:xfrm>
                        </wpg:grpSpPr>
                        <wps:wsp>
                          <wps:cNvPr id="76" name="Freeform 60"/>
                          <wps:cNvSpPr>
                            <a:spLocks/>
                          </wps:cNvSpPr>
                          <wps:spPr bwMode="auto">
                            <a:xfrm>
                              <a:off x="6" y="6"/>
                              <a:ext cx="8864" cy="2"/>
                            </a:xfrm>
                            <a:custGeom>
                              <a:avLst/>
                              <a:gdLst>
                                <a:gd name="T0" fmla="+- 0 6 6"/>
                                <a:gd name="T1" fmla="*/ T0 w 8864"/>
                                <a:gd name="T2" fmla="+- 0 8869 6"/>
                                <a:gd name="T3" fmla="*/ T2 w 8864"/>
                              </a:gdLst>
                              <a:ahLst/>
                              <a:cxnLst>
                                <a:cxn ang="0">
                                  <a:pos x="T1" y="0"/>
                                </a:cxn>
                                <a:cxn ang="0">
                                  <a:pos x="T3" y="0"/>
                                </a:cxn>
                              </a:cxnLst>
                              <a:rect l="0" t="0" r="r" b="b"/>
                              <a:pathLst>
                                <a:path w="8864">
                                  <a:moveTo>
                                    <a:pt x="0" y="0"/>
                                  </a:moveTo>
                                  <a:lnTo>
                                    <a:pt x="88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7"/>
                        <wpg:cNvGrpSpPr>
                          <a:grpSpLocks/>
                        </wpg:cNvGrpSpPr>
                        <wpg:grpSpPr bwMode="auto">
                          <a:xfrm>
                            <a:off x="11" y="11"/>
                            <a:ext cx="2" cy="495"/>
                            <a:chOff x="11" y="11"/>
                            <a:chExt cx="2" cy="495"/>
                          </a:xfrm>
                        </wpg:grpSpPr>
                        <wps:wsp>
                          <wps:cNvPr id="78" name="Freeform 58"/>
                          <wps:cNvSpPr>
                            <a:spLocks/>
                          </wps:cNvSpPr>
                          <wps:spPr bwMode="auto">
                            <a:xfrm>
                              <a:off x="11" y="11"/>
                              <a:ext cx="2" cy="495"/>
                            </a:xfrm>
                            <a:custGeom>
                              <a:avLst/>
                              <a:gdLst>
                                <a:gd name="T0" fmla="+- 0 11 11"/>
                                <a:gd name="T1" fmla="*/ 11 h 495"/>
                                <a:gd name="T2" fmla="+- 0 505 11"/>
                                <a:gd name="T3" fmla="*/ 505 h 495"/>
                              </a:gdLst>
                              <a:ahLst/>
                              <a:cxnLst>
                                <a:cxn ang="0">
                                  <a:pos x="0" y="T1"/>
                                </a:cxn>
                                <a:cxn ang="0">
                                  <a:pos x="0" y="T3"/>
                                </a:cxn>
                              </a:cxnLst>
                              <a:rect l="0" t="0" r="r" b="b"/>
                              <a:pathLst>
                                <a:path h="495">
                                  <a:moveTo>
                                    <a:pt x="0" y="0"/>
                                  </a:moveTo>
                                  <a:lnTo>
                                    <a:pt x="0" y="4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5"/>
                        <wpg:cNvGrpSpPr>
                          <a:grpSpLocks/>
                        </wpg:cNvGrpSpPr>
                        <wpg:grpSpPr bwMode="auto">
                          <a:xfrm>
                            <a:off x="6" y="510"/>
                            <a:ext cx="8864" cy="2"/>
                            <a:chOff x="6" y="510"/>
                            <a:chExt cx="8864" cy="2"/>
                          </a:xfrm>
                        </wpg:grpSpPr>
                        <wps:wsp>
                          <wps:cNvPr id="80" name="Freeform 56"/>
                          <wps:cNvSpPr>
                            <a:spLocks/>
                          </wps:cNvSpPr>
                          <wps:spPr bwMode="auto">
                            <a:xfrm>
                              <a:off x="6" y="510"/>
                              <a:ext cx="8864" cy="2"/>
                            </a:xfrm>
                            <a:custGeom>
                              <a:avLst/>
                              <a:gdLst>
                                <a:gd name="T0" fmla="+- 0 6 6"/>
                                <a:gd name="T1" fmla="*/ T0 w 8864"/>
                                <a:gd name="T2" fmla="+- 0 8869 6"/>
                                <a:gd name="T3" fmla="*/ T2 w 8864"/>
                              </a:gdLst>
                              <a:ahLst/>
                              <a:cxnLst>
                                <a:cxn ang="0">
                                  <a:pos x="T1" y="0"/>
                                </a:cxn>
                                <a:cxn ang="0">
                                  <a:pos x="T3" y="0"/>
                                </a:cxn>
                              </a:cxnLst>
                              <a:rect l="0" t="0" r="r" b="b"/>
                              <a:pathLst>
                                <a:path w="8864">
                                  <a:moveTo>
                                    <a:pt x="0" y="0"/>
                                  </a:moveTo>
                                  <a:lnTo>
                                    <a:pt x="88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53"/>
                        <wpg:cNvGrpSpPr>
                          <a:grpSpLocks/>
                        </wpg:cNvGrpSpPr>
                        <wpg:grpSpPr bwMode="auto">
                          <a:xfrm>
                            <a:off x="2989" y="11"/>
                            <a:ext cx="2" cy="495"/>
                            <a:chOff x="2989" y="11"/>
                            <a:chExt cx="2" cy="495"/>
                          </a:xfrm>
                        </wpg:grpSpPr>
                        <wps:wsp>
                          <wps:cNvPr id="82" name="Freeform 54"/>
                          <wps:cNvSpPr>
                            <a:spLocks/>
                          </wps:cNvSpPr>
                          <wps:spPr bwMode="auto">
                            <a:xfrm>
                              <a:off x="2989" y="11"/>
                              <a:ext cx="2" cy="495"/>
                            </a:xfrm>
                            <a:custGeom>
                              <a:avLst/>
                              <a:gdLst>
                                <a:gd name="T0" fmla="+- 0 11 11"/>
                                <a:gd name="T1" fmla="*/ 11 h 495"/>
                                <a:gd name="T2" fmla="+- 0 505 11"/>
                                <a:gd name="T3" fmla="*/ 505 h 495"/>
                              </a:gdLst>
                              <a:ahLst/>
                              <a:cxnLst>
                                <a:cxn ang="0">
                                  <a:pos x="0" y="T1"/>
                                </a:cxn>
                                <a:cxn ang="0">
                                  <a:pos x="0" y="T3"/>
                                </a:cxn>
                              </a:cxnLst>
                              <a:rect l="0" t="0" r="r" b="b"/>
                              <a:pathLst>
                                <a:path h="495">
                                  <a:moveTo>
                                    <a:pt x="0" y="0"/>
                                  </a:moveTo>
                                  <a:lnTo>
                                    <a:pt x="0" y="4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51"/>
                        <wpg:cNvGrpSpPr>
                          <a:grpSpLocks/>
                        </wpg:cNvGrpSpPr>
                        <wpg:grpSpPr bwMode="auto">
                          <a:xfrm>
                            <a:off x="5965" y="11"/>
                            <a:ext cx="2" cy="495"/>
                            <a:chOff x="5965" y="11"/>
                            <a:chExt cx="2" cy="495"/>
                          </a:xfrm>
                        </wpg:grpSpPr>
                        <wps:wsp>
                          <wps:cNvPr id="84" name="Freeform 52"/>
                          <wps:cNvSpPr>
                            <a:spLocks/>
                          </wps:cNvSpPr>
                          <wps:spPr bwMode="auto">
                            <a:xfrm>
                              <a:off x="5965" y="11"/>
                              <a:ext cx="2" cy="495"/>
                            </a:xfrm>
                            <a:custGeom>
                              <a:avLst/>
                              <a:gdLst>
                                <a:gd name="T0" fmla="+- 0 11 11"/>
                                <a:gd name="T1" fmla="*/ 11 h 495"/>
                                <a:gd name="T2" fmla="+- 0 505 11"/>
                                <a:gd name="T3" fmla="*/ 505 h 495"/>
                              </a:gdLst>
                              <a:ahLst/>
                              <a:cxnLst>
                                <a:cxn ang="0">
                                  <a:pos x="0" y="T1"/>
                                </a:cxn>
                                <a:cxn ang="0">
                                  <a:pos x="0" y="T3"/>
                                </a:cxn>
                              </a:cxnLst>
                              <a:rect l="0" t="0" r="r" b="b"/>
                              <a:pathLst>
                                <a:path h="495">
                                  <a:moveTo>
                                    <a:pt x="0" y="0"/>
                                  </a:moveTo>
                                  <a:lnTo>
                                    <a:pt x="0" y="4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49"/>
                        <wpg:cNvGrpSpPr>
                          <a:grpSpLocks/>
                        </wpg:cNvGrpSpPr>
                        <wpg:grpSpPr bwMode="auto">
                          <a:xfrm>
                            <a:off x="8864" y="11"/>
                            <a:ext cx="2" cy="495"/>
                            <a:chOff x="8864" y="11"/>
                            <a:chExt cx="2" cy="495"/>
                          </a:xfrm>
                        </wpg:grpSpPr>
                        <wps:wsp>
                          <wps:cNvPr id="86" name="Freeform 50"/>
                          <wps:cNvSpPr>
                            <a:spLocks/>
                          </wps:cNvSpPr>
                          <wps:spPr bwMode="auto">
                            <a:xfrm>
                              <a:off x="8864" y="11"/>
                              <a:ext cx="2" cy="495"/>
                            </a:xfrm>
                            <a:custGeom>
                              <a:avLst/>
                              <a:gdLst>
                                <a:gd name="T0" fmla="+- 0 11 11"/>
                                <a:gd name="T1" fmla="*/ 11 h 495"/>
                                <a:gd name="T2" fmla="+- 0 505 11"/>
                                <a:gd name="T3" fmla="*/ 505 h 495"/>
                              </a:gdLst>
                              <a:ahLst/>
                              <a:cxnLst>
                                <a:cxn ang="0">
                                  <a:pos x="0" y="T1"/>
                                </a:cxn>
                                <a:cxn ang="0">
                                  <a:pos x="0" y="T3"/>
                                </a:cxn>
                              </a:cxnLst>
                              <a:rect l="0" t="0" r="r" b="b"/>
                              <a:pathLst>
                                <a:path h="495">
                                  <a:moveTo>
                                    <a:pt x="0" y="0"/>
                                  </a:moveTo>
                                  <a:lnTo>
                                    <a:pt x="0" y="4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D3DF07" id="Group 48" o:spid="_x0000_s1026" style="width:443.75pt;height:25.8pt;mso-position-horizontal-relative:char;mso-position-vertical-relative:line" coordsize="887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">
                <v:group id="Group 77" o:spid="_x0000_s1027" style="position:absolute;left:15;top:11;width:104;height:492" coordorigin="15,11" coordsize="10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78" o:spid="_x0000_s1028" style="position:absolute;left:15;top:11;width:104;height:492;visibility:visible;mso-wrap-style:square;v-text-anchor:top" coordsize="10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dTsAA&#10;AADbAAAADwAAAGRycy9kb3ducmV2LnhtbERPy4rCMBTdC/MP4Q6403QGFadjFBkQXLixunB2l+ba&#10;9JGb0kRb/94sBJeH815tBtuIO3W+dKzga5qAIM6dLrlQcD7tJksQPiBrbByTggd52Kw/RitMtev5&#10;SPcsFCKGsE9RgQmhTaX0uSGLfupa4shdXWcxRNgVUnfYx3DbyO8kWUiLJccGgy39Gcrr7GYVuH7Y&#10;Xg6PZfZfV7OwY3O6/swqpcafw/YXRKAhvMUv914rmMex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hdTsAAAADbAAAADwAAAAAAAAAAAAAAAACYAgAAZHJzL2Rvd25y&#10;ZXYueG1sUEsFBgAAAAAEAAQA9QAAAIUDAAAAAA==&#10;" path="m,492r104,l104,,,,,492xe" fillcolor="#eeece1" stroked="f">
                    <v:path arrowok="t" o:connecttype="custom" o:connectlocs="0,503;104,503;104,11;0,11;0,503" o:connectangles="0,0,0,0,0"/>
                  </v:shape>
                </v:group>
                <v:group id="Group 75" o:spid="_x0000_s1029" style="position:absolute;left:2881;top:11;width:104;height:492" coordorigin="2881,11" coordsize="10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76" o:spid="_x0000_s1030" style="position:absolute;left:2881;top:11;width:104;height:492;visibility:visible;mso-wrap-style:square;v-text-anchor:top" coordsize="10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b9cEA&#10;AADbAAAADwAAAGRycy9kb3ducmV2LnhtbERPu2rDMBTdC/0HcQPdajnBBNeNEkIh0KFL7Q7tdrFu&#10;LD90ZSzFdv6+GgodD+d9OK12EDNNvnWsYJukIIhrp1tuFHxVl+cchA/IGgfHpOBOHk7Hx4cDFtot&#10;/ElzGRoRQ9gXqMCEMBZS+tqQRZ+4kThyVzdZDBFOjdQTLjHcDnKXpntpseXYYHCkN0N1X96sAres&#10;5++Pe17+9F0WLmyq60vWKfW0Wc+vIAKt4V/8537XCvZxffwSf4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Cm/XBAAAA2wAAAA8AAAAAAAAAAAAAAAAAmAIAAGRycy9kb3du&#10;cmV2LnhtbFBLBQYAAAAABAAEAPUAAACGAwAAAAA=&#10;" path="m,492r103,l103,,,,,492xe" fillcolor="#eeece1" stroked="f">
                    <v:path arrowok="t" o:connecttype="custom" o:connectlocs="0,503;103,503;103,11;0,11;0,503" o:connectangles="0,0,0,0,0"/>
                  </v:shape>
                </v:group>
                <v:group id="Group 73" o:spid="_x0000_s1031" style="position:absolute;left:119;top:11;width:2763;height:492" coordorigin="119,11" coordsize="276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4" o:spid="_x0000_s1032" style="position:absolute;left:119;top:11;width:2763;height:492;visibility:visible;mso-wrap-style:square;v-text-anchor:top" coordsize="276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bcMA&#10;AADbAAAADwAAAGRycy9kb3ducmV2LnhtbDSPzWrDMBCE74G+g9hCLyGWG0IIjpVQDKW9NP+HHBdr&#10;a5laK2Opsf32UaE5DvPNDJNvB9uIG3W+dqzgNUlBEJdO11wpuJzfZysQPiBrbByTgpE8bDdPkxwz&#10;7Xo+0u0UKhFL2GeowITQZlL60pBFn7iWOHrfrrMYouwqqTvsY7lt5DxNl9JizXHBYEuFofLn9GsV&#10;7EJhdl/Ta3UoPI973LsPs3BKvTwPb2sQgYYIPOD/9KdWsJzD3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NbcMAAADbAAAADwAAAAAAAAAAAAAAAACYAgAAZHJzL2Rv&#10;d25yZXYueG1sUEsFBgAAAAAEAAQA9QAAAIgDAAAAAA==&#10;" path="m,492r2762,l2762,,,,,492xe" fillcolor="#eeece1" stroked="f">
                    <v:path arrowok="t" o:connecttype="custom" o:connectlocs="0,503;2762,503;2762,11;0,11;0,503" o:connectangles="0,0,0,0,0"/>
                  </v:shape>
                </v:group>
                <v:group id="Group 71" o:spid="_x0000_s1033" style="position:absolute;left:2994;top:11;width:104;height:492" coordorigin="2994,11" coordsize="10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72" o:spid="_x0000_s1034" style="position:absolute;left:2994;top:11;width:104;height:492;visibility:visible;mso-wrap-style:square;v-text-anchor:top" coordsize="10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9sIA&#10;AADbAAAADwAAAGRycy9kb3ducmV2LnhtbESPQYvCMBSE7wv+h/AEb2uqFNFqFBEED1627kFvj+bZ&#10;VJuX0kRb//1GEPY4zMw3zGrT21o8qfWVYwWTcQKCuHC64lLB72n/PQfhA7LG2jEpeJGHzXrwtcJM&#10;u45/6JmHUkQI+wwVmBCaTEpfGLLox64hjt7VtRZDlG0pdYtdhNtaTpNkJi1WHBcMNrQzVNzzh1Xg&#10;un57Pr7m+eV+S8Oezem6SG9KjYb9dgkiUB/+w5/2QSuYpfD+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32wgAAANsAAAAPAAAAAAAAAAAAAAAAAJgCAABkcnMvZG93&#10;bnJldi54bWxQSwUGAAAAAAQABAD1AAAAhwMAAAAA&#10;" path="m,492r103,l103,,,,,492xe" fillcolor="#eeece1" stroked="f">
                    <v:path arrowok="t" o:connecttype="custom" o:connectlocs="0,503;103,503;103,11;0,11;0,503" o:connectangles="0,0,0,0,0"/>
                  </v:shape>
                </v:group>
                <v:group id="Group 69" o:spid="_x0000_s1035" style="position:absolute;left:5857;top:11;width:104;height:492" coordorigin="5857,11" coordsize="10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70" o:spid="_x0000_s1036" style="position:absolute;left:5857;top:11;width:104;height:492;visibility:visible;mso-wrap-style:square;v-text-anchor:top" coordsize="10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mGsIA&#10;AADbAAAADwAAAGRycy9kb3ducmV2LnhtbESPQYvCMBSE7wv+h/AEb2uqSNFqFBEED16se9Dbo3k2&#10;1ealNNHWf28WFvY4zMw3zGrT21q8qPWVYwWTcQKCuHC64lLBz3n/PQfhA7LG2jEpeJOHzXrwtcJM&#10;u45P9MpDKSKEfYYKTAhNJqUvDFn0Y9cQR+/mWoshyraUusUuwm0tp0mSSosVxwWDDe0MFY/8aRW4&#10;rt9eju95fn3cZ2HP5nxbzO5KjYb9dgkiUB/+w3/tg1aQpvD7Jf4A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6YawgAAANsAAAAPAAAAAAAAAAAAAAAAAJgCAABkcnMvZG93&#10;bnJldi54bWxQSwUGAAAAAAQABAD1AAAAhwMAAAAA&#10;" path="m,492r103,l103,,,,,492xe" fillcolor="#eeece1" stroked="f">
                    <v:path arrowok="t" o:connecttype="custom" o:connectlocs="0,503;103,503;103,11;0,11;0,503" o:connectangles="0,0,0,0,0"/>
                  </v:shape>
                </v:group>
                <v:group id="Group 67" o:spid="_x0000_s1037" style="position:absolute;left:3097;top:11;width:2760;height:492" coordorigin="3097,11" coordsize="276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8" o:spid="_x0000_s1038" style="position:absolute;left:3097;top:11;width:2760;height:492;visibility:visible;mso-wrap-style:square;v-text-anchor:top" coordsize="276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oMAA&#10;AADbAAAADwAAAGRycy9kb3ducmV2LnhtbERPTYvCMBC9C/sfwix403QXFK1NZREUwZNaD96GZmyj&#10;zaQ02Vr/vTks7PHxvrP1YBvRU+eNYwVf0wQEcem04UpBcd5OFiB8QNbYOCYFL/Kwzj9GGabaPflI&#10;/SlUIoawT1FBHUKbSunLmiz6qWuJI3dzncUQYVdJ3eEzhttGfifJXFo0HBtqbGlTU/k4/VoF/W12&#10;v/S75fLC+x0NV2keh8IoNf4cflYgAg3hX/zn3msF8zg2fok/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doMAAAADbAAAADwAAAAAAAAAAAAAAAACYAgAAZHJzL2Rvd25y&#10;ZXYueG1sUEsFBgAAAAAEAAQA9QAAAIUDAAAAAA==&#10;" path="m,492r2760,l2760,,,,,492xe" fillcolor="#eeece1" stroked="f">
                    <v:path arrowok="t" o:connecttype="custom" o:connectlocs="0,503;2760,503;2760,11;0,11;0,503" o:connectangles="0,0,0,0,0"/>
                  </v:shape>
                </v:group>
                <v:group id="Group 65" o:spid="_x0000_s1039" style="position:absolute;left:5970;top:11;width:104;height:492" coordorigin="5970,11" coordsize="10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6" o:spid="_x0000_s1040" style="position:absolute;left:5970;top:11;width:104;height:492;visibility:visible;mso-wrap-style:square;v-text-anchor:top" coordsize="10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NKMAA&#10;AADbAAAADwAAAGRycy9kb3ducmV2LnhtbERPy4rCMBTdC/MP4Q6403QGUadjFBkQXLixunB2l+ba&#10;9JGb0kRb/94sBJeH815tBtuIO3W+dKzga5qAIM6dLrlQcD7tJksQPiBrbByTggd52Kw/RitMtev5&#10;SPcsFCKGsE9RgQmhTaX0uSGLfupa4shdXWcxRNgVUnfYx3DbyO8kmUuLJccGgy39Gcrr7GYVuH7Y&#10;Xg6PZfZfV7OwY3O6/swqpcafw/YXRKAhvMUv914rWMT1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sNKMAAAADbAAAADwAAAAAAAAAAAAAAAACYAgAAZHJzL2Rvd25y&#10;ZXYueG1sUEsFBgAAAAAEAAQA9QAAAIUDAAAAAA==&#10;" path="m,492r103,l103,,,,,492xe" fillcolor="#eeece1" stroked="f">
                    <v:path arrowok="t" o:connecttype="custom" o:connectlocs="0,503;103,503;103,11;0,11;0,503" o:connectangles="0,0,0,0,0"/>
                  </v:shape>
                </v:group>
                <v:group id="Group 63" o:spid="_x0000_s1041" style="position:absolute;left:8756;top:11;width:104;height:492" coordorigin="8756,11" coordsize="10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4" o:spid="_x0000_s1042" style="position:absolute;left:8756;top:11;width:104;height:492;visibility:visible;mso-wrap-style:square;v-text-anchor:top" coordsize="10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2xMMA&#10;AADbAAAADwAAAGRycy9kb3ducmV2LnhtbESPQYvCMBSE7wv+h/AEb2uqyG6tRhFB8OBlqwe9PZpn&#10;U21eShNt/fdmYWGPw8x8wyzXva3Fk1pfOVYwGScgiAunKy4VnI67zxSED8gaa8ek4EUe1qvBxxIz&#10;7Tr+oWceShEh7DNUYEJoMil9YciiH7uGOHpX11oMUbal1C12EW5rOU2SL2mx4rhgsKGtoeKeP6wC&#10;1/Wb8+GV5pf7bRZ2bI7X+eym1GjYbxYgAvXhP/zX3msF31P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2xMMAAADbAAAADwAAAAAAAAAAAAAAAACYAgAAZHJzL2Rv&#10;d25yZXYueG1sUEsFBgAAAAAEAAQA9QAAAIgDAAAAAA==&#10;" path="m,492r103,l103,,,,,492xe" fillcolor="#eeece1" stroked="f">
                    <v:path arrowok="t" o:connecttype="custom" o:connectlocs="0,503;103,503;103,11;0,11;0,503" o:connectangles="0,0,0,0,0"/>
                  </v:shape>
                </v:group>
                <v:group id="Group 61" o:spid="_x0000_s1043" style="position:absolute;left:6073;top:11;width:2684;height:492" coordorigin="6073,11" coordsize="268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2" o:spid="_x0000_s1044" style="position:absolute;left:6073;top:11;width:2684;height:492;visibility:visible;mso-wrap-style:square;v-text-anchor:top" coordsize="268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LGMUA&#10;AADbAAAADwAAAGRycy9kb3ducmV2LnhtbESPQWvCQBSE70L/w/KE3nSjlFaimyDSQqn1YBS9PrKv&#10;SWj2bcxuTNpf3xUKHoeZ+YZZpYOpxZVaV1lWMJtGIIhzqysuFBwPb5MFCOeRNdaWScEPOUiTh9EK&#10;Y2173tM184UIEHYxKii9b2IpXV6SQTe1DXHwvmxr0AfZFlK32Ae4qeU8ip6lwYrDQokNbUrKv7PO&#10;KDDb101/6nYX2f1mW/Jn9zH7zJV6HA/rJQhPg7+H/9vvWsHLE9y+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AsYxQAAANsAAAAPAAAAAAAAAAAAAAAAAJgCAABkcnMv&#10;ZG93bnJldi54bWxQSwUGAAAAAAQABAD1AAAAigMAAAAA&#10;" path="m,492r2683,l2683,,,,,492xe" fillcolor="#eeece1" stroked="f">
                    <v:path arrowok="t" o:connecttype="custom" o:connectlocs="0,503;2683,503;2683,11;0,11;0,503" o:connectangles="0,0,0,0,0"/>
                  </v:shape>
                </v:group>
                <v:group id="Group 59" o:spid="_x0000_s1045" style="position:absolute;left:6;top:6;width:8864;height:2" coordorigin="6,6"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0" o:spid="_x0000_s1046" style="position:absolute;left:6;top:6;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vAsUA&#10;AADbAAAADwAAAGRycy9kb3ducmV2LnhtbESPQWvCQBSE7wX/w/IEb3VjD4mkriKKIBRDm4rn1+xr&#10;kpp9G7JrkvbXdwtCj8PMfMOsNqNpRE+dqy0rWMwjEMSF1TWXCs7vh8clCOeRNTaWScE3OdisJw8r&#10;TLUd+I363JciQNilqKDyvk2ldEVFBt3ctsTB+7SdQR9kV0rd4RDgppFPURRLgzWHhQpb2lVUXPOb&#10;UZDv/Cn5+jgc29vlxe0jypKf10yp2XTcPoPwNPr/8L191AqSG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28CxQAAANsAAAAPAAAAAAAAAAAAAAAAAJgCAABkcnMv&#10;ZG93bnJldi54bWxQSwUGAAAAAAQABAD1AAAAigMAAAAA&#10;" path="m,l8863,e" filled="f" strokeweight=".58pt">
                    <v:path arrowok="t" o:connecttype="custom" o:connectlocs="0,0;8863,0" o:connectangles="0,0"/>
                  </v:shape>
                </v:group>
                <v:group id="Group 57" o:spid="_x0000_s1047" style="position:absolute;left:11;top:11;width:2;height:495" coordorigin="11,11"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8" o:spid="_x0000_s1048" style="position:absolute;left:11;top:11;width:2;height:4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Sar8A&#10;AADbAAAADwAAAGRycy9kb3ducmV2LnhtbERPzYrCMBC+C75DGGFvmtrD6naNIoooggd1H2BoZpvu&#10;NpPYRK1vbw6Cx4/vf7bobCNu1IbasYLxKANBXDpdc6Xg57wZTkGEiKyxcUwKHhRgMe/3Zlhod+cj&#10;3U6xEimEQ4EKTIy+kDKUhiyGkfPEift1rcWYYFtJ3eI9hdtG5ln2KS3WnBoMeloZKv9PV6uAtvba&#10;ebP/y33efB0u60B6WSr1MeiW3yAidfEtfrl3WsEkjU1f0g+Q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ydJqvwAAANsAAAAPAAAAAAAAAAAAAAAAAJgCAABkcnMvZG93bnJl&#10;di54bWxQSwUGAAAAAAQABAD1AAAAhAMAAAAA&#10;" path="m,l,494e" filled="f" strokeweight=".58pt">
                    <v:path arrowok="t" o:connecttype="custom" o:connectlocs="0,11;0,505" o:connectangles="0,0"/>
                  </v:shape>
                </v:group>
                <v:group id="Group 55" o:spid="_x0000_s1049" style="position:absolute;left:6;top:510;width:8864;height:2" coordorigin="6,510"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56" o:spid="_x0000_s1050" style="position:absolute;left:6;top:510;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iysIA&#10;AADbAAAADwAAAGRycy9kb3ducmV2LnhtbERPz2vCMBS+D/wfwhN2W1N3UOmaluEQBJls3dj52Tzb&#10;zualJFGrf/1yGHj8+H7n5Wh6cSbnO8sKZkkKgri2uuNGwffX+mkJwgdkjb1lUnAlD2Uxecgx0/bC&#10;n3SuQiNiCPsMFbQhDJmUvm7JoE/sQBy5g3UGQ4SukdrhJYabXj6n6Vwa7Dg2tDjQqqX6WJ2MgmoV&#10;3he/+/VmOP1s/VtKu8XtY6fU43R8fQERaAx38b97oxUs4/r4Jf4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yLKwgAAANsAAAAPAAAAAAAAAAAAAAAAAJgCAABkcnMvZG93&#10;bnJldi54bWxQSwUGAAAAAAQABAD1AAAAhwMAAAAA&#10;" path="m,l8863,e" filled="f" strokeweight=".58pt">
                    <v:path arrowok="t" o:connecttype="custom" o:connectlocs="0,0;8863,0" o:connectangles="0,0"/>
                  </v:shape>
                </v:group>
                <v:group id="Group 53" o:spid="_x0000_s1051" style="position:absolute;left:2989;top:11;width:2;height:495" coordorigin="2989,11"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54" o:spid="_x0000_s1052" style="position:absolute;left:2989;top:11;width:2;height:4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Vp8MA&#10;AADbAAAADwAAAGRycy9kb3ducmV2LnhtbESPwWrDMBBE74X8g9hAb41cH4rrRgmhIaQEcojbD1is&#10;reXWWimWYrt/HwUCPQ4z84ZZrifbiYH60DpW8LzIQBDXTrfcKPj63D0VIEJE1tg5JgV/FGC9mj0s&#10;sdRu5BMNVWxEgnAoUYGJ0ZdShtqQxbBwnjh53663GJPsG6l7HBPcdjLPshdpseW0YNDTu6H6t7pY&#10;BbS3l8mbw0/u8+71eN4G0ptaqcf5tHkDEWmK/+F7+0MrKHK4fUk/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SVp8MAAADbAAAADwAAAAAAAAAAAAAAAACYAgAAZHJzL2Rv&#10;d25yZXYueG1sUEsFBgAAAAAEAAQA9QAAAIgDAAAAAA==&#10;" path="m,l,494e" filled="f" strokeweight=".58pt">
                    <v:path arrowok="t" o:connecttype="custom" o:connectlocs="0,11;0,505" o:connectangles="0,0"/>
                  </v:shape>
                </v:group>
                <v:group id="Group 51" o:spid="_x0000_s1053" style="position:absolute;left:5965;top:11;width:2;height:495" coordorigin="5965,11"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52" o:spid="_x0000_s1054" style="position:absolute;left:5965;top:11;width:2;height:4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oSMIA&#10;AADbAAAADwAAAGRycy9kb3ducmV2LnhtbESP0WoCMRRE3wv9h3AF32rWRcSuRpGKKAUfqv2Ay+a6&#10;Wd3cxE3U9e8bQejjMDNnmNmis424URtqxwqGgwwEcel0zZWC38P6YwIiRGSNjWNS8KAAi/n72wwL&#10;7e78Q7d9rESCcChQgYnRF1KG0pDFMHCeOHlH11qMSbaV1C3eE9w2Ms+ysbRYc1ow6OnLUHneX60C&#10;2thr5833Kfd587m7rALpZalUv9ctpyAidfE//GpvtYLJCJ5f0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hIwgAAANsAAAAPAAAAAAAAAAAAAAAAAJgCAABkcnMvZG93&#10;bnJldi54bWxQSwUGAAAAAAQABAD1AAAAhwMAAAAA&#10;" path="m,l,494e" filled="f" strokeweight=".58pt">
                    <v:path arrowok="t" o:connecttype="custom" o:connectlocs="0,11;0,505" o:connectangles="0,0"/>
                  </v:shape>
                </v:group>
                <v:group id="Group 49" o:spid="_x0000_s1055" style="position:absolute;left:8864;top:11;width:2;height:495" coordorigin="8864,11"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0" o:spid="_x0000_s1056" style="position:absolute;left:8864;top:11;width:2;height:4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pMEA&#10;AADbAAAADwAAAGRycy9kb3ducmV2LnhtbESPQYvCMBSE7wv+h/AEb2tqD+JWo4giuwgeVv0Bj+bZ&#10;VJuX2ESt/94IC3scZuYbZrbobCPu1IbasYLRMANBXDpdc6XgeNh8TkCEiKyxcUwKnhRgMe99zLDQ&#10;7sG/dN/HSiQIhwIVmBh9IWUoDVkMQ+eJk3dyrcWYZFtJ3eIjwW0j8ywbS4s1pwWDnlaGysv+ZhXQ&#10;t7113mzPuc+br911HUgvS6UG/W45BRGpi//hv/aPVjAZw/tL+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Pk6TBAAAA2wAAAA8AAAAAAAAAAAAAAAAAmAIAAGRycy9kb3du&#10;cmV2LnhtbFBLBQYAAAAABAAEAPUAAACGAwAAAAA=&#10;" path="m,l,494e" filled="f" strokeweight=".58pt">
                    <v:path arrowok="t" o:connecttype="custom" o:connectlocs="0,11;0,505" o:connectangles="0,0"/>
                  </v:shape>
                </v:group>
                <w10:anchorlock/>
              </v:group>
            </w:pict>
          </mc:Fallback>
        </mc:AlternateContent>
      </w:r>
    </w:p>
    <w:p w:rsidR="008918FA" w:rsidRDefault="008918FA" w:rsidP="008918FA">
      <w:pPr>
        <w:spacing w:line="200" w:lineRule="atLeast"/>
        <w:rPr>
          <w:rFonts w:ascii="Arial" w:eastAsia="Arial" w:hAnsi="Arial" w:cs="Arial"/>
          <w:sz w:val="20"/>
          <w:szCs w:val="20"/>
        </w:rPr>
        <w:sectPr w:rsidR="008918FA">
          <w:pgSz w:w="11910" w:h="16840"/>
          <w:pgMar w:top="1480" w:right="1200" w:bottom="1180" w:left="1580" w:header="0" w:footer="987" w:gutter="0"/>
          <w:cols w:space="720"/>
        </w:sectPr>
      </w:pPr>
    </w:p>
    <w:p w:rsidR="008918FA" w:rsidRDefault="008918FA" w:rsidP="008918FA">
      <w:pPr>
        <w:rPr>
          <w:rFonts w:ascii="Times New Roman" w:eastAsia="Times New Roman" w:hAnsi="Times New Roman" w:cs="Times New Roman"/>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2978"/>
        <w:gridCol w:w="2976"/>
        <w:gridCol w:w="2899"/>
      </w:tblGrid>
      <w:tr w:rsidR="008918FA" w:rsidTr="005D2B81">
        <w:trPr>
          <w:trHeight w:hRule="exact" w:val="996"/>
        </w:trPr>
        <w:tc>
          <w:tcPr>
            <w:tcW w:w="2978"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spacing w:line="250" w:lineRule="exact"/>
              <w:ind w:left="822"/>
              <w:rPr>
                <w:rFonts w:ascii="Arial" w:eastAsia="Arial" w:hAnsi="Arial" w:cs="Arial"/>
              </w:rPr>
            </w:pPr>
            <w:r>
              <w:rPr>
                <w:rFonts w:ascii="Arial"/>
                <w:spacing w:val="-1"/>
              </w:rPr>
              <w:t>DEFFORM</w:t>
            </w:r>
            <w:r>
              <w:rPr>
                <w:rFonts w:ascii="Arial"/>
                <w:spacing w:val="-3"/>
              </w:rPr>
              <w:t xml:space="preserve"> </w:t>
            </w:r>
            <w:r>
              <w:rPr>
                <w:rFonts w:ascii="Arial"/>
                <w:spacing w:val="-2"/>
              </w:rPr>
              <w:t>No</w:t>
            </w:r>
          </w:p>
        </w:tc>
        <w:tc>
          <w:tcPr>
            <w:tcW w:w="2976"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spacing w:line="250" w:lineRule="exact"/>
              <w:ind w:left="822"/>
              <w:rPr>
                <w:rFonts w:ascii="Arial" w:eastAsia="Arial" w:hAnsi="Arial" w:cs="Arial"/>
              </w:rPr>
            </w:pPr>
            <w:r>
              <w:rPr>
                <w:rFonts w:ascii="Arial"/>
                <w:spacing w:val="-1"/>
              </w:rPr>
              <w:t>Version</w:t>
            </w:r>
          </w:p>
        </w:tc>
        <w:tc>
          <w:tcPr>
            <w:tcW w:w="2899" w:type="dxa"/>
            <w:tcBorders>
              <w:top w:val="single" w:sz="5" w:space="0" w:color="000000"/>
              <w:left w:val="single" w:sz="5" w:space="0" w:color="000000"/>
              <w:bottom w:val="single" w:sz="5" w:space="0" w:color="000000"/>
              <w:right w:val="single" w:sz="5" w:space="0" w:color="000000"/>
            </w:tcBorders>
            <w:shd w:val="clear" w:color="auto" w:fill="EEECE1"/>
          </w:tcPr>
          <w:p w:rsidR="008918FA" w:rsidRDefault="008918FA" w:rsidP="005D2B81">
            <w:pPr>
              <w:pStyle w:val="TableParagraph"/>
              <w:spacing w:line="250" w:lineRule="exact"/>
              <w:ind w:left="822"/>
              <w:rPr>
                <w:rFonts w:ascii="Arial" w:eastAsia="Arial" w:hAnsi="Arial" w:cs="Arial"/>
              </w:rPr>
            </w:pPr>
            <w:r>
              <w:rPr>
                <w:rFonts w:ascii="Arial"/>
                <w:spacing w:val="-1"/>
              </w:rPr>
              <w:t>Description</w:t>
            </w:r>
          </w:p>
        </w:tc>
      </w:tr>
      <w:tr w:rsidR="008918FA" w:rsidTr="005D2B81">
        <w:trPr>
          <w:trHeight w:hRule="exact" w:val="504"/>
        </w:trPr>
        <w:tc>
          <w:tcPr>
            <w:tcW w:w="2978"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976"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899"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502"/>
        </w:trPr>
        <w:tc>
          <w:tcPr>
            <w:tcW w:w="2978"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976"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899"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504"/>
        </w:trPr>
        <w:tc>
          <w:tcPr>
            <w:tcW w:w="2978"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976"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899"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502"/>
        </w:trPr>
        <w:tc>
          <w:tcPr>
            <w:tcW w:w="2978"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976"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899"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504"/>
        </w:trPr>
        <w:tc>
          <w:tcPr>
            <w:tcW w:w="2978"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976"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899"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502"/>
        </w:trPr>
        <w:tc>
          <w:tcPr>
            <w:tcW w:w="2978"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976"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899" w:type="dxa"/>
            <w:tcBorders>
              <w:top w:val="single" w:sz="5" w:space="0" w:color="000000"/>
              <w:left w:val="single" w:sz="5" w:space="0" w:color="000000"/>
              <w:bottom w:val="single" w:sz="5" w:space="0" w:color="000000"/>
              <w:right w:val="single" w:sz="5" w:space="0" w:color="000000"/>
            </w:tcBorders>
          </w:tcPr>
          <w:p w:rsidR="008918FA" w:rsidRDefault="008918FA" w:rsidP="005D2B81"/>
        </w:tc>
      </w:tr>
      <w:tr w:rsidR="008918FA" w:rsidTr="005D2B81">
        <w:trPr>
          <w:trHeight w:hRule="exact" w:val="504"/>
        </w:trPr>
        <w:tc>
          <w:tcPr>
            <w:tcW w:w="2978"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976" w:type="dxa"/>
            <w:tcBorders>
              <w:top w:val="single" w:sz="5" w:space="0" w:color="000000"/>
              <w:left w:val="single" w:sz="5" w:space="0" w:color="000000"/>
              <w:bottom w:val="single" w:sz="5" w:space="0" w:color="000000"/>
              <w:right w:val="single" w:sz="5" w:space="0" w:color="000000"/>
            </w:tcBorders>
          </w:tcPr>
          <w:p w:rsidR="008918FA" w:rsidRDefault="008918FA" w:rsidP="005D2B81"/>
        </w:tc>
        <w:tc>
          <w:tcPr>
            <w:tcW w:w="2899" w:type="dxa"/>
            <w:tcBorders>
              <w:top w:val="single" w:sz="5" w:space="0" w:color="000000"/>
              <w:left w:val="single" w:sz="5" w:space="0" w:color="000000"/>
              <w:bottom w:val="single" w:sz="5" w:space="0" w:color="000000"/>
              <w:right w:val="single" w:sz="5" w:space="0" w:color="000000"/>
            </w:tcBorders>
          </w:tcPr>
          <w:p w:rsidR="008918FA" w:rsidRDefault="008918FA" w:rsidP="005D2B81"/>
        </w:tc>
      </w:tr>
    </w:tbl>
    <w:p w:rsidR="008918FA" w:rsidRDefault="008918FA" w:rsidP="008918FA"/>
    <w:p w:rsidR="00833634" w:rsidRDefault="00833634"/>
    <w:p w:rsidR="00747FCE" w:rsidRDefault="00747FCE" w:rsidP="00747FCE">
      <w:pPr>
        <w:ind w:left="127"/>
        <w:jc w:val="both"/>
        <w:rPr>
          <w:rFonts w:ascii="Arial"/>
          <w:b/>
          <w:i/>
          <w:spacing w:val="-1"/>
        </w:rPr>
      </w:pPr>
      <w:r w:rsidRPr="00164142">
        <w:rPr>
          <w:rFonts w:ascii="Arial"/>
          <w:b/>
          <w:i/>
          <w:spacing w:val="-1"/>
          <w:highlight w:val="green"/>
        </w:rPr>
        <w:t>[Gui</w:t>
      </w:r>
      <w:r>
        <w:rPr>
          <w:rFonts w:ascii="Arial"/>
          <w:b/>
          <w:i/>
          <w:spacing w:val="-1"/>
          <w:highlight w:val="green"/>
        </w:rPr>
        <w:t>dance Note</w:t>
      </w:r>
      <w:r w:rsidRPr="00164142">
        <w:rPr>
          <w:rFonts w:ascii="Arial"/>
          <w:b/>
          <w:i/>
          <w:spacing w:val="-1"/>
          <w:highlight w:val="green"/>
        </w:rPr>
        <w:t>: the above documents can be found at http://www.aof.mod.uk/]</w:t>
      </w:r>
    </w:p>
    <w:p w:rsidR="00747FCE" w:rsidRDefault="00747FCE" w:rsidP="00747FCE">
      <w:pPr>
        <w:ind w:left="127"/>
        <w:jc w:val="both"/>
        <w:rPr>
          <w:rFonts w:ascii="Arial"/>
          <w:b/>
          <w:i/>
          <w:spacing w:val="-1"/>
        </w:rPr>
      </w:pPr>
    </w:p>
    <w:p w:rsidR="00747FCE" w:rsidRDefault="00747FCE" w:rsidP="00747FCE">
      <w:pPr>
        <w:ind w:left="127"/>
        <w:jc w:val="both"/>
        <w:rPr>
          <w:rFonts w:ascii="Arial"/>
          <w:b/>
          <w:i/>
          <w:spacing w:val="-2"/>
        </w:rPr>
      </w:pPr>
      <w:r w:rsidRPr="00164142">
        <w:rPr>
          <w:rFonts w:ascii="Arial"/>
          <w:b/>
          <w:i/>
          <w:spacing w:val="-1"/>
          <w:highlight w:val="green"/>
        </w:rPr>
        <w:t>[Guidance</w:t>
      </w:r>
      <w:r w:rsidRPr="00164142">
        <w:rPr>
          <w:rFonts w:ascii="Arial"/>
          <w:b/>
          <w:i/>
          <w:spacing w:val="9"/>
          <w:highlight w:val="green"/>
        </w:rPr>
        <w:t xml:space="preserve"> </w:t>
      </w:r>
      <w:r w:rsidRPr="00164142">
        <w:rPr>
          <w:rFonts w:ascii="Arial"/>
          <w:b/>
          <w:i/>
          <w:spacing w:val="-1"/>
          <w:highlight w:val="green"/>
        </w:rPr>
        <w:t>Note</w:t>
      </w:r>
      <w:r w:rsidRPr="00164142">
        <w:rPr>
          <w:rFonts w:ascii="Arial"/>
          <w:b/>
          <w:i/>
          <w:spacing w:val="9"/>
          <w:highlight w:val="green"/>
        </w:rPr>
        <w:t xml:space="preserve"> </w:t>
      </w:r>
      <w:r w:rsidRPr="00164142">
        <w:rPr>
          <w:rFonts w:ascii="Arial"/>
          <w:b/>
          <w:i/>
          <w:spacing w:val="-1"/>
          <w:highlight w:val="green"/>
        </w:rPr>
        <w:t>for</w:t>
      </w:r>
      <w:r w:rsidRPr="00164142">
        <w:rPr>
          <w:rFonts w:ascii="Arial"/>
          <w:b/>
          <w:i/>
          <w:spacing w:val="7"/>
          <w:highlight w:val="green"/>
        </w:rPr>
        <w:t xml:space="preserve"> </w:t>
      </w:r>
      <w:r w:rsidRPr="00164142">
        <w:rPr>
          <w:rFonts w:ascii="Arial"/>
          <w:b/>
          <w:i/>
          <w:spacing w:val="-1"/>
          <w:highlight w:val="green"/>
        </w:rPr>
        <w:t>the</w:t>
      </w:r>
      <w:r w:rsidRPr="00164142">
        <w:rPr>
          <w:rFonts w:ascii="Arial"/>
          <w:b/>
          <w:i/>
          <w:spacing w:val="9"/>
          <w:highlight w:val="green"/>
        </w:rPr>
        <w:t xml:space="preserve"> </w:t>
      </w:r>
      <w:r w:rsidRPr="00164142">
        <w:rPr>
          <w:rFonts w:ascii="Arial"/>
          <w:b/>
          <w:i/>
          <w:spacing w:val="-1"/>
          <w:highlight w:val="green"/>
        </w:rPr>
        <w:t>Ministry</w:t>
      </w:r>
      <w:r w:rsidRPr="00164142">
        <w:rPr>
          <w:rFonts w:ascii="Arial"/>
          <w:b/>
          <w:i/>
          <w:spacing w:val="9"/>
          <w:highlight w:val="green"/>
        </w:rPr>
        <w:t xml:space="preserve"> </w:t>
      </w:r>
      <w:r w:rsidRPr="00164142">
        <w:rPr>
          <w:rFonts w:ascii="Arial"/>
          <w:b/>
          <w:i/>
          <w:spacing w:val="-2"/>
          <w:highlight w:val="green"/>
        </w:rPr>
        <w:t>of</w:t>
      </w:r>
      <w:r w:rsidRPr="00164142">
        <w:rPr>
          <w:rFonts w:ascii="Arial"/>
          <w:b/>
          <w:i/>
          <w:spacing w:val="10"/>
          <w:highlight w:val="green"/>
        </w:rPr>
        <w:t xml:space="preserve"> </w:t>
      </w:r>
      <w:r w:rsidRPr="00164142">
        <w:rPr>
          <w:rFonts w:ascii="Arial"/>
          <w:b/>
          <w:i/>
          <w:spacing w:val="-2"/>
          <w:highlight w:val="green"/>
        </w:rPr>
        <w:t>Defence:</w:t>
      </w:r>
      <w:r w:rsidRPr="00164142">
        <w:rPr>
          <w:rFonts w:ascii="Arial"/>
          <w:b/>
          <w:i/>
          <w:spacing w:val="10"/>
          <w:highlight w:val="green"/>
        </w:rPr>
        <w:t xml:space="preserve"> </w:t>
      </w:r>
      <w:r w:rsidRPr="00164142">
        <w:rPr>
          <w:rFonts w:ascii="Arial"/>
          <w:b/>
          <w:i/>
          <w:spacing w:val="-1"/>
          <w:highlight w:val="green"/>
        </w:rPr>
        <w:t>Upon</w:t>
      </w:r>
      <w:r w:rsidRPr="00164142">
        <w:rPr>
          <w:rFonts w:ascii="Arial"/>
          <w:b/>
          <w:i/>
          <w:spacing w:val="9"/>
          <w:highlight w:val="green"/>
        </w:rPr>
        <w:t xml:space="preserve"> </w:t>
      </w:r>
      <w:r w:rsidRPr="00164142">
        <w:rPr>
          <w:rFonts w:ascii="Arial"/>
          <w:b/>
          <w:i/>
          <w:spacing w:val="-1"/>
          <w:highlight w:val="green"/>
        </w:rPr>
        <w:t>placing</w:t>
      </w:r>
      <w:r w:rsidRPr="00164142">
        <w:rPr>
          <w:rFonts w:ascii="Arial"/>
          <w:b/>
          <w:i/>
          <w:spacing w:val="9"/>
          <w:highlight w:val="green"/>
        </w:rPr>
        <w:t xml:space="preserve"> </w:t>
      </w:r>
      <w:r w:rsidRPr="00164142">
        <w:rPr>
          <w:rFonts w:ascii="Arial"/>
          <w:b/>
          <w:i/>
          <w:spacing w:val="-1"/>
          <w:highlight w:val="green"/>
        </w:rPr>
        <w:t>of</w:t>
      </w:r>
      <w:r w:rsidRPr="00164142">
        <w:rPr>
          <w:rFonts w:ascii="Arial"/>
          <w:b/>
          <w:i/>
          <w:spacing w:val="10"/>
          <w:highlight w:val="green"/>
        </w:rPr>
        <w:t xml:space="preserve"> </w:t>
      </w:r>
      <w:r w:rsidRPr="00164142">
        <w:rPr>
          <w:rFonts w:ascii="Arial"/>
          <w:b/>
          <w:i/>
          <w:spacing w:val="-2"/>
          <w:highlight w:val="green"/>
        </w:rPr>
        <w:t>an</w:t>
      </w:r>
      <w:r w:rsidRPr="00164142">
        <w:rPr>
          <w:rFonts w:ascii="Arial"/>
          <w:b/>
          <w:i/>
          <w:spacing w:val="9"/>
          <w:highlight w:val="green"/>
        </w:rPr>
        <w:t xml:space="preserve"> </w:t>
      </w:r>
      <w:r w:rsidRPr="00164142">
        <w:rPr>
          <w:rFonts w:ascii="Arial"/>
          <w:b/>
          <w:i/>
          <w:spacing w:val="-1"/>
          <w:highlight w:val="green"/>
        </w:rPr>
        <w:t>Order</w:t>
      </w:r>
      <w:r w:rsidRPr="00164142">
        <w:rPr>
          <w:rFonts w:ascii="Arial"/>
          <w:b/>
          <w:i/>
          <w:spacing w:val="10"/>
          <w:highlight w:val="green"/>
        </w:rPr>
        <w:t xml:space="preserve"> </w:t>
      </w:r>
      <w:r w:rsidRPr="00164142">
        <w:rPr>
          <w:rFonts w:ascii="Arial"/>
          <w:b/>
          <w:i/>
          <w:spacing w:val="-1"/>
          <w:highlight w:val="green"/>
        </w:rPr>
        <w:t>the</w:t>
      </w:r>
      <w:r w:rsidRPr="00164142">
        <w:rPr>
          <w:rFonts w:ascii="Arial"/>
          <w:b/>
          <w:i/>
          <w:spacing w:val="66"/>
          <w:highlight w:val="green"/>
        </w:rPr>
        <w:t xml:space="preserve"> </w:t>
      </w:r>
      <w:r w:rsidRPr="00164142">
        <w:rPr>
          <w:rFonts w:ascii="Arial"/>
          <w:b/>
          <w:i/>
          <w:spacing w:val="-1"/>
          <w:highlight w:val="green"/>
        </w:rPr>
        <w:t>Ministry</w:t>
      </w:r>
      <w:r w:rsidRPr="00164142">
        <w:rPr>
          <w:rFonts w:ascii="Arial"/>
          <w:b/>
          <w:i/>
          <w:spacing w:val="3"/>
          <w:highlight w:val="green"/>
        </w:rPr>
        <w:t xml:space="preserve"> </w:t>
      </w:r>
      <w:r w:rsidRPr="00164142">
        <w:rPr>
          <w:rFonts w:ascii="Arial"/>
          <w:b/>
          <w:i/>
          <w:spacing w:val="-1"/>
          <w:highlight w:val="green"/>
        </w:rPr>
        <w:t>of</w:t>
      </w:r>
      <w:r w:rsidRPr="00164142">
        <w:rPr>
          <w:rFonts w:ascii="Arial"/>
          <w:b/>
          <w:i/>
          <w:spacing w:val="2"/>
          <w:highlight w:val="green"/>
        </w:rPr>
        <w:t xml:space="preserve"> </w:t>
      </w:r>
      <w:r w:rsidRPr="00164142">
        <w:rPr>
          <w:rFonts w:ascii="Arial"/>
          <w:b/>
          <w:i/>
          <w:spacing w:val="-1"/>
          <w:highlight w:val="green"/>
        </w:rPr>
        <w:t>Defence</w:t>
      </w:r>
      <w:r w:rsidRPr="00164142">
        <w:rPr>
          <w:rFonts w:ascii="Arial"/>
          <w:b/>
          <w:i/>
          <w:spacing w:val="3"/>
          <w:highlight w:val="green"/>
        </w:rPr>
        <w:t xml:space="preserve"> </w:t>
      </w:r>
      <w:r w:rsidRPr="00164142">
        <w:rPr>
          <w:rFonts w:ascii="Arial"/>
          <w:b/>
          <w:i/>
          <w:spacing w:val="-1"/>
          <w:highlight w:val="green"/>
        </w:rPr>
        <w:t>shall</w:t>
      </w:r>
      <w:r w:rsidRPr="00164142">
        <w:rPr>
          <w:rFonts w:ascii="Arial"/>
          <w:b/>
          <w:i/>
          <w:spacing w:val="4"/>
          <w:highlight w:val="green"/>
        </w:rPr>
        <w:t xml:space="preserve"> </w:t>
      </w:r>
      <w:r w:rsidRPr="00164142">
        <w:rPr>
          <w:rFonts w:ascii="Arial"/>
          <w:b/>
          <w:i/>
          <w:spacing w:val="-2"/>
          <w:highlight w:val="green"/>
        </w:rPr>
        <w:t>select</w:t>
      </w:r>
      <w:r w:rsidRPr="00164142">
        <w:rPr>
          <w:rFonts w:ascii="Arial"/>
          <w:b/>
          <w:i/>
          <w:spacing w:val="4"/>
          <w:highlight w:val="green"/>
        </w:rPr>
        <w:t xml:space="preserve"> </w:t>
      </w:r>
      <w:r w:rsidRPr="00164142">
        <w:rPr>
          <w:rFonts w:ascii="Arial"/>
          <w:b/>
          <w:i/>
          <w:spacing w:val="-1"/>
          <w:highlight w:val="green"/>
        </w:rPr>
        <w:t>and</w:t>
      </w:r>
      <w:r w:rsidRPr="00164142">
        <w:rPr>
          <w:rFonts w:ascii="Arial"/>
          <w:b/>
          <w:i/>
          <w:spacing w:val="1"/>
          <w:highlight w:val="green"/>
        </w:rPr>
        <w:t xml:space="preserve"> </w:t>
      </w:r>
      <w:r w:rsidRPr="00164142">
        <w:rPr>
          <w:rFonts w:ascii="Arial"/>
          <w:b/>
          <w:i/>
          <w:spacing w:val="-1"/>
          <w:highlight w:val="green"/>
        </w:rPr>
        <w:t>refine</w:t>
      </w:r>
      <w:r w:rsidRPr="00164142">
        <w:rPr>
          <w:rFonts w:ascii="Arial"/>
          <w:b/>
          <w:i/>
          <w:highlight w:val="green"/>
        </w:rPr>
        <w:t xml:space="preserve"> </w:t>
      </w:r>
      <w:r w:rsidRPr="00164142">
        <w:rPr>
          <w:rFonts w:ascii="Arial"/>
          <w:b/>
          <w:i/>
          <w:spacing w:val="-1"/>
          <w:highlight w:val="green"/>
        </w:rPr>
        <w:t>the</w:t>
      </w:r>
      <w:r w:rsidRPr="00164142">
        <w:rPr>
          <w:rFonts w:ascii="Arial"/>
          <w:b/>
          <w:i/>
          <w:spacing w:val="4"/>
          <w:highlight w:val="green"/>
        </w:rPr>
        <w:t xml:space="preserve"> </w:t>
      </w:r>
      <w:r w:rsidRPr="00164142">
        <w:rPr>
          <w:rFonts w:ascii="Arial"/>
          <w:b/>
          <w:i/>
          <w:spacing w:val="-1"/>
          <w:highlight w:val="green"/>
        </w:rPr>
        <w:t>DEFCONs</w:t>
      </w:r>
      <w:r w:rsidRPr="00164142">
        <w:rPr>
          <w:rFonts w:ascii="Arial"/>
          <w:b/>
          <w:i/>
          <w:spacing w:val="3"/>
          <w:highlight w:val="green"/>
        </w:rPr>
        <w:t xml:space="preserve"> </w:t>
      </w:r>
      <w:r w:rsidRPr="00164142">
        <w:rPr>
          <w:rFonts w:ascii="Arial"/>
          <w:b/>
          <w:i/>
          <w:spacing w:val="-1"/>
          <w:highlight w:val="green"/>
        </w:rPr>
        <w:t>or</w:t>
      </w:r>
      <w:r w:rsidRPr="00164142">
        <w:rPr>
          <w:rFonts w:ascii="Arial"/>
          <w:b/>
          <w:i/>
          <w:spacing w:val="1"/>
          <w:highlight w:val="green"/>
        </w:rPr>
        <w:t xml:space="preserve"> </w:t>
      </w:r>
      <w:r w:rsidRPr="00164142">
        <w:rPr>
          <w:rFonts w:ascii="Arial"/>
          <w:b/>
          <w:i/>
          <w:spacing w:val="-1"/>
          <w:highlight w:val="green"/>
        </w:rPr>
        <w:t>DEFFORMs</w:t>
      </w:r>
      <w:r w:rsidRPr="00164142">
        <w:rPr>
          <w:rFonts w:ascii="Arial"/>
          <w:b/>
          <w:i/>
          <w:highlight w:val="green"/>
        </w:rPr>
        <w:t xml:space="preserve"> </w:t>
      </w:r>
      <w:r w:rsidRPr="00164142">
        <w:rPr>
          <w:rFonts w:ascii="Arial"/>
          <w:b/>
          <w:i/>
          <w:spacing w:val="-1"/>
          <w:highlight w:val="green"/>
        </w:rPr>
        <w:t>from</w:t>
      </w:r>
      <w:r w:rsidRPr="00164142">
        <w:rPr>
          <w:rFonts w:ascii="Arial"/>
          <w:b/>
          <w:i/>
          <w:spacing w:val="1"/>
          <w:highlight w:val="green"/>
        </w:rPr>
        <w:t xml:space="preserve"> </w:t>
      </w:r>
      <w:r w:rsidRPr="00164142">
        <w:rPr>
          <w:rFonts w:ascii="Arial"/>
          <w:b/>
          <w:i/>
          <w:spacing w:val="-1"/>
          <w:highlight w:val="green"/>
        </w:rPr>
        <w:t>the</w:t>
      </w:r>
      <w:r w:rsidRPr="00164142">
        <w:rPr>
          <w:rFonts w:ascii="Arial"/>
          <w:b/>
          <w:i/>
          <w:spacing w:val="46"/>
          <w:highlight w:val="green"/>
        </w:rPr>
        <w:t xml:space="preserve"> </w:t>
      </w:r>
      <w:r w:rsidRPr="00164142">
        <w:rPr>
          <w:rFonts w:ascii="Arial"/>
          <w:b/>
          <w:i/>
          <w:spacing w:val="-1"/>
          <w:highlight w:val="green"/>
        </w:rPr>
        <w:t>tables</w:t>
      </w:r>
      <w:r w:rsidRPr="00164142">
        <w:rPr>
          <w:rFonts w:ascii="Arial"/>
          <w:b/>
          <w:i/>
          <w:spacing w:val="11"/>
          <w:highlight w:val="green"/>
        </w:rPr>
        <w:t xml:space="preserve"> </w:t>
      </w:r>
      <w:r w:rsidRPr="00164142">
        <w:rPr>
          <w:rFonts w:ascii="Arial"/>
          <w:b/>
          <w:i/>
          <w:spacing w:val="-1"/>
          <w:highlight w:val="green"/>
        </w:rPr>
        <w:t>above,</w:t>
      </w:r>
      <w:r w:rsidRPr="00164142">
        <w:rPr>
          <w:rFonts w:ascii="Arial"/>
          <w:b/>
          <w:i/>
          <w:spacing w:val="13"/>
          <w:highlight w:val="green"/>
        </w:rPr>
        <w:t xml:space="preserve"> </w:t>
      </w:r>
      <w:r w:rsidRPr="00164142">
        <w:rPr>
          <w:rFonts w:ascii="Arial"/>
          <w:b/>
          <w:i/>
          <w:highlight w:val="green"/>
        </w:rPr>
        <w:t>in</w:t>
      </w:r>
      <w:r w:rsidRPr="00164142">
        <w:rPr>
          <w:rFonts w:ascii="Arial"/>
          <w:b/>
          <w:i/>
          <w:spacing w:val="11"/>
          <w:highlight w:val="green"/>
        </w:rPr>
        <w:t xml:space="preserve"> </w:t>
      </w:r>
      <w:r w:rsidRPr="00164142">
        <w:rPr>
          <w:rFonts w:ascii="Arial"/>
          <w:b/>
          <w:i/>
          <w:spacing w:val="-1"/>
          <w:highlight w:val="green"/>
        </w:rPr>
        <w:t>accordance</w:t>
      </w:r>
      <w:r w:rsidRPr="00164142">
        <w:rPr>
          <w:rFonts w:ascii="Arial"/>
          <w:b/>
          <w:i/>
          <w:spacing w:val="11"/>
          <w:highlight w:val="green"/>
        </w:rPr>
        <w:t xml:space="preserve"> </w:t>
      </w:r>
      <w:r w:rsidRPr="00164142">
        <w:rPr>
          <w:rFonts w:ascii="Arial"/>
          <w:b/>
          <w:i/>
          <w:spacing w:val="-1"/>
          <w:highlight w:val="green"/>
        </w:rPr>
        <w:t>with</w:t>
      </w:r>
      <w:r w:rsidRPr="00164142">
        <w:rPr>
          <w:rFonts w:ascii="Arial"/>
          <w:b/>
          <w:i/>
          <w:spacing w:val="11"/>
          <w:highlight w:val="green"/>
        </w:rPr>
        <w:t xml:space="preserve"> </w:t>
      </w:r>
      <w:r w:rsidRPr="00164142">
        <w:rPr>
          <w:rFonts w:ascii="Arial"/>
          <w:b/>
          <w:i/>
          <w:spacing w:val="-1"/>
          <w:highlight w:val="green"/>
        </w:rPr>
        <w:t>the</w:t>
      </w:r>
      <w:r w:rsidRPr="00164142">
        <w:rPr>
          <w:rFonts w:ascii="Arial"/>
          <w:b/>
          <w:i/>
          <w:spacing w:val="11"/>
          <w:highlight w:val="green"/>
        </w:rPr>
        <w:t xml:space="preserve"> </w:t>
      </w:r>
      <w:r w:rsidRPr="00164142">
        <w:rPr>
          <w:rFonts w:ascii="Arial"/>
          <w:b/>
          <w:i/>
          <w:spacing w:val="-1"/>
          <w:highlight w:val="green"/>
        </w:rPr>
        <w:t>DEFCONs</w:t>
      </w:r>
      <w:r w:rsidRPr="00164142">
        <w:rPr>
          <w:rFonts w:ascii="Arial"/>
          <w:b/>
          <w:i/>
          <w:spacing w:val="11"/>
          <w:highlight w:val="green"/>
        </w:rPr>
        <w:t xml:space="preserve"> </w:t>
      </w:r>
      <w:r w:rsidRPr="00164142">
        <w:rPr>
          <w:rFonts w:ascii="Arial"/>
          <w:b/>
          <w:i/>
          <w:spacing w:val="-1"/>
          <w:highlight w:val="green"/>
        </w:rPr>
        <w:t>and</w:t>
      </w:r>
      <w:r w:rsidRPr="00164142">
        <w:rPr>
          <w:rFonts w:ascii="Arial"/>
          <w:b/>
          <w:i/>
          <w:spacing w:val="11"/>
          <w:highlight w:val="green"/>
        </w:rPr>
        <w:t xml:space="preserve"> </w:t>
      </w:r>
      <w:r w:rsidRPr="00164142">
        <w:rPr>
          <w:rFonts w:ascii="Arial"/>
          <w:b/>
          <w:i/>
          <w:spacing w:val="-1"/>
          <w:highlight w:val="green"/>
        </w:rPr>
        <w:t>DEFFORMs</w:t>
      </w:r>
      <w:r w:rsidRPr="00164142">
        <w:rPr>
          <w:rFonts w:ascii="Arial"/>
          <w:b/>
          <w:i/>
          <w:spacing w:val="11"/>
          <w:highlight w:val="green"/>
        </w:rPr>
        <w:t xml:space="preserve"> </w:t>
      </w:r>
      <w:r w:rsidRPr="00164142">
        <w:rPr>
          <w:rFonts w:ascii="Arial"/>
          <w:b/>
          <w:i/>
          <w:highlight w:val="green"/>
        </w:rPr>
        <w:t>which</w:t>
      </w:r>
      <w:r w:rsidRPr="00164142">
        <w:rPr>
          <w:rFonts w:ascii="Arial"/>
          <w:b/>
          <w:i/>
          <w:spacing w:val="11"/>
          <w:highlight w:val="green"/>
        </w:rPr>
        <w:t xml:space="preserve"> </w:t>
      </w:r>
      <w:r w:rsidRPr="00164142">
        <w:rPr>
          <w:rFonts w:ascii="Arial"/>
          <w:b/>
          <w:i/>
          <w:spacing w:val="-1"/>
          <w:highlight w:val="green"/>
        </w:rPr>
        <w:t>are</w:t>
      </w:r>
      <w:r w:rsidRPr="00164142">
        <w:rPr>
          <w:rFonts w:ascii="Arial"/>
          <w:b/>
          <w:i/>
          <w:spacing w:val="33"/>
          <w:highlight w:val="green"/>
        </w:rPr>
        <w:t xml:space="preserve"> </w:t>
      </w:r>
      <w:r w:rsidRPr="00164142">
        <w:rPr>
          <w:rFonts w:ascii="Arial"/>
          <w:b/>
          <w:i/>
          <w:spacing w:val="-1"/>
          <w:highlight w:val="green"/>
        </w:rPr>
        <w:t>appropriate</w:t>
      </w:r>
      <w:r w:rsidRPr="00164142">
        <w:rPr>
          <w:rFonts w:ascii="Arial"/>
          <w:b/>
          <w:i/>
          <w:spacing w:val="9"/>
          <w:highlight w:val="green"/>
        </w:rPr>
        <w:t xml:space="preserve"> </w:t>
      </w:r>
      <w:r w:rsidRPr="00164142">
        <w:rPr>
          <w:rFonts w:ascii="Arial"/>
          <w:b/>
          <w:i/>
          <w:highlight w:val="green"/>
        </w:rPr>
        <w:t>to</w:t>
      </w:r>
      <w:r w:rsidRPr="00164142">
        <w:rPr>
          <w:rFonts w:ascii="Arial"/>
          <w:b/>
          <w:i/>
          <w:spacing w:val="11"/>
          <w:highlight w:val="green"/>
        </w:rPr>
        <w:t xml:space="preserve"> </w:t>
      </w:r>
      <w:r w:rsidRPr="00164142">
        <w:rPr>
          <w:rFonts w:ascii="Arial"/>
          <w:b/>
          <w:i/>
          <w:spacing w:val="-1"/>
          <w:highlight w:val="green"/>
        </w:rPr>
        <w:t>the</w:t>
      </w:r>
      <w:r w:rsidRPr="00164142">
        <w:rPr>
          <w:rFonts w:ascii="Arial"/>
          <w:b/>
          <w:i/>
          <w:spacing w:val="9"/>
          <w:highlight w:val="green"/>
        </w:rPr>
        <w:t xml:space="preserve"> </w:t>
      </w:r>
      <w:r w:rsidRPr="00164142">
        <w:rPr>
          <w:rFonts w:ascii="Arial"/>
          <w:b/>
          <w:i/>
          <w:spacing w:val="-1"/>
          <w:highlight w:val="green"/>
        </w:rPr>
        <w:t>specific</w:t>
      </w:r>
      <w:r w:rsidRPr="00164142">
        <w:rPr>
          <w:rFonts w:ascii="Arial"/>
          <w:b/>
          <w:i/>
          <w:spacing w:val="11"/>
          <w:highlight w:val="green"/>
        </w:rPr>
        <w:t xml:space="preserve"> </w:t>
      </w:r>
      <w:r w:rsidRPr="00164142">
        <w:rPr>
          <w:rFonts w:ascii="Arial"/>
          <w:b/>
          <w:i/>
          <w:spacing w:val="-2"/>
          <w:highlight w:val="green"/>
        </w:rPr>
        <w:t>Call</w:t>
      </w:r>
      <w:r w:rsidRPr="00164142">
        <w:rPr>
          <w:rFonts w:ascii="Arial"/>
          <w:b/>
          <w:i/>
          <w:spacing w:val="10"/>
          <w:highlight w:val="green"/>
        </w:rPr>
        <w:t xml:space="preserve"> </w:t>
      </w:r>
      <w:r w:rsidRPr="00164142">
        <w:rPr>
          <w:rFonts w:ascii="Arial"/>
          <w:b/>
          <w:i/>
          <w:spacing w:val="-1"/>
          <w:highlight w:val="green"/>
        </w:rPr>
        <w:t>Off</w:t>
      </w:r>
      <w:r w:rsidRPr="00164142">
        <w:rPr>
          <w:rFonts w:ascii="Arial"/>
          <w:b/>
          <w:i/>
          <w:spacing w:val="13"/>
          <w:highlight w:val="green"/>
        </w:rPr>
        <w:t xml:space="preserve"> </w:t>
      </w:r>
      <w:r w:rsidRPr="00164142">
        <w:rPr>
          <w:rFonts w:ascii="Arial"/>
          <w:b/>
          <w:i/>
          <w:spacing w:val="-2"/>
          <w:highlight w:val="green"/>
        </w:rPr>
        <w:t>Contract,</w:t>
      </w:r>
      <w:r w:rsidRPr="00164142">
        <w:rPr>
          <w:rFonts w:ascii="Arial"/>
          <w:b/>
          <w:i/>
          <w:spacing w:val="13"/>
          <w:highlight w:val="green"/>
        </w:rPr>
        <w:t xml:space="preserve"> </w:t>
      </w:r>
      <w:r w:rsidRPr="00164142">
        <w:rPr>
          <w:rFonts w:ascii="Arial"/>
          <w:b/>
          <w:i/>
          <w:spacing w:val="-1"/>
          <w:highlight w:val="green"/>
        </w:rPr>
        <w:t>and</w:t>
      </w:r>
      <w:r w:rsidRPr="00164142">
        <w:rPr>
          <w:rFonts w:ascii="Arial"/>
          <w:b/>
          <w:i/>
          <w:spacing w:val="9"/>
          <w:highlight w:val="green"/>
        </w:rPr>
        <w:t xml:space="preserve"> </w:t>
      </w:r>
      <w:r w:rsidRPr="00164142">
        <w:rPr>
          <w:rFonts w:ascii="Arial"/>
          <w:b/>
          <w:i/>
          <w:spacing w:val="-1"/>
          <w:highlight w:val="green"/>
        </w:rPr>
        <w:t>set</w:t>
      </w:r>
      <w:r w:rsidRPr="00164142">
        <w:rPr>
          <w:rFonts w:ascii="Arial"/>
          <w:b/>
          <w:i/>
          <w:spacing w:val="10"/>
          <w:highlight w:val="green"/>
        </w:rPr>
        <w:t xml:space="preserve"> </w:t>
      </w:r>
      <w:r w:rsidRPr="00164142">
        <w:rPr>
          <w:rFonts w:ascii="Arial"/>
          <w:b/>
          <w:i/>
          <w:spacing w:val="-1"/>
          <w:highlight w:val="green"/>
        </w:rPr>
        <w:t>them</w:t>
      </w:r>
      <w:r w:rsidRPr="00164142">
        <w:rPr>
          <w:rFonts w:ascii="Arial"/>
          <w:b/>
          <w:i/>
          <w:spacing w:val="12"/>
          <w:highlight w:val="green"/>
        </w:rPr>
        <w:t xml:space="preserve"> </w:t>
      </w:r>
      <w:r w:rsidRPr="00164142">
        <w:rPr>
          <w:rFonts w:ascii="Arial"/>
          <w:b/>
          <w:i/>
          <w:spacing w:val="-1"/>
          <w:highlight w:val="green"/>
        </w:rPr>
        <w:t>out</w:t>
      </w:r>
      <w:r w:rsidRPr="00164142">
        <w:rPr>
          <w:rFonts w:ascii="Arial"/>
          <w:b/>
          <w:i/>
          <w:spacing w:val="10"/>
          <w:highlight w:val="green"/>
        </w:rPr>
        <w:t xml:space="preserve"> </w:t>
      </w:r>
      <w:r w:rsidRPr="00164142">
        <w:rPr>
          <w:rFonts w:ascii="Arial"/>
          <w:b/>
          <w:i/>
          <w:highlight w:val="green"/>
        </w:rPr>
        <w:t>in</w:t>
      </w:r>
      <w:r w:rsidRPr="00164142">
        <w:rPr>
          <w:rFonts w:ascii="Arial"/>
          <w:b/>
          <w:i/>
          <w:spacing w:val="11"/>
          <w:highlight w:val="green"/>
        </w:rPr>
        <w:t xml:space="preserve"> </w:t>
      </w:r>
      <w:r w:rsidRPr="00164142">
        <w:rPr>
          <w:rFonts w:ascii="Arial"/>
          <w:b/>
          <w:i/>
          <w:spacing w:val="-1"/>
          <w:highlight w:val="green"/>
        </w:rPr>
        <w:t>Call</w:t>
      </w:r>
      <w:r w:rsidRPr="00164142">
        <w:rPr>
          <w:rFonts w:ascii="Arial"/>
          <w:b/>
          <w:i/>
          <w:spacing w:val="10"/>
          <w:highlight w:val="green"/>
        </w:rPr>
        <w:t xml:space="preserve"> </w:t>
      </w:r>
      <w:r w:rsidRPr="00164142">
        <w:rPr>
          <w:rFonts w:ascii="Arial"/>
          <w:b/>
          <w:i/>
          <w:spacing w:val="-1"/>
          <w:highlight w:val="green"/>
        </w:rPr>
        <w:t>Off</w:t>
      </w:r>
      <w:r w:rsidRPr="00164142">
        <w:rPr>
          <w:rFonts w:ascii="Arial"/>
          <w:b/>
          <w:i/>
          <w:spacing w:val="51"/>
          <w:highlight w:val="green"/>
        </w:rPr>
        <w:t xml:space="preserve"> </w:t>
      </w:r>
      <w:r w:rsidRPr="00164142">
        <w:rPr>
          <w:rFonts w:ascii="Arial"/>
          <w:b/>
          <w:i/>
          <w:spacing w:val="-1"/>
          <w:highlight w:val="green"/>
        </w:rPr>
        <w:t>Schedule</w:t>
      </w:r>
      <w:r w:rsidRPr="00164142">
        <w:rPr>
          <w:rFonts w:ascii="Arial"/>
          <w:b/>
          <w:i/>
          <w:highlight w:val="green"/>
        </w:rPr>
        <w:t xml:space="preserve"> </w:t>
      </w:r>
      <w:r w:rsidRPr="00164142">
        <w:rPr>
          <w:rFonts w:ascii="Arial"/>
          <w:b/>
          <w:i/>
          <w:spacing w:val="-2"/>
          <w:highlight w:val="green"/>
        </w:rPr>
        <w:t>[11].]</w:t>
      </w:r>
    </w:p>
    <w:p w:rsidR="00747FCE" w:rsidRDefault="00747FCE" w:rsidP="00747FCE">
      <w:pPr>
        <w:ind w:left="127"/>
        <w:jc w:val="both"/>
        <w:rPr>
          <w:rFonts w:ascii="Arial"/>
          <w:b/>
          <w:i/>
          <w:spacing w:val="-2"/>
        </w:rPr>
      </w:pPr>
    </w:p>
    <w:p w:rsidR="00747FCE" w:rsidRDefault="00747FCE" w:rsidP="00747FCE">
      <w:pPr>
        <w:ind w:left="127"/>
        <w:jc w:val="both"/>
        <w:rPr>
          <w:rFonts w:ascii="Arial" w:eastAsia="Arial" w:hAnsi="Arial" w:cs="Arial"/>
        </w:rPr>
      </w:pPr>
      <w:r w:rsidRPr="00164142">
        <w:rPr>
          <w:rFonts w:ascii="Arial"/>
          <w:b/>
          <w:i/>
          <w:spacing w:val="-2"/>
          <w:highlight w:val="yellow"/>
        </w:rPr>
        <w:t>[Insert text of applicable DEFCONs and DEFFORMs]</w:t>
      </w:r>
    </w:p>
    <w:p w:rsidR="00747FCE" w:rsidRDefault="00747FCE"/>
    <w:sectPr w:rsidR="00747FCE">
      <w:footerReference w:type="default" r:id="rId36"/>
      <w:pgSz w:w="11910" w:h="16840"/>
      <w:pgMar w:top="1460" w:right="1220" w:bottom="1180" w:left="1620" w:header="0" w:footer="9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C6B" w:rsidRDefault="00E32C6B">
      <w:r>
        <w:separator/>
      </w:r>
    </w:p>
  </w:endnote>
  <w:endnote w:type="continuationSeparator" w:id="0">
    <w:p w:rsidR="00E32C6B" w:rsidRDefault="00E32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81" w:rsidRDefault="005D2B81">
    <w:pPr>
      <w:spacing w:line="14" w:lineRule="auto"/>
      <w:rPr>
        <w:sz w:val="20"/>
        <w:szCs w:val="20"/>
      </w:rPr>
    </w:pPr>
    <w:r>
      <w:rPr>
        <w:noProof/>
        <w:lang w:eastAsia="en-GB"/>
      </w:rPr>
      <mc:AlternateContent>
        <mc:Choice Requires="wps">
          <w:drawing>
            <wp:anchor distT="0" distB="0" distL="114300" distR="114300" simplePos="0" relativeHeight="251653632" behindDoc="1" locked="0" layoutInCell="1" allowOverlap="1" wp14:anchorId="4508791E" wp14:editId="711B4EEF">
              <wp:simplePos x="0" y="0"/>
              <wp:positionH relativeFrom="page">
                <wp:posOffset>4089400</wp:posOffset>
              </wp:positionH>
              <wp:positionV relativeFrom="page">
                <wp:posOffset>9926320</wp:posOffset>
              </wp:positionV>
              <wp:extent cx="206375" cy="165735"/>
              <wp:effectExtent l="3175" t="127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0B2DCE">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8791E" id="_x0000_t202" coordsize="21600,21600" o:spt="202" path="m,l,21600r21600,l21600,xe">
              <v:stroke joinstyle="miter"/>
              <v:path gradientshapeok="t" o:connecttype="rect"/>
            </v:shapetype>
            <v:shape id="Text Box 9" o:spid="_x0000_s1384" type="#_x0000_t202" style="position:absolute;margin-left:322pt;margin-top:781.6pt;width:16.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WzrAIAAK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" filled="f" stroked="f">
              <v:textbox inset="0,0,0,0">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0B2DCE">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81" w:rsidRDefault="005D2B81">
    <w:pPr>
      <w:spacing w:line="14" w:lineRule="auto"/>
      <w:rPr>
        <w:sz w:val="20"/>
        <w:szCs w:val="20"/>
      </w:rPr>
    </w:pPr>
    <w:r>
      <w:rPr>
        <w:noProof/>
        <w:lang w:eastAsia="en-GB"/>
      </w:rPr>
      <mc:AlternateContent>
        <mc:Choice Requires="wps">
          <w:drawing>
            <wp:anchor distT="0" distB="0" distL="114300" distR="114300" simplePos="0" relativeHeight="251655680" behindDoc="1" locked="0" layoutInCell="1" allowOverlap="1" wp14:anchorId="38118040" wp14:editId="1271DA04">
              <wp:simplePos x="0" y="0"/>
              <wp:positionH relativeFrom="page">
                <wp:posOffset>4089400</wp:posOffset>
              </wp:positionH>
              <wp:positionV relativeFrom="page">
                <wp:posOffset>9926320</wp:posOffset>
              </wp:positionV>
              <wp:extent cx="206375" cy="165735"/>
              <wp:effectExtent l="3175" t="127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0B2DCE">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18040" id="_x0000_t202" coordsize="21600,21600" o:spt="202" path="m,l,21600r21600,l21600,xe">
              <v:stroke joinstyle="miter"/>
              <v:path gradientshapeok="t" o:connecttype="rect"/>
            </v:shapetype>
            <v:shape id="Text Box 8" o:spid="_x0000_s1385" type="#_x0000_t202" style="position:absolute;margin-left:322pt;margin-top:781.6pt;width:16.25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krrw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" filled="f" stroked="f">
              <v:textbox inset="0,0,0,0">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0B2DCE">
                      <w:rPr>
                        <w:noProof/>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81" w:rsidRDefault="005D2B81">
    <w:pPr>
      <w:spacing w:line="14" w:lineRule="auto"/>
      <w:rPr>
        <w:sz w:val="20"/>
        <w:szCs w:val="20"/>
      </w:rPr>
    </w:pPr>
    <w:r>
      <w:rPr>
        <w:noProof/>
        <w:lang w:eastAsia="en-GB"/>
      </w:rPr>
      <mc:AlternateContent>
        <mc:Choice Requires="wps">
          <w:drawing>
            <wp:anchor distT="0" distB="0" distL="114300" distR="114300" simplePos="0" relativeHeight="251656704" behindDoc="1" locked="0" layoutInCell="1" allowOverlap="1" wp14:anchorId="34C578DC" wp14:editId="16BA6C9C">
              <wp:simplePos x="0" y="0"/>
              <wp:positionH relativeFrom="page">
                <wp:posOffset>4089400</wp:posOffset>
              </wp:positionH>
              <wp:positionV relativeFrom="page">
                <wp:posOffset>9926320</wp:posOffset>
              </wp:positionV>
              <wp:extent cx="206375" cy="165735"/>
              <wp:effectExtent l="3175" t="127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514A63">
                            <w:rPr>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578DC" id="_x0000_t202" coordsize="21600,21600" o:spt="202" path="m,l,21600r21600,l21600,xe">
              <v:stroke joinstyle="miter"/>
              <v:path gradientshapeok="t" o:connecttype="rect"/>
            </v:shapetype>
            <v:shape id="Text Box 7" o:spid="_x0000_s1386" type="#_x0000_t202" style="position:absolute;margin-left:322pt;margin-top:781.6pt;width:16.2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3HsAIAAK8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" filled="f" stroked="f">
              <v:textbox inset="0,0,0,0">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514A63">
                      <w:rPr>
                        <w:noProof/>
                      </w:rPr>
                      <w:t>99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81" w:rsidRDefault="005D2B81">
    <w:pPr>
      <w:spacing w:line="14" w:lineRule="auto"/>
      <w:rPr>
        <w:sz w:val="20"/>
        <w:szCs w:val="20"/>
      </w:rPr>
    </w:pPr>
    <w:r>
      <w:rPr>
        <w:noProof/>
        <w:lang w:eastAsia="en-GB"/>
      </w:rPr>
      <mc:AlternateContent>
        <mc:Choice Requires="wps">
          <w:drawing>
            <wp:anchor distT="0" distB="0" distL="114300" distR="114300" simplePos="0" relativeHeight="251657728" behindDoc="1" locked="0" layoutInCell="1" allowOverlap="1" wp14:anchorId="08E56A9A" wp14:editId="643745D3">
              <wp:simplePos x="0" y="0"/>
              <wp:positionH relativeFrom="page">
                <wp:posOffset>4102100</wp:posOffset>
              </wp:positionH>
              <wp:positionV relativeFrom="page">
                <wp:posOffset>9926320</wp:posOffset>
              </wp:positionV>
              <wp:extent cx="258445" cy="165735"/>
              <wp:effectExtent l="0" t="1270" r="190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20" w:firstLine="0"/>
                          </w:pPr>
                          <w:r>
                            <w:rPr>
                              <w:spacing w:val="-1"/>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56A9A" id="_x0000_t202" coordsize="21600,21600" o:spt="202" path="m,l,21600r21600,l21600,xe">
              <v:stroke joinstyle="miter"/>
              <v:path gradientshapeok="t" o:connecttype="rect"/>
            </v:shapetype>
            <v:shape id="Text Box 6" o:spid="_x0000_s1387" type="#_x0000_t202" style="position:absolute;margin-left:323pt;margin-top:781.6pt;width:20.3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a5sA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" filled="f" stroked="f">
              <v:textbox inset="0,0,0,0">
                <w:txbxContent>
                  <w:p w:rsidR="005D2B81" w:rsidRDefault="005D2B81">
                    <w:pPr>
                      <w:pStyle w:val="BodyText"/>
                      <w:spacing w:before="0" w:line="246" w:lineRule="exact"/>
                      <w:ind w:left="20" w:firstLine="0"/>
                    </w:pPr>
                    <w:r>
                      <w:rPr>
                        <w:spacing w:val="-1"/>
                      </w:rPr>
                      <w:t>100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81" w:rsidRDefault="005D2B81">
    <w:pPr>
      <w:spacing w:line="14" w:lineRule="auto"/>
      <w:rPr>
        <w:sz w:val="20"/>
        <w:szCs w:val="20"/>
      </w:rPr>
    </w:pPr>
    <w:r>
      <w:rPr>
        <w:noProof/>
        <w:lang w:eastAsia="en-GB"/>
      </w:rPr>
      <mc:AlternateContent>
        <mc:Choice Requires="wps">
          <w:drawing>
            <wp:anchor distT="0" distB="0" distL="114300" distR="114300" simplePos="0" relativeHeight="251658752" behindDoc="1" locked="0" layoutInCell="1" allowOverlap="1" wp14:anchorId="377E8C1D" wp14:editId="0CD213EC">
              <wp:simplePos x="0" y="0"/>
              <wp:positionH relativeFrom="page">
                <wp:posOffset>4089400</wp:posOffset>
              </wp:positionH>
              <wp:positionV relativeFrom="page">
                <wp:posOffset>9926320</wp:posOffset>
              </wp:positionV>
              <wp:extent cx="283845" cy="165735"/>
              <wp:effectExtent l="3175" t="127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514A63">
                            <w:rPr>
                              <w:noProof/>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E8C1D" id="_x0000_t202" coordsize="21600,21600" o:spt="202" path="m,l,21600r21600,l21600,xe">
              <v:stroke joinstyle="miter"/>
              <v:path gradientshapeok="t" o:connecttype="rect"/>
            </v:shapetype>
            <v:shape id="Text Box 5" o:spid="_x0000_s1388" type="#_x0000_t202" style="position:absolute;margin-left:322pt;margin-top:781.6pt;width:22.3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WsgIAAK8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" filled="f" stroked="f">
              <v:textbox inset="0,0,0,0">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514A63">
                      <w:rPr>
                        <w:noProof/>
                      </w:rPr>
                      <w:t>146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81" w:rsidRDefault="005D2B81">
    <w:pPr>
      <w:spacing w:line="14" w:lineRule="auto"/>
      <w:rPr>
        <w:sz w:val="20"/>
        <w:szCs w:val="20"/>
      </w:rPr>
    </w:pPr>
    <w:r>
      <w:rPr>
        <w:noProof/>
        <w:lang w:eastAsia="en-GB"/>
      </w:rPr>
      <mc:AlternateContent>
        <mc:Choice Requires="wps">
          <w:drawing>
            <wp:anchor distT="0" distB="0" distL="114300" distR="114300" simplePos="0" relativeHeight="251659776" behindDoc="1" locked="0" layoutInCell="1" allowOverlap="1" wp14:anchorId="725300F9" wp14:editId="75595228">
              <wp:simplePos x="0" y="0"/>
              <wp:positionH relativeFrom="page">
                <wp:posOffset>2251710</wp:posOffset>
              </wp:positionH>
              <wp:positionV relativeFrom="page">
                <wp:posOffset>9585960</wp:posOffset>
              </wp:positionV>
              <wp:extent cx="4422775" cy="165735"/>
              <wp:effectExtent l="3810" t="3810" r="254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20" w:firstLine="0"/>
                          </w:pPr>
                          <w:r>
                            <w:rPr>
                              <w:spacing w:val="-1"/>
                            </w:rPr>
                            <w:t>(at</w:t>
                          </w:r>
                          <w:r>
                            <w:t xml:space="preserve"> </w:t>
                          </w:r>
                          <w:r>
                            <w:rPr>
                              <w:spacing w:val="1"/>
                            </w:rPr>
                            <w:t xml:space="preserve"> </w:t>
                          </w:r>
                          <w:r>
                            <w:t xml:space="preserve">the </w:t>
                          </w:r>
                          <w:r>
                            <w:rPr>
                              <w:spacing w:val="2"/>
                            </w:rPr>
                            <w:t xml:space="preserve"> </w:t>
                          </w:r>
                          <w:r>
                            <w:rPr>
                              <w:spacing w:val="-2"/>
                            </w:rPr>
                            <w:t>Customer’s</w:t>
                          </w:r>
                          <w:r>
                            <w:t xml:space="preserve">  </w:t>
                          </w:r>
                          <w:r>
                            <w:rPr>
                              <w:spacing w:val="-1"/>
                            </w:rPr>
                            <w:t>request)</w:t>
                          </w:r>
                          <w:r>
                            <w:rPr>
                              <w:spacing w:val="61"/>
                            </w:rPr>
                            <w:t xml:space="preserve"> </w:t>
                          </w:r>
                          <w:r>
                            <w:rPr>
                              <w:spacing w:val="-1"/>
                            </w:rPr>
                            <w:t>any</w:t>
                          </w:r>
                          <w:r>
                            <w:t xml:space="preserve">  </w:t>
                          </w:r>
                          <w:r>
                            <w:rPr>
                              <w:spacing w:val="-1"/>
                            </w:rPr>
                            <w:t>Related</w:t>
                          </w:r>
                          <w:r>
                            <w:t xml:space="preserve"> </w:t>
                          </w:r>
                          <w:r>
                            <w:rPr>
                              <w:spacing w:val="2"/>
                            </w:rPr>
                            <w:t xml:space="preserve"> </w:t>
                          </w:r>
                          <w:r>
                            <w:rPr>
                              <w:spacing w:val="-1"/>
                            </w:rPr>
                            <w:t>Suppliers</w:t>
                          </w:r>
                          <w:r>
                            <w:t xml:space="preserve"> </w:t>
                          </w:r>
                          <w:r>
                            <w:rPr>
                              <w:spacing w:val="2"/>
                            </w:rPr>
                            <w:t xml:space="preserve"> </w:t>
                          </w:r>
                          <w:r>
                            <w:rPr>
                              <w:spacing w:val="-2"/>
                            </w:rPr>
                            <w:t>with</w:t>
                          </w:r>
                          <w:r>
                            <w:t xml:space="preserve"> </w:t>
                          </w:r>
                          <w:r>
                            <w:rPr>
                              <w:spacing w:val="2"/>
                            </w:rPr>
                            <w:t xml:space="preserve"> </w:t>
                          </w:r>
                          <w:r>
                            <w:rPr>
                              <w:spacing w:val="-1"/>
                            </w:rPr>
                            <w:t>respect</w:t>
                          </w:r>
                          <w:r>
                            <w:t xml:space="preserve"> </w:t>
                          </w:r>
                          <w:r>
                            <w:rPr>
                              <w:spacing w:val="1"/>
                            </w:rPr>
                            <w:t xml:space="preserve"> </w:t>
                          </w:r>
                          <w: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300F9" id="_x0000_t202" coordsize="21600,21600" o:spt="202" path="m,l,21600r21600,l21600,xe">
              <v:stroke joinstyle="miter"/>
              <v:path gradientshapeok="t" o:connecttype="rect"/>
            </v:shapetype>
            <v:shape id="Text Box 4" o:spid="_x0000_s1389" type="#_x0000_t202" style="position:absolute;margin-left:177.3pt;margin-top:754.8pt;width:348.25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P3sAIAALA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" filled="f" stroked="f">
              <v:textbox inset="0,0,0,0">
                <w:txbxContent>
                  <w:p w:rsidR="005D2B81" w:rsidRDefault="005D2B81">
                    <w:pPr>
                      <w:pStyle w:val="BodyText"/>
                      <w:spacing w:before="0" w:line="246" w:lineRule="exact"/>
                      <w:ind w:left="20" w:firstLine="0"/>
                    </w:pPr>
                    <w:r>
                      <w:rPr>
                        <w:spacing w:val="-1"/>
                      </w:rPr>
                      <w:t>(at</w:t>
                    </w:r>
                    <w:r>
                      <w:t xml:space="preserve"> </w:t>
                    </w:r>
                    <w:r>
                      <w:rPr>
                        <w:spacing w:val="1"/>
                      </w:rPr>
                      <w:t xml:space="preserve"> </w:t>
                    </w:r>
                    <w:r>
                      <w:t xml:space="preserve">the </w:t>
                    </w:r>
                    <w:r>
                      <w:rPr>
                        <w:spacing w:val="2"/>
                      </w:rPr>
                      <w:t xml:space="preserve"> </w:t>
                    </w:r>
                    <w:r>
                      <w:rPr>
                        <w:spacing w:val="-2"/>
                      </w:rPr>
                      <w:t>Customer’s</w:t>
                    </w:r>
                    <w:r>
                      <w:t xml:space="preserve">  </w:t>
                    </w:r>
                    <w:r>
                      <w:rPr>
                        <w:spacing w:val="-1"/>
                      </w:rPr>
                      <w:t>request)</w:t>
                    </w:r>
                    <w:r>
                      <w:rPr>
                        <w:spacing w:val="61"/>
                      </w:rPr>
                      <w:t xml:space="preserve"> </w:t>
                    </w:r>
                    <w:r>
                      <w:rPr>
                        <w:spacing w:val="-1"/>
                      </w:rPr>
                      <w:t>any</w:t>
                    </w:r>
                    <w:r>
                      <w:t xml:space="preserve">  </w:t>
                    </w:r>
                    <w:r>
                      <w:rPr>
                        <w:spacing w:val="-1"/>
                      </w:rPr>
                      <w:t>Related</w:t>
                    </w:r>
                    <w:r>
                      <w:t xml:space="preserve"> </w:t>
                    </w:r>
                    <w:r>
                      <w:rPr>
                        <w:spacing w:val="2"/>
                      </w:rPr>
                      <w:t xml:space="preserve"> </w:t>
                    </w:r>
                    <w:r>
                      <w:rPr>
                        <w:spacing w:val="-1"/>
                      </w:rPr>
                      <w:t>Suppliers</w:t>
                    </w:r>
                    <w:r>
                      <w:t xml:space="preserve"> </w:t>
                    </w:r>
                    <w:r>
                      <w:rPr>
                        <w:spacing w:val="2"/>
                      </w:rPr>
                      <w:t xml:space="preserve"> </w:t>
                    </w:r>
                    <w:r>
                      <w:rPr>
                        <w:spacing w:val="-2"/>
                      </w:rPr>
                      <w:t>with</w:t>
                    </w:r>
                    <w:r>
                      <w:t xml:space="preserve"> </w:t>
                    </w:r>
                    <w:r>
                      <w:rPr>
                        <w:spacing w:val="2"/>
                      </w:rPr>
                      <w:t xml:space="preserve"> </w:t>
                    </w:r>
                    <w:r>
                      <w:rPr>
                        <w:spacing w:val="-1"/>
                      </w:rPr>
                      <w:t>respect</w:t>
                    </w:r>
                    <w:r>
                      <w:t xml:space="preserve"> </w:t>
                    </w:r>
                    <w:r>
                      <w:rPr>
                        <w:spacing w:val="1"/>
                      </w:rPr>
                      <w:t xml:space="preserve"> </w:t>
                    </w:r>
                    <w:r>
                      <w:t>to</w:t>
                    </w:r>
                  </w:p>
                </w:txbxContent>
              </v:textbox>
              <w10:wrap anchorx="page" anchory="page"/>
            </v:shape>
          </w:pict>
        </mc:Fallback>
      </mc:AlternateContent>
    </w:r>
    <w:r>
      <w:rPr>
        <w:noProof/>
        <w:lang w:eastAsia="en-GB"/>
      </w:rPr>
      <mc:AlternateContent>
        <mc:Choice Requires="wps">
          <w:drawing>
            <wp:anchor distT="0" distB="0" distL="114300" distR="114300" simplePos="0" relativeHeight="251660800" behindDoc="1" locked="0" layoutInCell="1" allowOverlap="1" wp14:anchorId="7EB1B28D" wp14:editId="021BCC54">
              <wp:simplePos x="0" y="0"/>
              <wp:positionH relativeFrom="page">
                <wp:posOffset>4089400</wp:posOffset>
              </wp:positionH>
              <wp:positionV relativeFrom="page">
                <wp:posOffset>9926320</wp:posOffset>
              </wp:positionV>
              <wp:extent cx="283845" cy="165735"/>
              <wp:effectExtent l="3175" t="127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514A63">
                            <w:rPr>
                              <w:noProof/>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1B28D" id="Text Box 3" o:spid="_x0000_s1390" type="#_x0000_t202" style="position:absolute;margin-left:322pt;margin-top:781.6pt;width:22.35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zAsAIAAK8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" filled="f" stroked="f">
              <v:textbox inset="0,0,0,0">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514A63">
                      <w:rPr>
                        <w:noProof/>
                      </w:rPr>
                      <w:t>147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81" w:rsidRDefault="005D2B81">
    <w:pPr>
      <w:spacing w:line="14" w:lineRule="auto"/>
      <w:rPr>
        <w:sz w:val="20"/>
        <w:szCs w:val="20"/>
      </w:rPr>
    </w:pPr>
    <w:r>
      <w:rPr>
        <w:noProof/>
        <w:lang w:eastAsia="en-GB"/>
      </w:rPr>
      <mc:AlternateContent>
        <mc:Choice Requires="wps">
          <w:drawing>
            <wp:anchor distT="0" distB="0" distL="114300" distR="114300" simplePos="0" relativeHeight="251661824" behindDoc="1" locked="0" layoutInCell="1" allowOverlap="1" wp14:anchorId="7F7A64CA" wp14:editId="15799505">
              <wp:simplePos x="0" y="0"/>
              <wp:positionH relativeFrom="page">
                <wp:posOffset>4089400</wp:posOffset>
              </wp:positionH>
              <wp:positionV relativeFrom="page">
                <wp:posOffset>9926320</wp:posOffset>
              </wp:positionV>
              <wp:extent cx="283845" cy="165735"/>
              <wp:effectExtent l="3175" t="127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DE3937">
                            <w:rPr>
                              <w:noProof/>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A64CA" id="_x0000_t202" coordsize="21600,21600" o:spt="202" path="m,l,21600r21600,l21600,xe">
              <v:stroke joinstyle="miter"/>
              <v:path gradientshapeok="t" o:connecttype="rect"/>
            </v:shapetype>
            <v:shape id="Text Box 2" o:spid="_x0000_s1391" type="#_x0000_t202" style="position:absolute;margin-left:322pt;margin-top:781.6pt;width:22.35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L7sA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" filled="f" stroked="f">
              <v:textbox inset="0,0,0,0">
                <w:txbxContent>
                  <w:p w:rsidR="005D2B81" w:rsidRDefault="005D2B81">
                    <w:pPr>
                      <w:pStyle w:val="BodyText"/>
                      <w:spacing w:before="0" w:line="246" w:lineRule="exact"/>
                      <w:ind w:left="40" w:firstLine="0"/>
                    </w:pPr>
                    <w:r>
                      <w:fldChar w:fldCharType="begin"/>
                    </w:r>
                    <w:r>
                      <w:instrText xml:space="preserve"> PAGE </w:instrText>
                    </w:r>
                    <w:r>
                      <w:fldChar w:fldCharType="separate"/>
                    </w:r>
                    <w:r w:rsidR="00DE3937">
                      <w:rPr>
                        <w:noProof/>
                      </w:rPr>
                      <w:t>199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81" w:rsidRDefault="005D2B81">
    <w:pPr>
      <w:spacing w:line="14" w:lineRule="auto"/>
      <w:rPr>
        <w:sz w:val="20"/>
        <w:szCs w:val="20"/>
      </w:rPr>
    </w:pPr>
    <w:r>
      <w:rPr>
        <w:noProof/>
        <w:lang w:eastAsia="en-GB"/>
      </w:rPr>
      <mc:AlternateContent>
        <mc:Choice Requires="wps">
          <w:drawing>
            <wp:anchor distT="0" distB="0" distL="114300" distR="114300" simplePos="0" relativeHeight="251654656" behindDoc="1" locked="0" layoutInCell="1" allowOverlap="1" wp14:anchorId="3ED2793B" wp14:editId="2B819DA8">
              <wp:simplePos x="0" y="0"/>
              <wp:positionH relativeFrom="page">
                <wp:posOffset>4102100</wp:posOffset>
              </wp:positionH>
              <wp:positionV relativeFrom="page">
                <wp:posOffset>9926320</wp:posOffset>
              </wp:positionV>
              <wp:extent cx="258445" cy="165735"/>
              <wp:effectExtent l="0" t="1270" r="190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81" w:rsidRDefault="005D2B81">
                          <w:pPr>
                            <w:pStyle w:val="BodyText"/>
                            <w:spacing w:before="0" w:line="246" w:lineRule="exact"/>
                            <w:ind w:left="20" w:firstLine="0"/>
                          </w:pPr>
                          <w:r>
                            <w:rPr>
                              <w:spacing w:val="-1"/>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2793B" id="_x0000_t202" coordsize="21600,21600" o:spt="202" path="m,l,21600r21600,l21600,xe">
              <v:stroke joinstyle="miter"/>
              <v:path gradientshapeok="t" o:connecttype="rect"/>
            </v:shapetype>
            <v:shape id="Text Box 1" o:spid="_x0000_s1392" type="#_x0000_t202" style="position:absolute;margin-left:323pt;margin-top:781.6pt;width:20.35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JUrgIAAK8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" filled="f" stroked="f">
              <v:textbox inset="0,0,0,0">
                <w:txbxContent>
                  <w:p w:rsidR="005D2B81" w:rsidRDefault="005D2B81">
                    <w:pPr>
                      <w:pStyle w:val="BodyText"/>
                      <w:spacing w:before="0" w:line="246" w:lineRule="exact"/>
                      <w:ind w:left="20" w:firstLine="0"/>
                    </w:pPr>
                    <w:r>
                      <w:rPr>
                        <w:spacing w:val="-1"/>
                      </w:rPr>
                      <w:t>200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C6B" w:rsidRDefault="00E32C6B">
      <w:r>
        <w:separator/>
      </w:r>
    </w:p>
  </w:footnote>
  <w:footnote w:type="continuationSeparator" w:id="0">
    <w:p w:rsidR="00E32C6B" w:rsidRDefault="00E32C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45FC1"/>
    <w:multiLevelType w:val="multilevel"/>
    <w:tmpl w:val="EE281A8A"/>
    <w:lvl w:ilvl="0">
      <w:start w:val="2"/>
      <w:numFmt w:val="decimal"/>
      <w:lvlText w:val="%1"/>
      <w:lvlJc w:val="left"/>
      <w:pPr>
        <w:ind w:left="1525" w:hanging="493"/>
        <w:jc w:val="left"/>
      </w:pPr>
      <w:rPr>
        <w:rFonts w:hint="default"/>
      </w:rPr>
    </w:lvl>
    <w:lvl w:ilvl="1">
      <w:start w:val="2"/>
      <w:numFmt w:val="decimal"/>
      <w:lvlText w:val="%1.%2"/>
      <w:lvlJc w:val="left"/>
      <w:pPr>
        <w:ind w:left="1525" w:hanging="493"/>
        <w:jc w:val="left"/>
      </w:pPr>
      <w:rPr>
        <w:rFonts w:hint="default"/>
      </w:rPr>
    </w:lvl>
    <w:lvl w:ilvl="2">
      <w:start w:val="3"/>
      <w:numFmt w:val="decimal"/>
      <w:lvlText w:val="%1.%2.%3"/>
      <w:lvlJc w:val="left"/>
      <w:pPr>
        <w:ind w:left="1525" w:hanging="493"/>
        <w:jc w:val="left"/>
      </w:pPr>
      <w:rPr>
        <w:rFonts w:hint="default"/>
        <w:spacing w:val="-1"/>
        <w:highlight w:val="yellow"/>
      </w:rPr>
    </w:lvl>
    <w:lvl w:ilvl="3">
      <w:start w:val="1"/>
      <w:numFmt w:val="bullet"/>
      <w:lvlText w:val="•"/>
      <w:lvlJc w:val="left"/>
      <w:pPr>
        <w:ind w:left="3787" w:hanging="493"/>
      </w:pPr>
      <w:rPr>
        <w:rFonts w:hint="default"/>
      </w:rPr>
    </w:lvl>
    <w:lvl w:ilvl="4">
      <w:start w:val="1"/>
      <w:numFmt w:val="bullet"/>
      <w:lvlText w:val="•"/>
      <w:lvlJc w:val="left"/>
      <w:pPr>
        <w:ind w:left="4541" w:hanging="493"/>
      </w:pPr>
      <w:rPr>
        <w:rFonts w:hint="default"/>
      </w:rPr>
    </w:lvl>
    <w:lvl w:ilvl="5">
      <w:start w:val="1"/>
      <w:numFmt w:val="bullet"/>
      <w:lvlText w:val="•"/>
      <w:lvlJc w:val="left"/>
      <w:pPr>
        <w:ind w:left="5295" w:hanging="493"/>
      </w:pPr>
      <w:rPr>
        <w:rFonts w:hint="default"/>
      </w:rPr>
    </w:lvl>
    <w:lvl w:ilvl="6">
      <w:start w:val="1"/>
      <w:numFmt w:val="bullet"/>
      <w:lvlText w:val="•"/>
      <w:lvlJc w:val="left"/>
      <w:pPr>
        <w:ind w:left="6049" w:hanging="493"/>
      </w:pPr>
      <w:rPr>
        <w:rFonts w:hint="default"/>
      </w:rPr>
    </w:lvl>
    <w:lvl w:ilvl="7">
      <w:start w:val="1"/>
      <w:numFmt w:val="bullet"/>
      <w:lvlText w:val="•"/>
      <w:lvlJc w:val="left"/>
      <w:pPr>
        <w:ind w:left="6804" w:hanging="493"/>
      </w:pPr>
      <w:rPr>
        <w:rFonts w:hint="default"/>
      </w:rPr>
    </w:lvl>
    <w:lvl w:ilvl="8">
      <w:start w:val="1"/>
      <w:numFmt w:val="bullet"/>
      <w:lvlText w:val="•"/>
      <w:lvlJc w:val="left"/>
      <w:pPr>
        <w:ind w:left="7558" w:hanging="493"/>
      </w:pPr>
      <w:rPr>
        <w:rFonts w:hint="default"/>
      </w:rPr>
    </w:lvl>
  </w:abstractNum>
  <w:abstractNum w:abstractNumId="1">
    <w:nsid w:val="071979DD"/>
    <w:multiLevelType w:val="multilevel"/>
    <w:tmpl w:val="776C06BE"/>
    <w:lvl w:ilvl="0">
      <w:start w:val="3"/>
      <w:numFmt w:val="decimal"/>
      <w:lvlText w:val="%1"/>
      <w:lvlJc w:val="left"/>
      <w:pPr>
        <w:ind w:left="828" w:hanging="360"/>
        <w:jc w:val="left"/>
      </w:pPr>
      <w:rPr>
        <w:rFonts w:hint="default"/>
      </w:rPr>
    </w:lvl>
    <w:lvl w:ilvl="1">
      <w:start w:val="3"/>
      <w:numFmt w:val="decimal"/>
      <w:lvlText w:val="%1.%2"/>
      <w:lvlJc w:val="left"/>
      <w:pPr>
        <w:ind w:left="828" w:hanging="360"/>
        <w:jc w:val="left"/>
      </w:pPr>
      <w:rPr>
        <w:rFonts w:ascii="Arial" w:eastAsia="Arial" w:hAnsi="Arial" w:hint="default"/>
        <w:spacing w:val="-1"/>
        <w:sz w:val="22"/>
        <w:szCs w:val="22"/>
      </w:rPr>
    </w:lvl>
    <w:lvl w:ilvl="2">
      <w:start w:val="1"/>
      <w:numFmt w:val="bullet"/>
      <w:lvlText w:val="•"/>
      <w:lvlJc w:val="left"/>
      <w:pPr>
        <w:ind w:left="2475" w:hanging="360"/>
      </w:pPr>
      <w:rPr>
        <w:rFonts w:hint="default"/>
      </w:rPr>
    </w:lvl>
    <w:lvl w:ilvl="3">
      <w:start w:val="1"/>
      <w:numFmt w:val="bullet"/>
      <w:lvlText w:val="•"/>
      <w:lvlJc w:val="left"/>
      <w:pPr>
        <w:ind w:left="3299" w:hanging="360"/>
      </w:pPr>
      <w:rPr>
        <w:rFonts w:hint="default"/>
      </w:rPr>
    </w:lvl>
    <w:lvl w:ilvl="4">
      <w:start w:val="1"/>
      <w:numFmt w:val="bullet"/>
      <w:lvlText w:val="•"/>
      <w:lvlJc w:val="left"/>
      <w:pPr>
        <w:ind w:left="4123" w:hanging="360"/>
      </w:pPr>
      <w:rPr>
        <w:rFonts w:hint="default"/>
      </w:rPr>
    </w:lvl>
    <w:lvl w:ilvl="5">
      <w:start w:val="1"/>
      <w:numFmt w:val="bullet"/>
      <w:lvlText w:val="•"/>
      <w:lvlJc w:val="left"/>
      <w:pPr>
        <w:ind w:left="4947" w:hanging="360"/>
      </w:pPr>
      <w:rPr>
        <w:rFonts w:hint="default"/>
      </w:rPr>
    </w:lvl>
    <w:lvl w:ilvl="6">
      <w:start w:val="1"/>
      <w:numFmt w:val="bullet"/>
      <w:lvlText w:val="•"/>
      <w:lvlJc w:val="left"/>
      <w:pPr>
        <w:ind w:left="5771" w:hanging="360"/>
      </w:pPr>
      <w:rPr>
        <w:rFonts w:hint="default"/>
      </w:rPr>
    </w:lvl>
    <w:lvl w:ilvl="7">
      <w:start w:val="1"/>
      <w:numFmt w:val="bullet"/>
      <w:lvlText w:val="•"/>
      <w:lvlJc w:val="left"/>
      <w:pPr>
        <w:ind w:left="6594" w:hanging="360"/>
      </w:pPr>
      <w:rPr>
        <w:rFonts w:hint="default"/>
      </w:rPr>
    </w:lvl>
    <w:lvl w:ilvl="8">
      <w:start w:val="1"/>
      <w:numFmt w:val="bullet"/>
      <w:lvlText w:val="•"/>
      <w:lvlJc w:val="left"/>
      <w:pPr>
        <w:ind w:left="7418" w:hanging="360"/>
      </w:pPr>
      <w:rPr>
        <w:rFonts w:hint="default"/>
      </w:rPr>
    </w:lvl>
  </w:abstractNum>
  <w:abstractNum w:abstractNumId="2">
    <w:nsid w:val="0AF475CE"/>
    <w:multiLevelType w:val="hybridMultilevel"/>
    <w:tmpl w:val="45762B9E"/>
    <w:lvl w:ilvl="0" w:tplc="A92A3974">
      <w:start w:val="1"/>
      <w:numFmt w:val="lowerLetter"/>
      <w:lvlText w:val="%1)"/>
      <w:lvlJc w:val="left"/>
      <w:pPr>
        <w:ind w:left="819" w:hanging="545"/>
        <w:jc w:val="left"/>
      </w:pPr>
      <w:rPr>
        <w:rFonts w:ascii="Arial" w:eastAsia="Arial" w:hAnsi="Arial" w:hint="default"/>
        <w:spacing w:val="-1"/>
        <w:sz w:val="22"/>
        <w:szCs w:val="22"/>
      </w:rPr>
    </w:lvl>
    <w:lvl w:ilvl="1" w:tplc="A6D268AC">
      <w:start w:val="1"/>
      <w:numFmt w:val="bullet"/>
      <w:lvlText w:val="•"/>
      <w:lvlJc w:val="left"/>
      <w:pPr>
        <w:ind w:left="1342" w:hanging="545"/>
      </w:pPr>
      <w:rPr>
        <w:rFonts w:hint="default"/>
      </w:rPr>
    </w:lvl>
    <w:lvl w:ilvl="2" w:tplc="1458E568">
      <w:start w:val="1"/>
      <w:numFmt w:val="bullet"/>
      <w:lvlText w:val="•"/>
      <w:lvlJc w:val="left"/>
      <w:pPr>
        <w:ind w:left="1865" w:hanging="545"/>
      </w:pPr>
      <w:rPr>
        <w:rFonts w:hint="default"/>
      </w:rPr>
    </w:lvl>
    <w:lvl w:ilvl="3" w:tplc="6D68BCE2">
      <w:start w:val="1"/>
      <w:numFmt w:val="bullet"/>
      <w:lvlText w:val="•"/>
      <w:lvlJc w:val="left"/>
      <w:pPr>
        <w:ind w:left="2387" w:hanging="545"/>
      </w:pPr>
      <w:rPr>
        <w:rFonts w:hint="default"/>
      </w:rPr>
    </w:lvl>
    <w:lvl w:ilvl="4" w:tplc="999A3BE6">
      <w:start w:val="1"/>
      <w:numFmt w:val="bullet"/>
      <w:lvlText w:val="•"/>
      <w:lvlJc w:val="left"/>
      <w:pPr>
        <w:ind w:left="2910" w:hanging="545"/>
      </w:pPr>
      <w:rPr>
        <w:rFonts w:hint="default"/>
      </w:rPr>
    </w:lvl>
    <w:lvl w:ilvl="5" w:tplc="5712D798">
      <w:start w:val="1"/>
      <w:numFmt w:val="bullet"/>
      <w:lvlText w:val="•"/>
      <w:lvlJc w:val="left"/>
      <w:pPr>
        <w:ind w:left="3432" w:hanging="545"/>
      </w:pPr>
      <w:rPr>
        <w:rFonts w:hint="default"/>
      </w:rPr>
    </w:lvl>
    <w:lvl w:ilvl="6" w:tplc="7E864BB4">
      <w:start w:val="1"/>
      <w:numFmt w:val="bullet"/>
      <w:lvlText w:val="•"/>
      <w:lvlJc w:val="left"/>
      <w:pPr>
        <w:ind w:left="3955" w:hanging="545"/>
      </w:pPr>
      <w:rPr>
        <w:rFonts w:hint="default"/>
      </w:rPr>
    </w:lvl>
    <w:lvl w:ilvl="7" w:tplc="906AAD1E">
      <w:start w:val="1"/>
      <w:numFmt w:val="bullet"/>
      <w:lvlText w:val="•"/>
      <w:lvlJc w:val="left"/>
      <w:pPr>
        <w:ind w:left="4478" w:hanging="545"/>
      </w:pPr>
      <w:rPr>
        <w:rFonts w:hint="default"/>
      </w:rPr>
    </w:lvl>
    <w:lvl w:ilvl="8" w:tplc="D4F6653A">
      <w:start w:val="1"/>
      <w:numFmt w:val="bullet"/>
      <w:lvlText w:val="•"/>
      <w:lvlJc w:val="left"/>
      <w:pPr>
        <w:ind w:left="5000" w:hanging="545"/>
      </w:pPr>
      <w:rPr>
        <w:rFonts w:hint="default"/>
      </w:rPr>
    </w:lvl>
  </w:abstractNum>
  <w:abstractNum w:abstractNumId="3">
    <w:nsid w:val="0B2D6603"/>
    <w:multiLevelType w:val="multilevel"/>
    <w:tmpl w:val="190A1AC8"/>
    <w:lvl w:ilvl="0">
      <w:start w:val="4"/>
      <w:numFmt w:val="decimal"/>
      <w:lvlText w:val="%1"/>
      <w:lvlJc w:val="left"/>
      <w:pPr>
        <w:ind w:left="827" w:hanging="360"/>
        <w:jc w:val="left"/>
      </w:pPr>
      <w:rPr>
        <w:rFonts w:hint="default"/>
      </w:rPr>
    </w:lvl>
    <w:lvl w:ilvl="1">
      <w:start w:val="2"/>
      <w:numFmt w:val="decimal"/>
      <w:lvlText w:val="%1.%2"/>
      <w:lvlJc w:val="left"/>
      <w:pPr>
        <w:ind w:left="827" w:hanging="360"/>
        <w:jc w:val="right"/>
      </w:pPr>
      <w:rPr>
        <w:rFonts w:ascii="Arial" w:eastAsia="Arial" w:hAnsi="Arial" w:hint="default"/>
        <w:spacing w:val="-1"/>
        <w:sz w:val="22"/>
        <w:szCs w:val="22"/>
      </w:rPr>
    </w:lvl>
    <w:lvl w:ilvl="2">
      <w:start w:val="1"/>
      <w:numFmt w:val="decimal"/>
      <w:lvlText w:val="%1.%2.%3"/>
      <w:lvlJc w:val="left"/>
      <w:pPr>
        <w:ind w:left="2025" w:hanging="994"/>
        <w:jc w:val="left"/>
      </w:pPr>
      <w:rPr>
        <w:rFonts w:ascii="Arial" w:eastAsia="Arial" w:hAnsi="Arial" w:hint="default"/>
        <w:spacing w:val="-1"/>
        <w:sz w:val="22"/>
        <w:szCs w:val="22"/>
      </w:rPr>
    </w:lvl>
    <w:lvl w:ilvl="3">
      <w:start w:val="1"/>
      <w:numFmt w:val="lowerLetter"/>
      <w:lvlText w:val="(%4)"/>
      <w:lvlJc w:val="left"/>
      <w:pPr>
        <w:ind w:left="2733" w:hanging="708"/>
        <w:jc w:val="right"/>
      </w:pPr>
      <w:rPr>
        <w:rFonts w:ascii="Arial" w:eastAsia="Arial" w:hAnsi="Arial" w:hint="default"/>
        <w:sz w:val="22"/>
        <w:szCs w:val="22"/>
      </w:rPr>
    </w:lvl>
    <w:lvl w:ilvl="4">
      <w:start w:val="1"/>
      <w:numFmt w:val="bullet"/>
      <w:lvlText w:val="•"/>
      <w:lvlJc w:val="left"/>
      <w:pPr>
        <w:ind w:left="2733" w:hanging="708"/>
      </w:pPr>
      <w:rPr>
        <w:rFonts w:hint="default"/>
      </w:rPr>
    </w:lvl>
    <w:lvl w:ilvl="5">
      <w:start w:val="1"/>
      <w:numFmt w:val="bullet"/>
      <w:lvlText w:val="•"/>
      <w:lvlJc w:val="left"/>
      <w:pPr>
        <w:ind w:left="2733" w:hanging="708"/>
      </w:pPr>
      <w:rPr>
        <w:rFonts w:hint="default"/>
      </w:rPr>
    </w:lvl>
    <w:lvl w:ilvl="6">
      <w:start w:val="1"/>
      <w:numFmt w:val="bullet"/>
      <w:lvlText w:val="•"/>
      <w:lvlJc w:val="left"/>
      <w:pPr>
        <w:ind w:left="2734" w:hanging="708"/>
      </w:pPr>
      <w:rPr>
        <w:rFonts w:hint="default"/>
      </w:rPr>
    </w:lvl>
    <w:lvl w:ilvl="7">
      <w:start w:val="1"/>
      <w:numFmt w:val="bullet"/>
      <w:lvlText w:val="•"/>
      <w:lvlJc w:val="left"/>
      <w:pPr>
        <w:ind w:left="4282" w:hanging="708"/>
      </w:pPr>
      <w:rPr>
        <w:rFonts w:hint="default"/>
      </w:rPr>
    </w:lvl>
    <w:lvl w:ilvl="8">
      <w:start w:val="1"/>
      <w:numFmt w:val="bullet"/>
      <w:lvlText w:val="•"/>
      <w:lvlJc w:val="left"/>
      <w:pPr>
        <w:ind w:left="5830" w:hanging="708"/>
      </w:pPr>
      <w:rPr>
        <w:rFonts w:hint="default"/>
      </w:rPr>
    </w:lvl>
  </w:abstractNum>
  <w:abstractNum w:abstractNumId="4">
    <w:nsid w:val="0C154627"/>
    <w:multiLevelType w:val="multilevel"/>
    <w:tmpl w:val="BFC0BE2C"/>
    <w:lvl w:ilvl="0">
      <w:start w:val="1"/>
      <w:numFmt w:val="decimal"/>
      <w:lvlText w:val="%1."/>
      <w:lvlJc w:val="left"/>
      <w:pPr>
        <w:ind w:left="466" w:hanging="360"/>
        <w:jc w:val="left"/>
      </w:pPr>
      <w:rPr>
        <w:rFonts w:ascii="Times New Roman" w:eastAsia="Times New Roman" w:hAnsi="Times New Roman" w:hint="default"/>
        <w:spacing w:val="1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lowerLetter"/>
      <w:lvlText w:val="%3)"/>
      <w:lvlJc w:val="left"/>
      <w:pPr>
        <w:ind w:left="4131" w:hanging="545"/>
        <w:jc w:val="left"/>
      </w:pPr>
      <w:rPr>
        <w:rFonts w:ascii="Arial" w:eastAsia="Arial" w:hAnsi="Arial" w:hint="default"/>
        <w:spacing w:val="-1"/>
        <w:sz w:val="22"/>
        <w:szCs w:val="22"/>
      </w:rPr>
    </w:lvl>
    <w:lvl w:ilvl="3">
      <w:start w:val="1"/>
      <w:numFmt w:val="bullet"/>
      <w:lvlText w:val="•"/>
      <w:lvlJc w:val="left"/>
      <w:pPr>
        <w:ind w:left="828" w:hanging="545"/>
      </w:pPr>
      <w:rPr>
        <w:rFonts w:hint="default"/>
      </w:rPr>
    </w:lvl>
    <w:lvl w:ilvl="4">
      <w:start w:val="1"/>
      <w:numFmt w:val="bullet"/>
      <w:lvlText w:val="•"/>
      <w:lvlJc w:val="left"/>
      <w:pPr>
        <w:ind w:left="828" w:hanging="545"/>
      </w:pPr>
      <w:rPr>
        <w:rFonts w:hint="default"/>
      </w:rPr>
    </w:lvl>
    <w:lvl w:ilvl="5">
      <w:start w:val="1"/>
      <w:numFmt w:val="bullet"/>
      <w:lvlText w:val="•"/>
      <w:lvlJc w:val="left"/>
      <w:pPr>
        <w:ind w:left="828" w:hanging="545"/>
      </w:pPr>
      <w:rPr>
        <w:rFonts w:hint="default"/>
      </w:rPr>
    </w:lvl>
    <w:lvl w:ilvl="6">
      <w:start w:val="1"/>
      <w:numFmt w:val="bullet"/>
      <w:lvlText w:val="•"/>
      <w:lvlJc w:val="left"/>
      <w:pPr>
        <w:ind w:left="4131" w:hanging="545"/>
      </w:pPr>
      <w:rPr>
        <w:rFonts w:hint="default"/>
      </w:rPr>
    </w:lvl>
    <w:lvl w:ilvl="7">
      <w:start w:val="1"/>
      <w:numFmt w:val="bullet"/>
      <w:lvlText w:val="•"/>
      <w:lvlJc w:val="left"/>
      <w:pPr>
        <w:ind w:left="5365" w:hanging="545"/>
      </w:pPr>
      <w:rPr>
        <w:rFonts w:hint="default"/>
      </w:rPr>
    </w:lvl>
    <w:lvl w:ilvl="8">
      <w:start w:val="1"/>
      <w:numFmt w:val="bullet"/>
      <w:lvlText w:val="•"/>
      <w:lvlJc w:val="left"/>
      <w:pPr>
        <w:ind w:left="6598" w:hanging="545"/>
      </w:pPr>
      <w:rPr>
        <w:rFonts w:hint="default"/>
      </w:rPr>
    </w:lvl>
  </w:abstractNum>
  <w:abstractNum w:abstractNumId="5">
    <w:nsid w:val="0D650153"/>
    <w:multiLevelType w:val="hybridMultilevel"/>
    <w:tmpl w:val="D3029016"/>
    <w:lvl w:ilvl="0" w:tplc="0658A1D6">
      <w:start w:val="1"/>
      <w:numFmt w:val="lowerLetter"/>
      <w:lvlText w:val="%1)"/>
      <w:lvlJc w:val="left"/>
      <w:pPr>
        <w:ind w:left="549" w:hanging="545"/>
        <w:jc w:val="left"/>
      </w:pPr>
      <w:rPr>
        <w:rFonts w:ascii="Arial" w:eastAsia="Arial" w:hAnsi="Arial" w:hint="default"/>
        <w:spacing w:val="-1"/>
        <w:sz w:val="22"/>
        <w:szCs w:val="22"/>
      </w:rPr>
    </w:lvl>
    <w:lvl w:ilvl="1" w:tplc="3F50651C">
      <w:start w:val="1"/>
      <w:numFmt w:val="bullet"/>
      <w:lvlText w:val="•"/>
      <w:lvlJc w:val="left"/>
      <w:pPr>
        <w:ind w:left="943" w:hanging="545"/>
      </w:pPr>
      <w:rPr>
        <w:rFonts w:hint="default"/>
      </w:rPr>
    </w:lvl>
    <w:lvl w:ilvl="2" w:tplc="50D4527E">
      <w:start w:val="1"/>
      <w:numFmt w:val="bullet"/>
      <w:lvlText w:val="•"/>
      <w:lvlJc w:val="left"/>
      <w:pPr>
        <w:ind w:left="1468" w:hanging="545"/>
      </w:pPr>
      <w:rPr>
        <w:rFonts w:hint="default"/>
      </w:rPr>
    </w:lvl>
    <w:lvl w:ilvl="3" w:tplc="2182FA20">
      <w:start w:val="1"/>
      <w:numFmt w:val="bullet"/>
      <w:lvlText w:val="•"/>
      <w:lvlJc w:val="left"/>
      <w:pPr>
        <w:ind w:left="1994" w:hanging="545"/>
      </w:pPr>
      <w:rPr>
        <w:rFonts w:hint="default"/>
      </w:rPr>
    </w:lvl>
    <w:lvl w:ilvl="4" w:tplc="5DE0E894">
      <w:start w:val="1"/>
      <w:numFmt w:val="bullet"/>
      <w:lvlText w:val="•"/>
      <w:lvlJc w:val="left"/>
      <w:pPr>
        <w:ind w:left="2519" w:hanging="545"/>
      </w:pPr>
      <w:rPr>
        <w:rFonts w:hint="default"/>
      </w:rPr>
    </w:lvl>
    <w:lvl w:ilvl="5" w:tplc="30A465EE">
      <w:start w:val="1"/>
      <w:numFmt w:val="bullet"/>
      <w:lvlText w:val="•"/>
      <w:lvlJc w:val="left"/>
      <w:pPr>
        <w:ind w:left="3045" w:hanging="545"/>
      </w:pPr>
      <w:rPr>
        <w:rFonts w:hint="default"/>
      </w:rPr>
    </w:lvl>
    <w:lvl w:ilvl="6" w:tplc="DAA21CC6">
      <w:start w:val="1"/>
      <w:numFmt w:val="bullet"/>
      <w:lvlText w:val="•"/>
      <w:lvlJc w:val="left"/>
      <w:pPr>
        <w:ind w:left="3571" w:hanging="545"/>
      </w:pPr>
      <w:rPr>
        <w:rFonts w:hint="default"/>
      </w:rPr>
    </w:lvl>
    <w:lvl w:ilvl="7" w:tplc="5D4A5098">
      <w:start w:val="1"/>
      <w:numFmt w:val="bullet"/>
      <w:lvlText w:val="•"/>
      <w:lvlJc w:val="left"/>
      <w:pPr>
        <w:ind w:left="4096" w:hanging="545"/>
      </w:pPr>
      <w:rPr>
        <w:rFonts w:hint="default"/>
      </w:rPr>
    </w:lvl>
    <w:lvl w:ilvl="8" w:tplc="4C5E40AE">
      <w:start w:val="1"/>
      <w:numFmt w:val="bullet"/>
      <w:lvlText w:val="•"/>
      <w:lvlJc w:val="left"/>
      <w:pPr>
        <w:ind w:left="4622" w:hanging="545"/>
      </w:pPr>
      <w:rPr>
        <w:rFonts w:hint="default"/>
      </w:rPr>
    </w:lvl>
  </w:abstractNum>
  <w:abstractNum w:abstractNumId="6">
    <w:nsid w:val="11DE2E5E"/>
    <w:multiLevelType w:val="hybridMultilevel"/>
    <w:tmpl w:val="301053D0"/>
    <w:lvl w:ilvl="0" w:tplc="A1D291F4">
      <w:start w:val="1"/>
      <w:numFmt w:val="lowerLetter"/>
      <w:lvlText w:val="%1)"/>
      <w:lvlJc w:val="left"/>
      <w:pPr>
        <w:ind w:left="819" w:hanging="545"/>
        <w:jc w:val="left"/>
      </w:pPr>
      <w:rPr>
        <w:rFonts w:ascii="Arial" w:eastAsia="Arial" w:hAnsi="Arial" w:hint="default"/>
        <w:spacing w:val="-1"/>
        <w:sz w:val="22"/>
        <w:szCs w:val="22"/>
      </w:rPr>
    </w:lvl>
    <w:lvl w:ilvl="1" w:tplc="DB5ACB28">
      <w:start w:val="1"/>
      <w:numFmt w:val="lowerRoman"/>
      <w:lvlText w:val="%2)"/>
      <w:lvlJc w:val="left"/>
      <w:pPr>
        <w:ind w:left="1179" w:hanging="360"/>
        <w:jc w:val="left"/>
      </w:pPr>
      <w:rPr>
        <w:rFonts w:ascii="Arial" w:eastAsia="Arial" w:hAnsi="Arial" w:hint="default"/>
        <w:spacing w:val="-2"/>
        <w:sz w:val="22"/>
        <w:szCs w:val="22"/>
      </w:rPr>
    </w:lvl>
    <w:lvl w:ilvl="2" w:tplc="369A240E">
      <w:start w:val="1"/>
      <w:numFmt w:val="decimal"/>
      <w:lvlText w:val="(%3)"/>
      <w:lvlJc w:val="left"/>
      <w:pPr>
        <w:ind w:left="1539" w:hanging="360"/>
        <w:jc w:val="left"/>
      </w:pPr>
      <w:rPr>
        <w:rFonts w:ascii="Arial" w:eastAsia="Arial" w:hAnsi="Arial" w:hint="default"/>
        <w:sz w:val="22"/>
        <w:szCs w:val="22"/>
      </w:rPr>
    </w:lvl>
    <w:lvl w:ilvl="3" w:tplc="B248FDC2">
      <w:start w:val="1"/>
      <w:numFmt w:val="bullet"/>
      <w:lvlText w:val="•"/>
      <w:lvlJc w:val="left"/>
      <w:pPr>
        <w:ind w:left="2102" w:hanging="360"/>
      </w:pPr>
      <w:rPr>
        <w:rFonts w:hint="default"/>
      </w:rPr>
    </w:lvl>
    <w:lvl w:ilvl="4" w:tplc="A5400710">
      <w:start w:val="1"/>
      <w:numFmt w:val="bullet"/>
      <w:lvlText w:val="•"/>
      <w:lvlJc w:val="left"/>
      <w:pPr>
        <w:ind w:left="2666" w:hanging="360"/>
      </w:pPr>
      <w:rPr>
        <w:rFonts w:hint="default"/>
      </w:rPr>
    </w:lvl>
    <w:lvl w:ilvl="5" w:tplc="44E46952">
      <w:start w:val="1"/>
      <w:numFmt w:val="bullet"/>
      <w:lvlText w:val="•"/>
      <w:lvlJc w:val="left"/>
      <w:pPr>
        <w:ind w:left="3229" w:hanging="360"/>
      </w:pPr>
      <w:rPr>
        <w:rFonts w:hint="default"/>
      </w:rPr>
    </w:lvl>
    <w:lvl w:ilvl="6" w:tplc="DA3CAFA6">
      <w:start w:val="1"/>
      <w:numFmt w:val="bullet"/>
      <w:lvlText w:val="•"/>
      <w:lvlJc w:val="left"/>
      <w:pPr>
        <w:ind w:left="3792" w:hanging="360"/>
      </w:pPr>
      <w:rPr>
        <w:rFonts w:hint="default"/>
      </w:rPr>
    </w:lvl>
    <w:lvl w:ilvl="7" w:tplc="07FA652E">
      <w:start w:val="1"/>
      <w:numFmt w:val="bullet"/>
      <w:lvlText w:val="•"/>
      <w:lvlJc w:val="left"/>
      <w:pPr>
        <w:ind w:left="4356" w:hanging="360"/>
      </w:pPr>
      <w:rPr>
        <w:rFonts w:hint="default"/>
      </w:rPr>
    </w:lvl>
    <w:lvl w:ilvl="8" w:tplc="EC229610">
      <w:start w:val="1"/>
      <w:numFmt w:val="bullet"/>
      <w:lvlText w:val="•"/>
      <w:lvlJc w:val="left"/>
      <w:pPr>
        <w:ind w:left="4919" w:hanging="360"/>
      </w:pPr>
      <w:rPr>
        <w:rFonts w:hint="default"/>
      </w:rPr>
    </w:lvl>
  </w:abstractNum>
  <w:abstractNum w:abstractNumId="7">
    <w:nsid w:val="132F12ED"/>
    <w:multiLevelType w:val="hybridMultilevel"/>
    <w:tmpl w:val="85ACABDE"/>
    <w:lvl w:ilvl="0" w:tplc="0110271E">
      <w:start w:val="1"/>
      <w:numFmt w:val="lowerLetter"/>
      <w:lvlText w:val="(%1)"/>
      <w:lvlJc w:val="left"/>
      <w:pPr>
        <w:ind w:left="2954" w:hanging="708"/>
        <w:jc w:val="left"/>
      </w:pPr>
      <w:rPr>
        <w:rFonts w:ascii="Arial" w:eastAsia="Arial" w:hAnsi="Arial" w:hint="default"/>
        <w:sz w:val="22"/>
        <w:szCs w:val="22"/>
      </w:rPr>
    </w:lvl>
    <w:lvl w:ilvl="1" w:tplc="1A6A9528">
      <w:start w:val="1"/>
      <w:numFmt w:val="bullet"/>
      <w:lvlText w:val="•"/>
      <w:lvlJc w:val="left"/>
      <w:pPr>
        <w:ind w:left="3587" w:hanging="708"/>
      </w:pPr>
      <w:rPr>
        <w:rFonts w:hint="default"/>
      </w:rPr>
    </w:lvl>
    <w:lvl w:ilvl="2" w:tplc="87C4DFE2">
      <w:start w:val="1"/>
      <w:numFmt w:val="bullet"/>
      <w:lvlText w:val="•"/>
      <w:lvlJc w:val="left"/>
      <w:pPr>
        <w:ind w:left="4220" w:hanging="708"/>
      </w:pPr>
      <w:rPr>
        <w:rFonts w:hint="default"/>
      </w:rPr>
    </w:lvl>
    <w:lvl w:ilvl="3" w:tplc="A000C9FC">
      <w:start w:val="1"/>
      <w:numFmt w:val="bullet"/>
      <w:lvlText w:val="•"/>
      <w:lvlJc w:val="left"/>
      <w:pPr>
        <w:ind w:left="4853" w:hanging="708"/>
      </w:pPr>
      <w:rPr>
        <w:rFonts w:hint="default"/>
      </w:rPr>
    </w:lvl>
    <w:lvl w:ilvl="4" w:tplc="515EF7A6">
      <w:start w:val="1"/>
      <w:numFmt w:val="bullet"/>
      <w:lvlText w:val="•"/>
      <w:lvlJc w:val="left"/>
      <w:pPr>
        <w:ind w:left="5487" w:hanging="708"/>
      </w:pPr>
      <w:rPr>
        <w:rFonts w:hint="default"/>
      </w:rPr>
    </w:lvl>
    <w:lvl w:ilvl="5" w:tplc="575493C6">
      <w:start w:val="1"/>
      <w:numFmt w:val="bullet"/>
      <w:lvlText w:val="•"/>
      <w:lvlJc w:val="left"/>
      <w:pPr>
        <w:ind w:left="6120" w:hanging="708"/>
      </w:pPr>
      <w:rPr>
        <w:rFonts w:hint="default"/>
      </w:rPr>
    </w:lvl>
    <w:lvl w:ilvl="6" w:tplc="814A785E">
      <w:start w:val="1"/>
      <w:numFmt w:val="bullet"/>
      <w:lvlText w:val="•"/>
      <w:lvlJc w:val="left"/>
      <w:pPr>
        <w:ind w:left="6753" w:hanging="708"/>
      </w:pPr>
      <w:rPr>
        <w:rFonts w:hint="default"/>
      </w:rPr>
    </w:lvl>
    <w:lvl w:ilvl="7" w:tplc="10EC861E">
      <w:start w:val="1"/>
      <w:numFmt w:val="bullet"/>
      <w:lvlText w:val="•"/>
      <w:lvlJc w:val="left"/>
      <w:pPr>
        <w:ind w:left="7386" w:hanging="708"/>
      </w:pPr>
      <w:rPr>
        <w:rFonts w:hint="default"/>
      </w:rPr>
    </w:lvl>
    <w:lvl w:ilvl="8" w:tplc="ADD40E94">
      <w:start w:val="1"/>
      <w:numFmt w:val="bullet"/>
      <w:lvlText w:val="•"/>
      <w:lvlJc w:val="left"/>
      <w:pPr>
        <w:ind w:left="8019" w:hanging="708"/>
      </w:pPr>
      <w:rPr>
        <w:rFonts w:hint="default"/>
      </w:rPr>
    </w:lvl>
  </w:abstractNum>
  <w:abstractNum w:abstractNumId="8">
    <w:nsid w:val="15657F20"/>
    <w:multiLevelType w:val="hybridMultilevel"/>
    <w:tmpl w:val="7F066A96"/>
    <w:lvl w:ilvl="0" w:tplc="7D1E7D74">
      <w:start w:val="2"/>
      <w:numFmt w:val="lowerLetter"/>
      <w:lvlText w:val="%1)"/>
      <w:lvlJc w:val="left"/>
      <w:pPr>
        <w:ind w:left="819" w:hanging="545"/>
        <w:jc w:val="left"/>
      </w:pPr>
      <w:rPr>
        <w:rFonts w:ascii="Arial" w:eastAsia="Arial" w:hAnsi="Arial" w:hint="default"/>
        <w:spacing w:val="-1"/>
        <w:sz w:val="22"/>
        <w:szCs w:val="22"/>
      </w:rPr>
    </w:lvl>
    <w:lvl w:ilvl="1" w:tplc="66987494">
      <w:start w:val="1"/>
      <w:numFmt w:val="bullet"/>
      <w:lvlText w:val="•"/>
      <w:lvlJc w:val="left"/>
      <w:pPr>
        <w:ind w:left="1342" w:hanging="545"/>
      </w:pPr>
      <w:rPr>
        <w:rFonts w:hint="default"/>
      </w:rPr>
    </w:lvl>
    <w:lvl w:ilvl="2" w:tplc="C3EA653C">
      <w:start w:val="1"/>
      <w:numFmt w:val="bullet"/>
      <w:lvlText w:val="•"/>
      <w:lvlJc w:val="left"/>
      <w:pPr>
        <w:ind w:left="1865" w:hanging="545"/>
      </w:pPr>
      <w:rPr>
        <w:rFonts w:hint="default"/>
      </w:rPr>
    </w:lvl>
    <w:lvl w:ilvl="3" w:tplc="15D4D98A">
      <w:start w:val="1"/>
      <w:numFmt w:val="bullet"/>
      <w:lvlText w:val="•"/>
      <w:lvlJc w:val="left"/>
      <w:pPr>
        <w:ind w:left="2387" w:hanging="545"/>
      </w:pPr>
      <w:rPr>
        <w:rFonts w:hint="default"/>
      </w:rPr>
    </w:lvl>
    <w:lvl w:ilvl="4" w:tplc="3B742690">
      <w:start w:val="1"/>
      <w:numFmt w:val="bullet"/>
      <w:lvlText w:val="•"/>
      <w:lvlJc w:val="left"/>
      <w:pPr>
        <w:ind w:left="2910" w:hanging="545"/>
      </w:pPr>
      <w:rPr>
        <w:rFonts w:hint="default"/>
      </w:rPr>
    </w:lvl>
    <w:lvl w:ilvl="5" w:tplc="F02A078E">
      <w:start w:val="1"/>
      <w:numFmt w:val="bullet"/>
      <w:lvlText w:val="•"/>
      <w:lvlJc w:val="left"/>
      <w:pPr>
        <w:ind w:left="3432" w:hanging="545"/>
      </w:pPr>
      <w:rPr>
        <w:rFonts w:hint="default"/>
      </w:rPr>
    </w:lvl>
    <w:lvl w:ilvl="6" w:tplc="4F389032">
      <w:start w:val="1"/>
      <w:numFmt w:val="bullet"/>
      <w:lvlText w:val="•"/>
      <w:lvlJc w:val="left"/>
      <w:pPr>
        <w:ind w:left="3955" w:hanging="545"/>
      </w:pPr>
      <w:rPr>
        <w:rFonts w:hint="default"/>
      </w:rPr>
    </w:lvl>
    <w:lvl w:ilvl="7" w:tplc="56C657DC">
      <w:start w:val="1"/>
      <w:numFmt w:val="bullet"/>
      <w:lvlText w:val="•"/>
      <w:lvlJc w:val="left"/>
      <w:pPr>
        <w:ind w:left="4478" w:hanging="545"/>
      </w:pPr>
      <w:rPr>
        <w:rFonts w:hint="default"/>
      </w:rPr>
    </w:lvl>
    <w:lvl w:ilvl="8" w:tplc="1EFAAD22">
      <w:start w:val="1"/>
      <w:numFmt w:val="bullet"/>
      <w:lvlText w:val="•"/>
      <w:lvlJc w:val="left"/>
      <w:pPr>
        <w:ind w:left="5000" w:hanging="545"/>
      </w:pPr>
      <w:rPr>
        <w:rFonts w:hint="default"/>
      </w:rPr>
    </w:lvl>
  </w:abstractNum>
  <w:abstractNum w:abstractNumId="9">
    <w:nsid w:val="162702E0"/>
    <w:multiLevelType w:val="hybridMultilevel"/>
    <w:tmpl w:val="FD7C1F2A"/>
    <w:lvl w:ilvl="0" w:tplc="E1DC5C9A">
      <w:start w:val="1"/>
      <w:numFmt w:val="lowerLetter"/>
      <w:lvlText w:val="%1)"/>
      <w:lvlJc w:val="left"/>
      <w:pPr>
        <w:ind w:left="819" w:hanging="545"/>
        <w:jc w:val="left"/>
      </w:pPr>
      <w:rPr>
        <w:rFonts w:ascii="Arial" w:eastAsia="Arial" w:hAnsi="Arial" w:hint="default"/>
        <w:spacing w:val="-1"/>
        <w:sz w:val="22"/>
        <w:szCs w:val="22"/>
      </w:rPr>
    </w:lvl>
    <w:lvl w:ilvl="1" w:tplc="D886449C">
      <w:start w:val="1"/>
      <w:numFmt w:val="bullet"/>
      <w:lvlText w:val="•"/>
      <w:lvlJc w:val="left"/>
      <w:pPr>
        <w:ind w:left="1342" w:hanging="545"/>
      </w:pPr>
      <w:rPr>
        <w:rFonts w:hint="default"/>
      </w:rPr>
    </w:lvl>
    <w:lvl w:ilvl="2" w:tplc="678A75AE">
      <w:start w:val="1"/>
      <w:numFmt w:val="bullet"/>
      <w:lvlText w:val="•"/>
      <w:lvlJc w:val="left"/>
      <w:pPr>
        <w:ind w:left="1865" w:hanging="545"/>
      </w:pPr>
      <w:rPr>
        <w:rFonts w:hint="default"/>
      </w:rPr>
    </w:lvl>
    <w:lvl w:ilvl="3" w:tplc="FAE25AFA">
      <w:start w:val="1"/>
      <w:numFmt w:val="bullet"/>
      <w:lvlText w:val="•"/>
      <w:lvlJc w:val="left"/>
      <w:pPr>
        <w:ind w:left="2387" w:hanging="545"/>
      </w:pPr>
      <w:rPr>
        <w:rFonts w:hint="default"/>
      </w:rPr>
    </w:lvl>
    <w:lvl w:ilvl="4" w:tplc="BCBE6876">
      <w:start w:val="1"/>
      <w:numFmt w:val="bullet"/>
      <w:lvlText w:val="•"/>
      <w:lvlJc w:val="left"/>
      <w:pPr>
        <w:ind w:left="2910" w:hanging="545"/>
      </w:pPr>
      <w:rPr>
        <w:rFonts w:hint="default"/>
      </w:rPr>
    </w:lvl>
    <w:lvl w:ilvl="5" w:tplc="072691F4">
      <w:start w:val="1"/>
      <w:numFmt w:val="bullet"/>
      <w:lvlText w:val="•"/>
      <w:lvlJc w:val="left"/>
      <w:pPr>
        <w:ind w:left="3432" w:hanging="545"/>
      </w:pPr>
      <w:rPr>
        <w:rFonts w:hint="default"/>
      </w:rPr>
    </w:lvl>
    <w:lvl w:ilvl="6" w:tplc="C07C0A32">
      <w:start w:val="1"/>
      <w:numFmt w:val="bullet"/>
      <w:lvlText w:val="•"/>
      <w:lvlJc w:val="left"/>
      <w:pPr>
        <w:ind w:left="3955" w:hanging="545"/>
      </w:pPr>
      <w:rPr>
        <w:rFonts w:hint="default"/>
      </w:rPr>
    </w:lvl>
    <w:lvl w:ilvl="7" w:tplc="6D802A0C">
      <w:start w:val="1"/>
      <w:numFmt w:val="bullet"/>
      <w:lvlText w:val="•"/>
      <w:lvlJc w:val="left"/>
      <w:pPr>
        <w:ind w:left="4478" w:hanging="545"/>
      </w:pPr>
      <w:rPr>
        <w:rFonts w:hint="default"/>
      </w:rPr>
    </w:lvl>
    <w:lvl w:ilvl="8" w:tplc="57DE31AA">
      <w:start w:val="1"/>
      <w:numFmt w:val="bullet"/>
      <w:lvlText w:val="•"/>
      <w:lvlJc w:val="left"/>
      <w:pPr>
        <w:ind w:left="5000" w:hanging="545"/>
      </w:pPr>
      <w:rPr>
        <w:rFonts w:hint="default"/>
      </w:rPr>
    </w:lvl>
  </w:abstractNum>
  <w:abstractNum w:abstractNumId="10">
    <w:nsid w:val="1ABE11D4"/>
    <w:multiLevelType w:val="hybridMultilevel"/>
    <w:tmpl w:val="6414ED6E"/>
    <w:lvl w:ilvl="0" w:tplc="56649B0C">
      <w:start w:val="1"/>
      <w:numFmt w:val="lowerLetter"/>
      <w:lvlText w:val="%1)"/>
      <w:lvlJc w:val="left"/>
      <w:pPr>
        <w:ind w:left="819" w:hanging="545"/>
        <w:jc w:val="left"/>
      </w:pPr>
      <w:rPr>
        <w:rFonts w:ascii="Arial" w:eastAsia="Arial" w:hAnsi="Arial" w:hint="default"/>
        <w:spacing w:val="-1"/>
        <w:sz w:val="22"/>
        <w:szCs w:val="22"/>
      </w:rPr>
    </w:lvl>
    <w:lvl w:ilvl="1" w:tplc="9E7A23C8">
      <w:start w:val="1"/>
      <w:numFmt w:val="bullet"/>
      <w:lvlText w:val="•"/>
      <w:lvlJc w:val="left"/>
      <w:pPr>
        <w:ind w:left="1342" w:hanging="545"/>
      </w:pPr>
      <w:rPr>
        <w:rFonts w:hint="default"/>
      </w:rPr>
    </w:lvl>
    <w:lvl w:ilvl="2" w:tplc="F52657BA">
      <w:start w:val="1"/>
      <w:numFmt w:val="bullet"/>
      <w:lvlText w:val="•"/>
      <w:lvlJc w:val="left"/>
      <w:pPr>
        <w:ind w:left="1865" w:hanging="545"/>
      </w:pPr>
      <w:rPr>
        <w:rFonts w:hint="default"/>
      </w:rPr>
    </w:lvl>
    <w:lvl w:ilvl="3" w:tplc="D9A4FA92">
      <w:start w:val="1"/>
      <w:numFmt w:val="bullet"/>
      <w:lvlText w:val="•"/>
      <w:lvlJc w:val="left"/>
      <w:pPr>
        <w:ind w:left="2387" w:hanging="545"/>
      </w:pPr>
      <w:rPr>
        <w:rFonts w:hint="default"/>
      </w:rPr>
    </w:lvl>
    <w:lvl w:ilvl="4" w:tplc="69BCA902">
      <w:start w:val="1"/>
      <w:numFmt w:val="bullet"/>
      <w:lvlText w:val="•"/>
      <w:lvlJc w:val="left"/>
      <w:pPr>
        <w:ind w:left="2910" w:hanging="545"/>
      </w:pPr>
      <w:rPr>
        <w:rFonts w:hint="default"/>
      </w:rPr>
    </w:lvl>
    <w:lvl w:ilvl="5" w:tplc="329003BE">
      <w:start w:val="1"/>
      <w:numFmt w:val="bullet"/>
      <w:lvlText w:val="•"/>
      <w:lvlJc w:val="left"/>
      <w:pPr>
        <w:ind w:left="3432" w:hanging="545"/>
      </w:pPr>
      <w:rPr>
        <w:rFonts w:hint="default"/>
      </w:rPr>
    </w:lvl>
    <w:lvl w:ilvl="6" w:tplc="EE26D58C">
      <w:start w:val="1"/>
      <w:numFmt w:val="bullet"/>
      <w:lvlText w:val="•"/>
      <w:lvlJc w:val="left"/>
      <w:pPr>
        <w:ind w:left="3955" w:hanging="545"/>
      </w:pPr>
      <w:rPr>
        <w:rFonts w:hint="default"/>
      </w:rPr>
    </w:lvl>
    <w:lvl w:ilvl="7" w:tplc="06C2849E">
      <w:start w:val="1"/>
      <w:numFmt w:val="bullet"/>
      <w:lvlText w:val="•"/>
      <w:lvlJc w:val="left"/>
      <w:pPr>
        <w:ind w:left="4478" w:hanging="545"/>
      </w:pPr>
      <w:rPr>
        <w:rFonts w:hint="default"/>
      </w:rPr>
    </w:lvl>
    <w:lvl w:ilvl="8" w:tplc="1DE05D38">
      <w:start w:val="1"/>
      <w:numFmt w:val="bullet"/>
      <w:lvlText w:val="•"/>
      <w:lvlJc w:val="left"/>
      <w:pPr>
        <w:ind w:left="5000" w:hanging="545"/>
      </w:pPr>
      <w:rPr>
        <w:rFonts w:hint="default"/>
      </w:rPr>
    </w:lvl>
  </w:abstractNum>
  <w:abstractNum w:abstractNumId="11">
    <w:nsid w:val="1ACA62B4"/>
    <w:multiLevelType w:val="multilevel"/>
    <w:tmpl w:val="42F2B726"/>
    <w:lvl w:ilvl="0">
      <w:start w:val="3"/>
      <w:numFmt w:val="decimal"/>
      <w:lvlText w:val="%1"/>
      <w:lvlJc w:val="left"/>
      <w:pPr>
        <w:ind w:left="2025" w:hanging="994"/>
        <w:jc w:val="left"/>
      </w:pPr>
      <w:rPr>
        <w:rFonts w:hint="default"/>
      </w:rPr>
    </w:lvl>
    <w:lvl w:ilvl="1">
      <w:start w:val="2"/>
      <w:numFmt w:val="decimal"/>
      <w:lvlText w:val="%1.%2"/>
      <w:lvlJc w:val="left"/>
      <w:pPr>
        <w:ind w:left="2025" w:hanging="994"/>
        <w:jc w:val="left"/>
      </w:pPr>
      <w:rPr>
        <w:rFonts w:hint="default"/>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bullet"/>
      <w:lvlText w:val="•"/>
      <w:lvlJc w:val="left"/>
      <w:pPr>
        <w:ind w:left="3590" w:hanging="994"/>
      </w:pPr>
      <w:rPr>
        <w:rFonts w:hint="default"/>
      </w:rPr>
    </w:lvl>
    <w:lvl w:ilvl="4">
      <w:start w:val="1"/>
      <w:numFmt w:val="bullet"/>
      <w:lvlText w:val="•"/>
      <w:lvlJc w:val="left"/>
      <w:pPr>
        <w:ind w:left="4373" w:hanging="994"/>
      </w:pPr>
      <w:rPr>
        <w:rFonts w:hint="default"/>
      </w:rPr>
    </w:lvl>
    <w:lvl w:ilvl="5">
      <w:start w:val="1"/>
      <w:numFmt w:val="bullet"/>
      <w:lvlText w:val="•"/>
      <w:lvlJc w:val="left"/>
      <w:pPr>
        <w:ind w:left="5155" w:hanging="994"/>
      </w:pPr>
      <w:rPr>
        <w:rFonts w:hint="default"/>
      </w:rPr>
    </w:lvl>
    <w:lvl w:ilvl="6">
      <w:start w:val="1"/>
      <w:numFmt w:val="bullet"/>
      <w:lvlText w:val="•"/>
      <w:lvlJc w:val="left"/>
      <w:pPr>
        <w:ind w:left="5937" w:hanging="994"/>
      </w:pPr>
      <w:rPr>
        <w:rFonts w:hint="default"/>
      </w:rPr>
    </w:lvl>
    <w:lvl w:ilvl="7">
      <w:start w:val="1"/>
      <w:numFmt w:val="bullet"/>
      <w:lvlText w:val="•"/>
      <w:lvlJc w:val="left"/>
      <w:pPr>
        <w:ind w:left="6719" w:hanging="994"/>
      </w:pPr>
      <w:rPr>
        <w:rFonts w:hint="default"/>
      </w:rPr>
    </w:lvl>
    <w:lvl w:ilvl="8">
      <w:start w:val="1"/>
      <w:numFmt w:val="bullet"/>
      <w:lvlText w:val="•"/>
      <w:lvlJc w:val="left"/>
      <w:pPr>
        <w:ind w:left="7501" w:hanging="994"/>
      </w:pPr>
      <w:rPr>
        <w:rFonts w:hint="default"/>
      </w:rPr>
    </w:lvl>
  </w:abstractNum>
  <w:abstractNum w:abstractNumId="12">
    <w:nsid w:val="1B3745DF"/>
    <w:multiLevelType w:val="hybridMultilevel"/>
    <w:tmpl w:val="6772D8A8"/>
    <w:lvl w:ilvl="0" w:tplc="68748D0E">
      <w:start w:val="1"/>
      <w:numFmt w:val="lowerLetter"/>
      <w:lvlText w:val="%1)"/>
      <w:lvlJc w:val="left"/>
      <w:pPr>
        <w:ind w:left="819" w:hanging="545"/>
        <w:jc w:val="left"/>
      </w:pPr>
      <w:rPr>
        <w:rFonts w:ascii="Arial" w:eastAsia="Arial" w:hAnsi="Arial" w:hint="default"/>
        <w:spacing w:val="-1"/>
        <w:sz w:val="22"/>
        <w:szCs w:val="22"/>
      </w:rPr>
    </w:lvl>
    <w:lvl w:ilvl="1" w:tplc="F774B706">
      <w:start w:val="1"/>
      <w:numFmt w:val="bullet"/>
      <w:lvlText w:val="•"/>
      <w:lvlJc w:val="left"/>
      <w:pPr>
        <w:ind w:left="1331" w:hanging="545"/>
      </w:pPr>
      <w:rPr>
        <w:rFonts w:hint="default"/>
      </w:rPr>
    </w:lvl>
    <w:lvl w:ilvl="2" w:tplc="D9DC4C26">
      <w:start w:val="1"/>
      <w:numFmt w:val="bullet"/>
      <w:lvlText w:val="•"/>
      <w:lvlJc w:val="left"/>
      <w:pPr>
        <w:ind w:left="1843" w:hanging="545"/>
      </w:pPr>
      <w:rPr>
        <w:rFonts w:hint="default"/>
      </w:rPr>
    </w:lvl>
    <w:lvl w:ilvl="3" w:tplc="C02E3FC0">
      <w:start w:val="1"/>
      <w:numFmt w:val="bullet"/>
      <w:lvlText w:val="•"/>
      <w:lvlJc w:val="left"/>
      <w:pPr>
        <w:ind w:left="2355" w:hanging="545"/>
      </w:pPr>
      <w:rPr>
        <w:rFonts w:hint="default"/>
      </w:rPr>
    </w:lvl>
    <w:lvl w:ilvl="4" w:tplc="1B54C358">
      <w:start w:val="1"/>
      <w:numFmt w:val="bullet"/>
      <w:lvlText w:val="•"/>
      <w:lvlJc w:val="left"/>
      <w:pPr>
        <w:ind w:left="2867" w:hanging="545"/>
      </w:pPr>
      <w:rPr>
        <w:rFonts w:hint="default"/>
      </w:rPr>
    </w:lvl>
    <w:lvl w:ilvl="5" w:tplc="8CCE3E44">
      <w:start w:val="1"/>
      <w:numFmt w:val="bullet"/>
      <w:lvlText w:val="•"/>
      <w:lvlJc w:val="left"/>
      <w:pPr>
        <w:ind w:left="3378" w:hanging="545"/>
      </w:pPr>
      <w:rPr>
        <w:rFonts w:hint="default"/>
      </w:rPr>
    </w:lvl>
    <w:lvl w:ilvl="6" w:tplc="08D07FD4">
      <w:start w:val="1"/>
      <w:numFmt w:val="bullet"/>
      <w:lvlText w:val="•"/>
      <w:lvlJc w:val="left"/>
      <w:pPr>
        <w:ind w:left="3890" w:hanging="545"/>
      </w:pPr>
      <w:rPr>
        <w:rFonts w:hint="default"/>
      </w:rPr>
    </w:lvl>
    <w:lvl w:ilvl="7" w:tplc="8D7090A0">
      <w:start w:val="1"/>
      <w:numFmt w:val="bullet"/>
      <w:lvlText w:val="•"/>
      <w:lvlJc w:val="left"/>
      <w:pPr>
        <w:ind w:left="4402" w:hanging="545"/>
      </w:pPr>
      <w:rPr>
        <w:rFonts w:hint="default"/>
      </w:rPr>
    </w:lvl>
    <w:lvl w:ilvl="8" w:tplc="EC2CD816">
      <w:start w:val="1"/>
      <w:numFmt w:val="bullet"/>
      <w:lvlText w:val="•"/>
      <w:lvlJc w:val="left"/>
      <w:pPr>
        <w:ind w:left="4914" w:hanging="545"/>
      </w:pPr>
      <w:rPr>
        <w:rFonts w:hint="default"/>
      </w:rPr>
    </w:lvl>
  </w:abstractNum>
  <w:abstractNum w:abstractNumId="13">
    <w:nsid w:val="1B7C1EBC"/>
    <w:multiLevelType w:val="hybridMultilevel"/>
    <w:tmpl w:val="8A38F2BA"/>
    <w:lvl w:ilvl="0" w:tplc="88C69B98">
      <w:start w:val="1"/>
      <w:numFmt w:val="lowerLetter"/>
      <w:lvlText w:val="%1)"/>
      <w:lvlJc w:val="left"/>
      <w:pPr>
        <w:ind w:left="819" w:hanging="545"/>
        <w:jc w:val="left"/>
      </w:pPr>
      <w:rPr>
        <w:rFonts w:ascii="Arial" w:eastAsia="Arial" w:hAnsi="Arial" w:hint="default"/>
        <w:spacing w:val="-1"/>
        <w:sz w:val="22"/>
        <w:szCs w:val="22"/>
      </w:rPr>
    </w:lvl>
    <w:lvl w:ilvl="1" w:tplc="7F0C5200">
      <w:start w:val="1"/>
      <w:numFmt w:val="bullet"/>
      <w:lvlText w:val="•"/>
      <w:lvlJc w:val="left"/>
      <w:pPr>
        <w:ind w:left="1342" w:hanging="545"/>
      </w:pPr>
      <w:rPr>
        <w:rFonts w:hint="default"/>
      </w:rPr>
    </w:lvl>
    <w:lvl w:ilvl="2" w:tplc="412EDE22">
      <w:start w:val="1"/>
      <w:numFmt w:val="bullet"/>
      <w:lvlText w:val="•"/>
      <w:lvlJc w:val="left"/>
      <w:pPr>
        <w:ind w:left="1865" w:hanging="545"/>
      </w:pPr>
      <w:rPr>
        <w:rFonts w:hint="default"/>
      </w:rPr>
    </w:lvl>
    <w:lvl w:ilvl="3" w:tplc="47ACFFDE">
      <w:start w:val="1"/>
      <w:numFmt w:val="bullet"/>
      <w:lvlText w:val="•"/>
      <w:lvlJc w:val="left"/>
      <w:pPr>
        <w:ind w:left="2387" w:hanging="545"/>
      </w:pPr>
      <w:rPr>
        <w:rFonts w:hint="default"/>
      </w:rPr>
    </w:lvl>
    <w:lvl w:ilvl="4" w:tplc="9DE0297E">
      <w:start w:val="1"/>
      <w:numFmt w:val="bullet"/>
      <w:lvlText w:val="•"/>
      <w:lvlJc w:val="left"/>
      <w:pPr>
        <w:ind w:left="2910" w:hanging="545"/>
      </w:pPr>
      <w:rPr>
        <w:rFonts w:hint="default"/>
      </w:rPr>
    </w:lvl>
    <w:lvl w:ilvl="5" w:tplc="1C8A5608">
      <w:start w:val="1"/>
      <w:numFmt w:val="bullet"/>
      <w:lvlText w:val="•"/>
      <w:lvlJc w:val="left"/>
      <w:pPr>
        <w:ind w:left="3432" w:hanging="545"/>
      </w:pPr>
      <w:rPr>
        <w:rFonts w:hint="default"/>
      </w:rPr>
    </w:lvl>
    <w:lvl w:ilvl="6" w:tplc="03BC8B68">
      <w:start w:val="1"/>
      <w:numFmt w:val="bullet"/>
      <w:lvlText w:val="•"/>
      <w:lvlJc w:val="left"/>
      <w:pPr>
        <w:ind w:left="3955" w:hanging="545"/>
      </w:pPr>
      <w:rPr>
        <w:rFonts w:hint="default"/>
      </w:rPr>
    </w:lvl>
    <w:lvl w:ilvl="7" w:tplc="83FAB008">
      <w:start w:val="1"/>
      <w:numFmt w:val="bullet"/>
      <w:lvlText w:val="•"/>
      <w:lvlJc w:val="left"/>
      <w:pPr>
        <w:ind w:left="4478" w:hanging="545"/>
      </w:pPr>
      <w:rPr>
        <w:rFonts w:hint="default"/>
      </w:rPr>
    </w:lvl>
    <w:lvl w:ilvl="8" w:tplc="98100D28">
      <w:start w:val="1"/>
      <w:numFmt w:val="bullet"/>
      <w:lvlText w:val="•"/>
      <w:lvlJc w:val="left"/>
      <w:pPr>
        <w:ind w:left="5000" w:hanging="545"/>
      </w:pPr>
      <w:rPr>
        <w:rFonts w:hint="default"/>
      </w:rPr>
    </w:lvl>
  </w:abstractNum>
  <w:abstractNum w:abstractNumId="14">
    <w:nsid w:val="1B815C5D"/>
    <w:multiLevelType w:val="multilevel"/>
    <w:tmpl w:val="AE04447E"/>
    <w:lvl w:ilvl="0">
      <w:start w:val="1"/>
      <w:numFmt w:val="decimal"/>
      <w:lvlText w:val="%1."/>
      <w:lvlJc w:val="left"/>
      <w:pPr>
        <w:ind w:left="466" w:hanging="360"/>
        <w:jc w:val="left"/>
      </w:pPr>
      <w:rPr>
        <w:rFonts w:ascii="Times New Roman" w:eastAsia="Times New Roman" w:hAnsi="Times New Roman" w:hint="default"/>
        <w:spacing w:val="1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decimal"/>
      <w:lvlText w:val="%1.%2.%3"/>
      <w:lvlJc w:val="left"/>
      <w:pPr>
        <w:ind w:left="2025" w:hanging="994"/>
        <w:jc w:val="left"/>
      </w:pPr>
      <w:rPr>
        <w:rFonts w:ascii="Arial" w:eastAsia="Arial" w:hAnsi="Arial" w:hint="default"/>
        <w:spacing w:val="-1"/>
        <w:sz w:val="22"/>
        <w:szCs w:val="22"/>
      </w:rPr>
    </w:lvl>
    <w:lvl w:ilvl="3">
      <w:start w:val="1"/>
      <w:numFmt w:val="lowerLetter"/>
      <w:lvlText w:val="(%4)"/>
      <w:lvlJc w:val="left"/>
      <w:pPr>
        <w:ind w:left="2733" w:hanging="708"/>
        <w:jc w:val="left"/>
      </w:pPr>
      <w:rPr>
        <w:rFonts w:ascii="Arial" w:eastAsia="Arial" w:hAnsi="Arial" w:hint="default"/>
        <w:sz w:val="22"/>
        <w:szCs w:val="22"/>
      </w:rPr>
    </w:lvl>
    <w:lvl w:ilvl="4">
      <w:start w:val="1"/>
      <w:numFmt w:val="bullet"/>
      <w:lvlText w:val="•"/>
      <w:lvlJc w:val="left"/>
      <w:pPr>
        <w:ind w:left="827" w:hanging="708"/>
      </w:pPr>
      <w:rPr>
        <w:rFonts w:hint="default"/>
      </w:rPr>
    </w:lvl>
    <w:lvl w:ilvl="5">
      <w:start w:val="1"/>
      <w:numFmt w:val="bullet"/>
      <w:lvlText w:val="•"/>
      <w:lvlJc w:val="left"/>
      <w:pPr>
        <w:ind w:left="827" w:hanging="708"/>
      </w:pPr>
      <w:rPr>
        <w:rFonts w:hint="default"/>
      </w:rPr>
    </w:lvl>
    <w:lvl w:ilvl="6">
      <w:start w:val="1"/>
      <w:numFmt w:val="bullet"/>
      <w:lvlText w:val="•"/>
      <w:lvlJc w:val="left"/>
      <w:pPr>
        <w:ind w:left="827" w:hanging="708"/>
      </w:pPr>
      <w:rPr>
        <w:rFonts w:hint="default"/>
      </w:rPr>
    </w:lvl>
    <w:lvl w:ilvl="7">
      <w:start w:val="1"/>
      <w:numFmt w:val="bullet"/>
      <w:lvlText w:val="•"/>
      <w:lvlJc w:val="left"/>
      <w:pPr>
        <w:ind w:left="828" w:hanging="708"/>
      </w:pPr>
      <w:rPr>
        <w:rFonts w:hint="default"/>
      </w:rPr>
    </w:lvl>
    <w:lvl w:ilvl="8">
      <w:start w:val="1"/>
      <w:numFmt w:val="bullet"/>
      <w:lvlText w:val="•"/>
      <w:lvlJc w:val="left"/>
      <w:pPr>
        <w:ind w:left="828" w:hanging="708"/>
      </w:pPr>
      <w:rPr>
        <w:rFonts w:hint="default"/>
      </w:rPr>
    </w:lvl>
  </w:abstractNum>
  <w:abstractNum w:abstractNumId="15">
    <w:nsid w:val="1E2E75AF"/>
    <w:multiLevelType w:val="hybridMultilevel"/>
    <w:tmpl w:val="0DD88FC6"/>
    <w:lvl w:ilvl="0" w:tplc="136682F6">
      <w:start w:val="1"/>
      <w:numFmt w:val="decimal"/>
      <w:lvlText w:val="%1."/>
      <w:lvlJc w:val="left"/>
      <w:pPr>
        <w:ind w:left="666" w:hanging="360"/>
        <w:jc w:val="left"/>
      </w:pPr>
      <w:rPr>
        <w:rFonts w:ascii="Times New Roman" w:eastAsia="Times New Roman" w:hAnsi="Times New Roman" w:hint="default"/>
        <w:spacing w:val="11"/>
        <w:sz w:val="22"/>
        <w:szCs w:val="22"/>
      </w:rPr>
    </w:lvl>
    <w:lvl w:ilvl="1" w:tplc="AB008FB6">
      <w:start w:val="1"/>
      <w:numFmt w:val="bullet"/>
      <w:lvlText w:val="•"/>
      <w:lvlJc w:val="left"/>
      <w:pPr>
        <w:ind w:left="1540" w:hanging="360"/>
      </w:pPr>
      <w:rPr>
        <w:rFonts w:hint="default"/>
      </w:rPr>
    </w:lvl>
    <w:lvl w:ilvl="2" w:tplc="D3342A28">
      <w:start w:val="1"/>
      <w:numFmt w:val="bullet"/>
      <w:lvlText w:val="•"/>
      <w:lvlJc w:val="left"/>
      <w:pPr>
        <w:ind w:left="2414" w:hanging="360"/>
      </w:pPr>
      <w:rPr>
        <w:rFonts w:hint="default"/>
      </w:rPr>
    </w:lvl>
    <w:lvl w:ilvl="3" w:tplc="B1D492C6">
      <w:start w:val="1"/>
      <w:numFmt w:val="bullet"/>
      <w:lvlText w:val="•"/>
      <w:lvlJc w:val="left"/>
      <w:pPr>
        <w:ind w:left="3288" w:hanging="360"/>
      </w:pPr>
      <w:rPr>
        <w:rFonts w:hint="default"/>
      </w:rPr>
    </w:lvl>
    <w:lvl w:ilvl="4" w:tplc="47760BA2">
      <w:start w:val="1"/>
      <w:numFmt w:val="bullet"/>
      <w:lvlText w:val="•"/>
      <w:lvlJc w:val="left"/>
      <w:pPr>
        <w:ind w:left="4162" w:hanging="360"/>
      </w:pPr>
      <w:rPr>
        <w:rFonts w:hint="default"/>
      </w:rPr>
    </w:lvl>
    <w:lvl w:ilvl="5" w:tplc="83D2ABA2">
      <w:start w:val="1"/>
      <w:numFmt w:val="bullet"/>
      <w:lvlText w:val="•"/>
      <w:lvlJc w:val="left"/>
      <w:pPr>
        <w:ind w:left="5036" w:hanging="360"/>
      </w:pPr>
      <w:rPr>
        <w:rFonts w:hint="default"/>
      </w:rPr>
    </w:lvl>
    <w:lvl w:ilvl="6" w:tplc="DDF6E4CE">
      <w:start w:val="1"/>
      <w:numFmt w:val="bullet"/>
      <w:lvlText w:val="•"/>
      <w:lvlJc w:val="left"/>
      <w:pPr>
        <w:ind w:left="5910" w:hanging="360"/>
      </w:pPr>
      <w:rPr>
        <w:rFonts w:hint="default"/>
      </w:rPr>
    </w:lvl>
    <w:lvl w:ilvl="7" w:tplc="349CCC96">
      <w:start w:val="1"/>
      <w:numFmt w:val="bullet"/>
      <w:lvlText w:val="•"/>
      <w:lvlJc w:val="left"/>
      <w:pPr>
        <w:ind w:left="6784" w:hanging="360"/>
      </w:pPr>
      <w:rPr>
        <w:rFonts w:hint="default"/>
      </w:rPr>
    </w:lvl>
    <w:lvl w:ilvl="8" w:tplc="554EE73A">
      <w:start w:val="1"/>
      <w:numFmt w:val="bullet"/>
      <w:lvlText w:val="•"/>
      <w:lvlJc w:val="left"/>
      <w:pPr>
        <w:ind w:left="7658" w:hanging="360"/>
      </w:pPr>
      <w:rPr>
        <w:rFonts w:hint="default"/>
      </w:rPr>
    </w:lvl>
  </w:abstractNum>
  <w:abstractNum w:abstractNumId="16">
    <w:nsid w:val="1F873754"/>
    <w:multiLevelType w:val="multilevel"/>
    <w:tmpl w:val="16E81980"/>
    <w:lvl w:ilvl="0">
      <w:start w:val="8"/>
      <w:numFmt w:val="decimal"/>
      <w:lvlText w:val="%1"/>
      <w:lvlJc w:val="left"/>
      <w:pPr>
        <w:ind w:left="1028" w:hanging="360"/>
        <w:jc w:val="left"/>
      </w:pPr>
      <w:rPr>
        <w:rFonts w:hint="default"/>
      </w:rPr>
    </w:lvl>
    <w:lvl w:ilvl="1">
      <w:start w:val="1"/>
      <w:numFmt w:val="decimal"/>
      <w:lvlText w:val="%1.%2"/>
      <w:lvlJc w:val="left"/>
      <w:pPr>
        <w:ind w:left="1028" w:hanging="360"/>
        <w:jc w:val="right"/>
      </w:pPr>
      <w:rPr>
        <w:rFonts w:ascii="Arial" w:eastAsia="Arial" w:hAnsi="Arial" w:hint="default"/>
        <w:spacing w:val="-1"/>
        <w:sz w:val="22"/>
        <w:szCs w:val="22"/>
      </w:rPr>
    </w:lvl>
    <w:lvl w:ilvl="2">
      <w:start w:val="1"/>
      <w:numFmt w:val="decimal"/>
      <w:lvlText w:val="%1.%2.%3"/>
      <w:lvlJc w:val="left"/>
      <w:pPr>
        <w:ind w:left="1886" w:hanging="994"/>
        <w:jc w:val="left"/>
      </w:pPr>
      <w:rPr>
        <w:rFonts w:ascii="Arial" w:eastAsia="Arial" w:hAnsi="Arial" w:hint="default"/>
        <w:spacing w:val="-1"/>
        <w:sz w:val="22"/>
        <w:szCs w:val="22"/>
      </w:rPr>
    </w:lvl>
    <w:lvl w:ilvl="3">
      <w:start w:val="1"/>
      <w:numFmt w:val="lowerLetter"/>
      <w:lvlText w:val="(%4)"/>
      <w:lvlJc w:val="left"/>
      <w:pPr>
        <w:ind w:left="2592" w:hanging="708"/>
        <w:jc w:val="left"/>
      </w:pPr>
      <w:rPr>
        <w:rFonts w:ascii="Arial" w:eastAsia="Arial" w:hAnsi="Arial" w:hint="default"/>
        <w:sz w:val="22"/>
        <w:szCs w:val="22"/>
      </w:rPr>
    </w:lvl>
    <w:lvl w:ilvl="4">
      <w:start w:val="1"/>
      <w:numFmt w:val="bullet"/>
      <w:lvlText w:val="•"/>
      <w:lvlJc w:val="left"/>
      <w:pPr>
        <w:ind w:left="1886" w:hanging="708"/>
      </w:pPr>
      <w:rPr>
        <w:rFonts w:hint="default"/>
      </w:rPr>
    </w:lvl>
    <w:lvl w:ilvl="5">
      <w:start w:val="1"/>
      <w:numFmt w:val="bullet"/>
      <w:lvlText w:val="•"/>
      <w:lvlJc w:val="left"/>
      <w:pPr>
        <w:ind w:left="2226" w:hanging="708"/>
      </w:pPr>
      <w:rPr>
        <w:rFonts w:hint="default"/>
      </w:rPr>
    </w:lvl>
    <w:lvl w:ilvl="6">
      <w:start w:val="1"/>
      <w:numFmt w:val="bullet"/>
      <w:lvlText w:val="•"/>
      <w:lvlJc w:val="left"/>
      <w:pPr>
        <w:ind w:left="2592" w:hanging="708"/>
      </w:pPr>
      <w:rPr>
        <w:rFonts w:hint="default"/>
      </w:rPr>
    </w:lvl>
    <w:lvl w:ilvl="7">
      <w:start w:val="1"/>
      <w:numFmt w:val="bullet"/>
      <w:lvlText w:val="•"/>
      <w:lvlJc w:val="left"/>
      <w:pPr>
        <w:ind w:left="2592" w:hanging="708"/>
      </w:pPr>
      <w:rPr>
        <w:rFonts w:hint="default"/>
      </w:rPr>
    </w:lvl>
    <w:lvl w:ilvl="8">
      <w:start w:val="1"/>
      <w:numFmt w:val="bullet"/>
      <w:lvlText w:val="•"/>
      <w:lvlJc w:val="left"/>
      <w:pPr>
        <w:ind w:left="4703" w:hanging="708"/>
      </w:pPr>
      <w:rPr>
        <w:rFonts w:hint="default"/>
      </w:rPr>
    </w:lvl>
  </w:abstractNum>
  <w:abstractNum w:abstractNumId="17">
    <w:nsid w:val="20104BF4"/>
    <w:multiLevelType w:val="multilevel"/>
    <w:tmpl w:val="AC2458E8"/>
    <w:lvl w:ilvl="0">
      <w:start w:val="56"/>
      <w:numFmt w:val="decimal"/>
      <w:lvlText w:val="%1."/>
      <w:lvlJc w:val="left"/>
      <w:pPr>
        <w:ind w:left="1744" w:hanging="852"/>
        <w:jc w:val="left"/>
      </w:pPr>
      <w:rPr>
        <w:rFonts w:ascii="Arial" w:eastAsia="Arial" w:hAnsi="Arial" w:hint="default"/>
        <w:b/>
        <w:bCs/>
        <w:spacing w:val="-1"/>
        <w:sz w:val="22"/>
        <w:szCs w:val="22"/>
      </w:rPr>
    </w:lvl>
    <w:lvl w:ilvl="1">
      <w:start w:val="1"/>
      <w:numFmt w:val="decimal"/>
      <w:lvlText w:val="%1.%2."/>
      <w:lvlJc w:val="left"/>
      <w:pPr>
        <w:ind w:left="2424" w:hanging="737"/>
        <w:jc w:val="left"/>
      </w:pPr>
      <w:rPr>
        <w:rFonts w:ascii="Arial" w:eastAsia="Arial" w:hAnsi="Arial" w:hint="default"/>
        <w:spacing w:val="-1"/>
        <w:sz w:val="22"/>
        <w:szCs w:val="22"/>
      </w:rPr>
    </w:lvl>
    <w:lvl w:ilvl="2">
      <w:start w:val="1"/>
      <w:numFmt w:val="decimal"/>
      <w:lvlText w:val="%1.%2.%3."/>
      <w:lvlJc w:val="left"/>
      <w:pPr>
        <w:ind w:left="3163" w:hanging="852"/>
        <w:jc w:val="left"/>
      </w:pPr>
      <w:rPr>
        <w:rFonts w:ascii="Arial" w:eastAsia="Arial" w:hAnsi="Arial" w:hint="default"/>
        <w:spacing w:val="-1"/>
        <w:sz w:val="22"/>
        <w:szCs w:val="22"/>
      </w:rPr>
    </w:lvl>
    <w:lvl w:ilvl="3">
      <w:start w:val="1"/>
      <w:numFmt w:val="bullet"/>
      <w:lvlText w:val="•"/>
      <w:lvlJc w:val="left"/>
      <w:pPr>
        <w:ind w:left="3162" w:hanging="852"/>
      </w:pPr>
      <w:rPr>
        <w:rFonts w:hint="default"/>
      </w:rPr>
    </w:lvl>
    <w:lvl w:ilvl="4">
      <w:start w:val="1"/>
      <w:numFmt w:val="bullet"/>
      <w:lvlText w:val="•"/>
      <w:lvlJc w:val="left"/>
      <w:pPr>
        <w:ind w:left="3162" w:hanging="852"/>
      </w:pPr>
      <w:rPr>
        <w:rFonts w:hint="default"/>
      </w:rPr>
    </w:lvl>
    <w:lvl w:ilvl="5">
      <w:start w:val="1"/>
      <w:numFmt w:val="bullet"/>
      <w:lvlText w:val="•"/>
      <w:lvlJc w:val="left"/>
      <w:pPr>
        <w:ind w:left="3163" w:hanging="852"/>
      </w:pPr>
      <w:rPr>
        <w:rFonts w:hint="default"/>
      </w:rPr>
    </w:lvl>
    <w:lvl w:ilvl="6">
      <w:start w:val="1"/>
      <w:numFmt w:val="bullet"/>
      <w:lvlText w:val="•"/>
      <w:lvlJc w:val="left"/>
      <w:pPr>
        <w:ind w:left="3163" w:hanging="852"/>
      </w:pPr>
      <w:rPr>
        <w:rFonts w:hint="default"/>
      </w:rPr>
    </w:lvl>
    <w:lvl w:ilvl="7">
      <w:start w:val="1"/>
      <w:numFmt w:val="bullet"/>
      <w:lvlText w:val="•"/>
      <w:lvlJc w:val="left"/>
      <w:pPr>
        <w:ind w:left="3163" w:hanging="852"/>
      </w:pPr>
      <w:rPr>
        <w:rFonts w:hint="default"/>
      </w:rPr>
    </w:lvl>
    <w:lvl w:ilvl="8">
      <w:start w:val="1"/>
      <w:numFmt w:val="bullet"/>
      <w:lvlText w:val="•"/>
      <w:lvlJc w:val="left"/>
      <w:pPr>
        <w:ind w:left="3163" w:hanging="852"/>
      </w:pPr>
      <w:rPr>
        <w:rFonts w:hint="default"/>
      </w:rPr>
    </w:lvl>
  </w:abstractNum>
  <w:abstractNum w:abstractNumId="18">
    <w:nsid w:val="214F0DF3"/>
    <w:multiLevelType w:val="multilevel"/>
    <w:tmpl w:val="25D481BE"/>
    <w:lvl w:ilvl="0">
      <w:start w:val="57"/>
      <w:numFmt w:val="decimal"/>
      <w:lvlText w:val="%1."/>
      <w:lvlJc w:val="left"/>
      <w:pPr>
        <w:ind w:left="1679" w:hanging="306"/>
        <w:jc w:val="left"/>
      </w:pPr>
      <w:rPr>
        <w:rFonts w:hint="default"/>
        <w:spacing w:val="-1"/>
        <w:highlight w:val="yellow"/>
      </w:rPr>
    </w:lvl>
    <w:lvl w:ilvl="1">
      <w:start w:val="1"/>
      <w:numFmt w:val="decimal"/>
      <w:lvlText w:val="%1.%2."/>
      <w:lvlJc w:val="left"/>
      <w:pPr>
        <w:ind w:left="2564" w:hanging="737"/>
        <w:jc w:val="left"/>
      </w:pPr>
      <w:rPr>
        <w:rFonts w:ascii="Arial" w:eastAsia="Arial" w:hAnsi="Arial" w:hint="default"/>
        <w:spacing w:val="-1"/>
        <w:sz w:val="22"/>
        <w:szCs w:val="22"/>
      </w:rPr>
    </w:lvl>
    <w:lvl w:ilvl="2">
      <w:start w:val="1"/>
      <w:numFmt w:val="decimal"/>
      <w:lvlText w:val="%1.%2.%3."/>
      <w:lvlJc w:val="left"/>
      <w:pPr>
        <w:ind w:left="3303" w:hanging="852"/>
        <w:jc w:val="left"/>
      </w:pPr>
      <w:rPr>
        <w:rFonts w:ascii="Arial" w:eastAsia="Arial" w:hAnsi="Arial" w:hint="default"/>
        <w:spacing w:val="-1"/>
        <w:sz w:val="22"/>
        <w:szCs w:val="22"/>
      </w:rPr>
    </w:lvl>
    <w:lvl w:ilvl="3">
      <w:start w:val="1"/>
      <w:numFmt w:val="bullet"/>
      <w:lvlText w:val="•"/>
      <w:lvlJc w:val="left"/>
      <w:pPr>
        <w:ind w:left="4023" w:hanging="852"/>
      </w:pPr>
      <w:rPr>
        <w:rFonts w:hint="default"/>
      </w:rPr>
    </w:lvl>
    <w:lvl w:ilvl="4">
      <w:start w:val="1"/>
      <w:numFmt w:val="bullet"/>
      <w:lvlText w:val="•"/>
      <w:lvlJc w:val="left"/>
      <w:pPr>
        <w:ind w:left="4744" w:hanging="852"/>
      </w:pPr>
      <w:rPr>
        <w:rFonts w:hint="default"/>
      </w:rPr>
    </w:lvl>
    <w:lvl w:ilvl="5">
      <w:start w:val="1"/>
      <w:numFmt w:val="bullet"/>
      <w:lvlText w:val="•"/>
      <w:lvlJc w:val="left"/>
      <w:pPr>
        <w:ind w:left="5464" w:hanging="852"/>
      </w:pPr>
      <w:rPr>
        <w:rFonts w:hint="default"/>
      </w:rPr>
    </w:lvl>
    <w:lvl w:ilvl="6">
      <w:start w:val="1"/>
      <w:numFmt w:val="bullet"/>
      <w:lvlText w:val="•"/>
      <w:lvlJc w:val="left"/>
      <w:pPr>
        <w:ind w:left="6184" w:hanging="852"/>
      </w:pPr>
      <w:rPr>
        <w:rFonts w:hint="default"/>
      </w:rPr>
    </w:lvl>
    <w:lvl w:ilvl="7">
      <w:start w:val="1"/>
      <w:numFmt w:val="bullet"/>
      <w:lvlText w:val="•"/>
      <w:lvlJc w:val="left"/>
      <w:pPr>
        <w:ind w:left="6905" w:hanging="852"/>
      </w:pPr>
      <w:rPr>
        <w:rFonts w:hint="default"/>
      </w:rPr>
    </w:lvl>
    <w:lvl w:ilvl="8">
      <w:start w:val="1"/>
      <w:numFmt w:val="bullet"/>
      <w:lvlText w:val="•"/>
      <w:lvlJc w:val="left"/>
      <w:pPr>
        <w:ind w:left="7625" w:hanging="852"/>
      </w:pPr>
      <w:rPr>
        <w:rFonts w:hint="default"/>
      </w:rPr>
    </w:lvl>
  </w:abstractNum>
  <w:abstractNum w:abstractNumId="19">
    <w:nsid w:val="21572BB0"/>
    <w:multiLevelType w:val="hybridMultilevel"/>
    <w:tmpl w:val="96A4B406"/>
    <w:lvl w:ilvl="0" w:tplc="D32E4996">
      <w:start w:val="1"/>
      <w:numFmt w:val="lowerLetter"/>
      <w:lvlText w:val="%1)"/>
      <w:lvlJc w:val="left"/>
      <w:pPr>
        <w:ind w:left="819" w:hanging="545"/>
        <w:jc w:val="left"/>
      </w:pPr>
      <w:rPr>
        <w:rFonts w:ascii="Arial" w:eastAsia="Arial" w:hAnsi="Arial" w:hint="default"/>
        <w:spacing w:val="-1"/>
        <w:sz w:val="22"/>
        <w:szCs w:val="22"/>
      </w:rPr>
    </w:lvl>
    <w:lvl w:ilvl="1" w:tplc="9730A01C">
      <w:start w:val="1"/>
      <w:numFmt w:val="lowerRoman"/>
      <w:lvlText w:val="%2)"/>
      <w:lvlJc w:val="left"/>
      <w:pPr>
        <w:ind w:left="1179" w:hanging="360"/>
        <w:jc w:val="left"/>
      </w:pPr>
      <w:rPr>
        <w:rFonts w:ascii="Arial" w:eastAsia="Arial" w:hAnsi="Arial" w:hint="default"/>
        <w:spacing w:val="-2"/>
        <w:sz w:val="22"/>
        <w:szCs w:val="22"/>
      </w:rPr>
    </w:lvl>
    <w:lvl w:ilvl="2" w:tplc="F1B438CA">
      <w:start w:val="1"/>
      <w:numFmt w:val="bullet"/>
      <w:lvlText w:val="•"/>
      <w:lvlJc w:val="left"/>
      <w:pPr>
        <w:ind w:left="1708" w:hanging="360"/>
      </w:pPr>
      <w:rPr>
        <w:rFonts w:hint="default"/>
      </w:rPr>
    </w:lvl>
    <w:lvl w:ilvl="3" w:tplc="E76C9982">
      <w:start w:val="1"/>
      <w:numFmt w:val="bullet"/>
      <w:lvlText w:val="•"/>
      <w:lvlJc w:val="left"/>
      <w:pPr>
        <w:ind w:left="2237" w:hanging="360"/>
      </w:pPr>
      <w:rPr>
        <w:rFonts w:hint="default"/>
      </w:rPr>
    </w:lvl>
    <w:lvl w:ilvl="4" w:tplc="7E1439AC">
      <w:start w:val="1"/>
      <w:numFmt w:val="bullet"/>
      <w:lvlText w:val="•"/>
      <w:lvlJc w:val="left"/>
      <w:pPr>
        <w:ind w:left="2765" w:hanging="360"/>
      </w:pPr>
      <w:rPr>
        <w:rFonts w:hint="default"/>
      </w:rPr>
    </w:lvl>
    <w:lvl w:ilvl="5" w:tplc="D89A38C2">
      <w:start w:val="1"/>
      <w:numFmt w:val="bullet"/>
      <w:lvlText w:val="•"/>
      <w:lvlJc w:val="left"/>
      <w:pPr>
        <w:ind w:left="3294" w:hanging="360"/>
      </w:pPr>
      <w:rPr>
        <w:rFonts w:hint="default"/>
      </w:rPr>
    </w:lvl>
    <w:lvl w:ilvl="6" w:tplc="F2CAE342">
      <w:start w:val="1"/>
      <w:numFmt w:val="bullet"/>
      <w:lvlText w:val="•"/>
      <w:lvlJc w:val="left"/>
      <w:pPr>
        <w:ind w:left="3823" w:hanging="360"/>
      </w:pPr>
      <w:rPr>
        <w:rFonts w:hint="default"/>
      </w:rPr>
    </w:lvl>
    <w:lvl w:ilvl="7" w:tplc="0E7E36F8">
      <w:start w:val="1"/>
      <w:numFmt w:val="bullet"/>
      <w:lvlText w:val="•"/>
      <w:lvlJc w:val="left"/>
      <w:pPr>
        <w:ind w:left="4351" w:hanging="360"/>
      </w:pPr>
      <w:rPr>
        <w:rFonts w:hint="default"/>
      </w:rPr>
    </w:lvl>
    <w:lvl w:ilvl="8" w:tplc="4B5A0A3E">
      <w:start w:val="1"/>
      <w:numFmt w:val="bullet"/>
      <w:lvlText w:val="•"/>
      <w:lvlJc w:val="left"/>
      <w:pPr>
        <w:ind w:left="4880" w:hanging="360"/>
      </w:pPr>
      <w:rPr>
        <w:rFonts w:hint="default"/>
      </w:rPr>
    </w:lvl>
  </w:abstractNum>
  <w:abstractNum w:abstractNumId="20">
    <w:nsid w:val="24975E27"/>
    <w:multiLevelType w:val="hybridMultilevel"/>
    <w:tmpl w:val="B680F0D8"/>
    <w:lvl w:ilvl="0" w:tplc="13D2C05C">
      <w:start w:val="4"/>
      <w:numFmt w:val="lowerLetter"/>
      <w:lvlText w:val="%1)"/>
      <w:lvlJc w:val="left"/>
      <w:pPr>
        <w:ind w:left="819" w:hanging="545"/>
        <w:jc w:val="left"/>
      </w:pPr>
      <w:rPr>
        <w:rFonts w:ascii="Arial" w:eastAsia="Arial" w:hAnsi="Arial" w:hint="default"/>
        <w:spacing w:val="-1"/>
        <w:sz w:val="22"/>
        <w:szCs w:val="22"/>
      </w:rPr>
    </w:lvl>
    <w:lvl w:ilvl="1" w:tplc="0E22A736">
      <w:start w:val="1"/>
      <w:numFmt w:val="bullet"/>
      <w:lvlText w:val="•"/>
      <w:lvlJc w:val="left"/>
      <w:pPr>
        <w:ind w:left="1331" w:hanging="545"/>
      </w:pPr>
      <w:rPr>
        <w:rFonts w:hint="default"/>
      </w:rPr>
    </w:lvl>
    <w:lvl w:ilvl="2" w:tplc="33E2BA08">
      <w:start w:val="1"/>
      <w:numFmt w:val="bullet"/>
      <w:lvlText w:val="•"/>
      <w:lvlJc w:val="left"/>
      <w:pPr>
        <w:ind w:left="1843" w:hanging="545"/>
      </w:pPr>
      <w:rPr>
        <w:rFonts w:hint="default"/>
      </w:rPr>
    </w:lvl>
    <w:lvl w:ilvl="3" w:tplc="612C5AA4">
      <w:start w:val="1"/>
      <w:numFmt w:val="bullet"/>
      <w:lvlText w:val="•"/>
      <w:lvlJc w:val="left"/>
      <w:pPr>
        <w:ind w:left="2355" w:hanging="545"/>
      </w:pPr>
      <w:rPr>
        <w:rFonts w:hint="default"/>
      </w:rPr>
    </w:lvl>
    <w:lvl w:ilvl="4" w:tplc="D0A26484">
      <w:start w:val="1"/>
      <w:numFmt w:val="bullet"/>
      <w:lvlText w:val="•"/>
      <w:lvlJc w:val="left"/>
      <w:pPr>
        <w:ind w:left="2867" w:hanging="545"/>
      </w:pPr>
      <w:rPr>
        <w:rFonts w:hint="default"/>
      </w:rPr>
    </w:lvl>
    <w:lvl w:ilvl="5" w:tplc="A238B5F4">
      <w:start w:val="1"/>
      <w:numFmt w:val="bullet"/>
      <w:lvlText w:val="•"/>
      <w:lvlJc w:val="left"/>
      <w:pPr>
        <w:ind w:left="3378" w:hanging="545"/>
      </w:pPr>
      <w:rPr>
        <w:rFonts w:hint="default"/>
      </w:rPr>
    </w:lvl>
    <w:lvl w:ilvl="6" w:tplc="ED7A1270">
      <w:start w:val="1"/>
      <w:numFmt w:val="bullet"/>
      <w:lvlText w:val="•"/>
      <w:lvlJc w:val="left"/>
      <w:pPr>
        <w:ind w:left="3890" w:hanging="545"/>
      </w:pPr>
      <w:rPr>
        <w:rFonts w:hint="default"/>
      </w:rPr>
    </w:lvl>
    <w:lvl w:ilvl="7" w:tplc="A0880894">
      <w:start w:val="1"/>
      <w:numFmt w:val="bullet"/>
      <w:lvlText w:val="•"/>
      <w:lvlJc w:val="left"/>
      <w:pPr>
        <w:ind w:left="4402" w:hanging="545"/>
      </w:pPr>
      <w:rPr>
        <w:rFonts w:hint="default"/>
      </w:rPr>
    </w:lvl>
    <w:lvl w:ilvl="8" w:tplc="716811A6">
      <w:start w:val="1"/>
      <w:numFmt w:val="bullet"/>
      <w:lvlText w:val="•"/>
      <w:lvlJc w:val="left"/>
      <w:pPr>
        <w:ind w:left="4914" w:hanging="545"/>
      </w:pPr>
      <w:rPr>
        <w:rFonts w:hint="default"/>
      </w:rPr>
    </w:lvl>
  </w:abstractNum>
  <w:abstractNum w:abstractNumId="21">
    <w:nsid w:val="251E1C8E"/>
    <w:multiLevelType w:val="multilevel"/>
    <w:tmpl w:val="E7F66754"/>
    <w:lvl w:ilvl="0">
      <w:start w:val="41"/>
      <w:numFmt w:val="decimal"/>
      <w:lvlText w:val="%1"/>
      <w:lvlJc w:val="left"/>
      <w:pPr>
        <w:ind w:left="892" w:hanging="565"/>
        <w:jc w:val="left"/>
      </w:pPr>
      <w:rPr>
        <w:rFonts w:hint="default"/>
      </w:rPr>
    </w:lvl>
    <w:lvl w:ilvl="1">
      <w:start w:val="3"/>
      <w:numFmt w:val="decimal"/>
      <w:lvlText w:val="%1.%2"/>
      <w:lvlJc w:val="left"/>
      <w:pPr>
        <w:ind w:left="892" w:hanging="565"/>
        <w:jc w:val="right"/>
      </w:pPr>
      <w:rPr>
        <w:rFonts w:ascii="Arial" w:eastAsia="Arial" w:hAnsi="Arial" w:hint="default"/>
        <w:spacing w:val="-1"/>
        <w:sz w:val="22"/>
        <w:szCs w:val="22"/>
      </w:rPr>
    </w:lvl>
    <w:lvl w:ilvl="2">
      <w:start w:val="1"/>
      <w:numFmt w:val="decimal"/>
      <w:lvlText w:val="%1.%2.%3"/>
      <w:lvlJc w:val="left"/>
      <w:pPr>
        <w:ind w:left="1886" w:hanging="994"/>
        <w:jc w:val="left"/>
      </w:pPr>
      <w:rPr>
        <w:rFonts w:ascii="Arial" w:eastAsia="Arial" w:hAnsi="Arial" w:hint="default"/>
        <w:spacing w:val="-1"/>
        <w:sz w:val="22"/>
        <w:szCs w:val="22"/>
      </w:rPr>
    </w:lvl>
    <w:lvl w:ilvl="3">
      <w:start w:val="1"/>
      <w:numFmt w:val="lowerLetter"/>
      <w:lvlText w:val="(%4)"/>
      <w:lvlJc w:val="left"/>
      <w:pPr>
        <w:ind w:left="2594" w:hanging="708"/>
        <w:jc w:val="right"/>
      </w:pPr>
      <w:rPr>
        <w:rFonts w:ascii="Arial" w:eastAsia="Arial" w:hAnsi="Arial" w:hint="default"/>
        <w:sz w:val="22"/>
        <w:szCs w:val="22"/>
      </w:rPr>
    </w:lvl>
    <w:lvl w:ilvl="4">
      <w:start w:val="1"/>
      <w:numFmt w:val="bullet"/>
      <w:lvlText w:val="•"/>
      <w:lvlJc w:val="left"/>
      <w:pPr>
        <w:ind w:left="2226" w:hanging="708"/>
      </w:pPr>
      <w:rPr>
        <w:rFonts w:hint="default"/>
      </w:rPr>
    </w:lvl>
    <w:lvl w:ilvl="5">
      <w:start w:val="1"/>
      <w:numFmt w:val="bullet"/>
      <w:lvlText w:val="•"/>
      <w:lvlJc w:val="left"/>
      <w:pPr>
        <w:ind w:left="2226" w:hanging="708"/>
      </w:pPr>
      <w:rPr>
        <w:rFonts w:hint="default"/>
      </w:rPr>
    </w:lvl>
    <w:lvl w:ilvl="6">
      <w:start w:val="1"/>
      <w:numFmt w:val="bullet"/>
      <w:lvlText w:val="•"/>
      <w:lvlJc w:val="left"/>
      <w:pPr>
        <w:ind w:left="2227" w:hanging="708"/>
      </w:pPr>
      <w:rPr>
        <w:rFonts w:hint="default"/>
      </w:rPr>
    </w:lvl>
    <w:lvl w:ilvl="7">
      <w:start w:val="1"/>
      <w:numFmt w:val="bullet"/>
      <w:lvlText w:val="•"/>
      <w:lvlJc w:val="left"/>
      <w:pPr>
        <w:ind w:left="2227" w:hanging="708"/>
      </w:pPr>
      <w:rPr>
        <w:rFonts w:hint="default"/>
      </w:rPr>
    </w:lvl>
    <w:lvl w:ilvl="8">
      <w:start w:val="1"/>
      <w:numFmt w:val="bullet"/>
      <w:lvlText w:val="•"/>
      <w:lvlJc w:val="left"/>
      <w:pPr>
        <w:ind w:left="2594" w:hanging="708"/>
      </w:pPr>
      <w:rPr>
        <w:rFonts w:hint="default"/>
      </w:rPr>
    </w:lvl>
  </w:abstractNum>
  <w:abstractNum w:abstractNumId="22">
    <w:nsid w:val="26C164BA"/>
    <w:multiLevelType w:val="multilevel"/>
    <w:tmpl w:val="6BB46EF6"/>
    <w:lvl w:ilvl="0">
      <w:start w:val="1"/>
      <w:numFmt w:val="decimal"/>
      <w:lvlText w:val="%1."/>
      <w:lvlJc w:val="left"/>
      <w:pPr>
        <w:ind w:left="466" w:hanging="360"/>
        <w:jc w:val="left"/>
      </w:pPr>
      <w:rPr>
        <w:rFonts w:ascii="Times New Roman" w:eastAsia="Times New Roman" w:hAnsi="Times New Roman" w:hint="default"/>
        <w:spacing w:val="1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lowerLetter"/>
      <w:lvlText w:val="(%4)"/>
      <w:lvlJc w:val="left"/>
      <w:pPr>
        <w:ind w:left="2734" w:hanging="708"/>
        <w:jc w:val="left"/>
      </w:pPr>
      <w:rPr>
        <w:rFonts w:ascii="Arial" w:eastAsia="Arial" w:hAnsi="Arial" w:hint="default"/>
        <w:sz w:val="22"/>
        <w:szCs w:val="22"/>
      </w:rPr>
    </w:lvl>
    <w:lvl w:ilvl="4">
      <w:start w:val="1"/>
      <w:numFmt w:val="bullet"/>
      <w:lvlText w:val="•"/>
      <w:lvlJc w:val="left"/>
      <w:pPr>
        <w:ind w:left="828" w:hanging="708"/>
      </w:pPr>
      <w:rPr>
        <w:rFonts w:hint="default"/>
      </w:rPr>
    </w:lvl>
    <w:lvl w:ilvl="5">
      <w:start w:val="1"/>
      <w:numFmt w:val="bullet"/>
      <w:lvlText w:val="•"/>
      <w:lvlJc w:val="left"/>
      <w:pPr>
        <w:ind w:left="828" w:hanging="708"/>
      </w:pPr>
      <w:rPr>
        <w:rFonts w:hint="default"/>
      </w:rPr>
    </w:lvl>
    <w:lvl w:ilvl="6">
      <w:start w:val="1"/>
      <w:numFmt w:val="bullet"/>
      <w:lvlText w:val="•"/>
      <w:lvlJc w:val="left"/>
      <w:pPr>
        <w:ind w:left="828" w:hanging="708"/>
      </w:pPr>
      <w:rPr>
        <w:rFonts w:hint="default"/>
      </w:rPr>
    </w:lvl>
    <w:lvl w:ilvl="7">
      <w:start w:val="1"/>
      <w:numFmt w:val="bullet"/>
      <w:lvlText w:val="•"/>
      <w:lvlJc w:val="left"/>
      <w:pPr>
        <w:ind w:left="828" w:hanging="708"/>
      </w:pPr>
      <w:rPr>
        <w:rFonts w:hint="default"/>
      </w:rPr>
    </w:lvl>
    <w:lvl w:ilvl="8">
      <w:start w:val="1"/>
      <w:numFmt w:val="bullet"/>
      <w:lvlText w:val="•"/>
      <w:lvlJc w:val="left"/>
      <w:pPr>
        <w:ind w:left="828" w:hanging="708"/>
      </w:pPr>
      <w:rPr>
        <w:rFonts w:hint="default"/>
      </w:rPr>
    </w:lvl>
  </w:abstractNum>
  <w:abstractNum w:abstractNumId="23">
    <w:nsid w:val="293C2F3E"/>
    <w:multiLevelType w:val="multilevel"/>
    <w:tmpl w:val="67FA3FF0"/>
    <w:lvl w:ilvl="0">
      <w:start w:val="1"/>
      <w:numFmt w:val="decimal"/>
      <w:lvlText w:val="%1."/>
      <w:lvlJc w:val="left"/>
      <w:pPr>
        <w:ind w:left="466" w:hanging="360"/>
        <w:jc w:val="left"/>
      </w:pPr>
      <w:rPr>
        <w:rFonts w:ascii="Times New Roman" w:eastAsia="Times New Roman" w:hAnsi="Times New Roman" w:hint="default"/>
        <w:spacing w:val="1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lowerLetter"/>
      <w:lvlText w:val="(%4)"/>
      <w:lvlJc w:val="left"/>
      <w:pPr>
        <w:ind w:left="2733" w:hanging="708"/>
        <w:jc w:val="left"/>
      </w:pPr>
      <w:rPr>
        <w:rFonts w:ascii="Arial" w:eastAsia="Arial" w:hAnsi="Arial" w:hint="default"/>
        <w:sz w:val="22"/>
        <w:szCs w:val="22"/>
      </w:rPr>
    </w:lvl>
    <w:lvl w:ilvl="4">
      <w:start w:val="1"/>
      <w:numFmt w:val="lowerRoman"/>
      <w:lvlText w:val="(%5)"/>
      <w:lvlJc w:val="left"/>
      <w:pPr>
        <w:ind w:left="3302" w:hanging="569"/>
        <w:jc w:val="left"/>
      </w:pPr>
      <w:rPr>
        <w:rFonts w:ascii="Arial" w:eastAsia="Arial" w:hAnsi="Arial" w:hint="default"/>
        <w:sz w:val="22"/>
        <w:szCs w:val="22"/>
      </w:rPr>
    </w:lvl>
    <w:lvl w:ilvl="5">
      <w:start w:val="1"/>
      <w:numFmt w:val="bullet"/>
      <w:lvlText w:val="•"/>
      <w:lvlJc w:val="left"/>
      <w:pPr>
        <w:ind w:left="2025" w:hanging="569"/>
      </w:pPr>
      <w:rPr>
        <w:rFonts w:hint="default"/>
      </w:rPr>
    </w:lvl>
    <w:lvl w:ilvl="6">
      <w:start w:val="1"/>
      <w:numFmt w:val="bullet"/>
      <w:lvlText w:val="•"/>
      <w:lvlJc w:val="left"/>
      <w:pPr>
        <w:ind w:left="2026" w:hanging="569"/>
      </w:pPr>
      <w:rPr>
        <w:rFonts w:hint="default"/>
      </w:rPr>
    </w:lvl>
    <w:lvl w:ilvl="7">
      <w:start w:val="1"/>
      <w:numFmt w:val="bullet"/>
      <w:lvlText w:val="•"/>
      <w:lvlJc w:val="left"/>
      <w:pPr>
        <w:ind w:left="2026" w:hanging="569"/>
      </w:pPr>
      <w:rPr>
        <w:rFonts w:hint="default"/>
      </w:rPr>
    </w:lvl>
    <w:lvl w:ilvl="8">
      <w:start w:val="1"/>
      <w:numFmt w:val="bullet"/>
      <w:lvlText w:val="•"/>
      <w:lvlJc w:val="left"/>
      <w:pPr>
        <w:ind w:left="2733" w:hanging="569"/>
      </w:pPr>
      <w:rPr>
        <w:rFonts w:hint="default"/>
      </w:rPr>
    </w:lvl>
  </w:abstractNum>
  <w:abstractNum w:abstractNumId="24">
    <w:nsid w:val="29875DE4"/>
    <w:multiLevelType w:val="multilevel"/>
    <w:tmpl w:val="6478AF96"/>
    <w:lvl w:ilvl="0">
      <w:start w:val="1"/>
      <w:numFmt w:val="decimal"/>
      <w:lvlText w:val="%1."/>
      <w:lvlJc w:val="left"/>
      <w:pPr>
        <w:ind w:left="466" w:hanging="360"/>
        <w:jc w:val="left"/>
      </w:pPr>
      <w:rPr>
        <w:rFonts w:ascii="Times New Roman" w:eastAsia="Times New Roman" w:hAnsi="Times New Roman" w:hint="default"/>
        <w:spacing w:val="1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bullet"/>
      <w:lvlText w:val="•"/>
      <w:lvlJc w:val="left"/>
      <w:pPr>
        <w:ind w:left="2873" w:hanging="994"/>
      </w:pPr>
      <w:rPr>
        <w:rFonts w:hint="default"/>
      </w:rPr>
    </w:lvl>
    <w:lvl w:ilvl="4">
      <w:start w:val="1"/>
      <w:numFmt w:val="bullet"/>
      <w:lvlText w:val="•"/>
      <w:lvlJc w:val="left"/>
      <w:pPr>
        <w:ind w:left="3721" w:hanging="994"/>
      </w:pPr>
      <w:rPr>
        <w:rFonts w:hint="default"/>
      </w:rPr>
    </w:lvl>
    <w:lvl w:ilvl="5">
      <w:start w:val="1"/>
      <w:numFmt w:val="bullet"/>
      <w:lvlText w:val="•"/>
      <w:lvlJc w:val="left"/>
      <w:pPr>
        <w:ind w:left="4568" w:hanging="994"/>
      </w:pPr>
      <w:rPr>
        <w:rFonts w:hint="default"/>
      </w:rPr>
    </w:lvl>
    <w:lvl w:ilvl="6">
      <w:start w:val="1"/>
      <w:numFmt w:val="bullet"/>
      <w:lvlText w:val="•"/>
      <w:lvlJc w:val="left"/>
      <w:pPr>
        <w:ind w:left="5416" w:hanging="994"/>
      </w:pPr>
      <w:rPr>
        <w:rFonts w:hint="default"/>
      </w:rPr>
    </w:lvl>
    <w:lvl w:ilvl="7">
      <w:start w:val="1"/>
      <w:numFmt w:val="bullet"/>
      <w:lvlText w:val="•"/>
      <w:lvlJc w:val="left"/>
      <w:pPr>
        <w:ind w:left="6263" w:hanging="994"/>
      </w:pPr>
      <w:rPr>
        <w:rFonts w:hint="default"/>
      </w:rPr>
    </w:lvl>
    <w:lvl w:ilvl="8">
      <w:start w:val="1"/>
      <w:numFmt w:val="bullet"/>
      <w:lvlText w:val="•"/>
      <w:lvlJc w:val="left"/>
      <w:pPr>
        <w:ind w:left="7111" w:hanging="994"/>
      </w:pPr>
      <w:rPr>
        <w:rFonts w:hint="default"/>
      </w:rPr>
    </w:lvl>
  </w:abstractNum>
  <w:abstractNum w:abstractNumId="25">
    <w:nsid w:val="2ADC7F66"/>
    <w:multiLevelType w:val="hybridMultilevel"/>
    <w:tmpl w:val="9162CC62"/>
    <w:lvl w:ilvl="0" w:tplc="566A77E2">
      <w:start w:val="1"/>
      <w:numFmt w:val="lowerLetter"/>
      <w:lvlText w:val="%1)"/>
      <w:lvlJc w:val="left"/>
      <w:pPr>
        <w:ind w:left="819" w:hanging="545"/>
        <w:jc w:val="left"/>
      </w:pPr>
      <w:rPr>
        <w:rFonts w:ascii="Arial" w:eastAsia="Arial" w:hAnsi="Arial" w:hint="default"/>
        <w:spacing w:val="-1"/>
        <w:sz w:val="22"/>
        <w:szCs w:val="22"/>
      </w:rPr>
    </w:lvl>
    <w:lvl w:ilvl="1" w:tplc="B0CAB0CC">
      <w:start w:val="1"/>
      <w:numFmt w:val="bullet"/>
      <w:lvlText w:val="•"/>
      <w:lvlJc w:val="left"/>
      <w:pPr>
        <w:ind w:left="1342" w:hanging="545"/>
      </w:pPr>
      <w:rPr>
        <w:rFonts w:hint="default"/>
      </w:rPr>
    </w:lvl>
    <w:lvl w:ilvl="2" w:tplc="F35CB9BA">
      <w:start w:val="1"/>
      <w:numFmt w:val="bullet"/>
      <w:lvlText w:val="•"/>
      <w:lvlJc w:val="left"/>
      <w:pPr>
        <w:ind w:left="1865" w:hanging="545"/>
      </w:pPr>
      <w:rPr>
        <w:rFonts w:hint="default"/>
      </w:rPr>
    </w:lvl>
    <w:lvl w:ilvl="3" w:tplc="B4F8463A">
      <w:start w:val="1"/>
      <w:numFmt w:val="bullet"/>
      <w:lvlText w:val="•"/>
      <w:lvlJc w:val="left"/>
      <w:pPr>
        <w:ind w:left="2387" w:hanging="545"/>
      </w:pPr>
      <w:rPr>
        <w:rFonts w:hint="default"/>
      </w:rPr>
    </w:lvl>
    <w:lvl w:ilvl="4" w:tplc="6BD6614C">
      <w:start w:val="1"/>
      <w:numFmt w:val="bullet"/>
      <w:lvlText w:val="•"/>
      <w:lvlJc w:val="left"/>
      <w:pPr>
        <w:ind w:left="2910" w:hanging="545"/>
      </w:pPr>
      <w:rPr>
        <w:rFonts w:hint="default"/>
      </w:rPr>
    </w:lvl>
    <w:lvl w:ilvl="5" w:tplc="F81C0D64">
      <w:start w:val="1"/>
      <w:numFmt w:val="bullet"/>
      <w:lvlText w:val="•"/>
      <w:lvlJc w:val="left"/>
      <w:pPr>
        <w:ind w:left="3432" w:hanging="545"/>
      </w:pPr>
      <w:rPr>
        <w:rFonts w:hint="default"/>
      </w:rPr>
    </w:lvl>
    <w:lvl w:ilvl="6" w:tplc="29723F16">
      <w:start w:val="1"/>
      <w:numFmt w:val="bullet"/>
      <w:lvlText w:val="•"/>
      <w:lvlJc w:val="left"/>
      <w:pPr>
        <w:ind w:left="3955" w:hanging="545"/>
      </w:pPr>
      <w:rPr>
        <w:rFonts w:hint="default"/>
      </w:rPr>
    </w:lvl>
    <w:lvl w:ilvl="7" w:tplc="A516D820">
      <w:start w:val="1"/>
      <w:numFmt w:val="bullet"/>
      <w:lvlText w:val="•"/>
      <w:lvlJc w:val="left"/>
      <w:pPr>
        <w:ind w:left="4478" w:hanging="545"/>
      </w:pPr>
      <w:rPr>
        <w:rFonts w:hint="default"/>
      </w:rPr>
    </w:lvl>
    <w:lvl w:ilvl="8" w:tplc="C38EB502">
      <w:start w:val="1"/>
      <w:numFmt w:val="bullet"/>
      <w:lvlText w:val="•"/>
      <w:lvlJc w:val="left"/>
      <w:pPr>
        <w:ind w:left="5000" w:hanging="545"/>
      </w:pPr>
      <w:rPr>
        <w:rFonts w:hint="default"/>
      </w:rPr>
    </w:lvl>
  </w:abstractNum>
  <w:abstractNum w:abstractNumId="26">
    <w:nsid w:val="2AF81689"/>
    <w:multiLevelType w:val="hybridMultilevel"/>
    <w:tmpl w:val="5184BE38"/>
    <w:lvl w:ilvl="0" w:tplc="0B6CAFFC">
      <w:start w:val="1"/>
      <w:numFmt w:val="lowerLetter"/>
      <w:lvlText w:val="%1)"/>
      <w:lvlJc w:val="left"/>
      <w:pPr>
        <w:ind w:left="819" w:hanging="545"/>
        <w:jc w:val="left"/>
      </w:pPr>
      <w:rPr>
        <w:rFonts w:ascii="Arial" w:eastAsia="Arial" w:hAnsi="Arial" w:hint="default"/>
        <w:spacing w:val="-1"/>
        <w:sz w:val="22"/>
        <w:szCs w:val="22"/>
      </w:rPr>
    </w:lvl>
    <w:lvl w:ilvl="1" w:tplc="FE5844EC">
      <w:start w:val="1"/>
      <w:numFmt w:val="bullet"/>
      <w:lvlText w:val="•"/>
      <w:lvlJc w:val="left"/>
      <w:pPr>
        <w:ind w:left="1342" w:hanging="545"/>
      </w:pPr>
      <w:rPr>
        <w:rFonts w:hint="default"/>
      </w:rPr>
    </w:lvl>
    <w:lvl w:ilvl="2" w:tplc="9F40E0C4">
      <w:start w:val="1"/>
      <w:numFmt w:val="bullet"/>
      <w:lvlText w:val="•"/>
      <w:lvlJc w:val="left"/>
      <w:pPr>
        <w:ind w:left="1865" w:hanging="545"/>
      </w:pPr>
      <w:rPr>
        <w:rFonts w:hint="default"/>
      </w:rPr>
    </w:lvl>
    <w:lvl w:ilvl="3" w:tplc="734A4C4A">
      <w:start w:val="1"/>
      <w:numFmt w:val="bullet"/>
      <w:lvlText w:val="•"/>
      <w:lvlJc w:val="left"/>
      <w:pPr>
        <w:ind w:left="2387" w:hanging="545"/>
      </w:pPr>
      <w:rPr>
        <w:rFonts w:hint="default"/>
      </w:rPr>
    </w:lvl>
    <w:lvl w:ilvl="4" w:tplc="1E62EB68">
      <w:start w:val="1"/>
      <w:numFmt w:val="bullet"/>
      <w:lvlText w:val="•"/>
      <w:lvlJc w:val="left"/>
      <w:pPr>
        <w:ind w:left="2910" w:hanging="545"/>
      </w:pPr>
      <w:rPr>
        <w:rFonts w:hint="default"/>
      </w:rPr>
    </w:lvl>
    <w:lvl w:ilvl="5" w:tplc="A55E7834">
      <w:start w:val="1"/>
      <w:numFmt w:val="bullet"/>
      <w:lvlText w:val="•"/>
      <w:lvlJc w:val="left"/>
      <w:pPr>
        <w:ind w:left="3432" w:hanging="545"/>
      </w:pPr>
      <w:rPr>
        <w:rFonts w:hint="default"/>
      </w:rPr>
    </w:lvl>
    <w:lvl w:ilvl="6" w:tplc="D31C7E1C">
      <w:start w:val="1"/>
      <w:numFmt w:val="bullet"/>
      <w:lvlText w:val="•"/>
      <w:lvlJc w:val="left"/>
      <w:pPr>
        <w:ind w:left="3955" w:hanging="545"/>
      </w:pPr>
      <w:rPr>
        <w:rFonts w:hint="default"/>
      </w:rPr>
    </w:lvl>
    <w:lvl w:ilvl="7" w:tplc="59A47A18">
      <w:start w:val="1"/>
      <w:numFmt w:val="bullet"/>
      <w:lvlText w:val="•"/>
      <w:lvlJc w:val="left"/>
      <w:pPr>
        <w:ind w:left="4478" w:hanging="545"/>
      </w:pPr>
      <w:rPr>
        <w:rFonts w:hint="default"/>
      </w:rPr>
    </w:lvl>
    <w:lvl w:ilvl="8" w:tplc="8EA027C6">
      <w:start w:val="1"/>
      <w:numFmt w:val="bullet"/>
      <w:lvlText w:val="•"/>
      <w:lvlJc w:val="left"/>
      <w:pPr>
        <w:ind w:left="5000" w:hanging="545"/>
      </w:pPr>
      <w:rPr>
        <w:rFonts w:hint="default"/>
      </w:rPr>
    </w:lvl>
  </w:abstractNum>
  <w:abstractNum w:abstractNumId="27">
    <w:nsid w:val="2F4E767F"/>
    <w:multiLevelType w:val="hybridMultilevel"/>
    <w:tmpl w:val="94FE7B42"/>
    <w:lvl w:ilvl="0" w:tplc="1192704E">
      <w:start w:val="1"/>
      <w:numFmt w:val="bullet"/>
      <w:lvlText w:val=""/>
      <w:lvlJc w:val="left"/>
      <w:pPr>
        <w:ind w:left="2958" w:hanging="361"/>
      </w:pPr>
      <w:rPr>
        <w:rFonts w:ascii="Symbol" w:eastAsia="Symbol" w:hAnsi="Symbol" w:hint="default"/>
        <w:sz w:val="22"/>
        <w:szCs w:val="22"/>
      </w:rPr>
    </w:lvl>
    <w:lvl w:ilvl="1" w:tplc="F514B76C">
      <w:start w:val="1"/>
      <w:numFmt w:val="bullet"/>
      <w:lvlText w:val="•"/>
      <w:lvlJc w:val="left"/>
      <w:pPr>
        <w:ind w:left="3603" w:hanging="361"/>
      </w:pPr>
      <w:rPr>
        <w:rFonts w:hint="default"/>
      </w:rPr>
    </w:lvl>
    <w:lvl w:ilvl="2" w:tplc="23A6EABA">
      <w:start w:val="1"/>
      <w:numFmt w:val="bullet"/>
      <w:lvlText w:val="•"/>
      <w:lvlJc w:val="left"/>
      <w:pPr>
        <w:ind w:left="4248" w:hanging="361"/>
      </w:pPr>
      <w:rPr>
        <w:rFonts w:hint="default"/>
      </w:rPr>
    </w:lvl>
    <w:lvl w:ilvl="3" w:tplc="79AE8142">
      <w:start w:val="1"/>
      <w:numFmt w:val="bullet"/>
      <w:lvlText w:val="•"/>
      <w:lvlJc w:val="left"/>
      <w:pPr>
        <w:ind w:left="4892" w:hanging="361"/>
      </w:pPr>
      <w:rPr>
        <w:rFonts w:hint="default"/>
      </w:rPr>
    </w:lvl>
    <w:lvl w:ilvl="4" w:tplc="304C5818">
      <w:start w:val="1"/>
      <w:numFmt w:val="bullet"/>
      <w:lvlText w:val="•"/>
      <w:lvlJc w:val="left"/>
      <w:pPr>
        <w:ind w:left="5537" w:hanging="361"/>
      </w:pPr>
      <w:rPr>
        <w:rFonts w:hint="default"/>
      </w:rPr>
    </w:lvl>
    <w:lvl w:ilvl="5" w:tplc="16366BA0">
      <w:start w:val="1"/>
      <w:numFmt w:val="bullet"/>
      <w:lvlText w:val="•"/>
      <w:lvlJc w:val="left"/>
      <w:pPr>
        <w:ind w:left="6182" w:hanging="361"/>
      </w:pPr>
      <w:rPr>
        <w:rFonts w:hint="default"/>
      </w:rPr>
    </w:lvl>
    <w:lvl w:ilvl="6" w:tplc="322E9A16">
      <w:start w:val="1"/>
      <w:numFmt w:val="bullet"/>
      <w:lvlText w:val="•"/>
      <w:lvlJc w:val="left"/>
      <w:pPr>
        <w:ind w:left="6827" w:hanging="361"/>
      </w:pPr>
      <w:rPr>
        <w:rFonts w:hint="default"/>
      </w:rPr>
    </w:lvl>
    <w:lvl w:ilvl="7" w:tplc="E4961202">
      <w:start w:val="1"/>
      <w:numFmt w:val="bullet"/>
      <w:lvlText w:val="•"/>
      <w:lvlJc w:val="left"/>
      <w:pPr>
        <w:ind w:left="7472" w:hanging="361"/>
      </w:pPr>
      <w:rPr>
        <w:rFonts w:hint="default"/>
      </w:rPr>
    </w:lvl>
    <w:lvl w:ilvl="8" w:tplc="2F5C2D00">
      <w:start w:val="1"/>
      <w:numFmt w:val="bullet"/>
      <w:lvlText w:val="•"/>
      <w:lvlJc w:val="left"/>
      <w:pPr>
        <w:ind w:left="8116" w:hanging="361"/>
      </w:pPr>
      <w:rPr>
        <w:rFonts w:hint="default"/>
      </w:rPr>
    </w:lvl>
  </w:abstractNum>
  <w:abstractNum w:abstractNumId="28">
    <w:nsid w:val="2F8B3516"/>
    <w:multiLevelType w:val="hybridMultilevel"/>
    <w:tmpl w:val="84B47056"/>
    <w:lvl w:ilvl="0" w:tplc="371A3D32">
      <w:start w:val="1"/>
      <w:numFmt w:val="lowerLetter"/>
      <w:lvlText w:val="%1)"/>
      <w:lvlJc w:val="left"/>
      <w:pPr>
        <w:ind w:left="819" w:hanging="545"/>
        <w:jc w:val="left"/>
      </w:pPr>
      <w:rPr>
        <w:rFonts w:ascii="Arial" w:eastAsia="Arial" w:hAnsi="Arial" w:hint="default"/>
        <w:spacing w:val="-1"/>
        <w:sz w:val="22"/>
        <w:szCs w:val="22"/>
      </w:rPr>
    </w:lvl>
    <w:lvl w:ilvl="1" w:tplc="327037FA">
      <w:start w:val="1"/>
      <w:numFmt w:val="bullet"/>
      <w:lvlText w:val="•"/>
      <w:lvlJc w:val="left"/>
      <w:pPr>
        <w:ind w:left="1342" w:hanging="545"/>
      </w:pPr>
      <w:rPr>
        <w:rFonts w:hint="default"/>
      </w:rPr>
    </w:lvl>
    <w:lvl w:ilvl="2" w:tplc="FBF0B394">
      <w:start w:val="1"/>
      <w:numFmt w:val="bullet"/>
      <w:lvlText w:val="•"/>
      <w:lvlJc w:val="left"/>
      <w:pPr>
        <w:ind w:left="1865" w:hanging="545"/>
      </w:pPr>
      <w:rPr>
        <w:rFonts w:hint="default"/>
      </w:rPr>
    </w:lvl>
    <w:lvl w:ilvl="3" w:tplc="EB04AFCA">
      <w:start w:val="1"/>
      <w:numFmt w:val="bullet"/>
      <w:lvlText w:val="•"/>
      <w:lvlJc w:val="left"/>
      <w:pPr>
        <w:ind w:left="2387" w:hanging="545"/>
      </w:pPr>
      <w:rPr>
        <w:rFonts w:hint="default"/>
      </w:rPr>
    </w:lvl>
    <w:lvl w:ilvl="4" w:tplc="6AE2CF60">
      <w:start w:val="1"/>
      <w:numFmt w:val="bullet"/>
      <w:lvlText w:val="•"/>
      <w:lvlJc w:val="left"/>
      <w:pPr>
        <w:ind w:left="2910" w:hanging="545"/>
      </w:pPr>
      <w:rPr>
        <w:rFonts w:hint="default"/>
      </w:rPr>
    </w:lvl>
    <w:lvl w:ilvl="5" w:tplc="3D868E9E">
      <w:start w:val="1"/>
      <w:numFmt w:val="bullet"/>
      <w:lvlText w:val="•"/>
      <w:lvlJc w:val="left"/>
      <w:pPr>
        <w:ind w:left="3432" w:hanging="545"/>
      </w:pPr>
      <w:rPr>
        <w:rFonts w:hint="default"/>
      </w:rPr>
    </w:lvl>
    <w:lvl w:ilvl="6" w:tplc="AAD6835C">
      <w:start w:val="1"/>
      <w:numFmt w:val="bullet"/>
      <w:lvlText w:val="•"/>
      <w:lvlJc w:val="left"/>
      <w:pPr>
        <w:ind w:left="3955" w:hanging="545"/>
      </w:pPr>
      <w:rPr>
        <w:rFonts w:hint="default"/>
      </w:rPr>
    </w:lvl>
    <w:lvl w:ilvl="7" w:tplc="F4060D40">
      <w:start w:val="1"/>
      <w:numFmt w:val="bullet"/>
      <w:lvlText w:val="•"/>
      <w:lvlJc w:val="left"/>
      <w:pPr>
        <w:ind w:left="4478" w:hanging="545"/>
      </w:pPr>
      <w:rPr>
        <w:rFonts w:hint="default"/>
      </w:rPr>
    </w:lvl>
    <w:lvl w:ilvl="8" w:tplc="CCE274E2">
      <w:start w:val="1"/>
      <w:numFmt w:val="bullet"/>
      <w:lvlText w:val="•"/>
      <w:lvlJc w:val="left"/>
      <w:pPr>
        <w:ind w:left="5000" w:hanging="545"/>
      </w:pPr>
      <w:rPr>
        <w:rFonts w:hint="default"/>
      </w:rPr>
    </w:lvl>
  </w:abstractNum>
  <w:abstractNum w:abstractNumId="29">
    <w:nsid w:val="3048792C"/>
    <w:multiLevelType w:val="hybridMultilevel"/>
    <w:tmpl w:val="A98A81B8"/>
    <w:lvl w:ilvl="0" w:tplc="DF06895A">
      <w:start w:val="1"/>
      <w:numFmt w:val="decimal"/>
      <w:lvlText w:val="%1."/>
      <w:lvlJc w:val="left"/>
      <w:pPr>
        <w:ind w:left="806" w:hanging="425"/>
        <w:jc w:val="left"/>
      </w:pPr>
      <w:rPr>
        <w:rFonts w:ascii="Arial" w:eastAsia="Arial" w:hAnsi="Arial" w:hint="default"/>
        <w:spacing w:val="-1"/>
        <w:sz w:val="22"/>
        <w:szCs w:val="22"/>
      </w:rPr>
    </w:lvl>
    <w:lvl w:ilvl="1" w:tplc="AFCA6F8A">
      <w:start w:val="1"/>
      <w:numFmt w:val="bullet"/>
      <w:lvlText w:val="•"/>
      <w:lvlJc w:val="left"/>
      <w:pPr>
        <w:ind w:left="1666" w:hanging="425"/>
      </w:pPr>
      <w:rPr>
        <w:rFonts w:hint="default"/>
      </w:rPr>
    </w:lvl>
    <w:lvl w:ilvl="2" w:tplc="5B60D8B0">
      <w:start w:val="1"/>
      <w:numFmt w:val="bullet"/>
      <w:lvlText w:val="•"/>
      <w:lvlJc w:val="left"/>
      <w:pPr>
        <w:ind w:left="2526" w:hanging="425"/>
      </w:pPr>
      <w:rPr>
        <w:rFonts w:hint="default"/>
      </w:rPr>
    </w:lvl>
    <w:lvl w:ilvl="3" w:tplc="5F908C8E">
      <w:start w:val="1"/>
      <w:numFmt w:val="bullet"/>
      <w:lvlText w:val="•"/>
      <w:lvlJc w:val="left"/>
      <w:pPr>
        <w:ind w:left="3386" w:hanging="425"/>
      </w:pPr>
      <w:rPr>
        <w:rFonts w:hint="default"/>
      </w:rPr>
    </w:lvl>
    <w:lvl w:ilvl="4" w:tplc="B454969E">
      <w:start w:val="1"/>
      <w:numFmt w:val="bullet"/>
      <w:lvlText w:val="•"/>
      <w:lvlJc w:val="left"/>
      <w:pPr>
        <w:ind w:left="4246" w:hanging="425"/>
      </w:pPr>
      <w:rPr>
        <w:rFonts w:hint="default"/>
      </w:rPr>
    </w:lvl>
    <w:lvl w:ilvl="5" w:tplc="BD388CAE">
      <w:start w:val="1"/>
      <w:numFmt w:val="bullet"/>
      <w:lvlText w:val="•"/>
      <w:lvlJc w:val="left"/>
      <w:pPr>
        <w:ind w:left="5106" w:hanging="425"/>
      </w:pPr>
      <w:rPr>
        <w:rFonts w:hint="default"/>
      </w:rPr>
    </w:lvl>
    <w:lvl w:ilvl="6" w:tplc="911ED1D0">
      <w:start w:val="1"/>
      <w:numFmt w:val="bullet"/>
      <w:lvlText w:val="•"/>
      <w:lvlJc w:val="left"/>
      <w:pPr>
        <w:ind w:left="5966" w:hanging="425"/>
      </w:pPr>
      <w:rPr>
        <w:rFonts w:hint="default"/>
      </w:rPr>
    </w:lvl>
    <w:lvl w:ilvl="7" w:tplc="BEE85810">
      <w:start w:val="1"/>
      <w:numFmt w:val="bullet"/>
      <w:lvlText w:val="•"/>
      <w:lvlJc w:val="left"/>
      <w:pPr>
        <w:ind w:left="6826" w:hanging="425"/>
      </w:pPr>
      <w:rPr>
        <w:rFonts w:hint="default"/>
      </w:rPr>
    </w:lvl>
    <w:lvl w:ilvl="8" w:tplc="B1E2C83E">
      <w:start w:val="1"/>
      <w:numFmt w:val="bullet"/>
      <w:lvlText w:val="•"/>
      <w:lvlJc w:val="left"/>
      <w:pPr>
        <w:ind w:left="7686" w:hanging="425"/>
      </w:pPr>
      <w:rPr>
        <w:rFonts w:hint="default"/>
      </w:rPr>
    </w:lvl>
  </w:abstractNum>
  <w:abstractNum w:abstractNumId="30">
    <w:nsid w:val="33760539"/>
    <w:multiLevelType w:val="hybridMultilevel"/>
    <w:tmpl w:val="24EA7AE4"/>
    <w:lvl w:ilvl="0" w:tplc="087A76E0">
      <w:start w:val="4"/>
      <w:numFmt w:val="lowerRoman"/>
      <w:lvlText w:val="%1)"/>
      <w:lvlJc w:val="left"/>
      <w:pPr>
        <w:ind w:left="1179" w:hanging="360"/>
        <w:jc w:val="left"/>
      </w:pPr>
      <w:rPr>
        <w:rFonts w:ascii="Arial" w:eastAsia="Arial" w:hAnsi="Arial" w:hint="default"/>
        <w:spacing w:val="-2"/>
        <w:sz w:val="22"/>
        <w:szCs w:val="22"/>
      </w:rPr>
    </w:lvl>
    <w:lvl w:ilvl="1" w:tplc="D30ABDE8">
      <w:start w:val="1"/>
      <w:numFmt w:val="bullet"/>
      <w:lvlText w:val="•"/>
      <w:lvlJc w:val="left"/>
      <w:pPr>
        <w:ind w:left="1655" w:hanging="360"/>
      </w:pPr>
      <w:rPr>
        <w:rFonts w:hint="default"/>
      </w:rPr>
    </w:lvl>
    <w:lvl w:ilvl="2" w:tplc="FD4E1EDA">
      <w:start w:val="1"/>
      <w:numFmt w:val="bullet"/>
      <w:lvlText w:val="•"/>
      <w:lvlJc w:val="left"/>
      <w:pPr>
        <w:ind w:left="2131" w:hanging="360"/>
      </w:pPr>
      <w:rPr>
        <w:rFonts w:hint="default"/>
      </w:rPr>
    </w:lvl>
    <w:lvl w:ilvl="3" w:tplc="1D3C0E6E">
      <w:start w:val="1"/>
      <w:numFmt w:val="bullet"/>
      <w:lvlText w:val="•"/>
      <w:lvlJc w:val="left"/>
      <w:pPr>
        <w:ind w:left="2607" w:hanging="360"/>
      </w:pPr>
      <w:rPr>
        <w:rFonts w:hint="default"/>
      </w:rPr>
    </w:lvl>
    <w:lvl w:ilvl="4" w:tplc="07C2EBF4">
      <w:start w:val="1"/>
      <w:numFmt w:val="bullet"/>
      <w:lvlText w:val="•"/>
      <w:lvlJc w:val="left"/>
      <w:pPr>
        <w:ind w:left="3083" w:hanging="360"/>
      </w:pPr>
      <w:rPr>
        <w:rFonts w:hint="default"/>
      </w:rPr>
    </w:lvl>
    <w:lvl w:ilvl="5" w:tplc="ADE22C1A">
      <w:start w:val="1"/>
      <w:numFmt w:val="bullet"/>
      <w:lvlText w:val="•"/>
      <w:lvlJc w:val="left"/>
      <w:pPr>
        <w:ind w:left="3558" w:hanging="360"/>
      </w:pPr>
      <w:rPr>
        <w:rFonts w:hint="default"/>
      </w:rPr>
    </w:lvl>
    <w:lvl w:ilvl="6" w:tplc="3E327430">
      <w:start w:val="1"/>
      <w:numFmt w:val="bullet"/>
      <w:lvlText w:val="•"/>
      <w:lvlJc w:val="left"/>
      <w:pPr>
        <w:ind w:left="4034" w:hanging="360"/>
      </w:pPr>
      <w:rPr>
        <w:rFonts w:hint="default"/>
      </w:rPr>
    </w:lvl>
    <w:lvl w:ilvl="7" w:tplc="F9B2BFC0">
      <w:start w:val="1"/>
      <w:numFmt w:val="bullet"/>
      <w:lvlText w:val="•"/>
      <w:lvlJc w:val="left"/>
      <w:pPr>
        <w:ind w:left="4510" w:hanging="360"/>
      </w:pPr>
      <w:rPr>
        <w:rFonts w:hint="default"/>
      </w:rPr>
    </w:lvl>
    <w:lvl w:ilvl="8" w:tplc="B45CBEF4">
      <w:start w:val="1"/>
      <w:numFmt w:val="bullet"/>
      <w:lvlText w:val="•"/>
      <w:lvlJc w:val="left"/>
      <w:pPr>
        <w:ind w:left="4986" w:hanging="360"/>
      </w:pPr>
      <w:rPr>
        <w:rFonts w:hint="default"/>
      </w:rPr>
    </w:lvl>
  </w:abstractNum>
  <w:abstractNum w:abstractNumId="31">
    <w:nsid w:val="37A1694A"/>
    <w:multiLevelType w:val="multilevel"/>
    <w:tmpl w:val="BC1AC6AC"/>
    <w:lvl w:ilvl="0">
      <w:start w:val="9"/>
      <w:numFmt w:val="decimal"/>
      <w:lvlText w:val="%1"/>
      <w:lvlJc w:val="left"/>
      <w:pPr>
        <w:ind w:left="828" w:hanging="360"/>
        <w:jc w:val="left"/>
      </w:pPr>
      <w:rPr>
        <w:rFonts w:hint="default"/>
      </w:rPr>
    </w:lvl>
    <w:lvl w:ilvl="1">
      <w:start w:val="2"/>
      <w:numFmt w:val="decimal"/>
      <w:lvlText w:val="%1.%2"/>
      <w:lvlJc w:val="left"/>
      <w:pPr>
        <w:ind w:left="828" w:hanging="360"/>
        <w:jc w:val="left"/>
      </w:pPr>
      <w:rPr>
        <w:rFonts w:ascii="Arial" w:eastAsia="Arial" w:hAnsi="Arial" w:hint="default"/>
        <w:spacing w:val="-1"/>
        <w:sz w:val="22"/>
        <w:szCs w:val="22"/>
      </w:rPr>
    </w:lvl>
    <w:lvl w:ilvl="2">
      <w:start w:val="2"/>
      <w:numFmt w:val="decimal"/>
      <w:lvlText w:val="%1.%2.%3"/>
      <w:lvlJc w:val="left"/>
      <w:pPr>
        <w:ind w:left="2026" w:hanging="994"/>
        <w:jc w:val="left"/>
      </w:pPr>
      <w:rPr>
        <w:rFonts w:ascii="Arial" w:eastAsia="Arial" w:hAnsi="Arial" w:hint="default"/>
        <w:spacing w:val="-1"/>
        <w:sz w:val="22"/>
        <w:szCs w:val="22"/>
      </w:rPr>
    </w:lvl>
    <w:lvl w:ilvl="3">
      <w:start w:val="1"/>
      <w:numFmt w:val="lowerLetter"/>
      <w:lvlText w:val="(%4)"/>
      <w:lvlJc w:val="left"/>
      <w:pPr>
        <w:ind w:left="2734" w:hanging="708"/>
        <w:jc w:val="left"/>
      </w:pPr>
      <w:rPr>
        <w:rFonts w:ascii="Arial" w:eastAsia="Arial" w:hAnsi="Arial" w:hint="default"/>
        <w:sz w:val="22"/>
        <w:szCs w:val="22"/>
      </w:rPr>
    </w:lvl>
    <w:lvl w:ilvl="4">
      <w:start w:val="1"/>
      <w:numFmt w:val="bullet"/>
      <w:lvlText w:val="•"/>
      <w:lvlJc w:val="left"/>
      <w:pPr>
        <w:ind w:left="4317" w:hanging="708"/>
      </w:pPr>
      <w:rPr>
        <w:rFonts w:hint="default"/>
      </w:rPr>
    </w:lvl>
    <w:lvl w:ilvl="5">
      <w:start w:val="1"/>
      <w:numFmt w:val="bullet"/>
      <w:lvlText w:val="•"/>
      <w:lvlJc w:val="left"/>
      <w:pPr>
        <w:ind w:left="5108" w:hanging="708"/>
      </w:pPr>
      <w:rPr>
        <w:rFonts w:hint="default"/>
      </w:rPr>
    </w:lvl>
    <w:lvl w:ilvl="6">
      <w:start w:val="1"/>
      <w:numFmt w:val="bullet"/>
      <w:lvlText w:val="•"/>
      <w:lvlJc w:val="left"/>
      <w:pPr>
        <w:ind w:left="5900" w:hanging="708"/>
      </w:pPr>
      <w:rPr>
        <w:rFonts w:hint="default"/>
      </w:rPr>
    </w:lvl>
    <w:lvl w:ilvl="7">
      <w:start w:val="1"/>
      <w:numFmt w:val="bullet"/>
      <w:lvlText w:val="•"/>
      <w:lvlJc w:val="left"/>
      <w:pPr>
        <w:ind w:left="6691" w:hanging="708"/>
      </w:pPr>
      <w:rPr>
        <w:rFonts w:hint="default"/>
      </w:rPr>
    </w:lvl>
    <w:lvl w:ilvl="8">
      <w:start w:val="1"/>
      <w:numFmt w:val="bullet"/>
      <w:lvlText w:val="•"/>
      <w:lvlJc w:val="left"/>
      <w:pPr>
        <w:ind w:left="7483" w:hanging="708"/>
      </w:pPr>
      <w:rPr>
        <w:rFonts w:hint="default"/>
      </w:rPr>
    </w:lvl>
  </w:abstractNum>
  <w:abstractNum w:abstractNumId="32">
    <w:nsid w:val="382108AE"/>
    <w:multiLevelType w:val="multilevel"/>
    <w:tmpl w:val="4A1C79D6"/>
    <w:lvl w:ilvl="0">
      <w:start w:val="9"/>
      <w:numFmt w:val="decimal"/>
      <w:lvlText w:val="%1."/>
      <w:lvlJc w:val="left"/>
      <w:pPr>
        <w:ind w:left="686" w:hanging="567"/>
        <w:jc w:val="left"/>
      </w:pPr>
      <w:rPr>
        <w:rFonts w:ascii="Times New Roman" w:eastAsia="Times New Roman" w:hAnsi="Times New Roman" w:hint="default"/>
        <w:spacing w:val="11"/>
        <w:sz w:val="22"/>
        <w:szCs w:val="22"/>
      </w:rPr>
    </w:lvl>
    <w:lvl w:ilvl="1">
      <w:start w:val="1"/>
      <w:numFmt w:val="decimal"/>
      <w:lvlText w:val="%1.%2"/>
      <w:lvlJc w:val="left"/>
      <w:pPr>
        <w:ind w:left="1232" w:hanging="565"/>
        <w:jc w:val="left"/>
      </w:pPr>
      <w:rPr>
        <w:rFonts w:ascii="Arial" w:eastAsia="Arial" w:hAnsi="Arial" w:hint="default"/>
        <w:spacing w:val="-1"/>
        <w:sz w:val="22"/>
        <w:szCs w:val="22"/>
      </w:rPr>
    </w:lvl>
    <w:lvl w:ilvl="2">
      <w:start w:val="1"/>
      <w:numFmt w:val="decimal"/>
      <w:lvlText w:val="%1.%2.%3"/>
      <w:lvlJc w:val="left"/>
      <w:pPr>
        <w:ind w:left="2226" w:hanging="994"/>
        <w:jc w:val="left"/>
      </w:pPr>
      <w:rPr>
        <w:rFonts w:ascii="Arial" w:eastAsia="Arial" w:hAnsi="Arial" w:hint="default"/>
        <w:spacing w:val="-1"/>
        <w:sz w:val="22"/>
        <w:szCs w:val="22"/>
      </w:rPr>
    </w:lvl>
    <w:lvl w:ilvl="3">
      <w:start w:val="1"/>
      <w:numFmt w:val="lowerLetter"/>
      <w:lvlText w:val="(%4)"/>
      <w:lvlJc w:val="left"/>
      <w:pPr>
        <w:ind w:left="2935" w:hanging="708"/>
        <w:jc w:val="left"/>
      </w:pPr>
      <w:rPr>
        <w:rFonts w:ascii="Arial" w:eastAsia="Arial" w:hAnsi="Arial" w:hint="default"/>
        <w:sz w:val="22"/>
        <w:szCs w:val="22"/>
      </w:rPr>
    </w:lvl>
    <w:lvl w:ilvl="4">
      <w:start w:val="1"/>
      <w:numFmt w:val="lowerRoman"/>
      <w:lvlText w:val="(%5)"/>
      <w:lvlJc w:val="left"/>
      <w:pPr>
        <w:ind w:left="3503" w:hanging="569"/>
        <w:jc w:val="left"/>
      </w:pPr>
      <w:rPr>
        <w:rFonts w:ascii="Arial" w:eastAsia="Arial" w:hAnsi="Arial" w:hint="default"/>
        <w:sz w:val="22"/>
        <w:szCs w:val="22"/>
      </w:rPr>
    </w:lvl>
    <w:lvl w:ilvl="5">
      <w:start w:val="1"/>
      <w:numFmt w:val="upperLetter"/>
      <w:lvlText w:val="(%6)"/>
      <w:lvlJc w:val="left"/>
      <w:pPr>
        <w:ind w:left="4012" w:hanging="708"/>
        <w:jc w:val="left"/>
      </w:pPr>
      <w:rPr>
        <w:rFonts w:ascii="Arial" w:eastAsia="Arial" w:hAnsi="Arial" w:hint="default"/>
        <w:sz w:val="22"/>
        <w:szCs w:val="22"/>
      </w:rPr>
    </w:lvl>
    <w:lvl w:ilvl="6">
      <w:start w:val="1"/>
      <w:numFmt w:val="bullet"/>
      <w:lvlText w:val="•"/>
      <w:lvlJc w:val="left"/>
      <w:pPr>
        <w:ind w:left="1028" w:hanging="708"/>
      </w:pPr>
      <w:rPr>
        <w:rFonts w:hint="default"/>
      </w:rPr>
    </w:lvl>
    <w:lvl w:ilvl="7">
      <w:start w:val="1"/>
      <w:numFmt w:val="bullet"/>
      <w:lvlText w:val="•"/>
      <w:lvlJc w:val="left"/>
      <w:pPr>
        <w:ind w:left="1028" w:hanging="708"/>
      </w:pPr>
      <w:rPr>
        <w:rFonts w:hint="default"/>
      </w:rPr>
    </w:lvl>
    <w:lvl w:ilvl="8">
      <w:start w:val="1"/>
      <w:numFmt w:val="bullet"/>
      <w:lvlText w:val="•"/>
      <w:lvlJc w:val="left"/>
      <w:pPr>
        <w:ind w:left="1028" w:hanging="708"/>
      </w:pPr>
      <w:rPr>
        <w:rFonts w:hint="default"/>
      </w:rPr>
    </w:lvl>
  </w:abstractNum>
  <w:abstractNum w:abstractNumId="33">
    <w:nsid w:val="3BB95F75"/>
    <w:multiLevelType w:val="hybridMultilevel"/>
    <w:tmpl w:val="99001D38"/>
    <w:lvl w:ilvl="0" w:tplc="58ECA688">
      <w:start w:val="1"/>
      <w:numFmt w:val="lowerLetter"/>
      <w:lvlText w:val="%1)"/>
      <w:lvlJc w:val="left"/>
      <w:pPr>
        <w:ind w:left="819" w:hanging="545"/>
        <w:jc w:val="left"/>
      </w:pPr>
      <w:rPr>
        <w:rFonts w:ascii="Arial" w:eastAsia="Arial" w:hAnsi="Arial" w:hint="default"/>
        <w:spacing w:val="-1"/>
        <w:sz w:val="22"/>
        <w:szCs w:val="22"/>
      </w:rPr>
    </w:lvl>
    <w:lvl w:ilvl="1" w:tplc="5E48633E">
      <w:start w:val="1"/>
      <w:numFmt w:val="bullet"/>
      <w:lvlText w:val="•"/>
      <w:lvlJc w:val="left"/>
      <w:pPr>
        <w:ind w:left="1331" w:hanging="545"/>
      </w:pPr>
      <w:rPr>
        <w:rFonts w:hint="default"/>
      </w:rPr>
    </w:lvl>
    <w:lvl w:ilvl="2" w:tplc="B73E69E2">
      <w:start w:val="1"/>
      <w:numFmt w:val="bullet"/>
      <w:lvlText w:val="•"/>
      <w:lvlJc w:val="left"/>
      <w:pPr>
        <w:ind w:left="1843" w:hanging="545"/>
      </w:pPr>
      <w:rPr>
        <w:rFonts w:hint="default"/>
      </w:rPr>
    </w:lvl>
    <w:lvl w:ilvl="3" w:tplc="7A9C4C16">
      <w:start w:val="1"/>
      <w:numFmt w:val="bullet"/>
      <w:lvlText w:val="•"/>
      <w:lvlJc w:val="left"/>
      <w:pPr>
        <w:ind w:left="2355" w:hanging="545"/>
      </w:pPr>
      <w:rPr>
        <w:rFonts w:hint="default"/>
      </w:rPr>
    </w:lvl>
    <w:lvl w:ilvl="4" w:tplc="4BD0CF38">
      <w:start w:val="1"/>
      <w:numFmt w:val="bullet"/>
      <w:lvlText w:val="•"/>
      <w:lvlJc w:val="left"/>
      <w:pPr>
        <w:ind w:left="2867" w:hanging="545"/>
      </w:pPr>
      <w:rPr>
        <w:rFonts w:hint="default"/>
      </w:rPr>
    </w:lvl>
    <w:lvl w:ilvl="5" w:tplc="1D4E817C">
      <w:start w:val="1"/>
      <w:numFmt w:val="bullet"/>
      <w:lvlText w:val="•"/>
      <w:lvlJc w:val="left"/>
      <w:pPr>
        <w:ind w:left="3378" w:hanging="545"/>
      </w:pPr>
      <w:rPr>
        <w:rFonts w:hint="default"/>
      </w:rPr>
    </w:lvl>
    <w:lvl w:ilvl="6" w:tplc="E806D77A">
      <w:start w:val="1"/>
      <w:numFmt w:val="bullet"/>
      <w:lvlText w:val="•"/>
      <w:lvlJc w:val="left"/>
      <w:pPr>
        <w:ind w:left="3890" w:hanging="545"/>
      </w:pPr>
      <w:rPr>
        <w:rFonts w:hint="default"/>
      </w:rPr>
    </w:lvl>
    <w:lvl w:ilvl="7" w:tplc="2242B5FE">
      <w:start w:val="1"/>
      <w:numFmt w:val="bullet"/>
      <w:lvlText w:val="•"/>
      <w:lvlJc w:val="left"/>
      <w:pPr>
        <w:ind w:left="4402" w:hanging="545"/>
      </w:pPr>
      <w:rPr>
        <w:rFonts w:hint="default"/>
      </w:rPr>
    </w:lvl>
    <w:lvl w:ilvl="8" w:tplc="6CD2190E">
      <w:start w:val="1"/>
      <w:numFmt w:val="bullet"/>
      <w:lvlText w:val="•"/>
      <w:lvlJc w:val="left"/>
      <w:pPr>
        <w:ind w:left="4914" w:hanging="545"/>
      </w:pPr>
      <w:rPr>
        <w:rFonts w:hint="default"/>
      </w:rPr>
    </w:lvl>
  </w:abstractNum>
  <w:abstractNum w:abstractNumId="34">
    <w:nsid w:val="3DFC2E51"/>
    <w:multiLevelType w:val="multilevel"/>
    <w:tmpl w:val="7A12876E"/>
    <w:lvl w:ilvl="0">
      <w:start w:val="1"/>
      <w:numFmt w:val="decimal"/>
      <w:lvlText w:val="%1."/>
      <w:lvlJc w:val="left"/>
      <w:pPr>
        <w:ind w:left="466" w:hanging="360"/>
        <w:jc w:val="left"/>
      </w:pPr>
      <w:rPr>
        <w:rFonts w:ascii="Times New Roman" w:eastAsia="Times New Roman" w:hAnsi="Times New Roman" w:hint="default"/>
        <w:spacing w:val="11"/>
        <w:sz w:val="22"/>
        <w:szCs w:val="22"/>
      </w:rPr>
    </w:lvl>
    <w:lvl w:ilvl="1">
      <w:start w:val="1"/>
      <w:numFmt w:val="decimal"/>
      <w:lvlText w:val="%1.%2"/>
      <w:lvlJc w:val="left"/>
      <w:pPr>
        <w:ind w:left="828" w:hanging="360"/>
        <w:jc w:val="right"/>
      </w:pPr>
      <w:rPr>
        <w:rFonts w:ascii="Arial" w:eastAsia="Arial" w:hAnsi="Arial" w:hint="default"/>
        <w:spacing w:val="-1"/>
        <w:sz w:val="22"/>
        <w:szCs w:val="22"/>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lowerLetter"/>
      <w:lvlText w:val="(%4)"/>
      <w:lvlJc w:val="left"/>
      <w:pPr>
        <w:ind w:left="2732" w:hanging="708"/>
        <w:jc w:val="left"/>
      </w:pPr>
      <w:rPr>
        <w:rFonts w:ascii="Arial" w:eastAsia="Arial" w:hAnsi="Arial" w:hint="default"/>
        <w:sz w:val="22"/>
        <w:szCs w:val="22"/>
      </w:rPr>
    </w:lvl>
    <w:lvl w:ilvl="4">
      <w:start w:val="1"/>
      <w:numFmt w:val="lowerRoman"/>
      <w:lvlText w:val="(%5)"/>
      <w:lvlJc w:val="left"/>
      <w:pPr>
        <w:ind w:left="3162" w:hanging="569"/>
        <w:jc w:val="left"/>
      </w:pPr>
      <w:rPr>
        <w:rFonts w:ascii="Arial" w:eastAsia="Arial" w:hAnsi="Arial" w:hint="default"/>
        <w:sz w:val="22"/>
        <w:szCs w:val="22"/>
      </w:rPr>
    </w:lvl>
    <w:lvl w:ilvl="5">
      <w:start w:val="1"/>
      <w:numFmt w:val="bullet"/>
      <w:lvlText w:val="•"/>
      <w:lvlJc w:val="left"/>
      <w:pPr>
        <w:ind w:left="1886" w:hanging="569"/>
      </w:pPr>
      <w:rPr>
        <w:rFonts w:hint="default"/>
      </w:rPr>
    </w:lvl>
    <w:lvl w:ilvl="6">
      <w:start w:val="1"/>
      <w:numFmt w:val="bullet"/>
      <w:lvlText w:val="•"/>
      <w:lvlJc w:val="left"/>
      <w:pPr>
        <w:ind w:left="1886" w:hanging="569"/>
      </w:pPr>
      <w:rPr>
        <w:rFonts w:hint="default"/>
      </w:rPr>
    </w:lvl>
    <w:lvl w:ilvl="7">
      <w:start w:val="1"/>
      <w:numFmt w:val="bullet"/>
      <w:lvlText w:val="•"/>
      <w:lvlJc w:val="left"/>
      <w:pPr>
        <w:ind w:left="1886" w:hanging="569"/>
      </w:pPr>
      <w:rPr>
        <w:rFonts w:hint="default"/>
      </w:rPr>
    </w:lvl>
    <w:lvl w:ilvl="8">
      <w:start w:val="1"/>
      <w:numFmt w:val="bullet"/>
      <w:lvlText w:val="•"/>
      <w:lvlJc w:val="left"/>
      <w:pPr>
        <w:ind w:left="1886" w:hanging="569"/>
      </w:pPr>
      <w:rPr>
        <w:rFonts w:hint="default"/>
      </w:rPr>
    </w:lvl>
  </w:abstractNum>
  <w:abstractNum w:abstractNumId="35">
    <w:nsid w:val="3E5F1075"/>
    <w:multiLevelType w:val="hybridMultilevel"/>
    <w:tmpl w:val="2AECE6A8"/>
    <w:lvl w:ilvl="0" w:tplc="7EAC2166">
      <w:start w:val="10"/>
      <w:numFmt w:val="lowerLetter"/>
      <w:lvlText w:val="(%1)"/>
      <w:lvlJc w:val="left"/>
      <w:pPr>
        <w:ind w:left="2934" w:hanging="708"/>
        <w:jc w:val="left"/>
      </w:pPr>
      <w:rPr>
        <w:rFonts w:ascii="Arial" w:eastAsia="Arial" w:hAnsi="Arial" w:hint="default"/>
        <w:sz w:val="22"/>
        <w:szCs w:val="22"/>
      </w:rPr>
    </w:lvl>
    <w:lvl w:ilvl="1" w:tplc="ABF44DF4">
      <w:start w:val="1"/>
      <w:numFmt w:val="bullet"/>
      <w:lvlText w:val="•"/>
      <w:lvlJc w:val="left"/>
      <w:pPr>
        <w:ind w:left="3567" w:hanging="708"/>
      </w:pPr>
      <w:rPr>
        <w:rFonts w:hint="default"/>
      </w:rPr>
    </w:lvl>
    <w:lvl w:ilvl="2" w:tplc="F998E624">
      <w:start w:val="1"/>
      <w:numFmt w:val="bullet"/>
      <w:lvlText w:val="•"/>
      <w:lvlJc w:val="left"/>
      <w:pPr>
        <w:ind w:left="4200" w:hanging="708"/>
      </w:pPr>
      <w:rPr>
        <w:rFonts w:hint="default"/>
      </w:rPr>
    </w:lvl>
    <w:lvl w:ilvl="3" w:tplc="B9F0D386">
      <w:start w:val="1"/>
      <w:numFmt w:val="bullet"/>
      <w:lvlText w:val="•"/>
      <w:lvlJc w:val="left"/>
      <w:pPr>
        <w:ind w:left="4833" w:hanging="708"/>
      </w:pPr>
      <w:rPr>
        <w:rFonts w:hint="default"/>
      </w:rPr>
    </w:lvl>
    <w:lvl w:ilvl="4" w:tplc="6C6AB6A6">
      <w:start w:val="1"/>
      <w:numFmt w:val="bullet"/>
      <w:lvlText w:val="•"/>
      <w:lvlJc w:val="left"/>
      <w:pPr>
        <w:ind w:left="5467" w:hanging="708"/>
      </w:pPr>
      <w:rPr>
        <w:rFonts w:hint="default"/>
      </w:rPr>
    </w:lvl>
    <w:lvl w:ilvl="5" w:tplc="878ED3A4">
      <w:start w:val="1"/>
      <w:numFmt w:val="bullet"/>
      <w:lvlText w:val="•"/>
      <w:lvlJc w:val="left"/>
      <w:pPr>
        <w:ind w:left="6100" w:hanging="708"/>
      </w:pPr>
      <w:rPr>
        <w:rFonts w:hint="default"/>
      </w:rPr>
    </w:lvl>
    <w:lvl w:ilvl="6" w:tplc="E6526F1E">
      <w:start w:val="1"/>
      <w:numFmt w:val="bullet"/>
      <w:lvlText w:val="•"/>
      <w:lvlJc w:val="left"/>
      <w:pPr>
        <w:ind w:left="6733" w:hanging="708"/>
      </w:pPr>
      <w:rPr>
        <w:rFonts w:hint="default"/>
      </w:rPr>
    </w:lvl>
    <w:lvl w:ilvl="7" w:tplc="2F5EA956">
      <w:start w:val="1"/>
      <w:numFmt w:val="bullet"/>
      <w:lvlText w:val="•"/>
      <w:lvlJc w:val="left"/>
      <w:pPr>
        <w:ind w:left="7366" w:hanging="708"/>
      </w:pPr>
      <w:rPr>
        <w:rFonts w:hint="default"/>
      </w:rPr>
    </w:lvl>
    <w:lvl w:ilvl="8" w:tplc="EA30B248">
      <w:start w:val="1"/>
      <w:numFmt w:val="bullet"/>
      <w:lvlText w:val="•"/>
      <w:lvlJc w:val="left"/>
      <w:pPr>
        <w:ind w:left="7999" w:hanging="708"/>
      </w:pPr>
      <w:rPr>
        <w:rFonts w:hint="default"/>
      </w:rPr>
    </w:lvl>
  </w:abstractNum>
  <w:abstractNum w:abstractNumId="36">
    <w:nsid w:val="403D23BC"/>
    <w:multiLevelType w:val="hybridMultilevel"/>
    <w:tmpl w:val="58367F18"/>
    <w:lvl w:ilvl="0" w:tplc="35F2D774">
      <w:start w:val="1"/>
      <w:numFmt w:val="lowerLetter"/>
      <w:lvlText w:val="%1)"/>
      <w:lvlJc w:val="left"/>
      <w:pPr>
        <w:ind w:left="819" w:hanging="545"/>
        <w:jc w:val="left"/>
      </w:pPr>
      <w:rPr>
        <w:rFonts w:ascii="Arial" w:eastAsia="Arial" w:hAnsi="Arial" w:hint="default"/>
        <w:spacing w:val="-1"/>
        <w:sz w:val="22"/>
        <w:szCs w:val="22"/>
      </w:rPr>
    </w:lvl>
    <w:lvl w:ilvl="1" w:tplc="F9BC2FF0">
      <w:start w:val="1"/>
      <w:numFmt w:val="lowerRoman"/>
      <w:lvlText w:val="%2)"/>
      <w:lvlJc w:val="left"/>
      <w:pPr>
        <w:ind w:left="1179" w:hanging="360"/>
        <w:jc w:val="left"/>
      </w:pPr>
      <w:rPr>
        <w:rFonts w:ascii="Arial" w:eastAsia="Arial" w:hAnsi="Arial" w:hint="default"/>
        <w:spacing w:val="-2"/>
        <w:sz w:val="22"/>
        <w:szCs w:val="22"/>
      </w:rPr>
    </w:lvl>
    <w:lvl w:ilvl="2" w:tplc="5A667020">
      <w:start w:val="1"/>
      <w:numFmt w:val="bullet"/>
      <w:lvlText w:val="•"/>
      <w:lvlJc w:val="left"/>
      <w:pPr>
        <w:ind w:left="1720" w:hanging="360"/>
      </w:pPr>
      <w:rPr>
        <w:rFonts w:hint="default"/>
      </w:rPr>
    </w:lvl>
    <w:lvl w:ilvl="3" w:tplc="F84C0840">
      <w:start w:val="1"/>
      <w:numFmt w:val="bullet"/>
      <w:lvlText w:val="•"/>
      <w:lvlJc w:val="left"/>
      <w:pPr>
        <w:ind w:left="2261" w:hanging="360"/>
      </w:pPr>
      <w:rPr>
        <w:rFonts w:hint="default"/>
      </w:rPr>
    </w:lvl>
    <w:lvl w:ilvl="4" w:tplc="DBBC5326">
      <w:start w:val="1"/>
      <w:numFmt w:val="bullet"/>
      <w:lvlText w:val="•"/>
      <w:lvlJc w:val="left"/>
      <w:pPr>
        <w:ind w:left="2801" w:hanging="360"/>
      </w:pPr>
      <w:rPr>
        <w:rFonts w:hint="default"/>
      </w:rPr>
    </w:lvl>
    <w:lvl w:ilvl="5" w:tplc="6334532E">
      <w:start w:val="1"/>
      <w:numFmt w:val="bullet"/>
      <w:lvlText w:val="•"/>
      <w:lvlJc w:val="left"/>
      <w:pPr>
        <w:ind w:left="3342" w:hanging="360"/>
      </w:pPr>
      <w:rPr>
        <w:rFonts w:hint="default"/>
      </w:rPr>
    </w:lvl>
    <w:lvl w:ilvl="6" w:tplc="940C3EF2">
      <w:start w:val="1"/>
      <w:numFmt w:val="bullet"/>
      <w:lvlText w:val="•"/>
      <w:lvlJc w:val="left"/>
      <w:pPr>
        <w:ind w:left="3883" w:hanging="360"/>
      </w:pPr>
      <w:rPr>
        <w:rFonts w:hint="default"/>
      </w:rPr>
    </w:lvl>
    <w:lvl w:ilvl="7" w:tplc="3F5E436C">
      <w:start w:val="1"/>
      <w:numFmt w:val="bullet"/>
      <w:lvlText w:val="•"/>
      <w:lvlJc w:val="left"/>
      <w:pPr>
        <w:ind w:left="4423" w:hanging="360"/>
      </w:pPr>
      <w:rPr>
        <w:rFonts w:hint="default"/>
      </w:rPr>
    </w:lvl>
    <w:lvl w:ilvl="8" w:tplc="E7869564">
      <w:start w:val="1"/>
      <w:numFmt w:val="bullet"/>
      <w:lvlText w:val="•"/>
      <w:lvlJc w:val="left"/>
      <w:pPr>
        <w:ind w:left="4964" w:hanging="360"/>
      </w:pPr>
      <w:rPr>
        <w:rFonts w:hint="default"/>
      </w:rPr>
    </w:lvl>
  </w:abstractNum>
  <w:abstractNum w:abstractNumId="37">
    <w:nsid w:val="429A5010"/>
    <w:multiLevelType w:val="multilevel"/>
    <w:tmpl w:val="0A8E412E"/>
    <w:lvl w:ilvl="0">
      <w:start w:val="1"/>
      <w:numFmt w:val="decimal"/>
      <w:lvlText w:val="%1."/>
      <w:lvlJc w:val="left"/>
      <w:pPr>
        <w:ind w:left="465" w:hanging="360"/>
        <w:jc w:val="left"/>
      </w:pPr>
      <w:rPr>
        <w:rFonts w:ascii="Times New Roman" w:eastAsia="Times New Roman" w:hAnsi="Times New Roman" w:hint="default"/>
        <w:spacing w:val="1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decimal"/>
      <w:lvlText w:val="%1.%2.%3"/>
      <w:lvlJc w:val="left"/>
      <w:pPr>
        <w:ind w:left="2025" w:hanging="994"/>
        <w:jc w:val="left"/>
      </w:pPr>
      <w:rPr>
        <w:rFonts w:ascii="Arial" w:eastAsia="Arial" w:hAnsi="Arial" w:hint="default"/>
        <w:spacing w:val="-1"/>
        <w:sz w:val="22"/>
        <w:szCs w:val="22"/>
      </w:rPr>
    </w:lvl>
    <w:lvl w:ilvl="3">
      <w:start w:val="1"/>
      <w:numFmt w:val="lowerLetter"/>
      <w:lvlText w:val="(%4)"/>
      <w:lvlJc w:val="left"/>
      <w:pPr>
        <w:ind w:left="2733" w:hanging="708"/>
        <w:jc w:val="left"/>
      </w:pPr>
      <w:rPr>
        <w:rFonts w:ascii="Arial" w:eastAsia="Arial" w:hAnsi="Arial" w:hint="default"/>
        <w:sz w:val="22"/>
        <w:szCs w:val="22"/>
      </w:rPr>
    </w:lvl>
    <w:lvl w:ilvl="4">
      <w:start w:val="1"/>
      <w:numFmt w:val="lowerRoman"/>
      <w:lvlText w:val="(%5)"/>
      <w:lvlJc w:val="left"/>
      <w:pPr>
        <w:ind w:left="3302" w:hanging="569"/>
        <w:jc w:val="left"/>
      </w:pPr>
      <w:rPr>
        <w:rFonts w:ascii="Arial" w:eastAsia="Arial" w:hAnsi="Arial" w:hint="default"/>
        <w:sz w:val="22"/>
        <w:szCs w:val="22"/>
      </w:rPr>
    </w:lvl>
    <w:lvl w:ilvl="5">
      <w:start w:val="1"/>
      <w:numFmt w:val="bullet"/>
      <w:lvlText w:val="•"/>
      <w:lvlJc w:val="left"/>
      <w:pPr>
        <w:ind w:left="828" w:hanging="569"/>
      </w:pPr>
      <w:rPr>
        <w:rFonts w:hint="default"/>
      </w:rPr>
    </w:lvl>
    <w:lvl w:ilvl="6">
      <w:start w:val="1"/>
      <w:numFmt w:val="bullet"/>
      <w:lvlText w:val="•"/>
      <w:lvlJc w:val="left"/>
      <w:pPr>
        <w:ind w:left="828" w:hanging="569"/>
      </w:pPr>
      <w:rPr>
        <w:rFonts w:hint="default"/>
      </w:rPr>
    </w:lvl>
    <w:lvl w:ilvl="7">
      <w:start w:val="1"/>
      <w:numFmt w:val="bullet"/>
      <w:lvlText w:val="•"/>
      <w:lvlJc w:val="left"/>
      <w:pPr>
        <w:ind w:left="828" w:hanging="569"/>
      </w:pPr>
      <w:rPr>
        <w:rFonts w:hint="default"/>
      </w:rPr>
    </w:lvl>
    <w:lvl w:ilvl="8">
      <w:start w:val="1"/>
      <w:numFmt w:val="bullet"/>
      <w:lvlText w:val="•"/>
      <w:lvlJc w:val="left"/>
      <w:pPr>
        <w:ind w:left="828" w:hanging="569"/>
      </w:pPr>
      <w:rPr>
        <w:rFonts w:hint="default"/>
      </w:rPr>
    </w:lvl>
  </w:abstractNum>
  <w:abstractNum w:abstractNumId="38">
    <w:nsid w:val="44541771"/>
    <w:multiLevelType w:val="multilevel"/>
    <w:tmpl w:val="14C88A1E"/>
    <w:lvl w:ilvl="0">
      <w:start w:val="1"/>
      <w:numFmt w:val="decimal"/>
      <w:lvlText w:val="%1."/>
      <w:lvlJc w:val="left"/>
      <w:pPr>
        <w:ind w:left="466" w:hanging="360"/>
        <w:jc w:val="left"/>
      </w:pPr>
      <w:rPr>
        <w:rFonts w:ascii="Times New Roman" w:eastAsia="Times New Roman" w:hAnsi="Times New Roman" w:hint="default"/>
        <w:spacing w:val="1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bullet"/>
      <w:lvlText w:val="•"/>
      <w:lvlJc w:val="left"/>
      <w:pPr>
        <w:ind w:left="828" w:hanging="994"/>
      </w:pPr>
      <w:rPr>
        <w:rFonts w:hint="default"/>
      </w:rPr>
    </w:lvl>
    <w:lvl w:ilvl="4">
      <w:start w:val="1"/>
      <w:numFmt w:val="bullet"/>
      <w:lvlText w:val="•"/>
      <w:lvlJc w:val="left"/>
      <w:pPr>
        <w:ind w:left="828" w:hanging="994"/>
      </w:pPr>
      <w:rPr>
        <w:rFonts w:hint="default"/>
      </w:rPr>
    </w:lvl>
    <w:lvl w:ilvl="5">
      <w:start w:val="1"/>
      <w:numFmt w:val="bullet"/>
      <w:lvlText w:val="•"/>
      <w:lvlJc w:val="left"/>
      <w:pPr>
        <w:ind w:left="828" w:hanging="994"/>
      </w:pPr>
      <w:rPr>
        <w:rFonts w:hint="default"/>
      </w:rPr>
    </w:lvl>
    <w:lvl w:ilvl="6">
      <w:start w:val="1"/>
      <w:numFmt w:val="bullet"/>
      <w:lvlText w:val="•"/>
      <w:lvlJc w:val="left"/>
      <w:pPr>
        <w:ind w:left="828" w:hanging="994"/>
      </w:pPr>
      <w:rPr>
        <w:rFonts w:hint="default"/>
      </w:rPr>
    </w:lvl>
    <w:lvl w:ilvl="7">
      <w:start w:val="1"/>
      <w:numFmt w:val="bullet"/>
      <w:lvlText w:val="•"/>
      <w:lvlJc w:val="left"/>
      <w:pPr>
        <w:ind w:left="828" w:hanging="994"/>
      </w:pPr>
      <w:rPr>
        <w:rFonts w:hint="default"/>
      </w:rPr>
    </w:lvl>
    <w:lvl w:ilvl="8">
      <w:start w:val="1"/>
      <w:numFmt w:val="bullet"/>
      <w:lvlText w:val="•"/>
      <w:lvlJc w:val="left"/>
      <w:pPr>
        <w:ind w:left="1886" w:hanging="994"/>
      </w:pPr>
      <w:rPr>
        <w:rFonts w:hint="default"/>
      </w:rPr>
    </w:lvl>
  </w:abstractNum>
  <w:abstractNum w:abstractNumId="39">
    <w:nsid w:val="44D975FA"/>
    <w:multiLevelType w:val="multilevel"/>
    <w:tmpl w:val="232E2238"/>
    <w:lvl w:ilvl="0">
      <w:start w:val="58"/>
      <w:numFmt w:val="decimal"/>
      <w:lvlText w:val="%1"/>
      <w:lvlJc w:val="left"/>
      <w:pPr>
        <w:ind w:left="2424" w:hanging="737"/>
        <w:jc w:val="left"/>
      </w:pPr>
      <w:rPr>
        <w:rFonts w:hint="default"/>
      </w:rPr>
    </w:lvl>
    <w:lvl w:ilvl="1">
      <w:start w:val="1"/>
      <w:numFmt w:val="decimal"/>
      <w:lvlText w:val="%1.%2."/>
      <w:lvlJc w:val="left"/>
      <w:pPr>
        <w:ind w:left="2424" w:hanging="737"/>
        <w:jc w:val="left"/>
      </w:pPr>
      <w:rPr>
        <w:rFonts w:ascii="Arial" w:eastAsia="Arial" w:hAnsi="Arial" w:hint="default"/>
        <w:spacing w:val="-1"/>
        <w:sz w:val="22"/>
        <w:szCs w:val="22"/>
      </w:rPr>
    </w:lvl>
    <w:lvl w:ilvl="2">
      <w:start w:val="1"/>
      <w:numFmt w:val="decimal"/>
      <w:lvlText w:val="%1.%2.%3."/>
      <w:lvlJc w:val="left"/>
      <w:pPr>
        <w:ind w:left="3163" w:hanging="852"/>
        <w:jc w:val="right"/>
      </w:pPr>
      <w:rPr>
        <w:rFonts w:ascii="Arial" w:eastAsia="Arial" w:hAnsi="Arial" w:hint="default"/>
        <w:spacing w:val="-1"/>
        <w:sz w:val="22"/>
        <w:szCs w:val="22"/>
      </w:rPr>
    </w:lvl>
    <w:lvl w:ilvl="3">
      <w:start w:val="1"/>
      <w:numFmt w:val="bullet"/>
      <w:lvlText w:val="•"/>
      <w:lvlJc w:val="left"/>
      <w:pPr>
        <w:ind w:left="4443" w:hanging="852"/>
      </w:pPr>
      <w:rPr>
        <w:rFonts w:hint="default"/>
      </w:rPr>
    </w:lvl>
    <w:lvl w:ilvl="4">
      <w:start w:val="1"/>
      <w:numFmt w:val="bullet"/>
      <w:lvlText w:val="•"/>
      <w:lvlJc w:val="left"/>
      <w:pPr>
        <w:ind w:left="5084" w:hanging="852"/>
      </w:pPr>
      <w:rPr>
        <w:rFonts w:hint="default"/>
      </w:rPr>
    </w:lvl>
    <w:lvl w:ilvl="5">
      <w:start w:val="1"/>
      <w:numFmt w:val="bullet"/>
      <w:lvlText w:val="•"/>
      <w:lvlJc w:val="left"/>
      <w:pPr>
        <w:ind w:left="5724" w:hanging="852"/>
      </w:pPr>
      <w:rPr>
        <w:rFonts w:hint="default"/>
      </w:rPr>
    </w:lvl>
    <w:lvl w:ilvl="6">
      <w:start w:val="1"/>
      <w:numFmt w:val="bullet"/>
      <w:lvlText w:val="•"/>
      <w:lvlJc w:val="left"/>
      <w:pPr>
        <w:ind w:left="6364" w:hanging="852"/>
      </w:pPr>
      <w:rPr>
        <w:rFonts w:hint="default"/>
      </w:rPr>
    </w:lvl>
    <w:lvl w:ilvl="7">
      <w:start w:val="1"/>
      <w:numFmt w:val="bullet"/>
      <w:lvlText w:val="•"/>
      <w:lvlJc w:val="left"/>
      <w:pPr>
        <w:ind w:left="7005" w:hanging="852"/>
      </w:pPr>
      <w:rPr>
        <w:rFonts w:hint="default"/>
      </w:rPr>
    </w:lvl>
    <w:lvl w:ilvl="8">
      <w:start w:val="1"/>
      <w:numFmt w:val="bullet"/>
      <w:lvlText w:val="•"/>
      <w:lvlJc w:val="left"/>
      <w:pPr>
        <w:ind w:left="7645" w:hanging="852"/>
      </w:pPr>
      <w:rPr>
        <w:rFonts w:hint="default"/>
      </w:rPr>
    </w:lvl>
  </w:abstractNum>
  <w:abstractNum w:abstractNumId="40">
    <w:nsid w:val="457014E4"/>
    <w:multiLevelType w:val="multilevel"/>
    <w:tmpl w:val="244CBE66"/>
    <w:lvl w:ilvl="0">
      <w:start w:val="2"/>
      <w:numFmt w:val="decimal"/>
      <w:lvlText w:val="%1"/>
      <w:lvlJc w:val="left"/>
      <w:pPr>
        <w:ind w:left="2026" w:hanging="994"/>
        <w:jc w:val="left"/>
      </w:pPr>
      <w:rPr>
        <w:rFonts w:hint="default"/>
      </w:rPr>
    </w:lvl>
    <w:lvl w:ilvl="1">
      <w:start w:val="2"/>
      <w:numFmt w:val="decimal"/>
      <w:lvlText w:val="%1.%2"/>
      <w:lvlJc w:val="left"/>
      <w:pPr>
        <w:ind w:left="2026" w:hanging="994"/>
        <w:jc w:val="left"/>
      </w:pPr>
      <w:rPr>
        <w:rFonts w:hint="default"/>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bullet"/>
      <w:lvlText w:val="•"/>
      <w:lvlJc w:val="left"/>
      <w:pPr>
        <w:ind w:left="4138" w:hanging="994"/>
      </w:pPr>
      <w:rPr>
        <w:rFonts w:hint="default"/>
      </w:rPr>
    </w:lvl>
    <w:lvl w:ilvl="4">
      <w:start w:val="1"/>
      <w:numFmt w:val="bullet"/>
      <w:lvlText w:val="•"/>
      <w:lvlJc w:val="left"/>
      <w:pPr>
        <w:ind w:left="4842" w:hanging="994"/>
      </w:pPr>
      <w:rPr>
        <w:rFonts w:hint="default"/>
      </w:rPr>
    </w:lvl>
    <w:lvl w:ilvl="5">
      <w:start w:val="1"/>
      <w:numFmt w:val="bullet"/>
      <w:lvlText w:val="•"/>
      <w:lvlJc w:val="left"/>
      <w:pPr>
        <w:ind w:left="5546" w:hanging="994"/>
      </w:pPr>
      <w:rPr>
        <w:rFonts w:hint="default"/>
      </w:rPr>
    </w:lvl>
    <w:lvl w:ilvl="6">
      <w:start w:val="1"/>
      <w:numFmt w:val="bullet"/>
      <w:lvlText w:val="•"/>
      <w:lvlJc w:val="left"/>
      <w:pPr>
        <w:ind w:left="6250" w:hanging="994"/>
      </w:pPr>
      <w:rPr>
        <w:rFonts w:hint="default"/>
      </w:rPr>
    </w:lvl>
    <w:lvl w:ilvl="7">
      <w:start w:val="1"/>
      <w:numFmt w:val="bullet"/>
      <w:lvlText w:val="•"/>
      <w:lvlJc w:val="left"/>
      <w:pPr>
        <w:ind w:left="6954" w:hanging="994"/>
      </w:pPr>
      <w:rPr>
        <w:rFonts w:hint="default"/>
      </w:rPr>
    </w:lvl>
    <w:lvl w:ilvl="8">
      <w:start w:val="1"/>
      <w:numFmt w:val="bullet"/>
      <w:lvlText w:val="•"/>
      <w:lvlJc w:val="left"/>
      <w:pPr>
        <w:ind w:left="7658" w:hanging="994"/>
      </w:pPr>
      <w:rPr>
        <w:rFonts w:hint="default"/>
      </w:rPr>
    </w:lvl>
  </w:abstractNum>
  <w:abstractNum w:abstractNumId="41">
    <w:nsid w:val="48616EFC"/>
    <w:multiLevelType w:val="hybridMultilevel"/>
    <w:tmpl w:val="37F62090"/>
    <w:lvl w:ilvl="0" w:tplc="99CCA19E">
      <w:start w:val="1"/>
      <w:numFmt w:val="lowerLetter"/>
      <w:lvlText w:val="%1)"/>
      <w:lvlJc w:val="left"/>
      <w:pPr>
        <w:ind w:left="819" w:hanging="545"/>
        <w:jc w:val="left"/>
      </w:pPr>
      <w:rPr>
        <w:rFonts w:ascii="Arial" w:eastAsia="Arial" w:hAnsi="Arial" w:hint="default"/>
        <w:spacing w:val="-1"/>
        <w:sz w:val="22"/>
        <w:szCs w:val="22"/>
      </w:rPr>
    </w:lvl>
    <w:lvl w:ilvl="1" w:tplc="C34243A4">
      <w:start w:val="1"/>
      <w:numFmt w:val="bullet"/>
      <w:lvlText w:val="•"/>
      <w:lvlJc w:val="left"/>
      <w:pPr>
        <w:ind w:left="1342" w:hanging="545"/>
      </w:pPr>
      <w:rPr>
        <w:rFonts w:hint="default"/>
      </w:rPr>
    </w:lvl>
    <w:lvl w:ilvl="2" w:tplc="4CB2A946">
      <w:start w:val="1"/>
      <w:numFmt w:val="bullet"/>
      <w:lvlText w:val="•"/>
      <w:lvlJc w:val="left"/>
      <w:pPr>
        <w:ind w:left="1865" w:hanging="545"/>
      </w:pPr>
      <w:rPr>
        <w:rFonts w:hint="default"/>
      </w:rPr>
    </w:lvl>
    <w:lvl w:ilvl="3" w:tplc="7A42CDCC">
      <w:start w:val="1"/>
      <w:numFmt w:val="bullet"/>
      <w:lvlText w:val="•"/>
      <w:lvlJc w:val="left"/>
      <w:pPr>
        <w:ind w:left="2387" w:hanging="545"/>
      </w:pPr>
      <w:rPr>
        <w:rFonts w:hint="default"/>
      </w:rPr>
    </w:lvl>
    <w:lvl w:ilvl="4" w:tplc="B9347C1E">
      <w:start w:val="1"/>
      <w:numFmt w:val="bullet"/>
      <w:lvlText w:val="•"/>
      <w:lvlJc w:val="left"/>
      <w:pPr>
        <w:ind w:left="2910" w:hanging="545"/>
      </w:pPr>
      <w:rPr>
        <w:rFonts w:hint="default"/>
      </w:rPr>
    </w:lvl>
    <w:lvl w:ilvl="5" w:tplc="0214F82E">
      <w:start w:val="1"/>
      <w:numFmt w:val="bullet"/>
      <w:lvlText w:val="•"/>
      <w:lvlJc w:val="left"/>
      <w:pPr>
        <w:ind w:left="3432" w:hanging="545"/>
      </w:pPr>
      <w:rPr>
        <w:rFonts w:hint="default"/>
      </w:rPr>
    </w:lvl>
    <w:lvl w:ilvl="6" w:tplc="7F6A98F6">
      <w:start w:val="1"/>
      <w:numFmt w:val="bullet"/>
      <w:lvlText w:val="•"/>
      <w:lvlJc w:val="left"/>
      <w:pPr>
        <w:ind w:left="3955" w:hanging="545"/>
      </w:pPr>
      <w:rPr>
        <w:rFonts w:hint="default"/>
      </w:rPr>
    </w:lvl>
    <w:lvl w:ilvl="7" w:tplc="9BEE6042">
      <w:start w:val="1"/>
      <w:numFmt w:val="bullet"/>
      <w:lvlText w:val="•"/>
      <w:lvlJc w:val="left"/>
      <w:pPr>
        <w:ind w:left="4478" w:hanging="545"/>
      </w:pPr>
      <w:rPr>
        <w:rFonts w:hint="default"/>
      </w:rPr>
    </w:lvl>
    <w:lvl w:ilvl="8" w:tplc="3C90BBE0">
      <w:start w:val="1"/>
      <w:numFmt w:val="bullet"/>
      <w:lvlText w:val="•"/>
      <w:lvlJc w:val="left"/>
      <w:pPr>
        <w:ind w:left="5000" w:hanging="545"/>
      </w:pPr>
      <w:rPr>
        <w:rFonts w:hint="default"/>
      </w:rPr>
    </w:lvl>
  </w:abstractNum>
  <w:abstractNum w:abstractNumId="42">
    <w:nsid w:val="498A7795"/>
    <w:multiLevelType w:val="hybridMultilevel"/>
    <w:tmpl w:val="9F749DFA"/>
    <w:lvl w:ilvl="0" w:tplc="1D189840">
      <w:start w:val="5"/>
      <w:numFmt w:val="decimal"/>
      <w:lvlText w:val="%1."/>
      <w:lvlJc w:val="left"/>
      <w:pPr>
        <w:ind w:left="971" w:hanging="588"/>
        <w:jc w:val="left"/>
      </w:pPr>
      <w:rPr>
        <w:rFonts w:ascii="Arial" w:eastAsia="Arial" w:hAnsi="Arial" w:hint="default"/>
        <w:b/>
        <w:bCs/>
        <w:spacing w:val="-1"/>
        <w:sz w:val="22"/>
        <w:szCs w:val="22"/>
      </w:rPr>
    </w:lvl>
    <w:lvl w:ilvl="1" w:tplc="68A4D292">
      <w:start w:val="1"/>
      <w:numFmt w:val="bullet"/>
      <w:lvlText w:val="•"/>
      <w:lvlJc w:val="left"/>
      <w:pPr>
        <w:ind w:left="1804" w:hanging="588"/>
      </w:pPr>
      <w:rPr>
        <w:rFonts w:hint="default"/>
      </w:rPr>
    </w:lvl>
    <w:lvl w:ilvl="2" w:tplc="A29E3252">
      <w:start w:val="1"/>
      <w:numFmt w:val="bullet"/>
      <w:lvlText w:val="•"/>
      <w:lvlJc w:val="left"/>
      <w:pPr>
        <w:ind w:left="2638" w:hanging="588"/>
      </w:pPr>
      <w:rPr>
        <w:rFonts w:hint="default"/>
      </w:rPr>
    </w:lvl>
    <w:lvl w:ilvl="3" w:tplc="D38E7A6C">
      <w:start w:val="1"/>
      <w:numFmt w:val="bullet"/>
      <w:lvlText w:val="•"/>
      <w:lvlJc w:val="left"/>
      <w:pPr>
        <w:ind w:left="3471" w:hanging="588"/>
      </w:pPr>
      <w:rPr>
        <w:rFonts w:hint="default"/>
      </w:rPr>
    </w:lvl>
    <w:lvl w:ilvl="4" w:tplc="F6B62FB8">
      <w:start w:val="1"/>
      <w:numFmt w:val="bullet"/>
      <w:lvlText w:val="•"/>
      <w:lvlJc w:val="left"/>
      <w:pPr>
        <w:ind w:left="4305" w:hanging="588"/>
      </w:pPr>
      <w:rPr>
        <w:rFonts w:hint="default"/>
      </w:rPr>
    </w:lvl>
    <w:lvl w:ilvl="5" w:tplc="2BC44962">
      <w:start w:val="1"/>
      <w:numFmt w:val="bullet"/>
      <w:lvlText w:val="•"/>
      <w:lvlJc w:val="left"/>
      <w:pPr>
        <w:ind w:left="5138" w:hanging="588"/>
      </w:pPr>
      <w:rPr>
        <w:rFonts w:hint="default"/>
      </w:rPr>
    </w:lvl>
    <w:lvl w:ilvl="6" w:tplc="AF526FA0">
      <w:start w:val="1"/>
      <w:numFmt w:val="bullet"/>
      <w:lvlText w:val="•"/>
      <w:lvlJc w:val="left"/>
      <w:pPr>
        <w:ind w:left="5972" w:hanging="588"/>
      </w:pPr>
      <w:rPr>
        <w:rFonts w:hint="default"/>
      </w:rPr>
    </w:lvl>
    <w:lvl w:ilvl="7" w:tplc="D85CFE68">
      <w:start w:val="1"/>
      <w:numFmt w:val="bullet"/>
      <w:lvlText w:val="•"/>
      <w:lvlJc w:val="left"/>
      <w:pPr>
        <w:ind w:left="6805" w:hanging="588"/>
      </w:pPr>
      <w:rPr>
        <w:rFonts w:hint="default"/>
      </w:rPr>
    </w:lvl>
    <w:lvl w:ilvl="8" w:tplc="6AB04C48">
      <w:start w:val="1"/>
      <w:numFmt w:val="bullet"/>
      <w:lvlText w:val="•"/>
      <w:lvlJc w:val="left"/>
      <w:pPr>
        <w:ind w:left="7639" w:hanging="588"/>
      </w:pPr>
      <w:rPr>
        <w:rFonts w:hint="default"/>
      </w:rPr>
    </w:lvl>
  </w:abstractNum>
  <w:abstractNum w:abstractNumId="43">
    <w:nsid w:val="4A991FF6"/>
    <w:multiLevelType w:val="hybridMultilevel"/>
    <w:tmpl w:val="BD66AD70"/>
    <w:lvl w:ilvl="0" w:tplc="2854A6C6">
      <w:start w:val="1"/>
      <w:numFmt w:val="lowerLetter"/>
      <w:lvlText w:val="%1)"/>
      <w:lvlJc w:val="left"/>
      <w:pPr>
        <w:ind w:left="819" w:hanging="545"/>
        <w:jc w:val="left"/>
      </w:pPr>
      <w:rPr>
        <w:rFonts w:ascii="Arial" w:eastAsia="Arial" w:hAnsi="Arial" w:hint="default"/>
        <w:spacing w:val="-1"/>
        <w:sz w:val="22"/>
        <w:szCs w:val="22"/>
      </w:rPr>
    </w:lvl>
    <w:lvl w:ilvl="1" w:tplc="718A4382">
      <w:start w:val="1"/>
      <w:numFmt w:val="bullet"/>
      <w:lvlText w:val="•"/>
      <w:lvlJc w:val="left"/>
      <w:pPr>
        <w:ind w:left="1331" w:hanging="545"/>
      </w:pPr>
      <w:rPr>
        <w:rFonts w:hint="default"/>
      </w:rPr>
    </w:lvl>
    <w:lvl w:ilvl="2" w:tplc="28442390">
      <w:start w:val="1"/>
      <w:numFmt w:val="bullet"/>
      <w:lvlText w:val="•"/>
      <w:lvlJc w:val="left"/>
      <w:pPr>
        <w:ind w:left="1843" w:hanging="545"/>
      </w:pPr>
      <w:rPr>
        <w:rFonts w:hint="default"/>
      </w:rPr>
    </w:lvl>
    <w:lvl w:ilvl="3" w:tplc="A2900210">
      <w:start w:val="1"/>
      <w:numFmt w:val="bullet"/>
      <w:lvlText w:val="•"/>
      <w:lvlJc w:val="left"/>
      <w:pPr>
        <w:ind w:left="2355" w:hanging="545"/>
      </w:pPr>
      <w:rPr>
        <w:rFonts w:hint="default"/>
      </w:rPr>
    </w:lvl>
    <w:lvl w:ilvl="4" w:tplc="8E26AB50">
      <w:start w:val="1"/>
      <w:numFmt w:val="bullet"/>
      <w:lvlText w:val="•"/>
      <w:lvlJc w:val="left"/>
      <w:pPr>
        <w:ind w:left="2867" w:hanging="545"/>
      </w:pPr>
      <w:rPr>
        <w:rFonts w:hint="default"/>
      </w:rPr>
    </w:lvl>
    <w:lvl w:ilvl="5" w:tplc="B2366BBA">
      <w:start w:val="1"/>
      <w:numFmt w:val="bullet"/>
      <w:lvlText w:val="•"/>
      <w:lvlJc w:val="left"/>
      <w:pPr>
        <w:ind w:left="3378" w:hanging="545"/>
      </w:pPr>
      <w:rPr>
        <w:rFonts w:hint="default"/>
      </w:rPr>
    </w:lvl>
    <w:lvl w:ilvl="6" w:tplc="23FCF350">
      <w:start w:val="1"/>
      <w:numFmt w:val="bullet"/>
      <w:lvlText w:val="•"/>
      <w:lvlJc w:val="left"/>
      <w:pPr>
        <w:ind w:left="3890" w:hanging="545"/>
      </w:pPr>
      <w:rPr>
        <w:rFonts w:hint="default"/>
      </w:rPr>
    </w:lvl>
    <w:lvl w:ilvl="7" w:tplc="D8F239F2">
      <w:start w:val="1"/>
      <w:numFmt w:val="bullet"/>
      <w:lvlText w:val="•"/>
      <w:lvlJc w:val="left"/>
      <w:pPr>
        <w:ind w:left="4402" w:hanging="545"/>
      </w:pPr>
      <w:rPr>
        <w:rFonts w:hint="default"/>
      </w:rPr>
    </w:lvl>
    <w:lvl w:ilvl="8" w:tplc="663C98BE">
      <w:start w:val="1"/>
      <w:numFmt w:val="bullet"/>
      <w:lvlText w:val="•"/>
      <w:lvlJc w:val="left"/>
      <w:pPr>
        <w:ind w:left="4914" w:hanging="545"/>
      </w:pPr>
      <w:rPr>
        <w:rFonts w:hint="default"/>
      </w:rPr>
    </w:lvl>
  </w:abstractNum>
  <w:abstractNum w:abstractNumId="44">
    <w:nsid w:val="4BDC0667"/>
    <w:multiLevelType w:val="multilevel"/>
    <w:tmpl w:val="E648E0DE"/>
    <w:lvl w:ilvl="0">
      <w:start w:val="1"/>
      <w:numFmt w:val="decimal"/>
      <w:lvlText w:val="%1."/>
      <w:lvlJc w:val="left"/>
      <w:pPr>
        <w:ind w:left="666" w:hanging="360"/>
        <w:jc w:val="right"/>
      </w:pPr>
      <w:rPr>
        <w:rFonts w:ascii="Times New Roman" w:eastAsia="Times New Roman" w:hAnsi="Times New Roman" w:hint="default"/>
        <w:spacing w:val="11"/>
        <w:sz w:val="22"/>
        <w:szCs w:val="22"/>
      </w:rPr>
    </w:lvl>
    <w:lvl w:ilvl="1">
      <w:start w:val="1"/>
      <w:numFmt w:val="decimal"/>
      <w:lvlText w:val="%1.%2"/>
      <w:lvlJc w:val="left"/>
      <w:pPr>
        <w:ind w:left="1028" w:hanging="360"/>
        <w:jc w:val="left"/>
      </w:pPr>
      <w:rPr>
        <w:rFonts w:ascii="Arial" w:eastAsia="Arial" w:hAnsi="Arial" w:hint="default"/>
        <w:spacing w:val="-1"/>
        <w:sz w:val="22"/>
        <w:szCs w:val="22"/>
      </w:rPr>
    </w:lvl>
    <w:lvl w:ilvl="2">
      <w:start w:val="1"/>
      <w:numFmt w:val="decimal"/>
      <w:lvlText w:val="%1.%2.%3"/>
      <w:lvlJc w:val="left"/>
      <w:pPr>
        <w:ind w:left="2226" w:hanging="994"/>
        <w:jc w:val="left"/>
      </w:pPr>
      <w:rPr>
        <w:rFonts w:ascii="Arial" w:eastAsia="Arial" w:hAnsi="Arial" w:hint="default"/>
        <w:spacing w:val="-1"/>
        <w:sz w:val="22"/>
        <w:szCs w:val="22"/>
      </w:rPr>
    </w:lvl>
    <w:lvl w:ilvl="3">
      <w:start w:val="1"/>
      <w:numFmt w:val="lowerLetter"/>
      <w:lvlText w:val="(%4)"/>
      <w:lvlJc w:val="left"/>
      <w:pPr>
        <w:ind w:left="2734" w:hanging="708"/>
        <w:jc w:val="left"/>
      </w:pPr>
      <w:rPr>
        <w:rFonts w:ascii="Arial" w:eastAsia="Arial" w:hAnsi="Arial" w:hint="default"/>
        <w:sz w:val="22"/>
        <w:szCs w:val="22"/>
      </w:rPr>
    </w:lvl>
    <w:lvl w:ilvl="4">
      <w:start w:val="1"/>
      <w:numFmt w:val="bullet"/>
      <w:lvlText w:val="•"/>
      <w:lvlJc w:val="left"/>
      <w:pPr>
        <w:ind w:left="828" w:hanging="708"/>
      </w:pPr>
      <w:rPr>
        <w:rFonts w:hint="default"/>
      </w:rPr>
    </w:lvl>
    <w:lvl w:ilvl="5">
      <w:start w:val="1"/>
      <w:numFmt w:val="bullet"/>
      <w:lvlText w:val="•"/>
      <w:lvlJc w:val="left"/>
      <w:pPr>
        <w:ind w:left="828" w:hanging="708"/>
      </w:pPr>
      <w:rPr>
        <w:rFonts w:hint="default"/>
      </w:rPr>
    </w:lvl>
    <w:lvl w:ilvl="6">
      <w:start w:val="1"/>
      <w:numFmt w:val="bullet"/>
      <w:lvlText w:val="•"/>
      <w:lvlJc w:val="left"/>
      <w:pPr>
        <w:ind w:left="828" w:hanging="708"/>
      </w:pPr>
      <w:rPr>
        <w:rFonts w:hint="default"/>
      </w:rPr>
    </w:lvl>
    <w:lvl w:ilvl="7">
      <w:start w:val="1"/>
      <w:numFmt w:val="bullet"/>
      <w:lvlText w:val="•"/>
      <w:lvlJc w:val="left"/>
      <w:pPr>
        <w:ind w:left="828" w:hanging="708"/>
      </w:pPr>
      <w:rPr>
        <w:rFonts w:hint="default"/>
      </w:rPr>
    </w:lvl>
    <w:lvl w:ilvl="8">
      <w:start w:val="1"/>
      <w:numFmt w:val="bullet"/>
      <w:lvlText w:val="•"/>
      <w:lvlJc w:val="left"/>
      <w:pPr>
        <w:ind w:left="828" w:hanging="708"/>
      </w:pPr>
      <w:rPr>
        <w:rFonts w:hint="default"/>
      </w:rPr>
    </w:lvl>
  </w:abstractNum>
  <w:abstractNum w:abstractNumId="45">
    <w:nsid w:val="4D4769BA"/>
    <w:multiLevelType w:val="hybridMultilevel"/>
    <w:tmpl w:val="90D4803A"/>
    <w:lvl w:ilvl="0" w:tplc="A84C1174">
      <w:start w:val="1"/>
      <w:numFmt w:val="lowerLetter"/>
      <w:lvlText w:val="%1)"/>
      <w:lvlJc w:val="left"/>
      <w:pPr>
        <w:ind w:left="819" w:hanging="545"/>
        <w:jc w:val="left"/>
      </w:pPr>
      <w:rPr>
        <w:rFonts w:ascii="Arial" w:eastAsia="Arial" w:hAnsi="Arial" w:hint="default"/>
        <w:spacing w:val="-1"/>
        <w:sz w:val="22"/>
        <w:szCs w:val="22"/>
      </w:rPr>
    </w:lvl>
    <w:lvl w:ilvl="1" w:tplc="0E4A843E">
      <w:start w:val="1"/>
      <w:numFmt w:val="bullet"/>
      <w:lvlText w:val="•"/>
      <w:lvlJc w:val="left"/>
      <w:pPr>
        <w:ind w:left="1342" w:hanging="545"/>
      </w:pPr>
      <w:rPr>
        <w:rFonts w:hint="default"/>
      </w:rPr>
    </w:lvl>
    <w:lvl w:ilvl="2" w:tplc="D9005182">
      <w:start w:val="1"/>
      <w:numFmt w:val="bullet"/>
      <w:lvlText w:val="•"/>
      <w:lvlJc w:val="left"/>
      <w:pPr>
        <w:ind w:left="1864" w:hanging="545"/>
      </w:pPr>
      <w:rPr>
        <w:rFonts w:hint="default"/>
      </w:rPr>
    </w:lvl>
    <w:lvl w:ilvl="3" w:tplc="535A09C4">
      <w:start w:val="1"/>
      <w:numFmt w:val="bullet"/>
      <w:lvlText w:val="•"/>
      <w:lvlJc w:val="left"/>
      <w:pPr>
        <w:ind w:left="2387" w:hanging="545"/>
      </w:pPr>
      <w:rPr>
        <w:rFonts w:hint="default"/>
      </w:rPr>
    </w:lvl>
    <w:lvl w:ilvl="4" w:tplc="E9EA4DF4">
      <w:start w:val="1"/>
      <w:numFmt w:val="bullet"/>
      <w:lvlText w:val="•"/>
      <w:lvlJc w:val="left"/>
      <w:pPr>
        <w:ind w:left="2910" w:hanging="545"/>
      </w:pPr>
      <w:rPr>
        <w:rFonts w:hint="default"/>
      </w:rPr>
    </w:lvl>
    <w:lvl w:ilvl="5" w:tplc="EF8A2DEE">
      <w:start w:val="1"/>
      <w:numFmt w:val="bullet"/>
      <w:lvlText w:val="•"/>
      <w:lvlJc w:val="left"/>
      <w:pPr>
        <w:ind w:left="3432" w:hanging="545"/>
      </w:pPr>
      <w:rPr>
        <w:rFonts w:hint="default"/>
      </w:rPr>
    </w:lvl>
    <w:lvl w:ilvl="6" w:tplc="773006AC">
      <w:start w:val="1"/>
      <w:numFmt w:val="bullet"/>
      <w:lvlText w:val="•"/>
      <w:lvlJc w:val="left"/>
      <w:pPr>
        <w:ind w:left="3955" w:hanging="545"/>
      </w:pPr>
      <w:rPr>
        <w:rFonts w:hint="default"/>
      </w:rPr>
    </w:lvl>
    <w:lvl w:ilvl="7" w:tplc="60FE6DDE">
      <w:start w:val="1"/>
      <w:numFmt w:val="bullet"/>
      <w:lvlText w:val="•"/>
      <w:lvlJc w:val="left"/>
      <w:pPr>
        <w:ind w:left="4478" w:hanging="545"/>
      </w:pPr>
      <w:rPr>
        <w:rFonts w:hint="default"/>
      </w:rPr>
    </w:lvl>
    <w:lvl w:ilvl="8" w:tplc="5A920766">
      <w:start w:val="1"/>
      <w:numFmt w:val="bullet"/>
      <w:lvlText w:val="•"/>
      <w:lvlJc w:val="left"/>
      <w:pPr>
        <w:ind w:left="5000" w:hanging="545"/>
      </w:pPr>
      <w:rPr>
        <w:rFonts w:hint="default"/>
      </w:rPr>
    </w:lvl>
  </w:abstractNum>
  <w:abstractNum w:abstractNumId="46">
    <w:nsid w:val="4DA16D50"/>
    <w:multiLevelType w:val="multilevel"/>
    <w:tmpl w:val="5BAEB192"/>
    <w:lvl w:ilvl="0">
      <w:start w:val="2"/>
      <w:numFmt w:val="decimal"/>
      <w:lvlText w:val="%1."/>
      <w:lvlJc w:val="left"/>
      <w:pPr>
        <w:ind w:left="466" w:hanging="360"/>
        <w:jc w:val="left"/>
      </w:pPr>
      <w:rPr>
        <w:rFonts w:ascii="Arial" w:eastAsia="Arial" w:hAnsi="Arial" w:hint="default"/>
        <w:b/>
        <w:bCs/>
        <w:spacing w:val="-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bullet"/>
      <w:lvlText w:val="•"/>
      <w:lvlJc w:val="left"/>
      <w:pPr>
        <w:ind w:left="2906" w:hanging="994"/>
      </w:pPr>
      <w:rPr>
        <w:rFonts w:hint="default"/>
      </w:rPr>
    </w:lvl>
    <w:lvl w:ilvl="4">
      <w:start w:val="1"/>
      <w:numFmt w:val="bullet"/>
      <w:lvlText w:val="•"/>
      <w:lvlJc w:val="left"/>
      <w:pPr>
        <w:ind w:left="3786" w:hanging="994"/>
      </w:pPr>
      <w:rPr>
        <w:rFonts w:hint="default"/>
      </w:rPr>
    </w:lvl>
    <w:lvl w:ilvl="5">
      <w:start w:val="1"/>
      <w:numFmt w:val="bullet"/>
      <w:lvlText w:val="•"/>
      <w:lvlJc w:val="left"/>
      <w:pPr>
        <w:ind w:left="4666" w:hanging="994"/>
      </w:pPr>
      <w:rPr>
        <w:rFonts w:hint="default"/>
      </w:rPr>
    </w:lvl>
    <w:lvl w:ilvl="6">
      <w:start w:val="1"/>
      <w:numFmt w:val="bullet"/>
      <w:lvlText w:val="•"/>
      <w:lvlJc w:val="left"/>
      <w:pPr>
        <w:ind w:left="5546" w:hanging="994"/>
      </w:pPr>
      <w:rPr>
        <w:rFonts w:hint="default"/>
      </w:rPr>
    </w:lvl>
    <w:lvl w:ilvl="7">
      <w:start w:val="1"/>
      <w:numFmt w:val="bullet"/>
      <w:lvlText w:val="•"/>
      <w:lvlJc w:val="left"/>
      <w:pPr>
        <w:ind w:left="6426" w:hanging="994"/>
      </w:pPr>
      <w:rPr>
        <w:rFonts w:hint="default"/>
      </w:rPr>
    </w:lvl>
    <w:lvl w:ilvl="8">
      <w:start w:val="1"/>
      <w:numFmt w:val="bullet"/>
      <w:lvlText w:val="•"/>
      <w:lvlJc w:val="left"/>
      <w:pPr>
        <w:ind w:left="7306" w:hanging="994"/>
      </w:pPr>
      <w:rPr>
        <w:rFonts w:hint="default"/>
      </w:rPr>
    </w:lvl>
  </w:abstractNum>
  <w:abstractNum w:abstractNumId="47">
    <w:nsid w:val="4DE16376"/>
    <w:multiLevelType w:val="multilevel"/>
    <w:tmpl w:val="D78EE6EE"/>
    <w:lvl w:ilvl="0">
      <w:start w:val="9"/>
      <w:numFmt w:val="decimal"/>
      <w:lvlText w:val="%1"/>
      <w:lvlJc w:val="left"/>
      <w:pPr>
        <w:ind w:left="1048" w:hanging="360"/>
        <w:jc w:val="left"/>
      </w:pPr>
      <w:rPr>
        <w:rFonts w:hint="default"/>
      </w:rPr>
    </w:lvl>
    <w:lvl w:ilvl="1">
      <w:start w:val="1"/>
      <w:numFmt w:val="decimal"/>
      <w:lvlText w:val="%1.%2"/>
      <w:lvlJc w:val="left"/>
      <w:pPr>
        <w:ind w:left="1048" w:hanging="360"/>
        <w:jc w:val="right"/>
      </w:pPr>
      <w:rPr>
        <w:rFonts w:ascii="Arial" w:eastAsia="Arial" w:hAnsi="Arial" w:hint="default"/>
        <w:spacing w:val="-1"/>
        <w:sz w:val="22"/>
        <w:szCs w:val="22"/>
      </w:rPr>
    </w:lvl>
    <w:lvl w:ilvl="2">
      <w:start w:val="1"/>
      <w:numFmt w:val="decimal"/>
      <w:lvlText w:val="%1.%2.%3"/>
      <w:lvlJc w:val="left"/>
      <w:pPr>
        <w:ind w:left="2246" w:hanging="994"/>
        <w:jc w:val="left"/>
      </w:pPr>
      <w:rPr>
        <w:rFonts w:ascii="Arial" w:eastAsia="Arial" w:hAnsi="Arial" w:hint="default"/>
        <w:spacing w:val="-1"/>
        <w:sz w:val="22"/>
        <w:szCs w:val="22"/>
      </w:rPr>
    </w:lvl>
    <w:lvl w:ilvl="3">
      <w:start w:val="1"/>
      <w:numFmt w:val="lowerLetter"/>
      <w:lvlText w:val="(%4)"/>
      <w:lvlJc w:val="left"/>
      <w:pPr>
        <w:ind w:left="2593" w:hanging="708"/>
        <w:jc w:val="left"/>
      </w:pPr>
      <w:rPr>
        <w:rFonts w:ascii="Arial" w:eastAsia="Arial" w:hAnsi="Arial" w:hint="default"/>
        <w:sz w:val="22"/>
        <w:szCs w:val="22"/>
      </w:rPr>
    </w:lvl>
    <w:lvl w:ilvl="4">
      <w:start w:val="1"/>
      <w:numFmt w:val="bullet"/>
      <w:lvlText w:val="•"/>
      <w:lvlJc w:val="left"/>
      <w:pPr>
        <w:ind w:left="1886" w:hanging="708"/>
      </w:pPr>
      <w:rPr>
        <w:rFonts w:hint="default"/>
      </w:rPr>
    </w:lvl>
    <w:lvl w:ilvl="5">
      <w:start w:val="1"/>
      <w:numFmt w:val="bullet"/>
      <w:lvlText w:val="•"/>
      <w:lvlJc w:val="left"/>
      <w:pPr>
        <w:ind w:left="1886" w:hanging="708"/>
      </w:pPr>
      <w:rPr>
        <w:rFonts w:hint="default"/>
      </w:rPr>
    </w:lvl>
    <w:lvl w:ilvl="6">
      <w:start w:val="1"/>
      <w:numFmt w:val="bullet"/>
      <w:lvlText w:val="•"/>
      <w:lvlJc w:val="left"/>
      <w:pPr>
        <w:ind w:left="1886" w:hanging="708"/>
      </w:pPr>
      <w:rPr>
        <w:rFonts w:hint="default"/>
      </w:rPr>
    </w:lvl>
    <w:lvl w:ilvl="7">
      <w:start w:val="1"/>
      <w:numFmt w:val="bullet"/>
      <w:lvlText w:val="•"/>
      <w:lvlJc w:val="left"/>
      <w:pPr>
        <w:ind w:left="2246" w:hanging="708"/>
      </w:pPr>
      <w:rPr>
        <w:rFonts w:hint="default"/>
      </w:rPr>
    </w:lvl>
    <w:lvl w:ilvl="8">
      <w:start w:val="1"/>
      <w:numFmt w:val="bullet"/>
      <w:lvlText w:val="•"/>
      <w:lvlJc w:val="left"/>
      <w:pPr>
        <w:ind w:left="2246" w:hanging="708"/>
      </w:pPr>
      <w:rPr>
        <w:rFonts w:hint="default"/>
      </w:rPr>
    </w:lvl>
  </w:abstractNum>
  <w:abstractNum w:abstractNumId="48">
    <w:nsid w:val="4E3D36CB"/>
    <w:multiLevelType w:val="hybridMultilevel"/>
    <w:tmpl w:val="7A20AB20"/>
    <w:lvl w:ilvl="0" w:tplc="8B444634">
      <w:start w:val="1"/>
      <w:numFmt w:val="lowerLetter"/>
      <w:lvlText w:val="%1)"/>
      <w:lvlJc w:val="left"/>
      <w:pPr>
        <w:ind w:left="819" w:hanging="545"/>
        <w:jc w:val="left"/>
      </w:pPr>
      <w:rPr>
        <w:rFonts w:ascii="Arial" w:eastAsia="Arial" w:hAnsi="Arial" w:hint="default"/>
        <w:spacing w:val="-1"/>
        <w:sz w:val="22"/>
        <w:szCs w:val="22"/>
      </w:rPr>
    </w:lvl>
    <w:lvl w:ilvl="1" w:tplc="8F4CF2BA">
      <w:start w:val="1"/>
      <w:numFmt w:val="lowerRoman"/>
      <w:lvlText w:val="%2)"/>
      <w:lvlJc w:val="left"/>
      <w:pPr>
        <w:ind w:left="1179" w:hanging="360"/>
        <w:jc w:val="left"/>
      </w:pPr>
      <w:rPr>
        <w:rFonts w:ascii="Arial" w:eastAsia="Arial" w:hAnsi="Arial" w:hint="default"/>
        <w:spacing w:val="-2"/>
        <w:sz w:val="22"/>
        <w:szCs w:val="22"/>
      </w:rPr>
    </w:lvl>
    <w:lvl w:ilvl="2" w:tplc="6F14ECD8">
      <w:start w:val="1"/>
      <w:numFmt w:val="bullet"/>
      <w:lvlText w:val="•"/>
      <w:lvlJc w:val="left"/>
      <w:pPr>
        <w:ind w:left="1720" w:hanging="360"/>
      </w:pPr>
      <w:rPr>
        <w:rFonts w:hint="default"/>
      </w:rPr>
    </w:lvl>
    <w:lvl w:ilvl="3" w:tplc="C646E994">
      <w:start w:val="1"/>
      <w:numFmt w:val="bullet"/>
      <w:lvlText w:val="•"/>
      <w:lvlJc w:val="left"/>
      <w:pPr>
        <w:ind w:left="2261" w:hanging="360"/>
      </w:pPr>
      <w:rPr>
        <w:rFonts w:hint="default"/>
      </w:rPr>
    </w:lvl>
    <w:lvl w:ilvl="4" w:tplc="90D24568">
      <w:start w:val="1"/>
      <w:numFmt w:val="bullet"/>
      <w:lvlText w:val="•"/>
      <w:lvlJc w:val="left"/>
      <w:pPr>
        <w:ind w:left="2801" w:hanging="360"/>
      </w:pPr>
      <w:rPr>
        <w:rFonts w:hint="default"/>
      </w:rPr>
    </w:lvl>
    <w:lvl w:ilvl="5" w:tplc="F94A4296">
      <w:start w:val="1"/>
      <w:numFmt w:val="bullet"/>
      <w:lvlText w:val="•"/>
      <w:lvlJc w:val="left"/>
      <w:pPr>
        <w:ind w:left="3342" w:hanging="360"/>
      </w:pPr>
      <w:rPr>
        <w:rFonts w:hint="default"/>
      </w:rPr>
    </w:lvl>
    <w:lvl w:ilvl="6" w:tplc="DA9AFC7A">
      <w:start w:val="1"/>
      <w:numFmt w:val="bullet"/>
      <w:lvlText w:val="•"/>
      <w:lvlJc w:val="left"/>
      <w:pPr>
        <w:ind w:left="3883" w:hanging="360"/>
      </w:pPr>
      <w:rPr>
        <w:rFonts w:hint="default"/>
      </w:rPr>
    </w:lvl>
    <w:lvl w:ilvl="7" w:tplc="8F5401AC">
      <w:start w:val="1"/>
      <w:numFmt w:val="bullet"/>
      <w:lvlText w:val="•"/>
      <w:lvlJc w:val="left"/>
      <w:pPr>
        <w:ind w:left="4423" w:hanging="360"/>
      </w:pPr>
      <w:rPr>
        <w:rFonts w:hint="default"/>
      </w:rPr>
    </w:lvl>
    <w:lvl w:ilvl="8" w:tplc="7F8C9E40">
      <w:start w:val="1"/>
      <w:numFmt w:val="bullet"/>
      <w:lvlText w:val="•"/>
      <w:lvlJc w:val="left"/>
      <w:pPr>
        <w:ind w:left="4964" w:hanging="360"/>
      </w:pPr>
      <w:rPr>
        <w:rFonts w:hint="default"/>
      </w:rPr>
    </w:lvl>
  </w:abstractNum>
  <w:abstractNum w:abstractNumId="49">
    <w:nsid w:val="51016B74"/>
    <w:multiLevelType w:val="multilevel"/>
    <w:tmpl w:val="FC644AC8"/>
    <w:lvl w:ilvl="0">
      <w:start w:val="1"/>
      <w:numFmt w:val="decimal"/>
      <w:lvlText w:val="%1."/>
      <w:lvlJc w:val="left"/>
      <w:pPr>
        <w:ind w:left="666" w:hanging="360"/>
        <w:jc w:val="right"/>
      </w:pPr>
      <w:rPr>
        <w:rFonts w:ascii="Times New Roman" w:eastAsia="Times New Roman" w:hAnsi="Times New Roman" w:hint="default"/>
        <w:spacing w:val="11"/>
        <w:sz w:val="22"/>
        <w:szCs w:val="22"/>
      </w:rPr>
    </w:lvl>
    <w:lvl w:ilvl="1">
      <w:start w:val="1"/>
      <w:numFmt w:val="decimal"/>
      <w:lvlText w:val="%1.%2"/>
      <w:lvlJc w:val="left"/>
      <w:pPr>
        <w:ind w:left="828" w:hanging="360"/>
        <w:jc w:val="left"/>
      </w:pPr>
      <w:rPr>
        <w:rFonts w:ascii="Arial" w:eastAsia="Arial" w:hAnsi="Arial" w:hint="default"/>
        <w:spacing w:val="-1"/>
        <w:sz w:val="22"/>
        <w:szCs w:val="22"/>
      </w:rPr>
    </w:lvl>
    <w:lvl w:ilvl="2">
      <w:start w:val="1"/>
      <w:numFmt w:val="decimal"/>
      <w:lvlText w:val="%1.%2.%3"/>
      <w:lvlJc w:val="left"/>
      <w:pPr>
        <w:ind w:left="2026" w:hanging="994"/>
        <w:jc w:val="left"/>
      </w:pPr>
      <w:rPr>
        <w:rFonts w:ascii="Arial" w:eastAsia="Arial" w:hAnsi="Arial" w:hint="default"/>
        <w:spacing w:val="-1"/>
        <w:sz w:val="22"/>
        <w:szCs w:val="22"/>
      </w:rPr>
    </w:lvl>
    <w:lvl w:ilvl="3">
      <w:start w:val="1"/>
      <w:numFmt w:val="lowerLetter"/>
      <w:lvlText w:val="(%4)"/>
      <w:lvlJc w:val="left"/>
      <w:pPr>
        <w:ind w:left="2734" w:hanging="708"/>
        <w:jc w:val="left"/>
      </w:pPr>
      <w:rPr>
        <w:rFonts w:ascii="Arial" w:eastAsia="Arial" w:hAnsi="Arial" w:hint="default"/>
        <w:sz w:val="22"/>
        <w:szCs w:val="22"/>
      </w:rPr>
    </w:lvl>
    <w:lvl w:ilvl="4">
      <w:start w:val="1"/>
      <w:numFmt w:val="bullet"/>
      <w:lvlText w:val="•"/>
      <w:lvlJc w:val="left"/>
      <w:pPr>
        <w:ind w:left="828" w:hanging="708"/>
      </w:pPr>
      <w:rPr>
        <w:rFonts w:hint="default"/>
      </w:rPr>
    </w:lvl>
    <w:lvl w:ilvl="5">
      <w:start w:val="1"/>
      <w:numFmt w:val="bullet"/>
      <w:lvlText w:val="•"/>
      <w:lvlJc w:val="left"/>
      <w:pPr>
        <w:ind w:left="828" w:hanging="708"/>
      </w:pPr>
      <w:rPr>
        <w:rFonts w:hint="default"/>
      </w:rPr>
    </w:lvl>
    <w:lvl w:ilvl="6">
      <w:start w:val="1"/>
      <w:numFmt w:val="bullet"/>
      <w:lvlText w:val="•"/>
      <w:lvlJc w:val="left"/>
      <w:pPr>
        <w:ind w:left="828" w:hanging="708"/>
      </w:pPr>
      <w:rPr>
        <w:rFonts w:hint="default"/>
      </w:rPr>
    </w:lvl>
    <w:lvl w:ilvl="7">
      <w:start w:val="1"/>
      <w:numFmt w:val="bullet"/>
      <w:lvlText w:val="•"/>
      <w:lvlJc w:val="left"/>
      <w:pPr>
        <w:ind w:left="1028" w:hanging="708"/>
      </w:pPr>
      <w:rPr>
        <w:rFonts w:hint="default"/>
      </w:rPr>
    </w:lvl>
    <w:lvl w:ilvl="8">
      <w:start w:val="1"/>
      <w:numFmt w:val="bullet"/>
      <w:lvlText w:val="•"/>
      <w:lvlJc w:val="left"/>
      <w:pPr>
        <w:ind w:left="1885" w:hanging="708"/>
      </w:pPr>
      <w:rPr>
        <w:rFonts w:hint="default"/>
      </w:rPr>
    </w:lvl>
  </w:abstractNum>
  <w:abstractNum w:abstractNumId="50">
    <w:nsid w:val="51020AA8"/>
    <w:multiLevelType w:val="hybridMultilevel"/>
    <w:tmpl w:val="1B7CC890"/>
    <w:lvl w:ilvl="0" w:tplc="B246AD2A">
      <w:start w:val="1"/>
      <w:numFmt w:val="lowerRoman"/>
      <w:lvlText w:val="(%1)"/>
      <w:lvlJc w:val="left"/>
      <w:pPr>
        <w:ind w:left="3502" w:hanging="569"/>
        <w:jc w:val="left"/>
      </w:pPr>
      <w:rPr>
        <w:rFonts w:ascii="Arial" w:eastAsia="Arial" w:hAnsi="Arial" w:hint="default"/>
        <w:sz w:val="22"/>
        <w:szCs w:val="22"/>
      </w:rPr>
    </w:lvl>
    <w:lvl w:ilvl="1" w:tplc="B366E914">
      <w:start w:val="1"/>
      <w:numFmt w:val="bullet"/>
      <w:lvlText w:val="•"/>
      <w:lvlJc w:val="left"/>
      <w:pPr>
        <w:ind w:left="4079" w:hanging="569"/>
      </w:pPr>
      <w:rPr>
        <w:rFonts w:hint="default"/>
      </w:rPr>
    </w:lvl>
    <w:lvl w:ilvl="2" w:tplc="54A48BC8">
      <w:start w:val="1"/>
      <w:numFmt w:val="bullet"/>
      <w:lvlText w:val="•"/>
      <w:lvlJc w:val="left"/>
      <w:pPr>
        <w:ind w:left="4655" w:hanging="569"/>
      </w:pPr>
      <w:rPr>
        <w:rFonts w:hint="default"/>
      </w:rPr>
    </w:lvl>
    <w:lvl w:ilvl="3" w:tplc="EA4280F6">
      <w:start w:val="1"/>
      <w:numFmt w:val="bullet"/>
      <w:lvlText w:val="•"/>
      <w:lvlJc w:val="left"/>
      <w:pPr>
        <w:ind w:left="5231" w:hanging="569"/>
      </w:pPr>
      <w:rPr>
        <w:rFonts w:hint="default"/>
      </w:rPr>
    </w:lvl>
    <w:lvl w:ilvl="4" w:tplc="D57ECD48">
      <w:start w:val="1"/>
      <w:numFmt w:val="bullet"/>
      <w:lvlText w:val="•"/>
      <w:lvlJc w:val="left"/>
      <w:pPr>
        <w:ind w:left="5808" w:hanging="569"/>
      </w:pPr>
      <w:rPr>
        <w:rFonts w:hint="default"/>
      </w:rPr>
    </w:lvl>
    <w:lvl w:ilvl="5" w:tplc="F2483F90">
      <w:start w:val="1"/>
      <w:numFmt w:val="bullet"/>
      <w:lvlText w:val="•"/>
      <w:lvlJc w:val="left"/>
      <w:pPr>
        <w:ind w:left="6384" w:hanging="569"/>
      </w:pPr>
      <w:rPr>
        <w:rFonts w:hint="default"/>
      </w:rPr>
    </w:lvl>
    <w:lvl w:ilvl="6" w:tplc="C474453E">
      <w:start w:val="1"/>
      <w:numFmt w:val="bullet"/>
      <w:lvlText w:val="•"/>
      <w:lvlJc w:val="left"/>
      <w:pPr>
        <w:ind w:left="6960" w:hanging="569"/>
      </w:pPr>
      <w:rPr>
        <w:rFonts w:hint="default"/>
      </w:rPr>
    </w:lvl>
    <w:lvl w:ilvl="7" w:tplc="B2AA95A0">
      <w:start w:val="1"/>
      <w:numFmt w:val="bullet"/>
      <w:lvlText w:val="•"/>
      <w:lvlJc w:val="left"/>
      <w:pPr>
        <w:ind w:left="7537" w:hanging="569"/>
      </w:pPr>
      <w:rPr>
        <w:rFonts w:hint="default"/>
      </w:rPr>
    </w:lvl>
    <w:lvl w:ilvl="8" w:tplc="B3BCD562">
      <w:start w:val="1"/>
      <w:numFmt w:val="bullet"/>
      <w:lvlText w:val="•"/>
      <w:lvlJc w:val="left"/>
      <w:pPr>
        <w:ind w:left="8113" w:hanging="569"/>
      </w:pPr>
      <w:rPr>
        <w:rFonts w:hint="default"/>
      </w:rPr>
    </w:lvl>
  </w:abstractNum>
  <w:abstractNum w:abstractNumId="51">
    <w:nsid w:val="51805952"/>
    <w:multiLevelType w:val="hybridMultilevel"/>
    <w:tmpl w:val="EE6066B0"/>
    <w:lvl w:ilvl="0" w:tplc="0E2878CC">
      <w:start w:val="1"/>
      <w:numFmt w:val="lowerLetter"/>
      <w:lvlText w:val="%1)"/>
      <w:lvlJc w:val="left"/>
      <w:pPr>
        <w:ind w:left="819" w:hanging="545"/>
        <w:jc w:val="left"/>
      </w:pPr>
      <w:rPr>
        <w:rFonts w:ascii="Arial" w:eastAsia="Arial" w:hAnsi="Arial" w:hint="default"/>
        <w:spacing w:val="-1"/>
        <w:sz w:val="22"/>
        <w:szCs w:val="22"/>
      </w:rPr>
    </w:lvl>
    <w:lvl w:ilvl="1" w:tplc="CA129386">
      <w:start w:val="1"/>
      <w:numFmt w:val="bullet"/>
      <w:lvlText w:val="•"/>
      <w:lvlJc w:val="left"/>
      <w:pPr>
        <w:ind w:left="1342" w:hanging="545"/>
      </w:pPr>
      <w:rPr>
        <w:rFonts w:hint="default"/>
      </w:rPr>
    </w:lvl>
    <w:lvl w:ilvl="2" w:tplc="23D62DC8">
      <w:start w:val="1"/>
      <w:numFmt w:val="bullet"/>
      <w:lvlText w:val="•"/>
      <w:lvlJc w:val="left"/>
      <w:pPr>
        <w:ind w:left="1864" w:hanging="545"/>
      </w:pPr>
      <w:rPr>
        <w:rFonts w:hint="default"/>
      </w:rPr>
    </w:lvl>
    <w:lvl w:ilvl="3" w:tplc="9B082CF4">
      <w:start w:val="1"/>
      <w:numFmt w:val="bullet"/>
      <w:lvlText w:val="•"/>
      <w:lvlJc w:val="left"/>
      <w:pPr>
        <w:ind w:left="2387" w:hanging="545"/>
      </w:pPr>
      <w:rPr>
        <w:rFonts w:hint="default"/>
      </w:rPr>
    </w:lvl>
    <w:lvl w:ilvl="4" w:tplc="D234CEA4">
      <w:start w:val="1"/>
      <w:numFmt w:val="bullet"/>
      <w:lvlText w:val="•"/>
      <w:lvlJc w:val="left"/>
      <w:pPr>
        <w:ind w:left="2910" w:hanging="545"/>
      </w:pPr>
      <w:rPr>
        <w:rFonts w:hint="default"/>
      </w:rPr>
    </w:lvl>
    <w:lvl w:ilvl="5" w:tplc="E53A5F3A">
      <w:start w:val="1"/>
      <w:numFmt w:val="bullet"/>
      <w:lvlText w:val="•"/>
      <w:lvlJc w:val="left"/>
      <w:pPr>
        <w:ind w:left="3432" w:hanging="545"/>
      </w:pPr>
      <w:rPr>
        <w:rFonts w:hint="default"/>
      </w:rPr>
    </w:lvl>
    <w:lvl w:ilvl="6" w:tplc="B35C7300">
      <w:start w:val="1"/>
      <w:numFmt w:val="bullet"/>
      <w:lvlText w:val="•"/>
      <w:lvlJc w:val="left"/>
      <w:pPr>
        <w:ind w:left="3955" w:hanging="545"/>
      </w:pPr>
      <w:rPr>
        <w:rFonts w:hint="default"/>
      </w:rPr>
    </w:lvl>
    <w:lvl w:ilvl="7" w:tplc="272E6060">
      <w:start w:val="1"/>
      <w:numFmt w:val="bullet"/>
      <w:lvlText w:val="•"/>
      <w:lvlJc w:val="left"/>
      <w:pPr>
        <w:ind w:left="4478" w:hanging="545"/>
      </w:pPr>
      <w:rPr>
        <w:rFonts w:hint="default"/>
      </w:rPr>
    </w:lvl>
    <w:lvl w:ilvl="8" w:tplc="C9DEE240">
      <w:start w:val="1"/>
      <w:numFmt w:val="bullet"/>
      <w:lvlText w:val="•"/>
      <w:lvlJc w:val="left"/>
      <w:pPr>
        <w:ind w:left="5000" w:hanging="545"/>
      </w:pPr>
      <w:rPr>
        <w:rFonts w:hint="default"/>
      </w:rPr>
    </w:lvl>
  </w:abstractNum>
  <w:abstractNum w:abstractNumId="52">
    <w:nsid w:val="51BF651C"/>
    <w:multiLevelType w:val="hybridMultilevel"/>
    <w:tmpl w:val="5E78B904"/>
    <w:lvl w:ilvl="0" w:tplc="6CE88FE2">
      <w:start w:val="1"/>
      <w:numFmt w:val="lowerLetter"/>
      <w:lvlText w:val="%1)"/>
      <w:lvlJc w:val="left"/>
      <w:pPr>
        <w:ind w:left="819" w:hanging="545"/>
        <w:jc w:val="left"/>
      </w:pPr>
      <w:rPr>
        <w:rFonts w:ascii="Arial" w:eastAsia="Arial" w:hAnsi="Arial" w:hint="default"/>
        <w:spacing w:val="-1"/>
        <w:sz w:val="22"/>
        <w:szCs w:val="22"/>
      </w:rPr>
    </w:lvl>
    <w:lvl w:ilvl="1" w:tplc="6590BD9A">
      <w:start w:val="1"/>
      <w:numFmt w:val="lowerRoman"/>
      <w:lvlText w:val="%2)"/>
      <w:lvlJc w:val="left"/>
      <w:pPr>
        <w:ind w:left="1179" w:hanging="360"/>
        <w:jc w:val="left"/>
      </w:pPr>
      <w:rPr>
        <w:rFonts w:ascii="Arial" w:eastAsia="Arial" w:hAnsi="Arial" w:hint="default"/>
        <w:spacing w:val="-2"/>
        <w:sz w:val="22"/>
        <w:szCs w:val="22"/>
      </w:rPr>
    </w:lvl>
    <w:lvl w:ilvl="2" w:tplc="43CAE8AA">
      <w:start w:val="1"/>
      <w:numFmt w:val="bullet"/>
      <w:lvlText w:val="•"/>
      <w:lvlJc w:val="left"/>
      <w:pPr>
        <w:ind w:left="1720" w:hanging="360"/>
      </w:pPr>
      <w:rPr>
        <w:rFonts w:hint="default"/>
      </w:rPr>
    </w:lvl>
    <w:lvl w:ilvl="3" w:tplc="54166AC6">
      <w:start w:val="1"/>
      <w:numFmt w:val="bullet"/>
      <w:lvlText w:val="•"/>
      <w:lvlJc w:val="left"/>
      <w:pPr>
        <w:ind w:left="2261" w:hanging="360"/>
      </w:pPr>
      <w:rPr>
        <w:rFonts w:hint="default"/>
      </w:rPr>
    </w:lvl>
    <w:lvl w:ilvl="4" w:tplc="AEB627B0">
      <w:start w:val="1"/>
      <w:numFmt w:val="bullet"/>
      <w:lvlText w:val="•"/>
      <w:lvlJc w:val="left"/>
      <w:pPr>
        <w:ind w:left="2801" w:hanging="360"/>
      </w:pPr>
      <w:rPr>
        <w:rFonts w:hint="default"/>
      </w:rPr>
    </w:lvl>
    <w:lvl w:ilvl="5" w:tplc="D884D768">
      <w:start w:val="1"/>
      <w:numFmt w:val="bullet"/>
      <w:lvlText w:val="•"/>
      <w:lvlJc w:val="left"/>
      <w:pPr>
        <w:ind w:left="3342" w:hanging="360"/>
      </w:pPr>
      <w:rPr>
        <w:rFonts w:hint="default"/>
      </w:rPr>
    </w:lvl>
    <w:lvl w:ilvl="6" w:tplc="67E8B876">
      <w:start w:val="1"/>
      <w:numFmt w:val="bullet"/>
      <w:lvlText w:val="•"/>
      <w:lvlJc w:val="left"/>
      <w:pPr>
        <w:ind w:left="3883" w:hanging="360"/>
      </w:pPr>
      <w:rPr>
        <w:rFonts w:hint="default"/>
      </w:rPr>
    </w:lvl>
    <w:lvl w:ilvl="7" w:tplc="2ACA0328">
      <w:start w:val="1"/>
      <w:numFmt w:val="bullet"/>
      <w:lvlText w:val="•"/>
      <w:lvlJc w:val="left"/>
      <w:pPr>
        <w:ind w:left="4423" w:hanging="360"/>
      </w:pPr>
      <w:rPr>
        <w:rFonts w:hint="default"/>
      </w:rPr>
    </w:lvl>
    <w:lvl w:ilvl="8" w:tplc="66D0D552">
      <w:start w:val="1"/>
      <w:numFmt w:val="bullet"/>
      <w:lvlText w:val="•"/>
      <w:lvlJc w:val="left"/>
      <w:pPr>
        <w:ind w:left="4964" w:hanging="360"/>
      </w:pPr>
      <w:rPr>
        <w:rFonts w:hint="default"/>
      </w:rPr>
    </w:lvl>
  </w:abstractNum>
  <w:abstractNum w:abstractNumId="53">
    <w:nsid w:val="55991F59"/>
    <w:multiLevelType w:val="hybridMultilevel"/>
    <w:tmpl w:val="A49C92B8"/>
    <w:lvl w:ilvl="0" w:tplc="219CB840">
      <w:start w:val="3"/>
      <w:numFmt w:val="lowerLetter"/>
      <w:lvlText w:val="%1)"/>
      <w:lvlJc w:val="left"/>
      <w:pPr>
        <w:ind w:left="819" w:hanging="545"/>
        <w:jc w:val="left"/>
      </w:pPr>
      <w:rPr>
        <w:rFonts w:ascii="Arial" w:eastAsia="Arial" w:hAnsi="Arial" w:hint="default"/>
        <w:sz w:val="22"/>
        <w:szCs w:val="22"/>
      </w:rPr>
    </w:lvl>
    <w:lvl w:ilvl="1" w:tplc="0E7CFA20">
      <w:start w:val="1"/>
      <w:numFmt w:val="bullet"/>
      <w:lvlText w:val="•"/>
      <w:lvlJc w:val="left"/>
      <w:pPr>
        <w:ind w:left="1342" w:hanging="545"/>
      </w:pPr>
      <w:rPr>
        <w:rFonts w:hint="default"/>
      </w:rPr>
    </w:lvl>
    <w:lvl w:ilvl="2" w:tplc="56AC9394">
      <w:start w:val="1"/>
      <w:numFmt w:val="bullet"/>
      <w:lvlText w:val="•"/>
      <w:lvlJc w:val="left"/>
      <w:pPr>
        <w:ind w:left="1865" w:hanging="545"/>
      </w:pPr>
      <w:rPr>
        <w:rFonts w:hint="default"/>
      </w:rPr>
    </w:lvl>
    <w:lvl w:ilvl="3" w:tplc="30D24542">
      <w:start w:val="1"/>
      <w:numFmt w:val="bullet"/>
      <w:lvlText w:val="•"/>
      <w:lvlJc w:val="left"/>
      <w:pPr>
        <w:ind w:left="2387" w:hanging="545"/>
      </w:pPr>
      <w:rPr>
        <w:rFonts w:hint="default"/>
      </w:rPr>
    </w:lvl>
    <w:lvl w:ilvl="4" w:tplc="815ABD78">
      <w:start w:val="1"/>
      <w:numFmt w:val="bullet"/>
      <w:lvlText w:val="•"/>
      <w:lvlJc w:val="left"/>
      <w:pPr>
        <w:ind w:left="2910" w:hanging="545"/>
      </w:pPr>
      <w:rPr>
        <w:rFonts w:hint="default"/>
      </w:rPr>
    </w:lvl>
    <w:lvl w:ilvl="5" w:tplc="179E6A84">
      <w:start w:val="1"/>
      <w:numFmt w:val="bullet"/>
      <w:lvlText w:val="•"/>
      <w:lvlJc w:val="left"/>
      <w:pPr>
        <w:ind w:left="3432" w:hanging="545"/>
      </w:pPr>
      <w:rPr>
        <w:rFonts w:hint="default"/>
      </w:rPr>
    </w:lvl>
    <w:lvl w:ilvl="6" w:tplc="A184BC72">
      <w:start w:val="1"/>
      <w:numFmt w:val="bullet"/>
      <w:lvlText w:val="•"/>
      <w:lvlJc w:val="left"/>
      <w:pPr>
        <w:ind w:left="3955" w:hanging="545"/>
      </w:pPr>
      <w:rPr>
        <w:rFonts w:hint="default"/>
      </w:rPr>
    </w:lvl>
    <w:lvl w:ilvl="7" w:tplc="10A4B140">
      <w:start w:val="1"/>
      <w:numFmt w:val="bullet"/>
      <w:lvlText w:val="•"/>
      <w:lvlJc w:val="left"/>
      <w:pPr>
        <w:ind w:left="4478" w:hanging="545"/>
      </w:pPr>
      <w:rPr>
        <w:rFonts w:hint="default"/>
      </w:rPr>
    </w:lvl>
    <w:lvl w:ilvl="8" w:tplc="5D920840">
      <w:start w:val="1"/>
      <w:numFmt w:val="bullet"/>
      <w:lvlText w:val="•"/>
      <w:lvlJc w:val="left"/>
      <w:pPr>
        <w:ind w:left="5000" w:hanging="545"/>
      </w:pPr>
      <w:rPr>
        <w:rFonts w:hint="default"/>
      </w:rPr>
    </w:lvl>
  </w:abstractNum>
  <w:abstractNum w:abstractNumId="54">
    <w:nsid w:val="55A90740"/>
    <w:multiLevelType w:val="hybridMultilevel"/>
    <w:tmpl w:val="B882EB38"/>
    <w:lvl w:ilvl="0" w:tplc="62D6268E">
      <w:start w:val="1"/>
      <w:numFmt w:val="bullet"/>
      <w:lvlText w:val=""/>
      <w:lvlJc w:val="left"/>
      <w:pPr>
        <w:ind w:left="360" w:hanging="361"/>
      </w:pPr>
      <w:rPr>
        <w:rFonts w:ascii="Symbol" w:eastAsia="Symbol" w:hAnsi="Symbol" w:hint="default"/>
        <w:sz w:val="22"/>
        <w:szCs w:val="22"/>
      </w:rPr>
    </w:lvl>
    <w:lvl w:ilvl="1" w:tplc="90021B7C">
      <w:start w:val="1"/>
      <w:numFmt w:val="bullet"/>
      <w:lvlText w:val="•"/>
      <w:lvlJc w:val="left"/>
      <w:pPr>
        <w:ind w:left="979" w:hanging="361"/>
      </w:pPr>
      <w:rPr>
        <w:rFonts w:hint="default"/>
      </w:rPr>
    </w:lvl>
    <w:lvl w:ilvl="2" w:tplc="D58CF366">
      <w:start w:val="1"/>
      <w:numFmt w:val="bullet"/>
      <w:lvlText w:val="•"/>
      <w:lvlJc w:val="left"/>
      <w:pPr>
        <w:ind w:left="1598" w:hanging="361"/>
      </w:pPr>
      <w:rPr>
        <w:rFonts w:hint="default"/>
      </w:rPr>
    </w:lvl>
    <w:lvl w:ilvl="3" w:tplc="16FADF32">
      <w:start w:val="1"/>
      <w:numFmt w:val="bullet"/>
      <w:lvlText w:val="•"/>
      <w:lvlJc w:val="left"/>
      <w:pPr>
        <w:ind w:left="2218" w:hanging="361"/>
      </w:pPr>
      <w:rPr>
        <w:rFonts w:hint="default"/>
      </w:rPr>
    </w:lvl>
    <w:lvl w:ilvl="4" w:tplc="052E2376">
      <w:start w:val="1"/>
      <w:numFmt w:val="bullet"/>
      <w:lvlText w:val="•"/>
      <w:lvlJc w:val="left"/>
      <w:pPr>
        <w:ind w:left="2837" w:hanging="361"/>
      </w:pPr>
      <w:rPr>
        <w:rFonts w:hint="default"/>
      </w:rPr>
    </w:lvl>
    <w:lvl w:ilvl="5" w:tplc="F30E00C2">
      <w:start w:val="1"/>
      <w:numFmt w:val="bullet"/>
      <w:lvlText w:val="•"/>
      <w:lvlJc w:val="left"/>
      <w:pPr>
        <w:ind w:left="3457" w:hanging="361"/>
      </w:pPr>
      <w:rPr>
        <w:rFonts w:hint="default"/>
      </w:rPr>
    </w:lvl>
    <w:lvl w:ilvl="6" w:tplc="5C90953E">
      <w:start w:val="1"/>
      <w:numFmt w:val="bullet"/>
      <w:lvlText w:val="•"/>
      <w:lvlJc w:val="left"/>
      <w:pPr>
        <w:ind w:left="4076" w:hanging="361"/>
      </w:pPr>
      <w:rPr>
        <w:rFonts w:hint="default"/>
      </w:rPr>
    </w:lvl>
    <w:lvl w:ilvl="7" w:tplc="E5685430">
      <w:start w:val="1"/>
      <w:numFmt w:val="bullet"/>
      <w:lvlText w:val="•"/>
      <w:lvlJc w:val="left"/>
      <w:pPr>
        <w:ind w:left="4696" w:hanging="361"/>
      </w:pPr>
      <w:rPr>
        <w:rFonts w:hint="default"/>
      </w:rPr>
    </w:lvl>
    <w:lvl w:ilvl="8" w:tplc="44CCA134">
      <w:start w:val="1"/>
      <w:numFmt w:val="bullet"/>
      <w:lvlText w:val="•"/>
      <w:lvlJc w:val="left"/>
      <w:pPr>
        <w:ind w:left="5315" w:hanging="361"/>
      </w:pPr>
      <w:rPr>
        <w:rFonts w:hint="default"/>
      </w:rPr>
    </w:lvl>
  </w:abstractNum>
  <w:abstractNum w:abstractNumId="55">
    <w:nsid w:val="56E60DCB"/>
    <w:multiLevelType w:val="multilevel"/>
    <w:tmpl w:val="361C2DF0"/>
    <w:lvl w:ilvl="0">
      <w:start w:val="1"/>
      <w:numFmt w:val="decimal"/>
      <w:lvlText w:val="%1."/>
      <w:lvlJc w:val="left"/>
      <w:pPr>
        <w:ind w:left="546" w:hanging="360"/>
        <w:jc w:val="right"/>
      </w:pPr>
      <w:rPr>
        <w:rFonts w:ascii="Times New Roman" w:eastAsia="Times New Roman" w:hAnsi="Times New Roman" w:hint="default"/>
        <w:spacing w:val="11"/>
        <w:sz w:val="22"/>
        <w:szCs w:val="22"/>
      </w:rPr>
    </w:lvl>
    <w:lvl w:ilvl="1">
      <w:start w:val="1"/>
      <w:numFmt w:val="decimal"/>
      <w:lvlText w:val="%1.%2"/>
      <w:lvlJc w:val="left"/>
      <w:pPr>
        <w:ind w:left="908" w:hanging="360"/>
        <w:jc w:val="left"/>
      </w:pPr>
      <w:rPr>
        <w:rFonts w:ascii="Arial" w:eastAsia="Arial" w:hAnsi="Arial" w:hint="default"/>
        <w:spacing w:val="-1"/>
        <w:sz w:val="22"/>
        <w:szCs w:val="22"/>
      </w:rPr>
    </w:lvl>
    <w:lvl w:ilvl="2">
      <w:start w:val="1"/>
      <w:numFmt w:val="decimal"/>
      <w:lvlText w:val="%1.%2.%3"/>
      <w:lvlJc w:val="left"/>
      <w:pPr>
        <w:ind w:left="2106" w:hanging="994"/>
        <w:jc w:val="left"/>
      </w:pPr>
      <w:rPr>
        <w:rFonts w:ascii="Arial" w:eastAsia="Arial" w:hAnsi="Arial" w:hint="default"/>
        <w:spacing w:val="-1"/>
        <w:sz w:val="22"/>
        <w:szCs w:val="22"/>
      </w:rPr>
    </w:lvl>
    <w:lvl w:ilvl="3">
      <w:start w:val="1"/>
      <w:numFmt w:val="bullet"/>
      <w:lvlText w:val="•"/>
      <w:lvlJc w:val="left"/>
      <w:pPr>
        <w:ind w:left="908" w:hanging="994"/>
      </w:pPr>
      <w:rPr>
        <w:rFonts w:hint="default"/>
      </w:rPr>
    </w:lvl>
    <w:lvl w:ilvl="4">
      <w:start w:val="1"/>
      <w:numFmt w:val="bullet"/>
      <w:lvlText w:val="•"/>
      <w:lvlJc w:val="left"/>
      <w:pPr>
        <w:ind w:left="1148" w:hanging="994"/>
      </w:pPr>
      <w:rPr>
        <w:rFonts w:hint="default"/>
      </w:rPr>
    </w:lvl>
    <w:lvl w:ilvl="5">
      <w:start w:val="1"/>
      <w:numFmt w:val="bullet"/>
      <w:lvlText w:val="•"/>
      <w:lvlJc w:val="left"/>
      <w:pPr>
        <w:ind w:left="2106" w:hanging="994"/>
      </w:pPr>
      <w:rPr>
        <w:rFonts w:hint="default"/>
      </w:rPr>
    </w:lvl>
    <w:lvl w:ilvl="6">
      <w:start w:val="1"/>
      <w:numFmt w:val="bullet"/>
      <w:lvlText w:val="•"/>
      <w:lvlJc w:val="left"/>
      <w:pPr>
        <w:ind w:left="3498" w:hanging="994"/>
      </w:pPr>
      <w:rPr>
        <w:rFonts w:hint="default"/>
      </w:rPr>
    </w:lvl>
    <w:lvl w:ilvl="7">
      <w:start w:val="1"/>
      <w:numFmt w:val="bullet"/>
      <w:lvlText w:val="•"/>
      <w:lvlJc w:val="left"/>
      <w:pPr>
        <w:ind w:left="4890" w:hanging="994"/>
      </w:pPr>
      <w:rPr>
        <w:rFonts w:hint="default"/>
      </w:rPr>
    </w:lvl>
    <w:lvl w:ilvl="8">
      <w:start w:val="1"/>
      <w:numFmt w:val="bullet"/>
      <w:lvlText w:val="•"/>
      <w:lvlJc w:val="left"/>
      <w:pPr>
        <w:ind w:left="6282" w:hanging="994"/>
      </w:pPr>
      <w:rPr>
        <w:rFonts w:hint="default"/>
      </w:rPr>
    </w:lvl>
  </w:abstractNum>
  <w:abstractNum w:abstractNumId="56">
    <w:nsid w:val="599C0FE4"/>
    <w:multiLevelType w:val="hybridMultilevel"/>
    <w:tmpl w:val="AD40E5F6"/>
    <w:lvl w:ilvl="0" w:tplc="B5D08CDA">
      <w:start w:val="46"/>
      <w:numFmt w:val="decimal"/>
      <w:lvlText w:val="%1."/>
      <w:lvlJc w:val="left"/>
      <w:pPr>
        <w:ind w:left="1559" w:hanging="588"/>
        <w:jc w:val="left"/>
      </w:pPr>
      <w:rPr>
        <w:rFonts w:ascii="Arial" w:eastAsia="Arial" w:hAnsi="Arial" w:hint="default"/>
        <w:b/>
        <w:bCs/>
        <w:spacing w:val="-1"/>
        <w:sz w:val="22"/>
        <w:szCs w:val="22"/>
      </w:rPr>
    </w:lvl>
    <w:lvl w:ilvl="1" w:tplc="08D057EA">
      <w:start w:val="1"/>
      <w:numFmt w:val="bullet"/>
      <w:lvlText w:val="•"/>
      <w:lvlJc w:val="left"/>
      <w:pPr>
        <w:ind w:left="2333" w:hanging="588"/>
      </w:pPr>
      <w:rPr>
        <w:rFonts w:hint="default"/>
      </w:rPr>
    </w:lvl>
    <w:lvl w:ilvl="2" w:tplc="045EDD24">
      <w:start w:val="1"/>
      <w:numFmt w:val="bullet"/>
      <w:lvlText w:val="•"/>
      <w:lvlJc w:val="left"/>
      <w:pPr>
        <w:ind w:left="3108" w:hanging="588"/>
      </w:pPr>
      <w:rPr>
        <w:rFonts w:hint="default"/>
      </w:rPr>
    </w:lvl>
    <w:lvl w:ilvl="3" w:tplc="71FA1564">
      <w:start w:val="1"/>
      <w:numFmt w:val="bullet"/>
      <w:lvlText w:val="•"/>
      <w:lvlJc w:val="left"/>
      <w:pPr>
        <w:ind w:left="3883" w:hanging="588"/>
      </w:pPr>
      <w:rPr>
        <w:rFonts w:hint="default"/>
      </w:rPr>
    </w:lvl>
    <w:lvl w:ilvl="4" w:tplc="1CB82F52">
      <w:start w:val="1"/>
      <w:numFmt w:val="bullet"/>
      <w:lvlText w:val="•"/>
      <w:lvlJc w:val="left"/>
      <w:pPr>
        <w:ind w:left="4658" w:hanging="588"/>
      </w:pPr>
      <w:rPr>
        <w:rFonts w:hint="default"/>
      </w:rPr>
    </w:lvl>
    <w:lvl w:ilvl="5" w:tplc="E83CF342">
      <w:start w:val="1"/>
      <w:numFmt w:val="bullet"/>
      <w:lvlText w:val="•"/>
      <w:lvlJc w:val="left"/>
      <w:pPr>
        <w:ind w:left="5432" w:hanging="588"/>
      </w:pPr>
      <w:rPr>
        <w:rFonts w:hint="default"/>
      </w:rPr>
    </w:lvl>
    <w:lvl w:ilvl="6" w:tplc="C34482AE">
      <w:start w:val="1"/>
      <w:numFmt w:val="bullet"/>
      <w:lvlText w:val="•"/>
      <w:lvlJc w:val="left"/>
      <w:pPr>
        <w:ind w:left="6207" w:hanging="588"/>
      </w:pPr>
      <w:rPr>
        <w:rFonts w:hint="default"/>
      </w:rPr>
    </w:lvl>
    <w:lvl w:ilvl="7" w:tplc="F6BA04CE">
      <w:start w:val="1"/>
      <w:numFmt w:val="bullet"/>
      <w:lvlText w:val="•"/>
      <w:lvlJc w:val="left"/>
      <w:pPr>
        <w:ind w:left="6982" w:hanging="588"/>
      </w:pPr>
      <w:rPr>
        <w:rFonts w:hint="default"/>
      </w:rPr>
    </w:lvl>
    <w:lvl w:ilvl="8" w:tplc="902A021E">
      <w:start w:val="1"/>
      <w:numFmt w:val="bullet"/>
      <w:lvlText w:val="•"/>
      <w:lvlJc w:val="left"/>
      <w:pPr>
        <w:ind w:left="7756" w:hanging="588"/>
      </w:pPr>
      <w:rPr>
        <w:rFonts w:hint="default"/>
      </w:rPr>
    </w:lvl>
  </w:abstractNum>
  <w:abstractNum w:abstractNumId="57">
    <w:nsid w:val="5D23411B"/>
    <w:multiLevelType w:val="multilevel"/>
    <w:tmpl w:val="ABA44A0E"/>
    <w:lvl w:ilvl="0">
      <w:start w:val="42"/>
      <w:numFmt w:val="decimal"/>
      <w:lvlText w:val="%1"/>
      <w:lvlJc w:val="left"/>
      <w:pPr>
        <w:ind w:left="2246" w:hanging="689"/>
        <w:jc w:val="left"/>
      </w:pPr>
      <w:rPr>
        <w:rFonts w:hint="default"/>
      </w:rPr>
    </w:lvl>
    <w:lvl w:ilvl="1">
      <w:start w:val="1"/>
      <w:numFmt w:val="decimal"/>
      <w:lvlText w:val="%1.%2"/>
      <w:lvlJc w:val="left"/>
      <w:pPr>
        <w:ind w:left="2246" w:hanging="689"/>
        <w:jc w:val="left"/>
      </w:pPr>
      <w:rPr>
        <w:rFonts w:hint="default"/>
      </w:rPr>
    </w:lvl>
    <w:lvl w:ilvl="2">
      <w:start w:val="1"/>
      <w:numFmt w:val="decimal"/>
      <w:lvlText w:val="%1.%2.%3"/>
      <w:lvlJc w:val="left"/>
      <w:pPr>
        <w:ind w:left="2246" w:hanging="689"/>
        <w:jc w:val="right"/>
      </w:pPr>
      <w:rPr>
        <w:rFonts w:ascii="Arial" w:eastAsia="Arial" w:hAnsi="Arial" w:hint="default"/>
        <w:spacing w:val="-1"/>
        <w:sz w:val="22"/>
        <w:szCs w:val="22"/>
      </w:rPr>
    </w:lvl>
    <w:lvl w:ilvl="3">
      <w:start w:val="1"/>
      <w:numFmt w:val="bullet"/>
      <w:lvlText w:val="•"/>
      <w:lvlJc w:val="left"/>
      <w:pPr>
        <w:ind w:left="4358" w:hanging="689"/>
      </w:pPr>
      <w:rPr>
        <w:rFonts w:hint="default"/>
      </w:rPr>
    </w:lvl>
    <w:lvl w:ilvl="4">
      <w:start w:val="1"/>
      <w:numFmt w:val="bullet"/>
      <w:lvlText w:val="•"/>
      <w:lvlJc w:val="left"/>
      <w:pPr>
        <w:ind w:left="5062" w:hanging="689"/>
      </w:pPr>
      <w:rPr>
        <w:rFonts w:hint="default"/>
      </w:rPr>
    </w:lvl>
    <w:lvl w:ilvl="5">
      <w:start w:val="1"/>
      <w:numFmt w:val="bullet"/>
      <w:lvlText w:val="•"/>
      <w:lvlJc w:val="left"/>
      <w:pPr>
        <w:ind w:left="5766" w:hanging="689"/>
      </w:pPr>
      <w:rPr>
        <w:rFonts w:hint="default"/>
      </w:rPr>
    </w:lvl>
    <w:lvl w:ilvl="6">
      <w:start w:val="1"/>
      <w:numFmt w:val="bullet"/>
      <w:lvlText w:val="•"/>
      <w:lvlJc w:val="left"/>
      <w:pPr>
        <w:ind w:left="6470" w:hanging="689"/>
      </w:pPr>
      <w:rPr>
        <w:rFonts w:hint="default"/>
      </w:rPr>
    </w:lvl>
    <w:lvl w:ilvl="7">
      <w:start w:val="1"/>
      <w:numFmt w:val="bullet"/>
      <w:lvlText w:val="•"/>
      <w:lvlJc w:val="left"/>
      <w:pPr>
        <w:ind w:left="7174" w:hanging="689"/>
      </w:pPr>
      <w:rPr>
        <w:rFonts w:hint="default"/>
      </w:rPr>
    </w:lvl>
    <w:lvl w:ilvl="8">
      <w:start w:val="1"/>
      <w:numFmt w:val="bullet"/>
      <w:lvlText w:val="•"/>
      <w:lvlJc w:val="left"/>
      <w:pPr>
        <w:ind w:left="7878" w:hanging="689"/>
      </w:pPr>
      <w:rPr>
        <w:rFonts w:hint="default"/>
      </w:rPr>
    </w:lvl>
  </w:abstractNum>
  <w:abstractNum w:abstractNumId="58">
    <w:nsid w:val="5FCB3C96"/>
    <w:multiLevelType w:val="hybridMultilevel"/>
    <w:tmpl w:val="F4D6705E"/>
    <w:lvl w:ilvl="0" w:tplc="5BA414C8">
      <w:start w:val="1"/>
      <w:numFmt w:val="lowerLetter"/>
      <w:lvlText w:val="%1)"/>
      <w:lvlJc w:val="left"/>
      <w:pPr>
        <w:ind w:left="819" w:hanging="545"/>
        <w:jc w:val="left"/>
      </w:pPr>
      <w:rPr>
        <w:rFonts w:ascii="Arial" w:eastAsia="Arial" w:hAnsi="Arial" w:hint="default"/>
        <w:spacing w:val="-1"/>
        <w:sz w:val="22"/>
        <w:szCs w:val="22"/>
      </w:rPr>
    </w:lvl>
    <w:lvl w:ilvl="1" w:tplc="8E388014">
      <w:start w:val="1"/>
      <w:numFmt w:val="lowerRoman"/>
      <w:lvlText w:val="%2)"/>
      <w:lvlJc w:val="left"/>
      <w:pPr>
        <w:ind w:left="1179" w:hanging="360"/>
        <w:jc w:val="left"/>
      </w:pPr>
      <w:rPr>
        <w:rFonts w:ascii="Arial" w:eastAsia="Arial" w:hAnsi="Arial" w:hint="default"/>
        <w:spacing w:val="-2"/>
        <w:sz w:val="22"/>
        <w:szCs w:val="22"/>
      </w:rPr>
    </w:lvl>
    <w:lvl w:ilvl="2" w:tplc="1144AEAC">
      <w:start w:val="1"/>
      <w:numFmt w:val="bullet"/>
      <w:lvlText w:val="•"/>
      <w:lvlJc w:val="left"/>
      <w:pPr>
        <w:ind w:left="1720" w:hanging="360"/>
      </w:pPr>
      <w:rPr>
        <w:rFonts w:hint="default"/>
      </w:rPr>
    </w:lvl>
    <w:lvl w:ilvl="3" w:tplc="88EE7668">
      <w:start w:val="1"/>
      <w:numFmt w:val="bullet"/>
      <w:lvlText w:val="•"/>
      <w:lvlJc w:val="left"/>
      <w:pPr>
        <w:ind w:left="2261" w:hanging="360"/>
      </w:pPr>
      <w:rPr>
        <w:rFonts w:hint="default"/>
      </w:rPr>
    </w:lvl>
    <w:lvl w:ilvl="4" w:tplc="DA4E9F4C">
      <w:start w:val="1"/>
      <w:numFmt w:val="bullet"/>
      <w:lvlText w:val="•"/>
      <w:lvlJc w:val="left"/>
      <w:pPr>
        <w:ind w:left="2801" w:hanging="360"/>
      </w:pPr>
      <w:rPr>
        <w:rFonts w:hint="default"/>
      </w:rPr>
    </w:lvl>
    <w:lvl w:ilvl="5" w:tplc="C50CF420">
      <w:start w:val="1"/>
      <w:numFmt w:val="bullet"/>
      <w:lvlText w:val="•"/>
      <w:lvlJc w:val="left"/>
      <w:pPr>
        <w:ind w:left="3342" w:hanging="360"/>
      </w:pPr>
      <w:rPr>
        <w:rFonts w:hint="default"/>
      </w:rPr>
    </w:lvl>
    <w:lvl w:ilvl="6" w:tplc="2D94DEC0">
      <w:start w:val="1"/>
      <w:numFmt w:val="bullet"/>
      <w:lvlText w:val="•"/>
      <w:lvlJc w:val="left"/>
      <w:pPr>
        <w:ind w:left="3883" w:hanging="360"/>
      </w:pPr>
      <w:rPr>
        <w:rFonts w:hint="default"/>
      </w:rPr>
    </w:lvl>
    <w:lvl w:ilvl="7" w:tplc="03284E1A">
      <w:start w:val="1"/>
      <w:numFmt w:val="bullet"/>
      <w:lvlText w:val="•"/>
      <w:lvlJc w:val="left"/>
      <w:pPr>
        <w:ind w:left="4423" w:hanging="360"/>
      </w:pPr>
      <w:rPr>
        <w:rFonts w:hint="default"/>
      </w:rPr>
    </w:lvl>
    <w:lvl w:ilvl="8" w:tplc="CA942194">
      <w:start w:val="1"/>
      <w:numFmt w:val="bullet"/>
      <w:lvlText w:val="•"/>
      <w:lvlJc w:val="left"/>
      <w:pPr>
        <w:ind w:left="4964" w:hanging="360"/>
      </w:pPr>
      <w:rPr>
        <w:rFonts w:hint="default"/>
      </w:rPr>
    </w:lvl>
  </w:abstractNum>
  <w:abstractNum w:abstractNumId="59">
    <w:nsid w:val="602774EB"/>
    <w:multiLevelType w:val="hybridMultilevel"/>
    <w:tmpl w:val="4F527E86"/>
    <w:lvl w:ilvl="0" w:tplc="665A0042">
      <w:start w:val="1"/>
      <w:numFmt w:val="lowerLetter"/>
      <w:lvlText w:val="%1)"/>
      <w:lvlJc w:val="left"/>
      <w:pPr>
        <w:ind w:left="819" w:hanging="545"/>
        <w:jc w:val="left"/>
      </w:pPr>
      <w:rPr>
        <w:rFonts w:ascii="Arial" w:eastAsia="Arial" w:hAnsi="Arial" w:hint="default"/>
        <w:spacing w:val="-1"/>
        <w:sz w:val="22"/>
        <w:szCs w:val="22"/>
      </w:rPr>
    </w:lvl>
    <w:lvl w:ilvl="1" w:tplc="3F2CEC08">
      <w:start w:val="1"/>
      <w:numFmt w:val="bullet"/>
      <w:lvlText w:val="•"/>
      <w:lvlJc w:val="left"/>
      <w:pPr>
        <w:ind w:left="1331" w:hanging="545"/>
      </w:pPr>
      <w:rPr>
        <w:rFonts w:hint="default"/>
      </w:rPr>
    </w:lvl>
    <w:lvl w:ilvl="2" w:tplc="7C289304">
      <w:start w:val="1"/>
      <w:numFmt w:val="bullet"/>
      <w:lvlText w:val="•"/>
      <w:lvlJc w:val="left"/>
      <w:pPr>
        <w:ind w:left="1843" w:hanging="545"/>
      </w:pPr>
      <w:rPr>
        <w:rFonts w:hint="default"/>
      </w:rPr>
    </w:lvl>
    <w:lvl w:ilvl="3" w:tplc="7C2AD46A">
      <w:start w:val="1"/>
      <w:numFmt w:val="bullet"/>
      <w:lvlText w:val="•"/>
      <w:lvlJc w:val="left"/>
      <w:pPr>
        <w:ind w:left="2355" w:hanging="545"/>
      </w:pPr>
      <w:rPr>
        <w:rFonts w:hint="default"/>
      </w:rPr>
    </w:lvl>
    <w:lvl w:ilvl="4" w:tplc="914CAB3E">
      <w:start w:val="1"/>
      <w:numFmt w:val="bullet"/>
      <w:lvlText w:val="•"/>
      <w:lvlJc w:val="left"/>
      <w:pPr>
        <w:ind w:left="2867" w:hanging="545"/>
      </w:pPr>
      <w:rPr>
        <w:rFonts w:hint="default"/>
      </w:rPr>
    </w:lvl>
    <w:lvl w:ilvl="5" w:tplc="D9F2AA8A">
      <w:start w:val="1"/>
      <w:numFmt w:val="bullet"/>
      <w:lvlText w:val="•"/>
      <w:lvlJc w:val="left"/>
      <w:pPr>
        <w:ind w:left="3378" w:hanging="545"/>
      </w:pPr>
      <w:rPr>
        <w:rFonts w:hint="default"/>
      </w:rPr>
    </w:lvl>
    <w:lvl w:ilvl="6" w:tplc="22D0E3FA">
      <w:start w:val="1"/>
      <w:numFmt w:val="bullet"/>
      <w:lvlText w:val="•"/>
      <w:lvlJc w:val="left"/>
      <w:pPr>
        <w:ind w:left="3890" w:hanging="545"/>
      </w:pPr>
      <w:rPr>
        <w:rFonts w:hint="default"/>
      </w:rPr>
    </w:lvl>
    <w:lvl w:ilvl="7" w:tplc="82A214A8">
      <w:start w:val="1"/>
      <w:numFmt w:val="bullet"/>
      <w:lvlText w:val="•"/>
      <w:lvlJc w:val="left"/>
      <w:pPr>
        <w:ind w:left="4402" w:hanging="545"/>
      </w:pPr>
      <w:rPr>
        <w:rFonts w:hint="default"/>
      </w:rPr>
    </w:lvl>
    <w:lvl w:ilvl="8" w:tplc="BB6226BE">
      <w:start w:val="1"/>
      <w:numFmt w:val="bullet"/>
      <w:lvlText w:val="•"/>
      <w:lvlJc w:val="left"/>
      <w:pPr>
        <w:ind w:left="4914" w:hanging="545"/>
      </w:pPr>
      <w:rPr>
        <w:rFonts w:hint="default"/>
      </w:rPr>
    </w:lvl>
  </w:abstractNum>
  <w:abstractNum w:abstractNumId="60">
    <w:nsid w:val="63310DB2"/>
    <w:multiLevelType w:val="hybridMultilevel"/>
    <w:tmpl w:val="52A037DA"/>
    <w:lvl w:ilvl="0" w:tplc="F5C673EA">
      <w:start w:val="1"/>
      <w:numFmt w:val="upperLetter"/>
      <w:lvlText w:val="%1."/>
      <w:lvlJc w:val="left"/>
      <w:pPr>
        <w:ind w:left="972" w:hanging="853"/>
        <w:jc w:val="left"/>
      </w:pPr>
      <w:rPr>
        <w:rFonts w:ascii="Arial" w:eastAsia="Arial" w:hAnsi="Arial" w:hint="default"/>
        <w:b/>
        <w:bCs/>
        <w:spacing w:val="-6"/>
        <w:sz w:val="22"/>
        <w:szCs w:val="22"/>
      </w:rPr>
    </w:lvl>
    <w:lvl w:ilvl="1" w:tplc="5B6EEA88">
      <w:start w:val="1"/>
      <w:numFmt w:val="decimal"/>
      <w:lvlText w:val="%2."/>
      <w:lvlJc w:val="left"/>
      <w:pPr>
        <w:ind w:left="1559" w:hanging="588"/>
        <w:jc w:val="left"/>
      </w:pPr>
      <w:rPr>
        <w:rFonts w:ascii="Arial" w:eastAsia="Arial" w:hAnsi="Arial" w:hint="default"/>
        <w:b/>
        <w:bCs/>
        <w:spacing w:val="-1"/>
        <w:sz w:val="22"/>
        <w:szCs w:val="22"/>
      </w:rPr>
    </w:lvl>
    <w:lvl w:ilvl="2" w:tplc="F9BAE9CE">
      <w:start w:val="1"/>
      <w:numFmt w:val="bullet"/>
      <w:lvlText w:val="•"/>
      <w:lvlJc w:val="left"/>
      <w:pPr>
        <w:ind w:left="2420" w:hanging="588"/>
      </w:pPr>
      <w:rPr>
        <w:rFonts w:hint="default"/>
      </w:rPr>
    </w:lvl>
    <w:lvl w:ilvl="3" w:tplc="35D0BFEE">
      <w:start w:val="1"/>
      <w:numFmt w:val="bullet"/>
      <w:lvlText w:val="•"/>
      <w:lvlJc w:val="left"/>
      <w:pPr>
        <w:ind w:left="3281" w:hanging="588"/>
      </w:pPr>
      <w:rPr>
        <w:rFonts w:hint="default"/>
      </w:rPr>
    </w:lvl>
    <w:lvl w:ilvl="4" w:tplc="95E04334">
      <w:start w:val="1"/>
      <w:numFmt w:val="bullet"/>
      <w:lvlText w:val="•"/>
      <w:lvlJc w:val="left"/>
      <w:pPr>
        <w:ind w:left="4142" w:hanging="588"/>
      </w:pPr>
      <w:rPr>
        <w:rFonts w:hint="default"/>
      </w:rPr>
    </w:lvl>
    <w:lvl w:ilvl="5" w:tplc="AD287DE4">
      <w:start w:val="1"/>
      <w:numFmt w:val="bullet"/>
      <w:lvlText w:val="•"/>
      <w:lvlJc w:val="left"/>
      <w:pPr>
        <w:ind w:left="5002" w:hanging="588"/>
      </w:pPr>
      <w:rPr>
        <w:rFonts w:hint="default"/>
      </w:rPr>
    </w:lvl>
    <w:lvl w:ilvl="6" w:tplc="3460C15E">
      <w:start w:val="1"/>
      <w:numFmt w:val="bullet"/>
      <w:lvlText w:val="•"/>
      <w:lvlJc w:val="left"/>
      <w:pPr>
        <w:ind w:left="5863" w:hanging="588"/>
      </w:pPr>
      <w:rPr>
        <w:rFonts w:hint="default"/>
      </w:rPr>
    </w:lvl>
    <w:lvl w:ilvl="7" w:tplc="DD5459C8">
      <w:start w:val="1"/>
      <w:numFmt w:val="bullet"/>
      <w:lvlText w:val="•"/>
      <w:lvlJc w:val="left"/>
      <w:pPr>
        <w:ind w:left="6724" w:hanging="588"/>
      </w:pPr>
      <w:rPr>
        <w:rFonts w:hint="default"/>
      </w:rPr>
    </w:lvl>
    <w:lvl w:ilvl="8" w:tplc="D95E8AF8">
      <w:start w:val="1"/>
      <w:numFmt w:val="bullet"/>
      <w:lvlText w:val="•"/>
      <w:lvlJc w:val="left"/>
      <w:pPr>
        <w:ind w:left="7584" w:hanging="588"/>
      </w:pPr>
      <w:rPr>
        <w:rFonts w:hint="default"/>
      </w:rPr>
    </w:lvl>
  </w:abstractNum>
  <w:abstractNum w:abstractNumId="61">
    <w:nsid w:val="66337045"/>
    <w:multiLevelType w:val="hybridMultilevel"/>
    <w:tmpl w:val="C618134A"/>
    <w:lvl w:ilvl="0" w:tplc="71487A04">
      <w:start w:val="1"/>
      <w:numFmt w:val="lowerLetter"/>
      <w:lvlText w:val="(%1)"/>
      <w:lvlJc w:val="left"/>
      <w:pPr>
        <w:ind w:left="2734" w:hanging="708"/>
        <w:jc w:val="left"/>
      </w:pPr>
      <w:rPr>
        <w:rFonts w:ascii="Arial" w:eastAsia="Arial" w:hAnsi="Arial" w:hint="default"/>
        <w:sz w:val="22"/>
        <w:szCs w:val="22"/>
      </w:rPr>
    </w:lvl>
    <w:lvl w:ilvl="1" w:tplc="7864305A">
      <w:start w:val="1"/>
      <w:numFmt w:val="bullet"/>
      <w:lvlText w:val="•"/>
      <w:lvlJc w:val="left"/>
      <w:pPr>
        <w:ind w:left="3367" w:hanging="708"/>
      </w:pPr>
      <w:rPr>
        <w:rFonts w:hint="default"/>
      </w:rPr>
    </w:lvl>
    <w:lvl w:ilvl="2" w:tplc="5CE07E00">
      <w:start w:val="1"/>
      <w:numFmt w:val="bullet"/>
      <w:lvlText w:val="•"/>
      <w:lvlJc w:val="left"/>
      <w:pPr>
        <w:ind w:left="4000" w:hanging="708"/>
      </w:pPr>
      <w:rPr>
        <w:rFonts w:hint="default"/>
      </w:rPr>
    </w:lvl>
    <w:lvl w:ilvl="3" w:tplc="2366463A">
      <w:start w:val="1"/>
      <w:numFmt w:val="bullet"/>
      <w:lvlText w:val="•"/>
      <w:lvlJc w:val="left"/>
      <w:pPr>
        <w:ind w:left="4634" w:hanging="708"/>
      </w:pPr>
      <w:rPr>
        <w:rFonts w:hint="default"/>
      </w:rPr>
    </w:lvl>
    <w:lvl w:ilvl="4" w:tplc="97E6E7BA">
      <w:start w:val="1"/>
      <w:numFmt w:val="bullet"/>
      <w:lvlText w:val="•"/>
      <w:lvlJc w:val="left"/>
      <w:pPr>
        <w:ind w:left="5267" w:hanging="708"/>
      </w:pPr>
      <w:rPr>
        <w:rFonts w:hint="default"/>
      </w:rPr>
    </w:lvl>
    <w:lvl w:ilvl="5" w:tplc="905EE872">
      <w:start w:val="1"/>
      <w:numFmt w:val="bullet"/>
      <w:lvlText w:val="•"/>
      <w:lvlJc w:val="left"/>
      <w:pPr>
        <w:ind w:left="5900" w:hanging="708"/>
      </w:pPr>
      <w:rPr>
        <w:rFonts w:hint="default"/>
      </w:rPr>
    </w:lvl>
    <w:lvl w:ilvl="6" w:tplc="09CE7272">
      <w:start w:val="1"/>
      <w:numFmt w:val="bullet"/>
      <w:lvlText w:val="•"/>
      <w:lvlJc w:val="left"/>
      <w:pPr>
        <w:ind w:left="6533" w:hanging="708"/>
      </w:pPr>
      <w:rPr>
        <w:rFonts w:hint="default"/>
      </w:rPr>
    </w:lvl>
    <w:lvl w:ilvl="7" w:tplc="204E9AA2">
      <w:start w:val="1"/>
      <w:numFmt w:val="bullet"/>
      <w:lvlText w:val="•"/>
      <w:lvlJc w:val="left"/>
      <w:pPr>
        <w:ind w:left="7166" w:hanging="708"/>
      </w:pPr>
      <w:rPr>
        <w:rFonts w:hint="default"/>
      </w:rPr>
    </w:lvl>
    <w:lvl w:ilvl="8" w:tplc="A1164EA8">
      <w:start w:val="1"/>
      <w:numFmt w:val="bullet"/>
      <w:lvlText w:val="•"/>
      <w:lvlJc w:val="left"/>
      <w:pPr>
        <w:ind w:left="7800" w:hanging="708"/>
      </w:pPr>
      <w:rPr>
        <w:rFonts w:hint="default"/>
      </w:rPr>
    </w:lvl>
  </w:abstractNum>
  <w:abstractNum w:abstractNumId="62">
    <w:nsid w:val="691A4597"/>
    <w:multiLevelType w:val="hybridMultilevel"/>
    <w:tmpl w:val="CB5E85A6"/>
    <w:lvl w:ilvl="0" w:tplc="AA3A2150">
      <w:start w:val="1"/>
      <w:numFmt w:val="lowerLetter"/>
      <w:lvlText w:val="%1)"/>
      <w:lvlJc w:val="left"/>
      <w:pPr>
        <w:ind w:left="819" w:hanging="545"/>
        <w:jc w:val="left"/>
      </w:pPr>
      <w:rPr>
        <w:rFonts w:ascii="Arial" w:eastAsia="Arial" w:hAnsi="Arial" w:hint="default"/>
        <w:spacing w:val="-1"/>
        <w:sz w:val="22"/>
        <w:szCs w:val="22"/>
      </w:rPr>
    </w:lvl>
    <w:lvl w:ilvl="1" w:tplc="41364A7C">
      <w:start w:val="1"/>
      <w:numFmt w:val="lowerRoman"/>
      <w:lvlText w:val="%2)"/>
      <w:lvlJc w:val="left"/>
      <w:pPr>
        <w:ind w:left="1179" w:hanging="360"/>
        <w:jc w:val="left"/>
      </w:pPr>
      <w:rPr>
        <w:rFonts w:ascii="Arial" w:eastAsia="Arial" w:hAnsi="Arial" w:hint="default"/>
        <w:spacing w:val="-2"/>
        <w:sz w:val="22"/>
        <w:szCs w:val="22"/>
      </w:rPr>
    </w:lvl>
    <w:lvl w:ilvl="2" w:tplc="ED568260">
      <w:start w:val="1"/>
      <w:numFmt w:val="bullet"/>
      <w:lvlText w:val="•"/>
      <w:lvlJc w:val="left"/>
      <w:pPr>
        <w:ind w:left="1720" w:hanging="360"/>
      </w:pPr>
      <w:rPr>
        <w:rFonts w:hint="default"/>
      </w:rPr>
    </w:lvl>
    <w:lvl w:ilvl="3" w:tplc="358CCC0C">
      <w:start w:val="1"/>
      <w:numFmt w:val="bullet"/>
      <w:lvlText w:val="•"/>
      <w:lvlJc w:val="left"/>
      <w:pPr>
        <w:ind w:left="2261" w:hanging="360"/>
      </w:pPr>
      <w:rPr>
        <w:rFonts w:hint="default"/>
      </w:rPr>
    </w:lvl>
    <w:lvl w:ilvl="4" w:tplc="A1220C60">
      <w:start w:val="1"/>
      <w:numFmt w:val="bullet"/>
      <w:lvlText w:val="•"/>
      <w:lvlJc w:val="left"/>
      <w:pPr>
        <w:ind w:left="2801" w:hanging="360"/>
      </w:pPr>
      <w:rPr>
        <w:rFonts w:hint="default"/>
      </w:rPr>
    </w:lvl>
    <w:lvl w:ilvl="5" w:tplc="3A6216CE">
      <w:start w:val="1"/>
      <w:numFmt w:val="bullet"/>
      <w:lvlText w:val="•"/>
      <w:lvlJc w:val="left"/>
      <w:pPr>
        <w:ind w:left="3342" w:hanging="360"/>
      </w:pPr>
      <w:rPr>
        <w:rFonts w:hint="default"/>
      </w:rPr>
    </w:lvl>
    <w:lvl w:ilvl="6" w:tplc="46660B4C">
      <w:start w:val="1"/>
      <w:numFmt w:val="bullet"/>
      <w:lvlText w:val="•"/>
      <w:lvlJc w:val="left"/>
      <w:pPr>
        <w:ind w:left="3883" w:hanging="360"/>
      </w:pPr>
      <w:rPr>
        <w:rFonts w:hint="default"/>
      </w:rPr>
    </w:lvl>
    <w:lvl w:ilvl="7" w:tplc="9CD2CDE0">
      <w:start w:val="1"/>
      <w:numFmt w:val="bullet"/>
      <w:lvlText w:val="•"/>
      <w:lvlJc w:val="left"/>
      <w:pPr>
        <w:ind w:left="4423" w:hanging="360"/>
      </w:pPr>
      <w:rPr>
        <w:rFonts w:hint="default"/>
      </w:rPr>
    </w:lvl>
    <w:lvl w:ilvl="8" w:tplc="980A1C2C">
      <w:start w:val="1"/>
      <w:numFmt w:val="bullet"/>
      <w:lvlText w:val="•"/>
      <w:lvlJc w:val="left"/>
      <w:pPr>
        <w:ind w:left="4964" w:hanging="360"/>
      </w:pPr>
      <w:rPr>
        <w:rFonts w:hint="default"/>
      </w:rPr>
    </w:lvl>
  </w:abstractNum>
  <w:abstractNum w:abstractNumId="63">
    <w:nsid w:val="693B480E"/>
    <w:multiLevelType w:val="hybridMultilevel"/>
    <w:tmpl w:val="189C6EFC"/>
    <w:lvl w:ilvl="0" w:tplc="50B0EB2A">
      <w:start w:val="2"/>
      <w:numFmt w:val="lowerLetter"/>
      <w:lvlText w:val="%1)"/>
      <w:lvlJc w:val="left"/>
      <w:pPr>
        <w:ind w:left="819" w:hanging="545"/>
        <w:jc w:val="left"/>
      </w:pPr>
      <w:rPr>
        <w:rFonts w:ascii="Arial" w:eastAsia="Arial" w:hAnsi="Arial" w:hint="default"/>
        <w:spacing w:val="-1"/>
        <w:sz w:val="22"/>
        <w:szCs w:val="22"/>
      </w:rPr>
    </w:lvl>
    <w:lvl w:ilvl="1" w:tplc="6DE45F60">
      <w:start w:val="1"/>
      <w:numFmt w:val="bullet"/>
      <w:lvlText w:val="•"/>
      <w:lvlJc w:val="left"/>
      <w:pPr>
        <w:ind w:left="1331" w:hanging="545"/>
      </w:pPr>
      <w:rPr>
        <w:rFonts w:hint="default"/>
      </w:rPr>
    </w:lvl>
    <w:lvl w:ilvl="2" w:tplc="81A2BBE6">
      <w:start w:val="1"/>
      <w:numFmt w:val="bullet"/>
      <w:lvlText w:val="•"/>
      <w:lvlJc w:val="left"/>
      <w:pPr>
        <w:ind w:left="1843" w:hanging="545"/>
      </w:pPr>
      <w:rPr>
        <w:rFonts w:hint="default"/>
      </w:rPr>
    </w:lvl>
    <w:lvl w:ilvl="3" w:tplc="06CAB6AE">
      <w:start w:val="1"/>
      <w:numFmt w:val="bullet"/>
      <w:lvlText w:val="•"/>
      <w:lvlJc w:val="left"/>
      <w:pPr>
        <w:ind w:left="2355" w:hanging="545"/>
      </w:pPr>
      <w:rPr>
        <w:rFonts w:hint="default"/>
      </w:rPr>
    </w:lvl>
    <w:lvl w:ilvl="4" w:tplc="B7721B38">
      <w:start w:val="1"/>
      <w:numFmt w:val="bullet"/>
      <w:lvlText w:val="•"/>
      <w:lvlJc w:val="left"/>
      <w:pPr>
        <w:ind w:left="2867" w:hanging="545"/>
      </w:pPr>
      <w:rPr>
        <w:rFonts w:hint="default"/>
      </w:rPr>
    </w:lvl>
    <w:lvl w:ilvl="5" w:tplc="8056EE3C">
      <w:start w:val="1"/>
      <w:numFmt w:val="bullet"/>
      <w:lvlText w:val="•"/>
      <w:lvlJc w:val="left"/>
      <w:pPr>
        <w:ind w:left="3378" w:hanging="545"/>
      </w:pPr>
      <w:rPr>
        <w:rFonts w:hint="default"/>
      </w:rPr>
    </w:lvl>
    <w:lvl w:ilvl="6" w:tplc="163672EE">
      <w:start w:val="1"/>
      <w:numFmt w:val="bullet"/>
      <w:lvlText w:val="•"/>
      <w:lvlJc w:val="left"/>
      <w:pPr>
        <w:ind w:left="3890" w:hanging="545"/>
      </w:pPr>
      <w:rPr>
        <w:rFonts w:hint="default"/>
      </w:rPr>
    </w:lvl>
    <w:lvl w:ilvl="7" w:tplc="A356B78C">
      <w:start w:val="1"/>
      <w:numFmt w:val="bullet"/>
      <w:lvlText w:val="•"/>
      <w:lvlJc w:val="left"/>
      <w:pPr>
        <w:ind w:left="4402" w:hanging="545"/>
      </w:pPr>
      <w:rPr>
        <w:rFonts w:hint="default"/>
      </w:rPr>
    </w:lvl>
    <w:lvl w:ilvl="8" w:tplc="F368A160">
      <w:start w:val="1"/>
      <w:numFmt w:val="bullet"/>
      <w:lvlText w:val="•"/>
      <w:lvlJc w:val="left"/>
      <w:pPr>
        <w:ind w:left="4914" w:hanging="545"/>
      </w:pPr>
      <w:rPr>
        <w:rFonts w:hint="default"/>
      </w:rPr>
    </w:lvl>
  </w:abstractNum>
  <w:abstractNum w:abstractNumId="64">
    <w:nsid w:val="6D231F8C"/>
    <w:multiLevelType w:val="hybridMultilevel"/>
    <w:tmpl w:val="D90094E4"/>
    <w:lvl w:ilvl="0" w:tplc="568A5B3C">
      <w:start w:val="1"/>
      <w:numFmt w:val="lowerLetter"/>
      <w:lvlText w:val="%1)"/>
      <w:lvlJc w:val="left"/>
      <w:pPr>
        <w:ind w:left="825" w:hanging="545"/>
        <w:jc w:val="left"/>
      </w:pPr>
      <w:rPr>
        <w:rFonts w:ascii="Arial" w:eastAsia="Arial" w:hAnsi="Arial" w:hint="default"/>
        <w:spacing w:val="-1"/>
        <w:sz w:val="22"/>
        <w:szCs w:val="22"/>
      </w:rPr>
    </w:lvl>
    <w:lvl w:ilvl="1" w:tplc="7D3A7B6E">
      <w:start w:val="1"/>
      <w:numFmt w:val="bullet"/>
      <w:lvlText w:val="•"/>
      <w:lvlJc w:val="left"/>
      <w:pPr>
        <w:ind w:left="1448" w:hanging="545"/>
      </w:pPr>
      <w:rPr>
        <w:rFonts w:hint="default"/>
      </w:rPr>
    </w:lvl>
    <w:lvl w:ilvl="2" w:tplc="8FC269B4">
      <w:start w:val="1"/>
      <w:numFmt w:val="bullet"/>
      <w:lvlText w:val="•"/>
      <w:lvlJc w:val="left"/>
      <w:pPr>
        <w:ind w:left="2071" w:hanging="545"/>
      </w:pPr>
      <w:rPr>
        <w:rFonts w:hint="default"/>
      </w:rPr>
    </w:lvl>
    <w:lvl w:ilvl="3" w:tplc="B84E4216">
      <w:start w:val="1"/>
      <w:numFmt w:val="bullet"/>
      <w:lvlText w:val="•"/>
      <w:lvlJc w:val="left"/>
      <w:pPr>
        <w:ind w:left="2695" w:hanging="545"/>
      </w:pPr>
      <w:rPr>
        <w:rFonts w:hint="default"/>
      </w:rPr>
    </w:lvl>
    <w:lvl w:ilvl="4" w:tplc="CF56B54C">
      <w:start w:val="1"/>
      <w:numFmt w:val="bullet"/>
      <w:lvlText w:val="•"/>
      <w:lvlJc w:val="left"/>
      <w:pPr>
        <w:ind w:left="3318" w:hanging="545"/>
      </w:pPr>
      <w:rPr>
        <w:rFonts w:hint="default"/>
      </w:rPr>
    </w:lvl>
    <w:lvl w:ilvl="5" w:tplc="BC442794">
      <w:start w:val="1"/>
      <w:numFmt w:val="bullet"/>
      <w:lvlText w:val="•"/>
      <w:lvlJc w:val="left"/>
      <w:pPr>
        <w:ind w:left="3942" w:hanging="545"/>
      </w:pPr>
      <w:rPr>
        <w:rFonts w:hint="default"/>
      </w:rPr>
    </w:lvl>
    <w:lvl w:ilvl="6" w:tplc="C70CD566">
      <w:start w:val="1"/>
      <w:numFmt w:val="bullet"/>
      <w:lvlText w:val="•"/>
      <w:lvlJc w:val="left"/>
      <w:pPr>
        <w:ind w:left="4565" w:hanging="545"/>
      </w:pPr>
      <w:rPr>
        <w:rFonts w:hint="default"/>
      </w:rPr>
    </w:lvl>
    <w:lvl w:ilvl="7" w:tplc="26EEC7AA">
      <w:start w:val="1"/>
      <w:numFmt w:val="bullet"/>
      <w:lvlText w:val="•"/>
      <w:lvlJc w:val="left"/>
      <w:pPr>
        <w:ind w:left="5189" w:hanging="545"/>
      </w:pPr>
      <w:rPr>
        <w:rFonts w:hint="default"/>
      </w:rPr>
    </w:lvl>
    <w:lvl w:ilvl="8" w:tplc="48148D86">
      <w:start w:val="1"/>
      <w:numFmt w:val="bullet"/>
      <w:lvlText w:val="•"/>
      <w:lvlJc w:val="left"/>
      <w:pPr>
        <w:ind w:left="5812" w:hanging="545"/>
      </w:pPr>
      <w:rPr>
        <w:rFonts w:hint="default"/>
      </w:rPr>
    </w:lvl>
  </w:abstractNum>
  <w:abstractNum w:abstractNumId="65">
    <w:nsid w:val="6E724E5F"/>
    <w:multiLevelType w:val="hybridMultilevel"/>
    <w:tmpl w:val="D4A4361E"/>
    <w:lvl w:ilvl="0" w:tplc="96AE2FA4">
      <w:start w:val="1"/>
      <w:numFmt w:val="lowerLetter"/>
      <w:lvlText w:val="(%1)"/>
      <w:lvlJc w:val="left"/>
      <w:pPr>
        <w:ind w:left="2953" w:hanging="708"/>
        <w:jc w:val="left"/>
      </w:pPr>
      <w:rPr>
        <w:rFonts w:ascii="Arial" w:eastAsia="Arial" w:hAnsi="Arial" w:hint="default"/>
        <w:sz w:val="22"/>
        <w:szCs w:val="22"/>
      </w:rPr>
    </w:lvl>
    <w:lvl w:ilvl="1" w:tplc="009E2F4A">
      <w:start w:val="1"/>
      <w:numFmt w:val="bullet"/>
      <w:lvlText w:val="•"/>
      <w:lvlJc w:val="left"/>
      <w:pPr>
        <w:ind w:left="3587" w:hanging="708"/>
      </w:pPr>
      <w:rPr>
        <w:rFonts w:hint="default"/>
      </w:rPr>
    </w:lvl>
    <w:lvl w:ilvl="2" w:tplc="8C700960">
      <w:start w:val="1"/>
      <w:numFmt w:val="bullet"/>
      <w:lvlText w:val="•"/>
      <w:lvlJc w:val="left"/>
      <w:pPr>
        <w:ind w:left="4220" w:hanging="708"/>
      </w:pPr>
      <w:rPr>
        <w:rFonts w:hint="default"/>
      </w:rPr>
    </w:lvl>
    <w:lvl w:ilvl="3" w:tplc="1444B936">
      <w:start w:val="1"/>
      <w:numFmt w:val="bullet"/>
      <w:lvlText w:val="•"/>
      <w:lvlJc w:val="left"/>
      <w:pPr>
        <w:ind w:left="4853" w:hanging="708"/>
      </w:pPr>
      <w:rPr>
        <w:rFonts w:hint="default"/>
      </w:rPr>
    </w:lvl>
    <w:lvl w:ilvl="4" w:tplc="CD4EA848">
      <w:start w:val="1"/>
      <w:numFmt w:val="bullet"/>
      <w:lvlText w:val="•"/>
      <w:lvlJc w:val="left"/>
      <w:pPr>
        <w:ind w:left="5486" w:hanging="708"/>
      </w:pPr>
      <w:rPr>
        <w:rFonts w:hint="default"/>
      </w:rPr>
    </w:lvl>
    <w:lvl w:ilvl="5" w:tplc="69D458B4">
      <w:start w:val="1"/>
      <w:numFmt w:val="bullet"/>
      <w:lvlText w:val="•"/>
      <w:lvlJc w:val="left"/>
      <w:pPr>
        <w:ind w:left="6120" w:hanging="708"/>
      </w:pPr>
      <w:rPr>
        <w:rFonts w:hint="default"/>
      </w:rPr>
    </w:lvl>
    <w:lvl w:ilvl="6" w:tplc="4E929B24">
      <w:start w:val="1"/>
      <w:numFmt w:val="bullet"/>
      <w:lvlText w:val="•"/>
      <w:lvlJc w:val="left"/>
      <w:pPr>
        <w:ind w:left="6753" w:hanging="708"/>
      </w:pPr>
      <w:rPr>
        <w:rFonts w:hint="default"/>
      </w:rPr>
    </w:lvl>
    <w:lvl w:ilvl="7" w:tplc="38C4482E">
      <w:start w:val="1"/>
      <w:numFmt w:val="bullet"/>
      <w:lvlText w:val="•"/>
      <w:lvlJc w:val="left"/>
      <w:pPr>
        <w:ind w:left="7386" w:hanging="708"/>
      </w:pPr>
      <w:rPr>
        <w:rFonts w:hint="default"/>
      </w:rPr>
    </w:lvl>
    <w:lvl w:ilvl="8" w:tplc="6202609C">
      <w:start w:val="1"/>
      <w:numFmt w:val="bullet"/>
      <w:lvlText w:val="•"/>
      <w:lvlJc w:val="left"/>
      <w:pPr>
        <w:ind w:left="8019" w:hanging="708"/>
      </w:pPr>
      <w:rPr>
        <w:rFonts w:hint="default"/>
      </w:rPr>
    </w:lvl>
  </w:abstractNum>
  <w:abstractNum w:abstractNumId="66">
    <w:nsid w:val="7040194E"/>
    <w:multiLevelType w:val="multilevel"/>
    <w:tmpl w:val="79320DF2"/>
    <w:lvl w:ilvl="0">
      <w:start w:val="3"/>
      <w:numFmt w:val="decimal"/>
      <w:lvlText w:val="%1."/>
      <w:lvlJc w:val="left"/>
      <w:pPr>
        <w:ind w:left="465" w:hanging="360"/>
        <w:jc w:val="left"/>
      </w:pPr>
      <w:rPr>
        <w:rFonts w:ascii="Times New Roman" w:eastAsia="Times New Roman" w:hAnsi="Times New Roman" w:hint="default"/>
        <w:spacing w:val="11"/>
        <w:sz w:val="22"/>
        <w:szCs w:val="22"/>
      </w:rPr>
    </w:lvl>
    <w:lvl w:ilvl="1">
      <w:start w:val="1"/>
      <w:numFmt w:val="decimal"/>
      <w:lvlText w:val="%1.%2"/>
      <w:lvlJc w:val="left"/>
      <w:pPr>
        <w:ind w:left="827" w:hanging="360"/>
        <w:jc w:val="right"/>
      </w:pPr>
      <w:rPr>
        <w:rFonts w:ascii="Arial" w:eastAsia="Arial" w:hAnsi="Arial" w:hint="default"/>
        <w:spacing w:val="-1"/>
        <w:sz w:val="22"/>
        <w:szCs w:val="22"/>
      </w:rPr>
    </w:lvl>
    <w:lvl w:ilvl="2">
      <w:start w:val="1"/>
      <w:numFmt w:val="decimal"/>
      <w:lvlText w:val="%1.%2.%3"/>
      <w:lvlJc w:val="left"/>
      <w:pPr>
        <w:ind w:left="2025" w:hanging="994"/>
        <w:jc w:val="right"/>
      </w:pPr>
      <w:rPr>
        <w:rFonts w:ascii="Arial" w:eastAsia="Arial" w:hAnsi="Arial" w:hint="default"/>
        <w:spacing w:val="-1"/>
        <w:sz w:val="22"/>
        <w:szCs w:val="22"/>
      </w:rPr>
    </w:lvl>
    <w:lvl w:ilvl="3">
      <w:start w:val="1"/>
      <w:numFmt w:val="lowerLetter"/>
      <w:lvlText w:val="(%4)"/>
      <w:lvlJc w:val="left"/>
      <w:pPr>
        <w:ind w:left="2593" w:hanging="708"/>
        <w:jc w:val="right"/>
      </w:pPr>
      <w:rPr>
        <w:rFonts w:ascii="Arial" w:eastAsia="Arial" w:hAnsi="Arial" w:hint="default"/>
        <w:sz w:val="22"/>
        <w:szCs w:val="22"/>
      </w:rPr>
    </w:lvl>
    <w:lvl w:ilvl="4">
      <w:start w:val="1"/>
      <w:numFmt w:val="bullet"/>
      <w:lvlText w:val="•"/>
      <w:lvlJc w:val="left"/>
      <w:pPr>
        <w:ind w:left="828" w:hanging="708"/>
      </w:pPr>
      <w:rPr>
        <w:rFonts w:hint="default"/>
      </w:rPr>
    </w:lvl>
    <w:lvl w:ilvl="5">
      <w:start w:val="1"/>
      <w:numFmt w:val="bullet"/>
      <w:lvlText w:val="•"/>
      <w:lvlJc w:val="left"/>
      <w:pPr>
        <w:ind w:left="828" w:hanging="708"/>
      </w:pPr>
      <w:rPr>
        <w:rFonts w:hint="default"/>
      </w:rPr>
    </w:lvl>
    <w:lvl w:ilvl="6">
      <w:start w:val="1"/>
      <w:numFmt w:val="bullet"/>
      <w:lvlText w:val="•"/>
      <w:lvlJc w:val="left"/>
      <w:pPr>
        <w:ind w:left="828" w:hanging="708"/>
      </w:pPr>
      <w:rPr>
        <w:rFonts w:hint="default"/>
      </w:rPr>
    </w:lvl>
    <w:lvl w:ilvl="7">
      <w:start w:val="1"/>
      <w:numFmt w:val="bullet"/>
      <w:lvlText w:val="•"/>
      <w:lvlJc w:val="left"/>
      <w:pPr>
        <w:ind w:left="2025" w:hanging="708"/>
      </w:pPr>
      <w:rPr>
        <w:rFonts w:hint="default"/>
      </w:rPr>
    </w:lvl>
    <w:lvl w:ilvl="8">
      <w:start w:val="1"/>
      <w:numFmt w:val="bullet"/>
      <w:lvlText w:val="•"/>
      <w:lvlJc w:val="left"/>
      <w:pPr>
        <w:ind w:left="2025" w:hanging="708"/>
      </w:pPr>
      <w:rPr>
        <w:rFonts w:hint="default"/>
      </w:rPr>
    </w:lvl>
  </w:abstractNum>
  <w:abstractNum w:abstractNumId="67">
    <w:nsid w:val="721D11ED"/>
    <w:multiLevelType w:val="multilevel"/>
    <w:tmpl w:val="3AA06210"/>
    <w:lvl w:ilvl="0">
      <w:start w:val="7"/>
      <w:numFmt w:val="decimal"/>
      <w:lvlText w:val="%1"/>
      <w:lvlJc w:val="left"/>
      <w:pPr>
        <w:ind w:left="953" w:hanging="567"/>
        <w:jc w:val="left"/>
      </w:pPr>
      <w:rPr>
        <w:rFonts w:hint="default"/>
      </w:rPr>
    </w:lvl>
    <w:lvl w:ilvl="1">
      <w:start w:val="1"/>
      <w:numFmt w:val="decimal"/>
      <w:lvlText w:val="%1.%2"/>
      <w:lvlJc w:val="left"/>
      <w:pPr>
        <w:ind w:left="953" w:hanging="567"/>
        <w:jc w:val="left"/>
      </w:pPr>
      <w:rPr>
        <w:rFonts w:ascii="Arial" w:eastAsia="Arial" w:hAnsi="Arial" w:hint="default"/>
        <w:b/>
        <w:bCs/>
        <w:spacing w:val="-1"/>
        <w:sz w:val="22"/>
        <w:szCs w:val="22"/>
      </w:rPr>
    </w:lvl>
    <w:lvl w:ilvl="2">
      <w:start w:val="1"/>
      <w:numFmt w:val="bullet"/>
      <w:lvlText w:val="•"/>
      <w:lvlJc w:val="left"/>
      <w:pPr>
        <w:ind w:left="1861" w:hanging="567"/>
      </w:pPr>
      <w:rPr>
        <w:rFonts w:hint="default"/>
      </w:rPr>
    </w:lvl>
    <w:lvl w:ilvl="3">
      <w:start w:val="1"/>
      <w:numFmt w:val="bullet"/>
      <w:lvlText w:val="•"/>
      <w:lvlJc w:val="left"/>
      <w:pPr>
        <w:ind w:left="2769" w:hanging="567"/>
      </w:pPr>
      <w:rPr>
        <w:rFonts w:hint="default"/>
      </w:rPr>
    </w:lvl>
    <w:lvl w:ilvl="4">
      <w:start w:val="1"/>
      <w:numFmt w:val="bullet"/>
      <w:lvlText w:val="•"/>
      <w:lvlJc w:val="left"/>
      <w:pPr>
        <w:ind w:left="3677" w:hanging="567"/>
      </w:pPr>
      <w:rPr>
        <w:rFonts w:hint="default"/>
      </w:rPr>
    </w:lvl>
    <w:lvl w:ilvl="5">
      <w:start w:val="1"/>
      <w:numFmt w:val="bullet"/>
      <w:lvlText w:val="•"/>
      <w:lvlJc w:val="left"/>
      <w:pPr>
        <w:ind w:left="4585" w:hanging="567"/>
      </w:pPr>
      <w:rPr>
        <w:rFonts w:hint="default"/>
      </w:rPr>
    </w:lvl>
    <w:lvl w:ilvl="6">
      <w:start w:val="1"/>
      <w:numFmt w:val="bullet"/>
      <w:lvlText w:val="•"/>
      <w:lvlJc w:val="left"/>
      <w:pPr>
        <w:ind w:left="5493" w:hanging="567"/>
      </w:pPr>
      <w:rPr>
        <w:rFonts w:hint="default"/>
      </w:rPr>
    </w:lvl>
    <w:lvl w:ilvl="7">
      <w:start w:val="1"/>
      <w:numFmt w:val="bullet"/>
      <w:lvlText w:val="•"/>
      <w:lvlJc w:val="left"/>
      <w:pPr>
        <w:ind w:left="6402" w:hanging="567"/>
      </w:pPr>
      <w:rPr>
        <w:rFonts w:hint="default"/>
      </w:rPr>
    </w:lvl>
    <w:lvl w:ilvl="8">
      <w:start w:val="1"/>
      <w:numFmt w:val="bullet"/>
      <w:lvlText w:val="•"/>
      <w:lvlJc w:val="left"/>
      <w:pPr>
        <w:ind w:left="7310" w:hanging="567"/>
      </w:pPr>
      <w:rPr>
        <w:rFonts w:hint="default"/>
      </w:rPr>
    </w:lvl>
  </w:abstractNum>
  <w:abstractNum w:abstractNumId="68">
    <w:nsid w:val="72865E00"/>
    <w:multiLevelType w:val="hybridMultilevel"/>
    <w:tmpl w:val="F27ABDF4"/>
    <w:lvl w:ilvl="0" w:tplc="F3D86724">
      <w:start w:val="1"/>
      <w:numFmt w:val="lowerLetter"/>
      <w:lvlText w:val="%1)"/>
      <w:lvlJc w:val="left"/>
      <w:pPr>
        <w:ind w:left="819" w:hanging="545"/>
        <w:jc w:val="left"/>
      </w:pPr>
      <w:rPr>
        <w:rFonts w:ascii="Arial" w:eastAsia="Arial" w:hAnsi="Arial" w:hint="default"/>
        <w:spacing w:val="-1"/>
        <w:sz w:val="22"/>
        <w:szCs w:val="22"/>
      </w:rPr>
    </w:lvl>
    <w:lvl w:ilvl="1" w:tplc="5BF8B468">
      <w:start w:val="1"/>
      <w:numFmt w:val="bullet"/>
      <w:lvlText w:val="•"/>
      <w:lvlJc w:val="left"/>
      <w:pPr>
        <w:ind w:left="1342" w:hanging="545"/>
      </w:pPr>
      <w:rPr>
        <w:rFonts w:hint="default"/>
      </w:rPr>
    </w:lvl>
    <w:lvl w:ilvl="2" w:tplc="7506F0E4">
      <w:start w:val="1"/>
      <w:numFmt w:val="bullet"/>
      <w:lvlText w:val="•"/>
      <w:lvlJc w:val="left"/>
      <w:pPr>
        <w:ind w:left="1864" w:hanging="545"/>
      </w:pPr>
      <w:rPr>
        <w:rFonts w:hint="default"/>
      </w:rPr>
    </w:lvl>
    <w:lvl w:ilvl="3" w:tplc="FE1E8F08">
      <w:start w:val="1"/>
      <w:numFmt w:val="bullet"/>
      <w:lvlText w:val="•"/>
      <w:lvlJc w:val="left"/>
      <w:pPr>
        <w:ind w:left="2387" w:hanging="545"/>
      </w:pPr>
      <w:rPr>
        <w:rFonts w:hint="default"/>
      </w:rPr>
    </w:lvl>
    <w:lvl w:ilvl="4" w:tplc="BDA039BA">
      <w:start w:val="1"/>
      <w:numFmt w:val="bullet"/>
      <w:lvlText w:val="•"/>
      <w:lvlJc w:val="left"/>
      <w:pPr>
        <w:ind w:left="2910" w:hanging="545"/>
      </w:pPr>
      <w:rPr>
        <w:rFonts w:hint="default"/>
      </w:rPr>
    </w:lvl>
    <w:lvl w:ilvl="5" w:tplc="FB0A3D62">
      <w:start w:val="1"/>
      <w:numFmt w:val="bullet"/>
      <w:lvlText w:val="•"/>
      <w:lvlJc w:val="left"/>
      <w:pPr>
        <w:ind w:left="3432" w:hanging="545"/>
      </w:pPr>
      <w:rPr>
        <w:rFonts w:hint="default"/>
      </w:rPr>
    </w:lvl>
    <w:lvl w:ilvl="6" w:tplc="6D302666">
      <w:start w:val="1"/>
      <w:numFmt w:val="bullet"/>
      <w:lvlText w:val="•"/>
      <w:lvlJc w:val="left"/>
      <w:pPr>
        <w:ind w:left="3955" w:hanging="545"/>
      </w:pPr>
      <w:rPr>
        <w:rFonts w:hint="default"/>
      </w:rPr>
    </w:lvl>
    <w:lvl w:ilvl="7" w:tplc="792C1582">
      <w:start w:val="1"/>
      <w:numFmt w:val="bullet"/>
      <w:lvlText w:val="•"/>
      <w:lvlJc w:val="left"/>
      <w:pPr>
        <w:ind w:left="4478" w:hanging="545"/>
      </w:pPr>
      <w:rPr>
        <w:rFonts w:hint="default"/>
      </w:rPr>
    </w:lvl>
    <w:lvl w:ilvl="8" w:tplc="6596C5A0">
      <w:start w:val="1"/>
      <w:numFmt w:val="bullet"/>
      <w:lvlText w:val="•"/>
      <w:lvlJc w:val="left"/>
      <w:pPr>
        <w:ind w:left="5000" w:hanging="545"/>
      </w:pPr>
      <w:rPr>
        <w:rFonts w:hint="default"/>
      </w:rPr>
    </w:lvl>
  </w:abstractNum>
  <w:abstractNum w:abstractNumId="69">
    <w:nsid w:val="73706342"/>
    <w:multiLevelType w:val="multilevel"/>
    <w:tmpl w:val="718A14F4"/>
    <w:lvl w:ilvl="0">
      <w:start w:val="5"/>
      <w:numFmt w:val="decimal"/>
      <w:lvlText w:val="%1"/>
      <w:lvlJc w:val="left"/>
      <w:pPr>
        <w:ind w:left="2025" w:hanging="994"/>
        <w:jc w:val="left"/>
      </w:pPr>
      <w:rPr>
        <w:rFonts w:hint="default"/>
      </w:rPr>
    </w:lvl>
    <w:lvl w:ilvl="1">
      <w:start w:val="2"/>
      <w:numFmt w:val="decimal"/>
      <w:lvlText w:val="%1.%2"/>
      <w:lvlJc w:val="left"/>
      <w:pPr>
        <w:ind w:left="2025" w:hanging="994"/>
        <w:jc w:val="left"/>
      </w:pPr>
      <w:rPr>
        <w:rFonts w:hint="default"/>
      </w:rPr>
    </w:lvl>
    <w:lvl w:ilvl="2">
      <w:start w:val="1"/>
      <w:numFmt w:val="decimal"/>
      <w:lvlText w:val="%1.%2.%3"/>
      <w:lvlJc w:val="left"/>
      <w:pPr>
        <w:ind w:left="2025" w:hanging="994"/>
        <w:jc w:val="left"/>
      </w:pPr>
      <w:rPr>
        <w:rFonts w:ascii="Arial" w:eastAsia="Arial" w:hAnsi="Arial" w:hint="default"/>
        <w:spacing w:val="-1"/>
        <w:sz w:val="22"/>
        <w:szCs w:val="22"/>
      </w:rPr>
    </w:lvl>
    <w:lvl w:ilvl="3">
      <w:start w:val="1"/>
      <w:numFmt w:val="lowerLetter"/>
      <w:lvlText w:val="(%4)"/>
      <w:lvlJc w:val="left"/>
      <w:pPr>
        <w:ind w:left="2733" w:hanging="708"/>
        <w:jc w:val="left"/>
      </w:pPr>
      <w:rPr>
        <w:rFonts w:ascii="Arial" w:eastAsia="Arial" w:hAnsi="Arial" w:hint="default"/>
        <w:sz w:val="22"/>
        <w:szCs w:val="22"/>
      </w:rPr>
    </w:lvl>
    <w:lvl w:ilvl="4">
      <w:start w:val="1"/>
      <w:numFmt w:val="bullet"/>
      <w:lvlText w:val="•"/>
      <w:lvlJc w:val="left"/>
      <w:pPr>
        <w:ind w:left="4844" w:hanging="708"/>
      </w:pPr>
      <w:rPr>
        <w:rFonts w:hint="default"/>
      </w:rPr>
    </w:lvl>
    <w:lvl w:ilvl="5">
      <w:start w:val="1"/>
      <w:numFmt w:val="bullet"/>
      <w:lvlText w:val="•"/>
      <w:lvlJc w:val="left"/>
      <w:pPr>
        <w:ind w:left="5548" w:hanging="708"/>
      </w:pPr>
      <w:rPr>
        <w:rFonts w:hint="default"/>
      </w:rPr>
    </w:lvl>
    <w:lvl w:ilvl="6">
      <w:start w:val="1"/>
      <w:numFmt w:val="bullet"/>
      <w:lvlText w:val="•"/>
      <w:lvlJc w:val="left"/>
      <w:pPr>
        <w:ind w:left="6251" w:hanging="708"/>
      </w:pPr>
      <w:rPr>
        <w:rFonts w:hint="default"/>
      </w:rPr>
    </w:lvl>
    <w:lvl w:ilvl="7">
      <w:start w:val="1"/>
      <w:numFmt w:val="bullet"/>
      <w:lvlText w:val="•"/>
      <w:lvlJc w:val="left"/>
      <w:pPr>
        <w:ind w:left="6955" w:hanging="708"/>
      </w:pPr>
      <w:rPr>
        <w:rFonts w:hint="default"/>
      </w:rPr>
    </w:lvl>
    <w:lvl w:ilvl="8">
      <w:start w:val="1"/>
      <w:numFmt w:val="bullet"/>
      <w:lvlText w:val="•"/>
      <w:lvlJc w:val="left"/>
      <w:pPr>
        <w:ind w:left="7659" w:hanging="708"/>
      </w:pPr>
      <w:rPr>
        <w:rFonts w:hint="default"/>
      </w:rPr>
    </w:lvl>
  </w:abstractNum>
  <w:abstractNum w:abstractNumId="70">
    <w:nsid w:val="753C555C"/>
    <w:multiLevelType w:val="multilevel"/>
    <w:tmpl w:val="45483182"/>
    <w:lvl w:ilvl="0">
      <w:start w:val="1"/>
      <w:numFmt w:val="upperLetter"/>
      <w:lvlText w:val="%1."/>
      <w:lvlJc w:val="left"/>
      <w:pPr>
        <w:ind w:left="666" w:hanging="567"/>
        <w:jc w:val="left"/>
      </w:pPr>
      <w:rPr>
        <w:rFonts w:ascii="Arial" w:eastAsia="Arial" w:hAnsi="Arial" w:hint="default"/>
        <w:b/>
        <w:bCs/>
        <w:color w:val="C00000"/>
        <w:spacing w:val="-6"/>
        <w:sz w:val="22"/>
        <w:szCs w:val="22"/>
      </w:rPr>
    </w:lvl>
    <w:lvl w:ilvl="1">
      <w:start w:val="1"/>
      <w:numFmt w:val="decimal"/>
      <w:lvlText w:val="%2."/>
      <w:lvlJc w:val="left"/>
      <w:pPr>
        <w:ind w:left="666" w:hanging="567"/>
        <w:jc w:val="left"/>
      </w:pPr>
      <w:rPr>
        <w:rFonts w:ascii="Times New Roman" w:eastAsia="Times New Roman" w:hAnsi="Times New Roman" w:hint="default"/>
        <w:spacing w:val="11"/>
        <w:sz w:val="22"/>
        <w:szCs w:val="22"/>
      </w:rPr>
    </w:lvl>
    <w:lvl w:ilvl="2">
      <w:start w:val="1"/>
      <w:numFmt w:val="decimal"/>
      <w:lvlText w:val="%2.%3"/>
      <w:lvlJc w:val="left"/>
      <w:pPr>
        <w:ind w:left="1028" w:hanging="360"/>
        <w:jc w:val="left"/>
      </w:pPr>
      <w:rPr>
        <w:rFonts w:ascii="Arial" w:eastAsia="Arial" w:hAnsi="Arial" w:hint="default"/>
        <w:spacing w:val="-1"/>
        <w:sz w:val="22"/>
        <w:szCs w:val="22"/>
      </w:rPr>
    </w:lvl>
    <w:lvl w:ilvl="3">
      <w:start w:val="1"/>
      <w:numFmt w:val="decimal"/>
      <w:lvlText w:val="%2.%3.%4"/>
      <w:lvlJc w:val="left"/>
      <w:pPr>
        <w:ind w:left="2226" w:hanging="994"/>
        <w:jc w:val="left"/>
      </w:pPr>
      <w:rPr>
        <w:rFonts w:ascii="Arial" w:eastAsia="Arial" w:hAnsi="Arial" w:hint="default"/>
        <w:spacing w:val="-1"/>
        <w:sz w:val="22"/>
        <w:szCs w:val="22"/>
      </w:rPr>
    </w:lvl>
    <w:lvl w:ilvl="4">
      <w:start w:val="1"/>
      <w:numFmt w:val="lowerLetter"/>
      <w:lvlText w:val="(%5)"/>
      <w:lvlJc w:val="left"/>
      <w:pPr>
        <w:ind w:left="2954" w:hanging="708"/>
        <w:jc w:val="left"/>
      </w:pPr>
      <w:rPr>
        <w:rFonts w:ascii="Arial" w:eastAsia="Arial" w:hAnsi="Arial" w:hint="default"/>
        <w:sz w:val="22"/>
        <w:szCs w:val="22"/>
      </w:rPr>
    </w:lvl>
    <w:lvl w:ilvl="5">
      <w:start w:val="1"/>
      <w:numFmt w:val="lowerRoman"/>
      <w:lvlText w:val="(%6)"/>
      <w:lvlJc w:val="left"/>
      <w:pPr>
        <w:ind w:left="3163" w:hanging="569"/>
        <w:jc w:val="right"/>
      </w:pPr>
      <w:rPr>
        <w:rFonts w:ascii="Arial" w:eastAsia="Arial" w:hAnsi="Arial" w:hint="default"/>
        <w:sz w:val="22"/>
        <w:szCs w:val="22"/>
      </w:rPr>
    </w:lvl>
    <w:lvl w:ilvl="6">
      <w:start w:val="1"/>
      <w:numFmt w:val="bullet"/>
      <w:lvlText w:val="•"/>
      <w:lvlJc w:val="left"/>
      <w:pPr>
        <w:ind w:left="1048" w:hanging="569"/>
      </w:pPr>
      <w:rPr>
        <w:rFonts w:hint="default"/>
      </w:rPr>
    </w:lvl>
    <w:lvl w:ilvl="7">
      <w:start w:val="1"/>
      <w:numFmt w:val="bullet"/>
      <w:lvlText w:val="•"/>
      <w:lvlJc w:val="left"/>
      <w:pPr>
        <w:ind w:left="1048" w:hanging="569"/>
      </w:pPr>
      <w:rPr>
        <w:rFonts w:hint="default"/>
      </w:rPr>
    </w:lvl>
    <w:lvl w:ilvl="8">
      <w:start w:val="1"/>
      <w:numFmt w:val="bullet"/>
      <w:lvlText w:val="•"/>
      <w:lvlJc w:val="left"/>
      <w:pPr>
        <w:ind w:left="1048" w:hanging="569"/>
      </w:pPr>
      <w:rPr>
        <w:rFonts w:hint="default"/>
      </w:rPr>
    </w:lvl>
  </w:abstractNum>
  <w:abstractNum w:abstractNumId="71">
    <w:nsid w:val="79BD2A6C"/>
    <w:multiLevelType w:val="multilevel"/>
    <w:tmpl w:val="A50656D4"/>
    <w:lvl w:ilvl="0">
      <w:start w:val="10"/>
      <w:numFmt w:val="decimal"/>
      <w:lvlText w:val="%1."/>
      <w:lvlJc w:val="left"/>
      <w:pPr>
        <w:ind w:left="466" w:hanging="360"/>
        <w:jc w:val="left"/>
      </w:pPr>
      <w:rPr>
        <w:rFonts w:ascii="Times New Roman" w:eastAsia="Times New Roman" w:hAnsi="Times New Roman" w:hint="default"/>
        <w:spacing w:val="11"/>
        <w:sz w:val="22"/>
        <w:szCs w:val="22"/>
      </w:rPr>
    </w:lvl>
    <w:lvl w:ilvl="1">
      <w:start w:val="1"/>
      <w:numFmt w:val="decimal"/>
      <w:lvlText w:val="%1.%2"/>
      <w:lvlJc w:val="left"/>
      <w:pPr>
        <w:ind w:left="1032" w:hanging="565"/>
        <w:jc w:val="left"/>
      </w:pPr>
      <w:rPr>
        <w:rFonts w:ascii="Arial" w:eastAsia="Arial" w:hAnsi="Arial" w:hint="default"/>
        <w:spacing w:val="-1"/>
        <w:sz w:val="22"/>
        <w:szCs w:val="22"/>
      </w:rPr>
    </w:lvl>
    <w:lvl w:ilvl="2">
      <w:start w:val="1"/>
      <w:numFmt w:val="decimal"/>
      <w:lvlText w:val="%1.%2.%3"/>
      <w:lvlJc w:val="left"/>
      <w:pPr>
        <w:ind w:left="2026" w:hanging="994"/>
        <w:jc w:val="right"/>
      </w:pPr>
      <w:rPr>
        <w:rFonts w:ascii="Arial" w:eastAsia="Arial" w:hAnsi="Arial" w:hint="default"/>
        <w:spacing w:val="-1"/>
        <w:sz w:val="22"/>
        <w:szCs w:val="22"/>
      </w:rPr>
    </w:lvl>
    <w:lvl w:ilvl="3">
      <w:start w:val="1"/>
      <w:numFmt w:val="bullet"/>
      <w:lvlText w:val="•"/>
      <w:lvlJc w:val="left"/>
      <w:pPr>
        <w:ind w:left="2026" w:hanging="994"/>
      </w:pPr>
      <w:rPr>
        <w:rFonts w:hint="default"/>
      </w:rPr>
    </w:lvl>
    <w:lvl w:ilvl="4">
      <w:start w:val="1"/>
      <w:numFmt w:val="bullet"/>
      <w:lvlText w:val="•"/>
      <w:lvlJc w:val="left"/>
      <w:pPr>
        <w:ind w:left="3032" w:hanging="994"/>
      </w:pPr>
      <w:rPr>
        <w:rFonts w:hint="default"/>
      </w:rPr>
    </w:lvl>
    <w:lvl w:ilvl="5">
      <w:start w:val="1"/>
      <w:numFmt w:val="bullet"/>
      <w:lvlText w:val="•"/>
      <w:lvlJc w:val="left"/>
      <w:pPr>
        <w:ind w:left="4037" w:hanging="994"/>
      </w:pPr>
      <w:rPr>
        <w:rFonts w:hint="default"/>
      </w:rPr>
    </w:lvl>
    <w:lvl w:ilvl="6">
      <w:start w:val="1"/>
      <w:numFmt w:val="bullet"/>
      <w:lvlText w:val="•"/>
      <w:lvlJc w:val="left"/>
      <w:pPr>
        <w:ind w:left="5043" w:hanging="994"/>
      </w:pPr>
      <w:rPr>
        <w:rFonts w:hint="default"/>
      </w:rPr>
    </w:lvl>
    <w:lvl w:ilvl="7">
      <w:start w:val="1"/>
      <w:numFmt w:val="bullet"/>
      <w:lvlText w:val="•"/>
      <w:lvlJc w:val="left"/>
      <w:pPr>
        <w:ind w:left="6049" w:hanging="994"/>
      </w:pPr>
      <w:rPr>
        <w:rFonts w:hint="default"/>
      </w:rPr>
    </w:lvl>
    <w:lvl w:ilvl="8">
      <w:start w:val="1"/>
      <w:numFmt w:val="bullet"/>
      <w:lvlText w:val="•"/>
      <w:lvlJc w:val="left"/>
      <w:pPr>
        <w:ind w:left="7054" w:hanging="994"/>
      </w:pPr>
      <w:rPr>
        <w:rFonts w:hint="default"/>
      </w:rPr>
    </w:lvl>
  </w:abstractNum>
  <w:abstractNum w:abstractNumId="72">
    <w:nsid w:val="7A0574F4"/>
    <w:multiLevelType w:val="multilevel"/>
    <w:tmpl w:val="543E2012"/>
    <w:lvl w:ilvl="0">
      <w:start w:val="1"/>
      <w:numFmt w:val="decimal"/>
      <w:lvlText w:val="%1."/>
      <w:lvlJc w:val="left"/>
      <w:pPr>
        <w:ind w:left="547" w:hanging="428"/>
        <w:jc w:val="right"/>
      </w:pPr>
      <w:rPr>
        <w:rFonts w:ascii="Arial" w:eastAsia="Arial" w:hAnsi="Arial" w:hint="default"/>
        <w:b/>
        <w:bCs/>
        <w:spacing w:val="-1"/>
        <w:sz w:val="22"/>
        <w:szCs w:val="22"/>
      </w:rPr>
    </w:lvl>
    <w:lvl w:ilvl="1">
      <w:start w:val="1"/>
      <w:numFmt w:val="decimal"/>
      <w:lvlText w:val="%1.%2"/>
      <w:lvlJc w:val="left"/>
      <w:pPr>
        <w:ind w:left="1113" w:hanging="567"/>
        <w:jc w:val="left"/>
      </w:pPr>
      <w:rPr>
        <w:rFonts w:ascii="Arial" w:eastAsia="Arial" w:hAnsi="Arial" w:hint="default"/>
        <w:b/>
        <w:bCs/>
        <w:spacing w:val="-1"/>
        <w:sz w:val="22"/>
        <w:szCs w:val="22"/>
      </w:rPr>
    </w:lvl>
    <w:lvl w:ilvl="2">
      <w:start w:val="1"/>
      <w:numFmt w:val="bullet"/>
      <w:lvlText w:val="•"/>
      <w:lvlJc w:val="left"/>
      <w:pPr>
        <w:ind w:left="1093" w:hanging="567"/>
      </w:pPr>
      <w:rPr>
        <w:rFonts w:hint="default"/>
      </w:rPr>
    </w:lvl>
    <w:lvl w:ilvl="3">
      <w:start w:val="1"/>
      <w:numFmt w:val="bullet"/>
      <w:lvlText w:val="•"/>
      <w:lvlJc w:val="left"/>
      <w:pPr>
        <w:ind w:left="1093" w:hanging="567"/>
      </w:pPr>
      <w:rPr>
        <w:rFonts w:hint="default"/>
      </w:rPr>
    </w:lvl>
    <w:lvl w:ilvl="4">
      <w:start w:val="1"/>
      <w:numFmt w:val="bullet"/>
      <w:lvlText w:val="•"/>
      <w:lvlJc w:val="left"/>
      <w:pPr>
        <w:ind w:left="1093" w:hanging="567"/>
      </w:pPr>
      <w:rPr>
        <w:rFonts w:hint="default"/>
      </w:rPr>
    </w:lvl>
    <w:lvl w:ilvl="5">
      <w:start w:val="1"/>
      <w:numFmt w:val="bullet"/>
      <w:lvlText w:val="•"/>
      <w:lvlJc w:val="left"/>
      <w:pPr>
        <w:ind w:left="1113" w:hanging="567"/>
      </w:pPr>
      <w:rPr>
        <w:rFonts w:hint="default"/>
      </w:rPr>
    </w:lvl>
    <w:lvl w:ilvl="6">
      <w:start w:val="1"/>
      <w:numFmt w:val="bullet"/>
      <w:lvlText w:val="•"/>
      <w:lvlJc w:val="left"/>
      <w:pPr>
        <w:ind w:left="1213" w:hanging="567"/>
      </w:pPr>
      <w:rPr>
        <w:rFonts w:hint="default"/>
      </w:rPr>
    </w:lvl>
    <w:lvl w:ilvl="7">
      <w:start w:val="1"/>
      <w:numFmt w:val="bullet"/>
      <w:lvlText w:val="•"/>
      <w:lvlJc w:val="left"/>
      <w:pPr>
        <w:ind w:left="1293" w:hanging="567"/>
      </w:pPr>
      <w:rPr>
        <w:rFonts w:hint="default"/>
      </w:rPr>
    </w:lvl>
    <w:lvl w:ilvl="8">
      <w:start w:val="1"/>
      <w:numFmt w:val="bullet"/>
      <w:lvlText w:val="•"/>
      <w:lvlJc w:val="left"/>
      <w:pPr>
        <w:ind w:left="3951" w:hanging="567"/>
      </w:pPr>
      <w:rPr>
        <w:rFonts w:hint="default"/>
      </w:rPr>
    </w:lvl>
  </w:abstractNum>
  <w:abstractNum w:abstractNumId="73">
    <w:nsid w:val="7D66747D"/>
    <w:multiLevelType w:val="multilevel"/>
    <w:tmpl w:val="A2B21B22"/>
    <w:lvl w:ilvl="0">
      <w:start w:val="1"/>
      <w:numFmt w:val="decimal"/>
      <w:lvlText w:val="%1."/>
      <w:lvlJc w:val="left"/>
      <w:pPr>
        <w:ind w:left="666" w:hanging="360"/>
        <w:jc w:val="right"/>
      </w:pPr>
      <w:rPr>
        <w:rFonts w:ascii="Times New Roman" w:eastAsia="Times New Roman" w:hAnsi="Times New Roman" w:hint="default"/>
        <w:spacing w:val="11"/>
        <w:sz w:val="22"/>
        <w:szCs w:val="22"/>
      </w:rPr>
    </w:lvl>
    <w:lvl w:ilvl="1">
      <w:start w:val="1"/>
      <w:numFmt w:val="decimal"/>
      <w:lvlText w:val="%1.%2"/>
      <w:lvlJc w:val="left"/>
      <w:pPr>
        <w:ind w:left="1028" w:hanging="360"/>
        <w:jc w:val="left"/>
      </w:pPr>
      <w:rPr>
        <w:rFonts w:ascii="Arial" w:eastAsia="Arial" w:hAnsi="Arial" w:hint="default"/>
        <w:spacing w:val="-1"/>
        <w:sz w:val="22"/>
        <w:szCs w:val="22"/>
      </w:rPr>
    </w:lvl>
    <w:lvl w:ilvl="2">
      <w:start w:val="1"/>
      <w:numFmt w:val="decimal"/>
      <w:lvlText w:val="%1.%2.%3"/>
      <w:lvlJc w:val="left"/>
      <w:pPr>
        <w:ind w:left="2225" w:hanging="994"/>
        <w:jc w:val="left"/>
      </w:pPr>
      <w:rPr>
        <w:rFonts w:ascii="Arial" w:eastAsia="Arial" w:hAnsi="Arial" w:hint="default"/>
        <w:spacing w:val="-1"/>
        <w:sz w:val="22"/>
        <w:szCs w:val="22"/>
      </w:rPr>
    </w:lvl>
    <w:lvl w:ilvl="3">
      <w:start w:val="1"/>
      <w:numFmt w:val="lowerLetter"/>
      <w:lvlText w:val="(%4)"/>
      <w:lvlJc w:val="left"/>
      <w:pPr>
        <w:ind w:left="2933" w:hanging="708"/>
        <w:jc w:val="left"/>
      </w:pPr>
      <w:rPr>
        <w:rFonts w:ascii="Arial" w:eastAsia="Arial" w:hAnsi="Arial" w:hint="default"/>
        <w:sz w:val="22"/>
        <w:szCs w:val="22"/>
      </w:rPr>
    </w:lvl>
    <w:lvl w:ilvl="4">
      <w:start w:val="1"/>
      <w:numFmt w:val="bullet"/>
      <w:lvlText w:val="•"/>
      <w:lvlJc w:val="left"/>
      <w:pPr>
        <w:ind w:left="1027" w:hanging="708"/>
      </w:pPr>
      <w:rPr>
        <w:rFonts w:hint="default"/>
      </w:rPr>
    </w:lvl>
    <w:lvl w:ilvl="5">
      <w:start w:val="1"/>
      <w:numFmt w:val="bullet"/>
      <w:lvlText w:val="•"/>
      <w:lvlJc w:val="left"/>
      <w:pPr>
        <w:ind w:left="1027" w:hanging="708"/>
      </w:pPr>
      <w:rPr>
        <w:rFonts w:hint="default"/>
      </w:rPr>
    </w:lvl>
    <w:lvl w:ilvl="6">
      <w:start w:val="1"/>
      <w:numFmt w:val="bullet"/>
      <w:lvlText w:val="•"/>
      <w:lvlJc w:val="left"/>
      <w:pPr>
        <w:ind w:left="1028" w:hanging="708"/>
      </w:pPr>
      <w:rPr>
        <w:rFonts w:hint="default"/>
      </w:rPr>
    </w:lvl>
    <w:lvl w:ilvl="7">
      <w:start w:val="1"/>
      <w:numFmt w:val="bullet"/>
      <w:lvlText w:val="•"/>
      <w:lvlJc w:val="left"/>
      <w:pPr>
        <w:ind w:left="1028" w:hanging="708"/>
      </w:pPr>
      <w:rPr>
        <w:rFonts w:hint="default"/>
      </w:rPr>
    </w:lvl>
    <w:lvl w:ilvl="8">
      <w:start w:val="1"/>
      <w:numFmt w:val="bullet"/>
      <w:lvlText w:val="•"/>
      <w:lvlJc w:val="left"/>
      <w:pPr>
        <w:ind w:left="1886" w:hanging="708"/>
      </w:pPr>
      <w:rPr>
        <w:rFonts w:hint="default"/>
      </w:rPr>
    </w:lvl>
  </w:abstractNum>
  <w:num w:numId="1">
    <w:abstractNumId w:val="39"/>
  </w:num>
  <w:num w:numId="2">
    <w:abstractNumId w:val="18"/>
  </w:num>
  <w:num w:numId="3">
    <w:abstractNumId w:val="17"/>
  </w:num>
  <w:num w:numId="4">
    <w:abstractNumId w:val="73"/>
  </w:num>
  <w:num w:numId="5">
    <w:abstractNumId w:val="29"/>
  </w:num>
  <w:num w:numId="6">
    <w:abstractNumId w:val="38"/>
  </w:num>
  <w:num w:numId="7">
    <w:abstractNumId w:val="34"/>
  </w:num>
  <w:num w:numId="8">
    <w:abstractNumId w:val="23"/>
  </w:num>
  <w:num w:numId="9">
    <w:abstractNumId w:val="37"/>
  </w:num>
  <w:num w:numId="10">
    <w:abstractNumId w:val="49"/>
  </w:num>
  <w:num w:numId="11">
    <w:abstractNumId w:val="15"/>
  </w:num>
  <w:num w:numId="12">
    <w:abstractNumId w:val="27"/>
  </w:num>
  <w:num w:numId="13">
    <w:abstractNumId w:val="54"/>
  </w:num>
  <w:num w:numId="14">
    <w:abstractNumId w:val="66"/>
  </w:num>
  <w:num w:numId="15">
    <w:abstractNumId w:val="46"/>
  </w:num>
  <w:num w:numId="16">
    <w:abstractNumId w:val="64"/>
  </w:num>
  <w:num w:numId="17">
    <w:abstractNumId w:val="69"/>
  </w:num>
  <w:num w:numId="18">
    <w:abstractNumId w:val="3"/>
  </w:num>
  <w:num w:numId="19">
    <w:abstractNumId w:val="1"/>
  </w:num>
  <w:num w:numId="20">
    <w:abstractNumId w:val="11"/>
  </w:num>
  <w:num w:numId="21">
    <w:abstractNumId w:val="40"/>
  </w:num>
  <w:num w:numId="22">
    <w:abstractNumId w:val="4"/>
  </w:num>
  <w:num w:numId="23">
    <w:abstractNumId w:val="61"/>
  </w:num>
  <w:num w:numId="24">
    <w:abstractNumId w:val="0"/>
  </w:num>
  <w:num w:numId="25">
    <w:abstractNumId w:val="44"/>
  </w:num>
  <w:num w:numId="26">
    <w:abstractNumId w:val="14"/>
  </w:num>
  <w:num w:numId="27">
    <w:abstractNumId w:val="55"/>
  </w:num>
  <w:num w:numId="28">
    <w:abstractNumId w:val="71"/>
  </w:num>
  <w:num w:numId="29">
    <w:abstractNumId w:val="31"/>
  </w:num>
  <w:num w:numId="30">
    <w:abstractNumId w:val="22"/>
  </w:num>
  <w:num w:numId="31">
    <w:abstractNumId w:val="24"/>
  </w:num>
  <w:num w:numId="32">
    <w:abstractNumId w:val="28"/>
  </w:num>
  <w:num w:numId="33">
    <w:abstractNumId w:val="45"/>
  </w:num>
  <w:num w:numId="34">
    <w:abstractNumId w:val="10"/>
  </w:num>
  <w:num w:numId="35">
    <w:abstractNumId w:val="53"/>
  </w:num>
  <w:num w:numId="36">
    <w:abstractNumId w:val="68"/>
  </w:num>
  <w:num w:numId="37">
    <w:abstractNumId w:val="6"/>
  </w:num>
  <w:num w:numId="38">
    <w:abstractNumId w:val="25"/>
  </w:num>
  <w:num w:numId="39">
    <w:abstractNumId w:val="36"/>
  </w:num>
  <w:num w:numId="40">
    <w:abstractNumId w:val="58"/>
  </w:num>
  <w:num w:numId="41">
    <w:abstractNumId w:val="48"/>
  </w:num>
  <w:num w:numId="42">
    <w:abstractNumId w:val="51"/>
  </w:num>
  <w:num w:numId="43">
    <w:abstractNumId w:val="26"/>
  </w:num>
  <w:num w:numId="44">
    <w:abstractNumId w:val="5"/>
  </w:num>
  <w:num w:numId="45">
    <w:abstractNumId w:val="52"/>
  </w:num>
  <w:num w:numId="46">
    <w:abstractNumId w:val="8"/>
  </w:num>
  <w:num w:numId="47">
    <w:abstractNumId w:val="41"/>
  </w:num>
  <w:num w:numId="48">
    <w:abstractNumId w:val="13"/>
  </w:num>
  <w:num w:numId="49">
    <w:abstractNumId w:val="9"/>
  </w:num>
  <w:num w:numId="50">
    <w:abstractNumId w:val="62"/>
  </w:num>
  <w:num w:numId="51">
    <w:abstractNumId w:val="2"/>
  </w:num>
  <w:num w:numId="52">
    <w:abstractNumId w:val="59"/>
  </w:num>
  <w:num w:numId="53">
    <w:abstractNumId w:val="63"/>
  </w:num>
  <w:num w:numId="54">
    <w:abstractNumId w:val="30"/>
  </w:num>
  <w:num w:numId="55">
    <w:abstractNumId w:val="19"/>
  </w:num>
  <w:num w:numId="56">
    <w:abstractNumId w:val="12"/>
  </w:num>
  <w:num w:numId="57">
    <w:abstractNumId w:val="20"/>
  </w:num>
  <w:num w:numId="58">
    <w:abstractNumId w:val="33"/>
  </w:num>
  <w:num w:numId="59">
    <w:abstractNumId w:val="43"/>
  </w:num>
  <w:num w:numId="60">
    <w:abstractNumId w:val="7"/>
  </w:num>
  <w:num w:numId="61">
    <w:abstractNumId w:val="57"/>
  </w:num>
  <w:num w:numId="62">
    <w:abstractNumId w:val="21"/>
  </w:num>
  <w:num w:numId="63">
    <w:abstractNumId w:val="65"/>
  </w:num>
  <w:num w:numId="64">
    <w:abstractNumId w:val="50"/>
  </w:num>
  <w:num w:numId="65">
    <w:abstractNumId w:val="47"/>
  </w:num>
  <w:num w:numId="66">
    <w:abstractNumId w:val="32"/>
  </w:num>
  <w:num w:numId="67">
    <w:abstractNumId w:val="16"/>
  </w:num>
  <w:num w:numId="68">
    <w:abstractNumId w:val="35"/>
  </w:num>
  <w:num w:numId="69">
    <w:abstractNumId w:val="70"/>
  </w:num>
  <w:num w:numId="70">
    <w:abstractNumId w:val="56"/>
  </w:num>
  <w:num w:numId="71">
    <w:abstractNumId w:val="42"/>
  </w:num>
  <w:num w:numId="72">
    <w:abstractNumId w:val="60"/>
  </w:num>
  <w:num w:numId="73">
    <w:abstractNumId w:val="67"/>
  </w:num>
  <w:num w:numId="74">
    <w:abstractNumId w:val="7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8FA"/>
    <w:rsid w:val="000B2DCE"/>
    <w:rsid w:val="000E2E05"/>
    <w:rsid w:val="001838DD"/>
    <w:rsid w:val="001C1527"/>
    <w:rsid w:val="00234818"/>
    <w:rsid w:val="002F6432"/>
    <w:rsid w:val="00424408"/>
    <w:rsid w:val="004C2C45"/>
    <w:rsid w:val="00514A63"/>
    <w:rsid w:val="005D2B81"/>
    <w:rsid w:val="00747FCE"/>
    <w:rsid w:val="007929F1"/>
    <w:rsid w:val="007F77FD"/>
    <w:rsid w:val="00833634"/>
    <w:rsid w:val="00853DF0"/>
    <w:rsid w:val="008918FA"/>
    <w:rsid w:val="00910DED"/>
    <w:rsid w:val="0095255A"/>
    <w:rsid w:val="009A0751"/>
    <w:rsid w:val="00B02739"/>
    <w:rsid w:val="00B07633"/>
    <w:rsid w:val="00B35CB9"/>
    <w:rsid w:val="00CC5C68"/>
    <w:rsid w:val="00CE5AA1"/>
    <w:rsid w:val="00DE3937"/>
    <w:rsid w:val="00E32C6B"/>
    <w:rsid w:val="00F64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83781D-462C-4FB4-BEAA-AF28DE10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918FA"/>
    <w:pPr>
      <w:widowControl w:val="0"/>
      <w:spacing w:after="0" w:line="240" w:lineRule="auto"/>
    </w:pPr>
  </w:style>
  <w:style w:type="paragraph" w:styleId="Heading1">
    <w:name w:val="heading 1"/>
    <w:basedOn w:val="Normal"/>
    <w:link w:val="Heading1Char"/>
    <w:uiPriority w:val="1"/>
    <w:qFormat/>
    <w:rsid w:val="008918FA"/>
    <w:pPr>
      <w:spacing w:before="116"/>
      <w:ind w:left="1093" w:hanging="564"/>
      <w:outlineLvl w:val="0"/>
    </w:pPr>
    <w:rPr>
      <w:rFonts w:ascii="Arial" w:eastAsia="Arial" w:hAnsi="Arial"/>
      <w:b/>
      <w:bCs/>
    </w:rPr>
  </w:style>
  <w:style w:type="paragraph" w:styleId="Heading2">
    <w:name w:val="heading 2"/>
    <w:basedOn w:val="Normal"/>
    <w:link w:val="Heading2Char"/>
    <w:uiPriority w:val="1"/>
    <w:qFormat/>
    <w:rsid w:val="008918FA"/>
    <w:pPr>
      <w:spacing w:before="72"/>
      <w:ind w:left="1032"/>
      <w:outlineLvl w:val="1"/>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18FA"/>
    <w:rPr>
      <w:rFonts w:ascii="Arial" w:eastAsia="Arial" w:hAnsi="Arial"/>
      <w:b/>
      <w:bCs/>
      <w:lang w:val="en-US"/>
    </w:rPr>
  </w:style>
  <w:style w:type="character" w:customStyle="1" w:styleId="Heading2Char">
    <w:name w:val="Heading 2 Char"/>
    <w:basedOn w:val="DefaultParagraphFont"/>
    <w:link w:val="Heading2"/>
    <w:uiPriority w:val="1"/>
    <w:rsid w:val="008918FA"/>
    <w:rPr>
      <w:rFonts w:ascii="Arial" w:eastAsia="Arial" w:hAnsi="Arial"/>
      <w:b/>
      <w:bCs/>
      <w:i/>
      <w:lang w:val="en-US"/>
    </w:rPr>
  </w:style>
  <w:style w:type="paragraph" w:styleId="TOC1">
    <w:name w:val="toc 1"/>
    <w:basedOn w:val="Normal"/>
    <w:uiPriority w:val="1"/>
    <w:qFormat/>
    <w:rsid w:val="008918FA"/>
    <w:pPr>
      <w:spacing w:before="119"/>
      <w:ind w:left="120"/>
    </w:pPr>
    <w:rPr>
      <w:rFonts w:ascii="Arial" w:eastAsia="Arial" w:hAnsi="Arial"/>
      <w:b/>
      <w:bCs/>
    </w:rPr>
  </w:style>
  <w:style w:type="paragraph" w:styleId="TOC2">
    <w:name w:val="toc 2"/>
    <w:basedOn w:val="Normal"/>
    <w:uiPriority w:val="1"/>
    <w:qFormat/>
    <w:rsid w:val="008918FA"/>
    <w:pPr>
      <w:spacing w:before="119"/>
      <w:ind w:left="1559" w:hanging="588"/>
    </w:pPr>
    <w:rPr>
      <w:rFonts w:ascii="Arial" w:eastAsia="Arial" w:hAnsi="Arial"/>
      <w:b/>
      <w:bCs/>
    </w:rPr>
  </w:style>
  <w:style w:type="paragraph" w:styleId="BodyText">
    <w:name w:val="Body Text"/>
    <w:basedOn w:val="Normal"/>
    <w:link w:val="BodyTextChar"/>
    <w:uiPriority w:val="1"/>
    <w:qFormat/>
    <w:rsid w:val="008918FA"/>
    <w:pPr>
      <w:spacing w:before="119"/>
      <w:ind w:left="1886" w:hanging="360"/>
    </w:pPr>
    <w:rPr>
      <w:rFonts w:ascii="Arial" w:eastAsia="Arial" w:hAnsi="Arial"/>
    </w:rPr>
  </w:style>
  <w:style w:type="character" w:customStyle="1" w:styleId="BodyTextChar">
    <w:name w:val="Body Text Char"/>
    <w:basedOn w:val="DefaultParagraphFont"/>
    <w:link w:val="BodyText"/>
    <w:uiPriority w:val="1"/>
    <w:rsid w:val="008918FA"/>
    <w:rPr>
      <w:rFonts w:ascii="Arial" w:eastAsia="Arial" w:hAnsi="Arial"/>
      <w:lang w:val="en-US"/>
    </w:rPr>
  </w:style>
  <w:style w:type="paragraph" w:styleId="ListParagraph">
    <w:name w:val="List Paragraph"/>
    <w:basedOn w:val="Normal"/>
    <w:uiPriority w:val="1"/>
    <w:qFormat/>
    <w:rsid w:val="008918FA"/>
  </w:style>
  <w:style w:type="paragraph" w:customStyle="1" w:styleId="TableParagraph">
    <w:name w:val="Table Paragraph"/>
    <w:basedOn w:val="Normal"/>
    <w:uiPriority w:val="1"/>
    <w:qFormat/>
    <w:rsid w:val="008918FA"/>
  </w:style>
  <w:style w:type="paragraph" w:styleId="EndnoteText">
    <w:name w:val="endnote text"/>
    <w:basedOn w:val="Normal"/>
    <w:link w:val="EndnoteTextChar"/>
    <w:uiPriority w:val="99"/>
    <w:semiHidden/>
    <w:unhideWhenUsed/>
    <w:rsid w:val="005D2B81"/>
    <w:rPr>
      <w:sz w:val="20"/>
      <w:szCs w:val="20"/>
    </w:rPr>
  </w:style>
  <w:style w:type="character" w:customStyle="1" w:styleId="EndnoteTextChar">
    <w:name w:val="Endnote Text Char"/>
    <w:basedOn w:val="DefaultParagraphFont"/>
    <w:link w:val="EndnoteText"/>
    <w:uiPriority w:val="99"/>
    <w:semiHidden/>
    <w:rsid w:val="005D2B81"/>
    <w:rPr>
      <w:sz w:val="20"/>
      <w:szCs w:val="20"/>
      <w:lang w:val="en-US"/>
    </w:rPr>
  </w:style>
  <w:style w:type="character" w:styleId="EndnoteReference">
    <w:name w:val="endnote reference"/>
    <w:basedOn w:val="DefaultParagraphFont"/>
    <w:uiPriority w:val="99"/>
    <w:semiHidden/>
    <w:unhideWhenUsed/>
    <w:rsid w:val="005D2B81"/>
    <w:rPr>
      <w:vertAlign w:val="superscript"/>
    </w:rPr>
  </w:style>
  <w:style w:type="paragraph" w:styleId="FootnoteText">
    <w:name w:val="footnote text"/>
    <w:basedOn w:val="Normal"/>
    <w:link w:val="FootnoteTextChar"/>
    <w:uiPriority w:val="99"/>
    <w:semiHidden/>
    <w:unhideWhenUsed/>
    <w:rsid w:val="00B35CB9"/>
    <w:rPr>
      <w:sz w:val="20"/>
      <w:szCs w:val="20"/>
    </w:rPr>
  </w:style>
  <w:style w:type="character" w:customStyle="1" w:styleId="FootnoteTextChar">
    <w:name w:val="Footnote Text Char"/>
    <w:basedOn w:val="DefaultParagraphFont"/>
    <w:link w:val="FootnoteText"/>
    <w:uiPriority w:val="99"/>
    <w:semiHidden/>
    <w:rsid w:val="00B35CB9"/>
    <w:rPr>
      <w:sz w:val="20"/>
      <w:szCs w:val="20"/>
      <w:lang w:val="en-US"/>
    </w:rPr>
  </w:style>
  <w:style w:type="character" w:styleId="FootnoteReference">
    <w:name w:val="footnote reference"/>
    <w:basedOn w:val="DefaultParagraphFont"/>
    <w:uiPriority w:val="99"/>
    <w:semiHidden/>
    <w:unhideWhenUsed/>
    <w:rsid w:val="00B35CB9"/>
    <w:rPr>
      <w:vertAlign w:val="superscript"/>
    </w:rPr>
  </w:style>
  <w:style w:type="table" w:styleId="TableGrid">
    <w:name w:val="Table Grid"/>
    <w:basedOn w:val="TableNormal"/>
    <w:uiPriority w:val="39"/>
    <w:rsid w:val="00910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1527"/>
    <w:rPr>
      <w:sz w:val="16"/>
      <w:szCs w:val="16"/>
    </w:rPr>
  </w:style>
  <w:style w:type="paragraph" w:styleId="CommentText">
    <w:name w:val="annotation text"/>
    <w:basedOn w:val="Normal"/>
    <w:link w:val="CommentTextChar"/>
    <w:uiPriority w:val="99"/>
    <w:semiHidden/>
    <w:unhideWhenUsed/>
    <w:rsid w:val="001C1527"/>
    <w:rPr>
      <w:sz w:val="20"/>
      <w:szCs w:val="20"/>
    </w:rPr>
  </w:style>
  <w:style w:type="character" w:customStyle="1" w:styleId="CommentTextChar">
    <w:name w:val="Comment Text Char"/>
    <w:basedOn w:val="DefaultParagraphFont"/>
    <w:link w:val="CommentText"/>
    <w:uiPriority w:val="99"/>
    <w:semiHidden/>
    <w:rsid w:val="001C1527"/>
    <w:rPr>
      <w:sz w:val="20"/>
      <w:szCs w:val="20"/>
    </w:rPr>
  </w:style>
  <w:style w:type="paragraph" w:styleId="CommentSubject">
    <w:name w:val="annotation subject"/>
    <w:basedOn w:val="CommentText"/>
    <w:next w:val="CommentText"/>
    <w:link w:val="CommentSubjectChar"/>
    <w:uiPriority w:val="99"/>
    <w:semiHidden/>
    <w:unhideWhenUsed/>
    <w:rsid w:val="001C1527"/>
    <w:rPr>
      <w:b/>
      <w:bCs/>
    </w:rPr>
  </w:style>
  <w:style w:type="character" w:customStyle="1" w:styleId="CommentSubjectChar">
    <w:name w:val="Comment Subject Char"/>
    <w:basedOn w:val="CommentTextChar"/>
    <w:link w:val="CommentSubject"/>
    <w:uiPriority w:val="99"/>
    <w:semiHidden/>
    <w:rsid w:val="001C1527"/>
    <w:rPr>
      <w:b/>
      <w:bCs/>
      <w:sz w:val="20"/>
      <w:szCs w:val="20"/>
    </w:rPr>
  </w:style>
  <w:style w:type="paragraph" w:styleId="BalloonText">
    <w:name w:val="Balloon Text"/>
    <w:basedOn w:val="Normal"/>
    <w:link w:val="BalloonTextChar"/>
    <w:uiPriority w:val="99"/>
    <w:semiHidden/>
    <w:unhideWhenUsed/>
    <w:rsid w:val="001C15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527"/>
    <w:rPr>
      <w:rFonts w:ascii="Segoe UI" w:hAnsi="Segoe UI" w:cs="Segoe UI"/>
      <w:sz w:val="18"/>
      <w:szCs w:val="18"/>
    </w:rPr>
  </w:style>
  <w:style w:type="paragraph" w:styleId="Header">
    <w:name w:val="header"/>
    <w:basedOn w:val="Normal"/>
    <w:link w:val="HeaderChar"/>
    <w:uiPriority w:val="99"/>
    <w:unhideWhenUsed/>
    <w:rsid w:val="001C1527"/>
    <w:pPr>
      <w:tabs>
        <w:tab w:val="center" w:pos="4513"/>
        <w:tab w:val="right" w:pos="9026"/>
      </w:tabs>
    </w:pPr>
  </w:style>
  <w:style w:type="character" w:customStyle="1" w:styleId="HeaderChar">
    <w:name w:val="Header Char"/>
    <w:basedOn w:val="DefaultParagraphFont"/>
    <w:link w:val="Header"/>
    <w:uiPriority w:val="99"/>
    <w:rsid w:val="001C1527"/>
  </w:style>
  <w:style w:type="paragraph" w:styleId="Footer">
    <w:name w:val="footer"/>
    <w:basedOn w:val="Normal"/>
    <w:link w:val="FooterChar"/>
    <w:uiPriority w:val="99"/>
    <w:unhideWhenUsed/>
    <w:rsid w:val="001C1527"/>
    <w:pPr>
      <w:tabs>
        <w:tab w:val="center" w:pos="4513"/>
        <w:tab w:val="right" w:pos="9026"/>
      </w:tabs>
    </w:pPr>
  </w:style>
  <w:style w:type="character" w:customStyle="1" w:styleId="FooterChar">
    <w:name w:val="Footer Char"/>
    <w:basedOn w:val="DefaultParagraphFont"/>
    <w:link w:val="Footer"/>
    <w:uiPriority w:val="99"/>
    <w:rsid w:val="001C1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255910/HMG_Security_Policy_Framework_V11.0.pdf" TargetMode="External"/><Relationship Id="rId18" Type="http://schemas.openxmlformats.org/officeDocument/2006/relationships/hyperlink" Target="https://www.gov.uk/government/uploads/system/uploads/attachment_data/file/255910/HMG_Security_Policy_Framework_V11.0.pdf"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cpni.gov.uk/Documents/Publications/2005/2005003-Risk_management.pdf"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gov.uk/government/uploads/system/uploads/attachment_data/file/255910/HMG_Security_Policy_Framework_V11.0.pdf" TargetMode="External"/><Relationship Id="rId17" Type="http://schemas.openxmlformats.org/officeDocument/2006/relationships/footer" Target="footer5.xml"/><Relationship Id="rId25" Type="http://schemas.openxmlformats.org/officeDocument/2006/relationships/hyperlink" Target="http://uk.practicallaw.com/0-202-4551?q=outsourcing&amp;amp;a372155"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procurement-policy-note-07-12-tax-arrangements-of-public-appointees" TargetMode="External"/><Relationship Id="rId20" Type="http://schemas.openxmlformats.org/officeDocument/2006/relationships/hyperlink" Target="https://www.gov.uk/government/uploads/system/uploads/attachment_data/file/255910/HMG_Security_Policy_Framework_V11.0.pdf"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255910/HMG_Security_Policy_Framework_V11.0.pdf" TargetMode="External"/><Relationship Id="rId24" Type="http://schemas.openxmlformats.org/officeDocument/2006/relationships/hyperlink" Target="http://www.cesg.gov.uk/publications/Documents/iamm-assessment-framework.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procurement-policy-note-07-12-tax-arrangements-of-public-appointees" TargetMode="External"/><Relationship Id="rId23" Type="http://schemas.openxmlformats.org/officeDocument/2006/relationships/hyperlink" Target="http://www.cesg.gov.uk/publications/Documents/iamm-assessment-framework.pdf" TargetMode="External"/><Relationship Id="rId28" Type="http://schemas.openxmlformats.org/officeDocument/2006/relationships/hyperlink" Target="http://uk.practicallaw.com/0-202-4551?q=outsourcing&amp;amp;a372155" TargetMode="External"/><Relationship Id="rId36" Type="http://schemas.openxmlformats.org/officeDocument/2006/relationships/footer" Target="footer8.xml"/><Relationship Id="rId10" Type="http://schemas.openxmlformats.org/officeDocument/2006/relationships/footer" Target="footer3.xml"/><Relationship Id="rId19" Type="http://schemas.openxmlformats.org/officeDocument/2006/relationships/hyperlink" Target="https://www.gov.uk/government/uploads/system/uploads/attachment_data/file/255910/HMG_Security_Policy_Framework_V11.0.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http://www.cpni.gov.uk/Documents/Publications/2005/2005003-Risk_management.pdf" TargetMode="External"/><Relationship Id="rId27" Type="http://schemas.openxmlformats.org/officeDocument/2006/relationships/footer" Target="footer7.xml"/><Relationship Id="rId35" Type="http://schemas.openxmlformats.org/officeDocument/2006/relationships/image" Target="media/image10.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5399D-7DC6-40D4-922C-6AE64FA0B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68202</Words>
  <Characters>388758</Characters>
  <Application>Microsoft Office Word</Application>
  <DocSecurity>0</DocSecurity>
  <Lines>3239</Lines>
  <Paragraphs>912</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456048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Sullivan</dc:creator>
  <cp:keywords/>
  <dc:description/>
  <cp:lastModifiedBy>Julie Braidwood</cp:lastModifiedBy>
  <cp:revision>3</cp:revision>
  <dcterms:created xsi:type="dcterms:W3CDTF">2015-07-15T11:19:00Z</dcterms:created>
  <dcterms:modified xsi:type="dcterms:W3CDTF">2015-07-15T11:21:00Z</dcterms:modified>
</cp:coreProperties>
</file>